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header19.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1153B0" w14:textId="257A1CAD" w:rsidR="007D3260" w:rsidRDefault="00FC0553" w:rsidP="00887331">
      <w:r w:rsidRPr="00884FAA">
        <w:rPr>
          <w:noProof/>
        </w:rPr>
        <mc:AlternateContent>
          <mc:Choice Requires="wps">
            <w:drawing>
              <wp:anchor distT="0" distB="0" distL="114300" distR="114300" simplePos="0" relativeHeight="251657216" behindDoc="0" locked="0" layoutInCell="1" allowOverlap="1" wp14:anchorId="665EB79C" wp14:editId="31EE28C5">
                <wp:simplePos x="0" y="0"/>
                <wp:positionH relativeFrom="page">
                  <wp:align>right</wp:align>
                </wp:positionH>
                <wp:positionV relativeFrom="margin">
                  <wp:align>top</wp:align>
                </wp:positionV>
                <wp:extent cx="7559675" cy="4972050"/>
                <wp:effectExtent l="0" t="0" r="3175" b="0"/>
                <wp:wrapSquare wrapText="bothSides"/>
                <wp:docPr id="3" name="Text Box 3"/>
                <wp:cNvGraphicFramePr/>
                <a:graphic xmlns:a="http://schemas.openxmlformats.org/drawingml/2006/main">
                  <a:graphicData uri="http://schemas.microsoft.com/office/word/2010/wordprocessingShape">
                    <wps:wsp>
                      <wps:cNvSpPr txBox="1"/>
                      <wps:spPr>
                        <a:xfrm>
                          <a:off x="0" y="0"/>
                          <a:ext cx="7559675" cy="4972050"/>
                        </a:xfrm>
                        <a:prstGeom prst="rect">
                          <a:avLst/>
                        </a:prstGeom>
                        <a:solidFill>
                          <a:srgbClr val="FDFCE6">
                            <a:alpha val="94902"/>
                          </a:srgbClr>
                        </a:solidFill>
                        <a:ln w="6350">
                          <a:noFill/>
                        </a:ln>
                      </wps:spPr>
                      <wps:txbx>
                        <w:txbxContent>
                          <w:p w14:paraId="602A6511" w14:textId="77777777" w:rsidR="00871503" w:rsidRDefault="00871503" w:rsidP="007A0752">
                            <w:pPr>
                              <w:pStyle w:val="Design-CoverTitle"/>
                              <w:ind w:left="851" w:right="1397"/>
                              <w:rPr>
                                <w:color w:val="auto"/>
                                <w:sz w:val="56"/>
                                <w:szCs w:val="56"/>
                              </w:rPr>
                            </w:pPr>
                          </w:p>
                          <w:p w14:paraId="015A647C" w14:textId="11F1002E" w:rsidR="005D106D" w:rsidRPr="005D106D" w:rsidRDefault="00F74A9B" w:rsidP="007A0752">
                            <w:pPr>
                              <w:pStyle w:val="Design-CoverTitle"/>
                              <w:ind w:left="851" w:right="1397"/>
                              <w:rPr>
                                <w:color w:val="auto"/>
                                <w:sz w:val="56"/>
                                <w:szCs w:val="56"/>
                              </w:rPr>
                            </w:pPr>
                            <w:r w:rsidRPr="00694797">
                              <w:rPr>
                                <w:color w:val="auto"/>
                                <w:sz w:val="56"/>
                                <w:szCs w:val="56"/>
                              </w:rPr>
                              <w:t>Final report</w:t>
                            </w:r>
                            <w:r>
                              <w:rPr>
                                <w:color w:val="auto"/>
                                <w:sz w:val="56"/>
                                <w:szCs w:val="56"/>
                              </w:rPr>
                              <w:t xml:space="preserve"> of the e</w:t>
                            </w:r>
                            <w:r w:rsidR="00BA383D">
                              <w:rPr>
                                <w:color w:val="auto"/>
                                <w:sz w:val="56"/>
                                <w:szCs w:val="56"/>
                              </w:rPr>
                              <w:t>valuation</w:t>
                            </w:r>
                            <w:r w:rsidR="000B270F" w:rsidRPr="008F539A">
                              <w:rPr>
                                <w:color w:val="auto"/>
                                <w:sz w:val="56"/>
                                <w:szCs w:val="56"/>
                              </w:rPr>
                              <w:t xml:space="preserve"> of</w:t>
                            </w:r>
                            <w:r w:rsidR="000B270F" w:rsidRPr="005D106D">
                              <w:rPr>
                                <w:color w:val="auto"/>
                                <w:sz w:val="56"/>
                                <w:szCs w:val="56"/>
                              </w:rPr>
                              <w:t xml:space="preserve"> the Australian Government’s </w:t>
                            </w:r>
                            <w:r w:rsidR="00DB4444" w:rsidRPr="005D106D">
                              <w:rPr>
                                <w:color w:val="auto"/>
                                <w:sz w:val="56"/>
                                <w:szCs w:val="56"/>
                              </w:rPr>
                              <w:t>investment in Aboriginal and Torres Strait Islander primary health care through the</w:t>
                            </w:r>
                            <w:r w:rsidR="005D106D" w:rsidRPr="005D106D">
                              <w:rPr>
                                <w:color w:val="auto"/>
                                <w:sz w:val="56"/>
                                <w:szCs w:val="56"/>
                              </w:rPr>
                              <w:t xml:space="preserve"> </w:t>
                            </w:r>
                            <w:r w:rsidR="00DB4444" w:rsidRPr="005D106D">
                              <w:rPr>
                                <w:color w:val="auto"/>
                                <w:sz w:val="56"/>
                                <w:szCs w:val="56"/>
                              </w:rPr>
                              <w:t>Indigenous Australians’ Hea</w:t>
                            </w:r>
                            <w:r w:rsidR="005D106D" w:rsidRPr="005D106D">
                              <w:rPr>
                                <w:color w:val="auto"/>
                                <w:sz w:val="56"/>
                                <w:szCs w:val="56"/>
                              </w:rPr>
                              <w:t>l</w:t>
                            </w:r>
                            <w:r w:rsidR="00DB4444" w:rsidRPr="005D106D">
                              <w:rPr>
                                <w:color w:val="auto"/>
                                <w:sz w:val="56"/>
                                <w:szCs w:val="56"/>
                              </w:rPr>
                              <w:t xml:space="preserve">th </w:t>
                            </w:r>
                            <w:r w:rsidR="007A0752">
                              <w:rPr>
                                <w:color w:val="auto"/>
                                <w:sz w:val="56"/>
                                <w:szCs w:val="56"/>
                              </w:rPr>
                              <w:t>P</w:t>
                            </w:r>
                            <w:r w:rsidR="00DB4444" w:rsidRPr="005D106D">
                              <w:rPr>
                                <w:color w:val="auto"/>
                                <w:sz w:val="56"/>
                                <w:szCs w:val="56"/>
                              </w:rPr>
                              <w:t>rogramme</w:t>
                            </w:r>
                          </w:p>
                          <w:p w14:paraId="073BAC8A" w14:textId="1FC19A31" w:rsidR="00887331" w:rsidRPr="00C3784A" w:rsidRDefault="007B254E" w:rsidP="007A0752">
                            <w:pPr>
                              <w:pStyle w:val="Design-CoverTitle"/>
                              <w:ind w:left="851" w:right="1397"/>
                              <w:rPr>
                                <w:color w:val="9E6047" w:themeColor="accent3"/>
                                <w:sz w:val="48"/>
                                <w:szCs w:val="48"/>
                              </w:rPr>
                            </w:pPr>
                            <w:r w:rsidRPr="00694797">
                              <w:rPr>
                                <w:color w:val="9E6047" w:themeColor="accent3"/>
                                <w:sz w:val="48"/>
                                <w:szCs w:val="48"/>
                              </w:rPr>
                              <w:t>Final Report</w:t>
                            </w:r>
                          </w:p>
                          <w:p w14:paraId="1756F13E" w14:textId="485D767A" w:rsidR="00887331" w:rsidRPr="00D0658B" w:rsidRDefault="009A18B1" w:rsidP="007A0752">
                            <w:pPr>
                              <w:pStyle w:val="Design-CoverSubtitle0"/>
                              <w:ind w:left="851" w:right="1397"/>
                              <w:rPr>
                                <w:b/>
                                <w:noProof/>
                                <w:color w:val="auto"/>
                                <w:sz w:val="80"/>
                                <w:szCs w:val="96"/>
                              </w:rPr>
                            </w:pPr>
                            <w:r>
                              <w:rPr>
                                <w:noProof/>
                                <w:color w:val="auto"/>
                              </w:rPr>
                              <w:t>28</w:t>
                            </w:r>
                            <w:r w:rsidR="00A1053F">
                              <w:rPr>
                                <w:noProof/>
                                <w:color w:val="auto"/>
                              </w:rPr>
                              <w:t xml:space="preserve"> June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5EB79C" id="_x0000_t202" coordsize="21600,21600" o:spt="202" path="m,l,21600r21600,l21600,xe">
                <v:stroke joinstyle="miter"/>
                <v:path gradientshapeok="t" o:connecttype="rect"/>
              </v:shapetype>
              <v:shape id="Text Box 3" o:spid="_x0000_s1026" type="#_x0000_t202" style="position:absolute;left:0;text-align:left;margin-left:544.05pt;margin-top:0;width:595.25pt;height:391.5pt;z-index:25165721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uSXQAIAAHcEAAAOAAAAZHJzL2Uyb0RvYy54bWysVN2P2jAMf5+0/yHK+2hhfByIcmIwpkno&#10;7iRuuueQJrRSGmdJoGV//Zy0fOi2p2kvqWM7P9s/250/NpUiJ2FdCTqj/V5KidAc8lIfMvrjdfPp&#10;gRLnmc6ZAi0yehaOPi4+fpjXZiYGUIDKhSUIot2sNhktvDezJHG8EBVzPTBCo1GCrZjHqz0kuWU1&#10;olcqGaTpOKnB5sYCF86hdt0a6SLiSym4f5bSCU9URjE3H08bz304k8WczQ6WmaLkXRrsH7KoWKkx&#10;6BVqzTwjR1v+AVWV3IID6XscqgSkLLmINWA1/fRdNbuCGRFrQXKcudLk/h8sfzrtzIslvvkCDTYw&#10;EFIbN3OoDPU00lbhi5kStCOF5yttovGEo3IyGk3HkxElHG3D6WSQjiKxye25sc5/E1CRIGTUYl8i&#10;Xey0dR5DouvFJURzoMp8UyoVL/awXylLTgx7uFlvVl/H7VtlCtZqp8NpOgipI45r3Vv5HkdpUmd0&#10;/BmTC7AaQoD2jdLofis7SL7ZNx0Xe8jPSJGFdnqc4ZsSy9gy51+YxXFBVnAF/DMeUgEGgU6ipAD7&#10;62/64I9dRCslNY5fRt3PI7OCEvVdY3+n/eEwzGu8DEfIKSX23rK/t+hjtQJkp4/LZngUg79XF1Fa&#10;qN5wU5YhKpqY5hg7o/4irny7FLhpXCyX0Qkn1DC/1TvDA3QgLTTptXlj1nSd9DgET3AZVDZ719DW&#10;t6V7efQgy9jtQHDLasc7TndsWLeJYX3u79Hr9r9Y/AYAAP//AwBQSwMEFAAGAAgAAAAhAG7Of4zd&#10;AAAABgEAAA8AAABkcnMvZG93bnJldi54bWxMj8FuwjAQRO+V+g/WVuqlAhtKgKZxUFvgxAlaVT3a&#10;8ZJEjddRbCD8PYZLe1lpNKOZt9mitw07YudrRxJGQwEMqXCmplLC1+d6MAfmgyKjGkco4YweFvn9&#10;XaZS4060xeMulCyWkE+VhCqENuXcFxVa5YeuRYre3nVWhSi7kptOnWK5bfhYiCm3qqa4UKkWPyos&#10;fncHKyHZbn5WZ5ro9+Rp/L3XuFnr5UzKx4f+7RVYwD78heGKH9Ehj0zaHch41kiIj4TbvXqjF5EA&#10;0xJm82cBPM/4f/z8AgAA//8DAFBLAQItABQABgAIAAAAIQC2gziS/gAAAOEBAAATAAAAAAAAAAAA&#10;AAAAAAAAAABbQ29udGVudF9UeXBlc10ueG1sUEsBAi0AFAAGAAgAAAAhADj9If/WAAAAlAEAAAsA&#10;AAAAAAAAAAAAAAAALwEAAF9yZWxzLy5yZWxzUEsBAi0AFAAGAAgAAAAhAJea5JdAAgAAdwQAAA4A&#10;AAAAAAAAAAAAAAAALgIAAGRycy9lMm9Eb2MueG1sUEsBAi0AFAAGAAgAAAAhAG7Of4zdAAAABgEA&#10;AA8AAAAAAAAAAAAAAAAAmgQAAGRycy9kb3ducmV2LnhtbFBLBQYAAAAABAAEAPMAAACkBQAAAAA=&#10;" fillcolor="#fdfce6" stroked="f" strokeweight=".5pt">
                <v:fill opacity="62194f"/>
                <v:textbox>
                  <w:txbxContent>
                    <w:p w14:paraId="602A6511" w14:textId="77777777" w:rsidR="00871503" w:rsidRDefault="00871503" w:rsidP="007A0752">
                      <w:pPr>
                        <w:pStyle w:val="Design-CoverTitle"/>
                        <w:ind w:left="851" w:right="1397"/>
                        <w:rPr>
                          <w:color w:val="auto"/>
                          <w:sz w:val="56"/>
                          <w:szCs w:val="56"/>
                        </w:rPr>
                      </w:pPr>
                    </w:p>
                    <w:p w14:paraId="015A647C" w14:textId="11F1002E" w:rsidR="005D106D" w:rsidRPr="005D106D" w:rsidRDefault="00F74A9B" w:rsidP="007A0752">
                      <w:pPr>
                        <w:pStyle w:val="Design-CoverTitle"/>
                        <w:ind w:left="851" w:right="1397"/>
                        <w:rPr>
                          <w:color w:val="auto"/>
                          <w:sz w:val="56"/>
                          <w:szCs w:val="56"/>
                        </w:rPr>
                      </w:pPr>
                      <w:r w:rsidRPr="00694797">
                        <w:rPr>
                          <w:color w:val="auto"/>
                          <w:sz w:val="56"/>
                          <w:szCs w:val="56"/>
                        </w:rPr>
                        <w:t>Final report</w:t>
                      </w:r>
                      <w:r>
                        <w:rPr>
                          <w:color w:val="auto"/>
                          <w:sz w:val="56"/>
                          <w:szCs w:val="56"/>
                        </w:rPr>
                        <w:t xml:space="preserve"> of the e</w:t>
                      </w:r>
                      <w:r w:rsidR="00BA383D">
                        <w:rPr>
                          <w:color w:val="auto"/>
                          <w:sz w:val="56"/>
                          <w:szCs w:val="56"/>
                        </w:rPr>
                        <w:t>valuation</w:t>
                      </w:r>
                      <w:r w:rsidR="000B270F" w:rsidRPr="008F539A">
                        <w:rPr>
                          <w:color w:val="auto"/>
                          <w:sz w:val="56"/>
                          <w:szCs w:val="56"/>
                        </w:rPr>
                        <w:t xml:space="preserve"> of</w:t>
                      </w:r>
                      <w:r w:rsidR="000B270F" w:rsidRPr="005D106D">
                        <w:rPr>
                          <w:color w:val="auto"/>
                          <w:sz w:val="56"/>
                          <w:szCs w:val="56"/>
                        </w:rPr>
                        <w:t xml:space="preserve"> the Australian Government’s </w:t>
                      </w:r>
                      <w:r w:rsidR="00DB4444" w:rsidRPr="005D106D">
                        <w:rPr>
                          <w:color w:val="auto"/>
                          <w:sz w:val="56"/>
                          <w:szCs w:val="56"/>
                        </w:rPr>
                        <w:t>investment in Aboriginal and Torres Strait Islander primary health care through the</w:t>
                      </w:r>
                      <w:r w:rsidR="005D106D" w:rsidRPr="005D106D">
                        <w:rPr>
                          <w:color w:val="auto"/>
                          <w:sz w:val="56"/>
                          <w:szCs w:val="56"/>
                        </w:rPr>
                        <w:t xml:space="preserve"> </w:t>
                      </w:r>
                      <w:r w:rsidR="00DB4444" w:rsidRPr="005D106D">
                        <w:rPr>
                          <w:color w:val="auto"/>
                          <w:sz w:val="56"/>
                          <w:szCs w:val="56"/>
                        </w:rPr>
                        <w:t>Indigenous Australians’ Hea</w:t>
                      </w:r>
                      <w:r w:rsidR="005D106D" w:rsidRPr="005D106D">
                        <w:rPr>
                          <w:color w:val="auto"/>
                          <w:sz w:val="56"/>
                          <w:szCs w:val="56"/>
                        </w:rPr>
                        <w:t>l</w:t>
                      </w:r>
                      <w:r w:rsidR="00DB4444" w:rsidRPr="005D106D">
                        <w:rPr>
                          <w:color w:val="auto"/>
                          <w:sz w:val="56"/>
                          <w:szCs w:val="56"/>
                        </w:rPr>
                        <w:t xml:space="preserve">th </w:t>
                      </w:r>
                      <w:r w:rsidR="007A0752">
                        <w:rPr>
                          <w:color w:val="auto"/>
                          <w:sz w:val="56"/>
                          <w:szCs w:val="56"/>
                        </w:rPr>
                        <w:t>P</w:t>
                      </w:r>
                      <w:r w:rsidR="00DB4444" w:rsidRPr="005D106D">
                        <w:rPr>
                          <w:color w:val="auto"/>
                          <w:sz w:val="56"/>
                          <w:szCs w:val="56"/>
                        </w:rPr>
                        <w:t>rogramme</w:t>
                      </w:r>
                    </w:p>
                    <w:p w14:paraId="073BAC8A" w14:textId="1FC19A31" w:rsidR="00887331" w:rsidRPr="00C3784A" w:rsidRDefault="007B254E" w:rsidP="007A0752">
                      <w:pPr>
                        <w:pStyle w:val="Design-CoverTitle"/>
                        <w:ind w:left="851" w:right="1397"/>
                        <w:rPr>
                          <w:color w:val="9E6047" w:themeColor="accent3"/>
                          <w:sz w:val="48"/>
                          <w:szCs w:val="48"/>
                        </w:rPr>
                      </w:pPr>
                      <w:r w:rsidRPr="00694797">
                        <w:rPr>
                          <w:color w:val="9E6047" w:themeColor="accent3"/>
                          <w:sz w:val="48"/>
                          <w:szCs w:val="48"/>
                        </w:rPr>
                        <w:t>Final Report</w:t>
                      </w:r>
                    </w:p>
                    <w:p w14:paraId="1756F13E" w14:textId="485D767A" w:rsidR="00887331" w:rsidRPr="00D0658B" w:rsidRDefault="009A18B1" w:rsidP="007A0752">
                      <w:pPr>
                        <w:pStyle w:val="Design-CoverSubtitle0"/>
                        <w:ind w:left="851" w:right="1397"/>
                        <w:rPr>
                          <w:b/>
                          <w:noProof/>
                          <w:color w:val="auto"/>
                          <w:sz w:val="80"/>
                          <w:szCs w:val="96"/>
                        </w:rPr>
                      </w:pPr>
                      <w:r>
                        <w:rPr>
                          <w:noProof/>
                          <w:color w:val="auto"/>
                        </w:rPr>
                        <w:t>28</w:t>
                      </w:r>
                      <w:r w:rsidR="00A1053F">
                        <w:rPr>
                          <w:noProof/>
                          <w:color w:val="auto"/>
                        </w:rPr>
                        <w:t xml:space="preserve"> June 2023</w:t>
                      </w:r>
                    </w:p>
                  </w:txbxContent>
                </v:textbox>
                <w10:wrap type="square" anchorx="page" anchory="margin"/>
              </v:shape>
            </w:pict>
          </mc:Fallback>
        </mc:AlternateContent>
      </w:r>
      <w:r w:rsidR="00B306B0" w:rsidRPr="00884FAA">
        <w:rPr>
          <w:noProof/>
        </w:rPr>
        <w:drawing>
          <wp:anchor distT="0" distB="0" distL="114300" distR="114300" simplePos="0" relativeHeight="251657223" behindDoc="0" locked="0" layoutInCell="1" allowOverlap="1" wp14:anchorId="24828FC1" wp14:editId="1B5E46AF">
            <wp:simplePos x="0" y="0"/>
            <wp:positionH relativeFrom="margin">
              <wp:posOffset>2933205</wp:posOffset>
            </wp:positionH>
            <wp:positionV relativeFrom="paragraph">
              <wp:posOffset>7647709</wp:posOffset>
            </wp:positionV>
            <wp:extent cx="3375222" cy="1676293"/>
            <wp:effectExtent l="0" t="0" r="0" b="0"/>
            <wp:wrapNone/>
            <wp:docPr id="11" name="Picture 11">
              <a:extLst xmlns:a="http://schemas.openxmlformats.org/drawingml/2006/main">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0" y="0"/>
                      <a:ext cx="3387363" cy="1682323"/>
                    </a:xfrm>
                    <a:prstGeom prst="rect">
                      <a:avLst/>
                    </a:prstGeom>
                  </pic:spPr>
                </pic:pic>
              </a:graphicData>
            </a:graphic>
            <wp14:sizeRelH relativeFrom="margin">
              <wp14:pctWidth>0</wp14:pctWidth>
            </wp14:sizeRelH>
            <wp14:sizeRelV relativeFrom="margin">
              <wp14:pctHeight>0</wp14:pctHeight>
            </wp14:sizeRelV>
          </wp:anchor>
        </w:drawing>
      </w:r>
      <w:r w:rsidR="00A71BCD" w:rsidRPr="00884FAA">
        <w:rPr>
          <w:noProof/>
        </w:rPr>
        <mc:AlternateContent>
          <mc:Choice Requires="wps">
            <w:drawing>
              <wp:anchor distT="0" distB="0" distL="114300" distR="114300" simplePos="0" relativeHeight="251657217" behindDoc="1" locked="0" layoutInCell="1" allowOverlap="1" wp14:anchorId="12D77D3F" wp14:editId="189EDA72">
                <wp:simplePos x="0" y="0"/>
                <wp:positionH relativeFrom="page">
                  <wp:posOffset>0</wp:posOffset>
                </wp:positionH>
                <wp:positionV relativeFrom="page">
                  <wp:posOffset>-366395</wp:posOffset>
                </wp:positionV>
                <wp:extent cx="8905875" cy="11057890"/>
                <wp:effectExtent l="0" t="0" r="9525"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05875" cy="11057890"/>
                        </a:xfrm>
                        <a:prstGeom prst="rect">
                          <a:avLst/>
                        </a:prstGeom>
                        <a:blipFill>
                          <a:blip r:embed="rId12">
                            <a:extLst>
                              <a:ext uri="{28A0092B-C50C-407E-A947-70E740481C1C}">
                                <a14:useLocalDpi xmlns:a14="http://schemas.microsoft.com/office/drawing/2010/main" val="0"/>
                              </a:ext>
                            </a:extLst>
                          </a:blip>
                          <a:srcRect/>
                          <a:stretch>
                            <a:fillRect t="3316" b="-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1E4E9C" id="Rectangle 4" o:spid="_x0000_s1026" alt="&quot;&quot;" style="position:absolute;margin-left:0;margin-top:-28.85pt;width:701.25pt;height:870.7pt;z-index:-251659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1B8KugIAAOwFAAAOAAAAZHJzL2Uyb0RvYy54bWysVN1P2zAQf5+0/8Hy&#10;OyQpLR8VKapATEiIIWDi2XVsEsmxvbPbtPvrd7aTtGNok6blwTnf9/18d5dX21aRjQDXGF3S4jin&#10;RGhuqka/lfTby+3ROSXOM10xZbQo6U44erX4/Omys3MxMbVRlQCCTrSbd7aktfd2nmWO16Jl7thY&#10;oVEoDbTM4xXesgpYh95blU3y/DTrDFQWDBfOIfcmCeki+pdScP9VSic8USXF3Hw8IZ6rcGaLSzZ/&#10;A2brhvdpsH/IomWNxqCjqxvmGVlD85urtuFgnJH+mJs2M1I2XMQasJoif1fNc82siLUgOM6OMLn/&#10;55Y/bJ7tIyAMnXVzh2SoYiuhDX/Mj2wjWLsRLLH1hCPz/CKfnZ/NKOEoK4p8doacgGe2t7fg/Bdh&#10;WhKIkgI+R0SJbe6dT6qDSgi3Uo29bZQa6L5gfK6/t0WC8sbwdSu0T70BQjGPjenqxjpKYC7alagw&#10;j7uqSC/vgD9hUrELnAfheR2CS0wi8EO/nJwUp5RgsxxN++pGRaz0MGWlg602oYRUXOBke2Aj5XdK&#10;BD2ln4QkTYVQTiIosefFtQKyYditjHMspEiimlUisWc5fkMiYUqCRQQ9Otxn3/vuHQyav/pOWaZq&#10;ZTAVcWTGxPI/JZaMR4sY2Wg/GreNNvCRA4VV9ZGT/gBSgiagtDLV7hEImDSwzvLbBlvonjn/yAAn&#10;FGcZt47/iodUpiup6SlKagM/PuIHfewklFLS4cSX1H1fMxCUqDuNI3VRTKdhRcTLdHY2wQscSlaH&#10;Er1urw0+U4H7zfJIBn2vBlKCaV9xOS1DVBQxzTF2SbmH4XLt8Y4iXG9cLJeRxrVgmb/Xz5YH5wHV&#10;MCIv21cGtp8jjzP4YIbtwObvxinpBkttlmtvZBNnbY9rjzeulNg4/foLO+vwHrX2S3rxEwAA//8D&#10;AFBLAwQKAAAAAAAAACEAxllkf5g7DgCYOw4AFAAAAGRycy9tZWRpYS9pbWFnZTEucG5niVBORw0K&#10;GgoAAAANSUhEUgAAB9AAAAkgCAYAAADflaY9AAAAAXNSR0IArs4c6QAAAARnQU1BAACxjwv8YQUA&#10;AAAJcEhZcwAAFxEAABcRAcom8z8AAP+lSURBVHhe7P33X5zX1TZ8v3/R+z73dSdx7CfJlVxXYluF&#10;JhC99zJNIFFEF11U9d5AgGjqoF7pvYiu4qrebCd2XCKOd689jIzwlgAxAzOwfvh+xrYEM3OWOcfn&#10;sdda/59X/3kIxswN+A7d108iM9gTeVH+2KwJMIt8jb/ko9+DjwwXhHP4f5eAPxouYpW+BsnaDSjW&#10;eMv3qHr/7E2FGh9kacLhoj8ituElcTycV25fa/WhOIb/bGjAem26fC+q92gumSGeOFqQgn++HBfn&#10;5zPlecsYY4wxxhhjbH4mBEw8wlcvv0Dt0BCODY2g5Hgd1jg7wElY4+K4YJyc7ODm64nY6hNIa+1D&#10;ys0ONgu0rTbWX4JXWDAc7Vcqt+180HHg5LQaoenp4vnakdzUhZL2Hhy7dYvZgKrBQdSMjsrHkuO1&#10;iIqNkeea/TyPFTouHMXvcXBcDZe1TtDEr8fm8lIcbLyJuvFxqVo8Z/nALezq6kNeaxfSGzuReEMc&#10;Q4rjmDHGZkLXu7TmHsQfq0V4ShLWuq2Bg8MqOK2xV35OzYQ+x+zsPoWXrxcy9+1BZV+f/Lw8Jj67&#10;VJ+nzAaJfVk7No5dF84hICJEXPtWKI8FsxDHk704HsNj9Djc3Cyed0xcB2+hYmAA+S3dC3Lt4wCd&#10;md3Eq0fifxZf4ObpMqT7uyrDvPdlCtBX6StkYKoKJW3Nh4aL+F/DacRrN6JY4yXeJ4fnc1Go8Ua6&#10;RofV+mP4wAaPiQ8Ml+GiP4wC8V4suXCCFrJkh/vg9sB1AC+V5y5jjDHGGGOMsfnBq0d48f3XODM2&#10;gvJbg6gaGkJ0eooMxehGoPIGoYU4rP4UwcnJSG3sQEpjl/LGIHtTahNtp3aEpKXC0cH84TlxtF8B&#10;v2gDkq80Ibm5B7ktXTg6MIAq1Y1qZlUoCKoeHsb+a1flee3qsRb2diveO2wijuJnKXyn3+Hl74O4&#10;3CzsOFeP8u4uY3A+NiaPjTJxjGzv7EV2cxdSxbHKwTljzCwaO5HW1i8+V9oRd+Qogtfp4OziIK6B&#10;q9574Z8phNcnb8T+G9flZxl9H1J9rjLbQwvIasU+fR2ii/2tOg7MgY5BukaGR+txqLnpdYhe1j+A&#10;nJZuJKmOaTPiAJ2ZHfAEv/z4NeqPbENGsIcyzHtfFDDmaoLxD33tkgjQ/2i4gP821CNalyYrkLny&#10;/P0UanyRqInF/xpOyW2q2tbWil7vXw1nsUGbhCKNt/L9mUtmiBfOlW3HLz/dByYeK89fxhhjjDHG&#10;GGPvB68e4qefHuDavTGU999C1fCwrB719Pc2BuiKG4OWQhWxrp5rEVNaLm+Mq24Kst+iarx1h47A&#10;xdVpXqHo21Ag4RHoh4TT55DS0odNTV041NcvbwarblIz60DBDwVAZV2dSNu1HV5+XjIgoopx1X6e&#10;DfrZ1as/gfNaJwRrI5C6bYv4vGg0VveNjqJudEQ+92FxfGxp70GGOFYoME+60cHBOWPM/Jq6xTWw&#10;F+nXW7B+xw74URcWh5Xv/f1FdtQQn5O+IQEorqtBtfgcrR4xfq4x2ydDdKpEP38O3oG+sLNAxx6T&#10;1yE6VaK3UCU6dWQxhujZFKKL66LymDYDDtCZ2QFP8cO391C7I0e2jVYFee+rQOOHdI0ef9cfB7U9&#10;VwWStoLajVP1eaiuSLwvY2W96j1bjSiqYjY+vvHPqr+7wGjbUYiu12Xiz5PbVrXNrdXvDVfgrtsr&#10;3keg4Kd8j+aQE+GL7QkafPN0hNu4M8YYY4wxxpgZydbtrx6h98Ed2WK5Uqi7fRup27fKIPZ9q7je&#10;F7Ue918fjZQb7Ujl6vNZSW3uka3bPUOD4GiBBQ+0qMHFzRnRR8qR2ton9ksn9nT3cXhu5UxV59Su&#10;PSxaBwfHyeD8Pc9pGZyv+gRunmuhTYxDbulhHO3qRA1V1YnnqZms0tzf0y9b+28SxwmH5oyxBdPU&#10;hXRxjdp0/jLW5eXAXXxWyU4b7/OZJ36GQnSXtWuQsr0EFX29soJ4+ucss1EyRB9DwbEKuHu7W3Sx&#10;6NRKdArRjWNNbqG0/xaymy1Xic4BOjM7CuZePh7GkZyNyA4zb0VtgcYXKdoY/K/hpM1VGk9FAS8t&#10;APDQH0CeJlguDFC938VAwXhupD9yI/yRM0f0MzJYV/xeS6NjI188eut2y7botjQfn2ah/4/hDBK0&#10;sSiy4Cx0auOeG+GLW60NcqELjVtQncOMMcYYY4wxxuYGeIR7z7+QNxRpNiNVrFIL5lCDBnZ2FpwP&#10;qUCBvfNaR+h27ERaG88+n5XGLqQ1diI0LQ2OjqvM3m5fVrMLUUVFSG3qRrJ4vi0dPdy23YrROUzB&#10;wMGbNxCXlw1Xd5f3Ppfpxr+pGtMnwAfJW4qx7cxpVPb34fidO6geHgLNN68avIUDPf0oaOuRxyO3&#10;aWeMLZqWHmS39yG1ug6a+A1wXmMnPsdWv1eQ7iB+jn5Wn7IRh5puys9WqmBWffYy20L7kcLsgqpK&#10;eFCILq5zqmPAXOg6bGzn3iwXntWI5z/SP4CM5i6LVKJzgM7MDniOJ1/3YXeSAVTxqgry3heFpPHa&#10;JPzNcEaGjqow0hZQeP6x/gRSNetk63bVe10wFJhH+CM7VAgzVsEXGgKxNS4Y+zLCULlNg1OHdLh6&#10;Kho3zkbj+iT652viv50+okdFiQa7UkJRFB0kA3T6XRSo/+a5LIy2ZZrWgJX6Wpubh/4Hw2UE60vE&#10;MW7ZWejZYT6o2pJpPFe5jTtjjDHGGGOMzRsmHuHpv77CyeEhHO0fkDcU6+7cQVH1Max1dzFWqypu&#10;AlqKk+NqeIaFIPly4+RMb/VNQfar9PZ+RB8uk/uLKsVV2/W9OTvAyWEVgjduRMr1NiQ3GeeeVwzc&#10;QvW0G9HMCgwOombUGO7kVxyFX1igrHp738o62epd/Kw3BefbSrD/+jXUjIzIDhU14jODFlFQx4q9&#10;3X3Ia+meDM654pwxtviSxefRpvYB5N4U1669e+Eb5Cc+01a+1/caWkhGn6U0smL76VPyc5BG3Sg/&#10;h5lNkWNOxDWtsKrSWIluwRDdVIkeEWPA0a4uuRiDvksd7O2Xo07MXYnOATozO+AFHnzWhS3rI5Ab&#10;Yd7KagrQY7UpNh2gU/X5R+K1a7TZMvBdrNbteZH+yArxE/xRuC4Iu1NCULE1Chdr16GvPQ6ffbYR&#10;X99PxIOHSXj4OAmPnyXjyTT03+jP7j8giRi5FY8L1etwJD8CxTHByFqEIJ3miBt0GfiT2Na2dIzQ&#10;a6VFFekajWxHr3pv5kAB+rY4DZ49GBDn6hPlOcwYY4wxxhhjbHZo7vn3P97Hlbujr8PzY0NDqBke&#10;xvrsDKxa9YnyBqDFUKWr42pE5m1GWnMPUho7lTcE2a9SW3qQeOEafHRRcLA3/wxPR8eV8I4Ixcb6&#10;i0gW+ySzuQul4ljh1u3WxxQCHLhxA+uz0uEs9p+9w8r3qrg0VpyvhKefJ+LycnCw8aacAUzhvJwF&#10;LPY/LaLY19OP3JZueSxyq3bGmLWRn0l07WrrRf7Fy4jJTMda1zUyxFR99r2LKfz09PNCfkW5nIlu&#10;nIs++f2J2Sx5/Ry/LSvR3b3dxLXTsiE6XV+j01NQ3tvzOkQ/0NuP9Cbj2BPVsfw+OEBnZkcB+pfj&#10;bcY52ZHmDdApcNbpcvAXQwM+tLE51yZUaeyqP4Q8bYhcEKB6n5aUE+6PzGA/5GuDcCg3HGfKdGi9&#10;sh6f3duI598k4+kL4Xkynpg8o/BcePoW4s/o79DfpZ979jJZ/PdkdLfE4sR+raxmp6B+oeal0wzx&#10;PE0QnPWl4hixnTn5poUVBl2mOC4s19I/V5yTeeKx7fwxea6qzmHGGGOMMcYYYzOD8B+h/avbONp/&#10;C5WTNxFrx8ex58pl+AT6WnQepApVeLl6uSHu+Fk501t1M5BN0dgpt5OmeIvFWrev9XRFzNFKpLb0&#10;IrWxA/t47rlVolnnVA1Os1z9Qo1V57L1vmK/vospIKKAaV1aEnZfOC8rLWW15eCg3Pf0PBScb27t&#10;RvJkaM7BOWPMqonrZZq4jhV39mPT4UMIlN05VojPyblfN+kzksZipO3cjmMDA3JhkepzmdkY2c79&#10;tryOevi4W7QDE12fHcT3tuhNKcbZ+tQ5RryG3eI7FnVySb7Rrj6O54gDdGZ2wEt8NtyEjGAPbI4y&#10;b/UxzYeO0OXjTzJstL0Anea2/9VwFnHaRPFevJTv0dyMM82NwTm1aN+ZFIbTh3XobNyAz+4l4sV3&#10;KXj+LYXlSXj0dNKT+aFgnX4nBeq9rbGyIp2em16H6jWaG1Vw0zambW5bVegX4WgoR64myKIhekaQ&#10;B+p25Ylz9RkmXqnPY8YYY4wxxhhj70at28ee3JM3DakFs+kGYu3oKLIPHzRWM5s5kJ2Jo8NKhKSk&#10;IOVGG1K4ffuMKAyIP1kPN19Ps9/opSCV2ulHFRYbFzM0dmFb5+Tccw7QrQaF2lS9dqS1FXG52fKc&#10;fZ/KOVkRJ/Y3jQCIWG9AcV0NKvv7X8/6NbXr39/bj8K2bqTeNG+VHGOMLQRq657XOYDiy1exPpM6&#10;dVA18NwXoNE1lzrmxOVkorynWy5imv75zGyPaSZ6zpFDsovLgoToshLdGKLTIrWdXb3GY9UM11gO&#10;0JnZUYB+b/AmMkM8OUCfgl4vBaTeuj3Il+/HMq3NcyP9X4flchZ5eAAK9IE4lBOBxgsxuDO+EY8e&#10;J+PlP1NktbkqADcXCtLpeb78MhHnq/SyCn0hWrpTFTqF0G76QzY1C53C/r8YzmKjNt6i3QmyQr2w&#10;N209nt7vE+frU+V5zBhjjDHGGGPs7Sg8f/TtlzgxPIjygV9bj1Ir0qPdXYiKjbFo+0oVGdiuscO6&#10;w0eR3tavvBHIfpXa2CV0Ijg5WS48UG3T+XCwX4HAhHgkX2uVc88L2rpllwIZoDOrINsHDw9j66kT&#10;CNKEyxDofW72U3BO57tvSAByDh9AWWeHbAVPv5v2NznU24/8th5ZGZd0o50rzhljNosW/9Bs9GJx&#10;XcsuO4IA8dknPz/n2LWDAlAK0XVJ8SjtaEfNyKisYlZ9XjPbQe3c6fq3ae8uuZ9pH0/f9+YijyFx&#10;7FElenlPD2pHaSTALWzt6Hnd4UV1DM8WB+jMrCbE/0BOvHqM1nNVyAr1VoZ380Hzrf102/FHw0Wb&#10;C9Cp+vx/DKeRrI2RrehV72++KDgv1Adhy4Zg7NgYgv0ZYajbp5VV4DSnnALzZ9/Q7HJ14G0pT18a&#10;W8M3XRTv3RAkX6fq9ZsTLbbYoE2cXGyh3ifWxtTG3V+3w2LHCJFt3IW+xlMAvlOey4wxxhhjjDHG&#10;1Cg8/+6H+zh/e+TXueeTqA3p7ksXZfvm92n/PB+O9ivhq9PIed4011t1I5D9Kq2tH+vLKuHi7iKr&#10;hlXb9H3RzVzPkAAknGpASksvclq6UUZzz6ccK2xxUWV4ZX8f0nZth5unq7Fl+xwrKOnv263+VP58&#10;bG4WDjU1vm7XTlVw5EjfAEraKTjvQJI47sxREccYY4uNWmSnNncjv1N8xl24BH1SgryWymp0xefl&#10;29B3Jfr8DVunw76rl+Vn87FbHKLbOgrQ6VpoDNGNHVpU+98caOEGHXfrM9Pkc9Pz0mNBmzFEVx2/&#10;s8UBOjMrY4D+CE1nyi0SoBdrvOCi34ffG64oA0hrRqG/u/6AbM2db4Hqc6o4P5AdjuaL69HXFofx&#10;4QQ8eGgMzU0zzakiXBVwLwSak07hffOl9cYQ3cKV6FTBnasNlVXof7ChKvQPDJexUl+FLE2kRdu4&#10;pwe44nz5Lvznl6fynFWdz4wxxhhjjDHG3oRXD/HLLw/R+uWbc88Jta2kqpuk4gJZxTrXMG5+qF34&#10;KmiKtyK9fUB5E5BN0dgl29z7GvSyUly9Td8P7XtnFycY9h1Eals/0hs7caC3n8NzKyFbto+P43Bz&#10;E9alJr1uI6zal+9CYYCj02qEx+ix5eTx18E5/f6awVsoGxjAjq4+bGoytmrninPG2FKUfLMTWeJ7&#10;x/aWTqTv2g4PLzcZiKs+N99GLkayWyE7gey7dlXO0abPUtVnOLMd1eI7cc3IMDbt2Sn3M10zp+97&#10;czF2j3FA2o5txuuwuB5Th6jNLd3zGpfCATozK1OA3lJfyQH6FLI1t74e8doEi7TmpjB6y/pg3OqJ&#10;w8t/peDZy8nA/Jmxjboq0F4M9FqevUzBjYYY2c49L9KyITp1LIjS5ojtb1tt3P/b0IBoXbo83lXv&#10;yxyywrxxKCsezx8NylnoqvOZMcYYY4wxxtivJl5RgP4IQ49+O/ecVA0PyzmeAeHBFq20UaEW5B5B&#10;/kg4UY/UFuPsR/Z21OJet3OPnM9pzk4Bso2+2PdhGRnG52rsws6uPlQNGtt4Tz1e2MKrHhpG7dgo&#10;tpyoRWBUOOztVrxX1TmFQ+5ebvJG/dHubhnI0w17qjinRTW7xD7Pau7i4JwxtixQlW9qUze29Q2j&#10;+ORJhGjCjJ+vc7y+0s8ERoZi2+mTciY6h+i2jxaWmkJ057XGanHVvjcH43dvU4h+C7UjIyjtG5i8&#10;Hrcrj92ZcIDOzAoTj/GfXx7gSs0+ZIdxgG5C1edr9UeQqwmR87lV7+195dFc8fAAXDm5Ds+/SbGq&#10;wFyFKtEfP03GqUM6WTWvek/mQm3Q07TrsEJfa1Oz0P8gjm8f3Xbx+n0t0q2AUBv3Qn0wPhtpBvBS&#10;eT4zxhhjjDHGGPsVtW5/8M2XqBsaRMWUuecmVO1SWFUJF9c1k5Uw6ht8ZufsIAP04JQUpLX2KW8A&#10;sl+ltfYi8fxV+ESGw2GOVXIzodbt3uEh2Ch+f3JzD7Z09KLq1iCH51ZAtnQV523Gvt1w93aT1Y6q&#10;ffguVD1H53ZUbDR21J+Vv1NWnYvfT/b39COvpVuG5vOpeGOMMVsjP/dudqKgewjbr15HzKYUuaBs&#10;rh0+aCyGl783SupqUcsh+pIg27kLScWFcBDfVy0eoovvxWk7tsrrMoXoB3v7X3eDUR2778IBOjMr&#10;4Al++veXOLmvANlh5p/hbKsBOrXl1mkzUCSrz80biGaF+OFQbji+/DJRzhpXhdbWhl7nvXuJOJQT&#10;juxQy4XoFD4XavzgodsjQ2nVvrFGHxguwk5fhQyt1iIdC0wygjzQc5PmoD/Hq1fqc5oxxhhjjDHG&#10;mDE8/+7fNPd8FEcV4TmhuZ3r0pKN8z/nWNU6H05r7ODi7ozow6UcoM+oUwbouu27ZMt7c+4nqrSj&#10;xRMxpRVIFvshv61HViNz6/ZFNjiIurFxHGltwfqMNLmv5tohwtRe2I2qznduw9GuLnm+U3ta2r+l&#10;/cY556niGOOqc8bYcpYkZLX3YXd3n6w6dhPfT+ba0t1O/H0Zoh+vlZ+1VMWs/HxnNqN6ZASVfX2I&#10;y82S35MtX4nuKK7X240L3YaHsburT16j53p95gCdmdXrAH0vB+gmfzRcwKeGE0jTGlCkMe82yY0S&#10;j1GBuHI6Gi/+aRvhufQ0Cc+/TUH7jQ0o0AUhN+K3781cqI27VpeNv4h98aHhvHIfWZuP5Ou8iBht&#10;snz9qvdlDlkhXjhzqESes3Tuqs5pxhhjjDHGGFvuqG37z788xM3Px3G0f+CNueevbwwOD+PAjRvw&#10;Cw2CvYN5q5pn4ui4Cl6RYUi51orUpi7lDUBmlNbSi41nL8IzOOC95l6/i6P9SoRlZiGlsRPZrT2y&#10;bSi19J5+rLAFNGicd773yiVEboiWHQfm2lKYKs6pYi5Ur8HWkydkRWT18AhqxO+uuDWAnZ19yBDn&#10;HYVGHJwzxpgxRE9t7saOvmHkH6uEf0gA7Ow+VX7Gvg2F7m+E6FyJbvMoRK/o7ZkM0ed+PZ4LCtFd&#10;3JxRUFmOOrpuDw1ha2cvB+hscXGA/lu/k+24d6JAvH5zt+OmFui7kkNw7+5GOfNcGVZbKWrl/uhJ&#10;Mo7tiEJmsOWq0KmCO1UTg4/1x2Vlt2ofWaM/GC4jQLdNHDOB4n2Yt+2/SU64L/alr8e3z8fEuctz&#10;0BljjDHGGGNsuolXj6Rbj+6ifIDmnqurz4/fvYvM/Xvh5GRn0RuC08mZ28720BQVy5vVqpt/zCi1&#10;sRNpYhtF5RfKVuuq7fm+qIW+d2Q4Np67ik2tfbKVN1eeL66qwSHU3b6DLSePwz8s6L1atptawcbn&#10;5aK0vQ114+OoHjTOOj8wpV07B+eMMfYm42djJ0p6hrDtwgVExhhgv/pT+b1F9XmrYgrRt1CITu3c&#10;uRLd5tECNArRY3MyZSW6RUN08fvdPF1ReKzi9fFT2NYjF3iojlkVDtCZWXGA/iaqJP6T4YJs306v&#10;XfWe3pdp9nntHi2efZNs9bPPVV58l4LOpg0oWheE3HDLhOi0aIGs0lfIVvqq/WSNPhTHjZ2+Gpma&#10;SDkLXfXe5isvUmwbbSAefN7NATpjjDHGGGOMKVDr9q9ffiEDM9Xcc0JBXZX483XpKbBb9YnyJp6l&#10;0I3HtV5uSDh9HqktPcqbf8yIFhgk1l+Cu7+PXOig2p7vQ7bQd3WCYd8BpLXfws6uPq48X2Ry3urI&#10;CHIOH4S7OD/m2j6YAh57+xXwCfbD5oqj8qa7rDwXv5u6UBS39yKtsROJN9qVxxpjjDFjiE5z0Td3&#10;DmB3aztiM9Nl9xfq7KH67FWZWoleQyEoV6LbPLo+V/T2yhCdFjRasp07HT8UostKdPG85bcGkdPc&#10;haRZXr85QGdmxQH6m6jieaW+Bulag9lnWedF0mMg2q9tsLnqcxMK/Z88S0bFlkhZTa96n+ZQqPGB&#10;j24XPjJcENT7ytoY27ifR7w2znIBepQ/ciJ80XvjtDx3qapCdV4zxhhjjDHG2HJE4fnLH77GmdFh&#10;GZqpbgKSutu3sevCOXj6es7pprA50I3HwPg4pFyn9u1cgf4uNB8+Im8znJxWz6kC7p3E76F9EJSU&#10;JIOCks4+eUxUTTtG2MKpGRtDZV8vUreVyJn09mL/KPfdW8iW7fYrZcv3PZcvyRbwtSPD8nfv7elD&#10;trzxzlXnjDE2W/SZmdnejx0dPUgqLoDLWsc5fTZTBxEZop+o4xB9iagdHUNZZwd0iXGwm2Nngrmi&#10;dvHunq4oqj6G4+KafrB3AJsaO2d1HecAnZkVB+hv+oN4nS76AyiYrIJWvaf3lRvhjy0bgvD55xvx&#10;9IVtBujk2ctktF7ZICuhjYsCzK9A4weDLgd/NjRMBtPq/WVN6HVSFXqkLl8eP5vNfPwQU4DecGSr&#10;PH8nJh7/5pxmjDHGGGOMseUIrx7ip58f4Nq9URztV9/8I1W3BlE7No6sg/vkDUAKVFU37yyCnmuN&#10;HdYdPIK01l45e1t1849R9XkPNp65AI8gf7O2b6dKdqpojz1ej/yOfpQPDMhuBKpjhVkeBStlHe1I&#10;yM+dc5UjoXava1wcEJeXLX5Pp7zBXzM0iCN9Ayhq60HqzdndcGeMMfam5BvGa/G27gGk79kFT2/3&#10;OXUHsbdbAZ8gP+w6f06O0zjGIbrNo2v2oeYmRMXGyP1r0RBdHGu+wf5ywetxWvja1SeOy5m/N3OA&#10;zsxqIQJ0Z/1+mwjQqdKZKp5DdUVmb99OKEAvK4zC1/eTbLYCndBr//yzjdiWEIIc8Z5U73W+KECP&#10;1ybivw1n5T5R7S9r9KHhIlz0ZeI9BJp9AYYJnadH81Pwy8/3xfnLATpjjDHGGGOMTbwyzj7vfUBz&#10;zwdQOaC+8UdqhkdkBU1UXMycK13ny9FxFbzDg7Gx/iLSWuhGoPrmH+tAescAIvIL4eSw0oyLHBxk&#10;gB61dTuy2vpwpP8Wt25fRLSQ5Uhbq6xme5+5qnRznbpIZB3Yh+qREdmynX7v7u4+ZDYZq85VxxZj&#10;jLHZkQuQmrpR0jOIvGOV8BafucaFS+rP5ekoZA2OCse+q1def0Yz20ZdYw43NRm/R9tbLkR3Euh7&#10;um9wAHZTiD5+GyUdvTN2lOEAnZmVpQP0Io03fHQ78UfDJauvJP6j4QL+x3Aa8doks7dvJznh/mio&#10;0OPRY9ucf27y+FkSHj5KQtV2jVwUoHqv80UBeqpGj7+K/UFV3ar9ZY3otf6P4SQyNFHyPaje23xl&#10;h/tgV6Ie3393T56/qvOaMcYYY4wxxpYTat3++YvP5Y29t809N6kdG8O+a9fg5rEWjmsWuH273acI&#10;z8vj6vMZpLX0IPH8VXhHhsPBfoVyW74PR4eV8NFGIvniDezvH0I1V8MtDrHdqRrxwI3rkzfgV84p&#10;PKeb9dQeOCAiBNvPnkadOKdrRoZR2t+PwjbjWAQOzxljzDworExu6sLmdvEZe/IkgsRnLwXjs13c&#10;Rp/XwRoK0S/LCmbldYHZFPoufai5EZFUiU5dCSxYiU4hvV+IvwzRq0fHkNva/c5rPAfozKwsH6D7&#10;IEJXgD8ZzttAgH4R/9AfR4ZGY/7wMyoA2aH+aL2yHk9fJuORLQfok3PQb9ZHy0UBeeK9Kd/zPND2&#10;zxQXVlsM0KlqPlaXYpFFGIRauJfEhOPzkWZx/j5VnteMMcYYY4wxtlxQeP7sX1/h1MjQO+eeE5rB&#10;WT00hIy9u2S7aEu2npyOKp/XerggpqwSae23lDf9GOlEemsvdDt2wcnRvK3bndc6Yd2hUuzqH+aZ&#10;54uo7vZtOas8KCrMGJ7P4Tx0XGMvqx8jY6NxqKkRx8fHxHk9hH1Udc6zzhljzCJkiN7YiZzOARTU&#10;NyB4MkSf7ec3heiauBiUdXRwiL5EGEP0JkSuXyf3r2VD9JXwDQnAngvnUDo8ik3UZWbaMWrCAToz&#10;q4UJ0PNtIkD/wHAJdvpy2Xrb7O23owKQGxmAge5YvPg2RRlM25Ln3yZj+Fa8fG+WmINOAXq2JhSf&#10;GGptKkA3HuPnEaYrQaE49lXvbb5yI/1QoAtCz/UT4vx9pjyvGWOMMcYYY2w5oLnnP/x4H1fujuLo&#10;DJXnpGpoCBW9vQjRRc551vJ8OditgK9Bj5QrTUht6lLe9GMdSG3pReLFG/CODDPr7HNH+xUIiI9D&#10;cWsXjg1zgL5Yjt+5I8PzQApf5hqe06KXNfbYkJ2B0o52GZ5XDNxCSTvNOueqc8YYszQK0mkESn7D&#10;OYRH6+AwyzEr9FlPi5/0SQnie1gPt3NfIurGb2PvlcsICA+2eCU6HT9+kyH63lsjxkUdU45NEw7Q&#10;mVmZAvQTuzdbLEDX6HLx59fhojp4XGym+ecB+h0yvDV3gJ4X6Y/i9SEYHojH829sd/65ybOXybgz&#10;vhG7ksNkFbrqPc9HvtgHeZpguOsP2ViATp0MLsFFd8j8XQwm5UX6yRD9at0BDtAZY4wxxhhjy5Zx&#10;7vlDdH19R1aeVypu7E1XMzKCnQ31WOvusrABurNx9nbE5nykd3D1+bukNvfIKnF5E9ZMN2Jp9ryL&#10;pxvS606hcmSM554vAur+QNVqO8T5J2+0O6yaU3hOf9/ZxQkp20pQdWsAdaNjONjbj9wWYytXrjpn&#10;jLGFQZ+3Ge39KL7RjMgN0XLUymw+z2UHEcfViMvNEteFAfmdTHW9YLaFuspQe3X/0CDjwjjFvjcL&#10;cYzR76cQfef5cyjpHZJV6NOv/xygM7OamHiM//zyAFdrDiAr1FsZ2M0HtbHeoE3F3wxnrToIpXD/&#10;T+JRq8uzSPBJs8K3J4RgdCgez5ZAgP70RTI++ywRh/MikBNmuQDdTX/YpgJ08oHhMlboq5CtibBY&#10;iJ4V4oVT+4sAvMCrV+pzmzHGGGOMMcaWMmrdfuf5Z/LmXcW0m3lKFOCNjiKxKF9Wsc4lvJsvqpx1&#10;8/VCfN0ZGRBPvdHHfkWV+cnX2+C/Tgcnsc1U23KuZNWb02pEZWWi9NYQaoaG1McHs5zJmeclJ+rg&#10;6edprFJT7Ku3oaozNy835Bw+iJrhIVSPjGBHRy/Smzq56pwxxhZBsvjsTadK9GuNMkR3nGVHEQrR&#10;aQFj2o6tcqQOdQZSXjeYTaEQfdeFc/ALDYTDHK/xc0Uz0f1D/LGloQF5XbfkaIGpxyYH6MysJsT/&#10;cE68eoTWhmMWC9DjtUn4m+GM1QfofzY0IFabbJHQMzvMHwezw3H3zkYZPqtCaVvy5HkyvvwqEZVb&#10;o+R7U73n+bDlAF3O0jecQLJ2g8XauGcEeeDY1kxx/j7DK3H+qs5txhhjjDHGGFuqKDx/9O1XODEy&#10;hPJZtG4ndJO2sr8fIQYt7Cx8c286CoP9o9cZW7dPu9HHfpXa0oMNlTVwcXeRixxU23Ku6Ea9u583&#10;tl+9ztVui4Aqzyk830Lhue/cw3OqPKefK64+hrrREVQMDqGwrRspVHXO4TljjC2a5BvtSG/tRc6V&#10;mwhfHw0nh1mG6OK67OK2BtmH9huvy+I6obp+MBtC13oK0c9TJXqguHZbOkRfiYDQAOSdOouMtr43&#10;vltzgM7MyhSgN50pt1CA7odUbTT+13BCBouqwNEaGAP0eiRp1lssQD+SF4F7d5dGgP74WRIePk7C&#10;mVIdskLMv71sOUD/UBxLfxGPOl0WijVeyvc3X1SBfjArAd89H5djGFTnNmOMMcYYY4wtRRSe/+vf&#10;93Hp9ijK+mcXnpOasTFsPXkc7t7usoWo6oacJdDNZCdne+i27zRWn3OA/hadYvt0IyQ1BU5OYv+Y&#10;qUMAVS/HFeXLBRRVQ3yTfqHVjf0antO+UO2jt6EqM2r3vuPsGRwX5+/B/lvIau7ilu2MMWYl6LM4&#10;rbUXWZdvIIwq0Wf5OW9cHOWBbadPyeBVdf1gNkaG6Hew68J52Wad9rFq35uLg+Mq+Ab5If5wGdJa&#10;eo2LVMXxyAE6MysZoE88QcelGosF6Js0Ovxdf9yqA3QKaf9sOCtea7ismle9l/mgAP1wLgfos/Xr&#10;DHTbC9BpDvofDFfgp9uCEo2n8v3NF52re1Ki8eiLHgBPlec2Y4wxxhhjjC01ePUI/xGPHV/dQfnA&#10;rVnNPTc5ce8eUndsM7aWNFM4OxtUSU3t2xPOXJAB8fSbz8yIFhfEn6yHm7/PrG/Az4Sq3Dz9vLDv&#10;2lXZvl91XDDLqbtzB1tOnphzeE6LTqi6zD8sCPsuX0Ld+G3s6u5HemOnnHeqOn4YY4wtHgrRMy7f&#10;RNA6PRzsPlV+tk9nZ7dCVivvv3ZNXKPHlNcRZnuO376DbWdOwcPHw/IhusNKuHq6Yd3eA0ht7EJq&#10;UzcH6Mz8aI7y7f5ryAzxxOYo87bjztf4I1cTjI/1tfij4ZIycLQGFNJ+rD+OTBmgW6YCnQP02aMA&#10;nY4bF32pzQXo5PeGK3DX7UGhOP7pHFC9x/nICffFtrgo3Lt1Q5y/z5XnNWOMMcYYY4wtJRMCBeij&#10;T4xzzysH1DfuVKj6uKKvF5qEWNitnt2NXXOh+echSYlIudH2ujqG/VZ6xy1EFZfAyckOa8zUvp32&#10;ddKWIlQPD6FqkOesLiQKvfdevgTfYH8Zkqj2jxKF5w4rERQVhn1XLqF6dBwlHb3iGOnkqnPGGLNi&#10;ae39SD57Hj6hQXImuvIzfhp7cX0Ij9ajtL1NdgpSXU+YjRm8hdqxURTVVC1I1yf6nu2y1kl+h6Tv&#10;2RygM7MDXuLzkWZkBntYJEAndvpyq69Ad9aXIUcTwgH6LFg6QKd9kK0Jxd8NJ2wyQP/AcAlOulLx&#10;HizT0YAC9JL14RjrviwXwKjOa8YYY4wxxhhbSuTc8+++xIlhmnuuuGH3DtQedEfDWXj4uMuqZNUN&#10;OMtwkNXU6w4cke0lVTecmXH2eeL5q/DRRM76pvtM6IatT5CfDHFpBrfquGAWMDkHdY/Y7oERIXOu&#10;PKdqssgN63CkuRHlw6PIa+3mlu2MMWYj6LtO0okz8AkLnl03Gfm5vwobcjJQ2d+PapqJrrq2MJtS&#10;Jb4L1IrvXkXVVXD3crN4JTqF6GtcnRCcnMQBOjM/CtC/GGtBXpSfYJkA3U+/Gx8ZLsj21qrAcbFR&#10;SEvVzhygz86TZ0m4/yAJtXs0yAq1TICeqYnAXw2nbbMCXX8RzjE1yDWsQ0GUj/I9zkdepL/gh87L&#10;teL8/UZ5XjPGGGOMMcbYUkHh+T9/vI+Ld0ZxdA5zz6XJQC/z4H7Yz7KtqLlQNbVnoB8STp9HWmuf&#10;8mYz60B6+wDWHTwCZ2cH2fJetS3nivb1xoI81FJFmzgGlMcGMzva3nsuX0RgZKhswz7bcQmmtu1R&#10;G6JxpLUFpcNjxnnn4vjg8JwxxmxFp2znHl93Cu5+3nB0mHlRnKO47tO1f9OeXagZGZFdg1TXF2Zb&#10;aD/KEF1Wols+RKdjyGmNHQfozPyogvXBZ12yojU3wtxhqDFAj9AX4f81nMdHgipwXGwLUYF+JG/p&#10;BOj0Hj7/PBFlhZHIEe9N9Z7ng/ZBsiYa/204Y5MB+n9FnsP64ksoy0sV28dL+R7ngwL03AhfdFyq&#10;4QCdMcYYY4wxtqRNvHqEn395iJYvb8vwfC5zzwlVM5V1diAqLsYY6CluulkKzQENTknh9u3vQtvl&#10;WiuCk1PE9ppDq+93sHdcDQ9fT2yvP4vaMa4+XygUnh9paUawJnxO59qv4fk6lLa1Yt+tEaQ3GsNz&#10;5THDGGPMejV2Iq25B9GHS+EmrsWyOljx2T8VdY1x9Vgrw1a58E1xjWE2iBaxiu9hRTXVC1KJTov2&#10;OEBnZkczlJ983Y/dKetka2hVYDcfFIZGazfhT4YGqw3Qqb28t24P8jRBMvBXvY/5yAn3x/7McNwZ&#10;T8Czl7YfoNN7uHt7I/akhSNXvDfVe54POmY2aFPwF0O91R4zb/M7TQP+seES2vrGcaG0EJsC3ZXv&#10;cV6iApAZ4omms0fF+fvtb85pxhhjjDHGGFsKJl4ZDT++h4qBW6i8Ncfqc4EC1H3XrsLDe2Hbt1Mo&#10;uGaNHfR7D8j53sqbzAxpbX2IO9kAN28PWTmk2pZzIduA26+EITVJVrKpjglmfjWjo7JyXJcYJ4MQ&#10;efwr9s90cn85rEJUbDQOi5/f1T8sjwtq2z79WGGMMWYjGrvE9b0fht174Uyf9bP4/mXvsBI+wX6y&#10;iwmPXllCKER/XYlu+ZnoHKAzswOe4ZsnIyjNTUR2mLc6sJsHCkM3amLxJ8M5qw7Qg3VbxOsNtEiA&#10;nhvpj23xIRgdjMezb5ZAgC7ew+hQPAoNQciLVL/n+aBjRqPLt+pjRuVD/Tn8LrIeOUc6xHn1L5wv&#10;34H0ADfle5yvdH9XXKndL57nO+V5zRhjjDHGGGO2jlq3P/z2S9QMDaJ8YO7hOc1gpAr0zeVlxht2&#10;swz1zIFmf3qGBCD+VANSuX27WmOnrMzXbN0GJyfz3FClRRJr3V1QUlcjQ13VccHMixYqVPT0IDo9&#10;BXZ2n86pDb+p8vxgcwu29Q0Z551zeM4YYzYvtakbqc09iCoowJrJNu2q68Br4juanbgmRKxfhyPt&#10;bXwNX0LkTHRZiW4M0S1Zic4BOjM74Cl++PYeanbkICvE/O2mCzW+SNdE4a+GM6A56KrgcbFRgO6n&#10;22mxCnQK0ItjgjE8sEQC9JfJ6G6JRW6EP/Ki1O95Pgo1PvDS7RHHy0VBvc+s0e+iGuCZfhX3H34h&#10;g+1rxw8hO9RbbCPzH1McoDPGGGOMMcaWMjn3/N/3cf72e8w9n0TzFyv6+qBLjIejmQLa2XK0+xSB&#10;iYlIa+mRQbHq5vJyRzfXk682wycqwmwBOi2UCNFHyf3Oc1Qtjxao0I3xhPw82aZ3ruF5UHgwdly6&#10;iOLuQTnrnOedM8bY0pHa3C0e2xGSmgInCk1nWMhIXUns7FbIa0q1uIYT1bWH2R7TTPTC6mPw9PWU&#10;3WdUx8B8cYDOzA54gl9+/BpnD29FRrCHMqybD6omztaEwklfYbXzrOl1uehLLTYDnULm3IgADPbE&#10;4sW3th2gP35Kj8loqNQjJ8JfthNXvef3ZVzAEIiV4nj5wHBZub+s0Ye6c/hr9Hmcbx4W59Rj4Rvc&#10;OC2OqTAO0BljjDHGGGNsLqhtO809b/58HEcH5j733KR6eARH2lrhHei7sO3b19jDxXUN9Dv3yBam&#10;qpvKzHhjfcOxOji7Os8peH0buvFObWJzjxx6HeyqjgtmHrR9a0ZHkLFvz3uE5ytkeL71/AVs7rrF&#10;884ZY2yJSm3pQdLFG/BfZ4Cj/UrlNWEqupbQSJecIweNrdz5Wr5kVA0Oyc4COxrOwj8sSC6kUx0D&#10;88EBOjO7iVePMDHxAjdPl2KTBdpNUyCapwmGj26vrPRWhY+LzdIBOskO80fL5Rg8fZEyGULbpifP&#10;k3H/YRIO5oQbA3TFe52PAo0vUrXR+NhwHB9Y6fGi8gdtAzxTr+L5y68mA/QX6L52HAXaQORGmv+Y&#10;4gCdMcYYY4wxthRReE7V50OTc88r3qN1uzQ4KAP0gmMVcF7rZJaAdrYcHVfBPcgfifWXkdJE1Vfq&#10;m8rLW6e8qR6aljqr2aizQYskvAN8cLDxJrd+tbhB1N2+jc0VZXKxyFwWqNANc//QAJScv4jNnYM8&#10;75wxxpa4tNZexJ+sh2dwgPyOpLo2TEWLsjx8PLCj/gxqx8YU1yBmy+pu38Gu8+fgHxZo9hCdA3Rm&#10;ERTC9d48hcwgDwtUy/qjQIjU5uEDwyVl+LjYKEBfa+EAPSfcHxeqDaDqbVsO0J8+T8bIrXgUxwTJ&#10;Fu6q9zofRRpvaHQ5+LPYL7Y0//wDXQNWbLiILx9+PhmgP8dIxwWURIeJ7eSrfK/zwQE6Y4wxxhhj&#10;bCmi8Pzrb75A9SDNPVffeJsNWR07MoIN2Rky3KPqZNWNNrOjKmjH1QhKSJABMbdvV6PZ58mXb8Iz&#10;LFjOi1duyzmSbV8L8lBF+5/bvloUtWHdevrknNuwUot9b18PZNfUIIcqzzk8Z4yxpU98F0pr60NM&#10;aTlcPV1nNbaFgtUQXRSOtLbworgliLoL7L16BVFxMbCzX2G2ha4coDOLoHbTQx3nkW+halkKRWO0&#10;ifijFQfodvoqZGlCLRqg1+zS4sHDJDx5pg6nrd7TJDz/JhnnqvTiODG2ple91/dF3QoKxfZ31+3F&#10;7w1XlPvKWn2oa5Bt3Me/vPc6QB9qO4fidaEcoDPGGGOMMcbYLFB4/s0PX+Ps2PB7zz03oQC1vKcb&#10;gVFhFmkR+TZ0A5Aq3g1790/O/lTcSGaytb1+9z44u64xy01TuUBCKDlxHMdv31EeE8w8qBpw//Vr&#10;CIwIkYsWVPtDhcJzDy9XZJZXIKutj+edM8bYctLUhbSWXmiKSrBGtml/97VfzkNf/SliczJQPTws&#10;qa5JzEYNDqJu/DYONTVClxgvF+OZY9wSB+jMIqjd9BejzdiRoEVOuI8ysJsPCtCTtdH4h+G0Vc5B&#10;p9f0F8MZZGjCZQtx1XuYL6rW3pUShq++SpRt0JUBtZWj4P/rB0k4kBWGrFDzV58XanyQodXBTn/M&#10;arsVvM2H+nP4o64BN7pHJwP0FxhsbeAAnTHGGGOMMcZmAcLPPz/Azc/GcLRfcaNtjmpHx7DlRB3c&#10;vd0XeP65HdaK59x47ioH6O+Q3taL4JQUOFAAa4buABTkhkXrUdreJuefq44JNn/U1aGitweahFgZ&#10;bKj2hQqdg65uTti4ezcyqTNDU5fyuGCMMbZ0pdJYm+stCN6YYGzlPsP133EyaM8+uF8u3uLuMkuP&#10;6XtFXG6W/A493+/sHKAziwCe4fmDWziUFY+sUC9lYDcfFEpnaSLhbDhqlcEotQr/s+EskjXrLFaB&#10;nhvpj6J1QRgdSsDTF7YZoL/8Zwpuno/G5qgA5EWq3+d8FGu8odNuEvvjgk21byemAP3sjSFxPj0S&#10;nmOs5zJKYsI5QGeMMcYYY4yxd5gQqPp84OFdlPcPoHIerdtNjt+5g5RtJXKOpjkC2tmitqQB62OQ&#10;fK2FA/S3SGvpwcbT5+AVFjSn9t9vQ1Vq9HtSt29F3di4rGpSHRNsfii4oBvd8fm5sLeffeU5BSBr&#10;nOwQXVgwGZ7zecEYY8tVaksvNp69IL4DBBu/oymuG1PJ7iU+Hth+9gy3cl+iqLtAZV8v0nftgLOL&#10;+E43ixb/b8MBOrOIiYnH+M8vj1C7Mw+bAt2Vgd18UGtumoPup9tula25jQF6PeI1CRYL0GXgrA1A&#10;86X1xgp0G5uDTqH/l18m4vDmCGQFm7/63Ljdg+Gpp/btl5X7yZqZAvT6m6YA/Ske3OvCjo16ZId5&#10;/+b9zhcH6IwxxhhjjLGlgv4f6quXnxvnnpuh+lxWKA30Q5sYP6cq2Xlzpvnnq6DfvRdpMjzn+ecq&#10;6R23oN97AGvW2JllcQOF517+3thRf1ZWqKmOCTZP4tysHR1F5v69shpQhuKKfTGdbK3vtBqRm9KR&#10;eqOdF5UwxhhDWmsf1pdVTs5Dn7ni2N5uBUL0USjr6JALuZTXKWbTqodH5AKJvKOlcsGEvcNK43cI&#10;xfHwLhygM4uhOegNR3dgU5C7MrCbrxKNJ6K0WXIO+keKAHIxUYD+J/Go0+VYLkCPojbuAajbq8Gz&#10;F8l4bEsBunitL75LQdPFGOSEm3/2OSnS+Mg2//9rOIMPbaz6nHykP4cPtA3Yf6LXWD2Bp3jyZR92&#10;Ja3jAJ0xxhhjjDHG3oIqz19+/zXqzTD33ITat++5dBG+IQFmqXCeLQoWXT1cEXf8rLw5rLppvNxR&#10;+9bkq80IpPatc6hifhc7u0/l/Ey+qW45tDBh66kT8PB2n9M5Rfs4KGYdUi7flFWHqmOCMcbYMtPY&#10;JRcaarZsxRpnatP+7hDd1GkmLi9bLpLkVu5LE1Wi142PY+vpkwiMCpXjeWaalT8dB+jMYoCXaDlX&#10;gbxIP0kV2s0HzUHfqI3HPwyn8EfDRWUIuViM7cIvIFC/YzJAN3+FNckO9cfeTaG4/3UiHj9TBNVW&#10;6tnLZNy7sxH7MsKRHWaJbWPsUBCqK7K52ecmpgB9S0U3Jn6h8+kZvhxtxfZ4LXLCfRTveR6iApAZ&#10;7ImbZ8rE83yrPJ8ZY4wxxhhjzNph4iF+Ef//dPPzcZSZKTwnx+/cRV55mZyj+D7VK++Lbu76rzMg&#10;6eINpDb3qG8aL3NpbX2IP9UANx9PODnN7aaoClVCO691ej0fVXU8sPmh7XqwsRHBmnDY269U7gcV&#10;B/sV8AoNRlLDFaS1cnjOGGPsV7IjyY02hKSkwJGuLTN8X6PvdHS9zy09hLpxut7zuJalqGpwEDXi&#10;e8eBG9ehTYiT360dZ1hgMRUH6MxiaGbz7b4r2LI+wvyBn5Cv8UOO+LLtoC/DH6ywRTeF+o760snX&#10;apkAPTfCOAe9/Xosnn1jG3PQHz9Pli3nT5fqLBSeG9u3Z2g0+NRQhw8NF5T7x9qZAvStlaYA/QUG&#10;WxpQbAgx+wz0vEh/+Ts7LteK5/lGeT4zxhhjjDHGmDWbeEUB+iPcengP5QPmC8+pKolawdOc5tWr&#10;PlbeXLMUB7sV0GzZLkNibt+ultbSC8OBw3B0NE9nAJqN6hPkj9L2Nq5IswBqp1rR1wdDSqJsoava&#10;Byq0f918PBB7rJa7MTDGGFOiziSJ56/BJzLCGKIrridT0SIunyA/7L1yCbVj48rrFlsa6PtHeXc3&#10;EsT3eee1xu97qmNiOg7QmcVQy+mXT4exJyUaWaFeyuBuvqgK3VO32yoDdKp8/oe+DpmaSIu1cSdZ&#10;of44fUSHl/9MUQbWVuUpVZ+noOXyeuRrA41z3BXvaX78UajxRZiuEB8aLk52A1DvI2v22wr0Fxhq&#10;O4fidaGWC9Av1XCAzhhjjDHGGLNJFJ5/9fIL1AwOomJAffPsfdANt0NNTcZq2QVu377W3QUxZceQ&#10;3j6gvFG83FH79pRrrQhOTIST0+xuhL4LdRdwFL8nZlMqqqmlqziWVMcEez9yMcrwMFJ3bJXbebbd&#10;HGierYurE/S79xorzxt5MQljjDGVdqSJ70wbKmvh6u0+q+8GFKJrN8bJcLWaR7csaTSah77f5Rw+&#10;YJyLLvb9TN9FOEBnFjPx6hEmJh6jLD8FWSGWC9B1umz8xXDO6uZcU+Xz/xhOI16bKANd1es3B9nG&#10;PT0Mt8cSrL4K/fm3KbjVHY/tCSHIsVj1ua+x+lxfa3Wt/efCFKDvqu6ZnIH+AsPt5y0SoOeE+6I4&#10;JgyjnZfk86jOZ8YYY4wxxhizVhSef/ODce55uRlbtxOanbjjXANc1jrByXn+LcJni2Y9+2ijkHj+&#10;KrdvfwvaLhvPX4Obn/eM805nwzQXc8vJEzz/3AKodfuWE8flwhAHp9ntL9onTo6rEZGbh7SWHqQ2&#10;dSmPBcYYY0xq7JTXC03JFqyh6/rktf1t6DpDi7rStm+V135ePLe00UI+Why77fQpBEWFy24475qL&#10;zgE6sxgK0KkK/cyhEhnQbY4yf2BKld3pWj3+bjiBD6xwDjpVQAfqSlCkscwCApIXFSBboV8/G40X&#10;31lpFfrTJDz/JhnjwwnYnxkuQ3/VezGHIo2PnH3+kdj21raoYi4+1J/DH3UNOHtzSJxHdC69QH/T&#10;GRTqgy0SoG+Ni8LdgRvieZ4rz2fGGGOMMcYYs0Z49Qg///IQN+6N4aiZw3O6iUqVKpv27JQzE9e4&#10;LNz8c0e7TxGamYX0zkH1DWIm552uO3BYbq933fycLZqH6h8ahCNtragZGVUeE+z9GDs5NCIwInTO&#10;c88DYjcg5Xqbcb6t4jhgjDHGppLXC+pQszEBTrPoHkTtvN08XbGj4axcOKm6jrGlQ85FF99L6Pse&#10;jZSh739va+nOATqzGGOA/gRdV49jM7XrtkCAbpwt7g9H/VGrrDb+veEKnPSHxWsMttgcdJIV5oeD&#10;OeH4/PNEPHtpXVXojyk8/zYZ4yMJOJAVjqwQS4bn3kjRRONjuaDiknKf2ApTgF7/OkD/Bk315TI8&#10;N/e5lB3mjd3J0Xj4ebd4nmfK85kxxhhjjDHGrA3dd3j16iH6HtyV4XmlGVu3E2o5XdHbA11i7Kxn&#10;JZoDhcEubs4w7N0/Of9cfYN4WWvslDfIgxM3yhbfqu04V3Z2nyJ5S5HY74OS6phgc2dsh38L6zPT&#10;4UDh+Sxbtzs6rIJnSAA2nr0oqwmVxwFjjDGmQCM/6PrhHR4iriczL9yihZIheg0Ot7bwIrplomZ0&#10;DMcGBpC6fStcPdYqF/hxgM4siirQnz24haJ1ocgxc9WsCVWhR+k2y9DR2uZdU6j/ieEEkrWxMtxV&#10;vX5zyYkIwJWT0Xj6PFmG1qowe6E9eU4zz5NxqzsOBzItG57TcZCvCYSPbjc+sMKZ+HNlCtAvtY68&#10;DtCvnzgsw25zB+iZwZ44nLMR3397F5h4ojyXGWOMMcYYY8yayFFXrx7hs+efy3CuUnFjbL5oFmZp&#10;Rwd8An1ldcr0m2qWQsGhR7A/Np69wFW3b0GtvJMvN8IzNBiOjvOfTU+LFta6rcH2s2dQd/u28nhg&#10;c0dVXrWjY8g5fBDOLjRjfpat28XfW+u+FtFHypHW2sdzzxljjM1NI4XofYgpq4Crl5v4rvDuhZA0&#10;C5tC9LjcLFSJ6xe1+lZd19jSQvu5emQYJbW1sguRg8PKN7oacYDOLIoq0P/9r8+xN229sY27Iryb&#10;LwpOkzXr8RfDWTl3XBVGLqYPDFcQqtuMYosH6P7YEhuMkVsJsl26KtBeME+T5Dz2J8+T0XJpPbbF&#10;hyAr1E/5us3DX7Zu12s34SNxDFjbQor38aGuAR8II5/fE+fRY+E7nCvfiU0B7or3Pz8ZQR44tjUT&#10;mHiOV1TBoTiXGWOMMcYYY8ya0NzzF99/hTOjQ2Zv3W5CN9WK62rh4rrGLC3CZ4sCdP/1McaqWw4O&#10;ldJaehFzuBRrPdaapQLdzm4FwqP1KJXt23n+ubnUjo1j98UL8PLzhr04rlXbfjo615wc7RBZWIx0&#10;sZ957jljjLH3Iueh9yKqqBhrnMW1RVBdd0xokZeLeCyoqsBxXky3bFDHqdqxMRxsbIQ+eaP8HmIc&#10;3cQBOrMwCtB//vErnNxXgJxwH2V4N18UoOdoQuGgr7TKAP0PhstYqz8sXmOYeK2WWUQgyVnofjha&#10;HIn79xPx9MXihOhUdf7iu2TcHtuI00f0yNcGIifMcpXnpFBs1wyNBiv1NVbZyv99UPX532Iu4POH&#10;n8vz6D+/PMPJ/UVID3RTboP3RdXs2aHeOHt4q3ieF7L9oepcZowxxhhjjDFrAfH/LT//8gDXPzP/&#10;3PPXaP758DA2Fm42BnqzbDs9X/J5hKjCIqRy2+q3Sm8fkDPiqfrcHPtm9epPkby1xFh9Lva98phg&#10;c1I9NIyyzk5EbFg3+7nnYl9Sq93AhHikXG/lDgyMMcbmRV5HxPWE5qHPqpW7uF75hwfhwM0bqB3l&#10;Vu7LhpyLPoaKvj5k7NsNNy832Nut4ACdWRbNI5uYeIqBprPIDPFSBnjzRbPFC4QwbaFVzr2maug/&#10;i8c4bbyskla9B3PJi/RHbkQAzpTq8OhJMp4u4Dz0x8+S8OLbFDx4mITGc9HYnRyK7DB/8ZrUr9Vc&#10;aP9T63Yv3d4lE56TP2gb4JN+FY+ffgGaS/7d8zGUbU5GVoincju8LwrQyc1TR8TzPFeex4wxxhhj&#10;jDFmLUyt2wce3kXFwC2zzz03odbTdDMtLFpvrEJZqACdqp/c1yKu7jSHh29DFcnXmuFrEPvGboVy&#10;O84FVZy5e7thy4la1I6PK48HNndUzZW2czscHFfPepEDLYig8QUJZ87LqkHl/meMMcbmgBYkJpw+&#10;D8/gANnlR3X9mcrefgWiN6XiWH8/qoeGlNc4tjTR/qbvgtvPnEZQVBgH6MzygJd4/GUvCvXByI20&#10;TBvvQo0PErXr8VdDvVW27/6D4RICdNuRL15rvsaSrcwDkBtBgWgA6vZq8cXniXj+bTKePFOH3vNF&#10;oTm1aac55w8fJaH92gaUF0fKEJ/Cc9XrMy9q3e6NCG0ePjRcXBKt201+p6mHrqgR33zzlawMf/RF&#10;D/alxchqcfW2eD+5Eb4oMoRgqO2ceJ6nynOYMcYYY4wxxqwFtW7/6uUXqB68hfIBC1WfC1R9vu/q&#10;ZXj5z771tDlQgO4dEYbk623cuvotaKbphspauPt6iu317pmms2G3+lOERetQ3tPNN8rNhMLzHQ1n&#10;4SH2kcMsW+w7rbGDs6sTog+VIa2tT7nvGWOMsTmjVu6tvYg+XAYXN5cZR7/IzkNCzuGDxip07kyz&#10;zAyibnxcdiHgAJ1ZHFXPfvt8FGV5ycgOs8wccAql8zShcNMfki3TVYHkYqJg92+GM0jRrJPtxlXv&#10;wZxyI/1lgH0wOxydjRvw6HEynn2bbJa27hSaU2BumrP+5ZcbcfN8DA5vjkChPhBZIVR1vhDheQCK&#10;NV6I1Sbhvw31+KMVtu+fj/8TWY+C8i78/COdQ99gvO8qitaFIDfCvAswaLTC1tgoPL0/IJ7nifIc&#10;ZowxxhhjjDFrQOH5Nz98jbNjw5Zr3T6JAkC6cUrzzx3XLNz8c7qpG56RgZSb7Uhp5ABdJb3jFrTb&#10;d8HJDJ0BqDKaKtATiwuM7dsVxwKbG5ohT4sRqHU7zZZXbXcVR8fVCMvKMi4c4dn/jDHGzCi1qVt2&#10;NonML4QTdUaZ4bsddU/xCfLD3iuXUSO+E6qud2xpqxkd5QCdWR4mHovHx7hWdwCbAt2VId78USWy&#10;D8J1efjASgN0qpD20++UM9vp9arfh/lQFTqF6AX6QNTt02GgOw5ffZWIF9+lyKp0CtMfP1WH5FNR&#10;YE5/l37mm3+liJ9Jxr07CejrjMXZcj12JoW8fi6qfle9FkugyvNUbTRWGmqtsnX/fP3/ws6i7tog&#10;gMfCt+i9eQqZIZ6y3bpqe7yv7DAf7E1bj59/pEp3OlfV5zFjjDHGGGOMLSbj3POHuGnJuedTHL9z&#10;B3F5OXJ2szlmbM+KeB4K0NcdLDXOP+cQ8beaupB6ow3ByclwsPtUvR3ngEJbN09XbD99Ut4oVR0L&#10;bPZo9EHt2CjSd++UbXJnCihMHOxXwFenQdLF6+LY59btjDHGzI++WyVfaYJ/zDo561x1PZrKTnzP&#10;0CTEoqKvVy4OU1332NLGATpbEBQADnWcR064r9kDQJNCjTdStDH41HDcKmdhU4X03/SnkSxeY4GF&#10;Z6FPRTPIs0P9ZJBeXhKJGw3R6O+Kw52xjTIYp1CcQnUV+rOHj5Nx93Yi+jvj0HwpWs5X37cp7I3Q&#10;3NJzzqejlv2ZWg0cDUdle3zV9rZlH+rFo+YcWgfGxLnzFBOvnuLa8UPYFOim3B7zQRXodTvz8J+f&#10;708udlGfw4wxxhhjjDG2mGju+ciTz1AxMGCxuecm1MabbpZGbIjG6tXzD2lni8JGNx9PxJ+5IFuN&#10;qm7+LncUrm48ewHe4SEy/FZtx7mgCrNgXSQq+/uNc+8VxwObPercsPNcg5wpP9v9Q0G7q7c7NlTW&#10;IJ1at/PCEcYYYxZCY2DiTpyBe6DvjNcpWkDpIK5Rm/bslIvs+HvC8sMBOlsQwHM8+boP+9I3IMvM&#10;M5xN8jX+KNT4wUO3x0rbuFOIfgke+n0okK/XsrPQp6OQOyvUX9oSG4L9meGo2RWFs+U6XKxd94ZL&#10;detw7pgeJw9GoXJbJA5mhWNrXIhsz54Z5IeccOOcddXzWJopPF+jL12S4Tmh+eeuyVdx+7N78tz5&#10;/ts7qNqaJfadl3KbvC9azJIT4Yu2c8cwMfEYE68eKc9fxhhjjDHGGFtM1Lr94bdfom54SAboqhtc&#10;5mQMAevhHegjA1bVTVVLoBu5ATHrkHTpBlKbu5U3fpe79PYBrD9WB2dne7O0b6dFC0klhcbZ53xj&#10;fF6qh4dR0dcH7cb4WbdulxXqa+wQVVSC9FYOzxljjFleWls/DHv3w9l0HZp2bZqKvgd6+npi98UL&#10;ci626vrHli4O0NmCMAZzj3FyX6EF27gb23pH69LxF0MDPrTCmdj0mv4sHtdp02XLedV7sLioAORE&#10;+CM71B8ZQX4yFM+NCHgTVa2HBSAj0A+ZweLvhPrJn6GfVf7OBULheZY2Cs4yPL8sW+OrtrOt+/+G&#10;ncXGva348fsHAF7KxSfb4zRi35h30UVepJ8M0R981iWDetW5yxhjjDHGGGOLiSrPv//xAS7fHV2Q&#10;1u2E2rfnHS2TN1UXrH274LD6U0QVb5EzOlNucpD4G42dSGvqhqZkKxzmMFv7bWj/urg6Y9f5c9ya&#10;dZ6oKo+q8zL27p7TeeNovxIBMdFIvt7Ki0YYY4wtDLlYqx1hGRlwclylvD5NReN8ItYbcLSrC9XD&#10;/H1hOeEAnS0Y4Bt0Xq4Bzf/OjbRM9TVVoedqQrBaX2G1c7E/MFwUr68amzQ6GQir3seCijLOS1dR&#10;/v1FQosjlkN4/qHwX+H1KD3XK86Zp8IL3Bu8KVutm3v8AVWf705Zh2+fUav4Z8rzljHGGGOMMcYW&#10;y8Qro677d2R4Xqm4sWV2NMN5dBSJJYVYtfJj5Y1US6DA0WWtE2JKK2SVtfKG7zKX2tQtZ5cGrI82&#10;S/t2Ryc7BOsiUNbZyTfE56lmZBQHbt6ET5A/HGYRRhCa9+/q5Y64mpM8soAxxtiCopEwiReuwY/G&#10;xM4wD122chffO6hjTQ19X+CONcsGB+hswVAY+OR+P3YlGczeinqqQo0vInSF+MhwwWpDVgr3PXV7&#10;xesNQoF4var3wYxoUQSF52nadVijL7PK9vzm9HtNA1bEXkJb77g8Z1798gDX6g4iO8z8ow/oPDxz&#10;qAQ///tL8VxPlOctY4wxxhhjjC0Wat3+xYvPUXXrFiosPPfcpHpkBKXtbYiMi4a9GaqcZ8vRcRW8&#10;QgMRf7JhsgJdfcN3OUtt6UFC/WU5L9tpjZ1yO84FVZRtLNyMYwMDqKIW7orjgc2Mqs+pBX70plS5&#10;TWdVfe4sONlBs2Ub0pp7kMqt2xljjC0k6mrT1ocNlTVyMZejw7sXf1GA7iG+f2w/cxp1t2+L69/C&#10;dEVii4sDdLZgqI07BYJ1O/NAc9DzNOatpjUp0PghXavDx/oTVtnG3eQjw0WE6orkLHQKiVXvZbmj&#10;bUOt7hO08bJq/4MlHp6T/yfiLALybuDbb+/L8+Xf33+O0s1JslpctY3mIyPIA/3NZ8TzvMCrV+rz&#10;ljHGGGOMMcYWA7Vu/+6H+zg3PoLyBWrdTmj++d4rl+ET6CsrlFU3US2B2rcHxMcj9WY7Upq61Dd7&#10;lzO60d3cg+gj5XJ7zbu1Pv38GnuUHD/OM03n6fjduyiurYaL2xoZMCi39zQO9ivgZ9DJjgK8YIQx&#10;xtiiEN8t0lt7oSkukd8JZpqHTovEQvRRONzaLDuvqK6JbGnhAJ0tKGoT3X3tuAzvLNnGPV88Buh2&#10;4I+Gi8qQ0hpQuP9XQz3W6TJlSMwh+puok8BmTSB0ugz8w3DSalvym9OH+nP4Q1Q9thzrFOfKYxmg&#10;P/qiG0XrQs1+vuRG+GLL+gh8faddPM9L5fnKGGOMMcYYY4thYlLbl7dRPrCwFT5UVbT19Ck4zFCJ&#10;ZE4UBjs5rkZUUQnSO26pb/Iud42dsko5PCvLeIN7ngE6Bb1+IQHYf/2aXDShOhbYzGju+ZG2NoSt&#10;08DO7lPltp7O0Wk11nq6YX15FbduZ4wxtqhSm7uRcr0VAbEb4Oiw8p3fL+j7mp3dCsRvzkX18DB3&#10;r1kGOEBnC4raRL98OoLt8RrkhFuudTmFr4naDfib/qxVz8qmgP/vhtPYoEvlEH2SqWV7liYK/rrt&#10;+LOhwaoXQpjTH7QN+Dj2IvqG77wO0JvOlsnw3Nzzz6n6vHpbFr7/7p58HtX5yhhjjDHGGGOLgVq3&#10;33322YK2bifUipqkbCuRVUaqm6eWIGdBe7tjfWk50lr7lDd4lz0ZoHfBV6+Viw1U23EuVq/6BLE5&#10;mfIY4xvg74e2W83ICDbt2ilHEMyqK8Aaezm/PjwnF2ktPdxtgTHG2KKjxVwbz1yER6DfjK3cqTvR&#10;WjdnbDk52cGG56EvaRygswWFicf4zy8PcPpAMXLCfZTBnjlQ62+aL+6p34PfGa4ow0pr8cHrED0N&#10;xRrvydeufl9LHS18KBLvf4M2EQ76ShmcW/MCCHP7fVQ9IgpuGM8ViHNFPJblpyA71Lzzz/OEjGAP&#10;3Dx9RDzPN3K8wvRzlTHGGGOMMcYWA4Xn3/5wH2dHh3F0AVu3E6omOtrVhcjY6Fm3ojYHB/uV8AoP&#10;RdKlG0jlQFEptalbbJ+bcAvwkwGsajvOFgW9FPjmHDmEE3fvKo8FNjMKz/devQwvP69Zjzug7e4d&#10;EYbE81eQ2tyj3NeMMcbYgqIxMS29MOw7BBfXNXBa8+5rGnUpCtKE4XALtXIfUV4j2dLAATpbcNTG&#10;faznMrLDfcxeVTsVVTGv1ybhvw0NVj0LnVBQ/L+G09DoclCg8Zdz3FXvaakyzTrP0GgQoNsm9ln9&#10;smjZPtVHugZZgX7qxpC8YUTnyRejLdgaG4mcMPMuNqHFK1s2RODOrWvieV4oz1PGGGOMMcYYW2i0&#10;uPdn8dj25fiCh+eEboJSO2ovf284znDz1JyoZWhAfBzS2/vVN3aZvLEdc7gUaz1cZ5xROhNaHOEd&#10;4I0d9WdQO8bzz9/L0JBccLI+axPsZznugPabs+sarDtwGGlt3GmBMcaYFWnqNo6KycySVejv7Koi&#10;/ow6FcXn56Bq0NjBSHmtZDaPA3S24IDn+Pb5KPalr5chuirgMwcKZfM1gXDVH8AfrLwKnVAl+p8N&#10;5xGkK0GuJkRWYy/1lu4F4j3S+6T3q9Nl4RN9Lf5ouCRY94IHS/i9tgEe6Vfx9NlX4hyh9u3f4HL1&#10;PmP1uQXatx/bmomffzTeoFKdp4wxxhhjjDG2kGjmubF1++eybXvlArZuN6FAcPvZM3BxdZp3SDtb&#10;MlQUj1FFxUilltaqm7oMae39CM/Nwxpa2DCbVuHvsHr1p4iMjcGx/n5u3/6eakdHse3USbh6us6+&#10;+pwq9hLikHKjDSmN3GmBMcaYdaHRIkkXrsNXGwUH+xXKa5kJjd+hVu75FUdRS63cFddKZvs4QGcL&#10;bmLisXh8jGvHD2JToIcy4DMXqkKP1VEV+lmrr0Inxtd4AW76g0jVRsuqbAqZVe/NltF7KhKyNWFY&#10;p02Hg74CfxLvn6rOP5q2TZaL/4qox8HTvcB/qPr8OZ49HMSBjFhkhXopt+H7ypucp9567ph4npe/&#10;OT8ZY4wxxhhjbDHg1SN8929T63b1TSyLGhxE9dAQNu3ZKQPaWc1zNgN5A9bTFbFVx5Ha3K28ocs6&#10;kN7WD//YWDis/lS5HWeL9iu1Xt1YuBnH79xRHwvsneg8qezvQ1RcDOzt3h0wmFDI7urtgbgT9Tzn&#10;nzHGmNWiDikbKqrFNcsdTjOMjKEq9ICIEBy4cR01Y2PKayazbRygs0VB1bWfDTeiaF0ociMsFxBT&#10;BXe+eFyrPyTbpKuCS2tDM7+pGv0T/QlotNnifQTLhQCq92drKDgv1nghRxMGvXYTnPTl4v1ekBXn&#10;Hy6jWefT/d+oerimXMEXX38mzo0n8vzouXESWaHeZh9zkB3mje0JWrx8MiyfS3V+MsYYY4wxxthC&#10;oupz0vHVbZT3D6BScQPL0qj9JjEkb5QzthcsQBfP5R7oh+RrLTz//C1oYUFiw2V4RYTJefGq7Thb&#10;FOS6ebqisKqCb3a/p7rx29h8tFR2anCcVacGB1l9HllYLKv7Uvg4Z4wxZrU6ZYgeVbLF2PXmHdc5&#10;+q5IC8k2ZG2S3yGpk5HquslsFwfobFFg4gl++vdXqN2ZK9tJq4I+c6EW4QnajfiTDcxCn8rYxvwC&#10;XPWHEK9NkO+jUONjY23daQGDv3ztVE2fqdEgXJcLJ/3RyeD8olwwoHr/y8VH+nP4vxH12H+yF3hF&#10;rduf4od/foaqbVnIDPZUbNP5ofnnZw6ViHNQPBe3b2eMMcYYY4xZAWrd/sXLL1A9OIiKgYWffU6o&#10;lTdV1VIlEVUoq26UWoKT02oErI9GynVua/02dCN7fVmlsRpslu3C34bmdfsEB6C0vZ3bt7+HmtFR&#10;HGlrRZhBKyvvVNt4OkeHFfCJikDi+atIbelV7mPGGGPMWtCCxtQb7QiMi5ULwFTXNhNaSOay1snY&#10;yp0W5onvsqrrJ7NNHKCzRUPto6nKlkK93Ei/3wR95mIMnAPhrd9jM1XoJhQu0/z2vxrOwFe3E8na&#10;9bKiniq5iTWG6fSaCjR+MjSnxzxNEBK0CeL178AKfbV4Txfxe8PlZR+cm/xXZD1c067i868+n6w+&#10;f46RzovICfc1++xzOs/ytYH4fLRZPM8z5XnJGGOMMcYYYwuJFvb+8NN9XLg9grL+xQnPCVUN7b1y&#10;GZ5+XnCYoWWn2VCreCc7RBUWIbWxEylEcSN3uUvvuAXt9l1yscG85p9T+3axb7WJ8agZGZHVYqpj&#10;galVDQ6hdnQEGft2GxeZzGJf0PHt4roGhn0HZBt+1f5ljDHGrE1qSw/iT5yFR4DPzK3cxTXRLzQQ&#10;B25elwvNVNdQZps4QGeLhsLC77+9h0PZCcgMMe+c5+kozE3WxOBvetuYhT4dBf8fCv9jOA1P/X7E&#10;aROQrQkV78tPtndf7Dnp+TIw95l8LQGyRXuidj0i9QWw01fiL3IG/cXJGeccnJv8Ud+ADzUNKD3b&#10;J84Hqj5/gn9//wUqitKRbebZ54TmqZcXpMkKd6p0V52XjDHGGGOMMbaQqPq8/8FdHF2k1u0mtaNj&#10;yDlyEC5uzrNsS20GkwHkhmN1SOPKXLXGTqS39SEsOxf2qz/57TacA9mWX0jftcPYZpUD9DmpGRnF&#10;wcab8A32n3WXBqrcC4hdj5Qbbdy6nTHGmO0Q3z/SWvug370fzuK7gxO1c1dc50wcHFZCn5yAyoF+&#10;7nCzhHCAzhbPq0egatubp0plZWyeRavQ/VCg8Uegbis+MFxWhpnW7iOBwn/yJ/HPDvpKROg2I1G7&#10;ATmacBRrvAVPGaZbujLduD2pLbsXSoR8TRA2aXRYr01EiK4IzvqjsmU+heUUnNNrptevel/L2e+i&#10;6hGWdwPffntfnAvG82Gk66KsPDd3VwaapZ4b7ovBtnPyeSa4fTtjjDHGGGNskVF4/uSfX+HE8BDK&#10;F6l1u8nxO3cQvzlHBoMLNv98jT08/L2xsf4SB+hvkdrUjeTLNxGwIWbe889pe9MCiV3nGlA9PKI8&#10;DpgaVevXiG2Wsm2LrOKfzTlC25va7m84VoO0Vj6+GWOM2Rb6DpJ6sx0hKSlwdBDfQd5x7XOcDNhp&#10;MWbd+LjyWspsDwfobFFRFezzh4PYkaCTs5lVwZ+5UHV0ukaHT/U1+IPhkjLQtBXGYPqCeB+X8T+G&#10;s1irPwJ/XQnWadOQpo0W7zdYvl+aO25spW5sp07B+lzQzxgZ56/T76Tfl6sJRbp4nvXaFATrCuCp&#10;3wO7yfbstG1pfju9Rq42f7s/6hrw3+KxuWdMnAfG6vN/fXMHpXlJFjkXMkM8cSQ3Ed8+o+fj9u2M&#10;McYYY4yxxUWt23/55SEaPx9b1NbthMLBqsFbiIrfALvVn/7mpqilUEtQ/2gDki7dQGpzj/Lm7XJH&#10;1V9xx8/IFqqO85x/Tj/vFxKAss5O2cJddSwwNarYP9TUCJ9gfzjOcsSBo+MqhGVkyGOb5smq9i9j&#10;jDFmzaiVe+K5K/COCDOG6IrrnQkt9PMJ8sO+q5eN89AV11NmWzhAZ4tqYuIxIJwv34nsMG9ZJasK&#10;/8yFqrS1umz8abKSWxVs2poPDTQn/RJ+Z7iKv4h/X2GohYO+FB663QjXFSJWm4IkbSzSNXrkaEJk&#10;ME7bYmpQPpXpz2h2+SaNBqnaaMRrk7BOm4kA3VY46w/AXn8UK8Xz/M1QL2e0/16gNvMcmM/e/4mo&#10;R25pu7xpZKw+f4nW88eQG+Frkerz7FBvtJ47Js45rj5njDHGGGOMLa4Jgf5f6N6zz2Xb9sVs3U5o&#10;XuX+a1cREBYM+3lWOc+Fg90KROYXGMPFRg4YVdLbBxBztAprqLJrnp0BqHJatzEW5T09qOb2qrM3&#10;OIjasXFjh4bZVp872cHNzwvxJ+tl+KDat4wxxpgtSGvvR8zho3BxXSOvb6rrnomd3acwpGxEZX8f&#10;qnmxns3jAJ0tOqqGffRlN0piwsweHE5H1dS5mhA4647IedyqYNOWUZj+gawCvyxb1f9J/PtfDWfw&#10;v4ZT+Lv+OD7W1+ATfTVW6o/BQ38Avvrdb/DS75N/Rn/nE/F3/6GvEz97An8Tv+O/DfXi99PvvjL5&#10;+42t2VWvg73b/42qh3fGNXx5/wtx/FP1+Qs8/Kwbu5IMciGJ6tidj6wQLxzIiMPLxyPyfFOdh4wx&#10;xhhjjDG2UPDqIb7/8QEaxkcWvXU7qR0fR8nxWrh7u8+7ynnWnB3g5LAKhoOlSO+4pbxhu+zR/NGW&#10;Hmh37IKj/Qr1dpwDWhyRtmv7ZMcBnn8+W3R+7LpwHp6+nrCf5exzB7G/ogqL5f6j/ajcv4wxxpgt&#10;ENex1KZOhGdny+5B71rQR+NLKGTPOXJIXj+PDfKCPVvGATpbdFSB/svPD3GxchcygjyUAaA5USvy&#10;BG2CDIUpcFYFnEuFqdU7tVSnCnEjarF+Sf73j6Yx/t1f/47pZ+i/07biCvP5+52mHn9ddx7XOkYn&#10;w/Mn4vh/hPrSbRY5/mlRClW1U3U7BfWqc5AxxhhjjDHGFoqp+rzvwV1UDAygckB9w2ohnbh3D9mH&#10;D8rW1As3/9wObt4e2FB9Amlt/eobtssdVeZfb0NUxiY4zjK4fSuxX2lxxPb6s6i7fVt5HLDfkrPP&#10;R0cRvzlXjjeYzflB+8ozJAAJp8/LFvzKfcsYY4zZENnK/eJ1+GgiZ27lLr5Pegf4YN/VK/Iaqrq+&#10;MtvAATqzCsC3+HykCQXaIBn2qYJAc6H25IUaPwTpSpZkFfpcfDSN6u8w86G557+LrMeWqm5M/MfU&#10;uv05BtsakBflZ5EODFlh3jiSm4Qfvrsnnuux8vxjjDHGGGOMsYWCiUd4+s+vcGJ4COWLPPtcovbU&#10;42NIKMzHqpUfK2+EWgKFjL7aSGxsuGys0lXcrF32mruRfvkmQg2aWc/dfhsKz30CfbHv6lWeSzoH&#10;tNjAVH1OgYBq276BAnZne2i2bJ0Mz7n6nDHG2NJA17X15cew1mOtsRJddR2cRF1vDCmJ8lrKY2Ns&#10;FwfozCrQLPSf/n0fJ/cVIiPIXRkEmlOBxhdZmgg46suXfYjOFsZH+nP4v5H12LCtGd9+e1+G2dRO&#10;/emDfuxNi7FI63YZyGsDMNR+Xj6X6txjjDHGGGOMsYUy8Uo8Cm1f3kaZNYTnQvXwMMo6OqCJ3wA7&#10;u/m3CZ8t+9WfIGRTBtI5ZFRKFja19WHL1evw8HaXLVFV23G26EZ2VFwMStvbeSbpLFUNDckK9ISC&#10;PFl9rtqu0zmK7eyjiUDSpZtIbe5W7lvGGGPMJjV1IU1c2yLy87HGafU7v5vIVu5CzqEDvHDPhnGA&#10;zqwG8BK3+6+hODoMOeGWrUInRRpvJGjj8TfDWdmmXBV6MmYu/xVZD8/0q7j35WeT4flT/PzT16jb&#10;nSdnlKuO0fmi31u7Mxc//vCleL4nyvOOMcYYY4wxxhYKdeG6/80XqB4cRIUVtG4ndFNz37WrCAgL&#10;ml2FrRlQG2wnx1WIKtmGTZ2D6pu0y1ySUNI9gF0XL8B5rdO8A/TVqz5BYmEBaoaHef75LNWOjmLv&#10;5Utw93KTFfyq7TqVaR9pt+9EOo8lYIwxtgSlNvcg5Vor/KINctHY9GvhVA4Oq+AT5CdbudeOjSuv&#10;tcy6cYDOrMcr+p/pZ6g/shXZod7YHOWvDAXN5ddW7sVy3jfP92aW8Cfhv6LqsSLuIjpu3TaG5xOP&#10;MfHqKa6fOCwXi1iidXtOhC9KYsLkaARqE6885xhjjDHGGGNsgUD8P/+PPz3A1btjOGol1efk+O3b&#10;ci62i+uaBZx/bi/bf647eITnnytQ9XlaUycODwwi99B+2RZ8vvuGKtBzjhzGibt3lccBe1PV4JCs&#10;QE/Iz5UBgGzNrtiuU1E7W6+IUCRfbkQqza+ftl8ZY4yxpSCtpRexNSfg6u0BpxkWmFEHF0NqEo4N&#10;DKB6mDvg2BoO0JlVoarch593YcuGCOSE+yiDQXMq0PghVxMKF30pt3JnFvF7TQM+0p1DfeOQMTyX&#10;nsu26kWGEGRb4DjPi/JHRrAHLlfvw6tfHssRCarzjTHGGGOMMcYWCs0+v/f8c1QO3JJUN6kWQ934&#10;OPLKy2bdotocHB1XwTM4EAmnGoyVTIqbs8tZ0o0ObOnsQ/XgLcRmbzK2QZ1HgE7V0+7ebthy6rjc&#10;36rjgL2J2twfbGqEb5DfrKrP5SIH8ff0O/fwTH/GGGNLW2OnDNGjikqMs9Df8R1FfocR18dsauU+&#10;OsZdcGwMB+jMqky8eiRD9IuVuy0yE1qlUOONZG0M/q4/ya3cmVlReP4n/TlUnB/Af34Wx/YEHd8v&#10;8fXdDmyP1yAr1DKt2zNDvHAgMw4vnwzLsF51rjHGGGOMMcbYQqHq859+foCLd0ZRMWA91edUYVsp&#10;Xs/rKlvFjU9LcLD7FD56HVIbu+RNWOXN2WUq6UY7Mpu6UDZwC9ViH0XGRs+7tb692LcBESHYf+0K&#10;akZHlccCexONNkjaUiTD89ksXqBFIX56raw+p/mwqn3LGGOMLRV0rUu+2jK7Vu7ie4xPoK/4HnKN&#10;56HbGA7QmdWhNu7PH97Czo06i1TnqhRpfLBOmybbbX9ouKAMQxmbiw90DfhDVAMKyzsx8R8Kzqny&#10;/AUefdGLAxmxFpt7Tq3bC3SBGGo7J59PdY4xxhhjjDHG2ELCq0cYfnIPlbduSaobVIuhengYZV1d&#10;iIqLWbD557JS13EVQtLSkNY2oLwpu5zR7POtnb2oFfumorcXviEB817csHr1p4iK34DKvn65aEJ1&#10;LLBfyerzmzfgFxo4q20vA/Y19lh3uAzp7TySgDHG2PKQ1tqLuNrT8AjwheMM10t7+xXQJyegsr8f&#10;1fxdxGZwgM6sDs2HxsQTNJ45agwZo9RBoTnRPHRq5x6uL8RHhos8D53Nyx91DfggqgH5ZR349w/3&#10;AVCA/gLfPR/DoewEi4XndK5QVXv94a2Tc9a5dTtjjDHGGGNscU28eojvf7yPhvFhq5p9TmpGRnC4&#10;tQU+s21TbQbUytN5rRO0W7bK9p+qG7LLVfKNDmQ1daJMHCe0b/ZcugAPHw84znNxg53dp4jNzcLx&#10;O3eUxwF7U93tO8jYt1seq46CaptO5WC/Er6aSCSev8bHNGOMseWDWrm39UG7fadcSOa05u3fJel6&#10;SgvOcg4fRC2Pk7EZHKAzq0RV6N+9uIOy/BRkBnuqw0IzK9D4YrM2GJ76/fiD4TI+UgSjjM3kj/pz&#10;+EDTgM2lHfjh+wfiWDZWntPxXL0tG9mh3nJGueoYnK/sMB/s37QB3z4bkeeQ6txijDHGGGOMsYVE&#10;C4qHHt9DhZXNPifUznvPlctY4+Ikw0LVDU9zo5ura73csKGimuefT5Ms7OrqRfXgoAzQC4+Vw9Xd&#10;ZV6LG2R1tLBp907U3b6tPA7Yr2i7H2ltRYheIxceqLbpVMbqczsZHqRzRwXGGGPLTGpTF1KutyEw&#10;Pg6ODivfOQ/d3n6lXLS579oV1I5xiG4LOEBnVgv4BkMd51GgDZRtqVWBobnRPPQMTSSc9WVyHjpX&#10;orO5+FB/Dv8nrB5Je1rw/fd0DE+G58+N4TlVnudFWiY8z43wkxXoQx0XxHM+x8SrR8rzijHGGGOM&#10;McYWCrVu/+e/7+Pc+IjVVZ8fGxyULdzzK47CyXkyCFTc7DQ3qqZ2D/RD0uUm401Xxc3Y5Yiqz7Ob&#10;u1A+MICqQeMM7pRtJVjjbKzYUm3L2aDw3dVjLQoqy1E7ynNHZ3L89m1sLi+DkzhOZ7PdHe1XwCcq&#10;EkkXbyCVZ58zxhhbhqiVe/zxM3Dz85bXT9X1UhLXVXu7FTCkJuJYfz+qxPdQ1bWYWQ8O0Jn1Ev+j&#10;/cvPj3D6QBEyg70sVrU7HYXo6RodVuqr8YHhsjIoZWw6Cs//b0Q91m1pwrMXXwF4KsPzx1/142hB&#10;ikUrz+n3ZgR74GrdQXHePMXExBP1OcUYY4wxxhhjC2RCwMQjDD++Z33huVA1OCglFm2W1ecLFaA7&#10;Oa2Gr0Enb7imNnKAbpJ0owO7u/pQPWjcP3Xjt7E+O0PO4J7PvnFwXAWvAF/sunBezvaefhywX1H1&#10;+dHuLmji18sb/KrtOZUcRyAetdt28OxzxhhjyxqNMNFRK/cZFv7J75xCzpFD8rsOLehUXZOZdeAA&#10;nVk1qqS9f7cT2+O1yAnzUYaHllCo8UGSZj0+1dfiA8MlZWDKmAm1+6fwPHpLE548M4Xnz/Dgsy4c&#10;zIxDJlWeWzA8pzEHlSUZ+P7be/J5VecSY4wxxhhjjC0kU/V5/fiwrCpW3ZRaTFVDQ/IxMjZ63jO2&#10;Z83ZQbZwD01PM95wbez8zQ3Y5YjC85zmLhwVx4kxQDe2cI+Ii4Hd6pnbiL8LtUsNjApDRV/f633O&#10;1KhCf/vZM3BZO7uRBnTeeIWFIPlyI3dTYIwxtqylNnUj+Xrrr63cFddNE1oc6B3gg71XLnN3HCvH&#10;ATqzahOvKER/ivZL1ciN8LVY++vf8kcRhehaDtHZu32ob8D/CTdWnj9+9qUMsGnhx1j3ZexI0CI7&#10;1EtxfJlPVqg3dievw8PPuuTzqs4jxhhjjDHGGFtoNFZq7Il1Vp8TGaYODiIwMkzeyFTd4DQ7qkhy&#10;toduxw5j4MgBukQB+o7OXtRMVp9Ta/0jrS0I1ITLAFy5LWeJ9m1kbIysPqeOA9OPA2Ykz4eBAaxL&#10;TZrd+UCLQZzsEFVYZJzlz8cyY4yxZY5aucfVnYG7nw8cHd99LaXvN7KV+0A/L/CzYhygM6tHAfq/&#10;//U5jpVkyBnSqhDRMiZDdK5EZ2/xga4Bf4hqQMKOFjx5/rU4Vl/i1S8P0X6hGiUx4ciycHieE+GL&#10;4ugwjPZcEs/9Qnn+MMYYY4wxxthCo+rzH396gPO3R1AxoL4htdho7uTBmzfg6U83ORemAt3Y0tMB&#10;sTUnkdbSo7z5utwk3WhHZnMXSvsGUD25b2pGx7DrXAN8An3hMI99Q9ubQt4NWZtkKM9tUt+uengE&#10;+65dg7u3OxxnUX1O29VD7J+N9ZeMAbpi3zLGGGPLSmOnDNF123eJayV1HXr79VRea53tkVt6mKvQ&#10;rRgH6MzqyblpeI7PhptQHB2K7PCFa+VOijTeMkRfoa/FHw2XZLtuVZjKlhcKzz/QNCD3SAf+9T0d&#10;oy/xz5d30FC6HXmRfsgO81YeT+aSG+EnuzK0nKuUi0wmJh4rzx/GGGOMMcYYW2g0+/zu88/ljafK&#10;aTeirEXN6CjyK8qw1mPtrAJDc6DQ0d3fGxvPXUEqB+gSVZ+XtPegZkq4XXf7Ngoqy7HW3WVe+0Yu&#10;WBBSthZzgP4uYrvQ+ZBcUiRHDMxm5jy1p43ML0Aad1JgjDHGXktt7kbK9TYExplaub/9murguAp+&#10;oYE4cPOGvA4rr9FsUXGAzmzCxKvHMkRvqi+XLaspoFSFipZCleipGgPW6MvwgeEyPjKc/02gypaH&#10;Pwl/oMrzyAZsLu3ALz/TvPMXuDfYiCO5ScgWxyeF26rjyFzo+Kfq9ovH9uCXn+6L53+iPG8YY4wx&#10;xhhjbKHRInh6vHJ31GrbtxOq9knftR3OLo6zmvdsDlTp7r9Oj6RLN403WBU3XpeT5Bsd2NTUicO9&#10;/aiabN9Ojt+5g8wD++SCg/nsG/pZ57VOyDl8wBigT9n/7FfUOrasswP+4SGzaplP+8XN2wNxdaeR&#10;1tan3LeMMcbYcpXW2of4E2fg5uv17i5Hzg7yurs+M12OmeHvKtaHA3RmM4yt3L9EzY5c2co9L2qh&#10;5qEbUYieoY2Cu/4gPjJcwoeGC8qAlS1dFJ7/XlOPD7UNKK7oxn9evcBPP3yFtvPHULI+HJkLcFzS&#10;788M9kTdrjx8/8/PxXnxTHm+MMYYY4wxxthioOrzL15+ISuKywesN0CvG7+NDVkZcHBYOauKW3Og&#10;eZghKclIudaC1CYO0ClAz2/rRtW0fXPys8+Qsm0rVq/8WLkdZ4sCdKpi337mtGxRPvU52K9owUL2&#10;wf1im1HL+5kXLDis/hTBqalIFftQzvKftl8ZY4yxZY1aubf0IqqoGE4UoL/je6ajkx1cXNdgc3kZ&#10;aseolTt3y7EmHKAzm0JV6PfvdWLnRp3FW2SrFGqofXwwQnXF+H8N5/GB4eJvQla2dP0uqh5/WXcB&#10;ZecG5YKOz4YbcWxLpqw6p3nkqmPGnCg8p8UjR/NT8eLxiDwfVOcJY4wxxhhjjC0GWX3+6iGavxhH&#10;mRVXn5PasVFo4jfAbvWnyhualuBg9ym0O/fI+ZgpN5d32+vkycc93f1vBOhUDU3WZ27C6lWfKLfj&#10;bNFNaTcvNxxpbeUA/S2qxbau7O+DNiF2VucCbVNXT1dsKD+GtPaB3+xXxhhjjNECs24kX22Bf/Q6&#10;ODqsUl5TTezFn/uFBuFQcxPqxsaV12u2ODhAZzZlQvyPOFXc9t48hXxtIHIXuJU7KdD4olDjD4M2&#10;HR/rT0zOReeW7ksZzb3/naYBn8ZfQc3VUXz/Ygw3Tuw3Vp0HeSxINwQZnod6oSw/Bc8fUoD/QnmO&#10;MMYYY4wxxthioerzJ999hZPDQ1ZdfU4tMo+0tSJIGwF7uxXKm5lm50zVvasRXV6F9I5byputywkF&#10;6JlNXeI4ufVGgF49MoLStjZEboiG3Tz3DYW9viEBKOvq4raob0Hz5reePgE3L1c4iO2l2o5TOdqv&#10;QMCGGKTebEcKV58zxhhjb0Wt3GOrj8PVy12OP1FdV02olXtCfq5s5V41OKS8ZrOFxwE6sznAY/zy&#10;8wNcOrZbBooLEV5Ol6/xk9XoKdpouOkPyXbuHxguKcNXZts+0jfg99rzcE67gQs3etF/4wQOZm5A&#10;dpgPssOpI4H6GDEnY+W5J8o2J+P5wyFxDrxUnhuMMcYYY4wxtlio+nzi1SP0PbyDsj5rrz4fw/az&#10;p+Hl7w2Hd82mNCOnNXZw8/FAbM1JnhstJN3owJaOXhmeTw3Qa0bHsO/aVQREhIh98+6KrZlQgB6q&#10;j8LR7m4O0BXkvNWhIWwsLMDq1TNX+1NLfBdXJ8Ts3iuO4X7lfmWMMcbYpKYupIvvfFGFxXB0WPnO&#10;Vu7Ga+waFNfViO+pXIVuLThAZzaJWld/9+IOygvTkBniqQwdLc//dUv3cG0+PjacxB8Ml/EhV6Mv&#10;GR/oz4t9egV+my7h2NFa1GxJR36UnxwfsFALN+h56Bgv3ZyMZw84PGeMMcYYY4xZJ7x6hH/++z7q&#10;x4atuvqcUNVtwbEKuLq7yJBVdSPT3Kh9p09UBDbWX0JaS4/6RusyknqzEwd7+1E9+Oa+oZvGOxvq&#10;4enrOe994+i4Gvrkjajo7ZVt4ac+DxPbenQMBxtvwj80cFYLSWiGv29EGFKvNHH1OWOMMTYL9J0v&#10;6fw1+GgjjSG64vpqYi/+PFgbgSPtbbzwz0pwgM5sFrWw/vpOO3Yk6JAVuvDz0E2oGr1IVqPHwEO/&#10;D3+m4NVwkdu62yhq10777g+GS/ib4Swi4g9gR2YGtkUHICtsYTseGCvPvWTl+TOuPGeMMcYYY4xZ&#10;q1fG6vO7zz63+vCcnLh7F5v27IKD/burgczJwW4FAuPjkHK1BSnNyzt8pOrzvBZj+/bpAfrx23ew&#10;5eQJOItt5jjPfUOhcGxOJir7+zlAV6gdHZULSWihgWr7vYH2xRp7bCgqRCovAGGMMcZmLb29H+vL&#10;q+Dq5QpHp7dfc53EtZa67yQWbpbX6GODg8rrN1s4HKAzm0X/c07z0G+11KNQH4ycBWqn/TbGavQg&#10;rNclw0FfgQ8NF/FHDtJtBnUOoH1G7fj/aqiHt24PknRx2GIIQn6EF/IiF3ZUgAzPJ2eev3hkCs8f&#10;/OY8YIwxxhhjjLHFhlcP8fPPD3Dt3qj1B+iDgzh++zYSivKxauXHyhuYlmC/6mOE5eTKm6gpjZ3K&#10;G6zLReKNdmzv7EG14sbw8Tt3UFB1DHarP1Vux1mTN6FXI23n9sl5onwTeiqqbKPKfF1S/Kxa5VM3&#10;AA9vd+Scu4TUZg7QGWPvJ3k2bhgXWs0V/Zzy9wmq18LYwulEWnM3InJy4OS0Wgblqmstoe8u7l5u&#10;2HbmlOyYpLqGs4XDATqzaZh4LN08dQR5kX7IFVRh5EIpmKxGz9KEQ6vNwSp9Ff5kOI8PZGv3C8rg&#10;li0uWuTwR8MlsZ/O4WNDHUJ1JUjWRov9GST2pTc2Ry38MZUb4SvbxB/bmonnj4dltwXV8c8YY4wx&#10;xhhj1oDatz/711eoGRxE5YD6BpS1oODwaHcXtInxsLNbobx5aW7yRqnjami370J656DixuryQUFG&#10;amMn9vf0i+PlzX1DIXeN2D9pu7abLUAvOFaJmpERruKahrbJvqtX4Oq5Fo5r7NXbcArq1hCTmYac&#10;lm5u384Ye8ProPqNQLtdLpYiMtye/Dv091Mbf5Umrgfp02xq6kTGe5r6e+h3y+e5+evzJ06+tteh&#10;++R/n/6eGDM36t6SdPE6vMND5Vgf1bXWhL6fRmxYh6NdnaihSnTFdZwtDA7Qmc0DnuKXn+7j7JFt&#10;izgP/U0FGl8UavyQrQlHlDYP9vpy/MVwDr83XMYfOUhfdFRtTvPqPzBcwd8Np7BWfxA6bTYyNZFi&#10;39Fse1/Zml+1by0tJ9wX2aHeqD+yFf/69h6H54wxxhhjjDGrh4mH6HtwV4bnlYqbT9aEbkQeuHkD&#10;wdpw2M9wA9NcnNbYY63HWqw7VIq0tn7ljdXlggKLnJYuHB0YQNX0AH1oCJX9fYjNzYI9tddXbMvZ&#10;MrZBXY0d5xpQNz7+xvMse7RQYWQEKdtK4LjG7p2VcJKzvVyQUHzyBLI7+jlsYmyZkSHzZOA8NRgn&#10;9GcUUFNgndHUiczmTmQ3d8nP+c2t3VJhWw+2dPRK2zt7sae77zVaTHW4701HJ79LzAV9tlEHnENT&#10;fg/9bnqOXV292Cqeu1jIb+tGrnht9BozJwN3eg8UrBvDfvGexD+rtgNj80KLOlp7EX24FM6uTvK7&#10;ofKaK8jvMOI7asbe3fJ7K3fRWTwcoLMlgVq5f/fiDqq2ZiEz2DpC9M0afxnCUmv3PE0o1uk2wV1/&#10;AP9rOIPfG67IIJ3au9PMbVXIy8zHuJ3Py2pz2vbUot1ZfwSBumIkaePFfgoU+8lbdhDIF/tNvT8t&#10;L5vGEEQF4PrxQ/jx+y/kca063hljjDHGGGPMWkD45ZcHOH97BOX91j//vHZsHLsunId3oLcMWFU3&#10;Ls2NZkx7BPkj7vhppLX0qm+sLhMUUBS398huBdP3TfXwCMq6OqFJ2DCrtuLvQjemXd1dsPvSRdRy&#10;gP4GuVChrx9Bmgg4OMy8UMFe/J2IGD12NrUgo7WXA3TGliAZkgumymxiCsjTqLq7uUsGz8ZAvBsl&#10;4nN8a0cPdnb1Ynd3Hw709ONQbz9K+wZkkF0xID7TB9Vo8RR5/c/0uWQJU57HxNT5hF7jYfFaKWTf&#10;1dWHbZ29KGrrQV5Lt3yvxlD9t9XzjM1HalO3fAxJS4OD/bu7IMnRKT4e2CO+x3AV+uLhAJ0tGTQj&#10;+vmjIRzIjEdmiJcyoFwsFKQXa+g1BSNBG4cQXSEc9ZX4fw00d/vC69nbPC/dPGg7Tt2uxvb55+Gi&#10;L0OorgDx2njkasPFPvGWwflihuaE5p1Ty/YtGyLR13RGHM803//Jb45xxhhjjDHGGLM2mHiEL19+&#10;gZqhQXnDXHXzyZrU3b6DLSeOy6raGStvzYTaX/toIpF86cbrm6fLEQUQqTc7ZdgyvX07oaroI22t&#10;CDVo5r24gW48+wT5Yf/1a6gZHfvNcy1ntWNjKKquhqvHWrmdVNvPhM4Re7sVyNizC/sGRmT7fQ6S&#10;GLMi4px8l9SmLkmOXpjC9N9NNjV3I7utF4UdfSjp7MeO7n7s7b2FA/23cGhgEKW3BlF+awiVg0Ny&#10;EU7t8DDqRoblY434d5PqKarE31V9BlkDU8BuDNUHXy/qooWApmCdFgfQgq9ssW1ohrUpSJ86a125&#10;Txh7h7TWPiScPgfPkEA4zrCIjTol6ZM2yu48dN5NP46Z5XGAzpYUqth9+HkP9qatt5p27lNRkE5z&#10;tQs1/nJOeoI2Vs7cXmmoxn8bzk7OS78kGSvU1QExe5OxuvzC621H25G2598NJ+Au27PnIEkbjRxN&#10;mNj2xn1A1eaqfbTQciP85IKPg5lx+GykWRzDLzg8Z4wxxhhjjNkMCtDbv7qNMhuoPifHb99B/rFK&#10;2NnNc8b2HDiI5/LbsF627lTdTF0uqJIvo6kTR/p+276dUIXVwaZG+Ab7zxjszoRan4boInGouck4&#10;A33acy1ndbdvY0NOpgzGqTW7avuZ0Hb0DvTF3ssXsa13iFsbM2YujVMD7G45H/lXvTJke0NbP9Lb&#10;pxqQj2nN4mcpKJ9OfNbSY8q1VqEFqZPShMybbdjc3I4trZ3Y1d6J/Z1dONzVjSPdPSjr6cFRoaK3&#10;F8f6elEl0GOl+Hcj+jOjcqGyv198ng++FS3YOS4+c+hz57Xx27IbzK/G5Od/zYgw+Vg9PIzqIUE8&#10;0u9RfZaZ2/RQnR6pPfxR8f2Grlu0+KuorReZYp/RfHXaj6ZqfQ7T2VykiXNXu32ncTHnmrd/35Ft&#10;3p0dkX3oAHfTWSQcoLOl5RVV7j7HeO8VbIuLQpaVVaKbUMWzcU66r5y5na0JRZJ2AyJ1BXDRHcIK&#10;fRX+13AaHxouyZbjNK+b2o/T7G5VgLzcUEU5BeW0XX5nuCr+2wX8w3AKK8V2W6M/jHBdERJ0iXKm&#10;+WZN4ORccx+5zRe72nyq7DAf6dSBYrx4NCTD84lXj9XHNmOMMcYYY4xZGYj/B//uh/s4Nz4ibzCr&#10;bjxZE7oJT1VxqTu2wY7CQ8XNSrNzdoCT4yqEbtqEtLYB5Y3U5YJCBpqLe0wRnhMKTvbfuA43qox+&#10;x2zQ2aAZ6lFxMSjtaJcBjOr5liNaTHC4uQnB2ohZnQO00MSQmiQrS/Nau2VLY9W+ZWy5k0E4hdnN&#10;PVNC777JoNtoU+egUZe4DslwuwWp19uQfKUJieeuYGPDZSnh7EXEHT+L2LrTwhnxz2ewofo4Yipq&#10;flUplFdBt30nNEXF0BSXTLNF/vfQ5ESEJSYgMikBmuQE6FI2Qi8YpESsS01E9BT078T45+9Gvyc2&#10;JxNpO7Yibed2YdsbUrZvQUH1MWyrP4utp0+9tr3+jByvIV28IB8P3LwhFzzRIip6pAC/oq9PPtaK&#10;a8OJe/ek43fuyk4y0rgxfCfV4rONmLtKd2qoTv9M/61y4JasUt/R2Yd88bmY1Sz2vdifU1u+q44R&#10;xl4Tnxcp4ngJiF0/YxW6nfg+4xcWhIONN+WCk+nHKLMsDtDZkjMxQSH6M4z3Xsa2eI3VhugmFOhS&#10;ZTpVRFPIS6F6liYK8bokhOgK4KHbDRf9Eaww1OEvhnP4w2Sgbqy2vjhllvpU6uDZFkx9HxSUGyvL&#10;L4r3bFxM8IF47/9jOAsHfSXW6g/BU7cTkbocJGoTxHaLfCMs/3WmufWE5lJUgOyQsC02Cu0XqvDL&#10;z/flMas6nhljjDHGGGPMWgGP8MXLL1B1axCVAzYQoA8Nyaq5mMw02RZTdaPS3KgFtrN4pECDAhXl&#10;jdRlgkKFrR29MoxQ7R8KQfZcviS3mZPz/AJ0Coc3ZG3itqfTnLh7D5vLy7Bmjd2MIwyoC8BatzXI&#10;Ly9F1eg4spq6ZDik2reM2TwKtBWMwXjPtGB8ShV4xy2kd96SYXjShWtIbLiMuNqTiK0+jg2VNTDs&#10;PwTDgcPyMWrrDkRt2Y6obTsQmpGB4KQkhKSkICghHr66KPhERcBHGwnv8BC4+3rCzdvdyMcDLq5O&#10;Mmj7DcdVM1j9TjQuY97E9fRtaDHTG2jhzhp7ePi4G4n35+HjiaDIUITqoxCsi5CP0ekpiM5IQ/Sm&#10;FCRtKULG/r3YtHc3ckoPo+BYhbT11AnsPFcvUeh+uKUZx/r7ceLeZzh+h0J2Y8X7m1XuxpB9apW8&#10;rHAnis/M6WSgbjIZrNMCwj3dfSjp6JFz4mlUSSIF6fx5yd6BOk3QZ4WrOA+cZui6Y2e/AnF52cbj&#10;lb/TLCgO0NmSNDHxWFaij/VewfY4DbJCrTtEfxNVpxvD9BKNl3j0Q64mHKnaGMRqN0KjFV+wtEXw&#10;1e+Cq74U9vpq/E1/VobNs0OV7CaqPzehAHt+TCH4b83m+S/g7/pTcNQfg4f+IPz1OxCmzYNemypn&#10;mGdotcjThKJIbCeaL0/bixYiWFOFuUpOhK+cd162ORWfy5btLwVu2c4YY4wxxhizLROvHuI/4rHr&#10;6zsotZH27VSdVtrejvBovbzpr7pJaW50U3Stx1pEHzgkW/OqbqIuBxSepzZ2yLmypiq+qeimMFWK&#10;F1RVyJal851Pv3r1p0jeVoyakeFZByNLnQyNbg1gQ3YGVq/6RLndpqKwKyAyFBU9XTjcPyjb73Mg&#10;xGyHKQSnFumTZIW4CYXiU/99ErVTl8TfF5/ZSReuI77uNOJqTxnD8L0HEFVUjIj8AoTl5CIgMQmB&#10;ycnwi1kHX60GPlHh8Aj0g7u/D9x8PeUCKue1gnh0WP0J7Fd9LNFoDwf7FeJREOfar2G38ZHaOsvP&#10;QhP5maiiPn+tBr3uqcRrpvdCXUZ+ZfebIJ4WQZnQ59Wqlf/AqhV/l38mt6fg4eMB70AfKVgXiRC9&#10;BpqEWERnpCMmcxOStxQjZdsW5Bw+gIKKo9h2+iR2XziPsq5OGaTLNvEqk9Xspn+Xn52Tobvys1Wg&#10;IL1a/DmF6QfEdW5bR58M0+kYpOufifpYZcuSODbSWnrl54mjOK6N54fiHBKMC9qcUVxTLReDvO1Y&#10;ZObHATpbsqgVtgzRe4yV6NY4E302jO3ejYE6BcXFcn43hcTByNGEI0MThRSNHgnaGMRok7FOm45I&#10;3WaE6YrFl4et8NAfgJv+kAyh7fSV+Jvh5BSn8FfDmd/4i+Gs0DBvfxZoFrnp9/63fDwtn5seVxqq&#10;5OsiIbotiNAVQq/NxHptEjZqo5Gq0ck27LmaMLEdglCk8UWJxnNyhjm1Y6c55tYdmJvkRvrJbgjF&#10;MWG4fuIw/vnNHXl8Trx6pDx+GWOMMcYYY8ya0ezzf/77Pi7cHkG5DVSfE6o+O9TcDP/QwHnP2J4t&#10;CtBdfTwRV3NShjPKm6jLAAUH6Y2dKBPHylsD9KEhZO3fa5YAfdXKj5F9+CBO3L37m+daruim+/7r&#10;1+SM+ZkWkBgDLjsk5OfiuPi5fT39cuYvB0DM6lBATsF3C1WI98q26VQhTsEUheApN9uRcr0VyVQh&#10;frlRaELixRtIvHQT8ScbEHO4DOuoOrywCJGbCxCSmoLAuFj4aKPgFREGj+BAYxju5y0XQ7m4u4Dm&#10;FssuDo6rYL/qExmMvw7CZVX4ZIW3+PyfGoJPPcfY+6HPJtP2pO1rqoI3VrivkIun6POfQne5EEH8&#10;HRfXNXAV+87D1xNeAT7wDw9BkDYSkbHR0CclIH5zjmxDv/noEWw5cRwHGhtR2imuV12dKO/ulq3k&#10;6TOUwnQ5v51ax4+OTc5qf7NtPFWl1wh0nSvvH8ChvgFZmZ7R1CmPV9ninRcisUn0uUWfR9R5gj47&#10;VMe8CXVOCtVr5EJQWgBiOuaYZXGAzpY0CieN7dyvYF/6BmQG22aIPt2vbd+pTTnNUveRldjGmerG&#10;Kux8+fcCkKcJei1HEyLnrRuFIFMTjmRNDJI0G4T1r8XpkhGtyxQy5mWd+B1x2qQpv3sD0jU6+fxZ&#10;Ar0e02szvV7jYgHfyfcztRW77YTl01EHhNwIX1RtzcS9wUZAdkh4qjxmGWOMMcYYY8wWUID+8Luv&#10;YGzfrr7pZG1qxsZw4OZNs8zYni2qKnIPDkDKjbbJMEd9E3Wpo+A1t7kbFeJYUQfoFEAMICE/x7i4&#10;YR4Bugx/HVcjv6Jczsud/lzLFYU+RbXVxlBphu1L58dadxfsOteAupER7Og2jh/gAJ0tKgrLWygk&#10;75et0zcJ1Nki+fJNOTs8/lQDNtSewvrqE1h3sBTaLdsQnpODkOQkBMbHwjsiDN5R4XD19YSLpytc&#10;xLXA2dVZWGM89mU4awcnp9Xys9tRBuK/tkF/XRVOf4/OoRnOI7a4TPtJVrkrwnaqZjfuV/o+4CCP&#10;Axc3F7iKY8NTHCOBEaGIiDEgOj0ZyVuKkHXwALbXn8Wuixew7/o12Ta+rLNDXtOO376D43dpPrux&#10;ZTyF6zVUwT5ZKVzefwu7u/qQ19ojFyNRkM4jMRhJ7xhAdFmlPP7e1cpdHsvisyl1x1YZoHMV+sLg&#10;AJ0tecYQ/TkefdGDQ9kbZZiZF2mbQezsUHj+NsZZ67NjDOfnT/W7fzX9NdpqSK5CoXlmsAd2p6xD&#10;28Uq/Pzvr8Sx+ELO6Vcdq4wxxhhjjDFmCyYmH289uivblapuOFkjqkDf0VBvvKm+UAG64yr4aCJB&#10;7YRTG5d3gF7c3oNKsR/eGqAPDMigYt4Buti3Lm5rUFRbI8OM6c+1HFGFJFVRxmSkytBItd2mopAp&#10;1KBFeW+vDNC3dPTKmb6qfcuYxcjAvMcYmHcOyrA84VQD1ldUQ7//sJwpHpaVhcC4DcbW6f7estr4&#10;deBNnEwoGJ/GFIiTybCVQ/FlZnK/m74XmML2XxlD96nhOx1jPkF+CNFHypbx8fl5yNi3B/mV5Siu&#10;q5XfMw423sTRrk45i506oRwX16Lj48Zg/WD/oPxMzW7pFtfGTiSJY50XJy1ftLgyTQhJE9dn+xXv&#10;/AyiY9DTzxO7zp+T32lV13tmXhygs2XBVIn+4vEITuwtQE64t5xFrQo9GZsvatdOc84LdIG4ULEb&#10;T77uk8E5zzpnjDHGGGOMLQUQ/4/940/3cfnOiKwoVt1wsjrUInx4GHllR16HJaqbk2Ylb8jbIWhj&#10;gpx1KSluni4HFA7s7OpThufEFPBGrDfI4Eu5PWfJwckOXv5e2FF/VlZdq55vuaFqtSPt7fAJ9DUu&#10;UFBst6moVSy106e2+jVCcVs3Em+0K/ctY+byxpzy1l7Zej2u5gT0u/ciPCcX/nFx8AoLhpu3u2yh&#10;bpwlvuJ123QZiNNnu4ktzAhntmPyuJJBu/gcNQXqdpNt4+kYdHV3EdcfbwRrI2SL+PVZGUgsKpAB&#10;e0FlOXaeO4vStlYZplcMDmNf3yBKugaQScf7lPn7y/n7wnJE4ycSzlyAZ3CA7HqhPP6IOP7omNNu&#10;jENlf7+8Rquu+cx8OEBnywpVov/4w1e4fuIQCvRBshpdFYAy9j5oUUZ2qLf859qdufhyvFUcd7R4&#10;48VvjkXGGGOMMcYYs1UUoL/8/mtUD96ymfbtstWlkFicbwwQZbiiuDlpTvQca+wRkZNjrD5f5gH6&#10;ob5+ecwo989kgB6ii5x/gC5+3i/EH3suXpBzv1XPt6zIxSMjyK88KrfPTItH6Pxw93bHnsuXUCe2&#10;H3UNKGjlAJ1ZiPhcpHnlaS09SBHHWNKlm1h34DDCMjLkHHI3Py/ZUcKRWm6v/lSGS7J6fCE+wxmb&#10;AzomqYL9dbBut0IG6/bikRZz0Bx2Ctf9w4IRFq3HupREJBbkIuvAPhScOI6cS9eRcq0Fydda5bkh&#10;z4vWPtmFgYJ16mTzm/OHLRlp7f3Qbtv+epGG6hgjpkVweUdLucvOAuAAnS07VIlOFemD7RewO9kg&#10;56JTxfD0MJSx2aLjJyPYAwXaIJQXpWO44wJ+/vFruWCDq84ZY4wxxhhjSw1ePcSdZ5/JYI2objhZ&#10;GxmgDwxgfWbaggXopoDHsGe/rKhcrje/KTzf1NSF0r6Btwbo1B2AAnTvQF8ZPkzflnNBwUWIPgqH&#10;mhpRPTKifL7lhI59qkA3pCYaFyfMcOxTNaUhJREVvT3y5yrE79jMATozt8YuGRhRcJ54/hqiSyvk&#10;rHKPAD/jTPI1dq/nj8swaQE+s20VXWtkZ5W3MIW65uY4tQW+Cu8zybR/3qhat1sh/nmV/O8ua53g&#10;5rFWdlYI0EQgOG4DIvLyEHOkArHH67Gx/hKSrzYjfXL2PwXrXKG+9FDnAVo84WfQy64aqmPJhI4h&#10;/7AgHLh5gxcKWhgH6GxZmph4LKuCn3w9gJodOcgJ90V2mI8yHGXsbfKi/JER7Cke/VC1NQu3Wurx&#10;y08UnD8THiuPPcYYY4wxxhizZTT/nLR8cVu2b7eZAH1oSLa7DI/Rz7vCebaM4YGTnNeb2tyD5Ryg&#10;57Z0yXn5Ve8I0A+3tMDTz0sGDKrtOVt2dp8iMjYGR7u65O9VPd9yQtvgSFsrfIMDZty2TgLNSM8p&#10;PSRn9tKChzKx33LE/kviGejMHKjivH0AqeKfN1TVIaqoBF7hITIwN84sN4aySzYwp/dFgarwet72&#10;63B1lTz/CI1RoJB1qtWrP8Gqlf/4DUfxcy6uTnBeqyCek9qKewf4wCfIV45xmDfxe7wDfWRFNf1+&#10;1fPS66H3sWrF9Nf7sfyMnvq+KAw0vW8ydZu8DuJNpm5LWzd5HMhw3fR+37AaLm7O8A4LRnDiRmi2&#10;7kBMWSXiTzUgtakTmzoHjRXq1PJ9+nnGbI/sxtGD9UersFacW/JzUHXcCHTc0HmUVFwor/H0HVd1&#10;/WfzxwE6W9YoRP/phy/ReaUW2+M1sqU7V6Ozd6HQPHdKq/aqrZkYbDuHH7//QhxPL4EJDs4ZY4wx&#10;xhhjSxdVn//08wM0jA+jfGBAebPJGtGcSArQqXUqhRSqG5LmJivL3F2Q0HDFWDGmumG6DCTdaEdR&#10;W49cbPG2GehUKb7tzGm4ebnJEEG1PWdr1aqPEZ2Rjrqxcdm+XPV8ywlVp9Hsfwpi3nVDnlDA7hPk&#10;h93U/n58XAbopf0DyG7mAJ3N05RW7THlVQhMTISrlzsc7VbMqjPCojOFnSbiXJoafE5H59JrFAxP&#10;huMUjBP6Z3dvN3j6esLDxwPeAd5yhEWoQSM7aIRH6xC9KQXrM9MRQzLSkFhcgIwD+34jt6wUhdXH&#10;UFBV+VvHKlBcW4OdDfXYeb4BO8+Zgfw99Siuq5W/X/W89HpyxedOxv69r19n5sH9SN+zCxuyM+T7&#10;ofdF74/mOYeK9yyJ9+8b7C+3CW0bCulpG1LIbtpucltO2b50/PxmH0zuH2lyn9lWCG98rU7Ok8eX&#10;w0o4rP5ELkzwCg1C4MYERBQUYv3RClmdLoP05slW71ydbruoM4fYhxE5uXJshfrYMKJj3NXDBVtP&#10;nUTt6Ohbv1+x+eEAnS17wFNZMfzoyx6cPbwVhfpgZIV5IzeCg3T2K1pYQaF5brgvSmLCcWp/IT4b&#10;acIP//zMGJxzq3bGGGOMMcbYMkDzzx9/9yXqhgZlBbrqZpM1ogqd0vY2ePp5yxvuqpuR5kYVZJ5B&#10;/kg8f3WyAl1xs3QZoNbf2zt733lzl1qFF9dWybCEwgLV9pwtqnCMzcvBiXv3lM+13NSN30ZsTiYc&#10;ZmgJS1av/hj6lERUDw7KijYO0Nm8TVZVUpXshsoaBCbEY62nKxwoOJ/nuT5vk8Hq1ECcPrdlICvI&#10;0HayOtoU0pqCWGoz7yKsdXfBWg9XuHm5IzAyFEFC2DotDCkbpbi8bGzaswtpO7ch88BebKs/i21n&#10;z8jH3ZcuYs/lS9Leq1dwqLkJh1uajY+tLXKMQmVfn1TR1yuvYyfu3vuN43fuou72HRxXuXNHzkmm&#10;hTTmRr+Xfr/qeeXrEa/rjdcqPpOps8Wx/n75fkzvrayzU75n0/vff/3a6+2y6+IFua22CyUnTyBz&#10;/16k79qBlO0lWJeWJCRDE78ewZoIBIQHw8PHU1bv0n6h/UPV8G8E0WI/0mehPc3Ul2H8ZPg+JWxX&#10;HitWgl4jdRygMJ1CdVdvd3hFhiM4JRkxh48i6XKTOO+Mi1WW8/cOW0aLITaevSAXSszUyt1BfD5F&#10;xkajsr+PO+5YCAfojAk0E53mVf/nlwcY670i51gb23N7II8r0pe17HAfZAR5yH/em7Ye12oP4OFn&#10;3fjl5wfymKEFGKpjijHGGGOMMcaWIkw8wviTz2TAZlMB+sgItp89I2eMLlRoQ0GMn16LpEs3J2eg&#10;q2+WLnUUoO/u7kPNO6rBa0ZHkbl/jwylKCBQbc/ZoPCDApLU7VtlgKN6ruXEtHAkWBspWyWrtpmJ&#10;3O5i+9F+oFBM/vzgLRzuG0AmB+jsPaS29CC9tU+2nA5NT5dBs5xr7rQAi5goNKVAdDI0peelsImC&#10;ewofHew+lS2yqXX8GmdjtxDq0uAirhFr/bzhHuAL/8hwBESFIzJ+PfTJG2XldPLWYqTt2Ir8ynIU&#10;VVdhz6WLKO1ol2MSKAgmND6iordXos4ntBilSnz+VQ8PydCZFrWQ6YF0zcjoFCPy/JULWYaGJfod&#10;089xW/TGe6J/Fu9z6nuvHZ26XcaN24sWAVBXjMltSeNA5Dbu60V5T7dx23d0iP3QhsPCrvPn5f7Z&#10;XF4q91dSSQGi01NgEPsxLFqPgMgw+IYEwsvfG25erlgr9j0dMxSqU6v81as+MbaXN4Xs1hiu0zFO&#10;x7c4rmn8gbN4Dx5BAfJc21B1XH73SG/rk4EsV6XbFpp3r9+9T+xn+hx7+3dW03WbFunQ+aI639j8&#10;cIDO2BTUfpuq0X/8/nN0XzuOsvwU5IT7IDPYE5uj/H8TrrKliRZNUDt/2u/b4qJQtysPXVfq8O2z&#10;URmYG3HFOWOMMcYYY2z5AR6h46vbcp61rcw/JxRGFFSWyaq0hQrQKbQJSkxA8rVmY1tVxU3S5WJf&#10;T/+MAXr6zm1yu803QKcwjG4mc4B+S4ZOxbXVs6rsp6DIO9AP+65elgtO6OcpQD/Q24+0xk45y161&#10;bxlTSWvrR/KVRuh27oa7v7cMsI1BkJlDSAoRxWeGDMllQP4p7Fd9DCeHlXAWz+Xq5Qb3AB94hQXD&#10;RxMJv+hoBGzciKCkZITn5CIibzMiC4qg3bMPeiHxWDWyzzag5OIlHB2g0JuCXgp8jUHvb4hzha4v&#10;psDbRIbmJjLwNZp+jrK5mbotTdt36nZ/vS+m7Q9JhvbiZ8Q/Vw0OyYr3XecbUETt5ksPyS4BGws3&#10;y9by2qQEhBq08A8Lkq3kXdzWyGOM5rhTwE7huuxMID5X53PNMpvJ84AWhdDrpMp7P4MOut17kXD2&#10;AtJaeyXVucqsj/zOeL0V/utjjFXo9N1Gtd8F6pLhFxKI/deuoYZDdLPjAJ0xBQpHqS33D9/dRc+N&#10;kyjLT0ZWqLextXukn6xOVwWvzDbJueZiv+aE+8rQPF8biKMFqWg6W44vRlvw6hc6Jr6RxwV1K1Ad&#10;M4wxxhhjjDG21E0IvwhX746irM925p8TCmg37dohbzYu1M1uCowicnKQerN92VZ/UdXypqYuHBLH&#10;C4Wxqn1DaH5nfF62MYx4x43imdDPu7q7yKpDqlxUPdeyMTiIurExJG8tgd3qT5Xby8RJoDCIZhHX&#10;jAy/nh3PATqbM3G+U/Vk3PEz8I82wMnRTBXnFBA6T7bZFue5KTCnylsKyb3DQxAQG4PQtDREFBZD&#10;u2M3DPsOIuZoJWKrjyPh9Dkknb+KlOttSO+4hbT2W0gVrzNFyOwYQHH3LewbGEbZ4LAMX2uFN8La&#10;SfLcINPPN2a9JvfZ9H0pQ3UK3MX1h6p368bH5aIjaj1P1yTqKrDvymVsO31KznXPPnIY6bt3IW5z&#10;DnRJ8XJmvU+gr2wVby+r1Y3t/n9tC28M1+mattDV6/R81OqdwlfP0ECEZecg/uRZGaLLjjhckW71&#10;aF/FVh2XIy/oc061nyWxr+n4i8vNMi4QEZTnAXsvHKAz9g7GSuOX+OfL2xhoqcexkgwZrlJb7+zJ&#10;MF0VyDLrR1XmtB9pYURuhC/ydUE4nLMRjadL8cVYK757MS72PbVof4mJicfK44MxxhhjjDHGlhNq&#10;3/78X1/hzOgQygdsK0CnlrDxm3Nk8LJQN7Ip3NHv2S9nkapuji4HFKDT/Gyaoz1TgL4+M12GYvMN&#10;0N083VBUXbns25lSMFTW0Y6ouPWza98uHrMO7JNh0uvfwQE6mzXj3OWUm+3GqnM/bziK424+5zP9&#10;rDEsp+p1eziL/0bzrb0jwxCSkgL9rj2IKa9CbO1pbDxzAUmXb8oFSxSQp3cOIr19QFbCUwtraief&#10;0tSN5MYueSynNXZgc2u3HC9xpK9fdlShLhnv+pxiy8hkwC7DdVOwfpdmut9F1dAgjnZ14lBTI/Ze&#10;uYwdDfXYcuqk7HxCC8FoJntQVJi4FrnKsSTyWBbHL13fZMA+pXJ9Ib6PUIhO30eoE0NYZiYSTp9H&#10;WnM3z0i3duK6S/spPCtLdhZ4VxW6gzieaAzBVnEc0rGqPKbZe+EAnbFZoLbuxtbuX+DeUCNOHyzG&#10;rkS9rFymimUKYrkq3frlRvghM8TTONNc7K+tsVEozUvG1boD+Op2O37452eT8/BfyP3N1eaMMcYY&#10;Y4wx9isK0L948YUMGSpsaP45oTB1XWqSnIH7rpuQ5kQthKOPHpMhjvLm6DKQdKMdeS3dKBfHS5Vi&#10;v0jieKL9o0mIlVVUqm05W1T55x3gg53n6kGzdJXPt0zQTfTdF87Dw2fmuf/0555+XjIQotDI9Ds4&#10;QGez0tglw/ONZy/KYFseUw6rfnOczRaF5jSrfM0ae7h6u8vAnOY6xxwuRUL9JSReuonka63iOXvE&#10;52s/0tooIJ+srG3qeuO10XFLC3kIHce0oGd7Zy+O9PfL6xgd4+Stn0+MTWNqGz+9cp2qf2nm/dHu&#10;LjkX/3BLC3ZfPI/swwdka3hdYgKCosLhE+QHNy83OK81dv6geevUhpuuX6bFTGYnvvfIMQriOdz9&#10;faAp3oKkC9eN584yHzFjzWjhz8Zzl+EVGigXEin37ST6/hQeoxfHXodcQKc6dtnccYDO2CwZg1Vq&#10;7W6cf/384SDaL1ajdmeunJNNQToFszkRvsrwli08WtRAM+wzgj2wKdANhfpgHMpOwMn9hWg9X4mv&#10;73RMzr037denXG3OGGOMMcYYY29B889Hn3xmc/PPKaClm9uRsTEztrI2F7oJTtVAG6qOywpI1Y3R&#10;5SDxRjvyW7vl8fKuAJ32T/iG+e8fCiN8gwOw/+qV5X0DWS5KGEd+xVG5aGSmKkdqsa1NiJXhz9T2&#10;rxygs5lQ+Ebh+fqjlfCOCJ2sFn/3go23kRW6dp/Klux+MdGI3FyA2Kq6yefpkgE5BUrykYJycVxO&#10;fz0mdLzS5w/9c1ZzF4o7enCgpx+Vk4t5qjg0Z2YmW8NPhuvVw2/Oxqf/bvpsPdzSjJK6GmTs3YWE&#10;gjxEic/eIG2EXPy1xtleBup24jyQgbq5F/yJ3yc78Yjz1DsqAtGHjyK1kYJano9ulagKXXzmabft&#10;wJoZqtBNHTuyDu43dpIRx+P0Y5TNHQfojL2HX8P0b/CfXx7g8+EmtF+swfHdm2WYnhXiJdFMbdPM&#10;dK5Qt5DJbUst2Y1zzI3t9anSnP77npRonNiTL+eZj3RdxMsnw2K/UUeBlwIF5o+40pwxxhhjjDHG&#10;ZkDzz+n/nbq+vo3Svn7lTSZrVTU8jPLubgTromZsZW0uVNHrEeCD+BNnkda2fG9MU4BV1N6N6nfc&#10;yKVQobKvFyEGzbz3j539CgRpIlDe0/NGELzcUGBT0duD6PQU2M9UCezsIIOazH17ZAXlsSnbjQN0&#10;9i6y6rupC5qSLXD1dpOton9zfM2EQh9x/FGLac/gAITn5GJ9WSVSxWcHde+QbaYpKH9HWD6VMTjv&#10;QLr4+wVt3djV1Yey/gHUUGDOoTlbDBSsm4jP1zeq12/fkf9+qLkRO+rPIK/sCJK3lkCXGA//0EB5&#10;ftB1Uc5VN2fLd/F7aLGL81onhG7ahMRzl2U1+mzPM7Zw6DMw+Uoz/GOixefku78jOTithp84bg7c&#10;vMFV6GbCATpj80QVy8aW39/KFu8PP+/GcOcFXKragwMZsSjQBRvD3QhfZIcZw12qUjcF68pQmCnR&#10;9pIhudyW3sZtOWWRQtG6EBzKScDpA0XoulqHz0ea8OTrXrlfaLGD0VMOzBljjDHGGGNsjiD+P+rf&#10;P93HtXujsgJddZPJWtFNxP3XrsIvNGjmMNFMqJLSOyJMtjRezpVdFKCXtPfItv+qfUNo/xy4cR3+&#10;YfPfPxQ0hEbrZTBBYYXq+ZYDal9/uLVFVuPP2L6d2mR7rMWeSxfldpv6ezhAZ0rieKCq86QL14wt&#10;28UxRJ9504+td5HVkvQz4md9IsOg3bkbCWfOy2pL2bVjDkFe8g1jcE5MLdoPieOWOl/Q4h0Kzqce&#10;14xZE7pW0XWQPn+P37mLuvHbONrVJb+30EzrtF07ELlhnWz7Tp/XslODYI5273I2u8NK+ERFYH15&#10;tTz/uKW79aHFRDFHK7HWc+07r+lOzvayE0/85hzUjIrr+TL+HmQuHKAzZkbGqnQK01/gPz/fx7++&#10;vYNHX/ai9+YpnDu6A0fzU7Fjow4lMeHI1wTIADgjyF1WS1O4TsEwhe3LPVjPi/Q3LjgI90FWqJds&#10;jS/b44f7yu1G22+n2I77M+JwYm8Bbp4pxXjvFbx4Miy3+U///lIG5cYq8+fCE+X+YowxxhhjjDE2&#10;OzT//Jsfvsa58RGUD9hWgE6trLecOgEPX88Zw0RzoRvS/tEGJF28bqygVNwQXQ4o0Nre2SerP1X7&#10;hlBwsO/qFfiGBs47QKc5sjRLndrmLu8AfUQGL7RNZgpZ6GZ7xHoDyjraf1OxRgH6kb4BZDZ3yRnS&#10;qn3MlpmmLlmpGn/8DHx1Glk5PtcgjwJAajXsFR4K/a494nPyBtJae4XZV8DSZ0vSZIt2qjbf3NqN&#10;/b398vpEVeY815zZLArUh4cnK9SNs9XLujpxsLkJuUcOyep07wBfOItzyVSdrjrPZosWs9B3Fldv&#10;D+i27UCqOKdoVML0c44tIrloqQfBqWkzdvqgz1c3bzfxHeCEPH6UxxibNQ7QGbMQ42xtCnGpXfgT&#10;WfX8H/Hfv3k2ivHeq2i/UIWLx/agZkcOSjcnY1eiHsXRYbKammZ2p/u7ytDYGK5TtbWPDJWXQuU6&#10;vYfcCD8ZkNN7o/dI75Xe86ZAd/k+iwwh2JGgxf70DagoTsfJfUW4Urtfbre7AzfEdhyR7fNpWxu7&#10;AJi2tXFGPVeZM8YYY4wxxpj5UID+5J9f4fjwECoG1DeZrFXt+DgKqipkle1CBegOdisQnJyElOut&#10;xlm9qhuiS5ypYnln17sDdAoJtpw8Dg9fj3kFATIEED8fk54iA+TlWnllahOcvKVIHu8ztfylWbtp&#10;u7YrFx1QCFnaPyCrejlAZ3LeeWsvoo8cle3WKTx/10ze6eQ5Ko43N19PROTmIfH8Vfn7XrdpVzzn&#10;dPS5Ypptnt3ShW0dvXKRh/HYN5p6DDNm62SF+mTbd3qULd+bmpC1f69cMOYpzie71Z/MO0in64Wz&#10;iwMicnKRfLWJQ3QrQ92MEk6fg5ufN5xoHrpiH5rYrf4UusQEHBvol2OMVMcVmx0O0BlbABTmEmOo&#10;TlXqFPRSZTRVSD/D99/exVfjbRjtvoyeGyfReuEYrtYdxKn9RajamoWDGbHYl74eJevDUWgIkQHz&#10;pgB3GTZT2E4BtImptflr4cbKdhX6PbLifY7o51S/zxSIm1D1uOl1UUBufL2eKNAFoSQmTM4nP5gR&#10;J9/jqf3FuHr8EFoaKtB97QRGOi/i85FmPP26H7/8dH9yW1F1P203Y0hO25PCcxmWv1Jve8YYY4wx&#10;xhhj8wc8woNvvzSG5zYWoB+/cweZB/YZZ+3OIeyZD/tVnyA8bzPSaaao4kbockBBF1Wy7Z4xQB9H&#10;cW013GmG8jwWOMhwTvx8bHbGMg/Qh2TgEhm7bsZAhSqHXdY6YcuJOnmeTP9dHKAzEwrPiWbbDqx1&#10;d5l7y3Y6t8XxFhgXi9iq45PBObWKnvts8/zWbuzu7kO5uBbJ2eZ03E87dhlbkmiB1GSgTosDqTqd&#10;ZqcnFG6Gb7C/XBAl27u/53cdY0v3VQhJTUHy1eZlPYLGGtGihsjCYjg5rnrn4iVq9U9/TjP15WiW&#10;Zfp9yBw4QGdskclgXYbqpkCd5nR/Jx9//vEr/OubO3h6vx9PvurDl+OtMlS+3X8dI92XpI7LNbha&#10;e0A4KB/rduahelsWarZlo2Z7No4WpmJ38rrfoPB6W5zGWBU+x4r27fEa+fPTf+fR/BTU7sgxPr94&#10;7nNlO3Ct7pBECwNGey4Jl3FvqBFfjLXg0Rc94r0NyPf4849fv/Hef22//kwG5aptxxhjjDHGGGPM&#10;8ibIq4cYe3IPZZOVfraEgsH0PbuMbYMXKEB3WP0JorZsQ3rXkPIm6HJAc4k3NXVif0+/DGJV+4bQ&#10;vNf8iqPGUG6OraCnkm2kxf5N3b7FGKDfWp43jClYOdh4A14BPjOGnNTyPlgTjoM3b8jqxum/i0LJ&#10;owMDyG3hAH05k0H39RZE5G2WbaNnqn58gzgnHRxWws3bA5qSrUi51ipbwM+m4pxCc9N884ymLmzt&#10;6MVBmm0ug/NBDs3Zskdhet34OGrF5/e+K1eQuX8fAiNDZYj+vt95ZIjuSCF6KpKvUCU6h+jWgrp1&#10;JF26CR9NhFzooNp/JnR9D4oKw5HWVuX1nc0OB+iMWTFjsE7V1hQkE6rANoXs3056amxl/stD+fjv&#10;f32GH/55b9JnMpz+5umIwihePB6SAfZcvXg8LH9++u+k5/q3eE7T89MCAHpdxPj66fWawnFTQE7o&#10;PXJIzhhjjDHGGGPWiAJ0eux/eAdH+20vQD957zMklhRh9ap/KG8ympsMctfYQbd7H9LbB5Q3QZcD&#10;U4B+oPfdAbrsELB/j9xu81ngILe7eMzYs3NZB+h0o5yqzlzcnGdckLB61SdYTxX7dHNdUaFGAWWl&#10;QBW/prbZbHmRc8mvNCEkOVkG507is011LKlQ1bmTwyr4aCKxobJWzvA1Vp2rn8uEAnNasJHa2IGs&#10;5i7s7OqVnRDomKTPEg7OGXsTBenUzYWC9CNtrdi0Z5dcROUgzr/3ae0ur8fi52Ql+pVG45iFaecp&#10;Wxz0mbzuwGHZ0WON8zuu8XLx0iqk7tgqF9bRMaI6dti7cYDOmI173Rre5HXoTo+mf6aW8W9jCrHn&#10;QvV7iOl5TY+/vi7ZZl3x+hljjDHGGGOMWTe8eohffn6A1i/HUW5jAbq8qTw6hg05mVi16mP1TUYz&#10;o4CJwst1B48gva1feQN0OZhLgJ6xd7fcbvMJ0CksXiu2e1F1JaplgK5+vqWu7vZtxG3OkRWE79qe&#10;FJBQ+/acI4fkz6h+lylAL+AAfVlKbelD4rkrCE5MhJPDSnnMqI4lFTr+nMXxFbppE5IuNyGNqlgb&#10;u5TPY0KfGXScUZv2zeKY29vTh4rJ41DONxePquOUMWZE33loARktijpw84b87uPqsRb29ivmfH2l&#10;853O47BN6XIcS0rTu89ftjCMHUFaERgfB0exX1X7zoTG2nj6eWL3pQuTCwvVxw17Ow7QGWOMMcYY&#10;Y4wxxthbUYD+408PcPXemM0F6FR1c7SzE1Hx6///7N33e1NJmj78f+6dbsBBDjhHnLDJGIzBAcnk&#10;nHPGOOBIanI0zpYty8LZprtnenpgdmd29ruzk5e+3/OUUA9tSkcyliWH+4fPxTUNFhenjs6pqbvq&#10;eRARYb7QGChR0eFIzEhB0c1G9+lNzQLoYiBh2M42O647XT4C9LcoO3EMkRFLZhigRyAuKQ7HbzUa&#10;4744F4olPJGQsaBoo+qFq7tOHpGWMKRmZeD8k0em5V3rDUe7GKAvNtbOfmy79wjp61bDIs/OaXw3&#10;oyzLEJ+ahHVnzqmwR/r26v4OD8+Jc9lwc6TLgcsOp7qPedqc6Mt4gvTGsVEca25AwaaN6jSyBKq6&#10;76w3nk0zq4+dgE2CWz9aL9Dsk+pGUtUjPiVBleqfOm6fknEvtJV/3IjEU+jTxQCdiIiIiIiIiIi8&#10;wof3+Mvff8SD8RHUuOZXgC4LyNc7OrCycJ3qB6lbXAw0ObGVnLsCW299s6h7h0ogJuWXpey/WQh2&#10;6+132HroAMKW/n/a6+kvCQbik+Nx9uFDtXFC93ctdBKEn3vyCGk5mWrRXHedPOT7ULC50B26myyq&#10;S6/p4z397IG+iFg7nT+H5+qEo5/huTqxatx3aatWftxA1A+ryalVFZwbKtrs6h675vx3mfap9yER&#10;TZ8825vGJ1DV24vSY4cQGx/j890wlQS0y+NisPHiFfemQIbooWeMga3dgbyKHYj2UW1GzY2S4nCs&#10;sUH1y9fdJ+QdA3QiIiIiIiIiIvJKAvQ//+1H3BkZRo1Lv8A0VzWOjeHiy+dYkZ/zRX1Av0RU5DKk&#10;rS5A2cMXfvX7Xaj8DtAn36L44H6ELZtZj3pZ5E9MS0ZlT8+iDdClHP7+quuqdLZZ/3NZbJews+TI&#10;QdU3V/dZHhKgn+51V1KQwHPqONMCIqHMx/A8Y92a6YXn0u88JgLZW4tR8s1T2Lq8B23ybJB7aWeb&#10;HSft7G9ONNsaRsdUmH60sR7pOZnTLukuG2MSM1OxpfG28d1evK1p5hLZoCnP6oTMNLVxUzduHlKB&#10;qWDzBtyw29Ew4r3iDH2OAToREREREREREXmFn97jf/76W7WQVDvfAvTxcfeJ3Kx0WKZZuvRLSbnj&#10;jI0bsP1lp+npy4XOnwC9bmgYNf0OrCvbhohw85LjvkiAnpyRiqq+vsUboE9MoOzYYYSHfa29Rh6e&#10;E2kn7tzy2S++fnAQF/qcsLUyQF/oPOF5+rTD83D1Z1fu2o3yF+3ufueaz5dngthlPBdO9PTjhsv9&#10;bGBwTjT76oaG1KbCSy9fYuXGdWpT4bRC9MhlyNy4HmVPX6vTz7rvOAWRbHjqcGD1kaOIkfmtyVjK&#10;hjmx78Y1NPnYNEe/xACdiIiIiIiIiIi8kgD9D//7g1pImm8BetPEBI7fvoW4hFjTE7mBZAn/Giu2&#10;bUNFzxv9ouci4U+ALkH3DXsPVhfPvEe9BOhZq1cu2gDdcy1XFW/yeS0lOJFTiFLW19e1knDzav+A&#10;Oi0sfe11Y03z37/Ltq+BZRrtLqTfeVxyPNaeOg1rS7e237mnx/nPwbnxTGBoThQKg2pj4Y1eO9aV&#10;bkWk8a7wd26kKpcY746Cfftha+/H9tbFu0FwrrC2O1D2+CWSc7PcG5k04+YRaTyrs4050vWuLrWR&#10;Qn9/0FQM0ImIiIiIiIiIyCsp4f7r//q1WkiqnbKwNNdJSeujjQ2IlYXfaZy0+mLG3yEnN3NtNti6&#10;F3eZU78C9JERVHZ3oaBoIyJm2KM+KjoceRvWoNrhQP3Q4gvQpRT7+adPkJad4aNdgXGPRkdgXUkx&#10;bsoJ4KEh7ed5yNhJ4CljKWOqG2ua36wdU06ea++bz6m2Cekp2HjpKio6nbC2/bJlhafH+c62Xpz6&#10;WKpdWgLUT7nHiCi4JECVct7F+/cYc6NI9U7QfcenklPMyxNiUVhZ7bXSBAVRq11tWlp3/pK7jYaP&#10;eW6kMc+ynjpuzJGGVEl/3b1Bv8QAnYiIiIiIiIiIvJIA/bs/fq8WkuZfgP4WB27WICLcvKR1wEhQ&#10;Hx2B/H37Fn2f0LKWbuzt6NWOi4fqUf8iMD3qJUBfVbQRNf39PkPhhah5YhLHmpvc96DJIrr8nrQz&#10;2HH+jLpO/iyiS4i+zxjLUmNMdWNN85e1vQ/lL9qwYksRLBFLTMsA/8z4M3LyPGlFOopqm1QZ4U/7&#10;nUulAgnPK9rsONbjwPWPm2jk1Lnu/iKiIHO50Dg6pn4tPXJQzVv8PYku/dBTC/LUyWddxQkKLhmD&#10;smetyFi/Vj2XdWPmIfOslPRkXG55xV7ofmKATkREREREREREWj+JD+8w9P6tKt8+3wJ0KeG+t/Kq&#10;z57QgeIOLi1YffQYA/SWbhW6moVmEqBfePYUGXlZAQjQI7B5l824TwcWXYAuIXjDyAgqzp9BhISg&#10;muvjoe7RuGicf/7c7zKuMoaHuhw8gb7AWOUE6atO5JSVqeDFbOPFzyQ8jwpDcs4KbLnZhAp5zn0M&#10;z92l2rthM/73ke4+d3Bu3DsMzonmpobRUdQOOFG0dyciI5f69QyQPxNtPAMK9h/4bPMMhYY8hwuv&#10;V6nqAGbVBGTspHLIlr27UT88wlPofmCATkREREREREREWipANwy8m38Buvt07Rt1umqm/bX95Slv&#10;uv78Rdg6F3d5U38D9HNPHvtRdtw3WTTetFgD9OFhVDv6sNFaikhLmPb6eMhJ/ayCXFzr6PD7BJqM&#10;4Uk7y/UuKG29sLb2In/ffvepRT+DM/mz6WtXY9udh+5n3MfwTG2uaO3Bgc4+XHEY30HjnpFT597a&#10;NxDR3NA4OqrKua8r26rCVb9CdOM9Ep8cj821jajodn3+fKGgshrP8+3GnCtrazEsqh2O9zGUuVZC&#10;SiJO3//G7010ixkDdCIiIiIiIiIi0vIE6P0/vkXNPAzQpTzp1oP7ghegR0cgLikOhVeuu093ahY6&#10;Fwt/AnSpEHDizm0kGNfM3/KxWhLsGde+7Ogh9bmL7VSVnCK81tGOFStzTE+fiUjLUmzeaftY6t6/&#10;XvESgl50DKiTxXLKWDfeNI8Y4yjh95rjJ9V3Rzb+TL1PPqPC8zCkr12Fbd88ge1jaCb3g5Rs39vR&#10;h/N9TvWe4IlzovmlaWwcld1dWLlxreqT7U+IHhW5VLV+KH/RDms7S7mHmq3TiS31zYhLTVQbIXRj&#10;5iHVBmTDRO2AbDj0bx6wWDFAJyIiIiIiIiIiLSnfLr+2fT+OGpdLu7g0V9WPjKhTVWtLtsDi41Ru&#10;oMjp3oS0ZBTXNy/6BWV/A/Tjt5oRJ2VHZxCgq5Ox0RHYdekC6v3s672QqFL4L55jeXy0cS3Mr6O0&#10;M9h34zqaxie0n6UjAXql04UKBugLggQthdeqEJcc7zNo8Yg2/pycPC+590S1p5DQvMz4rJ1tvTjV&#10;248q4/1Qb3zveOKcaH5yV4R5grSsDJ+VTBS1+SYCGy5chk02DLKUe2jJxqgOB3Kt29Xz2qyqiMyX&#10;4hJicKShTs3DdPcDuTFAJyIiIiIiIiIiLU+A3vLd2LwM0Cu7u7GqaGNwA/SMVGy7dZ8Bur8BenMT&#10;lsfHMED/Usa/tX54GHuvXVHXwOzkoFzj+KQ4nPrmrnHtJ/WfpyGhqLRw2NPeywB9npPwfOvtb1QP&#10;c1W6XXOfTCUnTdMKVmLbvccqPJdy7dZWO4509eG606XuDynZrrt3iGieMN4lUs798M1aLE8w3sk+&#10;qpkI2YCTWpCHsqevjTlPn/aZQ8Fj7XBg293Hxjw0RW1u0I2Zh1QayC9cjxv2HlXFRntPEAN0IiIi&#10;IiIiIiLS8wTord/PzwBd+jznrls14/7a/pISx0m52Sh/1enuSalZ4Fws/AnQmycncfBmjd8lY73x&#10;BOhHGuvRYIy7BAG6v28h8mwWKN63yx14mFxHOVWYvWYlLre8mtaCuQrQDUe6HAzQ5zFpKyHlljM3&#10;bYTFz7YW6pm2Ih1b6pph7XSq8Fy+11LSX+6L+o/3CBHNf7IBrX54SLVDkfey7pnwKXn3SguINcdO&#10;wtbl1D53KHhkY5PMPQsOHPC5QUrNm4y58f7qG2gcHVt0lXv8xQCdiIiIiIiIiIi0JED/v3+9w+OJ&#10;EVQPzK8AXQLCy69bkLIiza+TVIHgCdC3t/WqhUzdAudi4U+AfuvtW7V4Gx72K+319JcnQD/37Cka&#10;x8a1f9dCJb3+a10ud6UFHxtFwsK+xsaKctS9camf032eN3LC+FyfkwH6PCWhigpW9h9AdNQy040W&#10;HlFRYaqiRlFdM7Z3OlHR2ouT9n7V57yBJ86JFiQ5hV7VazwrNm9EpB8bbWTek5iViZL7T9kLfQ6w&#10;dfZj271HSMrKcJdy14yZh8wZVuTn4HpXp3vzoeZ+WOwYoBMRERERERERkZYE6P/61zvcGRmatwF6&#10;alZ60AJ0WazMKNzoDs8XfYDeo0p+V7vcJZ51Y/TvAP0r7fX0lydAP/vk8aIL0KV8e2VPN1KzM0wD&#10;dLlGcqLQdvaUuu66zzIjGyGuOV3qvmaIPs8YYyahysbL11S7BDkxqrtHPiXfp+VJcdhwuRK2bhcO&#10;djlwtV/6nLsrEujuESJaGJrGJ1Srj8S0JN8tcIx3i8x9CvYfREWP8Y7QPYMoeOR53+XEmhOn1OYG&#10;s81SnlPoO86dVnNmnkL/HAN0IiIiIiIiIiLS8gTod0fnX4DeODaGC8+f+R0YBUJ0dDhWbCligG6Q&#10;AH13ey+qjPtGF7jJQq2ceLKdOYWI8CXa6+kvWQSWcT5vjLeM+9S/ayGTVgUn7txCfHK86UYR1f88&#10;MRYHa6pUOKL7LDNyAl3Gci/7oM87tg4HSr558rHvuY8wzBD98T5ac+oMdnU6cK5vQJXwZ3hOtDjI&#10;+7lxfAxlx46oAN3XHEqeK/J8kZPPtk6Wcg81a2c/Sh8+R0p+LqJ8lOKX8c1cma1OocuGPN39sJgx&#10;QCciIiIiIiIiIq35HqBLoCoLvxKw6hYOA02Cp+ySEgboBp8BupQQd7mwdf8eRPjZj9kbCY5TV6Th&#10;0jR7ey8EDSOjsJ4+oa6DWcgh/c8z8rJw8cVzFbrrPsuMZwxP9DhQaoytbsxp7rG29aHs6WusKNzo&#10;DlJ8PQuN34827pXcXbuxp6MP11yDqs85g3OixaV+eASVXV3IXlPg1yn0qMilWHX4qKp2sdjnP3NB&#10;RfcbrD15BjEyBzaZG7gr+ISj7NjhRbcB0R8M0ImIiIiIiIiISMvTA31eBuijozj1zT118jYoAbr8&#10;HYaCvftUr2EG6H4G6Af2MkCfgcbRMRTt3qHKsJqFoxERS1BQVOg+YfaFZVobjJ873+dU/e11Y05z&#10;T0W3C+vOnEOM8R3xdYo02iAhWPrmTdj3uhOVg8MMzokWsQbj/XK4rhax8mzw8fyQEDYpKx1b7z3m&#10;KfS5QOahLzqQvm6NMT8wP4Uu7V3SsjNw4cXiq+LjCwN0IiIiIiIiIiLSwod3+Os/fufuge6aPwG6&#10;lB+tHxrC3utXVbga1AB9/wEG6AZfAXr90DBqnE4U7dmhFm+119RPMsbpOZm43Pp6cQXoUmZ3bAyr&#10;thaZbkKQ+19OEG7evQNN41/eI15KeF93urDTuL/LeQp9zpOToFLGN211Pix+fMfkHknMXoE9D5+h&#10;ZnQcDZp7gIgWj7ph93t6bckWVcVE99z4VJRlGVYdPgyr8e63thrzIM1ziYJH3gEbLlxGbJx5hZqY&#10;WPcmu9Ijh9SmPPZC/zcG6EREREREREREpIUP7/HH//0BzcNDqJmHAfruyxeDFqB7/o51p84wQDf4&#10;DNBHRlDZ041VWwp9l4f1QX4+v3Cdu4fnF5Qnn6/k33r59StkrMw2DTdk4Tw2Lhq7Ll2Y0QYDzzge&#10;7pIy7jyFPqcZzx/pfb762HGfPXCFukcSYrGjpgZ1EqB8Mu5EtHg1jo3j9P1vEGc8H3xWsYiJQEJm&#10;GrY9eApru0P/bKKgkblo+Yv2j6fQw7Vj5mEx5sqJKYk48/ABmngK/WcM0ImIiIiIiIiISEsC9D/M&#10;0wBdAqDtJ48GL0D/GFIWXq2Etb1Pu5i5mHgCdCn97zVA7+5Cwab1AQnQC4o2qs9bTAG6nD4/1tyE&#10;xLQkWEwWx+U7kJiahHNPHs/4+kgZ99N2J0+gz3HWDgdK7j9DUnYmoo3x190Xn5LvUNGBfaq1gmw+&#10;0o09ES0+Ui3mpmsAm3baEBG+RPv88JC5loToqw8fga2DvdBD7uNGqo2Xrqo2HmZtXoRUstm8q8IY&#10;d5e73YvmflhsGKATEREREREREZHWvA3QP/bX3ry7QoWHvhYNA8EToG+6XsUA3SAB+q72XlXy2/sJ&#10;9C6sKtoYmBPom9ajcpGdQG+amMC+61exPD7a9GSghOvpuStQ3e9wfzc0n+UvKeN+zSFl3O1qjHVj&#10;T6Fmh814Bq0+egzRPk4dCglNctevNr4/XYurBQIR+aV5chIn7t5GQnKcOqmse454REWFIXVVPsqf&#10;vnb34dY+oyhYZD4qp9BXFG2CJdJ7qxchfe4TkuNx5tFDNCyiuZQZBuhERERERERERKQ13wN06a8d&#10;zAB9ecJybL37SJ3+1C1kLiZyQnlHmx2X+gdU6Dp1jCSou9LWisyV2T5Li/oiPdQ37bC6A+JFdGrq&#10;1ttvUXrsCMLDv9ZeFw/5DshGhVrjOzHTAN3jYGcfA/Q5SgKT0ocvkJQlp8/Nv1tybySlJeHE3Vuq&#10;ooFurIlocVNtcYx5YKHxnlWn0E3mVGozl/H7a0+chq3LpX1GUXBVdLuw6UatMUeNMd1sJyxRYWqc&#10;pRJJoOYL8xkDdCIiIiIiIiIi0prPAXrtwADWlRa7A3TNImGgqQA9MQ4lj14yQDd4AvTLJgH6pVct&#10;SMlMnfEYyQnarQf2ofZN4ALiuU7+nbLAvbHCirBlX2mvi5CSulExEcb12eP+ucHBzz5rumQ8z/Y6&#10;YZVxnjLuFHq2LidWHzqsnkm+2ldEqu/OXhWeMywhIm+axsdx8u4dJKYmmrYMERbjuZKxYT22v+zE&#10;9jZW5Ak5NQbdyNpabIyNeRl+mY8lpiTgzINvjHkaN1UxQCciIiIiIiIiIq35HKDX9Pdj5ca1Mz7d&#10;7C8Jq+KS4lHy8AUDdINfAXpLC9Ky0gMSoBfv34Na18CiCQGlvOr1zg7kb9qgTuDrrotQPWkNh27W&#10;uMvbByBAl5L8V50DqGi1M0CfY6zt0vv8KZJzsxHlozWCtD5ISk/ByYcP0Dg2rh1rIiIhm6/kvSPv&#10;WjWvMtmcozYUxkWr3tsVXQPaZxUFl80Yh02V1YhLjDOtTCLzBYtU9dlpQ/1wYOYM8xkDdCIiIiIi&#10;IiIi0prvAXp+4bogBugRSMpZgZInr1SIpVvAXEz8CdAvvnyJpNREdUJad039JQH6lr27UDPgXDQB&#10;upwGPPPwgc8T/GpjR0Ksca1fqGuu+6zpqjPG86JjADYG6HNORY8La46dUL3PTU+fG78XFRWBNXv3&#10;4NqbYeM7urhDEiLyTTZhXXjxDEnpyT43vslJ5xVFm1H+vE21ldA9ryiIjPe1tbUHK7ZsNp79PjZX&#10;Ge+P+OR4nLh9C02Tk9p7YbFggE5ERERERERERFrzNUCvHx5GtcOBzPwcn6VGAyU6OgIpBbkofdLC&#10;xWKDBKtS4vtcnxMNmgBdSkafe/rErzLTvkgP8B0Xz7l7OC+SILBpYhLHmpvUKT+5hrrrIiTkyMhd&#10;gasdHer0oO6zpks2RJyy92vHnUJHKl+UPX6J9HVrEGVSlUBIwJ6wIh3Wxy9wzTWo3eRCRPQp2aAm&#10;th7ch0ipcOHjFHpsfAw2V9epthK6ZxYFl7WjH0XGeCxPXG46bxAyr1pXuhU1zn41p9bdD4sBA3Qi&#10;IiIiIiIiItKazwF6VV8fkjNSghug5zNA9/CcTD7Tax6gRwUiQA/7CvtrqnD7228/+3sWqubJt9hf&#10;fQMR4V9rr4mH3P+rt25GVa89YIvgErYe6nKgrOXzcafQqehyYv35S4hWpwt9nT4PR8HBQ9jV2Y+r&#10;ThcDdCLyi7y7zz976j6F7mN+JW0isku2YXtLN6zshR5y1rZeWF93I7u4yGeLD3fAblEb9ZrGJ7T3&#10;wmLAAJ2IiIiIiIiIiLTm+wn05IzUoAboKwo3oEzKlXKhOOgB+r6qStx6+/azv2ch8vSitZ4+ifDw&#10;Jdpr4iH90UsOH8RN4/sbsPL2xnju6+xFaUv3Z+NOoSFtI8qftyNz00bfwYjxrEpckY6t959hV1c/&#10;rnhps0BENJX7FPogth06oNqn6J4xHhLCymnn4lvfwNbB1jZzga1TTqHXIzYu2rSCgJD5w9ptW9yn&#10;0ANUwWa+YYBORERERERERERa8zlAv97ZiaT0YJ5AD0d2aQnKX3aoUz66hcvFRAJ0cdquD9AlAD5c&#10;f1OVGJ9pgB627FfYd+P64gnQP24Q2WgrVwvcumviER72tXFtKlXP9DrNZ02XfEblgAu723t5An0O&#10;kXBqU1WdMeYWRMeYf5+iIpai4MABbG/txU5jHBmgE9F0NBrvk3OPHyMlM1WdMtc9Zzxkw06ezaZa&#10;TEgfbt3zi4JHbfB81Ym8km2IjDCfP8gGx9i4KBy/fStgLWDmGwboRERERERERESkNX8D9BGc+uYu&#10;EpLjVUCrWxgMNBWgb9vKAP0TckL5eLcDDVP6kssJ6vqhIey6eH7GAbr8bJRx7Q/V1aJ5cvIXf89C&#10;1TAyimsd7chZk2+6QUSuTazx64m7d9A8EZgSrBK0XnYMYEer/ecqAxRanueNPH/kOaS7FzwkzEpI&#10;S8KWhtuwdjqxo83OAJ2IpsVdBWUUWw/sVZu4zN7hUuY9Pi0ZW2/dU5Uypj6/KPhsXQMorq5FfEKM&#10;z17oqg1M8Sb3uAeqis08wgCdiIiIiIiIiIi05nOAfuxWE+KT4oIWoMsica51uzrZwwDdTQL0YyYB&#10;+u4rl2YcoMsJqbiEGDXeTQEKiee6htFRXGppQeqKNNP7W35P/sy5J49VyXzdZ02XjOXZPqcaXwbo&#10;c4O1vQ9bm+4iPiVRBeS6e8EjKnIpVu7aBZvxM+WtdgboRPRFGqQX+tMnSM1MMz+FbrzfZWNP/t59&#10;KrjVPcMoyIw56o7Wbqws3YZIH21gZB4RnxyP0w++UXMP3b2wkDFAJyIiIiIiIiIirfkcoJ+4ezvI&#10;AXoY1hw5CquUKGWZUsVXgB6IE+iLMUCXMPzCixeqh2l0rPfTY5GWMORtWIOrba0BW/iWsTze42D/&#10;8zlEetrm79qlQirzk6BhSEhPwZbGO8bPOFHe0sMAnYi+jPEukPfK1v171AZC02ePZRmSc7Ow7d4j&#10;9bzSPccouGQzQ2l1LRKT42AxqVwi4yobJAp3WNEwMqzGXXs/LFAM0ImIiIiIiIiISGs+B+gHa6oQ&#10;lxAb3AD96DEG6J+QkPVIl0MF5p+Oj+d/bzu03z0+DNCnRXqRHrvV7HPzQXj4EmzaWaH6lgei9Kp8&#10;Tq3hsDGmDNDnBmt7L0ofvUDKylxE+ehFLKfPs0tKVHguPysB+q42O645GaAT0fTVG++iiy+eIzkz&#10;1XgfmYew0cYcadWhw7B19HOONAeUv7ZjX6cDBduK1QYH3bh5SBn3pLQk1RppscyzPBigExERERER&#10;ERGR1nwN0CVgrDhzUvV/9tXfMVB4Av1zErIe7OxToauEr57xkTC31rifNu+qmPEGh8UWoMvmA7Hj&#10;3GmfAXrY0l+h7PhR3Pr2W+1nTVfd4BtUDbiwv6MXZS36Mafgquh5gzUnzyBGnnMmzzq5V5YnxaGo&#10;pt4dYBk/K2O4p71Xjemn308iIn/UDQ6pE8mbdtpgMeZAumePh2zwSc3PQ8n9pz8/gyi0bB1O7Kyt&#10;RWLScjWX0o2bR0TEUmwy5mz1MgdZRL3QGaATEREREREREZHWfA7QJWAMaoBuCcP6cxdg63AwQP/I&#10;V4BetHvHzAN04+c9J6Max8d/cR8sRJ5rV7xvt+m1k/teTgRKn/nmt2+1nzVdckr5Wv+AOrXM/ueh&#10;J73Pt7/swIrNm2GJMO9jGx0VjoyN690/19qrfmWATkQzJWXcpT+2VPzxNd+S59C6s8Y8Scq4c54U&#10;esa74HBHD1ZuXOdzA4TFmG8kpCQYc617aFoEcy0PBuhERERERERERKSFD+/wl7//iNsjQ6ieZwH6&#10;zvNnghigW1QJzE01DajoHtAvVC5CEqAf6OxDjTEmsxWgS2nRjNwVOP/sieoN/ul9sBDJtatxOrF2&#10;2xbTaye/F5+0HIfragN2Ml8C9MsOub8ZoM8Ftm4XNtfUIz45DtFmmymkSoFh45XrsH6ywUe+n/s6&#10;e1m+nYi+WP3wMG66BrBphxUR4eYbeaRXempBHkofvYS13XgWTXmmUbDZsavLiT1VN9Q7wqyijZDx&#10;3bJvtzHuLmMuYoy75n5YaBigExERERERERGR1k8f3uFf/3qHu6NDqB6YXwH69hNH3QuCDNBDRk64&#10;7u3oxQ054fpJSPfvELiYAfo01RvXrrrfgZy1BSqM0F0TIdcldUWaOhnYOBqY6yKlW8/1Otn/fC5o&#10;7YWtvQ8FBw7CEv619h7wkO9YSn4uSp+0uCtkfPyMMqkQ0dXHAJ2IZqR5YhIn791BfOJy03e66oVu&#10;zMk2XLxsPL8YoIeabISTd8Kp9i7kF65HpMVHGX55l2Sm4uKrl6rygO5eWGgYoBMRERERERERkda8&#10;DNAHB9XCnuqvHRXu80RNYDBA1/GUiK407p1PQzp3CNyP3PVrTENgfyy6AH14GNWOPqRmpat/u+6a&#10;iIjIZchek49r7W3Gz4xoP2s6PBUETvb0q+BVN94UPFICueTBM6TmZZuePhfybFp74pQK3KeWTT5h&#10;jCcDdCKaCemFXvexF7qvU+hSxj19wzpsf9UFaxvLuIda+Ws7jvS9wcHaasTERPqcM0vIXnb0sJrH&#10;yZjr7oeFhAE6ERERERERERFpzecAXRZygxqgR4UxQJ/CV4Cet2EtA/RpkgD9UssrJKQmmp70Cw/7&#10;Gqu3FqlqDPKd0H3WdEiAXuN6g8NdfWpcdeNNQdJqV6cGN16+jhi5B0yecRKuJ6QlobjpLmxd/342&#10;yclDa2uPqijwaXUIIqIvIa1CTty5jUTj3WS2uUueSbHxMcbz6xpsnc5fPtso6ORdsNuYt55vbUPu&#10;2gJERi7TjpuH5xT65ZYWd/l+zb2wkDBAJyIiIiIiIiIiLU+AfocBuikpSRqfkoAtjXe5IPwJWZjd&#10;2WbHtf4BfYC+cV1AAvT0nEyce/p4kQToIzjW3Ij4pDjTAD0ycqnxHahA08Sk9nOmS0LWKuMZsLe9&#10;V42rbrwpOKxtvcav3cjeWqxOc+rG38MSsQS527ersHy7+jn3Z6jSva12XHEMMEAnopn7OPdaX77N&#10;dwhrvJ9WFG3+2Aedp9BDyfM+P/9mBLsvnoPFEmbMaU02ZRlzapl7lB8/uijmXAzQiYiIiIiIiIhI&#10;yxOg3x8bZgl3ExKgy4ngLU33GKB/whPSXdYG6A7krFs14wBdyolmr16pTmXLuP/iXliA6kdGsOfq&#10;JSyPj/Ha31/ueTnlV3rkIBrHx7WfM10yftLLvsIYTwbooWVt78O2e48Rn55sWr5d7g+5TzZeuY6K&#10;nje/+IzyFvfmlmqX6+fy/EREM9EwNoYj9TexPCHW/Nlk/F5ccjw2Vd2Erdv1i2cTBV9pSzcO9Qzg&#10;WmcHctbIKfSl2nHzkA0SWQV5uN7ZHpAWMXMZA3QiIiIiIiIiItKSAF1+ffntGGpc8ytAX1NS7PMU&#10;VKAwQNfzGqAPD6Oqr9dnH29/REQsxerizajqtS/8cqJyb4+MoPz4EVW229vmkCjjfoyNi8bOC2eN&#10;70JgTojJKeUrxjgyPA89ObW55ugxd+l2kw1Ccsozfd0alD9rxfa2vl98hozj3s5e99hOGWsioi9R&#10;NzSE2oEBFBRt9Plul+oY2WWl2N7S/bGqxi+fcxQ88j7YYczVqkfHYT1xFFHRxtiZvFvUKXRjfHec&#10;P4vmt99q74WFggE6ERERERERERFpeQL01u/mX4Ceu3EdIiKWaBf/Ak0F6FLCnQG61kXHABqMcfGM&#10;kSdAT0xPDkiAvmrLJtyw9yyaAL3IR3UFKa+akByPow11xp8PzKl8CVmlXzYD9BBrtasAPXNTIaIs&#10;YdrxF+reMJ5Lqw4eRMUnvc89ZByP9zi0Y01E9KVk/nW0qcH9HDKeQVOfTR5yCl21vqm/BZvmGUXB&#10;VdbSjTMOF669bkGaH5sbI8KXIL9wPW70dKt5ie5eWAgYoBMRERERERERkZYnQH89DwP0vML1QQ3Q&#10;JQze0vwNA/QppDTouT6nNkBPykhhgD4dKkAfxbqybapPqbcTYnJ6LNm4H88+fqhKvms/6wuc6HEw&#10;QA8xa4cDWxrvICEj1bT9gfye/Jltdx6qku+6z7pgfC95+pyIAkneOTfsduQXrvOjF/oy5O/ZC6s8&#10;k3gKPaQkQD/U7cDNoSFs3b/XmJuFed2kJ9QpdGOucbC2Gs0TE9p7YSFggE5ERERERERERFoM0P0j&#10;YVVqQR623X8Ka0e/dnFysWKAHjh1xjWUnuYr1b3tvUephOtpORnGNe5T/eZ1nzUdnpD1cBcD9FCr&#10;6BnE6mMnEBMTYR5uRIdjxZbNsErp9la79rOuO12/aK1ARDRT6j01Noa916+6N3ppnk8ecgo9wZgH&#10;bLv3GNZOzp1CSd7tFca7onJwCBeePlFVbKSajW7cPGQesq5sK6odDmP+tTBPoTNAJyIiIiIiIiIi&#10;rZ8+sv92ErWuN6jVLC7NOSEK0NPWFKDkwTN1QlS3OLlYMUAPHPn3yb8za9VK05N9ElpkG/ej/Iz0&#10;pJ36OdMlAbp893e396K8RT/OFAStvbC+7saK4i2qf7Bu7BVVNtmCjZevak+fyxjubutFlYsBOhEF&#10;nszBKru6sHKDtNLxvtlLyPxp9eEjxrPKeL552exDwSHztbMOF+qMd0PR7gpE+KggINWXYuOiceLu&#10;HTQaY667F+Y7BuhERERERERERKTlCdBd798yQDfBAN07KQt60t6vQljPSWYG6F9GSuNeePYUadmZ&#10;pif7VCCxdbP6mbrBwATo1cb3v6LNzgA9hKRP8Ja6ZtUuQk6Y68ZeyKnOxPQU9/Oo/fPnUZkxhlJN&#10;QJ7nnu8kEVEg3ZqcRMW5M+pd5ataRnJOFsqevnZXzJjyvKLgkVPoBzr70DA2hpN3bmN5fAyiTPrY&#10;CxnfTTusaswDsWFvrmGATkREREREREREWp4A3flu/gToEjJeft2CjJXZiPRRPjRQGKB7JwG69M6W&#10;sfl3gD6CU/fuIN6PEqG+LKYAXTaGnLp3F8kmGw8kqJBTYUW7d6hSukL3WdMh43a1fwC2VjtLuIdQ&#10;RbcLa8+cR1SkjxOdxnNv5Y4K42e6YdX0FZZThmdkUwtPnxPRLJH3lczFMvNzTCumqFPMxq9rT52B&#10;rcv52fOKgkfe79KP/sabIdx09mNd2TaEh5tvRJU5XGJqIi63vFyQczAG6EREREREREREpOUJ0Afn&#10;0Ql0dUr3xTOk52QyQJ8DvAXox5obEZ8UF5AAvaCoEJU93Qs+QJe+skfqbyIhJcHrdfME6GXHDgUu&#10;QB98g/N9Tlhb3QvsunGm2SVBePmLduSUlsBiFqDLSc+YCGyqrIWtUx9Glb3uxsUpbRWIiAKtaXwC&#10;2w7tV3Mks1Posikobf1abDfmC9KqQvfcouCQd/xpez9uvX2LA1WV6p0icwrduAkZV5mPlBw+gMbx&#10;cVUFSncvzFcM0ImIiIiIiIiIyCt8eIfv/vi9Cs/nS4B+8eVzpOeuCG6AvjofJfefMkCfQgL0qeWi&#10;JUA/fqspIAG6nI5aX16C2oGBBVk+9FOyOL332hXTsqqekGLP1cuoGx4OWIB+qrdfjScD9NCwdfZj&#10;652HSMxIMS2pGxUVhtT8XJR88wS2DveYfarMsLOtF9ecA+x/TkSzSt71F148R0pmqmm7Fmk7Ie+1&#10;9RevwNb95rPnFgWPtPjY19GrNiRW2XuQt2GNzz72UmEgc2U2rnd2LriNjAzQiYiIiIiIiIjIK3x4&#10;j+//63u1kMQAXU96QGYWbULZ0xZY29nD81OyGHuwsw81rtkJ0MOW/QrFB/fh1ttvP7sXFpqmiUnY&#10;zpxCtMlpPs9/P1hT5V7IDkCALkHrkS4H+5+HSqtdBeiF16rUZh11ynzKuHtYwr/Gyl27YJPnkOYk&#10;p2xoOdDRp3rae76PRESzQTZwNRhzss27d/g8hW4JX4KsbdtUCXErT6GHjGySk3Yt15wuNI+Po+Ks&#10;MeeIiTQdO9nUJX9mx/mzaDbmKbp7Yb5igE5ERERERERERF5JgP7rPzFANyMllXPLy7H9Vae25/Bi&#10;FpwAff+iCNCbJydRfuKY2rDhNUCPiURsfAwuvHihetDqPme6JEDf39Gremfrxphml3qmGNd+5Y4d&#10;avOEbtyFjP3yuGhsvHIdFT36U5wyhse6HaqqgG6siYgCqWFkFGcePkB84nLzUuAxEYhPSUDRzSbY&#10;uga0zy+afZ4qM6d6+tE0OoIrra1Iy85U8w7duHnIKfX8TRtQZbcvqFPoDNCJiIiIiIiIiMgr/PQe&#10;f/zfH9RCkvRBn7q4NNcwQJ9bJEDf29GHKgboMyY9SYv27zX+zV9pr4WQgCIucTmutLcHJECXMZON&#10;M3s6etVY6saYZpdUtSh7+hrJuVmq1LFu3EWU8bxLzsvCtrsPYdWUbxdSReCMnf3PiSg4JEyt6e/H&#10;utKtiIhcpn12eVgiliB/9x5YW+3YzrlUyMi7/kBnH+oGh9T4bT2wV83VfJ1ClzL8RxrqVO973b0w&#10;HzFAJyIiIiIiIiIiryRA/39//a1aSJovAfqlVy+QnpfFAH0OkNNMO9t7UTng+rnnMgP0LyMn0Dfv&#10;3WUaoMv1TMtKx7WODlU6V/c50yEBeqXThV3GGDJADw1ruwNFdc2IjY9VpzR14y6iIpYgu7QUNuPP&#10;S9n3qZ8j38WK1h5cdjiN7yIDdCIKjsaxMRyprzeeUxbTEFY2gCWkJWPb3UeqbcXUZxgFh7zrdxpz&#10;WSnj3jg6grOPHiDBmK+ZVRAQ4WFfo3CHFbVO4x0zNKS9F+YbBuhEREREREREROSVBOj/87cf1YnF&#10;+RCgy6nb0/fvISUzFRaTcseBxADdO68B+u1mBujTUDc0hOp+B9Zs24KI8CXaayHkemauzMb1rs6A&#10;BOgyZlf6B7Cjzc4e6KHQalcn0FcfPuLufW5Wuj8uCutOnUFFt0v7WRKK7DG+izeM7yL7nxNRsMi7&#10;qLK7C/mb1pufQjeeb1JlY+3xE+65lGYjEAWHzN3O9jrRZIxd7cAA1pdt81nGXeYfSWmJuPjiORrH&#10;x7X3wnzDAJ2IiIiIiIiIiLySHuh/+fuPeDA2ghqXS7vANJc0jo3jSP1NJKTEzzic9RcDdO9kEdbW&#10;asd15ycB+sgIDt+sUaXGpeyn7pr6a7EE6FJGtbKnGwWbN6peo7prIWTTiPyZQPUhlY0z5/qcsH4c&#10;S90Y0yySAL2tDyuKNpv2P4+KCkPiinR3+fb2Pu1nSf9zd1lenj4nouBqmpjAzgvnVAhregrdmLcl&#10;r8xB2fM29ezTPcto9sn74ki3Q222ahofx7FbTaoCitnYCRlf25mT6gS6lIDX3QvzCQN0IiIiIiIi&#10;IiLyyhOgPxxngO4NA3RzErxecw78HKDLabSKc6cRa1w7XyVBfVk0Abpxza51tCNvw1rTE3wSoK8t&#10;KUZ1X1/AAvRTdifKpowpBYc8T0ofPENSdqbqca4bcyEBesbGDe7nj5dTm1JB4Hh3/8/fQyKiYJHq&#10;QJdft6gKKZEm7zB3NY1obLhwCdYOh/ZZRrNPKpbs/lg9qMkYO6kgsHKjMf8w2cAnVBWc/BzcsPcE&#10;ZA4SagzQiYiIiIiIiIjIKwnQ//aPH/F0cpQBuhcM0M1pA/SzpxigT4P0kD33+CHSszNMWxPI723a&#10;YUVNf39AFq+lV/bRboc6jaYbW5pd1k4nNl6+hrik5epkpm7MPaXdVx086D59rgnQ5TsoVQTO9Ur/&#10;c/1YExHNpqbJSWw9sM/8FLrx36Msy5C5udB0QxDNLnlniEsOp9pI12TMrXdePO+zgoC7qlA0DtXW&#10;GHOQmbeRCTUG6ERERERERERE5BU+vMM///k7tH0/juoBBug6DNDNeRZh6yS4MzBAnz4VoD95hPSc&#10;TNMAPdKyDOXHj6prLX3TdZ/lL0+f7EOdfQzQQ6Si+w3y9+13l2/3ElqoE5vxsdhSfxvWdv2JTTl9&#10;XtFmxzUn+58TUWhIJZWzDx8iMS0RlmiTlhTG78WnJGBzdR1snU7tM41mn7z3j/c41NjJHOTSqxfI&#10;yMtW8wzduHlIyL66uEjN9eZ7yxAG6ERERERERERE5JUnQO/4NQN0bxigm5MAXfpoS3Ani6kM0KdP&#10;7uszD+4jJTPVd4B+8njAAvRqlwv7O3pVOVfd2NIsMp4l1tfdyNxSBEvEEu14CzmZnpSVgdInr732&#10;P5fx29VmR+3HcdWNNxHRbJL3f92bQawvL3G/x8xOMkcsRd6OHe4AnafQQ0Lmbnvbe9XcX8auaWwM&#10;RXt2IFLKuJuMnYxtUlqSmrNI6X7dvTBfMEAnIiIiIiIiIiKvfvrg/tX5u0lUMUDXsoQvQf7+/bBJ&#10;v04u9H6GAfrMNU1M4GhjA5bHx5heM+ktu6/yOhpl0XqGJ7+k1Lf0P93TzgA9FKwd/dh2+z5S8rJN&#10;+59HR4cje9tWlL/0voFHvoOHuvq040xEFBQf3/9HGurc73+zAN145iXnZmHb3Yc8hR4i8t6QX6/1&#10;u9R8QObXx283IyHZmF+bbOSTcbVYlqH0yEE1d9HeC/MEA3QiIiIiIiIiIvLqp48G379lgO5FZNhX&#10;WH3iNHbYBz9bgCT3Iuwpez8D9BnwN0CPiFiK47dvoXliUvs50yEL5lf7B7Czzf7zQjoFj617AJsq&#10;axCXFPexr6x+zC2Ry7D+wiXTDTwyfqeN76BunImIgqV+eBhVvXbkrV9lWk1FREUuxRpjblXRxVPo&#10;oeJ+d/x7A6SM4crCdWqznm7MPOSUes7aVbjW0aFK90+9D+YLBuhERERERERERGQKH95j/D+/ww0G&#10;6FoqQD9+igG6F7IA6+mjyQD9yzRPTuJIQz1i46JNT+1FhC/BsVvNAQnQG4yxuuQY0I4pzb6KnjdY&#10;feKUKmWsG2sh3x/ZVLGl8S4quvRj5dn8cNkYSyntrxtrIqKgkDnA8DB2Xb7gM4SVXtoZG9ah/EkL&#10;rO2Oz55tNPvKW3pwoNNdvUTeHw0jo9h7/Yqah5jN3+T3pZf9geobxvzs7ef3wTzBAJ2IiIiIiIiI&#10;iEwB7/HDn36NSicDdB0G6OYYoM+cLEDvvXEd4eHee2HLKeW4xOU4/eA+GsfHtZ8zHRKgn+9zorSl&#10;WzuuNHukFLv0P8+1Wk37n0sZ3bTVK1Hy4BmscgJd81ny/bO12VU5fqkqoBtrIqJgkffT+WdPkZKR&#10;AovZPE1tFrNgc20DbJ392ucbzS4J0He02lHlcqlT6FJB4FpXJ9JzMn3OscPDvkbhDitqBwbUz+nu&#10;hbmOAToREREREREREZmSAP23//1rlnD3ggG6OQnw9nf2ocbFAP1LSYC+5/oVhC39lfY6CAnQk1IT&#10;cebxo4AE6BK2StlvBujBJ2G4hOJpq/NNe81KuJ5rs2G7MUZm/c/3dPSi+mMAohtrIqJgkXmABKrb&#10;jHe3hKy6Z5uHPP9yrdvVs8zbM45mj7w/rK09uPCxgknd0JAaP+lv7quCgMzBk9OScO7JY2NuPqa9&#10;F+Y6BuhERERERERERGQKP73Hf/z5N2gaGlQhqG6Raa5ggD73yALsPgboM6IC9Mprxr/3K+11EBKg&#10;JyTH48yjhzMO0D1Bq1QOKGOAHnS2rgFsabqHeGM8zb4jqkfwyTOo6HZ57RFc1tKDY10O1H4yrkRE&#10;oSRtSY421iMuMdZ0rhZt/F58WhK2ffME1vY+7TOOZpfM4Y529aHhYwUTCcNP3f/G3VLGxxwuImIp&#10;dpw/i/qhIVW+f+p9MNcxQCciIiIiIiIiIlMSoP/nn3/AreEhBugaDNDNyeLr7o5eBuhfyrhmEjbs&#10;unIJ4SYBusW4llIS99zTJzM+7SVBq4zX4a4+FcDqxpVmSasdtk4nNl6rQpQlTDvWQr47cQmxKDT+&#10;nArQdZ9lkA0QZ3ud6runG2siomCTk8y1/f0oKNqICJPWJFLGPdaw5vgJr20qaHZJFZq97b1qE5aM&#10;nVQPuNHTg9XFmxDhq4+9VBBYtwpVvb3zsow7A3QiIiIiIiIiIjKFD+/x//76WzwaH0b1HC/jzgB9&#10;7pEAvaLV7i4hzQB92iRokF+3Gv9OOc2luw7CYglD1qo8XG55hYbR0c8+ZzokQK92vVGl9xmgB1lr&#10;L6zG92XVocOm5dslXE/OzcLWW9/A2qHvDyzfPXG5f4D9z4loTmmefIsd586okFwqqOiec0KedWlr&#10;V6tWFfJ81D3raPbIO0T6oF9x/Ps90jQ+gV2XL6ky7tGqV71+7GSOFxsfg1Pf3GOATkRERERERERE&#10;C48E6H/+2494Ojky5/ugM0CfezwBehUD9C+iTuo5ndi8Z6fPAD17bQGuvG6ZcYAui+Q3jO/67vZe&#10;NX66caXZIX1+y190IGvrFkRHm/Q/D1+CjE2F2P6q07T/+a42O647GaAT0dwigaps+ErNSoclyqTa&#10;hjGXi0uKU9U2bF1O7bOOZpe8S87YnWj4WMmkwZhrX3zxHOm5K0x7oUu4LnPxot0Vau433yqhMEAn&#10;IiIiIiIiIiJTEqD/7R+/w6tvxxigazBANycLr7ZWO646ZytAP7DwA/SBARTt3eU7QF+TH7AAvdL4&#10;rle02RmgB5n0+S190oLknBUqONKNtYiKXILcHTtQ0fNG+zlCqgcc6Oj9WP1BP9ZERKEg84F6Yz5Q&#10;WFEOi8lmITmhbjHefTlWKyoYoIeElHE/0u0w5gbuAFzN5YaHsWlXhem8RMjcJHNlNm7Y7e5e6FPu&#10;g7mMAToREREREREREZnCh3f4v3+9Q8evx3HDOfcD9EM3a5CQHMcAfY5wB+g9uNI/MCsB+pb9e1WP&#10;cN39sBBMJ0DPWr0SVwJQwl0C9GvOAYbnIWBtd2Db/WeIS07w+v2IjrEgNi4Ka0+cQkX3gPZzhIQe&#10;x3r+HXoQEc0lMh84cecWlsfHIirWvIy7tKzYducBbF5aVtDskc1Yezv6VGWan8u4T0zgYE0V4hKX&#10;m8635T22PD4G+65fMeboY5/dA3MZA3QiIiIiIiIiIjL1k/jwHr0/TqLSOaBdZJorZEFv58Xz6sTS&#10;TMNZfzFANychrNVwweEMeIAeHr4Ea0uKUd3vQN087K/pj58D9H27TQN0KaO6ZtsWVNl71Kk+3Wf5&#10;S04rX3YwQA8FOYG++UYNYuOiEe0lUJKT6fGpierPWTu9h0kSepzu/XfZXSKiuUTKuFfZ7chZW4Co&#10;KPNT6NGWZVh37qJp1Q2aHZ6NkJf7B35+n8jcpNrhUJVvzMq4i4iIJdiwvVRt7pN54NT7YK5igE5E&#10;RERERERERD4Bv8eb929VL13dItNc0TwxCdvZ0ypgkt6LuoW8QGOAbs4Twp7tDXyALoFyQVEhKnu6&#10;1UK87p6Y7+TfVe3ow0ZbuekitVwL+TO1/f0zvhZ1hnN9TgbowdZqV/3M1xw5qgIjRTPWchozKWcF&#10;Sh88U4G77rM8gcdFYxx5Ap2I5iKZE0hZb5sxJ/AVwkZFLkVW8RaUP2/z+tyj2SMVTc70GvMLTzsQ&#10;Y+yk6lPJ4QOIMuZyZnPuSOOdlZ6TifPPn86rU+gM0ImIiIiIiIiIyCcJ0Mf+4zvVS1e3yDRXSIBe&#10;ce4MA/Q5xBPCnrL3z0qAvmrLJtyQU9cLNECX63W9swMrC9epMu266yDkWmywlqHG4QjItZDxYoAe&#10;ZB8D9DybDTExEd4D9MhlSFu3RpV7l5/RfZacPt/d3otK579L7hIRzTVN4+M49+QxEpLjTecE8nvx&#10;KfHY0nAbNpPKGzQ75J1ypKsPtS73JjsZu/rhEZx/+gTxxthFyTtLM25C5uMW472148I5NU+feg/M&#10;VQzQiYiIiIiIiIjIJ+A9vvvj96q0syye6Raa5gIG6HOTBLFHut29mBmgT0+oAvTjPQ4G6MH2MUBP&#10;37AOUVHexzo6KhzZJSXuU5heAnQ5LXigs1c7tkREc4W8r2ocfVi/vRQR4Uu0zzyPKMsyrD5y1HhO&#10;Gs89L88+mh3lsinLuO5Vn/RBV2Pn7MfKjcY7y6QPupCWO+vLtqmy7/VD82O+xgCdiIiIiIiIiIh8&#10;wk/v8eN//xrNQ4OomcOn0Bmgz02y8Hq4iwH6lwh2gC4ny2oNB7v6GKAHmYTn5S87kZSbrcq068ZZ&#10;PdcMBQcOfCxj7P0E+rFuBxp4+pyI5rjmyUnsuXrZeMctM527ydwuJT8XZc9aWcY9RK72D/yijHv9&#10;8NDHsQszHTsJ2JPSEnH2yWNVdWDqPTAXMUAnIiIiIiIiIiKfJED/jz//gLujQ3O6jDsD9LlJwrx9&#10;Hb3/DtDPnWaA7qdQBeh7OxmgB5uUZN/WfA8J6SmIig7XjrN8Z2LjY7Dx0lWvAZKMm9Vwtlf6n+vH&#10;mYhormgYG8PFF8+RkZet+mXrnn1CPf/iYlBUXccAPQTk3SJ90D0l3IX0NL9gjF1SSoLqha4bN4/I&#10;yKXYc/WKmtdI+P7pPTAXMUAnIiIiIiIiIiKfJED/019+iwdjw6geYID+KQbovkmAvqej9+ce6Adr&#10;biAuIZYBuh9CEaDXuN5gl5yG1owlzR5rRz82XTO+G9IL2HiG6cZZvjPLE+NQ3HTPNECvaLXjsmNA&#10;td3QjTMR0VwhcwMJYgt32szLuBvzOnk25tkqYDOelyzjHlzybjnU2eces49jJ/ONainBX75NzUO0&#10;4/aRzGHWbCtCdf/M5inBwgCdiIiIiIiIiIh8wod3+Ovff8STiRHV/1C30DQXMECfmyRA393WiyqX&#10;SwXCJ243Iz4pzmfPTF9UgF68GTd67QzQjWshPWSr+/pmHKBLlQkJYBmgB5ety4m1J08hNi7a6/NL&#10;nm3x6SmmJYzl+7ZTetW6/h1yEBHNZU1jE9hfVYm4xFjTuUFUVBiS8nJQ+vglthvzCt0zkGaHtOPZ&#10;abxbaqe8W5rGxrG38pqqnGI295YNYAnJ8bjw7Kn7FPonnzEXMUAnIiIiIiIiIiKffjL837/e4cW3&#10;o7jhZID+KQbovnkCvUrj3mkcGcHxW00BCdAjI5dh5ca1uNbRPi8WY7+EvwF6eNjX2HpwHxqGh1E3&#10;NKT9LH/IonjlgAs2BuhBZ+saQP6+/e7T5yYBekp+Hsqet8Ha5uUEuvF929vRqx1fIqK5qN54b8kG&#10;sKxVeerdrnv+ieiYCNXGYv3ZC2rTke4ZSLND5gQyN7hmzOU+DdCleoCU4M/MyzIvwW+812Tet/3E&#10;UTXeUnng03tgrmGATkREREREREREfgHeo/X7MRWC6haa5gIG6HOTp6T0lf6BgAbolqhwtWB74flT&#10;tYCruyfmO38D9LClv4L17Gnc+vZb7ef4SxbFZZxsre5x040nzY6KnjfIKiuDJcJ7CWN5tq3YtBHl&#10;Lztg9XL6UsbtSJeDp8+JaN5QZdxHR1G0Z4eaG5jN4aIilyLHakVF14D2GUizwzMnONPr/GV7EGnP&#10;MzyMwh1WtZlPN2YeMm/L37TB+LnBGW32CwYG6ERERERERERE5Bfpg9774yR7oE/BAN03z6mlS47A&#10;B+gZuStw/tkTBugBDNBlnBigB5nx/bC19yGzaDMs4d4DCHm25VVUYHtLt9cAXZyx9zNAJ6J5RdqP&#10;HGtuxPL4GFXuW/cMFFGWZUjOy8a2uw9hbXdon4E0O6TCyeEuBxo+DdANTRMT2HPtCmLjpEqA97GT&#10;eVtyRiouvngx51vvMEAnIiIiIiIiIiK/SIDufPdW9T6s1Sw0zQWhCtBXHTuJHT1vtIuN5A5irYaz&#10;vU40MUCfllAE6DJOMl4M0INH+pmXPXqBtNUFiPJavthiPNvCsfrYMVhb7Sp0n/o5njG72v/LErtE&#10;RHNd/fAIqhx9yFyZbcwPwjXPQDcJaGONOd6GS1dRwc2LQVXW0o29HfbP/n+AjN2V1y1IN+ZkZiX4&#10;oyRcN8bOdvYUGsfHf/EZcw0DdCIiIiIiIiIi8osE6OP/+R3q3gyixqVfbAq1UAToUm45b8dOWFt7&#10;TE+ELnZyaumkvR9NowzQp4MB+uJg6+jH1uZ7SM7JRFSUl3E2nmkSoG84f0mdVt/+Wh+gS7uEqgHX&#10;L0vsEhHNcaqkt8uFrfv3GO937+87YQlfgtyKCs69gkzmcjvb7LjqHED9lDLuUoJ/w/ZSNVcxm4NH&#10;RCzF6q1Fqmz/XO6DzgCdiIiIiIiIiIj8IgH6r//rezQMzt0AvWlcSkhexvK4aPcpF83CXaBZIpci&#10;t6wM2016ElMPSlu6cazbgebRERxramCA7qegB+iDb3CihyVxg83W6cTm2nokpid7P3n5MUDffLMZ&#10;Ni+9fyVA39PRi2rjGc0T6EQ038i7/OS9u+qUuWkfdGP+IBuOtt19ZDw/+7XPQwo8ecfIBrtzvc5f&#10;BuiGhpFR7Ku8hlhjDm5axt2Yy6RmpePs44dzeu7GAJ2IiIiIiIiIiPyCD+/x+//5DZqHJUCfm33Q&#10;G8fGcaT+JhJS4mcczvpLBejl5dj+qpMBugkJ0A93O1QP9NMPvkFC8szHSAL0lIxUnHlwnwH60l/B&#10;dv4sbn/3nfZz/CUB+hFjnHj6PLgkEC+8egNxicsRHaP/XkiYtDw+Glua7xl/3qn9HDkdeNQYPymv&#10;ywCdiOabhtFRXG1vw4qCXPWO1z0LFQnXo8Ox8Xq11+chzY4y4z1zvKdfbaj9dOykp/k1Y76SsiLN&#10;+0Ywg4Tr8vu7r1zCrbdvf/EZcwkDdCIiIiIiIiIi8osE6P/vL7/FnZEhVDNA/xkDdP9IgH6gsw83&#10;h4ZR7ehDUkaK+eK4H6TKQFxCDI7dakLTxIT2npjv/A3Qw8O+xrbDB1X4MJOSqBKgH+5igB5sFd0u&#10;rL94BbHS59zLyT3574nG92brnQdeT1xKsHHG3s/wnIjmJSnjXjc0iBLjfRYe/rX2Wegh7S5yt5ej&#10;3Jh/bef8K2hkPnfQmM9N7YMuY1frGsD68m0+5+AyZ9m0w2q8q1zu0v1TPmsuYIBORERERERERER+&#10;+enDO/zzX7/DvdEh1V9Xt9gUagzQ5y4J9vZKaenBIVT3MUD3l78BuvQUXV9eoq6tnALTfZY/JEDf&#10;Z4yTjJduHGl27Oh5g9UnTyPKssx9slIzxvJMS87OxLZ7j2Dt0Afo5S12XHJM6U1LRDSPNL99i6ON&#10;DYg1nntmpcDVpqIV6Sh90mI8E9l6JFhkfrC7vReVxv8X+OW7ZtCYfwxh77UrsBjvK7MS/DL/S8/J&#10;xIXnz+ZsBSEG6ERERERERERE5BcJ0H8yfn08MYJqBug/Y4DuH1lw3SULrm8YoE/HdAL0DdYy1Dgc&#10;Mw7QZaMDA/Tg2mEfRMHhY4hc9ivt+IooCRzWrkbpwxewtn8eFknVgIo2O645p4YaRETzR73x3rva&#10;+hrZawoQGblM+zwU0bGRqt/25spq45nY99kzkWaHvGtsre7NWg1T3jVSBefiixdITE1UczTduAkJ&#10;1+WddqSxwZi/Tf7iM+YKBuhEREREREREROQXCc/l19bvxtkD/RMM0P3jWXC9OjCIGgbofgt2gC72&#10;MEAPLuN7YetwYOXefbCYlCyWsCFzwzqUPn6lDdBlzPZ19OHGgEtthNCNLRHRfNA8OYmivbtVqW/d&#10;81CRE87GPCDPZnPPv4xn6dTnIs0OKeN+ttep7YNe1deLdaXFiIz0PmcRkcb8uXjfbtQODMzJMu4M&#10;0ImIiIiIiIiIyC+eAL3rNxMM0D/BAN0/qqd2qx2XPwboienJMw7Q1Qmm6HAcqqtVi+26e2K+C2aA&#10;Ln2zJXzd1W5ngB5E6rnxsgPZpSXqeaIbXyHl3XPKSo0/2649bVnW0o3DXX2odbnHUjfGRETzgWyK&#10;21d5FcvjY0znc7KxKDkvF+XPjeci52BBIwH60W6H6oP+6fumbnAQjaOj2HnhnDEvWaIdMw8p8561&#10;Kg/Xu7pQPzL6i/GfCxigExERERERERGRXyRAlzLurndv1YKZ0C04hRID9LlNFlzP97tws9+BzIJc&#10;tfCtu6bTEbbsV9h34zpuvX2rvSfmOwboC9/PAXpZqWmALr+Xt3MnrC1d2meNfL9O9PSjfsqJQCKi&#10;+UbeY5devVJ9siNN3n3RxlwvLiUBRTU3VSWPqc9Fmh3lxhzhQEefauk0teKJbH44de8eEpLN5+Ky&#10;CVJK8J99/FiVfv/0M+YCBuhEREREREREROQ3fHiHsf/8Ti0sMUB3UwH69u3Y/kofatG/ScB3qteJ&#10;2v5+5G9cF5AAPTzsK+yrqlzgAXo78jauZYC+QFk7HCh9+Bzp69YY3wnvY6wC9B07tAG6VHgof23H&#10;uT4pqasfXyKi+UJOMtcPDWPN1iLTd5+UcY+OiUTBgYOwdQ384rlIs0feOTtbe3HD6UL9lHeO9LC/&#10;1tGBlcY8L8JkU5gE6NExEbCdOalKuMuYf/o5ocYAnYiIiIiIiIiI/IYP7/GbP/1aLSxJmeCpi02h&#10;FpoAfRlySrah/AXLh/oiAfpxuxPV/f1YuWEtA3Q/SIBe2d2Fgi2FvgN0WzlqHP1fHKDLIviV/gFU&#10;tNrdJfcpKKwd/Si59xipBXmm3wlLxBIUHDriPmU5pdevjJeM2yWH87Mwg4ho3hkcVKeSd5w7rZ5/&#10;ErZOfSZ6yLMxY1MhrPJcnPJspNkj7x2ZM+jeOdJWp/TYYUSEm5dxlzY8q4s3qfB8rvVBZ4BORERE&#10;RERERER+kwD9P//8gzqpygDdTQKvtDUFKHnwTJ0k1S0ykpucaj7c3Y8bDgdWbpDTtgEI0MOXwHrm&#10;lAqaZcFdd1/MZ7KgXDswgKK9u1RIrrsGQn5vfdk2VPf2zihAv8wAPehUgH7/KVJX55sH6GFfY+3Z&#10;C6iwD372GfLd2t1ux3XNaUAiovlI3mUXXjw35nQJpnM6qdyRmJWB4sY7sHb2f/Z8pNkh84Qzvc5f&#10;9ED3kDLuB2urEJcQi6iYSO24CYvxzkvOSMG1jvYvnrvMFgboRERERERERETkN/z0Hv/7tx9Vv0MG&#10;6G4M0P0ni637uvpx3eHA6i2FARkjCY637NuF2gHnnDu9FAj+BuhyOj1v/Rpca2v94l6iDNBDw9bh&#10;xNbbD5CcswLRXxigS3WH/R19qJmDz2Uioi9RNzyEGmc/ctYWqJPKuueiEhtpiMC6cxdR0fPms+cj&#10;zQ6ZJxztdqiWTlNDdAnDr7S+RmZ+DiIjl+nHzSDl92PjY7D3+uU51wedAToREREREREREflNTqD/&#10;5e8/4puxYdS4XNoFp1BigD63yWLrjvY+XOsfQNEuW8AC9K0H9qLWNbDoA/Ss1StxpeXVjAL0i44B&#10;2BigB5Wty4ktDbcRn5KgwoSpY+vhK0A/3NVnjOHCq8JARItT3aC8013YdnCfO0D3UcY9b+dO2Np7&#10;WcY9SNSmyI8bt3Sn0KUy0LryEneA7mXspDS/nELfYsxxGsfGPvuMUGKATkREREREREREfpMA/W//&#10;+BFPJkcZoH/EAH16pEfpFYcTW/fuDFiAXrRnJ2p4Ah3Za/Jx5XXLFwfoDYNvVDlWGScG6MHjd4C+&#10;7CusPXteG6DLeJ2y97N8OxEtKI2jYzh+5zaijfmCWR/0KOMdmM65WFDJe0cq1lQb/39AG6CPjaHi&#10;zCk1PmbvNpnb5K5fo1rQzKV5HAN0IiIiIiIiIiLyGz68wz//+Tu0fj+uFsx0C06hxAB9Hmi143xv&#10;P7bsrgjIGElwXLB5Ayq7u1AvfdA198V85gnQ5XSWrwBdytxebX09owD9NAP0oPM3QI8yxn/d+Uuf&#10;lSiWsbIZzhtjxwCdiBYSOZV8uaUFKZkppr205dkZlxiHIuNZWtE98ItnJM0O9e6RTZHOAW2AXj88&#10;gvPPniAh1byHvacP+qm7d9SGiamfEyoM0ImIiIiIiIiIyG8SoP/L+LX3xwlUDTBAFwzQp6nVjtN2&#10;B7Yd3KtOlJmVZPXHQg/Qbw4OqgDBdvY0wsO+1l4DIfd7WnYGLjx/pv689rN8YIAeGj8H6KmJXgN0&#10;+e/L46JReK0KFd2uX/x8WUsPdrTZcdXpQr1mXImI5ivppV3Va8e60mLTXtoiyvj9dWcvwNbZ/4tn&#10;JM0OzzzhfJ9TG6CrDYAul6qOIyG5bsyEVBaQ+eDuyxfR/PbtZ58TKgzQiYiIiIiIiIjIbz+JD+8w&#10;9PtvGaB/JAF6akEett1/CmsHF219KX9txzG7EzsunPNZktUfCz5AN9z+9lvsvXEdYcu+0l4DISfz&#10;EpLjcfrhAzSOj2s/xxcG6KEhpyU332xEbHyM1++DCtCN3y+8Xq0N0He1ey+jS0Q0nzUZ77Sdly8g&#10;3OQdKKKiwpBTUoLyFx2wtvX+4jlJs0PmCsd7+vUB+uCg+u/F+3a75+Qm8z3ZILhplw11Q8bPGD83&#10;9bNCgQE6ERERERERERFNC356j+//+GvcYICuSLCVmJaMLc3fwNbpDh/JOwnQ93f3Y+eli8a1m3mA&#10;LuOcuTIbV9pav7h0+Vx36+1b7Ll+1WeAnpiaiDOPHs4oQD9pdzI8DzIJxAtv1KrTk7qxFb4C9D0d&#10;vQzPiWhBap6cxLFbTaoKh7cqHUI25SXnrEDJ41ewtrMiUDDI+2d/Z5/+/TM4qCoIHLpZo+ZqZvO9&#10;SEsYslevxOWWV3NmLscAnYiIiIiIiIiIpgV4j3f/7zeocblQq1lwCqVQBejS33FL0z0G6P5otWNX&#10;hyOgAXrqijRcmkOLroHmb4CekBQ3wxPogzja7UBpS7d+7GhW/DtA997j3ixAlw0PR4xxY4BORAtR&#10;o/Fuv/jiOVYU5KiqM7pnpJDnZOzyaPd8jBWBgkJt4Grv9fr/B6Sn+aWWFrXBz2cP+4QYnLx7B80T&#10;E9rPCjYG6ERERERERERENC1yAv0Pf/4BzcODqHHpF51CRQLUMw/vI2VFmjrNolukCzR3gJ7IAN1P&#10;cgJ9R2c/DjQ1BixAT8lMxaVXLxdsgN40OYmDtTU+e8ZLj9Hjd26jeWJS+zm+MEAPjZkG6OKUlxK6&#10;RETznSoFPjiEDdYyhIV530im5hOGdadOuUu4t9o/e1ZSYEmAvtO4ztecLtRrxq5hZASVPT1YvWWT&#10;z3l5RPgS7Ll6GU3jY8bPhr6MOwN0IiIiIiIiIiKaFgnQ//uvv8WD8WHVc1e36BQq0gP70qsXSM/L&#10;YoA+R8lp2Z3dAzj48LG6djMN0OXnY+Oice7ZU1WBQHdfzHdNExM41tSIuIRYdc1010HI4vOxW80M&#10;0OeZmQTo8n2yGi46nAzQiWjBuvX2W1hPn4QlcpnpvEE25uWUl7rDcwbos07eQTbDhT4n6gc/H7e6&#10;oSHFevIEIiK8v+NEpDG2hRXbUdPvQP3Q8GefFWwM0ImIiIiIiIiIaFrw4T3+8vcf8fztKKrmWB90&#10;CdAvvnyO9NwVwQ3Q05IYoE/Djq4B7PnmYcACdDl5fe7pkwUdoB9pqFcbBUwD9IilONrUiObxLyt/&#10;ygA9NPwJ0OVUZbRxn6+/dBUVPW9+/lkVoLf24LpzgAE6ES1Y7hY9tUhINm/RE2U8J1NW5qD8VZf7&#10;FPrHZyXNDnkHya+ne/uNOYR+7JomJtXcRKromM35ZC4nfdCvdXaok+u6zwomBuhERERERERERDQt&#10;P314h//71zt0/WYCN5wM0CXQjE+Ow5bGOwzQ/VRhXKeKe4+QkLjcNBD2hyzGymL6qfv30DAqZT/1&#10;98Z81jQ+juO3m30GB3J6q+LcGdTLia/B6Zc/ZYAeGn4F6AZL2NdYe/YCKuyDP/+shBcVrXa1manO&#10;S3hBRDTf1Q+P4GpbKzJWZqt3ne4ZKWSjUXxaMrbe/gbW9r5fPGtpdsic4Uh3n5pD6MZONj+cf/YU&#10;6dkZaoODbtyEzAfjjHnh+WfPVO903WcFEwN0IiIiIiIiIiKaFgnQ8eH3cP7urTr1qFt0CpVQBOju&#10;k6Fh2FTbAFvXgHZxkX7J2tGPsvtPkJadbhoI+8MToEvfTAmOb35BcDzXNY6N4dzTx+q+lhNauusg&#10;Ii3LUH7imApSpWSq7rPMMEAPjZkG6Pva+1DtMsZcM6ZERAuC8X6qHx7GquJNiDQpBS4l3JcnxGLD&#10;uQuwdjp+8ayl2SFzhgMdfaj18h6Scavu68XakmLVakY3bsIzn9t3/ar6mamfE2wM0ImIiIiIiIiI&#10;aNqA9xj/z+/UqcdazaJTqIQkQF9uQZRlGTbVNKCimwG6PyRAL/nmMVKz0lRJT/119Y9nwXXXpQtf&#10;fPJ6rlMB+pNHSM/JNA3QLcY9v+3gPtx0DTBAn0dmFKC39OBIl0M9hxmgE9FC1mC8C7fu36Pe+V5L&#10;gct/j4lA/t59sHWxKlAwlBnvoT3tvah0urR90GXzQ/PEJEqPHkH4sq/04/aRjG3Rnp3q575kHhNI&#10;DNCJiIiIiIiIiGjaJED/9X99rxbKalz6hadQYIA+P1jbHSh/9AJZawtMy3n65WOAXn78iLoHFmKA&#10;3jA6ikstL1VvULPStRKury8vQXWf44tOb9Ub1+4IA/Sgm1aAfu4iKuxDP/+sBOgn7f3a8SQiWkik&#10;L7acTl4eH4Mok/YvFuNZmllUpNrFfPqspdnhaSVy2TGgD9ANzZOT2Fd5zT1nMxk7mRPmrl+D2gHj&#10;sxigExERERERERHRfIOf3uP3//MD7owModo1d/qghzRAr21kgO4n1Zf0aQtyNm2YeYBucJ9Y2oHa&#10;Lzx5PddJGF7Z042CzRsRYVK6VgL0tdu2qFKp0w3Q5fSybIY50NnHAD3I3AH6TfUc0Y2rhwToa06d&#10;UX/e87Ny8u98n5Onz4lowZP32oVnz5CYmqje+7rnpJBnaXJetqp0wz7os08CdCHvogYvAbpU0jnz&#10;8D5Ss9KNuYr3+bnMY5IyUnC9uzPkZdwZoBMRERERERER0bRJgP7ff/0tHo6PoGqOBegXXjxTpa6D&#10;HaAXXq9BBcuF+kUWtMufvkb2lk0BC9A3VpSrE0sLNUC/Ye/BqqJCnwF6ztp8FbYzQJ8/ZOPN5ptN&#10;qm+v17LEBosx9it37YL1tTE+rb3qZ8sMV51y6m/hVV4gIvqUvNdqnE6sKMhV7zvdc1LIvCIhLQlF&#10;NXWw8RR6UMi84ZS93+u7SOZmMkfL27jOmMd474Mu87m4xOU4XH9Tzel1nxUsDNCJiIiIiIiIiGja&#10;fjL837/e4eW3Y7jhnDsBet3wMK61tyMzP9e01HWgRUWFYe2Jk7C29WJ7q127uEifkOvU0oW8igpY&#10;AjBOUdHhyN+0HtX9/agfCu2JpdkgZekbR0dRuNOG8LCvtddAyMJz5spsXO/qVKVudZ/lDQP00JE+&#10;vVsabiM+NRHRPsoS5+3YAavx3ZFnjZz4s7XZcc1b31kiogXEE8JusJa6T6B72XAkz9HYuGisv3D5&#10;FxU7aPaUGfOGY90O3DTmEd4qojRNTGKTMY+R+bm3zWLy34W05ZH2NbrPCRYG6ERERERERERE9EWk&#10;D3r7r8dROYcC9JuDg+qEUq6PEy6BJgH6miNHYZXwnAG6b2296hTtyl27Axag565fjWqHY0EG6OL2&#10;t9+iaP9ehC37SnsNhPQVTUpLwtX29mkvPDNAD52fA/SUBN8BekXFvwP0lh7sae/FjQEX6higE9EC&#10;J5vJhO3MSRWgm1bsCP8a+QcPYUfPG+1zlwJL2onI/EHaOnkL0GVesvPiObW5wexdJwH7+rJtquy7&#10;zOt1nxUMDNCJiIiIiIiIiOiLSBn3N+/fotb1BrWahaeQGBxEw9gY8grXBz9AP3qMAbq/jGskZdxX&#10;HT6iQkHdNZ0OKdcqfe+r+vpC3jNztjS/fYuSwwcRGe79vpYF6eXxMbjc2soAfR7xN0CPsoRhxeaN&#10;KHvSor4/Elgc9BFYEBEtGLJJcmQER+rr/AjQlyCrpERtOFJVbzTPXgocqYiy07jO1we8V0SRyjin&#10;vrmLBB897KVVTc76Nah1OlE3xACdiIiIiIiIiIjmGQnQJ//wvVookxBdt/gUdBKgj46GJEBfe+w4&#10;A/RpqOh5g3UXLqtTYrprOh0SoCelp6BKTqAv0ABdSp9WnD2NaJPQwFO29uS9uyzhPo/8O0A3L+Eu&#10;93nGhnUoffQS1naHKpl7pMuhnr8M0IloMZBTyRdfvURcQqzp89JiCUP6ujUoffhcPS91z14KHAnQ&#10;t782bykiFYKqHX1Iz82CxZg368ZNSH/71Kx0nH34IKRl3BmgExERERERERHRF8GH9/j9//yAW8ND&#10;6gSkbvEp6EIWoIcjf88ebG/pdvdBn7KwSJ9TAfrFq7AEYJzkJJOcaLr08sXCDdDHJ7Dr0gXELreo&#10;Uu266+AJ1vdXVbqvwzRKnzJADx1rRz+23XmI5Nws9SyZOq4esnkiNT8XJfefwWb8jIzTKXs/6qcx&#10;zkRE85lsDrva3oYV+TkqaNU9K4U8L5MyU1HceAe2Tqf22UuBJVVRLjqcXluKSA97+XXV5o2q9Y5u&#10;3ITMceISl+NAdaWa+0z9nGBhgE5ERERERERERF8EH97hr//4EfdGh1E9sLgD9OjocGSXbEP5yw4G&#10;6H6ydQ+gsLLG3QvTpAyrP6JiIhCXFIcTt5tRPzy9k9fzhZy6O1hbjXjj3+mt9KlcR1Fx9pRaqJZe&#10;sbrP0mGAHjoSoJfcf4rU1fnmAXpMJBIzUrH1zkPYOt0B+tnefjQwQCeiRULe8ZXdXSgo2qBOmeue&#10;lSI6NhLLjfnFpup6Nd/QPXspsMpbenDG3u+1Ioqnh33xvt3G+8ykmo7x3yVgrzh3RrWv0X1WMDBA&#10;JyIiIiIiIiKiL/LTR48mRlA1xwL03I3rGKDPcbKgvbm6Tp0yMivD6g8J0Jcbn3Ok/uaCDtCPNTUi&#10;0aR3qArQjWu57eDenxeqdZ+lwwA9dFSAfu8xUgryfAboUmmh+PZ9WDv7VcuIi44BNHg57UdEtNCo&#10;U8wul/Ge2696ZeuelR6WyKXYcPk6Knpc2mcvBZYE6Ee7He5xmjJuijEnkeo4B6pvuOcrXgJ0ER72&#10;FYr27uYJdCIiIiIiIiIimn8kPJdT6F2/mUDNHCvhnr95o8+F1UBSAXppCQP0aZC+z8UNt5GUmaZK&#10;requq788AXzFudMfe38vvBO59ca/6+LzZ0jPWeH91J06tRWBDdaSaQfoot5wpIsBerBJf97SRy9U&#10;f/MokxOVMr7yrClquAur8f3Z0WbH1f4Br/1miYgWGnmvNY6NYwCVeogAAP/0SURBVNeVSwgP+1r/&#10;rPxIAvTVx47D1t6H7a127fOXAkf6oO/v6FOb8bydQpc5+sUXz7HcRw97mcPnb1qPyq7OkG2MZIBO&#10;RERERERERERfTAL0N+/f4qbrDWo1i09B9zFA32grVyGj2emWQJIAOKtoE8qet8Pa1qddWKRfkhLU&#10;W299g+TcFaanbv3hOclUfvyIO0CfZnA8H9QND+NqWxsyV+YgMnKZ9joI6QlbUFTo/pmP/Ub9JaXA&#10;5fQYA/TgUptuXnUiu6xUBT66cVU+BuiF16pV6L6now+VAy546zdLRLQQNU9O4khjvfG+C1PPRe3z&#10;0iAbknKM52r5C87NgkECdNnYVe3y/l6SOfq1jg6k52SqXue6cRMyh19RkIuLL5+jcXRM+1mzjQE6&#10;ERERERERERF9MXx4jx/+9D1uDr5BrUu/ABVUHwP0TbsqVCgbzAA9tSAPpU9ewyonnaYsKtLnJAAs&#10;efAMaWtXI8riPRD2h4yzjHeRMe4LNkA3/k31Q0PIXb/GtLqCe9E5z/0zDNDnBRWgv+xQVSz8CdDX&#10;njyF8lY79nc6UG1y0o+IaCFqmpjAiTu3EZcYaxrCyrwgs3ADyp62cG4WBBKgW1t7cM3p8vpekhLu&#10;N+x2rC7epDb86cZNqJYlSXHGON9S4637rNnGAJ2IiIiIiIiIiL6YBOh//vuPaBwaVCUbdQtQQeUJ&#10;0Hfagh6gp+TnoPQJF2n9JafByp++RuamjeahoR9knCU43mgtW7ABurq3x8awungzIk2ul1yH1Kx0&#10;XO/uUoG79rO8YIAeIq12VHQ5kb/vACzh5iWJ5VlTsG8vyowxOtTlUCEFA3QiWkzkRPL5Z0+RkbvC&#10;PIQ1npdS5abk4XNYOxz65y8FjArQDZccA17fS7Kxr+7NIMpPHDWtpiMiI5biQHUVmiffaj9rtjFA&#10;JyIiIiIiIiKiLyYB+t/++Ts8GB+dG33QQxqg5zJAnwZray+sLd3IKtkGS8QS7XWdDjmVnVe4Ho3G&#10;+E+39/e8IPf2yAgKbeWm93ZUdDiS0pJw+v491Tdd+1leMEAPnR32IRQcPobIZb/SjquHPGtySktQ&#10;8rITR+1ONWa6sSQiWqjkXXi1vQ15G9aYhrByijk+JQFb7z2BraNf++ylwDtt7zfd2NU0PoFDdTdN&#10;q+kI6XFvO3PKGO/RkGyMZIBORERERERERERf7KcP7/DPf75D6/fjquehbgEqqCRkDFWAnscT6NO1&#10;o3cIuXv2IjLsK+11nQ5ZiM1Ztxq1zoGFGaAbJDQoOXwAMTGRKhjQXQcpZxufFIdDtVXuRWfN53jD&#10;AD10dvS8wZpTZxEdFWb63JJnTfr6tSh73o6TfS5jzPRjSUS0UEkZ8KpeO9ZsLTINYaNjjfek8Twt&#10;vvsItk4G6MFytNtHgD4xgZP37iLWGKMok/ddROQybNphRXW/Q4257rNmEwN0IiIiIiIiIiL6Yj+J&#10;D+8w+P4tqgcWcYCuTjklouThC5YJnYaKnjdYuf8gLLIAPsOxktLlGblZuPzqVUgWWoNBAvQd58+o&#10;RWdvAbr899i4aOy8cA6NY2Paz/GGAXroVHS7sP7iFWPsvI+tkAA9MSsdZc/acMbhQj0DdCJaZGST&#10;nJRxL9q7G2FmG/BkXmEovF4Fa7sxN2u1a5+/FDhlLT3Y39VnGqDL3OTCs6dIz86AxXinacfOIPO6&#10;gqKNqJSWNNOsqBMIDNCJiIiIiIiIiGhG8NN7/PCnX8+NAN0gIaPt9AnExlpMg6hAkr9necJyBujT&#10;JKHhmuMnERMdOePNDtIHNWVFGs48+GbaJ6/ni/rhERypv4m4xOWI8rLoLNdRNo+UHNqPxvFx7ed4&#10;IwH6MQboIWHrGkDhtSrEJcUZzxPvgYIE6MuTE1D++AUuOQcZoBPRonT72+9Qevwown0G6JFYf/os&#10;rG19DNCDQAL03e29qDXGyFuILmH49Y4O5G9ab1qCX+Y5aVnpuNzySm2Y0H3WbGKATkRERERERERE&#10;MyIB+h/+9wc0Dg2h1qVfhAomCdB3+jilG2gqQE+MQ8mjlwzQp6GiawAbLlzC8viYGY+VLLQmpCTg&#10;SEPttE9ezxcSoJ99/FD9O70F6CIiYgk22LajefKt9nO8kXLgp+xOlGvGimaXrdOJopuNSMxIUX3s&#10;deMq5HsSmxCLrVW1uOqSAJ090Ilo8WmenMTOi+fVhiOv84ePGykL9u6FVcJzBuizTgL0nW12XB9w&#10;eQ3Q64z/v3DzjQubdleoPufasTOoljSJy3HxxYtpbwgMBAboREREREREREQ0IxKg//lvP+LJxMic&#10;6IOuylyfOx2SAH3b/acM0KdBQsNNldWIT0lQJ2t119ZfstAqQfzea5dDstAaDFKaXnqBJqYnqxP3&#10;uusgwsOXIL9oI+reuKbVD14C9NO9TjU2DNGDy2Y8N7bdfYiUvGxEWcK04yrUMy0uGpvPnUfV4NCC&#10;7fdPRGSmeWLSeN9fcffR9jbXUwF6BFZWVLiftQzQZ115Sw92tNlxuX/AeD/px07c+u47VJw/axqg&#10;S0Udmescu9Ws2jPpPmc2MUAnIiIiIiIiIqIZkR7o//rXO3T/ZgI35kAZ91AF6LHxMdhcdRPW9j7t&#10;oiJ9ztrRjy31zUjMTFVlx3XX1l+y0BptfIb19Ek0TUxq7435rn5oCNUOB1asWml6vaQkatbqlbjW&#10;1jqtvqEM0ENHyguXP2tF+rq1sEQu1Y6rYtznUn1g3Z7dqB0eZoBORItS49g4jjTe9FmRRTbnrdi8&#10;Cdtbuo3nbK/2+UuBI3MHq+GcMZcwazEiFQRkA4TMn73O1T++73ZduqDmP8F+3zFAJyIiIiIiIiKi&#10;GQN+j5Hff4tK54B2ESqY3AF68Eu4x8ZFo/DKdQbo0yDXquTeYyTnZpmeuvVXRPgSbDt0ALe+/VZ7&#10;b8x3Uva0xunE6uLNpmW+VT/4zFSc+ubutMrZM0APrYpOJ1YUF8MS7v1EnrAY35VVJcVoMMaWAToR&#10;LUYSoB+/1YjEtCSfAXrGhnXY/qqLAXqQyPzhZE+/aYAulYKONjX43AAhv1e8bzduulwfS7/rP282&#10;MEAnIiIiIiIiIqIZA97jhz/9WgVwoe6DLgH6wZoqxCXEBj9Av1rJAH0arK292P6yE6mrCxAVuUx7&#10;bacjbNlX2LSzAk0SLL5ZeMGiLB7XulzYsneXzwXn+KQ4HK67iaaJCe1n6chi9/k+J2zG2DBAD76K&#10;bhdyrFbju2ByAt0QEbEU2WsL1JgxQCeixUhKep97/Ahp2RmwRJm0vTDeh2lrVmH7q04G6EFS2tKN&#10;w119xv8n8P5+kg1g5548QnrOCtOWNDKfWb+9RG0eZIBORERERERERETzjvRB/9P//oD7Y8Mh74Ne&#10;PzyCE3duqQDRLGQMpJ8D9Gs3GKBPk63LiYxNm8zLVvtJTqCv2rIJVb121A8Na++P+UzCUmE7c9J9&#10;b8datNdB7seo6DDsvnwRzW/faj9LRwJ06Vta0WpngB4Ctq4BrDp0CDGy8cfL2IpISxhSs9Jx/snj&#10;aZXoJyJaKOTZd7nlFTLzc4xnovcNeNLuJCEjDeUvOxigB4kE6Ac7+4xx8h6g1w8Po7KnG7kb1iLS&#10;ZP4n1XZy1hao9jXyM7rPmi0M0ImIiIiIiIiIaMZ+MvzrX7/Dq29HUekMfYB+/HZzcAP0j2HXulNn&#10;3Au0rXbtoiJ9ztbZj5zyMkTLCTKT0NAf0vs7e/VKXG5pQcPIqPb+mO+kwoKUPZV723Pf6YQv+0r1&#10;g59OOXsG6KEl34V1Z85heXyMafUMGfuE5Hgcrq+dVol+IqKFQsLUq+1tyFqVp979umelUAF6ZjrK&#10;eQI9aMpaerC3vRdVAy7UeSvjPjiIxtFRrCkpRrhJ2xIJ0GXDWFVvLwN0IiIiIiIiIiKan6SMu+PH&#10;SVQNvEGtZiEqWCRAP3arKagBugp+DQX79zNAnyZbRz9W7t6NmBjvJ6r9JWVA07LTcfbRwwUbLMq/&#10;69yzpyo8Nw3Qw5dgg7UMtU6n34vOEqBfYYAeMtYOBzZX3UR8SqIqO6wbV6HG3vi+SCWCpolJ7VgS&#10;ES10cgo9f/NGVX1G96wU0eoEeipKH70w5mesEBQMEqDvarfjutNl2ge92Xh/Fe3dpTZAeJvPqA1j&#10;KQm40vqaAToREREREREREc1PUsZ94j+/V4tloeyDLgH6ybu3EZ8cH4IA/QAD9GmS0HDtiROqBP5M&#10;e9ZHGT8vGydkA8V0en/PJ9L39VJLC1JWpJne37IgvXLjWlzraFen1nWfNVWd4caASy18ywK4brxo&#10;9ki4U3L3ERIyjbE16QkrIsK/xubdOxfsfU5E5Is8/wqKN5sH6MZ7Mi4lAVtqG9liJ0hkA55sxLvk&#10;GDAN0JvGxrH9xFE19/MaoBu/F5e4HMeNeV2wW5YwQCciIiIiIiIiooCQAP0P//sDbo8MhbQPuirr&#10;2daGpLRkBujzgATohVeuYXni8hkH6J6TuYdqa9A0uTBP5kqAfq29TZWqNwtZPafxzz994vdpfAbo&#10;oWWV54bx/EguMMbWEqYdV4+IiKUoKCpEdV9f0E/lERHNBY3j48g3noMM0OcWCdDFuT4nGkwC9MbR&#10;Mey5dhnLE2JVUK4bP/nvsfEx2Gv8OQboREREREREREQ0L0kf9P/7v9/h8cSI6nuoW4wKBgmTqh0O&#10;JGekqhBRtyAXcD8H6AcZoE+TLGgXN9xWC9xmZav9Jb2/91y/iltv32rvj/lO3d99vdhgLTXt+yqb&#10;CWINJ+7e9vuUsgToVa432N3eywA9FIznhoToGYUbje+C+bPLEhWGtJxMnHv8iH3QiWhRkmff+u0f&#10;34UyD9M8Kxmgh0ZpSzdO2/vRMDioHTvRMDKKY82NqkS7xcv8z3My3Xr6xMdqOt4/L9AYoBMRERER&#10;ERERUUBIgI4P79D9wwRqXKHrgy4BY1VfX3ADdIMs0maXbHOfImWA7jfZcFD6tAXx6SmqV6nu2k5H&#10;eNjXKDt+BA3DQ6gzWbidr+qGjH/X0CDKjh0xPXUnIiOW4nB93fTKfA++wd4OBughIQG68X3I37Mb&#10;MbGRXgMhIdUapO3B4fqbaJ5cmJtFiIjMSIC+Ze8uVY3FWwlwBuihIQH6sW6H2pgndOMn8/VLr16o&#10;ljRe5+vGuMoYFu3Z6Q7QgzivY4BOREREREREREQBgw/v8fYP36vFslD1QQ9dgB6OFUWbGaBPkwSG&#10;5S87kZybpa6h7tpOh4TGhRXlqHb0oc64F3T3yHwngemBmipERPgI0COXofToYfUzErxP/RydOgbo&#10;oaMC9D6sP3NWjZ+3QMgjbNlX2HHxvHE/LMx2BUREZqYToBfXNTNAD6Kylm4c6nKo/y/gLUCXeUmt&#10;y4V0Y/4XafFSUccYV2lpsqG8hAE6ERERERERERHNXxKg/7+//haNQ0PqFLpuQWq2eUq4ryjIDX6A&#10;vqWIAfo0qQD9VScyN6xTC926azsdFksYVhauw7XOjo/lPvX3yXzWNDGJ47eaEBcfY9o3PvLjorPq&#10;kz3k32YCCdAPdPYxQA8Ra0cftjTeQYyPsRXSB71wx3bU9Per555uPImIFip/A/TlSXEovFrJAD2I&#10;ZA6xz5hLVLtcpgG6VArKWbdazd104yfkXbeycD0aRkeDWlmIAToREREREREREQWMlHD/5z+lD/oo&#10;alyh6YMuC3ISKOUXrlOLqrrFuNnAAP0LybVq6UZOWSmiYyJMy1b7Q8Y8c2U2Lr9uQePoqPYeme8a&#10;x8Zx9tFDpJqVPTVERUcge1Uernd1+r2ZQAL0I90OlOvGimadtcOB0sevkJCe7HNDiYz9ivycBX2v&#10;ExF541eALu0u4qOx5vgJ9XzVPXcp8GQOsau9F5VOF+qNeYVu/CQMF2tLtpjO1yVAl5Bd/Xk/q+kE&#10;AgN0IiIiIiIiIiIKmJ8+uH/t/e2kOnWiW5CabZ4AfeWGNcEN0I2/K7NwozsQZoDuP+NayaaD1YcO&#10;uU/czjRANz4jITke5589VYvruntkvqsfGcG19jbkbVyLiEgvZU8Ncj3lWlxufa1Obuk+ayoJ0I93&#10;M2QIFTkhWfasFRnr1vgM0KNjI1UVgrOPH6FpfFw7nkREC9V0AvS1J08xQA8iCdArjLndNZ8B+hA2&#10;79qh3nfextBiWYb0vCy1WUzmP7rPmg0M0ImIiIiIiIiIKKDw03v88KdfhzxAD/YJdOnRmLwy9+dA&#10;WLegSBpyvdp6sf78xYAE6LIAKyevT93/Bk0LNEBXZU/fuLB+eynCw77WXgehFqNjo3D8VrP/J9AN&#10;Z3qdsBpjw1PowSffhe0vO5Fn2+77+WWMr5S93XfjetB7wxIRhRoD9LlNyrhf6R9Ag5d3k+dEedmx&#10;w2qcvAfo4UjNSlebxeqDWG2FAToREREREREREQWUBOh/+stvcWtkOCR90GUxrnZgAButpSpI1S3G&#10;zQYJ0JPychigfwFbhwNFN5sQE4AAXYWKUeHYf+O6+6TSAg0Vb739FmXHjyIiwjxAj4qNhO3MyY8n&#10;vXxfCwnQz/UxQA8Z49lha3dg/dkLxjPFe3UBD7nXN++0odbpVM8+3ZgSES1EDNDnNgnQLzicqPc2&#10;9zD+e73x3tpz9ZKau3kbQ5nLJ6Yk4EhDXVArCzFAJyIiIiIiIiKigJI+6H//x+/w+rsxVA0E/xS6&#10;CpFcLmzZu9MdoHtZkAs0BuhfztbZj633HiMuKc7rAup0SKhYeuTQv++HKffIQtA8MYm91y4j1vj3&#10;Stl63XUQ8h3YaCtDrcu/ayEB+uX+AdhaGaCHSkX3AIrqbxvjJ4GC97EVMr4rCnJxo7c3qKVtiYhC&#10;bVoB+omTDNCDTAL00/Z+7dgpEqAPD+NgTdXPYzV1/IS856QdzaGbNQzQiYiIiIiIiIho/vrJIKfQ&#10;B9+/RaVzQLsoNZs8Afrm3RUM0OcJWdTedv8pkrIyfPZ99ocsphdWbEfNAj6VK4vIx5oakZiaCIvJ&#10;NZPNBLlrC1DrGvA7QL/KAD2krB392Hr3EZJzV/gs4y6bJ+KT4nDh2VMG6ES0qPgXoEdgeeJyFF65&#10;Dms7A/RgKm/pwfFuB2qNsZK5hW4Mpf3I+WfPEBsf43UzoNoEYYzvjovn0DQ+rv2c2cAAnYiIiIiI&#10;iIiIAk4C9B//+9doGBoMehl3T4BevH93cAP0qDAkZmWg9MEzWNv6tIuJpGdt70PZkxZkFm7wGRj6&#10;Q8Y9d90qVPX1qtNNuvtkvpOw9EpbKzLzcxAZ6b3UtwToKSvScL2r069rIYvcVcb3x9ZqZ4AeIur7&#10;8Ow1srZsRpTJ2Ap1Ys94xu2+dME9vn6U6SciWgj8CtCN+UBcSgK21DaqZ6vumUuzQwL0w10+AvTR&#10;UVzt6DAP0I2xlXG0njmJpokJ7efMBgboREREREREREQUcBKg/+XvP+Lp5ChuOINbxt3T63nnhXMq&#10;SA1ESXB/REWHIyE9BVsbb/OU0zSpDQcvOpBbVqpO8uuu73TIuEtoXCVlrRdogC5BadPYOFZvLUJE&#10;xFLtdRByLeKT4nG0scGvE8qyyF3tcmFnWy8D9FBptaOisx+rDh2GJXyJdlw95Pkm4dFGWzkaRkb9&#10;6nNPRLQQMECf22QOsaej15hT+AjQ29uRmJZkGqBbjLlh6fEjaJ6c1H7ObGCATkREREREREREs0JC&#10;dPtvJ4PeB10CpPqhIey+cilEAfodBujTZoetw4E1x07AYhIG+0sWYaWf+sUXz1E/vHDLWjeOjqF4&#10;/x5173kND4z/LqeUy44d9qt3qCxyy2mxfR19DNBDqKLnDTZcuqbK1vqqoiHBwoqCPFT12hdsywIi&#10;oqkYoM9tMofY1S4BusuYm+vHUDb2Xe/qQlZBrpqz68ZQhC39FTbt3olbb99qP2c2MEAnIiIiIiIi&#10;IqJZAbzH5B++V4F2MMu4hzxAb7rLAP0LSGC4/vJ1WCLMT9z6QwLj5fExOHSzZuGeQDdI79Bdl84j&#10;Ni7aXcpbcy1EZMRSrCsvQaMfvUM9p8QOdzsYoIeQrdOJLQ23kLQizWdbA/n9xJQEHL/ViMbR0c/G&#10;lIhoIWKAPrfJHMLaalcbaX0F6Cvyc8wD9GVfYfOeXQzQiYiIiIiIiIho/sOH9/jTX3/A3dEh1VNZ&#10;tzg1WyRYPNrUoE4iBzVAT0tGcV0zA/QvYOt2YVN1PZYnxJiGwf5QY26wnjqxoPtCy8Lz6fv3kJCS&#10;YLrwLCXec9evQbWjz+8Tyid6GKCHkrWtF9tftCNj4wZYIs2rMsj3RcbfevokmieDFy4QEYXS9AL0&#10;BgboQaYCdMM154D3AN2Yo1X39WJtyRZYTDaLRYQvwZqtRajpdwRtYyQDdCIiIiIiIiIimhU/GSRE&#10;f/XtaNDLuMui6rlnT1WwFKwAXZ16TojF+vMXYevs1y4mknfuE7e3kZieoha8ddfYXzLm0TERamF9&#10;QQfoQ8OocTqRlrvCdOFZfi8tOwNnHj1Aw6jvMu7itL2fAXqISVWGvJ27EOUjQBfhYV9jbelWVX2D&#10;fdCJaDHwN0CPT0tByb1HDNCDzBOgX3IMeO2BrgJ0Rx/WlxabB+gRS5G/aT0qu7sYoBMRERERERER&#10;0fwnAfrI779VC1G1QSzj/nOAHh28Eu4M0GfG1u5AyYOnSFtToHo6667xdFgil6FgyyZVjWChBopy&#10;mrx2YACrigpNF57VvRkfg/03rqNpYkL7WZ+qH3yDi/0DDNBDzNblxLqz5xBrjJ2MoW5sPSyWcKTn&#10;ZOLc40fq+acbVyKihUSedcX7dpsG6PJ7CZnpKH/V6a7soXnW0uw62+v0GqDXDQ+hxtmPot0VpnM/&#10;CdBXFq5DZVcnA3QiIiIiIiIiIpr/VBn3v/wWTUPSBz14p9BlUfXCi+eIS4j1GTwFCgP0mVEL2686&#10;kbV1a0D6oEdGLkVmQS6q+/rUqVzdfTLfeTYGlB4+YN6uwPjvckK5/ORx3PrWvaHFjAToUnKVAXpo&#10;yWnJkruPkLgiHVE+NpXI2MuGof1VlWgOYo9YIqJQaRwfV5U3IiO8V+n4OUB/2cEAPUSkoo3XAH3Q&#10;XTVl+4ljiDR5z0m4npGXhQvPnqJhdFT7WYHGAJ2IiIiIiIiIiGbNTx/e4V//eoeX344FNUCXxbXL&#10;r1uQuiLNtDd0IP0coJ+7wAD9C+3oeYOVe/cjMuwr7TWeDktUGFKz0nH+yWPVK1x3n8x7g4PqJNbh&#10;ulp1/5lVWwgPX6KChmqH7/6hEqBXOl2oaOtliB5KrXYV+KSvX4co437WjeunZJPEtkMH0GCML8u4&#10;E9FCJwF6flGh6o+teyaK6KhwJOVmofwlT6CHgswhjnU7fAbo1lMnzAN0YxzTjDnd2UcPglZlhQE6&#10;ERERERERERHNGumDLiH60O/fojoUAXpWelADdDnpu/rIUVV6WbeQSOak5/Oqo8cRZVmmrqXuOvtL&#10;xj0ucTn2V11f0CWtG0fHcOnVK8QnxZlWW5DF58z8HFx88dz4GfPTWxKgVw24sKeDAXpISYDe3oeC&#10;vXsRE2N8H3x8J+SEXvbqlbjS+trnGBMRzXdNk5NYVbzZPEA35gIZG9Zh+6suBughIHOIQ13eA3TZ&#10;CCjvq/1VNxAZacz9NGMoVICenYGzjx8yQCciIiIiIiIiooUBP73Hf/75BxXK1WoWqGaDBOhX2lpV&#10;ucdgBegSbslCbf7evbB1DWgXEslchXHdNly6ok7ym4XB/vBsaKg4d8avvt/zVcPIKK51diBn9Urj&#10;Xjfvgx5r/Hr8zi00T05qP8tDFrprXG9wqNOBshb9WFFwWNsdKKpt+NgH3cez7OMz6OTdO2gaH9eO&#10;LRHRQiCnlmsHBpC3cZ3qj619JhpUgL5+LQP0ECk35hD7Ovq0Y+jRbMzRjt+5bTqOMpdPTI7H8du3&#10;0BikOR0DdCIiIiIiIiIimlX48A5/+8fv8OLtqDrVqlukCjQp2X29qwv5hevUqUzdYlzAeQL0ffsY&#10;oH8ha0c/ttQ3IzEzTfUt1V7naZCy5Vv27UHz5MLtCV03NIxapxNb9u40Pb0l5JTezovn1GkvsxLf&#10;EqDLZhcpu1rW0q0dKwoOOYFe9qQFSdmZ6vmiG9dPyT2w/eQxNb4s405EC5XM8668bsGK/FxEStUa&#10;zfNQzctiIpBTVobt8i5rtWufszR7ZBPe7na7dgw9JEA/dvuW+UaIj5sAD9XfRNOE+SbAQGGATkRE&#10;REREREREs0rKuMspdCnjLn2VdYtUgSYLq5Xd3Vi1eQMD9HlEwsLSB8+QsjIXUQEYN+kJvWZbMepc&#10;EjQPae+VhaBpbAx7rl81LWMrJGQorCj3uw/6aXs/Shmgh5Q6MdnShTybVfXy1Y3rp+SUXu7aVbhh&#10;t/scYyKi+UrmeZdevURmfrbPAH3lrl3uZyoD9KCTAH1Xm121cfJWxl162Z95+ADxyXGI8lJ9SAL0&#10;5XHRONxQxwCdiIiIiIiIiIgWDgnQf/8/v0Hz8JAqDa1bqAokCY6q7HasKy32eSo3YGItqnd3XkUF&#10;bN0M0L+UrdOJzKIiWCK9n0Tyl4y99IS+/PoVGkZGtPfKQiAl6qVsd7yP0vdyqn9Ffo4q+S6l33Wf&#10;5dEwOIjzfU6UacaIgqjVbnwn+rHxSqW7KoPxnNGNrYc6pRcfgzMP7i/oe56IFjdp1XP6/j2krEhT&#10;/bF1z0N3gB6J1YcOwyrhOQP0oJMS7jvb7LjuNA/Qzz56iMTUBNMAnSfQiYiIiIiIiIhowfnpw3v8&#10;81/v8Pq7MVQ6B7QLVYGkThu7XNh2aL9pSchAs4R/jRVbt6Ki26VdSCTfJEDP27ED0dLP20dY6Isl&#10;OgJJaYk4cfe2WqDV3SsLgZRkv/TyBbIKck0rLkQb11NOcJ17/Fj9jO6zPOQE+pX+AVS02lGuGScK&#10;HltXP4pvP0BCapLpBgkhYyx/pvTIQfcJdJZxJ6IFqHFsHMeaG5CYmqgqb+ieh2oOERuJDecuwNrW&#10;xwA9BCRA39Fmx9V+8wD93JPHSM5I9h6gG2Mp8/m9168FrS0PA3QiIiIiIiIiIgoK4D2Gf/+tOoFe&#10;O8un0D0B+tYDe4MfoG/bxgB9Bmwd/Vhz7Dhi46J9hoW+yIKrLKAfvFmD5sngnFgKBQlKa/udWF9e&#10;qvq+666FkOshQcOuSxdQb3xHzHpkS4AuJ8Z2t/WqEqy6saIgkeDnZYfq42vx43kWaQlD9toC1A44&#10;F3TrAiJavJrGJ3Cg+gbiTCqvRMca/914722+2WTMLRz65yvNKtmAZ2u146LDqeYVurGUagKXW14h&#10;a1We92oChrBlX2H31Uu49ZYBOhERERERERERLSD48B5//PMPuDM6pHoh6harAkWCwYbhEdjOnPbZ&#10;FzqQGKDPnLXdgU3XqxGXHK96yuuu83RIH/Sdly4E7cRSqMi/z3rqBCIjlro3DmiuhZAAfcP2ErXB&#10;xCxclZNi1a43ONDRhzL2QQ+5ip43WHfuIqKlwoDJ+AqpvJCQkoATd26pYEI3vkRE85lsipPNYBKe&#10;mwbocdHYeu+xaoWhe7bS7PI3QL/S+ho5awtMq+i4A/TLDNCJiIiIiIiIiGjhkV7ord+Po3pgdgN0&#10;IYHi/poqFaDqFuJmgyViCTI2FcIqC4csFfpFrO192Hb3EeLTkt1l3DXXeTqkAsHGiu2o6XegfmhY&#10;e68sBNIH/XBdLeITl3svZ2uQ010ZK7NR3denTqHrPktIgC4Od/WhlAF6yNm6nChuuoukrHR3L3TN&#10;2HqoSgPGn5Ey7nJf6MaXiGg+kzme7cwpWCzLvG4ak2A9IT0Z2755qqrb6J6tNLs8LWBO2/tNA/Sr&#10;7W3I27DGZ4C+5/pV3Pr2W+3nBBoDdCIiIiIiIiIiCho5hT75h+9VMFc7ZaEq0NwB+g214KZbiJsN&#10;UZHLkLY6H2UPn6sgeOpCIvlmbevF9pZuJOfn+gwK/SHlrPM2rMbVjnY0jIxo75WFoN74t0kJ1Mz8&#10;HEQa96HuWggJ1xOSE3D6wX13j2zNZ3k0DA7iRE8/T6DPAdZWO2zGdyO7tAQWP6pqSOWNlRvX+dwo&#10;QUQ0H93+9nuUHD1szPH+P+0zUEgVmxRjLlH66AWsLOEeMhKinzQJ0GUuUu3owwZrqWnbJdkQazt7&#10;Gk3jY7hp0oImUBigExERERERERFR0ODDO/zl77/DvdFh1MxyGfemiUkcaWxwl/f0UfI4UNwBegHK&#10;ZLGWAfqX+XhyP3vrlo8l3Gc2dhIYp2al4+KLF2gcG9PeKwvC4KAK0deWFJsuQKvvgmH7yeM+y3vX&#10;G595rtepxsNzioxCR8q4rz1xSo2ft5LFHlHG78clxuJw3U2eQieiBUXaj8hGTKkuEx7uvcqQbMLL&#10;LNyAsqevOScLobKWHhzvcaDBJECXKkEbK8pN5y/ye0V7dqJ2wGnagiZQGKATEREREREREVHQ/CQ+&#10;vEPvbydVf2XdglWgSGh0/PYtxCXEqjBJtxgXaAzQA6DVrk7bFuzdixgZt5lufjB+XhbRT31zb8EH&#10;iU3j4yg7etjnphHpk75m2xb3hgKTU1xyWuyyYwA72uwob9GMFQWVPFNK7j1E4ooMRJmUufUID/sK&#10;Ww/sQ8PwCOqCcFqPiCgYJHC90dONVUWFiIgwqbhizMlW7tqJ7S1dxtyiV/tcpdknbWAOdfWpqjbe&#10;xtPfAH3z7grUOhmgExERERERERHRAiRl3N//z2/U4tRslnGXsPTE3TuIT4oLXoAeFYbknExsvXUP&#10;Vvbb/DISoLf1YePVSnd4PtMA3SAlzXdePK8WaRdykNgwMopjzY2IT4437YMu10NKvV9ta1XXRPdZ&#10;om7wDW44XdjV1qtOkGnHi4JHvhvtDqzYUuRXgC69ZDNXZuNyS8vCrr5ARItK4+gYLr54jhXGe8xi&#10;0urFErEEa46fgE3Kt3+sbkPB5ytAl3mZtNgpOXJIlWnXjaVwB+g7GKATEREREREREdHCJAH63/7x&#10;I55OjqB6YPbKuEtgdP7pY6TnZJousAZSVHQ4EjNSUHSzEbZOd+lrmj5bRz+23X+K2IRYn6Wq/SHj&#10;vyWIZT9DRcJw6XmdkZdles9LuC4bSw7drFan1nWfJaRErvy6p70XpQzQ5wQJ0DdcuGSMYzSiY31/&#10;NyREP1hb7bPaABHRfNFovLfOPHyA5IxkWLxuFrMg2nj+bbxerdpf6J6nFBwSoB/o7DPmFN7fQbfe&#10;fouKC+cQtuxXmrF0Y4BOREREREREREQLmirj/tM7jP7Hd7gxywH6hedPkekjTAwkBuiBISFhycPn&#10;SMrKRHT0zAN0CYzzN61HdV+v6Ynr+c5zun592Vb3PW9yej8i/GuUHj+K299+99nnfErKuMvJsbLX&#10;3dqxouCS6gxlj18hJVu+G96rDHhItYF15dtUedyFfO8T0eLRPDmJY01N6h3nrV1JdIx7o9jmWmM+&#10;1j2gfZ5ScEgFm30dvap1k2dj3lQqQD9/lgE6EREREREREREtbvjpPf70l9/i7sgQql2zE6LXj4zg&#10;ansb8jauRUSk9x6ZgaQC9PRkFNU2MECfAen1XPasFZmbC1X/ct21ng4J0JPTU3C9u0uVCdXdLwuB&#10;BOj1Q0PYeeGsaltg1gc9InwJVhdv9rmpQMq4n+pxtyMonzJOFAKtdtgMhXt3u78bPlocSAUHCZEu&#10;vHimSvzrxpiIaD5pnnyLA7XV6j2me+4JeT4m52Zh6+37qqqN9nlKQeF3gK5OoH+lHU/BHuhERERE&#10;RERERLTgqVPoH97B/tsJ1WNZt3A1UxIKVvX0YFXxJrXopluMCzQJq2LjorDh4hVUdLu0C4nkh9Ze&#10;WNvsWHXwEKIiZz52EiYvT4jFmQf31cYK3f2yUDSMjuLiy5dYHh9jWv5eyt7KpoIzD++bl3EffIML&#10;fU5YWxmgzwUyBju7nDhw6xbi4qSMu48A3fh9CZJKjx5S976nSgER0XxUNzikNoqVnzxmOrezRC5D&#10;RuFGlD1pUZvydM9TCg4J0Pd29KLKJECXqgL7q2+4qwp4mbtEWsKwakshKru7gjKXY4BORERERERE&#10;REQhAbzHb/7rezQODqLGpV+8mgk5nSKnVNaXlyDc5JRSIKkAfbkF6y9cZoA+QxXdA9hwpRJRlplX&#10;D/Asxu66eN592noBh4hywr6yuxs5awtMT+9LsCrlvfdXVaJ5YkL7WUIWu687XerUMwP00JMxqOhw&#10;4HRbB1YXbUSkH98PS1QYMvKyUdnTgzqWcSeieaxuaBjVDgc2VpSrd5jumSciw79GjtUGm4TnxvtL&#10;9zyl4JAAfVebHdecA6otjG5cJUA/UFNlzKH/PWebymIJw8oNq3Gtoz0o1YQYoBMRERERERERUUjI&#10;KfR//PN3eDY5iqpZ6oUuZT63Htpv2lMxkH4O0HkCfcZsxvWT3qXqJLWPU7Y+ySnc6Ahs2mFF/dDw&#10;gj6Fq8qaulwoObzfNFwQcnqvaM9O1A441XXRfp6h1vVGLX6Xt+jHioJHbWJoteOiaxh7r16BRQJ0&#10;H98PeS7J92j/jetoHBvTjjMR0XwgrSiudXaYbhKLNuZhsvlu1bET2GEf1D5LKXgCGqBvXMMAnYiI&#10;iIiIiIiIFj7phT76H9+h9s2bWTmFLj0Vtx05FLQAXYIsS8QSrD5+Cjt63mgXEsk/0rN0650HSMld&#10;YXqS2l8SJuesW60C5oVexlpKsh9pqFPXzWzzgWwqyFyZjSvtbar0u+6zVIBuONjRxxPoc8g51zAu&#10;v3yJzLwsnxslRGTEUqwt3YqG4YV//xPRwtU4OobLLS1ITE30GrRGx0QgLmk5Cq9WwtY1oH2GUvAw&#10;QCciIiIiIiIiIpomfHiH//3bb3F3dBjVrsCfQpcFOdvZ04iKCpv5KWY/RS77FQoOH+WppxmytvVh&#10;+8sOZG/bCksA+qDLwmtKVjout7xyl3HX3C8LRePYOC48f4Y0498rIbnuegj5TshC9Ym7t9HoJUD3&#10;ONHjYIA+R8g4HO3pR5MxZsX79yDCjxYVlqhwJKYm4NS9O2iamNSOMRHRXCcB+tnHj9W7y9u8TjaP&#10;JWVloLjpDqwd/drnKAWPvLNsrT246HCi3ssGLqmOIu+n5IwU9b7SjSsDdCIiIiIiIiIiWjSkjPtP&#10;H96h/3eTqJ6FE+gSoO+4cA7R0RHBC9DDvkKBlA3tHdIuJJKfWu2qDH7+/kOql6nuWk+HBMkJyfE4&#10;VFuNhgVexlp6xNY4ndiwvRThYSbXzvhOyEJ16dFD7p/zsrAtp9Bl4ZsB+twg43Ck24Hm8XGcvHsH&#10;SamJXgMHD3n+RUQswbZDB1TwwFPoRDTfyHNLqsjsNOZ18k73Nq+zRCxF6to1ahOetbVX+xyl4JF3&#10;lrW1B+eNeUSDSYB++sE3SMlMZYBOREREREREREQk8OE9/vC/P6BxaBA1mgWsmWgan8D+qkrEJcR6&#10;LQkZaFLCPW/Xbtja+2BttWsXE8k/FT1vsO7MecTI2M1wA4Q6bR0dgfITR9E0MaG9XxaS5sm3qDh3&#10;RpXuNrt2clIvZ02+Cty9ncyXkqvXnS5YNWNEwSflcA909qF+aEhZU1KMSEuYdnw/JaFEWnYGLjx/&#10;jqaxce1YExHNVRKe17pc2LzLZlpdJcqyFFmlpWoTnu4ZSsHld4B+/x4DdCIiIiIiIiIiIg85gf6v&#10;f71D+/fjqBoIbBl3KWV9rLkRiWmJpoutgSTlxrNLtmL7i3ZY23jyaSakd+mmG7WITw3M+EWEf42N&#10;O2yqMoHufllIpA/6iTu3kJSeZHo62XMy/8Lzp14D9LrBN+q7udu4n3kKPfQkQN/T0avGRcoZS1WF&#10;2Lhov74jEkDIxgoZa55CJ6L5RDYM1TqdyNuwVm3+0j3jZLNkbFwU1hw7DhvLt88Jfgfo39xlgE5E&#10;RERERERERPQp/PQev/vv36hApzaApdxlQe7kvTtIyfTeUzHQVIBeWuIuHcoAfUas7X0offAMKfl5&#10;iLIs017v6ZDT2DnrVuN6Zwfqh2d/8TWU5KReTX8/VhauV6W7dddDqBK4hu0njrr7oGsWt6WEe43x&#10;vTzU1afCW91YUfDIGOyVAN0YFwnCq/v6sCI/169nnAQQUnGgsrsrKAEEEVGgyPPuWkcHkk1CVqk0&#10;E5ecgKKaOmMO4dA+Qym4PBvvzvWaB+hnHtxH6oo0BuhEREREREREREQeUsb97//8HV5+O4obzsCd&#10;Qq8fGcGlVy+RmZftV4njQJAFvszCjSh78oqLtzPVaoetw4EVW7aojQm66z0dlugIJKcnqZPZjeML&#10;v4R108QktuzdbdyT5psPIiOXIX/TehXIejuVXG84Ze9HaUu3fqwoaCRA393ei2qXMS7GeEmQsPvK&#10;JfcJdB+tDmTDRFRMBPbfuO4OILyMNxHRXCNzuiMNdYhLXO614oacTE/MXoHyZ23cxDiHyNxB5hDe&#10;AnR5H11pfY3sNflqTqIbWwboRERERERERES0KAHv8e0fv1MhXu2bwITo7tNK7chatRIRXhbkAk0W&#10;b1ML8lDyzRNYWT50xqSMe/7efYiJ8R0O+uLugx6OfTeuo/ntW+09s5A0jI7iaEM94pPjTct7y2mv&#10;lBVpOPfkkfEz+kVpWfS+6BjgCfQ5QMZgV5sdlQMu9byUcb7W2YnMldn+nUI3/oyEFFW9veoZqRtv&#10;IqK5Rp51pUcOqjLtQvd8kxPoWVuK1LPS2mr/7PlJoeErQJeqQNc6OpG7fjUivWyYZIBORERERERE&#10;RESLkvRCl1PoTyZHcCNQvdAHB1VAtHLTBkSEey9jHUgqQF+1kgF6gEgP0/XnzmN5QozXBfPpCF/2&#10;FUqPHVHlQhd6D2h3GXcHMiRYNanAoDYWGNd2x8VzXvvD1w++wbV+F3a29qKcIXpISTncilY7LvUP&#10;qHGR51yD8ZyznTmp2hT42mgimymkZ7r0TpfvgW68iYjmFOM5J8+rVcWb3c85zbNNnn3yLltz9Lg7&#10;PGeAPmf4F6B3MEAnIiIiIiIiIiLSkV7oI//xneqDHpBe6IODaBofx+rizUEL0OX0U2JmKoqb78HW&#10;6dQuJJL/pA/6ttv3EZ+eojYn6K75dEhp0NXFm1DZ063KwWrvmwVCNgjIBpLCinKf5b3Dw7/GuvIS&#10;988NDX3+WYZqlwsHOqUPOsu4h5Knn+yp3n53gG6MjbQkuPjiOTJyV5hulvCQ78Ea47l40xjTusHP&#10;x5uIaC6R9/WV1y1Iz8tCpJe2JGqTXVw0tjTcVu1fpj47KXQYoBMREREREREREc0A5BT6P36HB+PD&#10;KqzTLWhNV+PoGDbv3qHCVzlpq1uUCyRZwI1PSXAv4HYxQJ8pTw/T5JW5iPIjGPRFguTUFak4/+zp&#10;wj99qwL0ERyur1X/drP7X8p6p2al49zjx9r+8Ko/uuFot4N90OcAGYPDXX2qB7pnrGWzUPmJoyoc&#10;143xp+R7sDw+BofralSv/KnjTUQ0lzSNjeNgbRXik+KM55eX8u0xEUjOzkTpwxewMkCfUxigExER&#10;ERERERERzRA+vMf4f36HmkCcQDdIgL71wF51MjxoAXpyPLbUM0APiFa7KsWaU1aqxlB3zadF7gFj&#10;jE7cva0CR909s5DIInNlTw/SczJh8XH9ZNF6z9XLaJ6Y0H/W4CBO9/azhPscIFUA9nb0omrAvbFB&#10;jc/IKC63vERGXhYsfoToUpVjbUkxqvsdqlLB1PEmIporbn/7HcpPHkdkhPdqQlFRYWquUP6y4+fN&#10;dzQ3MEAnIiIiIiIiIiKaITmF/pe//4hvRodRE4BT6A2jo6g4ewqxyz+W95yyIBdwEtBGh2NTdR0q&#10;ul3ahUSaDjusbX1Yf+acu79pADZByOKs3BNSqnwx9EGvdTpRtLvCZ2nviIil2GAtRbVDH6hKufBL&#10;jgHVf5shemipPuhtdlzuH0DDxzLuQqoHlB097FfFDXkexhp/5kj9zY+bJhb2d4GI5if3e6wfa0qK&#10;VbsR3fNM5gdRlmXYcOkaKrh5cc6RAP1Yj+PnajZTx5gBOhERERERERERkQ8/iQ/v8ObdW1QNBCZA&#10;33PlImLjY4IToBuiIpag8EYtA/QAkV6mxU33AjaGUq58fdlWVDv6FsXJWzlpf6SxHr5Ke0cZ1zYp&#10;LQkXnj/TlreXRe8qlwt72ntRxgA95CSQONP7yxN90if4alsr0rLS1X2uG+dPRUYsxZqtRe5NE0EI&#10;JIiIpqtxbBxnHz1E6oo0r881qVATn5KILY13Yesa0D4zKXTkfXWk26HGUxegSxsSma+vKy/1ukmC&#10;AToRERERERERES16+Ok9/vsvv8Xd0WFUD+gXtvwlodCJ27eQkByv+v7qFuUCLSpyGdafuwRbR792&#10;IZGmx9ruQMmjl0jOWQHpcaq75tMh94GUNJfS5oshNJQw/MKL5yp8MP0OxFoQaQnD/srraJCNBZrT&#10;+XIK/WBnn1oM140VBY+UcT/c5UCt69+BhFRUkE0h5SeOuCsO+DqFbvy+nEI/XH9ThRdTx5uIKNSa&#10;JydxoKZKPdO8VdawRC5FZtEmlD9rNeYMfdpnJoWOzwDdcOvtW2yssCI87Cv9GDNAJyIiIiIiIiKi&#10;xU5OoEsv9IGPp9BrNQtb/pKA9MzDh0hMTQpegG4Jw+pDh1XvbunhrVtMJP/JYnj5i3ZkbytGdLTv&#10;U7W+yEnrmLhonH38KCiLsKFWNzyM2gEnNu20qr7XumviIaf71pZsQc3AgCqbO/WzJEA/0dOP7TyB&#10;HnJSBWBXey8qjWdk3Sdl3CUIl1PomdIL3Y9T6PJnstfko6q3d1FUZCCi+UO9h1wubD2wF+ER+tLe&#10;whKxBAWHjqKi5432eUmh5U+ALhslNti2M0AnIiIiIiIiIiIyg5/e4X/++iPujw3PqJR7/dAQbvT0&#10;ICVTSn+a94AOFAnQC/YfUIuG1rbezxYSaZpapQ96L9YcO656nOqu+XTICTZhO3NyUfRBF+oEX3Wl&#10;u4+8SRl82VyQmJqICy+eacNUCWov9Q3AJn3QdWNFQSUh+iWHU21s+PcYDaqqA3uvXUGk8X3xpxe6&#10;3Bfy53Wl+4mIQqVhdAxXWluRkZMJi5dNkLI5Mj45Hptu1MLWzfLtcxEDdCIiIiIiIiIiogCSUu4j&#10;//GtOoEuZYp1C1y+SEBaOzCAjLxsv05jBkKUnOgs3Ybylx2wtrGUaCBUdA1gU3W9KjftKxD0h4zR&#10;2tJiFRIvhgC9YWQUl1teYkVBrmkvdLW5ICYS208eUz8ztYy7LHxXG9/FnW12lPMUesjJGJyy9/9i&#10;jISETpXdXVi5cS0iTE5tekjpfrk35OQ6S7kT0ZxgvH/keXS0sVGF5N7e/VK+PW3dWpQ/b8N2blqc&#10;kxigExERERERERERBRA+vMPf/vkjHoyPoPoLT6F7AvSVhetUaKpblAs0+XuyiotU2XEG6IFh63Ri&#10;292HSM7JRHQASvHLydz0vCxU9/drS5UvRE0TE9i8ewcifQSqapHa+L7Iz0zdXCAL37Kh5UBnH0+g&#10;zwEyBvs7+lDzSR90DxnvA9U3ELvc4rN9hQRTMu7bTx5H4+jYothUQkRzW92g8W42nkXbDux1z990&#10;Abps+ooOx8rde2Dr4unzuYoBOhERERERERERUQD9ZJBe6GP/+R1qXF/WC10F6MbPri/fFrwAPToc&#10;GetWo+xpi+rfrVtMpOlRGxFeSh/0rbD4caLWFykFm5CSgGO3mhbNidvG8XHsq7yGuIRY00BVfk/K&#10;uB+/3ez12sipZwbooSdjIOX0VR/0KWMkve+rHQ6sLt5sWnXAQ8KJlMwUnH30AE3GvfLpZxERBZtU&#10;iKns7kZGXpaaV+meW/K+ijPe5UW19bC192ufkxR6DNCJiIiIiIiIiIgCTAL0v/5DTqEPo9o1/VPo&#10;npOUWw/scYeGXkqABpKckE7JzULp45ewtju0i4k0fRXdLqw6ciwgAbqnVHnZyeOLJiysHxpSZb0l&#10;jJAT+Lrroshp5MilKDl6ELfevv38cwbf4LLDfdKPIfrccL7PqQ0lpKf5mYcPkJSa6LV/8KekOsHm&#10;XTbUuga0PfCJiIKlfmQEh+tqsTw+Rr2vdc8s2RiZWrAS2192Ynsry7fPVQzQiYiIiIiIiIiIZoH0&#10;Qp/8w3fuXuhTFrh8kQBdTqFXnD2pFmAD0T/bF/l7EjJSUfLwOawdDNADxdbtQuHVG+oEdXTMzMu4&#10;R4QvweryUtSNjRv3if7+WUjkuyB9zbfs3qk2k5h9FyIilyJn3SrtQrVcqxsDLncf9CljRMEnYyDB&#10;hC6UcI/5CLbs26XCB1/PP3l2xRq/HrpZo8L3qT3wiYiCQT27RkdRaCuHxVv1ILURLgIF+/e7q/20&#10;2rXPSAo9BuhERERERERERESzQE6h/+0fv8OLb0dVcKdb6PJqcFCdpNx/43pQA/TY+Fhsu/8ctg6W&#10;FA0Uq3EtS+4+REpeNqIsYdprPx0WyzIk5efhxKuWoCzGzgX1wyM4ee8OlsdFq/tUd11ElNzDcVE4&#10;VFeL5omJX3yGLH5Lz+2DXX0ob9GPFQVPmTEGu9t7tX3QhYRQV9rakJad4T2I+oR8L7LX5ON6V6c6&#10;ATr184iIZlv9yDAut7xEes4KRHp538s7bHliHLbevs/NinMcA3QiIiIiIiIiIqJZArzHt3/8HrWu&#10;6Z9ClwDp1P1v3GW7gxagx6C4+RvYuKgbOK12WNt6kbllS0DKuEfFRLgX32/UoHp0XJUm190/C4ls&#10;JrnR24vs1SvdLQ0018UjPOxrbN61A7UDA6r8u+czZPFbnLb3q0Vx7VhR0Mgmhh1tdlztd2krKchJ&#10;zsaRUey5dlm1l/B5Ct34fek3vPXgPrXhYurnERHNtua332LnxXOm1VKkfHvm5kKUv2g35gZ92ucj&#10;zQ0M0ImIiIiIiIiIiGbJTx/e4R//+h1avh9H1TRPoUsp4kstrxDr49RtoHgWewuvXHeXFX3NsqKB&#10;In3Q8/cfQIxaVJ/5WFoilmDlwaM4PTDyczCsu4cWjEFPS4PTiIw06YNukOAiOT0ZF188R9PYL/vE&#10;Nxifc6Xf3QedQs9qONvr9LoJRE6S1zj7sa5sm2pdoBvvT8nYJyTF4VhzE5qmVCAgIppNstGryuFA&#10;QfFm0+dVlGUZ1l+4DFunbFTkPGsuY4BOREREREREREQ0i6QX+o///Ws0Dg2i2uV/iK5KGLe2IjUz&#10;1eep20DwBOjrzp53n4piX86AkTLum65VIi4pTp2mnXrtpysyYilWbC2G9WUHrjjfoF5z/yw0sqHk&#10;7KOHiDeuoZRq110XD0vkMuy+fFEFGnKS2fMZsgB+w/UGezv6UMZT6CGnwomuPrWx4dOx/lTT+ARO&#10;P7iPpPRkFUToxvtT8t3IWSt98NvUM1T3mUREgdY8MYnDzY2ITYj1uulRTp8nZ6Vj273HsHU6tc9F&#10;mjsYoBMREREREREREc2in8SHd+j+YQLVLv2Cl44stF3v7PCrbHVASIAeE4lVBw7A2trLAD2AZENC&#10;6aMXSMpegaiomfdBl0X4pKwMbLl1Hwd73e0BFvopdCnLXd3Xi7WlxYjwUQpfrs/KjWtR7ehTIfqn&#10;nyPX6Wi3g2Xc5wDZxLC/w3sfdA/ZPLH91HE1rj6rcRjPMemHXrx/j9o8wXLuRDTbpF1IzeAQNh7Y&#10;b3r63GL83so9e2CTKj+cY815Mk+Q+YK8nxigExERERERERERzQJ8eI8//u8PaB4eUv3QdYteU6m+&#10;z/YerNm6GZaocO3CXECpAD0CeTYbrLKwy8XdwDGupYToWcVbEB2AsZRqAfI5G69VoaJ7AGf7nKgf&#10;0t9HC8bgIJonJrDn6mX3JoSPFRN05IR6bFwMTt2/99mCtZx2luslPbi1Y0VBU2aMwa62XlxzDpj2&#10;8pdnYXVvL/IL1yHSj1PoavyNXw/drFXh+6dVCIiIAq3BeM4ce/oc8ekpXjc8SvWZ5Ymx2HS9WrV1&#10;0T0TaW6RAP2kvd+0Soo/AXre+lW42t7GAJ2IiIiIiIiIiGgqzyn0gXdvUTUwoF30mkp6Pkv/36I9&#10;O332fQ6U6OhwZG4qdC8eMkAPILvqK7/m6DEV/AaiD3qUcU+s2n8A5cbn7+l04MaAC3UmIeRC0Dg6&#10;hgvPnyEjL8t3L/SocBTusLrLeH+y+C3X6KrThZ1tvSrA1Y8XBYPcu1bju3Ghz4kGH/eujOPJe3eQ&#10;kJLgV0UOGf/07ExcfPkCDSMs5U5Es6N+aBA3XIPYcPykeu7onkciKmIpMjYb86uXHdhuvH90z0Sa&#10;WyRAP+UrQH/7FhtsVq8BusxV1pVtRZXd/llFnNnAAJ2IiIiIiIiIiOYd6YX+P3/7Le6PDfvVC10C&#10;9JuDb1B67HDQAnRZ/E1bu0YtHKoy7lMWE+nLWTscKL79wLQ/6nTIZof0tatR9qQF29v6VJlRuV8W&#10;dCn3wUE0jo5i864Kd5lck1PocuorLSsdl1tatIvW+zv6WMZ9DpBNDKd7zQMKIc9DGXvrqROIMsZW&#10;qjDoxv1TKrgo3YqbroGgBBdEtPhIm4gDrzuRkJ2p3su6Z5Hnnb/uzDlU9LzRPgtp7vEVoEt1k8bR&#10;EawrL0F42NefjbuQljNFe3fh5sCAe16v+ZxAYoBORERERERERETzkoToY//xHaoHXKpvtW7x61NN&#10;ExPYX13l9WRLoEkwlZiTje0t3bDyhFRAyQn0smetSM3PVaVcddd/OmRBfnliHLbee4ztHf3q77jk&#10;GPAZRM53TWPjONbUgPjkeNOTyCqwiLVgx7kz6nv06WdIufBj3f0s4z4HSB/0A519qPbRB11I+dvK&#10;7i7kb1qPCD82Fck9IJuCtp88pk6wByO8IKLFo954354fGFLBuGqt4qW6jMytknKzUfa0lXOrecRX&#10;gC6bJ653dSFvwxpERi7Vjr0E6Jt370Ct08kAnYiIiIiIiIiIyBsJ0P/6j9/h2dtRVXJbt/j1Kemt&#10;eLSpEZYo/05czpSETQmZ6Sh58IyLvAEm19Pa0o2Vu3YZ19l3H2df3Iv1Fmy4cNkdzht/x/6OXr+C&#10;yPlMLUC7XMhdLwvW5iFqePgSFGzeiFpnP+o/WbiWAP2yYwC2VncZcd14UXCo699ix6V+8z7oHk3j&#10;4zj76CGS01MQafEdossmi+XxMThYU4VG42fZD52IAkGeV9cH3mDHq3YkF+R7f6/Lu9p4Dq0+dFhV&#10;omF7nPnDnwD9Wnu7MR9ZxQCdiIiIiIiIiIhopoD3+M2ffo2GoUHU+Cjl3jQ+gVPf3ENiSjyiAlD2&#10;2xdZ5I1PS0Zxwy0VyuoWFOnL2TqdKLxWFZAT6EI+J3vbVlhlQd4gYeQZe/+C74UuJ5GtJ4+rE8Zm&#10;G0vkOxOXEIujjfWqT6nn52WDQY3rDXa2sw/6XCBjcKy77+ex8YyTN00T49h95ZI67enPc1E2WqTn&#10;ZKrgXcrA6z6TiMhf8o6tNd4hh/uHsfrkGXc7ES/PInlPJ2amouT+M86r5hm/AvSODuSuX80AnYiI&#10;iIiIiIiIaKZ++vhr6/fjPku5N4yN4fyzp0jPzYQlSt9bM5AkkIxLikPhlWuwyUkpzYIifTlblxNb&#10;7zxEYkZqQDZERBv3RGJWBkofv4S1rU8F6Dvb7Kq6Qb3mfloopJ+19DZPSk82LeMupC+p9EyXU+tT&#10;F68Pdzl4An0OkDGQagBX+/27bz1VCDbaylWve3+qc0iInl+4DpVdXaqcu+5ziYh8kU0+EqCfdrxB&#10;6ZMWpK5ZBYuX8FRI+fb8PXthNZ5x21nZZ97wzA3O9TkZoBMREREREREREQWLlHL/4//+gCZ1Cl2/&#10;CCYk6LnS+tpdHtIy87LfvkiAHhsfg7UnT8H2sa82BY4KuZ+3IWtrMSwR3hfc/RUdE4G4xOUovFrp&#10;Lg1r/B1ymvdIt2NBn0J3B6hvUGjbrgJU3bXxkIA9MTUB5548ViW8f/4Mw/leJwP0OULu293tvX5v&#10;/pBn49WOdmQV5KlwXDf2vxBrUffKBmuZCjIk+NB9LhGRGSndLi0ndnQ5serocURL6XYvm3jk9HlC&#10;WhKKm+/B1sk51XwicwPZ9HDe4SNA7+xELnugExERERERERERBcZPH8R7OH/3FlUmvdDlpG1VXy/W&#10;lharRTjd4lxAxVpUiJ6/d686La1bVKQZaLWjotuFNSdOIcqf0M8H1Qc9Khx5O3Yan/tG/R3lLe5F&#10;34tq0Vd/X817g4MqQD3W3OS+Dj5O88t3x3r6pLsP+seFcAlBKo3vXgX7oM8Z0sf/WE+/qsrhs5S7&#10;MY6NY2M4cfsWEpLj/arQIfeJ/LmSwwfUszUYYQYRLRye98ae7gEU33mI5JwViDJ59kRFLsXK3Xtg&#10;betVdM89mpv8DdCvtrUhZ22BaYC+aacNtf39DNCJiIiIiIiIiIj8IafQ//zXH3F/bBjV3nqhq6Bw&#10;BFv27UbYsq+0i3MBFWtR5Uazt5ejontAu6hIM2MzrmtRbYM6lRaIXuhykj117WqUv+j4uTys9O3c&#10;29GHKilbvkBD9PqREdzo6caqoo2I8LEZwWJc54ycTFzv6lT90+XnJaCtfePCoa4+FdxOHScKPgks&#10;dhr38CXHgAqqpo75VBJGyHhWnDulKg340xZBAvTl8THYd/2q6ofOEJ2I/CHvUpmrHejqR3lrLwr2&#10;7kW0SQUUCdalXUtx4x3Yujifmm88AfoFkwBdNnGde/wQadkZiPSykSIifAlKjhw03mmDDNCJiIiI&#10;iIiIiIj8Ib3QJUSf/MN3qHW5DPrFsFvffgfbmVOICP/ar16/M2UJX4L0os0M0GeJtb0P5c9eI339&#10;WtO+qf6SED4+JQGbKmt+sUhf1tKNU/Z+tejv8zTvPNU0Po5dly4gMmKp6XdD/Z5hX+VVFbjWfVwM&#10;l5D2TG+/Kh/+6RhRaEhgYWu140iXw13K3Y8QXTZSSD90OeEnpdz96oduCUNiaiKONTW4Q3Qv4QgR&#10;kfC8Q493O7C9ox9Fdc3qvettE5w8h2QzYt7One52OMZzTffMo7lL5gU72+y40u99Q5cE6Ke+uYuU&#10;jBSvVVBk8+vuq5dw6+1b7WcEGgN0IiIiIiIiIiJaEPDT/8/ef/9VdWZh4/8/9Hw/zzOTaMr0NKUe&#10;Dr33Lk2kKB1771KlKhaKvTdEei+KoiaZmUwmMzE90ycTr+9e9+YYxA0c8ICU64f3i4ziObDrmX3d&#10;a62/4N///QyNH4+owMjoYdipDz/E5vLDcHV1nrJVtS1Iy9GAuFhkXWtiy9FZIm3cpa2r2WQ/4ezU&#10;6ZB9FrNjF/K79DbuQsLI/OZuVA1YF0QuRPLwuqzpNkKiw+Es29Jg21jI/Ouo1fE4Pjj4rApMtktF&#10;/5AKbWV7jd1H9OpsaOlWiz+sauU+NIQ67Tg40t2FyMQ4q0ddyPHgF+SP4utX0aD9e8PXJiLSyHWo&#10;QLsm5TRrn4maOhGSmqoCcqNri5Dqc68gP6xtkNnnHIezEEmAvlG7F1UOTB6gH7p4Hn7B/lME6OUM&#10;0ImIiIiIiIiIiKZLqtA/++4TNAwPo8agCr3h8WPsPHEMnt7uqk2x0QM6W3JxcYBfZBjWnb2E3LY+&#10;wweL9HLkgXpyeRU8fDxgdrVBG3dnewQmxiHzyi1V4W55H2lNvruj94VjatG4J3OwHyF922Y4O600&#10;3DYWcu54eLlh5/EaVbku/15CkWPaObejvVe1vR+7j+jVyW3uxkbtOFat3Mfu70nUjzxE8bVrCAwP&#10;nnIxhYVUrIfGRuLw7UbUP3qswnij1yaipUvC0+LeQbXQKle7dyccPAQ37fox4YJGNxPM2ueoyPX5&#10;+mcoVp8vSJYAvcomAXoZA3QiIiIiIiIiIqLpUq3cf/wruj/9EDUGVegSDB26dBH+IQETPqCzJQka&#10;vQJ9kXLsJCunZktLD7JvtsAvOnLSKjaruTrD3csVKcfrVXW75X0sVdUyw3PRVqFr58eBc+fgE+A9&#10;5fkhwWpidoYKzi1V6DLbVKqd2cZ9fpFjd3Nbj+rMYc0cf2nDXjcyohZIyEIJaxYbSZtlaf8fnZyA&#10;6q5OtRjD6LWJaGmS+2Z5/5Dq5pLTPoh1567ANzxk0vu2tHX3CQ7A2jMXn1vQRguLfCbY0tqDo5Pc&#10;g2SB6+76Wnj6eEx4z7G3ex8by9nCnYiIiIiIiIiIaEbw41/wt399igsP7+PYuCpImfFbdqcJwTER&#10;qmLS6AGdLUlVlQRQSWWVyB8zU5tsSFWy9SM8MxNmFycbtXFfidhdu1XbfangtbyXegjc1qO6G1gT&#10;RC449+6hdvg+4tamqkr8ybalBOzefl7Yf+a0evAt/75OBSSDWK9tN4bo84cE6DLH39JBYcpW7hpZ&#10;FFE38gD5xQVqUYm1Ibq0c49bmzIaorOdOxHpi6sqBgbVSImcll7k3O5AWFamGpni6mZ8PZH7j4vJ&#10;HnF79iKP1ecLmnwe2Gr57GRwfAgZsbSt5gjctP1u1JHAcn+R75HvNXoNW2OATkREREREREREi47M&#10;Q3/4xe9VS2mZ/fvsgZgEhPfvIyZtDRwdV7zwgM7W5IGfq4sD4g8UPDdTm2xLKtOSSg7DzcNsk9n2&#10;ZrMjAlZF67PrW59vvZ/d1KWqrGu1Y2nsg9bFQiqPd508rralyxTb0slxJdK3bUGddk5ZqtDlfNvG&#10;Nu7zjqWDQnHvgAqzxu93I7LgSKrR127fooKLqY4HIdc8mZ2evmUTjg9o7/VgxPC1iWhpkMrzIwND&#10;qgI560438tr6kXCwQI1cUZ+RDK4jQirTA2KjkXn5FnK1fzP+mkYLh7UB+vZjRyds6S9/5q59LtlV&#10;dxINjxmgExERERERERERzYi0cf/3fz/D7d8/VG2Lxz4QO/X4MVbnZsNpijnPtuLssALR23dgPQP0&#10;WSMBeua1JngHB6iWr0b7YTrkQa2bpyvS6s+qh/1j30seBG9QszyHVMX12GNrMZAFJjX9fQiLi4aL&#10;efI27lKV7Bvog8KrV55VG0tYcqBb22asQJ935Njd1Kq3crd2DEHt/Qc4MTSIpOwMtWDCmg4PErRL&#10;OLZux1Yc044lOaaMXpuIFrdaTc3QELZq1x1ZxJPX3o/02tPwDvSDyyRjQiRYl2tIYlEp8jtk/A2r&#10;zxcyWVC3s6N30sVbEqBvqazQjgsHw4UVDNCJiIiIiIiIiIhsBE//ir989wnqhu+pB7iWB2Iymzdz&#10;1w4VtE5W/WQrJqeVCM/JRq48SGzuMXy4SC9HWq3nNLUjPDNDVY8b7YdpkYf32vERs3Wb/trjWsfK&#10;w+BdHX3qeLKmHfZCcvKu3qVhc0WZqjqeKjB1dFyJDO18kpb2UoUuwWzlwCDWa9ssa8w2o/lB9sme&#10;zj59f1kboj94gKr2NtXaX6rLjY6D8VxcnVSb/6w9O1EnleyjHQqIaGmQ64t0AdrV0asW7+S0al+v&#10;30HQ6sRJw3Ph4myPkPRU5DS2cfb5ImBNgH76o4+RX1wIB/v3DY8JFaB7mrGbAToREREREREREdHL&#10;ear5349/Qe+fH+Po4NCzVu7SonpDSaHN2n1PRWZ4BiUlIOtK4wvtwMl2pLJtdeURFaCbDfbDdMnr&#10;+MdEIftmC3JlZuv492zuRmnvoNWVvAuJnCPlzXcQFBmqQlCj7WMhVeh+wf7q+yUotbzG1rbR0GT8&#10;dqN5YX9Xv7omWrsARDoMlN+5g5DYSOtDdO3Ykevs5rLS59r8E9HiJuG5tOt+Fp639CBPE71psx6e&#10;T7IwS/7e088baScbkNcxaHj9ooVFFm7t7eqb9PPS6Y9+j/ySogkDdJN0vAnyw8GL51H/6JHha9ga&#10;A3QiIiIiIiIiIlq0ZBb6d//8FBdG7qsQXR6ISci3p/4kPH09Vfhn9KDOluRhsH9UONadu/xCO3Cy&#10;nbz2Aaw7fw0+oUE22a/SPtbd2x1rqmsM56/KA+Etbb2TzvRcsIaHUT8ygryCg3B0WGG4fSyki4O0&#10;es85sFcPSe/dU9vjYLe03X1+m9H8IK2UZZb/7s4+VSEqbZYNj4OxtP1aP/JQtesPiYmAs7O94fEw&#10;nizAkLa7m8tLUSsdCobZzp1oMZPrybGhIezu6ENWU6d2velGftcQkkrL1Xzrye7PqnW7ds2QoJ0L&#10;DhcPuecc7O6fMECXxVXy2SF9+xY4Ohp/5pB7SUBYkHYPuvxsZMxsY4BORERERERERESLmrRyf/jF&#10;79XDMKm4lPbUZbcb4RvsP2V1rS1IlbuHjwdST7CaajapVuu3OxCRlweTlRWyk1Jt3B0RkZ+PvPYX&#10;H+SrEFJzSB4Kj3ngulhIhVfx9WvwDwnQW7kbbaNRch4FhgejorVZnV9SfVg1MKjGFsg2Gr/t6NWT&#10;/SKLQHZ19KtFINZ0UpCAo0E7Lg5dugD/0AA4OVt3nqkQ3dMVm1iJTrSo6TPP72K3pfJcu8bkdQwg&#10;veEcvEMC4TLFvUQWHPpGhCHz8i3ktjFAXwzkXiOfBYp6Bia8z8jnhmP9fVidnzNhhxPL54yia1cY&#10;oBMREREREREREdkCfvwLfvjhL2j8+CFqBodUeHN8aAjBUeFTBoM2oSqqHLD66Ankd901fMBItiHb&#10;N6msCq6uTlPO7raGtN/3jQxD5qUbhnNYJSDY0NKDqoGhRdfKXcJSqUJfu32r/kB7ku2pqgbNTsja&#10;t0sF75bZt9vaexmgz3MSom/V9lO1dm20diGI7ONdtSfhE+Bj9SIk+T4PLzfsOnlchfBGr0tEC9ez&#10;meedveq6ItcXqSJXc8+Tk9Rcc6NrwzOuznDzcEFSeZXerae5+4XrFS088hkgT0be9E0eoB/t6UZ8&#10;VjqcJjhOpOtJeEIsKlqanxsXM5sYoBMRERERERER0aKHH/+Kv37/Cerv3VOtiOXBWHRyIlxc5iBA&#10;10hFdHxhMfLb+VB4Nkmr9bVnLqoKNlvsW+ke4OZuQkKBtu8mWPwgLWr3dPaptuWLrZW7BKUHzp+z&#10;KiiVh9syM72s6TbqHoyoMKWodwCZnIM+78k+2trWY32IrirRH2PXyRPwmsYoDDmGfAN9se90Axoe&#10;Pnp2LSaihc0Snlsqz1XVscw91+7J0Rs3qUWEUy1qk4A9PDsbOdo9NcdgwRotTDIuZH1LN8r7Byf8&#10;jFQ3MqKC8YiE2AkXtspCvug1iaju7FCBu9Hr2BoDdCIiIiIiIiIiWvSejur59EMcHdKra9O2bIDZ&#10;7KyqZ40e1tmStC2N3rQJOU0deqtxg4eMZAvdyGvvR3huLkxOKw33xXTJ64SmpyPndrvhvlNBQXM3&#10;DvcNom6xBYLa7yMdG5Jys9RD7cnOFfk7CdGzD+xVwXut9m+lMn+9tm1YhT7/ScXoptYelGnHsbXt&#10;3GU/S1t2WWQirZeNjovx5BiRBRkqRNf+Pdu5Ey1saub5XZl5Phqejy6aktbtSaVlcPc0qw4lRtcD&#10;C/mM5BMaiLWnz2v38IEXrk+0cMnxsKGlG9Xa54HJAvTyO00Ii4ueMECX2ejxGek4PjAwZ/cNBuhE&#10;RERERERERLQkyCz07//1KS4/HkHN3XvIPbhXVRjPSYDu4oiQlGRk3Wg2bAVOtpPXOYTEwhK4e5jV&#10;/jXaH9MhD/69/L2QpmbYDxm+p4QG0q782N3FV4VeN/IQBy6cg4e3x5SVxs4mewRFhODw7VsqXD1u&#10;aecrFYUG243mF30kQTfK+wZQZ02IPjysWuluKClU+9/aSnRnkwN8g/yeVaJLGG/0+kQ0v6nwXCrP&#10;O/ueVZ7LtUQWsqXVn7Vq7rnZ1Qlu2uewhKISFbrLQrjx1yZauOS42NjajePasTLR5yP5vFB09Qp8&#10;A33gMsHnNgf7D7Bm0wac/ugjw9eYDQzQiYiIiIiIiIhoyZAQ/fGXf8DJ+/exq65WPZSbiwBdQli/&#10;iFBkXr6lZoIaPWQk25AFChmXrutt3Kd4cG8tqUKP3bUHeW2y74wf7mdrfy4tyxfbLPTa4WEcHxpC&#10;zJqkCSvDLMzuUoVuh7yCA6rFav39YRT3DbACfQGxVAuWjB7LUy0IkeOjbuQBsvfu1s43e6sXrejt&#10;3P2w93QD6h8+NHxtIpq/5NpwTLs37JLK8zHXEAnPM680IjAhTrsm2Bme/89on7/kPh2Rl4s8+WzE&#10;ETeLjgTom1t7DI8hCwnQCy5fgqePx4QBuqPDCqRt3cwAnYiIiIiIiIiIaDZIG/f//vAXtH36MYpu&#10;NaqHcraoUp6KvIe7jwfWXbiuHi4bPWQkW+lWVWwReXkwmx1hNtgf0yWVtb6R4ci4ckvNdDV6XwmJ&#10;N7Z04+jgxG1KFyqZab6noU6FHVMtOHHRtnlAaCDKm++gfmREbQ95eM4q9IVDjSWYxoKQk8P3cay/&#10;D2u3bYaLi4PV11Rp5+4X5I+CyxfR8PhDw9cmovlHrgtybd85Zua5XDtUhx3tWh+RkwOzWnA1xf3C&#10;xRF+URFq0RsXFy5OcmzsaO+b9HPRqcePsf/cWbWwyug4kc8dstAie/9e7V7x2PA1ZgMDdCIiIiIi&#10;IiIiWlKkCv2rf/0FRzvb4RscYHXb4ZehQkdNSs0J5KoqZuMHjWQb8hA/5chxuHm5qfawRvtkWiQ4&#10;NjsiqbRCf8g/QZWcVOHt6+pfhAH6A9T09WFV+hoVehpuIwttW0mles6BfXoV+vAw9mrbREIWo21G&#10;85NUostsf0uIPtUxLceIzKZN27IRTk52Vnf2kOMpJDocJTdv6MEI27kTzWsy3kHmWW9rl4VRY64b&#10;2vVC7r3x+w9o9wHnKRfSSGced+0enVxZw4WFi5gE6Hs7Jw/QGx4+xM7aE9q9Y6XxsSKfwbTjKa/w&#10;IAN0IiIiIiIiIiKi2SJV6MAX6PpoCOGJcRNWvNiUhEluzojbuxe5LT1sUzrLclt6kXWzFf4xkeoh&#10;veE+mSYJ0ENS1qjqOrUPDd5XQsf8lm5U9A8uulbuDY8eY3d9rb6YYIpgRM6pwLAgVLS2oP7BA5Rp&#10;2yNPO+YtVYq0MFj214HuAXUMTBWiSyv26o52rEpP0UP0aVSih8VGofjG9TkNR4hoeuS+VjUwhK2q&#10;q8jz1wsZcbLmyDF4+HnCPMXnKr2i2B6xO3bpVesT3FNpcTjUPfHCwpP3htUokLzCQ3CeYEyMLHT1&#10;9HbH9pojczrygwE6EREREREREREtORKgf/v9H5C5MRdOzraZkz0pFTo6ISI3R3+gyAB9djX3ILel&#10;G7E7dqi2n4b7ZJpk/0kb/rT6s/oDf6P31WQ2dWFnRx9O3L23qCrRpZq8pr8PcevS4ORoXCVmocIR&#10;sxOy9u1Gw6NHOK79+61tLwYuNP9JiC7z/Q90Dajjeapjum5kBJVtrVi1NgUmmYkui4cMjpHxJDgJ&#10;jY1kiE40T0nleXn/EDZKeD7uOpHXPoC1DefgExqkgnGjc3wsF+k8kboG2Tdb2JVnEbMswirp1e8f&#10;RsfVyeFhnBgawrodWycN0H38vbG3oQ71IwzQiYiIiIiIiIiIZo20cX/69AlO1JbD3tHO8IGdrUlF&#10;VkD8Kr2CuZnVVrNNZpWn1Z2Bh48HXK2shJ2c3sY9Mj8feR2Dhu8p9NbXXSjtW3xV6Kc++gg7TxyD&#10;u4d5ytEHziZ7BIaH4HBjo2rPWtCtt+hlFfrCo++zbuzt6sOxoaEpj2upEKxsbUFEwipVXW5NiC7f&#10;I4F7aEyEHqI/emT42kQ0t9TCGe2cP6zd0za0GFSetw8g89ptBCXEWbVgTb7HJywE685envReSguf&#10;3DtyNRUDQ+oYMjq+1OK8vl4kZq2dsCOUjIUJCAtC8fWrqH0wYvg6s4EBOhERERERERERLUnAt2hr&#10;u4SV9isMH9jZmouLI7xDg5B1o3nCFuBkOzKrPFvb1lLlZqsqdP3BfzDWnbs8adWcBAzb2npRY0XY&#10;uJCclPnU2u8kLbqtmYUubbzTt21RbdyPDt3DerZxX7BkYYgc19vbe1E9aF2IXnz9uppvPuWxYjF6&#10;zIQnxKC8uUl7DYboRK+ShOe1muLeQTWGY3x4LvfB7MY2hGVk6PfZKRbLyEgVD19PJFfVMDxfAlSA&#10;3tyFo9o9Y8IAXft8UN3VhYiE2AkX5sk9JFi7l1S1teHk/WHD15kNDNCJiIiIiIiIiGhJkgD9/nAL&#10;vH3cYTLbokJ5cvLg2NPPC2knGyZtAU62k985hMTiw7Cmpaw1VCWt2RGr9u5Tr230nhYSOBb0TDz3&#10;c6GSUHPXyeNw93SFi+vkVehSTeYT6IvCK5dURfHuzj62cV/gpHXzptYelI/O+Z/w+Nb+TlqxF129&#10;guDoMDi7WLeIRc4xZ2c7xGWkoaqjfU7n3RLRT+TclvEbB1T3EIPFTy09yG3uRsy27erzjXmKTi/q&#10;792cEbdnD/LkMxBH2Sx6csxsautBzdDE94q6Bw9Q2d4O/9DACQN0WVgVkRSPuvv39YV8Bq8zGxig&#10;ExERERERERHRkgR8jY8/7EZkZDCcJ2gbaUvy8NjNw4y4vftVe3Gjh41kW9Jadt25K/CLCIWLlQHe&#10;VExOdghMjEf29SZV5W70vkIeHG9s7caRwUlCxgVI5pUevzuEmJSkCdutjiUPvtdsyFNVjOWD99TC&#10;AqPtRQuHhOjSTaB4dK7txCH6PZx6/KFaQOEf4m91JboK0U0OiM9cyxCd6BWQxTHHhu5iT2efupe9&#10;EJ7f6VYheMKhIu2cNWufbyZfTCWV6bKQLSInBzm3O7iIcImQ+/3Ojl51LE0YoI+M4HBTE9y93OAy&#10;wSIMuXfEr0tT38sAnYiIiIiIiIiIaJYBX+KrJw+QmbEG9k62qVCejKV6OWr9BuR1DBg+bCQba+5G&#10;Xnu/mltuclppuF+mTfajmzMSS8omn4Uumrqwr6tfhcdGD2cXqrqRB9hTX6e2hzqux2+jMeSBuFSr&#10;Hzx/FicePMDWtl5kNXUabjNaOOT4zr3TjYPa8X18klEFEnZIAL67rhY+/t4qGDc6TsbTK9HtkZCZ&#10;jqr2dtQxRCeaE3IuHxkcwo52uVYbhOfafVU6sKwur4KHtztctM81RuewhVkj4Xnw6kRkXb+jFrY9&#10;93q0aKnPQJ19qpPBZBXoe081wNVDFmIYBOjavUA6HKRv3ay+VxZmGb3ObGCATkRERERERERES9LT&#10;p59rX79AaclevL/y/Rcf2s0CF2c7BKesYfvSOSQh95rqGjV3daL2oNNl0vZjSFoqsm+2TlpJJ8GD&#10;VOpWDkw8/3Mhqrv/AMf6+7AqbY1VgahJqokz0tRCgqK+IQboi4SEI3KM7+j4aS66YUiiQvRH2FOv&#10;h+imabRzd9LOtfiMdFR1tLESnWiWyTW6on8Im1t7kGkUnkvleccAUk/UwyvA16rxKCZne/hFhSPj&#10;wjWG50uMLMAo7B6Y8POPLLCSrjbriwvU9d5oQZ7lz/IO7dcD9LsM0ImIiIiIiIiIiGYd8Dc0NFRh&#10;xcoPXnhoNxtcTA7wjQxHxsXrbGE6V5q7kXu7Q7Vdt+UsdHdPM1Jqaqdsxy8PkGX290QVugtV/aNH&#10;2NtQp7fmnaDtqoUaX6Btr13HjqLm/gg2tvSo7WK0vWhhkYBN9uWG1h6U9g2qAN3oWFeV6NoxI50L&#10;fAKmEaJrx47MRI+XSnS2cyeaFXLeipLeQayf5Pqc3zGEtJOn4B0UoD7PGJ2zY8n3eAX5I73uDMPz&#10;JUiOo7L+QdRNUDVuCdDX7dyqrvVGAbp8vvDwcsOu2hOoVQH6i68zWxigExERERERERHRkgV8h1s3&#10;TsHNihDQFqQNpaefF5KrjvJh8hySbR23Z5+2D4wrnGbC7OKI8MxM5EpA39xj+L5CHiDnN8tD5AHU&#10;LaIQvfb+AxwfGEBSbiacrGiPL+24w+NjcLS7C/t6WIW+2Mhxnqsd5/u7+tW8W8MQfXgYDaMhupev&#10;x8zauUuIPsIQnchWLNXBBd0D6n6WZXB+C+nmsu78VQSsirYqPJfPO+7e7lhdWq4vNGPXnSVFFlfl&#10;j3bgmWgBoQrQNavSU+CifaYyOo6kc5CnjyeKr19TnzuMXme2MEAnIiIiIiIiIqIlC/gGQ/2NCAnx&#10;h5Np8jmetqAqbMxOiDtwCPlddw0fOpLtSbV/xqUb8A7y17a/bfaz7EcPPy+knzo/ZTeBzKZONU92&#10;sjmgC1HD48c4cO4MvPw8YZrg4beFOvY1G4oKUD08olrbTxTU0MJkqUbf3t6HqtHQZPzxLmGJHDdb&#10;Ksvgqh0PJu08MjpexvspRF+rZqKzEp3o5ck5WjN0F3s6+56dw+PPa5HXORqex8Xo4fkUC9HkWu/m&#10;bkLcvv3Ia+ubdJEZLU5yLMkoAJmnP2GAPjyshK2KhvMEHYJkxn5AWBCO9vai9v59w9eZLQzQiYiI&#10;iIiIiIhoyQK+xGefDCIxMRr2jnaGD+9szeS4ApGbtyC/c4gVWXNF285SWReZl6cH6LaoQtdeQ1Wh&#10;Z2cjt61Pew+D931ON0p7Byd8kLwgjbZfXZ2XrcLNqar75XuCI0NxuLERu3rvqrDVeFvRQib7dUNL&#10;j2oHbWkNPfa4sVQdbigtgpuHeXohutNP7dzrGKITzYick2re+cAQtrX1qnN2wvBcVZ5fQcCqGLhY&#10;cZ2Xvzeb7BG1aRPyWvs4rmaJkoWDuzr6Jl04KIF42Z0m+IUETDjWQwL0qNXxqOnrQ632ecPodWYL&#10;A3QiIiIiIiIiIlq6fvwr/vfDV9i8JRsr7OZoDrqzHYLXJCP7RjMfLM+hvPZ+pNWfVbO4zW62adcv&#10;AbpXgK+a75o7RUt+qbbe0taDmqGhCR8mL0R1IyMovHIJPgE+U1ahCyft+F+3fYual52nHf8ThTa0&#10;sOkt3buxt9O4pbsEJxKGbCwpgpt2XFhz7AipbH02E729jZXoRNNk6QxR1DOgdwKZZCFTvlSen9PD&#10;c5NUCE8RnktXCRcXB7WwLPt2O3KldbvB69LiJwH6/q6+SRcNyueHPbUn4eXrqVq1Gx1T8udrNuTi&#10;+OCgWrBn9DqzhQE6EREREREREREtaTIHvbRkNxycpq6ssgWZ8+gbFoz00xdUqGv04JFsL7e1D9k3&#10;WxCyJhkmZ+NWodOlKu1cHBC9ZSvyO6aeaS9hcVFvv6r8M3pYuxBJJbGEoet2bNVnWk9xDrmYneHl&#10;44EDFy9gW/cQA/RFTPat2Nbei8r+IXXcW+Yti2chulSia8eG1SG6dow5aedwfIYeorMSnWhqEprX&#10;aeeftNTe3aF/9pgsPJfK87Wj4bk1bdvl703OK/UFgo1tqnW70evS0iDHVmHPgHbM3TM8HoUsgFpf&#10;XKiu/7I4yuiYkgA9v/Dgs84lRq8zWxigExERERERERHRkiZz0OtOHobZ1QQXowd4NqZCeu19ko8c&#10;R34n56DPpbyOASSVlMPs4jR1GGAlCRZ8woKx9swl9fpG72shYeLm0Sp0o4e1C1Xdgwcovd0I/5CA&#10;CavIxjJp2yxhXSoOdvQgp4WzcRc7CVI2tHSrilc5XsZ2YKgdvo/a+6OV6G76AiOjY2Y8uY4+m4ne&#10;0Y76EYboRBORc07IWIVNrd3I1M7JyRYvPZt5rsJzKyrPNXIvDFqdiIyL1/WxJgavS0uDHFv52jW/&#10;rH9QLdowOibFqQ8/RNrWTWpRo9ECVvkzWVi1p6FeVavL2Bij15ktDNCJiIiIiIiIiGhJA75Cd+c1&#10;+Ad4w9nK8OZlOTuuQNz+Q8iXCnTOQZ8z0k428/LNn9rRGuybmZC2/DHbd+jzXqfYn9lNXTjQ3b+o&#10;ZqFLVVjdg/tYX1ygz0I32EZjSaWZu/Z1Q1UVNncOThrk0OIg+zj3Tjf2dfWjZlxLd2nLK5XoGyRE&#10;95hGiK4dRz+1c2/XA5YxxyXRUiehuZxrquq8sw85TZO3bJfPI/rM86sIlPBcurVYE55r56FvZCjW&#10;nb2EvCnGmdDil9XUic2tPdpxJ58PJjg2paJcu+6vWpsKJ8eVxseVdo339PFAaeMt1D98ZPg6s4kB&#10;OhERERERERERLWnAE3z7zWNERYeqNu5GD/FsTWaEhmWuQ86tFs5Bn2P5nUOI2bHT6mDAGi5mR3iH&#10;BGDt2ctTtuWX8GKTerA8NOGD5YVIKoArWlsQuipKhehG22ksqUIPi4nAzpu3kdPKasWlQEJ0sa2t&#10;BxX9g+r4t1Sjnxzfzl1aRo87ZoyoEN2JM9GJxrPcX0p6B9Q9R+49soDL6NxUmruR3z6A1OP18A0P&#10;UZ9TrLlHSvWwfH9a7Sl95jkXBS55Mv98e3vvC8fkWNK5pvxOE0JjI+E8wYJGqT4Pj4tGpfbZQr7f&#10;6HVmEwN0IiIiIiIiIiJa0vD0czz98a9YkxI3ZwG62eyk5qBnXLrJVqdzTB7wrz17Cd6hQfpcV4P9&#10;MxPyWrHbdyC3tWfKAEGCjINdA6id43aks03asW6prlDH91TjEFS7VhcHrNm5A5s6B5DN0GVJkABd&#10;jv/1LT0vtHSXmehSkbiprBSe3u7Wz0RXlej2KkSvbGtFw+PHzx2XREuJpeq8anAIuzr0BXqTBuea&#10;3JZetfgruaIa3sH++r3RqspzCc9DkXayQa8853WcNHKN39vZP/n880ePsO90A3wCvCe81st1fXVu&#10;Fmr6etX9weh1ZhMDdCIiIiIiIiIiWtIkQBe7d65XLdzNbi8+xLM1CXzk4XRq7ekpK5bJ9qQKPSIv&#10;F2YrK+ysIaGxBA8Z569O2VUgu6kTG1t6UDX4fCvrhU4ecNf09iI2LVlVBRttp7GkVbdvgDeyak+p&#10;fWK0rWhxypKvzd3Y29mHmqGhZ+eBBOgNjx5hT30dvP294WxtJbp2HkvYEpOahJJbN9RrjD8+iRY7&#10;y3lU2DOgFqnIeTbViAxZVJbb3IX4g4fg7u2uV54bnGPjmUx2euW5JTw3eG1aevRxHV1qgdRkn29O&#10;f/QxNleUqcUaRvPPhaPDB8grPIj6kRHV8t3odWYTA3QiIiIiIiIiIlrSpPpc2rifqqtQD/Gmqpy1&#10;Ce19zK5OiNu7T6/YYtXWnMpr7UV6/Rl4+HrCxexkvI+mS/ap9loxW7ciT9rYGrzvWJlNXdjf1a8e&#10;0loqcBeDhkePsbehDh4SxFixbSVoj0hLRV5jK8cZLDF6NXontrX1onJg8KcQ/d49FYDvrq+Fj7+3&#10;9e3ctXPQSTueQmIiUHzj+mgl+uLq8kBkRO4h0rK9QjuPdnboXW2kCnj8Ofcc7XOHBN+ZlxsRmZen&#10;3cOc1aImo3NrPBfTaNt2Cc87JDznZxjS6R1GurVjcWjizzbaNV5asq/buQ2ODisMjzH1mUo7HnfV&#10;nsCpjz4yfp1ZxgCdiIiIiIiIiIiWPOALDPQ1wt3TDJN5DgJ0jYStoWkpyGnqRG5Lj+GDSJolzT3I&#10;be5GaGqq1dV21pDwwTskCOvOXdFnwRq99ygJD+Uhc/XgT9W3i4GEn2J1XpYKPieqLHuOqxOSDhXo&#10;3Ri4mGTJkcBlg3YNLB7T0l2OIZlnvkdC9EBf69u5u+ltf0NjIlF0/Zpa0PEqKheJ5oIlOD+ufT3U&#10;3a/uKVMG55rc1j4l7UQ9AuNj9SpgqxYPmkbbtuszz1V4zms2jSHHn8zcNzpeLWofPEB1Z4fqVuOk&#10;HU9Gx5pc8/2C/VBw6aJ2L3g1HUUYoBMRERERERER0ZIHfIkvnjxAQKAPTLaqSJ6C2ewIn9AgZN9o&#10;YYD+CuS19iGl5iTcPMzWhbxW0cOFiPz80Sr0yYMFCdGlCl0CEKOHtwtV3cgIShtvwleCTyvOJ9XK&#10;PSQAGRevI7dNr56kpcXS9ldv6a63oj55b1i17j1w/hyCo8Ph7Gxn3bmqfY8s3vAL9se+Uw2qml1a&#10;wxsdq0QLlX6O3EVZ/yC2tfeqc2iqWeeq6rxjENmN7Yjbtx+efl6TttB+jpxX2jnoGyGV56c485wM&#10;yTG4q71v0s46Mv+8+MY1+Mu8/Qk+I0g3kajkRFR3tKvA3eh1ZhsDdCIiIiIiIiIiWvKkAv377z5C&#10;akq8moNu9DDP1qQC3d3HE6nHTrJ19SuQ29KH7JstCFmTrAIEo300E9Jy1MvfW6/Om2KutzxotlSh&#10;T/aweaGRit/a+8PIPbTfqsphCW+kE0BEdpa+mIShzJKkAkCN3tJ9CLWjx5K0Yi+8dgWhMREqVLF2&#10;wYuE6L6BfqqKXY5Hhui0WNTdu4uj2n1jX1cf8rTrpXWzzrXv7RhE6okGhKSuUZ0/XMzWf955Vnn+&#10;bOY5r9NkrKB7YNLPNPqIjjr1+WCi67m0dk/ZtAF1D17N/HPBAJ2IiIiIiIiIiJY84HP88J9PUVy4&#10;G44TtJO0OfXQ0ITYnTutmplNttattntiaZkKEqwN5azh4rQSkRvWI7ele8ruAhJ67OvqX1Rt3IW0&#10;367q6EB4fKxqqW20ncaSKjR3T1ckVx5BXueg4baipeFZS/feAb3KVjueJHApuXlDtfyV48nqEN3F&#10;EZ4+HthUVora+/cVo+OVaCGQRSXytUQ7N7a09WjnSufUwbl2Lkmr9ayrtxGzfaeqOjc52Y1+BjE+&#10;b56jfZ+Lsx2CEhOQ3nBOH0/CRU5kQI5F6SQiC6Am6qxjWciUtXc3nOU4NDjmXLRjThaZbigpwqkP&#10;X838c8EAnYiIiIiIiIiIlrynP0qI/hUab52BvaP1FY4vy8Vkj+D0NFZzvSK5rf3Iun4HQUmJqjWt&#10;0T6aCZkl6+HthpRjtaP71vj9hVShb2jtQZVU3C62EP3RI2yvqdYDGCvm60onAP+YSGRcvKbPQzfY&#10;XrQ0SIie29ytKmyPDenV6DLPvLKtFQmZ6apydqLWv+NJJboszsg7tB/HBwfViAGj45VovrLMOpf7&#10;xM6OXnVuTDXrXDrbqLC7sR2JhSXwi45Q19hpVZ1r55iMmwlNS0XmxevI75DFTfysQsYkQN+ofZ45&#10;NqQfs0bHsrRjP9LdjZg1iWp8i9FxJwuffAL9cODcae16/dDwdeYCA3QiIiIiIiIiIiIN8A1GHrTB&#10;28cdJivCPluQh9m+EaHIuHCVbdxfkfzOISQWH4abtj8k+DbaTzNhcrZHaHoqcm53TFmFLkHI/m6p&#10;Qn81bUpni1T7SmCZlJ2h5lcbbafxZFFJ9KaNyJNtNsV2o8VNwhixrb0PVQODqBu+p8Lvo709WLd9&#10;qwr3JgpgxtODQCes3bEVR3t61OIOo2OWaD6REFIWVtUMDeGQdo+Qzgxyv5is6lyvOB/U7j3tSDl6&#10;AoEJcer+JtfW6SwOlLEa0p0lMjcXObdaVQt4o/cjspAFgbs7+3B89Ng1OqblGl7W1ARvf+8JF9bJ&#10;54WwuBjUaNfqVzl6gwE6ERERERERERGRRirQ//Lnu0hKioGjyXYzsScjga27lxtWl5bpD7wNHkjS&#10;7JKwIftmKwLiV6k2tUb7aSbUvvV0RcqRE3oVoMF7W6iW1a3di7MKfeQhiq5dhV+Iv3Xz0M1O8PB2&#10;R0rNydEqdFY7LnVyfmzSzo/SvgHUDt9F3YMH6thaX1QAT283OFt5vZawxuTigMSsdajqaFdjBsYf&#10;r0TzhWV8Qalq1977bEGJ0TmiNPeoBWE5TR1Yc/QEwjLWavcgs1pkMt3FYRK2S6v3uN17kau9LsNz&#10;soZcq4t6Jpt/fk8trNteU6UWc0y0oEO6hqxZn6tdox/hxCtcWMgAnYiIiIiIiIiISAM8wb//9Sfs&#10;2b0JK+xXGD7Umw0mp5WI2rwF67vuGj6QpNknM7dX7dkHVzdnm1ahm10cEZQYryoBralCP9QtM58X&#10;VxW6kGrfnAP79CDHigpI6cwgCxqybjQjt5XBDWnnh0baVh/o7lfHVN39YRWk7zxxDH5B/lbN2Rdy&#10;fstCjsjEOJTeuoFTjx+/0oCGaDxL1bnMkd7T2YfcO5O0a9fOCVVx3j6ggu7k6mMIy1inFm/JWJLp&#10;VJwLOT+k8tw/OgIpR46pRUy5LeyOQ9bqRoVaCGh8TT05fA8ntb9bnZc14QgOmX/u5mnGlsryVz5u&#10;gwE6ERERERERERGR5qkG+A5nzx6Bnf2KaT94nimpeg5KSkDWtdts4/6KSACRda0JvpFhKvQ22k8z&#10;oYfxJiQWFiOvY4pZ6JqN2s9xdHDxVaFLxZlU/IbHx6jKMqNt9Rzt3DO7OCBm6zbkSYDezCp00s8R&#10;CRJ3dvThiHae1N8fRsPjxzh44RxCV0XBycm6wFC+R743MDwY+86cUkG8HKNGxy7RXFHBuUbatR9U&#10;7dr14Nyw6ny0KlwtMGpsw+rScgStWQ0PHw+1KG8mC8H0BU7OCFuXjozzV1Uoz2svWUuO1a1tveoz&#10;zEQV6OqzQHs7AsKCJuxII3/uHeCDw023X/l1mQE6ERERERERERHRKAnQO9uvwMfHHc4TVMfYmrSs&#10;llapqScakCftVw0eTNIsa+5GXls/4vfvV/tDAlyjfTUT0grXPyYSmVduTdnKXYISCU4kRDF6mLuQ&#10;SRX6noY6fRavFeGOauXu64nUY7VTLj6gpcMSom9p7UF5/yBqh4fRoB1bh283IjY1GSaZ82xleOjs&#10;ZAefAG9sPFysjtG6EbZ0p1dDFk0dH7qLkt4BbNaObctxPv74l0V2Mu5FujGsu3QDCQcLEBAXoyp2&#10;ZTGeun8ZHOuTUVXn2nnjFeiH+AOHkNPYPjo+48X3J5pIZlMn9nf1T9K+Xfsc8PAhth2pUh0SJvoc&#10;IAs5opITcHxw8JXOPxcM0ImIiIiIiIiIiEbh6Zf4/C/3kJwcBzvHlYYP92aDVIzFFxQjn3PQXxmp&#10;5su8dhu+UeHqAa7RfpoJFeaZHRG3Z68K6Ser6JPQZENLD2oG9WpEowe6C5WqJBsaQsqmDXDSjnej&#10;bTWeBEKBCXHIllbuUyw+oKVFWrqv186lwp4B7fi6h4aHI6qyMXXzetXlYKL2wOOpKkg3E9K3bkJN&#10;X68+c9fg+CWaDZY557IYRDoryD0g26DqXCrN87vuIvtWK1KO1yFm23Z4Bwdo9xcnmLX7y0wqzoUE&#10;567aa4SkrkH6qfNs2U4vpaRvAHWTjMSoe/gQq3Oz1cgNw24h2p/JtTvnwB7V6l0Yvc5cYYBORERE&#10;REREREQ0BvAtDhzYOrdz0E32CFubjuybLWzj/opIRZ8E3AnFh+EqYYQtq9ClJWlwwGhAMXE1tSU0&#10;KeiRWejGD3QXMqlCL7vThJCocJismFktD9hVK/fNW5DX0jPlHHlaWvTzpRt7O/twbGgIDTIvV/ua&#10;tW833D3ME7YIHk/CR2ftGhyXnoKypkZVJfmqgxta3FS7du0aXzU4pB2//cjX7j/PVZxr/1tmmsvC&#10;IenAkXnpOhIKihGSlgoPLze4SADpOvNuKXLMy4x037BgxB8sGK06l3sTW7bT9Mmxu6mlG9UDgxN+&#10;dpFRGXL/D44OVwG64XGpHc/SpebghfPa97/a+eeCAToREREREREREdEYEqCfqq+A2dVkVatpW5CH&#10;2Z7+Plh77sqkASvNLgkrsm40I2h1ogoXjPbVTMkiicj8fOTe6VTBiNH7C9Weuq1HBYKLrQpdSLvt&#10;zRWHtW1i3fklLYndvdywpuqofm5MUsFPS4+lWnd7ey+qBgbRMPIA9Q9H1DHm5es5YVAzngQ30tI9&#10;NCYCexvqORedZoUKzjU/zTnvUdd8y+Ipqf6WanO1kK6pEyk1JxG5fj38oiPUwq6Zzje3kNDdxeQA&#10;D293RG7YgHXnLquW8DmsOqeXIO3bd3T0TvqZ5dSHH2JrdYVa9DHRMSyLnkJjIlHZ3o56WRBl8Dpz&#10;iQE6ERERERERERHRGMCXuDfUhMAgXziZbNfKe1LyQNHshOTKI8hr6zN8QElzI79zEIklZXBzn/gh&#10;70zIa3n4eKiZ3pO1I5cgJVdTvEir0GVm9Ym7Q0jMWmd1uCmBjwRIGVbMkaelR84Zaem+saUHh6WF&#10;8P37KnzZdfIE/EICrD7OhHyvt58X8goO4NhAvx7isBqdXpKl4vy49rWkd3DMnPNOtShIFgdJ+/Ts&#10;2+1Yd+4K4vbug3/cKnj4esHs4qharRu2vLaSfL6Q13DzckNQ8mqk1JxQHT3UrHMuSqKXJMfyge5+&#10;1E3wmUVmmR8fGsTqvBw4TjIeycnJTnUQqR2W9u2vdv65YIBOREREREREREQ0Bp5+rqSlJ8HByfrg&#10;5WXJA+6InGzk3JEH6mxV/apI5Z+00g9MjIeLk22r0KWVu1S35zS2TbqPVTVXey+OL9Iq9LqRhyi5&#10;cR1+wf5wMVuxSEUtMHFARF6equBn4ENGJESXVtiHuvtVYCNz0QsuXkBITAScJgltxpMqSFnwkpST&#10;ibLbt1XXBLZ0p5myzIQu7RvENu26Lm3SpXOCVH3nd99TQfa6c1eRVFaJsIx18PT3Vsef3C/kc8HL&#10;jBOR15GqdXcvVwSnrEFy1VF1ruS29XEkBtmEHMvrW7pROTA04aK/hsePUXT9GnwDfCYcraEWiGjH&#10;656GelWtbvQ6c40BOhERERERERER0RhPf/wrgC9QUrQbJrPTS1V9TYc8KJc52ZlXG5Hbygfbr5K0&#10;tF1dUa2q9VSAYbC/ZkLCDJnvmVhUgrzOIcP3tsht7kJZn8wTXYTBnfY7SYvsDSWFcHFxsCogkv0g&#10;2y6ptBz5XZNvO1q6pBJS7Ja56NpxdurhQxxuvIWYlCRVXW7t9VzOVfn+0NhI7G2oU/N42dKdpkNa&#10;tctX6Yqws6NXu6Z3I1uT296PfO36n3XtNlaXVyJiw0b4RYSqa6GQY+9lQnMZj6GCc2c7dc0MSU9T&#10;9zO5p0il+2QjRIimS0YQbG3rfeH4t5DFR3K/X19cqCrMjY9ZvftHeFw0ypvvoG4etG8XDNCJiIiI&#10;iIiIiIjGkQC9u/Ma3D1dYTLbro33ZFS4qr3f6rIKNQPV6EElzREJOVq6EZKaYnXAay1po+sXFY6M&#10;i9cnbdef2dSFPZ19OHH33qKsQq998ABHursRm7Zm0ofqY0krd5+wEKw9c0mfh26w3Yj01tj6XPTq&#10;gSGcevwYR7q6kJSTARezk2J0fBmRUMfTxwM5B/biWF+fCnZYjU4TkWu1RcXAIHZ39SOvtRdZarZ5&#10;L3Ia27GmqgaRGzYiIG6VCrhNjitHO3G83H1GFoeYtdeRynUPXw9E5OUi+chxZN9uQ37XXXbuIJuT&#10;a618lXn+E31OkWtmVUc7wlZFTVp9Ll1CMvbsUNXqRq/zKjBAJyIiIiIiIiIiGkcC9G++foSwsEA4&#10;T/DAbzaYXRwQnpmh2qvyYferJfsg9VidmluuKgIN9teMuJng4myPmG3bkC8h8ARtdOXBtLSjrpqk&#10;LepCV//wEQ5dugjfQF84mxyMt9c4UlUZujYdObfbudCEJiUt3Te19qhODmqW+eAA0rduUufgREGO&#10;EfleCSVj05JVG2I5bmvvPzA8pmlpkvDQcp2uHBjEnu4BbOgcRI6E57dakd5wDrE7dyJgVYy6p8hi&#10;ILmW2eLeIq8h9xRpf+0V5I/oTZvU++U2dapK99wWaRtvfI4QvQz5nCKdFaR9+4QB+oMH2HuqQT9W&#10;J1iMKIuaPL3dsevkcQboRERERERERERE8xnwBP/595+wa8d6ODpbF+zZglQn+0aEIvPKTb1abdzD&#10;Spo7lvmwkXl5Kugw2l8zJe3Ivfy9kHqiftJKank4vb+r3/DB7qJw7x7qHz5EXsEBPaS0JkzSvkcW&#10;mqzas1fbdv1caEKTkkr0/JZuFPUOqBBdQp68wgNw9zRPK0SXkFIWefgG+WFLRTmO9fep2eiGxzUt&#10;KRKcC1nstK93CBt77iH7djvST19EQkERgpOT4C4LsdxkrrmDPhZkgiBxOiR0VPPNPVzgHxutromZ&#10;VxpV9xTpbsIZ5zTb5DPKlrYeHBvSF5GMPzdODg+rr/Hr0ia93jo72SE8IRZHu7uf/Zv5gAE6ERER&#10;ERERERHROE81wFdoab4IByc7q+fmviwJaaRtfGJRKfKlem3cw0qaWxJupzech3egr2qNa7TPZkoW&#10;S0iLeGnpO1EltTyc3tjag5oJHk4vBjJXuqa3V7Vyl3bZRttqPAmg3L3dkVJzQg/Rx203orH0Kkl9&#10;MYqMDqgbvoftR6rgF+SrHXPTWxwjleiurk5IzF6H0ps3VYjO2ehL00kJzrVj6Yh2fT40MIxNXYNY&#10;e+EaEkvLEZaVBe8gf1UZLtcrVWlui88RbvI5QQ/OPX29EJqepj4vZN9qQV7HoF5tzkVFNEfk2lrQ&#10;06/OBaPPKFJ9Xnj1Mnz8vSccnSGfr+XvMnZt166n86f6XDBAJyIiIiIiIiIiMgB8gz/+vheBgT4w&#10;TfDgbzbIg/GwnJzR+dh8EP5KNXergDZmx064yJxuWy6kkNfSJBaXavt68krq4p6BRRugC6lCL7hy&#10;CX7B/hM+ZB9Pgkz/mEhkXb6pjzww2G5EFhL0ZDd1YWdHH47dG8apx49w4OwZBEeGwmSyn9YiKQlD&#10;nZzt4B8SiPVFBTg+MKCO4flUOUmzQ67DMgNfFk1U3x3Ggb672HC7DauraxCxYQP8oiPVAgu5j6tK&#10;c4PjZybkmJPXkwp2CeajNm1CyvE6Ncoiv/Muq81pzsk1NU/7jFo1MDjhmBlZYCRjM1T1+QTXWPl8&#10;7eXnhcLLl9QCJ6PXeVUYoBMRERERERERERmQOeh///732LolBysdVho++JsN8oDcJyQIa0+dn7S9&#10;N80NCdAzLt2AX1QETFZWSFvL7OII3/AQZFy4OmEILC2ot7f34sQED6gXhXv3UDcygk1lpXAxO1oX&#10;ZmrfI9Wd4dlZyNW2E0ce0FQk8JHzaVtbL6oH7+LUo0covXUTMWsSYTI5WDdCYAzpmCDB5qr0FBw4&#10;dxa1w8OoH3mojmfD45wWLAnO6+7fR622f6vu3sPuNu1YOn0eMdt3wDc2Bh6+HjCb7NU9wmYda+Qa&#10;Jy3ftfuEm5ebmp8et/8A1l24rq55esU5g3N6NeRauqO9b8L27XJPL7lxAwFhQWr8heExrjFpx3hs&#10;WjKODw7Ou0VIDNCJiIiIiIiIiIgmAHyPa1fqYOcgbdyNH/7ZnDw0NzkgoaAY+Z1Dhg8uaW5JO/34&#10;gwX6/O1phmyT0va1hCOR69frHQcMqtClajZf+/Py/omrvBYDqTyr6etTrbGdHK1bsKL2hSZu3wG9&#10;lTtbF5MVJPjZ3NqDiv4hFaJXd3ZgdW626mownbnoQo5BZ5M9vHw9kbVnJypaW1Avbd3nWSUlzYxU&#10;mzc8fIi6Rx+iorcP265cQ1JhMYJkrrm2z+X6Y8u55kICeJOz9plDOxa9gwNUm/Y1R44hu7FNLRSS&#10;ax2Dc3rVspo6UdjTP2n1ec6BfZMuKpE/l2votiNVqt27nG9Gr/WqMEAnIiIiIiIiIiKagLRxfzDc&#10;gtCwADhOUkFja9JSODQtFVk3W1hZOw+osKKxXYUmsrjBaJ/NlIQkHr5eSDl6csKOA5lNndjT2Yfa&#10;u4u7slWCx9LGRgSGh1hd7S+hp6eftv2OaduvY9Bw+xGNJyH6+uZulPQOqID0eH8/cvbvhZt2TEk1&#10;utGxNhmpXpdjNigqDJsry9ViEJnnO98CIbKCts+kRfvpDz/EieH7OHjtKnIqqxCRna1Cc0tgrhbw&#10;2Cg0F/J6Jic77Rg0ISB+FWJ27MLa0+fVXHPpUKLuQ1wkRPOAdPPY2NKNygnat8tIi/LmZoTGRqpO&#10;HUbHu5CRLYERwahsb1cV6+Nf51VjgE5ERERERERERDSBpz9+jn//66/Yti0PK+w/MHwAOBvkQbqH&#10;jwfS6s+yjfs8kdvWj9TjtWq/mF1tOxNfQpOgpARkXb9j2Mo9S7OptQfVA0OLugpdSOi4rbpKBZnW&#10;zkOXak3/2ChkXr6pV/KP235ERiwzfA91D6jqx/oH97HjRA18A32nPRfdQsJ3qWKPSV2N3XW1qB2+&#10;r4Ihzkefv2SRg+wfCc3lOJD9dfhOE9YfLkFifi68w4JVC2pn7TqtQnN327Vol9ezzDb38vdGRE4O&#10;VpdVIuvabdWBRt0PGJrTPCMLkHZ19Bm2bpfzqe7BCNYXF+pjLoyO/VFO2jmVuXuH/u/m4TWSAToR&#10;EREREREREdEkgL/hzOkqFeZNd0buyzC7OGDVzp3IbelGTjPbtb5y2j6QubMReblwMdl2FroKUsyO&#10;iNu7D3ltxq3IJewr6h1A7SKvaJWH6PJQPnXzhklbv44n+yQ8MxM5TR3s2kBWkxEJcm7t6+rHiXvD&#10;OP3hYxRcuYSwVVEqNJ3JNV+OWRlD4OHtjsTsDBw8fw7Hh4ZQ9/ChCmmNjnuaY6rK/IGqlJXZ9ccH&#10;h1DZ3obNlWWIz1yLgIjQ0f24Qu9IYOV1yBoSmksnEwnO3b1cEbAqGvH7DyD99EV1/VLBeSsXAtH8&#10;JNfLXO0zSrH2eaTOYEGfLECRURbBUWGTdvOQz9Te/t4ouHRROw8fvfA68wEDdCIiIiIiIiIiokkA&#10;X+DDR50ICw+Co5VtpW1BHq77R0fobdxbGAjOBzJ7dt25K/AJDVIVg0b7baakFbl3kB/ST1/QQ/Rx&#10;7y0VXzvae3Hs7l3Dqq/FRB7AV3dq51xc9KTtX8cyu+nz0GN37Z5wnjyREQmEpMuDjEk4rh1/px4/&#10;QkVLM9asz1HX4enORbdwMTuqEF6C9KScTBw4fx7HBwb01u6sSH8lZDZ9w+PHKjg/0t2F0tuN2FRe&#10;ioSMdPgF+8PNw6xXm0vAbeMFc3I8mJxWqu4aPuEhiMjNxZqjJ5Dd2K7as0u3Gc42p/lOPotsbu3B&#10;saEXP4vo1ecPkF9UoK6bky2Ak+rz1XnZOD44MG8XFjFAJyIiIiIiIiIimsTTH/8K4CtsWJ8BB6c5&#10;DNBdneHm6Yo1VUdZUTtfNHcjv2MA8YcK4eoqM3BtV5UopCoxJD0VObfbkTMuSFFVX3cmnjm6qGi/&#10;n1Tr7j97Gp4+Hla3cpdFCNJif01VjVrsMHb7EU1FgqHt7T04OnQXDSMjKuzOKzigHVPuVi/keIGb&#10;SR2/ziZ7uMv1fH2uOq4leJIgl0H67NND8w/VwoWq9jYcOHcW60uKEL8uFd5+nirok3Bb9pOtQ3MJ&#10;EOW6LsG5V4CPdn1PU/ePzEvXVZW5Pttcu79zwQ8tIPu7+g0/h0gQLp0cgiPD1P3Y6JwQcq55eLli&#10;54njOPXhhy+8znzBAJ2IiIiIiIiIiGgKUoV+4exRPQyx8QP2yUgb99D0ND0M5AP2eUFCj+ybLQhe&#10;s1rN3jbabzMmiya0r4lFJcjrGHzhvaXd9MHufpy8t/ir0CVYlEq2vIKDqg3sZJVsY0krd5/QQKw9&#10;d1nbhkMvbEOiyUiIvq29F1UDg2omunRD2HOqDuFx0eo4fJnrv94SfCU8fdxV5aWER8f6+1X7Ygme&#10;GKa/nGezzIfvq9Bc9l39o0c4fPsWtlZXYu32rYhcnQAvX084Oq5QiyLU/rTy2mIV7bWezTUfHfUR&#10;lBSPVXv3I+1EA/JauvUW7QzNaQGShXzrtWO4enDI8DOInG+y6EidA5NcK52d7BCTkoRjfX3z+rrH&#10;AJ2IiIiIiIiIiGgKEqB/8eQ+wsIC4DxJVY2tmbX38pK23g3nkGvQ1pteDWm1K2GIp7/3LLRyd4Bv&#10;RCjWnb/6wj6Xh9ebWntQY9A6dTGSAEzauyZmZagH7kbby4gEV8Grk5B1vYnnDU1bZpN+nlX2D6Ju&#10;eFhVipffuaOqx+X4MmnnqLULOoxI9aXj6Iz0yKR4bCgpQlVbq97+WDvmZeGI/LfROUHP0xfajKB+&#10;ZHS+/NAQjvb14eD5s8g7tB9xGekIiAiBu4cZTg4rVNtoaztaTIeEhXLtluDcVXsv39BgxGzdhpTj&#10;9ci8ehv5nYP6oiiG5rSAyWeQ3R19+rk37lyUrjElN28gMDx48tnn2rni5mnGtiNVqivE2NeYbxig&#10;ExERERERERERTQF4gh/++2fs2rkBjpM8GLQ5qWZzcUD05i2qas3ogSa9As3dak55zJatMJsdbVzB&#10;6AIXJztE5OTq83DHzL/X27h3obR3cEkE6EJmFZfevIGgyNBptdGW8yZq4wbkNmvbjnOFaZqkEn2T&#10;dtyU9Q2idlif63tS+yqhj39ooB7ETlJhaQ3V2n20i0WA9pppWzbg4IULqO7qVO8nwf18nQ38qqjA&#10;fGREbZuGR49Um31pGV18/Tq2VJYjOT8bITER8PT11LarSW1faZ8/G51jLO3ZXbT3kNnpPqFBCMvK&#10;xJojx1Roniv3iY4B1abd6BgjWmjkM4i6Jo5v337vnuqkkbFzu1rsNtkCI1mAFBobiaM93fO6+lww&#10;QCciIiIiIiIiIpqCZQ56T/cNVYH+MtWH02Vytod/bBQyL91Q7cONHmrS3JN9kXWtCX5R4ZPO+pwJ&#10;qWKUCq3kiirkq6rFn95XHmDv6uhbMgG6kLawO4/XwNPb3erqUdU+VjtPEwqK9G14h5WfND1Zmvzm&#10;bpT2DqgQXcJsCW+Lrl1FQuZaNW5hxrPRx9Crlx3VLG4JfSOT4pBfVIAD58/hSHcXTsn87iUapj8L&#10;zB89xumPP1aV+YebGtW22XqkGqmbNyJsVRQ8vNzUtUHoM82dZu0+LftLje/Q3kO6hYRlZiJB5ppf&#10;vqndF3qfyWnmwh1aPOR6uLVNOuAMqTEyY89TWcxScPkifAJ8Jv08JOekfL7ZVFaCOhlbMc87bTBA&#10;JyIiIiIiIiIisoIE6F8+uY/VSbFzX4VudlRzsfO77ho+2KRXQarQ+7C6rFK1Bza72bbC0WSyh3+M&#10;vnBCqt0t7yuVsRtaunFEZpCOrwJbrO7pc42z9+5WYw2sDcbkez18PbDmyHHVdp/tk2m6srXzTUL0&#10;kt5B1GrHoixckXbhxwcHsaWqAkHhwari0sXVNm3B5diW9seWWemxaWuQc2Afdp08gaqOdhWkS6As&#10;M74lXFYkhFqgLd/lZ1dGfxe1SEG1ZNdDc6kwL75+DdtrjiD30AEkr89F6KpItZhGFi84OWvb3sVJ&#10;hdqzFpjLPVheX7sPy3gIL39vhKanIaGwBOvOXtKuLf2qPTvnmtNiltXUicKeAdSNu9ZYFvakbt6g&#10;rltG55CFhOuhMRHqWiZdNsa+znzEAJ2IiIiIiIiIiMgKT59+jh9//BInjpfgg5XvGz4cnC1S7Ra8&#10;JhlZN5rZDnYeUZWGLT2IXL8eLjaoRB1P2gNHb5A25N16O/cx713Q0/9iG9VFTB7SS8vX+HWpz9pe&#10;W0MCL9+QQKw9dV6fQTxmGxJZQ41O0M7Bgp6BZ50f5HiU8QJld5pUcCQV0BJ8W9shwRrSdlwCKQno&#10;PX08EBIbidX5OcgvPIgD587gWH+/fn5o1wH184yMPAvX5X9LID0vgvXRgFx+JvnZLDPLJUCrlZ9R&#10;+57jQ4OaIZTeuokdx48i99B+JOVmI3J1gpqpLNvXyWklHB0+gLNsZ23bGG0zW7F0BbCM6PD080JI&#10;SrIKzdNPXUD2zRa1oC1XFjcxNKdFThbubW7rUQv3ZCHR2HNbzuV9Z07D3dNVnTdG55OwLA7aXHFY&#10;D8/nw7VpCgzQiYiIiIiIiIiIrAR8h7uDt+Hv7w1nF9sFJVOSyjpNyrFavZLW4AEnvRqyP9aeuwLf&#10;iBAVeBvuvxmSh9Hu3m5Irjyqqhwt75nZ1Ikd7b1Lqo27kMCy5NYNBEWEqrnGRtvMiCxuCFqdiMzL&#10;t56r5ieyloTo0nXCEqKrc0/CI+2YlE4QB86dRUxKElw9zGo++mRB0nRJ8CTBvLyupWW8zPgOjAxF&#10;QkY61u3Yis2V5dq5cQvlLc2o7uzA0d7eZ+fMqQ8/ejYzvE6CawnZ748J2UfPr5l4Foxr5HWFvKdU&#10;j8t7nvrwQxXsnxgaQo32M1V3dqKitQVld+6oRQAbDxer2e+xqckIjg6Hd4AvPLzd1f1OFsrI76wW&#10;Jsj2lPvguG1jS7LPpPOHzDSXriLeoUEITU9HUlEJMi5eR9bNFtV1RFWbS4v2cccI0WIlAfqB7n7D&#10;6vOavj517ZOFLUbnlYVcu8LiolHR1qquE2NfZ75igE5ERERERERERGSlp0+f4B9//xM2b8rGCrsP&#10;DB8SzhYJZ8My1iKnqVNvFWvwkJNejfzOu0gqOazvJxtWoArZ737Rkfp83dHuA3ob9x5UDgwtqSp0&#10;IYHc3lMNqoWzPjPaeLuNJ5Xo4VmZyLnVhpxx1fxE1rCE6Id6BnB8aDRE10iIrAKhwUFsq65CWEKs&#10;aunuJGH3LIS+qjpau86YXKTifXTet/Znbh5m+Ab6qhnqiTkZyNyzE1uqK7G7vg77z53BoUsXUdp4&#10;C2VNt3Gkq1MF2tIiXc6pMx9/rGaMW0joLrPX5e90Hz3398pHH6tW9kd7e1DT14vy5js4fPsWim9c&#10;x4EL51RV6u66WmwqP4x1O7ciSfuZoqSiPCxIheSW1ujy8+sz4B30+eXan9lyAcJkZPSGXGNNjitU&#10;Ba1fdARCMzKQcKgImVduqXutol172aKdliL1eaO1B9VSfT7u84YslNlUXgpXOWcnudZZqs83lBap&#10;f7MQqs8FA3QiIiIiIiIiIqJpAL7HpQvH9QeCc/SQX5hdneDu7Y60ujPIbWUb93mluQe5dzoRlrkO&#10;ZhcHmN1tGJppx5mL9ppRGzcir0V7n9HwVx5qSzVs3RIL0OXBu7R/zSs48Cw4NNxu4+hhnRNit+9Q&#10;VaQMwmgmJETPvtONvZ19eog+5vyTIF2qvKs6O1RoHJ4QqwJhCY5mMxBWx7Y6vp1V+Gx5TzUjfLQF&#10;vITDPv7eCImJQNiqKKxam4KErHVYnZeNrH17kH1wP7IP7FOy9u/FhtJiFb7LnHex8XCJ/j3a36nv&#10;0/5bvk9mkidkrkVidgYiEmMRGhuhWq7L/HY37WeT97dUzsvPpALy0fPW8nPPdmX5M6Pvpd7brG0j&#10;p5VquwTERiFy/QasPlyBzIvX9Jnm7WNmmvNaQUuUut5pnzX2db04MkYWDckICznfpXOD4Tk3Ss7/&#10;iIRVqGxvWxCzzy0YoBMREREREREREU0Dnj7BN189QnxiNOwdrZ/F/PJM6qF/RG4uA8B5SCoU1124&#10;Bt+wIFUVarwPZ0b2u7uXK5IrjuhzvLV9L23ct7f34tjQ0HMh3lIgbWNl/vPq/Gw9nLQygDObneDm&#10;4YKEg4V6K3dWotMMSKAkC1j2SIh+d9xMYDk+HzxQVZYSFm07Wo3Y1NXq+FPBtsba49WWVLiuHf+W&#10;cF1CbcVxJRzs34eD3U/s7d5T3yP3HFc3vXW6LOIZ/33CcTQgl/nk0sL5WUg+GpAb/SxzSYX0oxXu&#10;8lV+Fw9fTwQlxiN21241FkXas+e19iK/c0hfnMZ7K5Ei17p87XyQ2edjR8ao0Q3D95G2ZSNMzvaT&#10;nutyLZDuGFurK9UCo7HXyvmOAToRERERERFN6emPf8VTPDH8OyKipUauicDXOFyyB85zHIZICOAV&#10;6Ie1p84jl7Oc55fmblW5mHCoULUztXVVpVR4SaVk5iVp5d6vKsNy73Sjon9wybVxF1L9Vtnejqik&#10;+NGwz3i7jSftmmV+9JrqY88WIxjuT6JJyPknIfrujj7UDN41PAfVPHCNtEo/eOEcVudlwS84QIXZ&#10;EjhLoG10jM4HKniWENxiDu9zL0stFtDOc5llLgsA3LXz3Sc8FOFZGVhdUop1564g63qz6uah5pnL&#10;vZTXAaIXZGn2aNe4seG5aHj8SB+l4uMB0xTXMbk/x6SsxvGhQRW8j32d+Y4BOhERERER0SL09Onn&#10;AL4c9bXm21Hfaf42zj+m8C/N1/jxhz+P/u9/jn6dyN8149/D8v7iK438XF+oEMro5ycimu/kGjYy&#10;3ApfP084u8xdCKJCDZMDItevH61CN37oSa+GtPzNvtWG0LQ0mCS8MdiHM2dSoZC0cs+VsKelRwV4&#10;B7r7DB/8LgX1Dx+h6OoVBIQGqCo44+32IlmI4h0cgLS60wzRacZUiK7Z3taLowbzgZV791B7/4Fq&#10;WyydEw7fbkTuwX2IXpMEL1/PZy3OJfQ1OlZpamqOuXZOm7Tt6CJt2b3c4BsRipD0dMTu2IGUoyeQ&#10;fbtdnee5rb3q3ilfed4TTS5PO0cqBwaf63Ij17Ij3V3qGibXLqNz0kKuazImYf/Z02pB0XPXxgWA&#10;AToREREREdF8J9XfyucqGNfD8S9GQ2gJx7/RSDAuvtf8A9C+5x9f3MPfPh/Ck8ct+HTwKv48dA2/&#10;7zyDhzdrnnlwtQr99YfQV3sQfXXGBhoK0Vm5DXcOZmnfdwD9ddr3G3yfor3O0LlSPLwx+h43jqqv&#10;n/ZfVu//6cBlfPOnHvz9yV3886v72s8qv4ME7vJzW34H+X2EvgDg6dMnz35vfTv8VW2TH//H8J2I&#10;Xh3gCX7475+Rm5MGJ5P11a+2ICGqd5Af0urP6OGfwUNPenXy2geQ3nBO20f+al8Z7cOZUg+jvVyx&#10;pvKoeh8J8Da39uDYuFnMS8XJe/dUhe+OY0fh4e2uWkcbbTcjUhXnHxuFtWcvqc4BRvuSaCqWSvRt&#10;k4Xoo+R4lRC9XtoYDw1ib0MdMvfuQlRyAtw9zKoqXbV4X2AV33NGtoksInPTto+0ZdfOYTXHXNt2&#10;fhGhCE1LRfSOnUg6XIGMc1fUNTKvY0C1ZZdqcxWYMzQnsopc1/Z26gv0LBXocg2r065h+YWH1KIV&#10;w/N0DAnYUzbk6/92+P6za+FCwQCdiIiIiIhovpBw+Llw/KdKbQlqxobnf//yPj6/fwsftzbg/uVy&#10;9J7Yjc6qrWg6mImbO9NwdVM8zqYF4EyKP07GmlETuhI1YXao8n8Hh93eGvU2SlyW4+AH/x8Ovv9/&#10;NP+/CfwfHNK+p2Dl/zP4u/H+Dwrtf47DrqPvob6+jaMhK9T712hfG5K8cDY1AOfWBuHalkTt501F&#10;0/4MdFZuQc/xXRi+XIbHjcfU7/f17zvww78/Ue3jf/r9n4xuE+NtpIfrBtuXiMiGVBv3p1+g5c55&#10;Nd9RGD08nC1S3Ry1cRPyWnr0amSDh5/0qkgr9wHE7z+o2gfburJUZhH7x0Qh88pN5LT2Ild7z/L+&#10;wRdarC4V0hJWHujnHNintvV02mJLi+fg5NXIunZbzbA33p9EU5NK9C1tPc/OxanORzluGx4/VjOB&#10;q9rbsO/MaWRrx3Bk4ipVsSnHsYtZn5ku/73kAnUJymUhgfzusqhAvrpq57ZcTyUwjwxDRE4O4g8W&#10;Ys3Rk1h75iKyb7aoOeZ5llnm4/YREVlHwvMNrT2oGnh+UVDdyEMUX78G30DfKe+1cu2S7yu+fh31&#10;Dx8+d/1bKBigExERERERvSISCusBsKWCXG+T/p+/f4x/fvcYf//iPj5/cBsj16vRU7MTjXtScXl9&#10;DOqTfHAy2oyaEDtU+b2Dcs9fodT8Joqdl6HQ/mfPwu5Ch9eUIqdl2t8tV0pMb2jf+9ZzDrv9wqZK&#10;Xd9+4T0s7y+KHF/Xfzb7n+OQ9nOqn9fu/2l/twwlLm+o36fS57fq9zsW7ojaOHecSQ3AlY2xuL1/&#10;LbqPbMPI1Sr8qeeito2G8Y+vR/Cv7z/Ef//5R227fqa2o17RLu3i5b+/VNX7RvuAiOhlyPXlqy8e&#10;ICEhCo5zXYVudoJXgA/S68+qsNboASi9Oqo98O12hKSlwmUarcWt4mZSrxmRm6tXVWqkSmypBuhC&#10;qnpPDA4hOT9HVZZbHTbKtjTZIyxjHXIa2xmi00uR0ElaHu/t6FPBk5yTEj5Nem5KReeDBypMrx0e&#10;RnVnB4pvXMPG0mLErU1FQFiwmjMsi3GcnexURaelSl1VZBsd1wuMGk3i6qQqWuXapq6Z2v9283SF&#10;h68XvEKDEJKSjJjNm7G6tBzpZy4h4/It7ZxtU90jVGiufZURGkb7hYimR65l+7v7tevXvWfXKrk+&#10;ybUsMXsdnLX7ptG5bCHntLOzHXIO7lNdYk4ssNnnFgzQiYiIiIiI5ogemEtYLuHuP1VY/rcv7uHr&#10;T7rwl+FGPL59Ep2Vm3FlfTROJXvjSOAHKPf4FQ67/0KF0CWm5Sh2WoYiCcUdX38WiJe4vKkH1a5v&#10;47Crcai9EFiCd/l9hArc5ffVflf99132bAGAfL9sm0qf3+FEtDPOZQTj5q416K7ehkeNJ/DZ3UbV&#10;uv67z/rxr+8ea9tbFirIfHbLPPavWKlORC9NdcV4+gXqasth57jS8CHibJKQIWbzFr0CnVXo846E&#10;sWtPnYd3sD/MZutbi1tDwiY3dxOSSsqQ2z6Aja09qJE27gYPgJcKma9a1dGO6OTEKeeyjqWqXF0c&#10;Eb1xk7bfOvXFDwb7k8ga0tJdSPVmQfcAjgwO6centG+XMH2SQF21R37wQB3LEladuDuEI11d2Heq&#10;Adn7diMhcy3C4mPhG+wHNw9pj7wSjg4r4KzdC1Sl+jwP1VVQbtaDcpP8zI4rYHL4AG5uzmoEg09o&#10;IPxjoxGcloqoTZuRWFCE9LrTyL7VipymTrV91QxzCctljrmlLfvotieilyfh+Ubt3KoeV31e/3AE&#10;Gw8X6wvPpqg+l2tSeEIsKtvbFuTscwsG6ERERERERLYmrdiftWOX4FYC27/jh3/+AV982IKPWupx&#10;71IFmg9l4XxGME7GmlDq+hYK7H/+rFpcD8bHh+OacaHzkuI6GrKPBu3PwnZtWz2rbte2n1S3S9h+&#10;JOh9nEr2wtVNceiq3o7hi+X4qLUBfxm+ge//MvBsv1gCddUmfnTfMVwnImvJNeTRSDuCg/3g6GLb&#10;kHQqEkT4hAQi4+J1tqudj5q7kdfWh4QDBbNSLSrzf30jQrHuwjXkdwyitHfguYfdS1H9yEOU3ryJ&#10;4KiwaYfortr5FLtjp9pnKpgz2qdEVlJB+mgQJR0iinoGcLhvENWDQ2qxi1R2yvlqqVAfH6pLmC5t&#10;3qW7ggrVHz5UbZCP9vbg4Pmz2FJVgez9e7F6fS4iElchICwIHl5uKrjSQ3U71Y3hWQt419E28BMx&#10;OC8MGf3bUWoxihgNydWMcgnKZba740q4af/ey99btV8PSopHeFYWIjdvQfyBQ1hdVoG1DWeRfbNZ&#10;dVURKiSXMRXaNuQMc6K5Idcuvfr8p+tRw6PHKL11S11n5BpjeG0YJdcbNw8zdp44pjprjL2uLTQM&#10;0ImIiIiIiF6WCsvHzuXWv0oQ+/mDRtw9V4yWknxczotGbayLalFesPL/qvblemX1T1XVZAOjIbuq&#10;YndargJ1S5t42fbHwu1weo0vbu1KQ2fVNm3/FOGzoWv4798/Ht13FuNmqxvteyJa8mRExH/+/TkO&#10;HdyOlfYrDB8mzhoJLMyOWLVzF/IkQGewMO+oauZbbQhNT7N9K3eNvGZ4dhaymjqxp3tgSVegK/fu&#10;qZnS+8+chre/N5ynMVpBQj93Lzc1uz63rZ/nE9mEhFGZ2vkpYXq+dkxtbu3B1rYe7OroxYGufhT3&#10;Dqh278e149cSpCuWYF2+KhK431Pz/hsePsSpDz/EmY8+Qt3wPVS2NqP42lV13O+uO4kNJUVYt30L&#10;ErLSEZ0cj+DIUPgH+z87zvWgezRUF/Jn0zH23yrOKjTz9PdRHTckIA9OTkLo2jREb9yIVXv2IfFw&#10;JZKrjyH1RD3Wnr2ErKu3kNfSg/Xd9/QW7B2DP1WVj9uGRDQ31KKfcR1tZBHP8cFBrFmfO2V4Lot0&#10;ZOGOjFORDhpy3XrhPr2AMEAnIiIiIiKaAQnH9YBVn7P9v/9+iv/8/ff49s/9uH+5TM3qPpPij5pQ&#10;e5S5/0LNJi+w+5mqkJZgdyG3Wl+wLKG682iovuL/otjpdbV/joasRH2il1rk0FKUg5Fr1fj+r3fx&#10;7799jP/+64+A6iYg7feFvjjC6LggoqUJ+A59PTfg5+8NJ9PcVqFLlZ9PWBAyL99kFfo8JZWU6Q3n&#10;4B0coCoyjfbjjI1Wfq7afxCbOwdQPahXtBo9CF4qVBvskRFsKjsMd0/XKVvNjiXnk4ToiUUlyOsY&#10;YIhONiVhurRHlgUvKlTX/ndecxc2tHRjU2sPdrT34mB3Pyr6h3B0aAqD+teau/dQM3wf1cMPUH3/&#10;IY6MPMbhoWEc6urD3pZ2bL55B+uv3ETWhatIPXUBaZo1R08i4VChklhYojovRORmIzIvd2K5mvw8&#10;xO3Zh4SComf/Prm6Rr1masN5rD17GevOX1VdUTKvNSH7RjNytd9TujrkjwnK89r69fsVzy+ieUWu&#10;SYXdA6i13FNlUdrDh9hecwRu2mcNNSbC4N5pIR0v/EMCUHrrJuoeLNzW7RYM0ImIiIiIiKZBD81l&#10;jvbX+Nd3j/DVH7rwx45zaC3KRcNqb1T6voMyt1+oeeWqlbjTcpS4vMX26/OUagev7R/V/n10try0&#10;zi9z/yWq/N5FXYI7rm9PxGDDQfx58Bq+/lMP/vn1iNr/+kx1CdSfGB4rRLR0yCKb//3wF6xfnwGH&#10;abSNtgWzm7SedkTs9h164DfuYSjNA83dKkSXymazWa/8NNqXM+Xi4gDv4ECkn76IkqEHatay0YPg&#10;pUS1vn7wALkH96mK2ake+o/lYrKHV6AvUo4eU/stp5kVsTR7JLCSqk8J1uWr/Flusx6sT0eu/DsL&#10;7Zojldx50v68rU8F1oq0RtfuEyrAHm2LntuifY8E2U2dVrG8toWE4+o1Rbv+Ps9ar0sHDu17GJQT&#10;zX9Zmq3tvagZGnpWfS6L0Upv30JAaKAKx43umRZSfS6fSTeVH1ZjJxZ69blggE5ERERERDQRqTJW&#10;lebSxvs7zff4x5f38cfuCxioO4irG2LVnO1imVsuZG655tnMcoPAluY/y4x1NYd+dL66dA4odXkD&#10;xyMdcDkvEr3H9+Kj5gZ8/rAJP/z7E+3YkDBduhGMVqezQp1oyZGFNbcbT6u5j6ZpVLzagslkr2Zh&#10;Z5y/qreeHvdQlF49CZpyGkdbuUsVulSOG+zLGZGqMO0YCExJwa7WTpy8/8DwQfBSo7edHUDq5g3q&#10;HFHzn422nwEVogf5Yc2RYxyPQHNOheovyeh1nyPH9Bi5slDEKs//O8PXJqIFqBuH+wafdbGRhWjH&#10;BvoRn5muxqFMdQ91dFyJxKx12r8ZUAvYxt+TFyIG6EREREREROPIvOufZmB/i79/cQ+PG4+hvWwT&#10;zq0NQqXPb1Cw8v+h0P411RKcYfkSIKG6RgJ1qVKXmeql5jdwIsoZl9fHoqNiK0ZuVOPrP3aNHjcW&#10;ozPUGagTLXp4+gT//PsfkJaWACf1oNH4AePs0APU2B27kK8qZhlqzEdSnbn21Hl4BfnDPEUl13RJ&#10;1ZdUoifs2Yvqe/dRd59V6EKq52p6exG3NhXO0+wOYXK2V/Oc1546p/adhAtG+5WIiGghkw4Yuzv7&#10;1X3TUn1+6vGH2Fx+GGZX7fOFeYrW7drnXt9AXxRevoSGR4+euw8vZAzQiYiIiIiINPpMc2nL/bX6&#10;3//6/kM8bjyOxj1pqIt3R6X3r1Fo/3NFzTA3CllpSZEqdWnRf0gtpvgZyr1+jeORzriQHYGuqq34&#10;pOsc/vXtY/zwnz+pEF2vUP9KLdAYf/wR0cKn30ee4PzZo3B2cZpWtastSFWzb1gI1p2/oredNnhA&#10;Sq9Yc7dqb5xwoACubs42P0YkQHf388bOs2dR//Ch4cPgpUjmsFa2tSImZTWcJESfTiW6sz38Y6Ow&#10;7swlhuhERLToSHi+vqUHlQNDz6rP6x8+QtG1q/APDVTV50b3RwsVsLs4Iq/goP7ZYxGNkWGATkRE&#10;RERES5oebH6v+RJ//2IYnw3dQGtxLo5HOaHM41codl6mz8U2vck55jQxqU53eVMdKzL7XsL1Cu/f&#10;4ESMC65ticf9S+X48qN2/OOr+9qxJlXp+hx9tnonWlxkkcyTz4cRGxsBJ5NtK4ytIWHfqt171dxb&#10;VqHPTzITOPtWq2rlLm3Fjfbjy5AqsPCkeFR1di6aFqq2UP9IwoArCImJgPM0t/uzEP2shOiyOIXn&#10;FhERLQ7ZTV040NX/LDyXzi1He3qwKj1FX3RmcF8cy1k+e6atwXFp3X7//gv334WMAToRERERES09&#10;qkpQ2mv/Df/79yf48+A19Nfux6nVnnpVsfNyFJuWsz07zVipWQ/U5ThSx5PTMlWhfm5dEPqO7cEf&#10;Os/im0+k3btUpUuY/iXDdKJFQO8w8QQnT5RipcMKwweNs8lsdoJPSCDWXbyOXJnbbPCglF49CWHT&#10;G86pGdtSNW60L2dKqtpN2mtm7NqBOgnQF1El2MuSyriCy5fgHxKgFhoYbb+JuDjbjQnRpRLdeN8S&#10;EREtFBKeb2ntQc2g3rr95L1h9dkh79B+dZ+cqlOOi3zuDPBB4ZVLqtuL0b13IWOATkRERERES4Kl&#10;ta4enH+D7/7cj7vnSnB1Uzyq/N/BoZX/F0VOy1WAzkpzsjntmJJjq8hpGQrsfqb92dtoSPLAnUM5&#10;uH+5At/8qUc7Lr8axbnpRAuZ3GP+8HEPwsOD4DjNkO7lmVQbzVU7d6tKZ6OHpTQPSCv39gEkHDik&#10;t3J3nXy26HTJA213T1fsqj2hKq+NHgovSffuqRB9d+1J+Ph7wzTNOfQyE10P0S8it62PXR6IiGjB&#10;ypav2n3scN/gc9XnB86fhbevp/osYXQvtJBwXT5zri8uVOH5yUW4YI8BOhERERERLWpSDajPNv8C&#10;//vPp/js3g00HchAbawrSs1v4NCK/6u3ZzcKPYlmiQrTHV/HoQ/+P+1/v42TMS64vn017p4rxjef&#10;9OAH7VjVF3zIscvqdKIFRZ2vX+NIVQHsHFbM+Sx0s4sjfEKDkHn5BkP0eSy3pRe5zd0Iy8yEi7QU&#10;t/FxIjNLgyNDUXrrJuehjyHVdbKoYOeJGnj5eqpqfaPtNxGpRA9enYSsa01qnr3RviUiIprvZPb5&#10;ns4+/d6okfC8qq0NEfGxqi270T1wLCfteyKT4nCku0v92/H328WAAToRERERES1KenAus82/wPef&#10;38WDq5W4kBWGSp/fPptrrqrNDcJNorlU6qKH6eKw+y9wJGgFLuVF4sGVCnz1hy785x8fa8fxN5pv&#10;R9tDGx/zRDR/yDn78EEbQkL94eg8t1XoqprZzRlxe/Yhv2PQ8KEpzQ/SCnzduSvwDg2yeSt34exk&#10;hzUb8nDy7j3OQx/j5P37qH84gvUlhWrhwrQq0bXvl0UqoWmpyL5+h+3ciYhowcnSbGztRtXgkKo+&#10;Pzk8jFpN2pZNqtvKlK3btfugLELbd+b0ou50wwCdiIiIiIgWFb1V+3cqOP/8YQv6Tu5DbawLik1v&#10;qFnUJdpXzjWneWm0zbvlWBVVfu/i+pZ4jFytxpe/78DTp3J8j85MNzj+iWh+0O9FX2Dvns1wcLSD&#10;2eDh42xycbZHQFwMsq43sQp9PmvuUlXMScWH4eZugquNW7nLYgqZi7+lslxVoS/G9qozJWFB3f37&#10;WF9UMLqtJm9VO5YEC2aTA0LTUrRzrJkhOhERLRiqdbumsHfgWev2hkePsfVIJVw99DEwRvc+C9W6&#10;XbsHZu3Zpbdu1+6n4++xiwUDdCIiIiIiWvhUUDHa7vrpE3zSexF3DmXjaMgKFKz8fyhxXs7QnBYc&#10;OWZLXN5Eof1rKHZ6HSejTWjck44HV6rwtyd3teNdOizITH/OSyeaj+T8fHC/FQGBPnCaToWrLUjl&#10;kKsz4g8WIL9z6IWHpzR/qFbu2teI7CwVyhruz5dgMjvBN9gPBZcvLdoWqzOlQvQHD5BfeEiFAdOZ&#10;Ra8HCPYISU1FllSis507EREtANK6fUd7L47LfVAjC+xKbt5AQFiwastudM+zkAWhUqEurdurOzsX&#10;fXcbBuhERERERLRwqeBcAsSv8N9//gEft9bjxvbVqPJ/R802lwpeo2By6XobZWO5vqV5c1Llrm88&#10;M/X3a38/5vXl/Yx/DpouCdOLnZap41oq1RsSPXF73zp80n0eP/zrExWiy3kgFa+G5woRzTnIKBGN&#10;VKE7STg3RTtMW5MHnAFxsci8covh3jyX29aHjAtX4R8VroJco/35MuSBeExKEo729qD2/n3Dh8RL&#10;lWwPCRDSt2yESdv2LtPpAqAq0e0RmiqV6E3Iax8w3L9ERETzgYTn65u7UTWgt26XRWTy2SA2NVmN&#10;fTG8140h1enefl44cO7som7dbsEAnYiIiIiIFiQ9LPwG//7bx/i4pR4XskJR7vlrNUd66QXnehhe&#10;7qoH3hWuy1Fpfl2zDFXm13DE/HMccfkZqrQ/r3B7C5VCvtf9Vzjs8VvNbybwWxR5vo8Cr5Xqq/H3&#10;WPwWZdrryevK68v7yPvJ+8r7V2vk55Gfq0L7+lMorwfvDNutJzPTCx1eU8d6pc/vcGq1D/pr9+HL&#10;j9rx33/9UTsvZITBN2qBidG5Q0RzR+5VD0fa4OXtNr1gzhYk3HNxQEJBCQP0ea9bdQpYXV4FNw+z&#10;mrFtuE9nSFVLa8dCxq7t6mE5W7k/T0L0Y/39SBsN0adTia6H6A4ISU1B5pVGtRjCeB8TERG9WtK+&#10;vaCnH7XavU8+C9QO30PO/r1qpvmUCz21vzdpnyUy9+zUF5/dW7yt20Xt8H0G6EREREREtLDolbbf&#10;4z9/+wgftdTjUm4EJHyV6lxpdy3VuUah40JnqRhXAfloEF1l/jmOuvw/VLsuQ7n7L1Hq+S6KvFbi&#10;kLcjdvl5YrefBzYFBCIrMALZAWFID0lCckQG1oSvxZqwdMRHbURU7G5Exew0pv2dX0IZPJNq4J9w&#10;GNExO4y/T2jfG6e9nryuvL68T1roavW+mdr75waEaj+P/Eye2O9rRqG3HYq9VqDM4zeo0H72I9rv&#10;o34XFbS/NhqyL9e8OVrNbrxdljRp8T52Xrr/u7i5YzU+bj2F7/8yoJ0n32q+Y3t3olcIT7/AP//x&#10;CbZszoad49SVPbYmD0QDYqOQefU28hjszW8tPcht6UbUxk0wmx31NvwG+3SmTNqx4Onjjj31tUui&#10;amy6ZGHBsf4+pG2eWYju4mwHf+1cW3f20mgleveL+5iIiOgVydLs6Oh71rq94fFj7Kmr1T4beEw5&#10;91w4O9sjanUCjnR1qXum0b10MTna08MAnYiIiIiIFoan0goX36pW7Y8bT+ByfjRKXd9SVbilZqlg&#10;NggYFwy93bne+nxsJfkbo1Xkr6NS+28JyA/6uGCXvy82BUciKzQRq8IzERm5EaExuxC46hB84svg&#10;kVgNx+TTcEo+hd+mXsOytOZRdzRNzyxPva1pnNQbqbfwZupN9dXo7593+7nX1zXjtbQWvJnWqH4m&#10;4br6BLwTyuEbX4rg2H3az74TUZHrtd8lCxmhSdgYHKV+x/2+rijyWoFyt1+qSnrZFhXm5arCXq9g&#10;t7SN11vHL+Uqdsu89CKH11BiWo6G1V7oPrIDn929rp03MuZAwnTOSid6FaQjRHfXNbi5u7yaKnRX&#10;JyQWFiO3tdfwgSrNH7KPsq41wX9VzKy0cpeH36ExkahoaWGIbqD2/miIPpNKdI0K0WMkRL+MXAnR&#10;mxmiExHRq5fd1IWNrT2oHhxS1ed1IyPaZ4FmhMZGqs8GRve0sdQiPF8P7D9zGg0PF//nh7qRh8gr&#10;OMAAnYiIiIiI5je94vxrFfx92ncZl/KiUOb+CxTY/WzBBucq8B0NySulrbr8twqBf4FSt1+iwPN9&#10;7AzwxaagSKRFZiI8Zic8VhXBLb4CzknHYZ98Cu+nXMJvUm/g9fQWFVC/bgnHR0PxN1TofRNvpVzH&#10;L1KuvXJvaz+H5WfSw/jb6meVn1uo30H7XX6t/U7vab+b/I5OSSdhTqiGe1wpfGIPIDFqAzLDU1XA&#10;LpXsh7xWqu0l27Tc7W21DdWig9GAfam2h5cwvdDhde0c+X84GrICN7Yn49GtY/j3d4+1c+kLjYw/&#10;eGJ4vhGR7UkV+r//9Sds25aHFfYfGD6YnE1SzewfHYGs683IbWGIPt/ltfcj5VgtPHy99Up0g336&#10;MpydViJlQx6ODw5yHroBvRLd0s7dftqLXkwqRI/GujNSid7PEJ2IiF4padsuXVGKegbU3PPa0ftc&#10;Um4mnLV71lSt2+XvZVFZ5t5d+hiY4cXdul0WF5TcvAG/YH8G6EREREREND9JYC5Ve0+1//7iw1Zc&#10;356k5j3rFbZvGAaH85Wl9bq0Xa+W9uRub6PU47co9Hofu7xdkB8cjbUR6xATuxOuCUfwweoGvJt8&#10;Dr9bcxG/Sr2ON9P0oFkCcj0c16vC30q5YRhWL2QS+L+ZMqbiXfvd9cr5O/iF9jv/JuWqtl0u4b3k&#10;s3hP207OiTUIizuI5Kh8ZIWtxhZ/f+z1ckKB5wfaNv6dXr3uulxVsFtmr8sCBqP9tOi4/gLFTstR&#10;6PBzlHn8EqeSfTBQvx/f/KlXnWMyCkEC9fHnHhHZnnSB6Gi7DC9vdzjbeL71VPQqWhPiDx5Cvmot&#10;/eLDVZpHmrtVu/1Vu/WZpLZu5a6OB83GwyWoHxnhPHQDdQ9GnpuJPv0Q3V5Voq89fRF5HaxEJyKi&#10;VyerqQt7uvpHZ54Pq3t/fmEBXMyOVnVakZB9VdoaHBsYWPSt22VxQO2D+0jZtB5OjisZoBMRERER&#10;0fwjFecSnn/9hy60H96I6oB3UeT0+gIKzt/+KTB3+bkKzKUV+W5fd+QEhiM5PAtRsXvgmXQUv0q5&#10;oqqz3069gbdSb+LN1FvPAnI9JNf+ziBoXopkO8miAX076dvqzdRG9b9l+/1C+3shAbuHtm0jV+1F&#10;UmQ+1gXHY7O/P/b7uKDE831UavvjiPnnKlSXOet6lbrRflw8pL27zEmXc+hoyEq0la7HX4Yb8b//&#10;fqqda3/HU1akE80qGUPyw38+w6aNWbBzWGH4gHI2uZjsVVvwrOt3WIW+AOS29iH7ZgtCUlPgYkVr&#10;1emSUNgnwAeFV6+wlfsEnlWib96gAvHpt3O3h19kGFJP1LMSnYiIXgkJzze39uCotG6/d0/d8/ef&#10;PWP13HNZyCefFwouX0L9w4eG98vFpOHRY+w/dwZevp4waduHAToREREREc0b+pzzb/CPr0YwdLYI&#10;J6Od9YpzlzdVNa1RMPjqjc4uH60yV7O6ta+F3g7YFhiE9NBkhEdvhV98KezXnMXy0Tbrb6Q2qhD4&#10;7ZQbeoA+yig4psnJAoOx2/Ct1Btq21qq2KV6X2bBy+z1gLgiRERtRXJYOjYGReCArxmHPX6n7bNl&#10;asGDtIAvV3PVF+dMdcus9EL7n6PC61e4tSsVH96pxQ//+kQ7977TPMGPnJNONCtkcVhXxxV4+8x9&#10;Fbqrqwmubs6IP1iA/M4hw4esNL/kdw6qCmbvID8VeBvu15cgoXBUcgKqOzsWfUXZTEmL+2N9LzMT&#10;3R5e2v5LOXJMhei5LT2G+5qIiMjWpHV7XnM3yvsHn7VuL2tuUnPPZaa50X3rOW4mFaDnFxWotuYn&#10;FnnHGvksVNPbq6rtHR1Xqm3AAJ2IiIiIiF45PTj/UoV3H7c14GyaP0pMy1HktMwwBHzVJFwtd31T&#10;ha2W+eXF7r/Dbn9vpIevQ0DsAZgTjmDlmnP4RVojXktrVqG5hLpGATDNPqnkl0Bd9oPsjzfS7uC9&#10;lMswJZ2Ae3wZIqJ3qPnq2wKDUej5vr4gQs1U1/ez7O/FVqlean4Lh1b8Xxx2fxuXciMxfPEw/vnN&#10;QxXyyfko56XR+UpEMwPtnPrfD59hw/p1cJSKVhu35p6KBKYBcbHIvHJLtQg3ethK80t+ez8SDhXC&#10;Tdt/ZisqxaZDjj9n7ZhYu22zaul6cpjz0I3oleg/hejTbueu/RsJ0ddU12jnXT9yGKITEdGc6EZB&#10;9wBOSniu3eNlUVjy+hx177fmM6izkx3i1qaoe6CE70b3yMVC2tvL/X5zxeHnxucwQCciIiIioldK&#10;D86/xld/7MKtXWtQ4f0bFNq/psI9o9Dv1dHbsleZX0el21tqhvk+L0fkB8ciNnYHnBKPq7ncMrN8&#10;uczsVlXmUmHOqvL5SKrW30y5oSrUZb66zJn/Teo1vLfmPD5YXQ//uEKkRWZhU2AI9nnbo9jzndF5&#10;6stUpbo+S31xVKhLRXqB/c+0/35bzUm/d6EUf/9iWDsvZWHLt3jKinQim5F7Xl/PDbh5uEw7iLMF&#10;s4sDEgqKkN/Rb/Cgleadlh7kNnchPDtLteG39Tx0eUjs7umK7TVHUP/wkZr9afRgeamTyjtp554+&#10;wxDdRfs3nr6eiN9/UK9Eb+UYBSIimj3Sun1XRx+Oa/ew2uF7aNDu8ZvKSlUnFWvuYXKv8wv210e9&#10;aP/W6N64mMgCgfI7TQiKCHmuOp8BOhERERERvRISyknL6H9//yHuni3C8UineTnnvMz1TdWWvdr8&#10;Oko938M2Px+khqUhNO4QfrfmImTm9tuqXbi0ZL+lKp2NAlua3yRQl/nqeut3mat+C79Qc9Wv4d01&#10;5xGQcBhJkXnICYrEHl83NUu9Si2oeA0Vi2SOupqT7rRMfT0W7oDeE3vx9R971QIXCdKNzmMimh7p&#10;tPKvf36CLZuzYe9k99zDyrkggal/TBQyrzYiV6phDR660vyS29aHzCuN8IsK10N0g/36MuQheUBY&#10;EIquXUPdyOKfbzpTdQ8kRO8bDdHtpx+iuzioxQrx+w4gt6WXIToREc2KzKYubGnrxRE19/yuml1+&#10;4NxZNcvcmtbtMhtdgnYJ3OsfaZ8LFnnrdvn96u4/QPq2zepePbY6nwE6ERERERHNOb3q/Cv8efAa&#10;rqyPRrHzMs1yHHadDxW9MtNc5pkvR7X5NZR6vIPNQWFIDM9AYFyBavu9LLVJtQOXWduWudvjA1la&#10;+PR9e2N0prrMU7+tKtUd1pzRjoUixEbkY31QpJqjXu7+y+fC9IU8Q126PxSb3kChw2s4EeWEvpP7&#10;8PUfe7Rz9nt17nJGOtHLAb5Bb/d1fbbkNEM4W5BW4ImFxchrlTbu3S88eKX5R1p/J1fVwMPHA2ZX&#10;27ZyF9LOVdq01vT1qnbuhg+YSZ+JPhqiyzab7vkr5550n4jevBW52n7NVeeg8T4nIiKaruwm7TND&#10;SzfK+odQd0/voFLd0YGI+Fg4WbNwU/tsKve3xOwMHB8YwEntvmd0P1xMGh4/xv6zZ1SnmPELDBig&#10;ExERERHRnNFnnX+tqs57T+zGkcD3UWD3M5S+8uD8bRV66jPN38Bh919hj583kiOz4RF3GO+nXMKy&#10;tGa8ntqkqpSNwlZaGlTr99SbqkX/69ox8U7qFbgkHYdXXBFWR2Rje2AQij3e1Y4jmZ0+Zn76Ag3T&#10;ZWFLoXaOnow1o+vIDnz3lwEV/nFGOtHM4ekX+Pe//oRt2/Lwgf0Hzz2omwtmsyP8oyOQff0Oq2AX&#10;Cmnlru2r2O07YHZxtPn8fNXSVXvd7P17VaXaoq82ewnS5lXauWfu3qlm00ulntE2nYhsazkHo9Zv&#10;QNa1JuS1MUQnIqKXlz36tah3ACflfnX/vprtnbJpPZydret6JF1ppI15yc0bS6IrjdzTj3R3IXpN&#10;EpycX+zywwCdiIiIiIjmhF51/gU+G7qOC5lhKDEtR5HTMsPQbu68DakYrpSqYfdfYb+3EzLDUuAZ&#10;X6bmmf8y9SZel/nYKTcNw1Qiyxx1CdN/oR0v7yWfh0PiCUTG7kZeSBz2aseUzMuvcJNRAPrs9AVX&#10;me76NoocX1ft3U9Gu6Creju+//yuOp8lTGdFOtH0yViEwYFGBAb6wsk0dTtNWzK7OcPN3YSEgwXI&#10;ax944QEszU8StGbfbEZwchJMs9D+X6quPL3dsav2BOofLf55py9DHrjX3b+P9cWF6lyypiXuWCpE&#10;NzkgND0NWVcbVYeBnGZ2gyAiopmTAH1vZ5+6T0lwLtXnGw8Xq0V38tnP6H40ltybpAJ9e80R9W9P&#10;3F38rdsbtM87ci+X0SxGixMZoBMRERER0exSs86/xX/+9jH6TuxBdcB7KHJ4TbWJNgzr5sTbqDS/&#10;jmrXZSjwWon8oAhEx+7CyuQzkJnmb6Y2qhbtbM1O0yHHy3Mz1LU/+92aCwiJK8Ta0DXY6ueDIq8V&#10;qHJdjiqX10bDdKPjc34qNb+tFr0Um5bjWLgjerXz+W+f31MhunSWMDz/icjQU3Vv/BL7922FvcNK&#10;uLrbtqJ4KjJL2z82Glk37iC3pcfwQSzNP7LgIb3+DLyDA1TFuNG+fRnStjU4KgyHG2+hTirRjR44&#10;kyKVfXUPHmB9UYGabW5ycTDcphOxhOiBiQlYe+Yi8juHGKITEdGMZDV1YXt7L44NDeHkPb0t+cEL&#10;5+Ht76Oqyo3uQ+M5a58NpVr9xNCguscZ3fsWE1kkUHzjOgJCgya8hzNAJyIiIiKiWfMUTwB8h88f&#10;3MaV9TGqirXE9OpCQ2mjLcF5peub2OPnoeaaeyVW4xdqvrWEnjcZmpNN/DQ//eaz+em/Tb0K34Qy&#10;7bjLxObAEBR6O6DKvEwdkzJCYKFUpsvIBZmRLudzQ5Inhi+W4e9fDKuFMnj6xPBaQEQvAr7C/eFm&#10;BAVJFfr0wreXpaqMNPEHDunBncHDWJqPupHXMYik4jJtP5r0/Wiwf1+Gs5MdEtal49jAgAqIjR46&#10;k+7k8DDq7j/AtqPV8Pb3mnaILvvQxWSnRiqk1JxU+5YhOhERTYeE55tae1E9OITae3fVKJaqzg5E&#10;JMTCyVEWaRrdf54n89HDVkWjsr1NH+VicM9bTCzt7VfnZavFg0bbRDBAJyIiIiKiWSHBwI//+wwP&#10;rlbhWLj9K5x1/raaQV1h1tu0bw0MQUT0NtgnN6i22xKcMzSnufCWdpwt04635Wl31Fx9t4QqREdt&#10;xuagCBR7vq9GCcjc9IU0M93S2v1MWgAeNR7Hj//5k3buf61hkE40ladPpQr9Cfbs3gRHZwebz7We&#10;iouzPQLiYpF5tRG50kLa4KEszUMyD725G5H5+aqTgLRbNdq/MyXHoYvJATkH9ukPmIeHDR8+k062&#10;j1T67TxxDD7+3nCewWIYk3YuegX4IrmiGnmtfewKQUREVpHwPF/7TFDeP4hauSeNVo6nbdmgQnGj&#10;e854svjL288L+06fQsMSCM9lPrxUn+84VgN3T/OkixEZoBMRERERkU09ffo5pOr8b0/u4s7BTBx2&#10;fQtFjq9i1rllvvkbKPJ8F7kh8fCLL8a7ay7gjbTbKjg3CjmJ5oLMTl+WehtvpjVpx+RFOCceQ1z0&#10;VmwJDEWRx7uoUN0Sli2ImekyjqHQ/jWUuf8Sl9fH4LOha/jxh8+068A36npgdJ0gIp20cX/0sB2+&#10;fl4wmZ0MH97NGjcTzGZHJBQUI79DZqGz8nWhyG3rQ+blm/CPjdJDdKP9+xJctGNR5qHvrjsxOgfV&#10;+CE06SREl4q9A+fPIiQmAk5OK6e9IEZa8nto2zx+/yHktvSqfWy074mIiITMPM/VFPcOqMpzqaiW&#10;e9G2I5XafcW6LjVyr5IW75l7d6Hu4Yh6DaP73GIin2uq2toRFBWu2tYbbRcLBuhERERERGQzwBea&#10;r/GX4Vs4m+r3ylq2S7W5zJne7+2IjNAkeCZW4Vep+mxzmVH9tkGgSfQqyLGoz02/jbe1r79ecwXm&#10;pONYE5E1OjP9A+1YXqa3eXeTNu/Gx/x8IOd6kdPrqPT5DRr3puPL33eocFCCdKPrBRFp982nn+OH&#10;/36Gg/u3wsHKSiFbkkrjgNhoZF5hFfpCI633U47XwcPHc/bmoUeG4vDt22h4+AgnhoYMH0STTkKH&#10;hkePUHjlEsLiYlTl33RDdLO2H82uTojetBnZt1qR285zkoiIJra/q19VVIt67V5dePUK/IL9rZ97&#10;rt3rV6Wn4mhv75KYey736trh+0jftkVto6nu0wzQiYiIiIjIJqRl+//+8ymGLxxGdcB7Kjyf65bt&#10;0vq6yvw6Dnk7Yk1YOkxJJ7EsrUkFlG+l3HghvCSaT2SUwFupN0YD9Ub8NuUqfBLKkawdy7v8vFHp&#10;9jaqzT9Xx7nR8T8vaOd8icubKHR8DUeDVqD3+B787fO72vXhew3buhMZkfvnR487ERoaAKdZCEIn&#10;YxZmRyQWliBPKl45f3nh0PZVXns/4vcdgKubs83noctDZQmB4zP0eei1nIduFalsK2tqwqq0ZDV7&#10;dtohurYf5ZwMy1irugzkdQ4a738iIlqyspu6sKezT913VEty7R5d3dmBqNUJapSINfcek/aZU8L2&#10;khvXl0y3mVMffoi9DbVw93JV3XaMtstYDNCJiIiIiOjl/CgzXL/FP795hOZDWSh1eRPFTsuNw7VZ&#10;oc84rzQvR6GXHZLDM2BKrMHytCa8kXrLMKgkWggsM9OXpd2BQ/JpBMTuR0bYahR4O6LSdRkqXN/Q&#10;jn2pSp+fLd5LnN9Aof3PcCrZB49u1qgFNhIUsq070fOe/vg5/vfDl6g5UoSV9isMH+DNJrOLE/yj&#10;I5B1/Q5yW3sNH9TSPCWzsm93IHRtuuomMN2wdipmN2dV3Z65Z6eq2jo5vPir02yh7uFDHOnqxJr1&#10;uWq2rDUP6ccyu8ocensEJqxCev0Z5El3iGbORScioi5kNnVhR3svjmn3m5PSun14GLX3hpG+bZPV&#10;4bnL6KK7rdWVKjxfKq3b5d4cnZxo9Xx4BuhERERERDRj+rzzr/HV77twKTditGX73FXHynxomXFe&#10;7PEO1oalwjHpBN5OvYXX05oMA0mihUoWg7yW1oxfp16Hc9JxrIrZhq2BgShx/y0q3N5UgXqZCtON&#10;z5VXqdD+5yjz+CWubYnH5w8atWuGtHX/Si2+MbquEC1FshDt9x/2ICIiGA5Otp9pPRn1oFWTcKhA&#10;D+o4C31BkX227twV+EWGz0ord5nN7+Hpih01R1D/YGk8ZLcFmUMrbe/Xbt+iqsql0s9o+05IOycl&#10;RPcJ9seaqmOq24DMRjc6BoiIaGnIaurClrZeHBkcUnPPT4yOD9lRcxTunmZ1zza8p4whn/ucneyQ&#10;tnmj3tJ8KbRuHx5GnfZ75uzfO+Xc87EYoBMRERER0Qx8BmnHLEHYH9pPoy7eTW/Zbp6bAE+CQmnV&#10;XuzxLnJC4uCRWIVfpt7AstTbqmrXKIAkWgxkFIG0d5eFIr9OuQzvhApkhK3BPm9nlLv/QjsvXpuX&#10;Ld7VfHTtGlEV8C56ju7EP74c1q4f32m+MLi+EC1NwDeorjoEe0c7uLjatpJ4KlK97B8bhezrd5DD&#10;kG6B0Vu5r6mugaev57Srna0hc0IDw4JQcv2aHgwbPJymF0koUXt/GHmFh+Dp7a5mzRpt38m4uDjA&#10;Xfu38QcOIqepk3PRiYiWKAnPN7Z2o1rC89H7jMw9L7p+FQHaPVo6nhjdR8aTe1Fk4ipUtrUumdbt&#10;8tnl4IXz8PLxsGqRgQUDdCIiIiIimjapHsXTJ3hwpRLVAe+qYExmHxsFZ7ZWaV6GCu3rlsBg+McX&#10;4xept/CmhjPOaSnR56XfVPPS5fi3Tz6DmOjN2BwQiDKP36lZ6WXzLUjXrhHFpjdQ4rwMp1N88fv2&#10;M/jxB1mM843hdYZoqZFFaX/5813ExUXA0dm6h6C2IhWybm4mxB84hPzOIcMHtzR/5bb0qPb7q3bt&#10;VvOzbd/K3aTawsamrlYzVjkP3Xq1w/fVbNodx4+qWbOmmYTosk9dnRCZn69GLeR1cC46EdFSosLz&#10;lm6U9w8+C89lkZa0JF+VvsbqBVrSDcUnwBsHzp5B/aNHL9yzFiO1nbq7EZkUB5NUn0/jMxIDdCIi&#10;IiIimhZp2f7ff36CjorNKHP/FYqclhmHZTam5py7LsdeP3dExOzEOymXsTzttgoSjQJGoqVCzoE3&#10;U2+oFu/vplyCf1whMkNXo8jrA9XaXc6dMrd51N7d9W216KbM4xdo2r8W3/6pR4XoT/HE8JpDtGT8&#10;qFehN9RXqOoYy3zKuWJytkNAXCwyrzUit63P8AEuzV+yz7JvtSE0PQ1mZ/tZCtHtkbZ1E2qHZR76&#10;sOGDanqRah078hAFF88jNDoCTo4rp71/ZJGL2eSA4OQk1bJfheici05EtOhJeJ7X3I3DfYOok7bt&#10;o/eVWk3Grh36+BYr7ily35F7yfqiQ2phl7R/H3+/WmykRX3Dw4fI3r9Hbafp3nsZoBMRERG9IlCz&#10;o6UFtny1/PcXk9Bnxk5Ovsfo3wrLe2lftfc2+pmIJvXjX7Xj5xv84+uHuL03DcVOMu/8DRx2/6Vx&#10;SGYj0q690rwcxZ7vIjUiE46r67E8rQlvpN40DBOJlrI3U27i9bQ7ala6a+IRrI7Kwz4fE8rc3lYL&#10;UOZTe3epRi90eA11cW54dPMY/vffT7VrzNd4ynsULWHyme2rL0awalUEnExzXIUuD1ZdHLBqzz59&#10;FnozZ6EvNHntA/o89Kgw1ZbfaD+/DMsc763VlWrm6gmG6FaTh/jSQrb8ThNiUpNVW/zpttuXc1TN&#10;RQ8Nxpojx9WiidxWLnYhIlqssjV5d7pR3DOg3Ue0e4ncU0bnnm+pqoC7p6vV9xJZBJecl41j/X1L&#10;Yu65kO20/+wZePl6PvsMMx0M0ImIiIhewlMVKI4Nqb8e4xvNt6Nkzuv3Y3yHp//7K374z5/xw3//&#10;jP/99zP8519/wnfffIhvv378AvnzL548wGd/vjupJ5/f1//NN+NeQ/vf//7nJ+p95D2hfm75mf42&#10;+vNYfk75meVnlyD+ifr9jH5vWoLUMfMV/vbkHi6vj9HnnbvMfhBXYV6OCre3sTkwBL4JZfhF6k19&#10;/rNBcEhEP9Fnpd9W58x7yWcRHbMT2/x9UeLxW1SZX0e56xuG59xcK7VUo7v/Ate2JODrP3Sqa43c&#10;hwyvRUSLHJ7qny3PnK6Gk4vDtCtlXpbMW/YNC8K681f1EH3cg1ya/9Q89Kqj8PDxgHk25qG7OMLb&#10;3xuHLpxHw+PHS6KCzZZkXq20wU/ZtF5VDM7kgb6Ls73av3H79yPndjtyea4SES06enjehaKeAdRa&#10;wnONhMIFly+qsSAyXsXoPjGetHgPi41EWfMd1D18+MK9aTGS+e7S4j46ORFOTisNt8tUGKATERHR&#10;kvb0Rz0E1/9bHlhKlbaEx8ISgovxAfjfNf/QfKXC7b999zG++/pD/OGjHnz8YTd+r329N3QHvT03&#10;0dd7Cz3dN3DnzgXcvn0OTU3ncf36KVSUHULBod0oKtyD4sK92Ld3GzIzUrEuPRnr1q55Tua6FMSt&#10;ikZgkD+CggIMyd/FxESq789YN+bfa68n/3v3zs0oKd6nvecuVFUU4ObNM9rPcx4tLRfVz9nfdwuP&#10;Rjrwx9/3qsqnf/3jE+33k99bfldLyC7b5AsG60uNOje+wRePmnE2zR9FTq+j1Dy77aCl6lxCvgIv&#10;OyRGrcdvUy7jjbRGzjknmia9vbs+J/03KVcRFHcIG4PCUOz5vnaOvTZv5qSXuLyJIofXcCzcHvcv&#10;l+N/sthLu+4YXpOIFjn5HPrttx8iM2sN7Bxn9sDvZUiF66rde5DX2ssW0QtRc7eqSl61cxdcXZ2m&#10;NevTWvLAPjw+BuXyIH5kxPDBNU3Mss3yCw/Cw8vN6tm1Y1la9oZnZiDz8q3Rlu7sGkFEtBhIeC4O&#10;dferyvOx948j3V2IXpMIRytDYbXwzc8L+8806N1jlkLrdjU6ZQQ5B/bC9BJjbRigExER0YInYa4K&#10;v6UlusULbdEtobil1bmlStwSkks4/BW++uIhPvlDP/70xwEVgHe0XkZn+xXcuFqPM6eP4NzZo6it&#10;LUd5+SGUVxbg0KFdyMpKR07OOmRlpiEyMgwR4SGIjAiFt7eX9kHVBS5mM5xNzvjdu+/h1799B7/5&#10;nXgX77z3Pt55/wP9q+Zd7b/fX7FyQh+stMMKO/tJyfcY/Vshr295z99pX+VnkJ/nvQ8+UD+n2dWM&#10;4KAAREeFIz0tGRs35qCoeC+OHTus/d41uH3rjNomX3z+YHSbPV+trra3tu0Zri8u+sKSb/Hl42Y0&#10;JHigwO5nOOxqHIDZilTGVri9iU2BYXBLPIK30m7jTQbnRC9NwvTlqbfxm9Tr8IkvRVZoIko93hmt&#10;SJcg/e0Xzse5VuS0DKXmN9G4Jx3ffNKrXX++YUt3WnIs995bN0+ph54urnNbhS5Vyz7BAci4dIPt&#10;oReo3NZeNQ89bN3aWWnlLiT0TcrJQE1vz5JpBWtLss3EzmM18A8NVIsSpvuA39LSPSAuFqknT6nu&#10;AzktXPRCRLSQWcLz/V396n5hCdDlniHjQFI3r1ehsNF9YTxp7y5zz/NH557Lvx97L1qsJDzfXXcS&#10;nj4e2udoZ8NtYw0G6ERERLQg6A8SjcLw0fDWEtz+8JlqiW7x7bcfYXioBX09t9DUeBan6itxpqEa&#10;RUV7sH//NuzZsxl5+RnIyk5HZlY64hNiERkZjqioCAQG+sPT0wNeXp4wmUxYYWcHO3t7vPf+B/jV&#10;b36LX/76t/j1b3+nwmgJx+Xr2MBaAu2V9g46BwfYOzrCwclp3pGfy/JzWgJ4Cdl/q/1O8nvK7ya/&#10;twTssk1WxUUjO2cttm/fgOqqQrQ0ncdnf76H/2nb/scfLLPdLftH218MPhasp0/lnPsKn/ZeRH28&#10;Gwodfm4YeNmKmnXuuhyFXisRH70J7665iNfTmtiuncjGpJPDMu3c+o323y4J1UgNX4cCzxWokMUr&#10;GpmXbnSOzhXpcFFo/3PUrnLFh00nRu8nX6puGEbXKqLFCE+/wN+/+xjZ2anaZ7QVhg/1Zo2bSYXo&#10;sTt2qiCWVa0Lk7TgX3fuMvyiwlXIarivX4I8kDa7OCJ7327UPrivqr2MHmLTxCwVckXXriIyKU7N&#10;RZegw2h7T8bF2Q5egb5IOFSozlmZjW50TBAR0fymh+fdKjyXsNsSnst/y/1i4+FidZ+wJhSWRVYm&#10;7f6/OjcLxwcHcHKJLHaThQJV7e0Ii41S91WjbWMtBuhEREQ07+iV4xLASnWzZX74l/jvvz9VrdK/&#10;/vIhPv/rsJr5PTR4B1cu1aLmSDGKDu3C1s25SE9fjeTkeISEBSMwOBBe3l7w8PKEq5srnJydFQnD&#10;VdD9wQoVEEs19m/feRfvvP8+3tP+7F2N/P0H2veJlfb2sHNwUOZrED5b5PeV33uFtg2ehevatpKK&#10;dnvtz93c3eAf4KeC9a1b8lB7vEy1rX/y+bC2vz7S9p2EsLIPtf3JMH3B0MPzr/FRSz1qQlai0OE1&#10;w6DLVlTVuWZbQICqOn8zrVG1nDYK/4jINixB+i9Sb8Ah6STWhqfhoJc9quR8NC/Xzs1XF6TLbHS5&#10;7lR4/QrtJevx9y/uadekb1mNTkuKHPNtLRfh7eMBJ9P05yS/DGkP7RXkj7UN55ArVa3jHvDSQtCt&#10;2nonV87iPHTtNd29XLG95ohqC7tUKttsSbZZvbbtKtvbkJyfrYKRGc1FN8n/LzMhasMGZN9sQV77&#10;ABe/EBEtICo8bxqtPB8z81w0PHyEfadPwdvf2+p7hHSKkXErVR3tKnwfe+9ZrGRhmlTqp2/bot0X&#10;HWfcut2CAToRERG9UnpluVSVW+aM/11VMT/5yzA+etyFocEmtLdfwenTR3Fw/3bk5axFgvYBMCg4&#10;ACazy2i4O1pBrdqY2+GDlXoFuAThlhBc/lwCYKkEl++Vf2dhFBrT1J4F69p2f390m8t2lsUG8vf+&#10;Ab7IyUrHieNl6O66jt9/1A38KIsj9NnxqmOAwTFBr54EVBKef9xSjyNBH8x6eF5hXoZSj98hNTwD&#10;H6y5gOWpjarVtFHgR0S2J0G6LFh5Qzv3TEknkRaWioPejqhWrd3fMDxv50qJ6Q0UOy/D2bUB+PPQ&#10;de3aJAvrvjC8dhEtNvrCw79iw4ZM7bOVneGDvdmit4Z2QOT6Dchr72MQt1Bp+y1P5qHv2g1XCdBn&#10;UN08FWk9HhAWiMKrl1H/8KHhA22amoQbxwb6kXtwnz4XfQZVc6oq0WSP4NUJSKs9jfzOQeSypTsR&#10;0bz3U3g+oO4JY8NzubeW37mD0JgoFYobXf/Hk8prnwAfHLp4Qb83L5EFbg2PHmPb0Wq4eZhV+3qj&#10;bTMdDNCJiIhoTqig/KmQYE4Cc2nHKg/Bv8TnfxlGV8c1XLtah5Mny7Fr12asSU5ASEgQzGYz3h1t&#10;kf6sKnx0FrgE4XpV+E9hOAPxV8uyD54F69r+ktb2K+3sEBoahL17tuD8uRN49KBd2/dS4SwLJ6QF&#10;P8P0+WJ8eF7k+LphqGUL0ia60rwM+31cELJqP36ZehNvptw0DPiIaPbJwhUJ0qUq3Zx0DMnh61Do&#10;bafO07JXOCNdqtHlWnQk8H0MnSnE//79ibpOGV3DiBYb+czc030NXt7uqtrX6OHebJEA3SvID+n1&#10;Z1Uls9EDX5r/VBv+W60Iz8yEi4sDzAb7+mU5OdkhanU8KtuXTpXbbFBz0YeHsevkMQRGhKigZCbV&#10;cxKiewX4IqGgGLnN3foxYHBsEBHRq/ds5nm3tG1/PjyXe2pNby/iM9KsDs8lOJYAeXPFYe3fP1gy&#10;I1ZkoUDprZvq/ulk5baaCgN0IiIimjU/heWWOeV/xVPtz3//cS+uX61HWek+bNiQjVWrotWccUcn&#10;J/zmd+/g15p3P/hABeWWanGjsJYWDjttH8r+lJnxH6xYgaCgQGzcmI2L54/j6y8fjTlOvmBl+iuk&#10;h+dfqbbteuX56zjs/kvDQOtllbu+iQq3t7A5KAxuScdUYCdVsEahHhHNvWWpt/FWWiOcE49jbWiy&#10;6hIhYxbk3DU6p+dCsdMy5eaOZHz3lwHtevUdW7rToiefoX/4z6d6FboK04wf8M0Wk7MdojZuVFWs&#10;rGRduGQeesalG/CPiVIhutG+flkm7fhMzs/B8YEBFQQbPdymqUnQIS3di29cR0zqalWJbs2s2/Fk&#10;DIN0HIjMz0PmlVts6U5ENA89P/P8+fBc7qXyZxm7t6trujULqtTcc+1+vHb7Fn1R1hK5H8vc85r+&#10;PrXQQBb1GW2bmWCATkRERDalqswt1eVPP8ffv/89/vqXYdy6cRoH9m5BUtIq+Pn7wsXVjBUr7VRl&#10;uczU1ueMO8DeIHylxUU6Bkh7falMdzI5IyIyDHv3bsXwvRb8TTte9CD9Gwbpc+ypaq//U3heNItt&#10;26Vl+2GP3yIlIgPvr7mo2kazZTvR/CPnpSxu+WXqNXgkVCE3JA7FHu+gylVau7+aIL3E5U0UOb6G&#10;hiRPfDZ0Q7tufa1hS3da3OT+PDhwCz4+HjCZbd+CezLSEtrdyw2pJxr0AG7cg19aOPI6B5F6vB6e&#10;vp56uGqwv1+GHCsi9+B+9SB7qVS8zQqZi/7wIY50dyFz9w5VSTijlu5mJ9VJIjAuVtv3taqdf67G&#10;6PggIqK5JS3bVeW5QXgu9wGpPt9SVaGu59a2I5cq9VXpa3C0t1e7Fy+RuefatqrVPnesLy5Q2+ll&#10;556PxQCdiIiIbEKvIJYZ5l/hyV+HMTR0ByeOlWFtWjJ8fb3h4OioZpS/v2KFmpctc7KlKtkoYKWl&#10;Q44DvS3/SjXTPmVNoupO8OdP72nHkrR3/5pB+hxQIxa07f2HzrOqRXLhLLZtr3RdhiKv9xEVuwtv&#10;Sct2jVFwR0Tzx1upMiO9Eb/UvvrFlWBTYDDK3X+JKrNcK+a+rfuzlu5BH+DB5Qr8+MNn6n7x4/8+&#10;e+H6RrQY4OkT/Offn6Hw0A7ts9MKwwd8s0naQYetW6se9ua2sBX0gtXcjfyOQSQWFqvKZAlXjfb3&#10;yzC5OKr53duOVKoAWB5qGz3sJuvIQgSpHtx+tBr+oYFwclw57WBAvl8WTHj6eyNu7z5k32pFXgcX&#10;wxARvUoSnOdqVHiuXe+fC8819Q8f4eD5c/AJ8FXzzI2u7+NJeB4cFabamC+dcSpDaHikbatz5+Dt&#10;56U+hxhtm5ligE5EREQz8mym+Wi1+TdfPUJr8wWUHT6IpKQ4ODk743fvvq/PK5ew3IGt2GlicmxI&#10;BwJZXPHBipWIjgrHsZoSPHrYoUIRdZxxTvqssITnTx424WS0CQX2PzcMrF6ezDt/Xc07D0goUWEc&#10;W7YTLSxSkb5cO3d/k3odYTG7sNPPB5WqrfsbBuf87JN27qXmN9FSlIt/fvuhdi37zvA6R7QYAN9j&#10;ZLgF/v5ecJ6F6uHJqCp0TzekHKtFbhurVxcy1Ypf+xq1YT3M2nEk+9Zon78MeYDvF+yPQxfOcR66&#10;DUglv4QDhVcvIzY1WbXmnUlLd1kwYTY7IDQ9FevOXkF+5xByOJaBiGjOSeV5XnM3CnsMKs81cs0/&#10;3NiIkJgIq7uPyEIpL19P7K6rVffe8a+5WEmVfVV7OyITV6n7o9G2eRkM0ImIiGhafpprrrs3eAfl&#10;hw9g9ep47f+Qu6gZ5u9+sEIF5kZBKdFUJEx/b8UKvPPuewgMCkBhwS4M9t8GVNArCzaeGB6bNANq&#10;m36NLx81oyHRY9batpe5vYVK1+XY6u8Pl6STeDPtNlu2Ey1gsvhlWdodvJ98DjHRW3DI20Gd46+i&#10;rbu0dC90+Dku5kbgmz/JXHQZAcK56LT4yHH93/880T4X6VXotmxPaQ2Zmx20OhE5tzs4C32Bkxbe&#10;WTfuICgpQbX3dp2FY0lC9Ij4GFS0tqCeIbpNyFz0oz09yNi1De4eZpi0c3JG1ehOK+ETFoSk0jLk&#10;NncjTxbFcDY6EdGcyNJIeF7U049aCc81z13rtXvmka5O1YZd7qXWXOdlUZUsiNt4uETv/rJERqio&#10;+e5DQ0jdtN7qbTVdDNCJiIjIKnpw/o2qAv7m68e4deMMMjNT4e3jhRUrV6p51lJpbhSIEs2EvaOT&#10;mpX+3gcfwNPLE5s352JooAn//tefVegrs9KNjlWynpzT337ah1NJXiiw/5lhOPWypDK10u1NZIfE&#10;4Z3k81ieKuG5cShHRAuLVKO/mdYI56STyAhdgxKP36HKdTnKXN8yvB7MllLz2yi0/zkatGvZZwPX&#10;1P3h6VMutqLFR7o+DQ/dQVCQL5xmMA/5ZZhdneDu6Yqk0nK2f14EZJ792lMX4BsWrBZHGO3zlyUt&#10;Z+Mz0lDT16dmkxo9/KbpkapCCQy2jbZ0V4HBDKrRZSyDm6cZEbm5yLx0Qzse+rkwhoholmU1dWF9&#10;cxeKegb08HzcNV6u78cHBpCyKR/O2nXamkBY7gFyL1i7fQvqtH+/VO63qjvL48fYUlmuOqzMpDPL&#10;VOR1GaATERHRlORhnVSb//7jPtQcKUZ4eKgKN2Weucyu5ixzmk1SkS6jAOR4c3VzxcYN2ejuvI6/&#10;ff8H7bj8XsOQZPpkXvC3+Oc3j3ApNxKFDq+pmcJGwdTLkPBc5iRnhq7Gb1IuYXnabcMQjogWLukm&#10;8cbofHT/hBJsCQhCpdtbqDAvM7wuzBrtGlbo+DpqQlfi8a1j2jXOstCKc9Fp8dDHrnyFkuLdcHR2&#10;gMssVNpMRkK3wIQ4ZF27raqYjR4O0wKhKo/7kVxeDXcfd9XO3Wifvwx5qC9V0mlbN6pZ6EulIm62&#10;1Q7fV0F6yc3riF+XphZAzGTmqyyKMWv/1i86AslVR5HX2quCdMPjhYiIXkpmUxc2tHSjrH/QcOa5&#10;3COlenx9cQFctfunNYGwBOzOTnbavSAVR7q7ULeEFqvJtiq8ekWNjLF2Rvx0SHgelBjPAJ2IiIiM&#10;Pf1RgvMvVcj2+GE3KisOwdfXF++8r881Z4t2mmuWOelSlW5nb4+c7LW403QB//nXn7Tj9DvVJcHo&#10;WKYXycP3//zjU9zYmYxCu5/NXniufU2OylfB2hupNw3DNyJaHCRIX5Z6G++kXEJ81AYc9HZElfl1&#10;NcLB6BoxW4ocX0el7zvorz+A//1XrndfG14HiRYqWdT66ScDCAsPhNNcz0J3c1YPFOMPFejzk8c9&#10;HKaFJbe5R4Wmsbt2w1XmY89C9ZaL9rpu2tfN5YfVw+4T9xii28S9e6gbeYijvT3I2b9Hzb2VCkSj&#10;fTApN5MK4N29XBGzbTuyb9xR3QnY0p2IyHak8nxjaw/K+wZRa3RN18g9clftCdXtR+aZG16zx5Hr&#10;flhcNA7fblQLq4xedzGqvf8AR7q6EJWcaPWM+OmQRYVegb5Ye+YiA3QiIiJ6nl7ZIvPNv8EfPu5F&#10;acleBAUF4HfvvqeCc6Ngk2iuyQIOOSYdHJ2Qm7MOt26cVcevZUa6HMfjj23Syfn9w38+Q3v5RpQ4&#10;L0Op2fbhVoXMQta+ro7KY3hOtMS8maKd82lNcEk6htyQOJS5yzXhDe3aYPuFOhMpdn4Dxabl6Kjc&#10;jP/+44/q3mB0PSRaiJ6qsUpPUFVxUFWhGz34m00yM9svKhwZF68jl9WqC15uay9ymjoQnpmhOgzM&#10;xvxQqQyTgHdvQz3qRx6panSjB+I0fdKqVyoO956qR2hslNrWsmjBaD9MRhZPSDV6YPwqpNScVGMa&#10;clu0Y8PgmCEiIuvJzPMtbb2oGhhS4fn4ynMhrcgPnD8H3wAfq6up5fuk+vrQpQv6AjWD112MTt4b&#10;Vq3u1+3cqraBrT+3qMWE2n00bv9B5LcPMEAnIiKin+jB+Vf4+suHqDlSguCQQLz73geq4tcoxCR6&#10;1aQiXYJ0k4sJGetS0HLnIv71z0/VccwZ6S/SH7p/gcHTh1Dq+hZKTG8ahk8vo8K8HMUe7yA+erMe&#10;nqfcMAzZiGjxeluzLK0Jv025isiYXdjvY0Kl6zKUu9r+mjOREpc3tWvcctzcuQb/+dvH2rXvW8Pr&#10;ItFCJJ9x/vRJP8LCAua8Cl24ONurquW8tl5Wqi4Cue0DyLraiIC4VSpEN9rnL8XDrKrkAsKCUHT1&#10;KhoePTJ8KE4zY2n7W9nWiuT1uWqbqwBmmqGChBAmZzt4+Hohdtt2NapBD9I5G52IaLqyR+1o70P1&#10;4F0189zoGi7hefH1qwiKCLE6PJcKdalU33nyuPr3S2VhmvyeDY8eY3NFmd5BZQYLxiYlr+lkh7DM&#10;DORqn29lkSEDdCIiIlKk4vw///4UjbfOYlVsJFbYyczplapttlFwSTSfrLCzx3sffAAnZ2esTV+D&#10;jvar+P47mZH+N/WQ2eiYX4qk1f0nXWdRHfAuip2XG4ZOL6PSdTmKPd9F2Kr9eDv1Ft5MYeU50VL2&#10;ZupNvJHWCNPqk8gLXoUy91+rRTZG14/ZICF6keNruLEtCf/46oF2DfwKP7JDCS0CamzNj5+juqoA&#10;Kx1WGD8EnEXSxt07JBBrz13mLPRFQmZfp9efhU9IgGrpbbTfX5ZJWs2uikZ5SzPqR5ZOtdycuHdP&#10;hejHh4aw/WgVAsOD1Vxca2bojifnt4QzAfGxSD1ehzztHM9tY7cJIiJrZTfpX3d19OGYdo2eqG17&#10;3YMRVLTcQUzKajhp12yja/J4EhrLdXpDSSEatOu+LKIyeu3FSBbgHbxwDr6BvlYvNpgO6bLkGxmK&#10;deeuqM9Fsg8ZoBMRES1x8gBOwvM//ekudu3cBEcnR7y/YgXsHBic08IjFely/No7OKgZ6TdvnlYd&#10;FdSMdNXa3fg8WPw+037/7/HVH7pwPNIJhQ6vGYZNL0Patpd4voPwVfvxVloj3mLlORFpZDb6G6m3&#10;8Bvta1TMThR426PKLNeguWnpXmp+GwV2P8O5tAB896ce9ZmHITotBurz+x/7ER0dCnunWaganoLM&#10;h4zIy0OeBGusQl/4pNKqrQ9JpWVqHvZszEOXCmepRI9bl4aavj7UPlg681rnil6NPoLi69eRmLVO&#10;hSymmXSpkCo87d95eHuo2eiZVxtVNTrPdSKiycm8c/l6oKsfx+W6PEHluYzfqOntRXxGmro3WtM1&#10;RO7NEhyv27EVJ4YGVStzo9dejGR7SaeViMQ4qxcbTIdsWw8vNySXVSGvXbvfje5PBuhERERLmFTm&#10;Sqh4+9ZZRMeE43fvvacCSKNgkmghsXN0xDvvvY/3P1iBlDUJOHfmKP7+vbTwldbuX+iVWwbnxGIl&#10;D9m///w+zq0NRKH9zwxDppch4flh998gKnb3aHh+3TBII6KlSxbVvJF2G66JR7EhMAIVbm+hXM1G&#10;N76u2Fqh/c9xLj0A3/6pW7smfs0QnRa8p9oxLMdyfW05nEwOM6o0fRkSzHn4eSH1ZIMeoo8+aKSF&#10;S1p157X1IXbHLm3/Os5OiK69plTPpW/bjOODA0vq4f9ckmr0Y/392Hi4BL5BvnCe4Xx7VY2uXV8C&#10;VsUguaIaua36McIgnYjoRRKe5zV3oaBnACfuTRyey73vWF8f0rZsVIuVrLk+WxahJeVk4mhfL2of&#10;PDB87cVIfVa4dw+r87JVdxWj7fNSZNGYdp+M3rxFtW7Paf5pdAkDdCIioqXoRwnUvsLfvv89Sov3&#10;wuTignfef98wiCRayKSTwu/eex/22teYVVGoOVKMJ58/GH3oLGH6E+NzZBGRBQM//PtTNB3IQKHD&#10;z3HY1bZVn+XmN1Dm/kskRa3H26k3GZ4T0YRkNvrytCb8JuUKVkfmotTjt6hULd3nphpdFhCdSw/E&#10;t5/olehyLzC6bhItFLIY9qsvH2L16ljYO640fig4i1yc7RCSnjb6sJGB2mIgVei52tfwrCy1f62p&#10;iJsuCdBFfsFB1N2/zxB9lsh2lVb5hVcuY1X6GhXSzLgaXTsW3L3dEbVhIzIv3VAhusyGNTqGiIiW&#10;IgnP17f0oLRvECe1a7Awujaf1K7NUk2dvX8PTCZ7q+d4S3gevSZRVWHXjSydDi7SWUW2V+7B/TC7&#10;Os3K4j4JzwMT45B59bb6HDR2vzJAJyIiWmL04PAbfPbne8jNXafaXX+w0s4wfCRaLKSzwrvvf6B9&#10;tUdQcABKivbiw8dd+N8P0tr8u8VbkT66UODeuWJIQFXi8tYLgdLLKHN9E2Xuv8LqqHz8KvU63mTb&#10;diKygrR0lwU3gXFF2OtjRpV5mXY9se31yUip69sqRD+bHogvH7eo6+PTH5dWRxJafORz/amGCphc&#10;nWEyz3EVuvae7h5mrD5cgfzOoeceONLCJR0FMq/cQmBivHq4b7TvX5ZqD+7lhp0njqlqaaksM3pw&#10;Ti/n5L1h1I+MqGr0vIKDam6sk9PKGVejy+gG3/AQJJWWI6epQ29zy8UzRLSEZWuyNFvbelExMKTm&#10;nU8anmvX5PyiAri5m6YVnofERqC08ZaaA2702ouVfEbYXXcSnj4eM1sENgXpsuLp743U2tPI6xx8&#10;Yf8yQCciIlpCnqp5519j+G4LEhNX4XfvvsdZ57Sk2Dk4YIWdHd77YAW8vb2wf9829PU2Aipo/n7R&#10;BemyOODTvsuo8nsXxc62bZUsYVe163KkRWTgF6k38abGKCgjIjIi3SqkpbtTUh02BEWiyvWNuWnp&#10;rkL0n+N4hCP+1HdJfS5iJTotZNJp5tuvHyMuLlK1cjd6ODibTE52CEpKQNaNZuS2Pl+1QwtXXns/&#10;0hvOwTs0UD1cNtr3L0sehHv7e2P/mVNoePyh4YNzsg29Gn0EBZcvqmp0k4vDzKvRtX8nwU94ZoY6&#10;RvI6BlmNTkRLUnaTHqDv7OjF0aEh1E7Qsl2cvHdPu9c9xraj1dMOz/2C/XFIu36f+nBp3StlscDh&#10;xlsIjgrT58QbbJ+XIRXtrq7OSDhUhHwJzw0WhDFAJyIiWiIAPTzvaL2MgAB/FZ4bBYw0Vxzh4Pg8&#10;e0eHFznYyJjXfO595ecw/PkWvxV29vjtO+9qH5hdsX37ejTeOocf/vNndZ5Ia/eFHqjI7/Htn/vR&#10;sNoLRY6vGwdJMyTheaXrG8gOicdv11xS1aRGARkR0VSWpd7G71IuIzkyF4fdf4WKOZqLrkL0SCc8&#10;edikXS+/4Ux0WrD07lJf4tzZI/osdLe5rUIXZhcHJBQUqdCV1aiLhLYfZX8mVx2Fp5+Xqj422vcv&#10;y6Qds4ERISi8ennJVdW9CvXaNpa5u3mFB+AX5KcCiZlUo7tq1xkX7d96Bwcgbu9+5NxqVZ0Lxs6N&#10;JSJazCQ4lxE2+7r6cGzo7qThuXRZaXj4SHVd8fb3govZugVMco+U8Hz/2dN6txaj116k6kYe4mhP&#10;N2JSV8NJRsoYbJ+XIfc+6aoSkZujRtdM9PmVAToREdESgKdPVJh24fwxeHp54t0PPjAMFOklSACu&#10;wmp72NvbPWNnt/IZ/c/k7zXa9z0LsEe/Ojo7w9Fkep6LGU5m15fiaHJ57jXHhveWn/eFn1GF7vJz&#10;Gfyui8wK7ff9ze/e0f5PjAkZ69bgyuVafP/dx+phtJqTvgCr0uVn/5/MPd+XjiKH11TbYqMAaWbe&#10;VjOLNwaE4Dcpl7E8tRG/SLn6QihGRGQt1cEirRHBsQdwyMtOu8YsQ9kczEUvdPg5zqb6PZuJzhCd&#10;Fiq573/91UMkJ8dqnyfnvgpdKlJ9woKRoWYj9xs+gKQFqLlHhejx+w+qwHQ25o4KJyc7RCbFobK1&#10;ZUnNdX1VZJZs3cgDFF27isTsDFVV7mxymFGQrroTmJ1UF4qUmpMqTOJCGiJa7KRle752nSvuHVTX&#10;1YlatgtVef7oEXadPK66rkgobnQ9HU+6hHh4umL70WrUP3y0pEadSNeUE0ND+P+z995/bR1p+/9f&#10;9H29Ps8mrmunuQBCSEhCIHrvvdp0cO+d3sEYG3AvuIN7tzGxk9jJZvs+KbvZJFuebImv79z3kWyH&#10;jG0kJCFgfni/5DhwzpyZOaPjc8113cVrV3nEeU5Q3fPI1GSUnx7+Wd3zl1ECukKhUCgUMxxNPP8r&#10;jh3dJx7AjFiqxPPnkEDMIvFkhWKDAQazGcbQMBhDrDCGiYdiJhymyFiYY+Jhjo5DaHI6wjNzBTmI&#10;yM5H3IoqxJWvQlxZLeIrViN5/W6kbGlEyuaG52Q07EN2x2Fktx9yAfF7bYeQtqMdKZvqtWOKz/jK&#10;1XzO2BWV3A5bRjYscYnc1mBbOIzWUAQFB0MfJPonwA/+fstfiOuBgfI+mAGQI53qpNOfs7LScOb0&#10;AL768mNx/3zN99C0caSzE+07PDnXgxbTfDQHz5cKR65CwtaWqHAE5h/E3JIRqRimUCgUzrKg6LxY&#10;Uy4jOKcHWyLD0Wme6/m66GbNiX5sRYwS0RXTGs2F/g2GLx6GwahHsNkFR+lk4FjnQKStXYsainFX&#10;4tmMofrqPXZmpa5Zwy+bPSGik3BLL8gzVxSh+/YtDH4yu1x2UwHXRn/yBPtGH2BtWwuiE2LF2qGb&#10;cKTwy9CcICE9xGZBck01So+fYRFdlXRQKBQzDUe987XX7qKd6p0/moB4/ulT7D52hJ3kExWDWTwP&#10;s2B9Rxv6Hz/GAYHs+DMS0We00au2sU77fvHAcwd911kjQlG0d7/4vhqVjrUDJaArFAqFQjGDeWZ3&#10;nh8/RuJ5MJb7+/9MNJxJ6Ai9nutc++u0WtfLxDUv9/OHH4nA/iQGL4P/8qWCZdAbgmAMCWGXtux4&#10;E0Kcj5zjpvBwRGRkI2X9TmS3DiCzvheZDb3I7TmB/P1nkd8noM/Xcu7nHHADPzuu7Nxnkbv3JLKa&#10;+pC+qx3J63YgvnItogrLEJaRhxAS2G3hMJiCESD6UhPVZ6agTnOH541/AFJSEtG3rxW//c0oCyvk&#10;SJfda76D9gL9q6dX0JukQ5Nhrlw0cpEO0xzssQXCltuJ+cXDWFh0TiqEKRQKhSvQmkKR7v4FR1Ab&#10;l8mlItrN7t0E9DPsNdGPlkTZRfRvlIiumJaQC/2v33yKyspi+Af6S18YehKK+A6NtGHFwGHlQp9h&#10;cH3r4etIWFHCIjptmJDNgclAIjq58krWr0Hv/Xua+0z2Yl3hVqifyfXfMnwBBaurxdhq9XZlY/Qm&#10;qJYsp1EkxCJ7dx0qz19Fzc0xtaFGoVDMCEg8p5rnVO+85+Hr650zjx6xc7zh9CnEpSVNeG0lcdcY&#10;HMgC8sDHn+DA49n1fXjo00+xfbAfVlsIbySQ9dFkMFGpI/F9lbVjJ2rE8w0lp8jG24ES0BUKhUKh&#10;mKFQ7DS9BD553CGeB0jFwumEJo47BHIdO4bpupb5+WPpcj/mg6XLxIOpAeE2K1ISY1GQm4HcvBxk&#10;lJQgIqcY0SXViKveiPhVW5FQtRbWuHgEBZvYRS4750QhIVkv+jk8Mw/puztRMDiM/P4LyOs7Kzjz&#10;ava9zGkvYT+fpD2aaH+e214wcFFcxwgKDpxDdttBZIjrStlcz/0XmbcSoQnJMFjM0JGQzmK6Fv0+&#10;aUe/j0DzjYT0JUuXs5De29uMP/5+TNxXJKR/7ZOOdGrXf/75W5xdm4WGwLfkYpGLtJvnosX6PuIz&#10;92BeySUlnisUCo8xr/gilhQNoTSxGO2WhZ4X0QUNuv9hJ/rfvqR1XonoiukJJdCcOzvIjh2jBxw7&#10;b4LE1fiSIlRfvoVqVQt5RlFz7QHKjp9BVFoKu41l4z9ZHCJ6xc5tGPj4o9nluJtiHNH5m/f1IiEj&#10;RYyDa250gkR0k0mPuPw8FHb3cjRuDcXjKiFdoVBMU8h1Xn35DnbfeYC+N9U7J1g8f4KGM86L50TZ&#10;1k3YNzo6yzaTaX3WdFY8ayTEuLyZ63XQc0awIQBJ5WWouiSeVSeQlKIEdIVCoVAoZiCaeP4XFs+D&#10;g41Y5jf9xHOHk3x5QAAL48v8/NhRTn9Pjm9ziAXxCbEoKc7DxnVV6GrfgxNHe3Hv3gjuCI5cOIPd&#10;g8dQs+8IKvYdQ+mBIeT1nkLhwDCKDl9F+vZmhKVmcI1xd7mouc3+fjCKtsVVrGH3eUH/+XHi9TTE&#10;IayTqD44jMKDl5Av/j67bRDpdd1IWr8L0QUrYY2NQ5DJpNVW51rvM8ehvmT5cp6HKSlJ6O5qxJf/&#10;+5gFFnJ7+YqQrsW3/gWjg7vRHDwPLSb3RR+3meejw7IQOSmrML9kmKOWZaKXQqFQuIt5xRfwTvE5&#10;ZKauQWvIu+gwz5OuT+6kPuB/cHZdNn74/le8nsrWWoXCl6HSTf/4+29QUVEknqOnwIVuDoIl1IT8&#10;1g7U3hqTvohUTF9qbo6ipP8wbLHRMHnAFUaQcBBiNWFVcwNHuFJ0rfxFu8Ld0IaFg59+ivarV1C2&#10;ZRPCIkK5NrpL8bm0GSIoANZwK5Jra7Dy8AkW0V9XZ1ahUCh8DY5sv3Qba67eRfP9hzjwhsh2xiGe&#10;nz6F+PRkBIm1ULpOjoPWWtoAWbZ1I/oePkS/+A6UHn+GMvj0KTquXUVyTgaCPCCeE8HiuNEZaSg/&#10;c+mN0e0OlICuUCgUCsUM49mPJJ7/FUMnD7DznIRnmSDoi5C7nGLm31+ylJ3kJMRaw0KRlJKI0tJC&#10;bNm0Gv19rbh65SS++uIx/u9vv8IPf/81vv32c3z5zW/w4NdPcPDeh9h67gaqj11GyeAwcvafQ07f&#10;OeSKTxJ/SfSNzCtBkNEAHdX1FueQtWUykHAcqA9EeEYOO7cLyIk+XpSe7lAk/YHzmkudNgn0nkJu&#10;1zFk1PcioXoDwtIyERwWDr3RCJ2/n1ZDXfSJrL+mCzQ/SUjnaPfkBJw8cYCjUklkISFddj96E+Bb&#10;/O+jC9gb54emoDlSccg1FnIt4pq4TLxXdIZFLZnYpVAoFO6GnOgLBUkZ29AQ6odOkzvXtp9DG48a&#10;9W/jwpYi/Of/fivW1W/E+vqnn623CoUvQ/8OuHLpOELDLDC66CCdDORCj85IRfmpC1wHWfYyUjFN&#10;uXIHNTcfIr+9m2uzUt172RyYLBTZarGasKG7E4c++0w50b0MudGpz+tOnUBGSSGL4S7HupObUswT&#10;W2wUsnbuRvm5SzyHVH10hULh63Bku2DzzfvomkC9c4JqnpMQ3HB6CPFpSZp4LtZQ2fr4Mo4EltLN&#10;G9D3cJQ3kMmOP1Oh69175zZyylfyxi1ZH00WSkcJiwpHyYGD/D0kG3MZSkBXKBQKhWIG4RDPb14/&#10;jfAIG5Ys933xnFzm5Ox99/0P4OcfgKioCJSUFGDnzo0YPNCOOzfP4R9/p5fYVM+dru/Pgm/w3/9+&#10;iT/89Xe49vQjdFBM5KGLyN13Btl7h5DZc4o/c3s1sTe/7wwKBoaRtqMV1rgE6HT+HndGkzBPAn1I&#10;bDyyGvuQP3Dx5yL0TIJrvFP8u1ZjnVzrVAs+cfUWROSVwBIdyzXnqX46udNlfTZdoDlL0e6UiJCb&#10;k4Hz5w7hH3/7jZiX306ZGx3P/ox///M3WnS77hdc01cmDrlCh3kutkeGwpA/yGKWTORSKBQKT8F1&#10;0UsuISKrEfU2HTpNb0vXKnfREjwfTYY5uN66Cv/5QUv2kK27CoWvwklUgtWrysSzl2deQr4WjsfU&#10;IXPrdhXbPBO5cpfHNXvXHljEeFPqgHQeTBIS0W2RYdiyfx87+UiUkL10V3gGEtBJSKd69GvbmhGb&#10;nMBCkEux7mJNICGd5kpUeiry2rpQeeEqaiilQq0PCoXCByHXec2V29h9ZxT7KLJdsk7+jOfi+SkW&#10;zw0TdJ6TeE6blHIrSrH37t3nJTVmC/R9Q87+FRvW8iYC6g9ZP00KswEWazCy6xq0JBQnvnuUgK5Q&#10;KBQKxQzh2Y/kOPkLRu8NIyYm2mfF8+fR7P4B7DQ3GI0sQjY17cDQUD/GHozg79//WlzLdyxIau7e&#10;rzV+/AKf/+9nuCgerpovXkdZ/zmkdZ1CxkuCee7PhN0zLOomrtkGoyWEndCydnkEulYS0WPikNXU&#10;x27tn7RtxuKop34W+QNa7Ht2az+SN+xGZMFKmGwR3C8BXDd9+tZMp7lMmz/oGmprSnH75ln7XPVu&#10;rPuzZyTw/BkfHm3k6PZmN0a3t5vnoSlsGSKzWzCvZFgqbikUCoWncYjotuw2bI+0et6JHjxfrKdz&#10;cbdvq1hnvxLr7Nc/W3sVCl+GngtG719ESKjJtfjlSUJiWVhsJFYeOalc6DMQqm9fffUu0tet4yh3&#10;j7zsFtCL9PBoG+pOnmBRgsQJ2ct3heegCP2Dou/bLl1icSPUFsJCj0tjLn6H3OgUURxfVIiivQfE&#10;XLqDmutijVBCukKh8BFIPF977S6a742y4/yNke3ES7HtcalU83yC4rlYD41GHbLLStBz5zYfQ3r8&#10;GQptjiP3+ermBu4LlzZpvQn67hF9nLp6tXh2ucfPL7JxfxVKQFcoFAqFYoZAQvNvf30f6ekpWvy5&#10;RPCbSvx1Oizz01y7QUYjcnIysLerEQ9HR/DFnz60C49/E/zV/mdyz3zBovmfv/stRh6NoeHCNVQd&#10;PI+M7lNI7TrJorlcwLVDAu6Bc0io2Qi9aINOnFvWNk9DddFDYuKR1bSf64hL2zrDoXHg2ul9Z5DZ&#10;0Iuk9bsRnpmHIJOZBegX9dKnn5hOG0LeF/dciDUEdXVb8PvfPRTzlzZ+fCW9V90NbTT55rd30JsQ&#10;gEY3Rre3mRegXXzmpK7BgmKqe35OKmwpFAqFN3CI6Oa8fZyK0cVOdPelbYyn2TgPbdZF+GioXayz&#10;f8azZ19K12CFwhehZ+l///AHrF1TAd0EHVDuhl5WJpWXo/rKbadfVip8n+pr91Bx/jISVpZwLOpE&#10;ImpdgUT0ePHv24YzQxiYZcKCL8EpAI8fYdeRQ8goKWCRg1ICXBHS6XcopSI0PBTJ1dVYefQUz6dq&#10;JaQrFIophOLa6XPzjfvoekiR7Y8mJJ5zbLtYI/ccP4q4tMSJO89ZPA9k8bz79i1xjKfYPzYmPceM&#10;RPQbbdCipBlrqEV8p3goul08j8YV5KPy3GXte+alMZ8ISkBXKBQKhWIGQC92//b951wnnMRznV4u&#10;9E0F5DSnNpFonpaegubGHfj48TV8++1nLI4/d5mTWM5O2q/YTf/t33+Psd98gq5LN1F96ALye0+z&#10;2zyzZ+jnLnMZ+8/xZ2xpDfQG/ZTHhmtOdE1EL+ifLU50CeRM77/AdeFze04gU/RHXOUahMQlIMhk&#10;4k0OnBIwDV3pFOu+dJkf4hNicfxYL/7v/34v5vM37BCX3bfugO6X//7rj7i4rQgNgW9JRSDXWMji&#10;1Kq4NLxffAbzi1Tdc4VCMfVoIvoIzHl9dhGd1j3PiehN+jnojl6GP42eFuvtX6XrsELhq9AzyONH&#10;VxAVFQYDCZySl4qehF4MW0LNKOjoQc2NUelLScX0hsa1bOgCYrKzWBCVzYNJYzEiSO+PxMw0tI5c&#10;1AQG2Yt4hcehmF0SiXrv3cPa9jZEJcay+MMbKGRj9wbo97gmbUwEMrZsRdnJc1wbXa0XCoXC25Rz&#10;ZPsd1N0ZRd8YieLydXA8tC4efPopi8ARsRGc0DGRDWW0kcjhPGfxnFJWJMefsTx6hEOffobdx45y&#10;uRbakCXrp8lC4nl4YhxWHjru8neLEtAVCoVCoZjmkPj8ww9/wKaNtViydDkCAn1DePTT6fDeB0sQ&#10;GmpFdfVKnDk9gL//jaLZqZY51TEX2N1oXiA5AAD/9ElEQVRcgCac/+tff8SvvvgVTtx7gI3Hh5Hb&#10;O4Qse03zHPFnqSArwx7bzs5zQxB0gb5Rc5uE4dCkVOR2HRPtOy9v+yyCI95FP3DN9N5TSN3SgIic&#10;Io54DwycnkI63X+UtBAg5v+aNZX47OltMbe1VIXx9647oGN/fmWAhZ7m4Pk/E39cpdM8FzsjgmHI&#10;O4C5xSq6XaFQ+A4LBXOLSUTfh+1RnhfRaXNSf0Ywvvn1TV5zZWuxQuGL4NlX+M+/v0Ddnk3w1/lJ&#10;Xyx6Goprjs5MR8WZERbGZC8mFdObmlsPsfLIKUQkxiPY6KGa+ySiBwUgc0UhOq9fx+Anyok+lfR/&#10;9BGPQeulSyjeuB7WyDAYgvxdjnU3mfSMLT4a2bvrUS7Wi1qqj371nnTOKRQKhbsg13nlpdtYf/0e&#10;2u4/nHhku4DE80OffcbiOYvAE/wOpLWShPas0hL0sPN89n2n0YaBpnNnEZuSAKOHNuDR94o13IqC&#10;zr2T2pilBHSFQqFQKKYx/GLsP1+iu7MB/gE6+OsoAlsu7HkLagM5zoPNJmzftg53b1/Es/+Q0PeN&#10;gNzlX7DDnGu22x3nFNF+48kjdFy6geL9Z5HWfYqFcxLNJ+Q2f5m+M1xrPKFmE4JYPJ/6PnFANbN1&#10;On9E5ZewYMzCsewaZhtizPL6ziK//zxvfKCI9/jqDbDGJyFQH4gAf3/uO1mf+iokpH+wbBliY6Nx&#10;7EgvfmA3+l/wTHIfuwrdOz98/xkOF0agUU9RxnLxx1nazfPRGrIYiRk78HbJZamApVAoFFMNbe4x&#10;5fdhY3Q0Oj0c594Q+AscK4vD3//8sVh7v5WuyQqFL0Lz9dGHlxETGwG9wUPi5mswWQwwBQcifeMm&#10;Ved4BlN78yFK+gYRFmXzmIjOggOJ6CWF6Lx2lWumyl7KK7wE1a396GMWQbYdPYq0inLx73+DNv4u&#10;CukUC0819aMy0pDT0Iyq4RuoEXNLrRsKhcITVNCnWF+237qP3rExDEzQdU6QeN7/8UdY19EGW2To&#10;hB3UtE7Sd1l22Qr03J59Nc8J2oDVfuUKUnKzYDDqYJL002ThDV3iGTRr1x5NPJ/E94gS0BUKhUKh&#10;mKaQe5tc3GeH+hFkMHBtcZmQ5y20Gud+4h++JmzZvAYfjl3W2onvnjvNX4jmmoj+u68+x5E797Hh&#10;+Ahy9w4hpeukc05zCQUDF5CypQGGYBMCdFPbJzI0QT+Q3fEF5EIn8VhyHbMXing/j8LBYWS3HxRj&#10;2YiI7ALojUatTjpF8U8jMX3pcj/e3LJ6VYW9Nvq3z++HyQJ8jwcDu9FsmIcW0wKp6OM8C9l9Xp2Q&#10;jXeKz6m65wqFwqehmuiG/AFsiwzzaE30FvNCNOrfwoUt+fiB03T+Il2XFQpfgzau/vc/X6G1ZQeC&#10;jIGuOUQnCQlqYTHhKBk8ykKr7OWkYppz5Q5qrt1DQXsXrBGhLILK5sKkIRFd74+Cmkr0PXyI/o+U&#10;iD7VUO3fg59+is77oyjt6kFkZobmKKc54OJ6w+UAzEGILchDflsnqkZu8gac6qt35fNPoVAonIBc&#10;5ySerxFrStO9h7yW9TshnlMKB1HbWMcbBSfqPOdNQmYDVm5ch+47dvF8NtU8Fwx88gTdN28ic2Ux&#10;u/A98lwqjkmbN1NXrUY1CeeT/O5QArpCoVAoFNMUcnQ/fDCCqKgIjoyWiXfegJzBHyxbDr34c1lp&#10;IcZGR/CvH/6kCYX4itvKwjlI8P8C//y/P+Lxb8VD06WbKB88j6yeIaR3OxnR/gqotnZm4z6YI6PY&#10;tSxrry9Awr4xJATpe7pmdz30N0Dx7pQmkLv3pOirbkQXlsJkC+dI/gB/v2njSqdyBh8sXY7k5ARc&#10;uzoESo6gzS8//vdPP7mnnYE2pnz15Cr2JQW61X3eQdHt4cHQ5Q9gnopuVygUPg7VRCcnOsW5b+Oa&#10;6B4U0U0L0GSYg9s9G1mUfOamzVAKhaehZ47//eOH4jkkDnoPxWS+CRLE4lcUoXL4OqqvqVjmGcnV&#10;u6i5fh9ZO3bAYjWxSCCbC5OFjksiRMn6tegbe6ic6D7CwEcfofejJ9gwcg0ZO3fDFh/DJRxcrY/O&#10;42zUISTMgtj8PBTt3Y+qSzfZSVitot0VCoWLVFzSBPStN++he3QM/WL9mmhkOzHwySfovXcPKzet&#10;F+tUEH8fydaw8TjE87Ktm3gDmFaKZHaJ57TpYN/9Byheu8pz4rkg2BCA2LwcVJwdQTWlH42bA86i&#10;BHSFQqFQKKYdJE7/FV9+8Rh5eVlYsmw5dHq5cOdpKK59ybJlLAyeOrEf//0Pte0vAq3eM8VVa8L5&#10;l/jmb7/HrU8fY8fpKyjoO83COdU2z+2Vi6fOQtHfed0nYEvLhr/fcml7fQmuh56QgpzOI8jfL9ou&#10;uSaFxota6eeQ3TqAmBVVsETH2ePd/UR/+r6QTmI/udFNFhN6uhrx97//lu/jn9/fb+bZs6/w339/&#10;gWtNNagP+B+0muVij7O0meejPWQxkjJ3YF7xCAtTMsFKoVAofAlNRNdqor8Q0eXr3GRpNs5Dh+0d&#10;fDbc5/IarlB4G9rwQSJ6d2fdlLnQ+ZxmA3Kb27Qod8kLSsX0hxzC5PbK2LQJwcE6j4nojqjwkg1r&#10;sJ+c6EpE9wn6Hz3C/o8+xs77j7DyxDkk19YiLCYSwUEBME1QZBoPC1RirC1hZiSVl6Oob0DMtVta&#10;jfQrypGuUCgmBrvOL93C6qt30HB31L5mydeyV3Hw6afounEd+bVV7DqfqHhO8e7085p4PjorN36R&#10;eE6JJaWb1mt956nnA3HsiKQErDh0XCsB8tIccBUloCsUCoVCMc3Asz/j++9+i7VrKu3i+dSIh8v8&#10;/Tmamuqc/+H3H8JR45za+LJw/uU3v8H5D8ew5eSl56K5S7XNX0ffGeTvP4O48tUIDNRNC2cytZEi&#10;yWNWVttroaso9zfC43yWXek5HYc5Bj8kNpH7kTYkTIdodyq1QIkRq1dX4H//RLV0/8ovtsff56+D&#10;0h3+NHYW7aGL0Rzsvuh2Ep0q4im6/SzmF5+XClUKBYmVMuYXX8C84osMOYJJ0NQ+HYxw3PZ4fvoz&#10;GtpxtOPRcWXncyBro2J24hDRt0eGotM0R7LOuYfGoLexLzEQX316VazH30nXaYXC16DNrV/+7yNk&#10;ZqawiC576ehpSEALT4hF2cnzyoU+g6ENEpUXryGpsoLHnOJtZfNhspA4Ty/hS7dsfB6nK3tpr/Au&#10;7OR89Ai7742h9sYoivsPi7lQCWu4lZMoXN3Aw4508ftWEtIrKlDUe4A3bNTceKBqpCsUiteiiee3&#10;sfnGPXSS6/yRc65zgkpVNJw5jbTCXAQ5sZaReG4NNaOmYQ/6Rh9g4ONPpMefyZBwTikltY31sFi1&#10;TXCyvposwSY9wqJs4vuhX9tkNW4euIoS0BUKhUKhmEZQ7eRnP37FDtalfn7w53racqHOU5Dwu2T5&#10;ckRFReL40X3497/opdw3+JFi2tnhIhDt/NNffo2Dt+5i7bFhZHYPIYPc5jJR1A2QOzljdxcMFou9&#10;xri87ROBhW0S4ZlA7VOn/dndAi0dl9qcvqON4+dl1zbjsYvi5C6nFIHn0H87+NnfaY70gsFh5LQd&#10;ROKabQhLSuXxoXj8yc4BTxMQqMf7S5YiJzcDYw+viHvmzwJt88mbwLOv8Z8ffo/zm/LQEPiWVNxx&#10;Bap73mALgDl3L94uuSQVpxSzBxKmFxSdx4Li8yxgz2ch+6L47wsvcR4LCfo5QXDeftjyepiErD1I&#10;Sd+KlIztz0lL24y85ArkJ5cJyvkzO6X2Jz+TkrGNP6NyWhGa14swcSx9wSHMF8en8/D5BHTul9vi&#10;aB+11dE2apMS2Gcfc0tGEJLbg93hRrGueU5Ep/X3WGksvv/ikfYMJFmvFQpf4tkzej7/M04e3yee&#10;RTwXm/laxDnp5WZyTa1Wk1KJXjOW6hujqLxwFXEFeVo9aw/NN4fDvaZ+Nzv6lIjuGxx4pDk7G+6N&#10;YtVNMRfEvV7Usx/xhQWwiPGiaHdX0wl440SQP6zhoUgoK0Xxvn5eT6qv31c10hUKxU9wCOerrt5B&#10;/d1R7BPrk7Ou8wOPP+K49R2HDiI6MQZBQQFiLXJCPA+zYH1nuzjGJ7PyO4rEc9p8sLq58flzoKyv&#10;Jgt9N5A4n9vYoiUdXZHPCVdQArpCoVAoFNMIcjrduXVWPIgFY3lAwM+EOU8TEBiID5YuQ15uJj4c&#10;I+GPXOdfA44a5z9+gf/95tc4dEv84/XgeWR2n+L65p4Szpk+cm4PwZaapbmQJe2eKCSWkwhriYlH&#10;VH4JYopKEZ6RA1N4BPSiz0nwpnO40+FOtdpDUzKQ232CRWLpNc4kSDAn8bv/guC8+Lsh5PacQE7X&#10;UWR3HBYcQUZdD1I2NyBlUz1StzQis3E//z39f/o5+vl8cRw6RuGhyyg8eEn03zHxO/WwJqZCbzBo&#10;4+TDQjrNIbqXoqMjMXTyACZUF503qHyDz68NojVEq8crE3acpc28AB2WhchLqcaCYlX3fLZBIjMJ&#10;1JpzXHOJLxR/fkf8v/cKT+GDgmNYkn8EobndSMnchbzU1ViRtBLVcRlYHZOATREWbA43YXeYDvVh&#10;/kxz6BK0Wt9Dy3PeF3P2XTHPFqDzJdppHv/k5zQaQ5ehLiyAj7XLpsemcDOfg85XG5uC8oRcFCZX&#10;IidtHZKzdiNEtO0D0UZq6/uFJ/Bu4RAW0/UVX8Bccrnbne7saFfC+oyGxpbmcER2MxrE/Okwz5Wu&#10;e5OlxbwQ9bpf4Gp9BX7k8jVa6RqFwpehMkt//uoTlBTniOcQegEsfwnpSciRHBJqQUFHF2pujkpf&#10;VCpmBvQCu+zUecTkZHEta9l8cAcUoUsvzWsb6jjKXYnovgG5O0lIbyERnRInaFPFxWso6NyLqIx0&#10;TUgxul5Sgsad6txaI0KRsHIFSvYftNdIf6BqpCsUChbO6XMTu84faq5zJ8Vzqne+f2wM69pbYYuy&#10;cd1u2Xr0M8S6Rj8bGRuFLfv38ffSgcePpeeYydA1U+w99UFoeAgMHkpAou+R4GA9MrduQw1937h5&#10;M5US0BUKhUKhmCaQcPa73zxAUnICu89lopwnIbf7cn9/1NaU4qsvKHr6G3aas3AuPv/451/j2N37&#10;KB8496K+uUxAdTMF/ReRtHY7i6aTEUwpBtxgNiG+ej1ye47bjz+EPIqb7z6G1K1NiMwrhiki6nnt&#10;bXcI6XwMcbyEVZtRMEAu9JkZ5U7O8YLBEd4kkN12kEXy5I11iCmphC01EyGxcTCEhCDIZII+WGA0&#10;PidI/Df9fXBoKKyx8QhPy+K4/pQtjcio34uc9oMoHLiIwsNX+FwpG3drQrroX66R7sYND+6G6qLT&#10;hph9vc34z3/ofnq1k/GZuM/++8PvcbIqCY36t9FqXigVdpylwzwPWyPDsLTwJDt4ZaKUYmZBEf1z&#10;ikfwdskVzC+5hA+KTiMg/xAMub0IzmpHWtpGlCeVYG1sErZHWFAXugzNIe+gNWQx2sScabcsFPNm&#10;PjrF3CGXb5dpDguV7eK/NeZzTf2fIX7vJ5gX/PxnBHQMmpcac/n4BJ2PzktCfLtoR5tlEbepOeRd&#10;NFrfw47wYGyOisTquHSUJq1AZtoGWLOaYMzpgj5vP18jXesCcc1vlVy1R8iP2EV1eV8pph8OET0m&#10;sx4toUvQ4aE4dyqh0RI8D5+c7RJr93e8yUm2disUvgTN1eELYr036mH0UITmmzAadIjOSkfFuUta&#10;/LLkZaViZkDju/LwSUQkxWtOdMl8cAfk8rNYTahtrON4XCWi+wYkovcL2u4/xNprd1F59R6qxZwg&#10;IT2nrgGRGWkwmfST2mDBvy/GPyTMgsSyMhRTjfRLWo10JaQrFLMPh+t89dW7nILRR2uRk8I5cfDp&#10;U/TcuYPSzRs4OYO+Z2Rr0HhIzCXxPDohBruOHubjzErx/NFjDIprJ/HcFhU24f5zFhbPjQFIqihH&#10;1ch1TiORzYvJoAR0hUKhUCimARTb/N1ff4XysmKuey4T4jyJvy4Qy5b7Yce2dfi/f/xBE89Bjtkv&#10;8fuvP8fRu/dQOXie3ebZe4eQ2ysXUd3O/nNcCzskNl4TSiVtnwjkLDdaLEjeuIvra5PYy852huLF&#10;7ZHh/ReQ3TqAuMp1CE0igVbPDvLJCrQUO26OiERW8wE+h/RapyUUz07C+TByOo+w4E01360JSTCY&#10;zdCRS5wi1zki3xGZb0f/Ei//vSNSn+ue06YHM0ITkhGzopqPT5sdio5eQ744P0W7v6iR7v3Ehomy&#10;3D9A3GM67Nm9Cd9/91txX/0Fz36UrAP4Dp9d3o/20HfQbJwvFXScpc2yQPBLxGXuwXzlPp9RkIj4&#10;MuS+nlMywsLx0qJTCM3pRFTGHmSm1KA2PhPbosLtjt0FHOnvELBJDNcgsZvmiyZ+U918Dfnc8gwv&#10;zqu1Q2sTte1FO+c/bzuJ7wS52veEG8U1RqAmPgt5SRWIS9uMiKxGWHO64Fd4EvNKLvOGAhLUqa8c&#10;EfCErH8Vvs0CGjsxjumpG9AS8i5vzJDPqcnRZJyHntjl+N/HF/jZaPy6rVD4GvRvim+/+RyrakvF&#10;M5Y/TJKXkZ6GXnaajDqkb9rkEaeQwoegaO0bD7Bi4DDCE+PYMSybE+6Anejis7ZhD7sGlYjuO5CI&#10;3jU6xiJ6hZgXFLVee+shb6Ihx2BkcgKL6K5H+4o1xWzgY4RQjfTKChR09aLq4jXU3HyoykUoFLME&#10;Es5JQN968x66H7pW63y/PXK8ZfgiMlcUwWgM5O8X+drzU+j5hiLek3My0XTurOZgF8eTnmdGI/rw&#10;6VPsPHKInfvUh7L+mjTsPA9EbEEeyk8Pe2xTphLQFQqFQqHwcZ5xbPNf0d3ZwG5VilGXiXCegsRz&#10;P39/7NqxHv/6J8WU/hU//OuP+PQPn+Lw7buoOXQBqZ0nkbV3SCKgehYSuxOqNyIwMMBlEZtEWRLC&#10;ycVeMHjRHgkvPx9BDuqCgWGOEk/euAdhSWnsIKfjyI4/UXQBAYhdUcnR5ITs3NMGugZ73fKsxj7E&#10;lq2CNSEFQUYjAvyWu7FOOdWrD+Tj+S9fBkNwMEISUxBfuRY5HYdQdPgycsU4JazaAktM3HPx3Rcd&#10;6ZTwQHXR162twvff/ZpF9J+sA8++wr/+/lucqk1Dg+4XUiHHFTpNc1Abl85x1+TClQlRiukDib1a&#10;TfCf1gdfKD6teb1IS9+EovhCrI+KRr0tEO0h76Db9Ba6BJqDXHOJy+bKdMXhdNdc7XPFnH8bPcH/&#10;gy7x3+ROrrfpsTE6GmWxGchLLEVSxnaE5e3FB0VDmFc8/Lw/n/epioCfNiwoJhF9GLkpNWLsaW67&#10;p+zFeCgR5GhJNP7x9WOxdlMpjp8+xykUvgU9y3+H27fOwBZuRZCHHEFvgqPcwywo2tunvfBUAtfM&#10;RYxtza0xFPbs47htiu2WzQl34IhzryER/eOPcUCJ6D4DCVkkaG28cY9FdJob1dfuofbmKMqOn0Hm&#10;9p28ycIk1iSTOcjluvkmi1YjndaXuMIC5Ld2oGrkBpcUYEe6WmsUihkHu84Fa67dReO9B8/XnPHr&#10;0JvgMiCPH2PrgT7EJMXCEBTAorhsrRlPsFmsPeL7Lad8JdquXGIRXnaO2cDgkyeoHzqJ2JQEz4nn&#10;AnqeiBTnKD1+Wtss9dKccCdKQFcoFAqFwqch8fw73Lg+JP4haeIIdZn45ilYrNfp2Hn+7fe/xa++&#10;+i0O3b6DTSdHUD6g1TjP6DklF1E9DDnCs9sGYY1N4HrXsva/Eb2eXdCxpTUoEMfL75t4DXKHkJ7b&#10;dQwJ1Rs0RzWJs7LzTAASgo0hIchs7ONrk53T52HhnPrxDLKa+hBdVIpgmw2BgTot8t4tovmrYTGd&#10;kgjE+YLDI3lcaXwKD47whoe48lUwhdlYSCfRXXaMqSQgUI+ly5Zj5coC/PY3D8S9/83zSGDge3af&#10;t4UsQnOwe5yUJChSrWprTifmlYxIBSjF9IAEXarxTSkCQfmDyErfgJrYVKyPtGF9hA0bIkJRF6YT&#10;8+dd9JjeZsGcxp+EZdncmB0s5A0D7WaKiH9L9MsvNFHd+j7qRV9tCbegNiYRRckVSMiqg3/+Ibxb&#10;eArvFJ1hZ/Nccc84nOqyMVH4BvOLLuDd4rMoSyhAt5j7ntggQvXQaWPT1YYqsVZ/DTz7atyznELh&#10;W9Dm3P/+53+xZfMq6IN0E3457G7ILRqTk42KC1dZSJO9tFTMEMiJfu0+8ts6WEQnkVQ2J9yB8bkT&#10;neLcVU10X4IErb1jH2LTjfuotDtFaX7U3BjVauafPIesbTtgi4/hOULOQpeFdHMQjIYAhISaEZuf&#10;i9z6RrHWXOF4XzqfEtIViukPrSG0ltSI+3nH7fvoeTiGARdc5wcePcLAJ0/Qe/8eyrdt5nVjwvXO&#10;BRRPThsDV2xYi7137nB0uew8Mx3qRxLPG06fQnxaMoI8mTpjDIQtNgol/Yc95jx3oAR0hUKhUCh8&#10;GHKh/vpX95CSnIAly7xb95xqc+sDA1FSVYVDN25jx7nrKOg7g5y9QxzVTo5zb9Q4fxXkPk9avws6&#10;HUWoy6/h9ZB47ofwzDyuc06CuOw8b4KFdHsd9qBgI4uz8vO9ARLzxe9GF5VxZPybnPC+BrWZ4uez&#10;Wg4gZkUljFbrC6Hay45vmru0qYIEdVNEBBJXb2VRv3BwmCP4owpLuX3eEPWdhUT09z5Ygvz8bPyO&#10;RfS/8jrww/e/wtCqNNQH/I9UwHGFbvPbKEkqwcKSYY47lolPCt+GXNFvl1zGL8UYLi04iqT0zdhj&#10;03ONcqoX3mWvT+6oUa4J5jPLYe5OSFzVIuDJqT6H+5BqrbeGvIP60GXYHBWBqsR8pGRshSGnBwH5&#10;g3i/6DTeXnFFjMMlFtRVLXXfg5IElhcew/rYBB5XT9wDFOXeGrIQn5zrwbNnLzY/KRS+Cj1bfPb0&#10;FqKibDAETyya1N1wlLvZgIwtW1BDNSuVoDWzuXqXxzl7dx0L3CQ2yOaFO1A10X0XinPvHfsQ22/e&#10;18Qvx/wQ9z+7xK/dRenRIaSsWoWw2EjeaDOZ1AKaZ44NG5FpKchtaELpqQs8F1W8u0IxfXHEtW+4&#10;fhft9x9i/yMXXefi+4FE38YzZ5BRUsBJJsFObPIioT0sIpTLh+wbfaDFtkvOM9Mh8Zxi2xtOD2ni&#10;eVCAyxug3gRtrrLarCho7/JKipES0BUKhUKh8FHIxfTvH36P1avK8cHSZVKxzVPo9EEI8PNDXH4x&#10;SvafQe7+8yyYe7W++Wsg0Tq3+zjCktNdrm3Ndccjo5DVvB/5k6073qeJxzEllVxvm8R52TnfBNdi&#10;DwlB+q52dsRLz+WDUP9RzXHaRGCOiuY+8ImodBLSuR2BCEvLQkZdDwoPXWaXfGZdFyKyChBkNGh1&#10;7GW/P0XQ/fe+uOfz8rLwu9+SiP5P/PbmUbSY56PF5B7HMIlIdbZAmPL2cc1nmeik8E3IbT6neBhz&#10;Sy7Dv/A4wrOakJ9cie1RVk3wfe4sV0K5O3gRAU/C+ov66q3Wd7EzIgTVCdlITN0gxqEZ+oJDmFdy&#10;iTc1aGK62pjiK1BCQ2D+ILZFhor7hER0+XhPhsagOehLCcRfPr/Bm59kz3YKha/w7NmX4vMLdHbs&#10;Fs8dnnMIvQl6SR0WHY6SA4dQ68H4TYVvQBHaVP86Y/MWTUQ3G6Tzwh28qImuRHRf48CjD9EnPnfc&#10;sjvRBc/nyRUtrYAE7pWHjyNl9Wp2GVIs+0TrEMugucZiujEQEYmxyNi2HSsGj2lCunKkKxTTCopr&#10;Xy2+S/bceYB9Y9rGHKdrnQtION8/9hDr2lsRlRDjVGQ7/RyJxDFJcdjWvx+Dn2jx77LzzHjYwf8x&#10;6odOIT49iftR1mfuQNt8Z0TOnnpev+mZQjZH3IkS0BUKhUKh8EHwjKLbv8HAgTYs9/P3bt1zckIH&#10;+LM4nd15FHn9F6bUaS6DBND0nZ3QGwwuibTkOtYbDUjesIud7LJzOEv+/nPIbj8ES0ysJh5LzjsR&#10;2BWfna+50Pf5uAu974zmOm/ej4icQujtzm/ZdU0p1C5/PwSH2ZC4Zjvy+8+jYHCYRf+UzfVcn91n&#10;RP+XoI0zBUV5+NUn13F5WxHX2ZWJNs7SZl6ILvNcrEgsxoKSEeWYnQZQTDjV3yYn7TvF5xCe04GC&#10;xJXYFB2FVuv76Db9gqPIlWjuLV7UVe+imuqmt7ie+tYoG1bE5yI9dR3Cc7s4OlyL1r+o6qf7AJQS&#10;EJbdjvqwAG0ThHRsJ0ej/i2c25CL//zrD7wRUvaMp1D4CvRvjT/+4SFSU+PFM7XnalS+CXKYUsRy&#10;xfnLHK8se3mpmDlQXD+RvnEzzCRqelpEp5ro9Vqc+4HHSkT3FcgpSiI6CWDVYl78RERnNEc6seLg&#10;UaStW8+bbWi9YCF8Es5Gk0mPYEMAC/MptatQvK8f1Q4HPIkxSkxXKHwSEs7pc9ut++gcHeN1xBXh&#10;/MDjxyyet10aQUFtFa8plFwiWy9kUL1zcp6nFeai8exprndODmzZuWYD5LrvuHoFSVlpCDL4S/vM&#10;HbB4Lvo+feNGXrO9IZ4TSkBXKBQKhcIHIefS7ZtnYLWGYLmLDmtXIQE0LCUdOR2HWWiUCqdTCUWb&#10;953lqHNXheoAnT8ic4vE8YbcGpVOYnLS+p1cg9tVIVYnxjs4NAwZe7om74z3II7I9pQtjew6D/Bf&#10;7nNx6ONhcV+MS8zKauT1nET+wEXeQJFDdexrNsJkC9eEdFdj+D3AMn8d0hOjUWf7AB1uqldNwtFu&#10;WxCC8w5gXvEFqdCkmHpIaCUXM9U1/2XxWejyB5GXugrroyLRGLqcN0FQ7e42s3tq4ismB41Dp+lt&#10;3szQEbIIDWEB2BAZjpUJxYjPqsN7BSewmOunaxshKH5fbV7xLtTfdD+lp29GW8g7nCogG8vJQCkh&#10;zca5eHioTjzL/ZlrTcue8xQKn0DMz2c//hUnjvdOaS10jnI36ZGxaTNqqBa6l16IKqYO2ihBomly&#10;dTVMwYEeFdGNYm5xnLuqie5zkBOdxK/6u5qI7hDHfgIJ2zdHOb1gxaHjnF4QnhjLc4ZifCezblEC&#10;BgnpoZE2xBcXchxw5fANPheJ6VVX1FqkUPgCjnIP68QzQvO9h7x+uBLXzsL5J5+g7+FDbNrbjbjU&#10;RBbCnfkOYqFdrDtFa2rRef2aVu98lovnndeuIbOkEEauG++hZ0l6VhR9n1xdhaqRm5xUIpsrnkAJ&#10;6AqFQqFQ+BjkBvniT4+RmZXu9ej2gAA/WGLikN1+kMVRmXA61ZBwm9N9HKaISBY7ZdfxOkjkDbZa&#10;kdmwz+3XSM74nK6jCEtKm5QTm9zS0SWV7Gr3RRc6tYtqisdXrUNQcLC4Vu/XOXcVFscF4Vl5yGk/&#10;xHOAxq3gwDlktfQjMqdIuyYxBr5wTRTnvtQ/ADFBy7HHshgdk3QYUxw1xVAXplSzkKTcsL4H1aOf&#10;UzKC+SXDWF5wBFHZTaiNy0Bd6DIxflr8PtXoVm5z34Xc6TRGXHvesgAtIe9gV5gONfHZSMvYiqDc&#10;PrxfNMRx73MEJKbL5oLC/VAKAKU4rEgu5ZIHtCbKxnAyNBnmYm+sH77+5JJ4pvtOPNv96WfPegqF&#10;r0AbPb776+coKyuAf6Cf/KWlFyBXkTU8BEX7Blgsk73AVMwsyIVeNXwdSZWVmojuwQ0cWk10R5y7&#10;EtF9CRLQiaZ7o6i9epfrGsvmC4nZVOuWHIflQxeQuWUrwpPiYTbpNdFmMkK6OIYpWIeQUDOiMtOR&#10;U9+EspPn+Vw1tx56zeWoUCh+ConmtCY44tr3TiKundZ+KufRfP4ccivLeM0wGif+3UM/FxTkj/CY&#10;cKxpaUTf2BgfU3au2QK5+Luua+I5xdl77HtcHDdYrPMJJSWovHiNo9tl88VTKAFdoVAoFAofgl5i&#10;/fDDn7Bl82q8v2QpdF4U8EgwNEfFILN+LwuKvhofTuJt6uZ6FjmddjzryeHtj9iKNdo1utF97qBw&#10;cAQpmxu5trarTmZy1geHhmoiv5si5t0FueJze05qCQCBvuXWnjD6QN7gEJ6Rg5yOQ8/nAn3m950V&#10;49cAa0ISz5XJxPG7k+VBBsQGB2C3ZTE6JYLNRCHHZUPochjz9oNipWUCk2Jq0Gqbj2BxyUUen7TU&#10;ddgeZWPRnMRYGrs2i3tSCBTew1FDXaudrtVQpwSB1fHpSEnbBGt2B5YWncLbJVc47l1tavE8lOzw&#10;QeEprI5NRreZSmO4V0RvMS9Eg+4XOLMmCz/87Xd49kxFuSt8G+BbXLl8HNZQi3i+nniEqbshN2l0&#10;VjrKz45o4qrkJaZiZsEOsovXkVShieiTEUHfBLmNHTXRB5WI7nOQKNZy/yFWXb0jiXN/CYrtFesD&#10;OcTLTp1H+uYtiExL0WLZjZObQ4466bQWRSTEcipG8YGD4ry3UHv7QyWkKxRepOLSLfF5B9tu3kPX&#10;g4cuC+cUrX7os8/Qc/cOVjU2IDIuShPOnXCd088ajTokimeU3ceOYPCTJzgwy79DyHnedf06i+dc&#10;89yT399U6ic3mzdPcTqIZL54EiWgKxQKhULhIzx79iXw7GscOdyDAJ3Oq3XPyUFsDAlB+o42FAwM&#10;S4VTX4Ecw1GFpVpMuuRaXkeALgAmm403CXhMmO6j2uVDsGXkcKy5rB0TgTY0kMM7/4Dm9paey8uQ&#10;wJzTdhDh2QX2qHPfjmx/HbQ5hRIXwjNykdN1hPuZr1P0NdVHz+08gpiVNTBaLD7jsGcR3aiJ6B0S&#10;0WYiUL3mkqRS/LKYajGfl4pLCu9BYukCMRYknC4WnxE5bShPyEOdTY9O81wWzj3hkFVMJZqgTnHv&#10;FMPfFLYc62LikZVcDWtuj7g3L4j5MGKPeFf3qKegzSqB+QPYEW7mVAf5WLkORbk3Gebg4eAeAH/h&#10;ZzzZs59C4QuA5uePX2LjxhrxvKGDSfLy0itYKJ4zEGnr12u1LVUd4lkB170fuYHE0lIYgzxXO5Xg&#10;mujis7Zhj3Ki+xjsRH/0ITpGx7D22muc6C9BQnrtzYcoPyX+jVrfhOjMdBbSKebXGXHsZ9BaREI6&#10;x7uHIUHMzbzWDlSev4yaG6N83moV765QeARHXPvGG/d4Uw2tDy7FtT96xCLvgcePsOPQQWQU5/Pm&#10;GGdqnRP882I9KVpdo0W2P3kyq+udE1ps+1XNeS7WSZNF3nfuwBgUgOiMdJQPXeT1VzZnPI0S0BUK&#10;hUKh8BEouv3jj64jIsKGZf6ux387CzlsDWYzkjfseu7EHS+c+gzkEu49BWtCihaxLbmeV6LXs6M4&#10;qqgMBR6+ThLn03a2w2AJcSlmnqBxMUVEcJw+j4vkPN6E2kBtsaVl8caA6SyeP8fuRKcNGfm94jo5&#10;Mv/F9RbsP4/0XZ0IS0nnn/UFN7pfkAGJwf5osixCu0S0eR3t5nmoDwtAcG4vC3QyUUnhPcgFu0Dw&#10;TuFpxGY1YFVsEhpDl6Hb9DY6WNBTwvnMZyEnC1At+y6+P3VYRWJ62joY8/vFPDnHSRFUM52i/WXz&#10;SOE6FKEfld2M5tAlnAwgHyPXaQqao0W5f3pVPONRlLv8+U+h8AUoBevTJzcQHR0OwxS60DnK3RbC&#10;tYhJGJO9yFTMPCi2v+LMCGLzcli09KST7UWc+x57pO/sjuD1NQYefYiuh2PYcP2uvCa6BHIk1t4a&#10;Q7mYQ7mNLYjJzeI4dhbSTZNbz2hNMur9YaF494x0dqWvPDqEqqvkhL+vbQBRm30UiklDyRO0cWbN&#10;tbtovDeK3jFtPZCtE6/DIZzTBqnm8+dRuKoaoeFWdkk7EzFOm3CoPnpUXBTWd7Zz3XRynsvOOWsQ&#10;fUs15Ek8z/B0bLuAnOcRSfFYefC4eCYck84bb6AEdIVCoVAofAB6afW37z9HcXEelixz3bXsLJoI&#10;qkd81XqO5tbc0z8VTn0JEjUz9nQiOMzGbnLZNb0Kiho3WCxI296MfE/HopPQv/8cInOLXRbQWfDX&#10;ByJxzXZx3VNbCz2//zxyu4/BlpnLGxc8WlqArlvMSzqHhpijHjwfHZ/GiNz+XBP/5Y0V4n7gyPru&#10;4/z/jSFWFty9WVphPDqBf5ABGablaLb80qma6N2mX6A4aQUWligxbioh4ZyEuw8KjyMxYzs2RUWh&#10;xfoeOs1z0G6m2uby8VPMbChpoMOk1U2nzTF7wvyxKj4TUZn1WFpwBIuKL3C9dKrhLZtXCuehBIiF&#10;JeJ5IHUV16r3RNpDY+BbGKpNww/f/0o866kod4XvQi50PPsKe7saoCcXugdfiL4JqnMZlZqM8pPn&#10;uOax7GWmYubhiOSOzcuF0cMiuiPOvaZuN/ofP1Yiuo9BbtOeh2PYfOMei2rkRpXNmfHQHKq5dp9r&#10;5BZ07UVCSTGskTbelMHx7uPmgTOQmEZiDjlRQ2MikFi2ks9Boj1HytOGHxXxrlA4jaPOee3VO9h5&#10;+z72inuf49qdFc9J3H3yRKznH6H9ymVU79mJ8JhIjmt32nUufocSS0gkbjxz+rkgLz3vLIE2JtAG&#10;guYLF5BemMubCzwqnovjhyfGYcXAkSl/FlQCukKhUCgUU8yzH7/Cv//1Bep2b8YyP3/vRbeTCBio&#10;Q3RROfL3n/V58ZygaO3ENVuhN2giq/S6XgEJn+Rcz+s99VOR1EOQ6J2xpxsGs8VltzY5nkMTU5C7&#10;96RX2iyD54Y4P9c8p80A7haPSSSnkgX+/vBfvpRTAoIMQTzGBP1ZF+AH/2VLWbyn8gbuFrBpc0WQ&#10;KRipW5u0jSTjNitQH5C4nr6zg93oOp0//47sWN6ARXTRL3mmZSy0tU9A9CH3eXPoMtiyW/F2ySWp&#10;mKTwLCR8vlVyBUsLjyM+Ywe2REWIsVuATjE25EJWjnOFA4p4p3uWXNFtYo7sijCjIKUKlpxOvF98&#10;FnNKLnPEu2yeKZyD+vGdotNYHZvEJS5k4zEZHFHuY4frAfwVP/74hfRZUKHwBSgN6+svP0JmZrJ4&#10;3tBJX2h6i+AgfyRVVGhR7lQnW/JCUzHzqL7hENHtTnTJ3HAXJI6Qu3jlxvXY//Ah+j/+RCoaKKYG&#10;EtF7x8aw7eZ9FtdeWxf9Zew10skZTjXLi/sGkFhZCVtsFJcIoM0TsvkwUUgwonlD7nba5BGdkYrM&#10;Hbuw4tBxVIvzkxO++uo9edsUCsVPKL90i7/nt9y8h85R1+uck8B98OlTtF0aRm1DHWISY3nTDK/z&#10;Toi89LMG8d1DjvXKXdvR++A+BlRku7Y5QfRvw+khxKcle8F5HghrZBiK9u7XxPMpTvlQArpCoVAo&#10;FFPIsx+/4BeqZ04PsFC4nGotjxPLPIJeq7FN9Z/zek7YHc4/FU59kcLBYUSvqEKAn3MufRIcScTm&#10;zQIskMqP71b2n+Ha5ZH5JZrwPK5NE0ETdk2aa34qxsjupI8rq2WR223CNYnmYjxoUwNt4jDZwmFL&#10;z0JUcSXiazcjaf1OJK3boSH+HF+7CdEraxCelQ9LVAz04hjshOc2uWfDCSUaWKJjkN12kK9Z1h8k&#10;ouf2HEes6A+DGBduv+RY3iBAoDMYUGZewi70Nolw8zLdprdQHZuKxcUXlPvcy5DL9e2SESwpPIWk&#10;9M3YEB2NTssCdhur+uaKN8HOdPM8FnepXnptXDqS0zYjoPAo5pZcstdKV/f0ZKCSFsa8A9gVbuTa&#10;9LJxmAxNhrnYl6jDnz+/zgKl7HlQofAF+N8lz/6CoZP7+aVz8GRqCE8Sk9nI4lT2njpNCFMRybOE&#10;O2K8H6D85HnE5ubAaPDsRg5yFZPTsGT9Go7n7VdOdJ+CHKh9Yx9i123aRHNnwk7055CYTvHuN0ax&#10;YvAo0jdsRHhyPDvJOd59sgKQ+H06DjklbTERSKqsRF5LGyrODKP21ocvaqWr9Uuh+AlaeYY7nDJB&#10;dc5JNHe2zjmJ2uQKJ2G3/fIlVO3ZidjUBI5qN4pnGGdTTOi5h8Tz1IIc7D52VHwffCSOr74THM7+&#10;htOnEJ+ezH0k6z93QXXqQyPDkN/WYX/+m/pkDyWgKxQKhUIxhVBNzE+f3kRkVDiWLl+OQINcLHM3&#10;JD6GJCQju3VQqwcuEQt9Dc0JfQq2jFznBfTAQOiDg5GyueGV4qgnYNfyrk4EiXO77kIPQFT+Cq6r&#10;LjuHJ6FzJq/fNan2/wR2mwewaB4cGsqbC2hMMhv3IbfrKPdX4cFLnDTwMtrfXURuzwlkNe9H2s4O&#10;xJWvhjU+EUFGoyakCybljqe2BVA99DIuFfAqxz/XRu8/j9QtjTBHRvHvTFWku7/AaNBjtfl9dFhI&#10;aJOLN+xutr6H+MxdeLvkslRAUrgfcpxT7erF4s8x2Q1YGxPPmx2o3nWrZcHPxkmheBPkSqf50xGy&#10;CFsjrShKLocxbz+L6FQrXbnSXWOhgMoqJIg1ktZK6mdZ/7uMeSEa9W/hwuZ8/Pdff8QzfCV9JlQo&#10;fAE8+xr/939/wPr1VfDX+UlfbnoLcoqSKFXSf1hFuc8yaLzLX3aie9Dp9hMRfXRUieg+hsON2nB3&#10;FDVX7ky4Lvp4am6I379+H6UnziJrdx2i0lO08Q8OZEf5ZOcY10oP8ufa61HpqUhbv56jh6su33rJ&#10;Ea+c6YrZC22AcZRkWH/tLprujfIGGWfrnJNoPvCxFqlOtbgrd25DXGqiWMd1MIi1XHZ/vg6udS5+&#10;Lzw6HFW7tqPr5k0c/OwzFo5l559NcGz706eoHzqF+LQkdp7L+tBd0HOfNUITz6kkh6+UxVACukKh&#10;UCgUUwTwF/zl6yf2uufLpAKZJyDXLNUQp1riUyHKugoJl9kt/QiJTRDX4Jyjm8RVY6gNOV3HNCFe&#10;cnxPQGI9xa+HZ+bxpgVZ294EXaspIgpZTX2asCs5jycgp35mXQ9Mtgi3OK3JTU8ub3Kbx66oRJYY&#10;y/x9QzwHSTjnjQ1viKmnsaN67CSqk7s/p+so0ne2IzKnCAZLiCZmTyJa3eH4T93a+Pp7w14bPbt1&#10;ALaMHP49FvAlx/Q0fgKrIRBbLe+i8xVu5k7zXGwW/xAhB7Sqn+x5yA08t2QEi8SnNacbq2JT0BIi&#10;xkeMQxtHtf98jGYNJjFHX4dZ/IwD2e8rGIp47zTN4SQDqpVeFZ+NsOx2vFd0CvPE3FNCuvNQMgf1&#10;XVHiCnTRvermTS5NRorjX4gnF3p58+SP/1VR7grfBfgWo/eHERUTDr0LL6PdCb1Mjc3NRsWZERa/&#10;ZC82FTMTEjy9K6LrkF1ags7r19htJxMTFFODw51KTtVVV+66LKKTE5zmFZWFqDh3GYVdvYgryIM1&#10;IlSLew4W691khXQxl8iRbjYFITTSxjX9c/bUYeWx06gcvoHaWw+5DcqVrphNcBkG8bn62l3U3R3l&#10;8gx0XzsT106i+cGnn2Lf6Ciazp/Dyo3rtKh2do67UI/bEqwJ7uL3MkoKUDd0UpzjYz6P7PyzjQOP&#10;H3N8/Z4Tx9h5zuK5B7+Hg016WMRn9q49PiWeE0pAVygUCoViCnj27Evx+QXq67Zg6XI/rzlYyUVM&#10;buKUjXtQMOClKHM3QYJlRl03C7BUB1t2fa+CBM6w5FSuf+5NAZ0gsZfcykFGA/e/rH2vg+eGaH98&#10;9QYxZsPSc7gbFur3noQtLQv+Trr9ZZAAHxRsRFTBCk04F8enSPpJjYU9Xp6PI0jf3YmIrHw+z2QE&#10;f39/P4SJ66brz3tt+85oke7i52JWVvN95ezGDnfA9dCDDIgLDkCdZfHPRHQSgahGenbqWnaoqqhn&#10;z0LCJdWnNub1YUViMVqs77NwrmqcC0IEUe+gNe5d7TNi8U8JF9DPODAuQGuQwCCgPxtF/wW/JLTL&#10;zjHLcMS7E7RJY11MImKy6vBB0ZBWJ71ICenOME+skQGFR7A1Mkzct3OkfT4ZGgLfwsG8MHz3p1Fw&#10;PXTJ86FC4QtoJaa+QVfnHuiDAqc2yt1CEcmBSF29WnNv+kCUp8J70Ev08lPnWIT0dE10mmtBen9k&#10;rihEx9UrGHzyVDkQfQwS0TsejGHdtbssyMnmzISgaPdr95+XhyjeP4jkmhrYEmJ5veHSAZMVimjt&#10;MlGdfT1/hsVEIqmiHPldvSg9dho11+6h9vaHXKdd2kaFYgZAonm5uFdXXb2D3XceoOehk8I5OaA/&#10;eYJDn36Krls3sH1wAAWrqhAWEcrJIUYXSzHQcw0JwjHJcVjT0oTe+/e5jjqJxtJ2zDIOPHrMmxU2&#10;9/XCFhXGfS3rR3dBG49IPM/culWszWJN9LG0DiWgKxQKhULhZZ79qEW3nz0zyLWc/QK841wlIZZc&#10;shR9ze7aN7h9fQ1qc+r2FhhMzseJk4AemVPAAjq5h2XH9xjkVt43BFt6tstitL+fH8JSs5DbffwN&#10;ou7kIWc3CdwJNRtZuNcFTSYWXfR9gD/MUTFI3rjbLpy/Oh7dZcTxKFY9v+80ktfv1DZZBLjm+NcF&#10;6nmzQ8qmOo6Nl57vJUjELzhwjs9LsfRTURfdIaJnBPuhxfJLFswdgg0Jt3VhAdAVHGQBXSYaKSaP&#10;w3W+rOgk0lPWoM4WyDWrZ73j3AEJ3tZFaI19Fy1ZS9G8yoCmzWY0bQxG0wbBesE6I5qrg9BcpddY&#10;EYDmIkGeP1oyl6ElZQla499Da8Q7aAsTxyIxnYR1+nxZWJ+VDvaFdlf622gPWYQ1sclIzNgOv8Lj&#10;mFNySSVPOMHckmHYslvRGLrUvvFF1t+u0xj4C9zu3iCeB7/Es2cqyl3huwBfc1JWbm66eC6aWhc6&#10;iU8hYWbkt3ag5uao9OWmYqZir4lOTnSuie5hJ7o4NtV3TcnLRuPZM+xEpwhbmcCgmBpIRO8aHcOm&#10;G5MU0R2QmH79Pq8tKw4dR+bO3YjJyYLZHMSudBJ23CKmi+OwCGXSIzI5ASlr16Ggcy8qz19B7a0x&#10;TdBX9dIVMwQSzun+rL16Bztv3UfH6EO+dycinNOaS0I2RYeTG7zp3BnUNtZzbXJ6HmC3uYv3Ja3x&#10;tEEm1BaC4nWr0HzhPG+W6lfC+XOo/0k837J/H2yRXhDPxZhaQozI3Ezi+T2fLHWhBHSFQqFQKLwM&#10;uY6ePrmFuNhoLKG65+PEME9BgmJETiHXEfe0COsJCgeHkbSxDjqdv3O1rmnjQGAg4qvWsTg8FRsH&#10;Cg6OIGntdugNJNC64EIXv2M0m5G+q8PjLnQSuDP29MAYYuWNB7L2TAjqd3Jzp2Yiq2m/VzZtkKOd&#10;zpOxqxMhcQlirgQ4N1fsUNx+eHo2b1iYSM38fNokceACu+DNUdHQkRPdhfNOBhLRAwSl5iVcZ9tR&#10;D73DPBdVCblYVKTV5JYJRgrXIeGcnf2CyKwmbIqOQic5gk1zfyacKQQkclsXoSX5AzRV6tFQH4aG&#10;1ghBOBpaxkF/1yZoEoifa9xlReM2C5o2mTTBfY0RTeV6tBT6oyV9CVoT3kdr2GLtPCyi20V1B/Tf&#10;s0BYp9QJqpPeblmEzVHhSE/fiKWFJ59Hu1O9b9lcVmjQOrmgeBgFKZV8L5PLX9bPrtJsnIeuyA/w&#10;5ccj7PD98UcV5a7wTbQNv3/B5UtH2ak1lS50Itiogy0uGiuPnETNrYfSF5yKmUu1F+PcCb3eH3Fp&#10;yWgYOqVEdB+EhDiKgN5+6z4qL99hsU42b5yF5lnt7TGUnxlBQUc3ElauQIgthAUedpK7Yx0Uc5dK&#10;UwQHBcAqjh2dlYmUNWtRsn8QVSM3WTxiZ/w1StxQYrpiesHCuYCSHbaJ+7Nz9KFYP7V7VnYvO+C4&#10;8I8/Rj8h/txz+zbWd3Ugr6oc0UlxLJqTY9wVtznBwjndd+IeTi/Kx87DB/m8qlzHT+H68h89xtr2&#10;Fs3lL/pM1p/uQhPPg5GxZYsmntO699J88hWUgK5QKBQKhRehF1Hff/s5KitW4P2ly1j0kolh7ibA&#10;3x/W+CTktB3kKHSZCOjrFB4cQeK6XfBfvlR6ja/ELqCTgM2R4VMgoPM5e07AEhvPYyFt5xsgUTeu&#10;fI1nr4GPO4TwDKrZ7rqTmjcJkOs/twg5nUdQ0E9Obi/1u7gGilbPah2AJSaOHfCyNr4OSmsIMhpZ&#10;EH9tLfSXofOKn81qGUBYcjr3H/eD5Piewl9gDNJjg1mrh87xzgJrdiuLZzKxSOE6JEbOLxlGQP5B&#10;lCcWoMn6vt11vkAqnCnskIhNcezizy3kSC/VoXF7CBqabGhoFjSE/ZRGO/T/HT/jENjtP9+4x/pc&#10;YG/caEZzpR4t+cvRkvoBWigu3rZYc8CTiO5wrTsc6+PbN0Og9AN2pFsWYVNUJGKz6vFe0ZBYC4Yx&#10;X22meS0U5e5XcEzbECP6UNa/k4Gi3E+vTsd/fvg9nkG50BW+C7nQ//V/f8C2rWvgr/OTvvz0JiSi&#10;Uz308rMj7EqWveRUzFyobnQZiej59jh3T4ro4tgk2EQnxGDbwAEc/PRTFhZkgoNianA4WffcGUX1&#10;Fc3tKps3ruBwpFcN32BXesamTYhIiue5QesQ1er92ZxxAZNZ/NtNzGVTsB7WyDBEZ6Yjc8sWrDh4&#10;jJ3pFO9ec/Mhu9MpjUHWVoXCF6gU9x/dgzVX7mCr3XFO9+frhHN2mT95wk7zvrExdN24gR2HDqJ4&#10;7SrEpiTCEmqGISiA65RPRjintZzu2cSsVKzvbMfeu3fZdX7gsVrTX4Y2LwyI77lVjXXsCDcGe9Z5&#10;TrXrNfHc7jz3UfGcUAK6QqFQKBRegqI6n/34NXp7GrHMzw8BXhLXyA1rtFq94l72JCygr98Df79l&#10;0ut8JXYBneLfOT5ccmxvkN9/HvGVa0V7xLi74E6m+P2Q2ATkdB0V1/FmV7Qr0PxIWr8TQQbX6rUz&#10;1N+6AETlr+C0g6nqcxLRM3Z3Ijg0TFyL8056SjqILi7n+H1nNiyQiJ7dNojwjBwEij6cChE90qjD&#10;bss76DG9hfXRcVhSeIIFIZlQpHCNt4svYbH4TE3fgp0RZnaqeiLueUZD4rXDHR75DlpW6FgAb2h+&#10;IYxPCBbYXxLX6ZP+2/H/60LRuMnM8fAthX5oSV2Clpj3WFRvI0Gdaqw7BHVZO6c5HO3OTupFWCe+&#10;Q6KzGvFOMZUcuMQJCrL5rRD3eMlljnJvCl2GDtM8ad+6SnMwbbJZiE/OdQP4XvrMqFD4CpSc9atP&#10;byEhMUY8Z0xtlDuJms/rodNLTVU7eNah1UR/4UR3VVSZKCTc2KJs2Li3B4OqPq7PwbWUH32I5nuj&#10;WH31Dsov3ZLOG1chN3iN3Q1efvoicuobEVtUiFAxJ2j+UcS7WzZy0NpGLneq52w2wBJmQWxOJrJ2&#10;7ETxgYOoOHcJtTcfamK6D8YbK2Yvz6Pa7cJ5+wPNcc6Mu1/5nmXR/CkO/+pz7B8bQ8vwBWw/OICV&#10;m9YjJtm+SUXcCxQbPtnkG3JPB+n9+biVu3eg6+YNXsf7P/r4Z+2a7VD9932j4vt1+xYWtSklQ9an&#10;7oKd52Ldy5wG4jmhBHSFQqFQKLyAIwbx3p3z4mHB5L265yze6ZG0ZpvmAu6Ti37TAYpwT1y70zUB&#10;XR+I9IZeFlVlx/YGFAWe3TqI4LBw1wTdQD30BoN9I4AHBHSqDb/3JEJTyD3tWv1wgmqA29JzkNdz&#10;cmo3LLATXavlrndh0wKNkckWgZyOw073N1937ylEF5byxgdviugv6qEvRVvoe4jJrMfckstSgUjh&#10;PAuKzrGbPyivHxVx2ezw7zDNYTFMJpRNKSRQv1wfXPYzvgC10+EMj34HzSUBmpBOLnMSw18Wy53B&#10;4Vx/2b3eImgOZ8d78xojmssD0ZLrh5bE99EavkjrJ3LH0+cMc6e3WbQa6a3Wd1EZn42wnA4W0dXm&#10;Gjm0uWChuNeLk8rQ5YEod3KhHyoIx/dfPsazZ3+RPjsqFL7Asx+/EP+G+QZHDnXBaAqa8ih3fuka&#10;akJuQzM7kmUvOhUzG60m+jnEFeRpgqOHRXQSYULEnFvV1ICBTz5WTnQfhFyuHQ8eYv31e251oj/n&#10;yp0XbnDx56J9/Uhdtw6RKYk8B5/XSg9xk5gujkVrHdVqtpKYLuZ6xpZt4rwHXtRMv/GA26Ri3hVT&#10;gUM4J8c5RbU7hPP+l+5LrmUuoDWTnOaHPvuMRdo9x49hbUcbitbUIiYplue65hIP0ub+JNd0Og7F&#10;vUfGRaJ06ya0Dl/kc/eT41yV4/gZA2Js9t65w85/WnPcUqriNfBznPgk8bxmGojnhBLQFQqFQqHw&#10;AsCf8ffvP0dhQTaWLnddnHQKuxM4Mm+Fvfb39Kt7/hzRfqozHVta67y46xDQ6/dOqYDucDFHFazg&#10;caGNDdL2vgYSdaPyS5BPcehOuKInAjn8kzfsgt6gOfZl538TNDYhsfHIaumfUvHcAQnoud3HEJqU&#10;5nQkPcW468VnyqY6LTZfcvzXwaJ7z0kx3qU8bt4U0akWenDgcsTF5OCD4nOYX3RBKhApJo6j1vmC&#10;4gtISd+C3bYgdJnm+FZc+8uObsL6S7SkLEFL5jK0RS5+8fckVst+3xdgwV/0acy7aC4OQOMOe7Q7&#10;u8rtwrg7oOORW51i4MWf6TxNG4LRVGNAc4E/WhPfR5vov1YTYe837ruX2jpNoTnbbfoFGsL8kZ9U&#10;Dl3BYcwtGRZzW8W6j4fWzmUFx7A50oZO81zRf+67d1rEfdiofwv3928Xz4jfsUgpe35UKHwBPPsK&#10;f//b71BTsxIBgZ53/b4JckaFRUeguG+QhSTZy07FzIYitivOXUZSZSVMz8VL+XxxByTIkLBZtm0z&#10;eu/fw8DHn0iFCMXUQSJ6z8MxbLlJddE1gU82dybNlTsspJMzvfTEGeQ0tyFhRTGs4VZOyHhRK909&#10;6yQdi0QtqpkeFm1DTE42UlavQVH3Po6Yd7g3KeZdCeoKT+Ooce4QztseaFHtA48fce1yrqFNdczF&#10;J/+3+DNFs2/s6Ubp5g1ILy5AZFwUz2l9oB9vUHLHMwUdg2LaybkeHmVD2dZNaDx7hp3V5Dofv14o&#10;BI8e8caG9quXkV2+kvvO8+K5flxsO5WnkM81X0IJ6AqFQqFQeJhnP36JH3/8Gg0N21g8Dwh0Xjh1&#10;Bar9zHXP2w/5hJg5KchNfOAcYivXIsB/ufR6X4mvCOgCEnSprrbeoAm00va+BnIzmyOjkNt9wiVR&#10;91WQ2EtCc1hKhsvu8wBdAIJDQ5G+sw35XDfcvQK/qxRQcsGqrVyT3ak+p3kjficyt1gTw13YsED3&#10;Xe7eE4hiJ3qAV0X0QL0O/iExeC9nHxaWDEvFIcXEWFB0HvOKRxBYcAjl8bloC1lsr4vsPjFtUjic&#10;5iSMhy5CS+IHaKY49I1mNO62ahHm2y1oLtWhNe49tIbYf54EYdnxfAGHCzzqXc2RzjXSw5yLdp8o&#10;Doc6Od4J8XeNu0LQtNleSz17GVpj3xV9u1hrGwn83N/j2jzN6DDP5Wj3HREmJGZsx7tFZzBXzHMV&#10;6/5T5pSMIDarQdw373BdeVlfukpT0BzsS9bj68+ucUy27BlSofAN/sRz9NHYZURG2RBk9Gy050Sg&#10;l+/RWekc562c6LMTHvfhG0h+LqIHSeeKu9BihXXIr6lA1/VrGHz6qXIz+hjkgO0Tn7tvP+AyDx5x&#10;ozsgIV3MQaqVXnnhKlYcPoGMTZsRlZaMkDALi+nsTHfjhiPNla5Fx4dGhCIyPZXnf35HN8rPXkLl&#10;8HV2dFKbVN10hTv5SY3zm/fR+fBDjkI/RM7yTz9l0bzv4SjXF++4dhVb+/tQvm0z0ksKEJ0UB6st&#10;RBPN9f5uE80JOo7DvR4ZG4mVm9ah+cJ5dr4ffPqUP2VrxWyH+oXGrencWaTkZSGISqJ4fCPaePF8&#10;+pSjUAK6QqFQKBQeRItu/ysuDR8VD4rBWO5PzmOJ2OVmAgLEP6ysoUjf1ck1mWXi3nRDq4G+e9pG&#10;uBOaUH0cYakZHHUube9rIAFWL+ZRysY9mqgrOYcrFPRfRPKmehZdXRL2RbtIbI6vXs+Ctbvd8ZOB&#10;ROys5gMwR8U63ee0CcUSE89x7K5eE29e6ZkiET3QD4HhmXi38AQWqphmlyDXOfVddFYDtkda2YXq&#10;M7XOTQvRRrHn5DSPfx8t+X5o2mhGQ71dFHbUA3e4rZvC0LgnFE01QVwHnGuA0++TGCw7/lTj2BhA&#10;QnrkO9qmAK6Rbr+e8UK4u3AI6o7+o7+jflsXjJYVAVrfRb3L/d5G9dMdYr/sGnycNssCFtLbxJ9X&#10;x6bAmLcP80suqdSKlyBn/uKic6hIyEeniVzo8r50lXr//8HV+krxzPgnPHv29c+eIxUKX+HZM4py&#10;/xoH+loQ5GZRyFWCDToklpfbXZjTw8WkcC/kAq4avq6J6OT+9bR7ThzfYAhA5opCFmkOfqpEdF+D&#10;66ILmux10T0qotshIYjq85MDnMT0ws4esTZVIDwxHmZykOv93bvBQ6y/JKYHs+NdO25YTCSSykuR&#10;09CEksGjnNBAddNrb3/IiQ3Kma5wBRbOxefqG/ex4/4j7P34CQ5//jkGHj9Gz+1baL00grpTJ7G+&#10;qwMl69cgJTcT4dHhMFtNvF6Sq1mrZx7k3s0k4tgU006JNHFpySjfsRWtI8Pof/yIXedUa122Pig0&#10;8Zw2F1CUfmxqIm9A8PQznbZOTZ+a5+NRArpCoVAoFB6Eagb++euPkZeXiQ+WOin8uggLdIE6JNRu&#10;1gRjHxIzJ8NkBfQ02kwwxQI6QRsaEtdsY3GW2iZt8yug+tZaLH+JOM6w9PhOs/8c1z4Pz8xzSdQn&#10;yH1O7nUSivP73Cfsu4czvNnARtfnpLue+tpoDUNGXQ/XsJcf/81oTvSTWk10r8a563mXt3/iOvyy&#10;5KJyljrJ3OJhfFAkxi+5Eq3W99HB4pkPCKUkKpPwHfkOWnKWo7kmiIVxqu3Ngi8JwK+KO2+0C8Pi&#10;s2l9MIvuLAaTCOzLQjoJ1O6ukT5RuD/FeehcdmG9aasFzdV6tOSJ/kv8AK1hi9BKYjo70320H18D&#10;CemdpjmoswUiI3093hPzfk7xiPS+mI3ME2uBMe8AdocbecOBrA9dpTl4ATps7+J/H53nZ0bZs6RC&#10;4StQSap//uO3qKwoQkCg/89ekHobeuFL9YfJ9Vl99Z4SiGYp/CJ+5AbS1q2HJYRifD3rRCfxkgSH&#10;2OR47DlxDINPnyiXow9Cke5do2PYeOM+C4Aei3R/GbEGkYhOG3oo5r30+Blk765D/IoShEaGcQw7&#10;i97uFKtoHbQYWKDX6rHr2J0eX1iAjK3b2Z1ednyInekkpjuEfl4v1ZqpIBxzgebvFZq/97jGPiUZ&#10;bLj3GHtGH6Ph2g00njmFHYP9WNfZgZWbNiBzRRHiUxN5k4hBzG1yltP6S5DA7X5RVsx1Fs79YbEG&#10;I60gF7WN9ei4eoU3M1FsvFqLXw9tLBj46GNs3b8P4THhvLlB3tfugzZPTFfnuQMloCsUCoVC4SGe&#10;PfsSP/7nS3S212HJsuUuOXudRpyDRNCInALk9Q4hz40x31NN4eAIkjbsdj5inAT0wEAkrdupiaBT&#10;vKEgv/8iMhv3wRQRyUkB0ja/BhpfS3QccjoOuSXGncTlzIa9MJjNvNFAds7XQX1rsFiQvqtdHGvq&#10;NyjIIFd8TGmN0zHudG1BwSYkr9sx6c0XnBhANdHzSjQnujfWA0KvE9cQgiVZXcqFPkFoowGJh4b8&#10;A1gTl8wx11PuOidRlkRkQUvse2heqUPTJpMm7lId71cJ5q+Cfp4E6GYbGreY0VymR0v8e8/P4bMi&#10;sF1Ib4l5Fy3ja6TLrtNT0Pnske+NO0N4M0JzWSBa0pagNfylevPcl5Lr8FFok0iHZQFq41JhyuvD&#10;guJhLmEgu09mE7QmzCu5hPS09ei0zOc68rL+c5VG/ds4syZTPDv+iWtNy54pFQpfQEvW+gYPH4wg&#10;ykei3OllekioGbkNLey2lL34VMx8yGFLomXG5i0sopOQKJsv7sRgDOTI4M37ejFA9X4FMsFCMXWQ&#10;iL5PfO649YDnCQnp4+eOJ6E5SaI1bfAo7htE5o5diMnJFPPHxHHG5MqkNYxEcNkccxU6JiV0GPV+&#10;CLGaEJWahITSUhawCrv2ouLMyHMh6zlXCVVDfcbhEMZpYwdv7hg37i9DSQVirpYeHUJxRxcK6xuQ&#10;v3EjCmurkF6Yi+jEWITaQlgs1wcu541E7oxjlyKOHUzzWdwrJPaGRYYir7oCWw7sR/etmzj46Wcc&#10;Hy+7/xU/herR0waD1c2NsIaF8NhJ+9yN0BpH38kZm6eveE4oAV2hUCgUCg9BL5jGRkfEQ58ZfgE6&#10;ubjlZnQBATBHxSCrpd8n3NbuhJzbKVubEGQ0QOdMHXm7gE6OfBacp9qRL85fcOAsIvNXOF/PXcCC&#10;tdmElE11k3ehi7ZQn8RXrOHjOuuIJ2jOUTx5Xp92POl5pph8cS8krdkq5o5Ru07JdUih/hA/H1tW&#10;65ZSCFQDP6fzCMJS0llEl57TA+gD/RFoy8C7RUNYqMSw1zK/+AJ+yZHtTdgRYUG36S23i2VO4RBh&#10;reLPyR+gqcbwQjRmJ7lE3HUWOk4zCcFWPn5rit1RTW5qdlSPa5MvMK5GegPVep8KIZ14WUwX7SB3&#10;fFN1EFoyl4r2vYPWENGX1FbqS/qUXY8PQXW+u8xzsCdcj+TMHVhUfA7zqJSB5H6ZTVAffCDW0HUx&#10;cbwuyPrOVZqD56NNzJPPrw6KZ8dvpc+UCoXP8OOXePbsrxjob4M+SAcjiT+Sl6behCJcw6IjULzv&#10;gKqHPovhl/NX7yFr+05Ywyw8L2TzxZ2QoEMbOFY1NWD/2BhHB8uEC8XUQSI6fVKk+6qrd73nRn8J&#10;Ei5rbj0U69MDVJwdQXH/YWRs2IjIVHu9dJPmHGcxXTLPJgOL6WKeGoP8YTYFsRM+PDkBcYUFSFu/&#10;HgXtXSgbuoCKC9dQNXJTa+vNUV5LaQMAi+qSa1L4AD8RxsVYXb/Pc0yrzf/QPoZiXbwiflaMbeXF&#10;66g4fwXl5y6j9OR5FPX0Ibe+kVNckirKEZufh3AxJ23xsZxiECrWNpOYl/pAP45LZ4c5zVFPCuZ2&#10;aN4axLlpjbVYTYhPT0bV7h1ounAe+x7c5whyJZxPnMEnT9Bz5w5KN29gN7gx2AvOcxo7Es+3bNHm&#10;5zQVzwkloCsUCoVC4QGAr/D9d5+jpDgPS5Y7L5K6ArtljUakbK6fceI5QQJm2s42GC0W50RQAcVm&#10;RxeuFMcZ8gmRl64lecNuBAUHO30tvCHA3w8xK2tQ6AYBnep7W+OToNM5v8mD2k7jkVG/1y0Cs6cg&#10;AT1l4y4EmUxO9zclHtBmB67tLjm2s1BbstsOIjQxmcdRdk63oxdrQ5AefsmbOcpdJg4ptMh2iq7O&#10;S12FxtBlUxvZTkIrRZaHLWIhtmmNEQ31oS9EYncI5+N5SYDmet8kAEe880L8lbVzKnHUSCe3fNy7&#10;aK7QsxucNwTYr8Pr0Hmfnz8UjbusaF5lQEvucrTEvSfGc7E2rhT37tNi+kKOdG8LeQdliQUIKDiC&#10;ecUjs74MxNziS4jMbhbrw1J0mOdJ+s11GgPfwsnKZPz7H7/Hjz8qF7rCt6Eo9+++/RxlZYXQ6QNg&#10;krw49Tb0ojYyJQGlR0+x+CN7AaqY+bCL9to95LW2IzQyFEaDTjpf3AkJ9ST2FK9bje5bt3Dw6adS&#10;AUMxdVBNdI50f0iR7vdYRPdGbfSfQYKnXeSsFn8m0bqgoxvJ1VWISE2G1WZBcJC/58R0i712ulgv&#10;TSSgWQywWM2wRoYhJisDKVWVyN61B0X7B7Hy6BDKT19E1fAN1N4a0+Lfbz4U7Rdtn8ZC2HTBsZZp&#10;80Xb0ECbMBxjserOI9SSQH7pFrvGy08Po+zUeTFup7Di8AkU9R9B4d4DyKlvYAGT5lh8cSGi0lMR&#10;FhuJkHArLGEWFqe5DIB9XtDc4zVN/DfNQY+6yyUYxXn1ej+OhY9JjkdeVTm29e9H9+3b6H/8mIVg&#10;lfbhHINPn6Lj2lXkVKx8sQlC0vfuhOaSNTyUy0hoGzym95qhBHSFQqFQKDwA8B0O7G+HX0AAApwV&#10;SF2EHK3RReXIJ1exjzqBJwMJj1nN+xESE8c1t2V98CpIQA/PyGax2BcE9Py+s8jtPgZLXKJLdcf9&#10;/f0QmpSGnI4jyKNocMk5JgJF2mfs6YLBEuKSgE716KMKy+xzznfLBTiu02gNdfo6/Zcvgy2rgEsI&#10;yI7tCrTZIKOhF6ZwivF3re680+j9oTfb8H5OHxaUXJKKQ7MZimxfXngUlQl56LAsRLubxbEJQ6Iw&#10;uavDFqM5cxkL2SyWu8ttPhFeqvfdtMmM5iJ/tEa/i9bgBb4rpJMYTcS/h+YqPRrrQjVXuLf6TAad&#10;296PXJ9+TyiaVhvRXOiPliS7y5/EdF91+QuodAEJxZujomDL6Zz1Ijpd+6LiC6hIyOXSDu7cYNNi&#10;WiCYh0cnWsUz5N+kz5YKhS8B/AWPP7yMmJhwBBmmPsqdoBf/cYX57PAkt5PsJahiFmB3YxZ09sCW&#10;EMtR1rL54k5IkCCnZHpRPlpHhrke735Vi9fn4Ej3sQ+x6/YDVF++MzUiugN2D5NIqtVLrzh7Cfmt&#10;7UhZvQaR6SksbJJrnGqme8zxS8IpiaQkljJ6Ftbp0xYbhdjcbCRVVSBzVx3y2rtQtK8fpUdPolK0&#10;tfb2C1Gdnc5URkFcjyMynBF9LL32WcFL/WDneX1xdovbneICFsXtwngtCeO3HqLqwlXu5/KT57Di&#10;4DGU9B9GYfc+5Hf0IKe5Hdn1TcjYtgMptbVIrqrisYrOSEN4XBTComw8niyIsxjuwDHOJI4TJJDb&#10;HeVeFsodkEBP8ezkcDeI+U5lMXLKV2JtawvaLl/C4CefcPS4qm/uPNRfg588Qf2pU0jOyeDvKE9s&#10;zBkPrVmUdJHf1oEaMc+raF2Q3iPTByWgKxQKhULhZii6/bOntxEdE4Wly73jMA3w94c1MYXjoQsO&#10;nJeKdtMdEkHp+kKTM5yug06iqSUqBrk9J7UYd8nxvU3+wEVEF5c7XZebIBc1xbin7WiblDOakgri&#10;K9dBH6R3rQ0mE1K3t4g2uE9c9gRUfzxtWwuMtFHAyQ0tLwT0S9Jju0J+32lkH7iIqA1N0JvMvPlF&#10;dm53o9ctR0BUERYXncZCiiqXCESzDRLE5hcPIzhvP9bFxKOLXLdTEdnucFOHLkJL1vIXwjmJwDJx&#10;1luQcC/a0ESx5GWBLFA/F6t9UfQVfdhGnylL0Fxr0K6BBOypFNIdUBuoP1vD0bjHqtVNX6HjaP42&#10;EtOf96uv9e1CdJrfRn2YDkkZ2zBvltdFn198EUF5B7DbpkeHeb6kv1ynIeAXOFYai3/8+WMWJ2XP&#10;mAqFr/Dsxy/EPP0rjh7uhtFkQPAUvXwfT7AhAMkVFfYoYuWSnLVcucM18VcMHEF4UjzPC9l8cSck&#10;BJEIFJsSj12HD3K8sHJK+h6aG/0RWu4/xLprd1lE93akuwyOTmeH8UOUnjiDgq59yNy6DTGZ6Ty/&#10;XriCBZ5eb8Xx6TwkhBnFvUO11C0WAwuzkSmJiM3LQWJ1NVLXb2DHen5bp7jXDqP81HnNbUoudRLU&#10;ObZZi27+CbRxgH5uHOMFZ1k/eZTx5yfBW9JOZvw1Peel66Y+eM4DVA1fR9mxIZQeOYniff3cb0Tm&#10;9p0shqdt2IjEmlokVlXxZjDq5+jMNIQnxsIWFw1reAjXtCcx3BC4nMeFx0dAY/Wyc/y5KO7pueIk&#10;DsE8WFwDu6EFJJoXrq7Bhu5O1J86ib6HD3H4V78S6+fHaiOSi9B3D20+IPc+9S/Vq/dGmgBtZAyL&#10;DENBeyc4aUPcK9J7bZqhBHSFQqFQKNwIRbf/999fYMvm1fhg6VLo9HIhy52QOGywWDQhcwZGt78M&#10;OXcji8pZ1JT1xasgB3qQJQSZDftYiJcd29tQO9J3tiOIBFTRPlm7XwfVT4+v3qiNuYuueurPsIw8&#10;pzckEP5+yxGWmoW8vSfF+X3XfU5QekHyuh0uReZT31gT05Dbfdwtmy/yBbm9pxHXfgpR7WcQVrae&#10;NzBQzLrs/G5FrxfnCsTy1Dr8smQYv5zlccwLWDwfQVh2B3aGm9Bpmos2b0e2O4TzkF+iJX0pi6qN&#10;9WFT754eDwm/XCc9BE21BrSSg1q0+bnoK7u2qUL0aRs5u0NFn2aIPl1nEtdA7fcRIZ0gUZ/GWLSp&#10;cVcIGjebOYKe+zV00Yt54UN9S5Hurdb3kJdcifeKznBNcNl9NdNxbLrJT6lxuwudxrspaA4+Pt0t&#10;nie/xY8/fiF91lQofAX6d88//v4brF5dxlHuspepXoeEA1MQ1/Z97oiUvAxVzAKu3OEX+CsPHUdM&#10;Via/2PeGgGAwBCA8yobVzY32uuhPpAKHYuogEX3g0YfoeTiGbbe0tIrKqXSjj4PWLnZ3i0+KUS86&#10;cBCZ27cjNicLIRGhXMOYnOIcxe4QS8fNQ3dD9w6Jsy+L6nRPUVus4VbY4qIQkZyIqMx0xBUXIamy&#10;AukbNiBr5y6OqS/u7cfKY6dRfv4KKshdffEa1+SuGrmBqks3Bbc41v5lkZod2lSP/WXYtU3ubRcZ&#10;fzzmIff1y+cmqi7fsrdNwDXEqc0aFeev8rVQPfEVg0e5nnjR3j5k79qNrO07kL5xI/dBUnk5YgsK&#10;ECXWoMj0VIQnxiE8IRZhMRHcbwRF6dN3F9UbNzqEcao5TsK4+DsSmUlwZse4l8bbXVB7SSgnAZcc&#10;0OYQI6y2ECRkpKJk41psHxxAy/Aw9j14gEOffcYlMA48fiy9bxUTY+DJE96EsKqxnucX9b1sbNwN&#10;rUeR8TEo6tzL9xOlwcjWt+mIEtAVCoVCoXAXP9KLpG9x7cpJGIwGjm+XilhuhMRAcq/GrKxml60v&#10;xJN7koKDI0hYtZnFRmcc09RPeoMRSWu2af0kOba3ITE2d+8phMTGOx0rTlD0d3hmLkfBuyLskoCf&#10;3TIAc3Ss8zHi1PeBOsSVr/F59zlBAnrS6i0IMhpdEtBD4pKQ036I+0x2fGdJ7hxCRMtJRLYOIarl&#10;BEKyixGo81KUe2AA9NY4vJt/dFa70OcXn8eCkhEkZe5EXVjA1NQ7p0h0+kz6AFQnm4VVFnkF4wVX&#10;X4HaR+JvXRia1xhZoG61LdauhQTf8dc4lZD47HD15y5H0xaLPU7dx/rX0Sb6rA9D00YTmov90RL7&#10;HlpDFmmbAXykb6m0Abmuq+MyEVBwlEsfLJTcXzMdcqH7FRzB1qgwdJrelvaVqzTq38bBwij8469P&#10;xDPlN/LnTYXCh6B5+vmv7iIlVTzPBgVo9VQlL1a9CYk8lhAjCzcUH6oJIfKXoooZDovooyg/dYEd&#10;nSZyaJIAJZk37oQEIxKKStavxt67d7kGrUzoUEwtJKTTZ9O9Uay5qkW6+4Ib/TkkKF/XamCTuEyC&#10;c+nxs8jZXYeEFSUIT05kMZKFV7H+0trnVXGVRHUSdVlY17OARmkPLOybxD3ANdaDERJmQYjNyrXW&#10;rVHhiEiKR3RmOmJyspBUthLJNdUMCc85dQ18fbl1jVzHu3jwmOCoxsBRlBw8zvXZSYx3niH+fTrO&#10;82MK6O8KunqRs6deUMefuaIdqWvWIKmqktuWVFYq2puJ6KwM0fYMLg9B18KEh4rrC2GefwfyhgNy&#10;hFO/6LR+MZAYTk5xrX/YLU7Qz9K4eXPsPIRDMA8K8oc+0I/nQHhMBAvm2eUrUVO3G00XzqP3/gP0&#10;jT1kl7Sqa+4+6Lum584dFK6qFnOKxoI2LcjHyp1Q/H5sSgKqDh7RYtuvzKznLiWgKxQKhULhJihu&#10;8/tvP0dhYS4+WLZcLl65GaoFrkW3H3WbuOfLkNs6bVszjCFO1uzW63mjQURuEbuuZcf2OlQ3fP9Z&#10;xFeudVrUJeh3gkNDkdXSzwKx9ByvIb//IlK3NMBooQhx5wR86svg0DBk1nUjfxqUDKAxjy6pQCBF&#10;pTsZVR/gtxyhKVnsHKda77LjT5QCQWYPieYnNQFdQC70yIZDMMUmQ+eNeujkQtfrEBBfy7V8Z6ML&#10;fZ647sXF55CRvhHN1g/QaSbxXC5meQS7sNsS+y5aynRo3B2qiae+5Dh/E4466eLPFDdPAnVrxGK0&#10;Ghb4oCPdLqSHv4PmkgA0brNwjLpP9vdL9ecb94SiuTpI26QQ8Y5WL90H+rbNsoDd6Otj4mDMP4A5&#10;JZek99lMhlzo80pGkJK+BR32PpH1lSu0WBaiwTAX94+0iefKP3NMtuyZU6HwFbQo9+8wfPEwv/w3&#10;sHAof8HqTUjMITEjr6UNtTdGWYiSvRRVzA6qxRwg8ZFqBbOITkKjZN64E60uug4Zxfa66E+fKmel&#10;D8KR7oLul9zoU1ob/VWwO/tFVDi5qcvPDCO/pR2pa9chJi8XYdERLNRqtdPFPJ9KQdYuCLM4TCK7&#10;XWifDOTCtoSYYIuJZMc71WmfMFQbPDZSc++/LF67A0c9ccJCvCSIE+P7ZoZA10hx7OQsdwjm1L8x&#10;ibFIK8pH0dpVWNVUj93HjmDf6CgGqJ75Rx+9qGmu1kO3QX1J3zEtFy8gNT+bXef0HSQbN3diEtD4&#10;J2akYtXh47wuzcTnLSWgKxQKhULhBp49+xL48WscOtiFpcu9I55zLHmwEWmzILr9OX3k2j4BS1wi&#10;Avycix0nl7U5Og45nYd9ZrNBfv95ZNTvdckZzZsC9IFI2dyo1b13UtwtHBxBQu1mdpI7LSqLvgxN&#10;StME5WmQekDXGp5TxLH3sut5HVwDPbsQhQcnVwOdBPic3iHEtr0Qzx1EtZ9FxOYOGKw23pwga4db&#10;0Yu1wxSKpdk9WFhMUe5ykWgmQrHTi4rPozClCh2WhXbnuVzIcjsUy00CaNgiNBf4o3F7CCgWvaFJ&#10;IqROFxx1vQXsnC70R2v0O2BHOl2rL9Xy5o0Lol0x76K5IhANdaFa23114wK1i6P87X1bFIDWKNG3&#10;dB1T3rcL0WV6GzsiQsT62IY5xZdYVJbdczOV+UUX8EHRENbGxKPb9Jakj1ynyTgXHbF6fPm7MRbR&#10;Zc+dCoUvQf8O+s+/v0Bz03YEGQK98tJ2IpDLLyw6HIXd+2bsS13FxCFXXOXIDaRv3ASzVdtkIZs3&#10;7oQEJop0j01OwJb9vc+FI5kAopha+h9pYnrzvVGsu+47tdFfCQvqdzmCnOr9V56/guL9g8huaEbK&#10;6lWIykjlJA4uXeAQjFng9WFR19G218DiNIvVDuHaGV66/okga+Msg/ubEH2n1S4P0iLZKW1AfEbE&#10;RCA5NwMFq6qxpq0FWw/0oeH0EPbevaNFsn/6KQvnLJZTPXNV09ztODYl0HdMdGIcgvT+0rF0NzQv&#10;qMxARlE+tlwY4c2KlZdn5nOWEtAVCoVCoXAD9ILziz99iNjYKCz394IAJiChLbqobNqImO6iYHAY&#10;UYWlTgu/JFBTDezkDTv5GLJjexuKk8/pOAxrfILTLnCCNlFE5peIYw3x5gLZOV5F4cERRK+sdbqe&#10;PPe5PhAxKyp5A4Ds2L4ER+V3H0NIQoprtd5JQM8qYBFedvyJQgJ6UucpRDT/VDzXOIWojrMIK9/I&#10;9dCd3kzhAvpAf+iiCvFOMbkpz0sFopnG3OJhvFc0hLKEQrRbtDhqmXjlEVjwXIiW5A+4zjm7jH0t&#10;Snyy2GPIyeHdvCIArZHvvHB/+5KQznHo9rFYbeTYdJ8X0nmjhb1vS3XaJgXq2ykV0jURvd4WiIis&#10;BswtIRF9dqwlDuiaYzPr0GJ9X6wn8yV95CLmBWgImovje7aI58tvlAtdMS2gfwv97bvPUV5RKJ4z&#10;AmCyyF+4ehsSj8IT4rDy4DFNRJe8GFXMHqqvUZ3jO8htaII1IpQ3WcjmjbsJEvcERW1X7d6J3gcP&#10;NEFJCUk+B7vRxbj0jI1h5+0HqBFzpkLg00K6HXKnUy1vqp1efeU2yk6eQ/HAEeTUNXJMOtXdtoSa&#10;xXw0spjOcevkUqcNT0osnvW8LJJT7DfXLKeoebOW1kFzxxZlY3dzQW0laup3Y/eJ42i+cB4d167a&#10;a5j/ikVzFcnuHeg7hL5L6DulavcO8R1jQZAh4Gdj6wl4M4VYP/IqVmLHyBWsvj02LdZJV1ECukKh&#10;UCgUk0SLLvwzGuu3YZmfv1O1uV0lQOcPS3QsslsHpkWEtjuh603dUs9iuLNCI8VxRxWVo9DHYtxj&#10;y9e4JO6SgG6JiUVuz0k+jvQcEvhn956ELTOf+0R27FdBfa43GpGyqU4cx/fLBlBUffqONgRbrc5v&#10;UiCXf4A/z5mCAdc3XeT3nUZGtxbd/nPx3E6bVg/dkp6PQK9EuesQZDRhWXojFpaMSMWhmcMZFs/f&#10;LTyFqvgsdJrne088J3GTBNuIxWgu06Fhj8P1PMPEcwcORzp9bg9B80odWuPe0/rCl4R0h7Bv/SVa&#10;MpeicbNZSwLw5U0Njr6ldu4QfVsSgJbod19ci+w6PY6W4tAUuhQp6Zs50WL+LBLRyXW/oPgiamLT&#10;0OXmUhAthrexO8qMm3ftLvQf5c+gCoUvQRs+Pn58FbFxkdAbvCNMTgQSiiJTk7DykD1eVPJyVDF7&#10;4Pjra/dR0NkDW1wMR17L5o274broZgPyKsvQOnJRRbr7MAceaZ/t9x9i4417PG98Mtb9VVy9i+rr&#10;D9iZXiPme+XwdVScv4KSwaNcZzyxrAyRaSkIi4lASKgZpuBALfZdrJUsmCpBfcbiEModLnLa3EPR&#10;61qtbCPCIsMQGR+N+IxUZJUWo2TDGqxra+YY9s4bN9Bz7y6L5STe0hpGYvnAx1o0+/j7SOE5HJHt&#10;9F2SW1nK3y38HSMZc3dD4jmtEyVra9F0+w7WinWGNhpJ16IZghLQFQqFQqGYJMBf8fjRVYSFh7GA&#10;LhWr3IguUA+9IQjJ63dq0e2zyH1OaI7i4zBHRjstiAYEBGgbD5oP+MzGA3LDp21vhSHYwGMra/er&#10;4Bh/swWZ9XudErPpZ3PaDyI0MYXj2GXHfhUkoBssFq32+jQQ0AsOXkJ8zSboAvyc39wifp4c4fFV&#10;a12una9Ft5/WotubJcL5y1A99B29MNoiXUokcBrxj2W9LR3vFJ7AwpKLUoFoJqCJ50OoistCp2Ue&#10;2tzpFH0ddsG4JW0JmjYGz2zhfDwk9tpd9o27rWguC0Rrwvto4xj1qRJ7JTjEZ9titFB99J0h9tj0&#10;cdfjSzj6lhzpdiG9lYR0rpEuuUYvwBtSQt5FetoGLCARvfiC9F6cicwT12vLaUeTm13obeYF2KNf&#10;gC2V2/CHb74Wz5pfSp9BFQpfwrGpeOhUH9dBNZp8I8qdMAYFICojDeVDFzjyWPaCVDGLuHKH58GK&#10;wWOITk/RYq69IBqycGXQISE9GdsH+zHwiYp091UctdH7PhxD/d1RrL1Gse63pp/L0h71rtVOpwQG&#10;rYZ61fANMf+PILe+Aalr1iGuuAgRKYmwhls1QV3vp90XLJb5zlqumBi0nr0ct05CeaBuGQzik76f&#10;I2IjEZeaiLTCPORWVaBs2xasaqwX69IBtFw4L+6BMS0a/PFj7fOjjzHwUu1ylaAxddAY0FjQd0i8&#10;+C6h7xRv3aNU75w22FTt2IqOew+w7hbFtkvWnRmGEtAVCoVCoZgEVPPvh3/+CWtWV+L9JUuhk4lU&#10;boacyhHZBaDYbmdcxzMGcm0LYgpLWUAO1Mv7SQoJqDodEtdud1kQdTcU457ddhDWhGSnxexAFtz1&#10;iK9cy8eRHV8GbR7Iat6PkOhYBDhZc5td71HRvInB5+cfxdr3DiEipwj+TjrtCW2Dghmpm+tc3nDx&#10;PLpdJphLoHrotuqtLNw7U6LANbQNAstTtuGXxRewsHjm1TDm2HZynsdlotNM4vkCqVjlVhyu8/DF&#10;HLfd6Ki1LRNDZwMk+LaGo3GnlWuPt8bbhfQpr+P9EqZfoo3qo8e9h+aqIDRSrDuJ1L4spBO0IaNF&#10;9C1Fuxf4oTVs8fONG9Lr9CAkoreEvIuslLV4v/jMrBHRNRf6edRQuoXJvS70TtNbqLWEoXX/Vfzz&#10;X1+LZ04V5a7wffDsa/z731+itWUHdHqKcvcNJ6OJMAYiriAfFWeGUXNDieiK26i5NYayUxeQsKJE&#10;qxPtJRGCBK3QcCtq6nah9/59juGVCSWKqYeE9IFHH6Ln4Rh23rqPmqt3fL8++uu4cscOieriesRa&#10;WCvugxrxd6VHT6GgqxfZ9U1I27gJ8UWFCE+MhTXMwmI6lTzg2He7A5XuF17jHUjmusINiL5l5zhB&#10;fS4IJihGmxBjQkI5iZsGMU4kkpMjOTw6HPFpiUgtyEF+bRXKd2zD2o42bN63F3uOH+P49b1372Lw&#10;yVMc+vQzDD59ymsRieUHHmkiOQvlSiz3GTiyXXxnVO/ZJb5DQjRBWzZnPACdi763KJGgZ+xDbLo1&#10;Or2SOSaBEtAVCoVCoZgEwLe4ffOMeIg1wS/A87XPyUFttIYho67HZwTgqYDEzPTdnezE1+mdjHH3&#10;92fndW7nEZdFUXdDYxldXOl0nDqh0/kjPDPPfi0TSyOg5IKM+r0w2yKcdjqTqGxLzUTuXudi46cC&#10;us7Mxj5xneHaZgvJ9bwOut+CwyKQzW5756+VxHOKbpcJ5a+Eotybj8OSXsDx8bJ2uZXAAASFROGd&#10;/CNYWDyzXOjkDCXxvNqb4rmj1nnKB2jaZLZHbs9i8fxlqB9I7N0ZgqYKvT3a3SGkC2T96W1IRA+x&#10;pwZssKcGTIfxs7ezab0JraLtbXwt3hfSyYHdIcZ0RVIJ3isW92DR7BDR54u1xpzbi4YwP7e60Pn+&#10;CJ6HnPSNuPb4d+xCf6ai3BXTAOAv+Pvff4OqqhL46/ykL2KnBIuRRaC4gjxUnCYRXcW5K26xE73y&#10;wlWkrl0r5gm5Nr0UgxusZ/Erc2URmi+cU5HuPk7/I82R3jH6EFtv3kf15WkupI+HnOrXH2h11O88&#10;Qq1YHyvOXcbKI6dQMnAE+Z17kbFxE5IqyhGVnorQqHB7TXUxn0nYJVGd5rTxZZGdBHZVY/1nUH9Q&#10;nxEOQfwlIZw22HANcntf0v+jn6HfsVhN3O8UvR8RG8VpFlSXPL+qHGVbN2FVE7nIB7Dn5Ak0nD2D&#10;1pFhdF6/xrHrFLd++Fefa2L5E4dY/pESyKcB9N1A40eR7XkVpXx/0byQzi83Q/OU5mR4tA1b9+/D&#10;fjFnNt8eRfksEc8JJaArFAqFQuEiFFH49+9/g+qqUnywdKlcnHIjFD9NxFWu8xnhd6qg6HByQIcm&#10;p7HIKeuvV2KP5U7d2oSCft+JcU9evwtBRiOcruse4A9zZAxy2g5OWOQlwT5tZzsMZpPT5yMhOjKn&#10;EHm9pzSHt+T4vgKNb9L6nS4L0fR7IXFJnHjgSqkELbp94u7z57SfRcT2vTCGR3pBRBf3g14H/4Q1&#10;+CXHuM8MF/pz5znXPJ+HNosXYttJsKSa2oV+Wq3zFpvvO5inArvYy9Hu1UFoSf6ARWuOIPcFR7o9&#10;1r0tbBFaivzZOa/Fuvu4kE5zTfRt454wNFfq0Rr1rrYhwMubE8iJ3mGZhxVJK/Be8RnMmwVO9AVF&#10;57Go+DxvHOgyvS3tF1fpNM3B2rBQFG45h6++pXhs5UJXTA+oHvpvfn0faelJ0AXppC9lpwSLQ0TP&#10;R/mZYVQrEV0hqL5+H1WXbiF79x6E2Kw8R0hMl84hN0IuUoMhADFJcdh6YB/6Hz1WbnQfhmPd7fXR&#10;W+310auvaPXRZ1yMMQnq1+7xRiMS1WmjSbX4e6qnXn72klg/R7Di4DHkNbUgY/NmJJWVIiY3G7ak&#10;BITFRcMaGYaQMAvPc0p3oBrrRr3AoLO72UkYtgvtLCZPs5h4e5sdmwT4k0VN7Zr4+ug6CRLD+fr9&#10;uA8oIl9LvBDXbjXBRIJ4uBXhMZGIEMSkJCJWkJKXjeyyEuTXVKBs60bUNuzB5t4e7Dx8CO1Xr3BN&#10;8u5bt9Bz5w67kvePjXHkOm3GOfjpp89F8ufR60oon5bQ+A2I8aPI9ri0JBhpTtGGCtm8dDN0b9JG&#10;Djpv49BJ0ZZPsO02Oc9vydeNGYoS0BUKhUKhcAGu8ffsL7hy+QT8AwIQ4KQI6QoUtW2JjUNO11Hf&#10;j872NH1n2F1MUeyBTkaQEzrxO7a0TJ8RgWlDQFbzAa7r7nxNch0MZgtSNtUhn2riS44/nskK6DEl&#10;FeI4Qz4toHN99r0nYUvN4PGWXctrofh0fSCiC0u1+80FAT2pwwXxnDmF6M5zCC3bwG3weJS7PgB6&#10;cwQ+yBvAwhkgdpHz/F1ynsfbneeeFs85sn0BWqLeQdMqIxqawqaHa3mqoT4i6kM1wTf+PXuNdC8k&#10;BUwEbstCtCS8h6ZaMa6inbwpQnYtvgQJ/bRBYZsFLTnL0BoirsPoZRHdsgAd5vlYSSI635MzX0Sf&#10;UzICc24PGsL80e7GKPc2y0LelGBL2Y26w48BfKVc6IppgVYP/S+4ef0UbOEhMAR7x9U7IZ6L6Hks&#10;BKma6AqCakOTWFjYtY9jq41GL5UgIIFC3B9Ul7h08wZ03byBg599plyhPoyjPjr9ufn+KDbcuMdz&#10;qHymi0oU++6op379/oua6uLvOBZe/Ew1RcEfO42inj4W1zO37+B0h/iyMq6zHp2diaiMVNjiohAW&#10;G8k11812l3pwkD8MVKc7cLldbA/QCKJPEt3tjmx3Ywy0n0MC/b3ej9v0HNHGYPH/LKLNlhABfwYj&#10;NMoGm7imsOgI2BJi+DqjMtIQlZmO2MICxK1cySTXrkLy2nVI37ARxY2NqGxrxfp9vagbOoWG06fY&#10;LU5zjOeaWAcYqkVOfET1yKkGtl0Yt4vjLJCL/69E8pkFbYTYe1fcW7t3ICwilL8rvPK9JKBNIVQO&#10;IKM4H20jFzH4yRPsuvtwVtQ8H48S0BUKhUKhcAHga/zwz9+hsDAXy/w8H7NMMeUUV568cQ+cqXU9&#10;kyF3cXbrIEJi4l0QnQMRFGxE6tZG34lxF9djS88R1+InbfOr0UMXEIDY8lUoPDgiPfZ4XBfQxbkC&#10;dUhYtcVlUdlb0H2Ssaebx9kVAVoXqBf3nAGp21ucvufy+7To9qiWky4K6IJWinI/BlNiuudd6KJ/&#10;gsiFHleNRSUjWCgRh6YLL8e2d3kjtp3Ec5MW2d641aI5lWWipuLVkHOaot13haC5/CUhnaPdx/X3&#10;VEDJAuKzJWsZGrc4YvnHXYMvQu0UfdtcJfo02uFGl1yfh2gX916HuAcdTvSZXhOdaqFTiseKxCKx&#10;9swRfeC+TQskoK8Kj4ax4hwefvob8Qz6pfTZVKHwNZ49+1LM1z/j0MFOBBkCEeyll74TgV5ABwcF&#10;ILGsDBzjfV050RXEHa4HveLwCcTm52hOUS85/Rxu9NT8LOw5cey5a1Qmqih8B3Kk7xsbQ+O9UXak&#10;0xyakY70V0HC+UtUc211TWBn9/qNUS0W/vYY/3fFuUsoP3UeJf0HUdw3gILOHuQ0NCOnsQUZ23ci&#10;fcs2pG/djuTaWiSWrhSUinW6FPHFRRwdH5WWLD5T3EZkWhJi87KRWF6mnesniPOLc6eS2L11h9Y2&#10;QZogc+du5Io2P6epFUV7+8Q1DaJoXz9KBo/wdZYPXUD56Yta/9z6kNeXjXc/xK4Hj9H64cfoffwJ&#10;R3MPOpziAhbCWQx/UYfcgdpYMzug8SfxvOn8WWSUFHKkv7ci2wk6FznP82sq0XXjOg6Jtuy+MyrW&#10;tTtKQFcoFAqFQvFmHI6KkQtHOFLdK+5zfz+EZ+Ujr3cIeeSslYh2sxESguMq13IdZxoLWd+9Cop+&#10;J3cy1an2BSGY3OPxdC0kUjtb1335MtioDjpdxwSuZdICeu1m3xbQRbuofdEFK7m98mt5PfR7wWHh&#10;yOmkxIeJ33MknueI+zSOotubJcK4M3ScRfjGVuhNZqdr1TsN1UI3h2FJdg8WlAxLBSJfZ17xRbxb&#10;dBqV8bneEc9J4KV62fl+aNw9TdzJvgy50e010tmRTjXSKX7cF4R0ThkQ7Yh8B81lOi2i3y5QS6/F&#10;V3DEum8PQUv2Mu06qD9l1+gBqB44pUBoIvpZzJ/hNdHnFI/AkteDepsOHW51oS9Ai2UxrEm7UNB0&#10;B//8x5/Ec6iKcldMD0hA/+9/v0J9/Wb46/x9SkQnx6PZHISU6mpUjdzUYrwlL04Vsw9KJag4O4LU&#10;Vavs0czeSVCgjR0kopPTsGrPTuwb1eoWk5AmE1kUvgG5hQcePcK+MS3afZPdkU5CU+UsqhP8Rkhg&#10;J8c6R8OP/kRcJ2GZaq+vIu4+Fj93B1UXr6Fq+DpTef4KSk+cRenxM27mtCZwD994fq7n2M9P9eCp&#10;Tdw2O1wnntr8ErRu0DVVC6poUxZtJKBrvXYfG27cx547D9D24CF6Ho49nzMH7CUBFApGzAmK3e8b&#10;G8P6znZExUcjiGL/vfjs5EhEqa7bxWkIB8V3UP1dLalntq5nSkBXKBQKhcJJ8OxL/Ptff0BRUS6W&#10;LnfWLew8FD8dHBqK9D1dKOi/KBXtZiskOmc17oMpPIIj7mX99yrYhW4MQtLa7Swoy47vTUikzazv&#10;hSEkxGnRlzYDWKJiRF/0TchR/1xANwVzP8iOKWd6ONDJMZ7dcgDBYTbX4tsF1KdR+Su1TStORtUn&#10;dboa3T6O1lOIah2CNXclAkV7qP9lbXUXet0y6GJWYnHxec1NKRGIfJX5RedFu8+hKKUSHZYFaDN7&#10;OLadxFTbIjRXBGlCJYmp48VLhWuww9uGxl1W0b96tMa+qwnpdif4lEJtEG1pSV6CxvUmTfSfDmNP&#10;mzvqw9BcHojWsMX265Bcnwcg93SbZREy09bz5pyZLqLPLx7BysRCdFrmc/y6rE+cZyFvRKiOScbC&#10;vLM4cfUj5UJXTCto4/F33/4Kq2pLERDo3RfBb8IhjqbUkIh+A9XKia6wQ3OB6ltn7dqD0IhQjv3n&#10;TReSeeRuyPlH9ZEzVxSh4fRp9H/8kaqNPg1w1EjvE58klG65eQ+rrtxh0WlWudLdAcfFUzy8FhGv&#10;udrFPelmKH1Ei6J/+Xwv8yKe/nU8H2MBrRurr93F5hv30HB3FJ2jD9E75tho8aKOvkLxMuQ6pw1T&#10;7VcuoWhNrf27QHzvjPt+8BTaBi4dwqNt2NjdxQkoBz/5GI1iDleLOV4xbs7PJpSArlAoFAqFU5Dr&#10;53ucO3MQQQYj/D3tCtXrWQCMXVmlCaO+6vidQkgMji4q14RSvaQPXwM5+0PiEpHTcWTC9cM9RX7f&#10;WeT2DsESE+e06Evu+yCjAalbmlAwOCw9/stQn6Xv7oSRxXrnBfT46g0+LaBTffyYkkqXkgkY+h1B&#10;2vZWPpbsHDIozcAR3S4VxF0gqv0MInf2wRhqc3pjhdPodTAEW/BBdjcWloxIxSFfZEHROSwQ7c1L&#10;XYV2yy/RZp4nEaDcCImPVO98jRENzeG+70KerpA4TUL6jhC0FPnbY8hF33vRQS3F4UYPW4zm4gAW&#10;+jm63+fd6JrYT8J/S/x7dhHdO31JTvRW67vISN+IBcXD026DjjNQEoY5dx/qQ5dq1y3pD1egOPzG&#10;0GUwpbcidN11/OFPv1UiumJaAXyDzz+9g6ysFOiCAqQvb6cKEirNz0V05URXvIDEM3KVFvb0ISIl&#10;kWsie2sDCNefNQYiPCYctY31mhPw6VMV4TwNIKHU4SzuGh3Drlv3sfbaXZ5TVCddCenTHxpDEswd&#10;47n66h2sv34X2289QNO9Uey1u8wdc4E+x88ThcIBCeckWG8b7Ed8ejKv/VTWQ/bd4Anoey1IPJvF&#10;pyVi15HDoj2fYFC0p/Xew+ebgGT3wWxBCegKhUKhUDjBs2df4ftvf4uy0iK8v3SpXIRyI1Tb2xwZ&#10;heyW/gk5i2cj5NzOatqvCYxObmggcZXE6riK1Vqd66kUhCl2XHxG5RW7JJQG+C9HfNV6FAy8WfDN&#10;P3ABmU37YImKdr7PRNuii8rszmzfE9Dp2rKa+mAKj+T7R3YNb4J+LywpDTmdR7R5ITnPeGjscntP&#10;I65tEnXPpZxCVNtphJVv4A0Bsva6lUA/6GLLsKj4HBYWnZcKRL4EiecLS4aRnLkDzSHvuTU2+WfY&#10;hdOWxPfRuNmsItu9BQu/4WjcZkFzUQBawxej1ejdet5SeD4s4PnwfDPFdKiNLuYtb0rIWqZtRvDS&#10;hgQSkzvC3kVm5ka8VXyJ713ZPT3dWWhfO1fFpbHoLesLlzAv5NIUKxIK8VbeRdQdfCCeS78Ansmf&#10;VxUKX+PZj5qIPjY6jISEKOgNgdKXuFOFw4meWrsKVZdusSNR9hJVMQu5codjmVceG0LCimKv1kUn&#10;jKYgBAfrkV1agvpTJ3HwyVP0P1a10acLDtfx3rExdiNvuaG50snNSaKUEtOnBzROL0Tz26i5cpsF&#10;82237qP+7gN0PHjItfDJXU4owVwxIR49YvG86+YNlG3bjJAwM4vn5hDvJfXQ9xmlnlDiScvwBRx8&#10;+qn4jnnE5SiUeK6hBHSFQqFQKJyA3OfDFw5DpwuEv4fdoOycFcRXr3fKBTvrIOH5wHnEFFdozm3q&#10;N0l/vgoSkA0hFmTs6Z7yiHzaDJC8budzB7Ssva+C3PSRuSXI6z2pucMlx3fAEedtg7DGJzktMpOA&#10;HpVbKM5zSvS9c9HmHkfMBXafr6wR1+VieQXR7zrRl/HVG52K9qfa56kU3d4sE8EnCbnQ6w8iODYJ&#10;Ohc3BUwcPfRGM5ZkdWJh8UWpQOQrLBTMLbmEiOwWNIUuQafZC+J52lKuJ63E8ymAotLJQb3JjJYC&#10;P7SGLfKqi/qVBC9Aa+giNBf6a250aqevu9GpjXVhaC4J4LZ7TUQ3zUVP1BLklzVjgbh35xXK7+3p&#10;znyxdlpzOtFifQ/tZjE/JH3hCh2mOaiz6RGU3Yv3Si9j7JNfiefSL1iYlD2zKhS+xrMfvxBz9ltc&#10;vXICIVYTDMFB0pe5UwWLohSbvXUbaq5pkcGyF6mK2UnNjQcc85+xaTPP3+DgQK9FujvcgRExEVhF&#10;bvT7DzjSnSJ/paKMwufQhPRH6Bv7EB2jD7Hn7ig2Xtdc6SzOKjHdZ3CI5Y4xIaqv3OEUge237nOk&#10;dfu4WuZKNFc4h5gzH2mlObYP9iMxKw0GQwCCTd59LqLNWSHic+XG9ei+dUvboCXmMs3v1Ve1jT6y&#10;e2S2oQR0hUKhUCgmCPBnfPfXz1FaWoj3l3jefa4LCEBITDxye06wsCoT7RQaLAi3DrBb39n4c4JE&#10;5PCsPOTtPfVG8dmT0EaArOZ+GC3ORquLaxDXHZaUgpyOQ292TdOmA0FkXgn8/ZZJj/cqWEDPJ6He&#10;9wR0Es8zGnphCg8XY+qaW5tTH6iefPP+Ccf6k/s8Z+9pxLa5qfa5hKjOcwir3gY91UF3cm44i56i&#10;7yNysKjoDH7pwy7Rt0suQ5/bh922IHSa5kgFJ7dA4rl5IZrzlqNhd6gmPspESYXnIWGa4tKbbGha&#10;H4yWjKVotTqE9HHj5k3sTu6WhPfRuDb4efy89Bp8BXsbm6qDNFc/9aHs2txIi4BE9P4kHdau78Sy&#10;ymuYmy+/v6czC4rOY7FYP6vjM8Xa9La0L1ylS6x1OSk1+J+8YZS13MIzej5VArpiGoFnX7ET/cjh&#10;bhiMet8T0U1BCAk1IWvnLlRfvaNEdMVP4LrJ1+4jv7UdEYmxXBfdW5HuhFYb3YCMkkLUD53CwMef&#10;CD6WiDMKX4VEVofY2js2xkLVztsPWJytuaLV2q64dEvVTPcSDqH85Th2qmFeK8ZijRiTrTcddczH&#10;0PtwjOvb0/hRqoAjpl+hcAauLf7kKTqvX0Xp5g0IDbfyBilvfpfQuajeuS0qDOvaW7WNIJ98wnO7&#10;W8zzdWLuU9KC7J6ZjSgBXaFQKBSKCUCOiWfPvsHlkePw8w9AQKBz7mCn0etZKEtavxP5/ar2+Rsh&#10;5/GB81ybW6dz3qGr05MgqUfi6q1T6vanjRK5XUcRmpTCznhZW18FCb+hadnI3HsKOYOXkH3gIrL7&#10;LyJn/3mBOO64OVQwMIzkjXugNxjEfJ7ouSjy3h+Ja3doIr0vzcv9Z7VNAfkruS/k7X8D5D7XBSB2&#10;Zc2Eask70NznQ4j0hPvcQesQosWnOTnT8y50vQ56YzCWZZBLdFgqEE0liwRvF19CYN4BbI2yedZ5&#10;bhdGmwv80VhvFx1lYqTCu5CQbt/I0LTaiNbkDzQBnaLdZePoDewpBexGLwpA405yo/t4bXT7hoSm&#10;taIPY6nGvOf7r4X6yfAWjhWEoqf7OHRVV/GL3NPSe306Qxt8bJmN6BDX3GZxX7/SZqFtYt37IPcQ&#10;Fon1+dzNT6BqoSumG8DX+Pe//oj21l0IMgTCaPJeHPZECDbpYbGakL1rN9fAriIkL1QVsxOui379&#10;AVYePoH4wgKYgvW88UI2lzwBCehcGz06HFW7d6Dr1i0c+uxXOKBqo087SLRyiLAkzJIzffftB9hw&#10;/S67P2m+kairxHT3Qf1I/UmbFKhv6e8oppo2MFAiwA57DfNOMRY0Jo5x4k0PhP3vFApXIJF64PFj&#10;7Dh8EAmZqTAadF53nWuJJv6IS0vCziMHtfrrjz/iOd41qonndH+Mv3dmM0pAVygUCoViAtCLnn/+&#10;g2qfF2Opn4vR0E5A7tmwlHTkdiv3+UQh4Ztc6JaoGJcEVBJOTWFhWpS7E9Hd7oTc7yQCcwS5v3PX&#10;sFz8fFJuAaob2lEpqKpvE7SitH0/VnQfZsE7i4T1gRHkHLiIXKL3NMKz8vlcXDJActyXoXkZHBqG&#10;rJZ+FBzwrbIC5N5P39kGg9nstHvfAc2B4NBQZNbv5ePJzvMz+jT3Odc+96SALojqOIuItfUsbrtS&#10;J98Z9IFiTkTkYnERRaX7lgt9Tskl6PIOYFukFV1mcp57yDlL0eAhv0RLvj8aSDynWtwyEVIxdTiE&#10;9LpQNJcHoiXuPU1E91IkuRSTgIT0hPfRtC5Ya5+v10ZvsaFpi5kd9N7ahNAc9DbOVMTi2KlrCFl3&#10;Hf+TM7NE9PnFF7C08CTWxiSgy60u9IXoNM9DbMZO/H85F5C2/Sq+/e6PwLMvpM+vCoWvQv+2+uH/&#10;/oAtm1chQC+ev8zec15NBI41DbMgv6UDNTdHOb5X9lJVMUsR84FE9Ipzl5G2YSOsthAEc91a+Xzy&#10;BCS6kIMwrTAXOw8fYgGEHOky0Ubh+7CYLiARi/67Y1SrmU41tklQ57rpdpe0EtQnxsvucodgXnNZ&#10;E8s33biHHaJvG+6Mou3+Q3bdjhfKHYwfK4XCWWiD06HPPkPnjeso3bQB1jCzlijiRdc5EWyvd55d&#10;voLrnZN4TnXY+0Ubux8+tIvn8vtpNqMEdIVCoVAo3oBWr+/PuHfnvHjgMMFf59n4ZBIyyX2evKlu&#10;St3Q0xHqL6pdTRHXExGEx8Mu7qRU5HQcmbiA6iZy+84id/955B+8jOQtTSyQTvQaAgRBYs6sDteh&#10;Iy4AzTEaLTH+qE+2oC4tHDuyE7C5KBObKldg7ebNqKlrQfG+U8hsPwRraib8xbkC9DT/fn58cuhT&#10;3wQZDUhas03b1OFD7nOO3d97kseOSh+Mb/9E4L4WfR67sprTDGTnkUHx7endHnafO2g9haiWE7Ck&#10;ZrPY72ydfKfQ68R4m7A0vQkLSy5JBaKpYF7xMPwLDmFLVDi6WZTylHguCP0lmsoCNYFRiee+jd1J&#10;TfXpm1fo0BrxjiZiT2V9dBKibYtEewLQuCdUSy/wZTd6s437j2PxvRGJL8amKegt3NxZiJs378O2&#10;4Tr+X/aQ9L6frsxZcQUp6Zs1F7o7a6Gb52FdbDIWF5zC/PzzGLzwSDynfqVqoSumHfTvq6+//Bi1&#10;NSuh83J86USgGtdh4nmjsLNXq3+tRHTFOCjOvebaPRR09iAiMZ5FdK6lL5lPHoGdhAGw2ixYsWEt&#10;Oq9d09yEH30kFXEU0wcScqm2Nom5ex+OoePBGDujd9+5j8037qH26l1UXr6jicSvQDZnZwo/uVb7&#10;hoLxUCT+uutaDPvu2/fRKPqPxfLRMewb0/pX1S9XeBISzgc/0TY2bd7Xi8SsdF6zve06p+8KEs5D&#10;Qs0o27oJvffva+I5t1Fznq8X94qKbZejBHSFQqFQKN4Ann3JrF9bjWV+E3PqToYAfz+EpWYit+e4&#10;FpM9TrBTvBqOQO8+jpCEZO5HWf++DhpbiiiPXVGFfKrv7eF66CSakxs8p/8CCnpPoqjrCGrrWrCh&#10;rADRIQYsn0CpAJ1geZAB6cF+aDUvQHvwXLQFz3tOu3EO2g1voyPoF+gwvIV283y0hr2L5sjlqI8N&#10;wu68RGwozUdacgJMwUbojEb4G4KxXB8EvwAd11an6PbgMBuS1mri+VTWiZdBGycSVm3mdrp6f5Ig&#10;bY6IRE7HYW2DgOQ8MsjFn9Duudrn44lqP4OIzR0IMpkRyKUH5NfjFgL9oIvMwztFQ1hYfF4qEHkT&#10;cnS+W3QGNQlZXhDPF6G5Qo+Gtgit5rYvC5+KF7DbOxyN5KbOXoY2qxhLoxfE4FdBTnjzQrSkLUHT&#10;JrMmovtyGQDqvz2haMlcpsW5e7jfmk0L0Bz0Fka712Ds6a9h23AN/y9LrDeS+386Mr/oAvwKj2Nz&#10;pI1rl8v6wBVIjG+2vgtbbif+X955RK27jD9+8TuoKHfFdAT4K37/2wfIy0sTzx46+YvfKYQEURbR&#10;u0lEH0XVZSWiK35K9ZW7qBVzo+zEWSSWl7FQQQkGsvnkKYzifCSOxKYkYm1bC/aNPuCo4AOPH/9E&#10;zFFMT0jgei6oi//uHdPqFFNd7ub7o9h16z623rzPNbtJNCaq7fNTc2BrrnV2ro8Tm8fPZ1/gefvs&#10;bXY4yB3XQT9D11djr1Vee/UOi3+aUP4AjXdHubY8CeW0+aBP9Bf1m0MsV4K5whsMfPwxBgVtly+h&#10;aE0tl4bxdq1zwmQxcFpJTGIcNu3bi37xvUBtozbSvcDiuVg7lHj+apSArlAoFArFGyB3xJMnN2GL&#10;sHFMtlRochPkOg4yGpGysc6pGsyKFxT0X0TSuh0IMhhcivJ2jEHqtmaPJQCQcJ49cAn5+89gRdt+&#10;1GzbiZ1FaWiM16PV+g66QhZireV9BBv0LI6TSC5rq7+A/n+cMQC7LIvRPhFB0bwQbab5L8R1+rQu&#10;Rps4746wpSiKtiA5zIQY8aBti45BaG4J4tbuQFbrgCYs08YCyTVNFTRGFClvCo9yKbrfAdWcT6jd&#10;qCUPTNBdT+7z7N7TiJII3R6jbYjPF5Jd7IVa6IF8LyxJb8YvfaAW+tySS4jMrEOHZYFbawr/DBI9&#10;Y95Fc7kejZtMaNwZoomereG+LX4qNGizA7u9bWhaY0BLkr0+OrmqZePtaRznDl+M5opANFIbSage&#10;325fQfRd4267iG7fACC9LjfRHDxfnGM+Pjlej0ef/wG29Vfx1gyqiT63+BKy0taK7+dFbnOht4nv&#10;+g7RZ6WJReL4w/h/2aex98wYC+jKha6YflDS11/x2ad3kZGRhIBAf+kL4KmERHRbfAxWHDyO2psk&#10;ostfsCpmMSRa0gaLkRvI3l2HsOhw8e847woldC6qjU4CfkZxAXYeOYz+jz7G4JOnPxN2FNMbEn+f&#10;C8EC+juq102u6p6HYywea271ByysU21vEpgpunz11TssOjsEdhKky+zx5g5eiNYaLwvuk2H8cV8+&#10;pwP6OWoXbQIgYXy1gNpN7afr2CKuZ9ftBxxv33J/lMU/um4SycfXLHf0jxLLFd6EXOcHnz5F7717&#10;WN/RiuiEGN7g5HXXucAozmkMDkTmikI0nT3LG6uo3Ae1k8Vzim0X9xXdjz/5TlP8BCWgKxQKhULx&#10;GuhFJPAt6uo2Y+ny5R53n5MgFp6Ry8Ic1cKWiXYeh877MrKf8WHIOU79F5aaocVcS/r5TXCUe2Iy&#10;cruOOeVGfhOacD6Cot6TqN65B1tK89Ecr0e7ye4YJ2HbvECwEB2Whag1fwCbeNgmkdxPQII5QX9e&#10;JjAZ9cgOXoY9lsUcESt70T4hSFQXkABP5yWBsj16GeoKkrB240ZUtO1D3uAIsvuH+Rpk1zYlcM34&#10;04jMKxFj5ufy/UlpBdb4JOR0HnUqup/j27uG5EK3B6Fa6OGb2hBkMnG5Atk1uY1AP+ijirC4kFyh&#10;U+dCn1d8Af4FR7EjwoIO81z5PHY3weK+CBGfie+juSgATasNaNxmQUNzuOZKZ5FWIkAqfAMaGxKq&#10;60LRVKbjTRHecFW/Entd9pbs5WjcEeL7IvqeUDQX+os2e15EbzLMQ4ftHfzueh/GfvVHGKpGMCf/&#10;jHQtmG4sEGtXYMFB7LLpOXpddv2uQOvgjnADAgoO4e2CczBXD+M3f/iNeGZVtdAV0xPge4w+uIiY&#10;mHAEGnzMiU6OYvE8HpmciJWHTtid6PKXrIrZTfXVuzw/ivcPIiYnS4t097JoognpOoTaQjiqt+3S&#10;CA5+9tlz0UQxMyGR+CfYxWOHkEzisiMKvvX+Q3Zp1wt23r6P7bfuY9utexwNT1DNdaqF7GD1Vc3V&#10;PhnoGC8fkwRxx/m23LzHbaCa5HvuPOB2NVPc+oOH7LJnF7lo/09EceLl67Uj6xuFwluw6/zJE+w5&#10;fgxZpSUsXlNCiLdd5wRHtodpke17797BgL3eObVTq3k+psTzCaIEdIVCoVAoXgPwF/zuN/eRnJzA&#10;ArpUYHIT5JY2mMxI86Dzmek7o4nMJD5yHLcraL/vqwI7iaCpW5ugN7rmQufa0gKOLKcY/Uld5xnk&#10;ij7LOXABxT1HsXbdWuzOjkNb2DtoN7zFwrlMnGijF+SCnZZ3sMK0FMkmf0QadUxSsD8Kgpdho+U9&#10;tNt/bvzvTxYW1MmhbpqHpjg9thZnYdX2XSjcewLZYn7SNdG1ya/ZC4gxKRi4wGkDeo5ud01Ipvmh&#10;p9SHTXUu3XcJbd6Lb39O6xCixWdIdgl0/p5dlwKDRP8EW/BBdi8WFl+UCkSeZkHROSwuPo8VSSvY&#10;delR9/l4HO5hgzhnyC/REvsemjOXoblMh6atFnY5a7HhJKYTEjFSMbXQmFB99G0WNOf7oZVi3dlZ&#10;/dI4ews6p3EBWuLfR9NaozZnmsa111ewz+nmIoeIPu5a3ExT0Fz0Jvnj9w8PY+jWZ1hUcB7zCqa/&#10;iL5QrF9UfmJlUrF9/XLPZgRaBzvEmpSTuhpvF1/C27mnsevAPRbQ8UyJ6Irph7Zp+RvcvXMWsXGR&#10;CDIGSl8ITyXkKI5KT0XZyXOouflQ+pJVoSBoflScGUH6ho0IsVm0SHcvCyjBZgMMQQGITU7A6pYm&#10;dkOSsKNi3Wcnz0VmuwhNDDCPMGiPNmcXt2Dv2BiLaw46HzxE6yShY7x8THLKO85H7XPUI9cYJ5bb&#10;2z7+mhQKX4Fi0Wl97bx+HWXbNsMWFcax6VMhnJto7RfPUBzZ3tujRbbb67BzWwVdow9VzXMnUAK6&#10;QqFQKBSvgdwQBw92Yckyb7jPAxCanIa83iH3C9Mkmh84zwIhC997T3KtcHLcpu1oQ9KabYivWI24&#10;slpE5hYhIjuficwtFn+3iv9f4uotSNvZjuy2g8gRv5vbc5Jd8nzMfoq99h1nMl9j7ymEZ+W5HHNN&#10;7nUeDxoLF8cjZ/955Ip+L+4+gnXr16I+2aIJ44a30GqaL30pPh7NEb4QjZZF2G1ZzDSIP5Nw3in+&#10;no4n+z23Qe5041zR5rfRYnsfe9JsWC+upbD7KF8bbQyQXbunoTmX2bgP5giKbnctaYA2SdD8IAc7&#10;OdmdrXmfK4hpPel9AV0Q1XkOERtbYLCEcPy89PrchD5Q3EMxK7Go+Bx+WUTIhSJPQdHtiRk70Gp9&#10;T6vhL5un3uBlMZ3+O/JdtCZ/gOaSADRuNLHTmYXH54L6OEFSMbWw49uGxnXBaEmhWHcxllMlpFNd&#10;dtsibe7QvPFVN/p4Ed0kuRY30hg4B3sz/TF6oxNbD9zFnNzzmF8oXxemE/OLh2HI3Ycm6/tiDXPf&#10;BqAu09tYGx2L94vP4K38szBUXcRnv/k1i+iyZ1qFwtd59uxLFtFPD/XDGmr2QRHdCFNwIGLzc1E+&#10;dBHVNx5IX7QqFET19QeouXYPBV29iEhOnBI3OsEijtmA5NwsbBvox/6xMRZ6lCNdMZ7nIrvAIWB7&#10;ivEOcll7FApfhzYkDT59in33H2BDdyfi05N5zSXXuWw99jR0XoqKzy4tQdP5cyycv7xpiu697tEx&#10;ToFQ4vnEUQK6QqFQKBSvgNznf/n6CYqL8vDBsmVSYclt2MX55E31TkVIvwkSkgsGLorPc8huO4SM&#10;ur1IqN3E4nhITDwMIVYEGYOhNxjsbdFzDXAS5BjxZ/o7+n/0M0HBJgSZLbBExSA8LQsJleuQtquD&#10;a1CT8E91293Z/slA152+pwtGs9kldzIJ6MG2CNFvg5ogLznHq8jtO4Oc/oua43zTJjQkmTmavT14&#10;LlpNzr88J5Fcc5prYjr92ePCuQSKmKdrIAddQ5IJazesR3HnIeQMDPNmAVlfeATeBHIC4Zm5Ypwm&#10;Ufc8IACm8EhkNvUh30n3OcW3Z+09jegpEtAjW08huu00LJlFLm8SmTB6HbvQl06BC53Ec0P+AHZF&#10;mNBpmiOdl1OCQ0wn6L+ti9Ca8B6aC/zRuCZYi+gmAZKi3n05qnu24UgM2GNFc2kgWqPe0cbQHq/u&#10;Vez1xVsylqKR0gyoNIAvbrpwiOhibmt9JbkWdyHuqyb9HLTnLsHJ45uQs+cC3sq7gIXTXEQnB/o7&#10;RaexKi5drGNvy6/dBdrN89BiXYKIrCb8ovgS5uSexo7+e8CPX+JHVQtdMU0BvgKefYkTx/rsIroe&#10;FslL4inDHuceV5iPivOXUXNdieiKV8OR7mKOUGpBSm0tQsIsnGQgnVsehN3oBh0sVjPyqspRf/oU&#10;9n84xsKPI9JXoVAoFBOH1s/+x49QP3QKWSuLxPpKselT4zonaI2n0h1Vu3doiSOfPAHVY3e0l8Tz&#10;roeaeK5i251DCegKhUKhULwCqn1+88Zp+Ot0CAj0rPucam6HpaQjt+eE02KtlL6zLGaT05wc5rFl&#10;q2CNT0SQ0cjCMIvkzwlkgZkd9g4cbbP/N/0/hn725d+lGuPid80RkYjMX4Gk9buR3dqPQhLSSZB0&#10;0bntDuj82S39CImORYALtdBpA4HRGoaMPd28AUF2DhnsyD5wFjU767AnO4brimsx7V6MnfYwXKdd&#10;XBPFuzcmW7Bm/XoU7T2G7AEx57wQ607u8/jKtTz3XE6GoOh28buUvuBKdDsJ6GndQ4iSidveov0s&#10;Ije1e8GFrhd9JdaN6BIsKr4gFYg8wfzii1hUdA5VcZnoNr0lnYs+AYnpDjczCYz05/j30JLnh+bq&#10;IDRts6CRRNtWe910mUip8C52Ib1piwUtOcu0WHeqjy4bX0/i2IgR+y6aVtsj3QlZm6cSmre7Q9GS&#10;JfrK03XkxX3UYpqPtpXL0NZdhsg1xzAnf1i6RkwXFgrml4wgNnMP2kJoA5wYc9m1uwC50AsSS7Gw&#10;eBi/yD0DU/Uwnn5OLvQvpc+2CsV0QBPRv8ahwU4Yg4NgmCIn16sgN6/JpEdydRWqhq+j+tp96QtX&#10;hULjjpgj91B9/T7y2zoRmZrEIjrNI9n88iRatK8mspRsWIOms2dw8OmnP4n3VSgUCsWr6f/oIxx8&#10;8gStwxexcvMGhIZbOTJ9KtZ0gs4bFOSPhMwU7Dh0EAOiff0fffzTNgvYea5qnruEEtAVCoVCoZCA&#10;Z1/hh//7PbZsXutx9zkJgFTDOWVT/aRrn1Ntc3Je5/UcR9La7bCl58BosSDA349jrl0WG18HC+s6&#10;+PstZ0HTEhuH6JIKpO9q54h3dqRPQbw79WVGXQ+CrVYW/qVtfw3OCOjkOOc65/3iIbq9H1tK89Bq&#10;ew/txrfhS8I5udZfhpzsL9Dc7c7SaZyDTtNc1GVGYdWOXSg4cI6j3XnMX9pAQXHnub0/7ztnoZr0&#10;WU37YQqP4I0nsrF7I3ratBKAiOwCFsLz9jsv+lPke0rnKbmw7TVOIaptCCEZBXwP/mTzi7sJDIDe&#10;FIql2d1YUOJ5MUurG3wRGWnrxTxb4FbBySuQmG4koZHE0ffQkr1cq5u+xaKJkSSo2529Kup9ChFj&#10;0NhgQ3OtAa3x76ONxs3DMeVSSEQPW4TmlTo01It2+WJqgWhT455QtGSSiO7h+5HGQfRHy1oddjTm&#10;wVrZi7kF01tEn1d0EcsLjmFzdLRbXegd4vt3V4QZ+vwBzCERPWsIuw/ex4//+QLPVC10xTSGRPQf&#10;/u8PaGvZyS504xREX78OTUQPQurqVahUIrpiIly5g9qbD1F+6gJSVq3ieURpBt6ujU446qNHJcSg&#10;fPtWtF2+pLkpP/roJ45FhUKhUGhwXPuTJ9h77y5qGvYgJjkeQWIdpch02TrrccR3B0W2W6wmFK9b&#10;jXaxjh/87LOfpYpwzfOHqub5ZFACukKhUCgUEii+/Q+/f4gQawj8dc6Lr85AImBoQhJyOg6zs1Ym&#10;1r0REqrpd3uHkLxhF6wJyRy5HuC/3MPO1HHo9Xw9dF6jJQS29Gyk7Wjldnm7TjptJKCa7bQ5wRVh&#10;8XmEe+vAa1IBziDnwHkWz1d0DGJTTTkaY4O0mHNynUtednsTR+w71UqnT0fse7OgybKI2WF5B5ss&#10;72Kt5X2UmZegXFBiWoos0/JXki1w/GyFYJ35XWw3zENj6HvYWpiG0qZu7h8uIdB/AfkHiHO8oSJr&#10;7xCL6T/vy4lRMDiC+Kr1CJyEYExja7KFa9HtLpYcIAE9qeMUIpplwrYXaTuNyC0dCDKb2VUvu153&#10;oQ9cjoCYlVhcfJ4FbplI5C7mFQ/DkteLelsAOsxTfy+5jMNh/HLd9LQlLKZzbDcJkySgOwT18aKl&#10;wvPY3eiNO6xoKQpAa+giz7usZZBoTJHuWcvQuDNEtMkHI90dInrGUvsGEcl1uAvTArTFiPtlexC2&#10;1aXCWtmDuQUjHl97PAW50OeWXEZmcg26zVSOwn2bEDrFGhmXsZNd7m/lnUYw1UL/rXKhK6Y/wJ/x&#10;wz9/h5am7exE90URnQTQzG3buNZ11VWB5MWrQvEyNTdGUX3lDgraOhGVmgiTKXDKBBhyTZKQHiva&#10;QYJQ540bGPj4Y61urhLSFQqFgjcW0bq4/9H/z95f/7eRbH3b6B90znnf59l7ghMG2wKLJUtmZuaY&#10;OYY4cWISmZI44NCE4zAzD09mZvO+9+zZzHBPvqdWteQ4TicxSLZs1w/XR05id1dVV7U7fdVa62O0&#10;Du9Bck4Gu2erecp0ufvqbOAtyxGVEIuWPUOsnc95yvY32s7a3PfkGRopbbvM7yPB5BACXSAQCASC&#10;CVDEDkU97BmyIygkxD9R217o2Gol4uvaeNpzOVH3PkgA5jPSdg3CmprpEefB04q69iWUNp1EpVqn&#10;gy09B6k8Iv08T60u1w9fQ+KWaqBrDPppRqArYE5MlqKox0VSe6Ga31T7m8R5S20lHNFK9BuWo1+7&#10;VIo6lXnJ7W8oipxk+W7PJwnyLuNqdBjWoNmwFlsMG5GrD0KSLgRRWgWMGhV0GjW0DA1DzfpNUP8V&#10;78H7vQT9LB1HrwpBpHoz4i16xGVks3m9jV33QWQ5D2LH8fO4+PxjdF15iFzadCAzppOh4Mg1RBSU&#10;ISRo0xvXbDJIc0GNxKYOT8aH6bWDBHpcfwAIdPdZ/mnKLOJzVq7PPoPdq0INYdhAtdCLr8pKIl+w&#10;vPCiVC84JgmDBraefCia5hSvTCdM7GvrariT1vOoY3ubAfZOsyTSqW56IKbxXuh4MgI4GnVwJ6yX&#10;7uP+jrSeCEl0OmfcOthbDB6JHmBzgST6DhMbow1SW/0p0XUr4ErbCFevHju6kmGp2Isl81iiLy26&#10;AkPuPnRZ1ezeRhJdps/TYFC/BHWxqfy+SffP/5N5FsPnP+Z1pF+KWuiCeQ5tav7XP34Bl2M7QnXs&#10;edMwNylS3wZFoVP0V1ZnF693XUXIvHwVCMbDa6PfeYryc5eRWlsNM9VGn6PauXROrSf9MIn0Okcv&#10;Bm7d5BKdoi0nChmBQCBYDNAmoiNffYWD7OtdJz5CZgnVOddzcT1X6doJ2vikY89D2eWlcF25zO/V&#10;JPkntv/QJx/D/fgp6m8+EGnbZ4gQ6AKBQCAQTIDk+T/+/jNkZKYiKHiaKaIniSIkBMaYOGT3H+ER&#10;unKi7l2QAKS66XFVTdBQqnZFyJyL84lQeyhdNons6OJKZPUdRv6hS7JS2pfQ2GT07oU+zMLaMMUo&#10;fLWUlj6uullK3z6urSR+Mw9fQ9Huj9C4dSt6E43o1y5Bn375rItziiinyHIS5kOMHuNqtBrWos6w&#10;HiX6jUjTByNCq+SC/E0JrvHw6u+U0+S1Y6rZ37Gx41D2BjaWYdYwbCnJw749Dhw8cRhVgweRu/cM&#10;jyaXUvxPfi5wgV5YPj2BTteVrZHIvFIeDf/2zALvJ2AEOiNy4Dxsrf0I1etnIQo9GIr4eqzmtdD9&#10;I7EoijIrtZFnUKB6+3Jzf95D0pGnC/dgWQVXygY4tqhgb9bzKF9eM52EukjxPnvQWFNa904zXMUK&#10;aZPDXESjk5hm53ZUh0oCPdCyE9AYtRu56PfrJgP6ncrG3lkYAqfTiB2dybDwSPTLsveO+cCKoquo&#10;iM3AkA+j0GnzXq9lMzS5+3npiyV5o7DWX8P/fP9zEYUuWBCQRP/bX3+G7dvqoGDPIbo5kIzvQpLo&#10;OmR39aD27lNQzWu5F7ACwWvceMDrotewz5Ldw0jIToee/b9trqLRSQhROmAiNjURdU47+m/e4AJp&#10;hKIvJ8gZgUAgWKgc+uJLXku8+8xpFDbUwhRmHNtoJHf/nA1os1OoOgQRsZF8o9P+Z895ZPzEbCEk&#10;/CnynOR53c0HqBTyfMYIgS4QCAQCwQToJc3tm2fYw5EBwX5Mf06R7SQZo0urpLrlMpLuXUiCeJhH&#10;nSuVJM5nMVX7NJBEejAMUTFIaun0CMypbxqYNCRH956GLTNXqs8u06a3QRsRjKydWf1HX21sYO3N&#10;plTk+8+htn0HujIiMKBfhj6KOJd5oe1rxtct96Zld7GvW4zrUKrfiExdEGJ5VLkaCo0Gm0M1CPYI&#10;cq/oluurX+EZFlh72LWnbA7rNmzkAjs2PgYR7LrEVjYivXOIzwPKTMCF9ntkesHhq4itaODR1kpK&#10;zy933rdA19UUG49sfl2nWS7BQyAJdIpCj2Sf5uwSKEOmNtenDLuWoQYr1ueMYGWx7yXWkqKr0OXu&#10;R5ctlK0v30VoBjze6HRKi20lmb4RzlIFHM06SepSJDKPkJ4gMgX+wUFY4WjR840N/NrMdm10OqdJ&#10;kse9PRZpM4VcW+cKikRn4+OOXONfie7ZYOJo0MLpNqF9ZwpCtxzBsoL5KdEpCj0usxtO83ouvmX7&#10;PGVWsmeDFchPqcWKoktYUXgBH+Scw96zFIX+G+AHUQtdMP8B/oDvf/sV6mtL2fOIIuAi0SkazGQ1&#10;oWBoGDV3n3E5KvcSViB4AzZXau49R92FK9iyfRtsEWFShONcbRShiHQS6Vol4tKTUdvbzSPSRY10&#10;gUCwkKF7GwlpSoXuvnIFpW3NsEZapTrnc/zMIW1uUiGrrASO86P8fnzw0zejzgmS570Pn6KW/W6p&#10;lPudI5gyQqALBAKBQDAOSnUJ/BHt2xqxaXMQlGoZgeQjSABqLWHIsO+bWvT5/lEuz1O2O2CIiJTS&#10;tZOolDlHIEISM1SrRVT+FmQPfMT6MrUI5KlAGxOSWrsQqqHxnsQGA5K9ISHQsetCtdu90dGUrp3q&#10;nJc796AjPwl9ltXo13wgRcfJvsz2DZIwf71++S7jatQYNiBDF4xoTxp2kuSbJghz2f4FADRXgxUK&#10;aVODiv1nJMwKS0oG4qubeb15SqlO4/62zRX0b+nde/jP0VySO4cctMFEYzAidbuTzYvplUsYT0AJ&#10;dGLwAmxbHdDoqWSBnzfTqBVQxNdhVdFF+DIKfXnRJawtOo/K+BwMLSZ5PhEShiTS6dO2xlMzXQX7&#10;dpMkLkmki8j02cFl49HozhKlJxqdXZPZjEb3ZChwpW2Cfacnxb9cO+cKNj4ktt1hq6S2yvXBF1AW&#10;gNh1sO8wwuU2omF7PhQlx7G8gDJhyN9PAhVKP7+u4Czawi2eEhUy/Z0GVAe9LSIMq9g5VhRexJLc&#10;UcRsvYa//vVX7LlWCHTBQuDX/P9of/z9V6gLYIkeFmFFwdBe1FAkupDogilQffsJtt1/ho4TJ5BV&#10;UgCDUSNFPM5hxgUS+TSv49OSPTXSb0v1gKlG+qefysobgUAgmE9I4vwLHPrsc/Rdu4ayba28triG&#10;Mjmy+5/cvXG28NY6D4+JQIPLjn1PHvOsIAdkNjJR5Dl9dj94iurrIvLclwiBLhAIBALBOCj6/Juv&#10;HiAuLgabgoLfFEc+hCRXeHbhpKJuxyB5fugyktu6oTObJYE4j+S5F5LZ1HZLQgrSu3dLEfj7p59O&#10;+61QzfX95xBVUMYjn6kuu2x7SJzTvzNoUwJtTqA25VCd85HLKB44jLaqUrgiNqNf50nXLvMC21eQ&#10;NKeU7BRtTmnZtxvWYIt+E+J1kjAPZW0OCdUgiEGfgSzM3wmNO7smlJmA/kwbSiJyCpG6a4BnD6BU&#10;/3IinSR6zJYaLuAnI4sp+wHNubjKxqmtt3cQcALdfQZRrlMwJmf5PwpdrYTaYMWG3MNYyVO5y4ui&#10;qbCSsazoCmIzutBnWoM+o3/X2LzAm+bdG91rWw1X6gY4ajSwd5hgp6hkqpcuZLp/8WxYsDfr4Ipf&#10;Pya137he/oJnJ1jBa4472rx10WXaORd4siM4KtVwm1k7/SrRV8KVHQR7rxlulwHlrRVYTzW/C2gj&#10;j/x9JRAhgU73upyUegwYVrB7nW/GjKLZHeYNiMpyYWnRZSzPH8Vqdr6T1z5lz7a/lX3mFQjmIyTR&#10;f/+7L1Fft4U9/yoCLp27TqtCWHQ4ig4eRe295xDp3AVT4uZDbHv4MRz3HvAU6jEJMXxOzVVad4IE&#10;vjciPjI+GmXtrXBfvcpFzZGvXsjW3hUIBIL5wOEvv8ThL77A4J1bPNtGRFwUl+Z0z6NsHHL3xNmC&#10;BD6ljM8oLYTj4gUeHU/I9cMrz3c9eMKjzkXkuW8RAl0gEAgEgnEAf8bJ48MIUSh52mlZeeQDSNiq&#10;tRqkdvRLUc4ygu4NxslzrckEpUJeBs8bPNJaFxbG+tTDo+p9ITYnQsI0Z/A4r7+uNRqgCAni0c8U&#10;uU/wWtpK9nBqC0dUUTkynQd5OvHskStSuvZt29GbaEC/dqlf65xThDmlZSdx3m1cjRbDOhTpNiFa&#10;p4R6rIb5q7rl81aavwVe0oBdB4IyFNjSc3iq/5yh42zeX3ltbnAJvuc0IvJKoFJJmzHkjklQ/X2V&#10;UoHIvGLk7D3N1ptvygYEnEBnRA5cQHhDN0J1Ov9GodP9S83GPbYKHxZfkZVEU4XSDm8uOIltkTYM&#10;+DAqc8Hglekc9nXEGrhyguCok2Q6l7wuIdL9BhfFVth3meEsUPCU4jxLgNy18he0kSJyDRz1Ws+m&#10;CYZcW2cbNjZ2Nv+cVDOe5qe/IvT5cVfCWaGG3WWBg503o2E7VhZIKcvl7iuBCtUpV+ceQq9lk8/S&#10;uPexZ5NBdqyShEIsK7rGNyX9OOscCnru4B//pAxLIgpdsHDgEv37F6irDVCJrlMhIikBJUeOo/Yu&#10;SXT5F7ICgRwkPmpuPUL7g2fYfv4S8pvqYbWaoAkNmVOh462RThHp4VE2lLQ0ofPkCex/+hRHXnwt&#10;RLpAIJg3kIg+8uIrDNy8jga3E3GpCfzeptOr5zTrB0Hnp1rn4bERqKeo86dPeFr5t5XPGGHse/4c&#10;O+49Zr8/RNp2fyAEukAgEAgEHvDyt/j7X3+GhvpKrNu4UV4c+QiShJaEJOTsOTk5ocfl+SUkt/ZA&#10;azLPf3k+DkplH6rXIbGh3X/p3KnGNjtuaocLseUNCM8pgi0zH7asAkQWViC+YTsyevZKEp+RdegK&#10;yh270VGYjj7Th546574X596a5iTNncZVaDKsR6FuE2K0Cmg0oZ4Ic0mWLzRh/i54RoAQyq6gQlhS&#10;KpJau7k0H7/JgkemD59BfG0bjNExbB5JGQS8Ep7WCG2Q0IfZEFvZxCPaJ71ZZRIEokCPcJ1BJMOQ&#10;mM7XldzY+gxVCNTGcGzMOeiTKHSKyMxNrsGAYRlbG75fawsKr0z3Cty49XDmh/BU2vYuT1Q6CXUh&#10;032PtzZ6vZanFOeR4f4SxnKQRA9bBWe5SrrGhFw7ZxuPzHdlBUlt9NeY0LyPWAN7mwEOpxld3TGw&#10;VuzB8vz5VQ99eeFFrCk8h/q4dJ9uGBrUf4Dt4UYoC45jWeElLM07hw3FF3H90ZciCl2w4CCJ/rvv&#10;X6C6qphL9Ll+4T0RihqOSI7nEp3XRJd5ISsQvIsKRs2dp2i5+wSVw/uRXJALg14S2HMaGcnOTWmF&#10;qS6wxWpCTmU5tu3fhz0PHvDUwiOfijrpAoEg8KD70ggX5y8wePsWau3diE9PhlYjpWqf8+cIdn6p&#10;HRrkVpWjd/Sc55769nIZVO98z7PnaLvzCBXXROS5vxACXSAQCAQCD8Cf8MWnt2CzWRHkZ0FNKasT&#10;6rcjf5LRsFLNc+ertO0yx5zPkOykqOOE+nbkkUSnCGOZcZgRfBPCZU7e8Fnk7DklpQk/eBEFR65K&#10;UecHL6Fg+DQamxrgiFFiQPsB3HrfRhmSNKea5iTO6c87jGtRqN/M65nrNWpex5xYTML8rajVPFtA&#10;qE4LW0Yu0rt2c3HuTevuleqZ7kNI3LoLkfmlCE/PlsjMQ3xdGzLs+1/7GV9BAj1x4IyMxJ5j+kcR&#10;3mSHWqOFyo9ZNFShaoSqFQiOb8TKkuuykmiyLC26AkPuPnSHKTwC/c11M228stnLbMrO2YD6Q8KS&#10;ZHrYargTN8BVrIC93ShJTa9kFTLdd/BodBuvSU4pxfl1oGsw8dr4C5rH7NNZEILeHtaWQJHorB18&#10;TJI2+Hc82LFdyRvQ22WB02lE844sbC4+Ne9SuS8rvorIjC4MGpf5LI17H0Wzm9cjNqMTHxRL9+X/&#10;N+Ms6nffx3/+9T94+VJEoQsWElJN9F//8hnyctOgVIdAL/dCeq6gF+EaBaIyU1F25oJUE13mpaxA&#10;8D4qrj9A3b3nqL10E/ldPYhMiIVer2LMXVp3LzpDKNRs7ZnCjEjOzUJtbxeG7t2V6qR//jn7/Fy2&#10;Vq9AIBDMFgc//dRzP/oM7mtXUb5jGxIyUqDVqqRU7TL3ttmGynRQyvboxFg07x7A/mdPcZhqncv0&#10;xwvJ88Gnz9F8+yGX53K/PwS+QQh0gUAgEAgYlNry5cs/4NTJ/Vi/cZOMLPIdFB1L6cIzHPu5tJWT&#10;c+PJO3gJmfZ9MEZGS1G5Msf0CZRC21Mr+g1IxLF/l/05H6Fg5/FKdH+lcx+DaqMfkKDz5By4wOX5&#10;FucwduUkoM+4An26pfBlunZvXXP6epdxNaoNGxCnC+HSnGQ5RZtTana5sVnsUDpy2jhC2RdiSquR&#10;3X9UmiOejRYUWc7/PHwGObtPSuw5xbM7+GsukUBPHgxAge4+i0jnCRgTM3jqernx9BkUhW6Ox7q8&#10;o1hZNL1U7lQPeDn72bK4bAwZlrD14UPxRnI5bBVcaRvhjlknCWZa0ySb/RklO1eQWPX2y7YGrozN&#10;cNRq0bvTJElfikwPlLTfCwFKo84+nVT/O3zN7M4pvhmEaoJvhr3TMtaWOcdl5Zs33NEUnc/aKNf2&#10;mUJjzPrvLFWw87Hxt5uQ29SMFQXzKwp9adFVKPKOYFe4Ef0+jELfo/sRiuMLsLL4Kr+/fpA3Cm3l&#10;ZXz5k58A+E72GVggmM8Av8e33zxELpfoCtkX03MGRepqlYgrzEf52Us8mljuxaxA8D54VOGtx6i9&#10;/QRlp84jtbERlggrj5wMCJFO8sdTMzgqIRbFWxvQe+4s9jx8INUY/vIrEZUuEAhmFRLndO858PFz&#10;uK9eRcWOdkTERvEsHnS/CoTMNdQGjUYBs9WI4qYG9F27xmuyv6skBtU7J3nufvwMdTeFPJ8NhEAX&#10;CAQCgYAB/A5//fO3qK4sxaagYHlZ5CMUwUGILChDHknc94g9nnJ672nY0rN5Omq5480EpVrFxWRI&#10;0GZQCmyNQQ+d2TIBMxfb9O9UL5ynyfZTZCvJeoo2liLR/SzRPWQdvIyC/WfR1LwVzugQ9Ouo1rnv&#10;os4p2nw3o9e4GlsN65Cr2wyzho076+9CrWfuL0ikU2pyU0wcUrb1svXB1tD4tOzjNkZ4N0eMv9a+&#10;JI+RtvssIuUk9pxyBpH9o7DWdfIU+BQpLjeWvkGNUFUwNie24cPiq/hwGnWIlxRfR1RGD1zm9T6r&#10;BTyGbiWchQpQ2m17dxicTTo4ixRwJW+EO3Kt9D2aBSjTPYLRG6nsilkLZ7ESjmYderst6HV7UrzL&#10;CVDB1KANCU4rHK0GuJPYvBo37n6HrrNuBZ/PvA4+1cCXa+Ns47LB0aiTNqz4S6LTca2rYd/K1rTb&#10;jF1dMTCW78OS/Olt5JkLSG5/WHQZRQklGNL/WL6f02BQvwQ7IixQ5R3h2T3oXP9PxlkMX/gYL3/4&#10;Di9fyj8HCwTzGYpE/8k3j5CTkwqFOkT2JfWcwSW6CnFFBZJEv/1Y9uWsQDApbjxA9a3HqLnzBEUH&#10;jyK+tARGi55nO6C5JjsHZ5HxddIpKj21IAfNe4bQd+0qDn/+BU+dTFJLTgoJBAKBL6DNOke//pp/&#10;dp8+hZKWRkTERvJ7U0CkavdAEfBEcm4mdhw6yNPLE+/abHTwE+nT/vApatjvAyr1Ifu7QuBThEAX&#10;CAQCgYAB/AE//ckjmEwmhCj9l/aYxLNGp0fKNjvyD1+VFXNeSK5TBG18TQtUJA59FQHOI82VPDW2&#10;RqeDJTEFkYXliKtpRnJbN9I63K+zw4WkrbvYv7cgIr8MloRkaI1GhIQES9HpPo5Mp0h0jcGA1I4+&#10;3n+5sfENo8geuYLi/kPYWZiKfqp1rvNN+mhvmvZBBqVo36LfiDgtZQ+Q0rMLaT4D2HxTUMp/nRbR&#10;JZXIHqBo9Msy19e/kEDP2nOOC/TwNyT23BLZN4qIniPQxyZB6e+SDyp2LUwxWJt3DCuLpyavlhde&#10;wrrCc6iNScVuHwokDgm2xA3opehcbwpz+vREYdtb9XBWqeHKDuY1xPnPUGQ6yU8SkwtFqHtlunYl&#10;+ixSNL6jUu0RrqJWus+gCHBKKV4QArd5lf/EsRwk0RM28LrgARGJ7llrzjIVax+tJz+NBVuvfPNA&#10;twVulwFV20qwtmgUKwrnTyp3SrMenumAy7IR/UZfPX+s5M8zERm9WFp8jZ9nSe45JLRcxx//9AsR&#10;hS5YkFAmMZLoP/2pJNGV7NkkkGqiU1tIcMaVFqPqyh0uQOVe0AoEk+bGA9TcfoLqGw+R5x5AdHYm&#10;9DrV3NdH98LaIMl0FTShCsQkxWHLtlZsPzSCfU8ec5E+JopEZLpAIJgp7D5Cm3P4Jh325+0jB1FQ&#10;VwNreBi/B1G5iUB5LqB7YyhrU0RMJKq7O7H73l2eqeN9m4so6nwf+9x5/wn7PfBA1DufRYRAFwgE&#10;AsGih790eflbHDuyG5uDQ3wuhMejCAmCOSEVubtPvrfON9UCz7Dvg9Zs5sJb7nhTgsS5kh1HpYIx&#10;IgqxFQ1I7ehHdv8x5LNzFRy5JtUHH7n0BvmHrkj/fvAi+/4jSOscRFx1MywJSVBrNJJI90UbPVCU&#10;e1hKOhuHs36JIs4+cIGnba/Z2YPeBL1Pap2Pr23uYjQa1iNNFwyLVoWQUA1P0S6kue+gzSgkh81s&#10;DqbvGpAi0ff7oXb+e4h2B55AJyIHLiCsejvUFIXOI9Hlx9EXqKkWemIrPiy6hMlGofPU7cVXEZ+x&#10;i62ZVT6rAcwhYRy2Co4mnbxQ5DWs2d9TJDbJ9B1GOBq0cJYoeW1lLkDHR3H7SwDONtQnirhnn66Y&#10;dXDlBcPeapDGhES6kOkzg4+fFY4aDdxRaz1zZ8I18Bd0XaPX8Y0hfG7P9XWk8zNojvl1HNjapFTu&#10;DocFDjb2sbUOLMun1OXy951AgzYRBRWeRktkhG+j0HU/xpbEYqwpuoAV7F67ooDdc/NGcf3xl1yg&#10;v/xB/nlYIJjvcIn+k0c8nbuKPZsEUk10emFOcjOlvh5VV4VEF/iIGw9Re+8ZKs5fQ06PHbaEOOgp&#10;wpLSugfQJhKK+lSr2P+LbWak5GejalcH7KPnuDB6VS/9MyHTBQLBlKB7iPf+Mfz4EVp2DyCrrBjm&#10;MCO/51B5Cbl70lzgzdBhMuuRX1sF56WLOPzFl7z9cn0bD8nzPc+eo/3OY1Reu8+R/Z0g8AtCoAsE&#10;AoFg0QP8Fv/9z69QVlqAoBD/1QzmYl6tQmx5PRfVcjJuDJLGDFtmHpfJcsebCl7BbYiIRELDDmQP&#10;HOMprrkw5+JxkpLaExVPP5fPPnOGjiNt1wDCWTtD9XouNH2R3p3SdFO967Sd/VL75NoyTajWOUUP&#10;N9dVwW1dj34t1V2Wfwk9Gai2OUWa09edhtUoNWxClFYBjUbNo81Jns8HcU5tlNLKh/I2E9R+Obz/&#10;HuL5/rnqH60pWh86Sxib19v5dfX1fHkf8f2BKdAj+kcR2XMU+thkti79W5ZCpVZCbYrC6vwTHoku&#10;L4vGs5x938aCU2iNjMSAfmZr8A0oIjc/eHJCmP6dvs8TjW3vMvMazs4KNVypG+GOWCMJdZKA3gh1&#10;uXPOJ0hmsjHqo75QrfSUjXDUa6Va2jwlOW0smDBOgslB40fzqM3AxnWDNF9ma86wa0rz1VEX6sm0&#10;INO+2YTWFVtPbja//BaRT2NLm2Wa2Xi7jahvL8TG4tNYXjC5+1AgQFHiOUnVfANen2FmG/m89BuW&#10;YWeEEUF5H7F77WW+oWBJzihq++6z517aNPqbN56FBYKFAk/n/u1D5OYEXk10enlOUcIp9Q2ovnoX&#10;1SKdu8BH0FyitO5lZy8jvW0bwmIioeMR6SrZuThXkMwKVYfwtWCLDkdqfg6a+t3ov3kT+5484bV/&#10;D3/1FUY+fXv9X4FAIKAMFkfYvWL/8+fov34dNT2diEtLgtGslyLOA0mcG7XQaJW8TYnZ6dh+8AD2&#10;P3uGwy9evHfTEK93zuh/+hxNtx7xeuci8nz2EQJdIBAIBIse4Hv89NtHCLOG+Vegq5TQmi1I7xp6&#10;r+SjiO/k1m6E6nQzFtJKSnet1yG6uAJZ/ZTu+tLUpPnb8Mh0ipSndPOUcj0sOYNHus9U+lOf1ewz&#10;vmbr+zcbTBpK2X4ZxYNHsb0og0e8ziRlO73sHmLYjauw1bAWWfogGDRqLpNJLpNYluvbXONtH4lw&#10;iorf5PlUaUIRyqA+GBkmjQo2jRLh7GF/Ihb2b/Q99L0a9jP0s5vZMQivYJ9NqU5p/9WsDdElVcjZ&#10;fZJnTZCfA74nZfCsvMAOACIHLyKschsfG8o8ITd2PoGteXWoCiEJzVjJa6HLi6LxLC+6gsT0neg3&#10;sHVo9I004mhXwh27DvYO49TTWXtlOo/glX7WvtMMR50GruwgHrXN6zqTSCfme2Q6ifTxgpeNm3OL&#10;EvZ2g9T/QJCw8xU2h+ydZjjzQqSxna2U7nQe22o4akmi0zyWadtsQuPQboI7Zq3/xoAdlzYr2HvY&#10;WnWEIarajRX5l2XvO4HIsqLLCMvZjV7LZgwYlsr3cYrQPZWecSKzHFjBjk/nWZo7CkXFJfzsVz9j&#10;z71CoAsWMlI692+/eYjc3FQoVIFVE30sEr2hQUSiC3wL1Ue//ZjNqUcoOXoKSbW1kkhn/5/jEeky&#10;83Gu4GUN2DqgFO/0tS3KhuzyUrQO74Hj0kXsf/oUR7/+Boe//ErUTBcIBGMc+uILHPnqBfY+fIDu&#10;M6dQ1FTP65uTnKZ64jr2O1bunjNX8E1DoSGIjI9CTXcn9jy4z/vAM27I9G88FHVOAt3x6Clqbz4U&#10;9c7nECHQBQKBQLDoAX6PQwf7oVKHIkTlv/TtFAXO05LvP/dueU1pqPeeRlhyGhQhM4gc5SnbFTBY&#10;bUhq6eTp1/MO+KmmOOsPifmc4TNIqG/nke6KkBDeBtm2vQcpWl+BmLI6vplA9pxTIIe1j+R5hX0Q&#10;3alWKep8GpFe3jTtxE7jGlToNyBeJ20WIHEcSLXNqR2EN6KcJDm1kYS3lf3nIlqrQKouGNm6zSjS&#10;bUKFYQOqGVuN69FsXIc241p0GlejawLdjHb2b/Q9zex7a9jPlDPy2XEydEGIY+MRxo5PMt4r1Gdj&#10;XGjTBc13W0YOz7Dgu40Xb4ci3jP3npOV1wGB+ywi7cehi0nkYyM3br5CrWbrwBSDdXnHsfI9NYip&#10;RvGGwrNojbRh0OCbur8cEsGmD+Go8UTgygm9qUDy0RNRzEXgLgscDRo4CxVwpWzika9cpJMYJBk9&#10;W+m6/YFHpvOo9Ig1cOYGSynweUR6AIjY+YiDwcbPWRXKpfasSXS6htbVvNY9n7tzee3o3E4bz3Dg&#10;tngyOci1eSbwjSwr4dyigNNtRvW2UqwqpFrokysnMddQOYvVjKaoGHY/9JVAZ88qhuWoSCjAh0UX&#10;+DlWFIxiZf55DJ54xp57RR10wcLGWxP9Jz+RaqIHokTX68enc38k+8JWIJgWJNJvSRHpJUeOI7mu&#10;HqYwI7ShCi6r5ebkXEJt8sovLW3ejolAXm0Vmgb60XP6FPY/f8Zl+qHPv+AynddNnyCaBALBAoVq&#10;mzNo/VN988FbN7F1aAAZpUUwhxmgIWnO7h+Bdm+j9lCdc7PFgOLmBjgvXZDqs09yQxDJ8/0fP8cu&#10;Xu/8Po88f+NeL5g1hEAXCAQCwaLG+4KlsakKGzcH+U3ySUJYjYTaVh61LSfjvBQcvorErTuhpmjm&#10;GUSNUjp1EtnpnYOSTHyXtPcVlBaetT/DsR/WtBwoldNL6U4/ow5VI7565hHoOfvP87TtdTs74YhR&#10;eeS5/Evnt0F1zQc8X7cZ1yFbF4QwrRIKj5gOBGnuleXUJukzlMtyG2tnsi4ExfqNqNGvx1bDOuww&#10;ruUynGq1UxT9HgZ9EpSOnvDWc5eD/s37fd6fo2PQ3/cYV2E7CXZ2nkr9BmTqg2BlbZjYPrk+zBRv&#10;SndzQjKfg7MRiZ4zfA6xfWcCM407MXAeYVXtPKODf2uhqxCqViI4YStWllyXFUVelhZdRXL6dvSx&#10;udJvWP7GepsWHgHsytj8StxNlHkzhY5JUb1uG+xdFjiadXBQqveMTXBbSQ5KbeDM5+h0aj/V1Lay&#10;e0TaJjgpmrmH9Z1k7FwL2fmGRyDb2Vxxxa97tdlCbtx9CV1D04dwblEFhkRnbXCWKl+1bWJ7Zwod&#10;M3INnNt06HJEwVQ+jBXzKI07pVnPSmtGH7tmvkrjPmBYhg6rFpsKTmKFp7TGj7LPIbXjJv72t1+L&#10;NO6CRQH9H+9nP5VqolM690B6we5N5546FokuJLrA99TcfYrqm49QODyCxIpymCwGngEh0CLSx0My&#10;jDbm6rQqHllKoqy6exc6j3+E/c+e8shNjqfusRDqAsHCg0SztMYZ7Ouec2dQ2taMhIwUGIyasVIQ&#10;cveQuYTaRJuB6DOrrAS7jh9jffgUh7/8UrafclDK9t1Pn6P1ziOp3rnMvV0wuwiBLhAIBIJFDfA7&#10;fPv1Q8QnxGJTkP/qBJMQppreme7D7xToVJc8d+8ZqfZ5cJDssSYDpW03hEcirWsI+YevzI48HwcX&#10;l8NnEFNaw8UdpdiWa+fboHT3oQYjUtrtM5KgOQcucHneuLUJ7vCN6NNMrdayN9rcwb5uMKxHoo49&#10;qGvUYynQ51Kc07mpBrk3ZXoo+1rH2hapVSJbH4Rq/Xq0GyRRTmnmqVb7bgbJbm+/KEpNrt/ThY7n&#10;rQnvFetOdm5qQytrS4F+MyI07NqGSmPol1TvXKIHwxgVg4yeYeQf8r9ETx4MYIHuPouI3o+gj0mA&#10;ys9R6CpVMNTmOKzLPYaVRVfekETE8sKL2Fh4Fi2RkRjSfyA7j6YFCWsrm+ttBilieqLE8zUkJSnK&#10;neRol4XXTXfUaOHO3MzuNWvgNnmibbkw9YMwnA2o/RRhTzXg49fzuvCUllySwrMwxgsJNlfsHSa4&#10;aH7QuPpDIk+E5h6X6Eo2Xykd/xxeM4/Ad2VuYu3yjSB+A9Zf2szi7DWjsKWRC3SKvJa7DwUaJNBD&#10;8o6gxxLks01Ffew4LtNaxGd28zTxdJ4leaPYXHoRd558JaLQBYsG4A/46bcPkZObGng10SlqTqdG&#10;evsOHi0sJLrAL9x4iJq7z/hGjaIDh5GwpQQmqwl6itxk809ubgYCtOGF0rxzUcbWijXSioTMNJS2&#10;NGHH4REM3r3D66Yf+vwzXjed0iKLdO8CwTzGE2lOpRsOPH+Oobt30TTgRnpRHqxRNmi1Smg0isAU&#10;5+x+paFyGaxt8RkpaNs/jGF2f6J085O9Lx30pGx3P36GRlHvPKAQAl0gEAgEixrgLzh35iBPNx0y&#10;Rck7FSh9uzUtk6dm55JcRsIRFG1N0ltjMEw7+lyhYA+VVpskz2cr8lwGb531hLpt0Oj1U5LoFEVs&#10;ik3gmwmm2/6cA1Sb/TxaasrhtqxBv3byqaJJLpME7jSu4WnNI7UKaSOAv6TvJPFGcVPUO7WDapCT&#10;kE7TBaNKvxEdrL0krKkP3khxgr72tSyfLOPT3tPX1L4mwzqePt6sUfF+0CYAuf7OBMrAQBI9vZck&#10;uv/SueftP4f0PYFbBz3CfQaR/aOwVm+Hmkeg+69MBR2bXnJtTmzDh7wW+pvyamnxdSSltbM5uYoL&#10;Hrk5My10K+AqCJFE3WxH23rTnJNUpz93mOCoDoUrx1M3nVJXj0/1Ltf+QMa7EYC+jlnLI4nt2z01&#10;5p0+SJW/WGDjZe+2wFWo4GJ7ViQ6nYMkeilFos+xRGf9d3SY4Ypb7x+JTmuLqFeitTsNm4tPz5s0&#10;7iuKLmJN4Vk0xSTxyHHZ/k0RqoE+aFyOkoQCfFB8jZ9nZcF5/DjzHLqOPmbPwN/hhx/kn40FgoUG&#10;SfRvvnmInJw0KFQBJtENoTCa9cja1YUaql9986Hsy1uBYKZQJHrN7SeounYfRfsPIb60GJZwC7Sh&#10;FMkZuBHphFemeyM7ac1ExkUhp7wUTYN96B09h4FbN3k0+rFvvuXRnpOpMSwQCOYeEsyU3vzIV19x&#10;ab7rxHGUNDciKj6ar39e3oEyZwRQFpnxeMtPRCfFora3C3sePcThSdY590Ip2/exz64HT1Bz44Go&#10;dx5gCIEuEAgEgkXLyx/ohcqfYLfvwNr1G2RkkO+gVOYJjTuQT9HnbxPC7O9JrsdVNCIkZHrR5zxy&#10;W6dDUksXCo5clT/PbLL/PJeXiY3buUSfTB1m6gOlg05k48UlvNxx30MOG0eS560VxVI0l35yoo5E&#10;M4nzXcY1KNFvgo09DEvSXJLXcu31N15p7o00N2nVSNRSSvZNvA45RZdPFOVzJcvfh7dt3vbuYONc&#10;qKNxVo7VSpcbg2nhSedujIxGhh8lOtVBpzTucf1nYHPKCOwAILLvHCJ6jkJPtdDZmMiOl69QKRBq&#10;isVaikIvfj0KfVnhJR593hSdgN26H8nOkWlBcjdqLRw7THMvdD3pqr0R6vadZl6TnWqKu2PXs/ay&#10;tpJMJ7E532Q6tdcr09l4O4sUcHgj/r2bBwTvhuqiO2y8PjlP++/dmOBP6LqNRaKz6zSnEp31vVkP&#10;t82ToUGuvTOBHbMvbjW6t0cgsmYAS/OlyOtAZyVRfBlJadt8VgedoCwfzRFWbGD3Xe9mAkrjHtty&#10;A7/69c/YM7BI4y5YHIzVRP9WqomuCrRIdJLoJj2ydnai5paQ6AL/QvOr+vYT9vkAhcMHkFBeBrPV&#10;CG2ApkSeCEk0aievm65T86hPi9WEpOx0lLQ0oXnvbnSfOY3hRw957XQSc7x+uqeWMkW5ygksgUAw&#10;S3jW4qHPP8exb77h0eadJ4+jprcLKfnZMFA0t1bpqW0euPckqdxEMMJjIlC5czvc166+2rwzhfsM&#10;yfMhT8p2EXUemAiBLhAIBIJFC6Vv//63n6GAPaRt2LRZXgb5AIok15nNUk3md6STptTu2QMfwRQd&#10;65HI8sd7K2o1j3SPKtiCvAPvEPWzDIns/JFLXIhzia54u0SnsaLNBlGF5exnWfvZz8od811Q2vY8&#10;1vfWymIe4dqnf3ekGwldKVr7Q3QbV6NQv4nX7CahGyzTxtnAK8299cIp0pyizKv1G7DNuJZHcXtr&#10;jgeqLJ8M1H5K806R/rQhwMQj0qW+y43LdJAkepR/Jfr+c0gZOouIABXoEa4ziKRa6DwKnd1b2L1C&#10;bqx8BdUtDE5sw6qiVymUSRAtK76GyEw73Ka1bN76KAKVR52uhLNMJYlcOWk3l5Cs9KZ632GEo14D&#10;Z34wXDFrebu5ROQyfRZEqi8h8Ut10iNWw5UbDMc2gyRnuaCVGQfBKzxzwtGokzIUaGfh2tMcM30I&#10;R6lSOv9cXSM6L1unzgqV1C5/zHvdCgwUbkRhWz2W51+ZN2nclxZdhSrnAOxhwT5L495vWAanZRNi&#10;MnuxhGcFOY/lBeexKvc8bj79kj0H/1b2+VggWKjQxukXX95FYhL7v1YApnM3ss9MEYkumC1uPOCp&#10;3atv3EfhvhGkNDTAEmmFTqeSygsEaLSnHCTUKQpUpQrinxSdnlaUh5LmJtQ77eg6fZKLKhJ24+un&#10;j3z6mUj7LhDMAiTM+ZqjmuZs/dFatI+eRW1vN68VbmP3HrUqWEqDHsj3HtY2Eucadp+xRlhQ0trM&#10;M2B4y0jI9f1tULp2Sttuf/QU9bceouLaPfl7tWDOEQJdIBAIBIsW4M94+vgyjEYDgv2Yvl0REgxr&#10;aiZyho5LYltGwBEk0NN2DUClCYVyGoKL5DmlrM7qOzLtyG2/ccATid60A1qjkY+JQqmQhDmX5gou&#10;OlVqlSTP955551i9jWyvPPdEnve9J/LcG7VNNbpJ4IZppIhzf6QUfx8kzcenM9eFqhGvU6DWsB47&#10;DVJqdpLNFCE/n6W5HN6I9A7WzyxdEDSs/zQOvor65xI9KhrpvXuRN+L7tUFR6Nl7zyGmL4Brofef&#10;QyRFoccmQ6kIlh0nn6FWINQYhTV5J7Cy6JIkbdjn2sJR1MRlYtCXtc+1K3hKaPsuc2AK9PGQXHZL&#10;EfL2nSY4GrVcPruj10p1xklykpieTzKd2kvY2D2Ki3TjmCQVIv0d8DGy8dr5rqQNnusuM76+xCPR&#10;nVsonTtdnzlaL1zgW+HMDpKyMci1dSawfg5GLkNrXTJCyk5hWYF0Dwp06B65sfAM6mNT2T3yx/J9&#10;mzIrsduwFJlJVVhSfGPsXP8n8yw6Rh7hv/9iz8IvRRS6YBHBI9H/gAf3LiAuLoo9syjlX5DPEXq9&#10;GkaTFqnNLai6coeLdLkXuQKBT7n5ELX3nqP6xgOUHj2FlPp6hEVHSFHeWillutx8DVS86d6prBRB&#10;a8oWHY74jFTk11ah3tmLnrNnsOfBfV6jmKJfSXxR3WWKVJ9q9KhAIHg7JMxpbY18+in2PX0K99Ur&#10;qOnpRHpxAY/cpgwstE51bM3KredAQst+R5M4N9vMKGysg/3Ceb4xgOT5VO4ZJM4p6nzvs4+x494T&#10;VN24zyPPZe/PgoBACHSBQCAQLFpIoI+OHsb6jZumJawnC8ni2KpmT/Tre9K3l9dzoTydCFGS0PF1&#10;25B/8FLARJ+/xv7zXOyntDtgSU6D1mzhEekagx5akxmmuEQkNnVwAT4dec5rnrMxpMjz98lzkuYk&#10;oynivMSwERYuziWBPdup2um8VNNcyTCydsRpQ3j6+A7WNpenrSTN6VOuLwsFb2p3+rrRsB6RWiUf&#10;G19Fo0sSPQaZzoN+iUSnKPTkwTMID9go9NOIHLyIsMo2Xs+fNqvIjZNPYPcvNSMkoWUsjfuyoivQ&#10;5gzDYdnI1qePpJmeYfgQzgq1FOU9UdQFKl7B7BX+XRY46jRcKI7VTKfo7tmQqr6C2kqC1roazvwQ&#10;KbU7pSsXNdLfDUn0nSa4MjZL40fIja+vGJPolM6dXZu52uTA5r6jwwR3LJvvNHfk2joD+nXL4ExV&#10;IqxqED8ukOp/zwc+KL6B+NRWDPk0jfuP0RidgE2FZ7C88CI/z5K8UUQ1XsP3v/85exb+TvYZWSBY&#10;qLx8+R2b97/D/TujiI2NDLxIdEMo9Do1UuobUHX1DqpvCYkumB0o6wHVSKfPsrOXkNbSCltSAgxG&#10;DbQaxbwT6V54dLon1btX0pmsJl5fObO0EFvaW9B+eASuy5d5HfXhx494Leaj33wzFlV68BMRpS4Q&#10;TBbahEKlE44yaKMKra3GPhfSi/JgjQiTNrloA7uu+Xgo4jw0VAFLuAVZ5aXYdfwYl+D83jDFDBbe&#10;qHP342douvUQlSJl+7xACHSBQCAQLErw8rf41z9+jvb2Rv+mb1cquRxO6+h7t7Qj4c2wJKVAqXp/&#10;nfCJKBQKmGLikNV/BPmBFn0+HpLjBy9w0Z3eOYDklk6kMNJ29iF3+KwUOT8N+Z9Dcn7/OUmeG5fD&#10;/Q5BR+KcormrDRsQqVXwSGeStLMpzulcUop4kuZSTXOS5pSevZ+1zxsZv9AizSeDJNI/RA+7Rjn6&#10;zVz2Ulp3uXGcEmo1Lx8QlpLO1slRn2dpoCj0rL1nEe0+HbhR6O6ziLQfgy4miW+4kR0nH6FWs+Ob&#10;YrA2/wRWUCr3oovYkliCAdrcMu56zwjdSrgSN8DeEzZ3InCmULspIpcigkmm7vLUTM/cDHf0Oika&#10;naJ054NI96TT50KURHpBCBytokb6e6GxYXPYmRfM5bbfJTpdp0CoiU4SvUkr1YL3dZ/ZPNxj+QCZ&#10;2fVYVnx93qRxpzTr5pzd6LGq2L1ymXzfpgilce+1KmDMHsKSImkzwYqC81iZN4q7H3/FBfpLmedk&#10;gWAhAy7Rf48Hd88jJiAlusYj0euFRBfMPjcesDn3CDV3nqLs3GVeViAmN4dHcmtD569I5xi1XNjp&#10;WB9Iiun0ai7xSOaR2EvKSkdeTSVqervRPnIQ3adPwX31MkY++QTHvv2WS0FvjeOxeupTiDwVCBYk&#10;bA3QmqANJ0e//gZ7Hz7ArhPH0dDnQuaWIljDLXyN0XqT6prPj/IQXJyrQ2C2GpFTWYaOo4e5AD88&#10;DXFOUNT58POPsev+E57xo0Lu/isISIRAFwgEAsGihF6a/ObXnyAxMQ5B76jJPVNCgoNhTkjl6dsp&#10;jbmceCMo4jqr7yh0YbZpiS1KyRxX3fLuKPdAgov0i7w2eh4xTXFO5LCfyz54Cc21laC6ym+reU5C&#10;msR0i3EdEnUhYxJbbjz9AZ2PRD2dM5R9xukUKNVvRCtrj8u4Crs94nwxSnM5vNHoVYYNvAa8L64V&#10;ZZqgjBDh2QXIHT7DN3PIzanpQhI9eSCA07gzeC30qnZpTCjbxYQx8h2UOlGJ4IQmLCu5iZCC49hl&#10;DfWZFPKmOafI7bFI7oUAyUwXw2GFo90AZ1Uo3OmbuJAei/Kmvge6UKd2kvgPl0S6vcPENwgIkf4W&#10;PCKbpPasSHQ6PjuPY0yiy7RpNmBr11nM+kxz28dzekC3FB1RRigKj/AMGBNldSBCon910UVUxaRg&#10;tw/TuFNEe1zadizlmwnoPOexJGcU2/Y+wg//FWncBYsTKRL99zydO0n0gEvnziW6SkSiC+YUEumU&#10;3r3y4g3k9g0ivrQUpjCjlNp9Homw9+KR6t5IdZUyiK/BCHZviE9PRk5VOco7tqPeZecSbeDmDS7Q&#10;D33xpVRX3VtT3QPJNYpa55JdRqQJBPMZmt/euU7zn9bB0N07aNu/F1vaW5HmiTT31jSntUVrTHbt&#10;BRh8gw27t1G7qQ9U9qHj6BEceP6Mb6CZzpoeYXijzptvP+Lp2kXU+fxCCHSBQCAQLEqAP+Krr+5J&#10;Qk3lp/TtPOI1GJGF5cg/fEVWuHkhgZzc0oVQnV5K4S53vLdA0ed6qw0ZPXuQ54fU1IHNKLJZnxua&#10;t8JtWSObtt2bGrzbuAp5us3QeWTsbESc0zkoLTzVVSdpbtMqUaDfjDbDWvQaV/N2LcSa5tOhz7QK&#10;bmLc31E0Po1Pm2EdHztfXDclpS5XKRFTVsczIVBpAfm5NXW8tdADPQo9wn4cuphEqPwdha4KgsqS&#10;zGVNWto29LPr2+ez9O1S9Hlvt2XuImj9iTfNu8sGO+ujfZsRznI13InrpRTvlL6eS0c/i9aZ4pH+&#10;rqi1cBYr0EsinYStEOlvwsclDM4qdp29GybkxtRXkEQ3fwhHpacEwlxIdLZ27V0WuFI8deDl2jkD&#10;hoxLkJ1ajxVFl+dNFPqPi28gLaWRPR+w34s+ul8O6j9AVXwu1hWew/IiKY370txRhDdcxV//+iv2&#10;TCwEumBx8vIHSaLfv3sesXEk0QMzEj25pgaVF66j5s4T2Re7AoG/oQ0cNXefofLybRQfOYmUxgZY&#10;YyJ5enevTJebw/MZEmlcqLP+cRFI9wf2d9ZIK2JSEpCYncGj1cvaW9E82I/e0XPYfY/qqj/GvqdP&#10;JHH26ae8/jNFrVO6Zy7bSbALsS6YR9B8pU0iNI8p+vrA8+dsnj+B6/Il1Dt6kVOxBbGpSbDYTAgN&#10;DZFqms+zewJf72yt05qnNV7S3AT7+VHsf/oUR756wdey3Ni8C17rnLH3+cfouMfuoRR1fu2e7D1W&#10;ENgIgS4QCASCRcfLl7/hL0wOHxpEUEgIl+hy8memkAgP1emQtHUn8kfeLbYpEju2og7qUPWU2xMS&#10;HARbRh7yDkhp4OWOvzAZRfbIFVR3OeGMDEafdskbL429Ed1NVFNbJ9XU9kk68PdA56G65vQ11VdP&#10;0wXzut69xlW8PVJN8wAXX7PMoG099kRvfiMK0TteO4xrEK8L4ddvxhJdpYRaE4rErR3IG/F9yQNe&#10;C11OXgcIkf2jsDX28jGgjT5yY+QT1Cp2T9NgU0on6mOSMKT/4LVrOyP0K6Xa53MZPTtb0AYBbxr0&#10;HgscW/Vw5gfDRSnezaukSG9/y9aZQGvaI9LdJNIr1bB3mudO2gYynmvtqNPCHb7G/9eVjm9d7cnk&#10;MEfXg80DR5se7ojVbI74aIONB0pf3hWmhDLvEJYVXX5DVgciy1k7Dbn7WLsVGPBRLXQah13hBgTl&#10;HRuLxl+WP4p1xRdw/eGXQqALFjXedO5eiR6I6dxJUMYVFaD87EXU3H0q+3JXIJgNvKndKf1w2ekL&#10;yOrYiajMDJhtZug0Cuh0Ktl5vCAwaqX1SNGpbE1STWQt6y/9ncligMVmgS0mAknZGcgqK0bFjm1o&#10;7Hej59xZOC9dRN/1azxKd/jxYy7RKSX80Rdf83rrXLB//jkOfvqZrIgTCGYbmqM0L4998w3/euju&#10;XbivXUXHsSMo2dqIhMxUhEWEwcjWBolnHmk+DzfSkDinzTHUh+ikOBQ3N8Bx8YInVbtUrkFufN4H&#10;pWvfzz4dj56ikWqds/uniDqfvwiBLhAIBIJFB9V7/Pe/foHG+kqevt1vAl0RAp01HJnOgzxFu5xo&#10;80Kp18Nzi/nPTElo0fcy4qq3vjfKfaGRc/ASyp170RuvR7/mTTFH8txuXMUjvjUaSp0+c/H6Pkju&#10;kjjXatSI14agTL8JOw1reCQZpZBfrHXNJwNFoA+Gb0CfeRVn4r+TRKe66Am6EN9EoisV0FksSNs1&#10;wNbfJdk5Nh2oFn/28FnE9p2BzSkvsOecvrOIdJyAMSWLZ8mQGx9fEaJSIswciZ1hIRg0vJkhYlro&#10;VsAVtx72nZ5oZjkpt1Ahwcojla2wd1rgqFLDlbEZ7og1r0R6oKZ3p3bpV6KPItKTNnBpy+vXk7iV&#10;6+tixZN9wLFVJ22S0PpZotPGBusqOGrnqBwC9ddlk9LX+7g8QR/7vTHA7julicX4sOjSvIhCpzaS&#10;5G6IjMaQ4c2NgdOBl7dhY2HMHsDyoqv8PCsKRrE8bxSdBx9xgf7yB/lnZoFgMTBRovN07mb5l+1z&#10;glELnVaJ2MJ8lJ25ICS6YO658ZDL9OrbT1B17R4KBvcgobIStoRYLtK1GraG2LyVnc8LCZLq48S6&#10;VOPZC/1ZwmI1ISY5Hqn52civq0JV5060DO/F9kMj6Dp1ggu7wVs3se/JExz9+msuLelzvFznIo9H&#10;rnuRF3cCwdT5hKdlpywJR16w+ffttxh+9BC9o2fRfuggKnd1IK0wD9Yoq6eWOZvXOk89czb3ZddG&#10;gMPFObtPUX8SMlL4hpf+69d4hD1F20+nxjnBo87ZOh18+gztd6XSK6LW+fxHCHSBQCAQLDqA7/HP&#10;f/wMqamJCArxVwpjNRRKBSzJ6Z400e+KDB/l32NOSoUiOEjmWG9HoWQPfZYwpHUOSHXEZY+/8Mhm&#10;fS3a/RG6MiIxoHn9BbM3YrnduBaxWgWPBifkxs8XkMj11jYPYw/gObrNaDJQXXNKH0uR5q+/yBa8&#10;A/1KDIStQT9DTqJ4JbrPItEVITDHJSKr/4hP66GTRE/bfQ4RrsCNRI8cPA9bQw9CNRoprb3M+PgC&#10;ukZKTSga9OullMQTrum0YPPEUaYS4pWLR0mmO9oMcJYo4Y5fz8ZopUek+1ZG+hSS/aYP4UrbxCPq&#10;RX30CXikMl1Xd/RavmlEdhx9Bc0X22o4mj3XQq5N/sQRxksVuFM3Sn314byl6OuesGCEZQ9h6Typ&#10;hb686BLyU2p8WPaCPYsYlqMwpQofFl0c20jw46xzSGq/gb///deiDrpg0SPVRP8Drl89gTCbCWpN&#10;YEXS0st+ikSPzkxHyZETqLn3HFXXH7zxklcgmHVuPODp3WtuP0bp0ZPI3NWFmNws8PTuPEJ7AdVK&#10;nwrUZ5LrhEewe2usU4prqrNO/26jlPDJ8UjOzUR2eSmKW5q4sKxz9KJ1eDd2HjsC1+WLPAKY5N5Y&#10;Onjic09aeI9g53z6qVSD3csnn4iU8QKGNA9oTtAcobki1S+X5tTww4foOXMKjQNulLW3IaO0EJHx&#10;0VyUUwkDLs7ZPJ7Pa5n/HmV9oAwStCZpQ0tjfx8Gbt7km1VoPKRNKnLj924kcf4x9j57js4HT1B3&#10;8wHKr8ncLwXzEiHQBQKBQLDoIIH+5ed3YDSbEKxUykqfmSJFtasRu6UWeQfeLbYpOj277wiMMXFQ&#10;UAS6zPHehiIkmP1cgnSsRZK+PWf/eTZmo9hWlo9+/bLXXrSTrCbJWmvYALNGxaPB/RV1LqWDl9K0&#10;R2oVKGfn7DCs4W0gcS4izaeHXC308UgSfTWPRKfxn9H1ZeuUNrpE5pXy+uW578kUMSX2n0PiwBmE&#10;O+UF9pzTdxZRzpMwJGdDGTK1jTtThTY7JLPr5WTXb8YbSnQr4YpeC/t249xEywYqlA6dQVH5jgYd&#10;XJmbpTradH8kOUpRxnLjOZdQ20ik21bDlRv86poKkf4KpyTRXTFr/R+JTvMkZh0crYa5WVuevvLU&#10;9T6drysxpF+CyrgsfDhPaqGTQDfkDMNuXs/Ft3y/pgZF4jdHR2N1wTms8NRB/yB3FOrKy3j22dfs&#10;2fg72WdmgWAxQSW+Xv7wPU6dGIbZYoBaG2DpqOnlf6gCEckJKDpwGDW3n6D65iPZl70CwaxDIv3O&#10;U9Tee4aK89dQsPcAkmuqpVrpbP5SPX+ScYtSpr8FLvTeEOubeUppqitvthphi7Lx1NLxGSlIKchF&#10;VnkpChvrULlzO+qdvdi2fy86T57AwK1bvC41RbHve/oU+58947Wqef3qTz/lcpBE6XgBL4l3xqef&#10;jcl2OTkomGd4Rfk4QU7Xn64vzQuaIwO3bmL7yAE2j9qRXbEFCZlpiIyL4inZ1aogPhdpXi6E9Uqy&#10;XIqcV/NyE1SzfcehEey+dxdHXrzgYyQ7jpOAxDnB07U/foqm2w95xHmFkOcLCiHQBQKBQLCooBSV&#10;JNBPHd8HtUaDEJV/Ii+p/rlaq0PqDjcX5LKCzUPeyCWk7xqELszK00rLHe9t0Pfb0nOkOs6LRKBn&#10;H7qMhrZt6LOsQZ/+1Ytlb3r0Ev0mhPKU7ZLc9jXeaHMNpWnXKVBnWM+joim61ltzffxLa4HvoXH2&#10;pnOfaU17vlZD1Uhs6uClFHy1jkjIZ+09hxh3AEehD1yAraELoTodrwsvNz6+gDY5hDKaDWvZOp2h&#10;GNOt4PW/uTCWk3CLHZLPHvlJQtpZrIArflyt9EAU6dQmInItHBVq2LssUh/moh53IMLGgovlGErn&#10;7udIdM0KNl/Ww95hmhuJzuavyw+p3CkK3W4JgjW7H0uKr78hrAONFUWXsLbgDLZFWLj4luvTVBlg&#10;Y9DNxiA07zA/Pj9PwXksyx7F4Oln7Nn4t7LPzQLBYoPWAm0oOfnRnjGJbjTrZV/Kzwkk3HRqhEXZ&#10;kD+wl0f9Vt98KPvCVyCYK6rZvCSZXnXtLspOX0ROjx2x+XkIiw7nYljrEcSyc1zApeV4uU7yzyvY&#10;ea1p9nd0L6B7k9lqgiXcAlt0BMJjI5GYlY7U/BzkVG5B8dZ6VHfvRNNAHzqOHoHj8iW4rlzm9dgp&#10;6nb3vXvYff8eF6okVkmyHvvmWxz9+hsuFo989cIj3CXp7o1ylxOJgrnBK8rpOtH1otT/VLt7/7On&#10;PGtB/80bcLLrvv3wCKo7O5BVVoK4tCQ+X2juUKYIPrd4TX/1vE3JLgetH1ozetbHmOQElDQ3wnHh&#10;PJ/rlM2BMjjIjelkoYhz+ux7/Axtd6TNbCTORa3zhYcQ6AKBQCBYVLz84TcAfofe3u0IUSqhUPmp&#10;/rlKCW2YFdlDJyYl0FPaHdCajFBOJSLeU/88uqjCk3564Qv0rJEr2OIahj02FP3aV6nbSV47jauQ&#10;pd/M00X7I2U7HZMi2vUaNVJ0wag3UKpk6dxeee9tj8D/UCR6l2E1IrXKGW+WoI0oerZeM3r28vUo&#10;N/emS/rus4iUkdcBgfsMb5shMQMq5dSyX0wFEugKdo1SdCEzWysUIWtdDUcLpZmeA7k3nxhfK707&#10;DM7qULjSNvLx6wtEkU6ylNpkWAlX8gY4GrWSQBfXWYKNg73N6JHofr527Piu5I3o7fRsZJBrj7+g&#10;+dpl4TXyfb1ZYEj/AapiM7Gm8DyWF0oR2IHKCh4lfxGFyVVcfPOyDDJ9mgp9JOJNa5CavgPLiy6P&#10;nev/l3EWZf338N///AYvX8o/OwsEiw3abI2Xv8XJj/bCHGZEKMkqmZfzcwkJNEt4GLI6u1Fz+xGv&#10;Ry330lcgmEtocwevlX7rMaqvP0DpkRNIa21DdE42m79maENDeGkCksFy81wgj1ew89TwhF6qSU0C&#10;lD459Hde2Pd4v5fqsVOkcWxyAtIKc5FenI/ChlqUtGxFraMHbQf2o23/Puw8fgy7TnwE+/lRuC5f&#10;Qv+N69j78AH2PX7E5fpH3/4ERz212rm05fXav3otsl1EtPsGnkWAjSePJmfjTONPmxw++slP2L8/&#10;x9Cd23BcPI/Ok8d5Xf16pwPFWxuRkp/NywMYLYbX5sPYPKF5sQDXHvWN0s7T72+a33X2HgzevjVW&#10;35wyLsiN82QhcT7CPgeePseOe49Rc+MBjzoX4nzhIgS6QCAQCBYVkkD/AyoqS7Bh02ZZ2eMLSKBb&#10;k9OQu+cU8vaflxVrXvIPX0FiYwdCtezneOp3+WNOhL6Xoujjq7f6tH5zoJJz4AIKhk9jZ24C+rU/&#10;HnspTELOblyFDF2QT+piT4SOR4KWotrT2Dm2GtZxAUgCV0jzuYU2L2w3rEG4ZuYSXRESAmt6DnL3&#10;nn7vppepQJHoSYNnAzYKPaJ/FLbGHqh5FLr/aqFTun2DRoV24zSj0D2C1ZW+SZLDcvJNII+nnjZ9&#10;7diqg7MghEd7j6V292Gkr0+gGtiWVTzTgH0HRUKzti/2aHTPZgJ7q9H/NdE9qfWd2UHo7WHnpY0Y&#10;cm3yFy4rHE06uMNW+3SjR59xBfpNqxGZacey4qtjAjlQoTZasvpYu9mzBkXky/RpaqzEgGEFSuML&#10;sLToVf9/nDuK8IZr+OanP+FRt3LPzgLBYoQkOqVzPzzSL9VM1QVetCxJAkq3m97Whqort1F9+4ns&#10;i1+BICC48YCL9Nr7z1F1+SYK9uxD+rYdvK6/wRDKRTpFpfMIWCHUfYNXtI+HRPo4keqNbn+VQl5K&#10;303y0WIzIzohBnGpiUjKzkDmlmKe7rt0WyvKO7ajpqcLjf1uzo7DI+g4cgi9o2fRzyPcb/BodSmK&#10;neS6lD6eoqNJBHNIZnph3+utz83TyY/nE8JTw9sDr1U9ngmSc84Z17bX2i7TPxK6NAY0Ht6x8Y4X&#10;TzH+2ed8A0PvubN8nLcODaDW3oMydg3y6qqQWpCDmKQ4hIVb2O8FFZfHdD25KPesKe/1l50n8xzv&#10;vKb+Ur8j4yJR0tKEHWw+UnYFGkOeOYGuh9y1miTeOudDT59j5z12L7vxkNc5F+J84SMEukAgEAgW&#10;FRRN8PvffYnk1CRs3Oy/ur8USR6zpVqqq/yelNAk0BPqtvE00lMS6JR6WqdDcmuPT4VfIJLDxjBn&#10;5BK2NtZ76p5L8oBHIRtXI9EX9bAnQMfy1jiPY8dv9ESci/rmgQVdj2bDOp4ZwHu9poVaxTM6xNe2&#10;Iv8gRaH7LqNDDiOuP0DrobvPsM9TMMSnTLmExFShTQ5ZuiB+zeSu5TshgWRaBUe9VkQlTxevSKco&#10;33YjnOVquGLXSeNLotKHsnLG6BmeeveOao0kcum6L3aRzsbA0WaEy9+R6CTR2ZqjzRa9Dnbe2Rx3&#10;Ohebo87cYJ5SXrZ902RQ/wEaYpOwrvAsrzM+XlgHGkuLriAk9wh2hRt4Cnq5/kyVQf0StERYsZH1&#10;f4UnCn95wXmsyj2PK4++gEjjLhC8Dkn0//z7N3A7dyBUq4ZWH3gSnQtHnRoJZVtQPnoFNXefcVEp&#10;9wJYIAgUKDK99t5z1LL5Wnb2EgqGR5DS0IgIipalkgkkedm85mneF6j0C3S8EevjJTul+fZKdpVi&#10;M/s7Bb9WhDUiDNZIK6JIuKclIT49GalF+UgrKUR2ZRmKtzZwKnftQGO/C419Tl6Du+vUCXSdPI7B&#10;W7d42nGq3+6t4c55/kwSmJ502VxkknT2pJP3wqXzF5Kgf4WUptuvyJyXbwwY1zYu/D1tp4hx6hOv&#10;RU59ZZ+7H9xnY3ACu44fQ/NQP+ocPdjS1oKipnpe8z61MA9xbDxpbGmcaeMUXRMluwZq9ThZzq7D&#10;QpXkcvBNIGwc6JPS0acX5WHr4ACcly/yOUIZEujz1dhPHa80P8jY/fQ5Ou4/Qf3NByJV+yJDCHSB&#10;QCAQLCqA3+PR/Yuw2mwICvGTLFKruUBP2e5E/iTSQXOBXt8+TYGuZ+dxLXiBnn3wEk/d7ohRok+3&#10;lL8IltK2f4h0fRBPre5Lee6V8RFaJaoNG/h5qO72jOs3C3wObWaga1PLrpOWS3T5azoZSCDrwmxI&#10;796LPC7R5efjVMnbfw6Ze84i2n06ACPRzyCy/xysNTvGykLIjY0vIIEextbUTuMafs3krudbIbkb&#10;sxa9VB97tiNiFxqeaGY+jp0WOGpD4Upcz6O++7xR6XLXYLYhiUvtMX3IMw/YtxnGNgDI9mux4LTB&#10;zmuie7IIyI2dL6BNDOzTWaac/c0L7Hy0yUOKtvddH/v45rvViMxyvpbGPBAhwb226AK2JBRiSP8q&#10;685MIBHfGxYCW84AF/Tec/0/GWfhPPkUL3/4DvhB/vlZIFic/Jr93/F3+M+/fwWHvZ0LdBIUci/y&#10;5xIeXahVITo7CyVHTqLmzhNU3xB10QXzgQe8XjqJ9Kpr91Bx4ToK9h5AakMDIjPSYI6wQq9X85rp&#10;JNSFTA8svJG/XLbT/dEjNEnocuGuDpEEr+f6SddQA5PFwNDzCHeS7mERYbx+e2RCLCLiYxCbkoi0&#10;ghykFeYhvSgfBfU12NLWjNKWRpS2bkW9sxcte4bQvHsQWwf7se3AfjguXoD76lW4rl6RuEKfVzFw&#10;66ZfcV+75jmXBLWBUqlTu6h9RFVnB0o8bc+vqUQabSwozEVsaiLrcwzrczQbA2kcTGEGGM0eOaxT&#10;ITSUxlCqfU9/pr/nY75I1wL12zu/KEsCjSHNjZ6zZ7DvyWO+eYEyHsxUnBNcnLPP3c+eY+f9J6hj&#10;v1dJmpM8l7+fCRYqQqALBAKBYFEB/AmnTuxDqEaDEKV/0hUr1SpojUZk9O6bHYHe7lzQAj1n/3nk&#10;7R/FroJk9HvkOUWeO4yrkOnjtO10HJLxlGq6UL8ZlBreW+N84otoQeDgleglhk28Vv205wNbf4qQ&#10;YNgycpA7fAa5vkzlvv8c0vecRZSsxJ5j+s8houco9DGJfo1Cp+uiYPfeEv1GvoblruVb0a2Es0gB&#10;nr59sUch+xKS0QQbU0eDFq70zXDbVrPxXhFAIp21gyRqxBo4KtSwU21uT0r6RQsJ5laDlIrfn5Ho&#10;NO7W1Xxu8FT6cm3xF+wa0/Xm7fBZmQFKY74MtbFp+LDoElbyWuNvyutA4YPiG4hK68AQ1S+f6j1T&#10;BtpAMGBahZTUrezY18fO86Mc9qy18xb+8IdfsOfk38g+PwsEixmS6P/+16+ws6MJClVIYIoL1iZK&#10;gR0eH4P8/iHU8LrToi66YP4g1Ut/LNVMZ1+TUC/efwgpTVsRnZ8Ha0wk9DoVtOoQ6PRCps83uGz3&#10;MkG6S7JYinTneGT7GOO+j/AK5PG8cT4G1f6OToz1K7QJYOK5DabX2zaxr95+jfV5fB89Y/O2fi1W&#10;aGxoMwaNW0xKIvLrqrFt/zD2PnwoZSDwRP37Ip0/r3HOoFTtu+4/Qa23xrkQ54sWIdAFAoFAsKgA&#10;/oqBgS5e/1yplpc8M0WhUsIcHYss9yHkjVyUlWnjEQL93WSPXEbtjl1wW9bArV/BRSmlbU/WBY9F&#10;isuNz1QhEU8kaYPRZljLBZ8Q5/MHyg5AIj1DHzSjeui0rlRsLSY27JjUBpipQCUdUofOykvsOSay&#10;fxRh1RSFrprSfWiq0AaVGK0CPcZVk8/oQPLMsgr2Fr0UCSsn2wQzgzYlkJS2W+Fo1kvps0mka1dI&#10;Alvuusw2njTzruSNcHjnwmLdTEH9Zv0nsS1tePDjNaLNFJFruLCf1eh/OleXBe7EDT7dzNFvWI5e&#10;y2aE5QxiWYBHoS8tvgpjzh702ELRr5c2EM6UPfofoSQ+DyvYsVd6zrMs/zxUWy7i21+KOugCwdug&#10;LGa///0L1NeVseekAJXoDJLoJqsZ6dt3oPr6fVEXXTA/oXrpNyShTqneq0mmjxxDVmcPEsrLEJ4Q&#10;wyPTdRqlqJu+GPDKZA9eufwaXvE8gTEx7SfkzinXPm/bOXJ9FLwGjRltJtCw32lUKiA8Khy51RW8&#10;3n7ftSs8fT7ViKdI89dT5E+fVzXOn2Hn/ceouylqnAskhEAXCAQCwaLh5cvf4OX/fo+W1jqsWb9B&#10;Vu74AopgjcguRO7e08g9cF5WpI1n5gJ94aZwzz5wEcVDR9GTbEafdikXbj3G1UjQhfgsbTsdg8Q5&#10;1dAuM2yE07hqejWaBXMOba4gMRulVfD5IXe9J4MiJATGyGhkuQ8jfxKbYKZK8iDVHZcX2XNG/ygi&#10;uo9AH5cMJbuHyY2LL6D1ptSEotawfvJp3HUr4UrZiN4us0jf7W/GRHoYl9SuAgWP/PbKa99FAk8T&#10;b1p322o4KRq9x7J4RTr1ma0HR90sSfSE9bDvZGtwNjex0CaBRh3cZtYGH27kGNIvwZa4HCwZF4Ud&#10;iFAa942F59AQncDa/CPZvkwVqgO/LSoCyoKPsMxTB35lwXksyT6Hyw+pDjp7VhZp3AUCWYA/4E9/&#10;/Bp1dVvY/9kUkhSRefE/11CEHqVJTigvR/noVZ7SXdRFF8xrbjxk8/gpau9/jKqrd1D60Wnk796H&#10;tJZWRKWn8JTgXFyS1GTzn0t1ISoFgnkFrWEelU9rmH1N9d4ztxTzNPj286PY9+QJjn79Da8774tI&#10;c4KkOdU3JwaePEfHvcdjNc4p6lz2fiRYdAiBLhAIBIJFA/A9fv/9FygszOUR6HJyxxeEBG9GbFUz&#10;8g9dlpVnE5mxQN9mX7gC/dAVNDXU8oixPv1yLtzydZt9Js8p3TfJ8xitEq3Gtfz4Iup8fkOZA1qN&#10;62DUqHiGArnrPhmUihBEF1fy8gG5hMz8nAlJg2cR7pQR2XNI5OBFWMpboFYr/V4LPUUfDBe7XpNa&#10;b9oVcGxRi7Tds4knwpk+7dtNcBUp4A4nkc6uhz9F7WTxtoHXRjdKGysW4+YKz3WiOuVUK95bt9wv&#10;0EYWNt69tGlhtsaaSjb0hMGVsUmS+HLtmgYD+iXosqqhz92PJeNqgQciS4pvICepEkOGZeib7Kaj&#10;d0B10B1hwbBk9bNjX+XnoEj0D3JH0TnyGP/7H/a8/FKkcRcI3gbwR/z8p0+Ql5eBEFWIrAQIBEg+&#10;6Nj/b6Iy03nkbs1tKTW23IthgWA+QenduUynyHT25/LzV1F67DSyu3sRX1wEW0IczOEWGGgNaBQ8&#10;K4PeECoifwWCAIR+V0k1zRV8jVIt/PTifDQNuNF3/RqGHz/C4S++wJGvvpJStE8Q4NNlhPjkE+x7&#10;/jH6njzD9nuPUUs1zkmci1TtggkIgS4QCASCRQO98Pji01uIiYnC5pAQWbEzY0g6qVVIaulC/uGr&#10;suJsIiTQExu2Q60JnZpAZ9+r1miQUNuCvIMLT6BnjVxBad9+2OO1PPqcosJ3GNfANEMx6kVBx2Bj&#10;nqUP4lHtJF4pBbjcC2fB/IKuZYVByjJBmyQmXvvJQBtUtCYT0jsH2frybRQ6pXLPGT6HhP4zCJcR&#10;2XNG3zlEdB6ELjKWbyCQGxdfQNdEp1Gjna3n90ahU9Rz+BqeVlwI9DnAE+VM2HeY4CwMgTtqrSSw&#10;51qke2ujs/nhrAqV2jub0dGBgucaOUuV0pj4K0sAHZdS6LM5wM9JyLXH11AUOlv/PMreZxsEVmK3&#10;/gPkJFVgWfG1sVTmgQhJ7tjMHrgsm9BnWCbTl6lBEn7IsBQxqdt5jfWx8+SOIm/nbfzzn7/mUehy&#10;z9ECgUCCaqJ/8+IBcnPTeU10OSkQEBi10GqUsERakd3dg+obD1AjUroLFhKeNO80r3nddDbHKy/e&#10;QNG+gzw6PbaoEOFJ8TBbTXxDiTY0BDodCXWN/JoRCAR+xyvN1apgGM06xKYkIreqAnWOXrivXuUp&#10;2Uc+/ZRHmvuqrrkXStF+iB1v+PlzuB4/Q9sdaWMZpWkXqdoFb0MIdIFAIBAsGoA/4eGDC+whzYhg&#10;hVJW7MwUqn+us1iQvmtg8hHoI5eQsq0XWqMBSiXVX5Y/9kS4bGdEF1csPIFOEb8HL6Klphz92g/4&#10;C98B44co1G+aUWpuLxR1rtGE8pTtJM3p2HIvmgXzE7qmFNmcrpthPXSlAuEZOcjbd9bnUeheiZ44&#10;EFgSnUehF9VCrWb3oils6JkqJNFz9UHvj0DXrICT0rf3hM2esBPIQyLdaYV9uxHOQk9qd60fhe1k&#10;IYlu+hCunCDYd5pYGxfhRgu6Nmx9OHODpE0n/romdGw21g7asDBbmxUoCt0RBld+CPqoJr9cu6bB&#10;oH4JdkSEQZl/FEsDuBY6pXHfVHAa28JNvM1yfZkqlA6+MHELVhVdYse/wM+zNG8UoZWX8T/f/0II&#10;dIHgPbz84TdsnfwBP/n6IbJz0gJbojOoVjTJ9KSaGlScp5TuT1F1XaR0FywwqEwB1U6/6ZHqd5/x&#10;zAtlJ9n/u/qHkL5jFxIrKxCZlsRTvnOZrlFCx9YHF+oUoS6i1AUC38LWlLeeuVarQqg6hK0/PRKz&#10;0lDauhUte4bQd+0ql+WHPVHmVNfcl9KcoFTthz75GHuePUf3gydovvOQC3OKNhfiXPA+hEAXCAQC&#10;waIB+CsuXTqKjZs3Q+EnMaRQsAfC2HhkuUcmHbWaN3IJaTv7obOEcWEnd9y3QeezJKezY7Bz+SHN&#10;9FyRPXIZJe79cMaEoE+/jEepthnW8qjV6UYUewlmUBR7vWE9j1QWKdsXJrQposu4GpFa5bQzFihV&#10;SoTqdEhu7Z70hpjX8aR/f8vaHB+JLiez5wSKQt+5HxqLbcr3o6lA18TKrk2vcdXb1yBJQMNKOEvY&#10;97lF9HnAQLLWZYOjzQBXbjDcVk/9bR/WqJ4yNFeoDfHr4WjUeoTyLAneQIGENqU7T9/Myx7IjpMv&#10;YOPcF74G9hb97G1WoPnWqpfKCNB1lmvXlFmJQcNyJKZvx/Liq1jpEcmBxwUsKbqK8rhM1l7fpHEf&#10;MCxBW3Q0ggpOjNVBX54/irXFF3D76Qsu0F/KPEcLBIJXSBL9T3j2+ApiYyN4TXRZeRAg8JTuGiWi&#10;sjJQdOAwl+g8YlfmRbFAsGAgoU4y/d5zXj+9+vo9bDlxDgXDI8i2u5BcW4totiZMVrNUN52tE/7p&#10;raNOfxZSXSCYEvz3jV6qZa5j64jg9cxLC1DvsqPzxHH0X7/OU7Mf/fprjHz+uc+FOcHrm3sYevoc&#10;u+4/QeOth1J9c5GmXTAFhEAXCAQCwaIB+AtOnNiH1WvXywodX6AIDkJYahZyh88g98B5WWk2Eapf&#10;nuU6BENULBficsd9GwqFAvqIaGT3H2XHmdz5Ap2c/aPIOXgBbdVb0K9byl8WU63kRF0wl99y4zBZ&#10;KPLcrFVjq2E9drPjipTtCxvaINFgWIdQjRTxLDcn3ociJBjmhFTk7D456UwPtKZJuOcfvMhrqNPa&#10;5H8+fEX6HCEu8U02dMy8/eeRPHQWEc7Tcx+N7j6DyL6zMGeXQKlS+C0Kna4HXZcawwZ+neSuH492&#10;ta2Bg0QdCVE5sSaYGygbgCcC2dFq4NHf7rBVktz0Zx3ud+GV6NZVcG5RSVkLFtu8oQwBO81wJW2Q&#10;sgPIjZMvoHrkCeth30UR/7M0xuw8tGGjz2cCnaLQP0BjTBLWFZ7Bco9IDkSWF11GRloL3KbV6DPM&#10;fHNEv2E5ei1BUOYcwDJPDfgVBeexMv88Bk8+kwT6D/LP0gKBYBxcov8Od26dRWxcZMBLdCmluwJh&#10;0eG8XnT1tXuouSNSugsWERSdfvsJr59ee/cZqq7eRfnoVZSeHEXB7mFktG1DwpZShKckwhxhhSnM&#10;yNcNT/9O9dQp/TuJdSHVBYIxeIS5Ts3rmFNqdqNZD2ukFfHpyShqrMP2QwfhvnYVex4+wKEvPufS&#10;nCLOKVW7nPieKZSm/SBj//OP0U/1ze8+Rt3NB2MR57L3BoHgHQiBLhAIBIJFAfAdfvjv/8Bh78C6&#10;jZtkhY4vCAnejIiCMhQcmVz9cw4XbBdgScngAl7uuG+DImQ1ej2SWzqRN60I2cAjh41FSf9BOKIp&#10;+nw5l2t1hvW8RvxMos9JvkvyfB0/ppDnCx+6xrQBI0e3mUc8KyfMickglUpQIaG+fVJR6CTGc3af&#10;QGrnEBIadyK2vAFx1c1I3uZA8g43Ujr6kNa9G+k9e5HpGuGbX2jDTcGhS8g4cBXRQxcR0X9eigR3&#10;zU1keiQ7d/i2QYTqDX5N407XJFkbjP63CXTdCrgSNkiyVqRvD0x4em0Jivx2p22C28yunT8joN8H&#10;bbxgn87sINg7ZlHwBgok0dsMr2rVTxwfX6Fn65ONMT/nbKxPNsd4v8KpFrpv+tVvWAGHeQO0OcNY&#10;7hHJgQjJfU3eCHosQVx+y/VlKtDvRTqOJdOFZcVX+TlWFpzHBzmjqOi7KwS6QDAF8PI7tmZ+j7u3&#10;ziIuLirwJTrDG12bWFGOstPnUXP/Yyn9tcxLY4FgITOW7v3OE57uvZrWwbV7XKxvOXEWee5+pLe2&#10;Ia60FBHpqbDFx8IcboHeEAqtOlhKA68VUl2wyCBhzua8t445yXNblA0JmanIrS5HvdMOx8UL2Pf0&#10;KRfahz7/3FPP/HO/SXOCxPkIO/7e589hf/gULXceoZqtc17fXIhzwQwQAl0gEAgEiwLge/z1z9+g&#10;tqYcGzdPTVJPGrWapzyOKatD/uEpCHQGibnI/C3TSplMEbL0s/mHF4ZAzz54Ca21ZTzKil5u242r&#10;EKVVzKiWNY8810jyfOhtsk6wIKH0/93G1QjXKqddP58yQ5jjEpE9cIxHlcvNW4LkeWqHG9a0bIRq&#10;NXxtUpYIiRD+Z5VaCa3RCJ3FAlN0LCyJKQjPLkL0llou6WObuhC5rR+R3YcQ1T/Ka5JHsM8I91ke&#10;HS4nvH1O31lEOk/ClJbH7klTy4oxFUigm9i63GZcy6/Ta9eO13BeCVexQkSfzwe8Eens01kTClfi&#10;Bkly+lPgvgtPNLqLUrpTBgOX1DbZti9EnDZpQ4MPZfMbUMp+KrFA0f6zlcqdR6F76rzLtWnKrMSA&#10;YTkKk6uwsuhSwKZxX1F0EasLz6I1wsbau0ymH1NF6ndxUgVWFV0Y6/f/zT6HiNZr+Mc/fw28lH+e&#10;FggEb/KGRA9VykuHAIKn2GXPxhFpycgfGubikESi3ItjgWDRQOvgxkOPWH+E6tuPUUMR63efofLS&#10;TZQePYn8gd3I2NmJ5K0tiCsuQlRGKqwxETCxdaUNVXikupJLRW8aeF5b3cuEtSgQBDRszo7VMGdz&#10;OpTNb61GCVukFcm5WShoqOXCfOexI9hz/x6OfPWVR5ZLtcwPfvIpDnzsP2lOeMU5pWnvfvgUW28/&#10;4sKcI7fOBYIpIgS6QCAQCBYFlF7vt7/5DLk5Gdgc7B8hpFSpEKrXIampY8rR4JTKOaGuDWqNhh9H&#10;7vhvg8ScISoama6Dk667Hqjk7L+A4qGj6E40ok+3lKdZrzBskPo5od+ThX6Oaqc3GtZjyDiHUZGC&#10;OWOQXfdq/Qa2vtRQTlOiU7aHxMYdkkCXqWlO8jxluxM6swUhwUFvX8e00Yb9G6FQeuR6SDBCgjZD&#10;qQhm/zFl/0ENs0IXnQBDWj4sRbWwNXQhsvuwFJU+hn+FeuTAeVgbuqEOpQh8/0ShU0YAkujF+k1v&#10;bmwhQWZZBcdWnRDo8wmS1C4bejstcJar4I701Kyei/roJNEpjXnEajhqNGOCX7bdCxHWX0cFuwYm&#10;z1jIjdFMoXUaxsaX1ildd7l2+BLKdLCNPR9Q3X0fSXQS0u0RZmwsOM1F9UR5HQiQ4F5VdB5licVc&#10;fJMAl+vLVKDjNLHfM2sKzo71+4PcUWhrruDzr3/Co9DlnqcFAoE8L7lE/x0+fX4deXkZUKjY/8/k&#10;ZESAQaKP0lSnNjWi4sI1XhtdRKMLBG/CpToJ9btPUXv/OeoefIKqy7d5FofiQ8eQv3s/cpz9SG/b&#10;hsSKCkRnZyA8PpavL0mkM+hzjHF11gkh2AVzyThRTvXLaQOIt345ER4TgbSCXJS1t6Jl7250nzmF&#10;wVs3ceizz3Dsm29x+MsvuTSXE9z+gOqaj3i+dj9+hh33HqP+5gNUsLUq0rQLfI0Q6AKBQCBYFAB/&#10;wC9/8QwJCbEIVihlZc5MUSqV0JotSNvhQt7IpTcE27ugGsmZzgPs58OmFYVOUaJxNS1c4uXue1Pu&#10;zReyDl1FY2sL+syr0K9fDqdxFRJ1IdOPHGZQ6vdyT51lkbZ9ceK97sm6YJ6NQG6uvA+S3abYeGQP&#10;HuclF8bPW9q4kuk8CGNUNBTBwbI/Pym8cp3dS0imE2q1CqEGIzTWSBiSsxG2pQkRO/YiwnGc1yon&#10;0c2j02Uk+IzoG+XSXh+XxNrhvyh0WtvxOgXPNPFaKneSYzHr0NtlAU8TLifTBIELbXqgVOI7jHDl&#10;B6PPWx99LkQ6nZedf6wuOol0uTYvNGizALsOziKFtJ78JdFpk0LcOn6t/T62nnuBK3OzdF3l2jNF&#10;KJW5y7wesVl2LCu6/Ia8DhRWFF1BRKadZ+ahFOxyfZkKJNB3WdVYn3+SHVuq/74sfxSbSi7iwu0v&#10;2HPzd7LP0wKB4O1IEv1P+ObFA+TmpkOhCp4XaZ25xNOpEZObjZLDx3kkOkXfyr1EFggEr3hNqlNd&#10;9fvPUcP+rvLyLZSfu4Itp86j5PgZFO47hJxeJ1IbG5FYUYborHSeDt5EddZtZhgtBklgkrjUKBkK&#10;T2p4tSTe6T4y/HNuvQAA//RJREFUD+4lgvkDl+Xs3i9FlSugZfON5hht+LBSOvaMFORWlaFq1w7s&#10;OnEcfdevY+juXS6sj7x4gSNfveCp2f2Zkl0OXt+cfe57/jFcj5+h5fYj1Nx4wKW5EOcCfyEEukAg&#10;EAgWBSTQv/3mIcKsFoQo/SPQKZJUHx6JTMeBNwTbe/FEtJrjk6Yp0JUwRLBzO+dvFHrOvvPI338O&#10;HdkJGND8mEekNhvWQaNRzyD6XINsXRAXc/0yL5AFiwdKEb7dsAZ6jWpa80mqha5GQsP2N9YYlU+I&#10;rWxi9wBK0e7jaG0u1ZXSfYFBEeFUm9yYmIawsmaEb9/D063zVO8+FelnEDVwAZaSBnZe/wl0KUNE&#10;KFoNa1+PQtevhCtrs0eaTZBogvkDCVWKGt6qgytlo3Rt56I+ujfdeIECdtqUsVgkOht7e08YW0tB&#10;ng0MMmPjC9g1ddJ6pQ0Kjglt8DW0MaNRB7fJN/0hGT1oWI7ShAIsLbr2hrgOFJYVXYEibwTdYUqf&#10;1EGnYzjM62HJ2cNrrNM5VhSMYmnOKPpOPmXPzb+VfZ4WCATv5uUPv2Hr5/dcohcVZfOa6PNCopNM&#10;0algibQic+cuVF25LaLRBYLpQGngbz6SaqvffsLXEdVYp7/j/37tLiov30bF5VvYcnIURXsPIKfX&#10;gbTmFiRWVSK6IB+RGWkIT4pHWFQ4zDYTDEap5IJGFSSliSfJPjFFvMy6FggIryzXaFUIVbP/1yuD&#10;+Nyx2MyIiItCYnYGcqsrULlzO9qG92Dg1k1ev3z/s2dckB/+4gspwpyE+aeUkl1ebvsTrzjf/fQ5&#10;eh4+4WnaaT2RNBdp2gX+Rgh0gUAgECwKKBrgi8/vcAmmeFtq5RlC8swYE4+c3ad4RPl4wfZeSKCz&#10;n4mrbJRSP09DwtH5Iwu2SPJ+qucPADIPXUVlpwN9tvXo0y/nEeMl+o3YPM3oc6nuuQrbjWv5seRe&#10;IAsWDxSFTpsoKF04pQ2XmzPvQ6nwRKEPnWBrVlpjtN5yBj+CJTldqnEu83M+he4NPAU8RamHQGMy&#10;w5RRgLC6TkTaT3hEum9Su0f2n0fEtkFoLbZpbeyZLLTGS9l1GRh3vbjsrAiV5LkQ6PMbTyQ0fToq&#10;1XDFrEMfSXR/ydy3QefTrYQrfRPsHabFJdFZf10J630Wtf0GNLZ6WrNqqd68XDt8BfWnywxX6kaf&#10;bcYY1H+A9nATQgpOYHlhYKZxX150GZtY+1qi4zBgWCrbj6nQZ2BjZ1qNzLSWMYFO/H/Tz6Js4C5+&#10;+O93ePmD/DO1QCB4N16J/j+//gwN9WU8nTulxZUTG4EGpe41sLbGl5ag5OhJHllLUbZyL5QFAsEU&#10;oM0oXK57aqxzye7lsafeOoM2rrDvLz91HkXDI8jrG0Dmzk6ktrQisbYOsUWFiM7JREQyCXYbTBYD&#10;9FoVtOpgaClynct1FV/LUmp4UYN9weO5tlyUs2tOUeVclodKspz+zRZtQ3x6MrLKS1G0tRF1jh5s&#10;O7APPWdO48Dz5zhMtcs//5xDqdhHPvXWMJ/dCPOJeMV5/5Nn2Hn/MRrY2vFKcyHOBbOFEOgCgUAg&#10;WBSQQP/ss9vYFBQsRZLKSJyZQvLMFJ8spW+XqZH8PiiqNcO+HxqDUZLoMud4J5TqWatBUvOueZfK&#10;PYfG6+AFtFaW8uhzb8rtHP3maadvD2Y/F6cNeT0ttGBRQ1HoXcbViNAq+fyQmzfvgtalWqNFUlOH&#10;Z42xdcs+Mx37YYyM4pkg5H7On/CU7yFB7D/IaugT02Gt6UCE6xQi+kd9EpEexY5jTM+Hyh/R9R5o&#10;s4uUxn21tF4NH/IyDvZWw+KRnIsBEukumyRz84Ol2tz+jIqWg86lXQFX4nrY242zU7c7EHCycW/V&#10;wx3hqUkvNzYzhdLE21bD0azz/7p12+CoCvVZanopjfsGxGZ04YPi66+J60BhReFFrCm6iJLEUgzq&#10;fyzbj6mxEgOGFSiLz+PR7VRnnc7zf7LOIbXjFv74h1+yZ2dRB10gmC4vGZQB7Y9/eIHWlhpotGpo&#10;9KHy8iPQIAmjUcAaF4Xs7l4u+0jsiWh0gcDf0BrziPZbj3jk+qv08B9Lddev3EbF6GWUfnQKRQcO&#10;I39oGDnuQWR29iC1sYnXX4/Jz0VkWjKs0REwhRl4iQap7vo7INnuEe48a4YXuXuEYPZg14Cuh/f6&#10;jK9L/go1l+b077YoK0+/nlVWjC3bWtHgdmH7oRF0nToB99Ur2Pf0CY6++BpHv/5akuZffDHnknwi&#10;4+ubU5r29ruPUcfWRPm1e0KaC+YEIdAFAoFAsOCRogC+x/nRI9gcEuIfgc6OSRGatszcaadQz6OI&#10;1uGzCM8ugIK1U/Y874EiZHVhVqTtGpi2yJ8Lsg9eQkn/COxJBvRpl85YoCs9FLCfF9HngvHQfKg2&#10;bIBKI6UPl5s/70KhCEFYSgZfqxSFnn/oMtK7d0NnNk9v44uvUKt4zXTaRKOPT4GtfhePRI8kke6a&#10;QUT6wHl2rE6odToe9S577hlCazWU0W5Yyzc58PTtVFN5p0mKXJYTaIL5C8lVikZv0sGduAE8vTqJ&#10;UJn16hc8Et0duw6OZv1Ye2TbupBw2eCo0/LNKX4bby1buwnrYd9l8e/apSj0HSa4otf5bEPAHv2P&#10;kJNQig9Kbr4hrwOFJcXXEZW+k/0eW+6TOuhD+iVoirBhRdHlMYH+Qe45hNVfw1ff/oQ9O4s66ALB&#10;TAF+h3/8/Rdw2Nt5ZGCoVi0vSQIQqsFsZJ8k5CjVNKWjFrXRBYK5hUeve9PD3302Jtfps/rGfVRe&#10;uY3y81dRduYiSo+fRfHRUyg6eAy5zj5kd3YjtbGBrelyxOblICojDWGxUTCFW3gtdlOYCUaznq1/&#10;Lc9EwWuw67x12RnsnkCp41+lj/eId4/klbuPCN6Od9zodwOJcJLgVItcw8Za46lLzseafQ/di6k+&#10;OaVdt0aHIy4tCemFecivrUJNTyePJrdfOA/n5UsYuHkTex7c5yL66IsXXJYf8cryOUrB/j64NPdE&#10;mw8//xj2h0/RfJvNdS7ORbS5YG4RAl0gEAgECx68/A744TcYOTCAIH8KdJUSkQUlM6pBTjIuZbsL&#10;6tDppXEnSPAZI2OQ0bOXHW9+SPTskUuo3b4T/ZRS1LCSC3QiX795WincSYxqNWpsNa6ThNy4F8aC&#10;xQ2lcXcy4rSK6W3OUFGmBy2S27qRf/gKX++ZzgMwRsVA4cc055OFS3x2D1CzNprSC6Qa6QMXENF3&#10;Tl6Qvw/3WUTaj0MbEeu3NO4k0GnNlhg2SWuf0mznBUvRwW6GkOgLDxLWFBXdaYazKIRHLkvR6LN4&#10;vyaJHLEG9iadNNcWukSn/rG15CxS+Cxy+w3omOzYzny2fr3nnNgOX8GumZPdJ9w6X6Vx/zHaoiIR&#10;UnAcy8alNA8klhRdhTF7CPYwBXteWibbj6kwoF+KTit7Xso/NJbGfWn+KIKKL+LOk68g6qALBL6B&#10;0rn/73//B4dH+mG2GKDWKGVlSiDCIx61StgSYpDrHuAyg6Ji5V4wCwSCOeaGNzW8JyU8RbBTDXYq&#10;xUCp4m8+RNW1e6i6egeVl2+h4tJNlF+8gfLRqygZOYbCPfuR3d2D9G3tPJo9oXwLL+cQlZWJiLRU&#10;2BLjYI2LRlhMJMzhFphtZhhJtpNMpyhoSiNPddo96eQlPCnlSQ6TfOfiXYqmJuTuO/MWEuLj+saF&#10;uEeKh7KxCA1VQO2pQa5WBfNxoY0IJrMeFpsJ4dHhiEqIRVxqEpJyMpG1pZgL8oqOdtQ7e9F+cD8c&#10;Fy9g94MH2PvwIYYfP8b+p095BDmlXidJTrXKSZSPfDZ39cqnglec09dDT5+j++ETNNySsp2I+uaC&#10;QEEIdIFAIBAseLwC/cC+Pr8JdOmYasRVNMxIoPN6yrtP8AjXkOCgN84zWag2sik6Fmmdg8g/dCWg&#10;JXrO/vPIGz6DnUXp6NO9eiG827gStfr1XKyRYJPr59ugGtdhWiUc7DgkTMe/MBYIhtjcqjOsh5rN&#10;lWlFoYcEITynkM3bszzTA9VAtyazNTsbNdAnC49ID4E2zIawqnZEOk8ion8aEp3qqfedhaWgUtrU&#10;44f7J0Fp3KO1Cn59+vQr4UrZBEd1KE8Hbd9p5rKVy/TFEi28WLCz68muqaPVAFfqJknsEhPWrN+g&#10;zRok0Ru06HVQeya0b6FBm1G6w+DMYGPtz1Tupg/hqAmV1qtcO3wBzZtmPdxWz+YLubZMAZ7G3bIR&#10;pqw+fFB87Q15HQiQ2FcVHMO2qAhet12uH1OBJLzTsgmxWXYsLbrCz7GiYBRLss7h9J3PePYmuedq&#10;gUAwdWg9vfzhO1w4dxgxsZEIUQbLC5hAhCIkdWoeAZlUVYmyU+d5tKtI6S4QzCNovXK8Ndi9sn0S&#10;3H6MavZz5acvYMuxUyg+dAx5A0PIcw8ga1cnF+5pbduQWFuLhKpqxJdXICY3B9E52YjJzkRUUhyi&#10;EqIRnRCD8IgwWCx6hIUZYDbroA0NgVq5mREkiWV1MBfN46GIbJLQb4OnMTdoGPQ5XbxR4PLnoL/X&#10;eCT4GB4ZrmLtVyk286hxI+sTCXET62NETITUb9b/5NwspOTnILOsBAUNdShqbkTlzh2o6e5EU78b&#10;bfv2oPPkcbguX8Kee/cwQrXIx/PZeD6TGF+nPMDSsL+P8eK8z1PfvJbNzwo2V0V9c0GgIQS6QCAQ&#10;CBY8FEHzn3//Crs6WhAU4qcISrUaak0o4quakHfwgqwoniwUhZ68rRehet2MaipTTXa9LRzJrT3I&#10;H7nM5bzc+eaanAMXUTRwBPaoEPTpl4+92CWB3qBfx/syVYFOUjRVH8KP400HLxB48c6JJF0I32wx&#10;1flFUd5aowHpXbt5FHoBW7MxZXUICWb/efaTYJ4udA9Rq1UwZRYhovuQVBtdTpS/i75zsLUP8jTu&#10;Kj+lqSeBrgtVo8OwRtr0QkKMIkttq+FK3ABnThCc5Sop5Xa3RRJzJAMJkrBCqs9v2PW094TBWaYa&#10;F43++rr1GyR8w1bBWRnqmU8y7VtIsD5SHXp3nO/Sn78BHTdqLezbjNKYyrXDF7C170ra4LN+UErz&#10;1JQmrCimmuDyEnsuoTTrK0quoiQuG3t0/1e2D1Ohz7gCA6ZVSE9tem3TwP8n/Qzsp57yDahUBknu&#10;2VogEEwd+j8pRaN/8vENZGensv8/Kri0kZXWAQjVRqaI0ojUJOQN7EbNrYdcrEl1m+VfOgsEgvmI&#10;V7a/jiTUvdHtTz3R7Z408t5U8g8+4ZHvlReuo+L8NVSOXkH5R6dQduQjVBw5jpLhAyhk94+yPcOo&#10;3L0XFX19qHK50DDQhyYGRVsX1tegqLGOU9xUj5yKUqTkZo6R7CWPkZOB6MRY2KJsPIJ72tDPx0Qg&#10;iR0vhY47/jwE+/vc6nIUsfYUNtShoKEWJS1NqHc50djfh4Y+N7YODWLbwQNoHyEOouv0SfSeY89U&#10;F0YxdPs2dt+9i/1Pn+HY19/g6DeMF1/jyIsXnshxKcU6yXKvFPciyfH5Jcjfhlec73/+MZyPnmLb&#10;3UdcnIv65oJARgh0gUAgECx46GXFv/75C2xtrPKfQKe0zjotkpp3zVigU7Q4HSMit1iqhT4DIUcR&#10;qBq9ATGlNcge+Aj5IxeRd+C8/HnniJwDF9CwrV16oUsp3PlLXalWdal+45TTbJMMJUq96aDpuALB&#10;BCi1f4thLUJD1dOLQlcEI2ZLHfLYeqVNL1QygTas0MYVue+fU9j9SalQQB+XjPDtuxFBKd2nUhe9&#10;7ywi7MdhiEngpSpkzzFDaM1SRoAytuZfK7tAclPL0HjSNIevgSt2PVxZm+GsUMHRZpSEOsk0EnVe&#10;sS6E+vyDrhvV6W7Rw5W0cXaj0UnAmlfBUaGW2kHR6HJtXCjQOG/V+Sx6WxbdCrjSNkrrkza5yLVj&#10;prBr5SxVSufzwYaLQf0S1MelY0PBmbGU5oHGj4pvIDW5DoPseanP88w0E/bof4yiuFx8UHJj7Bz/&#10;J+ssagfv49//+DV7hhYCXSDwJbQpBfgTfv6zJ6itKUGoVgWNbv7URScopTvV4k2urUHZ2UtSemhK&#10;DS3z0lkgECxCxmS7N4L9CarvsPuER7jX3HuO+vvP0fjgY7Q8/hRtTz5D+9PP0fGM8egZdt15APv9&#10;R+h79Bi7nzzhKcsHbt3CwO1bGGQMEXduYfed2/zrvqtX4Lx4Ac5LF8dwTBXPzw/cusnPMRH6++FH&#10;j7D/2TOeNn0f48Dz57y++LFvv8Wxb74dJ8UlDntSqhNSFLkUMS4nlhcy4+ub72VjRmnam2+zeSHE&#10;uWCeIAS6QCAQCBY8kkD/ORoaqv0r0PUGpO5w+yTSm9LAZ/QOQxdmnXHdYYpApdrM5rhEpLTbkTt8&#10;xpPWPQBE+v5RZB+8hI6CFPTpl8Fb/5akt4uRrd88bYHebFgr6p8L3gpFOdMcS9EF8+hnubn0Lkgk&#10;kzDP6j/K12v+yCUk1G1DqEYDhcI/95kZoVbzDTW68CjY2voRMUgSXUaWy+E+g0iGpbiOH0P2+D6A&#10;sgEks+tBm2fkrpm3vjIXfvRpYn+2rIY7dh2c+SFw1GlhbzfCvsssCTuqa+0ime4neSfwPbTxgaLR&#10;uyxwFit4ZDjfQCE3H3wNzStKPV7pkegLfROG08b76qb15q966Ox3urNEwc8l24aZwq6TY5uR3QfY&#10;PPFB/XxKad5p0yEo7yiWeVKaBxpUBz060w6HJcgnddCH9D/C1ugYbCo8i+WFF/k5fpxzDhnbb+H7&#10;3/1CCHSBwE8Af8Bf/vwN7L3tPApdrVHJyupAher26vUqHo2eP7QX1dfv82hUuRfPAoFAIAdP1X1N&#10;qnVdce0e/yT5XnPrEWoZdR6a7jxB24Nn2PnoOXqefAzn008w+PFn2PPJZxj+9HMc+PwLjHzxJQ59&#10;+SWOMI599RXnqIcjX0l/T3iF9ts4xI5F9cTfhOqKe1KmM7zp0+WEsUDi4Ccf49Ann/Bo88Gnz7Hr&#10;/mPU33zAr7uoby6YTwiBLhAIBIIFDwn0f/7j56iu83MEOhfofb5JlU5RrQcvIqGhnUdlzjhtsloN&#10;hVKJUK0W4Vn5kujffw75h6/OaUQ61T8v3HMcPbEa9GuXjL3Q7TeuRI9xFeJ0Ci7VZPv0Fkie6zQq&#10;7DKsEQJd8E5I1DYb1vHyCzRv5ObT26CyDbTuE5t3SlknPBtS4qtboDEYERIcxDev0PcQgZLaXakM&#10;gc4WifDWfk8kuowwlyFy8AJsbQP8HkL11eWOPVOC2VoP1yr52udp3N+HV6h7YX/uo5TvSRvgKlDA&#10;UauBvVWP3i6LVD+dhDqJUTkRJwgsaNMDydF6Ldxx69FHctsfknciNI/MHy6OdO6sf3b26cwN8l8U&#10;OhvPvrDVcGxl69AfEp2uUbcFbkrjTtdOrg1ToM+4gm/gM2YPYnnR1TfkdSBAkfG6vEPYFa7DgOHV&#10;c9N0GdAvQUeEGVp2zGVFl/k5luSOwlZ3DT/71U/ZM/R3ss/WAoFg5lA69//9769x8sQwbOFm9nyl&#10;kJXVAYunNrrJYkByXZ0UjU4S/cYD2RfQAoFAMBm4WJ8E9L31Nx9i6+2HPBX4jnuP0fngMewPn/L0&#10;4FRbm8TtnmfPMfz8OfZ/LAldLyMcSfRSdDQhJ4IFU8MrzofZuLseP8P2u49RfV3UNxfMX4RAFwgE&#10;AsGChwT63/72MxSUFvtPoCuV0JjMyHQd8pmQpuNQeuiInCIoKOrTBwKOpB+lmA7V6RCeXYDkli7k&#10;DJ1A3sglLv5529k55drjD7IOXkL9jg64revhHlf/nMT3LuMa2LSqKafXJuEeq1NMXsIJFi00P+xs&#10;niTqQqac6YCgdW9JSuXynNYqX7MHLyJ1hwuR+aUwRsVAazZBazRy6Uxrj9YyRahTZgku2Llk94h2&#10;WuP+Fu1q1m5PJHrEjr2I6D+PcNdpjpw4H6PvHK+hbohL5m2XPfYMobVu0KjRZFz/9ij0d8EjXhkk&#10;0rQr0EefEWvgStkIZ2EIHDWhcLQbJTk7lup9gUvS+Y7TBvtOE1zZQdI19pfoHQ/NG9MikegU7d9p&#10;gSuB/Q5ma0Z2PGZIn44dN349v458POXaMRPYMZ3lah/NjZXoNyxHXmo9Piy8yGuOTxTYcw21aVXR&#10;RTRGRmJI/4FMH6ZGH+uv07IZtiwnlnjqoC/LH4Wi9CK+/Om3QqALBH5Gqov+Ozx7cgXZWSnsWZA9&#10;o82juuiEnrVXp1EiMi0ZhXv2o+b2Y562We4ltEAgEPgSLmTHotilSHZKC05f19x4wCOem249ROsd&#10;SbJ33H+MXfefoOfhUzgmSPZ9z6VU4+Phcp0gMSyDnEBeDIyNwbix8jLExrPrAaVpl0p7lItoc8E8&#10;Rwh0gUAgECx4gO/x5z9/i8T0VAT7KbUyF+hmC7J3n/KZQCdIxmX1HYElIdmntZVJ1nGRrtXCGJOA&#10;6OIKpHcOIWfvaeTup/Ne4CmpX0XW+keqZx26itaKIgzol2J8+lWSZ+2GtdOKDKYo1mxdEE/PLeqf&#10;C97HEJtrNYb1ULG5NtXNGiS+NSYT0rt3S2uFz2upJnoe+zrTeRDpPXuQ1rUbKR39SN7hRlJrD+Kq&#10;tiKmpBoRWfkIS0yGISISaq2OzXcNF+hcqnPJrvSPUKeNNIoQmOKTkWQ/hKTd5xHTdxqRcuJ8HJED&#10;F2CiNO7Bm+WPO0NorSvY+i3Rb8Lu6Qj0iYyT6RxK8xy1Fq7kjXAVh8DRoEVvl1mScK9J9QmCTjC3&#10;0HVhn1Tz3h3uqdnt72h0mjfmVXAuhnTutEmhzQBX+Br/bFCga0X10PNDYKdx9HVJBdoE0GqQ0v37&#10;YF4MGJajPiYFqwpHscKT0jzQoDTuZXHZGOQp3Gd2zfrYzw8alyMmdTs+KJbqoK8sYOfIGcWjL19w&#10;uSf3bC0QCHyHVBf9L/jlz5+ieWsVr4keqp1fddEJkujm8DCkbW1G5cUbqLnzRNRGFwgEc8ZEuU5i&#10;XUL6t+ob91F3U5LsjbceYiuDpG/bHSmanVKO82j2x88wwEX7My7ZKSU5RbMTclJ5olAek/DEuO/z&#10;Mv4YgQq109sX+jP1nUQ5jc9ONlattx8xpLFrGJemXe66CATzDSHQBQKBQLDg8Qr02JQk/wv0oZM+&#10;FegERYdn9Ozlki3EhxKdkEQ6RberEGowwhgZg6j8EiS1dCHTOYLsgWNSzfSRi8g/fEUSg1ysX5xx&#10;tDpP377vDHZlxqA/9MevvdAlgd5kWMujyacq0CmSuFS/EQP8xfDrL4oFgol4o9BjtAq++UJuTr0N&#10;HjGuUiK6pIqvjdfmOEWle2qj549c5v/O1xCtH0+699w9p3kGiKzBj5DB1lvytl7EltfBmpYFQ1QM&#10;NEYTPz5tduEyXaYN04ZEvSIYUXklnvZeQPbwOWTuOYe0obNIHnxF0uAZ/pm67wpim3uh0Wn5vUP2&#10;uDNkM7sGabogXsbB5+uXNumQIPRG2lpWwUVCPWMTnBVqXkvZvsskSTlK907iVsj0wIAkNsPRrJei&#10;pUlw+1ui01wxU030xRGJ7qwO5ZsG3HqZsZgpdEyK6mfn8G6I8Bns2tC6dSeyeeGDDQADhmXYbtNj&#10;bcEZrCgKTIFOqdazUxvRZ1qNPsPMMwfs0f8I2UnVWFF8lUe4r2Tn+FH2OZy48Rl7hv4NXv4g/3wt&#10;EAh8C9VF//vfforhvXZYLAb2XKSUFdWBDKV01zOis9JROHyQR6JX334s+0JaIBAI5pI3o9clyU6f&#10;3ojpauLGfdTeeMAh4V538yGa7zxCK4n2u4/Ref8Jj7imiHYXo//JMy6Xid3PpOh2L8PPP+YS3ivi&#10;vXKa88nrKeZf500xPxlek/fjkPvet0Hnp3buZe13s7513HvMNxzQeND4eGW5t449MXGsBYL5jBDo&#10;AoFAIFjweAV6TLJ/BXqoyewXgU6QfEvZ7oDOYpHSucu0YUaQTKM00hT5SqmkKbJWr4clIYmnoo6r&#10;bUPyNjvSdg0g074PWX2HkbOb9fXgBRQcvY6CI9d4PXUuCL2MXH7nWGSxf6/qdcMVHYI+LUVRSS9y&#10;SZqR1Cw3bJhyRDBBErRev943EayCRQHNlVLDJiinsWGD5LYxJpGthxPInezap40n3pTvVDqBrSNp&#10;U4qnjAL7zN17Gmk7XFzOm5PSoDWaoAgOgsKH6dOVahXUoWokN+/im2R4GnrWPkKu3TwjhmsExuhY&#10;/9yHGLR+o3RKdBrXcIkud718gjc6fQx276EI9fh1cBaEwFGrhWObAb09nvrpQqbPPTT+FG3cYYIr&#10;c9Orayd3fX0FHX8x1ESnftmtcLG5z0sfyI3FTCG5HbEa9na2rnwp0ant7No4CxVwa2Yuk0mg91g2&#10;QZs3ghVFl2QF9lyzvOgy4rN64DSv5ynY5foxFSgVfF1cOjYWnuVR9yTQf5xzDv0nnuHlf9lztBDo&#10;AsGsQf9vJa5fPY6UlHgEK4OgM2hlZXWgoue10VUwW01Ia21D5aWbqLkraqMLBIL5B5fs4yG57hHs&#10;ckz8eUojT7LZS8udR2i/60VKJ9/5QKKbQbXb5aBU8yTmJ8vA02dvyPvxDMr8zEQo6p7OS5sCdt4n&#10;aS5FlnPGjcHEPgsECw0h0AUCgUCw4OEC/S/fIDIx0X8CXaWEITIaOT5O4T4eLtHbJYlONYzl2uEz&#10;SKirVVyokygLCQ7ikbBakwnGiEiY45MQlpqNiPwtiCqtRdSWOsTXtiKhvh0JdW38k9qa3X+MR9xK&#10;aeBf70/m4euobWnl9UbHp2/3Rp0W6DdPWaDT92s0ajQb1vLU3N5jCgTvgkRtp3E1rBoVz3ogN7fe&#10;Bm04CdXqkNTcyTeRTJznU8Yj17lgpwj2Q1d4Foi0DjeiS6phiIji659HpFMEvEybpgIdx2CLQJb7&#10;EBf5sm0aB63n8OxCLvPljjdTQhhGtobbjOumVwd9JnilupZBn1Fr4ErfDGepEo5GLXo7LeMi04VQ&#10;nzNIovdYuOylqObZlejs+i/U604bBLoscCdvfJWlwdewsXSlbuTn8Wkqd7cNjhqNT+YCRXS7TGuR&#10;nN7BI73lBPZcQ5Hxivyj6LIEceEv14+p0G9Ygm2REQjJP8b6LG0aWJI7iubdD/Gff/6aPUf/Rvb5&#10;WiAQ+Ae8pJTuf8I3L+6jsaECWp0aGn2orKwOZHhtdK0SsQV5KB45ylO6V4mU7gKBYBExJpy9eCK0&#10;38arNPOvU0VR8DcfTBqKlKfa71tvy1M/4fvfRvWNB+z8UtuELBcsStgaEAJdIBAIBAseEui//u2X&#10;iEhI8KtApzrlOXtO+02gk1AjiZ66wwW9LUKKAPWBQJs0PEpdxSNg6dwUeRsStBkhmzfyT5VayaNZ&#10;1Z6oVoqYNcbEIbaino3LKS4DvX3JYX3JGbmMlsotGAz9v6+9yCWBTvXLs/RBUxboJD/DtCpsN67B&#10;gBDogilA8yVLH8zn3FSj0EOCNyOysFya4yS/x69bX7D/PBfp+ez4VFc9vrYNeqttLGOEXJsmj1QP&#10;PbKgVLp3vaf9lF0irrKJ/xxPYS97zJlB67h2rrNIeGU6RbTqGLbVcMWthysrCM4qNewdZkmkitrp&#10;cwMfbyu7FqFS7evZkOgmqom+wCPRPfXQ3ZH+q4dOEe7OYqVvo9DZsRyteqndM5wLVBOcfh8UJm7B&#10;sqIrb8jrQIDXZi8YRVu4yUcCfTm6rez5LecAlhZd5ecggb7Ffhf/+PuvhEAXCOYI4I/4219/hv37&#10;nLDazOwZScmju+VkdaDCo9E1CoRF2ZDZ0Ymqq3ckkS6i0QUCgWDSvCHi38c4KS+H7M+8Bbn2CASL&#10;geqbD/kmEiHQBQKBQLDgIYH++U8/hTUuHiF+FOgUle1XgU6QRB+5jPSePfx8ipAgHwg030Ay7TXY&#10;mCgUwTxyPSw5HVl9R7gApH5kH7iA4t0foSs7Fv3aJa+9yCWB7jSuQqJOMS2BHqWV0j8LgS6YClQ2&#10;oM24FloSyjJz613QphJDeAQyHPuRRxkXJq5bX8HXP9VUv4hM9yFEFVUgVK+Dku5rM5DZJOKp3npa&#10;5xBr/6uNLnLQJoHUHW5oTWYpCl7meDOF6qAX6Tfxa+LzOujThaQcReWSVDStgjtyLY+kdZapYG83&#10;oreLhLpVilAXMn128GxesDfpeLYAfo38WRed10RfxevlL+hrzOaws8ZTD31cdhifQdcpbBUc9Vpp&#10;vci1YaqwuWDvtsDlk+j5lRg0LEV5TDqWeGRyoLGy8CJWF46iISYJAz5I4U6bBigTiy5rAEuLr/Fz&#10;LM0bRVr7Tfz1r78UAl0gmEOA3+Hly+9x59ZZ5Oamsf9fKeZlNDqldKeI9PjiIpQeP4OaO09RffOR&#10;7AtrgUAgEAgEgrmk5tYjVF69g4zBvUKgCwQCgWDhQwL90ZfPYU1Mnv8CnfBINKpDHp5TyAW1v0SW&#10;L+BR6yHBCM/KY+0/y9ufffAStjj3whmrRJ/u9Ze/JM0cxlWInYZADwrVIEkXzH8+YMSbYF5A887F&#10;5k28furzjkdiqxRIaulG/uHLb65ZX8PWEIlsqlmevK0XxshoabOKTNsmBW14UYQgIq+Yy3nZc3qg&#10;+1vO7pMwRFEddP/cT6kOerpeWsd0XeSu15wyvn46fW1eBVfSBh5VS6ne7TtNkmCl2un0KSf8BL6B&#10;JDZJ9DYDXPHrpWwBctfMV9A1J4leqZYEvlyb5js0pmze8hT5/tqUQJsRYtbCvt3ou0h0tt6cecE+&#10;ST9PNcG3RtiwqugCl9UTBfZcs7LwAvu8gNLELeg3UH/ZeMr0Y/KsxIBhKeLTd2JF8RVeA50Eenjj&#10;Nfzxz78QAl0gmGPw8ju2Dn+P3/zPp9i5o4lHdVM0upyoDmSklO4q2GKjkOt0o+rqXSkaXebFtUAg&#10;EAgEAsFsQxHnNbcfo/TcFSR09sBSWS0EukAgEAgWNi8ZwG9x8cljRGTlI8RPonlWBboHqldMAi2u&#10;Ziu0RgOX1LOa0n0K0PiEarRIauniKaCzDl1BWZebRz1NjHAjYWY3roJVq5yWQE/XBQl5LpgWlLWg&#10;2rCe1+GWm1/vQhESgojcYuTuPQ25mv9+gTbTHLqMDPs+WFMyeSr26d4D6Gf11nBk9Ox9t0Tn8v4C&#10;bOk5UPnpfkqZJKJ1CnQFqkAfD8lFr1Cn2ukmRsJ6OPNC4KgJhb3DJEXZuqyScBWR6f6BjTHJWNrI&#10;wCW6P6SvF5K/llVw1GlAKc9l2zPfcVhhp3rofDxf/x3tM9h1cmVtRm8PO58vNiNQ5Hy5Ujr2DK//&#10;gH4JdobroMk/MlYTPJAggb6StSsjvY3dI1dIz1Iy/Zg8JNCXoSSpDKvZ8SlF/LK8UawrvYjv/vhz&#10;IdAFggDg5Q/0f9rfs8/vcOrEMGJjI6FUK6AzzK+U7oROr4bRxP5fWFWJ8nNXUHv3qUjpLhAIBAKB&#10;YE7xpmzPP3ICUS3bYK6oRFh1rRDoAoFAIFjYSC8bfotTDx4iIrsAigUk0Ak6F0Wjp+7sgyUx1RON&#10;PrN0zv5CERyEcHYNSPrnjlxGY1PjG+nbCRJmvcZV0E0jlfamUA3ydJuwZ8YvkwWLkUE2b3YZV8Os&#10;UU09Cl2lgi7Miiz3IakWusx69Rf5hy4hZ+AjWNOyeCS5XPsmA23CiSlv8ETRv60W+ii/78SWVkn3&#10;GT/ca6gGvV6jxk7DPCzFQOKOhCPVTjexr2PXw5mxGc4KFew7PJHpXhZqBPNc4bLy6H8XG2+/RU57&#10;oeNHrIG9UbdwJTrVFffWQ6f+yo3DTODXZyUcWzz10Ge6uYTa26CB27p6xu3tNyxFb1gIe2bpw9IA&#10;rYO+vOgqDNmDvL19xplH3ZNAr4nLwtrCc2MCfX3pRfziu58JgS4QBBD0/1oS6V9+fhsV5YUI1aqg&#10;0allRXUgQ9Hoeq0SkanJKNx7ADW3HqP6lkjpLhAIBAKBYJahqPObj1Bx6RbS+3fDVlcPc0UVl+dC&#10;oAsEAoFgweMV6Ptv3IE1M3/BCXQORaGOXGLnPoX46q3QW208pbu/0itPF6oTbYyKRoZzBIUHz2Nn&#10;SSb6dMveeIlLAr3HuAr6aQh0qp1cKAS6YJp4Mxdk6oJ4NgO5OfZWPDI5ZbuLR2jLrlU/IpV1OMrv&#10;QzwbhVwb30MI+zlLYhpyBj96Zx/yDlzgqePVWh2UapXssWYCCXRim2EN39Qw8TrNG0gQUlQ6pZQm&#10;mR6xBq70TXBWqaXI9B6LJA5JwIrIdN9AY9llgSsrSNrI4A/x64WOH7FakuiUZWAhXkM2no4aDfpo&#10;/vpjLOmYttVwNOultSDXhslCUfPbTXBFrZ1x1Hy/YRmc5o2IzegK2Droy4quIDj3MHotway9M6+D&#10;TsdoiwzH+oLTWFF0CcvzR7Gm6ALuPH3BBTpldJJ7zhYIBLPPy5e/YevyD/jLn7/BgX1OhEdY2HOT&#10;AjrjPItGZ+3Vatj/oW0WpLdt47VGqTa6iEYXCAQCgUAwG1DUOaVsLz55HvEdXTxlO+GV50KgCwQC&#10;gWDB4xXou6/dRljGAhXoHkhqkfTKdB1CZGEZtOYwLtL81eepQmOkM5mQ2rUbRQfOoisr6q0Cvc24&#10;FtopCnQSbmpNKCoNGzAkBLpgmuxmc6fesJ7NJw2fU3JzTRa1mm9ciSrYImVZIGTWqT/JO3QZabv6&#10;oTNb+HqTbec7oFruGr2eHWOAp4aXOwdB95oM50GE6g088l7uWDOBxp3Wfh27DgGfwn2ykEwnWUjQ&#10;1+Gr4crcLKV5bzdIaaxFzXTf4JTSjztzgthY03j78fcBidrwNXAs1Eh0bz30/BBpI4g/ovp1K0D1&#10;6+27zDOT6J4NDK649TOug95nWIEB9pmashUfFF+XFdhzzbKiywjKP4aOcBMX/nL9mAok0HdZQ7Eu&#10;/+RrAv3W46+EQBcIAhTgd/z/uffvXUBhYRZUGiU0ulB5WR3A6PVqGBhxRYUoPXaaS3R6oS33onuu&#10;qbzxEBUUpfY22L9Xig0AAoFAIBAEPFLmm3vIOXAUEU3NPOrcUlXzmjwXAl0gEAgECx6vQN81eg2W&#10;DH+ncE+eU4HO8dQnzj94EenduxFZsAVakxkhwUGSUPNDuuXJwlNcs7akdO9B8fApOGKU6NO/GTVF&#10;wqzZuA4aIdAFcwClDO8yrkaUVoHgCXPsfZBAN0REIZfuA7NVB308PBvFZcRVNUliexrrPSQ4GLGV&#10;jdJ97C2bAEigp/cdgo6yXfhRoG8xbFw4An08JCFJ6pJMJwEbuQbOrM1wVI+rmU4iUUSlTx/PRgRn&#10;keLVWMtdC1/AI9HXwN5i4Gnk32jLfIciuzvNcKVs9M840nrQrYAzO2hM2Mu2YzKQ7E9j7WTHkz3X&#10;JOljc2bIsAyZSdX4oPiGrMCea5YXXcLGglNoiknCgGGpbD+mAgl0u3kdVLkj7NiXuUBfVXgBJ699&#10;JgS6QBDAvPyBotH/hO+/+xz23nYYTTqoNCpZUR3QGLXQaZWwxccg19kn1SH1eUp3EtsMEtwMEt1e&#10;8V1+6zHjicTtp5yyO88Yz8c+y+88Rf3VW2i6fA2Nl6+/gfT3N1DJjld21/tzHm4/Gzvu2HkY3vOT&#10;mKf2cPlOeNsq2w+BQCAQCAQzofb2Y5RdvIEU9sxhqa55I+p8PEKgCwQCgWBB4xXobWevw1ZSywWX&#10;nLCZKXRcU3QscnafmluBPg5K6Zx/8ALSu3YjZksdjBERUKlUrK0KLtMp2lSuL/6Cp3CPjEK6awSl&#10;A4fhMq/lUV5vvMRlTEeg0/fqNGoePTyv0z4L5hzagJGr34zgKUahk0ymqOy0nX1zksadILmdPfgR&#10;ux/FTet+Rz9jTaI07sf5seTPcR5p/YdgTkrh9xK548wUWs+5+iB+Pbyp9RcsJCWpZjrdt2LXwZUd&#10;BCdFpndbJJnoRU4YCt4OGzO73QpnMUl0GucJ4+5LSKLHrZOyCdAGCLn2zGcoqr/dCFf0zNOjy8I3&#10;lXwIZ5lSmuvT3TzCftaVy+4bPhD9e3X/F7nxhfhRyS1ZgT3XUJ3ydYWjqEzIx6B+iWwfpgI9jzlN&#10;axGT5eQR6CsKzmNl/nn0H38qCXT2PC33nC0QCAIDqov+v//9DW7fPI3MTPZ8plZAq9fIy+oARqdV&#10;wWRhz9JNW1F54Tpqbj+Zckr3yuskoh9ykT0mqDkkqT2QoL9+Dy2jF9B+5jQ6jxxA98he2Ifd6Ovv&#10;gnugC4O9rdjd2cBoxFBnE/awrw+2l+NQW+lbGdm2BXt31mKoq4n/nJd+Vwfcg938uHSO7sP70H1o&#10;Hz9327lR1F+5JbXR2z5PG8f34ZVoJ4RcFwgEAoFgqvCU7YyCY2cQs20HzBWVsFS9XZ4TQqALBAKB&#10;YEGDl7/B3/75K2w9fQ0Rlc1+FehaSxiyh04GjEDnUETqocu8TVl9R5DY1IGw5HRojCbWbrUnxbti&#10;VmR6SPBmWNNzWLtGUb+zC27TKrh9KNBDQjUwaVRoYT8rBLpgJpBArzNsgFYjiVy5+SYLrSO1CtEl&#10;VTyduuyanAUoA0Vi0w7P/W5qa5s2AejDrMh0H0YeO47c8em+ktp3CNasXL8K9AxdMK8h3kfCjgSb&#10;zLVaUFAfeX/ZfdG8Cq6YdXDlB8Heoud1vblYFPXSpwbfeEASXcnGmM0jf0Wi07Wj6xbvlegLcMOD&#10;0wpHnRZuC/vd7Y/NCHRtrKvhaKJ0+NMcP3a9nSUK6XgzvGeQQC+Iz8cHJYEZgb6i8AI+LGLPd8k1&#10;GNR/INuHqUACvc+0Ghlpra8J9D2nngmBLhDME2jTOEWj/8+vPsbOHU3QGzXsmUrJPudXbXS9PpSn&#10;dY8tyEPpkROoufvsnSndSSiTXC6/TdHjT1BFL8ev3UXd5Zuou3QdzWdHsevoIbiGXRh0bce+znqM&#10;tJbgcGMePqrPxPG6dJyqSsKpykScKY/D2S3RnNHicIwWWV/jHPu7swz6nIj370eLbG/+XGnk2HHp&#10;HKeqEjl07o/qMnGkMReHthbgwI4qDHc3YaBvJ1x7Heg6cgDbTp1C3cVrrC83UHv1Nu8b9bGC9bWM&#10;IuVvPkYZG4MyNhZlV+9Oi/Jr916jglE5DrlxFwgEAoFg3nDjAWpuPULlldvIGNoHW30Dl+dywnwi&#10;QqALBAKBYEFDAv27P/4MdcevILJiq18FusZsCTyB7mU/pXa/KLVt+CwyHfsRW1YHc0IKdGFWLv1I&#10;cCsUIVygyfVxJtAxSbTF17cj/8h1tDTWSlGlMrVp+40rUW3cgFD6uQnHeRdCoAt8Bc3NbuMq2DRK&#10;HoUuN9/eBm1KsSSne1K4z34ddCJv5BIyXQeht4VPXXB7NtOk7hp4q0DPHj6DtIHDiNxS5bd7qoKN&#10;e6xFDUf8BvRFroXbzK4NRWlTbWMSbQtdqFMf+cYBhnkV3Ekb4KxQwb7NUy+dopy5HJ4gEAVv4mDY&#10;wzyR6Gw8/SXRCXbNXAs1Ep02bngj+v21Bvn4rYd9u2l6Ep0i0CvUng16MsefAkP6H6MhJgkbC89h&#10;eeFFWYk911B6+ci0DuxmbZXrw1ToY89NtIGxILl6TKCvyD8Px9EnQqALBPMIKaX77/Hf//wK584e&#10;RGpqPBSqEGgN8ysaneQ/RaPb4qKQN7AHNbcfo/qmlNKdoq/LSRp70qLXXL+LxotX0HL6DLYfPQz7&#10;cD/22ltweFsJPqrLwKmKBJwqj8eZslicIYldGoWzJREeIvmfz3Ci+b+f3hIjwb7fZ3iPyaBz8HMx&#10;pLawNrC2nKP2kGinttD30c+xdp+qiMeJ6hQcbc7HgV3V2O1og3PYjY7DI9jG+tx+4SJ23LiNjvtP&#10;0fHsBTqef40dT77E9kefYfv952i/9wzt9z3Q1+PY7vncysa38fYjNHmouylFuFdz8XAPJVfuoPjy&#10;HZQwStnXXsYE/FVJunPx7pUVAoFAIBAEADzq/NYjlJy+iPidXTzi/F0p2yciBLpAIBAIFjQk0H/x&#10;/U9R89FlRJY3zYJAD5wU7vKMcrFHqZlJstHX6V1DiK9pQUReCUwx8dAaDFAogl9Fp5NQ55G1JNam&#10;Fs1KUHR7CDtWWHIasnefRO7Bi2ivKOA1Rt8m0Kn2sZp+dsKx3gUJdKNGxaPXhUAXzBSaQ2m6YD6v&#10;5Obb21AoFNBbw5HRveftEdx+hq/x/ecQWVCGkOAg2Xa+FU8UPd0T8g7QBoCJmwBGkbXnJFIHjyC6&#10;rsV/Al0Viuh4I7p7rHBuM8BZpYYzPwSu5I28ZjgXeCTUF3p0OvXNK311rL+21XBmBcFBKd53mYVI&#10;nyzj5e8sSHR3/HpJok83kjpQobnWbYErbZM0H+X6PxNovtO1Sd/0qoSBXDveBvv+4fYY9Ietla6z&#10;3DkmCUV1N0fHIaTwFK83Liew55oPiq8jLKMX/SZq88yuhyTQV6AsPl8S6Oz4S3NHUe2+x5+lIQS6&#10;QDCvkKLR/4CffPsI29vreY1x9Tysja7TqWG06JHW1o7y6/dRdu8TVN+4j9Zzo+g4egj23U7s6W3B&#10;ofYtOFWdLAloGSnuNzHuFybI9jHhHiUJd4L6WByB0epEnG/Nx2VHI64M9+Lq6cO4efMy7j5+gEff&#10;fI1nf/oHnv/1f/Hsz//Csz/+A09/9xc8/f7P4/gTHv/2T7j1q9/i2i++w3UPF376a5z85hc4xTjx&#10;9c+x//NvMPzZN9jH6Hv2JZxPP4fzyefY9eA5dnAx/xT1Nx9yKGLdK9q3EBMi3aXodkq1LyEnOwQC&#10;gUAg8AUkzqtvPEDOvsOIbGqGuaIKYVU1sqL8bQiBLhAIBIIFDfAdPvnpVyg/egVxLT2g+t/eCEtf&#10;QlGeGpMZ2f3HuJx+XTgFMJ7I9IIjV3nN9CzXCFJ3uBFfvx2R+VtgSUqB3mplfVRzUUb9fDsUZT4R&#10;JY9qN8fGI8O+H3kjl/k5O/KT0a9fLvsSd7oCnSKFrVolOoxrMCBzXIFgKtA8rDFQJoSplRKgea/W&#10;aJDYsB35h6/Ir7tZIP/wVSQ27eT3vCmVaGDfS32IKa7ga5Uz7rh57M8Zu48jdfcxxG3r9Qh0399T&#10;SaBbbDp0dYfBTumwSRS7bbB3WeBo1cNRGwpnIQn1DXBbKaW0R4p6WahSnaQgr5f+IVzxG/gYONoM&#10;kmj0IlK8y2OnsfFKdBrLCWPrS7Qr4EraAHuneeoSONCZjXrobA07ixRTns897HvPDBVjKGIjXLqZ&#10;CWUS6Fuj4xAcwAJ9SfE1mLPccFk2os8g/0w1eVZigB2jOjbVI9AvcIFe0ycEukAwX5Gi0f+Af//7&#10;Vzh9ch9iYiN4bXRdgEej6xk6ow5aDxqdGmFmHapb6tE30IV9O2txtDmPp0CnNOvnimxcKHNJTvJZ&#10;VkovUKjPJVE4XRSOUwVWnMq34FxFHC42ZeFqZyVu7u3GvdMH8OTmBXz62TO8+MNf8M3f/xdf/+0/&#10;4/g3viH++i9885d/cr5l/IT92ctP/ybxM8aXf/o7PvvDXzlPfvtHPPzuD7j/m9/j2i+/41z42f/g&#10;3E9+hRNf/wIHPv8W+z79Gq6nn6H38ac84r317hMuNcZHrY/HK9kJnkJ+ggwRCAQCgeC9UMr2m4+w&#10;ZfQqUuxuLsItJM/HifFJUVMnBLpAIBAIFjYk0J99+wXKjl5F4s4hPwp0FUINRqTtHJhfAn08Hpme&#10;f+gKh1K9Zw8cQ4bzANK69yCptQex5fWIyi+BLSMb5vhEGCKj+MYBgvqv1ukRyqBPwhAexVPFZ1E9&#10;5ZFLY0KuM82Gft1SmRe4MxPokVoleoyr2THePK5AMBVoDnWxuWTQkECfWhQ6RX1T9DdtSpkooGcL&#10;Onfarn7ozGaP5JZvqxy08cWalsXvAXICPX3wGFIHjyK+3Q61lo2NH+6pJNApfWdnlxUOSsHtlWQk&#10;QSmq1y3VAqcobJJ5jloNXDlBcMetg9uyGm6KyCSRToJvIQp16o83nX34GrjSN8FRp0EvCVvvGAmR&#10;/iZcyFq5nPVr9gKPBHalb5Yk+kKLRGf9cTRo4Q7zbF6RG4OZQMdka9hZEzqlsSOBfvPIVuyNDoZT&#10;NzOhLEWgxyK48GTACvSlRVehy9mHTpsWA4Zlsv2YCkP6pdgabmP9vSwEukCwgAC+53zz9X3U1W2B&#10;Ti/VRpeT13MJyfJQg5bLc5NZjxibEaUJYdiVFYE9+ZE4XEBpziN5jXEuzEtJmMtI5UXOKTYup9j4&#10;nCy04US+GaeoPntlAkYbs3BxRxmu9m/D3ZN78fThTXz281/gi9/9CV/+8a948bf/4MU/fsBX7PPL&#10;v0iiXI6v/vwPvPDw9V/+yeHS/a//4pBw/9nf/s0l/Ff0M3/8Gz75/V/w8e/+jCe//RMe/faPuPub&#10;3+Pmr77H+Z/8Gide/Az7P/safU8/R+fDj9F85wnqb1Ea+YeouUFR6ve4bKdIdsIr3imKXVaaCAQC&#10;gWBRQynbq288RP7hE4hqaeO1zi1TjDoPq63n8jysvFIIdIFAIBAsbEigP3zxGUqPXEFixwCUyhD/&#10;CXS9Aak7+uavQJ8IpYE+SKneL3IZx2uok0wjqbb3NHL2nOIp2bOHTnAyeoeR0u5AynYX/0zr3M2/&#10;h37Gm8o6h32ds/8CuuP16NcukX2BOxOBHqFVolsIdIEPoDroLka8LmRKEeiEIiQE5vhkZPcfnbP7&#10;Aa25LOdBmKLjeFp5uXa+DRLolsQUWYGeu+8s0geOImXwCBI6nJKgZ/c/uePMBIVKDZ3JgJburNcF&#10;+nhIEJMQJcFGn1QbvMsC+zYjnJVquDI3wxWzjqc959eVhPNCS/nuEbWScFwFd8xaOLeo+KYCPh6e&#10;jQay47dYYfOF0oNTKny/S3R2fEmiWxaeRGdrzlmqlPrpjzGkOR2+Go6t+knVk+/pMaN/IB63Tzqx&#10;JypkxgJ9QL8EOyNM0OYdxNKiK7ICe65ZWnQZ6rxD2BFhwYBBflPiVBhifW6zGbCq6MKYQK/vvy8E&#10;ukCwAMDL73g0+r/+8XN8dGwP4hOieG30uY5GJ1lO0pwIs+iRHGFEZZIVjpxIHC2JwamyWJwrj8X5&#10;ijicJUE8L1KwBxhszE6VRuFUsSTVSahT5PqZinicq0/H5e4a3D7kwuN71/Hx11/js1/9ShLq/wJe&#10;/POlJNT//A9Zmf4+SLZPFO7eCHf6/Nrz7/S9n//xbzyq/dPf/5Wnlb/+y9/i7De/wMgX36L/+Zfo&#10;fPQJr+nefOcx6m48eC1VPKWH51JdRqQIBAKBYHFAqdprbj9B+cWbSHUPwVpbJ6VslxPkb4OkOcnz&#10;8kqYMzJgtFmEQBcIBALBwobqv51//gy5By8hZdcQqLav3wS6Tofk1p6FI9DlIJlGQpzXUfdy4R2c&#10;f03A5bCfKxo8ht5oNfq1vo9AFwJd4CtIoBOl+k1TFuh0P9CazEjd1Y+8Q5dfX0OzBK2/nMHjsCSm&#10;QRESLNvOt0GZOgyR0cgdPsPX+qvjjiJn+BRS+w/zCHR/CnQ6ptpgQcn2cjgdZllh9gYkiin6mmS6&#10;R6zzlO9NOjjLlHBmbIabhLp5Fdya5QtXplO/wlfDmR0ER6OW16zmAlKI9FfQ/GBzwzUm0RlyYzpT&#10;6Jp4JTrVrKfzyrVnPuLpizOTrSvanCLX/5lC1yZ2Hezbje/dgNDZZcDJk1U4e2qUzX8FXLqZRWST&#10;kO606aDPGQ5Ygb6s6BKCCk5ha0w8j5iX68dUGNQvxS5bKHT5h7Cs8CI+yGHPez23hUAXCBYQUm30&#10;P+KrL++hprqU10UP1all5bY/IXGu0mtgNOmRGmVGdZIVPdmROF5KslyS5mcZZxiyUlgwM7hUp0j1&#10;KB6tziPWi8JxtjoZV3pqcOuQEw+ujeLp80f4/Je/xIu//xcv/okZyfS3QVHqE0X7mHAfB/2Z5Pqd&#10;X1Pk+q/w0YufYfcnL+B6+gU67j9H4y1v/fXbUqQ6j1K/JytZBAKBQLCwoKhzqnde+NEZxO3YxcX5&#10;1KPOGxBWVQ1LTg5MUeEwGDUMrRDoAoFAIFjY0EuCC1ygX0RazzB0JpN/ZI9aDbUmFPHVW3nU9niR&#10;JXhF9oGLqOrtgzMiCH1vebktBLogUBhgc7HNsBYqtranMhcJpSIYiS3dKDhyVXYt+B3a5LLvLKxp&#10;OTylvFwb3wYJdF2YDTl73xTo2XtJoB9C6uARJO5yQ2+1sXvq1FLETwa6Tyv1FmQ016HHGQV7r0VW&#10;mr0XksYk3ngkthWO7UaeetpZooQrZSPctgn100mkLgSpTn3RrkCfZRWcqRvhqFTzzQR8LEh8CpnO&#10;x4HG5JVElxlHX0BzSrtAJTrNp51muOLW+1Wiu5I3vnfsOjpC8fDhEAaOPUKnKRh9+oUv0JcXXsLm&#10;wjNoiknEkP7Hsv2YCtTnbqsS5txhLud/lH0OttZrXJ4LgS4QLCxIov/lz99i5KAbEZFh7FlXCZ1R&#10;Kyu7fYW3rrmGnSfKakRFYhh6siNwuDgGFyvjeJS5EOZziFeqF0fgZEEYw4pzdam43FWFGwcceHD1&#10;DD7+/GN89ee/46u//y+++uu/JSjd+599K9Xl8Ip2bxS7tz77l3/8Ox5990dc99RfP/rVzzDw7Avs&#10;vP8MNTce8Oj08XXVRaS6QCAQLCAo6vzWI1RevoX0wb2w1TXAXF4pL8hlqUNYTT3Catlnfj5MsVEw&#10;0vPQuAw9QqALBAKBYEFDAv304yfI3n8Rab37oLNY/CvQKxuFQH8HJNAr7f1wRgQLgS4IeEigUx10&#10;q1Y15Sh0ktbRpbWeLAzjJfTsQfI+PK8UIUGbZdv4NrhAt4a/IdCpHEPWnpNI6RtB6sARJPUMwRgb&#10;P+Ua65OB36f1JiS3tmObKx+OXqOsNJsSJI1JwJFMd9qk+unbpPrpztxgnv6cR6fT9SehyqUqY8K8&#10;mFeQFCaxafoQrvj1Unr3DhPfTMDl52IX6STRO828hjy/3nJj6Atei0RfYOncWV8czXq4I9b4Zwy9&#10;Y5cdJJUloLk7oQ09PRZ0d5vwzTfnsbP3NHZo1qLfMMMU7vNAoK8svIBlxddREF+APbr/K9uPqUBj&#10;5rBsRnSWnfeZBHpk23Uh0AWCBQrwO87Hz66ibEs+QrVqjveFsS/QM7RGLTRGHcxmPTKiTWhPD8e+&#10;Qql++YWKOB5t/obMFQQAMTxC/WSh9f/P3l//R3WFfdvwH/Tez/Pc19WWFgqUlkJ8fCaZuLu7C+7B&#10;QsZiuFscAgR3dyk1SqEtbi20fN91rj0DIWwgk8xE1w/HZ9KWbFl77c3uHOt7nmjMNPDFDTtmpGLX&#10;knIc2liD00f24NKvt3Dl/hNce/wC10mq8/7pL2QFuLtwSPWbT17gp6d/8/LwVAr+9B8PcPj3v7Dr&#10;5ztYf/kmqk5ewIxDp7hUp/7pJNZF6XeBQCAYuvBe54zcpp2IXFQFA6XOS8pkJLkc9lLtVLI9Nxf6&#10;qAhoDRpo1H48dd71XUYIdIFAIBAMa0igrz50DHEr2pFkXgN1QIBbBDqVhacUZnBm7pt+34L3SV23&#10;C9MWVMIW8C1q1PJfbguBLhgs0Dwya8ciQeXB55fcvPsQXt5e8I+OQ2rdFl5OXe5+cDfuEOjJy7cj&#10;1rburUCPiHKbQPdVqRE2awnKa6bDUq1+T5r1GZLpJDIJ3j9dD/NsDSy5nrDGfAdbkF2ok4BWkkyX&#10;nydDAruE5D8Hj4cly5MvHqim/vIjvby7NYAvKrBFfyuNkbuucxeJXk1p6mEm0S1lfux+Yeeo7nLO&#10;roLGTj0GlmwvSaDTvO2y/6VLNVi7OgHHTx9C2ZRVWKwa33eBrv6C9xZXZGwYtAKd+N+8Q0iOKsBK&#10;1f+VPQ9noDGz6r9FdOJCIdAFghGCozf6k0c3sWJ5NYxGPe+Nru5DGt0hzX3USig0Khj9NciONKAm&#10;PQTb8sO4MG8XafMhx5t0enYAmvODeQ/19ump6LTOxLGdW3Hu8gVcun0b1x4+lfqnP/8PVx/1r0wn&#10;KKnOy7+TVGdQWp3+/aUHT3D2r0fo/PUuNly+iWWnLmLOkTOYeuAEijqP8F7qvOy7jKQRCAQCwSDC&#10;kTrfw/4/aMVaBE6b4VzJdirVTuI8vwD6+FhoA3RS4vwD7z5CoAsEAoFgWEMCfdWhY4hd3oaU2k3Q&#10;R0S7RfZwge7thcDUDCHQPwIJ9OlzZsPm/w1q1PLlXoVAFwwWqAd6HSNPPRGTnBToJICVOh2SLeuQ&#10;sX6X7P3gVngJ9zYEJKb3roS78X2BTiQ1bO0fgc6reigQWDITeTVVqK4OZPSwF3pvcKTTu2Car4O5&#10;1Jf3EreGfwubgc2LoS7T7SKSqDFKIt08SyWdv8UoPzYjAauR99m2RpFEd1MpcoJL9NFSEn3JMJLo&#10;NH9MAXw+8fkld+59hY1dje5rWIp9pXHrkkRfuEiBvXtmouXgVcRl1GCZtu8JdOopPjM0Ah7ZTfgq&#10;Z5esvB4MfJa3Hwmx5WjQjGLH3bex52Omn4DYhPlCoAsEIwm6x/EnF+lHD7chOzuVvYt5Q6l+W770&#10;Uzikua9Gycu0BwdokBqmR0VsAGoyQng/8zd9zWXkrGCI8aaHur1/em4QmosisGdpCQ5vqcfJI/tw&#10;/tplXHv8HDdeUu/0VwMi0x3I9VcnTv/5EB0/3+YJddPpS5h16BSX6A6ZLituBAKBQDBg8NT5wZPI&#10;aWxH1OJlPHHe49Q5SXOS54VF0CfGf1KcOxACXSAQCATDGp5APywJ9NTazTBExfJkqJyw6Stenh4w&#10;xCRIAn1N+zvSSSAhCfS5QqALhgzL2XycrpkAb2f7oNOiGl8fxC+qReYACHRKvafVb4MhOoE/m2SP&#10;8QNQNQ19ZDTSV7W+8yxLY/+cWL8ZcTXuF+g0flygF05BWt0KVJrjXVPGvac4hLqVMMJUqYN5mgKW&#10;XG/YYr+DzTBWEq0kC4dq33Q6bgU7B/+xsKRMgnmG6u0CgpGYSLcEsOushS3yW/dJYILGnSfRvx9e&#10;PdFp0clSPawJVA7fTYsQ6Lrov4aZJLp9nlL59qVLtLh8biWWtfzA3vOWwqKbgBpN345hqAj0z3P3&#10;ISZ+Dup0X/f5nGvY33fUuiQlthxf5O4VAl0gGGG8/u8O+3/nB/jzjyswm+ZDq1fz3uhyaXQS5mqt&#10;1NeceprTZ0SgFvlR/qhMCkRdRgiaCsOxq0Qq0S6k+TCnIIzxtn96U14QdsxOx74Vi3F05zacv3wO&#10;V+8/wrXn9t7pvG/6wAl1wpFUp4Q6lX6//OApDv72J1pu3sLKC9dReewsivZSmXd733SRThcIBIIB&#10;hVLn9JmyYi2Cps/oea9zLs6nwr+kFPqkROiC/Hskzh0IgS4QCASCYQte38GLF7+hetdBxK9olwR6&#10;dJxbBbouIkYq1ywEuiyp63dj5szpqDGMg00IdMEQgGRCpXY8Atjc8nQqhU5tHXwQUTpTSnH38zOB&#10;FvKkWNZBFxoBLy9PmeP7MCTQ/eMSuwn0dqStakF83cZ3e6C7WaAHF5Yjrn4rZlqyYVnmhjLuPYVk&#10;HZU6d/ROn62BudAHtriJsAWw5xnNF5J7vAS4G+WrO6DjpmR9wFhYk76XEumOc5bpNz2socUSczS8&#10;zP2bkvfugCfRu0j04ZJE54sQdNIiBHeNH22XzVVa0FJtM2JplRYrGiJx+cIupFvOIDx8GmrYe0CN&#10;tu8CfRZ7fnoOCYE+22UCvZ6NW1pMsRDoAsEIBriHVy9/x/7O7YhPYO95vl5QUk9Q3bvCnP451KhF&#10;cTR79qcFY01OKJoKwtFRHIEdokT7yIYS6rnB2J6hl2Q69U5fWo7D21fi/PlTuPLHPVx99Jz3TKd0&#10;Ohfq3QR3f0MpdSr5/uOTv7lcP/XHQ+z55Q7WXfoBC46dRdn+41ykO/qmdxc7AoFAIHAPjtR5Xssu&#10;RC81wb+0jPc7l5XlXekizg2pKdCFBEKjVUjyvIsg/xRCoAsEAoFg2EIC/cnTW1jcfgAJK1qRvrIF&#10;gel5Tqcxe4qXlxfUQSFIsa4fsJ7Hg52U9XswpzRPKhP6AckkBLpgMEFzyaQdi0ilJyY7XcbdG0Ep&#10;me8lufsDSr0nLK6DymBwWnC/OW7aVneBXisJ9DgS6dY18E9KdVrQ94guAj2mvhHl1mkwVxtQzZER&#10;d/0JiWUqd06J2yoDF4ZUVtoaPxFWe9/0GtVou0yXn1eDEhLphP84WJMnwTTLvmBhpPVIJwnMzp1L&#10;dBoPubFyBV0l+iKdNKfkjmeowc7DTOMXOM59Ep2uS9A4mKYrsXiZBk3bs3Hy/EX4lh5AclQpb7/R&#10;V4HeoP4MFWFx+DZnB0Znd8jK68HAF7mdCE2ugsXwfZ/L1r8V6EVCoAsEIxyppPs93Pr1LObMKYfO&#10;XwcflQIaPUlzDfKi2PM+LQgb88J40px6mhNUol1WqApGLlym23unF4SirTwOHfNzcWhTLc6eP41L&#10;t37j6XTqm37t2b9crMsJ7v6EZDol00mo0z9fuPcE+369i9UXb2DBsXOoOHAcBXsonX5EpNIFAoHA&#10;Xdh7nZfuPYK0NZsQNH0W9MUln+51TuJ8yjRJtGekQxdilGS4E6nzrgiBLhAIBIJhCwn0Z89vYekO&#10;u0Bf1YqgjHz3CnRjEJJNq4VA/wBcoJfkCoEuGDKQiKlnczJFNakXfdC9oQ0NR9rKZvZMeLeXuLvJ&#10;2tSJmNlV8PH15v3E5Y5PFio97+ODsIIySZ53Eeip7Dzia9dLAp2L9HUISM1kz1R3C/StyLMtRVV1&#10;CEzu7IPuLPa+z1yo2zEt1MFS6gtrymTYwibw+cPLpJPwGyoy3SHSDV/DmjoJ5plq+6IBhtw4DEes&#10;Rn7eNqMbJTDhkOgx3/Ee7LxlgNzxDDXYXDGX+sGmY+fnrkUING6BY1E91Q+nT1vRfPQG/jd1F/Ij&#10;M1GnHc1lsOzv9ZCVqv9BBtvWZ3kHZMX1YOGLnE4Ep1hg8vdg71Zfyp5LzxmD5ZrPkRuRxpPtQqAL&#10;BCMbaoUGPMdr/Ik1tgXIiTRgToIR63JC3/Q05+XZhTQX9BSS6XkhPJ1OvdPp3+2cm4WD6804dfwQ&#10;Lty8getP/8GNf8BLvXcX2wOBo3/6DTsX7z/Bzp9+Q8P5a5h39AxPo1PPdCrxLiuABAKBQOA0lDon&#10;eZ7buAPRS5bBv7Qc+p70OufivByGzAzoI0IlYd5Lce5ACHSBQCAQDFuAu3j4+FdUtu1HwooWLrVD&#10;88vh6TlZXtj0EZJlSr0BCQutyBiAnsdDASHQBUMR6oOer54IT4WTAt3bG35aPVJqN/fzopp2ZK7r&#10;QGjhVHhOniR7bB+EZDsjdvZSZKx7e8wZa0igN3Fp3l8C3cfXB4EZOYir34zk2lVYaI7u3z7ozuIQ&#10;6iRBqdT7Ah0sZX6wpnvAFvoNauy9r/mzbyjIdDpGKu1OifRMT5jmaqRzGwll3elaUpK6QiH1u3eX&#10;BCb4OI+BNeJbmObTGA+DJDqNnzkA1jxv++IR94yfVfkV6kLG4fCWZahYfQH/J203poRGoEE9SvbP&#10;O8MK9WdIi8rDZ7kjSaDTef8PCsLi8Xnufi7Qg4RAFwhGFFIfdBLn9/Hfy99w59JuXGmpxZFlRego&#10;i0Z7UTiX50O6pznv1+0gFE35RIhEniR2KTHtoDEnsNd03c6bbZNA5vuT9k3H8OZ45I53uOIYfzYe&#10;lE6nUu8d83JwcL0NJw/uwqVffsb1F6+lMu9veqYPbDqdSrt3TaefuPsAzT/cguX0JVTsP/6mvLtI&#10;pQsEAkHvIXFesucwkpevQdD0mVKv84+mzu2l2sunwJCRAV1EmCS/nSzV3h21Vgml0kcIdIFAIBAM&#10;X0ig3/rjR0zftgdJK1p4IjNiyjznhVIPIYGu0GgQN2epEOgfQAh0wVCEEujTtROgUvjCy4kUOiW5&#10;/dTsmbDA8o6MdjfU/zy1bgv00XHw9vaSPbYP4e3rA1+VEkmmNXw7XbebsqKxfwU6e6YGJKchvn4z&#10;Yms3Y445DeZqnbywG4xQattG5c8DeLqYZKwlaZKUaiZp6kh6D3aZzo6xhsR/4HhYszzt5cbZudH5&#10;yZ33cIKdo6VMAZu/myU6QYnqiAkwz9FI4zvUy+abGcv8pWoMNH/kztkF1Kq+woowHyTlWvFVTifm&#10;BOrRoP5c9s/2FOolTqXME2On8iS2nLgeLIzK2YPA1FpUB3i5UKAnvBHoIoEuEIwMXnNp/hdev76L&#10;5/ev4If963HEOgVt5THYmuGP7TlB8hJ0sFMQJolqLsVJaDPYz81cXEvCuqU4Ei0l0WifnoKOBXnY&#10;vaQE++rnYd/yShxYtRhHGlfhaNtGHG1d33PaNuDwljq+DQ7b3u7FReiozMeOWelopn0WR6G5KMJ+&#10;nHaJ7zhOLt8dsv3tsQ5r2Dk2snnWmGngVQ065udh/6plOHVwJy7f+RPXHj/nqXQS6lcHQc904oa9&#10;Z/qle09w4Lc/sf7yTcw+fJpL9CKG6JUuEAgEPYf3OmfkNu1A5OIqGEo+0eucSrWXS+LcPzcX+qgI&#10;aPVqaNR+0Oh6nzgnlCpf/pkzfYoQ6AKBQCAYvpBA//nuTUzZuvuNQI+cugBeHm5KoJN4Uvghcspc&#10;ZG7Y/Y54Ekj0VKCXa7+DH41ptzH+GA6BvkwIdIGLqWNzcoH2GxiUPvB0RqDzMuTsmVA64z0Z7U6o&#10;/3li1QooVCrnyrczaCGQLjQMKXVb3pP+Kcu3979AT0m3C/RNqLCUw8Tl3CDog+4MPM0cILHM3jO9&#10;xBfWuImwBYyT5hklvd0taPsKSVA6xpDxsBT6wLRYL6Wlh7NIt187c5mflER3owjm0Pjy3t6qYSLR&#10;A/g84XPdjWNXo/wCiw3eSEuYiUqjBnWaviXQa9g7So3+G0QnLOC9wOXE9WDhy5xdUGZuxKJADerV&#10;X8iejzOQQM8PS8T/5h7AF2ntyKs+zFsiCYEuEAxPSJoDD/Dqn1/x8NeTuLDdgl2z07jQ3JZlRGOu&#10;VGZ7qECyuZFS41kBDH8054dwQd42NRHtM9PRsbgE+xoqcWhLHY53bMHpw7tx/vIFXLp1GxcZl27f&#10;weU7f+DKn/dx5a8HjIe4+vApTx07y9UHT+zbYLDtXb5zF5d+Z/z2Oy7+egvnf7iBM8cP4OT+HTja&#10;vBoH11uwt3YOP8Yds7O40G8tj2XHH8HT2XQ+HJLrJNpJrMuMwXCAX8dsI5pyjGgtieLjcWDVEpxm&#10;40Xjx3umUzr92atB0TOdSrxTIp2u+6k/H6Lph1+x5MR5lO0/jgJ7Kl1OFgkEAoGAQb3OD51C8e6D&#10;SF6xFoHTZnBx/tFe5xXTpMR5fr4kzv21fS7VTqjZNhR+XggKC8a02hqsOntWCHSBQCAQDF9IoP/6&#10;x01M2yYJ9MyNexAzp4oLLWelUk/g2/T1QXjpTL6vruJJINEzgf41ZmknsJcWSvvKj7UcJNCNSm8s&#10;1o4XAl3gUqiPtUk7FkFKLz7P5OafLHYJHJyZ338CfU07MtbsQHjxdHv63LlnnZeXJ4LT85C+ktpe&#10;vNu3PblhqyTPB0igF1oXoLraCNNQE+hdcfRMt5dBN83RwJLvDWv0d7xUeg2JdHdL2r7QJTlvjfoW&#10;5ikKvihgWJQd/xD2cuTmQh/p7y13L3Sg6x84DpZyNrZcoktzZcjCzoEqMNjCJ0gLReTO2QVQ+tqs&#10;nwiLbkKf+5/Ttkz+kxGSYuYl0uXE9WCBBLoiczMWBmpdItCXq/8XxWFx+DJ3L0alt6Oi5qgQ6ALB&#10;MAT4k/EY/zy9id8vdOD0mgVoK4uR5DMln4eKnKWEOTteEsvbM/RcNu+cnYFdS8uwb/liHGlajeN7&#10;mnDuwmlcvv27JDxJuD56gWskPJ/8jWtPKdX8SioVTgln4jH793Z46fDeQNvvsp0326b9OOD/jv47&#10;/Y5dBLPPy3/ew4XrV3Dm+D4c392IQ5vrsG/FEuxeVoGO+blomxLPzj0E2zP1XaR6yPBLqtP1pWS+&#10;vQQ+/fOOWRk4uM6M0ycO49KtX3H9+b+4/jf1TB/4VDoJdN4rnV3PS/ef8l7pltOXeXl36pMuRLpA&#10;IBC8S9nBkzx1nr2tDRELl0qp84/1OqdS7UR+AfTxsdAGuEacE5Q6V6l9kZiTgSUtzdh87RoO//qD&#10;EOgCgUAgGL5Q/7Ybt2+gdFMHkle0cqkdO7cafkpKWfrIS5s+4uXlgZC8Mp527yqeBBLuFOiUDNYp&#10;fDCH/S6V3JbbtkDQWxrYnIpWejgn0BkkpP3jk3kqXO6ecDXUaz21YRu0wSE8TS53TB+DpHv0zMWy&#10;x5vUsGWABPomLtBTa2pRVR0IU7VeXtQNNexilvqKm6r8YZ6m5CXSbWETJElLInUwl3fnon8MrEnf&#10;wzxbLZ0LIXeuQx27xLbker1dRCA3Jq6Ctq8fC0uBDy+DPuTHlST6TDWvXuDWJLqGBH3ft1+r/gJV&#10;Ab7Qp6/EqJzdsuJ6sCAJ9E0uE+j16s8xOyQYk7Oa8Fn6TpQLgS4QDB/+u2Mv1f4Azx9exU9Ht+FI&#10;zVQ05gVje3agJM0Hs4ClY3OUOs8NwnZ7wrxjXjb2L1+EI62bcPLwHpy/cgFX7vzBE8rXX/yHa8/+&#10;lWT1OzKcJLodGRHaf3Q5Do50fG+EO4l9dvzXn//HJTEl2S/evI4zp47gxL4dONKykZ/7nqoy7Jie&#10;zEu/v5dSd/RYlxvToQS//mF8oQBPp+cFYffiYhzathKnj+3Hld/vSqn0J1TivcuChAGCZDql0q8+&#10;eIZdP99B7bmrmHrgBO+TXiJEukAgGOlQ6vzgSRR1HEBS3UoYp0yDnpdr/0DqnMq0kzgvLIQhKQFa&#10;o14q1e4Cca7RqqBQeMM/0ICSJYtQf/wEGm9cw/U/f2TvT3eEQBcIBALB8IUE+rmfriB7TTtSVrUi&#10;Y8NuJCyug8pggJe382KpJ3hOmojAjHwh0D9Afwj02UKgC9wAlXFPUU/mc9KZ1gJenh7QhkUifVUL&#10;0te8m+h2B5R0j56+AD4Ktn8nK214s+eiUqfj5d/fb0PRisT6zQMn0Gs2IqFmNRaZIoePQO8KyXRK&#10;cVuMMFVqeclwEtO8xDvJVOIDz8wBRUPls0fz47RkesC0iF0bkr1DPTUth0Oi53hJ594fEp2NrzV9&#10;MkxL2bhSGr37MQ0l2Py2TFX2Tz/5PtKg/gwzAwMwLmcHxmTvlBXXgwV3CPT5wQHwztyKz9I7UGYT&#10;Al0gGOq8/o/dwzxx/if+fvIDbnSuxf4lBVywUpn2pkEsV1voMz9USiCTOGc/Uzn2fbVzcGznVpw5&#10;dwoXfriOq/ce4sZLSEnkZ68kWS4jNYc8JNafvnwj1G/8A37ulMQ+f/UyTp88iqPtm3i5c+q53loW&#10;I0l0GjsS6jzJbe+r3m2shxxs3tJCAeqZTmXedy8uxeFtK3Du4lk2Jo/sCxCklP9AyvRrj57xPulX&#10;HjzFwd/+xIoL1zBl/3EUidLuAoFghMJT5+w5mLlxO8LmL5TKtX8ode4Q56VlMCQlQhfkD41WIaXO&#10;5WS4k6jUflAovBCdkojKrVuw7tIl7P/lB/z15Ff+/z9g71BCoAsEAoFg2PKeQF+/C0nLVkATGAQv&#10;XtpYRtr0Ec/Jk2BMyUYm9Q5m+31XQAmEQBcMVUig56u/hy+ba04JdC8vqI3BSDav4elwufvCZZCg&#10;X9EEfUQUvL2cl9ok+/3jU5C2fLvMsbYioW7TAAv0NZhnThmeAr0rJEqJKgNM87Sw5nrBGvoNbDp7&#10;D+7BKB/puAh2nOYyXyk1Tecw1Ht4d8eeBLfkerPz7odrQdsn4ibCNF/LF1gM6TFl42cu9WNz2X5u&#10;cuc8CGjQjEJJaCy+yBnc/c8Jdwj0ecFGeGVu4wJ9at0xIdAFgiEMcI+L8xePbuDm/g3YW5nD5SkX&#10;54NYorYUhaOdsSUrANsKwrBjfh4Orqey3Qd4//Arf97jJbslYf7v8BXmPYCn1btIdRoX6rtO/dYv&#10;/PwL7xt+ZFsD9lhmoH1WJtrK49gYh6Exm/rEB/AS+EM9oS6l0gPQnBeM1ooE7FpUjGM7N+PCzR94&#10;av/6s1d8fHgyXWYM+wPeJ/2JtP99v96F+fQlXtqdEulCpAsEgpEAlWoneV64Yx/irfUwVkyFvqgE&#10;/h/qdV5O5dqnwD8nB9rQIClt7iJxrmbbotS5PkCLnJnTUXf4MFpv3sC1v37GPy9v8///eW1/lxIC&#10;XSAQCATDlvcE+roOpFjWQRcawcsqy0qbPkICyhCb+AEBJRACXTBUIYFeofmOzUvnBDqVUVfodIib&#10;V80X8cjdF66CUuNRU+fBV0H7dbJNhV1YR1bM/UAFjYEW6BsQz/Y7zVIy/AW6A0o8k7A1s5+XGmCh&#10;VHri97AZx0m9pN1YCrtXUGlzdkw17Gdr0iTe351L9KFefrw7byS6PYnu7jL7jpLx4d/APF0pSfSh&#10;Oqb9XQq/F1D/dHre50Tn48ucPbLSejBBAl2VuQGLAjUuFeiemVvxReYuWDefkb5AEgJdIBhSAH8x&#10;7uPZ/Sv48dBmSZyTZBwC/c1bi8J5L3ZLogE10/LR2dGMK/ceQupZbi9rPsCp4kENGxepBPxLKY3/&#10;Zqye4srdv3D27HEcbduAfSuXYtfiUrRPS2JzIwjbM3RS6ff8ENnrMiQooBLv9qQ9O4/W8ljstc3C&#10;yQMdXKZfe/iEp/b5mMiNXT9AIp2gn/f8cgfVpy6hdO9RFHQekRVOAoFAMBygcu3UviJ9/VaEzJ7H&#10;y7UbSj/S63zKNPgXl0CfEAetwXV9zgkV25bCzwvhcVGYs3YN1l28iCO/3cTD57d44rz7wmEh0AUC&#10;gUAwbCGBfvbHK8habRfoa3cirX4bDNEJXHTLSps+QiJJHxGN1JqNI0egU9Legdx/70JPBfrMXgp0&#10;rcKHy3ch0AWuhublXO03UCmcm5cksv1USl5WndpIyN0XroDkfIptPbShYb1aIES/ow60J+XXdby3&#10;/TT2DI2v3TBgAj2uhva9AaWWGSNHoHeFUsd2GW2epYIl05OnvWscyW93S1xnoGMhwW8cB3O+N0yL&#10;2fWyDkOJzq4Jla3nErg/yuvTdaZS+YU+0jHQfOh+XEMBx9hl2yX6IGtNQH3UrbpvEJu4EF8O8v7n&#10;xOicDnyX3YJZQUY0qD+XPSdn6CrQR2XtwvLGs+x9Wgh0gWCo8Pr1XS7Onz+4yhPn+xbnYzuVuSZx&#10;PthTxuz4WgpCsS3TH7bcaJjra3H059/x40tICfNHlN4V0tx52JiRsKUFCPa0Ool13lP9jz+5UD+2&#10;uwkH1lmxe2kJWstjeFl0qc84pdOHaA91kulUup5keo4RO2am4sBaE04e3IXLt25J/dKfvpLmlV1o&#10;9yfUI/0Hdk0u33+K5h9+xYJjZ3lZ9yKRRhcIBMOIsv0nUH7wFPJbdiG6ysxLtes/VK6doJLt5VNh&#10;yM6GjlLnLhTnhFLly7eXUVGK6j2d2PHjDdx88Av+ffU78Fr+3UoIdIFAIBAMW6hc3YGrFxDf0Iw0&#10;kkBrdiBjTRsCEtPh6TFZXtr0ESoNrwkM5qXi3Z02HUgyaCzX7eSLBDLs8pz/O/rnjywc6KlAr9SO&#10;h9JJgU6pYIXCD+Wa79AgBLrAxVCqtko7DhqFD1+sITcH5fC2i+CIkunI3LhH9r7oKxlrpfsxNL9M&#10;Kt3uK38sH4QdI/1eUEYuMjfIP7dIoEsSe6AE+nrE1GxCtm0pTNU6VFcb3hdzIwUSpwzzAi0sJX6w&#10;Rn8niUgSuYMp0Ws/Hjo+80yVJE6HanJaDnYupioDrMmT7OcqMwauhlcdYGOaMgmmRew+oLkwFEu6&#10;09ixT2vKZGnsBtECkDrNl1hm+B7KjPUYnbNLVloPNj7L3Y+ykAgsV38me07O0F2gNwiBLhAMCV6/&#10;/oPdq/fw78vf8Mvx7ThQVYjtOUHYnh0oLxcHmi5yk9LmJPgb80KwJi8CjSvMOHDuPG48e4kfGHLy&#10;UeAauFB/9q/UP/7pS1z65RecvXgWJw7sxsF1JnTMz+HXi/dN79JDfSgKdSpVvz3Tnx17CHYtKsKB&#10;jTU4d/4Urj54Yq9swKCFGjLj5E4ojU4i/cyfD7Hxyo+YeuAEL+tOSU05GSUQDAZKuiD33wUC6nHO&#10;U+edh5G8Yi2CZs6GvrgEhg+Wa6de59PgT4I9nlLnGmg0frISvDeoNQoolT4IigzFjOXLsf78OZz7&#10;6xc8fnHrk9W2hEAXCAQCwbCFBPqey+cRXdf0RgJRaeLAjHzeq1xW2vQREuhqoxGJVcuHpUAnOU5l&#10;otNXtSLZthExMxYiKC0bAQnJCE7PRcysJUht2PrBc09dvxszZ0xBjX4sbOrRsl/ekkCv1o6FuhcC&#10;nUpXFwuBLnADvCw1m5d6JwU64ekxCUE5JcjavE/2vugrJL3jK61QaDTOl25neHt7s9/VIWFxHbt3&#10;30+fE4NBoEfXbEa6zQJJno9gge7ALtJNS/S8tLc1fiJsBnq2sucfF63yc7lfITHqSE5ne/JjHbLS&#10;Vw46l6UGWFMnS+dLY999DFwNLT5Tsb8/IybAPGMIL0xwjJ1jAcIgkegk0OcGGjA+q5Wnu+WE9WDj&#10;i9y9KA8Jd6lA98jYyhcQtB64LAS6QDCIeU2lRnEP/726jT+udOJozTTeP5zE+aBLnJM0J1lOvarz&#10;g9FaFovWaSnYMD0LaxZNx97OnTjz0y+4cO8xbv79Gtd44lxeOgrcwKPnUi/1F685V+8/wsVbt3Hu&#10;8kUc79iGvbVz0D4zDa2lMVym03Wk6znUZDq1MODHnmNEW0U8dldV4NiOTbj404/snB/zfumU0O/v&#10;VDpJdJLpR27/BeuZyyjZe4yLdDkxJRAMBDQnixkOaV6+/zimHDjOP7v/WcHIhsR5KZsX2VtbEF65&#10;mJdqp5LtsuKcqJgqCXRH6lyrcFmvc4LEOQn0xII8WPfswcHffsIfz37jPc5Jnsu9X3VFCHSBQCAQ&#10;DFtIoHdePo+YbgI9JLfUbSXcHeWaY+eb3JY2HRDWtEvns7IJCUvrEZyZB6Ve/+acScD5kLjz9YU+&#10;Mob9meXIlJHoqet2YfqcObD5f4MaNwn0EiHQBW5AEuhfI1zlxealkwJ98vcwpuZI90QPWh04AyXP&#10;U+u2wBAVCy8vL9n9fwpvby/4xya+qSYht5/BkkBPtdViiSliZJZx/xBdBKp5tloSkkHjUaMaRH3S&#10;uSBlRH9rT6Pbj7v7uQxF6DyW9XNfb74wgV1fe0l30zKDJKTljm8wQwtAqL//oJHoY1Cn+QolkZkY&#10;m70TY7JHtkAfk7sb+05ckwS6zHu2QCAYWKQ+5/fw6PZpnFm/EC3FEbxcO08Iy4jDAYGkOSXhMw3s&#10;uILQPj0Fu5eW49DmOpw9cRCXbt/BpXuPOVcf/40bz/8dkBSw4H26lnun/vPUQ52u15mTB3FoUy12&#10;L5uK9mnJaMqnZLeB908fUjKdL+iQUvVUpr5tSiL2L1+I0ycO49KtX3H96T/SQoJ+XMhBZd1vUln3&#10;B0/ReOMXzDlymvdGLxZpdMEAQtKcIFk++/BJLDx2GqaTZ2A9dZZ/TqeUsczvCUYeUrn2kyjcsRfx&#10;tnoEVEy19zr/QOqccKTOE+LtqXPX9jr38/NEYEQoptis2H7xHG4++g0vX0l9znu6QFgIdIFAIBAM&#10;W0ig7+0m0EkCh5dMg4+vj1RaWU7c9AGSyb5+voiZUzVsBDqlyalEdOy8agQmpUGhVsHby0tKuvIx&#10;tI8j+5nGlBYnqAOMSDKtfq+Xcn8I9FIh0AVuwCHQo1WeTs1Lgu4JQ0wi0hq2f7TFgbOQ8KZ7MyS7&#10;kEvwXj3T2O/QfRM33yzdrx8Q6Kkrm9/K8wEU6Cm25ag0JdjLuMsIuZEMpbrtMt08VwtLlidsQexZ&#10;S/3I+0PqfgpHGt1/LCw5nqiuYsc7FKWvHPbFAFyi07n213hT2XjNGFgTv4d5nlbqNT/U0v00B6gU&#10;PlVQoLk6gBK9hr07UIuZmMRKjMnZhTHZO2WF9WDjs9x9Li/hTgL967zdOHb+hhDoAsEgQ0qdP8CL&#10;h1dxrWMFds1MwbYsI0/WyorC/obEZF4Itmf5c2m+c24W9q9cimM7t+HchTM85Utlw7mcffK3JGpJ&#10;0PZz4lfgBHRt2DXi1+oJpdT/w9UHT3kJ9KMd27B/1VLsqszjIroxk113ktI0H4eKUKc5mx8iLQLI&#10;D8buRYU40rgGZ86dxLWHT6V+6bSwo5/mKIn0H9m9ceLufdSdu4rSvcdEb3TBgEDifPrBE1h6/DQa&#10;zp7D2vMX0HDmLMwnz2DxsdP8v9GfkftdwciC+pzTsyptzUaEzJ4LfdFHyrUTvGT7VBhycqELD3FL&#10;r3Ol2g8JBXmo292B8/du4ck/tz9Zrl0OIdAFAoFAMCzhpVjwB3ZdPPeOQM/YsBvR0yt5Srw3pY57&#10;gpfHZEROX8jT7l0F1FCDxFzm+g7ezz0oPYePmZfn5B5IOkmiG5MzpETr6rdCThLos90i0AkqrZ2v&#10;nojlQqALXAwJdPpMUU92XqB7eUIfEYPUmk3vLSrpNezeovszauo8+LJ9ePt4y+77U1Bq3ZiUxtsy&#10;pH9E7qeubBpwgR5bsxFJNasw15wJc7VWXsYJJEhKWowwzdPAku8NW9gESeoOhpQvHYNqDKyxE2Ge&#10;o5bk83Ao6W7qItFpjPtLojsWJoSMh6XM780iiveObzBjDYCpUgdr1LcDWjWhVjMaJv9J8E1fiy9z&#10;9sjK6sHG6OwOfJfdilnBgWhQfy57Xs7gEOiT07diXMFu/Hr3Zy7Q5d61BQJB/yKJ8794ufbfTrfy&#10;PufbsgJ4/3BZKdiPkLx/2yM7GDtnZ+DQRhtOHd6L8zeu49qjZ7jxD+ylsUVp9mEBu460EOL63+y6&#10;Pn6Oiz/+gNOnjuBo81rsqSpDS3GkNCccDBWhTjI9JwiNWf5omxKPzrr5OLGvDVd+v8MXD3D6SaZT&#10;WfdrD5+j9eYtzDp8CoV7joikr6BfoHlGpdlJkq84ew71Z85hyfHTmHP4JKYeOI5i9t9pUYeYj4Ky&#10;A1LqPGd7O6KWmrg0/2i5doJKtrNPQ1IitP46l5Zrp1Ltvn5eCAgLwsz6Why4eRn3/7nLxXlPyrXL&#10;IQS6QCAQCIYl/C/GV3ew8egJxDU0v5FAlKaOn2eCQqt1m0Cn/urhFfOQNVQT6JRqpVLTK1sQUTYL&#10;KoM/vLw8nBJ0Uk9lDeIXWKSe6fZtp67rwJSFS2A1TkSN+ivZL2/7ItC/91MgU/U9VgiBLnAxJNCJ&#10;DPUk5wW6txc0QcFIql4l3Vtd77de0c7vK+p7rtTp+Pbl9vsp6J5WqNl9urhOtuVCVwaHQN+AhJq1&#10;mGHJh7laIy/iBO9iNXKZalqog7nQB7awb3himUvKgRTptG8lO4ag8bCU+PIS6ENO+srRVaLTefan&#10;DKZ96b6GJd2DX29+7e3HMySgcu5vJPrAJNHr1F9gRlgMvstqxlc5u2SF9WDjS3acysxNWBioRT07&#10;frnzcoauAv3boj3488EvQqALBIMAqqxGPPrtNE6tXcD7nG/LNg5sn3MSjdTTnFK77J+pP/bBtctw&#10;+sQhXPzlF1x98ERK7j77l6eX5QShYJjAZforaZHEkxe81Pv5a1dxYk8z9tpmoW1qEm8xwOcLzVve&#10;ZmDwy3QS/yTS6dg75ufx0vXnr17G1XuP3pS3d/eCEOqLTiL96J17MJ2+hCJR0l3QT8w8dBKLjp3m&#10;Zdsr9h/nSXMuzUXiXMCQxPkpXq49oWY5AqfN6HHq3D+/ALrIcClx7kJ57qfwhlKtQGpxATYf3IO7&#10;z+/gNf6QUucy71Y9RQh0gUAgEAxL6C/IZ89uwbrrEBKWt7yRQFQ+mSSWOiCw19LpU1D6OjirSNrn&#10;mh1v9j0UcKTOE5etREBCChdYvL/5J1Pn7+PlMQmhBRXvLCRIXduBElMdLEEeqFF9KfvlrUOga4RA&#10;FwwiHAI9S/197wS6MRBJVctdItBJdiexe1QTHNKn5xh/VmXkI2ONdO/L7cvBYBHo1Id9qqUEFiHQ&#10;ncOeSjYt1sNS4A0rJdIdyeUu87zfsUtfa+pku/RlxznU0+jU352dg7nEFzbD2P4dY0eVgbBvYJ6i&#10;kAT6UCqT75Dosd8NSLUESnAnxs3A6NzOIVO+nQS6wsUCfUFwADzStiBwxgE8fHRLCHSBYCCxl2t/&#10;+fwn/HhwIzpmpqCRJORA9jkvCONSsSk3EDtmpKKzdi5OdDbj0q+3cO3hs7dikVK63WSgYARAMp3N&#10;getUpp/NgSv3n7C58StO7m/D/tVV6FhQgNayGD6HGrMC7DJdZp4NIt6Ud88LRktZLPbWzMapI524&#10;+PPPuP7E/b3S6b764fFz3ht93eWbXGYWdh6RlVoCgasos3+SOBdJc0FXyg+dRgl7BmVs2IaQOfNg&#10;KClllMlLcweO1Hl6GrRGg0tLtlPq3NvXEwFhwVi6sg4//PUj/qOFh6/v8l7nsu9XTiAEukAgEAiG&#10;JVS+/fd7P6F0YwdSVra+kUAkiVJrN0ETFMpLF8uKmz5CUiooLQfpK5uHlECnxQVUcj16xkKoAwJ4&#10;2eneiHMHnh6TYUzJRMaqljfjQAK9tLr2kwLdpB2LIKV3rwR6lhDoAjdBc7NU/S3vt0/IzUE5KOmt&#10;1Gp4YrxrRYbeQCXgU2o2Qh8ZI92jMvvrCfS76sAgJJvX9EjqDxaBHlOzGaXWaUKg9xYuVI0wLdJx&#10;kU5lvwe8RzoX+ewYor6FeaZKEr5DXaLT8bPzsJQpeM/3fl+oQNeT0ugZXdLocsc5GKHrTz3Rk7+X&#10;xo0qJsido4up1XwJs2EytCn1+CJ3r6ysHoy4WqA3qD/DtJBwjM1oRULlITx5IgS6QDBQ8NQU7uHe&#10;T0dwrG46l+a8XPsApc6pBPf2rAA054dgd1U5jrSsw/nL56Q+5s9e8U8paS56mQvsPHpu75v+jyTV&#10;n/+Hy7/fwamje3Fwcz06q6eirTwW2zMNUjKd9/EfxMl0qrrA5j9vVcDuxZ3zcnCkaS3OXWL3AZv7&#10;VM7endUWKI1+g9H+42+YefgUCoREFwgE/Qilzsv2n0Du9nZELzXBn8q1kzj/WOqcqJgG/6Ji6GKi&#10;JOntytS50gc+Ch8UTi3GgdOH8M9rqWIP/nPd/78IgS4QCASCYcfr/0ig38XpH68gcUUL0rqKICpP&#10;vnYntOHRXHTLips+QonQgLgEpNZvQca6D/cUHkxkrO9A+opGhOaVshcQhUvS+bwPemI6364j3Zq2&#10;Zify6zbAFOKDWuUo2S9vSVKatWMRrvJyWqBP8lMgRTUZdWwbjp7VAoGroLlZrumNQPeBn0qJ2Hkm&#10;ZG7ofWsHkudpDdsRkJTWp+eXty+1r/BFVMWcHgv9wSDQiaiarSi0zoW1Wi0v3wQ9gxLp1gCY52th&#10;zfaCLXB8v8pKWVSjYTOOg7nYVxL9Q72kO0l0dg7m6SrYgu3jK3fe7sK+MIGqDbxJow+VMaUkepVe&#10;kuj9lERvUP8vpoVFY2J2K77K7pCV1YMRVwv0Fer/QW5YIv5P1n6U2Y7i7+e3hUAXCPoZR6/zV//8&#10;iuu7VmHntERszQwYEHHeVCD1Nqf0bWt5LPavXIpTR/ZxCcp7X/MS1kKYC3oOCXVKbF9/8R/vK37m&#10;7AkcbduEfXVz0VYRx+fakOibTpUYeEn6ALRPS8K+FUv4woArf963Lyj5xy2p9Gv2ku6HfvsLi09c&#10;QFGn6EMtEAjcS9n+47zPedGuA0ioXY7AqdN5ufZPivPyqfCvmAJDVhZ0wUaXps5VbFs+fl4IiQjB&#10;2o3Lce/xz+zd6WGv+5x/DCHQBQKBQDDsoL8wX728jdUHjiJpxdv0uUQ7l1D+8Snw9naD9GFQyXN9&#10;eARPidK+3t3/4IPKQafWbUFQajY7di+pZLvMeTkLF+hJGUhf0dRFoLezz3ZUhStRq5T/otch0MN6&#10;IdAn+ykQq/KAhf2+EOgCVzOQAj3TLs8DUzL7XB2Cfj8gPhnpK99Wh/gUHxboGW4W6GnvCfQC63xY&#10;qnWorja8L94EzkFpXyrtTiI9ddLbtPRAJdK7JqeX6NnxDaHktBwk0a1GmGerYYuYYF+kIHPe7oQq&#10;DOjHwprmgepFNKZDRKTTcS7Vw5oyCVbNaFhVX8mfnwuoYduv145GUtxUfJG7T1ZUD1Ykgb7ZpQI9&#10;PywB/0/mPixYfRKv/r7tli+iBAKBPFRFjeT5o99O4XjDLDTmBWN7TpC8wHMjb0pWF4Rhx6wMHGlc&#10;jXNXLvHez1ycP3kpK/cEgp7znEtmLtOfvcKVP/7C+evXcGJPE5fp7dNT0EJz0d5nn+ak3FwdDFAa&#10;vTHTgJaSKOxaVIJj7Ztw8ZdfpVS6Q6bLjkHvIYl+9s9HMJ++LPpSCwQCt0DivOzASZTuPYL0tZsR&#10;Oq+yZ+Xay6jX+TT4F5dCnxAHjb8GGo2frAh3FrVWCV+FD1QaJSqmFeOHmyfZe9M9xp+y71WuQAh0&#10;gUAgEAw76Iu+J89+xbStu5HcpXy7BAn0nQjOyONSqy8S6kPQdtX+AUgyr3VJv2N3QjIv2bKWl4P2&#10;9vKSxkTmnHqDp8f3CMoqRCal8Lk47yLQI9VCoAuGHDQ3y3oh0PlzxtsL0TOXIHNj5zv3YE/IWMee&#10;IyTPkzPZfeoJ777Ic3YcqgD2fFq2wqkFPt0FenzdJsRWr4A+OpYvvJHbV5/gAt0HxrTMdwR6dM0W&#10;5NiWYpkpGKZqvbx4EziHvdw4/Wyao4Y16XvYdGMl8drfspcgia4aw/tgm+ZppPLjQ72kOyWqK7Ww&#10;xk8cmAUK9jG1OdLoy+iYhsDiBHMAllUZYMv3wWrjONSo5Vu/9JV6zRdYEuAHbfpqjMrZIyuqBysk&#10;0JWZG7EoUONSgf5/MvZhZdt5Xv7QFb0DBQLBp6EvgP97+Rt+PLSF9zrf/qaktby0cwdcnGcFoKU4&#10;Eh2LS3B8dyMu3brFk7SSCBR9zQVugEq9k0x//q80x+4/xqXfbvPe+vuWL8LO+floKYmU+qYPwH3R&#10;U6ife2OOEc0FoWiflozDm2px7uI5XLn3kJevd/XCE5Lol+4/xcoL11G09wgX6XISTCAQCJyl/OAp&#10;LtBztrchctFSqVx7cWkPU+eMvDzow0KkxLmLUucKtR+8fb0QlxCFHTs245+/qdXUfd7rXO69ylUI&#10;gS4QCASCYQcJ9Eu/XEXmmrZ3+p87IIEeWTwNvn70l697BLpCrUbislWDWqBT6eZkyzroI6LB+8G7&#10;cCxoDHz9fBE9YxEyN3ZJ3JJAZyxODkat6uMl3Hsr0OOEQBe4CWoNMEMzwXmBzvCcPAmRUyuRtck5&#10;ge4o2x6YnMHleV/uU28fX+m+nF4pyXP7wpaeICfQY5Y1QBsR5bKqFe/AztOX3c/B+SVCoPcX9pLj&#10;VOrbPEUJa/R3Ukn3gUij8/LjY2AN/QamGcOkLzpPVBtgzfCUxrS/x5XG1L5Pa8pkaXECSfRBPq7L&#10;TDpsWF+EVXPmoUo5jvcqf+/c+sQYNKi/QFlYAsbk7MYYGUk9mCHhb0yrw7IAH9Rp5N+rnGGF+v+i&#10;IDQO/7/0vdhx/AqoJRK1RpJ73xYIBC6Cl2x/gKd/XsCZ9YvQVEilofu51zmVo84OQEtRGDqts3Dy&#10;4E5eivr6MxKa7ilFLRDIQjLd0TedpPqzV7h8+3c2JztwYK0FuxYVoaU4nPdNb7JXSZCd0wNJ19YH&#10;pdHYv2IRTh2l1gd3eeLelYl0kuiXHzzBuss/oHz/cSHRBQJBn6A+51SuPb9tDxJqGmCcMo2Lc8On&#10;xDlBqXP25wzJSdD6a13a69zbz5unzxctnIGffzrF3pseMv6Qf69yMUKgCwQCgWBYwfufv76DTUdO&#10;IHVV67v9z+1QD/SYGYvgp1S6NHH9Bl9fnuaOX9LQ4/7C/Q2VbZfkeRQv5+zqhQRenpNhiIxFWv1W&#10;pLPxfrNvu0BflB6J2g8kyUh8kwCP6IVA9/BTIFLpiWrtONRqB0D6CIY19WxOLdSM53OtPwS6JM8b&#10;edn2vibP6XcpKU7VNzJWt/LnoNw+P0R/C3Q6Xl+FAqGF5UKg9zckVK1GmJYYYCn0gS2I+ncPYBo9&#10;YCwspX6S3Dd3O9ahBj+HAJiL2Lg6yuXLnbc7sS9OsIWMh6XEF9XLDNJxyR3vAFNVpcOK+mA07twM&#10;7ZTDiI6bg2rDZF5yXfbcekGt5itYdBMQkmzGqJzdspJ6MPNFTieCU8ww+Xv0eXFBDS0m0IxCZkQ2&#10;/m/GXpy5caPfvpgSCEYqeE0l2+/h7uVO7F+Uz3ud92e6lvbVSCXiC0LRaZ2BU0c6ceWve7j+92tc&#10;fSykuWCgef5GqPNS78//xaWff8KpYwdwePtq7F5SzOfum77pg7BnOr/Hsvz54pQ91VN4VQdaEEA9&#10;4F21OOUGG6Mb7H7dfv0XLsCoL3p3KSYQCAQfQ+pzfgrFuw8iecVahMyeJ4nzT5ZrZ5RTyfap8M/P&#10;hy4yzKWpc6XaD14+nshIT0Lnnm3499Vt/t4k907lLoRAFwgEAsGwgkpNvnx5G3OaO5G4vEVWBJE4&#10;SljSAD+1xj0C3Y9ElTdiZlU5nfLsD+iYUms3wz8mnvcpd2XynKB+yAqtDgkLa5BJpae77p8L9B2o&#10;zE2SvgCndON7X+B+DSsjWe3htED39FMgSOmNxdrxqBMCXeBiSKBX9pNAp0UuKdb1CEhI7XPynKD7&#10;kha1pNZuYdvueel2BwMj0P0QWlD2jkCPqdmEDJsNi0zRMFdrZaWbwEWQVKXS4/O1sKR7wKZn9wGJ&#10;1/4W6bRP6oue443qqsEre3uMicbVCPMMFS+pblMOwJgSdnlPZeXNPI0uyX3ZYx4olmmxcV0W5q48&#10;jP9J34UxuXswLTQKdVwUu+bveNrW7JBgjM9ux5jsDllJPZiRBLrFZQKd/p5LiirB5OIDuPbTTVAC&#10;Xe59WyAQ9BGeOr+H//65hR/2rkN7eSy2ZxllBZw7oFLtlN5tKQpHp3kaTh3dz3tQuzodKxC4FJLp&#10;T1/yPvzX2Ty99NtvOHP2BI5sX4mO+bloLo5Es71/Pwn1wSTTJZEegJaCUHQsyMfRlnW4+POP0jlR&#10;e4THfWuPcJ228/A5tl//GeX7SKIfkZVkAoFA0BXe5/zgSZSyZ0bGxm2IqFwMQ2mZVK5dTpZ3h+R5&#10;WTkMqSnQGg1Sr3MXyHOVRgEfX28EGHWosS3CH3cvs/em/kudd0UIdIFAIBAMK+iLvpu3b6Bo406Z&#10;/ucSJNBT67dBodfD28cNpYftAj2iZCYy7IlrueMYCKh8fdqKJp5opeS5y+S5rx/fHiXP1UYjYmYt&#10;5vuifufvHkM70tbuwPzSXNSQPP+IQE9VTxYCXTCo6BeBzp4X1PYg2bwG+sgYvsilrxUiqEWDyuCP&#10;hMV1vW4rkbaqFXE1G/pXoLPP0Pz3BXq6rQ4LTXFCoPcXJFbZp3maEtaY79i9wJ6t/Z2ctpc8t6ZO&#10;QvUSPaqtQ12iMyjlP18La8JE6e/C/i7pTtA+6VoGjYOlwPvt2A6Csu7LlhlgNeuxrbkBvsWd+J/s&#10;vdCnNqDK39Mu0GXOx0lIGNdqRyMmsRJf8fLtO2Ul9WDmi9xOhCUthdUwkafp5c6zp0gC/SskRhQi&#10;YNZR3Lr9sxDoAoEbeM3l+X08++siTq2ej0bqm0wl22Wkm8uhUu1ZAWimNKx5Gk4f3Ysrfz2QBN5T&#10;1/ZnFgjcyqMXbM6+kvqmP3qGy3f+xLnzp3Boow0dCwrQVhGHphwjn++0YET2fhgAuEjPNqKZfbZP&#10;T8GhzXU4f+0K7/tOqfSrfRDpJNGvs8/tN37h5dyLRTl3gUDwEahUe9m+48hp3IHoKjOX4YaSHpZr&#10;75I611PqnMS3i0q2+/h5Q6nyQ35+Ok4e72DvTXfZe9M9/v4k917lboRAFwgEAsGwglajtZ05g9SV&#10;rVz4yImgjLU7kLqiCdqQUDcJdD8ulEKy8pFOxzBYBDo7DhL6JKSolLOr5LkX2xYlZNXGIASm5yJp&#10;2Uopef+ePCckgT5nSgn/ovZDAp0+03sp0A1KHywQAl3gBvqjhDu1fSDRzdsruKBCBD3j/FRqxMxc&#10;xFPt8vflp/mgQI+Mdq9Al0mgp9tqsdAUKwR6f0JCldLoVQZYC7xhCx6Asu60L5LocRNhqtS9EftD&#10;GjMb06UGWHK9YDMMUEl3wrFAgY2teYZaSqIPcBq9qkqLzRvSUGHdg1FZezA2ewfKQ2PQoPmcHbNr&#10;xqlO/SUWB6oxKXMrvhyC5duJz3P3ISZ+Nup07P2pj6Xta7SjUasbi8iIKUhedhIPHtxi79UD80WV&#10;QDBcec1Ltv+Fv64fwL5FedieHciFmpxoczWNuUFoYuxaXIwT+9olYUfi/MnfPAUrJ+QEgiEByfQn&#10;Us/0a0//4f37z5w6jIMba7F7aTlaS6OwPUPPk+mDJpVu75NO92RrWQwOrK7CmXMncY0k+Ivet1Ag&#10;iU4l3Tdf/RGFnUeERBcIBO/B+5wfoj7nuxFf04DAqdOh76k4J0icl5a5JXXu7euJ8IhgrFtjw6NH&#10;P3BxjtcDu6BXCHSBQCAQDBuo//m//96BtfMw4uqbZSUQZ80OpK9sRkB8kvsEOtuuMSEFaWw/JOxl&#10;j6OfITEXPb0SvgopIS933M5A5e9JnGuDQxBeMh1JptVc0EnyXP4YiLS1OzFt7jzYdGNhk/mylwR6&#10;LaNAM9FpgU5/Xs3Ob47mGy47u29bIOgLNKfmasZzee4OgU7p8LhKK0+Lc3kusx1n4C0qfH0Qwe5P&#10;ui95RQyZ/faE9wX6ZsQsqYWa3f/uaIXxRqDnlbJ9bRQCfbDARboR5rkaWJMn9X9ymiS6cjSs4RN4&#10;eptS3LLHOZSgku7mAJinKGBj50XnNyAl3QkV27f/OFiyPFG9xMCv9UCk0Zct84fFpMXqTfXwK9uH&#10;/8nah6jESi53SfLKHnsvqFePQkLcTIzO3TMk0+eEJNDnuESgU4Ldqv8W/lGVmLr2HP79hxamCoEu&#10;ELgK4E+8fn0HPx/ejB1TE7Cd9x53v8yTyrUbsWNOJo7t2IIrv9/hJbBd0XtZIBh00GKQxy9w7dm/&#10;XETTfD994hAOb1+FPUuK0ZQXxNsXNOWFcIktd8/0L2H28u7+XKTvX7UUp48fwNV7D3m6XhLpzi1w&#10;IYF++cETrLxwjQt0IdGHDlP2H0cFQ+6/CQR95U2f810HkLJqHYJnz4W+uKRnfc4JnjqfJqXOo8Il&#10;ae6C1LmabcdX6QOF0hezZpbiyuUjfLEhvTfJvU/1N0KgCwQCgWDYQGUmb//5I6Zv2/3B/uccLpFa&#10;EZJV4FaBrg+PRNryxkEh0HmqdWmDJOaodLvMMfcYX19eElqh0SKscApSbOslcd7D0tAk0MsXVcGm&#10;Hyf7Za9DoJdovnNaoDvE5gz1BDQIgS5wMTQvKzTfukWgk+BOsW2ANjQcnh4ukOd0n3pORkhOsb2V&#10;BLVUeH+/PYUEenztW5Ed37AZUQstUPFWGG4Q6GybfkoVIqfMQWLtW3EvBPoggcqPL/OHudgXtiBK&#10;o7PnrUxFEbdB+wubAPNMe1pa7hiHErykewDMlTppYYLOfo5y5+5u7GXdrZHfwlLhJx1bP4/x0qUa&#10;bFqbjNTKZvzfzAPwzNiMBUE61Ku/kD/mXkDbWhiogxfb9qicTlk5PRT4LG8/EmPKsFxDY9O3OeMQ&#10;6PrweajZdYW9V/+B1zLv2wKBwHnoi+BXL37GxUYLl2Zcnr8n0lwLiXNK3LaWRvOy1hdv/iBKtQtG&#10;HJRK5z3T2by/dOsWTp88jIPrzNgxM126T+yVGfqrEsTHIKm/PdPA79lO60ycPrYXV+8/4vcsnYfc&#10;+X2IG49f4PKDp6g5e4Un0UtkZJpg8EGl9wm5/yYQ9Jay/SekPud7jyJj/VaEza/kaXOn+pxT6ryk&#10;DPrkRGiNekmcuyB1rlD5wlfhjfiEKOzZvQXPnlILqYcDVq5dDiHQBQKBQDBsoC/6jl6/hNQVrUj9&#10;QPl2DpUyX7sDkVPnSwK9jyWS5aDtqvwDkNqwnfdclz2OfkLqe94I/7ikPqdaSWp5e3lBHxWDhCUN&#10;/Ny4OHci2Zq2rgO5tnWw6sejRi2flqKk7wzNN/DyUzgtKiez3ylXf4vlQqALXAwJ9HI3CXTqex5W&#10;NBXeLijbTr9PbRoCU7KQvqLpk1UhekYrEurellLvF4FOpednVCKRku+1QqAPOkiqWqQ+3pbE76X7&#10;pD+lr4r9/RE4HubpKimJPgBJaZdjF9WWIh9+btLCBJlzdzc86c/2rR8La7oHzAt1Um/0fhDp1Pu8&#10;1qKFqX4RvEsPYFQme2eIKUADF8TdjrOX1Gi+Qp1uLGIS5mFU7l5ZMT1U+N+8Q0iOKsBK1f+VPVdn&#10;qNV8iaUGDwQl1aHt+HX+Xi33vi0QCJwDeIBn9y7j5Kq5vNd5Y66b+zFTn/OcQLQUhaPTNhtnz5/i&#10;PaKvP/tXlGoXjFzY3KcFJDzV/eAxLv32O04d2oW9dfPRPiONp9EpBd7E7lHZ+6ofodLujTlGtJRE&#10;Yo9lOk4fP8jL0vN+704sgPnh8Quc++sxlp26xCW6nFgTCATDGFqQcegUF+c529oQubiKC3ES506V&#10;a2efhpwc6MJCXJY6p3LtXj6eMBr1MFXPx53bF9j70n3GX7LvUgOJEOgCgUAgGBZQ+fb//r2DzcdP&#10;IKauSUb+vAslpuMX1cKLSpm7SaD7abRItm4YWIG+ph2Z6zoQUToDPuyYKJUqd7w9gUsyXx8EZeQh&#10;bfl2NoYdTolzByTQs2s3wWKc+FGBPk/zTa9EJQn0fPV3oge6wOW4S6DTIpfUus3QR8b2vXQ7u8dp&#10;G8bEVKQ1NPJtd99f7yCBvrl/BbpajZhp89lzdB3ibQy7QE+rqUOlNR5mi254SNOhjCOdzD4tJb5S&#10;b3QFe673l/QlwUwSfaqCHQMdh/sFr9uxl3Q3UZn8hImwqdl59meZ/K5QVQEa47BvYC73k47P3b3n&#10;l2mwoj4RqQsa8f+k70NwshkW/bc8HS17jL2gQf0FZoWE4PvsFnyVs0tWTA8FqOz86NxO5ERmYIXq&#10;f2TP1RnqNKOwUOeJuNw1OHLhphDoAkEfofQU9e58+NspHKgq6pd+5zx1nh2AnXOzcXJvC64+eCr1&#10;OX/8t6xgEwhGJOx+kFLd0ufFH3/AsfZNfMFJ+5QELtIb2f060P3SHVUk6Oe9lEin0u4k0l+An4Ps&#10;uXXjh8fPcfLuA8w/ehYFew7LSzaBQDDsKD94kvc6z23eiZhqGwIqpjrX59yROi8qgj4uFlqDxmWp&#10;cyrX7qvwQUlJDo4dabe/L/01qFLnXRECXSAQCATDAirf/uDRL6hs3YfEFR9Jn9vJ2LALiabVXND0&#10;RSp/CCk9qUJ8pW1ABTrJM0qKK0ly9aHvOS008FMoEF44RUrw9yHRSiXcsxu2oDpKiRq1/BfiJL8X&#10;asdDy16snBaVfgqkqibDqh3Lhafc9gWC3uCuEu5UxSFp2UpoA4PZveYl+/s9heS5PioWybb1Lkqe&#10;vyWJ3bfvCXSDwe0CPcWyBsmmVUgyr0a8dT2yq0xYOi0I1pl+MC01vE3G2kWurJQTuBcad3YdKI1u&#10;pTQ6CV8Sv93uIbdA+zKMhaXI9+08kDvGoQbNa+oFnucNm3HcwKXRCbvAtyZNYtdY477E/zID6qwG&#10;LLDMxzd5BzApYxvmBRu52H3vmHoJL1Ou+wahydX4Infolm4nvsrehcnZzZgRFoUG9Wey5+sMVNZ+&#10;hlaB+Bk78OOtX9m7teh/LhD0ltev7/Ivg/+8uh+7ZqViW1bAe3LMpdhT59RP+eB6Ky7+eNPeP1mI&#10;c4HgwzyXkulU5v3Fa1x7+BTnzp3E4cY12LWY+qUHoynHyEX2gMp0Ssez46D7e69tNk4d6cTVe4/Y&#10;Pf6fvUe63Lm95Sb7Mwd++wMzDp5EoeiHLhAMa0iakzwvaO9EQt0KBE6bIfU576k4J0icl1fAkJYC&#10;XVCAy8S5I3UeERGCzRvr8ewJlWu/P2jFuQMh0AUCgUAwLKCUzI93f0Deuh1I+Vj5djuOfsO6kNA+&#10;ieUPwaW8QoGoijkDJtAz1ki91wMSUuDl2fu+5zQ+tBggaspcdi47+pxoJYGetXwbqhKNHxXoS7Tj&#10;EKT0hqfMMX0MEuixKk+YhEAXuBDqzU/kqyc6LdD588DHG9GzlvJS7d3vCS7Qq1f1TaDbk+f6yBgk&#10;W9ZKFSK67aevJDdsfSPQE5ZvQeS8ZfC171v2mPoAF+gaDeLmVr0R6ESCdR0K5i2COdwHNQFjYI36&#10;FtYMD5hLfWFaoJMknCMVLYR6/0PSl31aCrxh8x/bf9KX9qMfC0uxXaIPl+tO52IJgGmmGtbYiVIi&#10;fMDS6AzlaNhCvoGlrEsa3YVjba7WwWqNQeiMZnye1Ym8qDzUa75kz175ajXOM4bL+CnhCRiXs5Mn&#10;uOXE9FDhy5zd8MrahjmhoahXfy5zvs5ByfwitQYp5hP4+8Ud4LX8O7dAIPg49P+lwJ+4dbIZO6Ym&#10;8uS5rBRzEST3mnIDsWtJCU4dP8DLtV8jeS4j0gQCwUd49IKLdKracOnWrzh96igOrq1G27RESaZT&#10;r3T2OWAyPV8qM99SHIE9lpk4dZR6pD/GtWcvP1pl4hqDyrk3//ALSvcdRbGQ6ALBsIOL8wMnUdSx&#10;H0n1qxAyey4MlDgvKZOX5HKUT+Xy3JCdDV1kmCS+XVSu3UfhDZ1ejUULZ+CH68fYe9I9xuAr1y6H&#10;EOgCgUAgGPJQ+Xa8voP9l84jcXmLrPjpDknttIZtCIhPhpdX3xKfspBQYoTmldgFuvOlzvsKlamP&#10;mbUEfkpF7xOi9Hu+PgjLL0Pmup1coMvtyxnS1uxA1somLMmMQY3qS9kvcWu1Y1CtHYsolScX4rLH&#10;9gG8GEalN5Zqx4ky7gKX4RDoGepJfI7Jzb0PwWWwSonYeSZkbpAR6OwZkVq3BYaouN6VcH9Pnu9+&#10;bx+uIGX5dsTVrHsj0CPmVsGbPz/dIdC9odDpkbi0vptAX4/8+YthCvVBjWKUJPRIKOrH8lLe1pjv&#10;eGLXNEeD6sV6Se5RWtbFok/wEeyLF8wzVLBFfCtdHyHRew+dB83fJYZuafQB+vuN9s0+rcnfw1Sp&#10;ZcdGaXR2fHLH7hQG1Fj0mFpViVE5BxCUbIFFP9Hl6XOzYSJ0aSvwZc4eWSk9lBjFzsEvfT0WBuld&#10;Mk516lEo1AZh9rrTXP7JvXMLBIKPQ/cOJal+PLgJbeUx7pXnlDrPNqKlOBKHNtfj8u3buPb8P1Gu&#10;XSDoK45+6S/+4/3SL9z8ASd2bceupWVoLYvlC1bo3hsokd6UR6XdqUd6FBfpZ88cZ8f55KOJ9Ot0&#10;Tg+eYcWF6yjaexQlMgJOIBAMPbg4P3QKxbsPIW3NJoTOnc+lOfU5l5XkclDinCgshD4uBhoXlmv3&#10;8fOGQuWL/Lx0HDrQipf//MbelQZ/6rwrQqALBAKBYMhD8vyff25j5b6jSFrRM4HOy5CvbUdIXhk8&#10;PfrYc1gWX57cNiZnSAK9F73C+8TaHXyBgC4iCl5evUyf+/qxc/BCaE4xO35J8snuy0lIoGeubkFl&#10;YcZHBPrXMGvHIlHtAY9eCHSVwheLteN4L3W57QsEzuIQ6Gnqyb0T6EoFYudWywp0ej7Qgpewwgp4&#10;0/3qRKKb0u3eXh4wRMdxeU5p9ve27xLakbKi6X2Bzit4uFGgVzXIC/Qwn7fPD5KzjmSuQ9bqvoY1&#10;YgKsOV4wzVDCtEArSVVeetoVsk/wUezS17RQD2vypLfXxn4/uY33JPowutb2hQmm2RpY4wc6jW7f&#10;d8h4WEpd0xvdVK2DyZKMSUXt+D69CXODA9HgglT1W8bwNHtGbCm+zunAmOwOWSk9lBiV0wlV2ios&#10;NSpQy85N/rx7yhj+TJ0SGoc1HZcg+p8LBM4jJanu4nJbLajUcmNu8Hviy1VQL3VKonYsyMPJw3ve&#10;9HIm8ScnzwQCQe+gBSlSv/R/eNr77JmjOLDOjJ1zsyWRTu0ZCkJl71N3I4n0QLSUROLA6iqcPX+a&#10;He8LSaRTefpu53KDPR/O/vUIS05eQGGnSKELBEOa/ce5OC/ZfQgZm7YjYuFSLs45zvQ5nzIN/kXF&#10;MKQkQ2vUu0ycK9R+8PTxQHRMGNautuLJo5tcnA/F/8cQAl0gEAgEQx7qf/742a+Yvm0Pkld+uny7&#10;g6yNnYiatgBeHpNlBU5fobLp+ug4ZFAp5X4W6JkbdiOyYjZPj3sz5I7vU1Ci1T8uCekrm6VzkNlP&#10;b0ijxQuM2RXFqFV9ODFF6fE89URMclKgO8prz9J8IxLoApdB8tzKiFV79kqgK3VaxC+08XtT7r6g&#10;1ggp1nXQBIX0eNELyXP6s4HJmUip2eRGec6Oj92zqStJoL8t4R4xb5l7BbpW1zOB3h0u1Bkk+JT0&#10;DGCET4AlwxPmqQqYluhRbTMOr5TyYIWk6jIDrLleUpWAfpToZodEJ+SObahC50O90Yu8YQsaB5ti&#10;tDTf5cbC3TjS6OmTYVqok9Locsf8SQyoteqQMseMMdmdyI3MQb0Lk+cElThfEOSPyZlbh0X6nPgi&#10;dy/0KTZYDd+hRiPfEqfnjIFZ+RVmJ+XhyHn6gksIdIHAGSh5/urFLVxqsqKJ+hXnhcgKL1fAS0jn&#10;h+DAWjMu/fKLJMsefboPskAg6AO0OOXxC1x7+ordc//i4k8/4tjObeg0z+D3JYl0WtgyEKl0vqAm&#10;OwCtpVE4uKkW569ewnUq607Sv5tIp1Lu1A992oETPIkuK+YEAsHghcT5wVMo23ccmRu3IXJxFfzL&#10;yqXEubN9zkm2p6dBGxIoiXMXlGtXa5W8XLveoMHCyhm4cf0oe0d6wP/fgqrHyr1DDXaEQBcIBALB&#10;kAe4g1t/3UQmCZ4e9D93kLmhkydCfRW+Uo9iGYnTFyhJqg4MRkrtZpeUPu8pJOJS66kcdCw8e1MO&#10;mkFl7dWBQUgyrebJWLn99IXU9btRNq8Stcov+Je2cl/mrmD/vlz9LSb3UqAXaia+SQ3LbV8gcAaH&#10;QI9UOS/Qqa+5JjAQSctWfFRy03+LnV0FhUYtSfSPPJdIynt5eyIwNQtpy5vcKs8l2pG2qgXxdRu5&#10;QI+v34jQ8pl2gS5/jH2Bzk9Dz6Bly5FidlKgd4fkIok+KvfuPxbWyO9gyfSAeaZakncOySpkunuw&#10;jy/1za5xlB+Xu06uhES9zi7RKYU+3K4tnZM1AKa5GinhT+dM4zoQIp3S6LTv8AkwT1FKY03XXO64&#10;P4DFpMaCqgyePg+NX4oa3Xj2zHVV33OpdDttMzqxEl/mdsrK6KHI57n7EZBYhXotyfO+3Vc17Per&#10;FKMxP38mfv/zNn+3lnvnFggE70PJ85fPf8bptZU8dc4lmozk6jO8ZHsAdsxIwYl97Txpeu2Z6HUu&#10;EAwEJNJv/A1cufsHTp88ggPUK70iDk30DKB+6e56DnyEpvwQLvLbp6fg8NYGXLr9O66zZwQX6fbq&#10;FLwfOvt56/WfUdh5RJRyFwiGCGX7j/Ny7fSZva0F0VVmBJRPga6ouOfinBLnBPvZkJUJXXiIJL5d&#10;JM79lL7wVfggJzsFR4+04dVLeke6L/vuNJQQAl0gEAgEQxpH//MDl89zyZO2Sk78yEPCKWnZSi5p&#10;SHDJSZy+QOXPVQZ/JC6pR8Y61yW4PwUlXGPmVMHXj9Lnzi8MIHHlyz6jps7/YFq2r6Rs6EThEos9&#10;gS7/pW8D+/czNBOgVPg6LywZaWoPvh0h0AWuQBLoY+Gv8Ha+Lz97FmiDQpBcvfoToptaS+xAzMzF&#10;UAcEsGeIJxfpdE/yUu2UOGfbooUxfkolQnOLkb6iqd+eL2mrWpFYv1kS6HUbEFxY7laBrg+P4IsO&#10;3hfoS2AK9+25QO8KT6Xb+6YHjIMt+jtYin1gWqADpWB5YtpJ+SfoASR82diaZ6pgCx0vjb+7ZS9J&#10;XUc59+Eo0QmLESb2aSn1gS3kG2lcCbnxcCd0Lanag2EsrFmeMC2130vdj1cGU7UeNnYeUTProEzZ&#10;gCVGBer6XI68K2N4KfiKsDiMz9mJ0cOgdLuDL3L3ITR+Ppar/1fmvJ2jRjMaSxRfY+EsC16/lno4&#10;y713CwSCdwHu4eWLn3FqTSW25wTykspyYquv0Hab2Pb3LJuK81cuvpViXYSeQCDof6i8O68Ccf8x&#10;Lvx4E0caV2HHnCx+31KfdF4xotv97G6orHsz2+/OOdk4sbsJV+7+yZ4Zr948M6iU++UHT2E7exkF&#10;nYdlZZ1AIBgk8MT5SS7OcxvbEV1lgnHqdJ44p3Lt70lyOUiaU+K8jH1m50AXEQqtC/uckzj38fNC&#10;VHQoNqyvwcP717g4p+o8cu9OQw0h0AUCgUAwpCGBTqw+cAypK1uRJiN9PgT19E6t3wpDdDwvty4n&#10;cfoCCSCFWo2YmYv6IR0qwZPuK5sQmJwBL6/ep8+NCam8ZHP6Gvck5ymBXrisFjbjBNSo5VNmVH59&#10;oXY8ApW9EJaMMKUX344Q6AJXQPNomXYcNAof5+ejJ/UoT0Ba/Tb+3JG7J95ALQ7W7eTVH4Iz86A2&#10;BvHnCLVj8PXzhVKvhz4qDjGzlvA/T3/2vW24kcT6LW8FevGUARHoBXMrYQ7xYM+OPpQsJuHnkI2U&#10;oA0cD2vaZJinK2FaopN6pfexp7OgGySwKTW9QAtrzHfSQob+kOiURKc+3XRN5Y5rqGNfnMD7zbM5&#10;TBK7ZqDS6Ox+qqF7Km4iTHM00j1Exyd33HZsZg3KFubDJ3s7poZEoV794YV1vYFk/DJ/L2jSVw+b&#10;0u0ELQSgBQH50QVszKiaj/z59xjNV6hSj0dD7Wb+ZZcQ6ALBp+Hy/DnJ8/nYnh3opsRphNTjuCgc&#10;BzfacOXOH1yEiV7nAsHggvdKt0vqy7/dxonOZuypnobWshhszzS4bXHNBykI44tuKJW+a0kJTh3Z&#10;g6v3H+H6i9f8+UGl3I/duYfZh0/zJLqsuBMIBAMK9TgncZ7XshMJtnoETpvhnDgnKqZJAj03D/rY&#10;KGj9tS4T5yq2DU9vDxiNeixZMgu//XqO/38EVeYZTv8vIQS6QCAQCIY0YH8p01/MlW37kLS8RVb4&#10;fJA17chc1wFjajY8J38vK3H6Ak9/+3ojvHgaMjfukT8GF0NJ1MRlK6DQaLmAkjuuj/Gm7/CSBrem&#10;WkmgF1hWwhLu/UEJVqsdA5N2LCJUnvBwUliS4NQofLnwFAJd4ApqGXO130DVm4oIHpPhn5CG9FUt&#10;PWznIEl0ej4lm9ciZvYSRJTPRtTUebyPOt/OenZ/0iIX2d93D7SoJnn5dkmg165HUH6JWwW6ISLy&#10;fYFu24CiGTNg82f3tsZFJZ5JNNrLUNfo2M/R38JS4APTfK0kALkElJd/gl7AZa8O1sRJ9rLjrpOl&#10;sqjYPAkYB/N01fC+lrwNQQAsU5WwRX0rje1ApNEJSqMHjoOl5ON96M0mHZZWhyC4YiXSIktQT6XW&#10;XXVfE2xbtYy0uIphVbqdIIH+bXYLpkQku0agq7+ERf8tdu45af/SS/69WyAQSPCy7c9+xqnV7pTn&#10;Ul/l9mnJOHlgh1Sy/elLWXknEAgGCY+e22X6v7h67xFOnziI/SsWo608VuqTTiK9P/ukU+sHSqTn&#10;h2Df8oU4d/Es7+F+nT1LbrJnSuONX1Gy9xiKZeSdQCAYGHji/MBJ5DbZxfl0uzh3tsc5F+e5XJzr&#10;XCjOqVw7lWpXKH0xpaIAx450sPeiP4adOHcgBLpAIBAIhjRUvv2vRz+jdPMuJK3oef9zB1mb9iKs&#10;eBovleyOPugkzoKyCth+OmX371LsifEIdj69KklPJaLZ7wVn5EkpWTfKudR1HcirW4/qOD1qlJQ2&#10;k/kyl0Fl3JNUk/F9LxLoSsZ0zbc8yS63bYHAGWgeTdF8BwWbV9RjX27efQhaoBOY2bvnABfpG3bz&#10;RTgEr2bRz+L8Le1IXdkk9UG3rUVAagZfdCN3zn2FBLoxIQXJppVINq/uJtBnwuY/3rWizQEvRc22&#10;S/IxdIKUSp/VpVf6J9K0gh5CInupAdaUyXbR2+06uBrah9Eu0fl1lDmm4QKVdV+khyXXm53zWHuV&#10;BZkxcTc05uzTku4B02K9dM27HKep2gCzSY+cOdMRk7gYVt0Edk+7snT71zzNPiskDN9nN2N09i5Z&#10;ET1U+SpnN77P3Ia5wUGodcG4WZRfwhymxt3bVHJxeJRbFAjcBd0jL5/99Faeu0OG5YeiKceIjsoC&#10;qWQ7lYh+/Le8sBMIBIMTds9S4vvagyc4d/EcDm6sQfvURDTlBkml3Qv6sU86ifQsf7RPScShzfW4&#10;/OsvuPH8X1x59AKW05dEP3SBYIB50+OckdfcgThrHYJmzIK+qMS5Uu0OSJzHUOJcB43az2XiXKHy&#10;4/I8NTUOLc1r8fTJj+y96PGwrl4lBLpAIBAIhjTAXVz65RoK1u9E8krnBTrvFz5rMS+R3JvE9qcg&#10;ga6PSUDa8sYeJk97D20/bWUz9OFRvZJadP5KjRaJy1ZJ6VaZfbiK1LU7kbt8C5amhKFW+eHk1HLt&#10;GBSoJ3Jh6Yy0dPz5LPUk1AuBLnABJNDz1d/D1z635OadLLQwxcsToQUVyOyPhTRupR1pq5qRUL8J&#10;sdY18E9Oc6tAp1YUXJz3p0DvimqMVAo7YBys8RNhmarg0peLwG4yUNALSGRX+cOS6yWl0N2dlqZr&#10;GTge5tnq4VvO3QGNLZujdK62uO/enn/3MXE3dE2VY3jJfvM8DS/h71i8QOnzBctiEZNdhUUGP9Tx&#10;0u0y2+glVLrd5D8ZutQ6jMoZXulz4suc3ZicsYn3jK/V9KGdhR2LchQsCeF4zr8EEwJdIPgQPHne&#10;tWy7G+Q5ibWmvCDsrZ2HS7d+w/UX/+HqQ1GyXSAYsnCRDvbzU1y4eUPqkz4zjZdXpz7ptGBG7lng&#10;Dhpzg9CYY8TOuTk4sbcVN+4/xLG/nmL64dMo2ntUVuwJBAL3QeLc0eM8v2UX4i21CJo+E4aSUugZ&#10;sqK8O+VTpcR5Kfs5Oxu6iLC3pdoJGRnuLH4qCpx5IyIyGPV1S3Hn9nn2TkR9zv9i70e333tfGk4I&#10;gS4QCASCIQ0J9EOXLyB7TTtSeiHQqUw5lQhWBwTy9LWcyOkLXl6e0ASH8n7G7iyJTlBqPNm0Bn5a&#10;Kt/uvNSiPs0hWQXI4Ntyr+xPW7MDWatbUJmTjFrF57Jf5hIkv6dpvoNaIaXK5Y77Q1DZ9yilp0ig&#10;C1wCzaMU1SQ+D51azEG9y9n8jayY3W+tHNxLKxIbtvSPQE/JfE+gx9dsREl5OWrVX7q/9LcDkoB2&#10;uWuN+haWEj9egpySvpzu8lLQc+xpcJ6W7ieJbg2fANM8e3l+uWMaLpCoZudoqjLAUuQDW8g3/dN3&#10;vju0P5L3weNhrlC8rQBgNiJvylTMYu9I/H6W+91eMwbLNZ8jM6YYo3M7MTp7p6yEHspQP3eftDWw&#10;6lyzmMiiGIU1pbl4/uxX9m79h+w7t0Aw0qEviV/98ytOr6l0W9l2SqbS5+GtDbjy5z1eallWyAkE&#10;gqEHL+1OfdL/xsWfbuJI0xp0VBaiOT8YjdkB/Vfane2H+qM3F4Zhr3UmLly5gM3Xf0bRgZOygk8g&#10;ELiH8oOOHucdiLf3OKe0ec8T51PhP2Ua/EtKYcjM5OJco1dDo6VS7a4R5yqNAl4+nggw6jBvbgWu&#10;XTkMvLb3OX89fFPnXRECXSAQCARDGhLoW46dRPKKVqStkpM9n6KdC2NdZAwXyHIipy+QXFJqtYir&#10;tPC0u/wxuAYS9JHls+z7dTJN7+MLP6WC91fO3Ng/5ebTNuzBrNIi1Pn+j+yXuQT1QV+sHQd/hbfT&#10;fdDpzxuV3ljCfp/6V8ttXyDoKbSYI1LpgclOzkP+DNDpEb/AIpVfl7sfhhC8D/qKRsSaV0EfHetW&#10;gR6aWyLJ83cE+iaUlRSjXvGZ7HVyKyQCSfCSDAz/FpZ8b3uq1ihJQTmJKfg0JFOpdzdPotvHWG78&#10;XYVqNGyR38K0UC8louWOaTjBRboR5gVaWJIn2cfAzWMsB11Xw1hY8th9Y9ZiVmUqZkVGo4ZdjxoX&#10;L4Zp0HyBWSEhmJy5jSe15QT0UGc0O6/QZBN/T6phyI1DzxkDs2IU9tfNx7+vpHdruXdugWAkwysz&#10;vLqLC9vN2J7jPnneUhqN43uacO3xc9HvXCAYrjx6gWtP/sH1Z//i8u93cXTnVuxaVMyT4bxfeb+J&#10;9FC+v51TErBvSwOWHDiMggOnULLvuKzsEwgEroES5+UHTiKvaecbce5Uj3NKm1dMg39hEfSpqdCF&#10;h0CjU7qsxzlB5dopca5U+aK8LA+HDjbb34f+Al6PrP9XEAJdIBAIBEMaSsnU7z+CuIZmWdnTEzLX&#10;74YxJUNKoLu8Dzr1FfdE1IxKN/dBb0fGul08sdmbJD0tHvCPTUBa/TakU/9z2X30HZ5utxO/fh/K&#10;2ItfveJ/Zb7MfQt9ORyp9HRaoPM+6ApfTNV8y3upy21bIOgJtADDpB2LIKWX0wLdy8sL6oAgJFWv&#10;5lUi5O6LoUU7Ule1IM6yCtqQUOcX6/QEKnvPthteWIEUyxokmwaJQO+KagxqKM0bPB7WLE+YFtgT&#10;zY50rZzIFHwY6i3PJbo9ie7ulDQl0eMnwrTk/d7cwxZ+nmyMyxWwhU9ADQnt/k6js31SWtqU4Yv5&#10;qaEwq79xeSsGKt1e7e8BQ1o9Ps/ZKyufhzpjeKK+A1lx5ezvJxq/vr3jWNk9Z/L7HD8f3cbeq+/j&#10;v2Hcw1Ag6A1SVYY7uNxai6aCUPfI85xAtE9PxukTh3D9yT+4JvqdCwQjAi7SX7zm7RqO7W5CR2UB&#10;GnMD0ZRLPdL7R6Q3sn215QejqbIIi7ZsRMmBkygWaXSBwLXwHucn7T3Od77pca4rKu5Z4tzR25zk&#10;OfU3j4+DNthoL9PuJyvBewOJcz+lL/wUPkhJjkVz42o8fkQtnh6OOHHuQAh0gUAgEAxZ8N8dvHr5&#10;O5Z2HOiVQKckJWddByJKp/Myy94uF+h+8PSYhNCCKcikvuJsf3LH0lcy1uxA2oomaMMiedl4ueP4&#10;IOycSaCHFU5FlovT5w5ZTj9ThYDkFW2IrW9BeE0LjPW7kTN1Lmp1X3/0C3QqnZ2mnvymr7nsOXwA&#10;ku7Zqu95L3W5bQsEPYHS53O0E6BV+MLTWYHO7i1dRAx/1pB87n6PDEnYucRZ1kAb6maBXjTlHYGe&#10;ZF6DFPNqzM5OQa3yC9lr1e+QSKc0r0OkU2lwh6wUIt05+OKDrhLdjc9te1lxa9pkmJYZRk4FAVqo&#10;YDXCVKmDJcMDNv1YKY3enyKdXVeLht0v2nEul+c12tGoY9vMiC3DmNw9dtEsL6GHMnReY9lnaWQ6&#10;O1/qf963e8WqHg2T+mvcuXYIwCPZd26BYKTy+vVdLtBvdK4BlTtuzAt5Tz71CXsp5Y4FeTh7/pTU&#10;7/zRC1nRJhAIhi/Xnr7iLRsu/XYbx3c3YsfsDDTlBXOZ3h8ivYnto5XEfVksamsWY9qufSg+eBol&#10;+0UaXSDoC917nMfZe5xT4vyTPc4dwpw+6c9SmfaoCGgDdFKJdheKc8JXQe0HfRAVFYI1q6344+4l&#10;9g70F0fuHWmkIAS6QCAQCIYseH0HT57ewoK2fUhY3iIverrhkOb0c+rKFiQvb0JCfSPCZlfBV612&#10;iwzy8vREQGIa0pZvd1tvcUq2JlWvgiogkCde5Y7jQ9A5K9i5x86pckmZ+Yw1bchkpK9q433pE1e0&#10;IrquFaG2FgRbmxHECLQ0w1DbgQy2T6txImrU9AWw/Be7lECv0HwHPzrWbsf+KSgtHK3y5OlhUcZd&#10;0FtoAUYpm4O0yMbZXvzeXp4wJqUjYwOVbx8eAp2eNwnWdVD6+7tPoDNiZixCCtuPI31OAj3VtBJz&#10;MxMGj0An7DLWpmafAWNhTZ0E02y1JCypvLsQ6T3HzGDj1S/l3Ol6sX1YsjwlsTySrhNfMBAA8xQp&#10;jc7H2Z1j3R03LZCoV3+B6aERmJDVgq9ydsnK5+HA6OwOjM1ux+zgQLtAlx+PnmJRfYXlkT7488fj&#10;AB7IvnMLBCOR1//dYffEn/j1ZBPaymKwnRKhMuKp1xSEoTHLgF2LinDh5g27PH8uK9cEAsEIgN3/&#10;XKQ/fYmLP/+Ew9tWSCKdJ9KD5J8jLqYlPxitBaFYv6AI85oauUQXaXSBoBfsP46KQ6e79Div63mP&#10;c0dv87Jy+OcXwJCcCB2lzUl0u7C/uQOFyg9ePh4IDQvEksWz8NuvZ+3i/B5/F5J7RxpJCIEuEAgE&#10;giELCfS793/CzMZOJH5CoDvEOUnzpIZGxNVsQZRpPcKXrUV49XqELVoOhSEA7ujn6+3tDW1QMJIt&#10;63jaXe74+gr1Vo6dtZiLcGfPgQS/JiQMqTUbe11imifNSZqzz6QVrYhf3oqo2haE2poRSMLcDslz&#10;B/61O5C8sA7VYX6oUY2S/VKXIPG9RDseWoWP0/LSy4+9WCp9eXqYUsRy2xcIPgW1AMhQT+ILMpxa&#10;xEEVLXx9EJZX6rZ7fyDIWLcTSTWb4KfRuFWg06KeVNu7Aj19WQMqUyNRq/zwM2PAIOFLUpBkuv9Y&#10;WNI9YJ6lkuTsSCkT7gpIZPdXEt0ujS0lfuwaGeWPZ7hC40zzcqGez9U3afTuYzREqNOMwrIAL6jT&#10;V2NUzh5Z8TxcGJ3Tge+ztmOJwYOXrJcbD2cw+X6O5pIoPL1HKZN7su/cAsGIg8vze/jjSid2TInD&#10;9hzXyisqA9/IttlpnYkLP5A8f42rD4U8FwgEDBLpvEf6K1z68SYOb21A25R4NGYFoNkNLSTeoyAM&#10;bbmB2F6RANOqGi4Aiw6ekpeEAoHgPcpJnLPP7K0tUo/z6Y4e5x8R5460OYnzwmIYMtKhj4l8mzan&#10;3uYu6m/ugMq1e/t6Qm9QY/bsMlw4t48vHOSM0HLtcgiBLhAIBIIhC3AX13+7jtKNu5C0Ql6gkzRP&#10;W9WKpPrtkjQ3b+DSPKxqjSTPuUBfh3D2z9rIGPi4SQbRZ/ySBpckvOXI3LgHkeWz4Es91+376ylU&#10;YtoQm4jMdSTPe56Q7VqenaR5bH0rIutaEGJrhtHyvjDvjtHWxq7HVlTGBqHuI/2MaxhWRqTKy2mB&#10;TpD0LFJP5AKdtiW3D4HgQ9ACDgsjRumBSU6Wbye57KtSIXb20mHS/1yCBHpK3Vb4abRuWXTkeGbG&#10;zlmG1C4J9ETLWmQusaEq1oAaVd+lkVshmU490gPGwZI6Gea5GknQih7pPYMnwgNgyeuHnuj2BQ/m&#10;acqRJ9EJe7sBc4U9ja5i89ad4+0GqBQ8tYOJT5iNr3I7h23pdgdf5exGUFotzPrvUeuCBHq11/9i&#10;35JCvPrnF7x+/afsO7dAMNIA7uPRb6exe3YatmcHykum3kLJ8xwj9i1fiCt3/8C15//JSzSBQDDC&#10;eY5rz15xmX7u0nnsX7UULewZ0khp9AL3i/SWvBCeRl9RNRMzOnbzNHrpPlHSXSCQ402p9gMnkLW1&#10;BTHVFhgrpko9zkvLZaS5vae5Q5zTn8nKgj4uhqfNtSS51X4ul+aESqOAr9IHSpUfCvIzsH9/I169&#10;vM3ffUTi/H2EQBcIBALBkIUE+g+3b6Bs01uB3r1Ee3ytJM0jqtdxaf6OOO8i0Om/B2Tk87Soj5/r&#10;+6BTX/LoaQulFKr9+FwJCfSwwinw8fZ6I596BPuz3ux3gjLzPin3u/czJ2keUyf1MydpTmXZOTKy&#10;/EP41+/C9PQE1Cs/LtCJHM2kXgl06oMulXEfx8vBy+1DIPgQ1IN/oXY8jOx/MJztf07VJxQ6PZKt&#10;G4aXQGfnkrhkOXxV7ml7QdtU6vWIX2BCinVtF4G+DlmLzFgWqUKN8suhIfko4UwiPcjeI71SK0l0&#10;0SP90zgkeo6XJLndKtHZNQoZD/Ncdn2sbL9yxzOcobnIztu0UAdrugdq9DQmbh5zF1HDntH16lEo&#10;jkjDN9ntw7p0u4Mvc3YjOWEWanTjXdJHfunk/xfnG23svfoJe78WX5oJBJQ8f/rXJRysKsbWzABZ&#10;sdRbpOS5EftJnt+5i2vP/pWRZgKBQNCFR89x/W/g6v3HOHPmODotM9CcH8JLu7u7P3pLQSjaco3Y&#10;OCcX8xu3o4j3RT8hKxAFgpFI2QFJmpd0HkHWpiZELTXBOHU69CTO3yvVTsJ8qiTM6Z9JmufkQB8X&#10;C11IILT+WqmvOe9t7npxTolz6nGuVPkiLSUOuzu24MH9G1ycA3/IvhMJhEAXCAQCwRCGBPrN32+g&#10;fPMuJK1sfadEe6x1E5fiJMhlpXk3IswbEDS1UpLPTia4ewKJtOD0HKSvakH6Gtf3Qc/a1InAzAJ4&#10;Tv5edv8fgtLq1Nc5onSGbIlpR2l2+kx1SPP6FoTVNL/Tz9wZad4V/7oOFJeUolY35qNfApPEnKP5&#10;hpfPdrYPOv15pcIXlZrxfDty2xcIPgSVb5+hmQA/dp84PffYfa8Li0TaymZkrHX9fe8OHPd8Jt33&#10;9rYM7/2ZtTsRN88EX6WKPUPcI9BV/v6IrzS/K9Ct65C9oArmME/UGNj1oWSygj03hoLo4z2m2Wfg&#10;eFiyPWFaoJUkuijt/nHY+Jiq/GFNmSyNoVsl+hhYo77lEnnEXhdHb/RyBWyh30iLP9xZQt8FUN/z&#10;yiA9fDM3c7EsJ5yHG6NyOlEQkYZ6LVXi6Nv1sapHM77CDwc2sffqp7Lv2wLBSILKlr588QtOrpor&#10;Jc9dKKe4PM82Yv+KRbh85y6uC3kuEAicgJd1f/4vrvx5H8f3NKNjfi7vje72/ujsOdjK9rFtSiKW&#10;rV2O0v0nUCL6ogtGOJQ2J4o6DiBzUyMiFi5BQPlU6EtKu4nzLqXZKW1eXAJDbi70CXFcmmsMGill&#10;rrGXaZcR367Ax48qB3ojITEaG9bV4tEDEueOPufy70QCCSHQBQKBQDBkoRVy13+/iZLNu5GwvBkJ&#10;ddsQbdkoK8g/RYR5I0Ln23haVEqhy4ud3kJljrXUZ3z5dreItN4LdB/4KhWImjLnHYHOpTmDpHni&#10;cqk8OyXNSXrL9TPvLQG17ciYa4LFOAk16g+XZCbxvVQ7DoFKb3jKnMfHIOlJv0Nl3Kkct9z2BYIP&#10;QXMvn80dagUgN78+Bt33QWnZ7J5qdcvCGVfhkOb0c+rKVr5QJoHd9/ENtGDmfWKX70D4rGVuFeia&#10;wEAkLLR0E+jrkTNnIWxh38Ja6AVLvjcsCd/DFvKNJPlI9tl7Wg9KSP7S8ZHwDx4Pc6EPTIt0qLYa&#10;RRr9Y5gDYFpqgC2ZXWu3S/TRsCZNgmmZtF/Z4xnu0FykhQsLtLAmT5LurUF6X1H5crPhewSnmPFl&#10;7vDue96VMbm7MS04BA3qz2XHxRnMilFYFemJ2xd2svfqh7Lv2wLBSOH16z/w78vbuNBoQWNeMBfe&#10;sjKpF7yV547k+StZQSYQCASf4trjv7lIv3TrFg5tof7oCWjM8nd7Gr01PwQtRZGw1S5F+b5jKD4g&#10;+qILRh7lB06i/NApFO7ch7Q1mxA+byH8y8phIHHuKNX+pp/5dOnngkIYMjMlaR4aJJVnJ1nuoJvs&#10;diUKNX3v64W4uAjU1izGrz+d4tKcFgyKcu09Qwh0gUAgEAw58Pou+8ueVsr9hd3H9yPOvB4Rpg0f&#10;LtHeE6rXI3zxcmij43hJczmp0xdICPmp1Ui2rOP9g7sLrL7iCoGeua6DizQqz07SnJLmJM0pad6X&#10;lPnHCLS1Ity8DYvDVahTjZL9cpdwlHHPVE/qlcj0Yr8TofTivdSFRBf0FCr5b9KORYzKEx4y8+qj&#10;8PYI3oieXjloy7fT/U6fKSvbEFffiijekqEZIXRv0j3/Idh9ayic+eY83zv3PkLjZoiMRuKSWqRY&#10;1rwR6Am2DciZXYla5SiYy/2wrD6Il/im/uLmMj9Y0iZLqVmHpHa3bO0LdGwMa/gEWIp8YaoygPff&#10;FiJdHhK6S/Swxnzn3ooDJIvZ9qls/IjvV08pfHb+lkJv3iPepmRjIzdmA0QNu1Z12tFIiZ2KL3P2&#10;DPu+5w4oZa/OWI/FRiXqNF/Ijo0zVPt8hm05QXh85wz/Mk3uvVsgGAnQl8j0/5Y/HtyEpsIwNOaF&#10;yAqkXlHQvWy7kOcCgaDvXHv6D+fshdPYWzsXzfnBaMoNdqtIb8kPRSvbz4rqWZi+ay8v6S4nGQWC&#10;YcX+47xMe/nBUyho70RSw2qEzV/Ik+Z6SpvzXub20uxEURH8M7OgT06CLjqyW09zBdxRnr0raoZS&#10;rYCXrxeMgQaYzQvww41j7D3nAX/XEeLcOYRAFwgEAsGQgRLnvLzM67v48cZxVC2egdj0VITMsyCM&#10;BLicGO8x6xBhWg//7GJ4e3nKSp2+QKXSfRR+iJmx0C0yrc8CvWIOklfvRHQdlWd3rzR/lxYYa9ox&#10;Kz0BteqvJHkh8wUvQaW0p2i+hVcvSmlT73SVny/mar4RfdAFPYbS54s046FV+Dpfvp3dW34qFRKX&#10;rULm+l2y9+1A4RDniStaEcnu+VAbuxfpfrff8x+/71sQVNMK/9xydp7ua3lhiIxF4pK6NwI9ybQa&#10;Sda1qKgoQ63fKJ6MfZMSJtFnM3LpRz3GzVMUsKZOhi1onHQtHUJ9MMp0Ss2zT2vUd3xRAJUrl8Ql&#10;o7vQHOlYjFIqOvpb6Xp2H0tXQfOFfZrLfKXqAHLHMlKw31/mWWrY2BwdPItSxqBB/RnKIpIwIXsH&#10;vsoe/n3PHXyR24nw5CpYDd/zBL78+PScKo//F3sWFuD1v/fFl2mCEQ31//zr+gHsnJaI7TmuK4fc&#10;VBCKppxAnjynsu1CngsEApdC/dFfvMaVe49worMFO2ams2eOEU2uXATUDakveiA2zCvA7NZWFB46&#10;g5L9x+XFo0AwhCFpTj3OSaDnt+5CnLUewXPmSeK8qAT+JeWMMvhnZ8OQksJ7mWvDQ6ANDpD6mVO6&#10;nKS5m8uzd0Whou9nvBFg1GPp0tm4cungm/cc8a7fO4RAFwgEAsGgR0qcP8R///2OH64fg6l6HkLC&#10;AuHj4wF1UBDCF9gQbtogI8WdI8K6GUEV8+FLQsjVUoi250N90HOlBPqa9vekVl/gAj0jv1cC3U+p&#10;QGDxLATXtnNB1j/i/C3GmjYUTp0tpcw/0Qd9oXY8jEofeDqZQif5SWSoJ6FeCHRBD6FqBVM1376Z&#10;P3Jz60OQBNaHRyCldvM77REGEkeZdirRHlHb3MuFMnaBnlPGztMNz0qGl5cXApPSkVy9AsnmtwI9&#10;xbwaMwuzUaP8Erag8W/7iDtkn730NGeZAabFOlgqFLAmfA9r4Hjpug7GMu8kJEkI69hn/ESYp6vY&#10;8bNzGenyVg6S6LM1sIWw6+nO60jXwzgOppnsWnSdYyMRR0n3xXpY0jzY+LCxGeB7qOFN3/ONvB+4&#10;nGgervxv7gEkxFSgQfMle2/q23WwasbA5PcZjq9ewN6zn8m+gwsEIwFaoP30r0vYtyjPxfI8jPcm&#10;3r98Ea7c+UP0PBcIBG7j2tOXuM64+NOP2L9yMVpKonjbCLel0dl229jzbfOsTMxtakKxkOiCYUQZ&#10;9Tc/dAolew4he2srYqptCJoxC/r8AujS0mBISoQ+KgJaSpYH6KGlPuZ6tSTJNf0rzB0oVH7w8vFE&#10;gFGHaVOLcPZMJ/59dZuLcwqjyb3/CHqGEOgCgUAgGNRIvVn+wNXLh2C1ViIo2B+0mo5W1akY/hER&#10;rhPolk0InWOCyt8Ib2/X9/X18vKENjQc6StbXN4PmQR6cHYxvDwmy+77g/j6wtfPF/qsUgTZBXp/&#10;Qwn0mKVrYQqajBpKoct8yUuQYK9jJKsm96qMuwf7nUCFN6q1Y/m25PYhEDhwzJFk9WRewUBuTn0M&#10;T08PhOaVcmmd4eIFM72BjiN1VRtvzcDFebf7sMfYJIGuS8qEjw97TrpFoHvy3vG8dLt5tSTQzWuQ&#10;Wr0SCzJipOeEagzMpX4f7lNN0o/+Gy/DTf2cdbDke8Ea/R1seipHPRhFul1M6r7mCXoqTf9mQYDc&#10;OY5UrEYpEW0c594kOtu2NeJbVC/Uf3iejSTsY2Ap9IEtgI39AJV0r9N8CZNhMgKTLfgid6+sZB6u&#10;UJn60bmdyItIxQrV/8iOjzNYlF+iLuAbXN29ir1ri/7ngpEJLdR+9eIXnFo9T5LnrpJNbDvUk7jT&#10;MgNX7v6Ja0KeDx0ePce1J/+85elLfv2o57Tz/Md/9+322LYe/y2/X4Ggr9Dcpfn6+DlOHd2LjsoC&#10;NGUb0ZTvvjR6a14wtk1NwqLNG1B86DRKZGSkQDBUoLR5xaFTKN65DxnrNiOycjECKqbCUFwKfUoK&#10;tIH+khh/B7ssJ2TEtrtRsf2SODf4azFjegkOHWyxi3Ppu3S5dx+BcwiBLhAIBIJBh9SDjsq138et&#10;X8+gvm4pwsIC4entwfu4qLXSi4Ka/ewfFoLweRaXCHTqgx5RtQa62GR4eXjIip2+4OXjBaVOj8TF&#10;dS5PpGZu3IPw4mk85c7Lxcvs/0NQyXp1fAaC6zvkhZmbMdraEGJpxNz0WNSqv5T9ktcBlXGv0HwL&#10;BTtu6msudz4fgiSoL6NU8x2WixS64BNQ+nyZdiwMSp9eCXS6r6JnLeH3ptw9259QyfbkFW2IqGnh&#10;iXO5+7DH2AW6Jj6NP2/kzr2veHl6IDgzX5LnXQX6suVYlBgkCXQSzbHfoZp6h39KbjpkutUI01ID&#10;L/FuSffgKXYuYGlbg6m8Ox0LCX7jOFhyPGGq1PHkNT8PufMbafBEtBHmcoXUm9udCyHYdbCmTLbv&#10;V0h0RxqdqiTYQr6R7p9+vHdqNF+hRjcWyfEzMTqX+p7Li+bhCvU/983cjAVBAajTfC47Rs5g8vsC&#10;a2MU+OuHg+yd+y/Zd3KBYDgj/T/nfVzrWInGnCA05YfKCiKnIXmeE4hdi4pw/sZ1LlJlZZfA/Tx6&#10;znjBufaY+PutyH76ipfUp8oADtlNpbCvPXuJK7d/x6Wff8KlX3/BxR9/wLnzJ3H2zDGcPXvcKc6c&#10;PopzF8/g0i/Sti799CNfUHHjb7B9sf3RPmnfJNnZsfBjIgFKx0jHyo75KsHPgc6FIXeeAkFX2Jyh&#10;eUVz7uAGK5rZs42qYcg+r1wASfTt5fFcohdREn2fSKILhhCO/uaHTvP+5ikr1iJiwSL4l5RCX1gM&#10;Q1YW9JHhkrCmZHkXeT2QqNix+Cp84McoK8vFoYPNePn3LfZe85AvDpR77xH0DiHQBQKBQDCoAP5k&#10;3MOTxzexZrUFiUnR8PH1gp/S570XBrVWAb3RgNBZVTw9LivFnSTCtgX+2SXw9vZ0fbKS0t6+Pogo&#10;mYbMDbtlRVdvoe1FTZnLXqAU8KZUqNz+PwCJPmVQKIKWbkBQTZu8NHMzgTXtyJ02T+rn+ZE+6JQK&#10;NmnHIkjpxRPlcufzMSi5Hq30gIVthwSp3D4EAoJ65VP5dj82b5wt3+7l7Q1NYBCSqlchY4D7n5M8&#10;p5Lt1Oe8z/KcsAt0dXQifLy9ZM+/r5BADy+ahtSaDVIK3SHQq+pRFaGQBDo9JwxjeRLZqYQ2CUAq&#10;jc4+TfM0sBT4wBoxQdoeiVh3ylhnITlJhExgx+kN0xJ7ElqkoSXYOJjZuPCxcpfEpe2yuWHJ85Lm&#10;mVjEYL+HAmCar4U1bmI/LkAZg3rNKJREpmNCTjtGZ3fISubhDCXuDSk1vP85LSaQH6eeU+3zv9ie&#10;H4b/Xt7Ga/FFm2AEAjzAnUu70Voa5drS7TmB2DEnE+dvXMP1F5AXXALXQmKZBPmbxLhdRJN8pv/+&#10;4Cnnyl8PcfGHazh37iRO7G/HsV3bcGjrchzcWIN9K5Zgj3UO9lhmYdeiYnQsyOcJ3o55uWifnoz2&#10;qYlon+Ycbex3dsxMfbutBXnYtaQMnba5fF976xfh4KYaHNpcj2MdW3FiXxvOnjqE85fP4/KdP3CF&#10;H/eTN+fIpXrX87OLdiHWBXLwefLoGU4e3I0ds6g3eqDrFgp1gyR6Y1kclq1tQOmBEyhhyMpKgWCQ&#10;wPubHzzJf85t3Ik4Wz1C5syHoZT6mxfDkJEJXUSY1MucyrLrBiZh3h2l2g++Cm8u0HOzU7F3zzY8&#10;eniTvdM8YojEuTsQAl0gEAgEgwKpz/kDPH/+C38ByMhI5GXavf28oP5QKRz277XsJSZk2kLXCXS2&#10;neCKeVBoNE6L6J7g6TEZ/olpyFy7w6V90DPX70L8/GVQaHXsuJ1LhdJ5+imVCCivHLAUekDtDsQu&#10;XY1l4UrUqEbJftHrgHqhp6kn8VSw02KToVD4YoZmAk+zy21fICCoV36i2sPpSgcE3efG5Ex2b7a6&#10;vF2DM1DZ9oTlrQgheS5z3/UKEui2ViiCI/niG7nz7ytcoJfORGrtxrcC3bIWGYttMBsnvm31oB4D&#10;a/Ik9CoZbE/SchlNvZ2pV3rsd1Ki2ZFK7zYnBgw6HnpeRU6AucIPJkrdC5nLrp30ac3ycK/EpfGn&#10;xRrlfs4t1hjuUFWEJXpY0ydLbRHcLNEbNF9gVkgoPDK34cucPbKCebjzRe4+RMTPw3L1Z7Jj5AzU&#10;/9ysGIU9C3PZ+/d9nsSVez8XCIYrvO/5Hxd53/Nt2YGyQqg3UPK8bVoSzp47ydPMVx8KsekWKFH+&#10;5B8pPU5p7mevuGgm6Xzx1m+4cPNHnD17Asc7tuLgBgv21s7BrsUlaJ+Zwa5PMtoq4nmP6JaiCDTn&#10;h6ApL4j3i27MNDD8pZ/ZtWzMkT6bcoPZn+kluWzbXbbVmB1g3w+D/Uz7bmZ/rqUonB9Ta3ks2qYk&#10;on1GOnbMzcEe8zTe0/rw1gac6GzB2TPHceGnX3Dx11v8fK/ee8DG4m9pHHiC/hUfGyHVBQQtsKBK&#10;BxduXsf+hgV8rrkrjU4SvZnNY9OqGpQcOIni/UKiCwYZ+4+j/OAplNP83HUAWZubEb3MAuP0WVKZ&#10;9rw8GBIToAsJlHqakzinEu3dv4seAJQaBS/VrmU/5+WmYXfHZjx+/BN/nxGVpNyLEOgCgUAgGHAc&#10;vVkunt+PadOKoKIVdX4+fEWd3ItDV9QqbwSVzXaZQKcy7mGLl0MVHOYWOeTl5QVNUAiSTatdUsZd&#10;6q/chtTVOxBn3gClMaRXx+3t6QFNdCKCzdsHJIUeaGtBcE0rpuTmoF758bKkJNDnaL+BSuHbq9La&#10;lEJPUU/m2xIpdIEcNC+WaMchQOHtfKUDqlzh442I0pnI2tQpe9/2Bzx5vpyS5y2uk+eEQ6AHRbhH&#10;oFOlDvYZNWXOuwl0y1oUzZkPq+Eb1GhGS9eKpGnAWJhnqiSZJyf5PgVJaJLoJEaX+cM8QwVb8iTY&#10;jF3Ku3eZGwMGyUl2PDXUHz3he5hnsXN2LAKQO6+RArt2tKDAmjhRKnsvN3augI29NWg8TLOpL30v&#10;59pwxGaEqVILa+g3br1X6tVfYHGAHxTpa0Zc33MHlLifkN2G0qh0Nh59L99uVY/mz5Pz283Sl25C&#10;oAtGEHj9B/57+RvObliMbVlGWRHUG0iythRH4tTR/ZI8FwLThUh9yUkE3vgHXBhf/v0Ozl+/gtOn&#10;j+NEZxsOb67Hnuop2DE7g18H3s++IJT3f3aIbA79TFBZa0rj8j/not73vcG+f8fxNOV1Pd5A9rP9&#10;mKmPNTsf+rMtJdE8UUzne3D1UhzbsQWnjh/E2QtncOHmD7hy5w6uP32JGy/tUv3pK77oQH5sBcMe&#10;ql7w7CWu3n+Mo+2b0VYRh8asAPn52EdaaZ4WRXCJXnrgJEr2i3LugkEAifNDp3jqvKBtD1LXbEJ4&#10;5WL4V0yDIb8A+owM6GKioPXX2fuZ2/uay3wH3d84epzT9+RFRVlobV6Pf178yt/fqYKrWATrfoRA&#10;FwgEAsGAAVDq/CF+v30BDXVLERwcAE96MdD0/EVFrfJBYE4xIqrXIZyQk+JOEmHdDF1iGrzdUZ7Y&#10;XsY9euaiPsk1kub0mbi8FdH1rQiraUGwrQ2qyITeCXQurXzhXzQLwbXtXJDJyjO30QJD/S6kLrDB&#10;FjwZdapRXGJSyfbuX/rSv7cywpRevUoHk3RXK3wxXzuep4y7b18goB75xZqJbL4oelG+3QsqfyMS&#10;q5Yjc33fF8n0BpLnKSvbXFe2vSvs2RC8ZD0UAUFuEej0LPJTqRA9fT5SbevfEehTK0ph041FTdc2&#10;DyrqUT1JkuB9TWS/SaX789LwlixP2ALHw6Zk++u6z4HELtJtAeN4H3fzfO2bY5Y9p5GAxQjTQh2s&#10;Ud9KYyM3bq6AzQNrzHeoXtyDvvsjAVq8wMbCmvi9W+V5rWYULIbvEJZcjVEjVJ4T1P98csYWVAYZ&#10;2Jh8KTtWzmBWfomGoIm4//MxSaDLvKcLBMMS3vf8L/x0eCuXPa4qZ0zSk+Tm8Y5tuP6U0r9CVvYa&#10;WnhAws9ertzRJ/zyrVs4c+oIju1u5iXXO60zsHN2Oprzg9GY5c8T3lJSPMQuxgeBHHcVjvPgdBHt&#10;7Hx5qj0rgKfZW0uj0bEgF3utM9kY1fGxOn38AC5eu4xrD55Iiw+o3zovb0+l3+291eWug2D4YU+j&#10;Uz9/qsjAJbob7o9WLtGlJDov5y4kumAgoN7m+6m3+SmU7j2K7K0tiK9ZjpC5C6AvLISBpHl8HHTB&#10;RkmW87T54JDmBIlzR4/zooJM7GzfgKdPfmTvMI94BVchzvsPIdAFAoFA0O9I5drv4d+Xv6G9bQNS&#10;0+LB+5yrfGVfHD6Gmr3kGJNTEb50FU+PywlxZ4kwbUBQ0XT4Kp3vJ94TPCdPQkhOCTLX7XSqjDtJ&#10;MfpMXdWGuPpWRNS2INjaDKPFXp65th2GzGIu6HvTv51Kvyv0BgTOtiG4jiS6G5Po9hQrpd2DKfFO&#10;KVlKoS9Zh5K4MCxUjuYJYBLociKd/l2JZiKX4c4KToJSxanqyXy7cpJeMHKh+UALNGJUHr3qs+/t&#10;5QH/+GRkrGX3d5f7tz9JY8+ISPZ8cGny3AHdr/MaoDAEuGWRET1zlVotYmYuRIptnV2gr+YCfU5O&#10;siTPu8psnkIfJ6XQqbe5nOjrDbQtEoRzNbBkesJmHCfti+iXfs+fgI5DNRq2oPG8P7dpiV3qjlSx&#10;SxKdXStryDfulehs3K1pk6V99qZ1wHDBYpfnCd9L81BurFxAreYr1OjGIiVhJr7O3Y0x2Ttl5fJI&#10;4KucPdCm1rNxoXejvs9xKt++Md0fL1/8wt7JRb9EwciB/h/00W+nsGtWKrbnBsvKH2fhsjYvGIe3&#10;1OHaw6dcUsnKK8GHsZdkl/p6s/FjY3jlz/s4d+4EjrZtxL7li7FrURHapsTzVPb2N+XP2TUcDoLc&#10;RXCxTiXjs43YnqFHU44RbeUx6JiTid2m6di/1ozju7bh3IVTbHzvSX3jiaf2sedSXQj1YQ27vlSV&#10;4NKvt9h9tZDdQ1KFA7n51Bda8kPQUhiGZavrUXLwlJDogn6D9zYn2Jwr7NjP0+aRS5YhcOoM6DMz&#10;oY2LgTYkSOptrvaDpgeVT/sTqce5D0+c5+akonP3Vjy4d529vzwW7+wDhBDoAoFAIOhXpDIz9/Dj&#10;D8cxY3oJtHo1vHw/0uf8U7CXHUNoCMIW1iPctEFWiDuNaT1C59vgp9M73U+8J3h7e7MXtnAkWzd8&#10;sow7SXOeNl/VhqQVrYiqa+H9jElkUbL0HUFGYmtOLfxU6t6Lfx8vKP2NCChbwLbZhOC6HWy7rkij&#10;t0jbqd2B4PqdkjQ3b0Ng1UYEsmP2zymDOjIOvoZA9sKohoa9MOoY0SoPzNZO4GXbu4pu+uel2nHw&#10;V3r3qow7/Y7KzxcLtN9wGd/1S2XByIaqEszW9K5FgLevj1R+vGIOMtbvkr2n3Q09M2Lr2f0mex+6&#10;gNp2vsjGT2dw2/NRHRCI+LnLkGLtKtDXYX5KBGp5//Nu8kg5GhZKoZPYc2US25FIZ5+mSh0s+d6w&#10;kaDl8tqNktYZ6Dg0Y2ANnyD16F7m6I8+AuUuO2/zdBVfUOG266OWPi0F3tJihb5WPRiKcHmuhzWe&#10;5DnNv25j5DJGs+fxV8iNLsC4nJ34KrtDViyPBPjCgZwOpMVNQx1Pn/dxfrNnhlk5CnsX5eHfl7fw&#10;mspZy7yzCwTDDZrrr/75FUdrp2ObC8sXU/J5b80cXPnjHpeQstJKIMNzPl68xPjjF7jMxu/8D9dx&#10;cl8L9tVXYufcHN6rvLkwTEqYZxuFMHcWNlaUVG/MCcJ2PoYBvO9729QE7JiTjU7bLBxrXY9z50/j&#10;0u07fNEC75lt76UuFoMMX3hZ/4dPcaRlPVrLovn9JTuH+kAryfnSWCzetA5Fh04LiS5wGyTLqbc5&#10;ifPiPYeR27STp82DZ8yBf2ERdInx0AQHQhuglVLmJM4HUdqcoB7n3vYe5zk5qdizawsePaTE+X3+&#10;Hbrce42gfxACXSAQCAT9ApWXAR7g4YPr2Lp5OSIjQ+Dj581X18m9PPQY/tKjRMjsakSYN8oLcWex&#10;l4LXRMS4RxDZy7jHVVqRuWG3vASj3ubsk8owJyxvRWRtM0+bk8D6YKqUBLV5O1ShkbwHs9y+ewKl&#10;Sv0UCuiSsrjcDrY2IrhhF4K4TO9BKt2eLCfRFly3k/9uCH2atiKwcgUCZlnZS+ws6BLSoAoIhA/b&#10;l6NvNO3bi/3s6afgeLDjUSl9UaiZiNouEt2RHM9Sf9+7lDCDtp+s8uAy/r0vlwUjEse8ylBP4r3y&#10;5ebOxyD5qwowIq1204Al0FNWtiLE1X3Pu1K7A8aKhfBT92GhzkegMdQEhiB+vumtQDevRgpjSYQK&#10;dcov3r92GnbddF/DPEUhyWM56dcXSJLydLc/TIv0b0U6JW9Jpnc/nv7GUdad/WyNnwjTDOqPzo7X&#10;HWMxmLFfJ0uRD2xsPrhN7NI1N4xl80058saYja8kzydK89+N1Rga1J+jPDweE7JbeflyObE8UqD+&#10;52Oz2zEtLAZ1GplFRE5i1YyBye8LXNu9mr2bi96JgpEB/3/R13/hOpv3lDx3Sen2onAunXbOz+V9&#10;p7lwlBFVgm5wQUu9uf/D5du/4+yFszjWvgl7TFPQWhYrlSinnt+8/zf7pFLscuMv6AX2Xus0rjls&#10;fHOD+HhTz+r2mWnYXz8fx3duxZlzp3Hxl59x7eET3PibXavn//G0uuz1FAxZeNUHxpnj+7FjVgZf&#10;qCI/b3pPKy3gKI/Hok3rUHzwlKz8FAh6CwnzikOn+c95LR1IW7sZEYurEFBaLvU1jwyHxqCRvjce&#10;RH3Nu6LSKODp4wGVWoHCwky0tazH3296nP8l3tMHAUKgCwQCgcDt0Jdz9Bf/2TN7UFKcDV+FN/yU&#10;vlDLvDw4jf1FKLiw3GU90Gk71FPdmFsGHyqH7ud8OfRP4eXliZCcYkl6dSnj7uhtnrS8DTG8t7lM&#10;0vwjBNe0wD9/Ony8+lha2deXy2yFVgdtQiYMJfMQOKcGwUs38FQ6SXEux7tS3yHJcksjL8UeOK8O&#10;AdOrYCieA11WObSxqVAGBPJe69Q7mZd/JgH3iZLzngxfhR/KNd+hrssXwA3aMZin/Yb3M+9NL3QS&#10;6Br2u5RCFxJdQNA8WKQdD30v5xQtuPFPzuKLXlJXtb9ZCOO4v90N7Su6rsX1fc+7QgJ9yiK3CXR6&#10;NuojopG4uBYpljVcoCeZ1yB7sRXLQn1Qoxole+241IyYwOWeW8uYk5i2GqVEeqYHL6HOe6QPJpFu&#10;GAtrhgdM8zWS4B1J/dHp+pj8Ycli18adgpfGOWQ8LxtP5eNlj2W4QfdVlb+9bLt753u9+gvMCQrA&#10;5MytGJXTKSuVRxKjczrgwcZiib+XPYEuP249xaoejVrDONz7ifqfP5R9dxcIhhuU4Hrwy3HsmpGE&#10;7TlBsqLHWUhAtk1JxNlzJyXBKCOoBIS9p/mTl1zGXv3zHs6cPoojLRvQaZqKluIIKV3uWNjAE+Yi&#10;Zd5vUEqdS3XqqU7l36W+2LsWFeLAmmoc39OCcxdO4+r9R1IP9aeveMUAqdS7KPc+5Hn0gj2//sWF&#10;G9ewa2m5W/qit+YFY3tFAuZv347CQ2ffk6ACgTNQ2rzswEmUHzqNwh17kb5+K2ItdQiaORv6nFzo&#10;EhOgDQuWvium8uyDUJoTJM69/bx4qfbiomzsaNuAZ09/4u/mgOhxPpgQAl0gEAgEbsPR6/zJ45tY&#10;s9qCkBAjvHw8e1+u/UNo/BAQn/BGfr8nxHsBpdlDZpvgp1LZJbq87OktJJ40QUFIrd8q9UInAbaq&#10;DQkNUm/zUKskwZxOkda2I2jhKiipP7EL0vN0nN6ek+Hr68226Q9VaBRUsalQJ2ZDl1X6lswSaJJz&#10;oIpLhzoqAaqQSC7LFRoNLwvv7TGJ94bmx/QRWf4hKGUeoPBGlXbcm5LrjjR6smpyr1Po9HsJKg++&#10;HVHKfWQjpc/HIE/9PV+0ITdnPgqb11S+3Ti9mrcoCKtp4TI7cXkrv7cdgrur8HYlJOuTV1D6XOa5&#10;4EJosYyhYDp8Few+7sW9/ClIoBuiYpG0tP6NQE+wrkPJrNmwGL9HDS/hLn8NSWJbcrwkaezu0tpc&#10;TNt7pGfZe6STVBwMIp3KjJM8Dv2Gp+VNS/T9MyaDBbouy/xhTWTzha6JGyW6NeY7adHGcE+i2xdh&#10;WDLsCxPkxsNF1Gu+wNIAX+jSVmBU7l5ZoTzS+CpnN6KTlsCq+wY1mr6Pv9nvC2wvCMOzvy7x93S5&#10;d3iBYDjxGn/wfv8nV8/D9izXlCkm2UiS6fjuRlyn5LnoG/0+1Fvb3tecxuf81Ys43LgKe0zT0FYe&#10;i8ZMe1l2kTAffLC53ZgbxHvNk1TfMT0ZnZZZOLR1Bc6cPCSVerenlwmRTh/68L7ov93GvoZKNOeH&#10;SM84ubnRS0iib5qVidktLSg6dEZWjAoEsnBhbu9rzijpPILsra2IszUgbP5CBJRVQJuaCm1UJHRB&#10;/pI072ulUzdB34Ur2LH5UMtKvRozphXj0MFmPLwvepwPZoRAFwgEAoFbkMrN/IlzZ/eiuDgbChWl&#10;iH1kXyL6jMYP2kAjwiprEV69XlaIO41pPcKWrIA2IsolIvo97OIpZtZipK7ZibgGSbhRmfZeiXMH&#10;NraN2jYYciq4+H5vv72FHS+VVubJcZLhtG0al66QIOf/jX3aE+Y8oeoCyUaymyhUT+TJc8eXwPQz&#10;9UhXs7lFiXK53/0YJEoVCj9M10x4Z7uCkQctoDBpx8LYy776NN/VIREIWraJtzDg9zGD7mmHTE9a&#10;0Yo0h0x3cTqdthfb0Aoj26fss8FFBNfvhD6nnN3X7J53h0Bnz4+AhBResp1Kt3OBbtuAacX5vEy7&#10;7WPyiOS1/1hYpilRbe0HoUlC2i6mKe1tTZuMGsPYwSHSHWl06o8e9S3MU9mYLHt7vLLnM5xg52la&#10;qIM18lupQoDcGPUVGmN2na2pk1BdZZAS2nLHMtSxnxeX52w+OfrAu4M6zSiYDZMQmmLGV7l7MEZG&#10;Jo88duLLnD0oikhDvQvKtxPLPP8vjtXPwut/7+D167uy7/ECwbCBtxH7Cz8f3iKJWlckK9k2SCoe&#10;3GDF1UfPeM9oOSE1UiGhyhP5j57j4q+/4uS+NnRaZ6FtWjKa8oJ4mWjey1xubAWDDz7fg6XrlhuI&#10;tvI47Jyfj4Nrq3H6xAFc+u13XH3wBNef/YtrDCHThy7UhuLKvYc4tKkGLeza03WXnRO9pC3XiPXz&#10;CzBz5x5Rzl3wCRwpc2meFO8+hNzGHUioW4GwBYsQOGUa9Ln50MXHQRsSCC2VaSdxTsh9ZzwIoO/D&#10;ff28EWDUYeqUQpw4ugPPnv7C3lEocf6X/DuMYFAgBLpAIBAIXIqj1/mTxz9i7RoLgkON8Pb15uVp&#10;5F4iXIJWAa1ejZDiaQh3YR/0CPMGBORVcBksJ3r6BIknH28YEtIQSr3LXdmzuHYHghatgSoo1D3H&#10;7oDOoStyf8aFTPJTIFrpyctsO9Lnjs8olWevUugE/V4E+32Sp11LxAtGFvVsXhVpJvI5QYs1us+T&#10;T+Ht7QlDwUy+gIXuZ8f9SPd113s7vKYFsfWtSFopyXQu0hlyUrynkIhPZdsKp5YPXfblDqhVA1Wc&#10;oMoS7rjvPT0mIzA1B2m1G6X+54z4mk2YkZ2COirfTgJP5vq9QTka1vAJXJ72WyqYhDRJRlMAzDPV&#10;sCZNgk0vHYvb0s89xSHSdV/DkjIZpjn2su79NTYDCUl0dj14mX13LWig8WVz0pLrZZ8DMscxlOHy&#10;PEBqV+BmeV6r+RI1uvGIS5zP5fno7J0yMnnk8VV2ByZnNWO+UYt69eeyY+cU7DqaFZ/jxv6N7H39&#10;qey7vEAwnKAF3U//uoQ98zJdVrqdUtO7q8px+c4fUrpaRkSNRLg4/xu48uc9nLt8AYe3rUD7jJQ3&#10;Cw6kftuiNPuQhq6lo3+6fRHEjplpOLTBgtPHD+LiTz/i2qPnfB5QqXdRmWHo4XimUS/8lsIwNLJr&#10;3VwY8e486DVhaMsLwprFFZjaeRDFB4REF7wL72l++DTKD55E4c79yN7ehqSG1QhdsAgBU6bBUFAI&#10;fVoqdBFh0PprB32ZdsJX6QNP78kICw/CwsoZOH50B17+8xuX5vSOIvfuIhhcCIEuEAgEApdBfVqA&#10;R7h6+RBfUUer66g8jdxLhMtR+yIgIQkRpg3yQrwXRFg2IWj6EvipVeC9umVkT1+gRLefzh9BC1fz&#10;xKqcrOotVGY5oHwhe1lTuidBPwCQ6A5ReqFaO/adcusk1Kdrv4XCr5d9qxmUOC7lPdbdJFkEgxpa&#10;iEELKIKV3r1rB+DtxdsmBC5Yzu69HbL3pIOuQp3aNcQ1tPLS6yTBeyvS6fdIyHfflzsIbtgFdUIW&#10;rzYhNxZ9hUq4B2fmvxHoSabVSLaswfzEUNQpPpO9fu/AU8GjYUmd3EUAdpOC7sIh0hnmCj9Y47+X&#10;jokEdvfj7G+4SB/NS81b8rzsZceNwzuNTudmCYClQgGbgcbATdeB5Lz+a5jL/FBtG0b90O33zht5&#10;7sbFIDWar1Cn+xrpsWUYnbOL9/yWk8kjkS9yOxGRXAWr4TvU8gS6/Bj2FLNiFNbEKfDH9f3snV30&#10;PxcMc2hh9+u7OLNhMZfnTS6QtyQNqe/5ufOncZ0EYTf5NPKg3ub/8PLPV+7+iZNH9mJv3Ty0lkZJ&#10;5dl5qXtRon1YQjLd0TudhHpuEDrmZePQxhqcPLQbl375CdefvcS15/ZUupDpQwZemp9drxN7W9FW&#10;Hm+X6DJzoBe0sHnTkh+COmslyvYdQ8n+47IiVTBCsJdnp6R5hb2neebG7UisX4XwyiXwnzIVhvwC&#10;6NPToIuLgS4ogAeoJAavNOel2lV+vIVpeEQwli6dgwvn6d2bpPk9/t256HE+dBACXSAQCAR9Rkqd&#10;38N/r26juWkNIiOD4ent4fpe5x9BrfaFPiQIYXPNCDe7RqLH2DYj3roBhrgkeHp6yMqePuHrC1+G&#10;IXcKL4ssJ6t6DZVyZ+hScuHj7Z6kaH9DYjNURqC/TaF79aqMO0Hi3V/hjUWatz3WBSMHSp9T73NH&#10;qwC5OfJB2L1F/f116YW893nX9Pmn4DLd0oxQWzOi6loQ39DKk+RcpneT5J8itsGFVSw+gjsFujc9&#10;p3x9EJZfitSaDVygJ1rWInfhMiyLVKKGEugy1+897KLPUuQjScCBkMRWI6qXGbhUpRLqXLISbpSQ&#10;PYKOgUR65LcwT1GwY5WE/7AV6fZFDZY8b/dKYOqHHjAWppkq6drLHctQgo2ZqcoAq6Nsu7sWHzCo&#10;p3e95kvkROVyef4VQ04kj1Q+yz2AtOhCLNd8wcar79dhmcf/h52zM/Dq71t4/Vr0WRQMb4D7uHNp&#10;D9rKY9DoglLEJAtJBh/f3WTvez6CS1U/ksQ5pVUv377Nx2TPsqlcjjVmBUhjJTOGgmEMCXV2n1Hf&#10;9OaCEOxakI+D6204c/Igr0pAc4XPmSd/C5k+BLj2+AWuP/8Xp48fQFtFPF8kIXvde0ELe462smeE&#10;dbkZpQdOonj/cZTIyVXB8IJkebd+5vTP+S27kbp2E2LNtQidVwn/iqnQFRZCn5kBPUnzkEDpe18K&#10;Z5E47/Zd8GCCKq/6qXzhq/BGRGQIVq004erVw+x95A/GAyHNhyhCoAsEAoGgT0gvAg/xy8+nMXdO&#10;BZfmPn7esi8T7oVK9/ghKL8MEZbNskL8Q4RVreGfEdXrEGXegIS6bUhZ0Yy0Va3I2tSJ8JIZvK+3&#10;OyQ0iTd1RCxCTNsQRKXcZYRVryGZt2wzNFHx8HFnKfd+wiHQKSncXXJTcnymZgIUCt9eld8mqB96&#10;imoy37ZDyguGPzR3FmnHIUDp08v0uTcUWh2Mc2wIquuQvxc/gUOkU7/00JoWLtO790vvLsy7ksaI&#10;rO0Hgc6eUcHVW6CKiOfPLrnx6AtcoPv5Iqyw/I1AT7BuQOHsubAGfY8atRPpSxLF/mNhnq4auHLl&#10;JKatATAt0sOS7w1byDdctPJjkzvm/oKn0dkx6MfCmjgJpnn2su50vHLnMdQxS5/WNA9p8YDbJDrb&#10;NrUPWKAduDnnCkieL9bDmvC92xd91GgleV4anohvs9vwZc5uWYk8UvkqpwMeWU2YFRKCBnUPKnB8&#10;AqtmDEy+n+HUukXs3V2UbxcMb6gs6stnP+OobSq2ZQXIShznkMTw/hWLcfXBU1x7MkJLt5M4f/aK&#10;S9BLt37D0bYN2DkvBy1FQpwL3tJUECpVIMgxoq08Fh0LC3lJ//NXLuLK/cd8/lDP9KuP/5afZ4LB&#10;waMXvIrA6WP7uUR3aRI9LwQtZbGo374RM46d4yK1ZO8xFDNk5atgSMKF+UGplzm/xp1HULTrALK3&#10;tiCpfhUiFlUheNZcBJRXQJdfAF0GSfNoLs15iXbe15zE+eBNmxNUeZW+B1dplEhKjMHWLcvx228X&#10;gNcUNnvIq+HIvasIhgZCoAsEAoGgl9xmLwJ/4fV/d3HoYCt/SfDx84Kyv0q2y0ApdP/ISIQvrPtk&#10;L3SS5gRJ82jLBsTXbnkjzUlIZaxp55+ZG3YjYVENlDo9L9MsJ336grePD/yUCgRULOa9hWWlVR8I&#10;pn7oC1dDFRLutkUA/cVkPwUSlB5okElgkfS2MpLUk/mfk/v9T0Fl3BUKP0zRfMcTyd33IRh+0EIJ&#10;utY56km9kucE9T7XxKcjmBbAOJE+/xAOCU4ynXqa8xLv9n7pmdQv3S7NHdA/038LZft2v0BvQ3DV&#10;RqjCYuDthkU59DxUqNWIqpiFFNt6SaDXbERZRRm7x79yPgVLkjh4PExzSWgOYCqYxDRJyflaKdEb&#10;MG5w9EfnaXRG4HhYinxhWjKMy7rT+C81wBo30b1jT0n0uO+kEvlDcUEC9Y0neU7tB/phjjaoP8f0&#10;0AhMzGrGV0Kev8fnuftgSLbBxsu3fyk7hs5A5dtXhnvgt7Nt7B3+gcy7vUAwTOCl2+/jp8NbuPBx&#10;Sel2tp2dc7Nx8eYPuEbiT042DXMoQUwy7eLPP+PYzi3YMTuTl7TnYyzEuUAOSqXb5wil0ltLY7Cn&#10;egpOdLbgwg832Lx6IvVLf/LPe/NNMEh4/II98xwSPcGeRHdNT/SW3GC0zEjBhn07YT1/GfOPnMLU&#10;A29FukilDz14OXYuzKmP+SkuzAvaO5HbtAOpqzcgptqK4NnzEDB1OvxLyqDPzYMuPR26mChog/yh&#10;0aslWc77mg/utDlB4tzDazJ07LgLCzKwZVMDHt6/zhfxURUcIc6HB0KgCwQCgaBX0Cq6x49uoqFu&#10;KbTsxcFX4dOvJdvloP1rGSFlsxHxAYHuEOeUNI+r2YLkhkYuzR3CvDv070lQGWIS4eWOMu4MKoWs&#10;TchEsKUJQTbX9zEOrt2JwMpV0ITH8HLuJKnkjmMww+W2jxemqMajTuZLYYJE6BztN1ApqBe6/HY+&#10;BUnUIKU3qrTjhEQfAVD6fK52AjQKaY7JzYmP4e3jDT+1BoGzLAiqbZe9//oCT6YzQhiUMI9f3oqU&#10;lfS8eivS6ZPKvpNwl9uGS6lh57hoNVTB4fD2cs+CIoVWi+gpc5FiXYdk02oksc+ZuWk963/eHZJ/&#10;JDQjJ8BUqeNpcFlp2B/YS4lTeW/zLBUsSZNg07HjI0kpd+z9CYl0hjXmO5inKd8If9nzGMqQHJ6v&#10;hS2UKgG4adwdcy5lAHrw9xUuzw2wJtAiA/f//Vev/hxzggOhyNgg5LkMY7J3YnTOHiTHlGO5C9Ln&#10;hMnnM2zLDcPLpz+K8u2CYQ21Fnv610XsmZ/Je5/LiRtnoB7PLUXhOHl4D64//09eMg1nqJQz9Tj/&#10;/S6O79qOnXOz0JhD/c2DuSCVG7MhB51HN970934DieCgHiD1A3/3d+294GX2I3s8wxF2rk35bCxo&#10;bNgYtU9PwsG1Jpw6fhCXf78jifSnL0V598EIPQOevXpTzt2lSXS6X5aUYMOp41h36TIazpzDkmOn&#10;MfvwCS5ki/YeFSJ9sGIvx86F+eHTvId58e5DyG/dhcxNTUhesRaxJhtC5y7gZdn1ZRUwFBXDkJ0N&#10;fUoS9JHh0BkNkjDvisx3vYMNpUbBxbneoMGsWWXY3bEZTx//KElz/CFKtQ8zhEAXCAQCgVNIJdvv&#10;4fKlwygtzYGvnxcUKl/Zl4qBgKfQY2IQvng5wk3r3xPolDZPrJdKtHM5/gFx3hVKoYcXT+P9yqUS&#10;w/Lyp9eQNNJoYJxb5/pe6HaCSe5VbYQuJYf3GB5SfdHZ8XqyYw0Mj8DSCCVq1fIpLEoTk1zPUE/i&#10;KfTelHKn36E+6snqyTzRXisk+rDFUbUgVuXZu/Q5PQ/YfaSNT0MwJc9dkD7/GEaLJNPDaqR+6VTi&#10;nT+fGEkr22R/x+XU7kDgnBoo/f156XrZcekDXmybKv8AxM1ZihTLWt7/PGNpLRYnBvW8/7kcytE8&#10;FVy91MAloaw87E+oR7YpAJYyP96LnCfrB7qsO0FS2TAWlnQPVC+iNDobq+GWRmfnZJ6hhM04zn1j&#10;br+elhwvts8hMobmLslzdy0u6AKVI58XHABFxkZ8mdMpK5BHOl/m7MLkzG2YHxyMOk0fnn92qHy7&#10;RTEKB60V7D3+IU/oyr3nCwRDHfrSmiqkXW6rx/Zs10gekn0H15l5T+AR1fecSzNK2z/FyX3t2F1V&#10;jmaSyLl9X5TQr3BRHSoJcRK47Bw+CMldO20VcdgxMxU7ZqRwOuZmY49p6qcxT8OuxcXv/C79TMfS&#10;mGuX67ky+34Hdpx0rJTsH5aiXZLp1C+dFqfsrqrAkaa1uPDDNVx7KvXWv0bl3YVMHzzwcu6vcPrY&#10;AbRSEt2VzwF2X2yvnY+1Fy9iHWPDhfNYde4crKfOoPLIKZTvP4bifVIiXZLpx9+yXx5eOrwXyG3r&#10;DXyf3fbP/3kYYj9naVy69Cx3cPAk/28FbXuQtbkRKSvXIdZSg8hFVQidMx8B1Me8qBT64lIY8vJh&#10;SEuT+pmHB0MboJfKsvOe5kNDmBPU35y++6ZS7cZAA5ZVzcGJ4zvw6p/f2Lv1I4ZImw9XhEAXCAQC&#10;QY+gLyOoZDv93N62AVFRofDy8Rjw1Pl7sOOhFHpw+WyEVa9HeBWJ83WIsWxEUv12pK1q6bE4d5Cx&#10;dgeSzWug1BvcUsadoDLQ+owiu4hzfQqdU9uOYEsjAornQulvhI+Pl1skmEsgOenjI403O051ZDyM&#10;VZuQO2M+anVff7AXcj1jiXY8ApTevS/JzaA0cqlaKuUu+qEPT2ixRZnmO/jar7ncXPgovtR+QYXA&#10;2TYE1/aTwGbwVLqlGSG2ZkTUtCC+oZUn0/slge4Q6AZ3CXR2rxuDkLDAjBTLGiRa1yGnchnMoV7O&#10;9T/vDqWCSWgmfm8vUz4IJLqJHQNP/FJ/dB/UBH8jCd2BFum0f0pQh06AuUwhHetwSqOTzLYaYSn1&#10;k57t6m7n7yocEr3Ah13nQV4Wv6s8p+S5W8u2j+HJ86VGPxjSluOL3L0YIyOPBdT/fA8CUmyw6caz&#10;udr354JF+SUaAifi9tn2N+/zAsFwhOb349unsWNqPJeQsrLGCRyl2y/9/LOUjpUTS8MNR5/zRy9w&#10;7vxpdFpmorkonPc4H+wi901qPDfI3oM7EM350jxoKYlCa1ksl38dC/J4KfH9Kxfj0HoLjrdvxIk9&#10;zTh96ijOXr7EuIjzN67jws0f3nDxp59w+fbvPeAOLt26hQs/3nzn989duYyzly7g3NUrOHV0H453&#10;bMOxHZtxYG019q9awuX7roWFaJ+WgtbyOLSURqOlOIKPeVN+MD+XxuwAScCTZHfI9W5jMNSg8+D9&#10;83MD0T4zFfuWL8LpEwdx5c/7vFc6zUVazCE7VwX9yxuJvp/N0VjXLaZhc6CFzeUtm+qw9vIVrCeJ&#10;fukSNl++zD9XXrgI0+nzmHX0DKbYe2m/Ed4ke/cefRf276h0eEnnYadw/O5727P/+zcyucv+pXLl&#10;p3i58rewf9eF9+Qz0WUbhCTouwhsd9J1347jcRwvje8BSY7Tny3ZewTFew7bk+W7kblhGxLrVyLW&#10;bEPY/EUImT0PgdNnwr98CnSFxdAXFnEMWVkwJMZDFxYMbaABWoNmSEpzgtqUevt5cYFO34Mvr6/C&#10;Tz+ewr8vHeJcVHUa7giBLhAIBIJP8vr1XfZScB9/3r2E6mVzeX8XHz8f2ZeL/z97593exPF+/Xf0&#10;XL9vEooJnYBt9WpLstyNce8ymN57b+6N3puNOx0SQkIgoUN6pQVCJ6GcZ+5ZCQgMwVaxJTN/fC5T&#10;rN2Z2d3Z1Z455w4GdDoVdA4nYpeuRWrVDmTWN/IawUrkceeF8xeQ2M6wjckMnODMo4stcCzbGJAo&#10;6BdUN8NZ28b2swGWrCK+T3VkuCJU97QjnTt6VUqtdlUEtHo99LYYWIumIGb1dtjrOniU9ZzCbNQa&#10;+yoCheAlMYneJcYRXAT3ShhlRDDMejUWmofIKPdeCEW3LzcPgl2v4okDonPgXajYdWNOz0dMRQO/&#10;roTXWwDxCOn0Z7ouXv//QOBk12D09OXQ6NmYUZKFYFx8gQR0U0wsMpZVcQE9vWorxs1bpIhHb7ne&#10;O40nWjvjE5QGi4hOkDhdpkSLV+aO4g7wwIuY78A9VlWWgTyKvJy1jY9XbxHSScxmVBZGoMoYwDrf&#10;tBgh6mOUT9a6j/Nr7QgG+CKOqJfO8wCfd3XGPlhp18GRU41+rgNSPH8LFN/+cVEHSlLGoY7XPvdx&#10;/mNQ/fMd+TY8efSzfNEn6b1w9/lVfLN9BRd2fK19Tg7ZppI4Jbr9EUW39343LK9z/vAZzv34A45u&#10;qUDzlNFopLh2twgdbFC7KE56T0E0GribOV5xjs/NQ8fSCThYOQ+f7qjBibbtOP3FEZy5dB4Xrv3J&#10;uMkF2ot/3sGl23dxmRYNuGOq6VjTGJD7nurdv+SJ4ox+F/fcP+n3X/k83ybx6Lny/2x/tN9Lt+7i&#10;4q07vD0XrittO/fzz/j66y/w1dFWfN60mR2LchyomIuOZZNY3/LRMj2dO7dJUN+Tb1UWC9A5T6K6&#10;YJxCAna9euLvmyYm8cUEXx7cyxci8GPDxu0SudIF562kG2HHgBY2fNG+iy/woDQF4fHsKmOdaJqW&#10;hi3tDaj/+gzWfPklao5/zjiOqk8/RdnhI1jNmNXUhrwNW5GzcRty2c+M2rVIq6hh1L6ksg7Jy1cj&#10;YfEyJCzpJOx3KW6cPvuvbXFqkF69htfwzt24ncH27ca1pxXFeztQ3NiuwP5MruyS1peMbz+CCfuO&#10;uTmKifuPvRDlFT7ngvU0ikH/7PS/oVriJND7AG3j5TZPvRTHDx7n7ZnQcZTXKSeBfCxrf+H2RuSs&#10;Z2NbvRYpq8oRv3AxYmbNhX3GLNimz+Jx7FFTp8M6cRKiSsbDOnYcrIUFiEpPgzUhDmaKZada5vR+&#10;lmqZ83rmoSWaE+Q2j1CFwxplRGFRNrZvrcXN6xfc78dvy+fp9wgpoEskEonkPwFucPH8668OoNiV&#10;C4qroRV4ogeMnsZg0iNSEwGHw4qlS2dj1d42Hm3MBXCRMN5Z2OcLNrdj9NzlSv3wQAjNtE227aji&#10;6YF3s5LLne3DWd3C3bPmnHHQ2xw81p3qvCs10rtBTOcucxVUkRG8DryG7VMfZYMxcQws+RNhm7oE&#10;MSs2c9erR6C0V7ciZfUWLE+1ofYtkc4UzV3OiNdHeu1CJ8IZCWwbpeZBXHAV7UsSepDrlMg0jOLi&#10;uVeLLNg1ojUaYZ9bCWdtYMouBCNcQJ+2DBodG4NACOgREbAkpCCnajOyyjcgq2IjZk4ajxqDfwSk&#10;V0X0spVBJKKTsEouYEb5bAMqx4xAtUfEFvWju/C0wTkYFRM1KFvF2klualEfQg0StFdFoZJq0VMf&#10;AyqiD0T5dJ0S3S9qS0/xL/E88OcaxZCX2iLhyKlCX9dBt0gsFpDfd8JcHRhZuAdLHGY2bj6kb3gw&#10;DeAC+mfV05R46+cyYlLSO6HvrNcvHEQrd0b6LuqQOHlk3QpFYL33t1hM6kXw+u5/3sYXh9vQNi9f&#10;EWWDTTinKPbiGDQUKoJ585QUdCwuxoGKOTi6pQon9u3hQvm5by9xYZrHgbNjJ4SEQBJkyd1M0fzd&#10;GRdO+/JAQrq7LdxxLWorQX1hv3vu28v4+tTnrK8NOLZzDQ6vW4kDq6aifX4BmiclsbGJ4tHoXIzm&#10;tddDzKXO2kvnHXfZs2NN8fef7VmLby6cYWN3D1ceQTleonGVdAv8PGXn4omWrTzhwV/zRPPYGGyb&#10;U4iSigqkl1YgZfFSJC5YiJiZc2CdNAVRIUD0lKlwzp4L55x5L0hYtBRJy1bzePOkZSuRvGI10ipr&#10;kV5Vz0mrqkNG7TrkbtqB3M2vwP5esKMBRbuaULhzr9fkb9/zcpsbtyOjZi3f75gyilxficQlKxA7&#10;dz4cM2e/HOfJxFREUd3yqdMRRaL5pMmIHlfC3eXW3BxY00YrDvNoC0wWvSKSv4rgnW2wY2R4hPOY&#10;mChe37yjfRsePfiJPWP8qbwfl8/R7x1SQJdIJBKJkOfPlAi8J//8hj271iIhIQYqrSr4ItsZFKWj&#10;Jtc5e9CZMWM8Tnzextp+HX/c/gkTt7Uja51SK9gbFNd6CzLWtyOhdBv00Q4u+orEH1+h7ZLjOmbF&#10;FsRUd0ckNAnpbVwAdCxei6gJ82Eek8NrEJMjnUN95dDCAQ+aTvDK79NnSSj34N621sCOnSOW15C2&#10;umZwYY7ioZ2lO7lQF0PCpMDZG13TjpyF5SiPGeUW1t58WUyC93zzEBh1Gu5EF433u/DUQ882jOLb&#10;JGH+9f1IQgsSzilRgEe36yiq30v3eUQ4zLklcNL5GaiSC0GIs34frBMX8ISIQCyyoXE1JaWxL/Tb&#10;uXieU7oGS3MSfItvfx1ysrtF9NJgEtE9VNpRtjoaFZM0qIob7BZ3Ay9u/ickAps+RmXaCJTPN7pr&#10;uAvaHmqQgLzMgsqUYWycA1j3270IgWqvl1YGyflGCza60XleY+qHyqjhSMxYjr7FUjx/F1T/PCVr&#10;Baotg1DtBwG9whjGtjUQv3/Tzl/+iZ77JZJQhxaGPP37d3y1fiF2U9S4QJzpCiQet87Nw9lvr+Ay&#10;CcsCEam3QMItOa/PXDqHQzULQFHaJFyKxqVb4UKqJ5LdyY8JOV73LRuPY5vKcKJjD059dRznvruC&#10;Szdv4du/obi7yfF97x9FZH1VqBb0Pfh5pf1uuJjuccpTnx8+xYXffsOZy+dx6stP8cXBZny2ow4H&#10;y2fx+uvcmc6d3e766lzwDJH4dzoHWJtpwUTrjAwedX/qiyN8UQtPCKAFECF7bEMbfo39dR/HtlWx&#10;Y+S/9IMWdn7OyU+GKT0dpqwsWAuLEDVuHKKnTOPOZ4oKF0L/3xNMnvoGXHx+RVQnqBb4v5gw6Q0o&#10;At0yfsJLSibwfdinz4Sd9d1bqE0vtztR2d9EgrXjhVg+jYvlyni6x7mkBFEFBYjKZseB6pcnxcPi&#10;tCtx7GSqIkLUXf4qJJrTO2WtXsOj2pOTY1FduZTdXw7g6ZPf2bPzX1w0p3fkoucPSe9HCugSiUQi&#10;eYPnz5TI9mt/nMeK5XNhdAvUooeNnoQecjSsXfRz0qQifHqsCffu/sDarsTpkMum+fRppNc3IfcV&#10;UbwzeITz9DXNSKxpgrO6iQtIUQWTQPXKReKPz5DwrFbD6prGY9ZfF68CiltId5btgmPpekTPKkNU&#10;4WRYxmTD4IyHxmiGRm9g4613t5fEs7dDv8cxsM8YTdzhbkwYDWtWIaKKpsI2YxXsC+t4lDztM5b1&#10;11lPovlLt/l/4ahpxYRps1BtHYhqiuB97WUxCaU15gEoMH7idUQ3QeI7QZHwJMrzmrmSkIXE86Wm&#10;wYjSq32Ibo+ALsrGF53wRR6C87O34qzfz77Iz4Fq1CfCsfEJPv+x+0yWC4nVe5FRsRl5K6tRFk/1&#10;z/0sbpJYaByAytThKFtsCT5XNbmjSdxdYkGFKxJVtoFukbMHhXQaMz1rQ8xgVIxXc/c2X3wQ6kI6&#10;jfNCExe4+UIBUd/9gXvsFBG9hxcgcPHcXfOczitRe/0IOc8rrMORkrGIi+dhRR1C0ViiQIsLqP75&#10;1Pgx7vh28bh2BXKf7yq04+Hti1JAl/Ra6AX3tYsH0TIlBQ0+1j5XxMVYXp+au7IF4lGvgMTYB09w&#10;6eZtHsfcOiubu+57NAacBFMSy1127mylKG+KYz9SvxhfHmnj9cMp3pwE1G8fP+du5Mv3nyhCqqiP&#10;7wMvRPWnuPIYfCHB5bsPeS32s999i6+/OYUv2Ll8ZM0StC90oWnyaB7/zoVpd2R6Y0nwR78riyhs&#10;aJ6cggNls3Dq88O49OcdxQ19nxZMSCG9e7nP5w8qP3Cwej4/Nv5YlNHMoEUzhfFW6MxGmGxWmGOi&#10;YY6LgSUpAda0VC7oRhcWcoE3etIURE8mpiqCtkdQJ+HYg0cQ9kC/FyJwF7jXvCKKvz4W9O/sd/jY&#10;0RgWuxCdl8frlluTE9h4U+1yNu7RZpjp/atR02sEcw9kDtPq1VDr1LBEGZGXl4bGhvX4+adTwLOr&#10;7LnijnSbSzhSQJdIJBLJv1Ai2//Cma8PBXVkOwn6Gvagk5efgYY963Hv7ves3bcYN1/pyzXcuf8L&#10;lrYcRvqapjdEchH5G1t4vfSMtc1cxHFWumsNk3hU1w7b3Ep3/V8SigUikI+QOKe3xyIm0LXQ3waJ&#10;11xMZ9Dfy3fDsXoHHCu3wTG/BvbpKxA9YS6iXewh28UeuN+Cffpy/rsOEslXsc+v2o6Y0l28XjRt&#10;l2+fxEfqIxfMlQUKncVR1YzYqr2YVVzAo9yrTW+KACR4rzQPQqxe5VOUOwnoBp0G003DZD30EKaW&#10;UWYeiNGGCO/PB56ooIKVSi0EcpELlVmg66ITi0m6k1g2N1iLpvKSC8Lx8QW3gG7OGQsHmxuSKndh&#10;wvxFqLSSAzMAIh8JwuQMThrK649zET3YxGASqCnWfY6Ru7+rLKzNJMSK+tNdkMhsdLvRF5qUcSPB&#10;X9T+UKHShrLZBlTZBynnhKjf/oC2HTOY74s70bv7fKP9seNFi0aoTICSbiBopx+pNfZl1/BwpKQv&#10;RN/iQzyaXCQaS17Sz7UfhvzNWBmt5osPROPaVVZH/g9fbVwCPLsm49slvZLnz2/g6d+/4dTGRX5x&#10;n5Nbd//KKbhw7QYXJsXiUWjzwnV++SIO1yzAXnJ696DrnAQzchmTk5Xqe3csm4hPd9Ti61PHcf73&#10;P3itcoowV+qHP5G1sN/FnUfcIUwubXKqU9z2xT//4uf0mUsXcPJQM45sWImOpRPROjMLFI3PY/Ep&#10;tt/HBSiBRhH+7WiakKjUST/cggt/XOVOfH5uiMZDEjBo3M//+iv2sWuWL3wRHLOu0johAZuL4pBg&#10;M0FndNfQNr0m3pILOtoMk80Ci9MBK4nrY0YjKisTUSQEFxfz+tzR4ycgesIkRFP8OAnGJByTkEy1&#10;vKfPZH/28JrAzEXmYBTb3W3juNvMYX2g/nj6NZX9LvWX+j1hIh8HGg+KX4/KzeYLEawpidxRTmPI&#10;x/NfdctfGe9eIph7MLD+RGoiQe+64xNiMH1aCY4ebsC9u9+534fTe2X5vCx5iRTQJRKJRPICRXy+&#10;hn0dO5CY7OQPFMEW2U5u8whVBJKSYrFhfTn+vEFuGnrAURznb/bpOs7/cgmuzW3IWvt2EZ2Ec/qZ&#10;ubYZSTWKmEui+b8EpOoWOFfv4BHDFDUsFIF8hUQkVeRLga7qtTZ0JyTiUTw1xcn/C7ew95+8/hn3&#10;52h7tF3R/rqIraYViWU7sDA7WamHLnBnkuA9yzQMOja2vjrRzTo15pmHol6K6CGHkkjwMfKNI72v&#10;e86g0gOG+BQ4aTEInc+C89In2HXirOtALLtGeCmDst184Y7idPfPdeM17Np1VjTAnFkUmPmPzX0a&#10;rQa0OIcW8dD+Jkybx45b/8AI6B5IRIwbgvJZekUILgsyMZhET3IMsz9XTNagMmEoazMbj0AKve/C&#10;7eCvcgx66UYPlmhyb3CPcflkLaosAwPrRGfHrfJFnHs3Jx+w/ZUvMLNziCLrA3/+1Lpj2xXxXDrP&#10;O0vf4sPIGT1FSb3xQ+pEJY9vH4BfTjaxZ+J7bzwnSyQhD9X1Z99hr53fj+ZJyb67p8fFc2Hu9Fef&#10;KWJcL3S1kmv08p0H3NFN7m7uQu4J13lJPN83Cbct09O4q/izho34+puTrJ1uV7UHGdXtG+RSZ2P4&#10;ckyVeutUJ/7MhTP4vHU7Dq9dif3LJ/G68lRf/kUN/CCNeudR9OSeHxuLfcsnKkL6b78riyxYH4Xj&#10;IPE/7Nzii3HOff2iZIDoeHWFJgaJ6CuynbBYjTC8/l7QI+q+AzP7rMUeBUtsDKxJ8bCOTlaE46xM&#10;WPPzEcWILipiuHht72iP4M4d7QwSqWfMegkXqF/hVeHdn7y+HxLFPW2gNnlc49RWavPYcew7tEup&#10;TZ6Xp9QnTx8Dayrrb2I867+DjYOVj4donP4F1TJ/fbx7CXp6l6yOgE6vQU5OGiorl+LCuaP8nbEi&#10;nN8QvlOWSKSALpFIJBJey4VE6Fs3L6OifDGPbKf6L6KHjp6ChHxynZvNBixZPAuXLnzK2nzH/ZAj&#10;7hfxnEGrB5tOnUbmmibkrP93PXRPVDsJ58m1TdzV/IZw/gqxte2InjAPGrUaqoC50COhtzvhWLoh&#10;sC5XryEh712IPud/otnxSF21CSuSzajV9xGK6PQSutD4CRfBvRVOiQiGTa/GIvMQ6UQPITx1zycb&#10;fat7TuUVNHo97DNX+T8dgsRputbZNR81bhbM6QUwpWTCNDob5rwJsM8pV+qtB0K07yxs387yPTBn&#10;FPCkDOEY+YKGja9OB9uEOXCy8bVXt8A2eTOW2M2oM/rHhflWSEy0DULFJLUiogejo5pEXqqPvtSC&#10;iqJILl53R+3q/4TGjaLw00egfAG50WkBwmvtDhVo4QQ77hXFKrfLPoBzPI1bd9dEZ/uhY8QXYOgD&#10;2Dc3vOa5dQRS0hehr+sgBrhkzfPO0N+1DyML92JubByb9z4Ujm1XIff53kkpePQXLTh9mdIkkfQW&#10;6MX3P49/xudV07HH5btw01Bow9FNpbhMwhAJjK+LRaEMiagPnuLC1ev4dGvVCwFbNA4BgyLax8W6&#10;RftY7F8+EccbN+H011+8qGOuxHG765eL+iHxHRpbziM+3lcoDv/BE1z49VecOvkZjrfuwKGqubzu&#10;eAPVxKfjRc50Xt4gyAR1fh7HgGr371sxGV/sb+TnOHek86QCeR4FHHYeXbn/BCePtqNpYqJfUgya&#10;JyTwxUyTRtug5cKu+D3hf/JCGPa42N3Oal6/W8P/nep5m6PMsDiiuRubi81U65tISYIlLVVhjCK8&#10;R+XkMLIV8nLdArwfIYf4q/tgWNLGuNvBfo5OVtqWGAdLHGsr1SS3RylR6ySQv6hN7naQEy/Gwctx&#10;DFGMZsWApTNoodJEwGa3YtbMieho247ff/2GPT+QEetPLprL+uaS/0IK6BKJRPKeo6y2+wuXLx1H&#10;SUkBe7CIDKrIdnrooah2qk1TVJSNz4414e/Hv7E23xb2RwSeX8Xff/+O9Uc/R8YapR66Ry464rcA&#10;AP/0SURBVDjPXteClNpmOEk4r/hv8ZxT0wrn8k0wxMQFRkRyQ9u2Fs+Ak5zbfnJs91bsNW3IWFKL&#10;VQk6xYn+2stjch6XmwciwRDpU5Q7QZ+PM6iwwjxIiughAiUGzDYN5TH8vqQQ0DVpyRmrlDagJIXX&#10;zkOvIdd5eQOiS+ZAb4uBRh0JVfgotr9wqCLYT4bWaII1twTOMnK+szlBtJ1AU8P2u3IrTImp3Ikv&#10;GiOfoAUKBgPsU5fCyfblKG/CoIn7Yc2qxmpbpN+ijN8KiZqWj1FRFI7SlVHBKaITboG/jMTQjJGs&#10;7azdJPb2lJDOo/DDUGWn2ugqpY0kpL/e7lDAnT5QkT8q8GPqEdEp+SCQNdFpu+x4lM8xoCqexPPA&#10;lwCga1Vxnsua513lo+LDiMlcjWrrEFSb+gvHtytUmgagVP0Bvtq8nD03S/e5pHdCC0NuXD6M5klJ&#10;PruoyTnZOjsbZ65c7HW1z3lk+/1/cObieexfPe2FgC0ah0DgcQtTXXOKDKdFCqdOHufRz9Qucg3L&#10;WPYehhZY3PtbqaP++DkuXL2Gb9i1cPLTAzi6fgXa5uQox3Ksk4vVikgaRGI6CelUwoGdY/uWT8IX&#10;B/bi0q17fIGAdKR3A5RwwMb6eOMGfq37I9WidWICthbHITXGAq0pQOKvR1h+IbAzPCI0YdC8hP0e&#10;1QN/gdUIs83iX9w1x1+Fi/2eNrzaNk97aYHAeyiQvw2KaKf3xxoGGbHS05JQV7sC584exYN7P7Dn&#10;hrsMEs7FzxUSyetIAV0ikUjeYzyR7UeP7EXq6AS+Ko9W6IkeQnoCagsJ+nHxDh7Xfp8/7PzJuPFG&#10;X94FudBv3f0ZZfuOIX9TC7LXN2N0rVJHm8Shdwrnr+Csa4M5ZxzUgRTQVSrobQ44lm1QhCtBOyQv&#10;sdW2o2jeCpQ7PkGtoc8bL5HrGAvNg2HhIqp4zDsDOdhJRE8yREoRPQSg40OJAZQcEP7asewKJJ4b&#10;7E7E8OvRj6kQJMSX7YYlsxAajVpZlCNItiDBmmLTrbnj4axs7BknOrnuV2yGKT4pIAK6Sq2C1mSC&#10;Y3YZF9Aty5swcGw7+hYdxOj0RaiwDOWuVtFx9htcNB2AyrRPULbQUxc9CMVgtyhaujoa5dN0iquY&#10;2k6irKhf3QHtm8Yug43dYho71r5gHLt3QQsUVkXxfgRcbKYxixmEMhLRA+Hep+1RbPsMHa+9zhc6&#10;iNrhR2TNc++hhQaDXe0Yn5SPej+5z8u0fbA+KQJ/nNvHnoM7v/BUIgkVFNfYVXy5dh53oPrqjG0o&#10;isZnDRtw5SFFtz8Si0QhiCIgPsZXn+3nEcsNRbZucxGTyEoR7XsnJqFj6Xh83rIF537+GZdu31Mc&#10;wg96Z0x+6OMW0x8+4870i7fu4Pxvv+P0l0dxdMMqtM0rQPPkFH4uKVHvPVAC4C1QW6hNJO4fWD0D&#10;p748xqPq+aIYuUgjoFDdfbq2D1YvVK57P8wzbRMTsTrXiagoI/Rm8XvD7sMtUnc3wrZIXkdn1CLS&#10;HdEeFx+DWTMnoL11K27fusyfGehZ2Jt3yRKJFNAlEonkPYVc53f++g51tSv5yklaoWcUPIT0FOQ6&#10;17E2zZhegksXj/MHHRL8va1JA1zlnz9z+QpyuADWyEWhrgjnL6hphWN+FbRmKxd9RGKQz5CIpo6E&#10;NXecdKF3AgcbHwc7Lq65y1Bu/wQ1FOf+yktkivGmKPcppuF8fCnO/Y0x7yQkoo/iInoEVpoH8+2+&#10;ui9JcEDiOS1ycOpVPiUPqNRq/tM2ZQmcfq5FTte2tWgyu9bZPPKOuYTaQTXCbTNXwelPEb+z0Ly3&#10;dD0M9hi+wEfURp9w10CPKpyM2PpW6OY1K6JSYTvCig8gK202v9YCLqJzR/UAVFJd9Gm6F45voUDZ&#10;07hjx8uWWVFRHMkdzdVcyH6tT92Fe+yoHVSvnbcvFN3orM00ppVJVG8+wPM7bd82kNdf9+uCDfe5&#10;Uc6OgxL3H/j7FK957hHPKba9SMa2d4V+bMx0uRtRFh3uF/c5Uar6AC0zMoHnsqajpHdC8avXLx5C&#10;y9RUNPgYGUyCW/uisTj34w9cMBSJQ6GI0pf7fGEAxSF3W2R7SRwaCqK5yHqgYi6+PNqOizdvc1GW&#10;C/pSyAwdyJnudhdzJzf784U/rvIFGUc2rEbH4nHs3ErAngIrd6cLz4cegIR0nnrAzsXDdYvx9ZlT&#10;rB9Ur/upuJ8Sv3D5/hOc/f5btC8o5PH/omPTFageOsW5T0yJhs6sD6p3lpKehxzm9O44QhWO6GgT&#10;xo3Nw5q6Vfj28ufs+ffai/fI9GfRc4RE0hmkgC6RSCTvGcpDxG38/NPXmDF9PHd4U00Y0cNIT+Bx&#10;nScmObFzRz0e3P+Rt9dr4fw5vVy5hr8f/YHdh84hdeFRDB/XCtOyJjirBSJRZ6hin63aC1NyOlTq&#10;AEQZe1CroLNY4Vi0RnF/itoieQGJ6PbaDpRMn4dqy0DUGP4ttNWYB3AhPd84ikd5+1IPXTrRgxsS&#10;Wlex45JsiOCJA94eaxUtZFFFKtHttIjFn9HtJEgvqIGOFuJ00tFNDnWqjU6u9e6Ocqca7fZF9WxO&#10;srxYVOBvKLbemJKB2Pp2hE9vRViBIiyRi3WoqxXFKSXs2PZHjZ/Epf+EBMeogahwRaIsmCPdiXJG&#10;hbvGdc4oHkXfHYLpW3HvuyJ3FK/ZzoVhUbuDGdbmssUWVHZH7DmlB9C5NkHD9s3OM19FdHKes21U&#10;TFAr5wJtX7RfP6LUPJex7d7CFxu49iEvdRrqjR8Jx7irVBj6s2ehj3G2oYI/R4uekSWSUOY5+077&#10;9J/fcXL9AuwuJLepWHzpDNw9WxKLEx27eXy1SBQKPR5yIevC73/gyLqVaHCRS7gbItvd7l8SVA/X&#10;L+bu38t/3Xe7f2Vd89CH6qa7BfUHT3mKwPmff8ZXFPO+uYLHvJMrvZFqkvPrKggi3inanZ2TzVNG&#10;szaW4+y3l3DlkXSjBw52fjx4gq++OIqmycl+qYfewuaTrcXxSHFaoDOJ3yNK3g9IMDeY9LzsqFqr&#10;gs6gQWbmaFRXLcOnx5pw5/a37Ln3L4YimssFpBJ/IAV0iUQieY9QVt/dwOeftSErazQiNZH84UP0&#10;YNLd0IMQueDpQWj6tBJcvvQZa6t3ce0E1T3nrnP2wHTkq8vIWfkpwvJa8b+cFvQvaMPQkjZYSESn&#10;CHd3jHtXIOeofcYKaHTswU0TGDFJrdVwYc2cns/21yxd6J3ATgInG6dJk6eiyjroDRGdhNUK9nO0&#10;IZwL4P4Q0eP1kVhiHsxrbZNA/+r+JN0PLWZYycVzpea9T8eYXX/G2EQ4V2z28yKWJsTWtsOcWwJ1&#10;xCjhvoWQS5vNObaZq+Hk7em+OYEL6AvreMx6oOY8HpUfmwD70h0YPqkDA9wCOtHPtQ9DXG0oHj0O&#10;taZuEtFJeGRUpgxH2VwDF6mDWkh3u73JOV9F7ml3+4V9CzTkRifhOWEoymbolXEL5rETUWlnx93k&#10;jj8P8DjScWJjVlEYgbJVbN/ejhX7XNnqKL6dF9t9fV9+htc8d4vnfVyHpHjuBf3Z/DassAFLHUa/&#10;zW3lur7YnG7Eg1sX2PPwdeGzskQSytDCkBuXj6B12hg0FPvmeiWxr2NJCS5ev9E7RDUSOB88wbkf&#10;vsOBsplcPGwMsJDpqXHeNDEJh2sX4tSpz3Hxz7+UBQkknIvaKekFsHPt3j/4lh1ncnef+fYyvjy2&#10;D4eq5qJ5Sir2jlXOC3+IqL7iKSfQNjcfJ5q3suv9T57QINMQAgAbUxrb401b+OIdf0W5l+fFwhJl&#10;hKHHo9wl3QmlDuiNOu401+o1/J1xUlIsFi2cgSOHG/DLz6f5s65S21w+80r8jxTQJRKJ5D2BIu7+&#10;efwLtm+pgdNp4y7vYIk/oochEvPJdb571zo89LjOn3uxWvCZ4jgn4fzyjz9gStXn+GRsO/4vuwX9&#10;ClpfvKwkZ+OQsW0wLGzmIjoX0gWi0Vsh92fpTpjikwNSD9gDrwtsMMJOglldh7gtkn9hr2LHproZ&#10;k7mITpHG/xbRX432pih20bh3Fo+IbterMd88VIroPUydOYzH6vtFPPdce7wmt58j09n84Vy9A8bE&#10;MVB1RUAnSNRPTkdMeUO3Lqpx1rUjek5lYOc76pvTCfPMDRg0rgMDCv8tMvVz7cdQVxtco8e7negB&#10;jnMnuBA8gMdgk6OX6mOXVtoUl69IwOxp3LHpZcut3D1fZXfHd/eUkO528leytpSusCoif7COnQhy&#10;9s8xsuPfDTXEPQseqI78Ei+c+yT4L7WgMnPky22J9uNH6ox9UBnlcZ5L8dwbBjD6uQ4gLX0+d4xX&#10;s/uYaKy7QqVpAMp1ffBpxXT2THyDO3WFz8wSSYjy/Nk1fl6f21OOXfnRQrGl05RQ7eZ4HkdNjlru&#10;sBUJQqHCnUfc7X3m/NfYt6QEDYWBrXeu1Ju2ceH8UPV8nP76C1wi4Zy1gcd9i9oo6Z24zz2KSKe4&#10;/jNXLuH47jW8NELTJHe9dIpUF5xH3QkvYzAuFvtXTsGpE0dY2++7Y91lOoI/ocj/i9dv4lDlXH7s&#10;RceiKzQzWtg8Mz3dCa1JEVVF7xYlvQeeTqqNhEodAYvViJTUBMybOwX7O3bg2tVzePzwZ/6emyOf&#10;dSUBRAroEolE0suhyBqKsLl96zssWTwTeoOGO71FDyg9AV9ByNpEcfIXzh9zPwB56Trndc6v448b&#10;P6N812moJ+zDR7kt6Jf/Ujj/10vLgjYMcrVCO6cFThKIuhLpXkUR8C2Injg/oIISoYoIhzEpHc6y&#10;XYip6d7Y5lDFTgKlW0Svtr4Z517LWGAaAgvVS/JRRCcoJtyq02CmaRgX6KWI3v3QuC+zDEOSUe2z&#10;eE5Ob3JZR42dzhdj+DW6nahpg2NRHQw2R5fnD0XYN8A+a3W3lnbgAvrcKu4SF7XLH6hUETDGxkE7&#10;dSvCCvcJ5+1+ReREb0fx6JLuc6ITJEaaPkZl2giULTAqInowO6rdju8yinVP/0TpQ0/FurvF3MrU&#10;4Sibz8aO1/oWtDkYoXaSiE6ufnYvCbgo7a4jX5k4FGVzujBWJJ4vYseajTE/zrQd0fb9CInnpdER&#10;SCbxXNY895owNm5Dilox1+lEnamvcKy7SoUxDDXRg3Ht/AH2XPwnnsn4Skkvg74v3v75C7TPTPe9&#10;9rnLgQOl03Hxxq3QF3zvkoD5FKe/+gzt8wsV0SqA4jmNHbmL96+agpOf7sflO4poJoXz9x1ypb+s&#10;dU9i+qnPD+FQ7WK0zsrmLnBKRejJeHe+8IOdv00TEnF0YynO/fgDrjx6Ls9dP0Pz0ZlL59A6OxuN&#10;5EQXHIuu0DohATtKkpAWb4PGGBxJmhL/Qgmp5DQfFTkKRpMO6enJWLBgGpobN+L61fPcZKW4zW/y&#10;nzKiXdIdSAFdIpFIejHciY0/cfHCcYwfX4BIVQT07CFE9KDSE1DNmpiYaGzfXotHD37hbfXmAei5&#10;23X++NHvaDhyHvFzD+OD7Bb0zW/lzh7RC0sP3OHIGDWtFdGrmhDbBRGdu1KXbYTBHhNYV6ZWA7U6&#10;EtGTFvIY5e6MbQ5luIhe1YSSGfNQ5hiFWkOfFy+XSeAmwXWGaRj0OkUAF419V6BtGHQaTDQORw3b&#10;PvHqC21J4Kg3h2G+5RPEsC/SJJ6Ljk9XICHXnJGPmIqGwNQap/rnS9fD4Iz3bu5gnzGnFyilHbpp&#10;PqDI+OipSwMsoI+Czjka4VNbEVb4dicrxR2TE53HuXdXTXTCLW5SpHfFOBXKVlq5cBnUYjA5vldF&#10;oWKyBlVxQ7pNXBXiGbtJmhfCtLDNwQa5+sttbAy13E3P+yHqnz+hfTgGo5ztk7fhbYs1aBxJPJ9t&#10;eHl8RdvzM7XGj7DSrkVMdoUUz32kT/FBJGcuR5V1qN/msjJNHzRPG4O/73/Hno9vCp+dJZJQRUlU&#10;uIqLLbU+1z4nAY+EtK+OH+JxwyHtQL3zkLt/T352AC3s+m8kl62oz/7AXee8naKw23bi4s1bXCgj&#10;B7KwbZL3F14v/RF3eF++/ze+Of8NPt29Dh1LxnFBlRZg9KSQTgkUJOh3LCjCl4eacenPO7z8gXSj&#10;+w+aW7/Y38jnDSr1IDwOXaB9YiJqxqch2m6FLojebUq6jtHsqWmug0avQaQ6Aib256ysVFRULEFr&#10;6zb8+N2X/FlWMVpdl3XNJT2CFNAlEomkl+Kpd35g3w4kJ8chQhUufGjpCeghSW/QYsL4Qpw/c4S1&#10;8zZvq6gf/4UinCu1zk+c/RZFpZ8hLJ/qnDcLX1L+F1QXfdj4VpiXNCG205HuTVxUshZPh5pEJXKt&#10;CkQhf0Aim94RC8eKrf6Pk+7FUE10e20HXHOXodwxErWGl+4uEtGpJvok0wjodFpECsa9q5CbnZzP&#10;ecaRKDcP5NuXbvTAUc3Gl2LbZ1hGwmw0Ify14+ENJBDzuufLNwXuWqMEi4oGmEZndT3CnUHzgc5i&#10;hWNBDWJq28X78CfUXvbTWjTFO8G/M1B9d00ENEkFGDLhwDsXP1FN9B4R0QkSKYnRw1A+Sx/8YjAX&#10;WW0oW2xGZX44qqzuPvSEkO4WeCtzRrljytm4BfMCBA8vRHRN9zjRCc9Y5bGxWiaIvydRnf2dC/u2&#10;QUqpgde34XfYnMvFcx3sOTU8tl2K595D7vNBxfswNT4Va4wfCsa761Sy67pc0weX928Ent+WLxkl&#10;vQ76znj/5nnsm5frc11lcmgfLJ+Fi9ducLesSPwJCe48wmUunu9XxPNAxWSXxLtduwk4umE1zn57&#10;mYv2VANb2C6J5FVITOcR709w/pefeWrBgdXTFGGV10l39piYrsS6O3GobjHOXDrP2vlU1kb3F3cf&#10;4dLteziydpmysMfXY8w+3z41FQvGZcNgNXPxVfTOURKc0PHSuVNR6afOoEW0zYJiVw42rCvHVyc7&#10;8POPp9i9nkTze/ynfJaV9DRSQJdIJJLeBheV/8TjBz9h/dpS/jCi0qiEDy89BT002Vi7Vq6Yh2t/&#10;nOXtpdWEwv68BUU4v4bfrv6EFVtPImL8PvwvqwX9X6lz3lUo0n2gqw0RM1tgW72Xu9HfKaSTI3zZ&#10;eujtzoA6MzmqCFjzxrM2UaS0dKF3FgcbK0dNGwrnrsCqBD1q9X1QZVKEBnKJkxPdZfyEC9/+ENEj&#10;tTruRk/WR2CxeTAX0aUb3f/Qcau0DMI4i4p98fKXeB4JnTUajnlV7rQH8TnlDygS3eqaxt3k3iy+&#10;UUWGw1I0hW2nQ7h9v0JO9/I9MCen8wh5UXt8RkNfonXQ587DANd+4Rz9OuREpzj37DEzUWkdxiOl&#10;RedKQPC40aMGoiI/HGVLrYqg+TancDDgFmDLZ+hQmTjsRbS6sH+BhPZpCENl0lCUzzK8EKeFbQ4m&#10;SLwmEb1EhSoL9eO1fgUC9zGqTH5lrOg4EiujUFEY4W5LdxzHAagzfYRldiMcUjz3C33YGNqzK1Ee&#10;9QlqTP8uNeMtpZqPsDXbgr9+o5ePt4XP0BJJyPKMvv/dwPdHtnLxvNEHIYac503j47mIR9HNQuEn&#10;BODu3kfPeD+ap45RhEBBf32lsdjJcKBjSQlOfXEEl27f5SIjiaKidkkkb4WE9AdP+Xl74dpNnD71&#10;OQ7VLkTL9DQusCrncPcL6Uo9fzuPGyfH9KVbdI4/Y22W57ivkKv/7E8/om1ePju+vi/waSph8/es&#10;HBTlZ0Jj0ArfOUqCA4NZD61BA5UmkjvM6V1wjNOGzMzRmDd3MlpbtuCnH7/C7VuXAX6Pv8O4xaPa&#10;hc8BEkkPIAV0iUQi6UXQyjx6WUa1YRYumA6dXsMfVkQPMj2N2WrkPxMSndizax2e/PM7a/u7RXTF&#10;dX4dDx78xuPabTMP4sOczsW1dwaKdCchndzohoXNiKlQhHShqOSGBCxL3njFhS4ShvwF1T42mWGf&#10;W6EI94K2SMQ4Kptgq21H5pIarEw2o9bYF1WmMP6ymcRtcokXkoiu87F2thvaBono0Xo1ppmGv4iM&#10;f/1Ft8Q71pjDsMo6ApnsC1mkzsCd/6Lj0CV4bXEj7NOXuWuLB3iRSjXbx9J10EV3vQ46QQt2DLHx&#10;cCzfGPha6NUtPHJeazKxcVIL2+MzfH6zIHLsegxwieufi+hftI/9/gEkpy1CWfQov9UQ7jRugbMq&#10;dgiPJi9bFRXcse4esXpFFCpJfLUNRLWBzYXd7Uan/dG4sf1XjI3kMfNcFBa1OZig40qu7yI2drQQ&#10;y70YK6DwxRrsGNFiDVckytix42kCGSO6rQ2U9lFv/AjznQ7o87egH7vmpHjuG/2LOjDY1Y7JidlY&#10;Y/xAOO7esCri/3Bi3UL2rPyXrH0u6XVQfPuTx7/gyPJx2OOjCEPu8wPkPg/l2uce8Zyc51PJeR4Y&#10;8Zy7zicm49iWClz4/Q8e1y7duRJ/wOuk8/SHhzhz6QKvR946M4vHqgcsSeG/KIlX9jsuFkfXr8LZ&#10;77/jKQuyPIGPUImJB0/w5ZE2Nsa+LX7isM+3TUpCw+rZ7DtgKjT64DIMvc9Q2ii5ykkwHxUxChqt&#10;CrGxduTkpGHWzIlYv64MZ04fwoP7P/L7Oo9l54aqmzye/fX7vkQSDEgBXSKRSHoJ9LBB4vn5s0dQ&#10;7Mp9sbpP9FATLNDDFY/u0WuxaWMVnj+79p8rDT2u868vfYcJlcfRL7cVffJalDrmgpeTvkAiOq+N&#10;PrUFpqXN3In+ViGdhLBF9dy5qlIFyJ3phsdLJ6bCWb5bcYWK2iMRQiK6vaYNqSs3YmF2MhfRq41K&#10;7LMiog9AgYlEdP840QkS0bVseznGUVhpHsRFdBnp7j08st0yAAusIxFrsSJcp4dK63vpBJVGzY9T&#10;VMlsRYymlAfBOeRvnLXtsOZN4OKxuov94P3WqBA9bRl3s4u27zfYXBM9dgbbL+3T9/EWwr5kax1J&#10;GFxMi6HeXv9cBAl5HxUfhi27EivsBh4xTW5Z0TkUMEgMNg1A5ZgRKJ+pD343ejlhQ/lsAypTR7xc&#10;CCDqWyBx77cy4xN3pHuQ15Qn6LhyET1cEbe7a9zI8U77Gs2OV8JQJQGhGxY+VJvCUGvuh/mxsa+I&#10;5+JrUdJ5+hUfZHNWNU/PoDEWjX1XKdP2wYZkFa5dPMiel/8SPktLJKEMudJ+PbkXzSSc+BLfzj7b&#10;NDERJ491hKz7/DIJUjy23V3zvNgp7qsvlMQrtc4XuvDVZwe5212Ja5eOXImfoXPr/j+44qmTvnMN&#10;2ucXoKHQpkS7d7cj3e1Gb5tXgFMnjvL67SG70CZI4ON3+x4Or1uBPQXR4nHvCuNisX9uLtaUL4PF&#10;YYPeKJ3o3YWndrmnfjmZttRaFcIjR/Hv9HFxdh7JvmzZHOzYXocTn7Xg6m+e5FGqZU7lRmU9c0no&#10;IAV0iUQi6QUoDyDXcGDfTqSkxCNCHSF80AlWtHoNTOzh6+D+Xawfd97s33NFOP/rr1+xeucpRI7f&#10;h//LakZYAITz16Ha6DzWfXoLrMubuJDu4aXARLXQ2f9nFyvxxgGshU7uT41Wg+jxc7n4FnCXbC8k&#10;uqYdiWU7Mau4ANXWgagxKrGpL0R07kT3n4hO2wnX6hCjV2G6aRjfTy3fl/gFuORNaKwoCr/KMggT&#10;LSoYeWS7f8Rzig5XqyMRVTARzuqW7l2YQvtatpEvvlFEdEH7/gNVRDgsWS7EVDQErt1ULoJt25iY&#10;Frj65+w4ajTsuGZMZPMtuVq9c7b2cR2COXctFjod3Ile3Z110QkSM/WKU7gyeyTKFppeCunBKgqT&#10;YE1R4ONUqKY62iTQdoMo+y/Y/rgLPn4oKmboFSd6MC8+IPgxtSlOdOpDd4noBAnn3bS/GnN/fi1N&#10;TshERMEe9O9keQXJfxPmIvd5G6YkZnFnv2jsu0qlaQBK1R/gwOJiPH92Q76QlPQ66JymxdZf1M/F&#10;7gKbWFDpDNxh6sCB0hm49OdfIeosJfH86Sviuf+dujwif6wTh9csxbnvv+X7ky5cScDhddKf8vPt&#10;7HdXcHzvJrTNzkGjq2dqpPP0hUnJON6wHpcoreKBLFvgC7Rg6czlS+yYZvun3MTYGByunIPFK5ZC&#10;Q+mbejUX0r1BxyAxWIRHLH4V0XvN3oSnn9R/Pj7uuuX07tZTu5yE8+hoM/Jy0zB39mRs3FCJT481&#10;4dyZw0qpTm7yusu4zZDPppLQRQroEolEEsp46p0/+oVH4VijTKCVf6IHoGCHIn7S05Px/bdfsj7d&#10;4v1T4tqv4dmTP7D/xCUkzz+CPjkt+DC3RfhCMlB4Yt0HF7chfJoipJOw5Hy1RjoJb4vXQmu2cJFb&#10;LBL5B6rTrLc5ELNkrYxy9xJbdSti2c8J02aiPGYkag1KXXRPnHuBcSQX0clBLjoGXYUi3UlE1+k0&#10;yDaMxArzIC6ic1HY/fJbIobGiFhuGYLRZgPUFNmuEY9zl6FrVa2CJbcEzopG5Tp+7VwJKFVNXLQn&#10;8V7N0yu6uCCA6oZbrLAv3QBnoGLc2XYd8yr53Ba4+ucavjBInV+JgcWdj29/HXKi93UdhLpgJ49F&#10;pvPGX3WFuwSJmyRyOgahoiACZUstiuAarBHlbpG/fK4RlanD+VzYrYKwBz3bZ/RAVFKk+2rWrmCP&#10;dHeL/BXjIlFlZe3viTELIDWm/vwampCUixGFe/m1JbruJF2HXPzROXWotA71m/u8Qt8fNdGD8d3R&#10;bfxF5RvfGSSSEIe+H9749ijaZ6ajwQe3NdU53lsSh5NH23ikcMi5qd31o89cOIO2OTk8il7UT19o&#10;dNkV0bBpC19kwMVz6TqXdCfuhIXL9x7j7A/f47OG9WidnctFdKqTLjpvAwUtUGkcG4NDVfNwlhaT&#10;0LxxVy4m8RYavy/27VEWM9F8LBjzztI4LhZtk1NweM8GjJ8xDdYoI+yOKO+IiYLFXWbSg9n9U0/i&#10;sY4S60hAVkPDflLiZ4Qq/AX0PlOjY9+VCa2K/45HaPb8VAR5RZTm9JAQT/v1tMHTPmovtZ33i0F/&#10;J+GcxiDaboEz1oYxaUmYML4QC+dPw+aNlfjii3b8/NMpXL92Hvfvfs/u0xTH7hHMZSS7pPcgBXSJ&#10;RCIJUZ4zKJ7xxrULWLhwhvIwxx58RA9IoQI9rM2cOYHXw1Hifa7h599+xKKNJzHU1Y4Pclq6xXX+&#10;NriQzhjkdqRbljfBUbEXcTUkpiuiujWvBCpVgGuhM7jzNNMFp9sd+oboJXkn9qoWOGrakDd/NVYm&#10;m1Cn/4hHupOITi+jC40joWFj7S8RnSA3OtXrjmJfvCaahqPUPAj1ZhnrLoLGpN4chnLLIEwwR8Ci&#10;13PXub+SAXhShCpSEc/pnOhu8dwNCd+OZRu8c6FTH9hn7FMWK+75ACRSOOs6YC2cpLQtYPHtahhs&#10;Dgwt2I4BPjpcKVq6H9vGEPYzK3UmKqJG+M3h2WVIUDWyc9k5mDu8y5ZZlfrobuE1qCCHPAnWq6JQ&#10;MVaFKvsgxU3f3W50NmbVFIWfMVKJdK9kbQrmSHe++CAa5ZM0PHmgt4jotaa+7F44CPmjJ7Lrql06&#10;z/0ILfQZ6OrA1IR01PEFPv45Z8q1fbB38mg8ffI7rxMt+u4gkYQs3H1+A+caq7DLF/c5g6LOOxYV&#10;48LVGyEYyayIimcvX0DHQhePmBb10Wt4ZLsN7QsKX0a235ex1ZIe5A6dg094zf1zP/2ET3fUoWVG&#10;plIjnUe7C87jAEBCb4PLjvZ5hTj95ae4wuYOZf64/2abJf8JLYqghTkHK+f6xYVO29i3eCxOnfkK&#10;J08fw5cnWhntONlFvvqyA4171mPblmps31rL2bGtlv+9snwxli2bjeXL5mDF8rlYsngWpk4dhwkT&#10;izBhkgsTJxejsCiLC8zpGSnIyByNlNEJiHFGwxET7f4ZxVM3dXoNF+T15ODWqTEqYiQ+GTWC8clL&#10;wj9BuCqcvx/1FYpVf7ntERjJtk37pTYYTTq+eIDalzI6nre9yJWDKdPG8T7WVC/Hrh31OHq4AT/+&#10;cBIPH/yEvx//gid//8bd5Fwk55Hs9POGFMwlvRYpoEskEkkIojys3MXlC59hfEkBVJrgqXdO0UdG&#10;i3crKSkiSK2NxLat1bh37zqajl1A9PSD+CC7Gf0KWoUvInsCjyOdhPTwqS0wLGqGvbQJcfVtiFlc&#10;B52FnJqBdaFzx6ZOCxvVP+bOU/8LZ+8DVBc9urad10Wfl5eOGssAVBv6cfGWGG8cAb0fnegEudFp&#10;eySkJxgiMdM0jL/8lvXRX6K4zj/GbDY2SUY1IvVGRPrLdU6w64cWoZjH5MDJ4897RjznkAudYc2f&#10;yNskbO9bUQR0S3r+i229sX1fqG6Gs3QnDPEpXrStC6jYPWx0MYYUN6Or9c/fRhjbDrk847NWY5nD&#10;iHrjB+zc6gFxkwRoLqQzEodyobVsuVtID0ZhmNdGt7vd6CNQ7Wm7qG+Bgkfhs30msPGaRfXkg7wu&#10;OrWt3IaKyVpUWQcq6QOifoUIdcY+fOFJ1pjZGODqQH+X96kQkjfpy+Yle04NytkY+ysho9IYhkpT&#10;GL47spW/xKQEJ9H3B4kkVKEX9Peun8XBxYXY4/Itrpzcq18ealbErxCLYqYa0ed//gn7V07htaFF&#10;/fMat3h+YPV0nP32EhfqZVS1JGggIf3eP3xBxzcXzuLo5nK0TE1VroMS31zMXYHmD9rvidbtvF0k&#10;7r/RVsk7obnsm3Nfo2VaGneRi8a6K9B58Nn2Gvz55AG/XyglLr2BhGARZO75L/7iDuzvv/0CP/1w&#10;Er/8dAoXzx/DZ0f34tiRRuXn4QbsbViP7dtqsXN7HXbuqMe2rTWoqVmBisqlqKzysAzlFUswZ84U&#10;TJrkwuTJxV4zaaIL8+dPe7Fd2k919XJs3VLN29CwZz2OHNrD23fx3DH8/MMpPHrwM+sPOcipX6+O&#10;AY0POcyJa7zMpnzelLwvSAFdIpFIQgzlgeUWPv20GSnJcYjURARFDR5qg0avRkpKHEanxAt/pzMY&#10;TFo4ndGYsHgzhrgOdHtce1cgp2NYAftzYRs+mdgK9dw2RK1sRlT+BKgjAyg2eVCpoLfF8BrKMdUB&#10;im9+T7DVtCKe/ZwwdSbKYyNQq++DGlMYF7Unm0bAoNPwCHbhcfAB2qZWp0WqIRyzzUO5gE7CsccF&#10;/z5BfVfqww/AIvMQZBsjoNPpMcqfwjlBNc81KpjTC+Bcvd3t3BafF91GXTvscyqgMxq7vPiGYtV1&#10;UdGIWbHV7wsByH0ePX0FtAY9Alaagh1frTYCozJX4OOx/o2IJqdnv+JD0OVv4W7PHot090DCKrmr&#10;k4ajfKIGpSuiFNd3WRA60ivsKKPa6B43Om+7oE+BhPZpG4jy8SqUUaR7MDr3PdAxJCf6DD0qYwaH&#10;qIg+AHWmPiiLDkdK5jL0Lz6I/i7/LGiRKHD3efF+TGHzUT0ba3+6z3cW2fHw9iX2HeGm8PuDRBKq&#10;KAvHb+DHz3Zgj49uRRK/9i0twfnffscVqmUsEHaCFRKcLt28jUPVC/wf2z4ujteFP1yzEBd+/VXW&#10;eZYELxTtzs5PEtK//vpLHK5fjKaJSWgojuk2IZ0i3feOi8WxrVW4cP1PKaJ7A6Vb3HuM43vW+6cW&#10;OpvDmiYm4xt2Ttx7dhfwQdglUfhNSCz+LzzvaV8Vm0mAJiH6Ve4IuPca9xl38fejX3D7z8v469YV&#10;r7l98xKe/PPbK9v17INi1j3797TNI5hfe6NvonGSSN4npIAukUgkIQQ90FBczo7ta2CNNvE6OyIR&#10;uruh2jgarRqTJxXj4vlPsXrlPGj1Gq+Ffb1RhXBzAgbnbceA4tCIDSUhnZzpg8cfQLhrPXQWB9Tq&#10;SLFg5Dc0UKkiYc0Z5xbOpAvdFyjS3V7ThuzF1ViaFqPUfzX05aIbOaEpdp0Eb3KQi4+Hd1AkOW1X&#10;r9NwIX2OeSgqzAP5fgnRy/LehEc0JwF9iXkwsg2jYOYLFvwY1+7h9Zrngaob3lWqmxHL2mNOy4Uq&#10;YpS47W9Do4ZGb4B9+nL/CuhVrE1VTbCw+aXLbeoCtADAYLNjRP4GhAWgxjItdKLazYPZz+wxM1EW&#10;PQp1xr5+qzvcZTzuavbnysRhqJjkFtJ5FHiQCcTUngobyucYUJU07KWT/vU+BRK+vwGozBn1MgI/&#10;WN3o1C7WvrLZbLycJKL3QAS+l1SzMa439sEyux4xOVXoX3yApziIrimJ9/QpPgRnVhkqo4azZ4y+&#10;wmPRVSpNA1Ch64NL7ev4y0+KuhZ9h5BIQhUSIv558AM+q5jqs/ucYp8/b9+Nbx89Q0jV9L77mEdY&#10;f7qjlgvdJBaJ+ucNvKZ0cQyObaviAv1lXhde0AaJJJi480hJSbh1F6e+OIr9KyZxAZ1fHyXxwnPd&#10;n5BrmvZ1iBad/P4HrpCILheddAmaa87/8jM6lpSgoch3EZ0vkCqdie//vIHHz27ykpeie0qooAjy&#10;r7rjvUXGqkskviIFdIlEIgkRaFXgX7cuY+WK+TCaFLe3SHzubjQ6Fa/fU7pqIV8hSSsaz509gqho&#10;MxfWRZ95N3qYTWroElwYVNSKsBCKD+Xx7sWHEJ40HVo11UIPUM1gNyQ+aQ1G2GeshLO2TSyESTqN&#10;o6oJtpo2JJTvxpTx41EWE85ro9eZwrgrOs4QyaPX/S7sMjz10XXsnEk0RGC6aRhWmwdyF3xvjHcn&#10;4Zzqv9OfF5kGI9c4Eiad+sU4iMbIF+ha0XDxfLxS87wmCJznr0Bub9uURTyRQEUueUEfhFA5B/b7&#10;1vwJ/l0QwOYTx+K10EdF87ET7tsfqEZBw+b6oWNJ7A6cYEcx1GGu/XDk1GB2bBxqTf171o1OwqrH&#10;pZw4FBWTtEq0OznSg0lIJ1GY2rQiChWFEUqdbxKGX+9PIDEpwn1l8jCUzzcGt4hOsPEqW2Tm7eUL&#10;AIJcRKfFJPWmvpjvdEKbt4WL5+SUFl1HEu/px+ag4UVNmB2XhHrjh8Jj4Q2lqg+xy+XE/Zvn2DP4&#10;LeF3CIkklCEB4OZ3n2LvBBKtvBeOSVxpn1+Ec99/qzisBYJOUMIdt09wom2nIhCO9T3u2APVg29i&#10;Pz/dWYdLt+9JJ60k5KBSDJTOcOHqNZxo38mv8cYie/fUR2fXYwPb177lE3H228u4QgtzpIjeJb59&#10;/BwnPz2gzG0+Rrnzz5fE4/N9DfjjyWN+/wh1EV0ikQQHUkCXSCSSIIdic+iF2G+/nsGM6eOh1qqg&#10;NwZHvXNywDudNuzauYY7XpQVjtfxz9+/o3T1AqjUEcLPdQqzDhaLDqox8/Cxa19IvcwdwNo7NG87&#10;NJY4qNkYCUUjP6KKjIAxLgkxK7dy0Usohkm6BLnRSUjPWlKLhVlJqDWHYY3+I6wyD0SGMfxFHXPR&#10;8fAVRUBmx5Xh1KswzjgCC0xD+IvyetaOUI53VyLqB2ANo4yN5SzTMGQYRvGIfM/CBH87/AmVSgWt&#10;Tgdr0VTFeR4Mse2vw9rkXL4JBkccv6ZF/XgrkeEwJmfA6TcBvYltqwXRE+azsetiW7qCRg29Xo1R&#10;aYsQVnxYOJ/6E7qPkBt9aFETilPGo9I6lNd77pHa6B5IXOUiKyNJcaS/qJFO9chFAm1P4HbI84jy&#10;xKGK+N+dwrBnwYFjEMqn6JT2BGP0vQdadLDUisrMT5Tjy530r/UpCKCklXrGlIQMRBTsQj8Xiefi&#10;60fiPUo5iYNIyFzB7oMD/ZaAQe7zUvUH+Grrcvb8fZt/ZxB9l5BIQhUeH/v8Gk5tWYqGYicavXWW&#10;ss+RW/SzXWvc7nOxmBN03HnAxfOvT3+BlunpSky1qH9eQEJ808REnOjYzfdx6d5jcRskkmDnzkMu&#10;pNN5fO6H73m0evPk0e5SBwF2o7O5hepvk4v6m3OnlVILdx6J2yl5A0rWoMU7FMXPj5eP6QG0oKFt&#10;fiE/D+4+v8/uIb8L7y0SiUTSFaSALpFIJEGMEtvzJ775+iBy89JAdXsNQVDvnNpA4nlWdiq+ON7K&#10;X9pRW1+2+09cv3oehYXZiPBJRNfCEmXFqOwafMyj3ENIRC8+iIiUBdBoNNwhKhSP/AbbvioClrwS&#10;OKuaePSyWBSTdBXuRq/Yg/HTZmN1gh71xr6oMvbHWOMIaNm4B6IuugdFpNdhFMOsUyPNMAqTjcOx&#10;0jyIO9JrOIooHazudE/bPDHt9JOc/EXGT5Cgj4ROp+X9C4Ro7oHEaJ3FCtvkhYrAHIziuRtqnyWz&#10;iF3PkV2aN3gf7XGIWbHFP/2jbZTuhDEhhS8+EO3TL7D7g9bqxMiCTQgr6r5yHeQEpYVZ8ZmrsSjG&#10;zus+k5AoOoe7FYp2pxrpycNR8aJGOrmtSSwWiLTdjSeifJmFR6r/y0XfXbj3V+GKRCnVRSehWtTW&#10;YICc6Kvczn0La3uQiei1pr6oYe0qHj0egwtb0CcAJRQkCv1d+zGssJHNNzbU0nOE4Hh4A7nPt+VY&#10;cfeP0+zZW7rPJb0P+n754MY5dMzO5gK6SDDpDCQ8t7JtnL1yQYlaFgg5wQg55c//9gc6lo7nwpCo&#10;b95A7lxFPN/DRUeqRSzav0QSalAsOJ3Pp78+iQNlM9HocrvRfRRm3wWVh2idlYWvTx1XFqRIJ3qn&#10;ufLwKb45/w1aZmbyVAzR+HaaEhLRo3F0SyV+vH8ffz8N/Sh3iUTS80gBXSKRSIIU7uZ+fh2HDzYg&#10;PiEGKk0EjGaByNzN6AxaXt982tRx+P7bL/gLO3IG/Kv9z6j9t3Hyiw7Extp8i5s3qWGMScGw/B0Y&#10;4AqNeugcVwcGFzRAbU3qhlroDLUaWoMe9pmr3FHush66v1Bqo7dj9MqNmFlciCr7CC6kzzEMgl2n&#10;euGcFh4XP0GOdBKatewn7TPNEI4pJkVMryI3m1kRqD0idU8J6q+K5QT9neq5LzMPxljjJ0jSR8Ci&#10;U79YGBBI4ZwEaBKW9XYn7LNL3eJ5kC8uYW20T1nM5ky9Uq9d1C8BFLGuM1tYP1f7JYWCxso+azU0&#10;Ol1AFwBp2X0tMs6Fj8ce5fP7ADZvdtdCqTByhLoOcddt4ehJKIv6hLvRq3taSCdR+kWN9KGoGKfi&#10;grWnHnlQCOkkDK+ORsVkLaqcQ9wO+tf6EUjcjm5yd5ctNbsXGQjaGQy4nfIU0V/tYPM1JQ2I+tSt&#10;DGDnel+UR41AWvoCDGTXXb9Qer4KMch9TrH42WOms/sizS/+OQcqjWGo0PfFlxsXs2fuO/zZ+1/P&#10;4hJJL4C+Z357cCMXRRrH+eI+j8HRjaXcpRoywtbdR7jM2vrZnnVocPlfPP+8fZdbbGRjItq/RBKq&#10;UH30x8CFa9dxon03Wmdls2vI4XNE+LugRS60UIdEdLq2pBO9k1CCwP2/8dnuNYqA7uNiB0rXaJ6c&#10;gq++OoFr/zzC86cynUcikfiGFNAlEokkCKGXBX///Ss2bqiANcoMim0XisvdjFrH2mE2oKJ8Me7d&#10;+Z6188+3x0W6o+d37aiHzqjxIXae6qFrlHrohc0YUBRC9dBdBzAyrRQaXgc90C50hioSekcsHCs2&#10;+7cWsgSOSqU2urOqGTmLKrEwZzRq7MOxWtcPY3Qj2bURmLrdr0NCPbneaV8a9mezToNkQyTGmUZg&#10;vmkIVpgH8Wh0ErEpJp2c6oES1V8Vy6mWOe2P/k77X24ejHmsPeQ0j2ftM7J2Uvs9bQ+ocM5QkfjM&#10;rgdTSgZiFq9VxHNKZxAc26CCBP6V26C12rpUd5xqplPt9OiJ8+Gsaxdvu7OwcaIkC0taPhtDakOA&#10;5i6NhrVZA03yBAzO246h+TswpLAJA137EVZ8iNcrD3TpDoqqJuGwP5urrdm1mO+MZedzmF8dol7j&#10;cXfTT+cQVIxVoWyJ+YULXCjWdifkiichfYEZlek9EFPuGZ+EISibZwruuuge5/4CE2vv0O4dp9eg&#10;6HASz5fZDYjLKmPX2gH0D6HnqlCE5hh1/jassGlRa+onPC7eUKbtg83pBty/fpY9b98UP4tLJCEM&#10;/4755Dd8VjENuwsoilkslrwLqptOcc7ffPOlEq8sEnCCkCsPnuLUyc/QNCmZC0KivnUV7sQdF4vP&#10;W3fwseDxyYJ9SyS9ATrHyQ1+9solHK5fwoVZfy5GEcEjxLmI/jm/hqWI3jloIc/5P66iY9FYvuBJ&#10;NLZdgZIH9pfPwsUbN3Hv6V+A4B4jkUgknUUK6BKJRBJEULwQidJ//fU9ryGuN5Lb2wf3th9RaSPh&#10;jLVjz661wPNrnXpZRy76J//8jkULp0Knj4TR2/h5qofO0KTMwkCK3g2RKHeqhT64qBnqmHyo1aPE&#10;IpI/IcetKhKWzEI43UKYUCCTeI2jqhn2asXJnL+gFEszE1EVNQiTtR/Dwq6RcE3gxWEPtJ9IreJ+&#10;5w54nRY2Nl+kGiJQaPwE04zDMM88FEvNg1FuHsiF7rVusZsgcf1Vgf1t0P97ftfzWdoO/Z3EcnKX&#10;zzMNxVS2P9pvCtt/FGsHtY+c8542dtu4REZAw8bCmlfCY8iVxSQhci1Q+YWKRhiTxrA5owvR6eQS&#10;jwyHpWgKnHUd4m13lpoWxCyqg9ZshSrA6RlagzK/m60mmB1JMCS4oEqdixGZVRiet5XNn+0vxPRA&#10;zvu8PrHrAIaz+TpzzEyssqmxxviB3+oU+wQJxW5xuto5GBVFESibb1Tc6OS8Fgm23Yknprw4ElXR&#10;A3sm0t0+COVT3XXRCVE7exI6Tqxd5bMMqEwdzs4r1ubudOy7oXSFelMfzI5j11reRvR3HURYEaU+&#10;iK8Lie/wRUBs/ipJKkCdqZ9y7AXHpqtw97mhH05tWca/N8ja55LeCKWZXb90CG3T03yKbycx5lDV&#10;XFz8807oCMasnRev3cSB1dMUwc8f8dPkxB/rxLFt1bzmsHSeS94LuLuZ6pI/xJcHW9A+vxANBdH+&#10;uabegseJfpri3B8+4WkSwrZJXsKODy04+OrT/dhLC318rV1P8x2b+08caMbPjx7j6dNreP5U1kOX&#10;SCTeIQV0iUQiCRLo5Re9KLh69RymTRsLrU7tg2vbfxhM5KpVISsrFZ/zeuc3GS/rnf8XeE59+hOn&#10;Tn8JW2wyDEYfFgOYtVxkCc+swIDiQwiZeuisrZ9k1kJrMINq2ItEJH9CrlUSD21Tl/kupEneiseR&#10;Hl/VCNfsJViSnYxFUcMxRjuCHWc1IjXi4xNIFEH9Zd10+mnUa2DXq5BsiECGYRTyDCMxzjgCk4zD&#10;Mcc8lLOAsdw8iLvXX4ci4heYh2A2+53Z5mGYbBqOEvb5fMMnyGTbS2LbdbDtG3RKPXjPfrtTMH+B&#10;J7I9ygbblMVwkps71JIY3IterNlF7gj3zru/VeEjYcodD+ea/W9utws42XltzS1xC/iBTc4wmE3u&#10;OV7P53gq2WE2RcJiNcIck8yTRyLGLMLI3I0YSGK660BAY977F3WgL5uzzbnrMCkxF1XWIUqsu7mb&#10;ReG3QUK6PgxVjsGoyAtH+WxDcES70765QKznjvAqA2tjdwrEJKJbBqLCFYHS1VQ3PghEdPeYkHhe&#10;PteIyqyRvI3dvsDADTmfa9h5PD65CJ8UNsh6593ER67DsGXXoDxqpF+TLcp1fbGz0IYHN8/z53LR&#10;M7hEEsrw78XPb+JcQyV2kdglEkg6QSOJKONi8dWJI7jMa5+HRnw7xU+faN+FvePIMR4n7FuXYONA&#10;NZqpLvDlv+5L8Vzy/nH3Ea48eoZz33+Pw+tW8CQGfzid38YLEf2r48rcc0fWRH8XNC9dvHkbB6sX&#10;YA+br0Tj2hXo+LYvKMK5X37Fzb/vsfuKYlgS3XMkEonkv5ACukQikQQBJEiT0HzuzDHk52dApaZ6&#10;5166tf2IjhzwOjWmTyvBLz+dYm0U1Dt/CwCJ59dw/JsrSF78OUZmVcNstSgiiWBfncFsUsNkj8Ww&#10;3M0IKw6Vl7/t+Lh4HyISpkDL3ZyBFaQIlYrqPscgZsk6v9RDlrwde1Uzomv3IaFiNwoXrMYcdv2O&#10;jdbAqo3gaQCRAawf3RleFdRHuqF/o0UWJp2GY9GrYdOruNAugmqW0+9RDDvFhKsYnm29KpiL9t9d&#10;0FjTwgVzajYci9bASec9ubkFxyy4aeLCf/T4uYqrvAvnjypiFIypOXBWNHifPkELDpZt5HXjaTGC&#10;aD/+xGgSz/Umuv+ZSUyPgIXKeNhioY3Ngnr0HAzP267Mra59St10P4vpFOvel91fBrk6kJy5HIti&#10;olBrCmOQ+BVkQnr0QF4HvHymHqWr3IIt0RNiOo8pt6FssRmV2aOUkhHdKRa7XfqVWZ+gdJm150R0&#10;j3BexsZiERuLvHDukOfHqydc5+ycJeG2zPoJMtNmY4irHX15ooP4/Jf4D4puH1HYhFnxyag39hEe&#10;H2+oNA1Aua4PLnWsU57Ln3XuuVwiCSXoe/H9G2dxeGkx9rgcQnGkM1Dd4wOrpuDC1etuAV0s3AQT&#10;1M4Lv/+OfcsnoqHI++j6F3Dx3IZDVfNx8fpNXKZYacF+JZL3gSsPn+HS7fv48mAT2mbncKGbyjwI&#10;rx0fUeLcc/D1ma+UmuiC9kj+zZVHz/H12VNomZ7m+wIHWkDF7gFHt9Xhu4dP8PCfG8Az6UKXSCRd&#10;RwroEolE0qP8Doo5J/fI4UMNGJ2agMggEc8pOt5g1KFs9ULcu/uD+yXduyMiaWUnCef37/2G6oav&#10;MWpcB/6X24ow10GoU+fBYtYo4ohgn53BbGbtis3GkII9PCJd9NIy2BhQvB/D8rZBY3ZCHeBIZA+q&#10;iHCY0/LgLN+DmOoWsVgm8Rt2Nsa2mnbEVzYiY/lajHMVIcFhg54db1VkePe7sf8DaovHre4R2Mk9&#10;/jY8ArmHoOoLubS56zwa0SVz4CzbrYjnoRLZ/gaKgG6bvLjrAjo7z4xJ6XCu3qHUUhdu/79x1rbD&#10;OnYmrx/flX17g87Q2fsAiekaPveb2Z+N0Q4Y4vMQkVGKIfm7MMhFMe8HMcDPUdT9XR08On5EQQPy&#10;UqdiVXQk6k19UePHGsY+4xaNq6wDUTl6OMonaVG23KoIuJUk4kaJRd5AQvteHY2KCRpU2Ug4Zu3r&#10;LuGY9mMYgMpkNhYLTEp0enctJqD9uPdXttCEyoJwVDlY/z3HSNTeAOOJbF/qMCMquwr92HUSxhMc&#10;xOe8xH/wshBsvNPS5qGOHYcqs7/KQQxEqeoD7C6Oxf2bF/izuehZXCIJdejc/vVUsyKel3gb5RvP&#10;BegT+xpw5SGJxqHhAP320TN8sX8vF3687/tLKAJ+3/IJOP/jD1LEk0gY5HS+cv8fnLl0AQfKZqJx&#10;bCwvbyC6fnyFRPSOxSU4+90V9zwkbpPEzZ1H7Nj8jWNbKpUFRD7OgSTCN08dg1Nfn8TVp3/jKbu/&#10;SBe6RCLpKlJAl0gkkh6EVtc/e3odu3eugT0mClRnXCwgdC8qTSQcrD3bt9bh78e/utsp7sOrKJHt&#10;13Hhu+9RtPoz9M9rQZ/8VuVlIq8H3gJDQqHiJCdRRLDvd6OH2ayBLnkSBrnoJWVovAweUHwA4amL&#10;oOEOdIpmFotKfkOjgUajhm3CPDjJVSrroXcL5Eh30IIFNuapqzYjpXgyjLGJ0KjCFZe06FhJvIKS&#10;FugcN3HXeb1ynof8YhG3gD5pkXcCenIGnFT33RsBvaYNMcs3w+CM7xb3ucHkzT2AxHQtuwdo+U+T&#10;g11bo2diePYafn+heun+vCeQCNbftZ9HxxtzN2FiYi4qrcNQb/wIQeNGJ0igJbc3CcjxQ1FeHIlV&#10;c21YvToWZVXRqKiwoLzMgtLSbhLUy2zcAV4+x4CqxGGo9rRN1HZ/4xbRq5xDUD5DrzjRqT2idvoL&#10;d43zsgUmXqOeO849wnl39fs1aKFHrTkM0xPSoMnfij782giR0je9AJo3dPmbscKu9euim0pDGCpN&#10;YbjUsZY9b/+FZ7L2uaQX8hw38M+jn/Dl2nnYU+SL+9zO43vPfv9tyLiuqQbwhd9+x76l45Xa54J+&#10;dYWG4hi0zsrCmfPfSOe5RPIq7prbF//8C5/tWYvmiUnKohXBdeQrVD5h/6ppuPD7H3IRSyegFI5z&#10;P36PtvkFfjkmNP6H6pfi0q27uPf0Np5LF7pEIukiUkCXSCSSHoJc5w8f/IqamuXc6a01aARiQfdC&#10;zncSz9PSkvDF5228jZ2ud06R7c+uovnoeRgmHcD/cloQVvjvF4rk5huWvx2mmCSYTT7016yD2WqE&#10;Km0ZPi4+EBIvhalu7+CiVqjtmdCoAy9OEVQPXWeJgmNhLWJqpAu9e2mCg8T0un2IXb0d0cXToYu2&#10;c5GTosa7I8q/10Kuc1UkF3qjJy9WUhZI/BUeh1Cj5wR0WoBA48nPzy7s1xs0ei273wjm9i7hFtNN&#10;KliirNAnuBCevhJDC5swgBzpfqyVzt2k7P71sesAYrLLMTcuAbWm/ryudNDURydIrCXRVh+GMttI&#10;lGdqsWy8AzPnF2DhqkyUVdhQUW7mYjpRVmZFWWkUJyDieoUdZcusqMwZpbSvO53YJKJHD0TFBLXi&#10;iidEbfQW7jhXtksLBSry3Y7z7nTcC6HI9j6osI5AXuo0jChqVs5dwXktCQzk8qfn3YmJ2ajjpR9E&#10;x8k7Vkf8H1qmZ+DvB7/g+fMbwudxiSTUoe+fd379Cq3Txngdrdzodp9/uqOORwKHhPv8zkNcvv8P&#10;vjzU7BaNfHRejo1F08REfHm4VRHPZQ1mieQNyI1++d4jnDzShtaZmbzsgz+SH/4Nm49cdhyqXcRr&#10;fIdKOYmehKL2T7RuZ/cAJxpLfIzYp88zvjy2H788Jhf6NelCl0gkXUIK6BKJRNLNUAw6Obr/vHkJ&#10;SxbNgEangt6oE4gD3Qu1gdoyYXwBfvzhJGvjX9xRLurDq+A5vei4htu3f8XCjScxsLANH+a2CF8q&#10;EhS1OzKrBuYo3+qhm0wamG12jMyuC5l66BTlPjyrHlqDCWqNSigs+RtyknJRjeoiyyh37yEHP4mS&#10;NIb0syuO/ppWHituX7Ie1vwJ0FmsPMqfFjgEWqjsTdB4kYtfazIjqmgqYlZs5pHj3saVByc9JKDT&#10;ApvVO2CISw54UoJKQ/Htfr7n0aIqUyQsViMMzjReLmRo/i6/10mn7ZCTd0ThXiSlL8ayGFNwCumM&#10;amMYqvX9UWr8BEtZO+dkpKNo3CykzViGkgXTMWtZIVasdnIxuLw0ChVlVlSWmdnPl+K6X0R1dy1y&#10;ErKrbANfOuUFbfY7bsG+oiCcx8r7LKJ76psTbHvkcK/MGOmOqg/r3gUCAmpMYagz9cFiZzRisiv4&#10;ud8/RErd9CYouj0ucxUqLUPYMaH4dvHx6ioVur6ocwzHLyeb2HP3XfYMLh1Ukt4HfU9+/vwaruxf&#10;j4Zip9dCVuPYGLROT8PXp0/g8oNnQoEm2Lh8/29cuHoDHYvGopH6LuhXZ6GFB00TEnGiYzePQ6ZY&#10;ZNE+JRIJu/buUmz4P/jm3OmX6Q/+FtHZ9hqLHfh0Zx0u02KZu4+FbZEo0Phc+OMa9i2b4HstdEZD&#10;kQP7lk/i27z95C6ey2coiUTSBaSALpFIJN3I82fXuHj+y4+nMGlSMXd7G0w9L55rdGoep7ti2Vzc&#10;vH6Ri+edqXfOXeeMby5/hzGLjuKj3JeR7W+nHQNd+6Dh9dBJQPc2yl2ph26MSeH1xQe4Dgj2FVxQ&#10;tDD1PTJxWre50LmbVBUJq2uqjHL3hqpmLtI6SWAs240YEifLdsHJxlERbzu7KIF+v41/zrF0Pax5&#10;JdBZo/mx4YKlFNLfikql4nXOtUYjLFkuOBavZePIjkuvcZ2/Al2fVXthzS9RnPZdSCrwXkBn5yY7&#10;v6Mnk2gfePe5WudtfHsn4EK6ChZ2XzHaE6AdPR1D2f3hY3KE8oVW/hHSydHb33UQEQU7kZ86hddH&#10;J6dprZ/dpv6g2hSGWkNfVBgHYblFhdnORBSkz4SpcB10JVsQM3Ut0mavRMn8yZi/LBVLVyRi5apY&#10;lJXaUVVmRnW5AZXlJlSwP3stqrtF5/I5RlQlDUOVIax7RXQGCd3khvcI+l2C2l9p538uW2JB+SSN&#10;0o8o94IAQrTvbmMA6ox9UG0ZhAlJeVAX7GDn6EGEhUiJm95EX/YsqmLzwhKHhR8T8fHyAtMAlGk+&#10;woHFRey5+3qnntElklCExPMnj3/G4WVjFQFdIIR0hkaXHQer53NhLCSc1273+VdH2xXXvY+OSx5Z&#10;XLMAl279Jd2uEklnoNrbj57h3A8/4EDpDC7aepuA8TZ4KsSEBJ4yQYJ9SCRj9BhsTnzwBCePH8Re&#10;Nm4+L2igBQxjnfi8bRd+fPg3/n7KnqUE9yCJRCIRIQV0iUQi6SbohQAJ06e/OoDsrFSotSoYzAES&#10;EboAtcNut2LXjjX45+/fWBs7We8c19jv/4Ft+88icnwHPhREtr8NXg+9sBn6RBcXwUXt6iwklhji&#10;CzC0sJFvV7S/YIJqoQ/L3wlNVDLU6vB/C0sBQnHtmmCftZqLuGIRTfIG1S1wsp+OeVWIKpkNS3oe&#10;zKMzYE7LRZRrGmyzy7igzoX01z/7NqrcLvaaVjiWrIMltwT6aLviSKe601JIfwF3nEeMgtZogomN&#10;uX1OOReYe/VCEDo/KhphiEti50TXUiq8FtBpn6W7+D67o06/1t/ucxEkpFO8O2FzQD16JoblbsbH&#10;rv0IY3OwaG7uKuRGV+qj74c+bzPGJ+WjPGok6knINIWJRbAehBzy5IbljljjAKyIUmFSQh4S05dB&#10;m7sJQ1wd6Dv2MMJLGhAzuR7pM5ahaN5UTF5UgPnLMrBkxWiUro5BdbkZNRV6VJYbUVFuUtzqnRHV&#10;3ZHnPNI9ayQXBLtNeCaxXj8AlaOHo2yhGaWVnRDRPRHtlXaUrbCifLYBlfkRqIoZpGzPLcwL99eN&#10;0LlWb+qDlTYNxqQt4Av16LwcIDhnJYGFFizQfOBKdinzgB9TKcr1/bAm9hPcuHy408/pEkkoAtzg&#10;53nLlNFoINFEJIS8g8Zx7HMTEnDyWLtbPA4FAf0Rr897oEwR7nyJb6f+N7HPf3X8ML79G+L9SSSS&#10;N6GFLA+ecZfy0fUr0FDsUOYTwXXmLY2uGLTOysY3577mMeXCdkg4FK9/8cYtvhiIFgWJxrMrULJH&#10;65x8nPvlV9z8+y6ePxPfhyQSieR1pIAukUgk3QC4eH4bhw7uQkpKPHeeC1/6dyNUf5bakZISh8+P&#10;t7D23WK8u9452IMm/d6NP3/F3LVfoH9+Kz7Ke5fr/E3CXAcwtGAnjDGpMJt8EdH13MmuTZmGQa4O&#10;DHAFdz10/lK7+CBGpZdBozdAzY6BSGTyNySuGZyJcC7frAiQIiFN8hISuVdsgTVvPHRGIyIjRnFx&#10;kdzQ/CcbT41OC2NyOhfSuyzq0u+SQF/bDsfiNbCOnQ5jbCIXTRUhvWvu416DRgOVWg1VRDj0liju&#10;OLfT+NJ40eKP3iqce6CFFQtqoDGalIh/0Ri9BVX4SJgyihDLUxE6P050DkZPWgANbYO73sXb9xfd&#10;m7rysk662RYDVcoMDM/d5K6RTguufL9fvKyPvg/ROTWYFp+GWvNA1Br7Bl2suwePmE5x33WsnSvt&#10;OkxKzEZK6nyYc9azPh3A/xV9iv8VHEVY4QGoxu2GacJmxE2pQMqMJSiYMx3TFo7F3CW5WLo8BeWl&#10;0aiueOlUJ16vsf6izron0n1c5EsHt6CNAYHqk8cPRfksgyKik0j+umjO3eZKG8vnGlBRrEJVynBU&#10;Wd2fJ+G/R2ucv4QSD+pMYZickAFd/mb0Z+e1dJ33DPRsR+OflLkC1Vb/RrcTZZoP8eWGRXj+7Dpf&#10;kCt6PpdIegP0ffmbHat8jG93on2Bi4tgJMCIhJlg48qDJzh18lM0TUnl7Rf1q7M0FtlxuG4xLt2+&#10;i0vkwBfsTyKRvB2+8ObGLRzbVOoW0f3rRKeI+P0rp+D8b7/h8oOnwjZIFK48eo7Tp06geXKK73Mj&#10;j9GPwbFtNfj+4d94+M8N4JmMcpdIJO9GCugSiUQSYGglPQnou3bWI9pmBjm+xS/6uw+9SYdIdSTG&#10;lxTg0oVPWRvvdCmy/eT575C68Ag+zG5B/4Kui+ceyI09MrsepmgbzGaNsK2dgtyGVhMi05dxYcRf&#10;Mb2BggSXga4ORMZPhIYE9G5yHZPwa81ywVnR2DWH6vsGGxtn2W6Yx+RwB/RbhUyNGqrwUdzdb5u+&#10;3L0wwQuBl6LdSRxesQXRU5bAPDqTx5VzBzIJ6iRq9mZnOhfNlb5SbLneFoOowilwLKhDbLU7Kr+3&#10;C+cE66OzugXm9AK3E7wLx5zOj8hwmNm4OdfsF29fBC3iKN2p1D6nhRuibfsRrZ7Kdgjm8O7ArIXF&#10;xO6/tliok6diOC/9sZ8L6f6okU7b+Kj4EIYVNsORVYZ5sXGoMQ9Q6qMHoSP9JSSm98Ma4weoM4dh&#10;tU2D6bFJyB89EbE5Vaw/TehXuB99Cg/ig8Kj+L+CT9nfD+KT4iZEjtsF/fjNsEyqQ8K0VciZuQAl&#10;86ZixqJiLFiaiZWrnCgrI/E8mgvo5WVWTkUFo9KKypka1MQNRLWxvyJMC9vnZ0gEdwxC+VStIpaT&#10;oE8/3WJ62XwTKsZGonL0CPZ7gxWBn+qbB4loTtD5RCUDVkdHIDttFoYUtfBzT3ReSroHim4fWbDL&#10;Hd3+kfC4eQtFt2/Li8K962fZM/gt4fO5RNIbeP78Bh7euoRDS1zYXeQQCiDvxC2QHN+zzh3fHgIC&#10;8p2HPM75yIbVaCiyi/vVSUhgap6Symu/S3erROI9ioj+JxfRqXb5Xn+K6Gyeaiiy4dPttUo99Huy&#10;HvpboWh9Nj7HNpcrLnQvF1Z5aHDFoGVmBk6fO4MbTx6ye8/vMspdIpG8EymgSyQSSQChmEWKOd+w&#10;vhwGI4kHvsWV+wOtXsNrni9bNhe3bl5ibbzdSfH8Gp6yn9v3nYVqwj78L6uZO25ELxK7RPF+qNKW&#10;wmw1coFD1OZOYdbAHB2NUZmVbhFdsK8ggkSbYfm7oIlKAMV3i8Qmv6NRc9d09MQFimDrjdj7HuCs&#10;a2djNB8at6ArHMtXILGTBG/73EpF7BVs892wY1HTqojw5XtgX1iHqIKJ0DtilaQCEtIjw7vFIdxd&#10;8Ih21ie1RgWtyQxjYip3QjtWbXPXmCfHeRcXetDv0zjSZ6lGOrmxQ0V8Z+edfU4pH4uuus9JQNew&#10;65tKDTjrOsTbF0C/S/OBhsR6nnog2LYf0XVHfPu7MKlhYfcLo80JbcpUDM3brtRId1G0u+9Cen82&#10;t/cpPowRhY0Ynb4ESxxm1JrD3PWQu0kk9pJq1k5yNdcbP2JtHoBy6wgsthsxOTEbmekLoMrbjOEF&#10;DRhc1IqPXEfwP9cxfFB4BB8UHEHfgoMYWNiBIa4WDC/ei5Fj9yCiZDvME9chcUoFsmYshWvObExa&#10;MAEzF+dh4cokLC1NwsoFDlSMHskFYX+7dt8KieJRH6OiRIWyFVFKPLsrApXJw1BlG6T8DonmQRDR&#10;/m9oQQYbJ/bnafHpsOSuQxh7hqJzTnQuSrqHMPeiyHHJRXzBjD+v8wpDf1Qa++PygY3sOfwOex6X&#10;tc8lvRcqdfbT8d1oGp/gteOTPtc8ZTTOXL7IXd1CQSbIuPzwKc5evoD2uflocHm5cIBDiwccOFS3&#10;iG33IRfmRfuTSCSdg88hJKJvXI1Gdm3604nuqYd+6sRRXHn4nO1PXq9vgxYDnWFzZOvsHL5ASjSe&#10;XWFPYRQOr1uJ7+49wKOnN6ULXSKRvBMpoEskEkkAoHo65BK5ffMyli2dwwVrnbEHnXduVNpIWKNM&#10;2LqlmovmwE08e0ftH6Uv13D7zm9YuvkkBhW248PcFuFLRG8Y4OrAQPZTlzSBixqidncachfaEzEi&#10;bwt3t4v2Fzy0szbux6iMckUg1XaPMEpiry7KBsfidYjxWuztxbgduabkdO4+F42hCBKCTSnpvJY0&#10;F21F2+4s1IYat/DL2mKfsRKW7LHQxyRAa2TXcfhI7hYORTGd2sxFcwZF4xviUmDNn4CYBTU8GYEc&#10;2CSAd1n0rmqGs76D16yPWbaRL0BwLF4L56ptiKXtEa9/Joggwd/J2m2ITeTHVjR2/wUJ7jqLBfY5&#10;ZUrUvWAfb0BjsnoHjAkpyjERbNevUMkDs2De7hH0L2qkm3iN9FkYmr8TH7P7BtUwFs/ZXYNETapF&#10;HVm4G7mp07DUYUSdqR+PdhcJZcGGEvPO2mvqywjjom25dQgWx0RhclI+4tOXwJBdB03+Vows2ot+&#10;xYfxv+Jj+NB1GB8VHUKfwgPcud6fEVa4DwMKKVq8nd/vBxW1YqCrBdqS7YiavAnJk0oxbXQG258i&#10;EIva43fcjvdq+yBUWQcqDnNPXfMgcpt7qDb1R73pIyyz6ZGavhBDi1rQz3XAL+kJEt/oz+aNxMyV&#10;qLQM9u8iEHYelqo+QOusLPx9/yflmV3wnC6R9AaU0gTXcGrzMuzKixKKHp2hoZDiyxfh4o3bIRPf&#10;/u3j5/i8ZYfP7kq+eGBSMr7+5ktcvv8P27YU5CQSXyEn+kUuoitOdH/WRCcxuH1+Ac798L37mhW3&#10;4b2H16Z/guMN69E4NgZ7x/nmQleSOlLw1cnPcePJA+lAl0gk70QK6BKJROJvuOB8G7//+g2mThkH&#10;imzv3pqvYiLU4UhNTcThA7t4+zpV7/y5Ip5f/P4HZC0/ho94ZLv4BaIvUIzu0II9MMZm8Vq1ovZ3&#10;DhJFNDDEZWNI4V6+XdH+ggW+eMDVDhVFubPjIxSdAgAJdMakMXCW7kAMCbUice19hVzLi9fAYI9x&#10;x2iLx/ANuLtfA/u8Kp9rzDte0KQ4qqvZ9kgUXbUN0dOXwZQ/CYaEVB4dT7XCI7mYroKKYrx51HsX&#10;or8Dibs9itOctTFiFBfNTYmpsBZOhn3mKh6Vz1373ClObnMv3OIkPpftQvTUpbxmutGZAJ3FCr3N&#10;ruyraCpilm9ypwMEmxvd7bRfsZm1dQzUXojnBI2vPjaJXdO7Orf4gBz+bMyjJszl566qG86ZoHCf&#10;v4G7RjoRk4zI1PkYlr+Dzc0kTPpeS5rETRLS+xUfhKpgJwpTxqPUpkK9sY9baAs2h/PbGOAW1MN4&#10;uz0u9UrLUCyLsWIWm4/yUkqQNGY+nFmlMOetx6iiJtbvQ/iw+DD6uA4xDvKY675FB9C/aD9jH//J&#10;4+GLDrF74X5kpM1BhXWY28UraoefIaHcU9M8CEVzhQE8vaDaMhgTk3Khy9uEj9iYylrnwUEfdk7r&#10;8rbwpAlKURAfQ+8o0/bBuoRwXL1wkD2L/yV8TpdIegv03fT2L19i39wcpf65QPR4JyQ+j3Xi5LF9&#10;uPIoNOLLSeS/8MdVHCif6Xt8u8uBI2uW4NKtu7h8V0ZCSyT+QhHRb+Ho+hWKE73Ej050um7XLcfl&#10;v+6HRsmJHoLmyvO//ob2hS40enuPeAWK0D9QMQdXbtzE389vSRFdIpH8J1JAl0gkEj+iuLr/wrmz&#10;R1FUmAWVJhIGk17w0r77IPE+Uh2BkpICfHv5c/6CQlnlL+6DB6Xe+TV0HL8A87SD+H9ZLf6JbH8L&#10;5Bj/JG8TTPZ4mE2+Rd1TnVtt4ni23XYuUov2FyyQC31Y/k5orElQs+MkEp78Dgmbqgju/HVygbaL&#10;Mdm9GRLQl6yFweHsmoBOAqRaBdu4WcqYviZivhTFFV79v1eJrdqL+NdIrGlCUk0zkupakbx2H5LX&#10;Mcq2I2FRDZxTFiE6xwWTMx5avZ5HznOXN4nWKgb9pL+/ENdFbfcF93Yp/lvjqWPujr5naHQ6Npax&#10;sGQWImriAtjmVSqu8Lp2JQGBi+bisegMJD6T09yUkgGNlvWTataz4+YZg8iICKgiR/E22GeVKg73&#10;rrrbAwVdd+x8cyyq50K/N85zDr+eVbDkjO10qgQt8nCs3AKDzcHHSbhdP0KlI3r6XvhO3NHuppgU&#10;RKYvx5DCZr4Iy1/3kL58W/thyNsA1+jxWG2L5EI0CdIkTosEtGCHanFTH6jm81rD/1DH+lIZ9QlW&#10;2PWYF+vEpLhUFCUVITt1OlIzFiM+uxxReeswsrCBC8C0wIAWKhDk1u879giisyqxzGEM8rrxgYfO&#10;CVpIUMvGdIEzBnGZqzCInYu0CEF0fkm6H1ocM8zVgmmJGXxRjD+v40rTAJTr+uB43Wz+3P6sE6WW&#10;JJKQhX9/voUfP92BXQU2odjRGRqKHNi3eKzi5nzwVCjCBBtXHgOnvznF2h+PvT6Ico0l8Whi2zh9&#10;+gtc4X2X7nOJxJ9cvv8UF/64hgNlM9Dgsvtci/sF45Qo95NH23HlEUW5i/f/3kMu9Pv/4MuDTXzM&#10;fB5/+jybc7/6/Aiu//OQp24K708SiUTCkAK6RCKR+Ak8v8Zfcn315X6MGZPIRWujuWcFA6p3Tixe&#10;PBN3/vqOv5x4Z71zd2T7owe/o3rPaYxwteODHP9Ftr8dijQ/iPCMMpijLLymuahPnUMHC0M1ei4+&#10;JtEiyCNOqd8j08vZsTJCremmeuhu0Sx66jJe81vWQ3fjtYDOUKthzR0LR8VeONwiLUWKEySMEwnV&#10;e5FUsxcptU0YU9eM9PpmZKxtRtY6hWxGzvp/k7u+5U02tSNvy37kbd6HnLV7kVW9HRml6zF63irE&#10;uSYiOjUdRtYHrdkCrcHAhWwurkdGIJJc69y5Hqm4118I7a/A/i08kojkPyPY3yPYnyNU5HaP4IkJ&#10;HI1KqZ+tNUClM0NtskNnT4Yx1YXoCYthX1jPhVpn+R4lppzONRKxPePtA1wEZtunOvHkxFe9tYa3&#10;hv8/jYWDouLJ8S3YXrfB+u9k5xmNiW3KIuij7W7x3MsFDrRQQW/gjv5OjS2dm1XNiHJN5cJ7dyQW&#10;BKf7XISeL+AyW40wxIxh96NyDCpi9z9+H/GPI70Pm+8/du3jTuKxKeOwKjqSC89KdHloCukeFJc6&#10;64uRHOofYq3xA9TTIgHLQFRZh6I86hOsjo7AUpsOC+0GzI2xYVr8aEYqpselYGxyMfLGzMSMpCyU&#10;Roe/tyI6RedT3P+qaBVyxsxAeMFu9C0+hP5BviDwfYLmg7DiA/z41Jn784h90bH0ljJNH+wqjsWD&#10;WxfZM7mMbpf0boAb+PvBD/i8ZiZ2F3lfA5wi0D/dXocrD0NEQL77iItCxxs2+Ow+byi04VDVPFy8&#10;/qeMgpZIAgQtzDn74w/Yt3S8IqILrkVvIDd0x5ISnP/lFx5VLtq3hFzo/+DC1es4UDoDjX4Yf4rQ&#10;3186E9/e/BOPn/4pXegSieStSAFdIpFI/ADFodMLrv37dsIRE8VrnvdkrVezVal3HmUzY93aUjx6&#10;+DNr35/Ctr+KUu/8Oq5e+xlTak6gb24L+ua3Cl8eBgZyjO+HOnUuzBSta/FBdKFIXqsFkRmr+TZp&#10;2+J99jwkqpCzLJKi3DU+CGld5EU99EVrOl83ubdDcekrNsMYT3Whu+gIVqtgHZONxOpGpNQ2Y0xd&#10;E9Lqm5G5loTxFuRuaEHea+R72Ojm1X97hdc/54F/ZlMb8jd3oGDLPvazXfm/dU0Mtu/yTRg9dwWS&#10;Js9GbFEJbJm5sCSnwZyQAmNMLEdvjYLOZIbe/G/o+rEyTBYL9Eb6Nzs0plgM1zgxQJOMQaZMjHCM&#10;Q0TiDGgyF0M3rhaGubtgW9WgLByoblbi7AkfneZvQNtbtR2GuKTOx56z36Pfp7rf/hLxuwTFptcp&#10;ddptcythTs3izmx1VxdqvA477wzxrF/lezo3zlS2YekG6KzRfLGEcJt+Rh/s7vPXMetgNqvZfcjI&#10;xjYPI7NqMJDN02HFh4RzeFch9zU5rsNc+6DP34yxKcVYaVNzsTlUaqR3ngFcCCeBUampTuIwCex9&#10;+E+Py5p+1pjZ77HPVFgGo9IySLCt3g2vc278CBXWEZiQlAcDOzfoHCGncyATgCRdp6/rIKw5tSiL&#10;GsXPa9Hx9JYKg1Le4ZcvGtgz+V/SfS7p9dB31L9+PYmmiUm8jrdI6HgXVNO2ZdoYnD71eci4OHkk&#10;8e9X0bFkHG+/qF+dgpzr42Lx5bH9+PYxhPuSSCT+4CGuPHyGr899jZbZ2Whw0YKfxDevSS/gC4B2&#10;1rF54bGyuEa4//cdZfy/OnEEzfx+4Vs9en6/KYnHiX17cePJIzx/9rvwHiWRSCRSQJdIJBIfoVXz&#10;T5/8gR3b62GzWbjjW/hCvpswMiI1kUhKisW+ju28fYSo7a+i1Du/jrOXvkfqoiP4v+wWhBWKXxwG&#10;EorLHVzUCn3iOC5giPrYachJaHNgVHY9Pi4O7tjTAa59GFK4B+ro0d3nQidnrioSpqQxblHRzyJn&#10;KMLGILZ8D8yp2dy1LB43MSRGWhOTkbduLwpI1CaB283rwndA2diK/I1s/9SGTe1cVCeBnbOlAwVb&#10;9/E2ZlVsRlblFqQtrcKYBasxZmEpZzT7c87Scuxu2oHjR/fi6OG9OLh/Lw4fPoh9hz/DztbPsGL3&#10;aeSUfw7LggPQL2yHbXUrHGzsHFUeApxoUNOK6LHT3dHxnVxw4o6ajyqYxMX9bjvfaSy4cN4I26zV&#10;MGcU8FQAnnDgc6w++7xKhehJCzoZT6/UPrdkj+XCu1oj2qZ/0YaM+1yEzu1IN0GTNAEjctZxN3oY&#10;X5Qlnsu7gqdGen/XAZgo2j1lLFaTkG78yC2kh7YjvXNQHxXIwe5B/Lu9E+pvLdXFtwzC9PjRsGdX&#10;8pSCfuw8C/YEnfeRfuzYRBbswkKnLSALXkrVH+BYxTQ8efwHnj9/9/O7RBLSPLvK09Eud6zFnmIn&#10;GgUiR2docNmwf/V0XLp1J2Tqf5OA/vXXX/B6yhTBLupXZyD3ecfS8Tj/88/SfS6RBJo7JOI+xVfH&#10;D6JpUrJf6nETjWNj0Tw1FV9/cxKXeYqGYN8SPr9fvn0XR9Yu54sORGPZFRqL7GhfOhFXblzHo6d/&#10;Ak+liC6RSN5ECugSiUTiA+Q6f/zwF6xdsxo6g7bHxXOqd67WqpCbm46vTx1k7bvFo+VFbX8VXu/8&#10;+VW0fHoBxskH8L+cwNY7fxfkGB9WsBPG2HSYTSphXzsLfd4Yk4xh+dsRFuS1Q6kO/PCsOmgNJi70&#10;icQov6NRRHRL3gTFLRxo4TMEoJhxU/Y4qMI/EY/ZW6DYc6opnbt2LxevheJ2sEAiO4nrxJZ9invd&#10;Tc6mDozfeRC/3fqFzQ1/4c6jP/DttR/xxQ+XsP/iOTR88zW2fvkFljQdxtgtbcjeoMTPp61pRmp9&#10;M5Jrm5BQ3YTYV8oCdKb+e1egCHRDUroXixyUuuzRJXMQy0X0QDjRWb/JCU7bZteUs2w3bFOXwDQm&#10;h90j9KzNo/x2fVNKgjE+mbvxubNc2J6XOGvbYZ9TDq3RpAj4gm36k5Cofd4pSEiPhDnaDk3yNIzI&#10;28LvU7TwyV/pJlTbmiKhjXnreY305Q6j253d772NMu/tVJvDuHu5hh3fhU4HUjKWYFhRCz4qPiSF&#10;8yCF0iMGsut+YmIO6kx92HH072KPUtUH2J4bjfvXz7L77x3hM7tE0pugxdtPHv+CQ0tcaPBSiFJc&#10;6/E40bI1dISnO49wmfHpzlounHlbz5eE90aXg22nnjszhfuSSCT+ha7f+3/jeMN67B3r5ItgRNdn&#10;V6Eo94NVc3Hxz7/4AhvhviU8ZeQbSgGYkcFj2EVj2Wno/jEuFsc7GvHn83/Yfel3GeUukUjeQAro&#10;EolE4iVU7/yvW99i+dI50OrVXEAXv3jvHnQGDXR6DebMnoQ/fvuGte/Pd9c7Z/B65w9/R9We0xha&#10;1IYPc7uj3vm7IbF7RM56mO1xMPnoRCcnuyE2G0ML9vjNORgYOri7MTJ5JjRailbuJhGdxzhrEDV5&#10;EY+Yft9FdGf9fpiLpkIdGd4lhzA50HUmCzJL13NhWihchwAUNV+0sRVLWo5gccthTNu1D+O2KI76&#10;rLXNGF27F6l1e5FFMfHs3zzx8wXun1SjPYdBsfWZJKzXs8/UNSOxWqkD72R4xprXiydeGf93QsL0&#10;8s3Q22O9EoHpOJGIHuWa/qI2u+8R8+yaYe3idd6pfRUNcCxZj+ji6dDHJrJ7hA4qdj6RgC9qk1fQ&#10;YgD20zZjJRfGxe16BWof668pJVM5t1/fnt/RQNvD90W/Y9bAwjDZnFCPnsXuKbu5U1gpEyKa07uG&#10;p0Y6CXSRBduRNWYWltkNoFhzijyn+uIi0U0SWpBwXseOZy37uTjGitT0RRjFzqV+roPoX0SLMsTn&#10;h6RnUa7PQ0hPnYlaUxhqzP69Hiv0/VATPRjfHtrCns0pul383C6R9CYoJe36pcNomZziW3z7jEyc&#10;++5KyIhOlymi+dZd7hxvLPa+7juJRyQikZgkaydLJN0Im2su3vwLh+sWK/XQfUiReAFtg3HycAuu&#10;PHjK3e7CfUv4AoZjm8v9Mva0cGHfisn47upv+Bu3ZZS7RCJ5AymgSyQSiReQK+TqH2cxd/ZkkONb&#10;b+xZkYBqrpvMelRXLsOjB1Tv/FYnxfPruH7zF8xc8wX6dHu983dB9WYPIjyzEpaoKF7TXNT3zqGH&#10;2ayBLmk8Bha1ul2Don32PCTEDClsgNqeBY26O0QuBRIiddYo2OdWvbf10LlDukJx6domzYeWxqZL&#10;AroaWoMRqfNXvqxFHsKQqzx9TRMySQzf0IbcjUSr8Hdfh0fXuwV1T4Q9CfMkrmeta+GiekptExJr&#10;mhBPbnW3qN4pQZ0L6Jugtzu9d1GTkK1Rw5yWC8f8GqVmOy0eoRr4rzjn344imMfUtMFZv08R4Vdv&#10;h33xOtgmL4I5JR1as8Wd8BDhX+GcoO1GhsOSXczb/u4FAE28jdGTFrqj232Njn83Gq0GJqOKi87i&#10;eTlUUe4nZron2ROgSlvEhfQB5Br2070ljN3/+pEjnW3vk8JGjElfiNlOJyqtw7DG+KHfay5LugeK&#10;aq9jx6/OHIaldgPyUqchgp07FOEv49qDGzo2fdk1Hpe1il2Hw1Fr8nN0uzEMpZoPcaxsCns2/xPP&#10;nr07PUoiCXnYd1VKczuzcxV3n3sbY04C+uG6hbh0+54iTAvElmCDota/+foEWqaO8an+eUOxA/vL&#10;Zimx9VJsk0i6FUq8OPfjj2ibV+Cuhy6+TrsCJUp0LCnBhavXcYnqoQv2K1HmUFo01Tor26c5lMPu&#10;PTTuJw624q9nD6UDXSKRvIEU0CUSiaQLPH9GovMt/PTjSRQX50ClieSx6eKX7N0DCfhxcQ60NpNj&#10;5RbjPn8Z8V8CutKP67j84w8Ys+goPshpQf8C8UvDnoReWJITTz1mAcwWPUxmH8aafdbM0IyexbbZ&#10;wbbdIdxnMDCg+CCG52yExuyAWh3xhjAVKHgcdFwSnCs2w9mJOOjeAom19grFHU2C7ph17Ri9qAJ6&#10;SxR3K4vGSoRKo+GO4ISJM3i98ddF5dCilce5F247gLy1jcip24Wc2l1cDC/cfsinBQJcXH8Fcqtn&#10;rm3GmPomLqoncVF9LxeG6bi8IahXUR3vZhgSUrmILDoWnYKL25HQWSyw5oyDfcYqxLBzP5Zc5CSK&#10;17Uri0lq3NC/s3+j/+O/U7oDjkX1iJ65Gtaxs2BOyeDbom3y84aL9IERqvm1mpDC2rvFLfq/Mj4i&#10;qDzDso3Q22O8X3TQFdi9UWPPhDp5Ckz2WB5/bjLRQi+awynSvTfEutM9ScsTTowxYxCevhJDChsV&#10;Id1P9xe6B5KITmL6x+y+FZ+1ElPi01Bmi+BCOsW7vx910kMdpca54jiPQt7oyVAV7ES/4gO8Br4U&#10;zoMfOlbGvM28tAKlB4iPs/eUa/tga5YZ9/74mj/Di57dJZLexvPn1/H4zmUcXFyEPUVeik8kfIyL&#10;xcljHYr7PEREZIog/ozin1nbvY5/5p+Lx5cHGrgbUwroEkk3Q/XQHzzBqc8PomlCgtcpGq9C8wEJ&#10;wscbN7J5QpZleCts7C/fe8zHicRvmgtF49lZaAFEx7IJ+P7qb3hKZiTBPUsikby/SAFdIpFIOgnV&#10;EqfY9nNnDiMjPRkqjQpGc8+JAFRXlqLjc3PTcPJEBy5fPI6jhxtw9NAe/PLjV1wgp1i814V0Xu+c&#10;cez0ZVimHsD/slowoFD8wjAYGODqwGD2U5c0gQsVPgkvZi0s7GdE+nJ8XHwguF9aFx9CeOpi7uLs&#10;tnrohCoSlvR8OCsaFIetSIzrBXC3ufvPidVNvHY3ibjkkC7Y3I7sis0wxcQhMrJrCxhI2LRn5fGa&#10;4iLxOCTY1MYj6NOWVMJZOB5RYzJhTUmDNXkMotNyED9+OjJXr1NEdD/Veudi+kYlBj6Px783I4OL&#10;6opTXamp/spxq26FtWiKcm34KFKTO5xqqVPMuiEuCebMIrbtqYgaPxf26ctgn7mCQ3XMo8bNgoXt&#10;18R+x5iUBoMtBlod20b4KLdw3g3XKtuPPioajgW1nUuLoAUHDEvOWP5Z4Tb9CTsmWqMZI7Lq8fHY&#10;IxieuwGRqfNgjMuFmY2X2WJ84eD28FJYF8zboYBJze4t7PyJzUQku78MKWzGgGKqkU5Cun/uM3S/&#10;otrYg1z7YM2pQ+HoCVjmMKHO1JcL6RTvTg5nkTgn6QkG8NrmvI69uT8WxjiQmrYAqoJd6MeOYz92&#10;HEXHWRJ8UDoAJUHMiY0LiHheYWDXrnUgvv90B3s+v8Vdua8+t0skvRX6Xv3rV3vRPDkZvA64QNR4&#10;F/S5trl5OPfTT7h8P0QizEn4ufsQByrnoaHQJuxXZ+DR9dMzlL7LeskSSc9w9zFPvvh0Vz0a/RTl&#10;3lBkR/uiYnZt/yhLM/wHNDbnfvwBbbNzvL6HvKCERPQYfHm4BXef/NWpNE+JRPL+IAV0iUQi6QSK&#10;GH0TJ463YXRqAiLVETCKXqJ3E3qjDmarEUWFmVi8cDqmTx+PpJQ42OxW2GOikDomEcuWzsZ3Vz5n&#10;7b7B26/04xqe/fMHtu87i4hxHdx5LnpZGGxQLO7QgkYY4vNgNquEY9JpSISPikZEZjkXOPwlbvgb&#10;cjAOKmqFKm4sNBoSvQIfucwhQVKtgqVwCpzkWu0l9dC58Frx8u8UG55a18xrdJMD2hM3/kLQ3dQO&#10;a3IaIiNGicfpLURGhMOckIS8dY3I2+gfcbk7oX7nrmlAXPEk6Exm3v+I8FG8X0RE+Ei+SMAQbUN8&#10;yTTWz70BqffuEdQ9x0SpqU6R8s1IrW1GYm0LYldsgt7mP0e1ip371DcVHXO2TUoT0BqN0JpMCgaD&#10;sqCFItn5OIQr++6GOHQP1D5eamF2mXJ9us/n/6Smjf++Rm9Qrm/Bdv2JRjWKzVsTMMid9BFWfIAv&#10;WBpS0IChuZsxJGcDPsmsgDZ1NpvTC2Fkx9BkNbmFdIp7D1UhXQ+zScUXCBicbO7IWInBhXt5WQ5/&#10;lg2hePc+rkNsTPdjVP4OJGcsxry4eJRbh3GhlgT1alkrvcegRQwU711n6odKyxDMiUtEcuYyhL8Q&#10;zv1TL1/SPVBNekqBKEnMQ72xD69fLzruXmMcgDLtR/ischqeP7uG5+yZ/fXvIBJJr4THt/+Jb3as&#10;wu78aLGg0QlIgKY6uFRPnIQskcgSbPDo4e8vo32hy6fYZ6p/fqh6Pi7+eUeJcBfsSyKRBB6qV37h&#10;j6vYt3wSF79F12uXKInndbk/27mGzRdUniE0SlN0O3cfcRf6583b2HzI5lIfFy80FjvRtngcfrpx&#10;Fc/k85hEInkFKaBLJBLJO/AI0B3tOxDjjIZa56OA6yNavQbWKBMmTSpCQX4Gom0WHiWv0auhM2qh&#10;M5CIQbHTKiQlxWJ/x053H27i4YPfsXr7KXxc2IaP8oKp3vm7CXMdwPC8LTA5kmCmKGDB2HQa+rzN&#10;iRE56zGAonEF+wsGSHgZnL8b2qik7o1yV6vY+aSDbcoiJbo6hEV0j3BOceAkmo+ubXrhNOdCLYm0&#10;btH2VQq27IezcJwSxd0FgZQEVUNUNNKX14RejPvGVjYerXAWsH6TkBz5FmGaos/Z/9NCC/rdvHVN&#10;Aa/5/kJQd/89d0Mrcje1I2Eq1fT23YX+BrQ96ie501/B8+/CzwQS2ic7t/TRNkU8J+d5Z67L6hY4&#10;S3fBEJ+iHDPRtv2JOhJaUzSGZ69FWPHBV+azdi4i03xLJSo+ZnPbQPZvAwtbMLhgDyKyqqBNKIbR&#10;HguLW4gOWSGdlwvRcCHd6ByDiPTVGFLYgI9Zv/0ppJMjvS8bzzC6TxQ1w5q7BuOSXVjksKDaOliJ&#10;eOduWelK7w6qTWGoM37EhfOVNhWmJGQiJrsSg4pa+POLUuNcfCwlwUlYUQf6ses2Z8x01PBEAf8v&#10;TClVfYjdY2Nx9+pZ9px+S/g9RCLpjZB4fu/GWRxeVuxbfHtxDL764hiuPIZYYAlCqK1fHm1H03iK&#10;n/c2vl3pe6hF10skvZXLD5/h1JfH0Dw5hadDCK/bLkDXd+vMTJy5dB5X2LZF+5S4Xei//oJ9yyf6&#10;vHiB5uNGNreeOrwXD57f4WUvRfcviUTy/iEFdIlEIvkPSHj+5/Fv2LGtjgvVGp2Pwq2PUGR7jNOG&#10;lSvmoSA/k4vpFOUu+l2KlycRnVzpB/ftwE9//IbJVV+gb24L+uaHlnjuIaz4ED7JXsNjgE0mciq+&#10;2e/OwkV4RxKG5W17TegJJtq5y3BkZhW0BgvUms7X4/YVEoJ1Fisc86rgrG0Xi3NBjMdtTqI5RYCT&#10;cznXI8S6Rdj/gsTv5Knz2DWv47XNRWMkgkRWDfv9pGnzUbjtoHDbwUrB1gNInb+SR5mrVO8+17io&#10;zM6TxClzFAF9Y6twu4GCO9/X7YU9IxeRvtRCD3bIGR8RzmueOxbWuZ3nnRDPKbqd/W6UazqfO7py&#10;HnuHBlpNJCISp2Lg2INc4BXPax5IVO9wC+sKI/K2QEVx7zFpXEjni51CWkjXwmzRwejMQHj6Cgwp&#10;8G+NdILGOYyNI9XS7svuZSMLGzAmfSEmxadjpU2HelNf1Bs/lK70AEHjusbwAWrMA7HQaUdhSgmM&#10;eZu4aN7ftZ8fGymchx6U9ECLU1IzFqPSOhy1xn7C4+8LZZo+WBP7CX4/28G+b9wRfg+RSHorwF/4&#10;5eReLjSRYCESM94FOQ7JxX32+2+5A1QkrgQddx7i24dPcWzXWuzJtwr71RlI6GmZloYz37K+S3FN&#10;Iul5yCXOru9jm8q5+O2XKPdCGz7dWYfLtEDmrnShC6E59fFznOjYjb20cMGXcXcvTNpfNgtX714H&#10;nssYd4lEoiAFdIlEInkL5Nh+8vcfWL+2FDqDhovVwpfk3YDRbAB3lCfHoq15M5Yunsnb05ka7CT6&#10;JyVEI2NyJfrkdqB/YRDX/e4E5F6MzFgFs9UMqmku6nPn0HOXoCEuC0Pydykxw4L99TQkjgx07Ud4&#10;0mxoKFmgG92vJNoZnAmIWbqx83HRPQw5zmOr9iKptglpa5qRs67lX1HgnYXE2YwVtdCazJ0Sk18l&#10;MnwUrx0eSnXQuRi9thH2zDwe2S7ql4jIyEiYHDHIqtiMgh5w3OezMc6u3AJLXEKX69UHPXStqylK&#10;XsPrsses2NS5muduaOGLY24VdGYLX+gg3IcfoVITGksshudt9dJpTYLVPj7HDyNXevoKGJ2ZXIBW&#10;5voQFdLdCwFoQYAhNguR6cvcNdIP8AUE4rHwHnLN8oh31wEYczcgfcxszEwYg7KoUagz9XmlXrqf&#10;o6jfEyii3VPbnMazLDocE5PyEJ+xFJEFu9Gv+LDbbR7az1rvM3TsyHkek1ON8mh23QSg7nmloT8q&#10;DP3wzc7VXEh8Jl1OkvcIPL+Op3//iq+3LseuAh/i2wuicHRzJa7cU4QrobgSZJBb/OLVazhUMRt7&#10;Cr13Sza47Gwbc3CBbUvWP5dIggNenuGnH9E2N88vLvS942L5Qpmz317m2xbtU6LMqxd+/x37lvru&#10;Qqcx3zsxGWePd+Af3AWe/i68j0kkkvcLKaBLJBKJAIpRvHf3eyxbMgtGk54L6OIX44HHYNLx2PjM&#10;zBRcvHAMly59BpNZqYMu+v3XMVvZ7xrUUBtNiMhYycVYf7rfup8ODHK1Q5M6TxFWOOK+vxslKlif&#10;OI5H4PozXtef8Cj3wmaoY/KgUXev05bqPJuS0xGzagdialqEQl1PQoI5/aSI9oSaJqTWNyF9bROy&#10;1jchZ0OzwnqK/BYLsG8jf1Mbctc2wBQT23UBPSICloQkZFdtC5kYdxL7M1av4/HzPKpc0C8hJPKq&#10;IjFmaQ0Ktu4XbjvQUNvTllTAYLX2GhGdSgeQ6K23x8A2ZTGcFY3s+uvCIhb63dId7NpN657odo2a&#10;C/0RKfN4vXPRPNYVPEI61U0nId3kSHTXSPdl0VRPo9xvLFaqkZ6OSNavwYVN/L4TiHsPiYB9XAfR&#10;t/gwRrD7mz5nHdLT52NWfArKrCN4JDXFjVO9bsWdLqPe3wbFs9dwwbwvatk4lUcNx7y4BKSnzYEm&#10;dyOGsGeSj4qPoF+QPkNIukY/NodF59ZjmV2PWmNf4TnhE6YBKNN8iH2LCvHk8c94/vy68LuIRNJb&#10;4fHt186gY3YWGkmsEIkY74Ac2E0T4vHl0Q58+3cIxbc/fIozly+ifZ5vAhu51z9v341vH5HzXsa3&#10;SyRBwZ2HXOj+Yn8j9o7z0Q3NiUejy4FPt1fjcggtFOoJrjx6hhPtu9iYxXlfGsPNnoJoHKxbir8e&#10;32L3K+lCl0gkUkCXSCSSNyDx/K/b32LB/KlQayN7VDwnkTxSHYEpk4vxy09f87bVVC2DSqvqlPv8&#10;X1BN1igLIjNW8vqzoeyOGlC0D4OKWqFLmgSL2deIX3Kia6FLnojBbJtBK6IXUw34bdBY4rq1HrrH&#10;BWvJciGmspHXVBYKdt3Ii7rmVXsRV70XKXV7kb62GZnrm5DthgT0N+mCmO6OI4/JLuBipnBs3gJF&#10;ZVOMe+qCUhRsO/DmtoOQgi0dSJm91CsBWqWKQOLkucjf2NbtMe4cqt2+uQOp81dDb40KaRGdn2uR&#10;4dBarLDmT0DM8s1K+kNXrjuKbme/by2c1OVz12toTrKNwaCCvez+4sd4crpXMYYW7IFm9GwYbbGC&#10;OTzE4NHu6pc10jNWuWukkyM9EEJ6mxLv7qIa7Pu5+12XtxnZ6XMw05mAFdEqVFuHYA3V72YodZ6l&#10;mK44zfsqteTZn8uiPsG8GBuKUifBmrsWQ/nih/3oU3yQu/5FYy8JPfq5DkCVvwMLY6JQz64H0bnh&#10;K6XqD7A934a7V8/w53rRdxGJpNfy7Co772/it1PNaHB5H3NMLsP2RcU4/9OPIeXApvrnp746obgc&#10;vew7XzwwKYlt53hI1X6XSN4HSEC/cO06DpbP8t0NzeC10Gdl4/wvv8i0if/g8t2/eSJH27wCJUJf&#10;MJadpXEsm5+njMGVs8fxHHfwXHQvk0gk7xVSQJdIJBI3z/kX+r/wx+9nMH58AUg8J/e38AV4N6A3&#10;aqHVqbFk0Uxcv3qete0uHt7/ESXj8qD1VtTnIroVkemhL6JTbcrBBXugj8vhUew+iegkaFh0UI+Z&#10;z93twTkurF3FBzAyvQxavZE7PoVCVgBQ6nqrEeWayoW5mOpmsXAXYDx1zeMoor1mL8asUURxsVj+&#10;32STmL5BqYv+VlF2UztSZi9TREhaSCAYm7dBMe6xrolKvXUSll/ffhChxLfvhS0tm0eyi/rzX5DD&#10;OXnmEmU7PSGgE2y/FCE/ZsFq6C1sjgsPrZro3HEeEQ6d2QxzRgEcC2qUxAcunHei3vmrUHT77HJ2&#10;nzBA3ZU0Aa9h84NOh1Fppfy+QnOVeA7zFqqVvg9hxQehyixzl+/ouXuz3+BCOrsns59UIz2C3ZcH&#10;F+xF/+LDvM/isfANurcp9dL3c1GdxlVbsB1p6QswNjEXC502VESN5GJ6PdX1NvV7r6LeyWlOjuM1&#10;xg9Qx/q92qbGtLhkZKdOgyOnBkOKWvm4KbXN2fgF6DhJegZaZDKqYBfmOmN52gAtohCdJ75Qpu2D&#10;+pjh+P2bNvZcf4eLiaLvJBJJb+X582t4+s9vOLVpMRqKvXVgx6PB5cDhdStx5dFzoZgSlLjdqSc6&#10;9qCh0PvoenKkdiwei3PfXWHbeyLel0Qi6TEoFeP0yeNompioiLGC67izNNJCm3GxON64EVceUOKE&#10;eJ/vPTS/3vubjdMGv9Sgp5SPY9tr8OCfm7IWukQikQK6RCKREGBf5mk1/OVLJzB2bC53fXfZ4e1H&#10;yPVuNOmwYV0ZHt7/mbcNuIF7d75DXm6aT654/sKenOgkoheH9gtgElSG5u+AKWY0zCbfnOgkYpjZ&#10;5yPHLGbjcjAox2WAi7XJtR+RSTN5veFurYeuUkGj1yN60gI4Sdir6qKo5wPkOCe3eeIrEe3ZG/7L&#10;ad41uJi+/k1RlgTZjLKN0JlMXRfQ1SqY7A5kVW1j2wnuWujk3k5fXqcIrl3sJ7ntaTFH2oo1PRbh&#10;7iHf7URPW1LF5oQ4REaEd+s10mVY27hwHhkOnTUKlrwJsM+tgJMWqPBa515cY9WtcCzfBIMzoVvq&#10;nhNUVkIVNxaDaI4KkBOXXNQfu/ZBlzSez9WiOTx0YfctqpFOSShxORiZWYmBJHTzKPzA3YfoHkeQ&#10;IExR7x8VH4aqcBdissqRnjoN0xIysMJhQrVlIHfiUtQ7udOp/jeJ6oq4GJpOdWo79YH6Qn2ivpH7&#10;vtoyGIuddpQkFyA5bT6icusxmN13P3ylrnkoPzNJ3g45zymFaEp8Gl9AEgjxvILqnuv74esdK/lz&#10;PQmJou8kEklvhr7PPr73HfbNzUWDlxHmFPvePCkZJ4+24fKD0BGQL997jIs3b+PIuuVcBBf1rTOQ&#10;sHOofimu3H2IS3ceCfclkUh6kLuPcPn2PRxZv5Jd67670MnJ3rF4HC78+gsu3ZO10N8Gr0H/449o&#10;nZ3tdXkQD7TwoXl6Bn79hYxMt4X3M4lE8v4gBXSJRPLeA1xn3MLXpw8hLS0J5DwXv+QOPEaGWqtC&#10;bKwNe3avBZ5T226+aOfjhz9h1owJ0Op9jJWn+FhrL4lzJ1d2zjqYo2P44gBhfzuL26EfnlmOAa7A&#10;ihfeQo7BIUXNUDnyoFaN+peQFWhIkNOazHDMWg1nLdVjDoyI7qlrTsRTRLunrvk6/wrnr0NCOpHL&#10;4ILspnbk1u+BbUyGF85sRRxNnrkIBZt70Jn9LrjTvg2xhSWK017Yl7dD6QRGux2ZZRuRvyUIFgqQ&#10;E33rfmRXbkV0WhbUJFCTkBwsQjqJ5lRT3z3WBnssosfNgn3xWi6cO+s6vF+cUtWM2MpGWDKLlLrn&#10;3dFnNc0JNgzPWc9rlovmLH8Qxubjkdn1bJ6P5vO0cP4OeZQa6eSw18XlYVRWFQa6WP/J6cwQjYu/&#10;4WJ68SH0GXsEw4taoMnbAitrR/aYWZiemIWlDhMqLINQbf6Y11Cv9dQFZz9JiCYHd3CJ6opQTjXe&#10;X9Qwp7byBQAfo9wyjPXJjOlJWUhPmwdTdg1UBdsxqHgfr2neh513YVIw7/WQeE6lDSYlZqPWzM7j&#10;AJzDlaYBPLp9/2IX/nn0G54/v/HG9xGJ5H2ABPQ/zrSjaWKS13VqeaTxnFxcuHodl+8+FgopwQgX&#10;d379HR1LxnrvSi2JZ/134HjT5pCq/S6RvG9cefgMZy58g5YZGeya9TZtww2bKxvHOvHFvkZ53f8X&#10;dx7xewLNjw1FNvFYdgFauPBV6xY8fXodkIlBEsl7jRTQJRLJe40iUN/A8WPNSBmdAJUmEkaz6MV2&#10;4CHHe4QqHKmsHcc/beaiPonmL9tKTpWr2LKp2t1OHx3y5NiOsuGT7LqACh/dgusAwjMrFXHF5Ju4&#10;wh36bDskXijjEowi+gEMy90MjSVeqT0sErYChSoSeqsNjvnVcNa2i4U8DomAHiGw0f3T8++eP/8b&#10;T0R7LI9ob+IR7Znr3OL2hjcF78BC8e6KozlxyjzFzSwaj/+AhFJrYjJy1zRwkVoo+PYw1L+s8k3Q&#10;R0V75VimqHRHThHy1u0Nqj5yMX9tIxInzYLRZueCsjfx9H7BLZqT05xKIWgtUTCNzoJ9+nLErNrG&#10;yyI4yXHuS6oD1T2vaUP0hHnQ0D67Kbpdq1EhPHkWT+0QzVX+gFzt5AzVx+dzgVk0b/cqzFp2H2L9&#10;jDKzPudiZFYNBha28MVigXL4i+jP9tWX3Wv6Fh/iC+2GFjVjONWiz92ItMzFGJtSghnxKVhs02FV&#10;dDgqrcNQYxmIOlM/rDV+oLjWjX24cE0CdiDFddo2QftS3OR9eAx7vakPr19eZR2K1ayNS2xazIqN&#10;520fk7kU+rwNvE/UN7qv0uIBcppL0fz9gY431bOflJjDz106V0XnmK+UaT7CnrGxeHDzAn++f/b0&#10;9xfP9xLJewMvl3YDp7csQwMJyN7WAB/rxKHaRYr7OoQc2OSWP/vjj2iZOsZrdyR3RbLPn/riiIxz&#10;lkiCGR4p/hhHN67mi158jRSnsg8HymbhIi0cki70t0ILF765dB4t09P5vUI0lp2F5lty/t+6/RO/&#10;dwnvaxKJ5L1ACugSieS9RXGe/4m2lq1wOKKg6knnuVkPlSYCxcW5OHfmCH+5pgjmr7f5Fn7/9Wsk&#10;p8RxEd1sFW+vs3DHti0Wn2Sv4WIxj8kNQchBP9C1D6q0Ze76uFphfzsNjYs9ESNy1vOYeNE+exo6&#10;XhT1qzVYoNZ03TnsE6pIGGLi4Viyjot2/xbzSARsRGzFHsSW70Jc2Q7El25DfNl29vedjN1wVjS4&#10;f09xm5Nw7mQ/yW0+um4vMtZ5V9c8EORs2Ycxy2qgN5m421o4Hm+Bfp9qQ6fMWhoc7uw3UOq8O/PH&#10;cfGcx7EL+vF2SBiOQPLspSjcflCw/Z6FBP38LbRAYCOcecUwWKMQET5SEdID7c72iOa08IKNkd4S&#10;BWNKJqKKpyFmUb0ieFN9c8If5RBq2+CYWwmd2eJVkoBXqCOhiR6Nofm7A+qQJuE4ImMlLHS/63Xx&#10;7f+Bp0a61QRDfD5f7DbIRdHu3b+wi+6xL2unu+t/s7+HFXVgSFELLPkbMDpjGbJTZ8CVVIQpcUmY&#10;73RgucOEUlskqqzDubi+xtQH6wz/h7WG/6He+OELSGgn4ftdUMw6/b7nJ21rnfF/qDV/zOPXy6NG&#10;YaVdi8UxUZjpjOV13fNHT8SYjEWIyluPEYWNvM287awPL/pD/yZF8/cOSlwYyK6pCUkFqDMHUDzX&#10;9sGGFDWuXTjAn+OfPfv3s71E8r7w/Pl1/H3vOxxcXIQ9RV5GmLvrAZ882s7FKRKpRCJKMHL5wT/4&#10;+puTrA9xCqL+vQOq/d62oAjnf/k5pNz3Esn7CKVOnLl4Ds3T03yPFOcCfDxOfXUcVx5JF/rbuEwu&#10;9DsPcGxLBRoKot4Yx65AKSmNJQm48Hkre36TArpE8j4jBXSJRPJeQg9A5D5v2LUWdnsU1Lqec7UZ&#10;3OL51Mljce3qOf5y7flbIoKeP7/K2n0DB/btRLTNDK2e6n6Lt9tZ+At6u1tEdwWn47oz0Atxcslp&#10;Rs+ChQRwH4UWXlPdkYThuRvYtinOXbzfnoIWOwws3o/IFHKcaronrtkDiYORETDGJSJmxRY46zxO&#10;9CY4K/YgvmwbEko3I2H1RjebXvnzRsSXbuFiurOyEXFVTUiqc7vN1/eE0/wdbGxB1toGRKdnI2JU&#10;1yPzI1WRsCaNRu7aRuRvDC4XesG2g0hbUg2dycza2XXRNTIyHObYeGRVbOJCtWgfPQ+lCLQr9exX&#10;1iN27BTW5gQeoR7JzmFeg5yuHQ+Cfr6dl59TadR8wQQtRKC0Avqpt8fANCYX1nGz4JhXxReJ8GvF&#10;X6K5B3Kwr9wCY3wKX9AgbqufYf3V6PQYmVHJBW7RHOUPBrA5fUjBbphiUpU5WTBX937cNdKjLNAm&#10;jsdIdq+mBWNhbGx66n5NYrMHEp9JiKQY7L7sGaIP1QsvPoTwwkYY8zfDnlOD+MyVSE5fgDGpM5Ce&#10;Mgn5yWMxPSEdMxLGYCZjoTMGy2IsWBpjfSvLHBbMjUvgn5uZkMrjtrNTxrPtTUZK2nwkpi/h9dut&#10;ueugLdiJweyZgGLY+xYf5E56aqNHKFcQ903yfqCI5x0oSJ2iLMAIkHhONc9rogbiUsda9nz/p6x7&#10;LnmvoWuA4ttbp6ZyZ59IsHgn4+LQNGU0zv7wAxenRAJKUEJu1LuP8EX7TkVI89KNSpHC+1dP59sK&#10;pcUDEsl7CRdzH+LYplK++EV0TXcFiiU/smEVLt26oywgEu1TwhcYnD71uZL24aMLvcEVg6NVs/H3&#10;k2vAcxnjLpG8r0gBXSKRvHeQeE4C9fq1q7mDm0RoX53c3qIzkhihwrJlc3Drz29Z226+VTz38PyZ&#10;Ejvf1rQJDrsVeoMfRHQTGwN7LEbmrHWL6OIXjsEOuSAHFrVAmzQJFovWRxFdz2N0jc50DMvfxWvw&#10;ivbZs1C0cTNUceO6P8qdhENVBEwpGYhZvR3OmlbuNk9Y7RHOSTR/G+7/L9uK1NoGZG9oDj7h/BVy&#10;tu5D4oyFfKFCV13aimtdg2T2+YJtBwQCb89A0e059bsRPTqdC+Gitv8nbBzoc7GuibzmuGgfwUb+&#10;lv0o2LIPWZVbkLqgFLFFE2B2OqHWUZ9ICCcRnGqmK3XT3w77f/o9OrZuAV2j18Nkd8CWloX48dMx&#10;emE50ks3YEzNHiSu2ccd4iSav1rf3y9Q3XT205JRyJMhhMfK77A+q9k4xI/njmiah8Tzk2+QyEkC&#10;l3r0HFh8SRXhTm5f7wdBAEW7U430aDu7x5Xgk9yNr9RHD66FbyROUwQ8xWMrovohfFR8GB8WH8UH&#10;Y4+hP/v7CHbv+oTTBFXBDmjzt/w3eZsRXrjH/bkmDHW14aOxR/Eh2x5tm+jjFsv7cbFcOsolYih1&#10;gOaW/DHTUG0exKP/ReK3r1QY+qPS0A9fbV7Knt/Z872sey55zwHu4FxjFXYX2oVCRWcgMeNQ1Rxc&#10;uP4nLt/7WyieBCXuqPlPt1Yoiwe8EdDZZ6j++9ENq5TFA1JAl0iCHird8M2Fs2iZRmKuby50Sq5o&#10;njIaZy5f5NsV7U/CcC9cOFS9gEffC8eyk1D9+paZWfj9+5P8Xa3o3iaRSHo/UkCXSCTvEb/zh56n&#10;T69iTf0q6I1aaA2+1cv2BY1eDaNJj5rqZXj86BfWtj8FbX4TQKkft33/BRizVkBvNiv1zAX76AqK&#10;4zoBw3K3BG1seWcgV96Qwr3Qx+UrEfWCvnYePR8XQ1wuhuXv5G5I0T57EmoTRShrbGnQ9ICIToKi&#10;OTUTcSvWI6F862tC+btJKtuC9DWKiC4Sr4OB7I2tSK/aCpMznruWhWPxH9BnzM5YXmuchGuRuNut&#10;bGzj7SChl5IEuCAqaPd/QSIyxYWnL6sO0nj6t8COJbnluei/vhnZNTuQUboBKbOXIX7cFNjTsxGV&#10;nApjjBMGW8y/sStQooBtTAaceS4kTJiBlLkrkVmxGZnV25Bdvwc5tB+2/Rw2xnTuUB3/tLXNSK5p&#10;QlzVXjgZvHTBq0K4N1Q184UrVtdU7qjvnrrnDDbPaKzxGJq3I6BzIs3lI3I3ccHY67IcZj1MMSl8&#10;IRRFofP7nK8lPnoadl/jKSvRDmhTZmB43ja3kB6Mi7zE0OIIEtgVyL1OQjs52P8bcg17PkNuctG2&#10;JZL/gs61wUUtyE+dgmrLQNQGSDyvNIahTP0hjqyaiGdPlO8fsu655H2Gvrs+vvsdPiufit0FNqFQ&#10;0RnIgXmibacSX+4WpUMCcozfuoeD5bO8d0S6Y99PtG13Lx6QArpEEvTcVRb6HNtc4bOYyxfRsPnj&#10;RPMWmULxDq48es5LfeydkOhbfD4b892uGHzdWMPuY3eE9zeJRNL7kQK6RCJ5b6CXV//8cw31tSu5&#10;eK4z9MxLdLPVyCPjbQ4Ltm2uZu1SHOWiNr8OQNGPV1HTcBqDC5UXyJHpVPfbwl+qi/bXFcxmNYzO&#10;NAzN34awkHai78fQgj2sLxncsSfqa+chJ7oahvg8Lswrsbni/fYUA4oPYVj2emhMth5xoqvUkbBm&#10;5CJh1QbuKhcJ5W9l1UYklW9FxtpGoXgdLORs6UBM0XguHHPXsWgs/gMSqmNyCpG/gWpzt4vF3W6C&#10;nPCj562E1mBwO+TFbf4vqI44icjUHxKlRfsJetwLCThUL93Tj/XNjKZ/kUusY+cBg/6cw34nZ30L&#10;stnvk0ies7kN2Wwb9OcswWKQbPfPTPa5tDVNSKrdi7hqJcbdUeGFmE411GvbYJu8EFodJR10U91z&#10;jZrtT4eR6WX4mM07ovnIP3RgEPupT/AshNK/Ni93BjZ3W80YlV3DBTMVu1fqYzP5v5lNkez/Q9mR&#10;zsaDHOlsbMx2J1RjFvJFXh8XH2D3PyksSyQiqMzA4MIWTEzMQa0pLGDOc6JU9QFap2fg8Z0r7Nm9&#10;cwtkJZLeDHAbNy4fQdv0NDR468IsiUPThASc/vorLo6IRJNghQv+t++jbX4Rd5EL+/cOqB5v0+QU&#10;nP7qeGi57yWS95wrj4HTp79A8+Rk32uhj3WiY9FYXLx5W5lXBPuT0Jz7CBeuXudj5e2c62FPoQ2H&#10;Vk3B3Tvf8zKgonucRCLp3UgBXSKRvBeQeP6ExPO6nhXPCZU2Ek6nDfs7dvCXaiSgi9r8OuQ8v3fv&#10;d5TtOIWP89vQr6CVvyinWqiq9OWKiG7yg+ParIbJmY6hedsQFsDatoGlnY3NPh5xa3QkK30S9rez&#10;0LhoeTT8kKIWvm3xfnsGXst17EGMSlsNrd4AtaabxDQ3SpS1GtG5LiR6I6IzUiq3vyE6BhPZm1qR&#10;tmoNdBaLIqILxuG/UOpsq5E0dR4KtnS8FGu7mYKtB5CxvBaGqGiv6p4TdLy1ej3GLCoLDke9X2DH&#10;gx0TOi5Uq57Xq2d/znWTwyCxPIvT/G8E58t/QWI6lSzIXNeM1Lq9XEyPJVd6Z4V0t3jumFvJzsco&#10;ngIhOk7+R8NTLiLjKLq9I6BCLdVVj+D3NaPXjnFaPKVLKsFA2p5rP7+fDSlsQXhmOfQJhbCwbfMF&#10;ViEd7f5SSDexe11k2hIMLmxyp8jICHOJxAOJ50OKmjEpMQd1pn4Bq3lOlKo/xLbcKNz5/RR/zhc9&#10;00sk7xskoP9wdLtv8e3FDuxbPgHnf/oJV0IsvpiErnOs3RQF7LWAPtaJ5qljcP7nX6SALnmNh4ob&#10;+QWPuIBI5wnn/j+4/OApj/0W4/6/e+z36Pc9CQ8c9zZl4oH3sPG8fPsuDtcvxR5fI8XHxaJpUjJO&#10;n/xUKeUg2p+E8ZCfy5/v3agsWvCmbIaHcXFoHJ+In0+3sXuZdKFLJO8jUkCXSCS9HsXdfQ1rSDw3&#10;aLmALn4RHViMZj0iNREYk5aEE8db+Uu1zq5gJOf53bu/YWbdCfTJbuHiueelIBcxXPvdIrrVD050&#10;ii1XwRiXiyGFDUHpuO4MJCqTiDAqux7maIfvMfdmHY/N1SVN5G7G4BPRlXrBkSlzea1uEmvFIlhg&#10;4CI6IzrH5Z0TnZFWt0coOAYFXCxtgj0733sXuloFndGI1AWreS3u7nVut/LY8vQVdTA5HNxBLmpj&#10;ZyDB1jYmU3Fnk9As3F/okbu+hTvLs90IzwM/Q0I6Cerpa5uQWt+ExJq9vKY5CeVvE9Mptj1m8Vro&#10;HbHuCH7xcfI3JJ5rrAkYmr8zoPeFMNcBDMvfDqMjic27Xs7bJCpH2zEiZz2bq18uBBtQ1METO2gO&#10;/ySrBtqkCTBHWRUnNxfqvXG6BwnsHmdh7dc7MxCeUYaBfCHZft7nV8dXInnfeCmeZ7vF8zCh8O0P&#10;yjQfYXO6Hr+f7WDP7rfw/NlV4XO9RPI+Qd93nzz+Gac2LcEuH+Lb9+RbcWxrFS7fC7H4dgYJOd98&#10;86W7DrJ3Ee7cebp4HC7ekM7T9x4ukD9WxG4Sx92itxLrzWB/vnjjFs5evoCzl87h9KnjOHm0DSeP&#10;tQv5kv3fV58fxJkLZ/jvk3PXI55zIV6wL0VUF7RNIuTbx8DJT/ejaWIiu5Z9c6HTYqIj61fiysOn&#10;8jj8B3S+nv3+OzRPS/PZ+b+rIBqndlXgyZNreP6cUkHF9zuJRNI7kQK6RCLpxbhrDj67xmueG0y6&#10;HnOek3iu0kQgO2cMzp89xl+qoTMPXs8U8fyvv37DrPoT+Og18dwDf0Hu2ofINIpzN3HxQNSOzkMi&#10;ugb6xGIMKWwMOrG4s5CoTIsLwjMrYI6K9n1xgVnHxkUNbfJUxYFZFGwiOsUet0AVNw4aDQmkXRd5&#10;feGFiJ5bzKPZuyKix7PfTy7fiqxuEi69gSK6U5fXQmv0LfrcEG1H2pJKpQ53dwjQG1tRuO0gMrh4&#10;HuNVHfcXsH5r9DqMWVzBnfTC/YUQuYzuFMzfBnelMzIZ6WubMbquCXHVSr10Es1fiOm1bXCu2AxD&#10;bFK3iuc8ul1vwMj0Uu4OF80//oDmMFoIRGkfSvkN7wRtC5unNaNn4ONiEvrfdGIrQvpBNl+2cpFd&#10;mzINxugYWCzKHB+6Qjq1X8Vj6vXxBRiZXc/uge3uYyYd6ZL3C1pI2Y+d+6r8nZgRn4JaU/+Aiufl&#10;2r6odw7H959SwtQdPGffP4TP9hLJewYtGr9/4ywOLi5EQ7GX4vG4OOwticUXh1pw5W8IxZJg5vL9&#10;J1zAJOco74ugj++CBPSDFbNx8eZfioAp2I+kl0JC9r1/cOXhMy6aXr7zgAvk5/+4xgXCUycO4YuO&#10;XTi6aTUOVc9Hx5IJaFvgQuvsHLTOykbL9DQ0T055K1QaoHlKKlpnZvHfp1IDHUvG40D5bBzdXIbP&#10;927A6S+P8RQFEtc98eFUSoHObV7jX9RuyUvuPGbjdgv7lk9CQ5H3SRxEg8uB9gVFOPfDd1wkFu5P&#10;osyTt+7h6LrlfMxEY9lZGopj2JgX4s71s/yeJrrXSSSS3osU0CUSSa/lRc3zupUwGLXQ9qR4ro7A&#10;pElF+OlHJc6xM46U5wwSz3/+7Sfkr/gUfXNb0b/wTfHcgyKid0A9ehYXAXyPpaXYchLRx2FwYTPC&#10;QlREp1q6JB5Epi2GxR+LC9jnLeynKnU+BpK7jxIAhPvtGchxOLiwERp7JjTqcLEYFkhIWNZoEJ1T&#10;3OU498TSzUirb/AqFrs7yN7Ygqx1e+HIdfkkXkZGhMNoc7xwoudvDlxNdKrtTbHtaUuruXiu8sF5&#10;TkRGhiMmfyzy1vd8LXdvIME8h51f5DQXHeNgwFMvnUhb24ykmr2Iq9rLY9tjVu+AKSUTahU7/7xI&#10;QfAODU+1iEiaxWtsB1KIpbl6ZFale6727h5GJTuMMaMxrGDXO53yXEjn8/g+DMvbCk3KdO58t1i0&#10;Pgn4PQ5f7KX5/+y99X8UV/v///d8P5/P+33fLW0pFC0SW8lK3Ii7C5BkcXd3CO4SI264a0JCEigt&#10;FHe3ktf3XGc2lNIDSXY3ye5yfng+4O5NdmbOzM6ZzPNcr4u3dlGHj8evKTv52DpqooxE0lUUeV4H&#10;j9Q9mBEYjA36H7HW0I3yXPMT1hp/weWKjezZXcpzieRTaOH4/ZbDKBodiGILY3Qp9rxiRjKvkHW0&#10;+HaCJOOJ8t3sWEKsEuhHd65E8+PnUlh+C5A0Z9cN9c9uffkOTbfvoL61GWdPH8Xx/dtwYO1MVMxK&#10;R8m4SJTwa4SurSD+XSnK9OPCkP5enMW+d/Tdo//va4xm0L+ln2E/S5/B/87+v/1jg1GSE8pbCFBP&#10;6YPr5+JkZT4uXKrHpet/cKFPC1soBl5WRH8Jdj5f/oWTdB9g42lNpLiyoCgYpw+U4ooDLijqMdi1&#10;SPPF2RMH+Hdg/1jxeHYKdr4KMwNw42IV2qRAl0i+OaRAl0gkTgnFtr97e6fXe55T1bubhysmjM/C&#10;vbuX2X49Fu7v57TxyvN7XJ7HLjiC/yaWol+6+CXhpyiV4pVcAlCUq9USnV7CG1RQs88bSFVsdiaL&#10;O4sSc1/NpTf1vbXFuNDnKBK92u7GhUTJr8m74GEMgYd7z0v0vyvRu9YTnarQI9fuQ6KdCnQiaUcl&#10;opesh9aLek9b3mueRLbG0xOhpqlIYcfLI90/k73WQv3JU7eVIXzKfGh573Yr5TmJfz9/xK/chlSq&#10;nhds0x5pl+ZKlbn9Xltfglemb6tAxOq90EfGs/PYk/KcwbZFPe/dI6djSFohb43B0z0E9x5r4BI7&#10;lR0jj263MC2E7s1s7nOLXcD284BwO2KU+Y36pA9N3Qe36FnQBcYq86gjV6TzOdwDBt9AuEbPxtBu&#10;PH8Sib3Qj13fJM+9UjZhboAP1ut/wlpDf6H4tgWrPamfen9c2LOU//4hoz0lkk/4cIf/XttatZnL&#10;B6GY6ARF6T6oXTkdLU9eoMUBBV3ry794/HzxaDYGlogz9jMkgE6W7VYEpYNF2Es6A51XpW9z62uw&#10;P9+g4UoLTh+pwbGCLTx9oHxKnCLGuRwnMd4uwM1C1gop+0XMn0vbUES7ItmLMqgdQwiqF2aza3st&#10;Th+uQsPVFqVC/tUHZZGHlOn/gM5t4/XrKJuaqAhd0Xh3kqI0bxzatITdD1/IBTVfgQQ6JSdUzxvN&#10;q8hFY9lZaA47uW0h3r65gTbIZz2J5FtCCnSJROJ0kHhua7uHXTvW9GrPc9quWuuBeXOn4NGjq2y/&#10;OrdSUZHnd9F49TdEzjmM7xJLeSWN6CWhCC7RM6tsKtHpc1SR0xSJTpXugu3aO+0SnaJ6qZe51UKE&#10;euyyP92jZvPPtTch0X/0AQxL3ACV3hcePM5dIMa6kU8l+qhOSnQe4756j1Ai2g0kYreXIyh7IhfS&#10;7laITGWM3OEXn4y4ZZuUanSq6ramNzr7WfqMtB1VSFi1Hf7JGVDRtqyQ/YQSWa9C2MRZ5v7tgm3b&#10;EZ/2M3dEaf4piTsqEJ+3F74x8Tz5wF1wfroTlUYNnZ7mAfZnYAzc4pbwVJL+Wbbsr83un5k15uh2&#10;S4W1kpriGZzM+x1T+oh4W1+H0lYo3p0WC7iyY9UFxbHPJRHNniWsnU97CzYuNO/pAqLZMS3FoIxy&#10;NieK4+0lEkemH/veU9JCcOJKLPLTYIOuD5fbIvFtC1bp+mGFqg/O7lwItD3kv3+Inu0lkm8V+r38&#10;3evrOLFuCq9AF0mJDiF5l+WPI3vyeDWuSJLYN6+4VDy4cZHl0c00Bmz8zh6t5RKOy1bhtiQOB/UY&#10;p77iZhp/v4ZT1YX8eqmak8nOfRAKU70UcU69s7tDklsK/24GcJm7f0wgjxU/tHUZzp48yCPmKXae&#10;X69S8CpQ7/qnr3gsPo2bNeeSFlBUTEtEfdMltL7+IN6ehC/iaH3xFkcLtijXqWAsOwt9/yqmJeHV&#10;k1a+YFI050kkEudECnSJROJUUF9xepipKN0Jbx8D1J5W9ry2EA3brlrjgUULp+HN6xtsnx4J9/dz&#10;2uX56UtX4DupDt8llqF/JyrPP+fTSnQDl+g2iC330sEtdhF+yXTgXqpsXKjnrTrcZJbo1i4uUOLc&#10;XWLm82pHu6vqy6qBS/QiqLQ6eKisE6iW0C6IlZ7onZDoS7chbMVOxG0sttsYd4J6ocevz4dhVASv&#10;yhYde2chAU9SlCraQ7InIXHtXqRuKzdHu1d1TqaTNN9RyXuq088mrS9A6Pjp8PT1U4Qrl9/i7XcW&#10;+hy/+BTz9nqgb7uFJG1RepqLzpsjwq+1vL3wjk7g56BHK8/NaHUavlhIEdQefC7wDE7CyMT1GMDu&#10;M/3ZnGDtvY8+wyVuBe/dbbGkpkVN3l4YnrQF/fg8Jd5WZ+Fx51m1GJxejBHxa+EZksL3jyS91XNq&#10;r8DOn96DHYMO2pBU3vud+s0rIl08BhKJI/Eze8ajBTAxcbOx0nsE1ut+FEpvW7HK82cuzw8vN+HD&#10;u5vs+V1Gekokn0O/l79+egWV0xJQRPJPICU6gqpeqU/zuaPVSr9lkSSxa15xwVW7agavpBcdY4eY&#10;BfqFSw28D7Z4OxJHgsQyJRPQ35tu38WZI1WoWzMLFTNSUZITwq8V3reZ4r5F14S9wa5R2l/a79Lx&#10;kahemIMTZbvReONPRWLSsUqRziuiL1w4jWIrY9wJGutTdaVmgS4X1XwJWnh17uwJfl3yRSiCsewM&#10;7efsz4vVbG67xxNWRPOeRCJxPqRAl0gkTgP1FQeeoK4mH77+XlBpqIpN9BK5+zB4eXJpT7Jh9cp5&#10;eP3qeqdfqLXHtp+51AqviXX4PqkMXak8/xyS6AO4RJ+oVKJzxPvdKcxywiVuOY+AFW3TEaBxIYmu&#10;CUmHUe/Gjs3acWHn28cHI+NXmMfFniR6JRckrhEzoVar4KGyXqR2GS7RqRKdeqJvQ+iK3WJ5TjiI&#10;QCcSd1YiYtYyqHU6q6u7CaWa3QOe3j4IzspFzKJ1SFq3l1eTp++pU+Q4SfVPoP/G/7+dVUjeUIC4&#10;ZZu5hNcHBHLRyiPbbSBc3dzY94R9ZvyKrUjdYfuoeWvhEe1byoTnyZFJYueV5LlPDMlzOpc9//1V&#10;awUym1djU39tAzRhYzEseQtfnGSptKZK9l9T9/Le40rf8c+210loURQljHApbMOkFCXVpQYD08vg&#10;krAG2mAS6UZlXx2xIp3mcloE4OMNVeQUDE4r4AsFHLVFi0RC9GX3nwGZlUiJNGGtcRDydD8Jpbet&#10;UOT5Dzi8zIR3L39nz+8PhM/2Esm3Dgn0u021KMkNU2KmBVKiI6hSs3xaEhp//12pZhUIEruG4tYf&#10;PkXN0okoSqfYa/FxfpWxwSgxhaO+lSKypUB3ZKgqu/V1Gy4/eIwLDedxbN96VMxI4eeZ9xynSnML&#10;vyv2Ao+WNx9H+dREdowbUH+lBS3PXn9cNPCt0vLiHZpu3UbNYhOvIheNX2ehRAvqR3/53gPHvDf2&#10;EC3P3rB78BPUrppu+SImghaJsGv7zM4l/L0tvX8WzXsSicT5kAJdIpE4BYo8f4D68wcRHhECNxWJ&#10;UcGL425GraXKNC1271jH9ouq4Tv3Qq1dnp9tvAKvibXok1wufEHYVRRZXAFNWA6MFIvL9k20352F&#10;SxPfAAxP3MB7xYq26QhQxd3QtHwe9UsVlaJj7RIkJHx8MTJOkej2VImuLKSogGtIDlQU5d4LFay8&#10;Appt1zshDaMWbUToyi9IdAcS6EqUewUCR49TRDUtUBAce5cg6c3GimSp2lML77BIBI0ej/CpCxA9&#10;dyXil25E3CdEz1+N8GkLuDT3jY6HRq+DG684d7fZeabPov7XUTOX2lV0u6P3Nf8qdFw7KhC3Zie8&#10;zbHtvfG95dHtX5szSKRTRbOPD9wjpvD+5RR93hV5/XFB06gsszy3cI6inw2I5DK4uyqq6bjoswdm&#10;VsAlfhW0IWkweuut2+/epF2ks3FzjV3CnxX6O/C8Lvk2oeetnzLr4Ma++6bQRKw39MM6PfUkF4tv&#10;W7Ba1w8rNT/i8LJxePfyWqef9SWSbw7++/k9NJWuRTFVUFtYbUlSkeQzr7B0wApWHsv9x++ooh68&#10;VFEsOMaO4NHB0xPRcO03tLx0xCp8CfU0J3HedPsOzhyrw8EN81FiCjNHswc6vDQXQt97du0WZfqh&#10;fGo8juVvxKXff1cqpklqCsbJ6Xn6Gq0v3uB4yU4UWhspPiYIZZPj0EBj+urbXpjQEa1vgWNFW9n1&#10;SNH5ln/XqA963bxMvH35O9raZB90ieRbQQp0iUTi8Cjy+TGuXT2NiMhRcCd57qUTvzDuRtor3kme&#10;//VeiZIX7e/noI32/y4OnL4M3fga9EkuE74ktJjMagxOK4Y2JANGLoutlejsM/xDMCx5q01icnsL&#10;iucdmlYIbXASDLwSXXy8nYUvLiCJTpXomfZViU7xyAPTS+ERkAqVqndkHFVXk2g2RsYiZOEGhK7c&#10;49gCnZG4rQzxGwrgEx0PN1c2roLjthSKdndj4+XqMpKNmyuX43o/f+j8/D6iNRj4/0f/hotzG1co&#10;KxH8HhhlmmqOk+/96Hal2pzEuficODxcnlciZvlmGENC+XfGmj77FqPRwLOzC64MGja3uLN5IQzu&#10;0XP4fZVEbEcVzXyhEbsPu8cssC4lxUAtRvRwiVvGK6lF27IltN+0UIr6iI+MX83m1nQei27Q0wI6&#10;B6xI17vz/adUlhFJm3giAK+6Fxy7RGJP0HexL3ve8k7egFmBATyyfa2hn1B62wx9fyx3/x7Vs1Lw&#10;7sVv7PldxrZLJF+CFri34R6Or57EpYNIRnQISfcxQbxKl3oHUxS0SI7YM1Rx2njtKirnZFou0LMC&#10;UTV/DC7duM4/T7QdiR3Crlcuzl/+haa793Gqthi1SydwgccrYZ1Rmn8BuoaLMnxROTsTp2oKcfn+&#10;Q7RSSwZKaBCNnRNz5Q14+kDZhEguwUXj1Sn4AoVAviCjlSrQHfD+2FPQffNiIxvzyfF8zITj2Qlo&#10;QUj5xGjcajrY6fe9EonE8ZECXSKRODzUX/zWrQZkZibB1cNV/IK4myF57u1jxO6defjrL1pt31l5&#10;Tv/2LkqPNGHk6Cp8b2t5boZk8eD0/dCOyoDBQL1brZXo7tAFxmBo6h6HluhULTksZSf0AeG2qSLU&#10;q2D08YWLOc7dvirRazAkvRjufglQ9UI/dIL3+3Z3gyE8GiHz1/9Loocs3YbwVbuRsFkgFu0UqhSO&#10;Wb4FhsBgLrFFx201NG4eHlyof4otK80/R5Hn7gjKzEHqtgpFoH8ms3sapxbnjMRt5UjcXo6I2cug&#10;DwxS+uurxOenW9GoodV39V7I/j31Rzdq2NwQDbf4lRiUXsbvO1+qSKeFPSRsDb7+7GdVgs/sDFq+&#10;MEwVZuKLxXrynssr0rlIL8WIhHXmHul6ZZGZo4l0nibgDoOPH1SR0/iiO37uZKy7xE6hfucU2z4q&#10;bhGW+npgve4HrDH0/7fwtiFUeU7yvGRCFJ7dree/f4ie7SUSiQLJ8zfPr6J2TroVAj2YS6Jzx2u5&#10;iHREQUSVoRcunkL5lASLxQ1V4detmMyrlykCXLQdiX1ByQMtL97i8t37OH2gBNWLTOxcUm9zX+es&#10;Nu8kFDu+f2wQaldMwcWG8/x7/c3Fjz97g8sPHuHA2tnWRYoz6J5ycMM8XH70XIkqF21PoixmefqS&#10;p5lQewHRWHYKNh8Vjg7CpdL17DnwsXDuk0gkzocU6BKJxKGh2MSXL37H1Km5oMrzr8bNdhMeancE&#10;Bvnh0IFitj/3OKJ9/Zz2ynOS5yOyqmxfef4Z9DJ8cHoxPINTYOSyWHw8nUPLX7Z7hqRiSHoR+2zH&#10;rVajxQXDk7dC7x9hluii4+08VIlOEt3eeqLzqsnRRzAyaRPUem949JJE5zLYnRZgBCN49kqErtr7&#10;D4EesWavQ1Sf/00p71UdtXANtF5e3SfRexCqZCd5G5g6motr6sP+uczuKajiPNEJ+5t/Di3EIIEe&#10;MmEmNHp9r11H7gyNzgr5SyKW0ji89Dz1ZHjSRgyge89nC61ozhiUVswXYlEMvPCzOgPbFvVOH5q2&#10;j89xn26jp+DzH6V88Ir0VfAMjIWB7ZuSbNLzzyRWwWPd1dAFRGF4wjoMzKzstXGVSL4ERbYPYd+3&#10;5MjxWO01xNzvvIfk+fgoPL19gT2/P2HP8rL3pUTyNej39Puth1AxJQ5FFvb6JdFYOi4Sl/6gymvH&#10;jC4ngX7+3HEetWyNQD+wehqa7tyVAt3eoYjuVx+4ID1zuALVi3LYOQzp1t7mJezzy7KDUZ4dxKnM&#10;DvgiFdmBH/9dKfsZ+lnRZ3YnNA4k0ssmxeJE+W5cvv8ILbw3+rdTQX3lLXC8dDe7LmhBgeXngO4p&#10;FTPT2L3hHl+MINqWhMHTIN7ieNGWjwuzROPZGfJTfXBy/Qy0fXjIW5WI5j+JROJcSIEukUgclra2&#10;e3jz+haWL5sNlcYdnvqer/jyULshMNAXRw7t5y8JOivPlZ7td1F2VKk8/zHFNj3POySzBsNSdkEX&#10;GMWryEXH1Hm0vNJOEzpG6Z3qwBKdKiGHJ22F3i8EPIZXeLxd4BOJThWKvS3RuQBh52dEQh5f9ED7&#10;qNL0Qiz0J1Aluqd/IIKmLUHoqt0YtXwHl+jReQVIdCiBrpC0qxph0xdC7enJj010zI4ATwnwcINf&#10;QiqS8vJ7TZ4r4twJ+5t/DrvWk3ZUIn7dXvinjmbnQFlgIjo3PYFaa6N5tF2ke3tDFTGBp5X8wlM5&#10;qjgkm9Vh2TAY1ezfWiqZ2Ta8DOw+u5JHxovufT0JVWvzhWoZpXCLXQTPoHheka+3ZoFAr0BpArQI&#10;wghNWC5+ZedO6W1vP4kqkm8TugZ/zDoAVepuTBgVh/X6n7q93znB5bkHVZ5Hm+W5rDiSSDoDpTRc&#10;PbQT+3MUYSYSER1Bcqhm6Xg03bnvsFWqJFPPnT6MsokxFgt0ko1Hti3D5YePv71qXQeC+tNTVPT5&#10;8ydxYN1sLuqKsgJsKs7bZTmJ8Jpsf05Jdhjys6OxPScBW7OTsDonE6uEZGF9Thq2sX+3MyceBdmR&#10;KGefV8s+o8os1+mze0qqU6w7tWg4sH4eGq/9xr8r30oMOcX6UwV++dQEvkBGND6dgSLgS0zhOH/6&#10;iLw3dAB9N+sb6/l4WfOdLMz0R+3cTDy5fZG/AxbNfxKJxLmQAl0ikTgkaKMe4w9RkL8ZWh1VzFEs&#10;uehFcPdB0p4qzxV5/hBtbJ9E+/o5HyvPjyqV5z0mz82QLKbYcl1AtPUS3UASXQWPiKkYQJVqX4jq&#10;dQRIwIxIWMsjbC2PE/6bjz3R43qvEl2JGKZe7wVQhU+A0dvrY5U9pTWoNBqhROsp3N1coTF4IWDc&#10;TISu2IHw1XsRL5KMDgKJ0LCp880SvfckqKXw2Ha230EZ2UjZsh+p7HhEcrs7+Vuci8fYqdhWZk4v&#10;WAtjaIQ5sr33FraotBp2XxDfzyyGVzR7QO8fyvujD0xn8x27H9LfDVzUWi7s6V6m+Rjdbj9zj3Lf&#10;pQrZErjGLIQ+IILPByT8Rcdht7Sfu4BwuMYu/aQaXYp0Sc/TL6OaPUvVwj9hFeb7e2GDrg/WdnPV&#10;OUHyfKX6Bxxako3n9xq4EBQ920skkn8DPMXFvUtRkOYrlBCdgXqGH921Gs2PnqH5mWP2Sm59A5w+&#10;UIoSKxYSUOz30T3r0Pz4OY9/Fm1H0ouwa5OSBhqvX8eRPXkonRDJ+31bU+VKkMguNQvzci7Ng1Cc&#10;HYZtOYlYmpON3JwZiMudh1G5y+CfuwY600ZoczdhuGkXfmUM+4xfTbvhatrO/53BtB4BuasQlrsU&#10;8ewzpuRMwZKcHP7ZJdmhfFu0Tdo27UO3SXU2RrRApHreaJw7fQytr9sc9rveJXik+CvUrpquXCui&#10;sekUSh/0wztX8QUc38oCBEvgLRXuPULV/LEWL2YiqA/6flMErp+vYPOcXFQpkXwLSIEukUgcDqV6&#10;+wlOn6qCj6+R9x+nuFThC+BugmLbg4L9cPhgV+X53z3PR2RVdnts+5cgoTsiaTP0fkGgvrWiY+w8&#10;Ghi9POEaM5+/3HTcl+tKzDBF8NpKorf3RO9pic4FTmYNBqVTJeRi6PzDeZ9gEiKf7p+nniS6WKb1&#10;FCSaVVpP+I+diJj1BTzKWigbHQFeTVyB8BkL4ento8Rw96IQ7QrUU13F/gzKMnGR3dM9z78pcc6u&#10;k0SqOt+Qj+DcyTz6353k+WfnpCeh+4CnreX5p+ipP7oW2uAUqKOms3tswL/uR13CLHapst1eI8Z5&#10;KgubEwen5cOdzY8Gv1Fsvx1MolPSDDt3FMmvCcvBr6l7+aIs2Rtd0lPwqvPMOvyaUYK0KBNWef2K&#10;9T0Q2U6s8vyZy/PDy0x4//p3+ZJUIukC9Lvx+zd/4sTayShIs7zHL4m103UlaH3x1mHFEAn0U9VF&#10;vBrZKoG+e60U6PYGSdAX79DC/n7mSCWq5mQpPc6tkHOEUmEexP4MQWF2GDZnJ2Juznik5C6EPjcP&#10;rqYtGGzahe9NRfg/pv34v6Zi/D/29/81FXL+ayr4Iv9h0L/5Hwb9jPLz+9HXlM8+kwT7FraNdUjL&#10;XYD5OeOwJTuB7wPti7JP3VOhThK5dEI0Th0o5aLzW6impor748XbUMzvDZaPKY1d9eLx7P7wgl2T&#10;38DiA0thY9Py5AWOF2y0rg86Y1+KN1qqt7Jnw2fCOVAikTgXUqBLJBKHg15g/XHtDKKiQuGusr5n&#10;dVfR6jQIGRWIwwep5/kDXg0v2s/P+WfleSV+6CV5rqBUko1MXAeDb6AiIwTH2mmo2trbGy7xq3qt&#10;2toW8D7hbP8pEtjIJbr1yQZUwdeTEp0WAQzIrMLwpA3QBScovXj5YgBxTLJWpxUKtZ6ES3T2Z0D6&#10;WCRsKuJyUSgeHQGS6DurEDl/NfQBQbzKnnqKi47bHqDIdqp81np5I3zyHB7Z3tOx7STPhWPphCRu&#10;r+CLLKIWb4B3RAw8PNx7P/Kf5Lm+B3p1t8e68/9txfbYfdnopceIj/ON+F5oD/A5ZfQhDE3dDX1g&#10;NB8D4THZO7waXQ2dfyhc45criTN2unBB4jz8nKlUnauTt2NKSCTy9D8z+gplt61Zpe2L5R59cGS5&#10;Ce9fkTx/KHy2l0gkYoD7eHG/AQcXjUFhhoWigqp3c0bhfP05pSpVJEQcAC7Qa4qtE+hp3jhRthet&#10;L97JClM7oYWqzl/+hcYb13F42zLl/JKUs7DqnKQ09SWvyg5EYXYENuQkY2rOJATlrsUA0y78bNqL&#10;77n8VkQ5yfDvTfn4wbTPJtBn0Wcqcr0Ifdjf+5n28G375OZhYs5UrMtJRX52JCrZflLcu61FOkWZ&#10;U1LDiYp9aHnKxtjJJTotvrjYcA6l46OUqmbBmHQGGrfyaUmov9zAP1O0LYkCJUWcP3tCic23IiGi&#10;gPqgb5qDN6+us/muc208JRKJ4yIFukQicShIWD951Iqc7DRQ/3GKoRa+7O0mSDJotB6oKN/N9uVJ&#10;p+V5m1meU8/zEdTzPLVnY9vFVPJKMheSxd5G62Ux9Xn1C8Hw5C08Dl28TUeAxIAi0akHrC0kentP&#10;dJc4pSd6d/SSVWKDD2BY6h5oIsaz7Xkr4rwTwsYuJLqHB8MdPrEJiF29E0k7K7mMFklIu8dcYRy7&#10;Yit845P5cdljpDsfczdXeIVFIHbROqTtrELKtgqh5O4OvrWqc1pYEb9uD4JzJkNrNLKxd+v9hAKN&#10;GtqekOf/wJrtaWFk92R1xGQMzKzplnupLaH7/bCkLdD5hXIBLT4mR4GdN0N7NXouhqbt67b5TCKh&#10;qvNBmZWIi52FpT4evN/5WkM/oey2NVR5vlr3M46tmYT3L0mey/6WEklXoQXvdy8fQMXkGBRZKIao&#10;P3LFzFQ0XG3lolIkQxwBLtBr97NjCrFYoBemeuHU4WpceQvhNiQ9C4ldEujnTh1C9fyxvNWANT2V&#10;y7PZtZ4djB058ZiaMx7huSswyLSbC+3vzJDg7iMQ391FH7a97zjK9qlyvb9pL0Jy12BczlRszElB&#10;Gdt36p1uS5FOPb1Jbh7dvQ7Nj546tURvoTSJR89RtTBXEbqC8egM/NobG4STVQW4wu43om1JFEig&#10;N/x2FRUzkq1atFDE5qeq2el4fOs8m+/kIkuJxNmRAl0ikTgMJKvfv72NVSvm8dh2zx6W5wT1h1Vr&#10;PbBj+xq8f3e3U9Ht+EAvEe4p8rwXep5/jf7mKjKKXzfYQKJTT1pdQBSGpe528Oo0WlxQB7foOTB6&#10;6ToloTviY0/0eJLotou65xWOmbUYnFEGVew8GAPDYKTe9l3cZ3uQ6CQTqRraEBKKqPmrlDj3rY5b&#10;nUzVxlRRHzJhBq/wVnpc9341Oq86d3PlvdqDs0xIWp+PtJ3VSNlWLhTdtuZbjGtPZH+GT18Ir9Bw&#10;Ls7tZUFFz8tz66D7qGdQPAanFbM5plp4T7QPlIVYw5O28IVlvJe4VQsH7AkNj3XXBURiZMJqdpy1&#10;fAGXeBwkkq7Rj11Lfdnzlzp1F0yhiVhnHIA8PUW2i2W3rVmp7Ys1+v44v3sJ2t7T8/t94bO9RCL5&#10;OtT//PqJAi4Zii2s8qP49rpV09B0+zZanjtuVSVJ7+Nle6yqTuYC/VCVFOh2QAst5njwiEdvl44L&#10;5/JcdM46gqRzGa/kDsK27CRk5c6Gp2kT/mMq4tHqPS3MO4L2hfaJKtT/n6mY91KPzV2M5Tlj2LEo&#10;PdOpV7roWLsKCeHiTJLoa9H88InzSnRqAcD+PLYvT4n9t6IiujDNG4e3rUQr9UF/IlMqvsjzN7jM&#10;vr+HNi7g7RZEY9kp2Lmiue1ey2E23z0RzoMSicR5kAJdIpE4BG0f7rIHk0co3b8dOqoC9+y9Si6N&#10;To2AAF/8eYNWGz4S7m87n/c8/yHZfuR5O0rlch3combyyj56OS467s5CL9Y9Q9IxKKPUzgVHR1Ri&#10;ANt/d5LoRpLoNrjmqA+wuRLd2jh3Eue0SIGidN2S1sArLIX3GOZJAKJtdwKNPUh0BlVFa41eGDVp&#10;NhK3lXOEctIBSNxezqvpoxevh09cElQaDY/spqp00bF3J7wS3k3pde4THYeYheuQysY2leT5Z5K7&#10;u0ji4vwbkOckzrdXsGu3DFGL8uCbkAqVVqssovjsvPQWtGhGdB+wWyhRw9efS2mKdRbdF+0Ddl/P&#10;rGX7uRl6v2A+JwqPx8GhBXMGby+oIqdhSPp+LtJttTBM8u1BzzR9qQUN+zM6dg4W+ntig/5HrNX/&#10;LBTd3cEK1Y/YEDAU9YWr2PP7ffb8LivPJRJLob6wVw/u5H1ihfKhExSm+eDwthVoeUJ9vx23r++V&#10;d8CRfZtQmGIUHmdnkALdDnj6ivesbvzzJg5umIf9owN4SoLofH0NJao9mPcS35qTiNG5c+Bq2orv&#10;zD3J7Umafw0l6r2Y900PzF2N+bm5KMwO5zH0dGyiY+8KvBI90w/H9m3g1f7OKtEpcv3C+VPYz6vI&#10;LR836oNeu3QCmm7edOqqfVtw5U0bTlYV8dYYorHsLAXpvvj9RBGb7x6i7cMd4VwokUicAynQJRKJ&#10;A0AS+jEunq9DcLAfPDQ93/f8Uyg23kPtgY3rl7D9uv/FGPd2eV5ypAnDs6p6uef51yHRTX2z1RET&#10;YSRJYZVEp4hdDVTh4/AL+8z+DNE2HYNqdgw1ikTnlejWS/T2nuguccstlug/Z9RgQFYNhqXthiEq&#10;F14+RuW82aBSXuOp+Zdo6w3aRW9A2hgkbChQ+qJvdeBId6pG31yM8Dkr4B0dD7WnjstUtx6I8XZz&#10;d2PbGgm1Vsv7bkfNWY6UzfuRtrOmxyLblT7n30bVOa84316OmJXbEDR6HDRGL3YOXHlkvuj89AYO&#10;J8+p6pnNLW6xi/GLDRM8bA1JwAFszqBFUjrfAKeV5x9hcyItvNMFJ2NY8ja+cMCx53xJb9CXfWf6&#10;ZtZBm7oD40ITsNY4EOv1P2KNof+/JHe3oP+F9zvfHOqC1gM7+O8cbbKfpURiMZTQ1sZ+f6/PX478&#10;VB+heOgMJI2Pl+3DlbeO2/+ckALdCXj6mkc/1zdfQvXCHHNke9fjn0uzg3mP8+3Z8RibOxsjTduh&#10;9DUvdBhx/jlK3/Qi3qPdL3ctluaMYccaZpMe6UpVdjBOVuaj5fkbNFPkuej8ODAtL97j0vXrKJ+a&#10;aNE11Q6NVdmkWFyoP4vW1459z+xuWt+04dzZEygdF2HVmBey+8CZ3cvw7s2fX3wnLJFInAMp0CUS&#10;id1DK/ru321CZkYiPNS9K8/bUWtViIgIxt1bDWz//l2h0sZj2++i1A5j278ESXSKAdeOyjRLdCsE&#10;i0HDq6FJPP+SZf99ar8GVeiTELFpJTobX4OPjznOvY6NfefGR4lrr8OvGcXQJsyBX1AgjzS2hTj/&#10;iIEkup1Uorf36I6IQfSSjUjaVe3Yke7byhSRzv4ePmspfOJToPX24cdIMt2WgpU+y82Vfa7LSGi9&#10;vOATm4TImYuRsrUUqTuqkMr2QyS6u4NvpepcSRuoQtzqnQgZNw2ePr58IQhPG+jtXuefQItkqB2J&#10;8Ptvp9DCI3W4CQPpPmingpbvF7ufu8YvZ/d3b36fFx1L16B52N4XO2j5+TH4BvIFDgPZPOXY6TOS&#10;noKeaX5i35kh7NkzInYOFvtplV7n+p7pdd7OMtfvsCPOE9fP7GfP7k861Z5JIpF8GVpg/ub5VZzM&#10;m4KCDMvirXmU8ZhAnDpUwXuIiySIoyAFuoND8vzFO5w7e5z35OeR7RZEbZNQLs0OxZyccdDmbubS&#10;meQzxaKLxLSjQf3S/2Mq5H3So3OXIi8nlfd1t7YanfepzhmF0wfL0PLqL54EIDxPDgotDLh87wEO&#10;5s3msfWiMegU7JqkKvRTB8pxRQr0r9Ly8j0ar11F9bwx7PvsJx7PTkAtSg4sG49XT6+weU8uvJRI&#10;nBkp0CUSiV1DEvov9ufKFfPgrnKzm5f+VIWu8VRhzaoF/CXBp5E9ijy/h5qTlzFytGPI83b6ZVZj&#10;aFohdEGJPJ5VdOydhiSxtzdGJqzlPb8dXaL/0h7nbqOe6IpEVyrRKSr+6+NTiX4ZNVxMaFJWwic0&#10;Dl5GD+j03dfKQKuzj0p0gkSwp68fQifP5b2kSVSKBKbDQMdgrlKmaPfg8dPhG5vEY+u5TGdQj2y+&#10;gICkOsnXr+CuUv4d/QxVtJOM1+h0vNo8eOwkxC5ax4U5j2rvoT7nRPKWb6DXOZ1LNqZcnK/ZhRDT&#10;FBiCQti5oIpz++hzTlDfe3cPFdQOJ89JzqqhDU7EoPRiNkfZZ3Q7CeOBmRVwj1nA5j0fZWGT8Hi6&#10;Ajt29qeBEmH459m5SKdqdDY/asLHYzB7jrDXcyWxD37OqOYLAn2S1mNKSCTyDP2xTt9XKLi7i9W6&#10;flju/j32myJwv5V6WD6WEZwSiQ2gxeXP71/CwUVjuGAQiYeOIGlWNj4S504fcfhqSinQHZhnr3lP&#10;6XMnDqF0QrRF/c6pCrsyOxBbsxMRl7sYP5pFs6NWnHcELQj4H1MRRph2YEzuTBRkR/Djt6YavXh0&#10;AMqnJuDipfPmHt+Cc+WoUGsAdkynavZbHSlOfdCP7slDy9OXDMdte9HtsLGhMapbN5ePmWgsOwP1&#10;6i+fEo+XDy/zeU80H0okEudACnSJRGLXUI/xmqo98PLWQavrPlloCSqNB0JDA9F46RB/6Ub72155&#10;fvpSK7SmavSx49j2L0F9TH9N2QVdQJRV/bQ59PO+IRiaspt/rmh7jsI/KtFtFOdOUsTo7cU+c7ZZ&#10;ov+zspKkOvU5J3nvkbEVhvBM+Pjq2bjS4obulyn2EudOUAy5h1oF/5RMxK7egSQe6e641egcs0hP&#10;2lWDhI0FiF6yAWEzlyAoywTvyBjo/AOg1un/NRb/RMPuRVp4ennDKzQcgWljED5lPmIXr0dS3j6k&#10;sc8melKcE8nOXnVuThOgVIHYVTsQkjOZi3MPvojBVXCeeg+S525sv1QaFTRaFTz1Nkys6HZIImug&#10;jhiPQeb7ob0txqJ9GphZCVXUDDY3sH22xdzAjtlo8IBmVCbc4pZBHxTLI+yVxBE7Funs2GkfdUHx&#10;GJq83eI2JRLnhRZq9s2qxYj0ImRGZGOFz0hs0P3Q41Xnq7R9sVL7EypnJOPFPUqTeooPUp5LJDaB&#10;0uOe/HkWVdMTlOpRgXjoCOotXTEtySzM/hJLEAdBCnQHhfpuU+X5iYOKPLcgTYGqr8uyQzAvJxce&#10;pq286pwqtUXi2dmgWPr/MgJNa7A6J+Nj33fROHWGogw/Hp/feP0Pfl6E58xBoZSN8xfOoiSH3fss&#10;SDdopzjLH7XLJ6Hp1m20PHeuMbI1dC89WriVj5kliRJEsbln/f3fTrJ5775wPpRIJM6BFOgSicRu&#10;ISn925VTiIkJg4faTfyytpdxdXfBsqWz8eEDVaHf5fL81KUrME6o5fK8v+Dlof1TyV96D0/aBL1f&#10;kNWVdNQD1jMoDkPSCtCPZLBwm45B/27oic4lOvvTPXoWF+W87zrbVj/ztoZlFMAQNw2+Af5cqHRn&#10;1bkIe5LoSpU1uxcEBSNizvJ/RKI7OvxYdlbxSuZE9r/j1+cjdu1uxKzeiSgS69MX/YvQaQsROXcl&#10;4lftQMLaPUhiP5OyuQRp7DNImqfuqBTK7e7GmavO26vNEzbvR8yKrQjMMvEYfkoC4OKcUgEE125v&#10;4ca+MyNdXJCRm4mV21ciMT0enjoNVGp3nqQi+s7bJV4GaINTMSJxMwZkVikLiz67P/cGtDBsYHop&#10;1BETeLW4Uin+2b53GS2/12tDUtm8WcRj4Qel74db7CLo/ELZnGznFels/3jvd/b84Bq/gi88k33R&#10;Jf3Ys+VPWQcwNKMUkXHzMTfAG3n6nxk/CQV3d7JCrfRXP75uKt69+oPLPtHvIRKJxDJoAfzDa8dR&#10;agrjFXqfS4fOQLG61fPHovH3aw4vy6RAd0CevlFi27k8j7Go8rw8OwhF2eEYnTsbfU17uTx31qrz&#10;L0HV6P9hxz3AtBvjc6aj2NwbXTReHUIR5Wk+OLhpITtHL9Dy/O2/z5uDQpHiDdeuomr+aBRlWR7j&#10;TvfbsonRqL96hffsF21LotDy8i+cPVHHvt9Rli/0YtckceX4frThnkwxkkicGCnQJRKJXUIROG9e&#10;38TsWRPh4uYifklrB6g9VQgM8kX9hQNsn5/hXBPJ8zoHlud/QxJ9ZMIaGL2pl6s10lapmtOEjcXA&#10;jHI2Lo79Il2pRK+GW/RcGGzWE12JvnWPmsVlw89ZBzEksxSaxMXwDQmH0ci2wbfTO8JEq9PCQyMW&#10;dD0Or6Z1g0qrReCYCYjP26sIza1OJG3NseAU8c6rnHmlM/v7vyhDEkWzU09z3te8EinbqLd5z1ab&#10;t5PMcFZ5zvub76pG/IYCRMxbCf/U0dAajUrUPmFn4pxwZfvl6uaOMRPG4PCVY2h81oJj105i6aal&#10;iIwNY98lN96KRPSdtztIypI0psUKUdMxOK0I/Xu5upkkPoltdehoGLnUtkVlP5sv9Sq+WIDkubJQ&#10;QOkpTn+n4/aInA69XzDbprtt5p9ugs6XwcvAF5wpvesdewGdxHJ+zKzj598vcS0mh0RjneEXpde5&#10;oWerzonlHn2wMXgEGopXs+f2+/z3DdHvIRKJxHKAJ7jfegQF6dRb1rLKPqo2rVk8Dk03bzm8KJMC&#10;3cGgnucv3+HsiYMomxijVKgKzsnXIEm8MzsOsblL0cdUwHudiwTztwAtGqDI+h/YGMTlLsGu7Fiz&#10;RO/6vYEEcfHoQJyszFei3J0kpryF0g6ePMehzYvZd92KGHcSupn+OHfulBToHUDzSsOVZpTPSGHf&#10;cQsXLdCiDnZNnt23kqcYSYEukTgvUqBLJBK7o63tLtD2AAXsF02NVm33cbMu7i6YPWs8GltaMGrW&#10;UXyf5PjynOAxuVk1cKOeriRurZED7GeN7DM8uCAmEeDYka40NiS63aLnwGCznuga9ll6NkYz4Jq4&#10;GsaIDPj4aKHjMfq9X2mo1duRRGfwanQ3N3iFRyOSV6OXO001uiVQv3GR1O4pSJ6L9suhoYUM7Jpq&#10;728+auJM+MQkQMW+B25uLvwapLYCouuztyFxTkyZPxWn/jyD+sdNOHvnAs7fq0fjs2bU1Ndi1tKZ&#10;CBrlD5XKzXFi3Q0UEa6GLjAOIxPWmaubldSOnqR/Zh2GpuZDF5zE98dW8tzI7vfa4BQMTisWCmde&#10;yZ1Zi2Ep2+ERMREGb28Yeqilh0XQ+TJqoAnLwaC0InOk+z+PSeK8/My+m1R1rk7dhczwDKz2/hXr&#10;Ka7d0F8ot7uT1fr+WOb+PfYke+PG6WJQ1TlwT/h7iEQisQ76ft08V2YW6ALp0AmoL23dmlnmXr6v&#10;hALEUZAC3YEgef7iLZfnlvY8r8wO4JI4MHctrzqnKmyRWP7WoOh6inT3zc3Duux0VGQHWdQXnWQn&#10;9Z2uv3wJLU4kiek+cbx8H4oyfC2OFCdofE7s34oW+txnjn3v7E54j/hHz1C1IJcv2BKNZYeQQM8K&#10;wrENs9ncd4u/xxbNiRKJxPGRAl0ikdgVtGqPfulubjqKUaMCodZa2YO7C1gqEHRGLby9tAgesxr9&#10;MmrQP138ItERaa+2VkVMUiSB0RqJroLRy4AR8WvNlYPibToKJDJ4T/QoG8a5U99b9lnePkYuRewt&#10;YtneJDqvRnd1hUanQ0DaWMSv22Ou1nZCmdsBVPktEts9QZIzVZ3ztgC0GKMcCZuLEbVgDQIyc6AP&#10;HgUPD3d2vbnYXUz757i4ufHo9mmLpuPMzXO4+PASzt6+wAV6O/WPGnHxwSWUnirDlPmTYfTWQ63x&#10;4PHuou++vUH3R5LHqogJGJqWz2Vzz8SEV/LWGsOTtsIzIEaR1za5T1PPc6XynFfXZ9YKtv03/ej/&#10;p/1I3ADtqAyehkKV63bZH50W0PFWLgkYmrKbLwCQfdGdF1pgqIjzWqhS9yA10oRFflps1PXBOv3P&#10;Qrnd3azU9OWx7WVT4vGU3ROpRZR8ySmRdA/0u3xb2x1cqdmCQgvkYzskjA9sWoxWJxDGUqA7Cq/Q&#10;+uoDLjZe5ILWEqlGUjgvOwWG3A34L5fnYpn8rULV6LSoYETudizJGcvHq9SCvuh0bg6snYXLD584&#10;TZR76+sPOHf6CI9gtzRSnKAK/YMb5ipj8+yNcFsSxtNXvD3Igby5VvVBL8oMQN3CbLx9pxSCieZF&#10;iUTi+EiBLpFI7AqqBnn96jomjB8NdxVVVQlexnYDWp0a3j4Gi4WlTqeCu28kBvGqsZ6vhutO6HgG&#10;ZZRCO2o0fwluTaUb74vqG4whKTsVASDYnkNhluhUiW67nuhsfG1Szdg9cImuVrPvp1je9QZKjLbS&#10;Gz1s6nwuQpN2VDpXrHsn6GmJ7jSR7VRpzq4Xfs1sKkbs6p0InTwHXuGR0OiNcOfi3P76m4sY6UIL&#10;SjyxYttKnL19XpHnn4jzTzl37yIuPbmMM7cvoOBwITJz02Hw1vH+6A5RkU4R4XTPDQiHS9xydk/u&#10;3t7oSvV3DUYkbYDeP0SR57ao/CbBbNRAHWbCgPTSTh8Dicr+WbUYmFHGjn8lPAOjeVoMj7q3u4p0&#10;iqZn839ABEYm5PF0G0dv5yL5J5S81Jdduz+za3JEeiGi4+Zgvr8B6/U/Y71O6TkuktvdDUW2r/Me&#10;hBMbpuPdq9+5PBf9/iGRSGwDF+gfbqO1cqNVAr0o3QcHty5H6xsp0Akp0LuflpcfcOnab6icnYki&#10;C2LbK7MDsT07HurczfgfU/E31++8K/w/UxGGmHZiXo4J5dkhXZfoJDvHBOFkxT7eq55kqOicOhK0&#10;EKDx+h+omjfG8opoBgn0ynmj0XT/kVP1ibc5JNDZ+Jwo3cnGjV1PY7u+kIOgnvWV05Px9PFv/F22&#10;aF6USCSOjxToEonEbmhj0Iut/L0b4alTQ9sDL/ANDA+1O+Ljo7Btyyou0T0tkuhaHlOqjpzKX7CL&#10;Xi46Mv3YMQ1JK4AuOAEGg3WpAPQSXRcUj8HpRexzHX+xAZcAbHy4RLdVT3Q7R61RYfjwERjh4vov&#10;gddrtPdG12jgm5CKqEV5SjX69kqxNHVSSGqLZHd34OjynGL/qa950vZyxKzchvBZS+GXlA6tlxe/&#10;nmhRBslzRxDnxPARI+Ht64P1+etx4X4DrzAXifPPOX+/Hg2PmnD65llsKt6EpIwEaD3VvCJd9P23&#10;LxQxS+0vSED/mrqHx4TbWs4qPcir4Ra7GAYfX3aft9HYcHnOxjp8PAaw7dBcK9r+1yCx3z+rBgPT&#10;S3gLEINfiDJP291cRHKfnSufALjEr+IL0HomNUDS3fRl342+WQfgkpaP6NjZmBfgg3X6fsjT98Va&#10;9qdIbHc3q3VKZPuOGC2uHtyltIfCQ+HvHxKJxHbQd+392xs4t3MBCjMt7yu7f3QgjhVuQevrNrH8&#10;cCCkQLd/qBL18t37qF05DUWZXe/dX54dhB3ZcTy2nfp9S3neMf/LxukX015MyZ2CMgskOo9yn57C&#10;Fz20vngvPK8OBa+IfoO6NbP5AiLRMXcGql6n9gOX/vhDCvQOoPE5f+oQSnLDeX990Xh2BC1YKJsU&#10;hz9bT7LnzPvCeVEikTg+UqBLJBK7geT5taunERk1CiS1xS9gbYvaUwX/QG+cPFaGN69vYPy4LLir&#10;3IT/tiOo6svg64fhSZuco7r6M/pl1WJo8k7o6eU8r0QXj0OHGLQwGtTQhI/DwMxKOHo/dIL3i2+X&#10;6DaLc7c/KKHBw8MNYdGjMGPJDEQmRGP4yJF2VY3ORTrFuhsMCBozDnGrdyBpVw0Stn47se7dLdGV&#10;ynPxtu0aSiSgfadq851ViF+7GxGzliIgMxf6gEAuzN3cSJp7OIw0J9zZvg4f6YLQyFDkHyrApaeX&#10;eXW5SJZ/DeqPfulpM45eO4Hlm5chMi4cajYXU0KL6H5gX2gUOesfDpf4Fbz1iK3SYOhzBrI/PaJm&#10;wuBlZPd3qvAW7UMXYfOEkf1JLVJInlu7v+2LuYal7IQ6LJe3TNHzudq+qtHpWcnIxtE9Zj7fX1ud&#10;J0nP8zO75qjHuUt6EWJiZmBuoB/W6/siT/dTr/Q5b2eV9mesUP2A0kmxePT7Kfb7xVMZqymR9BBt&#10;uId3r6/jzOZZKMoKFAqHDpEC/V9Igd6NkLh8+hLH8jdgP7tmi7tYiUryvDA7EqG5K3k8eR/Z87zT&#10;/MdUgH7sz9k5E0AV/F3piV5M/acz/XB423K0Pn/jFFXo1ELg6L71KB7D7p0WRorT9VuSG4qzRyql&#10;QO8AGp+G366idHyUMuaC8eyI4tHsfjEuCq2nK6VAl0icGCnQJRKJXUAPGy+f38DMGePh5uEqfOlq&#10;azQ6NXR6DQr2bWTbf8h4ghPHSuHja7BQGCiVcNqQNAzKKIMzVlZRZd/whHUweBv5S3DxOHQCg5r3&#10;bHWNWYhfeD90J5Do5nhf9+g5MDiZRNfptVBrqaLRExNmjkPp6TI0PWtBxbkqRMRHYfhwkuj2JRyp&#10;ctjdzYXHuo+aMBPxGwp4RPe30B+9O6PcSZ6LtmmflPLzTZXmCmzf2XUQMXspAtLHwhASDrWnJ9xc&#10;2PXr7uZQ0rwdV3d3jBjpguSsFFReqEbT8xahHO8KFx40oOHJZVSxz5uzYjb8g3yhVjtGf3Sag41e&#10;emjCcjE0dS9fzGZNNTrFqQ9KL2WflwMjiWhb3ddpwZ23AR5svlAqsW0nkemYB7I5dQSbq3VBlBrD&#10;zhvfbzsS6Xp2/F5GqCKn2WTxgKTnaO9x/jO7zkZk7EdszAzMDvRDnqEf1ut+QG9FtROr9f15r/O1&#10;xgE4uWEmXj+9wuW56PcOiUTSPXwU6FtmWy/QCzZLgW5GCvTug9oEnD1+ACU5obyaVDT+X4KqpkvZ&#10;n1m5c/CdqRDfS3neZagSneLc23uid0WiU3x22YRonD9/2inuFS0v3uPMwVKUmMJQPMbCPuhcvIfg&#10;xP7tikB3goUF3QWNT9O9hyifmdbl7347VLlelB2KS3W72TPnA+G8KJFIHB8p0CUSSa9DvdKo+ry2&#10;ei8X2toeeElP/V09VO5YumQm/np/i23/PtB2Dx/e38a8eVPg4jZS+HMdQtXVRjXcqLLKScTwP2HH&#10;k1XLK8eUSmsrzlV7xX7iBi7mxdtzLEjUUE909+i55jh3G1Uq9iIkzrWeKkTHR2Bj0SYu2BqeNPFq&#10;1fpHl3Cw+TDSczIw0sWFyzyR5Os1qBrdTeldbQyLRNj0RYjfUKhEu28rFwhX5yGpGyR6EoOktGh7&#10;9gNJ83Ik7qzk5zl+UxHi1u7hleZ+ianQBQRBo9PD3d0Vbq4uSrW56NpxAKjfOS1cmTxvKo5cOcb7&#10;mX8uwy3l3N2LaHjMvuf3G1BwpAg5U7J5ixOH6I9Old3s3qvzD4dr/EpePd7V3uhKf/Ea/JqyG9rg&#10;NP55Vs13n8Aj573bK7CpUt72i+1oLqJ5dUhaETyiZ0PvG6AserPRMdgEtj+0KKE9vr47+9dLrKcf&#10;rzav44sdRqYXICZ2NuYGeGGd4Rds0P2AtYbeiWpvZ5W2L1Z49MGuBD2uHctnv1vcY8/2FNl+61+/&#10;d0gkku7DZgJ9TBCOF29zCilGgvZkZQEXNJbGBHOBfrhaCnQb0/ryPRp+u4KqORkoyuha3/MSRmV2&#10;EGbnmPCDKR//NRX8Sw5LOsf/mArxq2k7VuVkcokuGu8vUZTujUObFqL50TO0PHsjPM+OAq+IbrmM&#10;sslxFgtdun8Wjw5gY7IILS+kQP8aLc/fcIFes3S8VeNdNDoIZ4vy8Bces+dP8dwokUgcGynQJRJJ&#10;r0Mr9e7cakBKShx6KrqdYtrHjRuNJ4+pOuXvlYJUhd5w8QCCQ/yhsrT/K72k9h+FX1N2OuULYXrZ&#10;T0JCEzHOXIVueVUb/3n/MB456zxjpVSiU5y7wdubHaedy6YvQJJMpXZD0Ch/zFs5B4daj+Liw0u8&#10;OvVT0Vb/uBHHrp3A+JkT4OrqBhc3N3hoxMKvtyBJ6k77xf7uFR6F8JlLkLh5P+9/7awinSLWbRnl&#10;rshz8bbsATqPvJ/5jkrE5+1F9LLNCJu2EL5xSfD08WXXpIanEtCCCkfqay6CR7aPGAkvX2+s2b0W&#10;F6nfOftufvq9tBV8oczDRv73Lfu3IDmTjSe7N9h/f3Tqt01R4Xpow3IwOK0A/bMOcDEuvm//Dc1x&#10;JJ9HJuZBHxBh9Tz3KQY9e8bx9Ydr/ApFnltRHd8ZeGU3m4+GJ2+HZlQm7xWvp30Q7FuvwHvAa3n/&#10;eurhLiW6/dGPfWf6ZB3k16s6ZRtSoiZgkZ+GR7Sv1/+EtfqfhUK7J1Gqzn9B7bwMPL6hRLYD9/7x&#10;u4ZEIukZ6Lv39sVvOLpynMUCnSovS8dF4MzhCrS8/EsoPhwJEuinavdj/9hgqwT6ydpSXHn9QbgN&#10;SdchWdny5AUXjZb0nKbo9s3ZyXA1beN9z0ViWNJ5/sdUBG3uJmzJTkRFdufvHfx+YQrH+Qun0frK&#10;se8XLc9e4/Kj56icO5r3eBcdb2coyvBF1YJcND9lnysF+pdh400LLw5vW2qVQC/MDMCJncvwlloG&#10;SYEukTglUqBLJJJeBW132S/a97F2zUIutYUvWG0MifHoqFBcu0ov2R6i7ZP9UarhH2Llirn831HP&#10;Z9FndASPch+VgYEZ5d3+grw36JdJsbb7oQ1O4ccqGoPOQj/vGZyIIenFyst+wfYcjX4kRkYfgjqa&#10;eubScdpRdG4n4HHNeg1yp2Zj//ES1HNxfolXpX4u2Ij6R404c/sCZi+fA63Ok0dKi8Rfr2OuSFdr&#10;NfBNSEXYDKpIL+D9sHl/bIGYdWRsVYVul/KcnS8uzdm5I+LW7kb47GUIyp4En+g4aI1GHsvOoQUU&#10;Kqo0d1xp3o6buweGjxiB+NQE7DtUgManzRb1O+8qJNIbHjXxxTIrti5HREwo+z659UhijFUYqDe6&#10;Cp6B0RiZsM5c8f3leYbkOfVPd41bAoNvAPt5Wy0UUIS+wS+I7cdanuTSGZlvGyq5mKaFb66xS6AL&#10;CGf7QsdlL+dOCyM9M7HnicFpRVKi2wlUcf5j1gEMYt8J78Q1yAzPwgpfN+Tpf8I6fd9erzgnVuv6&#10;YZnbd9ga6YHLVZv4S0tedc6e5T/9XUMikfQc9Hv9m2dXcHB+Bq/KEwqHDvgo0KmHr7MI9JpiqwR6&#10;Ubov743c/OQFmp86dpWtffAKrS/e4+yJg8p56WLf89LsEBRnhyEydxmX57LvufXQGFIP+RDTauRn&#10;R/IFCqKxF1GU4YdDGxdwGdr8zIH7fj99zf88kDfHcqHLKMr0R+WsDDTduOHwVfndCgl09ueJ4q1W&#10;jXdBmg8OrpmJV3gJSIEukTglUqBLJJJeQ3nR9QAXztUiINCH9yQXv1y1HRpPNXx9vXDkUDHb9iMu&#10;zD/fL/rF/87tBsREh1lehU4vyynKPXoOj4F1vih3ksR1GJKyh8fkWifRld7x1GN2kMMvOCBRUcuO&#10;oxSusYvgGRgjOF77hBaLaNn3gypL45KjsbFwI07fPItLTy/j7BfE+aeQYCfRnrdvPbz8vLlEt7e+&#10;6O3Qfrm6jIRKrYJXRAzCps1HwqYiJO0wR7s7kUxPYscikuKdJdkexoL2ge0Lj2YntjPYf4tZtgmj&#10;Js6AX2oWjKMieD9zV5cRcHOlKnPnEObt0DVLke0arRbTF83A0SvHeZ9y0XexO+H90R9Tf/QqzFg8&#10;A77+3vyeYe+x7lT5bfD2gipiCgan7zdL2n/Oy/TfBrM5iPpyU+W67VpwkDz3gC4gAsOTt/GK8J6T&#10;53+jxNKzeTs1H6rw8ewZRWcW6XawwIva3/DFdKk8dl5K9J6nP4OkOfU3/4k9xwzP2I+IuPmYGBKJ&#10;Vd7DeUw7iXORyO5pqNf5Ss1PPLa9cnoS7jUfZM/uT9FGrZg+e6aXSCQ9y0eBviBTCnQzNhPou9ag&#10;+fFzNEshZjW89/Gt26iaP9aiSt+q7ADMyRmPH2V0u02hHvL/NRUhM3cuX6RAiMb/X7DvVYkpHBcu&#10;nkHLi3eOW3XN9ruFcWzfet7GQulnLjjeDiAZXDYpFhfOneB91YXbkijj/fwNTh8oVe4DFo53Ibs/&#10;16yYiidvHgBtchGnROKMSIEukUh6Deo5/vbNn5gyOQfuqu6PFPU0aOHm4YatW1ayX+4fKj3PBful&#10;VKE/QlHBZmg8VZaLAYMaBl9/jEjaxKWq6IWlo0Mv40cmrofBx89K2aCBkY2XR9R0pULQ4SS6UuE3&#10;ILMKw5O3wDM4BUZ2XNZW5/cUXJxrPRAU4o/5q+fhwOVDvJ/yhfv/jGvviPP3lbhnqowNj43gEt3N&#10;jntMk2SlPthqrRaGkDCMGjcdcXl7uZxN3FGpyHSR0HUoSi2Ocif5Lv7MHoBtn3qYUyR74rYyJGwq&#10;Rtz6fYictwpBWSYYw6Og9faFSqPm59DR+5l/DWqLQPI8Ii4K28p38O8lpT6IvoM9Be+PfrcehUeL&#10;kJGbzpM2FJFux2kbNCcbNPAMSmDz8kZ+z6ZqdEUs12Joaj60oaPZvZvN+ezfCj+jq1BEuYHEcIK5&#10;rUtdr8jzT+nHnkcGZFbwGHk9LYCjY7XV8VqFlo+VNiRVVqL3IHQ99mVj/TP7DtAiRs+U7UiLGo85&#10;Ad5YYxyMjbo+diPOiVWeP2OFqg82h7qioXgN3r38kz2zP5ZV5xKJnSAF+r+xmUDfvU4KdJvwikvW&#10;E6U7zZKya+ekLDsIe7JjYMxdzyumRSJYYjn/NeXjJ/bngpxsUI956jUvOg//gPp+ZwXg8LZlijw3&#10;V3I7HGahe/ZotSJzLRXodA81heH0oXK0vpJtH74Gxf6fv3gOxZn+Fo93UaYfKubn4M69q2wOlIs5&#10;JRJnRAp0iUTSa1C/8erKPTB66XhluPiFqm3QMdxUrpg0cQyePf2Nbfvvvuci6Jf/Z89+Q25OOlQa&#10;y+U+jycPSuAVbxR7Lnp56dhU4pesanjEzON9TK2KhDWoedWfa8xC3n/WUar223vMDkndB3XEJBh8&#10;fMB75hrsuyKToKpzDw83ePkaYJqWi7LT5bj44BLvp/yluPaOoDhpkmtVF2uQlp0OVzdzX3SBGLQX&#10;eMS3myuPeNf5+iFo9HhELV6P+I0FSp/0HRViyesgUAS7SJB/jd6IbSdRnkiR7DTm7H/Hrt3Fz8Oo&#10;ibPhl5AKnZ8fVFpPfp7ofPF4dh7NLj6vjg5VnQ8bPhKeej0mz5uCI1eOcXF+vosLW7oLvmCG7c/p&#10;m+ewqXAjYhKjodGqOKL7jV3A7nk0L9OiL9eYBRhA9/GsAxiWtBG6gCilIttW924S9mxOpHYug3gP&#10;dvtZSEdR9bQ/g1MLoA7LhZ49h9nHgi8lcl+R6NTWxTkXH9oD7RHtfCEkuw6CE5Zh0qhYLPcegTxz&#10;f/N1dtDf/CP6X7DCow/vdV4zNwMPWg/zZ/mOnuclEknPIiPc/03r6zZ2LFUoMYVZWYG+2hxRLQW6&#10;NdA1Vd96GRXTk3nUtWi8v0wISOrm5szAf0xF+P4z+SuxDf9rKoQ+dyNfqNDZKHcS6OVTEtBwtZUn&#10;DIjOvSPQ8vI9Gq5dw/5cy+8XXASPCcTx/Tv4/Ue0HYlC6+sPuNjcxMbN8gULJNDL54zBn382yedS&#10;icRJkQJdIpH0ClQB/vB+M9LSE+Hq4SJ4iWpbPDTuiIwMwW9XqO/5I+E+fQ79u3Onq+Dj4wWtxfHy&#10;SkWVR8REc+9V5+uHrvSMrYAqLFeRD9bEwZJE9/bByIQ1/OV+b1fqdQS9eKa+sm6xC6H3DzOLc3uo&#10;5OsYRXR5IDkzEVtKtnAhdvFho836KZNEP3njNGYsmQWVRsMraEWS0K4gMevhDjc3N2h0OvjGJSF0&#10;2nzErtzG+2yT3KXKaJH8tW+6FuOuyPMeqD6nSv/t5j7mu2t4P/qoxXkYNWUe/NOzYRwVDpVWY+5j&#10;7m6G3U/ZeRKePydipItSdR6bEo+tZdt5dDotbrF0YUt3ooj0JhxqOYL5a+YhINiPnSdX6Oy9Gt2o&#10;gSZ0LNyj50HvF8T+mw3jzGkuM7DPDx/HW3rY6wI6WgBGySmucUvZGIwyS/TePm9/V6IPkRLdpijV&#10;5tXok3UYQzPK4ZOYh+TIcZgb6Id1hv7m/uY/Yy37u1Bi9xKrtD9jufv32J1kRFP5+o/P6KI2TBKJ&#10;pHfhAv35VRxeMlYKdDO8wvH8CZRNjrO4zy6J3oN5s3H57n2HloO9zlPqff4OR/fkoTjDD8VdFGYV&#10;2YHYlh0PlWkLl7wi+SuxHuqH/l82vom5C1HKxr2kE1HudC7p+3W8aCtaX0N8/h0ASke4dOMmyqcm&#10;8nuh6Fg7hI1FYZo3Du9ciyvvHHcsegKaYxquXkH5NDbels5ZWQEoY+frt6YT+EDPp4K5USKRODZS&#10;oEskkh6nre0u2j7cx47ta+ChcuNVsOKXqLZBq9PA4KVDVeUe9kv9E+E+fY4S434fJceaoY6YAL01&#10;L5UpwtVLD7e4pb3W+7S7ITkwOL0YusA4UK9Z4Th0FoMKBv8QjEjeYrcvznnsb1YtRiZugDYkjZ1f&#10;dm3YRfVex3iy74NK7Y5R4UFYvmU5jv52gse1n79XL5Rj1kCV7BfY567bkwdvXx8uBO21L/rnUGUz&#10;9dL28GDXc2AI/NPGInzGIsSv38ejxZV+3GVKf+7PxbAdktRJiU5x76KftwoaI/a5vMK8vYc5H8My&#10;RC/dhNDJc+CfkQNjZBw8vX14dTn1qFcqzJ1flrfDe/O7uWPkSBf4B/ljYd5iHLl6DJeeNtulOP8c&#10;+r6TSC88UoTcqTl8bqfWEN09x1sO9SZXgdqH2DQxhOYwLwM8oudgYEY5mx+rhfOIvcCfSdh89mvK&#10;Ll4tbzDSePTyQjB2zVBPdG1IiuyJbgV0bqnSnK5BHtPO0KXuQFzUFEwJDsVKH1ce0U7i3N6kObFa&#10;1w8r1D8iz3cIjq6aiCd/nuXP8W0yHlMisVvo+/nu1R84tXE6irIsk8VOKdDPHbdKoJOgqVsxGU23&#10;76Dl+TvhdiQd0/qqDfXNjaiYloiizK71PieJW5EdhKk5k2R0ew/wH1MB+pv2YlnOWFRmd+5cUVJD&#10;9SKTstDEQZMaeH/+u/dQu3wy+95bdr8gitK8cSBvLlqess901Ej7HoB6xF+6dg2Vs9Mtvz+znyud&#10;HI+W+uN4T8+pf90Szo8SicRxkQJdIpH0OFR9/uf1c4iKGsVfrgtfntoInYHift0xf94UvH93C2i7&#10;K9ynT2n7QPt4FxcvX4XnhMP4JWkv9AHh1olhvQoG30CMSN7mvC+Cs2oxPHk79L7BVstkGmtdYAyG&#10;pu2zq/FSYm9rMCStAB7muHaj3o3ts/3HtVOKAvUo9vX3wtT5k1FdX8Pjl6nqXCTDbAVVp1I1evGJ&#10;UsSlxHOJTpJQJBDtEpUKbm6uvMe2xlMHfXAoAjOzETFnOeLX53NBzIVwe890OxbqyVvE0rwdm8lz&#10;EuXmMeE9zGlMNhcjfmMhYpZvRujEWfBPzYIhNBKePn68B72by0iGC9zd6dr4dqR5O/SdcHGle4ke&#10;0xZOR+WFai6ku/v7aWtI9NOCnNN/nsWmok2ISaZYdw/7jnW3WcW1IuQNvv58wdwAWmhl5/L8U2jB&#10;2uCMUnhEzYLB28cOqtFlT3RL+Zk9q/Rl55MWNw7IKId72h4kxM7ApOBwLPZV8Yj2jbrv7aq3+aes&#10;1vfHCvUPWKXti/2mCNw4W8qreXiv88+e2SUSiX3BBfrr6zizdY4U6GZsJtBXTpEC3RqevuZS9Xjx&#10;NhSl+wjH+WuUZQdjX3YkfHLXc7krkr4S20ILFQJy1yCfjTuNv+i8fAq/d5jCcOZ4neNWoT97zVs1&#10;HN29xoIWA39TlOGL2mUTcfnWbZla8RWo4r/x5i3ULJ3Q5UU17XCBPikOjReP4S2eou2DFOgSibMh&#10;BbpEIulRSGDjw12sWDaH9xYnwS1+cWob3FVuSEmOxa2b9Vzci/bpc0ie33twHXHzDqNPUhl/qewS&#10;txIGL6NVVWr0MloXFIchaYV2G+dqLTRWrnHLePWddRVsJCI8oB6Vaa7g6+3xqkS/rFoMYvviEr8c&#10;uoAIh4lrp+pPqjg3sL+nZaci/3ABzt+9iPrHTT1W1Uqx8FRFe7DlCCbOmcz2R42RIx0g0v0zKD6c&#10;ZLqHygMqTza2/oEISB+LiNlLEbNyO69OT9pRofTw3l7Bq66FgrmXSPxKFTrJc/r/RT/3VXgMe4Ui&#10;y9lxUxw7yfK4dXv4mEQuXIcQ0xT4xSez700Q1HoDj/Snyn4aSyWe3Xn7mHeEq7s7hg0fAU+DHmMm&#10;jkXx8RJcuN+gfD9t1E6hN6DI+YbHjfw7P2PxdB7rTokznnr7X2xkGdRb3Y3dE8IwPGkDfmFzoSOm&#10;zfB0FTbfjkhcr8xztHDQltX5XUbD9oF6oqdhcHqJ0z472YKf2bmjnuY/ZR3ErxklcE/egci4eZga&#10;Eoml3q5YaxzA+5or1eb9hOLaHlip+QkrVH2wI06H+sLVePfyGnsuf8SQVecSiSPQLtBPb55lhUBX&#10;RNnJir1offVBKD0cCapwbGi5hIqZaWxMLBc0VfNG49L16/zzRNuRfB0uym7cQPXCbL4gQTTOX6M8&#10;OxjLskfjJ9M+fG/KFwpfiW35jo9zAWbkTEBVJ6vQC1O9cGTXGrS+eMsj+0XXgl3D9rnl+WucLN/D&#10;K+pFx9gZSL5Xzc3CpastvK+6cFsS5b5w+w5foGSxQGdzVnF2CM4dKsVrvASkQJdInA4p0CUSSY8C&#10;PMDvv51BULAfNJ7dW5FGn+/lrcfxY6Vsu0861SsRbXfw+tUtTM47iR+SytAvvRwkTyl6XR02zrqK&#10;LIokNaqhCcvhfbOdsR86jRW9fPeImAwDl8vWVK9R9Znq7/7xGb0zXny7WXUYlrwNmtAxMHC5b+2x&#10;9Qz0HVCr3RGdEIm8vetw6s+zvOq8O+LaOwNV1J67cxHr9uYhICSQi0OHjOhm+0zSl/fkpopplQc8&#10;fXzgExOP4HHTED53BWJXbOUimUtlOxHqJMhJlIsEeqfkOZfl5sryndVI3lPLjytu9U5EL9mA8Dkr&#10;EDJxFgJSR8MrPApaL28+Pn/3LzdD59wRz7sNoTEYPmIk+45qkWHKxNbSrey7Qd+R3vt+2hpaoHPh&#10;AcW6N6LgSBEyctOh0ah4RbrofuWwGEjyekAXnIChyTvQj80X/LlBMJ84BjSP1+LX1L3mSHea63px&#10;vqM2OGzOVYfnsmcBRfKL9/vbg0vzzDouzUdklMCYlIfwmJmYFBqH5T4uvJ95nr6v0tdcb7/SnKC4&#10;9mVu32FDwFAcWzsVz9izAlWcUzulD7LXuUTiMJBAf//2Bi7sWmSxQKf+vftHB+JY4Wa0vm4TSg9H&#10;gqo/G//4gwtwSytKqTdvxfQkNFz7TcowC2l9/QEXW1v59VU8pmu9zym+nSqg43KX4DtTAe/RLRK+&#10;EttDveY9TZuwIzuOR+iLzs+n0HesZsFYNP5+zWG/K61vgHNnT6Iow094jJ2BFt2UT4nHhYZzaHGC&#10;hUjdBd2fLz98jMNbllg83lygjw3G6boSvJQCXSJxSqRAl0gkPQbJaZLYc+dMgUrTvX1R6bOp2m3l&#10;inl4/+4u77su2qdPof2j6viNpRfxc0o5+qaRPFdeUtIL26Gp+6D3D4feYMXLf3oRbGT7Fj3LHO/q&#10;fP3QaWHAoIwyaEMylOo10Th0FhovL0+4xS7uhf7xikQYmF6iRNr6BpqPx/7FOVV5Ulx7UKg/5q+e&#10;h5qGOl4Bbg9ijvah8VkzSk6WIcOUBRdXV8eKdBdhFupubm48ilyt1cAQGAKf2CQEjhnPe3xHLViL&#10;hA0FSNxRoVRsc8rNfcEZW6mfOkH9ws2IJLaVJLHPVaR5OVK2KSSxvyvbNO8Lh/qUE+Z9pcpy9m9i&#10;lm1C1NyVGDVxJju2CfBNyoRxVDh0vv78uN1GjuC94z9WlnNR/m3L8k9xY2PS3sYgPScDW8u248yt&#10;czz23BH6nFsCHVfD48s4cf0U1uxag9DIYD4/O0c1OvuuG9XQhmVjSDrFjNcK5hLHhKq9B7O5XBOa&#10;bV40Jjr+HoI/O7F5LXw8jyT/1iQ6Pfvwfubs+YqkOfUz75tZB4+0fQhOWI6UiBxMDwrBSh8X3tN8&#10;ve4HRZrbYV/zzyFxvlz1A/t7P9QtyMLN8+VQKs4f4sMH8fO6RCKxX+h3fWqH1lq5EYWWxg9/FOhb&#10;nEeg/37NeoE+I1kKdEvhVb1vceZwlbn6vGsCneT5rpxYjDRtxX9NhULRK+ke+jD+ayrCpJwpPAWA&#10;FjOIztFH6P4xJgjnTh1x2PsH9eq/UH8epabwj4kcXYV+riQ3DGdPHeZCXrQdCYN65T9+xlMLLK34&#10;5+dobDBO1JXhOV5JgS6ROCFSoEskkh6DKklOn6qEn7831N3cD9VD7Y7ExGjc5tHtj4T78ylKb8V7&#10;OHaxFUMzK/FDSjkGfPYCkyK8RySshdHbC1ZFd1OPVG8j3OKW4ZcsiiN1Rolei2Epu6D3C7W6HzqN&#10;l97HDyOSNvaYnOC9VjOrMDJxHbRBiTBShSHth2j/7Ih2cW7w1mH89FyUnirFxQcNqH/UJBRbvQkJ&#10;w5M3TmPR+sXw8vPGiJEuXC6KpKOj4a76W6a7u7mwc6KG1tuH90/3jklAQPoYhI6fgYiZSxG7agfv&#10;DR6/qQgJm/dzyU09w7nE3l7Oe4jzPuL/EO/tkIAX8Kn4boei5c2flbqzCqnb2Z/sv3N5TnKdepSz&#10;fSDi8vYiauE6hM9YhJCcyXx/vdh+G0Ij4OkXAK3RCyq1Cu6u7JyRMOdR7ObKcsF4SJQe5yTOaYxi&#10;kmKxoXATjv9xCo3PWnD+vnNUnHfExQeX+EIe6u8+ec5EGLx07LtBrVzsf1GSEL0yl6uiZmAwl7rO&#10;FS/evnDQMzDGumceW8Er0TVQRU7FADY/91YqTU/Rjx3fz1yUt/cyr8Cg9DLoUrcjMWY6TCGxmO+v&#10;xyrv4dig/wkb7LinuYhVnj9jpeoHLtCLc8Nw/WQh/np7gz2LP5MV5xKJA6MI9Du4WrPFeoFetNUp&#10;BDoJmst376N6sYn3JRYec0eMDUaJKRwXW5qdIta+p6He55cfPEHdism8Mlc4xl+BKp8X5eTiF9Me&#10;c6y4WPZKugdatGA0beQ96DvTC51E6NE9a9H8+Dk/96Jrwp5pefkX6q+w35lmpaLYiiQPWixy+nAV&#10;rryVAv2LcIH+FEd2rLKJQH/S9oa/WxbNjxKJxHGRAl0ikfQIbR/u4v3725g9ZxLc3F3EL0dtBElE&#10;o5cOFWU7uTynVfCiffoU6nt+49YfCJx2gPc9F73MpJe1AzJroI6cau5/bcVLf5LofkEYnrTJHPf6&#10;7+05NtQzvA4j41dxwcAluGgcOonB4A6dfwSGpOWjXzdKdKqeJ0lP21FFTmb77sX7r9KLe9F+2RPU&#10;51yn1yJ5dBK2lStVrb0Z194ZSKhRrHvB4SIkZSbB1dWNS0aRgHRkSKiTYOaV2dRD3cOD9wFXe+qg&#10;MXpB6+MHQ2g4fOMSEZA2BsE5kxE6aS7CZy1D1NJNiFq2BTErtiJ29Y5/QH3G49fnIz5v39+s38f+&#10;++5//duYldvY52xG1PItiF60HhFTFyJs8lwEjZnAtjkavrEJMIZFwNM/ABovb96rXO1J1xU7Bra/&#10;tN9uri5KZbmU5Z2GxDlFtWt1nohOjEHevvU49vtJ/t2k61/0vXBmqBqdFvTQn5tLtiA2KRoajUe3&#10;t3SxLdTv3AN63wC4xC01p8k4V0U0l9PseUcTmqPMgfaSvGJQw+Clh3vMfL7IzRH7zH8JEuY/seeP&#10;9j7mg9l/G5FWAFXyNkTGzYcpPBVz/L2x3Hs41hoH8n7m63U/mqW5/Veat7Na3x8rPPpgte5n5GcG&#10;oKk0D2+eXWXP4ea4dsEzukQicSzo9+9bFypQkG5h/DAJ9KwAHM3f5BwC/ckrtL78C7WrZqAo3Ud8&#10;zB1BMmx0IC5cbpIC3QKo+ryhpQmlE6J4Nb9wjL9CVXYgMnPmoo+pQPY/7wVozKn3/Jyc8SjvRIw7&#10;fVeq5mai8eZt3uNadE3YMy0v3vN+/TVLxlmcWkEUphhxorYEV95Lgf5Fnr1Gy9MXOLp3veX3Z0ZR&#10;mjeO7N/NZr93wnlRIpE4NlKgSySSHgF4yqvPff28uv1FubvKDXNmT8JffLv3hPvzKWi7jdevbiJn&#10;1XEuz/uni19uEvSSfHD6fniGpCov0K14qcwlvH8ohqTuYZ/rfBKdv9jOqoGK+qFbOVb0s0aDBzSj&#10;spT41m6oPOMVXuz8usSvgD4g0rxIwg6q7jpA66mGh4cbImPDsWLrCpy8cYYLKkepaj13j4RaI47/&#10;fhJzV86Dt58vF45OLWjZsXGpTmKaZHQ7vEe48t+przqPP+ewa1+vg87fHzo/v494hYbDJzoePlFx&#10;f8P+N/33T/8dQVXjf3+eefvt+8Axb//zfWn/GdFxSL6Iq7sHhg0bAY1O6XG+ef8WnLh+GvUPG3Hh&#10;QYPTxrV3Fro/0ff+yJVjmLF4GnwDvNl15uYQ1eg0N+gCo/kCOGXudq4UGVpIRnO3S/wq6L1oAZyd&#10;LSBj87LR2wC3uKXon1XnsBL950+E+fdZRzAksxKa1J3wSlyL0Nh5yA7PxNxAf6z0+pXHsed97Gfe&#10;19zP3HGkeTsr1T9iufv32J1kRH3BSrx5TuKc4tpln3OJxJkAnuB+62EUZnY9KrsdkhEHNy9xkujh&#10;VzySuXbldOsFev0FLuPF25GIecUl6vGiLdjPexV37ZosZddwaXYofHJX4/+aioWCV9K9KDHuhQjI&#10;XcPPSUcx7u2x5xcbG9j3xQEFOlVF33+EQxvmWSV1C1O9cHz/Tnb/YWPw9JVwW5KXvEL/ZF05Gy+j&#10;cBw7Ay1WOFywDQ/wl3BelEgkjo0U6BKJpNtB2328fnkD8+ZOgUs3V5+TnA8J8UdL8zH2y/tD4f58&#10;Cj7QL/l3saHkAn5MLsfPn/Q9/xJUAT0seTv0fiGKZBXsR+fQKi/ig+K4RKeIeNH2HBl6ET+EFhwE&#10;J1k5VgyKbzVq4B49F7+wc2Crl+a8r2hWHYam7YMqzMSr26yOne8BqNqcqs79Arwxe/ksVNfXKn3O&#10;HTQO+sKDS2h41IT8Q4VIGZMKFzc3uLi6wV0lFpROzSeiu51/ym4zXHZTRfjnmOX3Z4g+lyPaB0mX&#10;ocUGbu4evB2Bp16HMRPHYmvpNpy9fZ63LOBpEHfF1/+3CiVQ0IKC3TW7kTYmmbegoEVBonte70Nz&#10;tgaaUZn4NS0f/Z1yzq7GwMwKeMTMg8HHhx2vfZ4L/jzh4w+XhLW8Ut7eJHp/jrlveUbVP3qXt0tz&#10;1/Qi+CWvR3j8fCRE5mLCqFgsDPDCau9h2Kj/0dzHXJHlSi9zxxPmBFWcr9T25VXnO+N0OL9nKZ7c&#10;PMeevZ8x7klxLpE4IbQw5tHvJ1A2PgLFYywT6CR+Dmxc5DS9e0l6H9y0GMWZfkqFveCYv4pZoJ85&#10;VIGW52+kDOsCLU9f8yjvqoUUod/1VATqu70tJxFq0yb8j6lIKHgl3c9/TQUYZNqJ1TmZHVeh0/dl&#10;TBBOlO5Uvit0DQiuDbuF7XPrizc4snsdvxcKj7ETUCT5ka3L0PzwiRJVLtqWxGYC/UjBNtxt+4C/&#10;3t+RMe4SiZMhBbpEIul26JfoC+dr4eWt5/HqopehtoAq19w8XLFjx2q0td1n3BXuz6fQy7uj51sw&#10;fHQVfkwWR7cLyazl1U8GL4OVVcoUBesO7ah0DE4vgbP1UCVowcGvKTt4ZL21Ue7t/dCVyj9r5UUl&#10;H+9B7O9usYuh8w/jVe72Htfe3udcb/BEzpRsFB4t5hLKHvucdxWqyiXRSBHXi/KWwC/QHy4urnB1&#10;dxcKS4nEHqDe/dR6gOLaaU4YN2M8/16e+vOM0uPcjtso2AP8e/+0GUevHseCNQv4oiC11qNbnxcs&#10;hs0P2qAEDEvZycWt81Sf03xYi0Hp+6EOy4WBHavVi966GXp2MviF8AWN3dnapSP6sbH7mQR5hiLI&#10;23uW0wJC6ltOqTkD08vgk7wB0XHzkRmdiwkhEZjrb8QyX3es9RqCTfofsNHze+TpfsJa/c9CEe1o&#10;8B7nmp/Yn32xPVqDC3uX4cmf59lzN0W1PxY+k0skEueAFrE/vXUONbOSUJTV9bhsQhHoC9H6xhki&#10;3BWBfmT3WhSPDrBKoJ+uLkTLs9dSoHcBisOuv3QO5VMSeE9o4fh+hcrsACzNycYQ024ucUVyV9L9&#10;UBX6d6YipOXMQzU7J6Jz9Sn0falbMwPNj18o3xnBtWHPUOz6sdI9XMyKjq8zFGX44tDmxWh+8FhZ&#10;eCPYjsS2Av32hw94LwW6ROJ0SIEukUi6FRLUb17fwMyZE+Chdhe+BLUVbio3ZGYk4e6dJrbdR8L9&#10;+ZT2vuejZhzEd1/oe/4lqKpoQEYVVJFTYeQvma2LJ6cqL23YWAzOIInuXL1U+Yv5rFq4xS7hL+Wt&#10;jUU3GDygC07E4PRii8eK9zqnqvOUXfAclcV75lsfM9/9qDTu8NRpEJcSg03Fm7h8anjc5HSCjhYE&#10;EBXnKjF6wmhodJ4YPsKFi0qRwJRIegOKaeftBth1GRgajOmLZrBrtgpnqOL86WVcuN8gvL4lYi5S&#10;vP39euQfzEfK6CRotCqGHaaB0BzmF8LbffDqZwefs3mlNF/otoe3pzHS8dn5QrJ2SPJ7BkRhcGo+&#10;+mV13wJEqiLvm1GNHzNqGHX4IfMAfsg6hL5ZBzCQPU8MTS/ByIxCuKbtgUvKToTEL0VKzFSMi0jD&#10;nLAQLPDTYrnXMKzxGoI8Y39s1P9grjBvF+aOWV0ugsQ5xbTTMeVnBuLc7sV4fv8Se+a+z3giK84l&#10;km8A4AFePmrCkeW55hh3sXD4GlQpXLN0Appu3+H9q0XSw5EggX50zzoUjwm0SqCfKNqifKajVdT2&#10;IpRicKJkJ/az8bNk7Guy/TElZxL6mIpk//NehhIAdLkbsDs7DmUdVKHTYony6Sm4fPehEokuuDbs&#10;mSvsuj1Vu9/yRTeMInb/rVk2EY03bzpkL/iewpYC/fpfwNv3d6VAl0icDCnQJRJJt0IvzJoaj8DH&#10;1wtaXfdFgVJ0O1W4HzpYxLb5VLgvnwLcwbu3tzF982n8J6FU+MK0I6h6eWB6CbQhaTAYaHGANfJV&#10;w18Ea8InYGAmvcx2LolOwnog+1MTPo4LcOsXHGigipqOXywYJ6pUG5hRxqvOP8bw27ksoO8OxbWH&#10;RoVgUd4iHP/9lBJ97MSC7tw9pUcyycgNhRsRkxgDF1dXHusukpkSSU9BlebU31yt0SAhLRGL1y/G&#10;odYjPIqcvpeO2kbBHqDFQJSmcfS345i/ei4CgnzhoXK1v97obB4zeHvDLWYeBvA52zHTY5R+57Vw&#10;ScyDPiBCmQ/Z84jwmO0Seh7w4Ck+gzJKO/3s1DeNKOd//phexajGD4w+6XWMWvTJPIjvMw+hT9Zh&#10;9Bl9BEPYz7hmFMMweg98MrbAP3UtfBOWISxmDjKjcjE5NA4LQ4OwMkiNNd6DsVbfH+sMRL/Pepf/&#10;zCPZReLZ0Vml64elrv/FWq9fUDgmBJf2r8WbZ1fY8/ZDLtM6kwolkUicgzZqz/DuBs7vXICCNF+h&#10;bOgILtAXj0MTiR8nEOgtL9/jZOU+lOT83Z+5q5BAP7JjBY8jb3bAitpe4elrtLA/D+TNRWGat3Bc&#10;O6I22w8ZOTPw/5lKhFJX0nN8Z8rHANNeLM7J7rAKvXh0EEonROHC+ZMOeQ+hhR+nD1agZGywxfcM&#10;RaBPQOOfUqB/DSnQJRJJR0iBLpFIug203eEvzpYungm1VtVtL8B1Bk94qNwwfdo4vHtzq8OXdG0f&#10;aL/uouhgIwalV+Ln9I77nn+Jfpl1GJK6Fzp68Wxt32yDhldoq6JmmCV6lXCbjgpFmg5KL4JnYJzV&#10;Y8X7slKUe/IW/rmi7X1O/wyqOqcqu13QjBoNI0l8LgvE27AH6DujVnvA29eAKfMno/J8Fa84J1H3&#10;rfRSPndPiXU/cuUYFm9YCv8gf171S9W/IrkpkdgclRruHirel5+uPaOPF7In52BT8Wac+OOUUm3O&#10;vpMURS66hiVdhy9GeHQJ+w7sQ+poc2/0blyEZxFsHjKyP9Xh4zDEAVuwcNnMcItZCAObT61+hukt&#10;6NmJnQtNxAQemd4npRLfJVfg+1QS4rWcH3jVOIP9SRXk6knHoJ96HPopR+Fv2o/g3HxET9iN5Jy1&#10;SMpZh+S0eUhNmYGk6HGID8/GuFHxmDUqHKvCfbEuRI1NgcOwyfgTNnr2wXrdj8jT/8QF+TqzIKee&#10;5Y7ct7yzUH9zXnHu8T3yfAaiakYKWg/swOsnzew5+ynjHn/mFj2LSyQSJ4Z+1257iMtl67EvxbL+&#10;vUWZ/qiePwaN1646hfihGPFTNUUoyQ21SqAf2rQQlx89c8iK2t6Axv3Sb1dQNW80itk1JRrXr1Ga&#10;HYKS7FBE5yzG/zUVC6WupGf5H3YeMnNnoSI7iJ2br1Rmm6u2T5bt5gtYRNeHPdP6+gPOnTqCsglR&#10;fDHAv46vE9A9o3JOBhqu/YZWBxyDnsJWAv1o4TZcew+8eXcX+HBLPD9KJBKHRAp0iUTSbZA8b718&#10;HKGhgVB1Ywyr2lONwCA/NFw8wLbZuej2q39cg2FiLX5I6Vp0uwiSsiOSNsLg688roUT72GkMahiM&#10;WnhETVckeoZzVaL3y6rD8KQtbKwCzJVugjHoFNQ73gOakHQMylTkuGh7Cu3VgZVwjV8Bvd8otm13&#10;/tJd/Nm9D4lzii6muPbM3HTsrtnNpRKJ5M9F07cCVfbS8ZedqcD0xTOg8zJg5EhXXg0slJ4SiZVw&#10;ae7qxsW5m7sHQqNCsWDdQhQd24/TN8/h8otWWW3ejfDe6LR45uoxLFy7AP6BPjyJw66q0bm8VUEb&#10;koqhafs+zjXiucheYHNiFi1oK4EqYiJvYWLvi8k6hD070XWhi5uPjZWXcPDEaWzdsBkrZ8/DqrkL&#10;sGj8JMxOz8LsjCzMYSyMicGi6EgsjorEijA/rA71xoYIA7aGuin4D8J2v/7YYuiDzZ7/xQYdifIf&#10;sNbzR6zV9cUanXPFrncV3t9c/SNWaftiU8hIHF5uws3z5Xj/6g/2jP2McV/4/C2RSL4d6F5w7ehe&#10;XoFebEH8cHFWICqmJ6O+8QKPPxdJD0eCFgGcO3kIpeMjrZJhtcsn4TL1M5YCvVO0vm7DubMnlHEf&#10;0/Vxr8gOxMacZLiZtuE/sv+5XUAx7gG5a7EvOxrlX4txp7YHWf44tHUZWl/RPeTVv64Pe4b2+ULD&#10;OZRPT+L3Q+ExdgBd8+WTY1Dfctk8BuJtfevYUqBfeQe8lgJdInE6pECXSCTdBvAYa1YvAPU+777q&#10;cy08NB5YsWwO2v6i1e5frz6n6PY3r28jc8UxfJdovTz/SGYN3GKXwuht5C9yRfvaaT5KdKpEr1Kq&#10;xETbdFR4P/TFykt7a6Ji2TjRZ7jEL+f9zEXb4r3O2bkZkroP6vAcGLwN1i9y6Gao7y9VW0bFRSBv&#10;zzpe4cr7nEtR91GoUVV64dFijJ2Uze4BeowY4QJXdynSJbaBriVzIID6AAD/9ElEQVSecuDmDi8/&#10;H6TnZmLz/i1c5NL3kK5B2d+856De6BcfNGDfwXwkpMXx+yO1bRHdP3sFLtHZc05AJIYnbUY/NsfZ&#10;q0Tnc2JWDYYl74A2OMnc79zGlf0k4239mZ1Br+ILGcdMWoXdYxNQGPErdoUM4ewIGIBtPj9jm28/&#10;znrPPsjTfsf4Hus8f+CQHF/j2VdB1w+rGSJ5/M2i74+Vmp+w3P07rPUaiN1J3ji9ZQ4e3ziDD+9v&#10;sudrqjiX4lwikSgAT/DnuVKU5FhWcU3CqHxKAi7Un3EOgf78LS7Wn0XZxBguwkXH3BH0c9WLTLh8&#10;Xwr0zkJi7FRtGYrSfYRj2hFV2UGYnjMe/2sqEspcSc9DMe6DTXuwJicNldlf/y4VpfuiZsVUtL54&#10;i+anjifQLzact16gT41HfWuzFOhfQQp0iUTSEVKgSySSboGqz/+4dhZxcZEggS582WkDKNI1ONgf&#10;v/92im9TtC/ttH1g+9V2D1vKLqJvMvW+tDy6/XP608vyzCp4RM2EkUthKxcM8Dj3donuXHHudCzU&#10;M1YVPh5GK6veDHp36ILiMTitCP0+W2hACw8GMEbGr4beP0wR53Zcde6p18DDw5VXWc5aOgsHmw+j&#10;4ZE5rl0glb5leJ/kh43sz4vYXbsXyVnJ0Gg1GDZ8BNw8ZLS7pOu4q1QY6eLKe5trdTpEJ8Vi5rJZ&#10;KD1Vxq85SkAgaPHG59ejpPtReqM34ujV45i+aBp8/Lx4NbroXto7UCoK2x+/YDbnrEH/rAN2N2+3&#10;R7a7xC2HwTfIvJjMhosbDdSPXM3GIBQ630D2915Y5MC2r/IJQ0j4NCwxuGCdtg9WeSoynOLG2xEK&#10;YokQGq/lHn2w3P17bB7lgoppiWip3oS3z3/jwlzpcX5P+NwtkUi+XSgV7l7LIVROiUORBfKHpHtJ&#10;7iicOVbLewGLpIcjQQK9vrkRZZNirRLo5VOT0HT3gVP0he92nr5C6/M3OFaw2aL+50o8eBiScxfi&#10;f0yFQpkr6R2oCn1GznhUfq0CnUGtICpnZ+IStYJwsO8MpVY0/vE7qhZk8+MQHV9H0H20bGI0u/c0&#10;ofXVB+F2JLYX6C/e3kebFOgSiVMhBbpEIrE5So/xJ8jftxFuHq7dV33OcGefv23LKvz1/l6Hvc/p&#10;BV/j1d+gNtXgh2TbyfN2uLBlf6rDchUxbO1xGz6vRHcmiV6DQWnF0PF+6FZIEDbGRoOGCwGK0v/0&#10;84ek74cqYhIM3t7s39lv1Tl9P6iikv40TctF/sF8NFCFK+9zLmXd1yCZ2fCkCaf/PIuNhZuQOiYN&#10;HmoVRox0kSJd0iEkzSmafTglGLi5Y1REKCbOnYxNxVtw7NpJND5t5t9Dkrfyu2gfXHxwibO9fDui&#10;4sO5RKfFR6J7a6/A5n6jty9cYhbwBVz2Mm/3y6zF4PQSeERMhtHLwPdTuP8W0x5ln4ZhKbsxMjEP&#10;Bh8btLXpMlo2l6p5e5f42JlY5T0c6/Q/CcWw5Mv83ducFiD0xb4MP5zeOg83L1SwZ+kHjMf8mVr2&#10;N5dIJF+CFtc8u3UeB+ZloDAzQCgcvgavWh8TiNMHK5xDoD97g8v3HqF8egqKs7o+HgQJ9LJJcWi6&#10;91AK9M7AxujyvQc4mDcHRWweE43p16B48D3Z0TDmbsR/ZXy7XfG/pkJk5M7j/elLsr+ccEHftfKp&#10;ibjYcNbh+qDTd7zpz5uoXpRr0fXLMcfYn6+/wNsZiLYjsb1Af/LmAdoE86JEInFcpECXSCQ2h35h&#10;fnC/CZmZSXBXuwlecNoGD407YmPCcfPGBf4yT7Qv7VDf86fPbiJj2VH8N6EMv2SKXzJbS//MWt5X&#10;lF4iG/U2qO76h0R3sp7ovHf8Fhj8Ann0qvD4OwMbZ8+QVAxk494vs4adA+qzvhGeQfFKBRxVxIl+&#10;rpchYU4xxERMYhTW52/A2dsXcOlpM87eFcsjiRiK1W581sLj7jfv34q07Aw2rlpeUUxilESpSKBK&#10;vj1oYQX1NCcoqt3L1xtjJo5FHvv+VZ6v5tHsjc+aZcsEO4YWNFBbi9rGAzBNz4WnTs1bX4jus70C&#10;SXT2J83bg9hc15vzNgl8kufDkrfDMzjJPCfacsEBe8Zhn0ntUVSRk7mkp+3R/D4yYR30vr0l0TVw&#10;j5yKlJhpWGsciHV66lkulsUSBarSp4j2djYFj0DtvExcO5aPZ+x7p0S0P5XSXCKRdIo23MO7l7/j&#10;+KqJKEj3FQqHjihM9cKJigIuJETSw5HgAv3RM5RPT7VcoI8JQun4KNRfviQFeidoefEel65fR/XC&#10;bIvGvCI7COuzk9HftAffm/KFIlfSO9CChuDctcjPjkTZ1wQ6+86U5Ibi9MFyhxPIXKDfuIHqRTlW&#10;CfSiTD+crz8vBfpXkAJdIpF0hBToEonEpijV549w5FAxf6HdbdXn7HOp+nzHttVsm0+E+9IOKLod&#10;d7Gjsh4/JZejX7r4RbOtoOrnwenF8AyMhUFvgwUEn0t0imEVbNcRoQUHbrGLYPDSWyG6tfznhyVt&#10;w6DMKnhEz1Ne2lNlezddf9ZCrQeo6jxwlD/mrZ6Lw61HeTyxjGu3DorYbnh8mYv0gsOFGDsxG3ov&#10;I1xc3XhVuhTp3yYkzUe4uPBrgBIKvP18kZ6TgXV781B1sQYnr5/mQpaQEe2OA/WiP3XzLNbsWoPA&#10;EH+oNFSNbif3fIOGt3NRh5kwKKNUkcqCObA7oWeRgRmVcIldAgNFqvM50YbynH2WgRYK+gbDNX45&#10;j4enbfJts+1SKoxLwlq27QDrFslZAEXJ69i93zV2MTKjxiHP0B9rDbKn+b/Qt/c1/54L9I1BI1CU&#10;HYrG0jw8+fMs3r/+gz0/P+PP9R+kOJdIJF2kre0xzmydi/zUrsdnEyTQjxVuVXr3Olj/4n/x7DWa&#10;Hz1H7bKJlke4k0AfF4ELZ49Jgd4JqHd+/ZUrqKAe0mzsRGP6Ncqzg7EwJxt9TPlSoNsZ35kKMDx3&#10;B3Zkx/CkANH5IyjJonh0AE5U5DtckgUX6Lduo3rxOCnQuxku0A9UWC7QaZwzfHG8bC9a2WdJgS6R&#10;OB9SoEskEptC/RDfvLqOKZOzodJ0X9WRu8oNCfFRuPEHVcV8vfc5yfOr13+HYXwtfkyxfXS7CBLD&#10;w1J2QhcQpbxgFhxDl+ASnSrappvj3JWX1I6Pcizq8HFKZdznx90pSJho4Rk6BtrQsXycbB9Paxto&#10;4QdFDtM+jp00BmVnKpRIYuqtLCOibQYtRKAFCfT3ouP7MWnuZASFhcDFxRXDh4+U8e7fAO09zX/9&#10;dTjc2fkODA1GhikTizcsQfnZyn9cJ1R1LlMfHJML7P5Z/7ARRcf2I2VMMtTs/qr1tJPUEZq32Vyk&#10;Cc3GkLRCnpAingdtC5fXmXUYmrIH2rBsPt9YPr9+Aao6N2qgDU7hzzo0j/dn8/k/96WSV6K7xK+G&#10;oVti478OHbPWLxiqxDyMC03Cet2PYon8DbJK2xfL3L7jbAwchmJTFE5vm4cHV47gr7d/8md5kub0&#10;p+i5WiKRSDoDpVY0FKxAQbofFwxC8fAVitJ9cHjrUjQ/esYruEXiw2EwC/S6VdOsEOjUFz4MZ49W&#10;S4HeCWjhxcXmy7wHNG8JIBjTL0H9z0sZ43JncoFOiESupHegBQ0/mfZibXYaX+ggOoftUGXwkfwt&#10;uPLe8ZIsSHofWD/foh7+HCnQO8WV1x9woqqYjbOXeBw7gN9fxgbjVF0pX6jx+LUU6BKJsyEFukQi&#10;sSnUG7G1+Th8fI28ylb0UtNaPA1aqLUe2LxxOf/FXLQf7aDtNl6/vgXT2hP4IakM/TN6RqDTi2OS&#10;6MOTt0PvH2Ijia7hL8JVEZMxKH1/j72M726oon5oWhF0FLlu1ThpzZLAPqvOPXUaLnfiUmKwsXAj&#10;Tt88i/pHTVKcdyMU9UyLE0iSVl6oxoJ1C9n4J0ClVmPY8BG8/7WsSncO6Dy6e6h4NPuvw4azc+uO&#10;oNBgjJmUjWVblqP8bIU5oaDpY19z+d1zDug8Njy5zJM8Zi2dCaOXzo4i3dm8pHeHLjgJQ1P3dXsl&#10;OonsAZlVcIlfxZ49wtmcSHOqbXvE0/EYfHzMEfWlfJuifSF4D3iGe8z8XpHo1OJFzcZek7INs4KC&#10;vk2Jrv+7p/kK1Q9Y5vZfbAwazmOAT2yYiT9OFrLn5VvsefoJf4aXvc0lEomtoBZrV+q2oTg7BMWW&#10;CPQMP9StmYmmO3cdXxiTQH/8Aoe2LLZYoJOgoT9PVuwxj4eDV+V3M62vP+B8w0Ulvr2L158i0Ech&#10;JXcRvjcVoI9A4kp6DxLoP5r2Yl6OqWOBnuqNQ1uXs+8M+w4+ZQiuFXuFZOyB9QukQO9OntLirBc4&#10;unsdiixsN/K5QL//6uvtRSUSieMhBbpEIrEZaLvLX7ytWjEPas/ui28neR4TE4b7dxv59kT70g79&#10;/2VHmzAgrQI/pfaUPG+Hqq9q4JKYZ44wtZFE17vzSmvqtd4bsbDdAV9skLSZx8xa/oLdTsW5XsPj&#10;2n39vTFnxWzUNR1A0/NWLvBEMkjSDdy9gIuPLrFxb+GSjfqkj52UDaO3Eu/e3g9bynTHgc7Vp/3M&#10;CXe1CmFRYZg8fyo2FW9B6elyfv7p+yZTHpwfOscX7zdgS8kWhEaG8LSP7noO6Rok0T3gGZSAX1N2&#10;snm7TjgPWoNSdV6LoWkFUIeP5z3JlQVpNjx+ev6g+Tkgij3XrMMvbHudaSmjSPQaeETPNifE9GRC&#10;gLKwzj1iInxStmCJn+abkOjtwpz3M9cy1D9iQ+CvKJ0Ug/r8lbhVX403T1rYMzLFsz9FG3t+Fz1D&#10;SyQSiTVQStz100U8drx4dNcjtIsyA1C9MAeX/vid97MWyg9HwSzuju7LA48Tt2BBAf0M/eyx/A2K&#10;QHf0WPtuhoTh+foL7Dryt0ig058RuSt5XLgU6PaFkgiQj8m5U1HGzlX7+RJBUvTA6um4fPe+wy3E&#10;kQK9B6B0k8fPcGTnKinQJRLJF5ECXSKR2AyS1ffuNCI6Jqzb4tvpZbhaq8K2LSv5L+Vfq5Kh6PY/&#10;b19H2KxD+D6pTPhit/tRXmqP/NgH1F14XF2CS3QVPEdlKbGwWc4g0Sv5y3i3mPkwetFx2rZirjdo&#10;j2vX6TXIGpeJwqNFXJq3R4tLegeSbNQ7+eSNM6g4V4XFeUsQkxQDT4Merm7uGD5iJP9TynT7g4T5&#10;SFc3fo5o4YNaq4W3vy+SMhMxf80CFB4rxoHLh3D29nk0Pmvm1eZyocq3xfn7Dbj0tJkvnsgypUOj&#10;9bCTSHdFousDwvFr0hY2b5NEZ/OecD7sGkrVeSWvOvcMiAT1/7a1pCYJTfJbE5aDwamFijzvwv5T&#10;vPsA9u9VERN59HuPzvE0Fl4GDI9bgVEJy7Ha61fk6fsKxbMjQz3MSZRTP/NV2p+wzmcQtkVrUDkr&#10;GU1lG/Doj1N4/bSVPRtTNDuJ8wfCZ2eJRCKxFXSfud9yEBWTY1GU1fWqa6rULp+WiPqWy2h99UEs&#10;PxyFp6/Q8uw1TlXtw34uWywU6KMDcGjrUrS8kAK9I7hAb7hokUCn+Pai7FC4mzbhP6bCfwlcSe/S&#10;Hqs/JncuP1dfFegZvqhbMQVNt+9IgS7YxjfPR4G+2jqBzq7BUwfKpECXSJwUKdAlEonNoCqWwvxN&#10;0Om10Oq65+WoRqdGULAf7txuYNv7cu9ztN3hcn3F3nPok0jR7eKXuj2BUhlWAxezRLdVnLvRoOKx&#10;50NT96A/fxkv3r6jQC/YB7I/NaOy2BjRQgP7rCjvDNS+gOLaI2LDsHrHKpy8fhr1jxtx/r6UefYC&#10;9b3mcd7snND52V2zB1PmT0VkfJQiW0aMxDDql+4u+6X3FrSIoX1Rw7Bhw+HB/rdvgB+ik2Mxbvo4&#10;rNuTh7rGgzh186wS483OJy1QkdL824auBboOjv9xkqd+ePsYoNLYYPGa1SgS3eAfimFcoh8QzoWd&#10;hSq7ea/z1H1K1Tm7b9m86pxXcLPP9AuEW+xCPkdb2j6mf0Y1BmSUQxM2lj+/iLfXTbBx0fkGY0jK&#10;biTGTEOeoR/WMUQi2pGgKvPlHn2w1PU/WK3/GVvC3FGUHYbDy024emA7Xj1txV/vbrLnZepp/pjL&#10;LBnPLpFIegpaXP+CPZPVzErh1eQi8fA1iscGo3RcOC5cuuj48ocE+vM3vH85j2K3VKBn+ePAhvlS&#10;oHcCWnRx7vwZqwT6cNNWKdDtEEoEoGj9hNylKGHn62sCnSL8q+ZmoeFqK1pe/iW8VuwVKdB7ABLo&#10;T57jyO61lgv00UEomxiNc2eOooXdd6RAl0icDynQJRKJTWj7cBdv3tzGlMk5cHN3Eb/AtAEeGnes&#10;W7sI797eAtrE8e1tDKo+v9h8FW7Z1b0Q3S7iE4nuEwC9wRYv85VoUn1gFI8/V17G26airbegF/PD&#10;kndA7zeKjVEPv2C3EVR17uWtx5T5k1HXeMAsaRuEokfS+5Bso4UNFx8o/bFP/HEKW0u3Y/rimYhJ&#10;ioNW54lhw0ZgxEgXuMqe6d2HyizM3d0x0sWVj/lIFxd4+/ogPi0Bk+dNwcqtK1FwuBCnb57l54rS&#10;BHg/c3b+ZDy75HPo2qCFSxsLNyIkPIjdm93sItKdC2krJTrNlQMyq3nVuY5XnbPPNNh44SJPu6Ho&#10;+Tg2L2/FLzztpupf+9IVKPJ9SHoxtMHJ7LPdxNvtJmhhnoZt99f0EkwITcAGR4py1/fn8CpzzU9Y&#10;5v4972W+3m8wCrKCcHjFBNQXrcbtS9XmZ2CqMqd+5vfRBtnTXCKR9A507yGJfmDBaBRm+AvFQ0cU&#10;pflwCdr6Fv8WHw4GxdBfaKxXZK65n3lXoWra6sUT0PLyvRToX4ONTeuLdzhztBrFVgj0EaYtUqDb&#10;Ie0CPTl3SScFeiYarrZIgS7YxjfP87e4fP8hDm5cyO6vfuJx7ACeljIlDucvnGLXmBToEokzIgW6&#10;RCKxCVTZcvF8LUaNCuA9ykUvL62FekkbjTpcajjEtvdUuB8EVZ+/f3cL2auO47tei27/N/0z/45z&#10;19uqJzqvaHOH3i8EIxPX8RfqVMkt2r5joES5q0NHg8fQ2rSSrnvhVecad8SnxGJHxQ6cu3cR9Y+b&#10;hGJHYr9Q9TJFvFME+MHLh7CzejeWblqOlNGp8Pbzhiv1227vm+7mzmPFpVTvPDRWBI0bjR/Be5iz&#10;MaW/+wX4ITEjCdMWzcC6veux72A+DrUcwaWnl3kP+48V5nfF508i+RS6D9Nii6KjxUgbk8yfT+hZ&#10;QnQP70l4JLpvEEbEr+ZzXmcXv/Gq86xa/Jq6B+qwbBi8vWz0LPEZbP41GDQ8sn1IWr5N+7YrVfN7&#10;oA+IUMS/aPvdAi06VMM1ajY0aXuxIMCIPP1PYmHdm5hFOVWXr9L2VfqYM1aof0Se3xDspV6eC0aj&#10;sSQP18+W4Bm7zpXq8ueMR0o/cynMJRKJHUACne5Jx9dMUirQuygxCRIap+tK0fLincMLY5J3Ddd+&#10;x/6cMHPkr/iYvwbJsKoFuWh++JRHwou2I1FoffUXzp09aVUFuhTo9st/2XnxNq39eL4+P4ft/F2B&#10;LgW6aBvfOjS3NN68hdqlE5R5SjSOHfBRoJ8/KQW6ROKkSIEukUisRlld/gibN6+Ai9tIwUtL2+Bp&#10;0PIX38WFW9n2HiovCf+1L0r1ec3JZgzKqMTPafZQff43PM49q5ZXout9A6G30ctj/jLexxuusUsx&#10;gMe6Vgu3b/8olfrqwARzFK34eO0JT50GKrUH/AJ9sGDNfC77Gp82yxhpJ4AqnEnaklA/cvUYys9V&#10;YmPRZkycPRFR8VFcXqk0Gri5u/MKdaVK3R3uHlKoE5+KcqoqV3qXu/L/rtGy74+XEaFRoRgzfjTm&#10;rZqPvQcLUHmxGodaj/KK8qZnbOzZd4nSAaQwl1hKe7z/kSvHMHnOROjYc4RG2/sJJzTHGX18MDJ+&#10;JX7hgvrLEp0WxvXLrMWg9DK4xSzgi+aMtHjOxr3OlUV5Hux5wg+uMQvZcxQJb8si278GPQeNSNrE&#10;FxHY6jmoU1CVPrtvD0naDL+kdVjlPQzrerkfOpfl2r5ckFMcO/UxJ4lOPcw3hbigcEwQDi3LQXP1&#10;Ftxn89Czu/V4//oP9qxLfcxJmj+Uwlwikdgl7QL97La5Sg90SwR6pj+O529A8+PnaHZwYUyi5tL1&#10;G6iYnswjf0XH2xFFWQGonJWOxmu/OVw/556GhKG1PdClQLdf6LwMN21Gsfl8ic4jUcyeo8omxuBC&#10;/VmHk8hSoHc/XKDfuo3aFZMtFuh0j6mcm4VLv11B8/P3UqBLJE6IFOgSicRq6OXd/btNyMpMgpuq&#10;eyM5NZ5qREWH4vrvZ9l2Hwj25Q6ePbuJyNmH0MeOqs8/RemJrkh0g2+g7UQxSXSjHqrIaRiYUdYt&#10;L727H7NAD4hVKutFx2lHqDUevPI8fWwq8g/m86j2i48ahRJH4riQgGuPeCepfubWOZy4fhqV56ux&#10;ZtcaHi+eyO5/QWEh0LHvIAn1X38djl95DLkrF8jOXqVOiwZ4/LqrG19IQMc/fPgI3rfc4G1EQEgg&#10;ohJjMXriGMxaNhsbCjah8mINjv9+Eqf+/LuHefsYywUoEltz8aFyb16ycQl8/b14uw3Rfb0nURa/&#10;+cAlbiWXyvR88Pm82B7X/mvyFniGpLB5Xvk5mye0GDQwGjygC4zB8MSNbC6uY3Rfog1/Dopfye4P&#10;3t2wEODL0DOXNjAWv7BjS4qajA36n7BW3zP90Ffr+yuyXPUjlrl9h6Uu/4tVnj9hvf9QbItSY196&#10;IKpmpeHM9nn4/fg+vHrcjHevfsdf7/5kz7ftfcwpnv3+v55/JRKJxO4ggY57aCrP4yKn2AKBTtWj&#10;B9fPw+X7j9DCe9WKJYgjwAX6zVuoXjDGYoFenBWI8qmJqG+8oFTlC7YjUeACvf6CVQJ9uBTodgud&#10;FxfTpk4I9GCUmsJx/txJx5LIT2nB0AvUrprOW1mIjq1DpEDvkPYK9Jql460Q6H6omj8Wjdf/QPPz&#10;d1KgSyROiBToEonEaoAnOHWygld1eeq7N3Kb+pd6qN0xZ/YkoO0up30/lOrze9hcfhE/p5bbXfX5&#10;PzHHuSeaJbqtKrAodtWogTo8F4PT9nMZLd6+vWIW6KFjeNSqvUa403Xo7uGK4LBArNi2AidvnObR&#10;0hQX/Lm0kTgXJHpJ7tJiiQsPLnGx3i7XDzQdwsaiTViwdgEmz5+K1LHpCA4PgRelQ7i5YeivwzBs&#10;uNJPnUeWm6vV22PNRWK611EptO8j9YF3+VhR7sJ7lQ8Z8itfNECLB4JGBSEqIRpjJ+dg+qIZWLJx&#10;KbaWbkP52Uo+bhcf/T1mNH4fe5jL746kB+CLnNh1R9dkePQoLtF7vS86SXRvkugrzBL9k/kw6wCG&#10;pBVAFTkZBh9fGPTdIM4JvgBPC3VYLoay7dHzydcq4m2DMt97RM2EkR9TD50Hdr6N7PnCLWIKRmSW&#10;Y0pIJNbrKMq9/7+Ed5fRE5/2KydZ/gOWu32PJSP/FyvVP2Bj4DDsTjSidEIMDi2fgLO7FqH1wHY8&#10;uHoEf70lUf6QQf3L27mPtjbZx1wikTggPKXuHv44vg/7c0ItE+ijA1GzZBya7txz+Ipr2v+muw9w&#10;YM10vjBAdLwdQeK9dEI0zp06hFYHi6PuabhAv3he6WtsoUB3NW2WAt1OofMyolMV6MEoHReB8+dP&#10;OZRE5veLGzdQvSjH4t7cUqB3TMvL92j47TdUzEjh841wHDugKMOXnSc2T92+i+Znb6VAl0icECnQ&#10;JRKJVZDApn7jq1ctgJuHq/hlpY2hKnRvHwMOHypmv5T//XBC1ed/3vwDvlMP4L92Wn3+Ke1x7tQT&#10;3WCznugMg4bLZ11wEoam7gVVkXX/i3Db0S+rDqqY+TB46fixCI+xF9F4qqBljB6XieJj+3mvbBKA&#10;Ilkj+Qa4q0h1gmQwiXS6JppfXsXpP8+i5FQZdtfuQV7+Bi6TJ8ycyPuph0WHw8fPByq1mgt1EtIj&#10;XV2V/uqf9FjnuP8NRaKLaBfcQjyUKPXP+fRzP26L0d6TnKB9apfl9DNePl4ICg1GTHIsskxZmDJ/&#10;GpZsXo71BRuxvXInio/vR01DHV9Q0vzyCm9nwKvKH1z6OE6EcCwlkh6AFnLQ9Vl2ukzpi67x4K04&#10;RPf7noIqyo3e3nCJX8XlNYnlAZmVcI1bCl1gtFJx3i1V2lr27OHOn0FcYxeaW8D03MI7qnAflFEO&#10;TehYcxpPT0l0NXvGMGBoQh70qbuw1Mfj6/3QSYi3o+v3jx7ln/Ypp/h1imInaZ7nNxg74jyx3xSO&#10;2vlZuJi/Cs3VW3H9zH48vHYMb59fZc+tLxgUw/6E8YBHHXNRLmW5RCJxEmgR0L2mOpTkWtb3m+KX&#10;qeL60p+3HL/imiroHz7FkR0rlKpowfF2BI1hCZtXTh8sR+urD+LtSDg0PhebGtl4RXT52isxC9mQ&#10;3NX4zlSAPgKBK+k96Hz8l50Xn1ylB3r7+RLh0AL9zz9RvShXCvRuhPriN1y9gvJpiZa31kjzRu3q&#10;mXxR0+Unr6RAl0icECnQJRKJVVClzL27jYiMDOFR1sIXld2Au9oNyckxuHWzge8D2u4AH+5ief45&#10;fJ9Q9kkFl73TLtHX8J6mSiW6DV4gG6iPqTt0/uG8z+gvmTVsTLovitUWtPd4HZ68FbrAWHYcPViR&#10;1gmo/z5VKwYE+/Gqc4qdbnh8WfZmlnwRWlhR/7gJl55exuXnrbynN8W/Uy/m6oZalJ4uR+Gx/dhT&#10;tw+rdq7BnBVzkTvdhKzxWYhPiUdETDiX1dQrXGc0wNOgh8ZTC7X2n5CE55XsQjx4JfnnP0PQ57V/&#10;rk+AL99eeHQ4kjKSMHrCaIyfOR4L1y7C0o3LsLNmDwqPFvMFARRdX9d0EMeuncS5Oxdx+QU7NnZ8&#10;H2X5Q0WWi8ZEIrEH6Pq89OQyjlw9hnHsO0fPL7Q4SnTv7yl4nLu3N4YlrMOw5B1Qh6Tytizd1s6E&#10;V51r4BmczObdLexZpHsj278ECfuhaYVs3o/vvmMVQc9IAREYlFaE+Lg5WGfoj9WeP2GlWYgrPcm/&#10;xwpzX/KV2p+wWvczqFJ9rddA5PkMwYbAYdgRp0PhmGBUz0nDiQ3T0VSahxvnynGv9Qge3ziNlw8b&#10;eQy7IspJmD9lyBh2iUTybUD3uhf3G1E2PhJFFsgJLoxzw3Hp9+toefFeKEAchmev0fL0FU7s326F&#10;EAvG/jFBOFG2G62vId6OhEMyq/5KK8qnJvCFGMLx/AIkZEvYnwm5S6VAt0PofHzPzgudHzpPUqB/&#10;ARLoGb5SoH8FvtCmpRmlbI7q6kKbdrhAXzubfVabFOgSiZMiBbpEIrEYqpKhX4rravL5y2cSjMKX&#10;lN0ARa5SxfuKFXPw4QP1hXyI5mvXoMqpxg+p9hzd/m+Unug1GJ6yHbqAKPMLZFuIY5LoHtD7BsIt&#10;dhF+yaxm26kW7kNvQy/t6eX9SOqH+jHS3n7kOa9QZNf36PFZKDlRwgUhIRIzEsnXIKlO1dhUAUuy&#10;meT6pafN7L814Bz7/0/dPMtbAlBv8KO/HeeC72DLERxqPYaqi7XYVrYDmwo3Y3PRFoXirVixdSVm&#10;L58tZNayWbzyfVMR+xn2b+ln6O9b9m9D6ZlyHGafq3z+Ub494vgfp9g+nMFpti/n7yqR9SQbuSB/&#10;0sQXBVA/aR6/LnuVSxwY+g6eYtf6/DXzYPTW83u9aA7oKXiluY8fdAw+D3ZLCouywI5kvSpqGoZ8&#10;bPfSe0k17Yvn/l5IKNpv20Pj4B4xBYPZsY+PSsfWgEHYFDwcW8M9sD1ai71p/sjPDEL5tATUzMvE&#10;ifVTcWHvUlw9uAN3Gqrx8tFlvHrSgjfPr+Ld6z/w4f0t/lysVJQTJMopkl3KcolE8m1C97+3z39D&#10;9cwkiwQ6F8bsz/OnDqHl+Rs0P30llCCOwpXXbThz7AAXLv861k5CP3tkz3pceSsF+tfg0cy/X0Pl&#10;nMwuRzOTkKVYcFPuLPQx5XNEIlfSO7QL9PjcZc4r0F+w67f1MqpmZ1icWEECvXh0AM43XJAC/Qu0&#10;vv6AC02XlLYaXWz1wKExzvLHoe3LuYyXAl0icU6kQJdIJBbT3oN8+rRcqLUePd5HVKNTw8j+rKve&#10;gw8fHmDhzrP4zgGi28WQRK/FsJQdn8S12mg82WcZvfTwiJyCgRnl5hflon3oHUieD2S4UWy7jw/f&#10;X+Fx9AK8577KDUGjArBs01KcuX1e6XUuq2slNoZHm9+r54L9PO+v3o6yWKOdv//7Z9DPfAnRv2eQ&#10;yP/42ezvH/8/9jO0DyTHqTe5vN4lzgz/jjE2Fm5AQJBPr0t0Ls27Ja6dwVu8eMAzIAojE/LsamFd&#10;v8w6uMQv49HqemMPLchk42H09sLA+I3wGFuO6m3rcftcMe43H8CTP89w8UP9e/+G/nc7/+xTTv//&#10;xwh2wTOzRCKRfIvQvfHty99xZFmO5QJ9bAhOVReghSLQHVygt74Bzp07hf1jApVjEx1zBxSmGnFw&#10;63K0vqYe6I49Ht0JRf433b6NupVTuiwgSciWMWbkTJIC3Q4hgd7HVICM3AUoNZ8v0Xkk/hbopx1K&#10;Ire++gsX6s8q0eJZlvXmpmMvmxSDiy1NXO6KtvOtQ+N8/uI56wT66EAc2ZuHFvZZUqBLJM6JFOgS&#10;icRi6BfiB/cuIyoqFKpeeuFM242PC0PtkWPQTjyIn9Mcq/r8n1TyqPVfU/dBG5IGoy37gdJLYoMa&#10;mlEZ/PN7u9qsHXpxPyijDOqISTB60X72XBuAjtB6svHSqjBmwmiUnipDw6NGLhVFAkYi6VGobcAn&#10;cPneAZ//jPBzJZJvlPa+6Pvq9iIsahRv19HTiwK7F3YsBg82zxrYfDsRg9MKeOqLPTwHtENpPAPY&#10;M4FHxGRlEWEPpdAY9CroAiLRN6EAU7Y14O1fVDWuRKxzIW6W4u3w/uRSkkskEkmnaMNdvHtzHac3&#10;zUSRJRKI5MSYIBzZvVqR509fCyWIo6D05a5H+ZS4LldFt1OU5oO6NTPR/OCRsqhAsB0J49lbNkaP&#10;cXjzIhSl+wrH8mtUZAdhVXa6udpZCnR7QlnQkI/JudP4QoevCnR236mYkYz65ktocSCJTJXR586d&#10;QNnkWIt7c9O9k+419a3NXBSLtvNNw+YUSjY5fbDMYoFOixQoBeFk+R6eGiAFukTinEiBLpFILIZe&#10;MJYUb4PRSwetrufi2z9Hp/NAaPwY/gK2X4Z9RpR3BarCGpJeBG3oaN6f1GZS2aBEuusCYzAycQOX&#10;6L3R77Qd6v0+JK0Q2rBsLvftRZ7r9FpegegX4I2FaxfgxB+n0PisRShdJBKJROIc0EKThieXUXam&#10;HAlpsWwecOfzgWiecCjY3EpCWhcYiZEJazGAWqbYWRJNO7SobnB6MTyDk7jwFx6PzaEFhiq4hE/F&#10;gIxalB+9zBeItn0QP/tKJBKJpPO0fbjL21s07V+DQhIUn8mHzkCi+cC62U4h0ClW/NJvV1A1NwtF&#10;Fo5HUYY/ahaMRePvv/HPE21HQrziVfonyvahMNVLOJZfgwT6luw4DMrdje+kQLcraEHDj+zP+Tm5&#10;KM/+epIDidGqeVlo+K2VfV8cRyJTWsWZI9UoyVUkrejYOkIR6PFSoH8JEujPXuNU1T7rBLopHGcO&#10;lkqBLpE4MVKgSyQSi0HbI8yePRHuHq7QCV9K9hAGDa8Wdo+aySu47amiylLo5faAjHKowifwBQq2&#10;izVXJLrBxxeuMQv5ePXGi/R+WXUYmroH2pBUvj88sla4vz2LxlPF5Xliejz2HtjHo6wp2lckWyQS&#10;iUTiXJBEb3zSjLqmgxg7aTSvRNfq7CcZpWuw+d7A5nuqOmfPEkPMVee9uXCuM1A/9F+Tt0PvF6Q8&#10;HwiPzcbQIgNfPwyKyYPvtKO4efcPAHeFz74SiUQi6Tw8vaPtHq4d2oXCTAsFeqY/KudkofnRMy47&#10;hCLEQWh5/haX79zDgdXTUZTR9apogkQPr6htqncoIdgbXHkHnD5Sw8bMv8tyrCw7GPuyoxCYuxb/&#10;MRUIRa6kd1ASAfZidXZa5wT63Ew0XG1xOIF+qq4M+8cEWSzQi9g9t3qxCY03bvCWBqLtfNPQfPL4&#10;OY7ty7M4EYR+rmxiDC5eOK3c39nnSoEukTgfUqBLJBKLoJ6Pf16/gISEaLir3cQvJHsSgwoGb2+4&#10;JKzBL1m1wpeyjgZVYlGlmEf0XB67qrfli2Q2XkajFh7hkzAkvYRtq+fGjOQ5vRzXBUTxl/s9FdPa&#10;ESTOvbz1mLV0Jg63HkXD4yYe6yuSLBKJRCJxXuj+f+TqMUycPYEv0HM4iW5Qw6h3hy4wCiMSVrNn&#10;CVos5ygJPZVc9LvGLmbPKXQsPbPAjsZLHZKOn5JLMW/nOYBLH/EzsEQikUg6D6XW3W2qQ0GGn2UV&#10;flkBKJ+ahEu/X+Nxu0IR4ig8fY3W569xeMcqi6qiCV7xmBuKc6eOoPU1xNuRcFpfteH8+VNccHU1&#10;Brs0O4QRiszcOfgfU9G/JK6k96BEgMGmXdieHYPy7K+f1yJ236ldOh5NDiaRr7wHjpXsQWGKUXhc&#10;nYEEes2ScVKgfwkS6A+f4tDmhdYJ9CnxaGht/ijQH79+iDbBXCiRSBwXKdAlEolFAM9QU7WHv9zU&#10;6u2jephXKvmHYWjqXi5pxS9mHQv+wpvhGrcMeh9/GAzuwmO3DA0fM4pKHZa8nY3ZAbbN7qvep/6m&#10;v2TWYnjSFugDws2VZb0vz6nPrYfKDaFRIdhcsgX1j5twQVadSyQSyTfNxYeXcOrPs5i3ci48dUrS&#10;jWgOsS/YnMrmVoO3F1QRk3jVufI85FjJPFQlPzCzEurwcey5h1q89MSzgpYvLBwetQC/jq7Fifor&#10;sgpdIpFIbAAJ9EfXT6HUFGZRJSXFEJdOjMGFc8fR8tzxJRBVRR8v3Y2iVG/h8XZMCK9eP3W4Blfe&#10;SoH+NShSufH3a6hekI2iTD/BWH6dquxAzM7JwX9NRbwXukjmSnoeSgQIyl2L/OxIlHZQgU797w+s&#10;mYnL9x5wwSm6TuwOWmjz8i2O7Flv8UIbghYPHFw3G5fv3kezoxx7D0ILspruP0Lt8kmWC/Qsf5TP&#10;SMXlB4/R/ExZ4PXkzQMp0CUSJ0MKdIlE0mUoig1t97Fq1Xy4uI0UvITsPaiiWROShoG8qto+e3x2&#10;FRLP/TPrMDJxoyKebVq1TRGv7jD4BcMlbkU3Vqkpx+ASvxoG30C2TYqk7315zisLtSrkTB6LinOV&#10;uPSkGefuXRTKFIlEIpF8W5BEP3v7PBatWwhvXwNv8yGaS3ofNp9SEo9BDc+geIxIzMOArBr0c+Dn&#10;IHoWGZRWBM/AaBj0PTTueg/o/ELwU/xuxC0+gefPbwK4I3wWlkgkEknnAB7iya1zqJoWj6IuVgET&#10;So/ZMJyuK3aKyHIezVxbYlU0c2GqESdK96D11XulN7xgOxIGG5vWl+9wcNNii0RkZXYANuSkwMW0&#10;A/+VMe52w39MhUjJXcDOURhPChCdu3YK07xxcOMidj08/yg47Z0W2s8Hj3Fo4wIUpfsIj6sz0OKB&#10;o9tXovnxM4c59p6EFlQ03X2AqvljrBDoAahalMuj4HlFO/tcKdAlEudDCnSJRNJl6JfgO7fqkZ6W&#10;YB/x7f9AC6NBDVXEFB5/3j/Dvnt9dhYu0bNq8WvKLv5ynEt0G8aatvdJ9YicgcEZJbwHqWg/LEOp&#10;PB9J8tzHr+d6mn4NgyevOvfxM2LBmvk4deMMj+yl/rciiSKRSCSSb5ML9xsYl5CXv55LdGr3IZxX&#10;egv2LMDnVTa/ekTNxJC0IlBbFp76IpyTHQc6DpeEtTB6+7Dj7JkEAFrg5zbKhH6pldhTe4k9894T&#10;PgtLJBKJpHNQ67eXjxpxaEm2ZX3Qx4ZwuXF03wa0vvrwLwniaLS++gsXLpxC+ZR4FGdZJm1IjB3Z&#10;sQLNj55KMdYBtGDhROku7CdB1sUWAlTdXJQdgVG5K/B/TMVCmSvpef7XVISpORNQwc5PSUcCPcWI&#10;I3s24MrbNuH1YY9Q3HrTzZuoWz4JRZn+wuPqDLR44FjhFrS+eCsX2ggggd549yFKJ7N7saUCnf3c&#10;gbUz0fz4BU8OoM+VAl0icT6kQJdIJF0GeIJzZ2t4v2h7iW//B/Qy2UvP+2f+kkXVV47/Erkdepk8&#10;KK0Q2lGjYTCyseeV3IIxsAQaN/Z5niFpGJqyi/cgtfYFfLv4V+S5r23310Iosl2lckNkXAS2lm3l&#10;FYYysl0ikUgkX4Ikev2jRqzPXw+/AG+7kegGvTuMRh00o7IwPHkrb/niOL3OO4aeIWgxpCpyKow9&#10;9PxAVfwGHx/0j90E/xlHcfvudfbcK6PcJRKJxFKA+3jz4ipObZiOQuqDLpAQHVGU5o0DGxah1Qki&#10;y0mONf5xDVXzxlgsx4qyAlCzdDwa/7wpext3QMvL9zh/7gTKJsVatGChOjsAOTnT8B8e454vFLqS&#10;noP6nw8w7cXq7DRUsXMjOmcfGUvtDnxwrHiHQ7U7oKSNht+uoGpOJvuuWyZ2CUpdOFFTwttGiLbz&#10;rUMCveH331E6PhrFFqSj8MVdY4JwZOdK5TPNAv3Z2/tSoEskToYU6BKJpEugjV4i3sOO7Wu6Nb7d&#10;U6/holP0/3UGEsEGb2+MTMwDRYeLXsw6KhTJOjCjnFea0UIBJQ5dPA5dhyLdPaD3D8XIhNX4hSLd&#10;LaziV+R5Hf8cvY+vjffTMtoj27MnjUFNfR0anjTJyHaJRCKRdAgllJBE31m1CyHhQb0r0dnzkYH9&#10;qQuMgWvsEgzIpGcDSo5xngWD7VA7nkHp+6ELSuixBBt6XtEGJ+On+P1YWXAB797eQVub+LlYIpFI&#10;JF+nre0ubwF3qXAl8tMsiyOmGOPa5VPR/OjZR0nhsDx9hZYnL1CzfAo7Lsv6oJO0KZ+ehIbfrvKK&#10;duF2JAoUq/zgMarm5/Ce0KLx/BoV2YFYn52GkabtPDpcJHUlPcf/sHPgZ1qHPdkxKM/+uvSk78n+&#10;nFE4daCUJxEIrw87pPV1G87Xn0NJbhj2j7WszQNPW2DHf/porUMtHuhJSKBfOHsMJaYIy9ppcIEe&#10;jJMVe5T7jHluev3uLvDhlnA+lEgkjokU6BKJpEtQBNuzx1eQw36JUGlt/yKTpDlVtkdGjuISXfRv&#10;Ogt/0eoXjF+Tt6Ff1gHhi1lHpX9mFa+ud41bBoOPv1lO266nOB87byOv+hqYXsor37v2Yp56ntdy&#10;eU6V5/Ygz0l2ePsasWDtfJz68yyPbBdJEolEIpFIRJBEb3zWgr0H92FURC9KdIozZ3PryKTN6Df6&#10;sNVpMfYOX4yXuJ5XhvdMlLsGRi8dhkcvhkv2IbT+fk1WoUskEokVUILd1YM7sS+l632oCarUrpyT&#10;gUtXW9Dy4v2/RIijQTLv8I5VKKYK9C7GinO4HAvGxaZLaH3t+LH23QotWGDXzKGty3i/4q6ON0WE&#10;l2SHIiRnJY8O7/OZ0JX0LP/HtB/JOfM6Fd9O8dqlE6Nx7tRhh2r/QPeHc2dOoCjDV3hcnYEqqksn&#10;ROHc2RNcyIu2801D94Xnb3G6bj/254Sy+4IlAp39DLuf0PVFn9X8RInJlwJdInE+pECXSCRdgvqf&#10;/3n9PAIDfaDV2T6+naS5jx/7xbpoKyZNHAN3lXU91rkIDozGkNTdNu7r3fvwF+ZZtRiRuJEfI5fU&#10;NuyLTnHrBvZ52lFpvPd6/6waRdwL9uWfsP0ieW6Obe+pirEvQYsyqN95aOQo7KzcifP363lsu0iO&#10;SCQSiUTyNT6V6FSJrlK7C+ee7oXSYjRQj8riiTT9nCi2XYSSaFMDj8hpMBpJoNtuweAXYc8uuoBo&#10;9EvYh2mbz+Ov95TCdEf4bCyRSCSSrwM8xY0zJTyOuNgCYUzR2+VT43Hh4mmnqLimiOZT1QUoyQm1&#10;vPIx0x9nDleiRfY37hCSW+dOHuQVvZaMd2V2IGbkTEJfkxIhLhK7ku6Hxr4f+3Nujqnj+HYGLbyp&#10;mp2JS79dNQtO8fVhVzx9jZZnr3CiZCeK0q0Q6FkBqJiRgvrLDfx+I9zWt4xZoB/fv42NF4lwC+7D&#10;dC9h9/D6K1d4qwj63BaGFOgSifMhBbpEIuk0FL2GtnuoLN8NrU5tVcT6l9B4qhEeEYI3r2/g2m9n&#10;EREZzCW6wUv87zsDCVyK/hycVuR0Ep1kNR3T0NR98ByVaZbotqzOUvqi6/1G8Wp36q9KEfLifWl/&#10;yd0uz/24hBd/bs/gqdNwuZGclYjK81VoeHwZ5+/VC6WIRCKRSCSdgST6pafN2HNgH0KoEl3dGwvF&#10;NLwvuEfEJKX3uYXtVhwF6u0+hEe5xyvPJcIxsSVaPr7DI+ZgyJg6nLt8FYAU6BKJRGIJwGPcaaxB&#10;2XjLonLpZ0rGBuHUgTKHimL+EtS3/ML5EyibGGNZ710GCbJj+/LQ/Pg5l26i7UgUSJQ13X2Aiplp&#10;vCpZNJ5foyw7GLuzY+Bm2iJj3HuR/2cqgiZ3IzsXceycdPy9odYP1YvGs+/IMyViW3Bt2Bstz96g&#10;+f4jHNq0gC8AEB1XZ6B2BTVLxqPpzz/Z9f9OuK1vGrNAP7R5MbsndD2ZgqAWAWWT43Hp+g2ecnGZ&#10;fe7vz57j7fu7sge6ROJkSIEukUg6DcVX/vX+FhbOnwqNp6pbBLpK44E5syfi3ZsbbHvPUVebD4OB&#10;xLoVL0upV6hBDW3oaAxOLwb10xS9nHVk6JgGZ5RCFTkFRi+97cW1wYP3W6cX9QPTy4QLEfrz/VB6&#10;nttDbLtGq+I9zyfOHo+jV4/j0pPLQhEikUgkEoklkETfdzAfIeHBvRPnblCixt1iF/PnAGePcqdn&#10;jxEU5e7txY9dOCa2hBYk+gaif/xOjFl9Gu/eUhW6+BlZIpFIJF+G2sA9uXkWdXPTUZTZceWoiKJU&#10;bxwv34cr751AoD9/g6abt1E+LRnFFo4HieDaFZNx+d4jLoJE25EocCn5+DmObF+uxLgLxrMjSKJn&#10;5s7Fd6YCGePeC9CY/9dUiKTc+ajshDwnSCIfyJtnjm93jJQGvtjjzl3ULB3PkzdEx9UZCtO8lWN/&#10;9gotMqHi35BAf/EOtSunsXuwn3AMO4LuwdWLctB46w7/LCnQJRLnRQp0iUTSaYB7ePvmBuIToqDu&#10;pv7nVG1eXbUHaHvAq93/en8Ha1Yt4C+mtdb0RDdoeCU6SXSqYPpaFbWjQvHqAzKr4Rq7mL/wNRjo&#10;HNlwkQO9qDeooA1KwvCkLeaFCO0v6809z9tj23tZntP16e1rwIoty3Hm1jnUP2rE2dv/lh8SiUQi&#10;kVgMxbk/bTb3RCeJ3gtx7jTf+vhjRNJmngDz+bOBc1HFnjWqoQ6f2GPtYeh5xiV0EgazZ6yak838&#10;WVj0jCyRSCSSLwPcx+snzTi63ISCdMtkRWGaFw5vX4GWpy8YDl5xTfv/9BVqlk60WOhS5TpVPzbd&#10;vicFeoe8QuvL9zh//pQydhakIJRnB2NTdhKGmXZyiS6SvJLu4z9szAebdmFtTiY7Fx0LdOUch+BE&#10;8VYuN8XXhf1BUeBU0Vw6Idqi65QzNgSF6d44vGstrrxz/AVH3UHLs9e4/OAxKueN5QsthOPYAbQY&#10;7NDGebh8/xFfpHOZ3WduPH+Gd+/vSIEukTgZUqBLJJJOQ7/4Nlw8CD9/bx61LnrRaA30mSEh/rh2&#10;9TTb1mPzNh/gxbNrmDwpGx5qd+gEP9dp2iV6WA4GZZTxl7DiF7SOC+9RnlWLYclb4RkYp7xgtmWV&#10;FlXz692h9w2Aa9wSLtFpm1QVNixpKwx+wcr/L/rZHoAWYdBii1HhQdhVtQv1Dxtx4UGDWHxIJBKJ&#10;RGIlvCf6pxK9F+Lcad71DIzGkLQCp1wg+Cn03DE0dS/0AeHsmaQHxpqeoXx80C96C5KXnsTzZ7fY&#10;s6mMcpdIJJIu8eEO2j7cw5ktc5Cf6i2UER1BkqNu5RQ03boNh48kpopQxtF9edg/JsjC+OBglOSG&#10;48L5k1KgdwKSqEpl7wR2LXU9Grs0OwQl7M/k3AX4X1ORUPJKuof26vOg3NXsHIQyOv6+0AKT0vGR&#10;OH/6iON8P6gqmu0r9evn/bUtuC8QXLyPDcKJ8r1ofd0m3tY3Do3zpSvNqJiRavEiJpqTjhdtRsuT&#10;F3xRFAn0Wy+e8iIwKdAlEudCCnSJRNJpSGbv3L6aS1RPa6rBv4Cbyg2TJo7FsydX+Lb+3u4j/Hn9&#10;PNJSYqDRWilnSaIzVJFTMSiTqqad8UWz0od8SFoh1GE5MPLjtvGCB70HjN5GXu3eb/RB/JqyC3r/&#10;sF6tPCd57uHhhvjUWOw/vh8Nj5tw/r7sdy6RSCSS7qW9JzpJ9JDwIKjUPb2QjFrVqNicn40B7DnA&#10;2aPc6RnHNW4pDF46RXALx8RWKGPrPiobAzNqUHXyMnsuvYcPH/79nCyRSCSSLwM8RX3BShSk+Qpl&#10;REcUZQWgam4mGn67wqs0RVLEYSBR9uwNzh6rsVyU0c+MDVYEzvM3ipQXbUuiwMaHqtBPVOzjvbGF&#10;Y9oBldmBWJmdiQGmvfivrELvMb435eMnxpyc8bz6nBYyiM7Pp1C8dvnURDTeuOFYAv3Zaxwv2Gid&#10;QKfFAxOice7kIXav/Eu8rW8cmkMunDmMskkx/FoRjWNH0H3k9KEKfl+hc0cC/fbLJ1KgSyROiBTo&#10;EomkU7R9uMN+6X2CWbMm8ph1m0aDmxnpNhJ7duex7Tzm22vfNvi2H2F/WSncPL1hdcURSXS2/+qI&#10;iRicvt9JJTpVaVVjYGYl3GLmwejjy6W3cDwsxaDice30EtszJE2pdu+G66Iz0IIOEhaZuemouljD&#10;RcbZu/+WHBKJRCKRdBdcoh/Yh5CIYGi0PbygjD3b0II5dzbnUxKNM0t0Sr4ZlFkB7agM87OHYDxs&#10;CF8cyJ53+kevR8qy03jx/CZ7Lr37j+dkiUQikXwd+h3/t0M7uXiwJJq4eAxVlEbgQsN5tL5y/KpK&#10;qohuuPYbO6Yoy6Kax4agKNMftatmfBQ4ou1I/oZ6YTe0NqNyZppFvfhLs4MZo5BkrkKXvdB7Blqs&#10;YMzdgL3ZkbwXvejcfA5VFdcsm8h73/Me+ILrwe4wt3aoo77co+n6tFCgs2ubKqsv0WIjmU4hhO4F&#10;p2qKUJJj2XxE9186R+fOnULrGyUmv+nxK9x/9Ug4/0kkEsdGCnSJRNIpqB/5o4dXkJoWDzcPV+EL&#10;RmvQ6pQXv0eP7Ge/XD/7bNu38fbtHczZfgFDwxfA4KWH1RXVvBLdnfdEH5xe7LSRp/SSmSq1Rias&#10;gy4ggh2zjSU3jaOPD/s7fWYvyXN27Xh6qjF57iQcuXqMV56LxIZEIpFIJN1N47MW7K7dAx9/Yy9I&#10;dDbH+/hheNImNvfXCZ8LnAVqHTM8eSvv/94T6TdGvTvUwWkYmFaO6tMtXKC3ySp0iUQi6TTAQ9w4&#10;W4Ky8REoGt1xD+N/QcIiKwDnzp78KCwcGRJbjXfuoWaJiR2XZRWQxZn+qJiZjqabtxxHEvYmvAr9&#10;HQ5vX4WiNG92TYnH9WtUZgdgY3YKRuRux/+aCoXCV2I7aJHC/5iKMDlnMiqygztVfa7IzUAcK9iI&#10;FvN5F14PdgYlSVy+c5d/py2NFSeKMv1QtdDEPlOJFhdt61uH5pCj+ZvYPdSPXy+icfwaVOVfNjEG&#10;FxrruYynzySB/uD1I1l9LpE4IVKgSySSTkErxk8eL0NQkB80nrZ/UemudkNycixuXj/PtvV3fLuy&#10;7bu4dfcPaE116JteBVXkFBh5ZKeVsZ0kf/Ue0I4ajcFpxU77spmq0Ppn1mJoaj407Fip+p6qx4Vj&#10;Ygn8XPSOPKdrUafXYN7KuTh98xzqHzUKhYZEIpFIJD0Bxbk3PLmM9fnr4e1r6JZnpq9BzzW6wGj2&#10;XJPvtAk77dBzm3v0bPZcQ8fezc8hBjVvXTMwejXSV5zB2zeyF7pEIpF0BeA+nlw/jeoZiSi0oPqX&#10;KEr3xYmy3Wh5TpWaDi6GnrH9f/wcR/fm8V66ouPtCF6VPy4CZ49WfZQ4kq9D43Sh/izKJsVZLClJ&#10;5ObmzEIfUwGPFxeJX4ltoEUKhtwN2Jkdy+PbRefjX5AQZd+N82eO8aQH0XVgj9C+Xjh7DKUTorig&#10;FR5bR5grow9umM8+763DLB7oaa68acPBrctRmOolHscOoASL6vljcOn3a2yclZYiJNCfvHkIfLgl&#10;nAMlEonjIgW6RCLpFMBz7Nu7gcdkd0f/cxe3kZg3bwqX55/Gt1N1D9ruYE91A35OLcfPGVX8pen/&#10;z95b/1d5bV3f/8/7vvdzP+f0nLZQKLRF4rJ3XAjuxBMggrtLkSKlxV2SEHcSiLsHKA5xJXjGu+a6&#10;doJdQMjeO2TvzB++n5QCl6zLJmusMabdtKVwMoQIrFV6W9pPDcX4gEsYFWK+ji2aSKfeqFazN0Pr&#10;6gKtZqh7tBoWW3trOLlqcOjcIZQ1V6K0uUJVzGAYhmGYoaSksRwVrdVSRHdycRxiJ7pS19hNj5Bt&#10;XH4ywyh3alEzKjQDY0KSMXHRX3B0ddct5lMbD8NBdZPNlGD8tjgBRTX/sIDOMAzzFfT2NuDNy4fI&#10;3LkEUcEeqqLEl6DI8uxTe1Db0o5ak3dc90gxtyg3c9ACuhTLQtyRffEI6p+Zvit/SOjokYJX5tGd&#10;iA4d3H1IQu658PmwiTyO/2UXutFQFidEYUP4CiSHDTylgRaWJG7wR+W9e/3ipilQ/6wX1y8fxVXq&#10;yT0IV7RE/j0f5CVeUOLbWUD/CBqXmsdPkLZ3lXj3un08hgOA/l7Gn5tR09CsjLPYbk1bDzqfN7GA&#10;zjBmCAvoDMN8ERK0X71swq7dGzFx8kTVSUV9IEHe3sEGZ04fBNDx3r5JPMebxwjZewPf+8f3T5xS&#10;73J72Xeb+rGrb3fg2OscW3Pxq/85/BRCvUPVJ21NndHByRgjxm/SoiMy0t1JazUkk86GxtbOWjr7&#10;Dp8/LF3nJFaoiRgMwzAM8y0oFt+lyvYa/P7376LGsZXtRtS+Z0ZBawutsxaT5+/DKDNK1+kTzscH&#10;xWDiggOwnR4JjZuHXAypOg6GhhZdinEdN+cwwg4Vijr1CXp736+ZGYZhGHVoToFc6LmHVw/agU5R&#10;56l7lqP6cUO/aGHK1D97g7KaSsSvmjtoxym58lP3rkLNk0bUdnGM+0Coe/oSpcW5iI2YMchx90Fi&#10;mDe2hC/D95GX2YVuBPqi270iDyEqfOC9zwmKMM86uQc1Le0m1NqgRyZrpB3YKJ5pV9XzGgjUzzs2&#10;cgbKKkvN4h1pDGhRReWteiRvDZWLstTG8UuQcz37/J+o7xb3V8cz1Ijt3uzoxtMXjSygM4wZwgI6&#10;wzBfhFzhTx6VIyR4kYxaV51U1AOKN/XydkPujXixr5YP9v0Edx7cge2yVPxXJ6Ark6hpGB9wGY6e&#10;c2Qvc7XtfhU6J7rWYzomLjqqi3NX3O7mR5I8Pxo/GelOArq+PeWHEDt7a0yZ5oWTcaekeE5xuWri&#10;BcMwDMN8S+Tirscl2H5wu3ShGyPB51PIhYHuPvjF/xxGmWyUO7WgSZbCOdUtvwZcgOWcLbD3Xggn&#10;Z0dlEeUQLwLUaq1h5RWIyUuTUFR1W9SpDe/VrQzDMMwnkAJ6I8qv7JciT8wgHJb09+JXz0flvQeo&#10;e2o6ztJPQQJX9eMnSP9j7aCdkNTrOWH1PJSWFUoHq9p+mA/QxedTzHXMIF3ocVLQnYY54Xuk0Ksm&#10;AjODh5z9YyLPY3/4YiSHfd2CG0plKMxO1bU1MA0Hdr14n1XUVSNpY6A4/sH3P5fvg/V+ZrPIyBjQ&#10;e7KkJA/xK+cMbgGN+HZFB7ogJ/Eybr5Ukj9qxH12u7MLz142oJcFdIYxO1hAZxjmiwDtqCjLxBRv&#10;N9g5Gl5otbKxxCK/eejsuAVQtNt7+27A6YRyjAlMxI9BCe9NrI4OTcWv/udlr0+a0FTb9tcit+Pm&#10;CYv5+2Q0KE3avrtPc2JUSBrGBifAmvqHulCkO43ht+llPlDIeT5luifOp11AdWcdO88ZhmGYYU1Z&#10;SyXyHxQhcn2E/IY5DpVbWqbrWMF+aoj41lMCjenUM6OlcJ6Kn0QNNiYoHpN8j8J2WphcEOCkO69v&#10;lp5D+3XW4udZh7H5VLGsU6nd0Lu1K8MwDKOCTkC/lXkGV8OnSTFcVZz4HEuVv1NaUQpT6m38OW4+&#10;e4Ocq+ekIPPR+Q4IH+lYzU28LB3tHNk8MOqfvpbuf3LrDtb9Ty70E2GLYBV5UvbqVhOCma/nu8jL&#10;+JcYT/+IHUgIm4JYlbH/FNTXPnG9Hyrqa1EnBXT16z/cuPkcyE+7Knu3Dzq+XUACeiZFi5uU+35o&#10;uflCjPW1ZMSQ+3yQC7lixX1ZkJmIenHdaJvU//xuZxdekID+mgV0hjE3WEBnGOaLUKz6tcwo2f/c&#10;0BO/jloH2NhZYcP6ZWI/H/c/f/3qCZYcuIF/LYxTjVUfHZqG3/zPwdFjmjKhqrKPr0U60Z2dYD17&#10;I8YGx0u3+4f7NRdogcCYkFRMWPQ3HD1nizG0GbZudLr/pkz3kuJ5ZUctihvZec4wDMMMfygtJevm&#10;DYREBsPGRtRSKt8442AHJ2d7TJr3uy7KfXj3Q6c2M+Q0p97t4wIuwUIct6P3AmhcnERtZqsschyy&#10;BQifwh5aJ1tM9gqG06pM3LxzR4ro79bNDMMwjDoU4d5Ufw1xy2YOUkD3kSJ6PvX3JRexGYjFJMAU&#10;59OYzBBjMsgYd+rHe3A9ahqazGZhgbEhcbGurRvZZ/YPvge9gHpzbwxfjv9GXsH/FagJwszXQYsR&#10;7COO4VzYPNlvXm3cP0VUoAuyzhyUcegUra127Ycd4jjrxM9rJ/fK41c7r4HhI93r+YmXdO9HEzn/&#10;oUR8M+p7XiHn6lkZw64+jp+HWokkrF2I0vIisa3XcrskoD/o7sCrV0/Qq/LtYxjGtGEBnWGYz9Ir&#10;HeFPcPTvvZhsNVllIlE/HGgiVGOv63/e9J6ATvHt1fW34bgiDd/5vY1vfx/FpUQ9vTVuXgZzosv+&#10;oVo72E1fivEBV+SE7nCfeB48SdKNPj7wijjfMGjJha61UR+Xb4StnRW8p3niXKpOPOfYdoZhGMaE&#10;oH7oKRVpmL1gJmxsDN8O55PQ99zdB7/6n1Vc3ap1wLeFYtpHhWbiZ/HfE3yPwWbmKmg9pso6jBY1&#10;Km7zby2cv4WOydHVHWPmHMfRhEpRu7ILnWEYZiDQv/dfPL2DlHWLED3I6FwSma+d2K0TQ0xfIJIx&#10;7o8eImVHuOxnrnreXyBmKfU9ni6d+X2CDvNlKOK7vK4GiXQ/DjI2m6Lc48VPv4gd+N/IaO6Hrif/&#10;EuP3o/i5KzxcOvxjwwbuEKYkgTjxHBTlZvQ7g02BuqevUXn7lq4n9+Dj2+UCI/F+5PfAZ+h8gZrm&#10;VmQd2zno9y312E/ZtgRVd26L97eyYIkE9EdP2+V3jgV0hjE/WEBnGOaz0D9yuzpuYe2aCFjbGsbh&#10;/S72jrZwdXNCcWGq3NeH+76QWo4f/RLwY5D6pCshoz5D0zBp4RFo3bygkVHk6vv7KrR2cNJayz7r&#10;E3xP4CexD3JHqR2DOUBudHJ9WczdAY2ru24cv/2ENfWN9Z7mhXOp51HVUasqTDAMwzDMcKeqsw5R&#10;16PhPdVTxrmrffOMASX02E1bjJ/EN57EarUaYOihY6He5rSALwaT5+2G3dRgOLm5i+Ol3uaUhjN8&#10;RPP3sZf14USvpZix+Toamu6LmpVd6AzDMF+iF4142XMX2XsiEB3qpSpOfAmKaE7eESZFC+myfFcc&#10;MVEoej3r7AHZu5lcpGrn/SXIRX0j+jjq2nvMZlyMDjl/u18gJ/qkvK9oIYLa2H6J+DBvXAqbA4/I&#10;w7J393cfiMLMwFCi26MRHL4NcWJclT7z6mOuRnSQO9L2rUZtc5vS517tmg9DqCd3cf51vePb6Z2a&#10;vDUElffuoe7pK9V9jXTqul/J8UndFS6febVx/BLRQS5IO7ABdbSAS5eCUtXWg8aeVoD7nzOMWcIC&#10;OsMwnwVowZNH5Zg7dzrsHAwf7W3nYIOZM33Q2lL3noDe2/sEr18+wdrj+fifBXEqE6/vo/TLTNM5&#10;0b2hMVCcOyGj4V09YDVvO8bI/QxPB5chkBPrFIvvewyO3gtBkanfcgKbxHMltv08O88ZhmEYk6ei&#10;vQbHoo7BxVULeyPUVerYQ+vsCIt5uzE69FvWMIpoTr3NfwpJxAS/U7CZuRr2njPhJI7vrXCudg7D&#10;DEo8cvXEuPknkFR4Wwro7EJnGIb5PJRu9/rlAxSd2jZ4AX2xJ+JXzUfFzVrUdZlHj18Su0ooxn35&#10;LNnDWO28vwS5b5M2B6HqUQPHuH8FNFbVDY1I2RWpV5R7UpgX/goLwG8RZ/B/uR/6oPh/I2PgFnEI&#10;l8NmfXV0u2wJET4NhVlJUpBWu9bDEdmnvLUT2af3IWqQjug+ooNckX3ukNhuN2q5/7kqlDpRVl+L&#10;uJVzB91GhBY6XTv9R3/KQY1u263PWlhAZxgzhQV0hmE+C9CKmzfzoHF2gIOGIjRVJhH1wNbBBmFL&#10;A/Hs6V2xr8Z39tuAf+7/A/c1GfiP/6fi29/nrYj+F7Tu3spErMo+BwNFw2vFGNhNW4LxAZflfoaP&#10;i8uw9I3jL4FRsJ21FhoXFzEGhr/2X4Lcee4eLjiTeAbVnXXc85xhGIYxeUoay+VisK37t8De3gaO&#10;Q9TTm+oYR4+p+CXgEkYN8UJAqiuoB/uYkBSMC7iCSQsPwWFqCDSubtCK+kIuVJQx7erHPlxxEsf9&#10;29Q1CNqTh6c9j0Tt+rYNEcMwDPMx1K6NRPR/ss4jiqKKB+G2pAj3uMgZKMpKMBuhmES0msZmJG1d&#10;jJgQD9Xz/iLSPe0jBURyVde2m35/+KGC4q6Lc9IQK+6rQYlqOpLCvLEjLBxjIy7IPt7/VRGJGXX+&#10;JzIalpEncDTcD4lhX7+IhNzEqb8vR01Lp0klMEhH9N27SFizQL7b1M5tYPggOtgNBVkpuPnCdOLr&#10;hxoS0ItLChAdKt6zg3H762Lyc66eltuibZKAXi/ofN7MAjrDmCksoDMM80noH7jkCk9LuQRbB1uj&#10;TPLa2ttg357NePXyoRTN+/ZNYnp6YS1G+ydgVFCC6oSsOkn4iUR037/g6DFTThir7XdQyF6cYnue&#10;0zF5wQE5EWzObvQfpYh+RTeOQ9sTnVx5zq4a/HnhMMpbq1HcWK4qRDAMwzCMqVHWUom8+wUIW70E&#10;1tYWqt9Bw2Mvaxi7GcvENz4Fo6heUvn2GxJqezMqNAM/i3396ncSVrM3iRpqFrTyWGyHeUz7ABC1&#10;kb2rDyyCL6L81gMW0BmGYQYAJdy13L6hCBGDFDBILMs+e8iknKafpaNHuumvnzuoONAHPS4eSD9I&#10;0cLKNlX3xXwECa5E1qm9ernQlX7oPlgevg7/ibyM/xt55SOhmPmY/xXj9EvkWewODwctQlAb288i&#10;3yXeKMrJUBbVmMy9T8/9CxRmpyji+WCeex30Tkzc4I/y2krUP1WEXeYDqGWDeDfmXj096Ph2uYBr&#10;+SwU5+nuNbFdEtBvdXTj6YtG9LKAzjBmCQvoDMN8EvQ+wZtXj3D44A4ZtW5oAZ22R33Vs7Ovyn9I&#10;90VfovcxXr96gj2XSvC/C78c3/4x5HRKw28B5+HoNVtxNqnsf9BoyI3uBJuZKzE+MEruSwr3qsdi&#10;mpBbjBYI2MxcAachnuCmvviOGjscOncI5a1VHNvOMAzDmB0U5Z5Rk4m5i2bBxsZwiTmfRXzPnVyd&#10;4BRyGGNCM/Bj4NcsUBwoSkw7Oc7HB8Vg8vw9sJu2FE5uHtKxTaKzSYvmH6KxwYRZ27HrbKlcCAqO&#10;cWcYhvks9O/+rsYKpGz0RfTiwTkuo4PckLp3NWrbulBnJkIxucZLS/JwNWI6YpYOblxIfI9bPkdu&#10;p/7pa9X9MOqQGFZxqx6JG/0HLa4Riog+FSHhW/GvyCgBi+ifgxYZjBY/N4avBMXgx4Z9vYgcHeKB&#10;tP1rUEO9z7sofUH9Gg836jqUmPX0QxsG3bqhj6gAF2Qc3oK6tk6Ob/8EdV3PUNvcjmt/bxt8qwzx&#10;bkhYuwiV/9zqbyFS3daDfzo78fxlA3pVvnkMw5g+LKAzDPNJyAX+/Nk9REYES6e46sShHlAkPPUA&#10;/eefArGvtnf224C2tvuYtzUL//Ef/OQuxZD/5n8ODt7zdQ5qA8aDam3lNh09Z2HSgv0YE5Is3egk&#10;PKsdi6lBE98TFh2B1sVZ5xBTGQMjQPcEuc+3/bEFpc0VKGmqUBUeGIZhGMbUqeqsxYX0S3D3dIGd&#10;EeosNewdLLEg0A9hh5Pxy9JU/NePkn7Ua4GBorR+0fU2F7/+zf8srGetg4PnHDg5a0yrt/nXImpB&#10;a9fZ8FyThKbWR8ri03dqaYZhGOZ9KOHuWWc9cg6tRNQg48op5jxpQwAqaitl//APhRJThJyo1U+a&#10;kLIzXC8xjRzU107sQT2NC7vQB44YK4pyL7qRhtiIaXrFaceHTUF02Az4R+zEvyOvsIj+CfrE81Xh&#10;a+WYxQ1CPKfrFBs5HSXFuSa3aIQWbZTXVCCe+nHr8czHUPrEYk/kxJ3v78vNfIx8xzY2I3nb4sEL&#10;6PTt2boYNS3tqNW1CiAB/V5XR78hjGEY84MFdIZhPgkJ6E+7/8Gs2VONIqBT//OFC2bh0cMysa+W&#10;d/bbgJv3/sFvoUl6u6NI1B4XFA37qSFwIhHdkD02tUocqtZZC7tpYfjF/zx+Ck1VJpFVjsVUoOMf&#10;FxQDR++FhnfvfwZKJLCxtcLqratQ8KBICuhqggPDMAzDmAOUsFLWXImdf+7oT19R+z4aEgdZu9ji&#10;wKk/cCK7GO4b0vGDXwK+D/j6eovqhdGh6RgbkoSfA6/AYv4+2PsEwNHFDU4U0/4te5vTQkexf63R&#10;928He40jrBYeRlRmrayd362lGYZhmPehHui9bxpQHXsYlwJcVUWKL0F9qmPFz4JrieYjGFG8cOcz&#10;5MWf1ytGPCbUSzoky6rL+3v0MgODBDa6BtnnDiE6RFwDPSK1E8O8PxDRL6uKyCMVim3vE88TpHg+&#10;iN7zS6ciKsgV2WcPKm5gE3Ne1/W8xo2oY7Kntr7x7QlrFqJcPPPUU11tX4yyYKHy3n3ELZ896AUy&#10;JLxn/LlJWZwk3tm03Zq2Hjzubuf+5wxjxrCAzjDMJ6HV4ffuFsPL201GuKtPHA4eim9fszoMne03&#10;xb6a5T5p1R7ePMH5lAr84J+A0Xq6oghFRI+F7fQIOJEL3dAuKNkb3QZatymwmrNFis/U89M0Y93J&#10;RZYKy3m7hjy63drGEkFhAbh+64aMblcTGxiGYRjGnKDFYoWPSrB01RLYirpI7ftoaMjtPnOuD67V&#10;piHrTjmWH8/CxKVJ+NeigbnRlYj2TPwcFIcJi/6G7aw10HhMF9v+1r3NxT41oh7TWMHJzR12UwLg&#10;4OZpZBFfOecJrv5YejAPz5+TMKReVzMMwzAKQCfuF1zFlSA3VZFiIEQHuOD6pWOof0auU/NwWtc/&#10;e4Py2mrFkaqHAzqaRMVzB5V4e45z/ipIgKx68ACpuyP1WshAJIR5IyZsuk5Epzh3FtGJd53ngxbP&#10;BXR9kraEoPLOP0rigsr1HK7QYg26z5K3L9X7PosOUVpaUH/vPlGX+Rga8+KcdMSGU8LEYBZs+OCq&#10;+Hs5V44q4/xOwkdzTxsL6AxjxrCAzjCMKr1vnkhROzHuLJxdNDJaW33icPBMtpyEo0f3iP01Ar0N&#10;cr8Uffn65WOsOpyH70lAV5m4HQwkCo8JSYL17I1KLLnGWvWY9IJEdK0tHLwXYvKCfTLWfVSIafVH&#10;p0nxXwKuQOMxTZkEVztPI2BrZ41Z86YjsSQZFW01qiIDwzAMw5gjtGgsuTQFM+ZMg629EeqTD6DE&#10;FzuxnzVbV6GytQIVzeU4fT0f83/PwI+i9qL2Oe8L6UmiHqOaJhU/habjN//zmDxnG+ynBMDJxUXn&#10;NP9Wojkh9itrMIG7D2ynL8fERX9jTGgarGZvgFYunjTesVG9ZK11hevS8yipuSPqZ6WmZRiGYdSh&#10;9m1NN7OQtGYeYvTog55xYD1qnjSituvle0KJydL5HHXtXcg6tVf2NFY774EgY62XzURpWZGMJVfd&#10;F/NJyLlfUlaI+DXz9YrWJhQRXXGiU090Eo/VROWRwsfO88E5r+m9QVH7hddTTDKF4uYLID89FleX&#10;kvt8cAsICEUI9kF+4iXpsFbbFyPo6JEpBTcu/60sThrEmMcsUe7VInHPkRhPC7dqxLbrO7rR+aKZ&#10;+58zjBnDAjrDMKr0CehHDu+Cg6OdnGxVmzQcLLQ9S2sLJCdfkCvQ+/YLPMGz54/gujYd/9Wj/7ka&#10;Mlo9NFVGjGrcPEHx68aY7JXOJ2cNbKeGYKLvMdkTVMacBierHtfwIUkcaypsZq3TiedDMxFOTjgP&#10;Lzdcyrws+8GqiQsMwzAMY65QlHtFWzX+vvy3/C7ai7rrw2+loaFkIQ9vN1zMuITK9mpUtZUh714J&#10;jqTmYfaWTIwJSsKPQbr6JSRZus0tFuyHzbSlcHSfJlNqlN7mxj9WdRTnN4nmGlFzaaYsxOR5u/CL&#10;/zmMFcc8KiRdCv6/BVzQ1XzGXRRI2//FazmOJisx7uxCZxiG+TSUdPe0pQpZe8JxJXiQfdAXK1Hl&#10;5bVVZhVVXv8CKMzJQGx4nzimfv5fIjrYDRlHtqC2pV2Jt1bZF/MpeqQYmZ8aJV2n+qQBEH0iekTE&#10;BnwvReQofPeOqDwSoPP9H3Hev0Sew/rwVbqe54O8v3U9v29c+gt17d0m57qW4mtzC9IPbkB04OAX&#10;yhD0HoxftQBV9+7rRF31fY54SEDvfI60A+tlH3O1sfwSsnVIxHRU3LzZv1iBBPSbHd14+lLU/irf&#10;OoZhzAMW0BmGUUUR0Fuwfdsa2NhZGVxAt9fYSWd7bk682E9H/35JQC+tuYXflibjh0H04/wSUsQO&#10;TcVE3xNw9JqrTLwaY/JXTupaQ+vqBrvpEfjV77R0wI8OTRPHMDwd6TTRPEEcp8bNSzq5VM/LwFCy&#10;gYOjLQ6eOYjy1mopIqiJCwzDMAxjzpQ2VUjWbFsNGxtLg9ddatB+lq5cjPwHhSgR+y5rLkVVWwUa&#10;uu8jveAWvFYnY9yiU7CdtRr2njOgddbCiRYfyhSfoVlk9xHUNkfsn3qsO7p6wm7aEuk2/znoqlwE&#10;SMk/b+ss+pkM2xkrdAK68Y6Zjmmi8wwEbU9BS5tSz75bVzMMwzDv8OYJenubUHx2Jy77D15AIhd6&#10;4Y103Hze+7FgYqLUdb5ATUMT0vatluendt4DQjosfVB0I01xob8TN8wMAFp00NaF6xf+RHSIB2L0&#10;6FFNkIieIK7HhvCV+C3i7IgS0f8deRn/ExkNy8iT2BO2FEliLAYtnguoP33a/tWoftJgkq5rcswX&#10;52crz6ge7nOC+p9n/LlF3KvdUiBW2x9D79XnqH78BImbQ+TzrDaWX4IWKyRtCUbVY3Hf6RYr1LT3&#10;4FZHF16J7xoL6AxjvrCAzjCMKr0Upf66EYuXBMDCerLqZKE+2NhbY+7cGbhZmwugVdmngGIvj0SV&#10;4qfARIwKMryArkB9vtPwS8Bl2E1dDCcS0I0lGEshXeDqDrsZy/Gb70kl2n3Y9UgXxxKaChtxjE5y&#10;LIw/Me6oFfeBrRVWbl6BgodFKG2uVBUVGIZhGGYkUNZajbSKdMyePwO2dsbvh27vqLiyT8SeQP2z&#10;f1DdVYe8B0XIq0pDUsJZLA71F7+vVURrYy04HChUS2ksZcKPg9dcWM/egPEBF2TKT1/Sj1pdRS18&#10;aBGj1sVFbMeIx6+1F3WNI6zn7UV+7X1Zz35YWzMMwzBvAdpRn3ZKihKDFSfJZZ19eh9qWzrMqtd3&#10;/TMgL/EiYvWNdw7xQPLOcFQ9eoJadqd+NdQPvbqhERmHNyp9qvUU0Uk0ptjyP8JDoY08iv8TGW32&#10;fdEpsv67yChMCT+Io+H+SAzzRuwgY9uvhk2Ti0oSNwWhvL4W9U9NsD0BLcxo7UTW8V3y/aV+ngNE&#10;piN4oSg/S1lIwItkPgmNT2lZPuJXzUNM6ODaMtC3KuPgetQ0Nr8joD/F/a63hjCGYcwTFtAZhlGF&#10;YtUan1Ri4aLZsLa1VJ8s1AMrG0sEB/ui4VGF2Fez3CfFXVLs5dJDOfj3oviPJkENDTmuxwbHw2b2&#10;RmhkD09j9R21100+W8PJ1R22MyIxceERnZCerot2/7ZiOh3HBL+T0Lp5GXEc3sfGxgoLA+cjszZL&#10;RteqiQkMwzAMM5KobKvB8ZjjcHJxlAktat9PQ2It6rGgsABcvnYFf135C8s3RMJzipus/ewdaUEd&#10;ic7fyG0u6ycSzkX95OYB22lLMXn+HowPilHqJ1FHfal+oj8zNjgB9uLvyl7tqvsxDFpHC/zmEYy/&#10;r5bi9ZtGoFe9xmYYhmHo3/0taKhJQ9LqeYgetKDhrTgCHzwySSfqpyBxpur+fSRtCh503DARs3SK&#10;dKhev/Q36p+ywDYYyL1f+eABkneE6ZcIoCNWkBTmhdNhCzE7Yi/+G3nFLPui90W2j468iMURW3Ep&#10;bLYUz9XGZKBEi3s5fuVclJQWoP5Zr0nez7Qoo7S8GLGRM3BVjxYNBI1Hys4wVD18hHqxXbX9MQr1&#10;z94gN+G8GDfxThzkoiRyrt+4+Cfq2rr63f4koD952q76jWMYxnxgAZ1hGFXIFV6Yl4QpPh6wtTe8&#10;O3uixURs274Wr142y7h4uc/eJ2hrf4gpmzPxL9841YlQQyMnX0PSMHHhn3CkeFJjO6zkRLAVnFxd&#10;YTM1GJbz98qJYKXHqI4hFtNpf9Qv1GbmSjgNkXhua28Ndy9XXEy/hMqOGlURgWEYhmFGGiWN5Sht&#10;KseabatgZ4QWOmrQPrymesBRYwcrq8n9zvRvg040F9BPjedMWM9aj1/9TmKsqFcowUdZeKhe06gx&#10;OiQdExYegdZFcdOr79cAiOO1c3LDorWX0N7dKGppjnFnGIb5FL29jXjZfRuZOxfjSpC7qmDxRcgR&#10;LCgpKTAzB2aP7Ouec/U0ri721is+vE90LC0rVERH1f0xn6StG/XPe1FWW4XEzUF6LWh4l8QwL0SH&#10;zcCq8LWYoIt0p6hzNTHalCDhnBYE/G9kNKwjTmBHeATixflShL3aOAwUWghC/aeLspJQ/5TEYhMU&#10;zzufyfvp2tEdiA7xVD3PryE60BW58RfEu+8FL475AjefA9dO7kPUoHvO+8jEgMKcTPlufvf+a3vW&#10;wvHtDGPmsIDOMIwqQBuSEs7BxVVj8IlUmqi1sJqMv//6Xeyn+519NiC/rB7W4Sn4rxH6n38KEpCp&#10;N/n4gIuwnxYGJ2dH6RY3quNKTg5by36ijh4zYDtzBSb6HsPYwBhdr/R06ZAfCjGd4ux/9TsFJzdP&#10;ZbJa7XgNiNL33A67/96FsuYK7nvOMAzDMO9Q3lqFlPJUTJvlAzsjLGL8EKrL7Bxs5PdZ7feHBErq&#10;0Yi6yEnUIS6ucPDxx+QFf2Bc4JV3EnsGVxPRYslxQbFym8Z2oTs4WsF2zlbkVdyWdS1PqDEMw3yC&#10;N0/Ee7IFBce3IIrEpMGIxBRhvNgLuVHHUdvZg9qOZ/2ihqkjXegPHiJxvb88R9XzHyAk/KTtW4lq&#10;6t1rRk79oYQcrGWVZTICerA9lD8kXka6e+NIeACmR/yBHyMv4f+YsJBOcfS0EGB05AX4R+zA6bAF&#10;0LffOUGLQGIjpiE/+Qrq6Dk30XYNivu8CHHLZyNmiZ4LChZ7ImHNfJRWlesEXfV9MvQufY6aJw1I&#10;3bNy0CkSdL3iVsxGWW31RwuRel42inr/kfp3jmEYs4AFdIZhVAE6cOb0IdjaWRvc/eTgSH0i7XDl&#10;0lG5n7f7bMLp5HL84JtgxP7nn4b6ZP4sflrO2w2Nuw+o16bR+33ShLHWBlqKSHXWwNFrNmxmrcNv&#10;C49IQf/nEHJbZWJUSJpRxHTaJgn2trNW6xYNqByjgbGxtURIRBAKHhWjtLlCVTxgGIZhmJEKLSyj&#10;1iaHzx+Cg4PttxW2jQ0tKKTe5uK/HT2mwWbGctlSRkazy2QewywmJOf65Lm74ORM+zXeeDpqbGDr&#10;Ngc7TuTIuhZvPq6xGYZhGAV6T97OOoer4SRQDE5kI3E5eXsYapra+mN1zYKOZ1JEz4s/h5iQQTr0&#10;+6CFBiEeyIk5pQjo5IRV2yfzacT1oBj84txMxK2YoxPRp3081l8J9QOnaHNyo28OXwG7yKP4v5HR&#10;UkhXE6mHI+Q6///EMf8n8jK8Iw5ib/gSGVWvRLbr1zee+lXHivdDfvJl1JHLmnqIq12f4Y44dnKg&#10;Xzu2U7l39EiVIMhJnXVqn9KL24wWDhkDWmBQWl6IhLULBt//vC8u/95d1MkEBCW+/XZHF16+pAWz&#10;LKAzjDnDAjrDMKoAT3Ho0E5MnDxBdYJQH+wcbOHp5Yrr12LEftrk/qj/+etXDVh9Ih//3/xY1cnP&#10;oYAmacnl9Jv/Gdj7BMkJXQ3Fun9wDoaHIkvtdBPJ1mK/dtB6zoTt9EhMnLsLE32P4+fgBDkBLMX0&#10;AfT9HAgUGT8+8DI0Hj5y3+rHZjjs6dpPcUP09RjpsFMTDhiGYRhmpFPaUonce/lYsjIUNjaWqt9U&#10;00UX007CuasL7HwCMXnuTvwacEm21aHaxBA1zrsoLvQY2HvONrIL3R429g5YuPYcep43iDqXY9wZ&#10;hmE+BQnoXY9LkbBqrh590L2koFleXaZEGb8jnJg69U9fo/LuXSRtDJACjtr5DxTqFx8bOR3Fxbk6&#10;AYgjn7+aThLRX6E4N0O6UaNDDeNEJ+LCfEC90c+FzcOSiE2wjDyJ/42MkXHoJFCrCdffmu8iL0uh&#10;/1+R0dBE/o014asREzZDxtPTwgC18/wapPO8TzwXYy/FYrXrYgJQG4DiwhuIWz5r0CJuH9HynTcb&#10;xQXXuS3DALj5EsjPSJALkQbbDiMqyA3X/t6O2qZW6Win7ZKA/rC7Ha9ePeHEKYYxc1hAZxjmI3p7&#10;G/C0+wHWrV+GyZaTVCYH9cPG3hozZ/qgujJL/KO5Re6TYi6bGu9hzrYs/Ms3XnXycyhR3OgJsJi3&#10;G1pyo5M729hu9PegyWUbnSvLThyDN+ym+MJqxkpYLNiH8YFX5DEq7ixiMII6ubtSYT17oxKZaszI&#10;egE56OztbbD/1H6Ut1ShuKFcVTRgGIZhmBHP41JUddYh6no0PKa4D0mUu3FRFgpSb3Mt1VPkNp+5&#10;GhMW/Y2fg+Jl2o5Sy6jVK4aBFiFaz1wj6yqN0XrLUxy+LTzmr0JRpRLj/mGdzTAMwyjQvMPrlw+R&#10;tSdcikJqwsUXWTpFinW5cWdR9/Q1zEoY7uiRrufc+POIDnLV27VKgmTytsWounuHo9wHi3Siv0JR&#10;juJEN1RP9D4o0j05zAvHw32xNGIjLCJPSxGdoIj0by2mk2j+L9njPArfi/92jfwLq8NX43z4PHnc&#10;+sa19xET0hfbTuL5c5MWz+Wxt7Qh/eAGPXpwv0W2ZNi/FnXt3ew+/wJ1lOTR2YPs84cRFeCsOp4D&#10;ISrABTmx51D/THxjdP3mq9t60NTTqvptYxjGvGABnWGYj6CV4C2N1ViyJBBWNhYqk4P6YWVjCT//&#10;eWhvqxf7atTtswHldbdgF56K74ew//nnUITpNPzmfxZ208OgddF+AyGdeEdMp58uznB0nyodW9Zz&#10;t+E3v9MYGxSLMcFKL3cprA9ATB8dTG6sq3DwmCnOy/gT89biugcs9sONf3LZfc4wDMMwA6CsuRKb&#10;9m6CvYONwVvqDAlSNO/rbe4MBx9fWMzfg3EBlzFWtqlJN7pw3gftZ4Ko6RxdPWRdpXq8BoBi3G2c&#10;p2HvWSXG/cM6m2EYhlHoffNEJtHVxP+pONAHKRCToJS6bw1qzVBQIrG2+sFDpOwMl+epdv4DRowv&#10;bSPz7x1SfKvrYhF9UJCI3v0SRTLOfa7BeqK/C7nRE8Km4GT4QqwMXweHyKP4PpL6jEfpXN9D1yed&#10;RHMS8P9PZLT47yv4KfI8pkQcwvbwCFwMny2j2kn4VzuPwUDjGb9qvhjfDOk8N9We5wo9qO95jYLM&#10;BJmWQQt+1M55oFAv7tjwaSjMSpLbVd8n0wf1na+6fx9pvy8T99XgUjyovUiseBYLr6eh/gX6t00C&#10;esdzatfE8e0MY+6wgM4wzEcArbhZm4O5c6dLt7ja5KA+WFpbICIyROynRf6jWdlnI9IKa/GDbzxG&#10;BalPfH4bkqSQTn3CLRYcgKPXPDhR1LlmaPqFf0yfg8tGgf6fs7M8LpvZ6/HroqNyUnpMaKoyKR38&#10;6UlpcmJZzN0ltqEx+qIAO3EfeXi54kL6RVS0V6uKBAzDMAzDvA8J6OlVGZg1b7ppudD7ItqdHeDg&#10;LurJGcsxyfc4xgbFG7S3+ddByTtJcPAJFDWUEdvWiJrKws4RIRuOovtpI9DLMe4MwzCfAmhGY20G&#10;ri6ZMuh4XYo3T1izEGWVpToX+sdCiilDMc0FaVel+DbYXvH90DiHeuBG9CkpAptV3/ihhCLFn75E&#10;UU4G4lfONbgTnejrjx4vfl4Om4Vd4eGYG7EHlpEnMDryIv4nMkb2HjdGzPu/I5V49v9X7OPf4uf4&#10;yLOyP3tI+Fb8GRaI6LDp4timSOHcEHHtElrgEeSG5K2hKCnOlfenaYvnT2W7hKqHj5CygxbA6H+P&#10;0Lsudfdy1LZ08LM7AOjdWVZTpUTnLxncIg8a88QNfiivKpNtNWi7FN9+s6MbPS9Enc8COsOYPSyg&#10;MwzzEUA7SopS4eXlCjtHw04wknvKxtYKWzavlP9YlqvOex+j93UDjsSV4f8siFOZ8BwOkJCeivFB&#10;MbCevQEad29otVZGF56/zLuRqDbQOjtC4zUHlrPWYcKivzA+OB6jpbuL+om+PR+atB4bnADbKf7i&#10;7xl3MQBdcxLQ1+5YgzIZ3V6mKhIwDDN4ihsUShpLUdZUhoqWMlS2lqGqrQzV7WWo7Sj/LHX0s71c&#10;/nmiQvzd8uYylDa93bbafhmGMTLi2SMR/cCZA3DU2A1zF/rbxBytqzvsfQJhOW87fgm4rEvISdEt&#10;7Btq4bwPZVHkpAUHoKVjlaidh74odY/PgmUorrknF4mq1dsMwzCMIqA/ba5C2pZARC8epMCx1EeK&#10;HDlXz6C+5817Aoo5QEJZTVMr0vauQnSIu+oYfA3UD/1q+DQU3UhVXKy6SGLmK5F9uZ+jtLQAiZuD&#10;ER2sf8y+GiRQUzQ6idXEmfAF2Bq+HPMjdsI54gh+izwn+6WT2P0/kdHiv9/GvZN7XPn5aUgsp79D&#10;gjkJ8v9P5FV8L35tE3kCnhEHZE/2/eFLcFm6zb0QL46FerarHetgoXuS7u30/atRcfum8hyb+n1J&#10;8eFdL5ATc0rcG/o/t3RvkQhclJOuLC7oUNkn8w6K+7/wRrpcmKE6pgOA2mekindvTUOTfN5p2zVi&#10;2/e6OvHyZQN6X7OAzjDmDgvoDMN8BNCB69lX4aixl32r1ScHB4eD2Ka9oy0OH9op9qM40IEn6O56&#10;iPADufj3MOh//jnkxK+MdT8D2xnLoHVxg1ZjMwyE9D7eTl47ubrAfoofLOduxS+BbyevaQKZ3OeT&#10;Fh6Ck4uz+PNGdGEJyDE3ffZUpFWlo7S5Ql0gYBjmqyhpKEWpTizvg0TzgoelSKoswtkb+Tickocd&#10;V3Kw9dINLDmWheC/ryHkqDpB4vciT2Zh++Ub2Bubi+MZ+bhSUIhrN4vltklM79tPqYCEehbVGWZo&#10;KG2uxPXbOfAPXQRbu2+VgPMpqO7QJeOI/9Z6zYbVrHX4zfcYxgUnyHpjqCLaBwLVQWMDY6DxnGHc&#10;+kdjhUmaqTiXSDHu3B+RYRjmU/T2Nso+6OUX9+BK4OBFjqggV6STyPH4iVlGk5OTtaQkD3GRMxUB&#10;XGUMvgbpqlzni/KaKsVVySL64KA+9dLlWonU3cvkuJLLX23MDUGsgATs5DBx/cTPC2HzcDA8BGvC&#10;VyA4YjNmReyDa8TfmBBxFv8TGdXfP/1TUC/znyIuQhNxTMayL4jYhbDw9dgaHo5j4f6IDpup25fh&#10;+pu/h27xC/28fv4wqp80yPFUHWsTo677pXi+KhG/aq5BnlmKIE/buxI1jc2KgK6yT+Yt0qHf0o6s&#10;k78r95jKmH4RcV9GB7kg8+Re1D9/e19WtfXgydN29Kp80xiGMT9YQGcY5iOALiSnXMBky0nqk4J6&#10;QII8uafOnj4khXrqDUn9zx813IXH6vRh0//8S4wKSZO9O3/zPQH7qSHQOFN/dBLSjStGfxXkSu+P&#10;T50Km5krMD7gAshJPyY0A9YzVsrfV/27BkJxn9tg77E9KG+tBrvPGWbwkBucRHISs4vFr/MfliC1&#10;thhHUvOx/kw2/Pdnwn1TGuxXpcAiIhm/Lk7CmMBEjA5IxL8WxON/P8f8eHy3KEH++Z+DkzBxaTKs&#10;l6VAuzYVPtvSEHroGnZF5+BcTgGu3S6RQn1pYxkqxfGU0fGwmM4wRqRMtj85k3QWzq4agy9u/HpI&#10;NNcl39B/k9t8WqhcmDee2siEpHyxjcy3Q7wXxfFZzdksaiAjLkbQ2mGSrQPW/34S3T0tHOPOMAzz&#10;GSgB70FxPKJCPAcf4059aiOmo6QkH/XP3/apNRuoF3RHD7JP7wNFsF81gAOY+qEn74xA1b17ste6&#10;6n6ZAUFO18r7D5BxeKMU6wYbF/01kDM9PswbSWGeSBUkiF9Hhc3CubB5OBq2CH+EB2BveDA2hS/H&#10;hvAV2Ch+9rE+fCV2hi/BgXB//BnmjzNhC3AxbI7Y7gwki22mhHkYTzTXQWNE0feJG/1lT2/Zl7+b&#10;7sPuj8bX5CDxtq0L6Yc2GiQ1QiYbLPZCYU6GWaZsGANawFD1uAFJm4MHvYCBviv0rs1NuPDewo6a&#10;th60PhP1Pce3M8yIgAV0hmHeQ4lUb8G5c4cxyWKi+qSgHpCgSg700BA/FBWm4uWLh1JIr7n7D8YF&#10;JeLHYdX//POQo0qK0SQ2LToCO+qp6eIMJw1Fuw8nIZ2cYdbQOtlB4+YpI+gnLjwErdsUox8nOeXm&#10;+c3BtfrrMoJWXRhgGOZTkDBNUezVbeXIv1+K5OoiHM/Kx5pT1zFjW7oUyn8OTcJP4t35g38C/uOb&#10;gP+Knz8EJODHwASMEv+fUHuHfchoAf3ZHwPFtsTf/56256ds80fx32NDEjF+SRJslydj4e+Z2BWT&#10;gyslhbh2qxhljUr0O4n8aufBMIx+UIJLwcNihK8Jg7W1heo319jYO9rBxs4SGo0NtK6usPdaAOs5&#10;m/FLwEVRCyXgJ+prLvh2Ee0Dg8T9X32PyaQeYyYI2dlPxoyAjbj54JGodTnGnWEY5lNQUkfHoxIZ&#10;404iupqQMRCiA12RE30SdVJsFrwjppgD1N+98s4dJG0KQrQhem6TuzLYXYq+1Q3Nuv7xZiBefhOU&#10;uOjqhkbcuPiXHF9j9EX/HO9GvZP4nSxIEiTI//chSn91cpcrf4Z6rVM0+xTD9TT/DMr964NrR3eg&#10;4tZNee+ZT09v5V4oyIiTiQGGWEwRJd5taftXo6axSQrD6vtl3oXGiZIhaGGVIoSrj+3niFnshfhV&#10;81Bamq9b3PG2/3nXiyYW0BlmhMACOsMw70ETfK9ePMTePZthacQJWlt7G7i4aPD77g2or72BxLyb&#10;+G9gMkabkIDeBzms5IQx9dVceBi2U4NlNLp0dw8nIb3PMUYRqy4u4qfanzEccrGEgy2ORR9FZXsN&#10;u88Z5iugiHTZi7y5DHFlhTiQnIugQ9fgsDwFowITpFhOIrcilCvCNwngau8oQ0Dv5nfFdYKE+nEh&#10;SZi2JR1rz13Hudx85N4tRbU47jIW0hnG4FR11EkXuoubVqa7qH17jYGdg41MJXIT+12waCGc5q4R&#10;9c6fGEPvBima9/U2V39/DDdoAeS4oFjZo11jzCQejTUsnGfjWkGRFIfU6m6GYRhGt4j/dSNKz+/G&#10;5QBXVSFjIJDYkbwlGJUPHsrI8w8FFZOH4sLFeeWnxeIqiXIGiAqPWToFMSHuyDq1T+6DxTn9oPYB&#10;deJnQXoc4lfPly5/6R5WGfuhggRxNdT+rLEhIZN6SidtDEBBRrwYM3KdUz9v82khQA7xipu1SNwQ&#10;YJCFLuSejg2fhsIbGbj5Tow48xnE/UQLqXJjz8h33GCfQVoEQw726scN/Qs8qtt6cKezEy9f0XdL&#10;/ZvGMIx5wQI6wzDvQZHqXR23sHZNBKxtrdQnBA2EvcYOVjYWmD1rCoIit0gH048hwzXycyBQb/F0&#10;jBU/Jyz8E7bTI+HkSj3SrXVCuv1HY/BtUPqVqv+e4bCytkBgWABu/JOL0pYqVTGAYZi3yL7mupj2&#10;nHul+Cs1D6F/ZcFxZSp+8EvAv30T8ENgghSzjSmWD5Q+xzoJ6f9eGI+JS5IxZ3cGtl25gfS6Yumc&#10;53h3hjEcJbQQ7XEJlm1cBlt7qi3Uv7+GxFHUDLPnTsf+vVuQnxeH0rISTNucg+8CUsR7YHg7zT/H&#10;qNBMTJ67HU5Ooj7TGqs+E3WunT0OnYjBy1etQK967c0wDMPQPEQH7uRckhHug3ULSpFE/N3i3Guo&#10;736B2g4VYcXU6RLn1daFzGO7EB3sahBxVo73Ei9cv/SX3Ecd7ePD/TIDp+OZFFFLK0uRtmeFFNGH&#10;ItJ9OCOF8xB3xEVOR/b5w6i4VSfGqFeJOlcbQxOFFgPUNLUi/fAmme6gNhZfC41bxpGtqKP3mRkt&#10;NDAqNE6dz5B+cINcWKU2rl+EvkWhnkg/tEl5J+rGngT0R93t7D5nmBEEC+gMw7wH0IzmxmosDvWD&#10;jZ0Re0O+A00C29lbwdFjJizm78bY4HjF0WSiE7N03KNCM6SQ/qvfadjM3gCtu490fL/tkz5cxHTj&#10;4OBIAr09/rryF6o6a1WFAIZhFEg0l33NG0plT/MN52/Ae3Mafg1Nwr8WKk5vU0jnIHH/34sSMCog&#10;EZo1qVh2PFu656lXOp0fuerVzp9hmIFT3lqNuIJ4ePq4w97eyG1YbK0QGBGIktt5eP2KYsg78fpl&#10;I1YcycP/LoxTfQ+YCqNEnTnB/xQ07tTOxnhufjt7CywK34WWDo5xZxiG+Ry9aEJ3UyXStwUjKnjw&#10;rk0SPDKP7pAis4xy/1BYMXm6Uf/sDSpv1iNxg79hotwFskfw0inIT4lCXZcYNzMTNoecjh7ZM7n6&#10;4SNkXziC2MgZyrUywIIHU4KEc3LxkoM6/cBalBTekM+lWfbxpoUT3S+Ql3RZvocMsrhlsRfiVsxB&#10;qfg3db1ssaCyX+Yj6jpfoOrePSRsCFCuhcrYfhG6fuKdmBd3RrwTxftQPNMU304JEy09rSygM8wI&#10;ggV0hmHeA2jB44flWLBgJmwdhi4elNw/JC6TyGzvE4DffI9jTGiKnOBUm/g0BZRo9zT8FJKM8YFX&#10;YDVvJ+y958u+oU40WUu90s1USLextYL/Ej/k3S9ESVOFqgjAMCOdvpj24seluFpaiMi/s2C1jCLa&#10;E2XfcRKk1d4twx1ypVPv9B/8E2EdmYwVJ7IRX16IcnG+5S3cyoFh9KG4kRajlGP1tlVyASK1S1H7&#10;DhsC+pbP9ZuDwtu5UtjAmydSBD4SX4r/mR+r+vybEqND02EzdTGcKClI5fwNgYOjDZx8/HDnXp0Y&#10;uybV2pthGIYRyG9MCwpPbNZPQJc9a+ej8s4/Zu2kru9+iaLsJClMGsrdTGNHQm9BRqwuVtscFyAM&#10;LTSOdd0vUFJ0Hcnblsi4/EE7Yk0IJaqd4uunIHlnBIpz0lHT0iFbK5hPr/P3kakD5UWIXznPMNd4&#10;qQ+iQzxx/cKfymIgfh4HDPXUL7qRhthlM8W1GNz7USZziPdraXGu7luiCOj1Hd14+qKR49sZZgTB&#10;AjrDMO9BPRrv3ynC9OnesHf8Bv27tXaKS9vVHdaz1knhmSY4TdWNTtCxy/6gAuoXOmnRX7CesQyO&#10;HtPh5CTOV/ZKN36k+lBB7nOtsyMOi0K/or1aVQBgmJEMOc1lvHljKS4VFmDpkSxYhifje11fcxKg&#10;1d4lpga55vt6pVtFJGP9uevIrC9WFg1wrDvDDJqylirpQnf3dDFqrUbiPPVaP3jqD7xEI9CrCOgJ&#10;OVX4STzXP5r4u2pUSJpc3OjkrDFaHeagsYW9kwuuJF4XY9eM3jfq9TfDMAyjpOHdy7uiE4UHF+NO&#10;EfBXl3oj9+ppKaKQ6KEmsJg6UoTsfIbsswcNFhVNkEuaHK/FBdmo73nFop0hIMf101eofvAA2Rf+&#10;RNyymTpx2fzc6NRvmiLrY8N9kPr7cuSnRKOmqUW6pxXh3EyfR3F9qx4+RvLOcBm5rjY2X0t0qCcS&#10;1/ui8u4/qOsWz6LKfhl1KKWD3o20YGWwzxktTIpfvQBVj54oC4rEdklAv93ZhVfc/5xhRhQsoDMM&#10;8x5AG27dzIOLqxYOmm8o6mptodVaQeM1B5MXHugXoNUmQE2LJOmqp0UBvwZcwOR5O2E3NQROLq7K&#10;+VK8u5zENV1nOjni5i6aLXuflzSVq07+M8xIhETjsuZSlDeVIbqoEBFHszA5LBnf+Sbgx0BabKP2&#10;zjB96Ly+D1Bc9Z4b0/Bnqng3iLEoF2OhNk4Mw3wecqDTz/W71sHa1lL1W2worGwsELDUH0+aa6Sw&#10;ATSgqPIm7CJS8d+AeNVn3nRIxviAy3Bwn6Is3lQ5f/2xF3WRLVZtO4rXr2kRQoNq/c0wDMNQjHsj&#10;nnXUI3VzAKJDB+/gJEE5ZWcEahqbzdbtSpBoV/34iTxXQ4voCWsWSuclCb8sohuGfjd6cR4y/tyM&#10;mMWeulj3Qfb8Hy4s9ZEuX7oHYyOmi3PbhMIbqah+0oD655ALCNTGw1wgd3Jdexeundyju54GiG6n&#10;e2KJNwrSrsp7hnuffwVdz8W7vwmpv69AdJCr6vgOhBjxDUo/uE4uAOn7jtS09+BhV7vq94thGPOF&#10;BXSGYd6DBPTqmuuwtrMyaizowLCHVmMNrYszbKeHS8F5dGgqRockq0yCmh4kpFOv9J+D4vCL3ylY&#10;zd4MjfcCaJydoaVzp8lcE+uXTvcMueF2HdmF0pZKFDdwXDPDEKVN1Ae8FGl1xVh5MltGm5Og/H2A&#10;aca0DwYS0v8tznlcSCJC/7yGdDEWFS1lUkxXGzOGYT5NZUcNrmRFwdlFI5Nf1L7JhoAWUzqKnzkF&#10;yaJGbBc8QWPjfczYkoV/+Zq6gK4kBNlNDRV1l/HqLRs7G8wJXIaXL6nOZgGdYRjmU/S+eSKj3Msv&#10;7UU0RSAP1jm42Fu6fIty0mQf6o8EFrOhR7rsSyuKkbB2IWJCBx99/yExwe5IWL0QJRRfLOPcWcAz&#10;CNQb/TlQ09SKotxMpO1fLcbbR147EuxMxZVOAi/1lpb9pZdMQeI6P1w/fwglpYWK41w8d3VdimvX&#10;rKF0ga7nyEu4KMbE22DtFKKCXJF+aCNqm9vE88fu86+B7j1apBK/eu6g49sJ6t2fG3sGdR1iu7pF&#10;RORAb33Wwu5zhhlhsIDOMEw/9A9WchdlZkQZva/mVyHd6NbQeEzDpPn7ZQz6aHJxm3Cs+7vQgoBR&#10;oekYI36ODYrFL35nYDt7veyXTlH2TnIhAbnTxRgM86h3msT3nuqBtMoMGTGrNunPMCMJcp1XtZYh&#10;914J9sTlwGVtKn70V2LNzdVx/iUo1v17vwR4rE/Fqax86cinBQZq48cwjDqlTRXIe1CIiLXhsLYx&#10;tgvdErt2b8KL5w9FndiINy+fIORADv53QZzqM25SiNrLat7v0MpzNU7da+dgDa/pc1BeU6+Mn0oN&#10;zjAMwygATWiszYQUFfUQE0mAyvx7u3SGmrWDmgTZZ73Iz4gX5z0FhuyvTVHU5EQvKcmX/Z1V988M&#10;CnIt1/e8VoT0vEyk7luNuJVzZOS0TBMYjq50cpqHeiquXnF8FG9Nx52fGo2qBw/FeXXLc1L6Rauf&#10;t1mhe/ao3UHc8tl6pWa8S0yIp3zuyirL5Hiq7pv5JDdfADnxFxAd6KI6vgOC7vXFnigpK+5/95F4&#10;Xifoecn9zxlmpMECOsMw/cjelr0NuHzxKGztbYaPgC4hEdkGWmcN7Kctxm9+ZzA6NA2jg83Dja7w&#10;tlc6TejSryf6Hof1rPWw9QmExmMqnJwd4eRoAY0U1L9Bj/ovYG1jISNlaXKf49uZkU5ZUykqW8pw&#10;uaAQC/dkYHRAouxzbi49zvWB+qOTA/+3pUnYHZMjxqoM5WKs1MaRYRh1qjrrcDrhNFzctEbthW7n&#10;YINpM7zx8EGpXGhJIvD2swX4bmGcyS8EopprvP8FaFzdjLZIkfqgOzi54ugFcvE3q9bgDMMwjAK9&#10;JynG/druJXoJUiQkx6+ci1ISoShGWieumCWdz1HX9RzXL/6tOIIN6GImQTdxczAqbt0E9RVW3T8z&#10;SHqU+G+K6Ba/LisvRNaZA0jevhRXl3ghKsDZ4Nfza4lZMkXGkvcdS+I6X6QdWI/cuLOoqKuSx62c&#10;w0uzj2r/EBK3y2urkbQxULlOKuP31SxVxjsn5pT5v7eMgbgXKQEh88hWuYhKdYwHAH0/krcEo/LO&#10;HZnyQdsmAf1OZyf3P2eYEQgL6AzD9EPiObnQT504MAwF9D7slF7h7j6wmLsDPwcnSDe62qSoaUPu&#10;ekVQ73OnT/A/i0nz9sBi5mo4TvGF1s1DceYPEyHdUWMPrYsjLmZeRmV7jepkP8OMBMh1XtFahpw7&#10;Jdh06Tom6fqck2is/ryPXCjCfowYl+UnspH3oATlzSyiM8xAoV7oBQ+KEBweZFQXOtWDJKLHxZ6W&#10;zkAS0M8nl2OseHZ/DFR/tk2F0cEp4jzi4DA1SNRTxuuDbmFrj3U7DoqxaxW1tnodzjAMwwjePBHv&#10;yQbUJR3D5YDBCyBEVIALbkSdQH33c/N2oQuk67exWfbWjg52M7iInrx9iSKikxuT49wNjBhPcX9S&#10;VDc5mqvu3UVBZiKyzx9Byo4l4hr4SNc3ibQk7JGoLR3qdI31vc5926BIdrFdirym/ZCIS/cRtUJI&#10;+30Zss8cQF56HMqqSlHX1imPU95z9FyNwPuh7ukrVD94gFQxNvR8qI7tIKCxT9u/BjVPGvv7bjMD&#10;h+7LsupKxK+cI3vIq43xQIgOckPWsV0yQp8WKNG2q8Vz+uRpG968eqL+7WIYxmxhAZ1hmH6oL+PL&#10;Fw+we+d6KaCrTwIOE6g3uvhpPzUEv/mfxU8U6S5d2+oTpKZPkq5neiZGh2ZgfGA0fvE7iUnzfofG&#10;zVv2iv/W/dJp8j44IgjXb+WgrLlSdbKfYcyd0qZS2df7UkEBZmzPkFHl5DpXf64Z4sfABPzXNwHB&#10;h64h736p7BWvNrYMw3xMVWctjlw6IhNq7I3YC51a+0SGB+PNq0dSRM/Mr8WkpSlyEYzac206JGFM&#10;SAqs5m5XFiWqnLshsLSxQkjESnQ/bZKJT2p1OMMwDKMAtKH5VjbiV8xEzOLBR1mTGJi0wR+Vd/4Z&#10;EVHI9d2vUPnPbaTsCgf171Ubk8FCYio5oytu1fdHGjPGgXqHUww1CdSVd/+RfcXzU6KQdWI3krct&#10;RmzkTOW6SNHbWxHVSVwX17yfPrG9j0/9PomMJMaH+eBqxHQkrvdD+oG1uHHhMAquJaGsqhxV9++h&#10;rrNHOSZy45r5YpQvQeI5CdyZR7bINgeGWqxCPfDjV81HeW0V6nWuZ+YroEh9MW4FWSnKIiKVMR4o&#10;FP+em3gFN5/TgiFl+9VtPeh43gy8eaT63WIYxnxhAZ1hmH6kgP78AbZvXT38BXRCS250cZxu3rCc&#10;txNjg+MxOoRi3c2jN/rn6HOm/xSagQm+x+EwxQ9aZy2caDykmD60vdLJnWZra4X9J/fLSFm1SX6G&#10;MXfIdV7wsBS7onNgFZEsI8o5rn1gkIv1B78EhBwmEZ2d6AwzUMiFfuOfXMxdNFuK3GrfaENg62AD&#10;b2931NXkiHqxGfX/3IHDyjT8xz9e9Zk2JUaLeupX32NwcnEyWv1ka28J7+nzUVBaKRcgqNXhDMMw&#10;jAK9J19030bekbW4EqiHELLUR4qF+clXQBHnZu+U1fVkLquuQOIGf6WXttq4DBLaHovoQwi50p8q&#10;rnSKea9pbkPVoyeo+OcflBbnIi/hPK5f/BMZRzYjde8qJG4OQeKmYCRuDELC2kWIXz1fYdV88Wtf&#10;8Xvi98XvJW0ORdr+1TKt4Pq5g8iLO4Pi/CyU376NygePUN3QhFpymffv+6U8FtVjHGHIsWjpkI58&#10;eh5i5OID9efla4ihd1Wop7imF+W483h/PdKx39KOa8d3yQQFtXEeCLSohJIXioty+mP0Kb79Vkc3&#10;nr1sZAGdYUYgLKAzDNMPRXI+67mLVSuXmIaALrGXIrriRg992xvdrN3o70Ni+tjgBFgsOAibaUvh&#10;6DEdTmI8nDSWQ+ZKt7WzxrTZUxFXEI+K1mrVSX6GMVsaSlHVVoaM+mIEHbqGUYFKr3NT7w081Cgi&#10;eiJCDmUh/2Ep90RnmAFQ3FAmU192HdkJewdbo7XfkTHuojY8+vceUS92oKvrEZzXZeDffmYgoIek&#10;4peAS9B6zRF1k3EWIThqbGDl6IYLMXFi/NpU63CGYRjmLfStuZ11DtGLvXCVIqtVhI6BQC7blB1h&#10;qGlsGRmRyB09uPkcKC64jrgVs6SrVW1cBksMieg7lqKcRfShRVxXun9JwJVQ33HqOd63KKStW9Cl&#10;/GzpQOXtmyivEv+eqhJ1YmWJ+PUt5c+10p/R/bn+7T5Tttf9qn/bsp9537YZiVyE09yG7HMHER3q&#10;qdd76X18pBh/7egOuX05/ir7Zz4P3bsVd+7IRSMyWUF1rL8MXYvU3ZEyol8umBDbJvf5g64OvOb+&#10;5wwzImEBnWGYfkhAf9p9B0FBC6XTSG0CUF9oAtY4k7t2Soy5+xTpRv8pJFlOiKpNlJon1C89Vbqo&#10;fgu4gEnzdkkx3cndB9ohENCtrS0QvjYMZS2VcjJfbZKfYcyRksZSVLaU4WJBATw2pOK/fgkm3xP4&#10;W/JjUCK+903AqlPXUSrGtrSJ3ycM8yVIQE+tSMOUaZ5wMGKMu4X41i9e7I/Ojn9kzei7Jxv/MQcB&#10;Xca4p8J65ipl8aHKueuPPSZZ2eDQ0WNSFOI+6AzDMJ+H0k46xb8r07YEIipYHzfhFMSG+aDweqoU&#10;CD8UXcySjh4ZWV94LVEZA1qE8MG4DJqlPjK2+r2e6NTDW+04GONCArfkmRS8pRDeBwni/bwV3PtQ&#10;BHKdSC6Fcr6Gn0MuXhBjeCPqOGJCPeR7RfX5GAQUN560KRiVd++gjhelDBq6PkXZycrCBj1i9Sm+&#10;/dqJPbokAOW5IAG9qadV1O/sPmeYkQgL6AzD9NMnoAcHLzKagO7sooGDxk463I0ipGus4eTkCNvp&#10;4fg14KIiKo8gNzpBjvQfQzMxVpz3b/5nYDtjhU5EN46QTtdT6+yIA2cPoLK9RnVyn2HMkbLmUpQ2&#10;lOKPxFxMCk/Cd77sOjcEPwYlYKz4+XtsDsqbylAixlht/BmGUShpKkfho2Ks3rJCJsKofasNgZ2o&#10;DT08nJFz/aoUgTcdzccPlLZhBq0qqG6aOH8vnJzFuRrJxW9pNRkr129FF/VBB/dBZxiG+SxvFBG9&#10;7Pxu6fakiGM1sWMgUJxv6u/LZQT2iHChExT/Lc41N/68EmW/ePCOTDWUnugkorMTnTFzxHNU3/0S&#10;uUmXERs+TS9384dQbHvsslkoobjwZ/wcDRp63wmyTuzWLRga3Peib8FVXkqUuB5v49vrBV3c/5xh&#10;RiwsoDMM0w/1GuvqvI1582bISVK1yT99sHOwxdIlAfjz0E7MmTsdtvZWcNRQxLj6nx80Wjs4UQSn&#10;+zRMmr8fPwUrbvSR0Bv9XUbTeYemw3bmCmhlT0/jTAhTz9WpM6cgvSoDpU0VqpP7DGNuUI/u/Icl&#10;WHnyOn4W75b/+CWoPofM4PivfwImhSfjUkEBKjjKnWG+SEVbNS5lXJItbRw1xvneE5MtJ+P48f1A&#10;byf+ii7F6MBEjDIDAX2UqBMn+J2E1n2KqCONs4jUzt4C0+cFoeZWrRSF1GpxhmEY5i1AC55UJCNu&#10;2QxE6yEAk+AVGz4VBdcSZU/nj8QXc6XzBeo6upFz5Zh0jRvSNUv09URX4txfqx8Dw5gw1Hu+vvs5&#10;8pIui3ue+pQbMM2BnkdBXvw5KdD3uZ2Zr4cWC1U/aZA9/mlRgup4DwD6uwlrF6G8tvK9+PY7nZ14&#10;+aqB49sZZoTCAjrDMP2QgN7RfhPePh5GEdBt7KyxLDIEXR238PBBOdatWwmtswYaRyvx+4ae7NX1&#10;Rhfbt5sWhl/9z+KnkDQpKqtNnJonyRgbFAcHj2liLIywUEEH3StLVoRKB1xxIwtdjPlD/c6v3ymF&#10;/x+Z+NE/ET8EqD1/jD6Qk/8/vgmYuiUN2f+USLe/2rVgGEaBWqhk37qBgCV+sLY1Vgy5A6xsLLF4&#10;sR9aG6uQlHsTY8SzOirQ9BcQjQ5Jws/BCbCb4gutkWLcadGotdYLOQXXRc3NfdAZhmG+RG9vA16/&#10;eoSsPeGI0lO4ig5yRcafW1DX1ikdpR8KMOYKxdbXNLci+/Q+6cw0uIgu49yXKk50dtAyZoQUUFs7&#10;cCP6lFyAY9BWCAJ6dq6d2C320Snjx9WOgRkYdU9foSgnFbGRM/RK26BFQSl7VonrIb4R78S3P37a&#10;zu5zhhnBsIDOMEw/QyGgR4QHob21TuyrG6U1N+HodwC27nPhRG4f6ZJW/7uDxx5ajZXSG33uDjk5&#10;Si4jtclTc4Oi3Cct+hsaFxcxtsYR0Pt62v99+QhKmytQ/IQFdMZ8KW4olW7o5OoizN6Vge/9xPvE&#10;DJyXw5VRQQn4wT8Ra89cR1ljmRx/tevCMIxAPB+VbTXYd3KfjHE3SpscAbVtcXJ2RFVFOm4/eoJx&#10;i5PwoxkI6MSo0ExYzVyh1KQq564/9phsbYO4pFhRB3MfdIZhmC9Bbr9eNOLO9YuKA12PGHfpQo+Y&#10;juKC7JHlQhdIIbC5DRl/bpILCfSJw/8IiocnJ/o2jnNnzAfqG1/b0oHsc4cQE+KBqwaMbSeixHOY&#10;+vsyVD14qPTaVjkGZuBQAsa1k3vFtXJXHe8BQe/Fpd7IuXJU5z7vkfHtdYIOjm9nmBENC+gMw/RD&#10;Anpnxy2jC+htLRRd2YasknqMC8nEGP8rsJq9CVpXN2gpet0YQrrGRvYBt58agt/63Ohm3ht9tDhH&#10;m9nrjdr/3N7RFl7ifkmrykBZc6X6pD7DmAF94nl8eRE8NqTh3wvjud/5EEBR7hOWJOFCXgGq23iB&#10;DsN8jsr2GsTkXIXPDG/Y2RtLBHaAhdVknDt9AM3tDzAhPBU/BJiJgC7qJsv5v0Pr7GSkRZ0OsLK2&#10;wJ4Df+Hly2ZRC3MfdIZhmC9BcxRPm6uQssFXrxh3IirQDRl/bVN6oY8wxyc5NCvu3kXq3pWyJ7w+&#10;ixHUIOdm0nsiOsdRM6aJTG1obEb2mQMy0tsYrQ8SNwWh4mYt6p9y6wN9IbG76u4/SNoSKsdWbcwH&#10;Ai2yioucgdLS/P7vA7nPb3d24eWrJxzfzjAjGBbQGYbph/5xWlKYCld3ZymMqk386QPFfu7etQEv&#10;nt0T+2pF9I0q/O/8OMURHpqGCb7H4eATAK2zgyKkG1r01drJWHeN2xRYzdsh481JZDbb3uhiTG2n&#10;+CkOfLXxMAC00CI4PBC5d/O5/zljtkjxvLkMVwoL4b4+Df/xjVd/5hij8O9FCQg4cA35D0rFe0b9&#10;GjEMQ++qMpS3VGHZhghYWVmofrcNga29DRYHL8Dde1Xw2Xgd35uJgE7JPb8FnIOjm5eoGY2zAMHW&#10;3gqBS9agueWuqIUbVetxhmEY5i0U4/7m1SNUXtmPK0F6uAuJpT6IDfNBcXHeiOzZTc77ijt3kLxt&#10;sV5C06dQ4tz7RHQxvtzTmTElxP1Kiz+q7t9D5pGt8hkxtHhOgnz8yrkoKbzBC00MxM3nQH7aVXGt&#10;vPRaGEQR/Ymbg1H9pKlfQCcH+oPudtVvE8MwIwcW0BmG6YcE9OvXrsLFzckoArqltQX+2L8Nr18+&#10;BHqb8VdCGf5nfpwyaRmchNEhqfg5OB5Wc3dA4z4VTkZxo+t6o5MbfYofJviewE8hKWYX607nM8H/&#10;lFwsYKxJYMLWzgqHzx2W7nOauFeb0GcYU6aksRSVLWU4lVUAm+Up+M43gZ3nQwzF5I8XP09l58uF&#10;DGrXiWEYhaqOWhy5+CecXDRGqeUIinF3dXNEeXkOgvfmm42A/hMtqAxJhr3nbGg1tJBT/fz1wd7R&#10;Gm5TF+DBoxpRdzer1uMMwzDM+1B6XfOtbMRFTtdb0KI4Zooyly70EdQLvQ/qU15WXYHEjQFGEtE9&#10;kLRtMcoqipVoahbRGVNAiuevUV5Xg9Q9K2QUuMHF88VKG4mCjDjUU0R4xzP1Y2EGTsdz1LV349qJ&#10;PYgKdFEd94FCixuyTu1FbVvne9+GtufN7D5nmBEOC+gMw/RDAnpOdpxRBfT9+7ai99VD4E0jtp0t&#10;xP9dpAjofYwOTsbo0DT86n8BNtPC4UR/1yiTmNQb3RpaFzdYzdqAcUFXxX7TlcnTd47HVBkVmoHJ&#10;83bDyVljtBhSmkB383BGbG4cKjtqVCfyGcaUKdHFtpN4brUsBd/5mYtIZHr8V4y9775MFD0uRWmj&#10;+vViGEa8t5rKceN2LuYsnCV7oat9v/WF+qs7amxx4vghrDpCArr6c2t6KAK63YwIaGXtZPj2Nw5i&#10;3BycXVFbXyLq7hbVepxhGIZ5n97eRrx8dh+FJzbjSqCbqvgxUEgUiw2fhqLrqbo+tx8IMuaOzmVb&#10;VlWOxE2BUjRSGyd9IGE+Yc1ClBTl6kR0FgqZYUznc5nOUFxwXT4TlKRg6BYHUoxf4oWc2LPS3TwS&#10;F+8YA3qXld+sRdIGf0SHeqmO/YAQ15sWVxWJe0B5Zynu8/qObjx/1cACOsOMcFhAZximHxLQc6/H&#10;G11Ax+tH6Hn6BOEHc/HvT0QhUx/KMSHJsJj3OzQeM5Toda0RnFRim05i2w5e8zB5wQGMlU74FHEM&#10;piyki2MPzYDVjFVi3CzVz9sAkPvcf7EfMmuzUNbC/c8Z80KJbS+VrmfrZSn4D4vn35QfAxPxy+JE&#10;nM/NRzm70Bnmk1AaDH2Tl29cJtuskNit9g3XFwdHG4QG+2LXmQL8EChqJ5Xn1iQRNaD1vB3QOjuK&#10;8zT8AkS6HvaOdohLTJYO9N433AedYRhmIAAduJsXJYUofZ2h5JJO2b0ctc3tI1bIIsGwpCgHcSvm&#10;SOFIbZz0oU9EL87PUty2LBgywxDqd17b1oX81Bj5LNC7Qe1+1gt6Z4ntZp89iLqOnpG5cMcY0GKg&#10;p6+Qnx6nW/SgMvYDhPqfJ6xdgIrbt2QSAW2fBPSH3e14rfI9YhhmZMECOsMwEprAIwE9LeUSnF01&#10;sNcYftKQBPS9e7YAbx6irf0RFm7Pxnd+n+4lPDokGT+FpGF8wGXYzVgGrYuTIqQb3BFEbnQraJ2d&#10;YDdtCX71Oyvj5Am14xru0AKA8UFX4TDFDxqN8QR0S8tJ2PX3blR21KKoQX0in2FMEnE/V7aW4fT1&#10;Ap14zj3PvzWjgxLxY0AiIv7OQlVrOfdCZ5jPUNpcgbOJZ2SMO6XFqH3D9cXe0QYzpnthz6lU/BiU&#10;bDYCOtVQE32PQ+OsNU6Cj9Yedg622LTzIF69ErU39fZVqcsZhmGY9yEX+ouuW8jeG6G/C52ilMOn&#10;oiAzQdeHWEWcMXdIyOt6jqLraYhbMRvRIYZ3opNoSNsuSI9FXecz1HUrfYUZ5puji2yvfvwE2WcP&#10;SAE12ghpDLTdmFAPZJ35AzUtnfwMGBBy8tc0tiDj4Hq9FwFFB7vh2vFdqG1u7V9UVdPeg7bnLew+&#10;ZxiGBXSGYRT6BPQzJw9Id4wxJlwtrCxw+PAusZ8neNx4H55rMvDfL/bNVHqjjw1JwuQFB+HoOUs6&#10;xo3lRpcCvZsnrOdsxvjAKzLWnWLl1Y9teDIqJB2/+R6Hk6u7ccZJ4OBoB2dXLU4nnkF1Z53qBD7D&#10;mCQ68TyhogiaNan4ty87z4cL1GfZclkyTlzLR1ljGcpb2InOMGqUNlfi+q0cTJ891SiJQgTViV4e&#10;WoSs3YdRwZTco/7cmhokoI8NjILG1UMX465+/oPHHrb2NghYsgLPnj8UNTEL6AzDMAOFeqHXJR1F&#10;9GJv/V3owe5I2bEUVffvo44iez8QZ0YEUtR+iaIbaYhbTiI6iVDTPhorfSBhPjZyOvLiz0un74gd&#10;a2aY0C2F1/qnr1FeXaH0Ow/1lItq1O5ffXhXPK9t7WDnuYGhd0n5zXr57tLve+AjBfSCa8m4+QJy&#10;2zK+XdDzohF480j1e8QwzMiBBXSGYSR9Avqp4/uNJqBPspiE+PizYj9duPPgDjSRqVIQUZvA/Jgk&#10;Ges+PpDc6Mvh5KKVPczV9qMf9v1CuqPnHFjM/x0/B8fhx9AMeQzqxza8GC2OddK8PcpCA9Vz1B8b&#10;WyvM852DtIo0jm9nzIqK5jLElxfBfUOajG03m1hiM4G+GeNDk7Du3HXk3Vd61KtdR4YZyZQ0lqPw&#10;UQnWbl8DO3vj9UF3cbaBx7wlcuGe2vNqilD60digWDh6LxK1oHEWH9iKazJrwQK8eP5A1MSNqnU5&#10;wzAM8zH0zuxpqUbapgD9+t0KYqjnbagHchMu6Hre9nwk0IwIOp/JiPWinHQlzt0YLtzF4loJyOlb&#10;09LGIjrzzaiTiRPdKEiPQ8KaRYgO9jB4v3Oi7/3yVjxn57lBoQQN8e7KjTurvF/0uIb09xPWLUJZ&#10;VVl/IklVWw8eyfj2J+xAZxiGBXSGYRT6BPTTJ/4wmoA+0WIiUlMvi/2IguSf2/g5KBGjBGoTmJ+C&#10;nEHUG33SwkPQeC+AVmttNJe1RmMNJ2d72PkEYNKCA2K/iht+OAvpcuJX/KRFBhqNlfp56QndH1bW&#10;FlixcRkq2qpRrDJ5zzCmCImxmTeLMWVTGr5bxM7z4coPgQK/RMz/PQPJVUWoFNeNetarXVOGGanQ&#10;9/lC2kU4OtrJ77ba91xvRJ1k6zYD4wNjZP2h9ryaGqNFjTcmOAH21DrIiAK69zQf3L9fK2tvtbqc&#10;YRiGUUE3Z1EZ/YcU0GNUxJCvgcTihPV+qPjn9siNchfUdTyTjtyCtBgpRMXouThBDdm7frEnMo5s&#10;0bn+X4/cRQvM0NP5XN7jlffuIvPYLlzVucPV7lW9WTpFxsEr4nkn6rrYeW5oKGa9pqkVKTsj9H5f&#10;RQW6IOPwZtS2dcgFReQ+r27rQduzFnafMwwjYQGdYRjJUAnoKSmXpIBefPMW/u0bL/vaqk1gfg6a&#10;3CSX9bigaFjPWguti7PiRjfKBLHd2/7oU0NkX8yfdEL6cJwspgUG4wKjoZ2yUIyHcRzo8t7QOmD/&#10;iX1K/3OViXuGMTXKm0tx/U4JFu7NwH992Xk+3KHFV98tiofbhlRcyi+UyQEljerXlmFGIuVt1Uir&#10;zMCsedNhZ2+kRBottXNxhdWiAzIlSO1ZNT2SMEbUUlZztsk0ItXz1hMHjS2cXJ0Rm5AkauJm1bqc&#10;YRiGUYfemx2PS5C4aq5BYpcpujfr7AHUdiiijJpYMyKQ596N3PhziF3qo7fDXw1y5VJ0fuquZaio&#10;q1Wc/53PPj4WhjEU5FQW91md+Fl0IxXJWxeLe9BV7xYQn4Rj24cEGtfS4hzELZul13dALuxZ4oXc&#10;hIuof67Et5N4/k9nF569bGD3OcMwEhbQGYaRDJ0DnQT0bly9XoX/+A1OQO9DusFDUjBp0V9w8Jqn&#10;THQaK7acYt01NtC6usJ+Whh+8zsund6jQjOGVY90GpNfAs7DxZ36nxv+GhI0Ee89zROxeXGyz6ra&#10;xD3DmBJlTeLn41KE/ZWFH/wSvjoZg/k20PfjP74JsIpIxpGUfPGP3TKUsojOMBKKcS9pKMPG3zfC&#10;0mqy6vdcb0S96OJkA5vZ60Q9lKn6nJoiVNuNX3RM1JVURxl+caaj2K6dowP2HfxLCkG9b9Rrc4Zh&#10;GOZjensb8ebVY5Rd+B1XgtxVRZGvgfoUxy2fhbLKshEfLU69oWkhAYnocmwWU5y7YXuik8OdFi0k&#10;bQhAcV6mFMJYZGSMAd1X9c/eoOJmHa6d+F324o+hPv96xH1/DhJyafssnhufup7XcpxlioAe15Ou&#10;V8LaRaiorRTXS3n/k4D+sLuDxXOGYfphAZ1hGMlQCehpaSSgd+F8agX+65+gl4CuoLjBxwVdhfXs&#10;NdC4ukvHuDEmPJX+6HZSqNe6usBuejgmLPwTPwcn4MfQTOmMVz/GIYQWFCw4oBPPjRPZSv3PFwUv&#10;RGlzBYobuP8wY9qQa7msqQybLtzAaIoGD+TodlODviWTw5JxKClX50Tn9xLDENVd9TgafUwufDNW&#10;jLtWYwHbqcH4OYRqIFOJcafaMVmm9pBzflRouhTNJYuvYYz4OdH3GJxcXY2yGJGuhZWtLTZu2yFq&#10;4hZZg6vV5gzDMIw69O5svpmNuMgZ+jtJl1JkuSfSD26QotdId0STiE5u3byEc8rYSBFdZdz0hISr&#10;2IjpyIk9K/fHfdEZgyHup/pnvahtbkN+RjwSN/jL5AOjuc4F0gW9xBtZZw+ihsRzWoyidmyM3lAk&#10;fuXdO0jaEoLoEP0WUdHfT9u/TraxqCVo+4JWjm9nGOYdWEBnGEYyVAJ6ejoJ6J04HFWqCOiqE5tf&#10;z+jgFPwUmiYnPB18/JW+lcbqjU6QkK6xgpOLFnZTgzBpwT6MC47D6JA0OSn7LfqkK307k+A4e7XO&#10;NaVy3HriqBH3hqMtNuxeh9ImFtAZ04b6Zle2lOPPtDyMC0nC9wEsnpsqdO1+DU3C1ss3UNrIce4M&#10;Q5S3ViG+IB4z5kyTfbfVvut6Q+k8ntPxq/9ZjKJkIJXnc+ig2ksn5EuBXBHJFaj1DpEmfi8VvwRG&#10;Y6LfaUxe+Ccmz98Li7nbYDFrAyymL4fttKVw9JoPjbNWnKNxFh5YWFtixaploiZuYwGdYRjmKyEX&#10;+qsXj1BydicuB7iqCiNfBYlf4VNRdD1FEd7eEWtGIv0ievx5MT7G6YlOkPufHKTXjv+OqvsPZI9q&#10;7ovODBpaiEGJBuL+LSnJk4ti6P4y1v3bBy3AoedEWQyiPD+qx8cYhJsvgPy0q7i6RFxXPRZFKAsq&#10;piAv8UJ/WgC5z293dOPlK67NGYZ5CwvoDMNIhlpA33S8wKACOiF7o4ek4Wdyo8/ZpLjRZay7ccRk&#10;yTtCuoP3fFjP3oRfAy7KPuk0QSsna+VkrvoxGxKKkh8TnADXGb7KAgK149UTui+cXDQ4m3RWOtDV&#10;JuwZxlSoaitDTGkhrCKT8R+/BPH8qD9bjGnwvfim/BSYiO1RN2Sce0mD+nVnmJFCMS0maShD2Oow&#10;WFoaKcbdyV7WQBMWHpIObrVn09BQvfNWHFdqLUrgIfGc3uNjguPFf8fjF1GPTV70F6zm7xb12UbY&#10;zlgGW58g2HjNh4PnLGjcp0ArakUnF2c4iXNxEjWjk+Nk6arXaGjBgXHEc8LS2gKhiwPQ8+wx0Nug&#10;WpszDMMwnwZoR2NtJhJWzjFIv+7oEA+kbF+Cyrv/oI6E3A9Em5GGIqL3xbkbpyc6EbN0CqKDXJGy&#10;MxwlZYWo73nNAiTzdUjh/JXgBSr+uYnsM/sRt2y2uK/ccFXcX2r3naEgB3PcijnIT4uR++fYduNS&#10;1/VcJgtkHNkq3xtq12SgxCz2Qvzqhai8d7//nVMjeNzdzvHtDMO8BwvoDMNI+gT0MycPDImAvvav&#10;fIML6H3QhCpNpP7ifxb2PkHQin1LId2IE6FSSNday31p3LxgP20xJi78E+MCr2AsCfsUD2psMT0k&#10;GWMDr8LRzcNoArq9oy28p3riWv11lHH/c8aEKW8uQ9btYkzbmi77aKs+U4zJQd+VCUuScSQ1D5Wt&#10;7ERnmOrOOuw8shP2DrZGjHG3hOXszTIJSO251If3o9YzxD7SRV2VIBdLjgu4jJ/9z2O870lYzt8L&#10;21nrYD99CRy8F8LefSocXd2hcXGB1lkr6jNHODnZwYlqNXG8WhLI5SJLSiwSNa9cbGnEOvEDbO2t&#10;4DN9OoqLc0Vd3KxamzMMwzCf4c0T9L5pQNGpbQbphS5F4iBXXL90FHVPX474KHdCikod3dKJHhve&#10;57RVGzs9kX3R3RG/ai7yU2NQ19aluNHb2Y3OfB5a7EKiddWDh+I+PSf7WSuucyPdq/0ovfwpHr44&#10;75o8BinuqhwjYzgoIaS0rAhxK2Yrsfmq12Zg0D2S8ecW1LZ1o67zuRTPaR9dz5tYQGcY5j1YQGcY&#10;RtInoJ86vt+oAnpG+mWxnw747chW3IIqk6WGQHGjp+Ln4HhYztsNjcc0OGmtdBOk6sdnGOyleK0I&#10;2PbQeM6E7YwV0pn1S8AljKVJYOqxaQQxnSaYLX2PQOvipEwIqx6fftAEfNBSf+TeK5AR7mqT9Qwz&#10;3ClpKkXho1KEHrqG7/0SMCpI/ZliTBOKc5+0NBnHMvOliE5R/Wr3AcOMBCjG/XzqeXhOcYOdAy0m&#10;VP++6wOJ0Q5TQ/BzELWy0a8P+rti+ajQaxgnneSX8KvfSfy24CAmzd0FuxnL4egTKGqs2dC4uIpj&#10;ELWXrL9oMSOh1GGyFntPHB86gfxL2DuKa+Hihtj4WFEXt6rW5gzDMMznoV7ojfVZBnOhkyMxbvls&#10;lOqc0B+KNyMRxYneg4KMOOm0Jae+2tgZAhp/4trRHaj85xbqn73hhQyMKiRYU5R31cPHyEu8jKRN&#10;gVIQlT37l/qo3l+GIoYWfIS4IWVnBMprq1BP/ft1/bMZIyLeBfQuun75qN7uc7pHSIAvzE5RFj6I&#10;7ZKA/k9nF169esICOsMw78ECOsMwkj4Bfc/vG+UEqzFcSlJAzyABvR3zt2YZVUDvg0TqUaHp+NX/&#10;HGxmrJAxncaO5XyL2AdN4JLTyVn82ms2bKeFw2LuDkzyPYpxQfHSma7Ej1IMKU069/VP/xD181NQ&#10;/gzF17v6bYKLi4PRXGa2dtbYfnAbip9Q/2juf86YHiSmVrSUY1d0joz7/iGQ3efmCDnRbVek4GJe&#10;gbje6vcCw4wEShrLkX+/EPP95sLG1kr12643JFR7zsC4gEuyplF7Jt9HV9u8F8OeJmuiXwMvYfKi&#10;I6JW2onJM9fCzidI1E/zoHX3lg5yVfd4vzg+FLWdYXAUx21t74DT507JulitNmcYhmG+ALnQ0YDC&#10;E1sQReKZmlDylZATOm3fGlQ/aeyP9R3xdD6XImFRTrpcYBBjRBGdIrfJ2Zu8NQSFWcly/0osNrvR&#10;RzwU1U734nOg6t5d5CZcQsquSBnVTgsvjC2cEyS6Rod6IOPPTai8fw91tNBGHJfq8TIGhd5BlQ8e&#10;IGlTkLwOatdnoND9krQxQMa39y2WIgG9uYcXtTIM8zEsoDMMI+kT0DdtXA5be2ujC+jzhkhA74Pc&#10;TGNCUjFp4WE4ei8cmlj3d6Hx1CixodRnU+vmCXuvebCZFib7plsuPIBxgVHyWN/2YVYmlxXe9vl8&#10;F9nzU/dnaPLZaVYonJ2M4zCje4Ii3C+kX0RFW7XqRD3DDHeq28twqaAAVuHJ+K8fi+fmzHfi+npv&#10;SkN6bbGM7Fe7HxjG3KHFbuWt1YhcFwE7e+MskKRaiuoqilInEfzj55EW+VGd0le70GJBUe8EJWCC&#10;3ylYz90BmxnLYT0lAI6eM+Dk5g4nZ0c4SbHcUln4SGK5CQnkX0Rch0mWljjy90FRF3ep1uYMwzDM&#10;l6E2GC23byBu+Uy9RRWJdCZ6Ii/xIqinMYtjOjqeof7pSxTdSDe6E52ghQxXl05F9pk/UP3oiRTP&#10;SDxVPTbGrKHrrkSkvxD3wiPkXj2DpK2hiBH3iLxPVO4fY0D3fGzEdOREn0BNUyvqyHmucryMEaDF&#10;E+L6F6THSvFb38USsl3HuUOobeuSC4RIPK/v6EbPy0bgzSPVbw3DMCMXFtAZhpH0Cejbtq42qoB+&#10;LeMyXvW2wWpZqozZ/XiS1XhIh3dIKsYGxcFq7nZo3H0UEV0K6erHbBRknKgNtBorOImfTk6O0Lo4&#10;w4F6p3vMgoNPIOxmRMJ29npYzd8N6/m7ZD/1sf4X8LP/OclY6vnpdxqW8/eJP/M7rOdug92sVdC4&#10;eugmmVX2qycknvtM90JSSTIL6IxJUt6i63u+LR3/YfHc7Bkt+K9vAgIOZKLwURlKm9TvC4YxaxrE&#10;vd9ciX0n9spvuTFa9EgBXdQzVFuNkeJ4Un8rHUoBogWMPwfF4ueAy/jN97isWeynhcKB+pS7uELr&#10;rFH6k4u6SHGX9znL1fZlPkyYPBF/HNgO9Hao1uYMwzDMl+ntbcTrlw9RfHobooINI+qSQJOwdqES&#10;z9zzRl3QGYlIIfOFdKLHr5ove02rjZ+hoOtAsdxJW0JRdD1FHEOXcj14UcOIgERzut41rR0ov1mH&#10;65f+QtKmYFxd4q1bYGF8x7mEUhFC3MU7wVfeh3UUJc7i+ZAiF8+0dCJtzwq9+9vHLJmC2DAfFBfc&#10;kGkGtP3qth48etqO1/RN+eAbwzAMwwI6wzCSPgH96F+/y8lVByML6BPDU4ZcQO+jLy6UemraTo+A&#10;k4uLbsL2W0zW0jgLxL5p8lnBFlqKKZWOLgXlzzqq4PDOn+uLMf1wH4aBol9DlwXj+u0cORmvOlHP&#10;MMOUksZSlDaUYdXpbPzHN0GKq2rvB8a8+DFQXOuARGy5fAPlTWUo4X7ozAiktLkCcfkJcPNwgYOj&#10;cWodql0cpofL+urH0GsYG5Is6qwL+HXRUVjO2SZ7pNPCRapdZI2jq3vej2FX37a5Ymk9GStXhqOz&#10;446owRtV63OGYRjmywCtaL51HXHLZiB6yZSPBJOvZqmPjBHPOLJFOhTZ+fwO5ETveY2yqnIkbgyQ&#10;8dmqY2go6FqQ8zd8KrJO7UV5XY3Y/yvUdbOAaZaQ0/jpa9nfvPrxExQX3sC147sQt3Ju/4IKErRV&#10;7xUjQPsk8Txt/xqU19fKY6OFJKrHzhgNWkxRWlaI2GWzELNEv6SRqCBXpO1ZiRpxf9V1UXuIp6hp&#10;60H7s2Z2nzMMowoL6AzDSPoE9DMnD0j3uTEcSn0Cei/aMSni2wnofZCQTk6piYv+gr1PkIxW12iG&#10;MNb9s9AxfAhdk3dR+zNq2zIMVlaTseuvXdJ9zv3PGVOD+p4fz8zD+BBFVFV7JzDmCfVDnxyWhAt5&#10;Bahs5XcXM/IgAT33XgFmz58JewfjpNSQgO7oPQ8TfY9i4rzdsJkeAY3XbDi5OMnEHaVn+bu1i/p2&#10;RhI2dlaYv2Ahbt8uEzV4i2p9zjAMw3wZcqG/evEQJWd34nKAq6po8rWQS5GcrnmJl6Rgy67ndxBj&#10;Uf/sDcqqy5G0OVgKjEZ3A5MLOMgViesWITfxImqeNOrc6M/Uj5ExEcRzRaI5pRuI61nf9RzlddXI&#10;TbqCtH2rpFOY3ObyeRwqx7kOEuspsv36xSOobmhS7jfVc2CMi7g/ul8i89hO/VMvxD1E28iJPfue&#10;+/xOZxdevHrCAjrDMKqwgM4wjKRPQD994g+jCeiTLCYiK/MK7j5pwK9LkvHDsBCxkmS86M/BcZg4&#10;/wAcvebonFFm1mtTT+Q94WiLY1dPoKarXnWCnmGGK9T/OqOuGO4b0rjv+QjlP77xmLUjAzfulnA/&#10;dGbEUdJYjoKHRVixMVIR0LXq33r9EDWTsxO07t5wEv9N/cvfiuZqf56xd7SBh/dUlJTckO5Jtfqc&#10;YRiGGRj0Hm29k4vkdQsQHaJfxG8f5HxOWLMAZeR6ftb7gajD1PW8RsXtm0jduxIxUkQ3vjM4OtQT&#10;1KM+ZdcyFN1IU46D+mOzK9iE0Anmur7mtAii+uEjFGYnIfPoTiRu8EdMsJtMgRhq0Zwgh3OMePaT&#10;NgWhKC9THKsi4KqfC2NsKC6/or5GuS/0fLdHh4p3+rpFKK8uV9IExParBY09rSyeMwzzSVhAZxhG&#10;MhQC+mTLSYi7egKFVXfxy5LkYeUClbHuoekYFxQNy3m74eg5E1oxDjLanYV02NnbYOrMKYi+EcP9&#10;zxmTgvpelzWWIfzvLCmejwpSfwcw5s1ocd1/DEjEhvPXUSruh2KOcmdGEJQaU9pUgSMXj4jvubWs&#10;89S+9fojtitFc66bBoKjqLXtNE7Iyk4SNXi7an3OMAzDDBSaz2hFZfQBXAkynCM6JtgdGX9uRk1T&#10;a3/cL9MHOdF7UXX/PjIOb5KO3ZjF+sUrD4QYcqOL60LuYNpvaVmBOJZu1Pf0oraTHenDFRLLycVN&#10;LQBqWzvFffMAxXkZyDy6A4kbAhAXOUOK5rRw5VsI57RPuW/x39QuoPLuHXmsvDjj23LzeS9yok8a&#10;JOmCtpHx5xZxL4pr2tGDGtp+Rxd6XjZy73OGYT4JC+gMw0iGQkC3tLHA4YPbkF1Yg9/CUodljHJ/&#10;f/TAK7CevQGOHtPgRJPBUkhXP6+RgJW1BQKXBuDGP7lyEl5tgp5hhhvU97yipQx/JOTil9Bk/PCN&#10;20Yw3xZqG2IRnozLBYXyvlC7ZxjGXKlsr0FsfrwUt40noDNfA10HKxtbZGTEihq8U7U+ZxiGYQYO&#10;0IyuhjKkbvKHoVzoJNiQ45mi3KULlaPcP4KcnDWNzcg+e2DIRHSC9kOO0rjls+S+y2uqpFu4/hn4&#10;Og0TpGj+rFf2NK9papF9xItyM5F9Zr90AivPl9LbXN/e1vpA+6YWAUlbQlCYlfzWdc730TeF3OdV&#10;d+8iZcdSuWhG7doNFLrGseJnYba4vmK7tH2Kb3/Q1cHiOcMwn4UFdIZhJEMpoF8vGr4Ceh99jvRf&#10;Ai7BetZ6aDymw4l6eA6bHulDi7W1BdbuWIPKDvEPHpWJeYYZbpDDuKK5DKev52NyeLIUT9WedWbk&#10;MFpAKQQL92Si6FEpStiFzowgylurkFaZgdnzZ8DOgWoZ9e89M7RMnDwRCQnnWEBnGIYxEEALbqad&#10;QjSJuAZysZJQG7dijnQ6cx9kdaTY2NKOnJhTuLpkihRF1cbSGFB/bBLX4sU1yj5/CGWVZah/+kpx&#10;Osse6SyCGh+llzmN91un+RvUPH6CkuI85CZFIfOvbbIlArmAKSJdCuYU+2+g53RQiH2T6zw2fBqy&#10;Tu1H1Z1/lGece+sPA3rktSjIiFd6n+t5n9A7KXnbElQ/blQc6Lr9dD5vZgGdYZjPwgI6wzCSoRDQ&#10;rXQCekJ2JX5dmjKsBfQ+RoWk4CcS0v0vwGLuDmi85kLrZA9tf19P8xfT6V6ge2Lfib2oYgGdMRGo&#10;z3VKTTFc16biO+57zuj4ISARY4IScTApBzXt5ar3DsOYI6XNFci5k4fw1WGwsbVS/d6PPKiGE1A9&#10;J7EV9d3HGLPWs7CajL//2oPXr0Qd3tugWqMzDMMwA6cXTXjeeQuZu5cgOtRwIi4JtKl7VqD68RPu&#10;h/wJSDit63yGgswExK2YLfuVXw0bOnGUFjpEBbogYfV8ZB7/HSVFOcpxdYvj0vXa/vCYmUHSoetj&#10;TtdcPA/ypxQlu1Fxswb56Vdx7eQ+pP6+AvEr50h3d3SQm7xGQ3lPfBJyvov3AwmzKTvC3vY61zmT&#10;mW8PtcyoftKItH2r9XafK9fbE3kJ5+V9S/cvxbff7erEa/pufPAdYRiGeRcW0BmGkQyZgH5gG47H&#10;lODn0BST6kU8KiRNCunjAqNgMX8/HKb4QuPiBCmkm3mfdHKqeU5xw7mU89LBpjYxzzDDCYpup5/+&#10;f2Tiv77x0nms9lwzI5PvfBMwZUsasm4Xy4UWH94/DGOOUB/0irZq7D22B5ZWk1W/9+ZJn0BuK7CB&#10;VtRsWo0VnLTWAltoxZ/ROmtETecscIWDqwcc3H3g4DUPDlODYT89Ao7i/yuLJtW2rx9UG+/cuQHP&#10;e+6JOrxRtUZnGIZhvoI3igv9UXkSyN0aYyh3KzlVgz2kw7mOnLadL1RFn5EOiVPk/C7Oz0bipkBF&#10;+CKXsdqYGgkSykiwJRE/bf8aFOWkSSGOrlv9szeKmK5y7Mxn0DnLKa5fGcPnqG3tQNWTJlTeuYOi&#10;7GQZy56yaxni1y5CbMS04Sea61Ai4z2QsGYhcqJPofpxA+rFeXGv8+EERei/QlFBNq7KpAI93edL&#10;piBu5VxU3Lwp0yloHySgtz5rYfGcYZgvwgI6wzCSoRLQ/zy4Hceii01OQFdIktHuPwnGiF9PWngE&#10;dtPDoHGfAicnOzkhKydoVc7dlCGn2qx5M5BVl42SJnZsMsOfqtYy7Lqag5/EO8YUki6YoYUWVHzv&#10;l4Dt0TdkzD/F/avdRwxjblR31eFk3EnYO9jKWk/tm2+6vCOUS5HcEk6OkxWhXPy+1sUVWjcvOHpM&#10;h63XPNj6BMJW1HA2s9bBau4OWCw8jAl+pzA26CrGBMUJ4mWtRzWfrcdMpcb7aJ/6Y2tvjeCQIDQ1&#10;1oo6vFm1RmcYhmG+DprXeNFzD/lHN+BKoJuqoDIYSAiMWTpF9kimvs7cH/kTdDyT0cvl9TVI27cK&#10;McHuSly3ypgak77e2vTfyVtDkBt7GmW11bJf+83n4Kjuz9H5TAqYff3L67ueo6ahCRX/3EZpZTkK&#10;0q4i+8w+JG1bjNjls2VvabrGMppd9jMf2kUTA4GeXVrQEbdsBjKP7UR5XbXiohfnyTH/wwxazNDW&#10;hcy/tvY/w/pACzmyzx5AndgmXXMSz291dOP5ywbgzSPV7wjDMEwfLKAzDCPpE9BPHttnPAHd1hL7&#10;ft+Iv64UmqiA/i7JGB2Sip8EEwLOwWLOFulKd3J1gZPGEhptnyvd9CeoSUAPCgtEWUuVdLCpTcoz&#10;zHChsqUMUcUFsF6WLPtdqz+/zEiHeuI7rU5FWl2xFNHV7iWGMTcq22twOesKvKa4SxFd7Zs//NHV&#10;VlIsV1KApFhOQrmzFlp3b2g9Z8HeJxCW0yNgMXMtLOdsw+QFBzDJ9xh+DbwsRXFKFqI6TiGln59C&#10;kt+iq/VsvX3FPqiuUzse/aCUn9lz5+DhgwrpmFSr0RmGYZivB2hH651cJK6eiygDRrmTmJO4wR8V&#10;9TX9TkZGDYrDfo3qR4+QdXKvdJEOZV/099D1ZI8JcUds5AwpyuWnx6GspgJ1HU+lmC5j+WlBxIhY&#10;FKE7Tx2KiPxSLijoE8zJXV75zy0UF+eKsYrHjcvHkPHnZiRtClSSHfqEchpXuraUMmCotAdDQ+kR&#10;IXSsnkj/Yy1K8rOkOCvj2kfE9TY9KO2gpKwQcctm6b/4Rjz/lIhQXJQj0xNo+1VtPWjqaUXvm0fs&#10;QGcY5ouwgM4wjKRPQI+NOQWtsyPsjSCg29hbY+2qxdh/5jrGL0kzcQH9LTThOio0E+ODruK3RUdh&#10;OWczNFMWinHUvu2fKaExNS1BXS6mcLTF+l3rUNpcyQI6M6yhOO6cOyWYuysd3y2KV31eGYYgF/oP&#10;/gnYFpWDsiZ2oTMjg7KWSqRXZWBh4AIT6IPeJ5K/349cIn5f6+YJjddcOExbAutZ6zBh3l5MWHAI&#10;v/mexG8B5zEuOB6jF2fK+mxUaIYUzEdJsZyE8aSP3gnqKMlDdlOXKLWcEWo4qrHcPDzxzz9Fog5v&#10;Va3RGYZhmK9Hzm/0NqM69jCiSOwzoLhHLlaKBq950qAIrx+IP8xb5Pi0dCA/OQoJaxfoIt2/ndBK&#10;zujoYDdJ4jpfZPy1HbmJF1FeWwnq3/62n7eAXLDSoW5qImufOC7Oh8TxLl2v8k9AzvLy6nIUXktE&#10;bsIFXDtzAOmHNiFl+xLEUy97MVbUW56unVwEMVyF8g8hoX+xJ6JDPZC6IwyF2SnyXOufQXdd1caO&#10;+fb0yMVJmcd3gaL29Y3/jwpyRYa4n2uaW2XrDXKf3+zoRs+LRuA1u88ZhvkyLKAzDNMPCeg52XFw&#10;cXOCvaPhnUkUU7kiMgj7TmWblYDeB03K0iTtT6FpGBcYjfF+p2Aze6N0pju6ussem1oZ9U5uKet3&#10;RHX18RoOUBIBLag4IP4RRQJ6EYtMzDCFBFByEu+MycEPfgkYbWbvF8bwkAvdfX0qcu+VoFTXN59h&#10;zJmSxnIUi58Ra8NhNdz6oFOkvBTIRY1EONnLhYgaF2c4uk+Bg08A7GauguW83RjvexLj/c+LWusy&#10;fqa4dd1CxlGh6W+F8mASytWf/a+BBHTbmSvl8RhFQBd1lqPWEbduFYg6vE21PmcYhmEGB81v9LTW&#10;IHPnYimiq4krg0JGQbsh+9xB1HW9VOKGPxKBmD5IpK3vfoWyqlKk7V2lOJcNEMusF0t95DGQMHx1&#10;qTcS1i5Ciji26xf/REluBqruP0BNc5s4/m7UPVXc2eRYlqKzFNa/oaje+Uzec/JYSPAn9zj1Ju9R&#10;+pOT+EiLAejYa1o6UNPUiuqGZlQ/aUJZpagJrycj5+opZJ3ej9S9q5G0JRQJ63wRFzlDubdJLA90&#10;RTQtPKH+5aYimOuQUe30vIvrmrQlGHnJV1D98JEcG17wMvyh5Apa0JKwbpHe7wlyr8eGT0VBVhLq&#10;n0Nuv7qtB0+etkv3udp3g2EY5kNYQGcYpp+hENBXLgvGATNzoH+M4lgaHZKGMSFJso/mLwGXYLlg&#10;P2xnrICt90I4eEyH1tUNTs4OcNJYQauxEFAPdZu3wvpAHOtywtnwE7p9ODjawcXdCTE5sShtrlCd&#10;kGeY4QC5zxMqi2C3PAXf+3N0O/NlfgxMxFjxc198LipaOF2DGRlUd9Vj875NsLa2UP3uDx1Uv4h6&#10;R9Q+1PrGiQRzURc5uE+TkekkWlvN34MJfqdFHUV9yd/2JB8d2he/TrVWMkYP2FH+9dA+bOZslq53&#10;YwjolPRDMe7VVdksoDMMwxgBao/xoCgOseHTDNqXmYRFKcxkxCpR7uxo/Tzkhu5+heqmFtyIPon4&#10;VfOkSDscxFkSXEmoiw5xl1HzsRHTxfHNl/3bb1z+C0W511BeXyf7f1c/foLalnYpVt98CSnKUew5&#10;iX6Sdx3sX0Pf39ehxKnTtpV9UKw67Y9+Uux8bVsnasRYVj96LMX+ils3UV5Xi9KqChTnX0dBShRu&#10;XDmKa8d3IW3vSiRtCUHs8jmIXTZLnp9cQLDYS54zIRc19EWxq4yRSSDOiXpdXxXnlbxtKfISL4rr&#10;9ViMrxJRb3pJAiOQDnKfv0T2uUNykZK+7wdaSJGyK0J3Hyju8/r2bnS9aOLe5wzDDBgW0BmG6Wco&#10;BPRVK0Kx+Ugmfl6casYC+ruQmE49NPv6a1Lf9BT8EhiFyQsPw3LOFljMWAEbnxA4eC+AxmMatO5e&#10;cHJxkr08nbS2cHK0+ASTpQCvddGqjrchoB6pU2dNwY27eSygM8MWcp+XNJYi5NA17nvODBiKcf+P&#10;uF+mbk1D4UPlHlK7vxjGnKjqrMWBM3/Ibzy5nz/87hsXWhxog/6e5a5ucPSeB+tp4bL9DdVFvwZc&#10;lrXS27qpTyTvi143nliuBu3fcv4emSJkjNSgPgE9OemCrMMpclitRmcYhmEGRy8a5bu1+NQ2XAly&#10;VxVZBguJMwlrFqCsvFAKqizQfRkSsUggKy0rQvof66XYKd3CKuP7TSBhWfZMV3q2S2FZHB/1Tk/a&#10;GID0g+uRfWofchMuouBaCorys1FSWoDy2iqU11Wj+v491DQ0oubJAGlokn3iqad+3zbov8kpXlxw&#10;Q3Bd7iP/WjLyMhKQlxaHG5f+lukH147uQPr+1UjdHYmEdQsRt2KOcszieOVxE/TrdyGRnBaSkDCp&#10;pzg5bCDhnFoDLPZE6q5I5MZfkGNKzyTdb9zn3HSgxSjlNRXyvRoT6qV+vQeK7j6nhRS0IIW2T+7z&#10;h90dqt8KhmGYT8ECOsMw/dDE3Y2sWKMJ6PaONgj0nwPfTXEYG5o6giOWFVGdIkZl3OjiazJ+9Jeg&#10;aPzmdxoTfI9h4oKDggOYMG8PJszZ/kkmL9yHKfMCoDVSFLy9gw0Clvoh914BSprKVSfjGeZbQ+7h&#10;szcK8NuSJPwQwAI6M3DofpkUlowz2QWobGUXOmP+VLRV41TCKbh7uchFcmrffsNADnM7pWe5xAZa&#10;ZydovObAdvoyTJq3CxMW/Y1fAq/gJ6qFZJ/yr+1RbnxIQJ+86Ag0dOxGFNAvXzwK9DawgM4wDGME&#10;gGZ0PipByiZ/RIcYNjqchLvk7WGovHdPOoc/FIQYFchlSoJWcyvyU2OQtClIiugk8A5LUVcckyKq&#10;K2K/7Ake4IzoQGeZQhC/co44hwAkbQ6SYnb6H2sHzoF10iGevCVYbCNQQWwnYe1CxEVOl9A+yFkd&#10;5e+k7DfIVf6a7j05blIo/0AYH47jaEjkNfFWnuelU5C2fzUKs1JQ/fChkghAwrnavccMW2S//s4e&#10;XL9wRLYRUL3uXwE9FwkbAlAl7glKISD3eZ2g+0UTern3OcMwXwEL6AzD9EMCek31dbh7usLOCJOq&#10;DhpbzJ7pjQXro/Hz4jTuUfweSuy7FNWpf2ffZDKxOFOVH0OzMHZxKqbO85eT02pjri8koC/fEImC&#10;h0Wyd6raZDzDfEvINVz4qBSzd2fgO98E6SpWf8YYRp1/L0zAkmNZqGwpk2kGavcZw5gLZS2ViC9M&#10;wPTZU2FrZ6367TcEsme4swaObl5wmBYC67nb8avvCYwLuIyxIYkYretZTrWP2nM5XKDjGxdwCQ4u&#10;LkaptRy1DrAVtdYf+7fi9cuHohZvUK3RGYZhGD1480S8X1txvyBGJ4R6qwoug4WEzIw/N8ue2bIn&#10;+juiEPNpFDf6K1TevYsbl48hfuVcxISSIKyn83QI6Xer6xzfUtQmcftroL+j+/tyG/RTusXFtnVc&#10;DTNzQXyA0FjIxAIxPuS4z/xrG4oLc6STXwrn3a9U7zVm+EOLaiiFgRak0OIItes/YGiBhXiOcmJO&#10;intCSSGoFvtg9znDMIOBBXSGYfohAb29/Sa8fTykG0Ztok8fSECfN2cqFm6IYQHdAFCc6djgOLj5&#10;TDPSpK497Oxt8MepP6R4XtzA7kxm+FHdXoa/0vIwLiQJPwSy+5z5eijGXbM6FQkVRahgFzpj5hTT&#10;YrjHJVgYtADWNpaq33+90drAboovJi06gp8Do0WtEo8xFMPe17t8GDnMvwQJ6GMDY+Dg6m5UAX3b&#10;1tV4+fw+C+gMwzBGore3EW9ePZJR7pcNHOWuiDUesm9vHcVFdz5XFYgYFcR41T19JRcelNVWSUE0&#10;bsVcKSxLR7raeDMjDun+D3JFbJgPkraG4vqFwyivq0Jta6fSd172OFe5vxiTgNzntW1dyPx7u7JA&#10;QuUe+Brofklc54vKu5QM8nZRheI+V/9GMAzDfAoW0BmG6YcE9M6OW0YV0GfN8MKCdexANwQ0qfuz&#10;/wU4uLgaTUC3t7fB5awoVLTVqE7EM8y3pLSpFHn3SzFvTyb+tShe9TlhmC9BqQX/XZSA3+NyUN1G&#10;i4XU7zeGMQdoMVx5azWWrFgMW1sr1e+/vjg5WmDy7E0YvfiarFXe9i9XfwaHMxQpPzbwKhw9Zxkt&#10;7cdW1FoREcF41nNP1OKNqjU6wzAMoz9ACzoelyFtSyCiDBzlTi5kitouyIhV4sk7nr0nEDFfQIyX&#10;FEI7n6G0tACZx3YjbvksRAe66hzY6uPOmDG0MCXEA1GBLtKVnHFkGwrSYlD9+LF8xijBQAqv7dzj&#10;3NShZ7+0NB+xkTMM8rxTm4XcuHPyHqF3C/U+f9TdjtfiO8ACOsMwXwsL6AzD9EMCekf7TXhNcTeK&#10;gE79MF1dHDFr5QWMW5LOArqe0KS0Y9BfcHI1Tl9OB40d3DycEV+UiIp2FtCZ4UdVaxn+zszHmMAk&#10;jOL3CaMHFP+/aF8mcu+WoLSJXeiMGdNQJmPc1+1cC3tHW7lYTq0G0Aetxgp20yPws3i2FPFc/bkz&#10;BaSAHnQVjl5zjSqg+wcswtPuuyygMwzDGBmgDffzoxEbNk2K3mriy2AhsS9u5VyU5Gcrjlhyo6uI&#10;Rcxn0PVHp17IJSX5uHbid8RGTkd0iLsS62zuvb1HMrKv+dte81fF9U7dHYGcmNMoLStCXXsX6p9D&#10;J5qr3DuMSaK4zzuR9sdaRIcawH0e6omkjQGouH1LvEt6+3ufd71oAt5w73OGYb4eFtAZhumHBPSu&#10;ztuYv2CWjJNUm+TTD3toNLaYuYIFdENAArp74A44u2igMcIEOMW3z100C2mVGShrrVKfiGeYb0RZ&#10;cxly75di7u5MfOfH0e2MfvwYmAiLpcmIqyhEJce4M2YOCei7/94lv/W0WO7D77/eaKzh6BOA8UEx&#10;slZRe+ZMBVoAMCY4DvZTQ4wqoM+eM0PU4P/IWlytRmcYhmEMQ++bJzLKveLKfsWFbkhBNnya7Ged&#10;sN4X5TWVqHv2RlUwYgZA5zPZ07q2tQNlNVW4fuFPxK+eL0V0Elf17pHMDA9INF+su6a6yP6kTcG4&#10;fv4QiotzUfXgIeqfvpTCOd0TqvcKY9LQc56fHivuBer3b4De50FuyLl6BvU9FN3egyrpPu/Amzfs&#10;PmcYZnCwgM4wTD/kennafQfBwYuMJqBrtXaYufwMC+gGgCalPf1Xw8XF3igOMls7awQu9UfWzety&#10;sl1tEp5hvhXlzWU4l1+An8R7hN3njL7Q9+gH/wTsjc9BWVMZx7gzZk1ZcyWOxRyDi6sTHByNIKBr&#10;RQ3pNRfjAy+biYAeD/vp4UYV0H2mecoanAV0hmEY40NR7j1ttcj6PQxXgg3cD11ATvSkbYtRee++&#10;dECqiUbMwCB3qnSkd/Sg8u4d5Fw9jWQxtrER02RPbO6TboroRHPqcy+eP4rqT9oSiqzT+1FSeB1V&#10;jxvEte8W1/016rpfcZKDGVP39LV8rumZpsVH6vfLwKFtJG0OQuWd23Lb5D6vF/cS9T5n9znDMIOF&#10;BXSGYfrpE9CDghYaVUCfvuQPjKMe6CoTlcxASZKT0i6zQ+DsRBO6hhfQra0tsX7XOhQ9LkFJY7nq&#10;JDzDfAtI3CxtLEXggUx875/Ai3EYg/BDQAIW/J6Jgoel4p2nfu8xjDlQ2lyJ6OsxcPN0gYOjEURh&#10;rS207t4Y739W1Cqpqs+bqTBa1FtjxE+7WauNJqBT2yRvH3c0PK5kAZ1hGGZIeCLet61o+ecGktbM&#10;N3g/dHJBkqM2/cBaVN1/iLqn5IRUF5CYAdL5TOl53f0SNY3NKLiWgIzDmxG/aq7skR1j6DQBxrBI&#10;p7mX7GlPCx8SxHVL27MS2ReOoDgnHdUNjcr11cFu8xFA53NxrZ/j+qW/FfFc3+eXHOyhXrgRdVxJ&#10;LBD7qGnrwcPuDvS+ZvGcYZjBwwI6wzD9kID+rOculi0LkW4YtUk+faHJRx/fdRgfmoxRclI16aPJ&#10;SmYgkICeCvspC6DVWKuOtb5YWE7C/pP7UdXB/c+Z4QU5hOPKizA5IkmKnurPCMN8HXQv2SxPQXp9&#10;sbzH1O49hjEHSpsqcP12DrymekjxVq0G0AutHbSu7vjF77SoVdJUnzfTIQljQpJhPXebTkA3/IJF&#10;6kXv5uGMgrwkFtAZhmGGijckorfgXl4UYil63dD90ElED3JF5tHtMoZc9kT/UEBivh5yI/e50tu6&#10;UFpWiOtXjiNl+xLEhHpIIZ17pX9jSCynXubiOlA/ahJHSTwnZ3DWyT3ITYqS/e1rnjTg5gtIp7Ds&#10;g81O8xFF/dNXKBX3QdyK2TKRQPVe+groXkvcEICqe/dQ2/VC5z5/ip6XjSygMwyjFyygMwzTD9CA&#10;l88fYPvW1UYT0AknNzfY+wRi0sI/pavnp5BUjA5JVpm0ZD4Fjdf4wGjYu0+HVmt4AZ0i4e3srXH8&#10;6glUd9WrTsAzzLeCelSvPX0dowOV6G21Z4RhvhZqBTAmJBGHkvOUGHeVe49hzIGSpgrk3ivA7AUz&#10;YG+sxCHBeN/jGB2arvq8mQ5Jok5NgeW8nUYV0F3dnZF7I54FdIZhmCGk902D+PkE5Vf2IpqEVwOL&#10;riQiXl3ijevnD6O2pR11XSyiGxRdn/T6rheovHcPRbnXkPnXVsSvmqcTb3V9tVlMNx59YrkYZ2pd&#10;ELNYSQKgRSkJaxYi49BG5MadQ0lJASpu35KLScgdTNdNOs3Vritj9tC1r25sQeqeFQaJblfuQy9x&#10;r52VwjwtxiAB/cnTdu57zjCM3rCAzjBMP30C+o5ta4wqoDtStKfWBloXJymkT1z0F34OjpeTrKbe&#10;K3OooHGa4HcKGjdvpdeoyjjrA/VEdXHX4mzKOVR11KpOwDPMt4CitfPul8J7azq+82X3OWM4aDHG&#10;qIBEhP11TfbY5z7ojLlS0lQu3qOF8F/sazwBXWuNXxb+ZQYCung3iHP4ZdFR4wnoGjs4uWiQEHtG&#10;Cui9b9TrdIZhGMbw0Hv35bN7yD28BleCjNAPXefCvXHlGOo6FOFITVBi9KCjR7qYqWd2TUs7Km7d&#10;RF7iBaTsikTcyrlS2I0OdlMWNKhcI+YrkEKlt2xREEVx7GJcYyOmI371fCRtWYz0PzcjL+G8dBZX&#10;PnyEmsZW2b9eCuZ9TnO1a8iMHOh57XqOG1En+hdcqN5rXwHdjynblqD60WOlzYPYz62ObjyT7nP1&#10;dz/DMMxAYQGdYZh+0NuA168e4cjhXVJAd9SqT/QZDCmkC5w1sJ8ajInzD2BcUAxGh2ZgFAvpn4Xi&#10;7y0XHYaTq5scR9Xx1QM7cf2nzRKFbG4sKtqqVSfgGeZbUNVWhpNZeZiwNJnj2xmD81+/BHhtSUPR&#10;41IUcx90xkwpaSxHwaNiLFsfCXsH4/T1poWS1nO3S/e2qbfrIQF9/KITRhPQHTR2opazx9nThwA0&#10;o/fNE9U6nWEYhjEOFOX+tLkKGVuDjSOi6+KJ85Muo456ebOIaCR65NiSgFbX/QK1rZ0oLStA9vk/&#10;kbIzQgq9UQHOckGDIUS7EQEJ5tS7nARzMXbRwa6IWzYTyVtCkLZ/La6dOYD89BiUV5WiprkdtR3K&#10;/S17mdN16KJodu5nzryFFrpQhH/c8tnKs6h2330NukUdBemxqKdWGR09qG7rQXNPq6ipH7GAzjCM&#10;3rCAzjBMP+h9IkX0yxeP6gR0w08SqmMPrcYKTk52cJjiC4u5O/FL4OV3HOncJ/1DRoWkw37Rbri6&#10;ao0ioNvYWmG+/zyklqehrKVSdQKeYYYacgRXNpch4ngW/rUwXvXZYBh9+N4/AdbLUxBTXIjyZvX7&#10;kGFMneLGchQ+KsGa7aulgG6Meo/EZps5W2T/cJMX0ENSMd7vNLQuLqLmslM9X31w0NjLa3DqxB8s&#10;oDMMw3wjSERvrs9C4up5iAoxgKjzAYqI7oP8pCuo62IR3eh0UK90Mc7dL3HzOVD98BGKctKRdeYP&#10;JG8NkfHuSm9u6pc+ZWQL6nTukr6+5TrBPMhV/D9vJG7wQ9q+lcg+ewh5KTEoystE5a062YNexrGT&#10;s5zEcjHeUiynsVe7JsyIp+7pK1Q9eIDU3ZHiHjPMYiW6T9MOrEd1U4t4t75EddtT3OnsxItXT4A3&#10;3PucYRj9YQGdYZh++gT0Sxf+HmIBvY8+Id0ejp4zYD1zFSb4n8UY2X+S+qSzmN7HqNAM2M7bCBdn&#10;cY2McJ2sbSwRHB6E67dzUdpcoToBzzBDDcVqp1YXwX19Gv7jx+5zxvCMCkzEuJBE7IvLlWkHavch&#10;w5g6xQ3UoqAMv/+9W/bfNpaAbjdjGcYGJ2B0MIno6s+cKSAFdFGPat28jCKg0/hT8s/vuzewgM4w&#10;DPONoHcvvYPv5lyWTuVonWvckPT1485LuoJ6EhtZRB8yyBFNYm9dZw8q/rmNotwsZJ/Zh8SNAcr1&#10;0UXtS6SoboaCujgnpV/5u+fqJUXzPhE9Yd0ipB9Yi+xTe5CfFouS8hKU19eg+uFDec/efKnrX979&#10;Si5QUBtrhlFDphK0dyP77EHEkHhugGeM7l9KRCguyEZ9zxsZ3U77anvWwuI5wzAGgwV0hmHeA2hF&#10;WVkGbO2tv4GArkNrpxPSbaFx9YCDTxAmLziInwOjpZOJe6WTgJ4J65nL4ay1Uh9DPbGwmIRVW1eh&#10;sqMGRdwHmBkmVLeX43hWHsYEJGBUkPqzwTD6MFrw3cIERBzLEv8AL1e9DxnG1CHxvKSpAofPHzaq&#10;gG4/bQnGBsebiYB+Dlr3KUYT0G3trLF96xoW0BmGYb4hvW8aBI2oSzmuOHGNIaJTZPFSHxReT0P9&#10;szccbz3UUMS47Jcuxr6lA1WPnqC0vBg50SeQunclEtb5ymhpEtSjg5Qe31Jopv7pBhD8jI44xndF&#10;cnL5RlOv8iA3eU6xEdMQt3IO4tcsQvL2MGQc3oQbl46gMCsZZbU1qHzwENUNTWJs2mUctnSY9ygO&#10;c75XmUHT+UzeRwUZ8co9apB3q4+8v7NO7kVdh7IPim5/0NWB1yrvd4ZhmMHCAjrDMO8BtKG29gas&#10;7ay+nYDej72cgJXQrz1nwXrOZvzmewLjgmKliEy9wEeiK33U4kxYTguDk6OFyrjpidYBVlYW2Lx/&#10;M2q6b6pOvjPMUEPx7aWNZVh3/jr+vYjj2xnj8S9xf83anYH8+3TPqd+PDGPqlLdW4Up2NByMKKA7&#10;TA3B2OA4MxDQUzAuMAqO3gtFjWSjer760Cegb9myigV0hmGYbwzQiNcvH6D0/O+ICvEwimhKwmbc&#10;qnkozs+SohJHXn8b3vZLF5A43NYt46WL86/hRtQxZBzZjtTdy5G40V8KzzHBbogKcFKEdXFvKMK6&#10;N2IoAl7lOhuFPoGc9quLWieRn44pyl85tqthUxC3YjYS1/shefsSpO5bi8yjO3Ej+gTyU2NQWpKL&#10;qrt3dePQLe8/6lXePxbkFKZ0BL4vGQNR1/MGpZVliBfvPbpvVe/tr4SeP7rHK27dlPctuc9vCp6+&#10;aELva3afMwxjOFhAZxjmPUhAv3UzD65uWjhoDO+yGTz2oF7fWo01nFzdYO8TiElzd2CC/xmMCUmV&#10;PcFHm0GfzYGRjHEhCbDzCRDjYakyVvrhqLGXE+p7jv2Oqs461Yl3hhlqyppLkXW7BDO3Zcg+1erP&#10;BsPoz3/F/aVdnYq40iJUtHCMO2OeVLRVI74w0ag90B2952Js0FVdfab+vJkCxhbQCStrC0QuC2UB&#10;nWEYZhgANOHVs7vIO7IeV4IMEzX8IST+xK+ci6J8JXqYxcpvDI1/57N+IZmuiYyEbmxCeU0FCrOT&#10;kZt4CdcvHZNidNqe5UjaEiKu4RzEhk9FdKCLQrD7W/pE9g8hd3g/Xqp/RhHG+7alCOTRgc6IEf8/&#10;fvksxK+Yg6RNQUjZGYaMg+uReWyXOLajyIm/iPzMeBQVZKGsqgxVd++gTpwbxa7LXuVPX+lEcnGe&#10;FMHe17Oc7z/GSFDcf9X9+0gW9yrd12rvw68lRrrYPeUzKdsJiP3UtPeg8WkbelXe6QzDMPrAAjrD&#10;MO9BEe737xRh+nRvGeupNsn3zemPeLeDxsMHNj4hsJy7Db8GXFQmaSnmPSTFbAV1OrdfgqLg4D1f&#10;joPqGOmBg6MdnFw0+PPCYVR21KpOvDPMUFPZWoa4yiL8ujhJ9qlWezYYxhD8IO6viYuTcSo7D9Xt&#10;LKAz5kl5azUSi5Ph5uFslAWTUkD3mm1GAno0HKf4iRrUWvV89cXS2gKLlwSwgM4wDDNMIBG9p7UW&#10;OYfWKCK6ioijLySGUpx2X/9e7ik9/JAu9aevpABN/b9vip8y+v3+fVTcqkdpZSlKSgpQmJeNwhsZ&#10;yIk+iZyo47hx+W9k/r0NGYc3CDYq/LlZ9hdP2hwkCETSpkBFAO/7fR3p4u9cO7pdbOMvua2cmFMo&#10;uJYk91FUcENGzpdWiFquvg6Vd/5BzZMG1LZ2yGOTPcpl7PobGVVf18XR68y3g9IM6HnJOvG7Ip4b&#10;aDESbStt70rUNDTLfZD7/J/OLrx41cACOsMwBocFdIZh3gNowcP7pZg7ZzrsHIapgN4PudKtpYis&#10;dXaEo5u3dGVbztuNcQGXMDYo9p2e6akmHyHaB8XW/+Z/FlqPGUZxQtHCCTdPF5yMOykdamoT7wwz&#10;lFB8e1lTGf5IysX3AYkYzf3PGSNCfdC/X5SAPQk5qOngPuiMeUIR7inlaZg6wzgLJqWA7jnTPAR0&#10;UT/+HBwPu+lhRlm4SJCAvmRpoKzDWUBnGIYZHpC5oPNxGTJ2LsaVQDejONFJCIpfNVcnolOcO4ud&#10;wxtyquviznW91KW4/kIRrqkXc534c3Xt3ahpapH9xKsbmhUaBU8aUXn/QT9VDx+9/f1+muTfrWvv&#10;UrZFDnKxn759SDf5M51A3v1KESkpcp2O7b1jZZhvBy0+qX/6EjnRp+ViIWo9oPYO/FqofUFsxHSU&#10;FN4Q2yf3eQ9q2nrQ8bwZeMPR7QzDGB4W0BmGeQ9yvjQ3VmPJYn/Y2BnHZWMUyJWutZETtvLXLq5w&#10;nOIL69mb8Ouiv/GL/0X8HJKIUaHXBCSop6hOkpoCo0LS8JvfKWjdpxpFQLdzsIH3VA9cyrwkJ9jV&#10;Jt4ZZigpaShF4eNSLPkzCz8GJEiBU+3ZYBhD8a+F8Vh19jrKG8vkAg61+5JhTBkpoJelwWeal/EE&#10;dFGLjQ2IMumai1AE9ATYTY8wmoBuZWMJ/8D56Oy4BfQ2qtboDMMwzNBDC5ua7+QhbVsIokI8VQUd&#10;fYkO9ZS9gTnO3QygBRCUJCDj4F+oQ+L7u6j9ma7n/dtRFlXwPcGYECSe97xGfloMroZT3Lph+p4T&#10;1NLg+oXDqOtUFrNUt/XgYXc7Xov3NbvPGYYxBiygMwzzHiSgt7XUYXlkKKztjDNJaHzImW4noJ7p&#10;FPXuAK3nLNhOD8PEOdsxceGf+DXwEkaHZujE9FSdO4ri3od/5Dv1e5+w6G9oXT3kOaqPweCxtbPG&#10;jDnTkFichLKWStWJd4YZSkoaS5H/qASeG1LxQwD3P2eMz3e+CfDdn4ncuyUobVK/LxnGlClvqUJ6&#10;dSbmLpot+6Cr1QP6oAjoLuYloM9YZjQBnRatzha11626PFmLq9XoDMMwzDfgzRPpRG+4lYOEtQsR&#10;bSQRnfpekxO9qN+JzoIpwzCmiJKYUJSbibgVsw0rnge5IXnrYlTeuycTGKrbnuJ2ZzeevWxAL7vP&#10;GYYxEiygMwzzHkAjnvfcxY7ta2FpY6E6yWd6kKBuA62jBZxIUHd1g6PnbFhNXQyr2RthsfAgfgu4&#10;JHun/0STvLqfNOGrkIzRw0hcHxWagYkL/oCTs0ZZKKB6zoPHxtYKcxbOQmbNNZQ2V6hOvDPMUELx&#10;7UnVRZgckcQCOjMk/Nc/AVM2pSGtrhjlzdwHnTE/yporkX3rBoLCA2Fnb/g0m7cCerTJC+gEtQOa&#10;PGeLqCMtVc9XX0hAnzN3Om7fzGcBnWEYZphBrTXIiX63JAlxK+cZT0SXPdF1IvpTFtEZhjE1elD3&#10;9A1KSguQsHaBQd+VJMRTdHvRjXTZxoD6ntP+Wp+1Aq9ZPGcYxniwgM4wzHuQgP7qxSP8sX+b7Meo&#10;Nsln2pCYrnOmayzhJH6tdXWFo/sU2HvOhd20MNjM3Y7JC//EzwGXMSYwRumlHpz4tp+6dK2nCci5&#10;3iewD11/z1GhmZiw4IDRBHRra0v4hi5CWXMFihtYOGK+PWXNZfg7LQ/jFyfhx0D154JhDMkPgQmw&#10;X5aC+IpCVLTwe5AxP0hAz7p5HQFL/IwqoFMtNZwEdFoQ2Ve3yZ/9iyU/hOq8t/ywJAe/zdsjakfj&#10;1Mb9Ano9O9AZhmGGI71vGsT7uR03C5MQu3Ku0UR06omesGY+SitKZL9rFtEZhjEJdL36K+qqkbQ1&#10;VLzL3FXfcYNiqY/cXtbJPUp0e8czVIt9PujqwOvXT1Tf2QzDMIaCBXSGYT4C6ERs3BlMmPSb6iSf&#10;eaET1GX/dGuBHbROjtA4a+TEr6PnDDj4BMBu5ipYzdmK8Qv/wnjfE/jF7wzGB1zEuMAojAuOw880&#10;KUuR8Iupx3qmdIkrpMue5YOG/n7/tsR2aftLczBpzjY4ORrHBUUCut9iX1S0VbOAzgwLyAG86fwN&#10;/BSUiFECNVGEYQwJ3WejAxJxqbgA1W38HmTMD2M70OUCP2ctJi88KAVptefMkPSJ4aNCUj9dPwnG&#10;ij83LjheRrLTT6rjxgdefocror67LOu8X/xO9zMu4BIsZq0zmgPdVlwDHx9PFOYnSZejWn3OMAzD&#10;fFvwpgG9aENdQTJiV5CI7qEu9ugJOdGTtoSgvKZKOi1VxSqGYZjhQp94Xl+NlB1hiA4m8dzno3fb&#10;YKF3bfL2MFQ9eIC67pfSfX6roxvPXzYCKu9qhmEYQ8ICOsMwHwF0IS3tknSgO2rtVSf69EcRruVP&#10;1d//VtDx0LFRD3U76aB6iw20GmtonTVwcvOExnM2HKcsgv20JbCdHolJszdjwpxtmDjvd0xccEDG&#10;rE9cdBgT/E4KTnwl4u/4HhPbOKhsh5i7U25/8pytcPCaK49H/Rz0w9bWCktXLkF5axUL6Mw3p1hQ&#10;2VqGoIOZ+N4vEaNZQGeGALrP/uOXgKNZefL+U7s3GcaUKW2qQN79QqzcvEJ+99XqAb3QCegWC//Q&#10;Q0Dva5+TpHOMqwnkmTIZaHzQVfwaeAW/+Z2WddTERUfe1k9ztgu2ihpqO6xnrBB121LYTw+TP6mO&#10;03jPE8x/i6ixqM5zcvN4B09oXVzEeRmnbrVzsIWHhwsy0i6LOrxNtT5nGIZhvj148wSv0IHKvBTp&#10;RDdkf993IRE9eWsIymtZRGcYZnhDLSfIeZ68falOPFd/rw2GmCXeiIucgZLC67rWFrTPHrQ9axHv&#10;40foVXlPMwzDGBIW0BmG+QiIfxDmXI+D1skB9hrDR4TLyUcXN2g8Zoh9kEhto0y0Djsx/VP0Cezi&#10;uElQ11jpIuEt4OQ4GU5aWzg5a2XEupOrC7TuUwaHmxecXJyU7RC0D9q+o4Wyb9Vj0w9aMEFONJpQ&#10;L2thAZ359pQ0liLvQQk8t6ThP77c/5wZGkYLvvdPwM7oHJSKe7C4Qf3+ZBhTpaSxHIWPirFh93rY&#10;2BjBVd0voB/4rIAuI9W/FKcemoZxQTGY6H8KkxcdgcX8PbCcswlWs9bCclo4rKYuhoP3Qjh6zYPG&#10;faqsoZxc3d6pnyx19dNkUa9Z9tdtBNVxsqb6CKrzPsCIdWqfgJ6ZfoUFdIZhmGEOep/gObpQeiMJ&#10;VyOmG01Ep8jipK0hKJMiOj4SrRiGYb41dT0knlchhcTzIDfVd9mgWToFMeI9mBNzCnXdL1Db+RzV&#10;bT142N0u3sVPWDxnGGZIYAGdYZiPoN5ehfnJcHd3hr0jucTVJ/sGDU1Muk/BJN+/MXHhQThMDYDG&#10;xVnn8qaJTFMR0j9Fn8BOiPH7aFJ2oNDffXfiVm1fhqVPQF+xaTkL6MywgPpPX8ovgPWyZHwfwAI6&#10;M3SQgL78RDaKHikLOdTuT4YxVfoE9PW71g2ZgN7nIh8dkipF8Z/EzzHBSYJ4jA2KxdjAGPzifx6W&#10;Cw7Aeu422MxcDrupIbDzmg97j2nQuHlB6+quLC4UtZaTk60ijmssdGK4QK2GUju+YUafgH4tI4oF&#10;dIZhGBMAvQ3o7u1EftJFRC/1MY6ITn1/g91kP2FFRO/lnugMwwwP3ul5nrJjiU48N1xsO0Hvv4xD&#10;m1Db3I667ldSPP+nswvPXzWweM4wzJDBAjrDMB8BtKK2KhuzZvnAxt5adaJPL0god3XDpEV/y+jN&#10;sUEJmOh7DLbTwuDo7gMn8WfIIaREvKv8fcZokIDuoLHD5v2bUNZSiSIW0JlvTE17GX6/moOxgYn4&#10;UfChyMkwxoIE9NBDWSh4yAI6Y34MlYA+edFh/Lg4Cz+FpuNn8VyNox7j/ucwzvcUJs3fB7vZ6+Ew&#10;bQkcvRfCwc0Tjs5O0Iq/p3VyFNgriytl2k+fU7xPGKfFlqa+4PItJKC7uTkhLeUiC+gMwzAmAtCI&#10;9pftyEm4iJil3jJ2XU0E0gsS56knOjnRayp1TnQW0RmG+YZ0PJPieVlVmdLznMRz8a5SfYcNEnrv&#10;JW7wQ3ldtYxup77ndYKO580yul3tncwwDGMMWEBnGOYjgBbcv1MMP795sDZKX0xbaF2cYTF/L0aF&#10;pL/taxmajl8CLsJqzhbYT/GDk6uz4iiiCVMzmiQdzpB4Tj/3HPtdEdBVJt0ZZqig2OzKlnIsPXoN&#10;/1oYL2O11YROhjEGlHgwb1cGcu+XyBh3tXuUYUyVoRLQbeZuwYQFB2ExeyvsZiyDo/cCaN29FYFc&#10;Y6NLH3rLW9d4n0A+Muo/qr8cHG1x4fwRUYdTLKV6jc4wDMMMH8gBSU701pftyEuJQuzy2YhZ7Kkq&#10;BulLX0/0fif6u2IWwzDMEFFH4vnzXhQXXEfC+kVGWThEfc9jI6ah8EYa6p++km73mrYeNPa0svOc&#10;YZghhwV0hmE+AmhCe2s9IiNDYWltoTrRpx8Uu+kAyzlbMCo04z3Bgnpg0v8bFxyP3xb9CauZq6H1&#10;nKmbWH3HeTRCJlSHmj4B/feju1lAZ745Zc1luHazGFO3pePf3P+cGWJ+CEiA98Y03LhbgtImTuNg&#10;zAujC+gSR2jdPPqThfoXRVItN4LE8YHgoLGHnYMNzpw+KOrwDtX6nGEYhhl+kJjT29uA5t7nKMjJ&#10;QNzKuYgJNY6I/n5PdBbRGYYZYjqfo777BQquJSB+lXjXGSl1I1ps90b0SdRJ8fwZqsW+H3R14BX3&#10;PWcY5hvAAjrDMB/R+6YBr149wZatqzHJYqLqRJ9+2MNJawPLGatlhLuacEGudBLSx4SkYHzARUxc&#10;cBD208Ph6D5F/H1HnaBOcZ6K4MsYhj4Bffffu1hAZ745VW1K/3OriGQpZqq9KxjGWNA957YuDdl3&#10;SlDGAjpjZgyNgC7oF8tVfo/pp09AP3vmEAvoDMMwJgYJOq/fNKLpNYno6YqIbgxhSRAdrIjo5TXc&#10;E51hmKGjrvslatu6kRt/XrrDY0KMsFCIxPMgN1w7ugO1zW2o7Xoho9tvd3bh2Uvqe87R7QzDDD0s&#10;oDMMowrQhYOHdmCiUQR0Bzg5WsByWjhGLVYX0PsYHZyE0SGp+Cnk/2fvvv+iuNr3gf9N38/zPEk0&#10;ajQ2+rKF3gTBLh3svSa22GLUaCyJJfYuHbFXehFMbLHQRMDeru/cZ3YFdZKosJTl+uH9whjZnZ2d&#10;2T1zrjn3nYM+yWnol3gQ7mN/gk/kRPgGRcDqb4PN4mFf1cQwva0kQLf5W/DzrvUM0KnTVTwsxsbc&#10;8/gqLg29kow/I4ic5auENAyanIETf+araghGxyhRd9VhATp9FAboRETdmwp23lSj5tVTfSX67FFq&#10;FaVhSNQWk/SV6JmLU1utRGeITkTOU/n0NSqqa3F61884PCFUE2b8+dRGh5IDkb1iGspu31J9z8u1&#10;z7Yq7fmbntWy7zkRdRoG6ERkCGjCju3r4eXjAbO1/VcOSSlP74gk9EuRoCLzg+DCiKNXuvhaMyDx&#10;ANzHrIJH5BSYQ0bA5m/Tg3SG6Z9N+m8GBPlhV/YeFNYxQKfOI/3PS+qKsOjAWdX/3OgzgciZJED/&#10;dlIG8q4zQCfXwwC9a2GATkTU/UmI/up1Ne69eI6LZ51bzv1tT3THSvT3Ai8iojZrfIKqZ0DxtUqc&#10;+HmhqoBxZGK44WdSW8mNQWnzxqGovER9plU8lL7nj1H/5AFg8HlLRNRRGKATkSHgIQ4e2KrCc5PZ&#10;CaU3LZ4wh47Gt4kH9EDcILz4Z7IyPRO9UnJUGfhvE/erMu9uMQthjkiALTAYVu05PuybzjKi/+Rt&#10;gJ61mwE6dSrpOX3uZgHi1+bhv3Es304d76vEdAyYlIG08iss4U4uhwF61yLjbW+TJ3ZsX8cAnYio&#10;G5NVki9e1uDO8+e4pEL0kU4qdSyBUzAyFqegWFaiPwO4Ep2I2k3zM1W2Pf/yGaR/n6hWh0uJdcPP&#10;ozY6nBqqPiuvXDiFqqdQZdslQL//uEF9rrLvORF1JgboRGQIaEBezgEEBfvBx1f6VxpP+H02qxes&#10;wZEYGL8TvaREu0F48SkkhJee6V+n5qJ/0mEMiNuBgWPXw2f4dFhComHxt6nntdp8VKj+NlhnoP4O&#10;BujUVRTXFyH7aj6C5uew/zl1il6J6eiXmoHtpy8yQCeXwwC96xnqNhjr1i5TVaCMxuZERNQ9yEr0&#10;F69rcOfZM+RfOY+MRcn6ys32Dp/s5dzl8QsLL6Py8UtcbXpqHIYREX0MWXX+5BUq6hpw/ujvODpt&#10;uHPaUdipcvDaZ+PFrIOoks8w7fnLte243dyIl6/uMzwnok7HAJ2IDAH1KMrPRWRUKLxNXoYTfW1i&#10;9YY1IBiDxm9Wq8iNwovPpcJ07TF7p+air+qbfggD4nbBfcyPKlA3hYyEOTAUVn9/2GymVj3UGaoz&#10;QKeuorS+CMfLrsBtcia+SmSATh3PEaD/eoIBOrkeBuhdz+Chg7B69SJtDN5sODYnIqLuAxKiv6rB&#10;3RcvUFhWgoylE/UVnAYBUttEqHDr+JwxuHJRVm++QWXTM+NgjIjoH8hnh4TYpTdvIG/TEhyZEKZW&#10;hxt/9rSd9FOXkvDnj+9GZaO2Ddrzy+rzP5ua8PRFNfueE1GXwACdiAwBdbj552WMGhWl+qAbTfS1&#10;idUHNj8LBo9dp68cNwgv2sP7fdO/TtH+W/u7bxP2wk17bs+YBfAcNhGm0NGwBg2DTUJ1qxdsZjd7&#10;P3VPPVTvIT3VGaBTVyEB+o4LF9Xq895Jxuc3kTM5AvTf8higk+thgN71SID+44+LGaATEbkICX+e&#10;v6zBvedPUVRRioylE3AoKcAwSGor6bUuPdcvn85CpZRebn5uGJARERmpfPwKlY1PcEX7DEn/LgGH&#10;U4Jx2En9zsXhiWGqgsbZfZu053+kPrPKG57gWuMjPH5ew/CciLoMBuhEZOjNm2o8br6FpKTxcPdy&#10;M5zoayubxRODRq9Erwl5huGFc2Qo0j+9d0o2eqXmqh7q/ZOOYFDcdgwZux5DRy6FW/RcmIalwBIm&#10;wXoEbP42WK2eKlRv6a3u6K/uCNgdHL3W25v22PI8TgzzGaBTV5BfrfdAX3P8HAN06jQM0MmVuW6A&#10;/i/jJ8UxdhOO8VwLfbz3IYv29/rjGT1v2zFAJyJyPVJ++NWr+6h58QRFleXIXjXDOeXcNRKiy4p0&#10;Wc159UGT6l9sFJQREb3V9FSVbC/76y+c3rUex6ZGap8lzivZLiSYl8+r07+vw9W6B6hsfoGKhieo&#10;0ran8Vmd+txk6XYi6ioYoBORoTev7wN4gOkzJsDNc6jhRF9bWc1ucI9ZgK9Tc9BbBdvGIUZHkEBd&#10;erE7AvWvU0/gm+RjGJCwD9/G7cS34zfj27Eb4DZqObxj5sEUNRm+EQmwhMbAEhwFS0Cg9prMilVe&#10;21smve/6Z5Hf1R9H32fa4/tZYPH3g1V+vv379sMAnbqCghrt571CzN52Wg/QDc5ZImdjgE6urHsG&#10;6PZAvFUQLjc0tpD/NhpD2cdPftrPoDBYQoZrY7dI7WcMzNpYzndYsibpLe/o2dpYb74a77WYD5/o&#10;OdrvR6jnNd6+tmGATkTkmvQg6D5qXj5F6a3byFk7H4eSAp0Tok8IVc7u/UUFU1WPX+HqwycfhmZE&#10;1LM1PlE32VQ2PUX+uVxkLpuCwylBamW40WdLe3GE52cc4bm2DRUN+jY9eFrP4JyIuhwG6ERkSA/Q&#10;67BkyRx4+XjCbG3/FTeymtsnagr6JUtAlmkYYHQmfZW63k9dD9ZP4OuUbPRNyUDf5OPol3QE/RIP&#10;ol/CAfSL34u+8XvQP3Y7PMas0qxWvEYugnf0LH0y9pPMUr+rP84quI9diwFxO9FHe66B436BNTBY&#10;nzw22K9twQCdugIJ0C/eKUTCT3kqQDc6P4mcrVdSOvpoP1ceOofCmiJVGcHoeCXqjrp2gO4IyfUV&#10;4jJetFnc9BY7Eo77WWD191M3L/oGhsIUGAHfkFHwDY/XxpWT1RjKe8QCeIyW8diP+Db2N22ctkez&#10;Wxuz7dPGbtq4TcZuMoaTsVzS0Xf01c57NdZrpY82/vtW+7fmsPFqe4y3u20YoBMRuS5oZCV63cvH&#10;KP/rDnLWLtBDdCeUSD4sfYsnhiL35+9QevOm6ot+tfHphwEaEfVIUi696tELlPx5Dad2rMGxacOd&#10;VhmjNQnn9ZXna3G19oG2DS9Vz3PZpnqG50TURTFAJyJDjgD95/U/wGT2dkqALv3FZeXPN0mHVVht&#10;FGB0PRlqtbzeW72lv7qUg3eQPut6v3W957qjbPwne/s4+k+95PxJfBO/G9bAEAbo5LIKawpx/nYB&#10;opfmMkCnTiMB+tea73afZYBOLkcC9Cv3CvDdqoWdHKBLWO6txoSqTY5ZgnJP2PwssEl1n+Bh8A0Z&#10;Cc+weHhFToZX9Bx4jFoGt7FrMST2VwxI3P/eudt6DNUyfmrhGLc5OMZzrWi//6EsFaR7RyRr2+mc&#10;1kYM0ImIXJujLPGDl80ov3MHJ7asUKWSD09yQoiuPeahlGBkLE5BYdEVFZaxLzpRD9f4BFVPgat1&#10;DbiUexTp3yeq4NzZq86F3NgjzyXheYVaeS7huV4dQ8Jzx2fk+5+bRESdjQE6ERlyBOh7d29Sk3q+&#10;lvYPa9WqopAY9E/YC5nEfHcC1FW0CsQ/y7uP1zslB/3jdjJAJ5dWVFOIs7cKYJ2bzQCdOo0jQP9+&#10;DwN0cj2FtSU4f/Mips2fAm9v56yobiE3YdrZV5brfcU99FLrUlUndJRqjeM5fDqGjvgeQ8esxpBx&#10;GzAofif6Jx1S7XV6p+ZqcrSxUOsw/J9uVPzwvG6LXhNOwi1yGmxm57Q2YoBOROT6VIj++h6aXjXh&#10;WkMj8nasxSEJ0Z2wEl0cTg7CsRkjcDFjH64+fITKxy/fDdSIyPU5yrU/eo6C/As4sWERjki7h9RQ&#10;w8+N9iZtJaTaxtl9m+3h+Qu18ry84QmqHzdon413GZ4TUZfFAJ2I/hZQi5O5B+EfaFOr0I0m+9rE&#10;6qOCYAmEJRg2mqykdzFAp55A+k2fupGPgVMyGaBTp2GATq6sSPuOP1l1GvETYuFj8jIcE7SHlr7k&#10;eiUja1A4LOHjYIqaCrdRy/Dt2A34VlaSJ+xF/6Qj6JMqbXNO6q1zpIWOCsolJP/wHO1ovSbkwS1y&#10;qlMD9DVrGKATEbk6CYrw6i4evW7Enw8fqhBdyho7axXoIe2xj2iPffK3lSi7ew9Vj1+isumZcdBG&#10;RK5DgvNmCc5foPTGdZzevQHHZsTgUFKA08u1O+ghfQQuHN+DSm2bZHskPBf3Hz3Eq5dyU9Fdw89K&#10;IqKugAE6Ef0tCdArys4gOCQAPs4I0GXVkc0H/cdvVauKjCYr6V0M0KknkAD9WPEVDJycga8YoFMn&#10;YQl3cmUSoJ+6dgaJk+KdFKBLYG6Gb9g4+ETPhMfoFRgQu131IP8m8RD6JR/H1yosP6FxrCp3rCb/&#10;8HzsCjoiQF+9epE2/m4yHJcTEZFrweu7ePr6AW42N+HMkd9xZEqk01aEygp3KZ+cuWwS8i+dRmXj&#10;U65GJ3JhUiJd2jaU3b2P88d2In1BvH6jjtxQY/AZ4QzymXN81khczD6kfebovdcrGvTtuyfh+av7&#10;ePOK4TkRdW0M0Inob0mA3tx8HVHDw+HtpMlVq9ULQ8asxdep2YaTlfSujgrQd2fvYYBOnUYC9J1n&#10;LmLAxAx8lWh8LhA5myNAX3bgHAN0cjkSoJ/+4yySpiQ6JUCXledmf3/0SzigwnHpR/5O6fXkrh2W&#10;G3F2gO7mMRRz507Fsye3tTF4jeHYnIiIXIuERy/e1OPes0c4d3wPDk8ehsMpwTgyOfKDMKrNJkWo&#10;vuhHp0aplahlf91B1dM3uMrV6EQuQ0JqOa/Lq2tVn/OMRcmqhLoKzjto1bk8j3yOpc0diyvnT6Dq&#10;yStV9cIRntc9eWD//DP+XCQi6koYoBPR35LJuyePbyI+frSTAnR9gtV7xAL0cVK/SlfTEQG6lOzf&#10;dmw7A3TqNBKgbz91Ef0ZoFMn6qUde/1S07El96I6Jo2OVaLuqqi+FCcqTmJM3Ej4+DorQPdD34RD&#10;eoDuAmM8Zwfo7p5umDwpEfW1FeomVqOxORERuR4VIr2pRe2zJlzMPozjc8eqoNswmGoHUir+UHIg&#10;spZPwZXzeahsfKLKuku55/fDOCLqDrRzt+mpCs4rampx+VQGcn6arZ/rHRmcC7lRR32+TEZRaeHb&#10;zxbpdy7bWv+0Xn3mMTwnou6CAToR/S0J0J89vYWZM1KdMrkqZIJV+mD2SU6zr0YynrQkndMDdIv2&#10;mH6+WPPbj2py3WjSnciZ8jUSVq4+eh59U+yrgA3OBSJn0wP0DGzLY4BOrqf4QRmyinIQERkKkxPa&#10;9KgAPSgcfRMlQM8yPMe6m44I0KdMTsKDuqsM0ImIehhZif4GNWh88xjFF0/g2OyxqvyxYUDVTuTx&#10;j06LwqnfVqP4aqlauSq9kq82Pn0vnCOiLkn1OH+uQuqKugZcPpmOnDVztPNbWjYEdmxwrjk8IUyt&#10;dM/7ZTFKr/+pV7jQtlH6nUv/8/qnDxieE1G3wwCdiP4W3lTj5fM7WLl8gQrQzVbpZ2k86fe51ARr&#10;+Hj0TToKvfel8aQl6TokQNd+rty8ggE6dQpHgL50/zn00Y55BujUWRwB+m8M0MkFqQC9OAfDhoc5&#10;L0APHaGN7464zPiOAToRETmThOgyB/PkdQMqSs4jbVEKDiUFOTUEU4FXShDS5o3HuQNbUXr7tiq1&#10;LCWXuSKdqItqfKqdo69VeF5+rxoXsw8ie/UsHJ0iN8YE4vDEcMPz3WnsJdulPcSZfZtQUV2LSvkM&#10;0ba1XFP18BEan9UxPCeibokBOhH9Lby5jzev72Pn9vXw8fV2XoAeHOVSE6zO1FEB+qotKxmgU6dw&#10;BOjSd5oBOnUmBujkykoaypF2JQP+Aba33/3tSQ/QYxigfwIG6EREJGQe5iUe4PofxchaNQsHJRCb&#10;5MRATMKv1BDVJzltfizOH9mBkuvXUfXohQrpGKQTdRESnD99o4Lzkus3cDHrEDIWp2jnsL7yW0q2&#10;G57jTnRYlWwPQsZ3Cbh0OlO1hJDtk+2Vsu1/NjWj+Xktw3Mi6rYYoBPR35LwXCbwcnP2OzdA9/dD&#10;v4QDcJUSn87UUQH66q2rGKBTp2CATl2FI0Dfyh7o5IIkQD9+OR0mXx8nVhga61IVhhigExFRR3nz&#10;WlrqPcD92uvI+2URDqaGqtXiRgFWu5EgfUKoCsPSF8Th3NGdKPmjClWPX6DyMVekE3Uae39zKYNe&#10;WJKPMwd+VTe7qNXm2jl7xJk32PwD+Uw6lBqM3HULUFJZbq9c8VSVbK9oeIKbzU148qIGeH3X8HOO&#10;iKg7YIBORP9ILtqqKs+pEu6+lvafYFUhsJ8NQ8ZvZoD+EZwdoMskuli6fokeoFczNKKOxQCduoqv&#10;EtIwYGIGjpVcQVEdPwvJtUgJ94Nnj8DX7LwbJE2RE9A3+Th6JzNA/xgM0ImIqDVZrQnUoan5L1w5&#10;sgWHJ0fhUEqwYZDV3lSQnhSAjO8TcWr7GuRfOaevLH30Ql9d2sQ+6UTOJK0U9P7mr3C17iGunMlC&#10;3pblOD57NA4m+OnBucG52yHUqvNgHJsejbMHt6L8fo0enj/U+52Lu48e4sXLaobnRNTtMUAnon8E&#10;1OOv2wWIGBYMHyf0yLTYTLDazPAatZQB+kfoiADdx+SFWYtnoqi+DPkM0KmDMUCnrkIF6JMycPJG&#10;PgN0ciny3V5YW4KNezeq/ufOC9AnMUD/BAzQiYjIiIToL15Vo+LsMRyfOxYHk53bF701CewlSD82&#10;cyRy1s5TvZZLb93E1YZmVD1+iUoNV6YTtRO5SUU7p+TcqtDOsdIb11VLhczlU3Fs2nB9xXlqJwbn&#10;Ggnupd95xuJU5F88icqmp+rGGtn+iobHqGx4gtonDXj16j5LthORS2CATkT/SAL06nsliB0/Qq1C&#10;N5rwaxsJ0E3wjpnLAP0j6AH6DlgDg50aoM/8fgYDdOoUDNCpq5AAfdDkDJz4kwE6uRb5bs+vKcKa&#10;X390aoDuEz1HfY73Ts4wPMe6GwboRETUWfCmGm9Qj3t/XkHuiqk4kBysyicbBVzO4AjNjkyOQNq8&#10;8Ti1bRXyL59D2e2/UPXoOaqe4W3fYyL6NLLaXM4hOZfK/rqDgvzzOLllGY7PGaP6mh9KCerQ8/3v&#10;SIB/dGoUTu1Yo22nnPsv1bbLivPyhsf4o7EZjc/q2O+ciFwKA3Qi+kdyt3NjwzXMnjkRXj6ehhN+&#10;bWPSJ1kjEu0BumtMsjpL75Rs9I/fDWtwJCzafjPep5/PEaDP+G46A3TqFAzQqav4MiENAfOycFpW&#10;oLMHOrkQCc+v3CvEwpULYPJ1XoDuNXIR+qj+5wzQPwYDdCIi+idvXt/Xvh8a0NxwDZd2/4hDEyM6&#10;rKS7w+FJ4SrIO5wagsMTw5G5JBXnDm9HQf4FVNyvxrWnb1D15LUK1aScs1FYSESaxqf6avNnQEVt&#10;vTqHzh3eicylE/QbVuQck9C8g6pN/BPV6zwpAJmLU3Hl/ImWVeeNesn28oYnuN3cyH7nROSSGKAT&#10;0T8CavD86W2sXL4QHl7uhhN+bWW1eMI7ZJQKhxmg/zO5yaB/4kFYwsbBYnVGRQBfeHl5IHlqouqP&#10;ygCdOhoDdOoqJEAP/z4HZ28WoJABOrmQgppiXL5bgNmLZ6kA3WI1Hg98Prk50gseo5fjaxeqLtQr&#10;NQ/uUdNgs7gZvOa2Y4BOREQfQxY5vHx1H39ePIL07+JwMCVYBdtGwZdTTYpQId/BRH/VCzlnzRyc&#10;2b9FlXWuqK5RvZtlVXpl8zMVuLHUO/VoUp7d3tdcgvPKh49QXFaIs4d3IGfdAnUOybkk51RXCM0V&#10;7XPlUGowjk6Lxtm9v6D05k1UPX2jwn95TRKeV2pqHjfg5cv7gMHnFRFRd8cAnYj+kbrL+c0D7Ncu&#10;hIa4DTGc8Gsrq9UTvkHDMCDxAHqrlUrGE5fkCNAPwBI21mkBuqenO2JTx6OkoZwBOnU4BujUVXyR&#10;kIZxq07g/O0CFNYYH69E3VFBbTEu/nUFSZMTYHJWex5tbDdg3Cb0Ts01PL+6o16pJ+Ae8x1sNmmh&#10;0/6r9hmgExHRx5KS7rIavV77Pj+7cQEOTZSgq/OCNykzfTApQJV4Pj5zBDKXTVZlnq+cyUTZ3fuo&#10;aHikwkPVN11Wrkqg7ggWiVyVrDLXjnd1M4mUOq9/iJLKCpw/ugNZq2cjbe44HE4NxsHEAHUOGZ1b&#10;ncJ+c4yshJcbY2R1vFp1rr0OeV0SnIvrTc1oUiXb77JkOxG5LAboRPSvgCbk5R2Cm+dQmA0m/NpM&#10;SpEHBmPo+C0qIDaatCRdRwbohXUlDNCpU0iAvjHzAvqlZqBXovG5QORsX8SnYeLGU7h0R1bsGh+r&#10;RN2RBOjnb1/G2PjRzgvQbT7oH7vV9QL0EYthU+E5A3QiIupcekn3ejx/egtXT/yO9AWxOJAY2LlB&#10;nARvE0JxKFl6Noeqfslp8+OQ98tiXMo9gqKrZSi7c1etWr32HHq5d/ZOJ1ciK80f6aXZpfpC2b1q&#10;FFWU42LGfmSvnoljM0fqK7vlHOlKq83t9PM3EOkL43FB2+aK2gf6innVlkEv1y7n773HDXj2slqt&#10;Omd4TkSujAE6Ef0r4CGuXM5CQKAVJousujGe+PtsVh9Y/a1wG70CvVJyDCctSdcSoI9xWoDu5e2B&#10;keNicKLipArRjSbfiZxJAvSdpy9iwMQMfMUAnTqJBOgLfj+jqiIwQCdXUlhbgvO3LiEiOgw+zgjQ&#10;ZVwXEIgBcTu0cYvrjOv0AH0RA3QiIupSeQv1SgAA//RJREFU3qBGBen1t6/g0vZlODw5EgeTgwzD&#10;sQ4lYfpE6ZkeqksNwdHp0cheORVn9m7ClfOnUFRerMq9qzD9KVTwyFLv1O2o0PwFrj2Tm0Jeoezm&#10;DeRLT/OjO5Hz4ywcnTZcVYjQzwXpa94JLRf+jYT6SQE4NjMGp3dtQOn1P/SKESo4d/Q611edNz6r&#10;V6E5g3Mi6gkYoBPRv5LSYBVlpzE8KgzeTlqpJOUwPWLmq8lJo0lL0kmJ+2+SDsEcEQeLxdNgX7ad&#10;t48nho+MRPqVdBTVlxpOvhM5kwTo+y9fxreTMvBVQprhuUDkTL2T0vG/+DSsSTuPYu14zK82PlaJ&#10;uiO5OS63PA8hEUF6D3SDsUCbWL1hDQpD/7jftXFLtuE51h11xAr0yZMSUV9bwQCdiIg+mYTor1/f&#10;x41Lx5CzfJLeG12FdV2ln7K2HRKop4bqJatTgpC+YDxy183H6X1bcCkvDcVXS/VS0bIy/dELvV+0&#10;9I1mD3XqKlQvc+0Yld7+cnw+kfLsT1FSVYFLJ47j1M71yF4+BUenRqpA+nBKiDruu9pK87ckONc+&#10;K45MDsfJrStQWHhJX3GucbzmcvvP+48b8Fx6nb++a/gZRETkihigE9G/AupQfa8Eqamx8PB2N5z0&#10;ayubxR3ukZPQKzXPcNKSdL2TM9Ev+Th8oibDavEw3Jdt5WPywrDocBy9cAxF9WWGk+9EziQB+ok/&#10;8zFwSia+ZIBOncARoO+4cBFlDWxlQa6lsK4Ue3L3IiDYD75mZwToXrCEjkT/hH2qco7ROdYdyRjV&#10;LXoebKoCUPsH6EPdh+D772fh5Yv7ePO62nBMTkRE9E9gX43+uKEKZWlbkTZnDA6mhuKQxjA860yy&#10;Ql3KRScF4mCCnwocpWx09urZOLltNS7mHEJxRQnKa+pxVXqo21f5qn7SUvZdVsYyVCenk8D8mf3Y&#10;kxXZT7XjsRnl92tQmH8eZw/+iuy185GxMAFHJ0eoY1mVZ5fQ3Oi47yJUdQgJzrXzMGfdfORfOoOr&#10;DxpVJQjHeVXRoK88v9nchKbn0utc+4xheE5EPQwDdCL6V3hTg0dNNzBv3jS4eQw1nPRrK6vFDT7h&#10;8eiXko1eyZmGE5fkCNDT4BM1xWkBusnsjaDQAGxP24GShnLDyXciZ5IA/czNfHjMyGKATp1CWgcM&#10;npiJw4WXUfqAATq5Fqkus3HPRtgCLPB1SmseL5jDx6N/4iHXCtAn5MEtcipsZueMhQcPHYQf1ywG&#10;0Gw4HiciIvpYEqK/eVODhjsFuLRjueq7fCDZviLdIEzrClSglxqir9pNDVaB+vGZo5D+fTJObPwe&#10;F45uR0HhJZTevIXye/f1sO/JK73XtArVXzBQp/bR+FS1E5Bjq+rpa1TUNaDsrzsorryKS9kHceKX&#10;xUhbEIdj02NwZFKY6hkuq7i7emguZBtle2XFedbyybh8KkO9PnVzgNyYor1+Cc0lPL/W+Bg1Tx7g&#10;hVp1zpLtRNQzMUAnoo8CPMIvv6zEoCGDDCf92soqq3mCIzE0dgv6pOaoMpm9VNnPjA8mMHsyxwp0&#10;kxNXoEuAHhjsj9+O/sYAnTpFYU0hzt8uwPAluQzQqVN8oR13ttnZyCi7guJ6BujkWiRAX77xB5it&#10;JqcE6DI+MUVNVOMVGbcYnWPdUYcE6D8yQCciovbx5k219p1Si9evq3G38gzObV6k90dPCuy65aQd&#10;ZHW6BOqO/uliYphybNZI5KyZhTO/r8OFnKMoKLiE4qoKlN+7hyrpQ/1CQs83ehlqe//mDwJSotak&#10;ukHzC1Q9ea2OHynPXnrjOgqL8nHxRDpObVuFzCUp2rEpVRO041COx1Q5LrtQi4R/o22nrIw/MjEU&#10;2Sun42L2IZRX19iD85bzpLxB2xfaz3uPHuLpixq8YXBORD0cA3Qi+ihAE37f+TM8vNzVhKvRxF9b&#10;WUVQBLwiJ8Nt1A8YHLcNfWXCMjVXrWCS/t96oN6TQ/UM9NX2hWf0HFgtzimnL5Pp8l6s1y5Iyxqv&#10;Gk6+EzmTBOiX7hQiYe1JFaD3NjwXiJznv3FpGLXyBE5fL0BhrfFxStQd5VcXqfYs85bNVf3PnTGm&#10;s5nd4R4zD1+nutaNkAzQiYioO3rz+r723VKPFy/u4mZ+Bk5tmI9Dk4bpPdLVitnuEwC+DdZlpXpy&#10;EA4m+Kuy2RnfJyB37Vyc2rkO547vxeUz2SguL0KFCghfqZXqsqL43Z7q7Kves2jvtbzfsrpc9TDX&#10;jgVZZf70tWoPUHbjOvIvnlTHz8ntPyFr+RQcmzYchxL99dXlE0K1468L9zI3pJ8v+ur4MGSvnomL&#10;uUdRce++fpOJusFE3z/S57yi4TFuNzei6Zm9XPt7nyVERD0RA3Qi+ijAQ2Rl7IF/gAU+zuiX6WD1&#10;VuXcbfLnoDB4h4+HZ/RsuI9bi/6J++2TmBn4WgXq2Xqw3sNKvveacBKDRv4Am9nNeB+2kdligq+v&#10;F1ZtWYmypkrDCXgiZ8qv1twrxNwdZxigU6f4f+PTkPrLKVy+U4iCGuPjlKg7kgBdqsukzkiBl5dz&#10;KtnI+GTgqB/UeMXo/OquGKATEVF3BsiK9AY8eXwTNwqycGrzYhydFoODKSE4lBrSzYLBFocnSaAe&#10;ag/Ubao8tQSf6QvikLViGnJ/WYIz+zbhUt4xFJcVobymTvVUv/rwkR6kPnqhr1aXn7ISV8J1rlrv&#10;/iQoVyG54/2Vmyekf/kjVDQ0o6SyHJe1Y+L0rg3IWbcQmYtTcWzmCO34CdD7mHeTkuyG5EYTWSEv&#10;5/WUYchdNx9XLp5G2d37apW97BPHflLl2jU3mprx8GkdXqpy7exzTkTkwACdiD4K8AD5l7MwLDIU&#10;3iYvw4m/dmX1UT00pQyozeYDq78N5sAQmMLHwydmHoaM24hv4vegX+JB9E1Ow9dvy77n2EN111jx&#10;JK9DXo+8Lnl9X0tZ+wknMXjkMucF6FYTvLzcsWTtEpQ3M0CnjicBuvRBX3P8HL6IT0PvJOPzg8hZ&#10;/t+441h25CyuPiw2PEaJuqv8miIUaMYnj4OnpxMq2WjjN5vNjMFjftLHLQbnV3fFAJ2IiFyBlHWX&#10;FenPnv2FG5WXcGbrMhybM04P0qXEs6yyNQrlugu1Sj1MhYeqN7X0e54QiqPTonB89mikzY9D9o+z&#10;cHLbKlxM34PCggsouX4dZXfuoqK2HlcbmlTIqPpf28NGR29o6qIcYfljWVH+Ru+L3/QEFTX12vt6&#10;DyU3b6HgyllcOP478jYvRcbiVHUsyDHx9jhRq8y7UUl2I9q2q9ehkdd3cssPKNCO74raB2+rMLQu&#10;1S4//2x6hPqn9arPuaw6Z7l2IqJ3MUAnoo8iF1n37hRj/PiR8PB2Tunwv2dSE7JWWZ0ubNKv0wRr&#10;QADMYWNgGj4dQ0evxLfjfsG3cdvRP/GQKnMuK59UqJ7qCNW79kp1KVEvfd8dYblsf9+UDAxI3K+9&#10;rh0YOG4D3EYug/eIBTCFx+p94w33V9u5DR2CBasWovLJH4YT8ETOVvagCAcLL6NPknZuMECnDtQr&#10;MR39kzOwNe8iyh+y/zm5Ful/np6fgeEjI+Ht42k4BmgTbZxm8w/AoHEbtbFMruE51l0xQCciIlch&#10;fY2BGk0dnr+uw+2bxbiw92ekLZ6gwudDqk96Nw/SW1Ohur2nemqITkpyywpj7f8dnTocGUtScHLL&#10;Mpzd+wsunc5GQcFlFFWUouz2bRWsX3sGXHsu/dVbBeutSmBTB5ES/FJ63X6Tg6NnuZTrL/nzDxQW&#10;a2Pey+dw/ujvOLlpCbKWT1Yry9Vq8tbHgPy0v/+Gx0x3IsG5ds4eTglC+vdJOLVzPYrLClXJ+pYb&#10;QOzBuWh4guuNj1D7pAEvXlYzOCci+gcM0Inoo7x5U40Xz+9h4qREuHk6Z+Lw40m/Tj1U10u+e6qV&#10;6lY/M6xB4TCHx8I7agqGxizA0DGrMGTcBgyM341vko+id+oJjfRUl1BdSsDby8Brvn6nx7ozZL59&#10;Lv15tW2wr5z/WvvzgKSDGBS3XW3v0NErtO1fCO/IibCEjVG94W1y04C8Tu31yus23jftw91jKKbO&#10;m4L8+/pqNaNJeCJnKqkvQmZFPqyzcvBlYpp2/hgHGkTt7YuENJhmZuPglcsoecDPP3ItxQ/KsDd3&#10;L0KHBase6EZjgDaR6kHBkdq4a4e6KdDoHOuuGKATEZEr0nuk1+K59v1z914lCnIPI2vtQhXMqVDu&#10;7apcFwgaW5PXpITbw3X7qvWUYO11B+DIxDCkzR2L7NUzkCdl4A9uw/n0A6q/uqzqLbvxJyqqa9+u&#10;VJde6y2l4O3lwoWj17oDy8O/q/W+UfvK0aNcgnJtX6qw/JW+svzpa7WqvPQP7TgtvIiLeWnqPZHA&#10;+MTP3yFzSSqOTY9+W3ngg6DclY5j7bWom12kaoT2M+enObiQvh8lf1TZb/B4qe9T+35WpdolOG9q&#10;VsH585fVqlQ7g3Mion/GAJ2IPop+UdWApUvmwtPbQ5X5Npr861wSqnvDogJ1N9gs7rD5WWALCIQl&#10;OAqm0NHwDE+AV+QUeMbMg8eoZXAb+xOGxP6KQfE70CfpuOGEqXEY/m8+fJw+yccxOG4bhsZugvuY&#10;1fAYuQRe0bPhGTkRXmFx8A0ZCYsE5dr22vx81fbL65DXowfmHbfPPb3ckTAhDqcqz6CwrsRwEp7I&#10;mYpqC3H2RgHGrc7Df+MYoFPH+b/YNEQuy8WZ6wUo1I5Do+OTqLsqe1iBn3f9rG469LVIRR/jccDn&#10;kpv8zKGj8G3ifv3mRINzrLtigE5ERK4Mr+6qFekvtO+h6ge3UVKSj7P7tyD9u0R7wGxfuSthpFGg&#10;52okoJwQZg/UA3Ew3obDyYE4OjUSaXPGIHPpRGSvmoncTctw6vf1OH9sFy6fSkdR4UWU/vkHKuob&#10;3wmJVSgsq6ff6cstAbEjcNf+n6xot4fI3T9obx2I66/t7Wtv/folKFc3Gsi/t/9uwyOU3bqF4pIr&#10;uHI2G+eO/Y7TezbihLavs1fNQubiFHVzw5HJ4epmB9Wz3BGYu/LxqY7JlhX0sg9O7/gRBfkXUX6v&#10;WlVJkP3qeA8c/c3lz9LjvOFZPZ6/cATn7HNORPQxGKAT0UfRS3zVY9PGlfA1e8PX0hUDdAP2Vep6&#10;qO6hh+pWL301t58FVn8/WAICYQ4IhikwXBMB39Ax8I1IgG94LEzDUuAdPUcz+yPNgc/wGdrvJ2m/&#10;H6eJV8G447EtAUGaANXTXZ5f+rvbrLJtEpZ7qJVbantlu41eTweRsq5j4kYhqzgbRQ/KDCfhiZyp&#10;QPqg1xRh7q4z+H/jGKBTx/l/Y48jedNJVLD/ObmgiuYqLN+4HN5OuhlSxjPe2hioX0oGev/NDYXd&#10;FQN0IiLqCfD6Ht6gFi/RhAdPH6Dqzm3kX8hD7i9LcXzueMgKXr1ndIh9Ra9B0Oeq1Kpf/WYCFazL&#10;fkj0Vz2nZb8cmzYcx2eNQtr8WKR/l4TM5VNxYuMinN61DucO/YpLJ44i/+IpFF+rQsmt2yj7667q&#10;0V1+v1b1qb5a/xCVjY8VWdEugaha4S6rr2WVu6L3sm7hCKHfJaXO2xTCOwL/9zVLAN7y/LKdb7ft&#10;qUbKqqtV+dp22l9LRV2Den3l1bXq9ZbevqMUlRUh/0wWLmbsxZl9v+Dk1uXI/nE20helql710sdb&#10;VpSr/S7VAZIC1M0Mer9yFyrB/i/kdaobBLTXfHzmSHXjxoXM/Si9eRNXHzSp40OOA8d751htXtn4&#10;CLebm/DwaT1eSo/z13fVjTJG5z0RERljgE5EH03uRj56eDv8/C0wmTs34G0bmTCW1eoSrtsDdo30&#10;FNfZe607SNhu8/lI9n/7zmM4HtcRjtsDchWSd80bEXxMXqo/6rGLx1HSUG44CU/kbBWNxfgl9wJ6&#10;xaejl0GYQdTeeiWlo09iOpYfPIeyBpZvJxdTXYTShxWYs2Q23NyHGH7/t5XN7A73qOkqbDY6x7oz&#10;BuhERNSTyApVvKnGK9Sj4UUjbj56hLIb13EufR9yNixG+sJ4PdSUADk1tOeF6a1JwKtKwYe1rBCW&#10;kDfVEfSGve23rv791CjVd132YcbiFOSsma36r8tq4vNHd+L8ke24fCYH+YWXkX/lIgpLClFUUYai&#10;8hIUV1ag9NYtzU2l7PZfuGoP31s04OqDRlx7+gbXXup9wj/Jc6Dy4SP9cd553Icov3fv7XPLdpRc&#10;q9S2q1T1iy8sLUJ+/kXkF1zC5bO52uvYoV7Pqd9WIE97fVJmXF5v2txx6vUfmRJp33/avvlg3+mr&#10;rNW+k//f044vOaa0fXBQO7+k6kHmskk4vXsDCgsv4mpDs37ThNw80dTSh196m0tw/kfTI9x51Ijm&#10;Z7V49eo+oM5n4/OciIj+GQN0Ivpo0hervOwMQsOC4O2Mvpldlj1w/yRGj9N9SF/UkPAg7Mvbrybb&#10;DSfiiZxM+k8fLbgMy6xs1ZfaKNAgak9ynLlNzcSe85dQXMcAnVyLtGQ588c5JE1OUK1ajL7/28YE&#10;m9UH7jHz0Sv1hOE59qF3W+D0Ts5Upd97p2Tb5WiPldvKic/U6jG0x5TH1R9fnivzg+3Qvbutzg/Q&#10;B2PNmiUM0ImIqEuR4E1Wpb98XYOmlw9x/8Uz/NH8DIUVZTifeRB5W1cg4zsJ0/VS5xJ69sjA85/I&#10;vnjL3nNdrWSX0LhVcKxRK9uFrG6X1dYavWz8aByfNRJp88cja+VUZK0QU5CzegZObv4BJ39d2UJ7&#10;T05tW42zh3fiXNp+nDu+7+Ol7cPZo7txauc6tSL8ncfV5K6bp55XPb+2HRnfJajtOq5tn6wWP5wS&#10;pK8UV1UK9NfieG3qdcrrlbDcvg/eHisORvuvR9Bfv+prLueRdj5lLkrCqR0/qb775Xfv2asPvLD3&#10;1terC8hq8/KHT9TPG01NqH3yAE9e1KgqonLuMjgnImobBuhE9NGAGjQ+vIbI4eHwMnkaTv6Ra5C+&#10;qFY/X2xP24GypquGE/FEzlZQU4jLdwoxdk0e/t+44x+EGUTt7T+xafBbkI1L2nEnx5/RcUnUXRU/&#10;KENafjpixgxXrVqMvv/bxCpjBxvcRq9Cr5Tcd84tKecuQbUeWOu+luBahdctAfY3SYcxJG4b3Mb/&#10;AnftcdxHr4BHzHx4Rs/WzIVH5FR4RCR/giRNqva7c97yGLlUe9yVcBu7TnuuXzEwfvfb51cc29Vq&#10;W2Xbv5p4ymkBupTT9/LxwG+//qSNtxsNx+FERESdSQ/S9fLPT17Uoe7FY9x8AVVCuqjqKi6dzcXp&#10;nWuRuSRFrbY+PFHCUjsVlPbkcLRt1Op2R/Cs+rJL0O6g37iglzd30P/7YIINB+Otqn/7J0tseZx3&#10;JAe98/z6+9sSivN9/gT2wFwqODj2o9wgcXrnT2oFf8mf11DZ9ESVxZf+8e+UaLer1Pz16CEan9W9&#10;7W/OMu1ERO2HAToRfTQJ0F88/wsTJ8TB2+RlOAFIrsFs9YWXtzu2HNqKikdVhhPxRB2h/GERvt97&#10;Fl/F6eW1WwcyRO2pt3Z8fZmQjuT1J1FSX4T8auNjkqi7Km28ij25exEU4u+cVjzStiYgGENiN+Or&#10;lFzICm9Z8d07NQd9UjLQN+kY+iUeQt/EgxgYuxWeo1fAO2YefCInwRQeC5/g4fANCoclMFh7nEAV&#10;xlv9rLDJynabj87qCZvF7RO5t/y+tNnxs6jHtfr7w6JtrzkwFD5Bw+ATOhqmYUnwHj4TXiO+h/vY&#10;dRgQtwN9Ew5q234YX0/IhbuTAnRfi0l7T7yw6/cNDNCJiKhLcwTp8lMCu4bnD/HX8+f44+krVNQ3&#10;ofTOfRSWFuP84d+QvXoWjs8Zi6PTolRZbtXHuaeXe6eeTULzCaH2nuYhatW+9HuX1f5XLpzU+5o3&#10;SF/z16h88gpXG5+2rDSXEu0Smjc+wo2mZtQ9eYCnz2vw6uV9+znJ4JyIqL0xQCeijyb9r14+v4Pv&#10;v5sBH18vFbIaTQKSa5D+qGu3r0VZ41Xk32cpY+ocUsb99zMXMWRKJsu4k1PJDRp9U9KxLu08imqL&#10;tM8942OSqLuSG+K2Hd8OkxrDOaHdjNUTvsHDMSD5KPpp59KAhD0YELsNg8b8BO8RC+EbORGWkGiY&#10;AwJhkRBb+x2rzQSrrFyX8F37favVSwXxOh/d2/Y4bWmT0+r3HY/79nm8YLXoz622Q/s3sm0WP7Pa&#10;TktQGMzhY+AzfAZ8Q0bCYmn/m0glQJex9e87f2aATkRE3YYEdhKkv9I8flGL6qfNuPHkOSofv0T5&#10;w6cof/AIZTdv4PKpdJzc9iOyVs1E2tyxKjiU1dGqvLesWjYKGolchYTmqaE4JKv6U4JwfPYoZP4w&#10;Bad2rkX+xZMo++surjY+VqvMKx+9xNVWfc0lMC9r0Mu1X29qxr3HDWh+Lr3N3z0H3z83iYiofTBA&#10;J6KPJgH669f38OuWNfDx9XbO5Ct1GR6ebli4YgGu3CtAQU2x4WQ8kbNJGW0ppx2+JAf/jWWATs7z&#10;ZWI6hk7JQEbZFRWgGx2PRN1VfnWRKuG+cssquHs4p4e3hM8+QZEYOnIpTJETYQ2NgS3AH1aLhz2c&#10;doTjRsG48WN2jlbb1Sps17dfttvod9qGAToREXVnEuA5VqbLqvQHT+tx53ET/mh+goqm57j66CWq&#10;nrzB1boGFBZewIWMAzi5/Sdkr5iqVqcfSvRXwaKUJ1er07lCnbozdQyHq9D8oJS9147tjO/icWLj&#10;Ypw98jvyL59BRXUtqh7rPc0rm5/ZV5q36mtuX20uofndxw/RoJ1Tz1/qJdod55vRuUhERO2LAToR&#10;fRKgDpcvZaoe2cJoEpBcg5e3B6bNn4LzNy+isK7EcEKeqCOUPijC7G2n0SshjWXcyWm+1I6vUctP&#10;sP85uST5Hj97/Twmzpqgvt+Nvvfbi5RMl9BcVnY7K3B2NQzQiYjIVTiCdPnz4+c1qH3yALeam1Ap&#10;4WDjM1x9/ApVz4GqRy9QdusG8vMv4ELmQZzc+gMyvk/Ug0dH73SFvbWpK5M+5vYe9a2O26NTIpG1&#10;YgrO7N6IS6ezUVxZrm4gufZMO/afvEble6vMW/uj8ZFaaS59zZ++qMab1/o5xdCciKjjMUAnok8C&#10;PMDtWwXwC7A6OUCXVT+ceO1M3iZPxE+IxcnK0yiqLzWckCfqCLIaeP+lyxg4KUOFnEbhJ1FbSP/z&#10;L+LTsPzQORTWsP85uR5ZfZ5TdgIjx8WoEu5G3/vUeRigExGRq3EE6fLz5cv7KkyvftyAPxubUfnw&#10;ESoan6Li0UtUPpVA8RUqah+g9NYtFFVexaXcozj563KkL0rG0RkjVBh5ODXE3kM9WIWVDNSps6jA&#10;XEqyJwep3v7yd8dmjNSO1xR1I8il3CMoqihD2Z272rHejKqnb1BpEJq/7WluD83vPHqoQvNnL6pV&#10;iXY5fxw3oxARUedggE5EnwSoR/X9UowaFaXKuBtNAradCRY/P1gCw2Dzs9hXMrkzUO9gMsEePToK&#10;WSU5auLdaEKeqCMU1hTi4p0CRC89wQCdnEIqGwxIzcDhwsuq4oHRcUjUnZU+rEB6QSYCgm2sINQF&#10;SYAuNy7u2L6OAToREbkcCdGlV7P8WcJ06eF8/9FD3GhqRtXDR6pfupR6l/7PEqaroPFBEyrqGlFc&#10;UYpLOYff9lBP/y4Bx6ZHqzD9YIKf3kedgTo5k3ZsqcBcyrEn+uPo5AjVyz/zh8k4sfkHXEjfi+Ly&#10;YpTXPMDVhmZ1/FY9fqnKs19tktLs74XmmmuNj3CjuQn3tPNAzgc5LyQ0d5wrXG1ORNQ1MEAnok8C&#10;1KLp4R+YNXMCvHw8DScB28zqBd/g4RgStw1uo1fCffgMmMLjYQ2KgM3PrPfSfKc0qKNXpcFjuRz7&#10;a1U9ROUGBue9bpPZG8FhgUi7ko7ihnLDCXmiDlGtr0Jffew8/heXplYLG4WgRJ/rP9pxNWZVHs7e&#10;LGD/c3JJciPczozf4WPyhNnaU8ZM3YfJ7AOr9vPwod+0sfZDwzE4ERGRK9ADwnuARkJDWXErK9Nv&#10;Nzeh6uFjlKlVuU9VT2gJIiubJVh/gUoJ1rX/X3KtAlfOZuPs4R3I27oSWcsm4vjMETicEoSDqpd6&#10;q0BdheoM1ulj6cdM6xXmckwdmRCK9IVxyF03H6d2/YyLOUdQVHQJFdU1qLQH5eo4lRs/JDBv1HuZ&#10;O0Jz/Zh+jD+bmvHXo0bUPmlQofmrV/ffng8ORucMERF1HgboRPRJgGq8ePYX1vy4GB5e7oaTgG1m&#10;9YI5MBwDEvfjqwkn0Sv1JL5JPoZBcdswcOw6uI/4Hr6RE2EJHQmrvx+sVu8PqGC9W4br9u21b/+H&#10;r80LVu3/y80ElpAoWPys2r9zzuuTCXaz2QdHLhxTK9eMJuSJOkpxfREyK67AZ0YWvkzkKnRqP701&#10;/xufhlXHz6G8oZjl28nlFNQU48q9Aiz68TuYpHqQ1fh7nzqPVHUKCQnAqbxD2li7wXAMTkRE5GpU&#10;kG4vU61Wpj+rRf3TelXKWlbolqsAUsJHnQrVH71QPaSvvQCqmp6i9M9rKCi8pPpMnzuyAyc2fo/0&#10;BbE4okLQkLc9qXWt+qmrcN0oRCWXZ3//jXqXyw0YR6dHI2v5ZJzauhzn0/fj8vmTKCovRkV1Laqe&#10;vkbVM6jg/KoE5ios1wNzCclbk7+72dSkbhB5+KwOT17UsDQ7EVE3wwCdiD7Na22w9+YhsrL2YqjH&#10;UMNJwDaToNjfH+5j16FXSrY94MjU/pyDXqkn0Cc1B/2Sj6N/wn70j9uBweN+hufIxSpUN4eNh29g&#10;KCx+Nlj9LGo1j1UF0V76ynWrp/b4snK9M0J2Rzgu5LllG7Tt0rZJ3zb5s/batX9r9TOrcNzsHwBz&#10;SDR8IxLhEz0H7qNXoP/4X/FNwj4MHf8LLPJa5fV88FxtJwG6KieatkOtXMuv5qpM6jwFNYXIv1eI&#10;6b+exn9iGaBT+/kiIQ2e0zJx8MpllDbwc45cT0FtMS7+dRkTZqToAbrBdz51LgnQg4P9kZd7gAE6&#10;ERH1SO+H6U9fVKvQ8e6jh6o/tKw+l0BSSmCXq0Bd+28VqL9UPaavPQeqHj1HeXUtSq7/iaLyMlw5&#10;fxJn921Cztp5eun3mSNxdGqUHp7ae6rrK9ZDW4J1o8CVui8VlIfpK8q191rvox+i/b8IHJ02HEdn&#10;jETGomTkbV6C84e34cqFUyi6VoWy27dxtfaBailQJceW9DBvfv42LHcE5o6S7PLfqpd5U7Mqy/7g&#10;ab3q+//iZbU6vh3HNleZExF1LwzQieiTSW/GwvwcVU7dKX00rT7qsT1GLkav1ByDwCMDvVMyNVka&#10;7f9r+mj/3Sf5OPomHUXfxMMYGLcT7mPXwCtmAbyjpsInIhHeISPhGxypeqtbAwLV6nXVY92mPZ/V&#10;CzaLG2xmN9Vv3VEm3sFicQTv/0D7N+//nlUeUxmqPYe3/lzaa1Qr5wMCVADuGzRM27YR8AmPhU/k&#10;JLXNHqOXY+j4TeiXsB99tNfUJ+mY9vq01y6vWdsnX6WewLeJ+2AJHqY/9/v7sB1IgO7j64VVm1aq&#10;8JwBOnW2soYi7Dp/EQMnZODLxPc/F4g+z/+NP47En/NQqH3GyY0aRsceUXdWWFuCczcuIGb0cAbo&#10;XRQDdCIiohaOMF1+yordFy/v49HzWtQ+eYBbzU0qpJSwUoXp9vLYKtRsfKKX0n78Sg88pQf1w0eo&#10;qGtARW2DCtavnErH+SPbkbdlOTJ/mKrC0+OzR+HolEi9DLz0VU/SQ1YJ1hmqdyOT9BXlKijX3sOD&#10;CTYVmEtQLj3LM75PRtbq2cjbugLnj+1EwaVTKL1xA+W1D1BR36iOoSp7hQO9LLtjhfm7gblekv0J&#10;qhof6WXZmxtRpx2bcoy27mXOwJyIqPtjgE5En0wm9qqunkN0dAS8Tc4Ib02wWT3hETVdBcVGgceH&#10;MtQq9ZZg3diAxIMYHL8DQ8f9DLexa+A+6gd4jFgA9+jZcB82Ce6Rk+EVkQRz2JhWxsISEg1rUPg/&#10;MofEqH/b+ve8IlK0x52smQiP6Lnacy2E+8hFcBvzI9zGrVd93qVUfe+U7A+2tYX9dWmvUV6nvF75&#10;c5+UDPiEjFBBvfF+bDuTrxfmLJmFy3fz9RKwBhPzRB2lsLYIl+8UIn5tHv5vPFehU9t9lZiO/tpn&#10;6fqM8yjn6nNyUYV1JTh2KQ0BwX4wmRmgd0UM0ImIiIxJAPm+Z7I6/amjd3oj/mxsVuGmBJvvBOqO&#10;su+OXuqtqXBd+51bN1Fw5azqa3320Dac2LoSuWvnIWNREtLmjFEhugpikwJUT2w9WJce644V6wzY&#10;O459f8uqcim9rqoIBOGQ9L5P9MORiWHqZojMZRPVe3hy+1qc2b8Vl0+lo6j4svZe30LlY3u/8vep&#10;cuxP9WPGfvw4AnP9mHqi2grcbG5SVREkMG96VqdWmEs///ePUaNjmYiIuh8G6ET0yYA61NWUY/Lk&#10;RKf1QZdV4N7hseirVpvrofHncwTPLSvXpTS8XhI+V5WF1+Wh14ST6Kv9GwnaWxzCwIRdGBT32z/6&#10;NmGP+retf6+PPE+q9HHXHvvt82jPKc/9NjTPfGcbjV/D++S1ZMM7bJxelt5gH7YHWak2YXoKLty+&#10;jILaEsOJeaKOVNFYjC0nLmBAaga+TGCITm3z39g0BC3MwdmbBdpnnPExR9SdSfWYwrpSrNu5DlY/&#10;X5gtHdGypiPZ2+P8LaPf6XocAfqJnP0M0ImIiP6FBJSOktivXt7Hk+c1KlCvefIAdx5JoP5IldXW&#10;e6e39KTWg3UJ1R2e6uGpfcW6KtX9+KXqdV1cWY7Cosu4dCYHF3KO4cyejcjbvBRZK6aoHutSCv6w&#10;lH+XQF1p6aOt91oX4TjsCNodDIPhHq7V/lH7TNH2n6M/uexbx35OCVL/Ln3+OPVe5P2yWHtvfsGF&#10;7CO4fO6E6odfev2a9h7W6GX9HeXXH71U73XLe69Rx8O7x4dOO26040daB8gNGjVPGtCgHV+ywvy5&#10;dry9eaUfe1xhTkTk+higE9Ene/NaGzC+rsOaNUsweOhgw4nANpOS6SEjMDBhrwqZjYIPZ5HV3S2r&#10;v3VvA/d/8P7viI8PxD+Vvo0+kamqb7qzJoklQB8TPwrnbl5UJWCNJueJOpKU2L7wVyGG/5Crwk/j&#10;84Po3/VK0iSm47s9Z9j7nFyWBOhF9WWY+f0MmExeqj2L0fd916Jto9XHThvj2FvlyA2DVtUuR6P+&#10;2/sjtP4dRzseeUxhf44uELRLRaeIiBBcvpgBoN5w/E1EREQfah2mv3l9T5XQlhXqj57XoP5pvVot&#10;fL2xGZX2PuoqIH27qlj/b0eQqjS+Wwa+6hlUEFsppeBr6lB66xZK/qhCUUU5CvIv4mL2YZw7sAUn&#10;f12B7B9nIWNxMo7NHIWj02P0futT9IBYD4QlAJY+3EF67/W3wbs9LHb0YRdGQXN343gt9tLqij0M&#10;b+lHrvegl9Xjqi/5lEgcnRat9l/a/Fhkr5qublw4u3cjLmbsw5WLp1FYXoaSa1XqvZCbHSobH6v3&#10;SXnypiUsf++9bQnI7b3L7X8vx4W8vzea9NXlctxIWC59+KV9wDvHWKtjj4iIXB8DdCL6LEAz9uz+&#10;BR6ebs6ZjJWJ0cAQDB6/WYXTRuFHTycBunf0bFiduMpKAvSQiCCc+fOcKgFrNDlP1NFK6ouwPuMC&#10;+iTpJbiNzg+ifyMVDNynZSG97AqKahmgk2uSAD2/phhxKePh5e28li+fxxGUe6kbJ6X6kE1o/23T&#10;/r/V36YJgEUbD1oCQ2EKioRPcLRmOHxCRsE0LEmT/A9S1L/zCdL+vfZ7pqAo9TjyeNaAAO2x/dTz&#10;2Kze2vO6qedXN3CqkL1jg3UvH0+MHBWFP6suqEpPRmNvIiIi+nfvh53Sj1qF6i+r0fhMyr4/xK2m&#10;JtW7Wkpy66G6Hqj/bagumuyr1R+9RJWE609f6yubpfS3hOv1D1FeU4/y+zUou3sfJZVXUXD5NC7l&#10;HsH5Iztw+vd1yNu8DNk/zUPmsimqH3f6gjikzRuPYzNH4NiMGBUgH5loD5gT/VXpeEdPdhW6J2s/&#10;31n1bg/g367afldbgnijx1NUCN7y/IeEY9u0nwfVdvsparW49nokHD82I1q9zrR547TXHY+MxanI&#10;WDoZuesW4uTW5TizZwPOH/8dV05norDoCsr+uouyezXaPq1DRd1DXG1o1vb1U1UhoOrpG/UevA3K&#10;tb9///1qHZQ7yN/Le/5HYzOua8fAnVal2OWmC6lm0Lp/OQNzIiJigE5EnwVoRG72fvgHWODjjH6a&#10;Vh/YbCYMGbVSlT83Cj96OgnQPUcuglXtMycF6Np7Kz1TpXcqA3TqKhyr0KN/OIEv4rkKnT5db83/&#10;tGNn9vYzKJCAsdr4WCPq7orqS3Fc+w4fFh0OHx8vw+/6DvNOWO6mB+X+frAGhcMSEgOf8Dh4DJsA&#10;j+Gz4KGNb9zGrILb2PUYHLcNg+N3oG/SUb26j7S++RTJ0r4nE/2SjmmPsxND4n6D27j12uP/qJ7H&#10;I3o23IdNhHd4vNoOa1CYtl02bfu07TRLsO6hWISTxltvA/RrFxmgExERtSMJQI28eHUfj5/X4uGz&#10;elWiW8JU6W8t5d8lVJd+6q17qhuG6sJRCl71Wbf3Wn/0fp9t7e/l/ztof1d+5y5KqipQXKZdi5w/&#10;gStnsnAhfR/OHdmBMwd+xclta5D362rVkz1n7Txkr5qB7NWzkPXDJBW8py+0mz8eR6dF4eiUYe+a&#10;GqkC7oPxtk9kVSH40cnh6jHef1wJwd8+v/ZTesU7tk1+nti0DHm/6dt+Zu8m9XrOHfsdl7XXl38+&#10;V3u9hSi9VqlKrFc2afvmnf2i7xul9T7U/p8KyVXZ9ZbS6w7vB+Xyvsl7KO/lDe09/etRI+7JyvIn&#10;D9TKcgnL/+nYeP8YIiKinosBOhF9FikvWVZ8EtHREfAyOacHt6wEGhrzHXozQDckk8geY36Exc9q&#10;XyllvB/bwtfiA5u/BZsPbFY9VK8wZKIuQlah7zp/Cf20c0HKcBudI0R/56vENAycmIEjRZfVsWR0&#10;jBG5gpLGq9iwe4P6Lvc1O2es8CEJmR2ry6WMupcKoFVYHhIDc0QCPKJnYfCoFRg8dj0Gxf6GgQl7&#10;9M9zbczXK/WEJtfeHidbjXdUcJ4sYbi0xvk877bosbfmkecRE06ib0q6ah00KPZXbbvWYvDIH1SY&#10;b4qcoJkI32EpsAQEO2XMxQCdiIioY+lhqb7KWK00fn1PleuWfuqyIlnKeDt6qt9oalb9sFtKv7eE&#10;6q29H+zqJGD/kCNIV0GxrKZ2lIyX1dWaa/bS8bLSvaK2HuV376L83j2U3vgTRWVFKCoXxSgqLcCV&#10;Cydx5Wwurpw70eL8CVzMy8D5jEOagx8vXZN1GJfP5KjHeOcxtefIv3K25fm1nyWV5epmANm28jt3&#10;UNX8DNdeaNvuKKlufz1qxbhaNW4PxiUUN9gvfxeQv0t/D+S9kP8v782tZr38evWTBvXeyXso7+Xz&#10;l9XqvW5ZUc5V5URE9PEYoBPRZwFq0NhwDSkpsXD3dDOcDGwrCdB9IiehX0oaZOWQUQjSk8kE8JDY&#10;LbD4+zktQDdbZALchJWbVqgAXUrBGk3QE3W0wtpCXL5biIR1eeyFTp/sP9oxk7rhJC7f0Y8lo2OM&#10;yBWUN1fhu1UL4emksZpOD8v1vuQa+yptc0AQzGHjYIqeicFjfsKA2N8wIGEP+icdRp/UbBVatwTl&#10;WSrgNjpfO4ojYG8J1k+iT0o2vkk+jr6pMubaCmtgmPZa238lvwToI0ZG4o9KlnAnIiLqLK2DVkeo&#10;/vLVfTx/UY2nL2rU6uWHz+pQ++QB7j1+iNuyYr2pWYW4suL5/cD378J2x7/7OK3C9vcC95bQ3R5W&#10;v0cCeBVmfyoJ7g0eT3n65p3nVxzbptFDcKPX8a7394kjEHf8d+t/K/tWSq9Lj/I7j5pQ/VhC8gdo&#10;fFaLx89r1Hvz4mU1Xmnvlbxn77yH773HREREn4IBOhF9FnVhgQYsWDgDbh5DDScD20wmKENHYkDC&#10;XrVSyGiysyeTSd6+iQfh6x8Aq9UJZfQ10t9e+qDPWTKbATp1OaUPirD/8mW4Tc5U5biNzhOi932R&#10;kIZBEzKw+/xFlDXwM41cV0FtCc7fvIjkKYlODdCllYz0KzcHhsInbCx8omep0uvfJOxD36Qj6Juc&#10;ht6peijtWFGurwo3Pke7Flm5nomvJuRh4FhZye+cqj8SoI8ZG4Pbtwq08XWt4dibiIiIOp7Mfb27&#10;Uv2u+nsJa6W3uqxal1XOEq43PK1XZcKlz7pj5boE7LJCWgLgqsaWoF1CYke5cfnp0BIov6t1oNzV&#10;GG2vaP26Wsrh6wG77AfZH3pP8kdqP13X/NUs5dYbUfekQe3Ppmd6yXXZz7K/Zb873pf3g3KG5URE&#10;1N4YoBPRZwMeYNMvK2Hy9YKvVV9t1K6s3rAFhmJA7Hb0TskxmNTs2WRVft/EIzAHDXNqgO7t44kJ&#10;M1JRVF/GAJ26FOmFXlRThDk7z6he6L2SjM8VIgfV+zwuDRN+OYn8e/oxZHRsEbmCkoYKHDp7GMOG&#10;h8HH5Jz+51aLJ0yho+A2dh2+TdijnWcZ9t7jjlLpnb+yvD1I+D9o7M9OC9ClmtPESYlq9fmb1/rE&#10;MBEREXVdjsD27zj+zauX9/HsRY1aKS1lxR8+rUfdkweoeSzl4SVof4hbj5pU/3VZYS19u4WEyhIy&#10;OwJ3R092h9bhdEd6fzukrL1jO6s0KgzXSBgur0ncftSoXqeUWK993KBe/8OndWp/SB962T8Sjn/q&#10;/iUiInI2BuhE9NmkD3p25l4EBNrg45S+mibYbD4YMG4zpB+m0YRmTyYrovokHYM5fLzTAnTh6eWO&#10;MfGjkV9dzACdupyiuiKc/KMAYd/n4L9xXIVO/0yOEa8ZWThefAUlD/h5Rq5NyrdvPfwrfH291Q1x&#10;Rt/xbWWzesI9ZgG+nHBG3djn6DdudP51ZwzQiYiI6HO8G/y2rJhuTVZVO1ayP3lRo8iK9sZndYoj&#10;dHeQEvL3HzeoMvKtyap36QXeHqQ8/fuPL6THeOtteaBtm2M7VSBu3369rLr+umQ/GL1uRz9yh/f3&#10;HRERUWdjgE5En036oN+9U4TI4WGq9KTRhGBbWS0ecB+5WF/J5IITsm0h+6NPchpMkZOcGqDLCvSo&#10;UZHIKs5BYV2J4SQ9UWcqrS/C1hMX0D81A18mMEQnY72T0vGVdnzM3n4aJXUMz8m1yQ1vRdp39pK1&#10;S+DutFY7PrD5+8Ft7Br0Ssk1PO9cBQN0IiIicpbWIbKUiBdGgXNrRo+jB/FS7rw9GI9H3u8xbkS9&#10;hlbhuNHjEBERdQcM0InoswHVePniLpISxzotQJc+6L6RE9A3+Zh9ZZPxxGbPJAF6Orxj5jo1QPfx&#10;9UJoRBD25OxB8YMyw4l6os5UUK1L2XAKX8SlqTLdxucM9WRS5t86Jwu5VfkoqjU+lohcRVF9KU5V&#10;nUbipHh1I5zR93ubaWM0aSMzMH6PKtVudN65Cj1AXw+bn8VpAXrqxAQG6ERERPTR3gne33KE121l&#10;9NjG20FEROSqGKAT0WfDm2r187sF0+Ft8oLZajwp2CZWb5hDx6Bf4mGXn5z9dNJnNAvuo1fYA3Tn&#10;lGc1mb3hF2jFpn2/oORhheFEPVFnk1LuOZX5CFqQzVLu9AFZfd47MR2rj51DUW0R8quNjyMiVyHf&#10;1+n5mQgODYSvxRltdvT+515hsdr4LEc7z1y7SlCv1DwMGrUcNoub4b5oKw8vd8yYMYEBOhERERER&#10;EVEXwQCdiD6bBOhi5/afYTL7OKe/pgTDASHom3AAvVOyDSc1e7Leqbn4dvxWWK1e2v5yToAuE+8m&#10;X2+s2LgcZU2VhhP1RF3BO6XcExmiU4v/xKZh9Ko8XLxTqAJ0o+OHyGVUF6qKMb8e+Q1e3h7aWMr4&#10;+71tTLBZfeAdPbNHjM+cGaDL+FmqBPywbB4DdCIiIiIiIqIuggE6EbWJTPQVFeSqyT/nrHDSQ+FB&#10;47eo1dZGk5o9maz66h+/E1b/AKeUFHXw8BiKecvnoby5yniynqgLKKgpRHFtEebvOoMv49LQK8n4&#10;vKGeRUq3D52cib0XL6H0AcNzcn0FtcW4+NcVzFg4DSZfucHO+Lu9TbQxh9XPAo8xq3tEhaCOCNCX&#10;LZ3LAJ2IiIiIiIioi2CATkRtIhN91fdLERkVqkp9G00Mto0JVu2n18gl+Fr1QHftEqGfSlZ99U/Y&#10;A2twpL5a/4P91z7c3Ydi0uyJ+sR8TfEHk/VEXUVxfRHO3y7EmFUn8N9Y9kPv6Xolpqu++At2nUZx&#10;XZG6ycLouCFyJYV1JTj95zlEj45SFWSMvtfbSlrHmAOCMCBhnzYWkfGZ8TnoKjoiQF+6ZA4DdCIi&#10;IiIiIqIuggE6EbWJTPQ9bKjCxInx8HbKKicJ0H1gipoKPTxngN5ar5Rs9E06Bt9hSbBYPQ32X/uQ&#10;ErBjE8Ygp/QEiupLDSfsiboKCdGPFV+GeXYW/hfPUu49mdxEEbkkB2euF6CQpduphyisK8W+vP3w&#10;C7DC1+yk/ucSoIeOQZ+k4z0gQM9AH2285RGzEFaLu+H+aAsVoJs8sfyH+QzQiYiIiIiIiLoIBuhE&#10;1CZADV48/ws/rVkCT+mzaTAx2FbS39sndDR6J3MFuuMmAimX2islF1+n5mBwwu8wR8TBanFSmVaN&#10;j8kb4VGhOHD6IEoayg0n7Im6jOpClNj7oQ+ckIEvExii90RfxqfBc2om9l++hBKWbqceIr+6CIW1&#10;JViydrFqrWO26K1w2psE6D7Rs9AnRc431x6byfizX3IafKKmaGOt9h/rOtogbd38IwN0IiIiIiIi&#10;oi6CAToRtYlM8gENyM09CDePoYYTg21m9YJvQDC+TdjdI8qEvitDTdxKYO7QR/u7wXE74DFqKbyG&#10;pcASHAmrn9V437UTk9kH/kFW7MzYidLGq4aT9kRdSUF1IUrri7D80Dn0TUrHl4lG5xe5Kind3kez&#10;Qnv/Sx8Uq5sqjI4TIlejAvS6EiROjFNlwY2+09vOpHqgDxm7Hl+nZBueg66kJUCf6pQAXcJzi9WE&#10;XTs3MEAnIiIiIiIi6iIYoBNRmwGNKCs9hcBAqwpajSYH28TqA6u/H9zHrIH0/Daa3HQlemCejd6p&#10;ufg6JQt9k4+jT9JhDBq/Bd4xc2AKGwdLYAhsfmZ9ItciE+TOWWHWmqenGzbu+wVXH10znLQn6mqK&#10;aguRf68Q07aeVquReyUZn3PkWqTvvZRuT91wEpf+KkQh+55TD1JUV4oj548iLDIEPiYnVaaRcVlg&#10;EL6JlxsbGaC3lSNA37l9PQN0IiIiIiIioi6CAToRtRlQj7u3C5EQPxpezljtZDXBZjPBM2Yheqfk&#10;GE5udme9kzNUL/NeqSc0eWqSdkDCXgyI/Q1uo5fDN2oizMER2r4wwyo94a1e2j4Rzulr+nfc3Idg&#10;1ZZVKG2swJVqlkOm7qGwthAX/ypEys8n8Z/xDNF7gv/EpiH0uxzkVuarUv5GxwWRqyprrMRPv61R&#10;YycVzBp8n7eZNgYxR8Tjm8TDqjKO0XnoSqT60TdJh+EbkWi/adFgn7SBvE9W7ee+PZsYoBMRERER&#10;ERF1EQzQiajN8KYGT5/8haVL52CIuzPKuJtgs3jAc9gkFTAbTW52D/b+5W8D8xwVmvdLycTA+F0Y&#10;PPZnDBm5DD5Rk2ENjYHNzwKr1VP1GRV6YO78leZ/x9PLHVPnTsH5mxdRUFtiOHFP1BUV1xepMHXE&#10;ihP4b+xx9GaI7rL+G5cGj2mZOFRwGeUNxYbHA5GrkvLtsgJ92vypqmqM0Xd5e7Ca3eA+4jtVvl3G&#10;NEbnoiuRmwS+STwIs1QAkhsYDfZJW0j1poBAG86cOgKg1nCsTUREREREREQdiwE6EbULoAn79m6G&#10;u4cbzE4IeaVkpil0NL5JPqZWAhlNcHYNjpBcyrC/27tcl41+2msYGqvtq9HL4RE9B96yoikkGjZ/&#10;P3WjgNXibp+g7byw3Ij0Uo2fEIuTladRVF9mOHlP1FWVPNBD9JErTqgVygzRXc+XCWkYNDEDm3Iv&#10;oKyBK8+p5yl6UIbMwmyMHBvtvP7nUhXI34xvx23s5jc1fjznB+jeCAjyw4VzaQzQiYiIiIiIiLoI&#10;BuhE1C6kD/rJEwfhHyB90L0NJwjbRFZhB4ZicOxm9OoCZdxlxVVLQJ6tyXnbs7yP9v+lb3nfpCPo&#10;m3gIA+O2w2PUD/AePgM+4QkwBUfBGhAEm58VNquXHphLSdAOLsn+qeR9jYqJQEZhJoobyg0n74m6&#10;MgnRT8hK9JV6iM5y7q7jy8R09NHez8X7zqKotgj51cbHAJErK2+uxNZDW1XIbbY46SY8qYwTEo1v&#10;E3apajpG56OrkXFe/4R96nXLeNRwv7SBI0C/dCGdAToRERERERFRF8EAnYjahfRsvPHHJYwdGwNP&#10;bw/DCcI2sfqokuZDRq9WZc+NJjjbgx6Mt6wWV6XWU6TUeq56XrXaSsqua/9WVsP3TzyA/gl70D92&#10;OwaM3wL30SvgHTMXvpEpMIeOhjkgGBY/G6yt+pdbVVje+SXZP5X06PQLsOLoxWMoabxqOHlP1NWV&#10;2su5j2SI7jLkPfwiLg3zdp5B/j29773Re0/kyvJr5MaRIsxfPg/uHs5op6OTm/68h01Q4yCptmN0&#10;TroaFaDH/65u5HTGzY4+vl4IiwhG9f1SBuhEREREREREXQQDdCJqF2/e3MerF/cxa/ZkDHUfYjhB&#10;2DbSB90dbjEL0WviefSacFKTp0sVEm5/Dvtj2PVNycCApEPKtwl71OrxQbG/YvC4nzF47DoMGrUS&#10;Q0cshs/wGfCNnABL2FhYQ6Jg9fez9yr3etuz/MPe5d0nLDditprg5e2BXdm7UfKwwnACn6g7KFEh&#10;egFGrMhjOfdu7qvENHwRn4akdadw/nYBiutYup16puIHZcguycGIcdHwMbV/mXGdNhaz+WDoyMVq&#10;/GR0TrqilgA9zCkBurf2fkVEhuBR83UG6ERERERERERdBAN0Imo3UsZ97dqlKmQ1W40nCdvE6gXf&#10;4Ch4RE6HW+RUuCtT4B49G+4jvv888rvyGPbH845IhjlsLHylz2XICFiDhqkVRzZ/m1oBr/cod9PI&#10;T1lJ7qXpfqvJP4v2nkpP1XU71qKgtlitdjOaxCfqDvQQPR8j7D3RuRK9+/kqMR1fxqUhab2E5/p7&#10;avReE/UEpQ8rsCd3L3zN3k4s3y7tdEIwJHazCpWNzktX1Ds1B/1jt8HqZ9X2Q/vvWwnQI4eHoZkB&#10;OhEREREREVGXwQCdiNoNUI/04787rw+6zawmb21mN83Qlp9WT9jUqqjPIL/79rEkGJd+5BKOe9j7&#10;krcKyJ2w6qi7kTKjsxbNwKU7V1SIbjSJT9RdSDn3E1X5iFubh6/i0/BlYppheEJdjwrP49ORtP4k&#10;zt8qUOH55XvG7zORqyuo0b+PF635Xt3EaPT93R5kbGQKHY1vktNUyxujc9MV9U7NRf/xv6oqQ84K&#10;0BMTx+Lx45vaWLrGcIxNRERERERERB2LAToRtRtZNXP7ZgGiosPhbfI0nCR0DpnMbAujxyQjJl8v&#10;JEyMxbmbF1FYW/LBJD5RdyMlvy/cLsS0rafQOyEdXyQwRO/qpGz7l/FpSF5/CudUeG783hL1FIV1&#10;JTjz5zmMGh+jfU874wZGITcdesNr+HT0Tsk1PDddlaxA/3bcZr0tjxPGjRKgp6aOxxMG6ERERERE&#10;RERdBgN0Imo3eFONN6/vY+LEeHg6cQUUdR6ZmI8eFYkz18+rCXujiXyi7qaoVvt5rwhL9p/FwAmZ&#10;+G8cQ/SuSqoESM/zlA2y8rwQxSzbToTC+hLsy9sPq58ZvhYnVcuRKjx+fnAb9zN6p2QZnp+uKQNf&#10;a6/XY/QPTg3Qp05NxtMntxigExEREREREXURDNCJqN1IeC4h+to1S1QJd7OVq7s7nnP3ufRWDQzx&#10;x4nyPBTVlRpO5BN1RwU1+mr0TTkX4DMzC/+JS0Nv9kXvUhzVAeZsP40Lt/Wy7UbvJVFPkl9dpCrC&#10;zF06W2+fYzX+/m4rCY99gyLwTeIR7TzMfOfcdG0Z6JOSCc9RS5wSoJu198vb1wtLl8zFi+d/Aag2&#10;HGMTERERERERUcdigE5E7UYF6KhBRtpuFZ47bRUUtWJSq8KkL6dM7FqdHaBr76ktwIJdmbu4Ap1c&#10;joToZQ+KceDyZUQszsEXcdIX3ShQoY72P+29GDghA0sPnEXB/SIU1RXhssF7SNTTSP/z09fOIHp0&#10;lBPb55i0MYYPTMNS7OdkD+p/LgG69tMnerY9QDfaP5/PEaCvWL4ALxmgExEREREREXUZDNCJqF0B&#10;dbh7pwiBQX76SiiDyUJqKwnNvWG1eMBm9YTV3w++QeHwiUiGz4h5sGj/rUqtGv5u25gt8twmrNq8&#10;Qq14k5VvRhP6RN1VfnWhWtl88o8CTNl8Cn2TM/Df2DT0fi9UoY4h+/0/2v53n5qJjdnnUVQjq22N&#10;3zuinqikoRybD26GX4DFieMuE6w2H7iPWY2vU2T1eU8K0DPRJ/k4TFFTnBSgm+Dj64Ud29a9reRk&#10;NL4mIiIiIiIioo7FAJ2I2hVQi+bGPzFpYoLq6Wg0WUifQ4JrL1gt7rBJeB4YDFPYWHhGTYP7mDXo&#10;n3gQvVJz0Cc5TZVYdcYkr5CJXpmgl1KxDNDJlRXVFqGophBrjp+HaWaWCtF7saR7h/oqMU3t99Dv&#10;crD/ymWUPihSVQKM3i+inqrkYQVmLZoJLy939R1t9N3dZlLpJiAI3yTsRe+UbMPz1VXpAfox+A5L&#10;dmqAvnf3ZhWeS4huNL4mIiIiIiIioo7FAJ2I2pWUnnz14g42bVwFD293w8lC+icy+S1huY/G2x6a&#10;e8DmZ4E1NAbeUdMwZNRyDB6/Cd8kH0Wv1BNqMrt3SqaiAvSIRKcF6MLbxxMp05JQUFfMAJ1cmoS1&#10;EtoeK76Msavz8GWc3oebq9Gd78uEdPTWpGw4iRNV+Shr4GcN0fuK68uQUZChl2/39jD8zm4PVosX&#10;zMOS0S/pqPb5l2V4zroqGVv1TToCc+hIpwboZ88cU1WcjMbWRERErk5uIFPe6NVY3gGHGvVd2aL+&#10;PQ+c5P3nkeeubfVTtku02uZW3r423iRHRETU7TBAJ6J29UYDNOD8+TR4+ng4bzWUS3CE5d7Qe5hr&#10;bD56H3M/G8whMfCNnAi3kcswYPwWDEjYjb4pGeiVmodeKTlqVdS7E732Pp0xc7THkhLuztn3Xt4e&#10;GJMwRvVdZYBOLq9aD9HP3SrEsgNn4TY1A1/Ep6nV0e+ef9QeZJW/9DsfOjkTyw+dw+U7EhKy3zmR&#10;kYrmKvy862f4mDydOt6SG/lkLPJ1ao7heevKeqdkoW/iYfgGRzo1QP/jj4va+Pmh4diaiIjIFUiA&#10;rAfNEjo7AmhHKG0PoiVoln//8i5evrijvHj+F16+vIe62grkX85GcWEurlzMxOGDv+HQ/q04dOBX&#10;HDr4K7b/thZrflyMtT8tabOf1izGurVL8fuO9frzyHNoz3X08HZcOJumbcMJFGjbUlF2Go8f3dC2&#10;0b6d9m1+pW2/es0ayE0Bb0N2oyDe/trtYfv7+42IiIg6DwN0Imp3EqD/+cdFDBsWAh9f562E7n70&#10;sNxi8bSXYveCTft7q78/fANDVUl2n+HT4TF6NQbE7UDfxEPom3QMX6dko1dqrr7S/B/7jmr/LyUL&#10;7mNW2id5nTOZ7mPyQsTwMBy/lIai+lLDSX0iV1NUV4Ti2kIcLbqM+J/y0Mce9LKse/uRGxO+0Pbp&#10;sKW52H/5supFX1jLm3SIjBTUFuPSnXzM/G4GPDzdDL+v24Xc5BcYiG9jf1U37xmdu65MAvQ+iUfg&#10;6x/olADd1+KDwEAbrv95SRs/PzAcVxMREXU3LQF5g+ahpklTjxfP/sKj5utoeFCJ2ppy3LtXglu3&#10;8nH65BEcO7ITv275ET/9uBiLvp+J6TNSMWliPEaPicbI0cMxPCYCoWGBCAsPQkhoIGx+5neYte9U&#10;Lx9PVTGvXdhvUGz9HH7+FgSHBKhtkG0JjwjGiJGRGDkqSm3ntKnJmD49FbNmTcKPq77H2jWLse3X&#10;tchM343MjN24cf0y7twpwv17per1P2yoQnPTn3j+9LZ9v8mKd9lXss9k38l/y36sYbhORETUCRig&#10;E1G7kwF+Q30lZmgXDh5ePbGMuwTlUoLdyx6Wu8Emgbn299K73BIcBe+w8fAcPg2eI76H+7j1+Cbx&#10;EHqnSDiuh+B6WXb5KavM/yk0f1fv1Bx8E7cDFu3izlkBusnXG0GhAdiRtgPFD8oMJ/aJXFF+daEK&#10;dS/dKcT69PMIWpiD/8Wm4X/xXI3eFnITwv/T9uOQyZmYs+M0zt4sUPu5QNvfRu8DERWirPEqjl9O&#10;Q3BYAExmJ96saHaHKTwe/aV8uxqTGJ/HrkrGYv3jd8Hs7+eUAN1He++GDQvFrZv52vi53nBcTURE&#10;1JXpK6sl6JXQt1nTiMfN11FzvxRVV8+p1drnL2Tg2NGdWLtmCRbMm4rU1FiMHj1cBeESUgu5qUzG&#10;NLIIQ6qzeJuEJ7x8POw81d/rvGGSf9+K/L7jsdqL2qbWzD5vt09to0a2y7GNsr36dtu3UWi/Y7bo&#10;jyfzNFZNZGQoxoyJxuRJCZgzezJWr/oeWzf/iPT0Xdq+SkNhfg7KS0/h5vUrqK0uw5NHN7X9KoH6&#10;I40jYLeH62+qDd8XIiIiajsG6ETU7vT+TvXYuvUnDHYbbDhh2H1ICP03WvcpF/aV5VKG3RYYpIJy&#10;S9g4eEVOxpAR32GovXf5oPhd9lLs0r88R6P3MNeD8o8Py43IY32TsBfW4GH69hm+praRi0j5uea3&#10;H1H6sMJwYp/IlUmwW95QhNzKK1i45wxMs7Lx/8Yfx1eJ2jlocF6Ssd5J9p7yCemIWX4Cu85dQlGt&#10;rDo33u9EpJP2KYW1Jfhp20/wcuqNiiZVLcdt5PforY1ZjM5jVycButu4dbD4WZ0yrpIJ9rjYUai+&#10;V6omwY3G1URERJ1Jn99p1ZtcrYh2BOYP0VBfhYrSUzh54hAOHtiKrb/+hPnzp2PihHgMHx6GgAAr&#10;3DyGatzg6a0H4W8DZrO3ml9Q3guvjb43u5PWr8XX4qC/VseNArIfZH/IfpHFJ7Kf3LX95OdnRlhY&#10;IMaNjcGkiQn47rtZ2LhxJXbv3oTjx3bi9MnDKCrIxV+3ClT5eLlpoWXFequS+Pb3zPEeGr2/RERE&#10;9PcYoBORU8hdsXknDsKqXTjInbpGFxTtQkqLykpvFWR/nrf9x9+Sv3Pw0dl7k6v+5Oq5zbAGhsEa&#10;Eg1zeCxMUZPgHTMXQ0atxLdjN2Bg7K8YEP87BiQe0MPyCSdVYC7lT3vJyvI2BuV/R4L4bxIPwxIR&#10;p702bb+8v7/agVwAyoT9gpXzUdZcaTi5T9QTFNcVobS+CEeLL2Pq1tMYPClTlXX/UkJhlnb/W7Jv&#10;ZB9JyXafGZlYdeQczt8sUL3mZZW/0b4mohZFdaU4e/08YpPGqrYqRt/V7ULGRIEhGBy7tUeWbxcS&#10;oHuOXqGN/yzaPmn/yXyZNJ82NUlVbmKATkREXQUgQbmjDLv20x7CSm/v8pKTOHZkOzZtXInvF81C&#10;Smo8RowYplqSeHq5YfDQQW/Dclml7dT5IBdktuqLFqRKjZfJEx7afpRgXfbrELch8NX+PijID1HD&#10;wxAXNwrTpqVi6dK5WL9uGfbv24K8nAOoqjinqgC8edPq5gdVKUDeT/t7ag/Yjd5/IiIi0jFAJyKn&#10;kLter1+7iLFjYuDp42F4YdB2ZpgDgmEKDIclIBAW/4BPp/2e6j8eGPaWb+go+IbHKT6Rk+ETPVMz&#10;B56jf4D7mB8xMPY39IvbpVZ6f5NwAP2SDqNf8jH0Tc5A79RcPShPdawsd15YbqR3cqbaDu/oWbBa&#10;nLXffeGuXcBNnjNJTeLLSjijCX6insBR1j1f+/PhwiuYvPk0hkzNVL28Wdr9Q7JP5CaDQZMzMWPb&#10;aWSU56O4tkjdjGC0f4noQ/Lduy9vH2z+FjXBavQ93R5kHOETNl4f33TgWKYrkXGc14iF6oZQZwTo&#10;Mim+YP50PGr6U01mG42piYiInE2FrCpY1Xtvv3j+FxofXkP1/VKcPX0MWzetxhzt+j82bhTChwWr&#10;XuA+Jk8MdR8Cd083dUOYrKp2hZXjXZ0jXJdy8XKTwlC1un+oKiFvtZkRFOyHYVGhqm/81KnJWPT9&#10;LPy2dQ1ysvapHuz19ZVobLiGZ09uAa8lWNcrCeir1/WbJYyOESIiop6IAToROYXc6fryxT3MnTtV&#10;XVQZDfzbxOoDm58FQ0etVKuiBsf+hqGxmzVbPsFmDIn9Va3Y/jrp+Ft9ktPe0idQ7aXVpcy6BOIq&#10;GHeQ/5aQPLPLTC73Ss3DwDFrYHNigO6lXaiNiR+FnNITKKwvNZzgJ+pJCmr0IF1+Him8gombTsFj&#10;Whb+b1wa/huXpn0+GJ+vPYWsOP+/8WkYOjUTSRtO4sDlyyis1lfxc9U50cdzlG+fvXimWtXlvIlq&#10;E2zaT88RC7VxTq7hee36MtQYzztqOqQSkTMCdAkd1vy4GC+f/wVZCWY0piYiInIGfZW5hKbSt7xe&#10;9dquvHoOZ04fU73KU5LHIzQsUH1f+Zp93ga2UnZc9fVmWN6l6KXiHeG619ty+TJedNxw6RdgRXR0&#10;BCakxGH5svnYuWMDLpxPR3nZadz485IK1vWV6nove0eobnT8EBER9QQM0InamaO30L/Bm4/jKLn0&#10;b4y2pbPJgPvXLWvUhZb0e3p/gN82Jtgs7nCPnoOvU/NaguzPIsF4K8nCHpp/wGiCtWvplZqLb8dv&#10;gU1W5TupD7rJ5I2IqFAcPH0QJQ/LDSf5iXoiCYMlFBYHr1zGjO2nYZ2ThS/tK9J7JUmlCONz19VI&#10;qXbpCy/94YdMzkTqL6ew96Le57xYVu0zOCf6ZBKe5109hagRw5xcvt1bVeoZFLddjZWMznHXpwfo&#10;PhFJqq2PMwJ0KcW6d89mbcz/oMuO54mIqPtzzBvp4aj0yG7Ci2d/4WrZaaSn78Yvv6xUvbZDQwPU&#10;zV0qKJfy62a9R7mEs1Ja3Oi7jLo2/b3Tw3W58UH1XtfeWwnXpe+6h/Z+S5/6kSMjMXvWZKxf/wMO&#10;HvgVJ/MOobzkFB4+qFJzey2r1Ou0cUtLX3WOX4iIyJUxQCf6COpCQ3oGve0bJKRnkIOjj5Cjl5CD&#10;49++z/5YH8vwMUTr5xJG2+H4t/pjGb0+Z5ELs/NnjyFEuwjz1gbpRoP5NrF4wDc8Fv2TDushuOHk&#10;Z88jK+MHJOyBJWSEto+cM7kud6DL3cvbj29HWRP7oBO9T5V2f1CEMk1G+RX8ePwcYn44gX4p6fgi&#10;Xl+RLeGyq4Xpemiu9zf/UuM9XS/VvufiJRRWF7HPOVEblTZUYN3OdbD6mdV3sdF3dHuwWr20MdY4&#10;9FHn9r/fQChVeD5Wd7kh0RGge4eOgtXiabif2mrw0MHIzt6vjZkfGY6liYiIPldLYO6YH6pBU+Mf&#10;OJV3CBs3rsSMmRMRMyJSlWKX/toSmktgbvR9Ra5LwnXpUy+hugTqQ9wGq5LwUqY/JiYCEyYmYMnS&#10;udi8aTWOH92BspJT2vF1135sOeYlW46xjp53JCIiciYG6ER27w785K7KBju501L7O+3i49XLu3j6&#10;+CaePL6Bpod/qJ5QDQ+qUFdbofoI3b5VgBM5B5CXexAnTxzC0cPbsfmXVdiiDTQdft38I376cTHm&#10;z5+G+fOm6j//jvb/v1swHevWLlG/53gMeczftv6ErIw96uInJ2s/igpzte0oR11dBR5ITyNt24Rs&#10;69MnN/HyxR31GvTXpPe10l+n3H2svW4nDHLlMZ8/u43xcaPg4e1uOFhvE6s3bIFB+Db2V7Xq2njy&#10;s+eRcvLfJKfBZ1gSrBY3433XDtzdh2DN9p9Q8eia4SQ/EelBuoTGUt797I0C7LpwCVM2n4LvrCx8&#10;k5qheqVLiXcJ043O5+5AbgKQ7ZfXIaF5/wkZCF6Yg2UHzyGr8orqDy/7QMrbG+0jIvo4Ur5dPlNS&#10;piXD08sJ46q3TKpkuceoJeidmqNuzNPJnzXamMuhV+oJ9W/6pGR8gqxWvyvkseyP3bpFTie3x5Gb&#10;M/snHoZvcBSs1vYP0H1lRZjFhLNnj2lj8SbDsTQREdGn0ue1ZL6nDk+f3MK9O8XISNuNRd/PxNhx&#10;MQgK9lf9sqV3tqxCbv9qgdTdqVDd7AMvk6eqSDDEfYiqLOkfYMWwyFAkJIzB/PlT8cuGFcjO3Kd6&#10;5Tc3/olnT2/ZFwE55hvrGKgTEVG3xgCdepSWO3AlNHaE49Lbpxkvn9/Bo6Y/Vd+nWzeu4FrVedUH&#10;qKg4D1mZe/H7zg3Y9MsqfLdwBubPnYLExLGIjx+FUaOiEBTij0BNQJAfbH7mt2TgKWWS3id39crg&#10;82M5yma9T1Yf2fzN6qesBg7ULoTE8OgIbdtGIz5ulLatU9WF0s/rf8CunRtx4UI6SktPqt5WN65f&#10;xv27JWh8UIU32v7R90WTpqU0U1vKMaky9NrF2+LFs7XX4Yw+nSbYrJ4YPHq1mnw1mvzsqXpNOAm3&#10;6DmqzL3xvms7d+2Ce8GK+fqEfk2R4WQ/Eekk9Cqyl3Yv0P58+noBfsm6gOSf8+C3IBvfpKTj/8Yd&#10;x39i0/BlYvfomS6h+X/i0vCf8Wna9mfAf342Jm48iR1nLuHCnQIUap8Ljr7wRvuEiD5NWeNV7M7Z&#10;g6DQACeXb/eBJTBEVbPpl5yG/gn71J8HxG3Xjf8VA8b9ovQftwmDxvwErxHfaRb+K+8RC+Axaim+&#10;HbtB/a7+OJsxIHab/tjxu9Tz9U88iG+Sj6Ov9tnSa0IeeqWKXPRKydFkq3Dd6HOpPUmIP0TbJktg&#10;qLZP2n9/S4/SkJAAFORnq7G30ViaiIjoY7SElo1obvwDf/5xEZnpezBn1iSEhwfBrH3vyNySrDKX&#10;Et7tPzdDrk4P1fW5TE9vd/VTqiFZtf8nc6IyB7l08Rzs2bUJhQW5ar7xQd1V7ZiUOViZa5R5xrbN&#10;MRIREXU0BujkMt68bunrpIJydQHhWE0uAzUJhh+oleN/XruI4sJcnDl1BGlpu7Bv/1asWvU9Fi6Y&#10;jgkT4jBqZBTCtIsMCcEd/Z88fTzU3bl6qO2lXXS0kEGkw/shtwwynaX188jdoY5tkAsix7bJtso2&#10;y7bLa3D3cleTrsHaADcmOgJJiWMxW7uoWrduGfZr+yEnex8unD2Oq+Vn1J3K+s0GMtiVizHHavWP&#10;63Wk3gdtsHz86E5Y1Pa2/0Wa1aJdAA6fgb7JEjh1l5KgzieTzEPH/Kgdw1Z9Itxg37WV3LWeNDkR&#10;p6pOo6i+1HCyn4g+JAF6YY3eK11WZudV5WN9xjlM+fUUIpZo5+6kTPx3fJoK079IsPdNdzA4351N&#10;nlOeW7ZDSs/LSvP/N+44BqRkIOS7XEzfdgo/Z5zHicp89Xqkx7m8PpZqJ2o/cqOafNcuXLUQHh5D&#10;Db+X2402ZrMGhcEUORGmYcmwhI7UxMAWGAxbgMbfplZkv8vrEzl+z0OtdrcFBGqCYA0epp7PHB6r&#10;Pf8EeEVNw+ARizBk1AoMHrsOg2K3YGD8LnyTfEytXpdV7BKq66vWJVRvvxLx8phu4zbAqm2b6glv&#10;tK/aQFZ1Sb/RqqvntPHyA8OxNBER0d/R51tktXkj8LoaFeWncfTwNsybN1WF5jKPJd81jnkqmUMy&#10;+j4i+hyt5yX1eUh97tFxk8bwqDBMm5ai+uunp+/ClUuZuHO7SDte9R78+lztx88vEhERdQYG6NQt&#10;qQsFFZA7yq63Jn9XhxfPbqO06CRO5h7Erp0bsGHDcixeMgdTp6Zg7NgYREaGwt/fonr8DBw8UPX4&#10;kXBZQmbp/dP6IkMxGDB2N/IaHK9HAncZ1EqwLuXVh7oPwaAhA2HS/i4oyA8jRkQiMXEcFi2eg59/&#10;Xo4D+7bgwrnjqL5Xou1f2feOfd1qv2vvyfuDXnkv/rpdqG5IkJU2RtvVJlZvWENi0C/xgFopZDQB&#10;2hPJ6qzBcdtgCQzT9pFzVqnJsRIxPAzHr6ShpKHccMKfiP5dYW0hyh/q/dLzruVj78VL+CnjHCZv&#10;PoXQ73IwIDUDXyak46uENBVgO0iv8V6JerDtCNiNPg8+huP35bFkZXnr59Fp/077f35zspGw7iSW&#10;HTmL7WcuIrsiX223bL+8DqPXR0RtJ9+zmUXZiBkbDW9t7Gb0vdyurD7qJkWhxhGKTwuj3/lsplaP&#10;rY0V5bksnvbnd4fNPBQ2adsjwX1gCCzBw2EKGwfPYRPhET0X7qNXwG38RgzQxoJfS4iuZKlxoc4R&#10;rH/42fdP5GZE91E/wOZnccJr9lXj75SUWFTflbF13TvjZyIiIiP6PJjMv+g9p6Wi4IH9W7Fw4UwM&#10;jw5XLV7cvdzUfJbM+xh9/xA5mxx7Mt8oYbr0VJfjMjQsEAkJY/H9otnYunWNmquV47flmG7tw7lF&#10;IiKizsAAnbqFlgGVo/R6nd6P/MlNPGq+jvq6qzhz8gh27diAH5bNw6TJSYiLH43IqDAEB/vDV7t4&#10;8PB0w2Bt4OYmK8olJDfpITkvKt4lNw1I0C13KsvEngx2ZRW+rEaSAe+o0cORnBqHpUvnYOf29bhw&#10;Ll31XJde669e3G31Hmk/7e/bk0c3MGligroxweg520Z///rH7YD0zjSaAO2JZDW+lF01hY7WJ78/&#10;2G9tp587Jhw4fRCljRWGE/5E9PEcZd7LGopQrrl8pxAnruXjSPFlbMq9gPm/n0Hcmjz4z8/C4KmZ&#10;+HaSdp6nZqCPds5/JQF7fDr+G5uG/7OvXpeV4v+LNyb/Tkqvy7/9n/bnr7S/652Yjr7aY0kPc3ls&#10;r5lZGL4kF6k/n8KqI+ew9/Il5FRewflbBSit10NzWUXPleZEziWtUmT1+c+/r++Y8LxLcoTs3vZw&#10;3V21qZFg3epnVavEfYMi4BM6Bj5Rk+A5agkGx/2GfomH0DfpmPY5mdGqz/rHBeqyut0jZgFsNrkB&#10;tP2vF9zch2LBgul4+vi2Nl6uMbwGIiIiEvrihQfA6/tobvpDLW5Y9P0sjBwVBbPFRy2IkDkczm9R&#10;V+QI1GWOUeZlpZqh9OKX43fKlCSsX7sUuTn71eIbmVt8+eKOdrzLTSL6/K/MLRqdF0RERM7GAJ26&#10;JH2FswSxUnpdyofXoLHhGu7+Vah6d+edOIRNG1di7pzJGDt2BELDA+HnL6tDZFDmpVaVCykfJIM0&#10;lqtqG9l3KljX9q3cQarvW72nufReHxYZiokT4rFh/XKcOnkYf1y7oHrJ633VH6n3cdfvG9TvGT1+&#10;25hgtXnDa+QifcVRO5XtdAUyUewVOVGVSjXed21k9YWXdjxsPbwVxQ/KDCf9iejzSe9wVea9vgjF&#10;tUXI1/7u0p1CnP+rACf+yMe+i5ewLv08luw7iymbTmHixlOIWXkCIUtzEKqxLciG7+wsmOd8KOC7&#10;HIQty1H/duSqXEzYcBKzfjuNHw6ew+bcCzhccBlnbxXgovZcl+9KyXm9n3mxRlaaMzQn6jgSnp+/&#10;eRHxE2J7cID+d1qC9bel5G3Sj9MMi7SxCQqHOTxe9V8fJD3bpfx70hH00cZIevl36aduPHaUvuvu&#10;wybDZnEzeN62GzRkENatX6aNk5sMr4eIiIj0hSSNqsLitarz2LF9HeLiRsHqZ35bLttkaf8qKUTO&#10;5AjU5fhVx7BZKg1ZEBYWiJTk8Vj742KcyjuM639eQl1thWpRoJd9l0C91vBcISIicgYG6NSpHH1u&#10;9JXKjrsLm/Dy+R3cuVWA/MtZyMrai61b1qg+3ePGxqgJMU+fD3uRS0lyBuUdxxGq66XgvdTqcnUB&#10;p+4k9UNqSix+Xv8DsrX3r7zsHE6fPIzAQJv6HaPHawurVXvvI+LsE54M0B2kd6fXiEX6JLITVk4J&#10;mchfsGI+Lt8tQEFNseHEPxG1nQTWQkJ16S8ufcYdJGRvTYJu+XspB59ecgWZpR86e7NQD8Tf+11Z&#10;Ae943EKhPZc8JwNzos4jAfqe3L1qYtEZ4yjXI2MePVi3qmBdSN916e0ero0ZE+EesxCDxqxV/dT7&#10;pmapMF1vBeQYR2aqSj4+4fFqtbvx83w+GUdLhaffflurXfs0G14nERFRz/TmtQTnMj/WhIb6KpzM&#10;O4RlS+eq6ooSNjrmvzj3Ra5CjmW5EURCdZlblFaTMtcUEhqgqln+snElcrL3obQ4Ty2u0hdbNern&#10;yRuWeyciIudhgE4dCm/uawMcKT3Vund2vfp/FaWnkX78d2zZ/KMqZxgfPwahoYGq9PoQ9yHqQkEG&#10;Uo6Q3Gw1HnhR55H3xDHwlQGvlBGTXkdRUWFIShqnSsA75SLP6g1zYAgGJLAPemuyL4aO3wSLv7/a&#10;R4b7ro2kD3p8aizOXr+AwroSw4l/InI+R8DemqwUbx2It+YIxd9n9NhE1Hnk5jQp4T517iQ1YW70&#10;XUwfS0J1KQFv760uvc2Dh8NrWCo8Ri7GkLjf0Dc5Td2AKIH6t4n7YAkdoUrGGz/e55Pgw6ptz9HD&#10;27RroYcfXDMREVHP0zJP1oDbN/OxY9t6TJqUCF/tO0PmVmSexWzwnULkitTconbsO+YWvX08EBkZ&#10;iqlTU7B+3TJtDLUdFWVn7OXepYKpY45ZO49Y8p2IiNoJA3RyOv0iQAYzer+mF8/+wuNHN1BZcRZ7&#10;dm3EsmXzkDIhDlHDw1UZdgnMZXDkoe6sZY/y7k7eP6kUIDdA+DrrvZQVRn5WeIz5UU16GoXJPVJK&#10;JvolHYFvYKhaeWW479pISm1FRIXiZOUptULOaPKfiIiIPo/cnJZ2JQNhw0LUTWtG38X0mVTpd3s/&#10;dfnvwBD4hI6GV/QcfBv/OwbFblUr1i1OGEPJzRCyqkoqNElQYnQNRURErk9VZFSrzevw4sUdVF49&#10;ix9XLcLo0cNVuzQ3TzdWnyHSqLlFbfwk54Sbx1BYtb8bPjwcEybE46c1i5GXewC1NeV49uSWOrfU&#10;HLSai67hCnUiIvpsDNCp3bVcAEg5nYd4+vgm7t8rRlnpKezd9QsWfTcT48eNQGCIvxoESVkeKWHo&#10;ZfJUYRwDc/p0JlWe02v4VPROyTEOk3skvQypb3is2j/G+65t5GJeSsruz9uPojoG6ERERO2p9GEF&#10;Fq35HiZfL46RnUmF6VLm3RPSQ90SEAizhOfSR12VhDf4nTaQ1VQxMcNQUXZaXTcZXVMREZFr0+fN&#10;HqC56U8U5GerSowhYYGqNZ6XjxMXIBB1c1KJwVH50sPLXd2YaAuwYFhkKCZNSsBvW39CuTbGqr5f&#10;iiePb6q5aUfJd6NzkYiI6O8wQKc2e6PRe5jLnX1N6uf9u8UozM9BevouLF08F6NHRcEidwtqFwKO&#10;ftmyutxRjt1oQET0KawWD5hCYtA/6Qh6J2e+FyT3VBKgZ8A7Zj6kT7wzJoDNFmmnYMKa39agsLZE&#10;lZk1CgCIiIjo08jq85OVpzFy/Ah4eXkYfg+TM2jjJRWoO2/Fn0z2JiSMQX1dlXYdVWN4jUVERK5J&#10;r9LYiMaHfyA7ay9mz5oIP38zPH1YhZHoc8g5I+XeHfPNMvcsC7TGjo3B0iVzceTIDhQW5KK+plw7&#10;91rCdK5MJyKif8MAnT6ZvsJcAnMZ9Ot3zL56eRclhSdw5NA2rF69CMnJ4xEc7A93j6FqdbkMYnzt&#10;QZvRYIeozazesAYEYuj4DeiVylXoDlLSfuD4zdo+knPPOeeflJSdsXDa2z6tRiEAERERfZqKR9ew&#10;dsdarj53MbJqSq6P5s6dol1HPeTkLRFRD6DPo8kcWgOePLqBjPTdmDYtBb5mb3VTFcu0E7UfGTcL&#10;mYt299LbhMoc9aSJCfh5w3IcO7Idf167oJ2PshDM0T9d753OcRkREbXGAJ0+ir7CXA/LZVDx8sUd&#10;1NdV4szJw1j701JMnpKEyKgwmLVB/xC3IeoCQJVjNxjIEDmLn9UD7jHz0Ss1zzBM7okkQO8Xvw/W&#10;gCCnraTy9vHAqNiRarJfQvT3AwAiIiL6NEX1pTj75zkkToqHh6eb4fcvdU8yoSslR5f/MF+7rqrn&#10;RC0RkQvTg3M9oGtsuIa9uzdj4sR41b9ZbqZicE7UMWSOWs45CdOlQurIkZGYPXsyftuyBkUFJ/C4&#10;+bpaHKaH6TL3XcsxGhERMUCnv9cy0JfSNjV4UHcVt27mq1Xm8+ZOxogRkfAPsMLH5PW2hzkH/3pP&#10;aAcZoMn+kbseHVQ/K293jcdHclcB5TuPo/1ZVv22fi6uTJIy7u7wCU/AN8nHWMbdrndKFvolHoIl&#10;fLxapW+039pKjsfwyBCkXclQ5WaNggAiIiL6eKWNV7Ht6Db4spSry1HjdosJ2377SV1rvXltfC1G&#10;RETdmz6fVo+62koc3L8V48aNUN8BjgUnRt8RROR80j9dWibITapyTgYF+2N87EgsWzoXp04exp07&#10;xWhq/EM7f2UhmaPcu/F5TkREro0BOn1Av9tOepk/QM39Uly6mIHfd27AxAnxCAi02UNgnVpl3gMm&#10;9eQ1yqDKEYjrIbgHPLULHxlwubkPwdChg+Hh4abuJJa7GUVgiD8iokIRbhc2LATDR0ZifNJYjEv8&#10;OPJvR40foT9OZIh6HPlzSHggrH4tz+Upd1Jq2+AmFQC0P8u2eft42oN3b/iae0DIbvWBLSAQA2O3&#10;oFdKrmGg3NP0Ts5An5RMeEkfdItz+qfKueHnb8HPu9ajpKHcMAggIiKijyM3o1386womz5mkbqQ0&#10;+u7tfDL+9HmP10d473ec1F6mK5NJW78AKzLTd6sJWaPrMSIi6r70Uu2NaGz4A1mZexEXN0pVHpF5&#10;JLl2NvpuIKLOIe1GZc5UzXOrRUveCI8Ixtw5U7Bv7xbkX8lWc+N6kC5z5eydTkTUkzBA7+HUKnNV&#10;nl1Cc7k7tgH37hQj/fjvWL/+B6SmxKqy7FLixjHYd5UQVl6Hog2W5HVJ7ylZ1e1Y4S2vVwJoCaJ9&#10;tD8HBvshNCIII8ZGY2zCKKROT8G0+VMxe9FMrPhlOX78bQ1+2r4WWw9txZZDW5Sdmb/jwOmDOHDq&#10;gLI/bz+OXjiGk1dPIa/i5EeRf5tZlK0eZ/9J/XHkz3ty9mDrYf25Nh/cgnU712H1rz9i5eZV2jbN&#10;wvQF0xA/IRaj40Zi+MhhCA4NUK9TgnZZ0S6vz7GSXW4MkIDd8f525/fYZvGA26gf0Ds1F70NAuWe&#10;qHfqCQwaux42NVnd/u+t2Spl3D3x3coFKG+qNAwDiIiI6ONI+fbd2Xtg87eosZnRd2/7k/GBsAfb&#10;irditXq1sHiqG/Ks2r+VmxZtAUHqpzUwGJaQGFhCR2lGGhgFa0j023+vfvr72R9Tezx5XPtz6EG7&#10;/tzvBu0ORtvffcjkrFxTXP/jknbtVWN4jUZERN2PPrfWgMfNN9RNUtOmJat5Ji8fj249x0LUUzjm&#10;Q2WO1NPbA24eQ+GvjccnTIjDLxtXIStjD25dv2KfP9fLvAPaef+GgToRkatigN4D6aXZHYF5DV69&#10;qlah+eEDv6pyNeNjR0FCtiFug1VpqY6buHMOGfzIa1DhuITi2iBIBcfagMhxEWMLsCAoxB8xo6MQ&#10;nxqLKXMnY+HKBVi1eRW2HduGfScP4PC5Izh68ZgKs3PKTuDMH+dw4dYlXL6Tj7LGq7j6+BoqHlWh&#10;rKnyLSm/KSty33pYgeIH5WplUWFd6UcqQVF92buPoynVHqv1c8lzyzZIgCnbdOH2ZeRdPYXsklyk&#10;F2TiyIWj2H/qAH7P2oWffvtJvb4pcyZhTNxItaJd9oHVz6zvL23fqH1lX8GuVq9buskFn9UTvsNS&#10;0U/KuKdkGQbKPU2vlBx8G7cdtqAwbf94Ge+3NpIbM+Smkiv3C5BfXfRBGEBERET/rqCmGFeqCzFj&#10;4TQ1BjP6zm1fPrBKSG4z6VWUbNpY0M8CS2A4LCEjYI5IgClqErxj5sJrxHcYPGYtBozdiAHjNuHb&#10;2N8029TPAdo4Y0DCHs0+zV4D2t/H737779XP8b9qjyOP9QuGjl4B7xHz4RM9S43jzBGx2vNHwxIQ&#10;CIu2PVZtu9Q2Wu3b+zZkd4Tr77+urktuYo0ZGYknj2+qazGj6zUiIuo+9BXnekWRs2eOYdKkRDWn&#10;5qZdI3f3+TSink4qB8ncuMyR2/zMGD0mGgsWTMe+3Ztw8/oVvHxxB3jbAlVKvld/8BlBRETdFwP0&#10;HkQf1D/UyB2x13H/XimOH92JObMnI3J4uCoHrkqSe7urAYLRwKGrU3cKSukdWTkuZcw18t+ygic4&#10;LBAR0eEYFTsSyVMSMWvxDCzf+AM27duE41fScbLyNE5dO4Oz18/rwfjdfBTUFKmwWgJyCaxLGiQA&#10;L1OBtgq3a0tQUCsTnV0rMJRtKtC2TVYwyfYWS+gugbu8Do1st7y+89rrPP3HWZyqOoOMwizsSNuB&#10;VZtXYO7S2UicFI+YsdEIjwxVZSblwk/tU7Ui36vrXghafWALDMSA+N/ROyXbMFDuaeRGgv5JR+Ab&#10;Hg+LxTmlYOWcixo5DMcuHVfHnNFxSURERP9Mxm7HLh5HSHiQGsMafee2H20sFxAI07AkeEfPgueo&#10;JRg6bgO+id+DvgkH0S/xEPpq44e+ycc16aoljKrwk3pC/eyVmvNW7xSR/a9a/04v+2P10nyt/b++&#10;KRnqefomHVPP2y/xoLYdB9A/bgc8xqxWAb5P1BSYwmJhCorQtj0YVn8bbDaTqkCkWtWoYL1rB+pS&#10;InTypAQ8f/aXuj4zum4jIqKuT1+c0oBXL++iID8H8+ZOhX+AlT3OiVyUyeyjVqa7e7qp/44YFqIq&#10;t27+ZRXKS0+jvr5SfR7oc+8SqDNMJyLq7hig9wD6HXDNePHsNq5VXUBO9n4smD8NERHBLX1eNBKa&#10;O1Zkdwf6SmkfFeaqPuRuQ2Dy9UJQaABixgxHfGocpn83HYt+/B7rf1+P3Vm7kVWcq8JlWSEr4bj8&#10;WcJkmaxU7Cu+JXyWFUD52r8xmtzs7vTXr4fsciOA4/Xrr137e/trv3Tniio5//PuDVi6filmfDcD&#10;45PGIWJ4qLrhwsN9qNr3Uva+6wTqsjrJG+6jV+HrHr4CXYJzmZTuNeEkvpp0AW4jvtcnlw33W9vI&#10;+2/TjglpYVDWzDLuREREn6xa738+a9FMtUrZueNyE2w2b3hEz7UH2Jl2WfawW36KTPROFhmK0Xij&#10;feiPr8hzKi3bosZ0sn3q32SiX9IxDInbBvcxq+AZMw+ew1LhK2XiA0O08YgE6m6wqEBdAoyuc30j&#10;76mMm1etWKhPsL7hxCoRUXekl2+uR2XFWfy0Zgn8A2wqWJM5NqPPf+oEjjYwn6R7VbWhziNzYPp8&#10;uqca20kVp/i4Udi4YTnOnTuOv24V4I36rJC+6fUs805E1E0xQHdB8qWsrzaXu90acPd2ETLSd6vy&#10;7FFRoepuWBnYty5h3pXJNjr6lDvKsMsqaC/tNUhYPmp8jCpFvnzTCmzYtQG/Z/6O9CvpOH/zkl5G&#10;XcqmN5TrAXFtiQqGleoWhpOYPVG1Hq4rcoNBTbEK2KXsvKxgL2+uwuk/zqke7NJ7fcUvK1S5++hR&#10;kaqUkQrTtfdH9VTvxBsyJEA3D0vA18lpagLWeKLWlcmkcw6+TdiHoaOWY2j0XAyJWQCv8Hh7eVbn&#10;vC8eHkPxw4Yf1DnX1aoyEBERdXVSweX45TRERIWpyi5G37XtRUqgmwNDMDB+F3pJOK3CcWcG5O3B&#10;sY2iVcCuVrLnYkDSYQyO3YIho1fCXRv7mCPiYA0Kg01Kvlu0/dkFSr7rAbo3dv++Ub9mY4BORNSt&#10;6HNtDbhzuwi/bl2jVqC6ebh12yqOXYt8P9vJXNLbUFu+v+W73EuNX+Q7vTWpQmOzuL9H+/sAf03A&#10;xwsMVNUrbWY3g8eTSjfvPm/L9jjayjg4tluOiVav6S2j107dmYzvZA5UgnQ3z6FqrBcXOworVizE&#10;8WM78WfVBXuZd1mZXqvGf1LBwugzhoiIuhYG6C6ipa+53m/lUfN1nDpxED8sm4/x40fCrH2Ru3kM&#10;hbf2Zd6lQ3OrfhefHpR76aXCpf+2ts3+QTaMGDscU+dOxuqtq/F71m7VlzyzOFuVXJce4BLwSngn&#10;JdZVaXWDyUlqG7kJQZW1b6rU9nel2vfp+Rk4cPoQNuzegKnzpqhAXd5PxwBS3kcpddRhx55ctAQE&#10;4duEPfqqJcNJWNejr9rKVqVW3UevgDkkRi9rah6qGaJd3MlkvPnD/dVO5MaWCTNScPbPc+rGC6Pj&#10;h4iIiD4kNy/K+Grp2iXw8XH+6nOZ8PWJTNVXdnf54PzjyE2TvVKkNHwevk7NRf+kwxgQtwMDx66H&#10;V8w8WMJjYfH31177e33UO3AyW8bGvhZvlBTnadds9YbXdURE1PU4Fqk0N13Hwf2/Yvy4EaqMs6xA&#10;Nfq8p7+jfefKGMcejKsAWpE/a9/PMkZp/e8Dg2EJjdK+w0fCNypJkwjvUbPgOXYhvMbMh/vYRegf&#10;vw59EzaiX8KGVrT/Ttn2ibajX9JW9Iv/+Z3HksceELdWe87v1HN62vlGT1Db4zs8BebwUbCEDNNE&#10;qvY4+ryLWb0WnYy9ZPzRMgZxBPDvhu4yJum4cQk5h4zjPX08MMR9CHzN3hg5ajjmzpmCnTt+xo0/&#10;L+O1zOG/qbbP4euButHnDhERdT4G6N1cS1/zWjQ1/omKstP4ac1iFZoHBNrUanMhkzVGX+pdgQws&#10;JGRVq8o1MmAMDPFH1IhhSJwYj4UrF6iy0NmluThZdVr17S6sLUZZk96XXFbrSKhrNBlJzif7Xlb4&#10;y/sh74W8P9JL/siFY1i2filSpyUiMjoc/oFWNSGseqj7Orn6gVyU+JnhOWqZCpSNJlldiwTnOeiT&#10;koHBsb/CNzxOu0DTLtYkMJeLMKN95ARy40tEVKhaPadWoRscL0RERPQh+d5Mv5Khxr/OXn2uxgZ+&#10;Nm3MsNWlbzSU1yaBuqxOlzFSP+mrHr8XHqNXwCQl34OGwervB5uaxO6Ycu9SpSk8PBj37hZr128P&#10;DK/viIio69ArPDbg2dO/cPFCOlJT49T8moe3e8ctEOjOZB/J96us2DbbV4Zr37U2PyusAYEwBYXC&#10;FDYCPlHx8B4xFV5jFsI9bjUGJm1Grwn70WviQfSafFhzBF9NTcNXU9Lw5bQsfDk9R/liei7+O/M0&#10;/jPzjEZ+tjLj1Of54LHO4L/a3zue0+Grqelqe2S7ek0+il6TDunbOvGA2vbeE/ZiSMJauCX8BI9x&#10;i+A9cha8Y6ao12oKHw2f4AhtLBIGS2CQPh7xs+j7RhuX2LR9JftLVrpb3q5wl7kdHnPdjXxeSJgu&#10;N9zIArHIqDBMmZKELZtW4Y9rF9Rcfsvq9HquTCci6mIYoHdT+l1qTXj+9DaqKi/g8KHfMFEbyEu5&#10;IVll7uXjCZ8uWqJdtkkmj7y0Cw5396Gqb3loRBDGJY3FzEUzsHLTCtWv/FTVmbflxKUfpISzb8uw&#10;szx0l6TeK+39cfRUlxLwUhY+t+wEfj2wGQuXz0N88jiEhwXC29sDAwcPVMerhN1Gx8rnk4sOT5gi&#10;4tHHhVZWGVET36m5+DZ+F7yi52gXXv76RVYHBucOcm57axcG245vZ4BORET0kVTLHG389MOGZepG&#10;Q7PV+Hu2vajVTmHj0TfpmDaO6BmtbvQqPXrJd0cv9W+SjsBt3AZ4RU2Fb+hIWAOC1PjRmWMouWlY&#10;SnrWVJepSVKj6zwiIuoa9LaIdfij6gK+/26malsnc21SXc/oM5408h0qK6vN7vATNh/YAoPUKnLv&#10;8DFwj5kC97EL4Ra3GoNTfkXvyUfxv2nZdjn43/RcuxP474w8/He60P6s5LbQ/q1Dy+87V+vnVFpv&#10;z9ttFNo2y7Zr5HXotNekttWxvVn439QsfD35CAambseQhJ/hPn453McsgPuIafCITIJXxDiYQ2Ng&#10;DQ6HKkfv5ws/KVdvHqrtXw91U0JLsG7wXlCXI2G69EzXP0e84R9gxYTUOGz7bS3yr2Sh+l6p/XOn&#10;UVPLMJ2IqAtggN5NqBLtqryLfJE+RG11GTIz9mDZ0nkIjwhSd7J5aV/C8mXc1UJz2R7ZLscqcwlO&#10;Q8ODkDAxDt//+D3W7VyP3dl7cO76BVUSXMpXqvBVgvKa4rchutGEI3Vt6r2zTwrLDRAVzVW48Od5&#10;HMzchR27N6qeYWPHxqjBo9Gx0yZyl25gOAYl7EKvZFdcXZWBXqk56J90CO6jlsESHGnvvdW5F09e&#10;2vn93aqFuHy3QL+BwuC4ICIiohYyRsosykbE8DA1mWb0/dqepHTo0DE/4mvpH244xnB1eh91uXnA&#10;0UN9QNIRDB7/C9xiFsDXPwBWm3PGUx7aOGnR97Pw+NEN7ZquxvC6j4iIOpc+99aA2poKbN+2DhER&#10;IfDwdGNw/g6Zd5TV5do+0cYVUsnFZvaAn78F1tAo+EQlYcio+Rg07gcMTNqEARP34atpWfqK7hkn&#10;NY5gXMJyR7Dc2ocBdvf23uuT19wqfP/P9Dy1T/R9IyvhT+Or6dn4ZvJBfJu6AwMTf8ag2JUYNGYR&#10;hoycqUrHW8JHwRYcCpu/zd6jvfWKdXlf5Hi1v0+K0ftInUUtLlOBut43Xao1pKTEYsuWH3HuzDE1&#10;7y/ViuSzSMaMkgswUCci6ngM0Ls46Wfu6Iki/33lUhY2bliOhIQxqvTLUI+hqhy20ZdxZ3GsMFd9&#10;r7Vtk+2UlfFj40epYO23o9tU7/KTladVWC69y+Une5b3DPm1JWp18q1nN/BCGwyu145nuRht/xs/&#10;TLBpP91HLkWv1BPvTZx2X47J3r7an93GrIY5dKQq86Uukj7YBx1PKkqMiRuJ03+cVTfCGB0DRERE&#10;pJObDWUMLG1vpNWN0Xdru9LGCzJ26Jd4EL1Te0Kbm4/TOzkTX6XmYUDSYZiDImCRlehG+6+NhroP&#10;wf79W4E39XjzhpOgRERdSUtP4hrkZO1FSvJ4vdWgqQO+n7s8kz2Ulf7djn7lGn+b6k9uGjFNBbz9&#10;krei38Q96D01Hf+deQb/J+XQJRSWsNwlg3Hnkf0l+00P16W0/Gn836yz2n49hT5T09B30gF8k7pT&#10;9W3vH7de9YM3xUyBOTIW1qAwWKVMvrxH8l4peu91loPvmnwtJnWj5RC3IQgK8kNS0jgsX74AOdn7&#10;0PCgSn0uqX7p9s8oo88wIiJqfwzQuyj9S7EBr17eRfX9Uhw5tA3TpiQjJCwQXo7eKRYZ8Bh/8XY0&#10;VYbGx1P1MJfAPED7so8eFYXJsyZg/e8/I6MwS5Vkv3yvAGWNeu9yCde4srznuqQdCyXacbA3azeC&#10;QgLUzRZGx1ZbyB24PhHJ6JeSoUp3Gk2YdheqVHtKDvomH8PQcT/DN1y7KPKzqDu9LU5aJfU55LPA&#10;5m9WPfAZoBMREf2zorpS5JTm6qvPO+CmWClR7jFiEb5OzTEcb/Rk0i/dbeyPqg+pPrFsvA8/l9ws&#10;KtdL584e067zGg2vAYmIqHM4yrVfqzyPRfZy7e6qrUpPDhklNLevLrdI6z0LzAGB8A2LgWnEFAyN&#10;+xF9JuzR+5NPy8T/JCiXFeaq7LqULDcOhqnt/qPtXz1YlxXreq/2L6afQK+pGeg15Rh6Sx/2ifsw&#10;OGE9vMd+B5+YyTCFj4IpKByWAH/1Xqp+62rlupSDd1QzZKjeFUhLVncvNzX37x9ow5gx0fhh2Tyc&#10;PXMM9XUVePn8jvZ51bI63egzjYiI2gcD9C5Gv5OsCY+br6OkOA/rflqKmBHDVKkoKXMt/aK7ygBe&#10;gjIp1yx9zK3af0dp25k6PQWLf1qEXZm7cP7mJVy5V6BW1RQ/sJdlZ0lnakXKu8tNFfGpsepYMjrO&#10;2kQu9rQLvIHjt6BXSq7hZGlXJyuieqeeQL+kYxgydj18w+O1881sv3O46wTnDvL55KsN9qWPq5zv&#10;vEmGiIjImHxHyhh50Y/fq/DcbHHyGN/qAXNwJL5N2K3CYqNxR0/2lTbe8oiZB5uMr5xwvSWToeHh&#10;QSgtPqld7z00vBYkIqKOpa86b0R9XSX27tmkPqc9vT26XKXHDiXzKNK/XILzAH+YQkfAM3oS3GOX&#10;o/+EXfhyaia+UGXIT9j7lNtLsRsEvdRxWvqyO/qwn1Tv0RfTc7T3KxtfTM3SZODblN+093IFPEbP&#10;g0dkInzCRup91v1t8LN6wmZ200N1tVKdgXpnMlv18aMspJO2qPJ3I0YMw5rVi3Du7HHcuH4Zz5/e&#10;1j7DmjUPWOKdiMgJGKB3Aaq/uQrOG3DvThGyMvdg7twp8PMzw8PbXQ3cpZTL+1+kHU0FYxYfVZrd&#10;w2MorNr2jUsYg3k/zMPGvRtw/HIaCmuK1apivYd5MQM0+lfS93PZuiVq0tgZN4fYrB4YOnIJvk7t&#10;XgG6BOe9tG3ul5yGoWPWwjciQZWkt0hPqy58V7C8h/IZkTQ5QT//a3j+ExERGZHxcmZhlroJVVYm&#10;G32vth+TWn3uOXymujHPaOzR46XkwGtYMmwWN4P913YSyEg54Pt3irXrvnrD60IiIuoYbzRq1fmb&#10;apw/l4YJqXFvg/Ousmil42ivV24es+jhqV9gEHwiEzBk9AIMStiAPlOOqRLiKpS1h+V6OXaWZO8e&#10;clqF6+8G7P/V3tevp6bj2wk7MSj+JwweswhuI2bAd1gsbMFhal7aZpbe6o5A3bFKvaedI53v7Zy8&#10;9hnlKVmByQvR0eFYtmw+0o7/jj8qz9uzhUZNLXumExG1EwbonUQPzR39Sx7gxh+XsPmXVaq3udxV&#10;Jr3N5YvR6EuzI8k2SE9jnTf8/K2ISxmP1VtWY3fOHlVyUgLQsqZKlmSnz1JYV4IjF46qsv/SO9/o&#10;OGwT7SLQHD4O3yQd0sugG02YdhFSZl62UXqcf5N0BO5jVsAUHg+b9K6yuGuvp3tcpMhAPjwyFJmF&#10;2SisLTF834mIiHoyGTOXPCxXlZt8fDycPlmvKtcEhmJQ3E700sYZRuOQnqyXNv76NmEfzCEjICv1&#10;jfZhWw1xG4zlKxbi1ctqvHlTbXiNSEREzqfPxdXj3t0S/LRmCfwCLKpcco8Kzq2Onth2gUHwHZ6M&#10;b8evxDcp21So+h/pYa6Cc64ud2Xy/jr6rEvP+v9pP+WmiW9Sd+CbxF8wUDsmvEfOgCV8FKxS/l0d&#10;Oy3Hz7vBusGxRk6hFq/4esPNY6iq6Dlq9HAsXToXBw/8int/yc2aEqZL5iBqGKYTEX0mBugdTA/O&#10;pU9JLZ48uoErl7KwZPFcRA0PUyXaPaSHeCevNpfQ3NvHQ62EkVXmoRHBSJocj/W/r8Pxy+k4de2M&#10;CsvLVWhextCc2kQqFVz86wriksc5qfenSfUvGxD7K3p30X6femiegz7JGfgmYT88R3wH35AYdf7p&#10;d/p2/s00n0I+Q6Stw0+/rVEVKYzedyIiop6spKEcafkZGD5yGLy9nb/63GrzhnfUdHytwvOMD8Yi&#10;PZ1U/Rk8biNsAQH6RLDhfvx8vlYTPLXrvN27NmrXgU2G14lERORcjvm4F8/vIDNjD8aNG6FKI3ub&#10;9NLIrs+kel3bZKW5ny/MgcHwjUzE0NhV6D1xH3pPTcN/Z55maN7j5eA/00+o/ur/N+O0dkycwlfT&#10;stB78mH0nrAH3yZtgtfYRTANT4YpJBIWfz81d2XTxk9ybKmqiQzUO5SE6Z7aZ5mE6VJ2f+So4Zg3&#10;dyrSjv2O2ppyPH8mZd71yrfsmU5E9GkYoHcQfaD+UKPf5Zp+fBemTU1WK7olqJbwvDPvdpXn9jZ5&#10;wl2+bLX/jho5DJPnTMLPu35GbnkeLt3N13uZN+i9zBmaU3uRY0lWKa/buVatXHbGeSCrrnyiZ0Im&#10;jGWVt9HEaWeQ/qNSRvWbpMMYNH4zfIbPgEW7iNXv5u2aPc4/lpeXO6bOnawqVBi970RERD2VtDiR&#10;m1B/2PADPL3ctO974+/SdiPjCX9/DIrb1uWr8XSW3ql5GDJyqSpz74wJX+lfGRhoQ17uAXVNaHS9&#10;SEREzvO2+uP1y1i8aLb6bJbAqTPn4TqMzC9IT3O5QSwwBF6RifAYvxRfTzqgB6b2sFRKe38YphLp&#10;q9Tl+JDj5H8z8ux91TNVT/UBqTu040kb08ZMgU/EWFiCI2Dz99N76Ju1ce7bQN3g2KR2Z7L4qBuD&#10;JGeQ/46MDMWC+dNwIvcgbt64gmdPbmmfhU3q85Cr0omI/h0DdCdrWXFej6qr57F39y8YNzZGD81N&#10;njCZfTptwC7PKyWzPT3d4aNtj6yAmf7ddPz8+8+qH6ME5cX1ZarENnuZkzPJKqzMoiwEhfjDVzsn&#10;jI7XtpCyUubgSPRPPIjeKZmGE6cdRfU2T8lFn9QcDIzbiaGjfoA5Ig5WfynT3oF36qrVVc67iJEq&#10;FtGjIpF+JV19jhi970RERD2R3Fx2/HKaancirZuMvkfbk9yUZ4pMRR8Zh3TyOKgrkrFZv+Q0+ERO&#10;trfMMd6PbSEhzejRw3H92kXturDO8LqRiIja35vXEp7LqvO7OHzoNwyPjoC7p1uXaJnoXCbtmt9L&#10;D879bfAZFoehY77Htynb8d8Z0su8pZ85e5nTpzLqqS7h+pfa/xswcS8Gx6/F4NEL4DF8Aqyh0bD5&#10;W2EzD23VS13mvHrAzSudyGzVq0NKmXcJ0yWHiIwMwQ/L5iMjfTeu/yFjUskrZLEfS7wTEf0dBuhO&#10;oIfm0lNJyqPUoLQoDz/9tATRMRHw0AbqnbnaXMrDS2guPc1lxXlEVChmLJyOLQe2qIk8CcpVP/M6&#10;rjKnjiM3aZy7cUFVPZDePUbHbttI6VJfeIxeBekvbjR56ix6X/NMteJLnrt/0hG4jV4Nr8hJsAZF&#10;wCYrzVVw3hGfCXIRbe9TFTLS3uez/cuUCilVKp8z639fj/LmKsP3nYiIqKeRsfYVbYw9d9kcVa3F&#10;6Du0XcmqM38/DIrdbC/fbjxe6clkfDYgYQ+sITHa/nLODQ1uHm6YNj0VL57fZ/9zIqIOos/LPUB5&#10;6RksXDBD3bTmWJXpmuR6X69mp/pTh0TCY9Q89E/apMqzS09z6XXNwJycRYJ1vfy79FM/iy9n5OKb&#10;iXvxjXYMDhy/HD4xU2ENi4bVz9JynMqclCwkYajuVJJDSEUkN8+hqq2Q3Ni5auX3yMrcgwd1V7XP&#10;ynqNo2d6NQN1IiI7BujtTA/N6/D82V8oKzmFxYtnIzwiGB5ebvCU4NzgS8zZ1JekyUutCDVrg5LQ&#10;YSGYMmcSthzcgqzibFz86zLKGq+qVcD5NQzNqXPIMbj5wBZVDcEZN5ioMu4RCfhalS51bhl3PTDP&#10;URPVstqrb+JhDB3/C7yHT4cpZLh+963ceWuRSdoOukCQCxN5vsBgeI5YgH5Jx+AW8522Hc6bvPfw&#10;GIqZ38/AlXv2wMDgfSciIupJih6U4djF4wgKCYCv2Tk3sbUmK31Mwyagb3KaWmltNG7p6Xqn5mJA&#10;7FZY/S3aPmv/cZmMa6WU5upV32vXiQ/Vakij60giImofb15Xa5+39XjcfAO7d21EZFSoupHJZVed&#10;S2hu8VQ9qM0B/jBHxmFQ/Fr0nnQIX07PxX9mnravNDcOPYmcRQ/U8/B/cgxqek3N1I7Lg+iTshNu&#10;41fAFD0B5uBhsPjbYLVJH3UvdSy3rFI3ON6pzWRs6umt90z3D7Bi3PiRWLZ0Lk6fOoyGB1V49fKu&#10;+gzV8cZPIurZGKC3Ez04b0Rz0w2cPXMUM6anIiDIpiZLOmvFuVwcyF1l3tqXYuiwYCRNScCPv65S&#10;5dkv381Xq8ylp7n0nzaa4CPqSHoZ92yMGBOtSgsZHdNtIiuKAkMwWPX/bO8VWLLKPAu9Uk/Ye5of&#10;Qf/4XRgydh1MUVP1CwK5w9Ymd4M7yrQbbKNTmNTkudXPDNOwFAyK265drGTiqwmnMGTcBtj8/fWL&#10;E8PfbRuTrzdCIoJw9MIxlDZeNXzfiYiIegpHdadp86fCx8fL+dcH2ve79KAcNG6TNkbJNRi/kLqp&#10;UhvDuY/6QR+jGe3HNpJelH7+Zhw5+JuaiDS6liQiovahr558iKvlZzB9eip8pXyxSebkjD+juzW5&#10;Sd7sAT/tmt83ZDg8R85C/wm7VG/qt33NudqcuhC5kUMC9f9qx+YX2p+/nJqJL6akYUDKDniMWwKv&#10;4akwhUbDGhikjmub2Z091J1MVqV7eLurKrU2fwtGjozEqpXf4fy547h3t9gepjdq2IKIiHomBuht&#10;pJeEasKDukpkZ+7D7NmTtC92k1ptLqXSOzo4l+eT/iZSKt5P++KLmxCLpeuW4ODpgyisLVarXtjT&#10;nLoiOR6lJ+iCFfPgqR2/lva+wNXODbkj2yNmvgq6jSdRP56sMu+VkqM9Vh6+Ts3Btwn7MHD8JgwZ&#10;uRS+w5JhDQqzB+Z6WSp9wN/BN9Jozy138PqGjobbmB/R1x70y2RxL+3ngMSD2oX2CO2CxBll83We&#10;Xm74edfP6r3lZw4REfVkUm1nZ8bv8A/yUzeZGX1vtiepduMjq89T9HYyRuOZnk5W5fdNPg7fyAlq&#10;zGa0H9tKJiTDh4Xg1o187bqx1vCakoiI2k7KtT97ehvHju5A1PAweHq7u+aqc1lxbu9tbhoWi6Hj&#10;fsDXk4+qstnsa07dx/t91PWbPqTdwKCkzdpxvRge0VNgCYux91B30+eu1AIQrk5vb5InmMzSM11v&#10;+So/pcz7urVLcTLvEGqry7TPWOmX3qBhz3Qi6jkYoH+Glh7nDXjU9CcOH/wNEyfEq97N7l7aAL0T&#10;QnMJ66VMu4gaMQwLVy7AzvSdOH3tLMqbKxleUbcgq5S3H9+OgGAnTSxbtPMzdJQKjvUg2XgyVSdl&#10;3jPUxGpLD3O71Fz0TzygDejXw23kInhFToQldARsAf56SfROHdRrz2kv4SYhvvuIxfgm6bBaeSb9&#10;2Fu/Rlkt7zl8mt6H3fCx2s7bxwsJE+Jw5s9z6uYdo/ediIjI1UnFpwu3L2PCjJQO6n3uDWtAAIaM&#10;++X/s/ee701kadfv/CnnXO97njTTETqQMw6SbCs452yDcwIbsMnRWOQcDSbnjLONycmZnJPJ0GGe&#10;mZ5p1tn3LgkMXd0NtiRL9v3hd8kYkKpKVTutfa/F1ed/AI3rKGpHHxQpx0+q17KTkBtZZlYSfv31&#10;EcD55wzDMDbHuj534/pZzJyRL9fFqOpcrU12XbxhtMzzTQGB0MWOx7CMtVJslPbYUjRXEykZxrWw&#10;Vql/PfEEvi04hoG5ezBY3OvDkoqgj8qAiYpV6FloX6wi1+FZVLclSoGeFm6eI+X6bHZWMtasXoAT&#10;xw7ipx9viTbXmpku2l8e3zIM041hAf0TUIRz6iCe4e8/3cGBfZuQk50iLaE8NO4OF85JNCera9pR&#10;GxjijzH5Wdiwn3LNq+RCXesPV6VN+4cLeAzjrNQ/bcLpO2eRkp0kN6So3fedwxsm8Tpy1BJZOU6C&#10;8jtxvFIhx5Jdnl0m88v7Zx6WDE8tgSbBDF10AXRhqfAJjJQL0yaTF0wG2gnrBLZS1glEQBC0sVMx&#10;NG27OKcqeV5qi8ZUQe+etAJGX1/xf+2wYUGgN4hrTralpw/LjTxq3zvDMAzDdHcuiXF58f4N8NF7&#10;SdT6TNtBi+xaeEVky9gWtTEAY0GMAUckr4fB1yium+2/F6s72KIFs+R8khcYGYZhbId1je5f/3yA&#10;g/s3ISY2Ah6ebjI6Q61NdkneCoXinAJDoEmcjkHZ2/D9hEr0KjiOXvk1qiIkw3QP3s9Q7zvuCPqN&#10;2YVBGeuhS5wCfXgiDP7+MIpnhRwn3+ans5huU3wM3lL3oPY1KMgPGZlJWL50Ls6fLcPPP90GZFv8&#10;QuolXJnOMEx3gwX0j0QRzl/ixfPrKD+6HRnpo0Sn7C0toRw9OKfdtGTRTqJUYkq8tGg/eqEU5x5c&#10;ROPzFjS9uCQt2tUW7xjGqXmsZKHTPU0bQ2jRUe0Z6BQG8cxGZGFw1hH0z6nAwKzDYvC9D4PSd8vc&#10;8kGpWzFi9Aro4mfDO2oCfMKSoA8Mh8HXF8Z2OeZvB+YO3jijipxQi+PxD4AuajyGiPPoJzcGkHD+&#10;ftV5e6i6nvLafYKi5KRc9b07iVw4Fm3WzIXTZfUdO2EwDMMwPY3G563SFSotJwUah1Sfi7mJnx9G&#10;Jq9Hn9/ZRMcQlH9eDl3sdDG+o/Gc7cd0Vqewqoo9Yi75lBcVGYZhbIRSdf4c9+/VY/686aLNpfU5&#10;+0WTORwSzg2eMInz8g6NhWbUTPTL3Stzoyk/mivOmZ6I1eadnoHvxJ+/G1+KAWN3wTNlAbSxufAK&#10;joLJ3x++JKbL/HStc6zZdROsVemeYj5Dr34BJqSkJmBj8TLcuH4Gr15es+gnZPXOm0YZhukesID+&#10;JyiD8h/w/OkVlJfuQFZmkuwkKA/EkVlK1ElRtTkJ52FRIRg3NQ/r967H6bvnpGje8KwF9SxOMd0A&#10;ck04cr4UwaEB8llTex46BS0qk9AcM1EwBd6RY6EPS4YhJBbGgGC5c5WquBVLKHpVUMRyeuadaPAt&#10;jomq3410PpG5GJGyEf0tNvN/JJy/Q1k49oqeIM/XXucmoyViw3Hs2nEpoqt97wzDMAzTHaGxeZMY&#10;q6/YulKM5T3tsznwA4wGLXwic2Rfz9nnf4TiNuQdOlqMg+yzkZCyJAMCffHoYZNcUFSbbzIMwzCf&#10;hlLp+BTVlXuQmBgjhXParKTWDrse3kq+ua8P9GEJcEuai/7jKN+cRPMa9OZsc4aR0LPwfn56Lb4f&#10;X4qRGavhnjgNush0GIPC4EtFMDI/ncZ6LKbbCimmkzOuN2kkWvj6GTAuLxP795WgteU4fv3XQ6mn&#10;KBtI1dtyhmEYV4AFdBUUG6jHglf48fUNHNi/CWPGpEpLaa2DFr4I+hyyePTy1sBbdEaj0xKwcP1C&#10;7D95APWPm2ReNFWas2jOdCcuPmmU93TupDFSQNfbZYArJqUGTwtUSU67UtsL5FbU/m9XI45LivqU&#10;cR4CTfRkDE8pxoDsCkuV2ccI5+8gsX148gYYybpUnr/aZ3YO2mxk9NVj5fZVaH5xSfV7ZxiGYZju&#10;CG10rW6tRlR8pMwPVOsnbYroy01+JtG3F/9uhAujIMdAaduhDwgS180+AjotKFLk18sXV8Xc8pnq&#10;3JNhGIb5OCgGgzYjtT1qxeqV86Rg022qzo20RqGFSfTjPpGpon9ahgF5B9GroE6KhB+KhwzDfIgi&#10;qJOQTpbvfSZUYEjOFgwRz5JH/GQYQ2Nh8qWNphpLoYyXfO6cd+3PdZD6hcELGi9PafUeFh6IwrlT&#10;cPjQFjx93CrabcXenYoU2Y2JYRhXgwX0D6CdUdSo//KPe6ip2ofcselSvKYOwFHCOXU6VG3u7aOF&#10;f6Av8iaNxeajW1B7pQ7NLy+j5dVlKTKqLdIxjMvzuEE6KpQc3Ch3kTvquXN6xOBeZp/R4D4wXMk4&#10;T92K/tmV6JNTLfPc1RaH/wyqTKOMd31IvPgM+y3sa7WeyJ6QJTdH8KYfhmEYpidA/R0568xaOFOO&#10;7R0xpqHNgV5R49BfjAsoqkWt72cU+mRXwTOhCCZfvRxnqV3PzkJzyJXLzTKfl60sGYZhOo6yVvcc&#10;Z8+UIjsrGZ4aD1n9qNb2uhRv5/k+8IlIwvC0Feg7/ojMe+Z8c4bpOFShTs4NX088ie/Es0QRCAOz&#10;NsJzdCH0kSnQy+x0b0VMl1bv1J7w+mNn0Qt0PlqM9BgJvcEbScnxWLJ4NuovVOIXOR5W2nLaEKXW&#10;1jMMwzgbLKBbUKzaX+Ef/3sfJ44fQkF+Dkx+Bpnr4aiMc7lbS3wevUYnRGLWopk4dOYQzt6/IHPN&#10;m160svDE9AgoK7Tm0jHEJkbZx8bdlaDJNO2Q9TXCJzgWmvhCDMzYpyyMZ1d1WDi3Qv+/f3a5eN/Z&#10;YuKgUT8GG+DlrUNAsB92VO5A6+urqt87wzAMw3QbHjXITa/7TuxHUFigjDNR6x9tCo0ZAoIxLHWT&#10;FIfV+n3mHX1zqqCJHAuTHcc/JKDT3BJ4rToHZRiGYf4cql78+9/vYueOtQgO8ZfrdD6uvtFeHL8y&#10;zzfAO3wURqSvRJ/xR2W2MwvnDGNbpJieXysdHb7Nr8Z340rRJ3c/PFIWwis6Gz7BkTD6+8JkEGNp&#10;yk5nMd0mkL5B7bXWS4PAID+MHZOGsqM78PRJK/Cr4vzLG0wZhnF2eryArti1v8Cbf7ehqbEGc2ZP&#10;gl408NS4OypDSXYoGne54zQ1OxmLihfh2NXjUjCnqhXKNlddmGOYbgo5LFA8gXlFkdxUovbcdG/E&#10;QJ0s2mlC7R8oJtSZ8Bi1BAMzD0o71o/POP84+uZUY0jKJvFZ/uKz7bNhiKz4NaKdmz5/msxB581A&#10;DMMwTHeGxjHnH9Vj3NQ8GQPliOpzk9ET2ugC9M/p/Aa77g6NpYam74Y+OFaOt9SuZ2eh6pvo6FBc&#10;v3pKzDdfqs5FGYZhmN9HsWx/jVs3zmL6jHy5TtctNtiLfsdk1EEfFo+RaUvRZ0I5eufXslU7wziA&#10;9tnp3wjotd+4wxiZsQoecRPhFZYEU0AAfGk9zuDJYroNoHmQl49OtuEUVZuQEIUNxUtxufU43lBb&#10;L9p5tnZnGMZZ6bECuiKcK7Yh166cwsIFMxEQaJJVAj4G+3eM1HlQp6HTaWRuU96UXGzYvxEnbp5C&#10;K2Wbs8DE9HBaf7iKfScOIDDY32GbWboWEs29FNGcXkPi4REzDcNTNmBglmIzai8rVnrfgZmH4R2R&#10;LT7ffhsWqPouPCoEh88dQcurK6rfO8MwDMN0B2gcU7yv+O2YX61ftCXSejIoAkPTdnD1+UfQJ6cG&#10;I0ctg8nPKK6ffb4fdzGvnDhxLF6/vC7nnWpzUoZhGEYdJS/3KWpr9iE+PtKhsYr2QRy7zDjXwRAa&#10;h5HJ8zAg74CScT6BhXOG6Tos2emyQv04+o4vw9DM9RiWZIZ3VCZMgUHiuVWcIWXkj2yHXLkt6lqo&#10;HadNptSmh4YFYv68GTh9stSi0bwUPGYxnWEYp6LHCeiKcE4D8ed48rgVK1fOQ3RMGNw93eRuKLXG&#10;3ZZQ/geJSN7is0JERzFl7mTsPrYHZ+6ekwttDc+42pxhCNpEcvb+ebm5xNPTXfV5cn1INNcpmUs0&#10;CKdq88gxGDF6JQan70a/7KpO5Zt/ClSF7jZqMUy+4rjsuDCh8/LE/DXzxPfbJKvz1L57hmEYhnFl&#10;yEWq5soxjE5PhFbrqdof2hTRb5OTlTZ2uuzPpUtNdoXFtYZz0D9Eia+pgiZ6st02DtLiIM0vN5es&#10;AN684oVAhmGYj0SpOn+BF8+vYtWKeWJ+aoBG58qudJaMZRLOA0PhnlSEfnkH0LugTgp26oIewzBd&#10;hRTT6fmceAJ9xx/FgJxtGJa2HN6xeTAEhcnnWha9GDk3vbOQo4ibx0gEBfliytRxqK7cg3/8712L&#10;bvOUx88MwzgFPUpAVxrgZ3j96jp27yxGYkK0tA/R6Oy/sEWLKGTf6KPXISImTOabVzRVSWtHykdk&#10;4ZxhfkvrD1ewdtdauShMUQdqz5brQaK5YgVlEn/Wk2gelgzPxAUYnL4LA7KOyMXvPtmVsKVN+59B&#10;VqZDMvZAHxwnLeXUj73z0AA5IiYUlc1VUmBQ+94ZhmEYxlW5+KQJjWJcX7hsjhz7q/WF9kEPQ1AU&#10;vCNyoI2fg5HJazBQjCsGZh5qtyGPxXSCxjyD0/fAEJpgtzEPuSf5BxhRV7tfzD85/5xhGOZjsLpE&#10;kq1vXm4GtF6erm3ZbtTJylVDQCC0CVPRN3cfvimoZeGcYVwEsncnMf2bgmP4bnw5+uQewPCM1dDF&#10;F8A7JAZGP1/xjHvBxFbvncJakS4dekXbf7zuIH768ZboD14Inqj2FwzDMI6iRwjoyg7Wl/j7z3dR&#10;Ub4LWVlJclGDxHN7W0DR+1OGs5f4rITkWMxfbUZVSw0an7dIqApTbfGNYZgGmZV9/PpJjEpLgNbF&#10;d50bpOWTO0xkExoUAV1YOjSxMzAsbSuUSrHyLq8UIztTz5gp4hjtN/CnNpFcOJaWLJUbhziqgmEY&#10;hulONL28hAOnDiIgyNfxETSyGkYHo+zDBQHB0EdkwS1xAYambsbArKOir6+VArLaOKCnQBsVhyet&#10;hslXL66ZfcY7HmL+l5qWiCePmqUgpDZHZRiGYd5BQskv/3yAgwe2IDo6DBovT4fEK9oHb+lwYvLz&#10;hVdsHgbnbLNkLdfK/GU1oY5hGOemfW76NxOq0WdcGUZkroVHwjR4hVty02ndT+8hx+TqbQPzR7TX&#10;aiZMyMaJ44fwr18eiP6BM9IZhuk6urWA/s6u/QkunK/AzBn50kKdKs4dIZyTVbG3jxapWclYUrIU&#10;1a01b6vNWTRimI+DsrLnLpsjB1L2fm5tAx2jQGYjkWjuCZOv+HNwDLRR4+GWMA/D07aif3Yl+mRX&#10;WxaxqdLccdXmvwdVvY9IKZFW8tJiTvX8Oo+3tw7xybE4cfOU3CSh9r0zDMMwjKtBG2NP3T6DjLFp&#10;0Hnbz83lz3l/LGIyamAKCIJXRA5GJi7E0Izd6CfdbqxjEPVxQXdEsW8vhzZ2hhij2e87oiqawsLJ&#10;UhDiBT+GYZjfR1m3e4knj69g4YKZbwUUtbbV+RF9L+Wci1fvqHQMy1yD7/Kr0KuAKs5ZOGeY7oOS&#10;m06bYr6eeBx9JpSL5309RoyeC6+oLCmmm8Q4821uuhybq7UZjBrkQOpJTl5GbxQVTsGFc5VS2yGH&#10;Eh5XMwzjaLqlgK4MwBXrpwf3GrBsaSGCQwLgrnG3uw20j94LXt4a+Tkp2Uko3leMumsn0PL6ChrZ&#10;rphhPpnGZy0oqy9HcFigE9q3vVugpvwjpeqLFqvFn/0DoQ9LhWf8bAxLWoMhadsxILtCVn452p79&#10;4ykTx1gG74gscR72q0Kn9tFHXKNlm5eh6cUlXHis/t0zDMMwjCvR8voylmxcLCObaE6g1gd2GTRG&#10;oWo48bM+KAbamEkYnrpZcb4R45OeUpVO5zkw4wAMIQnymqheq05C4xyqbt+/b6OYj75Qna8yDMMw&#10;Vsv2Z2huPIYxOWLurHWHt53X7OwD5ZzThjXRr4TGYkTqUvQZXyatn7ninGG6P/Scf/02N70MA7O3&#10;YETKIvjEjIUxIEi0D9RGiLG4aCdYUP94aExNGenBwf5YtqQQjx6Ss5OSj67WpzAMw9iDbiegKzuS&#10;XuCnH27hwIHNiI+PlNZPWjtXgdAiGeUcGk16JGeOxoYDG3Dy1mk0v7zEwjnDdIL6J03SsWH8tDxp&#10;/W0wqj+DjoHEcjEptlaW06v4PeUe6QNC4ROaBK+YyRiRtBoD03djYOYB9JeieQ2kPbsLVHnRcbqP&#10;XgGDr8EysFe7Dp1H56VBdEIkyhsqOAudYRiGcXnIZYqs28OjQ+RmWrW+zymgTX5iDCM3yvkHwCs8&#10;E25Ja8SY5SD65VTJcYDa+KDbIMZlI5PXi2shxjl2WrykysnomHA8uN8o56Zqc1aGYZieDhW8/PLL&#10;I+zbsxHh4UHw1Hq4iOPcBxh1MBm0MAaGQJM4A/1z96N3wTH0kjbP6mIbwzDdF6pMt+amfz++DP3G&#10;7sHItOWyMt0nMBRGP5Oylihz011xw5Dj0XlrodF6Ij4+Cnt2F7/LR3/zWLV/YRiGsSXdSkAn26d/&#10;/+sRzp4+irzcdFmtSvaJ9hyE03t7atzla0p2MtbuXoMzd8+h6XmrrJxlq3aG6Rz0DDU+b8HOqp1i&#10;oKl30KSahHIxkCWxXNouecCkd5NWbCZ/fzE5DoMuJBHayLHQxs2Ae9JKDMzYb1mcFQNkWclFeeau&#10;Z41Kxzwg8yAMIfHK7ljV69N5KE6DYi7MK+ei+eVlrkJnGIZhXJZGMe4///Aixk0R4wKth2q/53zQ&#10;WEephKENwPrQJIwctRSD0/fKjHDF3l19rOC6lIlxTjm8YiaK87Zf9Q8J6OPyMhRXNF7YYxiGeQ+r&#10;ZfvzZ1elZTtVGLqmZTvlnFNcmx666Jx2OecknHPVOcMw72zeldz0SvQddxhu6Sugic2DT3A0TH5G&#10;mPTuct2RxfQ/htaCtV6e0umrID8HjfU1ioiOZ6p9DcMwjK3oFgK6ter81o0LWLJotlwE0ug84GNn&#10;4Zwabso4Tx+bijU71+D0nbOy4pwqZi+wcM4wNqPhWYvMy07JSrJ/pijtIKesUBrIBoZJi0+yNPeI&#10;KoBbfBHcklZiZOomDMguRZ8cyjBXhHJpgSrFctcSzD+kL72K83FLXGhZXFa5RjZCVqHHUxV6pazc&#10;U/vuGYZhGMaZufikEY3PmrFk4xK5oOOYjX62RhwzZbYatdCHxMNDjHcGZ+xHX+mg052E9DIMzDwE&#10;fVCU3TYJ0vfvrffCjm1rgDdijvqGcxoZhmGsAI/l2l1jfTXGjEmTVeckoKu1p06NmCdTn+kTGo9h&#10;aSvwvcw5PyYFs9+KaAzDMIQiqPfKr5UuFQNy92NE2lJ4xOXDEJ4AX189jHoPpZBHbvJ0xTmF/SGt&#10;hzQfsnXftmUVfnh9U/QrL/HmV/V+h2EYprO4tIBOO/rJ9unvP9/Gvj0bEBcfqWQm6amzUW9oOwsN&#10;7slG2ttHh9TsZKzfu14Ke62vr6D+abPqwhrDMJ2DqtDJ5ps2qnh5aaBXeTZtAWUS6UJHY0jSaplb&#10;Pix1M4Zm7MagrKNyEVnJL69y4gxz29A3pxKD0vfCGBwtF9TVrpWtoCr0WYtmyu+5/mnTb757hmEY&#10;hnFaaHzyshX7ju9HYIifnB+o9XUuBVXTmbzgExIPTfxMDE3f+W6zoKtvEhTn4S7GeAZfX8vipMr5&#10;dxKah/oFmHDn9gU5T1WbwzIMw/Q4fiXx/JkUOI4c2oKIiGC4e7rZbV5vN4wUg6KF0d8fnqNmoV/e&#10;QXw98QTnnDMM88mQW0WvguP4lsT0vH0YlFkMz8RpMIbGysJAJTNdjFffCuoqbVIPhmzdaRMWVaO3&#10;NtfJcTdHJzEMYw9cUkBXLJ+ei0H4Y9RfqET+hGwYDN7w1NnPMpGqCahakrLOY0dFY8nGxTh+/aSs&#10;miR7adVFNYZhbAa5O1Q2VyNudIx8FtWe005DlVfBsRicuR/fjTkuxXJlwZiqy9UXY7sr/XOq4Bk3&#10;S1bjq14rG0ELzQFBfthTtw9N4jtW++4ZhmEYxhkhh5yz984jMy8dWp2naj/nmlhsaU1e0AeGQxs7&#10;DYPTd6J/djn6Uk66i46LyJpeG5krqwbVz7vz0GJeZmYSfnx9Q8xXn6rOZRmGYXoSyvrdCzx/egXL&#10;lxaJvkUv3RzV2lDnhfpFrYx084nMwODsLdKSmSpJ1YQxhmGYj4U24FBb0mviCXyXX4U+eQcxKKsE&#10;XgmT4BMSA4OfnxInKTPTaQzLYroVKnL00LgjJiYMRw5tw79+eaDoRSp9EcMwTEdxOQFdsWt/jbaH&#10;zVi9aiGCgvykdYc9q87JMpryDGNHRWHR+oU4dvW4FM0p45yt2hnGMVAVevOryzCvnmfHfFExKDVq&#10;4BE3A/2yq9Gdq8z/DNo8MDR9Bwxkc0p5TKrXyzbQhogxE3Nw7sEFJQJD5ftnGIZhGGeCxiVk3T53&#10;WaGMdHJJC9o/gyrtjFql+iUwFLqYKRiSslkK6d+TvbsLCem0IXJo+m7og6Ll5gDV87UBHhoPbN60&#10;Av/+pQ1v2L6dYZgejmLZ/hqXWo9jXG6mzDr3suPanV0gu3aaDwdHYGTKInw/oVxmGnPVOcMwtsYq&#10;pvcuqMW34s/fivZmSM5WWZnuFZ4EY0AgfEV7ZDSQ1TtnphPkZEK6Dc3Fli+dixfPr4h+54Vqn8Qw&#10;DNMRXEZAJ6sn2kX07389Qm3NPqSlJUKj87SvXbveSwp14dGhKFxWiIrGSingNTxtlotmaotpDMPY&#10;D6pCP3TmMCKiw+xahW4IDMfgtB3ok1OlugjbU6BKLU3sdJjsbBlFA129wRvr9qyV37Had88wDMMw&#10;zkTr66vYVr4d/oG+8PKxb9xJ1yPGANK2VgOjfwC0UfkYnrQWg7KOoE92NfpmO7+Q/v2YWoxMXAiT&#10;rzgfOy040njG5KvHpRaykXytOqdlGIbpKZALBxXAHKvZh+joUHjqPKWzo1r76bSQG4to1zVx+RiU&#10;u0vmFlOGsZrwxTAMY0tITKf2RrF6P4bv8ysxLLMYbokz4B2RCl8/X5hISKcNPrJt7dmV6aQPkU40&#10;Li8DN66dliI6Rf+q9U8MwzCfgksI6ErV+XPcvnUe88zT7W7XTsI5iXP+gSZMM0/B4bNHpFU7ZTCr&#10;LaAxDOM4SGAtmJ0vrVLtNQGnBWLPuJno1w3yPjtDn6wKDJHVWhEw2tnKndrcuFHRqLl0DI3Pua1l&#10;GIZhnBfaUFvVUi1jnezniuOkyEo8D5j8fOEVlgaPxIUYnLEPfd/G3jjfuIkE/oFZR6CLyFYqdtTO&#10;ywaQODR2TBqePm4Vc9dnqvNahmGY7o41cvHvP93BxuKlot/wkZXnau2m02LJHtaHxmJE6jJ8m1+N&#10;rwuOqYpcDMMwjoAEdWqHyOq937gjGJy5AW5JhdBTZbqfUbZZbzPTXW2zko2gNWKydI+Pj8SJ44dE&#10;X0QbuThSiWGYzuHUAjreKFlJ//jfuziwrwRxogEk4dzLxz5V51Q1oPPyhMlPL+2ED5w8iPOP6uUi&#10;GVecM4xzQBtZdlbvQmCwH7zt1BbICbN/IIalbUXf7ErVxdieAmWdamOni4E4VWvZbxBO7a+Xlwaz&#10;F8+S8Rhs5c4wDMM4I5R7fvrOOeRNHuNY8Zz6YTtVTncIGivJyjyDtEWnscKg9F3on10mx04kpquN&#10;K7oCiqUZllIibS/loqLa+dgAN4+R2Lp1Fd78+gq//sr27QzD9Dyo2g94hQf3GzB96ni5SVrn7UIu&#10;LUZvuXHc5OcHbfwk9M09gG+46pxhGCeD2qSvJx6X7VOfvEMYkL0VmtFz4BOWIDPTjaI9k9ETBtH+&#10;9kAx3VPM0QKCfLFv9walb+JcdIZhOoHTCui0a5/E8xvXzmDWzHwprmi87FdxStWsPnodUrJGY+vR&#10;LTj/8CKaXlxC/dNm1cUzhmG6BhJWaUNL9vhMeNltMk4TZy28osajn8z37LlV6LQAPjhjDwyBYXZd&#10;dCZocxRtjNhRuUNuXFL7/hmGYRimq6DxB23kW7BmvhyDONKK1uhrkGK1zO+WlSUWQV0K2R6W39Mi&#10;mYNFdvF5MiedNtn5B8qx04ikdRiYeVhGwfTpciG9DP3FMWjiZinXSO0cbIAcwwT54uzpo2IOy/bt&#10;DMP0PJRKv2e4eKESaakJ0Og84K13oo1ff4boT00GLXxC4zAscx2+y1eyiL/hrHOGYZwUxea9RsZL&#10;fCvarG/Hl2FIzjZ4Js2FLiIVhsAQ+JrEWF3vrswT1Nq+bgo5n9BcbfGiWfjhhzuif3qp2ncxDMP8&#10;GU4noCt2Ty/x0493sHvXesTEhEOjtd/AW2ZkaN0RkxCJZZuW4fSds9IimqsfGcY5ocVrqlDefHQL&#10;jCY99Ab7tA20GEwLwcNSNztVFZWjkVas2eXQxM1WronKtbIl1N4nZyah7uoJND5vUb0HGIZhGKYr&#10;aP2Bcs+3wTfA6MDcc2+5qO8VnQ/3xIXwCUuFKSAYJl+jzGU1kWgdngFv8XtDULT8vRSKZR6iI4UL&#10;Ok5LTrqvAT7hWRg5aonchNcnp0aMpbomJ53GcAMz9sMQHGfXhUOyi5wwPhuvXtzEmzdPVOe5DMMw&#10;3RWq7vvnPx5g356NCAkJgNaOxS/2QPZdfiZoEyajf94B9Cqok8KUmmDFMAzjjLyXmZ5fK6MnhozZ&#10;BrdRhdBFZcIUGASTvn1munp72J0gLclTjNEL8nNw906D1JvevGGXKIZhPg2nEtCtWectzXWYPDlX&#10;Cilab/tkJVFFO1WdB4b4o3DZHJQ1VMhFMa44ZxjnR9qn3j2H1OxkeNmpjbBWoeuoCj2nqkdnoZMV&#10;6+C0XTAEhtt18ZnQi+tOURpzlxWK9rgJF3kzE8MwDOMEkDPKoXNHEBETBp3OXmMPFYwa6INjMDh9&#10;D/qMOYZBmYcwPGUDRoxegRGjlmN48joMzDqKQVmHMCxtG4YnrYJH3AwYwlJh9PNVqsOtFeskcqt9&#10;hs0RYyiydxc/60Pi4R4/F0Mz9sjxhLIp0VFjKrKTr4Db6JUw+urlcakfb+egeaW3jxabN60Qc9kf&#10;VOe5DMMw3RFrAczr17ewZNFs+Oi9XMyynVxURB8ZGif6qTX4toCEpxpVcYphGMa1IBcN0aZNPIE+&#10;4s+Dszdh5OhC6COSYZKZ6V0xR3A8tJnLzcMNKSkJOHemTPRZ5HjMm10Zhvl4nEJAV3KSaMfqPezZ&#10;tR6RUSFw93SDj8H2DbiSc66ReSBjJ+ZgX90+ND5tkVXnaotlDMM4IWSh+rwFa3evlQK63Xa304DS&#10;PxDDU4rRJ6daZWG2p1CGfjmV8IwvFG2n/QfX5AxCeUU7KneiidtmhmEYposh2/a6ayeQNibFwbnn&#10;OllRPiJp9dtxCFVyU6Y3VXUrVKNvVrmkT3al/F1/0WcPyjiAoSmboI2bJQV4A1Wm0yY4uRHOUYtk&#10;VJFOQro39EGR0MZMwfDUregvhe0qeS6/HXPYkjLxWaXwjsxWFghVj7Hz0IbviMgQXL18Usxpn6rO&#10;dxmGYbobyjreC9y5fRHjxmXKqnMvMY9TayedD9ropZFOLpr4Se+qzvO56pxhmO5H7wnV+Fq0cZSZ&#10;3ldmpm+B5+g50MvMdF+5zkdtomPnCY6FctFDQwNxcH+J6L9IROcxO8MwH0eXC+hKTtJz3Lh+BjNn&#10;5Mscchp4qzV2nYWEc8orHJWagDW71uDcA8o5b2W7doZxQejZrb1Sh+Ss0dJNQu2ZtwWUK+oVMQYD&#10;s8vk4rT6Am33hxa6B2ceFAPsJMXySeVa2RKqQk9KT8Sxq8fld612DzAMwzCMvSHXG4qPmVo0BVqt&#10;Iy1pvWEyeEIXnY/+2YpArtY/q6NUXlPf3V+MX/pnHoJb0ip4RebA4B8EkxTSHVhFT4ty4vOMVOHi&#10;7w+vqHwMS9n0NifdXkI6ve/w1C3Q+wfKzQjqx9Z5aI5J1pBvSEwSqM15GYZhug8PLet4T3H65FHE&#10;J0TBQ+tulwIYuyD6IhPNZ4OjMDxtBb6h/GCZda4uPDEMw3QflKp0a2b6d+NLMThnGzSjpsMrbBSM&#10;AYHwpUIisnqXlekqbagLQ3qTydcHxesX4x//e0/0Yy9U+jiGYZj36VIBnYTzf/3zIQ4d2Cyzzmk3&#10;EFWIqzVynYEWusgOPjQ8EPNWmd8KMmQPrLZQxjCMa0CxC8s2L5Niq/2q0L1kHtrIpJUg61G1Bdru&#10;DtnX00L88NTN8AlJtGsVlxX6PnU6T0wpnCyFC47XYBiGYRwN9T8Nz5qxZMNiadGtd6A4YDSKsU1w&#10;HAZZrM/V+uePg/rwctmP96O+PGUztNETYQiKlAK9vaNZ3kdcPzGGkGK6ny+8I3MwImkVBmYekZXz&#10;to7LoffUxEyCicYtdhonkmBEHD28VYpJZGesNu9lGIbpLpDg8K9fHmHHtjUIDPSV63h6lfbRKaGq&#10;c/Gqi8nDgNy96F1Qy1XnDMP0SNpnplNb+J3487CsjXBPnA6viFT4+pksmendqyrdy0cnnUyL5k7F&#10;k8eXZJ/25lf1/o5hGIboEgFdsXp6jQf3G2CeOw3eovHSetm+CoIEGKo4p/cnu/aDpw6i5eVlWUmi&#10;tkjGMIxr0fi8FZXNVYgbHQONzo6WqmKirQ9NwsDMg8oCtMoibfelDH1zqjAieT2MASFy0Vv1GtkB&#10;snI3+emxZudquemJhAy1+4BhGIZhbA31OS2vLqN4/wb4+htkn6TWV9kFEpl9jRg5eqUUgdX7545Q&#10;Jm3e++VUY2j6drjFF8IQHCv6dqpIp/Nz4OIYbVAke3c/I7zC0uA2ahEGZpGQbrV275yYTu8xOHMf&#10;fIJi5OeoHoMNoEU4ih9re9QsBXS1uS/DMEx3QMk7f4EfXt3CwvkzpADh5ePITVidgSzbPWEMDIFb&#10;6iJ8P6ESvbjqnGEY5i0kqFO7SJnpfceXYkjGOrgnTIcxLE5uPDKSkG7HTamOhPQid407xoxJw7Ur&#10;p0Tf9hJ4w5tgGYZRx+ECOvBMDLwfo+7YISQlxcJDNFj2WJAi0ZyqF+NGRWPdnvU4ffesXARjAYZh&#10;uhf0XJtXmWVlmD0cLBS85YDRbdRSKFVgtq2QcmbofKnynCrV7LkA/XvovDUIjw7FgVMH0cx56AzD&#10;MIwDkOL56yvYUbUToZHBoi9ybJU2Cdpaad1O4w37jDkoR71vTg0Gpe+Fe8I80c9Hic9VPtuhlo1S&#10;SPeAydcAr9DRcB+1SOa3Kxb0HR9z0cYD9wSzzF8nC3nVz7YBGjHfnG+ejl/+cV/Mc9m+nWGY7olS&#10;BPMct25cwIQJ2XIdz35zbxtj1MEk+hrvyDQMytkhM4DJwlhNQGIYhmEqZWX61xNP4NuCWvTP3YeB&#10;WSXQJkyGITgcRstcxeGbb20MiejUl8XHR6Lu2AFFRMcT1T6QYZiejcMEdNrJA7zCy+dXsWxJIfwD&#10;TLJi1Na2y/R+Wq0HAoJ8MW3eVFQ0VaH55WU0ctU5w3RLyFGi5lItosWgh8RWtXbBFtAA0Sc4FgMz&#10;D6GfnbI6nQ2qAhuWtl0MkqPF+TtePLdC2aKpOSmou3YCjS+4LWcYhmHsB4nntGHr8Lmj0uGG5hVq&#10;fZPdMGqgD4nHwIx9FgFZvY+2FbIiXTAg4wA8E+bKim0SnZVNcw6uSCdrd5MeejHu8EiYh8EZe8Wx&#10;UUX6p10HEt8HZR6AT1iKXTf/0byTNnDWX6yUi25qc2CGYRhXR8k7f4aTdYeQmBgNd40bfGy8jmcf&#10;lL7M5O8PTeJ0fD++FL0K6mSVpZpgxDAMw7yPtSq9t2g7vxV/7pe7H+6pS+AVkQajaFtNJKQbaB3W&#10;NYV0vZE2w3rAz9+A3buL8cs/qc97rtoXMgzTc3GIgE47eKgBamqskfYYWp2ntLtTa7w6g1J1rkHa&#10;mBRsKd0qLX9JOOeqc4bpvlwUND5vwfy18+Qipq035bxFvC9VZmniZqNvdpXqgm13gs5xcMY+eIel&#10;ikFx1w6I6Tv18tJiqnmq/L7rnzSp3gsMwzAM01lIPK++VIvkzNFizuJo8ZyiS/wwMnmdjE9xnOMN&#10;5aQrFd9U/e0RXwifYLJrtC6KqRyrvZBCOuWki7licAw8EoowhHLgc2rQ5yNjdOjfjkhaCZOvXo7f&#10;VD/HBniKOW12VgqePaX8RF5sYxim+0Hi+b//9QS7d62Hf4ARGi+N/ebbtkT0JSYZwxaHYRnr8J0l&#10;51dNIGIYZ6XX+Ep8Na7qLV/kVeHzvGrJF4LPcqvxt7E1NoPez/r+Vr5s9/lfj+fNJz0ZJTO9RmlL&#10;RZs6LGsDPOMnwhAUDl+aL8isdJX22AXQWRxNly0twounV0XfxxtjGYZ5h10FdCUj6bkYcD/Cnl3F&#10;CA4JkPYYepXGqjPIqnOdJ4LE+89bY8bJW6fZrp1hehAkoFMVemRsmH0zSmlQGBiOoWk7lYotlUXb&#10;7gAtoA/O2K+I53TOTrCb1EfvJVm+eTlaXnP7zjAMw9geGk/UXTmOsQU5MgpKrT+yG2I+YzLqoImb&#10;Lp1u+nZRXEzfrHJpf06b6NzizTIjXVaXEA4dD4jPEp9Jn60PiYNn3GwMTd8lN/iR2P97mwso+3xA&#10;5hF4R+SIcZs9q8994OHphh3b18pFNpr3qs2HGYZhXBWqOv/7z3exds0COce2RxGMXaDNaLQBOzZX&#10;Vkt+PfE4vuGqc6aL6E2MV8TwXuOrJCREW0XpL/MUSBD/ggRswWe5iqD9vfh37pPL4D6lDB4C/zmH&#10;EWo+iJCiQwgWxCzah9SVO21C2qqdSFy6B6FFB+V702cQXtOPwm1yOTTi8wcWVFqE9hp5nHS8dNxf&#10;StoJ7QLrudJ50/nL69DuujCujlKZ/k1BHQaO3QG30YUwhIg5gzUn3QUr0klAp2im8eOycPPGWdEH&#10;vubxPcMwErsJ6NaMpAf3mzBnziTZEGm9NDD6qjdUHcXLWwsfMZjPGp8pM3IbnzfLynO1RTGGYbon&#10;F580ouFZMxYVL7RztRhVoWugjZ6I/tmVXba4bU9oUbo/LTyHZ3Z55fmHUHvvF2jC5iObZYUgfe9q&#10;9wPDMAzDfCoy7ulRPQpmTIBGa/uYqT/DZPCUG9cGZB2RG9nU+mhHQtXeMiM9Yw/cEhfCEDoKRnGc&#10;js88FJ9DFrwmHfSBkdDGTJVCej9LxfyHYzH63dCUjWLOaVD+r+p7dh6a18bEhOPq5ZNSQFebDzMM&#10;w7gi1kKYF8+uYu7cqdB5if7JnpvUbQZZtmthDAjEiJRF+H5CBXoV1KoIPwxjW0gYJqHYKoyToEzC&#10;8lcCEpN7i9/TvyML7O/yK9BvYgW8ZxxFUOEhJC7eh5Sle5G3bjumb9mEmdtKsPLISqw6vBLFpSuw&#10;vWIZdlQuw07BwWNLcOT4IsFiHK5bjIpTC3Ds3DybUHfejOoz8+X7HxbvT59xRHzG7qql8hjo80vK&#10;lmPl4VVYJY5v3q5iebwTN2xFxoo9GL1krxTcfWcdxqBJZfI8v8tXzpnOv5cU1hWxXYru4s9SbLeI&#10;7B9eU8Z16FVwTArplJXuljQPhuAomKSjFM0ZnGc98WPwMVAuuhuSkuJw8XyV7As5F51hGLsI6EoD&#10;8wynTx5BSkqCrDq39YBbCvI6T4SEB2HJhsU4ffecUnXOggrD9EiaXl5CRVMVohMiZWa2WrthE2hH&#10;u78/hqcUo29O9XuLtq4OLTr3zzoKXfR4MeClNtvrt+ffxVBMBzkN0IYpdhphGIZhbAFVnpN4PmPB&#10;dGVzrphnqPVBdoOyvwNCMTxti+iLnSsmxpqRPjDjINxHLYVPeCoMfn6yMtyxmYckjIjrROMTca20&#10;cTMwJH3nWyFdOd4yMY4phy5qvLJop/o+tsHd0w1zC6fgza9PuDqFYZhugyKev8b1a2cwdkw6PDQe&#10;riGe0xxd9BH6sEQMyt6E3hPr2LKdsQsklkuRXEBV2H8dW4PPBd+Or0L/gkoMnlyOkdOPwnPmYYTN&#10;34+0Zbsxcf12FJEwfmAttpQvxwESwU8uRNmpBag6Mx/VZ+fj2HkzTlwswsn6uTjXNEdyVnC68R2n&#10;Ggpxsh0nxL89ftF20Pu1f3/idCNBn1+IM5bjIk43iH8vjvf4BTNqzs2T4nu5OJ/Skwtw8MRC7Dm2&#10;GOsOr8biPcWYsWkrctfsQOKivTAVHoTbjCMYNrUUAyeWo09+JXrlWa3oFdt4ur4sqrsecsOSaHf7&#10;5R2Ae1IR9MHRyrqinC+otNtOCm2ipkr0iIhgHNy/Gf/+50Opc6n1mQzD9AxsKqC/EVCj8urVbWzb&#10;vgYBgb6y0bF1BYfOWyMXt7LHZ+Lg6UNoenEJDVQ1orIgxjBMz4CEVKpKXrBuvlI5ZscFXSNViYVn&#10;yErtvlkfl8fp7CjieSl00RNgIuHc6HziuRXqAxKSYlHeWCG/c7X7gWEYhmE+BhLPzz+qx/T508T8&#10;QiPjQtT6HvvhBaOvEW6jllhyz9X76a7FmpFeIcYKZRiRvB66yDwZayPdahwtpBspI10LYyAJ6TMx&#10;OGMP+uRUy+MblroZBv8ARWhX/f+dh8QkXz8Dqip2i7kvV58zDNM9eCNdJF+h4WIVUqkQRuvucDeW&#10;jkBV5ybxqonNR/9xB5VqSLZsZ2wECbkkllM++P+MUcTyQQWVcJtaBlPhIYQs3IeklTswZeMWLN61&#10;ARsPr8GBY0tQe96MOhKYBSes4rTgFEHidL0igEsRnBD/ps7CsQtFTk8dYTleefyWc5HnKM5POUfl&#10;z3T+dB2s/6fi9HzsrFyO1fvXyY0F49dtQ9yyXfA3H4D3rCMYNqkC34lr/j9jauUGBbr2JKqTFbza&#10;d8Q4D29z0gtq0S/vIDwTp8MQFCqdthQHK/V23BmhdUdy31q1wowfXt+Q/aNa38kwTPfHZgK6Ytn+&#10;AjduncOkKXnQ2MHmyZp1HhweiKUlS3Hm7jk0v+QKRIZhFGgzTWVTFeJGx8i2Qq0dsQmiLTIKaLGb&#10;qrLUF5tdB2VBnCrPnV88J6gvoEr0zHEZqL18TKkcVLkfGIZhGOaPqH/ahPMPL1rE8y6oPLdUVeti&#10;JloqqV0hGqZMVqVTlM2wtG3wiJ0JQ3CMpcKEqr4dJ6TTQhxtatQHx2FY8nr0y6mFV2QejCaag9rv&#10;OLRinpuTk4qff7oj58Bqc2OGYRhXQlnPe4YTdQdl1Z2nPefStkT0ocaAIAxPWYhv82vQi6vOmQ7w&#10;LqdcsRS3VpdT1ncf8WefGUeVvPHVOzF160as2r8Wm46ukjbnVIV9rnk2zrSrEJeiuEVcJhFd0k58&#10;7kkoorkV5bpYq93pelFlO1XaE1WnF2Bv9TKsP7gGC3atx4SSzUhesQvh8w/Ac2oZeufRd/LOAt6a&#10;tW7NWFf7bpmuQhHSydp90Jgd0MZNgMnP18GbbjsP6VpUGDplSh7u3mmUG2d57M8wPY9OC+iKxdNT&#10;vBFUHj8gqwI9bZwbqDcq2bdETn7WW+teyjxWWwxjGKbn0irahnmrzfDyse9CuKxsCo7BoIwDUoBW&#10;X2R2fqzVZNqYKS4hnluRG6pEX1MwcwLO3j2vZNeq3A8MwzAMo0b902Y0vmjBwrUL4G3nMcPvIcXf&#10;0CQMztzvkmMJae+eU43B6bvhnrhQnouSky7GSLLKxBELZLQJwQOGgBBoE+ZCHxghPtt+9u10n/jo&#10;ddi2ZZUUm9i+nWEYV4fyXclJ8vChzQgI8IXWnnFotkLMWa2W7UPIsr2ALNurVUQchvktJLZahXLK&#10;5LYKsZTXPXJKGSLnHUR+8VYs3LsO64+uxJ7qpag8tQAnL5pxgcRysjBvnIMT9YVSFFYTjplPh6rY&#10;aQOCtIoX1/lC8xzUnZ+HshOLsKNiOdYcXgXzrmKMWbMTYUUH4TalVPk+xXdH3yF9l9ZcdRbUnQdy&#10;BflOtM+DszbAJyJZzBUs+eguIqTLXHStB5KTYnHmdJnUwAi1/pRhmO5JhwV0adcuxfNnePjyKlZu&#10;WAK/IJPNLdtpkULJOg/Eko2LcfbeeWnZy1XnDMOoQXEONZdr7Z+FTgu2YuCniZ3mslXoZD/fP7sc&#10;nvFzxbnoOy+e0/+XC+Yqf2cHqH8gu92pRVNw7sFFrkRnGIZhPgrqL2g+QY5WJn9Dl+S7Gin3PDBM&#10;Wo73cbLc80/lXU76AbglrYJ3eCaM1px0O2eRWzGSmOJrgsHXqPr3toI2aMbGhOPZk0u8eMYwjMtD&#10;7di///UYBw9sltEUGp0riOdk2e4NXfRYDMjbL8Vztmxn/gyyYv8ir0pmbX+ZW42++ZUYPKUM3rMP&#10;IX3Zbszeshkby1biwPGFMsubsr3PWqqjT4lXqphmsdzxULW6ksWuZK+fET/Xnpsnv6MDdYuw7vAq&#10;+d2lLN0jc+cHTy6Tuer0HX8mvmv6zklQV7snGMdBG5x6iba677jDcE+aC0NgsNwE5TIFPAJPrTtC&#10;wwKxa8c6/PLLfdF/vlDtVxmG6X50SEAn4Zxe/47HOHP1BMZNzZOLCYRaQ9NRvH100Hl5IjM3TVad&#10;N71o5apzhmH+ENpc0/S8FfPXzJMVZbbc0PMbxOTd6B+I4SkbZfam2qKys9I3uxz9syugSZgrs1c7&#10;v8AtBr6+Jhj9/OXGAvV/Y3soq1an88T81fOkIEJ2vGr3BcMwDMMQ5FhCY4UFaxfA5Ke3+fzloyDr&#10;cV8DRo5aKsYPNar9tOuh5KSTkE7ONiOTi6GNHAdDAC2QUe6hA66zXISzbzULOa2tXjkP//53m8wL&#10;/nCezDAM4yqQeP7LPx9g7ZrFlvU8x28m+1Qo9sTk7wf30XPxbb7FIlhFrGEY4qvxSnb5f+fUykxt&#10;92ll8DUfQNqqHViwfSN2VS2XIi3ZjFNO96kGxVbcasH+oZhrb2rPv6PmQ851nGrrzx+8Z/vPUzse&#10;Z4S+q/YW8JQpT98dWcRXnzPLSnXz9hKkrdyJwHn74TmjFH3FvUAbJ95mqX9wnzCOQ+aj59di8Jjt&#10;0EVmKS6YJKSrtPfOCOWik1Y1f940PHt6TfSjL9mNimF6AJ8koIMQDcPPv9zHw/+9jT3H9iIhNV5W&#10;ndvU9tDoA63WE36BJphXzsXJW6eleM5V5wzDfAzWKvTI2HApoqu2MzaCJvFeEdkYkHUUfbPKVRaU&#10;nQ8SzylrVZNQJBfwO72obaRMeI0YAOfBLWm1tFFVLJlU/q0doP7HaPLGouJFaHjazCI6wzAMowqN&#10;D84/qpeZ5+RSQ5uw1PoVuyL7TK3iYJNTKcYOrpB7/qmQmC7OLacKw1NKoImeCFNguBwrOM7a3fZ4&#10;i/GGn78RVy6fkAtmavNlhmEYV4CcJKV4vnoRdN7aLnFi+TQorkP0ISHRGJGxBt8U1LJlO/MeJIpS&#10;lTkJpJ9TVvbYGgydWIGweQeRuW4bzDuLsbV0JWrOzpOVzO2FcmtWuZpgawtqiXZi9VsRu53ATb8/&#10;Lo7hRH0RTjYU4WzzO84JLl4qQv3ljtFwRfz/VvFeTe3eV/xMn0OfR59Ln/9WaLdiOc63x/7BeTkL&#10;7fPVT1qEdXIOOHZuHnZWrMCi3esxdv1WhM47gOGTymV1Ot0jdK/QPUMZ6mr3FGMvxHUnW3fxs1uy&#10;GcbAUBlr5SrzA5oPUDV6Tk4KmhtrRX/6XPBEta9lGKZ78FECusw5/3cb/vHP+3j8v7fQ9LQZq3eu&#10;QVBoADRaD9UGpaPQwJ129IxOS8DWsm2ykpRQWwRjGIZRo/5JkxRSKfbB29vOVehikOfr6wO3UUvR&#10;1wWqyEjkJ9t2Ddm220I8l4sZWviEJWNQ+h70HXNMWsKb6O8caMdkdRtYtH6hdCphEZ1hGIZpD1We&#10;n39Yjxnzp8v4D5tu/v1oFAHAOyIbA7OOuMzGu84gHXqyKzE0bRs0cTOkbT1lpCs56V3xHXQcN083&#10;zJ8/A//8x33gDS+UMQzjmpDt7LMnl7FowSxZSef04rnoL0wCr8h0DBy7G70LjqF3PlsyM+8Ec5l7&#10;TZXF4s/a6UeRsmwP5u4sxuayFSg9sUhasZ9vni2t2G1dWf6hON4e67+hqulTDWacaTKj/pIZDZfN&#10;aLlWhEs3zLh2x4wbdwX3zLj9wIw7xEMz7reZ8aAdj56Y0fa0Yzx+pvz/9u9JP9Pn0OfR59Ln03Fc&#10;u60cV+t1MxqvFMnjPdtsxulGs7h25vfPXeWcJe3+TVdC3zWJ6ZSnTvcA3QtbypfLbPusVbvgPeOo&#10;vGfI4t16H1EWPleoOwZZjV5Qh0FjdsArylqN7vxOKFY8NO4IjwjG/n0bpYBOG9O4Gp1huid/KKC/&#10;+XebrDj/178f4vnPt3D9x2s4cesUZi6aIS0PbZ0vrPUiez9vTC2ajOPXT6LpxSUphKktgjEMw/wR&#10;ZOdde6UOo9MTlbZFpc2xGVRRFRyHwRl7ZMWV2gKyM2DNPLedeK5kuPqEJolz340+OZThWo7+WUfh&#10;HTlGCuuO3EVK1oN6g5esRCehhCM/GIZhGEKK5w8uYMYCRTzvKrFAVmAHx2JI+i4xXnDt3PNPo0wZ&#10;I4gxyOD0HdDGz4I+OEa6x8iKQgdGv3QUqjaheerJE4cA/KA6d2YYhnF2SDx//vQKZkyfIBf/nV08&#10;p/kkzVs18ZPx/fij6J1/jMWtHg4JnpRr/XluNb4dX4X+k8phmnMIE9Ztx7rDq3Ho+EJUn50vs7Kp&#10;Cpnys0nAVhNYPxWrQGyt0KafFUvxIpxoIJG8CBdazWi6YkbrDTOu3yGBugj3Himi9cPH74RwErWf&#10;CJ6+MOOZBfpZ8lz8nS2hz1L5PX2O9TPfHoPl7+j4pAAvjpeO+4GARPe74lxu3jXjyi1xjtfMaBDn&#10;SgJ7+2p2uiYfXidC7Zo6CjomuhfOiHuCxHTKUT8s7pUNR1di8satCDUfwJApZbIqWlaoCzg73f70&#10;nlAlRfTvxpfBc9QsmPwDLHMD16hGJ0dmvdELixbOkhvTqI8FRzwxTLfjdwV0a8756/+9g2svLqHl&#10;1WVUtFRjTH62FClop6pa49ERqGpQQzt3okOxevsqXHhUz5btDMN0Cmo/qN1aJdoUWiy3dxW6yaiF&#10;NnayrLKihWL1BeSuw5p5TtXhinje+TZc2iwFRWFI2o73MuD7iGswJH0n9OLvHJ1nJLNsxXe9+K2I&#10;3qJ6fzAMwzA9g+aXl1B35TgmTBsnhYIusW0X0GKQ0T8Aw1I2dqPc80+D7OqVnPRyDMo8AE2CGfrg&#10;OJhokczJrRvdNW6YNGksfnx9G2+4+pxhGBeEbGZfPLuCmdPz4am1cQyjHaC5pjEgCG6pS2TeeS/O&#10;O+/RUHXw/4ytwdd51Rg5tQxB8/dj6sYt2HR0FarOzpPCrTXD/Hj9XJuI5lIEFkiLdQF9htVe/UJr&#10;EZqvmnH1thm37ikCuVUYt9JeqLb+bKX9v3NWPjxmKbhb/9zu39F508aAe4+KcFNci6u3zGi+ZsaF&#10;S8q1OtWoiOvHLNfSag/flaI63SMyQ13cM8fFn+lY9tYsxdwtm5CwdDe0s47g+/FV+OuYGmn3Tm4H&#10;avclYxuoff82vxrDMtdBHxoPE60juohTFc0vSUjPzEjC+XPlsq+lanS1fphhGNfkNwL6G4HMOf/n&#10;fdx5dQWNT5vR8LwVe47tQ0JSLLS0u8Zgu8UNamioOjRrfAaOnD+KFvGZXHXOMIwtoCr0umsnkJqT&#10;DK2N4yY+RFqR+vlhePIGKSCrLRx3FdbFak18oU0rzw1BERiWukm8P4nn7zYNyAXynCq4jV4Fk6/J&#10;JmL9p6CII4qdO90HXInOMAzT86CNdE0vL6G6tVZuAKZxgC3nMJ+E6AeNvka4j1piiXvpjrnnnwIJ&#10;6eVyrDA48wA84ougD4mXmxENDnav+Ri8aVwh7p3DBzYDeP3e3JlhGMYVkJXnz6jynMRzD/h0VX/4&#10;MRi9FPEkNBZDszYqlu0TOO+8p6Fkmit55n8bW4MRU8oRsXAfpmzehK1lq1B3nmzF58jMa2uOuZpQ&#10;+ilYBXNr1TQJv+dblAzxyzeLcONOkbQ8p6rs98Tk9rQTlnsKahXu1utD1+ruQ2WTwZWbJKwree6U&#10;wU6iuvV6d6Wgbs1Pp0x8svknYf1g7RLM27kBySt3wjDrCL4R9+Ffc2vkRg5yQWAnDHtA1ejH0D93&#10;P3Rx4y2xkM7tkmJFFobqPBES4o/tW1fjh9c3Zb/75lf1PplhGNfirYBuFc5/+dcDPPrhBpqeNuHi&#10;02acb2uQFZyh4UE2FaCocfHy1sLX3wjzSjEwuX1GVouqLYAxDMN0FGpXivcVw9fPYHeLOqou8wlN&#10;xsCso3JhWH3R2LGQpfwAcTy66Ikw+uptKJ5HWsRzdQtametKFe9xsx2eh07QYreP+L5nzJ+GM3fO&#10;yc0UavcHwzAM0/0g8bz55WUcPHMEKZlJ0OjEHMao3l/YHRICTF7Qxs2QTjC0yUyt3+ypKEJ6DQan&#10;74VHwjwYQuLkpkQjjVecpPKE7p+srGT88OoGV58zDONyKJnninjuIcVzJ67qE+0+tf/eURnon7tX&#10;WvuyUNVzoO+assxJpPwirxoDJlYgduF+TN9agi1lK1B9ZgHONc2RImdnBXMSa99D/I5yvimf/NJN&#10;JROchF+yLydB+NlLs7Q6twrEakIy81veE9QtNvFUsX7/kZK9fv2uuN43lGx4yon/ve/mw+/PnpB7&#10;wYl6JTv95MUi7KtZiuX71yBz1U54TC19m5dOcGa67emVfwzf51fCI6kIRn9/ODoasjOQIyYVnk6e&#10;mIub18+K/veVgOcODOPq/MUqnP9bvD7/+TYuUUZgWwPqnzXj3IOLKFxOFYu2zTunATs1KFFxEdh8&#10;eDMaxWexuMEwjD2wOlpkjcuETrQ7am2SzaAJv8kLnvFF6NvO0ryroMpzRTyfABPt3LTF7k0avAZF&#10;YDiJ539yjn3k55fCO3KsshDu4EGvdDgR3/nUosk4dfusjAb58P5gGIZhuhf1T5uko9XO6l2ISYiC&#10;RuNh5xiXP4IiXnTwipqAgZlHlM1lH/SVjIJ07xHjisEZ++CRuAD6IEtGOm3a60IhneatdP8c3L8J&#10;wEu8scScMQzDuAJSPKfM82kT4Kl1d2rxnOaLJlp7TJiMvuOOoFfBMVVxhel+kD02CeZkz963oAK+&#10;cw5h8oYt2FK+HJWnKc98rsyupgphNcHzYyAhVlY7C+jPVjt2Em4pz/vOw3c27FIw/yAPnLEdb0V1&#10;i6BOP5MFvMxYF9/DtdtFaLyi2L9TlXqd+K7I/r0rKtVpowZt2KCNG3XnzNh/bDGW7VuHlGW7MXJa&#10;6dvM9C/zSExXv7+ZT6d3fjW+za/B0Iz1MITEymIlZ9lY+2d4i36W+tu42HDs37sZ//vzXZ5DMIyL&#10;8xeyk/jxH/dw88VlXGxrwLlH9Wh+dVnaHufPnCAH2LbMO/cS7+XlpUX2hCwcvVAqP4st2xmGsSdN&#10;Ly5hd80e+Aea7J99Kib+xoBgDEvd/F4uuKOhhej+JJ5HTYBRDjRtcN5Gym8NxPDkYii27eqf3R6q&#10;gB+avksMeuNljp3q+9oRqkSnDPy8yWNRc6lWiipq9wjDMAzj+lBkB2WeF+/fgJCIIOh0mi4UzxVn&#10;Gu/wdAzMOCD7Q7V+kmmPkpFODBLXzDPBDJ/gWJmRbjSQi4C1Kt1x36nOW4v0tFH4+0+3ATxVnVAz&#10;DMM4IySeU+a5tG3XOXflOfWXJv8AuKcswPcTqAKxVlVUYboXX1PG9Nga9B5XDY/ppUhbsQtrD65F&#10;5Zn5OEHCZUOhrASWAqqKuPlnSNHckrlN70GW7JRdThXPt++b8eipRTB/9k4sZ8G8a3grqrf7DqyV&#10;6tfvmNFyzYxzLcp3SBXi1ix1R4rpb3PTxSsdw+HjizB3awmiFu7F8Kml6JVXjc9yq+V9rXa/M59G&#10;7wlV6FVQhwFjd8M7Kkv0EzQPcB1Ld4orpqKeGdMn4N6di1JEV6rRH/6mv2YYxrn5y4MfrqPxSZMU&#10;zi+Q3eGryyhvqED62FRZuWfLQTZVsZONsnlFEchSl6oByWJRbQGMYRjGVtAmHdogNHFWgf2r0AUk&#10;FHtFjUV/S8an+iKx/aBF+oGZh6GLotwg0YbbYKcmVQSQfZL76OXSmv1TLGjpeEakbIQxMFRZ/FZ5&#10;f3tCGX/Un6WPTcOR80fR8voK9z0MwzDdDHKzOv/wIhatXwSjr49NNwB3BBoLUK734PQ9XbqhzjV5&#10;PyPdPcEM77B0MY4Ig8nPF0Y/PxgolkblutsSufil06D0yHbgzVOuHGEYxmWQ4vnzK5hpEc+7cjPZ&#10;H0MbpDQwBEdgSMY6fMN5590esrsm62vKNe83oQphC/ZjxuZN2Fu9HGcaC2WmOVWad9Siney+qUqZ&#10;BFaqMj/fWoTmayTCFskKZ6tQ+5YPhFzGefjNdyUgQZ0q1JuuKd8tuQhYN0k4Skwn8dyamX66oVDe&#10;Z1vLVmLixi0IMh9EX3GP08YQiiNge/fO0zu/Fn0mlMMjcQZMJr3F3VKtP3E+lGp0D8TFR6K8bCf+&#10;9ctDKaSr9dsMwzgvfyHh/LyA7A5p4Wlb2TbEjY6Gp8ZdDLLVG4BPRS4+iAYjKi4cJQdL0PSsRVaI&#10;qC1+MQzD2APasHPozBEEhwXYPQtdWrb6+sA9cRH6ZVc6NO+UxGqyP/UOzxADS3GethLP/Sziec6n&#10;nw/9e1oEd0taId7Ht0t2jerFd6IR/VDsqGjsPrZX3g/sfsIwDOP60IaoppeXUHf9BKbMnQxvH60D&#10;+vk/gmzHtdAHx2Jo2nbRL1ep9o3Mx0G2931yajAo6wiGpW7BiKTV0NMYxwFV6DpvDRISovH0SasU&#10;o9Qm0wzDMM4G8BzPnlxVKs+dOvNcEc/1EckYlLMdXxccxzcTuHKzO0IiImVFk3D+ZV41PKaWIWv1&#10;Tqw5tBpVp5Vc85MNhapi5cdAwqmsNhccv2jGxUtFuHzTjFv3zXj4RKlqtuaXqwm1jOtA3yF9lwTZ&#10;vt95YBHUrxbhTJNKhvoH94o9UNwN5uCsoOzkIqw+uFrc3zswckq5vN/pvqeqdBbTOw5Zun+TXwu3&#10;5IUwBQQq0ZKq/YpzQtXoeoM35pmn4d7dRtlPczY6w7gOf6G8cxKzSTxfu2ctgkIDZKWe2gPfEawZ&#10;tFT5d+jsEbSwZTvDMF0AtTu0UWju8kJZhW6rDUK/C+2KDAzDkPRdSq6nyqKwrembQ+L5XniHpcIk&#10;M0NtsLgsBqbvKs+rOrEZoFxuJtDEzZJWrDaxlP9EaDMXOaEEhwdiw4GNot9rReOzFtX7hWEYhnF+&#10;qG8nV5HSC2XIyE2Tbbzdo1r+BFlJFxCMkSnFol/mynNbQUL69zm16J91BD5BkcomQZXrbytozOCh&#10;cceOHWvw669Uff5YdTLNMAzjTADP8Ms/HmLJkkK4ebo5r3gu2nCTQBs7Hv3HHeK8826MVTSnn71n&#10;H8bMLZuxp3op6s6bca55dodzza2COf1MFcAXWinLvAj3HinCKovm3R+rmE456o+fmvHwsRm3H5il&#10;Rf/ZZjOO1yv3B90nMju93f1jL2gjiMxLF/f33tolmLV1MwILD6FPQaXM+Kesf85K7xhSRBd9xdCs&#10;YhhCoqXbl03WPB0E6WM0t0hOjseJuoNybkF9tlpfzjCMc/GXhmctuPikCQvWzoevv0HutFd70DsC&#10;ZZ3T6/T503D67lk0smU7wzBdCOWiljdWIm5UjAOs3JUKNMogH5BNorP9qtCtFd7DUzdDHzpafq4t&#10;BGojZZ7LyvNllkr6ztnR0/8fkF0ObfREmx1jR6BMdJOvXtr8nr1/XlYuqt0vDMMwjPMiNwA/bcGW&#10;0q2IToiEzouip7p2EYX6TSmeJ62R/aZaX8h0HMpGp1x0pfrcvt81VW1mZIzGowctskpEbSLNMAzj&#10;TABP8cs/HmDN6oXw6nI3lt+H5oEmXwM8E2eiz4QKzjvvpnw5rgqfja3BwIkViFm4D0t2F6P81Hxp&#10;0S5trzsgnEt7dotV94l6xcKbKs3vPVQEVCmoClg073nQd279/unPlG9//1ERrtwyy9z797LTLRsv&#10;7AlZvJ+WkQRFqDozD8WHVyNp2R64TSuVQjplpbOQ/ulYc9EHjdkJn0gqHNLCFq6bjoI26HrqPOHv&#10;b8SaNQvww+ubou9+yTFRDOPk/IUqN0jgpsG1LQfYZE8RHBqAFVuWo5EWuLjKj2GYLoY28DS/uowl&#10;G5fICjW7V6kZdTD6GuE2apndqtCkeJ5dhRGpm6APiobRSBsDOr+oTAsbSuW5VTy3zQYAyjQdlHkQ&#10;PhHZSpWenRfAfw/KxtWL779g1gQcu3ocLT9cVb1nGIZhGOeDNsTRBqhFxYvgF2BSNgDb21nmT5Di&#10;uX8QRiaTeN4ZxxZGHRrvVMBL2rfTnNV+4weq2KRxwoF9mwD8qDqJZhiGcSbICvbf/27DujWLRZ/o&#10;xOK5mP8ZAwIwImUxvs2vUSoKVUQSxnWhinMSzkdMLsPoZbuw6sBaWSF+qrGww9nmstr8nCKAnmsp&#10;Qsv1IllpTPnlVuGURXOmPe3vC+J+WxGu3TKj/nIRTjcp9xSJ6fSqds/ZCrrf6b4/1SDuf/Ec7Kpc&#10;joINW+A39xC+GV+Fv7GQ3iF6F9RK9xJtXAFM1L90QUxkZ/AS8wwv0VdPLBiDy63HpYgOsNsVwzgr&#10;f5kwfbwcXNvK2oneR6P1REJSHHZW7ZQWuWSbrLb4xTAM42ganjbj1O0zMlZCp9PIbGy1tsxWyFy3&#10;4BgMSd9tByv3clDmuVvSKmkXrwjS6sfxKcjKc39/uHUw8/zPoGMekrEXPlQtT7ZLKsfgCKi/IieC&#10;5MzRHDHCMAzjAlAbTeJ5ZXM1JkwfJzfCkdCp1sY7FNp05muA+6glcsMci+e2h65pf/HqHRRjs/HO&#10;70HV59lZyXj18ibwhvMJGYZxbvCGbGCfY9/eDbJPpIV5tbata6G8czHvC47EsMx1soKQxfPuQ+/x&#10;lfh6XBU+z63G0InlyFy1E5tLV+LURcqlntMx0ZywCOcnG8xovGrGjbtmPHqsWHazYM58CnS/WC39&#10;yeb/6m0zGq4U4ZS4t6S9uwW1e9FWyKz0hkKcbSzEkeOLMW/3ekQu2I8+E6rwRV6VfIY4J/3jIfeS&#10;b/Or4JY8DyZ/PxjsPD+wNVSN7u7phujoMJQd3S4FdHKSUevnGYbpWv6i1XrIh1btYf5U5GDdW4sx&#10;Bdmoaq5G86tLuPiELdsZhnEuqAp9R8UO+PobHbA731vmkXtFK1bunbVBt0KV3P2yK+A+ajGM/gE2&#10;E6KNBi0MQeFv7WftJQL0ya7CsLTtMITEdamITv2fRuuOsMhgrN+zTroUNL1oVb1vGIZhmK6j8XmL&#10;FNB3lG9HYnIctDqybHcCyz4pnpvgmTgP/UW/zOK5faDq8+Fp26APCJXXXPW7sAF0T9HGjAP7SgC8&#10;Up1AMwzDOAuKeP4CRw5vhZ+fATof+7WPHUfMhw0a+ISPxuCx26V4/s2Eqt+IIYzrQWIf5ZtT1fnI&#10;aaXIX78NW8uX4/h5c8eFc4uQSWLj2RYzrtxUcs1JBOVMc8YWWMX0Nmnzbsb1O2bUX1Iy02VMgAPE&#10;dMpKP9s4B5WnFmDNoTVIXroHgyeV4yvxPNEzxVXpH0dvcjIpOIYRGWvlBi3qa1wpF53QiDmtydcH&#10;69YswuuX1+WGOLZ0Zxjn4i9qD+8nIx50nRc1Uj6YuWA6ztw9L6tDLjxWXwBjGIbpSqxVxgWzC5S2&#10;S61dsyVGL1mZRhXdZLeutjD8KdAiMonnnnGzxUDLBAOJ3mqf+4nIiq7ASAxL2eSQCro+OTUYnrwB&#10;RhtWz3cUug+MvnrMXDgDJ26ekn0Yiekf3jsMwzCMY5HxK6+v4My9czCvLEJgiL/MO7fVBuBOQeK5&#10;nxGeCfNkv2yrTXLMb6Gxz8jUTTJj3p4CulaMB6j6/O8/3QZZIqtNoBmGYZwBWmCnjT4njx9CcLA/&#10;NKJvVGvXuhQxD6aMWq/obAzI2yeFDsqwVRNCGNeCKma/zK3G8KllyC/eiv3HFkuLasp97ki+uVW0&#10;pMxoEjNv3lMETil2Clg4Z2yN9d4iFDFdyUw/12LGiQblfpSZ+yr3q60gIf20gOIJtpavQMry3XIz&#10;CuWkfy7givQ/h/oU6lsGj9kB78g00ed4ib7H9SzdKX5l0sRc3LpxVvTtr/HmDVu6M4yzYBMBnSpA&#10;AoL8sHzLcrnQRRUiHy5+MQzDOBNNL1tRerEcIeGBjrF/NWrfWrlLAVxlcfhjIPvzAeJVGzNJCr62&#10;Ghgq4nkEhpN4nm2fvHY1+uRUY1jyekVEt+OC+MdAbgRe3hqkZidj7/F9UkRveNasev8wDMMw9odi&#10;V5peXMLhc0cwtiBH9NdaeDlLdR1tjvMPgseoRSyeOwBy3hmcsQ/egeF2Gy/40KYMwYnjBwE84+oP&#10;hmGcFkU8f4mG+ipERobIzT9q7VqXIuaplE2rjZ2A78eXy0pBNfGDcS2sGefDJpcjfcVO7KxYjlMN&#10;c3FS0JGKc6twfrqxCC3XinD3YZEUNq2oCZ8MY2us9xuJ6fRnytin+/Fss3Kf2jsvnTadnKSs9PpC&#10;7Klehry12+AxrRRfiGftizyOu/hzSESvRZ9xR6FJmCwrul3N0t3H4C2r0UePjsW5s2Wyj+dcdIZx&#10;DjoloFPlB4nn0fGR2FW9W9rect45wzCuAMVLND5rxqLihbL6WG9Ub+dsCS34Klbu5R2q7ibxnBaP&#10;dRFjxHvp5OK92ud8GpRHJwaWQRFK5bkDxXMrJKIPT14Ho59fl4vo5KSi1XoiNCIYS0uW4tyDi2h6&#10;3srV6AzDMA6E2ly5IfdRA1bvWI3wqBBoNLaLnbIJoh+mzV8jk9dbXFtYQLcvZeiTXQFdyGi7udZ4&#10;6jwweVIe/vH3u7DaJ7KIzjCMM0Jt1M1rZ5CUFCcX3NXatC5FzOlMvga4jy7Ed/lVLJ53A3qNr8IX&#10;udUYWFCBDEvG+UnKdG5UqmfVRMHf422+ueBMs1L1e7+NK80Z50GK6S/MePjYjOt3zWi4XIQT9e3y&#10;0j+4p20FRRdYq9J3VS7D+OJt0E4vxee5NXLzSm+2dv9D3uaipy6GISBIzBmof3Q9S3f/ACP27yux&#10;9Peci84wXU2HBXTKhtN5a5A2JgWHzx1F6+srLDAwDONSNL28hLprJ5CUPgoarYdqW2dbyMpdD/fE&#10;hVI0Vl8gVqMMZP0+LG0r9KFJyiDQJiKCtxSs9aGjMCxlc5eI51ZIfHBPXASjn69ccFE/Xsfh5a2V&#10;Oah5k3Nx9HwpGp+3cjU6wzCMA1CqzltRVl+OCdPGw2jSOyZupSNQfxUQBA9p4U59daVqH8d0Dtp0&#10;SBsU+ojrqyMHHjGesvVimLeY2wYF++HMqSPAG0U8V7KFn0ihijKGlddngqcWxN+/YYGdYRjHQu3Q&#10;y+fXMX58Ntw1bg7ZCP4p0FzVGBCAkWlL8E1+DXqxeO7SkHBOmcx9xM9xi/Zhw9GVOHGhYxnnUngU&#10;0M/nW5Xs6QePFaGSUBMyGaYrsQrpj5+acfehGZdumHG2yfyb+9kenG6cg1MXi7CvZglmbyuB16wj&#10;UkTnjPQ/pnd+Nb6ZWIdB2VvgE5YgY0RsU3zkOMhVhnS3FcvMePXimuj3X/KmXobpQjokoCs2t1qM&#10;nz4OddeOK3nnKgtgDMMwzk7zq8soOVQCvwCjY6zcLdXeQ9N3oE/On+ehk2Upie0jkteK/xcFo9FG&#10;OyjJelYci09oMgaTrfxHHIt9KUO/7Cq4WUT0Lq9EF9CAlarRI2LCsGr7Spy9d56z0RmGYewEta0t&#10;ok8+9+AC1u5ag6i4COl0RfMOtTbaaRD9lVG8ekXmiL6dYlqoP/10l5meDgnkFHFDIjmNj2js0yen&#10;VoxPatBf/J7ia+jVPWk1DH4mmy+EkW1iWFggpk7Ow+KFs7F6xTzs37sRhw9uweVLJ3DvXgMePmjE&#10;k7ZWvHpxFT/9cBP/+ucDi5D+g+C14JWAhHYS2Tk/nWEY20Ntzj//cR9m8zR4aNyV6AmVNq2roPml&#10;MSgcI9JX4puCWkXIUBE4GOeHspcpg/mb8VUInHsIS3YXo/rsfJzpQMY5iYxUuUuV6udbzLhx14xH&#10;T5SKc6tlNsM4M1Z79yfi54fi3r1xV8nqP9kuK13t3u8stEnltHjmToln7siJhZi4YQvcpnJG+p9B&#10;uei9CurQJ+8QdHHjYbI6b6r0W84KzYFJSJ9YMAYP7jeK/v8lfv1VfWzAMIx9+WQBnYRzo68P5i4X&#10;DfidszJHWG0RjGEYxpmhuAkSQy/9eBXX/nELsxbNkNmqjrCHNRk8oIsci/6yWu3389Dl32VXwi1x&#10;IYz+gUqlm63Ec/FePuHpGJS+G33kYr/6MTiWcimiuycuhsmXFse7XkSn+4Hydn3E4HXclFwcOX9U&#10;CjxUIal2XzEMwzCfDrWp1LYeFm3shOnjoTcoba9TWbb/EbJf1cAQHIuRyWsVS/dstnRXRxn7KEL5&#10;O5F8UNZRDMnYjaFp2zAsZSOGJa3FsFHLMUyMCTRxs6GLmQhd7GT4RGTKyBd72THKjeIya18nq9IJ&#10;cqShv4uICMaoUTEYl5uBGdMmYOWKedi5Yx3q6g7g/LlytDTV4taNs3jS1oL//fkOgJ8EPwpIXKcc&#10;Q6pgZ2GdYZiOgTdPJRuKl0hnFmqfPmzDuhKj3hP64CgMydmK3gXHQJm0asIG4/x8ZbFrd59Wiumb&#10;N6P81EKcaijEiU8UzgmrsHi+tUhWnLc9tQiRLJwzLgrduxLxM1WlN18jRwb7C+mUkU727nurl2Lc&#10;um3wpIz03Bp8OY7b2t+DctG/z6+EW8oCGAICFTdPO80h7AHNQTQ6D6SlJeJSS52YR7zCG3a/YhiH&#10;80kCOonnAUF+WLl1hVzoanjWoroIxjAM4wxQNRtR/6RJCuaUp0q27RQ5cer2Geyu3Y21u9di0YbF&#10;yJ00BkY/g2MW62mh3dcHnglmuYjcN/u3lWr0+4FZR+AZO0NWtlHWqup7fSoW8dw7Kg+DMg/JBewP&#10;P7srkdnwOVVwH7UYJiepRCdo4ErV6FFx4Vi+aTlO3z2L5peXuRqdYRimE1AbSpvZzt2/gOWblyM8&#10;Jky2tVbB0uWgyjt/f3jEF4o+3LIR7oN+rmdA4xoF2kigjHWUqvJ+4udh6dsxIqVYus64xRXCI3oS&#10;vCNyYAhNhDE4GqaAIDEGMMFk1MBkcFfsgOnayggbG20m/B30hBgLtofuR0IR13Uyxkzr5QlPrYe0&#10;Tx7pMVJ8914IDQ3AqMRo5I5Nx+xZE7GxZDl27ypGZfkunD9bhpvXz+LvP92GUrFOgrq1Wt1qB69Y&#10;wrNFI8MwH/JGRko8k64YFAnmXOI5VfaJ9jkk+q14TtV/amIG49xQvjIJ533zq5C+cid2VS3D6Ya5&#10;OFFfqCrq/RFUcU6vVqt2KZyzTTvTzbBavFMUAWX5XxD3+7ELlqz0D54JW0AuDjIjvbEQuyuXYdz6&#10;bRg6qRyfief26/Hc7qrRe0K16JeOY1D2JujDEuScguI11fsz54PmIjTniIkJx6mTRyzzBt6QyzCO&#10;5KMEdHpYaYdrWGQwNh/dInMJSZBSWwhjGIbpKmghnjb3SKFctFP088XH9Hf1OHHjFLaVbcOCdQtk&#10;/ERS5miEijaNFiA8Pd0clIHeDqMWxoBgDE/dgr457UXsMpB16ZCMXfCOHAMTDexsZVNq1Ck2szET&#10;MTDrMJw1q7W9iG70D3AaEZ2gvpCq0bPGZ2LPsb1yY0bT81YW0hmGYT4BajOpr24Qbejeur3IFm0q&#10;ta1Om3X+KYg+i/pu78ixGEIuL6I/k/2aSn/XnbBasMuxhay+V855cMZeuCetgiZuJjSRudCGJsMQ&#10;FCnHQCZfg8wlNOlJJBfjMFrQoj6fNg3KsY9rVYh4iXtY662Bp84D7mJsOXzkMLng5SvGmmHhQbJ6&#10;fWxuOubMmYwVy+Zi1461qKvZL63hf/nnAzk5l9nrb3PXrZnr4s8krH8wkWcYpmfw5leybn+Os6eP&#10;Ijg0QLQzzjM3onbaJNpu7/BkDBi7R1b7sXjuepANNFWxfp1XhZB5B7H24BrUnVdyztVEvN+DBENr&#10;LvTZZotVu0U454pzpjtjFdLpfr95z4z6y0U4Xv/ueVB7XjqLzEivn4st5cuRvmIXBhaUy3z0r7ki&#10;XZWvC46jX95+6GLHw0gbv5xonfFjoNiWgEA/7N9Xgl//ReOCZ6pjBoZhbM+fCugknlP+YFxSDPaf&#10;PCDtFVk8ZxjGGbAuwFO71PrDFSmYU7RE3bUTKG+sxJpdazDVPBmp2cmIjA2XDhoG0aaRWE5Ia+4u&#10;rHKTNuphKRiQdURZeCZyqjE0pQT6kHjx97SQbCvxXMlo1cTPxoDsUvRx8qo4EhuoWm14yjqYgsIs&#10;u0RVzqsLoHuG+sWgUH/MXDgDx64elxs26F5Uu08ZhmGYdzQ+b5VtZmVzNWaJNjQg2E+0qR5d2h/b&#10;HOn2Ivqt4FgMS14v+7PuZ+lusWInu3oBjWUGpu/F4NRt0CQugHfUeHiHJMAnIERarpvEdSGx/H2h&#10;3LVE8o5Ac2mqFNWJMafGyxPuGncprtNmERqXBYqxaVR0GJKS4zFp4lisWmHGwX2bcOP6GTx5chnP&#10;n1/FTz/fxb+lkE4Z6wQJ65aq9Q9508ZiO8N0M8it4v7dBqSmJspNOWptTddgFc9T0C/vgMybVRMt&#10;GOeG7No/z63GiCllmLqJ7NoX4GzjnE/OOZcVt4LTTVSJW/Q245yFc6YnIYV0ATku3JH27lQxrjwb&#10;VlcGW0LW7mcaC3H8YhE2Hl2F6AX70a+gUlak9xqv/sz3ZHrn1+K7/CqMSF4II1m668ndynXmIrRR&#10;l143b1yOX/5xX4wPnotxwsPfjBsYhrEtfyig00IWiUxpY1JRWl8mRSqusmMYpqug9ocW3aktuvzT&#10;NSlYknh58PQhbKvYgcUbFiNv8lgkJMfC198o2zBpt+mtldDPTrVALxfYvaCNnSYrrvvnVGLkqGWy&#10;KksuvNtoUZneixavPRLmYQDlrme5iqUsVePXYETKepiCQpVFd5Xz6yq8fcS95aVBTGIU1uxaizN3&#10;z6Hltegnn3A/yTAM8yHUNraKNpIiVFbvWIVY0XZSG0ptqVob6/qQpa1W9r+at5buzun88iko2eU1&#10;YsxCbjl7MDRlI0YmLpbRMLKy3M9kqeqgMY5O0F4o795i+adgtYanqnWrJbzu7VhVXD9fPcKjwpCc&#10;PhpT50zD2u0lqD5xFGea6nDy2kWceXAdzS8eoPnZfdx8eQ9PXt/Ds9d38a9/PsSvAkVQVyweFd4J&#10;7FTNqrYwwDCM80GL4z//fBfTpo6T1WfUdqi1KY6nvXh+UFaeq4kVjHPzRV4Veo+rQtTCfdhZuRxn&#10;Gud8cs45VZ1T7jOJhK3XzXjQpoiILJwzPRnrM0Dcb6Nno8iuOem04eVUQyGOnTdj+d718C86gK9z&#10;q/F5XrXqs9+T6Z1fLTd8DckqgU/4aNmX2axwyQHIQjAxX1iyaDZ+/IGioV6qjh8YhrEdvyugywm9&#10;mMyPn5qHmsvH0PzqsupiGMMwjK0hoZwgtwtpx/7yEi79eFX++cj5o9hSuhXLNi3DjIUzkD42DSHh&#10;gXIRXlaVi3aLFuOpDaMFBudZZPgdaGGZ8lJHLYZn3GwYfQ3K79T+7Sej2BIZA0LgNnqFrBBzRRvZ&#10;PtnVGJFaDGNogtwM4EwL8HR/0cK3j7jnciZkYkflDkuMANu6MwzDENbNbw3PmmUUVEZeurIByVvr&#10;pH20jY9JishiXhU1TtqZU5+m1tc5J9Yc8wrluMkZJm2rFMw9YybBEDoKJn8/mIyeSv/8nvW6k4+/&#10;nBR6JnwI6yZQH60lb90NHjpPuIsx44iYBHhm5CJwWhECzCsRU7wLiYfqEFN+FrknLmKCwHyxESub&#10;m3DwSitqb1xG4/1ruPvsFl7/dB94axNvEdUtwrr8PVlFC0hk5yp2hula8OYp/vnPNqxcOU/Mcz1l&#10;26DWbjgeEs8924nnx1RFCsZ5oazzv42tgdvUMszdvhE1Z+dJ8Y3yldXEud+DKmrrLhah8UoR7j4q&#10;Yqt2hlGBngmZk95mxuUbRThrFdLtUJF+XFakz0Hl6QWYsWUTtDOO4nPxrH/Ftu6/oZfou/qNOwLP&#10;+Mkw+eptuA5rf2iOoNF5YPbMAjx9clWM5Z/zBlmGsSOqArqcrHtpMN08Fadun5WLXmoLYgzDMJ1F&#10;CuVPm+TCOonljc9apFB+UXD2wXnsP3EAK7euwKzFM5E9IUtW+wZKu1dPeHiMlK/UZjm9UP5HUJWW&#10;vz+MJhq02aoSj8RzjawGG5a8AX1lBqva4rhrQBaxwzN2whg2GkaD89ks0f3nSZlE4t6cNHsiSi+W&#10;Kbbu4n7minSGYXoiyia4VrmpaN/x/SiYlQ+/ABM0TlVB1x5L1bR8pb7YhsdI72vQQB+SiGEpJVKI&#10;dt4NbSSYK3nm/QT9xZ+HpW2FZ/wcaMIzxLgiQi4yGQ3uFit216nYeAvdf644bqRjNoh700fcS17u&#10;8PH2hI+fEdqwMAyNH42BmePQt2AOvjGvw/9ZfQD/z7pS9C6pwIBt1XDffQzG/XUIP3oSoypPYdLx&#10;s1hzrh4HW1pw5vZV3H1+G//7j4fvRHSLFbwisFt+Fn+ntqDAMIztwRt69p7h6OGtos9UNtSotgsO&#10;x1J5HpEsxXMSINSECcY5kVnneVX4ZlwVYhftw7byFTjbWPjpVefnFc41F8m85yfPFIFQTTxkGEZB&#10;CukCEtKv3TGL58f83vP04XPWGU40FMpne2/NYoxdsx2DJlYo+ejjWUhvT6/8GnxbQAU7ixUnUDm3&#10;cY05Am22pSKy8eMy8fBhkxgzvMAbHqszjF34jYBO1SAmPz0KlxVKO1oWzxmGsSUkmDc8axFtyyW0&#10;vr4iRfOz98/jxM3TqG6txY7KnTCvnIvsCZmIS4pBcHigaJMMsrLc05IZ6fKCuRpysd5Gi9CWhXqf&#10;sFQMTduu5JM67UL9x0O2scMy9sAYlQVfX6slrMr5dyHUh+p0ngiLDMbsxbPEPV0jRfTml5e4Ip1h&#10;mB6BrDgXbR4J55XNVZi5cIZ0ipEb3pzVrp36TSMJ3HFwG7UEPqHJiohus01thGVjW0AI3BMXoz9F&#10;qjiRpXvfrHLRz1ahnzimAZmHMESMHzQJRfAOS4HeX4zFfH3E2MJDXBMXFc0JcdwmvZjrGnTKq7eH&#10;xOjtCaOPOC8fMbYgkYpEajpHOdZ04vGmFNTFcVrOxVevUTY3BPvDOzICuuRUuOdPw/cLi/HX1fvw&#10;17UH8Z8byvD/lFTh/wo+L6nEd5srMGhbJUbuqobXvlpklZ3EvOPnsKelGafuXsP913fw+ud7+Oc/&#10;HgD/Jjvp9+3g1RYYGIbpPLQQXn+hCpGRIW8zT7uedrbtuZR5zuK5K9HLknU+bEoZCreVoPacGacb&#10;C2WGspoAp4asmj1XhFMNRbhyy8w55wzTAeiZIej5uXanCGdJSL+oVKRTJILas9dRqBr9uHjdVLoS&#10;UQv34xvRDnyRx/no7SFLd4ohGZKzVfRvyTDZfA5oP2hdnOJd8nLT8fABiehUic7jc4axNe8J6GRD&#10;SxWQS0uWoPFZs1z4UlsYYxiG+VgUwbxZxkBc+vGaFBJP3DiF0vpy7Dt5AKu2r8LE2flIyhiFwBB/&#10;mfmolxESWimWy3wXix17+/aK+R1ocdiogXfkGAzJ2Csrz9UWyl0VEtGHZh2AKXEyfP1N4pyd776g&#10;e5XuXyI6PgIL1y9CZXO13JBGopLac8IwDNMdoHau+cUlVLXWYP6aeQiNCJb9uLfAaftxo5LT7ROW&#10;gsFy01ktBmUegFfUBDkmkZUIav+vo1Auuphv6WKnSKG6Txf309KeXZzzwKyjGJq6Ge4J86APT4fB&#10;z09cF9pYQItITrBpje4fOgYSjEng1pPY/QE+Yi5LYriAfm7/d0YvD/iK99Alp8EjtwAeWXnwGJ0q&#10;SIFXfAL00VEwREbAFBIIU5A/fMV37yvGGL4+nvDVjZT//733peNwtnv67TUS97Q4RtooYLQeY2gw&#10;9Cnp8CyYgQHmNfh+2Vb0Xn8Qf9tWi//cWov/2FQpxfW/bijFZxvL8GVJOb7aVI4+WysQuf8YJlaf&#10;weqLDai5dxWXH9/A01d38QtVrLfPWGdBnWFsAonnT9pakJ2VLKvL9B8+613C++I527a7Fl+Oq8LX&#10;46oRPu8AtlWswKmGuZ9cdU7COVm8N14uwv1HRVI0Z+GcYTqOtSK97akZV28X4VyLUpFu64x0snWn&#10;zTJVZ+ajaPsGeM88gi9z2db9fapkv9Z33BFoEqfA5Gey/RzQTlC8C21UT08fjaaGY3IMwSI6w9iW&#10;twI6VXcGhQZg7e61by2U1RbGGIZhVHms5JZbBXNaRKcK82bxWnvlOHbX7Ma63etQtGIucvKzEJMQ&#10;CaOvjyW3nBbXdfDRe7FY3hmMOphMemhipmJg1hHFflVlsdzVoQq5kVn74Bscpizsq10LJ4DuY7qv&#10;dV6eiE2IwsJ1C1HRVI2WV5flM8IV6QzDdAseN8g2rUX0+VUtNVi8YRHiRscojjGiDXTqPp36TV8D&#10;dNEFGJy5X6nAFv0MVYYPyCqD+6jFMAZSX+Mp/r0Nz0NudhNjn/B0DMrYg745js5FL5Mb0uhzh6bv&#10;wsjERdBFjoEpIAhKTAqJ5iSYO+K7E59B94jknThOFeFGH0+lStzLHb7id77+RvgGmOAbEgRTdNT7&#10;REXCEJ8A75R0+CSnwRgXJ38nEX9Pvx8xzYxeG4/is+3H8Pm2GkGt5LuNR9B/9W4MXLEdQxasw1Dz&#10;agybuQDDxL8fmj8Dw/ImQZM1tt37RsA3yFeK7O9VsJOwLivYLeK6FYdcx9/Bcl2N4piM4tjoOElY&#10;9w0LgU9KGkYUzMDguSswYOUOfLmtGn8T1+ZvW6rx2aYKfFZSjr8J/mdjGf57Qxn+o7gU/7G+FEO3&#10;VCDmYB3G157FqsZGVN24jFtPbilV6tbqdLJ9/7WNs9QZ5hN58+YJ/v7zA8wzT5f5pk6Rey6O4a14&#10;zpnnLgVZtlO16YCJFcjfsBUVpxfgNGWdX1QX2tSgiliqjD3TVITrdxW7dhbOGcZ2WCMQHj0twtXb&#10;Zpxrsbg92NjWnYT0s01zsL92CfLWbcfAAjHWy62W7YRa+9ET6S0t3WswMm05jEHhFhHdCfrhj8Bd&#10;4464uCg0N9SyiM4wNkYK6LTAFRwWgE1HNqH1hyssnjMM86eQ+Pc2u/xZi3ylPxOVTVUoObgR5lVm&#10;TJgxXlaXh0YEwcdH9za3nCrS9AbXGIi4hKhv1MLoHwiPBDP606J4NxXPyWJ2gHjVRY2XlXGuMpil&#10;fpbu+9hRMZi/eh6qL9XKTSYUZ8B9LsMwrojMOBdtGEWy1Fyuw4J1C5CQFCs3DVGbp9YWOg9WO/Ug&#10;eCQuxABpp/5+vymjT0hgTt0CfViK8u9lv6P2fh3BGyajJ3yCojEiZYMU7fuJPq79MdgW5RwJ6kdH&#10;phRDG5UPfVAMTHQ9pD27Lc/vQ0R/TWMpq5BL1dESqnIn4Vy8BgXAGBMNw+hkeGeOgXbcZAydNg/9&#10;Zy9F/8IV6D9/HfovECwuQb+V29FvRXu2oe+aPfhuw2F8v+EQ+q7e9fbv+ot/++3GI/h8ey2+2FyJ&#10;LzeVvwf97vMtVZLPttUobD+msKMOn+88jt5bKizvuxv9l29D/4Xr0d+8Gv3mLMPIyXOgGyuuZWo6&#10;DPHxMIaHynOW5/aWd+f8vkW82rWyM/J7EMfi7alsTvA3whgdBfeUDLhNnIVhC9biW3Ed6Xp8YeHz&#10;LZXiOlXgC3G9/lpShv/cUIr/s74U/+/ao+hTUg7jnlrElZ1E4alzOHypBTef3MK///VQyU5vDy/m&#10;MczvouSev8CRQ1vkxnIv2pCj9gw7lPaZ54fYtt2F+Hq8Ip57zTiKVQfW4lT9XJxsKFQV1n4PEvCo&#10;6rzpapHMbeacc4axHySkPyMhXVq7m3HWIqRLPng2O8OpxkLZHqw7vBph8/ej17hqfJlXxUK6BcXS&#10;/RgGj9kO78g0MU+hcbsz9Md/jqfWo52I/lyOK9TGGwzDfBp/0eg8EREdii1Ht6Dl9WVeyGcYRhUS&#10;zGmhnCzYZQXt02acuXcOJ24qduzkXjFl7iSk5iQjMjYcAUF+YuKvg6fGXakyd2b71j+AjtnX3yBt&#10;XA1G9X/TtdCitycMgWEYmbQKfbOrBPZcgO9KytAnp0bay5pkXrw9F/ptD91LSgawFjGJUZi/Zr7M&#10;/a8XzxZFHNDmE7Vnj2EYxpmguULzy8u4+KQRNZdqsWj9QsSOjoG36POpjXP+DWckZmpgCInH8JRi&#10;GXXyR/0mVaUPzjgAbew0GP18xf/Vivex3TnKPtw/EO6Ji9BPHIetN8DJbHNZ4V6GQRl75YYB79Ak&#10;8ZkBsgpeqTi3x3cm3tOog5FyuUmoFfeHiX4f4AufkBB4R8fCO30MtAUzMGLOUny/dDO+XbET367Z&#10;i2/XH8A3G4+gNwncVCm+ow6f7SBBu1aBKse3Vn+A+Hf0uoXEcMHb3737/YfC+adA4rEU2S3vS8dg&#10;Fdi/2lqF3iVl+Lb4EL5duw/frtqFb5dvw6D5a+A5eQ68cgvgnZIG79hY+AQFijGbn8wqp40LlMX+&#10;toLdKqz/5lraGYP4TKpMJ5t7GlcG+YvvJwbazDFwnzEf34nz6bXhML6ma2C59nQ9rNfmb+0E9f8p&#10;Fs+M+LuRO6sRdfg45p84j7Krl3Dv5W38422OuqVKncV0hnkP4CWuXjmFCMo9p41ovirPq4ORfURw&#10;NAaP2YFeBXWqYgPjfJA181d5VYhfvA/7apfgTGOhrD5VE9PUsIp2pxvNuHlPEffIavpDwY9hGNsj&#10;rd0tQjpVpJ9uVJ5HW1akK9XohSg/uRAzN2/G0CllcsPN1+PZ1p3oPaFKbhjrIy3dpymW7hRppdJP&#10;OhskoickRKOxoUaMK56xiM4wNuAvsaOisf/kASmKXWTxnGGYdpBITm3DpZ+U7PLj10+grL4ce+r2&#10;YcWW5Rg3JVcumvsH+cqOmhbPqepM562RP7uiYN4eOpeQyCB5rqPTE6HTear+uy7DIgLoQ0djeGqJ&#10;Ip5TxZzKAnp3gM6PztMQECLO3TUGr2qQowHFptAGk/CoUMxePAtHzpfiwqN6xQVGPHdqzyPDMExX&#10;QsJ5yyvFqYrGAnOWzpEZ52/bNBLhVNo8p0L0HSTikovJ4Ix96JtT+VH9Jona/bPL4TZ6GQxBkbLv&#10;tanQaRDH5WuAJmYS+mcdlf2d2nF8CrLaPKdaZpsPTt0MTexUudnOSAIp9aGyksLG4zS6JnQuVNUs&#10;7glfP1/oIyKhSUiCZ3ouPCfMwtAF6/HN+oP4amMpviopw1ckxFKVMwnlb8VuqnpWKp6/3PROqHVW&#10;ZGV2uyp2eQ7ifL4Qr3R+lCX+dYk4X3HO367bj6GLN8J9mllcj6niumRDF5eo5K8H+Ylrppe560Zx&#10;DZW8dRLVHTieps+i6nRrhjr9LtAPhsRR8Jg0C30XbcD3a3bLiny5geADMf1zAVWo/9cGQXEpPqc8&#10;dfG74dsrkXn0BFZdaMC5R9fx9PUd4F8kGFry039VX6xgmJ4C8BQvX1xDbm46qMhF9fl0NKI91wdH&#10;Y0jOFvTOr1UVGRjnwmrZ3r+gAhOKt6OSLNsb53ySZfvbqvMrRbhvqTpny3aGcTzWjPSHj824fNMs&#10;YxRsLaSfrJ8rq9G3VyxH3OK96C3aD7J1V2tfeiK9RN/3XX71O0t3vcYl1rlpHBEdHYaaqr1yfIE3&#10;T1THHgzDfBx/OXTmMBqft3IWK8P0YOj5l5bsT5pke0A5piTknbx1GgdOHsDGQyWYt2Y+ssZlIDIm&#10;TAp/ZNFKVeXdMbuczoNy2QnKrb769xvYcGCDrESnjQFq/8fhGCk/1Qu6yDxFBJDWr+qL6N0BEgIG&#10;ZR6AT+hoRbhQuyYuBt1n1oz0oBB/TCmajO3l23HuwQX5DMqK9MfqzyzDMIyjUITzy3KTz66a3Zi5&#10;cIYUzhVHDVfZLKdYtpsCguGeYFa1bP9zxP/JqcKwtG3wichQbMdtauen5KJ7hWdgSPoei4j+6Zvi&#10;lIrzGgwWfebI0SvgFTkWJn8/i+hvY9Gcvnu6DlRlTqK5QQ9TaBQ0KVkYNn4Ghs1YjgErduMrqgiX&#10;Anm1xRK88q1A7ioieUexniMJ7BJ57uIakMhuEdq/2VSGgat2YljRSgyfMV9cu6nQpmXKvHXfsGBx&#10;XXWyOlzJWSdBne49+h7t/ezR90tORxYLeqpSp8r52Bh4js3H4NlLxPe7A73FOclceXFeX7YT0wkS&#10;1D8rKcPfNpbJLHXKUf9sQxkiDxzDzFPncfhqKx48vw38u80ipnNuOtPzkPEGeIq1axY6j5OL6DNM&#10;AUEYml0irWypGk9NXGCcBxLPP8+thse0UizZXYwTF4pwouHjq86JmnNUdW7NOi9i4ZxhnABrRfrD&#10;NjNarxfhVIPyrNrK1p022NBGm9pz8zBrawk8px8VbUmNjIFQa2t6Gr0nvLN0949NF/M1HXzINUqt&#10;73QiSEQPDPJFeekOMcagSnQW0Rmmo/yFxDK1xTKGYbovVrGccsutND5vwZm7Z7Gndg9Wbl2B6fOn&#10;IW1sKiJiwqA3eMGdssu9XGmx/OOgcyHxn4RxstaWgqa3BoHBfliycTEuPKyX14eu2aQ5E8XfOYEV&#10;PVXQ+RrgGTtDVp4v8XAAAP/0SURBVMR1d/FcCgjZFdDGTJYZfKrXxMWh+0+jcYd/gAk5+VlYvWO1&#10;jEegbGG6/0hM541uDMM4CusYgdog2kxXvG89ciePlZt9KJqF+kq1tswpMepkdp0+LMmSNV4t6HjU&#10;CfW5gzIPQRs7HUZfk+yTbSdkkljpAX1IvDjWYkv//jEiOm0IoPFAFQZn7odHwjzpTmPyNcr3s1m1&#10;PI1/rGKqxAsm/yDoE9IxbNJc9J+7Gv0Xb0fvkgr8bddxfLa9RlVUZd6HBHa6Tm+z13cexzfi9/1W&#10;78aAJSXoX7gcIybPgU92HozxcTAGUJTAh7nqFlHd3mNUen+ynacNE3S/RkVKsX/klLkYuHKH3Czx&#10;xVYlN/2di8D75/t5SbmsUP9/1x3F1xtK4be3FmNqzmBbUxPuPL1tERMtmekCFtOZ7g5Zt5+oOwhf&#10;P4Oca6o+e45EzLeM/gEYmb4S3+TXsHjupPQeTznnVYpdu4DE84C5h7ClbIW0bK/rgGV7/eUi3H+k&#10;iHVqQh7DMF2HtSL93kMzmq+RDbtZVqPTs6v2XH8qx+vn4pxoO/ZWL0HS0j343tK+cDa6wtcFxzC0&#10;4ChSJ8xBWIivXDd29rVxDRXrBPmh/CiJ6E8FLKIzTEf4i9qiGcMw3Q8S4Jqet0ordloUpyrXU3fO&#10;4Mi5I1i2aSkmTB+PxNR4hIQHybxvjcZDLpJTFbZL2LJ+JDTAkVbzYrAjs9nF+ZE9JdnQ02aBnAnZ&#10;WLppGY5cqMDFJ624+PQyzrfRBoNWVLfWIDElATqvrlrYoIV1DQz+wXAftQTSnvWTK+hcDxIQPEYt&#10;tQgVLiTadACrkE7PYHxSLOYsnS2tks89vCg3uTS9EPfkExbSGYaxD9TO0DiBfj529bjMNx+dliAd&#10;WGhcQM4zam2Xc6L0mUY/EzQx0zAw85AUmG0RdSL7XoHb6BWKpbuRqrttN1aSxx0YIi3j5TH/juBP&#10;5yIr1UU/OTBjPzzjZ8MnKFpWCSvZ5rY4JhLNdTBR9TGNB/2M8A6LgFf6BAybvQLfLd+Jb9cewpeU&#10;CU455dvet/RmOoa0hN9arYjqlLNOleolR/Hd2r34dvl2DJq3Brr8afBJzYBPRLgYG5qU6nDLd0Ui&#10;91tRXfV7tQH03nRfeFN2uhhjh4VClzganhNnot+K7fhq49F37gO0kULlPD8rKcd/bCjF/11/FF9v&#10;LIPHrhpkVZzE7qZmPHx1F/+WNu8kqHNmOtM9AZ6j7WEL0tPFsyPmpqrPmiMRcy1qS9yS56N3QZ2s&#10;vFMTEpiugYSsL/MUsbz3uCr0ya/A0CmlCJt3AOPXbcd+yjtvIsv2jxfPqZL1eH0RLt0wo+2ZItCp&#10;iXcMwzgH9IySmH7ngRkNl5UKcrkJRuX57ginGwtlNfr8nRvgxtno7/Hl+BoYi45jTclWpCRFiX7b&#10;3bnXy2lt3yqiWyvRWURnmE+GBXSG6aZQtSothFvt2M8/vIjqS7U4dPYI1u5ai4mz8qVAZ80vp0Vx&#10;soyjVzkAMKp0vi6IFMx9dPLcPD3dZa65X6AJETHhSM5OwcTZk7F443LsPXEEJ25fwLn7F9Dw5CJa&#10;XlxE05NTaGirRXNbOS637cPt13twoKJI5lN66x0/SCK7WJ/QURiessmS29rxCjpXgcTzYWnbYQgM&#10;VzYPqFyXj0HuDHWhe5piEcjaneISAkP8kTc5FyWHNqHmSh0anjZZLN45K51hmM5D44XmV5fRKtqV&#10;49dPYm/dPkybNwVhkSHSgYb6TaeJL/lYqOpc9Bn64Di4Ja1CP1mdbdsNZ9QHU188LG0rvMPtYOku&#10;jp+s18lynsT6D4+/T04V+ovfDUrbCc/4uRYh31ugFcdhgzGKeA+jt6fMMjcF+MErJg6arAIMmbcO&#10;X21QxE7KLn8rjm7+rTjK2I4vNlly1i2271+K16/F778mkXrDEQxcUgKPqXPFd5QLXXwijGEh8PU3&#10;wtdHA6OXhyKo21VMF/cL5aaTnT99TqA/fBJHwW1qEfos24Jv1x/Cl9tr8ZmAzkPtHP8ms9NL8T+C&#10;r0ooN70KU2rOoPLmZTx+dQf4N4mNis272sIGw7gaVA1Gr4sXzZIb17ve5cwLJpMO7qNmobesPGfx&#10;3FnoNb5S5hJ/JRg+pQz+5gMYt3Y7Vu1fh4PHF6H6nFnmlp+o/4SqcwGJ52ebinDrnmLXzpbtDOMa&#10;tH9eb4rn93yrWT7X9Ex/+Kx3BGpLSEjfWbkckQv2o9c4MdbPYxGdNjH9bWwlxm2qx9XW05gyKUf0&#10;3x7wcvK5shTRg/1RUboTePMUb359/JsxCcMwvw8L6AzTTaAFcKpMpUrp1h+uygqymkvHsKtmD9bs&#10;XIOp5ikYlRoPP3+jrL625pfTonh3yS+nc5CCuTgnWvD38HSDVuchq+pHp4/G+On5KFq1AOv2bcLh&#10;cxVofFqP1hdn0PqsDleelePq0wO4/nQ7rj/egBtty3G7bQHuts2S3BHcfzob954UYuGSZGi9HHzN&#10;DOL7Cs/E4IwD6NPBXFRXg8SCgVlH4B2RpVT3URWc2rX5M8T35Osn7gtx37uam4L1fianBIoYSEiO&#10;RdGKudhZtQun757D5Z+vy2ee7d0ZhvkUqM2gTTg0Xmh81oKDZ45g5baVSB+TIh0wpGhOkS0G1xsb&#10;kHBO1XO66Amiz+x4lvjHoli6H4Y2Zqq4dgYpfKsdV4egSkDR92ljp8rPoH6xD9m6yyz2LdDQZwaG&#10;KBXrUrzv7Pcl/j9ZgpM9t68RPvGJGJk7BcMLV6H3xqNSuP0ja27GsbzNVqfvQ34vVVJg77W5HIOX&#10;bcGIWYsxkvLUU9JhigiHn/iOKaueqsbtWp0u3vetxTyJ6gEm6JNTMWxqEQYs3IBvS0rx2fa637X3&#10;/0JAuel/3ViG/94gXgWBe2ux8OxFnLl7FX//+/23QjrbuzOuyptfKaLgOSrLd8nNat5OMEfxNWqh&#10;iR2Pb/Kr0DufxXNnQIo1ueK7GFcN/7mHMK54K7aWrkTdeTNONRTiZP1cKXSR9fInW7aL1/pLZtxv&#10;K+Kqc4ZxUZ4I6Plte2LGtVtmuSHGGsmg9ux/ClTZTu1M9dn5mL21BCMmlyvt0QftVE/jq3EV6JVb&#10;iS01V/HPH29i7ep5Yh7mI9fZ1fpWZ4FEdMpEP1a9T4yhX+DNGxbRGeZjYQGdYVwUZfFbySilxW+y&#10;Z7/wqB4HTx3Eiq0rMHnuZCRnjpZ5pVqt53t27N1FLKdzIXGRFvm9BGStrjfqEREbgez8HMxdbsb6&#10;fRux+9gB1LaUofnxMdz8sQa3Xh3AzedbcePxWtx6vBS3H1uF8umCGYKZb0XzO21z3uPhi7lovTET&#10;mdnh0Gjp89SPz+aQgB6WhgFyAZ3EAPWF/O6CtNjNroAmfo4UDzq8yGsU94iPN3JnzMHsxXPEgNEo&#10;N4+44jNAx0zPMDkpBAT5IXtCJhZvXIz9J/aLdqAFjS9aOC+dYZjf5SLlmj9tRgPFQYgxQ921E1i/&#10;Zx0KZuUjIjpMxkeQcO6KormEqs6p+jo4Cm6jlqF/dpkiNqv0MbZGsXQvl/EqhoCwzm36+hBZESj6&#10;ssgxGJJ1EEPTdkATM0l+jknatHey4kH0LVLslNXDOpgiIuCZOxED565Cn7X7pX042YizYO460Hel&#10;ZKqTrX4dvt1UhgHLtmAQZalPnAl9ShpMocHSkp++d2uePd1rdhHV6X19NPAlR4OgAHilpGO4zEzf&#10;jq8sov/vbcogMZ34r41l+P/WH8Ug8W9GlZ7AxoZGMSa/LUV0a176m1/VFzwYxhkhG9UH9xqQmBAN&#10;reh7VZ8dh+Et2gPR/0eloe/4o7L6XE00YBwHVZxTtefXedUImXcAC3avx9Hji3C2aQ5ONyoW7VRx&#10;riZ6/RkkrNH/bb1uxuOnXHXOMN0BKaS/MOPBY7N8tk/UFyn56B88/x2BNulQ27OpdCWCRXv0RW5N&#10;j7d0/yy3AiOm1KDp5l3Rnz/H0cPbEBYeCE+dh1OvNdLxRUWHouFitTzuN2L8rDZGYRjmfVhAZxgX&#10;ov5Jk8xApupyEsgox5wWwDfs3yArzJOzkhAeFap0jLL62lMKzK4umFvFcqvNvFzgF78z+RsRHB6C&#10;UWlJmDCjAKt3rMbhs4dQ0ViKMzeO4urTI7j30wHce1WCu89X4PaTRbjdNtcikL8TyxWhfPZ7Qvkf&#10;0fayCBU1ExAS6gudt+OqBUxGLXRR49CfFuu7uX07bRJwS14Ho79fp8QBEhc04TnQTqzG1K2nsWL7&#10;BiSOjoSPnlwYnNtm6Y+g55rELqpKJ5vlMQU5WLVtJWouH5N56WTzTu0ECesXWExnmB6L1ZmGxg4X&#10;xZ9P3TmLndW7MKVosoxxMfnp5XiBNueotTUugdFLCudGP194RedjSPpO9M2pVjZiqfQv9oJyyvtm&#10;V2No6lb4hI5WKsJJOFQ75k+FztHkBZ/gWBgCo+R4gDbWqf7bj8UqmtMxkt12aiaGFS7Ddyt3o9eW&#10;Cpln/nu51YxrQVXqn219l6X+XfFBfLdiBwbMXwdtwXToE0fLe4DcJ95lqNP9a4f5A23SkJnp4r3D&#10;Q6FLzcDI2Yvx7br9+IqOlSzqSVD/nQ0bfy0pw/9ZfxSfbyiDfm8tZh8/h4b7N/DLLw8tYvpjFtIZ&#10;pwdvHst8f7N5GjRibqtXe1YciZgv+YfHYWjeHvQqOKYqFjCO46txVfhaEDD3EBbvXYfyUwtwtnEO&#10;TjYUqopbnwLZO59qKMKNu4rgxuI5w3QvrNbudx+apcPEMVtVowvONBWiTLRH49ZtQ7+CSpmNTi4Z&#10;au1YT+BvY8qRuOQUfvyZxp+vcOF8BVJTE+Gp9XBq50tPrSfi46PQ1FAjRXTahKo2VmEY5h0soDOM&#10;k0PVpCSEXfrxGs4/qkft5WM4cOogFq1fiKy8dCmYm/wMsgpbZphbqszVOkpXQQrmlAHtbbFhFwMQ&#10;WtQLiQhB7Oh4ZBfkwrxqATYfKUFNSynO361Gw/3DuPZ0F+692oz7L5bj/rP5uPtkLkgYVwRza1X5&#10;xwvlv8fdx3Pw4NlcrNuYAW89ifsO2qBgpCo0H2hkHqpjquq6AqoYHJixD/qQBEsVn8q1+Bjo/wZF&#10;Y2jGLnyTQderHDELjmPJnqOYNLsAIaFGaL08XXqDCR07PfO0qcQo/hwWGYwxBdlYvWMVyhoqcOLm&#10;KbRQtvEPV6SYzpXpDNMzaHzeIu3ZG540ofbqceyp24c5S2YhITlO5iJbxwzeoq9Va1tcBiMJwFrR&#10;X8RjZNJq9Jcidlf2j2Xom1Ml+rAD8IqeINpl0b+Q2K127J8M5ZuTVTu9Xyf6LRJIScAU4yqf6Gho&#10;x09Bv+Vb8VVJmczV/nwrV5t3ZyhLnTZGSDt+wdfiu/56w1H0WbULbnMWQ5uVC6+YWBhDAuBL94q9&#10;8tPF+ymuB1rxnOihDw+FV24+BixYj2/WHcBX4l5U8tLV78XPSsplXjrZu/fdUonM0pMou3YJL3++&#10;J0V0Qm3xg2GcAVpoLyvdIcfutClW9RlxFAYtwiPE8zduM75m8bxL6SX4bGw1Rkwpw9SSzSg9uVBm&#10;ENtCOKcq1NpzRTjXXIQ7DxTLdhbPGaZ7YhXRyWHi6i2Ke7BUo9tASKf26OTFIizdsx76mUfwZW41&#10;evXQanTpFJJbgZLKZtGvPxW8wJ1bFzB92gTpjurMueieWncpojc3HJPHTbEyauMVhmEUWEBnGCdE&#10;iuavLkvR/NyD8zh4+hA2Hd6E6fOnITE5Vk6232aYC1zdlp2OnRYPSAQkq3mynKes9uiEKIydlIeZ&#10;S+Zi2ZY12HtsN87dqcHl57W48uwwbjzbijvPVuP+03m494SEbRLH32WWK2J55wVzNR48K8StR3Mw&#10;cXIMNDrHCRCyys4/ECOS1soKO/UFfNeFKgYHiFevqHFK9V5HRQKy8vX3E9dptRQz6L37ZJbi2/RS&#10;DMutRMGmE1iyeQPSsxPEfefh+iKSQEYaWNoEEtUDgv2QPT5TRjrsObYXddeOy804ra+vSBtnrkxn&#10;mG7E4wb5XLeI55ue8WNX6rCjcieKVhZhdFqCaBPFuMFbyTX3Ef2tK48ZFMh23FP2h5rY6RiSvlc6&#10;lzi66vz3IEv3Adml0MQXwujnZxG91c7DgcjKX0/4BvpCk5yO4TMXos/6g7LiV+Znb65UFSqZ7g0J&#10;1L/JUC8pw9BFxRiZPwOeqZkwRobLinHKxrdLZTo5LMi8dIphEJ8THw+3SbPQf0kJepMbwnZyQ1C/&#10;Pz8X/M2Slf6leI05WIftrc148uqOFNE5J51xNqja69nTS0jPGA0PrYf6M+EgKHs9JMiAiAnL8XVB&#10;napAwDgGEmI+z61BkPkgtpStxJnGQmmb3FGb9vaQaEaV5xcvFeHhYyUvWU10Yxime0EiOj3vdx+Z&#10;UX/Z0hbYQEQ/fnGuzEbfW70UCYv3ote4anw5rmeK6F/kVsBjeg2u3rkl+vcngmf46cfbWLt6gVy3&#10;7/qIlt+HxiBSRG8kEf0Zi+gM8wewgM4wXYzMMrfkklLFGC1+n7p9BltLt2L+mvnInTwWkTFh8LKI&#10;yzK/2eDtkovfdMwk8lF1uRT5xLmQaK7z8kRIRBDSx6ZhqnkaVmxbjS2lO3D47FE0Pj6FWz/V4dar&#10;fbj1vAS3n6zA3cdzce9x+6xy+4jkf8ajF3Nxrn4K4uIDxcDIgSI6ZdQFx2Bw+i70sYjD3QOq3KuG&#10;e6Iy2Oy4dbs3TOL/esYXqgoqfTJK8U1qKULmHsfcrUcxZ9FMBIf6yfvQ9UUlBeuzRs+Xh4cbAoJ8&#10;kTYmBbMWz8SGAxtQe6UOza8uofFFqyU3XSDaIa5QZxjXgKzZ5dhBPL/WaJdjV+uwfu96zFw4AylZ&#10;SfD1M0gXFzluoLbNqN5euBziXIy+BnhHZGFEcrG0TZcZ5O3aeWeALN37ieOiynhDcCRsmov+sdC1&#10;ImHSRwNTWAg0YyZg0Py16L2pDH/bUceiOaNChRTVSUj/bHsdem2txIBlWzFwzlJ45BbAFBMtxlji&#10;vhL3FN1bFAVgU0Gd3osq02mzR2gQNOk5GEabPdbtU6rm3272+G1l+ucl5fjPDWX4a3Epgg4cw9Lz&#10;F3HvGS1oKkI62Nqd6WLevHmMX/7ZhuXL5sJDzOu7ct5Bn02bu8ZNLcKIqbU9toLQGSDL9m8Emat3&#10;oPyUUnVuC+GcIMGMqs+brxXh0RMlI1lNaGMYpvti3TRz9bZZtC/KhhpbZKOfbihE1Zn5mLxxKwZN&#10;FOOyHmjpTudLVu4568/iH/9LES1k5/5MvD7B/j0bERzsL6Na1PphZ4DGIrGxEbh187w47lcsojPM&#10;78ACOsN0ASRSkWBOi960+E3W7CdunMLGAxsxZe5kjM4YhcBgP+hER+vpaRHNu3CC3VFI6LdWlhOK&#10;RZ0efoEmxCZGIXdyLhasW4wdVXtw9EKZXPy/+OgMbvxQhzs/7MfdF8W4/WSpzC2/J/PKKbecMsu7&#10;RjD/ELJyf/yyCDv3jpH2k14+jvuOaCHeOyITAzMPOaVw0BH65FRjWOomGAJD0BnLW9pg4B2ZgwFZ&#10;R383K76voFfqUQynxYpVdVi8ZSvGjE+DyddbRge44vP2R8jMdK2HzE33CzDJ7OPcSWOwcN0CHDx1&#10;EGfunpPtkFWMo808JM6ptV8Mwzie9uMGyjSn39EzW1pfgaUbF2Pc1DzEW+zZadMMRZ+4epyLOt6i&#10;v/WCLmocBmQrm67U2nhngTZw0TEOSdsGn7AUpRLdVrnof4T47skem6p5DZER8Jg4E31XbEOvzeWy&#10;mpct2pmPhe6Vz7ZWyw0XvbZU4vvVu9F/YTE8Js2CIS4ORtHm0H0mrdgFNhXTpYW8uxI3EBUFz9wC&#10;DFi+RWalf2mplle7l78Q/N/iUvzX+lJodtdg0ZkLePDitmVRk4R0XhxkHA8tSpNN6oVzZfAXc2Gd&#10;nBer3PcOQuvlgWlT8pC8tAZfT6hRFQYY+0MZwgMmVmD6ps2ou2CWgpSaUNURqNK07mIRLt1UxDO2&#10;bGeYnou1Gv1+mxmNV8yyjbClpfuq/esUS3fRpvW0DVlf5lWgt+DgqUuin38i+3zF0v0pzp0uRUJC&#10;tJKL7qRrjB4aN4zJScXDB01ynPLh+IVhGBbQGcahkDU7VZhTpdiZe+dQ0VyFDfs3YPy0PETGhsPk&#10;b5DWyzKX1Mf1LFbpeOm4tToPWS1PNrFU+Rolzi05czQmzi7Aqu1rceRCJY7fPC+uwVk0PD6Hq69O&#10;48bLI7LC/M6TxbjTZs0uV6rMnUUwV+P+00LJ/EWjofUiO331a2N7lCprXewUDJAV1upCsatAmbWD&#10;KPc8NAlGY8d3aMr/GxSNIek7ZZa62me157v0o4JyGKfXYta2GhStWoRRSRHiPvaUz6LaZ7g6JKZT&#10;G0PQnwND/BE3KgYFMydgw4GNKG+sQN21E7jwqF5aQVObRYIdVbyqtWsMw9iHi0+apGBOzyGNG07f&#10;PYvq1lrsObYHhUtnyyrzwNAA6dhBG+7omSaHlw+f+W4HuZMEx2BY2nbRzruCC0uZdIsZnLEf3m9z&#10;0e0knBi9ZOWuyZJv7j6lEN+t3Y+vtlQq1btccc50Amtl+hfbamV2eq/iQxi4dBM8J8+GblSSeC4D&#10;pdU7ZezbNDedNoSQi4J41Qf6wTs1DcPnLMU3a/fia7q3ZVb6b+9tEtL/Q+akl2LkzmqsOHcRd1+S&#10;kM4Z6YzjoYX01y9voCA/G55irqx6rzsIsm3NzR6FlTtF3zT1OL4aV6EqCjD25fO8alm1WbR9I043&#10;zJWW7WoCVUcgYez4xSJcu1P0Lg9ZRVRjGKZnYW0Lrt2xVKOTS0UnhXSydKfNP3uqlyF+8T7Rp1Tj&#10;y7yeJaL/bWw5/OfW4e6ju2/HmMp48wXu3rmIsWPTlLm6k25wJ4E/NzcNjx5Snvvz34xhGKanwwI6&#10;w9gZqhprenEJl366hrP3zmP/yYNYvWM18meMR1hkMHx8LJnFPlq58O1KorkUzC1iHNnE0gJ+UGgA&#10;RqcnYty0cZi/2oySgyWoaj2Gi08u4eLTS2h8Wo/WZydx5VkFrj/dhltPllnEaCW3/J0lu/OK5u25&#10;/UjJQ798ayYyssOh0dHGB/XrZXNoodzXAI/EBW9zvl2TMvTPLoc2ZrKsHu+wxa1RB6OfESNHr0Cf&#10;nBqVz1GnbyYJ6fRzOZKXncDCXYcxec4URET5QavtWntFe2PNTaf2h17peQ4I9kVy5ijMWjRTbvCh&#10;/PSqlhrx7DbjsmjHWl5dlhXqbPfOMLZFVpk/a0GzeMYu/XgN9eLPFY2V2FW7W4wbVmH89HGIiA6T&#10;olT757Z7Vpr/MZR/7h05BgOoDc9yDRcWcosZmHUUHnGzYfSlql0biujinjB6e8JPjAu8EkfLfPPv&#10;ig/hiy3WfHOuOGdsC91T1tx04ivx50FLN8Nt4ixoklJhCg2CL9m8k5huqzaK7nOKJJB4wRgZAbeC&#10;GUpW+lt3hd8K6WTt/j8by/AfxaXQ7arB1qYmPH6lLHBSVbraIgnD2BJr9fmuneuh8+5aZznKYw0P&#10;90dl5RGMWluP/8kpVxUDGPvxreDz3GqMmFqGZXvX41TDXBy3oXhOgtiphiLcuqeI5x8KaAzD9Gys&#10;1egPHpvRdFVxqiBbd7X25GOh96D4ieqz8zGheBv6iHaup4no/5VdBvPeerwRY8s3b9r3/8/xpO0S&#10;CudMlBvovLrYgUYNGpd4aDwwLi8TL19cFcf8Uhz/w/fGMgzTk2EBnWFsDC2AW3NJaRGcLFcPnDyI&#10;JRsXI29KLoLDAqW1qrVSTE6gXSCXlI5Tim2is6dFezp+qtANjQxGZl46Zi2ahVU7VmNH5Q7UXK5D&#10;4/PLaHl9DY2i8218ehEtjytx5fFuXH+8FrfbFsjKcqowV4Rz1xHMrdwV3HtciPtPCvFQ8Oz1PBw/&#10;OQlh4X7i+jhOzCA7WGNAMIanrJcW6GqL9s6NUpnnPmopjH4m8Sx08NrRoqrJC9rY6egvLe3fzz3/&#10;GPpkUjb6UQzLpQy6k5iyYjPGTR4LPz/K7XfNGIVPQrRD1uecnnFp+S4gF4mkjFGYMncSFm9YjE2H&#10;SlBWXy7auibZxr21fH/apOSoP2lkcZ1h/gB6Pqi6XI4VxBiBHB5oYwqNG6pba7CtbKscM0ycPRGJ&#10;KfHwCzDK+AXqd6kPpniUbt8e/Rni/E3i1SNhPvplV0qrdLV23dmgWJG+ObUYMXolDP6Bog/v5HiB&#10;+j7RP/mKdttn1GgMmbUY3244/LtCIsPYB0tu+pYqee/1Fr8btHgjhk0uhHdKOnyD/GH08ZTCtxzn&#10;2aL9ovcgId3LAybx/tqssRhKVekbjij3/5bK32wcoYr0/95Yhv8pLkXI/mPY3tKMf/zjAchuk23d&#10;GXtCeai3b55DbFyEFNBV72kH4G2Zy+/ftRZbjl3F52Mq0Gu8uhDA2I/PcqsxcmoZ1h9agzONhbJ6&#10;U02Q6ghW8fz2fc47Zxjmj5HuFOL15j0zzreQrbu509no5KRxUrRpS/eug7to5yimoqfkon89rhID&#10;8qtQ20ACdBvevDcOeIkff7iNFcuL5HpbV44Ffg8fg7dc/5s1swCvX98Rx8x27gxjhQV0hrER9dZM&#10;c/F6oa0R5fXlMl84Jz8b4dGh8PLSSFtzmrSqdVbOhlVEo+xyEsppwd7oq5dW8zkTMuW57ajcicPn&#10;jkq754anrbj00000v7qKxmctaHh8Bq1tR3CtbRNuti3D7TbzW9FcqTK3CNGPFSG6s9y3AQ+e/DGP&#10;ns4VFEnaCOvAUw4+5+H1Twuxe88Y+OhJhHScuEF56PqQWIttuWtVovcVxzssdQsMgeHoeO45VSRp&#10;4ROegUGUCd9JO/vvM0rRK6UUnpOOIc5ciezCtRiVNgq+JvHsis/Ri2dD/Ti6J7TRR+flKXOVyWWC&#10;BPWYxChk5mVg2rypWFqyBDurdik56m31SntI1tPPWxVxndoD0S5ypjrTE3m3qa5FPg/0XNBmE/n3&#10;jxqkJXvxvmIULpuDMQU5iE+KRVCov+x7pbOLeO2JFeYfBbmOBIZarNz/PLKjq6EKdBL7h6btgCa6&#10;AAY/X3EeHRwrGC0Z5/RzfAIGz1mGb9cfxGc76vD5FhbOma6FhOvPKDJg+zF8t0GMy5ZsxohpZhhG&#10;jVYy00WbJvPSSVDv6DPQHvE+ZBvvS1FYcQlwmzxHPA8H8CWJ6GQ5/8Ez8bng/ysuxecby5BUegJ1&#10;t67IhRHOR2fswRuycH3zBOaiadIitas2wNHnasQ4fv7cibh15zqCzCfxt1yuPnckJCL9LbcGI6eV&#10;Yv1hRTyvs6F4TjbM55qLcPchi+cMw3w81F48emJG8zVlE45a+/IpULt2VrRvW8tWIHDuIem40VNy&#10;0cnKPXLhCfz0E23QbD+mfCj+/Az/+uUhtm5ZBT8xHiZHGLX+uiuhdQfatF84ZxJ+/olEdLZzZxiC&#10;BXSG6QyPyZ69VWYEn71/AZUt1Vi3ey2y8jIQGh4khTaqNtd5a5y+WoyOj6xgrVWn9Duqlo9JjMbY&#10;ghwsWDMfB04dwvEbp3Dq9hkpCLS8voqml9fQ8OyS+HM9GtqOo7XtIK61FeP24wV49GyeGJAVCuYI&#10;5qLtmSI62wO1gaCtkUL5B79rz/NX88Tfz0ORebS4hg60cpcCsid8wjMxKPOgskivsnjvbFDu+eCM&#10;A/AJS5GbANTP7SMwaGEMDJdCvC1FFMpH/z6jAkPHVSNg6mGkTV2A6PgYBPiT7bmnA79f50G2E3qd&#10;FPWonaDNNbSxJiDYD1FxEcjITcOkOQVYvmmZbC/I+p022Jy+ew4XRZvZ+sPVt3nO1qp11baVYVwU&#10;6hupopzucbrf6fX8w4uy76y+VCtjXFZsXYGJs/Jl3ElIRDD8Akxyowo9U7LKXPTFzj5mcA5E32fU&#10;wisiB/1Fm93ZzVP2gqrjySFmUOYBaOILYQgMlcfdIccVcV9QJa9JvOpjYjBs9hL02nAEX2yrltnU&#10;7UVChnEGqCr98221+GprFXoVH5aZ6Zr8afCJjYNJtH2+tBHER4wBbdHmiXmXiZ4P0Tb4hIdCO24y&#10;+i3bgl4lpTInnY6l/bH9raQM/1Vciu83V2Bi9Rlce3JTWrpzPjpjS4BXOH+2DEFirKz17rrFcq2X&#10;J0aNikLb/UasOHIZn48t7zFVgc4AXWsSkTxmHJXiOVkd21I8J/tlEs/vt7F4zjDMp2MV0c83m20k&#10;ohfhTOMcHKxbguTle/DN+Cp8Na77i+jk6vJ1bjmWH2yUGejtq9CVMcFTubGu7OhOBAT6yo1tan12&#10;V+ItC2g0KClein//QsL/0/fOgWF6IiygM0wHUMTjK9JylQSirWVbpWgUEh4oxSWq3CacvWpMWsdY&#10;q9xExx0cRvnlo1AwMx+LixfJ7GPaGEDnq4gCLVIYqH96GRco07ztPJraqtHath/X2tbjdlsRrDnm&#10;j57OwZNnRaqDs+7Myx8W4OqN2cjIDIen1pFuAyQk6KCLmYwB2SQiOKeQYIWEDrJa10YXoNO5575G&#10;eIxajH45trfx7SugivQ+WRUYMKYSodMPIzZ3FiJjIuFnIqHL+XaNOhIS+agdke2et0a2e/Szte2j&#10;NoXs3yfMGI+iFXOxpXQrdtXsxpHzpai5fEwKi1d+vo5LP16VbapVWCd7a7W2l2GcCeoXaROdzCz/&#10;4Squ/P2GrCqvaqnG4XNHsLN6F9bsXoOZC2fIzSWhEUHyuXj3zIixguBtnEu7Z6vHQDEksg9Q+buP&#10;gSqxTXp4JsxD3xznc2ChTV39BcOTi6GnzWImcbzSbaUD37fob3z1GvjExMoK2+/WH7RU174vCjKM&#10;M/I2M32rkpnee+NRDC9aCY/scTBERcGXxrFe7lIEV73/PwXp0CDGh0SgH7yyxmLAvLX4duMRfL79&#10;GD5vF29Atu5/3ViG/y4uhcf2KhTXN+DFT/eliM7V6ExnoWqzn3+8hYkTx8JNzLdV71cHQONzk68B&#10;p47vR9uLNrhPq8WXeRWqi/+M7VHE8xr4FR7CjsrlONVA4rm66NQRSOyS4vkjFs8Zhuk4z0T7ceu+&#10;GcfrbVOJTpwU7V3t2fmYXLJF5qJ/0QNy0T/PLcewKTU4f+W6HE/+dmzwRHKsZj+iokPfFrA5E7RW&#10;oRfj6S2bVuDfv5CbzpPfnAfD9CRYQGeYj4RsWMmGuOXVFZx7cBE7q3aiaOVcjE5LkNViWm27THOV&#10;DqhLaZdtTMdKojlVxlOuKh3/lKLJWL5lucwvr7t6QhGyXl1WKkSfNMms4wuPm3G+rUVci3o0tVXh&#10;UttuXGtbizttRRZb9pni59nidQ4ePp2rOiDrKfzw80KcPjsFYeG+0Ho5UESnBUMSkxPmW/LQnTMT&#10;Vorc2ZXwSFwEk69eHrfq+fwZ4p42GTXQxUxE/+xy9JUbB9Q/0xaQmP5tRjkG51YjcOJOhKRNR3hU&#10;uKz+t5kNaTeA2hpre0NtojUKwupuQZbDVK2empOM/Jn5mL9ugWx/Nh7ciD3H9qCsvgLnH9bj0o/X&#10;5CYlEtWlFbxojygj2rqhx5q13h61tpthPoX37ilxj1nvN7r3yH6d7ke6L+n+PHv/PA6fPSL7zpXb&#10;VmJR8SKZW56UkYjImDDpQuPp6Saryq1COT0X1mdE7fnpGYhzp81P1HYGRcI7NEX8ruOimRTgA8Mx&#10;NG0b+mRT36fehjsWyjqvxpD03dBGT4LRz6/jm8XEPWPy0cAYHgqP/Bnos3a/Uk3LGeeMy0KZ6ZX4&#10;bGu1vJf7r9qFoTMXQpuRDd9gf5i8aVxFLg2dbSeprRFjY28NfP0MMo99mPicbzcexWfic+kY6Fjo&#10;mEhI/x9LPnr04eM4c+eqUo0u+LB6iGE+hjfSzeA5jhzeKscBXdXv0+d6at2xcnmR3BRStLsRX+ZW&#10;cPW5g7BWnvsXHsKe6qWyItPW4vnZFkvl+XP1tQmGYZiPhXLRW66ZZSQEodbufCqUi35KMH9XMYZP&#10;KcfnedWq7WV34n+yyzFq+Sm8eEWbMn+7IfON6I/JoaapsQYxMeGyEt3Z1gfISZfW7o4c3CrHM1RR&#10;/+F5MExPgQV0hvkDaAGd8nsJWkCnisllJUulRXtQiL9cGCdhyBkXwumYaNcYdXrelmp4ygaMGx2D&#10;SbMLsG7XWuw7sR+VzdWoF+d5+adrUjQnkYAy3C+0NeG8gF7pWjS21eJy2w5cb1uNW23zLKL5DCma&#10;v8szp5zwnld1rgbloe/YMUZ8D7R7z4H3B9mZ+/tjRNIap81Dp9zz4ambYAwIVhZI1c7jIyAxwid0&#10;NAZl7ndo/m3fzFJ8k1GJoWLgrxuzAwHJMxEUFgJZSWnUycVateNlFHwM3lJUp8VET093uLuPkNXr&#10;tKEnLDJYtlHpuenIm5KLGQumY+Ha+Vi7aw12Vu7EkXNHcf5RPS4Qlja6nkTOp81yg9Pb3HXplqEI&#10;7jJ//SkJ7oro3r6NZ3ogj8V9Q6K4uCfo3qBscrpX3m7SoPuF7hVxbyn/vhFn7p3DkbNHUXKoBEs2&#10;LpEV5eOmjUPamFREx0fKuBMf0d96eLi9zS33Yht2FRSnFKrANgYEQRs7DUPSdmJoxl74hIxSBHXV&#10;//fn0P/1jsjGwKwjXRxjUibjSfqLV/dRS6APjpUbvWjDgNpx/yFi3GakqkGy98udiH4rtuOrbTX4&#10;fAtbtTPdi8/EPU35/d9sKkO/JSVwnzQLhthYuWhnpHGtaF87LaaL/2/08oCvrw+84pWc9D7rD1iq&#10;4qtlhTwdCwnp/7e4FEO2VmLR6Qt4+vouZDX6G65GZz4NWmx++fwKUlMTuzTn1EPjjqzsFPz4w3U0&#10;37yP4VNquPrcQVjFc6o831uzVLFtVxGXOoo185xt2xmGsSVk5X6uxXZV6MRxykVvmoOS0lUwzjmM&#10;z8ZSLrp629kdoHP7PKccK480ys1rauNIRUR/iaaGGsTGkoju4VTrBzQOp/FLYLA/qir2iGN9xiI6&#10;02NhAZ1hVCCRxWolfPL2Geyo3ImCWfkIjw6VHYnM/vXpuPBnL0gk13l5QiMmyrSYL3OJ4yORO3kM&#10;VmxZjqPnS1F3/QTO3juP5heXZBYxiQYkFijn3iirzM+3NeNi2wU0tNXhctsu3GhbKUVzpcKcRPNZ&#10;HwjnStW5o7LIXYGnL+ehTQw8i4pGQ6tzZB66gBbrgyIxLG2rE1XjKZDQPShjP3xCEtCp3HOywA0I&#10;lkJ8V9n29sksxfdZVRg0pgLDMnbCkDgdpqBQmb0pz42F9I+GJgqyWt1bqVb3FG0YbVCiP9Oit2+A&#10;UW5aCo0MRlRCJJIzRyOnIAtTCiehcNkcWf1bvK8YpfXlMme69kodjl09jhM3T+OUaMMpioIy2EkU&#10;pXaPsqmtMRztq9zbi6hWIfXD/oFxXuSGCst3ZxXFrRXj9H1bM8np3519cEHeG8dvnETt1Tq5Qe7Q&#10;2cMo3l+MhesWYPq8qcidNEbea9HinguNCIZ/kC+MJL6I+5I2f1BfS/erzCw3sFj++4g20aCBidpE&#10;0W7rYqdgaNp2i3NIlXRMGZm0BkY/f6VtV32PP4McSXTwjC9EP9knON6BhYR7Es9pU4BX5Fhxrxgs&#10;/dwn3huizaOKc3Jo8UrNwMDFJfhqcyU+31bzVuRjmO4IVYRTXvrXWyrRq/gQBs1bDe/0TOhDg+Ar&#10;2g+lMr2TYyv5Ph6ivRDjjqhIuE+di+/X7BHPWMV7z9h/byzDXzeUImDfMRy7eRlvfrVabrK1O/Pn&#10;KFn6T7GlZKXczN5VC+K0XhESGoCGi1XieF6hYPM5/DWHs88dxWe51fCYXoqtZStl5bmaqNRRpG27&#10;tfKcxXOGYWwItSm37pPoXYRalfano9SRiC7aQnLjiJi/H1/l1uDr8d3X0v2LcRUYMqkKF6/dkONH&#10;tfGCIqK/QGtLHTLSRzllJbqnOKawsEA0NlTLY1U7D4bp7rCAzjDtIOGcFthp8b20vgwrtq5AkujE&#10;KF+TJqDSgrWzCzc2hqrMrZWctLAfkxiNMQXZmLN0NraVb8eZe+ctokKTrM4kUYEEhrfVdQKqND/f&#10;1oqLbRfR2HYMrW0HcV3as8+1iOVkz/5ONCfB/N7jQtwXPJDCOVedq/Hyh/m4eWcOMrMdnYdOFTse&#10;8A5LweCM/XJBX22x39GQuNA/6yi8IrJhMnRAVHiLlxQWPBIXoG8OnVvXWtWTJb2seBQMy9gNr8Q5&#10;0IfEwteXhHSqqGRhraNIYV20uSSuk0hptYP/MG/dOskwivvCL8Ak7bNjR0UjfWyqbA8nF06CeVUR&#10;5q+Zh63l27CtYofMYt9/8oCENhdVNlehoqkKdddO4Mzdczh956xsJ8mdg3LaL/+kZLVTH2HFKr4r&#10;XEbTi0vSsYSqmmVls+WVhfiOQdfNei2JJst1JqwbIQjrd9Ty+rLcIEbfXe2VY+L7rMSR80fld7zn&#10;2F5sr9yB4v0bMG/1PEw1T5H3BvXx0fERcsMZ3T/yvjPQhg6ddG+he02pKP/t/cb8GeI6GTxhMumg&#10;D46BJnYKhqXtkG2lFJstbTe9Uk64NmaKrE7vcJtJle3+QRiausXh/R5t5BqQdQTuCfNhDAhVzqMj&#10;m6jEfWYyiHsvIRHDZi+Rop5SHct27UzPgUTszykrXfCl+Jks3t3zZ8jKcT9/gxTAlegclWfoYxHP&#10;p1Ev2gzRphtDg+A5YSr6Lt+Gr8Xz9tm2Gnkcn5WU4T83lGLglgqYT13A+YfX8ejlbaCdmE7Cutoi&#10;C9OzIfH81s2z0pZVR5tB1e5BO0NjFRq/bCpZJo7nOc5dvolhk2vwBVef251vBZ/l1mDktDKsP7xG&#10;Zp6riUkdhcVzhmHsCdm4PxGvrdfNNq1Ct0JtYumJRUhfsQu9x1XhK4FaW9od+GxsOeIWn8Tr1+pW&#10;7oTVzv3unQbkZCfDU+NcleiE1ssT8QmRuHbllDxWtfNgmO4MC+hMj8cqLrf+cEX+vL1iO2YtmolI&#10;slDRuL8VzZ2hA6NjIKRoLjowqtKkqkzKEp69eBbW7VmH0ovlUrR5m2EurYvV8oGp2pzs2pvQ2HYC&#10;rW2HcLVtA25b7Nmtgvl7YvmTudKinQXzj+eHnxfg9JnJCA1zcB66San484rMxYCso4rAq7Lo7yhk&#10;Prk4Bm3cDCmmdKY6myr6dNH56E8Zs3bOPf80SEi35N5m7IV74nz4hCWL8xXnKjcMqJ8P03GsbaKE&#10;RE8S2wXURloFd2tVO200IshBhDYc6cU9GBjsJ4kS7f2otAQkpsYjMy8DE6aNw7ipeZg2byoWrl+I&#10;RRsWy9fVO1Zj/b5irNu7Dmv3rJX9xd66vdhdu0dy8PQhVLfWyGrmmkvHxM+18vX8w4u/Ed+tvK2E&#10;f/37yAr5j8T6b6n9p75Avjoay+e2P5720O+sVeHtz5P6Yet1oetF142un0RcUxLCrdea7NSpzyOW&#10;bVqGhcWLYF5lRv6MCfK7SxuTgoTkONGXhyFQ9JO06UYjJqP0/dN9oGzE0Mr7RArj1nxycR9Z7ymD&#10;I51DuhUknFNmmrieIaPgGTdbtIl7ZNuo9EW/3fREvx+cuV/8+0SLiK72vn8O/V+fsFQMyjrskP6h&#10;r+yHqqUbindEltLed+T4xb1n8vGEKSQIbhNn4puNh2UlLlecMz0dega+2FKJz7Yfw7cbDmPYnCXQ&#10;ZOfBFBxgqUjvpL07/V/xHtL1ISwE7uOnov/ybfiC4hJo88qmCvytpBz/WVyK3iVlCNt/7P9n76//&#10;o0j29n/8X/k+Hp/3fd9HlmBruEOScYm7B4kLJMFdIhBscZfgbnHcY7g7kwTf3XNWub71qk4WFiqQ&#10;mcxMZkL98HwMe06mu7qnu7q6rrquF2aeuYD91y/j0bO7TU5jEtPZ559PZb10SdNE+HMsXjiHv6/z&#10;8YTo2nMw3my8k8PGtBTd/utvzzCl6AL+mVEsnOCX2BeKbR8ytRirD65UYtur8oQiki1QbPs5Htue&#10;L8VziUTiMBqfF+CxpQBn6hwjop+ihUUX5iJn1VZ8P7YcXTqoiN5tLHuXyyrF0oO1bGzw6YWXiohe&#10;jYz0BP4Mb6/xgwhqC7njqW2PH9Wxtr4UHoNE0lGRArrki4WEZT7Jzzh5+xRW7ViF0RNHwz/QR4kO&#10;1rfPavEPocl8LgTxiX41/+/wqBCMnZqNlazNJChQXDFFsl/98SYXLT4Wywn635S65iScV1vO47Ll&#10;MG5a1uOOZREe8Hj26XhYP5uL5U+axfL3BHNahfjhwEryaWj15svXhdi+Y4wSx6p3ZoKBjk/mq2Kn&#10;Q3HjtZdTm+03sxzDRi6ByccEm2rBNkHOeqp73j91X9MxifbX/pBw0yPzKPqxdg4ZuRT68PSmY3ed&#10;QfCXDr0EcNGUouNZH0sRm0SzyK4I7cN4jXZi2LAhvA+mWlD0OxqMWgSG+CE0MphHy1PEd2SsIsSP&#10;TBnBGM7+PZx/po9Nw9jpYxk5f0E1tEnspQVbFEP/KZZvWcafUSt3rPw821fwv91ZuRP7Tx/AvlP7&#10;nQ7tl0Tu1TtZm1l73m8ftW3FtuWYu7wAcxbN/ttxUlIAnRflHI3l543On8IIhMeE8vNM+PqZ2G9I&#10;gjfr41Se/Pfx9BrK/02/3fsCebM4LroOJPaCEjea6pv7GGEIScCQ4Qt5CkqvzAr0aMUirh7sOTE0&#10;YRVMvj5teE5ouXDvFZfHtlcp3I99UGqd900/zPZVAFNAMDt2GxJHWF9CLlgzO2fqzBz0/KEIXYsq&#10;4LG5XCgmSiRfMpTEQEL615tZf0K10ifMgCk8VHGRG9l7W1v7eboX9SoYw0LhlTMJvZZtUxIgqE76&#10;plJ02lCCf6wrxv9v9WF0ZZ+m3UeRffQMttXW4U7DXcWZzgV1BvuU7vQvE4o3vXn9FKKiQrmALrzW&#10;HIzWoIGPrxHnzx5h7XnN42P7TiCBQrrPHQ2J50OnKs7zsw4Qz0/X5OPBE+k8l0gkjof6mRv3Cnjf&#10;Q4j6pbZwsjoPp6ryMXvzRvSeUIbO2R1TRPfIKsGgyRU4f/UWeyZ/qob4E/b/v8LjhzXIyEhwuTh3&#10;aouX2hMTxmWiof46H++Ij0Mi6XhIAV3yxUHx7OR8o3+X1JSicOVcxCfG8ph2cnTTZLvoYeFMSCTn&#10;Qg6tOjNqebTscNbGGYXTsPlwEa/xSxG1zQ6+lkVzQqlrTuJ5leUCai2VuGbZgjuWxaCI9oeWmXhU&#10;PxNPGnKb3OXvBkxSMLcPz17O5cxfkMB+VxJynDgIMlHcuRFecfmgWrPNkblOhe13SOI6GP0DuStR&#10;2M7WYFLB5B/MtrUePdg2hftyMajme88xJ+AdP5f1MfS7SwHdneGiO+uT/3K60+Imcrk3o1P/5XR/&#10;H3q2eHkN+wilzjvV0FYWSLWE2dcIX38TrwX/WfxM/G+DQgP+EvadDttvUFiA0mbWnvfbp/xvRmXh&#10;QtPCsGbIIe7lNfTd+WHn7f3zSH/ffK6bRXHClV4svzgoBpn6ZnJe+wVAFzEGQxJWo2/afh5rTn2g&#10;qG8UoUS5l0Ad0xzlLthfK+DfZc+KwexZQc890b7aAo+fZ8c2MGkT9GGpMDfv84N2fA4unBs1MMTF&#10;od/clei2sQSdyHW+UbrOJZJPwSPetyq10r9ZuRuDZy+CbuQo1geZYWb3FQnhonuu1ZAbne7N0GCo&#10;ciah57Lt6ML29X6NdBLT/3fdEfzvmsPozv49dHsFkotPYVtdHR68uIf//vqkSUyv55+iiRhJxwNv&#10;G/DH708xd+50eLIxnvD6cjA0JiLn2qqV81mbGvHbb/WYtPECvhpdIpzYl9iPLjkVXAQq3L4O52vn&#10;2FU8Jwcoief3HikL9EVzDhKJRGJPeF/TWICLV/NRcV7cN7WVk9W5OF2dh8W71mDQlGJ0yqrA14L+&#10;1d35N3sGhxeexNOGB58R0RUn+qOHNUhPHwUvlafwWd9e6JvGGHm5U/DTm7usrc+ExyCRdDSkgC75&#10;YiDhnCJhqSb4npN7MTV/CoLDAkF1TknAoMl40QPCWdDLLonmJKhQm8KjQ5ExLh0Fy/J57dZzjy5y&#10;kZwc83UvrvDjuVgvPlbiXV3zatRajuOKZQ9uW5Zy0fxR/Ww8bpiFp425bGAk49idwYvX83D/YR7G&#10;jY+CWuPkRRo0se/nj2GjVjSJCc4T0XtkVGBAynZe/5ZEFmH7WoVS99xzeCF6ZFYI9+WSZJRiYPJW&#10;GAMj2e/Q/otzJK4H9f2fgwvFJBhbwUfivpMhQVzUrmbej0pvRnR+JC4Kuc2NXlw81vP65lNZX7cN&#10;vTPY84UWDrXCcS6CXN39U/fAEDICVD9duO9WwNNKQpPRN+2QVSL+56DFW/3SDiiLovzJdc6er9aW&#10;JGHXOkVPm4KD4DlxJr5fs08R5jbLOucSiTVwIZ0c4kXl6L6hGAPnrYQ6JYPdW4Hw0bP+oy1COrtP&#10;lRrprK9rrpG+dCu6sn3RQpe/2sD4iu37n+uK8a91R+CxoQQDt5QhvfgUdl69jJsNd/Hf/zyGrJn+&#10;ZUCT3tUXy+Dnb2ZjofYZ99PEdmrqKDTWX2PteYGaW7fRbyLVmJXuc0dCNXx7jS9D/tb1OF2ThxN2&#10;dp6fqMrH3YcFeCbFc4lE4kQoyp0W7pysdowLnaD+8kxNLlYdWAWvGYfROatC2M+6M93HlqHT6BLM&#10;3V2tlHr5zOJKSo+5eeMMoqPD+HNd9LxvL2huihJ2Vq2Yj99/owWjn14QIJF0BKSALunY1FNU+yVc&#10;eX2dO7bX7VvPa6OafPTczUZ1T9tz0p72TW1orrUeGReOCTPHYcnmJTwCl0RyqhVb8+xdLfNPiebN&#10;dc1JOK+2nMVly0Ee0X6/fi4eN5DLfA6eNuaxgZAUzduDl6/noap6GuLiA5xcD51h9IbJPwRDkjZw&#10;51xPgTBgb0i06Ju6B7rQpCZ3nq33GkUDU93zCehDNcbbw0VvA1QbtxdrrzaS9Tltcd5LJBKJS8D6&#10;cJMGZhLOfX2gDc+AZ/w89E/dxePSlZrjbe+fqVb60FErYPL1ZfuzUQAjkdqsZe2j9JUyOzw3ilm7&#10;KjEgZRt04Wkwk2huy6Iogxo+7Lu6lHT0XbSxqc65FM4lkrZRyu8jEtOpBELfhesxLGcyzOGh8KFI&#10;dhLSbX3fo+/9rUb6FPRasgVdqEb6B6UWSEwnAf2r9cX4B7H2CIYWlWF0+RnsvnoZD5/dU2LeSUyX&#10;Ee8dDvpdf/3lEeYWTMMwVfu4z0m0N/kYUFmxm0++UzmB8evPo/OYkg7p6HMVuo8txzc55ZiyfjNO&#10;1+TiRLV9xfPj7PPmvXwuZMmEQIlE4mzIiX7pphLlLuqn7MHxqnycqc3FtrIlMM85gE5jOp4TvevY&#10;UvTIKUPpBYo///SiSi6y4wUu1x3lIjrFuYue++0F6Rg6gxbbtq7m7aT2io5DIukoSAFd0iGpaqhD&#10;zbNLqHtxFcdunMCSTUuQmpXM49C9vT258030EHA0JJiT846cec21WSOiQzG1YAoX9w9dOIIq1n6q&#10;ZU4u85Zj2d+HRHOltvlFSzXqLBW4ziPal+BRw2xYGmcyyGkuX7jaGxp4vnpTiEOHx8I/0ASNU+uh&#10;kyNPBUNQDPqn7OIuOrFIYB/IfdiHfWojc2Dm4rHt9xyJ5/rQRF5L11ZXY3tAos3QkUth8jGz42jL&#10;b90+/ZVEIpE0i+ZKfXMtTIHh8I6eioEJa3n973fCubgftA2Kci9tinLXtEH4Yt/1C8DgxI28Pxbv&#10;6/PQd/tkFMNr+EIY2PHzNBVrXeds/EkCnCkiAoNnLcDXG45w8fx98U0ikdiDUnSiRAd2f/VaugVD&#10;J+fCFBXJI9nJUW71vfs+7PtmvTdMYaHwzJmMXit3/VUjnfb7YVtIUP/3hmL8f2sOo8vaI7xm+thj&#10;Z1Fy/Spe//SQi5s85l2K6W6PMtH9nE908zI1rM8XXkMORQeVRoXZsybyNpGgf/vBPQybzu6HLOk+&#10;dxTkKuyWXYHRK7fi+AVyadpXPD/KPq/ezpex7RKJpN2g/uexpQBn6hwroh+7mIeztXOwo/wH+Oft&#10;RxfWt3YX9LvujAd7Hhtzj+NR/eej3GlsCLxEXW0lIiKCuOtb/PxvH9Q6FXx8jais2MXaKUV0ScdG&#10;CuiSDgW5tC+9usY/yy5XIH9ZHuIT47hwTbVU2+dltinihOq3alUw+xoQHh2CCbPGYdOhTaydlTj/&#10;pIq75C+9ZG1vICFcfHzvo4jml/i/ayxncMWyH7ctK/Cgfi6eNs5GPfGMvWwJBkCS9qPxxVy8+rEQ&#10;6zemQ2egBALnXpNmozd0ocnol7rPrrG279MzvRR9Mo5AEz1JqfvdlslKkxqmgFAMStoMR9SydRR0&#10;DkjwNwbHKWKL6NhaAdUV5sIVLUIgMUjwNxKJRGJfmkVzqm2ug8HPn7uuh434Af1TdvA65Vw4p5QN&#10;Qf9nD3o09aH6kFFtSvCg7+rCktE7/bDV7aW/p8SWAeyYtRGj2bkwWN8WNv40kXPVzwTV6LHosWIn&#10;Om89+pFzVSKR2B+KWu9aVIlvV+7G0JnzoY+P5ylktJiFXOXCe7Y1sO/7GNQwRITDc2ouvlu9lwvp&#10;5IAXtYNorpn+P2tYX7SpFLo9RzH31AVUPbqJ//76GOACrKyX7q6QWP3Hb08wZ84kqNppglujVyMi&#10;IhgPH1Sx9jznkap5O6q4+7yjCRCuAonnFDU8YvEulJ+dx93nYlHINkioItenpVE8ryCRSCTOghIw&#10;KAnDsQK6AvWlh04sQMz83ehKIjrra0V9sDtCrvqvRpdg7Prz+O2XJ+x5/elx31v2LCcRvbx0J/wD&#10;fHjZV9EYoL0gnSMkNABVF8tYO1/hTymiSzooUkCXdAjIqX359XVceFqNI9XFyF+aj1D2AkmxIvSA&#10;aS/hnFzmXt7D+GRN7IhojJueg3V71+H4zRO4+LQGtc+VeuYk+IuO62OaI9ovo8pyAbWWctywbMaD&#10;+kI8bshtcppTRLt40CNxDZ69nMsGoPNQMHckNFoN9La662xCxx3h2ogx6E0CgZ0d3SQ4kHPQOz6/&#10;STxvwwQl+67ZxwzPEYvdTDwvRq/MMqhjpsLchuh6k1ENQ3A8NFHjoAuM4ZHJtACC1wVuy6IEiUQi&#10;EcL6Kta/mEk49/OHPng41LEzMTB5q9K/sb5dcXI7p4wG9ftDEtextvjZ/iwh17xZC1XMDPZsan3b&#10;+QIzdrzDRi6FISgKNtU6Z2NQM4lsMTEYlL8MXTeVKm5VgVNVIpE4huY66V2KyvHN+kMYMnsRNMNH&#10;wuxvhllHYyobx1O0OIbd35TMYYwMx6BZC/Ht2v18gcynyjI0u9L/b+0RHvXeY3MpRh08ge1XLuHO&#10;s7v4k2pJNkW8iyZvJK4JCdZ1NZXwDzDz+QfhNeNgyCywbcsq1pZnjEZcvXMX6hlH0WlMiXASX9I2&#10;uAgypgJBc/eh5PR8nHKAeF51LR9PGxT3p2hOQSKRSJwF9UMW1h9VXS1ApRNEdIpzLz41H7ELdvOF&#10;Sh1JRO+aU4qvs8uwufwye17X48/PpBDRgjh6rhcf3sZTbsj5LRoHtBe0cDA2NpzXbOciuuAYJBJ3&#10;RwroEreGhHOKaa99dhl7TuzFtLlTERjiB41WxePR26O+OXebswcI1TUPiwrBuOnjsGLbClReO4a6&#10;51dQy6Da5txp3qqIdoKE88vcdV5jOYGrlr24U78ajxpyFbc5F81lXXN34vmrebhzdw6ysiOh0jh5&#10;osWkhdmsgTpqMncS2ktEJ+GYtuc9fC5MvkbbBQ+CRA+GKnYWFz3cpe45Qc7MwYlrYPbzZ8dha/1e&#10;Nf/+4MS16Dn6OPqn7cewkUvgHTUBhuA4mH1NMBk8m86x8/s5iUTSUVAWOpmorrmPni/a8YqegqEJ&#10;K9E37RAXzJVnhOPc5i2h9Pul8IqdA3Nb+jpKMvHzY8e0mtdXF+3rHVTrvBz9UvdCxc6DycfU1I9b&#10;t2/uOmf9tCprIr5fvQceFCm9SQrnEkn78a5Oejd2Lw4oWA5NcjqfiDSRkG7rOyMX0jWsj9LCMHwk&#10;Bs5ZjO6bStBpK5Vo+PQ9z+ulbyjGv9Yrgrr31nJMO3EelXev46efH4EL6bDgrWASR+I6kDvszz/r&#10;MWvmhHarUeql8kRa2ig8e3aNXTMvANaeHw7W4F/svUzWPncMnbMroJ15GDvKl+CMncXzyvP5OH85&#10;H0/qKb1OPJcgkUgkzoZc6PcfFeBUjfOc6EdOzcfwhbvRPYeN38aWC/tjd6RTVgk8p1ei5tZt9tyu&#10;/+xYT1lc2YBtW1ZCSyVhGaLxQHtgMOnZ+McLOdlpeHS/mrX1mfAYJBJ3RgroEreEHNvk3ib2ntyL&#10;KXmTEBQawEXr9lj1TaI5CfYknPv4mZCek4qlRUtx4NxBVNfX4uqbG1w0b11N82bob5WY9ipLNS5Z&#10;SnCjfj3u1y/E04ZZPKK9QYrmbs3LN4U4f3EqYmID2LXjfBHdxD5VcXOaXIVtFUeK0XN0JYaNWAyT&#10;j1Fx6324z1aj49/XRWTxGrv2r6/rOEho6pt2APrQZJjIKS48vs9gUlICVDHT0CuznItI5OzvkVHB&#10;/rsCA1J3YfDI5VBFTYYpOJY7/cmtrtQKJieVFNQlEsln4IuUWL9B/UdQNNTRkzFkxBLWv+xGz8xK&#10;1t8ofY+on3Mm1Kf2STvI+tRELvILj6UVUH+sDx31yfIlzZHtQxLXwBgyQkkQ4X2qeJtC2N+baUIj&#10;NhYD8peh22ZFsBOJZxKJpH2gxSydth7D1xuL0a9gBbQp6TD7GJQa6W1xpOvYe6CPHuqkVPSbv5a7&#10;3j0YrVk8Q850EtKpXvq3G0oQe+Qk1lbX4G7jXT6xKmuluy4kWNdWV/AI0/ZwhdHcB12/Ryt2s7a8&#10;4tfLY8t9+OedwFdZ0n3uCLrklGPw5BKsObACZ2rn4LhA+LEVcnaersnHwyf5UjyXSCQuB4noV24p&#10;tdCPCvowe0MieuXZuRi9chu+Zn1vV4aoX3ZH/j26BMMXn8KrN4/5s1s0xngfvG3Er788xro1i7gG&#10;odU7X/toCTIveqo8MXVKDn58TWNXKaJLOhZSQJe4FTXPLuHSi6u8ZviO8u0YM2k0gsMCoVZ7OX0F&#10;Fj0gKKKd3O4U0R4zPBL5S/Ow7/QBnLx9GpdfXeNUNVgjmv+9tnk1r22+F3csy/CogQ1YGmexQcsc&#10;Wde8g9DwfC7e/FyI4tJx8A80QaOzcdLOVkg88TXBe/h8Hjluu8OwGL0yKjB01EoY/QJhtLZG7AdQ&#10;3V1D8Aj0JyGnBaHDNWHngZ1Hiq9X3JLi4/scyvHHs+PfIxR6SFAilzu5/fun7MSAxPXQxEznznSj&#10;rw94nV76ban2uhTUJRLJh7DxiyEgHNroiRjC+u1+rB/pw/oTXtecu83/3ue0N0qU+1qY/AL4c0t4&#10;TJ9Fx/tlFesrefLKB4sD6FnTh316xRfA5B/YtADKir6TxDM2DuW1zrMm4PuVu+HBo5yl61wicVU8&#10;yJFOQvr6w+g3bxV0iSmsnzHBbGDjJ1trpBu1MOu8YArwgyozG72XbkFnLqS3fiENudJJSPdYVwzN&#10;zkrMPnEeFx7exC9UKx1KrXQppLsGb/+04O3bZ/jhhzzuAhdeEw7G03sYpk8bh9/49dEIsGtjXekl&#10;dBot3eeOgMSbnuPKMXfbepytycXxqjyh6GMLJEidqMrH7Qcytl0ikbgm1Dc9qc/HuTrnuNAJEtGP&#10;s31lrSIRvaLDiOjdGV3GlKJwdzX+/J0E8s+X7yFhmp738+ZN5wa+9ipXK4LaQk70ZcvmsrERpSg1&#10;CI9BInFHpIAucQuqGy/hyuvrOPvoArZX7MCYiaPh42+Chj0wSMQWdd6OwmDUQUWCvU6F0MhgjJ6Y&#10;gdW7VnPRnGLZL71UIuVbH8+u8K62+XnUWcpx3bIF95tqm5NoLmubd0waX8zFqx8LsWVLJowmchE4&#10;W0SnWrcBGDZqOXrZJFYrcbckwiiiQ9vuR5ORtcc/BIMTN3AHpHifrgkJMP1TdsDoH8wFbNHxfRZy&#10;hfqY2e+xjItGov00w53pbJ90/nuzf/dOO4iByVugis+FNjQF+oBwpW46/cbk3ORtkmK6RPJlo4OZ&#10;fQ4ZuRS9MymevVzpRz4QlF2LYvTIrIB37OymxUm2OkQ1MPn6cod5c/9KCSe0cGBAyjbowjN5vXSr&#10;y48Yqda5itc6H5C/HF2bYqJFwphEInE9PDaXo3NRJbptOIIB81ZBm5AMsz8bP7WhRjqPdaca6cEB&#10;GDppFr5bRaUcjvJ9idogotOGEvxj3RF8ta4Y32wqRfKRUzh44woaXj+QQrqLQI7vm9dPIyIypF3c&#10;5xqdGoFBvrh4roS15SW/Lp6/fIjA/BPwyC4VTthLbIfig7vmVCBnzVacuFCAk9X2E885F/Jx7Y4U&#10;zyUSiWtDLnRa6EPpG85woROnqFQG63cVEb3jONG75JSix/hyVFTf4OM60VjjQ4Dn+PH1HcyeNYGN&#10;A9g7qMl15vjIFa/Tq7F92yrWzmc8dl50DBKJuyEFdIlLQ5Hnl19fw4Wn1dhSshU5U7N5p0yubz0J&#10;jSZxp+0I+GoqtScM7DMxIwEFy/Kx/8wB1L28ippnl7k73lq3OaEI55dQbTmFK5b9uG1Z0VTbvFk0&#10;lzHtHZ1nL+fC0jAXhYWjoNFo2LXm3AEQdyr7Byqiwmfrw76DC7js77nznMRzm52BTdD3fX3gOXIp&#10;epGo49KCzoeUcPeiNnw0Ow8kvtj2G9ICAm3kWCguUGuOn8R0pZ69QhmPYvYcsQjeUROhC02AKSCU&#10;175Xaqezc21tNLFEIukQ8BIZUWPRm/UdFFsu7lNcC+rf+lF5jJBRbXjWKOUuDGwb/dMoyr2cu9Fp&#10;MYExMJL3v1b33VTr3N8H3mPGo8eq3fAokrXOJRJ35f0a6QOpRnpSGi/NZXONdEqm4AtsWJ8VFYkB&#10;sxbg2/WH0GkL1UcXt0GEB+Or9cX457pidGKfQbuPYkNdLW5TvDtFu0shvV0g9/kffzzDlqIVGOo1&#10;VHwNOBCaMKea6/MKpvPJdLxVov73nrqKLtml0n1uZ+h8emRVIGbhHlSem2t38ZzqntdeL0B9oxTQ&#10;JRKJa9PcR9VcV/ouUZ/mCBQRvdmJXo6uHaQmukdWCcxzjuHuo3tWiOgv8PrVbUyckMmTaKgOuWis&#10;0B5o9GoEBvrg+NE9vJ00XhIdg0TiTkgBXeKSkJO77vkVLqAXFRche8oY+PgaeY1zZ66uIrc51TYn&#10;p7sfewCMnZaDtbvX4sStk7yueXMbRcfQMvT3tU3COTtO7jYvwh3LYjxpmA1L42w2GJGi+ZfG89dz&#10;cfd+LiZOioFaq3X6KkISDgyBkRiUtAU9qda2QMB4HxK3e2eUYdjIZTD5B9lBPNdwV6R3XP5fdb9F&#10;+3VVyMGo1H838GMRHuPnoO8FhGFgyjYugIv203oUQZ0EImpb/7QDGJy0AYNHLIQqcgKMIcO5O507&#10;/tl+/14/3bnXnkQisQV2n9paooG+5x/IXde9XDCyvSWopMWgpI0w+gUofZbo2D6Ljn9XFTuT9YsH&#10;oY6ZArOPyfpnGHtGkzvVFBGBQXlL0bWp1rFI/JJIJO4Fr5G+5Si+Zv/uX7Ac2qRUmCkhiMqF2To+&#10;Z9/1YdvQJSSh3/w16LqlosmNbt2CGxLT/7GuGP9acwS67RUoOHMBl5/c5rHdNOkKihQXTPpI7A9N&#10;Clue1iEuNoJPFgt/dwdC5esiIoNx9/Z51pZnDAt+/eUJQuefhEeWdJ/bExLPO2dXwDz7EPYeXczj&#10;hEXijq0cPZ+P85fy8bheiucSicQ9oL7qoaUAp2sLUOmkKHeCRHQlzn1rh3Gi0zPmq9ElSFtxFq9e&#10;K+V6ROOOD6HFc08e1yIzMxHeai+XcqJTvHxUVCiuXD7O2ykXekrcHSmgS1wKcnHXvbiCC0+rsL18&#10;O0ZPzIRfgA+8VZ6K41zQMTsCnYFEc8XlHhkbhtkLZ2HvqX04+/ACj5Inx7mo/Z9GEc3ps8pyAZct&#10;h3DLsgr3LXPxtGEW6rnjXArnXzKvfpyHy9dmITEpFCqNreKA7SgiejQGJm/Fp+LDybFIrj2v+Hkw&#10;kQhrs5DRjCJoaKLGuZUjshkSdQak7IAhKJodh63xjewcMLyGFzZF6dt3AQGdU0VMP8prHVPt9P5J&#10;mzB0xCLoI3NgDIqB0dePLwCgdpCYpNRQbxbWRW2WSCROg16I2f1I9yW/P9n/ZvIxsk+D+O8/CfU3&#10;WqhjZzQt1nGXBUtKyRBV7CyYueBt6ySBBgbfABiCh/P+ztpFTyaDmi/4UqVnoceKXTz6mZyrIrFL&#10;IpG4L9yRvvUYvll3CIPm/ABDvNJnUB9g09ioeeFNgC9U2RPRY+VOdClqFtLFbWiJzoz/W3cE/1xz&#10;BAO3lmNc5VkupP9BNTR5vLt0+zgS7vx/24iD+zdDrfF2+qQ1Oc3Ifb5q5XzWjgbFfc5+8/KLN/D9&#10;eHY95UgB3Z50yS7H0CnFWHdoBc7W2Vc8J+HpVHU+7j/O57HIojkCiUQicUWoz7pxt8BpMe7N/C3O&#10;fWzHqInebWwpumaVYvXhuqYxRmtF9Bd4/KgGyUnD4aXyEo4Z2gsS9UdnJsPy5DIX0UXtl0jcBSmg&#10;S1wCpXb4NV7jfAevcZ4JX38zNBoVX10t6owdAdVTp/rmFNeXlJmIpUVLcfzWSd5Gqm1OAv+Hbf88&#10;daDa5hct1ai1nMQ1yw7ctSzCw/pc7jivf0Y1zsUDEsmXx5ufC3Hm3GSER/hBo3O+cEkiuj50FPqm&#10;7uGC64cCBsWD98kohnd8ARdvlLra4m21Dh3MbJ/aiNHok3aQ7dN93JBE82ICTdTENojnenYOvKEN&#10;T0ff9MP8HIv2ZS949D7bB9UUJrG+T/oh9Endj34pO+A1YiG00ROhDUmAPiAMJj9/LhRR+5Q66iSq&#10;S0FdInE8TYI5u/fM7N4zk2jj5we9fyi0oUlQx86E96gl0LN71cj+RryNliERXh8Uzftd9xHQlWdQ&#10;37R90IUmt6nPpX5McZ1bIXo0i19hIRg2rQDdNpYoke1WOkglEol7wWukb6nEN+sOYsjshTBERTc5&#10;0qkPskE4pUU4Bg2MEeEYOqMQ3dcdYts/alP5B3Kkk5D+L0avolKMKTuNY/du4D//JQeTIqqKJoEk&#10;bQNowM8/3kVq6kheh1z4OzsQ2mdkZAju3SX3+QueQPD7r0+QsvIsd7HJ+Hb7QRHB3zHyt27A6eo8&#10;HK+yX3R7s+h0854UzyUSiftBLnRLYwGqrjo3yp3gSSDnCzCmA9VE75xdikGTKnCirqkeeitd2zQO&#10;qKuuRGxsBF9cJxo3tAd69u7srfbG3IJp+O3XR6ydz4Ttl0jcASmgS9oVXuP81TXUNF7CrmO7MXba&#10;uxrn5AL/sAN2FCSck8s9KCwA2VOysG7vOl53vfbFFe42J4Ff1P5PQfHsFyxXUGW5iEuWEly3bMA9&#10;SwEe1c9+r765eCAi+XKhQejrn+ajpHQ8/ANMUOucdx8oKO5jfVgK+qbuRY/MdyI6Oa2pzrcmZlrb&#10;osrfg+8reATf16dc7y4La/OQhJUw+ZptPx9GNYz+QRiUuOFv59tZ0CIApW56qRLnnFHCP/un7YVn&#10;wgp4x82Gd0Q2dCTUUZ1gP3/WbltcrxKJpGWanNBUVsHoCbNZC5N/IAxBcVCHZ8IrbhY8Ry1H/9Q9&#10;7F4t4/doz9HH2P+eZ5sb26SF2dcEzxGLlMU0gr7BVaF+cmBSEUwBIfx8CY/P3hjU8DFqoElIRu8l&#10;W9BFus4lki+MUnTeTDXSK/H96r0YOnk2L+Hgo/dm/ZAN4z8TOdk1MBubY93XohsvBVEh2PfnIUf6&#10;v9cX4x/rjuDrDSVILzmNo3eu45dfSEhv4NHuoskgiW3QJPDpUwfZc9QAPfsNhb+xA/FSeWL1qgX4&#10;4/cGvOXu8wacunQTAyZW8Al40cS8xHq6j1Wi21OX78DxC1T33M7R7RfycemGkkDY8MGcgEQikbgD&#10;jS8KcO9xAU5WKYkaor7OUfzNiZ5TgW4doCa6x5hSBBacwJP6B+zZ3rqxG9UYJxH94vlShIQGchHd&#10;5CMePzgbnUHL9ZatW1awtj5jbW1djXeJxNWQArqkXSDhvPbZZdQ+v4w9J/Ziav4UBIb4Qa3xYi+h&#10;NqzktwGqb07udqpvHh4VgtmLZmH3sd24+LQGl19fR1WDtbXNCYppVxznNZYzuGrZg5s8pn0OHjfM&#10;xNNGcpvLmHbJp6FB6LOX87B5cyaMJqpx5+SJGXLZkbAdmqw40TMp+ruC/1sXmcWjf+0inpNrMiga&#10;A1N2uKV4ToJzv9R9MATHc+e+6Bg/C02gsnNJUcq9XEbEIjdqcZOwXsZ/e15HPf0Q/600MVPZgNzE&#10;2i6d6BKJddD4hoRy6kOVfpTHsZtUTYJ5CAxhKfCOnoKhw+djSMIaDEzdxfoG6oMr+SKmnrTApckx&#10;3iOzDIOSt8IYGGFTH2Rm+9WGZfAUjZ4Z7uNC57B+yTs+nzvzHdsXKXHNZn8zvCbMwNcbDvPayCIB&#10;SyKRfBmQI52i3Xsu345hOVPgE+gHEwnptvRFNA7UecMc4Avv7InotWIHPLbQAh3bky08NpTg/609&#10;gu/YZ2rpaVTcusbdyc010kWTQpLWQ7GqJFpPmzYWaq2TFnG9h0rrjZiYcNy+dZb9pi9ZW57il/8+&#10;xeSiC/gXe5ZL97n9IPE8KH8/Dp5YgNM1c4QCjq2Q0HT+UoGsey6RSNwemr+8druALwoiRH2eo/h7&#10;nHu524vo9AzvNKYEkzdfwG+/0oK9VorofDHdM5QW74B/gE+7jE9agnQXatP5M0e40C/roUvcESmg&#10;S5wKObmpxjl97j9zAJNmT0BwWABUKi+nRbUr9c2VWmXR8RGYv7oQxTUl3AVPbvgqG93mFNWuxLQf&#10;xXXLZh7T/sAyC48aZjQJ5+LBhkQi4tnLuWh4NheLf0jiArrO4JyFJe8gEd2bC+YUKz4gZTv0ISO5&#10;4GIPsYJH7waEYnDSBl7TViiQuDTF6JVZBlXMdC6AWe3+bMJkVLPzOgp90/ZzwVq8L9eAC+qjj0EV&#10;PcU2xyvRJBjyBRjNIqKN504icW2ahN2/RHKqW65lsP+PEjz8/GEIGQFd1Hh4x8/FwFGrMSBpM/qn&#10;7UNvLpgf5WU0eDKE4H5shvpPdeRYpW+29l6iNvkFYEjiGr5QRrR9V4VKUfRhzyZdWJryPHFEP2LU&#10;wky1jqOj0H/eKsUdakOtYolE0jHptKUSXVi/0HvxJqgzc2DyNSr10W1xJLP3Ux+KhI+KxJBZC/DN&#10;xmLuRm+LkP7VhmL8vzVH8D3bRlLxKe5I//03moytb3VtTcnHUB3P61dOIjwiGGodPX8Ev6eDIKMB&#10;OctWrpiHt3/SJDS5zupx5c4deE2phId0n9uNLjnlGDq1GBsPL8eZWvs7z09WF+DeI6WGsGguQCKR&#10;SNwFStB42lCAi5cLnB7lTpCIfuJiAUb+sBOdsyp5eoioX3cXuuaU4Wv2PN9cTrXDWx/l/vZtAxvf&#10;PcP+vRvh42OExsljlJag+Q+qh56UOByWp3V8HCVqv0TiykgBXeIc6mv+imovu1SBGYXTEBgawKPa&#10;tU7q1Ek4J4e7j58RI5KG8/rmJ+6caqq/ftWGmHZym1Nt8zpUW87jsqUYtyyrcddSwIXzx/WzpHAu&#10;aRMvXs/Dg8d5mDotjt0rWhhM4mvbcej4YEcfnglDYFSbhOK/QRHF/iEYkrjWTcVzRbQamrhOiTMn&#10;MVh0nJ+DhDVfM4YmrHGL80BiHi2kMLJrwbbYZB0Mvv68trrRL5Aduw+vo29m5+GvGuu03fcFdkeI&#10;YhKJXWkWykk0ofh1L34985rl7Bo3+gVAFxAObchIaKNyoIqfy+75teibshN9U/dxEbg3xbFnVoCS&#10;OBTBvPVucEqJGJKwmvVFvsp9I2xjy1BbaSEQudyt2a8rQH3S4OQi9jwJUs6/4PhshbvOffTQZObg&#10;+5W74MHrE8vIdolE8ndI4CbHeHf27wHzVkE3YpTS/5MYbrJ2UVNT4oWPAbrkdPRcUoQuRRVtXrjz&#10;L4p2J0c6a2t22RnUPrmFP36TjnRbAV5jzeqFUGuUBfnC39JBkKMsJiYMd2+f4xPQ3A3/+1Ms2FuD&#10;f2eWCCfiJdbDxZex5Zi5aSNOV+fjeJVYtLGFZofmtTuKa1M0ByCRSCTuBi0Guv+4ACdYf3lU0Pc5&#10;GqqJfuTUfMQs2IOu2RVuL6J7ZJVi6JRKnLl8SxHRBeMREbxsz9sGrGXjFAOVCWqHMjMiaLxEIvrs&#10;WRPx6y9UD71R2H6JxFWRArrE4dQ+v8IF6tLaMhQsK0BoRBCvgaHTa5zy0qk3aOHt7cmF87ScVKzd&#10;uw7nHl3k7aIYeeuj2t8J57WW47hq2YvblqW4b5mFhyScN1CNc1nfXGIfXv44D/ce5CJnbBS8VPYV&#10;CFqHDiaTltH2yHYOCUy+fvAcuYQ7uN1NsCF6UHR72gHoQhObnI+C42wFtCBBHT2F1xx3h/hkEvg8&#10;4wu44G21sE0Cow/VW16MvukHMTRpA7sGFvEIZlXURHiHj4Y2ZBQMQTEwBYTC7OfPJ5DJVWs2DOOi&#10;JI/85+I6IcV1ibNh19tHQvkwnsZg9jHC5B8MY2AkNKFJ8I7IhnfMdHaNL8bQxLXok3awKWGC3ecU&#10;wU6CeTPN/7vgnmsdyjZ17P5RFjmJ2v4J6DtB0eiXspOL8eJ9uCp07KVNUe526hPYuNSsY/1NSBAG&#10;z5yPr0kcK5Kuc4lE8mlogY3Hlgp8s/4QhkyfB0N0tOIoN9gwfjaycTcJ6cEB8JwyB9+uO6As4tlo&#10;uxv9rxrpaxVH+szj53Ct/jbAIz9lPcrWQvGoDZYrSEsbBS+1p/j3cxBUfo7cZMuXzWXteN7kPrfg&#10;UcMDaGew60O6z+1GpzGVGLV4F46eL8DJ6jyhWGMr5M6svtZU91y6zyUSSQeB+jPi8q0Cp9dCb4ZE&#10;9OJT8xG7YDcX0d29pMm/MksQNv8kLOw5b52I3og/frdgyQ+58FZ5OX2xX0uQqZHYsnk5H0/ROEbU&#10;fonEFZECusQx1NegurGOu86PXjuOhesWIio2nEe1U4fp8A7cRBFnWqjV3vDxN2Hi7PHYdGgTzjw4&#10;z9p0nbvNqQ67sO1C6G+bhfMaXLKUNsW0F+KBZYbiOG/IlcK5xCG8+bkQV67NREJSMFQaG8RLV4GL&#10;577wHLGoSUByfdH4Q6jNvTNLoYqdBTMX00i0ERzrZ2iu/94/dReoxrxoX64Er/eetg+G0AT+O4qO&#10;6VPQAgxKMeibdkARDTlUz1mpr0/1nalUwKCUHRicuBFDR63AsOELMDQ2D8NipkMTmQ19WBqMVG8+&#10;MJIL7CYfAz+PCuzaosUMXFwn2H3Caf6NmsW1DxG3VyL5C3Yd8WuMfZopNYFdf8aQkdBFjIZX1GQM&#10;jcvHsBELMSRxHbt+t/J64j1GH+X3tXKNk6O8WSRvRnyf2Qrtw2vEAiUe3oY+iYT3Yez7tKipp2D7&#10;rgwde5/0Q9CFZ/B+QHR8rYaNG816FXSjEtF70UZ02nqsTfHJEonky4P6DOo7eqzcDc9x02AOYuMV&#10;HS0AtGHMwd6ZzUYNdCMT0H/earu40UlIp2j3/1t7BKpt5Zh/9iIePL/HJ2a5m1kwYSR5B7nPS0t2&#10;cCMAxakLfzcHoWX7jIwKwYP7VXxynNID6DdbW3IJnbJKZO1zO9EpqwKamYex5+gih0S3n67Nx8On&#10;UjyXSCQdD+rXnjQU4MJlZbGQqB90NGdq53ARPXjuPr4Yyp2fjdT2r0aXYEbRRS6It7YeOkEC9atX&#10;dzBnzqR2ScxpCZXWG8Eh/qi+WM7a+FLWQ5e4DVJAl9idmmeXUPviCk7dPYsfNixGfEIse8lU87h2&#10;UQdqT+ihQLXUKRbex8+ECTPHYefRXbj4tBpX3tzgEfKiNrcMieZKfXOKab9iOYibllW4x2Pap78n&#10;nCuriCUSR/H6p0JcuDgN0TH+TSK6+B5wWUjc9PWD14hFiqjk4vW+W4LE3oFJm2HyD4TRaIPbkyBB&#10;zteEYSMX83Mh2o/LwdpJorbJbGDHYO3gW0kx0MRMbRITxQIi1TSm/78H21ezqM7rQI8+hr4Zxdz1&#10;PyBlJwYkb8HAxPUYmLAaA0auwJDhC/i2NdGToQ/PgCEsGcagWBgDI2D081PqTbN2k7iowNrDUZIV&#10;3tFUp5oL8LYtjJC4AnR9MpoXT7Df1ubfk31PH56OoSMWs2ttJbvm1vHrb0DqLvRLP4Re/DolsZxd&#10;q7QY5BPXtyPpmVGCfql72HUfqRyv6Fg+BV3z7L7pS055fgzi/bgq1F8MStrC0ytsO34lNtnH1wjP&#10;sVPw7fqDPJJZJD5JJBJJa6D65V1YP9J30QboUtJ5qg6vj27tBCb1TzpvmAN94TVuGr5dux+deW30&#10;tpeU+Mf6YvzfmiMw7KrExto6/PwfitSU9dFbgmJR//PTA+TNmQJP1TDx7+Uo2HVAk84LCmfi7R8k&#10;nFNygAVvfnyEwILj6Jwl3ef2oGtOOXqPL8OSPWtwrnaOUJyxFR5pfCEft+7nS/FcIpF0WKg0xd2H&#10;BThRrSwaEvWHjoYWP+2qXAyfOQfR2c2d6FQP/buxZdh1/Cofo1kjOJNA/bzxGrKyUuGlcm5qzqeg&#10;KPfRmYloqKdjkvXQJe6BFNAldoOEc3Kcn753Duv3b0BC2khec4OvdnLCCm0S6ImQiCCMm56DPSf2&#10;4PyTKlxibaq2Wjiv427zKks1aiwncdWyA3csC3HPkvuX4/xRQy4sUjiXOJFXbwpRUTEBoWE+UGvd&#10;SETnznO/Jue5+4rnJFKRwKQLT0Nbotup5rA2Ygx3qrrDuWhuoy4iCyZbFg2QeOkXgP7JW9k5tG3B&#10;gCKuU9Q9OXpJYH/nXKf68X0yitGH/R053Pum7Uff1D3om7IbfZN3oA9jYOIGeLPrz3vEAqhjZ3Gx&#10;XRs1AfqwFOhDk6APGQVdQAR0/qEcWuwhPJbWQGIkOWHfh7vjScj9EBJ43xd7Seh1/PPSPXjvvPB/&#10;v3/e3p1jch2beZx6U+1x9v9TnDdPKPAx8dQLIyHcx6ehxRSa2Bnoza6z77lQTnXKFVe5K927dH/0&#10;YveAOma6bX0TnWN2rgax+8RtFvU0Qf0C/S6DE9fCFBiuXBuiY2wJduxmvTdMYaEYlPsDF6a48CUQ&#10;myQSicQayI3eeUslum0sxuA5i2CIjOSOcqPehrEURbqz7+rjh6N/4Wp0ocj4orYv9PFgkBvdY30x&#10;IvYfx9E71/H7X/XRxRNIXyo0EX371lkEBvpCR7+j6HdyELQ//wAzrl89ydrxoqk99dhz/Cq+H1uG&#10;bjlSQG8r3RmdsyqQvmw7Tl4k8ce+0e0kJNVeV97ppYAukUg6MlQP/ertgnYT0IkzNbnYWfEDDLMO&#10;8WQRUb/vLnTKKsWwaZWou3WHP/s/HJ98CnKiP7hfg5SUUS4jopPxUaXxwg+Lc/HH78oCRVHbJRJX&#10;QgrokjZDUeiXX1/D+UcXsa1sG1Kzknl8OtU5p09Rh2lPKEJNxR4EYZHBmFYwBYcuHOYR7bXPL1st&#10;nJPb/ILlCqosF3HJUo4blo24a5nH65vft8zEA8tsKZxL2o3GF3Px/NU87NqVBV8/IzQ6x99fbcbk&#10;zQUsrxEL0TOzOcpYLIS4OlQD3DuuAOSmtlnkJHEnIBSD2iAmOxsSCwew9hr9A9mx2zBhaPTm4nuf&#10;9MNc7BLto61wgf0vkZ14PyZeQak93QR3CX/oFD7M6c3+7T18Hrtuzez3sv53NgSEwRAUzSPrFaK5&#10;G97kF/Aege/qvLPv/A0SgA2evPb73/FUosRbQBHq2fXVKtg13BJtEfD5NkT7ew8uen/c/o+O2aR6&#10;77zoYGb9CCU/8PPH641HcfRBMVCFJjOSoArPgDpyPNTRk9m9msd/x2GjVrLPQvY9EtGtOza63vXh&#10;ae/VMH//enEtqH8akLhRWTDASxaIj0kMpURooIkcy++b9nDR2wLd130yjsAzfi5fpGP1/WpU4pE1&#10;iSnos2SL3VydEolE8j6dN5fx/uW71fvgPXYKTEEBvFyE1X0W+3uTXs3GDyZ4ZU/C96v3coHeHqUm&#10;Om0oxj/WFaMr+/e0Y+dws+E2yOFs7URtR+XtW3Ye/qzHzh1r4K1xfj1RcrzPLZiGX/5LKQGNrD1P&#10;8d//PkXS8jPoNFrGt9sDcikaZx/E/mMLcarG/nXPz9Tm47FFcWeK3vMlEomko0CLhCyNSpR7e4no&#10;xxkkoq86sAqDpxbDI7sc3wr6fneAnvFUDz1m0Sm8eqOkBYnGKi1BC++qzpciKioUaickA7cGnYHm&#10;jfQ4cXwfb5+Mcpe4OlJAl9gMCed1L67g0sur2Hl0J8ZOzeaOL43W8fU1aPvU4arVXggJC8TM+TOw&#10;78wB3p7aZ5etrm+uCOeXUGM5gyuW/bhlWYX7ljw8sMzk4vkDyxwunMuodkl78+ylIqJv3pwBs68R&#10;Wr21Qonz4E5I/yB4jvgBvTJJzHRtAepTkFAzMLmIHU+IbSIyYdLyCHHP4YXcNS3ajytCkeqa6Ek8&#10;8tx6cZWi0vUYOnIZO4eucMzNwrkIuj5L8P3oYxg0cjnMPqz9Vj3L6G918Bz5Awam7uH13BV28gUT&#10;QxNWvcfqpjrv8zEsfi5j3jticzEseurfGBo9DZ5RE6ELT4c+LFWIIXgEjEFRvLb+J2mqIU/1vEmU&#10;/ht+fuw5bv7guFoPL20g2idHaRvV0ad69n9rf3gavKIm8ONUjnkKOw+z3zsvc9k1tEQ5bwkrm+qN&#10;b+cMSN3NxeN3lCs0LZwg5/gA9juYqA3WJijQvR4Qit6pe9m2XDvanBaQ0CIVbfhodpxe4uP5BOS2&#10;N7BjpTIJ7pCM0SOjAv3Yb6+NyOaLTvhvJTiuFtGruAjlOX46vt5wRLrOJRKJw6H65V1ZX9Nn0QZo&#10;k1LgQwvNKdZd1Ed9CvY9M9VVj41D/7kr0GUL1Ua3z+KfrzaU4B+8PnoFVlfV4NXPD/lE7ZfuRifR&#10;+j8/30dq6khodDb8Zm1AR9eJUYdjx/aydrxqak89TtTeRP+J7NmVLd3nbaVbTjn6TijFmoMrueAi&#10;EmNspVk8unk/n7syRe/3EolE0tGg/u7+4wKcbMco9+NVeTzOfdne1eg3qRSdc9zXid59bCk8Rpdg&#10;1raL+OUXC95aUW7n7Z+0IPIFThzdCz9/EzS2JCE5ABLzR46MgeXJJda+Z8K2SySughTQJVZD4jSJ&#10;1CRW7zu9H5NzJyIo1B/eKk+HO865cM5rnKsRGOKPWQtn4sDZg7w9l15ew0UrhHNFNFeotRzHdcsW&#10;3LEsxn3LbFB9c/q8L4VziQvy7JUioi9ZksTuBVpM4lwXxOchN6M3jIFhGJqwFr1IzOICpVgIcXVI&#10;+O+bfgi6sBRQXLT1IrICxZ9TfW7aljsIVAR3n6fuhCHAhmhkBjmL9aEj0S9tb1N9aPF+XAmqaT0o&#10;fgHMRmsjrhQBvV/iJr6Ndy54BaVG9gfwOu8fotR9/zvHuTjcL/0g+qcdEDIgZRcGJm/9DNsYWzAo&#10;YR1jzUcMSNoEVfRUvhjOqsUD5Dxn31HH53OxWrxvYhv6p+75uP3suHg9cXacfx0zj0x//7yw//+v&#10;c9cUo8759L1E9xrVK9eFZ7Dr0UphmR+XGQOTivi+RNt3JeicDR2xBGYfo9J20TG1iJY7/VWxs/i1&#10;Jtq+K8D7TnYNDEpcD0NwnNInW3Os7Lrmzs+ICAwqWI4uReVc1BIJSRKJROIIOm09im/WH8TAWQtg&#10;DA9TaqPb8A5tooVAAT7wGjcV363ZDw87udGJ/1tXjH+vOYL4Qydw4u41XhedHOlfokNImXhuRF1N&#10;Bfz9zey9y8aFtDbi6T0MY8dm4M2r2+x3IPe5Bb//+hSTiy7g35nSfW4PKN43e/UWnK7OxYkqsRBj&#10;K+Q+r7kmfqeXSCSSjgw50a/dLkBlO0a5n6jKw9maXBRsW4+e48vQJadc+BxwB7rmlOLrnDLsPEG1&#10;w0lEF49bRLz9s56NIZ5jz+71XLdx9lhGBI9yV3tj4YLZfJwFSvsRtF0icQWkgC5pPU2Oc6K0rhxz&#10;Fs9GSEQw6/C8uKAt6hDtCe1Dq1NqnM+YNw2HLx5BlaWW112vamitcE5uc4p1r2PfPY86SxluWtbh&#10;nmUur2tO9c0VAV0RzmVUu8RVefF6Lo9FWrAwAXqDjg2CXEVE13FBgyKshySyQaqbi+fkTCbhzjO+&#10;AFRX2XpRqgmTBib/IAxK3AgeJy7cl+tBwqVXfH6TG9vaY9dxZyg5qnuy7Yi272rQtdo7oxzesbNt&#10;E1t9fdAvaYvDfmMSD9/F1H8IicnvIus/BRejBXw35jSGxrFr3egtPsYWoLIGBnbsVHf+e/Zbi/b5&#10;DkX0/ht8QYnj+omeo49iWMxMmxZF0GICqp/fyw0EdDq3/VP3whA83Prrl0ELXnTBI/mCBldc5EPX&#10;T5+Mw/Bm/bHRz19JOWG/kehYhFANYXatapNS0WP5DnTectRuYpNEIpFYAy3coT6ox/KdUI0ZB5Of&#10;mQvi1sa6mwxU9kUDw/AR6Dd/DboWse3aaVFQpw0l+L81R9BncynmnrqA+tcPwN3oVrieOgKKgP4c&#10;ixfO4fMRzoxvp0luvUGL3TvXsja85u2h3+DKnTvwnlYJjyzpPm8rHlkVMM8+iAPHF+K0A9znp2vy&#10;8fCpjG6XSCRfHiSg1zcWoPqqsphI1E86gxPVebx/n7J+M77NKUe3seLngatDEfSdskqgmXEU1+/f&#10;5eOBD8csn0IpAdOINasWQK1l7/0ONkC2BnLD03xLZfku1j4lZUcicUWkgC5pFTXPLvGo9sprx7Bk&#10;0xKERYXwF0hygzv6JZJWRnl7D+Mu92kFU7lwXtN4CbUvLvNa56L2fgwJ55e527zGcgpXLftx27KU&#10;O8wV4ZxqnL8nnD/LEw4AJBJX4sXreVxEnzV7OFRqDbsXxfeQ02B9ARfSQhIwIHkHFzscKYo5A4od&#10;H5y4TommtsGBraDj4rsqLpc7J91lQQEJaP3T9kMXMpILa+Jj+wQmFQyBERiYsoM7hkX7cDXomHna&#10;QGQOXwgiPK6WYNe+KTAc/f669sX7cGXIAT6EhGbDMPExtoAioJvRO2UPF3FF225PaCHI0OELec15&#10;6xaCUAkCHTQxU96rnS/eh6vAF73ETGd9Dq0qt3J8xs6N2cfE4/K/H+1ai15oMVbftL3QRo3nv4m1&#10;/TF3avqZ4U2R7esPw2NLBTpvlOK5RCJpT0p5+Yhum0oxsGA5DHFx8OFudCtdQTT+Zt8zBfjAc9Ic&#10;fLPuIDptOSrYn/V0Zvx7fTH+d+0RBO49hrJbV/HH74qIK5pc6ojgbQN+/ukekpLZ+5bGhvFwG1Bp&#10;vDBqVCwsTy8rE988AcCCHw7W4h8ZxcIJdknrISdij/GlWLxrDc7V5vKauSLxpS3cuKdEGYve5SUS&#10;iaSjQ/3fwycFOFPTflHuxMnqXBy7UIDMFdvQJasC3d1URKfUmU5jSpCw5DTevHnMxgbWLWqkqPQ3&#10;r+5g5swJ8FJ5OnVRYEt4qb2QlBjfFOX+QthuiaS9kQK65JNUNdRxh/eZ++ewYvsKjEiO4zXOdXoS&#10;6xzb0dKKa5XKC34BZoyfOQ47j+7CpRdXraxxrgjn9HnJUo5rlm24Y1nInebNojmJ6DyqvV5GtUvc&#10;DxLR792fg4mTouGtcfx92SI0eeejhzpqHPqlHXBbAfF9SAjsl7YP+tAE2wTkJkiI1YUmoS8/L+4R&#10;Y05w0XHEYhtER4IWU6ihYdcDLRoQbd8Vaf7NDWFJVgt0vAZzyAj0S9ntVr/zO4p5uQXvqEkwG6xz&#10;anMB3T8EfVxWQC/ntefNfgHK7yQ4BjEkoGugDU91GwGdzj/Vhjf6h1p/DTPIua6OGIveLnK8fMER&#10;RbYnbeTlIKhfsao/Ys8mHtkeGY4BBSt4/WF7uTMlEonEHlASBsWvf792PzzHTYWPvxkmqnFu7Zje&#10;SG50NbSJyej1QxG68JQN+9RGJyH9H+uO4JsNxZh64jyevLwPoOGLiHSnydyj5bvhH+ADrd55kaf0&#10;Tkf11hcvmsPboDjh69Hw4gF8c4+js6x93iZIhOiSXYHkZTtw8qIS8ysSXWyFIosvXi3gi925C1Pw&#10;Hi+RSCRfAiSi37yn9I3tKaKfqslD6Zl5iF20G11Z/++uJVC6jS1F56xS5O+qxts/rKuHTpCI3mC5&#10;jKwxKU5fGNgSnipPNt7JxW+/KgsXRe2WSNoTKaBLhJCzu/b5ZVQ3XsL6/euRmpXMX+LVTuhcKaZM&#10;o1XB7GvExFnjsaNyJxfML72iGufi9v4dEs2ptvklVFsu4IrlAG5a1uCepQBU2/yBZeZforniQJ+D&#10;xw3kOJfiucQ9efVmHu49zMXEydFsAKRtJxG9yakZmYM+VOPb7QV0Em3KoIqdDhMX3Gw7pyT2mHz9&#10;MCRhLY/IFu/L9aBYbe7EprrRBuujoLlw58eOO2mDW4nJdN32S9kFY3AMOwYrJ0mpdAE7X8pCCdeL&#10;v/4c1GalVnim1QtG+D0SFIc+qftc8tj/EpUDo6xOFqC/1wbFsO24h4Cu9F2l0IaPVsRma/su9lvS&#10;QoOBSRvbvc+i3613RjG84gth9A9uui6tOJ4mMUmXnIoey7bDY6uMbJdIJK4LudG7MPoXroZu5CiY&#10;yYlubY1KWjSk84IpNATDpheg28ZiZbuC/dnCvzcU4/+tOYKQvcdw7O514A9F1H0rmGjqKABvsHRp&#10;AbxVtLjQee9YlMIXEOSL69dO8cluvKVJZQv2nrqKLlkl+NpN3XOuQufsCqhnHMbeykUOiW4/UVWA&#10;e4+l+1wikUiaqb1e0K4COnGmNhcHjy+Cb+5BfJVVIXw+uAMkoH83thyHz15TxmFWLGikv6WFeTfZ&#10;+CI6OhRqrZXJiw6ADJRGkx6nTx5kbXvOFw2K2i6RtBdSQJf8DXKcU41zEqz3nNiLrEmjYfYz8jrn&#10;vEMTdHT2gl4SSaAn4TxrYiZ2H9+D808ucgd8dePno9qbRXP6d43lBK5aduKO5Qfct+Ryx/l97jh/&#10;J5wTDxuk61zSMXj9UyFu3pqN9PQweKmotIL4PnMs5DrWQh+Wgn6pe7jrUySKuAMU3U6OVRK/rRZS&#10;/0I5H6qYGVzQEu3HVaG45IEJ61h/bGbHYYv7XANdeBp6c8HRHURHBS6gJ2+DKSCI/e7WHTcXWqMn&#10;og9txwXrR38OEiv7U+JCWDKMNgjohpCR6JO2n23HNY+drmlVaCrMVte2Z8fmH4xByUX8HIm27WpQ&#10;O4eOWgmjj8nq65iga9k7djbvt9qn5ESxci+m7uOpJmYfo/ULHwwqpX792Kl2jTOWSCQSR0KLfDpv&#10;PYqvWb/lNXEmTEH+SoqGtWMSgxpm9qlOG4PvV+1G56JKuy0g8mD8Y+0RfLepBLmnLrB3kId88hYd&#10;cLITbxtheXIZaWkJ8FJbl87TVtQ6FSaMz8Dvvz1i57eBYcHP/3mMsHknpfu8jXQfW45vGXlbN+CM&#10;ncVz4uj5fFy5lc+d5w2C93aJRCL50qD+8HF9Ac7WFbRrPXSCRPRNR5ZBNf0IPLLdV0T/akwJjLOP&#10;4cYD6+uh/8lTbV7hxPH98PU1QsPGHKKxiDNRab2RnjYKL55fZ21rFLdbImknpIAu+QsSzomDZw9i&#10;St5kBAT7cSc4Cduizs1ekFtWrfaCD+u007NTsH7/Bpx/fBF1L6/wWueitr4PieYU005u80uWUtyw&#10;bOJuc6WmObnN38W0N/OgXrrOJR2Pl28KUVM7HckpIfBSWx/dax+0MJvU0Icmo2/qXvTIcB/XdTNU&#10;r5uEG31wvNWizfvQd/Uho9An/aDbCG8ECWa92ac2Mhsmky3Hr7hzho1a7lbHTZDIOiBxfdNEtXUu&#10;I5PRE0Pj56JXpmvVjm4tJFgOSNkBY1AsO37r+g++YCIiU0mfcNHFA99nHoV3xFjWP1l5TbNjM/n5&#10;wpNfz25Syz+jBH3SDsIQMoL/NsLj+hT0ncAY1oc7P5Kf2t4zswKDkzax50gSj9C3ahETuS/13tx9&#10;2T93CboWlcNDRrZLJBI3g0pNdGX0W7ShyY3OxiXWvpOz75D4boiMwMCCFei8pdKubvR/ri/Gv9Yd&#10;QdyBE6h6dIsLvOSQFk06uSvAjzh14gDMPnroHGwmeB+aH9Hq1Ti4fxOPMqXzSuf3ZO1N9BjPro0c&#10;KaC3hU5ZFYgu3IuKc3Nxstr+0e1n6/LxxCKj2yUSieR9Gl8U4N6jApyoat8o9+Ns/2dr52D53lXo&#10;P7EUXXLKhc8Kd+Bfo0uQvuocfv7Jhnrob+vZd15iz+71PAlY62Dt53OQaVOrU2Pd2kV4+7ZRutAl&#10;LoUU0CVcpL7y5gYqrlRi3ooChIYHcSc4daCiTs1e8LpeWhW0jJTRiVi3dy3OPbqISy+v8Qh5UVvf&#10;QTHtJJxfQo3lJK5a9uKWZSUXy9+J5h8L58RjqnUuhXNJB4Re0l+RiF4zHUnJ7Smi65pE9AQMSN4G&#10;cnOLhBJXhMQ/qv1LtbvNJJ6zfkp8jJ+BRDdfXwxJWNN0/O7kwi7FwOQtMFpdL7oJ9h1DcFyTG9m9&#10;BHRy3HqNWARKDrBOQGfXvFmLQSOW8trxwm27OFxAp989MJz9htYL6Nqo8eiTfthlBXRKxCBXtdls&#10;YG224rdl14LJxwiv+Lno4SZ9mVI3vBSe8fPYb2PDc4COmX16jlzq1HuY9kX9rye7B40BYU0LmKz7&#10;rcw6FfTDk9B78RYZ2S6RSNya5trolKKhGjcNPv4+MJEbXdT/tYiOf8fMvjt0wkx8u/4wPIoqhfuz&#10;BXKj/9/aIxi0pRxbL9XxKHerXVAuyts/6/H7b41YvWohhnoNFZxbx0GT2BERQXj6uI6dT6p/ztrz&#10;hwVjN5znsa0yvt12urJz13diKdYeWsFdiMeqxAKLLRxt+rx1vwDPXojf1yUSieRLheYrqazFtTvt&#10;H+V+vCoPp6rzMLtoA74ZW47ubvpcpXZ3Y+OCNcU0XqA0IPGYpiUo4ea3X55g4YI5XAdqn3Kg7yAX&#10;emhoAK5cOsba9krYZomkPZAC+hcM1Tcnx/mJW6ewaP1CDE+M5U5wWu0s6sjsRfOKap1OjRFJ8Vi5&#10;fSVO3j7NRfxPC+e1jOaY9lrUWcpx3VKEO5aFXDRXYtrFojnxsD4XTxrJdS5+mEskHQEuov9YiJo6&#10;RUT3VrfXKkKdEpUcGIWBSRR9TE501xaRueiUWQ6vEQsVkY2LqKJj+xzKAgLv2JlclHQn8Zy3NaMU&#10;2qiJNojICuTwHTZ8Pnpmut+xc+d99BTrXbvs76lu9KCEdW4jsn4I1bsemLiOHYe/1dc+ibSa2Flc&#10;/HTV35zuRa+RS/nCFusWhtD9rIEqenK71wS3BkpT6Je8HaaAYCuPV4GnCoQmNW3P8Ysi6PehEgIa&#10;dp7NPHreyrGoUQ0fgw5eY6bguzUHuegkEnskEonE3aAUjW6by9CncDUM8cOVSHdr3dBGDXzY93SJ&#10;KeizdCsX0e25wOgf64rRdUMxZhw/h4bXD2yaxHU1qAZng+US0tJGQeXk+qCeqmFYvGgOfv3lUZND&#10;rB7X7tzFsBlH0WlMiXASXfJ5vmZ4jKlE1qqtOFWlCCgiYcVWSBCquiZ+R5dIJBLJu2SO6qv57R7l&#10;foJEdPYsyGTPhE7s2UDPCNGzw9Xpkl2KARMrcKruJh8v0GJG0bimJYBneN54DaMzE6FyARHdS+WJ&#10;GdPH48c3bDz5Vka5S1wDKaB/gdQ8I+H8Ks4/uog1u9dgVMqIv+qPizove9HsOKd9RUSHYtH6RThx&#10;+xQuvbqK2udXhG1VeFfbvNpyDlcsB3DLsgL3LHObhHNynItFc+KBJZfHtVue5csaVJIvAi6i/6TE&#10;uSclhbBBUHs50SnWWgVDUBSvJ94ro0wRqQXiiStA0e2DkzZz56OROx/Fx/Q5TEYv6INHol/afr5N&#10;0b5cFe4+T9kOg3+I9QIWQfHYgVHon7KTbcu9hGSePpB+CPqwNBsEdDVMgRHcue9uv3kzXEAftRom&#10;ax3aDBLQvePnojd3K7uqgF6KoUkbYPQLtFpQpsVAqrBMt0oXoL62T0YJ1NGTeJ8kOq5PQufI1w9D&#10;kjbycyfahz2g+46uvUGs7zWEJvHFCtYucKB652a/IAycuBBdNlfYNaJYIpFIXAESuzttPYbvV++F&#10;99gpMDW70a2Z5GR/SykdpogwDMhbis6sr6SoeNH+rKUr46sNxfjnmsMI338cFztApDs5ny5fOgYf&#10;XwOPFRWeUwdA+9LpNTh54gBrw2vuPieH2KIDNfAYXYLugslzSevonFUB3azD2F35A87UzhEKKrZC&#10;4jnFEt9/otQ+F72jSyQSiUSJcn/0lGqRt2+UO3G6JhelZwoROX8vL+/hriL6v9n4IGjeCVgaH7Ix&#10;g/VJQBTlfvvWWURGhXAXuGh84iyoZA5FuZeWbGPtohQeGeUuaX+kgP4FUdVQi8uvruHCk2psL9+B&#10;tKwU/iJNorajXwqp81OpvRAVF465ywtQefUYj44nB/zFenKWf9ze5trmVZYq1FqO4bplC+5aFqA5&#10;pv2BZdZHYvn7yDrnki+aJif62bNTEB3tD+92i3MncU0Fo38gPEct5e5mqnErElLaExJx+qbtV2ru&#10;2iIcN0Pf9QvE4IQ1bulEptrDqtiZPI7cFgc+CY1eMdPRizt13cl9TgIruy7TDsEQHGu9gG70hoFK&#10;FqTudajY6EhIHB44YilM7FiEx9giOn6P9x+1ml8/om27Bk0JAwGRSp8kPBYxJEDrQhLQj0fUu891&#10;TcL04ITVMPv5sfvZymuaO++1XIDv5aC+TIlsL8PgkctgDIhQfhdr+h32tyaDGoawUeiXuxEeW0gM&#10;KhOKOxKJRNIR6FxUzqhE/4IVMEZFWe9GZ+/+1G+afU3wHjcV3607iE52TOzw2FCC/1l7BIO3lmPf&#10;lcv44w+alHW/SHcS/t++rcf2ravZO5QNi9DaAO0vJWUELDy+/TnDgseWBwgsOIF/S/e5zXTLKce3&#10;Y8uRv2U9ztXZVzwnSAS6cvOdu1IikUgkLUMi+p0HTfXQBX2qM6F66LsqfoB25mF4ZFUInyGuDkW5&#10;/zuzBFOLLuD3361fwEgiNYnVFeW74ONrhMbBycSfg0T8xKQ4NDZc5WMhUZslEmciBfQvhNoXV1D7&#10;7DL2nNiLCTPHw+xjcIpwTttXqTwRHBaI6fOmoaSmlNc4p7ZUCYXz5trml1FjOYPLloO4aVmLe5aC&#10;Jqc5ieYtx7QTFNXe7DgXPaglki8FeoF/+WYeSsvGIyLSDyqNtQKKHSGHrq8vvIfPaxLRXUdkJEGM&#10;oqfVPLqbhGNbI4uobrAO3nF5XLgS7cuV6cF+kwGpO2EIjLJBRGWQa98/BIOSN7vn4gF2DfRL3Q2D&#10;r7/VArrJ4AlVRBYXA91JYH2f3pll8IrLt01A9zGif8J6lxfQCW3IKPb7WvdCyGtxB0VjUMo2t1og&#10;Qdd03/TD0Iam2HRP8wQRSlagRIl0+x43Rbb3Sz8Idcx0dv3YENnO/t5s1EMbk4Oe8/crke2y3rlE&#10;IvkC4LXRiyrRc+VueI8eB7OvAUaDdQvDSHQ3G9TQJ6ag15It+GrbMXQW7MsWaDv/XF+M7ozFZy/i&#10;p/885iK6tZGi7Qk5vv/z0z1MmjgGGp2V57YtsHcQT+9hWLqkgE8Y0wQ4tWXPqavowt3npcKJc8mn&#10;IUdhl+wKBM/dx52GJ+0c3V55IR9n6grwyKLU9xW9l0skEonkHTRXSVy73f710InzdXOw+sBy9JvI&#10;3iezy4XPElena04pvsspw87jV9j4gY27rK2H/raBfTZg/dpFUDtBL/oc3hpvbN60lI2DGvmiRlGb&#10;JRJnIQX0DgwJ1Dyu/eUVlNaVYWbhdASF+sNb5ekU4ZwEeh9/I8bNGMuFe4qNr2VQJLsSy/4hSm3z&#10;WstRXLNswx3LEihu80/XNiceMB415OIpr3EuhXOJpJnGF3O5E720fDzC21tEN6q5UEKCSW9ycrpE&#10;1HUxr3vuOXIxzL5m2FIruBkuNoUlcVHIGTWD7UlP+sysgHfcbF6/3doIbx4LalJBHTmuyX3+8T5c&#10;HRJGhyWsYteoDzsea56RdOzeGBYzAz1GHxNu29Xhcd/sU0tx31a6s+lcmf2DMCBpMzuHrrxwgt3r&#10;GSXQRmbDRAkL1lzjtADIPwSDE9e73eKQ7zMr4Tl8Pl84aX2qBPtt2XkaFj8PPTKPCrdvPcU87WBA&#10;yjbow9OU/sbK+436WrNPALyTCvDd4mJ4FJWjyyaxkCORSCQdFSpX0XVzGQbPWQRTeBjMem/Wn1oZ&#10;6U7fCQ/nke7dyd1uxxSPf28oRpd1xcguO4PHL++7lYhO9UCfPrmEkNAAXn5OeP4cgFavRmCgL04d&#10;38/a8IphwY8/PkbqyjP412jpPrcVcp/3mVCKVftX8rhekXhiK+ScJPHn+l3pPpdIJBJroD7T0uga&#10;9dCJc7W5yNu2Ht3HlvPnhuh54up0yiqFZsZRXLlzVxl3WSuis/HPm9f3MGVyNk/Eac966DQmCgsL&#10;xL0753m7RO2VSJyFFNA7IvU1qH1+mbu8qcZ47g9zEBkXwWucO3oFNQnnaq2adbJGZI4fg53H9uP8&#10;42pcenW9yXFejSrLRcYF1FpO4ZKlnLvMr1l24YZlE25ZVuKuZV5TRPvnhXNymz8ht3mjFM0lkpZ4&#10;X0QnJ7p3O9ZEJ4Ga4sE1UePRO/1guwtuPTLLee1dU0CY9cLh+7DjMvkHsm1RvWD3q4FNv0P/lB28&#10;fjmvYy46xk9Bx+/njyGJa922BjgJ6Kr4POtrgJOA7GvCsOEL3DJ5gOBO5bQD0IdnsOOx1gnMfvvg&#10;WH79uPa1rwjomthZ7Demtlv7G5sxdOQSLv6Kt++a0OKI/lSeIihacdKLju8T8Pj6sFT0S6P+um0u&#10;dPo+1ckfNnIZDAHhbNsk9lghntPvQNdnQDyGZK7B1ysq4LHFPvV7JRKJxB3x2FSGzlsq0XP5TqiT&#10;01kfqZS2EPahLUC11M2+RnhNnIlvNhzm7nbRvmyB6qL/z5ojCD94HLca7vDJXLh4LUslxrQBZSU7&#10;+MSxMx1YnipPZGQkcvc7OcHofJ2/cQvf5CjxrKLJcsmnIfd55+wKJP6wC8cuUFywnd3n5/Nx/nI+&#10;njZIAV0ikUishaLcH1oKeD10SvMQ9bPO4kR1Hk5cLEDa8u38udH9g+eJu+AxpgQpy87gv/+lBCBr&#10;x1xP2Hde4vGjWsTFR0KlsT7Fzl7QGEyl9sa8gmmsTc9kLXRJuyIF9A4G1RW/9PIqTt09i6VFSxEz&#10;PAo6vYa7wR25cshgonpdahiMJqRmjsTmgytR/eQErrw4g2vPSnHFshfXLFtx07IOty1LuEhOsez3&#10;LPm4b8ltEsRnNcW0E4pwfu89sZx4UJ+Lhw15eNIoRXOJxBpIRH9JInrZBEVEV7dnnLsGZgbFCg9I&#10;2cVFt/aIvSYxpx8JS2HJNglLf0GijlkLz+GF6MnFNecfS5vJLGPtX8COg64L658VFHmuC09Hb37s&#10;bnj8DLoONZHjbHAn0+KBAAxNWO2W0fUE3Qt90/bCEDKKH4/wOFuCFlyEJqB/6h6+HdH2XQbWPu+R&#10;i2EkN7ZV1zmlDGgw1K5ObOfBr+2YKdZf2wT1bz4mDE5Y1aYFIrRIp0/aAahjZsDka25asGTNfaZm&#10;7ddBG5KJ/tm70H1lBToXych2iUQi6byxlJex6LbhCIZNngNTkL9SG92ad38jjc210KZk4PsVO+Gx&#10;9SiPihftz1qoLvr/rj0C7Y4KnLh7nYvC1tbmdCZKbHo98nOncPeTs9xXtB+KTJ1fOJNPXtOkNzn2&#10;Z22twldjZHS7rXTNKUP/iaXYWLwMZ+ztPr+Qj+Ps8/YDRQQSvYNLJBKJ5NPQ4qO7DwtwolrpV0X9&#10;rbOglJLDJ+cjOH8/F9FFzxVXhxbcdcsqxZL9tXxMY60Lvbkeelnxdm48cGYSz4dodGoEBvnh/NkS&#10;PjYStVcicQZSQO8o1Nfi8qtruPi0Ghv2b0Dy6EQlRl3nWOGcUOs0XIxLSQ1F0Zbx7MG3Gg2vV+HJ&#10;84V4VD8bD5t4UE8COdUw/xASy5t5TyhnPOL1zJWa5k+5YC5Fc4nEVujF/sXreag8OgGJSSHtK6Kb&#10;tVxAMQTFYgh3bVc4WURvrns+iQ0KbRONFXT8OCgWug+PpXev6HaCi6ep+2AIjucilfg4PwU7B2YD&#10;ho5awbcl2ofrw6491nZNSAL7Pa1cZWtUQR8UgwFpJCC73+9P8GsgZSeMAaHsGrCuXyAXsT48s8mh&#10;7OLHz45zUOIGGH2MXBgWHU9LmA3DMCxmllvG9NPvOyhpE4y+/lYfN0G/sYb1lX14H23tb1zMa+P3&#10;T9kFXVgaX2xj/TWmYm33hSp6NnpNOIxuKyvQZbNYqJFIJJIvlc6by9GlqAL9Fq6HfvhIXuOchHFR&#10;vyrExMZzBjY2j4pEvwVr0WVLBXe4i/ZlLVQX/f/WHcHgojLsvXKJi8OuKqJT3dBf/vsQyckjoNY6&#10;z3mlNWjg52/GSR7f/oyfoweW+/CafhRds6WAbiudxlQge80WnKrKt7/7/EI+Ll5V5qgaBO/eEolE&#10;ImkdNFd57U4B71upNMaH/a0zOVs7B1tKlkI17YjbiugeWSUYMKkSZ67cYuMJ6+uHUwrOH79ZsHLF&#10;vHZ1oRPDvIdh6pQc/OfnB6xdjcL2SiSORgrobg7FolNUe92LK9hesQM5U7O4kEFx7Y52nOsMOl5P&#10;OTLaH2vWpuLGrdn48T/z8ewlvUDkMZSXCQvRmM/rk5MITu5xEsQ/5AnB/3/6W+U78mVEIrEvtLrz&#10;zc+FqKmdjqRkRUQ3CO5xZ0HCCMWne45cCsWJ7gwBjmrwlsMzfh7vL6123L4HF3ZIPE3Z6cbR5WXw&#10;HLGQry61ZSGByaSGPiwJvdMPOen3sz8k/A5I3Q19YCQXxEXH2RJmEhdDErmLX7Rtd4CugT4U4e9j&#10;ZsdkrbDsBa+YaU3H79rpAyQk907ZDYMNQjJFmVON/z4Zxfx6EW3fdaHfpRi6iNH8frX+PtfCRHXu&#10;k7fya0W8j4/pmV6KXuzvh45aBUNgNMzkOrdqbMr2S/djQASGDF+F76eWo9uaMimeSyQSSQs0u9G/&#10;W70P6qyJ8PFhzy+rIt11PNLdFOiHYdML0G0T215RhXBftvDP9ex5xD53XKoD/lDc3qJJqvaExOvL&#10;dccQGh7EnU/i82R/aF/DR0TjzavbrA0U327B2iOX0D2nVMa320jn7HIMnVKMrWVLcK5uzkciSVsg&#10;l+SJqnzceySj2yUSiaStNPejdTdY/9rO9dApWYQSSxbsXIee49m7pxvWQ6fyJZ1GlyC88CSeND7g&#10;YwrRmOdTkAv99atbyMxI4iVmRGMXZ0AOeJqrrCjbxdtkraNeIrEHUkB3U7hw/uIKj2w/eO4QpuRO&#10;QkCwH7y9h0FvsN5dZA1aPdU51yI41AeFhaNQVTMdr36cjxdv5n30EBRBgnhLiP5eIpHYGTY4pZro&#10;NXXTkZwSAi8qv2AS3+/OgNyNJl9feMXlcoHL0S5mEs+HJKziNbttc1w3QZHCPmYM485rN43uTi9B&#10;3/SDMATHNQlrguP8JOQ+12MwOwe92HkV7cMdoOh1+h2Va8KaBRUU7a2GOiLHba8BDrvnhoxa9dcx&#10;fXycLWM2eGJw/Fz0GH1cvG0XgvqWPql7m2r9W7lwhpz2vBb4frYdN1wowoXs5ex+pd/XWgGdkjY0&#10;UMXns21R//z5hRIktPdmn95xs3n/zuudC7fdAmx/tE99aCr6J27Dd1Mr0W1tGboUiUUZiUQikbyD&#10;RO/um0rRP28ZjOGh3Flu1cIxvYqL76rR49B93SF03lLBxXnRvqzlX+uL8TVj4fkq/PEbTdC6logO&#10;vMLWouUwGLXQG619XtoGGR+0OjUK8qY2taEBP/38BOELTqHTmBLh5Ljk03QbW46vcyowaV0RztTk&#10;4XiVWCixFap9XntdzmFJJBKJvSAR/WlDAS5cbv966Mer8nCSPTeyVm1DN/YscceFbCSi/zuzBHk7&#10;q/Dn7xTLbt14i4RqEqwvnCtBcGgALzMjGsM4A2+NF0aPTsLL5zdYm54J2yuROBIpoLshtc+voI5x&#10;9Ppx5C3NRWhEMLSsI6OXLlFHYy/Ice6l0iAgyIRp02Nx7vzUv+oqNzyfK3wASiQS14QGp69+nMed&#10;6MnJIezebl8RncRos1kHVdR49OVR0I4RI0k8H5iyjQtobap7ztpKtSLVMdN4FLyrO29bgqLzvYY3&#10;O/FtWHzFzqEhZCT6pe7l4qRoH+4A1bX2ip3Na9lbJS6yc2byMcI7voALhqJtuwXsGlbx64COy7rj&#10;N/sYMGTkD+wcVoq37UKQ8N0nbT8MoQms7VYK6LTAJGQ4T5twx9+a2twvdQ+MwXHKsYiO8ROQmG0I&#10;jmXn7yC/XkT7IKgUB/XfdJ604ZmKYG/l/qgsBi1OUsdMR9/kA/h2SgW6rymVznOJRCKxgs6byuCx&#10;9Rh6Lt0KXUISzBTnbk0dSyN7xhvV0I0YhT5LitC5qJJvU7QvayEneqe1R1B4pgq///YEtsSLOoQ/&#10;n+Lt2xfIzZ0MT+9h4vPiALiArtfgWOVedi4aOWUXb6D3hHJ0kfHtNkGxu9qZh3Dg+EKcsnftcwa5&#10;zx88LkCjdJ9LJBKJ3aA+9eHTApyubX8RnZ4dxafmI2LeXvYsds8o9645ZejJPitrSXhmYy1r3dtN&#10;9dC3FC1n4xQ2JmRjQ9E4xtHQOInK6pQc2c7a84zXaRe2VyJxEFJAdyOqGupw5fV1nL57FkuLliJu&#10;VAx0OjXvxBwd105R7SSwjB0XhfLKCXj+ah6vpUwCuuihJ5FI3IOXb5Q495TUUDYg0Ti0L/ksJEaa&#10;VNCFJmFgylb0yKgQCjS2QhHr/dIOQB+awvcjbEMroThnXVgKF5PcVTjukV7C3bT6kOHWu0M5Oi44&#10;e8YXoqcbiKefgtrvHTEWZva7io+1BWjRga8fhiWsddvroDneWxM9kT3nrV1AoIHZ358nOvTItO/9&#10;6ggUAf0QdJFZXBAWHlNLsL83BUZaHWPuKpCw3Yv9Rl5xBUqUuugYPwVd6z4mDBu1vMXjp/PbM7MM&#10;QxNWwBgUpfSz9D3R9kSw5w//TmAEhoxcjt7pZfhuahm6SfFcIpFIbIQi2Cvx7bqD8JwwA+YAHx7R&#10;LuyDRbB+2Ux/HxaKQfnLeI11D6q1LtyXdXy1vgQe64ox72wVfuMievtPhpJwbXl8CSkpI+GttnJM&#10;2AYonjQkJABPHtfyiepff7Vg7Mbz+FdG8UeT4ZLPQ07B7jnlmLphM87U2lc8J0jUuXyrKUVRCugS&#10;iURiV6ge+u0HSpQ6lcsQ9cPOgqLcqR66p1vXQy+FOfc4Hjy9b9NYi8ZGP/90D+PGZvB66O1lvNLo&#10;VEhNHYmf3txhbWoQtlUicRRSQHcDKK6dHOfV7HPDgQ1IHZPMhXONVuVw4Vyj00Kl1SAtLQx79mbj&#10;sSWfRz/LFwWJpGNA9zKVX7h2fRYmTY7hi2WcFVfYElzMDYzEkFHLuShnj7raXDhjn5rIsU3Oc9uP&#10;UanbHoJBSZvR041jy0k0pjrw5Py35XzQ76QPGaG4z3mss3g/rg61vX/aPnYso3hMt+hYW4LXf/cP&#10;Zudg3yddua6NIqDrwjOsF5XpXmD36uDkIr5ARbx914FE5N4ZrB+Imcp/O+ExtQS57f38MTBxA0+y&#10;EG3f1aF2D0raBDPrv4xGW1zoKmjC09k5/Pi35vH4GcXwis+Hyc+XXxuibbQMLaBi91NYMgYmb0WP&#10;9Ep8O7MEXdeVossmsfgikUgkktbhsbkMXbZUon/BChgjI2HSsfGONfMIehUX34dNnoPurE/2KLKT&#10;iL6hGJ3WHcG8M1X47den7V4THXiJ82ePICTEHxq99c9JW6FY1InjR+PNq1usDc9x6dYdeE87Co9s&#10;Gd9uC11zyqGZcRgHTizAyeo8oShiKyTmnK7Jx4Onisgjer+WSCQSSdug/vXq7QK+YKk9RXSKcj9T&#10;nYuCbevx3dhyXh5E9NxxZXg99DElmLTpAv6wIcqd4GOT2qMICQ3giTmisYyj0Ru1fMHh7l1rWXte&#10;CNspkTgKKaC7MLzO+fPLvNb53lP7kDNlDHz8jPBWeTpeONdrodVpERMXgG3bR+Pm7dl4/dN8PHsp&#10;HecSSUfk9U+FuP8gFxObRHQq2SDqH5yFyaTURfeOy0Xf9MNcnPlQsGk9Jdwx6W1LRPeHkAvVxwTP&#10;4QvZNt1YPGfng+Kc9SEjbXOfk5joY4AX1b52A+fxp6D2D05cD7N/MP99hcfbAiQ460ITmrblnjH+&#10;dH/Qpz4oxmpRma4dQ8gIDEzb3cZ71FmQgF4K7/g8q4+VJy6wa35gwho3vubZNcrufarZb3XaAkHn&#10;zD8Ig5M2/bVggke2Z5ZhQOpuaCLZdpv/7sPvtoiOXUdqXgpBHT0Z/VP3o2daOb6dUYIuG0rRWTrP&#10;JRKJxC503lQKj61H0WvZdmhTMqyPdGd/68P6bHVGNnqs3YfORRVsu22vi/5vinNfdwTzzzbHubef&#10;iA78iAP7N0Oj9YbegfMtHzLMaxh2bF+DP/98xtrQgDWll/DvjBI+6S2aDJe0DJ2zLtnlmL5xE05X&#10;O6D2eZP7XEa3SyQSiWOxNBag+noBKs+L+2NncaomDyfZZ/LSHeg0ptItn81UDqbXuHIcPHOdjTOs&#10;L5vz9m09+95zbN2yki/6a6/kUnLADx8eBcvjOtYeWQtd4jykgO6i1D6/irqXV1B+uRKzF85CYLAf&#10;1Kyj0Dl4pQ8J5ySehUf4YenSJFy7MROv3hTi5Zt5wgeaRCLpOFCc+90HuZgxKx5ava7dRXQeD21m&#10;7YgYw+vpKqKVdSKlIu5UwDO+AGYfo9UC6d+huucaqKIncRGKRyIL9ukWZJbDc/gCXsfdJvc5OUWD&#10;YtE37QA7D+7qvFag2t1DRvxggxOf4qa10EZPZNtRXNyi7bs+JejNfkedf4gNAron1OEZTY5k9zh+&#10;6g8GjlzBjtX6hSOUPjGAfdedSxZ8n1GBoaPY8fv62tAfUh+ohlfMNH4OlMj2cgxOXAsD6w+sjmyn&#10;e8joDVNAKIaye7BXeinrT0r/Es+l81wikUjsD0W6f73hCIZNnAmzP0W6W/E8pLroBhX0I0byuuge&#10;W+xTF/1fTSJ64dkq/PFr+9REx9t6vP2zAT/8kI+hXkPFx+8AyFFFaQAXz5ew4/4RjS8eIrzwJL4a&#10;I2uf20Ln7HLoZhzGvmMLcdretc/JfV6bj4dP82Uio0QikTgY6mcfWwpw7lJBu0e50/Pk4ImFMM45&#10;CI8s94xy/2p0CXxyj+POw3s2jbNIsH75/BaPcndmmZv3obRUSmPevGkpa89LYTslEkcgBXSXoRYX&#10;LHW42HAVV99cw+nbR7Fsy1JExITxOg8knDuyzgR1Ql7eagQEmZFfMAIXqqZx0fz5q3ny5UAi+YJ4&#10;8Xoe6hsLsGBBAi/hoNVbI4Y4AJMS62sIHo5BiesV0aaVQh0XzzPKeM1ek1+gDZHCf4eEHl1YKvq6&#10;cd1zgtreL20fO6fx7Pxa68IlFOFYFZfHz6/7CscKvTPL4B0znYvB4uNtCXYezFoMG7kUvfj14J7n&#10;ga6HoQlrYPTzs1pQNZu84R01CT0yjwq37YqQgD6AHa/V9d4ZJKAPGz4fvdg1I9q2O0D9Yr/0w9CF&#10;jOLHIzrOT0HfMQTH8bIHtHDCi50Pk39Q07asOJ+sDyExXh+aiMHJm9l1WI5eaSU8tp2L59J5LpFI&#10;JA6j8+Yy7iAfWLAchqhImElEb62biP0dj4APD8WAv+qit11E/+o9Ef03EtGdHOdOE8PPG68hJzsN&#10;3hob0plshJxcI0fG4MHd86wNr1BZewPdskp5HW/RBLikZbj7PKsS0zZtxOkacp/bP7790hfmPn/+&#10;ah7e/FyIH/8z/y9e/VSIxhcymVIikTgeinK/+6gAJ6pdoB56bS5W7V+J/hPZuCXHPaPcv8oswbSi&#10;i/j9N1o4aEuU+yvU1lQiiEyeurbNr9qKt8YLoxJi8fhhDWuPjHKXOAcpoLcbtRwSzS9YLqOqvg7X&#10;Xp7GlfrD2Lx/MdLGxPPoMK1O7eC4dh13nBtMBkyfEYeKoxN4jXOqiSyFc4nky4REdIpLWrEqBf4B&#10;Jmh0jk2+aA0kzpj8A+AVP4/X2VWEW7FApKA4zyma2+RvB/GcRPzAKAxM2daKfbs2JJh6xRfAxMUu&#10;658vvE52QDiPbHbnhQSEsphgLwyhSdZfIzSB7OuDvsnb2XbcO87fa8QidixmLmoKj1UEO36zD3uB&#10;icvjLn7Rtl0R+q0GJG2EmS8YsG6BEPUD6tgZ6E19kBsvHKH4dRXVKme/n7XnQFk4Qr97LtTRU2E2&#10;25DsYVKxa8cE7+gp7P47wK/BXmlH8N3MYnSW4rlEIpE4hc4bS9F5C3t+r9gFTUoGfMgJTbHuon5b&#10;hEGt1EWfNBvfsO15bG57XXSlJnoxj3OnySpniujkZLp54zQiIoKdWt+T3O5z5kzGr788xh+/1yN7&#10;zXl4ZEn3uS10yqqAftYh7Du6CKdr7e8+P1VTgEeWL8N9/vzVXC6UX78xC4cOj8X2naM5O3aNwdFj&#10;E/H4aT6fN5RCukQicSTU39KiJaqHTv1we4rovB56TS4mrSvC1znlbhnl3m1sKb7LKcP+09f4GOvt&#10;n9aNs97ycVkjVq2czwV0Z5a7aYbrWGovbClagT//bGxqk7i9Eom9kAK6U2lymTdRZanCpfoK3Hq+&#10;C/eerUHFqdmYNCUavj5qeKu9He44J1FMb9AhOycKR4rH4WlDAV9RKoVziUTy/NU8Hum+ddto+AWY&#10;oNa6gIhuUvMa5tqILPQj8TaTRMsWRKyMcgxOLoIhKBo21fh+H5MGZj9fHnvcgwul7iucUeRy/9Q9&#10;MASEWy96cch9rubuc3d2XTdDYmr/5C3cQWu1kEjnLzgOfVP2sO24cSIBu49UMSSEWrmggh0/LSDw&#10;HLGo6b4Qb9/V4AI66xtMNtW8V0MbPQl9aDvuXLqA9wO7WT8QqiyIERzrJ6F7xdePC+nW3TfUf6h4&#10;ZLvniMXs2qNSGGXolaqI5102lEjxXCKRSJwMxbB331AMz0mz2HjXDJPeigWFRg182HNAk5mD79fs&#10;4/Hwba2LTjXRuzK21dWC6qHjT/FElr0BXuPihVL2zuPYeZj3oUlgL5UntmxZwfb/E+4+vo9BUyrR&#10;NUcK6NbSfWw5umdXYMqGTThrZ/GcINHm8s18NAjemzsSJIi/fD0P12/OwtJlyUhIDIZfgBl6I80h&#10;0jVrQEioL7KyI7BnbzaeWPJ5cuWzl1JIl0gkjoH6XTL4VF1t/3roJ6vzUHq6EBHz9rptlHunrFIe&#10;5U4lY2icJRoTfQpK7HnWeBUpycOhYmMm0fjG0dB+U5JH4FnDFdae58J2SiT2RAroDodE88uMS+zf&#10;1ai2nMElSyluWLbg4fMf8PhFIWqvTUPhgjgEhxigUqscWneYXgbJcU77SEgMwdYtmbj/MA+vfyrE&#10;s1dy0CuRSN5BL8LPXs7DgYM5CI/whbe6/UV0LtqRGzwoBkMTVqN3RulH4iUJgoOSimAIJPG8jbFC&#10;bH8kLHrHzuGCsbvX+ybxUBU7C2a+UtSGZw0798bACPRP2cG25d5OfILOx2CqB81FQCvPBzsXusgc&#10;9E2nSH/3vS4oqUEVnsmuCWsd+OxaCAjBEB6/7T4LCOi6pevXGByrHIPo2FqC/b0+fDT68DIO7twX&#10;0MKXUmiiJ/H+1La+wMp7hvpShj4kAYNZ/0z9dM80dg7TjryLbZc1zyUSiaRdIPd4V8agvKUwhIVa&#10;F+lu1HLRXT8qEb2WboPHlmPovKltIjrVRO/FPvddvQSq0wkrHVLWQvXP8bYBO7atgafK2pI+tkNO&#10;d/8AM04c3cOO8zWWHqhFl2wZ324LHtkVUM88hAPHF+GUA2qfnyT3+VPFDSl6b+4IkHhOVFRO4MK5&#10;Vsfegdn7v86g5QacZqjMm7daDZOPAWOyIlB5bCL7/lzuSJdmHIlE4ggoyv3RU6pF3v5R7mdr52DT&#10;kaUYMrmYPbPdT0T/mo0xOmeVInf7RT6+snahIrnWSbQuLd7Ox4o6SjASjHEcCS1ApHLH1AYS9K11&#10;0ksk1iIFdIegiObnLVfYv6tRazmOy5aDuGHZgLuW+XjYMAcNr/Nw/c40bN6WhvgRgVBrlVrDjlzt&#10;rGHb91ZpEBsfgDVrU3H3/hy+uvT5q3molwNdiUQigET0F68Lcez4RMQPD+Qvy85yZbSMDiYje2n3&#10;9YUqdgavSd4js4ILQ+SEpWhxqu/dZuc5348K6qgJilDv5uI5xTYPSGHnJjDSxoUFOi6yesfNQS92&#10;vt05wlqhGL3ZpzZmqk0uXLq+POMLedqBuzrx6Tfsm34Y2uCR7Hi8hMfZEnT8OnYtKRHc7nNvcAE9&#10;dReMISO4IC46thYhAT0sBX3c7JhF0HkYmLgRJh8TOzYbBHQroGuFSgSoY6awe+4gd573SmP3TMYR&#10;fJdHznMZ2y6RSCTtDYneFOneY9k2aEeMgtnAnpGtnRQ1sTGznv19RDj6zF0Fjy1H2fbaVhf9/9YV&#10;w3NrOc7ev8FF9LcOdKIDDfjvf+4jP3cKr0kuPEYHQHU8ExLjUP+0Fj//twFB806g05iSjya7JZ+G&#10;xIBuORXIXLmNu8+PCwSPtlBJ7vNb+fzduKMKxHRcJICTqzwohI3ZtBoulouu22bIlEN/5+tnRMHc&#10;kbh0ZQZevSnk8e+ifUgkEklboH7q5n1xP+1MKMqdnjUzNm7iySfdxrpfPfTO2aXoM7Ecx2pu8jGW&#10;aGz0KWjc9OsvjzB92jh4sbGM6BnhaChCPi11JN68us3bI2qnRGIvpIBuN5R49mbRvM5SiauWvbhh&#10;WY97lkI8sMzEg/qZePpiDu4/nY1DJTkYkx0BjVbLV3A6Oq5dpdYgJMwXCxaO4gPbN/+Zz4UxuUJU&#10;IpF8Duon3vw8H3WXZyAtPQxqzedfqJ0CudHNGuhCkzAoaSN6jD6Kfqn7oA9NhtlWV+V7kMhMYlm/&#10;dBLL3LvWNxeL2TGoYqbBzM5Zq11F70MLEgKjMCBlJxfjxftxH2hBRO+0QzCEjLRBQNfy+PKBiWv/&#10;WrzhjtB1PSS5iNe0t7YGPN0fmtBELsS60wICXsaA3dP68HTlmhYcW4vQdRIcjb6p7h3bT9B5ICe9&#10;PjzD6t++9SiLbgyBERg2atm7xJBU1gYSzwtKFNe5dJ5LJBKJy9BpSyW+XncQ6tHj4UN9OQnpH/Xv&#10;YkxUF93fB4NnFKL75tI210UnEV23oxI3LHdsmuBtLUAjXr64ifS0UdDqnJe45ek9DFOm5LD9v8Th&#10;M9fRazw7XzK+3Wq65pRj6NRi7Kz4ASerHVH7PB8PnioOSNG7ckeAxPMz56YgMtqfJ1aKrteWIIc6&#10;fSc2NgCbNqXj4eM8Xj+9oQOfL4lE4nya9Yva664R5V52phDR8/egS1aFW9ZD/2p0CeIWn8aLl4/Y&#10;OMSWKPcXuHblBPwDfdhzwHljp2b0Ri307Plz+EARa8szYRslEnshBfQ28X5N81rUWY7hmmUnbltW&#10;4q6lEA8tM/DAMh0P6mfj8bNcPH2Rj/O1UzF9Zhz8/I18kEmxE6KOwB7ojLQiVAuzjxGzZg3H6TNT&#10;uJOUahR9+CCSSCSSz0Ev1rfuzMbEiTF88Q+9LIv6HudCLnEvGP1D4R03G7qwFLuI59yZGhSNgcnb&#10;mgTCjwUod6JHZjkGJm1Wan0bWz8R+hfsWcWj7OPm8Mhv0T7cDRLyBqZsg9HPnx2fldcyCY7BcRjg&#10;5lH2dF0MG7kMZj8/RRwWHasQdt+ZtdBGjVcEUcG2XRVaONEv/RB0EWO4M1p8fC1A5ygoqkMI6ATd&#10;y0NHLGb3Nrv+7T0epQVODF1YGrtPtrN9VSqpFWlH0JuL58Xcdd5ZiucSiUTicngUVaA7+xw2fR5M&#10;wYFcGG/tc8Jk0MDHbIA6exK+XXuA11gX7aO1/M/aI4g4eAIvfrStVmdroCjSestlBAb5Oe39Rs/O&#10;p1avxsoVc9n+XyFn43n8K7PYLSfh2xM6X12yy5GxfDtOVedxZ6BI7LAVEmku3ypAYwc2nrx4PRf3&#10;HuQiZ2wkvFQ2vCc2QfObWr2O10c/emwiT7p88XqeNO1IJBK7waPcLQU4U6v0z6J+21mcqZ3DF255&#10;TTvillHuVC7GY3QJlh2qA95aOKIxUku8fduA33+vx8qVhXxBoCP1rZZQabyRNSYFv/36mJfjEbVT&#10;IrEHUkC3GhLNL3GqLFWotpzGFct+3LYsxz3LPNy3zMYDLpzPYv+e0ySc5+H63ZlYsSYFUTH+f8W1&#10;i25+e0CdFg1eTezFNSs7EuXlE/CkPh+vfyzkNY1EDyGJRCJpDa9/KsT9R3lYtDgJRpOeJ2iI+iGn&#10;Y1KzPk9nWy3rDzCZVDAFBGFQ4jr0zHB/sZhEq94ZJVBHT+auYdExfw46J/rgOPRL288FSNF+3A0S&#10;QL1HLOD1+6wV0E1GT2gic9CHnVd3jrLvkXkUw+Ln8cUR1p0Ddq+x86aOz3NDAb2Y/W6lUEdNUhbf&#10;CI+vBdg5MvgHo2/Kro4hoGcocfaGoDg7utCpH6YSG37wjsvlJTZ68jIHbJ+pTeL53GLpPJdIJBIX&#10;p/PmMnQpqkDfBetgiImB2cCeE60dKxg1PAJel5yG71buaZOI7sH4f2uOYMLRs/jzjydWT/C2BnIu&#10;1dZU8lRAcjQJj8nOkFvL18+EY2Vbcf/pY2hnHUOnMdJ9bi3dx5aj74RSXo/2tJ1rn1N0++nafDx8&#10;mt9hBXQSt0nk3rc/h7/X643i67W1UEqdl1qNwCAz5i9MwPWbs/Dyx0I8Z/sQ7V8ikUishUT0W/cL&#10;eD/dnvXQqVwIRbnnb1uPr3PKuSAtek65Mp2ySjB0SiWu3L3LxkK2RLm/xL3bFxAfH8nFbNFzwZFo&#10;9Rr4+ZtxrHIPX4woaqNEYg+kgN5KyGl+gcez16LGcgqXLUdw07IW9yxzuVBOgrkims/m/32/fg4s&#10;r/Jx98ls7D2YjcTkEC6aOzqunaKVyRmakBiM3bvH4LElHy/fFPK4dtGDRyKRSKzlBU+xmItNmzLg&#10;72/ii4JE/ZHzIeG8jaseSfjxMWPYiB+giOfuK442o9Q63gSTLU5rDrmN9fAaXvhOCHN7inkMvSYi&#10;mzuprbtuKJZajWFxeVyAFm/fPSBXsFfUJJgNwwTH+QnoOvIxYVjCanZNuJ+Q3GP0MQyJnWPTcRvY&#10;cfdNdu/kgXew/i2zAqroqTxqve39p5a7+g3B0RicsBK92Dn66/pIY0jxXCKRSNwKqotO4vf3y3dC&#10;n5QKM6UYGVuZWGNi4yWDGob44eizeBM8th7j2xPt53N8taEEndYewdqqGuBPqoduPxGdtkW1M3ft&#10;WAODUced4cLjsTManQrhEUF4/rQGW45dQ+fMUl7LWzTBLWmZr8ZUYtTiXTh6fi6P1BWJHLZCwswl&#10;cp934Chymid89DQPU6bG8XrmomvVFprnPkeMDMb+gzl42pDP0+zqpRtdIpHYgQZGzfX2d6FT8kn5&#10;2bmIKtyDzm7oQicoyn3MmnP49ZcnbDxkS5T7axRtWsYFdGctQnyfYV5DMXv2JPz2a4Ndx4cSyftI&#10;Af2TKBHtJJxXW87hkqUY1y1FuGtZ0CSYz2wSzJtE8ybIdd7wmnWmpydi2sw4dkMbuMDk0Lh2g47H&#10;LcXFBWLlqhTcvDOH1yzmjnM5SJVIJHaGXrafvZiHI8XjeLKGUpJC3D+5C+ReJyeuV1weF5Xc2Vn8&#10;jmLuGNdFjOauUNFxfxb2PUNwHPqS+zyjY7jP6bz0pRjvwBjurhced0uYNDD7BWBowkoegS7evuvD&#10;o8zTDvCyB7ZEmevZOeiXstuNBfTZMBuGio+vJZoE9D7J5EDvCAI6OxcZ5RictAkm/5C2udB5ZLsW&#10;WtbXUGkD2u5fC5D+qnmuxLZL8VwikUjcC4+iSny77iBUOZPg42PkMe3CZ4EAs549W8JC0H/uSnQt&#10;qoDHpjLhPj7HP9cXo/fmUhy/ex3kknormNyyBXK004Rr4dzp3MnkrAhStVaF0Zkj8fz5A4xYchb/&#10;Hl0inNiWtAy5/b4fV44le1fiXO0cobhhKySen6xWap935Ahycp/fuT8boeE+dk/JpLkBnlbHPqdN&#10;j8PFqmk8zU6aeyQSSVuhfplHude1rwudOFObi83FSzF4cgk6Z5cLn1euTLecUnzHnqclF2h8xcZE&#10;grHSpwAaUf/0MlJSR0LdDi50jZ5ST3xRdaGUi/miNkokbUUK6B9Ry3hX17zWcgzXLdtxx7IU9y15&#10;oJrm95vi2T/kUaMS13719kwsW5mEsHBfqNQaHmMkusntAQnntFLUP8CE+QtGobZuOt6wQenzVzIi&#10;SSKROBYatNJCnXMXpiAxKQQqDcW+OWfSye6Qc5KhipuFPhkkOncE8Vxxnw8ZtRJGXx8ucAmP/ZNQ&#10;7XMtPEcsdEuhtCXIfU7uaZNfgNXnhcRmXXA8F5/dOc6ezgHV+DcFRbNzYN3iCqptbQiKQR86B264&#10;qIKSA4YOn29D7W/6WyOGJKxCrw50P/TKqIAmPIsnK9jkQqf+k91LXhTZnn6YX1t/bbvZeS5rnksk&#10;Eolb47G5HN03lWLwTPb8bK6L3spnhkmvgjnAB8NmzEM3crUXlQv38Sm6MqgeunnPUTx8cY+L6KIJ&#10;Lmtprpk5flwGNNo2LCSzAhLpacK3MH8CTl+7ie/HVbhl9Gt781VWJULm7kPp6fk4WWN/93ntNcXl&#10;KHoP7gjQu/zzV/Nw7MQkmH0NDnuP57HuKg1iYgOwcVM6Hj7O4270BlleUiKRtAEqrXGbotxZf31U&#10;0I87i+NVeThdnYfpGzfh62x6nrufiO6RVQr//OPsvD7gIvqHY6XPQVHuhw5s5nMr7eFCH+o5FEuX&#10;FOD33+rxVtZClzgAKaD/BTnNL7HPWu42v2w5jFuWVbhrmdfkNp+BD53mzTxsyIXlZT7uPp6NXfuz&#10;eFy7RqcI26Ib2x7QIJS27+tnxJQpsTjOBr2NL+YpA9EOvEJWIpG4Fs0i+tVrszBtRhxfZW7v1esO&#10;h4vnamgjx3Lxp6MIxbzWM/vUhybB1trnRqp9HjIC/VL3diwBPfMovGOmw8zFc+sEVIq6Vkdk8/hz&#10;0bbdhR6ZFRiYsBZmX19+D4iPVwwJ6PqIMehN94sbLjbpwX67oSN+gNnHZOWx07VigPfIhR1GQOf3&#10;dUYZv6bN/FxYP3lKteRV0VPQm5I73j8vTTXPvyXxXMa2SyQSidtDddE7b6lEnwXrYIqO5sJ4qxei&#10;GTTsuWuAatxUdF9/mLvaRfv4FJ0Z/1hzBGPKTuO33+xTD52E+N9+fYSRCbFOq9/JXe7smbty6Tzk&#10;7azGV1niCW1Jy9CCAxIqZm7egHN19q19TkLMiap8PHiivOuK3oE7As0C+r59OfzedPRCeJq/1Bt0&#10;yMqJxLkLU/GC7Zsc8KK2SSQSyeegPszSWIDqawWobGcX+qmaXFSem4uguXt5aRHRc8uV6caeqZ3H&#10;lOKHfTU2LVCkUjg/vbmD9LQEnrAjegY4Eq1ejfCIYNy7c56L+aI2SiRt4YsX0JWI9suoslRxt/lV&#10;y3bctSzkwvhHdc0FPHmex8jHmYuTMXlaDHx8jayzcJwL08CgqGS9QY+09FDsP5CDevbAePlmnoxC&#10;kkgk7QYt3nn8NB8rViaDYtocuYDIvui4eK6LyELfdHLTdhyRmAReco7ThIhN7nOTln93yMhlXGwV&#10;7cM9oYUFxdCEpsJk9BQfe0uwc2LyMcI7fi67Vty7HnxP9psOHr6Ii5/CY20Rumc0UMfNQW/uPndX&#10;AX0xu76N/DcVH6cIGtsZ4DXyhw4hoNM1TEkK6six7LpuPr4Pj7kV8IU2Ceibuu9dH/q+81yK5xKJ&#10;RNJhoDrmnbYcRe+lW6FPSOZ1zlv9LCURnf2tOjUTX6/ZDw+2HRLFRftpia82sOfK+mJsqq2zaZL3&#10;Q2jS9/HDGkRGhUKtc86kL9VZ9/PTY8eendDOPoGuOeIJbUnLeGRVQDPzEPYfW8yFC5GgYStUU7fm&#10;WgEs7B33SxDQDx4c6xQBnaAETUqtCwn1wYYNaXjwOI8vxu/I51kikTiOxhcFfLHTqZr2r4dOUe5r&#10;D67EgEkl7Lnuhi70MSVQzTiKy7fvWD2+olI4wDMcObSVi9nOKofTDJUM8VJ5Ysf21awtVAtdutAl&#10;9uWLFdDJba7UNj+Py5aDuGlZh3uWfCh1zT8tmhMP6ueg4U0Brt2ZiWWrkhES5qMI2w4cdOoMWnir&#10;NRg+PAjr16fj7v1cLpzzOueCB4lEIpE4E1rE8/LHQuzdn4WISD/eJ7p2XfQm8TwsBf3S9v89dtjN&#10;oWPpn7qH1y63ur51EySsatm5oVrhHaf2OZ0bqvm8AaaAUBiNVtaFZ9eLwS8AA1K2u/ViC55OkHEE&#10;mpjJNlwfioA+eNRK9HLTGvC0IGRIwkqY/fzZb2rN4hJljKcaPs/NBfRidh9UYFDyVuhDE5uuAetS&#10;CP4Ge0E2sXNDi23IzU7iOTnPpXgukUgkHRePogp8v/YgvLImwMfInqWE6BnxIbRA06CCbsQo9Fq+&#10;gzvaSZQX7aMl/m9dMQZtLcelJ7fbLKLThO+ZU4cQFOzHJ32FbbYzFG8aFGjG0h3H0XPycXTPKRVO&#10;ZkvEdGd0y6nAmFVbca7OvrXPm7nzMJ/HA4veeTsS5AA/e34KzD5KyqXoenUElFhHqZ1jx0Xh7Lkp&#10;fDH+s1dyXlMikVgHldmgvvrq7favhX68Kh9navIwds0WdMmqwNcfPLvcgX9kFGNK0QX8+isbH70V&#10;j5tagsZTr17eREZGIpyV6PM+Gp0aI0fG4OXzG7wtojZKJLbyhQnotU2O80uotZzANcsO3Oa1zWd/&#10;MqL9fUg4J9f542d52HcoCxmjw/gKSkdGFtNAllztvM75/FGovTSDDzCfywGmRCJxMRqez8WP/52P&#10;02cmIy0tzKGJHG2FREBjYAQXkb7PPMZFJbHY5F6QONo7owzesbN53Ljo2D8LOzcmXx8M5e5z944q&#10;/xCKbx8yfAHMZprote7a5AsuQkY2xZa77/VC4n+/tL0whCZaKSAzyIXv64d+SUXcwSzavqvDF1Ek&#10;Ni2iYL+p8DiFKEKxJmYqermp+57aTOkDdG9T/6eI523vo+ne0EdkoHfqIX5uvisokTXPJRKJpIND&#10;ddG7FrFn6uRcmP19YOR10cXPib9h0sFM8e9RUei/aINNIvr/rjmChMMn8frnh7ClXmczwHMc2LcR&#10;vr4mblgQttfOGIwaxMSEImDGAXwz/qhwElvSMuTs6ze5BFtLluJUtX3d5xXn81F1NR9PGxVhRvS+&#10;25F48Xou7j6Yg5i4AIfOaYpQHINqhIX5Ys3aNDyx5HODEM0niNoqkUgkIniUe0MBLlwpaHcR/WR1&#10;Hg6eWAjf3IPo4oYu9K5jS9FjfDmO1d1k46N6vP1TPHYSobjQX+DI4a3Q6lQ8bUfU9zuK5trrxyr3&#10;cAHdmrZLJJ/jixDQFdG8jse011mO4oZlE+5a5jdFtLdOOCdINCfx/PT5yZgxKw6+/kZ4qxznsGwW&#10;zunf4ydE49SZyWhkg0kSz0UPDYlEInEFaAD76qdCXL8xC7n5I3gfSbXRP+zj2h82oPP1hS48HUMT&#10;VqN3OgmLZeiZ7t5uazoGckhbLw42ozjztRGjmyK6xftxR8hJT3XutRFZMNoSXW7WQhM7zY3FUwW6&#10;Rvol74DJP5gL4uLjbQG6poKpLv5uth33dGErAvp6do+EfFECOv3udE97xeXxBTImWxfYiODXkS8G&#10;J2/Cd3PLuHgunecSiUTS8em8uZxHsQ/MWwpTaAhMem/2TGjdpKlJ582/M2TOYnQuquA11kX7EOGx&#10;oQT/WluMlVW1vBY6/rRNRKdamatXzofOiZGjeoMaialpGDDxELqNqxBOYkvEkKOva3Y5Yhbs4WLF&#10;8aq8jwQMW6Ha5/R5854SCyx6z+1oUJolCU8LF5Fj0MpFtXaCSr9p9TqMHRuJM2encFf881eyNrpE&#10;Imk95EK/87AAJ6ra34l+tjYXS/asxrdjy3ltcdGzzFX5lvGv0SUYueQ0Xr95xMZI1o2taFHii2c3&#10;MGZMCo9UF/X5jkSt9caE8ZlKW97KGHeJ/ejQAroS034JVZYLuGwpxi3LKtznMe0knFNUe+uE84cN&#10;uWh4zQbS92dh45Z0REb788GlI1do0iBSo9UiOTkE+w/m4DFrN481knXOJRKJO8AGsPTya2kswLoN&#10;6QgKMvMV5qL+rl0hN61JDZOPGbqI0RiQtAm900uaXNfu6S6l9muiJvDjsslZyh3GPhiSuI5HwYv3&#10;456QY7p/8jaY+eICayeJ2Ln0MWJIwjq4e/1rElIHJ6x9d1wfHWvLkGNZF5Hj1tH+bXegu98iCl7W&#10;IW0f1NGT+DEo/YPoGG3EoOY15QdNX83FFCmeSyQSyZdD501l8CiqRL+F62GMjYXZGhFdr2LjMl8M&#10;mVHInh2l3NUu2oeIf64vxsCiMlyvt75eZzPAK8ybOx3eai+nCegGgwoRSRPQZ2IJuksB3Sq+JjFi&#10;bDkW717Da58fF4gXtkL1c89fysfTBmVBuPAdtwPy8k0hauqmIyJSmec0+oivW0dC5iHad3CoLzZs&#10;Sudu9Nc/FX5Rv4NEImk7NdcK2r0WOrnQj56fi1E/7IJHlvs947uz52y37FLsOXGVj62sdXIDr7F/&#10;7wboDRqnJfs0QzHuwSH+qKup5GK+qH0SiS10SAFdcZxfRo3lLC5b9uOWZQUUsfzztc0/hBznT57n&#10;o/ToOOSMi4JWR3HtOoe6zklkior2x4qVKbh7T6lzLoVziUTijvC66KwPKy0fj8SkEHir1U6P8mkV&#10;JBob1TD5+UEdNQGDEjeAavn2cLMazz0ySjEkcS1Mvr7gEfWiY/0M3H0eNY5trwQ9M9zXZS2E/Z5D&#10;Ri6F2ZZzQw7bwEj0Td3Dzot717/uxX5XdVwud9TbIqB7xuaxbVQ0RdmL9uHakJg8KGU7jEExMBqt&#10;cWE3pRBET3ArAZ1qvlMqhT4shbWfrn07v8gatfBhn8MmTOfCubUxvBKJRCLpCJTyuui9VuyEJjEV&#10;PhTRztNJBM+NDzGo+XPEc/w0dGPPkM5FrRfR/7HuCFJKTuG3X59Y7UJX4kZfYvKUHAzzGipumwPg&#10;Y6kRc/Dt+Ep8Pc79Il7bE4pvN846hMOn5uN0jX3j28mBfvX2l+M+b4Yi05+9nIe9e7N52UiV1rZ3&#10;yLZiYJBJSWfQYerUWFysmoZXP87nLnlRuyUSieR9aMHNgyf5OFUj7uOdydm6OdhaugRDpxbDI9v9&#10;RHSPMaWIKDyJn358zMZJ1rrQG9FYfw1JycP54kRRf+8oaCGkWuON5cvmsna8kjHuErvRgQT0WoYi&#10;nNdaTuOaZSevb26t27wZxXVegEvXp2PB4gQEBJnZje/4uHaTjwFzcoejunYaX3H5XEYXSSQSN4cG&#10;stSfXb85CzNmxPFFSK4Z6c7gQroXzH4BUEeO4y7VnpnlTYKpa4tlJGb2zTgCXVgyXwwgPL7PYdLA&#10;5B+IgclbuUtZtB93hdzSfdIPQxeZY5P71mRUQRs1gW/DnZzHH1PCyxXowtKtX2TB7g+zrxGD3bw2&#10;Pt3PA1P3wBAczyexhcfaAnTOdOFpbDt0Dbj6dcDal1nG4+oNwXH8GrZ2wcRnMWr+Es/Jec7d5wKB&#10;QyKRSCRfBuRE/2b9Qagzx8Lc9JwQPj8+pOl5os7IxtfrD3ExXrT9D/lqA9vn+mLsvXoZ3CklmPRq&#10;CZrkff3yJjIyk+Cldl7UqNngiX5JS9F94smPJq0ln+arMZWYsG4zTlXl86hekXBhCxT5e6YmH0/q&#10;xe+zHR0SqSk9bu++bAQFm7kbnOYoRdevoyEBxEutQUxsAHbtHoOGZ0rbRO2WSCSS96G5x2t32t+F&#10;fpw9n87U5GHiuiJ0z65A97HutViOoue7Z5diQ9klq8dWBInXmzcshc5AzxLnzv1SdDyJ9w0WGhc+&#10;E7ZPIrGWDiCg1zZFtdehxnIa1y1bcdeyAOQ2V+qbiwXylnhQPwdPX+bj3tM52LUvi910IVzYdlRc&#10;Ow0OSUjS6XUYkxWBymMTeGTUm5/nCx8GEolE4q5QGYqn9fnYXJSJsHDfdn0x/ywmDcwmby4mayOz&#10;MShpM3eckqjsqjXSyWXqOXw+TGZD6x0/f0PHjlkN77hZ7Fhdf8GAtZBo2id1HwwB4Ta485VzQ8Jx&#10;T3aeRdt3G9h13DvtEPQBkdYvJGB/bwoMxeCkDTwGXbh9N0AR0HfbLqCHpbLtuLaAzuP12W80dOQS&#10;mAKCWLutEc/Z3/F75DN/z16IfXxIPJ+h1MCV4rlEIpFIGOQg77qpFJ7jZ8DH1wiTvpXjDUo0Maih&#10;Tc7gTnaPLRXovPHzqSb/WHsEvruPwvL6PqxxStHE6sP7VRiVEAdvjZNcUiY2pvQxom/aOnSfcEI4&#10;cS0RQ+7zgZNKsal4Kc7WzhGKFrZCAvrlm0odXdF77JcAiejPX83DyVOTMCY7gjvBaa7SUSaiz0Fl&#10;LU3sMzdvOG7ens0X5Es3ukQi+RTUhz+2FODspQJUtnMt9FPVuSg5NR/mOQfdMsr9qzEl8Mk7jkeW&#10;B1aNrQigAS+eX8fw+Ej2HLEm8a/t6E1aaLQqHDywmbXjjbB9Eom1uLWATm5zcp2TcH7Nsh13LYVQ&#10;hHPrHecEj2t/kY+z1ZMxc048zL4GLp47qhYWifIqtQaxcQHYsDEd9x/m8kGhjGuXSCQdlefspZw4&#10;fnISMkeHs4GN4xYo2QMSGEk4Nfn7QReVg4FJm9A34zB6ZFSghwsJ6SRmDkjdBUNgNKyLpH4PEtgC&#10;ozAgZQePuBbtx50h0XTYqOW8jrnVCwxMGl4ve2BSkVsLxwSdhyFJG2D082sSSQXH2wKUzqALTUL/&#10;9AN8O6LtuwMdXUCnhT590g/Bm2L6fUzWLZSgFA663v3D2H8bGC2Mgf9yns9AF+48LxOKGhKJRCL5&#10;MuGLqtizYcisBTAF+fNa58LnyYeQwKz3hn74CPRevh0eWyo/WxqkE+Nfa49gyfkq/PlnPUM8+fUh&#10;FN9ec7EM4eHB0LRW5G8rlObjH8DeJzah+4Tjf5uslnyar8ZUIGbhHlScLcTJavvFt1N0O7nZKfr3&#10;S6+5TQL1qzeFePAoD0VbMxEXH8jnLNsrPY7mCdQ6DRKTgnHsxEQeNS/d6BKJ5FM8e1GAG/cKeN9O&#10;iPp9Z3GmJhc/7F6DXuOptrh7udCpFnrnzBKsLq4D3rZ+bEXQ35OIvnJ5IRfQHaWrtYSn9zBMnzYO&#10;P725x9rRKGyjRGINbimgK47zS6ixnORR7c3CuS01zglynVte5ePWw9nYuDUDkVF+ijPS4JgbnFZw&#10;Uhy8f6AJBQUjUXtpOl7/NF8K5xKJ5IuA6qzRYiFaNDR/QQLMPgbe54r6S9eAPQtIUDKp4RfgA2P0&#10;GHgnL8fAzIP4Pr3SBYT0Yi6YecXMhNnmiGYtTOx73vH53LXqys5a22DnKLMMuvAMdpw0QWrdOTIZ&#10;PaGOyEZfti3u7P1o++4DXSsqLqxan1RAkaOeURPRY/Qx4bbdBRLQB6XugpHHmncsAZ0Wv/RNPwht&#10;1Hju2rFqkQTv57TsPhmNwclboQ3PZH0KOz8fXifkEGxyniviuXSeSyQSieRjaHFV56IKDJy3Eqaw&#10;UC6M/+150hImnSK4R0ej/8L1ioj+GSf6P9YfwdAtZbjy9DaftBVNfn0IRYyeOr4fgYG+0Bqc9C5i&#10;VMMUEoU+Y3ag+/ijwklrycfQRD7F4OZuW4eLl2YLhQpbIZdi7fV8WBqV+F/R++uXBs1N0vt63eUZ&#10;yMsfwecuvVTqdnGj85q2Wg2vz75qdQoePs7jyXbyt5JIJCKob6D+/MIVpX8X9fvO4mR1Ho5fKMDI&#10;RbvQyU1d6L655EKnhJ964ViqJYDnuHvnPB9j6QzOXYRF0fG036tXTrB2vBS2TyKxBjcS0N/VOK+x&#10;nGpynC9oimkn4Vwsjn+OR425XDwvPz4B4yZG/RVTJLoB2woNNmkFJW1/9JgIlJSNx8s3hXIFpUQi&#10;+SJ58Xounr2Yh4OHchA/PNC1I92bISHJ6I2gIBPMkckwJRfCc/Q+fJ9RwaPdqQ55T4Go5UhIEB2c&#10;tBEmvwDrxLL3oHhnXWgC+qWRs9i9BWIxJYpDn1y11rhxOTqYGUOHL8D3mUcF23YvqKa/OiKLLwgR&#10;H28LkCPMxwCv+AJeLkC0bfehGH3YpyY0GWajdZGtriyg0+/SL2U39LRQhPoCa8Vz9qmJnszr/FON&#10;+wGpe6CLGMOvf55swfs/Na9p2xzbLsVziUQikXwK7h4vqkSfHzZDFxcHHxLRW+lEMum8YQoPRf/C&#10;VVxE7/IZJ/r/rjmC2Scv4NffyP30+bhR4DUOHSiCwah1Wo1Ok0EFQ3gCemfvx9fjK4UT1pKP8ciu&#10;gHrmIeyuXIxTNXZ0n1+gWrUFuPvoy45vbwmaq3z+ah7KKsYjOyeSz5fSnGZ7COm0X2LCxGhcrJrG&#10;51IbpQlJIpEIaHxRgDsPCni6CPXzov7fWZALfeORZRg4uYSXIhE941yVrxlfZZZgbcklvP3Dgret&#10;GFs1g7cN+OWXRygsnMnrkov6dUfirfZC0ebl+OOPesVBL2ijRNJa3EBApxrnJJy/q3F+hwvnM5ui&#10;2sXC+Od42JCLJy/ycPP+LKxYk4LQMF92c6kdJt5w4VyrRVS0P4q2ZOD+wzxZw0cikXzxUB/45uf5&#10;qLsyAzNmxsNg1PNFRu1Va621GLiQ5IXAAD38w2MRljoZ3qO3KfWlM0vxfVopeqQ5XlzrmUFC4GHo&#10;IjJhsjm6XcNjnj1HLePR9KL9uDskLHrFz+M1J611XZNwaAqMwODkLW4fbU8LPPrS9RI8wmrnNa9/&#10;7h+EoYnruYNbtH134vvMY/AKHwOz0bqXOS6ghySybbiSgE4pFOUYmLQZ+qBYJYnCmuucflvWB6ji&#10;8vjCgubflz7pehk64gcYwtJg9PFj95BJEc+LZM1ziUQikbSOzoxOW4+ix4qd0CUkseeUmo2vWvec&#10;Iie6KTgAA2ctgAfbRudNLZcM6bShBN9uLMW5hzdB9TrfCibA3ocE9AP7NkGnp3kgZwno3tBFZ6LX&#10;2GJ8Pd793GjtAU3gd8mqQMKSHThTaz/xnKg8n89dik8bpPu8Jeh9neYuyfm9YVM6wiP82Ps6Gw87&#10;KLHzU9B8LaV5xsUFYt/+HC6gS0OSRCIRYWFcvFrQ7gL6ieo8nK7Kx7i1W/izjJ5pomedq+KRXQrj&#10;rGPsfFItdGtd6K9w/twR0MJJZ42zmqHSPAkJsXj1ksaEz4Ttk0hai0sL6BTTfpFRbTmLa5ZtuGuZ&#10;j3c1zsXCeGsg4fzJszyUHRuH1PQwaPWOc503D/D8AkzInzsSV67N5Cs4X76RgzyJRCIhaLLi1Y/z&#10;8LS+ANt3jEFktD93o7fHS7m1kGOFhGt/Py0CQoMQn5YJv9Er4Zm9F4NzyvBdWgW+TSVnukj0ajsk&#10;DA8b+QNMtgjDTZATmVymJJy5mqPWXvDY8vDRVruNCar7rQlLRZ+MUi5Ai7bvLtACAF7/3D+Ei6ai&#10;420Jus51QTHoTykF7V62oO30yDwKb35NWCugq6ANiGzajmOuB55mwX4rqrdP9zh9kpgtuv4oMYJS&#10;BYYmrIYxMKJpIU1r+04d/3uTXyCGjlyG3myfHyZQcDGd/e99Ug6gX+pO9Mjdha6biqXzXCKRSCRW&#10;41FUia/XHoAmlZ6/GqtEdJ8AHwyaUcgXcH3qGfS/645gTNkZ/P7bk8+60IGfsHHTMgwZNli4X0dg&#10;NgyDZ9wkfDPhGL4Z515OtPaiW045ek0oxfK9q+wuoJOwQrVyqWau6D1V8o4Xb+bh2at5PNZ99pzh&#10;8PE18rlOZ9e2NTAo0t3Hz4jCBQm49yBXRrpLJJKPoD7h/uN8HKe+/oO+39nQs2tPxQ/QzTyEztlu&#10;5kKnWuhjSrHqSB0X0GFNLXQ8w8sXtzB+fCY8nexCJ8Genk/nzh5h7ZB10CVtw0UFdHKdX0GV5Tyu&#10;WvbhjuUHKMK5bTXOm3nQMAf1r/Nx6cZ0LFqaiIBAExfOHeU6p0Gdlm0/KycSZWXjWec9lwvn9Cnq&#10;3CUSieRLprnW2oWqqZg6LfYvN7qof3U1+MQBObkZfv56pKTHIS4nD37jN8I0+TB6ZVSiezI50/8u&#10;frWFnuml6Ju2D7qgWC7qidr1ebRcPBuctIkLdqL9uDskPvKI+4BQq0VjOj8UV+0dl8uFTNH23QmK&#10;5R42nJz41tc/p4UW6vBMdp1QjXzx9t2JtgnoEU3bsaeAXswXOPQYfZS7vgem7OCO8kGJa/nnwJSd&#10;6JNRwn/DZiGdxO7eGcXwHLGYl3CwLpZfEc9JdB+csJr1UfS7trAwgvVbtK9v55JoUcH4dISuRCKR&#10;SCQt4VFUga/XH4Y6e5JSIsTQymeXUQsfNt72HD8dXTe3nILy1fpifLOpFBebXOiiSbBmgP9wAX3Q&#10;kIHifToAEtAHx89E94mnhRPVko/p0hTfXnKmkNeTFYkTtkDu8zO1+XhcL+PbWwu50fmc5rO5OHg4&#10;BympoXzhe3u8s5MRSs32nZUdgbPnpuD1T/NlpLtEIvkLvqimsQC115X+XvQccBbHq5Qo95mbNuKb&#10;nHJ0Gyt+3rkqnbNKYZx9jJ3Xh60qkfM+wI/Yv3ejU9N+CJqj1ejUmD1rAmuDjHGXtA0XE9BJOL+E&#10;KksVLlsO4bZlWZPb3PYa5808eZ6HRw252HsoCynpNMjTQmdwzI3b7DonF+Wmogzcf5SHH/8zX66I&#10;lEgkklZAL+WWhgJs3Zb5lxvdUQudHAIbqNHg0MeswqiRAUgcPQaJ0+Yjcd4uaMaX45uUUnyXVsIj&#10;3nuSMCUSrD4D/05GOdTRU2A2Ua1j284PiYHqmGnoTS7WDPd2V7dETxKN4wtgNtMErXXniQRJg38I&#10;BqRsZ9vqALXhMyvgHTXReie+SQuT2QBVXG6HWWjhGgI6Ra+XgpdOYJ9DEjewazUfmvBMGIPjYAoM&#10;h9nPj38ag+OhjsjmceqUFvE9u67pO6q4Obw0gU3iefBwDEwq4qK8uH2MVEbGEXxXUIIum5oQCBYS&#10;iUQikbQWEtG7byqF98SZMPsaYDKwsazwefUBXETXwmvcNHzDnkciEZ3i4v+57gjSy07jz9+ftuiU&#10;evu2Hr/+Uo8FC2ZjqNdQ8f7sDRuv+7Bx++BRBeg+8aRwklryd7ozuo0tR9bKbThZlcedhCJxwlrI&#10;eU5cvpUv3ec2QKagH/87H7fuzsHCRYkICDJzA5Gzy7DR/rzUakRE+mPX7jF49pJc8lJEl0gkCrQ4&#10;6v5jpRb6sXaOcqcFYCWn58Mv7wCPchc981wVEvy/zinFxpJLXIwWjataglzojZbLSEyKh5fK+kTI&#10;tqDRqRAbG4H6p5dZOxqE7ZNIWoOLCOiKcE7/rrOU4ZZlFRe9H1hmfCSEW8vDxlw8fZGHuuvTUVA4&#10;Er7+zTFD4purLZDAo9ZRLVkDcnOHo6pmGt78Zz6eywGcRCKRWAX1m69/nI8LVdMwbVoc9AYl1cPZ&#10;EXFtgZ4zWvZM0Ou9EBdtQFJKDLKnjMOM5csRn7cfQ7OL0Wc01UovxbcpxVa508kNPThhHUy+/rxG&#10;t2j/n4W+FxSDASk7O4wo+iEkTvZL2w99WAo7XmsH6zqYzBpowzOazo97LzDowc7FgNTdMIaMgNFk&#10;bf1zDYy+vhiatIGfU9H23Y32EtDJPa7EohMlGJi8lYvgGnaNmgJCYGbXHJUN4PcnieKUFECf7L9N&#10;rK1Ug1zDrskhiWuhiZ7UVL7BSvGcHQPdEwNSdvCEBlE7OalH0JvE87nF6LK5BJ2leC6RSCQSO0Hi&#10;d/dNZRg6awHM/j4wGVo5niURnaHOzMZ36w7Co+hjEf2f69gYu6gMVQ9vtTjRS3GeP76+hSmTsp0X&#10;K8qe6ZRsNDhxIbpPPCGcpJb8ne5jy/HtuFJsKl6G0zX2i28n8fxkdT7uP5G1z22msYDXH3/+ch6O&#10;nZiE0WMioNProNU7342u1mr5POwPS5J4pPvLHyn5U9BmiUTyxdHAqL2Rj4p2dqETZ2tzsWjXGnw3&#10;jo2B2PNN9NxzVTqNKUHUolN4+eqRVS70t3/SmOslli0tYH21yqlzuorjXYfdO9fyNojaJ5G0hnYX&#10;0Ek4v2CpQ63lJG5YNuKepaBJOLc9qr0ZEs4f1Odi/6EcJCQGQ6Nz3GCOBmwaRmJSCErKxvFoI1mH&#10;RyKRSGyH+k/qR582FKBoSyZi4wN4X9seL+VthdpMqx8DAzSIjvJBemYsFq2cgmlL1yB29i4Yph7B&#10;oOwydEssRfekYnxPrk+RoMUg8a1v2kHowlJhMlophDZj0vDYTM/h87lDW7SfjgAtNBiUsA5mXx9F&#10;iBSdixYhAV0P7+ELFbFTsH13gp+LxDXc0Wx9fLsG+sBI9KH65xkdwInPcLaATvdtT/Yb9GHf6Zuy&#10;G54jF/N72OgXwCfTzXQvcyH8My+U7LfgbnNyptPf0uIG0d+JYL+7iaGLyEL/1D3sHHwsnvdIO8IX&#10;9HzH+qGeY9i/FxVL57lEIpFIHELnTeXoWlSOIXMWwxgcCJMVce5mvQqatNFcRO+0pfLv22X8Y80R&#10;zDh5Hn/+qUzefjgRRgL6T2/uYNrUsc4V0H3NGJyyFN0nHBdOUEv+TteccgTmHUDJafvGt5OAXn01&#10;nwsrovdQSeuh2HSKTyfhevWaVAQF+3DTkrMT5CjSnUpojh8fhYtV0/DmZxnpLpFIqPREAe49LuCL&#10;pqjvFz0TnMUJ9hyrODcXkfP2wiPbvVzoXceW4pvsMuw8foWNoaxzc5ML/eb10wgNC+Sx6qI+3FF4&#10;qoZhxozxrB3PPmqXRNJa2lFAJ9f5ZVRbzuKaZQfuWubjvp3i2h825KL+VT5qrk5DwfxR8PUzctHF&#10;EatcaFDo6a1GeIQvlq9Ixr37uTx+mGr5ijpuiUQikVgH9acvXxfi2o1ZmD1nOHx8DeylXO2QJBFH&#10;Q88MrZ4i1zXw9dUiIsKHDebisXzNFExfshIZS3chYm4xBo0pQ5dRTWL635zp5F4th2d8IRc1Pyu2&#10;tQDFN+tCk9Av/VCHEUQ/ppjXh1ZHT+Oip+g8fBISmf2D0Dd1Nxc/xftwH0i8HTJ8PszcfW7ddcMF&#10;9IjR6J1+GD07QpQ9w1kCOl07FJHeP+0ABiWsgSZ6MowBYWxb5AQnMZz6A2vvY/b31t7/7O/J3a6J&#10;moi+/L4v5aUgvk0txtfJxeiSUAKPkaytSSXQjT0E87SD+P6HYnTeXCLFc4lEIpE4jM6bStF5y1H0&#10;WbgeptAQmHWtXBzKnp2KiD4GPVft5rHw72/3H+uK4bWtHDcst4UTvTxStP4KsrJS4K2xcUGqtdCz&#10;2D8QA9PXovuEY8IJasnf+SqrAhPXF+FkFdWQtY+AfrTp886DfGl4sSPPX83jc6HHjk/C+AlR0Bp0&#10;oAQ54b3gIHgqKNtndEwAikvH8TkEOTcrkUgoyr2GaqG3s4BOnK2dg3WHl6PHeEpZET/7XJV/ZhZj&#10;1LIz+OnHx1a50Kn++Fv2OWnCaG4sEvXfjkKt9UZMTDhuXD3Jxn7Phe2TSD5HuwjozXHtVyyHcMey&#10;1G51zonHz/LwqDEPew8qrnNH1c4l4YbHCRv1mDI1FmfOTcHrHwv5oFHUWUskEonEdmhyg17Iqd7a&#10;wUM5SM8IZ/27e7rRCQNh0rHnEznT1exZokFykj9+WDQC85dMwvy1i5G/ZStGzj+EQaNL0S2pFN9Q&#10;zHt6GQYlb4UxIFwR3j7Ybmsg96rJzxeDE9Z+Or7ZzSGBsF/qLkWstOFc0XnSRo5VRGM3X2RAojeJ&#10;pjp2PNZH/itCr3f8PPTuAAsJmnGsgF7M7q0yXnN+YMoODIvLhz4smbvOeDw7vx7tPzZtCepfDGYT&#10;hkTPxvcpR9AtuYwL5t0TS6DJPoKwGQeQvngX5hRtxrbi1dhZvh6xO/fz2HaP98QIiUQikUgcQeeN&#10;pfDYqojoxugomMmJ3prFZSSiG1QwDB+BXsu2waPonRNdcaEfxoqqGvz5h+UjFzrwAvfvXsCokTGg&#10;SFHh9u0NF9ADMDB9jRTQWwEJCz3Hl2Ht4WU4V2ff+PZzdQV40iDj2+1Nc4KchZ3bjZsyEBHp57AS&#10;mp9Co9PAx8+INWtS8dSSjxdv5DytRPIlo9RCV0p3tLeITmkqx8/PRcKSHfjXmErh889VoVro3+WU&#10;oaTqunBxYksoMe6NKCvZAa2ezFBOnAth+1JrvLFz5xrWhtfC9kkkn8PJAnodp9ZyDDcs67jgbY86&#10;5wS5zimyvfbqdBTMGwE/fxMXz0U3T1uhaCBytMfGBWDrttF4Ul+A1z/JuHaJRCJxNBS/RHFst+7M&#10;xoqVKQgN8+X9sc7gvAGYI6BJBY1Oi2FeKl53Oz3VF3Nmx+CHpeOxYfd8LN+7CemL9kE/sRjaiBy0&#10;KupZCImhamijxjfFkrt3Xe+WUepMe45YxGPYrT9XFN+uxaBRK7gIKt6H+0A13Pul7IQpMIpdO1Yu&#10;OqG/9zFhQOJGtp2Os+DC3gJ6c21zojf776EJq6Fm95khMBJmU1Ndc2vPvR3Q6Vn/aDTBKy4f5kkl&#10;iM8/gCmrd2Dl/g3Ye3IFTlUvQ921H/Do8QL8/vMcHnWZXb4dX20oRacNH4scEolEIpE4is5bKtFj&#10;+Q7o44dzd3lrRXSTzrtJRN8Oj/fi3P9vXTECdx9Fw+sH+LAWOgnoD+5dRMKoWKcJ6CYjG78HRaD/&#10;mO3oPv6ocHJa8o5OWRUIKdiPIycX4JQd65+TeHLjrnSfO5Lnr5SSlheqpmLsuCj+nuvshe+0P4p0&#10;nzNnOJ87kHO2EsmXDd3/NdfaP8adOFuXy13oAyaVokuO+9RC/5bxj8wSjF5zDj//5zEbS1nhQscz&#10;PGu8hvj4SC6ii/ptRzHMeygmTcrGm1d3gbeNwvZJJJ/CSQI6xbVfQrXlPK5ZduKeZZ7d6pwTJJw/&#10;aszF/iPZSEgK4WKKIwZnfNUK2zbFB+fmjsDV6zPx4vU86TqXSCQSJ0Nu9Bes7z13YSomToqBycfg&#10;sMQRZ0PPGjoWiqkPDNRh1EgTxo+NwIqVWZi7aCz8A324c1303c9CwntgJPqn7ORCX7P41/EoRm8G&#10;xdTb5NSnyPegWPRL2cXFZ/E+3Ac6hsEJa9ix0f1h5T1C5y8ouulcSAf6hwI6ufv5wgJ2bvql7uaL&#10;NnShibxGuZnuN6ptbvUCDvug0WoQHOqHFesm4/zVpbh6dxFuP1iAJ5ZCvHpZgJ9/ysWbH3Px8nUe&#10;fvpxDu4+mY/UQ7vwz3VlUjyXSCQSSbvgseUovicRfTiJ6Ow52prFZ80ienyTE33rUbatUu5C/2rd&#10;EZTeucYneSk+tHkijAT0h/erkJgQ50QBXQVDCBtfZu9F9/Hu5TprD/49+ihy1hfhXE0ejgsECFsg&#10;4eRkTQEePlUciaL3TIl9ILHq9c+FePg4D8tXpCAk1Mfp7+s6g5bd3xqkpobh9JnJePlGRrpLJF8q&#10;1CeRC/14VfuL6NSGM9X5yFyxDZ2zKvG14BnoqpALve/4clTfohI5f1+c+Ckoxv3P359i9cr58FJZ&#10;NwfTVrQGDYKD/XH1ynHW5lfC9kkkn8LhAjoJ5xcstbhkKW2Ka5/FEQnh1vKgfg4a3+Tjyq0ZWLgk&#10;gUf0kMCtb81KZSshQV6l1iAxOQSlZePZYFup70NxwqKOWSKRSCSOpfHFXL6IydJYgL37spGSGspX&#10;t6sZon7cHaEJBmXFvgY+vjr4+2thslmM08Fs0sJreCF6cVG4o7rPj/D47CGJ62H081cWDQjPR8uY&#10;jN5QRU9Hb7YdchaL9uE+UC34EmhiZzQtJrDy+mHngqLs+/Ao+45zzbRVQKfrgrbRh53bgUlboIqd&#10;zV1llHig1DW34VzbEZqgDA3zQ3HpeLz+aT5evS7gQvmLV/l49oJcV/m8H7UwXr/KxZ3H85F6eBf+&#10;ReL5B2KGRCKRSCTOhFzk363cDX1yGkw8zr2VIjq51mPj0HvhBnTacpRHw1Mt9PSSU/j9tyd/q9cJ&#10;vMSdW2cRFxfBxtrWjxVtQRHQY9Ave48U0D9D15xyDJxUijUHV+Js3RyhAGELlefzUXuDjYHY+6N0&#10;IzsHbjp6OQ8nT0/GmKwIPmdL77eie8QRNBuhIqL8sHt3Fhqfz+UOeVFbJRJJx4X6fJo7vHilwCVc&#10;6Gdq52BryVIMnVqMztnu40Insd8jqxQzt1wEKJr97cdiY0uQeF1bUwGzjwE6W01BNjLMexj27F6H&#10;t38+w1sr6rdLJIQDBXRynV9GjeUUblg24b4ll0G1zu3jOn/8LBePn+eh9Og4pGWE8YlCR0T4Uqyu&#10;N9t2YJAPli5NwvWbs3h8MAk3og5ZIpFIJM6F+mOKiLv/IBer1qQiktdaU3cIN/r70OKwtiwQMxi8&#10;oQ5JQ++0g+iRXoqeAlGxo0COYHXUhP8/e+/9FlWW9fHOv3Kf5973nemZ1u7W7pnud/JMt5JDkXNS&#10;QAmKSE6CZCiiOWfMOZIRjCBBEHMWkAxqd09ov3evXZRN45EgBRSwfvg8ZYBzTp2zz957re8Kmgzg&#10;sd4zSxNY2drjW//t+HoGlG/XBEqch7mL/0dl41upjPCt71p8E1I+5LjTm/EI6CYOXvhTcJEcIyae&#10;0VDZu8h/n2rRXIuRiTEWLbZHcWnswJ5Vee4ktOL58nPHNeL5nmJFMYNhGIZhJpNP95fhq11nYRoc&#10;NiCij259JRFd5eKMP+XtlCL673YX4o/7i3G/4xEGlxolJ259Xals/UdZqkrH0jUkoFs6e+GvEcdZ&#10;QB+B34WXwzbrNEqu5sl+sUriw1ipEFTVqvHomaYtmNK+iJkYtNnoj59lYP2GQPnekait9J5MFCTa&#10;W1tbYNv2IHlNJOwPvU6GYWY2VHnkoVgDlNaIqeBKfSaCNx/B5xFl0yoL/bOIYhgkVuBJ65Nf7K1G&#10;gvqg9/feR2xsKBZOchY6VRuKjQ7Bqz7KnOcy7szYmAABvUFAvc7r0dR2Dg/b1uJpWxJ0JZxT1nlb&#10;jxp3H6cif50/7B2sZGY4RRUqvSAfCwnnlHVOonx4hAcqLsah71Ueb7IYhmH0FJqfqSxbXUMiMrOW&#10;wtrGUhrK070/ui6wsDSGvbMjTFfuxh9CKvCHoCJ8tbwQXy0rxO/F5x+CLuCbFcpC43Tj65XF+HvQ&#10;MVg4LoIlOSoV7sdwUPY5lX7/c/A5WZ5b6RzTCSq7/rflR2Fhaz8g8Cp/b0VUprCys8c/AnaJ+zoT&#10;ggl+5mMFdEsrU5iLe2niFgIrW1sxXqi3+dgDEyYCGfRJ1ZICnXHlWgL63wzf67GvNxOPBsTzX3PZ&#10;doZhGEbPmCNF9DNSRJfl3EeZraSyMIKVq5MU0X9Lmehifdt1o146ed/+pHGEabOg7OytJk1At7Iw&#10;gLGbP34fQxlc0yfbbLKZH1UixYTQbQdxXYfZ52XVatQ0qdHWrrwvYiaeLspG781BWUUs/AKcYTzJ&#10;Jd3JN0Dny8/3x/MWNbfjZJhZBtnGrWINqLmVJSuSKK0Vk8nl+gwcLtmAfyYUysorSmuiPkJl3L+I&#10;KMam0w2/2FuNBP0c0IeDB7bJMu4WCvP0RGFuaSL2fNZ49LBaXEOX4vUxzIfQsYBOwnkjGtoqca9t&#10;l0bwllnnymL4WHnRmSm5eDUOoRHuMDXTlLZVejHGg5nYUFH2jqubDfbsDcaTZxnoe53LWecMwzB6&#10;Dm2IKeOSHCNVl1chNs4LVjYWMsJ9tgrpFGBmZm6KlLSluN6Uj1MXt2L9kUOI3nIa9innsDDmAv4S&#10;UojfBxbhi4AizAsslOL619NUUCdhdIFPNqysaH8wxmdOgrH4NPTJFMeZGRnXJKAbLsmDytpSfj/F&#10;7/0BSBw2d/bHX1ecEseZ/sEEg/l4AZ0wG5RxrvT/kw+J57LVUKAzam6slvPgsOJ5TyYaH6+F3xlt&#10;5rmyeMEwDMMwUwmJ6L/feRqmKyNkmxSqFKS0Dg5FZqK7OuOPeTvx/xWUw/FsFX781wvgJ02m1NQI&#10;6Aux0H0Fvoi7pOiQZjSQiPCnuCJsObkNVxoyFEWHsULZ5xdr1LjzkLPPpxryq74S+9TmOynIyPSV&#10;e1hqwUafSu+NrqFEKfIj79gRJK+F/bzMUCgxg2wpoucVawEzjU6xBtx9rB9l3CtrM2VllNAth/FZ&#10;ROm0ykL/XWgRnPIuob9f7K3GUBId6MadW1Xw9HSVWeFK8/REQH5Ratlz+OA2sRd8yWXcmTGhMwGd&#10;ep3XttWiue0UHrXlDfQ5102vc6KtV42HLWnYuXeFFLZlr/MJiFQ0MtWUgo+K9sDVqwmafj2cdc4w&#10;DDOt6OzJFsZODlpfZuHChRisXOkGczG3y9LuOq5YMh2gyE47e0ssC7RHZro3Dh8KRdWVeFyrTUP5&#10;lfU4XLIfmQeOIXDdSTimnYVR1Hl8s6wIc5cWY67/gKgepP+iOonFfwk+DXOXZTKTXOleDIvKGBb2&#10;rvhb0DF5LKVzTDeonL3Mlpa94Mc29q0sDbDQMwFfh15UPPZ0ZnwCuv5ham4G/wAn3KhNlC0thhPP&#10;+3syUPdoHZyOn8ZvWDxnGIZh9Jw5BWWYv7cQBrHJYj9jOmYR/auc7fjj0SrceHoPwEvpCJsqAd3A&#10;PQjz4qoUndGMhrkRZTBNPYviK7mo0lX59ho1rjSo8byNe5/rA/QMyNdK/ciPHguDu4edrKKk68qi&#10;H4IEdEdnK1TfWM1Z6Mw7aFz29Ofg/sM0VF6ORdWVODQ0JslxSpUOlX6HmX7Qc255mYXrjWqU64GI&#10;fqU+A4dKNuAf8UX4Imr6ZKF/HlmM30eV4MSlW2JP1f6e4PghSGzH23YkJcdgoeHk+WLIJ0oCekx0&#10;yMA1aPaDDDMadCCgU6/zRtS3XRrIOqdS7boTzp+1Z+BlrxrV9QlYtdpLGDeazY7SyzAeaKNGGzav&#10;RXbYuy9YlvOhhZM31wzDMNMXihYmMenh4wzsPxiCFcGuMDPXVC+ZrCh3fYGCzijiXkbdm1IvSVMs&#10;XeqARLG27t4TiMLCUFy5Ei8MxTxU1e7CwdL9yDh4CKGbj8Ml9QyMIi7g62VFmONXjC8CizCfyr8P&#10;iOpU/p16qk91X/VvVpbhW/+tUFlbjDnbmqAe4SYeUfi/lSWKx59uUAn6vwUdh7mD+9gDCigb38Ya&#10;C5auw9chpYrHn45ox+kfVs4cAZ0CP61tLXHiRISsmKQ0F2rp781E3cN1cDymEc/nKAgVDMMwDKNv&#10;zCkoxbx9xTCIS5EiumrU5dzFntfVGX/I2ob8+p+dvCyg6yeUfTcvsgzLNhyVvc8ra5UFh7FCAnrD&#10;XU3/W6X9ETM1dPRky73rlasJiIrylDb6ZFSNI/8v2cS5eX5SQGe/LyPF81e5qK5JRGiou6zsZWJq&#10;Cs9F9li/PgB37qWNWOGLmT50iud464FmbVBaMyaTKspCv5GF8G2HMCe8/L11UZ/5JKQIITuv4fvv&#10;W8aU0Q304NjhHbAUc/Fk7cEIEtA9PF3Q+oJKz3MfdGb0jFNAv4matgY0tZ3Fo7Y1A+XaddPrnKBy&#10;7U9fZuDwsTAs9rGHgaGxzgUPOh5t0ihzJynZBw03k9AnFs2uXi7RwjAMM1Po7MlB//d5ePAoHQX7&#10;V8JLGEJUyYQM58mKdNc3tI4DQxMTLDAwkhn67h62WLnSGdnZi7C/wB9lxRGouZ6Km3c24HL9Npy9&#10;ug0bTxUgfsdxLMs7DfOYC/hmhabk+1BIXP/DIIFdSczUJVRi/E/B52DmHgLLj8o+N4XK2grfBuye&#10;MdnnX4eUYeHS9VIIH2u5cZWlESwcPPD35UfxTfD0uB9SHBdjjcYcQeOPxiH1+R86PucHXcRC15kj&#10;oNs7qHDx4qphs2ikeP5II57/eieL5wzDMMz0Ys6+kgERnTLRxf59tJnoFkb41t4BKwoO4/ufukD9&#10;OllA10/mRZXiK/G5/vgOXNZh9nml+Hz8XM3ilx5Cz4R8sI+fZmDd+gBY21gKO52y0ZXfI11BAmnQ&#10;Cmfp+23vYv/vbKdT2FDUBmupnxMWGmm0B61eYGCkaZNVWhqDbvFzVO1Q6RjM9IHmnedtlP2tH1no&#10;1xrScaBoI75LEPudadQL/bPIYvwlphTXmu+LfdUYstDRgWdP67BosduklnE3Gwi+PHxom7gG7oPO&#10;jJ6PFNAbBDdR33YNd9v24nFbhk57nVPWeVuPGjfvJCMze4ncQBmZ6L7PJBlKJKB4LrLDoUOheNGq&#10;Rv8bLsvCMAwzU6Gy7l3C6KGea9t3BokNm50UnzRG+uwU0rVQafvBgrqJmRnsHVVY7G2L0DAH5GQv&#10;wuGDgSi+EImbTRlovpeL6zfX4GL9Bhy/uAfrjx3F6h3HsSjjDExXncXfws7jLyEX8H8rCvGH5YWY&#10;F6DpsU6Z6xqBXSNy6ipr/ZuVJfhH4D6obEksHrsjVEXl25398KcVZ6UYr3SO6QaVKTfwiofVRwQU&#10;UI9vE9cV+D89yj6nsaIRxi/IMfQlCeFiPNHY+ty/CF8GFuEPy8SzE2PuT8GF+GvoBfxDjMNvI8/C&#10;LPYMFqedRPi6Y0jeeQQ7zh1FcGQgjI0/IthCz6D31tHJCrV1SYoCOjkIBpdt//WuEsxVECYYhmEY&#10;Rt95l4muLeduMTo/kbmZIaxdnFB6uRBAn4QFdP3ji8hS/HN1Ic5cysflOh31P69Ro6YpC20dmj3R&#10;0H0Sox909+fI6nGnTkcKG91e+oAnom2nFvIFky+g+XYqJ1DNcmhe6H2di8xMX8XEPfq7gZExHByt&#10;cOhwqAy44DEz/aHnfvOufvRCpz7oV2ozEbL1EOaGl0+rXui/XlmEnBP1ePtvKos+uix0Kp9OpKXG&#10;wsTMaFJ9sYbGC5GcHCv2gd14+xP3QWdGx5gF9BqZdX4TjW2FeNS2fkA4113Jdso6J/G8sDwagcud&#10;pagxESV86Li0GYtPWIybTcmyxC8vgAzDMDMfaSDJOT8H9x6kYvPWZfDxdZAlushQp944SuvGbIM2&#10;sdpAM2pxYjpQ9t7GzgIurpYICnJEcqIndm73R3lZNKprEtDQmIrb99S49zgHNc07UXStADvPHELm&#10;viNYtvYYnNNOwDL+LAyjzuPvKwvxf8uL8LlfMeYsLZYCKPVa/5IEdspeX6EsoipTKLPGTTxjoLIi&#10;R+pY9w1msBK/t2DJuplTvl0YMn8LOglz56Uf0Q/eTNxHcxh5p8vABKXj6xpZVj3ogswY1wrjFHBB&#10;42KuGCOfLinGfP9i/N+yIvxVjJ2FERdgHH0OVgln4Jh6Cm7qYwheewRJ2w5h7aED2H5yH05X7MTF&#10;mi24/WgNHr/IxbOWHLS8zEFvfx7++991SE1bLINFlO/B9IEyI3yXOIjvl/leRgTNd33dmah9uJ7F&#10;c4ZhGGZGMFhEt6ZsolFmohubGmLRIlfU1ZYC+DduNpSzgK5nfB5ZCu81J1B2PVuWcFcSGsYKiSN3&#10;H4s90aD9EaOf0D6WWmlW30hEVJSHDOimQFGl92m8kI1LLTypCmmXQgAqM3ugwA0KsKGKBCSUK40X&#10;gnQElZUFNm9ZJsYqZ6JPd8hOfvIiS7YK0QcR/epAFvqC1YWYGzF9stDnRhTDPOUinrQ8EXur0fUV&#10;J+GastDLio/KRJ6JDJYaiqGxAfz8FqPlOZVx71S8PoYZypgEdOp1Xtt2A7fbjuBxmxpPdJh1TrR2&#10;q/HweTq2714OOweVFDN0HYVCLyUtiBTRePhoKFpfcq9zhmGY2Yg2cpj6rjXfTcXWbcukCGVoZCKN&#10;o6GRx7Mduh+0hhLkyBiKlbUZfH3tERfniZwsXxw7FozConBcuRKL5uYktLWm4dWbtbj3ZBsu1+/E&#10;iYq92H56H9L3FyBi6yH45x2HW9ppWK06h4VhF/DnoEIprFPPdRJRSUyVAvvyAYFdIHuvyyz2Ivx1&#10;+TFY2LvITHKl6x8WS2OoHNzFMQ7jm5Uzo983lW//h/92WNnajD0jn7Lxbe3wj2UHZGCC0vEHI0un&#10;axmoKvDu2QhIFKdn9i5jXDzHz8Xz/GyQOP6F+Px7cCEWhF6AZew52CWchWfGKfjlnkDo5sOI270f&#10;ajFWthzbi4Lzu3Chagcqrm9Fw+2NePo8H719mejuVWvoUUD8+6s3OXjzYy4aGhOxr2AFFi+2k+Kz&#10;4j2YRtB3yMhcipcdGgfQz3OcGv09mSi8tQWqI2fxCYvnDMMwzAxBW87dMFbTE30sIrrXIhfcu3MF&#10;9+9dYwFdz5gTXoaUgr24XKtGZe34BfQKwZUGKtXL/c+nC+Sb7enPxeNnGVi7LgA2tpqS7krv1Hig&#10;Eu7Lg5ykP4BLuM9uuvpy0NCQDG8favM3/Fgju8vK2kLYkiuliD7Y9mKmFzTXUOBEzS39yEK/KNa8&#10;K/WZCNp0BF9ElGGewhqpj1C2/O9Ci3Cg/BbwUxve/qQsQA6FxOvurrvw9HKBqbnu5/gPQWXcLSzN&#10;cO5MgbiGfsVrY5ihjFJAb0BNWxMa2ipxv20bnsqMc91lnVPJ9vY+Na7XJyAufpHMcqOe5EoDfTyQ&#10;g596vCYmLcaNukS8+j6PFzuGYRhGGk20JjQ2JaFgfzCCglzlOkQG0mRGQ05HSFjXiuu0zpLRaWBs&#10;LDN76e/OLjbw93dCZJQH8tcswY6dATh7NhSXL0Xh8cNE/PvHTPzwfQ5aX67F3UcbhQGzBeXV23D2&#10;0nbsK9uBjaf3Inn3YURvOYaAnFNwTToDVfQ5GISdx1fLijA/sBBfBVfA0Gu1zCIfe/a5pt/3wkXJ&#10;Mtv6m+BCRZF4OkEC9v+FlMDAO/0jy7cbw9TJTwYp/GFFkeZTQL3EtQzuJ/6OZZoKAlrmi+dDz8gw&#10;/DysY8/BcfVZ+GWfFM/xJOK2HRHP9RDyjhRgZ+F27C3ajrOVW1F0eQuu1G1CTeNG3HmwDk+f5QvD&#10;Khs/fp+ON28y8Op1BvpfZaC3PxM9fZno6s1EZ7emp+Vg6L2mT8oM6BbvN3HlWgLWrPPHYm97GUxJ&#10;DnOVtfI9mC5o56fyilhZ+lI7p3V0qWXmOYnn/zhwAf/D4jnDMAwzw5hTMNATXZZzF+vhQG/LkTAy&#10;MURAgA/27FoLV1eHdz0xJxoW0IdnXnQpvhGfuws34nqDbsq3l1Wr0XhX7BMH9kfM9IH27iRQnj4d&#10;gcWLSdgku1z53Ro7Gjs/JdVH2gpa22E2Qb5w+u4UQNDVq2lzR38nZpufvKNbfHZkY8VKFxgajxyM&#10;T2PRzk6FCxeihT1KCXmsK0xX6N2//yQLF/VBQBdcrs/Avgub8Me4IlmRRWmt1EfmhhfDe80V/PjD&#10;CwCjLOOOdvHzT5GZkSD3ZUrv2kTx3cJvsWG9WlwDl3FnRscoBPSbkqa283jUlo+nbcl40pb2ngj+&#10;sbR0ZeJZeyZOnRebIh97WSZW12KFmTgeHdfdww5Hj4fJCCMq36s0eTIMwzCzF1ob+l7n4cHDNBw5&#10;GoYVwa4ywpiMpJmQqTrZUBWZd6K6kTEWLDSCsYkpbGxVcHaxlqXzg4KdEb/aC/n5S7F//woUFYbj&#10;zu14dHWl4lV/Knq6M9H2MgcttAd5sQ4Pn21A88ONqL+3EVeaN6Kkbgdydm+Go5szzMw/IvtcZQxz&#10;ayf8eek+fBlUIUVgynYfDIn0vxSGNZ+DBeX3kOKzpme3rqC+8SRUDz3XV8vp389Lvlx2DvPEtX0T&#10;eAKWzn7i+421RLnYg6lMYOyVjL+EFuKvIRdkL/u/h53HPyPO4e/h52AWcwaLU0/KnuKB2SeQsPUI&#10;ErYdQdruw9h1Zi92nt6HU1XbUFG/QVLdtB71t9eh8d5a3H+8Bg+frEFrWy7a23PQ25MlxfHvB8Rx&#10;oq8/YyCjnEqSkziuVnxfPwQ5fai6EDmAnrdmorg4RoyxxXBxsxHjUFNhQvm7Tz/IyZOwepF4P9TS&#10;8SW/f1cW+gYyz/958Lws264kPDAMwzDMdEdTzr1okIg+ujWesp0cHGzg6Ggr96tKP6NrWEAfnjkR&#10;ZXDIPIOzlfm4Uj9+AZ0yCqk076NnAwLZkP0io/90iL18j7DPa2oTERLiJquU6qLFJx3DysYCFRVx&#10;7/bPswUSDCk4gf5MdtL9h2koK4vD5cvxsh3Uc0F7Z7b0i5AtNfT3ZyJ0Px49yYB/gKNs6ac0ZoZi&#10;LH5uyVJH3LmfKu1OpeMy+g+9Dy9eZuHaTf0o466tvLJk3TF8FlE6bXqhfxFZjD/GluLqrftSQH+r&#10;IEC+x08konfjUtUZ8T4ZTtpejDA0MUBwcADaWxvFNXAZd2ZkhhXQKeucSrbfaTskxW5N5rmyED5W&#10;nr5MR1tPJm4/TEHeWn/Y2mnK8ui6ZC4dk7LOqX/O1esJcvNFmYZKEyfDMAzD0CaajKAuYUw/e5GJ&#10;wsIYmT3t4GglRWC5VimsN8zo0PRW/6WwTgEK9G/UU8xG7Accnazg5mGDZUEuiIn1RF6+H/btXYGi&#10;4gjcbFqFO3cT8PBhElpbUtDXp8aB/cGwsPy4agHm5kbwXh6MhO3HsGrzEYRvOALH9BNwGsAx7QSs&#10;V5+G+aqzsHjHGZjEnMO34RcU+Y4+wy7gTysK8c2yItnrXRf8LaRQc+whfBdeLCjFd2FFMBWGi2p1&#10;FVQRB6GyVo25fDs9H3Io5W1fg3OX9qDoynZcuLQdV29uwt2neZL7z3Lx5IWGZy25sq94q6CtXbw3&#10;3VnoEu9Qr3gur15lSvr6M6UgThnjJIpLYbxbjQ6ZOT42cXw4KIOi/02edPqQM+PAoRCsCHaTY4rG&#10;mLHZzGrNQA4eN3dbXK9Zjd7XmsBQmr+obPuF5i34lsVzhmEYZhZAIvr8fUUwHIOITvsd80nKPNfC&#10;Avrw/DasHGHbD+BKXaZOyreXV6tR06RGS7tmfzR038hMD+jZ0T734eN0ZGUvlf5dE7GnV3rHRgvt&#10;oZNTvGVLz9kiEhMyyLgvF41NyVi/PlBWiXNxtZYtVO0dVcKuEPb3chds3LgMtQ2J4ney39kYM5VO&#10;YT92ducgO2epTJgYra1IP0f2ZVa2n/j92Ze1P5OgOebWfc2aobSWTDZXGjKw+/wm/F6si/OipkcW&#10;+ryoEnwWXozEghsaAX3UZdx78OhhNdzdnWBqMXlJDrT/s7VVofZGibiGPsVrY5jBfEBA15Zsr8K9&#10;tu3Q9DrXXdb5844MtPaocen6KoRFuMtFStd9p2gxo02Rq5sNdu8OxvMW7nXOMAzDjB5aL8igoohk&#10;MogqLsYhU+0LD087WdVkIoK+Zit0HzWOzJ/F9aGYmYt/F/9HThMnZ2t4+zgiLMwDCasXw9vXXv6M&#10;0rGHg37HURyrrDwOr7/Pkb2yu4ZA2bx3H65D7a1NqLu1UdLQvAGXarfgdMVOnBLQ51BOlu3EjpN7&#10;sOHIXmw6Oj42DhzjYOFunL049Fw7cKbiAIouX0fF9ftovv8YT549xYZNG8Q9M5L3Vem7fwjaky1f&#10;7opHT9LQ/1qMf3EPBvcR1/YY194fyhAnMXywIC5ReKcmAnpPaX/3/b/y8fhpBsor4rBufQAWezvI&#10;saTZY5rNuHeV9riOTtYoLI5Gb3+uvA9031/1cuY5wzAMM/uQInrB4HLuk+eIHS0soH8Ycr5/GVmG&#10;vGM7UNOYpigqjBXKJmx+QHtU5T0kM72gVkVtHdmy97S9g0ra4krv2UhQqzHKHCYReTZlDkvfRk8O&#10;zp2LwqJFmpL47+xsYStp7Sb6O/2frZ0Kefn+uHs/TfpDZqIvnSpTUL/9Y8fDZSD/WHUJul9UVa/6&#10;RqIM5FY6B6P/0Dh4/DwLl+rEuqGwlkw2l+oyUHI1Bx45J2VlFqU1Ux/5HSVzpF9Ey8tnUkRXEiGH&#10;grcdePPqCdJS47DA4DvF92yioPMdPLAVb3/qwNu3LxWvj2G0KAjoN1EjaGwrmrCS7U9fZmD/kRB4&#10;LbKTDsCxOndHQi74JqYIC3fXZJ2LBZEXM4ZhGOZjIYNRU949F9U1q7Ft+zIEBjpLo4mM95ko0OkT&#10;GoH9Z6Gd7jet9XT/jQbuv9LvDQcdi36f9govWrLw+gd6vjnoe6Whl+jPEXuIbPH3LElvvxa1+Lsa&#10;/a8yJX0DWdb0Sb25KduaPqlX9ysdoi1t/ksy0NOXju+/3ysMlccyiven/zxHWIg/TD6ipD1VBFi3&#10;PlBmcXf0KL8PUwm9ixTQQtki9E529ebg6tUE7NqzQlaKsLPXVIqg8THT3kn6PhRkQgE8np52GvH8&#10;dZ68L51davQITt3cxpnnDMMwzKzkXU/0uBRYUUuaSc4wH4mfBfRL7zmeZztzI8pglHQBh4o3yuw7&#10;JVFhLJTXUBafGs9bJy+ok5l4ZEn3/lwUFcfAx1dTbnu0Fci0e2gfHwdcurxqxorCH6LvTS7OX4iC&#10;ta3lgB9e+T4R9H8kJlOrqMBlzqitTZT3fabdL/pO164lwNPLTlYqU7oXw0H3SWahZy1Bv7i/Sudg&#10;pgfU6vdGsxplepKFfk2sg2uPb8f8yFLMi54eWeifR5bgK8HBslug/uZKIqQSQD9On9kn3qWxJ3+M&#10;BzpfdPRK9PXcE9fQoXhtDKPlFwJ6TVsjattq0dx2Ak/asvBUZp4rC+FjhUq2t3ZnovlBCtKzfKGy&#10;tpD9a5QG8cdiLl40EjIcHFXYunW57GFCvWxn06aIYRiGmThoPSERnUqf3bmbivNF0YiPXySj4MnI&#10;JAPqY8RcZupwcbVB8EoXhEe6IS7BC+mZvli7LgD79oVgr6CkJBYXL67C7bspeNGWKXvFtbxUS8jQ&#10;eilo79IIugQZ4iTsUssYymogyEFDgXwE/QwJwLLMm872J3Qt6ejtPyg2/y9w7/Z12dNzrGWwNFUA&#10;zFFUEi1LoSufa/Khe0X3kO4p/Znu++07KdhXEIK4VZ7w8LSV7x4J5zPx/aPvRN+PAj6o5VF8wmLU&#10;1K6W44zmJMr+7xafu2t24+uCIvxmd7GisMAwDMMwM505+6icezEMSUQnR6weZaKrLA1h4uqPr2OK&#10;MT96+mSVTQZUvt0t7zgqq7N1Ur6dss/r72hsN6W9JTN90drjdQ1JiIryhKm5xg9MtvhQUZhsG21G&#10;Ndk4MTGeaGhMmpFi8HCQzdDUnAzfJY7SXhp8j0aCMvb9A5xwo45E9JmTsU/f5f7DdAQHu8iAAqXv&#10;PhqMjKkXugOab6dy4t40hiqV3H308/oxdE2ZbK7UZ+D8pXzYq8/g0/Dps1/4zcoiBG65ijdvWvD2&#10;7Siz0NGNO82XsGixm5irjRTfs4nAzNIUTs52eP6sTl6D0rUxjJZ3Arqm33k17rbtAWWc67Lf+fNO&#10;Tcn2qmursDLUVToAde3glJloYlPkH+iMyktxMiOJnK1KEyPDMAzDjAcyuMnoImO0tT0L16sTkJvn&#10;L8vBUf9oMkypN9twkd2MfqDNRlhoaCyNZ9qjUJl4CvQjKDiC+t+7ulnD3dMWPr72CAl1R3i4O9LS&#10;fJGd44fNW5bjyJEwHD4UimvV8ahvTERDUxKa76Sg+W6KMM7T8Ohphgzsa3kpxhCJ7p2aft2vf8zH&#10;6x/y5J8JGaDxisRisY8RY0wrvFPGhdJY/BnqJZ6OH/51Etu2qsV30AQWKn3nD0Hfn/re3b6bOqUO&#10;Enq/aA9Hkfx0T9rEO/bgUTrqbybKtjzhER5w97AR12wx8Mx0X81oqqHvQ9/NwMhEzCmW8Fpsh9WJ&#10;i3GxapUMIKDnQ/dJm3m+q2Y3vtxbhP/lzHOGYRhmlkPl3GUm+rty7vqRia6yNIKF8yL8JeI57rR2&#10;AAD/9ElEQVQE5sWUv+d4nq3MF3weXobIHftRfTNdUUwYCyR+VNaq8fAZtRVS3msy0xt6rmSHP3uR&#10;iT17g+GzxAE2tpZSKCebboGBkYAqUpnJ/t6By52lrTYbW3vSd+3qzcEuYUMZiHujNDeNBN3TlSFu&#10;sl3WdBeJyY7StAPIQnzCIukHGI/PhrQIewcrnDsfJe14pXMy+g+9J8/bsmTlEn0Q0AlaD9MO7MG8&#10;iDJNm5Mha6c+MjeiGP+ML0PN7fsARlcWnX7uxx+eY1VcmJhrFii+ZxMB+VvMzE1QVXlaXEMn3v40&#10;OsGfmZ38anC/8wdtm6Hpd6478ZxKtj/ryMCRE6GyZLumZ6xunZy0SaJ+JdnZS3HnfqpctGRml8Kk&#10;yDAMwzC6hDKKu4RRSjx9nomjx8KwOnGR7JVO4hcZZaMtLcdMPWRA0z6FnhlBAX+U0SAD9cw00J8J&#10;6suu+f+ff55+nz4pU9hT7HsWedtjeZAroqK9EBnpJfYqfli7NgCbNi3DsRNhOHshAucLI3GxKg4V&#10;lXG4cjVeZlQQFMn+5GmmIAOtL7Pww7/XyF7fb37Mx6vv8yT9Atr3SN7kyOjpkFC3j4qkX2BojPy1&#10;/tD01J68fZQ2w5y+A323vld5uPcgDVeuJeD0uXDZfy9ohSusbSzf3XuC7rPS95juyKAAsbelLJGk&#10;FG8cPhKGu/fS3s019En3jTLPewQknn+1jzPPGYZhGEaLVkQ3ik6EFWWh64GIzgK6Mp9HleJPscVY&#10;d2wnrjboRkC/dlMtg5xng1AqBVKqdjWANshbVsAaoLM3e0beC9oT0/d8/CQDJ09FIm+Nn9g7L0ZC&#10;khcSxef6jQG4UBiN5y2Z8ue0e+jZBAneDx+nIzjEXdqxSnPTSJDNZWxqhm3bg2Rws9J5pgtdwpai&#10;z7w8f2FPaux3pe88Wuj3KXB9b8FKaZsPPR8zfaA5suFOlt4I6Ffq03GyfB3MUs/JNidK66c+8tuV&#10;Rdhwrh4//bcNb98qi5FDAXqxa+damJoZw0I1Ofs18vmZiPPl56bgv/9+AXAfdGYYfkVl2xvbSvBQ&#10;9jsn8VyH/c5lyfZU5IpNDGXPfOxi/SFosJMwQc7p02cjZDYXbYqUJkKGYRiGmUhow01CIPUX6+7L&#10;xdXrq7Fn3wqEhrlL4Y96iGlFP85MnxloxHYt9Fx/FtIJJfGdxFFDYiDrnTIk6M+29irY2qng4moL&#10;3yVOUjwNCnJFbKwXYmK8kJzijU1bArBhUwC2bl+GA4dCJMeOh6O4JBYlpbG4dj0Bp09FwtnFWp5T&#10;6Zo/BF0nXcP5wigpYtNY1tI+CPl3MdaVef9nB6MVgGmvpnXuSUdDRzZu1CVJB1fBgWDk5i+V742z&#10;i43mfon7YzIL3h36bvR9qQrAgYMrcbMxWbaLoMACund0j7XzjRTPBzLP50vxnDPPGYZhGGYw1BP9&#10;yz0XYBISCSsLY1hOklP2Q/wsoJ9kAX0QJAwsSDovhYJLdbop3978gCoz/dJWm67Q/m/wXlruo8Ue&#10;mvaHFEjb2ZODplspklvNKaiuScTFylVoFPtI+jt9UmAqlS2n6k60/6Z9uFZQ1h578D5zOkHXTd+D&#10;qneRuKsNMpaBxuL70nedzt9vvNBzb7qdDHtHlbSllOam0UC+jIBAZzTfSZ22fnf5/ghbdPvOoHeB&#10;8ErfdSxIu58F9BkBzRGPnmkqmOiLiE690MO3HcQXEaWyWovSGqpv/C6sCF55l9DZ9WwMWehdqK0p&#10;gbOLvRS1ld61icDEzAj+AT7417+ei2sYfd92Zvbxq1ttZ/C4LVun/c6ftWegrVeNS9dWITzSHaZm&#10;ulmYBiOzj8xMkZCwCHX1SXj1Q57cFClNggzDMAwzmdDmu/d1rizNTeW7L11ZhU2bl8HH10GWBdf0&#10;atMIqzNZEGRGB40BswHR3dSChHZNKXkjUxPZd44cFiS2f7vASEJ/pj5+ZKxbWVvCydlaYANPTzvZ&#10;013pHCNBov7yIBfcvZ8mxq+mzziVTqdPGs9SHJdo/kwOiKH8/DMaqFQ9/X5ruxqt4pPKLJJT7/yF&#10;aOw/EIo1a/2RkuqN0HBXePs4yFL59L2/W2gkhWSlXoYzFSq3Tz304lZ5SccUBTF8qMSktue5FM/3&#10;ajLPPx8iGjAMwzAMo8lE/2rnGZgGh029iG4pzu/ojr+GHsK8mApFx/NsgwSBzyLK4Jx9ElW1mVK4&#10;UBIRRguJHpW1WXjakoUOhT3UdIL21iRUdg1kzNKemvaIZ85GyUzgDPUSxCV4ITzSDUv9HCV+gkWL&#10;7eHmbitbi9Hfl4rPwGXOiIz2kFXScvP8sHtPMM6ei5J2qtzbi+PTeWjvSRnLSvtPZnpCz7Tq0iqN&#10;0DsOAV3aq+ZmMnnt9Q/5iufSZ6S92p2NgoIQWe5/rMHmH0LeV3MW0GcCNO/RPEsVTPRFQL9cn4HD&#10;Jevxt/hCfD5NstBlufnIYlTcvCcF9Lc/KQuSg6Hs73//+Bwrg/1hZGKo+K5NBKbmxrB3sMHtW5fE&#10;tXYoXhvDEL960pYJXZZsf9GZKcu2n74QITPDyQE6nkV6KJTdRcd0dLKWvW5aXqplBCVv8BiGYRh9&#10;hBwfFA3f0ZWNB4/SUFERJ8t4L/FzlD3ZSEgngZTEQqV1j2GGYiHQOkFIeJdBhQISnz/WGUD7KxqP&#10;i7ztpJMtItIDYRHuiI9fLPv75+UHIC8vADm5/ti0SdPz/fjxcBw7Fi4/9+8PQf6aAPGzmp8jEhN9&#10;NMcJd4fPUgd4LrKFi6u17CtPlYnICUOisYGRsWzxowko0W3A5XSAniNl2cfHL8LDR+ky+OblB/a1&#10;1PO8W7CzZg++pMzzXSyeMwzDMMxwzNlfphHRV2hF9Cnaa6hMYGXngL8H78S82IuKjufZxvwoohTR&#10;Ow7icn0mKhUEhLFQVqNG3e2fA0CV9lL6DgmelF1OJejv3EtFYWE01OqlWLbcGW4eNrCzV0kxk2xI&#10;2kMTFHRLflLCeFAgrvy3gU8KwKX9JiU4UQtM2ve7e9ogaKWrbId59nwUmpqT8fgZ9bnW2K8kOipd&#10;IzM9oHeAnuGhQ6HS3hivnUWV0yh7u/dV3rR6vygohCo17CtYCWtb3VbHpWNR9beKi3FSm1A6PzO9&#10;uPUgC+V6IqBX1mbK4DLfNcfweeT0yUL/bVgR0g7ewH//TeL4yL3Fqf84Cdhr8lKlqD1ZPiFzau8j&#10;znWwYLPMguc+6MyH+JUuS7a39mTiwbM0bNgSKMvV0kKiy8whchIbm5hixQpXlJbHysWJN3QMwzDM&#10;dICqpGizCGjton7pVLJanb1EOkTs7K0GHBvGcr1TWgcZZiIhQ4X2boQU5Qc+tX3etZgLLCw1mQha&#10;pJg/5Oeo0oL2OIOPK48x4MShYACla5kt0L0jZ+aq+EV48ChDOk2V5g9icNl2KZ5zz3OGYRiGGRVz&#10;9pfjq52nYe4fCCszw6kR0VlAf495UaX4fUwJNp3cgcs6Kt9+/wnZXcp7KX2G7MRXb/Jw+24qCoui&#10;kZ3jB89F9nK/THtn7V765320whgbBXQ87b596DEdnKwQGeWFvQXBuHItHs9eqGVFte5h9qeM/qKt&#10;0koBGPSMP3bMaCE/RWbmErS0qaeNL56us6snBwX7dS+eE1TFjQLGW19myRZmStfATB+ocskTMe+N&#10;N5hLV9B1UBb61tNb8AexVsrsboW1VN/4PKIY5qkVeCnLuI9eQK+6eEq+V1LYHvKuTQS0HhoZGyAx&#10;MYoFdGZYfqUkhI+Vpy/T8bJPjfrmRCQkLZaOUlqclQbnx2IsjmllbYGs7KWyvChnnTMMwzDTFVq/&#10;OoQxp80wePAwHecLo7F56zLZ+5l6YZOBSpkF43WSMMx4oHGnzIAA/gve/zmlYzIa6J4NFs+H6yfY&#10;1a1Gr4B7njMMwzDMx/HpgXL8YfMRWPj4wMrcaPJFdBbQ34My6v6RcAGnK/PHLaCXV6tl6d3nbdNI&#10;QB/IEKbSz3cfpGHvvmAsW+Yi2zSRMDdZdqBm3/6zqE52qL2DFeITFuPAoRDcbEqW10h7VfbDTh9I&#10;QKdqDDGxXjKwebzjiMZFRsYSvGidHgI6ZZ13ievcv38lrGwsdC6eUwVB0inOnY8G9ZpXugZmekHz&#10;G1X/uHFLf7LQSUAvupoD+4yz+DyiVHEt1TfmRRXLCjMnLzWPSkAngE50tDfD3cNJvFsmiu/cRGBo&#10;bAA/f29x7ltSxFe6NoYZt4D+vCMDrd1qlFTGIGC5s3QE0gZPaVB+DHQsKjfk4WmLY8fDxYSmERyU&#10;JjqGYRiGmY509maj//s8WSrv/oM0XL4aj8NHQhEXt0iWBBvs0KAMXhbUGWZ6Yy7eX9rfrlpFZdsp&#10;8/zDTpfuHjVedmQj/1IBvtxXiF9zz3OGYRiG+Sg+PVCB30sR3Rcqc6PJrYTDAvp7kIDukXMSZdez&#10;UaUDAf3mXfW06X1OAiQlBj18ko5du1YgINBJBk/T/pBsP8UxNImQ7bnQyFjYn2ZYstQB+Wv9UX1j&#10;tRQkSUjXZjcz+guNsZaXmfBd4qAT8ZjaBeTm+gm75Ofsdn2Fvjv1PN9HmecDFXKVvtPHQr4Yel8p&#10;yIQEV34fZg4kot9+mIUysaYorTWTTWWtGlfF+ph2cDc+DS9XXEv1DSo1Pze8GKHbr8sS7hhNH3S0&#10;48fvnyI5KRrGZkaK791EYGpuAgdHG1RWnBLX0KN4bQwzLgGdep0/aU3H/sMhcHW3GdjoKQ/Ij0GW&#10;+TQ3Q2S0h9yo9fTlyt4lShMcwzAMw0x7xGadHBIkppOg9vR5Bm7dSUZhUQxyhLEauNxZ9pBWWVto&#10;ekcbG8u1Uh+cLAzDjA7aK1PAaUycp+x5/iHxvE3QQ+J5ezZSKw5g7u5ifMLiOcMwDMOMizkHK/Dn&#10;9ftg6eoEU1NDxbV6QrA0hsreCX9fuZcFdAE52D+LLEXktkO4WJMl+7wqiQejgUq3V9Wq8fBZlt4L&#10;6CTO9L7OxYs2tUwSWurnKNsjkW2njzadNqmJxEJXNxuos/xQW5eI9k5NAABnpOsv5D+/1Zwq/Qfk&#10;M1B6vmNhgYEx9h8Mxqsf8hTPpw9Qxr02wGPfPo14ThVtlb7PeKD7aW+vkq0OOMlvZkEVTJ68yMKl&#10;Os3aorTmTDZXGzJwvGItTFIuyHVTaU3VN+aEF8MotUKsy49HlYX+loT2t+04eWKPzAqfrIQhWneN&#10;TQxRULBJXOcrxWtjmI8W0F/2qnH3cSry1vrLkiW6juaiDRotdBs2LMOzlkyxMeNSQQzDTA3tneoB&#10;MgUZ7+joTB9C2ij4+ed/PlamOI/6vfMysxta88joJYOsq1ezBpJBWFeXhD17VyIlzRvLV7jA0cla&#10;rJmmWGBoBGNTTak/pXWVYRj9gAJfgoJcZDnMnlfDiedibejIRmr5QSme/5Z7njMMwzCMTvikoBz2&#10;2w9gxVJPsY82UFyvdY3KwhBmzt74Y9RZzI8pe8/ZPNsgAf3ziDKsO7kNV+szZJadknAwGqjUbnWj&#10;Gq0dwmbXY78hiXokOtffTJItfMwtKYtVt1U8JwoSGcjvS5D9mZvnhxt1ifL7cI90/YSE5KKiGNg5&#10;qGS5caXnOlpkBTxLC5w9H6m3Ajr5Ssh30vpSjS1bl09I2XYt5H/ZtHm5bMvH2eczC63freaWWo+y&#10;0DNxWayRwVsP4neh0yML/Qsq4x5RjN3FN2V2uZIoORSgF83NVTJhaLL6oBPfLfwOGRnx+M+/2/D2&#10;7UvFa2NmN2MW0KnfeVuvGnVNqxGzyksuRrp01tOmjCIvF3nb45xYmGXPkj5ejBiGGTu08fklms0t&#10;0dVLc0uONPYoQEdL/5vcQeSg700+et9sQu/3W9DzZhu63uyVdL7Zh/Y3h9H2+gjaXh1C66ujeP7q&#10;9Due9p16x5Pek3jccwJPe47gadc+PO3cK9iN513b8KJzM1o712qurWuwsE5iPYnqWpS/IzM7oPH7&#10;89jViOrUh+7Js0wUFUdj5+4VSE3zRmCgi+xXt9DQWAaiDS73PlkRnAzDfBhDE2MELnPGjdpEjXgu&#10;3m2ld767W6wBwnBPKz+AObtL8Ns9LJ4zDMMwjK74f3acR9i1Bty8Xgh7eysYT0ImupWlIQy8IvBF&#10;XNV7jubZyBdRJfhbXDEOla7D1YZ0RdFgLNx6oN/iOdlw5Hs4fSYSXovsZDns6SCcD4VsSvIBUz9s&#10;D0877N4TjMdPM2RWvT7f/9kI+be2bgsa8AWMb6xRD3VnFxtcrFyFvtf6KaBTVa928ZmT4wcTU2qB&#10;NzECHL27wSvdZPsFzj6fmVAW+q0H+tMHnai+mYYtp7biz7HFsv2J0rqqb3yyshBB26/hhx9a8XZU&#10;Zdy78LK1ESuClk5qGXcjsQf09/fGk0c14hq6Fa+Nmd2MSUCnfucvOjNRXBGDgEBnnZcYIke/iakp&#10;omO80NCYJEvY8gaMYZjh0AqL1OOIjNKu3hwZaUufhOx9NBAVqoUiUimL99r1RJSWJ+LQ0SgcOb4K&#10;+w/HYt3GYMnaAdZtCkNGTjDik5YiPjkQccnBA6xETHIEknNWQ70hDZkbMpC+Pgdp67ORviEX6wu2&#10;YeuxPdh8ZDcKio7h5JUinL56ATdabqC+owH17bW42XEdjR3XcKvjEu50VeBeVwke9pzD0+6jeNG9&#10;Gy+718vrpe+oEdQ1sKDOaKGx3fc6F29+zBdjIxtNt1JQdWUVTpwU4zZzKfwDnGXkNa2v1BJFrrMD&#10;gW/T0WHDMFMNOaA+5t2h36Oy7QED4jm9tx/a43Z1izl+IPN8DmWes3jOMAzDMDrl/915AV6Fl2W2&#10;UVXpMdjaqcQ+2URxDdcJ1P/cRoUFgWsxL6binXN5NjM3ogyOmWdwriofl+szFAWD0UAldqnU7rNW&#10;jW9AaW811ZB/ouWlGhs3LYO1rSWMTCdwrE0iZFdSafeQUDcZ1N0p/TGcAKUvkL2RoV4in9N4g+mp&#10;UgL16W9sStFL0ZjEcwrkSE3zmVBfB90HKol/6fIq9L/R31L2zPigteTxC7VYm/SnjDu1Oam4ngOH&#10;7JP4Xdj0yEKXZdyTKtB4/wGAkTO78fal2Je1YO3aDCww/E7xHZwIzCxNYW1jgevXzovr7FO8NmZ2&#10;MzoBvZX6nWfgWXsGjhwPE4uF7vud06aLBuvGjYF4/CwTfbwQMQwzBCqPRFnjFElLxgBFvnb15Mjy&#10;Os9bMvFIbJjvP07D3QepqLq0CsePh2PL1iDkr12O1clLEBG9CEv9HbDUzwEenrZwc7eFk4utMGKt&#10;YGNnDSsba2FcUJmnQZhbSNFjwUJDLDQgDAaxEMYmRlKUJIeLmbnxO6i1hY2dCtYCe2dbuLg7SRb7&#10;LYZPgDeCIoIQHh+BxOwkZG3OxeZDO3C4/BRKb1eh6v4lXH1UhZpnF3Gz7SIedBej5dVxdLzajs6+&#10;9ejsyUVHl6acPIvpjBYKtiBjloLPXok1lPrq0btQ35iIU6cikJ3jh5WhbnD3tIGdvQqWYg2nQDga&#10;31pRXZfrOsPMRCj7wtXdRvaAHG0QKb1X5Cil4NORxPPObjV6xP9tr96jKdu+h3ueMwzDMIyumbOn&#10;CPPFZ9b1OvR934K9W3NgamYIcx0miAxGZWkEMxcf/CHqAr6Mnh6ZYxPNb8PKsWLLYVTqoP95bbNm&#10;H0XZp0P3VlMN+S/IV5GZtUQmDJHdpTRGpiskVFI2uoODFTZvWcbZ6HoC3X/yDURGu8uMaaVnNxbo&#10;GNExnmIsq2UQv9I5pwLN98zFvYdpiImllhwT1xJBU33XAgX7QzRBBDzGZzTkZ65uUqNcT8q4E9dv&#10;piNhzz7MjyzFvCjltVWfoFYtc0KKcOBiE0Zfxr0fhYWHxFppNKlJPwsMvsOJ47vE+Xvw9qeRe7Yz&#10;s4tRCehtPWo8bk3H+s2BMlqSxG6lwfYxkPORekFSCaPzhVHo7suV0ZlKkxfDMLMH2pTTprTvjSa7&#10;9vUP+Whrz8KDh+mov5mM6lrKHo/BgQMhWLs2AAmrfbAsyB1eix1g52Ap5yrqm0LCBfUWI9GDjFXa&#10;UBP0Z0Jm5lpoMBfQnKSE0vxFKP0sQf1a6HiEmbkJTM2MJcYmhhJTsRkwNTcW/6+p5KESx7K2VcHW&#10;3gauni4ICA5ARHwkMjdmY9uRHThx6STOVZ9F1a3TuPXsCFr7D6D7h13COF0r7hOJpyykM7+E3iFa&#10;T6kvXVevWFeFAdDSrsbDx+koKo7Ftu1BiF+9CIHLnWRAiY0YfzJYxMDoXfl3GptK455hZiOUcRCf&#10;sAjr1gXA1s5y1O8HvVfePg6oGaV4vrNmN77aV4RPOPOcYRiGYSaMT/cU4pNdhfA4fwVFzfVIXBUG&#10;U+MFsFBYy8eFyhRW1pb4dvlGzI+l7HMW0Mmp/mlYOVIP7EJ1w8dnnxMkoN9/qp/Z52SL3b6bitg4&#10;T+lH1QhwCmNkBkC2o7GZKSIiPcSed7Xc81KAt9J9YSYeGnvkN/PxddBJxQPyEWTnLpF+OaXzTQXt&#10;3VSmPhfVN1YjaIXLhIrn5ioxxsX4zs3zl+Nan4IImImB1pSm+1l6k4FOXKrPwLGy9ViQeGH6lHEP&#10;KULwtuvo73sOYGRhmgTsxoYKuHs4wcR8/ME/o8XQ2ABpKbF48+rRqMV+ZvYwrIAu+533qHH7UQqS&#10;UhZLAYpQGmgfAy1sxmKBCw93x/WahIGS7bwIMcxsgTYkGn4W+l59n4vXYi549jxTbPiTUFoeh2Mn&#10;w7F77wqo1UsQEeGBRYsdYe+oqYRBgsYvxHApiGtKNhFaQVsfM2t/vrYBwV2K7ibi+imbXSO6U9Qd&#10;Ce4kxDu6OsA30BdRiTHI2ZaL3Sc24Fy5MBhu5qOlY50MNCBDle7lu9LveuhIYCYfGgc0JrTGHo0R&#10;ma3+JhdPn2Xi8pV4nDgVgW07liMlzVsYoK5wd7eVa75WUKd3zOzdO6XJqlUa1wwzE6HMmqV+jrhQ&#10;GCXLsNN6o/RzQzExozJ/tigqiRk2G0crnu+q3o35+4rwm90snjMMwzDMREOZ6P+76wL+crQSiUUV&#10;8AtYCgtTA92J6CSeW4q9tPcqfBVTivkxZe85l2cjn0eV4i9xxdh+ZovMqFMSCkZDheBKnRovXgpb&#10;R8/sXrK3nr7IlFm7lL07G2wn8r8YmZjCa5E9zl2IEranpqWe0v1hJhbyrRUL+8PJ2RqmFuNLgiP7&#10;38zCHDt2BeHV9/pRLZb8GvQdy8pj4ePjIAOWJ/IdMzQyQVSUB548y5BVJZSuiZlZkN3++EUWKmv1&#10;p4w7XcvlukwsXXsMX0ROj/3EZ5El+C6+DHefjk6Yxtt29Pc9RFR0MBYaLlB8HycCSnDz8fFAy4ub&#10;4jq7FK+Nmb18UEB/1p6O1u5MXKtNQGi4m1yMdBnJpclsM0f+Gn+ZDUeij9KExTDMzEAr4JEB1TXQ&#10;n1xLp/j3mhuJOHEyUmzKg6HO9kVEpDuW+jnB0ckGJmZm+G6hkTQ8KXqW5g/zgXLTOs8Q0FM0RotG&#10;VDcyNoCBwQJ5H+ydneHt54OY+KVYu3657Od+vXq1LDek7Qn/7j6Le8+COjMUGhdaMf37f+VLR0fz&#10;nVRcvhqPC0WR2Lk7CMnJPggOdhPvo5UMUNEE1GmCVrRoA1dorCqNYYaZbtAaQ2OaxHMXNxscPhwm&#10;HScUuDUaBw0FnVDbo8LiGNkj74PieZca3YLB4jmXbWcYhmGYyeM3uy/giwMVcNx/Ho4+3lCZGSiu&#10;7aNH7IctjWGlMoGxVyS+jjyP+dz7/B3U/9ws5TyOlm7AlXH0P6fSuo339K8SG9lX1PM8U+076n3j&#10;TIKy7ala057dwbIKWlcfi+iTDQndR46GQWVlMW5fPlVrtLVT4cSJCL3w3Xf25MgAlcNHNC1mSa9Q&#10;um5dQcdfudIVjbeS5Xm5dPvsgGx3qoJ67ab+COgECeibTm7Dl1ElmBc1PbLQfxdahIMXbwE/tY2q&#10;PDr1Id+wXo2Fhgsnzb8ofZmCpqZKcf5uxetiZi+KAvrzjgy0dGfiXHEUfJc4yB6putrw0cA3MjGW&#10;i9z+AyFiQtI47pUmK4Zhpi+02ejsHSjDLjbZXb050oh8+kKN+49Scf58FDZtDkJiki+Wr3CBu6et&#10;3JSbW5iLRdJYiuVkbJIwx4KcMlJUN6csfCMYGFKWsJns5+7uYYvA5c7i3i7Gnr0rUV2zGk+ei3m9&#10;TS2fw+AsdaVnx8xuaFzQ+KBxQiXaqKfYsxeZuPcgTfZTv3J9FQ4fDkV6+hJERnlhsY89HJysBkpa&#10;a9olkJFpqM1ap1YG4zTaGWYioXFLY5XGrYERoV2DxPpjaY6gIBeUlcVh/fpA+XOjGc+0dlErkTPn&#10;IqUD60PzLWWed4vPndW78aV04LN4zjAMwzBTAZV0n3vwIv689SisvRfDytxIcY0fHrFHsDSWPc9V&#10;tnZYuDQDX0WXYH5M+S+cybMd6n/umncC5ddyxtX/nHj4jOyX9/dYU4XWltq0eZks+Txb7SDaM5MY&#10;QUlTz1szNcKjwv1iJobXP+Zjw6YALFg4/hLIVJrf08sW1TWJU5593d2fg9b2LOzYuULaWrooTz8c&#10;FEi9aLE9rl5LkAHRLJ7PPhrv6VcZdxLQz1/OlUFo06WM+5zwYizbeBU/fP8Coyvj3otTJ/bAytpC&#10;+hOV3k1dQ/518q2fFOelLPi3b7kPOvMz7wnoL7oy0SLYfyQETi7WsmyrrsRz2jjS4rN8uTOqLq2S&#10;whqX82GYmUFbRybaxdzR05+N1z/kic1lPp49z8at2+m4Wp2Ao8fCkJGxFMEhnnBytYaVjaY/OWWX&#10;vysPzULbuJCCuriHdC+199RS3GM7BxV8lzgiJcUHR46EyZYZd++noqNL86x6X7GYznwYGQwj1mpy&#10;elCZNIL+TobrizY1nrVkorEpGYWFMdiyNQjq7KWygoRfAPVWt4OdvUq+6xQYQ+XgSaTUBsfw+85M&#10;JVTBhJwuNCbd3G0REuqKkDBXsU65YGWoCxISF8us8/bObCmEW1pZyHGrdKzBaH7GAgcOhcgAlI4P&#10;7HU7ZOa5puf5lzLzvETRoc8wDMMwzOQwV/DpgXL8ZX0BVG6uUFmMUXyytoSFvROMPVfibyv34suY&#10;chbPFfhdWDmCth3AjcY0RYFgNJTXqFHTpEaLsEn0pcoaXQfZSsdPRMDaxlJjjyuNk1kCBVbTPcjN&#10;88PzVrHvZRF9UiBb/XmLGvHxi6QNrvRsxgLZSsuWO8ls3CnzG4l3q+dVDp6/yER27lKYDVTEU7pe&#10;XaEVzy9WavQLfZlnmMmDnvnD5/qVgU5BZ1XiM3b3AXwaPj3KuH8eWYx/xJfhaduTUQroHbh7+zLc&#10;PZ2lqK30fuoa8g2ZmBkjI30V/v3jM3ENLxWvjZmd/EJAJ/H8ycsMbNwSCJXY+Otys0elXUkoo96q&#10;d++nSYciLz4MM32h95fo7FHLvq4//mcbunu2oq4+B4XFq7B7bzASkwKwZKkHLFWW7wQzDYP7kyvP&#10;Gcz4oXtL91lTcltz7+k52NhaYsUKV6xZ449TZyJQU5sojCGNmE6GAYvpzEjQu0/jhIxzomugTQA5&#10;RbQ8eZqJq9dW49TpSOwrWIm16/2Qmu6NkFA3LFniBCcXGxngQaI6GfYU9GFs9rOwTuNXi9L4ZpiP&#10;hdYerXBOwUV5+X64dDkeXd2aIBGaBwnKcKDs8Zobq2UwyGj2xTR2TcV+d9OWZXKv+6H5tL1Ljf6e&#10;TOyr3Yn5e7nnOcMwDMPoC3P3FWPugXL8PXc7rBxsYWk+SgGK+p3b2eG7oE2YH1c1ULJ9emSHTSZf&#10;RJXgG/GZc3DXuPqfU/n2W/fVYq/1/j5rqqAKXrV1ifBabCdsm/ELlzMBrS8iJ9cfL1hEnxTIjmlo&#10;TIa/P4lP48/QJjudevlPlYhM5yQbrfFWCuJWeYnvNPGB+PSdNeJ5nDz3VHxvZurpEM/9eVsWrtSp&#10;UaGwDk0V1xoysPP8Jnwt1tJ5Yk1VWmv1iflRxZgXWYwjFbeAt1TGXVmk1EI/89//tCAkJBCGxuNt&#10;qTN6SEBfstQLP7whoX/kfu3M7OGdgE5Z53efpCIze4kUt2iTozSYPgZasCn6cvOWZbL/DS26ShMT&#10;wzD6i0Ys/1ks6+7LFgbiGtx/sB7nzmdi2444JCcHYenSxVBZ28ie5YbCaDQ1N3knhinND8zkohXV&#10;SQhaaGgkI3e9fRwQv3oRdu0OQkVFnJynyUig50zPmwV1ZrTQPKGFxg4JkORIonJn1F+9py9XloKv&#10;rUtChTBGz12IxLETodiwMRCJid5YGeIOX19HWTVBE/ChqaigDQDRQnsUgsayZn7hOYYZHnNZoYPK&#10;cmkcLsEr3WRgR0NTEnr7NZUVBo9foqs3Wzr6wiPcpRNF6biDkcK8+Ln0dF/5e/QOKL0nlHlO4vmF&#10;W1vx5/0X8D+7WDxnGIZhGH2CRPTP9pdiQVKWrJxmaTkaEcoMKtoLeMfh99ElmMeZ54p8FlGKf8QX&#10;YffZrR/d/5yyzy/VqfH4uf4I6LRvpJZpScneshWQ8hiZndAenGy6nDw/uUee6jLgMx2yvSsvrYKj&#10;kzVMx+nbl/a2OMbadYHSP0Q2ktI5Jwo6H/kTqm+sxvLlLjIAmmwupWvVFT+L56tkslA7+8NmLe2C&#10;to4s1N/JkuuO0no0FVyuz0TR5Ty45ZyaFlno8wWfhRUjbPt1KY7jrbJIqYX6pFMWel5OMkhTmOh3&#10;XouphQnsHW3x+NENeX6la2NmJ796+jJd9jtvuJ2EmDgvmJjoLpKLnNm08Hh62uLY8fAB0Y03Sgwz&#10;XSDhlAJeSFjo6KYe5ll48jwdJSVxWL8xDFGx3liy1A0Ojo7iXTfFAgMDGJsaizlkdpcqm07QRoSC&#10;nCgDmMR0F1drWcZ4nTCQyspj8fRFhhwLlElJYuhkG0zMzEKKkmIfQOXX+t7kyuxeEtY7xfzy9Lmm&#10;z3pTczJu1CXIXuunT0di2/YgZKqXIibGS/b2dxd7CntHFWzsLN+1gtA6ZWjPoS0RL4V3C43YrhXZ&#10;ld4BZuZCY4MCLmhc0BhwcbNGcrIvioqjcf9ROvpeUQsL5YwCcsbS+rdhUyBMRpnlQOcJj/TA/Qfp&#10;cr4cekx5XEHfgHj+z4Pn8ZtdXLadYRiGYfSROQVijS4ohUFMIqxVwr4lFNb/X0BZ6FZi77EkBV/F&#10;lGG+QMmZPJuZG1EGw5RzOFu5FpfqPq7/OWWfVzepFfdaUwHtJcnXSe3SLCxJdFQYG5MIBY6+Q0/s&#10;IG2rufXrA6Ug9aFAU2b8vP4hH6fPhstADipLrPQ8RguNH0qIO3kyQvr0lc43UdAYIfH8/IVoKWhr&#10;xHPl69QVVLbda5E9KipXyXOzeM6QX+Du4yyUiXVHaT2aKqpvpiN5/x7MDS+XArXSeqtPUB90k7SL&#10;aG1/ipHKuGsF9PPnDkBlbSHmocnRGOg81Hf99Mm98vx0HUrXx8w+ftXRn4WKy7FYttxFOpxH4yAc&#10;DXQcciSuCHbBtWsJYjOp6ZmqNBkxDKM/kGhOPbFJ2GrvysHd++myZ/befSGIi1+CRd6OUrgyt7SQ&#10;7ziVJqMoLRanpj80b5toxSYLYSjZWsDPzwlr1gag8lKcbL/RJYwmKvVOEfZK44dhPgZZDl6MKXI8&#10;yaAdYaySwUp/b+/KRuvLLDxvzcST5xl4/CxDiuylpbE4diwc27evQG6ev+xXHRbuhoBlTljsYw93&#10;D1s4OFrBxlYlxjOVY6IgH20fdk3JePo3GvM/i+zK7wYzvdDuQcnJYi/GAO1Ft25djsZbyXjZQYFh&#10;2rGlPB6Jvle5uFAYBVt7TTUEpfMMhs7n7e2A2vpE9L/JVTwm0dejxoXmLfj24Hn8msVzhmEYhtFr&#10;5hSUYv7u8zBeEQor81H24VSZwMrGCt8t24D5sZXvOZFnO3PCy2GffRKX6zJRWassDIyG2w+FDaEn&#10;wd3k67z/IA2+Sx2lX1VxXEwgZMtQeyJtayyqKqpF9ooWNg/9O0HXR2K20nEmGgpups8DB0NkZTIO&#10;ztc9ZFd3CPt546ZA+byHPoOxQmPL3sESdQ1JkyqgU9A9BdkfPhIqM+nJ1poM8ZyEehLPZZC1HrWH&#10;YKYOEtAfv8iSVU/0qRf6tYZ07L2wCd8miP1KpP63i6E+6N/ElOL0pWaMpr84CdgtLxrg5Gwn1rLJ&#10;WVdJ1zA1N8a6NWni/J0soDPv+NXZoij4+DrodDHSlFg1Q2KyN+4/Svtgdg/DMPoBbQhINH/zYx5a&#10;X2ajpi4Vp89FYe36QAQs84C1rZUmm1O+2xqxiQXzmQ09X3rO9Lzp2dP6EBDogm07gqSY/uhxuoxs&#10;nqo+WMzsgMaWdAKQwN7zy37rSkhRVPzerVspuHIlHufOR+PosXDs2BmEjVsCoc5ZguRUb4SFu2PF&#10;Chcs9naAu4cdbO2tZGQrRel/u8Dwncj+i2z2gblPK7RrUXp/mMmHngU9I1lNQzwnP38n5OQuRVFJ&#10;DNraNVlBNEY6KJhzhDmLgjfu3ksVx3CU40DpfIMxMTORbQcKi6I1mQofOP6r3gxcf7ABhofO4X93&#10;snjOMAzDMNOBOfvL8OXOMzDzXTpqEV2lEvsHeyf8ZeV+fBFbBSVn8myEsuTmR5YibOshjYCuIAqM&#10;BAkYJGQ8a9XYCkp7rklFXEPf6zzZstJM7EUny09C5yE/Lu197YQt4x/gLNuyZeX4Yuv25e+gal50&#10;bTl5SxC3yhP+Yo9MQcYG4vdon2smbBul408UZFc5OKlQUhYrg6YV7ynz0VCiw6MnGYiO9oSxsFGU&#10;nsFYIPvKa5GdDGTvEraU0jl1DVXyogD6TZuWQWVlIa9B6dp0CfkBvBbbcc9z5j1oLLS0Z6GmSY0y&#10;PRLQq2ozUV6dDdfcE/hdmP63jJkfVYJPQ4sQX1ADvH05ch90dODN68dYGewn5oDJa4tCPdejooM5&#10;A535Bb9ycLTW6WJEmyEbW0u50NGCRwuP0gTEMMzUoBWktEIUOftfduSguHQ1tu9aiYREbyzydoGJ&#10;uYUwxoykMMCZmQwZ6DS/k2FBBnpEhDt27grCteurxViirGFNlREaW0rjjmEmAprPhkJjkBwHJJjS&#10;HoTmOOoDR1U13vyYLx015FS4czcV12tW49KVeCmynj0fiUNHQ3DgcDC2bluGtFQfJCV5y17Zy4Nc&#10;ZSk3J2drWdKJnFUE9dM2Fu8FvRtaaE+lhYRcLTSPSsS7RO+ThgEhXuGdY4aH7h/dT7q39Awo0MHN&#10;3Q45uX44dTYCN28lyyxyet40JmhsKI2hodA8RlUPqKqBocnIhhqdn0p17tu3Us6DSuehoI7+3kzU&#10;PVoHx+On8cmuEsxVcNAzDMMwDKOfzNlfjj9tPAArN1dYjlZEtzSEuYs3/i/8JObFXnzPmTwbmRdV&#10;KvvDpxXskwK6kigwEiSg197Sn/LtZHfcvpMCnyUOk5J9TvtfOg/ZEKFh7ti1JwjFpTFobEoRe15K&#10;ishHv7B7BiPtoH/ly6DSm43JKK2Ixb6CYMQnLJJiOtk1ZLvQsZXOqWsoSDlwmbNsqcSV7XQL2SO3&#10;bifDw8tO2ilK938s0LggMZ5618tAZIVz6hJK0HggxoVavUS20dLFdxgOssNp/AcGOuPylXj0fsCe&#10;Y2Y3VO2k8Z5a/8q4N6YjZd9efBVZKtdXpXVXn/gktAhOeZfQ1fUcI5VxJ5H9P/9+gfVr02FiZiT9&#10;P0rvsK4xMjWE7xJPtDyvlyK60rUxs49f6Woxos0blQyi/rmnT0eIyUWTCUa9bZQmH4ZhJhcSBWgz&#10;Su0U2jqz8awlAyXlq5GdH4QVIa5wcrEVhpi5jGAm0XyyFidm+kHrBkWrk1jo4WmLVfFeOHU6Eo+e&#10;pMseUWS0dU1SdDLDjBUyiKlcPJWFI4GdBNbBAvsP/14jDecXLWo8e56JO/fScPtuKupvJqG6djWu&#10;XFuFysuxKL8Yi/37V2L79iCsWROA1Yk+SEzykWI7ZYB4+9jD3kElM5O1/dq1PdupLyJB1Xq0wvvP&#10;ovxAaXnBYBGeHFqDhXeld3Mmo7lvmvtF94jaTND99PSyQ0bGEhQWR8lnRCXaqToGZS6M1flBP097&#10;1+PHw2W2w0hORLomupa0dF/pkPyQU6m/NwP1JJ4fOyXLtrN4zjAMwzDTi7n7ijHnQDn+nrUFVo52&#10;sLQYTTaUGVSWRjDzDMU3UYWYF6P/GWITzReRpfgmrhg7zmz9aAGduPdEs29T2ndNNmRDbN26TOwJ&#10;TWE+gXt0rXBuZWOJ2DgvFBVH4+HjdJn9TtdAe9+Rgtnp/+nnpLAu7J+nwtaprknAjh1B8PF1fLfX&#10;HmkPPF6056GAfLp2pWtlPg6yb2/UJcj7PF6fHtk6ZI/m5/tL3/5EJkvQ+0x2OdndcasWwVDYxRM9&#10;Dun+UILIyhBXGVgyXCUxZnZDVVvvPc6SVVP0qYz7JbGOHi9bjwWJFzA3okxx3dUn5kYU429xZahq&#10;uIeRyrhr+6AXFR4Wa5/huOez0ULl4h0cbXGx/IQ4f7fitTGzj18pDZaxQouakYkplix1xJVr8XLB&#10;JrFOadJhGGbyoEW+77UwkIRx9KwlG7fupKKoJAGpmcuxyNtBli02NTeHgTH1yZo9ormFmLPMLUmY&#10;MoGpGX13Y5iYGsHYxPAdhkYLYWDw3Zih3xt8HDouHZ/OQ+ej8060ITBZ0HghI95YGDckZJFguG5d&#10;IK5dTxDjLRP9wpinoI2RyiUzjL5BhjPtY7R92cnRpBXbtRnt5Kyi6guUrUzi6fNWtYR6tD96mo6H&#10;j9Nw72Eq7j5IxaXL8Th7NgrnzkVhx84V2LhpOdatX4akZB+Z+RET5wX/QEcJZa9Q/3aCMt6ph7ut&#10;nWqgfJ2ml6GRsabH4YKFRtLoJ+GdnAxSfDc3/UVfd8p4V3p/9R1y2NB3oNKDFNhFmSpUZt/FzQbL&#10;g1yQl++PouIY2Sqo9aX63fMZj2OHnnNDYzIWLbaT91LpugZD932ZuJZ7D9M0c53CMXt7MvHwRT4C&#10;zh6XZdtZPGcYhmGY6YkU0Q9W4NukbFhbi72AsOuU9ge/QGUKK4Hh0nR8FVOO+dH6nyE2kXweWYq/&#10;JRTi/JXcjxLQSbi4XJ+FF236IaBTG7ybTclY6uck94WKY0AHkIhpamYm98C0/20Re18KWv+YgNHB&#10;UPY32Ta0f6Zg+GPHwmUmrtyDj2IvPB7IhgkJcZPZxpyFrhukDSue5f4DIdJmHG/QtVZAP3kqHN29&#10;E9u6j4I6amoT5Rg3NpmcIA4a4zGxnmi6lYweYUvqw5zC6Cc0NsjXc6VBjXI9EtAra9W4VJsJr7wT&#10;+DyiTLZJUVp79Yn/WVGIdRca8PbtS/w0Yhn3Hty7e0X6w8iXrvQu6xqaG8iPv79gkzh/v+J1MbOP&#10;cQvotLGijWJUtJfcOJIDk0Q7pQmHYZiJhxb27r5s2c/8ZVcequtSceJ0FBJTA+Dm6SQWA80mmCJ+&#10;zSwmr0fXZPJOHB8Qxo2MDaSwvWDhtzAwWABz8b1V4ufsHW3g6uEEF3dHLF7qBf8VS+EXtBRLly/B&#10;yuhgxKTEIDoletTQz4fEhohjLJHHoeN5+y2Sx6fz2DvZyvNaiPMbGi7AggXfDgjuBu+Edrq26fhM&#10;aC3QjitrW0sZNXz6TISMICYhndYGpfHKMNMZmm/J4URIwV1ADqCu3p97shPavxPan9Oi/X3tMai8&#10;fHV1IqprElFSEit7uB8/EYG9+1Ziw6ZAbNwcKHt7J6cuRmr6YkREumP5chcErXCBj68D3NxtJSS8&#10;W1pZwMzcDN8tNMK3C4ykEE0BU4QMfjHTlGuk95fQzj3jdbaMBToXGSl0HXRNdG10vRQkYGevkn3q&#10;6TvmrfFDwf4QXLmaIAMWBt9nXZQTpL1rR1c2UtN8xXWMPA/TXEcVBqour0L/GzG/KThcursz8aw1&#10;FyvOH8Mnu0swR8EZzzAMwzDM9IFE9C8KSmAcHgsrykIfjd1GIrqtDf6xfAvmxVZCyaE8WyAB3S7j&#10;DEqvZ8vMuaFiwEiUV6vRcDdLZsPqg9hF2dPHjodLcXuibHjac1qqLJCb54cHj9OlXU02gy6D1MkO&#10;6RJ7alk++2E6tm4PksG8FMA6UUIm+aIoWLiiMk6zl1a4LmZs0HNsFXZScrKPsK3GL6DTsyffzo26&#10;1TLQQumcuoCqh1XfWI0lSzWBKBNti5pZUqU3M2H3+eDZi0wZiKJ0XQwzmPZONWpuadYhpfVpKqCM&#10;eApGyzq4V6yxVMZdee3VJz4JKYL/pqvo6RlFGXd0oa31JpYF+sB4Evugf7fwW+Tlp4rz947Yq52Z&#10;HYxLQKcFh0poUunKh08yJnRBZRhGGa2AQ0YURUBTJHLtzQwUHIxASrof3L1cxCaUAl0oA1ojCkym&#10;OKJTxHXL6xcbeZnJLb6PmfmAUG5mpBHLjRbC2sYSTq72WLzEE8tCAxCVGInV6gTk78rH+n3rsf3o&#10;duw6uQsHig7geNUJHLt4HBdqi1BxpxIVty+ivLkCNS11aH51T3AXzf2jRPz8jbZ6lItj0HHoeIX1&#10;xfL4dJ4DxQex69QubD+2HRsKNojrWYP49FUIWxUqRXcvXw84ONnK70WivxTVBzLkf85e1z7DiTFk&#10;x4tWDCPDh9aIwOUusp/0teoEaeyTmEjjVR8cHgwzmcgxL6DPX6Lpua15LzRzOZWXJ8iJJTOrBdrM&#10;d225+dc/5OH7f+Xj+Qu17Od+914abtQlovJSPKoE585H4eTpCBw9Hoq9BSuwa18Q1qz1l33dyakS&#10;tMINy5a7ynKNTs42Yu6xku8uOcoIeodlj/cByHk3GBK8R8vQ35XivUDbCsLewQqLFtvL8vd0bes3&#10;BODQkRBcKIpGdc1qtLSpZVAY3YOJmkPonp67ECXXD7pmpflNC90nM3NzWU2gq4eu5/3jdXVnor09&#10;Bwllh2TP80/3FCs64hmGYRiGmV7MKSjF1ztOw9x/GVSj7oduDEtHV/w59DDmxVQoOpVnOpQZRwL6&#10;svXHUFGdharajxDQa9S4/1StuPeabKhS1fMWNRLF3poCQJWe+3ihPbijoxUOHw4T59S05FO6Fl2i&#10;sUFyUVO7Gskp3jIYd6S98cdAfgMK4D1zLlLaNUrXwowNsiNfCLuJgqt18czoGH7+Trh9NwXdYkwo&#10;nXM8kD3XJ+zc0ooYLPK2l/bhRPu56DuZW5hj3fpAGWxAtqXStTHMUKgPetP9LFSItYhQWqOmAhLQ&#10;T1xciz+vKpJtUpTWX33is8gSLIwvR/OjhxipjDvQjh/ePIE6c7VYZxcqvtMTgYHRQoSHB6G76464&#10;Bu6DzoxDQCeHp5W1BXbtXiEXaNrIcb9zhpk8Onuy0EMiS2+uzJq7cz8Tew/GYNVqHyz2dYaphSUW&#10;GhqJd3X6lmYnoVxbZn1whrb8f2tz2DvbYskyH4TGrERKbjLW7l6D/UUHcfLSKZy5fhZFDcVSxL76&#10;9DputNbh9ut7gvtS7L4laOq7g8aeZsnN7luo72ySNAjq2m9KMXys1Irf0x5HHqvr1rtzNPXeluel&#10;89N10PXUvKjF5UdXUdZcIcX209fO4HjVSew+tRu5W3MQnRSJ5aGBcPNyhrWtSpYwlhn2FDQgBXYj&#10;eY/08RnTNWnKSpvC3dMWaWk+qKiIk+NXm5WraxGMYWYb7wT3gawRKmMu+7p//0uhnSCx93lLpnT2&#10;UXWI5jupaGhMwvWaBBnkUnkpFmUXY1BeGYMDB0OwZUsAtm71RX6+N+ITPLEq3kt8eiNBsCLYDb5L&#10;HbHE78P4LnHEsmUusiIF/U7cqsVIT18i+8Zv3bpc9i2/KM559Xo86hoS0Syuia6tpy9XXi8FC/S8&#10;0k2G+XCQk5DuhX+Ak5yzlOYzLeTso+CCVfGL8Lw1U9z396+tq1uNzs5sZF3aj9/uLsbvWDxnGIZh&#10;mBnFnP3l+OOmQ7D09BiDiG4IM/flsh/6/FnYD10roCfuLUBVrab0rJIY8CFIPL/WqNab8u0U2Eki&#10;s4OjFcwsdW+LyyBTcezTpyPQ20+toyaxzLm4v2RLtLzMwp49wbLqkkbcVL7Wj4VaUh05HoI3P+Yr&#10;XwczJrqEPXjrdopseaULAZ3sosREb5mlrevxRwHR9A4VFkfLQG4KrFa6Bl1CY9jWXoU9e1eK82va&#10;tCldG8MoQevOg6dquX7pWx90qurimn1KrrFK66++8buQIpy6dlsK6G+HyfCm/wP6cPz4bvxzwT8V&#10;3+uJwMTMGB4ezmi6WSHO36N4bczs4qMEdFp0qNQORQp292mygZQmF4ZhdAst2D39tNHMQ2t7Lu7c&#10;T8f5okSsSgyAh6c9VNYqscml7D5jmSGn9P7qMySOUyY5ZV9TJjkJxXYONnD1dIa332KZqZ2cl4St&#10;h7fIjO7yOxdR9eAyrjy5juqWWil6kyje1HcbjT23pSje0NWE+o7GjxbEJ5q6DhLcG6XQfrO7GY0k&#10;sg8I+7UvG3DtWbUU2C/erUJRQwn2nNmDzI2ZiEgIx5JAH7iKRd3WwVrcOxNZDp7unQw00KPnT0I6&#10;rRvUy4ocDBERHjh/IRpPnmXIzNrJiKRnGObnaiUE7d3IaUACNTkvtBnuJLoTXT25aO/IEGtNDF60&#10;RePx80g8fhaHpy8ypBOF+iRS//EHw0D///BxuvidTPk79PmiVS3Wsmy0d2rWMjoXnVtWqBDXQ9c2&#10;mU5REudpL7tufQAMDEd2DFJAkKeXHerqExXnLopM7+lSY0f1bszbW4xP9hTjcwXHO8MwDMMw05tP&#10;D17EX7K3wMrOCioq566wb/glZrCyNIKBz2p8GXsR82PKFB3LM5X5USWYG1GKdSe340pdpiw9qyQG&#10;fIiyajUa76nlXmvo/muyob0qBaYePBgq7VxdC8sm5qay5+vJkxFynzrRwaSKdGgEWbIZLlbFwdvX&#10;Qe6DdRW4T/fM0MgEx0+GyRLeitfAjAkKqj53Lgo2tpYyu1/pvo8Fav+1fcdyOQZ1aZ/ReCa7k8Rz&#10;JxdrOa6Uzq8rLAQUDODhaYvjx8PluKYgaE4CZMYCvQMvXqpxuV6/BPTK2kxcqlUjuWCvWGOnRx/0&#10;34UVYXVBDX78oQUjl3Hvx5XLZ2El3mNqv6D0jusaOo+FoKrytDy/0nUxs4sxCei0wTEwMpb9KMsv&#10;xkln56RGQTLMLIVKlPW/oVK+a3D7fhYKS+ORmbMSnt6uoJ7mJmZmMkKZBGeld1dfoeul7HISfg0M&#10;vpP9lTwWuyEwJAAxKdHI3pKFvWf2orihBDWtdahtb5BCOAnilCUuxXHK9B4QyElwVhKppyXiu8jv&#10;K76bRmDXft+fvytRcrMMu0/vgXpjJmJTY2XfdSdXBymoGxh+B2MTw4EMdeVnMJnQNVAkNI1V+nNY&#10;uAeOHQ/D3fup0oDiYCyG0R/IQNSUx0xEW2cUXnbFCKLR3p0k9n6ajPcREe80fWpFey0k5BNK551s&#10;KPuc9rSUjTCSo4kchjR3HT4SJn9PyZHU35OJkw3b8Ye9RfhkN2eeMwzDMMxMZe7eYsw9WI7vEtSw&#10;IlFRNXwVGwn1Q7e2wD8D12N+7EVQz1Il5/JMhHqz/l587i9dh2sNGYpCwIegcrkkuFP59k59KN8u&#10;9rNUiSgmxksnmb6DoUB4apVJFZs6B4Jfla5hsqA9O9nqjc0pWLHCVfqEdRGsT8ewtlGhqDhGBtQq&#10;nZsZPWSXkD9l7boAadOM9xmR3UPj8NwF3ZbY19iDOTh7PlKK5+QbUjq/riDbjcTzJUsdcelKvKx0&#10;pi92KDO9aB/4rLmVpVcCOnGtIR0HStbjr3HF+CJSeQ3WJz6LKIZV+kV09Y2mD3o3Hty9Cl9fTxib&#10;jq7ijy74dsE/ceTITnF+7oPOjEFAp8WTSlaGhrnjenUCb3AYZgLRChcUFfnq+1w8b8tDUVkSNm4J&#10;wbIVi2FpTSWOqHS37iKAJxKN6KDpW049y0nUNTY2gK2dFbz9FyEmOQp5O/Kw+/RunLl2FlcfX5NZ&#10;2FTyXFNa/Zei8YwSysfKoHsgy8V3NMp7RJnr1IOdMvKPlB3BtiPbkL42FctCA+HobAcTuucCTXb6&#10;1I8bc3F+mZVuaoply11QsH8l7j9IF8a5JjBLSZhiGGayIedCOlraYwRRA0SLf0sd+D+l35k+dPXm&#10;4OnzTISEuI0q84F6w1OfS/ruSqXbX/VloOL2JhgePMfiOcMwDMPMAubuK8Z88WkSGgUrykIfjY1l&#10;aQyVgxP+FrJ/QERXdjDPND6LLIVp0gWcvLgGV8cooJdXa8q3t7xUv7f/mgq6xB7y3sM0uLpZC/ta&#10;t3Y1lbKm/aamP7P+7LfJTm9qTpFBA7rIRDc2M5HJWTW1iTI5S+mczOgh/wlV9YqJ9ZA2i9I9Hws0&#10;rl3dbHHpcrysGqZ0zrEixfPubOzbtxLWNhYTLp5TEAHdi5BQNzQ2Jctxxn4mZjyQiH7rgX5loBOX&#10;6zNQeDkPbjmnMCdc/6vbUEDd51HFuHr7Pkbsg/62Hd+/foL4+AgsMFig+K5PBNQHXZ2RKHuwUy92&#10;pWtjZg+jEtApes1ULGyrExbj7v00GX2oNJEwDDM+SDSnqFHZ11xsLBubs7FtVwTCI71h7+QgNn+m&#10;MDKZHuXZZf9yc03/cvqk8id2DtbwW+6LxKzV2HZkK05cOiXLklc/vyF7glN/cBKDqay5onjMjAgJ&#10;6iSmU3/1m123cPFuJU5fO4u9Z/ciJT8ZfkFLZC91TTCDsXw+VDp/qgR1bUQwGWjLg1ywbUcQmu+k&#10;yNLIXb3cI51hph4qb7f6nXhOn63tseLfM+T/Kf+O/kNzC623+wpWyn3uSHMgOfm8vOxxoy4JPQpO&#10;vr7eDNQ9XA/ro2fwvztLMHeIg51hGIZhmJnJnIIy/H7bSZj7+IyylDv1QzeCmfsyfD2L+qFTaVm3&#10;7NO4cDkfl+vGmIFeo0bDXbX0lwzdg002tIfsEnZqYVEMrGwsdOqboQBzTy9b1DUkScFan0pM07WQ&#10;QPvoSQaSU3wGRHTl7zEaqDx4eoaP2I+TqDn9A3Onms7ebNy7n46lfg4y+U3pno8FCuRYGeImj6mL&#10;SoFUmUwrnluKcWM8weK5qYWp9DGtTvTGw8dpHKTB6ASa/x89V16nppLKWjWu1mUiencBPgnV/z0F&#10;tXT5PKIYa4/XA9TnfIQMbyqjvnlzNhYYfDdpvmtjMyOsDPbDy7Ymcf4uxetiZg8jCuha8Tw31w/P&#10;nmcqOg0ZhhkflMlGBlJ7dx7uP8rE+eJkrFodADcPe5hZWsqoSVMSoadI5BwtJMqamGp6mJOA7uBs&#10;h8VLvRC5OgKbDmySYjllSFe/qJVCOfUrZ8F84qAsdSr7Tpn8RE1LLS49vILC+iKs3bUGoTHBcFvk&#10;Cms7lXhuhvK5Ubl3pWc70ZDjgQw9M/HptcgOO3YGyR7KVGKLSiUrvTcMw0wGJKBTFnrsIBE9Gq0d&#10;CQo/O32gIJ2bjclYtNhuxOxzmp9MTE1w4OBKsVbnvxfY09uTiYcv8uFz5gT+h8VzhmEYhpl1zDlQ&#10;jj/n74aVkwMsR9sP3coEhr6JmB9bgfmzoJT7p+FlCNp8BBers1FVl6koAihB4jmJAw+facSLwXuw&#10;qUAroG/avFwKyLry0dB+k45XsD9Er8U+EtGpBVtQ8OgqOClBmcfU452CEPq5uqlO6BXP5fz5aDg4&#10;UlWE8YvTCxYaITtvqU6qz1Ilhbb2LCmeq6wmPvNc2zJw85bleN6qFu8TtwpkdAPN/8/bslAl1iRq&#10;LaK0Zk0V12+mY/uZLfhLXAk+j9TvPQX1aZ8bXgz/DVfw9j+UZT5SGfc+HD+6Uybmke6g9N7rGvKN&#10;O7vY4fGjGnH+HsXrYmYPwwroJgMRhdt3BMnFjvvTMoxu6emnEu15ePIiB5euJWLTtkj4+HmIBUFT&#10;MsnEzEQaUkrvp75AixeVBjc0XCj/7untjvD4MORsycbxyhO49rRaCrkkkjd03ZK9y+nPs7oM+xRB&#10;ZfDp/lNmurYkfuW9Kuw8sQPxmauwZLkvbO2txLNcIJ/pVIw9jVBlKoO3/AOccPBQqKx8QmXDKGpZ&#10;6T1iGGbiaetIfCeeazPR2zqSFX9W39E6PnPz/GTgzkiOT6qSERnlIQNJ6fcGH6urW43Wl7mILDmC&#10;/9nF4jnDMAzDzEaolPvn+8uwMDkb1rR/GI2DV2UMKxsrfLtsI+bHVv7CuTwT+SS0Aqv27cXV+kxU&#10;1o5NQKfy7ZQBrS8COvlGY+KoH+v4srAHQ6JfQKAznsj9pn5nZJOI3nQ7BQEBzrInutL3+RB0vyhB&#10;JCnZG+2d1LqNs891wZsf87FzV9CAeDw+Pw79vpm5GXbvXTHu/ufd/Tl43pop7S6VOLYuxP3hILvN&#10;3kGF3buD5ZzBOgajS2j+b2nPQk2T/vVBpzLu5yrzYZN5Br+bBmXc54QXY2FKubifTzGaPujV1y7A&#10;xdVezCFjW3M+FpoHjUwMUVNdxAI682EBnRZdR0drHDwcgu7eHNmrRGnyYBhm9NBiS6XZpXD+Jg83&#10;m9U4eCQKMauWwNrOTjryaUOpjT5WejenElpACCr5rc00pz7mASv9kZKfgm1Ht+FczXlNdnnvbY1Y&#10;TkJt+yzvW66H0POgHup1Az3U6XlV3b8sS72nrU3D0uW+0sAxNFqoKcFPRtgkjkk6H61DJmZmskf6&#10;gYMhePw0Qxrr9A4pvV8Mw0wkGcK4oV7oPwvo9HfqkT7dSrlT4Nqly3Fin2sl5xmlOUgL/b+Ti7Xs&#10;/zc0G6ijS40eQd6lAszZXYxP93Dfc4ZhGIaZrcwtKMW8fUUwDo0cdT90lYUhLB098OewozO6Hzpl&#10;m30RUYY1J7aipjFN0fn/IUikuHVfP8RzgmzRp88z4bvUXielsgny/ZAf6PCRMCn4TQdR+dUPebhW&#10;nQA3TxtZel7peylB98zX1xENN5PeC0xlPg56N6hyX0amryyNr3TfxwIl8zg6W6OoKGZc1RCo4hdl&#10;gGfnLJU2lZnFxInn9A5Ryy1XNxucOxcpqxiyjsHoGrkOdWSh8V4WyvVMQCeuN2Rg2eZD+DRM/8u4&#10;fx5ZjG9iS3Gqqhmj6YPe230fAYE+MDQ2UJwDdI2cU0yNcPjgdrx9+xL4aXiRn5nZvCegawaICZzE&#10;Ynn2XBRe/5CPDl50GGZcaHubE20d2SivSkFufhCW+LnB1MISBkZGMpN76PuoD5CQSaVLZC9z8UnX&#10;6ehsh5CYldh0YDOOV51E+e2LuNnVhOb+uzLLnMXy6Qn1T7/VdweNPc0ou1WOQyWHkb4uHYt8qSoC&#10;9ZAa6Jk+iWOV1iRNYIkZVoa44tTpSLS+JGOMDSKGmWxaO5IGhPOfRfTW9lXi/9SC6fE+dvXm4HmL&#10;GvEJi0bMmKH1T7YxyvMbcGb+fJx2waveTOy7sRO/31OM37J4zjAMwzCznk/3a/uh+8LK3EjsJ0Yh&#10;olsawdQrDH+IKsL8GP3PGvsYPo8qxd9ii7Hz7GZcu5mu6PhXQlsi98kL/RHQaU949epquLnbjBiI&#10;OVpIWPRa7IA791Ol6Kh0Xn2k/00ezp2Pgp29CkamFHSv/P0IShIhu97Dww7llXFSmNWXZzrdoTHZ&#10;fDtFJh7oIqiDjrHEzxF37qZ9dDUEav/65FkGMjKXTI54LsYfteaioOc+GlucdMFMEJ1i3rr3JAvl&#10;1e+vWVMNlXHPPbQL34h19wux7iqtx/oCBdZ9FlaE9CM3pID+VkG01PL2pzaZBZ4QHyHmJwPpp1Ga&#10;C3SNiZkx8nNT8O9/PRfnb1e8NmZ28AsBnQYgORP9/J1QdWmV3NBwph/DfDydPZryVh3dubj/OAMH&#10;jsYiLNIbDk4UpUsbU2PZK3zwe6gPaEQDYxgbG8DcwgS29tZYvMQT8elx2HtmD0qaynDl8TWZuXyr&#10;/47ss82i+cyBnqV8tn135J8r7lRi/4X9iE6KhIu7s8ymkP3SzSevXzoZ3FTqzcraAjGxXnKNotYi&#10;1OuLDW+GmQxoP5iJlo6490R0Ku+u/Dv6B80ZhcXRYm0T88oIhhe1UfH11Tgzu4ZkyLzqzUDp7S34&#10;+/4L+PVuYfwpONEZhmEYhpl9UD/0v8p+6I6j7IduCisrMxj4Z+HL2Ap8OQP7oc+NKIVZ8gUcLdmA&#10;K/UZio5/JSj7vLoxC63C7tMXm4/8pCdPRsLWXgVqO6b8TMcG2bm5uX7ye06nIHFKFOnsycHp0xFw&#10;97SV34OETLLdtVBmPf073asVK11x+Wq89JFx6Xbd0f8mFxUXY2HvYKWTMUkCemycl0xa+Jj3TvbJ&#10;f5CGqGivAfF84nye5Ls0FtcbHOyK6zWrB8aW8nUxjC6geY+Cui5RH3Q9LON+tHQ9vks8L9Zd/Q/I&#10;+ySkCIs3XMGP37cM2wddI6B3YNMGtZhPRm7BpysoiWxF0FK8fvVInl/p2pjZwTsBnSK2aFOzbJkL&#10;rl5P0Cw6LJ4zzEdBUZrUK6i1PQfXbyRhy/YwLPJxFQaEphwsGRGTNeGPFimamxrBwHABzMQi4eLh&#10;hBWRQUhfm4ZDxYekYE7ian2npuQ3fbJoPvORfdMHetfT8y5vvoi1u9aIsbEc9k62MDJaKIxkw0kb&#10;zxS5TO+Qja0l0jJ8UdeQiJ6+nGkVqc8w05dstHWkDBLPf+ZlZ6r8f+Xf0w/IIUklN8MjND0rleYY&#10;LbQvpsoXBw+GypKIg/fEfT2ZaH66FrYnTsu+50rOc4ZhGIZhZifUD/2z/aVYkJwNK2uxrxhF9S6V&#10;yhgqOwf8OfQg5s3AUu5zwstgl3kG5yrX4NIYBPSyajVuPVBLQYyq/wze100VJFbu2LlC+nZIIFZ6&#10;nmOB9pxm5uYoKYuRbYaUzqnPaFoU5krxMj5hMdw9bMX3spA9tClg1d7RCsuWO2PfvpV4/CxT9sRm&#10;gVO3vP4+H8dOhMLAaPgqAKOB/DrmFmZYszYAPa/G/qxoDN97mIaISE8YmWjaUyqdRxfQsSkJcEWw&#10;G27dTpEVEXhsMRMNjbEXL7NQ3ajWuzLulbVqXK7LhGPOScwN1/8y7p+GF8E09SKaH5JAPbKAXnzh&#10;MKxtVTCbpKqoJKC7uDqgp/suC+izHCmg0wJJ4nlUlCeamlM0PU540WGYMUGLKAnnb37Mw5Pn2Th1&#10;LhZpGQGwd7IT7xeVP5/YzeNYofeeoCxi6nNNGeeLfD0RnRSFdXvW4uSlU1IwbdT2Mu/gXuazmpf1&#10;smc6lXlv7LmNOjEWDhYdRNraVCxe6gUTE0PZF38yKipYCCiKmdYt6nG1ddty3HuQJg0mrprCMBNJ&#10;Nto61Whtj8fQLHTKTKc+6cq/px9QecMjR8OlU2ik9dhArNvhEe4aR5/4vXfH6FYLgzkH/heO4f/d&#10;WaroOGcYhmEYZnYzZ18JvhCfRiGRsDKjUu7K+43BkIhu5haAbyLPYH6M/ju+x8JvQ8uxeP1RVNVk&#10;oaouU9Hxr0TljSw8fq7J+Bu8p5tKXn2fj7w1fjJLdzQl+keCgjr9/J3ReCtZlr1WOqe+Q74w2i93&#10;dOXg2vXVOHQ4FHsLglGwfyUuFEbj8ZMM6WfmFmy6R74bHdnIX+M/Ynuq0WAmbCQbO0vZ0nWwDTQa&#10;KBGv/mYSVoa4wUSM64kWz+ndiYr2RNPtZPS9mZ7vDjP90AZp1N/RBHkprV1TCQnoq3ftx1dRpZgf&#10;pbwm6wufRxXj68gSnLlCfdCHL5FOAvazJ3VwcLKVwrbSvKBrTGVFXivcvlXFAvos51eaRUdTnuXe&#10;/TSNeD5kcmAY5sOQEUAbyy7Brdvp2LU3FCFhnrBQWWGhoZEUzpUm4qmAxE3Zz1wsNpRlTgI6iZ9J&#10;OUnYfXoPLtQW4kZrHZpf3cXN7mYWy5kPQmOjqfc2mnqaUdxQgs0HNyMobBlU1po+MRSYQeNLaRzq&#10;EspGJyE9cJkzTpyMkP3RpfHOQjrDTBCUhZ6GlvaY90T01vYEhZ/XD7TZ5wFirhgp+5wCdKxsLHD+&#10;QpQMzNEeo6NLjR5BdmUBPtlZgrlDnOUMwzAMwzBa5uwvx9fbT8B8sTdUZoaKe45fIvYfKmMY+Sbj&#10;y9iLmD+DSrl/ElKBZdsO4EZjmqLDXwnqL1vTpEaLsO/0Kav0zY/5SElbjO8Wji4wYiQWGBhBnbUE&#10;nd3T34al50SV4fq/z5OZyASJqiycTxx0v+/eT0XQClfpG1EaY2PBxNwU7h42uP8wbdTPjUT8fvGc&#10;a+pWw8fXQQr5FjoILvkQpGPQd01J9cGjJ+lyjLV1KF8bw0wEnWLMN9/XXwF9x5mt+Dq2GF9E6v8+&#10;4jfBhUg/Vgv8t01mmiuJlwQJ7D/88BT+Ad7S56w0N+gaTcs/Mxw9vF2ef7jrY2Y2v6KSKursJXjW&#10;8ssMG4Zhhqe7T1OqivpUUZRtTv5yLPJ2gJmFhdwwmk9SSZGRIBFT9jM3EUa7+LOdow18xYKTtSET&#10;J6+cRvmdi6hpqZP9rm/2NMuS3UqCKcMoQUI6jRsKuLj86BoOlRxGVGIkHJzt5LiTWekTLKRTmTID&#10;YxMpeMXHL5JtSLp6uaw7w0wc2WLtWz1EQNfQ2pEs/1/596YOKrd54GConC9G6sNHa3hi0mJQb8bB&#10;jkwq3X6wdif+sLcIv9tTrOgsZxiGYRiG0TLnYAX+lr0FVvbWsLSkjGXlvcc7LI2hsrXFX1fsxLzY&#10;yvcczdOReVGl+DKyDCkFe1DdmK7o8FdCU75dv7LPqd83ZVOHhbmL/eIonucIkJ1MgZ379gdLYV7p&#10;nAwzHJQEd6N+NezsVTrJ+KZ2kyuCXYWtpx6VgN4u3k9tCX/fJQ4wMh7/ezEc2szztHRfPHmWMW2r&#10;NjDTG1qX7j/JQqVYqyqGrF1TzaW6TFy4kgvTlHP4fBoI6J+EFmHJhqvo7XmO4cq4k4D9rx+fISU5&#10;BiaTlIFOazQlh63NT2MBfZbzq8ysJWhpU7PQwDCjhITzV2+oTLsw6ipWIX71Ejg628iNJlVz0MWm&#10;dbxoRXNtP3NndycsDwtEztZsnLx0Gtee1WiEz+5bEhbNmfFC46mhq0lCfz97/RxWqxPg6eMugzeM&#10;jQ3kuFQar7qCqj2QMeXgZI0tW6mse7qMeueId4aZCDLQ0h47RECnLPRY8X/pAv1577p6c/DoSYZ0&#10;BlFLFaX5Qwut5XYOVigti5XZDNpjkHh+7cFGLDx0jvueMwzDMAwzKubuLcacA+VYGJsEKxLQVaMI&#10;src0hIXLEvzfDCnl/nlUKf4UW4K1R3fi2s3RCegVNSQCqPFIz8q3d4k95d17aVixgvaU4xcKKajT&#10;1k6FM+eo6hELgczY0LSRzMHJUxEyI3v8/c/JFjJDTo4fXnbQuze8PacRz3NQVBwNDy9b6Q9VOq6u&#10;IH8PtU5ITfNh8ZyZUjrEu/f0RRau1GvWK6V1bKqoqs0U15SFgPXHpoWAPjeiGCaJFbj9mPqgv1QU&#10;Lwm81fzf7p3rZFXdifYvE9Q+1MjEEKtWhYlr62QBfRbzKypzwqVuGWZ4tD2dyKi5+yADx05EIDJm&#10;sZhQVXKTSIbPZEzew0HnN6cNpbGBFCzdvVwQuToCa3auwYlLJ3GjtV5mCdd3Nr7rZz5UBGUYXUAB&#10;GdQ3v7GnGUX1xcjZko0lgT4wMTUUht3EZqRrs0vJsFq23AXnC6NkTzAOEmMYXUOl3JOlaP6eiN4R&#10;L/5fLX9G+XcnFwp6O3QoVDqEhgtyo/mD+vWlpPjIvTFloNPv9/Zk4ElrHhadOYH/5dLtDMMwDMOM&#10;gbkFJfj97rMwD1gGlcVosqaolLsJDJakYH5MBb6c5qXcP4ssxberC7H33BZcaRidgE7l2683qsW+&#10;UuOLGbq3myrIpqytT4TvEkediIUkenottpcVDVkMZMYK2SuUKZ6ZuVQGAetGQDfFhcIodPfmDPvu&#10;UZICBRsXFkXD2cVa+l+UjqkrSDw3Fe9LRuYSjXjO/h1mCqF3g6rR0jpVrmcCemVtJi4LMg7ukevv&#10;fIV1WZ+YJ/gstBhFtXdklreSeEmQeE0i9tUr5yfcrzwYIxMD+Af64M3rJ+9EfGb28St92owyjL5B&#10;G1ISzrvF5qyhMRk7dq3E8hWuYlNpIbPYpjrbnMrEUzkRyjKnBcTZ1QFRqyOw9fBWnL52VoqZza/u&#10;ySxzFsyZSedlvcxIvy3GYMXti9h0YBO8/RbJ6gjERLc5kEacMAIzhZF163aKLG/G2egMo0sy0dYR&#10;L0XzoSJ6W0eSws9PPuRcefAoHcHBbqPKPnd2sUJdQ9K7tkad3Wp0is+0igOy7/kcBcc4wzAMwzDM&#10;cMzZX4Y/ri+AlZPD6Eq5q0ygsrXB32UpdxLRlR3P04G5EWUwSjmP42XrZWlZJYf/UEhAb7ijhj5l&#10;nxO9r3NRdTke7h52UvxWfHZjgOzVgEAn3Ba2ahe31GTGSFdvtmzHGhDoLO0YpTE2Fsi/6eBkhcbm&#10;JOk7UTon0SnO296ZjYOHQuEofn6iM88pCNrC0lxWGXzRon5npzHMVELrU22zZr1SWsemkqsNGdhb&#10;tAFfizVYtlEZsi7rG78JLULeyXr899+UaT5cGfcePH58Aza2lhPuT9ZCWoubuxNu1pVLAV/pupiZ&#10;z6+UJgGGme2QyEYbRtoU3mxMxpr1y+C1mPqbm0sH/FRmm9MiQX2lNb2lzeHk6oCwuBBsO7oNhfXF&#10;uPa0WvYzb+y9zaXZGb2Bqh9QRvrFu1XYuH8TFi/1EkaQmRzHE7nxIUOSDLrF3vY4fDgMrS81fcI4&#10;eIxhdEE22jrT0dIeI0XzX4roMeL/04b8/ORC7zn15Dt6PFxmlivNEVpoPaW5gkoWdnZrep/T7/f2&#10;qHGwbifm76W+58pOcYZhGIZhmOEpxtwD5fhnUvaoS7mrLIWd5OqHbyLPYd40LuU+J7wMFhlnUHot&#10;R5aWVXL2D4bK4VbWqvHgqX5lnxMkoF++Gg9PL90I6AZGxoiM9gD1Vmf7lBkrXb05qL+ZBEcnlazC&#10;pzTGxgKN6ZBQDzx4lCaPrXROEq87u3Owe0+wmMcsZBCIylr5eLqA/Dkk7G/fHiTekRwWzxm9gQT0&#10;pntZuKhnGejE5foMnK/Kh4NYe+dG6L+APieiGEvXXUFv70h90LvQ2nITfksXTVofdDMLE9jZW6G4&#10;8LA4f7fidTEzHxbQGWYQJJz3v8lDG5ViqVmNtAzqb24tN6PUW3kqM84pY9fQcIHYpJrB1csFYXGh&#10;2FCwAaVN5ah+UStLs5NASZ9KAibDTDXavvtU3v3yo6tYt2cdfAO9YS42JNR6YKICU+i4xsKwI4Es&#10;YfViNDRqIqopYltpHmAYZmy0dSQqCOjUD30V2jszFX9nMujqzZEl/gKXu47o5KR1ntb72vrV7zIu&#10;+nozcfU+9T0/j1/vLlZwhjMMwzAMw4yOOQWlmL+3ECYrwmBlbqS4H/kFwoahUu4LfZPwZUwF5k/T&#10;Uu5zwsrhlHccV+szUKng6B8KlcO92qCWpan1UUC/WLUKbu62OhHQFxoaIy7eE69+yFc8H8N8EPFu&#10;dAlb58CBUKisLXTiq6TxuH5DIDq6NMHEg89H7V+psldLmxrbdwTBysZSJ+/AcNDxzYWNRuej5Cb6&#10;voOviWGmElqfKNCrqlYP+6DXZaKyJgshWw/hd2Flv1iT9ZHPI4thmFiO5+1PMWwfdHSgv/c+ElaF&#10;w8jUUHHe0DXmYi9GeszunWvF+XsVr4uZ+bCAzjCC9u4s2d+chPOi4hjZV8fegUoRmUqn+lRlnFNm&#10;rrGxIQyNFsLF3VH2NF+/Zz3O3yiUIiSVx37X0/wll2hnpgc0Vus7GtHUextVDy5j7e41mh7pJoYw&#10;ncAoQjIqKUKaMgYOHQmVvdGHK03GMMxooF7o1KNylRTNfymiR0txfap6oXf15si+fPTuj+RUIodR&#10;Xr7/O4dRV7caL9py4XP6BH7Nfc8ZhmEYhtEBnx4ox/9tPARLN1eoRiOiWxrDytYWfwveg3lxVe85&#10;nfUd6r36RUQZgjYdxpVRCugkRDTc1T/xnOj/Pg9nzkXCytpS+okUn9kYkAL6Kk+ZxKF0PmZqIP8g&#10;+Qle/5CHNz/mS14LyGfYpSciLr0f1Dd/daK39Fvqov85+UrOFUaK7/1+QAfdD/KXZmQulcK2qQ7G&#10;/3DQOWztVThwcKU4f7YsGz/0mhhmKqF38GlLFi7V6Z+ATtTcTEfm4Z0yiE3f+6DPj9KI6JVN94YV&#10;0N++fYn//qcde/dsxAKD7xTnDl1DehCda926DHFtrxWvi5n5sIDOzFposaOMcyrv2t6VjQtF0UhI&#10;XAxrG0tZSmsqss1pYja30PQ1p9LWNvZWCIkJxto9a3Hy8inUvWzArf67UjxnwZyZCVDwR/Oru6i4&#10;U4n1e9fBzctZjH1DWSZnogJXjM1MpMMjKdlb9jomY3BohDXDMGNBU8q9VZZyHyygk6Aeg5cdaTJr&#10;QPl3JwbNGp+DiEiPEbMjqK+erZ0KF6viZAZQR5caPeL3M6v247e7SvApl25nGIZhGEZHzDlQjm9T&#10;cmFlZTHKUu6GMPUIwh+iLmD+NCvlTr1XvxKfibv3y5KySk7+wWhFiEfP9VNAf/V9Hk6diYBKPLvx&#10;+os0VdJMkZnli77XHNStD9CYoxLhZLeUlsVi89ZlyMlbguzcJVi73h+HDoei6VaKfF7kS1Q6xmTR&#10;2ZOFp8+p/7mTFL6VxthYoFLpbh52uHo94b3xSJnnj59mIC3NV9pVZhPsKzUR12LnoMLJ0+Hof53H&#10;vhpGL2kXtHZk4Uq9pnLK0PVsqrl2Mx07z23G31YV4/NI/a5gIwX0iGJsPnMT+In6oCuLmASJ2BUV&#10;J2FguFBx/pgIFhgsQNyqMLx59UyK+ErXxcxsWEBnZh8Dm+Kevlw8a8nEiZMRiIzyEBs0Kymcm1lM&#10;bBkiJUg0J8HczNwY1nYq+AZ4I3tzFk5dOSNLXVOmLlHbzqI5MzOh0u7UgqCovhjZW7Jkb38TM3on&#10;xm8MKkEODwNDY3j7OODU6QhpJJNhqDhnMAwzKjSl3AcL6BoRnUq5v+xUCybP+dHzKgcVlatg76iS&#10;ArnSPKCF1v7kFB9ZlYJ6mb3qzcT5pq34pqAIv+HS7QzDMAzD6JC5+0owb28hTIJCobIwlqXalfYn&#10;P6Mp5W7gr8aXsZRJNn1KuZOA/nVMCXIP7Rm1gH65PkvsHzViptIebyrRtYBuamaGNev8WUDXA0gQ&#10;Jz/hpcvxiInxgoOjlQxw+G6BEb4VULUAlZUlFnnbYfOWZXj4OH1KA/Hp3GXlcXB2sZHit9IYGwsG&#10;xsaIjPTAwycZ0La6o3eQ2hbce5iGqGjPSWlraWymEc/pPeuT91f5+zOMvlDbnKWXGei05p6pXAub&#10;zLP4NFy/y7hThvxn4cUI2XoN//1PC/B2uD7ovai5Xgg7OyuZeKU0j+gaKhfv7++Npw9rxPm7FK+L&#10;mdmwgM7MKrrEhrjvTR4ePc3A6TORWBHsqpkMTUx0sukcCxYCEzNj2fuZ+gctWuKJhMx4HCk/iqtP&#10;r6O2rWGgpzlnmzOzA9kjXYx5yko/X3MB8RmrYOtgLQxXQ2Go6f79pDJlZARSz7Cc3KW4ey9Nzg8c&#10;4cwwHwO9N2q0dsRL0XyoiN7WkTTk5ycQcvb05yIlxVussVTNQnkOILQZDsUlsfL97+nJxJ1na+B4&#10;/DR+vUsYcgqOb4ZhGIZhmPEw50AZvtl0CJauLrAcRQsrlcoYKgdn/Dn0MObFVCg6oPWRLyJL8cdV&#10;Rdh5disu12UqOvkHI8u339H0W575Ajr5oUyRkckZ6FMN2f9UuerIkTA4OKpgKOwHyrQeWhGPqtiR&#10;75D+b2WoGyoq49ApfncqAvGpzPruPSvkNelC1F6w0BjrN/rLUvV0fHr/qFpn850URES6y+894eK5&#10;qSnc3G1x/kKUDBCY6ix/hhkNjXf1s4R7ZW0mrtSp4bfxMH4Xqv/Va+aEF8MwrQL9b14AGE5A78bD&#10;+9ewZIkXjM1G0QpHB5iIfZq7uxMa6srE+XsUr4uZ2bCAzswKaONFxs7jZ5k4cSoCIaHuMDM3m5Ty&#10;Q0OxEOcjQdDYyED2NY9OisK2I1tRfueipqd5V6Psa87Z5sxshcb+za5bUlA/WHRQtjEgAZ2qNCi9&#10;U+NFGsLCSA5c5iKNYKpOwT22GOZjoH7oaaCy7UNFdCrv/rIzTf6M8u/qDsqUqK5ZDU8vOxibDh+V&#10;TI6asHB3tL7MQleP2C+I319Vdgj/u4v7njMMwzAMMzHM3VeMz/aX4Z+p+bCmPcmIpdzNpIhu4hWK&#10;30tns35nk2khAf3P8YU4WrZuVAI6lcF98FStt1mnFGxZXBoDB0frESscjQbKao7lHuhTDom1J06G&#10;w8bWckTbgSAhmWwIewcVNm+mbPQMGQQxWUEfdJ6u3hykpnnLMaR0jWOB/CEUFHLkWJj0m1KLy77X&#10;edKeWuLnCIMRApJ1gbGJCRYtdkDV5VXiGibvXjLMeKAy7nceZSmuZ/pAdWM6kvbtxfyIMsyLUl6n&#10;9YXPIorxl4Qy3LjzYAQBvQM9XXcQFRUMA6PJKeNO/miqjlpSfEScv0/xupiZDQvozIyFNlwknNNm&#10;+HmLGseOhyM8wkMK5xQ9OdEbwMFQ5CqVFiEBUGVtjmWhAVizcw1ODfQ1b+q9g/qORs40H46Xmgxl&#10;vkezB3rWt/ru4OqT69hyaAt8/L2FYWUg3yWl92w8aLLRTWSptp07V+BFq5pLujPMR0EievKAcD5Y&#10;RB9cyl3p93QDrf3k8Nm6bTkMR1jryfllZW0pW7nQ+97fk4kT9dsxf08RfreHS7czDMMwDDNxzCko&#10;1ZRyXxEGKzNDxb3KL7A0gcrGEv9cvgnzYqsUHdD6BvVdXZB0HqXVWbg0goBO4vmVhiw8b6OMYOV9&#10;3lRDQZqXr8bLIE1KxlB8TmNAK6CTaKl0PmbiIX9h9Y3V8PC0lX5Cpef0IaiKJfkQQsLcUVERK0vA&#10;U9XLiRZ/yW5puJmMpX5OoxL8R8LYzESO6avXV8sx3iO+w8WLq7BkqaPMxlf6HV1C991rkT2qLsfz&#10;u8BMK+hdf/JCI6BXDFnT9IGrDenYcnIb/hpXhM+j9Lv9yxdRJTJAcH9JI4CXeKsgYhJvf2rDf//T&#10;iZzcFHy74FvFOWUi+G7htzh9ep+4tteK18XMbFhAZ2YkXb05YvOqEc6Pn4jAyhA3MeFZyD6nQ8sw&#10;TRRSNDc3gamZkYxWcvFwQlJOoizRfvFeFfc1HyV1HY2yPzZl51Npb4L+TP9Gf1b6HWZmQRUZ6F0p&#10;a65A5oYM2Dlag/qjm1vovqw7OUIomyAhYRFu302VkeRc0p1hxk5rR8IQAV0jolOfdIrUVvodXUAO&#10;pbv30xC0whWGJsNnZJDTyz/AGY+fZaCvPwu3n66F1bEz+M0uFs8ZhmEYhpl45hwox5827IfKxRmW&#10;5iNX21JZGsHCeTH+GH4C82IvvueA1jdIQHfJOoWy6ixU1Y4goFerUXdbf8u3EyQuXroSDw9P3Qjo&#10;5J+KjHaX5cP19TvPZCjhpqVVjcRE7wFfofJzGg7y+5HI7Ohkhdw8Pzx4lC7tkYksP04ic1FJDGxs&#10;VTIgWOm6xsJC8d1Dw1zR3ZsjAwrOno+Cq7vNmAMKxgrdOzoH2W3XqlfLCg/8HjDTCRqvL9qycKlW&#10;P8u4U+DaqfJ1MEw5j7kR+t8HfW5YEVbvpz7jL/H2J2UhkwBe4eCBLbK672RpPN8ZfIe1azPwrx9b&#10;8PbtS8XrYmYuLKAzMwoqu0zlr54M6nFOpYioPDOVJVKaBHUNTd7GpoZyIrd3tEVAsB827FuP8uYK&#10;3Gitl33NSQC+wZnUw0LZx3Svrj+vQXFjKQ4UHcTmA5uxaf8mHCo5hJKmMlx/cUP+DGelz3zoGVPQ&#10;RH1nE05cOomwmJXyfdNsmJTfxY+F5goqyUYR1yWlsejq0USSkzNHad5hGEaJTLS2xw0R0SkLfWJL&#10;ufe/zkVhcZR0Jg1nTNG8QY7PbTuC0E17h54sxJcfxP/sLMUcBQc3wzAMwzDMRDD3QAW+TciElZXY&#10;t4yilLuVpSEW+qbgy9iLmB+tvxll5AynEu5+a4+jYhQCekW1GncfZaFTT7PPCV1noJN4GLjMGXfv&#10;psokEKVzMhNH/5tcWTJcU5J/fM+TxgP5EAICnVFYFI12YeuQGK103vFAgh0dd8euIJ2Ub9faRGvW&#10;+ePNj/k4eiwMTi7WYmyO/9jDQbaaoRTu3dF4K1n6cVk8Z6YbNGZb2rNw/WaWfvZBF1ypy4R9zknM&#10;CdP/PuifhBTBa8Nl/Pc/rcCwAnovLpw7ACtrC5hNQGKVEoYmBoiNCUFP111x/k7F62JmLiygMzMC&#10;KvFFUZgtbVmyJ1VYuIcUwWgjOJnCuZGxgSwx7eXjgQR1ghR6q1/Uygzahs4m1LVzxvRokFnnPc04&#10;XnUCq1Jj4eRqL7P43yEWSCc3B8RnxOHstbO4SdnpfG9nBfScqT969fMb2HRgk3zXjIwX6nzTRIYk&#10;lUOzc1Bh+/YgtLxUS4eJ0vzDMIwyP/dD/2UWemtHvPh/KuWuWxGdguio/UJqqs+IGRO0N3B1t0XT&#10;7WT8+H02Ltzaij8VFOKT3Zx9zjAMwzDM5DF3X4ks5W7mHwiVxShEK5UJVLZ2+EtIAebrcRa6VkCP&#10;2nYIlTeyUDmMgE7Cw5V6NZ6+0N/y7QSV6G5sSoZ/gJNOsnPJ3vRd4oD6+iR0c/uwSYXGWXdvLnbs&#10;1I0QTWiSaUxhbWOJ7OylaLiZJEV6XWajd/Vl4/HTDMTFecl2VUrXMRZMLUzh6GyFouJY7NkXDJW1&#10;JUzMJj7znLL2STxvak7RBBqweM5MQ0hAb23PQu0t/cxAlwJ6Qwaitx3EfLEez9fzPuifhhfBIqMS&#10;j549xvB90Ltxo7oIrq6OYr6a2GAfLXQeP79FeP60Tp5f6bqYmQsL6My0hhYrMjQouvNCYTQSVi+W&#10;Gz4yZobLPNMVdA4SdE1MDaWoS73N1+5Zhwt1RWjqaUZjd7MU/DhDevSQeE73a83uNXBwsoOh0UJ5&#10;b+leD4b6YBsZGcDVwwm7Tu6SQQosos8eqHx/Y+9tlDSWITE7AVY2FuI9NJJjQ+ld/VgoEt3UzAwJ&#10;iYtx70Ga7K3MkdEMM1qoH3qSFM2Hiuj078q/8/FQuURywri42YwYPEdlGtVZS9HdlYknL/PgfPIU&#10;/r9dpfhcwbHNMAzDMAwzkczdX4Y/r90NlYMtVJYjBwZTKXdTr3B8FV2K+TH6WZaVHPXzokqRtn8v&#10;LtVmorJW2cFPlFWrUXNLjZd6XvGrqzcHd++lIZhaBemgNzTZmq5i31pxcRUHa08y9CylEL1qkQxk&#10;UHo+H4vMrhbjw8fXAcdOhMlEn55XuinTTy3m6m4mynGji2QhOoabuw1SUn1hY2s57kz8kaB7Y2Jq&#10;KgOem2+nolfcF6XvyTDTiaZ7WSjXQwGduFyXidzDe/B1TDG+0PM+6J9FFuOvcWUorbkDKuOuJGQS&#10;QAc6Xt5CQKCPzAxXmmt0jZnYm9nbW+PO7cvi/D2K18XMXFhAZ6YlUjjvoz7nObh6PQHJyd6wtVNJ&#10;h7guegCNBInmpmbGYnNpDFsHa0TEh6Gg8ACq7l/Grf47stT0jZfKwh/zYUgUJfFcvTFT3l/qc610&#10;/wdDJbxtxSK2/dh2KaJzsMLsgnqjUzuEgvP74BOwWIwbIxlcoTRWPhaaU2huofJ6FytXyXmHMl2V&#10;5iaGYd5HuR86lXJPF+jmXaJ9QVdvDg4eCpWOn+GCaeidpmC7kpJo/PB9LtZe3odPdpVgroJDm2EY&#10;hmEYZqKhLPTP9pdhYWwyrMwNFfcvv0BlKvcy3y7fhPmxFb9wQOsLWgE9/9gO6cAfTkCnzL2m+/qd&#10;fU60d2XL9l7xq72w0HBkX8VIkHhJfqzTZyNlCWulczITAwXeNt9JxZKlThMiGlsIpDCvskB8wmJc&#10;r1ktbRXyJShdz2gge4eu+0JhlMx011UrO1s7S5iLsTjRvlQa75TslJ7ui2cvMtE3ASXuGWay6RDv&#10;5b0napRXK69vUw2tv/sKN+OPcUWyKozSeq0vzBP7hs9Di7GnpBFAu6KQSbx9S9np7QiPXCHW4gWK&#10;842uMVeZSZ2ioaFcXFvve9fEzGxYQGemHZRx3tOfK/vk5OX5wdHJSm4eJzpSkiDhnARbyoj2XOyG&#10;5LwknKu5gGvPa2Q2bEPXLUWRjxkd1M98y6EtsKAABfPRl2GhZ0Jl3k9eOqUJXlA4NjNzoaoFjT23&#10;UXHnosxGt7ETc4Lsja47A5CMU0MjEzi7WEuBrqM7m/vUMcyoIIE8E60dSv3QqZS70u+MHXon2zqy&#10;sDLETbZvUXqPtRgYmyAszB0vnqWi5skm/HF/IX67h0u3MwzDMAwzdczZX4Y/bD8By8XeUJmPLM5S&#10;Frq5iy++iTqH+TH619uUBPTPI0uxt2Q9rjVkKDr2CRLPL9Wp8ei5RiBU2ufpE9//aw0y1D5YYDB+&#10;AZ0ES1NzMxw8HCL7Tyudj5kYSIi+eSsZbu62Osnk/hDkpzQyNZEZ47t2rcCjJxkyWOJjyrpLe6c9&#10;C/lrAqQPVOl8H4uuxPgPQeOc7nNOrh+ePs+U91/pOzLMdIMCvx4+y0KFngrol+oyUXg1B/9MvCDX&#10;ZKX1Wp/43xWFSDlWC7x9ibcf6IP+9qc2UBn17OwkMRfq1vf7ISgoytDYAKdPFcgMeI2Ir3x9zMyD&#10;BXRm2kCLEm007z9KR8H+lfDwtJNOck2mmfIEpysshGFDpcTNzI0REOyH3O25KG+uQH1HIxq6muSn&#10;krDHjB4Sz4tvlmLREk8pfio9hw9BiyX1n49cHS6O1cBZ6LMQeub0LlIZ/4LzBfANWCzGkYHOs9GN&#10;xZyjsrJAXr6/7LVMJdSU5iuGYQZD4nY6WtpjBwnoGto6UuT/K//e6KF+gNeur4aTi7XcFyi9vwSt&#10;F+Rw2r17Od58vwbLzx/Drzn7nGEYhmEYPWDugQr8PWM9rGwsYTmSHaMyhZX4NPBX62UvdMok+2Ns&#10;MY5UrBlWQKeyt9cb1WJPqJ4WAvqr7/OwboNGwNSFH+q7hUbieP7S1zUdvv9MQbZ+up2CRYvtJ1RA&#10;J2icaHyXZghe6YayiljZhnKsvgQS3Z++yIB/gPOw9o6+QddqbmmObduXi++Qo9Oe8Awz1ZBW8eRF&#10;Fi7VqlGhsMZNNVW1mWKdzcLi3BPTQkD/JLQIfpuuoq/3OT7UB10joHdi5441MgGPssOV5h5dQ2L9&#10;ts15+O+/W6TAr3RtzMyEBXRGj1Fr6FKj51W2LJd15my02HC6yrI/kyGcazPOLcVkHBIdjM0HN+PS&#10;g8tofnVXiuYs1OoGuo8koG/cv1GKnh/zXKmUiqOLPY6UH5XHUjoPM/OhsdTUdwelt8qRkpcEa1uV&#10;LOuuNGY+Fm3psYTERbh3Pw29r3LZ2cEwo6CtM2WIgE4Z6XHi/zIE43Ok9L/Jxdp1AdIxNdwaQqUU&#10;Pb3s0FQfjxNNuzF/bxFnnzMMwzAMoxdQKfd5BSUwDg4bVSl3ykK3dPLEn8OOYV6MfpVyJ0e9ZfJ5&#10;nK7Mx5X64TPQb96dHuI50fc6D3sLVor7b6GTktfUKiw+fpEsad3FFc4mja6+HDx8nI6ISA9pHyg9&#10;G11DNgr5EaxtLJGVvRS3mlNkGfOOUQrKND4aGpNg76iSNo/SOfQN8ttSAsL2nUHo7GbxnJl5kID+&#10;vDUL1xr0sw86CeiVN7IQvf2gLOE+X2G91ifmRBTBIuUi7jx+hA/1QafMdBLQz53ZL+dT0m6U5h9d&#10;Y2JmjFWxYXjziq6tQ/HamJkJC+iMnqFGW2cG2jrIma6WG8S+V1vR2LgR6emBsLK2hKHx6Et7fwyU&#10;nWZmbgJTUyNZCjo6KQr7Cw/gypNraH51T/bZVhLumI+H7umVx9cQmRA+5uzzdwhjxNjYADnbcnD7&#10;9T3F8zCzByrlT0Eue8/tg6e3mxxXutxU0TxhYGiMZcudcelyvBTRqaSa8rzGMIyWto6k90T01o7V&#10;ij87Wsjp9PyFWgbYGRp/2AFGTiv6/+REDzxuWw+nE6fxv7tKFB3YDMMwDMMwU8Gn+8vxpw37oXJx&#10;gspiJN+HGawsjWDkswq/jynF/Jiy95zRU8VnEaVwVp/Bhct5uFynLKDLbL1aNR48nR7l2wnKXC4q&#10;ioGj8/BVj0YLibfLlrmiqTllXP2xmbHR3i1siK4cbNgYiAXCrld6NhMFBeRTezgfXwfZHq6lTS2f&#10;/XD+BHo/unpzsHdfiDzGRPcr1wU0th0crHDkaJj4frksnjMzEno3W9qzcOOWfgrolQLqg557dJcM&#10;bKP2Kkprtr7weWQJvhHXebnpHobrg04CdkNdORydbMVaPDlzOJ1n+XJf9PXeZwF9lsECOjPFUJZ5&#10;Jto60iSUgdbetQa9/bvx7/+WoqvrEo4cWgdPL8o6N4WpxcRFFZFj3cTMSAptdo42iE6KxIlLJ3H9&#10;eQ2aem+jvrNJUahjxg/1ji9rroBv4GKZSa70fEYDldkPiQmWYjwHOjCa3ujNKKovQVxKjBgjZjAx&#10;1V02Os0ZlDFA2aznC6PR84qNQoYZDW0dq6VwPlhIfzmOUu6UfV5YFA17ByuYDbNPIEeTtY05Th8L&#10;wdqaA/jfnVy6nWEYhmEYfaMYn+0vg2FcMqwoAHik0qSWJrCys8OfQ/ZjXmzle87oqWJuRBl81pxE&#10;ydVc2YNVybFP2eeX69RSfJguAjplLtfWJcLD01aW5VZ8JmOAxFQ7sYe9dHUVXn3P7cEmEyqbX1oe&#10;I1smDGdDTATabHRKBAmPcEdl1SrpS+jpV65upxXQY+K8YKLj/ucTgbH4bk7O1jhxMkLaap297Cdh&#10;Ziba97XhThbK9bQPOrVRKShZjy+jSvReQCd+HVyIw5dvgTLQ3yqImQSJ6/19D+Hh5SK1HKV5SNdQ&#10;i1AXVwf0dJO436l4XczMhAV0Zgqg/laUZZ4qSBeLTb7YKG5FT99BvH5Tgbd4ICfC+toyxMaEw8zc&#10;TJbJoIxPpQlMF5BoS9nLbmLijUuLxfHK46h9WY+bXZos1qHCHKNbKFu4pLEUXt7uckFSekajgZ6j&#10;+yJXnLl2Bo29XMadGeiNLsZX9YtabCzYABd3R9kvX2n8fCwystrJGnv3BYu5LIczBxhmWMh5konW&#10;9vhBIjploa8S/05BdUq/Mzz93+dj4+ZAGdBCziil95QgJ6efry1K69fC4EghfrObS7czDMMwDKN/&#10;zCkoxR+2n4TlokVQjcI+plLuJouj8BVloUfrRxb6nPAyBG85gorqbFQNI6DX3yb/0PQR0Km1IAmd&#10;QSuchV2pm9LfCw2NceJkmBQalc7JTAz0HFta1UhO9pGVLifS5/ghtO3hHBytsGatP5pupUhhv2uI&#10;4EzX+vBxBnyWOGiEd4Vj6QtU8WuxtwPKymPR+2r4zHqGmQl0iPWr6b4aZXoqoFMbFWqnYpFyftr0&#10;QU87Uov//KsVeKvcB510o3/9+AyBgT6TKqBTpeInj26wgD7LYAGdmRI6uzehp+8AXr0uxPc/1OA/&#10;/3koJsUuMQG9QnfnfezatR52YlIykv2wJ24TS5MfCefO7o5IzU/FmetncbOnGQ1dTahtv6koyDG6&#10;h+73xXtVWB4WOK4MdIoatra1xKGSQ7jVf1vxXMzspK7jJm52N+NE1UkErPSTIrouS7pT+T5zS3Ns&#10;3BSI5y2ZMjNBae5jGIbQiOgt7asGBHQNrR1JA/+n9DvKUMDKvQdpWBniBsMRnEkW4p3PSF+CmJLD&#10;+PWeUkWHNcMwDMMwzFRDFXLmHijHPzLWw8rKbOQsdJUpVDaW+FvwbszXk17on4aXIWZ3AS7d0PRg&#10;VXLqk4B+9/H06X9O0LVSNm1ikjdMdZCBTlBAdrrYo75oVUuhVOm8zMRAJfkbm5Phu8RhQERXfkYT&#10;jSzrbmwirsMRBw6GyJ74FFChfTeoZdy5c1Gy4tZEVuYcLxTQ7O3tgKrL8bK/+3R6txnmY+nszsKd&#10;R/pZwp24XJ+Boiu58Mg5hbkR+i+gzwkvgt/6K+jpfQ7gwwL6v//1HMmJUTLpUmk+0jXa1hnUe53O&#10;//Yn5WtjZh4soDOTiKa/+avX5/Hvf9/Ff//7XEw2nQABEs+7UH29CKEhgTAwXghT84mJqpQ9zi00&#10;Pc4dXeyQvi5NI5x33ZLlnm+8VBbgmImjjoIVWuuQkpcEQ8OFis9tNMgyWMYG2H16j+xXr3QuZvZC&#10;2ej0jlc9vILE7NXSETWegI2hmInNlLGJKdIzfPH0eSa6hTGuPBcyDEPQnqC1I05moGtE9FhZmWYs&#10;Ivqr7/NQVhEDlZXFsL0Aae23Vpki90Aa/nKoGJ/u4exzhmEYhmH0F8pCn7/nAsyWrYDKzFBxfzMY&#10;lcoYph4r8KXsgz71DvJPQsuRfmQnqhvSFR36JJ5X1arxtEWTvae0z9NHSBDs6s3B5i1B0v+gi17U&#10;FIy91M9JBoVyNbPJp1/YE1WX4rBosb3M7p7K/uJ0flNzM0RGeqCoOFq8G9lyTLz5MR/rNgTA2NR0&#10;ykT+4TAXthYFAISGueFGbaJsb8fiOTNb6OjOwv2nWbLfOK1tSmveVCKD2GqyEbL1kAxuU1qz9Ym5&#10;EcWwTruI1vanoDLuSoIm3mr+ffOGLKkfTUYFEToHJWLt2bWeBfRZBgvozCSSKTZ/a/Hvf90TE12P&#10;GIAv5YQHdKOv5z52bl8DBwcbGBgtlJsvpclqvJBYZmJqCFt7a8SmROP8jUIpqlGPc/pUEt2YyeFW&#10;3x0cLD4ElbUFzMYRPGGwcAG2Hd2O5v67iudhGKoyQZ+bD26Cs5sjjE0MdbbZkiXYTE0QGeWBRiq/&#10;JoxxNhwZ5kNk42VHGlraYwYE9ChhJCWgXfFn34fKAVLbhO07gmS2g9I7qcXcwhRLfOzhvv8A5uwv&#10;497nDMMwDMPoPXMOVOAvuTtgZW8NS4sRAn9lFroK/1y+US96oX8aVo78U1txozFN0aFPmXo1TVlo&#10;eTl9yrdr6erNkeWprW0tpP2n+DzGAAm25Ae5ej1eZkQrnZOZWCjDu/5mEqJjvOQzNdZRdYGPgcYD&#10;idF29ipkZC7BzcZkPG9RIyraY0SbZyrQXm9YuDtu30n9ReY8w8wGKAjs8fMsXKrTTwGduN6QgdSD&#10;u/FbsTYrrdn6xDzq0y5ofvbogwI6idf0fyeO7ZJJkpMloJuaGyNLnajRsz5QXp6ZebCAzkwabR1p&#10;6O0/KgbeCwFNdB2SxpsViIwIkj0rJqrsBjnOKTPZzsEGUYmROFF5QiOkdTdrsp8HiWvM1EAltm+0&#10;1CE+PU5svhd+9OJHzzlzfQbqXjZwGX7mg9R1NsrWAaeunIL/iqVSRKd5QmlMjRUyIMmwDQlzR/WN&#10;1eh7zQYkw3yYbLE/SB0Q0TWZ6C/F30eThd7dl41HT9IREeEhS18qvY9azE0N4RMbij8WnMen+0oU&#10;ndQMwzAMwzD6xNx9xZhXUALjleGwMqcen8PbyFaWhjBzC8TX0YWYLzPR33dMTwafR5Xib7HF2H1u&#10;E67dVM5AL69W49YD9bTKPtfS1ZuDB4/T4ORqpRMBnXwfdJwdO1bIAFG2HScfuuckopNQvXffSrh7&#10;2Embfiqz0akygYmZKRZ72yM9Y6nMkKd/U/rZqYLuD2XFJyV7S/GcA0CY2QitY89asnC1QX8F9JrG&#10;dGw4tRXzI8swT2Hd1ifmR2my0M9cuy1F6rc/vS9oagT0LtyoKZnEDHRquWKI2NhQce52FtBnESyg&#10;M5MGlWV98/1FMcFQyfYe/OvHFzh0cCucnO1gpMMM0MHQMU1MhKEpJrmV0cE4VHwI9R2Nslw7C+f6&#10;R0P3LZQ1V8AvaAkMjT5ORCcBPSk7ETUttfyMmWGhqhNU+aDy3iVZkYL6I4+n+sFQqPya1yJ7VF1e&#10;JctMsyOEYT4EZaKnvMtCb+lYJf4tU/Pvij+vQWaKNCbCxs5yWOcWrSX21iZYmLUBcw9WcPY5wzAM&#10;wzDThk/3l+FPGw7A0sUJqlFkoVtbW+KfgesxL65K0TE9GZCAviC+CAWFGz8ooFfWqvHwmaZ3rNI+&#10;T5+hPuXPWjIREekpBU7FZzEGyClPxwkNdZc2I4noSudlJh669/3f5+Ja9WrExHqByqnr4hl/LDQ2&#10;KLjClAI19Kx0O12XiZkZ0jN98aJNze0HmFkLzdtUTeV6o6a6itKaN9VcFWsxrckLEwrxWaR+90En&#10;Af2ziGJsONWAt/9pBRQEdIIqGj97WgsbOxWotLrSPKVrDI0N4Bfgjf/+p0VmoStdFzPzYAGdmRTa&#10;OjLERnQj/vvfO2KC68eTx3VITYmVUULGZhRJrTwxfSzkLKeyGlSyPSDYD3vO7MG1p9Vo6r3Dpdr1&#10;HCqnf+7GBQSG+H9Uf2oS0JNzk1hAZ0bNze5bqH5xA+v2rIOdg7UwAnU3J1E5dxLRyyvipEFJvZGU&#10;5kiGYWivkIxWbSl38efhBPT2Lk359sNHQmUmxnC9AC0sTODg5Yo/bz6A3+0vV3ROMwzDMAzD6C37&#10;y2AcFgMrsaexHCHIXGWhyUL/JvIc5sdMTanWuRFlsEg9j+Nl63GlPuM9Rz4JDNduqvG8dfqVbyek&#10;yC32ojt3rtBZT2oSap1drFBzY7XMcFc6LzN5UKDui1Y19h8Mkdno9JynMhtd35CZ8CoLbNi0TNhw&#10;VBmMxywzu6H3oOaWprrK0DVPH7gs1uJTFetgk34Wc8QarbR26wvzBSSgh2+/jn/9SEK1cqY3ZaC3&#10;ttyEl5cLTGl/pDBX6RpjUyMsWuyGp49viPN3KF4XM/NgAZ2ZFKg865sfjsvJ5VLlGSxduggLDRfC&#10;bAIihEj8MjM3hoe3Gzbu34jLj6+hsacZDZ1NiuIZo3/Q87r86CpS8lOkIK70nD+EiVjMwleFyt+v&#10;72xUPD7DDIXGCpV0P1B0EO5iM0RleXRVFYOMbUcna5w8FYE+YYhTxoLSPMkwDJE8kIkeK/6cLlB+&#10;Xyg7hIxUTWbI8HsJlelCGK8Ixfx9mlKoio5phmEYhmEYPWVuQQn+b9MhqCgL3XIkJ7EZrAX/WLYJ&#10;82MvKjqnJxoS0MlJf7piraKAXlatRt1tNdoV9njTBbLrqi7FSVFVF3ajuTiGuaU5Nm9Zjr7XeYrn&#10;ZCYXEoV7+nNRV5+E5BQfGShBbaN05SeYrlBGvpW1BbZuWy7vEYvnDEP+iSy5rtH6NnTN0weq6jJR&#10;ejUXHvkn8Ltp0Af9s/BiOGVV4YcfWgB8SEDvRGfHbawIWirmpYlpCTwUStZ0dLLD1UtnpYCvdF3M&#10;zIMFdGYSUKP3VR76+kuxv2A77OytYWRioPNNp7bPuZOrA9LXpqH89kU0SFHslqJgxug39354hL1n&#10;98HAcIHi8/4QpmZGCApbhsr7lzhoghkTVLGAKiCcv3EBy0IC5Dylq77oZGjb2Vvh1OkI6RDhsnwM&#10;82HaOpJkFnpbx2rF/ycoEIX6n3stspNOHKX3TiL2GjYqU/xjtRqfHqpUdEozDMMwDMPoMxQA+HlB&#10;KRauSoXVSGXcBSpLI5i7BeDryAtTkoVOznnPNSdQdi1XOu2HOvKpR+zth+ppXZ2Lej0330nB0qVO&#10;IwZzjhZDY2MEr3SVfbg56Fo/oKpX9KwpcPfgoVD4+DrIVm1mOvITTDfouzs4WeHwkTBZDayrl8cp&#10;wxC0nt28l6W3JdwrazNxrT4T/psP4TchFYprtz5BAvo/k8rR0ftsGAG9A6/6HyBxdSSMTA0V5yxd&#10;Y2ZhAmsbS5w+uVecv1vxupiZBwvozIRCm82+1zlobFJj9eoQGJsaC+NC92U1KFtUJT4jEsJx+uoZ&#10;WZK5vrOJy7VPY5pf3cOuU7s/SkBfHhoo+1qzgM6MFZozqALCxbuViE9fBTMzY531RSfHip2DCidO&#10;RqC7lzPRGWY4NCJ6DNo608Tf339XunpzcOpUJGxsLWX/PaV3TmJhDJWrM/6yfq/sIarklGYYhmEY&#10;htF35hwow1dbjsHK1UXubxT3PVpUptI/8s/lmzE/ZvId5SSg+6w/isrq7PcEdBLPL9er8fQFlUH/&#10;5f5uOkEB0cSaNf5YYKCbFmDU51o65s9G4PUP+YrnZaYGst1JSG9sSoZavVRmYBsaT07JYH2BkgJc&#10;XG1w+kykzDpnfwbD/AwJ6M0PsnBRTwV04kZTGuL27MVcsUZTmXSl9Vtf+DyyGH9cVYZLN+8NI6C/&#10;xH/+/Rwb1qthYLxQcd7SNdRrnbLQd+9cJ87fo3hdzMyDBXRmwqDNFPUNulAYBd8lDmIy011JZInK&#10;XApbxiaGWLrMBztP7JR9rxt7b+PGS2VxjJk+fKyATmPCy9cDpU3lMpBC6dgMMxJUzv1Gax1ytmRJ&#10;41iXIjo5RXbvXqGZJzlim2E+CInorR3x4s/q9/6P9hfqrKUwNaOymcrvG2FlZgjjJf74oqCEy7cz&#10;DMMwDDNtkfuYA2X4Nj4d1uYjZ1qpVMYwd/XDH6KKMD9mcvudUnbbiu37UXMz/T0HPvWHvd74/t5u&#10;OvLmx3ycORcJMzNyquvG17XA0Bhp6T6yxzpXLdM/yAahZ3P+QiSCVrhKUVlXFQj0FbK1DIxN4Ovr&#10;gMrKVejpy0EHi+cM8wvau7Jw73EWKms1gWJD1z594LpYk/OP7MQfxTr9RVSp4vqtL3wRVYyvY0pw&#10;7GKzFNDfKoiab39qw08/deHE8d1YYPCd4vw1ERgYLcTateniuvreuyZmZsICOjMhUDRie2c29uwN&#10;lhmXRia67UVBZZWp17WDsx1ytmbj4p1KmTVa38E9r2cKHy2gW5jAxcMJxTdLWUBnxoXsiy7YcmiL&#10;mMds5JwznFA3WozNTGFmbiZ7hlFmbVcv9wxjmA+TjLaOlF/8m8aZmI2QMFdZ6lLpPZOozGClMsXC&#10;qHh8eqBC0RnNMAzDMAwzXfj0QDm+3nwElh7usDQfIeuZstBtVDIL/YtJ7oVOAnrYrn2obUp734lf&#10;o0bjXY3YMHh/Nx0hv1fTrRQEBDrL0taKz2GMmFqYwsnZGleuxqP/DfdC10fIFqFnc+9BGjZsDIST&#10;i7UU0oetijVNocAQY1NTBK1wwdVrCeh7nYv2adx6gWEmClrTHj7JQpUeC+hXG9Kx48w2/CNe7Cki&#10;9VtAnxdVgi8iipF7tE4joP+kLGwCr1BVdXpSBfTvFn6LlNQ4vH3LGeizBRbQGZ1DEZkPHqYjO3sp&#10;zMUGctjepB8BlWunkhmhsStx5tpZmSlKfc65XPvMYjwCupuXCwvojE6o69D0RS8o3A+3RS4wNjGQ&#10;1S+Uxt5YMDU3k8botu3/P3v//RfVtfb/4//L5/v4fN73+76PmkQTTXJSTk6KwBRmhi4INuxdLIBg&#10;L/RmAexd7L3RERHpHeydMnRNcu5T8vruaw1jLEvqADPD9cPzgdEwe8/ea++99npeZbEINuLeYQzz&#10;MShDKfKtP5sWK/ML1mPqNHcRkCK7xgTKXMHg4YKfopMxmsu3MwzDMAxjB4w+kYOfQrfAVXnvpWBB&#10;6RyoCxe9E1RTA/DFEPZBp0XvL4IyEJ5yCIWV72agZytQdt6Dp1F2IdCJV7/FI37bPDg4Wa6ct4OT&#10;Crt2L0ZLW6woCyzbLjO80PildxIiL38dgoKmKu/3ph7hlgi6twZovcJJrcHKVVNQd2+ryDy3l+uW&#10;YSwNXRtPXkTjVpn1CvS8sgiczkiE0+brGBNo3QKdSsyPXpGG4EMFoFLtHxfo7SgqvAEXFx20uqGp&#10;BkIZ6MuXL0SzsU7ZfpN0vxj7ggU6YzHoYUFRmCVlG5UJ1lSoLRyBKSIfnRww1d8PiccSRbl2Ic6b&#10;WJzbIwMR6JMme+JGWRoLdMYiUHAOSfSLty9h1gJ/ODpOtMhLMd0fdcpLtlmicw8xhvk4re1HYGxN&#10;RIMxAq9/j8exlACxSNVduUyD8jxw9p2MCfsvYsyxdOkiNMMwDMMwjC0x+ngG/rrrNHR+vjD0mIWu&#10;houbG35Yug+fheZKF6ktDZWFnaAQc+KgKBf79uI9SQWSCy8a7Uegd/wahytXg+HuaRA9zKXnoY+Q&#10;BJgyxUP026a+27LtMtYBZaPTOXpZH4Wjx5Zh1mwv0Rt9qETOYEFrFZR5vnHTTDx4FK58xziW5wzT&#10;DXR9PK+PRp4VC/RbpZG4fiseuvDLGL1qaFu79If/XpGKydtv4R//W48//pCLTepDXlWZA9/JXtBY&#10;qPVmTzipHTFvnj8ePyhUtt8i3S/GvmCBzlgEioqlCVVO7lrlJuItJoyW6ndOn6PWUulkLUI2B+N6&#10;8Q0hs0q5XLtd01+BTuNEp9fgSuE1UdZf9tkM01dIole21uBGaRpWhC6HSpkwUSUM2RjsC9QvjSp1&#10;sERnmI9D0rylbS9e/ZqhXCM7lflGNGJi52CiY3ftYbQw6NXQLlqKT46kcf9zhmEYhmHsh+OZcFoZ&#10;AhdlrtNTdSwXnQNUMwIxISRjSHqhfxqUge/XpGHX+X24U/6hQC+pUeZ2yvyu6b35nq1CAvX5y0gs&#10;XmK5Mu4ElQSPT5gv3g+5F7r1Q+ep89c4lFduQpxy3tzcqZWluttgX2uF1ii0OmflfWsentdHiSqj&#10;su/MMMy71DdFIb8iCllWKtBvKuSVRsI95jz+snLoKtP0l1ErU+ESdRP1jU9BZdxlYhNoxaMHhZg3&#10;dzpU2h6CCi2EWquCn98klBanC4Ev2y/GvmCBzgwYKj3c1hGHCxdXven9Y6mSRZRNTPJ8ygxf7Dm1&#10;B4UvSkxStFEuuRj7YSACnXrks0BnBgMK3rn14DaC16+C2oISnSK893b1RG/mcu4M8wENzWHofJ2K&#10;f/+7Cg8fJWNZgI8I1pNdUwLlWWBQrk/HDRH4RGSfs0BnGIZhGMY+GHM8A18nnYDe20sEDErnQmYo&#10;C93DE98FHMHY0JvSRWpLQn1Vf1qfisNXdot+q28v3pNAr31oP/KcoKxDEox79y0RgdGWEqb0fug5&#10;yUX0QqdkFdm2GeuDxoKxJQY5N9eKypyikqZGI9apZOfZ2qD2WAZXnRjPDcZotHbGip+y78owzIdY&#10;s0An7lREYH7iKXyyKlOUSZc9x62FMavSMHFjNopqHoDKuMvEJmWAN9ZXYcXyRSIzXHZfszTkqtzc&#10;9MjOOq9sv126X4x9wQKdGRDU76e+IQr79i+BwUUnJoaym0t/UGtMkUOUdU5ZnxUt1Shr5qzzkQIL&#10;dMZaKW+uEsE8W7dthdZZLZCNxb4geqJ3SfTmtljORGeYD4iEsXWH8oLyEuVlqfD2NojgE9n1JKBF&#10;KuWl5usdRzGG+58zDMMwDGNHiMo6CprlgTDoes64MugdoZq1DuNDqK/o4PY9JYH+y4YbOHptF25L&#10;BPrj59Ew2lkp6Jb2WFTXboHfFLfu56d9gJJSnDQabNgwQwQccBa67UDv8u2v4/DsRSSOpwRg5mwv&#10;qNQaqLWWWy8dDGjsUlJUSspyNLXEiGQp2fdjGObjlNRYbwl3Ir8sAiH7UvC58qweGyx/jlsLnwal&#10;4a8hGbicV9uNQDfidedD5VkZLHqTy+5tlkZn0ECjdcLVK8eV7XdK94uxL1igM/3DSJGVsXj6PBIx&#10;MXPhrDNNtmQ3lr6i02vhpHKA3/TJ2H1iN4pelope1lRCWSazGPuEBTpjzZBEL1F+hpklum7gEp36&#10;pNFCybnzq9DxinuMMcy7RClE4o8/spCddRFOTg7ifi+7lgR6DQxT/PD53vMs0BmGYRiGsTtofvPt&#10;9kMweLgo854eslsNahi8JuOvq85iXEi2dKHaUlBfVefwK7hyc5vot2petCehkF8ehRcN9ifQzXKb&#10;Sl5TRUbpOegHlIVO2cAXLgbi9e8JH2yXsW5Etc7OWFTWbEFs3DzRJ99BpRLv/LLzPZxQprynlwuu&#10;31iN3/+5TQSFyL4TwzDdU1YbbdUC/XZZBKJSjmCC8rweGzy4AXUDZWxwGj5bmYYDqRUAmqRi84//&#10;NAD/aca27RH4aeJP0vvbYPDjz3/HqVP7lP36VbpfjH3BAp3pFxRNee9hGDZumileEGhiL7uh9BUS&#10;URTFs3LNciFARa/zpgqpwGLsGxbojLVTZqwUgT3x++Ph4q63UCa6Bh7Ki/XFS4Gi/BtLdIb5k6aW&#10;SLS2JWHvnq2Y6OggvYbe4KyCbukKfH7oKsYczZAuPDMMwzAMw9gqo49lYJwyz3FevFSZ9/RUtlQL&#10;g0ENh/nR+Dwka1DLtpoF+uWcdwV6VmEUyuui7bYcNCWY3ClcLySppdbHCGpZtGixD+7e3yq2Ids2&#10;Y73Q+zxV7mztiEN6ZiiCgqYq7/xakY1uTSKdBPpkPzckbJuP3FtrRVAIyX+ufMAwvYeu98q70e8I&#10;a2sjrywCO84exNeh6fgsyLoFOvF/lt5AxIWSjwp0AniNgwd34sefh06gk6zfsyde2X4z/vhDnh3P&#10;2A8s0Jk+QQ+Dzl/jUVW7BStWToGTWm2RHk8kPalku+ckN8Tvi0P+kwIhz2XSihkZsEBnbIGy5ipU&#10;KveqxOOJQqJrtCrpuOwLaq1aLLxcuBQo+t0ZW+X3Y4YZadDi0/2HYVixfIrozye7fsy4aB3x982x&#10;+CQlS7rozDAMwzAMY+uMUeY530fshKurMv8xdD83MhhUcPbxxxfBqRgXkildqLYEo1ZmwSP2AnKL&#10;o5Bb8ueifWZhFO4+pmxt+TzP1qFs4xf1Udi0aSYcVQN/J3wbkugJCfNFb21u9WWbmNdSqaz72XMr&#10;RVl3EukUQG8tIl2r14qxNsnbFes2zEBm9hqx7/QOJsq5c3A/w3QLXee1D6xcoJdG4vC1Xfh2XSo+&#10;tQWBHpCKgIMF+Mfv9fjjjwap3KQy6mdO74dK4yScgOz+ZmkmOk1E2NY1+P3Xx93KfcY+YIHO9Bp6&#10;EFBG5J2iDVi6zE/Ic0vcmEh2Usn2WfP9cSrztCjXTuWRZbKKGTmwQGdsBcpEp7GWeMxyEl2l0QiJ&#10;fvlqkHjRZonOMKbMnsqaTfD1c+s+s0d5DrgqP7+O3YfRJ3KkC84MwzAMwzC2zujjmRi/7wKcZ8+B&#10;QdtDFrpBA4OrHj8vSsTY0BzpQrUl+MvKLHjFn0NBRThudi3YUzlbkumPqP+5Hb/X0HtbekYI3Kg6&#10;mc5y/a6d9Rq4uOlw6XIQOl5zlTJbprUzFm2v4lBTtxU7dy6Ej6+rRSsWWALKjqf1Xg8vA9asm4Gc&#10;3DUiOITWg1s6uAoCw3wMujfXPbRugU6VYc5m7cTf1t+wCYH+PytSMX1HHpqbnwH4mEDvwOVLR6BT&#10;npX0vJTd1yyNk8YRK1cuQlNDlbL9Ful+MfYDC3Sm19DLQN7tdZg+w1OUbbdElKTGWQVnhdAtq5FR&#10;nYXK1hou2c4IWKAztkSpsUIE/4hMdDcd1MpkSk+ZIJIx2lvoPjttuidu3lqLV7/FS+/LDDOSaO+M&#10;RfbNNV2ZGt0sNOlUcJnii68SUzCaM9AZhmEYhrFjRp28ib+vj4IrLRp3m+CghYveCeqpSzE+JEu6&#10;UG0JKAPdL+Es7pRHvBHoWUVRKKg09T+3Z/lL2eH1jdHYsNFf9LqWn4f+QVXK/Gd6obR8kxCZsu0z&#10;tgFdA6as7lgUFG5A6JoZVifRab2X3rlIpru667FunT8uXwnCk+eRYm2ipYMrITDM+9C1/eCpSaBn&#10;dz3/rA0S6OkFMfhh4zV8Ejh41WgsxahVqXCLyMX9p5TpLS+VDrQjN/sCvCa5QaMbeGvN3qDWOmH+&#10;fH88e0Ll5Vmg2zss0JkeoQfAK5Lnd9YLeW7KPJffQPqCSuMIT283bDu0TfQRLm+tloopZmTCAp2x&#10;NSj4p7ylGntO78Hkqd5QqXvqRdgzlIlO912S6B2vWaIzIxfqv9ek/Ny9e3HPpQ61jnBesBDjD1wW&#10;/UFli80MwzAMwzD2AGWhf5N8Eno/X+idneRzIzN6FfSeXvgh4MigZKGPDVYIzMDyXSeRXx7xZsHe&#10;1P88yq7luZnO3+KRlh4CD0+DkI/S89BP6N1wxaopuP8wXAhY2fYZ24CuhY5f41BbtxVr100XAt1a&#10;Srm/D7XtdFSroHXWInj1NJw7vwr3H4SJ/aegkZFwXTNMb6Br4dGzaBE8Zq0CPbckEpmF0dCFXbEJ&#10;gT4mMA0OG7JRdvdhNwK9DYX51zHZl1pjWDZ47WNodSr4+Xnhbl2esv1W6X4x9gMLdKZbaDLU2h6L&#10;K9eC4TvFDU7qgb8AkOAksTR99lQcv34cle01KGuulAopZuTCAp2xRUiiV3fU4UTqCYtIdJ2Cg0qN&#10;eQt8UFWzBW2dvFDCjExoPvKyMQrrN8wUAl12vZhxUf+CH4PWY8xJLt/OMAzDMMwIICUTTgGBcNGp&#10;eshCV+ZJekdMnLken4fexLjVli3fSgJ9XFAGgvaeeCPQqXx7jsLdR8p8bgS0pWqi72iMQVjYbKg1&#10;PVRN6iPOtJamfGZs7DxlG6a+67J9YKwbCgymKgK5eWuxQHnPp77j1irP34bGsoMT3WN0WLTYB0eO&#10;LsODR2EimIMwcn9+ZoRDAv3JiyjcLOl69r0nr60BEujZRdGYHntelHAfJ3mWWxOfKfOK8YHpyCy9&#10;i4/1GqcM8If372DWnGnKM7KHQEILQaXi3d31qKzIVrbfLt0vxn5ggc58FLM8v3gxEO6eLmJSJ7tp&#10;9AUSm1TmIiBoCa51CU4u2c7IYIHO2Cp0T6OxRxLdd6qPqLYhG6u9hV6mqfLH8hV+qL27lUv2MSMS&#10;mpO8aIjC/AXe3Qt05RngatDg+81x+MvJm/JFZoZhGIZhGDuCstC/TzgAvYcb9Poe1m30yruJ93R8&#10;s/IsxoZkSxes+wsJ9M+DMhCyP+UdgZ5XFoUnL0xyQTbPszfaOuNQUroRPr5uPQZ+9hWtXisygfft&#10;WyLW65pZotsULco5o7ZUZ8+vwmQ/dzhaqMLnUEJjkPZbr+y3/ywPJCYtRFXNZjQYTVn19N4m++4M&#10;Y+/QM+5FY7RNCPT5O87iMxsQ6MT/WXYDp/NruhHozXjxrAzz5vvDyQKVQHuLg9NEFBenK9vvkO4X&#10;Yz+wQGekGFupJ08cLlwMgoeXC1TagctzrbMaGq0Ka8JDkfcoX/QLptLtMgHFMCzQGVuG7m0VrTVI&#10;uZGCSb6eyr1vYFGQ9FI90VGFzVtm4umzSPHiLbt3M4y9Qhk2dfe2wHuyS/cLkXo1XCd54m+xezEq&#10;JVu6yMwwDMMwDGNPjDmajk+P3IB25mwYKAtdNkd6AwUbqvD3hTswbk3uBwvVA+Gz4Ax8FZKOuJOH&#10;cLvMJNBF//OKKDQYR0YJd6KpJUZIxOTdi7uy0GXnof/QXNjVTY+Tp1cIWU8ZzbL9YKwLytJuao7F&#10;gYNL4eKqg8rCJf6HGirtTm0KaDxO8nFBbNw83Lq9Fi8bovD693gO7mBGHGaBnmPFAv1mSaQoMR+8&#10;96TtCPSAG0i8XgH80Yg//vOh3MQfTehoe4SA5QuF1JbdrwaDiY6/ICf7IqiEvGy/GPuBBTrzATT5&#10;Jnl+/lII3EmeKxN+2Y2iL6g1TnDzcEHM7mgU1ZcKeS6TTgxjRgj0S4fg6Ni3hx8JdB0LdMYKoEx0&#10;kuh7z+wTCxzaAfbiobGtUqsRHT0Hxq5FGdk9nGHskZb2WFy4EARXd+Va0nVTCpN6f06bhm92n8ao&#10;49z/nGEYhmEY+2fMUeXnsXRM3BgNg57Wb3ooG653gvO05ZgQfB3jVluuB6pMoJNEKKuLUt5f5HM8&#10;e4Vkad29rViwkCqSDTwh5X1oPiwk+imW6LYAtWJ7/iIScXHzhHjWdPc+Y2NQgAiNR6qa5+5uwMbN&#10;M3HhUqAI/H/1W7xYtxgpwTPMyMYs0KnqijUL9Fzl57qDKTYj0P97eSo2pZTgn/+gbPOGD+TmH/9p&#10;EFnga9auwi8OP0vvU4OBk9oBx44km7b/h7w/O2MfsEBn3qG5jRap43HuYig8vFwtMtEnee7l44E9&#10;p/agvKUaZc1VUtnEMG9T3VmHlNQTohwv9RaRjS0ZWp0aPr5eSC1P50ANZtgpNVagQrnv7TyWKBY4&#10;qAqHbNz2FnoxJfbuW6zcr2NZojMjAnoRpUXIpORF0OlNwSSy64Nw0TjAcd5CfHY8w7SYLFlkZhiG&#10;YRiGsTfGKHOfL3edhstkb+h7en9W5lIu7m74esUpjAvNkS5Y9wcS6F+HpmH7mYPI6xLolOlW99A0&#10;n5PN8+wV+r7UeuvS5UAYXHTKO5zls40p+1dI9DMmic7vhtYHjYOO13Goqt6CtetmCMlMJdBl59Me&#10;oOAAqpxHfdIDlvvi0OGluHsvTARD0/scy3TGnqGxXd8UjYLKaOsV6Ap5pZGIPX0QY5Vn9jhqvSJ5&#10;nlsTf1mZiqW776Cj40U3Ar0VmzeHiAx0neTeNBhQufjdu2Lx73++VLbPAt2eYYHOvMEkzxNw9sJa&#10;i8lzldoBvlO9cTL1JMqbq4RMkkkmhnkfkt9pFemYNW+GMo5638PESXlYBq1fhfynhSgzVko/m2GG&#10;EhqHFW01SDqeBFd3w4AlOpVIo0WYU6dXKi/j8ZxtwNg9pgXIWGwJm9V9GUyDFq46NX5ZFYpRJ3Kk&#10;i8sMwzAMwzD2CJVxH3v4OjQBgTA49/T+rIXBoILj3DB8HpKJcaszpIvWfeXToAx8u+4GjlzfJRbo&#10;SSDkloys/udv00Jtt4zR2Lp1FhycVIOyqK+m1kbK3HjXrkV4WR8lRLpsX5ihh97TO36NR17+Osxf&#10;4ANHlVoIZtl5tDcoSECMeb0zZs7yRFz8fBSXbBDl3WmMUkY+i3TG3rAlgZ5w9oDNCPRRq9IwIyEP&#10;xpZnHxHolJneim0JYSKJs7uEC0ui0jph65YQ/Pb6sbJ94wf7xdgPLNAZgbE1Ci0dCThzcRM8JrlB&#10;bYGe5yTPZ86bjrPZZ4UMpXLGMrnEMDLMPaTj9sYKKd6bLHTRKsBdjzNZZ1HVXiv9XIYZDkQmujKe&#10;E48lwdXDIColyMZwb6Fsg0nerkhNDxER7fzyydgzxlbTy+iSAFp46iYAxaCBi5sOv2yIwuiULOni&#10;MsMwDMMwjL0y+kQO/hq1C67KnKinMu4Ggxq6ybMwIegaxoVYpow7CfTv1t3A8bTkNwL9dnkU6o0j&#10;U6ATlIVeXLoR/jO9oLLAOpsMjbMWWmcNwsJmo+5+mCibLdsXZuigTOvW9jhcuRqMqdM84KRRrjcL&#10;98K3BShggNqCUhKA1yQXrF3nj2vXg3D/UTg6f40X1wevZTD2glmgF1ZZr0AnbpdFYu+V3RhnIwL9&#10;k8A0GLbk4GnDE2mmt1mg79geMeQCfe3alXjd+ZAFup3DAp2BsTUSTW3bcerCFnh4WUaeO6kcMXvh&#10;TFFGW4jMxnKpVGKY7ihrrsTN+7cQvDFIGVMOQjrKHoSm3tCOcHHTY8/JPShrqkBJE485xrow9USv&#10;Rvz+eNEPvS+tCWRQ+TeK5i4s2iCyc2X3d4axB1raY1BesQn+ynjvtjqOck0ZPN3wY8wujD6eKV1Y&#10;ZhiGYRiGsVdo/vPlnnPQz5wFvbOTfL5kxqDMqdxc8OPS/RgXkiVdtO4rZoF+9MafGehltcp8bgQL&#10;dKLz1zhcuRYsAj0Ho5Q7QaKS3g+XLfNDfsF6IdG5UtnwQKXKjS0xOHJkGdw9DCL4XXbORhLmPukU&#10;REI/lyz1xYFDS1BcslFkpFNSAI1XlumMLUPjt0F53pXVWm8PdCK/PAKnsreL/ueUhS57nlsTnwWn&#10;4dvQDNQ9fyQV6AQJ9COHEsU661AJdLVWhcWL56Ct5R4LdDuHBfoIx9gSifZfE3E1eyc8fSZBpe7h&#10;JasHzCJzDsnzsjRUchYwM0BIOOY+yMPGmA2ibDWVvyb5+Cdq5e+c4D93Og5eOCDKZXO1A8ZaKVXG&#10;Z1F9KbYmbOmS6AOb2FEZuKXLfFFdu0W8qMvu8wxj69CiSlp6CLwnu4rsBdm1QBh0yjXl442v9pwT&#10;ZUxlC8sMwzAMwzB2zYkc/Lx6I1y0DqK9jWzOZEILFxcNnPxDMC7EMn3QPwnMwA8bruNCznbcKolE&#10;dnEU7j4a2fKcoGpKzW2xiImZK4JBB2txnz7XUa2G7xQ3nDixHPUNUSLQmkX60EDjnDKqHz+NQHzC&#10;fCGKRYl9ybkabJyVsWCt5eJJplOwB5V49/f3RETUbNxIC8ELZbzSmkZLO49ZxjYxC/SKOuvOQCeB&#10;fjJrO8Yqz21bEOiUJT9qZRrKn1Cm98cEegvOnz0Ig6tuwMlKvUXjrMacOTPQ0lynbL9Zul+MfcAC&#10;fQRjbI5E66tEpOYlY4r/FBE5I7sh9BplEkRl2+csnIUbpSTPa6QCiWH6SnlLFYpeluDi7cuI3R2D&#10;JasWYt6SOVi4fD5WbwrGnlO7kVWbI/rsl7A8Z6wcGs8ljWXYkrBZlBcayOROvHyq1Ni4aaboJ8YS&#10;nbFHqLzfsePLlTFPL0MfXwgiga6ZNs20eHw07cMFZYZhGIZhGDvnLydy8H1UMlw9XKHXd19d0KB3&#10;gtZ7Br4OvmqRMu6fBGbip03XkFEYjdySSLFQ/+QlJW7I53gjiZb2WNy7HyaCnykIWnY+LIWQ9Hpn&#10;rFk7A6Vlm0Q1Jy6VPbiQ8KVKAxXVm7EqcOqbsuWy8zPY0BoBVTugBBQaC9Yq0gnaP7oePL0MWKJc&#10;GwcPLUNN3RZRtYLGbCv3SmdsCFsR6LfLInAuZxt+XHcDn9mIQB+zKg0X82uBPxpEyfb3BScJ9HNn&#10;DgypQKcquT6TPdHYWC22//4+MfYDC/QRSlNzOFp/3Y3reQfhN2OKMmkZWOY5oVKZMs9vUOZ5G8tz&#10;xrJQ5i5lo1Nv9ILnRbjzrFChCIUvS0TWeXmL6d9kv8sw1gaN5byHtxG0fpWo2jGQLAR6IdY6a5GY&#10;tFAszFC/Ndl9n2FslV//kYCkXQtFsEh314pBr4ZmwWLTAjILdIZhGIZhRiCjj6Vj/MEr0M6aAxdn&#10;R+mc6Q0GDVxc9fhp4XZ8Fpr7waJ1X3lfoOeXR+FFI2egm6Gg0DuF6+Dj6yoycKXnxEKIctkaDSb7&#10;umHP3sWovbsFbR2xQkrK9o3pP0bR7zwWt26vxdx5k8S5HS5pbS6VTv3wT5xcgbnzJ0GjNZX3p3+T&#10;/Y41QMEGNF7puFEFhcioucjICsW9B2Fo7yrxLjv2DGNN2IpAzyuLwOXcBOi3XBWtV2TPc2vCLNCP&#10;ZlQB//mYQG9GTuZ5eHi6CrEtu89YGmrJ4upuQGODsl8s0O0aFugjkKbmCLS+3o3c6jOYPttfmUj1&#10;8FLVC6g/9exFpp7nQp43yqURwwwUkuSlxoo/oX7nLM4ZG4Qy0W/dz8Py1cvEPVR2b+0tNHGjCPOU&#10;E8tNPdda5fd/hrE16CW0tSMOW7b64xeHboL9DFoYDBqoA9ea5DkLdIZhGIZhRiijUrIxMWQTXCnw&#10;sIdAXRedAxxmrMYXoVTGfWAL6STQf9h4XQj0m8WRKK01yQQW6CboOHT+Fo/LV4Lg5qEf9AxlEqYa&#10;ZxLpavjP9MTxlADU1G0V/dEpK53Py8Ch49jSHotz51bB188Nao0GOsm5GCrofHt6ueD69dX47V8J&#10;uHsvDAcPLcW8+d5CUKu01B9Y/rvWgEgOEMEfpl7pS5f6Yf/BxSgp3SgkerNyvGXngWGsiZoH1t0D&#10;3eYEugIJ9IRzZfjPP+uBPz4UnNSDvKwkA5O8PZT74NAJdBc3PR49LBIC//19YuwHFugjDJLnLa93&#10;Ibf6LOYuXSjKBw8k85F+11y2neR5VRv3PGcYhuktFa01SKvIwJxFs0Umuuw+21vUWiof5IbsnLWi&#10;ZzQviDD2AC1KPXoSgcBVU+Go6qbVDAl05efEzbH45FiGdDGZYRiGYRhmJDBGmQt9v/Mo9F6eMPSU&#10;iaV3gt57Gr5deQZjQ7Oli9e9gRa4aSHeM/ISsoqikVMUidqHLM/fp6nVVM593/4lQhAS0vNiYUic&#10;anXOmDvPG3v3LUZV9RYRpErB11TBjHtO9522zli8bIzCnj2L4eauF9JXduyHEso0pyz4p88iRGZ8&#10;i3J+qfIBBU4cOboMc+Z6Q62MBcKaS7sTYr1ZOabUK336DE9xzTx5GsFt6xirhp55dY+ileegXF5b&#10;AyTQr9yKh2vYVXxiIwL9k8A0bDhSjH/+46Uo4/6+4CSBXlKUNqQC3VwqPif7orL9Jvzxnw/3i7EP&#10;WKCPIIzNygSqMxlFjy4jIHQlnJwcBiTPCRI+b8q2c89zhmGYvtFYLqp2XMy7hGn+fiKoSXav7S0U&#10;VT5/oTdq725FG5fnY+wACgYpLt2IWbMnifEtG/cCg+nf/hZ/AGOOs0BnGIZhGGbkMuZoGj47cgPO&#10;M2f1LNBdtHBV5lF/W5SEsWtuSRevewMtcH8WlIHZ8eeQXRSNmyVRePiMekPL53gjmea2WLyoj0JE&#10;5Bwxvx0qkelsMJXyppLeM2d5YmvYbGTlrMGzl5Gi5zTNu6nEO2endw8dGzpOj5+Fi2NIQRAkpGXH&#10;fCgxVRzQiH16v3c47S+V8Kd1gqNHA7B4ia/IlDdleg//vvcE7Scd45DQ6aio2iyCF94+JwxjLdiC&#10;QL9VGom023Hwj7+AMYGZ0me6tUECfWFiPn777QUAuUB//LAIvn6TlHtFN4kXFkQIdOW+m3r9FAt0&#10;O4cF+giBMs8b2vei9FkaQraugVqjGrg8p7LtC/y55znDMMwAoBYEVR11OJF+EpMmewxIotNLs5Na&#10;gw0bZ+JFQ5RY/JA9ExjGVqBSfTm5a+Hj6yYWhGTjnqDy7XoPF3y+6wzGHM+ULiYzDMMwDMOMCI6m&#10;YczRdKiC1prmSD2s/Rh0DlDNXIsJISTC+5eNZhbo/nHnkVUYjTsVkXj6MhpGFrFSSFY/fhqBNetm&#10;CIk+0PW5vkDCnoSkRquBu4deZCzHxc1DZnYoqmo348mzSCFcOdP3QyhTn45NecUmBCz3FedOayWZ&#10;3HReaT3g7LlVosrB+0EQ9N8knunfnj6PwPnzgVi6zFf87kRH1ZBVQ+gv9P1oP0miP3keyeOTsUps&#10;RaCn58dhzvbzNiXQZybk4fVHBXoT/vHbM8yYOUW5Lw8sMam3mO65Wpw7fYAFup3DAn0EQPL8Zcse&#10;lDfkIXxHtDJJVpmiZCQXf2+hzHMfv0m4nH9FiB/uec4wDDMAGstR3VmH/ef2w9XdoLy89r/kEE3i&#10;qPfZrl2L0aq8HHM5PsaWoR6NV68FicUgGtuyMS9Q5jUGXx+M26O8BHIGOsMwDMMwI53jmfh222EY&#10;XPU9CnS9Xg2D93R8veo8xob0r4z72wI9syAaJTVRqG8yyQTZHI/pymJ+GoHQ0OkiM3yoe1PT9kia&#10;UpCqKOmt/HnqNA8h9U+eXoEHD8PR/ppbg5mh/tskbdPTQ0RPeQcVJSbJj+1wQOdyylR33L2/VUhy&#10;2Xcg6HxS2X6S6c9fRuHM2ZUIWTMdrm56ODrRerH1inQ63o4qtSjnTpUcuMIFY23YkkCfvc22BLo2&#10;LBsdrz4u0P/3H8+HVKCTPKe1211J0aKsPAt0+4UFup1D8vxF827Uthdj26EkZUJMk+KByXPKjvSd&#10;6o3TGadR0VItsielQohhGIbpNSVN5ShvrkLsnhhonQcW6EQLIO7uely5GiwWZnjRg7FVfv1HAs6c&#10;XyGyDWRj3YxBp/z7nLkYt/8yxhxTXrBkC8kMwzAMwzAjBKrIM3b/JeinT+9VGXcX5efflh7AuNAc&#10;6eJ1T5gF+owugV59P5Kzz3sBVVu6+2ArFi+ZLMTgcApZkwzQCDGs1miwfLkf0tJDhIwd6UHZ1Euc&#10;eoofOrwMXpNcRAa/7BgOJ7QGsG6dv6hEZ+xlJTo6rxSwTMEuN1JXY/0Gf7i5G8T3IyFvTQECZmiM&#10;+kx2Q3nF5m4DBRhmOKCgjgdPWaBbGhLo323IRNur5x/PQP/9Gab7+w25QN+zK4YFup3DAt2OIXle&#10;35Is5PmBi8fg6q4X2eeyi7630O+7e7rg0MVDomw7y3OGYRjLUdZciTvPirAuYq2o9NHvUn6uVClE&#10;jSnT3FFavhEdv3I/dMb2MLbEoKUtFkm7FmKiY/cvQSTQtQErMe7QNVGyVLaQzDAMwzAMM1Iw9UFP&#10;hSp4HQzOPS8mGwwqqGdvwHgq4x7S9zLuZoEekHwaN4uicP9xFJo5O7RXtL2KE32dA1bQwv/Q9UTv&#10;DnoPdXBSwdvHVQRlU+b1SAzKpu9M3/3Zi0gkbJsPvUEnzpHsmA0nJLppv6hyQEt7388VZaR3/haP&#10;Zy+jkF+wDuERs0WggNZcncCKstLpu6qV/UpKXiQCAJqUd0bZdxoOaH+o/7zoOd9pwvzn/pwXxvYg&#10;gf7oOZdwtzSfBqXh23WZqHn8qJsM9GdYuGCWcs8aOoGucVZj+7YwIc9Jor+/X4x9wALdTjHJ8x24&#10;15GHs7mX4TvNZ0B9dQmKqjG46pB0LBFlxkqUNlVIBRDDMAzTfypaq5H7IA/LgpbAyWkidJL7cW9x&#10;VKsRGDxVlAZs4ehsxsaghRwqKxgWNhuOqh4y0J2d4BSyCZ+Jnp9p0oVkhmEYhmGYkcToEzn4OnYv&#10;XCkot4fAXINBDWff2fgi+AbGhfR9QZ0E+tigDITsPYHbZVF48oKCIeVzPOZDSLI9eByONWtnQKW2&#10;HmFJ75O+fm7Izlkj9lG27/YKyVD6zmUVmxC6Zjq0Wi00VtonnMaLp5cLCovXi6oGsu/TG1raTd+Z&#10;/lxUshHx8fMwfYaHyEan9zHn/gb4WxiS+tSDns4R8f73GA7ouDW3xqL27haUVmxE9s01yFIoLl2P&#10;iupNePQkXIh0ClSgigaNfH+0S2xBoN8siUSu8jP4QApGrbIdgf71mgzcqb7/EYHeiH/+73OsDlqm&#10;3B8GljzaW2itlmT9unWrTPvwR+MH+8XYByzQ7RAhz5u34277LVwtSYf/nOkDjr7RKZMxEuhRyVFC&#10;nJNAl4kfhmEYZuBUttfiWskNzJg9FSqNo/S+3BvoRZpeLnfuXCBe5jjimbElaGHh/qNwrAqcplwH&#10;3ZdJJIH+w5YEfHo8kwU6wzAMwzCMwuiULHyZfBIuU6dAT+1uJHMoMyTQdW6u+GbFKYwLyZIuYHeH&#10;WaAH7z2Bwkruf94fSHw+ehKBdev9RU90kpayczXU/OLohOCQaXj+MlKUMZftu71Bgbwdr+KQmRWK&#10;efO9u3rUW6c8J2j/Vq2aigfKuxNlzMu+U1+g79/SHis+q7xiE/bvX4pFiydD62wdIp3eDaf7e4hE&#10;AdpX2XcYKug+R9dude0W7NqzGLPnTILB1VRqnq5hWpOhIJSgoGk4dGSpEOv3H4Sj83U8On+NGzHX&#10;1EjBVgT6LeVn6MHjNiPQPwtKw5ehGUgtrOteoAcPvUBfs2alaR9YoNstLNDtDJLnL43bUdtyE7ce&#10;FWFZ0FJRBlh2ofcWmiSqVA5YF7lWlGwvb6mSCh+GYRjGclR31OFszjlMmuw5oPYbGuUl18VVj0uX&#10;AkV/M9mzg2GskbbOWFTXbcG8eT6iTJ9sfJtxcXbAhJi9ItNKtoDMMAzDMAwz0qC2NuOOpsIpYBUM&#10;GgfpHOpPtDAoP53mRXYJ9L6VcTeXcA/eexKltdFobo2Szu+Y7qEs1ifPIxAbOw/OOlMwtPx8DR0a&#10;nQbuHgakZYQo75P2n4VOQpY4e3al6LVNclp2XKwJKrd/+MhSdLyOt2jgCn0WBTV3/hqPe/fDcPrM&#10;CgSvntZVyt7cJ33oZbpGeTec7OeK/DvrTdnckn0fCij7vaU9FunKtUHifKJyHswl7+m4EBRsQMeJ&#10;jtdER5W4lpYv98POxAVITQvBs+eR4rqnz6HP48Aj28aWBHqIDQn0scHp+ELh0I0qIdD/+M+7gnM4&#10;BTpnoNs/LNDtCCHPm7ehtjkHJcYabI7dJMQ3ZY/LLvTeYJbnAcoNKP9Jgeh7Xlwvlz0MwzCMZaF7&#10;7p5Te+DiplNeuvr/4k4v/VR6jcqwmUuyMYy1Q2OVyt/5TnEXiw6ysS1Q5iou7gZ8lXAIo1OypQvI&#10;DMMwDMMwI5FRp3Lxt43RcKMMdGXOJJ1LdeGiV0E9dSnGhWSjvwJ99b6TqLnPAr2/NBhNQaQNxhik&#10;nFgOTy9DV/az/JwNFb84OOHAoSVCpNqr4KPvRf2rX7yMQmLiQri66aGyggCGniBZ+ybA4ffBC5in&#10;bHQKyKcAj4ysEGzY4I9JPq4iYH+oe/cLge7rilt564ZNoIvx0h6Hq9eCRb94CmKQ7ev7aJXjRFn8&#10;9P/T7y1Z5oudyngrKNwgKndQGX26B1hLaXqmb7BAHxzMAv1wDwI9eAhLuBMqjRNWrlyEf//rJQt0&#10;O4YFup1A8ryhORZ1zZkoa65Fwv4EOOsoGnBgkZIqlSNmzZ+B1LJ0lucMwzBDTKmxQrnvlmJL3CZo&#10;lInZQKK76QVtzZrpeFEfZZGybgwz2FApPOrj5+qu735BRq+Bi7cnvtpxlAU6wzAMwzDMW4xKycL3&#10;8Qfg6uMFfQ/rQwa9E5wnTcE3QZf63AfdLNBD95/Ew6ckEVigD4Rm6kXdGYes7FD4z/QUEn0oBeX7&#10;UGZtePhsvGwwZWjL9tmWIenV8Wscamq3CDFMWcQkaWXHwtogGbtk6WTcvR82JO/5tA0KdH7ZGIWS&#10;0o3Yvn0hZihj1FlP+0Lr0IN/3Oj8TJ3mhrq7W4dtPNJxKC7ZiClT3ftdpYDGmOmYaeEz2RVBwdNw&#10;5sxK1N3bCmNLjAhY4RLvtgUL9MFhXLAyx1iVhq0pJd0K9JDVAUMq0J3Ujpg7bwb+xQLdrmGBbgcI&#10;eW6Mxd2ma6horcXhq0fh7uUCrfPA5DmVofCZMgmnM88on1uN4sZyqeBhmN5TjqKGCvFT/u8Mw7xP&#10;eUs18h7dwfKQZXBS9VR68eNQ1gKVDdu3fzHaOuM4opmxekig38pfKxZIus260angMm0avkw+hdHH&#10;M6WLxwzDMAzDMCMRKuM+/uBVaGbPhYu2h/Z+BjUM7u74aekejA3JkS5ifwyzQA/ZfwovGligWwJ6&#10;XyOBVlG5GSGh06FSa8S8WHruBhkHlQpbt84Wwdj2JtDpOFO/81u314k+347DHKzQV6gseGz8XLz+&#10;PUH6/QYLGgct7bGC+w/DcOToMqxY5QcXV53YJyr9L9tfS0DrGvMWTBL7MRzrGqIKgzEG6zb4w0nZ&#10;l4FWiKBECZLpdH2TTJ823QPJuxYhTxmTTcp2KPOf129sAxbogwMJ9E9XpWHzsWK5QP+jUWSBR0et&#10;V64l1YCSj/oCCfQ5LNDtHhboNk5TcyQammNQ13gF5a11uF6Shin+vlBrnKQXdm9xViY6ru4G7D+3&#10;HxWtNaL3uUzsMCMcGhdvqEBxUwVKFOhncVNlF1WCoqZq5d/KUdFUiNKmEuX/V/6Nfsf8+7LPZxhG&#10;UNVei4yqTMyYM21AEp2iwd089EhLD0Ebl3JnrBhalGhpj8W586t6JdANM2fiyz1nWaAzDMMwDMO8&#10;x6gTN/HLqjVwpTLusrnUG7RwNajwy+zN+GzNrQ8WsLtDZIcFZiDm1DEYm6Pstsz3cEDZvk+fR+Lg&#10;oaXw9nHtKuk+tILXXgU6Zfo3t8bizNlV8JviDieN8t4h+f7WCr3fU/n28xcCRfCx7DsONnSt05h4&#10;/Xs8njyLxJWrQYiOmftmrJIYtmRAgk65T2mdtYiImqtsO0YIS9l+DSaUfZ5zcx28JhmgtnClApNM&#10;pzLvanh6uWBr2CxcVo4pXXsdv8aLY833V+uFBfrgMWZlKlbuL/ioQKefSTsjlfvi0D0jWaCPDFig&#10;2zTKS4ny837jWZS11CD/SRGWBS0ZkFwhnPUaaLUqRCZFoMxYKZAJHWYE0ViOEmUclDRXobSlGqWt&#10;NeJnSbPyd/T39O+NZQqlKK4vQVlDASobslHTcAP3Gs/jQeMJPG46iKdNe/G8KQnPjHtw13gZpU3F&#10;XZ9b+d7nVil/r0AinuU6wwhIop/JPAPPSW6iQojs/t0bRLT2PG/U3t3KpdwZq4UWBSjK/uDBpT0K&#10;dIPWEdqFSzD+4GWMPpYhXThmGIZhGIYZqYw+noWftybAxd1FtL6RzafMuOgmQj1lCb5cnY5xIb3v&#10;g079SccGZ+Bk5iG0trJAtzTUF5lEOmVJBwVNfZOtOtDM195CJdxJijY0kbC0fYFO47P9VSyevYxE&#10;UtJCGFx1UGkHVsVzOCBBPXuuFx48DreKwAazSKfy4wWF63Hw8DLMnjNJCHQar6YxOzCxRZ9F4z41&#10;LUQEXMv2Y7Dp/C0eO3YuUL6PaV9k+2kJKECCsvmpH39g4BSknFyOpy8ixDoOwfdZ64ME+pMX0cgt&#10;iUK2lUp0WxXo/7M8FZN33BICHR8R6Ik7IoZeoM+fgf8o+8MC3X5hgW6zkDyPxIOmU0JwlxqrsDF6&#10;PVQqB+gGENlHNxj6jNUbg1DwvAjlzVVSkcPYNyVNJLRrUNpeh7KOe0JyF70oRMGDXOTXZeF2dQZy&#10;Cy4g41ISUk/G4srOlbi6fTEuRc7E6RBPnAnxwNkQN5wLccH5EJ2CFhdC1G+4ttUFGTv8cCNhFlKP&#10;bhafk3PzJPIq03C7JgN37t9E4ZN8ZV9KUdZWi7LOeyhVfpa0UCuBig/2l2FGAhSoUqFcA9sOJij3&#10;eeXFs5/3eupNRi/a0TFzxAsnlwJjrBEal/VN0YiNnScWCGVj2QwJdPWyVfj8yA2MPpouXThmGIZh&#10;GIYZqVCA4Te7TkHn4w1DT1noehUMk6bg+xUnMTY0+4MF7I9BAn1ccAau3TmMtjZTsodsjsf0H5of&#10;k0Qn6Xv4yDJMoYzprgxf6bm0EJSR7eCowrGUZUNeJnwwIOlI2do1dVuxfoj7nVtS6pC4VWk0yneY&#10;gdaOOKuSqTRW6Ri3tMXiweMwXLwUiNDQGfCZ7AKNcrwpu7q/Wek05leumoonzyNFYIls+4MJHWfK&#10;fF8dMlXIbdk+WhoS6XTM6M8LFnrj1OkVePQ0XLTma3vFSRHWhFEZH8/qo5FXFs0C3cKQQPfZaX0C&#10;fdacafjt1ycs0O0YFug2CvU9f9x0CKWNpaJ0e3JKMvTKzYFuErILureolAt/7uLZyKzONvU9l0gc&#10;xg6hDPLmapR13EX5q/soflmM/Jp03Cw4j8y0w7h6MAzno5fi+PJJODRLg93u32KX4Wvs0n8lSNZN&#10;wC7nCUh2Ho9k7RddjEeSYMJbfPnmZ7Ly/+9S/v9dui9Nn0Of5/pX7J82EceWeuD0+lm4lBiC1LOJ&#10;yL55Unm4X0LBvSyUtlSh/PVDlLXXiUx16fdhGDuFAqYKX5YgZFMwVKoeehh2g1ggcHXGmbMrRb83&#10;jlxmrA1jWwxeNkZha9icHhe0XDQT8WPIJow5mYMxR9KkC8cMwzAMwzAjlqPK/OhoOtQzZ8OlJ4Fu&#10;oHZ+Lvjbkj0YG5orXcSWYRboedVH0NHB/c8HE5KGbR2xKCrZiLCI2aLMs6OTqt9CsidoLj7J2xVZ&#10;OWtET3bZPtkK5iCE3FtrsWjRZKjUQ9fvnHpb6w3O8PDUS/+9r9B+G1x0OHlqpQiMt8Z3+qZWU7lz&#10;2j/KSi8s3oj4bfOwYIG3cix0+MVBZTouku8ngwIGqGT9TeX80XmUbXOwoe9y995WZfz4CJkv28/B&#10;gs65WjkGdMwWLPDB2fMrcf9RGF79Hi/2S7a/zNDCAn3w+MuKVHjG5+K336lc+ruCc7gEutpZhcm+&#10;XqgszwbQ/M4+MfYDC3QbpKk5HM+M+1DaWITytjqcz70AHz+vAfc912qVi36aN87fuoCKthqpvGHs&#10;BBLm1K+8uUqIaCqdnl+diswb+3H1cATOhi3CsWWe2D/lZySpxyHRaazy83OQECfxnaz7souvkNwl&#10;0U18bRLhPaH8f8n0/5J8J+hzzJ9Jn0/iXfMFklSfI9HxM+V3vsJBfyekrPLB+fhAXD+VgKyMQyi4&#10;m2nafyHTqce6ueQ7l31n7BcKbsquzcGchbMG1LLDSaOGv78nyis2oX2Y+qUxzMcggf68PhLBq6f3&#10;KNBd1b/g+zVhGHUqV75ozDAMwzAMM6JJwyfH0qFaFQIXA82rul9YdtE74Kd5Ufh8zU3pIrYMs0C/&#10;XngY7e0s0AcbkqVtnbFobotFZnaoyEJ21pn6JpNks2RZacqyDV0zDfWNJgEt2x9bgAIPmpX9P39+&#10;FXz93ERrs6EqgU/bmjLNAzEx8+DhabCI3KF3JJ/Jrqis3mz18pTGK42dlo5YEYRx714YzirnYeMm&#10;fxGcQeOWKgF8bOzS35Gs1ul1OHYsQJzH4eh9TlDWd0npJsye7SWE/vv7OhTQ+BEl8ZXtL1k6GSdP&#10;LcfDJxHo/C3Opq9Re4AF+uAxalUqNGE5ePjsichCf1twDrdAryjLYoFux7BAtzEo8/y5cRfKG26L&#10;zPPcB3mYv2SOyByXXci9xVmngYubDvvO7kMVlcrmvtP2h8gyN/Uwp5LsxfWluFV0AdcOh+H0lgU4&#10;ssAFeyf9DYlOnyHR4VMhzJO1E0xiXCbBhxAh1rXjkagah52/fIJkzefYN/nvOLLIDac3L8SVA5uR&#10;m3/G9B2NpsAA8T2buH8/Y59QP/STGafg6e0Gjbb/ZcOclBfVDRv98aI+iiOWGauC+uc9eR6BhYt8&#10;uhfoyouRq7Mjvl8fiVEnb763WMwwDMMwDMMQY45l4KfInaLXM2WZS+dVZvSO0E5fga+Cr2NcSO8W&#10;18dRD/SgDCRe2C+qCJFEkM3xGMtCYpJ6Tj9X3ueuXQ/Gxk0z4eahf1OWfKDZ1fQ5JHzTMkLQYaPZ&#10;56ZggzjlnTcSiUkL4UL9zjVDkzlMEofE75x5k0QG/4kTKywW4EDnl/pi0/VmDf3P+0JLh6lX+svG&#10;aOQXrMPBQ0sxf4FP1/fSiu8mBHHXOCZmzPTEhYuBoj3EcH5fyqgvK9+EOXMmDdk4+hg0jszBBytW&#10;+uHKlSDUK+OBgmtYpA8PLNAHDxLo2vAcPHlpfQKdM9DtGxboNgTJ85fGHahszEGJsQZF9aVYH7kW&#10;apLnA5h8mUrAOCEsYQtKG8tFiWCZsGFsE5LlpW11QixTX3EqhX51/yYcW+6Nfb4/Y5fLV6YMc9U4&#10;qxHmPUJZ6yTUlf0m4b9L/yX2Tf4Jhxe44ULCSmSlHRS92ovrS0QP9dLWWlN2uuT4MIwtIvqht9Vg&#10;24EEOCuTw/6273BWJpVU/uvY8QCxqGCNZd+YkYlZoC9Y2JNA18DVVYvvtyRg1Ikc6YIxwzAMwzDM&#10;SGfM8Qx8sfss9J7uMOh7EOgGFQw+M/DXVecwNqR3fdCFQA/OQPyZ/ai+HzVs2aEjEqMpu5p6TlOW&#10;+K3ba7E1bDamTncX73ok2Gg+Tb3Mpef7I1DfZY2zs5DOlOlui++KJBFJJlbVbBH9zs1yVvZ9LQ0d&#10;e5LnQUFTUVm1WYjXFav8LLJ9EqdqrRpHji4T39FW3+Ppna/z1zgRzE+lyG+krkZk5FysDJyKaTPc&#10;MWeel+idvn//UtTc3YK2jrhhDxaga+HBo3AsWTL5TV/y4YbW9WmsubrpEbpmOm7fXq+MCVO7Al7j&#10;GVpYoA8eJNDVYTm4//QxC3RmSGGBbiM0NUeioTkeNY1pKG6oFCV8Rd9z5WIlefL+BdxbaNJF2etL&#10;gxbj5v087ntuR5QYq1Am+pkXIbfoIq4djUTKysnY4/Edkp2/NJVIV6DsbqmktiHoOyRpxpuy5qm3&#10;uvJ3B2Y44XzscmRe34/blTdQ0lSOso573DedsRilTRUob6kS982y5sohr9xBwU4USBW4fqVyH3fo&#10;dyAVRSv7TXFDcenGYesjxjDv09Iei4dPwuA92aX7RSYh0J3x/dbtLNAZhmEYhmE+AmWgj91/CXr/&#10;GTDoe1hDUuZXLm4GfB1wHGNDe1fGnQQ6lXBPOLMfd8oj8eQlS/ThoLk9RohakqoVVZuxe89ikZlK&#10;fdIdnFRwVPWu5zSVpibZHBs/H/VNJkEv2541Q6KV5HlmZijmLfAW36k3390SqClgQe+MyKg5uHc/&#10;DK9+i0d55eae3216CQlTN3e98g6/QQROyL6/LdGkjFdzr3T67/qmKLxoiBTZ9Q1GUyAE/bu1yGAq&#10;Q79py0xMdLQOgW6GxjdlxdP1vm37AmXMbRJrPHTsZN+DsTws0AePTwLT8MO6TOSU3gVgEuZmWKAz&#10;gwkLdBugqdnUP+pu4yUUNVSgqvMuLuVfho/fJGgG2PdcpXbCtJl+uFGahsq2WqmkYWyIrjLtZR13&#10;Ufg4D+mXduHM1gXY70e9zD//U5jbQpZ5fxE91U291KmHerL2Cxye64zz8auQeX0fCu7noKz9Lkpa&#10;qrv6pUuOI8N0A4nrauU+XPSyFJlVWbhaeA05d3PF31d11AqxLvu9wYAE/o2yVEz19x1AKXdTtDJF&#10;Kr9ssL3yb4x90tIei8fPwjHJp4dFJp0Grl7u+D5mD0adyJYuGDMMwzAMw4x0xhxNx9jD16FZuRqG&#10;XiRhGPRO+GFRIsaF5nywiC3DLNC3nd2P3OJIVNyjtSz5PI8ZfEg4kkwn0UdZ6TdurMbOxAVYFvCn&#10;TKd3QJpnk3QzQ8HVEx2d4OPjigMHlwp5bovyjfaZMoVTTqyA92RX8V0tUTa9N5DAJLlNx6+x2SR+&#10;SeQfORIAg4tuwGX1CTpPS5f54d6DMLuSoyTIaeyK8dtmgv5sbVnUJKVPnlohzidVapCdo+FEq4wx&#10;CpaZMcNTuQaW4+nzSM5GHyJYoA8eZoGeXcICnRlaWKBbPVEwNkfgQdNJFDWUo7y1RvQ9X7JqEVQq&#10;B+nF21vohuLmYcCRK0dQ3VknlTOMbUDlyUXfb4X82gzRE/z4Ch/sNnyFnQ6fdpVml8jmkYD+KxE4&#10;QH3d93h8i2PLvHAxMRS5hedFeXsS6SIrnWU60wNUxaBCGS+Z1dmI2RONZUFLMWfRLEyfPRXzl85F&#10;8MYg7D2zF3eeFQmxPRQZ6bSNyrYaHLl8RPRyc+6pHONHoJd4rc4Zx48vF4ss/GLFDDct7bEoKt4A&#10;Dy+DMja7eflR5jIuk73x3bZDGJWSJV0wZhiGYRiGYRSOZ+KHrdtgcO45EcNgUEMzaw3Gr07rVR/0&#10;twX6rZJI5JVG4ckLkmHyuR4zdJCApDLZ9J53934YcvPW4uTp5Vi/YSZmz56EadM9MG2GB6ZO88Di&#10;xZORmLgABYXr0arMx0nCyz7TWqH32NbOWDx9EYlt2+crY1kHlXZosoRNFT7VmKYcR+rVTS3SKHOf&#10;9omyxDdu9IeTxjKy9RcHJyTtWiSCBPgaG3pI7D96GoElSycPaXBGX1GJHvJaBAZNRc7NtWK/zWNS&#10;9r2YgcMCffB4k4HOAp0ZYligWzlNzeF4YjyEkoZilBqrUdpUjq0JW0Tf84HcDHR6rchWjEqKFNmS&#10;Q116mLEMJU3U37xWOX9luFV4Hhd3BOPQLI3Ivqbe4PZQnt2SmI7LWCRrvsB+v19wct0sZF7bg4KH&#10;t1DSbDqWxdwrnXmf+jKUU2UHYyUOXTwkhLlG6wRHx19ECwy1xglOKgc4OU0UEcgrQpeLrHSS7UNx&#10;b6Xy8XQf3xy7SexLf58N9OI3dZoXiks320UZOMa2aWmPxY3rq0X2BkXQy8asgAS6txe+iz/AAp1h&#10;GIZhGKYbRqdk46tth+CqzK+oTLt0btUFCXTdlIWYEHytzwI9rzQSWUVRqH7AWejWhJDLHbHo/C1e&#10;vO9RVmrt3S2oqt2MagX6SRnNxpYYdPxqe9mqFChAmd5l5ZuwevU0kaU9VNnBFJBO/bADAnxxp2CD&#10;2A9zZbcW5b2mumYrZs/xEu/cst/vC6YMdh2up67G69/jPzgOzNBAARJZWWtExTQnjXWVcn8b89ic&#10;5O2KnTsXiP7tlI1u7BqfjGWhgJanL6NxqzTK6gV6qK0J9KA0fBuaiWt36ligM0MKC3Qrpqk5As+N&#10;u1DWmI+ixkqRZXj40mG4uunFzUB24fYWlcoRAauXIu/RHZEpKZMyjBXTWG4qQ95Uhtw750Wv730+&#10;f0eytqsPOIvz7unKSieRvtvlaxxZ6IJrx6KQV34NJcYKUQKfM9IZM3TvpV7j2w4kwM3TRfQbpyAk&#10;2b2V7s0k00myn8+9oNxfh0aik6zPqs3B3MWzxfZl+9YbqMzXxs3z8bLhzxd+hhkOWtpjkZbaO4Fu&#10;8J2Mb3ccZYHOMAzDMAzTDaOPZ+HL5FNwmTZVzKGkc6suhED3mozxgVcxLiTrg4Xs93lfoJM4uFMR&#10;hZeNJnErm+8xwwedE9EvvdNUXtwMCXYS0bLfsWYoq5aCAq5dX43ZcyYJUW2JUuk9YXB1FmXwSdav&#10;3+CPB4/CxHF8e8xT//Oz51fBRazlDnyf6LvNX+CDqpotdlW+3dYQASntcbh8JUjIaQdH1ZCMuf5i&#10;HqfLlvkhIysUzcp1TuOHeszLvh/TP0igP3oeLYLIZPLaGiCBnqv8DD6QYlMC/bPgNHwemI4jaZUs&#10;0JkhhQW6ldLUHIl643ZUNWajqKFSSO70ykxMmzllAH1uTVCG4pTpk3Ep/4oQQyUNLAptidKWapRS&#10;Kf+C8zgfvxL7fH5EkmqcyK62697mg4G5X7p2PBKVY3hwhiMuJYXi5u3Tpoz09joW6SOZxjJUtdfi&#10;9pMCrI1YA60z9Yjr3f2XJPas+f7Irs0Rclv6+RamquMuTmefgae3e7+fE/TC56zX48RZiprnHlnM&#10;8NHSHotzF4NNQYPdLERQCVKd/yx8tfcCRh/LkC4WMwzDMAzDMKlirjT+0BU4L14GvbOjdG5lxkAZ&#10;6q4GfLv8RL8EOi3Sk0B48JQFOjO4kASk4O9DR5bBc5KL6EGuk4zpwYBktoubDolJC0W/+LZX7wpt&#10;GvtUOj9h2zxMdBzYWq4Z6l8fFTMH7fy+PuyYerXHIvvmGlH1gAIk6PyQrCaBN1TjsLeINgMaDdw9&#10;DUhMXIjHzyJERQoeR5bDFgR6rvKMziyIxYLEsxhtgwL9MAt0ZohhgW6VRKHRGIPaxmtCnlN/ayod&#10;vC587YDK8xIkgCjqcd/ZfahoHZrMSMYSlIs+3STO82vSRQ/v/VMnItHxMyRpx8vlMNNnkjTjkaQa&#10;i/1+P+Fs+GLk3EwRAQuiT3pTpeS8MPYKlUSne+Sl/MtYvGIhVCoH9LW/OGWqx+yOFvfZobrXkvCP&#10;2xdnmjD2M/qZopKn+k/BnbLEroh25ZkkfVYxzOBAL/At7bGI37USzgZdt/Mek0Cfia/2nmeBzjAM&#10;wzAM0y1pGHMiGz+GbIKL+hfp3OpPtKI9leP82C6BnvHOQvb7vC/QbxabyteW1pjeJVjQMJaGxlTb&#10;qzjcvReGiMjZ4j2WxKV8PFsWEpEkz3393HDxUiCalXeXFkk2OL1P33sQjoDlfqLam+yz+gIFvNN1&#10;eeLkcpHZ/v72mGFAGYckoanv/tXrQQgPn42Zs7zEGDGPSRLrQyX0egPtE43fVUFTcPvOelMQijKG&#10;pd+P6RO2INBvKc/o9Pw4zEo4jzGBnIE+EFigjwxYoFsdUSL7/EHTaRRRZnhjhRAiu0/ugl65+EmA&#10;yy7Y3kA3D7XaCRuj1qPUWCGQCRjGuigxVqK0tRaFj2/j+rEoHJ6nQ5Lmc1GqXSaBmYFD5d2THMdi&#10;n/ffcWbzfOTePiMEqOg3r5wP2Xli7Afqd04cvHAAvtN8RG9zevmR3Ve7g+7XM2ZNxe3Hd0Sfctm2&#10;LA0FW9H2SPrT/V62Xz1BzwqVWoX1kWvxvO0EmlsjxLNJ/sxiGMtjFugbE1ZCrWOBzjAMwzAMYyn+&#10;cvImvgvbBleaX3XbB51EnfJeMGs9Phc90Psn0KkP7IuGKBbojEWhjHPq40zyb+kyXzg4qbtv+2RB&#10;SGKr1GrMW+CNgsL13faTJrGamR0Kdw+D+D3Z5/UFkp4zZ3mismqzKFsv2yYzPLQo768U1PCyPgo1&#10;dVuQk7sGO3YswIJFPvDwovNvOn+m7HT5+R1K6B2bgjr8prjh8NEAUwWFzjjpd2N6jy0J9NnbbFOg&#10;H0plgc4MLSzQrYym5nA8MR5CSUMJihoqUNlWiysFV4XEUfVThphRqR2xKGA+cu/nDVlJYWZgkDin&#10;CgTZGYeQssobu3QTunqcc6n2QUfflZGu+Rx7vf6GM1sX4ObtMyiuL+Ee6faKck4pYOnO00JE7oyA&#10;q7teVP2Q3U97A03a3L1cca34xpAJdIJac1zMuyRKufc36EpUK/Fww7HL+9D06ph4NrFEZ4YKs0AP&#10;ilsNlU4vAghl45Qgga6f4Y+v95xjgc4wDMMwDNMDo1Ky8V38Abj6eEGv7+5dQSv6oKunLh1QBvrN&#10;kijcf8ICnbEc1Lfd2BKDc+dXwW+Ku6lk+xDJEpKflFW8dt0MVFZvEX3XPza2jcrft3XE4eDhpRYr&#10;3+6kUiMkdNoHfdYZ64GCO+j8iJZ4yn8/r49EfsF6JCUvwrLlvqLNAAV8OKpp3MrP81Ci1lL1Qmds&#10;2ToLd+9vFQEhPLb6Dwv0wWOcwn8H3EDEuRIATe8ITrNAT9oZyQKdsTgs0K2IpuYIvDQmorzxtijd&#10;XtZchcKXJQjeFCTKBw/kwUoyxMvHHRdyL6KirUYqXRjrgvpv365Ow/m4ldjj9jWS1F+Ift1S2csM&#10;HtQn3dkUuLDH41uci1yK3MLzKGs19aKXnTvG9qCS7VUddaJk+4qQAGg0TmLSJbuf9hZnnQau7gYc&#10;u358SAU6Bd2UK9uL2xs3oLYfVIJ+/tIFuH0vFU2dB8QzSvbsYhhLQy/s1EtucUQQnJx13Qt0rSPU&#10;c+bj80PXMOZounShmGEYhmEYhjEx+ngmvtl1GoYZ06GnQETJ/MqMQe8Ejfd0TFidht4K9B3n9r0R&#10;6LRQTxK9vM4kE2XzPobpC+2v4/DoSTh27lgAVze9kNmysTsYiG0ZnEVW8bOXkUI0yvbRTEtHDB4+&#10;jkBQ0DQh+WWf2RdEBrtBhwMHlomS2yw5rR9Tj/QYERxOQr2hKRo30lYjYft8LFzkI/qRUxa4JaoT&#10;DATaPgVnLFrsg5u5a0VgCO277Dsx3cMCfXD5/5bewJpTxXKB/q96JMRtYYHOWBwW6FYClW1vaI5D&#10;dWMGChuqRLnospYqJKUkKQ8yKu/S/wufft9ZuXnsPLID5aKXM5dut26Uc99xFzfzTuPoIjfsdPgU&#10;yc4szq0BOg+JjmNxYOovuLBjNW5XXBcSnfrTc0a6jdJYptwXlXuu8uc9p/fAd5o3HEXJ9oFPtihw&#10;ibLA0yoyhlSgE+Wt1aKU+9LAxaIEvWz/ekJHJRvVDojenYDa5jzUtySyRGeGhObWKNyv34HZIUvg&#10;pKVr8ePXo4tmIn5avByjTt2ULhIzDMMwDMMwfzLmaBrGHkuH44LFcNE6SOdXb9CroPP0wfcrT2Os&#10;yEKXL2gTlBk2NigDm48exa0SyjyPFAv1WYVRKKiMQoORs9CZ/kNjp/PXeFG6fHXINKg1alBfaem4&#10;tTCUzEQC3HuyK06fWSmy32X9zt+HBHtF1SZM8nG1yL5S9rvnJAOKSzZy+XZbRBnDJKVJTr/6NQHV&#10;tVtw7sJKhK6ZLkr8U3n34e6V7qBSYbKfG06cWsF90fsJC/TBhQT6WplARyP+9b8vsHbNCqi1lqn4&#10;0RvMAr2iLIsFuh3DAt0qoLK4kbjXdBGFDSRZylHRWo3rJdfhN80HmoFc+DTRUzkgeEOgyGYngS6T&#10;LYyV0FiB0o67yM48jANTf0ai01iRAS2TuczwQdUAEtXjcNBfjauHw1H4JB+lLV0iXXZeGauk1FiB&#10;yvYaZNXmYH3kOpHlOpCS7e+j1jhi8aqFKHhRLLYl24fBhDLqz908D29lMqfW9u97aZzV8FF+/9Kd&#10;G7jXloOG5ngR8CV/ljGMZWhrj0Ja7X74BCwRC0U9CfSfFwVg9Mkc6SIxwzAMwzAM8y5/OZmLn1et&#10;gStloHcnawxqGNzd8dOSPRgbmi1dzDZjFujBe08it/hPgU4Z6LfLovCsngU60z9ESeyOOGTmhGLm&#10;LC8hGocqY5e2Q/J8/gIfZGWvQXtnnNgf2X6+DY311vZYXLoSKDLXLVGqm96LqN/7i4aoXu0DY91Q&#10;K4LXvyfg6fNIFBStx47tC4W8JolOY264stIpK15n0GH7zgWobzTtJ9+7ew8L9MGlO4H+z/99juCg&#10;pUMq0FUaJ0yb7ovnT0s/2CfGfmCBbgVQRt9j41GUNJSKvuelxkohuwPXrYRa3f/yuwT1PfefOx1p&#10;5emo4HLTVg2V7S9tqcad4uM4PGMiElXjpPKWsRL0X4my7rt0X+LoYjdkXNsrspjL2us4G90GoCAl&#10;Ktt+IvUEZi+cCY1GJcr8yO6j/YECn1zcdEi5cRzlzaaqIrL9GFQaTd8zOjlKZMPr+vMCprzoU1BB&#10;8MZg3HlRhvvN15TnVhRLdGZQ6WiPxInSw3BdEtB1XX587LJAZxiGYRiG6RujTmTj53XhcKX5VLcC&#10;XQMXVz1+mR+LsaE50sVsM2aBHrLvxAcC/VZpFB4+i+Yy7kyfIRlV3xSNI4eXwcPLlKU7VH2jSViT&#10;yFyzdjqqakz9zml/ZPv5PpRpXN8UhQ0b/LsCguXb6C30nelzEpMWoqklRny+bLuM7dHSHtvVdzwG&#10;tfe2Yu++JZg910sIdEfV8Ih009jXYNPmmai7F8Z90fsAPefuP4myaoGeVxqB63nx8Im6hE8Cu2/P&#10;Ym30JNBXBy8bUoHupHbEnHkz8M9/vnjTh52xP1igDzPG5gi8aE5CeWO+KN1O0oMyIhOP7RTinHro&#10;yi7Q3kCLzq5uBhy6dEj5zNoP5QpjJZQLeV7ZnI8HjSm4vMkVO50+l0tbxuqgvvRJmi+w2/AVzoYt&#10;RO6ds11l3bnagzVCIrtKuR/m3MtF+I5wuLu7CHluyTJZGmfl85SXnNg9sco2S4cl+9wMlY7PvX8L&#10;85bM6Xd2vRCYygv7vrP7lWfJXTxoOtMl0Kl6ivzZxjAD4XVnBOLzU+C0cAX0LNAZhmEYhmEsyuiU&#10;LPwYnQwXTzfo9d2tOWnhYlBh4sx1GBuaK13MNvNRgU4URaHmgUmGyuZ+DPMxqG/04cPLRFbuUPc7&#10;1+lN/c4pQ7itjwKRMsQfPArDDH9PCwl0rRCpOblrxDFhmWl/UFAEtQZo64zF3QdhOHJsGQKW+yrj&#10;hzLSh27sm6HxRgErAQF+KCndKFoo8LjrGTpGdY+sOwM9rywCl3MToNtyFZ8qz23ZM91aIYG+7rT1&#10;CfR/0z6wQLdbWKAPI+a+5zWNaSjqkuckdm6UpmLazClQKxeh7OLsDTS5IlmyOXaTyLIsaeKMWGuE&#10;xDn9rGu6isaOZFTnLMNu16+R5Mxl220NEulUcn//lF9wefc6FDzIFb3sS5Tr7/3zzgw9JM6p13l5&#10;c6XIOl+wdK4osW7JrHNCpXyml7c79pzcjaL60iHvff4Bosd7NVLSTsDN06Xf35eeJ3MWzkTOvTzl&#10;GFbgcdMRUT2FJTpjcZQXztcdkQjIOo3v5q+Ei54FOsMwDMMwjCUZfSwD3yemQD/ZGwZd9wvNLrqJ&#10;mDhtFT5bkyddzDbzMYFOZBZGoeJeFJpZoDN9gPov370fhjnzJsHBaWiEiLnf+WRfN9Gfurk1tl/9&#10;xluUfU9LC4Wru94iGcQk4WfM9ETN3S1CoMu2ydgHJGApAOP1PxLw6HE4jh4LwMzZk4TMJpk+VBUY&#10;CNqWg0qNufO9kZUdis5fOXijJ2xJoOttUKD/V8ANrDhciH/9swF//NHwRnCaBXrI6oBhEej/+tdL&#10;Fuh2DAv0YYNK4EbhftM5UbadRIcQLfWlWB+xVvQtl12YvYXk+/xlc5Fdd1NIow+kCjPMUNZ5Bcob&#10;b4vy/c2d8crLQRQurXdBomaCVNAytgFloydpPsex5d7IvLEPJY1loj86l3UfPsqMlaKUec7dXGyJ&#10;3wwPLzdxj7Vk1rlOrxEtN6bNmoLTWWdRqWyPtivbn6GGMuApkGpz7EY49fPZ4qx8P60yCY1Jjlae&#10;KXUobyrAs6a9XRJd9oxjmP7R3BqF+qY4TL9+Ad8vYIHOMAzDMAxjacYcTcNnR25APW0aXKgPumSO&#10;Zcagd4DGdz6+Cr6OcSEf75XanUDPKoxCcU0UGowmuSCbAzLM+1DZ6PTMNfCZ7GqRLO6eMJfMXrxk&#10;MnLz1uHVb/FCZMr2rTtojFPGevy2+SJz3hLCk/YrMnIOXnL/8xFFq8hIj0NV7WYcPLwMU6Z6wElD&#10;In1oM9Jp/Pn6ueNGaoi4LriFwMdhgT64/PfyVMxOyserzhcA3hboTfjffzzDwoWzQX3JZeN4MGCB&#10;PjJggT5MkHR4ajyAkoYiFHcJ9Mq2Why9elT0oCJZIbswewP13vX0dsPZm+dQ1VH3jkhhhp+iBpNI&#10;rW28hvrWRLS+isHzJ5twc9907HH/BsmcfW7ziLLu6nHK+fwW5+OW43Z1GkrbqKw7B7MMJVR5g6p6&#10;UCb44cuHMUuZ1FC5diqxLrt39hf6PLXWCUsDFyO1PF3cd62t6kdFaw3SKjLgP3c6VP2sbkJZ6JOn&#10;eONS/mVUtN9DReNNvDTuYInOWJTW1kjUPNsBj4tX8fc5i+HSU1YUC3SGYRiGYZi+cTQNo49nQDV/&#10;UY9zLb3eCXrv6fh+5RmMDcmSLmgTZoEeKhHo5j7oj19wGXem97S/jsP11BBM8nYZdGFIn++kNvV8&#10;pqx3c09q2X71BI3xJuXnkmWThXiUba8vkIBXazS4dCUQr35LkG6TsV9IyNJ4bGmPRUXlZkRFz4Wn&#10;lwEOTmo4WzAppCdI3E/2dce168Hi2jRyIIcUOl+1D21DoBtsWKB3dnwo0P/x+zNM9/cbUoFO21qx&#10;fCH+zQLdrmGBPgxQ6fb65gQhH8wlvCn7PKsmG3MWzRIiRnZR9gYS7yTQE/bHobKtmstHWyGFyjm/&#10;23gFzR1xClGoSF+G0wFqJGm/RLKO5bk9kawdL7LRD89xRurZ7aKcdmlbrXRcMJalvLlKZJ1fLriC&#10;kC2rRbY53VstmXVO0P2Wgp62xG9B3qN85b5rndUGzL3f95zaDYOy3/0t5e7oNBFrtoaKaiklxhrU&#10;NN5AQ3OseK7JnncM01fa2yJRcD8Z6jM38OPUmXBx7j7ggwU6wzAMwzBMHzmahjHH0qFasRouBo14&#10;n5HNswQGFQye3vjbssMYG5ojXdAmSKB/FpSBJYlnxAL9+wKdfj54xgKd6T0kDTOz14hy6oPZ/5xK&#10;tlOp9eTdC0WVBMr6pbZSsn3qDdTDOuem5fabPmPqNA8UFG1Ax2su3z5SoaxvGpvNbbGinPqqwCnK&#10;2NWI8SsbN4MBjUV3DwNSTi4X+8KZ6O9CgTP0s/Ju9JvnnjVCAv3SzQRoN1+zO4E+YyZdF0Mj0HUK&#10;tM68du1K0z6wQLdbWKAPMVS2ncq31zVdFiW8i0huNFL2eQ3Ct2+FZoCCh0oIL18dgLwnd1DG2a5W&#10;RrmQ51VNOWjqTMLLZ5uQmTgFe9z+ip2q8dill0tYq0TZ12T9V0L4E0nOX4oAAIJK0L9BraB8NwH9&#10;+a1/S9J0/Y7yu5R1b/4s+lybOhY9oXyXJPUXynebgLNhi3C74ppJonNwy6BAQUMkinPu5SJmVwwm&#10;T50kpK+lxbkQ8sqkbJKPB/ad2SdKpJO0l+2TtUD7SOJ7lTK5ozYfsu/VExSkZXDR4fj14yhvrVE+&#10;t1K0IqFnm+n5Jn/2MUxv6eyIQHrNHvyQkoafp7FAZxiGYRiGGQzGHMuAw6ZouLgqcyqS6JJ5lkD5&#10;Nxc3V/yweDfGrsmVLmgTZoE+I/Y8souikfuWQCeoD/q9J9SuRz4HZJj3aW6PQd29rZg339T/WTo+&#10;BwBldtPnTpvugQuXAoWwt0R59Ne/J+DgoSWifLuzXr7tvjDRUYW166Zz+XZGQBnOnb/F49mLSBw6&#10;vEwEV9A4tkSv/d5AEt3gqsOxlAC0trNEfxs6NxSEU1Fn3QI9vzwCZ7K346+haRgbbD8C/Z//+2JY&#10;BPqaNStM+8AC3W5hgT7EGJvDRc9rk9Awl26vwemsM/DycYfWuf+TQpI5vtN8cKM0DZXttSiu/1Cg&#10;MMMHVRuoaC5AQ3syam8tx9lVWiHOSSJLxasVISQ5yXE1iW8Fkt76r7Db5a/Y7fYNDk79Acfm/oLT&#10;y1W4vNH1DRk7fJF70F+QlTQFl9b/+W/ngpxxfP4vOOz/I/Z4fCM+6/1tie0pf6a/e3+fbA0q657o&#10;+JnIRs+4sltkBJe0VEvHCtN3SA5Txjn9+fClw6Kah0a5J1JQkux+ORCcddTv3BFzF83GudzzQthT&#10;n/H398kaqWytwYW8i/D29ex3KXt61ixasQB3nhWhtLkKJQ2lynPtiPJ8o1LuLNGZgfFrRwROV+zH&#10;2COZmDjdnwU6wzAMwzDMIEAC/ceoZBjc9D0IdC1cXTT4+4JtGLvmlnRBmzALdP+4jwt06gvLGehM&#10;byEZRVmua9ZOs0gp9Lchue2k0SBguS8KCjYIeW4JEUhl3ylDePOWmUJ8y7bdFyhw30n57nv2Lcav&#10;/+Dy7cyftLTHoON1PIpLNyrXyAw4K2N6MCs1vI1pOyTRl4se7SzRTdiSQD+RtR2fBafbkUA34snj&#10;EvhO8VbG58Dvvb1BJFYp29q0abVpH1ig2y0s0IcQ6hP70rgTFQ233irdXoWCp4VYHrIMKpWD9ILs&#10;DaasQC12nUgWgoTk3PvihBk+6HxXthXjSf0e5B/zxwHf74U8t2YxTFnhtI87ncYr//0V9nt/j8Mz&#10;fsLZYGdcj/RC7gF/VGWtxMPqdXj6cDOePtqM50+34uXL8Dc0NEWhSZlIEY3GKLx88ee/vXgWhmfK&#10;79DvPr67ETV5QSg4Ox/Zu6fi8iZXHF/ggMPTf8K+Sd8p+/Ildjp+IfZFBBzYaoa6/iskqT/Hbrdv&#10;cSE2AHfqMlHWcZez0QeAKE3eUSvKpl+8fQmB61bC4KYTfb4HIwKXSraTQF8btgaZNdlCnltbv/Pu&#10;oONVZqxE+I5w8V36k5lPzxv6vaTjySJooaixEmUNd/CiOUk852TPP4bpLb93hiOx+CD+nwPZcJrB&#10;Ap1hGIZhGGYwIIH++e6z0Hm4wqDM72XzLDMuuon4YW4Uxq7Jky5oE2aBPiteLtCzCqNQfV8+/2OY&#10;j9H+KhbHU1aIbHFLvd+T/KPPi4icgwePwoU8J/El235faVP2t7RsE+bM9bZIaW3qze4z2Q2ZWWtE&#10;32nZNpmRC41bKuv/9HkkDh5cKtoGULBJf9Z5+gqVj/fwNODKtSC8+i2eJbqCWaCX11q/QD+ZtV08&#10;t+1JoJcUpWGSt4dy3xyatgZ0nVF7zOTEKOCPBvzxnz/3h7EvWKAPGab+sHVNV97I85KGcpF9vvvE&#10;LjgrFxxJGdkF2RtIFq0NX4OilyU2kwk5UqBS/VWdpbh7bweuR7hhl95U5lwqWK0Eyi7f6/UtUhY4&#10;4spWT9w6PBOVmSvw4mmYSYi3KLTFwNge29XLPQ5Ggsr3tP2JWZ6befvfxP/bbvq9ZopYpN/v+p3G&#10;rqj0pw82oTwtAFl7SKq74+QiJ+z3oeCDL7DD4QublenJzhOQpB6HY0s9kZ2TglIKeuGWC32mQrl/&#10;lrdU4VrJDWxJ2AIPLxflZdip3/29u4MmRlQKftJkTyQdS/qzZHujfN+smYqWaty8n4eZ82aIbHLZ&#10;9+0J+r0Zc6YhqzZHnAPRnqIxEw3N8eB+6Ex/oRfO9pYobL11HP/PQRboDMMwDMMwgwUJ9M/2X4Ju&#10;sg8M+u7fn0igT5y1HuNDsvD5avliu1mg+8VcQNZHBHrF3WjlfUE+D2QYGZRle+9+OPz9qYLawLNr&#10;qdS1p5cBBw4uE59P/crf3+ZAoCzxG2nB0Ol1FhH+JEOXLJssBKmRy7czH4FK+1OAxe389QgI8FPG&#10;jWpQEkreh4JRSNrfSA0R27dUIIqtQt+/vikaBZXWL9BPZ2+zO4FeXpoJb296VgytQN+VFM0C3c5h&#10;gT5EkFCgErclDSRUTdmKle01yKrJhv+caf2WGIRK44gZs6YitSxdZJ+/L0uY4aOosQqVHeWoKIrF&#10;qaUThfi19nLkSc5fYa/Ht7h5YAaePdyM5s54tLxOEJKcpLmQ4S3KxJ2QjPUBoUw2hJw3S/c2k6Bv&#10;+TVB7MPT+5tQkbUcecdm4/Jmdxye/nckqsebSuFTWXk6trYi1CkbXfU59np9j6sHt6Do6R1Tb3TJ&#10;OGLehTK+K5VjRRngsXti4eM3CSqVozJxGZxyVZRxrVY+f/GKRTibc9ZUst2GqwZQFnqF8qw4cP4A&#10;dMoxc+5HdLKYKDqrEJUUKYR8cWOFCBa613RR9ELnfuhMfzC2KGOnKQYhWafw/zuUxQKdYRiGYRhm&#10;kCCBPvbAZehmzuxRoBt0jtDMWIWvVt/AuJBM6aI28UlgJhw2X0VGYTRuvS/Qi6JQUmOSCyNdsjC9&#10;h8ZKS3ssDh5YKjJeKXNcNkZ7QgTEq9WYM8cLqWkh4jOpx7psm/1F7GtbLJJ2LcTPDgNvJWfqr6tB&#10;ZNQckWUs2ybDmKHxR9UUHj4KR2zcXGictRYJOukJqrTg6+eOW7fXie3L9m2kYAsC/abC7bJI7Lu6&#10;S8jzccHy57m18nGB3ozM9LNw93AZtLXh96EgFVovPn4kWdl+Iwt0O4YF+hBA8pxKt5c35AnBQAKD&#10;5AvJ9K0JWwZUup16pru46rD/3H5UtXHpdqvCWI2y5lLkX9uKQ1O+w06nL+Qi1cpIVI1HygIHvHwR&#10;hpbX8UJqy8b1kKPsB2Wtk0xv+8d21DdE4l5ZKMquL0VawmTRS93cP536tNtK3/RkzXgka7/AqbUz&#10;kVd2FWWtVBLcVKWC+RC6dxK7T+7GzLnTRRlyQnZ/HCj0kk0BSi7uemyN34xbD24LeW6LWefvU9ZS&#10;hYLnRQhev6rfzyAK/PKb7oPLBVfFcaHnG/VDf2I83NUPXXIdM0w3tLRG4smLeCy4dg7/7+FMFugM&#10;wzAMwzCDxJij6Rh78BqcFy3tUaDr9U7Q+c3H14GXMFZkocsXtkmg/7jp2kcFenF1NF6yQGf6SGtH&#10;DO4/CMOChT5C1knHaDeQRNRotQhaPQ1lFZvQ+Xpwyk1Tv/Z7yn4uW+YHlQV6UVOfdld3Pc6fDxSf&#10;Ldsmw7wPVVVoaY/F8RPLMcnbVVRd6G/gSW+h63LefG8UFW8UbRdk+zUSoGcbPePuVERZtUDPK41E&#10;3JmDdibQW3Dm1D7oXan6x1AJdGU7yrV149pJZftNLNDtGBbog44pE6+u6SrMpdsJyv47d/McPLxc&#10;+11uWMgdlSPWbAkxCREjSzeroL4UJS21KG0sQvrBQOz3+lpknsvkqbVhFtC3DvqLsupWI88lUHY6&#10;CX4S6g3GKDy5vwllN5bh8kZXHJryd1GG/k3PdMl3tSaoxzv1Rj80U42Mq3tQQpK4hatJvA+Jc7rP&#10;bTuQoExStHBSOYj7oOz+OFAoOEmtccTMedNx+MoRkfVeTpnWkv2yVUh6n80+i0k+nv0OQqCy9htj&#10;NqC0gXqrUxZ6JcobbuOlMVF59rFEZ/pGa2sk7j/bhhmXLuL/sEBnGIZhGIYZNMYcTcNnR25AHbgG&#10;hp7WpPTKu4KPP/666hzGhmRLF7UJEug/fUSgk0zIr4jG8wYW6EzfEJm1nXG4ci1YCOW+ZNVS1rrB&#10;1Rk7di7Ek2cRFu13/j6UJV5UsgHuHgaRmSjbn75A2ed+U91w9/5WUaJbtk2GkdHSHivGenpGCGbP&#10;8RKtAPpTebC3kKB3cFIhOHgqHj+NsHhrBFuB7i0vGqORW2r9Aj3h7AG7E+hnT+9X7vdDL9CzMs6x&#10;QLdzWKAPMiQQHjcdQXFD6TvZ5wXPi7EidLno19tfAUTZf9NnT0NqebqphO57coQZBupLUdpai8Jn&#10;+biRHIA9hglI0oyXSlNrhEqhn1jkiOePt4hsb9mYtkaotLzow67sM5V+f1i9HrmHZuJckDP2TfoO&#10;Oxy/sPq+86Kku/pz7Hb7Bpf3rOeS7hKoRcXxGylwdVNempV7p+y+aAkoI5u2sT5yLbLrbqKitRql&#10;Rtst2f4xqGJJubESm6I3iudJf55FzjoN3DxdREAYHSf6XJLotY1XlWuTXvK5lDvTe9rbIlH+eAcM&#10;p6/i/x5hgc4wDMMwDDNYkED/9Gg6HDZEwqDrIZjWoIbBywffLD+JsaE50kVt4pPADPyw4Tou3tyG&#10;W6UfCvSbJdF49pLa9sjnggzzMUggG1tikJi4UGTUansQ1CT0qA+03xQ3XLy0SmScD2YWN4mzlvZY&#10;nDq9Qkh7S2T8UqDA6tDpaDAq18wgZMwz9g2NGZLo5ZWbERDg25WJPngS3ZmuOScVIqNmo7mVsuBH&#10;3pg1C/SbJSzQB4vuBPq+vfEiGcoSAUy9gQS6i5seDx8UKNtvfke4MvYFC/RBhOT5y+btqGi49U72&#10;eXVnHfae3iuiVPqbfU4XqcFFJ3rYVrRxpqq1QMKz6NkdnN06G0nqcSKzWCpLrZBE9QTsm/QtqrJW&#10;CBktG9NWjzJZIYEuSr2/jkdDYyQqMpfjRow3Ds/4ETu7RDplp8uOgTWQrKWs+S9wct1M3C67itJW&#10;5fpusj9521co8/z2kwKsWrtSZJ7L7osDhWSwSu2AmfNm4PDlwyLYqbylyi5Ktn8MKuWeVp6OabOm&#10;KC/o/ctCpzL3IZuDxeeZAg3KlWdeOR41neAsdKZPkEAve7QD2pPX8H+P9l6g/7R4OUaduildHGYY&#10;hmEYhmE+ZMyRNIxJycK30bu7BHo3C84GDQweHvgm4Fi3Av3ToAx8t+4Gjt5IFgv07y/ck1B4+JQF&#10;OtM/SMhRdmtY2Gw4aTQflST0904qNZYs88PtO+tEZrixVf6ZloJk5YuGKKxf52+RvtMk4KmE+5Ej&#10;AWimNS4W6Ew/IKFL2eB197Zi4yZ/IdEHUy5SljtVTjhwcKkIWBlp45aO97N6ChazYoGu7FtucSQ2&#10;HVGe53Yi0P/4Dwn0VuzYHt7v5KD+QL3W3Txc0NBQJQT++9KVsR9YoA8SVLaduNt08R15TjIm524u&#10;5i6eDZW6+0Xh7qDfXRu2BkWU8WyHmZG2iMg8f5qPs1tmIUkzznZ6cCv7SX3PKVO78MICNCuTHJLQ&#10;snFta9D3aP0tQWSo3y8Lxa1DM5GyYOKffdKdrfMcmc7JOByeq0N2+iGUtlSjZIS3aKDs5vSqLPhO&#10;8+534NHHoMkVVQOhUj8bYzYiQ9lOVeddUbZdti/2BGWhV7bVYNvBbeK49jsLXZk0Hrt2TDzjShop&#10;C70C5Q0FeG7cxRKd6TWd7RG49SARfz2air8cy+iVQDdoHaGePQ9fHLwqennKFogZhmEYhmGYDxl9&#10;IhvjEw7DRZQh7e49QAuDwjdLD2LsmpvSRW3CLNCPp35coFffl88DGaY3kAykUuxh4bNFpjfJanO2&#10;t06B/pvE89awWai7F4bOX4cmOaSlPRaPn4Vj6jQPiwh0kpxuHnoUFq9XvrONJrgwVgMFkTx9EYnw&#10;iDlw1pmCM2TjzhJoxPqQAdeurx5xpdxJoD96Fi2yvLPfe/5ZCzdLIsX+Be89hc+UZ/Y4ybPcmpEL&#10;9AYh0KOjNsBJ7SieBbKxaWk0zmrMmOEHo7FW2T5noNszLNAHCRIGz4x7UdJQjOKu0u1mURG7J0YI&#10;8P5GxJDo8Z3qjWvF18XnvS9EmKGHMs/zazNwMsQPyZrPrV+e678WEplKtifrvsTJxU6oyl4JY0ec&#10;6C0uG9O2DIl0ykg3tiuTxoebkX9iDlIWOGC3y9cieCDJGisFKOeIJPo+nx9x43i0kLkk0mXjbyRA&#10;97rrpaniHqizYMQs9f6mzGv/udNx9OpRcZ+uoKx/yT7YK2XNlbh5Pw8Lls2DRtO/0vj0TFuycpH4&#10;PDqG9LOwoRI1janK85ACciI/uC4Z5n1et0fgxr0k/NfBDIw+lgH1/EVw6aGkqMFZGbMz/PH1nnPi&#10;d2SLwwzDMAzDMMyHjE7JwoQdx+Di5Q49SXTJXMuMQe+Ab5bsw9g1udJFbYIE+rdrU3Hgym7klUZ8&#10;sHBPAr2kJlqUpCbRIJsPMkxPtHbG4tmLSFHO3cPLALVWi4mOKjg6qTHJ2wWHjwSgvsEk22W/Pxi0&#10;tMeKftMubroey8v3BpLwCxb64P7DsEEtPc+MHEzjKAY7di6Es940xmRjzxJQpvv8+d6ords6oiS6&#10;LQn0kP0n7Uygt2Pd+kD84vCzdEwOBiTQFyyYidaWuyzQ7RwW6INClPJCEIfqxqx3ss+FACq5gSkz&#10;fIUEl118PUHiSOusQtLxJFS1174RFczwQZnn+TUZOL5iEpJUY61anic5f4UdTl9gp8Jez29xcokT&#10;8o7MwvOnW0XZdnvJPP8YTS1dvdLbYpUXqggUXVyEMyu14tjsdBqPZL38uA0nSZovsNvwFS4kBKLw&#10;8W0x3opH4HVPUvtGeZrIdKYWFrL7Y1+gACZHp4nw9HZHWMJWZN+lXuc1KB2Bmf4iuEv57lS23uBK&#10;0e59P77UZ8jVXY9Dlw6JNiX0uVTGncq5PzKmwNgcLr0mGeZthEC/+6dAVy0JgIueKk58fBGKBLrO&#10;fya+2nueBTrDMAzDMEwfGH08CxOST8Flqh/0Ys4ln28RBr0Tfly4A593U8L9s+AMfBWSjriTh3C7&#10;TC7Qb5dHo76JBTozMKicO5WHzs1bh+iYuVixyhfr1s/AzVtrRd9n6pku+73BgMYyycm4+PnQ6kxr&#10;DbJrqC84OKmwfdt8NBpN/d9l22WYvkLjlNZFdyYuEmN1sDLRqSoESfQtW2eJ7RlHyBime8HdR+8+&#10;96wNEuj0c8Wu0/Yj0P9oxL/+2YTg1QGY6PiLdEwOBmqtCiGrlyn78kDZF+MH0pWxH1igDwLG5gg8&#10;bDohxIFJIJSJXrokKbbEbxb9YmUXXm9QqRywPGQZ7jwtFFmDb0sQZugpbatD4cNbSAmcjCSnsdhl&#10;hb21qd83lSvf4UjS/BucDXRG9p5pKL2+FC+ebUXzq3hT1vlIeoFVJnD0nVteJ6C+IRJFFxfi1DKV&#10;yMinHumU/S07lsNFsvMEJFNf9JDpyCu9grK2kSfRy1uqkVmbjRmzpwlZK7s/9hbKOqdApBWhATid&#10;dQblxkrT/dSOe533RHlzFe48K0LgupUisEB23HrCSfm9AGXyWPiy+E1rEQoiK2+4jRfNO8WzUXo9&#10;MkwXHa2ROFG2D/91iAU6wzAMwzDMYDP6eCYm7D0Hw6zZ0PdU9UfvBKe5WzA+hBbcM6QL22aBHn/q&#10;4wKd+q8+fRHFAp0ZMKLSYHusKHFO0pyg/x7qsUX91RuaorEswBcqjXrA5YNJPqq0Gly9HoTOX+Ol&#10;22SY/tLSYepNvjNxIXR6Z4tUTJBBcp4y3U+eWiGuzZFwz6fvWPsg+oNnnzWRWxKpPIujMT32vKga&#10;Yw8CneR1w8tKLFg4C46q/ju3vqLSOiE8bC1+//UJC3Q7hwW6haHS7S+NO1HRmPdn9nljuZA/F25d&#10;hMckN9EvVnbh9QRJH8qWPJt9FlUdpgw/ZvigTOCipwU4vWme6HluTfJcSHPtl0IGU0Y8lWjPPTQT&#10;1XmBeP54C9r+sU3IY3ss195X6KWLjgeVdr9zcq4o7Z6onSCOHx1H2fEdFpR9SVSNxZH5euTkHBdt&#10;A0qaTJJyJEBBSEX1pSIIydGx74KXosBJvFOJcpLwu0/uQsHzIq7k8Rb0XElJPQF3T5d+BSnQs82g&#10;/Nx/bv87x7WwoQp1TZeU52OUQHYdMgy9bLa2RGF3wWH816F0FugMwzAMwzCDDM2dxh+4BN2Cxaa2&#10;OJK5lhmTQN/arUAfG5yO8cq/bT5yFPkSgW7m7mPT3E82J2SYvkJjyYzs3wcbyuotKNgAvyluUGsH&#10;FuxPqLUa+M/yQmnZJiEeZdtkmIFAEr2ljaomzINKrRE992VjcaBQFvr0GR6oqNok+rDL9sWeaFKo&#10;uhctgsVkzz5rwCzQ/ePsSaC34NGDAsyeM31ASat9xUntgD274vDvf74E/mj8QLoy9gMLdItCciAS&#10;dxsvC2FglhIkfugnZfap+9lf1ix/InaEo8xYycJnmClpqUbhk3yc2TwfyZovrKZsOwnfRPUE0dP7&#10;gO/fcD3CC9U3Vwk5TKXLW3/bBmM7S3MZzZ1xok/6k3ubkLN/Bg5N/QGJmvFCpMuO9bBA59dpHPb7&#10;/YzU8ztR2lqDkuY/7zX2DknZ87fOC8HblzYYJnGugrevJ8K2bUF6ZSYq26pR3jJyjl1voOcKHZM1&#10;YaGi2kl/Ss9RL/T5S+ci514uKlrNPfvLUdJQgifGgyLITHb9MYxZoO8vOtgnga53VsEwdSq+SToh&#10;sqhki8MMwzAMwzDMh4w5mo7PD1+HJiAQBm33i84GgwraGYGYEHwD40IypQvbJNDHBWUgeO8J5JfL&#10;BTqJhfI6zkBn7IfOX+Nw/MRyGFx0FhGR1M99w0Z/vKzn8u3M4NBgjBa9yZ/XR2HT5pmicgJli8vG&#10;40BxUqnFNl42KuO53f7Hc1mt9Qv0rMJo+ERfFAJd9iy3ZuQCvQ3FBanw9fWCxrn7ajqWxFHlgDOn&#10;DgB/NCmY9oWxT1igW5Cm5nA8Ne4XoqCo4c/MUJI+KTdSRO/e/pYepuzzmXNnIKs2h6XPMFPSXI2S&#10;xjKcDV+MJPXnSNZZh2BNFOXHx+Po7J+RmeiHB5VrRXY1iWHR37yFJ9498laP9IfK8bse7SXK3pv6&#10;o1tPNjqNu10uX+PK/i3KmCwdMRKdMu5J8sbujhaZ5Fpd9/dTnfLy6qRMaFzd9AhcvwoXb19CaVM5&#10;ylvpGuYgJBmVbTU4n3sBXpM9xHNHdly7g6S7RuuEvWf2CoFuPs5UkaWyMRsNzRTAw1nozIfQImqL&#10;MjYS84/0TaAr9wEXn0n4LuEgRqVkSReHGYZhGIZhmA8ZczQNnylzrolB62HQOMjnWl2QQHeeFoAJ&#10;wde7FehjgzKwYvfJjwr0rMIoFFRGCYEjmxMyjK3R+ToOEVGzhPiWXTt9gcq3O6rU2H9gCX79R4J0&#10;ewxjKUiiP30eieDgqSJbXDYmBwoFldDa3OUrwSOiokJJjXUL9FulkUgviMFPm67hk0D5s9yakQv0&#10;dtzKuQgvLzdoelgntiTUb/3OnevK9js+EK6MfcEC3UJQ5nlDcwyqm9I/yD6/86wIy4KXiMw82QXX&#10;E9SThErj7j+7X5SCZ/EzfJRQ9n9DKa7u3Yjdhq+Q5DxBKjiHEsqQpt7dx2b/LHqbP6pZL/qaU6Y5&#10;CXTZeGW6h4INjJ1xosR9edoynA1yFuXwKbtfdg6GA+qLvksZg+diAlD09I7IRpeNWXuDKnAUvSwR&#10;1ThIolNVj3cypZU/03/T32u1KiwNXIxDlw6j8EWJSeg28f2zWxrLxHHaHLdRBHz1JwudxPucRbNw&#10;6+Ft0VudPreogY57OR40neJe6IwUY0sUGppisC7tFP7voXSMIYG+eBkLdIZhGIZhmEFk1KlcfLMh&#10;Gq7qn+VzrS56I9CpFOzoVVmYknAOd7rJQM8ri8KTF6YAStm8kGFshZaOGNy9F4YlS33hqBq4QNc4&#10;azFpkitupIaMiJLXzPBC9+C2zjiUV2zCvPnecFIPTvauWqPG/AXeePwkwu6rKuRXRCHLygV6RmE0&#10;frRhgT4nOR+vO98W6B24cumoCNTQ6vvXNrmvONN2DFqUl2UJgf++cGXsCxboFsFUuv2R8fg7medE&#10;zat72H92n7iInfsZBePo5IDlqwNw52khZ58PI5T9SpIy9XQ8dhm+RLJm/DtCc6hJdqae2ONxYPLf&#10;kLNvBh5WrRUlyCnjXD5OmT7TEoPWXxPw4lkY8o7OxuEZPyJRPV4ce9k5GWpIoidpPseZrQuQX50q&#10;+qIXj4AAG7NE35WSDP/Z00TGM0lbrbPK9FNh3pI52Kvce28/uoPqzrsszvtAWUsl0srTMXmqd7+q&#10;ptDzTqdMJnef3P3OM6uwoRLlDXl4adzBpdyZDzAL9PXpfwp0p8A1cKEgju4COVigMwzDMAzD9JtR&#10;J2/iu01xcKUS7t3MuQwGNXSTZ2FC4BWMC8mSLmwTf1mZBa/4cygoj8BNyeK9mbpHUTC2yueFDGMr&#10;dPwWh6ycNfD2cYXGeeDihrLPFy3xwaMn4Vy+nRkSSKK3d8Yh5+YaTNOe9QAA//RJREFU+E1xt0gf&#10;//ehLHStTou9+xaj89d46X7YOnQc65uicLvcFCgme+5ZAyTQL97chh82XLfJEu7/Z9kNBB4rxH/+&#10;3YA//mOSm0AnTp/aKxJX+5ME1B+oIuqkSW6oqc5Vtt/2jmxl7A8W6BagqTkK9c0JQgy8LdBJHOQ9&#10;yseSVYvh5DRResH1hMZZDS9vd5zOPIPK9to3n80MPWXtdcjKOoa9k34Qfc9lQnMooH7rO1UTsMf9&#10;r7gW5on7ZWvQ3BGLllf2OQmxBowdcSIw4UHlOlzd4o7dLl+LbHRrKOtOLQSSnD5DSqAvbldcR1lb&#10;3YiQ6KXGCnGPzaq9iSNXjoqM6TVbQ5CwPx6nMk8j526uaJ/BQUd9h4INqHpK5M5wqDT9q5xCQQ1z&#10;Fs7C7cd3xLkyf3ZRQxXuNV4QQWdcyp15G5lAd1y7FS40prp7CdJr4Orhiu+jkjHqRI50YZhhGIZh&#10;GIaRQ/On78J3wpXmVYaPC0Ah0L2nYkLg5W4F+uhVmTBEXsaNvHixUC9bwM8sNPVBN3IGOmPjvP49&#10;AcdPBsDBQuXbqYz21rBZdisZGevE2BojxtzpMytFL3+qhCAbowOBxvYMf09UVG5G2ytq7SffF1uF&#10;BPqz+mhRYcWaBXqe8lw+diMZ361LtUmB/v8tvYF1p4sBNL2Rm8Ar7D+wHT/98qN07A0Gaq0T5s2d&#10;jqePaV9a35GtjP3BAt0CUDna+01n35SoFQKCyuC2VGPPyd1w7mcZXIL6926IWt9Vevjd7HZm6KDM&#10;3tzCCzjorzb1n5aIzKEgSfMlkrQTcGKRkygtTqXGqVw7l2offOgYU5BCQ1MUii8uwvH5DqICAJXQ&#10;l52roURIdGVcHpqtRU7uKZR13hsREp3aWdC9ke61RfWlKHxRLP6O+nhTuwvZ7zC9o0I5htdLb4gs&#10;9P70Qqe2IwZXHfae3ovqzro3n0tBZmUNhXhhTEZTc7j0WmNGJlKBvmZLzwLdoIGrqzO+37qNBTrD&#10;MAzDMEwfEQI9MgmubvqeBbrP9F4JdG34FVzO2fZRgW7ug/6y0SQdZHNDhrF2KEP8RX0UtmyZhYlO&#10;AxfolKXrorxDHz0WIMpqy7bJMIMFjefm1ljs2LFAVFOg8Sgbp/3F3N9/955F6Hgdb3f3fvo+j59H&#10;45YNCPQj13fZtEBfe+pPgY4/GvHvf9YjOnoTfnbovhWNJXFUOyIwcCmam2qUfWn+QLgy9gUL9AFC&#10;ZWhfGneivDEfRQ2VbyQBZT3m3L2FmfNm9Es+EBTN4jfdB1eKrglJZP5sZmgpaa5GwYObSFnla5Ln&#10;w5R1TH3O93p+i6ykKXj+dCuL82GCjjkd+yf3NiI11hu7XU3Z6LJzNqQo45LG58GZamRlHkXZCCnn&#10;LlC+J2VMEyTQpf8P0ycoYItK5UcnR4ts8v4EgVEAWMDqZSh8WSLOjfmzCykLvemicj1RBjpnoTMm&#10;zAJ9Y8ZbAj10cx8E+nYW6AzDMAzDMH1kVEo2vk04AFcfT+j1Hy/dKwS6pw8mrLrYrUAfE5gJx83X&#10;cSotEbfLPt4HPbc0Co+eR6OZy7gzNkpbZywqqjdj1uxJFinfrtZqMNnXVWToNrfZX4YuY/20tMfg&#10;0ZMIrFw1RWSMy8bpQKDy8JSFXl612e56/JNAf/AkGrklVi7QlefyzrMH8HVoGj6zB4EOI9pa7iJk&#10;9XI4qPpX/bk/THSaiPDwdfjHb0/e7Atjv7BAHxCmxf+6xsvvyPPixjKUNVch8ViS6B/bH/FAv0P9&#10;fCN2RqCq48/sPWZoIYlE5YzPxy5HknrcsMhzU8n28TixyBHl6QGinLixnaNRh5vmrvNQdHERjvj/&#10;JM4RnSvZORxKSKLv8/k70i/tMkn0t8Qlw/SFitYaZNflYPaCmUKGy55V3UE9gaj816FLh1Dz6t5b&#10;n12O0oZiPGve01XKXX6NMSOL5tYovGiMxfLrZ/HfXQJ94uYYUcmgu2wovYsWrnoVvt8YI3p4yhaG&#10;GYZhGIZhGDmjUrLw7Y4jcPH1gV738eQPgzIf07noMWHleYwLyZYubBOfBGXgp/WpOHRlN/LLw6UL&#10;+ERmkakPOgt0xlYhAZidGwqts3JtGOTXTW+h3yeBvjTAV1SapJLasm0yzGBDgSH5d9aLfuiWCAx5&#10;H0eVCnv3LxZBIvY0zo3Ks6zuUTRuSp531gQFtsWePIwvQ9LxWbA9CPQWPHtcgoULZsGpny0o+wOV&#10;i9+3bxv++E+rQsMHwpWxL1igDwAqP/vMuBulDYWiLK1ZDlDWXu79PPjPna48bPqXfU5Z67Pmz0B2&#10;3U2UKp/3p3hghgzKwGyvw42T8Uh2noBk7dBnGSdqlO06f4krWzzw5O5GtP6awFnnVkSTMuGjsu6i&#10;N3qYh+iJbg3Z6CTR93p9j7SLyShtqUYJ30OYflLdUYeEAwlw1qnhrO/7y5Oj00QsDwlA/pOCd/rR&#10;U9BZbeP1rmuJs9CZaLS0RuFJfRymX7iI/z6UJgT6j9G7YHAz9CDQneGq/gXfrwnDqFO50oVhhmEY&#10;hmEYRs7o45n4JvE4DFP9ehboroYeBfqnwRn4NjQdief2407FxwV6VlEUyuqi0WA0Ze7J5ocMY62Q&#10;+DO2xGD//iVQaQaeqUsCXavTYvuOheJz+Zpghgsae1Ri/fSZFdA6a+Gsl4/Z/kJSnrLQa+9tEbJe&#10;tg+2CAn0qvvRyLHi7HOCBHrk8SOYoDyvx9qoQF/zjkBvQ211LqZO8VbGluWrJsigpNeJDj/j4vnD&#10;yvZffyBbGfuDBXq/MWXN1TVdEeVo3xEO7XXYcXgHdHp60PRdOJiyz9VITkkWvX25JPHwQPI8J/ck&#10;9nn/HUmaoe97Tv219036FnlHZqFJGWvN1AOJJ9FWh6kPvakiwO3js3Fg8t+w02m8kOmy8zpUJGu+&#10;wC7Xv+LqgS3KPYRaEbx7n2KY3kDVVG7euyUCwtQaJ+kzqzvoeaZTnoPHrh1HVXvtm8+loLPShiK8&#10;MO7iLHRGIBfoySzQGYZhGIZhBpHRypzry30X4Dx7Ngzaj2dvmQX6+JUXuhXolNE2QSH6xEEUdCPQ&#10;qcRtfnk0njewQGdsD+oX/exlJIJXT7NIli71myaJnpoegpb2WL4mmGGlpSMGL5V784aN/nBwsqyU&#10;FM5Dp8XJkytEyXh7GetUTaWsLgqZhfJnnrWQXxaB4L0p+DwoA2OD5c9xa2Wcwl+WpyLmQulbAr0d&#10;xUWpcHPTK+Nq4Pfi3iBcnzKO09NOK9vv+EC2MvYHC/R+Qgv+z4z7hJiicrRmKVBqLEfBsyIsXrEQ&#10;KnX/SkeoNI6iZG7O3VyUt3Dv8+GgRDnuBfdv4ljAJCRS33OJoBxMdjh+gWNzfkF52jIYO2JhVCbQ&#10;snHIWA/GtlhR1r32dhDOLNeIku5Jzl9Kz+9QkaQdj136L3Fl/2YRiMOZ6Ex/qGitxvZD2+GsTEb7&#10;ExSmVp5pAcFLcedZIcqazWOwXEj0u02XWaAzAplA/3vcXhjcXXoU6C4aB0xctQafHc/AmCNp0sVh&#10;hmEYhmEY5kOEQN9/Ec6z5/RCoOvx1+UnuxXo44LTMXplFtYcPoLiqjDpAr4ZkugPn7FAZ2yP1o5Y&#10;3H8UBr+plilzTULR188ddfe3is+WbZNhhhJqUVBcuhHTZ3hYtB+6uV3B8hVTUN8UZTdl3Ok5Vlxj&#10;GwJ9+a6TGBtoewL9s+A0fB6YjiNplQAahdgEOnE77wocVQ4iOEM25iwNZbr7+Hig8M51IfDfl62M&#10;/cECvR80dZWbrWlMf7f3uQL1ed13dp+4oEg2vH+R9YRzV/b5rpRdQlpw9vnQU9JYIY77hbiVSFQN&#10;bd9zUQKc+p0vUeFeSShaXnPJdptCmTDROXv2eAtSY71N51MzvCXdk5yV7ZslelM5Z6IzfYakN2Wh&#10;T58zVXk+9b0tCUl3V3cDzuaceycorFB5fpY13MELY7LyXI2QX1PMiOFtgf4/XQJ9wu4z0Hm6waDv&#10;/oWdFnu1iwPwxeFrGH00Xbo4zDAMwzAMw3zI6GPpmHDoKrTzFsDQXf9QgxYGFx1+WZKMz0OypIvb&#10;Zv7v8mws3ZeC4sqPZ6ATJNCr7nEZd8a2oLFKmbNZ2aFwcdOJ7HHpNdMH1Fo11qzxx9PnkaDe0LLt&#10;MsxQ8+q3eBw8vLSrlLvl5CQFnXhOMuB2/npRcUG2bVuC7gn1TdEorIpClhULdOrPfqc8AlO3nRWB&#10;brLntzVjFuiHuwQ69R7HHy04f+4QfnH4WTrWBgMntSPmzp2Bh/cLlP1okQpXxr5ggd4PTNnn+1HS&#10;UIq3s8+p1G3eoztYGrgYjqqJ0ousJ6hfLP3+nSeF7/SLZYaO0vY6pF/ehd1ufxW9z2VScjBI1n0l&#10;spbPBGrx5P4m0VubS7bbJs2dyrlTfhaeW4iDU37ATvXwlnRP1ozHbuXnhW2BKHyUh9LWGunYZxgZ&#10;FFRUrjzfEo8lijLu/Ynq1GhVWL0xUAQnlTZVvPnsooYq3Gu6AGNz+AfXETOykAn0z/ZfgrOne68E&#10;uvOipRh/8IrIopItDjMMwzAMwzByxpzIwS9LV8FF0806llmgL07qUaD/z8oszN55BjeLYpBbGild&#10;yCdIoBdUmMQDC3TGVqCxSiXcExIWCKlIGbXSa6YPOKrUOHR4mZDnfC0w1gKNcwrqWL7cDyoLZ6Fr&#10;nLWIjZ8nMt1l27YljMo1+/xlNPLLTc812fPOGjALdI/Yc/iLDQv0Q6kmgU78+18vkJwUA4d+erj+&#10;4OA0EStXLkZH2wNlH0yl5Bn7hgV6P6AM9JqmtA+yz6m/6/EbKXBxpQjEvmefU+a5i5seBy4cQHVn&#10;3TufzQwNJBbza1JxZL7BlH3+nogcLEieJ2m/xOVNbnj6cDOaSZ5Lxh5jO1BJdwqCqCsIxsnFjkhU&#10;D29JdwoGSVJ/jnMRi1H45DZLdKZPVLbVIK08Hb5TvUW5ItkzrDvo+eY5yQ2ns86g4q0sdHqOljfe&#10;wkvjTs5CH+HIBPrYfRfh7OXRo0DX61QwzJyJL/ecxejjmdKFYYZhGIZhGEbOX07m4sdlQXC1kEAf&#10;tTILUxLOIz0/Drd6EOi5JVF4Wh/F0pCxGajkdFNLDAKW+0KlGXj5dgpQ1+mdkZkTgs7feC2QsS7a&#10;X8Xhxo3VcHPXWzQLnYJGFi3xweOnETC22XblVRLoT55HI6/UugU6BbSl3Y6DIeIyRq/KlD6/rRkS&#10;6F8EpeNYRlWXQDeivf0+QkOWK/diJ+k4Gwwo2z0sfC3++KNNKlsZ+4MFeh+hLLmnxoMoaShB0dvZ&#10;58ZKFDwvRsiW1VCpHKQXWE+o1Y5YtHwhCpXPKTX+maHHDA0lxipQT/tzMQFIVI0dstLtQp5rJuBa&#10;pCfqGyJYntsR9FJFJd0pKOLqVg8h0JM0wyjRdV8iWfOFkOhFJNFbWKIzvYPK/5cpz6XIxAg49eMZ&#10;R4sCKuUZF7o1BJUUvKHca02fbeqF/qgpRXm+skAfyZgF+rS3BfqBy9BNm9Y7gT5jBr7cfZoFOsMw&#10;DMMwTB8ZdfImflq6ymICfUxgJlzDr+Ji9g7cLouQLuS/Td0jzkBnbAcq315esRlTp7lDpRl4Vi71&#10;g549x1v5zE1o67T9bFzGvhA9yo3RCI+YY9Fe6FTGfZK3C26khth8FrqxNRr3n0aLDG9rFugU0HY5&#10;Zxu0YVdsUqB/EpSG79ZkIq2wrkugN6OpsRrz5/tD3Y92k/2B1japhHtyUpSy/Q6pbGXsDxbofYAy&#10;z5uaY1DTmCrKzr4tF6hf+eWCK/D0du9X9rn4HYMzko4lKZ/FUmvIobLCynFPv7K7q3T70EhOU+b5&#10;BFyL8kJ9YySaebJsl9B5bWiIwM19M7DH469IVM65bDwMBSTRKRP9rFmi8/2G6SWV7bW4WnQdU2b4&#10;ilLusmdZd9Dv+E33UZ6VV1HR9ue4oyz06sYsNDQniBYpsmuIsX9IoD+tj8PMixfw30Kgp2PsgSvQ&#10;+fv3LNCVf3eZ7I2vdh7H6JQs6cIwwzAMwzAMI2fUiRz8tHIdXJ2VOb7hIxmGfRDonwRlwGnjDZxM&#10;S0R+efd90LOKolBSHSWdHzKMNUIZuWfOrhIZuVrdwDNyf3FQITxyllhvFrJSsk2GGU5ozN++sw4e&#10;ngaLjHmCyrg7qdTYf2Axfv3fBOl2bYXm1mjUPY4WzzPZc85auK08j0+kJmPixuviOS17flsznwSm&#10;4Yd1mcgpudsl0Fvx4nkZJvl4QNsPF9cfyN+RRD95Yo+yfc5AHymwQO8Dxuawruxz6n3+Z4Z4SVOF&#10;6OkauTO8//1hnVWYNd8fuQ/yUGp8tzQ8M/iUtlQjvzoNh+fpkKT6XCoeLY058/w6ZZ6b5blRPvYY&#10;28fYHqu8DMWi+OpiHPD7XpR036WXj43BhgJEktTj/sxEZ4nO9IbGMlS0VSNs+1ZRMaU/zzpH1URs&#10;SdgieqrTs9P02VTNpRTPjHtYoI9gmluilGdhLFannjYJ9KPpGHvwKnSz5vRCoGvg4umGr7YfweiU&#10;bOnCMMMwDMMwDCNHCPTVYXDVUWJHTwI9uUeB/mlwBv4WmoZDV5Nxp6J7gU7ZerfKovCMy7gzNsKr&#10;3+ORsH0enNQkUiTXSh8Q2YwqNY4cW4pf/2HbEpGxX6gXemNzDKKi52Cio+UyfX9xdML6DTNQ32je&#10;hnz71g6VcK+6H4XMQvlzzlqggLaDl/fi7+uVZ7+NCvS/rctEVrFZoLegtuaWkNqWbC/QHeTvvCa5&#10;42bWBbF9mWxl7A8W6L2Ess8bmmNRK8k+J+Gd9ygf/nOmiwtJdoF1B02YqD9s0vEklLdQGfE/S8Mz&#10;Q0BjhRA5FxJWiczcoSrdvlM1HmeDtHj+eAuaX7E8Hwk0tcWi9dcEVN9ahePzJiJRGQMUSCEbH4PN&#10;m57o4dwTnek91Av9fO4FTPL1hEbb9+cd/c7kqd64WnhNZLSbP5ey0Osar3RdK5yBMhIxtijzrKYY&#10;bMw49Uagf3b4OrRLlvcs0JV5lIvy86u4Axh9ggU6wzAMwzBMXxACPXhrLwS6MxwWxPco0McpjF6Z&#10;hW0X96C4Mky6kG+GBPrNkijcexwlyuDK5okMYy1QkEdzWyzWrJtuEZEoylhPckVquu2XsWbsm85f&#10;43Hz1lpM8naFWhm3svHcV6h9wcxZk1BSugntr2Kl27V2zIFf5XXRyLJygV5QEY4dZ/fjm1DqJ26b&#10;Av3H9Zm4VX4PQJPg8sWj0OrU/Urw6Q9qrROmTJuMe3X5yvabpbKVsT9YoPcSyop7atzftdj/ruCm&#10;kut7T+2FwU3Xr/LtJM+n+vshqyZblIJ/+7OZQaa+FKXtdcjKPIw9nt8jWTteKhstzQ7HL3BmlRZP&#10;H2zisu0jDFNf9Hg8qlmPC2sMIpBi2CR6Vzl3cyZ6SQvff5juoQCvCmWchG5eDQ1VXJE807rF4Cx6&#10;oW87kIDy5krRW50+l/qglzbcQb1xmwhYk107jH1jFujr098T6AGrehboCi7OjpgQsxejT+RIF4YZ&#10;hmEYhmEYOSaBvqV7ge5CAl0L1eyN+DyEeqd2v/j+PyuyEHbqAArLw0VfWNlivhmSDmW1USKLTzZP&#10;ZBhroa0zFqVlmzB7jpdF+p87qtRYsNAbd++Fid7qsm0yjDVA7QVa2mOxZessi2Whm7KGdUjPDMGr&#10;3+Kl27V2SKC/bIpGcbX1l3AvrAhH5ImDGB+UYZMCfdSqVGjDc/D4xRMhz//z75dI3BEBjfPQCXQn&#10;lQMWL5mLP/7TAPzR+IFoZewTFui9wrSYX9t0XWTJvSMTmsqFUFgeEtCvnrAEyYT4fXEoM1Zy9vkQ&#10;U6Ic86In+UgJ9EOSapxUMloaEqbH5vyCR1Xr0PKaSzSNVChw4sWzrbgeOWl4M9G7JPr5yKUofnYH&#10;Jc3vVthgmPeh8usX8y/B3dNVRHrKnmvdYQ4ay6jOElVX6DOLusq4P2o6xmXcRyhSgX4kFarVG3ot&#10;0L/fuh2fcA90hmEYhmGYPmEq4R4BV70yr7KQQB+1KhOB+1JwsygauSWR0sV8MyTQ88upjDtJGvlc&#10;kWGsAZJ8V64FwcVNb5Geuw5Oamzc7C96TMu2xzDWBGWhX7wUCDd3vaieIBvTfcXBUYVTZ1ag87Xt&#10;CvTnDdG4U279Ar24KgzBh45g1IosjAuWP7utmfcF+j//9zk2rA+EWqsaMoGu0jgiJGS5kOf4o0Eq&#10;Wxn7gwV6L6DF/OfGXShtKMQH2edt1Th781y/y9mSSPDx88KVgquo6qh757OZQaaxHGUdd3H9aITI&#10;PCeRKBOMloTk+UHfH1CdG4iWV7Y5OWAsh7EjDg2NUcjePU20DkjSDv4YlEHl3JM1X+DyrrWmoCCW&#10;6Ew3lHb1Ll8REmB67vWx75upbYkKySnJpl7oXYFjFKBW3ZjelYHOWegjDbNAX2cW6EfS8OmxdDhs&#10;iIShF4EaBmcnOK7Zgs+OknxPky4OMwzDMAzDMB8yKiULP67fARdXV2Vu/7F5V98E+ujATMzbcRYZ&#10;d2Jxq7R7gU5QKfe7j1mgM9YLiTIS6PsPLsYvDgPPwKXsW+qhvnffEi7fztgEdH9+UR+FZQGToVIP&#10;vAID4aBSY8eOhWgyxogsd9l2rRk6Jk9eRONmSTSyJc82a4FapRRVhGPxnhT83+XZ0ue2tfOuQDfi&#10;H78/xbx5/qKsumxsWRqxlqlTY+eOCCHwKQtdJlsZ+4MFei8ggU69Wd/PPieqO+sQmRgpssj7E+3i&#10;5DQRG2M2oMxIfbg5+3woKW2txe2qVByeq0PiEGSfkxzd7fpXFJyZj+bOeDS2cHkmxiTRje2xyDs6&#10;C3s8vkGiZoJ0/Aw2on2B/itc3b9ZCE2W6Ex3lLdU42T6SeU5prz0i7Jb8mfcxyDxPmfRLOQ/KUCp&#10;8vyjz6RnbHlDAV4YkzkLfQTyQQ/0I2n45Hgm/h6+AwYdLVB1P87o/1EHrcXYIzdYoDMMwzAMw/QB&#10;IdA3JcHFzQ36j1b+6ZtA/yQwAz7Rl3AtLx55ZRHSBf23ySyMQmmNMh80mkSlbL7IMMMJlVh/+jwS&#10;69bPgIPTwAW66H/u7Yqs7DVo7bDN/s/MyILuzVQtISl5EZx1FAAy8KxflUaD4NXT8ehJuCgRL9uu&#10;NUMC/eEz688+zy2NRHZhDGbuOIu/rMz64JltC/zP8lRM2nYL//xXvRDoxqYa+E3xFhnosrFlacxt&#10;m6nvOgv0kQUL9B6JxEvjTpQ13PlAoFPp2azaHMxfOlf0QHj/wuoJyj738HJFyo0Uzj4fYkqaKkT5&#10;9ouJoUh0/EwqFC2K/mskqicgI9FPyNKmVp4cM3/SRL2EXsWj+NIi7Jv0HXY6DU0v/vdJ0k4QEv0K&#10;SXS6VroyjRnmfShz/NbD21i0coEIIJM947rDWaeBwUWH3Sd3obK9RnymqYx7OR42nYSxOUx6rTD2&#10;Cwn0FuVnUv4R/N+D6RhzJBWjT2RjQsIhkV3+8XKiJkig6xYHYNzBqxhzLF26OMwwDMMwDMN8iEmg&#10;J1pUoH8alAHVxuu4eDMBt3sh0CkDPbc0Gk9f0rxQPl9kmOGE+p+XVWzCzJleUGsHXr6aeqjPnuuF&#10;5y8j0dzGCTb9gYQuBR+Q1CXoz3QsOQhn8Ghpj0Vh8UZ4ebtAqxu4QKdAkgULfVB3f6tNBpI0KdQ8&#10;tH6BTpVgUvPi4Rt3AaNW2a5A995xC0CjQjNu3bwED08ah5aphtATJNCpfUdlebYQ+H/8Ry5bGfuD&#10;BXoPGJvDca/xvJDnRe8JhJpX95CSdkK5iLSi9I7s4uoOkg7Lgpei6GUpZ58PMaUt1ci9fRp7J/0g&#10;ylfLZKIl2eH4BS6EGPDyRbjIOJaNNWZkY5bopdeX4ujsn4dNoovrQf8lrh0OR1lbnWh1ILuGGKaq&#10;vRb7zuwT2eT9iTxWq52wLGgJCp4XvclCL2yoRk1TmnJN0AICl3EfSYjFj5Yo7Cs89K5A334EBhoz&#10;vRDo+tlzMW7/ZRboDMMwDMMwfWAwBPq44AyMV36mZOxAfnnPAp0gAVHzIEoICdl8kWGGEyrfnndn&#10;rfJeooOzXnaN9A0Sh+vW+8MohC8L9L5Apb47lfPR0haLyqrNyLu9HrcUqqq34PGTSHS8isPr3xNE&#10;z24qj0/BDy0dseL36FjTuydL9v5BlRie10di4SIfi/RBJwk/bboHqmo2i/Mk26a1Yn5WVdw1Pb9k&#10;zzVrgQLZzmftgCHsKsYE0jNc/uy2Zv6yIhX+SbffCPQjh3ZCp9fA2QKVEHoDiXpfXy+0tt4V25eJ&#10;VsY+YYHeDVRC9qVxOyoac1HY8G45Y1rsL6ovw+a4TXBUTZReWN1BUSsGV2ckHUt8k33HDA2UfU5S&#10;8MzWBUhSfy6ViJaEMs8P+/+E+6WhaB7uvuc0UaTJuTLJFD9tsL+MXaOcn9bfElBXEIxjc34xSXS9&#10;fFwNJtQPfY/7N0i7tAulbbWcic5IqWitRmZVNuYsnNWvLHSqwuLu5Yrj14+/qcJS1FCB8obbXWXc&#10;I+TXCWOXmAX6nrcFekoWJiSmwMXbE/quclkfw0CLvVP8MG7vBYw5liFdHGYYhmEYhmE+ZHAEejo+&#10;C87Azgt7cbs0UvRflS3qvw1lod8pj0J9E8stxrog6draHouUE8vhqLJc//NDh5ZxxnQfoONEIvxl&#10;QxSOK+di/foZmDffG1OneQgWLPDBihV+2LBxBiKjZyExeSGOHgvAteurUVC4QfTvpuNtpkU5p5T1&#10;TD/pv22xB/dQQ8eIWm1s27ZACHQax7Ix3lvoWvCcZEBZ5UZRRUC2TWuFxiM9r4qqosXzS/Zcsxby&#10;y8Nx/EYiHDbcwCdB3T+/rRGaU3yyKg1rDxd1CfRWxMdthlrjZJFWAr2BSsUHLJuPzo4HyvaNUtHK&#10;2Ccs0LuBSsg+bEr5oHS7WRykV2Ziqr9fv0pFUMbe1Jl+ogRuKcupIYV6n9/MPTEk2efmvufFlxej&#10;5fXw9T0X2c3K9ql8fENjJOobIhQixd+T1GeRbj3Qixmdq9o7wTg2d6KQ6Mn6r6TjazBJIok+6W9I&#10;v8gSnfk41e21iNkVrUxaHfs1aXV0mog14aGi7775WUgS/XHTES7jPsKgl8/21igcLT2A/zIL9OOZ&#10;mJB8Ei5TfLtZzDVhIMHu5YGxe85hjPJ7ssVhhmEYhmEY5kOEQN+407ICXeGzoAxsOXYUuSVRuFkS&#10;KV3Uf5vsrp8PnpnmhrI5I8MMByRXn72MxIYNsyxSvp2koYubDgVFG7j/eS+hewJlKOcXrEdg0FTo&#10;9M6Y6KiCk1otzglBf6YAh18cnOCg/JvGWblvuepEufEpU90xZ54Xlq/wRVj4bCQlL0Zqaghq727B&#10;o6fhopQ+rcdRxrq5HDwLdTltnXHIyAqxiECndSS6HopK19ukQH/RGI28MusX6AUV4dh3ZRe+CzEF&#10;t8me29YMCfRPV6Vh87FiIdD/+E8zglcHKNf5L9JxNRiotE6IiliPf/z+VNmHJqloZewTFugfgbLP&#10;G5oTUNWYgUKJQC9vqcbRa8egde5H6Vrl4UICfUPUOiEMWKAPIcqxLmksw8nQGUhyGisVhxZD9D0f&#10;j7R4HzR3xGG4+p7Ttqkk1MOqdSg4Ox/Xwz1xdbMbroV54taBmbhXEiIe+qK0vFH+GczQQpN2Cmy4&#10;VxKK0ys0w5aJThJ9r9ffkJV1DGWd97mcO/MBFEx2rfg6/GZMFpGf0mdeN2iUZ+gkHw9cuHVRlISn&#10;z6SKL3ebLnddD1zGfSTxuj0C1+8l/SnQj2Vg/J5zcJk1C3oq0S4ZQ2YMBuXl3U2H8cmnWKAzDMMw&#10;DMP0gVEnsvD3jbvg4uYOvcGyAn35rtPIKY7ulUAnSEKU1MjnigwzXLS0xwrJOneut0XLVt9/FMYC&#10;vZeQPC8t24S58yYJcd6b/ttmOUvnzCzYqfc8iXUqw+/iroOnlwH+Mz2xdq0/9u1bgqycUJSUbcDd&#10;+2EwtsTg138koP11nAiikO3XSIREd2n5Brh76sXxlR373mLrAv1ZPT3fTM8u2TPNWiipDEPc+b34&#10;y4rsD57XtsDYYIXANMSfLQXQgscPCjFz1lQ4afpeDbO/OKodcPrkPvzxn0bgj0apaGXsExboH4FK&#10;xz417vtAFhAlTZUoqi/Fmq0h/RLoVL7dxV2P87kXUN5SJTLvZNthLE/5q/vIuLobe9y+QbJ2cHtM&#10;U+n24/Md8PT+pmHre97cGYdnDzcje9dUHPT7G3aqxiNJM0HhS/EzUfnv/T7fIyt5Kl48VyaH3J/d&#10;qmjujMeTe5twLkg3fD3RNV/g4Cw1cnJPorTdVGabYd6GxPfa8DXQ9LN0kpPTRJHFTq1RqMUGZaBX&#10;NN7Ey+btXMZ9hGEW6P/fWwL9iwOXoVu4BHrnHgI0DLSQpcPfY/ZgzHEu4c4wDMMwDNNbRqdk4Lvw&#10;4zB4+kCv/1jQYt8EOvFpUAZ8oi4iszAaub0U6NRH9lZpFJ69jIKRs9AZK4Ekd0npBrh56HslbnuC&#10;ZG7omhl4+iISze0sZnuipT0WLxujsH6DPyY69j1w/30oa9osbul8kmAnVBqTaJ/s64aA5X5I2DYP&#10;Z8+vxK3b6/D8RZTog08Z6iTTR3KVDMpAr6nbgrnzBh5QYusC/f4T+bPMmripcKc8AptSDuF/VmZ9&#10;8Ky2BUigf6FwJLUKQDtysy/Aa5KbMv76XhW6P9A4VWmcUFSYqmy/DX/8Ry5aGfuEBbqEpq6Mt7uN&#10;V6Tl28uaK3Hz3i34TfcVPVxlF1Z3qLVOWLh8Pm49ykd587u91ZnBo8SonMvnhTi5diYSHT+TykJL&#10;keRsKt1enrp02PqeU+b5/fI1OLvKGTscPhfl5KX7qvkSO52+wPXoSXj5MkKUeZd9HjM8kESnIIxz&#10;Qc7iPA1LJrpqLA7P0yGv/KqpnLvk+mJGLuUtlTiTdQbuni79amlCgWjUDiWzJltktJs/95lxDwv0&#10;EUZneyRyHyTi66OpGHU4DWOOKi9LR25AvWI1DNoeIouVFxpa1HXYFINPjqXjkyNpHywOMwzDMAzD&#10;MB8iBHrECeg9J1tcoE/cdA3pBTG4Vdo7gU5QJl/V/SgYW+VzRoYZSkiSkTA9eWrFG/Eqv0Z6D2VC&#10;Hzq8DM2tsWjicd4tdPyp/3xqWohyD9INOOO5J+gck1SnTHWS9Sq1BlOmeiB49VRs2z4PFy4G4t6D&#10;MCF7W5T9IkZaqXcKKLn/MBwrV02DWjswgWnTAl2h9mG09DlmTVAAW25xNFbtO4FRq+j5LX9mWzOf&#10;BadhvPIzJYME+iucPbNfVHce7PuBGVrr9Pb2wP27+UKgyyQrY7+wQJdA5dtfNO9EaUMRihveyw5v&#10;NAn0A+cPiD4qlE0uu7C6w0nlgO0Ht4nP4ezzoaOs4y4ybxzALsOXSNbJZbKl2Kkej/SEyaK3+HD0&#10;F29SJnAvnobhQqheyPOeemiT8Kfs9NyDM0UWOvdEty4oCMMk0SkT/Yuh74mubC9JNQ7HV/ggvyad&#10;JTrzDtSGpPB5ERavWAhtP16e6IWJJr57Tu0WQWX0XKTgtYdNKcr4p4A2LuM+Umhvi0Tpox3QnLiK&#10;/z5sEuCfpmThpzVb4KKZKB0/byCBbtBAtXoDPjmq/C7x3uIwwzAMwzAM8yGDJdCphPs3a1ORkpaE&#10;vD4IdMpCL6iIEr1lR3KWJ2MdUIs9IiJyjhCrA+/5bMpAz8wOReevw5NwY0uQnG5oisKmTZbpP99X&#10;xPly1sDBSQUnlRruHgbMnuuFLVtn4dKlIDx+Fo56Zf8oK7vtVdyIkOkUUPLsRSQ2b54lgkFkx623&#10;2LJAJ0prrb//OQWwZeTHYs72cxgdaJsC/dOgNHwVmoGcsntCoO/aFYOffvlJOqYGA8o+X7J4Dupf&#10;VCjbb5FKVsZ+YYEugQT6g6YzKBLy/F3BTQv7FW21onw7Lfj3NfJQRKz4euLi7Utv+r0yg09JczWK&#10;nhXg5BrqfT5OLgkthCjdPu8XPKrbILKHZWNssGn9NQH5J+YiSTsByc69k62Jmgk44Pc33C0OEaXf&#10;ZZ87UqGAApLYrb8lCFqUPw91kAGdkyd3TZnoO0Qm+tBL9ETHsTi9YTaKntxGaUuN9FpjRh70XKSA&#10;sP1n94lnXH8i8ul5ujBgPgqeFYlS7lTGvabxujL26TpjgT5SIIFe/ngH9KeuvBHoo07m4ttNsXDt&#10;pUBXBwSyQGcYhmEYhukDgybQgzPwdWgaEs8dQF5phHRhX4ZZRtx7QvJMPm9kmKGChKixLUaU9LaE&#10;wNXqNJg61QPFpRtFb23ZNpk/IVn7sjESs+Z4QjMMAv1t3s5Op31xcdVhxkwPhIXNQVrGatTe26rs&#10;b6wo9W7PPdPpeqhvjEZc7Fw4qj72zOgdtH5E14StCXTKPqef+eWmoK/3n2PWxC3l+Xv9VjwmR13C&#10;mMCen93WCAn0v67JQNn9J3jdfh+rVwdgolMPa0QW5BfHXxAbuxn/+P0ZgKYPBCtj37BA/4AoNDTH&#10;oqIxVyzgvy8KKNMu71E+Zi2YCZW6h3KiEhyUC27l2hXIf1qIMiop/t7nM4NDaWsNsrOOYbfhq0HN&#10;PidZnaz7CgVn5qPldbyIUpWPs8GDSrBT9vn51ZR9/oV0Pz8Gyf+LawxobIoSEyLZ5480Wn5NED/v&#10;FYegPCNAcLdoNRqNUeLfhlKkC4lOPdEDTZnosnM4qFAmuvpznItciuIXRaa2CJLrjRl5UOn1rLoc&#10;TJ3p16/WJs7KC5OrhwEpqSkob6kSz9/yxtuob1buoyzQRwytbZG4/2wbZly8gP86ZBboN/Ft+A64&#10;Uo/zHoIzDHo1NPMWmBaDWaAzDMMwDMP0isES6GODM/CF8nPz4WPIK+u9QCcyC6NQVqu8Bxjl80aG&#10;GSpIhD54FI7pM9wHXK6aoIzdwKCp4jNb2rmFYk/Q8a+7txU+fq7DkoH+MUimU+Y09QCn/dI6azFr&#10;9iQk7VqIjKwQvGiIwuvf45VzbH9rq7Re3NAUjfj4eQMW6HQMXd31KCnfYFsCvSUaz5VznFf2Z9CX&#10;tXJbef6ez94G1cbrorWK7Hlt7XwamIbv1meiqbMRTx/kY+bMKVBpnaRjajD4eeLPOH16P4AO7n8+&#10;AmGB/h7Ub/VJ0yGUNhTjg/LtCpVttThy+TA8vFz7LAlMZWqdsOPIDtS8uvvBZzODQ0kTBUKU4vTm&#10;uUjWDK503OH4BS6uM6C+MRJNbcMzEabsaBK8h6b+8NG+5x8jSQQXmAIAhqt3u7VAYpyCEWrygnB5&#10;szuO+P+IPe5/FRye8RMub3RD8eVFQqQPZd940RP93uY35dyHuic6BaAkaT7HpV1rhUA3XV/ya48Z&#10;OdA4oMzx6F1RcHTsRxQolUXTOCJ4Y1BXdZYKlDSU4Llxl6gKI7sWGPujtTUSD58nYPal8/g/B6mP&#10;eSpGpWTj25i9cPV0g17f/bzLRaeCetp002IwC3SGYRiGYZheMVgCnfgkMBOzd5xBflkEbkoW9j9G&#10;tsKtkig8fclZ6Mzw0toZi8uXg+HhZRDZx/Lro/f8PNEJOxMXiJLf3KKgZ1raY5GVtQaeFjr+g4W5&#10;1Dv1Tacy7yGh05ByYjnud/VLb243tQKQfUdbg87Jk2eRWLfeX2Tjy45Hb6FzOmWqOyqrNyvXhO0E&#10;lNC1+/BZNHKV55S1C/Q75RE4kbkdE5Rn8thg+bPa2vkkMA3fb8zEv9CG0qLrMIgAlqEJqKHt6HQa&#10;ZGWcBdApFayMfcMC/T1ooZ7KxlL/VZkkqOm8i8jECKjVjkKIyy6sj6HWOsF3mg8u5F1EZRuXPx4q&#10;SlqqkZt3Cnu9f0Cy8wSpFLQEVAJ9v/d3qM5dhZbftg1bpDRlRVfnBWKf17e9Lt/+NomqCTg662c8&#10;vrtxxJZyp0ktSfHii4twYPLfsN3hc5GdLyoMKNC5pmCJ3S5f43qEF5493ILmjqE7VqInOmWiC4k+&#10;fsglepK4jr7CtePRKGuvY4nOCKo66nD+1gV4erv3Kwvd/Iy8UngVFa2mZ+SjphQW6COI5pYoNDTG&#10;Iij9FP7fAxliQXfU8Sx8s/0IXHx9oNd1H91uUP5dO9kHnx+8gjFHTQKeYRiGYRiG6Z7BFOijVmXB&#10;LfoicoujcLOk933QiazCKFQ/iBKiwlwul2GGmo5f47Br92I4653h3Md14PehbFvKVD53YSV+/Yep&#10;2iHTPS20Nle8EZN8XES2t+y4WhskhSc6qsSYmTvPWxk/i1Bbt1Vko5MkHuqWkJamtSMW9x6EI2D5&#10;lAFXZaBzSseo9u5W8bmy7VkjFNhV8yAaOVYuzylwLb8sEsmX9ors83E2LNAnRefi3/9pwbWrx0RG&#10;uGw8DQa0Vjn9/8/ef75FlbXd3vCf8h7Pu/d+9t733a1t1m7t3EqoXEUy55wzQTAHQiFgIJgDwZwD&#10;kpOoIBnFnAWKYOru6w5Xj2eds8TL1kkoqMIqOD/8DuyGWrXCXGvONccc45wyHrcqcwE0SwVWpmfD&#10;AvpHkPv8uSUe5bWFUgGd4tuLnhZjefDSTjnsPDzdsCRwMUrrykXN2E+3zzgA5TyXNlXjbPQKxGsd&#10;WDfaQPHnQ3Bl61irG/kLriokcfVe2WokzhwphF7p/raFcizkbM7YPkEI6D1lhaQt0HHfubEKh6f8&#10;YhWoZedJgRz+dK7OrTGJ2HxLNy44aBHRjy7yxE6PQdL9cyTx6sHY4/cjMi/vQdmrO+Jek96DTK+B&#10;HOg3X5QieNMq0d/J+sG2oEVptDjNHB+B6tc1yjYrcLv+MgvovQhLoxmNDVuxPvcI/ud7Ab1PShaG&#10;7zoB47RpMOjaiegih/oYP/y04zD6JFs/zzAMwzAMw7RNxwV0HTzmbbVJQO8bkAXV5ks4l7MTBaW2&#10;Cejk6rteHokX9Va3n2z8yDCO5vW7GGwJnQFPlVq4jOX3R8cgsXD8RG/k5K5Wtts7DSu2QhHuT5+H&#10;Y/JUitB3DQG9BVowQZH9tGhi2nQ/7Nu3GNU1m9H0Otql3NafQo76qtubMEFpy11NBaBr6h8wBQ8e&#10;uVZJAxLQqcwILfSS9V/OQl6JNc1lS3IS+pOALumnXQES0OfH30Bz00NERa6Hh8pd2p4cAdVa9w9Y&#10;jObGe8BfXP+8N8IC+kdYGkLxwHL0vXguj28/W3AWEyePVQY9ttX40NMqQ70a4bFhqHpN8bR/3zbj&#10;GMh9Xlh+CQenqUTtZpkQaA/idcNwaPIveFCxFpZudCLLqFcGHC9ehOHcWpPNNdBbIGF4n+8IVGat&#10;+FADvLdAL+aWpq24uNlHiOMJ7Sy6oJr3dJ4zYyeijlbGd3NN9NvXg5A8e1SbQr+joHvq4HRP5F09&#10;jlLl+cgiOkPlSXaf2CNqVXcmTslTGQTPXTwbObfzUNZYg4q6HKWtcw303gI9f9+9ikDU9UT8P/ve&#10;C+jJGRh28CK0c+fDqPWQtpsPKG3O6GvCyPBYIbx/OjnMMAzDMAzDfE6HBHRlfG806TFqUTwGBWdL&#10;J7hlkOPtxzXp2H12H66Vh0kn+FuDYtzJ3XfvsdWFLhs/MowjIfH24aNwLFk6ocu1ngnaxqLF43H3&#10;Htc/7yh0DV7URohr4CoO9E/5uFb69Bl+2Ld/Me7eD8W7P2JEtLvsuJ0W5VlM5QfSM1eJ47E1nfdT&#10;PNRqhIfPxvOXZnGtpd/phNRazCiqcgUBPULpRyOxfNcJlxfQ1ySV4dmTCixaOBNqG3W5rjDKbSS2&#10;bQsF8FYqrjI9HxbQ30MOt1pLDKrr0lFUWyUVBm6/u4v9Zw5Arfa0uYOgONsx432FAF/eIN8+Y3/K&#10;Xt/BhT3rHes+V4hVDUHevmlW97kTRPE0/b4NRWfmi2PuTIw7QRHlJ/21eP4stFvjyb80dO6qcldi&#10;/5gfOuzgpwUUe3xH4G5JSPfWjlcGrlTzvqZFRFfaoWz/HEmc50AkLfLBtap0lDZWS+9DpvdQ1lCJ&#10;nJo8zJg3HapOrAilF0udXo2DZw+i6vU9lNcV4qVlO7vQexH/eBOGPSUH8D/3/0sA73ckG6OWrIRJ&#10;006ygTI2M3npMWp9BPoon/l4YphhGIZhGIaRIwT00KMw+NpfQKd6q4MDM7El+TBuVNomoBPkQi+u&#10;MqPWYl1sKRs/MoyjaH4bjcLr6zFlqp9d3M/unips2jyd65/bAJ0nKuEQG7cAGhdzoH+KqJOuHIOH&#10;So2Fi8bj6LEVePwkXDi6ycgjO35nw9K8VTyPw8Jm22VBwyh3T6QcW4bXb2Nc5p6wKPv55EUkCsud&#10;v/55fkkEsosjMXPbGbGgTdZPOzsk+vcNSEf02Vt4cK8Yvn7GThl2OgPNUeqV7zp2ZDeAV1Jxlen5&#10;sID+HktDGJ5Z9qCktgQy93lJfbnyuzJsjN4Id49R0puqLTRaFWbNn4Gi5yUiCv7T7TP2p6TxFm7c&#10;y0Hy0tGI8xwgFf/sQbxmGA5P+xUPqtc5Tc1wckHTgObcWqPVmdyZGtnKZ+I1Q5B/aIZYGODqNXo6&#10;gqU5SqwivBTqKxYQSM+LDIrwVw1FgXKu6Dx1Z+w9fZeoe5/nj0OTfv4iInq8agCOBk9F8dMilPIC&#10;oV5P1avb2LxtM7RKv0fpK7I+sS08Pd0RsnkVrj8rQYWlBE8s+0WJFVn7Z3oe716H42zFXgxLTMdX&#10;h9PFpO5Xx/LwW+B6eOk9xOStrN0IlN95GdRwC1yDPkdyPpscZhiGYRiGYT5HCOibj8LgY38Bnfj3&#10;FdlYtOcoisrDRZysbJK/NUicyC814/FzdqEz3c/bP2Jw5lyAaPskpEjvjQ5idSFrkbB7odiu7PsY&#10;Oc2vo1F8cz18fA1djgx3FiiNQKvXCWf9pUur8KLOLGLdqU667Bw4C42vonDn3hZMnebbZQGdzIkU&#10;b38lIwjv/nSd9FOKb7//OFL0ZyIpxYmh0inp17fCbeMl1xXQgyjNJgOJmbeRnnpcaXe2G1s7Cznd&#10;x47zRWH+RQCNUnGV6fmwgC5QBuIK9+tPSmufE+WNVci6lYO5i2ZBrW2nBucn0E1Njrr1EWuFeM71&#10;z7uHsjd3kX42DgmOdp97DELuvmnCpe1M9cKFM7loFQ5M+ElEssv2vT3itUNxcOJPuF+xxmkWBzgS&#10;IUQXBGCv3wjl2G1rM3SOz6/3wsvaiG5fbEDf1/huG0ovLcb+sT+IRR2yfXQUCfphiFMNwJmolShp&#10;qEKJRf4cZXoHlLJyJv8s/Mb4iPQVWb/YFlTuZMwEP6SWpqOyuRoP6o8qfXSYtO0zPY/Xr8KRfXsX&#10;Rqak4t/eC+hfH83Fb2vC4GVSXpLaeVHy0npg1KLl+PpY3meTwwzDMAzDMMznOFpA/2plNibEnEXm&#10;tWjk21gHncguNqP8jtX1Jxs/MoyjIFFv/4FFcPPoelwwCb8+vkacPhMoHMey72PkiGhvSyS2Rs0R&#10;Ln7Z+XVFtAatiDD38jZgpf9k5OStFmaoN7/HOKUjnRYxvVbaLkXQ65T23NVFJWqdBlOn+uFG8TqX&#10;uicamiJRfd+MLCePbydIQD+dvQMj1l5xaQG9f1AmTuVXYVvkBuVZqhJpDrI2ZW881R6YPWcaGhtq&#10;AHD9894KC+gKIr69IQYVdXkorpW7w8lRd+lmKryVwY6tMREkoJML79C5QyLelgV0x1NiqULx0+s4&#10;uXGOQ93n5PZNmjkS9yvXCMFa1r6+FCTmW15HIW//NMRph3bKhU71vynG/OIWX9TWm1GnDBJk39UT&#10;qG+OErFQGdsmINYW9/l7SEA/vlQl6s+Tk132HY5EONHfxeDmhYXY40MLALpZRNdRGxuGy4nhKG26&#10;hRJO2ui1tKSsLPZfBE0n6hJRn0kL1WITdyrP8mrctZyDpSFU2u6ZnkdzcwRK78fBcOIi/s+h9wL6&#10;kRz8umU7vHxMos65rN20YNK4w2PuAvRPzkTfJOvnGYZhGIZhmNZxtID+TUAmNJtScSIjDtfKw6WT&#10;/G1BNWavVZjxrNYq4MjGkAxjb6yi7VaEhc/CKDsI6CqNBlOm+qDq1mY0cP1zm2l+G4Xq25sxZ+5Y&#10;u9SjdyZocQW1DxLSN2+eiavX1qBJaSOv3zlX1D+J3FW3Nok67iqN7WaJT3HzVCFk9VQ8fR7hUrXg&#10;aZFDaY1rCOhXSyOw7/weDF+dLmqgy/poZ0c40IOyUHDrNgKWz4Fa2333PwnowSErAFiAf9ZKxVWm&#10;58MCugIJ6E/r9+JmbamCXNwmB/rBs4egUm4cg42rXLQGNcZO8ENmVbbYjmz7jH0pbb6N/KKz2OP3&#10;o3DHygS/LkOx3eohyE6YIty/VI9a1r6+JJbX0Xj2eDOOLvRQ9rVj9bw/hep77zJ9h+LzC9HkQpE6&#10;ttLwJgb3y9cIx77NdeMp7p4c6GtNVgf6FxDQCeFEfxuDq0kzxeKHzta/7ywJ2iHYO+YnZF7chdKm&#10;al4s1Isps1Ri74k9wk3emWglrU6FuQtn4dqzctQ0Zoh+WtbmmZ5HY7MZ955ux7hz5/D/HsgQk7pf&#10;p2Thp20HYBw3BsbWJnXfY9R5QD99Or7bdwZ9kjM/myBmGIZhGIZh/o6jBfT+QRkYEZyBvRd2daoO&#10;OkFR7jUPzcL5JxtDMoy9aXodhdt3tmDpsol2EQtpG0uXjxcR2M6UXulKvHoTjetF6zB95mghonfV&#10;Ae1s0PGQw370GBO27ZiHG8XrRaw7tcUv3WZoH17WR2LDxhnwVNM8j/wYbIGONW7XfLz703VKGlAS&#10;Ci3mulHp/PXPicKycIQlJ2LIqkzRF8v6aGdngLLfw1fnIOPaNcyYNrZTRp3OoFPGPTqdGvFxZuE+&#10;/4sF9F4LC+givj0Cd+vOojXxvNRSgaLnN7EmbHWnblL6zJKARbj66LpwoMu+g7EfJNpRzfoLu9ci&#10;XjWwU87rjkCCNLnPH91eL4Rqefv6wigdOwnD5elLscd7eKcFVXLaH5nvjkc168X2pN/lwgi3ftNW&#10;ZOyYYF1oYGubEYsphqLgcPfXQP+U+uatYjVz3oFpSNB/a10AIdtnBxGnGoQDUz2QX3hCONFvsoje&#10;K6HFYrRobNLU8Z2KcdfpNfD2M+FY5mnUNOaKlBjqr2VtnulZWBrNqK2LwozLp/A/D1gF8D7JygvT&#10;nlPQT54Eo66dMjp6FYwTxuGHHYeF8P7pBDHDMAzDMAzzd2wT0ONsFtCJr1dmI/z4ARRV2O5AJ8jp&#10;V1xlFgIOu9CZ7oDcv9durMW4Cd7QKu+n0vuig5DYSC7jLVtmibknbsOd5/W7GNy4uR4BgZOhM1id&#10;/WqtRpxfEqBFCmw3xTs7Cqot7qFSY9JkH0RFz8HNkg1obLYK6SIZQXJeHAl9L7Xb3XsWfTjPsv22&#10;BbqnfP2MuHAxEK9/d534dqp//ui5tf65rK9yJvIUrpWFY+XuYxgQmCmc3LL+2dn5JjADprAC7Np3&#10;AGPH2J4M3Vm0yvcYvXTISDshHOh//VMurjI9HxbQG8yobdiKirr8VuPbSfS+9vgGZs6f3ikhQKVy&#10;x9bdW4Ww2xJtyzgOqsF84+FVHJqpEY5YmcjXVcjdS8JkVsIkq6DsxINfihMnQTfVPAaxHsr56MyC&#10;AuUzsarByIqbBAutlm3qWXFTFHX/oHItDk78uVPR57QwYd+Y73G3NASNTrDAgBZ0kJCfsX2CWPzQ&#10;3U70ePUgJC8fixt3c1DadBs3X1K6h/x+ZXomLX3d5phNog+U9Y1tQS+91N+ui9yIW0038LwhAfUN&#10;4dL2zvQ8fn8VjuVZR/E/9rc4yNPxTXIGPGfMgknrIW0zHzCo4eXnjZ/MCSL6/dMJYoZhGIZhGOYj&#10;kuhnFn5dfQBG79EwGFuZ8zJqYPDS45cl+zsloH/ln4Wlu48jr2hrp+qgE+T2e/DUKmDIxpAMY0+o&#10;DnV2bojS/vVdFgzJyUii7r59S4QAygJ612h6EyViv8+dD8RK/0mYONlbiLFG5Rml1WnhqVKLuvUk&#10;QlvFdY2YY5BdG2eF2gulFtACgQmTvBEdPRclpRvE8b/5PbrbhPQW93vKkWUwKeeXxH3Z/toKudjn&#10;LxiLe/fDXCq+nRzodx5ZS4vI+ilnggR0cqD7RZ1Bn5W299vOQt+ADMyILULImnUwmTqXctkZNDo1&#10;xo33Q4PlthDQZcIq0zvo9QI6uc+fWPajpLa4VQG9vKEKaeUZ8B7tpXS6NgroSoen0apwPOsEqt/c&#10;kW6fsS8koGde3I3dXsMdFt9O4jlFfd+vXCsEZVnbciZI1H1QuUY45uNUnYxy1w7D/jE/4NbVADQ4&#10;Wb33rkK1w7MTJoljpMURsuNvi50eg5G2bbzYlsVJFhdQu3z5IhxXIscqxzVUuNFl++4IxAITzSCc&#10;3DwPxc+LUdpQLb1XmZ4N9Xknsk8Kt0pnVoiqNB6YOnsaCu5m4XnTARbQexG/vw5HVEEyvj6YgT5i&#10;cjcdfVOy4TlvEUztOdCV9uZl1OCnjVH4+mju3yeIGYZhGIZhmL8jBPRsjAyKh8nk3aqAblTGV3ov&#10;I4auPIOBwTnSSe626BuQhQmR55FaEIOrpZ1zoWcXm1F224w6C83lyceRDGMv3v4Rg9T0ILh5tPP+&#10;0QFIgDd565GTu/p9hLv8O5mO0/hqqziXluatKCvfiLNnA5GYtBw74+YjNHwGQtZMwaIl4zFtmh98&#10;fI1Qa7QY6eYJD7VVVLeHi7o7ILGQRGvaZ0pDiNw6BwVXV+NFrVm0UUeKzyTUP31uRmzsAruK5wQt&#10;DAiPmOV0dd7bRel/Ku9Giv5I1k85E7RYLa0wBtrQC+jjn/W3PtmV6BOQgaW7CzF33jylDbZjqLAj&#10;lCi9bOk8/P7uEQvovZxeL6BbGsJwp+5cq+I5QQ703cd2i5Vsehs7WHLQjZ80BhdvXEJl823p9hk7&#10;Qi5/5TwfWzdLCHgycc8exGmG4nK4n3Ceu4obm2pjFybNxK4u1MYmN/OZVQa8eB7mEgsHOkLDq2gR&#10;w58y161TiwvitENxYPyPuH0jCE1/OFeN+IbX0eJanV1jRKznkE4tDugsCbphiNcOxvn4YJTUl6HE&#10;wuUrehsU4553Jx8Ll8+Hp9p2FzotWPPy8cKB0/tQ++6Y6K9l7ZzpebxuDseR4oMYmpSGrw7TpC4J&#10;6FnwDFwDk0kZh7Wz4thL444fV2/BV8fz/z5BzDAMwzAMw/ydbhLQqYbp96vTcDx7B66Vd05Azy02&#10;I7/EjCcvOMadcTwkTmZkB0OjJffy5/eELWh0Woyf6I2Hj8OEo1f2fYzt0HOAosVJTKda4a/eRgtB&#10;ltID6Of9B2G4fmM9LlwKwpFjyxAbPx+BQZMxY8YY5VlnrcFNLm8Shq3x7/Lr5wzQvlF8OrnqaUHA&#10;xk0zcOasPx4/CRfH2xKz3tVnI32eRHk6f+UVm7B6zbQPEfmy/eoMlAhAx5CRudql7gc6Ny/qI1FU&#10;Geka9c+VvjYldRdGbriCbwJdWEAPysH8iKOYPqX76p8TKq0nYqI34z//45mogS4TVpneQa8W0Osp&#10;vt0Sg8raXBTVVkkFAIpdL7NUYn3kOlGT1daYCJXaA4tXLkDunXyUNcq/g7Ef5D4vrEzFwelqESMt&#10;E/a6Cjl5yd0unNhvXKdOS32z1ZF8OkjfuTrfCiTAEtePz7XWff+Ctb7tRfM/doja5XHqIdillx93&#10;W+x0G4TUyDFCrP6Stc9bg67Tw9vrcCpAJxZAyI7BUVAJBaq9n3421loPnUtY9C7qylD9ugYx+2JE&#10;X9iZmCVPlTuCt6zF48ajaGhkAb238Ko5AqmV+/BDSir+7VC6mNztm5wJ941msfJdRIhK2ksLJo0b&#10;3FcEoX9yBvomWT/PMAzDMAzDSOgmAZ1qr5ILPf78HlwrixDRsrIJ//Yg0aL6nrnLIhHDtAcJiFev&#10;rcWYMZRG2jXnLQm0S5ZOxOOn4V+khnVvpEUIJmGdnNS//2ObEJofPAxDSdlG5OSF4PjJFaIu/azZ&#10;Y6zx73qtWDDh7A512k83TxWMJr3SrsZjx875YqEAHTe1LxKlCfo3ieqfnptPEefqo889ehKGw4lL&#10;MWPGaCHY2zsym87v0mUT8fyluUP75yzQeXr60jXqnxPXK8Kw/eQBDA/OQP+gTGnf7Ap8E5yPsf5R&#10;mDC66+U0Ogq1eU+NB7KyTgFowF//rJUKq0zvoJcL6OEivr20tqhVB7qoW95QgUUrF0KtsT22x91j&#10;FDZFb0KZpQIlLB45nLI3d3HpcBh26Smy2jHx7eTkPbvaiBcvwl3OhU2CPwn/+8b8gARt59zI5L5P&#10;nP4bHlatdfkod4tyPp4+3ITjS9XY6TlYerxtQZHv+0Z/j4qs5Wj63bnc5x9QBniN9JJQuRZHF7iL&#10;9is7FkdBC1kOTPNE/vXTKHtVI71vmZ5L1avbOHv1HMZPHqO8JNm+UlStDFgnzpiGq6Xb8eotTzT0&#10;Fppf0QtfFH5JOod/O6y8MCVaBfRfovbA6GOCoZ2SAEaqkz5vAYYeOI8+yuc+myhmGIZhGIZhrJCA&#10;fjAbv/nHw+TlQAFdoV9gJkL2H0XeTRIgOl8HvbDcjOd1LKIzjoWExLsPQrFs+UR4qLrmeiTBMCx8&#10;tojdpshx2fcxjoeeGY2vrE51Shign89emMV1Lri6Fvv2LkHgqimipjoJ6lRL3VOjdloxnYR0d6Vt&#10;arRajB1vwooVk5CQsAgFhWtx72GoqBNf37BVLBxoceV/Cp2HxuYo5TxEoLJ6Ew4nLsO8+WOF453c&#10;+bLv7QokTNJ+Hz+xUiQHuNJznPb13qNI5Ej6JmekuCoUaw4noZ9/lljEJuubXYLVBfCYHgiT3k3a&#10;phwBLZry8/PCvXvXADRLRVWm99CrBXRLQyju1Z9AcS1FC5d/NvFPlFoqUHC/EFNnTxEOOtlN1RrU&#10;KWi0nkg4koBbb+9Kt8/YkfoKlNSW4tjqGYh17ycV87qM4TvhVC4+s8AqmLrYC1s9xfkoZO+abHVc&#10;y46xHciBHqt89krkaDF4oO3JvsvpoYHzu23iWsZrhnYq3pzO4fm1Jut5cGY3Ph2r0l4pZv7w9N86&#10;fe07C4noyUtH4/qdHJQ2cj303gQtQitvqIL/mpXCTS7rK9uC+lGVRouUU+vw5o9YpT2bP2/fTI/j&#10;1eutuHwlBN/vO4F/S8oSk7skoA/eewa60b4wGtp5kderYJoyBd8mHEOfFOvnGYZhGIZhmM/pm5yG&#10;fvuzMWqFYwV0ggT0yVvPIatoq6jNKpvwb4+W2NyaB5GwuNh8DONa0DwPiY579i2Euwe5cD+/LzqC&#10;ECLVGpw+4y9EeVcSDHs6dC0+dl6TG9rSuBXVtzYj5chybNw0HbNmj4ZOr4Obh0okCciu8ZeG5k1o&#10;kUZL1DrV25823Q/r1s/Arl2LkJYRhIJra3DtxjqFtR8oVMjODUFS0lKsXjMd4yZQ2oJ1W45aNKDW&#10;qrFg4TjcfxgqFjPIroszU1HjGvHtlPJyozwcc3cdw78t71yf7Qz0X5WNkSHn4Tt5NvT67qt/rtJ4&#10;YtmyebDUVQNolIqqTO+hFwvoZtQ2RONWXTqKalsXdCqaqnEs/RhGj/Ozuc4C1W/1He2N5MvJqHrN&#10;9c8dTVlzDfKvncSBqe6I19juJu4IcaohSJnnhoe31rms+5r2+/G9jaLmd2cjvcl5TTH2ZVeWoOmP&#10;7dLvcXYo2vz50y04HagTCwJkx9kW8bph2Ov3PapyVoj4dtl3OBtUo53c8vvGfi+SBGTH5QhocQKJ&#10;6KfCFqLkZSlK6rkeem+isvkWElLixQpuXTvOYRnunp7YFLoQz2tjlJdbedtmehZv3kUj6fAi/GDe&#10;ja+TrA7yvskZ6HfwEnSTJ7UvoCu/9xrrh293JKLPkezPJooZhmEYhmEYKx0V0EUJHb9xGBpwrksC&#10;+qgNqbhUEIOrnRTQiewiM25UmlFbz4trGcdComrlrc2YOdsaZS29N9qBRNfxE3xQWr5BOJ5l38M4&#10;BySok4hO0e90rQiqA37s+HKERczExEm+oh2oNM5bM53EdNq3FiHcU60W++zlbcCYcV4YM/Y9yr/9&#10;RpugVo6FEhZaxHf6vGy79oDOF33fseMrRLS+Ky0mqX//83rFvxZyOTMFSh+bWrANY7aex9f+2dI+&#10;2RXoF5IH95WHMG6cH/TtzQPZkZHuI5EQH4n/+o+XwF9c/7y302sFdEtDGJ5adov49putxLcTJHzv&#10;PLhdeVmgDsi2iX9arTJ9zlRcKU1DObsuHQvVqn99B6kpUYhTDcCuTriJ28XwHXZ6DEb69vFofBvj&#10;uqtGlf2m/b95foEQwUkIlh5vO1AU+IkVGjx9vFlEoUu/y1mhVabKPlflrMQuk1XglR1jq1ASgWYo&#10;zgTrxUu7K7nw6bhLLi4SMf7x2m4U0ZXvStAPxeXEMJQ2Kc9DLmnRayizVCLvXgEmz5jYqVIoFJ00&#10;YdIYlCovrhQxJmvXTM/i3Z8xiNo6E78sW4d+NLGblK6Qgf6HLkM3b377AroyZvMyavDd1r3oczRX&#10;OlnMMAzDMAzD2OJAV0M/diqGBlzAwODOTcYPCMrEsOAM7D2/p0sCekt87r3Hyvttk3w8yTD24tW7&#10;GJw566/cH3qbI631CqPcVdi2fR4otdCV6j0zVkGdFlG8+8c24UwvvrkBR48vx8qVk+HtaxCiMy2Q&#10;cNaI9xZIuG4R1f9GNy8CoLrtAYGT8eR5hDivsnPurFBbePoiEvmlriGgF5aH4VhGHNSbUtE30HXr&#10;nw8MycfIeVHwNtJcYjfWP1e5I+3KcQBvpIIq07votQI61T9/WJ+Cotoq6YR/C9Vv72BT9EaolBvH&#10;1lVYHh5uWB68DKUULV4nj4hn7ENJQxWKn1zDibUzEecxQCrgdZV4zTDsH/cjqnJXiuhvWbtyFeqb&#10;rSv9Lm7yRizV/jbIj7k9KAo8/+B05SVA2Z4LvQiIfbWYcWGTj3IMtovIJLgn6IYJB75wnyvnUvY9&#10;zghdK9rnq4mzrMeic8Bik1agZIg9fj8gOysJZa/vioUvsvuZ6VmU1JejrKESqzYGQaNV2dyXisg7&#10;jQbnzgcoL1nRrrt4iekQYlKpPhIhqybh1znL0P/wFSGek4hO/9YuD2xfQFcwaT3w45Yd6Hs0RzpZ&#10;zDAMwzAMw7wX0Pfkwn1+BEw0Tm9lrG4V0Kd0UUBXfgZlYs3BIygsjRARs7KJ/45ALvSbt8yotViF&#10;Ddm4kmHsgaVJoXEr9h9YDC8fg3D0duSdlv6GBMMFC8ahqnozu89dHHpPffO71ZX+8Ek4rhauRXTM&#10;PEyf4SfmLMjl7awR784ALTbw9TMiMytElEaQnWNnhvqZOw8jkVfyr0VczkxRRRh2X9iN75S+t7/S&#10;78r6ZGdnYHAWhgVdgXqqP4x620tCdha1ToUJ40ejvDQTwCupoMr0LnqpgE4xT1Goqbv0vv55K5P+&#10;dVbhe8Xq5XD3GCW9qVpDTPirPbAhcj1uvamRbp+xH6WvapBffB77x/+KBJ1jXLUU337SX4fa2gjX&#10;rfv9EQ1vYnCvbDUOTflF1ACXHXN70KKCxOm/4vHdDbC8cp2XAcurKNwpWvXehW27A59E91OBOjx7&#10;GooGFzruFsQCCqUN5+yZKq59t4roqoFInGdEYeUVlDbdkt7PTM+C+tGyhiokX04RMe76TqzOppet&#10;zVtm4UWdGZZmXrXfk6Eot5LSDZg90xeek6ag/8FLIr6dBPR+yk+3jVFWAb2dSSujzhOqoHUYkGR1&#10;sMsmjBmGYRiGYXo7QkDfnQf3OVtgoph2BwroAxW+CcjCpJjTKCiJEEKEbOK/I5ADkD7/8JlV4JSN&#10;KxnGXlCdbBJQL6cGYdbsMXD3VInY69aEdBJSR7l7Yv78cbhRtF6848i2y7geJKQ2vq+ZTu3i/oNQ&#10;JCYtw0r/SfDxNcLdiWulfynI/a5SqxGzba5yzlwrur0Fi7LP5TWu4T4nSEDffOwg/m2F69Y/HxCc&#10;g+/8T8OojD0MRtvKKncFN0835X5ehKaGGgAWqaDK9C56pYBO7vMXDTtQVleI4jbi2yl2Pa08AzPn&#10;Tbc5dlYIBEYddhzYhspXXP/codSVo1S5VukntyNONVAq2nWVBD0JjN8i/9B0l619LoPivPMPz7BG&#10;eYtjlB9/a4jzYvgO5RnLXEpAb/p9GzK2jxfH3an4dvUQFJ9bKLYj274rIGrAPw/F5TA/q4jeievf&#10;KZTzRyL6iY1zcPN5EUosXA+9N1DeWIX8e1cxdeZkaPW2xd4R9AI6fcZoPHgUisZXLKD3ZGhVf3pm&#10;MEb76qEePRoD958XArqY4D2SjRHR+2FsY3K3BaNeBd2SFRh06JJwsH86WcwwDMMwDMN8JKDPDW1f&#10;QB/XtQh3oo9/Fjw2X8KF3B2iRqts4r+jkAu94g7XQWe6BxLQyX1cWbUZsQnzMW/+OOU9VSuEcnIf&#10;EySsu3l4ihrTEebZKKvYiGYqecgpCT0SahMkolO7qK2PxKXLQdgSOhOjx5jEAgtrTfHPn6e9DU+N&#10;GstWTMTDx+EuO5/zst6M65XWfkfWHzkT+SURyL4RhfnxJ126/vnAkFz8sPSQKJ/R3vyPPXFzH4md&#10;O8OF+/wviZjK9D56rYD+1LLn/cR+6xHCJHwfzzqBMeP9oNXZNuFPf+831hvJl5NRTvV+Jdtn7AMJ&#10;cMXPi4Ugl6AdIhftuggJrfvG/YD75auFe1nWrlwROpbnz8JwYplGiMKyY28LEWWu/xZ5e6cKRzPV&#10;dJJ9jzNheR2FR3c2IGnWKMSqbD9mqv1+bJGncN3TAgTZd7gKtP/PHm8RbvpYuv6djPK3Gf0wJOiG&#10;4NKBLSh7fYej3HsBVMqk+GUpQrdvEekssn6zLVpqitGK/0blucUxjT2X3/+xDcdProCHuwf0Pib8&#10;sCMRfZMzxQRvn5QsDI4/BuNoHxgM7azqJ5f69GkYtPcs+qZYP88wDMMwDMN8QopCXB7cZoXCZGpL&#10;QFdBN2kRhgZdFrGqssnujtAvMBM/rE7HrrP7cK08TDr5bwsFpWY8eWHm9wOm22h6EyUiqKtubUZq&#10;WiAOHFqMyMg52Lp1DnbsmI/jp5Yjr2AN6hu2svO8FyEi3v8gw9VWXL22Fjvj5mPsOC9Rjs4V6qQ7&#10;CrVWjSlTfXH9xjrrYhLJuXN2KOXk4TNrf+MKDvSrZeG4kLcNvmEX8Y2L1j8fuCoTg5WxhuecUDH+&#10;kLUtR6CjeSZlHHTm9EGOb2c+0AsFdFqdasa9+lNoSzwnbr29i4PnDoobR9xAkhurNdRaT0ycOg6Z&#10;VdkoY4elQ6H659fv5WH/ZDfHxLeTY1YzDGdXG0Xd7J4Q3/4B5SWz8e02VOX5Y4/3cMTrbIszt9YC&#10;/xY5e6e4jIDe9Md25B8i1/0wm93n9Pe00CDv4HRlO65dB7+FxrcxeHhrHVLmjepUPfjOQvXQ9475&#10;CdkZB1H2istc9AaqlOt8PPME9Ep/2pk66LR6O3LrXBGXxhNkPROadLA0RmHb9nkY5eYhVhq7b9z6&#10;kYCeiSF7T8M4fToM+nZeomjcNtoHA3efQt+UrM8nixmGYRiGYRirgL4zD6NmdEBAn7ICQ4NSuySg&#10;U4x7/4AsrD6UjKLKrgvo2cVmVN2zxirLxpcM4yhIHH/3j21CFHxRG4mXdfT/t+LtHzEiVYvebWSf&#10;Y3o2dN2pDdDPsooNSNi1ENNn+on5DJVG3auEdCrF5+1rwPkLAcKlX++i5TYalP2+9cA13OfEtfJw&#10;HM/ciZ/XpLl0/fPBQVegm7RQJODI2pcjUGk9MXnyOFRV5gJokIqpTO+jlwrokaiuy2ozvp0gAX37&#10;oe0iukF2U7WFWuOBWfNniO2Q8+7TbTP2olwI6Jnn47HbRJHittezbg+rSDwMRafnC8e2K4jEtiDq&#10;YTdvRca28djpOdgmFzK5z+n8WCPco5w+lopiy5893owTKzWI9VCOVXJMbUHiedKskXhQtdbl3ecf&#10;0/guBjXXg0Q9/M648jtLnOdAJM434loV1UPnUhc9nYqmW2JR2awFM2wui0J4qtVYtHgcai00QcaT&#10;ET2RRqUfuf8wDAGBU5TrrRIxop7+wR8c5H2SMzH4wAXoFyyGQdeOgE4RpF56DI09wgI6wzAMwzBM&#10;a6SkoW9sHtymrIGXgZKi2hLQl3dZQCe+WpmNiTFnkH09WkTNygSAjkJuwMJSM57VsojOfBmo3VGM&#10;d0uddNnfML0PagvNb6PRqLSLmjtbsGfvIsyaPVqIyjS30dOj3cl57u1jwKkzK8UiE1e9N+rf/yy9&#10;bUaWqwjoZeGIPbtXJL7QojVZP+zsUKmYYf5noff161YB3UPlhoCAJfjrLwv++metVExleh+9UkB/&#10;2bAdpbU32hTQS+orUFJbjo1RG+DuMUp6U7UKOeV0aqzaGCjE8xKOJ3YcyrklAf1U+CJrfLuNjuKO&#10;QA7r/eN+xMPb63tU/fOPaXgTg0c165Eyz11ElMvOgwyqnZ008zc8fbQZDS5QA53c5yT27xKLLWyv&#10;fU7Hmx4zzqVrn8sgMZLadnn6Muz1+777nOjk6Pfsj5Ob5+PmyxJxL0vvc6ZHQH1hRWM1wnaEwr0z&#10;C9N0Goyf6I2Cq2vR9Jqj8Hoi5OIor9wk6t1TzJ1J5wmPufPR50gOvklMR9+kdPRLycTIkE0wadyl&#10;7eQDRq3yoqXFyLAd+Oa9g51hGIZhGIb5BKqBvr0AoyYFwqRvfe7LKqAvs4uA3jcgC+qNqTieHofC&#10;8nCpANBRcuhnsRm37lljdmVjTIZhmC8FCcctddJv1WzG3v2LMXvOGFEznxzpPVFIb3Genz6zUhy3&#10;Kz+baYHM09pIXK+wJp7I+iFnIq8kAvnKz9UHjri8gD5qUYLSnqj+uW2p0J2FkjI1OhV27ggD0MgC&#10;OvOBXieg1zdE4LHlEEpqb6K4jQj3soYq5N7Nx2L/hUqHZlu9Vrrh9AYtIuLCUWphAd2R0EKH4ifX&#10;kbjAG/HqQXKRrouQ6/hsiAHPn4b2qPrnn0Li8vUTc4SwTPHmsnPxMbSwgCLfrx2dLRzszu4IrVeu&#10;XW1dBC6H+WGnu+3uczonByb8iLs3VyntoOe4zz+gXD+Kcy9MmS1SBWyN8+80tOhFPxSpyREobazi&#10;52UP59a7u9h/5oCIcbe1NIrOQDHuOuzZt/h9bTFJO2ZcGqolWHhjjdI+rNfbqPOEdvIkDN1/Dn2T&#10;M8Qk71fH8zA8NBZeOmVs1krEqEAI6BqoQjaiX5JVfP9swphhGIZhGKY3k5SGfsrPAdEdENANKmhm&#10;BGPIqjRRm1Q24d1RBgRlYEhgFmLP7EVxZahUBLAFcqFfrzTjRR3XQmcYxnkhI8CbdzGoqN6Eo8dX&#10;YOmyiVBrNEJw7inR7lbx3IjTZ/2tse0unh5I4v/9J5EuUfucKCiNQPaNSEyPPiMEdFkf7PxkCgFd&#10;NT1YzOm0loxjb7R6Nbx8jMjNPgvAIhVSmd5JLxTQw3G3/iys9c9bF2oqmqqRXp6B6bOnQKNtJyb0&#10;E4Qo4KXD/tP7rfXPWRByGKWNt5CXl4J9439DgsZ2UbQj7PQYjGtH51gju3vwyxjVMCeB+UrkGMRp&#10;hrYuohtoUcFQxKmG4HL4aLx8Ge4SCwtIHL5Xthr7x/zQKfc5nZPzG7zEC3mPqoP/ERTnX2eJRKp5&#10;tFg4YmuN+M6SoBki7uH8a6dQ2nRLeq8zPYPyxiqklqZhmtK3UqkTWR/aFm4eKqzfOE28ePLkWM+C&#10;rmej0pecOLlCrMYXK/ENapjG+OKXqL34OiVbTPR+fTQHI6L2wMvXZK1zLmknLRiVz2sXLUW/xCss&#10;oDMMwzAMw3zKewG9f/RVjJoU1I6A7gnPOVswJJgcbV2flKcYd//9R1Bw09zlGPcWah5aa9XKxpoM&#10;wzDOAkW70+JxKl92+ow/FiwcLxaRkyNdo+8et629oQUAnsp7/NRpfrhwMcilY9tbaIlvr7oX6TLx&#10;7VdLI5BaGIVf16e6rIBOKTdDg9KgGTtNjD1k7c0RqHUqTJo8Ds1Nd1hAZ/5GrxTQq+qyUFTbdlRw&#10;5avbOH/tAvzGeENnY+dFf+/laxQiAYkFsu0z9qHszV1cOrgFuwzDHFL/nFy4FN9++3oQGntYbLcM&#10;qhH+4kUYrmwdI2LOyaktxHKNFYp3p9rhdE6yEibh5QvXEM9pxSOJ3jl7pojjsKXOO2EV3L9FVe5K&#10;NCjnSPYdPQVaKPL8WShOr9J1ez30lJXjUfToKkoaqqX3O9MzqHpdg+DNq+Dh4SbtQ9uCaoXNnTsW&#10;lVWbOMa9h2Fp3ooXtWZsCZ0lVq2La25QxlNeevy6cSu+FjHuaUJI/y7+KIxTJsOgb3uBoxDQp88Q&#10;n+ubZHWwMwzDMAzDMO8hAf1QOgaF58J90kqY9K2Pz+0toPcNyMTo8Au4nL8NV8u6FuNOZBeZUVxt&#10;xst668JM2XiTYRjGaVCeUzSn0fw6Go+fhuPEiZVYuHg8vHwMcPdUQetCQjq9v6vUGqz0n4QbRevx&#10;+l2My4vnBPUlL5Q+pajSmnQi63ucDRLQ91/cg6Eh6egf5JoC+oDgHPyy7DCMPn4wdGP9c7VWhZBV&#10;y/Gf/3gKoF4qpDK9k14loFN8+4uGOJTXXUVxbaV0Yr+F6jd3cCr/DDQaTxHJLruxWoMiH8ZPHou8&#10;uwUsoDuSunKUNlbj+Ia5iPPoJxXlugoJxqcD9Xj2eAssvUSsIRG9tl55+Ty3AOfWmJA04zccnvoL&#10;Eqf/iuNLVEiLGodb1wKF0ErR7bJtOBuW5ig8e7IFSbNGdiie/lNoEcGJ5WqxjZ4c498CufUfVq9D&#10;ylw3kTQgOyf2hhbAJOgG48Ke9Shtqubkjh5M1avb2HFwuzIQfp/YIulHW4NeIn1ogVpaEN7+0bMX&#10;s/Q2qC4cTRwsWjJB1D8X11wZf1FU+8iANehzNFdM9PZJzsCQQ5ehmb8IxnbqoBv1KmjHjcHgfedY&#10;QGcYhmEYhvmUJIVDmfh+0wXoxs2B0dB6QhQJ6Ko5m+0moA8IysTw4HQkXYnD9S7WQSeEuKFw77E1&#10;clc23mQYhnE2SKSld+GmN1F48jwC5y8EYvXaqfDxbRHSnTfanVLj3FUqjBnrhdi4+eJ9vlk5jp6y&#10;iMmiHMfjF5HWPuaTPsdZIQF93cEUDA6ylkuR9b/OTv/V+Rg1JxwmamfdWP9cpfHE8aN7Re1z/FUn&#10;FVKZ3kmvEtAtDWF4XH8YpbUlbdY/pxq8JHzvPr4HKrXtEbNanQpzF89GwYNrKGtoW6hnOg+J54WV&#10;qUicZ0Kcyv71zxMUYt0HITt+MprIfd5DBgAdgRzbTX8ox2wx425JMGquB+FO0So8ubcRje9i0PAm&#10;xqXOBy1+KD63ELtNLW5y+TVvDXJiF52ah4a3PTvG/wPKMZKIXpm9AvvH/YB49VDpebE38ZrB2Dv6&#10;J+RkJaHsdY30vmdcn/KGKpHwMm7SGGiU/lLWj7aGXoFeIg8nLcFbroPeo6DV9w8eh2HcBK+/TRKQ&#10;SK6etwiDE6+gT4sIfjQHo1asgqkdAZ0c7EY/b/watQd9UrI+nzRmGIZhGIbpzZCAfjATIzZcgG58&#10;+wL6yPkxGBSSI53wtpWBCn0CshB65DCulpiRa4cYd3Khl1RH4qWFXegMw7gelMr25vdovKiLRFZ2&#10;MMIjZmPceG+RxEeLzCkmXZQ6kzyjuxPaD3Kd03t7QOBkZOesRuOraIUeVu5S6UduP3Cd+ud5Sl9a&#10;WBaOadtP4xulf5X1vc4OjQ2GKOMMzynLYdS3M99jR6hNU/phdVUegCapiMr0XnqZgB6Ku/WnUdxO&#10;fHtJvVVcN8ebodbYXmuBaqYHrF2J60+KUEo10D/ZPmMfyl7fRdaV/djr9wMStPYX+OJ132Kv7wiU&#10;XFyEpj+2S9tUT4dizxvexggxlX4K97WLvYjSYgBy1Z8O1ou63rJr3RZxqqHCif2wZr04D7Lv6ImI&#10;a/8mGoUps5Tz8K0oZyA7P/YmznMAEhd44/qdbK6H3kMRfezLMrHQrDN9LAnomzbPwPOXZrFSW9Z+&#10;GReDFu0o/UtWVghM3nrx8vLhmutVME2ehBFxRz7UQf/qWB5+WRsGL4NauNQ/bh9/w6hRtmeA26ZI&#10;FtAZhmEYhmE+JTkN/fZn4vs1HRHQPTBi8T4MWJ3/2YR3Z6H6rDO2nUVW0VYUlNqnDjrx6JlZOAel&#10;406GYRgnh+LP3/0ZI0pSlJRvQFLyMsybPxZGLz3UOnLKqrvdmU7CPYn4Ko3VEbxk6QScOeuPx88i&#10;8Oqt69c7/xRahFVricTNateJb6d+NK0wBprQi+jrogL6gJAc/LDyBAxjpsDQnfXPtSosmD8D9XXV&#10;ABqlIirTe+lFArpZYStu16W2W/+cRO/rT4uxamOgEMNlN1ZbkCAQuUvp5GrLP4jxjP0pf3sPlxIj&#10;rPHtNta07gjkOk6Z44ZHt9fD8oqjgl0VEr2rr/rjwPifEK+xXQTe6TYYWXGThPO+V7jPP4Ii+uub&#10;o5AWMw5xqsEOuc8+w/At4tUDcW7nKuVZXIGb9QqS+59xXSjlpUzpZ9dGrFFe+tQ2l0lRadWYP388&#10;qm5tFvFgsrbLuBYtsXXxcQuhM1jjsz5cc6qD7mvEiMjd+Op9jPvXR7LxS+QumEb7KL9voyaWsh2T&#10;8nv3lcHoo3zms0ljhmEYhmGY3kyywv4s/BR8GvqxM9qcrHaEgN4/MBO/rU/FeaqDbicBPbvYjNJb&#10;ZtSRC10y7mQYhnEV6B351btoNDRF4enzcKSmrcKmzTMxfaYfvH2McPdUw0OlgkavcZgznYR6+g5P&#10;lRqjxxiF4/zMmQAR104pcoRs310dmqN4VkuitOsI6OQ+P3BhN35eq/TtSv8q63ednQGrC/Dzgthu&#10;jW8n3DxGIT7OjP/8xwvgL65/zvydXiOgU/3z55Y4VNblt1v/nCb2rz68hoXL59kcL0tQ7Pu+U/tR&#10;0VgthALZdzBdo4Sc/c+KcHLzfMR59JcLcV0k1mMwzm/wtsa3S9oU4xrQ9cuKnyRqeScYbItvj9MM&#10;xcGJP+NWYQAa3vXOdkDx9y+eheF0gA6xnt1UD103FHt8fhBR7qVNt6XPAMZ1aRHQ953cJ/pMWwV0&#10;cieTq7jwxlq8+Z1j3HsCLQL62rXToNZ+Hktn0rrj53Vm9D2aIyZ7+yRn4vtdx2GYNFE41D/+208x&#10;aT3gPn8J+rKAzjAMwzAM83dIQN+bjZ+WJ8PoNx4GQ+vjKkcI6FQHfbDyc/uJg3YT0EnooBhbcqFz&#10;jDvD9Ezo3m5B9vueBh1n46uoD9x7GIpTp/0RuXU2Fi0aj9FjTPBQqeHm4SkMByR6d0ZQp8+0xLO7&#10;eaqU7ang42fE0mUTELNtLjKzQsTiJBLNKa69J59/Oraah+/rn7uIgF5UGYqNSYkYFJgl+ldZv+vs&#10;DAnOhvuMdTDp3aRt1BGI+udqD+TmngXwRiqgMr2bXiOgU/3zp5a9KK0tws026p8TZQ1VyL9/FTPm&#10;ToVW14azSYJe6WjoM6fzz6DaCWv4knBBlNZXWLFUiDrtVJO2vLEaFU1tQ7Xh6fyQ+PFhGwrdvVCA&#10;op2vVqTi8BwdEjT2F/WE0KqQt39qr4rt7mlQdPuT+xtxbLEKsZ6Dpde6LUgwPrfWC5Zmiq7vvVHR&#10;VPv9XtlqHJ72G+K6qx66ehCSl41B0cMClFjaTg1hXA/qS9IrMpQXPW/hQpf1p21BMe5nz/uLqDBZ&#10;m2VcCyq1QS/iCxaNFfXdPrvmWg9ol/pj8KHL6JNMddDT0T85HaqZs2HStR41SpCArpk+A0MPXnj/&#10;2U8mjhmGYRiGYXoryWnouycbPy5NhnF02wK6SfndiMX7MSDEfgI61TodEJiFxfEncLUsHHkSQaAz&#10;kNhRcpsFdIbpSVhF5K0ihY7mAV6/s0L/blL+Hy3IFjHiPfy+p/MgnOnKcf/+j224ey8UGZnBSDm6&#10;DOERs7Bo0QSMGesFjc7qHKe4dxLE24L+ht7DCR9fI+bNHyec7oeTliA1LQgPHobj7R8x4tz3hnNs&#10;xSzi27OL5P2Ms0H957XSCMyOO4GvVmRL+1xnh+Lbvws4C8OEWTAYbTe0dha11hPTp03E3ZqrAJql&#10;AirTu+lFAnooHlkOt1v/nKCJ/dy7+Rgz3hc6vW1xEfT3fmO8cf7aBVS+cg7nJAncdEwkgJPwTWJ3&#10;8ctSFL0owfWnRbhw/SKOZx7HnuN7sPPwDsQm7pRCv0u+nIxTOaeRXp6BopclYhs3lW3RdgnZ9zuC&#10;sld3kHv1BPZ4D0eC3v61meO1w7BvzA+ozltprfstaVOM89P853aUXFosFkMk6G1zn1PN7z3eI1B8&#10;dkGvX0RB4lbDuxjcvLAIu72Gi/tDds7sCd3XCdrBuLB7rbUWejcv0mEcCy3coqSXuYtm27xQjaCX&#10;vMjIuXhRZ315lLVbxnVoVPrZouL1mDjZR1zbz665Xg3jtGkYsufUh1rmFOPusWQFTORAbyvFQPms&#10;afxY/Ljj8Ica6gzDMAzDMEwa+ianoc+uHPy0JBEm37HKmKqVcblRA6OPN0YsS8KAkLzPJr27AtVp&#10;pXqtV65uQ74dXegUu/vkeSTXQmeYHgAJ5w3NUSiv2IgDB5Zg3fpp8A+aiKDgyQgLn4Vjx1cKIZnm&#10;rhqVd0tySPeWBTR0vG9+j8a7P7ehtj4St2q24HrROuQXrsaZc/7Ys2cRzJFzsGbtDKxd93fo/5FQ&#10;Hhe3ACkpy5GbH4LC62tFubznL81im2/+iBHnX/bdPRVqO09fRqKwzHXc57QI7Wz2ThiU/rSPv6vW&#10;P8/DiKVJMJn0ytij+2r8j3IfhY0bV+Effz7l+HZGSi8R0Kn+uRn36k+3W/+cILE5rTwDJh+jzQI6&#10;1UyfNmuy8vl0IVjLtt9d0HFUva5B8YsS5N0rQHplJvafOYAt2zcjcJ0/Zs2fgYnTJmDMBD/4jfWB&#10;l3K8Ri89TK1Av/Md7Y3R43wxduIYTJ4xEfOXzkXQhgAcULZLojx9p2xf7Ao56BurkXZqJ+JVA6Xi&#10;W1chl23ijN/w4mW4qAMtb1eMM0Ou8ZcvI3Bps6+I45dd57ag+PbkOaPw/MkWUQdc9h29CToHFOee&#10;FT9Z3B+2LkjoDORCPzBpFPKunkBpM0e59yQo/eTGs2KsDg0W/aasP20LjU6D5Ssm4dHT8F73MtcT&#10;odXzJ076izpuFDf32TWnWubK74btSPpQy7xvShbc14eL8UmbtbGohrry2Z/DduDr9xHwDMMwDMMw&#10;jEJSGvrF5eGnBbuUMZWx9TEVCei+fhixLBkDQnKlE9+dpV9gJoaHpCPu1AFcKw+XCgOdgVyDFXfM&#10;LKAzjItDruenzyOw/8ASTJzkrTyPdO/jylUimU6t0cDkrcfkqT7YuGkGMrOC8fBxGBqbo/D69+he&#10;teDeohwrufHJmW91jEejvmErXtTSgqIIcR4/hv7fsxcRIg2Ozhd9hj5L57w3GxUsTZG48ygSuSWu&#10;Fd+++/weDF+Vif4uGN8+UNnvwcHZcJtrhtHgKR+LOACKb/dUuSMpMZ7j25lW6RUCen2DGbUNMbhV&#10;l9Zu/fObdVZnXOKFRCEY6wy2CegqjQcW+S9E7p18EXUu/Q4HQw7zyuZbyLt3FUmXk7ExaiPmLp4N&#10;b18TdHq1gBx/JFpotJ7i3xShS4sF6Hjbgv5OfFZn/WzLNuh3IZtXofDRdVAUvGy/7EVJfQWKX9zE&#10;mejlQmCTCW9dhRy259aZRCxNPcXTSNoV49w0vovB3bLV2Df2ByTobBR7DdY2kBU3SSyg4DZghdIY&#10;XjwPxyn/7quHHufRH8fWzEDxsyKUfqFnKmN/qJ8qV/rahCMJotaQrD9tCxLQp07zw/3HoWLFtay9&#10;Mq4DrWzfvnOeMobSiBeYz6+5FkZl3DFqUzT6JWeib2I6+io/f4nZB6OvlxDJP//Me5Ttees88fPq&#10;UHx1PF8+ecwwDMMwDNMbSUpD/x0koCfA5GVoR0D3dYiAPjAoA9/4Z2PF3iO4UREmFQY6Q3axGVdL&#10;zXhMLvQm+RiUYRjnhpzkj5+FY8OGGVBrqTa3GlSj++PnE9Xt1r6v261RMHrpMH/+OBw6vATXbqzD&#10;81oz3pGL+nXvm9cjJzVFrpMY3hb0N73Fsd8R6FyU1piR5SLx7ST03ygPx5qkw/i3FTnSvtbZGRic&#10;hSFBqdBPnAdja2k4DoD0rbHjfHGj8DKAJql4yjC9REAPx4uGHaioK0BxO/XPRX1wSwXiU+LFjSSf&#10;yG0dWrUSvHkVrj8tVrbTfZHmLZTUkyhRhaNpR4U7XKtViX2iBwKJ3HQ84piUAYZs/zsLbdvdfSRC&#10;Nq0STnRHHnuJcnw3Hl5F8jI/JGgdIOIZrPHRVxNnikFE76jt0sOgQWJzFApTZndK6I3Xf4u9ft/j&#10;XulqNLzmGssf0/AmBneKVuHQ5J+7JcpdxO8bhiH99E6UUsIFR7n3GKpf1+Bs4Xno3/dNsr6lNeil&#10;mVaZF91cJ16qZW2VcQ3ES33jVqxeMxXuHq2nERhpAd/SFeh/OBV9k9PRNykDg/edg278WBgNbb9g&#10;mTSjMGrFKvQ7ki3Ed+kEMsMwDMMwTG+C3OfKzwFRefh5QTy82kr1IQHdzw8jlqfYXUAnvvLPhm/k&#10;OaRfjUFBqX1d6JV3aE5QGXfyvA7DuBS08IXmZHfsnC9qc0uTyj6BxHSaKyAxnep/jx3njQ0bpuP4&#10;iRW4czcUb97FiPkDFoyZ1qB29+xlJK6VWxdiyfoWZ6OgLBzphdGYtu0M+vi7nvucGBicjeErT8Hg&#10;46uMObpPQHf3dMOy5Qvw5x/PgL/qpOIpw/QaAf2ZJR4ltaW42UEBPTwu7IPgLLvBWoNEZPPuSFQ2&#10;3xbbkn2Ho2gRzxPPJ4qodXePUTbvf1fQKS9V5G7fdWzXh1rrsv3sKhTffq0mB3vH/oIE3VC56NYF&#10;KJo6wfAdbhcGsnjqopBT+vnzMBxb4tkpkZciyi9s8MLL2nCugf8poh76Ntw4MVe5T2yvLd8Z4jWD&#10;cXiWBtduZ7ILvQdR0XwLl0tSMXHKOJFuIutXWqNl1fnp0/5ixTS//LouNIFRUbkJc+aOFRMjn17r&#10;Fkgk10+ehAEHLgj3OQno3xy+Au3sOe0K6AadJ/Sz5+Lb/WfRR/msdBKZYRiGYRimN/FeQB8YVYCf&#10;5kbDZHCXj6MIgwqGcdMw3P8UBgTb393WLygT34dkYPe5PSiqtJ8LPUdB1EJ/QQs25WNRhmGcE6rr&#10;nZMXAm8fAzS6zglqlFxHMe86vQ7zF4zDztj5KC7ZIMrANb6KEvBcAvMxJKDfexzpMtHtxLXyMBzP&#10;3ImRa5V+3QXj2wetUvY5OAvu86NhFPdu92hZpJmptZ7Yvi1UuM//+metVDxlmF4ioEfgsSURVvG8&#10;AwJ6fQU2bF0vIs07I6DHHYlHze/3pdt3JFR/PKMyC5OmjodK3cbLjwOhBw/Fxd94flOcR9l+dhVy&#10;oGdnJmKXabhwissEt64QrxuGg5N/xqO7G1hAd1FI9L6VH4A9PiNsj29XiFMNQcnFxSIGXrb93o6o&#10;CW8xIzV8NGI9ba8vbzOGbxGvGYRzO4KsAjq70HsEVO4j+1Yu5i+ZI/oOWZ/SGtQ3k4geF7+QV4+7&#10;OFRjLTMrBGPGeYkJDtn1FlBMu48J3+9Mfi+gp4tJX83KVTDS79p6ydKrYZo4Ht/Fpnyooc4wDMMw&#10;DNOrIQH9UBoGhV3Fj3O2wqQfKR9HESSgj5+F4f5nHCKgE/++IhtBB5NxvSwCeSVykaAzkAhSfd9s&#10;daEzDOMSkMD97IVZ1DRvK6Wso9DcAS3W1ui0GD/BC6tXT0VaejAePQkXC7pfKe+kPKfAUBuotUSi&#10;9HYkslxJQC8Lx/bTe9E3IAsDJf2r82MV0DUTF8Jo7Pr93lHIyOPta0RB3gUAFqlwyjBELxDQzYL7&#10;9afajW8nSEAnJ7f/mhWivrctUectjvUDZw+g+s0d6fYdhdhvhfDYMFGTvDud5x9D9dH9xvrg/LUL&#10;opa8bF+7BB2npRKXDmzCLuMwh7hf4zXDcCpQi2dPtrD72BVRBjx03dKixwr3ObmkZde5Nch9njLX&#10;HQ9vr0PDWxbQW6Px3TY8qFqLxBm/dUs9dHKh7xv/G/Kvn0Zp023584FxKajUx42nxVi9OViUGpH1&#10;Ka1B0Wz08rtps7XURn1j76tn1lP44z+24fjJ5fBUt7NoUfkdrUZ2Xx/xQUDvm5KJn8PjrA70dj7r&#10;5aXDd1H78PWxXPkkMsMwDMMwTG/ivYA+OLQAv8w2w6QfJR9HEUJAn+lQAb1PQBZGR5zH5YJtuFpm&#10;vxh3EtALyyPxvNYqjsjGowzDOBev3kah6vYmTJjgDa2+jUXWNkLvm1QnnSLe6b+XLJmII0eXo6Jq&#10;E5peRYnF3fyc6L1QUsnTF5HIL7X2HbI+xdnIL4lATlEkliWcwDcBrhrfnoUR/ueg8xsPo8E2c01X&#10;ICPPjJmT8cfvjwHUS4VThiF6iYAeidt1qSiubd8R3SKgLw1cbLuArnTqPn4mJF9OFrVdZdt3FOT2&#10;LnpRgnlL5ggBXbZ/3QEtIqC6tAlHElDRWC3d1y4hrk8FToYuQIJuiHCmysS2rhCrGoKsuEmosygv&#10;WE0soLsaJKTR6vJji1XiWsqucVvsdB+ETOX6N1BdZRbl2qTp920oubQYu71GiIUnsvNpT+I8B+DE&#10;xjkoVZ4DNx2UcMF0H9TfVjTdgjnBLNJbZH1Ka5CATi+9QcFTxD1PIrqsjTLODU1ONL2Oxo6d8zDK&#10;rZ2xi1ELk0ENz8XL0CclC98kpgs3+aD44zB6G9sW0BWMGnf8tHErvjmS8/kEMsMwDMMwTG8jKQ19&#10;D2Vg2LoMqKavhlHfToT7eMc60AcoDA3KxP7LCbhebkcBnX4Wm1F1zyyieWVjUoZhnIvm11G4kr5K&#10;vPPTu7/0udRF/lUrXY1pM/wQGzcfVwvXwdIYhea30dY5BhbTexU0P3H3keuI58TV0gikXY+CZvMl&#10;9At0TQF9QEgeRi3YBpMXzevYb8FMe6i1KkRGrMd//9dzFtCZNunxAnp9gxm1DVtRXlvQMQG93irQ&#10;zpw/Ayq1h/QGaw2NToUJk8bidN5pVDbfkm7fUZCATrHpk6ZPFCtoZPvXHZCAbjTpsf3gdocI6HRt&#10;SERPXOiDeLVjoqN3ug/GzQuL0fj7NmmbYpwbcp8/vLUOidN+E25y2TVujXjtt9jn9z0qspaj6Q++&#10;/u0hhMvmKGRsG494zVCb3f62kqAdit3ew5F1eR/K3tyVPiMY1+L2u3vYdXw3PD3d2nYfS1Bp1Fiw&#10;aKx4yWEB3TWhuLx790Ox0n8yPJXrKbvOH2PUq6CdPBlD959D3+QMUc988J7TME6bJmLaZZ9pwajz&#10;hHZFEAYdThWflU4kMwzDMAzD9BZIQD+YgWHBadBMC1LGWa3Pf9HvtFOW4bugy8IpJpsAtwd9/LMQ&#10;cjAFBTfNyCuJkIoFncHqQjfjWa1ZvDvIxqUMwzgH4t3eEomdOxeIEl+OEtA/hoR0qpU+YaI31m+Y&#10;jpzcNWK+i95XKU6enxs9H7rGtcrPkluuJ6AfvJyAwcEZGOCC9c8HrsrE4JBceExZCZPBNh2uK+iM&#10;tIBGhYK888BfFq5/zrRJrxDQXzZsR2ntjQ4L6PRz2pypNgvoKo0HZs6bjrSydFGP/NNtO5IWAX3i&#10;1AlfXEA3eRuw+9guUd9Wtq9dgeLbb9zNwYGpKhHpLBPZugJFwu/1HYFb1wJZQHdRSEB/dGs9Dk+1&#10;XUDf6TEYpwJ0ePkyHPUsyHUIy+toPLm3EUfmuSFOY9v57gyxHv1xNGgSih5fRUmDA1IumG6Fyp0c&#10;PHdIRHNT/yHrV1qDapjNmuMnalSxgO6aUK254pL1mDTJp2PRfAY1TH7e+DVyl3ChkxA+6NAl6Jau&#10;FAK59DMt6FUwzpqNwfvOCeFdOpHMMAzDMAzTW0hS2JOJYcFXoJka0K6ArpkWgG9XXXGogE7uOe3m&#10;S0i9Gi1EAZlY0FmyhQud3hvk41KGYZwDerd/WR+JsLA53Sagt6DSqoUjffQYE/wDJuHCxUA8eR6O&#10;5jdRAtn+Mj0DEtCfvDC7VHx7XolZlDxZte8oBgZlKsj7VmeGUm1+XHkChjGTYOjG+Haqfz5+vB+e&#10;Py8D0CgVTRmmhV4goEfgqWUfSmtvdkhAL7NUIqMiE5Om2S5Ek+A+f8lc5Nbko6zhywjoU2dN/qIC&#10;OtVAHz3OF6k3rzikBjoJZnl5KaIWcrzW/nWXKYY6aeZI3CtfjUauf+2SiAj3pihrhLsNtblp8US8&#10;dihy908T0eSybTMSlPPd8CYaN88vFCUV6DzKzq+9ENvXD0X6qe3K80B5zlKcu+RZwbgGVa9u41jm&#10;cdFvUP8h61daQ6XVYMo0X1RVb0ZDMwvorsib32OQkx+ivLxoO5ZAoPyNl0GN34I34qtjeehLtTuP&#10;ZOPXDZEwadqpo08JOaN9MGj3SfRJyZZPJDMMwzAMw/QWlHFU/11Z+C7wHAzj51hj2mVjKAWrgO7v&#10;cAGd3HPkott9fq9DBHThQn/JIjrDODMfBPTw7hfQW6DvpcQ7o5cOy1dMxOkzK3H3fije/BEjXOmy&#10;/WZcG6p/fut+pCj7IUp/uAAkoOcpP8dGnsM3AVkYKOlXnZ0BIQX4dcEOmJR7rb2yfPbEXeWO8LA1&#10;+OP3RxzfzrRLrxDQH9Uno6S2BMW17Qst5Q1VOHf1PMZNGiMi2WU3WWt4eLph5erlyndZY+Bl23cU&#10;JKDTz6ANATbvtz1Rqz2xImTZ3/bJnpQ21+Dy4TDsNn2HBJ39ay6T4Ho6UI9njzaj4VW0tE0xzk19&#10;w1bhQi84NEM40Dsq6NLfJs0aiQfV68TnZdtm5NQr56vWYsblcD/lHnJMaYWPofSJxPlG3LiXh9Ju&#10;XqzE2Bcqd3Km4CwmTBkHjda2vkutvNRSxFph4To08kusy0ErvJuUZ8fxEyvEKn/ZNZZBQrnnvIUY&#10;SLGjSen4+mgevtu6B14m5WWrrRcu+p1RgxHR+9BX1FCXTCQzDMMwDMP0FpSx1IDYLHwX0FEBnRzo&#10;aQ4V0Mk9NyAwC4vjT6CwLFyIAzLRoLNkF5lRfZ9j3BnGmSEBvV75mZCw8IsJ6C201EknFi4aj6PH&#10;l+PegzC8+zMGFl7E36N4aYnEjapI14pvL4tASmoCfll3RQjosn7VmRm4KgtDgzOhmhqojDPcpPeg&#10;IyDzhofKHampxwA0469/ykVThmmhFwjo4bhXf/r9ZH0HBPTGKpzKPY2xE0bb7IZzdx+JkNAQ3P79&#10;y9TmJcd3cmoKDMrgwtYo3K5CDx+1xhNjx4/G2avnHOI+J8pe38G52GAkaAcLt6tMXOsKO9wGIS16&#10;vBBQOcLbdalXBrLPn4Ti7GqjEHTbFNEN3yFebV2MUXxuAScPdJLGd9twv2I1Dk/5RTmfDo5yF073&#10;obhyZCtKqVwGu9BdloqmaqSWXMH0OVNFHyLrX1qjRUC/do0FdFeEUgOevzQjLGy2mJCQXWMpehW8&#10;JozDDzsS8XVKtnCTfxd3BKbJE9upg66FURkbqUI2ol9SuhDfpZPJDMMwDMMwvYGkNAzcno3h/qdg&#10;HDMZBmPr4yiT3g2/zdqMQSF5GLTKsTVWvwnIhOemSziXux0FdnahkzBytSwST2vZhc4wzgy5vK+k&#10;rRLviR1KKnMwJOKTI12t0WDR4vFITFqGR0/D8eptNBpp/pgX5bg01B88eGpW+hzXqn9+oyIMGxOT&#10;MCgwEwNcMb49JBcjVp6AacxEZQzSfWZQtU6FSZPG4s7tAgCvpIIpw3xMrxDQb9df7lB8O1HRfAv7&#10;Tu2Dt58Juo7U43wPdegarSfCdoai6nWNdNuOhkTra49vYEngYniq2oky/QQS3Kn+A7nXScSQQe5A&#10;+hv6W73BGrdK54h+56lyw3jl4XPo/GGxCKGllry9IQH9+Mb5iPPoJxfWuoLhO+x0H4S8g9PR/I8d&#10;0vbEuA4UK/7o7kacX++FXSZrugC5zOO1wz4QqxoiODDhJxSmzH4f/84LJzqF8sLQ8DYGhUdmi3SI&#10;BJ1jo9ytLnQTih4WoMTimAU7jOOhcic5NXmYt3QuVGrb+i0W0F2bxldRePAoFHPmjhXOAtk1lqKM&#10;PSjG/YfN2/D1sTz0ScrA4MRUqBcuhbGdGHej8jnt/EXod/gK+iqfk04mMwzDMAzD9AaS0jAoKhfD&#10;lx+F0Xe0SOqRjZ8Ik34UfppjxoDVhZ9NgNub/kGZGKr8jDx2CNcrwqSiQVegKPdb7EJnGKeGhOmy&#10;yg0YPdYkyn3JnktfAp3yLuqhUkGn12H+wrFISbEK6Y3Ku23zW56TcFUovr38jjWlRNZvOCN5JREo&#10;KInE1B0n8dXK7M/6UldgYEgefl4YD2M3iueEm8cobNwYjD/ePeb4dqZD9IoI96q6bBTVdizmlwT0&#10;Pcf3wMvXaLOArtWpEJlg/mICOlHZfBsXii5h/OSx8PAc1epKvRbh2115aBD0dz6jTRgzwQ9TZkzC&#10;lJmTFeinFaqtTgK572gv6Els16nF8Xor52ni1PEIXB+Ac4XnRRxviYPcoCIW/9kNpKyYgDiP/lJR&#10;rSuQS5mi4YvOLUDTH9ul7YlxLSyvo/HyZTiKTs/HiRVaHJ78K/aP+QH7xxI/ImnWKFzc4oPbhQGc&#10;OmAHLK+i8eJFOE4H6GyqP98ZRAkHwzCkJoWj7NUd6TODcX5YQO+9kKug+vYm+I022j4ponGDafV6&#10;DD2WhT6J6fj6eD5+CVoPL+X/S//+PUJAnzgR/Q5dZgGdYRiGYZjeDQnoEbkYvuwIjD5+7QjoI/Hz&#10;nHAMWH1VOgluT6iGax//bMzYcRr5xVvtHuPe4kJ/XmstKSQbpzIM82WhtLIXdZEIj5gNN48vV6a0&#10;NSjaXaXRiJ9z5o3B8RMU7R6K1+9ihJguOybGOaF+4NnLSFyrsC6wkvUbzsi18nAcS4+Dx4ZU9HXF&#10;+PbgLAxdlQbttAAYDbalUXYF0r8ovv3okd0A3kjFUob5lB4uoJtR2xCDyro8FNd2zKFIAnpCSjxM&#10;PgabBHRyZRu99IhLjEXVq9vSbXcHJF631JSdu3g2VMpDgdzo5B4n6N9Uq52E71nzZyBgnT82b9+M&#10;2KRYHDx3EEczjiL1ZiqulKYhteRfpJWl41TuKRw6fwg7D+/AtgPbsG1/jHDrXyq+LGJ4qX68o8Rz&#10;oqSxWukgLuHwXAPi1IOkolpXIEfywYk/oSpvpYijlrcpxmbopVSBxGkSqQlyKlNUOtHwJkYI3R8E&#10;7Ebi/edk27MR2ia50esskbhTtAplV5agLG0JytOW4lHNerEP4rvpeyWfZ2yDrm1V7grs9fte3FOy&#10;e81exKkGImmxL67fy0WJhWuhuyIkoGffzsXcJXNYQO9lNCrP3fT0EGXsZJ2AkF3j1lArY5nlW/zh&#10;cSoV/344A18fzcEvW7bDSxm7tTX5a9SroR/tgxFxR9A3mQV0hmEYhmF6MUlp6L85F8MXJ8JEY6VW&#10;zBeEyeCBn+du7RYBnegbmAW39Vdw5EoCrpXb14WeQxSbUXXPLFyHsnEqwzBfnjd/RON60VqMGWsS&#10;8emyZ9OXht5jKU2Not3nLxiH4ydX4OmzCLz9I0bUcpcdF+NcUHz73UfW2ufUP8j6DWekqDIMoUcP&#10;or9/FgY4uLSKIxgYnINv/c/CMHqsMv7ovvtbpfXExEljUVGWDaBJKpYyzKf0aAGd4tufWXahvPZa&#10;hyPcSfw2x0dAR5OsbbxAfApFm3v7mnDg9H4hYMu23Z2QC55cfXtP7kPwplWYv3QuFiybK/4dfyQe&#10;xzKPIb08AzdfluL227uofnMHlcqx0wICimAnMVz8fA+JHCSS099UK9umvyfofInI9m6oQVzaXIO8&#10;/CM4MNkN8Rr7u1tj1UOQMscND6rWCkFX1qaYDkBiefO/xHIhmL8XsB9WrcP9ijWoyFiG0ouLBBVZ&#10;y3GvNEScd3KL099+/FnCKqxLvssGhJCuXNcW4b5FOLeXUM9YEQslFC6H+YnI/ASj46LcE/TDsEs/&#10;BGknt6P87X3pc4NxbkotlSh8dB2LAxaJUiCy/rU1WEB3XWiVNz0n4hMWikkHqiknu8YyRP05lQqJ&#10;ycsxM/MC/s+BDHydkoUf4lJgmDAeRn0bDgVlXGfy0sN9QyT6KJ+RTiYzDMMwDMP0dJLS0DcxHf03&#10;5WH4okPv3V+tzH8ZNcr4SYefF8RiwOp86US4vSEXet+VWViXlIgb5eHILbF/LfTCcjOeveQod4Zx&#10;VujebGiOwrFjK8Q7HDm+pc8oJ4DeUT3f10gPCJyMc+cD8Fx5vrx6G8VCuhNDbeylJRI3b7lWfHt+&#10;aQSyb2zF7NiT+HeXjG/PxMDgbIxcGAejGHvYZqjoLHoFd083rA5Zgf/6z1r89VedVCxlmE/p8QL6&#10;E8sBlNYW2SSgh+7YIuLJbRLQdWr4jfVFSuoRITTLtt3dlDdWC5H7+pMiIabn3MkT/6ZjrH5TI/az&#10;lGLRJZ91Rspe30X6uQTs9h5ujW+WCGpdYafHYJxcocXL2girYCtpU0zrkIOb3OQkUtfWReDJ/U0o&#10;S12CjB0TcG6dCUcXeSJpxkgkTv9NxKfv8/tesH/cjzg87TckKr9LmeeB00F6XI4YjYJD01FTtAov&#10;XoShtt4stkviOl8b54euFS2UODD+J8e70D0H4GjwFBQ/uipSKmTPDsa5of4oeEsw3N1HSvvX1mAB&#10;3XWhSQRL81YEr54KjVYjXmRk11gGxb17eRuQkxmAncUn0PdQOr5OTMc3yZnwmD0XJm0bSQYkoBvU&#10;8FgeiK+PZMsnlBmGYRiGYXo65D7fn45BG3Lwy/x4GA20ALEtAV2PnxfGdZuATnzln4Vxkedw5WoM&#10;rpaFS0WErkBRvVX3rO5D2XiVYZgvD0W507tjUvIy+Pga4OGpdqqa6J9Ci8M9VGqYvPUIXDUFeflr&#10;UGux1nRnId35oBSSx88jkW/nUiGO5np5GI5l7MTIdVfQL8j13OckoBOayUtg7Eb3OaVHU9p04qFY&#10;AM1SoZRhZPRwAT0MD+tTUFJbiuLajjmkSVwOjw1TOmTbBHSKRx83aSzOF14QjmzZtr8UZZbKfznJ&#10;lX/frJP/nbNT/u4+LqdEIV49CAkG+7taSUA/v8EbTb9zfLtNKAOOxndWN/fjOxtQdnkJzq/zwqEp&#10;v1gXO+i/FU5kqolNPwkSVeN171H+Haex/n/xN6ohH0TXvT7fI3Hmb0iN8ENZ6lI8urNefE/TH9uE&#10;YC/dH+aLY3X7RyH/4HTEKtfz03vNnlD7StAPQdaVA1wL3UVhAb33QZMHz2vNmDl7tM1xfGqtBtOm&#10;+aG0eB3y7+/DkOQr+Opwuohxd/cPEQJ5mxGkWnd4zpyNfhzhzjAMwzBMbyUpDQP2ZmDI2ix4zDHD&#10;aGwrwUcDk7cBPy9M6FYBfUBQJr5dlYm9F3cJsUAmInQFEtDJhf70pVVEkY1ZGYb58rSI6JcuBWHx&#10;kvHKM0kn6qJTdLr0meUEaPQa8Z7r7WPApi0zUVyyHo3NUXj9jtNOnY2qu9ZUElk/4YzkKVwrjUDU&#10;iQPo658lEltkfagzQ/XPf1h5Enq/MW2PP+yMRqfChIlj8ODeDQAWqVDKMDJ6tIBuaQjD/frjuCnE&#10;8w4K6K9rsCFyPdRqD5sF9IlTJyD15hURdy7bNtM1KKL5/O6NiB3VVyqkdQnDd0LATYsZy/XPbYDE&#10;7Ma30bhXHoK8fdOQPGsk4kkM11iF8QTdt9bFDsr5lZ731lD+noTRjwX2eO1QJM8eiZzdU1BzIwgW&#10;ZfBJ9bY5gt05oWvz8PY60SbiVEPl19lOUC30U6HzcfN5MW7SIiHJ84NxTuwR4V5YyAK6q9H0eisK&#10;r63D+AneNk980GRJYOAkvHwRgeeWaOhPXsC/HcoQkexuW7bB5GMUE72yzxIi4n38WPywM4lj3BmG&#10;YRiG6Z0kp2FgfAaGrM6EavaWdgR0NUy+Y/Dz0kMYEJInnQx3FH0CsrAk4QRyi8khaN8Yd4Iie6vv&#10;s4DOMM4OGWjIxf3kWQSOHV+BteumiXdJejckodqW+fvuhNzyFD0/eqwXEnYtwK2azXjze4xYFCA7&#10;Tqb7oPj253WRKCxzLQG9oDQCWTe2YnrMGXyj9JGyvtPZ6a+MJdzmmkV5mLbmbuyNWuuJAP/F+O//&#10;egGgXiqUMoyMHi6gh+Ju/VkU1XZc0KbI84B1/nB3GyW92VpDpfbAjLnTUfTsJkpcKBbdVaBzWlJX&#10;itPmpYhz7y8V0boCibW7TN/h6uEZaFAGZbL21BY0mKtvjhKibgvkwu2pLmk6LnKdP320Gbl7pohY&#10;9liPwULotlks7yjKduM1w7DTfZCIBk/bOhY114OE05lrmTsh1EaUeyn/0AyxqELcY7LragcSdEOx&#10;d8xPKCg+j9KmW9JnCOOc0IKz7Nu5mLtkjtKPthG9LYGcyBMneaO4eD0aX/ELqCtBkx8nTq4UK/Ip&#10;5k52feVo4e6pwtaYOXj3Z4wyzovElqyj+PdD6eiTlIHhCcegH+PXTh10Dby89PhlczS+Pporn1Rm&#10;GIZhGIbpwfQlAX1nJoYGp0E7LajtCFWjCka/cfhpWSIGhORKJ8MdRf+gTPy67gpOZ+/A1VL7C+gk&#10;mlwtNePJCxbRGcYVICf62z9iUFsfiYLCtTh4aDGWLJkIvUEnhHQSrJ1RTCdHOsXPz5k7BkeOLsfT&#10;52Y0c330LwoJ6HcfyfsGZ+ZqWQSOZcZixOp0kdQi6zudmYHBmRim/NRMXACTwUN6vzgCmnciB/qJ&#10;Y/tF7fO//lkrFUoZRkYPF9DDUVN/EUW1Ha+LSwJ64PoAuLvbLqDPWjBTRKSX1HXM7c50nJKGKhQ9&#10;zMexkKmi5rFMROsK5JTe4zsCxWcWiDrbsvYkRelwqd4z1XJ9WRuO58/D8PxZGF68CBd1u0WUtbI9&#10;qg1uUf6uJ9TvpuOgBQKVWctxbImnNZbdwQ7jTxFCusdgHJz4E7LiJ+Ppw03C8cz10Z0LaivPnmzB&#10;8SUqEc8vu5Z2wfCt0iaG4NzOIJRYqvgZ7EKQgJ5Tk4d5S+faLKB7qtWYOdsPz15G8Iuni/Hm92jE&#10;xi9QXmBsm+AQYrtRj8NJy/D2j2g0N5lxsXoPvj6cjj6JGeh3+Aq002fASDHuks+34KV1x69B6/H1&#10;sTzppDLDMAzDMExPRgjoMZkYGpQG7dSVTiugDwxSxneBmdiclCQE9DwH1KklF3rlHesYlQSVT8et&#10;DMM4H/T+T07u12+jcfdBKNIzgrF580yMn+gNnXB9q4VoLX2mfSH0Ruschs6gw7LlE5GRFQJL41Y0&#10;v2Eh/UtRXGUt5yHrG5wR6gMLS8Ox8XCKEM+pj5T1nc4MJdn8vPQgTD5+Ynwhu1ccgVZ5Hvj5eeHx&#10;w5sAGqUiKcO0Rg8W0M2obYhCdV2abQ70t50T0CnyfcHyeSgVTmkWb+wNuUqvVacjebE34tWD5SJa&#10;F6CY8P3jfkRVzkoh+snb1N9pEcef3NuIa0dn41SABoem/oqDE3/GkQXuuBzmh8LkWbhVECCirEnk&#10;pRey5j+3izrr9Nl6F4vtoXj7Fy/CRFz7vtHfi/rWjnQWtwnF7lO0u2YYji7wQFXuSnFOhRtdsu/M&#10;l6FJaTPXj8+xxvLrHNdW4jWDcXCmBjceXkUJx7i7DF1xoNPL56w5fuK5yi+crgXVfluzfqqI3JNd&#10;29aguPfRY0xIvRKM5rfRaG6OwO1n22A8fhH/djgD/ZLSoQ5cAyPFgLUhzBu17tDMX4whhy4L57ps&#10;YplhGIZhGKbHkpKGAZGZGOqfCt3E+W0L6AZPGMZNxw/+pzEgOFs6Ie5I+gVkwS/iPLKKHBPjTi70&#10;ghIznr5gAZ1hXA26Z5veRKH5TTRqLZGourUJe/cuxqLF4+HtY4S7E9ZKJ5c8zWX4+BqxZctMlFds&#10;RNOrKDRxWbpug9rNw6fUp7hY/XOlD8wu2orR5nOib5T1mc7OwJB8jJy5CV562+b/uopK44FVq5bh&#10;7Zv7XP+csZkeLKBH4GXDdlTVZdkmoL+uQeA62wR0ck9RDfSAdStRamEB3RGUNt9WXmou4NBMtXCa&#10;ygS0rkAi7KEpv+B+1dqOCbCNW4XjuSJrOVLmuSmftwq5JMR/+CmgSPNvcWjyzzi5QoPM2Im4eXEx&#10;KvNW4kH1WtTVm9H8jx1odAFBvVE53sf3NuL8eq8Pxyg7l90NCfjkgN835gdcS5mtDJrNIhVAdgxM&#10;92NpisKL52E4ttjTGvEvuYb2IEE/DLu9hiPteLR4XsieI4zzUdFUjYtFlzBl5iSoNZ7SPrY1aFX5&#10;4iXj37czFtBdhUalj711ewvmLRgrJg5k17Y1qH7c9Jm+qLm7BQ1ULqXRDEvDVmzKOYr/cTAT36Rk&#10;4setu2EUTvU2nO16NUyTJmB4bDL6pGTLJ5YZhmEYhmF6Kslp6B+WhaErL0E/bnqbArrR4AHd+FkY&#10;EXj+ywjogZkYHpKO+NP7cK08TCoqdBUSUCpqIlEvGbsyDOMCNEaKuuKNJES/iRIR6RcuBmHjphkY&#10;O95LlAGjEnCyZ9yXoqU+OpWlO3hoqajv/uaPGF7I0w3QOS6/EykSSGR9grNSWB6O/Rf24Ps1aaJv&#10;lPWZzsyA4BwM9z8Dw/iZYmwhuy8chZvHKJw7mwj81cjx7YzN9FgBvb4hHM8tcaioK0BxbcfciKWW&#10;Slx9eB0Lls+Hp6rjK2FaBHT/tStYQHcQZa9qkFtwQtQ5pnrHMgGtK1AMeeLMUaits8auy9rUx1Ak&#10;e0XGMlGLm1zY0rrf9P/IdUvx0rphQjzc6T5YRI/vHf29cKlfWO+NrITJKD63AHeKVuHFszA0vIux&#10;OqnfR6XT/nzRWurKwIKc5yT4H13siVjPwV/Odd4Gwo2uHYaMmPF4+SIMTX9uF+dRQOdSGUiL86kM&#10;qsU15kFp96CcZ2rLV5NmWR3osnvFTsSrBuL42pkoqVeewfwcdgkqm2/hTMFZTJgyTvSjsj5WBsWf&#10;0Qvw6jVTxfORBXTXgdznaRnBGDvOy2Y3AAnuKwMmikmRlomFd68icLpyL745mI6vUrIxcPcpGEf7&#10;gmqdy7YhUMZtXiYthpt3cYw7wzAMwzC9i6Q09DuUhoFbsjF05UXox0zqgIA+EyMCz30RAX2gQl//&#10;bMzaeRLXKMZdIip0lZZa6OxCZxjXh+7hloj3xldRyCtYgx0752PGjNHifZLeQUVpMMnz7ktA8xoa&#10;rRYBgZPEe3Lja6sbnZ9FjsHSFIknyrO+sNxawkPWJzgr18vDsWTPUXwTkCX6Rlmf6cwMCMnHj4v2&#10;wGSiuZruuwfVOhUmTRqLe3cKAbySCqQM0xY9WkB/ZklAeW0himsrpBP3n0JRspmVysB8wUxR01x2&#10;08kgAV2nV2Nt+Gquge4gyl7dQU7+cezx/UE4TWXiWVcgAf3IfHdr22lHiCEh9tGd9UiZ69a5us4k&#10;quu+Fd+5022QYI/PcCRO/RXHlqhwcYsPcvdMQUX6Ujx7GvqvWuqvv0wNdVos8KBqLY4uIvG8lcUC&#10;TgItVEhQOB2kR/r2ccjdPxXXjszG9eNzUZ23Es8ebUZtXYQ4LhJ1v9Q57W2Ie6ZmAxJn/ubQ5AIq&#10;73Bgigfyb5xGaRO70F2Bqtc1SE5Nho+vCVqlH5X1sTJIQKf62es3TBd1w77oIiPGJt79GYOTZ/yV&#10;a6i3aeKCxlpa5ZpHmGeLiZCWCQWKcb/1eAf8Tp/H/0rMwqD952GYMw9GfdsLMowad7it2oD+yRno&#10;m5Qun2BmGIZhGIbpaSSlof+BNAzclI0hKy9A7+NjLX8jGS8RJr07PCYvweCQHAxc9WUcb30CsjBq&#10;QyqOpcU7zoVeRC50M4tWDNODoPuZXN0NTVGorNqE5ORlmDd/HAxGa7oZ1UWWPfe6G3rXJZe832gT&#10;orfNxd17oaI2esMrnuewNxalTdx6YEaWi4nnV8vCcSl/O3RhF/GVv+vFtw8MzsKQVelQTwuCUd+9&#10;7vOR7iMREbEe//Ufz4C/6qUCKcO0RQ8W0MPwxLIPpbXFKK7tmKBNAnpWdQ5mL5xls4BOmOPDWUB3&#10;EGVv7iIrIxFxngOkwlmXMHwnotbPhOiFW7Y9QZXql5MwSwK4vZzY8e8FdRKo49QkUn+Lvb7f49Dk&#10;X3B8uRq5e6biXtkaIUR2p+BLse2PatbjGInnrTntnQwR6a6cy5b4fIr1Jiji/dAka3369JhxKE9f&#10;hkd3N4jzSQ57iuWXnQOm69A5prabf3B65xaddBBKe0jQDsalw+Eof3NP+ixhnIvqt3dw4MwB6A0a&#10;6NpyDH+CWLhm0GLHzgVidTlPdLkOJKDv3rcQI91si+yn62300uPosRV/E9Apxv2VQnD2Efz/D2Sj&#10;f3I63IM3wqhtZxxHAvvsuRi8/yz6JGfKJ5gZhmEYhmF6GH2T0zBgbxoGrc/GsBVnoPf2akdAd4Pb&#10;lBXov/rqZxPi3QU57b7xz0bIwRRcL3OcC72g1IxHz6wCy6djWIZhXBeaM3j1Nlq8Rz58Eo5Tp/2x&#10;cuVE+Pga4KFSQ+MkQjq540nYnzFzNM5fCFDeea37zfMd9oHO4/PaSFyvcK3a50RxZRiiT+zHkKBM&#10;DAiS95XOzMDgHHy38hSMvu2kBdoZndGaGn2e4tvxRiqOMkx79HABfT9Kam92n4CeEMECuoMoe30H&#10;GZf2Is6jv1Q46xLvBfTzG0ztCugUAf78aShOrtSKOHbp9roKOdT11th3a231oUIQPjD+R9w4OQ+W&#10;VzR4crzYa3ltrV1NNc/FYgGD88W2t4UQU5Xz2MLH51PUp9cPQ9Ks35Czewrul6+2xuYrg2nZuWC6&#10;TuO7GNwrW40DE35yqAs91r0fjq+fjZsvilCiPI9lzxPGeaj5/T4Sju2Ch8coaf/aGtTn0qrxxMRl&#10;otYZv1C6BrSC/vkLs0gOcPPoeGQ/QTXivH0NKLq5Xkx8fLzd5uYtOFKyB8MS0/B/j+Thu8g98DKo&#10;RRuRbUtg0MDo54NBCSfQ5wjXQWcYhmEYppdAAnpCOgatzcZvi/fD4GVsczLbZHCH29RADFhd8NmE&#10;eHdCLnRT2CVcyNuOwjLHuNDJkVh22yzGl1wPnWF6HjRv0Ki8S1oj0rfiUmoQQlZPEe+Z5AB3Bkc6&#10;zXWQiG4w6hEWNgs3SzeIMmg07yE7Jqbj0HP93qNIlxPP86l8SdFWzIs/gX9b0f2lVOxCcDbc50W9&#10;X7DXffHtHip3zJkzHS+flQNokIqjDNMePVZAtzSE4lF9Yofj24lOC+gGq4C+dbcy2GYB3f7UV6DE&#10;UoHLBzeLGscy0awrtAitGdvHC/G8LXGaHNk1N4JweOqviNc4TgT8DIM1Zn6393AUnZ4nxF7Z/tmL&#10;+iarOJG5fQLiSTxXzo90v1wVWqSgXHcScmM9BuPQlF+Qf2i6WDDg6HPbW2m5t9Kix2Gn+yD5dbED&#10;Cdoh2D9pJPKunxKlH6TPFMYpKFGe7dRnhu4MhbuNAnqLGzk1ddVnYirjvDQrz9eqW5swf8E466SA&#10;5Nq2Bq3GnzrdD4+fhf8tyu5FgxnP67eg8nEUdKfP4X8m5uLbuCMwTZ5odZlLtmVFaUN6NX4Kj8c3&#10;KZnomySZYGYYhmEYhulh9E1Jw8Cd6RgcnI2Ri/coY2pDGwK6FiaTGm4zN2BASN7nE+LdCLnQ+/ln&#10;IerkflEHViYy2ANytz98ZmYXOsP0YEhIF3XS/4hBbX0krqSvQlj4LPiNNsJDrRbzDVQ2Tv5c7B5o&#10;H9xVakyZ6ouUI8vwolZ5n2Y3eqeh81ZriURxlesJ6NcrwnA0IxY/r0lHv0B5H+nMDAzOxNCgNOjG&#10;z4LRaJuRoiuQVuep9kB09GYATfjrn7VScZRh2qNHC+gP65NRVHtLOnEvo7MCus6ggclLj/2n9ivb&#10;YMej3SEBva4MF3etcaiAnh0/qV0BvemP7ShLWyJqln8JUZnir5Nnj8TjextR3+wg0YhWZP6+DSWX&#10;Fn8QmWX70pNoiXw/E2zAnaJgsVCiO1z+vY2mP7ahImMZ9vqOcGi7ivPsjyvHolHafBs3eUGT01Jq&#10;qcT1x0VYtSEInip3af/aGuRG9vIxoKxyg1g9LmtvjPNBK+ev3ViLMeO8xDWUXdvWIAF9VfBUPH0R&#10;8bfV90/rwvC4Nkx5Gd6C4Iwj+PfDWRh46DI0C5fCqG27XRkNauiWBaAfTSYnZUgnmRmGYRiGYXoU&#10;KWnovy0dgwKz4THXDKMYF7U2LiMBXQO3WRu/uIBO9A3IwvjIc0i/FoWCMseI6NktLnSLVXD5eCzL&#10;MEzPg4R0KjNWZ9mKgqtrEBpqFdLVWo14B/3SQrpKoxbvzuvWT0dJ2QaxKL2Ra6PbDD3PHzw1I6/E&#10;jBzJs99ZySuJQIGyz2sTk9HH3zXd5wOCc/DrkgMweHvBYFRL27kj0OjU8PUzIS/nLIBGqTDKMB2h&#10;BwvoYXhQfwRFtdXSiXsZXRLQvQ1IupjEAroDIJfizRc3cXbbSsSr7e9cbRHQyYHcEQG9NHUxdnsr&#10;n/sCAnqCTvlO03e4fmKutW63ZB+7CjmwH95eh6RZIxFHdc8l+9EToetJbvSkGSNRmb1CnIe24vwZ&#10;26HzWVsXgTOrDNipnGvZdbAHtNDmxIZZKHpyDSWWKulzhfnylDdWI/t2LhYsnQu1xrZ62PQCOWGS&#10;N+493MICugvx5vcYXE4LEnXmZNe1LWgCY/uO+WLVOE1y0PZeWiKEeE68rN+CixUJGJp8Bf/3aD5+&#10;WRMGL53SrijuX7I9ggR0/ZSpGHDwEvoms4DOMAzDMEzPh2qg94/KEAK65+xNMArxvJXxktFqFnGb&#10;Z3YKAX1AUCYGB2Vg/8VdKHSQgN7CgydmFtAZphdBi7RpwTe9b14tXItNm2eIhd+UnPala6TT/IdK&#10;TW50H5w+46+8+1oXp8uOg5FD8e03q13PfX5V6etSC2Ng2nIJ/QIzpX2jszMwJBeeU1fCZLBt3q+r&#10;qDSeWLxoNv784wnwV51UGGWYjtBDBXRrzaK79WdRVNtx8YQE9OxbuZij3FydEdATLySygO4ASAAr&#10;enwNx9dOR7zG/qJbixBOjmtRA7uNl6SGtzG4U7wKidN/E67lT7flcAzfifjr9G3j0fTnduk+doV6&#10;qiWs/EyLGos4lXJ8yvdJ96On8j4qf/+4H1GVt9K6SIFfmu0KudALkmZ8WLgivQ5dJEE3FAcmu6Hw&#10;dhZKmzqeQsJ0LxVN1bhSlo4pMyZBq7NNUKWV4IuXTMDDJ2Ec4e4i0AIaS2MU9u5bLGLxZNe1NWjV&#10;v6dGjfMXAtD8+l+xdc/q/yWgP6sLxd3nEdCfOo//nZyHnyJ3wcvPW9Q6l22TIAHd4OuFH3ccRt/k&#10;TOkkM8MwDMMwTI8hKU0k7wyMyMDAwGyoZoTAaGqjHikJ6N4mjFwYiwEhuZ9Ninc3FOP+TUAmpm8/&#10;jdziSOHMkwkOXYUElqIqa9zvp2NahmF6NiSk0yJ9WrRdULAWGzfNgMnLWiOdYtWlz8pugN6JaVG5&#10;3qBDWPhsVN/ejFdvoz8sLmdax9IUicfPI5Ffan2+y577zkphWQTizuzFwKBMsYhM1jc6M+Q+/3HF&#10;MRhGj4exGwV0im9X61Q4dHAngHqOb2e6BAvoH0FuuNSSK5g2e6pNbrgWAf3QuUMsoDsAZxLQrQ5a&#10;M86uMTm0jnNb7Bg5EJfDx6D5H/YX0BteR6Myazn2+n6PeF3Pj25vjVjVEByZ7477lWtgYXerXaF7&#10;7OGtddZFKBoHLUIhcV43FDnZSShtZAHdWal6dRvnrl2Aj69JeQm07UWUXhw3bpyJZy/Mf4vzZpwX&#10;qltO1yt0yywRQye7rq0hYvMUbhSvw+vfYz5s88n7+HbiicLzulBE5SXi3xMzMXT/OWinTYdR18aC&#10;SJoUVn56rN6MvilZ8olmhmEYhmGYnkJSGvofTMOgLRkYFJQF9ZTlMIo41bYEdG+MXJTgFAI6QQ68&#10;4WvSkZTqOBd6i8By77Hy/soL6hmmV0LppK/IkV4fiUupQVi9dpryTNRDpVULcU76zOwGSMT3VKkx&#10;Y+ZonD0XIOZDGhxV4rOHQAvwy2pcz31Oi8RyiiIxKfos+gVkSftEpyckD26zt8DU1ljDAWj1Gowd&#10;54vHj24CaJCKogzTUVhA/4jK5ls4mXMS4yaOgUankt6AMrR6NXz8vIT4Xt7IccH2xpkEdILqg5en&#10;Ux3n74XQ+un2HIoDHegivl75eSZYjzh174lubw2Kcz+31oTaunDhzJedM6dGacfimioDaWrXllfR&#10;YoEERdOLnx/z/v9Z/y7KWl/fQTXg6SWEvuPiFh9Rd56c6LLz3yXeC+hnY1Yqz5BSaxkIybOF+bJU&#10;v67BydzTUGtUNr+AkgAbF7dA1CbkFdeuAa3iv/cwFPPmjxMJArLr2hr08jNt+miUV25E8xvr5MBL&#10;i/mDeN7CS0sYMu4exOCkdHx1JBfuS1a2G+Nu0qvgOW8h+h7JxjeJ6Z9PNDMMwzAMw/QUKL59fxoG&#10;b8zAQBLQJ8yDydDG3Bf9zncMflmehAHBzlF7lVzoJCQsjD+Bq6URDnOhZwsXullEJXOUO8P0Xlpq&#10;pD97acaVtCAsXjIROr1WLOr/ko50D7UKJm89EnYtEvNsbCyQ0+I+L3BB9znFt6ekJeCntVdcMr59&#10;QEgOhgecg378TBj0HU96tgeeGg9s2hiMP/94DMAiFUUZpqP0SAG9viECtQ3RuF2XiuLajjvCuyKg&#10;+47xRv6DqyygO4DSxmpcu5uLw/ONSNDa37FKdcX3eI/A/cq1QkiUtam/8V6YvHZsLvb6jBC1nMlJ&#10;66g46o8R32H4FleTZqLpd/vWQKe48vK0pdjrNwLx2t7rPm9B1JtXzvX143McVm/e3pDw3fAmRrSN&#10;xrcxqLOY8eJlOJ493oKnDzfj8b2NeHRng5THdzfi6aPNePZ0C17WRghBvfFdjGjrsu/qNMr9QwJ6&#10;ycVFop6/w2LctUOQtNgXN1/cRImFk0GcjZK6cpQ3VGHXkV02lUwhyI1MNbTTM1eJmtrSdsY4HSR8&#10;V9dsgu9oI7Q2TjTQggn/gCm49yAMje9TQV58FN9uJRTP68NQ+uwCJpzLxf9OzsKodeGibie5p2Tb&#10;JYx6FfQTJ2D4ruPowzHuDMMwDMP0ZEhA35uOIWszMWBVNtRjp7UdqUoCut84/LTymNMI6ETfgEz8&#10;tu4KUq4k4HpF6Geig70gsaXmYSQamuTjW4Zheg+Nr6w10h8+DsPpswGYM3cstDqteFcViWmyZ6iD&#10;UWvV0Ol12HdgsViwzot9PodSRKrumZFVJH/OOzPXy8OwdPcx9PPPEovHZP2hMzNwdR5+WrQLXsJ5&#10;3n2LTcigo9J4IDPjFIBGjm9nukyPFdBfNsSgui6jWwX03Lv5LKA7ACGg38nBoVlahwroj+9s7JiA&#10;rmBpVgYmTVtRenkxTgXocGD8TyLyfMeogYj1GIJ4zTCHCINUn/vQpF9w92awEDhl+9YZ6puiRDT9&#10;+XUm4byWfXdvhM7F0QUeePJgkxB9ZefuS0PueEpFoNriL2vD8aBqLW7fCMLNi4uRGTsJFzf54PgS&#10;FZLnjsJ+pZ3u9hqOPT4j/gb9v/1jf0TKXDecXKlBavhoXD8+D3dLQ0Rbp9r/su/uLHQunz3agsPT&#10;fnVYqQBKq9g3YRSu38tlAd0JKa2vQPGLEmyO3giN1rY6SLTK28tbj8Iba1hAdyHohb6gcM2Ha/jp&#10;dW0LNw9P7Ng5z5pgofS9lJbyrD4cjz4R0B/XbcWt+uuIKrqB/30oHcPjj0A/djQMVOtcsl2BUQMv&#10;Lz1+3RSFr47myiebGYZhGIZhegIkoO9Kx+BVWRgamArNmMltCuj0O/qboUFXMDDYeeJjBwZl4Bv/&#10;LKw6kILr5eHIkwgP9iC7yIzrlWY8r7O6GGVjXIZhehf0XtuscP9hGPbuW4wpU33hqdbYnLJmL1Qa&#10;iqr2Qn7++/kRi3y/eyMknj99GYmrZa5Y+zwcZ7J3QLX5Mvoo/Z2sL3RmBgZnK2OHVOgmLerW2ucE&#10;iedz507Hi2flAJqkgijD2AIL6B/BArpz8kFAn61zqID+qGZDhwV0gibyyZlcWxuB6ryVKDwyGxk7&#10;JuJ0kB6J035Fgn4YdroPFjHv5OgmQV3EVRvk+9EeCcrn4pRtXQ7zg4Wieey4spDi4CuzV2Cv7/Be&#10;Xfv8U+h6UboAXVt7R+Z3hZYY9KY/tuPly3BU5a7E1eRZuLjZF8lzRmG393DEeg4WCy5o/6n9CZRr&#10;S+1dzvu/UaDP0ecPTPgJWXGT8OT+Rrsu2CBRvrYuApfD/RxWB50i3Pf4fI+M8/EoaeDnsrNR2lCJ&#10;a49uYHnwUqW/ta0eNv39jBljUFaxEa/e2q9dMo6DVsJbmqJw8OBSIZ7bEtnfkjhw5vxK/P4PaxpI&#10;bYMZT2rDPxLPqQb6ZtytPYhqSynO3y3ByGOZ+LfEdGhmzBYuc9m2WzBp3OG2PAjfHM2RTzYzDMMw&#10;DMP0BJLT0C8uHQODsvHLiqMw+I21uswl4yOCJr3VY6dgkHCfO1d8LLnQPTZcwcmsncKlJxMg7AFF&#10;ud9+YB3PfjrGZRimd0LPg8ZXUWh+E42Skg2IipkLXz8jPNXqLxLr7uahwrr10/CSFvtwlPsHaOF9&#10;9T3rYijZ892ZKa4Iw4akw/jGP9s13echOfhp6SEYvQxtltSzN3qFUe6jcODADvz1z0b89Re7z5mu&#10;wwL6R3SpBvpoLxbQHYSzCugtkBOdHLrNf24XLmCKy75bEoyKrOW4cWIe0qLG4uhCD+wd/b34LhIx&#10;hVD5Xtj8IKxL9u0Dhu+EEE/i6IPqdXZ1Q4s62crgL2P7BBFHL/3+XgwtgjgTbMDzZ6Ff1oVOApTy&#10;/Q2vosU1ozaWs3sKTgfosH/cj0r7GCz2ldqVvdIPqH3udBuEkys0eHRrPSz2EtGVYyFBvuT8ItGu&#10;O7uopE3ontIPxbnYVShtuoWbdeXS5wvzZShrqELBg0LMWjATWhsFdA/lpTQoaAoePApD02t+OXQF&#10;WurUbwmdpYyvSECXX1sZWr0WXj5GXEm3RvbTS/ALSf3zJ7WbUF17ASV1lahQ7vdFWfn4nwfSoFq1&#10;HkaKcG/rpU3nCf2MGfh2zymOcWcYhmEYpsfSLykNA7elY8CqHPy69DCMvn7KGKm1sbhWGUOpoJ60&#10;AIOE+9z56q/2XZmNkEPJuFpqdlwtdIVCZfvPXlpFs0/HuQzD9G4o1p0Wi2flhCA4ZKp436X66LYs&#10;Gu8q5H4fO84befmr8ZpT+gT0vH5Wa7bWPv/kue7skPv8csE2+JrP4yuXdJ8r+xycCc2MVWIcIWuz&#10;jkKtVWH8+NEoL80C8EoqhjKMrfRwAT2z2wT00eN8WUB3EB8E9Dl6xwnoXp0X0P/Ge5GT6k+TO5hq&#10;SJPTlhy8JHxXZC5HdsJknFtrROLM37Bv9A8iPjteOS5y/Aq3OrmESVQnlH0TbmDl/ycpf1+dv9Ja&#10;21r23Z2Ejvnh7XVInj1KRM/LzlFvhq4DxZxXFwTYve58R6FrRILz8+dhKEtdgvPrvXBw4s9Wgdtj&#10;sPjpEBFagRZ30HdQsgItDqE667J9tBVqx/dKV+PAuB8dlnoQ5zkAR1fPQGlzDQvoTgb1ldm3c0V6&#10;i05vW9TZKHdPbN8+F41KW2wRZhnnRsSuN27F8hUTxWSC7Lq2Bv391Gmjcb1o/YfEgef1f3efP67d&#10;goe10SirzRfjvtuN5dhTeh2DUzIxdPthGNupg07iureXDt+bE/A1x7gzDMMwDNMTSUpDv8NpGGwm&#10;AT0XIxfGweTt1cYYiQR0NdRTVzitgN4vMBNu61NxJme7EBxkQoQ9yCky49Y9mmuUj3UZhund0Psu&#10;CelPn5tx8pQ/Zsz0+yCky5+v9odc6MdOLMe7P7/MvKWzQc9rqn3uatHtxI3ycESf3I++/pT+Iu//&#10;nBmKb/9h5QnofUeLcYSsvToKN49RCN2yGv/9Xw34J9c+Z+xEDxXQw/HCEovyukIU11ZIJ+9ldFpA&#10;16kxc950FDy8hrIGrrVrb4SAXpONg9PVDhPQ9/p9j0d37CCgf0qj0h5J5HkdLVzqLQ7e2voIvHgZ&#10;jluFgbh2dDaubB2Lk/5aIWLvU/aF4qcpUpuiuA9P/RWXQ31xv2KNtRa1nVc90zGXXV4ihHpHibCu&#10;DgnI147OscaYd+Oqc4o6J9H+2ZMtuHlhIY4tUWGXiep7DxPR5+0mF9gJkZygHSZi4qneumxfbYXu&#10;hacPN+GU0u5F25N8b1chAT1x8WjcfF6Mm/Ud7wsYx1PeUIWT2Sdh8tZDZ+j4SyU5lz1Vahw9vvxD&#10;nDfj/FCM3MPHYZgyzUfUaJNd29bwUKng7z8Zjx6Hi5i8WmV7T+s+jW/fiHu1B1FSWyLGfWX15ch/&#10;UgLT+Vx8tessjJMnwdBOOzNp3DAyZBP6pWThm8T0zyedGYZhGIZhXBkS0A+lYXBYOgYE52HUvCiY&#10;RLRqWwK6BuoZq51WQKda6P0CMhFy4AgKSyOQVyIXI7oKCTDkQn/6wswudIZhWqVReV9tfhOFO/dD&#10;sWPnPIwZ6yWE7e6Idafvidk2F/UNW3u90UC4z1+aXbL2+VWlL8u4HoWJUefQJ8D13OfEwJA8eM5c&#10;C5MQz7sxiUGvVsY1eqSnHQfQLBVCGaYzsID+EV0R0GfNn8ECuoOg+OXCqnTs8flBCMsyoawrkPs1&#10;adZIIebZLaK6NUhQJyeeAomjIpJb+U5y45LA8Oj2OpReWoyrSTNwNXkmbpyeh3tlIWhQ/s7yyv7i&#10;Le0HOeRJwHdULeqeAAm85Pp+8SzMbg7s9qA2UVtvxs3zC3FiuVqkFAjRnOLZv8BChx1ug3BujVHZ&#10;N7NoN7J9tgllGw2vo0QiA21b9p1dJV4zGAemeiD/2gmUNN6SPl+Y7qekrhxllkrsOLhdxJrpbXiZ&#10;pFXco8d4IT0jGK//4GgyV6FRudczM0OUa2dSrqFtAvoodxVCw2aiWekrycX+kuLb6z52n1vj22/V&#10;nlLGfJQCZE2buNVYjvX5heh/OA0egWth1HlKt/8BvQrGWbMxZO9Z9EkmEV0y8cwwDMMwDOOqkIB+&#10;MA1DNmRgQHA+Rs3aBJOJxmWtjcW1MCp4zt7ktAI6IVzoG1JxLncHCkod40Kn+F8SYSrusIDOMEzb&#10;0DOC3n8bX0UhN2/N32Ld5c9a+0ALzyMiZuP5y0g09PI66BblGlTetT63XS2+nQT0uDP7MCQoEwOc&#10;tN9tiwHB2Rjhfwb6MVNhNLQzB2NnVBpPLF4yF7+/ewigTiqEMkxnYAH9I1hAd05IQL9amY7dXiOQ&#10;oLd/1DM5a1PmjbIK6CRSS9qUwyFhvXGrNf793TYR/y4i4H/fZhX1HfSSRt/37OkWJM8dZY0Bl5wf&#10;xtpGjsxzw5P7m6wudMm5tBs02H4bg9vXA3F2tRG79N8i1tNBdcJtIE49BClz3HC/fLXdkhqa/2MH&#10;is8tFNt2hJueFtzs9fsRGRd2oexVjfT5wnQ/JKCX1ldgbdhqUQLFltpgnho15s4bi4rKTWhSXkpl&#10;7YpxPpqVZ8aRoyvg5W2wafU9tQ2VWoNdexaIxAESz5985j63xreX12a9F9Ct7ay8vgwX7xZj+Mlc&#10;DDPvhhdNDrfV1owa4cL6bvth9D2SLZ94ZhiGYRiGcVWSFA6kYfDqDAwIKcCoacEwGTzk4yJCGRtR&#10;GRy3BdtEHKtsotwZGBCkEJiFwP1HcL08TCpI2IPsYjPyS8149CwSlib5mJdhGKYFEtIp1v1FbaTy&#10;LrwcU6b6wlOthlbf8fdhW2gR0On7erOATuL505eRKCxXnttF8ue5s5JfEoE85eeUmLP4JsD1xPOB&#10;9HN1HtxmbYFXN7vPKdmS9LnkxHgAFvzF8e2MHWEB/SNIQD+VewrjJ41lAd2J6BYBfe4XFtC/ECSg&#10;374WhD2+yrnVdU8cuCtCrm+K079fudYaoy85l/aAFlFQ2sDNc4twYPyP2Ok+2GmuC7nfqZxAzfUg&#10;u50DWiBSmb0C+8b84JAFHOJ5YRiGyylmlL25K32+MN1PSb3Vgb5wxXyoNbatSKVYsjXrpr6vqS1v&#10;V4zz8fr3GMRsnwuNVmvTggmaXPD2MeLUaX80v4vCk0+c51YBfRPu1e5R2lapgtV9LtpZnYLyc3b6&#10;VQyKPwHjlCnCZS77nhaMyu89QjaiX1I6+ipIJ58ZhmEYhmFckaQ09N+XLia4B4bkw23ycpj0btIx&#10;kUAI6Ab8tmSvUwvoRN+ATHhsvIzTWbEOrYVOYkzpLbMY3/K7CMMwHYEW/je9iUZF1SaEh8+GydsA&#10;lcY2I0FHGOXuif0HFonF6735+UQCetVd1xPPicLyMBy4uBvfr1b660BXdJ/nYnjAeejHz4ChrQV6&#10;DkCjU2PSpLF4+awcQINUBGWYzsIC+keUN1YhrSwdM+ZOs2lSnwV0x8ICuoNQBhUUI091rXcZvxUi&#10;sez8MFYBPV6hMnO5Qx3olDZQcy0QB8b9iFjVEOm+fClof44u8MTD2+vsdg4a3sTgXmkIkmeNdFwd&#10;dPdvcC5uDcp/fyB9vjDdT6mlAtefFmPq7CnKi2PHB9VU/5zqZ++InY+3HN/uOih9DcWvBwVPgptn&#10;xxcnEmqdBhMmeiMnbzVqm82fieePa0PxROF27Ym/uc8JEs8r6stwoLwIg5My4LZiFYzaNiaJFYwG&#10;NfTTZ2DAwUvom5whn3xmGIZhGIZxQfolpUGfSEJ4FoYHXoR2whxl7NO2A13vbcTwFSecXkAnF/o3&#10;/llYdTAFN8odJ6BTHDDVWX/wVHl3Zxc6wzAdhMwyVBud/n3hYqBI1SM3Or3vSp+/NkJzJWqNFucu&#10;BODdn9s++/7eAj2XHz2PRH5ppMvVPicKlP5l1o5T6Kv0Z8LN7WIMXJ2HX+dv73b3OeGhcsfuhCj8&#10;879rAdR/JoAyTFdgAf0jyhqqkHUrF7MXzoJK3fFJfRbQHQsL6I6BBnBUz/tyhB8SdMMcEqHdU6Bz&#10;QyJ68dmFYtGBIyL1RT36ejNOB+oQq/7yke2fQnXKL2zw+VDDX3YMtkLn8sXzMJwO0iPWwzELBmLd&#10;vsGpiKUoU54jN+v+5U5lvhy0WO141gmMHu9nW9qLXgsvHwOOn/AXUWiyNsU4H42vt6L61mbMnTdG&#10;RPDLrm1r0KTC7LmjcfveZjyzfCqeE5vxsDYK5bV50vFeeX05Cp6WwHixEMM3xsDbqBGTwbLvIkhA&#10;N/gY8f2OQ+ibnCmdfGYYhmEYhnE1+ir0S05DyOVC+EUW4tvlJ2AY23Z9UiMJ6D6+GBpw3ukFdIJc&#10;6J4bU3EqKxbXKxwb5V5cZcbLeuV9the7PBmGsR2KVn/1Nhq3arYgJmYefP2M4p2XBHDZc7ij0Hv2&#10;jJmjUVK6Ec1ve3GpO0skymsixXNa9vx2Zm5UhmLfhT34fnU6vnFF93lIDoYFXoBh3Mw2xxaOgOLb&#10;vX0MqCjPAdCMv/4pF0EZprOwgP4RQkCvzmEB3cn4IKCbenAN9C+AEEKVwduJ5RpRg1p2bpj3kICu&#10;G4arh2dYz1uj/esJkau7In0Z9vqOcEiceVdI0H6r3H/fofjcAjT9YcfVrI2RaHwXg4tb/LBj1CDp&#10;d3eVOI8BOBY8FcWPC1Fi+btDlfkyULmUuOQ4mLz1YqAr61dlqLVqTJ7qg9KyTWh81XtrerkaNEGQ&#10;mRWC8eO9obFxhT1NJqwMnIC6V1T7/HMBneqf36vdp7QrWhzz+QKZUoVyhY3XrqNf/Enop06FUdeW&#10;00oLk4Jn0Fr0ScnCN4kc484wDMMwjOvT57BC4hUcr6rAxeIH+HnRQRh8Rytjn9YXNxqV3+nHTMbQ&#10;wIsuIaATfVdmY/WhZBSWklM8QipS2IViM+4+IlOCfPzLMAzTFk1votD0KhrZuSFYvGRil2qjUxS8&#10;h6caMdvm4lUvjm+n435M7vMSyTPbySkojUBecSTmxJ7E10o/5mru84GrMsU4YeT87WLs0N3u81Ee&#10;o7Bly2r8+ccTUf9cJoAyTFdgAf0jWEB3Tj4I6N7fO0RApxrTVIP58Z0NaFAGG7I21RMh9/mzx1uQ&#10;NGOUw+KzewyG7xCvG4aMbeOt585ODuyPoXrgaTHjrNfCmdznyr7s9BiMs2uMwiFv72Nv/sd2ZOyY&#10;YHWgO+C44zwH4sjKcbhxNxslDdXSZwzTvVS/uYPQ7VtEqRRb6n5RfPuy5RNgofQMByxiYRzDuz9j&#10;cOzECugNtDK449ebVuFrtBqs3zQNLxojJAJ6qKC69rzSrlof61VZynHubjF+OZWPX5cHwUvnKYRy&#10;2XcSRuX36ukzMDDxCtdBZxiGYRimR0AC+leHryD7SQ3++LMRgeZEeOr0bSfzkIA+cR6GBl3GwOAs&#10;6aS5s0GuPbf1V3AsI86htdApGvh6udWFziI6wzCdwdK0VZSmu3s/DLGx8+Hja+xUbXQS3ydN9sH1&#10;G+vQ/LZ3JvXVv/9Zcss1o9tvVIRh/8XdGBGcgX6B8v7NmaExwtDAVOjHTVfGDraV7esqGr0aJi89&#10;8nLOAXgtFT8ZpquwgP4RLKA7J6WN1bh2JwcHZ2qRoLW/0EsC+m6v4XhU07sEdMurKNwtCcGhKb8g&#10;TsMCept0g4BOzu6za03Y6eYYJ3ZnoOj6He6DkDJnFO5XrHHI/dH0+zbk7puq3NvDREy+bD+6Qrxm&#10;MA7N1qKg5DxKm25LnzFMN1JXjoqmagSsWwl3j7brUX+MEFN1WoSFzxbuc56och3e/RGDnfHzMNLN&#10;thivFrF9z/7FeN4gF9Af1UairPZqm2O90jqrC31hTiGGhcbB5OsFQ1vJBwblBczPCz9t3Y2vj2RL&#10;J6EZhmEYhmFcCRLQKca9pvEhgN9x9nwKfnOjsXgbiwqNamin+mNI0BWXEdDJtfdNQCaWJJxA3k0z&#10;8h3kQs+hn8Vm3H7AMe4Mw3QNqo1uaYrCxctBmPe+NnpH3ehUQ93opcfRYyvR9Dqq186T0HP4wRNK&#10;HrEucJI9t50Vcp9nXIvG5Ohz6OPvGn3tpwwIyYXb/BgYqV22sTDPEbir3BAQsBjNjXeBv9h9zjgG&#10;FtA/ggV056RFQD80R+8wAX2P94jeJ6Arx1qZtQL7x/3odJHhTsd7AT09epw4d44S0C9s9MFO98Hy&#10;fegk1L5pgUSsaohwklMt8x0jB2LHqI+g/1b+P/2e/o5c8DvdByn/HoyTKzW4ezNYRMzXOcD1SwL6&#10;1eSZyr5a68zLjqErCAF9lgYFN8+xgO4ElCvP87TyDMyYN0040GV9qgwSU40mPY4dXynqhrGA7hrQ&#10;YocnzyKwes00uHvathKZrrm3rwHnLwcJAf3v4rk1vv1u7QGU1JYobavtsd7thgocqCzCD4cuwnPi&#10;JJj0beyLUQsvnQfcV6zCN0dzpJPQDMMwDMMwrsS/H76CUUcy8eL1Y+HQSknZhd9G/SYfC72HXGTq&#10;WesxZJU1nlU2ae6M9AvMxM9r03AsPR5XyxwX4041dgvLzXhea2YRnWGYLkFudCp9drtmCyIiZ4u5&#10;D3Kjy57NLai1GuWdWYe9excr791RYp5Etu2eDrnPa+sjUVztmu7zQqWfij+7D4ODMjFAQdavOTMD&#10;V2Xh28BUaL9A7XOtQSMSG86cPqSMbV5JhU+GsQcsoH8EC+jOyQcBfbaOBXQ70vA2BsVnFmCvz/dC&#10;HJadG8YKObFJ3C04PNMqnjvgBbnh3Tbk7p0q2uMuvXw/OgpdTyGaew7B3tHf4+hCD5xbY0JqxBjk&#10;7p+Oa0fnovDInH+h/HfegelINY8Rf3dimRqXQ31x/fhcEfPfqLQVRxwzQe2w5OIi7FP20xELORK0&#10;g3Fgqgfyrp9CWXON9BnDdB+Vr27jWOZxjB7vJ/pOWZ8qg1Zg+402oryK6p9HSdsS43w0K31qeeVG&#10;zJk7FirlBV92bVuD6qWPHmvEzar1eK6M62QCelXtZWWc1/64i1zoRS/KMO5yHn5ZFgITOdDbisaj&#10;OunTpuG7PafQJyVTOhHNMAzDMAzjKvzfQ1cw7Vwe3v75Av/9jyeICF8HN8+20qC0MBpU+G3BTgwK&#10;yflswtyZsbrQszBr50nk33RsLXQSayrvmsXiXl7gyzBMV6Ha6JbGKJw+44+Zs0YLNzoJ5TQf0gK9&#10;J3uoVJgwwRspR5bD0rxVLFyXba830NAUibsPlWeyC4rn+aURyLoRhfFbz4n0FFmf5uz0X12AkfOi&#10;4CUSbbrXfe6p9sC8eTPQ3HgHQL1U+GQYe8AC+kewgO6cdJeA/vjuxl4noN88vxB7fVlAb48WAb34&#10;7AJlcBrlEDGZIvXvla3GwYk/I64L7TzB+C0OT/8VqRGjUXppCe6WhuBRzXo8fxqK2roINL6Lwav/&#10;2IHmf/wL+u/Gd9vE7+nvHt/bKP5NrnjaL9n+2gtqh6WXFmPf6B8cI6ArbXuv3w/IzkpE2es70mcM&#10;033censXu4/thkarsqm2F70kzl8wDk+ehaOhF78cuhpvfo9BfuEa+I02QWtD/XOCrvmc+WNx7+kW&#10;PLP8XUAn8fxh7TaU1tI4r0ra1j6luqEc0UU38MOOJGi9DTC2FeNOLnSjBj+G7sTXx/KkE9EMwzAM&#10;wzCuwv8+mAr/9EL813/Xo8lyCyuWL4Bnm2lQVgF9xJKDGBCSJ500d2ZIiBgeko495/fgenmYVLiw&#10;B+RCLyg14/FzcpDKx8MMwzC2QE5yWoh+685mJCcvw0r/yZgw0Qs+fgaxwHzhwvGIT1iI4pL1Vud5&#10;L54fofSP53WRuFGpPI+L5M9pZ+Z6eTjMxw5hyKpM9A+S92fODEW3D/c/Dd3Yqd3uPqfEQq1ejZSk&#10;BACN+OuftVLhk2HsAQvoH0ECekZlFmYtmMkCuhMhBPSabBycqXGcgO41Avcr1vY6Ab3o1Hzs8RnB&#10;Ano7tAjoJPQKQdkBAnp941YhzlNMfKx6iIiNl+1LW9B13OPzPe6XrxFx6w1vYoQwTu2a9ru+LfFf&#10;+f/0e/o7imsXfyv7OzvTHQL6Ht/vkZV5mAX0L0xJXTkqm28hIjYc7u4jpf1pa9Cqa3PkHLysM4sV&#10;1rK2xDgfb3+Pwdnz/jbHtxMkoAevnob7z0Lx9DMBfRPu1CahpLZUaVvln7U1GWV1Zch9Wg7NsSvw&#10;nDlHTArLvrcFo9YdnsuDMDAxDX2T0qWT0QzDMAzDMK7A/zqQishrNwE04fGDIkyePE4Za7WRBmXU&#10;wORtwvBlyWKCXDZx7ux87Z+NSTFnkH0jCgWl4VLxwh6QiF5624xaZezLLnSGYewBPUso0r2hOUqY&#10;CO49DMWd+1tw98EWPHoShvqGrWhWft/bnzl0/NX3XVM8v6r0S1euxkAfdtFla58Potrnc8JhEuK5&#10;bYaJrkJjmOnTJqKx4bYytuHa54xjYQH9I0otlSh8dB0LVyyAp8pdeoPKYAHdsZQ2VOP6vTwkLfZF&#10;gnaIVCTrCi11l0scKI46IySs5h+c/kEc/vS8MP+i5fw8vLVeCL6y82kPLK+jxEIOcqF3RkwmAZ1q&#10;2j97EmrdTxdoyyyg9x7KG6pw9UEhlgcvg6e6432s3qiDSq3B+QsBaKbFHb38JdFVoJXztOBh69a5&#10;8FB3PK6foGtOAnrMjnlCMH9a/7GAHip+VtamKmO8amlbk1FSp7RBSwU2FhTi5/WRMOjaEfUNGpjG&#10;+mFY3BH0OZItnYxmGIZhGIZxBf7H/lQcrKwE1T+vuV0AgzLW0rWZxqOGccxEDF9xwmUF9P5BmRgS&#10;mIntp/bjRrnjBPQc+lkSiQdPrW5I2biYYRimM9DcB71XN76OQtN7KK6daqbL/r43QefmyctIFJS5&#10;Zu1z6pfWHEpGP/8s16x9HpKD71eeVMYKk2Box5zgCDxUHti7Nwb//V+1+OuvOqnoyTD2ggX0T7j9&#10;7h6CNgTC3X2U9AaVwQK6YymxVKHo8TWcWD8T8ZrBUpGsK/RWAZ2Eyxsn54n4enagt41YZGD4DlV5&#10;/sKd7ag2IlzoyoD42tE5ooa5rQsb4jXDcHyZCs+ehlrbsuQ7nA0W0HsP5D6/XHwZE6eOs6n+OU3u&#10;+foZRUTZ698dt4CFsS/0cn//YSiWLpsItdZ2AZ1SBy6kBuBFU8RH4rnVfX6/Nh6ltTeUdmXbGK+8&#10;vhwXH1fAY89x6MeOUV702t4vk16FURsi8U1yBvpKJqMZhmEYhmGcHRrD/O99l5H5mGqEvlLei07D&#10;XeUOvWTs8wFyk02ci+8CzmFAcLZ08twV+No/Cz4R55F6NRqFZQ4U0YvNKKo0o9ZiFXVkY2OGYRjG&#10;PrQ8Z8tqIkUKiOy57MxcrwjDicxYjNqQir4Bruc+HxiciUHBWfCcuR5GY/eL5+Q+nzhpLB4+uCGS&#10;dWSCJ8PYExbQP6H6zR0Erg9gAd2JaBHQj6+Z5lgB/WLvE9BLzi/iGugdgQR05Rzl7ZsqRG5Cdk7t&#10;AbXB+qatSI0cg50eg0WJAek+fYrhO8R6DkFhyuz3ddpdY0UqC+i9h+o3NTiedQJqradwvcj6Uxkq&#10;jRpLlk5Ezd0tQpSVtSPG+aC6bVW3NmHceC+b659TPStaNHGjbC1qX5k/EtBD8aR2M2pqjynju47V&#10;Pv8YinG/WVeBoMw8/LY0EEaNm/T7WzDqVdDPmoUBBy+ib3KmdFKaYRiGYRjGmfn3w1fwY1I6yl7e&#10;B1CHA/t2KOPrtksWGvUe0E5diW+DUjEw2EWjZRUGKvQLyMLGxERcLY1AXkmEVMywF3cemtmFzjAM&#10;42AsTdbUj7yS9ykgLoQoKVK8FQviTqLPStdcoDYgOAffrzgOo6+fSKyRjSMcBS3+c/dww/792/Hf&#10;/1XP7nOmW2AB/RNYQHc+hID+5DpObpztGAH9fYR57p4pQrh0pDjqTJBwWXx2Afb6sIDeLgZrPHpq&#10;uJ84d9ROPj2f9oRqlj97vAWpEWNE24z1VNp9OzXRSTxPmeuGR3c2iNrnsu06I9QOy1KXYN8YFtB7&#10;MlT/vLS+AtsPbrepRApB9bO3b58HCyU0cFSZa9BodaBnZoUIMVxvtE1Ap/j2OXPHorR6A140/suB&#10;/qR2Cx7VbkVFbY7N47sWqizlOPagAuqIWOv3GduIL6VoUx8jftx+kAV0hmEYhmFckv9z6ApMJ7Lx&#10;pOkJ/vqPp9i0cZV1Qats7PMek34UfpsdikEhedLJc1eiX2Am3Dak4mzODlx1oAudXJDXKsx4Xmtm&#10;FzrDMIyDoOfry3oziqpcs/b59fIw7L+4G98FU6kReb/l3JD7PBuqaf4wiej27q19TgsAJ08Zj7s1&#10;VwE0S8VOhrE3PVhA34mKugIW0HsC9RWidunF3WsRrxooFcm6QouAnpMwuXcJ6G/eC5cOcv72NOgc&#10;nVipQa0yUHO0gE6INASLGQVJM5E0ayTiVEME1F4/3i/6b3KqH5z0M6ryVlrFcxd6YW98F4Oi0/Ox&#10;x8cxpQSEgK5sOyvjEAvoX5AySyUKH13HytXLoNF2POKJhFetXodzF/zx7s9t0jbEOB/0Ukt96Z49&#10;i5UxEgno8uvbGpQ6ELJmGmoebsEzZUz3LwF9M+7V7kaJaFfln7WzjlBWX44iZWy47MIV/DZlBoza&#10;NhZ0KO3PZFBDtdQffY5k4ZukdOnENMMwDMMwjLPyvw6kYtrFfLz+/QX+fHsfc+ZMhUbX1nicxj8e&#10;+Gn+NgxYfVUyee5aDAzKQP+ALCzddRwFJWbkSQQNe0AuSIpyr75ndUfKxsgMwzBM16CUj1v3rXXP&#10;Xc59XhKBtMJojN16Dt8EuF7dc6J/SD5+XroPJm+vL+Q+H4WtWzfir/8m93mtVOxkGHvTQwX0CLxs&#10;2IbqukwU19omaJOAHrDOnwV0Z6JFQN+1xiECOjl7SWRLNfuhTnnR6Q5x1BkggbbmxiohvMZpWEBv&#10;D6pJnjRzFF7WRqCeItIl59Te1DdvRePbGDy4tRa5+6bi6HwPITKTYB6rGoJY5WecegiOL/YU4jmJ&#10;0XUNrtV+m37fhrz9U8U9aGvN944Qrx2C/ZNGIvfqcZQ218ifMYzDqWisRu7dfEycMg46fRuO30+g&#10;2kZTpvqi8Po6vH7H8e2ugkV5dlENyKBVU0Qtc9m1bYtR7irs2b8QLxrNeFL3r/h2+llde05pU51z&#10;n7dwq6Ece29XQLN6C/RUB70Nh7yIcR8/HsN2n2QXOsMwDMMwLsf/2J+KldnX8ddfFjTUV2HsOF8x&#10;xpaNewRGNUw+Xvhp8R4M6AEOdOKbwEyMWJ2O/Rd240ZFmFTYsAck6FwtU8avL1hEZxiGsTcknj95&#10;GYlC5TlLz1vZc9iZuV4eji3JiRgQmIUBQa4noA8MzsawoCvQTFwAk77tUjCOQKVVYdx4P1SUZXPt&#10;c6Zb6cECegyq6zJsFtCrXtdgY9QGqDUeHY4cZQHdwVD0b1M1rhyLQZznAKlI1iUonls7FGdW64Vz&#10;t7cI6CTOPnu0GUkzRwoRVnpumA+QgH54yi/dKqC3QDHnFOv+sGY9KrJWoODQTOTsmoK8fdNQdmUJ&#10;ntzbKH4v+6yz0/THdmTvmYJ45fx+6q63B1T24dBsLQpKzivPkdvyZwzjWOrKUN5QhVM5p2DwovrW&#10;HRdUKb49MGgynj43o0F5ZsnaEON80LV69CQMU6b52iyg09hLZ9DhQlqA8uzb+sF9/ljEt0ejrPaa&#10;0q66JqCXilrolZh3/AxGjR4DY1suLGV/vIwajArZhK+P5konphmGYRiGYZyV/9++SzAXl4rJ5uvX&#10;LsPopW97PG5QwTh6LH5clogBIbnSSXRXpK9/FiZEnUX6tRiHRrlnFZlRXmMdE3OUO8MwjH0Qz1NL&#10;JMrvRIqSGbLnrzNzrTwcx9Pj4bEhFd8EZEn7KWdn4Op8/DYvBl4mZQzRQc3MXtA8kUrtiYjwtcBf&#10;7D5nuhcW0D+h6tVthMeGQatT2SSgz14wkwV0B1L25i4y0w4hzqO/VCTrKiSOnvTXWNtPbxHQKa5e&#10;4fhSFQvoHUAI6FN//SICuqBxqxDJybFtef/9dP0alf92VfGcaP7HdqRGjsUOt0HS895VhIA+S4OC&#10;m+dYQP9CtNQ/35pgFpN1He1bKfbbQ6XGth1z8fZP16nrz1jrn6enB8PXzwit3rYXK6p/PmmKL3IL&#10;V6O22fxBQKf49ju1h9+3q87Ft39MdWMFYkuKoF3qDx0J6G20S6PWA9qZszH04AX0ScqQTk4zDMMw&#10;DMM4G18fTsNX+1ORXFUJoBEH9m1vdzxuNHhAN2E2RgSex4DgbOkkuisyQES5ZyM05TBulDtOQCco&#10;Jv7BU6tbUjZWZhiGYWyDnqf3n8ifuc5OfmkE8ovNWBB3En39szFQ0kc5OwODczDc/wwM46bBYPCU&#10;jh8ciVavht9oL9yqzlfGMw1SkZNhHEUPF9Btj3AnAT1sZ6jNAvqMudNQ8IAFdEdR9vousnOOYJdx&#10;GHbp7R83HqceiqTZoz6IyrJ21dOg+rTkQr8U6ot43VDhxJedG8bKFxfQP0Jcu57QVt8fw/n13o4T&#10;0FUDkbzYF9dupaO0sVr6fGEcS0l9uUIFlgUtsdY/72A9bBJeSYA9dy4Ar9+57iKR3sirt9GIT1go&#10;nOQ6g20CurtKDf+gSZL652GoqLV9YWRrlNaV41ptBabtS4TaqFfaZVtOLA28vPT4MTwOXx/Nk05Q&#10;MwzDMAzDOBv/fvgKRiSlI+f+bSGgb1gfBLXGs20BXecG90lLMSSEJvlds0Zra/QNyIR602WcytqJ&#10;Qge60MkdWVRlxst6eneXj5cZhmGYjkHP0Rd1kbhe6YLu8xKzKB2y49Q+DA3KRD9XjG5flYVBwdnw&#10;nLURpi8gnhMeandERW7Ef/3nC2U8Uy8VORnGUfRYAb22IRq361I7JaCH7thim4CuV2PshNHIu1uA&#10;soYq6XaZrlH2qga5V09i79ifkUBir0Qo6wpCHJ32Gx7f2yREZVm76nE0bhV10AuTZ4lz4Ij47J6E&#10;MwnoPYUGpf09vrsBx5aoEOfpmBSEOI8BOLZqCoofFaDEws/nL0GppQL5969i8vSJUGs7PthWadSY&#10;PtMPt2q2oIHvOZeBXm6b30QjZPUUkSAgu7Zt4eauQtT22bC8jfyb+/x+bQJKa28o47quxbd/TEVD&#10;JfYUFUA3ey50+jZi3BWMGnd4LlmBgYdT2YXOMAzDMIxL8H8OXYHmRDbu1z/Ef/7jKebOmwFPddt1&#10;S31MHtDOXosBIQXSiXRX52v/LCzffRwFJRHCFSgVPLoI1eYlah6auRY6wzBMFyH3edXdyA/PVtlz&#10;11mhxVoX8rfBGHYRfQJcc1Eauc9/XHEERl8/GNsyHjgIrUEDH18jblWR+5xrnzPdT48U0OsazOLn&#10;3fqzKKq1TTAhAd0cHwGdXg19B11TJKD7jPZC7t18lDeyQOMISptvo6D4PA5M80C81v5CW7x2GA5O&#10;+Bm3rwcJUfnzNtUzoWOtKVqFPT4jEK+zv7O/JyEE9CksoNuThjcxuFsSjKSZv4kUCNl57yqxbv1w&#10;YvMClNYrz5J6+wlvTMehfjHpcjJ8lX6S+ktZP/opFN9OAnrw6iloVJ5T7NxwHeh63bq9BbPnjIan&#10;um1R+lPIra7//9j7z74os3XrG/4oz4v7vvd17b1WS7dg7JwUqEQFkhhQzDkrQTAnoBAwEMwiYM6Z&#10;HJVYZDALCgVFMnT3Crsdz3nMkl62PZUqoKAK5ov/j7VaqHCGOec5xzHGofHAydRVML16P759O+qM&#10;lwbMfd5DRVsl8purMCM2AR4e0rX5qcJJ6UHR01uLiftOYpTohS4QCAQCgcAB+K/jt+F9NRddvzbj&#10;UX0B/GdO/WRBK8W7T5uqxa6Yg1BHFmFUUNqfNtGHA6NDMvFtWDqO3jiMezZ0oZPIc69KjxetwoUu&#10;EAgEfYWKkJ4+j0JBuTndgzfe2iv5VKgl/Vx76CycAh2073loFsZJP5UBa6HVWre/M1BMdpuEvbG7&#10;8C9yn78V7nPB4CME9A+o6qrDwTMHofPWwENtWVUNCQI+fl5CQLchhs463K1JQ8oKLyQoxnKFsv6Q&#10;6DERR3y/Qfm15Q7dT9paSEB/3rgLyfN/ZkUEvGMjMEMCevKcn4WAPoB0/roPFemrcdjrKySqbZOA&#10;EOfqhMv7NqDyzSPu2CKwPTUvG/5TmGZhsguL/dZ64ETSatZPW2w6OQ6vfonBjZsh7/qfW1edrFAp&#10;MWOmNzLzwtDSGflOPN+FJ8YYVBrzUWrlmq43ylul9UV7DfZmpUExcxbUHp9OSNBK/y4LDMMXKWlw&#10;Ei50gUAgEAgEds7/e+wWlmTcw9u33bh+NRmeXhrm5OKtcwilhxzTZ/iisjQNCRkPmVvb+YPN9OGA&#10;U1AW/KKuIvNeNAoMto1yr3loFoB462aBQCAQfBwW3d4WhdJaaTwt4Y+z9kxRZQQSrhzBxNB0VrzF&#10;m4/sHZewPExaEQ+dl/bTbe9shEzpjoDZ03G/vhBAF1fcFAhszbAV0NskHrRd7pOAfuT8EXj6aIWA&#10;bkeUt9eg5EkBzm6cg3iZM1co6w8k3h3y/JLFmbe/HjkCOgnBxtZI3A73ZQIx79gIzCRIx+fsahk7&#10;XiOlT76t6fptP+6eXYQDbmNs04NfMxGJyjG4cWwnKl4/5I4tAttS3lqJClM11m1cB5nMlTuH8qD+&#10;51P8tCgu3coczbzrR2CfvP41FoeOLIdMbnnBRA8yhQIrVk/Do6bdeN5m7n/eaNyB+8Zk6XqiBInK&#10;P11fA0GVqQrpTVWYtTsSSunhjPe5etBqlNBO8cH4g+fhdCqTu1EtEAgEAoFAYA+MkvjsxG3E3C0F&#10;8AsOHYyW1lpun1yfyVUyzJk7E/XVWaioNsBz5x04heTCOTTnL5vqjgwJGS7BmdiWnGJzF3qhQY9n&#10;L8wRxLy1s0AgEAj40LhZ/yjKIcVzim6/kbcXmt03WdEWby6yd5zDcvFV0BWop82BVvPpvRJbQMmU&#10;7nJXtn6h6Pa3vxu54qZAYGuGqYAuDbLt4XjcdrpPAvqhs4f7JKDnPSwQArqNKG+rkqjAJf1qxLmN&#10;5otl/YD6f5OAnL5vOjre7OVeU8OTPWh/HYvKtDVMILaJiDlMIIf+9W2eMJr0QkAfANgxNEXhTvRU&#10;HHAb+FQJItFjPA57fY07F/ej4uV97tgisC1VHbW4UXITs+b5Q6G0vP+50kOJpcumoak5QgjoDkR7&#10;1x40PdcjbONsuMmsj/ciB/rO3fNh7IrEs1aKb9+Np0Y9aoy3B9x93kO5RFVnHWLTb0A2bUavLnSd&#10;Vgm3sO1wOpXF3awWCAQCgUAgsAc+O5kGF4lz1dX41z+M2LQpkMWg8tY3PVCE+5Sp3li7dhkC1y6G&#10;/4LlmLRgJ75efx5jQnPgwtlgd1SoF+3PW+/gTHo8iqvCuQLIQEDCT0W9Hkbp2VekagkEAoFl0HjZ&#10;2ByFwgpz73Pe+Gqv5JVHorBcj9WHzuJzSnJxQPe5y4ZMjA3LhtuC7ebodivNEQOBTOGOOXP98eRR&#10;MYAOrrApEAwGw1hA340nbakoMdZyN0w/RlVnLY5dPAovXx0Txnk38IdQLC31QM+syUJluxDQbQVF&#10;MF8/vB1xk524Yll/iXMfi+s7vdH5yz7uNTVcIQH9af1WpC6YJFzoH4EKLKhHfO6R2dIibg+DdywF&#10;lkOtEhofbcf5NQqbXXcJyrE4NnMy8nJPwdBZzx1XBLal7vV9HJXmVK202KYNOd4c+iFUZUpCauze&#10;pWyjySQKVhyG7jcxKCnditlzfNk55J3fj0Gx/TpPNU6mrkFzR098+048NsZL11K5xMC7z3uobicX&#10;ejXmbtkCufSQ9qmHQy21IvCfgYmHLmBUqnChCwQCgUAgsE/+lnQHX5/OQJ2pEU8aCjB37kzILSho&#10;JYc6/R7h4eEOndoVmqmz8P2qEyzKdcwGx4yh5fHZ+mwsOnARuSV7UGCI5AohA8XDZ8KFLhAIBJZA&#10;4jntBZXVOab7vKQqHPEsuj0Dnwc75pzpLM33361Ohs7bCxqtZfrYQEJrETLhJMRHMfFcuM8FQ4kQ&#10;0D+ABPBLeZcx1X8K6//Eu4k/hEQB6pl++vZpVLRXc19X0H8ogvnOub1I9BiHRPXA9+smAf38GiVa&#10;XoSjrXPkOB5JDDZ1RSMzbiYOuI7hHpuRDkX8E1WZa9H+cuRE/NuSjjexeGAIw7Gp30r3tG36nyco&#10;xiBpgQfu1dxGebt1c4Gg/1B8e3VXHXbv3w23Xtwu79MjoKdnhqLrlbjfHInXv+7F9ZtB0oOOkp1H&#10;3vn9GJQ6MG2GJ8qqt+K5ieLbdzPqjRdQarT92qqmqxb6m5ehnDIF6k+t/6QHOZ30c/KWCIw6k8Pd&#10;sBYIBAKBQCAYav77xB24XsjCv992ITfrItQapcUFrR+iVbtD6zsV368+CZew4RPn7hwiEZyFqHMn&#10;UFQRgbxyvhjSX6gXenGVnvXyFS50gUAg+DQ0TjY8ieKOp/bO3coIXM3dz6LbRwU6ZnS7S2g2xofc&#10;hmrmcmg1lidJDiSkyVHhX1NjOQATV9QUCAaLYR3h/sx0AmVGg4TlriUS0K/dvY5pM/2sE9C9NDh5&#10;7aQQ0G1IxcsHyLhxGId9vkGix8AL6PHycUhdOBmPKjfCNMJE0s5f9qI2P5CJmfEq4UL/EBJ4j8/4&#10;njn1yTnNO4YC66DjWH5jJeIVtmsdEC8bjVNBs2DorENZq+3cqwI+1NIkuz4XS1cvNrt6OfMnD+p/&#10;HjDbB9W1O9D9WtxvjgLFtzcbo6DXL4S73PoKZRLQV6yajifNu98J6LvwxBiNCuNd6Xqi/uf862yg&#10;qGyrRFZTFQKCg1j/T95n7EHrIYPHvPkYf+yacKELBAKBQCCwO5wk/ufEHSy5XQC87UZKSgJ+mvwT&#10;d11jKbSJ7jFjESYG34BLqGOKAjycgjIh234LV3L24W6F7VzoFEFc94jStfhraYFAIBCYx8inz6NQ&#10;YDCPm7zx1F4pKI9EXmkUlsZfgFNgNnfOcQTIfe66ZA90lMz3iXQ+W2FOwnHHubNHmHiOt8J9Lhha&#10;hq2A3tYejkbTMRiMZSi1UkC/nH/Fege6lwbJ15OFgG5DDF31yC88hxOz3Vk0M08w6w/U4/qo37eo&#10;yljD3LG862q4Qv2o20x63NjhjTjZONEL/QNI5L0SpsGLpt0wiX7M/YauN2NrJG5FTrFd2wDNRCSq&#10;xuKSfo05vl0I6INO7csGXC64Am9fHTzUlrtd3OVy7Nq9AC9a9EyU5V1DAvuD0gIaHuzC/AW0frLO&#10;3URudaWHCtF7l6DRGI6mtggW337fmPLuehqc+7e6swaRV87Cw0sHteYTRQDSA52ntPb7edseOJ3N&#10;5W5cCwQCgUAgEAwVJKB/lnQHB8uq8KrzPjZtXAc3uRt/XWMp0vpHq1XAdXEkXEJzuZvujgj1df8i&#10;KAsrE88jv4x61/KFkf5CQlChQY+mFhHlLhAIBDxYdHtbFEpr9A4Z3V5UGYHoc8cxQZpXRjtg33PC&#10;JTQHX62/CPWU6ebe57z1gI2hFjKLF89FZ3uD6H0usAuGsYAegSbTEVQYS1BqhXOpwlSNrNoczJzr&#10;D0UvDqQeegT0lBspQkC3IeUdtSiquY3kJVrEy134olk/MMd0T0DRhSXo+m1k9UEnqGigJmcdKyJI&#10;UA68w9+RiZOPRbF0XbS/ikWreNjtN1SEQMUIKQsmsd7yvGPeX+hePqT7ErdO7oZBGjt4Y4rAdlB8&#10;e1VnLQ6eOQSZzJU7d34Mci+fu7AOr38dWYVMjgw96JKAnl+4CVrpHFI/c965/Rjs97UeyMjdgOZO&#10;6n9O8e0RqDJmDkp8ew8VpirkNJZjxrp1UKl6eVhUuUNNLvSjVzDqVBZ381ogEAgEAoFgKBh1kriD&#10;9GeP0fioGLNmTbPYIPJJtHKo/Wbgm/UX4Rw6fKLcRwdn4qvQdMRdPIqiqnCuMDIQkCBUUa9H27v1&#10;M29dLRAIBCMRGhMJSupwNOc5ca8yAqfTEjB56x18HuSg0e0bsjA2LBuK2YHQsej2wXefe2hVbL1y&#10;6+Zp4K3ofS6wD4a1gP7ClICq1kKrNl/L2yrZxv/cxXMsjpxVv9soPnByPxPg6e95ry3oJ9JxNXTW&#10;4szGeYhz+4IrmvUX6gGec3QOuv6xn3tdDWs69jBn8LVtXizOXrjQzVAywQn/73G/PBSdb/byj53A&#10;KkhAr78bgsNeX9ms/3miahwO+/2AvIJzKG+v4Y8pAptRIR3zu0+LsHbDaouL0QjWB3u6JxNiX/0i&#10;4tsdBZM0d5ikOSQufhnrX9+X/uez5/qion4bE9DJff7QeBTlxjLperJ9fHsP5RIVHbWIvX4eCq2G&#10;9Qrlfd4edGoZft4Zg89PZ8MpOZ27gS0QCAQCgUAw2Hx28g6cU9LQ/FsrqsrS4d5f9/kfqKDTyCGf&#10;G4qxodlw2eCYDjse1KtWvesmrmTvx72KCK5A0l9IFCKX++Mmc0wxb10tEAgEIxEaE580SWNkueNF&#10;txdWRCLjXgymR1/FZ9JcQskmvHnG3nHemI8fVyRC66WBRprr+esA2+Imc8X6wBXo6ngg3OcCu2GY&#10;C+hxqGrN75OAPmfRbMsFdK2KEZkQIQR0G1Px6gEuRa1BgtyZRTTzhLP+cMBtLK5v9UJLSwRMXSMv&#10;qpv6UjcUb8Cxad8x4Zh3jEYaB9zG4MZOHxhb9dKCTsS395uOPWh/GYOM/dOZeJ5og/uYoDYPSQs8&#10;UNJYjHJpXOaNJwLbUdlRi4yaLEyd4QuVFfHtbjI5QjbMQuPzSBHf7kDQuWp8EYlFi6cyMZx3bj8F&#10;i+2PWIBHz839zxuNu1BrvC6t3wa/+KWqoxoZT0oxMzgISsWnN5u1aumhcs4cjD12FU6iF7pAIBAI&#10;BAI74X+S7iDgWj46Xz3DkYNRAyigS2gV0Hl748dVx1mfVN4mvCNCggf1rF196CwKyyNRYLCNiE4u&#10;dIonbm4TLnSBQCAgaCx80RqF4qooZDtg3/N7hkgEHzvN5hDnEP4cY++4hOXi68BL0EydDQ1zn3Pm&#10;fxtDznOdpxpZmRcBdHOFTIFgKBjGAnokWkx7UdOa1ScBfcGyeVYL6PrESCGg25iKrgbcPL4Th7Tm&#10;uHWecNYfqB/zqcWueFyzmYnJvGtrOMN6oXdFI/dIAOv7zTtGIwkqIjjk+RXKb64YkbH+tqCn//nZ&#10;lTLEy213jZED/fz2RShrMUjj+uA5WAVmaC48dukYa3HSk9LSG+RalimUOHh4OX75h0h7cCQ6uqV5&#10;I28TvH01VhVM9CCXzvvFa+vQ+lKPxtYdeGRMgMFYJK3fBv/eJRd6zcsGxF0/C5lWKz08froXula6&#10;xiftjIGTiHEXCAQCgUBgJ/yfE7exp6gC3Z0PsHbNYih6a01jJVqNO1SzVmF8yG04h2b/ZSPeUaEo&#10;94kbMrHvwnHmQrdZP/QSPRoeCxe6QCAQECSgVzY4nnhOcwRFtx+4eBRfvptDeHOLvcOi20MzIZ+3&#10;ccii20lXc1e4YcuWYPz7Xy3A21aukCkQDAXDVkBvbdfD2B6D2tZ0lFjhYCLxm0T0NSGroKSHDAti&#10;SOkm99AqEREXLgR0G1PeUYes20dwZMr3TCDjCWf9gfqgU6x0bUEQOn8dmQKO6WU0nj/diQvrlIhz&#10;H8s9TiOFONk4XAz2QIsxkgm/vOMlsI6OV7GozlyLY1O/tV3KgWYiEj3G487pPWb3uRiTBxVDWxWb&#10;B0N3bIBK/Qnx8QPIuTx1micyMsPQ/VqkPTgSdL5iYhdD5UEFhfzz+zHovAfM8UFhySYYu83x7fXG&#10;8yg11nKvr8Ggqp16oRuweGMI5L308NdK17h6dgDrhS5c6AKBQCAQCOyB/+fYbVx+/ADGp6WYMsWr&#10;TwWOn0YFnU6Jn5ftw5iwnGEV5e4UlIXJW2/jfGYc7toqyl2isEKPpha9cKELBIIRDRUSPXgaZR4b&#10;HUxApzniXEY83LbdluYOx50HyX3+46qj0HlqodEO9HrBMsh9PsXPG1WVWSK6XWB3DGMBnVzoEWho&#10;u4ESKzZhewT09RvXWiWg042+YXswDCazcMB7bUH/ITHsXk0ajge4s4hmrnjWT+LkY1F8aSkT+ihu&#10;mndtDXc6Xsei7m4QTsz4YcQ60UncPeLzNaoy16LjjXQtcI6TwHo6f92HtJip0n028AUwPVA6xSGv&#10;r5Ffeg2GrnruWCKwHVRIVvDoLgLmzTTPo5x5kwfFeK9cPR2tJuHGcCQovv35Cz2Wr5gGmcLygoke&#10;XN3l2LJ9Dp62hOO5aReeGGNRacyzKj3IFtS9uo/9V89A6eUJNUW1cz47Q6OETqOAa+h2OJ3O5m5i&#10;CwQCgUAgEAwWfz95B1+lpEvrqSfIuJbCClppz4q7jukP1B/VbyYmBl6FS2gOd1PeEaEo988Cs7H4&#10;wEXWrzy/PJIrnPQXinInxyVvfS0QCAQjAdr3aWyOYgVFDtf33BCBzKJo+MdcYXMGbz5xBFxCszEh&#10;+CY8pi+AVjs00e20RpEp3LEvdhdzngv3ucDeGNYCuql9F+63Xe2TgB64aZ11Arr0u4Gb1wkB3cb0&#10;RDEnL/dGgmIMVzzrLyTspcdOR2urfuS6jjv2oOOXvSg6v5iJkSOxH3q8Yhxu7PRGm3QshPt8YKC2&#10;CE8btuL0EjebCugJqnFIWeGFoge5MHQMnYt1pFLVWYsTV07A01sLDwvdLjSPknuZXMzdr2OEE8OB&#10;ePlLDNIzQuE3Vcfc5Lzz+zF6zvuJlJUwvZYeno078cB4csjFc6JCWgvebanCouB1vbb00XpID5oz&#10;/fHlwfP47JQQ0QUCgUAgEAwd/3XiNubeKED3mxeI2BkKuUpmGwFdp4JWK4ds/jaMCSPxYPi40EeH&#10;ZGK89H30Z0+yKHeeeNJfSCyi+N/HjXpRPCwQCEYctOfT0haFslpzQRFvnLRXqLCqUCL4yGmMDspy&#10;3L7nNG+H5cB9/hbopPl8KKLbCWozM2vWNLxoMgj3ucAuGeYC+m48aqMYUMt7aJL4TfGz2/ZstbhS&#10;t0dAD9q8XgjoNoYJ6BIXdi5hEc0HNXwBrT/Eq8bj7CoZmp7uhKl75MYIk2hs6opmxQTx8nFI1Ezk&#10;Hq/hSLxyApLn/oRH1ZthejnyeuHbis5f9qL44lLp3p3A2iXwjv1AEO82Glf3B6PcKPqfDwU1XXXY&#10;FL4RSqW7xZt1KrUKXj4aZGaFofOliG93FOiht/tNDPbuXwJ3ufXuJrlSgdlzfVBYuhktneF4ZtSj&#10;ypg5JL3PeVR31uLwrfPQeOvg8al2BNL31qnlcN2wFV+kZsIpJZ27oS0QCAQCgUBga/5/R29hZ7EB&#10;bzruY8HCAGm99elCwP6g1UrrI+8p+HbtKTiH5XI36B2VUYFZ+HnrHZxOS0BRpW1EdBKNSqv1MJoo&#10;QZO/3hYIBILhCI15NQ/0yHEw8ZwKn2hOiD53AhM2ZOILB+17TjiH5ePHVceh9fYyp8pw5vnBwF3m&#10;inNnjwBv2/H2rZErYAoEQ8kwF9DD8bjtzLuNUMtEbSagm6oQGR8BD43S4s1ghfRQsmzNkj96v/Je&#10;WzAASMeWYtxvJ+8y9zlWD7wzmoS9Iz7f4FHNZuaY5V1bIwUS0FtehOPmLh/WD3wkiOh0/um6Krm4&#10;xHz+R2iM/0BDxSjN0rV0bbMOB9xs2Fuf9T8fh8zbx1Hx6gF/HBHYjIr2amTX5WDu4jm9unbfh5zL&#10;ixb7oelFJIsE511DAvuj61U0aup2YsnSvsW3y+QKbNg4Cy9MEWgy7sJD42FW+GLpms3WVEhruhJj&#10;FRZtCoVS1UucmVoBTz8fTDyQis9O53A3tAUCgUAgEAhsyajkO/j78du48vgBirLOw8tbw4wh3LXL&#10;e3hYWQT5PjqNDMpZKzFhQxpcQrO4m/SOCEW5OwVmwX/PFaTdjbFdP/RSPeof62ESCVwCgWCEQOPd&#10;w2d65L0bA3ljo11SHol7FZFIvnUQk7bdxigH7nvuHJqLicHXoJq+AFqN7QrtesNV5oq1a5ehq6NB&#10;uM8Fdsuw74H+zJSEcmOZxW6mHgE9Ii7cKgGdhIL5S+ex3q9CQLctFMmcd/cCDnl+bXah80S0fkAi&#10;caLHRJRdXW52oI9wAZVE5MbHO3Ax2AMHZGNt6hweahI1XzK3ffreaWYH/ghOIBhoOt7sRUPxBhz1&#10;ofvWdtdQgmIsTi5Wo7DyJgydov/5YFP7qgHHLx+Hp5eGzaG8+fJD1FqKbFJi376l0rwt3XeiZYLD&#10;8Oa3WNy4FQSV2pzGwzu/H8NDQ7+vxomUVTB2RaLRuBs1xtt2Ed/+PlXSmuP03VtQT/GBupcNaK2H&#10;O+SrA+GcfAdOqRncjW2BQCAQCAQCW/F/TtyG/HwWGrubcTghEjK5G1tr89YtBK3faN3u7aO1eO3+&#10;F7QK6Dw1+GlFApw35nM36h0VZ4nPA7MQevw0Csr1yDcMfD/07FI96/9LfYBFlLtAIBjuUIrdsxdR&#10;KKw0j3+8cdFeoUKq63n74BN5naWU8OYNR4CK3cZKyBZsY0VwQxXdrvSg/RUVMtIvAHiJtxzhUiCw&#10;B4a9gN5kOgKDsdgqAZ1E8LjkONb/3FoBvbTFIAR0G0MC+r0HeTge4GYTAZ1i4RM8JuB2pK/of/2O&#10;9texrHf1pRA14oaxiE59uS+sU+FF024R3T6AsHtIWiSn7zW3A+Ad+4Eizu0LXIxcxQqhqN0DbwwR&#10;2Aaa+yo7algLFHf3ydy5kgfNs2qNB/LyN6JrhKd+OBKUFPDCqMfOnfPhJrfefU5FE7PmeKP6wQ68&#10;MO3CI+NBab1WYjfx7T1USGNJcUsl1u7eBpnclftd/kC6lnVeGnwTewyjTote6AKBQCAQCAaX//fY&#10;bSzKKEZrcx3WrlkqrdE+vXYhd/oMfz/E7duNhYtmQ9bXuHeNDOrpC/BV0DU4h+ZwN+wdFYrn/WZj&#10;Og5fO2S7KPdSPSoazGtsEpc+XHcLBALBcICKhKjveUm14/U9L6iIkD7zHiw6cBFfBGWxlBLenOEI&#10;uITl4qeVh6D10kGj7WPx3ADgJnPFtq0h+Nc/XwBv27jCpUBgDwxzAT0SL0zxqDQWWu5oajVH0CZd&#10;TYLWU21xFa5CJYP/7Om4U5bG/p772oIBgSLcSxqLcDZsNhJVthHj4pXjkbrYFS0tEUJAf0f7q1g0&#10;PtzO4tzj5WORoBr4+PyhhHrfH5vyDWpz16PjTSz3GAj6Bjn5H9duQdLsH2163VD0/iHtRNw5vxeV&#10;rx5yxw+B7ajqrEV6ZQbmUXy7FZtvJKQuXTod9x/uRucrkfrgKFB8e2n5NvhN82Q97Hnn9lMoPVTY&#10;sm0uGlvD0dS2C3XGq9J1ROsn+ytCrO2ux4V7t+A1YxpUvUS5a9VyqBYuxpikm3BKES50gUAgEAgE&#10;g8Moic9O3Max2gaUFlyFp5daWqN9ej9LpnDHgoWzYWqtRWpyAlvDm1OC+L//cVTMxea6KBxjQrMx&#10;ZoPjxtry+DwoC+pdN3Etd59NotxzJCjK+HGjENAFAsHwhMY2orIhyuHE8/zySOSXRWHDsdNwCcnC&#10;6BBHjm7PwZeBl6GeGgDtEPY9V3rIMW26L2qrckV0u8DuGdYCemt7JIzte1Hdmm+1gH7i8gmrBHSl&#10;So7ps6bh+r0bzIHHfW3BwNBaiXLpPF0/tAUJijFcIa2/JKrG46jft6grCES7cCL/AR2LluZIZB+c&#10;hUOe5kID3vFzNCi2P14xHpkH/GGi/svioXXgkI4lufnzT8xlyQ6U8MA7BwNBvMwFJxfrUNSQhXKT&#10;GIcHm9qXDUi9lQoPtcKqOG9XdzniE5bC1BEtYgsdBHrwpaj9I0dXQaa03n3OokQlbtwJRnPHLjwx&#10;xqHCeNfu4tt7MEjrDmoJselAFNzk7sxpzvteDGndqJN+TtoRjc/OiF7oAoFAIBAIBoe/Jd3BV6cy&#10;UNr8FKeT4zHJ9Wf+WuU93OVu2LIlCEAXOtrvY8WKhUxU5/1ur2ilNaHvFHyz7hxcQnO5G/eOisuG&#10;TNYPnZyHeaVRTEzhiSz9gfoAF1fr0dwmRHSBQDC86BHP6x9L45001jlS3/O8d33Po88lYbw0H3we&#10;7LjiuUtoJsaFZkMxJ9QsnluxbzeQqCVorZEQp5fWH+3AWyNXtBQI7IVhLqBLA3R7JGpas1FitFxM&#10;IQH8auFV6Lw18OilYrcHqpyZ6u+HS3mXhYA+CFR0NyArLQkJyrE4qBn4OHESVA+qJyL3SIBwI3+A&#10;qTuG9UUvv7EcyXN+QpxsnMO70Sm6/eJ6FZqe7GTfj/e9BX3D1BWNF427cHqpGytS4B3/gYDuWSqo&#10;uRS1mo0PvHFDYDsMbdWshcn26K2s1yJvnuRBDhfqmZieFYrXv4qx1lHo6I5G44sILF4yVVr/WB/5&#10;RX8zf6Ef6h7tQEvHLtQbz9mteN5DdWcNbtXmw3/RfCh6SVjQqmVQzw7AxCOXMCo1i7vJLRAIBAKB&#10;QDCQ/N/jt6G5UYAXLbUIC1kNt17W5MwsolXhzKlDzP0FdOP2zdNQS+tzinbn/U1vaDUyyOcEYWxo&#10;Jtuo523gOyoU5e4cnIXdp0+iuDIceeV8saU/UJR7zUPpGVoI6AKBYBhBRolHjSRGO5Z4TtB4f/Tm&#10;IXy/KY3NA7z5wVFw3liAn5bHsz04VvTGmccHA7lKxtrGvGiqZAI6T7AUCOyJESCgR6C+7Y5VG7Mk&#10;gGc35MLLV2exgE4PGN6+njhx+Tiqu+q4rysYOAxd9Sgov47js1yZW5wnqPWXA+5jcSlYbb6OOkSM&#10;+/u0dUWzSPcn1Ztxc5cvDnt/zYR0R+yNTqJuUsCPuF8aKoolbEDnm70oTF3Arg1bXh+JHuNx2Oc7&#10;ZN05BkOHGIMHm6qOWmTX52L2vJlQeVi+EHeXy7Fi5XQ0PNiNzpcivt0RoMpx6lV/8WIgtNI57EvM&#10;p0yuQMKR5XjethtP2/ah0lhg9wI6Ud1dj/DjcVBK31n9qYQi6oXuIYdbyGZ8cSoLTsnp3I1ugUAg&#10;EAgEgoHASeLvSXegL6lGdXkmvLx6T1NkJpBpPnjyqBiASaINv/3SiO3bQ/rhQldC56nFT6sOwzks&#10;j7uB78g4BWfhh03pOHHzIIqqwrliS38gYanAoMfT50JEFwgEwwMay5qa9bhb4XjieVFVBM5mxEO5&#10;4xZGBWZx5wVHgebkb9efh8ZvJit2487hgwCtTRQqOTLSz0vrji68/b2VK1gKBPbEiBDQ77ddg7mn&#10;pmV9NZmAXm+9gO7lo8PRC0eEgD4IUDxzybO7OL9lAeJlzlxBrb+QsHpyzk+4X7oBplfClfwXOvaw&#10;SHfqEV+RthrnV8uRoBzvUG50Osck/tPn73izV0S3DzCml9FoerIDZ1fIcEA2lnsOBgpKo0hZ4Y2y&#10;5nKUt9m/EDesaDXPm6m3TrE505r4djd3OfbuX4JXv8SKqEIHgarH29r3YENYAORKiuvnn9uPQb04&#10;/aZ6IqcwDK0vI9BgPOUQ4jlRYapG7uN7CFi2GMpeeqFr1HLo/Hzwzb6TcDototwFAoFAIBDYjlEn&#10;0+CUmoH0B3U4fjgG7nJX/vrkPWgDmyLb//FbIxPPaYOQNrPr6/Ph4+PZa//0j0G90JX+SzBuwx24&#10;hDq24MCDRBTP8Bu4nmebfuhZJXqU1+lhlNbd4vlIIBA4MjSGNRvN7Skcre/53Ypw3MzfB//oq/g8&#10;KAsunPnAUXDZkIXxIWlQBqyDVtPHArkBwlU2GVs2B+Fl9xNpzSHc5wLHYEREuD9qO/9u89NyAT3v&#10;QQFmzplucXQVCQbEvuN7US3igweBSlS8bMCNYzsR5/4FV1DrL+SWTVCNx72zi9D1z/3c60tAC6I9&#10;THx+8Xw3suL9cdj7K8QrxnGPqT1B/dsPeX6FojOLWcw4FQLwvp+gj0gL5Y5f9qLw1EJWWMHaInDO&#10;w4AgvXaiahxuntiJclM1ytosG+sFA0O5qRKlRgMCN69jThbeHMlDqVZiip8Od9JC8fKNKFJyFLrf&#10;RCMndxP8pun6FN9ORRNbd8zFkxe70GSKRqUxV7p+qrjXlr1RTsUinbU4fP0UVJ6aT7vQJbQqNyiX&#10;r4TzydsYlZrJ3fAWCAQCgUAg6C/kPtdcKcD9xmosXzSn1zU5FUCSgH7i2H78/rsReGt2gL1924Z/&#10;/sOIg4l74Oo+mfu3vaJVwlOnguviKIwZhi504rPALCxJuICckj3INwxwP/R3Ds2Gp+8EdCGiCwQC&#10;B4TGL6MpCoY6c3uKnA/HOjumwBCBrKIYLNx/CU7SeO8S4th9z13CcuG6ZA900vw8VH3PCZlKhqnT&#10;fFFTlQvg5V9ESoHAXhkRAvrTthSUG8tRaqGAXtFeg/xHhZi/ZLbFUbQknqukh5TIhAjUvBQC+mBQ&#10;+eoBMm4dwSGvr5Coto3r+YDbWFzf7gVjayTauoTA+imoLzpzo99ZhZT5k5i7O8HDPt3oCcoJOOT5&#10;JYrOLBLiuY2g66Hx0XbmPqd4f955GCgovv2Y/yQUVt6CoaOWO14IbEdFezWyarMxfeZUK+PbFVi7&#10;bgaMbWZXM+86EtgXVDDVLo2Z4REL4S6zvmcWi3vXqnHm4lqYXkXivjFFuoYsTwiyB+h6L26pwKpt&#10;GyHvrd+/tDakh9Sfd++DE0W5p4god4FAIBAIBAPP/zlxB1FFBpQWpcPT811/c97a5B30756eGjTU&#10;FwLo/NMmIbnQW5qrsWjxHGm93sta5yOweFi/mfh6/Xk4h+VyN/UdGeeQDLgEZWHryRQU2aAfOolN&#10;hRV6NLWIKHeBQOB49KRnVD+IcrjY9gJDJPKln+uOnGHO89HSeM+bBxwFmoN/WJsCra8fhrLvOYtu&#10;V8pw9Mhe4G073v7+Z4FSILBnRoSA3mQ6CoOx1GKH0x8C+tI5VgnotJG6PWYbal/d576uYGAp76jF&#10;vdo7SF6qQ7zchSus9ReKI0+a9QPul4UyNy3vGhP8B+qN3vE6Fk8atuLGTm92DMmNblP3sTVovkSc&#10;fBxO+H+PkotLmXBOn5n3XQT9gFIJXsWy9IZ46Xhzz8UAkiBzxqXIlShrKTc70DnjhcB2VHfVY9/x&#10;WHMSi4X9sD2o6EytQnz8crz8RbjPHQWK2r97bwtm+HtDobLefU5FEytWT0fD0514btI7lPv8fWqk&#10;a/5s4Q3opk2FRy8OL61a+veZ/hh/+BJGnRIudIFAIBAIBAML9T//W1IaMp7dR1z0NmmNJmPrct66&#10;pAf6nZUrFqKzo54boQp04+KF46xljaWpjB+i07hDNn8TxoZR9O3wi3L/PCgT321Kx+FrR1BUGYG8&#10;D0SY/kJxx5X39WiT1uAEb20uEAgE9giNWQ2PzWOZIznPKVGkoFyP7ckpGBuSiS+CHdd5TjiHZmN8&#10;yB2oZiwd8uh2mcIdy5bNR2d7A3fdIRDYMyNCQH9hSoDBWGK5gG6qxt1nxVgXutqqOFo3t0kI2x2G&#10;+l8ecF9XMMC0VqKisw7ndyxFvPtorrDWb94JriWXl6HjTayIz7IEcii+ioGxTY+y68txZrk7O4bk&#10;SOce40Ei0WMi4tzH4vQSV9TmrUf7a7NjnvsdBP3C1B2Dpw1bWRIBuf1552PAUE/AIe1E5GSnouKl&#10;KF4abAxtVShtNmBl4ArIpQUxb27kQdHf06Z7oqRkKzq6RRGLI0ApAXSu4hOWwU0uh5pzXj8Fuc89&#10;NB5IPLIcbS/D8cB4QrqGLE8HsicM0vqjsqseW+Oj4S6XrvtPbVJL/6bTKCBfHwrn1Ax8nixc6AKB&#10;QCAQCAaO/3viDmbeLMCDphosWRgAuUrGX5O8x2T3yTh0MAb/+ifFtpvj29+HeqL/8uYZNmxY02cX&#10;OjndtF5e+HZNMlzCcv60qT9coCh35c5buJAZj3uVA9sPnVyb5Gx/1CjSugQCgeNA49WDZ1Fs/HIk&#10;93leeSSKKiMRfe4ExodkYrSDi+cuG6TPL829bvO3QqeVf3rPwsaoKBVHev/c7MvS+qIDb383/mXd&#10;IRDYMyNAQNfD2B6DCisEdIOpGkWNJQjeEgilynIB3V16CAnctB4VbVUobxU9eAcDEsxupUbikI56&#10;lttGqCPh9+pGLevxbRJCj8WQON35y148e7gd2YkzcTLgR8TJxjJXPxUm8I61TZDei8XJq8bjxg4v&#10;PKnfYk4TEMUQtkE6rlRAkXNoFjvmtj7XcW6jcTZsLkobi1DeXsMdJwS2o7q7HmczzmHKNB+rCs7I&#10;vbx2vT+7ZtpFewyHoPt1DAyV2zBjpjfrX887r5+Czvms2d6orNuK56ZIVBnTpXWZY96ztMZrePMA&#10;eY1lmL9mORTKTxePaDUK6Lx1+D7qEP5+Npe7+S0QCAQCgUDQF/4r6TaW3izBoaPH4OOtMW9Uc9Yj&#10;PajereNKS9IAvOJuFBK0yV1SfAe+UzyltV/fXOhajRweM5dhXEj6sHShu0g4BWYjIPYy0u/FoLBi&#10;4EX04uootLRG/RGJLBAIBPYKtZx43EQx6I4lnhP3KiIRf/koftwkza0OLp4T1Pf8pxUHofPSsYI2&#10;3hw9WMjkbtBHbsW//vUCeGvirjkEAntm2Avore16iWhUt+ZZIaBXobipFKE7QqwS0Ml9t3T1YuTe&#10;z2cx8LzXFgwsJJjdrbiJ4wHuSFCM5Qps/YWcy4e9v8ZDw0YmDPKvM8HHML2MYceNjl924iwk+f+A&#10;eCUJ2hOQqLZdtDu9NrmfE6T3OrVoMkqvLme97MU5tC0m6fg+qtqEk7N/NAvonHMzUFDRTKJ6PO6c&#10;34fK1w+5Y4TAdpRL1HbXIzwu3NwLWsufGz+EIiXJgX7+/HrWT1tsBtk/ps490sPwHsTFL4NMYf3D&#10;l/mcqxAVswgt7TvxsPWEdP0YpOvI8eLbaX1X0lyOoxePYmfMdsxavggquvZ7qejWerhDtWAhxh27&#10;ilGpWdwNcIFAIBAIBAKrSDFHuH8bnQut/ypoLIhodZO5IiRkDTrb738yRhXMmd6MaP02yHopFvw4&#10;Smh1akxato9t5vM2+R0dEtG/CMrC2kNnWd9c6p/LE2f6CvVDr3mgZ89MIspdIBDYK+3SGNXYHIW7&#10;FeZxizee2SPUfqO4Khwnbh7Cz5vvwEkaz6NM7a0AAP/0SURBVHljvSPhHJqDb9ZfhGbqbGjUfZ2/&#10;Bwa5UoaAgGl49KBIWnN0/mWtIRA4AiNEQN+DulZyOlm2UVveZnaP6xP1UEg3Om8A4EEC+vylc5Fe&#10;mYHKDiGgDwqtldL5qsLp4JlIUI61jdtVQ0LseOQnzYWJiT3DxC1JD2DveoC3kQPUliIW9cR+s5eJ&#10;MI+qNyErfiaL96bkgJ549wER06XzT8I8veZB6fWSAn5C3rE5aHy8A+2vY1m0OPfzDRF07NupwECC&#10;ri3e7zgU0jVE3+V2lJ/5HNjYfR7v7oyU1VNQ8rRQ9D4fAqo6a5FZk8XmPTnFWHPmRR7U+3y6vxdq&#10;63eg65VI9XAEOrqjUVWzAzOk80bnj3dePwX9zdRpniit2IQX0nxQbUxzSPc5re3yHhRi465Q6DzV&#10;cHebxMRzrf907vf+E1oVdCp3uIbtwOens+GUQnHunI1wgUAgEAgEAktJlTiag2/Xp8DDc4q03vj0&#10;/hUVNbq6T8bJE3EAXuL33/kbhT2QC/3Zk1IEBEy3KBqeh1Yjg3rqbHwVdJX1Y+Vt9js6o0MyMC4k&#10;E+GpybhriGTRxTyhpi+QEJVv0OPpC3M0Mm+tLhAIBEMJOc+bmqNQVOVose16FFWG41RaAmvHQeI5&#10;FUXxxnlHwSU0C+M3pEEZsAY6jeWmUFtAiTcKpRxXLifh7dsuac0hotsFjskIEdCjcL/tKizts0kC&#10;OsVz7jm0xyoBneJr/QOm4XLBFVR31XFfWzDAkIDeXoPrh7eyXsgkdvOEtv5CouzppW5ofhFhFpv/&#10;cp05FuQKJ0G71aSH0RiJ1jY9+//sv9lQSCfBnhzgJBY3Pd2JovNLcGWjFidn/8QE9ANuY5jwmuAx&#10;AYkWnstEEs2VE3DAfaz0t2NxbOq3uLBehcKU+Wh6skN6L/N72rRAwEpIOKd4e3LEU8T9swfbpGsr&#10;nP03R3bId/66D1VZa3HU9xt2z/DO10DB3Oce43Dj6LaB6X3eSs7SaoZowWEZtS8bkHTtJFQeCrYZ&#10;x5sXebjJ5NDvWQhjm4hvdwTI7UKFDnv3LYVSpbTqXPdArvWd4fPwrGUnnrQde3cNOdZ9RuNCufSZ&#10;t0RuhkLhzq579v2k46H185Xw6dWFrlEroPPzxlf7kjDqVDZ/I1wgEAgEAoHAQpxOpeOLA3lwnbsd&#10;nsx9/um1iEIlx7TpvigruQOgm7tJ+D7kQieX+tkzh6X1nHuf1oGsiFCrgNuC7awfK+vLytn0d3Sc&#10;gjPx3aZ0HLl2BEUD3A+dRPTS2ii0SM9PIr1LIBDYE1TY86LVLJ47kvOcIPH8fEYcVLtuwSnQ8cVz&#10;BvU9X7IHOloPaK1vvTdQqLUecJe7YcOGNXjZ9ZitJXjrDIHAERghAroej9rOWy6gt1aiwlSNhFMJ&#10;VgnotJnqN80HZzPPoaa7nvvagoGHBPSC8hs44vcDEj1sExlNgi7FuBtur3JogZPc8+2vYtH4aDvu&#10;nl6IO3um4naEL+5E+SHv+FzU3wseFDc0Cen0HnQs27uj8cAQhntnF+G29HnOrpDh2LTvmOv/gOsY&#10;xJEwLhuLeHKqS/+N3OpxsnFMMN8/2UX6/+NYf/XLGzTIORKAqsw1aDFGouNNLHsPe0sMaH8dg+bm&#10;cJRdW47bkVNwfrUC51bLcWObNzsGT+q2oOu3few82JPo3xsm6Ty2tETg6mYtO2e8+2ggocSJpAUq&#10;FDVkotzUdycrteyoednAxuyCR3eR/6CAFUCROEzzAO9vBHTcqlHUVIKQbcHm+HbOnMiDNt08NB64&#10;k74Br36J5V5LAvuCxPOSsq2YOcub9THnnddPQe5znyk6ZOaFwNhN7vMMaT3mePcW9fs/k34WPn6e&#10;bPP5j+9IG8leGmj9p0HjTf3FPr2xrFXL4bFoMcaduAGnVOFCFwgEAoFA0Ecovv1kFr7ZdhmaqfOZ&#10;05u39ngfN3dXbN28DkCbBEW08zcK34dc6J0dDxAYuAKu0t/zXrdXtHLofKbg+zUpcA7L42/6Ozis&#10;H3pQFnMxns+KQ3FlOFew6Svk6qx7ZI5y563ZBQKBYLAh8by5LQrltQ7Y87wyAtdz98Mv6ipGDQPn&#10;OTF6Yz6+X50ErY+PtCYYWvd5T8FeVUWWtI4Q0e0Cx2YECOhRaGuPxFNTMsxuJ8tEdBJPzmadZ7Hs&#10;llbZemiU0HqqkXQ1CbWvBsARKbAIim4uaSrGqbV+SFSN44pt/UbzJeIU43B9uycTCh1J2PwD6TOT&#10;eF5bEIRzqxXMrd0jUB9wG4v90v8+PuN7JkK3GCPM35P3OgMNifovY9D1j31MUH9avwW1+YEw3F6J&#10;e6cXIXO/P9L3Tse1zTpcXK9kjvW0PVORecAf984sQvnNlWgoDsGL57uZ8EzCOQn03PcaStjxj8Gj&#10;yk24EqZhaQl03KkggKCCACoGOLXEDdkHZ5l77lMxQ3eM3RUBfAgrzJA+a9G5xValB/QVen26128e&#10;347yjlqWRMEbGz4FFUpRBHnBo0LEp8Rj0+4wLF+3DMvWLkXYrlDsP7EPOQ257HeYK73N8Xo125Kq&#10;zjrcKL4Jbz9PqKW5jzcn8iAn8vIV01HXsEvEtzsAdG93SnPBrt3z4Sa3vvc54SZTYFfkfDxr2YXH&#10;Jsd1n9O6MPxAONzdJ0P94ffUSus/Xy9op/v1KqCbXVhKTN60C6NOkws9/a8b4gKBQCAQCAS94JQq&#10;cTQXPy5PYGuL3tzntF5RqlUICI7G+YJH+PWXZiai423vkaoU956ZfoHtd6nUfVsTajXuUMwJYtGy&#10;FDHL2/wfDny2Pht+UddwI38v7lYMnBOdxKmC8ndR7kJEFwgEQwyNQ0w8rzOPTzmcccteobH5et4+&#10;+MdcwWfDxHnuHJaDicHXoZq+ELoh7ntOOppSJUfKyXhp/dBu0TpDILBnRoiAHoEm02GUsR7olgvo&#10;53MuWiWgqzUqeEgPE0cvHkXdayGgDxoUq2qqwq3kSCTIXWwW404i58k5P+F+eRjrp8271uwVs/M8&#10;BjW566Xv8DOLSueJnGYxdxxu66cMroj+jh4htuOXvUxQp0hz9m8mPV407WaR7M8bd7Ho8zbpv3f+&#10;Kv3eO9Hc3nuI0/ciUfz0UndWrJDo8dfjT3H0PT3hk2b9iKw4f5YWwIR0Cd7r2gOs8OHBNtbXnj77&#10;h99roElUjkPSfAWK6jPNAjpvXPgEhrYq1suY4scXLpvPxng3t8mQyd0Y9L891ErMWzwbsUeikV6Z&#10;AYM0zpAzncR03muOJKiYgJz71OaEFsUWz5FaD+n4KnDw0DK8pEIXsfFj97z8JRZZOWHw9dP1yX2u&#10;9FDCb5on0rND0PYyClUO6j6nNIp7jcVYF7YW7rKPO6/Iha6d4gtNL0Ul5EKnyPdvY4/D6XQOd1Nc&#10;IBAIBAKB4FM4pWZiXNRtqGauhcaCzXKtVgG1zxSMX3sJLsFZWJZ4D/dqH7KNQcCIt5/oh/72dyP+&#10;+c8WhO/exCJZLV3//wmtEjpPD/y44iBcwnK5AsBwgISYzwOzsDT+ArJL9qBggEX00ho9jG3CiS4Q&#10;CIYOGn+opYRjOs/DcT1vP2aQeL4+G84h/LHckaCitHGhmVDMC4OOpdH0YY4eQNwV7li1cjG6Oh8w&#10;AZ23rhAIHIkRI6C/MCWg3GiApQI6xfleKbgKnZeaCeO8AYGHq+vPiDsVj4ZfHnFfV2AbKrobkF98&#10;BUd8v0Wih416L5O4KRuHrMRZ/xF2HQFpYUMCc11hEOs1Tt+B+/3eQQ5iEnEz4/zNovRQup+lz05u&#10;chb53h3NRGT6ST3E7dJl/hHoMzc93oHzaxQ44D6GXUu8Y98DFTeQEJ2gGo/keT/j3umFrICAetTb&#10;mxudFT10xyBj33QkkHhuY/c5kSAfg5tJu2Bor0GZlc7w8jZzi44TV5MwZZoPE8MoPeTDsZz+G7Xw&#10;IIfFVH8/RMZH4EbJTRQ1lbICqco+CPfDBTp++Q8LMWdhwH/6QFuAQqXADH8vFBRuRvcvjtsKY6TQ&#10;+TIaL5r1CA2bDTe59fFf5NKmxIHtu+biRfsuPGo9Ll0/5RKOl+ZA93tmTRYWr1zICit537cnyl03&#10;Yzr7yf2d99B5uEO1eCnGJt3EqFNZ3I1xgUAgEAgEAi4pEknZ+Cb4NHSe1EKm90JHrVYO1Zz1GBOa&#10;ic+DySmdhq82ZiLyfDlaTI1mNzo+7hKjKPf62nwWyfqndjZWQDHzHtPmYkLwzWHtQh8dkgGX4Exs&#10;OHYGeWVRyC+P5Ao51kIOTxKrah+aBSzeGl4gEAhsCY09RlMUqu5HOVzPc3Ke3+gRzwOzhoV4PmZD&#10;JmuN8tOy/UPe95xQqhXw9tairDRNWjd0cdcTAoGjMWIi3JvbD6CqtQClFm7cUq/L60U3MGWaN3Mi&#10;8gYFHm5ukxCREME2Wynyk/fagoGHeiCXNt7D+S0LEO/uzBXdBgISlk8vc8fT+1sdxoVOse2Pqzfj&#10;9BI3FhPO+14fkqCcgCPeX6MmLxCdv+3jvq7Ackj4zj8xl4niiWrLBWYmpCvHs37wl0I8UFcQxNze&#10;g50M8Ck6pPugriAQx/y+YYI/73sMJCSen1zkgXu1aTB01XPHg09BLvLz2ReYeC5X9N4nkNwVJKKT&#10;mO49RYfQHSHMuZ5Vm82SSmiuIEd7WSv//YYjNL8dPneIHR9e8cHHIDE1NCxAeuCiAhj+9SSwD+ih&#10;mAT0S5cDpTWQ+T7gndNPoVQpMXU69T7fgOZOPaqN6dIarIZ7Tdk7dJ9fvXcNM2ZN/XTRiPSwqp0+&#10;DRr/6fx/fx/pmOo0ckzeuAufn8qCU4qIchcIBAKBQGAZTqnpcNmfCfnC7cxZ3rvbTAWtxA+rjsIl&#10;LJttuDOndFA6Rq1Lg9+eAmSU3Qf+1+xG520eUgQr9U4/emQv5FakUP0J6W+0OiVcF0cO217oPXwe&#10;nIlx0s89Z5NQVBmBvIES0Uv1yC/X43GTuf8wby0vEAgEtqBHPK++bx6LHC22PeNeDPxjSTzPHhax&#10;7YRzWC6+XZMCre+Ud+sBztw7SNC6gExKRw/H4n//TS1i2rjrCYHA0RgxAnpL+17UtmZZHB1a1VWH&#10;m6W3MT2gl83SD6D43w3bQ3CvsQQGk4j6HTwqUfHqAW6fiUGC3JkbTz4Q9DiDiy8tNbuB2+3bBd3+&#10;MhbPHmxnzmcS/3nf6WNQf3SzC93sAOe9vqB3SOx+/nQnLqxTWVzA8BfeRbsfm/YdCpLmsUh7e4h0&#10;p4SClpYIXAz0QHwvyQYDAd1/CQoX3Di+CxXSGG1t7/PK9hoUPr6H1SGr2FjNG8M/BYnF9HfUqmPR&#10;8vnYtW8XTt0+haJnxawnOL0+ubMp3ny4FlDR96qQvt+aDaugUFreV8lDo2I9E1NPrUX3a+E+t3dI&#10;PH/4eDfmL/DrU3Q7bdIqlEps3T4XL0w78LD1xLsUIMdznxOUOpEq3esqDws2i2ljOGAmtN466f/3&#10;8rsaBXS+Xvg+5iicTmULEV0gEAgEAkHvpKRhVGomvtx+FRrfGRZtmGs1cmimz8P4oBvvBPT/bL6T&#10;iPC3dWn4akMmYi4a0Nn1HORG50W6UxRra0sNFi+eC7my92JkHuRCV/tOwzfrzsI5NOdPn2W4QSL6&#10;D5vTkHD5KO5WRA6YiJ5dokdJtZ5FKAsnukAgGAz+4zx/J547kPu80BCJ7OJorDx4DqMCh0fPc8I5&#10;NBtfBV+HesYiNrfy5tzBxE02GWvXLkNnB0W3d/xlDSEQOCojREDXw9geg/rW2xYL6OSwy6jJwoJl&#10;86BQWT4IUbTnquAVyHtYgAqKF+a8tsA2GDrrUVh+nfVGTlCM4QpwA0G8fDwurFPi+bNdrDc175qz&#10;B0i4ffE8HFe3eCJOZr1wS4UC51bJ8eyhuQc37z0EvUMO7fulG5A85yfm7Ocda0shN3qiegJu7vbB&#10;swc72HkZskh3im5/FYOCk/NY24QETk/3gSZe5oyUlb4oflwAQx8i1Kk1x9V719lYbU1rjg8hAY3G&#10;ehLTfad6YdHKhdgcsQnJ15NR8Pgeil+UM6GZRHVyvFO/dRLWh4OoTsfwfNZ59r2VHpZHN5IIO2++&#10;D548C0d7lyjIsWdoTOmQ5o+4uGXsvFHvet45/RQqtQrTpnsi914oXkgP2o7sPqdCnZqX9Th07jDc&#10;3T/e//wPSGD39YRm1iz+v3+A1sMd6nnz4XL8uohyFwgEAoFA0CtOqdLPQzlwWxoBHXum6e25hlJv&#10;ZJi0ZA/GfESwHitBbvQv1qdjacJd1D5+wkR0cp3/aRPxd3KhdyEz/TyUKjk8eiss5KKCp/R5ZHPD&#10;MCYsFy4bMrmfabhAYo37tttIvZOAospwrrjTF0i8qqEod1q/f7CeFwgEgoHE1OM8f+B44vndyghk&#10;FUdj9aFzGB00XGLbzX3Px4RmS3PpRnPf8z7NxwMHtXbxneKJ4qLb0jqh+89rB4HAwRkRAnpru57x&#10;sO0SSizcwCUBPbs+F0tXL5YGActddiS2L1g6FxnVmajqg8Aj6AetlTB01uLC7hWId/uCK8ANBMwF&#10;q5qAqow1LB6df80NIdKihoTNFmMEru/wQrxiHA6q+d/lU1Av9BMzv8fDqo0OE1dvj1C//Jrc9Tg6&#10;5RskDoDITGI1nVMqbiBhvvPXoemL3lMYcGLmD+ZrjPNZB5JED4qHn4g7Z2NQ8fI+fwz4BCReE7FH&#10;Y1gce58iBz+AXoMSSkhMJ2eqp7cWMwKmY03IKkQf2oOLOZeQVpWJ3Pv5LJWkShqf6t88+CP6/Q/X&#10;ervZtc773PaEuSigFjuit0Eud7P4GJIAq/RQYu++Jejo3jN0RR+CXqGH4pe/xCI/fxP8puqgkM4b&#10;75z2hrtcgdh9i/G8dScetR17dw05ZgEJtWgobTZgR8x26V63MLmC+o5N84N2xjRoemtzIN1HOrUC&#10;ssAwfJGaDqdk4UIXCAQCgUDwcUZJ64Xxkbfg4bfAMseZRg7tlOlmx3dYLncjvofRIen4+7o0yHfk&#10;4HZJw7vY9j+L6ORCf/PqKTZtXA9X98n89+wNrQJaby/8sJIi5Yd3lDvxeVAW1Dtv4krOPhQPkIhO&#10;AlZeuR5PmvRM3OKt7QUCgaC/kPOc0i4cMbb9XkUEMu/FYNVBs3g+OmR4FGxR4RnNnT8t2wftuzmV&#10;O9cOEj0mo0MHo6U1gglvf+e3ghEIHJURIqBTRWY4nrSdQonRMlGbBI17T4sRvDXI8g1TCeqVO93f&#10;DzdLbjHnIe+1BbajorsBmTcO4Yjvt+8EN74Y1y80ZifwlVANjK16tNmZm5Kc5xS5nrF/BhP6+yra&#10;MgHd/3s8rBQCen/oeBOLhuIQJM36gZ0P3rG2FirioFQB6mtfnbOOvQc5wnnvbwtM3TEsRv76dq++&#10;x9JbSYJS+r5BM1DaVITyPrTHIIG6+HkZQrYHM7GbN373B1oweqiV7LXNKNjPqdN9WSFW6I4N2Hdi&#10;H5JvpuBMxllcKbyKW2W3mbie//AuSl6UoeGXR0xg5/OQ/ax52cDc7LzvaGvIhXuj5Cb8Z09njhPe&#10;ceBBbmQvHw1KyrayaHDeNSWwD9q79+CFUY+wsNmsZ31f3OcKlQKzZvugtHITWqT50ew+d9yWNrQe&#10;zH9UiFVBy1mRJO87/wVpPNB6a6ELmAWNj5dZUOf9Xg8U5e6lxY/6eIw6k8PdLBcIBAKBQCD4PDUN&#10;Tsfz8PPqA/DUqntfYzD3uTvc527EuLBsuIT2Lh5QtO2owDRMDMlAamY1fv83T0TvhqEsA35+3pBb&#10;kdj4Plq1OzxmLsOEkNtwDhveUe4u0rF0CsqCf/QVXMvbyxyRPLHHWrJL9Siu1kvrd7PIxVvfCwQC&#10;QV+h4pzm1igY6qMcynVO3K0Mx438fZi77xKcg0k854/PjohLWC6+Z33P/ViRHG+OHUxkCnesXr0E&#10;L7sfsiK799cLAsFwYMQI6Kb23XhmOgGzA6p3F5ShrRolL8qxOXwT3GWWC+gUC6zzVONywVUmdPBe&#10;W2BDpPNW2liE5OVeNo1xJ1H6sNfXqGYudPuJN6ee1CSe5xwOYFHf/XE8U4T72ZUyPHuwTUS49wPT&#10;y2g0PdnBYv8HWmymvujHp32Hijur3ono/M8woEjvQddD8cUl0jUmXV8E57MNJHQtH9J9iey04zB0&#10;9K0wqUdAD9sValX0eF8hQb1HVCexmaox3dwnQyH9JKf69FlTMWdhAJavW4ZVQSsRtCUQu/bvws69&#10;O7nsiN2B8LhwHDp3iInu5F4vbxs813p5WyUq26sRezSWfQdL3eeETKlA2MY5aGqOZAIt97oSDDk0&#10;d3RJ89mJE6ugUEnXbh/aHNB1QcL74eMr0NoVgYetR7nXkyNBqQuZtVmYOWcGK5LkfW8uWiW0U33h&#10;MdMfavbfPn08tR4yqGfNxITEc/jstBDRBQKBQCAQfEAKxbdnYFx0GhT+q6HVWJCUSEV63l74cdVR&#10;jLbS6U2R7hOCM7D3SgX+8Vvzn0R0cpdRf9P9+8LZc441zwb/gfbOPDBp2T4WQztcetJ+DGeJzwKz&#10;MX//JdaLt7BiYET0nBI9c4ayKHchogsEggHC1GkWz8trzcU6DhXbLo2v1/P2YUbMVfx9/fCJbSdc&#10;pPlyYvBNeExfCK26bwVsAwntkXh5a1HCots7hPtcMCwZUQ70JtMRGIylKLVAQC+XqH15HzFHY+Dq&#10;+jN3kOBBDw70AHEu6wKL6eW9tsCGsBj3etw4shWJ6vHMqcsT5AYCEi+vhGnMDyqdQy8K0Wcg93nx&#10;hSVMbOyv2/mAqwsyD/hLi6Y9dvH9HJmON3uRf2IuizpnojPnePeVOOk1yd1emx+I9kEQ0alg5FHl&#10;JpwM+IklMfA+00CTIHfBhZ2LUdZc1if3OUHx4xTFHHfyQD82efoPva+HhpzqCuZmpc9CvdTdZa5s&#10;rnF1ncRl8uSf4e4+mcUzzV8yF0fOH0FFRw0Ttnnfd6AhETGnPg8Lls5jEfi878aDvq/SQ4Ubt4LR&#10;/SZmcIo8BH3i1S+xLCVgur8X5Kq+RYC5y+VYvno66h5tR3PHHlQZM6U1l/23J/gUlCZEaRH0/ahI&#10;8sPv/CmUSnes3yEd0wXzoLLAnaXzcIdy5VqMOXkLo1Iz+ZvnAoFAIBAIRibU+/xkLn4IPAJPnSXu&#10;c2ltoZFBMXMlxlHcax96jTsFpcNpXRqiLpTjH7+R8/w/G+PkMnveZMCcuf6QW/F88CcodnaKP74K&#10;vMJEAd5nGE5QfPAXwZlYdfA868lbaOi/iN4jaj1qNLtFeet8gUAgsIYe53lZrblI58Nxx565V2kW&#10;z/1jruDvgdksAYQ3HjsiLhuo73kW3OeFWdbCxcbQfp+bzBXHj+3D77+b8PZt259ER4FguDCCBPQI&#10;NJviUdVaYHGUaMMvDxF/Kh5ubpO4A8XHIHEh8VQi621Log3vtQW2o1w67ner03B0+s+2i3GXIIH6&#10;iM/XzP1Lfa55191gQT2FSaQtu7YcR32/6bewGS8fx+LbKXqcXpf3ngLLocjzpsc7cGG9EgfcxuLg&#10;ABd2UJz7qUWueFixkfUm532GgYDaFVBV+/Ud3tJ7jmPtDHifZyBJUI2T7uUfkV9ymbVo4N3zlkJC&#10;2M3SW/Ce4jkoLnRbQI52Ets9vTXMjV7ZaVlbkv5A81hlRw2OXTzKYumtKT6QKeRYtnw6Gh7sQtcr&#10;Ed9ur1AywLPnkQgJDWAOct657A0qlKAEnvOX18P0MhwNxpR315DjroN6Cm8Onj7Iil6sLbyh1Ilb&#10;d87h4JVzcNeqoe6tH7r0755aJdy2RMDpVBacUkQ/dIFAIBAIBGaY+3z/HagCAqFVW5CSSGk4nhr8&#10;vDzBavf5+3wRnI4v1qdBf8GAfzIneivbTDS70Ntx8fxx9mxl7TrJjAparQKyBdsxhsW4D4/+tJ+C&#10;RHSnwCwEHj2NvLKoARHRyR16rzIKTS1CRBcIBP2DnOc0lpTWOF5sexHFtjPn+RV8Ntyc56zveS4m&#10;L41l+y6WFNHZGhLP161bjnZTA3Offyg6CgTDhREkoEeixbQPta3ZFgvoda/v49ilY8wtaI3riAT0&#10;8P27UdZiGDR3oOA/UKxxaUs5Lu5aatMYdyLOfSyubNKixRiJtu4hEoekBySK1K4rCDa7ghXjuJ/V&#10;Usx90yfg3plFZjF2EHtrD2fIud1QsgGnl7nhgNuYfsXr86B4eBLoKS7eJpH70nVG10PR2UXs/ahH&#10;/oefYcDRTGTu8+sJG2EwVfc7spyEMEqp0CdEMNe3VXHMdgY516fP9GM9yW3dLoTi74uaSrF87RIo&#10;rehxaK5GVeDo8RV4/WssS+vgXluCIYWKYl6+icXJ5NVQqJR9jG6XrkmlEqEbA/DMuBuNbVGoMlq+&#10;3rJXzOsJA7boN7PxwpqNYVo3UsFJWckd/OP3Lizfvl06Rr1vdmul99FO8cFXe5Mw6lQ2dwNdIBAI&#10;BALBCIPi25Oz8V1oCrSeXhZtnGu1chbxOj74DlxCs7gb8pbyRbDE+jREXijHr7/+J86dBPQ3rx5j&#10;7ZqlcJeeT3ifozfoc2q8ffDd2lQ4h+Vy33+4QSL6+A2Z2JGagoJyPfLLI7likDVkl+hhqNOj1cRf&#10;8wsEAkFv9IjnRVXmwhzeWGOvkHh+MTMOM6KvYlRg1rBrC0Li+Q/v+p5r7aDvuVwpx9Rp3igvTZfW&#10;At1/ERwFguHEiBHQW9vNPYHqW2+hxGiZY6/m5X2k3EyBp48WKo3lQgv1u92wLRhFTSVM9OG9tsC2&#10;UJ/knKxkHPL+GgfVthP6KI6b+jOXXlk+NC50EjV/3YsH5WE4GfAji5XnfU5LSZC+CwnouUfmsAcv&#10;e4luJ4c9fZY/cFBRn0T0J3VbcGfPVBazTy5uJqQPkJObnOg3I3zNx6trYI9Rh3R9P6rajJOzf+r3&#10;dWYp8TJnpKz0QdGD3D73Pv8QclLffVqEnXt3sDh0Knjqm1ti6HFzm4yoRD0qpHnGYMO0EzpmydJc&#10;qPPSsIIy3mfhIVcqMGeuL8oM24T73I7pfh2DwnubMX2GF5Qefatipr+bPsMT+fc2oqVjF+4bT727&#10;fhy7iJCKR0pelGH5uqVMDOd994+hkH7ff+ZU1NXkSQ+UvyC/tgyqgNnwUPW+uaxVy6GeNw8Tj1zG&#10;qFNZ/I10gUAgEAgEIwan1HSMjs+Ack4QWyfw1g9/Qnq+IWe367K9rL84bzPeWsxO9HQcvF7JBHS8&#10;Nf7RCz0/9yrrZ27Ns8L76DTukAeswfjQzH6L/Y4CRbmbRfRk5JdF9VtEZ05RiftPzAWyvHW/QCAQ&#10;fAwaN54+pzQLxxPPi6vCcSotAdrdN/EZxbZzxlxHhorLJgZdhXraXGil+ZI3jw4mNNcrVHKkJiew&#10;QjrR91ww3BlBAnoUTO3huN921WIBvbq7HhdyL2Ka/xSr4n4p5nP52qUofHIPFe1CQB8KyjtqUfzs&#10;Ls6EzES83IUrzg0Uce7jcH6dEk3PdtnG+fsJ2l/F4kn9FpxZIWNueN7ns5RE9ZeIV4zHrXBfGNv0&#10;rJ867z0HE/oMdEyZYG6KgtGkZ/+dxGH237scT5TriVivyVmPm7t9cNTvGyQox/e7Zz3RU9Bx98wi&#10;87U4QIUGFEFvNEa+i27v33VmKaz9gueXSL8Uh4qX97n3eZ9oMTBBmFylJ6+dxKIVC9nijwqfHM2R&#10;TgvWpasXI6chT/pOtolyZ/Ht7TVYF7bG6t7ncoUSkfqF6Ho1uOOiwHI6X0bj6bMIrF3nD3d5365/&#10;s/tcgbhDy9DcvhvP2vai0pjv8O5zgopT8h4UYMasaVYL6O4KN6xftxym1hq2sfyvt+3Ye/E8XD21&#10;0PS28S3dPzq1DIq1wXBJSYeT6IcuEAgEAsHIJSUNo5Kz8N1Gy93nrLf41Fn4coB7i38elI6vNmTi&#10;dDatb1rx9vcW4K0J//7nC+gjt8DVfTL/8/SG9HkpkvaHFYlw3pjPfe/hyOdBmfgqNAP7Lx5DcWXE&#10;gIjohQY9nj4XIrpAILAMGiuIx016lohBaRa88cUeyZPGzOLKcJy6kwDVrlv4bDg6z6U5fNyGdMjn&#10;BNtF33NCpnTHhg1r8OrlI2ktYOIKjgLBcGLECeiP206DHFGlFriiqjrrcKP4JmbPn8nEFd6gwYME&#10;9NkLZiL/USEq2mu4ry2wPRWv7jPxLVE1ZsB7Tv8JDcWej0dh6gKYesRezvU30JAQ2/hwO86uVvTb&#10;EZwoHR+KAL++3RsvmnYPeiHAh9AxbJe+X3NzOOoKgpCTOAtXN+twMUiFGzu9cTdlPh6UhqLVpGdF&#10;BLzXsGdI+KfzR4UKD8pDcTtyCo5O+Yb1nicRnHeOLIWKIE7M/AH3pePT8WYAjo20kCbnfNG5xSza&#10;nwoteO87oNA9JR+Dc1sXmu/nfka386B0EBLSCx7fxZELh7FszRJ4+ehYtLs14/1QQoI/xbjfqUhn&#10;8xXve/aXmu56nM86jylTfdjcxvscPFRqJXz9dMjIDEXXa+E+t0fau/agszsaCYnLoFAq+hTdTlDP&#10;9JWrpqP6/na0dOxGg/GstMayfW/+wYCKR85mnIWXr87qAptJrpOwJ2o7fv93K/BWAm14/qoFS3ZF&#10;mCNOe9v81pj7of+4fQ9GnckV/dAFAoFAIBihOKWmwTk+C/I5QdCx2Nbe12w6jQyTl+xhfcWpbypv&#10;U76vfLY+DT9sykJ+5YP/iOjoQnVVLkvfkVtRdPs+5KpTT1+EicE34BxK/dD57z/c+Dw4Cz9tSkP8&#10;5SMoqohAXjlfKLIUEr9Ka/RoaYsS/dAFAsEn6Sm0aXhCrSTeJVlwxhV7JN8QiXuVETh45Qjctt6G&#10;U9DwE8/HSPP32NBsuC8Kh47N/UOfnklzvL+/Hx4/LGJzP09sFAiGGyNOQH/WdhIGY5lFAjqJ31l1&#10;OVi8YgHrN8sbOHh4qJVsszWrPocJNLzXFtgeQ2cdiuozkbLcC/FyZ75QN0AkKCcgZcEkPGnYOijO&#10;bRI0Sei+vl36borxTADnfS6L0HzJhNtzq+V4Ur8VHW+GIIr+fTr2oEP6frUFgbi8Qc2izqnfNjm0&#10;qVCB/ZT+/xGfr5EWPdXc89tBHa4kpNNnp4KBqsy1OCudA3Y++yOiS+eTiiGubfGEsS2y3zH8VMhw&#10;v3QDTsz4HvHK8fz3HGASVeNwbMYkFJRcZfcx7/4eCMhdTeM8iWSlzQYk30hB8JZATJnmA3eZq93H&#10;u5OgN23GFNw2pNlEQC9vq2R940N3bIBMOh7WHAvqpR0YNItd2yY7aQUh+A/0oEzR7WnpG+DppWEF&#10;D7zz2BtKDxW8vDW4cjMQrd3heNJ6ABXGYmmNNfBFL0MBreGiDurZtW9tJOlkt8lIZpFmr/9YdFO8&#10;WUatAZqFi6FUWrCuVMuh8/PFt3tPYNRp6ocuRHSBQCAQCEYUKWn4LCUb3208Ca2nLzSWtBakeNdp&#10;c/BV4GU4h9lGiP7b+jToIvLw5PlTs4jO1jndOHFsP9s761uUuwo6rQKTF++BCxPQB1b4t2c+D8rC&#10;D5vuIP7SUbOIXtY/JzrFL9c8NK/5qZUl73lAIBCMbKjfuVH6WSuNFT3jxodjib1CaR2UthEnjZk/&#10;bEobpuI59T3Pw08rj0Dr7Q2tduiNPipK7/SQ4/LFE9Kc38GMAu+LjALBcGVECeht7RF4YTqISuNd&#10;i6JFy9uqUNpcjjWha5iYwhs8eJCATr1iz2dfZMJMmQ170wo+DUU/30rajUT1eBzsp7P3k5BjVjkB&#10;6bHTzAK6DSt9TS+l1zfpmWu5347ld+L56aWuLAqe+lzz3nMwIQG/7PoKFm3OeoTT95M+J+PdZ6aC&#10;ARLRSSg+v06BRhLR30WjOyIkMtL3bny0A2l7prJe9Kw3+ofny0Lo2FDhgeH2KnT9uo/7npbQJl3L&#10;L5p24XKohgn7f5wDWyKd20TVWNw8sQsGaoExCOMnCekkFFd31TPB7EL2BUTERWDOotlQqmRMSKdN&#10;IHsT00lAnzlnOtIqM2wioNe+amDzmK+fl1Xuc3IyU3/5a9eD0TEIBUUC66Ho9kdPwrF8+XTmIOed&#10;x96g6HYZxfTvWYimtgiJ3ag1XrVofeUI0LhArXyCtgRCYUURJUH3JhUmpN85yzaTexbd+L0Fb9GO&#10;2KvXIPf1hdoCV7vWwx3q+fMx4egVjEoV/dAFAoFAIBhJjDqVDueETBbdqlNbsh7pEaEjMSbMtlHo&#10;/732DtYeK8avv76Q1jvUC92EttZaLF4yF3JLCgV5UPS871R8s/7igEbPOwKfB2cyIYic6OSqpGhi&#10;nnBkCeQiJSf7w0Y9c6ELEV0gELwPjQuUUlFRL40X78YM3lhijxQYIlEojW87UpPxbVg6Gzt5Y6qj&#10;Q33Pv5bmQs3UAGhZ+gxnzhxEaD/UTTYZkZGb8cub53j7VkS3C0YOI0pAb23Xw9i+F9WteRZv8Db8&#10;8hBh4Rvh5jaJO4Dw6BFZ4lPjYTBVsU1Y3msLbE95ew2KH+YiaaEatu6FTu7c49O/Q31hkM3EXCbO&#10;m/TITpxljtPuh8hK0Gc+OecnNJSEoNMOxHNyY1OkedKsH5l4zvvMf0JDbusxuBPlh9Y2vUP2RH8f&#10;1tfdFIWC5Plm530/+qIfcB2DzAP+aJeumT61Fejcw2Lmc4/M7r8r3griZc44vX4aSp4UwGCjvt6f&#10;gsbrmpcNqOqsRXpVBo5dOo7ATevMIrJaweLdqeKyb66KgYWE/eXrlyLvQf6Ap51QQQGxM3Ync5/z&#10;3v9jkPt8ydJpeNIYgc6Xwn1ub1AiABG1Z1GfxXNCLv3t/EVTUFG3DS2d4XhoTES5sUy6fobHmofW&#10;b4VP7mHh8vnSd3XjHoOPQZvG8xfMwqMH91hl9vsLb3JpGd8YsTA2HnJqF2FBYQ7rh746EC4nb8Mp&#10;JYO7wS4QCAQCgWCYwXqf5+K7jUnQefpIa4beN9BZf1S/mfh2/Xmbx6A7S3wRmI7E65VmAf0tieid&#10;yMy4wJ6VVH1qD6RiLjvZvDCMYQL6yHGhE05BPSL6USaiU6QyT0CyBHKT3q3Uo6nZLKLzngsEAsHI&#10;g8aDphY9SmujWMsHEtB5Y4g9QuNixr0YhB4/g/FszMzijqWODs3fE0NuQRWw6l3f86E388gU7li0&#10;aA6eNxqkuV5EtwtGFiNMQDe70GtaM1FitExsICElPC6cuRAtdR/S76mlB4bwA7uZACEE9CFEOvYV&#10;XfW4Fh+KBNVY5m7liXYDRZxsLHPrtjRHsH7ovGuwr5i6ohkFSfOYmNkfcZWIl5t7ZdcWBg1Mr+z+&#10;0rGHCcjpe6fjgJt0rjifmQcVERz2/goNRSEOG+X+PpQwQMeBeuof1Pb9PFMBwqUQNZ4/3Wl9WwFp&#10;QU0FFZXpq3HY52uWrsB7j4EmQTkWR3y/Q3ZmMiq6G/j39CBB43ZVVx1zdhc1luBW2R3sO7EPy9Yu&#10;ht90XzbWU790FlGoHhp3uru7K/YcikKFDQq1qqXvfqPkJqbO8LXKfU6QKHv6zDp0UEGI2KyxOyi6&#10;/dLlQGg91VCp+3bdmlMG1Dh3aT2MXZF4ZpTWVsbbw8Z9TtA9QP3P6X639h5wdZ+M4JDV+Pe/XnBj&#10;zSjKvaixAZq1wVCpLHBoaZXQSWPM5M274XQ6W/RDFwgEAoFgBDAqNRPO8elQzg6G1hL3ubRW0Elr&#10;BreFO+ESlsvdlB9onILS8cPmLJTWP2JFguRC//WXRmzauB7u8r670LXeXvhp1VHmwOO973CGBKEe&#10;J7q5J3rfnegkjpXX6bnPBAKBYGTBWjpIPGmKwr1K8/jAGzfslXuV4Ui7G4sViefxhTROjh6mznOX&#10;DVkYG5oD9wU7oSPxfAj2Gj+EzERe3lrkZl9hhXIf7m8IBMOdESmg17fdsniTt6a7HgeS9rMBw1LH&#10;IQkptNkasjWIiRpCQB9ayIV+ryYNx2a5st7KPOFuoCBhm5zh984uYu5dEoV516HVSIscU9celF1Z&#10;jiO+3yBe1b9e1CSIHp3yDcquLjf34LaDHsVUcPDswTacWyW3zH3eg4a+z3ikxUyTvgctCB3f8cp6&#10;o7+MRmHqfOmaMvd85373T0Cu8bMr5Xh6f6vVhQXtr2LxuGYzUhdOYoUWvNcfaNj3VI7BtcRNMHTW&#10;o6zVPnoo0/hd0V7NHN4VpmrW1uNG0Q3sO74XwdIYP3thAFtIkkubBG1yqA+GO10mc8Osuf64Y0hj&#10;Qh/vs/cVct4a2iqxM3aH1fGLCpUC8+ZNQVXNDibU8q4vwdDR/SYGdQ07sWixX7/c5/S3O3bPw7OW&#10;cLxo24kHxhPStVMura2GR+9zou71Axw4eQAe0sOiNfc0rQGpsGZv7C5Wmf32978uvsmh9RYdOJKf&#10;D/eZs6GxRESnfuhTvPFD9GEmovM22gUCgUAgEAwTUtLglJyN7zcchU6rtmgDnSJe1X6z8GXw9UGL&#10;P6ees/+zNg2LE+/i11+b34noXTCUZUDHijX7tt7UadyhmrkCE0LS4Bw6PB2Gn4J6ov9IIjr1RGdx&#10;7nxBqTcolpncpXWPzMIZ7/lAIBAMf5h4Lv28/yQKBQbH6ndOFFWG40rufsyIviqNj5kYHTJ800mc&#10;w/Lw4/JEZlhgbU04c+RgopaQKdyQEB+J33+npBnR91ww8hiRAvqjtvPvNkh7F7ZJmDh++Ti8fT0t&#10;X/xrSUSQYdmaJcKBbgeUt0rnwFSN6wc3I0ExhiveDSQsFn32j3hg2DgwUe6mKHT+ug9VWWuZ6E2v&#10;z3tfS+lxExefX2w34jlBx+pBeRhS5k2y+juSgJ48fxJeNO1GW9fwiIym80Ju9Mz9/n3qP37AbQxu&#10;7PBBizGCJRfw3oMH/a6xNRJXt3haV8jQTxIULkhd5Yvix/ms6IV3Lw81NJbTmE6COs0NNS/rWf/x&#10;E1dPIPpwNAI3r8fchQFss8jNfTIT0WguoIIqEuBYOsl7cOePXugR5+g9kq4ksSIv3mftD1QscKvs&#10;NqbOmGLVppe5J7YCiQeXsd7nYpPGvmiXxkajNJ+ERyyATK5g54t3HntDrlRg7nxflNdsg7EzHE+N&#10;e1BlzBpW7nO61+ne2hG9He7Svcw7Dh+D7nV62L14/pj0cPnn+Pb3oQfPtn+0YfnRFEzWaZlAznu9&#10;99GS0D5rFiYeOo9RQkQXCAQCgWDY4nQqA85x6fCYudzC3qcUfa6E25IouIQNbu/w0cHpcA5MR2pW&#10;7TsBvQ3/+K0FcfsjpGci176tOaXv4unpgUnL9kvfJ4/7vsOd//REN8e599WJ3tMP/XGj9KzfyX9O&#10;EAgEw5eefufVD6L+GBM+HCfsFRq7iqvCcfpOPDzDb7CEDucQ/pg5HKDUlW/WpkLrO1Wa+4dePCfc&#10;ZK4IXL8S3Z33pfm9nbu3IRAMd0aggB6JZ6YkGIxlKLVAQK/sqMXF3EuY6u/H+t7yBhMeCqU7Zs71&#10;R8Gju8y1yHttweBh6KzD3ao7OB7ghgQbu9CJOPk43Njlw/pyWx2f/QHkzG58tB1nV8lxQGZ5tDkP&#10;cjKTSz736GzmarennuEk5j+u3YIzy9wRp7DuHJlj3L+G4eZKq93W9oypOwYvGnfjwjol4q04JnSO&#10;45XjUHRuETp/2cd9bR7k3if3ee6x2ayIYbD6nlMyxOEp3yEn5xQMXQMvCNsSEptrXzag7vV9FDWV&#10;4E55Gs5nX8Chs4dZ//C1G1ZjzoIA+Ph5sqh3EtfI0UrCNAnrNK8wqLd6b7z7vZmzp+PElROoaKse&#10;8AIter3K9hps37OVvZ81Qj8JqwGzfVBStg0v3wj3uT1BxQzkPr96LRgabd+j25UeSnj7aHHpehBa&#10;OiPR2LoLDcYz75znw6dYsEK6B/Lu52PZ2iWQy63rf073jd9UH1QZsqUHTBN38d0DbTDfe/EYntsi&#10;oaCYeAuc7loPGZRLlsE56SacTmVxN90FAoFAIBA4Lk4p0s+kLPy8Pg5arUaa/y1YH1B/dL9ZmBh0&#10;bdDc5z2Mlfjb+jTowvPwwvjsnYjejWdPSjF3rj+obyrvM/eGViP93fT5+DLoqs37udsr7/dEpzj3&#10;vvZEJ7cpRTY3tZjFNN7zgkAgGH6Y+51Hoaz2XSKFA4nnBYYI3K2IROLVI3DdehujArNY6glvrBwO&#10;0Dz3lTSHq6cvfNf3nD83DiZypQz+/lNRU5Urzeud3HQ9gWAkMCIF9GZTPAzGEouiRg2mauQ25CNg&#10;3iwopIGDN6DwoA1UEt2vFF5lAgvvtQWDSFsVDO3VuHFkGxLkzlwRbyAh4fGQ7iuUXVthFnT78ZDS&#10;+ds+FF9YwvqrH1Tz388SSDwn93lWnD9ztZM4y3u/oYKc40ZjJK5t9rSqBzpDQ5Hl43Bjp/e76Hz+&#10;ezgi1J++7m4wjvp9Y3E/dDp+Z1fK0Phwu+W9+KVjRikAFbdXsTYBCf1sE2AxmoksGeL6wU3SPSqN&#10;lXYS3d4XaL6gnum1r+4z92ppswGFT+4huy4X6dWZuFxwBUfOH0FUgh47orchaPN6JtCtWLcM85fM&#10;xfSAaZgxe/pfoP9OBVn0e3sO7UF6VSabV8gNz/sc/aGqsxbXi29i2sypTKznzW88yFniLlcgMmqh&#10;iG63Q7peRaOmbgcWLPSTHoL61mKA+p7LFQpE712E56ZIvDDtwmPjfmk9dU+6doZPdDtR87IBF7Iv&#10;wsfPCyq1dceLHjIXLJyNX988ZQI5b/Hdw1sJEtmTy8qhWL4GapUl60wVdGo5ZOtDMTqZ+qNmcDff&#10;BQKBQCAQOCbkPh8fcwvqaQssdJ97QKeVY/KSaLiEkdA8NNG2f1+bhtjLBml9Y2Ttamiz/VRKItsb&#10;62uLK530/d0X7caYsGy4DNH3Gmr+0xO9R0TvmxOdRPSyOj1zooqkMIFgeEP3OInnj9/rd07tHHhj&#10;gz1yVxrrckqisDM1Bd9J4x+J57zxcbhAhW8TNqRDOSfk3bw/9H3Ple8MP1cvJ0nzeReLb+ftaQgE&#10;I4ERJ6C3tuthbI9GpbHQIgG9J7J38cpFLDaXN6jwIHehl48Oxy4dY4IE77UFgwu50O/VZyBluRfi&#10;5S58MW8Aodjt5Hk/41HVRrS/2cu5FnunR1S+Fe7LIrl572MJiSRSKifg+g5vNL8IZy5j3vsNNV2/&#10;7UPe8bnMPW1tZDm5/lMXuuJp/Va7Kw7oDxTl3t4djYKkeaxIgOLqed+fSJSOWZzbWByf9h0qM9aY&#10;iwk4r8mjQ7pGH1ZsRIp0zdKx5L2+LUiQ7sVTa/xQ/DAPho5hNFa2SmPOu7h3ErtJWKe5gBJJelzj&#10;JLCXvCiTKEfx8zIUNZV+Evo95hCXXm+gnecM6TXpM26P3s5SVKxxnytUSkyb7om7RVvQ/dp+ki0E&#10;0oMzjSESu8MXQKagVgL8c9gbFPu+YvV01D3aheaOcDwz7kat8dqwim7vgYpgDp87DJnMuthR6g+m&#10;UMmxY3soW2Tjbe/9wQAjXv2rFasu3cbkGf7MYc577T+hUUKnU8N1WxQ+P50FJ87mu0AgEAgEAgck&#10;NQ1fnMiF64oo6GgtrrXAfa52h8eMxZgYfGNIndqfB6fjx01ZuN9IRYTkQjehu+sh1q5ZCpn0bMH7&#10;7L2iVcDTbxq+XX9h0J319sTnwe+J6P2Mc695qGe9kHnPDQKBwPFhKROmKNQ/jmKpFSSe88YDe4Va&#10;VmTci8Hag+cwRhr7qJ0Fb1wcPkjfLywXkxfvkZ7xad7rW8HZQEJ7gRTdvmfPdrz93dyahbeXIRCM&#10;FEakgE4/a1szLBfQTVVYF7YGSoucQWZ6+t3GHo1hvXJ5ry0YfCpePsDNpHAkqsjNbZmbt6+QaE09&#10;pK9v82Q9pa3pQ90DuYebHu/AxfUU4d1HR7DmSxxwH4tLIR548Xz3wPRltxEk7DfcC0bSzB+s7oNO&#10;Me7kZi6+uARdv+3nvr6jQm0AqPAhK2EmDmnN1xWlHNA1xqDIdun6oJSCM0vdUZG2mp1nimTnvd6H&#10;tEvX2fPGXbi0QWNOOrCyeKGvJCjG4tiMn5FXeA4V3Q3ce3a4QXMKo81cnPUH0jzTK9Lv2UQ4fwe5&#10;bq8X38D0mVNZ73be3MaDBEYS0HeHz0fnK9H73N6gOP20jFB4+2isdlP3QNHtU6d5IT0nFC1dejQa&#10;d+KR8SDKjWXStTO83OeUJFH8vBSbIzZBZmV8O637qIDy/NljTDy3REA3u9BbUWVqhM+B41B4e1rW&#10;D136HZ2fD76LOYZRZ3L4m/ACgUAgEAgcCqfUbHwVcQFqn5lMGOetAf6MEp46FX5eug/OG/M5G/OD&#10;B0XrjgpMx45TZaxA0OxC70BO1iXovNRQ9dGFTvH06rlB0nuQiDIyXehET0/0uEtHca8isk9OdNYP&#10;Xfr54Jle9EMXCIYhdF+/MEahoj7KHNn+wRhgz1Bh0L3KSFzOOoA5sZfxRVAWRocM/zHfJTQXP6w6&#10;Cq23Dysa482Dg41c6Y6VKxahtaVamsdF33OBYIQK6Hrcb7sGS/p1klhBjsEdMdv/EMV5gwsP6pu5&#10;JXIz64/Le23B4FPeXoviB7lIWenNnK88UW8gIVGXYrcLT85nUe7kJuZfl3xIQH/2cBvOr5b3TUAn&#10;R7J8HM5Jf/+kfis67NR53gMJbyT6Xg7Tml3QVgq5FF1+M9zX/FpWHmt7p6eXfsWtlbgUomY93+na&#10;6ol1P7tChoLk+Xj2YDtznlsqYrLXlX43LWZq34s0+kCieoJ0f4zDzRM7UUFFRjYUhgW9Q/NcaXM5&#10;NkdstLrnM/XT9vLRoPDuZnS8u04F9kHny2g8fLQby5ZPg1zRt01Lim5XeahwLGkVjF16NLXtxjNj&#10;JKqMVIg4/NznlZ21yK7Pwfwlc1hkGe+YfAxaJ2o91bjfcJdtGPMW3jyolxhVdV+qr4db6C6oNZb2&#10;Q3eHetYsjD94Dp+dFiK6QCAQCASOzKhT6XA+kgn5wk3QWSSeq1ifcOXMlRi/IQ0uoUMfcft5UDom&#10;bc1G/dMnZhFdWt/847cm7Ni6oc+90ElQ8PLxhCLwBEaH5nLfd6RAIvo3YenYffokCsqoR7D1IjpF&#10;uRcY9Hj2wiy28Z4hBAKBY9ET2f7keRSKqhwvsj1fGsvuGiJw9PohaHbdxOeBWXAeAeI5pcZ8u/4c&#10;NH4zLW7ZYmtoD8THRwdDWYY0h3fhrYhuFwhGooAuTSztkXhqSoFZQP+0aNMjoMenxLFNUWt6N7m7&#10;u2Jd2No/RfYKhp6KrnqkX9yPQ55fIdHD9oIhiZLHp3+H2oJAqyK1CRbh3hqJ2xFTmIuc9/qfgtzE&#10;KQsn4Wn9FhbRzXsPe4Oc00XnFuGQjkTWidzv9TEopj4p4EfcLwtlvcN5r+/I0PVAhRjkFn9YuRH3&#10;y8MYDwwb0fjI3O/cmmvMHA8fg3unF/bpePcZzUTWRuHsprkoaSxCOfU+59yrgsGDerZfyrsMnZcG&#10;Hlb3fFZg0+a5eGHUo126RnnXmmDwoQ2xTmlM2H9gKWQKBUsK4J2/3qDo9o0bZ+Nh4268aI9Ao3EH&#10;7htTpeuG1jXDy31OUGrQtXvXodaorCqaJOhhc+HC2Whvr5ceNq2r1CYX+j/+ZURYdhF+WL4OGopy&#10;t+D9ddLvqRYtxthjVzHqVBZ3Q14gEAgEAoGdk0Lu8xx8syUZOk8vyyJctQpovb3w4+rjGB02tO7z&#10;HsiF/tn6NIQkFePtv6mdDa1xOlFXm4+p03ysLk7sQauRwXvOcnwTloYvNgzvXri9QT3Rx4VkYkdq&#10;MgrL9SisiOAKUp+CRHQS2Z63mEU33rOEQCBwDOi5v6UtCnWP3kW2S/c37763V6jfOX3uyNMn8f27&#10;fuc0l/DGv+GEc2g2xlPf85krWDEcb+4bbCgphtIoz5w+xPYz3lqQqCcQjARGrID+3HTo3WZp78I2&#10;9bA9nXYWOm+NVQI69Uyfv3QeMqqzUNEhBCJ7odxUjbLmMpzZMAsJir73FbcGEtHPrJTh2cPtTADl&#10;XZcfg+LISy4tRbzcumhtek/qwV5fGGwWVR3kwYgc0U8btuL4jO//cFdbDDnuZWNRfHEpOn/Z6zDf&#10;2SqoslQ6RnROqUiAIf1vEs8tjWzvgSLzK+6sxtEp336yt/pAk6Aci+MB7igouwZDp2hxMdTQHFcu&#10;/dywPYRFNfHms49B7mSdpxrZOWHofm3d2CawLRTdnpkVBh9fLYvY552/3iDhPSDAByVlW9DaHcXE&#10;88fGA6gw3h2W7nNqrUAFj3sORkGpklstoMsUbogI34xff3kmPXCauAvvT0Ei+uPOJviduQ3XWbOZ&#10;w5z3Pn9C+ow6tRyK9RvgnJKOUakZ/I15gUAgEAgEdovTqQyMP3AbHjNXWuxCo2hz+dwQjGG9we3H&#10;qecUlI7vNmahoOqBtLZpY/zvv41IiNfDXe7ap6JO2ofz8/GAX9B+jN2UB+cQ/nuPFL4IzsQE6eeW&#10;5FRkF0f3WUQvr9OjxRRlcXqdQCCwH3pc503NUdK9/C6y3YHEc2onUVQZgfS7sVh/+CzGS2MaFQjx&#10;xrzhBkuMkeZut3mboGNzvnX7DraA5mbqe75rVxjevO7bfoZAMFwZoQJ6BJpNB2AwFsMSAb2yvQZZ&#10;dbnw9fNivS15Aw0P2nydPtMPF3Mvij7odgaJdrk5qTg85TsWJc0T+QYS6lNNgvZt/RS0tumZk5h3&#10;bfIgkfNxzWakLpps7k/Nef0Pofc65vctanLWoeP1XquF1aGkrTMarSY9rm7RWS+gS8TJxuOa9LfU&#10;M9zULQS9j0EFBg/KwpA89yfEU1w+51jaBLrfNBOQdmk/uw9FOsfQU9lRg/NZF+DprbWqSIxwk8mx&#10;bfs8vGjRo6NbuM/tBYpuf/w0HOvW+8Nd3jenD0XzU4HE2bPr0Pk6Go2tFN2+G3XGqyg1Ds+iQENb&#10;FYqel2H52qVQeVjff2yy22Rcu5oCvO3oU9RZTz/0rKcPMGnvcSin+FrUD53i3rVaJSZv02P0qSw4&#10;JadzN+cFAoFAIBDYIeQ+P5mNSWtjoNOoLUqgYe5zH198u+4sXJiAzt+kHyr+Z00agk8U49dfm/GW&#10;9ULvRNOzMixcOEdam/bNaadUuWPBwvnw2XETozfkjgiH4qcYHZzJxKaVB88zEZ1cnDyR6lOQiF79&#10;UI826flBiOgCgeNA9ytx/yk5uB3PdZ5fHoniynCczYjHtD1XMZr6nQfzx7rhhgsVvIXlYvLSGHjS&#10;/GZJ4swg4C53w9Ilc9H4rILN2bz9CoFgpDJCBXQ9jO2xqG3NtMhBRe68gif3MHvBLKs2VCkG19Nb&#10;g6RrSaIPup1BLnQS7q7sDTL3Qrey13ZfSPSYgIPqiShMns8cw9aI2vT7xReXsNehmPIPX/t9SDw/&#10;MuUblFxZxpzKjtgLvP1lDHNGk4BOxQe87/kxKIacvv8DQ5jVbv+RQvvrGDyp38JSEVivec5xtAlU&#10;SCIbjcvR61HeViWi2+0AEgyp9/nK9ctZVBNvLvsYSup97q1FekYoXv86/FomOCo0t3R07cGx46uk&#10;c6qAmnPueoOc1+Q+37xlLpqNerwwReCZcQceGo9J141BYngWvtB6L7M2C37Tfa0qmCTo9719tKip&#10;ypEeOF9yF92WAOqH/rYVe8qq8OX2GGi8NNBQT3TOe76PVi2HTroff4yMh9PpHCGiCwQCgUDgIHx2&#10;OgtfRV6ExtdfmvMtKXxUQadVwnWR3u7c5z2MJod4UDrSyhqkdVEb3r6Lcj935jDbU6OYWP53+zjk&#10;jtNpZQjdGQPZzjzmwua990hidEgmOw6L4y7iVsFeFFWGc8Wqj0Kim8T9x3ohoAsEDgAVu5DrnNrn&#10;Vd2PYvexo4nnBYYIFEg/D1w6Bvcdt/G39dkjqCAqEy5hOfhxTTK0vn7QaPtmdhhoaC/Qd4oXiotu&#10;v9vLaP7LPoVAMJIZkQJ6a7teYg/ut163SEA3mKpR1FiMNRtWW92zSSZzRVxyHOrfPOC+tmDoMHTV&#10;o9BwA0nzFIMW5U4x2Ud8vkZF2ip0/roPrRaK6GYRXFpoJM/HId1XTPT8sF81/f842TjW2z3/5Dwm&#10;HlvjdLcn6LM/vb8NJ+f+hAQqPHjve/aKxlxEkJ80jx03RywgsCVUnPC8aReubNSy64V7DG1EvMwZ&#10;p9b6oeRRPgyd9dz7UjC4VEvj4ImrSWb3uZWCIbnPt2ydi1YT9d0S95m90PU6BkXFWzFthpe0Zulb&#10;FBhFvgfM9kFl9XaYXurxzLgLT41RqDTmDsvodkarOY3h4NlEaD3NUaG8Y/Mx3BVuWLt2GVpbaqSH&#10;Tuv6n38IYJTWCM2Yf/suvlu3EZ50b1pQma6V1qja6VPx1d4kfHYmh7tJLxAIBAKBwH6g6Hbnw1mQ&#10;LwhjLVksinHVSuuCqQH4KugqnMPyOBv0Q89Yif9el4bF8Xfx8tVztrbB2zb8+ksjggJXSuumPrrQ&#10;pTXR/DlTsfPoLUzYmGsW6j9475EGiehO67MwK+YKrubuY5HIeeV84YoHRT4XSL//5Lme9VLmPV8I&#10;BIKhp6fI5WFjFIqqzMK5Q0W2l0finjQ+pd2NwYZjp/F1WDrrd84b14YrzmG5+DLwCtTT5kGrsc7A&#10;YisodZC0rtOpB6W52tSnJD2BYLgzYgV0inF/3HYGJcZa/kbqe5BDr+RFGbbqt7BYdt6A8zFc3SYh&#10;fH84qkVUsR1SiYpX93HnXCwOqscjUTU4PaBJ/E6e+zPul25A+2vLe5ObuqKZs7DkwhKkLJiEBOnz&#10;7ncdgwPuY3FA+hmvkF533iTmPGfCsYOK5wR915Y2PW5H+SHOzbLY+vch5/r5dUq0tEY69HEYaNq7&#10;Y2Bsi8SNnd6Ip+t9EJIXeohXjMFR/0nIKzwHQ5dI5LAHSCwseFSIxSsXQm7lJpbSQwnfKVqkpYey&#10;Xtu8600w+FAhQ0tbFDZvncsc5H3pMUnucw+1CmfPrUPHyz1obAvHM+NO1BnPo9RYJV07w3MtQ2u0&#10;qo5aBG8NhFIpY8eBd3w+xiTXSTh8OBZv33YOyEMnubWq257CI+UmXBctg471Q+/9M5GIrpk1ExMT&#10;z2LU6WzuZr1AIBAIBAI7IFUiJQc/hR2CTudpFsY5c/tfkdYDnhq4LwrHuNBMcxwsZ6N+qKE+5aOD&#10;0nEup9YsoEvrI3KhF+ZfZ0mNfXOh0zpVBn3kDoScKMHngRSHy3//kQQda4pzV++8idQ7Ce9E9Eiu&#10;iMWDhLh7VXo8N5rdrbznDIFAMDT0xLWT67yyIYoVyDiScE7kGyJRVBHBIttnx16Bc7A5PYM3ng1X&#10;XEJzMC4kDYqA1dAx8bxvZoeBxs3dFbt3heGXN6LvuUDwMUaogC4tCtt3o9F0HJZsBNOmamV7NY5c&#10;OAqFUhrkrNiQJlFidcgq5D0sZL3Uea8vGDooyr206R7OhgaYXehWxoX3FRLRz69VoOnxTtbjnHeN&#10;8iBhnH7/af1W5B+fy4TQC0EeuL7NC7lHZ+Nx7WbmMHZ417W0OKQe3Ybbq1j0vbUx7iSgH53yLR4a&#10;wliMPfc9RhjsOJiikHM4gKUVWO3s7w8e46X3HI9bKXpUvLzPvRcFgwsTCztrsffYXlYYZo1YSKKs&#10;XKlA6MbZMHXsEe5zO+LNb3tx9vw6do6ohznv/PUGJQts3TqXPaC3dESi0bgDj43xMBhLh6/7XKJC&#10;Wg9k1+di9oIA6fq2rqCEqrapbc/NG6ekh85X3AW3tZg3mVtxvqEeXyecgWLmTGjVllWpaz1k8Fi6&#10;HOOOX8Oo1Ez+pr1AIBAIBIIhZdTpLIyLvQ7NtAXSHG+lI1urhM5TjZ+X77dbFzrhFJSOKVH50vNC&#10;k1lEf9uK//13MyLCN/fdhe4hR0DAFFy/fQsBB0rw93V3uO890qBCAhLR5dtv4fC1w0ysItGKJ2bx&#10;yC7Ro6w2Cs1t/3G6CgSCoaVHPDe7zqPMrnPO/WvPFEpjUWG5HnvPH4fr1jtsnKKiH944Nlxx2ZCF&#10;saFZkC3Yylqw2EXfc2kN4SZzxbJlC2BsoUK3Lu6+hEAgGMECOjnQX5gSUWm8+85Rxd9Q7aHmZQOu&#10;Fd2AWqOEhxUDHVvcz5uJ2+V3UN1Vx31twdBCUdJ5dy/g6LQfkaC03u3cJzRmEf3mTm+8aNoN00vr&#10;RF4SQykCnqLO2d/T//9t37ASi1mMe8NWnFnhjni5lekAauo5PxGZcTPNLn/O648kzOkFUcg7Nocd&#10;Fyow4B43W6CR3k8xBhfDl6O8pRxlbb2PtwLbQ/NRelUmZkvzEysM48xfH4OEWS9vDbJyNqLTyrFL&#10;YDu6X8egpm4nFi32Y+5z3rnrDbnSHN1eUbkNna/3oJFFt+tRbUwf1uI5UdNdj+OXj8PLR2d1/3OZ&#10;0h1z5vqjoa5AevDs5C64+8Lbt0b8418t2FxgwAT9EWj8fKCx5LNpVdB5yCBfG4yxJ29jVGoGd+Ne&#10;IBAIBALB0OCUmo7RxzLhtmwXdKzvufWFj1r6uynT8e26MywWlrdpP9SQSPJ5YDrib1SwwsC3v1PK&#10;Tgfqa/PhN9WbRbLzvtunoMJfKnbctS0I6UXVmLQ9F58FpnHff6RBIvqooCz8sDkN0eeSkF8WhUJD&#10;BFfU4kEiuqFOz9IAhYguEAwdrNd5ZxRLhahq0COP7k8Hc51TCkZRVThu5e/F6kNnMUEanz4PGlmu&#10;c4KlxEhz9ORlB6Dz1FiRNmNbZEoZpk7zQaUhS5qXu7n7EQKBwMwIFtClRWF7LGpbM1Bi7N0ZXtVV&#10;x0Tw6f5+Vm2sUg9NL18drhReZZuzvNcWDDGtlTB01OD6oc1IJAF9kFzo5AKm2PWMAzOYY5xETt61&#10;+knI/fku2p37746M9MDW8WYvMuP8ccCN0gH4x/FjUIHC2RVytLREjOg+6HR9UCpB6aWlOORJffgH&#10;UTyXSJC7IHm5F+7VZaC8o/eWGQLbYzBVoby1Arv27bJaPCdIZN2+Yx6Move53dDetQft0rmIiV3M&#10;HOS889YbZhe1B06dWsvE+KbWcOY+v29MGdbR7T3UvbqP3ft3QSZ34x6fT+HqPhlbt4bgf//dht8H&#10;uGcYbTa3vmyE3427+HLrHuY202gsEdGVrJeqa9gOfH4qC04pQkQXCAQCgcAuSCEBPRvfbz4Bnc6r&#10;X040ncYdHjOX4cuQm3AOzeZu3g81n61Pg3JnLu4/e/pORG+V1ksmJCUdYGsoa9vmEEoPhbQmUiEv&#10;8wJO5T2ES1A6vghO577/SIREqvHSzw3HTyO7ZA/uVggRXSBwFHruuwfPzK0VHK3XOVFYEYlCQySS&#10;biXCN/I6Rq3PHnGR7T1Qgdt3a1Kh9fUzF75x5rTBhnQtMoheOH+MFbWJvucCwacZsQJ6Tx/0+61X&#10;LeqDTr1icxrysHT1YihU1gkOcrkbkm+moKZb9P21V0jYK36cj1Nr/JjgxxMCbQHFaJOQnnMogLnH&#10;Td2il/D7kMueYtyPeH9tdeQ4uayPTf0O1dnrmBDPe/3hDvV/Z+L55WU44isdw0Hq82/mK+Y8P+Y/&#10;Cbl3L6CiW0S32wsU3U5FXVOmekPlYV31K7nPfafoUFy6RfQ+tyO6pXORV7ARXj5q6Rz1bROWXOuh&#10;obPxolmP1k49Go078di4HxUsqWd4u89pjZdVm4NFKxZArrBOQKdCSXr4TD2ZYJPK7bcStNl8t+kR&#10;vjqThZ+CtsCTotwt2WzXKKCTfv68fQ8+P5MDp5R0/ka+QCAQCASCQWPUqQyM23cLHjMWWdye5eMo&#10;odPK4bZwJ8aE5cAlNIu7gT+UkCv6b2vSEH6+jInnZhd6JxqfGrBo0Ry4W7n26sFN7oZ1axej+UUt&#10;tp2pwqh1aey9eJ9hJPJ5cCZcQjKxLOECbuTvRXFlOFfo4kFiXfV96ZlAes4QIrpAMDjQvWaSaGyO&#10;gqE+6o978cP7054h13lxVQQy7sVgy8lT+H5TGpwCR15kew/O0rw8MfAKPKbNg5b1PefPZ4MJS3GR&#10;5s/9+3az/Qag7S97EAKB4M+MYAFdmpjad+NR21mLNoYNbVUoeVGGzRGbrHYnKSheau9OlDaXs9fh&#10;vb5gqKlERXcDcvPP4ujUH5CoHMcRBG0Di9PWTMTdMwuZ0NvWFyf6MIWORdPTnTi7Uo54uXXnhPqm&#10;x8nGIjN+JhPiea8/nGH98kk8v7IcR3y+RrxyMMVz6fiTWK+ZgLSL+8x9z1uHt3vVUWBzUIsBgZvW&#10;Q6m0rvc54eouR3T0IrS1S9dXl3Cf2wMd3dFofB6JNWv9WW963nnrDaWHElOneaLw7mZ0vqLo9t14&#10;ZgxHjfHmsBfPibrXD3Aq7TS0nmZBnHeMPobCQw6/aT6oqsiWHj5N3MV2f8FbI+uJfryyGs7HbkC2&#10;cg1zl1NUO+8z/Qm1Ajo/H3wXGY9Rp7LxuRDRBQKBQCAYMkalSvPw8Ry4L90uzeXSuq0P7uu/oJXm&#10;em8v/LDqGFzsNMqdeqH/uDkbZfcf/bFZD7zC1csnWUGvysr1F0HPMbQ3d/PqCRhNLZgeXYi/rxdR&#10;7u/DIvSDsuAXdRUXsw6guDKCCVw84et9qMcyCXc1D6JYlLQQ0QUC20Jx7c2tUah/TG0X3vU6dzDx&#10;vMAQiSJpjDmVloCZ0VcwWhp7yHU+UgubXEKzMSHkFlSzVkOr7VurFlsgU7ghKGglujsfSPNw+1/2&#10;HgQCwV8Z0QJ6W3s4Gk0nYDCWvosn5W+s9lD7sgEHTh6Au/tk7iD0MagP+uqQlSh8UoSK9t7j4gVD&#10;RFsVDB21uH5wMxIULswZzhMGbQGJ6Ed8v0HxxSWsZ/dIjhz/kM5fKcZ9BhJZoQH/+H2MONk4nFsl&#10;x7MH25mYzHv94UiP87zs6nIc9vkG8YpBFs+le4fc55ei1qC81SD6ntsR1Erk2MWjbG6yts+zQqXE&#10;jBleKCrZgte/xnKvPcHgQ3HrJ0+uZufHQ8M/d5/C3EdSiYMHl6PrdTSaTRHMfX7fmCxdM8O/8KWc&#10;2rhIY1REfLi0vnPlHqOPYT52Mqxbtxz/+tcL6QG0lbvYHghIRP/1Hy8QnFOKLxIvwGPuPGg9qIq9&#10;9wdxrVoO7bQp+Gb/SYw6nc3d0BcIBAKBQGBbRqWkY+zpDKi2x0vzszc0AxjlSs429fT5mBh0g23a&#10;8zbzh5KxEv937R2sP1aMX39rNhcHvm3Dq5eP2UY+bejzvldvUCHj7NnT0dlWjZKGZ/huYxacRJT7&#10;n2B90QOz4bbjFg5dO4x7FZFM6OIJYO/DxDsmogsnukBgK+i+oiKVR41RKKk233eO5zrXS+NKBLKL&#10;o7E9JQU/bbmDz9Znj+hEEJfQTIyT5mL5gh3QUc/zfrRqGUhkSnfMmTMDDXWFoCSY33/n7z0IBII/&#10;M8IF9Eg0t+9HVWu+RQ4rciidvH6SRXVa49ojkcI/YDpyGvJRKXoA2zUU5V7y9C7OBM9EgtzZasG2&#10;P5DISTHbxZeWoEOI6H9A0fb1hcE46vet2a3POXYfg4TcRPUEFgPf+dvIcKGTa9/0Mhpl5DyXrqfB&#10;Fs8pTSFBPganAqej+FE+K0rh3WuCwYfmn+y6XMxfMhdyhTt3vvoY1B+bRNa4+KXoehUjNlDshK5X&#10;0TBUbMes2T6Qq/r2UEau9WXLp+Hh43BpvI1Co3EXnvwR3T78i1+opUFWXY50X8yBUmXdRjatBakH&#10;5+GDMcxNZeveYSTQG7sbobtxF6NikqCdOoWJ47zP9iFMRJ89G9/EpQoRXSAQCASCQWZUcjq+OJWF&#10;aQn7ERDgBbWVhay9o2K9Vd3nb8EYFuNuf71myQ09NjgDaSUNbE1D6TpAF7IyLkLnSW2IrD8mai2t&#10;Zd1x6GCU9FomJKXXwCVQ9EPn8ffALHyzMZ0JXPll1KO4977oQkQXCGwDE84lmlqiUNEQhTzpfssu&#10;+es9aO9QMc5dCeY6j70C56AsOAWNzF7n/yETLmH5+Hnpfja32Yt4TgVnlLiXdvucNF92spYqvD0H&#10;gUDwV0a0gE6QiF7bmoESY+/O8OquOly9ew3+s6dbtclKcaBaadC8Jv0t9dnkvbbAfjB0NaCg6AKO&#10;z5yMBOVYvkhoI8wi+jsn+ptYEecuQYUExtZInF0hk86H9WLwAfexyDwwU1qc7hn2RQl/9Dy/Qj3P&#10;B995TpDz/MQcGQpKr7K2CLx7TDD4kMO2sr0GkXHhUChkUGusi48i8XzOXF9UVu1A12vR+9weMEnj&#10;mUka1yIiF7D+5bSByDt3n4IKIzy91Lh1J4Sd1+et5uj2WuMtlFqwLhoO0NruYt4lq4sjiZ71naE8&#10;U3oIHZz4M9pwLnh6H1+fz8OEiATovLUWiugq6FTuUC9agglHr2BUaiZ3g18gEAgEAsHA87fULMiT&#10;UrBs9VRo+t33/CNoldB5aTFpeTxcNtpnlPtngWmYFVuAV68puYcE9Fb88x9N2LUzjDnjuN+rF3ra&#10;6Tx+eBd424EtqaX429q0Edtz91NQX/QxIZlYGn8eNwtiUVQZ3muke0+cO4l8LW3mqGnes4lAIOgd&#10;Es2pz/kfce0VZuHc8VznkSiqikBWcTR2pCTjx813WNLFaGl84Y09IwnnsHx8uzoJWm9KmrGPvucq&#10;tZIl5yWfjMfbt0I8FwisRQjo7RF40HYZlsSUVrRXI+9BPpatWWJVH3TakCUOJO2HwVTF4kJ5ry+w&#10;EyjOtbMOd87FMvfyQYIjFNoK6lV9xOcbFF9Ygg4hopuF7649KDgxt08x7vHS36TM/xlP729jzn7e&#10;ewwHenqelzHxfPB7nhMJynEsMj7zxkF2D4m+5/ZDdXc9rhReZZtLKg/rXLYksio9VDh+YhW6Xwnx&#10;3F549Uss0tND4e2jYT3MeeeuN9xkcuzevQCtJuk1OyPxzLgD940p0jVD9+7wd59TYUlZiwE7YrZD&#10;qZTuCyuLEMh9vnTpPHR13h88Af13EtGNOFFRhdHJ6fh5qx46+jway1xbOg93eCxbibFJNzHqVBZ3&#10;k18gEAgEAsHA8VlyBr5JvYGl25bBx5OKHm3XB5VFuU+dg68CL8PZDvuhO4ekwzkoHcfvVLH1zFu2&#10;rulAbXUu/Px8oOyTC10Fd7kbduwIxdv/bUWL6Tlm7i3E39eJfug8SOByCsyGr/4aUu8ksp7F+Rb0&#10;RSeRz1CnZyK6cKILBNZDxSdG6bn74bMoFFc7Zp9zgtIr7lZEIkUaP2bFSnPNCO91/j7OYTn4Zt15&#10;aKYGvOt7zp+3BhO1hJvMFbt2bcT//pvm3DbuPoNAIPg4QkBvj8AzUzIMxvJeo0pJ+K7urMXmiI1W&#10;98mkOKrQHSEoN5p7bfJeX2A/lFOveul8XwxfgQS5C1cstCUJygk44vM1c6KLOPcotL+KwcPKTayw&#10;IMHa3vQaOp7jYbi5kgnMw/Fh74+e5xTbLl03QyGeJ3qMlxiHG4e3mguF2npviyEYHCqk8azkRRkC&#10;N6+HTGZ9f0GFhwJLlk7Dk2fhaBepGHZB56toPG2MwNr1/kwE55233iDX+qzZ3ig3bGO9z5uMO/H4&#10;j+j2kXH/0r2R/7AQcxYGQCVd57zj9CnoQfTYsX3mB9G3g1fFTRvO//xnM0JySvD/nbgD9w1b4Glp&#10;bzWtCjqNEu7rNsD55B04pWZwN/sFAoFAIBD0H6fkdIw+lYV5+3bCf5rK6hQo66Eodxlkc0MxLjQT&#10;LizOnb/RP1R8tj4N6vBcPG95ZhbR37bh3/8y4vDBaLj34VmFUHrI4emlQX7uVek136Dm0WMod+TA&#10;KUhEuX8MinSftOUO9p0/jkKDZX3R/yOi64WILhBYCDnOqc/5k+d6lEv3D4nmJJ7z7jF7hlznxVXh&#10;uF0Yi40nTuGnzWkYJY0jQjg34xyag6+Cr8HDfylrqcKbq4YCSndZsWIhmp9XSvPj4BT9CwTDjREv&#10;oLe269FsikOFsciiXp+1r+4j9mgM22il6E7e4MRDoZRh7uLZKG0xCAHdQSAHbVFDJlJWeiNe5swV&#10;DW0Jc6K/i3PveEVO9JErolMf9BfPd+PyBnWfYsmpd/qNHV4w0oPeMBMA6dgQZvF8aGLbzX3PXXBh&#10;11KUtZSbC1A495Rg8KHCL+p9fujsQXiorY+opt9XqVW4di0YncJ9bhdQKkeHdM+fTF7NovV55603&#10;KFWAzuux46vw6g1Ft4fjqTECNSMout18b9Qg6dpJ6LzUVq3pCLo31NI9VVqSJj2IdnMX2baEIk+f&#10;dz6D59V8/M/RG1AuWwkdRblbco9rlfDUKOAauh1Op7KEiC4QCAQCgQ1wkvif1Fx4HjmEhYu8oLHQ&#10;XU1teTw0/H+zCK0Cnl5a/LDyKJzD8v6yyT/UuIRkMHf47vMG4PdW4C2ta7rw9HEp5s+b1ecod1f3&#10;ydgQshrdnY+l1+vEraJ6fLkhE18IEf2jUK/iL0MzEHLsNNLvxeBuRUSvke4kopfX6tHUIkR0geBT&#10;0P1B0L1CLRDyy833D+++smdoTLhHY0NpFOIvH4Vv5DWMDsrG5yO+1/l/cAnNxoQN6VDOCYZOQ7Ht&#10;ti6Wswy5SgZ/fz9UGrLYvEipL7y9BYFA8GmEgN6uZz9rWnMsEtCpV+aJqyfgPcWTucp5AxQPEtyn&#10;TPPBlYKrrA8t77UF9gf1cM7JPYWj039CgnIMXzy0ISSiH/L6CnnH57B+t+2vhm8E+SfpMDus751Z&#10;hDh36/vSk4CeFPAjmp7sZGIz9z0cDZPZmd9qkha1h2fjkOdXfeoRPxDEy11wau1UFD/KN0e3txi4&#10;95Ng8KnqqEVWbQ4C5s2EQlo88+anTyFTyBEYNAvPnkei46Vwn9sDndJ5qKjajlkB3n2ObifhfdWa&#10;6czF3tapR6NxJ+4bk99dNyOj9QIJ6BWmapYORG0NrC0ucVe4Y83qJTAZa6SH0Q7uItvWUPza3acN&#10;+OZsDkYdvASPBQuh87DwPtcoWOHAz1si8TmJ6ClCRBcIBAKBYCD5e2o2XJPPYUngbHhpZPCwoFUM&#10;ieeeXh6Y4qeB1pP/OxYhvZ96+jxMDLrGNvZ5G/5DyaigNHwbloXiuofSeqYVb383Am+7cfbMYWmd&#10;6m51YSNBBaLU4/XGtRTpNbuA/21FwvVKfLE+DaODhYj+MSh6+YugTPhFXcOpOwkorozo1Y1OImBx&#10;NYno5lhq3jOLQDBSYY5ziedGPWoe6lFQYXadO2JcOxXVUELFxawDWJlwARNCM+AUmAXnEP54MhJh&#10;SS9huXBduAs6S1PhBgGFyqxZ3bxxyiyeD2JinkAw3BACOhPQ9XjQehWW9kFnYsT8WVBYURnb8wCw&#10;/8Q+VHXVcV9bYIfQBvvL+7hzYR8OaiYgwWMI+kqrJrBe7FkJM2E0RppFU+61PLzp+GUv7pdtwImZ&#10;37NjwjtWHyPxXex78fnFw0ZAb38di+bmcGTFz0QiOcCVg9urn6H7ionnSfMUKCi+bBbPefeRYEgo&#10;bzO3DNmi3wylUma1QKhUK+HlpUFWTihe/TpCi3fsDHoQpxj98IiFTAS39pwStLmo81TjTtoGJsY/&#10;b92JR8Z4i5N4hgsU355emYGZc2b0qbhkktskHDmyl4nntOnLW2TbGnPf0FYkV1bi89QsjIs/A/XM&#10;mdB6WBh/qjbHnf68ay9GncmBU0o6VwAQCAQCgUBgHaNSMvD1qdtYtHMd/LzlbP3FnYvfg8RzpVqF&#10;JUt1iIjwwbQZGunv+L/bO9J6TyuHbP5WjGECuv05Bf9nbRpWHynCP39rltYzRol2tJsasGrlYsgU&#10;fYtylylkWLZsPlpbzAWOL181Y93RYvZeQvD5OHRsSBSbvOUOos+dQG7pHtytjOAKaj30iOiNzUJE&#10;FwgIelYn8fyFMQoNj6Nwr9JxhfP88kgUSWPAncIY7DqVjElb7+DzoCyMDhau8z+TyZJeflx2gO2x&#10;UAIMb24abFQaJZtHjx7Zi7eU9CL6ngsE/UII6BJt7ZFobEt6t6n6aRGdHEtVnXVYGbgccoV10VIy&#10;uRvCdoWi9vV97msL7BM654b2GlzdF8Jiqkms5IqJNoQEYHIX39jpw1zUJJ7yruXhDEXYUwQ7HYP9&#10;rtanAcTLx+NymNZcgCAtannv4RCQgPYqFs+f7WTHIl4xDgkeQyCeSyQox+KY/yRkp5+AobOW3Su8&#10;e0gwNNR01yP5ejK8fLSsLyBvXvoYtIHnJlcgPGKBNEfugWkEt5CwJ16+iUFa+gbpnGr67D53k8vf&#10;ndcoGDsi8NQYiWpj+ojpe94DteSJT4mTHnL/U+RoKUq1Al7eWhTkXZMeRl9yF9iDBX434l//bMa2&#10;vBL8V2o2voo9Ae1UX2gpzp3z2f+C9HvaqVPwoz4RTqcyhYgucHhGSXx20gzv3wUCgcDWjEpOZy1S&#10;AvbtxCx/c9sc7hz8ASq1B6b7axC1xxuHDnkjNNSL/Xdal3/4u5ag1UpzvJcXvl99Es5huZyN/6HF&#10;OSQdzoHpuFJYB7w1ml3o6EJm+gX2+a1JfOyBjhW1T0w5mcAEA8CE562NmBVbyHqvi169n+ZzEsck&#10;liecx/Xc/bhXSZHufIGNoD7Odyuot7MQ0QUjF3qupuu/pc0snBdVRjmscE73O2vlUBqFA5eOYor+&#10;GlyCs9jYIMbPv0Li+Q+rpedvnyl2I56TyYKKycJ3b8abV0/YPMjbRxAIBJYjBHQJEtCb2w/A0FqC&#10;UgsEdHIt7YjeZnU/WRLQF69ciMLH91hsKO/1BfYJ9XQufXYP5zbOYY5bnphoa0hEj5ONw6VgNR5V&#10;b0LHm1i0dY4sUavrt30oOrf4nSvfukIGEtBT5k/Cs4fbYXLQPuis97F03p/UbsH5dUokKMZbfRwG&#10;ikQVpTFMxJ3zsazVQVnbyHGuOgJVnbXIbchjc45cmnt4c9KnkCkVmD3HB5VVO9D9RvQ+twc6uqPx&#10;/IUe6wNnwl3et4czhYcCswJ8YKjcjs5XUSy6vd54XrpmaE0ycgpgyqXxqrTZgPUb10Ems/7+cJO5&#10;Yu3aZejquM82Z3kL7MGEXOhtLxvhfy0P/yc5Ez9HxEHnrWPiOO/zf4jWQ8ZE9G/3J8PpVDZXDBAI&#10;HAHqN/zz6Qz4XsyG7nw2xqSY/xvvdwUCgcAW0Jjzd2ku9TmSgEULPaFWW1akR05zT281tm7zwsFE&#10;b8TFeeOAxKIlOias8/7GEqgXq4f/UnwZchPOdhjl7hSYDp/IPHR2P5fWMxTj3oZ//qMJG8PWsij3&#10;vqQtKTzkmDVrGp49KZNes52tk2ofP4Z6Vy5GSe/H+xyC/zA6JFM6TtnwCr+Bw9cOo9CgR2HFx93o&#10;JKIXVujxpEnP3Le85xiBYDjS4zg3mqJw/6kexTVm0ZzuCd69Ys9Qn/PCikgUSD+Tbx7EwgMX8WVY&#10;Bv4emCWE84/gHJqL79aegmbqLGiluZY3Hw0FMoU7Vq1chDZjrTT/DU2rOYFguCEEdAkS0I3tsaht&#10;zbIovpRi3E9cOQGdF0VqWe5aIgfg1Bm+OJd1HtVd9dzXFtgvBumc3a26heSlOuZE54mKtqZHRE9d&#10;OBlV2WvR8Wbv8OnpbQHkHn9YuZEJ4SSI847Rx4hXjMfJOT/hoSHMIY9ZW1c06wNfVxCE00vdpOtg&#10;7JCJ5wmqcUj0GIfrh7eydIZyURBkVxik81EpnRd9fCRrNWKta4UiJpUeKhw5ugLdr4V4bg/QwznF&#10;6J8+u4Y5zy2JAf0Qug5kcjmOHJHOqzSWNpt24qExEeXGUum6GXnu8/M5F+E71RsqD+uKEcz3hxzH&#10;ju6THki7uIvroYA2h8ub7mPy2Uz898l0uG7VQ0ef2cJ1Kono6oAAfBN3irnmeKKAQGDPjDqZhu9P&#10;p+M7ia9OZTBGc35PIBAIbAn1PVckn8WywAB4auQWr8Pp99at90R8vDfiDnjjgERCgjciI70xdZqm&#10;7yK6VglPrQKTluyBS1g+VwQYSig6fHRgOuKuVUhrmR4XegcqKzLh6a1lMbTc7/UJSHSntMj9e3dL&#10;r9XO3O20TrpVVI9vNmbCKSgdYzmfRfAfXCjSPSgLX25MR/DRM0i/F42iynAW68wT30gwzDfocf+p&#10;WVCkZxfeM41AMByg65toMUXhwTNqZRBlvg9K/npvOALkOL9riMDlnP1Yf/gsftycxlo6fCHi2j+K&#10;S1gOvgq6Bg//JdBqKJ3Y+v0ZW0Diub+/H+rrCqR5r5u7byAQCKxHCOgM6oMehYetlyyKMCUBPbs+&#10;D1P9p1i18UoLeaVKhrjUONS9fsB9bYE9Y+6Hnlt4HsdmTkaCwvoY8QFBYxaDj/h+jXtnF8HUuYcJ&#10;q3+9rocnnb/sxc1wX8TLxvKPz0egY5Y892c8rt3scAI6FQ6Qa7708lIkzfwB8fJx7DrgfU+bo56I&#10;BI+xuBS9DmUt5UxA598vgqGiuqsOF3MvwXuKp9XiICFXKbB02TQ8eRaB9m4R3W4PdL+ORkXVdsyZ&#10;OwVyZd/c5+RaX7ZiGh483C2NgZF4YoxBpTFnxEW3U5IQ3SPRR2Lg7j6Ze6w+hUIlx7QZvqgyZLMN&#10;Xt7ieijo6Yd+pa4Gnydn4G8n0yAL2gRPrRIaC91bWpX08D9nNr46eAGfncn5iyggENg7PYI5xbeT&#10;oP7hvwsEAoEt+VtKFr5LvYGlW5ZhipeMucp58+2HkDi+cJEO+/Z5MwGdxPMeEhO9ERrmBbVObbEY&#10;/xc0MminzMDX686zuFmeGDCUkCv8563ZqHr4mK1l3jIXejP2xe6Gm8z6tRqhUMkwffoUVFXQeq0b&#10;eGtue5OUXoMvpPf7Ilg40S2BYptHB2XBf88VJN9KxF0DuVT5bnQS0fOknw1PoliktRDRBcMNuqYp&#10;qr25LQoPSTiviUKOdM2zuPb37gVHoUC6l6nP+bXcfdiWkgy3bbeksdEsnAvX+cdxCc3GxJA0KAPW&#10;QGdH4jntU+g8NcjNucLmPSpI4+0bCAQC6xEC+jtM7eHv+qBb4EA3VaOoqRTL1y6xWpxwc5+MjbvC&#10;UNZSAYOIPHY8KMK/qx6Zd47jsO93rAc0V2QcBFiMuccEZMROR9PTnSzam3dtDzeo/3fZteU45PUV&#10;Ejwsd2DHycfh7Co5jK2RaO10HAGdvm9LSwQy4/1xyPMrVgjA+36DgmYi4mXOuLh7Ocqay1hrA+59&#10;IhgyqMAr/2EhFq9axDaOePPQpyB3LaWr3Lodgs5X0n3SIQT0oaa9aw9M0nnYt28p5Iq+iees96bW&#10;AxcursfrX6PR1LobtcZr78TzkRPdTlB7g8yabMxfPAcKpYV9wt+D4kQ3bFiNf/+rmW3y8hbXQwU5&#10;rP797xbsuVuG/z6ZgVEn70C2OhCeJIxbIqJLv6NTy6Bcsgzjjl3DKBHnLhAIBAKBRfw9ORMup9Ix&#10;Xx8M/yky89qLN9d+gNLDA9NnaBAV5cXE8vfFc8Ic5e6DxYv7F+VODjnZvE0YG0pxvPblKiSh5rO1&#10;aQg+XoxffqGiQHKMd+PxwyLmpJOrrF+vEZPdJmPXro347Zdm6TWpH7oRv/3agh2nyzBqXRpGhwgR&#10;3RIoJYDc6D9sSsfmpFRk3os290bnCHLmns9RqH1gNikJEV0wHPhDOG+lqPYolLCodnOf8w/vAUeA&#10;kiSKq8KlezkGEWeSoNl1E06B2UI4twASz8dIuEvzqY56nlOxOmf+GWxUagVUHnKcTjkE/G4C3trX&#10;PoVA4OgIAf0dbe3heG5KRKWxqNcY9/K2SiaAh+/fzQYoa/oykQOdNm3TKtNR1VnHfX2BnUMiencD&#10;bp/eg0O6r971guaIjYNAogcJmuNwYZ0SDcUh6Hgdy6K+edf4cIH6vr94vhvnVsstdmLTcSIKU+Y7&#10;jFufvic5z5/UbsXVTTrEK8YhwWMC9/sNCpqJrHXBmdDZKHmUB0NHLf/+EAwZZmdtPfQJFN1Orhfr&#10;F/Pucjl27V7ArsEO4T4fcuhhvVMas3LzNsLXjzZO+xJjSdXISoSGzUFzix4tpl24b0x+d92MrEI+&#10;ukequmqRevsUPKgA0konF91TdA7OnT4MwGSXVd20Ofzm1+dYfqsA/19yJpyPX4dyyXImjFvmRFdB&#10;5yGDavEyjD12VcS5CwQCgUDQC6OSM/DFqUwEHAjH3FkqqDwsW6+RIO7lo8bWrV4srv1D8bwH+je9&#10;3gtTp/cjyl2nhM5Tix9XHWHRs2PsTEQnR/jYoAzcKqmX1jJtePvWiP/933YknTgAmcLNqj23HkhQ&#10;8PTSoCDvqvSa5rY7tE7qevUCixPu4u/r0lhUOe/zCP4KudGdg7IwM/oKkm4eZLHPhYa/RrozN65E&#10;ZYMezW16IaILHBa6dolmYxTqHupRVC1d49K17Zg9zvUokO5Xum+pCCbqbBJ8oq5KY2AmPpPua949&#10;L/gQad4MzcHkReHQSXOqvYjntEdB5pm9MTvx65tGNod+uEcgEAj6hxDQ39HWroexPRp1rWkoMfbu&#10;qiQH05n0M1YL6Ox3Jc5lnkPtqwbuawscgLYqVkhx48hW5kJP9BhCEV0zkbmrj8/4DkVnFzGHNXOj&#10;D+MHlY5Xsai7G4xjft+ynvCfEtHJqU+/c2WjBs3PdztEgQGJ/O0vo1GRthqpCyazzz9U/c4ZJJ7L&#10;nHE2NADF93NgEMU/dkl1dz1Sb6Wy6Hbq0cybgz4FRbfPnOWN4tKtove5nUAtOoymKGzaPKfP0e3k&#10;gJrip0N+wWZ0vozAo9YEGFix4MiKbicoQaj4eRmCNq/vU0KD0kPBnFAtLyqlB9N27sLaHiBn/NOO&#10;J/C8mI3/k5yJscevQTVvAXQqN+73+gvSOpVEdMWqdRidfAejhIguEAgEAgEXp+R0OKVmYcqRQ1i0&#10;xAcatWXrNSpwpFj2wCAvJHwQ286D3OkhIV7S3/Y9yl2rkcFjxmKMC7kDl1D7E0z+ti4Nc/YVwtTR&#10;xIRuoBNNzwxYuHA26+vK+0694S53k47barzsevTH2o3WSU2tzzAzpoCJ6LzPIuDjHJKJUYHkRk/D&#10;lqRUpN2NYW50EubeF+sozpr6QZfX6fHcaHbv8p51BAJ7o8dtTv/7eYsetQ+jpGtcuq5JOHfQHufU&#10;duGeRNq9GMSePw5dxHWMle7lv6/PZgkTvHtd8GdYcktoDiYtj4POSweNpm97M7aA5rkNG9bgVTfN&#10;c/bTYk4gGE4IAf09KMb9YdsFiwR06p95pyIdU2f4wsNKR5hMGtz2HotFhamKuaF4ry+wf8rJgfu8&#10;BFdi1iFRRSL6ELqDJeKV45nQeWOXN57e34qO13uHrRu9rWMP62NuuLUKKfN+xgG3MTjgPtYca896&#10;dE9gUef7pf9Osec3dnij8dF25ujmvZ7dIC3Wqfih+UU4cg7PxhHfbxAvH8+KJHjnfLCIdx+NlBXe&#10;uFebBkNnPfd+EAwt5KrNqsvBgqXz2BzDm3s+BUW3k1vmRNIqJp4Lp4B98PJNDC5cCoTOU82EcN65&#10;6w2KfY+OXoxWUwSet+lRZcxAqXFkJkhUttfgetEN+EzxtHrtRpADKjpqO/71rxfSw6n9Vnb39EMv&#10;fHof353KwH+lZOKbhNNQz54NjYeFhQNaJXQS7us24IuTQkQXCAQCgeBDnCRGpWZDdzwJS9dMl+ZN&#10;Mldw5lQO5CRfslTHItrjKaadI5q/D/3e/v3emL9Ax2Lfea/ZKzS361RwXayHix32QmdR7uvScOxO&#10;tbSOMbLWNCSiX7p4nLnJCe73+gQeWnrGUSA766JZWPjd+Mc6qazhEZS7cvG39WkY+8FnEXwcOk8U&#10;9fx5UBa8Iq7j6PVDKCjXMyH9Q+GOnOjF1Xo8axYiusC+ob797XSNmqLQKF2vtQ+pR/h/EhU+vLYd&#10;gUJDBItqv1MYi9gLx+AdeY0VwdC9O1q6h3n3t4CPszRn/rTqGLQ+PtBo+tZWxBa4yVyxaNFcPH1S&#10;yuZL3t6AQCDoP0JAfw/WB910HAZjGUp76QlKm7B5Dwuwcv1yFpXLG8g+BjkDl61bgvzHhagQPYQd&#10;GhZj/aIEFyNWIEExBonqoRXRSTwmN3rKgskou7Icpq7o4dsbvUNa4L6OxaPKTcjYPwPnVitwYub3&#10;OOT1JY5N/RYp8yfh+jYvlN9cwRbB9h7dTpHtnb/tQ0NJCC5v0EjncaxVPd5tRbzMBclLtMgvvvjO&#10;eS6KfuwN6nte3lqBbVFbIZf3LeJQplBg3fqZeNYUIaLb7YSOl3vw6Ek4lq+YBnd53yqcKbp9VoA3&#10;DBVbpNeLRL3x4jvn+ci7j6lgsVKas3ft3WHegLXSvaXWqJgD/d7dm+zh9C1nUW1PgPqHSiRXVMIp&#10;KQ3/nZqN7w4kQzvVF1pLRXSNEp4SssBQfMFEgkyugCAQCAQCwUjkf1Jy4Jp6EctD58BbS+2TLFuD&#10;k3geMEeLmBhvxFvgPu+Botx37faGl49Gei/+a/cGudDVfrPwdeBlOIdSlDtfLBgqPg9Kh2JHDh42&#10;PpXWWySgm/D65SOsWbu0T+lBBP3dihUL0N31gL0erZN6RPTcygf4amMWRgWKfujWQvH31Bt9YmgG&#10;Vh06iys5+5lYl/+BG53iru9WROFJkxDRBfZHj+OcUt8eNUahsiEK+eVRzG3uqMI5JULQvZhxNwZR&#10;54/DL+oavpDu1c+DMpmAzrufBR+H2p58v/YMNNLcqVVbb1axFVTcP8PfDxWGLPP+hB22lxMIhgtC&#10;QP8TkWhp34fq1lyU9BJtynrNdtYi9theuLlN5g5mH4P6U3j56nCr/A6qRB9hh6e8sw4lTwpwJmw2&#10;6xFNLnCeEDmYkIh+SPclbu72xcPKjWh/FYu27uHpRidhvPPNXuYwr78XjMrMNajJX4+HhjC0mvTo&#10;/HUvc6zz/tYeoM9Gznhjqx5F5xcjKeBHxLmPG3LXOREvc2bieUHxJRi661EmEjPsDtbTWZqLjl8+&#10;Do2neX7hzTufgno6+/ppkZW9kTmeedepYHChcaH7dSyOHlsJuUrZp6II+hsS0JNOrkJ7dyQetSVJ&#10;14xBYmTex1RoklWbg4B5M6FUWV81LlO6Y8WKRWg11rAHVN6i2t4g59Y//9WC8PwS/M/xO/gsNRM/&#10;Rh1kIrrFTnQmoivgtmk3vjiVgf8/e+/9F0W2dvG+/8u9733POTPqzBhmdBydZIBOdCILmBUTBpIg&#10;mBNJwEB3g1mCOuYsGbMgIGBOYySDjjNnouvuZ1e3tlgg3aA2sn/4fprQtSt0ddXetfZaT7/sfFkR&#10;QSAQCASC3sSnWYX4Nusgpi+bBV8vBTSdFLQpUcjPX4fVqyVBXE4olyXNC2lmb5jTvREWaYRaK8XA&#10;y62jYzQw6BRwn7IUA2NLpFhaGcHgQ8Fd6BG5iNp28WVfhqLXz54+wkvMODPWoWXIhb5/71bWVhMX&#10;z6ntFy9owmEddhVdwVfRBeg3X4jozvA5O3Z9IougWXkMq3N2oPBiMs5fjsPp8ldCOgmRp8sTcfOe&#10;VBNdpJ0JPiTkNredh0/qE3HjXhIuXUnEKXauFpJwbj1vexL0fbPVOD92eh0Sdm+Hz5pD6B9ViE8j&#10;C/m1Ve77K+iY/uw+OTTyILR+E/gENLl7zIdApVHCYNQh9/hPQjwXCN4DQkBvA7nQr9cf7VRt0Ku/&#10;3EBO7i6HO/L0UJvcT+u3r0eFiHH/KKhouY4LN4qxM2qs5ER3AfGT3MsUa75j4o+48NM0PH4Sz4V0&#10;cqXLnfs9Gpo1+jQFTc/XcsG86de13J1Orm7Z97sIDa0pXDy/Xb0Ih5cYYWGfGUXPy32e7xV2/pJ4&#10;vuOleH5diOcuCkW3F9QUcVHQGVcGPXhTqtVISZ2BhuZkLtzKnauC9wvF6JdXLMO48d5O1z4n1/qs&#10;kADcvLUcj1tNqKg936m+zcdKzdNr2JC5wamHr1rGKLeR2JWzEf/808LjP+U61a4Iuaue//YQk46d&#10;xv+z9ST67izGjytSYPTSQ6ft5EQC1mc1sPePXpqAz7Pz0C9LiOgCgUAg6L18mlmAwTnHMTMxEkG+&#10;Si6Ky94/20CucS8fHRYv9nRQPPfmArpptQ6WVR5ISfTEuIl6qD2cK+9D8bN6H18MD8vm4oCcaPAh&#10;IRf61zEFyC+7zvsx5Br/7defsXRJlNO10JVqBaZOHY/798q5iP6yn/SC+nS1SDtcif5svZ9HCRHd&#10;GUico9roA6MLEJR8EJuPZuD0pURed/lUuSTwkROdXmtuJXK3r3CjC9433G1unbzx4EkSrtxm52iV&#10;JJxzxzl7tRelewIkmtP37Ex5Ag4Wr8PibdnQrDqGL9l3UtQ47xr9Y4sxZP4RqINmwaBz7t7zLiA9&#10;yYOxbcs6dv+qx4t/6l7e0wQCwbtBCOhtqG+Mx936HJR3wqVFrr/cyjxMmTERSgc78hoPJeZFzUF5&#10;/WVU1FfJti/oWVS+JqK7hhM9Xfc1F2QtusHYN98DV89ESnW2f0nlr3LfAcG7h4R9EvkfPYrD2ayp&#10;2Db2e17Dnmq3y36O7xmTu+Q8P31hPzuvhfPcValsqEbp43LMXxzJ70HORrcHT/PDjVur0PLs40yp&#10;6Gk0tqxhA/s1SFozzenodkoVoMkRe/aG8kk6VbV5KKvtvSVjaLLiuXsXEBIxix3T0bLHrCOUGgWC&#10;xvrj2pVTAFpkO9SuDD18vlV/F+57C/G/23LRL6cAI5YkcFGcHOZy+/wGWiUMnjqMWp6Ez3YVoV9W&#10;nqyoIBAIBALBx8ynmfkYtDMP09YtxtgADTxYn0v2vtkGEs/1Bi2ioiXxnGqay4rlbSHx3OQNc7gb&#10;0j2H8rHapuAfsChSD4O3lrcrt763ode5Qz0xCl8uKMCAmCJZ8eBD8p+wXIxdexYtLQ+tInorLlcU&#10;wsiOoZpK8cjsU0dQvD6J71u3rANe0GRI+35SLf7+8wmWZ5ehX3ge+stsj6BzfGGtrzx0YR4iNu3C&#10;gaINOF8puWJJ7LPVky6/mohHdWzcI55JCd4DXDhvJrd5Eu49TELVdRKeJcGcJnb0ROH8LPtOUUx7&#10;0cU1yDxhxvzNuzFyyQkMiKI0jUL+XZT7jgo6x4CYYgxakAfluHk8tYXSW+TuLe8beuanULph/dpV&#10;+OuPx+z+JZUlEQgE7xYhoLehvjEBjxs2oLL2wludWuX1VVz8XrgqFu7ujj2QpTrogePHoPBqMRdB&#10;5NoX9DwqW+1EdOWAD14T3QbVRjepvsRm32E4ucYPtyoXchG94SONdXdlyBlPx72mJBwHY3UwawbD&#10;rGbniU7+s3uv0IQLq3jOnefN19h5LcRzV0SKbr+KdVvXcjdtZx/e2SPVadTi8JH5XDwX7nPXoPlp&#10;MopPLYS3t77TjiZ7bKkCUdHj8PBJAq43HGT9GZqo13u/y9d+uYns49kweNKDZsfd56PdRyEhfgn+&#10;+aceL7hTSb5T7apIdT5rUXL3Or7JzsO/MvPwWU4hRi9cCaNOyV35cvveFl473ccL36/JwGc7C4WI&#10;LhAIBIJeBYnn/XcWYFxaIiZN1EOrVfF+l9w90x56D9U9nzvXwIVzh8XzKAXSDWys5jGET9LPoInX&#10;80Zj6gxjp6Pj30CvZv0iI76buwUDY12vFvoX0Xn4PDwPO/Krecy65EJ/iJTkFXBzYjIkQeV4Jk4K&#10;wt07pVyQt+8rUT/p6bNHiNhyEf8OOynijrsAHTubkO627CRW5uxA7tnU1+qjk2h5oSoRPz+WHMEU&#10;qS03LhIIugKJ5gS5zW/cTcSlmiR+/tkmctgL0j0BcsqTcF5aHce/U+v3b8bUDfswLJaSOwrxRRTV&#10;OJf/Xgo6D4nnXy7IhXLSAhgMan6/lLunfAhGuY/E4kWRaG66ye5br9JUBALBu0UI6G+QyEjAlbp8&#10;6wNn+YexNq7+chMbdmzg8RkeDlxU6QGu3qhFGluWInjl2hb0TCpbbuDCjRLscjERnSCHc5riS+yY&#10;8COKN07AgzsrXgrpQjx7h9CMV3aMbXHt+esDsclnGNLcB7mGcE7ohvDkhOy53jhTekByngvx3CUh&#10;8bym9Rr2FO6Fj7+Xk9HtNHNVhTUp09igcg13Pcueu4L3Cn0Wj2oTERExlovgcp/d21B7qOHtrUPJ&#10;qQW435LD+jKVnerPfKyQ+5xqvy9cHQs391Gyx6wjKCKNhPeTx3e98bC1J0HCP17UYeflKny+7ST+&#10;k5WP/pkn4R4Rw2ucd1pE1yqh9/PGDySi5wgRXSAQCAS9gz6Z+RiQk4+J6SmYOtUID42ST7KTu1e2&#10;hcTz4Ol6rF/vBZNJRiiXg0R2szdMi9SS81xrl26nHoyMWSMRF+cFbz8dnHehK+ARNBODuGBQKCsk&#10;fEj6RObCY1UJ7jy8x/pgkgv9+rUzPBVIqXYuTne0YhRMaQn443fqG70ee0vrqG96gAnrzuLTsFwh&#10;oncDn0UV4IvIQvgkHsa6PVtReIHqo8fzes0kYJ6pTMTNnxNf1qSWGx8JBI5gq21Oz/bJbV59K4nH&#10;tFNEOyEnTLsyVAJBqm3OYK/7CtKwZEcWfJMO48voAnzCY9qF27y7oESWQex+qJi6DAY9TTR3HfHc&#10;XemGkJBg1D6uZvernpeKJxD0ZISALkM9u9Herd8FSTzqWEC63HwFB04fxJixflCzQZTcRa49KHJ3&#10;/pIIHgV/qU6+fUEP5Ik1zv1mMXYvngSL5ktYPFygrrUdacoveWT4zhmjcWbbJC6k2wTeOiGkdx8k&#10;nD9NQSPjwb1VOJM5GZmTRsDEjj85z+U+mw8BTfIwK/pjd+wEnL+ajwoR2+7SVLVcRcGVIkyZMcnh&#10;8iE2KBqcotuvXV+F1ufsey93/greO0/ZZ7FnTwT/jJxynzOoZvqqVRNxv34jqhpK35qm87FDk02o&#10;n+bprXfYfU5Q3GfovBn47fnPXICW60z3FKjO59/sNeFMKT7ZegKfZBegf1YuFOELYKR66J08PuRE&#10;N/j54Ic1G9FvZyE+I0e7jNggEAgEAsHHQN/MfHyWXQTfTemYOcuLlzXpjPOcoDrlEybqkZzi7Vjd&#10;cxLPl2iQ7vON5Dy3jd1o8jUlmM1XwLzRB+ERRi6gd1bMfw09mTr0+HF2Oga4oAud+DQ8Fyt3leOv&#10;PyWB+59/GrkATv0zZ8pXUfy7j48RN6+flRUgaB0PHt/HuNQz+IStW4joXYccsVQfffCCAgSsOYgt&#10;RzJQUpbEBcGSSwncVVst6qILuoCttjlNxHhUm4TrdxNRdiURZ8qltANb/f2ehCSaS7XN8y4kY9OR&#10;jZhm2ouRy06g//xCfBpZhC+E27xbGbCgEINiCuA+PREGo5bdI50rp/cuoASVCRMCUX25mN2nml8r&#10;QyIQCN49QkCXgWLcHzWaUFF7CW8T0CnGvexJBWaGzmCdeDfZC117qNQKjJsYiGOlx7kQL9e+oHug&#10;SQpXnt3gMa5Xf7nBH6i/6+h8EiFLfz6HgylhsKgGwaz58jXR8kPDY92VJO4PRtbUkTiXPRU/31rO&#10;RXSKGRc10rsGCedNv6bi4f1VKD8yG7vnKKxR+lST3gXq41vh4rlqAHbHTsSFG0VCPHdxeN3zR5ew&#10;YHmU0+K5WquB0VOHQ4ej0PqLEM9dheZnybh1Jw4zZo6Bu9KxCXk21Fo1/MfocKF8Na63nu314jmV&#10;2aF+3PI1S6FUOv598dBroPZQ4addG9lAtQkv/ul58e1toQfDT58/QMjJs/jfrcfRJ7sQg7cchmZm&#10;CAwe7Bg5EOeuHzsWX5t2ou+uYlnBQSAQCASCnk7fzDz0I/F8y0ZMC/F1WDwPDNQhIcHLQfHcB2lx&#10;OqSPGY50NlZ/OXbj4vkQWKaNQNo6T5gs3khO9kJAEJX9kd+Gt8Fd6AHBGBJ9nIsHcqLCh+TzqDxe&#10;p/1MzS3Wh6llNKLuSTUmTaa0JsdTuAh6bkelef784xFrr/71vhIve1OHS9duQ72qhIvoctslcJzP&#10;rbWZB8fkYcr6/cg8YcHpsiScvxwHEtLLryTi4ZNELoTKjZUEAntsdc3pfHlcl4SfHyWi6kYSzlZI&#10;AjSvbd7DhPNT5Qn8+0DlDiitYXd+GlZmZcEYdwRDYvPwOfv+9GWImPbuZwC7zwyMLYHbjGQYjDro&#10;qMyZzP3jQ6DUKODr54nzZ46y+1MTu0/1/GcSAkFPQwjoMpCAXtuYgit1hW+NPbXVoU0wxfMZsI7M&#10;gtXqNDz63ZRt4uKuXPuCrkGfT3XLVeRXFyDreDY279+CbYe2Y2/xPpy7d4H/7126/yvYuVH24CIO&#10;rZ0Piwe5jl1LRCdI1KUa3Gb1V8ieNgrncqbi3tWlaHqWanWky39PBPLUtySj+bd1ePjzKlw6FIK9&#10;4SouUps0X/FjLfcZfCho8oRZPQj7Eufh4s0SVDSJiTyuDk0GMu1Ik8qGOOGmpQd+CpUKiYnBaGpN&#10;5pHhcuex4P1CDwBa2fU2PWM2/3yccdQQCpUSJnMIbjXmoryexPPePRnmcmMNjpefwJggX/adcfz7&#10;QuL5uHFj0FB/hQ1WG2Q70j0RegB9u/4uDPuL8X9bT6BvTgGGbD4IzczZMFCdc5ljIYfBQwnt+PH4&#10;2rwT/XYKEV0gEAgEHxf9KGEluxB+WzdhXqQfDLrOi+fkCvfx02HZMi9YLDIieXuYvGGK08ES+O3r&#10;znOCxPSJPyAtycDfl8bebzZ7IybGk61P2+ltew29GgajB0bOTEX/haffEBVcgT4RuZi4/ix++YUE&#10;b6keetYOE+unKdl+O95n1rAxlKeXHuWX8lhbjW/0k15YRfQLV27BfUUx+kTmyW6XwHF4ffQoqT76&#10;94tyEZaxG9knLThbTrWd43hd9LsPrG5i8RxKIAOdF42UVNCQhPuPk3D9ThLKahJRYnWa8/rmMuK0&#10;K0Nu84vVcTyifX/RBqzdvxnB6/fz7whNOqHJJ/S9EYkY7wZJPC/GiDkboffy5BPL5O4dHwIqJ6dn&#10;r/v3buX3q56eiCcQ9FSEgN4OJKLfqd/dKffW5cZq7C3eCy9fI7+4yV302sNdMRqRi8Jx/v7Fd+6I&#10;7m1UsONZUVeFzXs3Y9L0CVxwGj16JBQKN3izzypiYRgOnjmIy001XGiXa6M7KG+8gkuPL+HYtlVI&#10;N34Ni3rQ6wNhV0H3NY91N6m+RM600Sg0jcWt8lgeP05Cen3LGtZZFWKbHHRcGlqSeT35x4/jUbpv&#10;BvZFarhAzV3+LuQ4t0GlBdJ1g3Fw7Xx2fpbzyR5y56/Adbjy9Dr2FOyBj58Xf2Akd095GyqNGlOn&#10;+qHm6kouoMudz4L3z7NfU3CpYhnGjqWa9s5FhZF4Pn2aN0qvZqGm9Qrrv/Ru8by8/jIqG2v4BEeN&#10;h3OTEsihlGFJ5rHnbetk9mReMOjBcNn9G/hxZz7+tf0k+uYUYsjmA/AIng69pvNufS64jxuLLy0/&#10;oc/OElkBQiAQCASCnkY/xn+yS6Dbtg1hkX4w6pXwcEA8N3ppsXSpp2PiucUbGxINsAQM507z18Zv&#10;JKYHfYu0RD2Pd7ctk5bmhbVrvTBpsp6ND+S3523ote7wCJyOr6OOon+M60W5U0xx//l52J5LdV9J&#10;QG9EQ90VhMyayvrNzgkdVEN96ZJo7uSTEyRevCC3ex3yyq5jWEwB+rL1y22bwHm+iGbHNaIIPy7O&#10;xbyMn7iQTnHVFy7H49odinQXbnSBBInm3HHOeFSbiBs/J6HiGk26SERhac90mpNofrYyHufZ+X7i&#10;zFqk7duCORm7oVl5jEe094ks5N8RIZq/W16J55ug9/KB3oWc52SYoXvc1i3rJPH8I5rQLxD0NISA&#10;3g71jfF40JCB8tpyvM3BVdFQxd3MJNI6KmqQu8k/wAcHzx5CTet12fYFjkOfSSXDnG2Gjg103RVu&#10;rz08p4fpCqUbd6WRI51SBKSoV/n2ukp5Qw2jGrn71mNzwI8wqwZKEWz2g2JXgW0X1Ugndkz4EUeW&#10;e+Fyfihq6xO5iE5iOonFct+b3gYdB9vkggd3V+L8zmDsCVex4zgEG9wHuZzj3Aadfxu9huHo1pXs&#10;vKxCeWON7HkrcB2o7nl+dT6mznS+7jnV1NYbtDh+IprXPRez+l2DRnb9qK1PQlz8VLgpnBuwaXQa&#10;aLUKbMlchetPa1D6lvSc3kBlYzVKbpzChKnjoNY4flxpQqSPrxHXrp5hg9Vm2U50T8bmrjp4pRpf&#10;7jiJ/5CIvrMIQ827oJswAXqKczd0btKBQeMGTfB0DNx8iLchJ0QIBAKBQNBTIPH805wiuG/Pwcz5&#10;Y+Gpd+eiuNw9sC1cPPfUYkGMkYvnJHC/JpK3h9kbaclsmYnf8xrnr43faEw5ZjhMq7Sviec2aD2L&#10;l3jCwNbb2e18DXKhM0bMXIcBsadkRYYPDbnQtatLcPvBz6z/Us9owoljO/m4yJlJkvQczsvbgFPF&#10;B1lbb9ZCl/pKtZz9p69geGwB+gon+jvhsyg6tkUYseQkZlv2IOekmbuJq67H42GtJKKLcWvvwyaY&#10;089P6hNx50ESLl9PxPkqSYQu6mHC+WlrTXOq/X+a/X7yXAosB7awc/4naOOOYGgMXeeK0He+EM3f&#10;J3TP+37eNqt47jrOc7qvjXYfhdTUVfjjdxq3C/FcIPiQCAG9HaQY91RcqctHWW3H4hLVQSen0+r1&#10;q/hDWkc78OSIphj3aqqDLmoPdxkpVv8KtuzfDINR2+GDcxpwefsYsadorxTnLtNed0ECemXLNRTm&#10;78C2iQqYFP2R7oLO5JeQI10lOdI3en3Da3ifzZyCW1WL8KQ2Hs2/ruW10ut7WwQ068STaE77/6Qu&#10;ATcrYlGyaQKyp43mgjlNPDC3jdtzFdj5Zlb2Z+efOwqOZaCisUaI5z0ASsm48KAM8xdH8Ik/zjwk&#10;IseMUq1Gcsp0NhBdg8ZWkSbhKrT+koyS0wv5w1ZnYigJlVqBeaFTUP7zGfa9FqUYiJrWa0jelMyF&#10;cCqZI3fcOoIGrAnxi/HfXx8ALz7OASvIXfXPE6SVluM/W0/gkx25XAAflpYF3YTxvM653LGRw6BV&#10;QjNjFgZtOoC+OUJEFwgEAkHPhMTzPtnFcN+ejRnzx8OTnOcOiOf0Gh1t5DXPHRHPN6QYYZn8vXxs&#10;u/8wmFZ6YIPFR3Z5vp40b0ydaYTGGQGd0CmgDQzG1/OPYIALutBJUPpX6Eks3VWOv/8iMaEJzY23&#10;EB01F26K0fL79BaorxcdPQ/Pn93jony7fSXUYf+pKxgaU4B+QkR/J9DnS1HVXzCGLszFpPX7sflo&#10;Ok6VJePe/Xg0NiXwetdyYynBxwMXzdnnXM9+prrm9x4loeZmIs5fJte2JJjzmPY24rSrQi7zC1Vx&#10;KKWa5heTcejUWmw8koFQyx6oVhzjdc3pnO8bWYjPhdv8vUPi+bDwXdD5jXM58dxNMQqLFkaipfkW&#10;v9/J3Z8EAsH7QwjoHdDQuBp36ne9PcbdKtjuK94HHbvQOSpu0IPvWaHTcebOOS6UyK5D0Gko5nhv&#10;0T74B/p2ynVGIvq02VNx6uZpXi9Vrs1ug50rlU9v4PTFA8gJ9eMiOtXHfm2Q7GrovoaZ18r+CmbN&#10;YGzx/xbHVnqh4thc3K5ZxF3Yzf9dh4bWj7teOk0UaP5tLZqep+Le9aWoPDkXR9lx2OQzjB8XwlUd&#10;5wTFyJuVA5A504DT537ike1SjWSZ81TgMlAyBk3uSdmYzO8VzojnhLtKhVmzx+DGzVVoeSYSJFwF&#10;cp8/qU1CTOwE9vmq2ecr//l1BNX2Nhg0yDm0haepyJ1HvY3LTVdQeLUYk6dPcCqxQcOPqQfOnTnK&#10;BqzPZDvQHwv0YPivPx4juvgi/pfqoWdaRfQNWdCPC+q8iM6uTQatApqZIRi49QiPhJcTJgQCgUAg&#10;cGU+4eJ5DmZGjYenofPiOfXh6L1z5xleidpthG5ZSDwn57lNPLdPqaPfvYbCtFiNDeny4jmHtWFO&#10;80TcHBXbZnoeJb+NHcPu43o1Rs7awONsB1KsrYzg8CH5PCoPX0cX4FwNCQoU5f4LSor2Q6tTO1xK&#10;kaBa6BSRm5+7h7X1lKfzyPeVSLCvw+bjVRgQmYfP2HbIbZ+g65CASPWeSUz/KiYfU9btx4b9m3C2&#10;fC3q6uPR3JIg3OgfIeQ0p7rmT+qTcO9hEq7cSkRpdRIXoXlNcyttBWpXg0T+MxXxXDQvYxScT8Gu&#10;PBOS923GLNNeuC07gf7s/KZzXNQ1/7D0J/E8bDe0/uOh1zuXAvgu0DKojNzcOdPw890ydu8R4rlA&#10;4AoIAb0DKMb9YUM6LtddQNlb4lBJ+C65cZrH6zoaFUrOKL1Ri/2n9uNysxDQuwI5zo6WHsPEqeO4&#10;2CR3vNtCghRF76fvtPA69OUy7XY3la3XcfFmMfbFz4FZPRAWj69eEztdFt0Qtq1DkKb4kgvq2cGj&#10;cCLRD6UHZuLu1SW8Bji50htak7ngzGum98QBDttmvv0UWf80BU3kNn+SgOrCMBSkBWHXbHde3zzN&#10;FtPuqnH8Vuj8srDzbPfiyThXfVKqdy7SLlweStMg8Xzrga38HuHMgyGC6p77+hlQfGohr7Ute84L&#10;PghPnydj/4H5/HMi0bbtZ9cZ1Gol5seEovRhOS9fIncu9SrY94b6AqlbUp2edDLKbSSWLInC818e&#10;4sULeUfSxwRQi6Zn9zHp6Gn839YT6JeVx0X04SmbYPD3gV7byX4tF9GVUIXNx4AdJ4SILhAIBIIe&#10;AznPP8kugfv2nZg5fzy8uPO8c30ILp4z5s4zckHbZJIRueWwOc8n/SA5ze3HlDTGJPF8oYq9r2Px&#10;PI21kT5rJDYZhmC2YRQ0Bq3sdr4NLiKMmYzBUccwIKboDcHBFfgkIhczLefx3/8+Yv2XRvzy9Gcs&#10;XTLfeRc6Wy4qai5aWzt2+fEJh38+wYZDlVxEJzFfbvsE3Uf/6HxeB/rLqAL4Jh5C3K7tuFi1Hi0t&#10;CWhuTUR9U6Ls+Erg+tAkCJvbvK4hCXcfJuLq7URcupKI0+U9o645ieVUy/w042xFAq9lfo69Hi1Z&#10;h4xDm7BgexbGpR7A6CUnpWh2di5zwZyd10I0/7C8FM9fOs+dM6m8CxRqBSZMDMT1K6fZPaml3Yld&#10;AoHg/SIE9E5wpS4PpbUdR6JShDs5BRPNCXB3tPPOBlskuq9Ys4y38S5rcX/MkNBEkxhCwmZCoRwN&#10;rQM3QRLQQ6Pn8nYokr9t2++C8qarKK+twNFtq5Dh+Q3M6kFcoLYXPl0ZizXiff3ogcgwfM0jzA8t&#10;MeJszlTcrlzEOsJsQMM6xCSm87rpVlFd7jv2waEOfMsaNDxNebWtTWvw+HEcLufOQ0FaIPaGq7HZ&#10;bzg2uA3kMe3k6JY7Lq4G1Tunz+fQhmiU3r+AipZrsuejwPWga9rBs4cQMNYPKo1zkVL04E/tocGm&#10;zbPRQvX6e+KElo+U5qfJuHl7NWbOGgOl2rnJEeSa8fTU4eDpg8J9boWOQ35NISY56z5nx5SE4OPH&#10;ctigldznj9/oPH9svGCQs+p2/V147ivCv7adwGdcRC/Gt4kWx0R0dvwMDGVkDAbuOC5EdIFAIBC4&#10;PH0z8/B5dgE8t23FjPkT4KVXcDe57H2uDSSeEzbxPM0B8ZzXPJ9EznOZmudcPFe3L56Tw93E2lit&#10;hWXC98jwGIKNbHyaYhgGP6MaHjLb+lb0aujZ66iZa9HfBWPcCRKfvojMw67iK6zvQvHqrSi7eBI+&#10;vp78mY7sfnUE++yUagUO7NvO2mrAi3/qZPtKBK3vr79qseFQhXCiv0dsQjpFXWtWHcWK7N24fN2M&#10;5pY1aOFCejwbWwkx3dWxieb0c21DEn5+lMRF87KaRJyplGqau3JdcxLLKZJdqmMejzPs91Ps7wWl&#10;a5B1Ih0rMrMwbt0+qFcfxbcL2TgqogifRrBxUJTrpXn0ZvrHlmB4uNV5rnP8WcG7hMTzgEBfnD93&#10;nN1vSDyvlb0XCQSC948Q0N9CfWMc7tbv5K7kstqOHZtXnl3Hztyd/MLnaB1TEtDHTQrE6dvnUNEg&#10;YpUdhR6YF18/hfDYUKccZ7TMhODxKHtS8V4nMFD9aaqLXnBiM7ZPUcPcEyLdZbDV/iZHNom1WwO+&#10;4zXT89cHoPLkPNy9thQP769CbX0irx3O66c/S+WCNXepy3z33iW0TknYT0Xzb+u4c762PgEPf16F&#10;2zWLUXY4BMdWeyN72qiXEe1pikH8VW7/XRLdEF4iYMvYUcjduxaX6iol57nMeShwPbgIWF2I4JCp&#10;TomANhQqFWIXTsT9Rwk8Llzu+yB4/9DDg2e/pmLzltk8ut3Z2ucKxWisWLOUpxWIvoOU2kCJQBu2&#10;r4dC6SZ7zN6Ggn3fQkNn4tfnd4EX7T9E/ej4RxLRz/98HT/uzMf/cRE9H313kYhuhsHP20ERXQVl&#10;ZKzkRM/OlxUsBAKBQCD40PTJzMNn2UXw27oR8yL9YdSrHBLPNVoNpk0zYN1ab173XFbsbosttl3O&#10;eW6LbbeJ53JR8Ca2PMMUo0K637CXbWSw5TcywvUjoGbbJrfNb8OgU0AdMA2DeIS7awo/fSPzYIw7&#10;hQdP7rO+Sz0XGVaujOV9OGeSh5QaBWZMn4TmxmtcRJftJ1khEZ1e0w5XYuB8du4w5LZR0P28FNIZ&#10;Py49iYSfjuH6z9l4+nQDWp+SKLsatY0JsmMvwYfhpcuc/Uzx7CSaUzz7hSrJaU7CtKuK5txZXinF&#10;sV+8HIfTl5JQcCEZR06vxY6TZsTvzMSMDfvgvvIYhi06iS+jC9i1qYifoxTPLlzmrgc5z4fMPwSP&#10;wGB2r3Mt8VxFScbs/pV38id2n3nW4WQugUDw/hEC+luoZx2wxw0bcLn2XKdi3E/dPINZYTOgUDj2&#10;4JZcZPSalpWGqhYhcjlCdfNVnL51BuGxYVxocmbQRAL6+KnvX0AnyPFOruBzlUfx06LJMKsGwKL5&#10;8nUxtAdBYjoJzSb1VzzmnJzaW8Z8yx3c+WsDcOnwbFw9H4Xb1Yvw4O4K7vhu/XODJGQ/J2G9+9zq&#10;L4VyimF/LonlLX+s578/frAad2oW48rZ+SjdPwu5KQH4aZ4Sm32HvbYPVP+9p7jNbVBkO9U7zw7z&#10;x+nz+6R650Jc6zHQveT8/VJELgrnAqlzdQzJTaHCxEk+KCtfitZfRHS7K/H0eQouVSzF+AneTrvP&#10;KZUgIMgPRy4cQ3WrSJYg6LtTdK0Y46eMdcqFxGthatXYv3crG7g29bpZ37CK6Aeu1mBQZi4+2X5S&#10;cqJzEd0Cva+Xw050RexyfJFdgL5ZQkQXCAQCgWtBzvN+OUXwt4rnnjy2XeaeJoMknntw8Tw11bvz&#10;se0WH2tsewc1zzsSz+nv6z1hnjca6UbrMnbjwE3awUg2DIe/twYaZ8YQehUMngb8ONuCL2JPy4oQ&#10;HxoSUvuF52HVrnLWfyEXehMqywvg42Nkn5/j/WopsUuFvXu2dKr/RyI6pfeYDldiUFQ+vmDbI7ed&#10;gncD//znF6BfZAG0q05hR/45PK47gj9+346mlhTUNqxikCtdfhwmeLeQaE71zKmu+cPaJNx5kIia&#10;W4m46MI1zcldTmL5+ctxKK1ezeuXnypdg6On1iEn14T1BzYhZttOBK/bD9Xy4xjIzsH+0VIN88/m&#10;S4I5nZdy56vANZDE88PQjJ0FvY7Gs84ZGN4F9NyCNKGDBygJpbF3TeIXCHoIQkDvBCSiX6879lYH&#10;OnH12Q0kb1wDlcrNYSGXxF+KEa+ov8wj4eXaF7wOTTYg5/mC5VFO1zolJAF93AcR0G2QyFn24CKO&#10;bFyKTb7fwaQY8PqAuifCtp/EaKqbblYPhkn5JY9A3+jzDXKmjcL+KA/krw/CmcwpKD04E5fzQ3Gz&#10;PAb3by2X3Oq/reNudRLWXyHVWSf3uA36m/17uMv9v+vQ0JLM27p9eSGunIrg6zibE4y8tYE4vMiA&#10;nTNGI8Pza+4up20j0ZxvLwnmPfTYUymADP0Q7F8Tigt3TqPy6Q1R77wHUdlQzajCytQVPJnE6Wua&#10;hxqeXjocOjwfLc+oJIH8/U3w/qEkAJrck5I6HW4K56L56bygPkN8Whyqmq5w57Xc+dSrsLrP121b&#10;5/R3h2Z+T506Hk2N19ngtWMH0scK/qnlbK2oRJ/tJ/HJjlci+o8rU2E0aqHr5MNpvU4NPXv/6GVJ&#10;+CJHiOgCgUAgcB36ZLJ7Uk4h/DZnYG64n1PiefA0I1JTvRxynvPY9snkPG8z3mRj0M6I52mJBlim&#10;/vjm8gT7W4b3N8iIUWLeXAM0OudqoRu07lCNnYPBC/IwYEGhrBjxoekTmYfvFxei/PptLjj8/Xct&#10;TGkJcHcygYhi3GfOmoKWphud6gOSiP73n0+wcucl9AnLFeLZB4Acvv3m56NveAEmpZXi+MUq/P7b&#10;Rfz5+2E0t2SwcVccahvi2Cu50kXE+7uEO82tPHyShJv3klB9UxLNSSgv+oCCuVSr/FW9cophP1sh&#10;xbBLgnkczrD/HyregKzj6Vi3dwtiMzMx3bwHfolH8OOiPHw+v5A7y/u9FMtFLfOeBMW2D55/BJqx&#10;ITDoFdzpLXcf+BCQcE56xKaNa4V4LhC4MEJA7wQkoD+o34zy2vK3iuhUs/anAnajDfBx2P2k8VDB&#10;x88Lu/J2CTdZJ5Bqnltj2510ntugG9b0OcG83fdVA12OiqYrqGD7VZS/DVkhRl6/uie70duDBHVy&#10;d1Ps+/pRA7monq4fgi3+w5E1eSR2zVZgX5QWB5cYcXSlF/I3BKDQFIT8tEAUbxyHiz9NR9n+mSjd&#10;N4O/lmyewN4TiAL2nkJzEI7F+fB67Adi9byt7OBR2Bb0HdINQ7hYvn7UAEk0J5c8PayQ2caeBkX/&#10;0/mydbwb8vau49eriqaruPSkQvZcE7geFQ1VuNxYg9TNKdDpNNwJK3e9ehvcRaFRY/2GmVysFdHt&#10;rgM9XGj5JQWnTi+Cl7eef1Zyn+HbIPF86szJKLl+iovGcudTb6OSfXdKbpzG+CnjuIAud9zehkLl&#10;hv37yH3egBe9ePBKD4X//PMx1ly4hP9sO4k+O3K5iE71YUcsTXBIRNdpVTCQiL48iTvR+wkRXSAQ&#10;CAQfmD6ZBRiQk4/xGWsxM8QHBp0SHp10a9uL5ykpDorncTqkj2Vj0rbjz5fiuUoSz9sum+bNlzct&#10;UcMS8C3SqayYvXhOP7PxtSVwONKWe8Cy0QfxCV7wDdBB08lJAa+hV7N7vR7fz9mI/gtd04VOfBKW&#10;i9BNF/Ds2SPWd2nF7VsXEBDoA5UTKUQ2ESNzh4m3Jdc/agv1l1qfPkL09lL0Dc8VTvQPBImY/2Hn&#10;wuAFhQjdwsYF1++yz+cm/v7rAn55vgcNTWvZOCyRx7tLznQR894V6gk2puXQ3xqS8OBxEq7fSUTF&#10;1UScr5KE60Kqaf4ORXMSxG2i+OkKmzAuOclJHOc/09/5e9j7rcudOJuK7JMWWA5swdLt2QhJ3w3/&#10;1P3Qrj6KUUtPYsiCAvSJKMInjL5WwVwI5T0Xm/PcY+wsXqLE1cRzmvSVmrIS//2VSpL0zgn8AkFP&#10;QAjonaCed7ZSUFNX8tYYd3KBkXtwXvQcp+pvUlzvsqSlwlH2Fmpar6PoWokU286Osy0C3xlIeFdr&#10;FEhKZx2++qoPftxJwK9suYoL14uwL242MoxDeRw31bR+baD9kfEyNl0lCesb3Adh/eiBvK66WSNF&#10;qdMrCcUbPYdio9c3LyHHOH+P9X1cJGfLbnAbxNuiNm3u8p7qLO8Icp3TRIudUWNxuuwQr6svItt7&#10;FlLt5ivYfngHPH0MTguABNU9j14wHj8/SEDz02TZ+5rgw0CTGR49ScCCmPH8c5L7/N4G3e/ovmXK&#10;ShOT7eygci7JG5P5xBOtExMTFGp3TJ8+EXW1NWzw2iTbae5NUJT7898eIiz3HP697ST6ZuZy8fvz&#10;nEKMWJLIRXS9tpNOdK2Si+ijliVxt58Q0QUCgUDwofg0sxCDcnIx0ZKMkFlGfo9yTDzXIHiaASkp&#10;nax5Tk5yiw/SVuuQHjhcEr/tx3LkJPe2E8/bOs+p3vl6L5gjFVxk5++3X57GtwzL1BFIW2PAhnVe&#10;sIS5YdPU7zEvUAEPgxZamX15G3qtG1STovAVudBjXNOF/kVUPvpH5uHohatceHjxTyOys8xwU7g5&#10;tc9UQ33SpLG4e6uMtdci2z9qC/WXnj57hAU7StE3jER0URP9Q/FZVB7+E5qLEUuLsHxnJa7//AB/&#10;/fmQfUY38fvvZ9DyNBsNzetR30gx7+ROX83GZ0JM7wwvHebWeuaP66ieeSKu3U5EaXUSzlRI4rRU&#10;z5zEbKuI3QVsDnEbF8gtXhXH49UvXmbvYesk53hx6RoUXkxG3vlknDibgiNnUnHwdCq2Hbdgw/4t&#10;WJWdhYiMnzB13X5o445g5PJj+H7JSXyzMA+DoqkUQBE+JbE8spCdQwXsOywE848FEs8Hzz8ETdAs&#10;yXnuQrHt9DyHxPMli+ejuZGST8TzB4HAlRECeqeguJ8E3KnfjbLat4tS5IzesGM9n9nk6ENcEnLH&#10;TQrCifKTrB3xYFyOK8+u4zg7PnPmh3Qptt0GtTFuYiAKqgu5+1Nune+dussoJ/cwe80/bMb2YC1M&#10;7l/Aovnq9QFzL4EE8pfQAwKaYW8P/c3uPXJtfIzQftN5sWXsKBzbwQYU9y/wUgCX6j5cioLACeqk&#10;+8beor0YE+THr0ly16rOoFSrpbrnl5ah5Zmoe+5qUO3z/fsj2Gel5Q9g5T7Dt0G1z2fOm46zd9n3&#10;XUyU4dD352RFLruXBzn1/aEH4m6K0dbal829rvZ5e9BD4cZnDzDj+Bn8v1uOo1+mVUTfSSJ6AhfF&#10;yWEud0zfgL1P76nntdT77SpmbeXJChsCgUAgELwrPskqxFc5JzF9/VJMCzbwexP1AWTvW22wF8+p&#10;5nmnxXOTN0wrtbAEknO8zTiVxHDPDmLbLd5cFLfMHIkMmgTOxn5vLG9gY8Iwd6Stl5axTPuRv49q&#10;oacYhsHPqOYiutw+dYheDb23N4aF7eTxt3LihCtAUe7eiafwpIHce614eL8C06ZNcirKnZ4rjXYf&#10;hR3b0vD332+vhW7jpYi+vRSfhJ7E51FCRP9QkPD52fw89IvIxQ+LC7H6pwrU3P0Z+Luef04v/rmF&#10;3347h9Zne9DYshH1TalcSBdi+ptw0bxZqmde2yBFs99+kITqG0m4YHWZE7yeOXsl0Zzqh5+vTMCx&#10;0+twqHg9ryHuDLT8Qbb8rrw0zm5Gdq4J6UctsByzYP3BjViRswNLMrMQlrEHM9P2YVzyIXitPgq3&#10;ZSfwZUweIx+D6LyILkB/EsYZVK/cFsNOv1PpBSGWf5y87jwnc4rzprvuxnavCQ+fhcePaPJ+s+y9&#10;RSAQuA5CQO8k9Y3xeNRgQkXtRVx6S4w7xfAWXzuFgHH+TrkIyYW+fvsGVDVfFS50O8iZXdN6DftK&#10;9mNC8HgeYdtV8VxjjRbdemArLje6nuufu9Fbr+NcTS4OrAnDJu9hMCsHfvRudMHbMWuoZvsg7Fow&#10;HqfO7uG1zoXrvGdC17XcyjxMsl7X5K5VnYEe6hmMVPc8ylr3XES3uxJNrWtw514cQkLGQKF23n1u&#10;9NIj+0Q2TyyQO596G+X1l3l8+6q1K3nyT2cfhNtD4nlIyFTUPqkWA9g2APW413QX/geK8a+tJ60i&#10;ep7kRF+ayPtQ+s7WRNcqoffzxrdJGZKIztqREzgEAoFAIOhO6N71aVYhvsk+gpC1CzBlohYeHo6J&#10;52pHa56TGE6x64s1SPcZJu8c76jmeboP0lZ6wDL+e2nZtilq5GT3H/bKuW7xgTncXXqfVWjfqB+C&#10;cMOITjvs26LXKaAIXo6BMQUYuICQFyo+JCR+9YnIheXIZdZnqWW0IjvLwp/DOVMqSalRYML4ANy/&#10;d4m3Jdc3koPHuT97hLi9lzAwkvWThIj+QaH61PQZfBqeixGLC7Hsp3IUX76F357TZ9XMaMDff9/F&#10;f/97Eb88P46Wpzmob97wUkyXot7JSNW7aqfbO82f1Cfh7oMkXLuThIpriTh32SqWW2PZT5VLtcQv&#10;VMVx0ZxqiFsObULk1hxeO9wz7hj8Eo44B1tev+oYRi0+yRnN+H5hHvpFFvJ49T6RkmOcIEH8s/kF&#10;3D3+Shh/ha1WuRDKew+S8/wwNDbxvIu6QXejVCswc8Zk3Lp5waH7jEAg+HAIAb3TJPL6LjfqjqC0&#10;tuOH1vQwl4TY2JULeMfdUZGX3GVU27T4xilcbhYPyAmq8VpRV4Ut+zbDP8CnSyKTDRIi1OzGlWCO&#10;5w/fXdnJR65imphReGIzsmazQbutNroQ0nsdFo/BMCkHYHPAjziWGY+yBxdRIdIqeixV7BpPdZtn&#10;R8zik6fkrlWdgR4QKVVqpG8M4bHtou65a0EPI54+T0XGphB2j1fDw8lBHAnE0cuiUPq4HJViwgyH&#10;YuyPlh5DwFg/pyYt0neH+l27dmbwAeyLf+Q7zL0ZcuzcbrgDw94iOxHd6kS3iuidrYmu91DC4OeN&#10;4Ws2Cie6QCAQCN45dJ/5NLsQ32UfxNzEuZgYqJLKvcjco+Qg8Vmr12LOHHKee8FkaiN0y0HvMXnD&#10;vFCFdJ9v3hTP6Xf7muf24jlbLi2NLRvLlvVly5Jr3V48p5/Z8pZJ3/NYeHKpb8jwgWmphrvZ7V3q&#10;m3RDkOI1HEZP52LcyYWu8w3E15EHMSCmSFaocAU+i8yD+/Ji3Lh/lwujrS03MWd2MI9kl92vt0AT&#10;K3dsT8M/f9XjxYs62b6RHCSi//N3LTYcquAiOkWKy22v4P1Cn8P/N+8khsUUYqr5HDYer8Kt+/eA&#10;f8iV3sR58c8D/P5HDXenP31+BE2t21HXRKXQyJWegNrGeI70+8chqvMa5nbQ3x7WJuLmvSRU3UhE&#10;WQ25ykkwT0DJJamWOK8pbq0tXlyWhOwT6ViRmYnJaXt5DfFvYvOlOHTu9C7gr85Cy5MgbkNEqws6&#10;w4DYYnwTsV8Sz10stp2gsnFjx/nj5vVz7Nrz9I37iEAgcE2EgO4ADY1xuN+wDeW1FSh7iwudBN99&#10;Jfv4BdLRGHcS3DUeKmQe3cHFFYrxlltHb4AmI1S3XsXp2+cQt34VG/zpoGI3HLnj5ggknpMIv3B1&#10;LBci6POSW78rUV5fzWtbX7hRjCOblmLL2NG8Njo5kV8OqAUfL7oh/PPOMHyNn5YG40zZQVQ0XWFc&#10;lT1fBC7OE0k8v/igDKHRc7s0KYhcMW4KFZYsmYTHtUlofibqnrsarb+koLxyOSZM9HG69rnaQwkf&#10;P0/sO7WfR5bLnle9DJpEUMa+S4viFjr9HaKIzxkzJqOh/hobxDbKdpYFkoh+/ucbGLWrAP+37QQX&#10;JfpmF+CLnAK4L1gKg1YJHetbyR3jtui1CquILjnR24odAoFAIBB0B30z89AvuxDaHTmYu2wqxo1R&#10;QeOh6bx4rqNnOR6YO8/Ixe1OOc+pZjmJ55HukqAtJ56PGQbTEg13qL8mntPvaz1hnjeaR7PLLste&#10;LSEjkZbKtonEc7ZMWrwO6QHDX3+/9mtkGL+GKUaNGbOM0LD9kNvHDtFroGevo2emon9MsaxY4QqQ&#10;qNY3Ig+xO0rxz1/UZ2nBof07+HM1eu4ju28dQH3usWPHoPZxFRdX5fpF7UEi+t9sG9IOV2JAJDv/&#10;5gsR3VXgNdLDcnnd/NErihG9rRRFFTfw7Pkjq5hOzvRmPpn2r7/u4c8/b+C3/57D018OoallCxqa&#10;1oMi32lsZ6uhLjnVe4aoTiI5d5dbxXJymD+qS8Lt+4movpmI0pok7jIncfx0OdUhJ2d5PE5TbfOL&#10;a3D8XApy8kxYs3sHZpv2QL36CK8l/mV0gdUVXshFbrljLxC8DwbElmBY2C7o/CdCr6eJ9a7nPA8M&#10;9MX5c8fZtaYV/4iycQJBj0EI6A5QTzMPG1Jwpa4AZbUdC64kyJ65cw6zwmZyZ5PcxbMjyEUVEj4T&#10;F+6Xcuex3Do+dqgeeVXTFRw6exizQmfwgQxNLJA7Xo5CLr7QqLk4c/tsz4rBraPa6FdQ0XwFZ0oP&#10;YM+yYB7rTnWwhRv948WsGgSLaiB2zNAjd+86XHpSIbnO60Wt8x7JE7pHXMHFh5ewOH4Ru94rnHq4&#10;Y4ME2VmzxuDqtVVCPHdBKA2goSkZa5KnY7S74w5pgiZJKFRuPKac7o1U3kP23OplUB9h36kD8PTS&#10;O/UdomVUrG8huc/pgZkYxLYHPUwkEf3MvRsYtbsA/952UhInsgswMPMEFJGxDoroFOfug+HJm9BH&#10;iOgCgUAg6Gb6ZOajX04RfLduQtjCcfD3UsJD2/mH6Vw8Z/0vm3jeKec5CeDrvWAOHY10o4x4TrHr&#10;JJ6v9OCR6y/Fc3plv6cl6GGZ/IPkIrdzkkvLst+9v4EpSvFSpOekekrL2NdXt8a4W+aMgsXihRWr&#10;vLgRobOR9faQCKEJnI6vFuRhgIvGuBMkVA+LLUBB+Q3WX2nEf3+7h+joeVA6Yb4g4Z2e4W1MT2Zt&#10;1TvcPyQRnfpNpiOVkhNdiOguBdW97kuTGyLyMDimAGOSTmPjiSrU3L2DX54+ZJ9fAz+HiBf/2BII&#10;HuHPP2/hv/8twy/PC3gNdS6qN1tQ37SOjfnoWfEqKySuf1hh3eYqt9UwpzTVx3VJuP+Y6pgn4sqt&#10;RJRfTcD5qgScuyzFsJdWrcaFyngUXkjmdch/KtgAy5EMLNmRjVkb9kGz8hi+isnjdcUpJp3i1Ck2&#10;nY6n3HEWCN4nFNs+LHw3tP7jefkRVxTPjUYtSooPsmsLpd6J5w4CQU9CCOgOQi70O/U7rQ9v23eG&#10;U4R7VVMN0rJMXKyVu4B2BD3U1XtqkXk0q0e4o7sTOnbkrqPJA+u3r4N/oC93nXe13rkN+jzmRIag&#10;6Epxzz227BiR+7i8vpLHuudEBMCiHsSj3YWQ/vFg0Q6GSdGfx7Uf2hCDC9eLUNFyXdQ67+FU0nXn&#10;SQWWr1nKy0h0RTynOPCgsV44dWYRdznb4tcErgPVoy8uiYWnt57XqZf7HN+GSuWOCVPGIq+qgIvG&#10;cudVb4PKrpQ9rsDc+bOdmqhI0HIhIcFoaaKHrQ2yHWXBK8AG+iSi59+6hi8zc/F/L0X0fAzccQJK&#10;EtEdqDNHIrouMABD0rKFiC4QCASCbuPTrAJ8nlOAcRvXYnaoPzwNVA9b/l4kB72XYs8j5xuxfr0X&#10;0trWJ5fD5I00ErNnjpTEb7nY9fHfw7RSKznHbctR21QrnSLYA60u8jbLZpA4PvY7mJZ7vHKtp9Gr&#10;N8xzR7+xvgzNYFgm/cC3J42ta/06bwRPM0Dt4UQ/VKeC3ssTI+ZuQv/YElnhwlX4JCwXM8zn8OyX&#10;R6y/0ozTJQfZZ6lyaqyl0igxJsAH16+e4UKqXL+oI6Q491dOdBHn7npQcsEX7HOhCQ6fhOdieEwB&#10;QtLPY3NeNcqv38bzZ3QekTPdygsGOdU5dE48wh9/XOOi+vNfC/Hs+TG0PtvN498bm9PZuHwtGwvG&#10;o7ZhJYPc6iSs24vrNoG9PeTHljZIFH8plNuJ5U0t9P9EPKpNxIPHibh9PwHX7sTj8vV4XKqJx4XL&#10;cbjIKCldg2On12FPvgkbD21Eyt7NiNmRiemmffBLOIqRi3PRP+pVjXGKUZfqiot64gLXgSZ2cfE8&#10;bDe0fuPZWNT1xHMyAxo8dTi4fweflEPj6bb3DIFA4NoIAd1hEvCkcS0u151GWW3HIlbN02s4fukE&#10;AsePcaouJwkr4TGhKK+rQkUvcJuRcE7OOqr7fujcYbbv86DRqpx+MC4HRbxOmDIOJ8tzed1Uue3o&#10;UbDzovLpDZTeO4sTOUnInKGFRTNI1Efv4ZBwblYPQoZhCPaunIFT5/eigur0C+Gsx1PZWM2u55eR&#10;sjEJWp2a12CUu1Z1BhJj9UYt9u6LEOK5i0Luc4rHi14w3unodjpPiLVb1qKakidkzqveCE2027x/&#10;C6+/7az7nPoYhfn72CCWah+KWeCdgY7Ti79rsau6GgMyc/Gv7XZO9B0nnXKi68aPwxBTjhDRBQKB&#10;QNAl+jH6ZBXgy5wTCDYtxczpRi4AOyOeL1hg5JHtnRLPKUY9yYD0ST8gw2PwGwI4ucMtE7/n7+HO&#10;c/vlNnjCPF/Ba6K/4Vi3OtEt00ZIy9rEc1qWtcOXs63Dtgy1MWY4THF66f3svekWLyxc5MkNGo67&#10;0DUw6NzhPjEaA2NPubRwRsLe5xF5yCms4X27339/iLi4xRjtPkpmvzqGYv4p/Sk5eQVri5zIjvcT&#10;SUT/668n2HSsCkNjJNez3HYLXIMvovPwn/Bc/Cf0JEYvKcIU8zms3nsJB05dQdXNO/jj98dc+KLP&#10;VYJ+trnVKf69hcE++3/u4u+/ruHPPy+zc/Aifvvvafz6ay5+eX4Qrc92oeXpDjS1pDPMaGhaw8bw&#10;Ca/R0Ewk8tdG9trUkojmdqD/NbBlntQl4t6DRNy8m4CamwlcLD9XmYQjJRuwJz8N6Qc2YcO+LYjL&#10;3oFF27IxzbIbQWv3wyvxMNQrj+Pb2DwMmF+If4cV8yh2Xn9c1BwXuDgknlNs+3dhWVw812u7Xu61&#10;u1FrVVxAz9xhkibhMOTuFwKBwLURAroT1DfG42b9PkgO9A5c6PWXcbmhGiuSl0OhGC17Me0IDbvI&#10;Ur3TnXm7UPMxiL3tQW79ZtYpbbqC4uunkJAWhzFBflAq3Z16KC4Lxd8q3TBh6jgcOH2Ar48Ee9nt&#10;6YHYYt0v3CjE8cw4bB3nxoV04UjvWVg8voJZyT4z/RDsmh+E4qJslD2+hMrW6+x7IiKbezoknpfX&#10;VWLd1lT+AEvdhZIUJJ6r1CpYLCFscL2GI3e/Enw4aEJDy7MU7D8YyT4zEnmddJ+rFZgxNxjnf77I&#10;a37LnVu9DUqPOXXjDKbMnNyl2ufhYbPQ2nwTjta37O3gRS13o++srsKArDz821YTPYdEdKsTvbMi&#10;ul4Dg4cCugnjuYjeV4joAoFAIHACqnf+aVYhRmUdQEhyJKZOYP0urcohwVij9YCfvw6LFnnyyPa3&#10;iuc29/gqLXeIp7cVz0kAJ+f59BFISza+FLQ5JKSnGGCZMeLVe23LESSEG4fyOPgN66T12C9rWqqW&#10;RHf75ehnz6EwLVa/9n4T2861rI3xE3VOutDZfdo3CMPCf3J5F/qnEbnwSTiN2sb7rH/3DBWX8uHj&#10;Y+Qle2T3rQOUGgWCgvxRU1XM2mqV7RO9DSnOvRZ7Sq5geGwh+kTmym63wHUg0ZhKAvw7LBefhJ7E&#10;1wsK4LaiGN6ppxGScR4Ju8uRk1+D/Es3UHX7LhqfPsTT5w/x66+P8NtvT/DXH3WMerz4q5H1maW6&#10;6pJ7/THjAfD3Pbz4+zbjFnvPNfzz51VGFf78/Rx+/+8ZPH9+Gr88P4unz/LZePIgO5cP4VHDQdx+&#10;fBAVN/ehpGIvDp3ejZy8nViV8xPmpe9BWMYehFr2IHj9XujiD0EVx1h9BKOXH8coxneLcjFsYR4G&#10;k+A4vxCfhBfhE2vdci6Wiyh2QQ+DlxSJLcaPczZC5+NvrXkufy3/UGi0ai6em02J7LtN9ySReCcQ&#10;9FSEgO4EVAv9cUMaKmsvoqy2Y1Gr5ul17M7fzYVwZ+p3k/AevWw+a6vio3Sh00NwcoKX3DiNjXs2&#10;YmLwBF4P2BnHfntQ9DuJ8eQ833/6IHetfUzi+Uso1r35KhfSz9fk4tCGKGybxG7Wyv6SKCuEdJeF&#10;R7W790eG4WvkhPkjb/96lD24yD/P8sbeVcLhY4Wu38T6bWuhN0oxTnLXq85A1zR3pQqrVk9BbV0S&#10;mlpF3XNXhD6XO/fiMWOWP5RqZ93n0kPOHYd3fHQTv5yFl3lh/YbkTcm8v2A7Ro4guc/VKCzYyx9q&#10;Cfe549hEdHKi98/Mxb+2ncTnJGBkFzouohs00NtE9DQhogsEAoHAMaje+SfZxdDvyETY8ukY66/i&#10;9c4dEc/VJJ6P0WHZMk9eN/yt4jnVHzd7w7xYjXS/YfLiORt/m2eNQto6z1eCNkWvs59Nq3RIH/et&#10;JJTbj9OtjnVq07RYI72f1mVbL19Wy13mrznWaTlaX5gbez+tx/p+K7RPFEmvZ/vqsAudjT2MeiVG&#10;zEjBgIVnXhMxXI0B0fm8tvW6A5WSWPFXLVJTV3EzhTM14Mm9vn59HP76q471F52L3eV9JtThwOmr&#10;+HZhIT6JECJ6T4HE9M+j8nh6AMW892V8MV+qAz44tgBDFxVi6JJCaONKELz+HELM57Eip5yTsq8S&#10;2QU12FV8BTuLr3J2FV+zct3KjVeUXMP2/CuI212JlTsrsTy7nLV3DpPWnuXtD2PrGbaYrY+dQ7Tu&#10;r2IK0D+qAJ9FFuDz+QVsu+i1kG3rK6T49UIukBNfWCPY5fZVIOgpDIhh483YUxgxZyP0Xr7Wmufy&#10;1/APBZknaML++rWr8d9fH7B7gJiwLxD0ZISA7hSJXES/VbcfpW+JcScXOsX1Ri4Kh1LleC10Et2p&#10;buquvF248vS67Dp6IuSio/3hwvlPGzF99lQuKBHdVevcBh33iVM/cvHcHrZ/JLpWtF7HucvHcMgU&#10;i+1TNDwS3Kwa9PoAXfBhYZ+FSTkA6dovsTMyCLl7170SzoXT9KOhvL6KX3u27NvIIyGppp7ctaoz&#10;0IMfEs/nhQbhxq3VvL62/H1K8KF5+jwVmzbPYfdxjfPuc5U7opfOR+nDSzzBQO786m1Ut17F0YvH&#10;EDQhwOkSLyPdRmL5smg8/4UNZl+ImeDOYhPRd9uJ6CRkSHHuJ6CMoJroqs7XRH8pooua6AKBQCDo&#10;HH0yC/BZTiHGbF6P0Kgg+HopeVKT3H1GDupbqz08MHacHqtWS0KzvfAsC9U7X+/VcfS64WuYw92s&#10;Avir5ehnc4wK6b7DJKG87XLkWJ/4PUzxOkl0txfCzT5SVPzYb99YlqLjqf76y/XYlrFCjvrkZC8+&#10;SUDjQKS9DYrG1Yybja+jjmFATJGsqOEqkHvYbVkRbt6/B4rVvnXzHMaND4BC5Xi/kZ5P+fl740r1&#10;KdaWcy50Ai/IjV6H3NLrUK0q4WKs3LYLXBsS1EmA/oKIyuPiOtVQt0HnXr/IV5Dw7gj2y/aLzGdt&#10;vuJzIkriC4Jtg60euT1y2y0QfCzQ/efLmAKMnLUBOi8f6HWu5zzn4rnCDUuXRKKp8Ra79jfL3hcE&#10;AkHPQQjoTkIx7o8azKioK0VZBzHuBAkn2w5ug9FL51S9W3KhL1gejYs9+QF6XSUqGqr49tPxOHvn&#10;PExZaZgxdxo/JhRR293CObVHM43nRobgWNlxVJEo2cvceyTEUvz32cvHcCInEZkzdFxItxAeXwkx&#10;/UPAjjmPamefARfOI8Yg90Aar2Nf+fSmEM4/Msh1TuUpso/ugP8YT36tk7tedRZyMgdP98elimW8&#10;7rnc/Unw4Xn6PAWll5YiaKyX07XPqYyLf6A3Dp49xO+bcudXb4Mm35U9LseiuIVQsvu73HF7GzSB&#10;xdfPC5dK89hg9qls51jQeeyd6FQT/d9WEb2fTUSPjIVeSyJ6J2uik4hONdHTRE10gUAgELQP1Tv/&#10;JKsQw7OOYpppGWbP1MNooHrnDornWg9MDdYjKcmL1zxvKzy/AYnaqZ6wzBrJxnZsLG0foU6QmO41&#10;FOYFSknIJgHdttxaT5jnjX71PvvlrO2YQ0YhLdX4eq10gkT7ZCMsk39g7x38+rIkplON9RQ7p7sM&#10;ZpMXZs8xwoPtt+NubDUMRh2+Cc1C/9jTssKGq9Cf0SciF4syy7hoTc4/szmJjcOcM2u4KUZjw/o4&#10;/PH7I9bvcb5+7QurE7306m0uov8nLFcInh8hrwnaJHA7Qpvl5doXCHorJJ4PYrhPT4SBrs8u6jxX&#10;qNyxMDYcjQ3XreL54zfuBwKBoGchBHSnSeSvN+qPoLS244hlElDO3y/FNHJZO+E8pKhRg6cOe4r3&#10;chFYbh2uConmFDtLUe1lTyq4ayw+LZ7XLbUJ3M468zpCo1VxoSpsQSgKrxTzKP3eG317GRUt16Vo&#10;9+uFyD9sQXaYPzIMbGBPrnQS09sO/AXdD0XqWScvbPQahp3RQcg/moGLd07zSQ4iqv3jw1489+Pi&#10;OdVq1r5xveosKo0a/gFGFBbH4tmvQjx3VRpb1+BJfRJWrZoCN4VzM6Lp/kju8/gNq9l9tJqfS3Ln&#10;WK+CottbrmLnyZ3QG6mmvOMTEm39jjVJy/DPP/Uiur2bkET0JzBdrMAXO3Lx7+3WOPecAgzKPAEF&#10;j3PvpIjOPqOXNdG5iF6CzzLz3hBOBAKBQNB74fXOs4vglvUT5iWGIniiGlotwwFR2MPqwp45y4DU&#10;1E6I5+QEt3jDlKiXRGwSwO3H0Lbo9THDYV6q4e/lyxAUu57Alpvyo7RM2+VYWxne38AcpZTW1dZB&#10;Tr+v9+K11HlUvG1ZQjMYlqDvkMba70g8J8iFHhfnCaOX1qFjZYNict2nrcKgmELw+rMyAoerQG7g&#10;7xYV4nTVDS5g1NfVYNLEIKeSwOjZEpVkvHnjLGurUbYv1FlesP4SiejVd+4iKPUMPg3L5U5iuX0Q&#10;CAQCgUT/2BIMWpAHxZSlMBi1bMzonEnhXUL3VYptj40JRRMXz1vYdV+I5wLBx4AQ0LtAfWMcHjRs&#10;QkVtWYe10Em4JQHZnGPmbmtnZr2SGDx/SSQXoUmUlluPq2CLK77y7AZ3ihVcKULW8WyEs5uIj58X&#10;OwYqKFXuTj387gw0SYGO8+L4RTj/cyk79ldkt7PXwc5DW430soelKMrfgT3LpmHreHdYNIN4DW6q&#10;xf3agFzQZWhyAh1bs2oAP9Z7V85AccEOXHp8CRXs3CRkPy9Bj4aug1XNNcg+tgN+AV5dcp5TzXQS&#10;z2mgcPjofO5ubmiWvy8JPiz1TUloeZaC4yeiucircXKCGN0jJ0+fiEJ2/6RJaHLnWG+jsrEGZ++e&#10;x/Q5wdbJKPLHriMohjMg0Bc3r59nA1pRh6w7IRH9xV9PsLO6CgOy8rqnJvp4exFdXkQRCAQCQe/i&#10;06wCfJFdAJ/tGxG+dBIC/VTw8HBMPKcIc+qnhYYauLDcuXrnPjAt1SA9iGqPt6l3rhvCI9TTJ3wP&#10;U5xd9DpfzhumJWy5QFu989eXIwGcItlNyz2k99sc6/brprj4kFHS++2Xp/Z8h8G0UvtW8ZwgAX3d&#10;Oi9MmmKARit/bDpCT4LFmAn4Kuqoy8e4E/8KPYmQTRfw++/k/G5ETpYFSieSD+n9tFxK8grgnzrW&#10;53GuFroNm4j+8+OfMXn9WV5XW9SlFggEAnkGxBTjy+iTUE5aAIOBjSVdUDwn3BWjMWvWFNy7Q+kn&#10;JJ7L3wMEAkHPQwjoXYJqoSfiet2xt9ZCJwH99O2z/IE41TWXu9h2BInNnl567Mzbhcsu+jCdJgpQ&#10;XfNy9jNFpm87vB3LkpZiwuSxfJ9J2KbZu85MIOgsJDp4+RiRuiUVpY/K+XGX29ZeDfucKCa83Cre&#10;nik7hCMblyI71A8ZhiEwuX0Bi+ZLaYBuG5wLHEP3NY9pp2OZ7vElsmZ745B5Ec5cOsSOew0/9jyq&#10;nX0Wsp+RoEfDJxE112Dn8S3wH2PsknhOqD0kwSkrOxSNzWvQ2LJG5n4kcAWaWpNx9348Zs8NhFLt&#10;3CQxXuqF3Sc37tmImtbrsudYb6S6+SpSNiZL/QgnJiZQ34NqpmfuSOPxm8J93v0AkhOd4tzb1kQf&#10;ZC+iOxLn/poTXV5MEQgEAkHv4D9ZRRiacwzB6XGYG+oNT6Pa4TQ7Eo69fXWIifHkrnMSleXE5peY&#10;vJHGXnm9c+926p2zcTO5wyli/aWQbVsu0q39OukMSzBbLkn/yrFuW6+1DcI8d7R1PW2W9/oGpkVq&#10;9p42ce/tQBMFaJ8XLjK+dOA7BLt/6w1afD93W48Q0L+IzsOAyHwcOneVixktTdcxa9ZUKJwYm9Ek&#10;zDGBvrh+resudOIFg0T0R3UPsGDbRfQNy+X1tOX2QyAQCHor/WNP4ev5R6AeNxsGqnfeyXHk+0TL&#10;IPF85szJuH2rlF3bm8WzBoHgI0MI6F2kgbvQN1proXfsQic3omWXhceHyl103wY5rmaFzUDpo0su&#10;F+d6ubEGZY8rsP3QdixYHoVxk4Og1ij4TYTE83cpmhPUPh3XoIkB2HEkkwvn5FaT21aBHSSmN11F&#10;5dMbuHirBAXHN+Fgcji2TVRIddIJj68kZ7r9gF3wBhZ6cELHSv0lzOqB2BzwI/bFz0HeQTMu3CxG&#10;5bObXDgXovnHTUV9Nb/W7zy+FX5jjNytIHfN6iwarYZd+9VYv2EmF2cbhHjuwqzh7vPNW+bwxACn&#10;HkwySOQNjw1F2ZNyEd1uparlKg6fP4IxQb5OT0ih72LwtIlobKCHqF1/8CmQ57Wa6FYnOokeVBPd&#10;JqLrdRTn3ol+od4qovOa6Nnos1PURBcIBILeCEW2f5JdDPes3Zi3JhTTJmug5c8YZO4d7UAPuEk8&#10;DwjUYdlyL1jMnXCem72RlmKEZeZIaXI5idb2Y0CrKE51zTesl8Tu15abMeKlUP7acvS7kS0X6o60&#10;9dL731g3OdFJPI90R7qBLWM/uZ2WZ38zxSilZd+2HzZIQE/3RmKyN+tT6R2efMATYvRqqKYsxMCY&#10;Qgx08Rh34pPwXExefw7PfnnERfTjR3fyvqSHg8+n+PMmtlzymuW8H9kd4ohNRH/6/CFW7rqEQVF5&#10;6DdfiOgCgUBA95cBsSX4Nnw31AHTYNCzMeE71hWcge4NFNtO4vm9OySet/CUEblrvkAg6LkIAb0b&#10;4C70+iNWAb19caym9RryqvIxbhLVXnL8ATC5rvTsdePujah2IVcaidVn7pzD8jXLeMSwm/sovn/v&#10;WjS3Qc52InTBXJyszONxt0J0cByqwV35yy2U11bgbE0e8g+nY3fsBGzy/4EN2AdL9dJVA2FpG1nX&#10;i6GJBbbjks5+3uj9LXLC/HAiJwlnK4/j0uMy6ZiKmPZeAdWqvtxYhZxjm3jNcy6eG+WvW52BHmqR&#10;i3nNmml4+CgRTa1CPHdlWn9JwbnzixEQ6MkFdLnP9G3Qfd7X3wsHzhzi9fPlzrPeBk2Gu/CgFBEL&#10;w6BUOTcBkb5LNKkv7+RPePGiGf+IGeHvlNdE9Mxc/Gv7CUkAySnAwEyrE52L6J34nrC+pMHD3Sqi&#10;Cye6QCAQ9Cb6MT7JKsSAnDwEbDEjNDYIQX4qaDw0DonnHuy9NLFx8mQ94uMlF3aH4jmJ1ySCr9bB&#10;MuE7SJHtdgI2jYXpbz7DYI5RSQI2ief0ypajSHXLeNtyr8aO0nKsHf9hMC0m57gkkr+5fgb7u4nE&#10;c+PQ1wV4rfRqDnN7tc62y7fFul30akoyICN0NOb5uEGp18oer47Q65TQ+E/A4OgTGMBFdDnhw3UY&#10;wOgfmYes/BqQK7C58TrCwmbBTTladv86gsZ2gUF+uFJVzEUSuT6QM1CCzx9/PMH6g5X4KjoffSNz&#10;ZfdFIBAIegN0byHx/Me5W6H3Gwe91rlnAO8DSTyfgru3L0riucw1XiAQ9HyEgN4N1Dcm4HFDGipq&#10;L3bChX4FazKSoHTShU4Pj4NDpqD4xinW1lXZ9bxPqB471TlfnrQUKpW7U/H0zmJznXv5GhG3IQ7n&#10;75eiuuUaP85y2yroHBQ/XdFynce7lz4oxbmqkziZnYDdiyZj22Q1Mmi2vKI/TAyL5qtXg/leAhfN&#10;VQNhcv8cNLFgc8AIZIeOwdFNS3gcfunPF3g8e2XrdSmmXeYYCz4+KhprUFFfCdO2RHj56KBSK2Wv&#10;W51Fur6pEBM7Affux3Nns9z9R+AaUKx+bX0SFi2ZCHeF8589lSGJZ/czmgQmJoJJ/abq1mvYvG8T&#10;PHQqKd5e5ri9jdHuo7BsaRR+e36fDWyF+/x9IInoUk30gZm5+PfLOPdCDLKK6EZHa6KLOHeBQCDo&#10;NZDrvE9WEYZlH8bMDUswe44nPA1K1hdwbJI+CedU7zxktgGpqZJ4Lisy27CK0qaFaqT7ydU7Z7C/&#10;WYK+fVV73Cp4k/BujlWx5YZJtc3tl7M60S2TfkDaarvl5NZvYuufT+I5LWffhvTKxXMS+dvWS5eD&#10;1kPtxeulKHjfb7BFPxgr9d/B06iBh8wx6xC9CnpPI0bM2Yj+McWy4oer0TcyD4a4U6y//pD1A1tR&#10;VLAPRi8d1E48uxo5eiQ2bkzFP/+0duuETBLR6fXAmav4dnEh+kQIJ7pAIOh9UHkQYkSICXofP+h1&#10;jpsP3xfuSim2/dZNSTz/528xSV8g+FgRAnq3INVCv1V/AGVvqYVOoje5pCdMGQul2l32ItwRJKpo&#10;NEqs27aOu9M+tFhM0e278ndxZzw55+S2+V1AjnMSGmaFzsCewr2oJMFSRLZ3L+zc4rXS2XHlr+zc&#10;PX81Hyd3J2NfYiiy5/pis//3MLl9hjS3z7kT22I/O/5jwRrNblIMQNroz7hovn2yCj8tnYZj21fj&#10;9NnduPSkQjpO/Fix81BM4uhV0LWnsqES5m3x0BupznJXxXNyOKgxP2ocbt5ehdbnQjx3ZeqbkvCU&#10;fUa7fwrnD2k9OiUIvolS6Y7J0yeg8GoxjyyXO9d6GzTpMPcyJfcEOpXcQyjZcv4BPqgsz+cPTeU6&#10;w4J3g82JfvTaFYzcXYD/22p1ojtbE11rJ6KLOHeBQCD4aPkkswD9sgvhs30zwldOw8RxrH+scyyy&#10;naDIdk9vHSKjPLmY/NZ65yQ2p3rCMneUNA5sr275tB9f1Tu3ubtpuXmjkUFx623HxPQ7+7slZBTS&#10;Uti2kEgut376O2uLx7Zz8dyuHRLj2e88Lp7Hu8ssbw/93+yDtAQ9W8YN6T7fSPvD2shg41uzYSgm&#10;G92hMjjoQqdkGL0SbpMXYkDsaVkBxNXoH52Hz+fnYcOhStYXbMCfvz9CTEwYdw5StL/sfrYDudAn&#10;TQzCvbtl3d6vJBGdKK68Ac2qEvw7LJc76OX2SSAQCD42aFLWoAUFGBW8CgZPHXRU81zmOvyhofsG&#10;pZjMnGGreU6x7UI8Fwg+ZoSA3k1wF3rjBlyuPftWEZ2i3BNM8dB4KNlA0PGYcxKPg8aPwfGyEx/U&#10;hU5OZRLwY1dGQ832RW5buxs6XlQLniJu49PicPrWWVx5ekO4zt81dHytgnpF6w3urr54sxhFBTtw&#10;LCsJe1fPQuYMHRvcD+HOdC6ma758WT+d6oO/FnvnipBQTttKjgK23Wb1lzApB7LXgdgydhR2LRiH&#10;w5YlyD1oxpmyA6igOvvWuub0XRCiee/kMp/IVI4Nm1bAYFRDpenaRCJ6MOimUGH2nADcuruaC7Ny&#10;9xyB60DR7ZVVyzF5sg8Uauc+fxLdtXo1Nu/dxPsIl+rkz7fehM2FvzRxMZ9cIHfc3gbVt6TJiqa0&#10;ROBFA168EAPb9w0X0VGHM/duYMSuAvx/W0/wSF5bTXTFyzj3TvSH2XuEE10gEAg+Xvpl5uHTrEIM&#10;zzmGqRlxmBfuC19PBTQOus6pP03ieWAQ1Tv3hOmtke0Msw9M8TpYJn8vCc1tx670N+NQa71zT0k0&#10;p2XZa1ocW27Kj6CSXq+5zgkNW86bLRetsArf7Yjn1v+9rHneVjynMeqMEVLN9PbasEHbttYIc4QC&#10;6WOGW93wr+/PVvZ7hH6E4w50hl7rDo8xk/FN1BH0X1AkK4S4Gn0icqFeVYy7D++xfkkzTp86DC9v&#10;g1MmECpZmLk9DX//Vc/6lnWy/R9nsfWbqu/dRVDKGXwanosvouX3SSAQCD4WSDwfyu4pyokxMBjU&#10;bNznnCnhXUOmRjdrzfO7oua5QNBrEAJ6t5GIhsZ43Knf9VYBvbKxGgU1RbwWOtXklLsovw2KS1+2&#10;Zilv70PFvNJ6y55UYNL0CVBRrV+Z7ewuJOGcrYPdrObOD8GB0wdxuaGa11+/VFvxxrYJ3j28ZvrT&#10;G7j8/Dav9X2u+gRKzuzFyZ1rsC8+BFlzvbHJ73ukG4ZK4jQXpaV64SROvy6uvxrMv1NoO7RWoVxj&#10;vz3knpfi6DO8hmHrBHfsjh2PI5aFKMjdhtOXDuPi7VOobLnGa5pXNJPAJQTz3g65hEsfXMCKpCjo&#10;9SqnYgDbolCpEDzND+WVy/Ds1xTUNsjdbwSuAkW3P6lPwspVU+CudO7z53H9itGIXhbFJ4OJ6PZX&#10;JW+2HdwKg6fWqcmGhIL1G6ZNm4jG+qtscNsg2xEWvHvooQI9DD778w347C/Gv7edQN8dUk30lyI6&#10;PcDuTHoD+74YyIkeFIhhyZvw2c4ifJaVJyvECAQCgaBnQBOr+mQVoB+7Lxi2b0NYQgimTdZCr1Nx&#10;IVz2ftAOUhqQB6ZONSAx0QsWy1vEcxKj2f+l6PXhyCDB235sSj+TmD1mOMwL1a9EcOuraYkGFhKp&#10;uejeZjnWFo96X+Ehidq0jNw22NpqVzxn7cwYibS1HbjXCfoftcPWZ5nExuE0zqbtsrVla4+1v0k3&#10;GGu8voWvUQ2Nwy50NYxeRvwwJwP9e4wLPR/9wnORfKCC9wn/+vMRVq9ayCdaUl9cdj/bQc36LGOD&#10;/PH4ETnam2X7Pl3C2m96XHcfEVsu4vNI1s+ZLyLdBQLBx8eABQXsPlKC4RF74RE0iyecuKp4TvCa&#10;57Om4O4da81zIZ4LBL0CIaB3I+RCf9KwFjV1RR2K6PRgmITf1C2p8PCgKDLHHwxTHVCjlx57Cveg&#10;+gNFvdoE9HFTxr4zAZ2ODQ1qaKLB5OkTsWXfZlzgtc6vCpHBheDO9OarXFAnZ3bZw1JcvHsW564U&#10;oJhc6luXY29cCLLDxmDrRBW2BI3CRp9veT11i8eX3LVOUfD8VTngpcjOhXZyspPg3Rk8BsPM3m9b&#10;1qwcyNszuX2BNNY+tUtCeYZxKI+f3zJ2NHbMMCAnKggH10Ygb996nC47hAu3TqH05/MoZ/tGbnuq&#10;CU8TBoRoLrBB4t7F+2exLC4cGg27Rnl0vZMviee+KCtfJmLbewAU3U616ffti2CDPHpY65zIS6ky&#10;Y4L8cPjCUV7vW+58621Quk7R1WJMYfd9Z/sX9HmQq+jk8d384aaIVfuw2ET0W/V3EHiwBP/aegJ9&#10;duSiX04hBtrHuXeyBAI50Q1+3hielIF+O4vRT4joAoFA0COhWuefZBVhePYRBGfEI3S+P/y8qdY5&#10;pfPI3wPaw0PrAaOXFqFhRqxb95Z65ySqW7x5pDpFq3PhmsRze7GZhGyafD3lB6TF67lL/WVk+3pP&#10;mCPcke419E2RmpajidvBPyItyWAVz+3WbQ+J3uvZtoaOlo9t585zEs+t75Vrg6B1rLNuk7d1m+wF&#10;fYL+Ru37DWP7PBLmeB0mTtI7PEmBMOrcMCJ4NQYs7BkCOtEnMheqlSW4eo9c6C2oqS6Gp5eeJ0HJ&#10;7WN72J5Rbd28jrXTAHSzC90G9Zt+ff4I8T+VY8B8qZa73H4JBAJBT2RATCEGxJbgu7lbofMfL5Xr&#10;ckIfeV9w8XzmFNy+ReL5O5g8JRAIXBYhoHczDY1xuNewA+XcFd2+wEsC+pk75zApeAJ/eC53ce4Q&#10;NpikGuAh4TO5oFzR8P7FZJuAPnbyuxHQbXXOx04KRKI5Aadvn+VxyeTgl9segYtQ96p2egXFW/O6&#10;4FLc/yV2zpTePYszF/ch/4gFJ7LiccgUi71xc7B70VTkhI1B1mxP7Aj2wNaxozibx/wg1ZLTD+4Y&#10;3WBkeA7FlsAR0rLjRiNzhh5ZIZ7YGTUOu5fNwP6UCBy2LMKJnCQU52/F2YojkiheZy1JQBMB2Dbz&#10;7aZ9EJM0BG9wGTVPr+PszQJExsxg1yl3hx+6yEHu5anBJJ4vlWLbm+TvMQLXoeVZMqpqVmDyFB9Q&#10;zXq5z/VtkLOayrmkbk21lgMQk3Sob0HHYUnCIt4HcGaSIeGmGI3lyxfgt+f3+cNNuU6w4P0Cq4h+&#10;v+keQk6cxf+35QQ+3XGSO9GdEtHZe/V+Pvh2TQb67RIiukAgEPQ0Ps0swGfZRdBl7kBYXAiCJ7Fr&#10;O7sHODopkYR2tYcHAgJ1WLzYE+Q477DeOQnRJJ6v9IBl/HdWsdlOuLaJzWxsaZ7rhrS19vXOfZCW&#10;bOBx6jY3t+xy4W6v1tV2/TaozQ3eMJOAT+1o7dqh7dFYxfN1HTjPbRMBEgxIn/KD/Daxv2VQjLvv&#10;MB5Bn5Zo4O2Z2HIRkZ78+Dk6WUGvc4du7Eweuds/pmfEuBP/F3oSy3ddwl9/NeD3/z5EYsJSjHYf&#10;JbuPHaHSKDF+fAAa6q6wvs2vjJZ30t+kmuh//vEEmfk1+GFRIY+iF3XRBQJBT4fuG1/GFGDUjGTo&#10;vX3YPYU0BRcWzxWjeWy7JJ6LmucCQW9DCOjdTiJ/vVZ3slMu9IyfMqRa6M640PngUo21W9dKNVNl&#10;1vMusQnowbOnsAFE9wjodBw0Hir+0DxoQgASzAk4fukkd5xXcgew/LYIXBwuUl9+KVJzcb35Kioo&#10;Er31Oq8lTq9l987i4vUCLmyXnMrhFOXvQO6BNOTuW8/Y0C4n965H3iEziouyUFJCy+7ksfIXruWx&#10;bajA5V9uc4e85Ci/hoqmq5K4T9tEQrl1G2W3XyBglNdVoaq5BgUVBzAvIphdp9x4jWW5a1lnoYdV&#10;5DyfOs0PZRWSeE7O5jfvLQJXoqFlDWrrk7Bi5RQunjv60NEGTT6bOW86zt67gMt0j5M573oV7B5P&#10;/Znth7ZBb9Q6VZeSULI+SWCQH27dOM8HuHIdYMGHg0T0xl8eYFHxRfxn20l8sv0k+mZLIvrLOPdO&#10;RvfpWR+aRPTvEy34PKdQiOgCgUDQA6Ba5//OKsZ3WYcwLX01QuePgb+PChoP1qeSudZ3BMW1Uz9s&#10;arABCQlvcZ0TJm+kkTs9yh3pPt9Igre92Ex4DOaR7SYe2U7LMGzi+Qotj2WXRHe7Zehn+hstt4gt&#10;R8t0JJ7TdqR6whwyUhLL27alHwLLzLfEttui35dqkB4wHBm03fbtECSmG75mbY2AabWO74OtPZpk&#10;QMfMy1vLj6Pc8W0XnRqe3p4YFpbdY2Lcic+j8jE8tgCVt++w/shTXKkpQUCAL1SsPyG7n+1Az61o&#10;IuyKZQuQn78Pl0pz0VBLJYNISG/qVlc6iejE6aqb8FhZjE/ChYguEAh6Lv1jizEk+jiUUxbDQNdU&#10;fddLIb4r6FpPNc9nzLCveS7Ec4GgtyEE9HdAfWM8HjWYUVF7EWUduNCrmq7g3L3zmBMxCwp2QZa7&#10;WL8NLjSPH4NjZcffe5Q7TQIgEX3V2hVQOzkJgOCiuVbFHecU1TZ+chCSLIk4UX6SO/KqW0Skba+A&#10;BPaXznUS16Xo9AqbwN4Znt58tRw7b8rJ0dl4hTvfZdcpEHSSCnZuVjXV4HDxDkwNHsOu2e6y1zNH&#10;sdU8v1SxTHKey9xTBK4FTXB4+msq9uyL4A9sNVrn7n10v/P01mN3wU+8JIDcedfbqG69ivyaAkyY&#10;Oq4L0e1qKNmyu3duZB3dRjHAdVFIRP/990dIPn8JgzJz8e9tJ9HnpYi+EAadY050o5cBI5etwRfZ&#10;+ejH2pETbAQCgUDwYSHh/NOsAgxg12qfHZsRET8T0yayfpRW5bCAy/tgbBlPLy3CwoxYu9a7c5Ht&#10;8Toerc5F67ZObe4Ct0a2x5HY7G0V0CXB2RytQLr3N9wZ/tpyvK2vYZlki3q3Ltd2G2yw/6clG9l6&#10;2HbQOu1Fb6sL3Rz2Fgc7/T2N7fN8tk1yMfK2/aMa7IvVbBlPtv8+r7VBTn2Kup84yeC4gM4w6Nzx&#10;46z1GBB7itexlRNKXJH/hOdiac4l/PUn9RGbsTEjmbvQHX2eRe8nI4nB6IHAIF/Mnj0NKckrUHbx&#10;pLV0TWO3CelSik89bty/iwnrzqJPRB4+jxKR7gKBoOcg1Ts/hWHhu+ExNsTl650Ttth2W81zueuz&#10;QCD4+BEC+jshkddDv12/r0MBnaAo4B1HdkDPLsxOO61UbohaEonSh5feu4ONXPRHLhyBl4/R4e3n&#10;Aw61O1Qqd3iy5WfMmYb0XekovlaC8vrLfEKAiLMVCAQfmsrGK+zaWo3sgxsQFOQJhUrhsDtGDpt4&#10;TjXPnz5PlbmXCFyR1l9S+Gc2fgJFtzt33+b3P3bvi0+L42VJPkQZFleDjkHpo3IsWB7FJwfKHbfO&#10;QNHtC6JD8fwXqm/ZKNv5FbgG5Kb6568n+KmmGkOz8vCvbSfQJ7sQAzNtTnQHRHSqiW70wKhlifgi&#10;p4DHwsuJNwKBQCD4MFBcez92jR+ZtQ8hGxZhXqg3/LzJda7hYrjctb09SOylut1B4/RYvsKTO6k7&#10;jGy3CtrkKE/3HyY5zElgthecrdHrltDR2JDq+UoEp9cUIyyzRr16X9vl2KtlDluO3OL0frltIKg9&#10;iw8X2dMnfC8tay+e87aGSOK51V0u2w6tg63LMqeDbaJ9mT0SaWuoBjvVbn+zLRLQibAIepYjf6w7&#10;RK9CQNBEDI861KNi3El4/mZhAarvSC70G9fO8Th2hdrx/qdkBlHzSHc35Wgutvj4eWL5smhUVRZx&#10;Ab27ot0lUb4ODc0PsSTnEj6PzEM/URddIBD0AAawe8SgmGJ8P2cjdH5jpTIgLiye07V9tPtozJo1&#10;BXesse1y12WBQNA7EAL6O4IE9NrGVFTXlaC0gyh3cnBX1F1G9LL5TrvQeafdQ4WtB7eiuvXaexWd&#10;afvpdUXyMr79FGMlt432kNBO9UPUGgXGTx6L2JULkH0iBxcelHEhgUR5W7sCgUDwIaEUjMt15Ujb&#10;uhre3hoo1Y7F+7WHreb5JZt4LmLbewSNrWvw4FEiFi+eCHeV81FjCpUbps2eiqJrJTyNRu7c622Q&#10;Cz9jVzrvR5CLXO64vQ016wv5+nqi9OIJMcjtIeBFLaf49jWofyrA/24lEb2Ai+iO1kTX6VQ8+n/0&#10;4jgM2HGCx8LLiTgCgUAgeH+Q6/w/WcUYknMCQZs3IHLZJEwcx67ZTrjOCUno1WLGLAOSk6XIdhKB&#10;24rDHC6A+yAtSQ8L1RmXE5tJwNawvwUMh2mJRhKnbeI1+5lizy0Tv5fc3PY1yglqy+cbmBaopHW1&#10;J3gT1m0xrfCQIuBpnfZtUftUOz3C3br+NsvbYOtIS/GEZdqIN7eJ74sUP2+mGHlqpyNBn2GxeGFV&#10;nBcMXlqHJzLQc6ixBiW85mZgYA8S0AdE56NvRC4WZpZK/RC0Im19PBvnufF9ktvXzkLLUzqjQuUO&#10;Pz8vZGea8etzmtTZKtsPcgYS0f/+4wmyCmrw3cJCHukut58CgUDgCvSPLcHg6BNwn7Yaek8j9JQ0&#10;5sL1zj10Gn4NDwubiTu3yqzPFUSqnUDQmxEC+juEotzvN2xFeW15x1HuzVdw8Owh+Af68BhzuQv4&#10;26DlJkwZi/zLBVyAllvPu4K2/8ydcwiPCeWuMRLzaeBgD0XVUhyrUukGvzHeCI8NQ1q2CSfKTvDl&#10;q6gedn2VcJwLBAIX4TIus2vTxXvFWL0minfy1R5dnyFLD6ZIeA0O9rOK56LmeU+hvmkNd59v2TqH&#10;nwt0b5P7jN8GPVTz9jViV94uXHl6Xebc631Q4syRC0cRMNafT66TO25vgz4PGuhu3rSWDXKp9qQY&#10;5PYUpFjSOtQ8vo0JR05zEf0Ta5w7iehGLTsnOutQ0Km46K6MjJFE9JxCWUFHIBAIBO+eTzPz0Se7&#10;GIYdOzA3JQKzZxlgNKhA5W8cTXPike1aD/j667AgphOucxKzGbw+uE2wtnd720Rr9jfz9BFIS7RG&#10;r9uWTWPLxiiR7keO9TZit1V0t4z7DmmrtFI0ensiPmEV100LVUj3kYlbtzrGzbHKjtuiCPokAyzk&#10;Xn8jRp7B9ofHz8fr3r5NVkyszZRVekzwUfNIfLlj3z4a9nlqMGZ2EgbFFPaoGPe+kbn4YWkRLt+8&#10;zfuN9+6Uchc6Ocnl99VxqM9PZYWWL1+Ahw+q2HpauSNdri/kKHhBfadanLp8E16Jp/GfsFz0j35z&#10;PwUCgeDDIUW2D43YB/W4edbIdtetd07QRH5KElkYG46Ghhv8ui13DRYIBL0LIaC/UyjKPR436w+i&#10;tJZEbXlxmERjil5fkbKcC+HOPJSnAahS7Y6Fq2J5BOr7joMl0f7snfNIMCfAP8AHHnxGufolY4L8&#10;EB4zD5ad6Th8/gjO3buIa89vcXenEM0FAoErQdckmtRz+upRRMVOh1rtxmehyl17HeX1mucitr0n&#10;QeJ5QWEsfP2NUGudm0xB93e6z69cuwKVDdXi/seQ+g/nEBo9l/djnC2PQMuGzpuJpvprbKDbPVGZ&#10;gvcL1fasb72PmOIL6LftJP6dmY8BmScxYtFqGDx1XByX++zfgPU7Dey9qtBIDNpyGH13FskKOwKB&#10;QCDofvox+rDr96fZhfgh6xCmWVYgPGoMAv0UknDuoMuZkJzqWtaHNiAuzguWt7nOrS5t89zRXJjO&#10;kBPA6W++38AcpZCWsxPP09ayZeewZQ3W99kvaxXdLTOs8eht6oq/AbW3jrUX7i7VKqfl7dsjYd9/&#10;mFSnnLvfZdog2P9IrLeM/U5+m4xSjDxt+9tc5y9h7zMl6rFp/HcI142A0sDutTLHvyMMBjX8Q6Iw&#10;MKagRwnoAxifhuUiJqsMeFHP+iDNSE5c5vTzuPbwYG25KUZh2vRJOH3qKO/rdFeJISnSvR53H97D&#10;7I0X8FlEHj6bLyLdBQLBh0eKbC/CD3M2Qec/DgY9TYh2Xdc5QeU4aEL+ooXhaGok8Zyc54/fuPYK&#10;BILehxDQ3zEkoD9uXI/qutMo6yDKvbKxhke5Tpg6jju15S7mb8MWeWrJMXM3l9x63iU2MTyvugDZ&#10;x7N5PXNiZ+5O5NcU4uy9C9xtTo47Eg7k2hAIBF2DyiBIqQ5X+HdSlENwDLoWV7dcw6GSLMyYFQSF&#10;0r1bxHPujlUK8bynQuL51WsrMWPmGB6/L/cZdwa6v1N0e8nNM3zinNw52JugyX6X2TUrIS2O14S3&#10;9WMchbv6vQ2oLC+wDnTlO70C14ec6L///gibyiowPCsP/+/2PHy2swgjlibCaNRCr3VERFdCMzME&#10;gzYdQL+dxbJCj0AgEAi6DxLOP8kqwtfZJzB2y3pELJ+MSeM0MOgl17ns9boDXrrO/XSIivLE+vVS&#10;ZLusGEzYnOPLNEgf9x14nfO2gjUXwIfAMul7mFbppGX4cmx5a31yy+QfpPe1XZaEa6+hMM9vI7q3&#10;B9Uep/rpM0e+uS3cxT4Y6QHfwrRCK7UlJ57T30joXuHBo9nfcJ5bt8kUrZTeS/vSto222LcZ9C22&#10;enyFpYbvoTNKxgy5z6I9yFHoN3kivowhUbpQVkhxVfpE5uGHxUWouv0zHt69gOkzJvM0Rbn97Cpu&#10;SjfWVzVix/Y0/PHfB7y/+uKfbkhL4iJ6LZ7/8gjrDlZiaEwBPo3I5RME5PZZIBAI3iU0kWpA7Cl8&#10;RZHtwSug9zRAr3NO43ifqNkYk8rBrU1ZidaWm+y62ix/zRUIBL0SIaC/B15FuV9CWXsu9PrL3IWV&#10;sTuD1//sTC1xOShCfezEABwrPY6a1muy63qXkFjHhbvGGv5gXHo4XsP/RsKecNsJBO8Gun5ceXYd&#10;5+5dQH51IZ+0UnClCGVPyvm1oFwI6W+lkuqdN1Riy54NCAjQs+upolscCOQ8UGnUmDlzDMrKl3Lx&#10;XMS29xyanybz+PYVKyfDTUGuFPnP+W1o2KDM01uP3fm7+SS33n4/pP2vZtem7BM58PTSO/3Akr6j&#10;FLO2eVMq8E8DG+zWy3Z4BT0HehBMse65N69Cs7cI/8/Wk+iXU+i4iM7ODYpz106Ziq9NO9F3Vwmv&#10;xSsn+ggEAoHAech1/u+sYgzMzoPnjq0ITQpFyCwdvI0qeDjpOifhXKvXYvIUPVavfktkOxeEfZCW&#10;bHzpOk/3GCyJ1HaCdQaJz97fwBzuhg3rPLHBZHWPk+hs8eYucEmkHtJmWfY7a49ql1MkvE2of2M7&#10;bFi3xxRvrZ9OIvcb7ZGI/wNMSQZJPJdth/2d/c+8SCVFybetm07tsu195V7vYJts2MRzirb3l9rc&#10;pB+CZMMwBBqV0Bi0sp9Hu+iU8PL3gXphNvov6Dl10G38OzwPi7POY+WSKKi6oQZ6R1A8vEqjwIrl&#10;C/Dg53LW32nqtn4r7zsxcsuuQxdXgk/CT4pId4FA8F7pT6U8YosxPHw31EEhMFAJLoptl7keuhK2&#10;chtmUxJ++/Vndi0V4rlAIHgdIaC/F2xR7gc6dKGT0Fz66BKilsyHu/to2Qt7Z1Ao3Xg98vP3S3kN&#10;X7l1vXPqpIfjXCBgP8u+RyAQdBkuQrVcRfG1Eph3mhGxKBzBs6YgOGQKd7ouSViEnwp+4u8jd7Vc&#10;G4JKVLVcw4V7pxCfupA/CKLZp3LXV0ch9zrFts+PGo+rN1ZxJ7MQz3sODc1r0NyajM287rmGT4aQ&#10;+5zfBj2Mowluq9ev4hPmRDKElFpzsjIPE6aOh9rJ5B3CTTEaEeEhaKinmLUm2c6uoOdhq4t+o+4O&#10;Jh0/g//dehJ9sgskEd1AInonH8aQiK5RQDt+PIat34HPcgrRL0uI6AKBQNAdkHD+SWYB+mYXQZOT&#10;g5nrF7J7shfG+KqgYf0mZ4RzWkat9YDfGB0i53ti3TovWCxtRGB7rA5yLgiP+06Ka9faicwEOb/p&#10;7+O/g2m51e1tE+PpZ3K2U8S60SpK2y9Lwjtb3hI8AmmJHYjdNkigZkhivEz9dO5CZ+3NGom01A7i&#10;1kkMZ/tlXqCUot/btqMZDEvgtzDFWeudy7XRFi7I+8AUy9r0/uZlmxmcIQjWu0HlYIy7VqeGn68a&#10;gQuW4/MFp2RFFVem/4ICDFtwAh5jJkOndZPdx+6ExgTUd500aSzy8/bgn39I+O6eSHepLnodbt6/&#10;h9kZF9A3nH1Po0Sku0AgePf0jynGlzEFGDlrHfQ+/mys5s6uee9uQlJ3QRObjJ465GRZ8NtzEs/F&#10;8wSBQPAmQkB/bySgtnEtauqKOhTRySl66NxhBIz147NT5S7wb4M65Wq2LNUjp4f04kG9QPBxQq5y&#10;KoeQeTQT02cHc4HOnQ3IqXYbQXHRbu6j4OVr5DWXT988I5yvbaDrY03rdZwsO4SI6Gk8RppqH8ld&#10;Wx2FxHOlWs3F85u3V+PZryky9waBq0ITHVqepeDEiQXw8tJB7UT0qA2l0g0z503D6VvSd1DuXOxN&#10;UCJN2eMKRC6KYNctN6froSlZX2dMgC+qLxezwW4r69iKGmUfEy8Y9CC4+fkDJJ0rw4AdefhXZj5+&#10;WJ4Mg58PdJ0V0Rl6rQIGf1/8kJTOI+H7ZefLikECgUAgeDsknPdl1+O+2YUYnbUf09NXIiwmCJOC&#10;lNB4qFkfWP5a/DZoOXKdTw02IC6+E7XOzd6vXOckMreNNyfXt3YIMih2fZ4b0lKMXEB+ubyFLZ+k&#10;hyX4R0lMto9YJ+hvnkNhCWXLcsf6W8Rz2p71njCHuVld8DLtGb/m/+fvb689+nuat9QOifr220X7&#10;pJHc62kJ+vYF+LbY2oywThRos69btV8hzDgKGqPWoRh3mvDg4+mOcfPmYsjCwh5VB93G5zElGDU9&#10;EQbaJyf7pI5CdXZJtDGbEtBYf431d5qBF3Wy/SFHkOqi1+Hps0dIO1yJIezz4JHuwo0uEAjeAQO4&#10;67wEwyP2QjUhEgajDroeENlOkOZC23tg/w523aQkuwbZ66pAIBAIAf09Qi70hw0bUVlbhrJaeVHb&#10;5iZdk5HERXBno9wpKtbbx4idJ3JQRQ/rhWAmEHx0VDVdwbaDW+Hj5wWFYjSfPCN3PZAEdQWmhUzF&#10;TwV72HI1qGxqfyJPb4EcsFWNl7Hz2FaMn+jLJyB0R71zgiLbiTVrpuPOvTjuPJe7LwhcF/rMysqX&#10;YcoUdm6onU8koO+ff6AP9pXsZ/f3919axdWgiT/Uz0nelAyNh5J955ybsELfVYpby9xhYoPdxu6p&#10;IylwSehB8Iu/a3H4ag1G7CnC/2YWYmiCBUZ/H+g9Ov+Aht6rZ33j0csS8UVWLvrmFMoKQwKBQCBo&#10;n0+547wQ32cfxuSNyYhcNhHBEz1g1Cutsevy1+COIOGcINd59AJPrHtbrXMSjbnLWwPL2O8kMbit&#10;+E2/k2DNXecekoBsE6ytP5uXqJEeOJy97824dy7G+1M8uur1ZeXgYr4P0tYYYJk2gi3fZnuoPVqH&#10;3zCYYll7Vne5bFskwq81wjyrnbrp7HfLlB+lyQCWDrbJHloXHVOaaEDt2Av7fNuGYFPQMCyezT5H&#10;Xx3/LOQ+p/bQ6xWYNG08PJbtwWfRxbIiiytDAtDgqOPw8A1i+/L+4oYp8UyhdsecOdNQeuEk8IIi&#10;3bvJjc76TmB94xOl12FIKOFu9C+i8jBIZv8FAoHAGQbEsOt9TBF+mJMBnd84GHTu0FFsu8z1zpWg&#10;SWLuSncEBfnh9Okj7NrbwBBl4AQCQfsIAf0909AYhzv1O60CuryoTTHLZ++eQ0jYDC7oyF3wOwNF&#10;ok6ZPhF5VQWobr2KS0/eXJdAIOiZVDVfwbHS4wiaEMDLNshdA+yhyThKNkAnsT1tRxouPijjk2vK&#10;nlTItv9RU3cZV57ewLm7p7EmbRmMRmn2qTMP/OQg4VzH2lq3YSYePk5A6y/JsvcDgWtS25CE1ucp&#10;uPNzHCKjxvEIfmfPDfreUW3vtVtS+Xe2t6c/8EmCzVex48gOePsauAAud9w6A8VfLlsajV951JqY&#10;Lf6xgxdSbc+rtXcQknsO/84qxFfxZhgC/KH3cKCvrFXCYNTCPXoJPs88ib47i2QFIoFAIBC8Tp/M&#10;fHySVYzh2Yfhu8WM+XHBmB6shafB+TrntAzFtRu8tJgx04DEJEk477DWObnGEw0wh4xCukESlN8Q&#10;v0kg9h4KC7nOU62uc1qW2iCBOtUT5tDR8pHtVuHdMul7mBKske22ZeWwiuvmpR5WMb7t9lB7gyUh&#10;f5U1Pr699iw+MJEjfqrVEW/fDm0Xg/Z7wzr23o4EfXtof5Otwj6fKMDasbVJUBT82O9gTtAhKcUb&#10;fgE6PhFC7vNqD0odmDzJgICVZvSNPiMrtLg2BVwEcg9eBb2eJs2+Hxc6QRNJyY3u7W3Ajh1mtDTf&#10;ZP2dVt7vkesPOYLUd6rDo/r7mL/lIj6PzONudPljIBAIBJ2DJh31jz2NoZH7oZwUC4OnHnodjevf&#10;37XTWXgZDaUbpk4dj7LSPHaNbGEI8VwgEHSMENDfM/WNifz1ev2xDqPc6UE71S329jOyAalzM7jo&#10;xqBSKRC5OBznfr4o6h8LBB8JtqSKlakrOnSey0FiHolWsasW4PTts6h5el12HR8rFNlOx+7YxSMI&#10;j5oOtbr7ItsJEs9JnMnKmofGlmQ0ta554z4gcG2anybjcV0ilq+cbBXPnR8IKpXuiFocwSesULkF&#10;uXOyN0EO/ONlJzBuUlCXJgiSW2cia+Pnu2VswNss28EVfHzYYkl/+e0BNpRWYMhPJRiYtBna8eMc&#10;cqLrdCoY9Woo5kZgwNYj6LuzWFYsEggEAgHFtefhX1nF+Cr7BAK3mxCRGILZs3Tw9lSzPrRzwjlB&#10;LmcSaseO1WHxEkk0b1c4J0g4p3j0GCXSA759U2AmtF/zGuiW8d/DtEzzUtzmy1td4iRiWyb/YBWk&#10;2yxPbRq+hnnOKGxY20F9chskTq/zkmLR5eqUW0Vvy/QfsSGZhPx22uPbxtpa6cHruFNE+xvtsFfz&#10;bLZd69l7OyOeU5vsmFGN9HR2PN4U9hl0rMjNbo2CN6d7Y9JELRsvyn9m7UGf44Sxbpi4aCkGxJzq&#10;kTHuA2KLMTRyH6/dq+Miuvy+visoQVKpViBq/lxUVRby/m13TBC19Z1+/+9jbDxRjVFLi/BpeC76&#10;i0h3gUDgBFKt80J8P2cjdP4Toe8hrnOCnuu4K9wwb9503Lp5gV0bn4oUO4FA0CmEgP4BoCj3J43r&#10;UF13CqXtiOgk8lxuqsGajEQe/+rsA3ya0Up1kBMtCahqrBH10AWCjwC6NpTcOI2ZrOPXGfd5W+i6&#10;QOLVzNAZOFmRxwXlj90ZS/tHke0VdRXYsseCwLE+/Nh1RRxtC8V8+wcYceRoFBqa16ChRYjnPY1G&#10;9pk1NicjPWM2r1/flUh/uvdOCB6H3Mo8PilO7rzsTVxmfRCatDMvak7X0nW0Kl6fMvfEbv5wUQx6&#10;ex/kRCdX1Zl7NxBw7Dy+XJsF1fjx0GvovOrkd5adQ0b2fnXwdHxj3oV+OYXol5UnKx4JBAJBb4Rq&#10;nH+aVYj+2Xnw3b4Jc5LDEDpbjwA/FdQa54VzWo4EV28fHcLDjUhJllzn7dY6J7HY7A1TvA6WaT8i&#10;XT/kTaHaKgZT3fFXtc7tRGbrz6YoJdJ9h7H3ykW2s+XZ/8wUsW4vvMtB28r+b4q31k+n5a0i90ts&#10;2xPhjrQNHYjxrJ00aitGBYvfN/LiOdVNZ+10GP1uj237lmmQHjBcatN+f/nEgSH8eL6MgmdYVnkg&#10;dAwbH+nY5yTz2bWHB/tMfX2VCFkwByOWHMXn0UWywotrU4hBMQVwn7IEep3j4+vugIs7bHw6JsAH&#10;WzevR+tLN3rXa6PzvhPqUHHjNqZuOIc+EazPMz9P5jgIBALBm9hqnQ+L2AvlxGir67xn1DonyDRD&#10;19cliyLx+NFlfm2Vu1YKBAKBHEJA/0DUN8bhYUMGKusutlsPneobn751FrNCuxjl7qGE3uiB7Yd3&#10;oObpNZTXi3roAkFPhgTvw+ePYOzEQD7BRu57/zZogE7u9cnTJ2JP4R5JXP5IJ9hUNFRzAbPwShEW&#10;roiEgSLb1d3X2efHUqVC8DR/FBbH4unzVC6gy137Ba4LfWbNrcnYtSsMRk8du3c6L55T0gMlEWQe&#10;ZffdVnbf7eXR7RUNVfwYLF+zjH/3nJ8UKD1YTNuQgL/+rMeLf0TcWm+F6nrSg+DGZw+w9GwFvjHv&#10;xugp06EjJ7oDLgiDxh36cePwffImfEYiena+rJAkEAgEvQVe4zyrEANzcuG1bQvmJYciZI4PAv2U&#10;PBnP0XhvGzbhnJ5LTJtuQHy8J3ect1vrnMRiEp3XesIc6WYVvoe8KVTT7xRLzl3n1lrnNrGat0Gx&#10;6AbuAufvbyu+0/IMimxPi9dJy9JybbfHBrXP/k9COxenqb3XxHj2O/2N/c+0tI0Lvi20rnWesISy&#10;/aM4+rbbRr97DYUpStFxO/ZY32eOZtvn3Y4rnr2a59q52Sk6frUWGwOGYZn+OxgMGocEdPpsDUY1&#10;IqOC4LFiJ/pFl8gKMK5O/9hTGB6aBb23zwdxodug0mJUei0sbCbOnz2Bf3ifp6nLk0ZhdaO3tD7E&#10;+sOXMTQmnwvpwo0uEAjagxJF+seW4MsFuRg5az20fkEwkHD+Aa+RjqLSKLkuYjatwbPW2+w6KBLs&#10;BAKBYwgB/QPS0BiPe/WZ/OFyWTv10Ktbr+HgmYMYE+jbJcGHRDb/QB8cPHeIi+hy6xIIBD0DEtAP&#10;nT2MoPEBTgvoNlQqd4wJ8sWuk7ukGs0f2QQbqvNOwl3WsUxMmT6e7y9F5MkdC2eg6Ep3pQrzQgNx&#10;qWIpnv2aivomIZ73OJqS0NSajBMnF8BvjFGqYy/zeXcGnvCgdEOCKZ5/p3p78gt9/yi6PWP3RuiN&#10;2i59/9zZ9zd03kzUPbkiBr4CvGCQo+rvv57g+J1bmLD7OH6YNhsaDwX0nRbRNTz+3eDrjZHL1+Dz&#10;7Hz0zSmUFZUEAoHgY4ZqnP8nqwRDck5Av20rQteEYvZcL4zxYfdtncpp4ZygZT10Wowdp8OiRZ5c&#10;6LVYOnCdW0Vs03IPpE/8/pUobS8Ek2hNTnLvb2AOd+NCtLTc622YF6vthO42bdDfyCVOYrKtVnrb&#10;bbFB7bI205KNr+qvy4nTJMZP/RFpSVQ/3a72etu2LD48Ot0y1RYnL7NtPsNgWmIV4ds7VvaQk5wm&#10;HMx1e7U9bdtsK8izbaRtpRrtGzWDkWoYBk92b/QwaGU/y/ZQqjWIDFNjTFw6+kWdekOE6QkMWFCI&#10;r2ILJHel9sO40G1ItdHd4OVtgNmUhEf3K3jfF2iU7RN1FlvfiZJ8iitvYEzyGR7p3k+40QUCQRv6&#10;xxZjYEwhhofthGrcXOjZtUmvJ12i+1Ic3zVU+s3Ly4A9uzezMeNjdv1rkr02CgQCQUcIAf0DQvXQ&#10;iZv1B7kLXU5EpwfPV1qvY/329dBolLwjLXdT6AwkwE+ZORl51QWoar76xroEAkHPgNfwLj2O8VPG&#10;douTmtqgSTo7T+6S4tw/AhGd9oGcv+Q6X5myFEYvLa8r152R7Wqtmsd8r1o9FddvrUbrLymob5K/&#10;3gtcm2e/paLk9CIEBBrZZ+q8wEvnl4ocIzGhOHv3PCobe3ndcy6eX8Xewr3wD+jaRECaOR7A2qgs&#10;L+ADX6rpKNexFfQ+JDd6PR4/e4iVRWehDlsgnWuO9Jm1KhiNHnCPXIivqC46udFlBCaBQCD42OA1&#10;zrOLMTjnJLy2b8LcpHDMm2uEv4+aO861uq7FtVOij98YHcLCjEhNfYtwbhWWTYl6WGaP4uK2JHzb&#10;icA2IVhHQvUPvKb5SzH4ZRveSFtjaF/opvYo1nzM8FcCtW15Ofj/fWBeqkH62O/a3yZvimxXvBLz&#10;223Lm6+X1i/blmYwLIHfvnLUv008p/+TEM4F+R+lNt+o7z4Y6X7DYFpkjajny0jHyTLpB77MRv0Q&#10;mPRDEWBQOSygqzQahMxSY278CgyOyUf/HlgHnei/8BR+mLMRRk+jSzgsqXSRQuWOqVPH49iRHPz2&#10;6wPW52npuhv9heRGr296gKT95RjKPq9PInJlj4lAIOhdSK7zUxgSdQyjg1fD4OUtxbX3kFrnNii5&#10;buw4f5QUHWDXu0Y+XpS7HgoEAsHbEAL6B6a+MQG1jSm4VpeLMl4P/U3hiuKHLzwoxfzFEfyBoLMC&#10;EC1HUVDhsaE4c/scj2xuuy6BQOD6kKOVJtdEL50Pd/dRst93R6EyEf6BvtiVa3Oi90zXLB2XysYa&#10;HhlN8dnBsyazfXPr0uQjOcihTDNwN22Zjdr6JDQ/TZa9xgtcG5rw8PR5Ci6VL8XUab7sXOnagzK1&#10;RoEJU8aKuudEnZQAcbz8JCZMHgsFG8DKHbPOQN9fLePAvq1s4Nv1CEvBxwk9CP7nRQNyb1zB1GUr&#10;4K5n546HAyktejUMOhU8ZoRgqGUX+uYU4TNRF10gEHyE0AShvllSjfMB2Xnw2bYRMxMjMGeOJ49q&#10;13iw+66Tojlhi2s3eGoRMtuA+ARJOKfI9vYFYG9sWO8J0wIl0gNJWG5Tp5yg30kc9hsGc5QCaSRU&#10;W+xc4zZxepEalqDvuBD9RhvkymZ/o9rlafH615dvi01kJtf5nNGvBH379vg2sfWM/Ram5RqpvfYE&#10;b+s+mimy3dhOW7R9E77j9dU7bMsG30YfLrZb6Li1rXfOfs6g9Yxjba7USttAy7DjlJZsgGXyD9Jx&#10;Yu/NYJgZ04zuDgvolMo1caIHYlfPxreLemoddEk4+mpBHtRBs6DXOV9GsbtRqBXw0KqwbFk0KisK&#10;WZ+nhdHQdSGd10avRWH5DQSknEGf8Fx8HiXc6AJB76QAA2KKMCimED/OTodHYDAMNJGoB8W1E6R9&#10;jHYfhZCQqdbJ963ACzZOlLkGCgQCQWcQAroLUN8YjyeN61Bdd8oqor/5ILq6+SoKrxRjYvB4qLvg&#10;4KKH0OSOW75mKUofVQh3nEDQQ7ny7Aa2HtjKRdzuiiSna4M/xbmTiN50hYvRcut2VSobqrnbtfBq&#10;MZYnLYGntx4KpXuXHgC2hTrjVO88MMgLhw7P567zplYhnvdUSDwvI/E82Jd/rnKfeWehuuc+/l7I&#10;ObmTl1+RO0d7E1UtV3DmzjnMjZrDJ7HIHbPO4MG+czR7PDV5Jf74/SF/WCjXoRUICIokJYfB46cP&#10;kbzFArVB51jyATvfDB7u0I0fh2+TN6HvziJRF10gEHw0kHD+aVYBPssuxJCsY/DesgmzEkMxbYY3&#10;AnxIoHO+xjlhE87p58lT9Fixguqce7df55ywit5pq3WwTPlBEn3bE5YNX8MyY4QkfJMQTMtSG9Za&#10;51K8+sj2xWkSun2/gTlKKYnv1Ebb7bFh3S6qY24Z+620rEwkegZtU8go7uTmEepybfHtY/tIzvr2&#10;Itvpd7aNfP9SKE6+g22zQe9Z7wVzpKL9eucMHinPjg1/v21SADnPbeK5VXAnAT2DvT/MOMphAd1D&#10;p0FAoBYrVwdg1JLegVFeAAD/9ElEQVR9+Dy6uI0w03P4IvYURs1cy0sPuZLjkp7lkSg0ZowPNm1M&#10;RUMdlTRq4v0euT5RZ5H6TnWob36AxL0VGBpTwGPdRW10gaB3QBOHBsQUc4aF74Z6fDgMngbrJKKe&#10;E9dOUGoHPTtYvjwGjx9eZte2rid2CAQCgRDQXQQS0R82pKOy9hxK5UT0OimOeOfJHHh66bskmGnY&#10;wJhccmvSE3G5sZqLTm+sTyAQuDTkEL/48BKilkRCoRjNhV2577ujkBM9YKwfDp45yMVouXW7GrzG&#10;Mrs+lj2uQOaRTEyZOYkLJiRoyu2js/B65wqp3vm584u5+NrYIuqd91Se/pqCazdXYdp0v66L5+ye&#10;TA7pDds38IlpPTXBobugY3DhQRkWxS1k/Q1ll65Pbuz6Nm/eDDx5VMMfEsp1ZgUCe6T6ng34658G&#10;HM7dz+5pY/h5JHd+ycLOV71WAYOPET8uSUD/7FxRF10gEPRoSDj/JKsQfXcWY1j2EXhnmDF3+XRM&#10;mWqErxfrA3WxxjlBUe06gxZBY3VYuMgT60nYNb8trl1yQZvnjea1ubkA3LZOuU0EJof3YtbXomXt&#10;xWWrKEz/Sw8koVt6v2wbE76XIt9pGZv43ha+XSTGs+2aOwrpRrY83y679mgbSXgOGA7TQtqmDtqz&#10;bd9CFdL9h7G2XgnWL6H2jUNhDnPjDvXX9q896NilGGGZNULanrb7zNv8Wqrvbj9ZgCYarGHLWWPb&#10;7beFnOobfb9B7Ay1wwI6TZ7w8tZi5UojfFZuwxc9WEAfEFPIo4u1/uOh1zuQZPOeoLJkKo0CU6aM&#10;w9EjOXj69Dbr97QyKJ748Rv9os5ApZFIRKc+VFEFudFPo2846/9ECje6QPAx0z+mCANiSzA08gAU&#10;wcuh8/aFgce1d++ztPcB1TunsjM0weiP36nchUiuEwgE3YMQ0F2GRDQ0xuN+w1ZU1JbxmuhtH0hT&#10;JDEJRYmWRGg8ulYPnR72G4xamLJNuNxU0+OcpgKBoJJ/dwtqijAnfBbc3Ed1i4hObahUbEA+YxJy&#10;L+ej5uk1XHpSIbt+V4AmANW0XMPR0mNYuCqGb39XBTs51B5q/mBw9eopuHUnDi3PkkW98x5KbYMk&#10;nt+8vRqR88fxOvZdOV9okKZSuWNp4hI+iaO3J7vQ5IHLjTVYk5HEoybJzSZ33DoDPSAMGuuHqsvF&#10;/MGgXEdWIGgPepBMD04uleVj5qypGE2TzWTOs3bRsb4yuzYow6IweON+9NlZIitMCQQCgavyUjjP&#10;KcHI7H3wMq3D9EUzMHmCFp5G1v+x1jiXvQZ2EhLeiaCxekRGSXXOzaYOhHOCosnXe8EUq4KFaopb&#10;Be7XBGASdkng9RkKc+hoLvraxGjeBr2SGEyublutc2qjrThNQrfPNzCHuyFtrackdLe3bVxk9oRp&#10;MbnOrdvVVtCnbdIPgWXaCL7u17bJHr593khLMli3rwNXvP8wmBep2TKsrfZi7m3Y3OyrtLCMsx27&#10;19vMoDZ9WJsxqtfbpOVsNc8p6t1+W2jbvL5BxlI1VsV5wkMvieJyn7kc9F4PnQeWLTVgRsJaDFhQ&#10;yF2NcoKN6yPFGLsFr4KeO9C7d1zZHVBCE4noRFT0XJw5cwR///WY9XuedkkwsrnRG1seYM2+Cny/&#10;uBCfhAk3ukDw8VGA/gtPY3D0CYycuRY6/3Ew6JTsmkfCuetd897GaMUoBAb54cihTD7+E6l1AoGg&#10;O/mfJhE960Ikcif6vfpslNdWyIroJJiVPS5H1NJIKJRdc52SO5NE9I17NuLK0+tCRBcIeiAUtV58&#10;7RQWro7lQhWJx3Lfd4fQe/B6xfOiZuPMnfMuWcu5vF5K5bjwoBTrtq1F0PgxUCi6v9Y5PQwid7KP&#10;nwHbd8xDfdMaUe+8h/OMxPM7knhOn22XxHN6eKVWIHTBPJy5fY7do3t33XOeBsGuF1v2bpbScrqQ&#10;AqGmZdnxPXl8l/VhoHxHViDoCOlBcDMe3L+MRYsi4K4YDY0j9wl2Dho07tBOmoxhqdvQjyLds0Sk&#10;u0AgcG36ZeWhT1YB+uUUQZn5EwLXxmFq5GRMDlJBr1WCUpUcEUfloOVJOPcfo0dYhBFrkr15nfMO&#10;hXMSr83evBa3eeqPr4RbeyGXsAnX7D2mFR5SNLq9w5uL1p4wU730AJm637wNyVGdTq7zl23YbYs9&#10;tM0WH5hIXJ45gi3PlmtP7Kb669FKaTnajrZtEbb9pPj3oG+l7ZDZPlqHZTLbPh5J34l653x93mz9&#10;FNn+zZsiuG0bqd75ap31OFmXZdv00nnetjY8bR9rj2rHmzO8ERfvBU9vLRfE5T779qDJxrExOkSv&#10;WYhBMVIs8JuiTc+ABPShEfug8/ZhfYHuHV92JzQWobhi+jkxYQkuV9Ck00ZOl4R0Xhu9Dheu3MLU&#10;Ded4pPtn8/PYZyp/vAQCQc+Arsv9Y0t4nfMRIWnQBM2CwcCuceQ6b3N96QnQ8z+6Bs6ZMx2VFYXs&#10;utUi6p0LBIJu53/yC2J5BK1w0rkKJKIn4Fb9Hv4wuqy2jaj9pBLVrVdRcuM0gmdN5iKX3E2ks9CM&#10;VV9eszUHNSSi1wsRXSDoaVQ1X0UZuzZs2rsJYycG8hj2roiCBBcGuat2MUofl7uMq5auUSTo0+tP&#10;+T9hdkQIT9RwqMZtJ6FafgqlCtOn+4HulS3PqN65iGzvqVA/h2rWV1xehrnz2PdErebuDbnPvrPQ&#10;d2TStAk4WZkn1T134bSGdw2J5zWt17GbfS99x3ix65Dz30kaCCvV7jx+7Z+/a/FCDIIFXYQepjx9&#10;+jPWrV3F7hlq3v+VO/faQ69xh97PG6OWJGDA9hPom1OEfpl5ssKVQCAQfAjIbU6i+Wc5hfg8Ow+q&#10;rVkYHxeLSbPHYqw/CecKSTiXucZ1FpvLmIRzX38dwiOMSEz0gsnM6Mg5TYIyCbhUozzUjbuj3xBx&#10;Ce6mZlA0eozKWqfcTli2tmOK08ES/IPkOm9P6PYi57obW2cHkejUrvV/XIwfIxMBz9tjv7NXS/CP&#10;SGPrfkPQb9MeRau/iqVn2/LG9rH2KF59Htu+VLZ95Mhv25Y91nZNJIBPJ4Hf2oZ9u3zSgbWGerJB&#10;Om625Wmb7J3ntA225agdL0k85+tgn2VSkhcCgvQOC+h0fkWE67A8JQRfxuSh/4JCWQGnJ0Ax7l8u&#10;yIVmQgT0PUBYosmBo91GITDQF6a0BNy9dZH1fRoYjU6LSbDGuje3PsTW3Gq4LytGnwh2vZkvYt0F&#10;gp4GXdOoxvnAmAJ8P3crVOPmwmDUsesbaQo9z3FOqD2UfEy3alUsGuqusOtVM168EJHtAoGg+/mf&#10;+VHjhIDucpCInoib9QetLvQ3RW2KLN5TtA/+rINM9czlbiadhW441E72iRzJid7La7cKBD0RErhJ&#10;WD5Wehxz5ofw7zUJyzqj/Pe+M5DIQO47y06LS5R6oP2jaOgTFblYEr8IXj5GPlmgu13nhEJN0dMa&#10;rFg5GTdurebieUOzEM97KtTHefZrKsrKlyLYWvO8q84r6d7pg4NnD6G65arsOduboEl4R9n1hybx&#10;dGVCC30uNIt8xfIFeNZKNR0bZTuwAoGjUJwfxZvuytkIb18juw64y56D7UGuTYp0V88JxVfpe9Fv&#10;Z7FwowsEgg8Oj2nPLsLnu4rxddYRKC2bMWlpKMZO8oGPp7rbHOe2qHYfXy1mhRi5S5lEc6pz/prY&#10;aw8Xfn24EE6COHeL20Rye/HXJip7fQPz7JGvBGCbSG2LLU/1hDnCXRLguajdph3r3ywTv+cudym+&#10;XEboJlh7XIynKPQpdm54e3HZuq0Wm+u8o/rktvaWa7gDnLfVdj/pd5o4EPgtd6d3uH026P/U7jLW&#10;bhAJ/Gz5tu3yYzeUH5s3tpGOG8XcT36z5jlvy+o858uwz4s+0+QUL0yYaOCft9y50B70/nlztYhP&#10;HY9vFh7v0QI60X/hKXw7ZxOM5M7sIQKTko1PqARSYJAvdmw3ob6uRhLRSVhy0pEuudFrcePne4je&#10;dhFDYwvwSbiIdRcIegKS4/wUBsUUYHhoDtTjw6D3NLAxDRuv98A65zboeYGXtwFZO0z444+HfJwn&#10;d/0SCASC7uB//PwNuHBxKa/nKvfQWfBhIBd6XWMyrtUflxXRSciiqNhNezdDb/TgdUblbiqdhWKf&#10;SQh4KaKLOHeBoMfB45NbruLc/YtYtmYpvzZ0NdKdlg8Y64sDZw5+MJGwoqEKV365gaJrJUjdkoqA&#10;cf5cOOcTBGS2uStI4h3b50Ajtm+fx+tli3rnPRua+NDcmsz7OtOm+3PxXO6zdwQSzz299dhxeAeq&#10;mq72+vQWujbkVRcgOGRKl9MgaDA8a9YUPHpQyQbCLbKdV4HAWSQ3VgNKig9h3PgAfr45JCrp1TBo&#10;2Tk+NhA/JqThC4pJzimSFbUEAoHgXUIpGJ/kFHPh/MdtP8EjZS0mRk5HQICWXadYX0en4vXNu+I4&#10;JzQ6cnl5wMdPh1mzDVi9WhJZiQ7j2rmgzN63wgOWKd+/EsntBVyr+JvBXi0Tf4B5mcdLwfi1dtK8&#10;YVqiQfrE75FBonlbAZnaJGHa+xtYwtyQtq5NvXR76G8WH6Ql6WGZSy7xb+S3i5zaBrZdM0ciLZEE&#10;fWk7ZNujSQJrDDDz9oZK2yezn/Q3cpBTXXTuYu/o+BHU7lpPybXP3ext95v9TtsZ9C07dprXjx21&#10;nc6WpwkCNHGh7bL0u53z3LYt9LmuW+eN6dNJQHdMNCbH+tSpWiQlB8KwdCe+iC6SFXR6Cv1jivB1&#10;1GF4BE6DXuvYpLsPCU+S81DyNKcpU8fhp92b8eih1K92dmIqXliF9H9qkVt2HYGpZ/BZeB76Cje6&#10;QOCyfBF7Cl+y69iwsGwoJy+E3tsbep2yRwvndH0b7T4KkyePQ3HhAXZdquNjO7nrlkAgEHQX/+Ou&#10;UGF92kz88luq7INnwYeDRPRaLqIfkxXRKxqqUcmIN8VDpaLav12bFUtOdpuIzuPchYguEPRIyC1e&#10;WV+FlM0p/MFZV0V0EsRmR8zCqZtn+DVHbp3vAhIlq1uoznkZnywUHDIVSqXbOxHOCQ07ViqNBqFh&#10;Y3HuwhI8/TUVTU+TUd+85v3T9Dp1JODbkLlfCOQh8bz1WQqOn1yAseO8odSo+aBL7vPvLBQVpjdq&#10;kZa5gX0fqlDRy1NbKBni1K0zmBc9hz+o68rxJcdMQKAvKssL2ECYnDLynVeBoCsA9YxGXLtyGhHh&#10;s7iI7lBddEKrhJFdBxThURi8cZ+ojS4QCN4LVNucrjU0caf/zkK4W7ZAt3QJxs4chzHeCmhZn5/6&#10;/rouus0JD9YGOYqpxnnIbANW2Qnnr4m8baH/k/CbqId59iir8Dv4TUGZficRN2A4zFGKV3HttnZs&#10;Qje5p0NGyse1E1ysHgLLlB8k17nJLvLdHvobCcXrvWCOUSI90CoqUy1y+/b4drHtHfutJC7TsrRc&#10;2/YIq2BtZu+j93MxW649EvfHDIOJrZdqmL82QUAO276T+D35B6mGett26Xfa7xkjrYJ8m2NHn8EK&#10;D8n13/a40e+vieevtocmRaSxbZzNPnOqaS53brQHCehTpuiQnOKPwJWb8Hl0sayo05MYsPA0Rk5L&#10;gJHcmj0s5pgL6RoF3BSjMH36JORkp6P2STXrA5GQ3uCUI10S0utQ3/gAm09UwW1ZEa+P/oVwowsE&#10;LgI5ztm1l/FtWBYUk2Kh9/aBXufeo4VzQu2h4kaaJYsjcefWJXYtahb1zgUCwXvhf9xVKgRP80PN&#10;1ZU8olbuAbTgw/FSRK+Td6JXNV3hNVcXxcXyWqxdFQZIKOMi+knhRBcIejK2muWb922Br79Xl1yh&#10;FJGuUrsjdXMKuy7ceGNd3Q2J9CTKXXpSiaxj2ZgTGcI6+xreWe7sNY7cNjY8OFqOxg7b3zh6D3j5&#10;6JFmmoU79+Lx9Fe6HyaitiERdZwk1Naz3+u6GWvb0jqs0LXfXkBvXoOG1mSJlmQ0snv1S56moMEG&#10;+x+9x16Eb3tP6U3Q5IcGdgz27p0P/wBPniwgd644Ak3eIBLNCaiov/xeJ5S4IvQ9PX37LOazQSxd&#10;Y7pSTkHNjitNTDh+bCcbDDc5HTMpEHQGOr/oAXJjwzWkJK/g32ulo5PN2Plu8GD31gnj8WPcenyW&#10;lY9+OYX4TNRGFwgE3Uzf7AL0petLdj6+2n4EujUpMMwLgV+QD3z1bvAg4bwbRHNqg0RQws9a4zwh&#10;QRJVLRarONsetjjyVCPM892RPsYmULcRb8k1bRVwyQFOAjkXcV86p9kr/b7OE+YoqkveQb10aoet&#10;h+LVyaktW0ucxGRqm1zsKymu/QdpeRK77duzCefkYqftWmPgDm5ZMZ7aY9tIznRek9w4FBm07Bvt&#10;SevgrvN4a+10ORe7DS58s3Zp3+crkO77zZv7/nI7h8IUpZCWo+Nl3wY7DqZFGqT7WN31tmUJ+t1v&#10;GHf08+Vk9s/CtjMyysAnFsudJ+1B503gWC2S1/hgyup1H4WA3j+2BN+GZUPv48/u+11LWfqQuKvc&#10;oFC6YfqMycjKNKOh/ioX0aV4d8cFKFus+/X7d7EwsxRfRuejb2QuvogSjnSB4EMwIKaIMzCmED/M&#10;2wrlhEh23fKDgYRzcp3LXBd6CvQMkCbqe3oZsGXzOvzy7C67/jyVvTYJBALBu+B/SFxwV6qwc3eo&#10;cKG7KPWN8XjSuBY1dYUora2ReYB9FadunMbcyNkOCUztQULZy5roz27w+OS26xQIBK4Pr4vedAU7&#10;Du2QRHSN84N+d/dRmBs1Bxd+LuXpF3Lr6yrUbk3rNZQ+uoT9pw4gaul8GL31Up1zqsdutz32wjiJ&#10;4WorKuvvWga9z2DQwMjwZvgY1PBljDGo4M+YaFRimtEdUwzuCPVRYGO4AYXrA3Fm03gcW+2FfdEa&#10;HIjRSizUYfccBTInjUTm5O5hx8QR2Buh5m3b1rN/gQcOLzOiYEOgBNueU5sn4tLhEIlDIbhZuRB3&#10;ry3FnatL8POt5bh/m3F3BR49isOjh6slEb4piYvpLf9dh+bf1qHp17Voep76SnS3Cu1y95yPgdZf&#10;kvGkPgkbN86F0UvHzv2uz7YmgY3SHBYnLELZ43JUNvVu8ZySLmgC3+q1K6FSKd74jjoCCe/kPt+x&#10;dQNe/E0P5OplO60CQXdDzoU/fn+A3bs2w8ePJto4Gumugd5DAYOnjrvRh2Ts4W50ErvkRDCBQCDo&#10;LOQ2/3RnMT7bVYxB24/gS8tueMZGw3tSEDxZ38ZTy8b9HqpuE84ppl3H+s/+ATqEhhmRlCS5zanG&#10;eYdR7VbRl342LVYjffx3SNcPeVO4tReUJ/+ANFuNcpv4a9/OMg0s1I5tmbYCsmYIMoysHXJfJ5AA&#10;7/NKgLfHXuieM4qL47y9tqI+X4dUO51c2y8nA7Rtz7aNXOB2R7q/tRa77CSBwVyoJrc7X9a2n+3B&#10;t9WH7Y8O6dPsarLbt2ubNEDu+OVsO6lN++2k39m2m+crkeEpE/lOYnzAcJhW6azvtVu/Dfa39I0+&#10;WLBA75SAPoadPylrvBASH/dRCOjEgNgSuI0Lg17rJrvfPQV6Tkj9HErTomj33bs2ovZJjbU/RK50&#10;x4R0/CO50f/4/TGKK29iyoZz6D+fXbdEfXSB4L3RP6aYX6O+jD6J7+Zth2bcXOi9jDDQhJ8eLpwT&#10;NMneXTka06ZPxMULJ9m1hyLbnStFIRAIBM7yP3RBonqg80KDcPteHJpFLXSXhJzoTxrWo7pWXkSn&#10;B9kFNUWYMmMSFOzm0vam4yhqcqIH+WI71XdtvtrrI2oFgp4KTYAhl+jmvZv5oJlij+S+82+D3KUT&#10;2ED7WOlxyR0usy5nKWfXFyobQWLcnqK9iFmxAAYvHXcDqrTqlwI5ieNKg47/TA/4PK2ieIBBhXEG&#10;JSYaFJhscMcsw2iEGUYh0jASiww/YAkj3vAt1hiGY63hG/4AyWL/MIlBtRc3Gel1CCweg2HWEF9Z&#10;XyVM6q9gUnUvZtam/Tps66RteAk9LKOHhTYMQ5FBeA7Fjok/IDt4JHbOcsPhxQYcWqRHwYYgFGeM&#10;x7mcYFQVhKOqMAxXz83HjbIFuHNlMX6+sQyPH60G1XVv/XMDWn5/JbI3/pLK3ew9VVynfXr2awp+&#10;fpiAVaun8ehRtYfzwq4N+u6QgL44fhEuPrzE7rnd+x3oadB1pfRROeI3xMGDHZeuOM/pob0b67es&#10;XrUQv/zysxgQC947kgOrGRcv5iE4eALcFKMdP6fZ+0lI1wcG4PuVqRi4/Tj67CrmNYrlhDGBQCBo&#10;D5qA8+muU+ifU4Chpmz8GLcOPiHT4emtg0Gngl5LMe1d79sQknCugc6oxbjxOkRGeSI19VVUe4fC&#10;OWETqClq3OrElsToV31sjk34pVrd0QpsWE9x7XYCLv3MMMXpYJllF9dOQrR9O/Q31pZl3Hevx6u3&#10;3U76nSLQqX44Wx+PMadtIOzbo+2kNv2HcUGchHG+T3L7Teth/yPh2jKJarqz5WhZ+/YI1o+nCQSW&#10;GT9K4j5vj9G2PXss5DqnaHmV5Ljn+96mXfobO74Ui5+WYnxzO+l3iqcPc5Pe33Zfafmg4UhbbRXP&#10;7ddvg09o8MHGFRosHT+KTxKjScty544cNgF97RoDwpIWfTQCOrnQFfPS2ViASqP1nFro7cHT5TQK&#10;Xid9/IRAbMpIxY3rZ62TWJ86nAIludHr8OzZI+zIr4FP4ml8GpaLfqI+ukDwzuDC+cLT+Hr+IfwQ&#10;YoZH0CzoPfXQ65XWqPauGetcAZpgr/FQIW7VIjy8X8GuM638WiN3HRIIBIJ3CRfQaeDkofXAiZPR&#10;Uoy7qLHqknAnesMGWSc6Ra2TqEWuTRK5uhLXbINmphq99DBnm3jb78p1KhAI3i0UM03XiDXpSex6&#10;r+ZCoNx3viPIeRs0IQAHzx5CdctV2fV0GioNwSDh/DJrq7y+Gjvzf0L0yhjovA0YpXSHUie5x/2M&#10;Gow1KjHF6I6ZhtEINYzEfMMILDT8iGWG77Ha8C2SDcOwwfANLIavsUU/BJutbLJj40sksVwOelBl&#10;IfcJPRBr+9DqfdJmO/jP9LBQBvNLsd8q8BPKL5FGKL7EBrdB/G+bfL7BtrHfYecMN/w0T4nDSww4&#10;keSPki2TcDZ7KkoPzsTlvHm4fiEa964vRW1tApp/W2vnXGfYOddtEfE8Jt5F+gy83vkvKSi9tBxh&#10;EeN4uo4H1QGVOZ8dgcRzhWI0IhdH4OLDMlQ3d/H87+HQ95b6BGu3pPIBLQnocsetM0gpSG6Imj8H&#10;zU032YC4RbazKhC8a6RI96e4/3MFli9bwJNPnJpwpmN9Z50KmpkhGJ6yGV/kFKJvtoh1FwgEHWBX&#10;17zfrmIM3bQPP65OhXvEAvgE+nCnuY6uR6wPT4Km7LXHQej5D00yNHhpMXmKHjGxknBueZvb3Aa9&#10;J12qT26a5yY5u0k4btt/pt9ZX5X+b55njUUnt7htHfRq9kZasgHmcNaO7zCp3rdcO9Q+68+aI9yR&#10;lmp8vR377aL22M/khidHORe6WZ/5jfa4IM362SEjX8XIt23P1iaJ8YlsG3lNd9pXmW2kmuTUZuC3&#10;kuvcui1vtGcPf48PTAl6WGyuc7ltpX2nWvGLVGwZ1iaJ5fbtWI+hZfpIaRton+2Xpwm55K7nx7+d&#10;beJtesMUpcQWn6FYqf0WnkYPnvgldw7JQeeVp5cH1iZpsDB1Dj6LLpEVfnoa5Kb+YVkJ4tamIXCM&#10;EQp111MfXQFpcr2S98UDA32xbu1qlF3IY/0hmlhIjvT6TovpLxh4IaVIPai9j7SjlRi5pBD/DpNi&#10;3QfIHFeBQOAYA6i+OXecn8KwiL0YOS0R2oDJMLL+gZ7c5tRPkPmu9zTo2kTXpQDWBzqwfzv++vMx&#10;u7Y0yV57BAKB4H3ABXSC4k2josfjUW0iGlt7d91UV0aKc1+Hq3W5b9REJ4GM6pbvzN0Jb19PLnjZ&#10;34ScgdoweGr5g/KLD8p6vetOIOipVDbWoJy9LklczGecax0UFhUqN0ybHYzCK0Wdvw7UVXFxvJyt&#10;u4ItQ9DPJMAR9B5ynC9ZGoGp/jqMV3yHObofsYDEcf33iDN8i0RGKhfIh/KHQCSQb9UPZq+DX4rk&#10;9sL4y4dFglfovobFY8grkV31FdLcB2GD20CsG9Gfi+3klNnsNxw7JvyInTPdsC/SA4eXeiI3xR8l&#10;myfg4t7pqCoIxZ2axbwWfJ1VPCchnddef/oqGp5+twnscvexbqdJqnfeyNa7d18Uxo7zhpuC7n/d&#10;IJ6z7wkJaXOjZqPkxuluT1/oaVAaDZWFyNidAU9vPRfQ5Y5bZ3FjA+PpMybhAZ9RLsRzwYeHnOjP&#10;f/kZ+/Ztha+fJ39I7uHoQ3L2fr3GHQZfLygjY/B1+k/4LKcA/bIZQkgXCAQMEszpmvAZwX7+cuth&#10;jEhIg2JeBHQTJ8DbUwODejS0XSiP0hZumtBJePtoMWOWEcuWeWLtWm+kp3dWOPeWxFru7FYiPXC4&#10;JO62J1Czn3n971VaSaC1ibdWEZjX+o5RwhL0rdSGdZnX2rG2bQn+8ZV7uq2ATNtOf2PtUgQ7vZfE&#10;cckNLtMeTU6d9D1MyyiunS1Ltcnt2+Ntsr/Z9pXi2snF3t6+0t+MQ2EhdziJ1FSLvaPjyYVzaZ38&#10;OPJ68axtasu+bdu+U1R9olX8tm/X2k5avB6Wid9Z27DbPhL1aV+nsWO3xihtl23Ztm2kGGGeNYov&#10;t1k7GCsN3zkloBMpiSSgz/1oBPQB0fn4PKoAO0tuoOz8MYTMmsLGxu7QdFMShCtAQvoot5Hw8/PC&#10;ypWxKMjbh1+e3mH9IqqR7liddHovudKv3L2L1bvLMSy2AH0i2LVvvhDSBQJHIdHcVt/8S/b796FZ&#10;cJ+0AFq/sTCQ05xqnH8EbnMbdC0i5/mC6FDUVBWza0kTQ5R3EwgEH5aXAjrFEVEs2PnzS9D8VMS4&#10;uzIkotc1JuNa/fE3RHT+cLvlKrYe3AZvP08ulNnfjJyB3KoajRKr1q7E+Z8v9noBQSDoqZDwderm&#10;GYSEz4RK7Vj8HNVAJ/G9pvW6bNtcLCehvPkaKtl7Kp/+/+z9918U2br+D58/5vl8zzn77AnmnJXc&#10;OZAzAiKIKCAZzAkVRLQDCJizY06AYA6YcxhndNQxYJ64Z++5nnWvqoKmLRQQZxTWD+9X003XXatW&#10;V1hV17rv6ybOPb2EMw/O4PR3x3Hy1hEcv1yNQ3VrsG/lbGyan4KKiYFYFjwGC/36YTGJuyZJJCdR&#10;XMkkd80gFwL5R8I4SMpmlwV2EtSXyQK7XdOPZ8Avtw7hAvuqqFFYE++Bb7L12DsvAIeXx6Bh+wTc&#10;PJOHu7dm4oe7c7gXO4nsJKbzLHbZe/3py84vDU9Z5y9eF+PuvUIsWZoMs8XEbWnU9uH2QjOfm8Tz&#10;W0c/vPLCZw5VsiBLl7KNZXxi3YdO0qMHj1HRYbh8kW6Mn6sOUgWCvwPpQfFznG2oQUpKAnw05Bfa&#10;gfMKGz9TuWVjeBi8p85DnxW7JX/09ZSR3lJMEwgEXR8Szb9k54CvNhxCT/a+T+UOjCpaDm16JgwR&#10;4TD7m2EhKwiGsRMq6CiQYC75m0vltVPTLJhfaMXSpVLGOZVqf0tUdYeLrGzczpaxT9fDGUOZ3WwM&#10;ybOdW44p+Wck/EaPgG26li/TJPzKYi3FtM/SwRk7yqVcu0scwiWOfZoOy0rlNlAM17ZRPBKAyeec&#10;MsQDW/E5p/cEZXLn+mHZkndnsfNtncG2Vclip5iu8QjebgbrDxt5ksuie4t47pDQT+Xxedb5mObt&#10;d42rrI881LN8peXc4/I4Aez30EriPm+LSwx5+6lPmkrmuy5PKJME5hql7aQYbDm6B5trHgH/Dgjo&#10;9Fq8UI/ZS5IxOK8avXIPqopCnxtfZdZg7NKTXMx59OAiihbN4hNtP8TG6FOEyrp7sft+s9WISZPG&#10;Y8e21Xj86Ko8PqLyyU/fGjepofij/+ePH9Fw7TYyq05jSMFB7o/+dbYo7S4QvI/eeXXolX8Ufdjr&#10;gKxd8ExeBl3EBBgDAmA2+cFEHuddSDinCcuUde4fYMLKlcvw05vv+f0Y/hQl2wUCwd9Pk4BOg12N&#10;TotZs+PRyDPH1B9WCz4NyBNdEtH34syjywyXTPQnl3D55XVUbV8BC7v40Awu1wtTRyARncq0Zk6d&#10;gtrLdZJfscuDdYFA8HlA5af3nN6LsMhgds5v27mBziF0E7169xpcYecWXn6dxPIXJJTfwsWfvsX5&#10;xss4fecojl/Yi8MnvkFdzWrsXTUP2xZNxvr0YKwY64ty61CUkzciZULoKRO6L8p0/eQMcpFF/kli&#10;lMT1lhns/STvdioHKT+co9+1ImgoNqT4YEe+EbVLwnFqYyKuHMnEjTO5+O7adNz/fg7PSn/x+1LJ&#10;c/0D/dYp6/zl6xIcOToNqakR8NOSPUHn3ETysu3sBm5yFmWeH+n2E8eows3FZ1dQvqkMFn/jB48r&#10;aPmAQDNq9m/iDyLb67UoEHxs6GEN7ZuNT67zkqaUVU6TPtT253dC2egGdg1lr4b4eIyaW4q+VTu5&#10;gPbl2lpVkU0gEHQdvlpbgy821OOLTUfQm70f4NiIYYvKockqgCkijJ8nzEYtP08YO1mIoxLtJJxb&#10;AwwYG2tCdraFl2mnTPM2+ZsrkPBKIus8IxxJLoIvibyuY0Y2Jiyn0uahw6Qy60sUn3NZuFXiFLI4&#10;EzxQ7s/uCWgc6R6HRGDK9GbjSkeat1yu3SWOAgnIVFq9yMzXV86+z+PJY9MW8ai97P/OSV6wLZIz&#10;uWl513iE/DkXlBPlLHZ3YZqgzG5qI3mnZ76jpLwr9D9q71IrHNm+XBxX3X65b53jRsFe2IqHOrWT&#10;vZK4Xqb0o3sM8kvPlMV3tW2VP+O+601tkZanycvF5mEIt2igMxtU9y81FAG9aKEBhaXjMSZ/F3rm&#10;1KmKQ58blD09fFodLtz8jo8PKCNy4/py/oysq4nohJZtF2WB0rZFR4ehvKwYV68exc8/kaj1mveB&#10;2vjJHckfnY3z//gRRy/dQnLZSfTLrsU/0g+wfUO9rwWC7gyVaO9VcAwDc/ZjcNp6eCfMhTEkGiZ2&#10;XJoo47yL+Ju7QnoDVbxMT0/G8WN72DmDJjO3bbKOQCAQ/BU0CegECeghYRacODmdZ3SpPbAWfDqQ&#10;iP6osRg3n+zG2Ufn5Wx0+WH3k4u4/OI6lq5aym5kOuZ57I5SyjZp8njsPrWHZ+PRQ3XXh+wCgeDT&#10;hs4NJISVbXSyY5qdG96TVUczQX3ZzXP2nFycf34NF998y0uxn75ZhyNHN6J2dzn2rl2EHUuysCkv&#10;GqviNagIGg6HX28JbV84df24YM4xDJC9vd0e9Ag+P0hcpwd8Bhm97MeulIn3lYT2qtBhvCz89lwD&#10;DhSH4sTG8Ti7JwXXTmTh7s2ZXFR//mtpk9d6ixLwKmXgaYIfeZ3f/aEQVStSERbuz7POlYd2Hwo9&#10;KNLqfJGem8rF8+6eea7Yw9AEGirb/qHiOa9qw847WzdXAn+ym+M/RUk2wafJnzx7qhH/Ya8H9m1E&#10;XFwkvHy8OvagnIR0mozGxuSGcQkYucCO3murubBGApua8CYQCD5DZD9zqjRBonnPdbUYVroaw2cv&#10;hl9aNszhYfw8IGWZs3MJOzdw1M4bHYDGQopwHhxqwsQUM2bMsEpCqexv3mbhnAu+AZJAnUY+54Oh&#10;Wmac3pOY7C+XMOelxl3EZEU4LrZIcUisVROllThUCn2Ch1yuvbUMcRavqYz8cCmeu4jM47HPKB6V&#10;kZ8jl5FXFZMZtK0LTXBM9kJZILXxHdtK4jR5pxeyNr6vXDtB63QEwM7a4IwfzeK00l5ap5J13lrW&#10;OLVzsQXO5DFvx+Ex2HuafFCgldar1jYWl8egjH2VDPgKFpcL6FYhoCv0yq1Bz6waLNl2gY0NnvDx&#10;wW+/3kNSUlybJ6V/juiNOi6mU2aoxWrA7Nl52Ld3Ax78QP0gCek06fB9k2Elf/TH+O2Xh9h96jqS&#10;nCfRO6MG/8yo5h7zan0uEHQPDsre5ofRJ/8IhmTuwOgJS6CNmsyOOYuUac6F864lmhPc61zjzbet&#10;zLkIz57eZOcJkXUuEAg+PVoI6DTgpYfQxYvH84fTIgv904dE9CeNC3H78Tf8QberiE7l3C88vYTF&#10;FYsloawzRHR2YfPT+iAyJgxr9qzGxcbL3FtZWadAIPj0oVLMdH4oWl7Ej2sNn12u4yX69GZDEwb2&#10;XmvQIjExGju2LkXt1iXYsTQHm2eMx7pJAVgR5YVy6xDYfXrA5vU17CSYk1huoAdObg+FBN0TEtj1&#10;A5tKwy/16sPLw5dbBvFy8Jsm+mJ7ngk1peE4tjYe5/dOwvc3ZkjXN/JWJ8hXXfZXp6xz4viJacjO&#10;jmL7rhYafedlfdB1kkqTT51fgJN3G0TmuSyeb6rdhLCokA8u2079S5k6K1csxe+/P2I3x2JmueDT&#10;R3pQ/hzff3cWhfOn8QkglJVFY2K1/fydsGW4P7q/CZoJEzFyURl6ranGV8IjXSD4LKEJMF+tk/zM&#10;Ffqs2ouRS1bAI38OfBInwhwWAotRw459bxjJ1qEj5453QM9wFG9zs8WAmFgzsrItKFwgZZo7ne0Q&#10;zQnKdrYHSAI1ZUqHD0c5F6jdx3gMWXglj237bBKo2fKK6CvHodLrShz+fTexVolTTmNG8iWf0Uop&#10;dCUe+9uer4EzupXS6kq7KN5YFm+aVlqexHjXeITrtmbIPuckYquK29JnzrhRrI06qS1qArcr8nZw&#10;f/FUb6m8PAnwrrEJWh+1d9wo2OaTKM+WU5s4wNZpZ/+nkvHKNjbFkNvopNL5c2Wv+NZizDVIJdtp&#10;ve4CPHtfETgYxSEjEW4WAror/5dejbG24/jl54dcDP7Pfx5j86ZKXqGmQ2OCzwyaQEjl3WmiMU0c&#10;sNsX4dKFei6eKxmjNGaiCYhq4ylCykh/gtdvHqDm7A2Mt51En+wafJlZgx6itLug20C+5nWSt3n+&#10;IfTLrcaYyRXwic2HISQGFjNVsCJhuetVt1CgSfn0HJLssuoObmPnDar+JWzdBALBp0kLAZ3w02oQ&#10;FR2AhrMz8OqnxW8JtoJPD6mc+0J893Q9zj06i4ZHl5sefl8ggfvpZZRUlrQp27StkH8yZaIVlS3E&#10;yXsN3T5DTyD43Lj4QvIqX1u9CYlpSfAPNMPfakAAG6yHW/yQaPFBlmUM5ltGwBHigVVR3ii3DoZD&#10;2wd27x6w+1J2OWWWk1guP3QRCNoC21+457p2gOS3Tl7r7JX+Vxk0FGvGjsGGZB/smGbC4YoYXKxO&#10;5SXgH96fh1u35qCsPAVBEf7w1GihMer4RA+161R7oZs4EnenLZiKhgfnROb5k2bxPDQymE+eU+u3&#10;tkIP3agsfnHRLPzxrwfsBrmRDUQfvjUwFQg+RaSHwy/w26/3sWPbKsSMjWD7s0/HJ6caNTDrfGAK&#10;MEOblAyP+UvRu2o3vt5Qhy/X16sKdQKB4NNAyTD/krzM19Wi18q96F2xHaMLbdCkZkIXEwNTUAAs&#10;Ji3MWm8YqTz7RxDNKdOcMFkMCA4xICXFgjlzrLxMO2Wbk795+4RzBomuS9ny07RciOXjNi7UthzH&#10;NQnUUbI/OfmcK5nYimhc6g97gYZ/p8zEvq8mHCtxZF9yW6n17Yxul3aR3zeJ7Ly0OsVzvwdRROXw&#10;4Vy0f6uMvIIifi+x8PU6I4ZLQjIt7xrPNSb7Dgn3vI08pks8d1r0pQ7OSNYH7mI1wT9j20Gl4HPk&#10;7afl3ONRe9k2OPL8eHa51Ca3ONSP40fzigGqmfsUg73yGGpVAGgbKQ773cvHj0KxdXjHBfQiIwqX&#10;JnY5Af3LrBqMmlaHk5dvszEBiT0vcPvWSQQEWNix2HWFLncUr2IfXy+EhQchO2sydrKx0aMfL+H3&#10;335g/UIl7t+dRSoJ6Y/x6s0D1J69gfhlJzAgr1Z4pAu6NJKv+WH0zTuEfjkHMGzKRvgmzIEuJBYm&#10;qxVmky9MRnbP3YUn5FDiDk06Cgq2otxZjOeNN6TzBagqnXg2IBAIPk3eEtDpQbS3rx8bcE9AI2V+&#10;PX9bsBV8iizkQvrdJ6tx4dEpnHnUnBVOArokokuZ6B+aQaZAYgMJ8jkzs1F/7RB/0C5KugsEnyZN&#10;nuWvb3Ph/My9kzh1tQYnz+3G3i2lKE2LwIJQb5Sah8FhGgynSfIjJw+85VR2nZdhpwdVA5sftAgE&#10;nYVRFtXZPkbl30lQp/LvVCKe+6v7D8GaeA+UxHhjsskTY3VeCDf7IciihZmuR2YDNAx6yEeVFNor&#10;qtPsZ3pdYC9Ew8Nz3OZA7TjqLvDM89dy5nlkcFP/dBTuKc9ulBcsmI6fuHciiefqA1OB4FNGyq5q&#10;xA93z2PunHxub0QPkdX2+zZBWalGP3Ye08EYF49Rc5agX/k3+GrjIXyx4ZAo7y4QfCJ8ue4gPya/&#10;3HQEfVYfQP+yLRi4ZCW8ps+HITEZxpAgmNgYpMnPnCbXfIQH4CRQavQ6nm0eGGxEbLwJOblWFBdL&#10;YjllnBMthNO2IAvCVOacRNhm72+3cT8JrFQWnXt/+2KZq0BNgi0XvwNgn6VHWfxolDf5pbvEUOLQ&#10;51RqPM0by4otksAri7xNUDz2yjOmx8v+67Qs4RqPYjGcrF3OyZ6wLW7F55wL21L5d/t0nSTGK8ur&#10;tVHH7oGC2b1RmhfPIleN6Q79n33PtsD0bh91uq9i28PLyy8ytR6bYlH5+4nq5db5e7YO7hf/DgH+&#10;nTFoW9lvTWXpSWBfHjQEi41DEdFBD/TiuVrML0nEiKn7u5SA3junFv9MOwDH3otc7KExwZtX32HW&#10;zBxu8eLeH10dGt9T+XqaZKs3aBHB7hkWFE7DyRP78OjHK3IfUZn31itOKR7pv//2EHtOXsc4+wkM&#10;yT/Is/2FkC7oClB59p75h9G74Cj3NR+SvhEeyaXQR06E0WpmYwc2bmD3Al3R29wdOl/4+HojdXIS&#10;Tp08wCfZ0ISb91lACAQCwd/NWwI6P6nptYiMCsClK7Px6meRhf458aRxPu4/LcfFx8dwhmeiS4I2&#10;L+fOKKkqgcVq7LRMdMooI1/0+Amx2FiziQv13V14EAj+VmgSC+MclWl/fg0XXt3inL59GIePbULN&#10;7nLsqZqLrbPHY/V4PSoCqVRhPy6SLyexnEHCuUKLhysCwV8JierGgS381emVSnxWsv10mXkI5puH&#10;Y6p5NNLNHhhv9kKUxQ+BFh30lrYL6iQO+wdZYF9n58Jxd7claSmeU9n2DxPPCS9fT+TmpOH1q2/5&#10;TbLagFQg+FyQstGf80oKe/esx7hx0fD29ep4NjpholKNGpgNfjBFRWL01HkYYluPXutJtBM+6QLB&#10;Xwcda+RjXiP5mG88zCe0DKzYjmHFlRg+sxh+qVkws+PUbNFzL3MTnwjT+X7mCiRKkmBOwrnF34ix&#10;sSZMybBg7jxJLG+3t7krvOR6oOT9PckLZQFDJHHVXeyl95TxHTAYjhRP2BeYmsTypmxrEs7nGuCY&#10;4IlyM/mltxKHhGOqajXBA/ZCEo5ZHHfhWBaTuWc4+x5VwXqnJzlrl3OiJxetpexrFRGZ2ksTDGbo&#10;uLjPs+Lfta1snc5kFnP+O2K6Q+sotfLJBTTJQDW+gd1jsW1xRkoZ7TyumnDOJySwPpitl7L4qU2u&#10;sXg7pUkDUhz2fffJE0qMeXLZdy6Uu8QgqI30u1LG/iITrzxQwdq3kI2xQyza9gno8utitm22RB2s&#10;mZXoSb6+KqLS58o/0quR4DiJly/uy+LvK+zftxG+Gm8uKLv3SXeBnguSV7ovu6+iil7JE+JQWVGK&#10;48f24NWLW7yfWvNLp5Lvikf6r788RO2Zm8hZ1YCh+QfxP+kHeGn33iq/hUDw6UIl2uvRs+Ao+ucd&#10;xPC0dRiTWAxtdBrMAYFszMDGDiYSzalyRdc/b1DVCrpXCgkNwKoVy/D0yTV2vL98Z5UKgUAg+JRQ&#10;FdAJ8hVdvSYVz14W48mzIlWxVvBpQpnoD5/acPXxQVlEl3zRSUS/2HgVlVsrEBhs7bRMdMKP3TBQ&#10;SfdFzoU4/t0p7hsrstEFgo8MCeXsuCaxnDLMXSHBvL5mBfasnIst8yZhfVoI9ywvMw+E3ftr2H17&#10;SSXYhV+54DNFqZBAYvoK0wD+vsQ8FIXmEZhuHokM8xiMs/gglLLULezGjYvprtDDaD+ER4Zize41&#10;uPTsKs4/la6X3RU+Tnh2BSt3rERIRCA0HyieS1WNvJCZOQkP7l1gN8qN/CGZ2oBUIPjckMq3vsS9&#10;u+ewpGQuTGx/J290eoisdjy0GYMfLDpv7pvsm5qJkcXL0Wv1AS7mcY/ltbVugp9AIOgoah7mX60/&#10;iN6r90k+5tMK4cWOQ0NcPCzB/rCQYE5e5h8pw1xBEc0Jeh8ZZUJquhkzZ1qxZEkAyso6mGmuQKIt&#10;ZTaXSN7fzlCaUMvuB9wzu0ls5Z/J5cHnGJrEbUmwlf62LzTDmewhCfDuQq9LHMpId8aP5hnqTcJ7&#10;U5ua49kKTXBO8uTxyimemv86tcsiZ3DP0cOmtKvFdjbHpHXSd8v8WUxV4Vzefstg/j36Po/p2kY1&#10;XNdBJeYVb3FaR4v4DPqMhHnKki+yyJMQ3OIRLJaNvToyfZr7VCWWM1b2TOcC/9sxqO1URl8S81uJ&#10;ETEcttkGaX2U5c++V8n6Yg4bT1v5+Pnt/bM1FAG9yDAEq7Q9MTciAqOyd6NH3iE3cenzpUd2LYbl&#10;1uH0dSrjThnWz3H7xgnExUbyMYB7n3RHaCIB9YWnlwcsFgOysiajsmIJzjXU4LdfqcS74pfOcBPQ&#10;JCH9Cf747SFOXr2N2RvP8rL5/8xg5+ysGvTMUf9dBIK/E8oyb/I0Z/Rlf4+YsgmeiYXQRE6GOSgU&#10;ZhLNu7ivuTtKlQodY+aMHFy+WM+O7xf8HOB63AsEAsGnTqsCulavw9jYANy6Mw/PXxWrCrWCTxfK&#10;RH/UWIKbj3fzh+JnZBGdMsSvvLqBqu0rEBTq/8Gepq4oJd1TcyZj18nd/CG8yEYXCDoXEszPP7vK&#10;y7DT69mHZ9Hww2mcuFKDg7vLsNOWg415Y7FqnB6VoaNQZuwPm5ebYO768EQg6CKQgE4VFEhQrzJJ&#10;FRVspsFYYhqKBabhKLCMwmSLJ6ItfrCatbzManzSWOxu2I+rP99hx9R1PhmFV3FQOfa6OjQ+oMlv&#10;ZZvKeYbbh5ZtJyjzPD0tGQ9+uMRulJ/jP6I8m6ALQvv2v37/EQ2n9iMtbQLPvKLx9Qdnoul9YSYC&#10;rdDGjYP39EIMKtuMnqsP4CvyX15PmelCTBcI2kOzfzk7fhg92Wc9V+5D76pdGLFkJXwLZkOTkgpt&#10;dAxMwQGwsGORJrSYdOye2fhxy6uSaE6e5iSam60GBIcakTzRgtmzpRLtdnsAnM7OEc6XkT/5VC3K&#10;Ilvx/lbEXhKVZZ9zm6vPOReM/WFbZIZjspfkqf2uOPQ3W5djmobFsbYUjl0EaBLOHSScKx7drcXj&#10;Qvwo2GfqpRjuAjL9TdvJttc+zyAL54NlMd4tJsWjz0jYTpDFfddtVWKq4dJuvg7LYPUJBHw7GLEj&#10;5ckDbDk1YZ5/HgjbAiNvC+9/9z5g7/lEhBRPLKOy8k6VOCw2lannv42VLUNl911j0PYynAljmjzT&#10;+XdpXaztNJbuiIBO36Ws9SWmIagy9MbSYA20GevxdRfLQv/ftANYXU8lyh9zAfiPPx5h/vxp8PT2&#10;UO2X7gx5w9P9gK+fN0LDApGaloSK5YtxrqGWV6b6978e8nGUBHkgK2MrKSP9P+z/1+5+j8XbzkM/&#10;9xB6ZdfgiynVPCtd7bcRCP4quJ953iH0zj+Mfux9v5z9GJa+Ab7j50MbkQxDYAgbQ+hgJtGcSrR3&#10;g0xzV0gf8PXzQWxsJHbvXIufuY3bS1GuXSAQfJa0KqDrjTo22NGhoioFL99QFrq6UCv4dHnSWMhe&#10;i/Dtk00496hBzkaXMswuv7iG9QfWI3JsOB/Mdla5Kcq60Wh8EBweCPtaGxrun+Xr6q6ChEDwwVCW&#10;OQnmr27iwutb7Fg+h1M36nD03B7U7nJi+8JJWDc5EBWho1FuGYIywwA4NH043LdcCOaCbooiqFOW&#10;Ovfylz8nj/8S42AsCByDDfMm4tDe5TjWsAsnrtbgzL1TfHLKhde3cf4FCerdYxIYZd5L4nkZzFZj&#10;p1So8fbzQlxcFC6dl2aa/0dkngu6MFIm1TO8enkbG9aXY2xsBLy8PXmVC7Xjo10YpdLuZhqrhwRC&#10;PykNQxeVoW/5N+i1thpfbDrCBUE1sVAg6O58ua4WX6yvl0qxbzqMPmsOoP/ybejr2Ighi5bDL3cG&#10;9EnJMISFwuhvgpkdc2Yqya73/ehZ5gSJ5pS4oNVLonlYuBHjk8yYNt0fJSWSGEol2kk071CJdle4&#10;IBwglUXnJczZuEgWTF3HT/wzEldDh8GR4Y1lS2TvbxJ3STAmcbbIzEt+l4UMk8RYd5FXiWNkccKG&#10;w57j1+yXTjGUNtF71i4uxKd5c090Rdx9q11KFnbMSKlkOQnx7vF4TLad1F+FRkmMpwxuJaZrPGof&#10;EThEKic/WxbjZVG8RUx3aBIDCd3kK57hI7WbMrzd10Hv2TqcwbJnvOJRTn3pHpP6lb3a87UoUyoC&#10;kICuxFImDzSVbFdpJ33G+tM+3wRn3KhWt5tK4jum+PCJAkvLA+HIYr8lxZe/qwjolg4I6OEWDUpN&#10;Q7BK3xMzo6IxPGcveuZ1HR90grKh0ytO46c3D9i1XyrjvmPbKn6++OAqNF0UJROVSt2TXzpVr0xI&#10;iIbdthDnzh7Eg/sX8TvPTn/JoAxVSUxXhHT85xF+fHoPVfsvI7zkGAbkHsT/pB3AV1lCSBf8dZBo&#10;3jP/CPcz78/eD8rchiGpa6AZN4uNIxJgtFpgMuu4p7nka969RHOCjnUvH08EBJhRsngO7n53jh3D&#10;UtUJ9/sngUAg+FxoVUAn/LRaxCcE4ta38/DspSjj/nmykJd0v/e0CpceH8eZRyQGUNnni1zY3n50&#10;B+ISx/IS7Gr7QIfgDwI0PBt9Sn46dpzYhauvb+JCoyTgCwSCVqCJJrwsO/mXX5dEvOdXcfJqDerr&#10;1mL/xhJsXzwF61IDsTxgGBx+skhO6PuLcuwCwXsgUV0S1iVxvdwoTTihTKY1E0zYOjsRe1cVonZf&#10;JY6e+gYN3x/HxTe3ceHVLXYsXmvOUO9Ck8JIPL/84jrKN5XD7G/ks8VVr+3twMfPG3Fxkbhw9iC7&#10;WX4mZpoLugWSN7okpN/5tgFLS+cjMMgKTx9PPjFZ7VhpFyZ6IKeFiYvpWu7B7JORhyELHBhctpn7&#10;NJNISIKh5OOsLigKBF0T2bd83UF8saGeTyz5mh0TA1buxhD7egxd6MSImUXQpGfDFBcPc3AAP5Yk&#10;/3IJIwlff8HDbiXTnDzNzRYDomJMSJ5oQl6+FYsXNwvmdlsniOYEib0kqpKgPNET5ZQlTUKpu0BN&#10;7ylTmQTlyV5yZrIs9lI7ygJhW2yRxNZwOXNdLQ59RmJ3yFA4pnjzZd4SjUn4JeG8yCT5hYe7CMbu&#10;8ehzdo9Dpcbt2X48e16KJ8dSoM9YXPL75tnUQYqfO8M1ntI+9n9HsifsVAJdEc3b0t/U7lIrF7HL&#10;okdI8Smm6zoIWjcbXzoSPXiGumqbCfqMYi40cb/3pja6xqIS9uwznnXPS7arxGL9a2Pb4JhKJduV&#10;/nSJQdB2hw2DfZpW2t6yIKkSQYC8T8jfW8HGx9OMI6GzGJvKsrcFRUC3seXtAR4wpq/AV3lHVIWo&#10;zxnKfh4zrR7f/XiXXfPJzuUp7n53BjGxEfDVdF6Fx64KCWw6g4bfc/jpfPnE3TjWd8VFs7B//0Zc&#10;v3IEv/5MffuaIYnpkpAuiemvXz/AruPXkbGqgf8O/0g7gC+zatBblHcXdDqSl3mv/MPoWXAcA3Kr&#10;MTxtLUZNWApNbB5MoTH8Ok5+5iYTTbrrHp7mrUEVuGiSTHb2ZBw9vEs+dsnCTTwLEAgEnzfvFNDp&#10;YQ/NiF5ekYI3v5SoiLOCz4WnjYV4+NSOa4+reSY6lXQnj3IS0fefq8akjImdmolOUCxfX2+ERoag&#10;pLIEx+6c4OujDHi1h/gCQbeDi+XNHuZUkp1EujPfn8Chg6uwZ9VcbJ0/CWtT/FERPAJ2356wefeE&#10;Q9tXiOUCQWfBjiM6nsjigKwOyPKgzDQAK2N9sSErEtuKMrB//SIcOrQWDd8dZ8cpu46xY5WOWQ4d&#10;v3Rd+wxF9Yus/WcenuPXaMp8o4lvatfz9tBSPH+BP/8UN8yC7sWfDKkUaSPOnqnBnNn5MJkN3A+0&#10;0zLTaLxOop/Wm5eHNMVEwzM9F6PnLcWgim1Sifd1smc6+TuvFYK64POH+5VzyLO8pW85VWHoxf43&#10;rGwzRi90YHTBHHimZUM/PhHmyAhY2DVOKsVO/uV+klj+NzzkJvHcP8CAsbFmpKaZMX26FcWLpdLs&#10;RKcI5gokWJPQSqL3FG+pLLpaeXF6T+Kp7Cdun+vqcy7HKLXCkecnCcYkzBKuMXgc+fOgoXBM9oZ9&#10;AYnGlA3OlndrExfiWZtIFOeZ2+7xlDYRJJxn+UqCvlOlVDvFZ5Cw7EjxlIRz2k4XQbgpHq2HhP10&#10;1r558nYSSrzWUNbD2s+91MeN5mXU39lu1lfkic6Xb20dct+QGC/50Lv9PvQ3TWrwHyJNRlAy2N3j&#10;0GdLrHCmenHR/q12GQahnMa7VKKefhcq+86g35omTLT4Pmv7Cv9ByI/wgp/JqLoft4aOXeviTT5w&#10;sn1pSmo2euYfQ29VUerzhoTaLzKrsePEdZ4ZLfl2N2LWrFz4aTpm4ULLdOazuM8J2m5KwKEJhyS+&#10;RUeHsXNjFlauWIYjh3bg6ZNrvH+VLFYJ9ve/H+HsjW+xdNcFWOcfwVcZNfgys4ZPcOglxHRBO2n2&#10;MW/2Mu+ddwhDM7fDI8UJj3EzoYmcCDOVZjexMTj3M/+41i6fAzTJiibD+LBjNz4+Cju3r+EVuXg1&#10;iT8fq94rCQQCwefGOwV0wlejQcL4YFy5PgcvXgsv9M8ZqaR7Mb59sgXnHp2VSrrLIvrxOycxdV4+&#10;dOzC1xkP0F0hH1WtzhcT0hKx+eAWLqBfoky+LpTBJxC0jYtcbCORXCoPfQlnfjyH098dx6H6NdhV&#10;NhUb82OxJsmCyrAxcOr7web9Nex+vXmGeYsHKgKB4KMhCep9YffpyQX1ctNAVIV7YHWSGZumJ/Bj&#10;9VDdapz69iga7p9hx/Z5Xi2CH9fPruLsZzBR7CJrL4nnC2zzpev0B2ae080zlW2Pj4tqFs//I26a&#10;Bd0XemhEx8Evv9zDkcM7MWVKMhe+KTuNPEHVjqMOQQ/c9b5cHLT4m6CPCIfvxMnwnrkQg5wb0WPl&#10;Xu7zzEX1DfU8Q1cI6oJPHe5VLgvjil95j3W1kmf5qn18vx7g2ASv+Uvhkz8bvimp8BsbCyPb/81B&#10;VliMGli0XpJ3OQnmPCtM5fj5iyF/86AQI2bO9Ed5WQDKyqRs87cE0Q+BRGoSZpda4cjxlURqRTx2&#10;He8oYi/9PXYk7NN1vIQ4F1dpeRJlWQyeaR0zUhJmScx1vx+RBeNy/8FwJo2BTcnodhV65fdKyXMq&#10;686XI6HbNRbFpnbS/yhDnH3XVix5dCtis7SNDIrPtpX7j08k4VzFN12JR3+HDePCOWV6S+1hMZV4&#10;74K+y7Cz5RwTPbiYzWO20g+U/e3I9pMy76kv1SZFKP2x0Cx5p6uK3nK8yBGS1zttr2sfEBSbstcX&#10;vKtkO+tj8ndPZ33Js/fZdrNlaAIB9Yl7f5XT8imeSE81sbGh+n7cGiSgTzB5YFmKHyJnlePr3K7l&#10;fa5AkwK+zqpBwaoz3KNbyoxuxK7ta1g/GNo9Wc5iNcKfXb+pxDllZqt9p7tAYjr1A4npPr5eCGLn&#10;8/GJsZgzJw+bN1bgzu0G/MrGVf/6/T7rcxLSXzGe4fHzB9h16jom2E9gxLQ69GS/D5Xa/zq7pktO&#10;4hB8OJJgLmWXk49537w69M2pRv/svRiVthq+4+fBLzIF+qAImP2tMBt9hWjuBk18ofua4GA2Vli2&#10;AA/uX2DHI1WNaFS9NxIIBILPlfcK6DRLmkq5O8om4tnLYjx9ri7OCj4PqJy7VNJ9BS49PoYGno1+&#10;EZdeXEXDD2ewqGwhLP5G/jBdbX/oKNwbncW0Bpoxs2gGaq/U4fLza7j4rHv4ywq6MY8v8oxVKgF9&#10;4dUNnLnfgBPXDuLIqe04sGERtswaj5XjdCj3H4YyXk66Nxx+DO5f7vYARCAQ/C1wQZ0dk/zYpJLv&#10;7FglG4WqSC+szwjDLlsODu6vxPGL+3Hq1mFuk3LxzbfcT/1c49VPLjud/M6pKgxdj+lBXWdMnOOe&#10;5/FRuHCOxPPnQjwXCGSUsu4///Q9DtZuRUbGROjZcefp49F5GekKLB55N3PPdAu7jwu0Qj92LDTZ&#10;UzGsaDn6OTahX9VO9Fx/kJe4/mLDIUlQFyXfBX8TLcqukw0BefpvOozeq/ejb9Uu9Cvbgn72jRhY&#10;shLes4qgzcyHPjEJ+vAwGAKsMFmNkm857fOKWE7l2D/xTM7QUANmzbLwcu2dlnWuiMrsbxJcSRQv&#10;M7F7CTWxlz6j+4yI4XC4+pMTlOW9lGLoeMnw1oVz+pzEWTZOGj8GNspcp3ZQDGWbZKGaxGQuxLuK&#10;+a21KXgYHKle3Bdd8hqXtqkJEoBZ/CaPc8qgVmIqsSi2Is7TNlIGOwnaSh+1pc+p7c4A2IrkDP4Q&#10;F392ZT3yuspp3TSBYKIHF7P5su5itwL1B/VvAesPxevcPSa13TKIZ9QvK1ZK4LvFkddhn6GT47Bl&#10;XPuUt4t9RhMHlJLtBK1/kUmqJkC/q+t6WVvK2W++tMSKpBQLqBql2v7bGjqjHmmRPihZFAr9jM3o&#10;mVP/lmjVVfgqswaG+Yfx+g0JuSSgP8WjHy8jJCywXZNSSTCmMcHM6TmYO4cq1rAxta9Xt81Gd0XJ&#10;TKfMVqU0flBIAJKTx/Fy79X7N+O7Ow143ngd+Df9DlLJ91v372PZzksIWnwMg/MP4v/SqvHPzGqR&#10;ld7NIcG8V1M59mPom1+Pgdl7MTBjK4amroZP0iLoo1NhCAqH0WrmxyIXzRlCNG8JHZvkc06Tf6ZP&#10;z8bVy4fZPQ+VaxfWbQKBoGvyXgGd0Oq1iIjwx9nzM/Hqp8Wqwqzgc4J80efzku7XH+8DZcVSSXfy&#10;KL/QeAXlm8oQEh4k+aKb1PeJjkIP6klIj4mPgmOdAye+P8X90UU2uqArQeWcycOceye/vIGTV6tR&#10;X78OBzYtwbbCFKxOMqDcPFgqxd7Cw9ztIYZAIPj0MJKgPlA6ZpXjl8R1TV9UhIzEhowQ7HLko3ZP&#10;JQ4f24RTN+tw4cV1XHh9m58XpHLv6ueOv4LLL6/j6O3jyJqWAY3Gp1MEvJZl25+Lsu0CgRuSP7r0&#10;YIkyp3ZsW8X9AXUGP3h9rAflLKarvzNhDg6EMTEJnvmzMWS+DUOWrMTA5d+gx4Z6/HPTUUlQX1/H&#10;s3/VxE6BoGNIZddp33IVyr/YfBS919ZgQNVODF62DkMWV2Iw2y+HzVoMzZQcGCekwBwVAXOg9a19&#10;WYFnln+GQhN5oAcEGpBXYOUZ6B8sopMwSpnI8wySjzb5nJMw6yqoEoroTdndJFKTOOsqrFLG+Qwd&#10;L/VNAi4Xdt1jELLAyz25SZxV2qBsB71Se0ossOdp4IwezuKwWGrx6DOKFzgEzkkknLsI0K79QiIy&#10;+4wy3LnHeaCLoK3EpFeKZWZti2Vty/blbVCWbZNwrrR9iVS2Xioz30rbSaCm1zi2rhn65narxaXP&#10;SZCfZ5Syzmk5iukaj+KzdVGGPnmTN1UTcI/FtofKuTvSfaTfidrnGkfpF/b7UJZ7kwBPyxWZed+8&#10;JZ6z985Itt5iMxaXBiI2zsz203YK6Gy/zphiwMLSaAzN34deOXWqQlZXoEdWDQZPPYiGa9+ya7t0&#10;jf/9t3vIYdd2TTurOlG29cKFM/Hq+S3s27sRkyYl8rG1bycntXzOUGIX3bOQoE4Z6tTHGp0v/ANM&#10;SE1NwuLiOdi/fxMuXzyIR/fPy7/JKxy5fA9ztl6CqfAYvp5SjX8wegohvZvgLpgfwpDs3RiWvh5D&#10;U8rgNW4ODFGTYAoKg4nskGQf8yYv889wbPGxoYpzNJmFrCqysiajtmZLk4WFKNcuEAi6Mm0S0Alf&#10;Pw0bvCfjybMiPH1epCLKCj43KBOdXr97uh4XHp1Ew6MrOPfkMs9M23Z4G5ImJfALY6dnxzBosEtC&#10;+uSsSVi9ew0X72m9lLWn9sBfIPhkeXyJC2KKhzkJ5mcfnsWRI+uxf0MRthVNwboUKyqChvFy0OSx&#10;zAU34WEuEHQd6Fgmb0m59LvNuwfPVK+KGIP16cHcR33f+kU4zM4LZ+6f5qXem3zU/yoP9ccXcOXV&#10;Dew/dwCTs1Og1frBYPzwBwPeGhLPlbLtlHkuxHOB4F1IQvor/PTmO9RUb0ZOTiofF9ODcirt/tGy&#10;zigujekNfpJ3Onu1hATCGBcPr9QsjCqYi1GFNoxYuhp9Vu3lIicX0wnKUude6gqSF7W6WCro2ig+&#10;5AryPuHqSb5eLr2usKEe/VbuxvBlazFqUTlGzSnhHuWjMgvgm5IOfUIizBFhsFDpdcokp9Lreh8Y&#10;SYRqIZL/XQ+z2Xpp/awdTQ/WVb/XPkhsNFkMyMm1dFxEV8TeYhMXxJv8v92FXlmYLbcOhiPZE/Z5&#10;LmXWZXGZ/LApk5wLsq3FkIVZJ5V8n6bjmepKRnhTe+g9ic85fnDGjODjo7cEXh6PPmfrIX9vatNc&#10;uU3ugrHcTu5xThnnrXmc83WwtsWxtk3VcAGcZ9O3tV9529m6KDt8qpZt4yipnLla25XPo0ZwkV3y&#10;Jmfrai0ubQP1SZYvyoLfUQKevVJf8Ox7artaLBLh2f+dCa2VbGfvzSzOZC+pD2ibaFnWhmbxnPVf&#10;i2XY+zB2r8r2C3tZIBYt8kdYhAlkOaC277YGZaxPLTBiTmkK+uVS6eyDKqJW14CymXtn16J890V2&#10;TX/ERSQaA2/eUAE/dj1vz7WcxOCxYyNw97sGFutXPHl0jZcrTxwfy2L58P9/tLHBZwoJ6tQnvNIl&#10;G0NR1r6HlwcCAy2YmDwOhQumYd1aO44f3oqblw/j2u3bOHDxe0xdfwFes47iy6yD6Jlbh15Uxpuj&#10;/jsLPm2kMuzu3uWHuGhOJdmHZX6DMeRfPr4Q3mNzYIhg443gcJjpem7wYmMM1+xycYy1Bh1rfOIK&#10;O7clT4jHtq0r8frVHXa+Ej7nAoGge9BmAV1r0CEs3IoLl2bhufBC7zJIJd3n4/7TMlx7chCUjX72&#10;8WWeoVZ/7RByZ2XDwGd6tm8WbVugi7Cvn+TXmD0jC9uObJOE9GdXcf7pp+8fK+imPCYf8yuSjzl5&#10;HVMm6Y/ncOLyAdR8U4ptRelYlx6CFZGeKDP25/7JVPaZe5i7PqgQCARdGxLUdf1h9+3NzwNU9p3O&#10;C2snBWHrvBTsX1eIY2d3NXmon2PXP56hTsJ6J3uo0zWVbFN2ntiNccnx8PH58IxXyfPcW3ieCwQd&#10;RCrt/hIvX9xGfd125Oelw+pv5g+n2vvwvUNQfBInqeS7xgsWox8sARaYwkKgiRkLn+RU+GTmw2tW&#10;EUYvrkTfyu3osWo/eq7ejx5rqtGDBHQSSjfU48v1RJ3kWU0Cqiyyqwuwgk8RKuOviOHK7+gugpMP&#10;+dfs8x7sO3wfWHMAPWmfWLUPX6/ch0HOzRi1uAKec5fAZ9p8vv+QQO4zLhHasWNhCg+FOcifl/zk&#10;+5vWE2atd7NPOU3w+Nj7fZtgbaCH66yNHPqbfW6wWmEIi4cxMER+4K62bPsggdJsNSAzy8JFzjb7&#10;oVNmMgmjlIWc54eyiFZKgSuiN/vbGTsS9tl6admywCZhlYRpZ5KHVAr9XTHYq5ME43yNlNXtKk4r&#10;wvcSK+y5vnBSeXBaVk2Ip1hEgCSc89LvXBh2EYwV0ZlE30LWvpRWPM4pDr23DOZZ3VS6vqlttLwS&#10;710o62J/80kESvZ9a22n9QUPhWNKK/7srtDnrL+p32nSgepkAqU/SMBWss4V0Vst1nQdnErpd4qn&#10;xKG2ym3jcej7SrtYPC6ej5Uzz123izLPaRmaVMG2hWwF5s+3wuJvYNch9f1WDfquiTF7phkZRbNB&#10;2Z9dWUAn/pFejfHlJ9m1/DEbA9N1/RmuXz0Ks6V9PujKc7GTJ/axGJKnN/Hjw8uoXF6CiIhgLhL/&#10;JWODzxyqeOmr9YGHtwe8fTxhZdebmJgw5OWmwF46E2WOEjiqVmPJpkOYYDuOwfk1GJB/kGcnk+ja&#10;K++QLMJS9YSuvf9+TkhCeUuBvA977ZvHfrvcGvTNOYCBWbsxOnUlfBLnw3dsFvzCxsMQLPmXW8xa&#10;mA1svGFk4w12XRdiedug8w1PftP7ISoqFKtX2vD40VX5HCV8zgUCQfehzQI6DYg1Oi0WLEzA0+fF&#10;PBNdTZAVfJ48aSzEo8bF+PbJZpx/dBpnHl3BxWfXcPr+WZSuKEVQaAAv6f4xBuzkvaphg9zAECtm&#10;LpqBfWf385LuV15SqVuRkS74BCDRnLLLX93iGeYNd09wH/NDdWuw25GPDZlhqIrwxHLrEDh1fXmW&#10;OS/PTlnmysMJgUDQrZGy0/vJ54c+KLcMRkXwKKyeYMY385NR881SHDu7B6duH2HXwAvcAuL8ixs8&#10;Q131vNRGSDy/+OwKNtVuQnhUCLSd9PDN29db8jxvyjwX4rlA0BF42UNe2v0uzp87iML50/hDKqoC&#10;RRlV+k6oFNEm6LygZKjrfWAmYd2khdlqhCnAAn1wIPTR0dAlJUOTmc8F0tEL7OhnW4e+jk3oW74V&#10;fSt3ou+K3ei95gB6UXbyxsNSqW56pbLdvES8q+BOYq2EENw7F+rP5v5VxHCp7/lvwZF/n01H8fWG&#10;OvReW81/O/oNyX+87/Jt6Fu2BX2dm9DHth4DS1fDg8Tx6YV8H9ClZUI3Pgm6sWOhDQ6CISiA7ysm&#10;q4kLSHz/oYxynQ/35m/yJ/9khHIF1hYSxI1snzd4s3azNlvNMASGQBOWAE1sLryTSzE4Yyt/kO+Z&#10;WMi/01mZ6CSi07OWyZMtWErZz+8T0WWhmXtfUzYxjTO4mOo29qDPSJgNH87LqJPYzoVZEs9tbHkq&#10;JU7l3v1l4ZxwXZ7icbF1IC/tTcL5Mtdy6NQWemXt4eXOydM7coTkma7WHtYW7snN1kfrpVLmXLym&#10;ePSqbB+9J8F3kRmOTB8uCL/VPuU9xUoYDftsg5wN79K2tiBPAqCy8LysunVws6Dt1nYuqAfIbS98&#10;j885fS5vA5WlL/dXSuq7xJX7l6oC0AQBEril9qjEpO1i2+dI95ba6NoXSvsYlF3O20bfV+I42O+j&#10;ZJ7zNrgsR78H2yZeTYCWYd8nAX3GTCvfL9X219agfZhsCebNNSNybjl65dR3+azef2ZUw7DgMH74&#10;8R67jlMZ42d48ugKkpJi213Gna735WXF+OP3hywOCfIUTxpfP/jhAhy2RYiJCedjAxK01GIIWkL3&#10;OySo+8kZ6jRJwWzRISLMghh2T5SQEI+UKRlIypkHXUYFBqZtwpCsbRiUvRsDcg+gDwnqBcfQK/+I&#10;LK4rwrr6/iDoHHpTZQC59Hqv/KNN5dcH5FZjYPYeDMzchoFTtmBUSjn8EuZAG5MJfUgM9AFBMFqt&#10;7DfW82s0ieVN/uWf1Jjj80A5bmgCyvKyJXj842XgT+FzLhAIuidtFtAJ8kIPCjHj+InpePlGeKF3&#10;NZ5wb/QFcjZ6NSgb/VzjdVx4ehlb6rYiafJ4qaS7oXMeFriiDG7pwX5IeCDmLpmDXaf28Iz0yy+u&#10;cwFTTRgQCD4abJ87/+yaJGI9v4ZTN+pw6MhGHNhYgi3T47Ey1g+UUerqgeykhxCuD0YEAoFADXoY&#10;bVDOH32bziHl/kOxPi0Iu2x5qNlTgaOnt+PMvZO4wM5DNIGHSr6353p4gawlnlxC2YYyBIcFdtoD&#10;N/JlpMzzi+ck8VyUbhMIPoxmj3TKSm/E7ZsnUVVZitS0CdDp/eDl48nHyWrH40eFHjiSSGikbFxX&#10;72l6z6D/se+YgqwwRUXAmDAehuQUaDPy4JszHcNmL8agecsweFEZBhdXYHDJCgyyb5Ao34r+K/c0&#10;0XN9Hf65+Rj3xW6iSXx3YQMJ8fVv0ZQ1rcLnIs5/6Zr97Qrrm7e3WRbAFWRPcYlj6LWutrl/q3Zi&#10;kHMTBjk2YpBtPQYvrpJ+D4L9PvQbjZ6+AH7ZU+HHfjvDhIkwJk6AkbLGI0JhCg6Q9gH6rdlv3vT7&#10;u+4TbP+kV0kcl/aLT/eBdbNgTiVcKRueMtSMIdHwi5wEr7jp8ExeimGZW3m2Wx8STLhwIj3QH5y9&#10;G/qICWxZ707bRklEN2DSu0R0RZSda4CDhO9WhepBKCexN2QoF1y5zzmJoyTO0vKF5CHu3Sycu4vF&#10;hPJ5xHA4MlxiKIIxCd4kxJdapYzo+FEob609XChm7aEs8YTRcMySs+AplqtwTu9JjF9oZuv0bc6y&#10;pnYoMV093JM9YJ9jAC99T21TE55bg/cH64t5rC+5nzrrC1mEbtF2wqXt9lmy0Oze9haxWb/QhIJc&#10;dq9I26AWl34jtm2U0U8TIZr6wz0W3zapT5zjRvPx41uxqI/I8929ZDvB/m7V85yW4+K5nK3O1qXY&#10;CKRPab+ATn7pUVFGLFgYDL8Zm9Ej55CqONaV6JFdgyF5B7Hn+HV27X7MxaXffrmP0iXzuK+5Wj+1&#10;BlV8TJmYgGeNFKs5s5PG2NLY4DnufncGtqXzERoawOP/LeOCzxia5EGTEskuh8ZWBjr3mzUMdj1j&#10;WKwGBIWGwxxJVVOy4JG4EMMnOjFs8krumz0kexcGsN+9V8FxWVg/KgvrhxgiY719yP7kcja5JJRL&#10;/TowrxZDsnawPt/A+r6K+5V7jJ8PXWwODJHs2hscDpPFJI1HOGz8IdM0/hAZ5h2Gzit0fgmPCMLi&#10;4jn49hZV2XghnYfEPb9AIOimtEtApwGHn1aLqdPG4uGPC/H0hchC74pQSXd6/e7pRlx8dAJnH1/B&#10;1de3cOTWUUwrnMoGnRr+EP5jZKMTfJaonzdC2QV7/tJ52Nuwj/ujUwYdZaariQQCwQdBGebkY05e&#10;xI1Xm7I+jzVsx4EtpdhWnMl9jJcHDoOdvI39+vCS7E56iCEE808c+n0GolyB/V7lxgFNLG9B/7eo&#10;MPZDhaHjLH8H5Zz+LSjjr1LbyqiCAYfEVhdIfJXhDxTdH1QKPj/4b0m/r+Shbvfpyc4zvbAyxgeb&#10;psZhZ9l01O504tTVam4dwc9Rsn/62Vb80y+y62bDw3NYVLYIJoseWl37MmFaw9vPC7HC81wg+GhI&#10;Yjplpb9C45NrqK7egnlzpyI0NJBngpAH4Uf1Sm8TbN20/iZIZNdIGcY8g92Xl+UmL2uzzhsWdg6y&#10;BJhhCfKHOSqSY4qLg35CCnQMevVKz8GI7OkYmTVNImcmRk1fgFEzF7mwECMXOjGyeDlGFimUY8Ti&#10;SgxxbsLg8q2MLW/Ra201viRPd8qAfy/1HwG19bTkK8aAlbsxpMy9/d9gmG2ty/YyaPsLbS37Zloh&#10;Rir9x159UrOa+zcxCaaYGJijo2CODIcl0CL9Hv4m6feRfyeqPNCUKe6aLc5Fcbff/JN/OC23kT9M&#10;lx+w85LsvlwsMQcGwxg+Hr6x+RidWIyRk5ZjeMZW9M87yLPd6IE+F8+5INJSFKEH/kPZdw3hiTwe&#10;X4dqG9qHayb6smUBLUV0EkJLrHBSBjKJve5luPlYgkGTeUnsnegBe6GxSTTnIuwCo+STHjJUEoXV&#10;xo8kzhLhw3j2d1NWtNIWRaxmfzumabmoKwnnKvF4e9i4m8TdhDFcaJe2hcVTtovHlNvH1sUzrNm6&#10;efuoHUocZdsCBsMxkfzSDfJ2ScJvi3jvgtZFIj2JyrQu7qfeSl/S+ml8Rn7vVBJdFrNV4xIkQjN4&#10;ufb4UdLyJFK7x6Vt82fbQZMbFtPEhFZiUp+z7bNPZ/1MQjwt5xqLoPhqJdsJtmyzeO72+7iK57wP&#10;peVIQKcJHPHjzO0W0Mn/fPw4PaYvnIThBXvQI4eOH1fBrOtBGfb/SK1G6Z4L7Jr9hF/Dgdeord0C&#10;HzZebs91mkq++7Pz8vffnWExnr1jbPCEV6tZUjIXAYFmPi6n52d/75jgM0e5pvHrG133pGsFn2BF&#10;FUn8rTAHhcEQkQRN9BSMiZ+BMeMXYExyKUZNrsDI9PUYmrULffNpkpWcrc6vIUo5eDlznZcgl2i+&#10;trijvq99erzd9pZe5ISy7SSSK0I5cQR92edDs3bwvhvNrr/Ul2MS5sEjbho0MVPY9TWB9Xk4rwZj&#10;MdFvQeXX2fWWyq8rQrlynVf7TQXtQkloo0nywcF0DSnEpYuH5HOOyDgXCASCdgnoBGWhmywG7Nmb&#10;jTe/lLwlvgq6CpSNXoiHT2248Xgvzv54Hhef30DDw/NYsWMFomLDuUfjx8hGV6CH/bSOiJgwzCqe&#10;ib1n9vNseBLS6dVdLBAI2gWJ5pSd+fyanNV5AWd+aMDhw+ux056HDdnRWDnWD2WmAdy/mHyMeYa5&#10;60MLwd+IqxhOYnc/ToWhLyoNfRjslb0nKkgcZ98nytmy5abBHKd5COzmoRyHaSgWB2lRFGpGUYix&#10;iXkRYZgRPY4R326mMxYkjEVR4lgsYq9LJkTDMSkS9pRILE+PwOq0AFTGa7Ai3hurEyTWJXqhKnQE&#10;lluHotJ/CKoChmBFwCCs8B+IVQHEAFRZ+qOSUWGWtruMJnPo+sGuYfgxtP3h0A6AQzeA7bMDJQwk&#10;uKv1o+CThe3fDvpdfXoyemC5/1CsTjRiU0Ec9lTNwpGjG9Fw7/Rb5zKaDHT5xTUc/fYECubmcZsU&#10;ympRu862B7qxJvFu3Lho/uBOeJ4LBB8fKevsJ/z6813cvnUKO3euQUZ6MqwBJmnCqZZKufpB/6k/&#10;OKf2KUKsIs7KIrsCie0WjWczWm9YTFpYzDoXSPi0whwc0JKQQBgjI2GIjoIh6m38xiXAa/wEeL+X&#10;ZHinZsI7IxfeUzoJipU8Gd4JSSrra4kuNg5G9/ZHR8MUHvbWNnMB3KVvrEYNF8KV/qP+dO3fpn7n&#10;wrj8W3SS8Pv3Q6IHbY8ikjPob/rcYuAlXQ0hMdDFZMInsRDDJlVicPoGDM7aif55dc2ZhCR2cCFA&#10;TSxoCX13cNYu+MZP5yXr+YN9Wp9q+9oOZUc2l3OXRXQSUWfoeBn1chJlFWG5abzAkD8jQds2y8DF&#10;16XlknhOPt3OSZ6ScE7CKaG2PGVFB8ne3iSck7CqCLJKhrTNn5f7LosbxYV6nunuPr4k0Zmtgwvn&#10;rD3cl7yUxZBLx0vxGFzwZfGKLZJwHiZnayvtc2kXF86pzDkv+86We5eQrQatS+kLvi7Wl7Se1vqS&#10;toGy73P8pKxumkSgtF0tNsNOYjV5tbOx+1v9Qn/L2+WMZ30yx2UCgFpM+rxNJdtH8ooCb7WPLW9f&#10;aJJ8190nCFCsAFl0p/W4LEf725Il/ggJJQ9v9X20Nfy0OkxJ1WDSwgXom1vX5mPpc+e/06qRuvI0&#10;fv31If78k0Tul7h0sQ5hYYHtGn/TOFvLxuz7927gmeytCVZSRvpL/PGvB7h+/QQqmjzS/XiSyyc/&#10;HvjscL2+sOupwQtmLqxruMWNOSAApqAw6EPGwjc8ET5RafCJzWfX9DnwTirGmMkVGJW+BoPY9aZP&#10;TjX6EuTZzSH/bnackKCeJ1U76Z3PrkMkvnNIgHdHEaXdkY65tuMqcKvhtt6mNpH3uFKZpU72ICdq&#10;5W0iP3LazgMYPmUjRqevhsckB+uLRfAZN5P1TQ58IifxvqKy69R3Zn9/mC1GWGiCm8FTqu7CJ6ex&#10;46dJKFf7bQQfCp13/LS+/NwRFMLGDaXzcO3qUXb+oXuQl+x8I4RzgUAgINotoBM+fhpkZEbi+3uF&#10;ePG6WEV8FXQNJBGd/r73tAqXHx3G+caruPTiFmou1SJvTi4MRg0v6662n3QGdEEnEZ0u6KHsxmA2&#10;CelnD+DMw3O48uoGL/GuKo4KBGo8lsqyX3h9i71eQcP3J3D8cg1qdzqwZdZ4rBqnR0XwSFAWMIlW&#10;Dk0fnhHa4oGF4C9EEshdhfEqfS+s0vdAlZG9Nw1AuXkoyizDYfcfg2UBnigO9ENhoBZzQ6yYERmN&#10;6VExyIlLQdq4bM645AUYm7IEsSmLYUpfiREZW3nG0YiMLRhGpcLYza0rQ7L3YFDO/g4zNG8fhjHo&#10;dXj+XowokBg5dS9GT92FUbnbJfK2wSt/G2Lmb8H4+RuQXrwWs5wrUbyiEhUV87HCPhVbV+Vgx8p0&#10;bCtOwI5Fcdi9MBrf5AdiZ4EZ2zN12J7sgZ2TR2PLuOHYGDsMayOHYmXQIFQFsL6kfVrbH8u8+2CZ&#10;Vx/YfPvBpojtJLTTQzh6WKj6Owj+doyDeNULu19v7qFOx0ZF0EisHm/E9uI0HNxTjhNXatFw9yTO&#10;Pr2M3edrkJI1qdMmuinieXr6RNy6SWXcaCa6EM8Fgr8KSUiXyie+eX2HHYcnsHa1A1PSkxEWHsQn&#10;nXp6e/KHYJTFpnYcf5aQEOAOz3SnDDEX2Hue9d4K5MFNGdZtwuAHM4vZqZCnvNq63FAywN2RRO+W&#10;26ueFa7Sh10O2la27VwoZ/3KPctZH1uMMPlboQsKhTY0DtqYKfBNnI+RaaswIGM7+mftRv+cA+jL&#10;BQoXP9vcjot8JCr0ya/HqBQHjMGR7LemB/4f/jvoTXTd1SMjwwq7MwCORSbuY16mVRGrZRHYSWIv&#10;CaJLSTgP4sIoicWOLN+3hWm35bmQHDyUe3VTqXBFbOaiKomrslhNpeOd40ezcXfzelvEoraRcEzC&#10;ecxI2KlUO2sPj0UxZZGWv6f2kcd5hg/KQlj7ZNG9aft4fPYaOkwqTU4iMV/2HUK2GvK6bSUWLoaX&#10;hbL7BlqH67oUlG2i0veUfc+zw93a7orcT1QZwJ7N+lmZoODeL/JnlEXu4F70bFmKq7Ydcn/bSPyO&#10;Z31NsdTisT6m0vPL2Lp5LNfly9jycwxSJr/7dvIsftfMc3k5GRLQ58zxh8Vf2gfV9k81lO/m55kR&#10;MLcKX2YfVT1muiJfZFbDv/Ao7vzwPbtGk7jdiMYn15GZOYmPnd37qjUkAd0PixbMwL//ePjeUsmS&#10;7ctLPh5v9kgP42N/yiIVQvrHRr4WseuPkrHOr0f0Stck9h0TXZesVhj9/aEPCIY2MAS6kFjowpOg&#10;jU6FJn4qNHFT4ZO0CF7JS+GdvARD09ZgwJStjM3s2vUNBmTuYGyXYX9n72HsfZuc/eiXd5BR2wYO&#10;oj/bd1XjEFm7WqxzYMY2qT1TtmBQ+maMnlTG20r4Jczm26CNzYEuMplvmy44GrqAEBgCAvm2m6xm&#10;do02sD7RSX0jX7vVM8rV+lrQ2dA521fjw+8bomPCsbh4Nr+3+IPOPfx+Q9znCwQCgSsdEtAlUVOL&#10;Ld9MwcvXi/HkmZr4KugqSN7ohXjUuATfPtmMS49P4sKzmzj94Dwc6+2IiY+Cry8bpBs/3oCH9jme&#10;RafzQ3B4IArm5WPLoa04da8BV1/fFBnpgtah7MxnV3Hx9W0ump+4Uo1Dhzdi35pCbMqNQkXIKKkc&#10;u64fL53MvYiFkPiXIpVW7y+L5L1Rpe+JVfqvscLYFxWWoXAEeKCUZ4dbMCs8FFkRMUiLnYyUhByM&#10;mzAPYycWISitAtaMNRiTtRNUTk96qKGUE6MZ1hKS15ZEz7xD6JF/uAl6/zb0vQ8gtyU93GHr4ORK&#10;0DqpxFnvgkPoQ0w9hL4F9Yw69J0qYS6sRnjxfiQ7d2NKxU4UbtmMpbvWY239Cuw6vRy79i7E/l1z&#10;Ub99Kg6uSsXxtRNwoiISDcuDUL/QhNp5JuzK8sXWFE+sGzsSK0KHodw8kGewl3r04iK7zbcvey+L&#10;6+4P3wR/O4p/Oj9nsfMXlfqvCh+DLVPHYptzBjKTImDSeUPLbo41ZgP0DLVra1ug66+XjxcyMyfj&#10;/g8X2Q21KNsuEPxdSCVcJZ90eqUMtKuXD2Nl1VJMm5aFsbER3NdzjNcY+Gh8upaY/pdBD8U7GdX1&#10;CN5LkzjhyzPSzHpPmHk5XQtMgaHQh8XDN3IyvOKmwSupCB6TyjEwezcf7/ExIB/7KZl09Mref4Bg&#10;rgaPycaQQzO3QRuVxsUBSQhQ2Z52QNm/JqsB2QX+cM7SoZyykElQVsYC9DeJ1cFDmkuBlwXyrHPy&#10;K3eQoBs2vFmAdR/HNS1PwrknbAtMkiBMKKKqLLDykuTkue5PbaBYbvdJFJtisb9JOHfk+XFvdGl5&#10;hiLQUmy5fDr3OCfB2b19bMzJBX0Sm9PYdlEmvHu72oKyLtYv9lw/7jXO16E2pqX1U/vJVz3Viwv7&#10;vO3vWidlfLNXKmNfRrHdt4Pg/cI+Y/3mnMj6WInr2ieu0PrY/6lkO5/04J45rsQLdSnZ7hqL2uoI&#10;hH2mDk6aKEDbqixL0HtFPG9l20hAp4kbtA+2R0Cn/TU4RIOsaePhPWMbvu4G/ucKPXNq0C+rFocu&#10;3WLXZSlznAQoh2MRPLw9VPurNUjMSklJ4Nf7tgpYimhPk1vJI72qYgkmTGDnRo03L+9O43i1dQk+&#10;Jsr1X76GMUzs2iVBfyvIHt7s+wpNMWh5/wAYQyJhDI5ghLO/o2CITIYhahIjpQW6mAz4jZvJmNEG&#10;ZkITP+2tGBIsdvg4eZ0SJrI8oWoucttc29vsQ04o20UTCqRtbRLHObR9Ltso+Muh8wEJ517enoiP&#10;j0Ll8hI8uE8WFM8YdH8hWVEIBAKBoCX/1dEBlUanxbiEINy8PRfPX4ks9O7BQjxtnI+HT+24+WQn&#10;Ljw9h0svb6P64kFMnV8Ag1HLM8U/5iCdYlM2HWW9U8mkzGkZqPymEse/O4krL6/zjHThk97NIcGc&#10;/MyppPHLG7ys8YmLe1H9zTJsL87E2okWlFsGSxnmivhED4KEaP6RoH4dKIvkks+45CsuZZSv0PdE&#10;BfufI2AMFoeaMT8iHLljkzE+PgfRibMQPrEYAallME5ZA9/sbRiSV40vCk7gq/yjnK/zjzAONwnR&#10;PfnDUnpAKj0kVYc86zr3AWpnIbVNJkeiV87BFvRgfJ1dh68YXzK+yKrHPzPr8Y+MQ/gq8xBGz6iD&#10;bl4twkurMb58HzLW7sLM7duwtHYjNh5fjwPn1qL2iA0nDi/AhboC3DqSimsHEnH+m3icXhuD+iXB&#10;2DfLhK2TfbEufjSqQoawY6UfbN59pBLxJKzLmesOPWWvy4jj6O+B9Tn3xGfnMjqnkXd6Kftd5ppH&#10;IMc8BuMt3gixaKE1Gzh6upa6XVtbg8Q3KhGdk5OGh1w8Fx5oAsGnAn9Iz0u50oNzqczijavHsH//&#10;JjgcRTw73cLGyp4+Hvw4psw28k6XSkSLB5iCvxPlITqD9kX+YJ0esktZfDyznKDsvaAwGMPG8Yxy&#10;z7jpGJVYjFEpToxMW8OrBPXhvqpH5YxyEsrdvWXVx1udDa27X24NvOOn8yw7vj2q2952uIjub0Tu&#10;FBPKx45oLgtOr+xexpHsAdt8g1QanVhihSNfwwXdcso0JkH3rTEDg/5nZctPYMtTSXQSg0lQVYRU&#10;Rcidb5SFc/IJl9ftHouLxmwMEjsS9ibh3C1LXBZ2eRZ4ti8vRc/jubaP/a0I51RinTKwlzndBOK2&#10;4LquHD84o2VxW004V/oykI1zU2Rfdfe+cIf3TSAvwe4cP4ZbQ7UqyrPPnXGjpEx8Wu5dcUlYp5Lt&#10;ad78t31L/OZtpX4exX5z+TdzXZ62m8W3F7DfP0BleXofMpRbAfB2qIjnhMPpj7h4sghR3ydbQ6vX&#10;Iz7GFxPmTufexp/qfdbH4v9NPoCquivsWvyYXZtJ1H6N7dtW8gSQ9iSZUBn28MgQPLxPY+72CVnN&#10;E+xe4scHl7B1ywo+DqDncySY0ZheXPs/Nej3UIH/TvTaLMA3QRnbKkj2JXT9bDtqcTju61TEbwX3&#10;9jahto2Cvxu675fu6aVzAU3S2bC+HN/daeDnCzpviPt7gUAgeDf/RaVU1E6y74NmpGp1WpQvT8Gz&#10;l8V48qxIRXAVdEUoG/1J4wL88LQC1x/vx5UX13Dm0WWs2LEK8UmxbL/wZbCBlsp+05nQIMDH1wsm&#10;9veE1PEoqSzBwav1uNB4RfJJF2J694EL5ldx/tlVSTxnv/vxMzuwd8VsbJ4+DqvGG1BmHsi9zEVZ&#10;9o9JS5G8kjLIyZ+cSq1zIX0wlgV4oDAiGDOj45CWkIvICQuhn1QGXdoKeGduxpjsnRiUdxBfFZzA&#10;Pxlf5h+ThPI8Esnr0SuXHoyqP7wQSMJ7j2wS2A/ii8yD+GdGHf4xpR7/nVaP/007hH7ZdRg5tRaa&#10;ebXwX3wA0WX7MGHNLkz/ZgfKar/BN6e2oP5sJU6fK8W312bi9oUC3DiZjauHp+Di3ok4uTIa9cWB&#10;2JWnxcbE0VgRQtnrg7iA6yABlzy7tX1gY8eZncRcqu6giOuq+4zgY0APdCvZMVdFk1PMg1FkHoZp&#10;5pGYaPFCiFnLr6F0M62Ts9PVBHWtQQNfP28sXDAdz59RVk2juLkWCD5hJDH9OeMNfxj2+MfLuHTp&#10;MPbv24QFhdORmDgW/gFmPn6mh/r0UJ0eppHnqk48WBd0Kmxf4g/apYf/PCPNSNloUkZac8ad/H0q&#10;cRsSDUME+cDnwitxAYamlGPo5JUYkr4BQzK3Y2DuAfQpOIKe3K9cKcGuiOXqY6K/GhLRKevda0Ix&#10;TAH+kkDRol/aDwmZ5kAjpqfqURkzvNlXnIRQEkHJ57xUEs4p+5tKe78lnhIk6BLWwXBOGMOzyiWx&#10;WRZ1ZQGWIPHaQZ7pwUPfFroJRThnOCNHwM7WTYK1JD5LQixHjseFfRLOScym8SAJ+G7tKmfrIu91&#10;O2XCU5uUdrUVpe0lbF058rooPrVfWZfbOkmopsxwLpy/z1ddib/IxJbx4KK76qQCikv9Hz6MZ75T&#10;e94Su12hfndSnxv579rUNveYcsl27sfu3k5qG3t1ZPpK5fXdlyfhPYy1hyZLUL+2Ip7b2P+K5poR&#10;EkhjQPX9sTX0bMw4LiEAwXMq8WVO9ynfrvB/U6qRt+oMfv2Zyh+TkP0cDSf3IywsiE9eU+szNej6&#10;TBPf9u5ex2I0ql7r24KUTfqSl5Kvqd6CnJzJvIQ2XfdJpBfXe4Gg60PHuYadf+i4p3NLRsZE7N2z&#10;AT8+vMzPD3SeUjt/CAQCgeBt/itvdg50HRQ7tXotQsOtON0wHS/eLFYVWwVdFcUfvQh3n6zA9WdH&#10;cOXFVRy8dhTzls5HYIg//DTeneK9+j5oHfSQnzLgI6LDeDb89mM7cOLuKS6kX355HeefXFIXXgWf&#10;L+w3pezyC69u4tzjCzj17TEcOb4Fe8qnYV1aCKrCPUCCLmWa2/2EaP4x4GK5oZ+cSd4LVcZ+WE4P&#10;eKyjUOrviQXBBkyNScCUhGzEpRRBm74GIzK3Ylj2LgzJ2Yf+eQfRo+AovixwFckPoacQyT8KJK73&#10;zKnl4vpXWSSw1+H/ptThf9Pr8eWUevTNrsOgvFqMmlkDr3k1MCw+gHHl+zBz0y7Y92/DrjNrcfRy&#10;Ga7cLsa16wtw50YJnt6rxcvrh/DwyBpcXDMbx0rSsCc3EpuSzFgZ5oGKgOFsXxkIm6Y3lnp9jWW+&#10;vWDX9JGEdSGq/yUsZ5CYTjhNg1FqGoJ55uGYbPFEhEUDf7OWC+iUnU6COv+bMlX1GpQumYdffiZP&#10;R3GDLRB8TjRnpr/ix++vP9/F82c3cO/7c6jevxm2pYXIzp6MuPgoBAX78wfrko+6B/ds5cK6gTLn&#10;Pv44XvD5wSdhMOhaoTe4ZI27+b8qvuTkg6oNDIU2LB7ayBRoY/PhO34uPFMcGJy+AQPIXzVrJ8jb&#10;tX9uNc9g7cXGh81CuWtmufoY51OBtzP/EDxSymAKDOscEd2oZ/fWRswqMMNZbIJNKY/OoAxyyv6W&#10;hPPWBF32OQnniaO5j7nkSx7YLKQq4jCVVk/3RlmQXFpdTYinz2j8FjaMi+LLqHQ8ZYrLIm5TPGob&#10;aycvR07CPhuDtGgfxSEo+zvVWy7VTu1yidMW+LrYtvBJBGxdkbJw3mpfMKgvaBICTSKgGK594Y6y&#10;LUUWOKawviG/dqXtarEDhkie7bQ9tC2u/eIO/c8WIJWB5yXb3dpMf9NnlDleoJG+7x6P2l5igTPZ&#10;U/q+q3hO76kfokdI4vm7hHz2v/KFRhREsWOYKpWo7IetQYk1/lZfxKUmYdTU/d3yPu7LrBpEFB/D&#10;48Z77JorZYI/eXwNSRPiuR+5Wr+pQYIXnVfLHEUsxgvV63tbkTLhSUh/jjdv7uDCuYN8Ml1YeBC/&#10;xnuTT7q4xgsEXQ6qeuGj8ebZ5sEhAZgxIxvHj+7Gq5e3m84JYlK8QCAQtI//2n+uGkGhAdAZ2i+i&#10;0wDPV6PBzNlxePqsSGShd0Oa/dGLcffpWtx4fhTnG69i27E9SM9Lg5FdvKnc+l8xy5VuAOjhH910&#10;mCwGpExJhnODEwfO1+DcowuSV3rjFXUxVvB5IPuZXyA/88bLOHHlAOpr12K3c6pUmt1MJevkMsba&#10;fkI070TKjQOlzHK57PoqxnLLUNgCvVEcYkR+RCTSYydjQuI0hKaWwSdzK/rlVKMvPVjIOwjynuzJ&#10;S62T1zj7m2eTS+XU1R5ECP5aFHGdZ69nSQL7l5l1+IrRk/3di33el/1effMPYszMGoQvrkHemlNY&#10;vOsKtp/5Fqduf4eb977Hg0d32c3ZD8AfD/Db3cP48cR6XNtWghNlBdg/MwlbJwdhXawGFf5DYdf0&#10;xhKPL7DUuwdsfr2FqP4XQJnpy03sWGbQ3w7GAvNwpJs9EGP2RbBZCw27bltCArFufTm7uZZEOLUB&#10;pEAg+DyQyro+4cey9OBM8mj9D+PnN9/h9In9vNRseVkxZszIQXp6MsbGRiIgwCz5qXuOgYfXGP6w&#10;XWSsC2iyBWVIUgZ5WFgAgsPCePa4LjQePhHJ8ImeAp+4AniPnwevCSUYM7kSw6dsRJ+cGjbeIGjc&#10;cZBnavdhY8He+Yck6G9O5/uU/9VwuyA25qUy88agcJgMPqp92R4oEz0w1Ig58wPgLCfh1Z9nfTeV&#10;Q3cfPyniq2WQVEZ8ug42EkpJ1FXKopNoXBYoeaZT9jL5ZlMcEmFdhVxCEY1Dh7Pv+kgZ52qCLom0&#10;LC75cJex9VLGPF9OiUexqV1BQ+DkJeiNUnu4mOwS533Qd9m6JJFeB2f8qOZ2ttYXinBOJdWXsfW5&#10;9kVr8Sl7PtcPZRGsn1vrG7mfy8aPlrZHrV/coazzEiucqV5SyXZX4Zug9wxesr1Qzsp37R/ePhZj&#10;oYn/vm9tN7VRP4BPrrAVy2K+6/pdYdtJ5fqXR4/ABL0nNOb2Vag0sHFjUKAWUXmz2X3eEdVjoqvT&#10;I7sGIwvqcOdHmnRKZdylLPSCqZl8Uppav6lBk1jp+7Nn5/HlO0PkktpCpd0b8eefT3Dz+nGUOYsw&#10;MSWBX8+9fDz5NV2tPQKB4POBnod7+Xry5+EJCTFYUjIXVy4ewr//oMoYdA8gSrULBAJBR/mvS8+v&#10;YoFjAS+FrXYSfh+UhW71N2L3nmy8+qlEVWQVdAdISJ+PR40l+K5xE26+PI1T9y+g8ptVSJgYz0V0&#10;PknDpL4fdSb0QE8R02m9kTFhmLFwGlbtXIUjt47h+k+3eGb6uScXRYn3Tx36fUg0f3oZF17e5CXa&#10;T145gNpdZdhRkok1E0xwUslo3178lQvm7g9NBO2ARDWJ5bwUe3N2OWWv2gK9sCA8GHnRiUiIz0FE&#10;8iL4p1fCL2sreuYfwZeyJ7nkRV7PS2tKnuMSag8cBJ8+JK734l7skh+7IrJ/mVmLLzJq8I/0avRk&#10;f/vNOozwxccxubIBC3ZcwoojN3Dk6ve4/sMDPP9JKiWIn67h9bf1uHd0A67tLsPpqrmomZuMbWnB&#10;WBE6kpd/X+bdg1st8Ekwcgl4flyLY7tTIQFdEdR5drp5MBfTM/QjUJqTgJf3yRftF8YLRrPgpjaY&#10;FAgEnw/8YTplqPMsdVdhnY7153jz8ltcv3oMh+u2YdfONXwyTWnpfOTlpSN5QhzCw4Pg72+Cr8Yb&#10;Ht4ePLuOslxIXKfSsFxgl7PXFWhsrobaOF6gDgkran3oip5w6XfyvKffg6oJ0ANV6TeiUp4d63uK&#10;SeJ5SdEs1NZsw9HDexAxexMGpW/FoOy96M0zxuWscU6zMC4J5koWuYL6uKMr4Cqim4IjeIb+h3jE&#10;0u9PnugRkSYUFvrDURYA+1zT2+IrF06l985xo2CfppVEUlcB1kV8duTJPuG0jJo4bJDjhQyVMsUX&#10;tZJZTe8dsjd44hguVkuirhyHXklopozziZ6wzTM0C82uwvD7oO+y9dBkAPtUrZtwLq9LwbUvYllf&#10;KP7f7mK0Kzw++z8J81M1fLlyWcx+K77cZ86xI3kWedOyanEV5PbbC41wxo1sPS5V9Er1lD3l3WLK&#10;66GJAFzYd992ub30O9gWs+XdfytXaD+YrUdF2FAU6Ycg1MzO3+0U0MkzOSgiGB7536BXLjvWVY6H&#10;rk5vdo9E90T1l2+y66gioD+D07GQT0Sj87Nq36lAAnpqWhLevPqWxWifD/r7aK5OQ+Xdr2Enu8ZP&#10;n54FC7um03rpWtGetgoEgr8XOl5pzM0rXbC/s7Im4ZutK/DD3XPsOCdbJ3a8s+NeCOcCgUDwYfzX&#10;5ZfXUHvpIMaOi+Zio9pJ+X34+PmxQV44bt+Zjxevi1XEVUH3YQGeNs7Hj09LcbdxE7796Tzqrx9F&#10;6SobQiJDoNH68rKwf+XAnB4Y+fh4wWw1YvykBMxbNg87j+3E+ccXceHpZckvnb0KMf0TQRbMuZ85&#10;+dg3XsGp63XYv6EIW2YlYXWSGeWWwbKfeV8IUa2jtPQrl+jPhXMS0G0BHlgYFoC82BTEJs2DeZID&#10;2vRV8MjajoF5B/FFwUl8Qf7keZJgLgTy7g2J619n1+CLzBr8Y0o1/r/UA/jvyQcwLL8O2jmHEVpy&#10;DCkrT2PetovYevxbNNx+iCc/k/fWa/zn1+/w86NzaLxWi4fn9uDsbie2L0jGhvQgrIj2Rhl5qBMk&#10;puv68QoTYsJM50NiegU79qtMA7A2bBS2TPTHoSXZuFG9Ar++pAeCJLBJGSyd/UBPIBB8GkgP/UlU&#10;lyc9sXM08DP/7MWzm/yB3LWrR3Hh/EGcOrkP+/ZtRFXlEp7lMq0gk/srxsdHITo6lI+7JSGXHu5J&#10;Yi495OOCLod8Gd2RfNndUYT5zx3aDrXtc0XxqHWH+ss9HvVnc9+2nKxAfwcH+yMuLhKxsRGYkBSH&#10;qflTkJ01CQFBFv5/tfumd0FxqY3z509j+8Rz3H74GKNnH8MXWXU8c1xtfNCdkUT0Qxg6ZQt0YQkw&#10;m8gL+cPugSkTPSrahEVF/nAutcIZNUISpkk0lYVUEsS5LzmVane6lCd3EXjt03Q8c7mchFcq8+02&#10;JlBEWC54p3nD1po3uSyC2xYYuZ94kzc4Ce8Uh8ZpFIcE4QkesCvCOZUed43zPpT1lJJwLgnbvGy9&#10;lsaC8roUaJ2KcD52JBfauRc5tV3pC3eUvmHrcMzSS1ndFF8nxWmOzVD6OnwYz05f9j6fcwXaBrYe&#10;R55G8pd3LzPPf4uBcLL/2Qu0Tdv8Vgz26sj2k/pa3s4mlO1O9VIX3xVoe1ks2g+oLZWsLTnm0e0X&#10;zxlmsx9CkiaiV+7nXz2io9Bk46/YPZB950X8ya6l+JOupY3YtX01r9pB52e1vlODzveRkSG4cLaW&#10;n2fVrtWdgTSmf4Wf3nzHy7uXO4sRExPG2qqBn3zN+Suf2QkEgrZBxyVNduFjZkZERDBKimfjTEM1&#10;H6tL4/dnqse9QCAQCDrGf5FgdeXVDZSuLJVmR3boZlrPS7mvXJWKF68X4+lzNWFV0J2gsu5PGhfg&#10;x8ZSPHi1kZd2r7lYg5nFcxAQHMAv9jQoV9ufPhb0oIi80rVaX4REBGFi+gQsXl4MsjE4+UMDF9Kv&#10;vLwuyrz/TXDR/MUN7mt+5sEZnLpRj5rty7BpWhxWxmp4CUC7L/mZ9xal2TsECeZUgr0vqgzkV94X&#10;Fexzh2UElvh7Yn6olfuVJyfNhCWtEqMzNmNE1g4Myq3m2URfFhzHV3J2OT0gUXt4IBC4Q6L6l5k1&#10;+L8p1fiftAP4Ir0aA3IPYtT0evjMPYzQ0mOYvu48yvffwJHr93HrxSM0PL6B43dO4fStIzh3uw4N&#10;Z79B3eZF2LM0Axsyw7BirB8qgkeh3DoETl1fXoHCQSXgFVH9rX1f0F6oH8mvfplPTyz3H4qNiWYc&#10;LErHnaOb8cvLW/jjN/J4pJvzF/jzz8eqA0yBQNB1kLLW6GG7kqmuiOvP8Z8/HuK3X+/h9ctv+YO7&#10;x4+u4MeHl3Dv7jncZVw4X4c9u9Zh7+71WLViGZaVzuMe7EWLZiIvN40LujnZk5Gbk4rxibGIjglH&#10;TGxECyIiQxAU4o/gzxSl7RFRoRjrtm2uRLFtnzAhjvcF9YkC9dGsmTlNfbesdD7/u6piCe9bYvfO&#10;dThyaCfufn9W6nv2ev+HC3j042XO0ydX8ebVHbx69R2cziJ4+Xio3i+9Dy7W6zWor16P5dU3eAUa&#10;mkSnNgYQyFV82Ph5cOZ2GEJjP9gTnZ676Aw6jEswo3hJAJzzDZLvNxsTlUWNgD1PI5VXl8XgJsGU&#10;C9aUtW6AM2GMlLlOYqu7+CyLw+UBg+FM8uClvXkcd8GbfxYglX/n3uAkCEvL8jiyGEwitDNB9htf&#10;KgvNrYnYatB20HrYNpFYzScMULl0V5Here18nYpwvkQWkV37whUunMt9M8cAx/jRzdnzFE8tfvBQ&#10;ONJ92uZzTsjiPO+riR6SMK/0k2tsBi+53lSy3SWuHIPEeh5DWcY1BsUMGAJHjp/0/dbaRZ8z7Ox7&#10;Zf6DUaEfAJt5MGItvtC2V0A36WA266BJs3FLBrVjoDvABfSsGuRUNeBfv1G5ZKls+vkztQgMsnJR&#10;WrX/VKBy6iZ2nO/fs57FeKV6Te5MpGv7S17mma7d+/ZsQFbWZISEBnBxjuxb2jMBQCAQfBzoeTZl&#10;mtNERv9AM9JSk7B5UyUf8/3rt/v8OKaJO2rHuUAgEAg+DC6gk2B47PZxXmpbo+1YFjqVcg+LsOLc&#10;+ZkiC13QBInoXEx/thgPXm3CjcY67Dz2DfLmTmcXfX9uHdCRDIgPgc/Yo6wXNvCgdfuzm5rJ2Smo&#10;2FKB3af34ti3x3H11Q0+seT8k0uqYq+gk6Bsc/I0f3MbZx+exbELe1G7Zzm2zh6PqkhP/jCABDKH&#10;tg+catkRgncgeZZLJdh7YKWhN8otw7AkSIPZoUHIjklAyvg8REy2wTNrO/cr70felHl1klc5wUux&#10;d99sAkHnw73Ws2vwdZYkrH+RUY0e7LVXdi3b/w5i8NSD0M07hHHlxzFjewPKT1zAN1cvoebmBZy6&#10;dx6Xn5zHtUcn0XBmM+q2FmN7cTo2ZEdhdaIJVeFjUGboD7v317D79JIy1YWg/mEYB3Jveu5Rz87F&#10;9Nn6eC0OlWTi7ukdePXwPLtRp2zVn8QNu0DQDWkqB8/PA0qFChLZCSodKZeP5P+XrSD+kJalh/X/&#10;+v1+C3779Qf8+su9FtBnD+9fxNnT1Th3puaz5GxDDc6frcWPDy/j99/e3kZXaHvd+4X4418PmvqO&#10;vzKaKwYo0G+g9Duh/BYE/Q70/ze4ffMEn6jgy+6F1O6V3oef1geTJ8QgYPY2fJVzSPV6L2gJlXMf&#10;kbYWxqZy7up92xYkEV2PhEQzSpcFwLHUCtsCsyQWy+Jok1hKoiuJt/ONcEzy4oKpIta2vN4zSJS2&#10;snsvKv0+R98cy1Xwpr/l8u/2Ag3KyINdyTJXxHiKw15JDKYM56Z2uMZ5H7ReWs9iC+zkQU7CubKe&#10;1tpuHiwJ56xdPPvavS/cIeHcpvQNu+8k4fxd8VnfkW87lV9/b2wFuf+5Jzz1Fe8nt/gkfFsG899H&#10;EvzVJyvY5xnhjGH94B5DnqzgjBjO1/POtrHPeel+8l6X+5OqD801D4fJwvYtlf3tnZi08A8NwaCs&#10;HejN7hvV9v3uAt3bhC8+hl9+ecDOs9K5+ec33yN6bDhPHlHtPxXoWRWVU9+0cTmL8VOLa+7HhErP&#10;S9eKp/x6c/PaMdhsCzExZTxMZgM8vMZwQb3d+4hAIPggNHo/fvwZDFokJsZhyZK5OHF0D35n40Vp&#10;7EfHragOJxAIBB8TLqAT5IW+atcqmK0G6Ds4w9BPq8GsWXF4/HSRyEIXuEEe6YV4+mwRHr1ci9uN&#10;+7GlZg0ypuWwfccIPz8ffrOgtl99TGidtL+TXzoJ6oHBVqTlTMayVcuw9dBWnHlwFtfe3OLHB4np&#10;vMz7YzcRWNA+lBLtL2/gwovrOHm9FtXb7fhm/iSsiPHmYjkXvpq8j+WHA4J3oPiWyxnm+l5YYewL&#10;R4AnFoYHIScmEePH5SJyYhEMGesxKI/d5FM2eZNILvmVd+fSe4K/D8VjnYR1oke29BCKBPavMmow&#10;iP3fvPAwxlccR8G2U1hadwYbz15A3Z0ruPjiBm7+dBUX7hzE8SNrUb2xCDuX5mBTThRWJ2h59rTd&#10;uwfsvi4Z6vTA0P3hpeD9sD6j/qN+tJFHva4PNiaZcKJiDr47thW/PLvKbt6ljFSelU5CmcrAUyAQ&#10;dD9I6JXEdllwV+AP7F1xFYNdUcR5ev2cUds2NVT6xrXfXFD6VkGt/135k5cWfoaVK5bKk4k7dv9l&#10;0PvANyaTT77kHucu13XB20jl3MkTfS1MwWGdIqITkyebsZREYHeBWhG6F1vgyPBBWRCV+27lvooE&#10;XLrGx4+CfTp5pssCrLvgTetgn9tn6STvccqk5mKuHIf+1g2AM3K4VNqcSsi7t+t98Haz7SHhnDKk&#10;STinuK7rUaD3ilgfx9qeT8I5W54L4y4x3aFtY31DQjgXznkpdJW+UeKz7XSMHyOJ03IftGmbWDtI&#10;EOcZ+v5U2p5tg3t86vuwYdJEA8o4p9iuMeT31J9lQXKWv2sM6hfWdvo9bAvlzHXX5V2hfi0y84oA&#10;0lhYsu9xMiZYvDtUvt1o8IFfwgz0zWP7N0Nt3+8u0L3LsOl1+PEZiVqSgE7VWVJSEnhZdtX+a4Ux&#10;nmNQunQ+/v3vxjad1zsTWp903aFr1iu8eHYD1fs3cauWuLgoePt68ixYypT/O57fCQRdHf6Mmh1f&#10;vhofePt4IjIiGAsKp2P3zrV48uMVdlw2T079q88PAoFA0F1pEtB5pu2P55E1dQqfIdmRmYVUToxe&#10;d+7Owos3i1VEVIFgEfdIf/psIRp/Xo2bDzdja80KZBRksH3HCI1W8vL7Wwbj8kDFjw1UfH29ERwW&#10;yMX0+cvmY/2B9Tjx/SlceHYZFxoJ4ZveLh5fwrmnV7ifOXmbN9w5itpdDnyzIBVrJlrZzX8/2Lx7&#10;wKnrL93QKw8FBCq4e5eTb3k/LqCXBmkwNyoaafGZCEgugSGtCp5Z2zAgvx7/LDiBL/OP4mtegl2I&#10;5ILPA0Vcp7KI/8yowT/SatCTvY6eXgdL0SHElB9B1objKK05i22XruDM89u48uYmzt89hlMXd+HY&#10;0fWo3VqKHQsnYV2KFRVBw+HU95M81BXEZJ0O4WTnarumL5Z6fY3l1sHYPiUcJ5bPwo+XqvGff1H2&#10;jZLx+ESI6QKBQPAJgT8b8fzZLUyenMiFENX7ovdh0sLEXsekOLkw3EeMLd+LJKIfwZj0VTAHBcPY&#10;KeXc9UhLN8Pp9IdNEXXZK/mfc6/tyBEoJ9GVhFbX6ziNeRRhWvZM51nb7iXW6W8ScRk2yoBOHCNl&#10;sZOwrIyb6N6N4oQMhX2KXNq87D0itivKOhxsHVSiPMcXvFQ7xZcFctW2s3sf59hRvFT7Msrcdm97&#10;a+tg7XOke6MsdKgUv7W+oUkFscqkArY8xXePqwYJ4Ww9VLbeGTNSitVKuXnnuNGS8N1Kv9uKLDzr&#10;vdWy7+zVyTPX5bL9ru1wjUXbPc+AMspg57+dtOxy1ocLzUMRYNZ2IPtcB4vViKGpq9GL3WOq7fPd&#10;iR7ZNRgy9SDO3bzDxr6SCP3H7w8wf+7UdvuJe/l6Yfr0bPz0mmI9VT2P/1VIk7pe8Xbc+fY09u3d&#10;gHlzCxAYaOHPjWlyAG1fRydjCQQCSTTX6snX3I8fV3RunZqfgd271uHGtWPcLkmaqP4Uf/5b3FcL&#10;BALBX02TgE5Qlu2uk7sREGRhN2Nt9+lxhbLQxycG4+r1OUJEF7wDykifj2cvivD85wrcfrgCO+vK&#10;kZ6TAou/he1HlBXesX2wM6AbSPL3oxLzPDM9xB9xSWMxbX4BVu5Ygfobh3H6hzM4//giLr+4JmWo&#10;PxXl3t0hwfzCyxs4x/qm4e4pHD6yATtLs7A6yYzlAcO4dzFlhooyy+/C1bu8NyrZ3+XmIbBZRmJh&#10;iBHTYxKQNGE2dGkrMSpjC4Zn70b/vIP4ouC4EMwFXRIS1CnL44uMGvxfeg2+mlKDgWyfHz2zDvqF&#10;9YgrO4qZ2xqw8tRFHHp4A6efXkfDvdM4e/sQzl7dh2M1FdjrzMXGnEisiPZh56Lh/DhzaHpLfupa&#10;OVNd9XgUqEFl3pd694TNrxdWhntiR3YULmwuxQt2nZT80klMF37pAoFA8KlAXpmH63fAZDF0+L7f&#10;ZPSDMSQGg7J2olc3L9/cVhQRXTu5GIGBrB8/0MpMZ9TDbNEjN8cCh8MfNi66muEkL2+6RpPoqgjd&#10;ClzQZVDmc5Yvz/bmAi4JzG6iK/1NntyOFI/mDGhZuOVx6b1VLm2+QPFLb0XIVYO+a2evlClPHufk&#10;506xKVtbrd20PhKTW3icu7XdHfofZek3CefDmmO5xle2h8RlKodO8WlSwfsy2hWUPqNJALSeQLeJ&#10;Bq7rIK9ymmzAhX+3tst9aJ+hQ1mUStl3JUYQi5HXBr9ztu2OAm2zT73cHso+p/LtKRavDmWfUxUF&#10;feREDMrZy45/UYWiZ04N+rHXzfVUkUkS0En0Wl5W3G4BnWwykifE497351ic56rn8L8aXvWEjeWJ&#10;X36+i+++bcCWTZXImJKM0LBA6Nl1hPszUzJWO7ZVIOiu6NlxQmI5WTZo2fETFGxF6uQkrKwqxa2b&#10;J/H61bf8+Je8zcU9tEAgEPydtBDQKQudsmoLbYXw6+BsdBos+Wo0KF2WhOevivH0eZGKeCoQKEil&#10;3Z+9LMazV6X44cly7KxZgmlzJiM4PIQNJjTQaNtX8qqzoX2axHQNu5GhV3rQFBIexLPTl1SV4Jsj&#10;21F7uQ5nHp7j5d7JO/1i45XuW+r98UWcf34dF17dRMO9kzh6Zif2rpiNdamBKLcMgdPQHw5NHznb&#10;XH4QIGgBZZiTYL5C3xMrDX1Qbh3e5F2eEZuC8cmF0E5Zh345B9A/t5r7lvfIP4Kv86gkez0vxa52&#10;Yy8QdEUkX3W57HtGDb7OrEHvnFr0z6vF0GkHEVR8GJlrT2Jp3XlsvXoZ1bcv4cTd87j8+CyuPjqF&#10;k0fX4MDq2dgyIwFrJvqjKtKTHYcDYffpwejJS5a3eHApaBWela7tyz3TaRLCirAxODBnAm4f2ohX&#10;Dy+wm3/KYpFmz6sNSgUCgUDw10Dn43/9/gBz5xTwMqFq90DvRwezyQ++sbnoy8afwgaobdA4vV9+&#10;HULSChBg7XgZfQU9F9ENyMuzwlkeAGeWr3pmNWVB0+dB7H6MspYXmWUBW13AtS0wse+xMVHAECmW&#10;azxZfOYZ2rP0bDk5TluEZoLWS+tgbeAl5sOHyW1kcd3HXHS/SO22sPW5epyrtd0Vvh0uZexJQFbE&#10;Z/d7UP7ZQDgjRsCR7YtlJXJG97viuyL3mX0uZZ27lJ13XQe9Z9tB2fW8z2gZ9/jUJ1T2nQR48mR3&#10;byvFYJ9RZrt9nkFqI2W8u8ZQoJLt3O+cxbLI/u4u7alk95sLLMMRYNF1QEDXwWLWYHTSYvQqOKa6&#10;n3c3aIJv76xaOHZeZOfXR+CWJXiMHdtW88zS9ojKGvb9yMgQXL96hMV4oXoO/7uQSrxTeffnXFT/&#10;/bf7uHP7NFavXMbOQemIYO321XjD08eTZ9MKMV0gaIaOBxLNPb09+PPliMhgZGVNxvLyxbhy8TB+&#10;++0B/mTHmSScPxUl2gUCgeAToYWATlA27cErdYhPGstLWaud9N+H1qCD1d+E2oP5eP1ziYpoKhC8&#10;zRMq6/5iEV68LsaTF3bUHluERUvSEB0XCS8fKmVDNx7q+9xfBQ14qMw7ZWrQTGIa9FD5stjxMZix&#10;cDqWb63AlvqtOHT9MK68vI6rr2+28E/vyiXfz7FtlHzNb+DExb04sGUpNk8fh+VBw2TBXCqVLIQo&#10;d5r9yysNvblovtwyFCUhRhRExWFCfBaiJhZBn7ER/fLq8XXeEfRs8i2XvMvFA0uBoBml7HuvbElY&#10;75FVw8X1rzJr0Je918w5hITlxzB9xymUHz2LHZcu4PgPV3Dj5xu4+qQBJ09sQPWmIuwozcGG7Ais&#10;iPJk56++sHn1kM5lynlMnMveieKXbud+6f2wIUGPUyvn4Yezu/H7TzSjnoT0v97bUSAQCAQkgtAD&#10;2me4ef04zx4kgUft3ue9mDQwW00YnVImyji3AxrDDy/Yh7EpifC3ksik0rftgER0/yAjZsy0YnmG&#10;tyQ4u16XuQA9GI4kD9jnGuSS4SrCKwm4JDhn+fAM9XJ3IVgRs0PY/V2WL5YtlYXstgrnJBizdVPZ&#10;ci5qK9nghLuorayL/c2FeqXM/PvWR/+jdchZ7e/0UWef8RL3rB0O1m+UCS9lnLciSquhiPQkelN5&#10;e7X10Dosg+CY6AlbsSzOu26D3Gb7HD3fVqm9KjHMrC9o8gNvZyttVGKxPnYmqMRibSunSktsm8eH&#10;a6E1G9pfvp3sB4IjMSxjq6g+IUOTd2kSb8HqBnZuVQT0RjScPsCfHbVHSCZLQ6vViLMN1SzGS9Vz&#10;+KeAJKbT5FhZUGfvL1+ox/p1TsyYkcMnAVBWOs+wlScRdMQqVCD4XKFrO+339OzYy8cTvux4iI4O&#10;xexZedi4sRwXzh3kx5IimPPjSVRsEwgEgk+OtwR0goS/8o1lXBjUs8Gb2oXgfXj7aZA+JQLf3yvk&#10;mehqgqlA0Bokpr/6qQgv3tjRcH4ByivSET8+AhqdlkN++3+3mK6gDIio3DtVbggKDUDS5PGYvmAa&#10;lq1eiq2HtuLUD2dw6fk1yTudPNSfXuYl3889+YwFdZoQQD7w5Gv+4jrOPGjAwT3l2LYwHasS9HBo&#10;+/ByyKIUckvKja4e5lJpdvKfWxKsxcyYeCSMnwH/STZoMjZgUN5BfCl7l/fIOySEcoHgA1CEdfIo&#10;pPLv/5smCeq+s+sRuvQIJq05hkV7G7Dx3CUcf3QT1365hfP3juPE6S2o31OGvcunYUtBNM9Qd2r7&#10;Nnuo88lB7DwnBPVWUTLTS72+RmXQcOwuiMf5TSV4ef8Mmr3SxSx7gUAg+Cv58z+P8e8/GrF+rZML&#10;HO0ReFwxGX1hoFLumdvRi/uhq1+HBS3plXcY5plrkTQhGAbjh08Up3LugaEmzErWoNKfXX+5cMqg&#10;8UncKNhmyFnPJBC7i65URt0mlQ13Rim+3S7jGhKE2ftyEnAnePCy7u0qbS5naPPy8unecJI4T2Mn&#10;13U0rYt9JgvOzoTRcql2KjPvJjq7Q6I3icolFtlHnW0HxXKfTKCsg9ZNEwGolPoC2h62rHtG+Lug&#10;78p9VhbN1kVtdt8e6jf6PGI4HNO00jKu66DtofVSpjhrB8/2d28vxaCS9iFD4ZiqAZXpb7WdvE3+&#10;vM9oAkQZH5+6xDKQeD4QleNGoiDdAGOAsf37HTtPUOUJn7gC9Mkn8Vzcnyr835RqxDpOsDHtI4BP&#10;UnqOe3fPsj6jSS5tf65K52JfPy8cO7qbxXitev7+FJEmDZAQ+Aa//nwX164e4Z7phfOnITaWnuVJ&#10;/s707IwmFVAJa7XtFwg+V+jYpWOd+5lTwhXb32m/T0iIQcniOTiwbxNuXD+G33/9gR/b/D74z8c8&#10;61ztmBIIBALBp4GqgM69nH88jyl5aXyGlNqF4X3QQJyETkfZRDS+EKXcBR2DC+lvivHsZQlufluI&#10;HbtykJoeA6u/ke9f5Lnf0Yc9HwNqC5V5p+PGx8cTBjZ4onLvCRPjkTU9E4uXF2PHsZ04+UMDTt8/&#10;wzPSKUOdKj9cfHbl8/BRp0zz59dw/tlVnH14Dicu7ceusqlYkxKAisDhUsljvz7SgwnXm/9ui+Rh&#10;XmnogyqjJJY7zUNREuiDWVExmJQ4DabUCozO2IJhOft49s6X+cd4OXZRil0g+LiQoP5VVg3+OaUG&#10;/ycL6qNm1MG3sB6xZUcwf1cDNl+8jKOPb+LM40s4890xnLlWjZPH1mP/8nxszApDZZgHlltlewq/&#10;3nKWutsDS0ETlI2+1LsHe+2L9fE61C3OwIML+/CvX76HNPP+Bf7EE9VBq0AgEAg6FxI7njfeQFra&#10;BPj4eane37QFs9EHmtgc9GfX1t55YvzaFnrlHESfvEOInV2MxPEm7iGs1rftgYvowUbMSfBBZexw&#10;ySs810/y8uZZ5yqiKwm4S6xwpnqjnMqGu/uPK4I2+YKTCKws4x7HHUUctgVI5eBTvZqz2imey9iA&#10;Q58TlsHcw90+Wy9lnFO7WxOMCfofrYe8x3PIR51tN8VrzUedCBjMfd0pE75pebXYatD3CfJUT/Hk&#10;pdbL3+ozBp8EwNbTIuvcZT1yHNtcA5yx8qQF935h72nyddm4Mc0iv2sMBaWvafLAJNbPFnn9rrEo&#10;PotVzrZ78QILImMt0BrU96N3YTL5wRgQiOFTNojsczdIQPdffBRv3jyQxeRneHD/AiIiQrjHsVp/&#10;tsYYz9Gord3KYrxSPXd/6kiZ6eTd/BK//vw9Ht6/iBPH92DpknlIGD8W/oFmLjRShjrZiFDW/aeS&#10;ICMQtAd6BswTqti+7EcVStlnQSH+SE1NRJljES6cr8OjH6/IojkdEy/48aF23AgEAoHg00RVQCdI&#10;0Nt+dAfPpiVB0P0i0Ra0ei2CQyw4emwaXv20WFUgFQjawpPnUml3qmZw/8eF3B5g7vwExMQGsP1M&#10;B29fmsX66c1glWYf+nE7BK3Ol39mZTcL0fGRyMhPQ3F5ETZWb8T+89Wov34YDQ/OcQ/1q69v8GOQ&#10;stXVjs+/AyrRTr7m559dwcnrB1G3dzk2T41FRchoLhaRcMR9zV1v1Lsp9KCDMsur9D2xwtgHZdYR&#10;KA7SYlpkFCYn5CI0tQzDs3eif84B9HXxL6ey7CLLXCD4+yBBXfFS/4rRl70fUHAQHrPqEOs4itk7&#10;G7DqzCXs//YKjn53DucfnMHlH47heO1y7LFlY31mOFaM9eMPoG0+PbhQTJnXTnpoqXKu6M5QdRLy&#10;Srdr+6AycDi2ZYTi6u5yvLh/lg9QpVn5witdIBAIPjb0MPfkib0IDLLAT75faT9a7sPtkbwMvUUW&#10;epvpmVuPoQU1SJmdh7ixUpU19f5tOySKhkWYMH+OFU6btVnwdRddCSo/TuJ2/Ohmcdn1ek0iLGWd&#10;J3vw7PFWBVx35Ox023wjHOSjHjikWVRWE7Up69p/MJzjZOF8KcV4R7sJyponcX2JFfZ8LcoiR7x7&#10;HfQ5+b8nj+Ht4jH49rjEfBf0PcqCZ22z52lalp9XWZeTss6n69iybtvBxW6Xsu+Ude7eZvqb+iRo&#10;qFQqXyld79oeBf77sjbNNfAJE6ptoomd1L/ZvnCw76ZlWti+pr7/vA8S0DUxU9j+SxNlxH2rK19k&#10;VENfeBh3H9xl51VJQH/08BLi46PaLaB7+3lheXkJ/v2vhyzO5yu2SXYhJKZTZnoj/vj9AX7+6Xtc&#10;uXQEKytLkZubhjjWPxZ2/aAS11683LvwThd82lAFBZr44eE1htt6BocEYGJKAubNLcDObavx/Xdn&#10;8cvPd+Xjl/Z9qrgmRHOBQCD4XGlVQKfMWCo3XVReBK2uYwMYmkHoq5FKuX93rxDPXoosdMGH8eTZ&#10;IjS+KOJCOgnql6/OQUXVJGRkRsDib4Knt+8nO3uV2mQw6vhgS0dlq/TyKzu+AoOtSEwZx8u+Ozc4&#10;sbFmI3af2oOj3x7HtTe3cO31TW6tQFnqVPade6n/RX7q555ewYXXt3Du0TkcPrYZu8pnYHWigWdb&#10;NpUxdr9J74ZQWXYSzVfoe6DKNAClwTrMiIhCSnwGolJK4JW9nc/Sp1LszR7mwr9cIPhUUUq+Sz7q&#10;zV7q9DpmRh1i7EcxdftpLD9+DruuXMCJH67g+ht2nr61Hwe3Lcb+ZbnYnTcWa2K84dD1wVKvr2HX&#10;kJhO2eninKlA5d0d+v58ogH5pa+J8cEx53T8cGYX/v3bPVAZSCGkCwQCwceDyofSeXZp6Xw+6bej&#10;woXJqIExKBxDpmwWmantoEdOPcZM24PMmZMQGaGBvpNE9MgYMwoXBMDhVBFdCRJx5xlQFj5MPVub&#10;ROCQobDn+Umi+bvEbAUSeRkUl2dCk3BO4jDdK7rHp/daNiayDpZKtc/UNa/nXaI2F7JZ25daeVl0&#10;Z/woKda71hEwBI5kD9hZuyTB+T3rcIe+T9tFHuXjRkux1dZHojeVnp/oiWVqXuf03u7PhfWyaBdv&#10;dtcY9J76fuwo1o/Gt2O4Qm1ir45sX55V/3b1AAZrE4n51L+OsgDMmecP/wAD981X23feiUkLk9WC&#10;EWlr0Fsc42/xVWYNvGYdwvkb37JzKgnojbzCR2ZmCi/lrNqnrUACut22EP/67T6L0zWEN+6ZLl9v&#10;JMjC6Qnu3zuPfXvWweksQk5OKsLCAuHj6w1PH0/4aX15UooQ1AV/F/w5Ltv/qCQ72d14eI6B1d+E&#10;CRPisWDBdKxd68DJY3vw0xuqpkZCubJ/Cz9zgUAg6Cq0KqATF59dxZFbxxCfFAsNG7ioXUzeh97I&#10;LjQ6doNQNhEvXi/Gk2dCRBd0DiSm06SMn34twd17haipzUNxSSKiogN4efdmr/RPd7BNbSN4prrO&#10;Tyr9zgZlFn8jomLDkZI5EbOXzMaSqhJUfVOFvQ37uL0ClX0nMf2im6f6+SeXJHFd5XhuD5Rtrnib&#10;n759BAe2LMGWWYmoChstlWjX9mU35G43+92Icl6WXfEx74dKQ2+UWYdjQUQo0uIzEJy8GPopazE0&#10;txpfFhzHV/lHm7LLhWAuEHy+kKjeWxbVv8yswf+l16B3Vi385tQjwnYE6euOYUnNGey7fgOv/s1u&#10;nH+/g+c3D+JO/VqccBRg+5RgVAYOg51nXvfl5cxJPCYRWe1c0+0gMZ2XeP8aFayf9s9KwuWdZfiJ&#10;jUephCU9jPhTPIgQCASCTofOr49/vILExFguWKjdt7QF8kPXR6ZgABsDi1LubadHzmFoZ2xGxtRx&#10;CAzU8Gcoav3bHijDODLKhMJCfzgcbsKrPQC2RSap3LmK6MrLrJOAS5na7/UeZ3BBOgD2OQaprHnQ&#10;UElMdheYeXwWmzKiAwZzP3USdm0knL/PU53+R2IyZYBP1cAZN5pnx6uuh96TcE9iduIYKaudliXU&#10;YreGvE7KvucTAhSPcvf1yUK4M2YE7NN0XCTnfeIeZ2Fz2XfeB64xlDb7D5F82Ze8I+ucxwuEvdDI&#10;y903tcE1Hr1nMR1JHuy3NsNWHoiSEn9Ex5j4vqG2z7wPk9EH2rGZ6Mv22d7CauwtaKLtyGn1OHTu&#10;FjunSkLxy+e3kJuT2u7zKmW3zpqZgzev7vA4auftzx0S1LmozsVGKm39Cq9e3MKFcwdx4MBm2JYt&#10;RFpqEgICzLw/FP908pcWorrgY6A8m6WkJ9rXyL+c9j29Qct9zMnPf8eONTh1ch/ufX+W7bM0CYQm&#10;e1OW+eOmfVptfxcIBALB58s7BXTuz/ziGtbuWwuL1cgvImoXmfdBQiaVcj90pACvfylRFUMFgg+B&#10;hPQ3bN960liES1dmYes3GcjJjUZIKHkr6dgNC5VS/3x8lVwFdW9vT56pbg0wIXJsOCakJiJrWiYK&#10;bfOwcvsK7D61FyfvNeDU/TM48/AcF9GbfdWv8koS9NnZx+rHeRPseD/XeFXyNmffP35xL3Y58rEm&#10;2cpuwgdy4ZyyzVvcmHcjlAzzKobiY15MWeYxCYhJLoRn+lqMyt6Bfvn1+KLgBL6ikuziwYJA0OVp&#10;4aOeXoN+7L3P7EOItp3A3C0XsfvM9/jhRSN++/UBXj+6iJd3juFu/WocWjQJG8cbUOE/rKmcuU3T&#10;hwvqIkOdvNL7o9Tra17tZHOyP05WzcWLe6chlYKUZverDWwFAoFA0AH4ufUFjh3dxe5FDOy+X/vW&#10;/UmbMGlhNmngPX4e9/cWIlvboAl6JKIHz1mBrOxQ+PuTQKTSv+1Eq28W0Z1Of56tTOKrbSl7P37M&#10;22KwgcHGIM6kMbCVvEPAJbjoLf2fhHPKIm8qR064XNOl2OwzgrLByX98nhE2EoJb82ZXUNZTaoV9&#10;ulbyCyeP79aEbC6cyz7qs/Q8U/2963DHdZ35Gp7BzeO6i9R8MsBAlJPonebNy7K3WBe9Uhy57LuT&#10;yr7zOC4xCC52U9b5SO6JzpdxFeCb2iXFo9/PkeuHspChUjzXfuBCPOubQNambD9pOWcA7GzZSZMt&#10;0BukjEq1/eWdsOPa5G/B8NTVwqahFXpk12BQ7kFsP3KNi2k0Vv3p9R3MmZ3PRTjVfm0FEtxJeCcB&#10;vjuNeZvF9Ne8/PWTR1dw+/Zp1NZsRUnxHExMHoegYH+YLOw6pZfKaBOKqK7WlwJBa/Dnrk37kTfX&#10;PGjfCgyyYnziWCwonI5tW1fi+rVjeHD/An75ibLMyWaMJnY/E2K5QCAQdBPeKaAT559e5hmuMxZO&#10;45mxxg4KkFTKPTUtHLe/ncfLb6uJoALBh/L0eRFevlmMZy+L8ePjhTh3fiaczhRMTg1nA20zF9I/&#10;Vb/0d8FnQhq0vBKEn583fzWwwR6VrQ9gNxARMWFIyUzG1HkFsK+zY0v9VlRfrEXdtUO8DPzZHy/w&#10;EvDX3kil4C89J3H9SlMpeMo0v8BouHMM9QfX4Ju5E1AZRl54/eHQ9IaTBB3Xm/xuQrmxPyr1vbHC&#10;0BsV5sFYGuCFWWHBSB+XheDUcgzL3oUBOdXolX+IZ5lTefZeIsNcIOjW9CRBnbLTp1Tj64wa9M87&#10;iJEz6hG55AQWbbuC6kv38EPjQzx/9h3+eHMHr24cwKX187C3YCzWxWmx3DoEyxT/dJq01M3FdId+&#10;AGy+vXhm+upILxwuzcKjq3X41y/0AIMesD1THeAKBAKBoH1QudE//viRl3KnMqVq9yRtwuQHk78/&#10;Rk6uYmPkI+zaKMbGbYHuIXrnHkbYnHKkpgVyr+kPFdENDK1eh/BIE+bMkTLRbWWBsE/TStdZVyGX&#10;/jaz626alyS6qgm4BIm4JBIvs0rCOQnxlFGtiNdKPAX6TBZ0KePcNt8kxSGRWBGa1VDWQ+LzDB2c&#10;saOkjHMuQLuth0RjEtRJOKdy8K4+6iSGq8VvDVqGvdpms20jsV7ZBnexnmeQD+Ql5O1z2fqov1z7&#10;TBbByZvcGcfarhaHtoMqAChe50rWuVq/UGzWHzzrnCYrKMsrsZT3bB3O6BF8vUobaPJEXr6VC0Md&#10;3afMRm/4xE9HX3bfKyqqqdMzpwZ9s2qxtvYyO5+SgM7Oqb8/gMO2iJdkV+vX1uACenYqXjy7yeJ0&#10;z0mjUh9Shu8L/krl7H/66Ts8fHARNfs3s2vVPOTmpiJuXDQX1UlQ9/T24D7q1H86IagLXKCJQ7RP&#10;+Ol8ud8+7Su0zwQFW7kPf3b2ZCxj+9Te3etx9/uzeMPu03//9Qd5P6R9UPiYCwQCQXflvQI6QWJb&#10;9aVajE2I7nApd7pYkYheujSJC+gkdKoJoAJBZ6B4pT97Wcz3twc/LuQl3pcuS+ITOQICzWzA5McG&#10;1p1TIu/vwL28kOSpzpA91v2DLIgdH4PUrEmYVzoXzo1lWLd/Pb45tA37zx1A/fUjOM+O7UuvbuDE&#10;5QM4sGkxNmSEcrGGSrRzb/NuKNxImeZ9sErfA8stw1AUakF2TCLGJc2GMWMteuXV83LswsdcIBC8&#10;D6ncu+Sd/nVms4e698xDmFjWAPuBa6i78h1u3/8BP//8CP9uPI+79VU4WT4Nu3JjsDLcg5czp0xs&#10;u7Z7npMVnAapvDtl6lcGDkf1vIm4c3QzfntNmTk/MURGukAgEHwoVIb04f1LmDAh7sNEdKMvjKFx&#10;GJq5TXgltwMS0XvmHkHMnBJMTDbCYNRwEVy1j9sBlewODDZixix/lJX5wznRQ/IGd73W0j3gZC9J&#10;vHUVghWahHN/2GbpeZY6zwRXE7QJ9lk5icyhw7j/OPfzprjEu4RzQl4PZZBTCXYunNM63MdBinDO&#10;/k/Z2+QtzsvB83WobMO7oGXYem0LTFL/WORJAe7CuYHdL9I2h7PtyvHl2eAttknuJyqb7kh18YF/&#10;S4CXtoc81Zv6prU2U38ssbL1tZJ1TpAQ7z9YyoSn6gFym2jSxNy5/ggKodLtHXvuQdYMhuBIDM3Y&#10;il4i+7xVeuXUoGdGDZbvv8jOpS4Cur39Ajr5LScljsXjH0mMb1Q9X3cnpFLvUlZ/C/58jCePruLo&#10;4Z3YsK4MRUWzkZU1GXFxkTCxfvTw8uBCKc9SN2igF2Xfuw30rJSOI/rtPbzGwIvtB2aLAWPHRiA3&#10;Lx1LSuZi/VonjhzawfchxZO/5T72BH/+KbLMBQKBoLvTJgGduPr6JlZsW8EvRB0t5U6l4PwDTag5&#10;mMezhNWET4GgsyExnSZsvHhTzMu83/m+ENW1eXCWT8Tk1Ag2sDbAx4+8lD59z/T3YpKE9SZxXa/h&#10;XlG8FLyPVAo+MMQf0QkxSEpPRnHRVGwtycGaJCMcfr3g0PTtZgKNq5d5X1Qa+qDMOgILw4OROC4X&#10;gZOWwSfrG/TJP4wv8o/xDHPhYy4QCDqK4qFOJR6/yKzG/6RXo1dmLfRzDyN5eQOW7LuC+is/4PGr&#10;Z/jPT7fReGUfbu2vxJHFGdg0Xocydr6ysXM1908n73TDAP7wVf381nWh7V7m0xPl7By+K28sruxe&#10;jl9f34ZUUu+pKKcnEAgEHwCVJj1cvx0Wi5FP0lW952gDJqMfdNGZvFqT8ENvOySiD2D9FTtzIeLj&#10;SUTvnCxKLqKHmjA924SKqOGSz7lybdUP5NnWyxTh1VW8JUGY/MkpE3yqVsp+poxztRLq9J4L5yx2&#10;yFA40r25IM0zoeXM7lbh6yHRN4D7ojtIOH/Xemgd7G/KTLcXaGErpext1k5FyG4r8vbZii1wZHiz&#10;dg9DeWvrJJGatckxyZP7mbfwh1faz9rhyPaVy76zOK79rMShtocNgyPPj7VbXs69XQR5qbP/2ecZ&#10;eKY7H/O5x1ME/cjhsE/XSbHk35DE80WL/BEZbWLHsvp+8V7IlsGshdf4QvQqoIoS6vutQOK/Uw9g&#10;1lbyRiYhThLQ7baF7RbQSeyNiQnj2dai2tLbKF7T+JOEdepr8qCmstov8erFbdy4dowLo998sxKl&#10;S+YhKzMFERHBMBi08PHz5hnq5G/NE1EoAYWdZymx5rN+FtiNaPHMk/2mVIZd8iz3ha/Wh08AtFqN&#10;iI+LRE72ZCwvX4zdu9fjMNsnrl89ip/fKJXMCNp3njTtU+I+UiAQCATutFlAP/fkIs48PI/s6ZnQ&#10;sAtSRwcWVEI7MSkEV6/NwYvXopS74K9H8Ut/8Xoxbt6ehyPHCuAsm4jUtAgEBpnYIEzy7SckQV19&#10;X/7c0JsN0LJt0bMbhDCdJ7I0QzDPuzfPbHRo+rz9kKDLQqJ5f+5nXsFey9lny/zHYHZUNBKS5sIv&#10;bRVGZ21Hj4Kj+GfBcXwti+ZqN8gCgUDwoZCH+pdZNVxM/0faAQzNOwjTwiOYuOIMltfcwslvH+PV&#10;q+/x/G4DHp7djUvrCrEnJxyrwqgc6EDYtX0k7/RuWDWEhHQqde/Q98O2KWG4vKMMPz8j30l6kPYM&#10;f/75WHXwKxAIBILW+fM/j/HvPx5jyeK5fBJuxwUFEt508B5fiN75lIUuxtNtpWduHQbk1yGyYCFi&#10;YgwwdDCBwR0duxe0Wg0oCBiDCronousp3QOaB3FxXMn8lsTbAFkQ9ucl33kZcsV7XE0Ups/Ya3mw&#10;LJwvbIdwLmdfU+l1yUtdFs7dvcIV8ZkyzmNH8jbbqOw5tdtd+H8flO1NbaOJAXl+kuBN2yAL82+t&#10;k7LFWR/w8vCKWM7jMHj7WZyZrP1xI6VlqP1vxWGfWQfDOclLmljABXg5jlrbSqy8L6UsdrYsxWgt&#10;XpGFLdM8gcBu90cp++3GJXyAeM6OX8o+10VMwICc/WIiTBv4/00+gGlbWgroTkdRhwT0sWPDhYDe&#10;Tv78j+KjTqIoTawlL/UHaHxyDXdun8LlS4dwYP8m2JYtwPRpmUhMjEVQiD/MViO/1pGYTuK6IrJL&#10;Arsirqv/VoKPB/9NjFp+PNCEhybPe/Y3WVySLQX9djQ5YlJKAubMysOaVXYcO7ob168fw93vz+DZ&#10;0+tsP6DjkSqW0SQLSTBX238EAoFAIFCjzQI6cen5Vext2IfwqBB+wVK7wL0PEid9/DSYNy8ejxup&#10;xLYo5S74e6DMdCrv/uqnxXjC9sUfHizAuQszUVk5CTm50YiKCYDF38j3V8pQp4Hz5zho1pFwzrCy&#10;G+BxFh/MMo+EzTQYy00D+YOTFjf2XRjuZ27ojRXGviizDkdxoB/yxiYibmIxPDM2Y2DOfvTJk7zM&#10;hWguEAj+DihD/evsGvwzoxr/l16N3lk1GFxQB+3CY8hdewnrDn+LK9/fwcMHN9H43Rnc3mPH0UUT&#10;sTXZjKpgdm736yUJyt3MO51npPv2Yn8PxPoEPc5tKMZrNm6VHqC9wH9EJoFAIBC0Cypl2vj0OpKT&#10;E+Cr8Va9x2gTsh/66MmV6C1KP7cLEtEHTa1HSM4ChIayvjR2vBqAKySi08SGTLMHnOyesIKq2QQO&#10;kYRhEmC5cB7IM7rt08h7fGTrpdqbxGX2GjpUKh9eZG4WgN2FYVdI6CXhm33XtsAIZ7KHlHH+zvUM&#10;BJVqJ0GfMr35OtotnDNIuG7yVmfbp3iruwrUhNIWKtee69e8TlmkVtZvLzRxf/em9qvFoftuavss&#10;EuDZcq31D/0G7JWyycuiR/BtlpZ3i0ftihzBt4HHc+kHyjxfyrYvMdHMn7+p7QdtwqSByWrBqMkr&#10;Ren2NvL/Jh/ATDkDnZ9L/3yF6urNvIS0ah+3ghDQOw9JPFW81CnjuBH/+v0+fv7pe7x8cRtPHl/F&#10;ubO12LxxOWxL5yM/fwqSUxIQMzYCoWGBsFiNXFinrGb6HemVRFwSdOnzz9US8lNBEcmp3LoyeYHK&#10;7hOUUU6l+AODrIiIDEHC+FhkZk7CgvnTUFG+GLUHtuDK5SN4/vwmXr28jV9+vos/+W9OIrmSXc5+&#10;ezGpWiAQCAQfQLsE9HOPL+LisytwrHfyLNaO+sdQVq/eoMeatWk8C1j4oQv+bmgffCb7pTe+LOLv&#10;L12ejS1bMzB/wThMnBTGBm1mLqZ7y+XeP3UxnWecm40IMmuRZPbCPPMInmVAojmJ5y1uwrsoip/5&#10;Sn1P7me+INSC1LhUjE0phmf2jrf8zIVoLhAIPiUoO53KvX9F/uncQ70WgwrqEbHkFOZsuYRdZ27h&#10;2t17eHjnEu4f34wLK2ZiX14UVoSM5CXOlzIcuv7Sw1eVc2RXg4R0u6YvL3G/fpwOF7Ysxcv79BCT&#10;sg3Ew0eBQCBoK7w0Ljtvnj65H/6BZi4SqN1vtAXunxwSi6GZ24WI3k565dahf8EhmNKLERSo6zQR&#10;Xc8gb/WJFi8sNQ5GlYVdP6drsawimHttN2Wct+Y9TvAy5wPhjBwhZZwvMjcL2orA3BqK8DzfyH3X&#10;ywOGSOtxF84J/QCp3DytJ8sXtiWUad1SMG4zynrnGriHe3mT4O22XhLAafsom561z1aslGuX1ymL&#10;/zRZwJHhg7Kgoez7Ku2nDHqKQ+XsWdupb1vtH4pNMcmDnSYTNPW9SzylXTzr3JOXnefb5BKPMs8d&#10;jJRJ7LjVkzilvg+0BbPJD97jZqNPXh1654n75Lbw/6UeQPa6BvzxLyoFTULea9TXbxcC+ieEdH2T&#10;POqlybYkrkt+1yS0KmXhf7h7Dg3sGrh751qsWWXDkiVzMWdOPjIyUnjmemRkCPz9TTy5bIznaI6X&#10;jycXgHmJeLk8PJUZV/uNuwtSmXWpxLqfzhc+Gm94+XrCw9sDoz1G8Uo3ZrMBYWFBiI+PQmpqEqZP&#10;z8aiolmorCjBti1VOHRwG65cOoyf3txhvw39RvT7uXrit/wN1X53gUAgEAg6SrsEdIIE9NP3zyB3&#10;Zhb8ND6qF8i2QOWxw8KtOHpsqvBDF3xSUGb6k2dSdQTaN1/9VILbd+ajuiYPK1ZNwtRpYxEzNojb&#10;EZCgrninfwplnehBCD0QoazzIIsWqWZPLDQPQ6VJyjbnZfq6NIqneT9UGXqj3DIMRWEBmBSXjuCU&#10;pfDM2o4veVn2w02COWV8qt38CgQCwaeE4p/eM7sWX2XV4B9TqvFVRg28Zx7GeGcDivddw8ErD3Dl&#10;2hU8PLMDt/c4UD9/ItZGe8Kh6Q07lXnvJr7pVMrerusHm29PbEwy4eyGYrz68RwkIV14pAsEAkFb&#10;wJ9P8O9/P0ZV5ZIPsnAjSETXRqejf84B9Mqjcu7q1zrB25CI3i//EHQpCxHgz/rT1Dnl3Om+ke4Z&#10;xxp9sCBiDMrn6uGY4SKcc4Hc7RpL7xWhmzy3s31hW+wmLr8LLhIHcLHdkaqUJqd4bush2Dok4Xw4&#10;9xSX1tNcorxdkGjtYOslwX6SV3OJeLXto/ZYBsOZOAa2eUZpnYpYT+umDPGlVjhy5LLv7/I59x8M&#10;R4on7LxcO8VxaZOCErPUn28nie2SqO8Sj6B16AbCGTNCymKnNintkiHxnEhLt7Df2PBBzyZMBm8Y&#10;whMwIHuvOGbbwf+mVyPecRKvXj5gY04SYl+jrm6bENA/AxT/a0lEV8RZEmYpi5my1+k+4gVePr+N&#10;7+804OK5g9xnfd/eDdiypQqVlaUoLJyOvLx0pExMQFxsJIJD/OEfYOLCupevFxfXeRlydk0lMZkg&#10;oV3x8CahmSpfcoxUOr4ldB1+H7T/0Pm9Nfj/VZZzhZLl3Nfd1C4OtVdB8h7n20MZ5BpvWST34ttt&#10;thh4P9D+nDwhHrnZqZg/bxpstoXYuHE5du1ci7rab3C2oRo3rx/H08dX5f6nEvxKFvkzBv0WkkD+&#10;55/Cr1wgEAgEfx3tFtCJy8+voeZiLWLioz5IRPfTapA+JQK378zjmb9qYqZA8ClAYvrrX0q4d/q9&#10;H6jU+yzU1uXCZk9m+3AUGxCa2UBTqq7wd/in00CYMs5JPA+xaJFlHoNi81CeaU7ieYub7y7HQC6Y&#10;VxrJ03wAnJZhWBjmj5TxU6FPrYRn1jae7UJ+5j3y6lVvdAUCgeBzRCn5TmL6/6QdwKCcWhgXHMek&#10;9ZdRVf8tjp6+iDsXD+F27RrUL5iETXG+qLTQA+l+TYJ6VxfTbX69eWn7TRMsOLN2IX56ell+APNM&#10;lHYXCASC90Dny1cvbiM3Nw2ePp6q9yFtQwezSQPvhLlyNqvwUm4PNOm3f/4h+E5YAItZC6OpczIa&#10;6R5SazIgMNiI/BgfnpFd8S7hnF5JOM/xk7OyXcTld6EI2JSxne4NZ9g7/Mbpc4Kytkk4b8963OEi&#10;sz/P1HaSYB8si9MU33297HM+2ZzKrM+ksuhsebmcOhf+KdOb/c3L2rPv8GWor9zjyLGpNLyNyuLb&#10;WQx52Rbw+OxzFtsxncWMkWO694nST4FD4Mzwga3EIvWHWzzF83zipA8Xz6nSgSkgAKNSV4qqEe2E&#10;BPQE50m8ftUsoIsM9K4DF9h55joJukpJeBJ6yV/7OX79+R6eN97Aw/sX8N23p3H96lFcuXwYDacP&#10;4NixPdi4vhwrqpZiyeK5mDEtCzNnZGPypPFISIhBYuJYhIQGcF9vi7+Je3vTvkCCtlE+niUhm0R2&#10;dRQx+300i/XqGKgsPa2TwdfP1k32lkq7wsICMZ61mdqdkjIO06dm8u0pWjgDq1fZsGqljW3vbpxp&#10;qMali/W8H8iD/v6989yT/Nef78oiOfXbG4Y0OUHq16fsf+IeTSAQCASfDh0S0InLL66jcmslv7jr&#10;9B2bBU2DehIaFy0aD/JDb3whSrkLPn2UzPTXP5fg8dMifHevEDdvz8G+/TlYXJKE1LRwREZZYWUD&#10;TI1WCy8f8vKhgWjnC+r8oQfdILNXEs4zLB5YYhqC5exmm4TzrpxxTp7mVfreqDL2g906GvND/ZGe&#10;kA1D+ioMzt6Dvnl1+Cr/GM82F6XZBQJBd4DKvX+RUY3/TTuAXlm1GDnrKKxLG5C79gLWHziHc+fP&#10;4MK+9aiZn4pdyUasCxsOp7YXbL694KAMKpVzbVeAMtLJI92h74f14/Q4v3kJfnl5W35I81x1gCwQ&#10;CAQCCXqoffniYXZ/E8ruaTo+eZ4yp81WEzxS7OgjMlrbTa/cevTLOwjfhDkwcxG9czLRCfJFN7J7&#10;1UkmTyxl95JN95GKoEuT7SIoE9wPtsVy2XA1UdgdWThfVmLlHuJlYcOaBWGK7Xq9ps9k4dyZ5tVc&#10;Er4t63HHVbDP9GEx2XppG9zFaWW97NUZzrYvj21fk8+5vF7Fk5zKvieMbvaDb639LI69wMWjXS1j&#10;Xo5PGfFUSl6K6TZxQel7M2tb/GgpG56WU5lIQJ7nJJ4nJZlAnucf9MyBjlP26pm0iIvn4j66fbwt&#10;oL9CTfUWIaB3A5rFdWmibnPmOonsJBCz1z8f4z9/PMTvv/6An958h58ZL57fwrPG61x4f/zoCn58&#10;eAmPHl/BnW8bcKhuO6r3b0LNgS2oq9mKLZsqUOYoQrnzbSrKS7CgcBry89MxdWpG6xRMwaIF01Vj&#10;EBR/29aVqGX7La23ev9mniF+/4cLePToMm8f+cZTm4kXz2/ip9d3+Pb89ss97kFO/dFiu3k/vJ1J&#10;7t6HAoFAIBB8inRYQD/35CLON17C1Hn50Gh9VQd9bYHKX5MIv2nzFO6HTuWz1URLgeBTRPJOL2L7&#10;bjH3UKfS7/TZ1etzsPWbTCxekoicvEiMSwiG1d/ES767Cupqx0RbIeGcZpdHmv0wxeyBUvOQJn/z&#10;riucD5Q8zQ09sdw6HIUhFkyOS0NgWiX659agV16d7Gd+CL3Ezb5AIOjGkH/611k1+DKzmnun98qr&#10;x8hZxxBvO42ibRex58hp7FtVjn1z07E3zR/rQobA7vMV9xDvqlnpVL7eRpn3un7YMikQN6pX4ZcX&#10;NyFljjxVHSgLBAKBQBLRqUwtZaWRsKN2b9IWTCZfmAKCMSp1FXrnH1G9fglapze7lvfPOwgfEtEp&#10;C70TRXSlolmERYOZ5pH8ullpHghn1AgpE5wynxUBV00UdoX+T1nSS6xw5GtYDDnjnHAXnukzyuQm&#10;v/FUWTjnmeNtWI87tAxbL2Wc2/M0KAuXBXu19ZI4TYQO4z7my2j7lPVSLNpWhn2eEc4UT6nsuxLL&#10;NY5hEMrJ/zyItZ+84Itk4V+J44qcdU7to++Wteb9Tu9Z20jUtxdomtuj0h9Opz+KivwRn2Bix+cH&#10;iudmHUxGH/iNzUE/bnUmKkW0l5YC+hN+/qyqLOXlrNX7XB0hoHdNeNY1z7wmoV3x71ZKxSuQyKwI&#10;zfQ/+q4CLU9l5tV43OaS5lzsV40h02KdBLVDaZfSNleU7WDflbdRbb0CgUAgEHyOdFhAJ8gPvebS&#10;QcQljv0gEZ3ExMgof5w4OQ2vfhJ+6ILPE8U7nQR0qqZAojqVfH/2shjnL8zCrt3ZWLFyEubOG4eJ&#10;KWEICrHA21cDHz8qsyR5CUk+6u/OVCevOnq4EW3xRZ55NJaZXbIEuiDlNCnA2B+V+l5sOwegOMyK&#10;lLgpCE0pxZjsnfiCl2Y/xMVzMUNeIBAI3oZKvZOg3jO7Bl9l1eKfmbX4MrMOlkWnkbvxMpauPYBV&#10;pXbsLczG7hQjKg194NT2Rpmha5Z45x7pmj6waXpjV24Mvj2yCX/8dg+UISG89AQCgeBt6KE9nR8X&#10;F8/hHq5KSdeOQH7o+tA4DMrcgV5CRG83VP6ei+jjKBOdyux2nohO0CRtM7sXnWj2woIJvnCWWmAv&#10;C2y7mC0LvfZpWjjjR0nXXhKq3QVsek/COZUmn+jJs7G56K5kfrcHLkwHwraEtZW8yaNHSOMXd2Ha&#10;bb3kh25bqAjeLrHIp32hCU4SuYOGSN9Xaz9ljVvYuCLZA3Zq/zuFc9a+UitvX1kkax8XzlVi0rr8&#10;Wdsmu2Thq/S9jX3mdPhj3jx/RI81QatX/z3bAx2bhrBxGJK1k0+8VNv/BO/GXUD/4/cHsNsWwtuv&#10;/QJ6dHQYHty/wOIIAb27Qtfd9tAk0LcBteXfhVr7BAKBQCDoDnyQgH7u8UVcfnEN6/evh3+gmXul&#10;qA3+2oKvRoOUSWG4cXsuXgoRXdCFIGGdPP7JQ/2nX5fwsu+UoX785FTsPZANuyMZWVlRGDs2kFdj&#10;0Bt0PDtdK3upU5UGnVHX5HFOWQEF5lFYah6CKtMAXq69xY13F6DcyLbL2A8Vxv5cPC8N8kNe7ESE&#10;TiyFV+ZW/rCNPM17iht7gUAg6BAkqn+VVYP/Sa/G19mH4LPgDKIcJ5G26Bs4F9rxzdSJWBPhwc/D&#10;lex8TL7pXU1M56XdfXqi3DIYe2eMx4ML+6XMCTzHn3+KzAmBQCBwhbLMnjy6itTJifDReKve07cN&#10;Hc9E10VNxoDsfeglyrm3myYRPWEuTFxE7xxPdAXFJiwowoy0DCuKiyWPbcJdyOWQwCtnb9tnG+Ac&#10;Pxpl1sGtCM+ysM2uvSQ8N5UmV/zG2wOtk5Zlf1PZdGc0+Yiz2LRe13USclY3ZZKTYE8l2ZU281iy&#10;z7mNys1n+/Jy8+X0fXcRngvn7DP2ShME7LP0suiu0n4unLO4LLZ9huydTjHc20cx5fU4x49hfUje&#10;6VJ73orJsLO4VLZ96jQrgkNM0BnUf8d2YfKDKSgMw9PXsWNS+J53FDUB3elY1G4BXaPzQ3raBO4X&#10;TedetXOyQCAQCAQCgeDj80ECOnH+6SVcen4NReWL4Kfx+aDZ6CSiU3bugx8XCj90QZeFMtQpO/31&#10;z4t5hvrjxiJ8d3c+nzxy/uJMbNo0BYsWJSIjMwpj4wMRFh2AoFAzQi0aZJjHoFT2paNy7S1uvLsA&#10;yw39UGXow7dtqb8HZkTFID55ITwyt2BAbg165B8VnuYCgUDQyShi+j8yatk59ghGzT0Bv1k1iJu9&#10;HcUzF8GREILlQaOxyjIAlQY5M13lHP65QiXdySO9KngU6kuy8PzuSSk7Ay/xH5FxIRAIBDJU1vUF&#10;Ll08hNCwgA/zQzfrYDb6wS+ugPt6U2lyteuToHUoQ1gR0aVMdD+Vfv4wSJglT+2wcBOycyxYvFgS&#10;bgmbIujKQq+t0CSXOh8ilTR/S3hm70l4JuE8YTRsrsIzvboIxO9FWSdldM/QoSx2lOQjribYK8K5&#10;VV4vCeeyWM7XS387GSwWeaA7I4a3EMmb2698xogcDvtUneRzrtZ+ei8L57xfEsdIEwpa8zmnNkaO&#10;kLzTl9Ky6n1CWecOuz+Wsu9kZFpg8Td2inhuYsei2d+KkZOW84nq4l6745CAPs5xEq9eflgGup/W&#10;F/l56Xj1/DaLI2yGBAKBQCAQCP4uPlhAJy40XsGJ708hNXsS/Pw6PhudyldT5u2KFZPx8o3wQxd0&#10;DyQf9WI8f12MF68XN00eefqqBA+eLMKutSmwp5pgsw5FObthJ4/zppvuLoHka75C3wtl1tGYFR6K&#10;5PH5MGSsRx/5gRqVaO/JS7Sr36gKBAKBoHOg82yP7Fp8lVOHXvmH0a+gHv3yajFu+lrMSs1Ccbg/&#10;VgYOx0pDTyw39OXncPVz++eHXduXe6SvDBuDUyvn49WPl7lYJB5cCgQCgcSf/6HJRS9QvX8TjCYd&#10;NPoPEG1NGp497ZVUxK4zwoqpIzR5oo8jEZ085ju3nDtB1mIkohPhESbk5FqwcCGJ6AFwlgXAXmyG&#10;Y4oP9wBvEoNdr68kEpOgbh6MstiRcEzTSoKwLDC7i8TvhETlMrkUOgnncaNQbmbxW13vAElYHzcK&#10;9pkk2LP1kfhOcQgSv5eyWNN0cLK2NWXHu4rcBPuMstGdYcPgyCI/eKvUfiV73RX6jGFbYOJl2Mv9&#10;3+FzTu0LGQpnmjdsi5Vy7SoxGVw8d/hjfqE/4saZm34Ttd+sXdBxaDHCI6mE3XvTRHXhe/4hkICe&#10;WH4Kv7x5yMePP72+gzmz8uCrad+EIxLQ83LT8PL5LTEOFQgEAoFAIPgb6RQBnaBS7rtP70F4dAi0&#10;uo77oVO56oBAEw7W5+HNr5Sdqy46CgRdkmcknC/Gi1+X4N7tmThSEYN1saPZzXV/7nHedXzOB/Iy&#10;7ZX63rw0cHGoGWlx6QiZbMeQ3AP4Iv8YL89ON/DiYZpAIBD8PXDvdHYO7sXOxV/nHsJXeUfgk7cH&#10;49JLkBObDFuIBitNffkkKDqnq5/vPzOMA5sy0jdNMOPavir8+/f7EP7oAoFAIEEVOv79x2MsW1oI&#10;X4039MaOlw8nwddsMWHMRDt6Cz/0DsHLubNXzwklMFkt3Mdara8/FEVIp4zn0HATJqdbMDdLj+XR&#10;I1CpG4Byd4GYoM9IeI4aAUee5p3Z1e+kSexWvNVHS/fFJJy7i91KVje7nlPJdEc+Wy/F4OK0HE8W&#10;qu0zdXCMHyMt11osEv+DhkgiN3mSt5YxL7fRVmKRJhSEvGtCARsz+buUsJdF97diypBwTq80eSEk&#10;TCrZTr+H2u/ULkxamNkxSFUM+uSLKm+dwX+nHkDu+jMAn2zUyAXw3JxULoir/gatQDYZixbOxC8/&#10;3xUCukAgEAgEAsHfSKcJ6MSVVzdQ9U0lTBZ2c2Xo+I00lXKPGRuIM+dn4pXwQxd0B0g4f1mMxteL&#10;ce/b2ThSNRYbkrxg8+0Lu7arlModyP3MK7i3eT84rCMwMzoekclF8Mzait4FR/Fl/lEu1KjdjAoE&#10;AoHg76cHO0f/M+8Y+ufVQ5O5AWOT52NOVDTKzENRYejLz+9dRUy3+fWGQ98Pe6cn4Iezu/gDTHoY&#10;ShmYaoNqgUAg6C7Q+fDF85s8Q5JE9A+xcSMR3RQQhGGTV6JXwTHVa4/g3ZCI3jv/MEZPtHMfa0lE&#10;7/hv8j50Rj00ej0C9X5IMHihwDwaS81DuA0XVUsjuKAeMhR2ytgufofw/C7o+7Lw7ZiugzNulJTJ&#10;rlaqXRHO2d8knNsLNFhWYmleL0EiNYtnn6PnXuMkYqvHYnEolnUwHJM8YZtnkNpBvNVG9hnFLWVt&#10;zPHjpdiViQMtYzKU9rHtsM3UNW+fe0wZxet8wQJ/jE80w2A2dErJdgktO/a08I2fwa3SaB9S27cE&#10;7eP/TT6AGVvPsnPkEz5mJA/ztNQk7mmu/juoQyXfy5zF+Pe/pFLwaudhgUAgEAgEAsHHp1MF9PNP&#10;LuHsj+cxfeE0aGiG5QfMivXx0yAtPQI3b8/FizdCRBd0XSjjnITzhw/m4/TWJKwf7wkHu5G3+fV7&#10;+2b+M4TKzpOoUmXsC6d5KBaGWjE5IQ+eU9ZjSM5+7mv+lZjxLhAIBJ8VlJn+Zf4Rdg4/gqE5e2FM&#10;X4ms+DSUBPpguWkwqgx9sNzIrmMq14XPCYe+P5Z590BV8AgcKs3Gq4fnADxnPFMdWAsEAkF3gUq5&#10;f3vrJOLi///s/ed7FFe2BnyfP+a5rvc5552xAQkhMjZJUufqqJyzhHKO5CRAIIICQoDBZCeMiSKI&#10;YGxjk5NzJCiR7BnP2Oh+9trVDQKXbYJCS1offiPsMQqt6qq96661Vsxztyd+mlURfz80BuMLdsoZ&#10;zFrXHfbXaC9FVfyT8rfBEpGivqa90NK9O5PNAoNA7ePDbQak2wMwx/Y6VtsnoC4nEA0rbKhvdKGW&#10;ZoxrBMR/qluwXLvA8miGeCOF3VoV3RRMU+gtZ5Mb1RbrFJxTsO35XOLPtUsUNGRMR2PweDU4f/pz&#10;eYJv+1g5L71OfG359+lzPf09usN4Cs7pazbEvYa11E5eK5Dv/v2VG2QLevl36XM//XmFujonGhqc&#10;WLnSiaISB0LD1VnnPdKynVDnBxmez5bhOc3T1zqm2PP7f3IOYuYuT4DegZs3LiAhIQpGy/O9F6cH&#10;TsPu9zajq6uTOyAxxhhjjPWjHg3QycXOqzh27TjSclKhf4mNNLWkohB90aJk/PjTEjkjWit8ZGyg&#10;aqXZ5z+vxI2bVTh/IAe7cvRoEJv2OoO//PjEpnsAogrEDWYfbLD6Y1WwDqVxqYjKXoMJJfvUueYV&#10;J9xt2rU3n4wxxrwf3bAfLs7lIyqOw6f8KKYUv4eUGYsxNzISDY7XsNHi656Vrn2tGChoPnqdYSS2&#10;pZhx+f21+PU+zaS8x9XojLEhi0IdCohOf7gXrmA79C8xxo3YrHpYIpIwrug9DtFfEF2TfcT1eFzx&#10;HujjSmGzmWBVXmJO/TOyCBSmmwUqoghxmZGabkflHAeWLnNi9WqXDIQJzfLWCo2lbmG1DM7T1eBc&#10;Btta+2MZVo9BQ9Qk92xy+6OwXH4++kjB+TKre077n8wj94TwFJwnvC7nq6vt5v8k5BbfYy21k59v&#10;RkPSZPVz0OekkLz756XPKcjZ6QWBWLNSfH/u7+kPn1Og14Zeo1WrXJgz14HYeOuj1vlar/sLcbdt&#10;l5Xn5VR5zuF5T6H7Gv+bdwhV79HDlmqA/sP3ZxEa6oTpOTt0UoB+/Pj74nPc1zz/MsYYY4yxvtHj&#10;AfrZ2xfkPPT3T+9BZEw4DIYX30ibFROMJiMa1mai4+4KtHVqB5GMDSgdy2TFObVsv3yiEO/PtMqn&#10;1QdHcE6zzf2x3uKLJts4VEWEIj21EubCLRhecRzDy9WAhavNGWNs8JE37suPYVj5CYwpP4KQnDrk&#10;J2RjTbBOBunUjaRRXCe0rx/er0Ghh9xotMpI7J2ZiJ/O7Qe15+RqdMbYUEXz0NHVhrd3bYDJYpC0&#10;9vXPRg17TTE5MgD2KW/RvNawv0ehqJ/Yc01NXw6bK1i8roHy9dV+3XsWhelm4g5+qXo6Nd2GklIb&#10;Fi50YtVqF9auVVuTPxGmu2ej180zoz59mhqcm9WA/A/XZE8wHU3BeZA7OKe/7w6m3UF87Qr3PPLw&#10;ierf0dpri39P7eYbYl9T276v/ovqcHf4XbdIrYpvpHby9Hmfrjinf6bZ6cHj1Rbwy6xPfn9P8QTn&#10;9P/Pmu1AcooNVne79h6Zde5BlecKt23vLSNKm+FXfBhbjlwSa0Oagd6JL774CEazQd7b1PydaKD/&#10;1iJ+T598TOvMe5rnXsYYY4wx1jd6PEAnMkS/ew3r314Pm10s/MWCUWth+CzoSU2HQ8Hb7xbh/i81&#10;aO3QCCQZGwg6qh/NOf/qYiUOLgvDhtCJqNWNGvDBOVWby/nmFj/UOydjVlwKXFlrMLXkfQyvPIVX&#10;y7lFO2OMDSXU4v2fFafkTFZjwZtISZuL6jA7mqyj5Zx0umbQQ1da1xRvR0H6mqAR2Bg+BR+unY2f&#10;Wy/Lm6RdPKOSMTYEUYD+73/fwKqahbKVu1l5vkrLJ1hNsCmBMMYVwV9cS7g69sXJueiVJ/B67maY&#10;o2bIWfOKQvdl+iZI96AQ3WA2yTA4JFRBfKIV2bl2zJrlxPLlarty2bJ8gRlrKZR2eVq1P3X9pVCa&#10;9swUdsuKc/3j2eri78sw2jOPnKrDS3Ro+Kt55O5/3xApPlcZfa5u89K7B9z0z57gvMqKhszpMhhX&#10;w/1un9PzeelrOcahIX2a2gK+e0V8NxSa089NDxJQq/aKCgeSkq2wOSwwmEw9G5wT8fu3io8cnvce&#10;CtBHFh/G5sMUoLdJRw+/IwN0izi3af5eNNB/HxUVgiuXj4vPcUfzvMsYY4wxxvpGrwTohOahU5C+&#10;YMU8GE2651owPk1vNCI0zI7mwxW4/8sKDtHZgNN2j4LzGvz43QIcb4rD5tjJqNOPQp2RAoSnNt4D&#10;CM23pTm3jdZxWBlikLPNdQVbMa70AF6p/BDDy1tkKzOtDSZjjLHBjx6eeqXipGzHO7n4PURlrcT8&#10;6Gg02CdhvbiG0INXAzVIp2r0NTofvJ0djC9bduDhb2o744c8q5IxNqTcEOe+dvzy87eoqChAoC5A&#10;ViFr7eufidUow1590ix30Mch+ouiazA9yOZfehABqVWwOp2wKjr5Gmu+9r2se5jucFkQFmFBcpKC&#10;kkQDlga/hjrzWDRYxoq95VisF2uDJmGdolaIy0r0yImoL9WpYTdVdHuCafpIQbVnHnn86+I6Lf57&#10;CuKfunbLgJvC+bAJsq167TJ323fyVMitht9O8d/YUJ8XiLWhE9S/rxXI07+jGeiJYp8/z/z473cL&#10;5D2BOX1cvdqJpUsdyMtzIDJakYUnRvHa9Gi7djf6ndvsVkxLW45R9GAFh+e9YnhxMyZWHsWhT67L&#10;8JzOjevWLhe/V/1z3Q+lcRipqXH49usz4vN0PnW+ZYwxxhhjfanXAnRyof0yPvr+E+SX5UCnp7Zh&#10;2gvEZ6EzGJCUFIqPP5mNuw+Wc4jOBoRHc85/WowzuzOwLT0Q9ebRsl37H55YH0Ao8KB2vA2OyZgX&#10;GY6EzKWYUvw+RorNuGe2udamkjHG2NBEN/HlGI+KFviVNSM4txHl8WlYExyIDTJI9xXXl6duSA8A&#10;1EGmVu+LRvs4HF1WgM7vPgbNq6QwSWvhzRhjgxUFPTdvXkRaWiKCXnLv/2hOc+JsDvx6gHwIQXgt&#10;bwsMMbkyrLUqQeK17ttq9O4oKKYg3SxYLdR5wIhwmwEz7IEotU/FItskrLBOwBr7BDREvYamSh3W&#10;rnGgfq0LdQ0uWcGthtTBqKVwer5ZhtcyxPYE7t2v2Z5K9BBqqx6ANdU2NXjXqA73BPIU1NcXBanB&#10;Of19+Xm7fU7iDukbYl6T4f2jv1+rfo8UmKst612oqXGhqsqB0lI7EpNscLjUFu3ydejpinM3qyUI&#10;VpcLUzLWwK+8RY7a0TpG2MsbVtyMqXNa8NGlL2WA/tt/fsTCBeXuAF3796MlIGg65s4txc/3v5Gf&#10;R+t8yxhjjDHG+kavBuiE5qE3XzyCuORY6AwvG6LrMSMjHFevL8TdBys0A0vGvIWcc95ZjSsnCrG7&#10;0ooGsbmWc8615rgNCGNk210KztcEB6EkLgOhufXwLz+CYRXHZWjObdoZY4z9FbpO+NDDVtShRLAW&#10;vInspBKsDDViozJywFakN5j9ZVv3bclmXDu4Cb/96ztw203G2FDS9ZC6cHTi4vljiI4Jl+3ctfb0&#10;z0yG6EZMS6vGSBoHJfYcWtcV9qzE9Vfs2UaJP0+bsRKW8CT5kIKi6LVf/z70aG66zSKZ3B9DbUYk&#10;hhiRmW5FaaUds+c6sHCREytWuFBX78JaCqcXmbEufQqa7GPRSAH503ttCrxNY9DoaatepTwOzrtV&#10;h0v0z2uD5Ux1agG/NnrSnwfn7kp0Cs5lVfxKB2ob1HCf5plTaL5mDQXmLsye7UBBoU2G5s5gRQ3M&#10;FVWPt2p/xKQ+JBEWh9dyNojf/Ul5DGgfG6wnvFLUDMOi4/jiu29l8P2fX39AdlYqDKbne49NmTYV&#10;jetqxOe4J86r2udbxhhjjDHWN3o9QJfz0O9cw87DuxAc5oTxORePTwvS61FZGYcvv16MznvLNYNL&#10;xvpT653l6HhQg2+uzsahFeHYEDoBtfpRaBiQFedj5HxzCs7JyjALMlMrYC54E34VLXil4gSH5owx&#10;xl4IXT9elVXpJ6Ev3IGU9HmoDrOprd0Fuv5oX5u8V61hJOqMI3FoQQbavjghwyTwbHTG2BDR9fC2&#10;OOd14Ejz23AF2587OPoDq0FtPZ2+HCPF3oP3HS/Pt+yoHKsyrngPAqmte0iEbPEtZ6T3Y0X60zyh&#10;uslqhsFCc6HNsDssCA1TEBtnRXK6FTnpFlSGTcd8yyQss4o9t23c49bvRBEcY9GYPk3OWKfW6bVr&#10;g9WPtU+pd6FutQMNFQY0xr2GdWaxDzaPRiPth8X1fd0j4nNahMiJWFsShHoK29eJzyn+fnW1E/MX&#10;OFFa6kBWtg1JKVaER1phdbdnN1l6Yba5FhqDIH6n5qgMTCh6S/6+tY4F1rP+UXAIjuUnce/ejzJA&#10;b719BVExYeJ3r9P+PWmgVu86fRB27WwSn+OB5nmWMcYYY4z1nV4P0MnZ1gu42HkFqzevhsViFBsH&#10;2pxpLxj/Di0og4L0YmOSiNb2ZRyiM69BwTlVnd+8WYWPdqZgS9JUOee83jjwAgBC883XK35otI3H&#10;kkgXkmYsxOSid+TNq1dpni3fwGKMMdYDfIVXafyHuLZMFdeZxIylWBQZKq4/47DeMhKNir/mdcpb&#10;1VM1um4EtsTrcWl3A3779XsZpFN1ptZinDHGBpOurlZxvmvH9m1rYRZ7f+NL7P2J1aqHza7I+c0y&#10;ROd27j3Cp7xFtvQeX/g2glIXQgkOlyG6lSrS+2lG+t+h8JmqtimMNphMMAk2xQSXzYQwmwFRNj1i&#10;bTqk2wKRYwtASXAAytJMmDPLgbmLXFha7cTKlU7U1KgfV616bM08C+qSpqBe7H3rTWNQr4xDvfWx&#10;WqKMxUrnBCxKDMSsIiuKSl3IynMgNdWGuHgFYREKgkMVd2DumffeR6G5m/p+MSEwcSbGlB6QM/C1&#10;fv+s5/1f/iFE130o1nzUjaMdH324F64Q+3Pd/6R27yEhDpw8/r74HNzJiDHGGGOsv/VJgE7Ot12S&#10;5lbPgcEQJDY+L/50M21CDEYjalal42brMnTcrdYMNBnrK1Rx3tpRjSvHC/FuiRkN7jnnA7Fd+7pH&#10;881fw+yYeMRmr8L4kn2y1e6wihMcnDPGGOsVVFlIc9J9K1owuvQAYrKWY0FkKNbZxmODxWdgVaSL&#10;6z/NRm+wjMahhTPQ8c1peSNUnWV54w8LcsYYG0zkue7hbaxrXA69kfb+LxfIWhWqRFcwLX0FRlZQ&#10;O3cO0XsCXXdlwFp+DOOL3kVQyjxYQiJhs1EFc5DXBundqZXqatt3oxv9s0VQaNa7S4HNZYHdaYFT&#10;fHSFCMEWhEcoiIm3IibWivgIMxKcBiSInznBqkOC/Ulxdj2CxWviJHYT7OLz2IIV+fk9ob7J7J5l&#10;3qtt2f+C1QSrJRDW4HBMnbFSvEeOyf271u+d9Tzf0sMYVtSMOVs+Fec/6sTRju1b18oCoOc5/9HY&#10;y5TUePzw7Wfyc2idXxljjDHGWN/pswCdXGi/jI+/P4PCinzoX3ImGgXweqMRdQ0ZuHNvBYforF+0&#10;3qlGx88r8c212Ti8KgJNrvFqcE5z0rRuqHsxqjjfaPZBrWs6SuPSEZrTIOebU5jB880ZY4z1Fbre&#10;0HVnWMVxjCk7hNiMZZgfJa6x9vHYIK5TAylIp9noFKRvT7bg+oE30CUW38BdzUU5Y4wNJhSi/+uX&#10;71FdPU+GQhQkae3rn5ls5949ROe9SU+RQTrt9ypaMKHoPQSkVMEckQI7zdG2BA6IIP1pFKxL1sc8&#10;c8c10f8v/nvPHPa/1O1zEq2v36eo6lwwRmViUsEO+VAEvz/6lk+pUNKMNe+ddwfod7Fo0Uzo9M93&#10;7gsImo7KykKgq1W4rXluZYwxxhhjfadPA3RyoeMKmi8eQUpm0kuH6FSJbncqeHNLHjrvL0f7HQ7R&#10;Wd+gavP2BzW41boUH+9Kw7a0ANTqRqHePLDatdNMt3WKv2yRuzpEj/ykQtjyN8ibUtROl0Nzxhhj&#10;/Ym6nvyj4kNMLNuPsKxVmBWXjLX2iWiSrd0HzjXXU41+dEUR7nxH1UmdfGOUMTbo0Tz0B/e+QnlZ&#10;PgJ1Ac8VJGmhFuM8E713+ZQfg0/FSYwr/gCTM9bAFJsLm9PxeE66DNO9Z1b6kCarzoNgdQUjIG0x&#10;/EsPiN8dt2zvDyNKmmXxwQcfXpMPD9298yUys1IRqA/Q/t1poAczDEY9atdUyXWi1jmVMcYYY4z1&#10;rT4P0D+7fQGX7lzFe6feQ1RcxEuH6EazUT6JLkP0e8vRxiE662Vt91ag7e5yXPu4FO/Pssk2rTTr&#10;fK2ifdPcG1Ho0GTxQ5Pij9XBgchKLcf0wl0YVXGM55szxhjzOlSR/krlhxhb1oyQnHosigrHOttY&#10;rFf8BsyMdHrIbk3QcOyaYcOXx7eDWnNSuKS1QGeMscFA7brRjls/XUJxUU6PhOiy2tZuUUN0GvvB&#10;7dx7BVWk+1SelCNVxudtQ0BqFZTQGLUtupVavNOsdJrtzGF6n6PgXLwPrOLPxtg8TBS/H3qghB5+&#10;0Ppdst43vKQZY2cexbkvvhbnvLv45PR+hIcHw2AW75Onf39/gmal2x0KDu7bIc+bWudUxhhjjDHW&#10;t/o+QBfO3r6Ay/euYdOeTXAE22A0PfuiUovBpIboO3YW4P4vK9DWySE663mt4riidu0/frcQJ99I&#10;wMbI11CrHyXnnWvdKPdGFJyvt/iiyToGy0ItyE0pxdSit+UNEqo45+CcMcaYNxsurlcjqLW7nJG+&#10;AgsjPDPSfQdERXqDezZ6k2siPt6wEL8++EreaO16eEtzoc4YYwPeQwrR7+CL6x8hNTUBAUHPXpH5&#10;Z3gmet+RQbrYJ/qJ19i/eC+mZK+HIb4E5rBYWB022KgyfYDMSx/4TLITgM1qgDk8AVMza+FfdkhW&#10;nXM3hv41rLgZ0+a1oPP+j+J89wC7djbBYNTheeafG0x6xMSE46cfqA18m/b5lDHGGGOM9al+CdDJ&#10;2dYLuHT3Guq21IrNlhlmy8ttuHRGAyKjHDh0qAx3H3CIznpW+/0V6Lhfg0vHCvBWngF1hlGoN40e&#10;QFXnY2S72w1WfywNtyM1fS6mlLyP4WKzPaK8BT5lfNOJMcbYwOArUEU6XcNG04z0zGWYFxkhrnHq&#10;Q2J0zdO+FnqPepM/anU+2FMWh1tXDgO4J7RqLtYZY2wwoJbEF88fQ3JyHHQGneae/rl4ZqKnrXBX&#10;onOA2JsezUl3G1OyH9My6xEYXwZzRCJsTjvslgDZUpwr03uBoodd0cESGoOAlAUYW/y+GpzzwyNe&#10;gQL0nMaP8dtvt/CfX3/CwoWVmBY4Tft3+ScMJh3KSnPx+283xPmSx/wwxhhjjHmDfgvQydnWizjf&#10;eglL6qrk05kW5eU2WTqDGqIfPFSGO/eXc4jOXpqsOv9lJb69PgdHa6PQ5Bovq84HSnBOM86pVft6&#10;ZRSqwx1ISp+PaSXv4dWKUzJ84CfVGWOMDWT0ANg/Kz7E+LIDSJ6xUFzrbLKte5O47tE1UOva6DWU&#10;MVgTNAKboqbjyt4mdMkqzQ5Zram1aGeMsYGMOm1QJfrZT5sRHhEMvdj/a+3pnwfN5LbKmegUovNM&#10;9L5DYfpRGeD6VJ7A+OI9eD2rEVOTF8EcnQVbcAhsiv7JuemydT+H6s/F3apdVvmHRmNaahXGF72L&#10;EZWnODj3Ir6lh/FKUTPWvH9BnuO+/uI0EhKiZEW55u9VA422MJr12PxGLbq6xLmSOxMxxhhjjHmF&#10;fg3Qyfn2Szjz46eYXTUTBsPztTjSIkP0aAcONlOITpXo2sEoY3+po1pWnbeKj+cO5mDbjADU6vzU&#10;qnOtm+BeRs44V0Zhnfi4PNwqQ4Upxe9heMVJDCs/rrnxY4wxxgYqtSL9JKYWv4uU9AVYGaJHk4Wu&#10;g6PEddG7g/Raw0g0WEbj2Ioi3LtxDrKlexdXHjHGBp+uh7fFOa4TRw+/g5AQR4+E6OpMdKpEp5no&#10;LbI6Wus6wXoPzd4eIa7BvpUnMbZkH8YX7MDrmQ0wJlbCEpEExeGQ87qtNqM6u9szP/1l5+EPRp75&#10;5gL9syUiEdPTqzG26F340si1Ct7LexsZoBc249jFz8X57QGOt7wnzm1BMD9HgRDdB7U5FHzx+Wnx&#10;OTo0z5+MMcYYY6zv9XuATi52XsXJLz9EflkudPpA+fSl1qLyWVGIHiVD9HJu586eW+ud5XLW+Xdf&#10;zMWh5aFoco5HHc06V7y/Jazaqt1PnXEeZkXajPl4ndq7lbfI4Jza3mpt+hgbiqhyo0dwtRNjXoGu&#10;cXSt8xECit5Gbkopal3TsUFcF9UgXeu66R3qTaOwRueDXdlO/PDpB6DZl0C75uKdMcYGMnpAiKo0&#10;mw/uQnCIXQZNWnv656HORLciMHUx/MW1gAJdresE632emem+FccxqqwZ/iV7MbbwbQRk1sGQNBPG&#10;iFSYg8NhdTphs5lgU4LUGeoyVB+qc9RN8ue3KoHiNRGvgSsUxphsTMuql6+fH41c4+Dca1H7dsuC&#10;47jZ/iMe/vdHVC+bi0BdgMbv+c8ZzHrkZKfi7h0K4Xn9xxhjjDHmLbwiQCcXO6/gyOVjyMhPl5Xo&#10;PROiO3GIQ3T2HNof1Mjq8/MHc7B9RgDqjP4DpuqcgvM3LL6oCTUhLX0uJpfseTTjnAM+NjgdkTdI&#10;VeqNJdUJ+FSe7OaU8OEjIypPw1f8uzFlhzC29MBLG1XRIj9n96+hoq/b7ftwV4088uh7p5u8/B5l&#10;rKfQNW84nRPEe8uavwml8TPQaJ+IDRYfcb303ofh6EE9qkbfGDEVl96pxcP//iRDpoe/3/jDAp4x&#10;xgYyNUTvRPOhXQgNdcJoppnZ2vv6Z2al6mYjdEmzMbqsWa4Nta4RrO+oD5vSzHTxu6D1rpxTfwRj&#10;S/Zias4GBKYsRFBsIYyRqbCGRsHmsMFOgbolAAqF6oO6Sl38XDSCwBIIm1UHW3Ao9FEz5GsysWCn&#10;fN3oNZOvH+8TvNr/FhxE2aZP8ftv7bh98zxi4yJgtDzfOY0C9zc31+O3/97iLkSMMcYYY17EawJ0&#10;cunuNRw4dwhxKbEwGIJ6JERX27mXu9u5c4jOtMlZ5w9q8N2X83BoRRjW2cehzuA/AGadj0Gj4o8N&#10;lpFYHaLHjORy6At34NWKkzzjnA0w6g01iW6uParw1gjH3QH5yIoWTCx+T9iN1/K34/XcjcIbmJzV&#10;gCnpKzBlxkpVahWmJM0T5kuThWmJc2CMLYApNvcl5SEwoUJ+Ts/nfyStGlMy3N+D+H4mZ62V35/6&#10;fW7CpKK35fc/vvh9tbLkiaDdE7bTz662I1Uddb8+3V6vR7ReV8aGLroGvireS6PE+yY4pw5zomOw&#10;3uovHzjz5iC9zuiHBmU0jq8qxS8dVwHcx0OehckYG2TgrkR/f/dm2b64p0J0m6BPnIUxpQc5RPc6&#10;6pqV1rOP1/cnMabsIF4r2IHJmfWYklIFXUIZlKgZsIaEw2anDgNUpa4TPK3fjbCI37eH5rHgVSgs&#10;JzQL3iB/Fpv4aAsOgyk6C1PFXuX1vM1q9wSxbpHhOa/tBwTqfvSPvIPYfoLWax04uG+HnH3+PPcy&#10;Zft2uwUXL7aIz3FP83zJGGOMMcb6h1cF6OTy3Wt479RuxCZGi4Xny81Es4rNlidEP3CoDJ33lqP9&#10;DoforJuOZWi/u0K2bT+3Lws7MoJQq/dDvdn727VTO9r1ivhenZORnVyCgMIdcvYchQVamzvG+huF&#10;WY8rUQgFw56KlKPiv+l+o6gZE4rexZS8zZiWWYeAGSsQmDwPgUmzEBhXhMCoLARFZcISHi8pIZGw&#10;uUJk9YbNYVdbQorrAKFKFpt5GmyW6U+gig+rhapcXkag+FwBf/jcEt0YE9ch9fsQ34/ToX5/7u9T&#10;CYuR37s5PAE68bMERmerEiuEmQhIXYSAjJXCKkzJ3Ygp+ZsxpnjPo9dH/SheM/cDB+rrKF5XGbg/&#10;GbpLfCOODVF07P+j8kNMKN2H5BmLsTzMKq6f3j0fvd7sj1qdD94tCEfr56dkyNSFVs3FPGOMDVTo&#10;asVvv93Cti0NsFgMMJrVuc8vxarO2TbFFWAcjbLivZHX8y3zBOr0kOyH8Bfr13ElH2B8/nZMyNmI&#10;yTPWwCD2AOaYHChi7WyVM9XVgJICdLPNIpnoowyq1ZBdkv/ds4eZL46+rvtrUkjunmNupT97vgeX&#10;C0pksmxl/3rmWkwo2IGxpfvl7PgRFTRujdfqA80rxc0InHMMV7/5TpzPbqC8LA960/OdxwL1ASgr&#10;zUVn+3Wx3uP27Ywxxhhj3sTrAvSzty/gyv3reO/Ue4iKC4fe8PIz0fRGA4JDbXhzSx7u3F+O9rsc&#10;orPHVefffzUfh5aHYZ1zHGrlrHPtm9negm74b7D4otY5BaUJWbAUvImRFUfxSsVJ3nQzr0HHomxP&#10;7qkarzwJv4oW+JcdwuiSfRhdvAf+RbsxIX8rpmfWQZe6GIbEShhjc2AKT4YxJBKW4DAoThesFIjb&#10;FTWEplCaqjZkaB3orkbRuecm0s0yj243sfrkppmW7jfS6M/dvz/x/bq/d1mF8iiIF8T/L4nPYXNY&#10;JZoTSTfdTMHh4rWJEq9RIozRmTDEFUGfNFu+fgGZa/B6zhsYXfiO8B5GF70vXuu98C89IF73ZviV&#10;HxW/C6pw79ZOXgbtHK6zoYHautMN6unF7yA/uQir5Xz0keK66q95ve1v1NJ9TdAIbI4NwueHNqPr&#10;4S1Qy2OtBT1jjA1UQJs4v7Vi29YGmC1GOQtYe131HMTai6qWKXAdV/SuOPdTiM5rnYHiyX2E2OOK&#10;3x9VZ48u2Y9RxR9gYsEuFMckYI51AorsUzHDHohEWxCilQCE2Qxy3Wx12J7aPwS59w6P9w/ae4i/&#10;IWeVe/6++jnl3kT8f1RFTF+Xvj6t2U3hCWJvkwt96iJMyWnCGFqjF4u1uViX08/0uNpc+3Vg3u//&#10;zTuIok1n8Pvv7fjqi9MICXu+kRRUqR6kC8CuHU3iXHhf8xzJGGOMMcb6j9cF6ORs6wXZzn3zB5vh&#10;CrG/dCU6oRCdNlAUot+9vxwdd5drhqpsaGi7twLt95bjcksBduXqUWsY5fWzzhuV0dhg9pFzXGfH&#10;xMGevwEjy1swvPw4fMqoeld7U8dYb3t8k0sNytXKkSMYV7IX4wt3YULum5iQ3YTpM5bDmFgBS3Qm&#10;lLA4tQqDbjSJczRVZtDcSlmlQdUadHOKQmZ5s6pbCN1vYXhfcv+c3R8CcN+0U18bnfpR/rM671O+&#10;fvLvWuRrSg8eKKHRsESlwRybD2PSTASkLcHErEaMz96I8XlbML5gF8YV7XbPcRe/P8/cdhmwU7iu&#10;Vq9r/c4ZG6jofDXCfe2kB9BmxSSI6+oErLf4al57vUGt3ld8j+PwyaZF+M/P33GIzhgbdIBWiSrR&#10;TbIS/dkDqD9Ha0uxlgyPx4T8HfAVaxtqt6x1bWDej6rUaV06Qly/fStPICN9Djabh6NJGSVHs2wU&#10;1/HloQqSUysxPW8jpmXWIiC9GkHJcxGUUI6g6BwERmVAH5kGi9iHWMJiJWtwOGxiT2JzBT8T6nrl&#10;+fvGiBQERmYgKCYfQYmVCEyrkg+0Ts17Qz7E+uj7p/W0XFd7OkTx+nowGF5yGKOEd09S+/Y7WLOm&#10;6rnbt+uMQYiJjcD1q2q3Ia3zI2OMMcYY6z9eGaATqkS/dOcqNu3puRDdaDbC5lCw+c08tHdyO/ch&#10;iVq2P6jBTz8uwrHGGKxzjR8As87HyJsCTbaxWBQVgfCs1RgtNt3D5E0grqRgfYmOtyfnFo6oPCnD&#10;8gnFu/F6zgZMzliNyanq7EIKyq1h0WpLdXeVhhqMq2Hwo3DYExhL2udv9me6v3bCU6H7Ew8kUHWM&#10;Egib+G9sLidsodFQIlNgjs2VN/0mpyzG5PQaOUOeZrRPLHpbhuu+FdRW8o9V657j4TGtY4Yx70TX&#10;z+HieB4tzl/RmSuwLNzh1dXo9SZ60M8PBxdm4P7N8/ImK1Wkay3uGWNsIKIAvavr9qNKdArStdc+&#10;z0MN0a1izfN69npZ9cv7p4GPHoKbJPYes2JT0OicjPrgABQl5EJftFNdr8q1Ku1VPHPWCa1jT2KU&#10;e98ysehdTCp6B6/nvYnJ2U2YTPuYZ/BawXZMLH5X/v0xZYfk53y0Rn5ijBKF5t3Xy9o/Cxu4/llw&#10;CMHVJ9F57xZui7VZUnIsdM/RQZPGDwTpA7F40UxxDqTzH6/rGGOMMca8jdcG6EQN0a9h055NcIU6&#10;YHzOWUJajGIzThV6q1al41bbMnTc40r0oaL17nK031uBa6dL8G6JBbU6Py+vOh8j27XTU/U1YRbE&#10;ZizFpNJ9eJUqfLninPUyurlIN348c7Q9c8qp+oNmEk7Je0NWdQTGl0EvZ5EnyKoMO838pvaIlgAo&#10;SpAMcdWQXPuczPqDJ2QXvxvPgw3u9vF2Gz1oZnPPaI+DKTINgdG5CEiYiYCUBZiesVrOY6cbj36e&#10;G4KeG4TuY+Ux9Xjhm4bMm40Qx+iwipOYLI7p7OQSNDhex3qLn+z6on1t7j8NltGypfvbuSG4eakZ&#10;QIcMnLQW+IwxNhBRO/eHnnbuirFnZqILVotYk7pCMC2zDqPc61utawIbOKhT0oTS/VBy18OUv1nO&#10;TacHzLX+2+5ojyM7Zz3SPWR/BvTfu/8uP4wxdPmUHsawomYs2XVWnLd+xo7tjTAYdfK8pXUO0mK0&#10;GOBwWnH08Dvic3B3IcYYY4wxb+TVATqR7dxlJTqF6D1XiW4wGbGiJg0/3VrK7dyHAJp1fuvWEpze&#10;loI3ol5HrW4UGixjNG9QewMKztcLa1wByEkpQ0DRO7JSbpjYsGtt4Bh7WY9uJsmbQycwSvyzf8l+&#10;+BfvwaT8rQiasRKGhArZqtAcEgmry6XOFaQA1j2LnMPyQeBRBbv+UbiuzmXXqzMk5VxHlzgGwmEI&#10;jYMxaoY4LsrlDPbpWfWyRap/0fviuPlAzl4fJWev03Hlqc5RbzqqFezaxyJj/eHV8hPiWD0KJW8T&#10;5kVHY524FlP3F3qYTes63W88c9FjAnHt4BsybALaNRf5jDE2EKkh+m3s3LEeDqfSI/t/QpXoNrtV&#10;PgA6qpwCWN5XDXQjxJryVbHGfJXWmBxmsz40rLgZr885hm9v3UTbzSvIykyR1eRa554/ozfqkJOd&#10;hn//63ug67bm+ZAxxhhjjPUvrw/QybnWi49CdGewHcYe2ESbFRN0BgNmzYrD198sxr1fVsj23lrh&#10;Kxu4Wjur0fmvlfjm2mzsXeCUFef1xtFe27K9URmDDRZfNDomoSIuHZaCrbJCYji1guObAqyHqYH5&#10;CTn3Ws4sL34f4/J3YHzOBuhSFsAcnQUlJAKKXVHnlFtp3rbaDvxxWE6tw7XPs2ww6d4e3iCPgcez&#10;2N0z2Gn2uk2B4gyWsyHNsXkwJM/CtBkrxTG1URxb2zCu8G2MLfkAo+n4E8fdCDlz3d32koJ1Ps+x&#10;fuRTfhTDyk9gbNlBpMxYhJXBejlT1Rvbuqtz0cfjzJal+O1XCpy4cokxNnioM9E7cfjQLgSH2KE3&#10;Pntb5L9EaxixZjEkVmJ0yT65BtG6HjDG2J/xFf5ZdAgz3/xUnqf27N6EIH3Ac80+p//WaDbg7bc2&#10;iM/RzmN5GGOMMca81IAI0Am1c7989xoatjXASovNHgnRzdDpDSgrj8G5C/Nw9+cVaOUQfdBoc7ds&#10;v3AkD1uTp6FW7+VV55ZR2Kj4YX5UFEJz6mTAxHPOWc+gY+jx7HKaWz5SHFsTit5T55an10CXWAkl&#10;MhU2V4g4x1LlMYWj6gxtNTSlGwIcljMt7mPDHbCrD1q45697gnbicsIaFgMlOgOG+FJMTqnC6+kr&#10;8VpOE17L34bxxe/DTxyX3UN12QreffxyK3jWV+hhjhHiGDQVbkN5XBrW2ca5q9G1r9/9pd7sj1qD&#10;L46uKMIv7dfUEJ1vwDLGBgngtnBHhughFKL3UCU6rVWos44xJgdji3bLuei8xmCMPasRJYcxrvwI&#10;LnzzA+53XkN6WsJzP+RD4XlcXCRu3bokA3StcyBjjDHGGOt/AyZAJ9TOnT6uf2c9gmkmeg/NRAvU&#10;6ZGSFoYTJ2fi3s8r0NZZrRnIsgGio1q2bL9xswrHGqKxzjletmzXuvnsDaiybb1lJFaGGJGSPh+T&#10;SvfinxWnODhnL+HJ+eVSRQvGlB7A1JwNmJ66GEGxRerccqcTdqoitgTKlt1cVc56jXwQwz13XRxv&#10;Nst0eezRMWgNiYQ5IhlBMXkISKjE9LRlmJbVgEmFu2QbePU4fuqY9vw7PleyXkItYceUH0FY5krU&#10;hJrVDjFeNhudHgxcoxuBvZUJuPvDGRk2cRUTY2yw6Opyh+jNbyFE7P91PVaJbpJjiCzhiXJUET1Y&#10;6lvG42UYY3/v//IPoXzzZ8DDVnywexP0hiBYtM4zfyEgaDo2bliF33+/Jc9zWuc/xhhjjDHW/wZU&#10;gE7OtV2UlejqTHRHj81EC9IbEBXtwr4DpTJE77jLIfpA1HpnOdrvr8CX5yvxTqkF9UZ/1AlaN537&#10;W6PiL2/G1ztfR3FiLnRFOzCi8oRs1661UWPsrz2eYT6yogWjyg5hVOl+TMrbiqC0JTDE5sEUGqvO&#10;LreZYJNzy4PUQJMDc9ZvqGqdQnWqVFfnrdsVHWx2C2xOByzB4TCGxsEQlQl9YqU4lpdicu4bGF20&#10;G6NK9olj/KA41sXxT7PV/1C1/vR7hLHnJ+erVp4U1+hdKIvPxFrbBPnQmzfNRm+guei6EXg7Oxg3&#10;Lh4CVaJ3dbVqLvwZY2ygofMZndc++nAfEhKj5Zzh52mV/OdMskOOEhyGaVn18JMP6vE+jDH2514t&#10;bsbEiiM4++V3uNt2CXFxUTA8Z2EP3cOMjgnDV198JM9tWuc9xhhjjDHmHQZcgE4ez0TfDFeoHQZj&#10;z4ToBpMRdqeCN7fm4nZ7NTrvL/9DQMu8FwXn1Lb97J5MvJkwxatbtjdZRqLJOgYLI8MRkrtWBj4j&#10;ylvgw6EPew4UEqot2U/JypmxxXvkDPNpGWtgSiiFJTweisMuZz3aZDttqjCnluwcmDNvRqH6k7PW&#10;qdWq1Uaz1sX/b1dgcTphDouFOTYXxuQ5eD2zDmPzt2NcwS45Y51m+vtWnsSIipMyVKeHS7g9K3tR&#10;dK6lazRdq6MyV6AmxISN4jpOD8JpXeP7A4XoNBf9jchp+OLYVgB3OURnjA0acFeiXzx/DMnJsZge&#10;OE1j/fBi5JgZuxVBKQvgX3qIQ3TGmCaaff5/eQcxd8dZcT5qw7rGankv0vyce+vpQdOxbl2NOK+1&#10;yXOb1jmPMcYYY4x5hwEZoBOaiX7pDlWib4YrpOcq0Y1mI8yKCStq0vDt91W4+2CFZljLvEjHMrRT&#10;y/afFuMotWy3j0OdwVurzkfLqvNVwQakpM/DhLKDGC5bBnKww56VOzSvOAW/ihZMKHwbk7LXYVry&#10;AihR6bA5XWroSIGjDMu5JTsbLChYV8P1J+as07FOIbvDCmtoBCzRGdAnzcSUtGpMymrEpPztcr46&#10;PWSizlenQL3Ffd7lcy97dj5lR8U1+wSCit5CUUKWnI2uVqNrX/P7Q61hJDaGT8aF9+rlzV2itQFg&#10;jLGBhsZTAB24fOk48vMzEKgPgKWn1rhiPWETawtjbIFcM1BXG96fMca6+2fRIejnt+DbWzfxzecn&#10;ERYeDP1zFvPoDEGIi4/k6nPGGGOMsQFiwAboRA3R3ZXoIQ4YTT0zE91kMYmFsAHlFXG4eHk+7v2y&#10;Aq0dGsEt63etndUyPP/yXAXeK7OoVedm76s6b7SOQZPFT95sL0nIQFDhTlkZObyMqiK1N2iMEbp5&#10;55n9TKHfSPHnyXlbMD1tKYLiiqCEx8FmV2Tra55hzoY0Ga53n7EuOBRYQyNhiUxGYGwhpqUsxLTM&#10;WkzO3wb/skOPW74/Qu81nqvO/tqr5Sfk8RKXUS1no68X13dvmo1eZ/QTH8fgs63L8Nsv3wBo19wE&#10;MMbYQKOG6Hdw68YllJbkIkAX8NzVn39KfB6ai26OSBZr7TfhW0EP2/FcdMbYYfiUNmNYUTMa9l3G&#10;77/+gLlzSuQ4Cc1zyZ+g0RM6QyDq65bK8Lzr4R/PcYwxxhhjzLsM6ACdnG29gIudV7HtwDbEJkb3&#10;WDt3qkIP0uuRmhaOY8dnovMez0X3Nm3id0Jt28/uzVJbtutGyRamWjeT+xMF5+uVUVga7kB01iqM&#10;Lj+MVypOglqAaW3OGKMAzzPL3E/8s3/JXkzJ3Qhd8hzoI5JhdYXCblPnmD8OzbXPZYwNafTe6DZf&#10;nUYZ2GisQXAYjGHx0MXmQZcyH9Oz6jG28F34yZnqzeocVKpU9wTsHKizp4wQxwg9CGcs3IGZcSlY&#10;Rw/KKRRca68F+lq92R91xpE4saYM//35a3eV060/bAQYY2zAeXhTPhh0986XqF42Fzp9IIxmg/Y6&#10;4AVYLUFinRCKaRmrMFI+XMct3Rkb6v5ReAjhyz/Ev//Tjr173pSV5ybl+fbg9HcSEmPw3Tef8sON&#10;jDHGGGMDxIAP0AmF6FfuXcd7p3YjJjFabqLp6U6tRevzoM+hNxoRHunC1u1F+On2Ctx9UI3bbUs0&#10;A13Wd9ofrMCt20vQsi4Wjbaxast2Rfsmcn9R27WPRJ1zMgqSCjC55H3Z+nVEOVedsz+igG6EOD58&#10;Kk9idOlBjC18B5OzGmFMrIAlJBqK3QqbzSRbVVMgyKE5Yy+CqtS7hepytroZVjlX3QVzeAJMCaUI&#10;TK/GxNxN4n34NsaU7IVfxbFu7d/5HM5UdN4eXn4cY8qakTJjIWpd09SW7l5SjV5vGiVD9OZFmbh/&#10;+wJoLrrWZoAxxgYiauf+67+/x+pVi2AyG2DooW50hMYh2ewWBCXOFOuAfbKlO499YWxoGlF6GKPF&#10;+//EpW9x47szSEqKhu45C3fo3iKdo7ZtaRDnrjbZTUPrvMYYY4wxxrzLoAjQCbVzv3z/GnZ/+D6S&#10;MxKhNwT1SIhOaC66xapg4ZJcXP+2Hvd+qUVbexVuty/9Q7DLellHNTr/tRLfXJ2NPbNtqDOMQr0X&#10;tmxfp4zCBmFhVAQceetlC8DhXMXINFAYR8Gcf/kRTMrfitczVsEYXwxrSIR7zjPPMmesd6mhujpP&#10;vdtcdfH/WUPCoURnIjB5LiZl1on36BaML/kAI+lhqIqT7gp1bu861NGDcfQAlDl/MxZFhovrP7V0&#10;99dcH/S1BstorAkagT3l8bj7E1U83dPcEDDG2EBEQRS6WrF961rYHcpzzyP+S7Q2oJbukWlyjU4P&#10;ufJejrGh53/zDmHJ2xfw33/9gPnznr91OzGYdEhPT0RH2zVx3uLqc8YYY4yxgWLQBOgel+9ex6EL&#10;h5FVmKlWois9EziZLEboDUZkF2TgyCcbcfPeVrTfWY5WDtL7TFvncrTfr8HFYwXYnhGE2iA/r2vZ&#10;3ii+n/VmX9Q5pyI7tRyTSz/AqxUn+GYLc3s8z5zaQVKL6NcKdmBqejX0sQWwhYTDTvOblSDIWc4c&#10;mDPWT+i9R8G6Z6Y6tX/Xy/eoJTINAfEVmJa2DFNyNmBc6T75XpbvafneVueoc6Xa0EPjWajbTGFy&#10;IdbaJ8oRLjSLXGu90JdorVSr88XbeaG4dfUYgPt4yJVPjLFBQoboaMf+vdsQGuZ8oXDrr9C6nEa/&#10;TMlYjZHua73WNYAxNvj8X8EhOJeeROudW9j/wSYYTXqYn7N1u9lqkl0yjjS/DXR1cPU5Y4wxxtgA&#10;MugCdHLp7lUcu3YCZXNL5Ux0WqxqLWSfF1W06/RBCIuJxvq31uLq7WbcvLcFre3VwhJJK/hlL6/9&#10;3grcbl2Kj7anYEP4JNTq/LysZfsYrFf85AzUOTFxsOW9IedXD+eZeUx4NNO8/Bj8SpsxqWAHWmke&#10;JQAA//RJREFUglIXQReVASU4/PE8cyu1nuTQnDHvpAbq6jz1QPV96wqGKSwe+th88Z6uwut5b2JU&#10;yX74dZ+jLm+2c5X6UDFM/L79xe87JqsGK0LNWG/xlSNdtNcOfUgZg9WBw7EtxYybV47KEL3r4W3N&#10;zQFjjA00VIVOIfrZTw8jNTUBQfqAHutGR6gS3WazQJ9QjnHF78uW7r5lfG1nbDB7tbgZ48uP4OTl&#10;73D90hFERAS/0KiIAF0AZs0swi8PvpXnKa1zGGOMMcYY806DMkAnFzuv4PS3H2Pe8rkwWQww9lCI&#10;TiiUV+wK5q1YgA+/PoUv7x7HDx1v4FbbcrS1LwZXpPesjp9X4sfvFqK5JgIUVNcbvWO2qAfdGN9o&#10;GYla53SkpM2Df9khOevch2+qDGkUmFFLX9/KkxhTuh9jCt/B9BkrYY5Kh8XhgE2cS2xUaU4zzXvw&#10;Bh9jrI/Q+1YG6jq1Ot1mgeK0wxwaDRMF6jOWY3z+Vowp2i2uC+KcIM4F8oY7V64NeiPE+Z/WAfqi&#10;nZgTG48N1lFytIvWGqJPKWOwRueL7WkWfPfRewA6OURnjA0a6Lotz2vffHUGJcXZ8sH3560U/Uvi&#10;mm+z6mCJSMLEvDflw9J8TWdscBpRchj/LDiE+n1X0dl6DXl56QjUBWifG/6C3qRDeEQwzp+jhxfv&#10;aJ67GGOMMcaY9xq0ATo5334J59suYeXGlXImGrVb0lrUvggZytMco5w07DryDi52XsbnHUfwXdtG&#10;3G6v5iC9B7TSvPOfV+KrS7PwXpmCOqM/6s3eFZ6vs/hhvTIaM2MSYCl4Ez4VLXIWqtYmjA0Nj2aa&#10;lzVjYv42vJ6xGubYPFhdwY/mK8u20ByaMza4eAL17uwWWMNjYUislOeCiXlbMLZ0H3zEOULOUOfr&#10;xaBFo1uGizXBxLIDmJFSgQbH62iyjNRcS/S1OsNIbAibjK9O7ARwl9u5M8YGDWqNDHSgrfVzLF0y&#10;W85EN5p77h4AdaOxKnpYnU4EpSzC6NID8oFZresAY2zg+kfBISQ2fIr2jh+wbMlMTA+aDovmOeHP&#10;URcMGinRuHa5+6FFXm8xxhhjjA00gzpAJ+faLuJCxyWsf6cJrlCHWj2usbh9UQZjEELCnFi5YSXO&#10;3LiES52XcK31EL5rewOtFALzjPQX0nqnGu13l+PS0XxsTZmOWt0or5p33kgt2y0jUe+YjMzUWRhd&#10;dkjOPvXV2Hyxwc4z15xmmp/AhKL3MHXGSjnT3B4cBhtVmMsqc6qA4dCcsaGDAnV3qG4Jkh0nbMGh&#10;MEVnYFrSPEzJqMXEwncwktq8yxnq6vx0np0+uNBDda+K9UFE9iqsCjXItQOtIbTWFn2pVobor+Nr&#10;d4je1cU3dRljgweFVf/65QdsaFoJu12BwdSz9wBo7JJN0cMYk40JBTvUanTuPsbYoPBKcTP0C07i&#10;8tffYuumVdDpA19oJITOEITMzGTcvnkZ6OLW7YwxxhhjA9GgD9AJheiX7lzDjsM7kZAa98IL4D9D&#10;le1miwFFlQXYe+YALnR+gQvt53HldjO+b9ugBsJyPjoH6c+ijeadi9dKzjsPm4g6vb9XzTunNqxN&#10;wsLoSLhym9yzzrmKcGih0JzCrhaMLD+K0SX7MTV7HXRxRbCExsBut8Cm8Ezz/max/pGZKH9ksvQO&#10;ra9FtL43ovVzsEGEwnRxbrBTmO6wyfOFPiYHgWlVmFi4S55f/Oj8ItvC0s14DtMHAx/xe6SW7krB&#10;FiyIjsZ6q79YS4i1jcYaoy/V6n2xIfR1fH1yF6itaBdaNTcLjDE28NwQ57V2PPztFpoPvoWIyBDo&#10;DD17D4AekrPSOKbgcEzPWIVRdL7nazdjA9owmntecRR7P/4Ch/dvhd1Be7rnHwVBHSsdTitOn9or&#10;11ja5ynGGGOMMebthkSATs61XsTlO9ew/7MDyCrIgMHQszPRzGJRTcF8TEIU1r/dhE9+Oo8Ldz7H&#10;udtncf32PvzUvtZdkU6t3bWDY0bzzmtw80YVjtZFQZ133v83mB9RxmCDxRcN9onITSnFpNK9POt8&#10;iKEbYrJNY0ULRpfsw8S8rdAnz4U5LA5Wu03OQaZ5yGq1ufa5gr08T9jsCaM9YbXRbIbBpOoeUlMb&#10;bZtDZXdaEBxigaub4FALwiOEyJ5Hn7v71yIO1+Pvh3T/mejn8PwM9PMY3T9b9zDe898+/bqwgYQq&#10;043q/HQijlGLKximiGQYkudgYu6bGP3E7PTjfEN+gJMt3cuP43WxdshPKkKjfYKsRtdcb/QhqkTf&#10;GD4F1/ZvlPPQgTbNDQNjjA1EQKvQgSuXTyAnOxVBhkCxpurZdbq8ltssMMQVYlzhu/B1d5XRuhYw&#10;xrzX8JJmDCtqRsOBazh++D1ERDjlDHOt9/3foQd21qxejN/+q56HtM5PjDHGGGPM+w2ZAJ2cvX0B&#10;FzuvoOXaccxcXCmrxk1mg+aC90XQE+00Y82imFC+oBwHzh3CpbvXca7tCs7d+gyf396LH2WQXuVu&#10;7a4dIg9JHRSer8T3X83Dnjl21Jv8Be+Zd96o+GODZSSWhDsRklMnA9QRssJAe/PFBhdqq0xzzUeJ&#10;j+Pzt2Na+nIo0TOg2JVuc825RXtPooBYDcdNktFsgt5oksGyxWqRobgrREFImILIKAVRMQriEhQk&#10;pwipCjKzbMjJtSMnz46SEgfKKxwoK3egcqYDixY5H1m40IklS5xYvdqJNWt6Vm2tE1VV6tfo/jVn&#10;z3aiXHwvHvkF4vt0f68ZmTb1ZxASEhVEi58rKlpBWLiC4FBF/sz0sys2iwzY1ddEfX2M7teKQ/YB&#10;iKrY3OcSeT4R5xJraDT0SbPxWlYjxhfshL/7PMRz0wcuWjMMp7WD+F0mZVShzjlVPpinte7oS/Wm&#10;UeLjGJzftVLO5+ziEJ0xNoioc9Hv4vbNK1gwv1yOdDP06Fx0QewD5NimkEhMy1gNP3G+p4fftK4F&#10;jDHv41PajH8WNaNi2wWc+bgFKcnRCNQHaL/f/4rYp9Hc88zMFLS1XhXnnk7N8xJjjDHGGBsYhlSA&#10;7nGh4zI+u3kONetXwOGy9vhcdKps1+mDEJsUhcadjfhUfK0Lndfw6e0rOH/7DL5sfQ832urcITq1&#10;dtcIlIeQ1s5qtN+vwRefVWBntg5rgvy8at55k8UP62zjUZyQgykl77tnnXMl4OBHbdpb5Fzz8SUf&#10;YErGaujiSuQMY5tVnDMUvQy9ODR/fhbiDng9Qbkalj9GleKhFI5HW5GQaENqmg25eTYUFtpQWmZH&#10;RaUDc+c5sWCBE0uXOrF8uRqCr21QNXRTX/+kuro/orC7N2h9LfL099T9+5U/w1r179PPVV3txOJF&#10;Tsyf78Q88TPTz04PAxQW2ZBfYJOhO70+9DrR6xUWocAZrMjX2mDu9rq6X+fuAbvH078j1p/c5xUK&#10;02l2OlWqh0bJ88+UGTWYWPi2rG5T56bzzPSBaETZUfH7OwF7/kZUhTtkiN7Yz+ueOgrRldEyRIcM&#10;mzhEZ4wNLhRk/fzgW2x+ow6uYDv0PXwPQBL7A5u4huvjijDBfb3m2eiMeTff0sN4pegwUho+xbGW&#10;I8iYEY9AfaD2e/xvUMV6aJgTn3x0QJ5z6AEerfMRY4wxxhgbGIZkgE4utF/GhY4r2PT+JkTHRUJv&#10;CEKPzkQTDMYgKFYzSuYU4cDZg7govt659iv49NYlXLh1Gl+17sKtthrQfHR1Rrp2wDyYtd1ZLmee&#10;XziUizfjp6JW56d5Y7c/NCqjZdX56mAdIjNXyOpjqhzT2nSxwYHCKHWuOTmM1/O3QJc0G+bwRNjt&#10;ZtgsATLU0nq/sz/yBOWe0LZ7eEv/v1W8ptROPTrWhqQUG7KyqVrcjrlz7Zi/wIHFi9VwfMUKF1av&#10;dmHtWhcaG+njk8G4J5SmwFmrEnyg6h7APx2202vgeT1qa8Xrs8qFGvE60eulVr07MG+eHbPn2FFU&#10;bEdOjh2paXY1ZI+yylby9PrL35M7RPf8fihs7/678vy+WH8RaxNFD6s4/9jFny2h0dDFFiBgRg3G&#10;Fe8R56qjwjH1gR8ZqGuf35h3oQfxXqk8hcCitzE3Jh7rFX+ss/Tv2Jo6o1iDWUbjAofojLFBis5r&#10;XV2tONHyPuLjo2Sb5Z4c6yZRNbolSD78NlXORnc/lMsPvDHmlSg8D1n+Md7ddwjZGRSev0DluWAS&#10;5xKDSYfNm2vR9bBdjsbROg8xxhhjjLGBY8gG6ORc20UZou//dD+yCjNhNOp6tKU7MVkMMBh0iIwJ&#10;R92WOpz+7hNcunsNn7VSkH4Bl26dxLdtb+J2+wp3RfrSJwLmwaz9nviZO6vx0Y5UrA+biDoDtRDV&#10;vqnb19ZZ/OTN7LkxcTAWbsewihMYwW1zBy2aU0jVgKPEn8cUvY+pmXUwRc2A4nKp1Z881/yZeEJY&#10;CmCpvTj9mdqNO10WhIRZEBmtICWN2pWrLdUXL3agutqBFSucWLlSrSCnsFgrIB9s4XhPotfGE7Y/&#10;Ctm7Be307+m/W7XKiZoaT1W7A1VLHJg924HiYgey3QF7TJwVoeHq7Haa1U6/P4vN8uh3+nS4rnUc&#10;sF7kPh+pc9MVWEIiYIrJw9Ssejkznc5h1DXDhx/2GjBoLvr40v0oSC7EOts42fVGa13SN8apIbp1&#10;TLcQvV1zA8EYYwOVOhf9Dr78/CNUlOdDZwzq+ZbuAl2vreJabYrOwcT8be7Z6Hx9ZsybvFrcDOuS&#10;09j09n7kZiXIh2q03s9/h/ZF1IVy7pwS/PzgG14/McYYY4wNEkM6QCeeuegnvvwQc6vnwGa39HhL&#10;dzkb3aSX4Xx2USbeOvqWrIC/eOcaPr11UQbpV24fxg9tTaAAfSjMR2+/vwK3WpfiSG2UvGlbb/SW&#10;eedjsN4yEvWOychKKcOEsgMYLlvvccXAYEQhk2/lSYwt3Y8JuZugT5oJJSQCVgqpqNLcPYtY633N&#10;HgfmNH+b5nArVgtcwQoiIhUkJinIyrLJ+ePUdpxC8u6Brwx7BfroCcg5JO8dntfW87p7dH84oftr&#10;Tw8yUCU7tcgvKXUgN9+BtHQr4hPVeew0d55a7NMses8MdnX2uolD9b4kz1N6dW46naeCw2BIrMBr&#10;Weswtmg3RlaewIiKE3z9GgCou82oiqNIyViEeufkfg7RH89Ev7CzRoboPBOdMTbYqHPRO/Dg/jfY&#10;0LQKdppbbAjSvt6+DPngm15co0MRkLYMY0v2ygfd+NrMWP97pfgwdAtPo2nnPuS4w3PqoKb5Xv4b&#10;NBIiJSUe33x1Rp5btM47jDHGGGNs4BnyAbrHhc4rMkxft6sRkTFhYgHc8y3d6fNRq3iau75o9SIc&#10;vXIMl+9ew7m2S7Kt+9lbn+Hz2x/gRlst2toXY1BWo3eo4fmP3y3E3oVO1BlHocHsHfPOqWX7emUk&#10;lodZEZFThxEVxzGcq84HoSNqcF5xQs4Snpq+HOboTNgc1m6V5hyaP42CUU9g7qlGpsA8LFxBQpIV&#10;uXlWlJVR+3U1fJVV0O4q8u4h7dNhLfMOT/9+uofsnt8l/TNVry8Q5+6ZsxwoKaVuAlakz7AiNo5m&#10;r1vF+8gijw2jOEY81eqeY4fD9d5ED7DQTXp1ZrolIgnTk+Zhcs56+Jc1i+vZSdlpg+ele68R5Ufh&#10;V3EMYblrURNqlCNkKMTWWq/0hUcz0XeuRJfYMFDLY62NBGOMDWTU0p0cPfwOEhOjEaSnlu69sA+w&#10;GmBT9DBHpmFydpM437dwtxjG+tHw0qN4bXYL5tRuR2Y6hecv1radGC0GOJwKTrbsluE5zz1njDHG&#10;GBs8OEDvhoJsqkZ//8M9yMifobZ0F4thrUXyy6DPqdMFIiElFrVvrsEnP3wq56Ofbbvsno/+Ib5u&#10;3YHb7csHV1v3jmoZnn97dQ7eKTajVj8KDRbvCM+bLKOwzjoGlfFp0BfuwnBqgctBw6BBVR4UHhG/&#10;MrFZztuCoMQKKKHRsNuMsFoC3cG59nt2KPKE5d3ZHRZERFplq+9iOatcnVO+skadT07twj2BuVZI&#10;ywY+T6jefQ77mjUuVFe7sLiKqtYdqKy0I7/AjpRUaglvgzPY8uiYevq44mC9N5igUJAuzms2lxOG&#10;qBkISK2SDwx5zoMSX+O8Dq07hlWcgq5gK6oig7Fe8ZMP92mtW/pCnUF8fdtYfH74TQB30dXFszwZ&#10;Y4MPxLmNznFfffEx5s0tg8msh8HU8y3d6fpspdnoTjv0CeWYUPQ2Rla0yGuy1jWBMdY7RpQdxetz&#10;jqNk2XokxATL4hnt9+zfo3t79Pd3bG9E10MKz/mBQ8YYY4yxwYQD9KdQFfqlO1dx4ouTmL9inqym&#10;o6pxpYdv8Huq0c0Wo2zrvvPILnx641y3+ejncfV2M35sa8RgaOtOs847fq7B9Y9LsStbh1rdKDQo&#10;3hCej5FVXnXOKUibMR9jyw5heDm11dPebLGBxbf8KHwqjsNPfBxd/AGmZ66BMSoTitMJm1UPRVac&#10;c7U58QSbnjnXNPuaZmBTO/a0dBtKyxyoqnLICuRVK9UQdW23CnOtsJUNDZ6KdU+wTujf0Vx7at2/&#10;bJkDixapc++zsx1ISrYhPEKRs/GpFTwdf0/PWOdQvYdQxRsF6e4W78bYQkzO2QD/kr3ivHhMnB/F&#10;9U6cH7XOn6x/0PrjlYpTmFr8LubEJoo1ih/WKf4a65e+QTPRN4RPwdcndoFmBnMlOmNsMFJbunfK&#10;2cXbttQjNMyJQF2A3LNrXl9fhtiDUDW6EhKF6enVGFV6yD0fna/HjPUmWmONKG/Ba7OOIa2iGrFR&#10;LhjMLx6e0/mBzhM1NQvx++/0IA6PvGGMMcYYG2w4QP8TFzou41zrBWx6/w3EJkZDL9u59XyFKgXo&#10;RpMONoeCmYsqsPfMfjkf/ZKcj34J5259iq9a38bN9poBW41O4Xn7/RpcPJKPNxOnolbnh7WK9o3a&#10;vkRVXRstI7EkzA5HbhN8K1rkhkprs8UGFhmcV56Ef/kRTMjbhqDURVBCY2EV7zl1tjlVlXBwTiEl&#10;za6mGdb0Z1eIgqgYBWlpVhQVU+jpxKpVj0NST1hOf346RGWsOzpGugfr3R+0oBnrdFxVVTkxa7YT&#10;efl2pKbbEBevyGDd4VLkQ2t0XNJ8fQrVOVB/SdTe3TMv3S5e34hEOYt1fMFOcZ48DB/Z4p1v3HuT&#10;VytO4LWSD1CSmIsm6xjZKUdrLdMXag0jsTF8Mr6SIfpdbk3KGBu01Jburfjko4PIz8+AzhAk1iI9&#10;35FOVqPL67IR5qgZeC1nA0aJfQs9+Kt1TWCMvRwKz30qWjC5fD9ic2YhLETsg80v3mmC9iYBQdNR&#10;XlaAO51fivNGu+Y5hTHGGGOMDWwcoP+Fs60XcOXedRw8dwhFMwtgMunFIrs3NtBqkE4V6WFRIaiq&#10;rcKh84flfPTz7VSNfgmXbh/H920b0dq+BAMpRG+7s1xWnp95bwY2hE1EnaH/qqi6W6eMwnrraMyO&#10;S8bkonfxz4pT3M52wKM27UcxovIkxpQewOSsBugTSmFzBcMmK80pOB/aoTlt9M2Cp9qXOmxERVuR&#10;mm6VLdnnzVerhhso8Kx7HJZzYM56iud48oTrnoDdU7W+ZIkaqpeK4zE7x4qERCvCI61wON2z1blK&#10;/SWJcyCNq5DVbzrYgkPEebIMkzMbMKbsoHzwSA3S+XroDYaXt2C0+H3kpJaj0T5Brl201jR9oc44&#10;EhtCJ+Or4ztBVZocojPGBiu1Gv0OOju/RO2aKljFeoOCdO3r6ssywUrXY7sCfXwpJhbshC93h2Gs&#10;R9F9Huq6NLVoF0ITMuCy61+6OIbOCbk5afj6i4/F+aJD81zCGGOMMcYGPg7Qn8HFzqv4+PszWLN5&#10;DUIjg2Ew6mBReieIM5r1sto9NikaNRtqcPLLU7Ia/mzbNZy7/Rm+bH0Ht9poNrr3B+ltd8X32VGN&#10;k5uT0OQaj3pj/83xfGwM1lv8UO+cjKy0WRhfdhDDyk9obrTYwEA3mOTswIoWjCveg+lpS2GKTIPd&#10;ocBqCVCDc4332lAgA/OnZk2HhClISbGjhALzeQ4sXerCmtrH88s5LGf9xROq03Homa++cqULVUuc&#10;8lil2epZ2XYkJNoRFq7IY9xzfD99nD/9XmB/wt3i3W5XYIhKR0DaEowv3i0rdNRZ6XwDv7+NEL8D&#10;CtHjMpei3vE6msQaRnt90/tq9b7YGDEVP57dB+ABHnKIzhgbxCgU+/23mzh+bDdmzEjsxWp0wWqE&#10;TQmEEhKBoOT5GFOyV1aj80NtjL0ceg/ReykgpwGO8GjxPgsSe4WXu5enN+oQHR2Kq5dPyIdt+KFC&#10;xhhjjLHBiwP0Z0Rt1S92XsF7p3YjqzBTVqMbBa0FdU9Q56MbEJ8Sh9WbVuMEBemd13Ch4you3z6G&#10;H9oaZUt3NUjXDrD7S6vQcX85brUvR3NdHOrMY1Bv7P/Kc2rZTvPOa0KNCM+uhV95C4ZT8Kqx0WLe&#10;T4Y7cr75YUwofAu6pFkwh8TIWb9WsTGWVZYa763BjkJEqtAlVrtZzjGPjlGQnWPHnLkOVFdTlbkL&#10;9fUuWfXLoTnzZnRseirUKVBfs8aFmhoXli1zYnGVA2VlDmRk2BEda0VwyB9nqntC9affJ+wp1OLd&#10;PSvdEhIFvTifTizYBT8618ob+Hyt7E+0VqGbv1FZK7HaFYj1Yi1DDwRqrXV6G4Xo25JNuHn5KIB7&#10;HKIzxgaxG+I81yp04vbNy6hZsUCsMxQZpPfKbHRBVqNTW/ewWEzPWAX/0v3iGqw+1KZ1fWCMaVOr&#10;zo/LznT6lHlwOG3y/aX1vnseOoMOkVEh+Oj0fnlu4PCcMcYYY2xw4wD9OZxrvYgLnVfw0fdnsHzt&#10;MoRGuBCkC+i1DTS1laJqd2obn5SegI3vbcTJrz/C5Xtf4UrnWXzTus0dWNNsdO0wu6+1dS7F3Z+r&#10;ceX6Cry9KB5rTOPQYOr/yvN1ij82WnyxIDoausLtcraoTxlX1g1EdANpROUpjC7dj0k5G2BMKIHi&#10;cqmzfRX9kAzOKSSkWdEUGFKAGBGpIDlFnWNOLbFp5jSFkZ7qXvr4dFDJ2EDgqVJ/dCy7H/6gY3zF&#10;CqpUdyK/wCGPf5rnTx0XaFQBvTdopjoF6xyo/wUK0sV5lGayWp0uGONL8FrOG+J8e0i2d/fhivR+&#10;QzeCX604CVtuE1aGGLHB7CPWN/0Xom9PtaD1C6q8uqu5wWCMscFCbemutmhuObob6emJCNQHwmjp&#10;rWp0ta07PQhriUzB1Kx6+Jc1q2NWeP/K2N+SHeoqjmNi/jaYY3Jgl6PcXv79SpXn1OXu2NF3xDnh&#10;njg33P7D+YIxxhhjjA0uHKC/gPPtl2Q1+rsn3kNOcRYMvdnOTaB28dTanSrSqfq9cWcjjl49jsv3&#10;ruPLjgO42b4are2LNQPtvtR5dwlu3VmFg6fqUZcdh1q9Hxos/XNztzuaGbrONhb5SQV4vXQvhpUf&#10;53nnAxAF5z6VpzC2ZC9ez6iFKToLNvH+eBya986DLN5KnWWuhubOYAvi4q3IyrZh5kyHDBI9QTmh&#10;0JGrzNlg5Tm+KUzvHq5TqL5woRPlFQ7k5tpkqB4eoQbqBvnAiYkr1P+UOJ/KMJ3mslphis3D5Mx6&#10;WcVDDzBxa/f+QWuXVypOwZy/CUsiXO5KdO21T69SxsgQ/d38MNy7cRbUvlRrk8EYY4MJum7Lh4Z+&#10;+vEC1qxaLK6PFuiMvTUbXXAH6fR1jLH5mJy9Dv7iWkBVtdzWnTFt9P6g98m09OWwBofI91BP3Ccw&#10;mPTivahg754t4jzQLs8HWucJxhhjjDE2uHCA/oLO3r4gA+zT336CFeuWIywyRFaLU9W41oK7J1Cl&#10;O7V2N4qvkzwjESs3rkLLFx/heudp3LrThPbO/pmLTlXn9+9X4dK3a7F641rMi01AvXEUGpX+Ds/H&#10;oMkyEvXOqYjJqJJPIQ8vb9HcaDHvJJ8eL6dW7S0YX/w+pqcsgikiGXYKdix0w2pohOaeuc4U9nkE&#10;h1KVuQ0lpXbMn0+hudqSnXBYzpg7VK9T3xONjfTvXKiqcspRBiWlNmRk2BATZ4PTaXnivUU87zmt&#10;9+OQQzfwqb273QJT1AxMT692z2Y9Ic/PfBO/71ElelDRLlRFhWGDxReN/VCJ3kAhus4HH1Qk4N6N&#10;cxyiM8aGDKpGp8rT4y27kZ6WKEP03nyYnvY78jrssMIYV4jX8rbIUWRqa3d+oI0xoladn8CE/O0w&#10;xuaqY92sPTNykYpZ7A4LPpDhuXj/c3jOGGOMMTZkcID+ki50XMH5tkvY8/EHKJpZIENug0knP2ot&#10;vnsCfW6dPhAmiwEJafFYsX4Vjl0+iO/at+Dugxq039EOuntaa8cy3L1Xhdtty7Hrw63IXrQJc11h&#10;aDT2z83c7tR5576oDrfDmbtO3mwewbPjBgw1NKfqisOYWLATusRKOZfXZjPIG0hDJTinIM/Tctpq&#10;tyA0zIK0dBsqZzqwdKk6y9wTmlNQqBUiMsZUFKh75qk3NLiwerULy5c7UVXlwKxZDuTkOmQnB+ro&#10;QDfJFPG+o/cf8YTqWu/TIcP94JJd/NkUFo+AtGr4l+zDSOoOwg+n9Tla1+iKdmFhVISsRKd1j9Z6&#10;qDc1WEZjdcAwHK7KwW+/fCsrsrQ2G4wxNtios9Hv4OZPF1FftwzBIXboDIFivdCLo6SsBtiotbsr&#10;GIa4YkzK34ZR4npAeyYO0tlQ5QnO/Uv3IzB1MZTgUPE+CZLrVs330XOie3syPH/fXXku3vta5wTG&#10;GGOMMTY4cYDeA2g2+qU7V/HxD2dQv60e8SkxslKcZpdrLcJ7imdGOn0Mj4lE1ZpFOPlZHX66vQIP&#10;fqlBx91qzeC7J1DV+b17S3H9m9Uo3/4BTIXbMS8kFOvN3hCe+2ODZSTmRccgqPgdDKMqOa6QGxAe&#10;b4APYmLemzDFFUJxeuab62QlpNZ7YTChoI5aS1No53BaEBWtIDPTjlmz1BnPFAR6WlRzaM7Yi/NU&#10;qNN7qd79Xlq1Sn2fzZnjRG6uHfGJatt3p0uBRbw3qfU7jU4Y0mG6bO2uh5UeZAqLxbQZNRhTvEee&#10;uzlI7zu0rhle0YLJpR+gMj5Nrnv6JUQ3+6PW4IsTq8vw8LefOERnjA0Z6mz0dlmNfubjgygpzobR&#10;pIPO0Itt3QW6Bttob+R0wpBQKvZMW2WQLjvD8J6XDSF0zNOx/1rORpii0sT7QqxRe6jqnOiM6ggF&#10;tfKcw3PGGGOMsaGIA/QeREH65XvXcPjyUcxZNhsOl1VWivdmNTqhGelUjW4w6uEMdmF+VRb2HyjF&#10;dz8swYN/1aDjXs8G6XfuLsGdzmX44MONsFcfgSFzI6pC7Fhv8dW8udqX1Hnn41GcmIPJpXsxXM47&#10;195wMe9BwblP5UmMLjuEyZkNMMXkyTaFQ2W+OYVxFJjTPHOHS0FMrDrPfPZsNdB7ep7500EgY+zl&#10;0XvLE6o/It57MlAX78WCAjtS06yIirbC7rTI9+uQnqMu1jby4SZBCYvH1PQVGFf8Ps9I72PDylvw&#10;Wul+VMZ5QvR+aOduGS1D9LPbV6Crq41bmzLGhhR1NnonHtz7Ctu3rkVcfBQCdQEw9WY1Ou2N3A+0&#10;2ZwO6BMqMCnvTdnanYN0Ntj5ULe6ypOYWLAD+vgyOZu8p2ade+iNOjicVvfM8w6B1zaMMcYYY0MR&#10;B+i9gNq6n7t9ETsO7UB2URaMRr2cm9TbQTqhavRAHW0eFBSXxGDL1jxcvroA935egY67y9F+p1q2&#10;XtcKxv+O2rJ9Cb75fiWqdu3C6FmnYMhowurgIGww9394Ti1MGxyvITl9PvzLj/C8c693RA3OK45j&#10;bOl+TEtfAUNUJuy0Aab55oO42pzCNuJp0W5zWBCXYEVhkR3z5lNgp7Zmp+CcA3PG+he9B+m9uHYt&#10;heouLF3mwpw5DhQV25GabkN4pFV9CEa8n+k9PfQCdXGuVnSwW8U6JzwR09KWYuyjGekcpPcFWu94&#10;QvT1Fj+xJuqHEN3sLz6OxsXd9QDuyspMrY0HY4wNVkCbDNK/+uIMVlTPl3sZvTFI7s+1r589xGqU&#10;LattrmDo4kowOXud3AtTVxj1OsxhOhsMHt87GFeyBwHJ82ENDhfHfqB8D2i+N14QhefR0aE43rJb&#10;vKfb5UMyWu95xhhjjDE2+HGA3ktkNfrda/jou0+wdudaxCZFw2jSS31xY92smBCo08NsMSMxKRjV&#10;y1PxyZk5uHF7KTruVOPugxVoEx+1gnItHXeW4o5w8pz4WVbtxf+WnIYpcx1WB+tkcK11M7XvjJHz&#10;zleFGBCZvRojylswnOedey2qiPClhxvE72hssdj8plfDFJEIm82kzjfv4Q2wN/EE5nQOsDvNstI8&#10;v9CORYsdWL5CDel4njlj3stToa7OUacOES4sW+bEvHkO5BfYxfXWBmewGVa7+j4fWvPTxTlcCYJd&#10;nMNpRvq0jDXwLzskz/e+fE3udcPKj+O1MnclutI/7dxrDX5YHzwJX7Zsd4fofMOZMTa0qG3d7+I/&#10;v/6E06f3oSA/Qz5IT4Fcrz9ML2ekB8HqsMMYnYXJORswqvSgvA77VIhrMQfpbAB6dO+g4hjGlOxB&#10;YPpSmMPixLGukw9war4XXhC9R2kEQ2xsOD7+aL94L9/n8JwxxhhjbIjjAL2XUTX6hY7LaLl2HAtq&#10;FiAsIli2daeW61qL9p5GQbreaJBtZoNDrMgviMbOnQW4cm0+brUuky3eO+8t1wzNPe7fX4Kbt1Zg&#10;3d6tmDLnMP6fko9hy27EmpCgfg/P6QYxtSxdEu6ALX8zRlQch08ZV7x5pyPi93MCI8UGeGzROwhK&#10;XQRLaBSs4jhV55sPzuCcgrNHM81d6kzz3DwHFi1yyPbsFMhxaM7YwOSpTvd0i6D39PLlDsyc6cCM&#10;DJt4v1vgDLaI8wC1fB8i89PFuZzO6VabBeaoNEzJqpdBOreU7X3DKtRK9Ir4dGxQ/LBOoapw7fVT&#10;b6nV+2JzTAB++GyvDJEeciU6Y2wIolnJVI1+786X2Lm9CUlJMQjSBcBg6rn5zH9KjlcRX8duhTky&#10;GdMyV2NM0W74lR/jazEbUHzKj2NkxXGMKd6NwPRlsITFivUlPbBJ9w569oEUCs8DdNORlZWCK5dO&#10;iPfvHX4QkDHGGGOMcYDeF87evoAL7Zel3ad2o3x+KewOBTqxiaaAW2sB39PUSjiT2LQb5U38qGgH&#10;li9Pw4FDpbj++UIZpFOb97bOx1XprR1L8eBBFc5dr0fBhncxovgoXik9gZDMVVgTHIQmhdqEat9A&#10;7QuNij/WC3Oj4zCt+D0M4xsCXotardHmd0L+DgSkLoKVgnPFfXNnEAbnFoGqTg3ivUbt2aNjnpxp&#10;7pmvTIEb0QrmGGMDi+f97Hl/E3q/z5+vzk9PTrEiLMIqzg0WcS12z05/6twxqMggXS8fkjLE5WNS&#10;zhvu2azieqBxnWA9Q85EL9uP/KQCNNnG9E8lus4HO9JtuPPdJ/IGtNYGhDHGBju1Gl0N0r//9izq&#10;65YhJMSBgKA+ugdA12Gx17JSoB4Wg8DUxZiYtw2jyo9hROVJ8JgV5q3k+AFxjI4r3o3p6dVQwuPU&#10;41jeO+j5944cgxg0HbNmFuPrL9W1C4+iYYwxxhhjhAP0PkRB+qU71+THbQe2Ia8sBxaxeTaadPKj&#10;1mK+N3jCdLXFuwlZ2RGob8hAc3M5fryxVLZ3v3OvGveEPR9uhHXxAfz/Clowovw44jOWoNE+EU39&#10;XHm+ThmF9dbRKEzMxcTSA/J789XYfLH+RO3WjsG34gQm5W9HYOJM2ILDZGtBRaEODH13zPcFel+Z&#10;5XtL/FkxIyLSisxsG2bOcvBMc8aGKE+g7pmfvnixC+UVdnluiIyyynNF9zbvg7M6XR3PYXU6oEuo&#10;wERxPeAb972LxtiMqmhBdkqZfNCwP0L01UEjsG9mIv595zpofqjWJoQxxoaCrodUkd4hnf3sCBYt&#10;mgmTWQ9dX8xHl8Sey6pX56SLvVhQfAmmZtZiNO2hK+h6LPZrPCud9TM6BulYpC4JEwt3ISBlISzh&#10;CbBRaK5Q54beuXdgNBvkmMU1a6pw987X8oEXes9qvZcZY4wxxtjQwwF6P6D56Ffuf47T336MDe9u&#10;QEpG4qMgvW820Y9Rq6ogvQFBOgNCw+zIzokQm4d0HD06Gyvf3YKJFUfxf8ViYy02MgkZS7DWPglN&#10;lv6tPJdf3z4BGWmz4F/WLOd+am3CWP+Qm1+asyc2wBMKdkGXWA4lOAx2GZzT5lf7WByIZGiuPA6/&#10;gkMVpKTaMXOmXc5Frq1Vg3MK0LTCNcbY0EFhOj1EQ2F6bZ1ndrodeXl2RMVYB//cdPdsVroeBKYs&#10;wNiSD2Q1OgfpvWN4eQvGiTVSRfwMOeqmz0N0ZQzW6Ebg2PIi/P7rjxyiM8aGPLUi/R7+/a/v8eGp&#10;D5CfnyGu+QY5H73P7gGIvZjNEgibwwpjeDKCkuZgUsEOcd1oxshHezi+LrO+8Wi+efkx+Il/npS/&#10;Tb13EBIFO3VPoHVjLwXn8j6YIRDBIXZs3VKP335TH3TReu8yxhhjjLGhiwP0fkSz0cmpr0+jcWcj&#10;UjOTxWLeJGek932QTk/fGmWYTtXpwSEKzGEJmJYwH+PytyN+xmKsdfR/eE4z1+ucUxGfVS03WnSD&#10;WGszxvoe3WyhJ8ZHlR7CpLwtMCRWQHEFy6fGqY1vb21++4P6flFbMNN84/gEK0pKHaiudmL16idn&#10;ImsFaYyxoc0TptMDNrXin2tWOrFgvgPZOQ5ERivuuemPzzNa56GBieZW6sV1wQhzeBymZDXIB+F8&#10;KUjnyrceR2skmoleGZfWLyF6vdkf9aZROLO5Cl0P29HV1aa5GWGMsaEEaBPu4P69r/DB+1uRnZ0K&#10;g1Ev9uGBMtTTvn72MDlmRQebzQiL0wlzVBoCZtRgXMFb8C89gJFiTyfnpXOYznqB574BzeUfXbwH&#10;U7IbYYrJhsXhEGtEQ6/fO5At23XTkZIaj9On9sn1CY1b0Hq/MsYYY4yxoY0D9H5G7dzPt1+SQTpV&#10;pNdvq8eMvHSYzAboDX24ie6GvqbJYhQbCwPMYnOdbgtEnW0c1in+mjdI+wrd/F0RakJo7lp5s31E&#10;GW/ovcMRNTgXH1/LeQOGuGLYHDa58aVZZYMpOKcgi+aaW+0WRMcqyM61Y8ECNRDzzDzm0Jwx9jw8&#10;bd496CEcOq/k5tnkecbhUuTMdKPFJEN1rXPTgCPWGep8dPFzxRbitbwtGCmu6zTzUvs6w16UnIle&#10;ug+V8en9EqLXGUeh0TYWV/c1oUu2Rb2tuSFhjLGhRK1Gp9CuE3c6Pse2LWuRnpaAQF2ArEjXvHb2&#10;CrFPk7Ol3VwumGPzMXXGSkzI24bRZc3wqTylzqTmB93YSzkij6MR4ngaU3YIE3M3IyBlEZTweHHs&#10;iXWhnG/e+/cOjGY99IYgzJ1Tgu++OSvegx1AF69NGGOMMcaYNg7QvcXt8zjXdglX7l3Hya8+xNod&#10;YhOdkyrbutNMpr4O0i2CyWZBmi0AddaxWGft+/mZHo3WMfKm7/IwK8wFW/BqxSnewHsB+h3QJpie&#10;HJ+cuxF6Cs6ddshWa9a+7aDQmyiwouCc2iqHimNwRoYNlTNprrlaPVrPoTljrAd5AnU6v9TUODF7&#10;jgM5uTbExlGbdwuM5sHU4p0q4IJgDQ5FYPJ8jC3ZKx+Q4zmsPetRJXq8uxJdrKu01lu9pdYwEm9E&#10;TMONCwdk1WXX77c0NyWMMTbUqPPRW4V7+PH789ixfR2Sk2JkNToFfX17D4DCdHdlOgkOgyGuAFPT&#10;qvFa/nb5sLRalc4z09mzohbtR9UHJIVJBTsxJb0axtg82FxOWC0BfRKaE3ov6YxBcDpt2Lh+FX5+&#10;8J18gEXrfckYY4wxxpgHB+heiCrSKUg//vlJNL3dhNSMJNlmioJ0mpOmtSHoSRSeG2V4Hog66zg0&#10;9fGN1u6oUmqD4of5UVGYVvgWhtOmXXNzxvoKbYJpVplf+RG8nrsJhtgCWJ1O2JRA9wZY+7gaSCiY&#10;MilqSGVzmBEfb0NZmR1VVdRu2SVnGFPApRV+McZYT6EwXT6oU+/C8uVOzJnrQFaWHWHhirxW0zlq&#10;UITp1NZd0cEcniDbutOIFnmDnm/O9xi1Et3dzl2hEL0PH4y0jcManQ92ZTjw4PZFGaJrbUoYY2wo&#10;ozCP/PD9BezasQ4JCVFqtWxfzkjvjirSLQGw08NuIREwRGUgKGU+puS+Ab/SZvjRNVper2luOl+z&#10;GaHAXD0m6Nigfx5b/AGmZ9ZCH1sARRxHdnpIw9K39w0M1N3RGITMjCScOvEB0EUPrfC8c8YYY4wx&#10;9vc4QPdiFzuvSKe+Oo3GXY3IzEuHw2WDTqc+ka61OXhZnspzatte2+/huT/WC7NiE/Fa8W68UnGS&#10;w/N+JINz2aq9GZPy3oRRBuc0p0wnNsC9czz2NQqiqLpTEe8BCqgys+1YtNiBlSvVSnOea84Y6y/0&#10;0A6dg+jPFKZTJ4zkVBtCwmhe+uPKdK1z24Ag27oHwWpXYIgvwoTCt+Q1h27Eal2T2PMbVnEck0r3&#10;Y3ZMAjaaR2Ct0rdrvDW6Edg7Kxn/+RdVfdGN6xt/2JgwxthQprZ2vyO0or31KrZsrkdKchzMFqOs&#10;Sjf1S5Bucj/oFgQbVQqL/Z8pPAHG+FJMy6zHmMJ3MLpkn+xK5lN5Ej7iWqNWqGtfi9jg4yN+9yPE&#10;mo3G8dAMfTompmfWwRhXBEtwhFjbWeWDkgrpw64KVHVO7xu7Q8HqVYvQ0X5Nrj943jljjDHGGHtW&#10;HKB7OXVG+mWc77iEz26ew6Y9m1BYWYCQcBcCg6bLqnStzcKLeByeB6gzzzVufvaVdcoobFRGoiQp&#10;F+PFJmxYObV01d6wsd4lW7XL4PwwXst9Q26EbXaacW5wPzned5vg3mKymGT45AxWkJhsRXGJAzUr&#10;Hs8k5mpzxpi3eHpmetUSJwoLHYiLV2B3WuS8dBo5oXWuGxDc7WOV0GhMm7Ea/uLaQ9cgresTe37D&#10;yk8gsOgtVEWFYYPZR6y5+i5Eb7CMRp3BFyfqKvDbrzfQ9bBNc3PCGGNDHc1kBtpl2Nd26wp2bl+H&#10;goJMsV8xYHrQdJj7MIR8An1dqky36gVxvRb7QKvLCSUqHYEpizExez3GF+zE2NKD8K08hREVJ3l+&#10;+qDkmWd+EiOFccV7MD5vK6am18AcmyOOiWD12HAfK/0x3o0KTgJ105GVlYLjx/aI9xU9nNIhH1LR&#10;es8xxhhjjDGmhQP0AYKC9LOtF3Hp7jWcEx93HtmF+TXzEBEdiqCgAJjEZvplZ6RR2/YUqjyX4Xn/&#10;VZ5TeL5OfA85KWUYX8bhef+h4JxatR/F6zmeGecUnA+OGeeyTbtFrdgMj7AiO8eGefMft0zmSnPG&#10;mLfzhOl0zlq92olZsxzIzLIiLEKR5zcyYNu7U7Wb+GiMK8CE/O3wlV1ouKKtJ7wq1lVBxbtkiN5k&#10;8RNrr75b89Wb/NFg8ceVPY2Q89C7bmtuUBhjjHkq0tUZ6Z0d17Fv33bMmVMCi2JEoC5QXOeNL30P&#10;4MXR16VAXewLKVC3qBXqtpAomGLyMC15ISZn1uO1gu0YXdYs9pWe6vRjGCkr1ClU52Dd+6m/J88s&#10;c+oyQJXmrxXswOSMWkxLmgdLVDpsLpfsUiAfgpT3CtzHh+ax03vkrHODOut89arFuHXzknz/oIuD&#10;c8YYY4wx9vw4QB+AKEy/fO86LnRcxt5P92HVplVISo+Xs9HknHSz/rk30hSex9n1WGkb369t25ss&#10;ang+I30u/CpaMJxbt/Y5dca5OrtsYsFOGOJL1RnnclbZwA7OKUjyzAy22i1ISLKhotKOJUvUGcMc&#10;nDPGBirPwz/1dS55TisrtyMuwSrPfZ7z3oAL08U1h27GKsFhCEhfDv+yZviKtQHfcH95NBbHULgN&#10;q0IMaFJGaq7Jekut3hdvhE/BzUvN8qb2Q64GY4yxvwW0Cffxyy/f4tTJPVi8aCaCg+0wmHRSv8xJ&#10;/wMK1Gl2eiDsgs1hgzUkEoaoGQhMKBfX8mpMznsTfuJ6Lq/l5aTbHHXC1/h+Q69993sBco65/B0d&#10;wZiSvZiWvRaByfMQFJUtf692uwKbJQCKFzxgT10Z9EZ6L+hRXJSNz84cEu8btepc6/3EGGOMMcbY&#10;s+AAfQA723oBl+9ew/n2Szj51Wm8sfsN5JflyvbuVJGuNwT97Uaa2rYb3OH5CtuEfg3P11v8UOec&#10;jNQZC+EvNm4jaMOmsbFjvcPTqp0qzscXvAVDQgUUVwhssu3awJ5xbrZ6Zpub5bzgjAw75i9wzzav&#10;fzxXmDHGBjoK0j3nNTrHzZvnwIwZdgSH0qx09Vw40IJ0qmaiqjZjXCHGF76NkRV0o52r0V8GXfNf&#10;Fdd8a956rArRY31fhui2cXIe+o50G+7dPA/gruYmhTHG2B+pQXonfv33D/j260/RULcMiYnR8gH6&#10;QH2AbPOudS3tFxSqims4dTCjPaXNroj9pQvG0GgYo7NgSJqF6ZlrMEZc2/2L98C/ZJ8cG+Yrrk+e&#10;inXZAp6v+b2gW1W5+/WmOfY0w9y/+AOMK9iF6Vn18ndkjEyFKTgcVqdD/B6N6oP1jyrNNX7vfYyC&#10;c6o6T0yKwXvvvoH7976S7xGedc4YY4wxxl4WB+iDAFWkUzX6hfbLck76+6f3YPGaRUjOSJIbCk+L&#10;96c3GsRgUxBr84bwfCTqXFMRnl2rbpa5TWufopsTMjjP3wFd4ixYXS73bLuBPeOcKi4pLKJq85hY&#10;BUVFdlRXP257TLQCKMYYGww85zk651FVel6+HVHRijg/WsS50TSwgnS6YUsPc4VEYlrmGnnNomuX&#10;1jWNPRsK0f9Z8SFcOfWod06RDzJqrdF6Q4MyBrV6HxyYn4ZfH9CN7nbNjQpjjDFtamv3DvmR2lS/&#10;vWs9Couy4HBaERA4TVbial5P+w1VpxsFA6yKus/0zFFXHDYooTGwRGfAkDQHr2fUYULOG3JvOr7o&#10;PYwpo5nqJzGi8pR6r0AG61StzvcMng3NLD+mvm7i9RtR+SFGVpzA2NID4vV9F+PztmBi1noEpC2F&#10;Oa4ASlgcFLtV/G7EPpp+R3RfQPzO6HfnTfcGTBYDpotjPTIyFPV1S3H71mW5nqCHTLTeM4wxxhhj&#10;jD0vDtAHEQrSaT76+fbLuHL/Oo5fP4F1b61D2dwShEUGI0gXINu70cw0xWqC6VHl+cT+D8+dang+&#10;Qobn3Latr8gbD2LzTBtnasdGs8vUGeeDIzh3uBSkptlQWenAqlVqRSYFSUQrbGKMscHI89AQtXiv&#10;qXGirMyOxCQrbHYK0gdYRTpVo4vvOyixUly7dotr2HEZBGtd49jfk+1axWsYm1mNesfrWKeM0lyr&#10;9YYG82jUGf3w8Yb56Pr9Fs9DZ4yxF0CzndUw/Q5+vv81TrTswaqVixAbG4GAoOnQGdT27v03K/2v&#10;UKhO3MG6DNfdFevi/7eFhEOJSIIxrgDTkuZjcvoKTM5qwOu5mzGp6G2MLjskw2C1gppQsK62g5et&#10;x+ka9wd07RNK3Tz/3Nc8X/9v+Dzl0f8nP4/6M3l+zhGlQtkxjBCvwYjy48IJ+dABde6ZUPw+Xsvf&#10;Kl8/eh2nJ82BOTZfvL6JsMnKcnrtaYa5OyiXvxM6ZrzvuDGJ4zlQFwCHQ8HSJXNw8cIJcfzTwyRt&#10;6OKxMIwxxhhjrAf9z/m2S5phLBv4PEH6mZ8+w57Te1D7Zi0y82fIalyj1YwwuwlLbROxvl9nnvuh&#10;JlR8Lzl1ctOrbgC1b/KyniI22O4n0OmJ/oCUBbCExrhbtWt3KhgIKACi4NwkhIYpyMm1Y8ECJ1av&#10;dmHtWg7NGWOM0LmQzokrV7owZ64Daek22BwWee4cMHPSrTQbXQclPBGTczfKuejyZrnmNY/9HXpw&#10;kR6my0ibIx+obFT8NddsvaHOOApNzgn48tg2Gf7wPHTGGHtxapB+HxDn0i8+P419e7ehtDgHVnFt&#10;p4p0epieqna9M0x/GgXrYm9K1eqWINgs02EX/2xzinVLcJhYA8TJ2eoBsUUISJyNgLQqTM+oxZTc&#10;N/BawU55fZOt392oc41UcUxV2SKpY2E889ePyk54HiNKjjxhePFhDCtqfnnFzeJzNYvPSaH4kSfQ&#10;9+BBM8jpex0lvk/i7/44iv6d/DnUn4m+14mzjsG58CiCZ78FW8lGOAtXw5G9CPqkMgRF58ASkQRr&#10;SIScS2+ndvri9aTXlV5fGZZ7+cPzdMzSeAJq1253KKhaPBPnPjuM3/77kzjm73JwzhhjjDHGesX/&#10;fPr9GVzsvIJPNQJYNjica7uIy/eu42LHFXz47Ud4/5P9WDC/CFVUaWTpu5ukTxojK8+Xhykw5r+J&#10;YRWnODzvA+rNgRaMLtmH6TNWwBIW7X7aXCc2pgPhRsofydDcorZpj4xSUFLiwLJlFBK5ZLUlB+eM&#10;MfZHnor01audWLTIgcwsO1zBlkfnVO8P0k3y2mVzOhGQsgijS5vlg2H0kJjW9Y/9tRFlRzFGfMxN&#10;KcN6xb9PQ/RavS+2JhnR9uVJeRNca8PCGGPs2aHrtnwoieZA0zzoq5dPom7NEiSnxMLusEJnCESQ&#10;QJW82tdYb0WhOlVG69XZ6pZA2C0Bcj9rs5tlOGx1BcMSHAZDSAyUyCSEJuciMqMc8QULkVy2HNkL&#10;NyB38SbMbDyCsrXHkFzdjLilh5Gw7DCSVxxD2qoTUvrqE8hZ+/ETijaeRdmbF1H6Eko2X8Ts7ZdQ&#10;t/c66j64gpp3zqvevSA/Vm3/BFXbVIu2fIgtB89g26Ez2Lz/Y7yx9zSqN7yDqrXbML+mDhULq5BV&#10;OhMxM3Lhik2GKyIGIeHhCA5xISTYhmCnGQ4rPXwQIKvLB0pY3h0F5xSaB+kDxc9lx/y5Zbh0oQW/&#10;/vtHcXzfE3jOOWOMMcYY6z3/k1+YiQ8vHcOVO1fx6W3tAJYNDtTi/eKDL/DptcPYlh+Ktca+m3X5&#10;pDHYYPHFijAFhoI38QqH572OXl+adza6dD+mZayBJTwBVps6z0xtzaa9YfVmj9u0WxCXoKCiwoHV&#10;q9RQyNOqXSs0Yowx9hidK+mcWSc+Ll7sRFa2HeGRiqxIpyBd6/zrTeRcTqsRxth8TCh8W+1mI9u2&#10;al8P2Z8bVn4cE8Q6YVZcCjYoYo2ojNZYw/WONTof7Judgn/f/Rw8D50xxnoGVeWqM6E75J9/+flb&#10;HG1+G1WLZyE5JU7sA82YFjBVBpQDoyr9z3iCdUKt4Glmtw42qw52m0EwwmE3wekww+VU4HIpMox1&#10;umxyfnZqaiLS0hJRVJCNBfMrMW9uORYvnInNm+qxZfPaRx+bm9/BuXPH8NlnR1/K2bNHceH8MRw+&#10;+Ba2vdmA7VvWYsfWtdiyqQ5V4usuml+BxQsqkZebhpzMJGTOiEd0VAjCwxwIDbEJVoQEW2RA7nSI&#10;n038jFbxs1osNK5PLxjk2L6B/Dul711nCJJjCGJiwrFoUSXOfXoYv//uOaZ5zjljjDHGGOt9/0NP&#10;cqYmx+HYqb346v4X+Kz1AlejD1LnOq/ik69OYEdZDOoNvpo3MHvf48pzQ/4WGZ5r3cRlPWdExXHZ&#10;2m1K1lqYorPkPDk522wAV5wbTCYEhyiYkWHDnDmPAyAOzRlj7MXQ+dNTlU5dPPIK7AiPsMoQnc67&#10;Wudj70HV6IFQQmPxes56dzvWo5rXRPbXhpW34LWSPVgYFYUNYr22VumbMT8N4uvUmUbi4w0LZeUk&#10;z0NnjLGepValU4t3mhXdgR+/P4f9e7dh+fL5SEmOg94YhADddBjdLd4tmtfbAYp+nkcoWBZkyPwk&#10;s/jZzRa9ZBKMZt2TTEEwiNepJ+iNgfKj0USf9zGTWXxtD/H9dGem71ExPvL4Z9L4mQcgdSSbEUGG&#10;IATpApCWloD161fh2hXqUKM+CELHsdbxzRhjjDHGWG/4H1qoUvuumOhw7Nu/Ez8++Arn2y/h05vn&#10;NENYNjCdbb+CM998iLfmp6Pe0Hc3RJ9Eleee8FytPNe6ect6gjrnnObCTsrfDl1sAex2RZ1zNgCD&#10;c898cxIijp+8fBsWLXoc9nBwzhhjPcdzbl261ImCQjtCw5VH52BvvklL1WZWpwsBqUswuuyQHFmi&#10;fY1kf+XVihOYVrgLy8Ks8qFH7TVdz6s30Tz0ifji6Faordx5niljjPWGx5Xp1AL7Nr79+gyOHX0X&#10;y6vnIS4uUs5KN5hpZroa4lJIq3XdHQo8DxLQx8eBdc959LndX2eoodfAZDHKY406IdjsFsysKMS+&#10;D7bhh+/OiuNTHUXAM84ZY4wxxlh/kAE6oTlYwS473tiwCm0/f4Uv7n+OMzfPcZA+CJxtvyznoL+7&#10;LA91uhFosPRdS06PRmW0vAm7KCoSusLteKXihOZNW/byKDCg4Hx84bvQJc2CEhwCG808sxr+sGH1&#10;dhTWeFoIR0RaUVjokIFOXR3PN2eMsd4mW7vXqRXpBQUO+QBT9/OyV7LqYbOaYIwvw9jiPbKlO89F&#10;f370kKM9byNWBwehydJ3I3/kPPRkM9q+OiVvmmttXhhjjPUctTK9U7iL//z7B9z46QJajr2HxQsr&#10;kZQcA4fTCqNZL2dQ6006sQ4YaHPTmTei0JwKeajzgc1hQWJSDOrrluHSheO4f+9r9zHJwTljjDHG&#10;GOtfjwJ0Qk99UtuopUtm46dbl3DjX9/g3O0LMkjXCmaZ9zvbdlnOPn+/vhIN5lGCv+YNy97UqKgz&#10;z+fHxGJa8Xt4teIkzzzvBb5lR+Wc8zEl+zFtxgpYQ8Lds2GpXfuTG1ZvRxWORrMJVrGZjopVUFTs&#10;QE2NGuRwq3bGGOs7dL71BOnV1eqMdBqh4dWt3a1Gee2zRKRgQsF2+PJc9OfmI9ZpPhXHkZBZjbX2&#10;iVhHM9E11ng9TqwZ1wQNx8EFM/Dbrz+A2rVqbWAYY4z1vMct3tvw239+ws8PvsGJlt2oXVOFwqIs&#10;RMeEw2Q2YGrAVOiMOpg4TGfPgY4Xmms+PXCarDRPS0/E0mVzcfjQW7h//yt0yfnmdPy1c3DOGGOM&#10;Mca8whMBOjFbTQjUBSA7OxUXzh3Bz103cJVmZ988qxnQMu91tvWinHu+t2muGp73Q+U53Qil8Hxe&#10;dAymlryHYeXHNW/UspdDc879y4/g9ex1MEemwWY1uivOB1a7PU9wrtgsiE+worzSgVWrHofmHJwz&#10;xlj/oPOv5yGmRYudyMyywRmswGBWz91a5/T+RXPRdVBCozBZXBv9aKwJz0V/Lj70elW0IDNtFtYr&#10;o9Go9M1DmLRerTX44rPty9H1kG6it2puYhhjjPUOtcW7Z2Z6mww1f//tBi5dOIZ33noDy6rnITUl&#10;Hja7GdMCp8nqdE+rd09bcja00dpQbc9ukJXmdJzQ8ZKRkSTWlVU4sH8H2m5fEccWtWinY0wcazzf&#10;nDHGGGOMeZk/BOgegfoAREeHYd+erfjXf3/Edz9/KUNZrkYfIG5fkOH5gZ0rsM45vl8qzz0zz+fF&#10;xHJ43ktozjnd3J5YsAP6+CKxKVVgpXbtAzA4p2pGat+WkmrDzFkOrFzJbdoZY8wbUYhO5i9wIjXN&#10;Bqudqoq8MUinEF0vri12BKYtw6jyI+p1U+N6yrQNF6/X6PJmlMVnYIPiJ7sKaa/5ela9WLeuD56I&#10;Hz59H2oLV+2NDGOMsd4nA3XZ6p2qgx/IwPObrz7BR6f34Z13NmLe3FJER4fK6nRq807z06ntO4Wn&#10;1PKdQ/XBjX6/9Hum3zf93tX5+eI4ECIiQjBnVgl2bF8njxd1rjm1Z6f5+218fWeMMcYYY17tTwN0&#10;Qu2VFMWEVTULcPPGRdz7/Sdc7riizkbXCm2Zd6Dw/M41HNm3Dk2hr6He2HezKx9Tw/PHbdt55nlP&#10;oio6mnU+qvQAAlMXwRocPiDnnHtm6docZhmcz5tPFedqcE6VjlrBDWOMsf5HDzfRuZr+PGu2A7Fx&#10;Vnlep3O61wXpFKKLj/rk2RgtrpvUmlzr2sq0DRPrjXElezE/Klx2FdJe9/W8NTofvJXtwi8dV8Gt&#10;3BljzHuoFeqeELQTD+59hR++P4sznxzEljfrMWtmIeLiIuFw2WS4SnOuPTPUPZXqmtdr5vVkVbli&#10;lEE53S+k36vRpI6Mc4XYxXowAuVluWhsWI6PTu/H99+dxf27X8nruHq8dMjjR+u4YowxxhhjzNv8&#10;ZYBOZMslsSjOyU7Fuc8O479dt/D9L1/JAJ2r0b3Q7Qs4f/c6TpzcgY2xQajXj9S8Kdm71LbtC6Kj&#10;MLVkN4fnPcxHvJ5+5UcxObsJ5ohk2a6dKuwGUtU5BedGsxl2pwVJKTbMn+/A6tWP5+w+HdQwxhjz&#10;Tp627itXOlFc7EBYhDofnSrStc7//cZqENdLA0wx2RhT/L6ci651jWXaaC2nK9yBmhA91vdRiN6g&#10;jEGt3hctK0vw8LdbeNjFrdwZY8zbqGE6teCmQL0DXeLf/fqv73Gn8wtcOH8M27c2YOGCCmTnpMkZ&#10;6g6XFXpDkJyjTveZDCa9rF7WvHazfmUR6HdDleQUlk8LmCbHPSpWM8LCXUhNi0dpSS5WVM/HWzvX&#10;4+qVE7h390v8+1/f4ff/3pDHg3pcUKU5h+aMMcYYY2zg+dsAnXieGnYF27BtSwM6Oz7Hvd9v4GLb&#10;RQ7RvYratv30+X14c4YNdUE+mjcke5canleH2xFYtJPD8x7kW3ZUhucTCnZBl1gJm8OqzncdQE/w&#10;U1WiwWySwXlyqhVz56pVjPV13KqdMcYGMs+5vLraiawcOxzBinxQyruq0Y2wWnUwR6bIa6lPxUlx&#10;bT2iec1lT6LXabhYg4Tl1KPB8TrWKaM01oA9r940Co32sfi8eROAu3jIrV4ZY8x7iXO02urdMzvd&#10;o0OG6lcuHsehAzuxeVMtFi+ZjbzcGYiJCYdFMWLK9CkICJoOnTFIrB8et373vvEwgwu9vsRMleUW&#10;tQW/Z2Z5gED3GqibQGZmCubPr0BT00rsfucNnD61F+2t1CGGftft3X7XRJ1nzu3ZGWOMMcbYQPdM&#10;AboHbWToydOSkhxcPN+C/zy8hW/vf4HPbp/HGc1Al/UlCs8/+eoktuaFok7fdy02HxuD9ZaRWBGm&#10;wJD/Jl6pOKl5E5Y9H7pp7VPeAn/x52kZK2ENiYRNCRSb2YHzpD5tyj0zzlPTbZg716GGLfUcnDPG&#10;2GBCFel17vnoSclW9aasV1Wjm2CzBMESFo/X897EyPJjHKI/Ix9aj1QcR1r6XKwXa75GZbTGWrDn&#10;USv37SkW3PnhDKj9q9aGhjHGmHeiymNZpS6DdQpa7wj35Z9v37iMSxdbcLxlN95+ZyNWrVyE4qIs&#10;Gdja7Ba17buRZmnTTG11rjrdkzJZjN0Cdm4H/2fUcJzmk3efUd59Trlevr70OtP/Hx7uQnZWCubM&#10;KkbTuhrs379T/m6uXj6BH78/J7sLqDPw7wpUWd766PfLFeaMMcYYY2wweq4AndCTqdS2KSIyBFve&#10;qJUtmu7+9iPPRu9n5+j1//5j7Jqbijpd/1Ser1dGYnmY1R2en9K8+cqejw/d2K88jtcKd8Acky1n&#10;uMqq86fel97qDzPO51GrdnXGOQfnjDE2eNF5ftUqJ8rKHQgNV9u6e1OQTpXoVlcYpmSvx8iKFviW&#10;H9W8DrMnjZAPHBxFUXwGNlpoTNCYp9aDvWONbgQOLpiBXx98I0MXrU0NY4yxgUOG6k8E6vfw3//8&#10;KKuav/vmU3z++WmcOL4HmzfVoWrxLJQUZyEpKQYhYU7YnVZYxbWcQl8Kgz0z1ql6ndqNPw7ZTfL+&#10;ldY6YDDwhOP0sxothicCcdkeX/zZJF4L+u+sdoucSU+vX0JiFIqKsrBoQQU2v1GLQwd24drVU/jq&#10;y49x68Yl3LvzpfuBh5/l78XTnp/+ndbvkjHGGGOMscHquQN0D3VjokdJUTbOfHQQD379Ht/+zLPR&#10;+8PZtsty9vl7NYWoN/qhwdI3FUGPqW3bl8vK8y0yPOdqrpdDVV7Dy09gQvl+WLKq4QwLc7drN2i+&#10;H73NkzPOrZi/4PGMcw7OGWNsaJDV6MKyZU5kZFjlNYGCdKqI0rp29DW6rlpdIZiWWQe/8qMcoj+j&#10;YRXHMbVkN6oiQrDe3Efz0MXats4wEpd3N4DCFq50Y4yxwedxO3AKbKnKuUP++1///T1+fvCNLN7o&#10;7Pwcn3x0AO+/uxnr19Vg6dI5qKwsQFZ2KhKTY+Wc9ZBQB+wOBSZZZa3D9MBpmOpuES/DZQPNXlcr&#10;2z3t4j1o7rfWmqEvqIG4+n2YhEdV4u626vS9088wdfpU+TPRgwP0M9LP6gq2IzIqFHHxkUifkYj8&#10;/AzMnVOCVTULsWVTHQ7s244L546ire2qfB3p9aS2+urrTq85vd70MAPNLW/jsJwxxhhjjDHhhQN0&#10;Qgt7aunudFmxtn4ZfvjhHO7+fkNWo3/CIXrfaLuE83euYt/GBWgwjxL8NW889h6qPPdTK88LKDzn&#10;tu0vw1d4tfQoxsw8Dn3RZoQmZsBuM8CqDIzgnEIRCs5tNOM8xYq58xxY456Ly8E5Y4wNTZ4gfdYs&#10;B6JjrWo1upeE6ApVotsVBKZXw4+qqzlEfybDK47DWvAmVrsCsc7SN/PQ64x+eDNOh/ZvToPCFa2N&#10;DWOMscFDVqnLSmgK1j1z1T3ztj3/zk38d7dvXca1Kydx4thu7N2zBW9ursMbG1dj5cqFWLJ0DmbO&#10;LEJubjqyslIQGxeB2NhwhIU55ZxvYrYYZTA9edpkTJk2RZiMaQFTZQfGAE3T5f9Hle9U+d2dDLv/&#10;8N8/iUJ9+hr0tehrBol/R98HzYS32SyIigqVM+Lj46OQnZ2KvLwZKC8vwNJlc1FTsxDrm2rkz0g/&#10;69Hmt3Hx3FF88+Un+M+/v3e/Lt1fO9L99XO/huJ144fSGGOMMcYY0/ZSAboHtYyijUPGjCQc+GA7&#10;2u99ie9+/gpnb1/glu696GzrRZzruIzDu+vQFPKarD7XuuHYm2jmeW3wdNjzNuCVSm7b/qJ8Sw9j&#10;uOBTfhzK/EOIKaxCeJgLViVIPomu9b7zJp4Z54rY6CckWjFzFs84Z4wx9iS6Jixf4UR2jh12h1qN&#10;rnVN6XOKXg3RZ1SrM9EFrWs1e4w6DQ2vOIHozGqss4/rm3noyhjU6n2xf04qfvvXd+hCq+bmhjHG&#10;2CD38PFsdY/HQbungp2qqamqmlCL+Pv4z68/oPXWZdz44TwuXzyOSxdacObjAzh65B3p8KG3sPu9&#10;zXjr7Q14++2NeOfdTWhqWolFC2diSdXsP1i6ZA4Wzq9AQX6GnB2ek50q0Z9nVhbK/1/r71VVzZIf&#10;t29vxDvvvCG/Fn3NvR9sld/HkcNvo+XYezh/9oj4Ho/JGeQ3f7qItttX8K+fv3P/PNRa3fPz0c9K&#10;P7M7HKfXouvJ14dovpaMMcYYY4yxP9UjAboHPWVrthgws6IAZz45iJsPvsLVO9fwWSsH6T3u9gWc&#10;u3MVx1u2YkPUNNTrfbHWNk77hmMvabL4odY5DeHZa+BTcVzzBiv7e8NLmuFTdgyB808ie9kuJKdn&#10;INRphMmi13yfeZPHwbkZ8Qk2zJzpwMqV6uxbDs4ZY4w9zfNg1ew5DkTFWEEjP7yiGt2qh81hRVDq&#10;QviV0wNtLZrXbPbYCPmwQQvykwqw0UKt3Ht/Hnq92V92XFJbud8XmxkOBBhjjD0btSKbQuanQ3YK&#10;owkF0w8Emv1NH38R2vDLg2/x71+++wNqgf7L/W9kKH/zpwu4deOiRH++2/mF5t/pTv2anq/l+ej5&#10;Xgh9f0+F4/zwGGOMMcYYY32mRwN0YrIYZJAeFupCTfV8XPr8Q3x993NcvnuNQ/QedO7udZy+dBCb&#10;0xQ1PNe4ydibZHjumorw7FqMqDgpZ3Zr3Vxlf86n9DD+UdiMyfNOIn/dacxdshox0cFQLEFyPILW&#10;+8tbdK84j4y2oqxcDc4pGKE2vVqhCWOMMUY8HUqoGj0ryw6bt1SjU4huM0GXWAG/smYZDmtdv9lj&#10;w8qP4/XSvVgUFYENfTQPvdYwUrZyv331mAwWtDY4jDHGWE9QK9vd7c410f9H4TbNDu/ur/6OiqvC&#10;GWOMMcYY827/E2QI1L6J+JKMZgMMRh1iosPwxhtr8On1U/j8/uc4336Zg/SXdK7zKj759jS2FUWh&#10;Tu8jW1pq3WDsLesUP6yzjUds5nIMrzwFnzKeF/q8Xik6hGHFR5HY8BlWbd6LubNLYLerVecUTmu9&#10;p7wFVQvSnPPwSAWFhQ6srOHgnDHG2PPzXDdmVjoQGaXAaFEf0NK69vQZqwE2QZdYDj9xveYQ/e+9&#10;WnEC5vzNWBUchPV9NA99deBwHJyXjt9//QEUVGhtchhjjDHGGGOMMcYYe1H/U1yUDb0xCKZeqHil&#10;m6AUpAfpApCWGo9N29bi3LdncOXedZxruyhnpGsFxOzPnW2/jM9unsU7S7JRb/BFg6UPZk52s07x&#10;xzrbOKSnz4V/+VGMELRupjJtI0qb8c+CQzAvPoWGfRewddtmpCZFIMgQIN4v3j3rXH0/mxEcqiAv&#10;344lSx+34n06FGGMMcaeBV1DaOzHsmVOpKbZ1JbugtZ1qM9YjbDZKESnSvTD8Kngmeh/55WKk4jO&#10;XC7XiI1irai1huxJDcoY1JtG4fKeRhmgd3VxFR9jjDHGGGOMMcYY6zn/09F+HfV1y2CzW6A36not&#10;xNMZgmA2G5CVnYb1W+vx8Tcfy2r0CwIH6c/mbNslnG29gL1Nc9BgoRmQvX+DsjsKz5us/piRNhej&#10;yo9hBFeePzNq1/7PokMYXX4Us7ddxLGPzqBh9UI4XWb5vtN6z3gLCs4pzLA7LMjItGFxlRp2UHiu&#10;FYYwxhhjz4uuKatXO1FcYocrWJEt3fu1Gt1qhN1mhP5RO3cO0f8KdSPyK29BYVI+Nlj8xLqx97sj&#10;1Rn9sCk6AO1fnADNh9Xa6DDGGGOMMcYYY4wx9iL+h6o2fv+tFUea30ZcfCQCdQG9Uo1OaK4zzUe3&#10;Wk1ISU/Aum1rceKLU7jYeVm4ohkaM7fbF2Tr9ub3arHOOV5W3WjdTOwtjcpoNCn+KE7KxZjyZgzn&#10;lqbP7JWiZrxaeAhRqz7G4bNf4eTxvSjMS4HBGCQ7NGi9V7wBBRcUYNDDNckpNsyb53g0t5arzhlj&#10;jPU0aulOD2jNn+9EdIxVXINM/R6i22xG6JLnwK/8KIfof4PWhpNL3sfiyBCst/TBPHRlLGp1Pjg4&#10;PwMPf7uJrq7bmpsdxhhjjDHGGGOMMcae1//Q/wCtsv3hF9dPY+6cEhjNeuhNvVcVS0G60aSHyWyQ&#10;QXrjjrVouX5ctna/2HlVO0Ae4s7fvY4TH72DjXFBaDBSZY/GjcRe0mgdjY2WkSiPz8C4skMcnj8j&#10;qjr/v/xDGF9xBKv3X8N333+Ot8WxHhZql1XnZi9u2U7BuVmxIDrWiooKB9as5uCcMcZY76PrDAXp&#10;K1Y4MWOGDRarpX9bulsNsNotCEyvxsjyY/Dl0TV/6ZXKU1DyNqDeOQXrZCW69tqyp9RTNybbWFzd&#10;1yT2Mnfx8KH2hocxxhhjjDHGGGOMsechA3TS9fCWDNH/9cv32Ll9HcIigmU1em/OZabPTUG6wahD&#10;enYKVm5ciQOfHcSlO9dwoeMKt3Z3o8rzj68fxZacYNTrR2reQOw1yhhsUPwwLzoWk0r2YFjFCc0b&#10;puxJw0qaMazwEFLqPsKZL37EzR/OYfGCMui9vOqcQgoKz8MiFBQU2mWAwcE5Y4yxvkYhOn0sLLLD&#10;4VJbumtdt/qEoofNbnWH6FSJziH6n/EpO4KRFS3ISp2F9dbRsoOR5vqyB9XqfbE9VUHn95+oIXq3&#10;jQ5jjDHGGGOMMcYYYy/iUYDuAbRLVy+fRHlZHgwmnaDXvqHYg/SGIOj1gYhLjMGiVQux56MPcKHj&#10;spyTfr79kmxhrhUuD3Zn26/g0x8/wdvz01Cn95WBttbNw94xBhssI7E4IhivFe/GqzI8b/7DzVL2&#10;2IjSZvyz8BCmzDqKTUeu4v6DW7jw6QGkpcbJB1K8tercM+fcGWxBZpYdVVVO1Dc8DjAYY4yxviZb&#10;utc7MXuOQz7YZezPuehWCtEVBGSsxMjyFvhSUKyxDmBiLVR2FGNLD2JWTIJ8CLOxD+ahrw4chhOr&#10;y/Dwv7eArtYn9jaMMcYYY4wxxhhjjD2vPwToBF23AdzBz/e/xvZtjYiICJGzy3trNroHVaRTNbrR&#10;pEN4VAjK55fhnZZ38NH3n8gZ6WQoVaWfbbskXMQHjbPQYBqFBmpTqXHTsLfQ/MrqUAuMBVvxSsVJ&#10;zZuk7LFXipsxoqgZqXWncfnbH/Cff3+PbVtq4XTZ5PtH65jvb54559SeNjHJhgULec45Y4wx7+G5&#10;Ji2uciIh0Sof9uq3EF3RweoMxpTsJhmia60FmIoeugwq2omVIXqxnuz97knUyr3RNhbfnn7HXYV+&#10;6w/7G8YYY4wxxhhjjDHGnpVmgO7xdDU6zW2mFtSaNxV7kGztbtbL9u52pxVZhRnY9P4mHLt2HJfv&#10;XsOlO0NgTvrtCzgvftbmPQ1Y55qABlNfhufjsF4ZiTrnVNjyNmB4xSn4atwcZSp6bf43/xAmVR5F&#10;04HL+O23drTfuoAF80pl94a+6ODwIkzudu1R0QoqKh1YzXPOGWOMeSmqRq+pcSI9wyZD9P6ai261&#10;6mF1hWJy7hvwqeSHC/8MVeiPqDiB6OyVaLRNwLo+auX+Vk4wfm6/LPYvbZp7G8YYY4wxxhhjjDHG&#10;nsVfBuhEnY3eiZ8ffIMd29YhKipUbUXdy9XohIJ0+jrURt5k0iMtKwUrN6zEgbMHceX+54O6Iv1c&#10;5zWcOP02NsYGot44SvNGYW9psvihwfEaYrJXwafiuDrPUuPmKDuM4SXNeKXwECJrTuHEpa/le+Wz&#10;j/cjIyMZOn1gn7xPnhdV7lEbXFeIgpw8dc45tcjl4Jwxxpg384wVycu3w+awwGTpn7EoViUIltAY&#10;TCjYBV+xTtJaH7DDGFF+DP7lR1CSmC1HAmmtOXuUMgZ1hpE4s7lKrMfu4qHYw2jtbRhjjDHGGGOM&#10;McYY+zt/G6B7UCUHhYPXrpzE/HnlMJn10Jt0MuTWurnY0zzt3XW6AMQkRmF+zTy8e/xdGTZf7Lgi&#10;56QPljD9rPh5PvnyOLblhaBezj3XuEnYS9Ypo7DONg4pMxZyeP4XqOr8n0WH4F96GFU7z6LjLj1o&#10;0o53396A0FAnggxBsGgcx/3JM+fcYrUgJdWGhQscsuKc55wzxhgbKOiaVVfnQkWFA65gCtG1r3m9&#10;TYboEUkYW/y+XC9prRXYYQyjVu7Fb2FFmIINZrGm1Vh79qQ6ox82RU3HzcuHxbrsjuaehjHGGGOM&#10;McYYY4yxv/PMATpRq9Hv4F+//ITDh95CWmq8bOlOFeJaNxd7CwXpekMgQsJdKKjIx/YD23H6249l&#10;iE7t3QdykH6u/TLO3jqHd5dko07vgwZljOYNwt7QaB2NJiEvuRB+5UcxouyY5s3QoW5EaTP+WXAI&#10;xoUteP+j6+I90YH//votamuXwKIY5agDreO2P3na3UZEWVExk9u1M8YYG7g8c9HnznUgNLy/QnST&#10;bOduisnC6NJ98OGZ6JrogcPhFScQnl2LBsfr8kFNrTVoT1oTNBwH56Xjt3//gC5u5c4YY4wxxhhj&#10;jDHGXsBzBegeajV6B1pvXUZd7RKEhTkREDS9T9tVyznpcr60DjaHgtSsZNRvq8eRy0dxof0Srty7&#10;jnOtFzVDam91Vny/5+5cx/43l6DB7Cf05dzzsdigjERFfDpGlx3C8HIOz7W8WtyMV4uakd34Ma59&#10;+518oOTH7z7FzMoi6AxBMJoNmsdrf5Ht2s3Urt2C3Fy1XTtXnTPGGBvoPCH6kioHoqIVea2ja57W&#10;tbD3mGCzGqBPmoVR5UfgW3ZUc+0w1NE8dKpEz00uwgaLn1hz9u489HpaPyujcf3gG2Kddg8PH2rv&#10;ZxhjjDHGGGOMMcYY+zMvFKATtRq9XYbpn316FPPnl8NkMcgQsa/aukuyLbVRhukkOj4SS+qr8E7L&#10;uzjz01k5K/1c20V85u1V6eL7O3fnKo4e2oh1IZNQb+rb8HyjeQQWRIZjavH7GF5xXFYMad0EHaro&#10;9XilqBmjSpux/N1z+OUXOv7v4czHB5CSEi+O+0CY+/K4fwayXbuQmGTF/AWetrfaQQRjjDE2EMkQ&#10;fYkDsXFW9brX1yG61Qir+BiYthSjyo/KsFhrHTHU0Tz0aSXvY1mYA00yRNdej/aUNTofvJXpxM9t&#10;V+TDjlp7GcYYY4wxxhhjjDHG/swLB+geapB+H7/++wcc2LcD2Vkpalt3s75vg3RBVqWLrxsUNF1t&#10;716Zj3VvNeHDbz56NCedwnRvbPF+Tnx/py8ewJvpVtQbRmreDOwt6y0jsSLUDEPhDrxacVLzxudQ&#10;5lt6GP8oPAT9vGPYc/oa0EUdGNrQfGAHIqNCEaQP1Dwe+wuFB9TONjRcQWmpHatWqQGDVvDAGGOM&#10;DXR0jaMOK0nJ/ROiW60G2Ow2TMlaC9/KE2LtwCG6lmHlJ+DIXYsG+2toVHr/QVFq5f7RhoV4+Ntt&#10;dHW1au5jGGOMMcYYY4wxxhjT8tIBuuqGDBSpwoPaum9+oxbx8VFyFnRfz0f3MJkNCAoKgNVuQXJG&#10;IhavWYT9nx6QVekXOi7jYucVr2nxfrb9Mj794Qx2zU1BncFX8yZgb6HwvNY1DcF56+SMSq48f9Lw&#10;kmb8o6AZcSs/xNVvvhbHeCfQdQtb3qyHTRxb9LCI1vHXH2S7dosZNocZ6TNsqFpCoYKLq84ZY4wN&#10;eg0NTtTUUIhukw+R9XmIroj1bkgkJuRvh49YT2mtKYa6EWVH4VvegoKkAmyw9P56t940ChvDJ+P2&#10;1SNy/aa9h2GMMcYYY4wxxhhj7I96KEBXPWrr3tWGH74/hzWrFiMiIljOR++v2dBmixEGY5D4aJBV&#10;6XlluXjj/U04cuUYzt46j6sPvpCV6VrBdl+guefnO69gb9NcrLX4o8HSu3Mhu1un+KPRPgnxM5Zg&#10;hGzbzhVT3dG882FFzZi59TO0dfwoju27uNv5BZYvX/Coy4LWMdcfqOKOREQpmDnLIcMEDs4ZY4wN&#10;JVSJ7gnRzf0Uolsi0zC25AP4lLdori2GOnpYc3rx21gebpUPcWqtT3uMMgZ1hpE4tCgDv//nR3R1&#10;3dbcvzDGGGOMMcYYY4wx9rQeDdA90HUbakV6Jy6cO4rFi2fB6bLJIN2s9M+caGrvTjPa1VnpOsQl&#10;x2DhyvnYfmgHTn5xClfvf45Ld6/2bVU6zT3vvIZjhzaiKfR11Bt7fybkY2Ow3uqP3JQy+JQfE45q&#10;3ugcqmje+VjxsXH/Rfz+X3FM4x5u/HgBlRWF6rxzxah5nPUHo9kMu9OCnFy7bGFLAUJtrXa4wBhj&#10;jA1m3UP0vq9EN8Fm1UOfUAF/uZ7gBxOfRg9rDq84ibisFWi0T0CjZZTGGrXnUBV6o20cvjiyVazl&#10;7ot9yo0/7FsYY4wxxhhjjDHGGHtarwToHmpF+h08/O0GznxyEEuqZsOimKAzBPVrACnDdNnifTqs&#10;4p+zCjKweM1ibDu4DZ/8+Bku3bmK8+2Xca7tkhqo39YIv3vAuc6r+PDiAWxOo7nnfdm6fQw2WnxQ&#10;FpeGcWWHMKL8mOZNzqGIWtj/o6gZAXOO4YPTV8XxSw+D3MfFC8eQk5Mm55339Wz/P0MV5yYhJs6K&#10;2XMcsuKcq84ZY4wNdY9C9JR+CNGtRthsJkxPq8YIOQ9de70xlPmUHcGo8qOYm5KBjVY/WSmuvV7t&#10;GWt0Pni3IBK/dFwHuto19yyMMcYYY4wxxhhjjHXXqwG6hxpC3sOv//4BJ0/sQXFxNhSrWbbB7q/W&#10;7h4U5Ov0gdALwWFOzMhJw4Ka+Xj3+Lv4+IdP8dnNc+6Z6Wqofvb2Bc0w/HnR3PMzP3yCXXOSUW/o&#10;5RaWT9lg9sHiyDBMLtmDV3lO5yM+pYfxj8JDMC88jlMXvxDHbLvQgY9O70diYrTsoOAN4TkFARQI&#10;UNV5do4dy1eos1+56pwxxhhTUYi+wh2i0wNnfRmiW606WF3BmJS7ieeh/4lh5cdhKn0LDRF6NFl6&#10;twNTg2UMavU+OLujRqzr7uLhw1ua+xXGGGOMMcYYY4wxxjz6JED3UNu6d+Bfv3yL4y27UVycA5td&#10;UWekW/o3SPdUpeupOl58L64QB5LS4jF7ySxs3b8VzRcP4+TXp3Gh/bKcmy6r1NtecHY6tW7vuIJ9&#10;G+ajwdy3c89p3uTqED0sBVswjG/qPkLh+f8/7yBiV32Iz7/7xh2e38Xh5rcQEuqA3qiDReO46Wuy&#10;6txiRnSsFXPmqqE5V50zxhhjf9SflehWJQhKRBLGF++GTwXPQ38atXL3rTyBebNWYKNjTO9Xoet9&#10;sTXZhM7vPhHruzua+xTGGGOMMcYYY4wxxjz6NEAnalv3Vhmk/+fXH2VAWVlZ8ChIN3nBbOlH89LN&#10;ehmqk/CoEOSWZmNF0wpsO7gdez/Zi4+++wRX7l1XA/W713Ch84ps+66G5G5Ph+c3z+H8vS/Q0rId&#10;TeGT+3Tu+TrFH2vtExGetZLD824oPH+l8BAKN3yCb376Tobnv/92E3v3bIUr2A69Sad5nPQ1uvlv&#10;c1iQnc2zzhljjLFn0X0met9WoptgU4KgTyiFX/kR+PK4nD8YVnYM5vnN2FWaggZj748yWh04HKca&#10;Zon9yC10dbX+YY/CGGOMMcYYY4wxxphHnwfo3amt3e/g3798hw9P7cXSpXNgt1sQZAiUAbZXzJq2&#10;qoG62WKEwahDIIX8Fj1iEiKRX56HhSsXYOXGldj8wWZ88NEHOPnlhzJUp5bvFzuvyPbvVKnuaf1O&#10;c88/unYUb2Y6UK/30bzB1xsaldFYr4xCWuosDKs4KSt/tG5mDjUjSg/jn/kHUbb5DO7f/0k+2EHh&#10;+Zub62E06WEQNI+LPuRp2R4ZZcWs2TzrnDHGGHseFKKvrHEiPrGvK9GNsNrNmDpjFXwrWnjt9ZTh&#10;JYcxdu6HWNXwFnbFT+/1h0rrLaPRFDwJNy4ckOu9Lo29CWOMMcYYY4wxxhhjpF8DdA+1Iv0e/vPv&#10;H3D+3BGsWrkI4eEuGEw6Wf1Lc8q1b0z2DwrUKVwN0gUgKHC6+LMOrhA7ouMjkZyRhOySLJTNL8Xc&#10;ZbPR9NY6HL9+UrZ+P08V6rfP4b2lOajT+fR6u8rHxmCD2Rfl8RkYU34EI7gKShpW0oyRRYdR8945&#10;PPjlhryZ+tt/bmDL5nrZdYA6EGj9/vsS3ehXbBakptmwdBnPOmeMMcZeBF0/6ToaHa24r619RNHD&#10;GhyGiQU74VPOrdyf9o/Cw0hq/Awta6vQYBiBhl5eG9fqfXFoUabYf9xAV9ftP+xJGGOMMcYYY4wx&#10;xhgjXhGge6gz0jvx239v4usvP0HdmiVITo6VM8kDdAGgqnTNm5P9zNPyXQb+hiAZrFO1usmsh81u&#10;QWxiFNbtWoezHVdw+L1arLX4y9nnWjf2esMGy0gsjgzD1JLdGFZ+XPMG5lAzrLgZvsKa98+j63ca&#10;K3AH9+9+hRXV82GU4Xl/z+Q3w2gxwxlsQVGxQ97856pzxhhj7MVRJfqSKiciIxVxnde+/vYGqyLW&#10;hNFZGF16AD78EOMTaD02ae6H2HP4NA6WhmMNPWCqsZbtKfVi/b3OOQFfHtsmH97V2o8wxhhjjDHG&#10;GGOMMeZVAbqHWpFOYXo7fvrhPHbtWIeCwkwZRtOcdKOXBundUajevfW71WVDzfKZ2JSgR4NplOZN&#10;vd7QZPHDmuD/j73//osi3b4H3n/m3vv5njCjAgYwR2LnCAioCOYsOZpzVuiEYXLOWTCHmTM55zw6&#10;5jThTJJ1az/Vrag1c0a7Gxt6/fB+MTrS1XR3FVXPqr13DhyVd+POpsOGi5fJRq8874DvubfDn7dz&#10;KjzfsG6pugHidt+oYQ23bJ802YEVK/SW7aw6JyIiip6E6MuXeeAtsGm/a7tpVJDDDKfTguyZa9G/&#10;6SBbuV/n/xbuRtOj7+Oz/Y/groLhCMTzPNmegdacFDzbWIZff/wGnZ2nb7gOISIiIiIiIiIiSsgA&#10;PaLzslQGS5B+ARfOf4pDB57DhvVLUTjeg+y8bJiseaq9uwTVhguWCcKqcWrPsdk8FG3WQWgzWtCL&#10;g+12bVvOYZg8dxNSmw4hzWDRMtmoynMJz599G3/8Lp+vc9pn63OsX7sUuaac2z4uwGrXvjpsmDvX&#10;hc2b9YV+owCAiIiIbp7ckBYMeNG8yA2n26b93u2uED0PDo8XIxfeq87JjM5RkpXc2Ji97CA++fYb&#10;vLK1QrVZNzqvjZWgNR1B2yB88Px27TzwkuE1CBERERERERERJbeEDtC70oP0H9Sc9E8+PopHHt6O&#10;GTPKVHhusuQhz5x4s9IjzE4bKpyZaHNkdFt4LtvaZR+Iqmm1GNi4H6kN+wwXLZPJnbUdGN68Fw/u&#10;ex+/h8Pzi+f1yvOcvGxYbLfv8yMt26Xq3O21oa7ODV8rw3MiIqJ4kBDd7/eiqsalfgdL55frfy/H&#10;g8OeDWvxdKTXPc9W7tf5d1U7Qu0f4fyXL+P+0uz4VqFrWnP64YnKIvxw6n11Pmh07UFERERERERE&#10;RMmrxwToEXp79/NA50mcP/cZXjn6AlavWoTJZSWw2S3IlvnjlryEqUq3OG0odeVim3ModjgyDBfx&#10;4mGXLQ3LJ07E8Lrn0a/xgOFiZTK5s6YD6fV78djBD7TPz8lweP4ZNq7XK88tt/Hmi0h4PmGSAytX&#10;smU7ERFRvMnvWTFvvkt1f7EZ/H6OPQucjjy9lbt2bsZW7lf1qe2Ad/1RnPvhBN57ZGPcZ6FLK3e/&#10;uT/eebxFOyc8g87LJw2vO4iIiIiIiIiIKDn1uAA9QgJ0WfBSlenaf5/8/j08+vAOLFpUjaIiL7Jz&#10;MpGVm3Vbg1Fp3e51WrDGOQK7ujE832lLw5b8PGRVPYw+TUcMFyqTibQGlbbt/mffRqd8drrOPDff&#10;3rbtsmgvpk13YuMmD4JBhudERETdQW5Y27LFg/IpDpitxr+nY83hMMHhLcCIigeQ2nTQ8LwlGaXW&#10;70FKbQf2vvsVfjn7Hp5YkA9fXnxDdL95AB6YYsLF79/Szg3PGl5vEBERERERERFRcuqxAXqEmpOu&#10;wnSpTL+A3349hjdf78DDD29Hc3M1vF6HqkrPs+SqML27KtOlksnqtKHaOQ47uzE832EfiJB7OIrm&#10;+9C3meF5vy7h+R+/6+G5tG1fv04qz7Nve3jucNmwsMKFbVvZsp2IiKi7ye/edes9KJ5gh9naPeeI&#10;DnseLBPnIqP+JaQ1csRORB/tfG1e6D/audpFfL7vXu28NgMB66AbznVjxj5YzVt/86FN2jZP4zKr&#10;0ImIiIiIiIiIKKzHB+jX08P0C5pLuHj+U7z/3kE88cTdqKmeB2++E2abSbV4FzLzOl6BurRun+rK&#10;hd8xBNuNFu3ioM2ejh2OdMyf3oj+TQeQmuStQSU871/bAZ8Kz2Xm+XlcCIfnaub5bQ7PPV4bmppc&#10;qgJOGC3sExERUXxJ95elS91wa7+X5fez0e/tmHKY4XKaMW7WJqQ2HzY8h0lGfbVztlFL9uGDL7/F&#10;7//9Bi8tm4nWnBTVbt3ovDcW/JYBuK8sFxe+eU07T2QVOhERERERERER6XpdgN6Vau+Oi+rrpYuf&#10;44vPX1Vt3hsaFmLCpCI4XTbk5mXrc9OtsZubLq3b850WbHQO79a55ztt/bFk0mSk17cjpXG/4eJk&#10;spDwvF91B1qefgt/qM/C+Stt29XMc9vtCc8j886l0m3FCjdbthMREd1m8ntYKtGrql3a72mb+l1t&#10;9Ds8lhz2XNgLSjC86mG2cg+TNu79ajqw8XFpqX4J377+LHaNHw2/ZaDheW8sBO0Z8JnScNjXrG3z&#10;LC5fPmF4TUFERERERERERMmlVwfoEarNu5qXLk7ij9+O49uv38Lzz9yPjRtXoLJqDoqL81VL77GZ&#10;Y5Frji5gldbtDa4xKjxvM1isi4cdtgHYVpAHa9UD6Nd4yHBhMlmk1e/BHVW70Xzf6/jvz8e19zw8&#10;83y9PvP8dlWey4K82WbF5DIH1q3jvHMiIqJEEekEM2OmdCsy/j0ea057DkzlDRjYuAepbOWu/Kuq&#10;HfmbDuPsuWPqvP1gS4MKuONZhe4z9cd9k3Jw6pMD2jYvGF5LEBERERERERFRckmKAL2rqzPTpTr9&#10;rFoo++mHL/Haf17C44/fhS1bV2HevOnweB0YlzUW2XnZ4XbvpnCF+l9XqZucNkxz5YRbt3dP9Xmb&#10;fRC2u4ahdN4mpDQeRFqSt27/Z2U76u55FRcufafe4wvnIjPPb294brFbMWOWExs3ct45ERFRopEQ&#10;fX14Hrp0izH6fR5TDjOcbgdGLdiJNFahK/3qta+1HXjq6IfaOdx5nP3iqGqxHohjFbqE8625KTgc&#10;WKRdK5zWrhU4C52IiIiIiIiIKNklXYBuBDilFumAH9V/H/v2bbz99j50dDyG1m1rUVU5BxMnFsLp&#10;sqjFTofDFJan/dmk/k5YnFYUuMzY4ByOnd0Wnqdjl60/5k2rRUrTAaQ0JG8FU5pGKpdKW47i1Bk9&#10;PL/82wkE/BuQlZN529q2yzxVh9OG+Quc2NbC8JyIiChRye/opcs8cHm6Zx66tHK3lszAwPrdSEvy&#10;8TsR/69iN2rvfQ2//FdueD2Ltx7ZitbcVITsxufCsSBV6PdMzMTJj/dr27xoeL1ARERERERERETJ&#10;gwH6dfTqdKlMl9npF/DbL9/h/NmPcerk+9j5+G6MnbYW5rJaWEpmwOIdD7vHA4fbCbvLBpvLjnrn&#10;2G4Lz4XMPV9TMh6j655Fn6bkbd0u4fk/KttRvPkIvvrua+29O4M/fvse998bUMG52ZpnuHAdb7L4&#10;LrP2q6pcqrIt0iKWiIiIEo/6XR3woKLSpX6H2wx+t8eWBQ6HGZmzNoWr0JO7i5DoU9uB7CX78f4X&#10;X6hz8R9OvYcnFhbCl5dmeC4cK63Z/XAkuBiXf5duVacMrxOIiIiIiIiIiCg5MED/H/Tq9LP48edT&#10;mNz6GvrV7cGAhg70r2/HoLoXMarqIWTO82PsrE2YXjIJITX3vHsCdJl73urNgrPybvRN8rnnd9S0&#10;I3f5frz64WcqPBcP3BdUrffNGuNF6/iS9q+efDsam9xq1jnnnRMRESU+CdG3bvWifKoDZutfj+6J&#10;BYc9D7bCSRhS+wxSWYWuSBX6jt3vqXbqclPrh89vhy8vFUFb/M6xA5ZBuLtkLE5/dljb5jnD6wIi&#10;IiIiIiIiIkoODND/h04NcBKhF95B39o9SKmXaue9SGvcF7YffZsOY1zd09g03okd9jjOaOyizZGO&#10;7drXabNWats/lNRzz/vWdmBk017sfeNj7b3Sb3jY0/4o7A4rTNbbF557C+xoXuRW7WAZnhMREfUc&#10;waAHK1e54c23wRLvVu4OC5x2E3KmLUP/JO4m1JXcGFm65SjOX5SRPOfw45mP8XRdKVpzUgzPi2NF&#10;qtwP+5vR2XlSMbo2ICIiIiIiIiKi3o8B+v8g4fnHX3+FvBUHcGdNxw0LfKkNezGw8QAayuZgl20A&#10;pALdaEEu1nbZ0tBcNhODteeQzHPP1Q0NtR24f+/76r0CLuHggafh9Tphttyetu0WmwVFxXYsW64v&#10;wDM8JyIi6nnkd3hVjQs2h01j/Ds/Zuy5sHsLMLziAaQyREeqOr/bg0PvSWehE5of8em+B9HmGoKA&#10;JX43q8pj3zNhXLgK/YzhtQEREREREREREfV+DND/QudlmYl+AisefgP/rmxHqsECX5+mwyiZtw1t&#10;ruHY3k3V5zL3fMN4J7JrHkO/RpmXeePzSgayuPqvqnZseuotXP5dwvMLePvNfZg4aTxy8rKNF6jj&#10;TFq9FpfYsWoVw3MiIqKeTH6Hb9vmQVm5U3WWMfq9H0tOWzZMZXUY1Kh3OjI690kWaZo+NR1Yct/r&#10;6pxcOgz98esxPNc8Bb7cVMPz41gI2jPgN/XHwZZGbZtntWuBEzdcHxARERERERERUe/HAP0vyGKd&#10;zNQevXgf7qy9sfq8b9NBZNY+hfVFHuy0pRkuxMXadttAbHcNQ8H8FtzRfFQtMF7/vJKB/Nz/rGzH&#10;gu3/wcWLx7T36iI+/ehllJeXINecY7gwHW9mqxXFxeHwPGC8GE9EREQ9h9wMJ7/X3R47rHFv5W6G&#10;w+PCiIp7kaadYxqd/yQTGdFjXnUAx099o53nSRX6eRx76wXszB+BgHWQ4XlyLPhM/XHvpGyc+uSA&#10;2qbRNQIREREREREREfVuDND/hFSe//rr96i/9zX8X8XuGxb1pG36gMZ9qJpajbts/dHWDa3bZRs7&#10;7QNRM7US6dq2UxuTc+65hOf/rm6He+0hfP7d12px88Sxd1FXuwA5pttTeS6VaRMm6eG5zDw3WoQn&#10;IiKinkWq0H0+LxZWuGC12wzPAWLJYc+DddICDKjv0M53krsKPaWuAwPr9+DhfR+EA/RTuPz7cXSs&#10;madmlRudK8eCVKG35qaoWeiX/ziNzsuchU5ERERERERElGwYoBtQrdtxEnve/BgZsoBXf+2CXlrD&#10;XvRrOoT8hdsRco9Amz1+VTBXZajW7WuK8zGy7ln0azxwzXNKJtLSc9TifXjtI5mLeQ6XLn6BFcsb&#10;kJ2XBZvDYrggHU9SeV5W7sCGDQzPiYiIehv53b5pswcTJzlgtsX7PMMCh8uG0fN3IK1xv3bek5w3&#10;Swq5YfKOqnbMCr2C33/Tb26V875jb7+E7Z5hCNrSDc6XY0Oq0O+fnItTnx7UtnnR8HqBiIiIiIiI&#10;iIh6LwboBqTK5aefjmG672X8q7r9hgW9lMb9GFz/IlaVFHVf63b7QATco5C/oA19mg7d8JySRb86&#10;Te0ePLj/fe19OoPOzlPw+9cjOy8bVrvZYCE6fmwOK8w2KyaXO7BxI8NzIiKi3kpGszQ3u1W4He9W&#10;7g5HHiwT5mCACs+TN0AXd8pNk0v24dX3P9fO+05qTuP3X77F3g0VaMnpZ3jOHCst2f3wxoObtG2e&#10;1c43WYVORERERERERJRMGKBfp1MjC3Ttr32MAfV6+8iuC3lSfZ7adBDzZjRhp30Q2uzxq365Sm/d&#10;PmfmIvRvOoDUJF1MjVQiLX3gDfz6iyyinsXDD7XBbM3TmAwXoeNJ2raXTdHDc7/feMGdiIiIej5p&#10;5S5fp05zqpvnjM4LYsZhgsPtxNj5IaQk8U2TIlU7F7+jsh1bn35LtVLXu0RdwIkP9uDuknHwmwcY&#10;nDfHhs80AA9Os+DCsTe0bXIWOhERERERERFRMmGAfh10fo8ffzyGaa0v487qa8NzcWfTIdgr70Fr&#10;fhZ22OK3aHfVEOyypmLFhBIMrX8BfZO4dfu/K9sxpeUoTp87phZPDx96Ft58F0zWPOMF6DiStu0T&#10;JrLynIiIKFnIzXKrV3uQX2CPfxW6PQemifMxqFG/edPovChZSDeoks1HcOLkN9r53wl0XtZbuR8J&#10;LEZLboqaWW58Dh09X24q3nxok7bNU6xCJyIiIiIiIiJKIgzQryPV5w/tfx9pdR03zD5Xrdu1r4tK&#10;p+AuWyqkMtxosS2WdtgHIOAZC2fFXejbdOSa55NM/l3djrFL9uPtT79QVUAfvn8I5eUTkWfOMVx4&#10;jieLzYKiYjtWrvKy8pyIiCiJBLTf+wsWulQXGqNzhJhxmOFy2zF6XhApzcl7/iekCj2ttgO73/xY&#10;nafr5+vncOazQ7h3ci58efEbpyQV7g/OsOLn87LtMzdcNxARERERERERUe/EAL0LqWo5efpbFG06&#10;gn9VXTv7XKp/+jUfRvmcddjpyOiW1u2yjZ2OgZgzo0m18EzWCqR+0ka/bg/u2/OeWjD9/th7WFgx&#10;W809N1x0jqNIeL5qFSvPiYiIko3cOLd+gwfji+Jfhe60Z8NUWolBDR1IbdxveI6ULP6vYjeWPfQG&#10;fvtFP1+/rKrQz+KQrxF+c38EbfG5qTVok/P9DLz/TFBtT7ZrdA1BRERERERERES9CwP0CJmp2HkS&#10;Dx14H32rOlS1S9eFu36NB5FZ8wQ2jbdjpy1+lS5d7bL1x8oJxRjWsBv9GpJz4TQy93zRfa8Bl8/g&#10;99+OYf26pcjJy4HVbjFccI4XqTYrKnZg5UoPgkHjhXUiIiLq3eQGupo6lxrnYnS+EDMOM5xuN4Yv&#10;vBepST4LvW9dB7KX7MfX33+Nq1XoZ3Duq1fULPSAZaDhuXQsSIX7EwsL8euPX7CNOxERERERERFR&#10;kmCAHiaLcafOfIuijUfUrMWui3apDftU5U/11CoVandH6/bt9kHwS+v2yrvQr+ngNc8nWQzQyHtR&#10;sOEwjp/+TlX+PPRAECZLLiw2s/Fic5xIeO7Nt2P5claeExERJTOpQt+0yYuJpfa4h+gOey7M5fUY&#10;2NCBNO181Oh8KRmk1e/BHdUdePTQh2oGeufl71WY3Xn5JI4EF8OXJ6OVjM+poyXh/Hb3UHy6937t&#10;XPQH7brh+A3XEURERERERERE1LswQNfIQhw0jx76AH2q2lXVc9dFu36NB+BZuB0B90gVbBstrsWU&#10;fTB22gdg9oxFSGk6kLSt26XaaEjjXhx851PI3POjh56BN98FkzXPcJE5XqRFq8drQ3OzW4XnPp/x&#10;gjoREfVgcmxXvGj1hwUMBPNv/LvIvxfy/ZHHMtoO9QrBoBcNjW7tPMEGm8P4/CEmHGY4vF4MrX4U&#10;aUnexr1vbQemtx7Fb78e184L9Vbqahb6F0dxV8lYBKzxO0dvye6H5xdPxX8vfoXOztM3XEsQERER&#10;EREREVHvwgBdI4tw5y9+h4L1h9Gn9trq85TG/RjS0IHVJcXh6nPjhbVYkhbxKydMwIj6F9Gv6cA1&#10;zydZSAv9O6vase3pt1V4fvzY2yifMhE5phw4jBaY40TCc4fLhsZGl2rbzvCciKiXiATlEoDLf0f+&#10;fosb/pU2BBaZEKjLQXBBFoLzM3XTxiA4eZT+Vf48T6P9/0B9jvr3/tV2tG51hx9f0zVUjzw+9QpS&#10;hb51mwelZY44V6Fb4LCbkDttCfqrAD05b6oU/eo6MGLxPrz1yedXAvROnMYfv3yH/Vtq0Jrdz/C8&#10;OhYClkHY4RmGr195Utu2VKEbX1MQEREREREREVHvkPQBurSAlPbtD+1/Hym1BrPPmw5h2qyV2O4Y&#10;jDZ7uuGiWixttw1AwDMGzoU70afp8DXPJVlIB4B/VrWjtOUoLl46iV9/+QaNDRXIycsyWFiOHwnP&#10;5Wt1tZOV50REvYEE2RKYSxV5ixu+TU74VtsRqMtFcNZYhCaNRLBgGELeoQi5hyDk1H432zOusmrM&#10;2rmAfO369/Lv5N97hiJYOAzBqaMRrMiGb5kNvg0O+LRtXalcN3pe1CPJjXWNjW51o108q9Ad9jxY&#10;84swuPZZpDUmbxt3OUfvp52rb3riLRWgyzm8nMsDF/Hdmy9gZ/4I+OM4C70lOwX7N9fg91++1bbJ&#10;KnQiIiIiIiIiot4s6QN0dJ7AxYvHULjxMO6s7rhmoe7OpkPIrX4E2wrN2Nkt1ecZ2GUfgMqpNejf&#10;dEDNXu/6fJKFtOgcu3gfXvvwC3T+cRIB/3rkmXNgtXff3HNZCLfYrViwwKltn+E5EVGPJlXgoXy0&#10;bnPDv8aGQLMZwTnjECoZrv/+tWtsGddS4Xj4/0V0/Z19/f+Tf3/N94f/vnAogrPHwa9t07fecbXt&#10;u9HzpB5Fzg22bfNgYqnjyk13ceGwwOm0IGvmWqQ0J+fNlRH/qmqHZ9NhXPrhO+0cXj+X7+w8hd9/&#10;OY49GyrQkhPfKnRpFX/qk4MALtxwTUFERERERERERL0HA3ScxH0d7yOtrgMp9VcDdBVeN+3HwqnV&#10;uMsu4XnGDQtpsbbTNgBri70YXfeMmrvedcEwWaRq74HcyLDzpfe09+YSDu5/UrVsN3fj3HMVntus&#10;mDnLqRbGfX7jhXMiIkpgcuOTCqvz4Vvn0KvMp41BqHAY2iTgtlwXdBv8Xo5aJFiXbUnVeskIBOZn&#10;wb/Cqof68vx4g1aPJq3cm5tlFrrxOUWsOOw5MJfMRHr9bqQldRv3PRjSuBcvvPKROoe/ej5/Cd++&#10;8RzuKhoNv3mA8f4YA605qXj1njXo/OMEOjuvbp+IiIiIiIiIiHqXpA7Qpfr85JlvUbz5CP5ddXX2&#10;ubQQ79t0CO6KnQi5R6LNPshwES2WttsHIuQcjoKFQdyZpK3bxb+r2zHD/wp+/e0svvvmLUydVoqc&#10;vOxunXsus0zLyh3YvMmjWrcbLZgTEVECkjA6Mnd8mwf+ZRYEZo1DqHiEHmRL+3UJzQ1+D3cLCdEt&#10;2nPwDkVwxlg1a/1KW3kG6T2SBOibN3tQMiHeVegmOF0OjJkXRGqSV6H/o2I3mh54Hbh88kobdxVm&#10;/34Szy+ehtaclLjdFBOwDMSDU0344eS7AM7ccG1BRERERERERES9Q3IH6DiF517+CIPqpKLlavV5&#10;SuN+DG5ox9JJZdhpSzNcQIutDFV9XlO+AAMb9yE1SSuL+tS2Y3jzPrz52Vf4479fYumSWmTndu/c&#10;c4vNguISB9au9SDI8JyIqOeQEFpGbmxyIdCQh+CkEQi5h+qhtZpZbvT79zaJPCf3EARnjYNvjV0P&#10;0iX4N/rZKKFJiF5b71Lda4zOLWLFYctCbnk9BjXuTeoq9H/XtMOx5hC+/O7r66rQz+Oz/Q+iTdvv&#10;A9b43PwatKUjqD32u0/5te2dw+XLJ665tiAiIiIiIiIiot4haQN04AR+uHQMs4Kv4J9Vu69ZmOvT&#10;dAiT5m3BdsdgtNnTDRfQYmmHbQC2FpgxuuYJVfne9bkki9R67XWvbofvOb2i58H7/Mgz58LmsBgu&#10;IseDVI558+1YvtyNYNB4kZyIiBKMatPu1du0V+UgVDTi2lnkBr93E0bkOUpFemU2fFvdaA3msxq9&#10;h5FuNRs2ShW6Pb4huiMPTm8BhlY+jJTm5DxfFGnaOWPfynY8dvgD7ZzxFDqvnNufwh+/fYdn6ifH&#10;tY27Ly8Njy8cj99/+UbNX7/+GoOIiIiIiIiIiHq+pAzQpd2jBOgvvfYR+tfq4W1kUU6qz8fUPYMN&#10;4x3YaY/f4luEBPQ7nBkon7MeqU0Hk7ai6J+V7Zi09Qgu/XgGb7/+EgoK3DBbTcYLyHEgc88dLhsa&#10;m9xqIdzH8IKIKLH5NRKcr3cgUJmNUNFwvapbAulEqjb/O2xCe97lo/X56KqlO6vRe5Kg9p5VVLpg&#10;jnMVutOWg8wZ6zBAO1/tn8RV6P+saseC7f/Bjz8c087pI1XoJ9RNmJ/ue0BViQdlbIPR/hYlaeO+&#10;I384Pj/4kLa9C9dcYxARERERERERUe+QlAG6hOf//fkYKrb/Ry3AdV2Qu7PpCOZMb8Au+0C0OeJf&#10;fX6XLQWLS6cgQ9t2P7UYeu0CYTLoU9uBIU17cej9L3Hp3CeYN2+GmntutHAcDxKeS/W5LHxLG1aj&#10;hXEiIkoQ4VbnUq0dqJGK83BwLgx+z/Yo8jN4h2g/Vy5aW/Sf0/A1oIQjN9+tXuNBwfj4V6HbS6Yi&#10;ve55pCXpeaNIqd+DEc178cm3X3YJ0OUc/yx+OvshHp/vhd/U33g/iwGZs96+Zj46/5A57Fe3T0RE&#10;REREREREvUPSBuivffw50hv3qgW4yGJcn6bDsFbeh5b8bNVW3WjBLJZkG63eLDgr71bb7rowmCyk&#10;Dae0bl/x8NvA5ZMI+NYh15TTra3bZaF7+gwntm3T55gaLYwTEdFtJp1BpDJbjtWLTAhOHImQVJj2&#10;huC8q3AFvZqNvtEVrka/7rWghCQh+szZzjjPQtfOj1x2jFp4N/o3HjA8t0oGaZo7qjuw48V3ATm3&#10;79TP8Tsvn9D++wzefqwFLTn9jPexGPCZ+uPeSdk4+dE+7bri0g3XGkRERERERERE1LMlXYAuC2zS&#10;wr1q16u4s7pDLcDJQlxq4z4M1NSWz8ddtlTDxbLYSsdO+0DMm9GYtHPPhVSfO1YfwslzJ3Dk4JOw&#10;Oyzd2rpdFrknTnJg40Z94dtoQZyIiG4zqcQO5MO32obg1NH679Ge2Kr97wrfGBCcNBL+VTbORe8h&#10;5Dxi+XIP3F4brA7j847oWeBwmGAqb9TOo/ZpkreNu5xDTtx8FJcufadujr1yro/zOPf1K3hwulUF&#10;3Yb7WLS0Y09LVh+8fv8GbZvnVXDf9XqDiIiIiIiIiIh6tuQL0HECH375JUYs2acW3iKLcH2bD8O9&#10;YDu2u4apueSGi2UxJNXna4u9at66zF3vuiCYLGT2fL/qDjz18qc4/f27mDFjMnLNOQaLxfEh4bk3&#10;34YVy/W550aL4UREdJsF8+Hb7EKgMgeh/KF6xXlvDc6vJz9r4TD4l5kZovcAvvD7M7ncoUbDGJ17&#10;xILDkQdbfjEG1z6HtEYJ0Y3Ps3q7fnUdGNC4F0ff++yaAL2z8wRw+Sxe2bECrdn99BtSjPavKEk4&#10;/8hsJy4ce1Pb/rlrrjeIiIiIiIiIiKhnS6oAvVMjcxJXP/om+lR3qABXFuBSG/cjo343lk0sxU5b&#10;muEiWSypgN41DEXzfejbePCGBcFk8c/Kdszb/hp++e9xBFpXIcfUfeG5LGw7XDbU17vZtp2IKBFJ&#10;1bnGv9yK4OSRepgsVecGv1d7NfmZvUMRaMjVXxOG6AlNzikaGt3qXMMWryp0hxlOlx2Zc1qQ2pS8&#10;bdxTNf1qOrD6oTdUgC4dpiLn/MBFfP9eO+6dmBW/Wej2DPjNA/DFoUe07bEKnYiIiIiIiIioN0mq&#10;AF0W17787mvY1xzCv6vb1eJbWsNe9G06iEnztmC7IwNtcapS6WqXLQ2NZbOR0dChWsdfvyCYDKT6&#10;f0TTPrz12bc4euBxOF1SEd49rdtlQVsC9LnzXKpaLFIxRkRECUCOyTL3e6sbgYVZCLmHdH/VuWxL&#10;gmvZrrCI9C7Cfy//pjtaycu2XIMRqMtVrewZoicuCdA3bvKgcLw9rlXoTnsu8iYtRJp2Dmt0npUs&#10;7tDO553rD+Hk6W/Vef6V8/7LJ9D5xxm0r1mA1tyU+FWh56XhpeUz8NvPX2nbP33NdQcRERERERER&#10;EfVcyROgX5YA/RTaXnoXd1a0X60+b9iHofUvYHVxPnbaBxgujsXSDlt/tORnw1T5APok6exzee3v&#10;qGrHlmc/xOnj72HOnKnI7cbqc7PVitLJDmzZoi90Gy2AExHRbaBmnXvhX21HqGzU1YDa4PdpTEkA&#10;roLydITMGqf2Z88QhMYPR7B4BIITRyJYOuoq+XPRcIQKhun/Tp6jfJ88RrzCdNmGCtHz9BsMGKIn&#10;pMhNeQsWuGC2GZ+HxIQ9D/aCYoysegipjclbhS5t3NO1r08f+VCd53c995eq8C+PPoad+SMQsAw0&#10;3q+iFLCmY4d3OE5+uE/b3tlrtk9ERERERERERD1X0gTo0rr91JlvMWHLEfyrSq8+F3c0HcX0Wcux&#10;Q1WfpxsujsVKmyMdu+wDMWdGM1KbDqvq966LgMnizuoOONYdwWdff4lAyyrk5GXD5rAYLxDHmMVm&#10;QX6hDatWezj3nIgokUh43upFoD4PoYJumHUeqTKX4Fu+Fg1HcMoYBOZlas8hF/5FZvjXOuDb6ERr&#10;i/b8JLSO0J6vb70T/lU29e8CVdkIzByH4KSRKuRWQXw8gv9wiO5fHJ6Jfv1rSAlBzi9WrHDD6bbF&#10;sY27BS6HGWNnbUZK81HD861kkKb5V0U76u99Db/+cn0b91P4/Zdv8GTl+Li1cQ9q+6TfMhBHQ0u0&#10;7Z1mG3ciIiIiIiIiol4iKQJ0WUyTAP3Z/3yEO6va1WKbLLr1azyAcTWPY8N4O3ba4jQfsQtp3b6+&#10;yIUxdc+gb5JWC6XWdyC1bg8eP/oFXnvlObUA3F2t21UrVZl73uhGIOCFz2DRm4iIbgO/dkze5EJw&#10;zji9+lvCc4Pfo1GLhOZCWjqXDEdgbqYelq+xw7fNjdZQvh5OS1Auob7R3HH5c+T/yb+T7wnkw7fB&#10;Cf9SMwILs1Ugr34Ota3rnkc05PEKhsG/3HIlzKfEIt1ttmzxonyKE2Zr/G4QdNqykVdapSqw05J0&#10;JJC4o6YDphUH8dEXX6rz/SvXAJdPqFD7wxd2IGAdhKAtPjfKSjj/yBw3frn0mQrtu16DEBERERER&#10;ERFRz5QUAbrMRLz04zHMDrxypfpcqr9Tmg5j/rQG3G1LQ8iRccOCWCxttw9Cm2sYSudtRD9tu9cv&#10;/iWLO2vaMS3wGr766j1UVc5ETje1brdpLDYrZs9xquCDc8+JiBKAHIsD4Zbtk0eFq87j8PtYAuxI&#10;RXv+UARnj4N/mUWvLpfnoQJwg6D8ZkmgLuG79lUe29+Qh9DEkdpz0LYdy4p6azpCxcNVhbzaptFz&#10;odsqGPSgts6lzj3iV4VugjN/PIZXPojUJB0LJFI1fas68PiRD24IsKWt+o+n38cDU0xxa+MetGrn&#10;+M4h+PilXdr2Ll6zfSIiIiIiIiIi6pmSJEA/iTc++QyDG/Ygpa5DLbb1bTqEvKoHsa3AjB22+M8+&#10;lwr3pZMmY2DjHqQmaZWQzD4f2LAXz7/6Ce7btRV5ppxubN1uRfEEOzZuZOt2IqKE4PPq4fkSM0Lj&#10;h8U2YI6Qx5N26tp/B4uHq1br/vXh0FwC81iE5kbCNwaocHurG4G6XDVP/UpF+vXP81ZoP1dw2hj1&#10;+AzRE4+ca6xZ60FhkV2dgxidm0TPApc9F6PntCCtOXlvzhT/rGrHwu3/waWLx9SNs5FrgM7OU7j8&#10;+wm8etdqtOamGu9LMdCS3Q8vLZ+NP37Ttsc27kREREREREREPV6vD9Ah7ds7T2Dp/a+jT00H+tdL&#10;pco+DGzch5opldhli99iWsR2ezr87jFwV+xCSuOBpJx9PkDzf5W7UXf/W3j1lQ5MnOCF2dp9rdtd&#10;HhuWLmN4nhQkuAoHc4pUgwqpMP0rkX8X+T4JpOIRrBGRvn9pAjW5CHmG6MGywe/PqGiP2WbPQHDy&#10;KBVgt25y3Z59O3w8kpnpwbmZ+oz0WPy8cnOA9vMFqnJ4vEpA0unGr70v02c44trG3WHPhbV0IdLr&#10;X0Ra437Dc7Bk0K+uAyOb9+HDr79QN85ecy2ASzjx4T7sLBihWrkb7k9R8pkH4J4JmTj+zkusQici&#10;IiIiIiIi6gV6f4COE/jiu6+QuewA+tbq1ef9Gg/CUnk/Ap4xaHPEZx5iV7vs/VE1tQb9G/ep8P76&#10;Rb9kIK/9qKUHsff197FiSRVyTdmqrbrRYnAsSdtUqfyqrHKp8Jxzz3uZSFgeDuNUOKb9nWqdvNIK&#10;/2KzCs4CtTkIVmYjMCfTmPw/7d8E6nNVNax8r4Rd6vEjgVuEbI9BFdGtk/1omweB+Vn678lYVWRH&#10;SAt4eUyZb16XB9+W8Fxz2XeNnk93CR9D/M1m1X49JhX38rN6h8C/wqYfq4y2S7eNnHc0NrrhdNtg&#10;jVsbdzMc3nykVz+BtKaDhudgyUKq0He2v4dO7fy/s0sVeCdO49efv0T7yrnYltXXeF+KUlDbF1tz&#10;U/DGA5u0a4/z12yfiIiIiIiIiIh6nl4doMsCmlShtD79NlJqOlQLcQmwBzTuRUPZHOzshtbt0h5+&#10;S6EFudUPq7bxRgt+vV2a5p+V7Vj/zId44Zn71GKv2Wo2XgiOMan6Kit3YNs2L/x+4wVu6mEi1eUS&#10;RrVof97ihn+lDYG6HARnjUWwdCSCxSMQKhiqV7Y69X2xTQI1c7qxSIAn/9arfY/2vcGi4QhO0h5r&#10;6mgEK7LgbzLp84a3ufXtyvYjz4OBOtHfo+0zvi0uBLR9NabtzIWEyfKYBcMQqM6Bb4Pz6j5q9Fxu&#10;B3VTTj586xzq2KKH6FG+BtZ0BCePVMfC236TAF1DqtC3bPFgfLEtrm3cHdp51bg5PvRXFejJ1+Uo&#10;Qm7WnLDxMH744do27kKq0D/efbd2zBmEgE37vW+0L0WpNScFT9dMxE/nPtS2d/aa7RMRERERERER&#10;Uc/SqwN0ad1+4cIxFG4+gn9XtavFtT6Nh1BQEULQNRLb7fFp43hVOnY5BmHWzGVIbTqUlK3bxZ01&#10;7bCufwXPdhzC/LllyDHlGCwAx57FboXHa8PKlW4Eg8aL29SDSAgmLda3ueFb74B/kVkF5mp2snuo&#10;Hn5LGCfzjiPBnFBtjsMM91NN138T+T55jMhjyb9xDUHIo21HKke17Qbq8+BbbYdvs1Sqa89NKlwl&#10;rGOYTmRM23+lO0SwPBIca/vV9fvirZLHcw1WxwTfGsfVG1yMnkcikBsJtmq/m+Zlaq+DvBbh48yt&#10;UMcuaeWendg/c5KSm/dmzXaqcTJG5yqx4HCYYCmtUudcaY3JG6Cn1HUgvWkv3vxE2rhfF6B3nsGP&#10;Zz7EEwuLVNBtuC9FKWhL1wzCt689p22fbdyJiIiIiIiIiHqy3h2g4xSeOvwBBtXrsxElwB7UuA/N&#10;pVOxy9YfIUcUC9Z/g2xjTXE+RtU9i36NBwwX+3o7VfVfvxebnngL9+zYhKyczG5r3W6121Trdobn&#10;PVw4OPdtcsK/yITgrHFok+pyCZwiYXckKDfYD2Pi+nA9wjlYVbwHFmSrdvES7F8J+hmkE10V9OpV&#10;12WjELLEcH+Vx7GmI1Q8AoHGPH2/k32wJ+x/2vOUsSJSLa/mossxxehn/DusGQgWDoNvg3YMYoie&#10;UCRAX7zYfeXc5PrzlViQAN1WUIwM7XwzTTvPNTofSwZyztmvpgPrH31TBeidl6+/LriEo9uXw2/q&#10;r1quG+5LUWrNTcURfzP++O07dHaeumb7RERERERERETUc/TaAB2d3+Pnn4+j8q7/4B8VevX5nc1H&#10;ULAggKB7NLbbBhoufMVKm30QtruGonTuJtzRdOSGRb5k0ae2A/b1r+D59nYUjXfCYot/63YJ6KVV&#10;almZA1u36S1UjRa1KYHJe6ZateerNsyBimzVTl2F5ip8i2EAF41IqC6V6vKcSkYgOGcc/M15ejtl&#10;7fn3mDCPKF6CXvhX2RCaOCK24XnkJpZZY+GXm1d64o0rcpzz58Nfm6t30Ygm1NNej8DcTP0xWxmi&#10;Jwq/9pncvNmD8UX2+FWhO0xwuJ3InB9CWpLesBlxR3UHPBvCbdy1a4Frrg1wFife78DdxdrvaXN8&#10;xjgFLANxb2k2fjz9vra9c9dsn4iIiIiIiIiIeo7eG6DjFN74+HOMat6HvnUd6Ne4H4MbO7CodBru&#10;sqYaLnrFToaar758QgkyGtrV3HWjRb7eLk0qger3Yf0jr2HFsjrkmbundbssUHvybVi1yo1AwHhB&#10;mxKYBM5SmamC8ywEi0Z0CamN9rcEoSphtecpM9WllfSEEQgsyIJ/tf2an+uGn5eoNwvmw7/SilDR&#10;cH0fNtp3blZkXyscikCTSVVx9+iqawn9tWODVKK3RXNzkHpNhsG/RjvmsAo9YURu4psz1xXXOehO&#10;hwm5ZfVIazpoeE6WLOScf6h27r/39U+0a4GT11wbdHbKn4/j+cXT4DP3j+6GlT8hle3Sxv3DF3eh&#10;E6fRefnaVvJERERERERERNQz9MoAXa84OYGtz7yNf1TsVgtqfZoOw7MghDb3CFUdbrToFStt9nQE&#10;XcPhXrgT/RqTdyHzjpp2TGx5DQ8+/BC8XplJHv/qcyEBelW1Hp6z+rwHkapJafO8yaVm+arZ5pGg&#10;LJGDcyPyfCNV6d6hCE0ZBX+zWf1sKtiSynSj14CoN5HRC1J5Xqzty7IfG+0rN0tuptEEy0fBt1aC&#10;4nCXB6Pt9yThnyE4JzO6Y5523JGOHbxZJ7HI+ciSJa74zkG358BcNAXp9e1qZJHReVkySNPcWdmO&#10;lY+8gcuXrw3QL18+oarQP+m4V9tfJOiO0U09XWm/96VF/POLp6rt6aF9l+dAREREREREREQ9Qu8M&#10;0HESx09/A9eag6qFeErDflUJvmTydOy0pRkveMWQzD5vnjwLgxo6kNq433CBr7eTBcx+dfvgf+oV&#10;1FTMhKmbqs/NVivKyh3YskWfO2q0kE0JSEJlvxf+xRaEpFW7hGQ9MTi/njz/cOCnQr+SEQjU5apZ&#10;0HqQzpCLeints+1faUOwKMbhubRsn5cF31YZkdDL9h/tGCg/V3DK6Ft/zeQ1Gj8MvvVOHl8SiATo&#10;69Z7UFjkiGMb9zw4vPkYs2Cndu6Z3FXo/6pqh3v9IXz57VfaNcG1FeASoP907iM8ONWMgDU+45yk&#10;Pfw9EzJx7uv/aNs7fc32iYiIiIiIiIioZ+h1AXqnBp0n8MKrHyG1tgOpDXuR0ngQBQuDCLmGo80R&#10;h2qTLrbbB8HnzYSj8m70S+I2mv+qbkdZ4A1s2roNbpcJVrvFeME3hmQbLo8Ny5d7EAoZL2JTApI5&#10;55ucanavtD6PWdiWaCJhulSmjx+GwMLsq0E6q0WpN9E+0xLghkqGa/tzjH7nynEhfyj89Xn6Nnrr&#10;PiOv3Vq7dowYqh8vjF6L/0X7Pn+DSX+N2IUlIUg3nJYWL2bNdsJkidf5kHYO5MjD2OmrkNJ81PDc&#10;LFmk1O/BAO0a4PlXP4SMdOp6nYDOk/jjt+N4ZccytObGZ6STVLYHrYPw6r1rte1fvGb7RERERERE&#10;RETUM/S6AF0qTX779TjmBV9R1eepjfswqKEdq0qKsNPW33ChK5butqaiakol+jcdSNrZ5yn1HUhv&#10;PoTVd7WjYl45ck3ZBgu9sWVzWNVs0QULXfD5vGqx2mgRmxKIvEdScbnUgqBUnauK814anl9PflYx&#10;fjiCC7LgW+/Qwy4GXtTTyT69wYlgWRRV1F2pcQja45QMh3+5Vd1wo8Y9GG27t9B+xkB9rn48vJUu&#10;HBK8Tx+D1hZ373+tehC5sa+h0QWrdq4i5yxG5zLRctqyYZq0EOkNHUjTzn+NztGSxf+r2I0lD72O&#10;X3+R2efXV6FfxLF3dmv7S4aaWW64H0WpNScFzzaW449fj7GNOxERERERERFRD9QrA/R3P/sCwxft&#10;Q9/aDvRpOoSJ87eizTlUzSY3WuSKlR22AdiWnwtL1X1q5rrRgl4yuLN2L4q3vox1G9bDZM6K20Jx&#10;VxKel0ywY9Mmtm7vEaTqusWDQHUOQt4h4fDceL/q1eTntmlfC4chuDALrRvCbZclSDd63YgSmVRP&#10;b3IhWDZKD72j3afl+7V9JDh5NHxrHWqmelLcYCI3gW1zIzhttP46Gr02f0UCdO9QtEobdx5LEoa0&#10;cV+5yoOCQnv82rjb8+AsnIDhVQ8jNYm7IAm5iTZv+QF8rtq4XxtgA2fw8/mP8WxjGVpyUoz3oyip&#10;Nu4TM3Hs3Ze07V24ZvtERERERERERJT4elWA3nlZD9DXPvom+tZ0oF/DXgxq3ItFpeXYaRsAqTQx&#10;WuSKjXTssg/CnOkNuDOJW2em1O3B4CWHsdj/DKZMLoTZmme8yBtDEtA7XVY0L3KrBWqjhWtKIEEv&#10;fFvcCErLdgnIbrVNcW8ReQ00wZLhCNTnaa+PK3nCQuodJKjd6kFw9rgYVZ5rj2FNR3DGWHW8SLog&#10;OJAP/zKrPtbiZm9ECP/7QF0uA/QEonfG8WLqNAdM1ji1cXdIG3cTRs4NILX5iOF5WrJI0/yzsh2P&#10;H/1QtW2Xa4Qr1wyXT2jXCxfx9uOtqlI8Ht1vpLK9JasvXr1Hb+N+zfaJiIiIiIiIiCjh9aoAHfge&#10;p89+i/wNh3FHVTvuaDqMwgUBBN2jsd020HCBK1Z22AdgU4EZ42qfRErjfsPFvGSQUr8X7rUHsWTZ&#10;EpgtOcYLvDEm1efTZjjR0hJZoKaEJRWq0t552hgVjt10MNTbSZAuoWHZKPgXmfUAXSrSjV5LokQh&#10;bcI1wflZsdmv1fdnqDDetzUJw3Mhr6n2O01uIAiZb6F7jtyQM200jx8JRtq4V1Q6YbHbDM9nYkHa&#10;uOdMWYKBjXu18zJhfL6WDO6oaUfdzlfx35+Pqxtsr71muIATH+3B/WW58JnkJluD/ShKEs4/XTsB&#10;P515T9ve2Wu2T0REREREREREia2XBegn8eyRj5BRvxd31u3F4IY9WFQ6DbtsqYYLW7HSZs/ADscg&#10;zJ/eoFrGpyXpgmVavfa16QAWtT6OokInrHaz4eJuLEkbVE++HavXeBBg6/bEFsyHb50dwdKRCFm6&#10;MTyX7Sh6lbch+X+Rf2f0GN1NXh/nYARnjYNP2jCzrTslMu3zGajNVZ9ZNZLA6DP9d8n3a/thYEEW&#10;fK1J/rnXjpn+xWaE3PKaaMcoo9frz0gXgOLhejcLzkFPGNIlZ8lSj3beYotfG3eHCY7iKRhc+wxS&#10;Gw8Ynq8li351HRizdD++Ofn1DQF65+WT+OPXk9i9ai5asvsa70dRCtrS0eYajG/ffEHb/qVrtk9E&#10;RERERERERImt1wTo6Pwef/z6PWrvfQ3/r2K3mkHuWRhCm3sk2uyDDBe2YkWq2zcUuzGy7umkrj7v&#10;V78X5lUHsaC6Fg5HXrfNPq+scsHv98JnsFhNCUKF5w6EJo2If+W5BOISHlnS0RZpJS3BnnuImgt8&#10;A4/Gpf0/+TeR75cAW75Xhevhv+9ukZ+jcJjeirlFex0lSGeXBUokkZDXo+1D8pk1+iz/XWp/y0Bg&#10;YZb+OU/2m0a018AnVeiTZab8TVahy2uZPwz+FTa+jglEuuRs2+ZByQSbOn8xOq+JmsMMh9uJIZWc&#10;g55ar4fojx74QAXo17dRB37AB8+3oU37/R+wxudaoTW7H954YIO2bW37ndfOYiciIiIiIiIiosTV&#10;ewJ0nMJ7n32BrCX78a+6fchoaMfiydOx05pmuKAVO3r1efmctUhpOpi01eeiX8NBzF//ICaWeGGx&#10;mYwXdmPIbLViYqkDmzbpVV1Gi9WUAAJevfJchedRBmx/RqozJWASEuQVD1dt0IMzxyJYkYVAfa4K&#10;+fyrbDdaYUOgyaT+TbAyC8E54xAsH43gxJEIFQxVwXpb5LFvR6Aefs2CU0fDv9KmvZ75DMQoMci+&#10;vUbbt4uGR79vqy4Q4fBcVZ4bbC8ZSXV/VU74NbruNfsrcqxyDYG/MU+/8cbosem2kPOVmTOlS4/x&#10;uU30LOomxnFzW9G/KXlv6hQyB71PTQemtBzF77/pN9tee+1wGj+eehcPTrPBlxef6wW/eQAeW+DF&#10;T+c+1LbHNu5ERERERERERD1FrwjQpaJEWjHu6ngP/65sR7/Gg/AsbEPINRxt9pus2rpJO21p2FDi&#10;xci6Z9A3iSt97qzdC9faQ5hTUQu7PRc2w0Xd2LGq6nYbGhrdCAaNF6kpAUhngC0uBCePRMwrz+Wx&#10;JCQKh+YSegcqsxFYbFLV7ipkDmokPJL//jvk30b+/WY3/CusCDTmIbggC8EpYxAaP0yNbAhZNN0Z&#10;pst2JKDMH6qq0aUqVT1Ho9ecqDvI52+LG6HyW6iOvt714Tlbjl+lvc7+1Xa9W4Ycc4xevz+j/Xtp&#10;hd8ayjd+bLot/H4PGho8cLiscevU43CYYCmrxYCGjqS+sVP0qe3A6GX78dGXX6oq9GuuHzpPaH93&#10;Bh1rF6ig23A/ilJA2rg7h+DEB3sZoBMRERERERER9SC9IkCX2ednz32LSVuO4F81ezCwYS+ayudg&#10;py0+i2EREqTtkurz2WuQ0nRYVboYLd71djL7fEDTEUxfeR/KJnlhtuYZLujGiiw4S+vTqdOdaGnR&#10;W6IaLVLTbeYPh+czxsY2bI4E5xK6lQyHvyIbvhVWfdavBEXBGFVoy+dKwvTwY/q2uuFbY4O/2YTg&#10;vEy1bfV85LnE8uf7K+GfW6rRpfJX3SDAzz91Nwm4tc9dcG7m1TEJt0r2m0h4rh43BvtubyL7t/Z7&#10;LjRhhL7/G72Gf8acjsCscQzQE4wE6Bs2xHcOugTotsKJGFj/EtKSeLSQSNHOUfvX7sH2F95R1ws3&#10;XkOcwdcvP6FCbgm7DfelaMjxzTwAr+xcxjbuREREREREREQ9SK8J0I9+9ClSajvQp+EALFUPotUz&#10;FtvjPPtc2sOvK87HGKk+bzxguHCXDPrW7YVpxT7MrayH1ZptuJgbS7Lg7PLYsHw5W7cnLAl9fF5V&#10;ua0qp2MRLstjqMfSTBwBf0MefBudeuAWq9D8r8jjS6Au29L+7NvkhH+ZFcF54xCSFtbOIfrzu9mQ&#10;62bJzy8V8OOHwb/IrD+veP/sRF0F8rX9L1eNNwjZrvt83gzZpy3pCMwZp+/H/BzfSB1LPQjOHqvv&#10;+0av45/RXtvglNHwbZPH4GubKOSmP7n5r3SyI35t3B1m2N0ujKy8P+kDdPGPynbMCL2C3/5r1Mb9&#10;DH6+8AkenG5FwDLQeF+KklS3PzrXo23/G217p67ZPhERERERERERJaYeH6Cj8wQu//49Vj74Bv5d&#10;3YG0xgOoLZ+HnfaBaHPEL8hqsw/CDu3xp85eiTubjhgu2CWDVM2gRYdQsuR+TChywWo3Gy/mxpBU&#10;n8+d51SL0Kw+T0DyngS8CDSY0BZtwBYhwZGE08XDEajNRetWlx62idvxGZBtdtm+b7NLzRoOThmF&#10;UP4w/bkKo58lVsKPLy2aVfW9hPtGz5Uolvz58K9xIFQY/pxf/7n8u8I3xEiHCunuwPD8L2jHmGDt&#10;LcxBlwB98ijt+KS9vgzQE0bkvGX+AjlnMj7PiZrDDIf2NWfmOgbomjtq2pGz/ADe+eSLG6rQJdD+&#10;4/fjOBJcHLc56BLM7ywYheNvvaAC+67bJyIiIiIiIiKixNTzA3ScwPdnvoV55QH8q+4ArNUPYJs3&#10;Czvi3L59p60/1hW5MaruOaQk8eJkSsM+DF+0B/Or62Gx5hgv5MaQLDYXjrdj7TpWnyesgFfNDr+l&#10;mb1GJKRzDkZw9jj41zv0CvBECoMkDJHnowJs7WdfaUNgfiZCxSP0SvF4Bulyc4KEkFNGwbdWe20C&#10;bNVMceT3wrfNjdDU0WizRtnqWNs3guXa53aLmzd//C/yui/Xjqnyut1MgC7HBu045FunHRt4g0JC&#10;kfOXJUviGKA7LXDa85BXWonUxoPa+Vpyz0GXEUt3VLRjZ8e7KjDvvHz9tcR5fPPqMyroDsahjXtQ&#10;2rhbBuBwYJG2rYvaNq+dxU5ERERERERERImnRwfosgAmAfrjBz9Qc7j7NB7G/Gm12GWX8Dx+oVWb&#10;PR3btcefPmc1+jQdMlysSwZq5nvTAeQvuh8FBU7YpGWo4UJu7JhtVlRVudQMUVafJyAJeja7EJo0&#10;MjbBsQTQhcMQaDJp77c38UMg+UxKiB3QXod1dlUtH4zMLlbzyw1+xmipNtjaYxcNg3+pRX+NuG9Q&#10;rGmfKZ/22QpU52ifuSg/yxLsavuFX9tHGOz+DXI8We/Ux0TcZICujgtrbLxJIcEEAx6sW+eBN55z&#10;0O25sIyfjMF1LyKtcZ/heVwy+UdVO6b6Xsa589+pa4eu1xMSoF888TYemeOGz9TfeH+KUmtOCp6q&#10;moDffvgKnZ1s405ERERERERElOh6fIDe2XkClTv+g/9XcxDZ1Q9jS6EVO2zxWfyK2GEbiA1Fboyo&#10;fw6pSVx9ntawFxlNe1E+rxoOR57hAm4sWWwWFE+wY8MGVp8nJAlt/V4E52WiLdrK83AoHJw8Ev7V&#10;9sSrOv87JLCS4GujE4G6XH1OeqQVfTyCdHlcz1AE6vOubv/650R0q+SzvNKGkDs869/oM/h3yPcW&#10;DNUey6rt1/yM/i3acVWOIyGPBOg38dozQE9YchPgli1elE9xqnMbo3OeqDlMcHjzMWbBLqQ2SRW6&#10;8blcskip34PBdXvw6sef4fo55J2dJ7VripM4un0ZtmX2Md6foiRz0O+ZmIlj77yoAvuu2yciIiIi&#10;IiIiosTTowN0qSB5/7MvkLn8AP5RfxjlM5fjbpvML4xicf9/ysAOxyBMmbMWqU0HVIhstFCXDPo2&#10;HEDR4gdQON4Lm91kvIAbIzaH3r69ts6FUMh4QZpus4AX/mUWPWCLJkCXcFn7/uD0MSo0UhXdPbmi&#10;WipsJQDb7EKgJle1VFbBVjQh5J8JP2ZgQaZqtc3QjGJC9j/t8xScOlr7jEXR3liOC87B8Deb0Bri&#10;uIG/LXz8CEW6WRi9tkYYoCcs6aDj197XigonTJZ4BehmOLWv42ZtRErTYcPzuGTzz8p2hF58V7uG&#10;OAHc0Mb9B3x+8BG0aef58Wrj7stLxesPblLb6rptIiIiIiIiIiJKPD08QD+JXbvfwZ11BzC85ils&#10;LHLFffa5VLdvKPFiZN0z6Nt4wHCBLhmkSiXP4kOYOH8RvC4TbI44LQCHWWxWTCq1Y8tmvXLLaEGa&#10;biMJeLa4EJo8CiFzFAvPKjxPR2D2OLS2aI/bm0IfCdK1n8e3yYXAwixVhdtm0V6rWFejy1x0uQFh&#10;xhgVujE4o6gF89U4AvVZvZkK6K7k+7TPZaAyW/tM9vCbYrobA/ReSW4GXLTIBavDCpvBeU/0LHDa&#10;cpBd3oD+zck7bqirPrUdmLjpCM5flDbuJ6+7pjiLH06+gycqxqt264b7VJRasvrhhcUz8NuPX6Cz&#10;8/Q12yciIiIiIiIiosTSYwN0dJ7ApUvHMD34Cv6veh8mztuMnfaBiGv1uT0DOx3pKJu9FilNh5K6&#10;+rxPwwE4mx9GcXERLLZcg4Xb2JHqc4fLiqYmF4JB44Vouo3CrdtVwCbhzq0Gwtr3tVkzEJw5Vg/P&#10;JXA22l5PFw7SpTW9hNzqZ4/mdTMijyWvZdkotG6QKn6GZ3SL5KaPtXaECodd6XBw08Kfx9D0Mfq+&#10;zfD85jBA75VkFM3q1R4UFtlhscfpJkRbDqwl0zG0LrlHDkVIG/eMxj14+/MvVIAuo6CuXFtcPqH9&#10;3QUcam1GS04/BI32qSj5LQNx76QsnPhon7ati9dc1xARERERERERUWLpuQE6TuLV9z/DqMUH0b/2&#10;RayeUIwdKkA3XrSKBak+31zkQFbt4+jTmLzzJKX6fOiSI8ifsxwue3acKqeukurzyeUOtLTobU+N&#10;FqLpNpJwZ6MTbUXDbi7cuZ7MPC8blTxV0zLXvcWNwCIzQhNH6q9dNK+fEUu6miPvY4hOt0I73sox&#10;Nzh7HKJq3S5BbskI+Pk5vDWRAF17DRmg9x6yb23d6kX5VAfM1vjNQXfmF2FExf2cg65J085f+9Z2&#10;YNtTbwOd2rXEDW3cL+Kzgw9jZ/4IBCzxuaZozU3Bhy/epcJ6Ce27bp+IiIiIiIiIiBJHjwzQZcGr&#10;8/IJbH72bfx/KveiaGEAIdcwtNljP7PwqgzcZR+A2dMb0af5iOHCXLLo13gQOU1PobS0tFuqz+0u&#10;KxYtdqtqLaNFaLqN5IYGvxfBeZnRhb/hgM233pFcQY+qRs9Xbd2DC7PR5h2qQu+YVqOrEG04fCvt&#10;aluGz4PISDAf/mUWhDxDbn3/1j5/bdr3+5da9ZtGjLZDf007JspNSiGX9j7czLFBbkoqHamOL+pY&#10;Y/TYdFtJG/d5850wWW88/4kJhwUupxkj5gaQmuTnrhF9ajpQsvkwfvnluOpmdc31BU7hvxc+waNz&#10;tX0uL814v4pSa24q2lfPwy8/fq5tj23ciYiIiIiIiIgSVc8M0HECp858i5LNR/Hv2n1YVDoVO+0y&#10;+zyKAO9/2Gnrj40FFmTWPoF+yTz7vGEvMhYfgrdyG1z2HD3gNlq0jRGpPi+b4sTWbZx9npCkQnWN&#10;HcH8obcesMn3eYeooC5pA16fVwVc/hVWBGWOvEV7TWIZokuQNn4Y/CtZiUp/kxxvt7kRnDpGv6nD&#10;6HP1v4Rbt+tzz7XPndxwY7Qt+msSoK93IuS82QA9PdzVw60fY4wem24rGUtTV+/WzndscTufctoy&#10;MXb6GvRvkjnoyTt6KEIq0Icv3ofXPvxMXU90vb6Qm3NlFvqe9QvhN/fX9rfYX1dIZft9ZTm48P1b&#10;2rbOXbN9IiIiIiIiIiJKHD0uQO/USPv2ox98hj51B2CtvA8tnnHYYZMA3XixKlpt9gzscKRj3vQG&#10;9Gk6bLgglyxSGvdjWMNzmFReDps9z3CxNlb0xWSbqj4Psvo8MQW9CC7IRNuthueRgK0mh8GuCOar&#10;sCswP0uvNpXqcaPX7VZIC+6uITrDTPor2mfEv8SiB0i3cjNHeN8Olo+Cb5ubFdDRkJtrllmvvq7X&#10;v9Z/xpyOwLQxDM8TmNwYuHKVB/mFdnXDoNG5UNTsubBNmo/BdS9wDrpGxhD1q+nA5ickwD6priu6&#10;XmcAZ/Bpxz1ocw1GIJrRFX8iqB1TJUT/9vXnVFjfddtERERERERERJQ4elyALtUiv/36PVY89Cb+&#10;v3WHsaC8EnfZ+yOe1efb7YPQ6hkHU82jKkA2WpBLBmnytekAPLXbVUtQaQ1quFgbIzITtFyqz7d6&#10;WX2eiPxe+DY49Lm8txr0SoWkBDwt8njXPX6ykqBRE1hkUvOL1Wt7KwGmEXms8cPhV+3cGarRn5DA&#10;Vdsng7Nk9vkt7ttyU41nKHxywwZbt0dHez8C9bn663qzAfrscWht4+ufyGQW+sRJdu2cx/hcKGoO&#10;ExyFJRhS/TjnoIf9q6odk31H8eMPxwzauJ/GT2c/wn1lefGZg67tw37zABxqqcMfvx9HJ05ds30i&#10;IiIiIiIiIkoMPTJAP3v+W2SvfgVjKx/G5kIrdtriM6dQl4Gd9oGomVqBAY17kdqwz3AxLhmkNezF&#10;4KY9mDRzARwOk/FCbYzos89taG52IxQ0XnSm2yyUj0Btrh6U3UrAK8Fc4VD4V0tFNAOea4RbuvvW&#10;ORCcPlp7vbTX6lar/K8nFXUyE321ncEmGZObODa7EJow/NY+d3I8sGcgWJWtP5bRNujvkU4RmuDC&#10;zPDr2uV1/ivhfxuoyuF+nuCkw87MmQ5Y7TeeC8WGBU7t69CF9yNVtXE3PsdLJn1qOzBq0T4cefdT&#10;7bri5HXXGafw+6/fon3lLBV0G+5fUZLHfWSOC7/++KUK7Ltun4iIiIiIiIiIEkOPDNA7Xv8EqU2H&#10;UT59Ge6yD1At1o0WqGKhzZ6OoHsUzFX3o1+SV+5I9b276X548t2w2+MboOuzzx3YJrPP2Wo68Ui1&#10;+FYXglNG39p8ZAl3bOHZyAx3/pyEj9o+EKiQlu7aa3ar1cDX0x5HZq37NjhZiU43ks/dRqf+mbuV&#10;368yc79sJHxb2bo9apEAvXzUzd3MIMdYaUFdn8tjbIKTDjvVNW44XJHRNbFmgcORh6zZmzGALdyV&#10;tPo9+HfFbvheeEcF5p2Xr15nyBz0zs5T+OjFXfCb4jcHfWfBKJx4fw8DdCIiIiIiIiKiBNWjAnRc&#10;1gP0irvfxNCqp7G2ZHycq88HY6c1FU1ls5HR0IGUJK4+F/2aDsMzuwleZx5szvi1b5cqLKfbqqrP&#10;g6w+T0yhfPiWW8IB2437zf8kQfDEEfBtdulhvNE2SCcBpLRwbjYhVDBMhZOGr+nNkPfMmo5g2Sj9&#10;PWAHAOpKPnObnGpm/k1XoEvY5B4C/1ILb86IBelGsdWtRi/c1A008m+144VvpZU3MSQ4CdCXL/fA&#10;5bHFrQpdugZZy2oxsL4daY3JfS4b8c+qdkz1vYxz577Vri2ur0K/gHNfv4pdhSMRtA4y3seiELCl&#10;a8fKdLx2/zptW2dx+fK1beSJiIiIiIiIiOj261kBeucJfHXsa2SueQX22X7sUHPPb3Jx/ya02Qch&#10;5B4Fz4I29Gk6bLgAlyz6NeyHadFTKJgwCTZbruECbazIAvLkcgdaWvTZoEYLznQbyXvi9yJQkX1r&#10;YW44cA/U5bEy8u+SEC2QD/9yK0ITRuih5q3cuHA9CdFnjIFvGyuFqQv5vGmfieC00TcX2gpLOgLz&#10;MvXPE4/f0dNeR/8KG0LeoTd3M4O8b8Vyk5K2b/N9SGhynrNliwf5hXEO0IunYUDdiwzQw/rV78GQ&#10;+r34z4efQarQr7newBn8fP5jPNdcDl9uqvE+FqVW7XFfWDJdBehS9d51+0REREREREREdPv1rAAd&#10;p/DggY+QXt+BxknTsdPW33BRKlZ2WVOxbNJkDG94Cf2SvO1lavMRuOavx3iPCTZH/KrPpX2paGxy&#10;IxAwXmym28zvhW+LC8FJI2++OlXI90wYoaoqVVBntA0yFtBe+/VOBCeHX/toQ3T5fu1xgguz9JCN&#10;3QAoQm6Sqc+7+arnwmHwr7GhNch9Oya01zFQk4OQU3t9b2Z/l+PDlNHqfTR8XEoYEqDLDYOlZfGb&#10;g64CdLcHg2qfQRrbuF/xj8p2hF58F51/nAA6u1xzXJY/n8dbj7VgW2Yf430sSj5TGh6cZsX5b15V&#10;gX3X6x0iIiIiIiIiIrr9ekyALvMJf/vtBKruexPD5z6IVs9YbJcKcYNFqViQ6vMdriEonbsedzYf&#10;MVx4SxZSfZ61+EWUTJ0DmzXbcHE2VmTxuHiCA5u36G1NjRab6TaTishVNoScQ24twLVlwF+fpwc7&#10;rIy8eRKiyw0MM8aoCvKo57NK0OaUWcnh98Rom5R8tM+CtPcPlo5SVeWGn52utGNBm20wglU57CwR&#10;S4F8bV8fi7ab6fYhx2XtuBBcEO4EYPS4lDAinXbmzXfFLUC3O8zaVzvGzW9jgN7FnTUdmLT5KM5d&#10;kDbu11aBAz/gq1eeQpt7SHzauGuPud09FB+336Nt69I12yYiIiIiIiIiotuvxwToMp/woy+/hGnN&#10;Ucwuq8ZOhyxmRRkc/YVdtv5YU+TByPrnkn72eVrTIZird6K4UKqjZBHWYHE2RmTxuL7BzfA8UclC&#10;v8+LoLRvv5XgVsLaCcPh2+TkfORoBPLh2+pCcO44/X2Q19Xo9f67pHLYOwT+ZVb12IbbpOQT9MK3&#10;0oZQwVB9XMOf3TAjf6/9/2DpSH2mPjtLxIb2e9C3zoFQscw//xs3MUTIMcE1GIHFZgboPYSc8yxa&#10;7IbVYXxuFD0LHJq8acvCAfreG871klFK/R6ka18/+PpLdZ1x7XXHWfxw8m08WVmk2q0b7mtRasnu&#10;gyOhZQzQiYiIiIiIiIgSUA8K0E/hsaMfYXjls1hXYMNO2wDDxahYaLNnYLsjA7NmLsWdST77PKVh&#10;L4Yv2ovJ85fAZssxWJSNHYvNgpIJDmzc6GH79kSlKuXcCJaPurXQ1pwOf2WOHp6z+jw64WAsUJGl&#10;v7a2617rmyUBXckI+NY7GKLTVdLxYLVdr0SP3KxxPWuGGungW2NnYBtLoXwEmvIQcmqv8c10+5D3&#10;JH+ofqMS348eQc551qxxw+myqTE2RudI0XI68mCaVIG0xgPa+R0DdJFWvwd9ajtw3573VQt3XL56&#10;3SFzydF5AYdam9CSFZ827q05KXi6dhJ+Ovuhti22cSciIiIiIiIiSiQ9IkCXtoo/XjqG2Xe9g/yp&#10;q7HdNRRt9puoxrpJO+wDsTU/F1m1TyIl2WefNx7AmIYnMGnieNjiXH1usVlRVeVieJ7IpLJ0kwvB&#10;gmF6SGOw//wp+ffeofCvsLLFc6xcCdGlI0D4NTZ67f8uCUKnj4Fvm5vBG10lN7xs0Y7NDXkITh6l&#10;9uOIYNFw1Srct1G6SnC/jhm5wUjbB4Nzxqkbjwz31z8jx4Hy0Wht0fZjdgPoEaQCfcMGD4qK7fGb&#10;g27PgWl8efj8jgF6RN+aDkxtOYrffjkOdN7Yxv3957erm1ik5brh/haFgGUg7ioag+/efpFV6ERE&#10;RERERERECaaHBOgn8cHXX2HskoOonTAZd9ni00pRl6EC9NoplejfuA+pSbzImKYZ2LQfpXVb4XCY&#10;YHdYDBdlY0HC88JiO9auY/V5QvN74V9uRcg95ObDWmnxXDYavi0MdWIq1iG69v2B6hwG6HQt+TyE&#10;PxO+9U7V2l1VnG/V/l847L3he+jWSfv8tXaExt/CzUrWDPhrcvX3hZ0+egQJ0Ldu9WL6dKfqxmN0&#10;nhQ1ex7s3kKMqnwAqZyDfkXf2g6MXLoPH2vXGTfOQT+LM58fxv3lZvhM/Y33tygE7RmqPfzHu+9l&#10;gE5ERERERERElGASPkDvvCwtFU9g58HPkTM7iKBnLLbbBhouRMVCmyMdQfdIWCrvQ7/Gg4aLbcki&#10;rWEvhja2Y8KU6XqAbrQgGyNScTVnrhMBzsVObH4vgpXSMjzj5loKC2sGAguzWX0eD+HwUl5f1WZb&#10;GL0Hf4eEdZ4h8EmnAO6PdL1IWB7BkDY+tH1PKv7bbuWGGOdg+FbZuP/2MHL+U1XthMkSpwBdO49z&#10;up0YN7cVqU2HDM/7klFKXQfS6vZgxwvvqht2r70GkTbup/Fs4xS05qYY729RasnuhyP+Rfjjt2Pa&#10;9k9ds30iIiIiIiIiIrp9Ej5Al2qQn346jnltb2FaWV2cq88HY6etP5aVTsHg+pfQL8krdKR9/fjm&#10;e+HNd8W1fbuE5958G1atYvV5wgt4EZw5RoXhRvvPn5IQyD0E/sUmVVlp+NgUHb8XvhYPgrO090de&#10;75u9waEraeU+eaTeLSAczhNRN5F9eatbtWG/6WOt/PtSbd/l/PMeJxTyYPESOd+yxmkOugVOhwlZ&#10;01Ygtfmw4Xlfsvp3VTumBl7Gr79o1x1d27hLgI5zONq2GAHrQARtsR8fFTAPwKNz3bh08h1tW2ev&#10;uQYiIiIiIiIiIqLbp0cE6B8cPw5Tw1NYX2DHDlvsWyhGtNkzsNORgfz5LejLxUX0bzqICfOa4HWZ&#10;YItz+/Zp05zw+TyK0cIyJQi/V5+BbLnJRWQJZItGwLeBoU5cyWu7xYXgDLnJIYqFfrt2PLRp71lF&#10;tvaY7BhA1K20/di/wqYqyW/6RhhzuhrnwOrznkduIFy50oN87Vw3XnPQnbYsZJXWII3nuNe4o6YD&#10;OSsO4P3PvtCuO66tQgfO4JtXn8YO74i4zEFXobwzA6c+Pqht68I12yYiIiIiIiIiotsnoQN01b69&#10;8wTu2vsp8mdvxg7bAKjW0QYLULGwy5qKNSWFGFX/HPo2HjBcZEsWfRv2wbHseRRNmgyrLcdwITYW&#10;pMrK4bJi8WK3mgFqtKhMCcLvhW+jC8HiETdfFWlJR7B8NEOd7iCzkzdp71PpyOhCdHmPC4bCv9rG&#10;rgFE3SXcEj84e+zNzz6XsF06fSy1cFRGDyTnQBs2eDFxkiNuc9Ad9hxYi6diaO3TnIPeRUp9B/rX&#10;7sFD+9/H9W3UgdP49ccvcH+ZCX6zXIdct99FSeag+0398f7TQXR2nlJt47tun4iIiIiIiIiIbo+E&#10;DtBx+Xv8fvkk5voPo7mkDNtVgG68ABW9DNxlH4AZMxajb/NRwwW2ZJLSdATj61pRUiiVUPFt3z5h&#10;kgNbt+qLx0aLypQgJEBfbUdw/PCbD9ClmnnuOAbo3SWQD99aB0K38l51ZR4Ef3UO3zei7iLH2bVO&#10;BPOH3nyAbk5HsGyUav/e6uM+29PoXXi8mDHTEb856PY8OAuKMLLifs5Bv87/LdyNyntexS+/fI/O&#10;zi7XIjiF33/5Fs8vnhqXAD0kAbr2uO1r5mnb+QadnINORERERERERJQQEjtAx0l88PW3GN/0MDY7&#10;RqHNHvvWiRHSGn5LgRnm6ofRp/Gg4eJasuhXvw/ZS/dgwoxK2KzZxouwMSLt2+saXAzPe4KAV1U2&#10;hm422Am3IA5IECstxo0em2JP3q/FZlWRetNBXIS03p8+Rg/k+N4RxV/Qi8CCLDVCwXCf/DNynNW+&#10;J1CpHWdDBcaPTQmvrc2DykonzNY4zUF3mOF0uzBy/nbOQb/OnbUdsK48iE+++lJdf1y5Hrl8Ap2d&#10;J/HO4y0q6JaKccN9MAoBy0A8ON2KX36QFvJnrrkWIiIiIiIiIiKi2yPBA/RT2NH+IRZObUSbdSDa&#10;4ta+PQO77ANQWzYbKU2HkGawsJZM+jYcgqPpQUwpHQ+zLc94ETYGpPp8fJEd69frsz+NFpMpgQTz&#10;4V9kuvlAVhabpa3wIjND2O4kraC11ztQla2/Bzc7S1lI9Xr5KPg2c3Y9UdwFvPCtu8XOEfLvC4fB&#10;v8bOfbUHCwY9aGx0w+GyxSdA1zht2Rg9cwNSm48YngMmKzn3/2dFO55+7UN1/XHt9ch5nPrkkHYd&#10;Ep5Zfv3+FyWZrb4zfwROvr+XAToRERERERERUYJI2ABd5p//+ttJzGs7jGanHTvt8Wvfvt0+CAH3&#10;SIxfGELfJK8+T9UMW3IIxVUb4XLkwOaIUxtRjdlqwYKFTvj9XkjrUqPFZEogwXwE6nL1/eZmwlgJ&#10;2z1D4V9pY7DT3cKdHaSK/JZauUtL6Nnj9MfiPkoUXwHtGFuRjTbZV2/2hhc5zs4Yw2NsDyc3Ey5f&#10;7oG3wKZuMjQ6d4qWw5YNU1kDBjVKaLzP8FwwWf2jsh2LH3gdv/z3OICrs8iBc7h08l08PMuhqsUN&#10;98EoqFDenoE3H96kB+icg05EREREREREdNslbIAuC1dvff4dqhtD2GIbrkJuo0WnWNhhH4g1xV4M&#10;rd+NtMbkXkzs17AfY5qfx6w5s2Gx5houvsaC1W6B22PD8uVuVXFltJBMCSbaAH0FA/TbQnvN/eud&#10;CBXdWlVroC5PvfeGj01EsaHtY7dcfS7HY+dgNWKDx9ieTcbZbN7sQclEu2rjbnT+FDW7dm43YTaG&#10;1D6L1Mb9hueCyapvbQdsKw/g+OlvtOuQq23cgdP4/b9fYd/GSrTmpBjvh1GQtvB+Uxp2r5yjbess&#10;OhmgExERERERERHddgkcoJ/CY698hqoJs7DDJtXnN7mg/De12TOwwz4Is2atUAuJydy+XX72gc0H&#10;4Wq8HwVeaR9qNl58jQGpPp8yzYHWFlaf9xhRBOjB/GHwbXCi1cdw57YIeBFoNF15P254j4xY0hGa&#10;OAK+jWzfThRX2nHRpwlUZOnV50b741+RY2zpSLRuc7NTRC8gVejlUx3xC9AdJjgKSjCk6lGkNiV3&#10;16XrpdXvQUptB/a/84kK0KUblrouuXxC+/NFfPDcDrRk9TXeD6Pky03FY/Py8fvPXwOdXWawExER&#10;ERERERHRbZGQATo6T+DSz6exZdduLHOYsNPW33CxKRaksr0lPxvjah5Dv8YDhgtqySK1YS8GN+/D&#10;vIZVsNtl9nl82rfrcz1tqK1zIcTq854jmgC9YBhaW7THYIB+e0gA7vMgOCdTD8ZlJrrReyXkvZV/&#10;kz8U/mUWFb4bPiYRxYbMPl9jR8g7RDteXrc//h3aMdbfaOKNLr2EBOhz57nUuVJ85qBb4NS+Dl1w&#10;D1KbDhmeDyYruZG0T20HVj34Bi7/rl+PXLk2wQ/49s3nscM7TM0sN9wXo+A3D8A9E7Nx/N3dqgq9&#10;63URERERERERERF1v8QM0HES7x87gbrqjfDbMtBmTzdcbIoFCefrpi5UsyBTkrx9u8zCNC19CZPK&#10;JqsKJeOF1+hZbFYUl9iwZYuH1ec9SZQV6K2bXAzQbye/tr9tcSM4c6x6T1RILl/lvRSRv5MK2Akj&#10;2A6aqDvI70C5uWX2OH0fNDqG/hXZX0uG650ieLNLryBt3Osb3HC6pROQ8XlUtBz2XIyb04L+TXLj&#10;6N4bzgeTmbRxd689hIs/fKddj3QN0M/iwrHX8fiCfPjyYn9jb8AqN7el450nfdq2Ll1zXURERERE&#10;RERERN0v4QJ0aZcInMGe1z9A9fgp2GXtZ7jQFAttjnRsdw6Fd0EQfZsOJ3X7dpHSsB/Tl+1EvtcB&#10;mz1+7dtlQXjuXJeqsjJaPKYEFUWArmagr+QM9NtOQvQWDwK1uarls6p4dYV5hiA4aSSCC7IYxhF1&#10;FxmvsMyKkFOqz28lQE9HoCZXP7byhrReQQL0Vas9cHttsNqNz6Oi5bDnwTR1KQZq535pDNCv0a+u&#10;A4Ob9uLIu59dE6B3Slv1309h74ZqbBt3p/H+GA17hmoPf6i1WdvuD9dcGxERERERERERUfdLuAAd&#10;+B4//HoWgZ3PYaMzE9vtA40XmmJgpy0VqyeUYFT9c+ib7O3b6/dg2OJDmDyvDm5n/KrPZTHY5bFi&#10;1Sp9kdho8ZgSFAP03kFCNu299G12qRbt/sVm3VKL+jv5f3yfiLqBdOTY5kawbLReSW50/Pwr2rE1&#10;OH44fGvtaA1o+63RNqjHkc48m7d4kF8YxwDdYYJ14mwMqnsRaY37Dc8Lk1WqRuagb3r8TRWgX5mD&#10;rq5RfsbrD2xCa06KCrwN98sotGT3w3NN5fjlh8+BztPXXB8REREREREREVH3SsAA/RSOnz+OpqrV&#10;aLOkGS4wxUYG7rL1x7QZS9Cn+ajhIloy6VO3FxPWt2NSWTms1lzDBddYkMXgyWUObNvG9u09jgTo&#10;jXkIubT952YCdFlkdg+BfwlbgicUeS8kLO+K7w9R9wmFb0pSIxSuO27+L9r3tFkyEFiQxW4RvYyc&#10;G7W0eFA62RHXAN1eOBEDa59ngG7g31XtKNl2FD/9dPy6OegX8fnBh7CrcCQCltjf4Ctz0O+fnIMT&#10;H3Ro27pwzfURERERERER9SzoPKmyLl3kv09rzoS/3orI93Z9TF3n5avXr0QUGwkVoEuVR6d2AHj5&#10;zfewqng82qyxnzEYscPWH9sK8mCtegB9Gg8aLqAlk76Nh1HaHMDEIicstvjOP29scrH6vCcKeOFf&#10;akbIO/TmWg1LOOQcrIIiBrRERBrteOpbZ0eoaNgtV5+Hxg+Df62DAXovE7m5cO58V/xmoDvMsLud&#10;yKh+AmlJ3oHJyJ21HRi7dD9e/0DauJ+8cp0iixSXvn8Lj8xywZebarxvRiFoS0fQPgifH3pU29aP&#10;11wjERERERER0e2lB+KREPtc2HnNhbCLmkthP6BT+57ffv0Ov/96DL//ptG+/vjDlzh/7hNcOPfp&#10;LZHvvXj+U/zy8zf4I/yY4rdfvtO2eVZt9+pzkOcTeW7yPCPPORLGX73eJSJjCRWg4/L3+KPzDEK7&#10;nsU2+3CEbOmGC0zRk+rzNDSUTkNa86Gkn33er24PclcexsQ59bBbswwXW2NBKqkKCu1Yv97D+ec9&#10;kQToK60IFQy7+QBd+xqoyGSATkQUDkiDc8fdWngux1RNoCobrUEeU3sjCdHr6t0qQLcZnE9FzWGG&#10;w2VF5jwf+rMC/Qap9R3oV92BHbvfhdzFf+Va5fIJ7c8X8MKSGWjJ6We8f0Zp67g78caDm9F5+Tyr&#10;B4iIiIiIiLpBZHSXdCDTw3EJoiPBeCQU/xGdf5zApQuf4+zpj/D1F6/ji89exYfvH8Ibr7Xjjdfb&#10;cfTI89i370ns3y+ewl07t8HXug4B/wYEAxsQ8G3AqpXNaKhbiIb6W6R9b3NjJTZvWolQYKN6bOFr&#10;WYsnn7wH+w88g73ac5Dn8Z9XXtSeVwfefKMDH394BF9+/qoiQfzF85+pUF8P3H8M/4zys0aCdr3S&#10;PXJd2nW8GVEySawAHSdw8cfvsammGT6ztEa8hYXlv2G7fRDaXMMxee5G9Gk6ZLh4lkzuqD+A/OWP&#10;Yfb0Upjj2L7dZLVgzjwnWlu9VyqsqAfxe+Ff70SweMTNhz7WdASnjWHYQ0QU8CLQbFKdOSI3GN0U&#10;uYGpZDh8m128KamXkpsMV64IB+hxqUK3wKHJnb4S/Rv3aeeCe284N0x2/7+K3Ziz8z/478/Sxj1y&#10;rSKLKedwtG0pAlbtOiUON/q25qbipeWz8MulT9WCxfXXSkRERERERHRzJARW1ePXtFSPVJJLWC6B&#10;8QXg8kkc++YtfPTBYbxy9Hm0v/QInn7qHjzwQBBtO7Zgw4blWLyoBnV1CzFrZjmmTyvFxInj4fbY&#10;4fE4YLHkYVzW2Cuyc7OQnZetka+6XFMO8sy5UcuRx1WPH5GNzOxxartj1fbHwWa3wON1KJMnF2PG&#10;9MlKU2MVmpursXbtEmzfvgV33dWKJ5+4C88/+wAOH3wGr7+6G998+QZOnXg//DrJjQTyGslrJa5r&#10;Ix9+bXkTOPVGCRagn8bRtz9BywQ3gpYBhgtLsbDTNgAbCi0YVv8CUtXCofHiWTJIrd+DIUteRnFd&#10;APluE2wOi8FCa/RkAViqnRYv1t7boPGCMSU4uelhmwfBiSMRstzkorElA8GSEfBtdWuPw8CHiJKU&#10;tG7f4ESoePitV5/bMuCvzWF43ovJmJsNGz3IL7THdQ66qbSSAfqfuLOmA5aVB/HRF1+oBYGr1ypn&#10;8dHuu7DdPQwB6yDj/TQKMgf9kdlOXDj+pratc9dcJxEREREREdFfuCzXbNe3Wde+durXdFJx/Zvm&#10;zKmP8PYbe/Hi8w/iwfuD8LWuxfIVDairr8CsWVNQVj4BRUVeuNzaNbnNpILq0WNHY1z2uCuhuAqy&#10;LbkwW/NgsZthsZlhjVOucqus4eclTNrzjITv6mfQSOA+ZtxoFbhbtP9v155/QaEbJRMKMGNmGebO&#10;m46GhkqsWb0IrS1rcO89Pjz3zP34z8sv4usv31Dt6VWLeu01lXb1+g0KXV73cMje2clgnXquBAvQ&#10;z+Lhex/GFusItNlivyily8AOxyBUT61ESuMBpCX5omHf+n3IWb4HC2saYTLHr3272WbBpFIHNm3y&#10;cv55TxbwIjh1tKooN96//oRUTBYOg3+VnaEPESUnuQlJE5w97ubGYHQlx95JI1l93svJedLmzR5M&#10;LnfGL0C3axf646do54IM0I2k1e/BnZXtePKVD9UF/9VrldM4/81ruLskU4XdhvtpFGQOeptrCE58&#10;dEDb1oVrrpOIiIiIiIjoKlVZfiWw1duP//Hbcfx46QucOvkBjh97D2++sRcPP9CmWpwvbq7G7DnT&#10;MHFSEQolIPc4VDGhyZKLrJxMJVIhroJxm0mF0PEqOEwkKmzXmK0m7fXIU6+DVLnLa5KTmwWT9prI&#10;v5GbCgoKPSiZOB7lUydhYcUsrFjegFBgA5547C689dY+HDv2rnr9pVX8f3/6WntfJEiPzGO/9qYG&#10;okSXMAG63Iny4+/ncdfSRdiW2x9t9ltcXP4f2uzpCDqHwlWxC6kqQDdeOEsWqY0HYWp+ElPLitUv&#10;BaMDaCxYbFbtgOpCKGS8WEw9hATo8zO1fUnbP2+m9bDsz87B8DfmoTWUb/zYRES9WTBfb93u0o6J&#10;txKgh4+5/mYzx2H0cjLmZts2L2bOdKnzJ6PzqmhJgG4tKMGQ2ueQluTdmP7MPyrb0Xz/6/hVtXHX&#10;75iXMP33X77Fo3M9cQnQ5XzJl5uKzw88rG3rrJq7fv01ExERERERUTK6OqNcgliZ230WZ059iM8+&#10;eQXvvL0fezoex462LSrQnTatFN58V7gK23QlGJZwXAJz+bOqGk+SgDxa8hrpr+XVkP3qa5l3zesp&#10;Ibu8/rU187Bx/XI89uguHD78LN579wA+//Q/OHfmY+29k2p1mb8embt+hnPWKSElTIAud6K8+d77&#10;aJ1ciJAp1XhRKQZ22AZibXEBhtS9gJTG/YYLZslC2rcPXXwQc5bvhMOeZ3hwjAWpnvLm27B8uT7X&#10;02ixmHoImYPekIeQc4geihvsY3+mzZKO4JxM+AIMfogoyUjr9vVRtG4XZu0YOm0MWlu0x2P1ea8X&#10;0D4ztXUumKzG51ZRc5jg8HgwdsEOpDYdMDxPTHZ9aztgXXEQ356QO+b1u+M7cQp//H4MHWvnIyAB&#10;ehxu+PWb+uNIcLG2ne+07V6tficiIiIiIkoG184sl+plmbt9Qf1ZWocfOfgMnnzyHgSDG1FbOx/l&#10;ZRPgdtuRKdXS4fbq1wfkDMnjR0b3Rl5jeb2FHrLnqkp2Vd2fm4WCAjemlE9EY0Mltm5djQceDGJv&#10;x2N447V2fH/sHe09liBdRFrAn7ryOeB8dbpdEihAv4T9Tz+K9ebhaLMNNFxQioWdtjTMmrkc/ZvY&#10;vj21YR+GL+pAVV0t7HEM0KV6anK5Az6DBWLqYSRAX+NAyDP05isoJTSS1sMbnQx/iCh5aMc7X4sb&#10;wZljEbLc5PiLCDneasdd33IrWgPs4pEMpGPPsmUu2B02dTFqdH4VFYcZTpcNWTM3ILXpkOF5YrKT&#10;Nu59azpw6L1PtesUuWC/upDzzhOtCFgGIhiPAF173KfrJuCXHz7Xtnva8LqJiIiIiIiot9BbsZ/S&#10;SGiqB6fydzJb+9OPX8bzz9ynXSevRWNjFWbMLEd+gQu5pmyMzRyjAnOphpb244bXvpQQZF1DOgHI&#10;eyUz5GXu+jiNy2VDSUkhZs+ZimXL6tGybTUefXgH3npjL3649PmffD5Oq+vy6z9HRPGQEAG6tN/4&#10;4dfzeHLTKmzL7me4mBQLbfZBCHjHwlJ5D/o0HTZcLEsW0ro+rXE/yte3o2TCeNjs8Wnfru5A0r5W&#10;VrtZfd4b+Lxo3eZGsGj4zQfo0n7YNRj+ZRbVytjw8YmIeht/PgK1uXql6s2MvoiQ79GOt8EFWaqS&#10;3XAb1OsEgx6sXOmGN9+uOvkYnWNFxwKnw4SsqUuRkuTnxH9GzpXvqOnAliffxuXf9esVdd2Cc/j+&#10;/b0qPJeZ5Yb7bRQkmL+/LA8/nZe2dmduuG4iIiIiIiLq6VRlcaSyXLvukVnZ5859gk8/fgVPPnYX&#10;Nm5YivnzZ6BkQgFcHjvyzDnIzNZnlEt1MyvKewfpEiChutwIkZk9Dnna++vQ/n58UT6mTitFXe18&#10;bNm0Ei889yA+/+w/OHP6Q/xw8XP88fvx8GdHyOeIgTrFR2IE6DiHzz55C1tLC9BmiV/79l3WFCwp&#10;nYJhDS8lfft2WRTsV78PVasDyPfaYIvTXVqR9u3r1nng9xsvElMP4tO/qkrKW5nha0lHYEG2/jjh&#10;xyIi6rWC+fCvtCGUP/TWW7fLsbZ4BLt3JBk5Z9qwwYMJkxzaBWV8FgactmzkTFygujL1T/KuTH9G&#10;2rhP3HwEP/50TLteuRqgX/z+bdxXlouANfZdswLWQdjuHYEznx3WtsUAnYiIiIiIegc9NJcW3TL7&#10;+hSOffs23n/vIJ5//kGsX7sEM2eUweVxhFuAR2Zs56mQlYF5coi0gY+8/5F2/PJ3Trcdk0uL0dxY&#10;iZ07tuKVoy/gow+PqPbvf/wmgXpkpvpZdIZvgCeKVoIE6JfwofaB35QnVeKxr+TQZWCXfSDKZq1C&#10;n+ajhotkySSlfg+yVxzBzIoauJwmVSVudNCKlgTo06Y51WKwj4Fpzyfvod+LQJMJIZvRfvY/yPcU&#10;DtODIFZSElFvJq3bN7kQKh2JkPUWz23sGWhzDlbHXIbnycfX6sXMWQ6YLHFaKLDnwFY8FcPqnkFq&#10;4z7D88Vkl1LbgfTmvXj3iy+165VIgH4GP1/4GE/XT4LfNMB4341CpC38+88GtW2dwmXOeiMiIiIi&#10;oh4mMv5Kb70tFcKXVEv2d97eh+effwA+33rMmztNzS7Pzs0KV5bnqaA0Mk/b8DqWko4eqoeDddUG&#10;PldVrMvnprDQjQULZmLzppV47LFdOHLoWXz5+avhz92l8GdPn6Uuobp8Lo0+r0R/5rYH6Og8hZ9+&#10;/h7PbF0Ff27KDYtIsbLD1h8tBXmwVd2LPo2c9Xhn7V7MadmLKVPLYbHmGh6coiXt2yVAb2xys/q8&#10;N5FQaJ0dIe8tzEEX2vf4G/L0MIg3VRBRb6Qd23w+L4Kzx+nh+a20bhfWDARnjdMfk79Hk47MQa+o&#10;dMJsNT7PipojD86CEoysfACpqgrd+JwxmaXW70Fa3R7seOFd7aJbLra/1y66T+GPX7/FIV8TWnNi&#10;f+0iAbq0cd+/pUZd6PMCn4iIiIiIegI9MD+t0eeYS1vt8+c+xYG9TyAU3ISGxipMnDQeJnOumn8t&#10;1cUSihperxL9D1IQKnPVc1V7/3GK1+vEjBllWLykFtvbNmPP7sdw+uQHKoOUsWz65zI8R51t3+lv&#10;uP0BOs7h3KmP4Cv1IGiJfRVHxF22NDSXTkV60z6ksk0l+jYcwvSlQUwsdsESp19UEqDnq/btnH/e&#10;q0iAvtWF4NTRt9aSWEL30pFqlrqaqW60DSKinkpuDJLW7TW5+vEuXE160+T4WjAM/jUOduxIUqGg&#10;B/UNbu2cyqbOqYzOtaLikBZoDoyaF0Aq56AbkpFHd1a3Y/72/6iLbQnQ9euXS/hkzwNoyeprvP9G&#10;yZeXhmfqJ2vbOYXOTl7UExERERFRYpKq3iuzzLVrlx9/+BLHvnsHTzy6E8uW1ak51t58p5ptLQGn&#10;tGS3srqc4kACdalQjwTqJu2rBOpl5RNQXT0XLVtXY9/eJ3Di+3f1Oeq/yai2cxoZK3CaN6+ToYQI&#10;0L99Zy/89sEI2uLTvl3awm93DsPUOWvQhwuE6FvXAfOalzFtQTMc9uy4tUQxWy2YOdOJbdu8rEDv&#10;TSQcCngRqM29tbbEEiY5B8O/2MxQiIh6n6D2O2+ZBSHPkFvr0iGkYl07VvrrcrXjZL7xdqjXk5sP&#10;l6/wIL/Qrjr6GJ1rRccClz0Ho2ZtQgrHG/2pO6rbYV59EF8d+1q7bom0cb+E7956Eds9Q+Ny/SIB&#10;+kMzHPjvhU/QiVM3XD8RERERERHdTnoVr7TIPoNTJz7Au+8ewCMP70BN9TwUjvfAZjerVtt55hwV&#10;arIlO3U3+cxJhbp8BoX8t137u/FFXlRVzkFbcBNefvkFfPXl67h04TPtsyzz0/W27wzTKeK2Buiy&#10;CPWH9vXZTctUq0KZU260iBStnbYB2JSfh8zaJ5DSsN9wcSyZ/Kt2H8o2v4SKBbO1g0e24QEmFiw2&#10;KxoanAgwJO19Avnwr7EhVCBt3I33u78kbYnLR6O1RXsstnEnot5C+33nW2tHqHj4rXXoiJBj5LQx&#10;4WMkf4cmK7n5cNMmD0om2mGJUxt3py0LmVMWY4Bq4c4OTUb61e1Bev0ePHHwA+3aRQ+zpbri1KcH&#10;cf+UPATMse+g5dce856STBx76wV18X79NRQREREREVF3UaOsZKa5an8t1boXcOzbd3Bg/1O4+65W&#10;VCycrQJzmUstFeYSVMrM6rh0UiO6RfosdbP6fJqsecgx6cH65MnFWLq4Fg8/tB1HjzyPb756Q/uM&#10;S4t3CdSlu8JJ9flnqJ6cbnOAfgq//fod7plTohaKjBaQopeBnfaBaJ48DX2bDiItyRcHZZZj+qKj&#10;mLp0F8omuLQDRnzat8svycLxdqxZo1dQGS0MUw8mobcmOHMcQuZbqLyS0F2q0JtMqtWx4TaIiHoS&#10;n4y3cCM05RbHW0TYMhAsGAbfGju7dJA6hyqbYtcu7ozPt6Jmz4Vt0jwMqX8eqY28yfTP/KNiN5Y+&#10;IhfRMpNcr7b46ewHeLahND5z0K2D0OYagveeC2nbOm94HUVERERERBRPemAuQaLuwrlP0f7SI9i6&#10;dRXmzJ0Ou8OqWmXnmnLYlp16JAnVzVYTsvOyMDZzLNweB2bNmoKVq5rx4AMhvPFaO3689GWX/SA8&#10;37+TYXqyuM0B+hl898FB7Bo/NlyBbryIFA1p397mHIwpczeohUGZZWi0MJYs+tTugW3dUdQtWQez&#10;OdPwwBELJosF02c69ECBFca9Uygf/kUmhFzavnYrbYolYJowAr4NToZERNSzSZW4JjgvE21q7rnB&#10;Me/vCH9foD6PrdtJCQY9mDPPpVq4x2cOeh4cRZMxtPoJpKoqdOPzx2T3z6p2lGw9gpOnv9WuX/Q7&#10;z9F5Dof9i7Ft3J037stRCtoz4DOl4eUdK7Tt/WB4HUVERERERBRrMsdcr7o9pwofz5/7FIcPPot1&#10;a5dg1sxyuD12ZOdkqmpziz0+hXlEt4tUp8sNIXJjiMVqwviifMydOx0b1i1RN4+cOf0Rfv7p6/B+&#10;It0YtH1F+2+jfYl6h9sXoKvqjfPYu2MjfJb0uM0/324fhG352Rhe+zRSGrkw2Ld+P5wrX0Bt1VyY&#10;LDmGB4poyQKvqKt1IRQyXhCmXsDvhW+LC8FJI2+92tKajsDCbD1A540WRNQTybEr6EWgOkfNLb/l&#10;8Fxox9LArLFs3U5XSAV6Xb0bDpctTgG6GU6PG0MX3o/UpkOG546knT/XdWBk0z68/P6n2vWLfnEM&#10;/IQ3H96K1twUFXgb7tNR2JbVB+2rF6Dz8jntuol3txMRERERUfzo1bXSsvo0Tnz/Hl79z25s2bwS&#10;5eUT4NSuR6U1uwSLEjDajK4tiXoZafce+dzLV/m7kgmFaG6swmOP7MT77x1U+4o+3uAHzTmG6b3Q&#10;bQvQOzu1D9blU3iqeSZa4tD6MGKHbQCWlM1ARkM7Uhr3GS6KJYtUzeDFhzF99WMoKZJqpvjcJSaz&#10;zwuL7Fi3Vp/fabQgTL1EwItAVRShkXyfZwj8K6ysQieinkfCc+3Y5W/OQ8g95Na6cURYtO8tGYFW&#10;duWgLuQ8aulSD9xeG6zxCNA1Tnsehs3bidTmw4bnj6T7x8LduGvve9pFcaSN+yV8vOdebHcPRcA6&#10;yHi/jkJLTiqeqi7Bz2dl9voZw+spIiIiIiKiW6F31ZIq2nOa8zh35mO8fPR53HVXK+bMngKzBIfm&#10;XNXeWjIEaXVtdD1JlAwi89Nlf9BD9Wx1Y8ncOVMRDG7Cgf1P4/NPXgnvU3Ijyhn135yb3vPdtgBd&#10;2huc+Pgw7iszw29KM1w4ilabRuafj5+3BSlq/rnxgliySKnfi9HLD2Lpeh8scao+FxKgT53mYHie&#10;DHwe+Da6ECoafuvBkTUDwdKRaN3qVlXthtshIkpE/nz4l1sRKhh66504hBw/XUMQWGxGa5Ct2+kq&#10;GYOzaZMH+YU2dX5ldN4VLYc9B1mzNmCAGnW01/AckqSN+25U7nwVP/5wTLuOkTvMz+HkR/vwwBQT&#10;fKb+xvt2FOQxH5xqwalPDmjb4hx0IiIiIiKKjl4pG5lrfgZ//HYM77y5F/fc1Yqqqrlwu+0Ylz0O&#10;eZZcBuZE/4NeoZ6r9hmr1YRpU0uxevUiPPrIDnz84RF0/iH7m8xMD89PZ3V6j3QbA/Qf8PqTO9Aq&#10;C85xbN/uy89CZtVD6NPEqprUhn0wLe9Adc1C2Owmwx0/Wnp7URtqat2q7ajRYjD1Mv5wFXo0c3+l&#10;bfH8TD1AZyt3IuoJAl741jkRKh4RXXgux027dgyszNaOgdrj8hhIXUiA7tO+lpbatYuzG8+7YsHh&#10;yIOlrBaD6ncjLcm7Nf2VfnUdyF6yH599+5V2HSN3lZ/Gz2c/xOMLCtGam2q8f0dBxlu1uYbgswMP&#10;qesmo+spIiIiIiKi/0WvipW55mfx+2/HcfL79/D4o7vQ0FCB4pICmMy5yMrNhMXGmeZEt0LC9Fyz&#10;PjvdajNhUmkxamrmYXtoEz784Ah+/PErbd+Tm/Gl44M4ZbivUuK5LQF652VpX3Aa+7fUYVtmH8NF&#10;o1jYZU3FktKpGN7wIlIa9xsuhiULqb4f0HQAFS27Mb4oP24BuizuevJtWMv27clDZqFvdKJt/LBb&#10;r0KX73MOhr8xT29dzACJiBKZhOcbXQhOGqm3Xjc6rv1d2vcHp4XnnvP3Jl1HAnT5OnOWjN4xPveK&#10;msMEW8l0pNc9j7QkP1/+K2n1e/Dvqna89MbHV1qxARfw4rJZaMnuZ7x/R0Hmqrfm9MP7z+/UtvOz&#10;4TUVERERERHRn9GrzS+orydPfoBXXn4R69ctwcRJ42GzW67Mdma1OVHsSJieZ85FTl42LDYTPPku&#10;zJxZDl/rWrz11l4cP/Yufv9VwnRp9c656YnutgTo8sE4981reGSuB768+LRvDzkysMs+AJNnrULf&#10;5qOGC2HJRAL01MZ9aN4YRL7HpnZkox08WrK4W1rmQEvL1UVf6uXkfZYq9NrcqKvQQ/lD4V9hYwtj&#10;SghyDJMbgbqSzhp/5vp/y2NgLyU3DW1zIzhtDNrkuHWrxzwh3180HL71nHtOxlQFuqaqyhXu8hMH&#10;EqDnF2JQ7TNIazxgeB5J+rn0nTUdWPnQG/j9l+PaRa4eoB8OLobfPEAF3ob7eRS2jrsT/7l7DTov&#10;n1OBvdF1FRERERERUUTnZclepGX0JRXSvfPWPtx3jx9z5kyFxWpCnjnnylxzw+tDIooZuTlFQnSz&#10;NU+F6mLq1ElobVmDgweexhefvRpu9a7PTed1f+K5TQH6D/j8lWfgs+rtCY0WjKK13TYALQV5sFbd&#10;iz6NhwwXwpJJSv0e5K48hDmVNXA549e+XQL0qmo3g6NkI4HSFhdCqhozin3amoFg8XD41zoYJlHM&#10;RAKoiOuD7usFRMCDbds8WLdes+6qFSs8WLz4Wos0S5d6sGaNB+vD/166cGzb6kEwaLyNiK7Py+i5&#10;U4KRMRMt2vs6c0x0bduF3HDkHgL/EjOPd/SX5Ji0fLn7yrnW9edfUQtXG4youA/9GaD/pb61HfCu&#10;O4SLP3ynXc9IG8RzePuxraqLTsAa+2ua1pwUvLh0Bv576VN1MW10XUVERERERMnt6mxzmbd8DqdP&#10;foBnn74PK1c2o3C8B1k5mZxr3iPJ+/VnjP49JTrZByVMl1bvckPLtGmlWLNmMZ564h58/eUb2v4r&#10;N7/IuAX5eoqBegLo9gC9U2ZudJ7Gmw9uxras2Lc7jLjLmoJlEydieGM7Uho4z/HOur1Y6N+H8vIy&#10;befMNdyBoyWLug6XDatXc/55Ugrmw99sQsil7YO32spdSAA/eSRaN7rQGmAlOv19XcPxrlXhkXBa&#10;AvGtWzXaVwm7lyz1oLHRg5paN+YvcGHmLCemTXdgUqkdkybbUTLRjvFF18ovsMPttd1ARlcUjr/6&#10;7wo18v3yWKVldsyY6cTsOU5UVrnR0KAH8Rs36s9JyPO7/nl3/dkoAUh4rn2WAguzouu2IdT3ZiBQ&#10;naM9rnac4w0U9BckQN+wwa2ONfGpQrfAoX3Nnr0V/dUM9L03nEeSLqWuA+lNe/Hu519oF7OySHUG&#10;377+LHaNHw2/ZeCN+3qUfKb+eKKiEBdPvK1t65zhtRURERERESWnq7PNT+PXX77Du2/vV22iZ8ws&#10;g91uQWZOpgrrjK8DKW7kRgXF3IVJe0+09yLMoeTCac/Rvl5P+3uH9v+17/lz8v1G3ytyr9mWXfu3&#10;1z6X8PNjEH9bWbV9VDpCSJhus5sxZeokLF1ah8ce2YGvvnxD7dP6Pi4z008zTL9Nuj1Al4Wmny98&#10;jGebyuPWvr3NkYGdjkGYNb0RfZqPGC6AJZu+9QdQtX4XJk/wqLYRRjtttKT6fNJkBzZvZviTlCQA&#10;8nkRmDE2uip0IZXo5aPQusmF1iArM+lGkbBcwmap8g6F5HPixdatXmzcJFXgbqxa7caixW5UVbkx&#10;Z64LZeVOlEx0qLBbgiiX26Zu+pHjV6SDhsVm1S4udPLf15N/82cs4rp/H3ks9W/CwZds0+XRn0NR&#10;iQ3lUxyYO8+FhkbtOa9yY8MGD7ZskZ/Nq/1c+s/ICvXbTMJz7asKz+UYFW14Lse4WePga3Frj22w&#10;PaIu5Fi3STuuFU9wqGNJ13Ov2JAA3Yy8qUsYoP8PqfV7kFa3B/fufk+7ppEA/TR+OPku7i3NVW3c&#10;Dff5KAQsA7XHzsbpz49o2zpveG1FRERERETJRQ/VpOXzKZw88T72dDyG2pp58Ba4YLLos5fZoj1O&#10;rgTjeiAuYbWE1k5btiYTTrv2Vbu+Vlw2ON0uxeHxwJ4/XlOkvtoKimEqnIy88eWGTBPmIm9yFfJK&#10;K280uRp5E+Yg70++31I46eq2CmR7hVeeh+K06M/Pkac95yz1vB3a85efwx4J3+Xnk5+TIXu3kP01&#10;15SjyVZV6kXFBWqffvLxu/HlF6/h0oXPtP1dgvQLar83Oi5QfNyGAP08Tn/xCtryR8avfbt9IPze&#10;cciv3IW+jQcNF8CSSb+6DpjXvoq5dSvhceWpndBoR42WhEQLK10q6GHYk6T8XvjX2BAqGBpde+NI&#10;wFQ26upsYH6mkpocUyJheVtIAiUvNm32YvUaD5Ytc6OpyYn586WC3ImJpQ5VKW4Ph+J/RkLzroyO&#10;a7HWdXtGz8nutGF8sR1TpjlRVe3EkqVu1Q7e52OYfttor710wwjUZOvHp2g6bAg5NpaOhE9uEAoH&#10;80R/xa/t89KpQjpZ6MeJ2JM72M0T52rnjRKeM0D/M2oOenUH5oReAcJtEv/47RgenqWd/5r6G+/z&#10;UdCvldLx/Qf7tG1dvOG6ioiIiIiIkofepv0HdGr//e47B3DvPT5Mnz5ZtYKW4NxsM4Ft2mMgEpKr&#10;Cu5cOGwSkGeqsNkl4bPbDmd+ARwFxbAVT9FMQ+6kBcgsrUZmWT0yp6/UrEDmzPUYN9enjJ3fhlFV&#10;D2oe1jyEkdWPYmBDB9Ia92v2GZC//1+Mvy+j7gW1DbWtak3l/Veeh8icvko9v6ypS5A5uRZZpVUw&#10;T5gNq/Zz2MeXaj9XEZzeAnUDgEuF7NcF7JGKdobrcSFhunSOMFl0+fkuNDdV49ln7sf77x7Azz99&#10;rY4DEqizKj3+ujVA1+dxnMYnHffAb+qPoD3KReg/sdM2AKuLPBjasBupbN+OO2r3YMq2g5g7fz7y&#10;zFmGO2a0JAxyOG1YutSFUNB4AZiSRMCLQH0eQrJ/R1ml2SbzREuGw7/cqoforNTs9SI34EjFpaow&#10;10hovnWLBytXedDU7EFFpRMzZzkwucyBwiKHqiQ3W2WGjAUWm0UFTJGQ2uh4lcgiwbpUr5ssFti0&#10;42pRiQPTZzhQXe3CipVXbyaQ14dhepzJ6+vXjmmNJoQ8Q2MTnhcPh2+1jSMq6G+LHBcrKlwwa8cG&#10;o2NHtOSueXNhKdIkPG9kgP5X7qhuR86qA/juhFy0nsbl34/jueZyvQI9Dtc2Mgf90z0P6BfHf/Di&#10;mIiIiIgomejV5hKcn8MPl75A++7HsX79MhQW6rPNJWBjaP53yesk4bgekDuUri3Rw23RXQ448gvh&#10;KCqDbeIcWMpqMHbaCoycuRGj5rRi1LwARi68ByMrH8Cw2qcwrO5ZDGjch5RFR5HafASpTYfDDmkO&#10;hh1AauP+K1QAfuUG9tiSIL3rtpQrz0PI89KfY4o8X83ght0Yqv0cw6sfxciK+7Wf726MmuvHqFlb&#10;MWrGOuRMWQTL5GrYJ8yCY/xkOLxeVcWut4yXdvMi8lpKhb4Iv96G7wX9HbJvR6rTs7X9fXyRF8uW&#10;NeCRh7erMF0/PpxXaxPASQbqcdCtAbpepfEdOtbMg98S+zaHQtq377Cno3pqBfo2HggfiIwXwJLF&#10;nfUHUbrqAcyeVqzuXjHaGaMlodXESQ5s3OhVgZfRAjAlCQmcWjwIzB4XXRV6hDxG/lAEanLRKrOi&#10;WY3eq0TC8kggLH/Xon1+1m/wYPESj5oZPnWaQ80TLyi0w+mRsFwPlyUwj4TlRsel3kB+NmkNLz+v&#10;/KzeAjtKJ9uxcKELa9ZefQ1ZmR4n2vHGv9SCkDvKrhpCwnfPEPiXmBme002TG4maF7nU8c/oWBE1&#10;7WLX5i3AiOpH1IW80fkk6aSz09CmfXjplY/URapcoB5qbVDt1uNxc7CMvHrjgQ1qO53axbHRNRYR&#10;EREREfUueiB2Rl0DnDj+Hh56IISKytlwaNdv47LHadeG8RnR2nvoIbm0ItfbrGvkv7W/lyJAu9MO&#10;m8cLW1E5rJPmwVLehOyZ6zB83nYMWXg/hlQ+jCE1T2Jw3XPIaGhH/6ZDSFn0cpeAPByOhwPqnp5B&#10;XQ3dD+g/l/x8zdrPqQL2oxio/f+Mht0YXPsshlQ/ob0+D2qv070YOTeI3BlrtNevHtaJc2EvKIHN&#10;7YbdZVefVf0mhXCre1W5Lq3hGarfKtnvM3MyVav3iaVFaG6uxv33+vHl56/ht9+OhQP1s1fWKoyO&#10;LXRzujlAP41ffvwC90+zxWVOoGizpyPoHIaS+a1I4QKgWuTLXv0qFiz1we3MjdsdaRLuzJ7rgLRV&#10;ZohDEjr5NjgQKhmBkFSRG+yrN0WCJ/tgBKeOhn+VHartMQOoHisS+EogJK3JN2/2YN16NxYvcWP+&#10;fBcmTXbAm6/PCZeW5pFZ4r09LP9fItXp8lrIf8ss99IyJ+rq3Fi/Xn8t9dfU+HWnmySv4xYXQhNj&#10;cBxTHTky4K/LQ2uQxy66ebJvr1zlhturXeTH4zgoF7VuJ7Lm+tQFs9E5JenS6vfgjsp2rH38zfCi&#10;1im892SrarcejwBdrpn2rJ2PX3/+Sm3P6BqLiIiIiIh6BwnNpaL05x+/wgfvH4KvZR0mlRarKlSZ&#10;bW6xMTg31CUsV3O9HXmqBbnMHrcWlMA8vhwmmR8+bRmy52zDyIr7MKjmGQyqex6D6l9S7dSlijxN&#10;BeORcFyvGpdwWa/uNr5GTAZyg8CNIfth7fU6qF63gQ3t2mv5IgbVPqe9rk9jzMK7kDN7E/KmNKpx&#10;cdLxziZV/dr7oWawS+W6LTvcEp7t4G+WZHx5llxk52bBajOjpKQANTXz8Piju/D1l2/gv6rNu1Sm&#10;C96IH41uD9CPv/MSdhaMQsA6yHCRKFo77IOwuSAPg7WDHwP0Pbizdi88Gw6gadES5JoyDXe4aMlC&#10;rty51dDoVjN6jRZ+KQkF8uFfZkXIOyQ2lejSDl4exzsUwQVZ8K2xq6BeMdo+JZRIaN7WJhXmXjXX&#10;e9FiFxYsdKGszKnCYDmWRELiSFgel6CoF+j6OgmZ+T5vvgvLlrvV68sgPQZU6/Y8hJxy/IniGCbf&#10;a01HYEG2usmBHTToVsjxc916D4onOLR9Pg4XltoFq1P7mjVjjboQNjqnpKv+UbkbUwIv4+cfj2vX&#10;N2fwzX+eVuG5PrPc4DgQBQnQn6mfiP9e+kxdSxldYxERERERUc+mB+cXcO7sxzh86FksX1YPl8cB&#10;mW0ubdolQDe8lktWErqGW66r+eTa3znzC1VFec7E+ciasghZs9Zj7ILtGFL7nHYdtxf9JQhXwi3U&#10;rwjPD2cn41sSCdd18noeUF/ldZbXW/5+QEMHRlY9grHztyNrxmpklzUgb8Jc2MdPgtPjCs9az9Le&#10;0xx1IwSr1P++rjPT5WtBgRtrVjdj90uP4LNPX8EfUpmOS+oYY3Tsob/WfQG6mn9+Fv+5exWCtkFx&#10;m3++wz4Qi8pmIr2hHakNDNBTGg6icOVTqJhbrnYgo50sWlIdOr7YjrXrrrZgJlKk/bHMQ5f9M9rZ&#10;wRESpFvSESochoAE6asjFekMphKNBLiR9uzy55UrPaitc2H6TId2zJAQSG/HzrA8evLayWvpdNsw&#10;bboDzc1ubN0aqfK/8b2hv0E7pgRnjY3uBiA5XmnHvuCscfBtcevHKqNtEf0Psh9v2exFWblT29fj&#10;cyEpd4BnT65RbdqMzinpqjtqOmBeeRDvf/aFWuS6ePxttLmHIhCHAF1uOr6vLBc/nv1QXUsZXmcR&#10;EREREVGPo7dblq5WF/H9d+/gqSfvQV3tfBUeqspSuxmcb679/PIaXKkwD4fmbgcc40thLa3E2Kkr&#10;9NnkC+/G8JqnMKDpgD7bO1xFLgFu1xnhRtd4FA9dXvNGCdkj1evSHv4IBml/N6L6UYyeH8LomZuQ&#10;NWUJbBPnwllQrHcPUK33I23fI1Xqyb4//DU5XlhsereKHO0YMnlyCdavX4pnnroX330tXfSkIl1a&#10;vJ9Sxx+j4xJdq9sCdOm5D5zD80tmwJebarhAFD2Zfz4A5XPWI007UCb7XUMp9R0YufwoKtY/ArfL&#10;FLdfuGabVc0o5uxzuoEEd9JWekH2lTbsxvvuLZBQS9oqFw5T4ZR/iUXNXlcBlWBoeFtEKs0joe2a&#10;NR5UVblQVm5XVdJ6aK7P8zY6nlB0JEiXkRpyolla5kBjkxvbtuo3MvAGp5skAfrkUfoNO0bHoL9D&#10;O04Fy0apVvDslkHRCga9mL/AiTxzfM7nHPZsmEpmaRex+h3kRueWpEut34N+Ve148uUPtOubC7h0&#10;8l3cX56n5qAbHguiIAH6Du8IbRvvqQtdo+ssIiIiIiLqOVR4JSFW50l8/dXr2LljK2bNmqKK3/Tg&#10;PIlDQhWWh4Ny+RoJTGVeecl0mKc0qbnbQyvuw9DqxzG4/iWkNR/uEphLQSWvZ3sCWXe4GqgfxQDt&#10;/ZOu0kOrHsGwhXcjc9ZmWMrrYCuaApvbee1MdTVPna3f/4q+RpyHcVnjYLbkYtr0ydi4cTk6dj+K&#10;8+c+Cee10vlCMEz/M90WoMvdVD+cfAcPz3TCl5dmuEAULZl/HvCMRk7lA+ir7XhGO2Yy6Ve/F6OX&#10;78Pileu1nSTbcEeKll4xakNllUtVOhot+FKSkzB7mxvBmeFKzliG6EIeU8J51xCEykYiUJ8L30an&#10;HqDLrGEG6d1Cwlk5BrS0eLBhoxt19W5MLnPAnS9zzPXqaEu40vz64wjFnlV7naU7iMNlUzPlm6Qi&#10;fZv2HnW5uYH+BwnQy6MI0K3pCE4aAd96B8NzigkZgVFX57rStcNo34+KzB4bX4oR1Y+HFx2Mzy9J&#10;938Ld2PlY2+is/MMfr30MZ6um6DarRseD6IgbeHbXENx7M0X1PWUdPUyutYiIiIiIqLEpgdV5/HL&#10;f7/F++8dwqaNyzGptEiFWzmmbFVxbnit1ttJKCqzy6Wy3GmBw+OGNV97XSbMUjPLxyzYhfSap5Be&#10;9wIGNXSE55Qf1kSqy42v2ahn0QP1/fqNENp7LJ0EBtW3I732eaRXP4Fxc30wTV0Mc8kM2PLHw+F2&#10;aZ8Xs/rcXJ2lbvD5InVTjhxjcvOy4XLbUT5lojr+vPXmXpw7+2m4zftFdYy6fNn4+JWsujFAv4DP&#10;Dj6InYUjEbDEaf65rT/WTijCqLpn0a/xgOGOmEzkgJO3dDfmzZsJq81kuPNESxZxZXaxVJmyupH+&#10;VMAL3xYXgtNGxydEFxKihwWLhyOwMAv+FVZ9+yEG6fEi+30o5MHmzV4sXebGnHkueAv0eeZyfIhb&#10;0EN/i7z2EqTLf0+Z6lAz0mUOd6StPv0FCdC144iaYX6zxyw5zo0fBt9Ku/Y42vHH6PGJbpLcpLRo&#10;sRsuj36MvX5/j5rDBKfXg1Hzt6uLVaNzS7rq39XtKNt6FGfOH0fnb19jz/qKuNwkHJmr/uFz27Xr&#10;qVMM0ImIiIiIehi9Tfsl/HDpCxw9+gJWr1oEj9eBPHOOPt886dq0h6vMbdlw2iXQc8BWOAm5kyqQ&#10;PX0Vxi3YiaG1z2rXXdL6OzKzXJ+rzcA8eVydra6///pMdb0d/LCaJ5A5L4jsacuQN3E+7OMnap8j&#10;J1z2HPW5skuFOqvTb6C3eDdpx55cdeyRv5s5sxxtwY145+19OHfmY+1YJUH6ebZ4D+vGAP1n/Oeu&#10;NWjJ6acvRl+3OBQLd1v6Yta0RnUXUrK3nkyr34OBzQcwf9NzKMh3aTtHfO7AkXBMqhulopFVjfSX&#10;Avl6iD59NEKyGByPEF3I40qQLlWjniGq8j2w2KS3d5cgi5/TmIhUnG/YoM81l3bhUu0sleYS7PSO&#10;0FxOtP4uo+9PHPJ+SOt8mZE+e44Ta9fq7x+P23/B54VvlU07jgzVjylGxxsjkfBc+17VBcPosYlu&#10;gRx312j7blGx/cqNMbFlgctpUrPHZB6Z0fklXdWvbg9GNu3Dh998pV3nnMSru1ajNQ5jqoLadZO0&#10;cT8SWoRO7QK28zIvYomIiIiIEp3eHllatV/ChXOf4Lln78ei5mrYpBI0T682T5755trPKdmEas2e&#10;A6fcvF1QBMukhRg3fRVGzw1gePXj6K8qyzUqLO86t9z4moySkf6ZkM+H3v79MAY07seI6sfU52jc&#10;9NWwlFbAWThB72agqtO7tntPln3uf5PjjxyHJEiXY5LLZUVd7QI8eH8I771zEH/8flwP0sPz0uWY&#10;ZnSs6+26JUDv7DyF3376Fi8tm4WWrD6Gi0PRkvbtO1xD4JnXin83vXzdjpV80jQDm/ejeeN2uN36&#10;DmG0o0RDAhkJ0BculIpG48VeomtIG+Ouleg24/05ZiRMN6cj5BqM4JTR8C8xgzPSb53s5xLgiHXr&#10;PVhY6UJxiV07+dfnmveM0FxO2q+euKuT9/DsHDVb6QozHE6Zq/N3df3eq4+nb0O2FTlRM3pO3UeO&#10;2SarFYVFdtTWurF1qwcB7f3kMdxA+DUJzpDxE3+zjbsc19xDEFhiYXhOMSf7qYxiKJ1sVzcrGe3j&#10;0XLasjBu6nKkaRehXKj43/5d1Y5HD3+oXVBexCft92rXOX2Njw3RsGfAbxmIjrXz1AWrhOhG11tE&#10;RERERHT76aG5tGo/jZPfv48H7guhumouTOZcZOVkIjnmm+vrblfW2mR9zWWHvagcedOWYsS8Ngyt&#10;fOjq/HJpxy7VxQbXXET/S2SWunyO5PM0uH43hlU9iuHzdyJ7xhrYJs2HI3+8+mx2XcPV12qNPr/J&#10;ScL07LwsdZyaOKkIzYtq8MhD2/H9sXdVgK530pBj2ynDY19v1S0ButypcPrTg3hwqhl+U+xnA4od&#10;tgHYOt4Gc/VD6Nt40HBnSiap2oFjzNIDmFdVq6qJ4hWgy9dVq9wqgDFa7CW6gVSBq0r0MXpV581U&#10;dt4qCeolAHMPRnDWOPjWSltlCdE5l/jvkpbfkeB8/gIX8gttKoyVKsjEDM4jIbl2sm7P1UhbqFw1&#10;G0cq5R0uBxxuN+weL6ze8bB4i2AdPwXW4tmwFs2EeWIVzJMXa5r/FsuECu17Z6nvtxRMVo9n8xTA&#10;7vZo23GqbUbm8qi7H7XndTtDdfW+ae/f5HIHlqu27vr7a/TeJzW/F74NDoRKRuhdLf6qc4aE554h&#10;8DeFb9QxejyiKEnniOkzHHEL0KXVmbm0AhkNu8N3/BufZ5LujpoONN/zOjpxCcffeh5+c39VMW54&#10;jIiCPO4z9aWqfTsDdCIiIiKixKOHS+dV1eaXX7wOv289pkwthcVqulJxbnQN1nvIOpwpXGGepwJz&#10;m7cIlonzkDtzHYZWPoz02mcxULuOSm2W+eUHec1JcaGq09Ucdb06XWbnywz9MfPb1Ax1i8xQ9xbA&#10;qX1GZa1YX6eV8ce3Z4020cg6f55Fv+FHOmaUTi7BsqX16Nj9qJqX/tsv36ljHXA2KarSuylA/xFf&#10;Hn0CQdtATXzCsrusqWgunYrBjTL7mxUz/er3YsrmA5hYOhk2W67hzhAtCc+k+nTzZjeDF7o5MhN9&#10;mxvB+ZlXW64b7NcxJ9uRkKtwGPwNeXqAzqDrL8m+HWnVXl0twbld7fsioYLzcFhul4Dalqm3g5Lg&#10;2lsIW2EpTOOnI7ekAnmlTcidsho50zYja9Z2jJ19L4YteBaDF7yAIQtfvGLwwpc0u2/CS12+9wXt&#10;8V7EyHmPIXP2Xcie4dO2uUbfdvF8WMdPhT2/RHt+Lv2iwp6tPW/tON3Ndz7K+2fR3keZp7xgoQub&#10;NrOtuyE5Xq2yIzhphH78EF2DdDmuqJERQ+FvNunHFL6GFCeyj1ZUumAL78NG+3ZU7NoxqagMQ6uf&#10;UHdwG51j0lV9azvgXHMIP/5+Dmc/2oNdhSNVu/Vrzj1iQGarPzzLhcu/S2cvBuhERERERIki0qZd&#10;QqV3396P1pa1KC7OVzOGRa8Pzh1mOGw5qmDE6fHAql1P5pbVImvONgyufS48s3of0prCM8zZ6Yy6&#10;kT5HvcsMdfmzZnj1Y8ievRk5pTWwjC9Xn12XrNHK/HRp+c4wXZHjlz4vXY5lFpSVlaBl22q8/lo7&#10;Tp14PxykX+zV89LjHqCrVoOXz+HNh7Zg27j4tG8POdKxSzNtxhL8u/noDTtKMupTvx/z192HiSVe&#10;WG1yB43xThANs82KefNdakGXgQvdNAmZWjwI1OSqqk0VShnu33EggZc9A8G5mWouO0N0Y1J1vm2b&#10;Bw0NLhSVOBKk2lxOYOSuVgnM5c7WXP0kXVpBFUyCrXgOcifWInPKWmROb8HY2Xdh1PzHMbRiN9Ir&#10;9yOjYq9mT1hHWDsGi4XCKBy/WfrjyePqjx/Znrbtyn0YseB5jJnzIDJn+JBZvhqmiTWwF03XTta8&#10;cDgkSI+E6d1zsha5IWJSmQPLlukdRXhMv07QC98mJwILsxAqHq4dR7RjiIyHkODcOxTBaWPgX2Fl&#10;eE5xJzc1NTdrF3YeW3yOx3LzkdeLYRX3qzu2jc4x6arU+g7tInwPPoEwj4AAAP/0SURBVD7xPS59&#10;fRQPTDHBbx5443lHlHym/riv3ISLx97ULk5PG15zERERERFR99Dnm0tL44v49b/fYv++p7B2zWJ4&#10;vA7k5GXBYotPN9jEEF6Tk5uvbVnatakTtpKZGDdtOUbP346hdc8hTVWXRyrM9ZnVRtdTRN1PbujQ&#10;Q3V9hvohDKl7HmO0z+7YGWtVRz6HzE+PhOlSma725d66P/89sv4kYbpZOmqYclTeuGD+DNx/fxCv&#10;v7obv/8qVekX1XqFngf3nsr0uAfo0hf/vxc+xguLp6rqCaNFoWhttw1EwDMW4xcG0afxkMGOkVz0&#10;+eeHUVa9AoUec1x+YaudxmHDokVuBAPGi7xE/5OqAM+Hf4kFoaJhN1Z2xpO0WLWkq/nGDNGvJQGN&#10;kNbeZVMc2v5uU+G50bEg/sIn5hKWKxIsm+Fwe1TobC5t1E7St2DUzO0YNfchjFzwDIZU7EF61QGk&#10;V+5Dejgo14NtqSq//TIWtqvnpZ5f5QEMq2jHyPlPYNSsu5E1dROsE6vhyC+GQ/vZu3Muj8yxd3lt&#10;qKhwoUVubtGO7QzSu5BjhFSjr3PAv9QMf7NmkWalDa3b3Jx5Tt1Cjs2rV3vgLdDHaBjty9GxqBZm&#10;w+ZtR2rzEcPzTLoqtV47767bgwcOfIqfT7+Lp2tK0JqXanzeEQWZgX538Vgce+sF7drqrOE1FxER&#10;ERERxVfXOcA/XPoCLz7/EBYtqlZr75nZ41Rwbnyd1cNpP19kfUpxu2CfMBtjZ27AsIX3YEjds+FZ&#10;5ofCobnx9RNRItJbvh9SayAZDe0YVvUIRs4NIG/KItWhz+F2XPP574412kQnx7xcU4467hUWerTj&#10;YA0evD+ILz97Va1Z6MdJ0fMr07shQD+Pc9+8hnsnZcWlpaHYaeuP9YUOjNUO1ik8SKNv3R641x3B&#10;pBkLYLNkGX7IoyWLtgXj7VizRg9ZjBZ5if4WCeiC+fCvtSM4dbReHd5dLd0lrLdmMEQPk7BU9uct&#10;WzxYWOGGJ18Pzru/6lxCc+2kRNqxy1eXAzZPvppNbpq8FJkzgxgx92EMn/8Uhi58UVV1S3V5JCzP&#10;SKCw/O+Q5yvPWwL1wZV7MWzB8xg273HtQqQN1km1sOWXqNlRDmlRL+J416O0dJf3u7zcgdWr9M+D&#10;BHZGn5ekFdCOExKWh8Lkv+VmIKN/SxRjcpyWG1yKiuN3Y5PcZZ01Y52aFcb2en9NblrtW9OBhvve&#10;xB8/fYGOlbPRkt3P+JwjCnINtcM7HB933KOurYyuuYiIiIiIKD70ivNzKkA/f+4TPPfs/Zg/fyYc&#10;Lhuyc6XivDcGalfX5pzy3x4vLCUzkTtzLQZXPYr0uufRv+kgUpoOI1W1xja+ZiLqSSLz0+WGkEHa&#10;n9Nrn8GwigeQO2M1rDI73ZOv9nundGC4DeM4E5HZmofMnEx1A1FkXvrBfU/hwrlP8cdvx9UaRk+e&#10;l94NAfoFHHu7HX5TfwSl4tNgUSg6GdhpH4T6yTPRT1qDcKEPd9Ttx8TVT2D61MnaBzjH8IMdLZPF&#10;gukznGhp8bJCkWJDQqltHgSqcxDKH6q3Ru6OavRwiB6Yl6layidr++UrVecr3Cgtk6pz/UYZo/0/&#10;btSJeTacjlw1e8ZSWI68ibXImb4Fo+Y9iiELZMb4bgy+0hZdwnJpu24cTPdUeuv3PdrPqdF+3qHz&#10;n1GvgblkgXbBUqBa1quZ6UavYQzIey/BXEGhHQ2NbnWMZ4hOlBhkfxTlUxxxO0Y7tAtB6+QaDKp/&#10;idUDf8Md1e2wbzyCX375Hkd8jdiWGfuRVQGbdk6kXfO89egWdW1ldM1FRERERESxdSU4x1kc++5t&#10;PPxQG6ZNK4XNbkGeOUcFRkbXVD2aVJvbslVnMqfXA3PxNORMX4nhVQ+r658B2jWi3qJdnyd9/fUR&#10;UW8h6yEyO13m9w+QWf71HRhS85SanZ5bWg1rYSlcbrtap5UbTZI9TI/MSxfy5/LyCQj41+PNNzpw&#10;9vRH4WPpBU3PqkqPa4Deefmk+kXz1kOb4TcP0FsmGywKRaNNe8w25xDMmr0SKdoH2ujDnmz6NR2B&#10;p7oVEwqlvWd8dlwJV2prXWhrY9UdxZCEdH6vmiUcLB+tHzO6oxo9fGzyLwvPMDZ6br1YZNZ5dY0L&#10;bm83V53LyYUjVw/O5W7WojnILluOzJnbMWLBc0hXM8vDc8qvzCg3Dp57J6lO11u+D9G+jpl9H7In&#10;L1Xz3lWQHseKdPkcyF2Vc+c5sXkzu40QJYJIgD5nrit+x2k5rhRPRXrts+pi0ehck67qW9uBUUv2&#10;4d3vzuC9x7Zg69g7bjzPiJLchCzXUi/vWq5dbF40vO4iIiIiIqLY6Bqcf/Xl63jwwRCmTitV881N&#10;lry4rbffPuFqc1s2XC6rqrTNlJnmC3Yio74dqWqe+X4VKDI0p+Qkc9MlUNdD9dSmwxha8xTGzm1B&#10;1pQlsBVPhUtavcvc9P8/e/fdH0eRfoH+7dx7f7sES7aCc1Sa1N2TlHOylaVRTs45W1Z0NjkYDNjY&#10;li1nYMkZFtgEy4Ixmc2Lzu2qkYhlsDQz1mjm/PH9CNi1NNZ0TVf1qXoeXVQQFc9qQ/O8Ntz5D+X5&#10;+6WLMu+iX3pzY7XcgPTqS+fxH9kv/SuTv1+66jM4nIQ0QBe/hP/88894cnW5P0BXPBAK1H49Hn2u&#10;RdCa7sUMlgvBjPYRLFt/FQX166A7Qle+PT1Dx7p1DFQoRAbS0bvHjf72NAxljfVGF0F6KE+k64kY&#10;FKfQ+8yfL6heVwQSY3j7dg9WrHCaN7hQ9dT9ITEpt431jTEnFG4XtNwqpJRsxuLKw5gvQvPGi/7g&#10;PAJPlwfmzFjv9ItYWPuQOUHbBj27zPw9+n+fodjpKCc9mgNFxQY2bPBfLyK8U11LRHRriIoQbe1u&#10;OT5DEqKLzxSPFwnNj8qd1qr5Jn1vRvs5zGo9i/uf/jP+cGY/BmyxGAzB5j9RGv78rla50FStu4iI&#10;iIiIKDD+HufXpbfffAr9fdvkiXNRpn38VGXkGAvNDYv/uVJGLtLKVmFh7T7Mbjsx1tOc1X6JbkRs&#10;KplhjhMxVua2PIYFdQeRtGILtDzR3kGX1f2+75senWG6IPqlp1pTZL/03NwMrF/XgUeOHcH7f3lJ&#10;5sf+z1zzq/n5q/pcnmohDtCv459fvou7iy0YsMcpHwYF6oAeh21ZBma3n2K/DdMd7RegrTuFmto6&#10;WO2hKd9uczhQWKRjTw+DFAohcRJ8wIu+bQYGfCkYypznD9BFmD52YjyotEQMli+JmgBdjF0Rhm7a&#10;5EF+gXELTp3bxyblFuiip3lmESwlm7Co+h7Mq3tc9v4WPcD9J81V4TH9kNhgIPul1x1HSvkuaFkl&#10;MMzfs79PenAnZeK6kCXds3SsXOW/bljSnWjqiPG3aZPbXJCF6nPb/xmysOEIZvIE+k35f31n0PnI&#10;m/jwqftwwD1X9ixXzjUCIErDn15XbS4qWcKdiIiIiCiYgGumz8x//hh/ePd32NuzGfn5WUi1pCDN&#10;mhLi52W3mAj0RHl2se7zpMNRUIelNX1IbDmO+M4RxHSzpznRRIkxI06lz+q6iITWE5jT+ACSK3fC&#10;kV8FzeOB0+UY65sunttGb6l3UcEjJTUJmm5DaWkBtmxahd89/SS++foPY5U/RL/06+Y/qz+rp0LI&#10;A/SPXj+HA94FIXmQJBzQ49FdUoW4jrPmhco+jXd2XkZq+70ozk9HKPqwaCZxQrW2zonBQfWDXaKg&#10;EUG2CNL7vOjb7sRAQzIGcxZgyDXH3yPdHsRT6SJAXx4dAfp4eL56jRtZ2TpsDnsIFwN22QfG6bRB&#10;S8+GNb9RlmefW38Cs2Wvb3+J9ugrzR4c/vL25zC//nGklu2UGxOcIkQXEzLl+zF5dt0Op1tHY7MX&#10;e3vTzWvIrby+iCi0RIC+Y4cH6Zl6yAJ0w5RWuR0zWaLvpvxf0zDyBl/EC6cfwT0Fy0JSeas3dQYe&#10;a87Dv75421xjfaJcexERERER0cSIwEYEN+/+/hn0925DTm4GLPY0SZycVK+Zphvz76FbZCtAp8v4&#10;QV/zBxHXftZc94nw7yJPmxMFSIwh2e6g6xJmdZ43x9cw5jU9hLSKbbAU+KCl58BljknneKl3MTZ/&#10;Nl4jn79feiqs5ues062hqqoMdx3tw+9//zS+/Pxd83NZ9Er/PCxOpYcuQJc7Bq7j5Yf3YMhIxKCW&#10;8LMHQYFLlCfQS6u3yt4D0f4hH2NKXHUF3uZ+f29cxcUZKPGg1uXR0L3SH8CpHuwSBd14kN6fjt4d&#10;Lgx0WTFQlYTB/IUYcs/BPhGmi5Ppys+JmxQlAfp4eN7R6Ybbq8OuhepGLYLzFBmcO7IrkFqyEYtr&#10;7keiPGU+3tOcoXlwjPVJN3+3C2uPmb/r9dC9WTAMcR8I7q5Gh26Hw3BieWUmNm8vwNCgE329DNKJ&#10;biURoO/e7UFBkRGithuiYogNtpI2c34p5tZ8iPJrbm89i7RNT+PJ4ydwvFpDn3Wmeq4RgN60GByr&#10;TcdXfxNlzq6r119ERERERPSrxOlGMacWIc2f//Qihga2IycnXZ42t2nWyAnOxd9DnDY30mBk5iG1&#10;pBNLageR2HEGMaI8uwj6uGmaKETG+6aLcSY2qVzCguaHsKxyJ9IKm+HMzIFLVGvVUsdOpUdfmC4+&#10;a+2a6Jdukf3SDZeG7q5mPPH43Xj3nd8B34q2GiJMvzZlp9JDFqD7j9xfx/kdjRgQpzBCUHJ5v56A&#10;QdcCpDXegzu6Lisu0ugyo/08Fq8+h+qW1XCIgae4KAMlyvhmZWvywS3Lt9OUEEH6oCjvno6+HU70&#10;r7VjoDUNQ6WL/afRJ3MiXf65RAw0pkCcdlf+3AgwHp63t7vhcoeo37nomyRK0pg3PHtuPZYt34sF&#10;9Y8jsfGCPCmtDoApWOTmBPN3vbj6HlgKu2C4DRjmQimYkzAxubFpGjIKitC5vtocM1no72eQTnSr&#10;iM/yvXs9qK51yXmZapwGSrSDsOcux6yOs2MPVNRzT/KLaRc7zS/grscu4FxHtgy7lfONAPRbZ+Le&#10;Eis+enPEXGN9rlx/ERERERHRjfnzCtFz91N89OFruPto33c9zkWAo1obTT9iQ7Qo026B06VDy6vE&#10;sort8rT5zK6LmNF1hSfNiaaIKPU+o/sq4jrPY37j/VhU3QubCNPTM/3jVgTqUdwzXZxMF60zRJn3&#10;kpI8bN++FmdOP4iv5Kl0Ud5dfH6LMP0j5Wd8KIQ2QB+9hkebcmXJQdWDoEDt1+OwK9vAopZHcCd7&#10;NJoD8CLmdTyBktJiaHrwy7cLInArK3fK008M0GnKyTA9Hb1DGejfZmBf+lx5klz1efGLxJ/xzEHf&#10;Jt3/PVU/a5r7LjzvcMsy3EEPz8du8rrbDUduHZZW7MPchpNjwbko0a4OfCk0xGn0Ob5hJFUMwZFZ&#10;Njb5CuZ9QewQNCdzGUVY0daJLXuqMNDvQn+fU3n9EVHwiM9zMQ9raXXB5lCNz8CJz3NHejYSW08y&#10;QL9J/0/TOWy4/ymc7ihCf1rw1z6iLPyR3GV4/4UT5oKRfdCJiIiIiCbCf+L8Or7+8g+4995BGZyL&#10;EsKp1hTlmmjakQda0sy1nA16eibsJR2Y33AUiW0nMbPrkjz9ypPmROFBbGIRYzKm+yoS2s8gsfkY&#10;ltb0wVHYAM2bCUP0TBdhuijzLk+nK8Z8BBNVsMXnc3JqElwuHTW1y7FvaCfefvMp/PvfH4wF6Z+a&#10;Ql/iPWQBurghXX/nMu4psoSkjKFwUIvFqqIVmNt+GjM6Lygvxqgiy0A8AMOphWRgiQtXaGt3Mzyn&#10;8CJOje/1yBLssje64vPihsTpcy0RA02pEVu+/fvw3CVbMAT3xKIo1W5O0F1OOHJrsKTyiD/E9Z1j&#10;cD7FZJl8830Q/ebTitfDcHvM90qUBQrWLkY7HJoVDm8hXDU70LR5Dfb2ZmKg31Beh0QUPIODHqxZ&#10;6wpRCXeT2HDjdmNJw1FZakw576Qf+U3zWaw48DLubliOQcsd6jlHAAYc8djvnot3LtxnrrO+Uq6/&#10;iIiIiIjox8RpReBLfPnlezj15P2oqVkOu2aV5YIdkXDKU7f6e5u7DdiySpG6fBPmtjyCWZ3nZB9m&#10;ceKVwTlR+BKHFuQGF3OszuoYRkLL40ip2glrQb2/Z7pLi+qe6eLzWmx0sjssyMjyoLurCSPnjuFv&#10;H76KUfkZ/6X8nFd9/gdDCAP0L/DmqYPyQY944KN6EBSow1osSis2IKabpUdiTfFd51HUulv2HA5F&#10;mQcRnrs9GjZvccuTT6oHukRTZsCL/vUODLnm3PwpdNFawpGIwcql6OtxR+zp88EBD1at8gS/bLth&#10;+a7HeVLFAObKXtzj/c3VoS7denIjg+8cllQdhj27Uu5gDOppdHOx5nBlIGl5HwpW78fW3aUY7NfR&#10;18eS7kShIjZFbdrsgTdDl/Mz5dgMhDi9YC7SUip3mIs5Vnm6GXe0nYV1y7PoravGIXONopx3BGBQ&#10;SzDnN/F488wRc531tXL9RUREREREfv5y7Z/jf//5EM8+cxodHT5Y7GmwmkSZYOU6aDoRlSC1FDi9&#10;6bAWNMjTq3EdwzI0/763uXrtQkTh6Mc908VYnt98DEmVO5BW2AQjQ/RM94/76DyVbofNYTU/wy3y&#10;dHpJaR6GBnfg+eeG8c9//Mn8vP/KdN387FffEyYrhAH613j26Gb0WWL9IZXiQVAg9ukJ2O+aB1f9&#10;IH7bfVVxwUWX2I7ziOs8h4IKnxxIqossUCJ4KygyZP/zfp5Ap3Azdnp8oD0NQ07zc8Jhfu7cqB/6&#10;2KnzIUcCBiuWom+PSwbwyu87zYnNLuvXe5CZpQfx5Lk4dZ4Kw5OO1NItWFD/BBIbz2N2w5mfhbcU&#10;PkRZ93nme5VWvA6G2yU3QARr56Io96y5PFhasgf21gfQvqUdg30s6U4UKuKzfft2L/Lznf52Copx&#10;GRg7nOZ8MrW0e6zUn3r+Sd8Tm1ljuq5ga3ML7vbEYzDY6x/z++1NuRMvH+sz11l/V66/iIiIiIii&#10;3fd9zq/jrTefwrata+QJTtFXVwQw6vXPNCE2OpvrNKeoBJmRi7SyVVjoO4qEznPsbU4UcUSg7u+Z&#10;PqvrAhaInulVe2EraobTm+F/Ni9yQBmmR9fJdPFZbnVYkJSaBLdbx6rVrXjs+FH89f1XzM/+z+Tn&#10;f7B6pYckQPffqD7FyPYm9CTdrn4IFKD92izsydJgbb4ft3fywZ7YnZLY9iT0jBwZZKgurECJ8K2h&#10;wSUf3LKEO4UlUcrdvDb7V9swlLfAH5SPnTL/jgjOxX/3zsVAc2pEnzwXJxS3bfMgN88IXp9csdPN&#10;aYM9pxqLq+5mqfZpxn8a/SyWVeyDllnsv18EadeimLQZ5oRtaeFWLG48hcq129CzNwsDMkTnaXSi&#10;YBLzsJ4eL5avcJqf76FZKIkSYan5tYjpuqyce9LP/bbzMlY3r8RdXnOeIU6MK9Ywgdiz5Dd4/t5d&#10;5jqLAToRERER0U+NB+fXr72Jw4d6kJefhZS0ZHlqUbXmmTbE8xbDAkP8c1YBllXuxOzmRxEvSz9f&#10;ZnBOFOF+1DO9YxhzGh9Ekvk5oOXXQHO75fNY/zPe4B2Wmi7smg3LUpbBbn7Oly8vwu5dG/DaKxfw&#10;H9krXbTw+BQYnXyv9JAE6OJFffXRS3jEl4XetBjlA6BAHXbMwKqCUswRO6xYkkT2MzFaD8HtcUMT&#10;O08UF1OgRInQtetcsu+m6mEuUVgQIbo4Tb7LhYFOKwarlmKwYCEGc+ZjMG8BBlcs8Qfn2wx/cB6h&#10;4bk4ndjT48HyFUbQTp4bRhoM86ZsKV4v+2on+kaQyFPn0454zxIbR7Cg9mE48prgFBOrYN03xkL0&#10;5OLNmNNwDpldB7BtVwkG+w30MUQnCqrBQS98jU5Y7aFZHIndzI7sYsxtOyE3aqrmn/RjYlNvR9tW&#10;HEmfL8utq9YwgRAbk6/0rcTotx9jNIAFIBERERFRJBkv1/7Pf3yAkbPHUF1dDpvDgjRbqnKtM23o&#10;FtnfXFQRtOdWYFltH+LbnsTMzosyTGNwThR9xnumz+q8gLj205jb9DBSK7aanxGV0D0eWU3QX+Z9&#10;mm8cmiDRmiPNmgqrLQ2edBfa2urw5Il7ce3jN2SALlqOT6ZXeogC9C/xwcuncDRvGQbsccoHQIFJ&#10;xBFtBirKWvHb7meUF1K0mdF5CZn1G5HutkMLQQ8EUb49O8fA1q3+U62qB7lEYWU8HB8r7f5jP/jf&#10;VH92mhMnE/vNv19Tk0tufAm8P+7YLraMPNnrfI5vmKfOI0Ci7xzm1Z9EWukmOM0JltggoX7/J0iG&#10;6A6kFm9EYv0I7G0PYvW2egzJvuj+KiZEFLihIQ/aO1xyjhaSPujiYU16JhY3HEUMqz3dlDvM31O5&#10;bzf2eRZinx78AF2UcD+7pQ7/+ccfzfXWJ8p1GBERERFRNPGfOv8cv3/rKjZvWgmHZoXFJvqcT+NT&#10;mIYo054qyzRbC31YWr8f8R1nEdt1UZZ0FqWdVesRIoomP+6ZLj4jxPOblLI1sOVWwulxw6klQ9fF&#10;897oOZX+fa/0NPm1vLwQR4/04vVXL+Lb/34os2vg5g8khChA/wZvn7sHfdZYf7lkxQOgQOzX47HP&#10;vQD5NTtxW9cVxcUTfcQN1F5UD5cRmp114nRTRaUTe/d6ZTinepBLFLa+C87HqP4/EURsclmzzgO3&#10;VwvCgkH0O0+DllWKRTX3sdd5hElsGMbsxnOypLuekW9OqsQ9JAiTKrHYM79PWskGxNWdx9LmJ9C2&#10;sQMDfW709TJEJwoG+Vm/xgOPVw9NgG7Y4HTpWFK9FzHdnG/fjDs7L8LbeAh9nqXmeiX4m4h7U2fg&#10;1JoV+OcXvzfXW9eV6zAiIiIiomiAUXHq/DN88/WfceyhQ8jPz5J9zsUpROX6JuzZ/WswGZx7kVa6&#10;Egt9dyO+01+6mafNieiXyDLvsjrFFcxuP4NF9QeRUrYWenYJnOZnjHi+7++ZHl1huuiVnpyahMws&#10;0ep2DS5deAz//MefzfuH/0S6uJeo7jHjgh6g+0umfIYX7t2BnqTblA9/AnVAm4W96WlwNt2FO8yL&#10;QnXBRBNRvn1R6zHomSL8CNIJwh8QD2XF6aa2dpc87aR6iEtE4WGg34NduzzILzRgC7h0u//kuSO3&#10;HgtqH0KCT4Tn6iCWpi9R0j2h8TwW19wPR06Vv9pAMCqZ/CBET6gfwXzfGdSs24D+PreJITpRoESr&#10;jq3bPMjJ02HXQrMAcumpWLp8I2K6n1LOQenHRIDubjqKXs+ykATofdaZOFafgS8/fFGut1RrMSIi&#10;IiKiSOc/dX4NLzx/Fu3tDbDaLPLUuWpNE/YMGwzdIoMtIz0LKeb6S/Q3jpPBOfubE9HEiZPpM7qv&#10;YFbXRcxueQzz6w/BVtoFPT1Hfu7Izxvzcycoz3+nCXEaPSllGTxeAy3NtTj24CF8cu0N814iyrtf&#10;l/cU1f0m6AG6uIH9+5v3cHZzHXpTQ9P//KAWi81ZHixsP8X+56YZXVeQ1tCPdPPND1X5dm+GjnXr&#10;Wb6dKJyJ6hBCXZ2/pK9qPN+0sQm8Pb8JC+ofR0LjiDJ8pUhxRpZ0F++1taBD7kwMSq8cMSH7LkQ/&#10;h3m+YaxYsx09PdkY6DeU1zER3Rzxed/T40FRsW4uBEIToBtaMtKKWxEvyoLxwc2vEovUxPbT2JZu&#10;Ndcrs5TrmECIAP3hWje++OB5c83FAJ2IiIiIost4H9svv3gXRw7tlScKUywpsGvTMAQy/BUfnS4H&#10;HJl5SCtfh9ktxzGz8wKDcyIKCnkqXbR+MD9T4jrOIr71JJbWDsJW2ACHN8v8/NHMz6FU2cIvWsq8&#10;2zQrUtKSoek2lJUV4PDBHrz3zu/89xhFn/QQBOif4Yu/voCHatzotwX/wZFwSJ+FtqLluMN849nz&#10;45wsq5myYh3cRoosS6C6MAIhHsoWFOnYs8f/sFb1EJeIpp7Y4LLuu9Lt6vF8c2xyJ5o9rwnz6x9H&#10;oo/hebQQve3nml9TSzfC6dbNBZ2YQKmukQkQmzHGQvTZDeZkrf48ilb2YG9PFgb6nMprmYhujqgM&#10;VFllhC5AF5WNcldgbuvjsuKRah5K3xMBuvi61RuaAL3fHod7Sy24/t5VubBTrcWIiIiIiCKR/9T5&#10;dfz+7aexsrtZnji3OYLwzOKWM9duWiqcTiu07BIkV2zD7LYTsvSy7GXMrIOIQmC8X7rYpDOz4zzm&#10;tTxqfv5shzW/Rla/cIrnP+ZnU7ScShftPqx2f/USsRlraHAHXn35Av7zr/fNe81XJn+f9BAE6F/g&#10;2u8v40D6AgxqCcqHP4HYpyfggHM26pZ34s6uSz+7EKJNjHmxz24/DVtBnXmBpygvhkCJsqDVNQb2&#10;7VM/vCWiqSc2t+zd60FJiWGOWfVYvjmibHsqtJxKzK9/Agm+cz8LWSmyJfqG5Wn0lPKdMDzpwWkN&#10;Ik+iO2Ap3oA5DcOIrx/5LkRnOXeiyRsc9KCp2W2OMy00fdB1K5wZ2ZjfdJ/su6eai9L3xh92bchJ&#10;x4EQlHAfcMTjYOZC/O31c+aa60vlWoyIiIiIKNKIA3v//tcHeOThQ8jNy5S9zkNxiCykxk+cO+3Q&#10;cpcjqXI75rQ94T9tLjfiMjgnoltlRH7uiM+fhM5zWNh4D5JWbDE/myrgdBv+U+miMqn8nJ1mn7UT&#10;JO4loopJcloS3B4DmzevwoXzx/Gvf/xFZt0hCNA/x/vPn0S/bSaG9ETlw59A7NfjMehagLz6fsxg&#10;/3PM6LqEBc0PwJ2VKx9yqi6CQIhTrC6Phs4ulm8nCmfiFGJbu0sGKIGEKKL/tZZVhoU1DyCBJ8+j&#10;VmLDMBIbzyOpYhC6J9M/cVJcLxMyVs49uWyHeW1dlCF6oQjR94oQnSfRiSZDzM26uj1yrhZw6w4l&#10;O1wuB+bXHZQVj1RzUfqeP0AfwerCopAF6IeyFuFvb4wwQCciIiKiiOcv2f4ZPvrb69iyZRUcmg0W&#10;+zTrdS6q8hkW+TzEkVeJJbUDmN32hCypLE6dq9YVRES3iniOMUNs5Om+gjmtJzCv/ihSl6+HnlVk&#10;fm5p/n7pokJpFJxMt2tWJKcmydL23V1NOHv64eAG6KPmTW3024/w0gO70WeJDUmALh5G9XiSsKz1&#10;OGawlKTsf76wbj88LvMCDsHOO7vuQEaWhu3bPejvVz+8JaKpJQKU7du8yMk1YNMC+BzQzQm9NxNL&#10;qo4iofG8Mlil6JE41hd9WeVB6BkF/lLOqutmIsSi0e1CUvleJPjOfxei98iT6AzRiSZKzM22bPYg&#10;PTNUAboDTi0FC6p75WJKNRel740H6KsKi0MSoAu9lhj8+bknAHytXI8REREREUUCUa5d9KJ94blz&#10;qK1ZLk+di3BDtWYJSyI411NhuHQ4cldgad0g4ttPYSaDcyIKU6J1X0zXFcR1jsh+6YvqDsJe3AJH&#10;Rq78LHPKfuni+XBkn0oXfdJTLcnyRHpQA3RxU/vPP/6EMxuqQtb/XDyM2pztQlz7GfMN9fcZjFbi&#10;IV2c+TtIKV8fnNOBCiJALyo2ZHlo9j8nCj9iXIoAxdfkgs2hHsc3Rewmc2lIWd6D2Y0jMjxVhaoU&#10;bUSIPoLF1fdByywO3kl0txtJFUOIb/SfRC9etRt9vV6G6EQTNN6+IydPD7B9x42JcW8t60Z8x9nv&#10;SpSTmvj9iDJoLWWNOGCIVlbB30y8N/kO/Ol3jzNAJyIiIqKIBXyKf/3rQxx76CAyMtxItU6jku2i&#10;VLuWIk8w2vIqsaym31xLDZvrBH+Pc9U6gogonPifbYx/Zo0gsfUkkqr3wlJQDz0jBy5xQEq0k47w&#10;U+li01aQA/RP8K+v38Px5pwQBujxWFm0HLM6zjJANy/ixNYT0HJXyJOjqjc5UKIUtM/n5ulzojAl&#10;Tp9v2+ZBRpY++dOH5s3Oad74rEXdmCP7Xw8rglSKXv6T6Itr7veH6EbgIbos/ZOeh8VVhxHvu4A5&#10;9cOoWbcB/b1u9PW5ldc6Ef3c+AbH4lIjhAG6FVpepZxz+nvzqeel9H2A3ljeiv1GAvaFIkBPuRN/&#10;fv6kue76RrkeIyIiIiKarkRlW1Gy/bNP38Ge3RtkyXarPTTPvINOBPx6KlwuOxz51Vha3YuEjmHE&#10;dF0y1wjciExE09V4v/RLmNV1EQuaHsDSFdtgK6iDy+30n0oX/dLlqfTIO5ke5AD9Ov7+2ds4mpeM&#10;AXvwyxaKh1CiB3p15VrMNN+0aD8FE2tetInND8PpcYdkt4cIzw2XA2vXMkAnCkfjwYmv0RVAcGKH&#10;KM3tyKnE3PoTSPSdVQSoRKfHTqIHMUQXE6yMQhnMxzVcwDzzZ/g2rMZgv25e3wzRiW6WuA/U1rvk&#10;vE1QjbeAiIVQZj4SW47LzZuqOSn53YoAvTd1Bl59pB+j334iHzCq1mRERERERNPN6Kg/PH/v3WfR&#10;0eFDmijZrof/6UZNlmq3yODcXVTl73HeflqWQY7t4AZkIookI7IFRUz3VSSan3PzGu5C8opNMHLL&#10;zc9D+1i/dGtIssqpEvQA/cOXT2Ofay4GHPHKhz6BEA+hBFfDAczouqR4A6PJCGZ2XsDSmgH/RRmC&#10;3R3iNKs41bpzF/ufE4UjMS63bxenzwPofStubG4PllYdYd9z+lWJjeIk+n3Qg1LO3b95Q8tegYW1&#10;j2BWw0Us9p1A5+ZmDDFEJ7pp4l7Q2emWmx5DEqCLOaZLw+zGB+TmTfW8lAQRoIueYWU128w1i7l2&#10;0UUZd/W6ZrL60mLw7KGNGP3fhxgd/Vi5JiMiIiIimk4weg2ibPtzvzuDFSuKkZyaDEeYl2wX4b5D&#10;S4XHbUdeWSXsTfsxu/2UXDOJNYFqvUBEFCnE4YEZ3Vcwy/y8EyXeFzYcgbW06wf90tPkc99Q5Ja3&#10;UvACdFli5RO8eWKffLgzqAX/gZF4CNXnXYolzQ/izih/gCce0M0yv9rMi9KQOzpCE6Avr3DJ3pri&#10;dJPqoS0RTZ3BQQ98Ppccq5MLTfw7w9KK12G2PHnOvuf06+RJ9JrxnuhiIqS6tm6WuAbTYMtvwdyG&#10;U5hZfxGpLQ9j044VGOwzlNc9Ef2YCNA3bAxtgC7mmkk1/XLzptzE+ZN5KfmNB+hFtbtDGqA/f/c2&#10;jP7vIwboRERERDTtiTwB+ALDZx5EVrZ3WvQ7t9jSkOGxY0XFchS07sLi7lOyvDGDcyKKNv5KfBcQ&#10;2yUqFp7H7LYTWFbTD0uhD3pG7rTvlx60AN3fo+Qargx0Y9ARj0E9+CUL9+tx2JaTjoWtj+HOKC8h&#10;6e9BOQxHTunYCXT1GxwIURK6rd0lH8wyQCcKL2JM7trlQW6+Pvny7boFWmYJFtQ+Intcq8JSop/7&#10;SU/0IJxEFz3404rXyh78sXUXoLfdjd09eRjoZ4hO9GvEPG3XbjcyMrWQBujWFRswS/buY4B+I9+f&#10;QN8RugDdEourAyvxv39/gNHRa8p1GRERERHRdCCyhG+//RjHHz0Cr9cJiz3QTfqhZdessNlSUF9V&#10;hJWbe5G/fRizui5jBku1ExGZxvqli+y269JYv/StsOXXweVxw9CS/W0CndPnVHrwAvTRj+WOsVNr&#10;K9Bvm4khXf3QJxAHtZlYVVyJue2nMUMGyKo3KTqIXR3zmo9B86SPXXTqN3iyxANYw6lhwwY3BgbU&#10;D2yJaOqI0+ftHeaNxxynkwpMDBuc5tek5XuR2DgiQ1F1WEqk9qOT6EaAi1xxPbo0pJTvRoLvPGbV&#10;jaBoVQ/6zWu9v8+lHANE5Cc2VO3Z40FRsXPy7Tx+hdisaTcXPLPaz45t4lTPT+kcZnRdhN13FIPO&#10;udgfggC93zoTp9dV4F/fvCfXXqp1GRERERFRuBPhuTiQd9fRPjg0K6x2i3ItEg5s8vWloiDPi717&#10;d2LNwTOwbHoat7WdR2y7el1ARBTtRJA+o/sp2S99QcMRJJdvhJ5dBEMe1LD4DwaH+cn0oAbo3377&#10;Nzxcl4HetBjlA59AHXLMQNWKVXL3gjjhoXpTokWsefElV/fIfgKhuMjEA9icfEP2Vx7oVz+wJaKp&#10;IcKSnh4vysoN2ByT27ElTg07cqowv/4JJMry7eqQlOiXiM0X8iR6Rl7gJ9HFxMmbiaWVhxDvu4C5&#10;DWfQtHElS7kT/QpxTxDtdiqr/C09lOMrQGJR4zDH+az2MwzQf4VoMzW/5REMOOeFLEA/tWY5/vU1&#10;A3QiIiIimp7EPFZkCUeP9MLusMLmCM/w3K7ZkGpJQUamE7271uHk2Quo2/8s4ldexW2tZ5XrASIi&#10;+jF5Kr1rvF/641hctx+2omZo3kzZjlC2CDXC8z4QtABd3Pg+//PvcE+xFX3WmcoHPoFJxGFtJjw1&#10;e/Db7qeUb0Q0iem6jLSSTjhDVPLAarejotKJvXu9LN9OFGaGhjxYt84Dl0efXFhifm4YbjeWVexH&#10;QuN5ZTBKdLPESfRlFftk+K0H2BNdhPBaZhEW1z6EWQ0XsbTxONZtr8Zgv64cC0TkD9CF1lbX5Ft6&#10;/AoZoHvTMbf5OAP0XyEC9EXND2MglCfQ11cyQCciIiKiaUnMYf/3X394LoJzmyM0rUkDlWZNkeH+&#10;yq56PPvUGRy78iY825/BHW0juLON4TkR0UT5+6VfxEzZnnsEs1seQ0rlNthzK2B4PHCKw1ny2XL4&#10;lHgPYoD+Gf78zKM4nL0E/fY45QOfQOzT4zHoXQrNdxC3dV352S8/uowg3vxqzVnhv6gUb2ygxvuf&#10;Dw56lQ9riWhqiJCkv98Ln8816dPnTiMNtrwGzPWdRSJLt1PARE/0ESRVDMFwewPeMSirI+TWYW7D&#10;KcysvwRX+1Hs6clBP0+iE92QaOuxdl3oTqDLdkFuJ5bVDpqLnQuKuSmN8wfox9DvWhiaAN02C090&#10;FOKfX77DAJ2IiIiIphVRtv1//xs/eW6RPcWV648p5NBtSEpZhvLyApx+4gg++OAdbD/+BmLaR+Sp&#10;81jFGoCIiCYmtnOsX3rXJSR0DGNxw2GklHZDzyqGU1QpFblnGJR3D2KA/gVeeaQX4qT4oBb8h0UH&#10;tFnYnaXD0nw/7ui8pPylR4uYrotY1Hgf9PTskJQ2EA9fvek61q33P5BVPagloqkxMODBjh1e5OUb&#10;kzx9boPhdiGpYh8SfKL3uSoQJZqYRN+wDNFTynfBKVuLBLIItsvqKqkl681r9Bzi68+jcu0mDPa5&#10;0NfnVo4Lomgn5mubNnvg9urQDNW4CpQ5Ls2vacs3INach6rmp+Q3o/MiFrQex+5MG/br8cp1TSAG&#10;7HF4oELHN9ffMNdfnyrXZURERERE4eaHPc9FcG7TwqvvrUO3w2JLhdOlYaB/C/76lxfwyh/eR3Hv&#10;M/ht0zBPnRMRhYg4mT6j6zJmdl/GvOZHsLhqLxwFdTLDMPSp7ZUexAD9azy1fx36rLEY1BOVD3wC&#10;ccgRg/UFhVjU8STujPKTLzO6rmJJ1R55Qw/FhSNOtRYUGti104t+9j8nCisiQBenDCcbkBiGBVr2&#10;CsxpOAVxclgVhhJNRmKDP0RPLdkApyi1E8j9yZwYOd1OJFcMIs53AQsbT2D19lqWcie6ATFf277d&#10;IzdXhaaMu9jYYkFaUatsI6San5KfCNDntz6GnVlGyAL0+xmgExEREdE0IsJz4a6j4dnz3GpPg8WW&#10;hsbGarz64hn8598f4YEr72Lh6gv4/3zDPHVORHSLxHReRGz3FSS0ncI8332wlK+DnpkPw6nBKcq7&#10;6+LQ1q0r8R7EAP1LnN3aiJ7k25QPewJ11HEnGkoazF/eVbkjQfXLjRpdV5BU0gWnlqx8UwMlAvTK&#10;KgNDQyzfThRORPl28bWubrJ9bu3mzcaG5PI9SPSdBQN0CjZxXc0xrytrYacM23TzelNfi7/OMMxJ&#10;UUY+FtU8iJkNl2Up9917ctHf5/rZ2CCKdiJA37PHi7Jyp3l/CM1CwqmnwJKzArNYwv0XfR+g6wzQ&#10;iYiIiCjqjY6K8PxzPPH43dANO6z28AnPxanzlLRk5OSmy3D/v//8I7745mOsvv8lxLaexW9beOqc&#10;iGgqiPaBsV2iEvkIEltPIKlqD2y5lTC86WNBumhtHfogPSgB+ujoJ/jP3/+IE50l2Jtyp/JhT2AS&#10;cUSfibIVK/Gb7qd/9suMJjHmhTO39XFoucthaMHvf+4/1aqhtc3N8u1EYUYE6Lt3e5Cdq0+yfLsV&#10;ekYB5tUeHwvQ1SEoUSBEOff59Sdgz6s3JzPmhEZ1Ld4UOwzzz9ty62TFhPiGEVSv28gAnUhB3B8G&#10;+r2o9zlhtYdmASHGo5aZjwXNx9gH/ReMB+i7Mh2hK+FeaTBAJyIiIqKwJ0q2A5/h/LlH4PEasIbR&#10;yXOL3QKrLQ1dnY147ZWL8nW+9O6fkbnzCn7TeAYz2tXzfSIiunXEYWp/r/SLiOscwWLfEaSUrpKn&#10;0l3i8JZ89hy6ID0oAbq4wVx/7yruX6GjzzJT+bAnEOLh0z73AuTW7sJtXVeVv8hoEdN1BQt8d8Hp&#10;9frDMMWbGggRynnSNaxb5z/NpHpIS0RTQ4zJNWvcMFzjm10mxtBTkVqyEXN4+pxCLNF3DgvrHoGW&#10;Veo/Sa64Hm+Ovx96mnndJjScR3LzcWzauQIDfYZyjBBFs31DHnR0+CuUhKQPumit4E3HkvpD5nxU&#10;7AJWz1Wj3Qyx2bXtJDbm5eCAFqdc2wRiwBGPuwqS8dXHr8o1mGptRkREREQ01fzh+ad44blh5OVn&#10;wWIP5NlA8GiGHWnWVGRne3H/fUP4+9d/NF/n53jo4ptYuuYC/t+mYeU8n4iIptoIYjovIbbrCuY2&#10;H8PSyp3Qc8rhND/bxaEPfzvR4IbpQQrQv8T7LzyBIzlL0G8L/oOi/Voc+tKT4fUdxO3mL0j9y4sO&#10;Md1XsaBmwL+7IgQ7K8RD15xcDXt2f18umojCg+h/Xl3jnFwwYt5ADLcbi6qOIKHxvDL0JAqmBN95&#10;LKk6JEvr6PKepbgub4ZhNa9dF5ZUHsLMhivI6e7HQK8bfSbVOCGKVqJy0Jo1Hri9k6xS8msMu7ko&#10;0eQCJab7inKeSv4AfU77KawuKscBbZZybROIQUc89rnm4ou/vsQAnYiIiIjClgjPP/jLy6isLEWq&#10;JTRtSCfK5rDKXucNDZV49ZUL8jV+9c01bD/2IuLbzuG3zSzZTkQ0HYiDHbFdl5HY+gQW1+2HvdAH&#10;3e2UB7EM3SKfYanuAxMVpAD9a7xz/l6IUuuDWsLPHvQE6qA2U/YRtLQ+gjujuGSkKFcgyhSkla2R&#10;J0lVb2igxAPX8uUGT58ThRmxoaXP/JpfoE+u/7meAntuHeY3nGT5drpFzsjNGsvKd8MQ12AAVVPE&#10;KXYtqwxzah/HfN8ZdG1pwlC/rhwrRNFKbLLatMmDrOwQBegml5aCZaWrEdP9lHKuSt8H6GsKSxmg&#10;ExEREVFUAq7j889+j46ORtljXJz6Vq0vbqVUSwpcbg0Dfdvw2fW3zdf4Jf7w1/dRM/QM7mgexh1t&#10;DM+JiKabmM6LmNl1EbM6hjGv8QFYSruhZebB5RRBemrAQXqQAvR/4LUTB7A35Q4M6onKhz2BOOyI&#10;wbrsDCTKI/ojyl9UNBD9JsWOCj2vArrYRaF4QwMxfqq1qcXNAJ0ozIgxuX69B94MbVLBiNOwIKl0&#10;GxKaLiqCTqLQSBStAhpHkFa0FkZAlVPs8s/bCjsQV38Bno4j2NOTZY4LlnInGifuE3v2eFFUYsDm&#10;CM0DKqeWbI7nZsR3npcbO1Xz1WjHAJ2IiIiIopkIz//97w+xe9d6efLcMcXhuQjvRYhfUpKH8+ce&#10;NV/fNdOnePq1d+Haehn/1zSMGPY7JyKa1kSfdJGfipPpc1uOI2XFRjhyyvxBuiYOI0/uXhRwgD46&#10;+jHw7af43aFN6Fl2m/JBT2AScVifiZbCFbitK7rLRYo3P7H5IRgej/nmiXr+6jd1skQo53Q7sHEj&#10;A3SicCNK8zY1ueRGlwmXcNctMLxZWFp1FAm+c8qgkyhUEn3DmNfwJOy5tYGF6LKUuxPLlg8gseEi&#10;mjd2YaDPqRwvRNFKnEJfUSECdMUYCgbRUyqnHHNbjyMmiqtC/RIG6EREREQUrUROMPrtJ3j4oYNw&#10;6DZJua64Rezmz7dYU9Hd1YT33nnGnD9/DZiv8dilN7Bk5Xn8pnkYsYo5PRERTV8ySO++gjmtT2BJ&#10;dQ/s+bVwisNZsrT7xO5LAQfowCf47z//hJFtPuxNuVP5oCcQ+/REHDQSUF/egju6Lit/IdFhxHzj&#10;L2JJ7SAMWQY3+Lv3RICekalj927/KSbVg1kimhoDA14ZiljtEx/7Tj0V1pxazPEN+08EK0JOolBK&#10;9J3DwpoHoGfkmxOVyVdQEaXc9cwizKt5FPa2h7G7J4chOtEPDA150OBzmXM6beKbrW6GOQd1pmdh&#10;QeM9iInqefmNjQfoawtLGKATERERUdQY/fYjOT998fmz8Ga4YbUHv3rqRIhe54Zhx4H9u/Hll++Z&#10;r+0L/PufH6L3iVcQ13oOt7WwZDsRUSQTBz9iu68iof0UFtcOwZFXLQ9nyQNeN9lqNAgB+mf46uNX&#10;8WhzDvosscoHPYHYpydgn3Meyqs24o7OS8pfRDQQZTJnmV9tpd1jAbr6DQ2ECNBLy5zo6fH3W1Y9&#10;mCWiW09saNm+w4u8AgN2baIBul3usEotWY8E33lluEl0KySa19+yFYPQzYnK5Puhi1LuabAUdmNO&#10;wzn4Nq7BoCzj7v7ZuCGKRuIEeleXB053qAJ0G5wuHQvqDiAmyitD3ciMTvNe23EG3SXVIQ3Qv/zb&#10;KwzQiYiIiChMfCjnpn/78FVUVJbKfuPK9cQtIEq2i5+fl5eJE0/cMxbsf46PP/kL2o4+h9uaz+KO&#10;VobnRETRQlZQ7LqI+PbTWNhwF2yFPhhuN5yiyuKvPKMOQoD+OT77y7O4v0JHvy34D4n26/EYdC9C&#10;Xn0f7hQN4RW/gGggavjPah+WdftDGaA3NrpkeM4AnSh8iPLta9a64fFOov+5+Lxwe5BUdQiJvrPK&#10;YJPoVkhsGMYc3zmkFa+HU97HJlnKzbDBcOlYvHwf7O0PYU9PDvp7XcqxQxRtBvo9WL/eA2/GJO4X&#10;N0n0QV9UuRux3QzQVWI6RhDfOYKGFZ04qM1Urm8CIQN05xx88s5Vcx32qXJ9RkRERER0K42OXsM/&#10;/v6BuRbpkP3GRYitWkuEmmYSP7+yshQvPX9Ohvqieu57f/kTinuekiXbZ7QzPCciikb+PukXMatz&#10;BIsbjsBa2ASnxw2nliKfN6vuK0EI0L/Atd9fwuGcxRhwxCsf9ATigB6HvZ5lsLU8iBlRHaBfwNzm&#10;R6B5vDd8MwMlHrSuWeOSp5dUD2WJaGrs2+dFe4cTNsfEFyCiJIkjoxjz6k9gNsu30xQTmzjmNZyE&#10;I6dGniRXXbM3xbyuNfO6XlD3OBo2rMdQv0M5doiiTV+/R7biyc7VYNMUYycIDC0VlvLVMiQWiw/V&#10;vDWahTxA1xIwpCfi3ZF75MPAb7/9SLlGIyIiIiK6FUTfc7Gx88EHDsDmsMCuTU3fcxHaJ6cmob3d&#10;hz/+4TnzNX0u58vPvPEOPFsu4zfNZxHTrp7DExFRNBlBTNclxHWex6L6Q7AWtcDlNmDIE+k/vocF&#10;IUD/Ch++chYDjjj/Ax3Fg55AHNRmYYc3DQntZxATxQ/pRICeXNMvT92FIkAX4Xl6hoatW/3lP1UP&#10;ZYno1vNXhPCiptY5if7ndhhOG2wFrfL0LwN0CgcJvhEsqrkfujdbbvBQX7u/RpRytyKpcAP09vux&#10;a08++tkLnUgS87iiEh32EAXoum6Bll+LxLaTcn6qmrdGs1sVoL8zfJQBOhERERFNqfHy6C+9cA6Z&#10;mR6k2QLYKB8Am2aFxZqKHTvW4rNP3/WH56Mf4cTv3kLKmgv4v6ZhxCrm7kREFL1E22zRnjC+4ywW&#10;1h+BragFTtkj3Yrx0u6BBehjN8l3Lz6Avakz5MMc1YOeQIgT6Ovzss2/0NmoDtBjOi8hrWyV7GUs&#10;goOfThQCJR6yFhU7sXOnv9+y6oEsEd16Yjzu2OFBQaHof64evzcmAnQ7Ust3Y7ZPBOjqQJPolmsc&#10;kdel06nJ61R9/f4KcyIjqrIsqbwH9ZvWYd8AT6ETCeK+UVXtDE0PdMEce0ZWPhJbHpWlr1Tz1mh2&#10;ywL0s3cxQCciIiKiKQVcx6efvI3m5hqkWpLV64cQk6feHVb07NmEf//rLzKr+N9//oaHL7+Buea8&#10;/LfNLNlOREQ3Jku7d11GnAjSG+6GrbBR9kg39NTAAnRRomX027/hhXu2o88Sq3zIE6gDejy6i1Zg&#10;lviLdERrgD6CWeabaM2r9De2V0wWAiVOttbVO+VJV/Y/Jwof4iTh5s0epGfok+h/boPudmFhzQNI&#10;9J1TB5lEUyDRN4w5DadgK2gJqJS700hFUnYTMjoOYndPLk+hE5lEgN7S6pZjJCQhunlvMcx7S0LT&#10;w+YC45Ji3hrdGKATERERUTQYHRUH665hcGA7LLbUKel7LsJzsT65954BQJaSv47//Otv2HP8Zcw2&#10;5+W3tzI8JyKim/N9j/TzWFx3ELa8qsACdPHQ5r//+gsu7mlFn22W8iFPYBJxQE9Ac3mr+RcYkUfq&#10;VX+xSBfTeQHzWx6FlpEHPUQBul2zo7PLKXstqx7GEtHUGBz0YN1618TDc0EE6FklmFf3mOw9rQoy&#10;iaaK2NSxqPYh6BkFkw/RZUsTDWllu9C9vRVD/bpyHBFFExGgr17jhuEKUYAuqpsYViys24+ZXTyB&#10;/lMM0ImIiIgoGoiT3k9dPQmXR4fN4S91eyuJn6npdtx37wBGRz8xX8+n+Prrv2LLQy/hztazDM+J&#10;iGiSRmSQntBxNvAA/d/f/AGn11eiPwQB+j4jEftNlVUbzRd8IXoD9K5LWFo7BKfHjfHa+8Ekgjm3&#10;V8PatW4Z1qkexhLRrSeqQYggpK3NNaletqK/tL2wA3MbTiGR/c8pDCX6RpC8vBeGy5j0/c3Q02BN&#10;L0Npxxb09OaY44an0Cm6ifvG9u1uuDz+OZ5q3ATGH6BbV2wYqxAVnfPzG2GATkRERESRTpz0/uhv&#10;b6CmZjlSrSmKNUNoyZPnul2ePP/22+vm6/kMn3z+PtoOP4vbms/izjaG50REFBjxvCvAAP06/vH5&#10;2zhWn44Be5zyIU8gRIAu5NT3I6bzovmC1X+RSDej+yqWlW+EyzAnB5PtFfsLxOnzvHwD27Z55UNX&#10;1cNYIrr1RIDe0+NBReXkTqCLYDGlbCfmyPLtDNAp/CQ2DJvX5zCs+W1yw8dk73GaboVW0o2Nuyox&#10;0O9SjieiaDF+78grMEIUoIsNWlbYStoxq+MsA/SfYIBORERERJFs9NuP5YnvwcHtSElLvuWl2612&#10;UbbdjvtkeO4/ef7p5++j8cDv8NumYcxoZ3hORETBEXCA/s31N3BvqTU0AbqegEFjDpY2PYA7o7TH&#10;onwo2XUZKUUtcGpJyolDoET/87LlBnp72f+cKJz0m+Nxzx4PCouckwhB7HCaFlUcRELjeWV4SRQO&#10;vi/lnmsugkWIrrqef5lm2OBwZ6GmqxN9/ea9rNetHFNE0WA8QC8rn8y94+aIAN2RU4a49tOyR5Rq&#10;DhutGKATERERUaQaNeeeonT7s8+cgsdj3PLS7eLkuVj/i/Bc9F8X4fmfPvwTaoeewe0tZxHTpp6j&#10;ExERTUaAAfqn+Pra69jnnocBR7zyIU8g9usJ6PUmYVHLsagN0GO6LmJey6PQc0pC1v/c5nCgvsGJ&#10;oSH2PycKJ6IixK5dHqRnaBMPQQwrjPRcLKq+DwmNI8rgkihcJDaeQ3L5Ltmz2d/X/CfX802wm2Mk&#10;o7gSu/fmoa+PATpFr/HNkHX1k6tecjNkgJ6ejVltDNB/igE6EREREUUqcZju80/fRnNTLVItt7Z0&#10;u12zfnfyHGM9z//41z8hZ+cV/F/TMGLa1fNzIiKiyZp8gC53nF3HR6+dwz7XXP/DHMVDnkDs1+Ow&#10;M9vAgtbHcGfnReVfINLFdF3GgoYjcHq9MhBTTSACIR6sOt0aOjrdGBj4+UNYIpo6IkDfuNEtQ0XN&#10;UI/hG9LToOVUY0HdY0j0nVWGlkThIrHhrOzV7zCvWX8pd8U1/Stk2Ti3By1dyzE4wACdopuY061c&#10;FboAXWx00dwuLGi6D7GdF5Rz2GjFAJ2IiIiIIpH/9Pk13Hv3ACy21Ftaut2u2ZBmTcXhgz3m/Ff0&#10;PP8U737wJ+TuuILfNA5HbdtXIiIKrQAD9E/w7oV7MeQce5ijeMgTiAPaLGzIz8e89pOYEaUP52K6&#10;r2Jh9V645Onz4E9MxIPV9CwdGzf6wzrVQ1gimhpiTHavnFyAbujJsBR0Yq7vLBLZ/5ymgUTfCBZX&#10;3QWnN33SG8ZsDg2FpRnm+ElnSxKKaoOD/g1YYlxMeAPWzTBs5r1JR2p1DwP0n2CATkRERESRSITW&#10;f3j3WeTmZcLqmNzG98lw6DYZ2O/ZvQH//c9fzdfxOd774I/I3XkFv2lieE5ERKETYIB+Da8e78OQ&#10;kRCyAH1V0QrM6TgdlQG66H8e33UeqeVrYGihKYtj1xzIzddlr0yGDUThRYzJhga3DD8mGoA49RQs&#10;K9mChKZLyrCSKNzIjR6+c7AUr4XTmNymMc1cWOtuFzpX5mBoiKfQKXqJE+hbt3qQkaWH6BS6HU5T&#10;WvlaBug/wQCdiIiIiCLN6Lcf4z///hAbN3bL0u236vS5eBaWkpaM9es78c9//MWc/372XXj+W1G2&#10;XTEfJyIiCpZJB+iibMvo6Md45tB6DGrxGNQTlQ95AiEeOjUvb5MPoWI6oq+/onggObvtBLT8qpD1&#10;PxcBemmZwdPnRGGmT+jzoLLSNfHTg4YNTpeBZcv7kNBofo4owkqicJToO4cFdY9CyyyBoaeqr+9f&#10;YXU4ULbCjZ4eLzeGUdQS87pduzwoKnGGLkDXLUgraDDnq5fMeevIz+ax0YoBOhERERFFGnHq+/y5&#10;Y3C7Ddhu4enzFEsKmptr8dGHr8nw/E8f/hk5omw7e54TEdEtMPkAffRjGaKPbPdhwB4nH+SoHvIE&#10;4pAjFssr1iO265I8ja36C0SyGPPvPbv5ERiZuSHpfz5+qrXB52KAThRmRPAnFBYbcqOLagzfkGGB&#10;4cnAssoDSPCNKINKonCV2HgByeV74HTqcjOI8hr/BXInvEvHunUeDA2pxxdRpBP3D7GJpLLSCZsj&#10;NKdDxCYXa3Y5ZnWej8p5+o0wQCciIiKiSCJKt3/y8Zto9FUhxZKsXBuEguh5XlKSj3feetp8DV/i&#10;vQ/84fn/sec5ERHdIgEH6CdXl6PfNiskAfphxwy4a3pwW/dTyhcf6WK6LmNOw90wZBnb4D/8FOG5&#10;06Whs4v9z4nCzfjJ2excbcIBuqGnQcssxuLah5HoO6sMKYnC17B57zsDW04VDFnKXX2d/xKbw4Hq&#10;atePxhJRtBkc9KKl1QmrPVQBugVaRh7mtxxDDMu4f4cBOhERERFFCoyKFq6f4v779iE1Ldm/YV2x&#10;Ngg2q90Cr9fAlUuPyfD83Q/+wp7nRER0ywUUoIuvjzRmo88a/IdDQ0YiDhoJ0Ov6ozJAFyd5xIme&#10;1IotMAxRGif4ExSH4YDLo2HTZgboROFGjMktWzxIz9QmXH7X0FNgy67CPN8Zf19pZUhJFL4SfOew&#10;rPIgdLdzkqfQHXB7dWw272+iF7RqjBFFOlGBobvbBc28h0y4FcjNMKwwvF4sqT8oqyap5rPRiAE6&#10;EREREUUKEZ7/4b1nUVCQLUNt5bogyOyaFXaHFfffOyh//h//6g/PRc9zhudERHQrBXYC3fRApQt9&#10;lljlA55A7NPjMehZDIfvIG7vuqJ88ZEstvM84jqGYS9qhhGC8u2CCOUys3Xs2cMAnSjciDG5dq0H&#10;nvSJB+hOPQWp+S3sf07TVqJPnEI/DXueb2wTmfpavxERFopxU1dvzlF4Ap2i1OCgB+vWu+EV95GQ&#10;BOg2ON0GllbvlVWTVPPZaMQAnYiIiIgiAUY/Nueb19C7dwtSranqNUGQiRPuqdYUbN68CqP/+xAf&#10;ffpX5I2fPGfPcyIiusUmHaCLBzZ//+R13FtqR38ITqDv1+LQm5EGa9PduCMKH8rFdl5AXPspaDll&#10;IQ3Qy5Y7sXcvS9wShRtxaraj0w2XW5vgyUE7nE4r0opWI6HxvDKcJJoWfOewpOoQDNfkTqGPbxLb&#10;sYObxCg6iet+2zYv8vIN2LVQlFq0w2VYsKx8PWK6ryrns9GIAToRERERTXej34pn/9fxykvnkZXt&#10;lafC1WuC4LLY0lBdXYbPPnkNn3/1MaoHnsH/8eQ5ERFNkQAC9Ou49tZ5HM1P9vdAVzzgCcQBbRZ2&#10;ZRtIbXkQd3RGX1lIEaDHt56Aw5Me0gC9ttYtH7IyQCcKL+LkYFOzS47VCQXohg2GW0dq2Q4k+kbU&#10;wSTRNJDYMIy5Dadgz2+CoU98t/v4uGlucbGMO0UlMbfr6fGipNSAzRGaXoVOLRlJxR0M0H/gVgXo&#10;vz9zhAE6EREREYXE6Lcfm65h/doOpFpSlGuBYLM5rEjPcOGt187jX/+5jqaDz+K3TWcRw5PnREQ0&#10;RQII0D/FX196Ekdyl4UoQJ+JbTleJLU+ErUB+rK6/dBd+qRO3t0MEaB3dLjRz/CcKOyIAL22zinH&#10;6YQDdI8bySv6GKDTtCeqKCypPACneU2LfsvKa/4X2DQHiooNVlqhqDU05EV1jQGrPTQButjc4sir&#10;xJy2k4gx566qOW20uVUB+h8uPsAAnYiIiIhCAvgC5889ApdbN9fVoT997tBt8vT5A/cO4H//uYaV&#10;97woe57PYHhORERTKIAA/XO8+eQB7PfMw4AjXvmAJxCHHDFYU1iKBR2nMSMKH8iJAD1t+UYYTjt0&#10;I/gPPUUgp5lfN212Y5An84jCzr59HixfoU889BAhozcTS6vvQaLvrDKUJJouEn1nMM9ky2+CU09T&#10;X/O/QGxAcXs1rFlj3usG1WONKJINDXnQ1DSJzVg3yxyXRlYRFjQ/jJjOi8o5bbQZD9DrV3SFLEDf&#10;55yDT//0O7mhWbVOIyIiIiKaLIxew9df/xHd3c1ITk1SrwOCLCUtGatXNuHzT95F78k3cGfLWdzZ&#10;dlY53yYiIrpVAgrQ3zp9KIQB+gysLizH/M4zmNERbQH6iAzQrYXNcIawfLs3Q8fWrf5ey6qHrkQ0&#10;NcRJWaGkTIdtggG6oafBnp6HeXVPYHbD8M8CSaLpRpxCT6oYguGe5Cl0hx01tQb6+73K8UYUycQc&#10;r7PTDadbk3M/1RgJiDkmnV4vFjQcRkzXZcWcNvrEdJ5HQsdZtJQ3y5ZUqnVOIAbNddc+11x8+eHL&#10;5nrsM+U6jYiIiIhoMkZN8vT5yCPQdBvsJuU6IIjEyfOCgiz84a2ruOfSe/Lk+R2tDM+JiGjqBRCg&#10;f4nn7t4iw/NBPVH5gCcQRx13oKq0GXd0X0Ws4oVHtrEAPbsMzkn0fb0Zds2BwiIndu70oL9f/dCV&#10;iKaGGJNibOYXilJZEw/QbRlFsn/07IYzPwsjiaajOea1bMuphGFM/BS6uN9l5xrYuo0bxij6iPvJ&#10;ho0epGfqIQrQ7XA57VhQM8g+6GNE5aw57aexuqg8pAH6F399iQE6EREREQUVcB2fffp7tLbW3ZLe&#10;56J0u9iU+/B9gzjx7LtI7BzBbS1nMUsxzyYiIrrVAgrQnz64TvY/D0WAfrfjdpSVteP/un+nfOGR&#10;TPSQXND8ILT0bOi6RTnBCJRds2P5Cif27PGyLyxRmBGBhwj7cvJ0OVZVY/hGDHPhYc+pwWwfA3SK&#10;HAm+c0he3gvDpZuL64ntgJctSwwNXd0ulnGnqCPmeHv2jN9P1GMkUE4tGYsqdyGWAbrkD9BPYU1h&#10;CQN0IiIiIpo2Rr/9SAboT568D2nWVHMdHfyWoj+VZk3BulWNGH72VSxbcxm3tQwzPCciorARUIB+&#10;ZXAl+iyxIQjQE3FEi0Xp8lX4TffTyhceyUQPyaV1++H0eOQuPNUEI1Cir7Kv0SlL2jJAJwov4pTs&#10;+kmeGDQMG2z5rQzQKaIkmtfzvLrHoWcUyE0iqmv/l3DTGEWzgX4PSkqNkAXohpYCS2k34s05bGzH&#10;iHJuG02+D9BLGaATERER0bQBfIIvPn8H1dVlsNgnXv1touyaFYX5Htz90GNwbntanjxXza+JiIim&#10;SgAB+lcY3lyPnuTblQ93ArFPT8AB51wUVG/Fb7ufUr7wSCZ6SCZVbIPTZU4oQrDbT5zGs2kOdHU7&#10;MTSkfthKRFNHnJJdvcYNt1eT41U1jtXsMEyW4vUM0CnCmNezeU1bS9bBMCZemUWMI2+6jm3b3Szj&#10;TlFHVDWpqXXJcTCxe8pN0tOgFdQhse1J2YJINbeNJgzQiYiIiGg6EqfPn3jsLhlsy9Lqqrl/kMi1&#10;iSMV6zZuQVHP07ijbSQKW7gSEVG4CyBA/xpnNtahJylUAfocFFRvic4Avfsqkku64QpR/3MxSXG6&#10;dRnQsZwtUfgR47Kryw3DNZkA3YG00q1jAboqiCSanhJ957Cw+l4YbveEy7gLDnMsdXS6ZZjIU+gU&#10;TcQ139RsjhtzHIQkQDesMLKLMbvluKyipJrbRpPvA/QyBuhERERENC0A1/DVF++htna5LN+unPcH&#10;kcORhuVlhSjY/Bju7LyEmHb13JqIiGgqTSpAH/32Y/n15Mrl2Jt8h/LhTiD263EY8CxBRn0fbu+6&#10;onzhkUqUvkzoHIE1v16WxFRNMgJl1x3IzjGweYu/VLTqYSsRTR1RGaK9wyXLt08o7BChoktH6oo+&#10;zPadVYaQRNOVKOM+t/5J2POboE9ig5kYT2XlTjnGGKBTNBEB+pq1Hrg8E92UdZPMe4/hTcfspgcR&#10;03VJOb+NJuMB+tqC4pAE6AP2ONxdnIavr70G4NOfrdOIiIiIiCYK+ALHHzkCh2YL+elzh7l+yPDY&#10;kN60U1ZhZXhOREThalIBuijp8vXHr+BYfSZ602KUD3cCsV+LQ583GZ6G/bjdvJGqXnikEid35rUe&#10;h5ZdCkMPTb8Z0Qu2sMjAjh1e+VBV9bCViKbOvn1eNDc7YbFNsIWDDNANLKk6ygCdIlJi4wUsK++B&#10;cxJl3EWAnpGlY9cuBugUXcRcb9t2j2wLIsaBanwExg7DsGJOw93yAZhqfhtNZsi5/OPYnu2Sm4JV&#10;a51AiAD9/koD31x/gwE6EREREQVM9D7/9Prb8PmqkJyWrJjvB5dhpMGVtxzz209iRgdbQBERUfia&#10;fIB+7VUcq88KYYCeAo/vIG7vjLIAvesyFjYchTM9Q5bEVE00AmW127F8hYHeXi9DBKIwI8bk4KAX&#10;Db7JBeiay8Cc2keRyACdIlBC4wgW1dwPI6MAuj6xEF0Eh063AytX+QNF1fgjikTivrJnjwdZ2aEN&#10;0JfW9GFm18Wo710oAvT5rY9hZ5aG/Xq8cq0TCBmgV+gM0ImIiIgoKICvcPLkfbBYU+EwJvgcaoIM&#10;wwanS0Ny/RBiOlm9ioiIwtskA/RP8emfnsYDlU70WWKVD3cCcUCbiZ1ZOqytD+GOKOulGNN9BQtr&#10;h+B0G/7TpIrJRqAsdjtq6gzsG/IqH7QS0dSRm1r2elFR5YTNMdEA3Qrdm425dccZoFOEOoPZvhGk&#10;FXTA0Cfe5kSUr64yxxbbl1A0EfeVnh4PioqNEAXo4kGYFbayVYgz57KxneeVc9xo8X2ArjNAJyIi&#10;IqKwJg7JffnFe+jqbERyaqhPn4uNtxbYC+rNdcMwYjuie91AREThb5IB+hf44OVTOFqQgn5b8Hv7&#10;HdRmYlu2Gyltx3FnZ3SVconpvopFFTvg1EIzaRHhgcPQ0NLqxtCg+kErEU0dGXTs8WL5ikkG6JnF&#10;mFv3GAN0iljxjReQtLxnUhvNbA4H8gt17B0ba6oxSBRpxLW+d68HVdWukAbo9qIm/4MwBuihD9BZ&#10;wp2IiIiIAjT6rXjG/xmuXHocdocVWohPn4v1u9Oly8qrsV08fU5EROFv8gH6S0/iaH5yyAL0ndlO&#10;WNqORVWAHtsxgriu80gtXQ0jhAG6062hs9ONQQboRGFHlJbeucOLwiIn7NrEA3QtpxJz659Aom9Y&#10;GT4STXcJ5rW9uPZhaOn55jWfph4LN2DXHEjP1LFhowcDLONOUUIE6ILYPBnKAN2RU4q4tlMM0Dsv&#10;YmHLo+jxpoQkQBdrr8faC/DPL38vTwyp1mpERERERL9G9D7/5us/oK21ARZbqnKeH0yGngpLcSvi&#10;Os5G/ZqBiIimh8kH6C+ewJG8ZSEJ0A9psViXk4W5HWcQE0U31NjOC0hsPwlHQT0MbWKhwM0SD069&#10;GRrWrfOwhC1RGBIB+vbtHuQXGDLsU43jG5EBRn4j5tafZIBOkc13Dta8BvOan9i90h8eamhvZxUW&#10;ii5izrdmrRv2UAbo6dmY1faknM+q5rnR4s6uS1jU/DAGnHOxX09QrnUC0W+didPrKvCvr9+TDz1V&#10;azUiIiIiol8jNmM++8xpGC4Ndi00bUS/Y64XXF4v5jXehxndV5TzaCIionAzyQD9K7xz/l7sd8/B&#10;gCP4JyuOOGagNa8Yv+1+WvmiI1VM50XMaXkURnaxObGwqCccARKBXFa2jq1b/UGd6iErEU0dEXJs&#10;3uJBRpY+4ZOCopeUragbcxpOIVH0ilYFj0QRINF3Dmll2+RCf+Jl3O2oqTEwOOhVjkGiSDRo3lu2&#10;bHXD5dFkNSLV2AiIOQ41twvzmh5mgN51CQtlgD4vZAH6qbUrGKATERER0aRh9GNzLnkN69d1wmpP&#10;C80a4Tt2OLVUpJSuxKyui7ICq2oeTUREFG4mGaB/jTfPHMGQFo9BLfgPhkSA3p5XiNu7rypfdKSK&#10;6bqEOY0PwkjPnHAgcLNk/9cCXfbCZP9XovAjAvSNmzzwePUJL2BEgG4p2Yg5vjMM0CmiiQoLi2vu&#10;h+ZJlzvZVePhRmyaHUXFBnbt8nIjGUUNcW/Zts2DzOyJb866KWLe6jKwrH4fA3RzPr+k+aHQBujr&#10;GKATERER0eSJ3ufPPzuMjEw3bI7QHOL6jm5+/4wczG96EDFdl5VzaCIionA06QD9rbN3YchIDFGA&#10;HoO2/JIoDNAvY7bvHjjF5MKYYO/jmyQC9JJSneXbicLU4KAH69e75cnayQToyeW7ZXnr2QzQKZL5&#10;hjGn/hTsWaWydLRqPNyIKGEtKjyIjSq8F1K0EJtFdu3ymHNA54Tbg9wUc95qmF9TK7ZHfYAueqBn&#10;1g9hyDkH+0IQoPdZYnG5rxP/+/f78tSQaq1GRERERHQjo99+ZH69jl071yPFkgItRM+g/exwGjak&#10;lq9HbNcl5fyZiIgoXE06QH/jyUMYsM8KQYCeiEP6LDSW1OP2rugK0MVEYmHNIAxd9HQNzeRFnDqq&#10;rHIyNCAKUyJAX7PGJTe7qMbwjdlhGKlYWHEIiY3n1aEjUcQ4g9m+07AXdkw4QBfEvbB7pQtDQ+px&#10;SBRpRNWhnh4vKipFgB6KOaYI0O2wlK2M6gBdlKOMMf/+JbU7sc9c14QkQE+LwfN3bcWouSYbHf1Y&#10;uVYjIiIiIroR4HO88dolFBRkw2ITz6BV8/sgMdfrWkYu5rY8GvUbbYmIaPqZZID+d7z4QA96km5T&#10;PtgJxD4jEQeNeNSXteD2rivKFx2JxAO3WZ3nkVqxFYYobaOadARInGbVDA0NPjcGWLaWKCyJPrWr&#10;Vrlgm/AJQX94sbDyMAN0ig6+YaQs7zWvfdHyZGKBoNVuR2Oj2Ezmjcx2JuLv1O/9ZX3jfvJnKWKJ&#10;672p2Smvf9W4CJTTsMBaUD/2YCw6+xqOB+jFtbtDGqA/d2QzA3QiIiIimjBx+lyUbz98uBdJKcuU&#10;8/rgEQc9rEhbviGq1wgUncTa8Dud53/gQoj88GeYfvDzVa+PiG7OpAP0F+7dhT1Lf6t8sBOI7wP0&#10;5ugK0M0Ptrj2YdhK2id1mu5miABdlIVubXWz7ytRGBJBXr+pudk18RK7hg1OjxcLq+9Gom9EHTgS&#10;RZBE3zksqHkAusft77+sGhc3IE7grljhxJ49EdgHfWAsFN/jQt92J/rXOdC/xo7ebU707nT57Tbt&#10;caO3xzT+Z4TxYP2n35MiwtCQF51dIQzQ9VRYsssw01y8R3OALh5erKjeMhagJyrXO4HoTYvBKw/v&#10;BUavMUAnIiIiogkR4fkH77+EsvKCW3D63N/7fHbLI+Yc+aJy/kw0XY0H42IDdYx5fcd0XRpzWVYZ&#10;FgclZ3WOIM78/8a1n5G5j/za9uSPxLeeQFzr46YnJiS+9eTPvtf3P8dk/lz/azgvX09M1xX52vyv&#10;0Xy95mv+LnhnyE50Q5MP0O/bHdIAvaGsKeoC9Pj2U3DkV4c0QHe6Naxc6e+FqXq4SkRTR56ENfka&#10;JhOgW+H0ZmFhzb0M0CkqJPrOYl7dcehZJfL6V46LGxAl3PMKnNixI8Luh/1e9O1yYaApFUM58zHk&#10;mvM99w/kmv9b0UIMVizBgC8FfSvt6NukoW+7gT4Rqg+m+zFMjyiyRchaN5weXc4JVWMjEKIFkSMj&#10;D3PbnpDzWtV8N9KNP0RpLG/DfiNBrmtU651A7E25E3965jFzPfa1cp1GRERERKQie59/ex1PPHE3&#10;ktOSlHP6YHKa64OUFZsws+sCAzqaxvxVxsbD8Zjuq5ix8mnEmeu+xI4zmN36OOa0PIo5TQ9iTuN9&#10;mF1/F+bXHURK1Q6kVWyBtXwt7EXNphY4ChqgZZeaik0lfhnZ0Nwuk3tizLW3liO+l/g+5vfLLYej&#10;sFH+HMFavhqplVtlteOFtfvl65rju8d8nQ9gTvPDmN3yGGa3nURCxzBmiUC9+yn5d/MH7ebfVQbs&#10;0bmuJ/qhSQbo/8AL9+8JWYB+wFS9vDPKAvQLiDc/tLSsopAF6CIwcHs1rF/PAJ0oHIkAfe9eDyqr&#10;JhOgW2SQuKD2YXkyVxU4EkWSRN8w5tWfhCO/xX/9q8bFDYzfD7ds8bdNUI3Haaffi/6NOobyF2BI&#10;SzAlYkicftXN+ZVk/rP4byqOROwTIXvefAxWLMVAmwX96x3oE6fUh9LHTqYrfiZNK+Ja37jRg8xM&#10;XY4B1dgIiG6B4c3AYt9dcrGtmu9GulsSoCffiT/97nEG6EREREQ0IcB1fP31H1BTXQ6rPcSnz8Xa&#10;IDMPc5uPyTBONXcmCh9ig4ffD8PyGd1PYVbXBcxvOY4FjfdhYf0BLKzuxcKKHUgtWyWDcT13BYzs&#10;YhjpmXB63LI1r2T8kPVX2CZB9X1+6Ac/X76mNDhdmvk60+XY1HPKoeXXwFbShpTydfLvtEj83er2&#10;Y6HvHswXIXv7aczsFr8HEayPnV7/Llgf/52pfp9EkWPiAbrslfIVnrtrG/YsC0EPdD0B+1zzUVq9&#10;BXdE0Q1WBugtT0Dzmh9i5oegcvIRIPGw1JuhyRN3EdnzlWiaE+Oyp8eD8hXOiYcb5oRIzyrHgtpj&#10;8mSuKnAkijSi2kJS2Q449RT1uPgFYoytX++OjABdnDzf6cKgCM/tkwzsRMguwnTzz+9zmF/T52Kw&#10;eDEGGlNkmC4D9O/KvP/k59O0IDZPbt/hRX6BAZsWgjLu5iLd6XZhWc1A1D4kkydrOkfQVtqAA3q8&#10;ObaCG6AP6onos8zAn597Qq7HlGs1IiIiIqKf8Pc+v47LFx8z18I2STmnDwbDbq7RLUhevhGzGJ5T&#10;mBnf9Oz3gx7iXRcR13kOixrvw9K6/Uiq2Iqk0pVILWiEnl0KIzNXBuROpw1OxzIYWgoMPVVuFpHP&#10;ZEWeIzMdsdYOTdu0yRt7TebY9L9Oq/9162nm3yPVlAynlgSX+Lt5nHBmZEPPKoQ9rxophc3m72G1&#10;+fvYhqW1g1jceDcS20+bv7PxEvA/xZLwFFkmHKAD1/Dff/4FI9sbsTf5DuXDnUCIAH1IBuhboy5A&#10;n9v0EDSXMfZhq/qwC4wICzKyNBnQMUAnCj+i//mePR6Ulk88QBeTNkeeD/PqTyCxYVgZNhJFmoTG&#10;C1hUsd9cwJjjYIL3TjHG2tvd8n44re+J4rWbZNl2cfJcMbeaFBmmj51k987FUMliDHRY0LfD9X2Y&#10;Pp1/b1FIBOii739pmQGbIwQLenMMOp0akip3yN3pqvlupPM/KBjBqsJiHNDj1GMrAAOOeBxMn48P&#10;Xztrrsm+VK7ViIiIiIh+CqMf49v/foiuzkZYQ9z7XJx01TLzMa/lEXNdwN7nNPVEqCtPTnf5e5PH&#10;ibLl7aeR2HIcybX9SFu+FpZCH6yiRWB6Fpwej7m2tcOlp8KpJcug2R+Ui/A53MLxYBoP2MfD9RT5&#10;93fJ0+sO/wn79EzYs4pgza2EpaQDaSs2Y1ndEGa3PIpZbadkH/ZZYl0sysKbv29/0M5QnaavSQTo&#10;n+A/3/wBw5tqZQ8+1cOdQERzgL60fj8Ml+7/oFJ+iAVGhAWFxU5ZIpoBOlH4EeHGrl0e5OQZkwvQ&#10;85swr+FJBugUNRJ8I1hcdRROb4Z575x4H/TaWrcce9P6nihOhO92+Xuei7BbMbcKyPjJdHEqXfxz&#10;9nx5Kr1vi27+bPPnD6SrXxeFpX1DXlTXGLDYQxGg2+E0x2FS+VpzoRw9bZh+aDxAX11QGLIA/VDm&#10;IvztjREG6ERERER004BP8eJzw8jI8sDmsKjn80HhXxOIktCxUbqplqaeWJeJwHxGt7kuNa/DxPZT&#10;SGx+BHMb70VK1U7Yi1v9fcPdbpnFGPK6FWXOx0+UW+X6Vn2NR6PxYF38XsbKwQvmfzPM/138DjWP&#10;R26csRfUwbJ8A5aIUL3xAcxuOS5PrPv7rI+Vghcn1Rmo0zQxuQD973/E2c11DNCDSAToydW7zQ8c&#10;zf+B9LMPqsCJsKCkjAE6UbgaD9Bz8ycToKcgrbAbc3zDSGw4owwbiSKN6Pe/sPZh6Fll5r1zYrvo&#10;xRgrW+6c/lVZRPn2Tbo5d5rj73OumFsFzQ/D9Iy5GKhPRt9mEaSPlXZXvT4KK0NDXtT7nLBp6nER&#10;KLE7fVlRm+wVp5rvRrrxhwAbs704GIoA3R6HuwqScO33l8w12RfKtRoRERER0Q/5y7d/il071yPN&#10;mgpNhGGKuXxQGFZoGbmY2/KofNb90/kyUeiMheZdVxHXdRHzzGtwQf0hLF2xDY5Cn+z7LcNyEQCb&#10;1+k4fw7DsHxyRLDuD9d/+Dv9jqi0nFUMR1GTbOmwsLoPCxqOYm7r4z8I1C/JQJ391ClcMUAPC+YH&#10;ROd5pC1fJ3c8hepD22E4UFXtkg9QGaAThR8RoO/Y4YY3Q4NmjlfVOL4R0atmSclWJDRdVgaNRJFI&#10;VFuY33AS9tx6uYlENTZuRAToBUWGbJsw3QP0/tWOsQBdPbcKifES75nzMNCQjH5R2l2cRuf8IqwN&#10;DnrQ1uaC7pr4feZmiHFoya9FQsdZWaZNPe+NXON/561eKw5qs9RjJwB91pl4qMaNL95/zlyTfaZc&#10;qxERERER/ZCYN777+2dQXJwnA3TVPD5YRGiWunyDOS9m6XYKLbF5WZYG77wgQ1hRmn2x724sq9iO&#10;1KIW6DmlcLldcI73KjevTf+p8tDkLvRDY7/nsVPr4sS6KAfvMixwetOh5S4336NWLFu+CUvrBrGg&#10;+ZjMxmSZfXE6XWLZdwoPDNDDgj9At5Z2mRON0O16EgF6bR0DdKJwJQL07dtF+SDHpAL0pSVbkNB0&#10;SRk0EkWqxMYLSC5cKceAamzciAjQM7I07N7jH3uqMTktTFWAPk6cRhdhes4C9Ldb0Ntjvib2Rw9b&#10;AwMerFrpgdurTbjSyc0QDya0nHLMa318bBe5at4bucQiP75jGNvSbSEL0B+u9eCLD55ngE5ERERE&#10;v8p/+vwz3H1XP1LSkkOyifY7IijLyMEcnj6nEBkvzS76a4t/T2g7iaUNh5BWvgaWnOWyP7fLaZeV&#10;0WTf8hBV+aXJEqG6CNT9veVd5j+LvuqiaoXoqZ5WtgpJtQNIFCfURZ968b5/10udZd9paoRdgL5f&#10;j8eAezFy6/txZ2eUBehFPrlTT/0BEzgxSWppdcvwvE/xUJWIptZ4gO50TzRANyeHpqXlPUhovKAM&#10;GYkildg0klSyEU6xo1g5PtREeOj2OrBjZwQE6Os0DDnNedRUBOiC+LkiSBf/XL4E/Rs1f4jOsu5h&#10;RwToGzd6kJGphyRAF/3iRGm8BU33y0Wuet4bue7svAhn813Y60ky1zTBL+HeZ4nFY615+Praq+aa&#10;7FPlWo2IiIiIaJyYM177+A001Fci1Tqxqm0TJUKxtPJ1mNU5gtiO6KtGRaEjQvOY7iuIN6+txJbH&#10;sKj+EKyl3dAy8qC7DPlM1H/KXPQv5wnz6WM8UB/rqe60ybLvmjcTjrwKWMvXYlHdQdm/PrHtJOI6&#10;L8i+9v6T6vyMoVtjUgH6f//xJ5zb2hCiAD0OfZ5l8DQdlQ+hVC868owF6HlVEH041B8ogRFhnNDe&#10;7kY/T4URhSUR4q1fP4kT6IYNTpeOpcv7GKBT1BHXfFL5TnMM+MeCcowoiDHm8jjMMTf9A/TeXS5Z&#10;Sl2eBFfMrW6Z8SDdMwf9Tano7XH7g3TV66YpITdq7fAgJ1eHPRR90HVz8etNx4KGI4jpuqyY80Y2&#10;sXYRa5hecy0TigBdrL3EJmaxmVmsyVRrNSIiIiIiYfRbf/n28yOPwOawmGvgEAaL4iSp14t5jWIj&#10;bfStAyj4xGnjGea1FNt9BXNaHsfC2n1IK1sDI6sQhghaRfAqDiKGsJov3WoiUP9pP3Xz39MzoOXX&#10;IKV8A+bX7ce85odk27jxHuo8mU6hNIkA/Tr+8dmbONldit60GOXDnUB8H6AfibIAfQTWjAK540b9&#10;ARKY8QB99Wo3BqZzUEAUwUSw0dXl/m7M/nQc35AM0A0sXdGPhMbzypCRKFIl+EawrGIAhsccO2Lx&#10;pBojCmKMiWoPq1ZN8wB9bFPcQF2yvye5Ym51y2kmRyIGy5agf4uO3kH2Rg8r5ntRUKTD5lCPjYDI&#10;+5GOhbWD8oSAet4buUT7qbz6vRhwL8I+PV49PgIgAvSRrT78719/xigDdCIiIiL6BWLD5T/+/mes&#10;XdOG1BD3PnfqKUgpXYm4LpZZpskT1444WSw2YcSZ/764/iCSytZByy6TpdlFH23/cx8G5tFBvM/+&#10;UF1WuxN91M3/LjZRWAsbsWzFFiypP4SEjmHM6LpiXjv+k+n+0+n8HKLgmESA/pnsuyf674k+fKqH&#10;O4GIxgBd9ktsPwN7Rn7IA/TNW9yyfKfygSoRTSkR4q1cOZkAXZz4y8SSqsMyTFSFjESRSgbolQdh&#10;eDImHKCLag+itcm0DtCFfi/6thgYyp2PIfsUn0IfJ06ji9eSNQ8DK63o7WNJ93AxaM4Dy8qN0JxA&#10;Nxe3op3CwqrdiOl+SjnvjWQiQC+r3owh13zs04O/oWXPstvw7JGtwOiX+Pbbj5RrNSIiIiIi/+nz&#10;63j1lYtwe8XcP4S9oHULnOkZWOC7V54YVs2TiX6J7JkvcqDOEcxteRQpKzbDmlMJp9cj15f+8uwM&#10;zckkroPxMN3wV76w5ZQjtaQTSbX9mNP6OGa2m9eVCNLZO52CgAF6GIgxB/LCpgegp2eZHwKhLeHO&#10;AJ0ofIkQr7NzMgG6OXFIz8aSqrsYoFPUSfCdxZKa+6GL3lfGzW9CGx9jTc0REKALA+no3+DAULYI&#10;0RP8pdR1wZxfjVPMu0JOlJV3zsaALwV9LOkeFsQ8sKrGFZoe6CanloTFK7Ygtvuqct4bye7ouoyK&#10;yrXY55wTmgB96W/wwv17zPXYP5TrNCIiIiIiAaMfyxPovT2bYbGlmevf0IWPonextbBZ9idmUEUT&#10;IcpvzzTXUAltp7Co/ghsxW3QvFmyp7kIznnanH6ZOJ1ulRssnOKr24CWngV7Xg2Sq3ZhdtPD5rV1&#10;ErO6Lo71Tr+gvA6JfgkD9DAgBu8iGaBnyiBM/YEQGBEUuL06tm5lgE4Ujvr6/OobXHK8TjxAz8KS&#10;qiMM0CnqJPrOYnHtQ9AyCqBPoIrL+Bjz+VyREaALA170bdYwULFUnvwecs2R4bWwTwTZ1gQM2Uzj&#10;Afut6pkufo5psGIJ+nY60TvIEH0qiXlgY6PrR+MgmMROcEtpF+I7/SX4VHPfSHV71xU0lDXjoBGP&#10;fUaQx5eeiL60GXj1sUFzPfaNcp1GRERERCSI8Pzjv72G0tICWO2hqXYqydDKjcX1h/1hqGKOTPRT&#10;8lqRvc0fxZLqHjjyqmA49e/6XvO0OU2cCNN/2D/d/Ge3E3peBZJWbMG8+iOYK06nd12WlTIYptPN&#10;YoAeBmK6LmJpvSg/65ETD/WHQGDEKaOsHAPbt0/zXq9EESqQAF22fsgsxKKaB5DoO6cMGYkiVWLD&#10;MBbUPwF7Vhl0sUNZMUZuRNwbKyudkXVfFGXSTf2bNPR3W78z0JaG/qZU2St9sGIZhgoXYih9rj9Y&#10;F6XWxddQnlQX31f0RS9aiL6tBk+iTyFxvXd0eMzFpBaSAF1sZHEUNiKx/ZS/FJ9i7hupRIDeWFKH&#10;Q+Z6ZijIAfqglmCOowS8NXzUXI99rVynEREREREJwOe4755BODSrue4NXfl2Q7fAlleJuE6xcZan&#10;z+mXiP7mFxHTfQXzmx5Ecvl66NnFsoKBv6UtQ3MKJn+gLg+daclwuXVoOcuRVLYGS+qGMK/1ccTK&#10;IN3fN52fX3QjDNDDgNh1lVS9F0634R/YykEfGBESZGYzQCcKV4EF6KnQspZjYd1j8jSuKmQkimSJ&#10;jeeRllNjLrxSlGPkRsS9sSLSAvRxIqAeTP/ekGmfacC01/y82eFE3yYNA6vsGGxIwWDRIgy5zLmY&#10;CLrHToyr5mkBEd9bhPU589G3UfefRDc/95Svn0JGXO9r1njg8mhyDKjGRkB0i9zlPdtckIrFqGru&#10;G6lu634KbfklOOKIUY+BAAw44nHAOw/vXnrAXI99pVynEREREREB1/DVF39ES0stUi0TWyNPiDjh&#10;aX5dWjcUdRtn6eaJcFIE56In9ULfPUgraoeekQOXOAAxgSqCRAERmZso9a6nwOlxwZFVZF6LrVhW&#10;O4jEtpPmtXrevEYvyGvVH6irr2eKPgzQw4AM0Gt64RRlJUIYoOfmGdixgwE6UTgaD9AbfJMN0Mux&#10;sO44A3SKSgzQJ0iE1uKkugiwRbgu/ttuN/o26xhsSsFg/gJ/mB6qMu+OBH+IvkHzB/0M0W8pcb1v&#10;3uyBJz1EAbrY4W0uRue0PBJVAXqsSczpu3PzcMQxQ33tB6DfNgtH8pLw/gsnzPXYF8p1GhERERER&#10;8CUujDwCl0uDXQtNpVPBMOf9Wm4ZEtqfZIBOPxPbcd5cH11GnPnPC3z3wlbUAt3jlSfOGZzTlBIl&#10;3mWYboHhcsKRkQdrcTsW1x9AQsvjiO84+93pdJ5MJwboYUAG6BXb4HRqIQvQ7boDJaVO7N7NAJ0o&#10;HI0H6NW1DNCJJiqQAL2yKgoD9J8aD9Ql8597PBhYbcPQ8iUY8sz190zX1PO2SRPhvPm9+1fZ/T9X&#10;9booJMS9Zs8eD7wZoQrQbTC8mZjT+ICc46rmvpHozs4LSGk9ju1ZLhzUgr9G6jfXXfcUW/C318+Z&#10;67HPles0IiIiIopuo6Mf49//+hA7dqxDckqSer4eJCJ8SqrahZldFxDLkInGiGtBBued57Gg4W4Z&#10;TDrdLohy/7K/OUu1U9gY75surk2RyZn/npkLa2k3FtYfwJzveqZf4an0KMYAPQyIm0py+Vo4xweq&#10;ckAHhgE6UXgTgYb4WlLmnHCgIQJ0B0u4UxTzB+jVEw7Q7ZoDpWUG74s/JT6PxMl082v/OgcGq5dh&#10;n2uO/+R4MHukixDdOxf9ax3fn4SnkBP3m54eD3Ly9BAF6Hb5gGSO7145x1XNfSORWLfYWh7Erkwt&#10;JAF6b1qMuf7y4ssPXzTXY9eV6zQiIiIiim6iUtGbr19GVrYHNs2inq8Hg26BMzMfc5ofiapNs/RL&#10;RhDTeQGzTIsajiKtuANOj1s+swzVgUGi4BFhuiBOp6fA6dKh55QjqWwtFtftQ0L7aczovjpWbUNs&#10;GOKmoWjBAD0M+AP0dQzQiaLYeIBeWj7xAF2Ehmm5DZjtO4fZDWd+Fi4SRToZoOf6zPuouTBTjJEb&#10;sTkcyMvXeV+8kR8F6XYMli3+vkd6sIJ0EaJnz0PfJt3fn131OiioxP1m714Pis15YUgCdHMua+hp&#10;mFN/NKoC9NvNv6vbdwh96SnYr8Wpr/cA9KbOwPGmXPzzszfN9dgnynUaEREREUUvcfr82/9dwz13&#10;DyA5dZlinh484jlUUvkGzOy6xNPnUU68/yJUFL2j5zYfg6W4A4Ys1Z4iw0jV9UMU9kSYrqfJ69jl&#10;ccGWW4GU5eux2Hc3Znaan3ljvf15Mj3yMUAPA/4AfX1oA3TNgeUrXNizx8uggCgMBRagJyMlrxkJ&#10;jZeU4SJRpEtsHIGlsGvC91ERoOcXMED/VTJI96Kvx43+LqvsXx7U/uia6InOEP1WGb/fVFS6Qhig&#10;W7Cwdh9io+g0yu1dV5BZ14dBz2K5nlFe6wHoSbodp9ZVY/RbUb79o5+t0YiIiIgouokqRZ9dfwvV&#10;1eWw2EN7+txIz8R8332YEUUbZunn5GncrouY3fIY0srXQUvPgtMwrz3zGlFeO0TT0XjPdKcNuscD&#10;W+4KpFTuwJzmY4jrGJYbiUQlDm4mikwM0MOADNDLVsOph64PiE1zoK7ehd5e73cPTokofAQeoDch&#10;odGctCrCRaJIxwD9FhG9ygfMecR2pyzrPuQ0524iSFfM5yZMfJ/8BejbYcifofz5FBTj95uaWhcc&#10;hnpsBEoE6KkVWzFL7MqOkkXkb7ufQn7NVhxwzsE+PUF9nQdgb/IdOLet0VyLfa1coxERERFR9Bo1&#10;YfQ6nr56wlznWsx5fmieLwuyCmJRK0+fRzHxvsd0XZFlrZdV7YaeVSD7m4te0qHKNoim3HiJd9kz&#10;3fxnjwf2Qh+W1PRhTvPDiOu8YI4LUeadp9IjCQP0MBDTfRUphU1wasnqwRkEDNCJwhsDdKLJEyXc&#10;LXmNYyXcGaCHnAjS+7zo77RgKHNecEJ0URLe/D6DZYvQt9ucr4ifofrZFDBxv+kzvzY3u6GFMEC3&#10;LF+PWZ0jUfNQ7TfdT6O4Yi0O67OwTw/SxpIxg+b3E+uuq0OrzbXYl8o1GhERERFFL+BjjP7vQ6xZ&#10;3QqrPU05Rw8K3QrD48aS+gPyxKVqXkyRTfQ5F6fOF9cfhj2/Dk5Rpl2eOGdwrmSuuTXDrqb/gPnv&#10;Ds0Gu2b9RQ7dpvyzKsrXQ0EiwnSbDNOdRhqcmXlILenG4ppBzGk7Ifuly7HCTUbTHgP0MCAC9OSC&#10;RgboRFGMATrR5Mke6DnVcie8aozciGhvUlRsMECfjL6x0+gbdQwVLcI+EaIH2hddhugJGKhJkgEv&#10;Q/TQ6TfvOZ0d/gA9FCG6OH1gL25DXPtw1Oy+/k33Mygva8NdjtvV13cABrUEUzyev3ebuRb7QrlG&#10;IyIiIqLoBXyC937/DLKyvbA5Qtd32qmnwZ6zHPEdZ805MIOhaCLWdbFdFzG35ThSy1bB6fHA0MQz&#10;mCgOasfCcRFqj4ffogKEzW4yv9olc20siPDb/P98R/yZHzL/W1ZuBgqKc5BXdGOGS7vhn/cb+3nf&#10;8b8W+ZpM/tfxgyCeQXtwiJPpWjJcbt38jCxHctkaLG68x3+ooPPCGJ5Mn44YoIcBBuhExACdaPL8&#10;AXrNhAN0MdZWVDgZoAdChOg7XRisWIohceo20L7o4s/rszHQlsYAPYQGBjxYty7EAXphI+Laz0TF&#10;IjGm4zwSzYVxe3E1DjtmqK/tAAw44rHfPRevn9hnrsVED3T1Oo2IiIiIos/otx/J5/WHD+6R4XnI&#10;yreb39dw2pFSuRMxUfLMnsbLtV9CfPswllX3QssqkCduRWCovE4ilAiaZUBut8BiTUVaWgqstlQZ&#10;Rhvm/+72OuHNdCMrLwP5xbmoqFuO2uZqdG3owOqtK7GpZyMG7unHwH0DOHDsAB576nGcfnEYT75w&#10;+jtnXz2HkdfP49wvOPXimR/9GfHvD448hIF7+zF0/xB6Du/Bmu2rpbbVLahpqkJl/Qrkma8pOz8T&#10;6VkeeNJdcLo1eXr9u7+Pxf/3GQ/Z/Sfb1b8L+gXiVLqWao4RC3RvOux5VUiu3I3ElscQ13EWsV2X&#10;5ecn219MHwzQwwADdCJigE40eYEE6BWVDNADJnuWuzFQn+w/RR5wiG7yzkH/Gjv7oYeICNA3b3HL&#10;MRCqAF3LLUd825NREaDP6LyARR1PYn1BMQ45YtTXdQAG7HE4mLEQ7164V67FVGs0IiIiIopOGL2G&#10;r798D3X1K5BimdiaeCLEHF9Pz0ZC6wl5mlI1L6bI4j91fhnzmx6CrahJBsWyz3mEn1rWTOKEtmiH&#10;kJqWjJSUJNjMfxYheU5+JkorS2Qw3ba2FRt2r0fPkT04+vhdeOTSo7j4+yv43fvP49kPhBfw/Icv&#10;4fm/vYQXPnoZL117VXr5k9fw6mdv4LXP3/wR8d9+zU//jPDKp6/7v/cn4vu/ghfEzzM99+GL8jWI&#10;1yJe09U/PIPjVx7Dfafvw8B9/djWvwWrt3SjZVULqnyVKFlehJyCLHgzXHJjQNrY310E7CJYFyfc&#10;xal71e+MfkqUeBe90k3in72ZsJe0Y379IcxufRyzui5ihjm2GKSHv0kF6J+//xweqnaFOEA/ygA9&#10;iBigE4U3BuhEk5fQeAFpObUM0KfS2GnxgeZUDLnnBN4X3ZGAobwF6Nvh/O57U/CIAH3rVjdcHi10&#10;AXp2MeLbTkbFwzWxZklqfRTbctNxUAv++qjfNgtH85Pw0RtnzbXYdeUajYiIiIiiE/AVhk8/KMNN&#10;cXJUNT8PBkNPg6Vs9VhJYpYijnQxXReR0HEWy6p2w8jIle9/JAbn42XMxdgZD8wtlhS4vQaKywvQ&#10;2OnD2h1rsOfwHhx57DAeufQILr51SYbgr33+lgy1X/lUeB0vXzeZ//0lyR+Wj3vx2it48ePviUA9&#10;mH74vV+UP2/sZ4vXYRKvS7r+Gl4xX6d4va+ar1uG8l+8hRfN7zHy2nk8evlR3HXiLuy9ay+2DW1D&#10;x/oOVPuqUFCSJ4N1cVI9NdX8HYlQ3WGRGw1YCv7X2GF81y/dBj27DMnlG7DAdxfizc/SmK4r/EwN&#10;Y5MI0K/jH+aHw8mVZehNDX6Jwv16PPo9S5HReJABehAxQCcKbwzQiSYn0TeMBfVPwJ5ZZi7oUpVj&#10;5EYYoAfZWF/0gQ5rkEL0RAxULvP3Q+fcJajENb99uwdZOcaE7zk3QwbomXmIj5LTKbd3XYal+T70&#10;ZNrlZmDl9RwAsWn53jIH/vHZWxgdvaZcoxERERFR9Bkd/Rj/+sdfsWnTSiSlLFPOzYNChD8eN+b7&#10;7kVs1yXlnJgigzgRK97jeeLUeWETnCL8E+G56rqYhsbD8vEe4fJktW5DbmEW6ltrsbV/Cw49ehgP&#10;jTyEU8+fxjN/flae8n7r63fw+hf+wFyE0N+F4B//PMyeVsb+HiLgF3+v8UD9ja9+j7f+/i5eMv/3&#10;i29dxolnn8RD5x/GkSeOYsfQDnStb0d5VSnSM0VlO5u/9PtYz3XxdTxYV70H0c38nZjjyamlwJme&#10;AUt+PZKqdmNO2+OyVcL3vdJ5Mj1cTCJA/wT//cefcG5rA/am3Kl8yBOIfXoCBl0LUFyzA3dEyQ2Z&#10;AToRMUAnmpxE31ksqX0IWkaBnISqxojKeO/nmloXA/RgEiF6vxf9HRYMueYEVs5dlHI3vw6Y36t3&#10;MF3982hSQh+gm4tltxvxLY9HSYB+BQ7fIQx6lphrmfifX8sB6rPE4sFqD0ZxTT4kVa3RiIiIiCj6&#10;AJ/jrTcuIy8vE1a7RTk3DwaxWd1e6ENC++momN9HK9GbOa5zBMtqBqBn5sMpDimIE7OKa2I6EaXH&#10;rbY0eWpa9Pb2pDvlieqWlU3YfXA3jl14BGdfO48r7z4lA2MRHr/x5dt49bM35antUJwYny7ESXZx&#10;Wl1sInjd/J28+fU78nciNhacf/Oi7OMuStfvPdIje66LUD0rNx1Oj27+rs3fu/k7/+FpddX7E7VE&#10;eXcRpLs0OLIKYCnpwOKGo4gzP2dnmmNRBuoM0qfcpAL0//z9jzi7uS5kAfqQaz7KqrcwQA8iBuhE&#10;4Y0BOtHkyAC95sFJBejia1OzmwF6sInfZ78XAy2p5twuEUN6ACG6OMWeNR/9W3T2Qw8icc3v3u1B&#10;cYkT9pAF6C7ERckJ9Nu6noJeN4iDRoK5lgmw8oJCv20mHu8owrfffsQAnYiIiIikUTE3/PY6jj18&#10;CClpySE87WmHy7Sopk8+w1bNh2l68586v4KEtpOwlHbDcOmy3LQ8Lau8JsKfCM3Hy4073ToKywrQ&#10;0F6PbQNbZRn2p/74DJ7764syHBenrl8VvcSvvy4DY1WQTN+Tp9U/eU2WrhfButhoIMrFP/vXF/DM&#10;+8/hwluXcNcTR7GlbzOaun0oqyxBVm6GDNRTU5Pk+yICdZ5QHyMqfIhT6YYVutuAlleBpKo9SGx+&#10;BPGdI2Ml3rlxaaqEbYBeWr2VAXoQMUAnCm8M0IkmJ8F3DsuqDsHwZsrdm6oxojIeoDe3MEAPifGe&#10;6PVJ/jme/vM5302zJ2CwYil697q/+74UmPEAvaQ0dAG67nZiXuP9UbHQu9Ocy2dX7cBhR4z6Gg6E&#10;noh+exzObav3PyRlgE5EREREJuBTfHb9bTQ2VMFiC2GJbS0VWnYx5rYelyeUVfNhmr5kueiuS1jg&#10;uwf23Ao4xXOVaXrqXJxwFifN09KSZQ/zyoYKrN+1Dvsf2i/7e4/3K/+uV/m1V6P6dHkwid+j+H3+&#10;rM/652/i6ntP4eHzD6P3rl6s27kGdS01yMnPhE30nE9Nkr3nWfJdMP/+IkwXJ9OFjFykla7Eotp9&#10;mN32JGZ0PzX2fIWn0m8lBuhhgAE6EQUnQL+kDBiJIllC43ksq9gHp8drTjStyjGiIgJ0p9uBld3+&#10;MPGnY5KCYCzsFuH3kMOc3002RB/7c/0rrf5T6JzHBEzcc3p6vFhR4YLdnCOqxkhAxKLPpSOpdiDi&#10;A/SYjvOIM/+O9Su6cFCb+fPrN0CDeiIGtXg8vX+1DM9FiK5aoxERERFR9BBzQhGgv/TSiDxp69BD&#10;FDwZdhmoppStliGraj5M05dcq3WeR1J1DwxvOgwtVX0dhCkRuDrG+pnbbGlweQzUNFVh79G9ePDc&#10;Q7j49mW88dXbsvT4d33Lp3vP8mlE/L5lsP7Jq3LzgngvhKt/eBrHrz6Gw48dxubezaj2VSAjyyOD&#10;dHEyXfZSN99XUW5f9b5HBxGmW2WJd5dbl5tbli3fjPnNx8zP4otyMxN7pd8aDNDDAAN0IhLjUqio&#10;dH13MvZmyV5U2RWYX38Cib5hZchIFKkSGi8gqXw3nC5dhnaqMaIyHqCvXcsAPaQGzHnHbjcGixfJ&#10;k+Squd9NEaXc8xeib6fzu2CeJs8/F/TKuaGYI6rGSEDGAvRldfsiPkCfYS5aZ3cMo6u0FgdCEaBr&#10;YvNJIl56aI+5DrvGAJ2IiIiI5LxQfN29c31oT5/rFhjeDCz23Y2YTgbokUOUbL+IxLZTSC3tls9T&#10;RAlp5TUQhkS4Knpri6/eDBcq61dg14GdOPnck7j8zlVZVlz0MRenoFXBLk0tsZnh9S/ewptf/16e&#10;WhcbHU69eAZ3P3kP1u1Yi/LKEnjSXXIDj9gYYbH53+uoPaEunq9oqXAZ5u8gPRfWomYsrj+IWe3D&#10;cgOMGMv+MF011ilQkwvQv/kDhjfVhjBAX4CSmu0M0IOIATpReBsP0Osb/AH6REJ0EaBrWWVYWPeo&#10;7AetChmJIpVoXZBUusVfZmwC/blEpQeXx44tWxigh9xAOvq2GrKXuQzCFfO/XyVOoeuJGPAly++n&#10;/Dl008YD9Nq6UAboGpJq+qIgQL+Aee0nsSG/AAe0WerrNwAiQN/nnIM/XHpArsNEH3TVGo2IiIiI&#10;ooeYF376yVsoKc6D1XHzrcwmyqmnwZpfJ0MannSMDP5+55ewoPkh2PNr/X2XJ1DNb6qI56SyPLsl&#10;BW6PgbKqUmzcvQEnfncSz37wvDzp/NoXb8my4fKkuSK4pfAjes6L90z2Uv/0DTz/4Yt4+s/P4snn&#10;nkTv0b1o6W5CSUUxvJluWKypSE1LjuL+6fbve6W7DDiyy5BcuRNzWh5BnDmuZ3SLXukM0oNtEgH6&#10;Nfzv33/B+e1N2Jt8h/JBTyBEgC4eEq2oWIs7ui4rX3Sk8QfoPgboRFEs8AC9HAvrjjNAp+jTeAEp&#10;hSvNe2iScnzciAjQPRk6du1mgH5LDHgxsNKGIdccDGnqOeCvEuF7xjwZxvMUemDE/abf/B02NbvM&#10;xad6jATGXNiZ0pavj/iHbXd2XsSC1uPYmW1gvx6nvnYDMOCIx37XPFx/9ylzHfapcn1GRERERNEF&#10;uI7Hj98l596id/DP5+NBYIg5vQNJNb2IZe/ziBDbOYKYrstYXH8YRmbh2Knz8A4iRVBqtabBYklB&#10;XlEOVm7qwuHHjuCZvzwrg9fxfuYvXmNoPu2Jcu+ij/p10UddvLevyVD9qT88g7tP3I3Nezehoa1e&#10;9k8XFQhEr/voPJlu/n3FoQVR4l1UCcnMQVrpKiwwx/Xs9lPmGL+CmAg/yHArTThAF6cegC/x7JGt&#10;2LPsNuWDnkDsMxJx0IhDQ2kjbjffbNWLjjQx3VeQUtQKpy76jIRmwDNAJwpvgQToupjw8gQ6RSHR&#10;smB+wynY8xrNSWOKenzcgAjQvdnZ2L0nnQH6rdDnlaH3QH1yYKXctQQMVC1F3/j3/OnPoZs2NORF&#10;90oXrHb1GAlMFAXoXZewqOUYej3LsF9U0lJdtwEYsMfhaH4yvvn0LQboRERERASMfoTR0Y+xalUL&#10;0qyh61ktwhktswCJbSd4qjECxHaIUs+XsEz2O88YC8/V7/1U8/c2t8FmT4PdYUG1r1L2NT/5u5N4&#10;9frrsqe5CFp50jyy/bCHujih/ubX7+B37z+HRy8fx/6H96NrQyfyC7Nht1tkdQLRO11sKIquQF2E&#10;6VaZK7rcTtjzqrGsahfmtj4uN8uIioD8/A7MxAN0E/APvHj/HuxZ+lvlg55A+AP0eNSXNUdPgG5e&#10;zMnla/3lFxigE0UtMTZbWtxyzE4oQDcsMNJzsaT6biT4RpRBI1EkSvSdw6LaY9Czy/0bSVTj4wbk&#10;CfS8Muzak4H+PrdyTFKQiVPj4/3QHZMMGrVEDLnnoH+dA72DLOUeCBGgd3UzQA+UCNCXNd2PQWOO&#10;vxWV6roNgAjQH6x24e+fvy1PGqnWZkREREQUPcSmyrffuIK8/KyQ9j83DAusZSvNOe+ILPutmgvT&#10;9CBCtHjzPUwuXx/W/c7laXN7mgzORW/ztlUtuPfUfbj87lXZM/u1z99iaB7lRJju75/+Dp59/3mc&#10;eeks7h9+ABt2r0NhWT5cbkOG6OOBelSF6bJXeoo5xs2xlFWAtJJOLGi8D7PE54AM0kUlEX6WT9Qk&#10;A/S/44X7djNADxJ/gL4OTvMiZ4BOFL3EKdju7skG6NlYUnWUATpFFXG9L6q+B0ZGrhwHyvFxA7IH&#10;erEPu3qyGaDfSoNe9G9wYMg7d/L90O0JGKhc5v9+nNNM2q0I0C2l3REdoMv+geZCtLh2F/abaxix&#10;jlFeswHot83Cie5i/Ovr98w12CfKtRkRERERRYlvxXP5L3H0SK88fR66cMicz7sMzPXdK59bq+bC&#10;ND3EdF3CnLaTsJZ0wClyhwk+O7lVROBps1uQXZCF7k1dOPG7E3j2ry/g1c/exCufvcHgnH7mpU9e&#10;kyfThef/9iKu/uEZHL/6GDb1bMTymnKkZ7phM6+r1NTk6ArTRZCuj/VK93hhz6/FktohJLQ+gZld&#10;FzFDnExnkH7TGKCHge9PoDNAJ4pmIkDv6ppMgG6F4U3HksqDSPCdVwaNRJEoofECFlUckDuoxQRR&#10;OT6U7DJAN8pXYVdPLvr7xP1RPS4pyMQcZLyUuwjQdfV88BfpY6fQ1ztkb3Xlz6FfNTToweo1LnM8&#10;aBO759wUuyz5aC1siIIA/TzqKlaHLkC3zsSlnjb8919/Mddg15RrMyIiIiKKDmI++NUX76G9w4fk&#10;1CTFPDxI9FQ48muQ2Pak3DCqmgtT+BsPz22FTXDKU+ch6pcfABGap1lSkF+ci009G+SJ4leuvy77&#10;m4uA9IWP1eEp0Q/5e6eP9cS//hqe/eAFPHD2AWzp24z61lpk5qQjLS0FFqv52aaH3zgIDbFhZqxP&#10;uvj3nBIsW7EVc5seRHzneczousIg/SZMPkAXJdxD0ANdOKzFoqVwBW7vvqp80ZFGBujLN43tAgvN&#10;ALZrDtTWMUAnCmciQN+wwQ1DlFqZUIBukwHi0uW9MlBUBY1EEanxPJaV7TIngxPt++YP0FMrd2Nn&#10;Tz76+5zKMUkh0m/ORXa7MJS3YPKn0M0/N1g9fgqdIfpkDA56sG6dGy6PzgB9ksRiU5RD6yipxQE9&#10;3rw2gx+g91li8cJ9OzD6rb/XpWptRkRERETRQZw+f/aZ03C7ddg10QpUNRcPnAhbl1buxMzuS8p5&#10;MIW/mM5LmN/8MBz51WMl28Pn9K04CWzXbDLMzC3Iwtb+LXjy+dPyJLEIz3nanAIh+6ZfexWvfvYG&#10;3vrmHTz31xfw8IVj2HtXLxra6mR7AHHtRVfPdJE7WmSvdGd6NizF7Vhcvx8JHWf9J9Ij+LlNoCYZ&#10;oH+DFx87iJ60Wf5TQIqHPYE44piBjrzCKArQLyGpugdOtxG6AF13oKzciT17/CGd6kEqEU0tMTZ3&#10;7HCbnwUTDNDNm6DT/Lq0fC8DdIoaiQ3DmGt+tRWtnHj/LnNy7HC64Pb1YFevCNB5Av2WG/Cif6Xd&#10;nPeZ88jJnkL3zkXfVkMG8sqfQb+IAXrgYsy/mwjQ1xYU4IAep75WA2Fe572pM/DepYeA0c/x7bcf&#10;KddmRERERBT5Rkc/wuj/ruHI4V4kpSxTzMGDRLfAmZGD+Y33y2fWqnkwhbMR+b7Nb34Iek45DD3F&#10;fF/DJyAUoaUo156R7cW2ga04/eIZedpchOeqMJQoUCJMf/3Lt/HmV7/H1feexmNPPY7tQ9uxoqZM&#10;HkgTm5FEJQTxNSrCdPEZL3qle9yw5VYiqWoXZreekM9uYrsujoXpqs+W6DTJAP1rvHTyKPbaEzCk&#10;mVQPfAIgAvS2vGLc1v2U8kVHGhmg1/TC6XaGNEAvLnFi924G6EThSozN7Tvc8KRPvJyuU0vGktJt&#10;SGi6rAwbiSJNou8s5tU/Di23Wu6iVI2LGzLvtZonFznNe7C7lyXcp4Q4Nd7jweDyJZM7hS5Cd222&#10;LAXPAH1ybk2A7ov4AD2ufRjbMhw4qM9SX6sBGNQTMeCIw99eO2euv75SrsuIiIiIKDoAn+GTj99A&#10;VVUZrPbQ9bEWwUpqURtmiSCFJxKnGRGeX8H8pgeh5ZSNVesLj0BQnPS1WFLhzXCja2MnTjx7Ugab&#10;Ijh/8RpPnNOtISocvPbFW/KU+lOyZ/rj2Ny7CeVVpXB7nbBaU8fKvEdBkC7Lu6fCcGrQM/KRVr4O&#10;c5seQHz7MGK7LiOG7TukSQfor548jD5HHAZDEKAfdsxAV26BDJaj4UYt/p7Lagfh9LhCGqCXlDJA&#10;JwpnYmzu2uVBdq4hy0urxvKNiAA9uWitLGk9u+HMz8JGokiT6DuHebXHYHgz5aRPNS5uyLDAnl2L&#10;rNYh7OnNYYA+VQbS0bfOgSG3Of/Tfj4f/FWijHv2fPTtdPt7q6t+Bt2QCNDXr3ebi8QQBugFdREd&#10;oM8wF5SprcfQ40kKyQn0AXs8juQvwyfvXDbXX18o12VEREREFPlEOx/gU/zu6VMyPA/ZKUnRItBt&#10;YFlNnwxiVXNgClciPL+MBQ1HoWcVh1V4brGlQtPtaGivx0PnHpaB+SufvS4DdFXISRRqL471TBfV&#10;D17+5DU89cdncPfJu7Bq6yqUVhbDoVmRmpoEmyN0m5XChvm5L57fSB4XbEVNWFh7AIltTyKm+0rU&#10;B+mTDNC/wuvD96BfnxOSAP2gFost2V4sa38Cd0bBGyQuwsWN90JPz5AP9ZUXcoBEGMcT6EThrb/P&#10;I8doQZFzwgG6mBjb85sxr+FJWdpaFTgSRRIRoC+uPDw2Bia4KDTHS1rBKhSv7MfevRno63UrxySF&#10;2FjoPVi5FEO2ScwntUQMOWdjoCMNvYPpP//+9IsGBjzYvNmDrGwDdk0xTgIkWivYsksws1OE55EZ&#10;oN/ZeRE5DYMYcC/CftkDXXGdBqDPNgsPVBn4/P3nzPXX58p1GRERERFFPuAa/vvvD7B92xpYbBNs&#10;YTYB8tlSVglmtz+J2A6W8Z1ORHi+sP4QnOlZci2men9vNYdmQ5olBaUVRRi6fwjPvv/8d6d/VaEm&#10;0VT4Yc/01798CyOvn8f+h/Zj9dZVyM7PhMW8hq32NFlFIbJLvJt/NxGmm58fLvPf7blVWFaxHXNb&#10;jiO2W5xIv2h+1kRfVZJJBuhf4O2nnsBQxjIM2IN/2uKgNhPbs11Ia3s0agL0RU33Q08Xp+hCF6CL&#10;U607djBAJwpXfX0e9PR4UL5i4gG6bqRBy6nC/LrjsrS1KnAkihxnMKdhGNbSDTBk5ZaJTWCdeioW&#10;l+5G2dp+c+x5GaBPpcF09K+1Y8gzxx+IK+aFv8iegMHSxeZ7aH4vnkKfEBGgb93qQY45PwxVgG7N&#10;LIjoAP2Ozksoq96Cfa752KcHf1Nxb1oMnlxVhn988Za5/rquXJcRERERUeQDPsGXX76HkpL80J2I&#10;NOxwmuvr1NJVMoxVzX8pPMnwvOEojIzssAjPxWlzETi60w1ZHlsEkq+baxpx0lcVYBKFE1Hm/c1v&#10;3sGLH72CU8+fxsFjB9HQVidLvNvNz9/o6Jduh6GlwmVY4cgqRGrZSixsvM9fYbDzAmJlZhsdYfqk&#10;A/R3fncK+7OTMGAPfr8/f4DuRFrbI1ERoIvG/HNbH4cjI9e8yYUuQM/MNrB9OwN0onAlAnTxtbbO&#10;NfEwQ2y+ySjEgtoH5clcdehIFCn8bQrseTWyxJByTNyIKEnncmLh8gNYsX4P+higTz3zs29gxVIZ&#10;hqvmhb9IhO7pc9G/wYHeAfZCn4hbE6AXRnaA3nUZDWVNOGiIa3cSG0B+xd6k23Glrxuj//0bRnFN&#10;uS4jIiIiosjmL99+HadO3m+uZ/29pFXz74CJtbXHhYW+e8bCEfUcmMKJv2z7/OaHoWePl21XvLe3&#10;kNjgIVTUleP+s/fLEtmvij7nPHVO04w4lS42fog+/U//6Vk8+fxpbO3fgvLqUnjS/f3SrTbRLz1E&#10;n8lhwS4/V5wid/B6YStswOL6Q0hoP4WZXRfNz59L8nNI/fkUGSYdoP/5+RM4nLsM/bbgB+gHtFno&#10;ybDAaLpLnuxQvfDIYl5knSPylE6odomJAD0jiwE6UTgTAboYny0tkwnQRZ8qNxZW341E38hPwkai&#10;COMbxry6x6Gl58CYaOUWudmkCAuqH0L9xvUYkP3PGaBPqQEv+tfYMeSexCl0fTb2ORIw0JKG3iGW&#10;cZ8IBuiBu63rKloKV+CwNtO8HoMfoPcsuw2vPDpgrr3+rlyTEREREVHk8wfon2Ddug5YrKkhO/Uo&#10;Nqc7ssswq31YHvZSzX8pvMjwvOkhaDll0Kf45Lm4LsX16clwyVPnV969Kktis885TXdi88fL11/D&#10;K5+a1/Mnr+HZD17A/Wfuw6rN3SgqL4Sm25CSmgRxKl01NiKD3d8j3bDAcOrQciuwtLoHc1oexcyu&#10;S5gRwVVLJhmgf4ZP3r2M+5Zr6LOKB0bqhz6TtV+LQ583GZ6Gfbg9gn/53xMB+nlYs8tDFqBrhjkR&#10;cjmwZatbPjBVPUgloqk3OOjBqtUuWB3qsfxLxG6wRRUHkNh4Xh06EkUIUWUhuWIfDLfLv0teMR5u&#10;xNCTYcupN7/PWbRvacZgv9McewzQp9xeD4aKFk2ujLstAYNlS9C7x3wfuUnwpjFAD0yM+XdKNL+u&#10;y87EYccM9bUZgEE9Ef32WXjrzFFz7fWNck1GRERERJFPhOcf/OUlFJXkIc0auhPGIhhJrdgmn1HH&#10;/mTuS+FH9CMeD8+n+uS5OIErTuJWNlTgvjP3yVPnL19/XRlGEk1nP+qX/sVbOPPSWQw+MIS2NS3I&#10;yPIgLS1ZlniXG50M9XiZ9sb6pIscwsguRtLy9ZjfeD9iu6/Iz6XYCHv+M8kA/Tq++eQ1PNKQJXvz&#10;qR76BOL7AH1/dAXoBfVyJ4fywgyQCNCFzVsYoBOFMzE+N2xww+nW5JhVjecbMYw0pJZtxxzfMBLH&#10;SlwTRSJRZcFStNqcrImd9xPZfS96uqUhpXANZvmuYO3O5Rjq15VjkW6xfi8GOqz+uaD+87nhL9Jm&#10;Y59nDvo3arKnuvL7088wQA/MHebC0N7yEHZlajggT6Arrs0ADNjjcShzIf78u0fNtddXyjUZERER&#10;EUU+UQn28eNHYZhzbHvIyrfbYLidmNv4AGJlSV71HJjCgyixP7vtSWj5NXDqKeZ7OHW9mEWvcxEU&#10;rt+1DlfefUqGii9eY7l2ig7iVPqbX/0ez/31BRy/+hh27t+JssoSGaCLVgaiZ3rklng3P3dEkC4+&#10;g9KzkVLUjiX1hxDfcVZ+RkkR8Cxo0gH61x+/jGN1GSEJ0PfpCdjnmo+c2l2yNKLqhUeWsQC9uHUs&#10;QA/+TW88QF+z1s0S7kRhTAQaW7Z4kJVtyNYLqvF8I7LcVkEb5jY8icSGYWXwSDTdic0hc022rBUT&#10;32UtWx04say8D8taTmLLrhIM9BnKsUi3WL8XfTtdGMqcN7lT6I5EDLRZ5PcRPdWVP4N+hAF6YMQm&#10;34yGIfR7l2G/Hqe+LgPQb52Je8vsuPb7i+ba63PlmoyIiIiIIpso3/7tt9ewecsqJKUkKefdQWHO&#10;3R35tUhoO8X+52EupusiEttPwV7YKKsGTFV4Pl6yPb84FwePHcQLf3tZ9jpXhYxEke6lT17F61++&#10;LU+nX3nvKTw48hC61ncgOz9Tlni3WFJgd0RwiXcZpKfJSqH2vCosqx1AQuuTmNnp75M+nYP0SQXo&#10;o6PX8J9v/ogn2ouxN+VO5UOfQIgA/YBzDgqqt+C33U8pX3hk8QfoaeVrYcibXugC9M5ON/r5YJko&#10;bIkNLjt3eFBYNIlAw7BCy16BufVPINHHAJ0iU4LvHJZW3w3dm21e8xPtf54m+6YvqD4Gve0B7Nhd&#10;yAA9XPT5g+/B2iQZhqvmh79IS8TgiiXo7XH7v5fqZ9CPMEAPjNjkW2iuVQ645si1i/K6DEBv6gwc&#10;b8nDPz57U25eVq3JiIiIiCiyiTaq773zDMpKC5BmC12ZbhF8LK7qwcyoqAQ7fYne9HEd55Fa0u0/&#10;9Smr8qnf01ASvZ5ttjTUNFXh1POn8Kq5ZhEBoipYJIomovqCOJUu2hi8+NErOPvKWew+sAu1TdVI&#10;z/IgNTUZVnPsyBLvirE17RljfdJd5j9nlyCpcgdmNx/DrM4LiDHvL9MxSJ9UgC4AX+PMpnr0JN2u&#10;fOgTCPEQ6qCRiKLKjVEVoKdU7ZDleEIZoLe0uNHHAJ0obPnHpxeV1U5Y7RP8LBAVLLyZmFP3GBJ9&#10;Z5XhI9F0F994EUll2+B02ia8WHTqqbBlVyCu4QKyu/ZhT082+vtED/Sfj0WaAgNe9K91YEifXIA+&#10;lDEPfbtc8vsovz/9CAP0wPxf9zMoXd6NI3qsuXZRXJMB6km6DafXVWP0209MHyvXY0REREQU2UQr&#10;nzOnH4QllIGLYYUzI0f2sBUBh2ruS1MvtuM8YrsuInXFJrjk85CpKQstylKLktSrt67Clfee9pds&#10;/5gl24l+6sVrr+Ll66/JMfLsX1/A/Wfux7qd61BYli9DdFHBQYyliAzTzb+TCNLlqfSMXKSUrcVC&#10;392I6zw/7U6kBxCgmzfwjXUhCdCFo9oMlJV34TfdzyhfeKQR5XGW1Q3BcOkhuwE6DAdq61zyoSlD&#10;dKLwNTTkha/RaS6QJhqgm58d5mfI0srDmM0AnSKQqKwwr+EUbLkNMGSfL8U4uCFz8mayFK9BbP1l&#10;FK/ag77edPN+6L8vUhgQZdx3ODFUsGDiZdxFgGnqX+eQ30f5/elHGKBPXoz5d4rrvIjWokoccQS/&#10;Gtegnog+SwyuDq2Rm5ZVazEiIiIiimwYvYZ//v19bNu2Bkkpy5Rz7mAwtGRYCpuQYM7ZRUirmv/S&#10;1IppHzHXIJeQWt8Ll8cpNz2o3stQE/3OM7I82HukB8/99UV50lYVHBLRj4nS7iJIf/WzN3D6pWHZ&#10;9qCxo8Eczzps9gjvlS6D9FQY3gxYilqwpH4/4juG5Yag6dAnPYAA/UsM7+rC3tSYyZ0U+hV3Oe7A&#10;8rI2/DaKAvR5jQ9AcxmhC9B1ByqrGKAThbuhIQ86u9zmuNVk5QjVeFYTAaEDlpINmC1LuJ/5WQBJ&#10;NJ0l+M5jcdVdcHozJ75gFP9/twtLK48gtu4y6jasxL5+TTkGaYqIuUmfFwOijLt9giWxxwL0wcYU&#10;//dRfX/6EQbok3enOW9f0vYENufl4qAWq74mAzCoies/ES8d6zHXXF8o12JEREREFNlE+fa//OkF&#10;FBbmwBaq3rmGDU6n3Vwn70JM11Xl3Jem1h2tZxHbdRnZq+5BVrbopzzBVnZBIE7IihOz2XkZuOfU&#10;vXjl+ut4+ZPXlEEhEd2YqNbw2udvyjD9qT/9Do899Tg29WxEQWmeHGtWa6oM1CPyVLr52fXDPulJ&#10;1XsQ3/bkWHn38D2VHlCAfmbvWuy1zAxJgH7YMQNtxdVI7DqPmAh76KYiAvT4lsehebwwQhigF5c6&#10;sXcvA3SicDY44MG69R6kZ+py3KrGs5ooj2KFLa9hrIQ7A3SKML5zSCnZMonT5w45NrT0PCTWPYlF&#10;vtNYubUeQwzQw89QOga6LNhnmHPLiZbFFn3Qy5eMBfE/+b70MwzQJ++OzkuwNN+HPVkOHNBmqa/H&#10;AAw44nEwYyHevXi/fHCqWosRERERUeQa/dY0eh0j544h1ZoSujDFnLNrmQWY1/IoYjovKOe+NHVu&#10;axlGXPdltAydxYoV5bDbJ/4sJFDi2rOY12BpVQkef/oEXv/yLXmaVhUOEtHNe/n66/JEuuibfvmd&#10;qxh6YAj1bXXIzEmHxZIiS7xHZnn37/uka9lFSK7YjrlNDyNOBunh1yc9gAD9C5zbtxW9triQBOiH&#10;HDFYU1iKBR2nMSMKbuAyQG89AS2rQD7kV15cARJBXG6+gZ4eBuhE4ay/34MdOzzIK9Bhc0zsRmkY&#10;aXBkmIuf+hOY3SBOoStCSKJpSGwKmVf3OPScCrlrUXX9/xJxb7UXtiOu/iysLcewecdyDPbryjFI&#10;U2ggHf0bHRjKmjfxMu6ORAzmzEfvXvP7cJ7zqxigT97tXVdh1A9hn3sB9usTrJZwE/qtM3FviQ2f&#10;/+VZc811XbkWIyIiIqLIBVzDv/7xF2zc0CX7n6vm28HgNNKQVtSCmG72Pg83v20exuI1l3HozEtY&#10;t7oNFmsyNMV7GEoyPLeloq61BmdeOst+50QhIAJ0UdFBhOni349dPCZPpZdWFMNm9/dKj8wg3X8Q&#10;UIbp6TlILV+Dhb57EN85ghld4p4UHs+RAgjQP8fTD+1DvzEXg1q88uFPIEQ5xI35+VjcfgJ3dl5U&#10;vvhIEtt5HvHtp6DlVYY0QPdmaNizhwE6UbgTp9DLV4gAXT2eb0h8fng8SKrYh0TfOWUQSTQtmdfz&#10;ksojMFy6ea1PdOLo73++pGI/ZtZfgrvjiHkvzEN/n1M5/mgKmfOTvj1uDBYvmngZdxG4Z8xD3zbz&#10;fWUf9F/FAH3yftv9NNw1e3A4BOXbhd60GDxY5cZ///U+RkevKddiRERERBS5xCbKj//2OvLyMs25&#10;egjLt5vr6+SavYiNgmfv00Vs+zn8X9MwtE1XcPGVd3H/0R5YbSGsQnADoh+zCO58HfW48NYlvPbF&#10;mz8L/ogouGSJd3Osic0qw6+cw/6H96O+tdb8vHaM9Uq3QtMjMEzXrXDqKXCmj/VJr92HOPF5KPuk&#10;nzc/G6fumVJAAfqzjx7CgHN+SAJ0UQ5xR44byS0PyzKJqhcfScSFENd+BnbzAglpgJ6uyYel4oSr&#10;6mEqEYWHoUEPfD6XeVMUOz7VY1rNDqfThrTitUhovKAOIommnTOyr7+toF3uTFRf+79A7GjMyMG8&#10;2mOYUXcV+at2sf95OBtMx2BtEvY5JngCXZR8d8/BwEoregcYoP+aWxOgF0RcgB7TcR6zzHl73fIO&#10;HNJi1NdiIPREeQL9yTUrzPXWJxj99iPlWoyIiIiIIpOY/4l54JMn75MhpiNEYYlYWzvSc5HQdnIs&#10;oFDPf+nWmdF2Fr9pGkbh3qfx+7+8jyvnHoTbo8Gmhabd643YzZ9nd1jQsbYNF9++jFc/Z3hOdEt9&#10;/DJe/WysV/ofn8Gxi49i7Y41yC3MhsMcn1Zbaug2V02lsT7pTrcTtrxKLKvuNe9RT2Jm5wW50Wsq&#10;yrsHEKB/irefOoEDmUsxYI9TPwAKgAjQd2dpSG1+IDoCdPPNF7sqrMvXTi4cuAkiQHeZN93Vqxmg&#10;0xTo8/oDjcF0P3E6kJUQbkgEG2KsionyxPqgi9AiFbacasxrOI1E9kGnCJDoG8b8ukehezMnt8nM&#10;HBP2ghbMqT9lfr9zqN+wGvv67cqxR2HAvEcMtKVhyGnOCSfSB138f80/M9CaygD9JtySAD2rOOIC&#10;dNFaal7HKawtKsdBbab6WgzAoJ6IAUccLvV2mOutawzQiYiIiKIMRkWAfg3r1nXAaksL2clj2eas&#10;uFnO18Ot52w0urPtLGY0D6P96HP44ptr+OPbV1FUlIs0a+hK+Kv4w7k0rN+5Dr/7y3N4ZaysNBFN&#10;jVc+Fb3S/ZtYxIaWniM9qKqvgCfdhTRLijyZrhrL05p5f3KK0u5ODVp2KZIrd2BO8yOYNQV90gMI&#10;0K/j4zfO4mh+Evpts5QPgAKxX4/HgHcp7L7DuL3rivLFRxL5ppsXwJLqHvnAUXnhBEicYjVcGtpa&#10;3QzQ6dYQIbkIy4fS0dfjRt9WHf3rHegTthlj/ztDDhUxRnfv9iArR5t4sCFuMN5sLK0+igTfyM/C&#10;SKLpRlzHaSWb4BSl242J7ry2w+lyYNnyPsT5LmFZ02NYu60eA/3mZ5Bi7FEYGPCif60dQ+lzJ9YH&#10;XQTo5v9/oC6JAfpNEAH6xk0epGcaE96odTPEhlBbfp05v53aclvBJlpLLWw9ju05HhzQgr+JWATo&#10;4hT6K8d6GKATERERRSFx+vyv77+MouI82X9aNdcOnOg9a8eS2iHM7LpgznMZoE+l21vPIrblLHof&#10;fwnf/P0TfPPVu+hob0Cq5daWbhfVDmxj4fmzH7wgg7ufhnlENDVeuvYqXr7+mqwIIcbn3SfuxsrN&#10;3cjJz0RqWpIM0iOuV7phk5u9DN0CIzMPKeXrMN93D+I6z9+yPukBBOif4KsPX8I9JTb0WYN/+mKf&#10;noAh90JoDQdwe9dV5YuPNGL3xOyGu+GUp+tCc7GLEL2+wS0fmqoephJNmjhNLk6Zi1BcBBfm1/6t&#10;BgY6LRioScJgyWIM5c73ByJC7gIMVi5F/2rb2J/9wfci9Jm/DxGil5ZN5mSgXX6OLCvfhYTGiz8L&#10;I4mmE3n6vP4JODJLzUnTJDaY6WnmJKsYi2ofQmz9JVjb7sOenhz09bqUY4/CgHkvEZushrLMe8ZE&#10;y7jbEzCwfKl/85bqe9N3Bgc9WLfODadbl/ND5fiZNPFAzgprYUPEBeh3mPP1JU0PYsBcp+wzJtin&#10;/yYMOOKx3zMf1966IDcsq9ZhRERERBS5RNvUxx45Kk/eha7/ub/NWULL47LHrGreS7fGb1vOYkHX&#10;edw78pr5/n+Cb//7Mfbt2yk3T4SqfL+KCN6s1lSs27nWH55fZ3hOFK5EmP76l2/hlU9ewxPPnJCn&#10;0ssqi2WIbrNZZCWJiAvTdRGkp8LpzUBaUQsW1R/CTPP+FSNKu4fwudOkA/TR0Y/l1wcqXeizxCof&#10;AAXqkDYLRm0fbut+SvniI01M1yXMabwfhsc7iRN2N0ecMFpRYTBAp+AZL80uAvC9HvRv0jDgS8Zg&#10;0UJ/+OEyx7MtQYYaMggRpwkF85/3if8u+tX6Usw/60YvKyP8iAjRG5vcMtiYcLihp8CW14R5Dadk&#10;AKkKJommA9HLP6V8F5wuzby2J35vdJpjIbWw0xwH5xFffw553X0Y7OPp87A2tqFqMG+Bee+YYIBu&#10;3lcGSpcwQL8J4wG6y8MA/WbFmmaY83Vv/ZCslrXPmOD1eRNEa6wjOUvxzadvMkAnIiIiikLAF9i1&#10;awOSU5MV8+zgENVPbSVtiO8YZv/zKRLbfg7/13QG1o2XcP6F35vv+8emL/H000/KCrI2x60ryyyC&#10;Nos1Fb6OBlz9wzN4lWXbiaaFFz9+Ba9/+TZe+/wtnH/zIu46cTcaO31weQ0Zpot2DLdyI84toVvl&#10;s17D44E1v1ZWUolvP2Pey0LTJz2wAP3bj3B/XXbIAvTDjhnIqN6JO7qj5AS6+QbPaXkURnaRLMGs&#10;vEACZHM4UFSss4Q7BW6sPHvfXjf6thgYaEnDUOFCDLnn+sfweGD+a/1rx/4/InSXYbzqZ0UpMU43&#10;bhSnAycRoBvmzcSbhUXV9yKRZdxpmkpsGJabQOy5teYCP0V9rf8SMQ7cHiyr2Ic430XMNb9X68Zu&#10;DPQ5lWOOwoQI0Ae8GCxZNPET6Ob/f7BgIfp2ufz3KdX3J4kB+sT5Wy6dR03lWuzXE0IWoB9ryMA/&#10;v3oXouKXah1GRERERJFJbKD8y59eRGVVKVKtoSvf7jRsWFA79P+399fvUZ3r+zf+t3yP43me9+fz&#10;3rstkCAJ7knG12jchQjE3XD3yFjQukCFKgnBoYpL3buL03Z3e3N+13VPQtn0rpCZFTIz1w+vI5SS&#10;NbLuddt5X+eJmPbIj00djcSQeF7bi6wtx/DupY8HxfMbwrq/uDgPOs3u/S8RledGHWqaq3Ho8hEW&#10;zxkmDCEhnZ7dczcuCgeJfSdfxpJ17cgpyIbZYoBOlwizok3B7gOD9nwpCtuuwJyej/mLOhHfuA8T&#10;Wg+HNCc9yAr0b/FU4wK4DZSBHvoNpB2WWFSVtGMihcNHyMbbbxGjfs74pldgyS4XlrPShhEkRosZ&#10;mdmKyFam6lbZhirD/CZDwvlWOzyLjfCVzEGPazCndojfE83vRf2dHqpEX2riqsG7IAF9i/qsZmQN&#10;J5+WFkR6JBZtxpSaA5hcvf8X4iTDjHbiaw9iXokPNnUyNBxnFrL2MaWVYpp6rUnVBzC37gVs2JIP&#10;Dwvoox91rKGYDzGmyMaNX4ME9OyZcG9mAf33IAF92TKHqG7QTkCviTgBfWJLH9rzS7FdmaS2udCv&#10;fzzGCejfVIt//+MLUAa6bB3GMAzDMAzDRCbADzjY/zwsihEmrcQOEh1SszCt7lnhhiqb9zLaMa65&#10;D2Pqe7HQ9ya+/Jbm/CSeX8FP//oG69ctFeL5iFkvq+tAEtZKK4tx+PJRnL91SSrOMQwTJlw5izPX&#10;zosIBhLUD5w/iK07t6C8fpHoV3S6BGHvLu0PwhWRk64Xe1BKWi4SStZgeu3TmNB2WOSkByukB1mB&#10;fgXPLamG2zARfiX0G0jbLePRXFSN+JY+jIsCOxm6mZNa+6ErXAyrZRiVdn8AEuFSUi1YtcrJNu7M&#10;/UHV4SScb7bB26SDL28W/Db1WaVK8/sVzCX0GOPhK5oNd9fga8neQ5RBh1y61J8VlXZ14SR/pn8T&#10;dfCwZJRhatUriK/pkwqUDDNaoTY7repVmDOroCjDOH2tTqBsNnVyWLhauDBMqupDSssO9Zlyqc+W&#10;Q/rMMaMIEtAXzg3ML+9njGEB/Q/j97vQ3m6HwSR5foLGBKuKvmhxRAnoMepnmdi8H2vTHdiuqOsf&#10;WRsMBrW9uw3jceqpzRj4SV1vqWst2TqMYRiGYRiGiTwGBr5V5383sHNHJ+YmzJXMsUOD1ZIAQ24d&#10;4lr6ENvC9u0jydimPjxc24v2x9/BzdtfA6B7HrDtP9C7R0TXaZZ7L4GykgtK8vDyW6/g/O3LckGO&#10;YZiwhKrSz1y/gIvff4CTn72F3fseReuqFjhcNhHZQH1NZOWkq59F0cNGOenJaUgsbMfM6scCxdl3&#10;ctLlffNvMXwB/Se1gx+4gpc3L4PHNEkjAX0ClucWYmrz6xinflDZB4g0YtuPY3bJetgs8yWNIHio&#10;wsjmtKCt3SEqj2QbqgzzX5AA4XUJ4dxXkwh/5oyAmEG5tCEQzu9ANr0p0+BZZeYq9LsYqhCkwy/3&#10;XyFohOKwYc7CxzGZBXQmzCDRm6zXbaIt3/+Ejk4fWlzpmF75grCCJwG9cuVKeNwOuLtZQB/1qGOP&#10;ty4hMD7cp4DuT58OzzpFjF3SazMCEtDbNBbQdcWrIkpAp/XIrKZ92OpK1ERA95GAro/Fl+++KjbR&#10;ZGswhmEYhmEYJjIBbuLKX86jqrIEOqM2zqSK1aSusY2YW7YFMW3REZk6Wni4oRcTmg6g46XT+Ovf&#10;vglUnQ/e908/fhcLFuRCZ9CmoE4G5SOnpruw5+AeXPzufakAxzBMZEBV6Ze+/+COvfvqjlXIzE0X&#10;1ehGk25ED+6MCINCutWZDENOHeZU7cSkFspJJyGddOY/vkcVpIB+Fb09G+E1UwWqFgL6RKzNSse0&#10;ppejRkCPaT+OmRVkV2sR1XPSBhAEJMCZrRY0NNrh98s3VBlGMJhBK6zam/XwZ88IWOmSOBFK4XwI&#10;uqaKp83AAvpdkFPEho1OpGUMz8bdajPAmNuCydW9KmzjzoQH8TW9mFb1CswZ5bCqkx55+/4tyD5a&#10;D2NOMyar14qr7sOsmlexevMC+DyK9FljRhkkoDcm/jw+3Dtm/Bo0TqVMDRzGYgH9N/H5XGht01hA&#10;X7AiwgT0w0it6YHXMRPbhIW7pA0Ggdc8CTtTZuLax8dZQGcYhmEYhokygFs49d4BWCxGmBWNqgIp&#10;MjQlEzPJvl2d28rmvEzo+XN9H6a0HcSON84NVpx/O3jPr+E///oLtmxaiURdwohVg5rMBnW9Zsbu&#10;l3YL23aqVJWJbgzDRBYkpF8YdJs4/P4RdD/WjZLyBXA4rdDpE2E0D2cPdhRDQrpV/UwOG8xZZZhX&#10;7kFc0ysY33bkD0eYBCegq5382y8+Cp91MnyWOOlGUDDQxtSWNDNmNryAsVEyqFPA/czq3bC5kkGZ&#10;NNIbHyR6kwmLyq3w+3hjmfkVBkUHz1ITfLkzA4IEoYVwfjf6OHgadOjuYQF9CLJxJ0v78nKbOogN&#10;rwpXSc7ArMq9iK/mKnQmPIir6UfSgi1iQTe8w2TkvmDF3IWPYnLNAUyoPIC0lu3o7Ezn/PNwgQT0&#10;hmEK6MlT4VnJAvpvQWOLWx1bqmvs6tgie4aChQR0MxLLNkSUgD629QgWlS7BNtsU9CihX/tQ/vlz&#10;5Q58981pUYkiW4MxDMMwDMMwkQcGAoLq4496kKTXrgrZqiRBl1MtsmGDzYVl/hgP1fdi9tJDePXN&#10;y0I4HxLPSVvBwE0cPLA3kHk/QrnEZvFaBmzu2Yyz187j9LVzvxDZGIaJbE5fPYezNy4Ii/e3vnwX&#10;j+57FI1LG4QrRVLSfOFQIes/whOT0FlFTrrNCEtGIeaVbcaU+r2IbT/2u0L6sAV0AriOb868hh77&#10;FFExIdsICgbamOp2zsWs+j0Y+wdPBIQ7MeoEZnrDXijp+YFTgdKbHhwGkwmFRVZ0dLrg8cg3Vpko&#10;ZbDq3LNWgW/hvMGM8xEQzgfpMcXB28wC+r2QW8TSpQ7YHJZhVaFTDnRSwWrE1R6SipUMM5qg6vPp&#10;VS/DklYUOAAibde/jVUdP81ZlSJDna4XV3UANava4Xdz9XnYMFwBfdDC3U0W7hRBIrs2IwT07m4X&#10;KqvsMFrkz1FQWI2w2hXMq+wZtMeSz3vDjUfajqIxvww7tcg/V+lOikHv6kX4xw8fi2oU2fqLYRiG&#10;YRiGiTxo7vf97Y9RV7sIBq2EC7Jvt1uQULrhD1feMcHx57peKGuP4OSFD9V7fOWOeB6459dx7cpF&#10;lJYWQK+VZf89UIU7ZR83LKnHW1+8gzPXz0vFNYZhogNynyAx/cLt98XPPYf2YJ17LbILMmEwJomK&#10;dItWjigPBBLTB+3dU7Ixv3gVZtQ+FahIJ3t3ycGyIAX0G/j+27PY5pyumYBO1vBz656OGgGdbtKk&#10;1oPQZ1fDZkmQ3OTgMVnMyMyyYt36gD20bGOViTIGhXP6s7dRB3/adPSMoHAuoKpB+2R4lhjZwv0e&#10;SOjYssWFnFzrMKvQdTCn5GJmxfOIqzkgFS0ZZrRABz0SC9aKXDZRSS5p07+J2BRQMK/Ei/jafkys&#10;OgBd/V6sJft2FtDDBxLQaxIC49B9Cui+7Jlwb7azgP4b0AHKzk4XSsvsYl4ofZaC4Y6A7o8YAX1o&#10;jr48Iw07LbHy9hcknfMewTuPb8DAwA2VnzfXGIZhGIZhmMiGxNTPPn1X2OhShbB0jh0k4oC6Kxkz&#10;6p5R5+jkEiWf9zLBE6sytrEPyeuP4vSHnwjxfGDg5/stnH1/uoIe/yboDEkiclV2z0KNwahD0cIC&#10;HLp8BOduXZIKagzDRCckpl/47n2cu3ER+8/0wfOkBwvKCkTfQRXpFP0wUjETI4Kih92qg5KcDn1e&#10;I2ZVP4oJrf135aQH+vOgBfTvrl5ET3qCNgK6NR7bVHIqOsSbjhZrGcpBT8hvhd2ijWUPVbA6XQpW&#10;rHDA55NvrDJRhNslxHP3Oit8RXMCQgVV8EmeSU0xxcOXNQPujTYWPSTQs1pdbRPP7/1PrE0i7yOh&#10;YB3iuQqdGcWQdfusimfUyUsmFJrESNvz76AkwZxejBlVLyG+Rh1XKw8iZ3EnfG4H3N0O6fPFjELU&#10;ccC3cG7gcJVszPg1WED/Q5CAvnWrEwWFNpju29nkD0DRC3YbZtQ+GTEC+lj1cxgbnsOWVBO2W8bL&#10;218Q+JR4uPWxuNz7mLrG+qt07cUwDMMwDMNEHsLKG1ew99kdwlpbK4HCajXAlFmKCS19GN/K9u1a&#10;MrapD3Ft/ThxPlB5Trnnd99zkXf/bh+SUyhSS5sI13uhStKUNCf2Ht4rqk1lAhrDMAwJ6edvXRIO&#10;FSc+fQu7X9qN6uZKpKS7xCEcInKEdPVz3MlJd8CYW405lX5Man79TlV60Bbu311/Hz0FTnhNobcy&#10;HBLQyxauji4Bve0Y5pesh41u4rCyX38bEt9os7St3S6soWUbq0yUQOKC2wlPmwH+tGkB4Xwkq86H&#10;EK8bDw/Zt3u5+lyG1+PEmjVOdXI9HBt3FYqESMnF9Iq9QqSUiZcM82DZj8k1fdDnLVYnLknydvy7&#10;GEXl+vyiTaKSfVJVH2bXvoLF62rh91ikzxYzSiEBfcGc+z/QRQJ6ziy4t7CA/luQgL5lixN5+doI&#10;6FZ1/mpx2DCpYV/ECOhk355R2QWfYza2aWDhToeRd6TOxOfv7FPXWN9L114MwzAMwzBM5IEBsva+&#10;isXt9cLKWxthwgSriq50HcaL6nMW0LVkTGMfDGuO4Me/f63e2/92lhoYuIof//olli5pEHn3IyFE&#10;kQWz2WJE96NdQhQjq2aZcMYwDDMECemUk372+gXx3y8efRGL17YjKy9DREHojUmwSPqb8ETthykn&#10;XTFAsVtgySrDnEXdmNy4L3gB/ftbH2FHRQG8pgnSzaDgiMc2JQ71CxrF4B49AvphzK3sgc3pFDdO&#10;flODg3LQa+ps8PDmcvRCVedb7PBVJgjr9Puu8guGIUteRX1NUxz8jinw1SWhu0t9X1QRL3u/DMjK&#10;vbDIOmy7XbLrSijcgPjaA4gnsVIqYjLMA6LmAOaVqmOfwzbsw2NWaxJMaQtEhnpcTS8mVPbD3rxL&#10;fX6Sufo8nKBYEXUsIFcScieRjiO/hjEOvoI5cPP85jchAX3jRifSMsgiUv48BYMQ0J0uTGp4OWIE&#10;9D+3n8SCksXYpdCaJ/RzJqo+f26RA7e+eEtdY92Urr0YhmEYhmGYyIPE8798fRZ5BVnQmzTKwraa&#10;YLVbMb3mSYxvPSyd7zKhgwT0um1v4Z//+OYXAjrwHV7Z94QQtE0q0vsVYvT6RLQsb8LbX70rBLF7&#10;hTKGYZhfg4T0U1fP4dzNizh7/Txee+c1bPRvRFFZAQyGJBjUcSuictLpUJOoSjdAySgKVkC/ih9/&#10;+AxPt1fCYwy9lSGxXZmE9rwSTFAHn9iW6MhnoY3GGfXPCf99q3qzpDcySEiAK1pgE/adtIkq21xl&#10;IhgSz9db4SucFaju01o8HxLL6XWIoSr35KnwlcyFZ7l5sBqeBY/fgp7VpUsd6qJnODbuKtTxp2Rh&#10;ZsUexNf0yUVMhnkAUHucWvUqzGkL1HFvmBsG6gTHpj4bCUWbRfV5XNV+TFWvXb+6HT4PZ5+HFep4&#10;4N5kgz99+v1XoJvi4C2eg24fu5n8Fl6vExs2OJCcqgxvPPkdyB7SkpaLSU2vRoSATod4J7QdQWNe&#10;GXabx8rbXpB0zn8EvavKxRprYODKL9ZdDMMwDMMwTGRChydffukxdT1rEaKqbH4dNGRPm1GISY2R&#10;MT8fzcQ2H8AjjX3ofPEMBv6t3t+7ss/pXv/lm/OoqChGok6b6NZ7oUrRvAU56D1zQNgyywQyhmGY&#10;PwKJ6efUfoT6kv6Lh7Dj+R0or1sonDQiLyedhHRdsAL6FfzzH1/j1c5V8BhipZtBwbJdmYiVWeki&#10;nyVGWMzIB6fIol9U3BvSCmBThmtj+9tQtVF6hiKqj8gaWra5ykQgVNVH4vkKM/wZ0wPV31patpNY&#10;Ll5D/WmfAn/adPgWzIa3PgmelRa4N1rh7nSI9yTem+w9M3fwqN9RZ6cT2bnDrRgkyy4DDHlLMbmm&#10;F8Iy+x4hk2FGHrJuP4CkgjWialVMUKTt97chhwVzagGmVr+qXrNX2LcbG55BR2eq+uzYpc8UM0pR&#10;xwTPUgP8TnXcuJ8DXoOHtbxV8wPjiuzajIAE9HXrHeLZ0UxApw26CBHQx7YexrymfViXmY4dFg3W&#10;PGq77U4aixM9y9T11Q/SdRfDMAzDMAwTmVAe9pZNK5GkT9Bkbk5YlSQkFa/AxNb+qHF4fVAIAb2h&#10;D6++/b56b7+9k39Oh2TJzffpJ/1I0M2X3qdQQwcybA6LELku3L4sFcQYhmHul7uF9BOfvonnDu5B&#10;/eI6uNIcQkiPpJz0oAT0gZ/UQWDgOs69vBNuXYx8QyhIdlgmYINLrw7u0SWgx7Yehj6/IWAVMEwx&#10;4begCRkNoKvXOMQmqmxzlYkwSKD2uOBtN8CfMvX+q/r+KCRgmOMCwrlrKnzZM4VNvHepEe4tgxbK&#10;g+8lIJyzyPFHIQt3qkJvaXUMe1FFoobVlYI5ix7jLHRmVBBXe1Btj49CcboCp+Il7fb3CeS5JSzY&#10;iviaQERBXFUfKleuFOI527eHGf5keKsT/tux5I9A/9Y2Gd7GJBbQfwc6PLlyVWAs0UpAN+dUY2Lz&#10;G+qcNvzn75R/bqp9DF0pBmyzhD7/3Gehw4ZxOPuCG2TpKFt3MQzDMAzDMJEHcA1Xv72IiooSJOoT&#10;pHPr4DHBpv6cVrULMe3HpPNdJnSMaz6A6W39+OCrT9X7+7OzFInnn378DnJy0mEwaeM4ey9Ufd6+&#10;pg1nrp3HqatnpUIYwzDMcBE56dcv4NyNi+LP+06+jOWbliG3MFvYu1MfFO5CelACOgF8j6/O7Ec3&#10;CehUZSrZFAqG7ZaJ6HAmYF7D8xgXNRYzJKAfgq5kLaziRmnTyKiCtaXNwRbu0QAJ1t5keFoM8Nvu&#10;s6LvjyKE83j0UD+QNQPeivnwLDOhu4MqzJN/tmin90LI3ifzu9CBl82bXcjMpiz04Vbq6mDKqsK0&#10;6tcRX02V6HJhk2G0Zsi63ZRZLk7Ey9rrH0LRwZxRJqrP6ZoTq/pgaHgWG7fmwuu2SZ8lZpRC40On&#10;2tflzxZ55tLx5tegccg5NTD2sID+m5CjSUuLtgK6Kb8BE5v3R4SA/lD7STjKO7HTOklta6GfQ3mM&#10;E7E7cx6+fPdldW3F+ecMwzAMwzDRAnAbJ0+8ipQUB4xmjURVqx7W9FxMrX8eMW2cf641ZN+etuEY&#10;vr32xR0BHVR9rtLdtQ46gzZus/dC7SmnIEtYt3PuOcMwWnP66jmcuX4BF757H/tP9WLrji0oqVgA&#10;k0kfENLDNCc9BAL6bXx+7iA6LNPgp+oJyaZQMGxTJsHrmIXMar+wT5QNTJEICehzK7dDcVjViY42&#10;+TckoC+qCNjaUmXrvZurTIRAWbJdDnjrkgI26qEWz0kwp2vaJsNXMBveNoPIrhXihW9QMJe9L2ZY&#10;0LNKInp9vV0I6MMTPoyw2UxILNyI+NqDYCt35kFAVeJTavuhK1gdnNuKOkZSVty8Up/anvvFdSdV&#10;9aNy5XL43DauPg83fMnwrDTDnzz1/scrczx8qdPRvVmd2/DY86vQOOJWf9bU2GHWQDwnrIq6QCpe&#10;gQkRYBFJ7z+27QjKitux26RN/jkdRH62zIF/3P4QAwNXpWsuhmEYhmEYJrIga2/aV3/8CS/mJ2pn&#10;6W21JCApvwUTWw+qc9tocXd9cPy5vhf1O97GX3/4Wr2/34p7TdXnH33wJjIyU7Q7KHEXZsUEs8WA&#10;XS/tFhbLVBkqE7wYhmG04NzNi7j43fs4dOkIdr24C5UN5aJQOBxz0kMgoN/CF5ffRFeqAX5z6C0N&#10;e5Q49NimoWjROoxpPSIdmCIREtDjGl6GxZUiqnhkNy9YSEDPylFEpjIL6BEKuQt0OeGrIitc9ZkK&#10;pXhO1yIbePsU+ErmwLPUBDdVm5NozpV/mkIC+oYNTnXirQy/Cl3RwepKxexFTwgLbZnAyTBaEl/T&#10;j7llO2F1JkNRhr+AtCqJMGbXY2rNfvWavZhQ2Q9b02PY0pENr9sqfYaYUQrNRdTxw1ubGIgBkY09&#10;vwWNS7kzf77WvddnBENzvtIyu5gLyp6rYCEBPaFsIyao89lwF9DJAWt682tYmVuA7Zbx8rYXJG59&#10;LF5pK1TXVddERJZszcUwDMMwDMNEFjT3+/72x1iypBEJOo3s2+nAuc2I2Qs7ENN+XDrfZULL/1Tv&#10;R8fLZzHwn2+BgUAE7k8/XcP6dUuQpE+U36cQo1Nfp3FpA9755hRXnzMM88AgIf3C7cs48dlbIie9&#10;Se2XUjOSwyonPQQC+k18/dlp+ApT4DOFflOJBPTt6s+K4haMaTsqHZgiEbK7pNxIc2axpgK6M9mC&#10;zZsDucr3brAyYQ5tkLtd8FYnhlY8H8o4p4rzwtnwLDMHXo9Ec7Jpv/d9MJrg9zvR2GgXFejDFUDI&#10;MtucVYXpZHtd3ScVORlGC8hmfUbli7CkFweRe64yeBBkzsLHEFfbj7iqXkxRF6sNq5vR4x3sm5jw&#10;QR1H3Jtt8GdNDxzQko1Bv4USD1/F/MHx755rM3cgAb2ry4ncfJtGArpJjC9TK3ciJgLm7mNbj2B2&#10;w/PYmmbGNkWD/HO13XrNk3CiZ6moTGEBnWEYhmEYJjqg6vMP3j+B9AwXTBZt9n5pzaykZmFG3TPq&#10;3Dx6CtMeFLEqf67pxcvvXlbvLzlLfaP+/A7vvNWL5BT7iGSfkyiVkZOGl998BedvX5aKWgzDMCMJ&#10;5aTTYR6yeX/l7dewbOMSETFB1u56feKoFtJDIKBfx/UrH+CxumJ49THSjaHgiMdOZQIa8srwSNsx&#10;6eAUiQgBvaUPpsJ2zQR0Et5sDgva21lAjzhIOPC64GnWB56jUInnJMSTRW72DHjaDKK6XQjnLFSM&#10;OCSAdHQ4kZVLWejyZ/z3MYn+RZe/SlQDs5U7MzLsx1R1QWnMbVXbHy0ehztJovarhyFvMSYPWrdP&#10;rOxHSut2tW9KVp+RQEQJE0bQuNVOjkbDEc8DP72LjeLwmPT6jIDGD3IfSsuwaCeg2yyYUv1ERAjo&#10;dIDXUPMY/LYp6KHYmnvbXpD4LOS2NQWXX98u1lU/sYDOMAzDMAwT8dChSXJ17evbq131uYrVkgh9&#10;diUmRoAzVDgwpqkP85Ycwqn3P1bv7xX1Pl/B3//2F2xYvwwJSdrZ9A9BGcNGkw4bfRtw4fb7bN3O&#10;MMyoggR0EtMpWuKNU73YvG0TSiqKA0I65aSPQiE9aAF9YOAK/vnPq+jtXIbuhEekG0PBsts8Dq2Z&#10;2Xi4LcqsZtoOY065J0iB4bchEb2i0s4CeiRBYrbHBS+J5zb1GQqFeC6qztXrOKfCW5sUyDj3JbNw&#10;/oAhK/fWNsedZ/ne5/sPYTXC6rBjbol/UESXCZ4MEzriag8hYcEW2ET7G/4BMRobLakFmFH5POKr&#10;ezGpqg8zal7B8g0V8HkU6TPDjGLUccvd6YAvd+bwxi36neQpcG+wimtJX4MR0JyPYkDIhUgTAZ3G&#10;FVcqptSGf5WL2GRsPSyipLaL6vPQC+he00TsSJmFW1+8ExDQJesthmEYhmEYJrKg6uR//f1LdGxd&#10;jSRDknxeHSxWk7ruNiGheBXGRVFR2oPk4YZeWNccxQeffSoEdOB7nHq3D04HFb9o5DJwF1R9XlRW&#10;gKMfHceZa+elAhbDMMxo4OzNi7j0/Qc4dPkItu3ZLnLSLYoxkJOu9pejRUwPWkAngB9xeq8HHXMf&#10;lm4MBctOSyzWp9sxr2kfxrUelA5QkQhtOk6pfRo2u1VsRspuYLAYzWbk5iksoEcS3mSRR97jmDK8&#10;Kr57IVGCyJsFz0pzoOKckL02M6IM2fAWFduCqEJXsepgTc7C7EVPIo5FdEZDyGZ99sLdUFypsKrt&#10;Ttoe/xBGUeGaUOxG/GD1eVxVH4qXbYK32w53t0P6zDCjGE8yvE26wLgzWE1+X5A7SukcdHep954r&#10;0H8TmvMtXeaE3WkZ/uGr30IxQEkvwOSGFxDTelg6xw0XYloCjlAthZXYrkxS21roBXSPaSL2VDjx&#10;z799pq6prknXWgzDMAzDMExkIRxdr11GSUkejGaNhFWrAVanE3Oqd4f9vDxc+L+1vSjreRPff/eV&#10;uMd/+/ELrF+7BAk67avPzUpAO9jx/E62bmcYJmw4e+MiLn73Pk5++hb2HNqL+vZaOFMcoyYnPUQC&#10;+g9479UnsFk3CX4lTro5FAzbLRPQmaIO+nVPYEwUDfg0uZnc+CKs6fli0iO7gcFColtqmoJ169jG&#10;PSIg8XyVBf6UaaGpPCcB3j4Z3qr56O5wBIRzrjofVVAV+qrVASEkmEpCEjPNGWWYWfkS4msOSMVP&#10;hgkGalczK/bCklYUyGGTtMM/itWaBGN2I6bStWv2Y3zlAViansSWjix43Tbps8KMYtT5h3uzHb6M&#10;YWafE+qY52038AGvPwDN9xoaHLDatRLQ9bBkL8TkppfDX0CnSKXm/ViX7hisQJe0vSDxGCegb205&#10;/vWPL9Q1FeUkytdbDMMwDMMwTORA4uq5s4eEMDAkfIYaqzovN6YXYkJLnzq3Zfv2keD/qdqPpXve&#10;E/N64CYuXzoGu7ru0uoe3w0JTVTB+daX73L1OcMwYQdlpJ+7eRHv/uUMXn7zVSxdtwRZeRlq36Z/&#10;oDnpIRLQv8OpAy9gq0K2m6HfXNqmTILPORtpld1Rl4Me37IfpvwGKBZt7HxIcKMc9NZWhxDiZBut&#10;TJhA9rebbPDnqM9hKCrPqZovdRo8bXohbrAl7uiEqtDdbheqa+zBVaGrWJUkmLLrMK36dcSxiM6E&#10;kPiaXiF2G7Prg48lod9PTheOCRQ7EKcuUKdV70fT2ib43FauPg83hmJHKhMCB7+GU31Ov5c+PWDf&#10;zgL670LzvUXlNiGeayGgW9U5q7GgGXEtfWIuK5vjhgsxrYcwt/EFdNnnaCOgK/HwGCbg9HMdIgeT&#10;orFkay2GYRiGYRgmchDzPpVdOzo1tKk1qWtvIwyFbRgv5uQsoGtNrMqfanrR/fpZADcAdW7v7l4P&#10;nTG4AoI/Agn0NrsFz/Q9KwQozj5nGCZcETnpJKbfuIg33tuP9Z51IprCaNJBbxz5nPQQCei3cOmd&#10;Q/CkG+A3jZdvEAVBjxKPHbZ45JatxkPtJ34xQEU0bUcxt3QDbJZE9YZp0ziMFjOqqm3w++UbrUwY&#10;QOI2ZceWzAlePCfxgsSInBnwrLag28dV56MdEkM2b3EiO88qYhlkz/kfwwQbLbByW4WITqKnTAxl&#10;mPtjv6g+1+UtEwt4ymGTt78/gPr7lJ2euGATJqvXjBPW7QewYOlGeLsdcLvt0meEGcX4kuFZZoLf&#10;GUTsiClOCPBiLOTx6nfx+ZwoLFKCPnT1a9gs8zG3eLWYw0rntmHEuNbDyK/ogN82XV2PhN5ly6eu&#10;cbzmifjLuT6xnpKtsxiGYRiGYZjIgrKxf/rPN2isr4TBpJG4KqJALZhVtQuxrYekc10mtIxt6sOU&#10;ln68cuKSeo9v4qMP30JGZgqMFioikNyjEKLTJaJ1ZQve/eYUV58zDBMR0EEgOhB0/tYl9F84BO/T&#10;XpRVl8BsCeSk08+RENNDJKBfxxcfn8GuklR49DHSDaJgedQyFsVFTXio/aR0kIpUYtqOYUbldtgc&#10;2uWgG8wmFC2worvbBapmlW22MqMYumfeZHhrkwLiw3Cq94ag36XK88JZopqdK/nCBxJEli5zwO5U&#10;grJyDwiURugKVgrRk0V0Jhgom5yqxBMWbBGnoYMbx+gEvQ7GrJqAS0J1HyZW9cPe/Bi2dGTD61Gk&#10;zwYzilHHGOGckk3OKcMUJ+nAl2sqPKvMgQNfstdh7kDzvK1bncjM0khAVxcvdqsBMxd1IybMD73G&#10;tvRjTOsR1BXVYruV2meQBxQleE0T8VhuIm59+S4L6AzDMAzDMFECcA2ff/oesrPTYTBpJK5SFGhy&#10;OiY1vswC+gjxSGMf5i47hJPnPhIC+o5tW2A06zUXeMjFwOGy4dkDz4kcYZkQxTAME7ZcOXNHSD/2&#10;8Qk89urjqG6uhDPZDqNRJ8R0LfvZ0AjoA1fwz39fwyvLFqErYYx0gyhYdpnHojlvIeLUQT8mimxn&#10;YtqOYEbdM7CmZYlMSdlNDBaTxYT0DCvWrXOxjXs44nXBs9wMv3NqcNXng5XnvuI56N5sF6K89PWY&#10;UQvl2lZV22EKRkAn1IWWza4gsXDtoIjeJxVHGea3CVSezyvtgdWZrLarIMcwqw6W5CzMqnhOXHdi&#10;VR/m1b2EZRuqhHW77JlgRjF0+KvLCe/CecGNXaY4+IrmwD10zXtfh/kvaJ63cpUTyalBHrb6NegQ&#10;lsOGmZU9iGkP79glEtApw31ZZhp2WWLl7S9I3IbxeLklFz/epCqVG9J1FsMwDMMwDBNZ0Lzv1X1P&#10;qPNmOtSqTbEUHT435TdhUnNv2McqhQt/ru+FbcNRXLn2DW5eu4iSknzoDOQoK79HoSJJl4Dm5U04&#10;9W3A+lgqQDEMw4Q5QxXpZO/+9lfv4bmDe9C6shnpWakwGJNUtHF0CYmATgA/oK+jHVsTxkk3iIJl&#10;hzkWa7PSMbdpH8a2HpYOVJEITXLi1J/6nEpYLQnSmxgslH9ptVuwZImDbdzDDco932yDL3tG8OI5&#10;2Ygumgd3p4Mrz8MUEtA7O53Iy7cGX1k4KKInkYhe288iOnPfxNcexJxFj0NxpUNRgpzEWI3qOGXF&#10;vGK3et0DiKvqxfTq11G/agnnnocr5JzSqPt5DLp3XPojWFTsU4QFPI9bfwyf14nWNgdsTos2Arqi&#10;hzU1CzPqnhaHQGVz23BhbOsh6Br3YkuKCdstE+RtMEg65z+Ctx9dp66lrnL+OcMwDMMwTJQAfIet&#10;W1cLcVWrqjmrOi+fs6gb41uPiIOhsvkuE1r+t7YXaZ3H8Z+fbmHvnu0wmfUim1x2f0IFVbi7Uh14&#10;9sCzOH/7klR0YhiGiSRISD997bwQ0s9ev4CX33wFqztXIX9BLnS6BCGkh3JsDaGAfhuv+zdhq34S&#10;/BpkBG5TJqIrxQBj3RN4JAIyFe+Hce0nMLdoBWxKEhSr/EYGi8FkQl29DV7egA4fqNLO7YKvKiF4&#10;8Zwq+Ipni2pAkSErez0mLCARffXqEFUX3hHRV2FqzRssojN/GKoQn1X+LMxpherCXR27ZO3rDxOw&#10;bjfkLsZktQ3GV/eK3POCJR1wi+gRzj0PK0TsiAuexQb4HVMCFuyysen3GIocWTBHvS6PW38UOihZ&#10;U2uDUaP8c0V93i0ZRZjW+CJiwtwq8mF1vZFV2am201noUdT1jawdBoMSj86kcXj/4NPqOupv0vUV&#10;wzAMwzAME1lg4Cq+/+5TdU6+EAlJ2hRKib2c5BRMqXsm7A+1hhN/qu1F7aPv4m8/fIKWlhr1/s6X&#10;358QQkJRw5I6nL56FqdUZGITwzBMpEJi+tkbF3Hh9vvYf7oX3Y93Y8HCAtE3ipx0OsQUpJ4aQgH9&#10;Fvqf2oFOy1T4LaHfZBIbV87ZUKq34eG28LaEvF9osjOv3CMsMUWGjeRGBgtVqxYU2bBla0CAk226&#10;MqMMEiCWGtXnYsrwq/cIEiAKZsG9hTPPIwHKt6U89LZ2h3CWCImIbjPBkNOKqdWvs4jO/C6UeT67&#10;4llY0opCIJ6rkCCXXoqZlS8hrkYdFysPIqV1O7Z2ZMLjVvstyXPAjGL8ySKv3J9CsSNBHLhU4oUA&#10;716t8MGvPwiND263C8UlVhjM2lS62CwJSMytxXh17hrulS4PtZ9A2YIW7FKo+jyIg4q/gsc0ETsz&#10;5uLL02+IKiTZ+ophGIZhGIaJLKgA7e2TryEt3QWjWZs9XlqHm3MqMbn5Nc4/HyFimg9gbEMful99&#10;H6fefg12u0Uze/4hRPZ5sg17D+3F2ZsXpOISwzBMtEAZ6Re/ex+HLx/F7pd2o6JukdBGSEgPJic9&#10;hAL6Dbx79AB8qYnwmbSxOdxliUHKos14uP2EdLCKVKiCZ1rD87CkZKqTIG28/Elkc6UoWLc+kI8p&#10;23hlRhFk3b7FDl/OzOCqz0m8UK/RvYnEc848jxRIJKHnuLrGJg7HUEyD7Ln/w1gNsNqMMGY3YIYQ&#10;MfulwinDUOX5tKpXYMooh9VK4nlwIp2VctNdaZi98FHR7kg8tzQ+hY1b8uFzK9L2z4xifMlwk3ie&#10;Pi24sYuwxMFXMT9wXapqv/e1mF9AByQ3bnQhO4diPrQQ0E2wq/PU+UVLhHuSbE4bLsS0HMSU1n4s&#10;zinELrM28VTdunF4qSELP14/L9ZRsvUVwzAMwzAME1lQBOre53ZAp0+EWSP7dpqTzynZgNj249K5&#10;LhN6xjX3Ia7tEHa+dg5+z7oRqT4nQahhcR3e/eYUTl/j7HOGYRji3M1LIiv9zc/fxjO9z4p+MiXd&#10;JarSKSv9foX0EAroV/HN1x/g0UIFHkOsdKMoWHaaY1BZ3IaJ6oAUE1X5Lf2IbTsCXeZC2DQS0AkS&#10;0Zcts7OAHg5QdmxdYsD6drjV5yRepE4LVO+xeB5xkIje1eVESYkNRrP8mb8/AjbaJIzOKn+GRXTm&#10;F1Dl+fSqV2DMqoGNhO8gxXNFvQZFCFDueVztQUysPAB9/V4s31ABn4fF87CDxPPVZvgyQiCek3NK&#10;xnS4N1rZOeU+oPndqlUOcWBSk/xzqxE2mwXzyzYhJszjlsa0qvPuxuewKc2O7Zbx8nYYJJ3zx+Dg&#10;5kZg4DoGfvpWur5iGIZhGIZhIoeBgSv45z++wYaNyzEvYZ58Th0s5CLocmJW1Q51Th5dDq4PknFN&#10;fZi14ji6n+pDfl6aqA6X3p8QQQKQRTHh6f1P49yNi8LGWCYkMQzDRCPUJ565TjnpF8V/v3jsRSzf&#10;tAy5hVnQ6xNhMP3xnPSQCeg0CQCu4ZmabHTrtBHQt1smYFneAkxtfh3josyCJrb1MHQLlsJmJd9+&#10;bU4o0mZqZVUgS5bEt3s3XplRgjcZ7nWKEL+HLUKQ9a19CjytBhYfIhiqNty0yYm8gkAluuy5vz8C&#10;IrqSkos5ZTuFqDm5ev8vhFQm+iBr//8Sz4Mdp9Tfp+gAXcFKTK7tx8SqA5hXuw/LNlTC77FI2zsz&#10;ivG5BivPpwcvntP4ZZsMT4uex6/7xO93oX0xjQfazCPFoReXC3Nps641vLMWH24/DkeVL5B/rkE0&#10;lV+JQ4duAo4+1qmun/4qXVsxDMMwDMMwkQVwE599/DaKF+RCb9KmQMpqSYQpsxSTm14XrkqyuS4T&#10;esY2HcDclUewoasHZot2xW9D6A1JqGqowPFP3sTZG2zfzjAM82uInPSbF8VhI8pJ37xtM/IX5MBo&#10;1geEdOW398hCKKB/iwFcxRMtFeg2aJMVuE2ZiE3pDsxseAFjWw9LB6xIhTJraENSsVtBFT6ymxks&#10;JKDn5tvQ2ckC+qjF7RJWtb7y+UGI5yqWePiqEgLiA9/riIby0CmaIT1TCZGITnla6mLAlYr5xVsx&#10;paaPc9GjnIBt+8uhqzyngxpqGzNl12Na9WuYWN2PWTWvomlNi6g8d3c7pG2dGYXQ+KKOM+4VZvgz&#10;psNvCiLzfJAeqj4vmYvursHry16X+QU0r/N4XKiqtqkLBG0EdHpuLSlZmNb4kjpvDd/NOspuH9t+&#10;HAWlK7HbEiNth0FjnoBO+xwcf/V5ALekayuGYRiGYRgmsgC+w7vv7IeiGGFWkc2pg8MEm5KEhIJ2&#10;xLB9+4hC8atTWt9AYUkJLArti8juT2igqkmDIQnb9+7AhduX8d4VuWjEMAzD/AwJ6efVPpPs3Q+c&#10;Pwjf0z4srCkV/SoJ6SazQVqVHjoB/aeAgP78ltVw0wYpVQjJNoyCYJsyCd2ueZhVvwdj28K7suV+&#10;oY3ISU2vwZySAatVGxsYEtAdLjPWb3CIylXZBizzgCEhYrUFPc4pASFc8pz8LiQ+5M+Cu8MBylKX&#10;vg4TUfi8TqxZ40R6RghFdKseVrsF+rzFg7noXI0ejZB4TvefxHORV24LdhOAXA70sKQXY0bFXkyo&#10;PozZNa+icU0rfB4r3N0BlxQmDKDxRcXTZoQ/WR2zKHJENibdDyb1GmTdvsHG1ef3Cc3rtmxxIj9k&#10;jiS/hGKGDBklGC9cosI3aolcrqa17Mfi/FLs1EhA9xpj0ZOj4Py59wBcl66tGIZhGIZhmMhB7JsP&#10;XMOzz27XLh+bIpUcNswr9yAmyvbNHzSi8K16JxS7olnh2xAknheXF+HgxcMi61cmFDEMwzByhJB+&#10;6xLOXr+AE5+9hcdffRxVjRVITnOK/tVoImfVn/vckAroZOHet+cZeKxT4bcEX2V0Lz3WeJU4WKp3&#10;RKWAPqG5F+acSs0EdMtgw2hpZQF9VEKVdp1O+BbMGX71uUXFNRWelWYWH6IMv9+JFSsccCaHTkSn&#10;RQFZulvSSzF70eOIrz2E+OpeqdDKRB6UeT6r4lmY04tDJJ5TBWsSrCnZmFn+DCZUH/lZPHezeB5W&#10;DI4vvrok9NhDJJ7TNRxT4FlqVK+f/MvXZH4Trzqv27DRieRUizb551Ttoo4J+oJmsXkUzgI65Z/P&#10;bdiLLWkWbLNMlLfHIHHrY7CregG+vUXrpyvStRXDMAzDMAwTOdCe+Xe3P0JbSy10xiTJfDp4rIoe&#10;ZnU9PbXx5bB2hAo/+hHbdhjWBS3qmsgAraJXBVazyO9d271WVJ9z9jnDMMzwuJOTfj0Qg/Fc/3NY&#10;sq4dmTlp0A3mpFO/GzIBnaAKis8uv41tzunwmrXYcIrHNiUO5WXLMV6dCJDFonzgikT6MUH9zLqS&#10;dYNChWQQDQFmdSBeuMgOr1e+Acs8QDyUIauI7PJhixHmeHjrkrjyPBpxO8VzvWSxA05XKAWUgN22&#10;NTkViUUbMbX6NcTVHJAKrkyksB9xtf2YTeJ5WpEQveVt4/4QY5srHXPLdmBi9WFh294obNttbNse&#10;TlDe+WYbfGVzA25EoXAkUiajRx337oxfFGcie23mV6H+f/kKh0biuYpVHQtsFiQt3DwooMvmsuHB&#10;2LZjMFXvQo9tiji8K22TQUDX3KqfhJ4VKzGgrp3oELJsXcUwDMMwDMNEDsANfPvNeWRmpsBk0aYw&#10;yqoYYMipDvsDreFGbMtBTGncB0tqjqZ79gRVRmZkp2HfyZdx7hZXnzMMwwTNlTM4dfWscPSgynTq&#10;Xzf4NiC3MAtJuoTQC+h/++4j+LPN8Jq0EdC3K5PQXFSFCeoAFaMOULKBK1KJbTuCadWPw6qhHQxV&#10;pmZlW9DZwTnoow6vC76F84ISz305M+DeYmcBPYohO/clS+xCRDeFUEghEd1mM4jc6lnlz2FyTT/i&#10;a7gaPfLYLyrPSeS2pOaJ+y5rD/eNusi0OuyYX+rHhJqjmFu7bzDznMXzsIFEbXWcIocTGmuEU0qo&#10;4nxo/CodzD3n8eu+ofkcUVOjnYAu3JEcNkyvfTqsBfQYcWD1EMrKVmKHMkFtfxoI6JZJ2GKaBq/3&#10;KbF2GvhJvq5iGIZhGIZhIoOAa+t1vP3mfpgsRmnGatCQQ6DNhMSy8D/QGm6MazuKhEUdsGls3y6y&#10;z406NC1rFBm+73H1OcMwTMghdw/qY984tV/kpIdYQL+GH25/Al9ZLrwm2nSSbxwFw3ZlIlZlpmFC&#10;cx9iosyOJrb1MOIbXoI1PU8dkLXLQXclW7ByZcDuU7YRyzwAPC541ijwp0wbnoBO1Xu2yfC0s/Vt&#10;tEMiis9HIroDrpTQiugBS3c9lJQsJBZ3iGp0ElvjORs9Ioiv6VM5gPklXlhdabAqiep9D8HCX4jn&#10;ViQs2IoJVUeQVP88lq6vgt+jsHgeDtBhO58L3R0OeOuTREyIyCqXjUXDwRQHX94suDfb71jDM/cH&#10;9ftdXZR/btVUQLekZGJi02vhLaCra4u45v1YmZMr1hzSNhkkPZaJ2GRPhG/PSbF2YgGdYRiGYRgm&#10;ssFAILKnx7cJRrM6b9ZAQLdajbA4HYivf5EF9BEmtv0oEvOaYLNoY80/hFmhjHsFO1/YGRDQJcIP&#10;wzAMEzxDOenU14ZYQL+KH3/8Eo8taYLXqJ2A3uGcjxmN+xATZROC2NZ+xLX0wlDQAquFhAv5gBoM&#10;lINusVpQ32AXmcmyjVjmAeBLhrc6MSCeK/Jn4zcxxYvsdDdX7zEqQyL66tUOpGda1QWcvD8YHiYh&#10;otPJZ2NmFWYvegKTa6kanW3dwxlx/2r6kFC4Xl2wOYToLb//94nVAKvDhoQiEs8Pw9T4NJZtqIDf&#10;Y2HxPByg8cTrgnuNAl/RnMD4NFyXFBlUxZ45A+71Vh67gsDjcWLzFi3zzwMCujmnEhOb96vz1fA9&#10;4DpOXVvMVNcYHa5E4XolbZfBYp6I1Tn5eP7QebF2GpCsqRiGYRiGYZjIgeZ8//n3N6iqKoXBpI3F&#10;tzjQmr1QnY+/Edbz8XAjpvUwZtTvgZKaAyVUDn2/gsmsR96CbBz7+ATOXDsvFX0YhiDx7+yNC0IA&#10;PH/r8uDPn/985voFYVkt+12GYX6GnqXQCugDV/Dv/1xD/+M98OhjoYXt4TZlErz2WUit2Y6xUXii&#10;LrbtGGYt6obdqt2gbDCbUFxihZc3q0cHVH2+0QZ/1kxRiSd7Ln4TSzx67FPgWWJEt5+rz5mfIRF9&#10;zRonsrIDIjodoJH1CcNjMBvdlYqkgjWYUfkS4mv7QRbgMoGWGb2QeD696hXoc9thsxlD54CiXoeu&#10;l1i4HpOqD8PZsgsbtuSLynNZe2VGEVR17k0WkSCUS+5Pngq/WR2fhnPA69cg8Tx1GtwrzVx5HiQk&#10;oC9e4oTVboY5pP38z9CGnb54FSa29Ie5gH4YGdVe+GzT0KOJgB4Pn3kiGhctw9EzH4nNVNmaimEY&#10;hmEYhokcyHXo80/fQ1pGMoxmjQR0RYek0nWYoM7FYzn/fMQY134CsxZ5YBfufBpY89+FyWTAevda&#10;IXyevnpOKvYw0QmJfNQmqFr24vcf4NyNC+g7148Xj7+EvYef/y/o7w5dOozT6u+If6v+zulr58Q1&#10;ZNdmmGgnpAI6AdzGJ+/1odNAG6nDEPt+hx71mj22aViwaB3Gth6RDl6RTEzbUcyofRK25DQoijY2&#10;7pSDnpGpYP26wKarbDOWGUH8yfC0G4Zdfd5D2bFFswOCh+z6TFRDIvr6DU7kF1phVJ/90IroKla9&#10;EEnNaUWYX+LBFJGhfYBt3cMAukdkwT+r/GmYMyuEs0DI8rysBuFSkJS3ElOr9iNnsRtbOrLhc1ul&#10;7ZQZJQjhPCBmexYb4c+eGRibQll1TtC4lToVnuWmgD38ve+DuS9oLldeYdes+pw2imxq3zCjajdi&#10;28J3bk4bjWNbD6OmuBnbrfHo0SL/XF3HeMxxSG/ajY+u0LrpW+l6imEYhmEYhokMKK4HuIHnnt2u&#10;rqkDNtzyOXUQWNX5uF3BtOpHERPG8/Fwgw4OT2o9AH1BC2wi4k5yb0LEkH37K2+9hnM3L0lFHib6&#10;EJXm1y/g7I2LePPzd/DUG09hTdca1C+uQ1FZAbJy05GelYr07EHUP2flpaO4vAj17bVY516Hx15+&#10;DMc/fVNchyrT+XAGw/w3Ggjot/DVByex1Ul201pkB8ZjhzIJdQVVGNN2VDqARTI0OMeTjXt2paY2&#10;7la7BYuXOIS4JtuMZUYIjwvuLvU+lM4ddvW5n6rPl5pEtaD0NZiox+t1YutWJxaV24TAEnqRhWzd&#10;dWq/YoUpswqzFj4u7MA5H330Esg778ec0u1QUnLEafbQied6sXGQkLcKs2tfQdmKdejuSoaXxfPR&#10;y5Bwrv70rLaIQ1l+uzrGUJV4KKvOCVF5PhXuFYPiOR/+Coqh/PPsXCXEcR13QQdiUtIRX783rDfs&#10;SECnvMilWdnYadEmioqctDY6DXAuexE3/n6VBXSGYRiGYZgIZ+Cnb4WAvmH9UugMSdAi/1yssdPz&#10;MLnhBWEpLpvrMqGH1j5T6vfAlpop1kTSexMiDEYdapqrcPKzt4TIKRN5mOiCKsfJyv/wB8ewedsm&#10;FJYVIDnNAaNJh8Sk+dCr/Y3RpBeuF/+F+nf0/5J0CeLPzmQ78kvysKZztTigQaI82byzkM4wATQQ&#10;0G/im8/PwVOUDr9pvHTzKFh2WWKxJDNTDFTRaEtD9jC60lVwko27RlacBpMJ1TU2eNk29cFC2bLr&#10;rPAnT4NfGUYllCUevtyZgWuxCMH8Bt5Bt4naOjvsdotwopD1DUFBIgtVMTsc0OctxczyZzClpg9x&#10;nI8+qiDhfFr1a9AVrIXVYYdVIYu50Czy6SCFxW7HvPzN0DfsQev6RnjdNnjc9l+0SWYUQOOGL3D4&#10;SgjnC+ehxzklIHKHuuqcoINiqdPgEeK5+ro8bgUNVZ+vWuWEK0XRrgJdSYI5pwrxza8JAVo2dw0H&#10;KBrK1PAsOpJ12K6RgL5dXcO0ZxWh3n0EP/7jCjDAAjrDMAzDMEwkQ5E9N65dRnl5MZL02hRC2SyJ&#10;0BW2Y1JreMcphRux5BJb2QObEM+1tW/X6RLgfcorRFO22o5uhMB98xKOf3ISXbs7kZmTDpPZIA5Z&#10;0M/7OaRD/9Zk+fl3U9JdWL5pmRDSSZynHPX3/nJa+j4YJlrQQEC/hhu3PscT7fXw6sdKN4+CZbtl&#10;PDanWqBv3BuVOehkXW9p2I7UFCcsmtm4m5CXb8PmLS62cX+QUP55iyEgVkiehd+EqgItk+Ft0Yvr&#10;sBDB/B5UqUjPe3u7A6npirB0l/UPQSOEdB2syenQFazEzMoXEV97EPE1vVJBlxkZhBuAsGx/Bqas&#10;WvUehTDvXIUOT5jtDiQUdSG1bTdWby6Fz2OFu9shbY/MA+Ru4XylGb5FQ8J5iHPO78YUD1/2TPX1&#10;2LY9lPj9TtQ32NWFsUX6XIYCmyUB80rWYoI42Cqfu4YDj7QeRV75JvQ4ZohKcWk7DZJd5nHIW7AM&#10;i588h3/9U103sYDOMAzDMAwT0VCh2VsnXkVamlNUf8rm08FhEvnbM8s9iGk/Lp3nMqGHCvomtfTB&#10;WNgWcOyT3pvQQMJmaoYLL53chwu3L0sFHiY6OHX1nKgOf+Hoi1hYXQaDMem+RfNfg65hthhFdXpq&#10;ugsbvBtw/JM3ceG796XvhWGihZAL6JTt8u+fvsOJp9zonP+IdPMoWLYpE+FzzkF6lRuPRKGNe0zL&#10;QcxoeRWWtDxR9SPr9IKFbNwdTgVr1rKN+wPD7UL3kH37cCr96HdSp8G90RYQ0GWvwTD3QCI6PfNr&#10;1jiRm6dRLvoQVr04qWtJLUBSwVrMqHwJIh9dCOls7T6S0Pc+Rf3e5xd3QUnJFgccQmbZrkKHvUy2&#10;ZBhLNqF85Xp0dqXD51HUNhfh4jkJ0dT/ikNMgwz992jrl+96b+5OB7xtevgWzIbfORU9VBlukYwz&#10;oUAc9oqHL28m3Outd4R7JnioP3er97WkVO3LzRpVRKj9BLmWzKjoQUz7Mem8NVz4c/sJVBTWYZdC&#10;Dlqhd1ig/PNttqkwLfLAf/BjYedJ6ybZeophGIZhGIaJDIAf8NRTflF9rsneiqKDNTULM+qeRkwr&#10;55+PFOS8NanxFSip2SHdO5FBVtsNS+rx9pfv4PS181KBh4l8yFL97M2L6HnOL/LMqV3I2ksoGLJ5&#10;L69bhJdO7MO5GxfZ0p2JWkIuoBPAX3HuwLPYrIsTm0WyTaRgoGvusMWjoGwlHmo7IR3IIp1xrUfh&#10;KG6A06YPySkjGWTh3NJq5wr0BwUJGVvsQgQfloBO1XyL5qG7S70WiTiy12CYX2EoF7280garVpbu&#10;AhOsShJsaj9mSclBUuEGIaQHMtLZ2l1r6LBCfG0/plW+CENuKxS7EhDPpfdqONAJVgNMjiwkV67D&#10;kg118Kj9UVTknQvBXP25wQpvY5LaH8+Fr3QOvBXz4Gk3iP5d9POD2eLSa2jN0OvTT3WscK9V32tN&#10;oqgE99toHCHhPPRC4h3o2pY4+Ermwr1Z/T44NiakUD++Yb0LGZlW4Swkf0aDRNHDmpaN6XXPhnXe&#10;4rjWQ5jV8hpWZaVjpzlG3l6DhBy0tqRaMbfmabxy6lN1vcQCOsMwDMMwTCSDgSv4x9++xqpV7Zif&#10;OE8+nw4ScoPSZVdjYuvBqIw5fVCQgD6z5nGxh6KlgE57/lRl3LG7A5d++EAq7jCRD4nXJGL7nvbC&#10;7lCEuC1rL6GE2p5On4j0rBT0PNsjrOPJ1l32/hgmktFIQL+NMyf7scWlg9+sTYbgbvNYVBVUYUzb&#10;ibC2ixwutNG3YKkPKclWWBRtBmrKyiwptaGLNtVZgB15PC54lpvht00Zdv65e8lgjqzs+gzzO9Dh&#10;GXr229qdSE0PiOjaVaMbhcW3lXKjSEgv2oQZlc9jcm0/Z6RrRJz63U6tfh3zSzywpOar379BvQ+h&#10;jAWhLCUzrMmZWNjUiA2dC+D12NQ2FQV55yRIdzjgrUuEP3lqoA8nSDCmnyROZ06Ht1kP96ZBlxCy&#10;LR+JsVa8ljoueJPhVt8jVX3T+/AVUbU5jTfqe6PYEK2s2oeg11C/B29NQuCgF4vnIYfs29sXk327&#10;dn231ZIAQ3YV4tS5aTjnLT7cdgy2mp3wJCdim0b552Tf3ppdhMnN/Tj/5efqeumKdB3FMAzDMAzD&#10;RAZk3/7pR2+juDgXepMWNt9k325AwoJVbN8+ovRjvLr20ZWsgtVGe/IaHVZWMajtJiM3TVQBk3W3&#10;TNxhIhsSrs+p93773u1CPDdq0pf8OpSPblNft3N3J05fZRGdiT40EtCv45NPLqCnJBM+gzZVHDvM&#10;sVidlY3Zza9FZQ56TMsh5K59DWnp6bAoWmToBAT05BQLNm8OCGmyzVlGQzwueKvmB0SM+xUySKTJ&#10;nAH3RiuLEkxQkIBOVYzr1zvFgRoSYahvkPUZoUFdeIiMdLVfS81DYuF6zKx8QWSkx9X0SYVg5v6I&#10;r+4T3+es8qdgzGkUDgOKqDoP3aKPTqqazOoYkpWDtpVl8HjT4HHbpG0s4iCBulN9bsoG4zeEaH5X&#10;/zzUpw/9P7Wv9tYmwbPKHBCShbhNYnoI+m4S5On90PX8geuSYO9ZYYKnXgdf8Rz4kynbfOh93vNe&#10;tYKy1FOnwdOqD7w3nmOEHOq7Peq9r6yywWDSakPHBLs6B50XARt2D7efQE7ZGuxSJqBnOIcWf5d4&#10;ce3cosUwbHgP31z9ggV0hmEYhmGYCIccWk+efE0IUGYt3EOpCMGVgjnVuxHTFr5uUOFHvzg8bMgq&#10;g1XsyWsnoFMFcHVzJU5dofzrs1Jxh4lszt28hBePvYS0zBTRl8jaidaQpbvVbmYRnYlKNBHQKdPv&#10;7/+8iVfX1qMrQasc9AnoSjXCVPdElOag92PO0n6UlJcLocki6dyCZahaackSBwvoIw2JHm4XfAWz&#10;AsKG5Bn4TYxx8JXN+/la916fYe4TEtHpZ0OjHa5URdtq9CEUHWzUv4mM9DWYXfHMYEZ6H+I5I/2+&#10;ia8mu/YDmF71qsicp8rwgF17aF1M6ICFSVGQvyANazdkwe9zwh3pWedDDNq2eysTQNbkf0iMpj6e&#10;rNJTpsFbOAfe2kR4lhrRPWRpTgL4cKDf7XLCs94Kz3IjvPVJ8JbMhS9nJvyuKYHXNI2QYD7EkEif&#10;PwueNUrgPfIYpQnUZ2/a5ERWtlW7Q09WA2xOJ+ZWbgvrvMWY1oOIbz2A5oIKUSUubbtBss0yER7n&#10;PFjLfSj0ncKtW1+BLNxl6yiGYRiGYRgm/BkYuIJ//+sKdu3swjyt7NsVHYxpBZjU0qfOa8PXDSrc&#10;IPF8asOLMLtSRaSV7N6EArNiFMUJW3dswYVbl6XCDhPZnLl+Hm9+8Q4qG8rFYQpZOxkpjGa1rQsR&#10;vUNUxZ++xpnoTHSgiYBO0Cm7/m0bsCUxFn6NctC326fCWeHGw1FoUxPT3I/4xQexbEMnbFaDGFBl&#10;nVuwkEBWXs456COOxyXyYP3p0+9fQBfVjfHwNOkDFYey6zPMMKB+wKuyZo0DxSU20UeYFK2FdLVv&#10;o4x0+pmcAUPeEswqfwaTa/YjvkbtB2t6pWIx8zMi51z9rsiufV6pH+a0YnXcMMKqLrbl3/nwCQh1&#10;FlTXONDRkQKfL0qE8yHUvtuzwgy/fQr8lnv65t+DxGWjOl+in86p8KXPgK9gNnzl8+BtSIKnzSCu&#10;LVitoHurXeSou1cpIu5D/L36b+jf+irmwbdA/d2sGfCnqeOIa9BGnq4/VG0uew9aQeMSva5jqrC1&#10;J+t4IZ7LvkMmJJCAvnyFHYqG/bNV7ZtNqfmIb34dsWG8YTem9QjmNezF1nQrtikT5W04SHZYYrE+&#10;zab2xfuweu9Z/Oef6lppgAV0hmEYhmGYSIXcWW/deB91NQuFDbdsPh0cJthsBujzmxHTStXnnH8+&#10;UsS0HUHCwq2w2a3qeku7/HOT2YCUdBdePvmyEFJlwg4TuZBIffb6BWzZsVm0Ba20n/uBKtEdTise&#10;f+VxkclO71H23hkmktBQQL+NQ3sfQ6dlOvyWSdLNpGChKpHi0hWIaT+K2CibKMQ0H8DkpUexxPcG&#10;UlMo31KbAZuqTDOzFc5BH2lIhFlpDmTn3q/QQf8+Zar6+xYWKJiQM2TpTn1Ca6sd6emBanRtbd2J&#10;oYx0ta9zuoT1+MyFj2Fq1WuIrz0EqkqXicfRDFXpx6nfzZSaNzBr4aMwZ1XBalcC9vghHjPoEIVR&#10;bQfJqVa0tQVcS6Ly4JXad/tKB63bZf3zH4HEZvp9EpyJITtpyk13TPkZEsUJ+jMJ9vST/o24hvo7&#10;d1+D/jySleZ3M/QZcmbCs8wcqNKnCnnZ98eEBOqniZpau+ifZc9sKCCHEH1uHWJF9Xn4zsPHtB2D&#10;Ur0d22xTxAFdaTsOkp2W8WjJLcL/T+2THz18QV0nXcHAT/I1FMMwDMMwDBP+iPzzT95FaqpTnZMb&#10;pPPpoKBD8er6fn6FR52PR1+06YMkRl0/JOa3CgcALe3bSawsqViAd74+hdNXudo32qBDE/0XDiE7&#10;P1O0BVkbeRCQjXyO+p72n+7FuZsXpe+dYSIJDQX0Gzj33gn0ZBrgNY6XbiYFC+WgL84vw9SW/RjX&#10;El2ThVii9TAKN/ahqX5RwEZD0qkFC4lizmQLVqzgHPQRxeuCt0UHv11t6/crxJBYkTMT7i12FikY&#10;zSBxxudzYuMGJxaW22FzWISAKutHQou6OBEZ6SoOG0xZtZhb4sX0qpdZSL+LuNqDmKJ+F7PLdsGQ&#10;06R+V/ZANpcGh61IPCeRLifPilWrAu0iKg9c0WfeaodvOM4hv4VwFRliUIweEsiFMH43d/1b2bVG&#10;EnoPZBHvmgpfTcLPY1I0to0Rhp6/zk4nsnO0tG83wWq3IGFRZ1hv2NEB3Amt/agqWYwdlgnythwk&#10;JMqTOF9athx/ajiMvrMfqOukq9L1E8MwDMMwDBP+ULQpBq7hjdeegcGk16RylPZELK5kxDe8zAL6&#10;CELOW/Et+2HMKIXVop2lNrUZOnixausKUeXL+efRx/nbl7G2aw1MGvUhw4XeC4noLSua8M43fLiD&#10;iXw0E9Ap6+XHv/8FT1Vlo1sXI91QChayWdySpmBOw/MY0xa+2YvD5ZGGA0jecgLbt3mQpJ8v7dRC&#10;AYkj1TV2IYrINmoZDfAlw1edgJ77Fc8JUxy8C+Zw9TkzItDBGhJrli1zIL/AeqcaXVtb90HoxDXZ&#10;u9stMGeUIbFoI2ZWvoC42iFr9+jKSRcZ5zUHMFllbtlO6LMbYXM6xHekla2YEOfUe72w3IbNmwPu&#10;BLJ2EhV4XHCvtcKfOu3+Dz5FEiScC2F/MnzFc+BZbQkI53wIb8SgfnnVaidsDu36YrFh50zGlIaX&#10;QBmAsnlqODCu9RDim9/AqpxcbNfIvp2u63bMQVL1k9CvPI5LH38qKtBl6yeGYRiGYRgm/KHDkv/+&#10;51fYsH6pZgVPNB83Z5djYvP+sJ6Phxtk3z6r9nHYUtKhkLuf5N6EAhIpKQN9z8E9OHuDq3yjjbM3&#10;LuDAhYMoLM2H3pAkbSMPEjrcQW10+57tuPTDB9LPwDCRgnYCOp22w3U8s7QWXXqq6Aj9ZrKwWbRP&#10;Q2LtExjTdlQ6sEUyjzT2wbzpbex6eh+SXRYxsMo6tWAxmk0oKGQb9xHFnwxv2dxAXq2k7f8qg8KF&#10;tzpBiPDSazNMiBmqRu/ocKK52YG0dEUIq5pVPv4C06CQrr5mSjZ0eYsxo/w5kZNOYnIkV6WTTfuQ&#10;aE529vMW7oQhuw6KwwWbEM41sIpT+dmyXUFLi0O0gagWzwkS0NdFsYA+JJwTZNe+2Ah3p4PHogcA&#10;PYtVVRTvo62Abs5aiAnNfWEuoB/GjIYX0eWci22KNpFTJKCvS7NjTN3ryOp4E1eufqGukTj/nGEY&#10;hmEYJlIBruGvf/0MC4rzRAW6bD4dHCZ1Pq5HUul6TFDn4tEWa/ogiWk/jtkLO2AX1u3aVQWTQEnW&#10;3Uc+OMY22VEIidL+Z/wwq+3ArIye6vO70ekTUVZZgqMfHuc2ykQ0mgvoL3q2olvkX4Y+U7DHGi82&#10;pQoXbQDZmUfbhGFsUx+mLz2K7mcOo7VpEZIM2ljHmCwmpKYpWL2aBZIRwe2EW/3pK5wjqsllbf9X&#10;IQtfxxR42/Rcgc6MOFT16FXZtMmJqho7XCmWOxXpsr4l5IiKdN1gTnoyjDkNmFe6HdOqXsZkUZUe&#10;OUI6VZsHbNp7Mb3ieSSUdMOcsUjY2pOwpeVJaNPg4Yi8AivWrAmMCxzxoUJ991Y7/KG2cA8H6POS&#10;cK5+dm+jTnwPYgziGJERZ+igY3auIvpf2TMcPHRoyYCk0g1hvWFHcUgxrYdQUL4J29R2rE3+Oa1V&#10;JqGpqAb/o/bX1bvfxT/+9g0wwAI6wzAMwzBMpEIC+tnTh+BKtgshVD6nDgaTcOKbWvMkYqKwoOzB&#10;0Y8JbUeQULQUNot2TrCE3piE1pXNePPLd3Dm2nmpqMNEJqevncM7X7+H1hXNSEpKkLaP0QBVoBuN&#10;OvQ814MLty/jvSvyz8Mw4Y7mAvqZ473ocUyHz6xFVUdgU6q1sBKTWvoQE2UCemzzATxc34fNL5/H&#10;k7u3Yl7iPGmHFixUvWS2mNHYaIff/8vNWibEUBVjhx2+vFn3L6CTgOGaCs9yEwvozAODxFRizVoH&#10;ikttcLgU4WShVSXkL6HT2JSTrofVrsCSsQjzF3RgWvUrAXv3sLV234+4mj71MxzG9OrXMWvho0jK&#10;XwklNVf9rMZB4ZycSLQ7nWo0m8X9rKmxiYxlus904EfWDqIOEi5V/MVzoqcCnYRzgoTzqgS4N9oC&#10;ojkL5w8MOtBCkRoO4Uwkf46DR+1v7FZMq3kSsWEcoUTC/9jWw2guWIgd1kniYK60nQcBXXObEoe0&#10;ym78T+1BdL52Vl0fcf45wzAMwzBMpBLYD7+Gxx91w6IEbLjlc+ogoL2O9HzEN7yEmLbD0rkuE3pi&#10;1LXDlMaXYckqC0Tlye5NiNDrE7Fj73acv3VJZKDLRB0mMqF7/vp7byCvKBtGTRwsQgcd9CirLMbh&#10;D44J23nZ52GYcEczAZ0gAf2H7z5BT7YJXpN2uYJrM5MxqfkNUUUiG+Aimf9Tsx8Vj59F7xsvICXF&#10;BqMmJxsDNu4lpTZ0dbm40lBrvOp3vMEKf9aM+69iJNEmdRrc660sYDAPHBJyqBpy+QoHFhTbYLEG&#10;KtJHTkgnTFAUHWzqT1NmBeaV7cRUqt6uuTsnfbQK6vS+KNc88H6n1PRhbvmTSChcD2NmNWzO5MF8&#10;c5pQa2vpNGTJn5tvxcqVjjv3Vnbfoxo6ALXSDL9zSuRWoZNV+5Bwro5T3gZdYMzhivNRgc/nQnmF&#10;TcPqcxVF7XOyShHX9Cpiw3juPa71IGY1v4oNqRbssFDc1D1tPQRQVXu3az6m1e1RX/Mo9h27xAI6&#10;wzAMwzBMBBMQ0G9h8eIGJOm1cQpVLInQF7ZhUms/Yls4/3ykoGp/OkRscyVDq7g8gg5duFLseOHY&#10;S7jw3WWpoMNELpe+/wDPHHhOiOdU5S1rI6MFkdVvMeK5g3uE8C/7PAwT7mgsoF/Fj3/9HD0VRfCa&#10;tNmYorxCyi3U1T+LcVEooD/c0Adl3XH0H38b9bWlmk3OSDihXOP169nGXXNIQF9tGV6OrjkevvTp&#10;6KbcWRa3mFHAUD56Z6cLS5c6kF9gg9VO0RBqvzLCQrqwd3e6YMwsR9KCTZhZsQdTql/H5BoSqQNZ&#10;6WSNLheztSeQZ66+h8FM8ynqf9P7m13+LHQkmmeUQ3Glw0bVn4ra12u4YBtCOJCo/T9Vs9bU2bF1&#10;a+B+yu41o0L9LvXhrQYRpyFEZorWkPXX4cTd+ebqf/tyZ8LbrId7ky2Qcc6OJ6MCOuC4ebML2TlW&#10;cfBR9kyHApslAfOL12JCmFe7jGk9goxqH7yO2ep6QqODvpbxWJ5biEkNr2LuimN49+JH6vroinTd&#10;xDAMwzAMw4Q/GLiOLz47hcKiXOiMWlQpm2BX9Ji9sBOx7cel81xGG2Laj2FaxTbYrBpXnxuSUFpZ&#10;jP4Lh7iqN8ogt4EzV89jy/YtSNKNXvv2uzGYdFjTtQrvfnsap6+ek34uhglnNBbQr+Af//oLnt+6&#10;Dh7jeJDlumxzKRhEXqFtKgorNmJca/TZ1oxr7sP4hgPoPf0JfF0rROdqkXRmoYAEr7Z2OwvoWkPi&#10;yxoL/GnDFNAzpt+xEpZen2EeACTsUN9Btt9LljqQl2+FzWERluAjWpFOVmdWHax2CyzOFJgzFkJf&#10;tB6zFj2hLoRewLTq10ReelztocEqdRLVtalQp8pyEsspyzxefT2qMJ9WtQ/TK/Zibuk2GPOXwZRe&#10;rL7PZPF+6QAAVdNrXW1O0D0ZqmAtKrZh9RoHPGqfwg4kfwDqez1qP77UJIRm0TdTHAeJ0Pf22aMd&#10;dQzqGXrvqdPgK5sbiAihQ1pUbc7C+aiCDrcsWeIQfatm/arVBLvaH82o3C42kGRz03DhkbYTKF/Q&#10;FLBv1+igy05zDIpLV+B/Gw/Bvvk4rl7/Ul0fcf45wzAMwzBMpALcxv7Xn4Hdoahrag0OvVsNsCWn&#10;YUbNE4gJ4zilcIPinya29iOpeIXm9u2JSfOxfOMyIUaeYkEyqjh97Tze+vIdtK1qgcFI+3/yNjKa&#10;MJkNyC/OxZufv40z1zmvn4k8NBXQybZmALdw7sircBsnaFKFRdmCO5Q41BdWikqS8VGWg078f9X7&#10;0bX/Ig7tfwYOp0YTNBUSU0pL7UIAY+teDQlWQM+cEbgO3yNmFEIC7JAI297uQEGhFYqdhPSRzEhX&#10;GcwMF9iM6ntQ30dqHkw5TZhftBmzSnswa9FTmFH1EqaShXrdkYCoXntwUFg/gLjqPkyoOqRyEJOq&#10;7hbahyrJA8TRv1V/R/yuuMYRTFb/PKPqFcyqeA6zy3ZidrEXuvxVsGQugjU5Q32PlOM+lGtOaJCb&#10;9itQxTkdbMjMUtDaakdX1892/PfeT+ZXGBTR3Z0OeFv08OXNCvTR4SCk07hD75NIngpf4Rx4G5IC&#10;+ebuQZt2tmofdQSeTxcWldtgMGl4yMaSBEvGAkxpfCmso5PGtRzE1NY+LM/Kwk7zOPmzECR0yLfH&#10;Ph1KVQ/+n4ajqNj5pjhcPPDTL9dMDMMwDMMwTGQAfI+dOzqQmJQALeyXrZZEmDIXYkrz6+p8nO3b&#10;R4pY9bue1PQaLNmLYKVIK8m9CQXUZsi62/uUF5d++FAq5jCRy5nrF3DsoxNYWFMKo3l0558PQTqU&#10;M9mO3rMHcFZ9/7LPxTDhjKYCOkG5L99+/DY6HPPht0ySbjAFy07LeKzMSEG8OqDFRKGA/qf6Piz0&#10;vY1PP7mIstJc6DU6oUTiVnKKBRs3chWipgQjoNO/L5wdEG9Y7GJGMUPW7iTOti8mId2m9jMPIiOd&#10;oEWtMSBUk827kgibXV2YpmTBkrEI+uxGzMtfhflFGzG/2I15pdswe+ETSKh+GqmNW5HS1A1T47OY&#10;VncAk2oPY3JNH2ZVPo/ZJI5X7MWc8icxr2wH5pV4hDg/L38tEnPbYM6shJJaAJvDAStVxg/lmQux&#10;nN6T9pXmd0Pfu8FM/byCqmqb6OvpHrFwHgT03fmS4e5wCFt3X/Fc+F2D1u7UX5OY/iAF9aHXp/dC&#10;78k8KJoXzYGnLgmelabA5yCbdhLPuS2MWuiQCz2z6RkKzIp2fYdN7R8TC5dgfPtR6Zw0XHik7Shs&#10;dbvRlaLHNo3yz7ebx2NzhhPzGvbioaZD6HjhVEBAl6yXGIZhGIZhmPAHA1fxw3efoq2tDglJ86Xz&#10;6WCxK0lIKGhHbJi7QYUbsa2HMalhH5SUDE0LHEg0TctMwbMHn8P525x/Hm2cvXERBy8dRnZBpmYF&#10;kqHGopiEa6b/Wb+oQCcbetlnY5hwZQQE9Bu48s0l+Mty4TORjbt8kykYtlsmoMuVBFvd4xgThTbu&#10;Y5r6kLT8CD788nNs3bREZE9occqRxBWirc3BgoqWBCmg+0rmsIDOhA3Ul/j9TnR2uIS1e+ECG+xO&#10;i6iCJkZeTB9C7UNJzFYXp1YlQYhGNvXvbA47rM5kKMmZsKdlIzvbomJDSnYOjBkLkZRRAX36QlhS&#10;82FJyVXJU/9tlvo7KeJ3beq1bYoONst8iWAuex/aQ9+zSYVsn8sWBezavdQP8UGp0EHiM4nQner4&#10;udoCb70O/pyZ6LFP+VnAHkILUf1uofxu6P/ZVDKnw7dwHjxtBrjV8ae7w4Fuv/p+fSyahwv0vFLM&#10;jnkwekETrAbYnA7MqegJe/v2h9pPIqdsNXYpE4Sb1S+emRDwqHksqvOr8EjrUUxq7ccLRy+p6yK2&#10;b2cYhmEYholUyL79wtnDyMpK1aZ61GqE3WHDvEXdiGkL7wOtYUfrIUyveQKKXVHvg3b7Nzp9osg/&#10;P/bxCZy5xnbY0ca5mxdF9j0dojBbRs6JMhjATMfbAAA7fElEQVRIgyI2+TeygM5EJCMgoF/F3/7+&#10;DV7vWA534hjpBlOw9CiTsM0+DXmL1uOhtuPygS6CiVV5qK4X/ec/xrsnXlE7LSPMijadLIlZpWV2&#10;sVHLIrpGBCugF3EFOhN+UJ8ylJG+cqUDxaU2OJMDQvpQFveDh0R1tW8VluokruvEhJawWAYr11Xo&#10;5528ckKI5IM27A9YLL+boe/W7rCgoMiGZcsc4l6wXbuGDAnp6k/3VnUsXWuFr0kHX/Ec+NOnw++a&#10;Cr8Q1dW+f8hGXVSGqwyJ3kNiuIyhfzP0O0PXoL8jodypXjtZHVuyZ8BXOhde9bXdaxS4t9jQ3aXe&#10;f3X8EaI5W7SHFfS8kptHUbFNHIaRPe+hgA79mNILhF0kWRjK5qThANm3x7ceQHP+Iuwyj5XPp4KE&#10;7Nu3q89y1qIN+J/m45i57CDe/+IzFtAZhmEYhmEiGLJvP9j/PPSGJCEoyebUwUDW4ZaUTExveD6s&#10;45TCj36MV9c/SQu3wir2c7Tb09HrE9G+ug0XuPo8Kjl38xL2n+lT2xnth4aPgE6xA62rmsWhDxbQ&#10;mUhDcwGdAP6KC31PY2tCLPyaVHnEY5clFlUFNRjTHn0COvGn+l50vXIBV/5yEfn56ZrZfJDYQvag&#10;WztYYNGMYAR0czx8GdMD1+H7w4QhJKQPHdBZs8aJ8gobUtIV0feYLKNDeA536CAUZc6TcF5YZMXS&#10;pQ4hvvHBqBGEvuehLPFBa3T3Vgc8qyyBzPTK+fAtmCOy031ZMwLjQcpUYa/utw/29ySID0H/TX9P&#10;/4ZIn67+3szA7xfNhq9ivhDLPcuMcG+0o1u934H3Mfgeht7Hve+TCQvo2V23zhFw79DMtcMEm80A&#10;XUEbYtuOSOei4QJVhCfUP4POVCO2WSb+9zwqRJA7VmeKHkrdk/jfxkOwbjiKv//jaxbQGYZhGIZh&#10;IhQMXMG///0X+HybMD9pnmQ+HTzkZqfLKlPn4+S+Gn0Rpg8OEtD7YShohVXDogiywqZrd+zqwPlb&#10;l6RCDhPZDAno1B7CTUBvWtbAAjoTkYyQgP4dLrzZhy2O+egxa7NRtdMcg9VZmZjd/BrGtUTfKbxH&#10;GvpQ4n4LN298hs6tK5FkSJR2asFCFYtk89vWHqhSlG3kMkEyJKCnByGgkzjDQhgTxpCQO1SVvm69&#10;E7V1dmRmW+9UTT84a/fwRQjnVM1vt6BogRVLlgSEcx9XnD94hvpsErKpCpwgC3X1/rg32cSYQHnk&#10;nuUmeNsMQmT3tt4F/Xe7IfBvVNxrFbg3DwrldJ2ha94l2PMYETlQX1ldbQ/0i1r1jeSi4bBjVs0T&#10;iA3zapexbceQXOnBdnGoV4uDveq6xDIei7PzMFFdkzzSeAAtO9/Bf/5FG6ssoDMMwzAMw0QiIsL0&#10;2wuorCiG3qSTz6mDwgSb1QRd0RKRxy2b5zJa0S/cX40ZC4QLgPz+BA8VwyWnOfDsgWdx9sYFqZDD&#10;RDbhLKA3L29kAZ2JSEZIQL+Or764iN3lOfDqx0k3moJlmzIR7mR1glK7G49EYQ7M2KY+zFhyENe+&#10;v4J3Tr4CvTEJFkmnFgpIvFq40AafT76RywSJxwX3ZvX7zZkZsN6VtPdfhQT3tGkB4YSEEtn1GSbM&#10;IBGd+ptNm5xoabEjN88Gq93CQvofgL6fO1btTgtKy2xYusyBzk6X+E5ZOB/l3CuqE2QB/2vcLZQL&#10;sfye6zERBz3DHR1OZGYHnDpk/UAosFoNMGcWYWJzb1jbt8eo7z2u9QAai+qwwzJePpcKEmHfbo1H&#10;eUkrHmo9ijGNfdi1/zzw07cY+Em+VmIYhmEYhmHCG+AWPvroLTgcVpi1cM+jyme7DXOrdoT9gdZw&#10;g9Y/k5tegTk5XV0XaSegG0w6ZBdk4c3P38bpa+ekQg4T2dwR0MVeHgvoDDMaGBEBXfDT9+jvWoqO&#10;+Y9IN5uCpccaj53WSUhftBkPt5+QDniRTEzzAYxrOoA33v0E33zxHhYUZUOvdl6yji1YaIM2I0vB&#10;xo2BqifZhi4TBCSgdzjgy589PAE9ZZrItGUBnYk0SEgnSCyi6un0zCFrdxbS74VEc6NZ/bP6vaSk&#10;KaiotGP16sGKcx/33QwTKdDzvHixQ7gDadcPmoSAritZLawLY8PYLnJc6yFMa3oFG9Md4vCtdC4V&#10;JNuUSfA4ZsNVuxOPtBxCjDo/P3nxI2HfPiBbIzEMwzAMwzBhzcBP36pzvWt44/VnoDfqhKAkn1cP&#10;H3GgNTkDk5peC+sDreEIHViYXfs4FKcz4MwluT+hwGjWo7q5EqeunlVhAT0aOXfzInrPHYAz2R5W&#10;ArrZYsCyjUtx5joL6EzkMWICOvADDj3Vgy2GePiV+xQF/yC7zONQW9SASW2HEBNlWTCxzQcwpqEP&#10;K548hYH/XIG7ex3mJWqTuTO0QUuVoH6/fEOXCRJvMrwL5sJvHIaA7pwC72JjoApRdm2GCXOGrN2p&#10;In1RuU0IxCYhGJuiXkinwwQGsxkOl4LcPAX19XZs2RL4zgiuOGeYyIKe65Iym6bV51TtYnU6MK32&#10;6cG8RflcNBwY13oYjpqd8Numikpx6VwqSHYoE7A+1YqJzX14pLkfuuWH8dXVz9W10BXpGolhGIZh&#10;GIYJb2ie969/fIVNG5bDYNJr4ggqBPScCkwIc0eocCRGXQMllG2CzW4JOAFI7k+wBERII9a51wYE&#10;dBYho5KzNy7i4KXDyC7IVNf42h3WCCXUdonN2zaxgM5EJCMooN/EuZO98KcnwWuaIN1wCpbtlgnY&#10;kJmK2Y0vYWyYb/DdL5TF8nB9H5I3HcM///0d+vueFad/tDqtZDCZhBVwd7eLBRkt8CfDWzEffvN9&#10;bu4qKrbJ8DYmodvHAjoT2QyJwpSRXlNrQ06uVZ20WUTldTQJ6YFqc3Wxpf7MyLKiopJs2p2i2pwO&#10;GlAfzf00w0Qe9HyvXu1ESqqiPv8a2EQOoehhySlHXDNVu4SvXSRVztNmY11xA7YrccK9SjqXCpLt&#10;yiQ0F1aKav2HGg6gzH0St7/7Sl0Lcf45wzAMwzBMJELV53/78TOUlRXCYNbCDXTIEWotJog87ugq&#10;GnvQxLQdRVJhG2xk367RXpNwLVCv/ei+R9kGO4ohAf3Q+0eRX5IbNgI6aU82h4LdL+0WAvp73HaZ&#10;CGPEBPSBgSv4+49f47maLHTrtMlBFxth9ulIrH0cj7Qdkw56kcwjjX2YufQgzn70Oa5+cwal6sQt&#10;yZAo7dyChYSatHQr1q0LbODKNnaZIPAlw9uQFGjbJIrf09Z/E1McvGVzhQgvvTbDRBjUB5GN8ebN&#10;LixebEdJqQ0Ol0X0U0NEiqBOn4O4+7OlpikoW2hDW7sdGzYEvgvON2eYyIaeb6/Xhdo6O0wU1yDp&#10;L0KF3arHnIUdGN92RJ1vhu9mHYnnsS0HsSojGTss2hzmpar2Hmsc0qq8iGk9jP9b24vOfWfw07//&#10;AgzI10gMwzAMwzBMeEMC+scfvoXkFIc2opfVBKv6c3r1Y4gVc3L5fJfRhpi2Y0jMroLNos0eO0HV&#10;5w6XTeRfn7txUSriMJEPCdDHPzmJioZFIldc1lZGGyazASnpLvRfOKi+/wvSz8Uw4czICegiD+YW&#10;nl/VhC7dePgVLao+4rFdmYD88o2IbT0cdSfyxjWrP5sOYPf+c+p3/R02bVyORF2CZsIR2YWSYENC&#10;jWxzlwkCrwvexQb4HVMCtuzS9v4rmOLhy5kJ91YHOAediSaoGp36o85OJ9avd6CxyYGCQhucyZY7&#10;fVY45qXT+737vVPWcVqGBaWlNpF9vHEjZZu7xGfnA00MEx1Qf7d5sxPZuVbhuiHrO0KCVQ9rSgam&#10;1j4nKi9k889wYay6NrDX7obbOVfT/PMuVxJmN7wgXu//1uzHa6feV+flV6XrI4ZhGIZhGCa8Gco/&#10;f2HPLjF/1sQJlCKVktMQV/982EcqhRsxrQcxtellmNMKYFV08vsTAujgRV5RNo5+eBxnb7AIGa2c&#10;vnoO735zGqu2roTekCRtK6MNEtDLKkvw5hfvCPcE2edimHBmhAX06+h9zA+PQqKgNrmD25WJaC9Y&#10;hEktfYhpib5MmP9Tsx/lO9/Cf/5zC0cOvgCHizZWtbH8IDGnpNQubIK50jHEeFxwb7DBnzrt/gX0&#10;wRx0zzIT27gzUUmgMvPnfmn9eifq6h0oKLIiLUMRAjQJToZB2/PRJqgPCeYUlUHvk3K2yKI5L19B&#10;VZUdS5Y60dER+Gwkot39WRmGiQ7ouV+y1AGLzaJpH2azJCApvwUT2w6F/cHUh9qPo7y4FTutcZrl&#10;n2+3jMeS/IWY0rwfDzUfRMKSQzj/8SfqGojzzxmGYRiGYSKRwH73Daxbu0Rdw+vUubkG0UoUqZRd&#10;jvimV8M6UikcIVep2bVPwpaSIe6D9P6EAKo2blxSjze/eJtFyCiGrPvP3bwE/zN+JOkSpG1ltEFC&#10;/0b/RvHe6QCA7HMxTDgzYgI6QQL61x++je2pc+E1aVP5QbmDW1IMmN74shjkZINfJPNQQy+UtUfw&#10;6Zdf4B9/o/ydAugM2pyQI+HJmayI/GEScWQbvMwwEWKYC77cmfCb79+toYds3GspB51t3JnohoRl&#10;6p+GhOaNG51oa3OgqtqGwiIrUtMVtT+zDIrVJpgGbdFHSlSn16HXI8GcXl8I5g4L0jMVFC6worLK&#10;hpYWB9auCXwe+gz0WehzsWjOMNEJPfvktFG0wCb6DlnfEhKsRtgdVswp9wjbQtm8M1yIaenHhLbD&#10;WJyVg12WGOncKRTsVMYjd+F6Ua3/v/V9KOw+iRs3KP+cBXSGYRiGYZhIhCJL//bjF6ioKEGSXhuL&#10;b6slAfOL14j5LOefjyw0r59T4YfN4VDXR9plUpMIublnE4uQDC5+/wGeO7hHRDdo4mgRQuj92Z0K&#10;XjrxMs7fuiT9PAwT7oywgH4V//rHl9i5MBMeo3bZgz7bNKRW92BcFJ7KG9d0AJNUXn2b7CJvoKtj&#10;DYxmvSYnIC0qJPw0NTnuCDqyjV5mmHhc8FbMC2SgDyMH3Z8/C+4tdnEd6fWZAG71+6Hv6Pfg9h0R&#10;UF9FVuc9fhKgXFizJlDF2dhow6JyG3LzbSJT3GoPiNrUx2kFXZ8OIWVmWVG4wCZE/eYWO5Ytd4iD&#10;SWTL7lffJ71f7mMZhhmC+oN16x1wuLStPrcqSTClF2Jy82siO1w27wwXHmk7CqXuMXSl6EXck3Tu&#10;FCTbLJPgSZ4PXe3j6usdw/9btR9rXjyFgf9cwcBP8rURwzAMwzAME97Q3uvp9w4gIysVBi0yi60m&#10;2GwmTK/oQUz7celcl9EO+s7nlG6AXVSfa+AuoEJ79gaDDk+8/iQu3L4sFXCY6IGE6DdO7Uf+gpxR&#10;n4Ou0yWieVkT3iL79uvsnMBEJiMroA9cwT//+Q32rl8WENA1yEHvscZjm0pVSYvIHozGk3n/U70f&#10;6188LSZxp97tVTs07U4skQhUUGBFN9u4hx6PC952o9qup9y/gD74790rzFyF/mt4B4XxLgfcm2zw&#10;LjHBW5cIX9ncO3hrEsXfuzfbfv4dbucRA/VZVNEdEKldQrCmTOH1GxxYu9aBpcsCOeqVlQ6ULbQj&#10;v9Am8oazcqxITrXA4SIB/LfJzLYiJ8+K3HyriLxYuMiO+noH2tsdWL3agXXrKMPcia1b6f0EcsyH&#10;ssy5T2UY5l6oXyABvaLSLuZgsrlZSKCNOqsBSUXLwj77nHi4/STyylZhl5UcsEK//iB2msdheU4+&#10;pre8jjEtBzG2rg9PH7kgDhDL1kUMwzAMwzBM+AN8h717dsCiaLT3quhhS8nE9Lqn1Xn5Eelcl9GO&#10;2PbjmFu0QkRbSe9PCDBbjHAm2/DSiX24cPt9qYDDRA+nr53DO1+9h5blTaPaxp36O6v68/FXHsfF&#10;7/jgBxO5jKiAPpQL88HRF+ExTYRPAwGd2GmZgOWZGYhtPRiVAvqf6nuR23ECN29/i7/98CFKS/Kh&#10;VQ46bd46ky1YvTqwoSvb7GWGCYm7G23wu6YO77CJOV6IwOJaLMT9zKBwLkTzdgP8hbPRQ9+xbUrg&#10;e6MM+SHov+nvU6bCt2ge3GuUwHdJVeuyazNhzZAwReK1T+VuEburK2CZTNnjBAneW/4AQ/+efpeu&#10;QQy9zpBQTn8mWDBnGOb3oH5iyxYn0tIVETkhm5uFBLIndLows/apsM9ZHNdyEFNb9mNx7gIhcv/X&#10;XCmE7FZiUViyVIj1jzT2Yf6yQ3jrwkfq2oft2xmGYRiGYSKSn0hAv63O0dcjIWm+Ju6fViUR5qyF&#10;mNL8GmI4/3xEIV1hcvN+mHKqYbVoY89PUJVxYUkees/0ifxrmYDDRBeXfvgQXY92wWBI0qRfCQU6&#10;fSIq6hfh2McncPbGBennYJhIYEQFdAK4hWufvwd3SgJ85knSDahg2W4Zj45kHUz1z2BsNNq4N/ch&#10;vqkf7374ifp9X8MTj3mQqJsv7eyChaxDLVYLqmvsoopTttnLDBMS0Dsd8BfN+lnMvR+UePQ4psCz&#10;2hK4luw1ogn6DnzJcG+0wVufBH/mjMD3Shnz9FNmlT/0d4P/jr5Pb0MS3HQ9FjujAhKrZAyJ3r+H&#10;7HcJ2WsxDMP8HjTXamx03JmD3TsvCxVWqx6m7Aoxr6SNo3vnmuEE2bfr6p5Q1x5J2GahCvS7xvkQ&#10;sU2ZCI9rPpw12/Aw5Z/X9iK14zhu3f4KGPhWuiZiGIZhGIZhwhtyGvru1kdoaq5GgkaVonYlEQmF&#10;SzC+/RhiJXNdRjvowMLUxn1QMktgVXTS+xMKKP+8prkKxz46gbPXWYhkAjbuLx3fh8zcdBhN2rW9&#10;YEhImIfWVS04d/OiyO6XfQ6GiQQegIB+Hbevf4jH60vhNcRKN6GCpUeZhG32aShYtA4Ptx2TDoKR&#10;zv+p7YX/jXPiJOTF84dhdyjaWAmpUI5vTp4iqixZGAoxHhe8TbqAyCtp67+LJR6+otnCYj8qBV/6&#10;zFQt7k0WNuwknPuypge+z+F8p/Q7Sjy8LQZxTelrMgzDMIwG0ByL5loUCWE0y+dkIcFqgtVqxJwK&#10;P2Lbwv8g6lh1LZBZvgU7NLVvj8Hq9GTMbHkDY1sO4s/qPLzl8XfUefgVDEjWQwzDMAzDMEz4A9zE&#10;pfNHkJeXAb0WIpc6J7fbzZhbtgUx7dG5v/0gIct8ss63pWYGHLpk9ygEJCbOw5ruNTh7g4VIJgC1&#10;gzNXz6GutUbkjMvazYPEYjNBr0/Ceu86XP7rh9LPwDCRwogL6D/99K3KbZx5aTs65z8i3YQKBbss&#10;MWjKK8P4tqOIiUIb94cb+rDQfRL/+tdVfHfzfTQ2VCLJoE2Ha7aaYXdasGSJQ1gSyzZ9mWHidcG9&#10;VgnYuA+rCl3FNhmeNhJ8o6gKnYRzqjhXuSOcU8U5WeGb4+Tf1R/FpP5+zgxhAc+V/QzDMMxI4Vfn&#10;WO2LHbDaLZpWn4vNofQ8xDW+HP727er7j2/pRXvBIuywjJeP60HSo84tdiiTUF1UhzFtxzCu6QAm&#10;Nvfjib7zQkCXrocYhmEYhmGYsAf4HkcOvwiLYoRZ0cBmWdHDmpyCOdW7EdN6WDrfZbQjpu0opqvf&#10;vc3pEIcZpPcoSMieW6dLgPcpLy7/+LFUvGGikwu3L8P3tE/kjFNOvqz9PCjo/didCrbt2Ybz6vuU&#10;vX8mfKEDHJTFT44Y/8WNCzhz/TxOXz0n/b1IZeQFdBXgB3z49uvoME+D3xKkmPUr0CbZpjQ7khr3&#10;YkwUTjLGNvVh5pKD+PQvn6vf9y08/XQPEtUB2SLp9EKBwWTConIrvNEk0o4EJAB3OuArmRsQbiVt&#10;/Xehqun06XCvs0ZH1TS1QTp4QFbtDTr4M6YPCucq91q0Dwf1GrRZ7lliFJbw0vfAMAzDMCFEOPx0&#10;uVBcYoPBrG0GmlVJQlLJakxoPYjYMD+EOlZdA8xp2Iuu5ERsU7SJjqLrehyzkFbdo77eEYxp7MOM&#10;pQdx5sOP1Tk427czDMMwDMNEJJR/PvAd9uzZiTnz50jn1cFCtuGmtHxMaXo17GOVwpGY9uOYVrEN&#10;NkWv3g9t1mDkFksHpHe9tAsXv/9AKt4w0QkJmMc/PomisnyRky9rPw8KspXPysvAq2+/JpwTZO+f&#10;CS9INCc7/os/fCAiBN75+hSOfnT8v/nwOE5+9pb4txe/fx8Xv3tfiOqR7pzxgAT0G/j2izN4bGEa&#10;vPoY6WZUsPQocdhmnw5npRt/bj8hHQgjmZjmgIi+a3/Axv3cmX5kZKbAYNamwzVZTEjPULBhvRNe&#10;7y83fpkg8CXD06IPiMDDFYDNcfAVzkZ3hyNyK9GHhPP1VniEcD6YcT6Uby77XoaLMS5Q1e9nAZ1h&#10;GIbRHppbrVjpEI4/2lafG0WFxbSaJxATATFIsa2HkVvRgW3WOLE2kI7pQbLDMgEbUs2Y0rwfMa0H&#10;hQuUfcMR/O1vX7OAzjAMwzAME6EA1/DX7z/ByhUtSNRr4/hpU3TQ5VQjtu2odK7LaEzbEcxZuAU2&#10;i3YW2iSMUs71i8deEqKVTLxhohNh4379AjxPemA2G4VbgawNPQj0hkQsrCkLVCpfia5q5Ejj1NVz&#10;uEBCuNrW3jjdi6feeArux91YvnEZKuvLUVG/SPwkymsXonFpA9Z1r8W2Pdux5/BeHL58BOdvXhJO&#10;BJEqpD8QAX3gJ7IzvIGDXUvQMX+MdDMqFOwyx6CsuE1MNMK9gmY4jGnoQ4X/TWDgCv7249dYvKQR&#10;CUnzpR1fKKAs9LY2OwvooYaq0LfY4c+eOfwqdMISB9+ieXeu+YvXCUeGrNq9yfCss8JXmSCq7e8I&#10;57LvIRSwgM4wDMOMEKL6XP1ZXmHTNvtcxWpJhCGvAZPUeWRsS3hXuVCVTmxrP9rzirFdo+rzHhW6&#10;dnNBhRDPKTZqrDr/Xv7Ee4C65sFP8rUQwzAMwzAME95Q/vlXX5xG8YJcGLSoDqWDrTYTkopXqnPa&#10;I9L5LqMdtJaY1NIHY1G7cAKQ3qMQoDckoaisAH1nD3AlL/MLSNSkqt/C0tFThW5RTMLCfU3Xapyj&#10;NntF/t6Z0c2pq1RxTpXm7+HJ15/E0vVLUFCcB4t6b5OS5ou+iZwGqN0Ffgb+bDDqkKRLQKL6b5wp&#10;NiysLsHqztXYe/h5nFKve/bmxYizeH8gAjpBNu5vPr8DHcY4+DXa1NpuGY+1WRmY1bRPWDjKBsRI&#10;5pGGPuhWH8FX334hvu89z+0QHRzZw8g6wGAhAb2o2IaODic8nl9uADNBQFXojbrgqtDF78XDW5Pw&#10;s/Ase63Rzl355vTfnlUW+Mrmwp86DT1k007IPn8oYQGdYRiGGSFoTrV+vQOuZEX76nOHgjnlHsS0&#10;h3/1eUzrIcxvfBFbXUnYrkyUj+dBQlXtPbbJSK/yYpy61iAHqHFNfXj55GVRfT7AAjrDMAzDMExE&#10;Qm6fly4eU+fQZMOtQWWoOje3OmyYV+lHrDqvlc13Ge2g7zyu6XWYc2pEFr30HoWAxKQE1C+uE5XG&#10;kW6DzNw/1CbIItv/bA+MRt2oqEI3WQxwptjx0vGXRB627H0zo5sh2/U9B/egtrUGDpdNCOIkjt9P&#10;GyOdUadPFKRmJKvXqsaTbzyFd/9yWhyuiJQ+7QEK6DfwuTrR2J1nhNcQK92UChba1PI5ZsFQ+yjG&#10;RIAN5f1CG3gTm/vxzMGL4vv+6vPTyMvLhF59GGSNPlhoU9fmsGDNWgdXoYcatxPurQ74s2YEJxBb&#10;Aj+9lQno7lSv6wsjEZ2Ec8oc91BFvk1kkPsKZ8HvmBKoNh8J4ZygQwzOKfCsNHMGOsMwDKM5JKDX&#10;1tlhVgJzLdkcLBRQ9rkpsxhTml4TFReyuWU48UjrURSUb0CPbZq6JtAu/3xrqhEzGl8SAjrNvSe3&#10;9+Ozbz9X597kuCVfBzEMwzAMwzDhy8BP36pzvevo3f8ckvSJmohaVqsBZlcKJjfui4i5ebghBPTG&#10;l2HJKIZi1U5Ap0rOJesW49JfOf+ckUNi5/FP3kRVQ4VoL7J2NJJQFXJVYwXe/uo9kdMue8/M6IVy&#10;zk98+iZWbV0JV6pdVJqbgo18tgbahUG9lt2hoGlZI15/bz8u3L6stpHwP2TxwAT0gYErwMBVvNC6&#10;AF1J46SbUsETL3IJy0pXYHzboaizcY9V+XNtL+p2v61O7q6qk7trIpuHBHQtNmAtKrS5W13juGM3&#10;yoQQrwveZn2gbQeT6U0iuiUevuK5cG+yC/tzIU7LXnM0MCScu13wrFfgpXzz7BmDnyU+wL2fUUvI&#10;Rj9vFtxb1e8uXKv4GYZhmLCA5lObNzuRlqGIOZZs/hUayCLSiMSS1ZGRfa4S03YULTkLsEuZoI7f&#10;2swVdljGo6moFpNaqeI9kH9e2n0S33/P+ecMwzAMwzCRCkVl/udfX8Pn2ahZkZIQ0DMKMaGllwX0&#10;B0Bs62HEN7wIJTUDinovZPcoWOjgBdklb+rZKIQmmXDDMMSF2+/jhWMvIjXDJaqEZe1pJBBtVjHh&#10;0X2PCnt5dk0ILyinvPfMAVQ3VcJo1sNkDn3fRg4F1EYzc9Ow+6VdAVt3ta3I3k+48MAEdAK4hdc9&#10;69BNghRVdUo2poKFLBtX5uQhvvkNjItCy5uH6nthXnsUH33+mfp938Dhg+rgbzOpjVkbyw/a3E3P&#10;VLBlK9u4hxz1+xRV6HkzQ1NtrT53vqwZ8Cw1BoRgYrQI6fQ+6P2QcN7pgFd9j76F8+BPm4aeoWrz&#10;YA4RDBfqp9TX99YlcfU5wzAMozk+nxN1dXZx8JEOKsrmXqHAatXDkpKBqQ3Ph332OTGm9TD0jXuw&#10;JdUiRG7pmB408diprjNSKrowdvDQwZ/qetG57wx++jdtrMrXPwzDMAzDMEx4QwVKP/7wGZqbqmA0&#10;ayFmmdT5uRHG/HpMUOeY0VYQNhqIbTuC+Pq9sDrsUDSyzSb7Y4rQ8j/jw7lbl6TCDcMMQYcsuh/t&#10;EgIltR1Zm9Iasuour1skKpipMl72PpnRyXm1j+k9ewDF5UXQ6bRxTrkbyky3KEas7V6Dt754R20v&#10;F6XvKxx4wAL6dXx14RB2ps2Fx6RNNiFZK3Y55yGhYY+wVpQNipHMuOYDiGnowzOHL6jf903cvPE+&#10;SkoKYAjWmuFXoA1eq92Ctna2cdcErwuelaaAbXkoBGRznLiWr1R9BtcpdwnpKrLX14ohwfwuEd+9&#10;VhF57b7cmcIyXVR+j5RN+69Bhw5yZqJ7qyPwXu/9HAzDMAwTIugg4tatTuTkKOoiWT7vCg20QaeH&#10;vrAVsW00Vw7/DbqH2k8gZ+F6bLdNEZFO0jE9SLZZJqArRY/EuqeFXXysOuceU9+Hg+c+UOfcVzEg&#10;WfswDMMwDMMw4Q/tZ9+6+QGyc9Jh1KCCb0hATyzbiPGi+pwF9JGG1kXTap5U7wUJldoITVT9SbnB&#10;zx3cg7M3w1dcYkaG01fP4e0v30X76lZR4WtWRlZEp4plV4oDz/Q+jXM3L+G9K/L3yYw+6H4d+eAY&#10;yqpKxCEILYsz7ob6OLKIX75pKd768h2cv3UZp66Gn2vBAxbQr+Lff/8Cj5Y44TGSvaJ8gyoYaNNs&#10;mzUeJYvWIKY1+mzcif9Tsx/Nj7+L//zritjM83s2Qqc2XlnDDgW0ybug2MoV6FowKDR7qxMD4nco&#10;RPShiu7kqfBVzId7vTXwWlRh7f1Z0A45dF26Pr0OidEddnjWWeFtSApU2avvR1R8k3CutU07fY+/&#10;V9VO7yNlGjyrlYDtvewzMQzDMEyI8PucaG5xqHMrizigKJtzhQSrEVa7gum1TwmrQtlcMpyIUef6&#10;ceqcvzlvEXaZtYqJmoyd6rWb88sxufUAxrUcxMONfVBWH8GnX5PrE+efMwzDMAzDRCpUgX7pwjE4&#10;XDZRDSqdYwcFCbYmTK9+fPCAq3zey2hFvzi4ML/cDevgvZDfp+CgzOCsvEwcOHcQZ66Hf04woz2U&#10;X33s4xOoaamCwZikeRXxECTWU771evc6YcdNYr7s/TGjD8qpf+fr99C6okmI2SPVZoYgtwTKWF++&#10;aRmOvH9MbT/nceG798OqDT1YAZ0yY9Sfr25ogcdIFehaiGTx2KFMRHtuAca0HYlKAf2Rxj4YVxzG&#10;h1/Qht5tnHqvD1ar2oA1emBIQE9OVbBqtZOr0LXA4xL52/7C2fCbQvjMkEit0kNC+qJ58Cwzwb3J&#10;FhC5/YMidzBi+qD4LwRzul6XE54NVnhWmoVo7sufhR6qNCcRe/C9hOSAwO9Bwji9TsZ0+G3qT6P6&#10;3ySmD70H9c899Hep0+BZYgp8BtnnYxiGYZgQQYcQOzpcKCiywmDWeIGj6GDMrcUkka8Y/nFHVA2e&#10;VP8MOlPN2G7R5oCu3xqHnSpZizbgofaT4nX/p2Y/6ne/gx9//EZd43D+OcMwDMMwTCQy8NO3oiBs&#10;34uPibm0JlWgdMDVYUd8/R5hJX7vfJfRGhLQ+5FUukFTAZ3ErKKFhSJHOhyrMpkHA1lxH/nwOKqb&#10;q6DXJ2leiU6Ca1JSgni9k5++xYc9wgw6dOF7yifu44Oy/qc2SofNFpQVYMv2LXj5rVfVfi8QSxAO&#10;OfoPVEAnKJf7s3dehdc8CT6NctB3WCZgU4oRc5teREwE5DreL7EqD9f2Yt+bl9Xv+ya+v/0RWltr&#10;kaRPlDbqUEAielWNDT4fi42a4EsWFuf+9OkBsVfS7ocNickkKtOBluyZ8FbMh6dNr76eRYjedyrT&#10;hyBB+V7u/v/07+n9djrhXqfAs8QIT30SfKXz4M+aERCt6SDAkGA+EqI5MSiO+zNnwNusfr71Crwt&#10;eviK56h/p36vVAGfMg3+nJnwlc8X37f4bFpV5DMMwzDMIF51/Fyy1CFicTStPreZYFOZWbkdsW1H&#10;pfPIcILmvOPajiFn0QaRT67N4VxaW4zH1lQzjPXPDB7QPYA/1ezHrv7zYkNVtuZhGIZhGIZhwp8h&#10;Ad3duU4IAppU8ykGKOmFiG98OSIcosKPfpE9byhsF1b6WgnoZMNd1VghxPNwEJGY0cP525dx9MNj&#10;aFxSL9qRNk4YAfFcZ0jEopoy7D/TF9Y51tEI3a83Tu1HTkGWaCeyezxSUFsiS3fKX09OdWD5xqV4&#10;4eiLOHPt/Kg/lDEKBPSbuH3lArbnmOA1a5ODLmzcbdNQuGg9Hm47JhkYI58/1feiadc7+Pvfv1G/&#10;8+/x4guPIjFpvjYTPRWjxYysHCs2beIqdM3wJsO7xBjIQw+1iE6QkE3XpeprErnTp8OXN1vkpXtr&#10;EuFt0cHbqhcV5O61VrjXKHfwLjaI/0eV5d6KefAWz4Evd1agypveLwn0BF1/pARzgl5rqLI8bTq8&#10;tYlwb7T9fChACP0OuKkyfrUFnjUWuDdZBw8FqP9Gdh8YhmEYJoS43VR97kRhkRVGs3yeFSqsliSY&#10;sxYivulVEXUkm0OGE+PUzzC1+XWsyCkQIrd0LhA08dhljkVTbgli2o4Kdytye5q39BDeuvCROs9m&#10;+3aGYRiGYZhIhdxUSUBva62D3qhNPKZV0cFU0IhJzfsRKzLQ5XNfRhtiW0lA74MxrxZWq3bCJIlJ&#10;ratbhJUxC+jM/fDuX06LSvSTn72FtV2rYbMrIc9Fp2plqnBfVFuG3jN9Ir9a9l6Y0Qn1KdRG1qjt&#10;w2BI1EwDHA504EOnS0BqhgtrO9fg6IfHcf7mpVHbD44CAf0a/vHXz/DGulq4ddrlFO6yxKIhrwxj&#10;26NTQB/b1IeEpYfw6TcBG/ePPjiJ/Pws6DQ6fULVUharBe2L7fD55BvETJAMWqJ72ozw2zUS0YcY&#10;EtNNcegZyl63E+rruqbCnzztvyGRnP4f/S6J1XcL5vTf915fa4beP/1MmwZv3aBwTjn9JJz/1/dK&#10;YvmgYE4/ueqcYRiGGUHIvn3ZcgcUMZeSz7NCgwl2qx5zyzYjNkLmx2PbjmB+/bPwOOdgm6LOO2Rz&#10;giAJHMydioJFa/HQ4MHc/63tRW73SXz/3dfqPJvt2xmGYRiGYSIVEtD//a+vsbB8gWbOnlYlEYnF&#10;qzGx9WBURpE+aOjQwoSWXpiySjUV0EnsXO9ZJzKKWUBnhsPZG5RHfhZP9z6DBQsLRZuiaIBghHT6&#10;XZ3at1nVPy/bsARHPjgmbMC5jYYXZI/+2nuvIzs/44FXn/8aRpNOvLeyqhLs6d+jtrNLOH199GWj&#10;P3AB/SdhffMdLvc9ic6kGOlGVSjYbhmPLWkWGBqewZjW6MuPiW0+gDGNfXi097yY7A385wrWrV+K&#10;hKQEaQMOBSaLCYULbOjY6hKbwbJNYiZIBkV0b5MOfopAGClxmoToIYYquu+G3svd/0Z2jZFiSLSn&#10;CvqahEHhnIVxhmEYZvRB1ef0c0GxTcThyOZXoYKqzy1p+ZjSuC8iqs9pc5Ey3IsXrcN2ZRJ6NLJv&#10;p1z1zckGJDS9iHFiUzMQlbT6uffUNQ1XnzMMwzAMw0QywHVcOn8UWdlpMJi0ESVsig7Ty72IaT8u&#10;nfcy2iIE9OZemFJztBPQlUA16LZne4SFMYuTzHChAxjnbl0UVbyduzpErj5VjyclzYfRrP9Dlcf0&#10;b4xmA5J0CervGlBauQA7nt+B9/5yBmevX5C+LjN6of6ExOgOtT1QO6DiDNl9Hw1QX0giekqaE7te&#10;2IUzV8+JNi37XA+KBy+gq1BF9Nfvn8D2XBO8xgnSzapgoU20HbbJSFu0GX9uPykdICOdRxr6UOo5&#10;iQHxnX+HA3174HBaNcvJMCtm2J0K1qxhG3dNGRSCKcdbMzv3cIREc6qWTx+0at9gC1SUU4W57Htk&#10;GIZhmAcMHThctcoJh8si5lGy+VVoMMFmNSCxaAXGRcjGXGxLoEJnRXY2tmuZf65euz23UNjF0+uR&#10;y9OUtn68cuIyC+gMwzAMwzARDnADRw6+iJQUhxCn5HPtILAaYXc6ML36UREXJJv3MtoibPOb+2BK&#10;ToPVqsE9VqEqX5tDwZ5De3Hmxnm8d0Uu3DDMH4VER6o6PnT5CLxPetGwpB7ZeZmiypeEcapMJ6HS&#10;aNIL6M/0d/T/DOrP9KxUNC1tgP9ZP45/ckLYf1M+v+y1mNENZZ9TOyitKB611ef3Qm1SsZrQtbsL&#10;p6+cFdEWss/2IBgVAvrAwFX86+9fYv+aKnQljJFuVoWCXeZxaMwvR3wrZSRGX4YMVaDPWnoI5z/+&#10;RJ3wXcVff/gU1dWl0KmdpKzhhgKqnqqotIuKqqGqKkYD6LulTPQ2A3qSp0aviH53RfyQcL7e+rMV&#10;u+y7YxiGYZhRAM2TSEAvKbVpLJ6TLaQelpQMTKt/XlRty+aN4QYJ2krt4+h2zsU2IaDfM0cIAWTf&#10;3qP+zK/YfKdq/+GGXiSuPoy/XPsSGGD7doZhGIZhmEgGuIWnn/Sr83WDEEFlc+2gUOfp1tRsdZ7+&#10;LGLaDv9izstoD62Pptc9C4srGYpGFehUIexItuHgpcPChlsm2jDMcKCK8YvfvY+3v3wXr7z9Gp54&#10;/UlRmb5qy0o0Lq1HZUO5oL69Dis2L0f3427xb/adfFn8zqXvPxCuCLJrM+EBHaR4+a1X1b7G9Icc&#10;CEYLwjFBHVc9T7hFOz41SkT0USGgE8Bf8c6z3ehMig3YP9+zYRUKaDOtK9WIBHUS8kgUnuKLaT6A&#10;cQ196H7pjKiQAW5i+7YtwqJDq4eJNoBTUi3YtCmwKSzbMGZChBDRXfCstMCfNSNQfa3RszTqIOFc&#10;ZJyrpA0K50NW7SSey74vhmEYhhlF+HxOrFjhhDNZ++pzEtD1BS0Y30qbcpGRq/hI2zFUFrdihzVO&#10;CN3S+UKQbFMmoTM5ETMbyb79sLBvJ4encv+bwE/qemZAvs5hGIZhGIZhIgPgB7i71yEhab4me6kU&#10;s2TOLseUplcDldD3zHkZ7SEBfW7NbihOp2YCOrnBUjbx0Y+Os0U2owmnr50XVeQXv/9AtLF3vzmF&#10;k5+9hWMfnxCc+PQtvPP1KZy7cRGXfvgA529fFr8juxYTPpB9+5lr5+B+3A29MSmsBHSCKubpcNET&#10;rz2Bc+SCMAriLUaRgH4LX188hEdzDfAYxks3rYJF2LgrE5FS3omx7cekg2Sk86faXmR2Hcfff/xa&#10;/c6v49NP3kZqukszG3eLlbCgvsEhNoZlG8ZMCCER3eeCe6MVvuI5gbYf6dXopjhRce7LIOGcM84Z&#10;hmGY8GPIqae0zAajWT6nChlWI6xOJ6bXPh0x1edkpT6xtR/LMzOwyxIrny+EgB2WCViSX4K4ll5R&#10;8U6HU2OaDuDp/gvqvPpbDPwkX+cwDMMwDMMw4c/AT9/iX/+6hpWr2jA/cZ58rh0kVksCdHkNmNR6&#10;UJ2rR8ZB13CD1kjzK32wOmxi7SS7T8FiMhuwYGEBjn18EmdYQGc0hkRIssQ+c/28aG8Bzgvbd87f&#10;jyzonr715btoWFKnTczICEAiem5RNvaf6cW5mw++fxw1AvrAwLcY+M8V7Ftcgq7EcdJNq1CwXWx8&#10;LcTklv2IaYm+k3yPNPZhettBHHrvfSGg/+sfX2JJez0MJu3yEMjGPTtXQWcn27iPGFR13eWAt0kP&#10;f+o0+E1UnS1/JsIWOhhAwnnWDHhrk+DeMGjVThnn3M4YhmGYMEJUn690wOFSYLbK51OhwqroYMxv&#10;wkR1XhgpVS0Ptx5FSrUfXrJvt2hj306Z6juUCcgo78C4tiPidSn/fFp7Py5//mlAQJescRiGYRiG&#10;YZjIALiGb785h8qKUiTpE6Vz7WCxK4mYs2A1YtpP/GLOy4wMsa2HkVi2CVa7oqGArkd1cyVOfva2&#10;EDJlog3DMMz9cubaBRz/9E0hQNNBHVn/M9qhqnmDMQktK5rw7l9OP/A89FEjoBPAbbz99Fb4SBSz&#10;aGm9mIRpjfswVthWygfLSIWsJv+3Zj9W7zklDixg4AaOHdknBHSqFpc12mChjWCr3YLWNq5CH1FI&#10;RPYmw71Wga9kLvw29RkQNue/fC7Chrsyzn3ZM+Bt1sO9yYZuX3Kg4lz2PTAMwzDMKIYOF3Z1OVG2&#10;cCSqz01iI2hG9W7EDorAkcDY9uOoKGrAbg2rz7dZJmBrmoK5DXswpjUQBfVwQx+KOk/ir38lZyfO&#10;P2cYhmEYholkKArz/UvHUViYDb1Rg0IkqxE2mxFzSjchJkqdU0cDsW2HkVSyRr0XdE+0sT82mnRY&#10;sq4db3/13gMXhxiGiRzIrp8s+pPTnWEroBPklm2zW/DEq0/g3M2L0s86UowyAf0abn7+FnZnJcJj&#10;nCDdvAqWHiVeWLnnVmwZzC6MPjucP9f3wb7uKD7/5jNxaOHa1UsoKy3QZvI3iNFsQlGxFV1dLq5C&#10;H0mEiE7V6E54lprgz5/1s5BOQrTkGRmV0Hul92ybAn/OoHC+2S4OCLBwzjAMw4QzXq8Tq1Y5YHdY&#10;NDvMOARlKhpzazGpZX/E2LePUefzc5r2YV1mKnZoKKDvMo9DXWEdJrUdQszg+uFPdb3oef0cBv7z&#10;LeefMwzDMAzDRDi0h/rmiVeRnOKAUYsoTKsBNqcTsyu3ISaCDruGG3TQOKmwDTaRf66NgE4WxRt9&#10;G/Het2dx6ipbaDMMExrI0eK5/j2wu6wwK9o4aIwUekOScOp455tTD7SfHGUC+lX85z/f4PmmfM0E&#10;9ID94kQsyV2A8ZQnE4UCOuU1Plzbi5fevAQMXFO5jqee8iNRN1/aWEOBWTHD7rRgxQoH/H75BjKj&#10;IUOZ4F0OeBYbA0K6fcqd/HD5s/KAoWpzEs3N6nt0TYWvcLZ4792dd30e2WdlGIZhmDBBZJ+rP0tK&#10;bSLyRjaHChm0IeewBTbkIqii5ZG243BVerDNPg09ijYOVnTd7fapSCvvwEODdprj1Pl0XNMBvPfh&#10;x2INI1vbMAzDMAzDMJED8B0O9O6B2WLURphQ9LCmZGJW3dOIiULX1NGCENDzm2CzUn6wdgL6tme3&#10;iWpRzqBmGCZUkID++CuPw+4MfwGdKugdLisee/kxXPjufennHQlGlYA+8BNZil/F+Zd88Jonwado&#10;I+xtt0xEpzMBhobnMC5Cqm/ulz/V96Jux9v4249kOfkdLl88huzsNE2z0A0mEyoqbXC7uQr9gXF3&#10;RfpiA7ylc+FPoYz0uNGRkz4kmtP7sU2GL3MGvOXz4VluCgjmQxnnss/GMAzDMGGGx0PV5051cRM4&#10;bCibP4UKUX2etQjxLb0Rk30e03IQk1r7UV9Uh53mGPncIgTsNMdiY7oDCY0viop3em1ydMrrOIGr&#10;175Q59JXpGsbhmEYhmEYJnIA/op9Lz2GhMR5IqNVNucOBquigzk9X8SOxkTpfvVogKr/dZnlsCna&#10;5NxT29HpE/Hcob24+ABFIYZhIg8S0J947cmIENCJpKT5WL5pOc7fvIz3rsg/s9aMKgGdAG7g5udv&#10;Y1vyLCGiyzaxgoWqSLbZpqK4bCUebovOTJlxTQcwra0f5z75RP3Or+Gff/8WmzYuR4LaKGWNNRTQ&#10;xrArWcGatQ5hVyrbSGZGCBLSfQEx2rPaAm+TDr6iOfA7p/xs707QIRYStUMprA9dj6499DoEva5r&#10;iqg091YnwrPECPcGa8CmnYRz2edgGIZhmDCFDhN6VIpLRqL63Cjyo+Yt6sS4CJr7jmk7gtkNe9GR&#10;asQ2Rat1w2TsskxAbUG1+O6G3Kv+36r9WP/iaXX98i0G2L6dYRiGYRgmohn46VtQBvru3W7MnT9X&#10;PucOEpslEfrMMkwQ4nn0OaaOFmLVOX9S5kJxP2T3KVhI1LI7FLx4fB8u3L4sFWwYhmGGQ6QJ6Hpj&#10;EorKCtB35sADy0IfhQL6Nfzjr5/itWUlcBvGSzeyQsEucwzac/Ixqe3wnRzDaCJW5c/1veh48Szw&#10;E33v3+PwwRfgUAdwo1mDHJ9BaIO4ptYuKq64Cn0UIIT0ZIF7qx3udQq8bUb4Fs6FP2N6wOadcsfp&#10;uRkSuYe4W/z+Le79HboW5bDTtVOmwpc/C96qBHiXmMTru7fYA9Xm9L7Ypp1hGIaJUOgw4YqVTjhd&#10;Fs2rz22KHqbMYkxq6VPngZEx7yUhO6b1CLIqOrBdmYge6+AcI8RsU6/tc8xGWrUXD7ceFa89tqkP&#10;8c396HvvfXUOzdXnDMMwDMMwkQ5F9vzz719i44blSNAlSOfcwWFS5+w6JOXVY1xbYM7JjDzk1BXf&#10;3Atj+gJYlSTJfQoeigBIy0jGq2+/hvMsoDMME0IiTUA3KyYoVhOefOMpXPz+A+ln1ppRJ6AHTvTd&#10;wMVXd6ArcZx0IysUbLNMgDs5EbaaXXc2w6KNRxr64Fh/FLe++0pMBP+hTgRr6xYhSa/NCTuCNohT&#10;0xRs2hSwLZVtKDMPiCGLdPrZ5UB3BwnqVnjbjfDWJsJXMgf+3JnwZcyAP206/KnTAhXrv4ZrauDf&#10;qP+WfsdHv6tew1udAG+rHp5VFnRvtaO7U30ten167aHX58MVDMMwTAQjss9VSstsMJrlc6aQoS42&#10;rHYz5pZ3CzvCe+eD4QrZt9NhgKW5RUJAl833Q8EOy3isTbNjWsv+wdc8gP+t60XK5mP49irZt38r&#10;XdMwDMMwDMMwkQMVfN2++SEWt9drtG9qgs1mRFLRkoias4cbZJ0/veEFWNJyhaW+/F4FB+X65hZl&#10;440zvTh365JUsGEYhhkOIgP91SciRkAnEpPmo+vRbpxX+8tTV85KP7eWjDoBnaBM7m8vH8bOjHnw&#10;mjTaEFPisdsyHsUlSzGm/YSoyJYNnJHMuKY+TFR/7jt+Sf3Or6jcwPN7doosFq0eMIs1QG0t27iP&#10;akjAJiFbgrvDAfcGGzxrFXiWGuBZImGxyjITPOuscK+3olv9Hdm1BJRpzoI5wzAME0X4fE6sWOGA&#10;g6rP1XmRbM4UKqxWPSwZCzCxeX/EZJ8TtLmVUP8cupxzNbNv91vjsV2JQ31RPca1HhZV78LFqbYX&#10;y599T8yfB3765VqGYRiGYRiGiSxoz/QvX59FVWUp9EYNhNXByKXEso2IaTssnf8y2kNrjBnqGkNJ&#10;zdJMQDeYdCirLMbBS4dw9saDsSRmGCYyIQH9ydefiigBXa9PQuuqFrz5xTs4fe289HNryagU0Adw&#10;Df/6+2foW1OBzoQxks2s0LDDHIPVWZmY1fQyxop8mV8OnJEMbQA+VN+L8m1v4d//CpymvHblEvLy&#10;M2E066UNNhSYFDOyshRs3co27mHJ3eL6UNX4r3FHJB/8Pdn1GIZhGCaKoLlPV5cTZQtHovrcDJvN&#10;hDnlXsRG2EbcmNYjWFS2HNtslFOulX37JHjsM2GqfUwI6OJ1m/owrf0gDrzN9u0MwzAMwzDRAuWf&#10;f/7puygqyoHBpMGeqdUIq8OGhPJuxA7OO5mRh6r/Z1fvgs2Vot4TbSJO9YYkNCyuw4lP3xRil0yw&#10;YRiGGQ5nr19A75k+OFPswu1C1geFG3ToqKJ+EY58eAxnb1yQfm7tOIP/P4aMvO9ZlickAAAAAElF&#10;TkSuQmCCUEsDBBQABgAIAAAAIQC/EmBT3gAAAAoBAAAPAAAAZHJzL2Rvd25yZXYueG1sTI/BTsMw&#10;EETvSPyDtUjcWofS1CHEqRDQA+qJwAe48ZKE2uvIdtrw97gnuM1qVjNvqu1sDTuhD4MjCXfLDBhS&#10;6/RAnYTPj92iABaiIq2MI5TwgwG29fVVpUrtzvSOpyZ2LIVQKJWEPsax5Dy0PVoVlm5ESt6X81bF&#10;dPqOa6/OKdwavsqyDbdqoNTQqxGfe2yPzWQlFKY57tbfb+KhyX37YifxqnEv5e3N/PQILOIc/57h&#10;gp/QoU5MBzeRDsxISEOihEUuBLCLvc5WObBDUpviXgCvK/5/Qv0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79QfCroCAADsBQAADgAAAAAAAAAAAAAAAAA6AgAA&#10;ZHJzL2Uyb0RvYy54bWxQSwECLQAKAAAAAAAAACEAxllkf5g7DgCYOw4AFAAAAAAAAAAAAAAAAAAg&#10;BQAAZHJzL21lZGlhL2ltYWdlMS5wbmdQSwECLQAUAAYACAAAACEAvxJgU94AAAAKAQAADwAAAAAA&#10;AAAAAAAAAADqQA4AZHJzL2Rvd25yZXYueG1sUEsBAi0AFAAGAAgAAAAhAKomDr68AAAAIQEAABkA&#10;AAAAAAAAAAAAAAAA9UEOAGRycy9fcmVscy9lMm9Eb2MueG1sLnJlbHNQSwUGAAAAAAYABgB8AQAA&#10;6EIOAAAA&#10;" stroked="f" strokeweight="1pt">
                <v:fill r:id="rId13" o:title="" recolor="t" rotate="t" type="frame"/>
                <w10:wrap anchorx="page" anchory="page"/>
              </v:rect>
            </w:pict>
          </mc:Fallback>
        </mc:AlternateContent>
      </w:r>
      <w:r w:rsidR="00887331" w:rsidRPr="00884FAA">
        <w:rPr>
          <w:noProof/>
        </w:rPr>
        <w:drawing>
          <wp:anchor distT="0" distB="0" distL="114300" distR="114300" simplePos="0" relativeHeight="251657224" behindDoc="0" locked="0" layoutInCell="1" allowOverlap="1" wp14:anchorId="613177DE" wp14:editId="0ACA653E">
            <wp:simplePos x="0" y="0"/>
            <wp:positionH relativeFrom="column">
              <wp:posOffset>9441180</wp:posOffset>
            </wp:positionH>
            <wp:positionV relativeFrom="paragraph">
              <wp:posOffset>8571865</wp:posOffset>
            </wp:positionV>
            <wp:extent cx="1798955" cy="893445"/>
            <wp:effectExtent l="0" t="0" r="0" b="0"/>
            <wp:wrapNone/>
            <wp:docPr id="7" name="Picture 7">
              <a:extLst xmlns:a="http://schemas.openxmlformats.org/drawingml/2006/main">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pic:cNvPr>
                    <pic:cNvPicPr>
                      <a:picLocks noChangeAspect="1"/>
                    </pic:cNvPicPr>
                  </pic:nvPicPr>
                  <pic:blipFill>
                    <a:blip r:embed="rId14"/>
                    <a:srcRect/>
                    <a:stretch/>
                  </pic:blipFill>
                  <pic:spPr>
                    <a:xfrm>
                      <a:off x="0" y="0"/>
                      <a:ext cx="1798955" cy="893445"/>
                    </a:xfrm>
                    <a:prstGeom prst="rect">
                      <a:avLst/>
                    </a:prstGeom>
                  </pic:spPr>
                </pic:pic>
              </a:graphicData>
            </a:graphic>
            <wp14:sizeRelV relativeFrom="margin">
              <wp14:pctHeight>0</wp14:pctHeight>
            </wp14:sizeRelV>
          </wp:anchor>
        </w:drawing>
      </w:r>
    </w:p>
    <w:p w14:paraId="15357844" w14:textId="2FF31249" w:rsidR="00887331" w:rsidRPr="00884FAA" w:rsidRDefault="00887331" w:rsidP="00887331">
      <w:r w:rsidRPr="00884FAA">
        <w:tab/>
      </w:r>
      <w:r w:rsidRPr="00884FAA">
        <w:rPr>
          <w:szCs w:val="20"/>
        </w:rPr>
        <w:br w:type="page"/>
      </w:r>
    </w:p>
    <w:p w14:paraId="76885A30" w14:textId="09D637DB" w:rsidR="00FC6D19" w:rsidRPr="00884FAA" w:rsidRDefault="00023851" w:rsidP="00023851">
      <w:pPr>
        <w:rPr>
          <w:noProof/>
        </w:rPr>
      </w:pPr>
      <w:r w:rsidRPr="00884FAA">
        <w:rPr>
          <w:noProof/>
        </w:rPr>
        <w:lastRenderedPageBreak/>
        <w:t>Th</w:t>
      </w:r>
      <w:r w:rsidR="00354AE9" w:rsidRPr="00884FAA">
        <w:rPr>
          <w:noProof/>
        </w:rPr>
        <w:t xml:space="preserve">is evaluation was undertaken </w:t>
      </w:r>
      <w:r w:rsidR="00C9603B" w:rsidRPr="00884FAA">
        <w:rPr>
          <w:noProof/>
        </w:rPr>
        <w:t xml:space="preserve">by a consortium led by </w:t>
      </w:r>
      <w:r w:rsidRPr="00884FAA">
        <w:rPr>
          <w:noProof/>
        </w:rPr>
        <w:t>Allen + Clarke</w:t>
      </w:r>
      <w:r w:rsidR="00A60764" w:rsidRPr="00884FAA">
        <w:rPr>
          <w:noProof/>
        </w:rPr>
        <w:t xml:space="preserve"> Consulting</w:t>
      </w:r>
      <w:r w:rsidRPr="00884FAA">
        <w:rPr>
          <w:noProof/>
        </w:rPr>
        <w:t xml:space="preserve">, </w:t>
      </w:r>
      <w:r w:rsidR="00C753CA" w:rsidRPr="00884FAA">
        <w:rPr>
          <w:noProof/>
        </w:rPr>
        <w:t>University</w:t>
      </w:r>
      <w:r w:rsidR="00FC6D19" w:rsidRPr="00884FAA">
        <w:rPr>
          <w:noProof/>
        </w:rPr>
        <w:t xml:space="preserve"> </w:t>
      </w:r>
      <w:r w:rsidR="00C753CA" w:rsidRPr="00884FAA">
        <w:rPr>
          <w:noProof/>
        </w:rPr>
        <w:t>of</w:t>
      </w:r>
      <w:r w:rsidRPr="00884FAA">
        <w:rPr>
          <w:noProof/>
        </w:rPr>
        <w:t xml:space="preserve"> Queensland</w:t>
      </w:r>
      <w:r w:rsidR="004B546C" w:rsidRPr="00884FAA">
        <w:rPr>
          <w:noProof/>
        </w:rPr>
        <w:t>,</w:t>
      </w:r>
      <w:r w:rsidRPr="00884FAA">
        <w:rPr>
          <w:noProof/>
        </w:rPr>
        <w:t xml:space="preserve"> and Monaghan Dreaming</w:t>
      </w:r>
      <w:r w:rsidR="007C147D" w:rsidRPr="00884FAA">
        <w:rPr>
          <w:noProof/>
        </w:rPr>
        <w:t>.</w:t>
      </w:r>
      <w:r w:rsidR="00E77A44" w:rsidRPr="00884FAA">
        <w:rPr>
          <w:noProof/>
        </w:rPr>
        <w:t xml:space="preserve"> </w:t>
      </w:r>
    </w:p>
    <w:p w14:paraId="1ECC7DB7" w14:textId="061BE0B6" w:rsidR="00023851" w:rsidRPr="00884FAA" w:rsidRDefault="00D6634D" w:rsidP="00023851">
      <w:pPr>
        <w:rPr>
          <w:noProof/>
        </w:rPr>
      </w:pPr>
      <w:r w:rsidRPr="00884FAA">
        <w:rPr>
          <w:noProof/>
        </w:rPr>
        <mc:AlternateContent>
          <mc:Choice Requires="wpg">
            <w:drawing>
              <wp:inline distT="0" distB="0" distL="0" distR="0" wp14:anchorId="26326FE6" wp14:editId="4AE6A50B">
                <wp:extent cx="5563235" cy="733425"/>
                <wp:effectExtent l="0" t="0" r="0" b="9525"/>
                <wp:docPr id="458" name="Group 4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563235" cy="733425"/>
                          <a:chOff x="0" y="0"/>
                          <a:chExt cx="5563235" cy="733425"/>
                        </a:xfrm>
                      </wpg:grpSpPr>
                      <pic:pic xmlns:pic="http://schemas.openxmlformats.org/drawingml/2006/picture">
                        <pic:nvPicPr>
                          <pic:cNvPr id="37" name="Picture 3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90500"/>
                            <a:ext cx="1651000" cy="452755"/>
                          </a:xfrm>
                          <a:prstGeom prst="rect">
                            <a:avLst/>
                          </a:prstGeom>
                        </pic:spPr>
                      </pic:pic>
                      <pic:pic xmlns:pic="http://schemas.openxmlformats.org/drawingml/2006/picture">
                        <pic:nvPicPr>
                          <pic:cNvPr id="56" name="Picture 56"/>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314575" y="238125"/>
                            <a:ext cx="1488440" cy="388620"/>
                          </a:xfrm>
                          <a:prstGeom prst="rect">
                            <a:avLst/>
                          </a:prstGeom>
                          <a:noFill/>
                          <a:ln>
                            <a:noFill/>
                          </a:ln>
                        </pic:spPr>
                      </pic:pic>
                      <pic:pic xmlns:pic="http://schemas.openxmlformats.org/drawingml/2006/picture">
                        <pic:nvPicPr>
                          <pic:cNvPr id="457" name="Picture 457"/>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429125" y="0"/>
                            <a:ext cx="1134110" cy="733425"/>
                          </a:xfrm>
                          <a:prstGeom prst="rect">
                            <a:avLst/>
                          </a:prstGeom>
                          <a:noFill/>
                          <a:ln>
                            <a:noFill/>
                          </a:ln>
                        </pic:spPr>
                      </pic:pic>
                    </wpg:wgp>
                  </a:graphicData>
                </a:graphic>
              </wp:inline>
            </w:drawing>
          </mc:Choice>
          <mc:Fallback>
            <w:pict>
              <v:group w14:anchorId="223F0F22" id="Group 458" o:spid="_x0000_s1026" alt="&quot;&quot;" style="width:438.05pt;height:57.75pt;mso-position-horizontal-relative:char;mso-position-vertical-relative:line" coordsize="55632,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B0xwIAAEUKAAAOAAAAZHJzL2Uyb0RvYy54bWzUlslu2zAURfcF+g+E&#10;9olm2xFiB0XTBAXS1OjwATRFSUTEASRtOX/fR0pWEiWdsmjhhWWOj/ddHlI6v9jzFu2oNkyKZRCf&#10;RgGigsiSiXoZfP92dbIIkLFYlLiVgi6De2qCi9XbN+edKmgiG9mWVCMIIkzRqWXQWKuKMDSkoRyb&#10;U6mogM5Kao4tVHUdlhp3EJ23YRJFs7CTulRaEmoMtF72ncHKx68qSuznqjLUonYZgDbrn9o/N+4Z&#10;rs5xUWusGkYGGfgVKjhmAhYdQ11ii9FWs2ehOCNaGlnZUyJ5KKuKEepzgGziaJLNtZZb5XOpi65W&#10;o01g7cSnV4clt7trrb6qtQYnOlWDF77mctlXmrt/UIn23rL70TK6t4hAY57P0iTNA0Sgb56mWZL3&#10;npIGjH82jTQffj0xPCwbPhGjGCngNzgApWcO/J4UmGW3mgZDEP5HMTjWd1t1ApulsGUb1jJ778GD&#10;bXGixG7NyFr3FTBzrRErl0E6D5DAHICHbrcqghZw2E1xo/o52OV0I8mdQUK+b7Co6TujgFk4SW50&#10;+HS4rz5ZcNMydcXa1u2SKw+pAd8TPl5wp2fvUpItp8L2h0nTFrKUwjRMmQDpgvINhXT0xzKGLYaD&#10;bCElpZmw/S4bq6kljVu/Ah1fQLvTjYuxw4t+0OkyMkDbT/mKz6I8Gs7lAbJ4lscRNHrIsjyZ5x6y&#10;kRXwURt7TSVHrgB6QQdsEC7w7sYMig5DBlt7EV4daOp3BgpHQ1g+mxIGLUdNWPIyYZoMVD2C6m9p&#10;Q5vukywBXby10oMxuduSNM7yOVxjcIsl6SI+3GIjgdlikWUDgeliMUs8oq8lEBdCunML+4WLVrjn&#10;2AAxXYsn89ghBU+nlLqmo8Y0/Y+YZlly5th0mE7vyDjN4ngg9OFF/K8J9a9t+FbxL4Hhu8p9DD2u&#10;Q/nx19/qBwAAAP//AwBQSwMECgAAAAAAAAAhAOf/d4CvGAAArxgAABQAAABkcnMvbWVkaWEvaW1h&#10;Z2UxLnBuZ4lQTkcNChoKAAAADUlIRFIAAAGNAAAAbQgGAAAAXZQ95wAAAAZiS0dEAP8A/wD/oL2n&#10;kwAAAAlwSFlzAAAOxAAADsQBlSsOGwAAGE9JREFUeJztnXl0HMWZwKuvGUs2tgyxMYGsHcCENWBr&#10;pNEapJmRwJZkLQQSctjYzrG5X8hL9i0hu06wdSXZbI5NyNuwhMBLQoyFvSSEvCTGIxukGVkc1uEj&#10;BpMQcBIOBcf4QLKk6a7u/cMZGPV0z/RR1dXT8/3e03uamurv+6a7qr6qr7qqOE3TkB/ZNLDh4rCK&#10;E6YZOG4MIYRkjMcyE2jsW9fvGPPMOAAAgDKFY+U0OgfWv8rz/CIWujHGssZpt3fGHryThX4AAIBS&#10;xROn0d6/7guiJH6PuiKXYBW/0RHrmcvaDgAAAL9CzWl07V3/Bsfxc6gI94jN9Vs51jYAAAD4CaJO&#10;447H3ntJeNbs54kJ9Al//P1AxU8+enSKtR0AAACsIeI0vty/9toKSXqMgD0zeOl3R0I//NSQnJu2&#10;eWDth0O89FPSuqwAIw8AAMod106je3Aj0fjWlHKm9muJX4yw0G0FRVEf7Uxsa/NaLwAAgB9w7DRo&#10;NNhOevKf37k0vGDeSs9DRzDqAACgHHHkNPziMHJhMeoAxwEAQLnB273Ajw6DFSwcFQAAAEtsOQ0/&#10;N5KsHI+f7wkAAABpLDsNmo3j5v5bPkZLthd0pNerrG0AAADwAktOg3ZvOiQJ95Vyj10QeO5zD68+&#10;j7UdAAAAtCnqNLxszLsHN2pde9e/4ZU+kpx//qK/sbYBAACANrYnwmnDcfycUh11QJgKAICgU9Bp&#10;sGy8nejGWD1FwxarCAJfkm+BAQAAWMXUabR9f2nYS0OMaE+vP2knP8drTJ0GQvA2FQAAwcbUadRH&#10;vV9lrUcU+HmsbQAAAADewndzGnpKsefemd7wLGsbAAAAaGDoNNpTazd5bUiQ4AXuctY2AAAA0MDQ&#10;aYii9HWvDSlEKY42AAAAgojvw1OlyuaBDf/O2gYAAADSgNOgRIjnvsHaBgAAANKA0wAAAAAsI7I2&#10;AKDH0pUrL6qqOPcv2c/7+nZaXnxY19RmeR7JqlzWMgshq/KX9qd2f8uqXNL2qQp+dHggWRInQi6r&#10;uW7x7Lnho1bynpnOrDz8xJ6nc9NolAMr6PXSqg+5qCo+NpxKLiQpP9duq+WUVD3BCv4MjDQCTK7D&#10;AMhCqhKWEpFYy7G6pjbNqsNACKHKcOipcrxXWXheWFDX1KYF6R6A06AIx3G+2lYkSAXXD0Tqm29j&#10;bYNX1DW1aaIovI21HU6JRqN5tl9yyYqiIwCSBKX+QXiKIh/5cWMYIcRkZX1tonWA5533CYoNgZ2E&#10;DVjIdIoVuWJI/DZC6Dtu5JAMv9CCdGPH4p5wcxYc06ed+463/xUhZEmXLOND8mTm5mdG+/8cbVwz&#10;7dSOuqY2zej3kbwncgbfu38w+Uk78u1g6DRkLHdLgrTZjWCSlOpxsEsuveAOhNAdLHTzPN/AQq/f&#10;MKtsixatmP2Oy98+7la+WSMQFMwaGIzV/SPpXRG715Uq+/cmlyNkHD0we/6XVV9z4byqqpdo2WR2&#10;j/UOwwqFyrBej2FXtCu+fYtdpUA+nIoSrG3QE7TK7AdqE63MtsTvHtyo6f9IyTYrK/v6dnKFHIbf&#10;WBG/7hdm31U3rLqWlt7f73/iZVXFB/TpJOqgWZnzogNjGp5SFfnXvCjdQNuAYozLE8tY21BqgGMo&#10;ztjYgQlkMTRRDJ7nuWi0ed7QUC/zXZZJUchhWLleVZUnyFrknJAQfq/Zd5IUegwRKgdGDKeS1aTr&#10;YyTR3CPyouURj1v0ck2dRnti+7v9sH3HfzU+DJv/Ab6HmyOeRBQbHz9gp1EaTvXW07SlXLm8+uol&#10;51TNX6dP9zJEWnCmlPVcAmv9QQVGIu5RVZwXHgjKfTX6HaqqvsbCFrfof4uK1Vf0eapjzf/qnUXO&#10;4aJR6Zyq+S/q06fHJ2q9tKPo6zWsGm5wGM7QVxJlevojpycnLmZlj1/JvjvvtKEfTiUFo/RIvPWI&#10;O8v8yXBq1/msbSDBcHrXhfo0SRS/S0tfJNH6R1KyonMWZPRpiqI+dXAoNUJKhx6jemLpnUyvG3Bw&#10;GOQYfeKx+597KpXXO7nqn5qiLOwJEkYhAVHg38XCFsA6XoVyli5feZHI83kdNif6DUd/inpydGDX&#10;1U7tc4rldRqb67dyXsxxgMNwzlUrV71nVkXIUt5ZlRX7UMBj8AjRDxnJMv62JAlf1Osk3TB1pTcY&#10;rg3ghHw1Znm3xB9gfoSzl+ifPcb4tFneSLx132h6V50TPTXxFiX7vyAIb45Aq84914k4S2AVvzEy&#10;kJxPSp6demJr9dfm+q0crUadpuxyYVZF6OHcz5mpqTd7IYosm752CDhn/97k7UbppJ0VJ3Ahoz+3&#10;efVEGlbfRNJuPzGSTpoeHy0KvOORt5BDsbzEOhMqepWIHAc4WjJMsoEHZ0GPA08+/lT2/9G9u9+n&#10;/z7S0PwJby0KJmYNwZX1jY56roB7ljdcd2Oh76emMi1e2ZKF5OhTEIXLauLN95KSZwdX24jkNvZW&#10;Q1eqqr7eHtt2nhu9QD41iZbXBb5oR2cGoiT+CCHEpOB5haoo3zRK50XxSyT17OvbyelHFxWhyqdR&#10;iYUAR/fufqSuqSQ22y1IWAo/kvsZY3x/7udDT+7p1f/O2njL9HA6STyER2sORRDEjy+Px28/mE6f&#10;cCvLTj0htvcUjBbYIvBCXnwzKK+AumF4oNfwBMW6pjaiTsOMoG8zUioIgvDhuqa2DxfKwwuCtQlB&#10;HaS3HzfTYSQ/LMx5HRHomNipJ4HasLC9oWex2Xcd/Ws/y4vCnRzHB+o3u6Um3vzjkXTvv7C2w2uw&#10;gntIyzSr2JFYqzw6sEtyI9usU2Y0wi/3DhyrzpLp80+0TIymkrNpyafZMTGqJ2XTgHY0br8LIXRX&#10;/jcc1z24gdneQSRwU0kEQfwoQqjsnMbIQHI9DblGFVsUS7+jUi4jJrcOPpORvxAKSXfmpom8UOne&#10;srN47TiM6gmcp4E0LTsZD5PyAAlOj5/6R31aKYUKh/rPMXRyHMeVvPMrhlsHf2Bw9/eN0mlt259L&#10;TUPLo6R0FCLwhcAJTib4/USxHoe+AEdirZOjA7sqSOmvia+Rcz+PpB91FZqhJ7N1FCHuSpIyEULo&#10;uaHBI6U8maxpO7CR/dHGNTKyGD+vTbTMWCsynCIzwVysHDg5i4LGeSGGYap4892j6d7PkNAxjSeb&#10;w0JFb26aIAmtJGTr0d9zXzqNO1JrEyLP/0TghXeSlJuR5Y90N26/v3jOt8g6kC0DGz4l8dwPSdpD&#10;AhIFXhT5WSRsySII5HukNGRqnCaIPJ3QkVnDUSoUCoMM9R8LadqQbHRdFp53NqlcDLvl4MWxF+fa&#10;1UEi1INVPCnwwoyOmCiIn0YIEXEaB9N9u40cO40wlf6eM3UaWx7/4PVSOPRrfXpYJNLhyyMkST/t&#10;Htz409w0jFWtI76taJiuK/bAPQihe/5j9wfnza4MnaRiIAGsFJiTp8YXVs2bU5Ib0JUSpe44JuRM&#10;YrYUSunTo40LMnVNbb47dZDjuIpo45oZaX87cuQNFraMpJKVtOcezMpXbaJVHU7tojb1wGmad2W6&#10;PX3Lb0VB8P243cq8Rnt6/TOiwOfFrnNRFZxuT/RQOYhpecOquMjztwmCOGMF77ScSSCE0MG9e9Jm&#10;1yGEUFjXGCiqKmOsrMpel81nlNcu2UpSKjKtyM3eZ4TM7zVCCEViLY+JomB60I/bBqQjvf5oXlp8&#10;2xI3MnOpSTT/QODFz7qVY+feOpG7vGFV3Ow5ZTD+y5En+44aXW9WH/T16E2bNY0Lh8L9Rnlz8yOE&#10;EMdxfLRxDdbrVBX1pKwpNxrKN7ClkI531tQvftvceXm/zdR+E/l2oD7S6EivVwWB5xBCSCy+yt4X&#10;ZOcxFE091tmwzfDw+c74tmW5eb3G7MHnpBs2RmbXiTwviXwolb3ObcGyo9tvMq3I1X1v2vCPDiSv&#10;oznaIOkgjBhJ9d6KELqV5G/wshyEpVCK5/E3EEKb7F7393+L1gezsqBpmmoUQuJFviqMrMsvpOPF&#10;kcE/GemwY79dqAxhco+ezDoM0qgY78Oq/DVNVX+mYjWFsfon0jpEjl9Q7AhNeNsKKIbfwjhO2Ne3&#10;kzM6QwQoTBCevR6iIw2avW4Zy/d1xbfb2iuJpD3dgxs1s/mPzfVbua/03Xz1rFClb464BPxFqc9v&#10;IPTWGSLLauoXzzYIiRjx+rhS9ccAHYPrhMmpyWsrZlU8ztoOUrie0+A4juvaS29xnILlRzrj29/j&#10;RgZpZzY9NdXw1eseGtSnc4jjuwY3vBnDpDmnAQAAwAJXToN2PJ9k6IeGrcW2dgCnAQBA0HA0p1Es&#10;zk8C0nMFNOYezO5BRp68nrQuAAAAP2DbacDpfTMxuh/djT//LQtbAAAAaGPZaXSmb3m21B2Goiqu&#10;9503AnYaBQCgXLA0p+HVWgRVVZX22DYqy8FL3eEBAAD4gaJOw8vFa17OO9ACHAcAAEGmYHjKywZX&#10;kZW7ScssxR1qAQAA/IzpSKPUe+gsHUa5jjaqG1ZdixBC+/fuCcxCJgAAZmLoNDrTt0zwArnTpqzg&#10;9zUZdpCnM01d1+7oL56THhzHcdHGNZYXXTrZ7sDqCmersovJIyXHqkyrcs6cnlx6eKTv+eznmsbm&#10;/xE48VY3+q3qxlidGkmfPQvF699th1x9lu/r5PgVh59KP2PlGtJlw059sHO/NIzPDKXdH/3Kkrzw&#10;1KfviVaCw3CHFA71sdK9on71DXVNbZodh4HQ2YJvtfDbyeskfyE5bmVYIRJrOWhHV+Xcij+U+hYh&#10;pQ6L+++kXHOCUEmqPrAib++pi668fIKFIYB76pratFCIzlkkCCFUG289wQt8ldPrSZwlQPus6rqm&#10;Nk0US2M3ZoAN74o2XT53TsWzrO1gxYzwFKteOqmRhh9GGbl4ObdBqufiNlziRodVfW5DB7RCM0Zy&#10;axOtv+J5/t1W9Vu1yckRpjTCe1axWq6OHz+x6IVDT/61kCxaZePM9OTSw0+8FWY0oibeOiYI/PlW&#10;dRSiVHfAZX7cq6Lgr7O2odQxq0SqqmrFTvCy0kDUxFt/JwjGYgoV/Ei8ZUI0CHW6HS3QGm2Y3Qsv&#10;HKmf0f9+Kw6J1b2hORKtbmi+U5JEQ4cx1H9stqYNnSlmGw27vObNloBVL70z0fMVInIGNvQWzxU8&#10;CjV0pI58FAT+CjMdha4bTSdn02pwvaqApdobLGcisZZjNORKkvh5o/R9fTu5Yg4jSDAfaZCC57nV&#10;rG3wGo5bGo42XpqXbqehcxLmcKKDRiNfG295fTidPJe0XKsE1aGQ+F0s740oCm8jLZNEPQgKPEJn&#10;X7FlbUgQ+XLf+y6nKT/aeOmUPm3q9PgKmjoRclZRjE59c+tIeEGY7+Z6IBjIMs6LMpDspHAcZ9i5&#10;tlsP9vXt5HL/yFjnPTxCCHn9im25EBJDG73WeWgkfZCULKOKJyv4b05kZU99c4OClbxQJu0wVVDi&#10;0IGGV3caJZN6dtHGNbI+bUrBN5OQXYpQOSMc+DuqRuwwdz01sda8gqxg/DQtfVn2DyQXkJQXia3e&#10;ZDXvaLrX8KUJcByAWc+9umEVlY7boYHkwzTklgJ8e/+6/2VtRFDpSDyYpCVbEPm8IfNoOrmSlj4S&#10;ZGT5Nn2aKEq23p4zaxyuXNl4rVO7islG6KzjiMSbX3GrA6CH0fOTpNDPWNgSZHhREj/D2ggSKBgf&#10;YG0DUJgDe3f/Nwk5Ro1DRUXlY7RkZxEF8YK6pjZtxTWr15DQBZBHxfhlfZqbkWKkftX73VkUPALz&#10;9lRnvKfab4v7SpnLqq+5cF6V48Xf1MEYY0EQZsyTkHpHv9jbXqGwtLOuqa0s35zxO8Pp5EVGz85p&#10;2eA4/rtO7LDiqEq1/DCd09AwPs1SP00URfZ8EpwkJ185fYq1DYUYSScNOzw1iRYi78vv69vJKRnl&#10;i4Xy1DW1adUNLd8moQ8gh1ljHI1Gbe+xo3HoL+4tChaBmgj305bknYntD7C2wQ2vvXZ4nLUNxTBq&#10;HAReqCAlf3Sw9zvFeoOSJNwWbWyFuQ6fcfz4iUX6NG7OgoxdOSdOnCrbt6TMCJTT8AuHXs6EWei9&#10;quG6f2ah1yo18ZYnSMs8Mz6RN/lP+m2nYu/Vcxx/AcdxUJd8hNn+VXbLxtHDT4+RsSg4BK6g+2G0&#10;seMDO2z3aOyiKKqiT5slhX9DW68bBEG4Wp/2wqHn57mReXgo9bSqqoYxbDdyjSjkPKKNazBpfYA7&#10;zJ5VJNZCfYda/UK+Up2/MCJwTgMhto7DK92jA7vo7YH+dxRVzVsLQroxPn78D67ntcz22IrEVt/v&#10;VrYRrBsARcFHWOovJYyelSgKrndqKOe1O4F0GgixcRx+GOWQLMyjqV0hUrJoVzLjxkH6EE2dVlA1&#10;LW+dwHIbr3FefNXVebuqnjkzudatXeWEouI9+jRSpxyWI4F1Ggh514hjjI+zcBhDR581nPR1cqqe&#10;3ZP7rMpHCKFIfNV9RumkK6Oi4FE31zu5F8UYTSf/T58WDoXy0sw477z5eTH15whuFZOFxm/3C6Op&#10;JJXNTIN2n6wSaKeB0FnHIav09onZXL+V64j3EN9V0wra0aN5GxZm8cuhTJFYy0FRCH1Mn66qmPi8&#10;z+hAsoa0TCMWLrxijlsZVu5fbaz19271AGdx20EpVA8uvaYpf6vpABN4p4EQQl2xnoc312/lFBX/&#10;nJTMPckHJD+Eo4ptfUHCeRSqMLWJlulC+kVRuMrou+FUksobZrRDCZF4692Ll/3DG/p0rCrPmV2j&#10;KpnPGaUXejZ1TW0aL/JL9ekTU1N5LxMA1nBbNhRZ+axR+vzw2TPiq2OrDJ8zQghVx1rucqPbT3Bd&#10;ezcwHWKxanidrB7HmvJqR8ODb6dhj1tojyyW1TdGZocqR2jqqK5vvj77vxQSf63/Xs4oN2T/3z/Y&#10;W/BNMSdHgpI+6pWUbKt6it0/N3pIPptCsmRZ3og07iRCCB144bU+bezARLFrsCL/SFW5RxBC6OSp&#10;U8OFXpOtTbRgnjc+htLKca+ReEtaFIRYoTxWKdW5ksBsI2IXI2e1ObX2EwInVCOEEFKVZEfjjl95&#10;bphDaB10lOWZwf5RhJBrHYUqSrGGTve9byqclcpP4vkUXWjo0lG4kW3n2RSSJUnS1uz/yxbPvQIh&#10;9EyxawRR+qSA0CcRQqhq/py1CKEdZnmHU0nBzXMYTSfjCJXvfAZCCIlYk+8TOOnjrA3xA92J7fey&#10;tsEN2UaFZoHe17eTq020qjzP2z6AhpZNZvq8qNh2TzBc0bD6fSFJesiODhnLg/vTuxvsWwcYQcqB&#10;1yaaX+N5kehRAaWA2NGw/RPdgxvBaQSIbENWE2/+piCItxfLP43HLzmYTr9gVX52XUSkoXmLKImd&#10;Vmxhgd3GIWtrbbz5bl4QP20lr10O7N39c4QQt2RJddWCJRecKJRXG1cWDw31/tmJHqAw0/L0TWEp&#10;/IgbGcOp3oXZ/62WMxWr0eH0rmE3elnDaZrmKL5PCj9MJgMAAADW4BFCCCvqJGtDAAAAAP/DI4RQ&#10;R2IbnBEOAAAAFIX5Oo321Lp9rG0AAAAArPGm02A1tyCKYpSFXhp0D27U2lPrXE2uAQAA+BnmI42g&#10;sOXx969CCCFRFG+EY2cBAAgqM5wGvMnkHCk8a3fu5+7BjVp7eh3zXVYBAABIkjfSGHs5c47XRpR6&#10;z9zM/s74g3nbYgMAAJQyeU7jBx/YMY411XQTOmAmZg4DRm0AAAQRwzmNjoZts7w2pBRHG2Y2n8ET&#10;7/LaFgAAAC8wnQiHnrI5m36zYb6Zw8AYy/8ZfxjOQQAAIJBwmla4g+/1CMDvzqrY/fC7/QAAAG4o&#10;6jQQAseBEEIfSrbMvmzOwvFCefxoNwAAAEksOQ2EvHUcGsbqlniP4JW+YhT77VhVcUdsW9meTQIA&#10;QPlg2WkghNC/7bnhwvkVVS9RtGcGLHvumwY2zK/kudeL5ZvOTK3/atNDPV7YBAAAwBpbTiOLl6MO&#10;RcW/7Iz1vNcrfXZ+G4SjAAAoNxw5jSxBmOvY1H9zXaVU+bSdaxQVH+uM9SwsnhMAACBYuHIaCCG0&#10;5fF1N0lh8ZeE7LGMjKeu7oo/9JSda9oH1n1B5MXvudELowsAAMoZ104jl1JcoGcVcBYAAACEnUaW&#10;oDgPVcXPtMd6rmBtBwAAgF+g4jRy6RhYPyXwfJiqEoJgjOWOeE+ItR0AAAB+hLrTyOXjjzScs2TB&#10;O097ptAi04rc+NXE9hRrOwAAAPyOp07DjK70LX/lBIH620gYY1nO4NjXVu2w9bYUAAAAcBZfOA2r&#10;3P6bDy4SwuoFIUlclJuekZWxsZeGnv3JR49OsbINAACgHPh/VNaY1ntzP/UAAAAASUVORK5CYIJQ&#10;SwMECgAAAAAAAAAhAO0IrYbyGwAA8hsAABQAAABkcnMvbWVkaWEvaW1hZ2UyLnBuZ4lQTkcNChoK&#10;AAAADUlIRFIAAAFmAAAAXggGAAAAEHi+YgAAAAFzUkdCAK7OHOkAAAAEZ0FNQQAAsY8L/GEFAAAA&#10;CXBIWXMAACHVAAAh1QEEnLSdAAAbh0lEQVR4Xu2dCawsaVXHHwNBFtlElgGcR4Y3825XXQ0IAoPi&#10;Q2FgmPdeV92RJ0EBwURwYYKzvq7qITcuEMUEFxRQBA2CwWiICLgkLkGUAAbUSDSCgoAT2VSWYV/0&#10;+/r9T99TX53vq/NVdd/by/dL/nld5/zP+arqdp/by7vVx/Z2p/+X1E/HFsPtpN5Dhd4bhXSckmAX&#10;kfxcsCUSR4t050zSCadwEFLfRQjtN4pyt/5h6VhJNm8Fuwh5+tQmEocG3TGxmVCwyHNGvRYttN9I&#10;pOMtRtVjkVZDtacvqx+IUCKxGtCdE5sJBYs8Z9SrzKtPI9Tg1LH9O5CHC+kWXflNgJ+HIcdLtWkw&#10;J1aOIXfsbWWR56yrVxrMbfh5GHK8VJsGc2LlGHLH3lYWec66esUO5lPH9+/E80950HV3dmu5YJsj&#10;ebhgmyHltUKLXiyqH9W6g5n35UI6iFRnhXTnOYNN7XPZyyffEfJLOa3QYo7k8Sqbvhxlasq8fo/U&#10;C+nZ+rg5p8wnZ1w/F2wzxtnknOSJle0lxblmCwqUo+rpon9+I6Fmkeesq9fQwWwps/qFbr3VeFTf&#10;BEuDcrd6veRHuoHk0wjlvVhUP6qVnjHHnAOO7dVVo+0teYq8ehHSXtz+CM8psvqrPK8Vyhv4jiUk&#10;lAaR6iTB3sC3T+Xo5ifDMsOch1+SfLFCO/NLYfr+UN6H+QX0Ru4v8ulL5ycAnoSCwzxnsYPZR5FN&#10;Xszri6y6ASkR7rVCWKSPF5u94GsN6Ue1vrcyvM9mFHR5eb8YX3F8/55IeTlz+fXfTH6EWvCeIZ+l&#10;y8P7uL69rPpfN+96XLjP/CL6EsIzzDD9FM8j3KLIJ+/mPlP3UKTm0GA2a3wNoTm81grhOeO8epuU&#10;4zVSXkL0aosTBxzmOdu0wXzu2Lnbd3m6cNfr249qQ+8x8zW4kPbS5eO9YnwhL6Hxck/IRwzpdfby&#10;G7+ty8Pp8o1P1o/o6hMzmLHZgNf6PGezC8/MsTnHrTXrfBkpkbk3mz4boYMgNhMKDvOcbdpgtmg8&#10;Idz1+vaj2j6DucjrP4FFhHzYbMF7hXwW15tl5+6IlAj5sCnC+3V5LSGPppfrMS/XH4NUAxP/Q+5D&#10;uEVXXjOYZ/FR/Q/YbMBrrRBuIeXMMdRuvX0Vg3QD7kHoAmIwAnPAn+fN10k4hGiG1sewiYN5KO56&#10;fdek2j6D2So0nMmDzRa8T8hnsc+4tH6Nx8J9Xd4uNL322Ev/oE/hIUJ5zWAus+kbzBC9GZsNeK0V&#10;wi1sD9xs4Nb7enhzoaIYqM86CLvcm0X10bBJg/ncpefvcdWJa++Ozd6464XWDEG1fQez1fjkTXeD&#10;tQHlsdmC9wj5CK1/7smmVyEkwntZIdzC/syssCmi6bWX1W9v+PLpZ5BqUOxWn234jJBqEcppBnMI&#10;XmuFcBRuD7cPxcrd6sMIHSAV9KUc1QX1W0WVWfVe7OogqB82l8omDWabK7P6o9jsjbueFVJRUK12&#10;MLvbPO4Syll4fchHuH77PwCQmjPO62dSHiEvvFfI35W38D4+r+u58n433BWpFq7XapxVGdIqVmEw&#10;l6PqD3x9zONv/pYNQk2CyZ5Qz1WSeclxPXZvMNQTm0tlUwbz2Z3qGptb98F8+pLJvXiM5zi+OMFr&#10;Qz5CetKD1JxQzoV7ff7xaPqEUJ7gfSSvmx9n9VeREnH9XLB0sgqD2eL2oV50u9ytXzMzunDzIqG+&#10;q6H6NHZrIVBfbC6VZQ3mWKGNiOT3ad0Hs8UMlt/hcTdvkWIcXhfycdwa+zNFagbF7f9lR8gL76MR&#10;ykTa/vr0BbnxC0JZEHM/+R+p1soM3S/A5mVVBrPF7cUFS5tOQ0/Go/CVwA5LZVZ9Dru0MKg3NpdK&#10;GsxtpL5IRUG1sYPZ0vVHIu62C68J+Tj2VZ+vzn4Q6cZC8B4aoUxE8ksq8kr8oC2E1IcEi8gqDWaz&#10;tvgfJJCWUZkM5qXvx3BTDd+JoxJ2ZaEss7dLeo+5jbueFVJRUG2fwWzhORI9EaDtmVGA14R8Lr46&#10;2h7n03ciFIT3sEK4RVfewvtYmZ/xI92YFezRSL1IsLRYpcFscft19lSZDBqPBPU/CmEXotDUDekf&#10;SxrMbcZ5/UntmiGotu9gtvA8yQyB+Z/6wtaC+0M+F7eOavltDbw+VNeVt/A+3OvGy7x6K1K9cPtd&#10;6Fm3PgS1rNpgNq8W3sf7lfn0IUjJaBfW+lzMS6z/otrDFnZBjbaub/8+bNJgXhTjUfVvQ9e0H7pQ&#10;7ZDBbOEeV7C00Pok3FouWDrpWyfh67Un/Jz2dupvR1rEDKwn8h4urX4e79YN5qsfPD2OkBqqPUxh&#10;6Qj2L9LW9l8jnk0ezPbYcDMad82YdS3auj4+LqRbaH0Sbi0JaRV9a6WfWaiXm3PzLl2D2aLpt3WD&#10;WeN14bWHJSytJqa27xp92NTBbNfXeiXcNWN7aeu0vvHJm05yb1eN1ufDrY/t0afWDLdnSd6uXm5e&#10;8hCawXzm4v27dPXaysGs8bu49cuUOQmvxbIq3HqEvWh9i2BTB3OMV8Icz6v4mtp+p7+1+f+QEfYS&#10;4+UX1+mq0fp8uPWxPfrU+ry8j5Q3iF84jFwDGsy+vKUYVS/q6rO1g9lqPJo8CulOpPplCUt2Yv+c&#10;tk+91rcINnEwa31d8DW5rjpx7TfA0sD1lXl9K1JeuB+hIKbnOzQ13BPy+RiP6jcNqee1mvqQj/fx&#10;eYps+suu72xWvRLpOXwwm3P5CoQb8B72PCDcYKsHMwmWIFLdsoQlg5gf+telWitYvGh9i4DvFxfS&#10;aqTjRUpkiNeu5RP3oXwQvF+s0CJIrN+iqeGekC/EkHpeayX9rEjch/IGPO/zWFyf5OWD2cquj9QM&#10;nrNCuIU7mN0+XfBaK4R7457Hzp4qk4E3lGR+I/wFrCJmx14i1S1DWFKkzKu3SDVcsHrR+voiXYkr&#10;JJSJrOpXS1mhzWDKnckVUn+fxnn1PSj1ItVZmWde/wJLEPJjcw7vJQk2FVRj33NFqBO+Vh+hzQwp&#10;zwVbA8lnhXRrMIeEkgYxXy0lIdVwwabmbHb+e6U+pHFWTWBtQgZseuHNuuS74IjkXYawXAPJ5xNK&#10;vGh9fdmGwVxk1XPRZmHYl6vSWiTYVEj1VtrBbLF+3Jzj9nMFm5rYGne9GLm/0CQPF2wtQl4azNg0&#10;g21ywueVWLXBXGbTp0l9SIOvlcGbxco8o7n30B5a0WUY7YW4pbxGtj6E1pdIJBK9iB1G2yAcshet&#10;L5FIJHoRO4y2QThkL1pfIpFI9CJ2GC1SZV79nPTBheQtTp4/i/SMs3n1nWVev1ryDhWW8KL1JRKJ&#10;RC9ih1Ff2ate0W20DMJrEQpCXr5OX6GlF60vkUgkehE7jPoILaIGWpnVz4vxu17a7iO08KL1JRKJ&#10;RC9ih1EfoUXUQEuDOZFIbC2xwygkWFtehKMGWhrMiURia4kdRj5xz6xAoCvPGTqYfZAvJFi9aH2J&#10;RCLRi9hhJAmWTmL8aTAnEomtJXYY+cQ9swKBrjxnGYP5qvzGh5AvJNi9aH2JRCLRi9hhFJL1jbPJ&#10;s6W4xd0Okd5jPqDcqa7h34I8U1b9BNJriz0GfkzFqH7XJhxXIjEYelBg0wt/AMUKLaIGWhrMcceA&#10;kpWnuKx6rLT/kkLfxZdIbDT0IMCmF/6AiRVaRA20bR7MxW71Jb4/Wo3z6nfRYiWR9lkjlCcS24P2&#10;zs8fKLFCi6iBtq2Dme8HqcjqFyDdoNytX+h6y6z6CtIrhbufVki1kLxFPn0c0onE5kN3fGx64Q8S&#10;n8q8fkU5qm9z42ihXsuyjYOZ74N2jXPHzt2+T91hcer4/p367F+fmkRiY9De6fkDRBJ5rj45fcys&#10;QIB7uxg6mCWKvPoP8oUEuxetL4Yir3+V74NVmU9+C+kg46z+vVZtdv7nkT5S3P2yQqqTIbWJ4Vwz&#10;uuUyEkIrw8bfF7R3ePJJog9p7L+hD2zIj80gyxjMFvKFBKsXrS8Gvn6f/pp6yRMjtFEzzutPuj2e&#10;tFNfjHQnRVb9gFtf7lYfRnpGkU+/xfVwwdZC8lohPUPKa4UWM6TzoNU4n/wx2pjHxPR6yWMFixep&#10;xgrpBkVWf0TyWtk8v83hPkmwDcZekXLWM5/eiFAn7r6QzDl9AyxepDorpGdI+S7Z84zyNmTCphfe&#10;UBL3zAoEuvKcbRrMZV69la8/0061i7SK8ej8w9weZV6/Bek5vrc+NEILNYfZQ+tzIa95gP4aQg14&#10;vxihvIHk65L9UlGUz5F8ZT79c6S9nB3dkvMahBvwfJdQ0kDrG8KQ3ryWZF5xvgxpL+YV7dkDf/UU&#10;hBuYmfVI3pfEZ5kkk78NLQ6gJDa98EaSylH1V7C2vAh39iCZ3yTPcgczz4c0W8gg5bRCCy9anxa+&#10;9pDe2j4aD4ee8WFThfjWTFZ9AGk1bo9Zn7y+Cek5LU82/SGkgpDfPjtHqEG5M7mc9+36zj/yYbMB&#10;7+PzEGZ/rrUeaTBb3F5W5jHT+fbVgb+6EqE55rxOeT+E55j8e0J5gntCvr7w3sWoejzCang96fQl&#10;k3sh7YW82BThPUNecy5b15JH6gJiUIA3iBVaDOqhFZZayP760Pq08LWH9Nb20XhctD7CXSO2nhif&#10;vOkBml5u/qgGs1n3P60Pmw14H5+H0+XjvUhdbxUdeNuDmfcpd15wBcINuAehFtwT8vXB7d2nv9TD&#10;CmkvGh/v1+W1eP2tgAdeHCu0UFGcPP9gqYeNw6JC6qEVWnjR+pTcjq89pLe2j8bjovUR7hqx9RxN&#10;Lzd/VIPZfkO89WGzAe/j83D2suq6kM/tR0Ja5MAXHswIiXR5eJ+Qrw9u7z79pR4kWERiPBqv5cr7&#10;3XBXsaaxEYAXxgotDhVpP7RCCy9anwa+LqnIqxchHYXUq8yqzyE9x/UgvFDcNYaso+nl5o9qMIfg&#10;fawQ7o3bjwuWFgee8GC2QriFNt/li8W+VeP2tipG9ZdhUSH14IKtRVfewvt0eQmxprERgBcuXdn0&#10;B7HsHNG3JGFJL1qfBr4uyX6fIdJRmPN2ldurzOsvIj3H9SDcohzVRSgfwl2jbx+LppebP4rBbPO4&#10;KcL7aLy46YX6lNn536TbXLA1OMh3D2YrpBqY+9TXfTmLpkcfqF+ZTb7C+1vBosKtlQRrg1CO4D26&#10;vBxeU+bVJ1SLWXjhpguH7EXr08DXJS1yMFshPacrT3TlQ/D+Q/pYNL3c/DYNZnvbvMr6Am1zzYyM&#10;g1z3h3+k05ddF3XNErce4cHwfrw/j2twa/g218zM8MU5vL7Ly2nVzW90wIs2XThkL1qfBr4uaZGD&#10;eZzVn0d6juvpEsqiWFQfi6aXm1/WYO4SykQkf0go8+L6eC3J/CJp/PwPcu3BbOG1rmDppG9dCLff&#10;mez8JTxGcQ1SDY+R3PsExbEpwuu7vJxW3fxGB7woVkVe/4Z5oHyXlFu0xidvups5oc+VclrhkL1o&#10;fRr4ulxIRyH10bzH3CWURbGoPhZNLze/jYPZwutJ9vGHNMvLg9nCa12ZZ9W3wubFrUF4ENSrHNVP&#10;Rqi1jvmZX49UEF6D0AweJ5nHz48gPc9jU4TXdnk5rTq60fXnv7yoS+ZZ2ttR1kDyLlplNmk9IMvd&#10;6vWS1yeUedH6lBz5/8qw50cS5VEWBe8/pI9F08vNL2swl3n16b7nivexkvpYUR5lXnw+inOV+fSJ&#10;zZx/MBO83hUsIjFeDb5eRTZ5Mc+5eR8hP8+5Hndbgtd1eTmtOvMb8IP2RtclI91CSbCKlLv1j0o1&#10;yxCWFKEPLkKC1YvWp4WvPaS3to/GY+nKh+D9SXboIK1mnf4fs83jpgjvo/HippdQH8pxzf+Ueabu&#10;wWwxx/tx3oMLlhZanxbqYx67nX9YhHCQkH+8c/Npnuc+ftsHr+nyclp1/I4HjwgvcvWES8/fAzYv&#10;Ut2yhCWDSHUkWETMHfXLGl8MfO0hvbV9NB6LfVvI/hkvNqOQ/vIvtJYPqYcV0nPc/FEM5q5zxftY&#10;ISyiOe+hPlePbjjO12pLN5gJqQdSLbQ+Db4PtENCqZcub5FPH8M9rmATifFyxLrGhgdeRDJ35o8h&#10;3YlUvyxhyU7Ms/hfiK2f+7LqZxEajHStDPsJOdIqytH074QerWtlWFwfwgvHXafPWtoerucoBnMX&#10;vI8Vwr3p6mMGzM18vabag9nGcVOk3UP3s0C4F24vjVDqRePdy+tbuY8LFpEYL3HOPLHlNfYqmLOE&#10;pgkvtCpH1Y8hpcKtX6bKfHIGy6pw6xEW0Xj6wNfvs0ZMvdY3FPOL4R3uWvzDmy7Ms+6XtOqFDzMt&#10;Zq3GtQeOejCXo8nfWj82Z/A+bi6Ez6/pY69hQ76m5MG8l1dvw6aI2wfhBhqPi/WZJyjvxeYc6nE2&#10;m5xAqAV5SPZzAKREuBchEe7jQlokxkt4aygQusgMLzQvL84hrKJRe0jC0mo0teZBekXf/l2UWV3x&#10;fbDiF4YK4dZZISUS4x2Ku1bMerG1MV5Llu3fscvbdzBbr3tRId7HCuFOfF5tH/NLS/hcxTOYjbAp&#10;0uwR3q+Qx0XyaXs8/OLnsPfOu/1an4V7NTUxXou5fz2H+xtXuuPvRyHUghcjpIbXHpawtBr+sg+h&#10;FkP6a+D9SeN88k6kRcyDrnHFL6tiNHkG0iKuH+GlcOrYqTu462nWlGquHk2PIy3i+hH2ovH2GczG&#10;M/vADJtzeB8pLxHy9ulzIP9gtpeGRagF71Hu1vsIN+AeK4S9+HwUN+fzoQh5IS9pPLrlYUi14D6E&#10;gnB/V02M1zzxuqXTT4lTx59/T4QaeAs7MM8a9qn2sIVdUNNVR/kzl56/BKGFQ2u4QrqB5DMv4Tv/&#10;L6dbg/BScdecSfjTe/uBo+Q9rbg+NV1AiKsYVTXSc8p82nhAnLrPj38jUi1iB7P9b6fkRWgO72N1&#10;dlQXSIlwL0INQjkJ3i80mK2ktw543grhFlqfxecrcNnTrnpibO5LvFeoTuPhuF+PhrAI9/m8V53Y&#10;v7vr83k7d9Zb2AHve9jCLkThq+NvNSC0VGitGKG0g/aF8u0dBcml4q6rFcpVPOVEdR+ph0/jvPp1&#10;lIpINRoVef19aDFH8ml0Lttv/eLg+WPH9i9CuJODuvBgPlB9+oKcuOcXZcun1U79aLSwXMRziHXC&#10;a6zKrHolUg24ByEVXTX2nPDeWo1H9ZvQQoaM2Gzgi4egfkcp7Ioa80D9b9xsQP18Hz4tg+Lk+cfx&#10;Y/HJPMt8BEqCSLVcsC0daW1JsPfC/JxaF7rhKoWLO7lIdVqhxYwhXy1lhTYzzDP4h0seK1g6ueCX&#10;B7N5RfBVuu3TzCwgebVCC28PpEUkPxds5j4x/UUpX3ge8y7mPjP7MBqbDdyeGqlnybwor5+J0CD4&#10;ThyVilH9LuzOIKgfNg+dvRM3P8g8a38kyTzDUH933qpiBpZ40RwSbIMwzzbvyM8bwgkl6dytAGVe&#10;/dyiHhT8AXbUGp+85SR2qxe8F0KJBSFdKJwk/fepRGIroQdFkU1ehVA0/MG1KrIf4mD3oqEe2Ews&#10;Af6zcgVLIrG9lHn9/iEPCP6AWjWdOrZ/B+ymGl6PUGJJFKPpU/n55urzs0skNgp6MBRZ/e8IdVLk&#10;1fv4A2mVhV3uxH5SHFuTGE4ZuESseeLw17AlEtvFOJuM6YFw1Ylrg/+VqsiqG/gDZ22U1z+FQ/DC&#10;vL+NUOKQMU8OXtD4uZGy6bNhSSS2B/4gQGir2PbjTyQSKwoNJvPy8esIbQ107Pa/WyGUSCQSR4+9&#10;4hYNKIS2AjrmIv13rUQisYrQkNqW4bxtx5tIJNaUbRlW23KciURiQ9j0ocX/d8l4pz6NcCKRSKwu&#10;py+rH0iDqxxN/xHhjaDIJj9Dx2aFcCKRSKw+ZV6/Yj6c8/odCK897JhuRSiRSCTWB3vtUDbIPoTw&#10;WuJeQAfhRCKRWD/4MCuz+jaE14oyr57PjwPhRCKRWF/4UCvyybsRXgvcP/NFOJFIJNYfe2nQdRtw&#10;ZV5/cd32ech+8mO1KvLqs0jN4DmEOjG/iJ/B68qdyb219bwuJNiDSHVWZT79aVgGY/vhZjTufvXt&#10;Ze6zn1lEH8uQ2sQaMR7Vf7aIO8xhwPezzKYfRXilme/zpfv3RSga6lFk008h1MDmcLOT8vKDK7/Z&#10;bbqt7UHeMp/8vdV8e1R92G4X+fSftL0sB/3qD/F+MT18UJ+rs/37IxQN9Siz6gMI9aIcTf+IeiEU&#10;zd6lN9x3aI/EGnHm4v270A/cqsyra5BaGfj+nR1V34/wysP3G6FoqN68wnkzQg1iekv7Yv90XdvD&#10;9VG/Mqufg5D9yql/xc1OqL7I6mchNI9ZIdSLRfSh+qGPiYUMZtQP6ZFYQ/gPvswmg54hLIpyVL+O&#10;75f9lmikVp5iVD2+ue/9oPpFDuZiNLkaoRnaHuPdeg83Z1A/PpjP7lRXPunk+QdjM8h8f9hgNs+e&#10;P0hxhKIp8slPUo8hfah+1QbzXl69DeHENmAG4W38DvDoB113Z6QOHb4fVgivDe7+j0fVPyMVBdUv&#10;cjBb2bcOEDaDbPpS3Ixi3osN5hioftHPmHmPIb2o9qgHczma/CnVD+mTWHOO8k5g7sR/ydc2D4q1&#10;vEocnbdiVP8NHcssEQnVLmIwW6gfaZxVGVLRUI/Bg3lU1XY/aNsKll7Y+nE22effzINUFFR71IPZ&#10;1hXZ9ON0e6ZLb+j9uUVijZnfAUg7y3/55K6J8Nrh7j9tmyH9EYTUzGsXNJgt1HOubNLrG0Wofuhg&#10;doV0L8q8vpX3mPfNpi9HSA3VrsJgxs3GOUMosW2Uo7rgdwSr8WjyKKQXhruGeWn9VKTWEvd4uGBR&#10;Q3WLHMwE9e7bg2oX8VYG3bYaj6bfDUs0vI8rWNRQ3VEOZqqTBEtiWzHPQubX2SCNs+k5pHvj9rRC&#10;am2xH8zY47DnjIuOr9yZXAGrCqpb1HvMuDmH+pt9/H2E1MxrF/QeM21bzQyRmAF6i631nvvI/9Ez&#10;r/MMZpvDzSBDB3ORTd8sHk9evx+2xDYjfZv22WzyPKRVPGmnvtjtYYX02uM7nr7HGqqL7We97mVR&#10;qUe5U/8KQmrmtSvy4Z+vrm9PqpEGs/1DGHPO3ojNIH0Hs6+G//0BQolE845OMg+u4PunNi/VnTq+&#10;fydYNoD9i+wxYaPB3m51JR0zQmqozvxi/BpC9tnhJ2L7kX+M95SL4/v3jO3BodpFDuarsxvvf9BX&#10;/4cd5gnC02yN/RkgNOeJ2XXfNO/5gMm9Ee6EasZ5/UmEZtB9GZudLHowWyjX9bhLbCHmpeHT6Q7C&#10;Ve7Wr7H5cVa/TMpbzRpsEF3H15Xvwq23sucfaRWzmrz+kNsH6SjcHqbv65BS4dZbIRV9rswvrNeG&#10;/DxnpXlLw62RBGsQc156/Ul2yM9zPk8iMUO6s7gyd9JXw55IJBKJw8J9lmyG8QeRSiQSiQ3n2LH/&#10;B5/LaIkSfwyiAAAAAElFTkSuQmCCUEsDBAoAAAAAAAAAIQAB8zAKCXAAAAlwAAAUAAAAZHJzL21l&#10;ZGlhL2ltYWdlMy5wbmeJUE5HDQoaCgAAAA1JSERSAAABEQAAALAIBgAAACijWnEAAAABc1JHQgCu&#10;zhzpAAAABGdBTUEAALGPC/xhBQAAAAlwSFlzAAAh1QAAIdUBBJy0nQAAb55JREFUeF7tXQd4G0X2&#10;VyhJbEkOiWOr7e7srkO6Lcm2JJMDQj8gIbEkh5ZiSzKhc3AQICRBkh1LDu0oR+/9/rTjjqMc/YCj&#10;9945ShIS29qVnEpJ/u+NdxVJlmsKAfb3ffNpd9qupJ3fvjfz5j3dzoTwRAsXLi+tCU8sMXSdl5ij&#10;TtNFUbvl0XCF+c+0EiBqL/lDxGGuD1eYJitZGjRo+L0j6jDPaqq0bsYUcZjagUzEsN3yiJqHKeow&#10;nQbEEYw4LD+peUscpTOxPRJOeHLx+Fk63VDaoQYNGn67QEkDiODmiNOcijotV4XHGkZnkgVNDvMV&#10;UP5dVp7TLIEEsi4zL+wwPbbEbpqmnmOfZ0wsGqVcSoMGDb9FhO2mFzOJIOo0P9HktPycmRdxmm4N&#10;O00vbDm3bAKCuB5IpzOrnsP8EOSvycqzmy6EywwJjxlVpKpGGjRo+BUjPLHQHLFb7o3aLbeBurFr&#10;1GH5InPQhx3m9yFvaWYeqDeusKgvBYmF1oXyp6CrIUvKR1dlqjPhcvO+6nE6z2F6AAjowSaH5Udo&#10;9yMQzY1dd6JBg4ZfHRZNKikDKSItKQCZyEAmr2UO+qi99F4kl7Bj1MQmh23eeXuOsinNdWGdbpcz&#10;GF2BckoRrjCVNjlG73lu+YiReN7kMP0ls7+Io+TELMkGiGTRhD0IbaxBg4ZfF8LlpY2ZAxzTeZOL&#10;q8NO8w2ghrwNBHMlqh1QdSjHcX6R4e4p48jrAke+ExleKiP85swkcqSD57hvRJZ9C9J9vI2bu5fJ&#10;VBq2Ww6B/s7AFRtQZwK511xaaalsqrY6sR4SVtfdadCgYacEDtSo03JPUwUQhMM8L3dAn2dPSxq7&#10;iyxpEDnuMSCHNTxHXhNt3FLCMLVAENVAKhaok7naMoQbPdrC22x2wcpNF1iySGS5l3mG2yCw7DMc&#10;w52KdcIWXSGQ0/fq9cJ28+dNdtNt6nnUaf5kocNQ0tWlBg0adio0TxrJRh2m9RkD9r2Iw3RxxGna&#10;gGpN1Gk6u7i42AgkcS5KG0Ac7/Esew4xmXiliwHDbDaXcBbmFIGQ/4o2kgBpJuYfZ66Gay+G654T&#10;dlinqPejprC9dI7SXIMGDTsTIg7LwtwB2zyppEwpHsJb2aNEhv0eSOQlzmabpuSnkYh7/iS1utdL&#10;cc83HS1Vf1Cy86JtwThjR8y1V0dzNatk6UB6mSIy5AmQUtp5G3s8ZA1dXF48LveeNBLRoGEnAxp5&#10;nSOOHBGuMB+Ky7HqYEXp49QxumEmk6lUZJgnUPoQGG620iwLq8ITDYlYzQ9ya81mTImY+zWlqBtW&#10;nlmhl+Pu/2E9Keb5oX1pZY1SRMEzzB9B1flEYMgbKOU0Oc0Pbrkn83dRR+l5UYf5FVC3/omGbUoz&#10;DRo0/BJYai9xgOpA7TdwYKLdBwzURJPD2oYWpsRqdYoc+RkkkJeg+i5drbpjE0gWibjrR5VEQBr5&#10;APOlBq5SCvJxKcC3dDYw5ZA1pCPuOlathwkkmFexbi6AsK4WWbJWtFj2Dk80TwxX2mqWOK0HqoRC&#10;79lu+kiprkGDhl8CTU7LqqxB6TQvVop0PAvqC0c2CTb2DCWrV0gtrucTMc+mRKvn50TMVd8Z4I+U&#10;Q/zflWKdHOBfkBq5A6R45QFYL00k8ep0nVxwVutBeA9wL6jegMplvjnzflFyohU1aNCw4/FnS3eT&#10;9YjDcjuW8TbuNJAC1ggsuw+tnAdACKFkkP88GeCfSTbyr2/W6XaVwvY9NoNqg+XJEH9f+2wbQysD&#10;oHxIMkSewE+p1fNnKoXEPI99euqYYUqVvCAWy3iUhkAyuTRSYToq835BEvlaqaZBg4ZfAjAI/5E1&#10;KB2lB6MEAinF22werAPqxpxE3E1VFfh8dfMs3a5yiBybbCRNm6fqdsM6yXnkMCCNJ/FYRbJReEY5&#10;TCM3b+UcnT4ZFP4GEsu7QEh/3Txft7tSlAWz2UwElvuBEBIIOyznNTlNUtRhegs+L2yqtLwOnw9q&#10;NiQaNOwg4GRpxG6+G6SOd3H/SthhPh8+/w8IZZrAmF0wWFMcx9Up1XVyq2dtWvWA1NFUWQ7Sx52r&#10;51rHKlVQythFCvGrV88ejfYhFFhHOUwj2cDfoRzqvqnTFSRDwtNSgHhp+yDZH8jp+c31uuFY/kxY&#10;t1t7q2fCVyDd4LnAMC6QSNYQm21/PAfCm5lFgE7zt+GJ2k5gDRq2O5qc5nsyBx8Qyj+UIp3IsP8D&#10;FeY85ZRCitV8mEkiiXAVlwwIzckACShVKDqC5OhUkJygnOpAurhBOaRIzLNVyCHhFOVUB5LHWUAa&#10;FyinFHKDcIEcZKuTMVdx+rpxd2dnvAYnZXWEZRt4lrQxDGPLNZnHFB5rGU070qBBw/ZDxGl5P2vw&#10;Oc2fQPYQkSH3AoG8CMdZKkXiwr2IHPc8nWj1vCrHXHSJV6onvBQUXlLVGRVSSPhYVUnkBv4+mqlA&#10;CvAxII5xeNx5gqk0GSSv5qovqYBwy5oGrlKOu07MJC4p7sH7okCTecHGPRi2mxoyvwcaxaHFq1JN&#10;gwYN2wuoymQOvihIImxJSRmoCj+NHr1FHVHR0WBl5RAzJnfAgzQSAWkka+UGJI3/4LIuHoOq8m+a&#10;qSAV4F9qCxZb8TgZ4q+EVE8LFKwNstZEiHy6CdQcaWm1P5NEkq2evyrVEMOA8FaMtXFzog7zTRGn&#10;+VP4fA/UssPROA03/in1NGjQsK2B4j68wfkuexDLl00O8z8he1fRRpYLDHNmV60tSMBATzaSd4As&#10;HpcbheXJOV2TrQicFAWV5YPN9YTOYSC+OIrd51W/7WK/oJ8TqRr1vk8wPuvn9f/ylxkuffdI2/pF&#10;k4rKvj662ApSyQtKEwqcH5EayffJoJVKKgiQPmIgAX0ptXj+o2SlITDcySLHoQS1K5DGbmFnadqT&#10;WsRhuVmbZNWgYTtgyaRiV5Y/j4klDsynm+JYbg0cZk1Kds5hJqcahUeVUwqUFBIB7mRcpsVzuYE9&#10;OBUkD+Gg9QmFIT9v2OATjeu9guFNb5k+CuRxnK/MsBBI5QK/qJeAVDaeWr7Hpqv3HX0kNKd9YF9y&#10;gH+/rYFx4bkKzEfpR71WLkD1+hjJpMlRYle/U/q72U37KdU0aNCwjbBL1GmSMgda1Fn6MBbwLHmX&#10;Z5gltFYGkkH+T4k5vF05pcDl3VQDf3MqJNxGz2GAv+K13eUTDJ11ZXppprXQgWb0tHIe1DG6Aqh7&#10;olc0rK8TjM/U6HCFhm+Rg2SZUoUiWc9Nk0LCSjkorJUCBCWObuBAnRFZ9m0gDHfm9+r6bqYjlGoa&#10;NGjYFkCRvynHPWGT0/w4b7WOExlWgip0HgEnUdtbHBPxOBXk/Dh3gceZwDkHuZE7ORkS3qgT9LO9&#10;on6Nly+cl6lCjNHphtXyhql+0XBCLTH4ji7VmZQiiplEt4dPNNwRmmCUPzuW+ZeSTSdskwH+dSnI&#10;X9UWZK1IUutDzBgpKHQzbyc63XBc8nVztgMiTnNK/V4RR+k3C8bpjEo1DRo0bCs0O8wnZpII2lnw&#10;DLcA/XpguRxzX6QalUlxz0MgdQwForhbbiTX0w5y0OweuRQIRD6CG57esVvLF9b7eMPrfsG4wSvo&#10;P/aWGe7yEcMrftG4CfK+8fGFl8wq0am+U3cBtec8H29sa60aOQIkn7vkkPCsXM9VKeVpIJltrupu&#10;iAYqzTK6UjOxaNT5FaajIg5Tc9hhPgk9qClVNGjQsK3QXFGyd5PDvCyKFp+OEqqmAIG8QxhyLLVC&#10;jbs7M1dEEs1O8j4QSSrAz0828J8lG8npm8NdEgtIFxN8oj5RSwoPw3NUYby84Um/oP/Kyxkap1t0&#10;ufYau/iIfn+/qP8nEMoKH6c/SM33i4UX/2nyiDVt87g5z+QsGSNQGkkF+YfxXpSsNDgL9wf0lobH&#10;4fLS09GdIpVGnKbEknJLjyb7GjRoGBiGRB2mS9Rt/hGHZQX6LS0uLraCOrAWKyA5JFrcX6RJJOZK&#10;fXfu+GLaGvDRjGIj7sTFVZU1Qf6QOtH4H59gQM/supkjQDURDMuRIA426fSpcNXoZLzmDDnueTIR&#10;c3+eiHk+7ojX3J9a6vIiWdUJBSfhJGstVzgd208FycRPDN/4eWPWki9iVT0xywH+4mQj9zckk0Ss&#10;ZrbU6mlJtlZPwfJRo0YVCSz50WU1FoNKsyFT0sKlbNqJBg0atg5nonPkjMGFCaUR3sIeghOTSjUd&#10;OgiSYu5HIP1Xiru8SnYW1swebXn0cNMdIHG0I2HQVRlR/xCoKrgMO0RqcR2YaHV9T/tocR3X3uKe&#10;2NZUWSXHqi+SY56vQdp5Vo6XjwS1Zi5IJN/PIoVm7HcmN3yKTzT+jH2unGPSdzZyB6RC/B2g3rwp&#10;B8lJWCcZdzVkSkpofo/5AsM+M4Hj5kad5o1Z39FpSpvYa9CgYSuwcIyhJHNwYYo4TAsFhpzJMyQ9&#10;qamiMySYkiHhTBi816eC4iXJEDk8VU/Gr53H2Dadqhvm5Y1P+njD+VjXy+kPgPPVeNwWdlqBfDpB&#10;ApmP5/nQgZavMfcrmy6uKfAKhluAjB7A/Kk63W44v/Kaz3YTWr0mgUCkOSaBNlKAO34zSUS9Dqgz&#10;i7kuC9ZTtqgz5kR4UgmVVjRo0LANELab/5lWZ5yWVHjiSE7kuCuJjUSVKhSoMsDb/4PkXLIXnsuh&#10;olGJEDdHDvIPyCH+u2Sj0DF7T4PsJQXUG1mtYHgMiKAZ1SGQNNZ0xDzpuLth+4g9IvbS44CwQmqI&#10;CERH3P1WR8x9Vq116FiQYtaoqzreMn0zrtjQSnkAJHIa+ipBAknEPRsTLc4KzBcYxi2y3Pd4jBH0&#10;opUWb7h8FIMrUpinQYOGbQS0Fg2PH12pmoULLPeoyGRvosOVETlAjlFOuwFJxl9m3IQTqfCaN+Kq&#10;C2QPkc8tH5mIu39uWzaFLq2GK0oOzTRsa7Kbf1w8zkitUdtbqw5OtLqp9OIVjM+gkRoe+8zDCao0&#10;eNwTkjHnXlLc3bQ8PJFTsnQiw0wWONIOh0OAsL5BsqSE6TQ/2FVDgwYNW4VzRN0IEPNXdg0sy8/q&#10;hCOGeyhj2aNoJQVyUKyWg+whymk3eLnCSr9g/JAeCwUuv2D4HI9x/iMRd9GlYkTYaX47TSBKijjM&#10;61BtQSKSYp6VuPoDJNLs4wrTtijBCXtsaA+S59DviNzI3wRqVWsyyF8lB4S3QEL63+aTuofWJGYy&#10;QeRIB4a7yLomfNfFjtF7KtU0aNAwWEQzovanU3lpeT4SWT7dUigF+f9m+gXJhF8sqvbxxnfxuLbM&#10;uJdPMFJfqnLcswxXTfAYEckN6K2kMBlBfYOANPFdMubayycWhaG/52kjAKgza+qY/EG9O4LMZJyn&#10;UU7TyCCR2m7Xc5ip4ZwGDRq2AlGn2d9tcE0urchHIohkPamRg9yDqYDwEkgEb4I08HQyxN+N6bkj&#10;LA/7Rf1XWA9JxMvrP8Nj9Kkqt7jfxGNE2Gl5NfeaTQ7TWnX+Q2rxyB3Nk9guEtFfTRsBgJR+yDBG&#10;6wY5xNOJ2EyoJAKHu4QrS/+nXg+koW6Txho0aBgE0JoTVJl0VDn0YoaDGUlEsHE0hgudUI3VzJZb&#10;a8KpZe5ejbRwoM8o1hmncbqRuNkOBz36Vk3EPT/jJ9bBDXCgQiXVazY5zRtBIqIb7JKtQDhxz5d4&#10;XMsbX6jjC+fRY+vQsQ3jjclNs8dgaM5u2HSobhgSmXKaBmNiJqsksqjCJMB1/goEcoI2sapBwzYE&#10;zkVEK8znR+2lly8d36WqCBx3M2/lqAqSXOaanumBXVpaSX2CZEI+dsTIVKNQN29PQ8dMbtiBmFcr&#10;Fv7HTwrPu2eWbldQUT6SYq4WJCQsC48rtkbspgURu/kMdXVmc3jqbiC1fCq1uEN13DAB1ZeDRupG&#10;YJmXN9x13dTRL4LK8hy6SZQD/P0geZyfDIkBqUFoTIWEN3BnMdbNBGe1TsHVmcW4mxekHUqUTtOG&#10;JqfpaKWKBg0athbRCssf1dWSiL10XXi8aTLPcEuASOgKhtziekYlEJpa3Cdj/qZTxwxrDzHuRJBc&#10;i9v1k0ESnTe26OE60XAJlnuFwml+0bgcJZuuoFQeKRlzn7U5vMXHiIrOFo8JiOaFjpjn6c1h3W51&#10;vOGvqp3IRJ1uKEo102yF6V3Dr1fpdu+oF/+QDPDzkgFuTluwOO+mOoElf0Z7l7DdklZlMOHkrlJF&#10;gwYNWwN0Xpw5uGhymu8iFqYWVJpXsE5bc/VcVRKBzx8SzZ69pSCplYLCSpAC/rHmpBJqWYqYJg7d&#10;s47Xpw5hdHQC1MsX/tdPDI/D4RCp2S2ANPJpIuZekYi7TwYVaUxnS/VkOL8Io92BFPI4hojAnb1A&#10;GuumMQU0QLif0x94WvkeGzoayOWJ+SKVTDJBV3RaPccBSa2VYu47vzmjpkApwqXqxwSGOTnsNCUy&#10;v2PUYXlPqaJBg4atwZkmnZ4u72YMsLDddJ/ZbJ4gMjy6AaDoaK2eAgSypD1czoDq0IgxYpSibqgT&#10;jfd5xSIao+aQIt0ov2D8sZY3oHd3Og8ht3oOluPut9AoTMKB3+K+Qw5PpKTj5wsPQXsQH1fgx/ND&#10;R+mK0N7EK+gP7qwn+8F1k8kQdxoQR9rN4Sogoyx1a1nNUqVod5EjaKtiDI8fORlUpx/od3Rafo46&#10;Sqi5vAYNGrYBcKIxi0TKS3EX7RCeZb+G1M0uJBkS7sm3axYh1TO1q+vJZ37RsBYkCKr24LwGnH/v&#10;Ew0JH2/Yl1bMQZdxmv4lIJCf1DkVhJ83PAVt06oHultE361yo/g9qDF0kx6QUG1a1aLJcw/mcxZL&#10;lciwK/H4vD0LbBF7yYImu+nIc8cb05sHNWjQsI2ANhO4ahJxmMPRSssfMY/nuLDIEPSzmgU5yN8g&#10;B7isYNnfh0pNqQB5RQrwV6YC5hLqdIg3bgApJKhU2RWO5+DGOp9gXO0Vje94Rf3LXt7wGhDL1yht&#10;+AXDpZBHfX1UgRSB+2eWVI3acOdUQ7dQD51zTKVSkH9EaiDBb85gCkCi2ZiWRFpclITQHwqoM8/i&#10;pLEqbcFnasnkUmq2r0GDhm0IfDtH7KZ2VRqB41sxIBTPkTalShrtAW6iHCL/2BQsNkqNJkEO8Dcm&#10;guTVtUG2Wl19STVy85+aYX3ez+tTPkF/HWTRfJxkBaKY7CeFh9UJhlk+weD3EmPNTMXQDHEEu/sk&#10;UF9e9oqGd56ZUXoQSD5fqft1MtE+e1SRFBKoQVuitWpEIu7aFy1daSGoTjzLfWPn2SPV75T+bg7z&#10;jUodDRo0bCvAwFqWNdgclh9xYONA5G3cXKVaGm31tv3QLkNuFG6R68nRKnkg4PxQNE3HuDNHMMPG&#10;gATyNEgl36KnsjqzoUSp1g1ILiClXA2k03H5PqPf/2g2Q6UYjNmLLhDlEE8Dd6vAjX1SQHhJOc2C&#10;YOWmgyrz1RmMriDre0GKVJR2c+uoQYOGrUTEbl6UNdgcJuqQSODoYMRdsOmJzN6QbLDtmQyR19Y1&#10;lLFKlu79ibqhL9Ra19fxxidRxfEKxjd9ovF6X1nRZZj8vOFOUGu+rh9r7PTx+puOYPWT1tSXmIGk&#10;XsOlXKUbXTJI7pUD5FKpnlCpBb2qpULCQlqYA1zWFViW7kJuspvn4GQqJRC7ZcXiCaZJtJIGDRq2&#10;LcIO87s40NCBD/ojxbySkhID7oIlDJPliGhVzDlGirmeT8Zdb8gt1dRw66t6HU56viPnhHeQg+SE&#10;RIg/DY+h/Ipr9y05G9ScpZj+uk/xC3W8IXwEKaiRGvgPM6PmpUDykEPCX5RTCpBI/gwqzMsY60Zq&#10;JJcp2VmAez0UA1idOqmkDDcURp00uPc5aA+DO4yVaho0aNgeaCq3jos4S+bCG1vGScgmp9lHbLb9&#10;cKl05MiRaRsN9E6Wnshsda//KkyGJ0PC5VKQqBOpFDjJKgf5NtU/KlqcrptvSW/VR9+syiESzCud&#10;IRv1A4J4RqfbTWoUPlQlj35itzKWvFtmY88DAvk8U7qK2k002LcGDRq2I84bP9qSOfBwbmQ+2luw&#10;3Cciy6YnJBMxz8cqiaABGq6QAIl80TYjOxwDbtlfHxTTS7ZSkM8K7yA3lqU9naUahH2SQT6unFLg&#10;7lzo9w3lVCfH3a30mnHPv1+fX9XNwztn4y7GWDnoeCjre9DvYr1CqaZBg4bthfMrRh+VO/iiVRYM&#10;+4BEInM22zSs19GSEVS7xUV37koh/tOVc7aEY0C1Bt0ZKqcUIJU8pRxSZJIIAgjjf7nhH0ClWYNq&#10;TnKpe1qmUVmixXWtUoXCZrPtCRLTT8RqdcLpkEildXXm91hSYaYGbBo0aNiO+PNYw+io05R2agwq&#10;zRp1xyuoNfuLDLues1gqcTVmzQUuc6K1isNVEixPHmPbE0jijdRc84TOIHcgLs3KISbt/2PlHJQq&#10;SKtySoEkkmwoS/s7BXXodrmBm6WcUqSCwsto3JZocZ+cJi6auozKVAgs6eCtbH3EbjoZg3mf77A0&#10;RxyW93FfEJxfgMvLSlUNGjRsT0Qnl+4VtVsejTrNz4A6czGklzFFnaUH0oBQHPkO3/pK9Sysmc1Z&#10;pIAYwOVYdN6sZFO0NQguOSSeq5xS4KY9XNFRTnXJudZiOUTeA/IZQ89D3JxkA38fHm+6bMywjrjn&#10;S0ogMc+atnilGsiqQGTIl3Bvl4edpqvS0keXeftZSh0NGjTsaCweVzwuPSDpoDRtPGfcCJ5n2Yt4&#10;lvvaarWOVarmRWe8plyKu59F14hSrDrQcZSVTQSFLBUEVJV0VP/vWzwmnKCVg2y1HOBuAUnmulQD&#10;16gUU7QtG2eUl7qq25fWUIKCeygu48inIkvQifPQiNP0cfY9axvtNGj4xdBUaZqeNSAhhR1doRbg&#10;rX8hkMkq+OzRSRH6EMlSP8ITRyWC5P9ApYlIoO7IQbIsqcTzpWE6W10/SjH3hkSsuptxWz4wpUy5&#10;wJAvBI77G5xSYzeQoF7LvF84T5OUBg0adjAWTxo1IXNA4i7YaPnofVCtabKbJvEcd5rAkk6e4U6F&#10;6mmLVRW5oTcxABbmpwLs3lJQ8KfmMXQzXtuCcUYpVvODWk9q9azA/F6wq8Bws3mGTY4BqQjj5ERR&#10;dXGaOyJ2U0vEYXlX8Zb2ysLJ+qxg4Ro0aNjBiDpKZsEAfQ8HZsReegYcd6ZJxWGu5yxcpcCRb0Ei&#10;eTtXvUnEPX+ikgXGg4m5nscwmUpRFlaFJxpwmThNNspqTz7YbDZGZMhDoE6t4qzcdLQ+zSQ6TIsq&#10;RmQFttKgQcNOgqjT9N/MwRq2W2hICMAuoFbcJrDcBsKyV5ARW4zDMv1+9IZUi+vcjrhHAjJpQ98l&#10;SnYaGFdXZLglIkfWigxzb91EZtSpY3TD0Ddr5j1hWmIfTZehNWjQsJMhWml+J3OwosvBep1uOHUf&#10;YC/1FhcXG4FM3kDrVtHGPWcwdN/CPwgYQOq4C/sE1ek7obTUFKkw3Ylb+zHR8JgZ94Rpwbj8rhI1&#10;aNDwCyM8tng8qDVd3sEghR3mm6KK82NMSDJQbcgYs7kEBvwFMPB/BlWnTbBxD/IMgz5K+uVhnWXZ&#10;vXG1pQxUFp5hNwgMcxs3mkMH0kMidstsJI/0NR3mZDOoL2Gn5ZGIw/T3RZNGpjf+adCgYScEDtJw&#10;RcneOLEasVsXqINZTYsmlZRFJ5ldkQrLwj9PKplCrFYHz3FLeBt5HQjlR/Q0JrLsRyLLvS1y3Ms8&#10;Q17AY54j7+Pcisjw69H9gMBxrWUcV+Xbs1QM280vRirNb0fKzYvQaCz3msqtadCg4deGZqd5bu6A&#10;jtpNV6GFKD13mjeCtFKHddHp0fETTe6xNlsFbugTLOzBQBRzcJWFHkPibTb7SeWlB0L7Py22j5yE&#10;FqYRp/nTrP6dlqa0r1RIIJXQGDUaNGj4FQIj+6MdRnpA203n4EqOeo4Jz6MVZr9KLKB2fBmeXDy+&#10;GQNJOU1/j9rNn0Wd5huQMMJO85/TBOQwr4f+Apl9YYI2d0SBaJrslqtBfbk4PHFkekewBg0afh0Y&#10;LjCMWzlGDAlXWMeqzo8jTtObOYP+rcxzTOhZDNSShzLzUE2BtlkxesMO03ORnHgxuKxMr6pBQz+A&#10;LyevYJjl5w3H5Us+YqhVqmrYgRjGs+RT5bgbFttLa4E4OnDAgxSyamllaU0mCdB8h/lvIHGkQ3di&#10;ArUklUsYuH8HI/fD50vRSpBYHKU3hfu5ZKxBQy78gr6irqxoc2byi4ZXlWINOxI8R57vaQOeikVj&#10;TWmDr/Mdpr+kV1RATcGQFFFn6b0qWWBZpMIcjpSXHgPHayiBOM3SEiU+rwYN2woaiewkEDjuHmXJ&#10;lqKM46Ywo7J37OZi8YSRk0A9OXdBcZfTIhAzh+KyLC4RR+ymi2klDRq2MzQS2UkgMOSyTBJhWbaa&#10;Z7mblFMNGnZaaCSykyCXRLpM0tl0yM1tjZmc/kBfmWE+Jr+oP80nGK/JSrzhr1Btqx0O+YixNbdv&#10;PzE2q9f2CvrZUE1zbPQrhkYiOwly1RmGYQpw34xySsGz7A022xany1uDWnZYmY8YxmPy8gUzuj8I&#10;xk0+vjB9P4PBoWZdCZDGD7l9+wTDIvXaGEMHqnbbrazh14Pc/1cjkV8IAss+DSpMmXKal0QIy/6Z&#10;WMmfldNthpmCvjz3QaAPA2/8FooHvXJTKxT+DQOJ5/YLJBJSqmjY+YDLt41+3vCwXzA8Bs9An8v/&#10;uf+vRiK/EASG/VA5pKCxaVjSqZxSCDZulsAwaS9muDkPyGaycjpoIIl4eePq3IcB0zSmoNfJ3Z4w&#10;VacbDtLM235B357bp0YiOy/gObgh9/+abtH1uukzt75GIr8ARo8ebQFJ5BnllAK3/kPeI8opBSUR&#10;G/U4RmGxWEbzDHu/cjpoIImA2oFzFxtzHwgfr29Rqg0IflLonMkNnwJ9tnXrUyORbphJdHvUCkPH&#10;1hLDhOkWw+gZyorbjgSquH7BuCH3/5rBFliVKnmRW18jkV8AAsOdLDJcWDml4Fn2SCCRrHCWxMIc&#10;S2yEhrFUIdpoOM6tQheJGE708oa7ch8ITIN4oIeAKPwofO66PUgE76eWLSqj943zKtww4dAxuiKl&#10;eLvgYJNO72f1k+BNPW9WWWGVly+0e0V9OpTHYOG1FdTAb/W0ny98wcfpr/EJ+lu9gvF9r2j8yUsM&#10;r9XyhYfg0r1SfbsCvs8BoIJOryX6Y0CNWQUvkCTczwNQ1KtKm/v/5pJIHaMbhb8XqLYNvrIR8+kL&#10;pmz4NtkZfjgpNGN/+L9g315OfwBea7o4fLtv3QBpezefbeietaLBV8cPnzqTFDpmWoezmK9U2XHg&#10;GfIUho5QTik4lnvMZDLplVOKrp277DzllELkyBrlcNBQSeQIQX9w7gOBCVdylKr9gpcrtIBOfSc9&#10;zqMmDZZEZll0nFc0/B88pGt9xHh9rVh4mI8r8IMOfw8MunXQ7yMzWB2+Nfs1UQv1/4LqFnwmu90j&#10;b/haqTbEyxXM8on6DiREn2hIZL6tcaDjg6PU7TeqdLrdYaC+QPuw6RglOw0gj3r1GnCPXxzTh0rR&#10;F9BU/Y/wv8CL4ngfX3hlnWD4t5/TPwa/5cVeoXAaErOfM86ZDqSsNOk31PtM3+8WEhkCv1cYf2Mk&#10;JX8ZEJNg6FTrAWl9eTjRmZW6A0KVRVcI//n/wf/yJZIf5o3R6YZ5if5oIOUU9u8TClcrz0O/UccZ&#10;6uB/Xl0nGiT1PjOTUk03gx86Dr7bSkgd9BmC50+t0/V9CzxK1R0Dwcp9Bx+ZD/5wgeWQHLLeQJD3&#10;qJgzBwJ5zyqHg4ZKInA4BP/ozB+t60ehUkW/4eOHHzV1hI56YvOVGb7O7Q+uNWASqRML74E/6ie4&#10;lzfyMT0dBKJxBU7kesv0WWpgHxiCb5Bu96iQiFfQ/93HG+dmXHMXnCPwlenldF24r1oyfC+lvF+o&#10;FQxvqu2nwdtMyU4DpQ+1HBMMzOUTBymR+LhhIgZ3x9+mDgjwqJFdb0v6JiWGE2n/gvFHIJckPPxL&#10;lWb9RuZ9KveKJDIEBvfLIF0dBMdpSQavmSnx4m9XJxTA1+0/4L+2ouoN6QeUEJXsNGbwxnEZ/cN3&#10;LqC73gcClHDUPjITloG0MxukxQfxRQCnOG6H0JeCWHivWo+ubsJLCutvd4A6crxo47KsS4nZPIFn&#10;uW5hGXiOfKYcUuBcCqg96TCcg0UGieDbmT5U3RKoDLRyPwBvufT8ztaSyME6nR7eNl+pbb1MQY9m&#10;+15SUKPWw5Wlg0bq0nGOewOKv2o7NSGJeNnCeXXEkBV0XYXPPJzgg6LWR+nIayu0K8W9AgZubea1&#10;Mn+vTNQJRY9k1vMR/fVKUb/hJYWHwkBar/YBalM3S2b4Hh+mryPqpRqdrkAp6hfSbZWEJFLLG2ai&#10;qqZUyQLOsWTVBwLzWgorleJegc8DSLnfdl0Hfn++MEsyV6FKeZiQSHB+TinqF1BVVdtnJj9bUA3P&#10;y11QpZu0O5XohoN0tFKti9eF/2z7x6oWOe4VwZS1g1eH8XlBOkEGT4O3sjNEltyunFKAehPjLVts&#10;SwaLLBKBt1bmj7blBzGcTSv3genwMICakQ6mtbUkAqrKd2o7nDtQsntE9sOj75gl9k0k+UiEiqRE&#10;/yqqAUq1XOyaSSK0jWi4TSnrFV5ifC6zHaZaMnSCUpxGLqEjUQ1wfmSIH0ghsw8Uw5WyNPzEcGlm&#10;HXjwH1KK+oXMtpj8vP5zeAZ6DSsCxPFRdhvDw0pRr/Dx+j9ltkM1Nt+cHTw3J2XWg9+hR0fl+dAj&#10;ifDGq6aW6AxKtW6A/+iKzPp4fwP8zwYOkWG/z5z7AOW4AKPhKadpECAQwjCZb8VdRYYkUBpRzgeN&#10;TBJBwPGjmT8EJviTv1GKewX8eefVMVveZIMlERy80Fda5KftQL9WinsE6vzZbQpR3et1YjCvJIJv&#10;LzKMV6rkBRDN25ltgOT69RuBGP5WZjvali88RClOw1c2Yv/cetN5A2gE/QOoYS2ZbeF8tVKUBS9X&#10;OC2zHj74h+p0w5TiPpHZNt1HLxIjAgbpjbltpnG6kUpxj8A5sdx2dYy+XClOAyWG3HozSCHGk+4X&#10;eiIRtMBWquQFvFhO69YGpFaleLtgmJgzp4HBo0BteVc5TQOkk48JIcOV0y6zeI4sh8Ot3safSyJ+&#10;zjgl94fAhA+bUiUv8MEDMZZOqKoYLIn4yLD9qT6b0a6WGHxKcY9AHTyzDaa+RMr8JGLAOaleJ2iB&#10;WJ/ObXfoqL5XiWr5wgVZ7QTjBlxeVYrTyEciMwVDfwOo75LbFueTlLIs+MkIZ25dnNhVivtEbluU&#10;fpSiHpH7xsY0w9b3ZGS+FUR4LrupQnWcYWJuPZCQjlSK+0RPJAIklle9VQHS6zG5beBls02szPMC&#10;zdwFQs5TTimIzXa4YCPLlFMKhmHKlYh0aaALRFCFTlNOtwq5JDIdZ74FfXoWXU1ewfh/SpW88JGC&#10;WkzKKcUgSWSXOl7/aW47+GPpLHxvAH272xvIJ+hfVIrzIi+JlBlkKBowieCSs1LcI3ASzscbwjCQ&#10;HoMB908vs3teg8F8JALSxAKluFfUgDSY29ZfZnxKKc5CPhIBFecKpbhP5LaF/zdr7i4ffGXGud3a&#10;iYY/KMU9opYdvjcMSrr60tVG//FMZRI/Ez2QSL/HS4/qDDxfSpW8gN/N162dUIT7w7YPyghZCOSQ&#10;NXMMxLAE/aQqpxRoRyKwbJa5O89yj1oslkLldKuQSyII0P3Oyv0xkFjy6Z8q4CG4UDlMYzAkckSp&#10;3pTbBtMMq7GbPp8LZP18bet6sbzNSyK8sU0p7hH5SAQnMpXircEuOPkIJHNCbv/9JRFcycnT9nml&#10;OAt5JRGhMKgU94ncttuTRBB0dQxtTvhCDA2bl+jzkQhIfGcqxX2iJxI5oqyIBsXvCflJxJAV+3qb&#10;gpIISBnKKQWSCHpkV04peIZrIQzJEqMElvshU73ZGuQjETeI5ThrnvuDQL1FSpUs4EpInaDvpi8O&#10;hkTQUCi3DaYjuL6j8PVEImiQpFTphrwTq6KxTyM+eLM9nNsOvu+gXAPiBLCX0U+G32ahv6zwBXjD&#10;tsBAebZb//0kEQSQ3J2ZbeEBzztn4xcKp2fVg/8dV0GU4j6R2RbTYEmkjuiPVooHBZzAxMHv44b/&#10;AW1IuvW/LUikj1XKHkjkJKV42wNJBMgh683VXxLhGXbj9iQRBKgB6ZWRLT+I8U2lOAugC57hteze&#10;TTcdDImgZWhuG0w7G4ngRG9uuwGSyJAjcAlW0H+GNhq1zG5Zq3Rbo84o2AWIJMuMPZ+lqF8wXJ5Z&#10;xyfQyeh+I7MtJiDXHl19qtiGJDJkhlhUXYubBQXD216uyyYk39zYtiARpbhH5CMR+K7XKMXbHpzN&#10;dgDPcVnGPTzL1os29k/KKQUlEZbNGuScjft3SUnJoKz9ctETidSah07o9oOIxp/hB+6mw3vF/Dq0&#10;RiJ5gdsBroHfIYnLxPCQPZVvNSQviQiFAzJg8vOFx2W294qF5yhFacDgSi+3wkD8AufElKJ+IbN/&#10;TF7e8JpS1CO2lkT8Nn0F/BYfwG/YCd/xqtwJ7XzqjOIjp1/41ZAIYFcgDFy/TtsioNd3gWXfUk4p&#10;cGJVtHH/UE4pQApxEoa7VTndKvREIggcTLk/ilcw/FspppjG7D7ZKxTm1fsGQyK4tJrbBtMOJRHe&#10;2Ody7WBI5ABBZ8KBmtlmRg8m0vlIBB7uARkXwu8xJ9PWpo43rlJ8uFB4SeEV6ioYrnzUWnU0wsBA&#10;kO5bSf5+bMAbLIngs+oX9Z+obeBZwjHQbYUy/8Sq8SqluE/8mkgEl25fAokkc+kUiIXLGqQIjNqf&#10;s5cGJ5S2iRFLbyQCumW3reG5S3j4R3ptBd32fyAGQyK5Fo1q2hoSmWXpeUNW/onV9N6ZHjEYEsmd&#10;p6Bt+Px2BF7BmGW/gam/JILLnvBbtHtJgRclx1rWsDd84r6SyyH/ASCW//Px+gdAPbof1KlTUPpT&#10;mg4Yufe4vUgEvxNuClTrI/lN7+F//X2RiMXCWa3WXPbvt6HPtkBvJII7MOHPSptNqwnIJaBU0fVm&#10;jj0YEsH9FUhUue3gj+1zibdWKHDntsM3FxT1aE+zo0hkGjdiJO73yG3Tk1Wtv8wYya3bHxKZNkIH&#10;19En0eJWydquyL3H7UUi0O/jmfVxArinrQ1eYkxvgUjX/62SSC4WOswl4QrTVm8xHwh6IxFEnVjY&#10;zUwb3mjo9WwIGnIpm6zyYjAkgsA3KM4XZLbry9gNUcsWHpLZBhO8vY5SivNiR5EIqlS59TH1RCJw&#10;D+/m1u0PieA+EawL7Vcpm8S2K3LvcbtJIqIhvVMWU08b8BAgaWWZvWP6TZJI2FEyJeK03Bq2m84O&#10;TywxROzm42nMGAx7aTc1LBhXbAzbLfeFHZZ31fi72wN9kQi8yfNY4Rl/pOv1fOHzB/WyP2WwJNK1&#10;XGdIb2bCBIP9LKW4R8DD05jZBreKg2TT6yrWjiKRfLuFMeWbh4A/uyCf1FIr9L0/ByU2tT4M6Meo&#10;jw0GVZphZbVWYzGmvn6TgSDz/pRrbhcSya3fG4n4ef2/cuv3h4BV7LQkcs64EXyz0xpYUj56nzMY&#10;XUHEad6gBpsKV5hbI3aLrJ5HnZbOJrv5HfUc07nlI8Sow/zXqMO0sslhOVbpdqvRF4kgsibnlATk&#10;8k/4I3vdSzBYEkHAg24AEliTbisYH1SKegTo+3/fch3jxsNL+vZXsaNIBA3AQDXMeptimgH6u1Il&#10;DfThgmTg5bO9zfnLivrcqIZ2Eplt+krwXV+Hl8LfQLo8j0oxZkOJ0lW/kNvfYEmkr2cwl1Tht/wJ&#10;PcIpxWkcCKQMfXWzuK4TsxcEekM+EgFJJsvncT5sVxIJjzWMjjhM69IkYTedkg60DQkkjX9FK81f&#10;pcudJinqsCTVc4xoF3aYHkifQ9twlaVwfpVudyQkuESvJtq9oT8kAjr2Nbk/DqbDzbpeNxdtDYkg&#10;0HNUJpHMKinskRTwTavW8/KGjUgOSlGvGCyJALFm7X6l7fqYWIXf8cxubUTDHVCUnrNBiaWWFN6L&#10;x0DUr2bX1b9CKwFwo2M+HyNHlOpMOMAy2w00ARlnedDrDd3aDlYS6WOnOG6m7NbGasz14zIEJ4q7&#10;npvs3wDu63GlTp/IRyKgFvdpRLfNSeTUUboikBzuaXJYrwiXl85QCQBT2Gn5V9RuXp4+n2w6MuwY&#10;NRHIYnXEYW4/b/xoS3i8cWyT07wRy4Fg/tbktFyp1sd03sRRbqifQokGSOc65bIDRr9IhBjG5/44&#10;mKCo1w2AW0siCFSb0GUgbdu1KzcvYMC9hHX8onF5fyQQFYMlkbx7Z/ogEcAuUGd+bjs0luqaB9L/&#10;A9646S0OuJu5jje8ptaDgfEz2kXUigUnAKGs7MlREXXZl9H/QBO1XxEMlyvd9YrubftBIoLhL7nt&#10;+iQRS/dnEKVNnEhWqqAkGoV0Mh77yvRZmzhB9U47Pke3k705ktopSGS+Trc7SB7t6oAHwvhHtrpi&#10;OqKe6IaHK0aPvWZKSVl7QDhIDpET5RB/A6ZkiFyXgvOPjmZn3Ll3qYhBt891loxpspeupe0dpo+Q&#10;cNT+MGFfyuUHhP6QCALe7k9m/ji1vOE4pahHbAsSQVDPUWTYfnU8kIlofMdPCg/D/Ok63CxY2AiD&#10;7yuvaHgHJ1/ROQxt1Dt2wVUlEOHfgLZpuwM1eXl9J4ivN2DKtPKstQ4di3k+3vgAEFs3x9Z+UvAE&#10;LSeGy5QmeYHzIHXwu4MaEfSXGa+Ch31BLT98Ks5XKFXSwNUqtCWBgX0DPKSv+on+n96yghl9fM8h&#10;uFKVO680kORFdSHP5jacr4IBdROUv4Mptx2QyIqu38B4feZeq2ncMJHmC4a74blIe4ZTE/wfr2A5&#10;kHOPIWBxDxSQ5z8y28H1JPgN30M7l8Pg/1GqUuAzA/lbVBvq/U7/cS1fcJFSJQu1pOAEfBkBOX2Q&#10;eQ1MXZ7fup6J2pwdwfC/XAHf6x58geW284uFH6ntlOp9o8lh2/PMCpMeVI4f1AEOqsl74YkWrqnS&#10;ND3uNO/bGeLmJELcv5NB4UspyP8oB4QPk0H+LiCPVjkkLJSD/GI8h+M3aXmQ/1ZuFJ75Zg539lXV&#10;pslAKruBCvRyJolE7KXHg7TyNFw3y3lRX+gvicCPm55ghYdnHT7cSlGP2FYkkoEhuH/Bxxn+AANw&#10;elcy7DMYP6cI9GGhTjbmS1Clm6SF3ztfXTXl09N/CeD/Cr/N00Bo7/r4osU+oWghTaKxxVtmuMsv&#10;FL0EqlS3hz4z1fJF3fycKBiS77tnJpwcVuqmQd1F5KmbmZSqvYL+b4JxLPVmB98TXh49+tWhTrZ5&#10;owefFVB1DkLHW0pRXswq0Rny3ZeaMv3lZCJf3czUn/GiWzSppAykgy8padjN74SdphfUAQ6Sxylr&#10;6kvMyQC5QgqSVUAObwA5nJNs4KZIMXezvNRFtxjLS6vccos77RVKintu61hcXi7VEwe0PT0VEl4E&#10;iSWJ0sqrM61TQNr5NxJUtNJyXpPDvF69HpDJLUoXfaK/JIIenUBUVJzgGt9WsnvFdiARDX1jl1pi&#10;uJD+1qI+0ZezH1xipntNeOP9uf8ViPUxpZqGHYGI3XROehBDCleYDgiXj9738hqTOxkSIiBlJOWg&#10;8GDyJPFwqdV9++ZwFzMlYp7HknH3GfS4xb2PFPN8jMeIRMzVkWh20slLOe4+H1Ninq0CSURqFH5C&#10;UpKP5Ubiik/mtUF1+px20A/0l0QQwORN+HChXwclq1doJLLjkbkrd2aOf5e+AC+JazP/K1AV8or9&#10;GrYxTh2jG4bzEaqdB6ao0/Lz4gmmSfJxjEsKkU+BRN5InjGB+gnZfG3V7nLc1SnHqqkLuVSL59z2&#10;uBtn6LuTSKvrx1XhiYZ7Zul2lWOer5OxqsNpfriKk5fYT5ECwqOgCq3oaOT/2OQwPddFIKZ1cPyX&#10;qN3yUtRhvilcZegWbgAkiSOoHicar/QSw+0g9j6KxzDALwMxcbpSrRtwORKXe5XTbjhC0JvQ0If2&#10;BQnnKkCUXJWdDA+r5V6x6OgdYRD1ewL6DUECgN/3ZxSjlex+Ab2LZZKIjzfMV4o0bC/g3EfYaf4Y&#10;B28YVBk0Dos4LO82200XyY3skSB5rEsFyLntTc4JcsyVWndhl1TREfecKMc9b20G3TLRUrkPnH+J&#10;+ZkkIsXdBwBx0Py2Fvf+QDx08KIEA+TyGUgvdAdwMkiCXVIOvzheXSqG7SZeJbMuQhv8yk0+zBQK&#10;jlAOtznUieWeUrKRRKWQ0JgM8J51QZ7A79fr6tDvEWkCGASJ4NyS2h5XaLwm3Q61nv5dIlpuOTtz&#10;wIYdlnORGHByNBkU1iZOHTMVBj190BMx90VSzP1fPF55pkmfiHs2rg07aXAdKPtpc7iqMJNEQM1Z&#10;IrW46BZ7kFpuANK4Eo+lZXsdCHWSr8/veoN3xF3Htp9rD4DEszrZIFzb5Bi9Z+Y9RSssfW7N3lmQ&#10;bBQ3DyiF+FQixNavnJMd6Ov3jFqhkG7tRxLoy4lOLnDCWiURr6iXNSlxByBiL52dOWAjdmsAJQIp&#10;yG9YeTAQRYtrlbzMdQLW/fTUMcOkmKuzo9VDzXtRPUnEXafisdTq+aC9ufKQTBKRW1zPwzHd6AZS&#10;yzeJZe59npmq201uccsdMfcxmJ+MucYm4u6NcnP1QZ1zTKVygO+Et/SdEYf5XfWeQFI6dMmk4l69&#10;b+8sUMkBJLi1QMLR3AT5t4Lk9WoWkUCi80NAJko3v2ugnUlamuALX1Cy+wU/r6e7tkHt3LB3hv2F&#10;hu0ANAKK2M2XRZ3mu8IO8004WKMOc2tHkDkaVYvUMRY6DyHHq0W5xSN3trjourLUUlUHasoKPO5o&#10;qZ4st3rWbsb5jlb3A0AY56gkgmK6HHd3Yp32ZvchUqt7BUo0ybirAVUZbI8AyWZlR4snba8hnzXp&#10;kGQjn+poIE1osKZYxtKl5ojT3KfHqV8aaVII8m0o0SnZ3YBSWGdIMMlBcv2WNsLPiRB5QqnyuwUG&#10;n/KTLY6uvX14KFeB+45QBYLPTrT4VLI1bC+gPYb6po84Ld+jcVnnPFsFEEhK/tOEE6W462FVjWlv&#10;qToYiURa5t7/9flVu4Mk8aa81HUTlkktnpUdrdVTQOpYDIRy6/dhZ4Uccy/fdBlILXH3+valdhvU&#10;eVBa5omkLqoaDWTT2RFz7bUZBlEi5voUVKIbkIRoXzHPX+XWmq86GphytC1JBbiJQBxvq/eJCUhl&#10;+0fk2gr0l0QykWyw7SmFhA/UtvAf/GrUt+0FNETzk6JjgBTW+QXjj370LN9DFDi03PTxhqd8omEd&#10;fC7GyXGlSMP2RObAxBQutzHJBvKaFOKvBBWjGNSTF6UW17vtrW4G63e0VB0PUsOqVEvV+PYWx0Qo&#10;34j1QNq4BVSTm6WWal9H3PN61wSse/nm8ERDIub5IXGOOAJUoOVrl7qqgWQuAEnlCRxcuESciLk/&#10;/uYMpgDqDgUC+Zccr3knuayaekRPNrLzEg1CxwWuDFN5uyXZWjWyz4hwvyQGQyKI9tmjiqQgeShN&#10;JAFhQPGDf6vAOY1aocjtFQsDvjLDZRgXyC8YHvMJhrvRwhNUn6shNaEFMG4vUJpp2BGIVJiXgASy&#10;CQdn1GH6txzgToa34cebp3bZfqAUApLE1UgcUnPVfpgHksMFQAifUpKJu6+UWtzvrmuexIKksaaj&#10;1TUJiGCNSiJSs1sAqWJzKu7y4nxIx4V7TU60uhOJuMMO0sef0H6kbdk4I/YFZPIa5P071eKguy9X&#10;XlihTyx1LcH7kUNkIahZJ0UrzTdF7ea7QDJZ1Ow0b9eIXFuDwZIIAueE6HI6bS/8LDWQPoNdadCw&#10;w3GmyaSP2E1RuhfGab6zyV5ae22VrjAZEv6X/NOEOM5ndMQ81JYDkYQBj3Mb8jLPSTgpCiRyN6oz&#10;SABQNynHqw8CkngdCCWEZCEtdTVQEonXNAIBPQJk8wKoRmeCVHJvIlZ9Q6KleqoMZNPZUj15VXNl&#10;GahBy6GfW1H9QeLqaHEdie3lVtczqdCeE0Ay2vj90aWmqNN8gyqRRJ2WAcUl3ZHYGhJBJINkL7UP&#10;TJunD8zpsAYN2x0Rh7k+rR5ACo8fPVZu4E5JBvjXsTyxtHqhFPesgIH9Ek6KYp4Ur9ovEXd9D+Rx&#10;PUoOqLbIy9z3y3HXsUAQne1N1QvfOLX8X9cdwj95QbX1qyaH+Ytmh+XdS6cwT7xx8uQVny+wz4c+&#10;14JUsi+oSCkgkZOSSytrEnH3j9CemiVDv2NBcnkGCSQZd6cjpeP8gBTkFgDpvZS+b6clvZtxZ8PW&#10;kggilaHWSI3ZwcEGAqme7AESpkhTiBmlZPcInJv6Hid71TaQvqljBhRh/5cE3P/QtY02Bu8bfjcB&#10;v79S1CvQELKjwcqmv/ex3A5d1Vk+3VKYCJoJve96wm/a2Zf7m5w5pu2TSytACnm7MyikQ+XhykGi&#10;xXUtqicgTdze2eIxdYb3KkUJBCSL96SwnUd1BE3YPzqz4vGWKnMHTs5GHJabcTl2aZXJHa4srYk4&#10;TM1NdvNnkP/THTOEy9ubXe9Am+tScfdMnC8Bkjq6S6Jxx4E81iWApJRboA/0uuZqNnnK+GnJIN+5&#10;1GG6GMjjZ7xnUL/yxmTdGbAtSITuM0r3I6zM148cEmal62QMFvzd1h4nuOQgeU4txyQHhazQppmQ&#10;65hRyYBwJkhBcmabdAqQx1cFbHZ1Ary/wNUnaBuQQ/zTKFHm7RuSPI8/EqXcZIhP0rwAn36JZAKe&#10;02Ysz13B6iJLfkm6fUaSG4X/tAe4ifl+w1WzSgydIf40OSCszW2XCggvJebAd+7lP8Sd6clGoYNe&#10;J0io/5R8UPvsCHHpCHnY7zogLvhd7oBn5Ue1jprg+9yPhKJU7xewzzXHcRa08Uo18q/n9qkmKF+X&#10;CDBTl8+3FMK1f8C8RKOwj9JN3whPHDWxyWH5sWtAmjf+fR/8IsImaan7DpwD2Xxt1Qh1VQYhtbr/&#10;k2j1/AxqShQfomS85n6UJta2upm/zSy7DAki6iyldiQAbIfGPegjAj9pPy0OuKbT1HHp3tz7QD6L&#10;UCrpaHJNamt2HwAq0Fq47kdt4XHUaA2uvRtIJ41AMpukWM0PcP2zEyH+C6mBOyA8sWRMpMIUAnJa&#10;iM6MsP7OBvWP2hoSWQ4qDP4n6T8d3lBKURr5SGRTna4AHubn1fzM1BOJrAmQw2TlQcIE1/0JBv1G&#10;TPhwZ91HSHg289noCfi9pSC5TG1H+8U5nl5SMij8X7p+HyQiwwBRsnS4oig3iuu78oWfcFCo957u&#10;DxIM1ixfH6m55gnpMnoPW9plfedG0qMT78GSCP4+yUb+KjUff/Merx8S+mWtjdIUTsar7Wi/Ob9x&#10;bpIDpFWtOyASiTjNx0cqSh9eUmn5Y3iibmiiy7Ds4ZUgXUhLPbeh5SkMbAnUi2vUN097azkjt7je&#10;BWkhhebuQAINT8wb9zBOzC6eNGoC1hGsZBHPks8EhpxZxpBajmFOFmzkC5HjWqB4V/ReFnaY3rzq&#10;APK5FK92ojk8EgUuD+OD2d4K6k3M/QoQyno5Vv1lonmvfTeHuyLkwVvhFvgxL2x2mueqk8FAXjIu&#10;S2P5zoQtf+DgSQTREeQfUPvqDJJuy9qZJIKi8OapuuHJBvKZmpeb8pEIDPQoPkxK+VoYCEe3BYuN&#10;uPyOCa1o5UApqAbChxn9ZMUUysXrQO6oGqv1UTqQQ+RQVKdQTegpdQa4Oek2fZAI/LYf0fOgMA0H&#10;YFcboRXJdNOhumFd928phGu6oe4G2gYGJtw7lbYT8/h904M1yP81Odda/GlGO+hnv/S90OsJeeP6&#10;DpRE5BA3azP+Pg3Cm139AtGFyOG4MgdjbSheH6WDVIhMwP1kartkA0/3pfUEnDeD3+xbtb6Ebjka&#10;rFPy/c6ZqSPAH6m26TeJ4CqHqsZE7eYfTyrRGeBhfBMfHqWKDjfLtUc9HiCSe7pUDs8Xcsx1aaK1&#10;ioMBfkAi7vrsq0WO5yJO04bFdhON9cEz5CmeYaYebh5OvLzhYp9oeMUr6G/xCkUu1sxWY/nIkSNH&#10;LBxjKGmym9qea5zUDmQUS8YqxkKftwChfJtodSWSre7T1R2/mYAHZDqIxe802S1Xq/eP6WJm59PX&#10;03/kVpIIkPtcta9USDxXyU4jk0RQ/4c3Gx248PD9PTlXGNuXGX0HunBQ33gh/pvVs0f36M8CiQGk&#10;lRvU60H9Hh9qeJvet6UeieDgUIp6RSpAvOl2fUkiAfKtPK+kDAch3FdnxxymW0RDFagywG+1Dtul&#10;QsLHbcdYxqP6gu2AQHoMsL5yDv6m6vcQ1qDqoxSlMWASgXEG16UvB/i8afNJ3ftUsbmeDIfvR1fq&#10;MKH6oRR1A/T7rlovFeTPUVdY+0JHSDw83X9/SQQG3hWZg3DxuOJx8Kd/lzh78ik4mbk65sryqtQe&#10;dhcpqy/34PwIfL6O8xeX/IG5L2I304h2GKiKMZkm+3h0FKOX/aLhNq9gmOUXjM0+sVDGHa/jmNJy&#10;IJL7sH64wuxrddvaceIW1STo8xaccFWlDiqlxD3z5VbXfUmUTGKelfLS6pPgR//xgmrTyeq9g0Sy&#10;pl9OUnYw1D9la0lEnsOMUfuCQdAtUmAmicBgeAo/4Q22UCnuFYn54gggkHa1fcdR1j4dIt0D0iRI&#10;JC9ifRyU+SZqOxsy7qmRf1LJ7hcGQiLJIMGtEZ+hFIITokpxjwCJ5TG1b5CKYMCRVEewZ+JRAZLL&#10;rVvaMVlxhhEDl0SEZ+lnI98vr+1yXdEoKaComiH+aiU7C/CcLVX7B9K+XMnuFwZFIuFJGOLBRD20&#10;R52lHfAjDAVWl+XznceDivIcWp+iOoFzFDCQ/y7H3RdDOhlUm73aWqrGg5px1DdLnFdF7ZYfzx1v&#10;LCY2Ww1hmKO73PsZl2N8UVRN0EYEr4eu5dB9n5fX3yiy5ASBYY49s0KnjzhK1316tmNJx1L3LCCv&#10;BXCNW5KtnldxlzDu9IXrPwTkEQUiObJtWfW498MTh8If8F3nPHZSU4VpetRpeRikKupecGeD+qds&#10;LYmsmc1ZVEkB+qKbHjORRSKQUqH+PZiIZICbrrYDVanXMAeZSKBEqLSTg+IlSnYacE9UTEenU/ne&#10;3L1hQCSipiA3VynqFfCMn5vdjs+KH90T2kPCwWqbfCrlQEmEJlD1+isp4FgCCZxOdsNLtJsaqUiI&#10;nV1986nvQC1TivqFQZFI17yE+ayo3XTbOWKX5acUIhs/mlGc9iMpx8tH4rZ93FgHKsdfYEA/CgTz&#10;AZDKWinmWvXaiRNvjDpNGPhJJzLsh2TEiD3Q56Of1x+ZXObYE6SLT9DITAIySMbGF88epSsCIkkd&#10;yhkmCgy5Dduh1/eHjt7zK+jvQ7jG36VWdzNcw4+rQFieD/D2eGXlbG4atKU+R0C1+THqKD1YKd5p&#10;oP4pW0siqfmW0SqJwODs5oUtl0QScy09htnMReYGwIEMdrqCog4aIHUlm6Id9Hi1Txjs/Q5toGKg&#10;JCIFSJ8By1VIASGUbhcSVr7fTxVre5DI2lD/DQgpiYQEqat//n0lOw25gXGl+w4K/fZur2JQJBK1&#10;l16uqgPRSvM7kDWEdtBaNWJ5uGp0bkLbDZRA1ASSiu+ho8YuARLCia3dBI4sx35xb8OMcTqjFKu5&#10;CglETUlQSbDcJ+hfxChuAsdRkayp0jIf0iO41CvHPIt6S13m8Z5lSCLPHsHE1fvHFHGae3Qu9EtB&#10;/VO2lkTagqw1LYkE+G47WTNJRA5yfcazUdF5gqlUbZcI8QPeowNv8btoe3i4lSwKKcilxWp1AnMg&#10;GCiJyA38zUp2n8ghEfoi6w+2NYlAnT6DrGeiLxKB5+Jute/EXLFfnvoyMUgSMX+WJhGHeX2Y6IbT&#10;DuKef+PKS74EEsKKzPTYnHHXh50W/EK7qdH/0e8D7grGPTSZJIL9KuX/wb0PoNJQb9FIIhe4rc+C&#10;GvMGtLk/0eq6tqeUBCmlvcVdhyTywZHc2RGHmca+wVWaiMN0Lfa3M0H9U7aWROR5bJnaF+jQdLNj&#10;JrJIJMTBz98/yPVcldou1cgP2OuXFBSauq4prFOyKOAhT68myaGiPg3bcjFQEkkF+X2V7D6RSSLy&#10;ccJJSnaf2OaSSIC/U8nqF/oikXS/kNDITsnuNwY3J5IRPArUmu9x4OPbrreHHb8ITnpKYfse0jLX&#10;gU83TGhqUszORY50wMdQn2D4Dp3BJJurpwDxrEMCAcJZuybswtgpQ7yC8TvcaSmwhK55gwRx/W3T&#10;xbfkFvf7yZj78o5W15GoRuHKEPoswTq5QBKBB/fg8yYXV0ecpjd3RgJBqH/KVpNIkByt9gV68elK&#10;dhpZJDKb6bevlTVB/hC1XX8mF3MBqlCD2l7JopADwjOYB2pGm5I1IAyURJSsfiGTRDpCJL2loy9s&#10;e3WGX6Bk9Qu9kQiuvm3pV9z8zCAWGQZFIkgaTfbSOTAIz4EfgF4Ubq5zueI7RMVX9WR4+1L3PCCC&#10;h0ClWJOIuTfQlZQWz7cfn1WB6sx6rCdy3GJrsXWcV9Tf6OMN1AAId+RuurBCj594jjstvbzxfcZs&#10;dok2jk5oRZ0maWmlpRL9jHTEXRGcG8kwLlsPEkonvXaL+zy5ubIM24AY/fnnx5DDI3bL/6JO80aQ&#10;pFZCdp+GTzsa6p+ytSQiNfIPq3111hO6ATITmSSyJkicSnafwMlItR2eo2UkPgP9TVKjQA271PYq&#10;QCd/C/NAlaG+ZgaKHUUiMOj7Hdvo10QiSvaAMCgSWTRpJEvN00EViDosKy9mdAU4QSWfW36S1OWF&#10;7Fs5XpOEgfyjFHP/F4jjtM5W16RVIFF8HR5nBSnjOjnueQ9I6Al0aARd7gIqyqtEpxvu5fX/7QrA&#10;ZERPZrugZOITjB/4BH1yGqOzAYE8zjDMqHB5aU1zpbkD+t5I9+PEPDcCYfDwg+2G0g7ao3S2eCpA&#10;hQkBmdyPEo3c6jkXBuUPl+9liaqSVNd3MPe4dv5LQf1TtoZEcLKTejpT+loX7L5rebAkkinhoE0J&#10;DHpqbDbQBBJsu9IlhUYivxMSiVSYT1QHIR2IdvMZQCKfJM8YdxoOWlzKxUGsWqoiUrgbN+5+MRH3&#10;bMQdvMml1Ye9emJ5HJeKcZnXarXuJTDk/yp0Ov1Moj8WpJKX0RuVT9R/AmrOQoxAJnDc/wksezBa&#10;mEadpR/ceYT4XLLV09JB1R/XJWiDkoi7P8P9Osllnm4eqdY0cJUgRn8bcWTff3hiiUOpstNA/VO2&#10;hkQk/L5KP6mQ8D98WJWiNAZLIpnqTDIgXCOFxLMHmlIN/Ey0klW6pJBD/JP0fhv5lJI1ICQa+Pot&#10;96WRCKI3EkFtYUu/4ma0elWK+g3o8yK1ff/nRDLi6dI3ud3yB3jj3ZYKkQuUKhRAGgfQLf9xj4ST&#10;n1Kr57jOC/cqBZI5TQLpQVrqui3utlwddpo/DZMRe9hsNg/PsPeLNvZPcEwneIjFMp6Hc8Jw/wQC&#10;oTcYdZiuu6DG+sWKaLUfSQP6/QSkjKNXnlmhB1I5DK53Q9c1Xe8AuVyAK0LYDh6qGPyYd19YYdKj&#10;SwAgsI+jTstVUPSbVGeSIf5ptR9QP6Yp2VkYLIngZjS1HQz8/odF7AOJ0Ja9L+2zBz7Jl2gg16rt&#10;NRLpQm8kggDpL71xUKo3DXizHkqNavsBzYlE7KYFGN8l6iy54UyTTt+Ga80BoUMOO8d0xFznSC2e&#10;92Fwr0BTd4xqhxdLtbj3gUH/KkgMH7fHPX5QeVoTMdd7oBLdD4P5g2iFyQPd78Zx3EEiw4Vxv4zA&#10;kmbBymH8l13CzmJr2GH+Z8xl/ua90yuwbQdc61C4xgmgNi3vaHE909FSRTcnoV+RVKu7DsjlAarK&#10;xD33guj88jdzuFPCdtN9cM0vQI3ptlqxsyD9pw6SROQG/o/pPhrF9bhNXCnKwmBJBPdnJINdBkrQ&#10;x7r+Gj71hUyDLrmRqBsy+w0pxG9xD6mRCEWfJBLi71D7xg2qSna/gNscttzXAEgEgcu6TXbzkyiN&#10;gGSwtmnC6D3lAP+tfO6km2HAPgmSR3q5ED2NUUdCMU9bstUVTV1UNRoI5tZk3PWZ3Frjxs8Lp1iu&#10;AalmDRJKs7PkUJB2xIWTS02gapij5ZZ9Ig7LxbiD98K9rM9+t8R1P/ok6SIP13rosx6lEClWHQfS&#10;kEHSuVuVPlQkzyuvQca9ci/LNaoUhWnJTmhohkj/qYMgkfZ5jA0G9ne0fUj4KRXge94vMUgSQaDF&#10;pto2MYe3K9lbhfbZWyQcJH0lu18ASdintqVJIxGKvkikrd4yfssGyp53G+cDPJ/xLfc1QBJZAlJD&#10;5mDETW1wo9dl7hTECHcYFiIRd/0IpPLsynBFKSWUVtfLkPcyHsvUuZDrElB9Xvj8HHvDlftzj3Wp&#10;GeaOJqdZgk8JpYZL97G9dp9POAIIKpmMVx+RaHWvBknktMQFzopE3NMOBHXN8nBVYduCKUYgmAeg&#10;zxTkX5gKV9EVo0SAuwYGzD1NDnM4876X/MbM3tFCFb4n3VuBCVdNlKK82BoSwfmM9HWCwleb63uN&#10;zt9vJAPkFexTCpAN6NxIye4VKGnhhjoYjP+D77Sc3pdGIhR9kQhKkXQfkdJ/+7xRNqWoV6i2QhhT&#10;W207MEmkwjQ5czBGnabId3ONxejLAL2Oo49U3PQGqsSK1fFq+nCiKwCQHJaDSvO3ZzB6Xazmceqg&#10;CP2oosoRqz4K60Pe8Wgchubym8MTDXTJNu6+DFdZ5Fb3RVD36USLswLVFKnFTf8UIJRPk3HP62gi&#10;T6+11G4DCecNnMhtX+quwcHYNptxnSmaSqOVpR8gQYXt5hex7s4I9U8ZCImgv5BkiHyzpa3wklLU&#10;I7aGRBDwcEbQRoj2EeSvwn0YSlGvgO/U4zyUXL9l5Qe+w0d9fX80P4f7+ALfpp1B8UApwL9E2zaQ&#10;vFvvdzYSwe+Hq1S0TlB4TMnuhi3X3rYkgsDfRP0f0WVGb/8PQmo0CdBmDe6ZG9TqjIpmp20uJRCH&#10;6fnmKtt+uGoCJHKjfJz4T3S6nGp1px244AY4dAmQjLub8ByOl+BSMH7BLotWdxDnLUC9aQWV5MZk&#10;K26cq9n8zcU1BWhf0glSDLb/Pl4twnkHxp1BVQhdI665gBqjYeyZR5CMcDkZzxErWvYuQYcwqUby&#10;StRuepSSnsO0HkNsKlV2Sqh/Sn9IJDFr5Ah462Z5oJIbhXuU4l6xtSSC9wYPfiJ93ZDwhurcqCfI&#10;x/HHp3Kc++QCHtB/q31C/2/09BvgTmKoQwdIMiSizxn8Tl27XEP8xbRSDnY2EkFIjeR7LO9pkCO2&#10;XHvbkwgCXgJfq9eA3/BCJbsbEkF+X3UytjNYtv9WkQgCbUTCTkuqa3Ba115fYz4U/SxIxwl+pYou&#10;Ea+aifYc8jLXbHwYgDSOgcEurbmk0tLeWnUwkMOmr8JkOBqhdcar9gMp5M1ErHoGkkjqQvdENFTD&#10;EBMYCQ8kiz/B55G4MQ/7TrV6fEAeG3DTHe077j4ZCAl3ENO30NrZNkYK8T89dojlYNUtIqaI0/Iw&#10;lu+sUP8UFOnhgf1bbsI3NPrvwAGclgQgwZ+/Tm5gD+5p0OVia0kEgZOscoOQXglCF4ZwTx+DaH5e&#10;eyOpwQTPxMlAiI+ohNMXiSAxoorU1Z+wSWrkV0sN/DkYDG1FnbkEPdjDwHgD+uxyFtQoNOFgwbYa&#10;iWSjvySy9uhiazIg0t2++JvD7wiqITm2bYbOuPq40Rb4rY+TGoSP4ZN6e0uFRLoJcKtJJFpp+aM6&#10;MOngrDCdCg93PTw0K9DYKdHqDqOVKgbrxvry0io32nOgGkLnL2KuFJBGTaKZOl9eju7ZkBQ2X1U+&#10;sgNUHVxtoQZscVdjMuaeCyTxHtqfgPryONS7s4uUasJATMtXKKEiMDQFzrUkmqsWw2BbAeLZogXj&#10;io1RdOeo3CeoX3dh3Z0V6p/S35SgO2q56QNd598WJILA/yQVJLVAHG2Z99VT6otEEFTCCgn35Guf&#10;ThhlMcBMzSRN+E7Uf8evikQaFB8rvyCJINCvSirUdS89pqDwVmouoZ4IEVtNIuHyUQz6R1UH55Ly&#10;0pnwz+wC+vktIFKjQ+aHkk1dgaRWLHSUdLS4vgIiOA/PoWwBejzDL4nBqKSY65wOGn/GtQrLQUJ5&#10;DUlEjlWfJC11P7r5Ht2u0Pa7VEvNH9CbGRDQuvZwV1AsUHH+T4p7XsR9M/R8kZPAj32/3EDea3aa&#10;To1UWm6PVJjvjNrN70Sdlntx5Qfr7aygKx+9JHhLz4ZBchQuyX1/dP8mH/MBvXmpffbmlay/QA9k&#10;EgwUeJG0gL78Txh4H2JCp8i4ATABEglueutpyTkXSA4dQbIXfNfzIT2JfUH7/yYD5Apcxs7nRV4K&#10;cn78Ph0BQuM056I9wB2kfmclq19YcxwaKyr/wQB8bsi4CVJpJ83h8gYWTwSZfeE7ndnbPal9pALs&#10;gHfaAnksxraJAHeaktUjcDzifwRkfCnu/MbfHEjo38kgacJr5857bTWJIKIO8yxcnYE3/TXw+Tq8&#10;5d+6tMZcDw/6W3Aj96hiJg5ykB5ux2N00IyOmttb3BPxnK6wxB12kDgwSFVX2AmFRLqWiEE6QbKJ&#10;ea7pUENvxlxRSO9iPnU4FHc/C+X3Uiu8ILkWxbFl1aaj0CCOkpzTtHHxhNFabFUNGrYhtgmJqMC3&#10;vCqRRJzmL9GJK43EFuDvTDZXn4WkgJvqsC7uukWVBI8TrVV7A0ms2ozxeUFKQd8fNF8hETzGyde1&#10;y5xWaWlNJbRbhTuCMbQmEE6yY6mbWmMmMQpeM0gkjeLtyUby2co5ptKIOpmqpHCFCQ3XNGjQsI2w&#10;TUkE/YNsIRHTd2jZen1N0ahkUHwVpZK2E7oc2nbGK8txsnRzvJwG95FbPG+j93d63Oq5UWr10Fn2&#10;LBKJe75pX1pZQ49bPa/LS13UmjEF5Tjn0h4eU4SuAEH6eBrFr+v/YDkWiOwMuI9T1QlVkEi+b8lQ&#10;Y3Ajn5K6icQaNGjoHzJJJDMmzqBwvt0yGwbqamoo5jA9AIN4Dc6XRCpMR4E+ex/oZT+kAlwdBpcC&#10;aeIabEN9jGDU/3A5ndsA9eT5RItnDh5nkkgHHCfjXflyq/sUUIuov1DUmaWl7heTJ+9ZD2Qlgy5+&#10;3zKnmS490+Q0bwxXjB4L9zL3VJ0u7WNEYLiXBY5brSaRZT8WWHaZzWaz/xZJ5WCTTu/jh5NZok4N&#10;ZL7L1BLdgPyXatCQD6kGcoFKImj9qmRvPXAvTHogQzq3fMRIOchWyxgdDc3j68uqcAJWinv2S7S6&#10;f0QywHYgoXzb0WSndh6ZJCK1uqJQl66opMJjRyuTqkVUZQryqzDw0Pf1pDas0+0WdZj/mnntZnvJ&#10;IdiuLxCb7TCe5d4TWNJJbCxO/vbLh+bOCC9nqMNd0LWiAd1X7uIXjSvw3C8a1s60Dmd9vPF5pZxG&#10;gUOP9yA5/mq/r4ZfDjCe0/YlybnGATl57hVhu+XDzIEcrTTtjxvfYpXm+o4GrhGtC0EyWZWYz5/a&#10;2bTFOAyIY9PmzV2EgiQiK3twkhdWetAqFY8RyePH/AklDzlENiYbyenxKksE996A6tKZSSJwTN03&#10;Ks36hZKSEgPPcAtEjqwVushkpweQgAGdNvl5wzeHMbuXo79aJAlMXsFwHrqeVM/9xPB4+hjyp47Q&#10;7eEX9O0+0biujui7eT/ToKEntAWLrSqBgIDwnJK9bRAuH12pqjOg3pwQdZjWZwzskzYFi424RIcX&#10;ljEoUJD/HFSeB5Inj7mio6EMo26JGAC849wJh8uNZVVo6CIfL/4n2ch/BnU70ZgpEWKPUK0jcb5D&#10;7T9iN3+OG/jCDsux540f/LIlx3EjeY6Lg3Tyra3UVqFk75TwEcOrKjHU8fr/ekXDOvXcyxuO9/PG&#10;VfQY8r1iwfHpMiAOP69/WD0HIlnv5XQWIKFlPqbwj0r3GjTkRSK4xfVCamsnVfMBJ1bRyKu5yrK3&#10;OsApidjNl2O4iQhIK2j0teJYM0EjHCCKs6ibvRB5TzWOQes4PMf8ZFCIygHuoPZGG4PLytTZstPy&#10;c9RZiqE4t5CIw/KucgsUPMP8USDkA5AuVvEcaRNZ/iOBZZ8WbdzFQBSVSrUewbJsNYbyhPZ/gdOd&#10;ItDVoTrdML9geBoG/c8gTXzkFQo/UImgTjQ+V8sbpgI5/MsnGNBznO5Qs67EK+oPmCUOpyEhvJxx&#10;mo83/BV91vq4glPUtl6+8L8glXyFx1SagXKsr0FDLqQgU6sSiBTiV2PoUaVo2yMMunbEYWqng9xp&#10;Qr+mN6UHvNOyCaSWfZsc5mVRh+UlqHd7eMyoIpQkQIK5FAhhIe5yXOwwH45e5kG6+S5iLz0+6rS8&#10;ovaBKWwvnY/2KTR1d3c4FKUK5VhntVqLgVj25W3caUAkzwkM+ybHcGdZLL0aQO0uMMy1IkOeUB0m&#10;/ZKYwRkmpkkDEhDCfCCVv0F6bP4Ew76JRn4mSGxXAQE/j5vyMt0kdv3pwsoUrpqFyK1QFjpxYtGp&#10;Pt64oJYrrMrsFySYs3ykoLaWHT5gAycNvz6s76dTIvTwD5rDRvosBcgPuOlWKdp+oMTgMM8LTy4e&#10;31RZOj+TAEDVOQ1IIb2vBaSUJiCPFelzp/kudKy85dwkgfRxr3qO6VToX7nUgEHM5gkgmVxOWO4T&#10;9KIGWT0yKhBJI6g47wq2X0a98RNjFCSEj3yC8TqfqE+kBzxTYEOv66mQcDmoiElQEd9MBuA4JMxC&#10;i8lcp0Gr51rH0gh2AT5Gl8VxP0SQ3NsZIvuBBHMD9unl9Z/5xC3zJz6iP1ZpruE3CngWPkiG+LtT&#10;9aQW7ayUbIpV9cQMz9bRUE5dWNIUEtbgPialyo5DeCIzKmq3vAZSxzogkDeWlFuqMgkBTdQzzzEB&#10;yXyVPrab2pbaR9mgj0dB6ngq7Cg9SOlaxS5ms7kEE0gXWR7oe8OoUaOKeJa9U+S4d3gz02M8EmIj&#10;+4P08hHTS53tgVqhwJ0mja5Bvb+f6CPhyj2OhbfCjSBdtCeCwt865rHpier+4huMth/i/wIP0XcY&#10;tkGqJ45ZJTpD5vW8ZYZblOoafqOgJKISBJUy+B9wvw08W1mSLE0h4Y3OeWUDfta2G0DNeQGkDxkI&#10;5H9UlQFyoaQBEkrEbm4Jl5v3BdXnS5RIIo6SeqVZNwilpSaBIV9gEln2Q3qMtiAs9x/CMAHRRsWu&#10;Xn1eoJQBasuXAsP9pSebEc5snshz5FvOYqlSsrYrZpFCc604fG+vaPwJBzTOV8wlhgnoOxVXulJB&#10;4RGpfkS3LfiJ5qq90T2lctoNuLSe6VAbIQXJZfAwrYGHJ3yMaPg/XMHxCsaNXkEf9Qn6f/i4whBU&#10;2+n80mrYesgBukfpPTSbQALJJA0kEtxtnAgJL4OK3O+4O78omh3WKaj+KKdbC71oY0/HCVJIywlD&#10;avsyKgOJ5GKBJd+OGDEiPZ+SiaKiolEiw8qChUUXi/3aej8YwMBtTUsDvOEuGNTfzxaNp3cGhWtx&#10;Avr7UM+qVQJDiMaq/6Wc0ji46l4mBDqMSsRqfsglEgy/mWxEB0fks831hC6RewVDZ/o+hKIBh7jU&#10;8OtDKmAu6VotzT8Gfs8w8DbuYpEj6wSW/bOSlxe20bY9eYb9AVQjulEwD4aVMdwq6Ic6W9rWQPuP&#10;bJsPPfWoD1LCU8kg/3Xu4M/F2rCbobY3QHI42SqHyLupkPBxMsjOwHKpxf2IFPecSSvnAOdR4K3z&#10;b3gr/bBpjk7vE4w/qPfh54197gbVoOE3D9w3Q1g2KjDsStZi6XH1QTSZSjHouMgwRytZuRgKpPR3&#10;YiPPwzHdYLitgJakfqGwPU0iZYXzcIs9SCBvbp6ffzUp0cDPBJXkE6hzHYYVxb1FX4XJHpB3O0oh&#10;SDzo7Y1uWGz1bFSjDOYD1peD5F5cwgtNGEElIr9Y+B+Qjq4BqWiJUk2Dht83yhhmDEgSLwFJ3Ftc&#10;XGxUsrOAk7RANi9CvYiS1Q08xx0HqtLnHDcwt/s9Ad72cb9g+MIv6j/BpdZaUnjY6gC5Ar2aqUZ2&#10;q05CH7SelVJzBfVTgXMkqQA3H7cUoDFecr4QTcTcP6HPWdB1j8c6CJBkFnfEqg7Htl2R8viHgXTu&#10;6clXBUgj6MPjcVSHslZsBP2tShUNGjQAQZyIy7esEiQrF0gwZQx5Eq1YlaxuIFarQ2TZt3iW/BVO&#10;B218cwQzbIw6UDF5ucJp1JlOQOhIBq10N7QKdOYEKkk7JYpG/tSOuYQaiOGAh4H/Dg0zGq8+KBkS&#10;MTQphdzA39wR9zwtLXVF0V2DXNcVgR9tS9bUE+qzNnVR1Wg57qETx5urdLvDtb/sDJDT0bw+fV+C&#10;4U0s16BBgwJiJU6R5V7mGeZUJSsXu/EsdxcuBcNx3lUek8mkx6BbIsP+j1h7VIF6BZCGpU4wblAH&#10;q4837CvDIE6FhEalShZwZzQQyQfy6WI1EAESGAV6+ZKjzr9LcffVWSQyv+w5IIi18nHkaCCadNgM&#10;tBvB5d2OeGU5+rGVWj3pvpIN3BQgksTiypHNftEg+UXjcq9o8CrFGjRoUIESh8ByfweJA0Ns5sNu&#10;QBLLeIb8l4zovqyqwmq1siDdPII2JbgaBFn93SW7Sy1feIiP6K+HwfqET9Rf2B7gl+B6fe5EKnW9&#10;F+Lr0UgMXUyC6vJYolG8RA4xbizfNHtUUfLEsq9kIAQ5wB+JeYkgT5JnjJfkFtf/kkHyKuYh1gZZ&#10;K85/JFurMRRpElQd6tclE3JQuBXUnrunEt1wNKunBCcY22YU6/KqgRo0/K4B0sZFAkPegMO8EgfH&#10;caEyhpNZU+/GXTabrQJI6VmRISsEjmuEdiJk92hnUSvo/6xKILjjFvOkIGmT5mU7+cXlNxjQ/8Zj&#10;kCYicki4UGqp/lRqdt0thYRHMP/MCpP+6em2poum2G6KOi230OSwtr7UOP7G7xdU3JwKdTncBXIa&#10;ClLIM4mIYwkN4dHiOg7zc4GOfOE6667ct8Sn3iNNjCF3q4EGDRoQQCT1go18gNasSlYW2OJiK6g3&#10;bUAQqCr0tTmvACSSy0SOLOdZ8i3OrXAWyx9yScUvGB5VBye85Vevnseg09yVm3XZUkjyOG5KpmSS&#10;CLB7y/PHvCc3V63rWFj+zEUeUwPdoGg3L8f9SlGH5TRMYYfpDrph0W5Jhsu7rH2TQeGx1BL7P1AC&#10;kRdNnp0Kktsh70tQjbrN/4BEdNMXs7kH0TcJvUfR+NOsEh2dR9GgQUMecDbbNNFGEj0RCYK3cc8T&#10;lntn5MiRquewPkGs1r1A3YkSG4OOgdLqgJ8ZfgzuzqVJMFyI1oOJIEeNu9DXStqB07ySsmRAREkl&#10;bei2eapuuHTCmBfibusdTXZzcvGkUaprfyQpJBxMlLDCk4r3wz1L5zstt0pNlS+i42z5xDG3wPXS&#10;MXna55onSI3ZHsoxrg1ILZ9V6XSF/jJjpFY0+LyjC7faU7wGDb9pECvZS+BIO1tSUqZk5WIIIeRw&#10;UFtWiwy3WMkbFLyi/gY/0X+KO2oxcBAM6h/VFZOOuPv+RKs7gQHN0Qt+ZwNTDqrOKpwMpY0BIHlc&#10;inuNwhNLDMyoUTZQyVYACZ4OEo9QZrFUoUsD3I0MVQtbHOYSlFYu2MvaIjWW/as9I54IIlUHKlNj&#10;dkxbXD6WA3zbC7XWvXyiYY0ijfxcy+2+Q7YAaNDwqwXOfYDq8hmoONTaMx9ww5/AkstBVfkGBm/e&#10;WLC9wccbLlFVGb9g/LAzVGqSQsKmzRO7JmUxNvHaZa7qRIvrWrT/SLR4voDjvyVP2nNBMkieuGVf&#10;65ERpzkRnmjhRJvtMLRr2d88nEBfT8OA/9Iv6D8HFenBKWSEAyePoctCGjvIaVmzqMKUJXGkGogP&#10;rv3yp3n8REiN5Pa3Z1nvUO+VJlI0qJUoDRp+V+DNZgID82nB1rPRGYJlgXA47i6eI58KDHcyZPUr&#10;0DWoL7emSUQ0fCWH+KOSQeEtpTgNOVQ0SjpebJDPKV8st7pvTsQ8P8jNVV/FnObHgUTi1mLrOCC8&#10;m3yc/iA/b9jgJ4bzZnLGKX7BsA8QyrW4onIws8e+IDW9jP1F7Oa7wyDBdIBkk2rgb4br3iAdL9TJ&#10;S6tmyTRucs0j8Pn+WsVuRG4kJ7Q1CP/x88anlHtdO4PVWbFMgwYNfQCU/0IghmtEjvtHX3MgaHzG&#10;27ir4K3/DagQtxGGqe3JKhZRyw4rg0H+H5RCZvLDj0oGyBXJRiFrX04nRq0LcNdQ3w4BEpCD/CXy&#10;fOEW6fSxsYjdIofLR4hop1JtHc7i4PYKRhqXR2CYk9ARE6g1I4GsFqIlLLHZ9mMYZnLzhD0I+qdt&#10;P3vylR1NVW+hP1tKTK2et+HzmvZ41RlS3H3AyjO74gaBenUoktt0i67QyxueBBXsxgOt29BJrwYN&#10;vwfgyk0Zw/2Ps3F0kPaBYUAgRwscdzdvI+/j0jFIKjeBJJBli4EexGDgv1on6h/CEA8YMjLRIByh&#10;FFNIjfyClXNM3fbooDoCUsj3eExY9nb0PwKSAg1JCvf6cBnhN2OC6z9fw+gKfKJ+zb42455wL7dh&#10;nbDTsvrdEyaGE2dO/lT604S7k41lf5YbhZOTx5HD1MlcFclGUpMM8p/7+cKrVMnJV2Z4SinWoEFD&#10;f9E1B8K+JLLsjSZTtieo3oBWrSClOEWbLcsrlE80vJWhzjyBJCIHhCynS8l6fq4cEmblGp41OWz2&#10;sNP0MR6LLLndKxgavYKemqXjpLBKIpgwr04wvDmNjNiPZwgd/FGH5YvFFaOzgnrjTl45RBZ2BrkD&#10;lSyKRIC3J0PCVz7eQNUZSiKC4TulWIMGDQMFqDeNMFDb4DOEISeU7AEDpINX1EFZyxsepiQS5LvF&#10;zYEB3Iwb8bq83wtfSseXrXixTmjESVUoHsIz7P0z+AIP+h7B+mhdm5ZEGPICxpjBFZWpTNEYwnD/&#10;xDpRp1laVDEib8DpVIjP2rErNXCVuJfmj2QY7+cN36IJfB2rR78qGjRo2BoAidwisKSN2Gzo+WnA&#10;waDonAhv+MYv6l/C8y6X/FvmRDaHp+62PFxVuHpppaWjxXOcFPO8hP5CEnHXj1Ks+qyI3Sw32U2T&#10;iI1dtjenG4k+QHDfDbYFaakeVKjjCNENrxULTkAfqhgKg7fZ7ItwTsRhQc/6h8oNwikdQdPkzbNK&#10;DBgcfe3sUYwUIFl7ZNYAseGcyDRm98no+QwnWNEDvVKsQYOGrcGIESP2ICx7Pc+yKVB1LlSy+4Vp&#10;I2Dg84VtICWsA1XkulRACKFjXCxrb61xYwxjqdWzEYkj2ep+VAIikeePOUE+TlyDm/PCFeYHow7T&#10;JTihS6zk+mmMfjKoNT/XCobbMEjVNEZnA4L6J6hN66dzIypFG/sh9t1UYX486rRcJLW4npeaq15M&#10;nFs+AydtQeKJdDSIh+fOiXSGuDnL55F34T6pu0ZMXrHwHKVYgwYN2wLUBwnHzYGBulLkuE+AUM7r&#10;y3G0n9fH1EGJ3tzRhb8U4jfCIN71mbBuNznmHCOHa0Ztnl+1e6qRvwgI5uq2ejJ+06ldUkB4srka&#10;4/E0V5gEwWbzg0QSnWUZzgFp3AEDfj0Gr/IJRX+ZahrB42QrKSkxnze+0BJ1mjaeWz5ClE4o+0he&#10;aH8KySoRc6+S49V/Ty6bkuV6AAH3dOV388ht6r1iAnLSvJ1p0LC9gHYjaHzGM+RfIst9gj5HBBtH&#10;N89lAsMybBmUxhWJWSNHUE/bc61Zy6fJoHUvIJBugxZXU6LO0ljUXvr1gnHFVlzCFVjuMZHhzi7j&#10;uEo43x/Ul4tB7boa7qksDHUwBEfEUXIibX8sNzIZ4E/DDXzy2ZOPTMRcF0gxV6ccd/8PUjqkKM6H&#10;JOYx+87khk/xEsM7aN9y6CjdoMN2aNCgYYCAAWxFKUA5zQKoH7MwEBVID2fPt+gK5QCRpZzVEXke&#10;45aV/TSIVJDUUjeGixyfJJqqrmupNF+Bm+wiFea5WI4EApLHTGIjhzMMM2bWRN3QsMN0Gm7Ci9pN&#10;EamBP6t99pa9Qe2zbQxu+ZfqCf9+eOLQzmWuA6VlbrqLWJlU7fCK+tP9gnEDGq6hEyXaUIMGDb88&#10;vFxhpZc3bOySRgwrVjeQP4N08HrmvAT6PoWBfI0cIuciecghcUlyqftRNBKTTix7+8NaazGoNfW4&#10;bIsJjq+IOi1n0+SwXAPSx7cYbrTZaT1KWmS/NRmpfEdG589zrWOVS+ja5zE2nNhVTtOQgvxSOSQ8&#10;gJawqtTkE/QPKsUaNGj4peHl9aelVRreuAGdNQNRdOLch1IljeRcY7EUtu8hxzxvSXH3s8njyu5P&#10;NHS5d0SDtMTJYv11B7LzInbT1SB5PBC2W+6LOM2X/aXaTL2ZodvDVCP5LNHibpOXui6UguJDGBkP&#10;bVA6GsjhnQEuy0YF/Y7ghj8Mxu7jDa+r9+nlDHk9rmnQoOEXgJcvtIMqQ0Nk+ngjBicfkgzxd6DE&#10;kbtKsgonWls8stzifgCXgqUM94lyI3dyIlz5qXS+4wVJibHaGeCPlJuq35FOnfCi6i0eN/nJx5dd&#10;kIh72qV4TWMqKJwHksbbckA8H8sz0WWfQp6bIegPApXrclBl7vaXGXCuJOu+NGjQsBOgljNOBzUh&#10;iWSCcw6guiRhAKe9m0lLayoxHARIIZfgeSIopFWP746ysvLxY94H9eYnIKCWzqNLTZifDPILEkvs&#10;n0uLHf+SAls2EQJBPSctnBRKxNwb2pZWZ5nZq1gOpAMk1X7NPqXpVRm/oG9XijVo0LCzwccVPqsO&#10;Vq9YKHcAAaAqoW7NT7TW1MstLuo3FSEHyLnKIXofu0EOOw5KxGu+TwbIZ+peGyQR6Vw7BqwCtYV/&#10;hlZWANLHKVKLG4jEs6mjeRKrZKchBfmX5JB4I0hJ56v3hcvGSrEGDRp2NvhF431pEuH1n6EqkwiJ&#10;T6SC5CGlShbQEbMU5B6kE6RB0iDH3PcnllZfgk6NlCqUROQFE5fJcdcbcDx3TeMWZ0aJQNeSMUgv&#10;izpaXKvQMpYWAKRGcpkUEL8/u9JY4+P1R/l547eURAT91UoVDRo07Gyg1quC8RqMxl/HG56Et/5b&#10;J08uOgGkkU8g3a5UywIGtZJDzKi1y5xWudWztj08pghJRJ1LSYWEC9pPH3+I3OJZgzF2kyHhHrqU&#10;GxIuR5sUrIMuGDtiLhq7BkGlF+jj/Mo9bvQrIT1BjfnHQaKu364gNWjQ8Asi0wAN1Ye/H1ziSGA8&#10;3RB/h1KlG+RW15Fy3PMePQ6SE4AI/goSSlhu5On8iRRzL+9s8dBA4PncCqiQQuQMIJhNa47jKlUH&#10;RPQ+eMPXShUNGjTs7PAKBXXq4EX7EfQzcg8QSbKRfx1UmBfkE7luEduBJP4Jkkh6jmT5MZbRGG9G&#10;OdUlY667Qd1ZqJx2Q/vsMUVyQLguERASra7iS0HyuBldN6KTI0oiguEypaoGDRp+DaBuE0X9yz6x&#10;8F50JoRqRWCcYZEU4O8EdWRNZ0CY8/6sLbuG22LVrvawu0czdDnuOhFI5CLlNAtyPXOoFCCf4MTr&#10;zUBWuEs3QwLZdxo3DENcaNCg4deIOrHoofSAFg1fQtaQ94+yNoC68jmmRAN7RFuwZ/eLPeHTU3XD&#10;5JDgBlJ6AVeAXvMz13pF/QFefnd7Jon4bcP2U5po0KDh1wifoG9VBzRufEOzeHouGBrlBnKS3Cgs&#10;l4PCWiCDKxNzbPbUfMvoTXVMgdI8DbQ8xQnY9SFmDJDPUlBd1kohfrUcIJcG9izwqNfwlRlk9I6G&#10;+2NACtHcH2rQ8FuAlyucVisW1vuEolPUwY5pJjpm5oxTLq8ZBRKFcIvUKKyXgvwPUlD4OdkobsaE&#10;xmLK5yZccYG0IRkUHnvuCMsfgCge9BHDZZl2IF7RuA4uqVmjatDwWwTu9s0kEfTejp/oKMjHF84N&#10;TdabAuMN59+2j0nAuL0SBv0OMvvSGL5zrcXBcUV/OUosvO+gkboRGI9G7ccnGB5J98kXfqpcToMG&#10;Db814MY8IIwGv2C8dgY/dBw6Mdoy+I0v4HIwPRaMPx5hGiaoqo+PNz7v5fWnbqlrSIH00aGee8uK&#10;bjnUbCjx2YbuidH/lctp0KDhtw4fb6AR6byCcWMdb1iskgKmWtFwUeZ5nWi4J/O8li+Y6RX1Hbjh&#10;DwlJ6VKDBg2/N8wkhY4/coWWqSU6A5DCy0gQPl7/WdfO4C7JBM+nW4aOB2nlPagjY2gJpbkGDTsA&#10;Ot3/A/71rx768YjQAAAAAElFTkSuQmCCUEsDBBQABgAIAAAAIQAHWiD63AAAAAUBAAAPAAAAZHJz&#10;L2Rvd25yZXYueG1sTI9BS8NAEIXvgv9hGcGb3aySWtJsSinqqQi2gvQ2zU6T0OxsyG6T9N+7etHL&#10;g+E93vsmX022FQP1vnGsQc0SEMSlMw1XGj73rw8LED4gG2wdk4YreVgVtzc5ZsaN/EHDLlQilrDP&#10;UEMdQpdJ6cuaLPqZ64ijd3K9xRDPvpKmxzGW21Y+JslcWmw4LtTY0aam8ry7WA1vI47rJ/UybM+n&#10;zfWwT9+/toq0vr+b1ksQgabwF4Yf/IgORWQ6ugsbL1oN8ZHwq9FbPM8ViGMMqTQFWeTyP33xD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A/x2B0xwIAAEUKAAAOAAAAAAAAAAAAAAAAADoCAABkcnMvZTJvRG9jLnhtbFBLAQItAAoAAAAA&#10;AAAAIQDn/3eArxgAAK8YAAAUAAAAAAAAAAAAAAAAAC0FAABkcnMvbWVkaWEvaW1hZ2UxLnBuZ1BL&#10;AQItAAoAAAAAAAAAIQDtCK2G8hsAAPIbAAAUAAAAAAAAAAAAAAAAAA4eAABkcnMvbWVkaWEvaW1h&#10;Z2UyLnBuZ1BLAQItAAoAAAAAAAAAIQAB8zAKCXAAAAlwAAAUAAAAAAAAAAAAAAAAADI6AABkcnMv&#10;bWVkaWEvaW1hZ2UzLnBuZ1BLAQItABQABgAIAAAAIQAHWiD63AAAAAUBAAAPAAAAAAAAAAAAAAAA&#10;AG2qAABkcnMvZG93bnJldi54bWxQSwECLQAUAAYACAAAACEANydHYcwAAAApAgAAGQAAAAAAAAAA&#10;AAAAAAB2qwAAZHJzL19yZWxzL2Uyb0RvYy54bWwucmVsc1BLBQYAAAAACAAIAAACAAB5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top:1905;width:16510;height: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aBxQAAANsAAAAPAAAAZHJzL2Rvd25yZXYueG1sRI9BawIx&#10;FITvgv8hPMHLUrO1UmU1ShUUT4VqLR4fm+dmdfOybKJu/fVNodDjMDPfMLNFaytxo8aXjhU8D1IQ&#10;xLnTJRcKPvfrpwkIH5A1Vo5JwTd5WMy7nRlm2t35g267UIgIYZ+hAhNCnUnpc0MW/cDVxNE7ucZi&#10;iLIppG7wHuG2ksM0fZUWS44LBmtaGcovu6tVMD7YAy1lsq/Xx9FZfiXJ5mHeler32rcpiEBt+A//&#10;tbdawcsYfr/EHyDnPwAAAP//AwBQSwECLQAUAAYACAAAACEA2+H2y+4AAACFAQAAEwAAAAAAAAAA&#10;AAAAAAAAAAAAW0NvbnRlbnRfVHlwZXNdLnhtbFBLAQItABQABgAIAAAAIQBa9CxbvwAAABUBAAAL&#10;AAAAAAAAAAAAAAAAAB8BAABfcmVscy8ucmVsc1BLAQItABQABgAIAAAAIQCgjXaBxQAAANsAAAAP&#10;AAAAAAAAAAAAAAAAAAcCAABkcnMvZG93bnJldi54bWxQSwUGAAAAAAMAAwC3AAAA+QIAAAAA&#10;">
                  <v:imagedata r:id="rId18" o:title=""/>
                </v:shape>
                <v:shape id="Picture 56" o:spid="_x0000_s1028" type="#_x0000_t75" style="position:absolute;left:23145;top:2381;width:14885;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e9WxAAAANsAAAAPAAAAZHJzL2Rvd25yZXYueG1sRI/BasMw&#10;EETvgf6D2EIvoZGbJia4kU0JNORUsNMP2Fhby621MpYSO38fFQo5DjPzhtkWk+3EhQbfOlbwskhA&#10;ENdOt9wo+Dp+PG9A+ICssXNMCq7kocgfZlvMtBu5pEsVGhEh7DNUYELoMyl9bciiX7ieOHrfbrAY&#10;ohwaqQccI9x2cpkkqbTYclww2NPOUP1bna2CpRtPNl2Nev7a/Zh+ZcrP+b5U6ulxen8DEWgK9/B/&#10;+6AVrFP4+xJ/gMxvAAAA//8DAFBLAQItABQABgAIAAAAIQDb4fbL7gAAAIUBAAATAAAAAAAAAAAA&#10;AAAAAAAAAABbQ29udGVudF9UeXBlc10ueG1sUEsBAi0AFAAGAAgAAAAhAFr0LFu/AAAAFQEAAAsA&#10;AAAAAAAAAAAAAAAAHwEAAF9yZWxzLy5yZWxzUEsBAi0AFAAGAAgAAAAhANjN71bEAAAA2wAAAA8A&#10;AAAAAAAAAAAAAAAABwIAAGRycy9kb3ducmV2LnhtbFBLBQYAAAAAAwADALcAAAD4AgAAAAA=&#10;">
                  <v:imagedata r:id="rId19" o:title=""/>
                </v:shape>
                <v:shape id="Picture 457" o:spid="_x0000_s1029" type="#_x0000_t75" style="position:absolute;left:44291;width:11341;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s5xQAAANwAAAAPAAAAZHJzL2Rvd25yZXYueG1sRI9BawIx&#10;FITvhf6H8ArearbarbIaRQWLhwpWvXh7bp6bpZuXsIm6/fdNodDjMDPfMNN5ZxtxozbUjhW89DMQ&#10;xKXTNVcKjof18xhEiMgaG8ek4JsCzGePD1MstLvzJ932sRIJwqFABSZGX0gZSkMWQ9954uRdXGsx&#10;JtlWUrd4T3DbyEGWvUmLNacFg55Whsqv/dUqGC5XuDPjc3fJ1x/Rb/HkN++5Ur2nbjEBEamL/+G/&#10;9kYreM1H8HsmHQE5+wEAAP//AwBQSwECLQAUAAYACAAAACEA2+H2y+4AAACFAQAAEwAAAAAAAAAA&#10;AAAAAAAAAAAAW0NvbnRlbnRfVHlwZXNdLnhtbFBLAQItABQABgAIAAAAIQBa9CxbvwAAABUBAAAL&#10;AAAAAAAAAAAAAAAAAB8BAABfcmVscy8ucmVsc1BLAQItABQABgAIAAAAIQD8+ps5xQAAANwAAAAP&#10;AAAAAAAAAAAAAAAAAAcCAABkcnMvZG93bnJldi54bWxQSwUGAAAAAAMAAwC3AAAA+QIAAAAA&#10;">
                  <v:imagedata r:id="rId20" o:title=""/>
                </v:shape>
                <w10:anchorlock/>
              </v:group>
            </w:pict>
          </mc:Fallback>
        </mc:AlternateContent>
      </w:r>
    </w:p>
    <w:sdt>
      <w:sdtPr>
        <w:rPr>
          <w:b w:val="0"/>
          <w:caps w:val="0"/>
          <w:color w:val="auto"/>
          <w:kern w:val="0"/>
          <w:sz w:val="22"/>
          <w:szCs w:val="22"/>
        </w:rPr>
        <w:id w:val="1313145753"/>
        <w:docPartObj>
          <w:docPartGallery w:val="Cover Pages"/>
        </w:docPartObj>
      </w:sdtPr>
      <w:sdtEndPr/>
      <w:sdtContent>
        <w:p w14:paraId="1B9CEE04" w14:textId="77777777" w:rsidR="001B78DF" w:rsidRDefault="001B78DF" w:rsidP="003D4A7C">
          <w:pPr>
            <w:pStyle w:val="Heading1NotinTOCNotNumbered"/>
            <w:sectPr w:rsidR="001B78DF" w:rsidSect="009F3F5A">
              <w:headerReference w:type="even" r:id="rId21"/>
              <w:headerReference w:type="default" r:id="rId22"/>
              <w:footerReference w:type="default" r:id="rId23"/>
              <w:headerReference w:type="first" r:id="rId24"/>
              <w:footerReference w:type="first" r:id="rId25"/>
              <w:type w:val="continuous"/>
              <w:pgSz w:w="11909" w:h="16834" w:code="9"/>
              <w:pgMar w:top="1440" w:right="1440" w:bottom="1440" w:left="1440" w:header="720" w:footer="720" w:gutter="0"/>
              <w:pgNumType w:fmt="lowerRoman" w:start="1"/>
              <w:cols w:space="720"/>
              <w:titlePg/>
              <w:docGrid w:linePitch="360"/>
            </w:sectPr>
          </w:pPr>
        </w:p>
        <w:p w14:paraId="67832A16" w14:textId="1227CE1D" w:rsidR="00132FB5" w:rsidRPr="0058387D" w:rsidRDefault="00132FB5" w:rsidP="00232CDB">
          <w:pPr>
            <w:spacing w:after="120"/>
            <w:jc w:val="left"/>
            <w:rPr>
              <w:b/>
              <w:caps/>
              <w:color w:val="1A3E5F" w:themeColor="accent1" w:themeShade="80"/>
            </w:rPr>
          </w:pPr>
          <w:r w:rsidRPr="0058387D">
            <w:rPr>
              <w:b/>
              <w:caps/>
              <w:color w:val="1A3E5F" w:themeColor="accent1" w:themeShade="80"/>
            </w:rPr>
            <w:t>RECOMMENDED CITATION</w:t>
          </w:r>
        </w:p>
        <w:p w14:paraId="3467E0D8" w14:textId="77777777" w:rsidR="001B63CA" w:rsidRPr="001B63CA" w:rsidRDefault="001B63CA" w:rsidP="001B63CA">
          <w:r w:rsidRPr="001B63CA">
            <w:t>Allen + Clarke, Central Queensland University, Monaghan Dreaming, University of Queensland. Final Report of the Evaluation of the Australian Government’s investment in Aboriginal and Torres Strait Islander primary health care through the Indigenous Australians’ Health Programme. 2023.</w:t>
          </w:r>
        </w:p>
        <w:p w14:paraId="4D5CB5D4" w14:textId="77777777" w:rsidR="00CE593A" w:rsidRPr="001B63CA" w:rsidRDefault="00CE593A" w:rsidP="00CE593A">
          <w:pPr>
            <w:jc w:val="left"/>
            <w:rPr>
              <w:bCs/>
            </w:rPr>
          </w:pPr>
          <w:r w:rsidRPr="001B63CA">
            <w:rPr>
              <w:bCs/>
            </w:rPr>
            <w:t>This report’s lead authors were: Roxanne Bainbridge (Principal Investigator, University of Queensland), Chris Doran (Central Queensland University), Ned Hardie-Boys (Project Lead, Allen + Clarke), Erika Langham (University of Queensland), Sara Lystlund-Hemi (Allen + Clarke), Don Matheson (Consultant), Boyd Potts (Central Queensland University), Mathea Roorda (Allen + Clarke).</w:t>
          </w:r>
        </w:p>
        <w:p w14:paraId="34B3B393" w14:textId="77777777" w:rsidR="001B63CA" w:rsidRPr="001B63CA" w:rsidRDefault="001B63CA" w:rsidP="001B63CA">
          <w:pPr>
            <w:jc w:val="left"/>
            <w:rPr>
              <w:bCs/>
            </w:rPr>
          </w:pPr>
          <w:r w:rsidRPr="001B63CA">
            <w:rPr>
              <w:bCs/>
            </w:rPr>
            <w:t>The other major contributors to the report were:</w:t>
          </w:r>
        </w:p>
        <w:p w14:paraId="6CFCDDC0" w14:textId="77777777" w:rsidR="001B63CA" w:rsidRPr="001B63CA" w:rsidRDefault="001B63CA" w:rsidP="00EB2C31">
          <w:pPr>
            <w:spacing w:before="120" w:after="120" w:line="240" w:lineRule="auto"/>
            <w:rPr>
              <w:bCs/>
            </w:rPr>
          </w:pPr>
          <w:r w:rsidRPr="001B63CA">
            <w:rPr>
              <w:bCs/>
            </w:rPr>
            <w:t>Robert Monaghan, National Engagement Lead, Monaghan Dreaming</w:t>
          </w:r>
        </w:p>
        <w:p w14:paraId="3BD3F64D" w14:textId="77777777" w:rsidR="001B63CA" w:rsidRPr="001B63CA" w:rsidRDefault="001B63CA" w:rsidP="00EB2C31">
          <w:pPr>
            <w:spacing w:before="120" w:after="120" w:line="240" w:lineRule="auto"/>
            <w:rPr>
              <w:bCs/>
            </w:rPr>
          </w:pPr>
          <w:r w:rsidRPr="001B63CA">
            <w:rPr>
              <w:bCs/>
            </w:rPr>
            <w:t>Michael Costello-Czok, Allen + Clarke</w:t>
          </w:r>
        </w:p>
        <w:p w14:paraId="4D9CC303" w14:textId="77777777" w:rsidR="001B63CA" w:rsidRPr="001B63CA" w:rsidRDefault="001B63CA" w:rsidP="00EB2C31">
          <w:pPr>
            <w:spacing w:before="120" w:after="120" w:line="240" w:lineRule="auto"/>
            <w:rPr>
              <w:bCs/>
            </w:rPr>
          </w:pPr>
          <w:r w:rsidRPr="001B63CA">
            <w:rPr>
              <w:bCs/>
            </w:rPr>
            <w:t>Sarina Solar, Solar Consultancy Services</w:t>
          </w:r>
        </w:p>
        <w:p w14:paraId="11F2182B" w14:textId="77777777" w:rsidR="001B63CA" w:rsidRPr="001B63CA" w:rsidRDefault="001B63CA" w:rsidP="00EB2C31">
          <w:pPr>
            <w:spacing w:before="120" w:after="120" w:line="240" w:lineRule="auto"/>
            <w:rPr>
              <w:bCs/>
            </w:rPr>
          </w:pPr>
          <w:r w:rsidRPr="001B63CA">
            <w:rPr>
              <w:bCs/>
            </w:rPr>
            <w:t>Robyn Bailey, Allen + Clarke</w:t>
          </w:r>
        </w:p>
        <w:p w14:paraId="0F95E771" w14:textId="77777777" w:rsidR="001B63CA" w:rsidRPr="001B63CA" w:rsidRDefault="001B63CA" w:rsidP="00EB2C31">
          <w:pPr>
            <w:spacing w:before="120" w:after="120" w:line="240" w:lineRule="auto"/>
            <w:rPr>
              <w:bCs/>
            </w:rPr>
          </w:pPr>
          <w:r w:rsidRPr="001B63CA">
            <w:rPr>
              <w:bCs/>
            </w:rPr>
            <w:t>Julia Carr, GP and public health physician</w:t>
          </w:r>
        </w:p>
        <w:p w14:paraId="04DC87E9" w14:textId="77777777" w:rsidR="001B63CA" w:rsidRPr="001B63CA" w:rsidRDefault="001B63CA" w:rsidP="00EB2C31">
          <w:pPr>
            <w:spacing w:before="120" w:after="120" w:line="240" w:lineRule="auto"/>
            <w:rPr>
              <w:bCs/>
            </w:rPr>
          </w:pPr>
          <w:r w:rsidRPr="001B63CA">
            <w:rPr>
              <w:bCs/>
            </w:rPr>
            <w:t>William Morgan, Allen + Clarke</w:t>
          </w:r>
        </w:p>
        <w:p w14:paraId="1B56AF6B" w14:textId="77777777" w:rsidR="001B63CA" w:rsidRPr="001B63CA" w:rsidRDefault="001B63CA" w:rsidP="00EB2C31">
          <w:pPr>
            <w:spacing w:before="120" w:after="120" w:line="240" w:lineRule="auto"/>
            <w:rPr>
              <w:bCs/>
            </w:rPr>
          </w:pPr>
          <w:r w:rsidRPr="001B63CA">
            <w:rPr>
              <w:bCs/>
            </w:rPr>
            <w:t>Celia Schild, Allen + Clarke</w:t>
          </w:r>
        </w:p>
        <w:p w14:paraId="67945111" w14:textId="77777777" w:rsidR="001B63CA" w:rsidRPr="001B63CA" w:rsidRDefault="001B63CA" w:rsidP="00EB2C31">
          <w:pPr>
            <w:spacing w:before="120" w:after="120" w:line="240" w:lineRule="auto"/>
            <w:rPr>
              <w:bCs/>
            </w:rPr>
          </w:pPr>
          <w:r w:rsidRPr="001B63CA">
            <w:rPr>
              <w:bCs/>
            </w:rPr>
            <w:t>Stephen Begg, La Trobe University</w:t>
          </w:r>
        </w:p>
        <w:p w14:paraId="3FF6F808" w14:textId="77777777" w:rsidR="001B63CA" w:rsidRPr="001B63CA" w:rsidRDefault="001B63CA" w:rsidP="00EB2C31">
          <w:pPr>
            <w:spacing w:before="120" w:after="120" w:line="240" w:lineRule="auto"/>
            <w:rPr>
              <w:bCs/>
            </w:rPr>
          </w:pPr>
          <w:r w:rsidRPr="001B63CA">
            <w:rPr>
              <w:bCs/>
            </w:rPr>
            <w:t>Jamie Bryant, University of Newcastle</w:t>
          </w:r>
        </w:p>
        <w:p w14:paraId="0096123E" w14:textId="77777777" w:rsidR="001B63CA" w:rsidRPr="001B63CA" w:rsidRDefault="001B63CA" w:rsidP="00EB2C31">
          <w:pPr>
            <w:spacing w:before="120" w:after="120" w:line="240" w:lineRule="auto"/>
            <w:rPr>
              <w:bCs/>
            </w:rPr>
          </w:pPr>
          <w:r w:rsidRPr="001B63CA">
            <w:rPr>
              <w:bCs/>
            </w:rPr>
            <w:t>Alison Gibberd, Hunter Medical Research Institute</w:t>
          </w:r>
        </w:p>
        <w:p w14:paraId="18468501" w14:textId="77777777" w:rsidR="001B63CA" w:rsidRPr="001B63CA" w:rsidRDefault="001B63CA" w:rsidP="00EB2C31">
          <w:pPr>
            <w:spacing w:before="120" w:after="120" w:line="240" w:lineRule="auto"/>
            <w:rPr>
              <w:bCs/>
            </w:rPr>
          </w:pPr>
          <w:r w:rsidRPr="001B63CA">
            <w:rPr>
              <w:bCs/>
            </w:rPr>
            <w:t>Chris Oldmeadow, Hunter Medical Research Institute</w:t>
          </w:r>
        </w:p>
        <w:p w14:paraId="64693ED8" w14:textId="77777777" w:rsidR="001B63CA" w:rsidRPr="001B63CA" w:rsidRDefault="001B63CA" w:rsidP="00EB2C31">
          <w:pPr>
            <w:spacing w:before="120" w:after="120" w:line="240" w:lineRule="auto"/>
            <w:rPr>
              <w:bCs/>
            </w:rPr>
          </w:pPr>
          <w:r w:rsidRPr="001B63CA">
            <w:rPr>
              <w:bCs/>
            </w:rPr>
            <w:t>Rob Sanson-Fisher, University of Newcastle</w:t>
          </w:r>
        </w:p>
        <w:p w14:paraId="349CD4C0" w14:textId="77777777" w:rsidR="001B63CA" w:rsidRPr="001B63CA" w:rsidRDefault="001B63CA" w:rsidP="00EB2C31">
          <w:pPr>
            <w:spacing w:before="120" w:after="120" w:line="240" w:lineRule="auto"/>
            <w:rPr>
              <w:bCs/>
            </w:rPr>
          </w:pPr>
          <w:r w:rsidRPr="001B63CA">
            <w:rPr>
              <w:bCs/>
            </w:rPr>
            <w:t>Anthony Shakeshaft, University of Queensland</w:t>
          </w:r>
        </w:p>
        <w:p w14:paraId="7F9A97AC" w14:textId="77777777" w:rsidR="001B63CA" w:rsidRPr="001B63CA" w:rsidRDefault="001B63CA" w:rsidP="00EB2C31">
          <w:pPr>
            <w:spacing w:before="120" w:after="120" w:line="240" w:lineRule="auto"/>
            <w:rPr>
              <w:bCs/>
            </w:rPr>
          </w:pPr>
          <w:r w:rsidRPr="001B63CA">
            <w:rPr>
              <w:bCs/>
            </w:rPr>
            <w:t>Paul Houliston, Project Sponsor, Allen + Clarke</w:t>
          </w:r>
        </w:p>
        <w:p w14:paraId="68B99E17" w14:textId="77777777" w:rsidR="001B63CA" w:rsidRPr="001B63CA" w:rsidRDefault="001B63CA" w:rsidP="00EB2C31">
          <w:pPr>
            <w:spacing w:before="120" w:after="120" w:line="240" w:lineRule="auto"/>
            <w:rPr>
              <w:bCs/>
            </w:rPr>
          </w:pPr>
          <w:r w:rsidRPr="001B63CA">
            <w:rPr>
              <w:bCs/>
            </w:rPr>
            <w:t>Hannah Cross, Allen + Clarke</w:t>
          </w:r>
        </w:p>
        <w:p w14:paraId="33F2B4E5" w14:textId="77777777" w:rsidR="001B63CA" w:rsidRPr="001B63CA" w:rsidRDefault="001B63CA" w:rsidP="00EB2C31">
          <w:pPr>
            <w:spacing w:before="120" w:after="120" w:line="240" w:lineRule="auto"/>
            <w:rPr>
              <w:bCs/>
            </w:rPr>
          </w:pPr>
          <w:r w:rsidRPr="001B63CA">
            <w:rPr>
              <w:bCs/>
            </w:rPr>
            <w:t>Judy Rangi, Allen + Clarke</w:t>
          </w:r>
        </w:p>
        <w:p w14:paraId="7C5165F0" w14:textId="77777777" w:rsidR="00432708" w:rsidRDefault="00432708">
          <w:pPr>
            <w:jc w:val="left"/>
          </w:pPr>
        </w:p>
        <w:p w14:paraId="54114683" w14:textId="77777777" w:rsidR="00432708" w:rsidRDefault="00432708">
          <w:pPr>
            <w:jc w:val="left"/>
            <w:sectPr w:rsidR="00432708" w:rsidSect="004529D2">
              <w:type w:val="continuous"/>
              <w:pgSz w:w="11909" w:h="16834" w:code="9"/>
              <w:pgMar w:top="1440" w:right="1440" w:bottom="1440" w:left="1440" w:header="720" w:footer="720" w:gutter="0"/>
              <w:pgNumType w:fmt="lowerRoman"/>
              <w:cols w:space="720"/>
              <w:titlePg/>
              <w:docGrid w:linePitch="360"/>
            </w:sectPr>
          </w:pPr>
        </w:p>
        <w:p w14:paraId="1C2C00AB" w14:textId="6F07F64A" w:rsidR="00C727D0" w:rsidRPr="00884FAA" w:rsidRDefault="00B31E81" w:rsidP="00132FB5">
          <w:r w:rsidRPr="00884FAA">
            <w:rPr>
              <w:noProof/>
            </w:rPr>
            <w:lastRenderedPageBreak/>
            <mc:AlternateContent>
              <mc:Choice Requires="wps">
                <w:drawing>
                  <wp:inline distT="0" distB="0" distL="0" distR="0" wp14:anchorId="65A7C03B" wp14:editId="1A6BAFBE">
                    <wp:extent cx="5716067" cy="2085975"/>
                    <wp:effectExtent l="19050" t="19050" r="18415" b="28575"/>
                    <wp:docPr id="153622082" name="Freeform: Shape 153622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6067" cy="2085975"/>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6D01A52D" w14:textId="1AF69064" w:rsidR="00B31E81" w:rsidRDefault="00B53DFB" w:rsidP="00B31E81">
                                <w:pPr>
                                  <w:pStyle w:val="NoSpacing"/>
                                  <w:spacing w:before="240"/>
                                  <w:rPr>
                                    <w:b/>
                                    <w:bCs/>
                                    <w:color w:val="9E6047" w:themeColor="accent3"/>
                                  </w:rPr>
                                </w:pPr>
                                <w:r w:rsidRPr="00B53DFB">
                                  <w:rPr>
                                    <w:b/>
                                    <w:bCs/>
                                    <w:color w:val="9E6047" w:themeColor="accent3"/>
                                  </w:rPr>
                                  <w:t>About this document</w:t>
                                </w:r>
                              </w:p>
                              <w:p w14:paraId="2B37414C" w14:textId="3A0B735D" w:rsidR="00B53DFB" w:rsidRDefault="005564D7" w:rsidP="00B31E81">
                                <w:pPr>
                                  <w:pStyle w:val="NoSpacing"/>
                                  <w:spacing w:before="240"/>
                                </w:pPr>
                                <w:r>
                                  <w:t>3 documents provide additional material for this Final Report. They are:</w:t>
                                </w:r>
                              </w:p>
                              <w:p w14:paraId="3E8C3EF9" w14:textId="52D04A8E" w:rsidR="005564D7" w:rsidRDefault="005564D7" w:rsidP="00F16837">
                                <w:pPr>
                                  <w:pStyle w:val="NoSpacing"/>
                                  <w:numPr>
                                    <w:ilvl w:val="0"/>
                                    <w:numId w:val="54"/>
                                  </w:numPr>
                                  <w:spacing w:before="240"/>
                                </w:pPr>
                                <w:r>
                                  <w:t>Final Report: Supplementary material</w:t>
                                </w:r>
                              </w:p>
                              <w:p w14:paraId="36F09FA3" w14:textId="3FD78325" w:rsidR="008C51DE" w:rsidRDefault="008C51DE" w:rsidP="00F16837">
                                <w:pPr>
                                  <w:pStyle w:val="NoSpacing"/>
                                  <w:numPr>
                                    <w:ilvl w:val="0"/>
                                    <w:numId w:val="54"/>
                                  </w:numPr>
                                  <w:spacing w:before="240"/>
                                </w:pPr>
                                <w:r>
                                  <w:t xml:space="preserve">Final Report: </w:t>
                                </w:r>
                                <w:r w:rsidR="00FA3B1D" w:rsidRPr="00FA3B1D">
                                  <w:rPr>
                                    <w:lang w:val="en-AU"/>
                                  </w:rPr>
                                  <w:t>Quantitative Analytical Approach and Findings</w:t>
                                </w:r>
                              </w:p>
                              <w:p w14:paraId="0E20A44A" w14:textId="63C10854" w:rsidR="008C51DE" w:rsidRPr="00FA3B1D" w:rsidRDefault="008C51DE" w:rsidP="00F16837">
                                <w:pPr>
                                  <w:pStyle w:val="NoSpacing"/>
                                  <w:numPr>
                                    <w:ilvl w:val="0"/>
                                    <w:numId w:val="54"/>
                                  </w:numPr>
                                  <w:spacing w:before="240"/>
                                  <w:rPr>
                                    <w:lang w:val="en-AU"/>
                                  </w:rPr>
                                </w:pPr>
                                <w:r w:rsidRPr="008C51DE">
                                  <w:rPr>
                                    <w:lang w:val="en-AU"/>
                                  </w:rPr>
                                  <w:t>Indigenous Australians’ Health Programme Impact Report</w:t>
                                </w:r>
                                <w:r w:rsidRPr="00FA3B1D">
                                  <w:rPr>
                                    <w:lang w:val="en-AU"/>
                                  </w:rPr>
                                  <w:t xml:space="preserve"> prepared by the </w:t>
                                </w:r>
                                <w:r w:rsidR="00FA3B1D" w:rsidRPr="00FA3B1D">
                                  <w:rPr>
                                    <w:lang w:val="en-AU"/>
                                  </w:rPr>
                                  <w:t>Australian</w:t>
                                </w:r>
                                <w:r w:rsidRPr="00FA3B1D">
                                  <w:rPr>
                                    <w:lang w:val="en-AU"/>
                                  </w:rPr>
                                  <w:t xml:space="preserve"> Institute of Health and Welfare</w:t>
                                </w:r>
                              </w:p>
                              <w:p w14:paraId="3FCFD5C5" w14:textId="77777777" w:rsidR="008C51DE" w:rsidRPr="008C51DE" w:rsidRDefault="008C51DE" w:rsidP="008C51DE">
                                <w:pPr>
                                  <w:pStyle w:val="NoSpacing"/>
                                  <w:spacing w:before="240"/>
                                  <w:rPr>
                                    <w:b/>
                                    <w:bCs/>
                                    <w:lang w:val="en-AU"/>
                                  </w:rPr>
                                </w:pPr>
                              </w:p>
                              <w:p w14:paraId="08B2287D" w14:textId="77777777" w:rsidR="005564D7" w:rsidRPr="00B53DFB" w:rsidRDefault="005564D7" w:rsidP="00B31E81">
                                <w:pPr>
                                  <w:pStyle w:val="NoSpacing"/>
                                  <w:spacing w:before="240"/>
                                </w:pPr>
                              </w:p>
                            </w:txbxContent>
                          </wps:txbx>
                          <wps:bodyPr rot="0" vert="horz" wrap="square" lIns="91440" tIns="45720" rIns="91440" bIns="45720" anchor="t" anchorCtr="0" upright="1">
                            <a:noAutofit/>
                          </wps:bodyPr>
                        </wps:wsp>
                      </a:graphicData>
                    </a:graphic>
                  </wp:inline>
                </w:drawing>
              </mc:Choice>
              <mc:Fallback>
                <w:pict>
                  <v:shape w14:anchorId="65A7C03B" id="Freeform: Shape 153622082" o:spid="_x0000_s1027" alt="&quot;&quot;" style="width:450.1pt;height:164.2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K5xMAAMplAAAOAAAAZHJzL2Uyb0RvYy54bWysXWtvIzty/R4g/0HwxwR73ST7ObhzF/vI&#10;BgE22QVW+wM0tjw2YluOpHnc/fU5RVb1NNtkVSPIl2lrVCKLdVjFOkVS+vm331+ed1+P58vT6fXj&#10;jfupudkdX+9O90+vnz/e/H3/p9+MN7vL9fB6f3g+vR4/3vx6vNz89pd//qefv719OPrT4+n5/nje&#10;oZHXy4dvbx9vHq/Xtw+3t5e7x+PL4fLT6e34ijcfTueXwxUvz59v78+Hb2j95fnWN01/++10vn87&#10;n+6Olwv+94/pzZtfYvsPD8e7618eHi7H6+754w10u8Z/z/HfT/Tv7S8/Hz58Ph/eHp/uWI3D/0GL&#10;l8PTKzqdm/rj4XrYfTk/vWvq5enufLqcHq4/3Z1ebk8PD093xzgGjMY1q9H87fHwdoxjgXEub7OZ&#10;Lv9/zd7919e/vf31TKpf3v58uvvvCyxy++3t8mF+h15cILP79O0/T/fA8PDleoqD/f5wfqFPYhi7&#10;79Gmv842PX6/7u7wn93g+qYfbnZ3eM83YzcNHVn99vBBPn735XL99+MpNnX4+ufLNYFyj7+iSe93&#10;r4cX9LsHgA8vz8DnX3+za3ZubIadC8PEIM5iTsT+5Xa3b3bfdpML/VrIi1Bqa/I7N7m1UBAhtOQg&#10;8rgL/SCTZu6vFanYlPc92iqo1YkYqdVW1OpFiNtyJbVgzWQHtOS9q6gFz1tYyw9tW1RrEjFSa6yo&#10;5XLTU6cFc7ml5euKudz2wYeuqJlbmn/vfE23lf07jPM9lG5pfg+ZMpYuByD0XWWOLTHYu76m2wqE&#10;JhR1W2LgIVPWzecgtK6ZinbzSxj2vuoBOQzeF+3mlyCQTEW3HIS26zFDCk7glzDs0VzFO3MYPHn6&#10;e0z9EgSSqeiWg9BOA1Ao6baEYe9rvhByGLwvh44lCCRT1i3kIHTthMBW0C0sYdiHmi+EHAYP8At2&#10;C0sQSKaiWw5CN7myL4QlDPtQ84WQw+CmsajbEgSSKevW5iD0obIWtEsY9m3NF9ochord2iUIdbu1&#10;OQj9SDOkgGm7hGGP8Fz2hTaHwYeiL7RLEEimYrcchMGPQKGk2xKGfVvzhS6HwSNIF+ZbtwSBZMq6&#10;dTkIw1DxhW4Jw76r+UKXw+AdVpn3MaRbgkAyFd1yEEbf9kW7dUsY9l3NF7ocBuQMRd2WIJBMWbc+&#10;B2Hsu3Ls7Zcw7PuaL/Q5DD5glXlvt34JAslUdMtBmJqhbLd+CcO+r/lCn8PgaQUs6LYEgWQquuUg&#10;TFi0ipj2Sxj2fc0XkBhmCVdTXE+HJQgeMmXdhhyEaYILlvx0WMKwH2q+MOQw+FCMvcjMF4klZCq6&#10;5SC4ph3KiciwxGEP5MsBbshxqARf5PkL5aqL1pij4JquKWeX4xKI/VjzhjEHog9FVMclDCRTttyY&#10;w1C33LhEYj/W3GFcIeFolrz3h3GJgyOhino5EFCvwhnGJRZ7LCFlYKcVFt1YXLqg8A9kHQmV1Zty&#10;KOrQTks09uBtFfVyNEBOi9FkWmIRhSrqrcCAW5R9dlrCsZ9qbjHlaICzFBeJaYlFFCqr55oVGk1L&#10;4y2s/a5ZArLHBysGdE2OiJ+QmBbmn2uWgESpmo45JJiBWN7LOi5RgY41F3FNDksIQ5m7NktUolRN&#10;xxwXDK6CM/jZYmJDx5qfuBW9DqMv88SMYEepio4rij2NWO2LZlxx7DrJdjky6LyYTrmMZ0epmoo5&#10;Llh9K0i7JTB7V+faLgcmjK4Yq51bwhKlKiquCPc4jeWlxOWM21Upt/O5w6DzYsB2GeuOUjUVc1jG&#10;FmtFEeiceLsq83Y+xwWdF8OOy8h3lKqpmMMyNjWg/RIX1Huq7rJi4PC/4rriwjKORamKiisWPnRD&#10;mem6nIa7Kg93KyJetWJGxTUrooK5zC4HxLUy0DkbR+WzFrxXfBydl4NOWMISpSpWXHNylErLKuak&#10;3FVZuVvR8qoVM2KuWXFNzWPRq7QE5tzcVcm5W7HzMIayFTN+HqVqVszdpRv6crXKtUtc9pTVldMc&#10;tyLpVStmNF2z4oqod6FSiHQ5U3dVqu5WXB2dF1Mxl7H1KFWxYpe7SztWeKfLCburMnbkpZkDYmkr&#10;5zrdEpYoVVFxRduRa1eAznk7tlNqQK+YOyJeWcWMu0epmor56hJqLNTl9N1V+btbEfjqXKQdo3mP&#10;Q5uL/QqWtq0ktTmLd1Ua71Y8PoxEgt6TKpcx+ShVseKKy4emLddnXE7mXZXNuxWdr1oxI/SaFYfc&#10;XfxQKae6nNK7Kqd3K1IPRyhnOhmtj1IVK66IPUrqFXfJiT12CWvusqL2sE/ZXTJyH6VqKubu4voa&#10;Mcjpvavye7ci+AHJU3EuZgw/StVUzN3FhakyF3OK76oc361Ifuj6sooZy49SFRXXNL8NFRVzmk/7&#10;s5UFcMpxCSC4RStmTD9K1VTM3cVhPS9nOjnVd1Wuj40OiXdp4zc6YCHo5GyfpMoq4mxE1iCSrDIx&#10;wLEDEaQNYHyuYkW/JvtuKgKN/ctFg56kairmsEDFMgP0Tcb1qWhaBtqvuD6CEHB5b0VsFS5UjFI1&#10;FXNYoGIZaBSZFy3CirVkzK+oPqZOcXXxGdWPUhUVV1TftcTXCimtz6k+bcNUrLii+thPKBoxY/ok&#10;VFNw5SwthdmigktU9r5K9P2a6LviLiem3gITuPNCQZw++SznSw6PcuTk7vsrnznBX7sDHWFq4kGX&#10;t9OFDrjs4So4xbIPfIAFUnRApSKMSUvCwyZhqErCQD2djdGbJiijuBylMcRh2Cgej8pg7Lo4VTNI&#10;HEWILcpQZSGKbxspsXwSBznf0jox7ii+bajEfqP4tqESEyVxEMgtyhArjOLbhkoMjcRBrLa0Tmwp&#10;im8bKjGXKL5tqMQiSBzJ/xZlKKOP4tuGStk1iSMp3tI6ZbpRfNtQKeuM4tuGShkgiSNx26IMZWNR&#10;fNtQKTMi8bSumN5EWUoU3zZUyhii+Lahxlo9yVONfctgsWuSOnBYBLd9gMfrtganOTphhdjUA1V4&#10;4xgQsTd9QCIU1Um3fUAGjarltg/IoDeGqVgZjGNARW9TDxKpkIJv+4DEKrcxWDmJVg61p00qSbxy&#10;GwNWrO/EQaMus6kHiVkOVZJNH5Co5TaGrViJiCqhgrCtB0F6Y+iKLD32MB9k1ZfTyJnTBzYOWuKX&#10;2xjAnEQwBx64adASwzg5NoOYkyiGdH5bDxLHHBjLFpUiDyErEX/Y9gH2acrmt32AkabcetMHJJDh&#10;WNDGD3Ago9Rz0UMyL6eWZ5xJX59GP9/scBr9E33m8OHtcKWMVP7cfft4Ew8w7x4/3sTjx/TOy+nr&#10;cX+KMldKTTmrwiP1++P959elnCO6ADPPI5K35fkWmxO847FpqC/vyjNJeV7GxZzyrjyTVKC6MrqM&#10;56arbbUeVIsU4wFIG/JMbXUNOCOkWl2KakWQEmNIG/JMbfVUTKYe9cYG2kWCGDYDk2mlFXmm1nAY&#10;PYnJVJG35cliVExCa9jC0lqbqDhMYl4Vw6KfrGbJOaJMNAjdJNgaTT4yL5OivTzTKLA3l6aRJYfz&#10;01uGi/0VHoduPSw4qV9sDGnmcz2RU4wXzepyHKbm9UvGKU8e78AZKGBR2xtp3wH9zquVtCNPbm9i&#10;WgPzaO3RDZfUnj5ehMA0+9C92h4Mnexi9BsrJPZ88Z7KvJBDVFH7lRggoV3MIc9kFt8ylzRa66i4&#10;RVbWO8XWWVLO6LVn4jUnk6KVPFm7gfad0S2wUwcrocCYpDh6y2DI+iX9yZP7nTgJMiZzkGAw54fS&#10;jjxTewEnwOI4jGAQHDs57kRo4w2eNhhhFz22hMBpvu6SAQWxhJruagHnRZKcoV1HZy6gnYFu6KhK&#10;TOjqK1DoaceJ5IxxDLTjCzl4nGq9kWfVnKQLWvJk1CYO4YZc21DlkPrVx9ESnSM5Yxa0nmeLMQva&#10;wE6pT+Y20G4YdataBXuhPAsMsZHB0MU6XiYN3XD0MOpmRLO2pyMRGAMQ0aBte9pQoLHqAaMdeLU3&#10;VtN2ZM5oQTZxLmXIdY2kNrrndvFMEMZhuEaHmnIcL7DT7NLhBGCS0+3XBa4qGQGtw2yJ7eEshtpv&#10;R7e7MA4jkHYd7WmRnGGXnnapSc7od+DsBgdkVP1GOg2E9izcJtptIDndxbtJ5rOuH+5n8nzWcUNS&#10;lexskIce1wGifgj42nh7rBxpHLpdesSqJGfo104JX0x/td+ONp1hPyNr7ns680Fyhv0Gzubgnmq/&#10;I22NUXuWHM+ruZQkS4E805LQTwgscR7o87SfxC56HBoaOp1B80q38+B4nhokZohbgTReXb/B85pg&#10;+OUQ6DwY2jOy9aFl4j4XmcRu8kz2g1smfAGzhtvQsV0s/XouoBn+O/TMOoz1Yxg4sZrrFaK/PHkc&#10;knDq02oY2c313H+YGF190o8NU3EdW6jGa6o+98Y5thjteWaACB0aZmPgOWCsWWNgLAyfxMHaNPeM&#10;tQgEMMUWI03DfmnyNUCsjmPgKi6yXVVu5IRpLt3KHJFnmiujxAxDv6nhtdxYs6Z4rYBiho7bFE9d&#10;Q47OumsDQakrLb4/ip8yAnmmkUCQVw9jyKl4RmHIWLcgyPlL+k6Baq1qkoSIEg99MJy0d4YLwzxp&#10;ievAfvQWef8Gi5MlmFocjGg5I0i1C6Nr5nmo4quCDa83uJVhNNlwpoWypDGchgtnmEdW73TqjWaa&#10;7w1bznlPMFayqeE6FjZrrBHxWoGDwdaI6AAh6dkZVG1qZiJuWUm8EYcTTX/kuDyaDkk3AkhP3H/Q&#10;cXcIAlFywg6GOkNQQIySOLFjSiafxPEVc0QcD+iki9671Go9Nk5UyUbqocHyooY5DWpYRu8NnYSD&#10;PT3u+lu9c37XWb0L7r43cgp4O1sehxP13uOtJNIT+ZQhKW1SIqLaM94EozZxHluXlBjicebYkJQa&#10;QINKj9p7w/sCOAtkWZ53NlADMyVTUAybo00IxpqPS9LME1przktUDJ2R58xRPvRGDBknnvMB/Ey1&#10;5zgJn+kNhjRSkKE5jzZ1Lx4H5jS2pFRhbMlu5nF2lpd8E23qa8fYcgyBpO4duBCS4icsr8/k0Qvv&#10;6xFytZk8ym4p2jT0pK8+SpY34hJ8l2cd+Lveu+SG5lwCl+CiqjX2YaQrIGmG6B6HrRjO0vClH6qe&#10;4Fky64zsFAW42Up6BBuknIyx6xgNrezNWRgNYR67YXkw5XlEum8OdBRgE+64SZbWTRtNqReaY0fh&#10;Uyonxoj6cdbTqhbhIiKPyMhYeuFMoZ/PEgh3kGfiECjg8ZzvjLyu77m8jX0Cfdb1HQJstHyHhUnz&#10;4v7HrifOY6iSQTYduvn8hYxEnjwiSmkS7sZa3Mcz59HjjBWhF3ISemNLq284r8O+r24l7LZwDc6U&#10;HAUj2Eu1Esp60qYRvTs4kniH7ke4zTDPOj3OY5GZLW+02fGWCuaSHkNQ2eZYh6/N08eOkyGCu9Gm&#10;5/zT9HfU82VFQBFCm58dDqhz7waJ7BqQsjQ/jepcO83R2+CbLb6YStrUMcLtaMHImMntwOwM67u+&#10;GmKXR3o31uK2563I0BuxrgXwPCLjdEpLNDPZ09yg441VE/fWM3/H2PW5hM1B8Q6DI7S4OsF6WpZv&#10;JNZZuWKY6NZMyhn0yBAmLiph7HpMDiNdokxRUfdi3GAQ7zDQxJantGlghAArc8ngcbhAJZJG9A74&#10;vjuxku4dKK9vlUT3YiU9LoUf65FRkQg/oo2xvqO0K3He4HFhjjb48jo1gnnZKwtWBc7L7hskjTZx&#10;5zFZqUMBR4uf9OWcIqlnAv7HnpSR23ipRJv+7lu6TxrnvLHjie+NkmhjnHDychwA5yWMEeH7nrh3&#10;OL5qJTm9hDYNezZznowtS61NHHiTuWTUcnEkcuaGeu+4tSmRwVgR3DBHWsM7cBlY9LQkyTgcwfRV&#10;2/Wz5Q0Oi1vy0qaRWeHouOhpcG0USAV34yhNLLpynNdnCAr484qgxyXUm2UmG7usDiCxPY1MAN/3&#10;M0vq2S9ubUikNc584BuVBEx9icMtdRHUoxLtByRjGhOJdhhYUM8Cujl8GBsssoeG/EcfTJhTP6OU&#10;62eLGy3iRqYMxpgYvGODqKljOPujsf5Ke1aVfz47Y2S7IhdgdTWyMXoe96k1OclN6PCOJicZFN10&#10;UeXY0I3BBOiLU7DmYOHV++VjfmAtOh5cQ/GjkYlKe9hdV8fB/uRx2kGV43mAhdnAI60JvjO4fnJj&#10;T2eVNDOn2OmpyKSJ8VaDtX2R5gq+YlRfq+UcjjMyH57zuBWtY8uVEhxz1m3HKy9uq+jOyzvC2Do2&#10;2ktGdjjZoVqPscWXhRhzIM1lfO+JHntRDKM5j9tPhl0SbDgToaPL9+BwwWujnDWXud+Aya/NKhkH&#10;lSNVObYzXSdR5dh+ztIvra/43kF9nvJ8mYyUjo9tjcbuGs+qwdjQRb5D4KL6qI6VKyUWJWCKg+9o&#10;1FvjjMMoJHGnOCKut8Yx2TitwHajIx0qqkm3d1jdPZ8ux/RBuusUfwtivvREd6UWvwfxevrT0/Mz&#10;hOkOEl2FwtckobRIry+n56d7eje+OH/+9Ifn8+7rAT/0Efrf9b//PeuWiZ1PX17vY2uPx8P9v/Hf&#10;18PTc/o7HvngH8Cg37yg3xG5fLh+//R993QPx6U26X8+ne5//et5dz6lHxTBD6Dgj8fT+R83u2/4&#10;MZGPN5f/+XI4H292z//xil/rmMBcELCv8UWLZBovzst3Pi3fObzeoamPN9cbfAcB/fmHa/rFki9v&#10;56fPj+jJRQO8nn6HX+J4eKLfy4g/2ZG04hf4wZBoWf5xE/pFkuXrKPXjJ1h++V8AAAD//wMAUEsD&#10;BBQABgAIAAAAIQDK8x482wAAAAUBAAAPAAAAZHJzL2Rvd25yZXYueG1sTI/BTsMwEETvSPyDtUhc&#10;ELUbSglpnAoh9Vqpody38ZKkxOsodtrA12N6gctKoxnNvM3Xk+3EiQbfOtYwnykQxJUzLdca9m+b&#10;+xSED8gGO8ek4Ys8rIvrqxwz4868o1MZahFL2GeooQmhz6T0VUMW/cz1xNH7cIPFEOVQSzPgOZbb&#10;TiZKLaXFluNCgz29NlR9lqPVsJwvkn29kU/j+/dxKhe7bcp3pPXtzfSyAhFoCn9h+MWP6FBEpoMb&#10;2XjRaYiPhMuN3rNSCYiDhockfQRZ5PI/ffEDAAD//wMAUEsBAi0AFAAGAAgAAAAhALaDOJL+AAAA&#10;4QEAABMAAAAAAAAAAAAAAAAAAAAAAFtDb250ZW50X1R5cGVzXS54bWxQSwECLQAUAAYACAAAACEA&#10;OP0h/9YAAACUAQAACwAAAAAAAAAAAAAAAAAvAQAAX3JlbHMvLnJlbHNQSwECLQAUAAYACAAAACEA&#10;vzikiucTAADKZQAADgAAAAAAAAAAAAAAAAAuAgAAZHJzL2Uyb0RvYy54bWxQSwECLQAUAAYACAAA&#10;ACEAyvMePNsAAAAFAQAADwAAAAAAAAAAAAAAAABBFgAAZHJzL2Rvd25yZXYueG1sUEsFBgAAAAAE&#10;AAQA8wAAAEkXA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7784,109130;552461,125613;854031,125613;1161233,144370;1425263,115382;1708063,127318;1990863,117656;2248637,126182;2572105,125045;2839264,112540;3083273,125045;3405490,134707;3697049,120498;4011132,122203;4296435,128455;4549829,135844;4815736,118793;5053489,115951;5361315,135276;5693543,125045;5709810,360356;5693543,652507;5671645,902028;5709810,1187357;5692917,1447110;5699800,1666506;5676650,1916028;5630351,2172938;5306257,2174075;5050986,2167823;4758801,2170096;4445343,2168959;4175056,2152476;3877866,2168959;3583178,2167254;3310389,2168959;3031342,2178622;2742911,2168959;2458860,2170664;2187947,2172370;1917035,2149634;1607331,2168959;1295125,2184874;1039854,2168959;830882,2175780;528060,2166686;187074,2162707;7508,2026295;32535,1762564;2503,1538620;15642,1247606;14390,1013431;15016,786646;23150,491654;20647,176200" o:connectangles="0,0,0,0,0,0,0,0,0,0,0,0,0,0,0,0,0,0,0,0,0,0,0,0,0,0,0,0,0,0,0,0,0,0,0,0,0,0,0,0,0,0,0,0,0,0,0,0,0,0,0,0,0,0,0" textboxrect="0,0,9136,3670"/>
                    <v:textbox>
                      <w:txbxContent>
                        <w:p w14:paraId="6D01A52D" w14:textId="1AF69064" w:rsidR="00B31E81" w:rsidRDefault="00B53DFB" w:rsidP="00B31E81">
                          <w:pPr>
                            <w:pStyle w:val="NoSpacing"/>
                            <w:spacing w:before="240"/>
                            <w:rPr>
                              <w:b/>
                              <w:bCs/>
                              <w:color w:val="9E6047" w:themeColor="accent3"/>
                            </w:rPr>
                          </w:pPr>
                          <w:r w:rsidRPr="00B53DFB">
                            <w:rPr>
                              <w:b/>
                              <w:bCs/>
                              <w:color w:val="9E6047" w:themeColor="accent3"/>
                            </w:rPr>
                            <w:t>About this document</w:t>
                          </w:r>
                        </w:p>
                        <w:p w14:paraId="2B37414C" w14:textId="3A0B735D" w:rsidR="00B53DFB" w:rsidRDefault="005564D7" w:rsidP="00B31E81">
                          <w:pPr>
                            <w:pStyle w:val="NoSpacing"/>
                            <w:spacing w:before="240"/>
                          </w:pPr>
                          <w:r>
                            <w:t>3 documents provide additional material for this Final Report. They are:</w:t>
                          </w:r>
                        </w:p>
                        <w:p w14:paraId="3E8C3EF9" w14:textId="52D04A8E" w:rsidR="005564D7" w:rsidRDefault="005564D7" w:rsidP="00F16837">
                          <w:pPr>
                            <w:pStyle w:val="NoSpacing"/>
                            <w:numPr>
                              <w:ilvl w:val="0"/>
                              <w:numId w:val="54"/>
                            </w:numPr>
                            <w:spacing w:before="240"/>
                          </w:pPr>
                          <w:r>
                            <w:t>Final Report: Supplementary material</w:t>
                          </w:r>
                        </w:p>
                        <w:p w14:paraId="36F09FA3" w14:textId="3FD78325" w:rsidR="008C51DE" w:rsidRDefault="008C51DE" w:rsidP="00F16837">
                          <w:pPr>
                            <w:pStyle w:val="NoSpacing"/>
                            <w:numPr>
                              <w:ilvl w:val="0"/>
                              <w:numId w:val="54"/>
                            </w:numPr>
                            <w:spacing w:before="240"/>
                          </w:pPr>
                          <w:r>
                            <w:t xml:space="preserve">Final Report: </w:t>
                          </w:r>
                          <w:r w:rsidR="00FA3B1D" w:rsidRPr="00FA3B1D">
                            <w:rPr>
                              <w:lang w:val="en-AU"/>
                            </w:rPr>
                            <w:t>Quantitative Analytical Approach and Findings</w:t>
                          </w:r>
                        </w:p>
                        <w:p w14:paraId="0E20A44A" w14:textId="63C10854" w:rsidR="008C51DE" w:rsidRPr="00FA3B1D" w:rsidRDefault="008C51DE" w:rsidP="00F16837">
                          <w:pPr>
                            <w:pStyle w:val="NoSpacing"/>
                            <w:numPr>
                              <w:ilvl w:val="0"/>
                              <w:numId w:val="54"/>
                            </w:numPr>
                            <w:spacing w:before="240"/>
                            <w:rPr>
                              <w:lang w:val="en-AU"/>
                            </w:rPr>
                          </w:pPr>
                          <w:r w:rsidRPr="008C51DE">
                            <w:rPr>
                              <w:lang w:val="en-AU"/>
                            </w:rPr>
                            <w:t>Indigenous Australians’ Health Programme Impact Report</w:t>
                          </w:r>
                          <w:r w:rsidRPr="00FA3B1D">
                            <w:rPr>
                              <w:lang w:val="en-AU"/>
                            </w:rPr>
                            <w:t xml:space="preserve"> prepared by the </w:t>
                          </w:r>
                          <w:r w:rsidR="00FA3B1D" w:rsidRPr="00FA3B1D">
                            <w:rPr>
                              <w:lang w:val="en-AU"/>
                            </w:rPr>
                            <w:t>Australian</w:t>
                          </w:r>
                          <w:r w:rsidRPr="00FA3B1D">
                            <w:rPr>
                              <w:lang w:val="en-AU"/>
                            </w:rPr>
                            <w:t xml:space="preserve"> Institute of Health and Welfare</w:t>
                          </w:r>
                        </w:p>
                        <w:p w14:paraId="3FCFD5C5" w14:textId="77777777" w:rsidR="008C51DE" w:rsidRPr="008C51DE" w:rsidRDefault="008C51DE" w:rsidP="008C51DE">
                          <w:pPr>
                            <w:pStyle w:val="NoSpacing"/>
                            <w:spacing w:before="240"/>
                            <w:rPr>
                              <w:b/>
                              <w:bCs/>
                              <w:lang w:val="en-AU"/>
                            </w:rPr>
                          </w:pPr>
                        </w:p>
                        <w:p w14:paraId="08B2287D" w14:textId="77777777" w:rsidR="005564D7" w:rsidRPr="00B53DFB" w:rsidRDefault="005564D7" w:rsidP="00B31E81">
                          <w:pPr>
                            <w:pStyle w:val="NoSpacing"/>
                            <w:spacing w:before="240"/>
                          </w:pPr>
                        </w:p>
                      </w:txbxContent>
                    </v:textbox>
                    <w10:anchorlock/>
                  </v:shape>
                </w:pict>
              </mc:Fallback>
            </mc:AlternateContent>
          </w:r>
        </w:p>
        <w:tbl>
          <w:tblPr>
            <w:tblpPr w:leftFromText="181" w:rightFromText="181" w:vertAnchor="page" w:horzAnchor="page" w:tblpX="4488" w:tblpY="13061"/>
            <w:tblW w:w="6145" w:type="dxa"/>
            <w:tblLook w:val="04A0" w:firstRow="1" w:lastRow="0" w:firstColumn="1" w:lastColumn="0" w:noHBand="0" w:noVBand="1"/>
          </w:tblPr>
          <w:tblGrid>
            <w:gridCol w:w="2552"/>
            <w:gridCol w:w="3593"/>
          </w:tblGrid>
          <w:tr w:rsidR="00C727D0" w:rsidRPr="00884FAA" w14:paraId="7836C946" w14:textId="77777777" w:rsidTr="00392181">
            <w:trPr>
              <w:trHeight w:val="2043"/>
            </w:trPr>
            <w:tc>
              <w:tcPr>
                <w:tcW w:w="2552" w:type="dxa"/>
              </w:tcPr>
              <w:p w14:paraId="6D85A953" w14:textId="77777777" w:rsidR="00C727D0" w:rsidRPr="00884FAA" w:rsidRDefault="00C727D0" w:rsidP="00C727D0">
                <w:r w:rsidRPr="00884FAA">
                  <w:rPr>
                    <w:noProof/>
                  </w:rPr>
                  <w:drawing>
                    <wp:anchor distT="0" distB="0" distL="114300" distR="114300" simplePos="0" relativeHeight="251657222" behindDoc="0" locked="0" layoutInCell="1" allowOverlap="1" wp14:anchorId="68D47FB5" wp14:editId="1DFD5979">
                      <wp:simplePos x="0" y="0"/>
                      <wp:positionH relativeFrom="column">
                        <wp:posOffset>904240</wp:posOffset>
                      </wp:positionH>
                      <wp:positionV relativeFrom="paragraph">
                        <wp:posOffset>0</wp:posOffset>
                      </wp:positionV>
                      <wp:extent cx="638175" cy="1259205"/>
                      <wp:effectExtent l="0" t="0" r="9525" b="0"/>
                      <wp:wrapSquare wrapText="bothSides"/>
                      <wp:docPr id="196" name="Picture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8175" cy="1259205"/>
                              </a:xfrm>
                              <a:prstGeom prst="rect">
                                <a:avLst/>
                              </a:prstGeom>
                            </pic:spPr>
                          </pic:pic>
                        </a:graphicData>
                      </a:graphic>
                      <wp14:sizeRelH relativeFrom="margin">
                        <wp14:pctWidth>0</wp14:pctWidth>
                      </wp14:sizeRelH>
                      <wp14:sizeRelV relativeFrom="margin">
                        <wp14:pctHeight>0</wp14:pctHeight>
                      </wp14:sizeRelV>
                    </wp:anchor>
                  </w:drawing>
                </w:r>
              </w:p>
            </w:tc>
            <w:tc>
              <w:tcPr>
                <w:tcW w:w="3593" w:type="dxa"/>
              </w:tcPr>
              <w:p w14:paraId="3BBDB789" w14:textId="77777777" w:rsidR="00C727D0" w:rsidRPr="00884FAA" w:rsidRDefault="00C727D0" w:rsidP="00392181">
                <w:pPr>
                  <w:jc w:val="left"/>
                </w:pPr>
                <w:r w:rsidRPr="00884FAA">
                  <w:rPr>
                    <w:i/>
                    <w:iCs/>
                  </w:rPr>
                  <w:t>Allen + Clarke</w:t>
                </w:r>
                <w:r w:rsidRPr="00884FAA">
                  <w:t xml:space="preserve"> has been independently certified as compliant with ISO9001:2015 Quality Management Systems</w:t>
                </w:r>
              </w:p>
            </w:tc>
          </w:tr>
        </w:tbl>
        <w:p w14:paraId="3BEDDB7F" w14:textId="1A7C55F6" w:rsidR="005C11B1" w:rsidRPr="00884FAA" w:rsidRDefault="005C11B1" w:rsidP="00132FB5">
          <w:r w:rsidRPr="00884FAA">
            <w:br w:type="page"/>
          </w:r>
        </w:p>
        <w:p w14:paraId="407884C6" w14:textId="3AFE067B" w:rsidR="00367890" w:rsidRPr="00884FAA" w:rsidRDefault="0035242E" w:rsidP="003D4A7C">
          <w:pPr>
            <w:pStyle w:val="Heading1NotNumbered"/>
          </w:pPr>
          <w:bookmarkStart w:id="0" w:name="_Toc137208864"/>
          <w:r w:rsidRPr="00CC78CD">
            <w:rPr>
              <w:noProof/>
              <w:lang w:val="en-NZ"/>
            </w:rPr>
            <w:lastRenderedPageBreak/>
            <w:drawing>
              <wp:anchor distT="0" distB="0" distL="114300" distR="114300" simplePos="0" relativeHeight="251657229" behindDoc="0" locked="0" layoutInCell="1" allowOverlap="1" wp14:anchorId="04DD329E" wp14:editId="1BB95751">
                <wp:simplePos x="0" y="0"/>
                <wp:positionH relativeFrom="margin">
                  <wp:posOffset>38100</wp:posOffset>
                </wp:positionH>
                <wp:positionV relativeFrom="paragraph">
                  <wp:posOffset>409575</wp:posOffset>
                </wp:positionV>
                <wp:extent cx="5727065" cy="3248025"/>
                <wp:effectExtent l="0" t="0" r="6985" b="9525"/>
                <wp:wrapTopAndBottom/>
                <wp:docPr id="49112525" name="Picture 49112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2525" name="Picture 49112525">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5727065" cy="3248025"/>
                        </a:xfrm>
                        <a:prstGeom prst="rect">
                          <a:avLst/>
                        </a:prstGeom>
                      </pic:spPr>
                    </pic:pic>
                  </a:graphicData>
                </a:graphic>
                <wp14:sizeRelV relativeFrom="margin">
                  <wp14:pctHeight>0</wp14:pctHeight>
                </wp14:sizeRelV>
              </wp:anchor>
            </w:drawing>
          </w:r>
          <w:r w:rsidR="00367890" w:rsidRPr="00884FAA">
            <w:t>Acknowledgements</w:t>
          </w:r>
          <w:bookmarkEnd w:id="0"/>
        </w:p>
        <w:p w14:paraId="6A8A6F94" w14:textId="46B9C2C2" w:rsidR="00367890" w:rsidRPr="00884FAA" w:rsidRDefault="00367890" w:rsidP="00367890">
          <w:pPr>
            <w:ind w:left="338"/>
            <w:rPr>
              <w:sz w:val="18"/>
              <w:szCs w:val="18"/>
            </w:rPr>
          </w:pPr>
        </w:p>
        <w:p w14:paraId="5BE75DD3" w14:textId="7791ED99" w:rsidR="00367890" w:rsidRPr="00884FAA" w:rsidRDefault="00265BB3" w:rsidP="00367890">
          <w:r>
            <w:t>Emma</w:t>
          </w:r>
          <w:r w:rsidR="00367890" w:rsidRPr="00884FAA">
            <w:t xml:space="preserve"> was part of the evaluation team which designed and set-up the evaluation. Here is her description of the artwork:</w:t>
          </w:r>
        </w:p>
        <w:p w14:paraId="0E1C289A" w14:textId="77777777" w:rsidR="00C45A52" w:rsidRPr="00A1178E" w:rsidRDefault="00C45A52" w:rsidP="003E2F19">
          <w:pPr>
            <w:pStyle w:val="Quote"/>
            <w:spacing w:before="240" w:after="240"/>
            <w:rPr>
              <w:color w:val="18525E" w:themeColor="accent5" w:themeShade="80"/>
            </w:rPr>
          </w:pPr>
          <w:r w:rsidRPr="00A1178E">
            <w:rPr>
              <w:color w:val="18525E" w:themeColor="accent5" w:themeShade="80"/>
            </w:rPr>
            <w:t>Because I don’t speak for every country, and because we are working across many of them, the work seeks to represent Indigenous Australia. I feel that colour makes a statement so I have used colours that can be linked to many of our communities and countries, land or sea based. The colours represent our people and the land they come from – ochres/yellows represent desert and hills and the cliffs where our ochres come from. Blues for ocean and blue greens for rivers.</w:t>
          </w:r>
        </w:p>
        <w:p w14:paraId="694E4887" w14:textId="77777777" w:rsidR="00C45A52" w:rsidRPr="00A1178E" w:rsidRDefault="00C45A52" w:rsidP="003E2F19">
          <w:pPr>
            <w:pStyle w:val="Quote"/>
            <w:spacing w:before="240" w:after="240"/>
            <w:rPr>
              <w:color w:val="18525E" w:themeColor="accent5" w:themeShade="80"/>
            </w:rPr>
          </w:pPr>
          <w:r w:rsidRPr="00A1178E">
            <w:rPr>
              <w:color w:val="18525E" w:themeColor="accent5" w:themeShade="80"/>
            </w:rPr>
            <w:t>The circles are universal in the way they represent groups or clans of people, the markings inside some of the circles represent individuals.</w:t>
          </w:r>
        </w:p>
        <w:p w14:paraId="7B413FCD" w14:textId="77777777" w:rsidR="00C45A52" w:rsidRPr="00A1178E" w:rsidRDefault="00C45A52" w:rsidP="003E2F19">
          <w:pPr>
            <w:pStyle w:val="Quote"/>
            <w:spacing w:before="240" w:after="240"/>
            <w:rPr>
              <w:color w:val="18525E" w:themeColor="accent5" w:themeShade="80"/>
            </w:rPr>
          </w:pPr>
          <w:r w:rsidRPr="00A1178E">
            <w:rPr>
              <w:color w:val="18525E" w:themeColor="accent5" w:themeShade="80"/>
            </w:rPr>
            <w:t>The dots and slashes are representational of tracks and time lines. There are a few blank circles – they represent the missing, the lost peoples.</w:t>
          </w:r>
        </w:p>
        <w:p w14:paraId="113996BC" w14:textId="77777777" w:rsidR="00C45A52" w:rsidRPr="00A1178E" w:rsidRDefault="00C45A52" w:rsidP="007C2B9D">
          <w:pPr>
            <w:pStyle w:val="Quote"/>
            <w:spacing w:before="240" w:after="360"/>
            <w:rPr>
              <w:color w:val="18525E" w:themeColor="accent5" w:themeShade="80"/>
            </w:rPr>
          </w:pPr>
          <w:r w:rsidRPr="00A1178E">
            <w:rPr>
              <w:color w:val="18525E" w:themeColor="accent5" w:themeShade="80"/>
            </w:rPr>
            <w:t>I thought I would try and incorporate the colours to show respect for them.</w:t>
          </w:r>
        </w:p>
        <w:p w14:paraId="53494032" w14:textId="1F7AF311" w:rsidR="00145CA3" w:rsidRPr="00884FAA" w:rsidRDefault="00145CA3" w:rsidP="007C2B9D">
          <w:r w:rsidRPr="00884FAA">
            <w:t>The evaluation team thank the Aboriginal and Torres Strait Islander health services</w:t>
          </w:r>
          <w:r w:rsidR="00773CB1">
            <w:t>,</w:t>
          </w:r>
          <w:r w:rsidR="001D189D" w:rsidRPr="00884FAA" w:rsidDel="00773CB1">
            <w:t xml:space="preserve"> </w:t>
          </w:r>
          <w:r w:rsidR="001D189D" w:rsidRPr="00884FAA">
            <w:t>Primary Health Networks</w:t>
          </w:r>
          <w:r w:rsidRPr="00884FAA">
            <w:t>, site partners, and community members</w:t>
          </w:r>
          <w:r w:rsidR="004635D4" w:rsidRPr="00884FAA">
            <w:t xml:space="preserve"> who participated in this evaluation</w:t>
          </w:r>
          <w:r w:rsidRPr="00884FAA">
            <w:t xml:space="preserve">. All gave their time </w:t>
          </w:r>
          <w:r w:rsidR="00A86126" w:rsidRPr="00884FAA">
            <w:t>generously</w:t>
          </w:r>
          <w:r w:rsidRPr="00884FAA">
            <w:t xml:space="preserve"> and welcomed us into their communities. They shared their knowledge, experience, and ideas to help deepen understanding of how the I</w:t>
          </w:r>
          <w:r w:rsidR="003E75ED" w:rsidRPr="00884FAA">
            <w:t>ndigenous Australians’ Health Programme</w:t>
          </w:r>
          <w:r w:rsidRPr="00884FAA">
            <w:t xml:space="preserve"> works and to identify improvements to ensure better primary health care for current and future generations of Aboriginal and Torres Strait Islander people.</w:t>
          </w:r>
          <w:r w:rsidR="00A86126" w:rsidRPr="00884FAA">
            <w:t xml:space="preserve"> </w:t>
          </w:r>
        </w:p>
        <w:p w14:paraId="3C30A305" w14:textId="17C1AC23" w:rsidR="00145CA3" w:rsidRPr="00884FAA" w:rsidRDefault="00A44625" w:rsidP="007C2B9D">
          <w:r>
            <w:t xml:space="preserve">The evaluation team are </w:t>
          </w:r>
          <w:r w:rsidR="00145CA3" w:rsidRPr="00884FAA">
            <w:t xml:space="preserve">also grateful to participants from the state, territory, and national organisations for making their time available to share knowledge, experience, and ideas to improve the primary health care system for Aboriginal and Torres Strait Islander people. </w:t>
          </w:r>
        </w:p>
        <w:p w14:paraId="468E2030" w14:textId="0C0386FB" w:rsidR="00C901E2" w:rsidRPr="00884FAA" w:rsidRDefault="00C901E2" w:rsidP="00C901E2">
          <w:r w:rsidRPr="00884FAA">
            <w:lastRenderedPageBreak/>
            <w:t xml:space="preserve">The team is especially grateful for the Aboriginal and Torres Strait Islander leadership and expertise from participants that has been central to this evaluation. These contributions at a time when </w:t>
          </w:r>
          <w:r w:rsidR="001460AE">
            <w:t xml:space="preserve">the </w:t>
          </w:r>
          <w:r w:rsidRPr="00884FAA">
            <w:t>COVID-19</w:t>
          </w:r>
          <w:r w:rsidR="001460AE">
            <w:t xml:space="preserve"> pandemic</w:t>
          </w:r>
          <w:r w:rsidRPr="00884FAA">
            <w:t xml:space="preserve"> has impacted on communities, families, and individuals is highly valued and appreciated. </w:t>
          </w:r>
        </w:p>
        <w:p w14:paraId="30EABD07" w14:textId="7EB474DA" w:rsidR="00145CA3" w:rsidRPr="00884FAA" w:rsidRDefault="00145CA3" w:rsidP="001715C0">
          <w:r w:rsidRPr="00884FAA">
            <w:t xml:space="preserve">The </w:t>
          </w:r>
          <w:r w:rsidR="004005B3">
            <w:t xml:space="preserve">evaluation </w:t>
          </w:r>
          <w:r w:rsidRPr="00884FAA">
            <w:t>team</w:t>
          </w:r>
          <w:r w:rsidRPr="00884FAA" w:rsidDel="00354B21">
            <w:t xml:space="preserve"> </w:t>
          </w:r>
          <w:r w:rsidR="00354B21">
            <w:t>would also like to express</w:t>
          </w:r>
          <w:r w:rsidR="00354B21" w:rsidRPr="00884FAA">
            <w:t xml:space="preserve"> </w:t>
          </w:r>
          <w:r w:rsidRPr="00884FAA">
            <w:t xml:space="preserve">our appreciation for the ongoing support from members of the Health Sector Co-design Group and the Department of Health </w:t>
          </w:r>
          <w:r w:rsidR="00E560F4" w:rsidRPr="00884FAA">
            <w:t xml:space="preserve">and Aged Care </w:t>
          </w:r>
          <w:r w:rsidRPr="00884FAA">
            <w:t xml:space="preserve">during the implementation of the evaluation. </w:t>
          </w:r>
          <w:r w:rsidR="0003712A" w:rsidRPr="00884FAA">
            <w:t>Over the course of the evaluation</w:t>
          </w:r>
          <w:r w:rsidRPr="00884FAA">
            <w:t>, the members of the Health Sector Co-design Group include</w:t>
          </w:r>
          <w:r w:rsidR="00402EAE" w:rsidRPr="00884FAA">
            <w:t>d</w:t>
          </w:r>
          <w:r w:rsidRPr="00884FAA">
            <w:t>: Kate Thomann</w:t>
          </w:r>
          <w:r w:rsidR="00E56503" w:rsidRPr="00884FAA">
            <w:t>, Melin</w:t>
          </w:r>
          <w:r w:rsidR="00D34CBC">
            <w:t>d</w:t>
          </w:r>
          <w:r w:rsidR="00E56503" w:rsidRPr="00884FAA">
            <w:t>a Turner</w:t>
          </w:r>
          <w:r w:rsidRPr="00884FAA">
            <w:t xml:space="preserve"> and Dr Mark Wenitong (who co-chaired the group), Dr </w:t>
          </w:r>
          <w:r w:rsidR="00C95DEC" w:rsidRPr="00884FAA">
            <w:t>Chris Bourke, Karl Briscoe</w:t>
          </w:r>
          <w:r w:rsidR="00C22071" w:rsidRPr="00884FAA">
            <w:t>,</w:t>
          </w:r>
          <w:r w:rsidR="00C95DEC" w:rsidRPr="00884FAA">
            <w:t xml:space="preserve"> </w:t>
          </w:r>
          <w:r w:rsidRPr="00884FAA">
            <w:t xml:space="preserve">Dr Dawn Casey, </w:t>
          </w:r>
          <w:r w:rsidR="001F6467" w:rsidRPr="00884FAA">
            <w:t>Bob Davis, Sandy Gillies, Rob McPhee</w:t>
          </w:r>
          <w:r w:rsidR="00726AF1" w:rsidRPr="00884FAA">
            <w:t>,</w:t>
          </w:r>
          <w:r w:rsidR="001F6467" w:rsidRPr="00884FAA">
            <w:t xml:space="preserve"> </w:t>
          </w:r>
          <w:r w:rsidRPr="00884FAA">
            <w:t xml:space="preserve">Dr Janine Mohamed, </w:t>
          </w:r>
          <w:r w:rsidR="00726AF1" w:rsidRPr="00884FAA">
            <w:t xml:space="preserve">Professor Norm Sheehan, </w:t>
          </w:r>
          <w:r w:rsidRPr="00884FAA">
            <w:t xml:space="preserve">Jess Yamaguchi, Angela Young, Dr Fadwa Al-Yaman, Dr </w:t>
          </w:r>
          <w:r w:rsidR="00C5295C" w:rsidRPr="00884FAA">
            <w:t xml:space="preserve">Fui Choong, </w:t>
          </w:r>
          <w:r w:rsidRPr="00884FAA">
            <w:t xml:space="preserve">Kim Grey, </w:t>
          </w:r>
          <w:r w:rsidR="00C5295C" w:rsidRPr="00884FAA">
            <w:t xml:space="preserve">Nicki Herriot, </w:t>
          </w:r>
          <w:r w:rsidRPr="00884FAA">
            <w:t xml:space="preserve">Dr Mike Mays, </w:t>
          </w:r>
          <w:r w:rsidR="00054E8A" w:rsidRPr="00884FAA">
            <w:t>Dr Leanne Morton, Dr Tomoko Sugiura, Karen Visser</w:t>
          </w:r>
          <w:r w:rsidR="000238AE" w:rsidRPr="00884FAA">
            <w:t>,</w:t>
          </w:r>
          <w:r w:rsidR="00054E8A" w:rsidRPr="00884FAA">
            <w:t xml:space="preserve"> </w:t>
          </w:r>
          <w:r w:rsidR="001E0047" w:rsidRPr="00884FAA">
            <w:t>and Professor</w:t>
          </w:r>
          <w:r w:rsidRPr="00884FAA">
            <w:t xml:space="preserve"> Jeanette Ward. Our gratitude also goes to </w:t>
          </w:r>
          <w:r w:rsidR="00F12250" w:rsidRPr="00884FAA">
            <w:t xml:space="preserve">Astrid Addai, </w:t>
          </w:r>
          <w:r w:rsidR="00422D58" w:rsidRPr="00884FAA">
            <w:t xml:space="preserve">Jane Miller, Dr Hye-Kyung Kim, </w:t>
          </w:r>
          <w:r w:rsidRPr="00884FAA">
            <w:t>Kate Laffan,</w:t>
          </w:r>
          <w:r w:rsidR="003141E7" w:rsidRPr="00884FAA">
            <w:t xml:space="preserve"> Patrick </w:t>
          </w:r>
          <w:r w:rsidR="007B7D39" w:rsidRPr="00884FAA">
            <w:t>G</w:t>
          </w:r>
          <w:r w:rsidR="003141E7" w:rsidRPr="00884FAA">
            <w:t>ard</w:t>
          </w:r>
          <w:r w:rsidR="007B7D39" w:rsidRPr="00884FAA">
            <w:t>, Dr Harleen Basrai</w:t>
          </w:r>
          <w:r w:rsidR="000238AE" w:rsidRPr="00884FAA">
            <w:t>,</w:t>
          </w:r>
          <w:r w:rsidR="001715C0" w:rsidRPr="00884FAA">
            <w:t xml:space="preserve"> and Bonnie Taylor </w:t>
          </w:r>
          <w:r w:rsidRPr="00884FAA">
            <w:t>from the Department of Health</w:t>
          </w:r>
          <w:r w:rsidR="001715C0" w:rsidRPr="00884FAA">
            <w:t xml:space="preserve"> and Aged Care</w:t>
          </w:r>
          <w:r w:rsidRPr="00884FAA">
            <w:t xml:space="preserve"> with whom the evaluation team work</w:t>
          </w:r>
          <w:r w:rsidR="009B6F82" w:rsidRPr="00884FAA">
            <w:t>ed</w:t>
          </w:r>
          <w:r w:rsidRPr="00884FAA">
            <w:t xml:space="preserve"> closely. </w:t>
          </w:r>
        </w:p>
        <w:p w14:paraId="3386096D" w14:textId="2EF2D158" w:rsidR="00145CA3" w:rsidRPr="00884FAA" w:rsidRDefault="00145CA3" w:rsidP="007C2B9D">
          <w:r w:rsidRPr="00884FAA">
            <w:t xml:space="preserve">The evaluation </w:t>
          </w:r>
          <w:r w:rsidR="00E03296">
            <w:t>was</w:t>
          </w:r>
          <w:r w:rsidRPr="00884FAA">
            <w:t xml:space="preserve"> fully funded by the Australian Government Department of Health</w:t>
          </w:r>
          <w:r w:rsidR="00010B9D" w:rsidRPr="00884FAA">
            <w:t xml:space="preserve"> and Aged Care</w:t>
          </w:r>
          <w:r w:rsidRPr="00884FAA">
            <w:t>.</w:t>
          </w:r>
        </w:p>
        <w:p w14:paraId="293D784D" w14:textId="1C1AFA4A" w:rsidR="006A7B9C" w:rsidRPr="0058387D" w:rsidRDefault="006A7B9C" w:rsidP="0026777E">
          <w:pPr>
            <w:spacing w:after="120"/>
            <w:jc w:val="left"/>
            <w:rPr>
              <w:b/>
              <w:caps/>
              <w:color w:val="1A3E5F" w:themeColor="accent1" w:themeShade="80"/>
            </w:rPr>
          </w:pPr>
          <w:r w:rsidRPr="0058387D">
            <w:rPr>
              <w:b/>
              <w:caps/>
              <w:color w:val="1A3E5F" w:themeColor="accent1" w:themeShade="80"/>
            </w:rPr>
            <w:t>Disclaimer</w:t>
          </w:r>
        </w:p>
        <w:p w14:paraId="22CD5138" w14:textId="77777777" w:rsidR="00394FF0" w:rsidRPr="00394FF0" w:rsidRDefault="00394FF0" w:rsidP="00394FF0">
          <w:pPr>
            <w:rPr>
              <w:lang w:val="en-NZ"/>
            </w:rPr>
          </w:pPr>
          <w:r w:rsidRPr="00394FF0">
            <w:t xml:space="preserve">All due care and responsibility have been taken in the preparation of this report. </w:t>
          </w:r>
          <w:r w:rsidRPr="00394FF0">
            <w:rPr>
              <w:lang w:val="en-NZ"/>
            </w:rPr>
            <w:t xml:space="preserve">This report (including any enclosures and attachments) has been prepared for the exclusive use and benefit of the addressee(s) and solely for the purposes for which it is provided. </w:t>
          </w:r>
          <w:r w:rsidRPr="00394FF0">
            <w:rPr>
              <w:i/>
              <w:iCs/>
              <w:lang w:val="en-NZ"/>
            </w:rPr>
            <w:t>Allen + Clarke</w:t>
          </w:r>
          <w:r w:rsidRPr="00394FF0">
            <w:rPr>
              <w:lang w:val="en-NZ"/>
            </w:rPr>
            <w:t xml:space="preserve"> accepts no liability or responsibility if this report is used for an alternative purpose from which it is intended, or by any third party. The information contained in this report is confidential and commercially sensitive.</w:t>
          </w:r>
        </w:p>
        <w:p w14:paraId="65004078" w14:textId="5DAB9B8D" w:rsidR="00242644" w:rsidRPr="00884FAA" w:rsidRDefault="00242644" w:rsidP="006A7B9C">
          <w:pPr>
            <w:jc w:val="left"/>
            <w:rPr>
              <w:rFonts w:eastAsiaTheme="majorEastAsia" w:cstheme="majorBidi"/>
              <w:b/>
              <w:caps/>
              <w:color w:val="9E6047" w:themeColor="accent3"/>
              <w:sz w:val="32"/>
              <w:szCs w:val="32"/>
            </w:rPr>
          </w:pPr>
          <w:r w:rsidRPr="00884FAA">
            <w:br w:type="page"/>
          </w:r>
        </w:p>
        <w:p w14:paraId="4E7C03E1" w14:textId="77777777" w:rsidR="00CA1BA3" w:rsidRDefault="00087882" w:rsidP="003D4A7C">
          <w:pPr>
            <w:pStyle w:val="Heading1NotNumbered"/>
            <w:rPr>
              <w:noProof/>
            </w:rPr>
          </w:pPr>
          <w:bookmarkStart w:id="1" w:name="_Toc137208865"/>
          <w:r w:rsidRPr="00884FAA">
            <w:lastRenderedPageBreak/>
            <w:t>Contents</w:t>
          </w:r>
          <w:bookmarkEnd w:id="1"/>
          <w:r w:rsidR="002C6E79">
            <w:rPr>
              <w:noProof/>
              <w:highlight w:val="cyan"/>
              <w:lang w:val="en-NZ"/>
            </w:rPr>
            <w:fldChar w:fldCharType="begin"/>
          </w:r>
          <w:r w:rsidR="002C6E79">
            <w:rPr>
              <w:noProof/>
              <w:highlight w:val="cyan"/>
              <w:lang w:val="en-NZ"/>
            </w:rPr>
            <w:instrText xml:space="preserve"> TOC \o "1-2" \h \z \t "Part heading,1" </w:instrText>
          </w:r>
          <w:r w:rsidR="002C6E79">
            <w:rPr>
              <w:noProof/>
              <w:highlight w:val="cyan"/>
              <w:lang w:val="en-NZ"/>
            </w:rPr>
            <w:fldChar w:fldCharType="separate"/>
          </w:r>
        </w:p>
        <w:p w14:paraId="4C73E242" w14:textId="5B5A97B1" w:rsidR="00CA1BA3" w:rsidRDefault="00CA1BA3">
          <w:pPr>
            <w:pStyle w:val="TOC1"/>
            <w:rPr>
              <w:rFonts w:cstheme="minorBidi"/>
              <w:b w:val="0"/>
              <w:caps w:val="0"/>
              <w:kern w:val="2"/>
              <w:sz w:val="22"/>
              <w:lang w:eastAsia="en-NZ"/>
              <w14:ligatures w14:val="standardContextual"/>
            </w:rPr>
          </w:pPr>
          <w:hyperlink w:anchor="_Toc137208864" w:history="1">
            <w:r w:rsidRPr="008B2257">
              <w:rPr>
                <w:rStyle w:val="Hyperlink"/>
              </w:rPr>
              <w:t>Acknowledgements</w:t>
            </w:r>
            <w:r>
              <w:rPr>
                <w:webHidden/>
              </w:rPr>
              <w:tab/>
            </w:r>
            <w:r>
              <w:rPr>
                <w:webHidden/>
              </w:rPr>
              <w:fldChar w:fldCharType="begin"/>
            </w:r>
            <w:r>
              <w:rPr>
                <w:webHidden/>
              </w:rPr>
              <w:instrText xml:space="preserve"> PAGEREF _Toc137208864 \h </w:instrText>
            </w:r>
            <w:r>
              <w:rPr>
                <w:webHidden/>
              </w:rPr>
            </w:r>
            <w:r>
              <w:rPr>
                <w:webHidden/>
              </w:rPr>
              <w:fldChar w:fldCharType="separate"/>
            </w:r>
            <w:r w:rsidR="00165B17">
              <w:rPr>
                <w:webHidden/>
              </w:rPr>
              <w:t>ii</w:t>
            </w:r>
            <w:r>
              <w:rPr>
                <w:webHidden/>
              </w:rPr>
              <w:fldChar w:fldCharType="end"/>
            </w:r>
          </w:hyperlink>
        </w:p>
        <w:p w14:paraId="14BBEE12" w14:textId="4E788E7C" w:rsidR="00CA1BA3" w:rsidRDefault="00CA1BA3">
          <w:pPr>
            <w:pStyle w:val="TOC1"/>
            <w:rPr>
              <w:rFonts w:cstheme="minorBidi"/>
              <w:b w:val="0"/>
              <w:caps w:val="0"/>
              <w:kern w:val="2"/>
              <w:sz w:val="22"/>
              <w:lang w:eastAsia="en-NZ"/>
              <w14:ligatures w14:val="standardContextual"/>
            </w:rPr>
          </w:pPr>
          <w:hyperlink w:anchor="_Toc137208865" w:history="1">
            <w:r w:rsidRPr="008B2257">
              <w:rPr>
                <w:rStyle w:val="Hyperlink"/>
              </w:rPr>
              <w:t>Contents</w:t>
            </w:r>
            <w:r>
              <w:rPr>
                <w:webHidden/>
              </w:rPr>
              <w:tab/>
            </w:r>
            <w:r>
              <w:rPr>
                <w:webHidden/>
              </w:rPr>
              <w:fldChar w:fldCharType="begin"/>
            </w:r>
            <w:r>
              <w:rPr>
                <w:webHidden/>
              </w:rPr>
              <w:instrText xml:space="preserve"> PAGEREF _Toc137208865 \h </w:instrText>
            </w:r>
            <w:r>
              <w:rPr>
                <w:webHidden/>
              </w:rPr>
            </w:r>
            <w:r>
              <w:rPr>
                <w:webHidden/>
              </w:rPr>
              <w:fldChar w:fldCharType="separate"/>
            </w:r>
            <w:r w:rsidR="00165B17">
              <w:rPr>
                <w:webHidden/>
              </w:rPr>
              <w:t>iv</w:t>
            </w:r>
            <w:r>
              <w:rPr>
                <w:webHidden/>
              </w:rPr>
              <w:fldChar w:fldCharType="end"/>
            </w:r>
          </w:hyperlink>
        </w:p>
        <w:p w14:paraId="08A8F831" w14:textId="2DF87AD2" w:rsidR="00CA1BA3" w:rsidRDefault="00CA1BA3">
          <w:pPr>
            <w:pStyle w:val="TOC1"/>
            <w:rPr>
              <w:rFonts w:cstheme="minorBidi"/>
              <w:b w:val="0"/>
              <w:caps w:val="0"/>
              <w:kern w:val="2"/>
              <w:sz w:val="22"/>
              <w:lang w:eastAsia="en-NZ"/>
              <w14:ligatures w14:val="standardContextual"/>
            </w:rPr>
          </w:pPr>
          <w:hyperlink w:anchor="_Toc137208866" w:history="1">
            <w:r w:rsidRPr="008B2257">
              <w:rPr>
                <w:rStyle w:val="Hyperlink"/>
              </w:rPr>
              <w:t>List of tables</w:t>
            </w:r>
            <w:r>
              <w:rPr>
                <w:webHidden/>
              </w:rPr>
              <w:tab/>
            </w:r>
            <w:r>
              <w:rPr>
                <w:webHidden/>
              </w:rPr>
              <w:fldChar w:fldCharType="begin"/>
            </w:r>
            <w:r>
              <w:rPr>
                <w:webHidden/>
              </w:rPr>
              <w:instrText xml:space="preserve"> PAGEREF _Toc137208866 \h </w:instrText>
            </w:r>
            <w:r>
              <w:rPr>
                <w:webHidden/>
              </w:rPr>
            </w:r>
            <w:r>
              <w:rPr>
                <w:webHidden/>
              </w:rPr>
              <w:fldChar w:fldCharType="separate"/>
            </w:r>
            <w:r w:rsidR="00165B17">
              <w:rPr>
                <w:webHidden/>
              </w:rPr>
              <w:t>viii</w:t>
            </w:r>
            <w:r>
              <w:rPr>
                <w:webHidden/>
              </w:rPr>
              <w:fldChar w:fldCharType="end"/>
            </w:r>
          </w:hyperlink>
        </w:p>
        <w:p w14:paraId="5546267F" w14:textId="1D9E58E2" w:rsidR="00CA1BA3" w:rsidRDefault="00CA1BA3">
          <w:pPr>
            <w:pStyle w:val="TOC1"/>
            <w:rPr>
              <w:rFonts w:cstheme="minorBidi"/>
              <w:b w:val="0"/>
              <w:caps w:val="0"/>
              <w:kern w:val="2"/>
              <w:sz w:val="22"/>
              <w:lang w:eastAsia="en-NZ"/>
              <w14:ligatures w14:val="standardContextual"/>
            </w:rPr>
          </w:pPr>
          <w:hyperlink w:anchor="_Toc137208867" w:history="1">
            <w:r w:rsidRPr="008B2257">
              <w:rPr>
                <w:rStyle w:val="Hyperlink"/>
              </w:rPr>
              <w:t>List of figures</w:t>
            </w:r>
            <w:r>
              <w:rPr>
                <w:webHidden/>
              </w:rPr>
              <w:tab/>
            </w:r>
            <w:r>
              <w:rPr>
                <w:webHidden/>
              </w:rPr>
              <w:fldChar w:fldCharType="begin"/>
            </w:r>
            <w:r>
              <w:rPr>
                <w:webHidden/>
              </w:rPr>
              <w:instrText xml:space="preserve"> PAGEREF _Toc137208867 \h </w:instrText>
            </w:r>
            <w:r>
              <w:rPr>
                <w:webHidden/>
              </w:rPr>
            </w:r>
            <w:r>
              <w:rPr>
                <w:webHidden/>
              </w:rPr>
              <w:fldChar w:fldCharType="separate"/>
            </w:r>
            <w:r w:rsidR="00165B17">
              <w:rPr>
                <w:webHidden/>
              </w:rPr>
              <w:t>viii</w:t>
            </w:r>
            <w:r>
              <w:rPr>
                <w:webHidden/>
              </w:rPr>
              <w:fldChar w:fldCharType="end"/>
            </w:r>
          </w:hyperlink>
        </w:p>
        <w:p w14:paraId="7F3FC6E6" w14:textId="363D74A9" w:rsidR="00CA1BA3" w:rsidRDefault="00CA1BA3">
          <w:pPr>
            <w:pStyle w:val="TOC1"/>
            <w:rPr>
              <w:rFonts w:cstheme="minorBidi"/>
              <w:b w:val="0"/>
              <w:caps w:val="0"/>
              <w:kern w:val="2"/>
              <w:sz w:val="22"/>
              <w:lang w:eastAsia="en-NZ"/>
              <w14:ligatures w14:val="standardContextual"/>
            </w:rPr>
          </w:pPr>
          <w:hyperlink w:anchor="_Toc137208868" w:history="1">
            <w:r w:rsidRPr="008B2257">
              <w:rPr>
                <w:rStyle w:val="Hyperlink"/>
              </w:rPr>
              <w:t>List of abbreviations</w:t>
            </w:r>
            <w:r>
              <w:rPr>
                <w:webHidden/>
              </w:rPr>
              <w:tab/>
            </w:r>
            <w:r>
              <w:rPr>
                <w:webHidden/>
              </w:rPr>
              <w:fldChar w:fldCharType="begin"/>
            </w:r>
            <w:r>
              <w:rPr>
                <w:webHidden/>
              </w:rPr>
              <w:instrText xml:space="preserve"> PAGEREF _Toc137208868 \h </w:instrText>
            </w:r>
            <w:r>
              <w:rPr>
                <w:webHidden/>
              </w:rPr>
            </w:r>
            <w:r>
              <w:rPr>
                <w:webHidden/>
              </w:rPr>
              <w:fldChar w:fldCharType="separate"/>
            </w:r>
            <w:r w:rsidR="00165B17">
              <w:rPr>
                <w:webHidden/>
              </w:rPr>
              <w:t>x</w:t>
            </w:r>
            <w:r>
              <w:rPr>
                <w:webHidden/>
              </w:rPr>
              <w:fldChar w:fldCharType="end"/>
            </w:r>
          </w:hyperlink>
        </w:p>
        <w:p w14:paraId="4CBE73EB" w14:textId="22D9C43B" w:rsidR="00CA1BA3" w:rsidRDefault="00CA1BA3">
          <w:pPr>
            <w:pStyle w:val="TOC1"/>
            <w:rPr>
              <w:rFonts w:cstheme="minorBidi"/>
              <w:b w:val="0"/>
              <w:caps w:val="0"/>
              <w:kern w:val="2"/>
              <w:sz w:val="22"/>
              <w:lang w:eastAsia="en-NZ"/>
              <w14:ligatures w14:val="standardContextual"/>
            </w:rPr>
          </w:pPr>
          <w:hyperlink w:anchor="_Toc137208869" w:history="1">
            <w:r w:rsidRPr="008B2257">
              <w:rPr>
                <w:rStyle w:val="Hyperlink"/>
              </w:rPr>
              <w:t>Executive summary</w:t>
            </w:r>
            <w:r>
              <w:rPr>
                <w:webHidden/>
              </w:rPr>
              <w:tab/>
            </w:r>
            <w:r>
              <w:rPr>
                <w:webHidden/>
              </w:rPr>
              <w:fldChar w:fldCharType="begin"/>
            </w:r>
            <w:r>
              <w:rPr>
                <w:webHidden/>
              </w:rPr>
              <w:instrText xml:space="preserve"> PAGEREF _Toc137208869 \h </w:instrText>
            </w:r>
            <w:r>
              <w:rPr>
                <w:webHidden/>
              </w:rPr>
            </w:r>
            <w:r>
              <w:rPr>
                <w:webHidden/>
              </w:rPr>
              <w:fldChar w:fldCharType="separate"/>
            </w:r>
            <w:r w:rsidR="00165B17">
              <w:rPr>
                <w:webHidden/>
              </w:rPr>
              <w:t>1</w:t>
            </w:r>
            <w:r>
              <w:rPr>
                <w:webHidden/>
              </w:rPr>
              <w:fldChar w:fldCharType="end"/>
            </w:r>
          </w:hyperlink>
        </w:p>
        <w:p w14:paraId="4171DCB5" w14:textId="05B1A55A" w:rsidR="00CA1BA3" w:rsidRDefault="00CA1BA3">
          <w:pPr>
            <w:pStyle w:val="TOC2"/>
            <w:rPr>
              <w:rFonts w:cstheme="minorBidi"/>
              <w:kern w:val="2"/>
              <w:sz w:val="22"/>
              <w:lang w:eastAsia="en-NZ"/>
              <w14:ligatures w14:val="standardContextual"/>
            </w:rPr>
          </w:pPr>
          <w:hyperlink w:anchor="_Toc137208870" w:history="1">
            <w:r w:rsidRPr="008B2257">
              <w:rPr>
                <w:rStyle w:val="Hyperlink"/>
              </w:rPr>
              <w:t>Overview</w:t>
            </w:r>
            <w:r>
              <w:rPr>
                <w:webHidden/>
              </w:rPr>
              <w:tab/>
            </w:r>
            <w:r>
              <w:rPr>
                <w:webHidden/>
              </w:rPr>
              <w:fldChar w:fldCharType="begin"/>
            </w:r>
            <w:r>
              <w:rPr>
                <w:webHidden/>
              </w:rPr>
              <w:instrText xml:space="preserve"> PAGEREF _Toc137208870 \h </w:instrText>
            </w:r>
            <w:r>
              <w:rPr>
                <w:webHidden/>
              </w:rPr>
            </w:r>
            <w:r>
              <w:rPr>
                <w:webHidden/>
              </w:rPr>
              <w:fldChar w:fldCharType="separate"/>
            </w:r>
            <w:r w:rsidR="00165B17">
              <w:rPr>
                <w:webHidden/>
              </w:rPr>
              <w:t>1</w:t>
            </w:r>
            <w:r>
              <w:rPr>
                <w:webHidden/>
              </w:rPr>
              <w:fldChar w:fldCharType="end"/>
            </w:r>
          </w:hyperlink>
        </w:p>
        <w:p w14:paraId="482CD988" w14:textId="10952B93" w:rsidR="00CA1BA3" w:rsidRDefault="00CA1BA3">
          <w:pPr>
            <w:pStyle w:val="TOC2"/>
            <w:rPr>
              <w:rFonts w:cstheme="minorBidi"/>
              <w:kern w:val="2"/>
              <w:sz w:val="22"/>
              <w:lang w:eastAsia="en-NZ"/>
              <w14:ligatures w14:val="standardContextual"/>
            </w:rPr>
          </w:pPr>
          <w:hyperlink w:anchor="_Toc137208871" w:history="1">
            <w:r w:rsidRPr="008B2257">
              <w:rPr>
                <w:rStyle w:val="Hyperlink"/>
              </w:rPr>
              <w:t>Background and context</w:t>
            </w:r>
            <w:r>
              <w:rPr>
                <w:webHidden/>
              </w:rPr>
              <w:tab/>
            </w:r>
            <w:r>
              <w:rPr>
                <w:webHidden/>
              </w:rPr>
              <w:fldChar w:fldCharType="begin"/>
            </w:r>
            <w:r>
              <w:rPr>
                <w:webHidden/>
              </w:rPr>
              <w:instrText xml:space="preserve"> PAGEREF _Toc137208871 \h </w:instrText>
            </w:r>
            <w:r>
              <w:rPr>
                <w:webHidden/>
              </w:rPr>
            </w:r>
            <w:r>
              <w:rPr>
                <w:webHidden/>
              </w:rPr>
              <w:fldChar w:fldCharType="separate"/>
            </w:r>
            <w:r w:rsidR="00165B17">
              <w:rPr>
                <w:webHidden/>
              </w:rPr>
              <w:t>3</w:t>
            </w:r>
            <w:r>
              <w:rPr>
                <w:webHidden/>
              </w:rPr>
              <w:fldChar w:fldCharType="end"/>
            </w:r>
          </w:hyperlink>
        </w:p>
        <w:p w14:paraId="7BA1FEB5" w14:textId="59AD59C1" w:rsidR="00CA1BA3" w:rsidRDefault="00CA1BA3">
          <w:pPr>
            <w:pStyle w:val="TOC2"/>
            <w:rPr>
              <w:rFonts w:cstheme="minorBidi"/>
              <w:kern w:val="2"/>
              <w:sz w:val="22"/>
              <w:lang w:eastAsia="en-NZ"/>
              <w14:ligatures w14:val="standardContextual"/>
            </w:rPr>
          </w:pPr>
          <w:hyperlink w:anchor="_Toc137208872" w:history="1">
            <w:r w:rsidRPr="008B2257">
              <w:rPr>
                <w:rStyle w:val="Hyperlink"/>
              </w:rPr>
              <w:t>Evaluation methodology</w:t>
            </w:r>
            <w:r>
              <w:rPr>
                <w:webHidden/>
              </w:rPr>
              <w:tab/>
            </w:r>
            <w:r>
              <w:rPr>
                <w:webHidden/>
              </w:rPr>
              <w:fldChar w:fldCharType="begin"/>
            </w:r>
            <w:r>
              <w:rPr>
                <w:webHidden/>
              </w:rPr>
              <w:instrText xml:space="preserve"> PAGEREF _Toc137208872 \h </w:instrText>
            </w:r>
            <w:r>
              <w:rPr>
                <w:webHidden/>
              </w:rPr>
            </w:r>
            <w:r>
              <w:rPr>
                <w:webHidden/>
              </w:rPr>
              <w:fldChar w:fldCharType="separate"/>
            </w:r>
            <w:r w:rsidR="00165B17">
              <w:rPr>
                <w:webHidden/>
              </w:rPr>
              <w:t>4</w:t>
            </w:r>
            <w:r>
              <w:rPr>
                <w:webHidden/>
              </w:rPr>
              <w:fldChar w:fldCharType="end"/>
            </w:r>
          </w:hyperlink>
        </w:p>
        <w:p w14:paraId="10B570D3" w14:textId="781E0C4B" w:rsidR="00CA1BA3" w:rsidRDefault="00CA1BA3">
          <w:pPr>
            <w:pStyle w:val="TOC2"/>
            <w:rPr>
              <w:rFonts w:cstheme="minorBidi"/>
              <w:kern w:val="2"/>
              <w:sz w:val="22"/>
              <w:lang w:eastAsia="en-NZ"/>
              <w14:ligatures w14:val="standardContextual"/>
            </w:rPr>
          </w:pPr>
          <w:hyperlink w:anchor="_Toc137208873" w:history="1">
            <w:r w:rsidRPr="008B2257">
              <w:rPr>
                <w:rStyle w:val="Hyperlink"/>
              </w:rPr>
              <w:t>Summary of key findings</w:t>
            </w:r>
            <w:r>
              <w:rPr>
                <w:webHidden/>
              </w:rPr>
              <w:tab/>
            </w:r>
            <w:r>
              <w:rPr>
                <w:webHidden/>
              </w:rPr>
              <w:fldChar w:fldCharType="begin"/>
            </w:r>
            <w:r>
              <w:rPr>
                <w:webHidden/>
              </w:rPr>
              <w:instrText xml:space="preserve"> PAGEREF _Toc137208873 \h </w:instrText>
            </w:r>
            <w:r>
              <w:rPr>
                <w:webHidden/>
              </w:rPr>
            </w:r>
            <w:r>
              <w:rPr>
                <w:webHidden/>
              </w:rPr>
              <w:fldChar w:fldCharType="separate"/>
            </w:r>
            <w:r w:rsidR="00165B17">
              <w:rPr>
                <w:webHidden/>
              </w:rPr>
              <w:t>8</w:t>
            </w:r>
            <w:r>
              <w:rPr>
                <w:webHidden/>
              </w:rPr>
              <w:fldChar w:fldCharType="end"/>
            </w:r>
          </w:hyperlink>
        </w:p>
        <w:p w14:paraId="1BB606ED" w14:textId="7A90CF02" w:rsidR="00CA1BA3" w:rsidRDefault="00CA1BA3">
          <w:pPr>
            <w:pStyle w:val="TOC2"/>
            <w:rPr>
              <w:rFonts w:cstheme="minorBidi"/>
              <w:kern w:val="2"/>
              <w:sz w:val="22"/>
              <w:lang w:eastAsia="en-NZ"/>
              <w14:ligatures w14:val="standardContextual"/>
            </w:rPr>
          </w:pPr>
          <w:hyperlink w:anchor="_Toc137208874" w:history="1">
            <w:r w:rsidRPr="008B2257">
              <w:rPr>
                <w:rStyle w:val="Hyperlink"/>
              </w:rPr>
              <w:t>Looking ahead</w:t>
            </w:r>
            <w:r>
              <w:rPr>
                <w:webHidden/>
              </w:rPr>
              <w:tab/>
            </w:r>
            <w:r>
              <w:rPr>
                <w:webHidden/>
              </w:rPr>
              <w:fldChar w:fldCharType="begin"/>
            </w:r>
            <w:r>
              <w:rPr>
                <w:webHidden/>
              </w:rPr>
              <w:instrText xml:space="preserve"> PAGEREF _Toc137208874 \h </w:instrText>
            </w:r>
            <w:r>
              <w:rPr>
                <w:webHidden/>
              </w:rPr>
            </w:r>
            <w:r>
              <w:rPr>
                <w:webHidden/>
              </w:rPr>
              <w:fldChar w:fldCharType="separate"/>
            </w:r>
            <w:r w:rsidR="00165B17">
              <w:rPr>
                <w:webHidden/>
              </w:rPr>
              <w:t>14</w:t>
            </w:r>
            <w:r>
              <w:rPr>
                <w:webHidden/>
              </w:rPr>
              <w:fldChar w:fldCharType="end"/>
            </w:r>
          </w:hyperlink>
        </w:p>
        <w:p w14:paraId="31347562" w14:textId="7E87B722" w:rsidR="00CA1BA3" w:rsidRDefault="00CA1BA3">
          <w:pPr>
            <w:pStyle w:val="TOC2"/>
            <w:rPr>
              <w:rFonts w:cstheme="minorBidi"/>
              <w:kern w:val="2"/>
              <w:sz w:val="22"/>
              <w:lang w:eastAsia="en-NZ"/>
              <w14:ligatures w14:val="standardContextual"/>
            </w:rPr>
          </w:pPr>
          <w:hyperlink w:anchor="_Toc137208875" w:history="1">
            <w:r w:rsidRPr="008B2257">
              <w:rPr>
                <w:rStyle w:val="Hyperlink"/>
              </w:rPr>
              <w:t>Recommendations</w:t>
            </w:r>
            <w:r>
              <w:rPr>
                <w:webHidden/>
              </w:rPr>
              <w:tab/>
            </w:r>
            <w:r>
              <w:rPr>
                <w:webHidden/>
              </w:rPr>
              <w:fldChar w:fldCharType="begin"/>
            </w:r>
            <w:r>
              <w:rPr>
                <w:webHidden/>
              </w:rPr>
              <w:instrText xml:space="preserve"> PAGEREF _Toc137208875 \h </w:instrText>
            </w:r>
            <w:r>
              <w:rPr>
                <w:webHidden/>
              </w:rPr>
            </w:r>
            <w:r>
              <w:rPr>
                <w:webHidden/>
              </w:rPr>
              <w:fldChar w:fldCharType="separate"/>
            </w:r>
            <w:r w:rsidR="00165B17">
              <w:rPr>
                <w:webHidden/>
              </w:rPr>
              <w:t>15</w:t>
            </w:r>
            <w:r>
              <w:rPr>
                <w:webHidden/>
              </w:rPr>
              <w:fldChar w:fldCharType="end"/>
            </w:r>
          </w:hyperlink>
        </w:p>
        <w:p w14:paraId="44880EC9" w14:textId="318A3BF5" w:rsidR="00CA1BA3" w:rsidRDefault="00CA1BA3">
          <w:pPr>
            <w:pStyle w:val="TOC1"/>
            <w:rPr>
              <w:rFonts w:cstheme="minorBidi"/>
              <w:b w:val="0"/>
              <w:caps w:val="0"/>
              <w:kern w:val="2"/>
              <w:sz w:val="22"/>
              <w:lang w:eastAsia="en-NZ"/>
              <w14:ligatures w14:val="standardContextual"/>
            </w:rPr>
          </w:pPr>
          <w:hyperlink r:id="rId28" w:anchor="_Toc137208876" w:history="1">
            <w:r w:rsidRPr="008B2257">
              <w:rPr>
                <w:rStyle w:val="Hyperlink"/>
              </w:rPr>
              <w:t>Part A: Background</w:t>
            </w:r>
            <w:r>
              <w:rPr>
                <w:webHidden/>
              </w:rPr>
              <w:tab/>
            </w:r>
            <w:r>
              <w:rPr>
                <w:webHidden/>
              </w:rPr>
              <w:fldChar w:fldCharType="begin"/>
            </w:r>
            <w:r>
              <w:rPr>
                <w:webHidden/>
              </w:rPr>
              <w:instrText xml:space="preserve"> PAGEREF _Toc137208876 \h </w:instrText>
            </w:r>
            <w:r>
              <w:rPr>
                <w:webHidden/>
              </w:rPr>
            </w:r>
            <w:r>
              <w:rPr>
                <w:webHidden/>
              </w:rPr>
              <w:fldChar w:fldCharType="separate"/>
            </w:r>
            <w:r w:rsidR="00165B17">
              <w:rPr>
                <w:webHidden/>
              </w:rPr>
              <w:t>28</w:t>
            </w:r>
            <w:r>
              <w:rPr>
                <w:webHidden/>
              </w:rPr>
              <w:fldChar w:fldCharType="end"/>
            </w:r>
          </w:hyperlink>
        </w:p>
        <w:p w14:paraId="32AC1B39" w14:textId="4B3C25F7" w:rsidR="00CA1BA3" w:rsidRDefault="00CA1BA3">
          <w:pPr>
            <w:pStyle w:val="TOC1"/>
            <w:rPr>
              <w:rFonts w:cstheme="minorBidi"/>
              <w:b w:val="0"/>
              <w:caps w:val="0"/>
              <w:kern w:val="2"/>
              <w:sz w:val="22"/>
              <w:lang w:eastAsia="en-NZ"/>
              <w14:ligatures w14:val="standardContextual"/>
            </w:rPr>
          </w:pPr>
          <w:hyperlink w:anchor="_Toc137208877" w:history="1">
            <w:r w:rsidRPr="008B2257">
              <w:rPr>
                <w:rStyle w:val="Hyperlink"/>
              </w:rPr>
              <w:t>Overview of Part A</w:t>
            </w:r>
            <w:r>
              <w:rPr>
                <w:webHidden/>
              </w:rPr>
              <w:tab/>
            </w:r>
            <w:r>
              <w:rPr>
                <w:webHidden/>
              </w:rPr>
              <w:fldChar w:fldCharType="begin"/>
            </w:r>
            <w:r>
              <w:rPr>
                <w:webHidden/>
              </w:rPr>
              <w:instrText xml:space="preserve"> PAGEREF _Toc137208877 \h </w:instrText>
            </w:r>
            <w:r>
              <w:rPr>
                <w:webHidden/>
              </w:rPr>
            </w:r>
            <w:r>
              <w:rPr>
                <w:webHidden/>
              </w:rPr>
              <w:fldChar w:fldCharType="separate"/>
            </w:r>
            <w:r w:rsidR="00165B17">
              <w:rPr>
                <w:webHidden/>
              </w:rPr>
              <w:t>29</w:t>
            </w:r>
            <w:r>
              <w:rPr>
                <w:webHidden/>
              </w:rPr>
              <w:fldChar w:fldCharType="end"/>
            </w:r>
          </w:hyperlink>
        </w:p>
        <w:p w14:paraId="0F9D2A42" w14:textId="78C5DB21" w:rsidR="00CA1BA3" w:rsidRDefault="00CA1BA3">
          <w:pPr>
            <w:pStyle w:val="TOC1"/>
            <w:rPr>
              <w:rFonts w:cstheme="minorBidi"/>
              <w:b w:val="0"/>
              <w:caps w:val="0"/>
              <w:kern w:val="2"/>
              <w:sz w:val="22"/>
              <w:lang w:eastAsia="en-NZ"/>
              <w14:ligatures w14:val="standardContextual"/>
            </w:rPr>
          </w:pPr>
          <w:hyperlink w:anchor="_Toc137208878" w:history="1">
            <w:r w:rsidRPr="008B2257">
              <w:rPr>
                <w:rStyle w:val="Hyperlink"/>
              </w:rPr>
              <w:t>1</w:t>
            </w:r>
            <w:r>
              <w:rPr>
                <w:rFonts w:cstheme="minorBidi"/>
                <w:b w:val="0"/>
                <w:caps w:val="0"/>
                <w:kern w:val="2"/>
                <w:sz w:val="22"/>
                <w:lang w:eastAsia="en-NZ"/>
                <w14:ligatures w14:val="standardContextual"/>
              </w:rPr>
              <w:tab/>
            </w:r>
            <w:r w:rsidRPr="008B2257">
              <w:rPr>
                <w:rStyle w:val="Hyperlink"/>
              </w:rPr>
              <w:t>Introduction</w:t>
            </w:r>
            <w:r>
              <w:rPr>
                <w:webHidden/>
              </w:rPr>
              <w:tab/>
            </w:r>
            <w:r>
              <w:rPr>
                <w:webHidden/>
              </w:rPr>
              <w:fldChar w:fldCharType="begin"/>
            </w:r>
            <w:r>
              <w:rPr>
                <w:webHidden/>
              </w:rPr>
              <w:instrText xml:space="preserve"> PAGEREF _Toc137208878 \h </w:instrText>
            </w:r>
            <w:r>
              <w:rPr>
                <w:webHidden/>
              </w:rPr>
            </w:r>
            <w:r>
              <w:rPr>
                <w:webHidden/>
              </w:rPr>
              <w:fldChar w:fldCharType="separate"/>
            </w:r>
            <w:r w:rsidR="00165B17">
              <w:rPr>
                <w:webHidden/>
              </w:rPr>
              <w:t>30</w:t>
            </w:r>
            <w:r>
              <w:rPr>
                <w:webHidden/>
              </w:rPr>
              <w:fldChar w:fldCharType="end"/>
            </w:r>
          </w:hyperlink>
        </w:p>
        <w:p w14:paraId="1B6AE392" w14:textId="63E0B9E4" w:rsidR="00CA1BA3" w:rsidRDefault="00CA1BA3">
          <w:pPr>
            <w:pStyle w:val="TOC2"/>
            <w:tabs>
              <w:tab w:val="left" w:pos="1080"/>
            </w:tabs>
            <w:rPr>
              <w:rFonts w:cstheme="minorBidi"/>
              <w:kern w:val="2"/>
              <w:sz w:val="22"/>
              <w:lang w:eastAsia="en-NZ"/>
              <w14:ligatures w14:val="standardContextual"/>
            </w:rPr>
          </w:pPr>
          <w:hyperlink w:anchor="_Toc137208879" w:history="1">
            <w:r w:rsidRPr="008B2257">
              <w:rPr>
                <w:rStyle w:val="Hyperlink"/>
              </w:rPr>
              <w:t>1.1</w:t>
            </w:r>
            <w:r>
              <w:rPr>
                <w:rFonts w:cstheme="minorBidi"/>
                <w:kern w:val="2"/>
                <w:sz w:val="22"/>
                <w:lang w:eastAsia="en-NZ"/>
                <w14:ligatures w14:val="standardContextual"/>
              </w:rPr>
              <w:tab/>
            </w:r>
            <w:r w:rsidRPr="008B2257">
              <w:rPr>
                <w:rStyle w:val="Hyperlink"/>
              </w:rPr>
              <w:t>About the IAHP</w:t>
            </w:r>
            <w:r>
              <w:rPr>
                <w:webHidden/>
              </w:rPr>
              <w:tab/>
            </w:r>
            <w:r>
              <w:rPr>
                <w:webHidden/>
              </w:rPr>
              <w:fldChar w:fldCharType="begin"/>
            </w:r>
            <w:r>
              <w:rPr>
                <w:webHidden/>
              </w:rPr>
              <w:instrText xml:space="preserve"> PAGEREF _Toc137208879 \h </w:instrText>
            </w:r>
            <w:r>
              <w:rPr>
                <w:webHidden/>
              </w:rPr>
            </w:r>
            <w:r>
              <w:rPr>
                <w:webHidden/>
              </w:rPr>
              <w:fldChar w:fldCharType="separate"/>
            </w:r>
            <w:r w:rsidR="00165B17">
              <w:rPr>
                <w:webHidden/>
              </w:rPr>
              <w:t>30</w:t>
            </w:r>
            <w:r>
              <w:rPr>
                <w:webHidden/>
              </w:rPr>
              <w:fldChar w:fldCharType="end"/>
            </w:r>
          </w:hyperlink>
        </w:p>
        <w:p w14:paraId="6EA9175A" w14:textId="52E72F20" w:rsidR="00CA1BA3" w:rsidRDefault="00CA1BA3">
          <w:pPr>
            <w:pStyle w:val="TOC2"/>
            <w:tabs>
              <w:tab w:val="left" w:pos="1080"/>
            </w:tabs>
            <w:rPr>
              <w:rFonts w:cstheme="minorBidi"/>
              <w:kern w:val="2"/>
              <w:sz w:val="22"/>
              <w:lang w:eastAsia="en-NZ"/>
              <w14:ligatures w14:val="standardContextual"/>
            </w:rPr>
          </w:pPr>
          <w:hyperlink w:anchor="_Toc137208880" w:history="1">
            <w:r w:rsidRPr="008B2257">
              <w:rPr>
                <w:rStyle w:val="Hyperlink"/>
              </w:rPr>
              <w:t>1.2</w:t>
            </w:r>
            <w:r>
              <w:rPr>
                <w:rFonts w:cstheme="minorBidi"/>
                <w:kern w:val="2"/>
                <w:sz w:val="22"/>
                <w:lang w:eastAsia="en-NZ"/>
                <w14:ligatures w14:val="standardContextual"/>
              </w:rPr>
              <w:tab/>
            </w:r>
            <w:r w:rsidRPr="008B2257">
              <w:rPr>
                <w:rStyle w:val="Hyperlink"/>
              </w:rPr>
              <w:t>About the National Agreement on Closing the Gap</w:t>
            </w:r>
            <w:r>
              <w:rPr>
                <w:webHidden/>
              </w:rPr>
              <w:tab/>
            </w:r>
            <w:r>
              <w:rPr>
                <w:webHidden/>
              </w:rPr>
              <w:fldChar w:fldCharType="begin"/>
            </w:r>
            <w:r>
              <w:rPr>
                <w:webHidden/>
              </w:rPr>
              <w:instrText xml:space="preserve"> PAGEREF _Toc137208880 \h </w:instrText>
            </w:r>
            <w:r>
              <w:rPr>
                <w:webHidden/>
              </w:rPr>
            </w:r>
            <w:r>
              <w:rPr>
                <w:webHidden/>
              </w:rPr>
              <w:fldChar w:fldCharType="separate"/>
            </w:r>
            <w:r w:rsidR="00165B17">
              <w:rPr>
                <w:webHidden/>
              </w:rPr>
              <w:t>31</w:t>
            </w:r>
            <w:r>
              <w:rPr>
                <w:webHidden/>
              </w:rPr>
              <w:fldChar w:fldCharType="end"/>
            </w:r>
          </w:hyperlink>
        </w:p>
        <w:p w14:paraId="67F1C430" w14:textId="6722490B" w:rsidR="00CA1BA3" w:rsidRDefault="00CA1BA3">
          <w:pPr>
            <w:pStyle w:val="TOC2"/>
            <w:tabs>
              <w:tab w:val="left" w:pos="1080"/>
            </w:tabs>
            <w:rPr>
              <w:rFonts w:cstheme="minorBidi"/>
              <w:kern w:val="2"/>
              <w:sz w:val="22"/>
              <w:lang w:eastAsia="en-NZ"/>
              <w14:ligatures w14:val="standardContextual"/>
            </w:rPr>
          </w:pPr>
          <w:hyperlink w:anchor="_Toc137208881" w:history="1">
            <w:r w:rsidRPr="008B2257">
              <w:rPr>
                <w:rStyle w:val="Hyperlink"/>
              </w:rPr>
              <w:t>1.3</w:t>
            </w:r>
            <w:r>
              <w:rPr>
                <w:rFonts w:cstheme="minorBidi"/>
                <w:kern w:val="2"/>
                <w:sz w:val="22"/>
                <w:lang w:eastAsia="en-NZ"/>
                <w14:ligatures w14:val="standardContextual"/>
              </w:rPr>
              <w:tab/>
            </w:r>
            <w:r w:rsidRPr="008B2257">
              <w:rPr>
                <w:rStyle w:val="Hyperlink"/>
              </w:rPr>
              <w:t>About this evaluation</w:t>
            </w:r>
            <w:r>
              <w:rPr>
                <w:webHidden/>
              </w:rPr>
              <w:tab/>
            </w:r>
            <w:r>
              <w:rPr>
                <w:webHidden/>
              </w:rPr>
              <w:fldChar w:fldCharType="begin"/>
            </w:r>
            <w:r>
              <w:rPr>
                <w:webHidden/>
              </w:rPr>
              <w:instrText xml:space="preserve"> PAGEREF _Toc137208881 \h </w:instrText>
            </w:r>
            <w:r>
              <w:rPr>
                <w:webHidden/>
              </w:rPr>
            </w:r>
            <w:r>
              <w:rPr>
                <w:webHidden/>
              </w:rPr>
              <w:fldChar w:fldCharType="separate"/>
            </w:r>
            <w:r w:rsidR="00165B17">
              <w:rPr>
                <w:webHidden/>
              </w:rPr>
              <w:t>33</w:t>
            </w:r>
            <w:r>
              <w:rPr>
                <w:webHidden/>
              </w:rPr>
              <w:fldChar w:fldCharType="end"/>
            </w:r>
          </w:hyperlink>
        </w:p>
        <w:p w14:paraId="4100663D" w14:textId="5BE6C031" w:rsidR="00CA1BA3" w:rsidRDefault="00CA1BA3">
          <w:pPr>
            <w:pStyle w:val="TOC2"/>
            <w:tabs>
              <w:tab w:val="left" w:pos="1080"/>
            </w:tabs>
            <w:rPr>
              <w:rFonts w:cstheme="minorBidi"/>
              <w:kern w:val="2"/>
              <w:sz w:val="22"/>
              <w:lang w:eastAsia="en-NZ"/>
              <w14:ligatures w14:val="standardContextual"/>
            </w:rPr>
          </w:pPr>
          <w:hyperlink w:anchor="_Toc137208882" w:history="1">
            <w:r w:rsidRPr="008B2257">
              <w:rPr>
                <w:rStyle w:val="Hyperlink"/>
              </w:rPr>
              <w:t>1.4</w:t>
            </w:r>
            <w:r>
              <w:rPr>
                <w:rFonts w:cstheme="minorBidi"/>
                <w:kern w:val="2"/>
                <w:sz w:val="22"/>
                <w:lang w:eastAsia="en-NZ"/>
                <w14:ligatures w14:val="standardContextual"/>
              </w:rPr>
              <w:tab/>
            </w:r>
            <w:r w:rsidRPr="008B2257">
              <w:rPr>
                <w:rStyle w:val="Hyperlink"/>
              </w:rPr>
              <w:t>Evaluation focus and scope</w:t>
            </w:r>
            <w:r>
              <w:rPr>
                <w:webHidden/>
              </w:rPr>
              <w:tab/>
            </w:r>
            <w:r>
              <w:rPr>
                <w:webHidden/>
              </w:rPr>
              <w:fldChar w:fldCharType="begin"/>
            </w:r>
            <w:r>
              <w:rPr>
                <w:webHidden/>
              </w:rPr>
              <w:instrText xml:space="preserve"> PAGEREF _Toc137208882 \h </w:instrText>
            </w:r>
            <w:r>
              <w:rPr>
                <w:webHidden/>
              </w:rPr>
            </w:r>
            <w:r>
              <w:rPr>
                <w:webHidden/>
              </w:rPr>
              <w:fldChar w:fldCharType="separate"/>
            </w:r>
            <w:r w:rsidR="00165B17">
              <w:rPr>
                <w:webHidden/>
              </w:rPr>
              <w:t>35</w:t>
            </w:r>
            <w:r>
              <w:rPr>
                <w:webHidden/>
              </w:rPr>
              <w:fldChar w:fldCharType="end"/>
            </w:r>
          </w:hyperlink>
        </w:p>
        <w:p w14:paraId="475F1537" w14:textId="355D4A5D" w:rsidR="00CA1BA3" w:rsidRDefault="00CA1BA3">
          <w:pPr>
            <w:pStyle w:val="TOC2"/>
            <w:tabs>
              <w:tab w:val="left" w:pos="1080"/>
            </w:tabs>
            <w:rPr>
              <w:rFonts w:cstheme="minorBidi"/>
              <w:kern w:val="2"/>
              <w:sz w:val="22"/>
              <w:lang w:eastAsia="en-NZ"/>
              <w14:ligatures w14:val="standardContextual"/>
            </w:rPr>
          </w:pPr>
          <w:hyperlink w:anchor="_Toc137208883" w:history="1">
            <w:r w:rsidRPr="008B2257">
              <w:rPr>
                <w:rStyle w:val="Hyperlink"/>
              </w:rPr>
              <w:t>1.5</w:t>
            </w:r>
            <w:r>
              <w:rPr>
                <w:rFonts w:cstheme="minorBidi"/>
                <w:kern w:val="2"/>
                <w:sz w:val="22"/>
                <w:lang w:eastAsia="en-NZ"/>
                <w14:ligatures w14:val="standardContextual"/>
              </w:rPr>
              <w:tab/>
            </w:r>
            <w:r w:rsidRPr="008B2257">
              <w:rPr>
                <w:rStyle w:val="Hyperlink"/>
              </w:rPr>
              <w:t>Context for the evaluation</w:t>
            </w:r>
            <w:r>
              <w:rPr>
                <w:webHidden/>
              </w:rPr>
              <w:tab/>
            </w:r>
            <w:r>
              <w:rPr>
                <w:webHidden/>
              </w:rPr>
              <w:fldChar w:fldCharType="begin"/>
            </w:r>
            <w:r>
              <w:rPr>
                <w:webHidden/>
              </w:rPr>
              <w:instrText xml:space="preserve"> PAGEREF _Toc137208883 \h </w:instrText>
            </w:r>
            <w:r>
              <w:rPr>
                <w:webHidden/>
              </w:rPr>
            </w:r>
            <w:r>
              <w:rPr>
                <w:webHidden/>
              </w:rPr>
              <w:fldChar w:fldCharType="separate"/>
            </w:r>
            <w:r w:rsidR="00165B17">
              <w:rPr>
                <w:webHidden/>
              </w:rPr>
              <w:t>36</w:t>
            </w:r>
            <w:r>
              <w:rPr>
                <w:webHidden/>
              </w:rPr>
              <w:fldChar w:fldCharType="end"/>
            </w:r>
          </w:hyperlink>
        </w:p>
        <w:p w14:paraId="25BDBDC4" w14:textId="6658302C" w:rsidR="00CA1BA3" w:rsidRDefault="00CA1BA3">
          <w:pPr>
            <w:pStyle w:val="TOC1"/>
            <w:rPr>
              <w:rFonts w:cstheme="minorBidi"/>
              <w:b w:val="0"/>
              <w:caps w:val="0"/>
              <w:kern w:val="2"/>
              <w:sz w:val="22"/>
              <w:lang w:eastAsia="en-NZ"/>
              <w14:ligatures w14:val="standardContextual"/>
            </w:rPr>
          </w:pPr>
          <w:hyperlink w:anchor="_Toc137208884" w:history="1">
            <w:r w:rsidRPr="008B2257">
              <w:rPr>
                <w:rStyle w:val="Hyperlink"/>
              </w:rPr>
              <w:t>2</w:t>
            </w:r>
            <w:r>
              <w:rPr>
                <w:rFonts w:cstheme="minorBidi"/>
                <w:b w:val="0"/>
                <w:caps w:val="0"/>
                <w:kern w:val="2"/>
                <w:sz w:val="22"/>
                <w:lang w:eastAsia="en-NZ"/>
                <w14:ligatures w14:val="standardContextual"/>
              </w:rPr>
              <w:tab/>
            </w:r>
            <w:r w:rsidRPr="008B2257">
              <w:rPr>
                <w:rStyle w:val="Hyperlink"/>
              </w:rPr>
              <w:t>Evaluation methodology</w:t>
            </w:r>
            <w:r>
              <w:rPr>
                <w:webHidden/>
              </w:rPr>
              <w:tab/>
            </w:r>
            <w:r>
              <w:rPr>
                <w:webHidden/>
              </w:rPr>
              <w:fldChar w:fldCharType="begin"/>
            </w:r>
            <w:r>
              <w:rPr>
                <w:webHidden/>
              </w:rPr>
              <w:instrText xml:space="preserve"> PAGEREF _Toc137208884 \h </w:instrText>
            </w:r>
            <w:r>
              <w:rPr>
                <w:webHidden/>
              </w:rPr>
            </w:r>
            <w:r>
              <w:rPr>
                <w:webHidden/>
              </w:rPr>
              <w:fldChar w:fldCharType="separate"/>
            </w:r>
            <w:r w:rsidR="00165B17">
              <w:rPr>
                <w:webHidden/>
              </w:rPr>
              <w:t>48</w:t>
            </w:r>
            <w:r>
              <w:rPr>
                <w:webHidden/>
              </w:rPr>
              <w:fldChar w:fldCharType="end"/>
            </w:r>
          </w:hyperlink>
        </w:p>
        <w:p w14:paraId="7B25D96C" w14:textId="1AE10B21" w:rsidR="00CA1BA3" w:rsidRDefault="00CA1BA3">
          <w:pPr>
            <w:pStyle w:val="TOC2"/>
            <w:tabs>
              <w:tab w:val="left" w:pos="1080"/>
            </w:tabs>
            <w:rPr>
              <w:rFonts w:cstheme="minorBidi"/>
              <w:kern w:val="2"/>
              <w:sz w:val="22"/>
              <w:lang w:eastAsia="en-NZ"/>
              <w14:ligatures w14:val="standardContextual"/>
            </w:rPr>
          </w:pPr>
          <w:hyperlink w:anchor="_Toc137208885" w:history="1">
            <w:r w:rsidRPr="008B2257">
              <w:rPr>
                <w:rStyle w:val="Hyperlink"/>
              </w:rPr>
              <w:t>2.1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_Toc137208885 \h </w:instrText>
            </w:r>
            <w:r>
              <w:rPr>
                <w:webHidden/>
              </w:rPr>
            </w:r>
            <w:r>
              <w:rPr>
                <w:webHidden/>
              </w:rPr>
              <w:fldChar w:fldCharType="separate"/>
            </w:r>
            <w:r w:rsidR="00165B17">
              <w:rPr>
                <w:webHidden/>
              </w:rPr>
              <w:t>48</w:t>
            </w:r>
            <w:r>
              <w:rPr>
                <w:webHidden/>
              </w:rPr>
              <w:fldChar w:fldCharType="end"/>
            </w:r>
          </w:hyperlink>
        </w:p>
        <w:p w14:paraId="7613008A" w14:textId="04C4D02C" w:rsidR="00CA1BA3" w:rsidRDefault="00CA1BA3">
          <w:pPr>
            <w:pStyle w:val="TOC2"/>
            <w:tabs>
              <w:tab w:val="left" w:pos="1080"/>
            </w:tabs>
            <w:rPr>
              <w:rFonts w:cstheme="minorBidi"/>
              <w:kern w:val="2"/>
              <w:sz w:val="22"/>
              <w:lang w:eastAsia="en-NZ"/>
              <w14:ligatures w14:val="standardContextual"/>
            </w:rPr>
          </w:pPr>
          <w:hyperlink w:anchor="_Toc137208886" w:history="1">
            <w:r w:rsidRPr="008B2257">
              <w:rPr>
                <w:rStyle w:val="Hyperlink"/>
              </w:rPr>
              <w:t>2.2</w:t>
            </w:r>
            <w:r>
              <w:rPr>
                <w:rFonts w:cstheme="minorBidi"/>
                <w:kern w:val="2"/>
                <w:sz w:val="22"/>
                <w:lang w:eastAsia="en-NZ"/>
                <w14:ligatures w14:val="standardContextual"/>
              </w:rPr>
              <w:tab/>
            </w:r>
            <w:r w:rsidRPr="008B2257">
              <w:rPr>
                <w:rStyle w:val="Hyperlink"/>
              </w:rPr>
              <w:t>Phase One – Evaluation design and planning</w:t>
            </w:r>
            <w:r>
              <w:rPr>
                <w:webHidden/>
              </w:rPr>
              <w:tab/>
            </w:r>
            <w:r>
              <w:rPr>
                <w:webHidden/>
              </w:rPr>
              <w:fldChar w:fldCharType="begin"/>
            </w:r>
            <w:r>
              <w:rPr>
                <w:webHidden/>
              </w:rPr>
              <w:instrText xml:space="preserve"> PAGEREF _Toc137208886 \h </w:instrText>
            </w:r>
            <w:r>
              <w:rPr>
                <w:webHidden/>
              </w:rPr>
            </w:r>
            <w:r>
              <w:rPr>
                <w:webHidden/>
              </w:rPr>
              <w:fldChar w:fldCharType="separate"/>
            </w:r>
            <w:r w:rsidR="00165B17">
              <w:rPr>
                <w:webHidden/>
              </w:rPr>
              <w:t>48</w:t>
            </w:r>
            <w:r>
              <w:rPr>
                <w:webHidden/>
              </w:rPr>
              <w:fldChar w:fldCharType="end"/>
            </w:r>
          </w:hyperlink>
        </w:p>
        <w:p w14:paraId="52089529" w14:textId="0AC46AC2" w:rsidR="00CA1BA3" w:rsidRDefault="00CA1BA3">
          <w:pPr>
            <w:pStyle w:val="TOC2"/>
            <w:tabs>
              <w:tab w:val="left" w:pos="1080"/>
            </w:tabs>
            <w:rPr>
              <w:rFonts w:cstheme="minorBidi"/>
              <w:kern w:val="2"/>
              <w:sz w:val="22"/>
              <w:lang w:eastAsia="en-NZ"/>
              <w14:ligatures w14:val="standardContextual"/>
            </w:rPr>
          </w:pPr>
          <w:hyperlink w:anchor="_Toc137208887" w:history="1">
            <w:r w:rsidRPr="008B2257">
              <w:rPr>
                <w:rStyle w:val="Hyperlink"/>
              </w:rPr>
              <w:t>2.3</w:t>
            </w:r>
            <w:r>
              <w:rPr>
                <w:rFonts w:cstheme="minorBidi"/>
                <w:kern w:val="2"/>
                <w:sz w:val="22"/>
                <w:lang w:eastAsia="en-NZ"/>
                <w14:ligatures w14:val="standardContextual"/>
              </w:rPr>
              <w:tab/>
            </w:r>
            <w:r w:rsidRPr="008B2257">
              <w:rPr>
                <w:rStyle w:val="Hyperlink"/>
              </w:rPr>
              <w:t>Phase Two – Evaluation implementation</w:t>
            </w:r>
            <w:r>
              <w:rPr>
                <w:webHidden/>
              </w:rPr>
              <w:tab/>
            </w:r>
            <w:r>
              <w:rPr>
                <w:webHidden/>
              </w:rPr>
              <w:fldChar w:fldCharType="begin"/>
            </w:r>
            <w:r>
              <w:rPr>
                <w:webHidden/>
              </w:rPr>
              <w:instrText xml:space="preserve"> PAGEREF _Toc137208887 \h </w:instrText>
            </w:r>
            <w:r>
              <w:rPr>
                <w:webHidden/>
              </w:rPr>
            </w:r>
            <w:r>
              <w:rPr>
                <w:webHidden/>
              </w:rPr>
              <w:fldChar w:fldCharType="separate"/>
            </w:r>
            <w:r w:rsidR="00165B17">
              <w:rPr>
                <w:webHidden/>
              </w:rPr>
              <w:t>50</w:t>
            </w:r>
            <w:r>
              <w:rPr>
                <w:webHidden/>
              </w:rPr>
              <w:fldChar w:fldCharType="end"/>
            </w:r>
          </w:hyperlink>
        </w:p>
        <w:p w14:paraId="2E4F1672" w14:textId="39294C68" w:rsidR="00CA1BA3" w:rsidRDefault="00CA1BA3">
          <w:pPr>
            <w:pStyle w:val="TOC2"/>
            <w:tabs>
              <w:tab w:val="left" w:pos="1080"/>
            </w:tabs>
            <w:rPr>
              <w:rFonts w:cstheme="minorBidi"/>
              <w:kern w:val="2"/>
              <w:sz w:val="22"/>
              <w:lang w:eastAsia="en-NZ"/>
              <w14:ligatures w14:val="standardContextual"/>
            </w:rPr>
          </w:pPr>
          <w:hyperlink w:anchor="_Toc137208888" w:history="1">
            <w:r w:rsidRPr="008B2257">
              <w:rPr>
                <w:rStyle w:val="Hyperlink"/>
              </w:rPr>
              <w:t>2.4</w:t>
            </w:r>
            <w:r>
              <w:rPr>
                <w:rFonts w:cstheme="minorBidi"/>
                <w:kern w:val="2"/>
                <w:sz w:val="22"/>
                <w:lang w:eastAsia="en-NZ"/>
                <w14:ligatures w14:val="standardContextual"/>
              </w:rPr>
              <w:tab/>
            </w:r>
            <w:r w:rsidRPr="008B2257">
              <w:rPr>
                <w:rStyle w:val="Hyperlink"/>
              </w:rPr>
              <w:t>Approach to data collection</w:t>
            </w:r>
            <w:r>
              <w:rPr>
                <w:webHidden/>
              </w:rPr>
              <w:tab/>
            </w:r>
            <w:r>
              <w:rPr>
                <w:webHidden/>
              </w:rPr>
              <w:fldChar w:fldCharType="begin"/>
            </w:r>
            <w:r>
              <w:rPr>
                <w:webHidden/>
              </w:rPr>
              <w:instrText xml:space="preserve"> PAGEREF _Toc137208888 \h </w:instrText>
            </w:r>
            <w:r>
              <w:rPr>
                <w:webHidden/>
              </w:rPr>
            </w:r>
            <w:r>
              <w:rPr>
                <w:webHidden/>
              </w:rPr>
              <w:fldChar w:fldCharType="separate"/>
            </w:r>
            <w:r w:rsidR="00165B17">
              <w:rPr>
                <w:webHidden/>
              </w:rPr>
              <w:t>50</w:t>
            </w:r>
            <w:r>
              <w:rPr>
                <w:webHidden/>
              </w:rPr>
              <w:fldChar w:fldCharType="end"/>
            </w:r>
          </w:hyperlink>
        </w:p>
        <w:p w14:paraId="2B1CD102" w14:textId="40D774C9" w:rsidR="00CA1BA3" w:rsidRDefault="00CA1BA3">
          <w:pPr>
            <w:pStyle w:val="TOC2"/>
            <w:tabs>
              <w:tab w:val="left" w:pos="1080"/>
            </w:tabs>
            <w:rPr>
              <w:rFonts w:cstheme="minorBidi"/>
              <w:kern w:val="2"/>
              <w:sz w:val="22"/>
              <w:lang w:eastAsia="en-NZ"/>
              <w14:ligatures w14:val="standardContextual"/>
            </w:rPr>
          </w:pPr>
          <w:hyperlink w:anchor="_Toc137208889" w:history="1">
            <w:r w:rsidRPr="008B2257">
              <w:rPr>
                <w:rStyle w:val="Hyperlink"/>
              </w:rPr>
              <w:t>2.5</w:t>
            </w:r>
            <w:r>
              <w:rPr>
                <w:rFonts w:cstheme="minorBidi"/>
                <w:kern w:val="2"/>
                <w:sz w:val="22"/>
                <w:lang w:eastAsia="en-NZ"/>
                <w14:ligatures w14:val="standardContextual"/>
              </w:rPr>
              <w:tab/>
            </w:r>
            <w:r w:rsidRPr="008B2257">
              <w:rPr>
                <w:rStyle w:val="Hyperlink"/>
              </w:rPr>
              <w:t>Overview of activities across each evaluation cycle</w:t>
            </w:r>
            <w:r>
              <w:rPr>
                <w:webHidden/>
              </w:rPr>
              <w:tab/>
            </w:r>
            <w:r>
              <w:rPr>
                <w:webHidden/>
              </w:rPr>
              <w:fldChar w:fldCharType="begin"/>
            </w:r>
            <w:r>
              <w:rPr>
                <w:webHidden/>
              </w:rPr>
              <w:instrText xml:space="preserve"> PAGEREF _Toc137208889 \h </w:instrText>
            </w:r>
            <w:r>
              <w:rPr>
                <w:webHidden/>
              </w:rPr>
            </w:r>
            <w:r>
              <w:rPr>
                <w:webHidden/>
              </w:rPr>
              <w:fldChar w:fldCharType="separate"/>
            </w:r>
            <w:r w:rsidR="00165B17">
              <w:rPr>
                <w:webHidden/>
              </w:rPr>
              <w:t>56</w:t>
            </w:r>
            <w:r>
              <w:rPr>
                <w:webHidden/>
              </w:rPr>
              <w:fldChar w:fldCharType="end"/>
            </w:r>
          </w:hyperlink>
        </w:p>
        <w:p w14:paraId="0B8AF90B" w14:textId="6059A4A0" w:rsidR="00CA1BA3" w:rsidRDefault="00CA1BA3">
          <w:pPr>
            <w:pStyle w:val="TOC2"/>
            <w:tabs>
              <w:tab w:val="left" w:pos="1080"/>
            </w:tabs>
            <w:rPr>
              <w:rFonts w:cstheme="minorBidi"/>
              <w:kern w:val="2"/>
              <w:sz w:val="22"/>
              <w:lang w:eastAsia="en-NZ"/>
              <w14:ligatures w14:val="standardContextual"/>
            </w:rPr>
          </w:pPr>
          <w:hyperlink w:anchor="_Toc137208890" w:history="1">
            <w:r w:rsidRPr="008B2257">
              <w:rPr>
                <w:rStyle w:val="Hyperlink"/>
              </w:rPr>
              <w:t>2.6</w:t>
            </w:r>
            <w:r>
              <w:rPr>
                <w:rFonts w:cstheme="minorBidi"/>
                <w:kern w:val="2"/>
                <w:sz w:val="22"/>
                <w:lang w:eastAsia="en-NZ"/>
                <w14:ligatures w14:val="standardContextual"/>
              </w:rPr>
              <w:tab/>
            </w:r>
            <w:r w:rsidRPr="008B2257">
              <w:rPr>
                <w:rStyle w:val="Hyperlink"/>
              </w:rPr>
              <w:t>Approach to data analysis</w:t>
            </w:r>
            <w:r>
              <w:rPr>
                <w:webHidden/>
              </w:rPr>
              <w:tab/>
            </w:r>
            <w:r>
              <w:rPr>
                <w:webHidden/>
              </w:rPr>
              <w:fldChar w:fldCharType="begin"/>
            </w:r>
            <w:r>
              <w:rPr>
                <w:webHidden/>
              </w:rPr>
              <w:instrText xml:space="preserve"> PAGEREF _Toc137208890 \h </w:instrText>
            </w:r>
            <w:r>
              <w:rPr>
                <w:webHidden/>
              </w:rPr>
            </w:r>
            <w:r>
              <w:rPr>
                <w:webHidden/>
              </w:rPr>
              <w:fldChar w:fldCharType="separate"/>
            </w:r>
            <w:r w:rsidR="00165B17">
              <w:rPr>
                <w:webHidden/>
              </w:rPr>
              <w:t>60</w:t>
            </w:r>
            <w:r>
              <w:rPr>
                <w:webHidden/>
              </w:rPr>
              <w:fldChar w:fldCharType="end"/>
            </w:r>
          </w:hyperlink>
        </w:p>
        <w:p w14:paraId="6D80E120" w14:textId="21A785E5" w:rsidR="00CA1BA3" w:rsidRDefault="00CA1BA3">
          <w:pPr>
            <w:pStyle w:val="TOC2"/>
            <w:tabs>
              <w:tab w:val="left" w:pos="1080"/>
            </w:tabs>
            <w:rPr>
              <w:rFonts w:cstheme="minorBidi"/>
              <w:kern w:val="2"/>
              <w:sz w:val="22"/>
              <w:lang w:eastAsia="en-NZ"/>
              <w14:ligatures w14:val="standardContextual"/>
            </w:rPr>
          </w:pPr>
          <w:hyperlink w:anchor="_Toc137208891" w:history="1">
            <w:r w:rsidRPr="008B2257">
              <w:rPr>
                <w:rStyle w:val="Hyperlink"/>
              </w:rPr>
              <w:t>2.7</w:t>
            </w:r>
            <w:r>
              <w:rPr>
                <w:rFonts w:cstheme="minorBidi"/>
                <w:kern w:val="2"/>
                <w:sz w:val="22"/>
                <w:lang w:eastAsia="en-NZ"/>
                <w14:ligatures w14:val="standardContextual"/>
              </w:rPr>
              <w:tab/>
            </w:r>
            <w:r w:rsidRPr="008B2257">
              <w:rPr>
                <w:rStyle w:val="Hyperlink"/>
              </w:rPr>
              <w:t>Sense-making, integration and analytical synthesis</w:t>
            </w:r>
            <w:r>
              <w:rPr>
                <w:webHidden/>
              </w:rPr>
              <w:tab/>
            </w:r>
            <w:r>
              <w:rPr>
                <w:webHidden/>
              </w:rPr>
              <w:fldChar w:fldCharType="begin"/>
            </w:r>
            <w:r>
              <w:rPr>
                <w:webHidden/>
              </w:rPr>
              <w:instrText xml:space="preserve"> PAGEREF _Toc137208891 \h </w:instrText>
            </w:r>
            <w:r>
              <w:rPr>
                <w:webHidden/>
              </w:rPr>
            </w:r>
            <w:r>
              <w:rPr>
                <w:webHidden/>
              </w:rPr>
              <w:fldChar w:fldCharType="separate"/>
            </w:r>
            <w:r w:rsidR="00165B17">
              <w:rPr>
                <w:webHidden/>
              </w:rPr>
              <w:t>63</w:t>
            </w:r>
            <w:r>
              <w:rPr>
                <w:webHidden/>
              </w:rPr>
              <w:fldChar w:fldCharType="end"/>
            </w:r>
          </w:hyperlink>
        </w:p>
        <w:p w14:paraId="0449896E" w14:textId="4A5A74FE" w:rsidR="00CA1BA3" w:rsidRDefault="00CA1BA3">
          <w:pPr>
            <w:pStyle w:val="TOC2"/>
            <w:tabs>
              <w:tab w:val="left" w:pos="1080"/>
            </w:tabs>
            <w:rPr>
              <w:rFonts w:cstheme="minorBidi"/>
              <w:kern w:val="2"/>
              <w:sz w:val="22"/>
              <w:lang w:eastAsia="en-NZ"/>
              <w14:ligatures w14:val="standardContextual"/>
            </w:rPr>
          </w:pPr>
          <w:hyperlink w:anchor="_Toc137208892" w:history="1">
            <w:r w:rsidRPr="008B2257">
              <w:rPr>
                <w:rStyle w:val="Hyperlink"/>
              </w:rPr>
              <w:t>2.8</w:t>
            </w:r>
            <w:r>
              <w:rPr>
                <w:rFonts w:cstheme="minorBidi"/>
                <w:kern w:val="2"/>
                <w:sz w:val="22"/>
                <w:lang w:eastAsia="en-NZ"/>
                <w14:ligatures w14:val="standardContextual"/>
              </w:rPr>
              <w:tab/>
            </w:r>
            <w:r w:rsidRPr="008B2257">
              <w:rPr>
                <w:rStyle w:val="Hyperlink"/>
              </w:rPr>
              <w:t>Strengths, limitations and adaptations</w:t>
            </w:r>
            <w:r>
              <w:rPr>
                <w:webHidden/>
              </w:rPr>
              <w:tab/>
            </w:r>
            <w:r>
              <w:rPr>
                <w:webHidden/>
              </w:rPr>
              <w:fldChar w:fldCharType="begin"/>
            </w:r>
            <w:r>
              <w:rPr>
                <w:webHidden/>
              </w:rPr>
              <w:instrText xml:space="preserve"> PAGEREF _Toc137208892 \h </w:instrText>
            </w:r>
            <w:r>
              <w:rPr>
                <w:webHidden/>
              </w:rPr>
            </w:r>
            <w:r>
              <w:rPr>
                <w:webHidden/>
              </w:rPr>
              <w:fldChar w:fldCharType="separate"/>
            </w:r>
            <w:r w:rsidR="00165B17">
              <w:rPr>
                <w:webHidden/>
              </w:rPr>
              <w:t>67</w:t>
            </w:r>
            <w:r>
              <w:rPr>
                <w:webHidden/>
              </w:rPr>
              <w:fldChar w:fldCharType="end"/>
            </w:r>
          </w:hyperlink>
        </w:p>
        <w:p w14:paraId="1429FDBB" w14:textId="3EE42C7E" w:rsidR="00CA1BA3" w:rsidRDefault="00CA1BA3">
          <w:pPr>
            <w:pStyle w:val="TOC2"/>
            <w:tabs>
              <w:tab w:val="left" w:pos="1080"/>
            </w:tabs>
            <w:rPr>
              <w:rFonts w:cstheme="minorBidi"/>
              <w:kern w:val="2"/>
              <w:sz w:val="22"/>
              <w:lang w:eastAsia="en-NZ"/>
              <w14:ligatures w14:val="standardContextual"/>
            </w:rPr>
          </w:pPr>
          <w:hyperlink w:anchor="_Toc137208893" w:history="1">
            <w:r w:rsidRPr="008B2257">
              <w:rPr>
                <w:rStyle w:val="Hyperlink"/>
              </w:rPr>
              <w:t>2.9</w:t>
            </w:r>
            <w:r>
              <w:rPr>
                <w:rFonts w:cstheme="minorBidi"/>
                <w:kern w:val="2"/>
                <w:sz w:val="22"/>
                <w:lang w:eastAsia="en-NZ"/>
                <w14:ligatures w14:val="standardContextual"/>
              </w:rPr>
              <w:tab/>
            </w:r>
            <w:r w:rsidRPr="008B2257">
              <w:rPr>
                <w:rStyle w:val="Hyperlink"/>
              </w:rPr>
              <w:t>Data collection, recording and storage</w:t>
            </w:r>
            <w:r>
              <w:rPr>
                <w:webHidden/>
              </w:rPr>
              <w:tab/>
            </w:r>
            <w:r>
              <w:rPr>
                <w:webHidden/>
              </w:rPr>
              <w:fldChar w:fldCharType="begin"/>
            </w:r>
            <w:r>
              <w:rPr>
                <w:webHidden/>
              </w:rPr>
              <w:instrText xml:space="preserve"> PAGEREF _Toc137208893 \h </w:instrText>
            </w:r>
            <w:r>
              <w:rPr>
                <w:webHidden/>
              </w:rPr>
            </w:r>
            <w:r>
              <w:rPr>
                <w:webHidden/>
              </w:rPr>
              <w:fldChar w:fldCharType="separate"/>
            </w:r>
            <w:r w:rsidR="00165B17">
              <w:rPr>
                <w:webHidden/>
              </w:rPr>
              <w:t>72</w:t>
            </w:r>
            <w:r>
              <w:rPr>
                <w:webHidden/>
              </w:rPr>
              <w:fldChar w:fldCharType="end"/>
            </w:r>
          </w:hyperlink>
        </w:p>
        <w:p w14:paraId="29F7AE53" w14:textId="562C66E7" w:rsidR="00CA1BA3" w:rsidRDefault="00CA1BA3">
          <w:pPr>
            <w:pStyle w:val="TOC1"/>
            <w:rPr>
              <w:rFonts w:cstheme="minorBidi"/>
              <w:b w:val="0"/>
              <w:caps w:val="0"/>
              <w:kern w:val="2"/>
              <w:sz w:val="22"/>
              <w:lang w:eastAsia="en-NZ"/>
              <w14:ligatures w14:val="standardContextual"/>
            </w:rPr>
          </w:pPr>
          <w:hyperlink w:anchor="_Toc137208894" w:history="1">
            <w:r w:rsidRPr="008B2257">
              <w:rPr>
                <w:rStyle w:val="Hyperlink"/>
              </w:rPr>
              <w:t>3</w:t>
            </w:r>
            <w:r>
              <w:rPr>
                <w:rFonts w:cstheme="minorBidi"/>
                <w:b w:val="0"/>
                <w:caps w:val="0"/>
                <w:kern w:val="2"/>
                <w:sz w:val="22"/>
                <w:lang w:eastAsia="en-NZ"/>
                <w14:ligatures w14:val="standardContextual"/>
              </w:rPr>
              <w:tab/>
            </w:r>
            <w:r w:rsidRPr="008B2257">
              <w:rPr>
                <w:rStyle w:val="Hyperlink"/>
              </w:rPr>
              <w:t>Understanding the IAHP</w:t>
            </w:r>
            <w:r>
              <w:rPr>
                <w:webHidden/>
              </w:rPr>
              <w:tab/>
            </w:r>
            <w:r>
              <w:rPr>
                <w:webHidden/>
              </w:rPr>
              <w:fldChar w:fldCharType="begin"/>
            </w:r>
            <w:r>
              <w:rPr>
                <w:webHidden/>
              </w:rPr>
              <w:instrText xml:space="preserve"> PAGEREF _Toc137208894 \h </w:instrText>
            </w:r>
            <w:r>
              <w:rPr>
                <w:webHidden/>
              </w:rPr>
            </w:r>
            <w:r>
              <w:rPr>
                <w:webHidden/>
              </w:rPr>
              <w:fldChar w:fldCharType="separate"/>
            </w:r>
            <w:r w:rsidR="00165B17">
              <w:rPr>
                <w:webHidden/>
              </w:rPr>
              <w:t>73</w:t>
            </w:r>
            <w:r>
              <w:rPr>
                <w:webHidden/>
              </w:rPr>
              <w:fldChar w:fldCharType="end"/>
            </w:r>
          </w:hyperlink>
        </w:p>
        <w:p w14:paraId="1DE77342" w14:textId="13447DBE" w:rsidR="00CA1BA3" w:rsidRDefault="00CA1BA3">
          <w:pPr>
            <w:pStyle w:val="TOC2"/>
            <w:tabs>
              <w:tab w:val="left" w:pos="1080"/>
            </w:tabs>
            <w:rPr>
              <w:rFonts w:cstheme="minorBidi"/>
              <w:kern w:val="2"/>
              <w:sz w:val="22"/>
              <w:lang w:eastAsia="en-NZ"/>
              <w14:ligatures w14:val="standardContextual"/>
            </w:rPr>
          </w:pPr>
          <w:hyperlink w:anchor="_Toc137208895" w:history="1">
            <w:r w:rsidRPr="008B2257">
              <w:rPr>
                <w:rStyle w:val="Hyperlink"/>
              </w:rPr>
              <w:t>3.1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_Toc137208895 \h </w:instrText>
            </w:r>
            <w:r>
              <w:rPr>
                <w:webHidden/>
              </w:rPr>
            </w:r>
            <w:r>
              <w:rPr>
                <w:webHidden/>
              </w:rPr>
              <w:fldChar w:fldCharType="separate"/>
            </w:r>
            <w:r w:rsidR="00165B17">
              <w:rPr>
                <w:webHidden/>
              </w:rPr>
              <w:t>75</w:t>
            </w:r>
            <w:r>
              <w:rPr>
                <w:webHidden/>
              </w:rPr>
              <w:fldChar w:fldCharType="end"/>
            </w:r>
          </w:hyperlink>
        </w:p>
        <w:p w14:paraId="533D5AEE" w14:textId="0CCE2898" w:rsidR="00CA1BA3" w:rsidRDefault="00CA1BA3">
          <w:pPr>
            <w:pStyle w:val="TOC2"/>
            <w:tabs>
              <w:tab w:val="left" w:pos="1080"/>
            </w:tabs>
            <w:rPr>
              <w:rFonts w:cstheme="minorBidi"/>
              <w:kern w:val="2"/>
              <w:sz w:val="22"/>
              <w:lang w:eastAsia="en-NZ"/>
              <w14:ligatures w14:val="standardContextual"/>
            </w:rPr>
          </w:pPr>
          <w:hyperlink w:anchor="_Toc137208896" w:history="1">
            <w:r w:rsidRPr="008B2257">
              <w:rPr>
                <w:rStyle w:val="Hyperlink"/>
              </w:rPr>
              <w:t>3.2</w:t>
            </w:r>
            <w:r>
              <w:rPr>
                <w:rFonts w:cstheme="minorBidi"/>
                <w:kern w:val="2"/>
                <w:sz w:val="22"/>
                <w:lang w:eastAsia="en-NZ"/>
                <w14:ligatures w14:val="standardContextual"/>
              </w:rPr>
              <w:tab/>
            </w:r>
            <w:r w:rsidRPr="008B2257">
              <w:rPr>
                <w:rStyle w:val="Hyperlink"/>
              </w:rPr>
              <w:t>About the IAHP</w:t>
            </w:r>
            <w:r>
              <w:rPr>
                <w:webHidden/>
              </w:rPr>
              <w:tab/>
            </w:r>
            <w:r>
              <w:rPr>
                <w:webHidden/>
              </w:rPr>
              <w:fldChar w:fldCharType="begin"/>
            </w:r>
            <w:r>
              <w:rPr>
                <w:webHidden/>
              </w:rPr>
              <w:instrText xml:space="preserve"> PAGEREF _Toc137208896 \h </w:instrText>
            </w:r>
            <w:r>
              <w:rPr>
                <w:webHidden/>
              </w:rPr>
            </w:r>
            <w:r>
              <w:rPr>
                <w:webHidden/>
              </w:rPr>
              <w:fldChar w:fldCharType="separate"/>
            </w:r>
            <w:r w:rsidR="00165B17">
              <w:rPr>
                <w:webHidden/>
              </w:rPr>
              <w:t>75</w:t>
            </w:r>
            <w:r>
              <w:rPr>
                <w:webHidden/>
              </w:rPr>
              <w:fldChar w:fldCharType="end"/>
            </w:r>
          </w:hyperlink>
        </w:p>
        <w:p w14:paraId="73D63FE3" w14:textId="56D97DD3" w:rsidR="00CA1BA3" w:rsidRDefault="00CA1BA3">
          <w:pPr>
            <w:pStyle w:val="TOC2"/>
            <w:tabs>
              <w:tab w:val="left" w:pos="1080"/>
            </w:tabs>
            <w:rPr>
              <w:rFonts w:cstheme="minorBidi"/>
              <w:kern w:val="2"/>
              <w:sz w:val="22"/>
              <w:lang w:eastAsia="en-NZ"/>
              <w14:ligatures w14:val="standardContextual"/>
            </w:rPr>
          </w:pPr>
          <w:hyperlink w:anchor="_Toc137208897" w:history="1">
            <w:r w:rsidRPr="008B2257">
              <w:rPr>
                <w:rStyle w:val="Hyperlink"/>
              </w:rPr>
              <w:t>3.3</w:t>
            </w:r>
            <w:r>
              <w:rPr>
                <w:rFonts w:cstheme="minorBidi"/>
                <w:kern w:val="2"/>
                <w:sz w:val="22"/>
                <w:lang w:eastAsia="en-NZ"/>
                <w14:ligatures w14:val="standardContextual"/>
              </w:rPr>
              <w:tab/>
            </w:r>
            <w:r w:rsidRPr="008B2257">
              <w:rPr>
                <w:rStyle w:val="Hyperlink"/>
              </w:rPr>
              <w:t>IAHP funding arrangements</w:t>
            </w:r>
            <w:r>
              <w:rPr>
                <w:webHidden/>
              </w:rPr>
              <w:tab/>
            </w:r>
            <w:r>
              <w:rPr>
                <w:webHidden/>
              </w:rPr>
              <w:fldChar w:fldCharType="begin"/>
            </w:r>
            <w:r>
              <w:rPr>
                <w:webHidden/>
              </w:rPr>
              <w:instrText xml:space="preserve"> PAGEREF _Toc137208897 \h </w:instrText>
            </w:r>
            <w:r>
              <w:rPr>
                <w:webHidden/>
              </w:rPr>
            </w:r>
            <w:r>
              <w:rPr>
                <w:webHidden/>
              </w:rPr>
              <w:fldChar w:fldCharType="separate"/>
            </w:r>
            <w:r w:rsidR="00165B17">
              <w:rPr>
                <w:webHidden/>
              </w:rPr>
              <w:t>85</w:t>
            </w:r>
            <w:r>
              <w:rPr>
                <w:webHidden/>
              </w:rPr>
              <w:fldChar w:fldCharType="end"/>
            </w:r>
          </w:hyperlink>
        </w:p>
        <w:p w14:paraId="7D5DE916" w14:textId="18F292A6" w:rsidR="00CA1BA3" w:rsidRDefault="00CA1BA3">
          <w:pPr>
            <w:pStyle w:val="TOC2"/>
            <w:tabs>
              <w:tab w:val="left" w:pos="1080"/>
            </w:tabs>
            <w:rPr>
              <w:rFonts w:cstheme="minorBidi"/>
              <w:kern w:val="2"/>
              <w:sz w:val="22"/>
              <w:lang w:eastAsia="en-NZ"/>
              <w14:ligatures w14:val="standardContextual"/>
            </w:rPr>
          </w:pPr>
          <w:hyperlink w:anchor="_Toc137208898" w:history="1">
            <w:r w:rsidRPr="008B2257">
              <w:rPr>
                <w:rStyle w:val="Hyperlink"/>
              </w:rPr>
              <w:t>3.4</w:t>
            </w:r>
            <w:r>
              <w:rPr>
                <w:rFonts w:cstheme="minorBidi"/>
                <w:kern w:val="2"/>
                <w:sz w:val="22"/>
                <w:lang w:eastAsia="en-NZ"/>
                <w14:ligatures w14:val="standardContextual"/>
              </w:rPr>
              <w:tab/>
            </w:r>
            <w:r w:rsidRPr="008B2257">
              <w:rPr>
                <w:rStyle w:val="Hyperlink"/>
              </w:rPr>
              <w:t>Distribution of funding to organisations in evaluation sites</w:t>
            </w:r>
            <w:r>
              <w:rPr>
                <w:webHidden/>
              </w:rPr>
              <w:tab/>
            </w:r>
            <w:r>
              <w:rPr>
                <w:webHidden/>
              </w:rPr>
              <w:fldChar w:fldCharType="begin"/>
            </w:r>
            <w:r>
              <w:rPr>
                <w:webHidden/>
              </w:rPr>
              <w:instrText xml:space="preserve"> PAGEREF _Toc137208898 \h </w:instrText>
            </w:r>
            <w:r>
              <w:rPr>
                <w:webHidden/>
              </w:rPr>
            </w:r>
            <w:r>
              <w:rPr>
                <w:webHidden/>
              </w:rPr>
              <w:fldChar w:fldCharType="separate"/>
            </w:r>
            <w:r w:rsidR="00165B17">
              <w:rPr>
                <w:webHidden/>
              </w:rPr>
              <w:t>95</w:t>
            </w:r>
            <w:r>
              <w:rPr>
                <w:webHidden/>
              </w:rPr>
              <w:fldChar w:fldCharType="end"/>
            </w:r>
          </w:hyperlink>
        </w:p>
        <w:p w14:paraId="16C3FA7D" w14:textId="24D39F7D" w:rsidR="00CA1BA3" w:rsidRDefault="00CA1BA3">
          <w:pPr>
            <w:pStyle w:val="TOC1"/>
            <w:rPr>
              <w:rFonts w:cstheme="minorBidi"/>
              <w:b w:val="0"/>
              <w:caps w:val="0"/>
              <w:kern w:val="2"/>
              <w:sz w:val="22"/>
              <w:lang w:eastAsia="en-NZ"/>
              <w14:ligatures w14:val="standardContextual"/>
            </w:rPr>
          </w:pPr>
          <w:hyperlink r:id="rId29" w:anchor="_Toc137208899" w:history="1">
            <w:r w:rsidRPr="008B2257">
              <w:rPr>
                <w:rStyle w:val="Hyperlink"/>
              </w:rPr>
              <w:t>Part B – Values and experiences</w:t>
            </w:r>
            <w:r>
              <w:rPr>
                <w:webHidden/>
              </w:rPr>
              <w:tab/>
            </w:r>
            <w:r>
              <w:rPr>
                <w:webHidden/>
              </w:rPr>
              <w:fldChar w:fldCharType="begin"/>
            </w:r>
            <w:r>
              <w:rPr>
                <w:webHidden/>
              </w:rPr>
              <w:instrText xml:space="preserve"> PAGEREF _Toc137208899 \h </w:instrText>
            </w:r>
            <w:r>
              <w:rPr>
                <w:webHidden/>
              </w:rPr>
            </w:r>
            <w:r>
              <w:rPr>
                <w:webHidden/>
              </w:rPr>
              <w:fldChar w:fldCharType="separate"/>
            </w:r>
            <w:r w:rsidR="00165B17">
              <w:rPr>
                <w:webHidden/>
              </w:rPr>
              <w:t>96</w:t>
            </w:r>
            <w:r>
              <w:rPr>
                <w:webHidden/>
              </w:rPr>
              <w:fldChar w:fldCharType="end"/>
            </w:r>
          </w:hyperlink>
        </w:p>
        <w:p w14:paraId="776D4CDF" w14:textId="67F71D72" w:rsidR="00CA1BA3" w:rsidRDefault="00CA1BA3">
          <w:pPr>
            <w:pStyle w:val="TOC1"/>
            <w:rPr>
              <w:rFonts w:cstheme="minorBidi"/>
              <w:b w:val="0"/>
              <w:caps w:val="0"/>
              <w:kern w:val="2"/>
              <w:sz w:val="22"/>
              <w:lang w:eastAsia="en-NZ"/>
              <w14:ligatures w14:val="standardContextual"/>
            </w:rPr>
          </w:pPr>
          <w:hyperlink w:anchor="_Toc137208900" w:history="1">
            <w:r w:rsidRPr="008B2257">
              <w:rPr>
                <w:rStyle w:val="Hyperlink"/>
              </w:rPr>
              <w:t>Overview of Part B</w:t>
            </w:r>
            <w:r>
              <w:rPr>
                <w:webHidden/>
              </w:rPr>
              <w:tab/>
            </w:r>
            <w:r>
              <w:rPr>
                <w:webHidden/>
              </w:rPr>
              <w:fldChar w:fldCharType="begin"/>
            </w:r>
            <w:r>
              <w:rPr>
                <w:webHidden/>
              </w:rPr>
              <w:instrText xml:space="preserve"> PAGEREF _Toc137208900 \h </w:instrText>
            </w:r>
            <w:r>
              <w:rPr>
                <w:webHidden/>
              </w:rPr>
            </w:r>
            <w:r>
              <w:rPr>
                <w:webHidden/>
              </w:rPr>
              <w:fldChar w:fldCharType="separate"/>
            </w:r>
            <w:r w:rsidR="00165B17">
              <w:rPr>
                <w:webHidden/>
              </w:rPr>
              <w:t>97</w:t>
            </w:r>
            <w:r>
              <w:rPr>
                <w:webHidden/>
              </w:rPr>
              <w:fldChar w:fldCharType="end"/>
            </w:r>
          </w:hyperlink>
        </w:p>
        <w:p w14:paraId="372B0172" w14:textId="1C6055F5" w:rsidR="00CA1BA3" w:rsidRDefault="00CA1BA3" w:rsidP="003D2FB1">
          <w:pPr>
            <w:pStyle w:val="TOC1"/>
            <w:ind w:left="567" w:hanging="567"/>
            <w:rPr>
              <w:rFonts w:cstheme="minorBidi"/>
              <w:b w:val="0"/>
              <w:caps w:val="0"/>
              <w:kern w:val="2"/>
              <w:sz w:val="22"/>
              <w:lang w:eastAsia="en-NZ"/>
              <w14:ligatures w14:val="standardContextual"/>
            </w:rPr>
          </w:pPr>
          <w:hyperlink w:anchor="_Toc137208901" w:history="1">
            <w:r w:rsidRPr="008B2257">
              <w:rPr>
                <w:rStyle w:val="Hyperlink"/>
              </w:rPr>
              <w:t>4</w:t>
            </w:r>
            <w:r>
              <w:rPr>
                <w:rFonts w:cstheme="minorBidi"/>
                <w:b w:val="0"/>
                <w:caps w:val="0"/>
                <w:kern w:val="2"/>
                <w:sz w:val="22"/>
                <w:lang w:eastAsia="en-NZ"/>
                <w14:ligatures w14:val="standardContextual"/>
              </w:rPr>
              <w:tab/>
            </w:r>
            <w:r w:rsidRPr="008B2257">
              <w:rPr>
                <w:rStyle w:val="Hyperlink"/>
              </w:rPr>
              <w:t>Understanding what Aboriginal and Torres Strait Islander people value in health care</w:t>
            </w:r>
            <w:r>
              <w:rPr>
                <w:webHidden/>
              </w:rPr>
              <w:tab/>
            </w:r>
            <w:r>
              <w:rPr>
                <w:webHidden/>
              </w:rPr>
              <w:fldChar w:fldCharType="begin"/>
            </w:r>
            <w:r>
              <w:rPr>
                <w:webHidden/>
              </w:rPr>
              <w:instrText xml:space="preserve"> PAGEREF _Toc137208901 \h </w:instrText>
            </w:r>
            <w:r>
              <w:rPr>
                <w:webHidden/>
              </w:rPr>
            </w:r>
            <w:r>
              <w:rPr>
                <w:webHidden/>
              </w:rPr>
              <w:fldChar w:fldCharType="separate"/>
            </w:r>
            <w:r w:rsidR="00165B17">
              <w:rPr>
                <w:webHidden/>
              </w:rPr>
              <w:t>98</w:t>
            </w:r>
            <w:r>
              <w:rPr>
                <w:webHidden/>
              </w:rPr>
              <w:fldChar w:fldCharType="end"/>
            </w:r>
          </w:hyperlink>
        </w:p>
        <w:p w14:paraId="07E344C4" w14:textId="269C580B" w:rsidR="00CA1BA3" w:rsidRDefault="00CA1BA3">
          <w:pPr>
            <w:pStyle w:val="TOC2"/>
            <w:tabs>
              <w:tab w:val="left" w:pos="1080"/>
            </w:tabs>
            <w:rPr>
              <w:rFonts w:cstheme="minorBidi"/>
              <w:kern w:val="2"/>
              <w:sz w:val="22"/>
              <w:lang w:eastAsia="en-NZ"/>
              <w14:ligatures w14:val="standardContextual"/>
            </w:rPr>
          </w:pPr>
          <w:hyperlink w:anchor="_Toc137208902" w:history="1">
            <w:r w:rsidRPr="008B2257">
              <w:rPr>
                <w:rStyle w:val="Hyperlink"/>
              </w:rPr>
              <w:t>4.1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_Toc137208902 \h </w:instrText>
            </w:r>
            <w:r>
              <w:rPr>
                <w:webHidden/>
              </w:rPr>
            </w:r>
            <w:r>
              <w:rPr>
                <w:webHidden/>
              </w:rPr>
              <w:fldChar w:fldCharType="separate"/>
            </w:r>
            <w:r w:rsidR="00165B17">
              <w:rPr>
                <w:webHidden/>
              </w:rPr>
              <w:t>99</w:t>
            </w:r>
            <w:r>
              <w:rPr>
                <w:webHidden/>
              </w:rPr>
              <w:fldChar w:fldCharType="end"/>
            </w:r>
          </w:hyperlink>
        </w:p>
        <w:p w14:paraId="34D1B838" w14:textId="782D0AA4" w:rsidR="00CA1BA3" w:rsidRDefault="00CA1BA3">
          <w:pPr>
            <w:pStyle w:val="TOC2"/>
            <w:tabs>
              <w:tab w:val="left" w:pos="1080"/>
            </w:tabs>
            <w:rPr>
              <w:rFonts w:cstheme="minorBidi"/>
              <w:kern w:val="2"/>
              <w:sz w:val="22"/>
              <w:lang w:eastAsia="en-NZ"/>
              <w14:ligatures w14:val="standardContextual"/>
            </w:rPr>
          </w:pPr>
          <w:hyperlink w:anchor="_Toc137208903" w:history="1">
            <w:r w:rsidRPr="008B2257">
              <w:rPr>
                <w:rStyle w:val="Hyperlink"/>
              </w:rPr>
              <w:t>4.2</w:t>
            </w:r>
            <w:r>
              <w:rPr>
                <w:rFonts w:cstheme="minorBidi"/>
                <w:kern w:val="2"/>
                <w:sz w:val="22"/>
                <w:lang w:eastAsia="en-NZ"/>
                <w14:ligatures w14:val="standardContextual"/>
              </w:rPr>
              <w:tab/>
            </w:r>
            <w:r w:rsidRPr="008B2257">
              <w:rPr>
                <w:rStyle w:val="Hyperlink"/>
              </w:rPr>
              <w:t>Babuny: a framework of what Aboriginal and Torres Strait Islander people value in health service design and delivery</w:t>
            </w:r>
            <w:r>
              <w:rPr>
                <w:webHidden/>
              </w:rPr>
              <w:tab/>
            </w:r>
            <w:r>
              <w:rPr>
                <w:webHidden/>
              </w:rPr>
              <w:fldChar w:fldCharType="begin"/>
            </w:r>
            <w:r>
              <w:rPr>
                <w:webHidden/>
              </w:rPr>
              <w:instrText xml:space="preserve"> PAGEREF _Toc137208903 \h </w:instrText>
            </w:r>
            <w:r>
              <w:rPr>
                <w:webHidden/>
              </w:rPr>
            </w:r>
            <w:r>
              <w:rPr>
                <w:webHidden/>
              </w:rPr>
              <w:fldChar w:fldCharType="separate"/>
            </w:r>
            <w:r w:rsidR="00165B17">
              <w:rPr>
                <w:webHidden/>
              </w:rPr>
              <w:t>101</w:t>
            </w:r>
            <w:r>
              <w:rPr>
                <w:webHidden/>
              </w:rPr>
              <w:fldChar w:fldCharType="end"/>
            </w:r>
          </w:hyperlink>
        </w:p>
        <w:p w14:paraId="6C950BD7" w14:textId="1BCF9D83" w:rsidR="00CA1BA3" w:rsidRDefault="00CA1BA3">
          <w:pPr>
            <w:pStyle w:val="TOC2"/>
            <w:tabs>
              <w:tab w:val="left" w:pos="1080"/>
            </w:tabs>
            <w:rPr>
              <w:rFonts w:cstheme="minorBidi"/>
              <w:kern w:val="2"/>
              <w:sz w:val="22"/>
              <w:lang w:eastAsia="en-NZ"/>
              <w14:ligatures w14:val="standardContextual"/>
            </w:rPr>
          </w:pPr>
          <w:hyperlink w:anchor="_Toc137208904" w:history="1">
            <w:r w:rsidRPr="008B2257">
              <w:rPr>
                <w:rStyle w:val="Hyperlink"/>
              </w:rPr>
              <w:t>4.3</w:t>
            </w:r>
            <w:r>
              <w:rPr>
                <w:rFonts w:cstheme="minorBidi"/>
                <w:kern w:val="2"/>
                <w:sz w:val="22"/>
                <w:lang w:eastAsia="en-NZ"/>
                <w14:ligatures w14:val="standardContextual"/>
              </w:rPr>
              <w:tab/>
            </w:r>
            <w:r w:rsidRPr="008B2257">
              <w:rPr>
                <w:rStyle w:val="Hyperlink"/>
              </w:rPr>
              <w:t>Place based and contextually relevant health care</w:t>
            </w:r>
            <w:r>
              <w:rPr>
                <w:webHidden/>
              </w:rPr>
              <w:tab/>
            </w:r>
            <w:r>
              <w:rPr>
                <w:webHidden/>
              </w:rPr>
              <w:fldChar w:fldCharType="begin"/>
            </w:r>
            <w:r>
              <w:rPr>
                <w:webHidden/>
              </w:rPr>
              <w:instrText xml:space="preserve"> PAGEREF _Toc137208904 \h </w:instrText>
            </w:r>
            <w:r>
              <w:rPr>
                <w:webHidden/>
              </w:rPr>
            </w:r>
            <w:r>
              <w:rPr>
                <w:webHidden/>
              </w:rPr>
              <w:fldChar w:fldCharType="separate"/>
            </w:r>
            <w:r w:rsidR="00165B17">
              <w:rPr>
                <w:webHidden/>
              </w:rPr>
              <w:t>103</w:t>
            </w:r>
            <w:r>
              <w:rPr>
                <w:webHidden/>
              </w:rPr>
              <w:fldChar w:fldCharType="end"/>
            </w:r>
          </w:hyperlink>
        </w:p>
        <w:p w14:paraId="2CF42C98" w14:textId="038DF5E2" w:rsidR="00CA1BA3" w:rsidRDefault="00CA1BA3">
          <w:pPr>
            <w:pStyle w:val="TOC2"/>
            <w:tabs>
              <w:tab w:val="left" w:pos="1080"/>
            </w:tabs>
            <w:rPr>
              <w:rFonts w:cstheme="minorBidi"/>
              <w:kern w:val="2"/>
              <w:sz w:val="22"/>
              <w:lang w:eastAsia="en-NZ"/>
              <w14:ligatures w14:val="standardContextual"/>
            </w:rPr>
          </w:pPr>
          <w:hyperlink w:anchor="_Toc137208905" w:history="1">
            <w:r w:rsidRPr="008B2257">
              <w:rPr>
                <w:rStyle w:val="Hyperlink"/>
              </w:rPr>
              <w:t>4.4</w:t>
            </w:r>
            <w:r>
              <w:rPr>
                <w:rFonts w:cstheme="minorBidi"/>
                <w:kern w:val="2"/>
                <w:sz w:val="22"/>
                <w:lang w:eastAsia="en-NZ"/>
                <w14:ligatures w14:val="standardContextual"/>
              </w:rPr>
              <w:tab/>
            </w:r>
            <w:r w:rsidRPr="008B2257">
              <w:rPr>
                <w:rStyle w:val="Hyperlink"/>
              </w:rPr>
              <w:t>Delivery of primary health care from easily identified and accessible spaces</w:t>
            </w:r>
            <w:r>
              <w:rPr>
                <w:webHidden/>
              </w:rPr>
              <w:tab/>
            </w:r>
            <w:r>
              <w:rPr>
                <w:webHidden/>
              </w:rPr>
              <w:fldChar w:fldCharType="begin"/>
            </w:r>
            <w:r>
              <w:rPr>
                <w:webHidden/>
              </w:rPr>
              <w:instrText xml:space="preserve"> PAGEREF _Toc137208905 \h </w:instrText>
            </w:r>
            <w:r>
              <w:rPr>
                <w:webHidden/>
              </w:rPr>
            </w:r>
            <w:r>
              <w:rPr>
                <w:webHidden/>
              </w:rPr>
              <w:fldChar w:fldCharType="separate"/>
            </w:r>
            <w:r w:rsidR="00165B17">
              <w:rPr>
                <w:webHidden/>
              </w:rPr>
              <w:t>105</w:t>
            </w:r>
            <w:r>
              <w:rPr>
                <w:webHidden/>
              </w:rPr>
              <w:fldChar w:fldCharType="end"/>
            </w:r>
          </w:hyperlink>
        </w:p>
        <w:p w14:paraId="2E5F95DE" w14:textId="4A232FD5" w:rsidR="00CA1BA3" w:rsidRDefault="00CA1BA3">
          <w:pPr>
            <w:pStyle w:val="TOC2"/>
            <w:tabs>
              <w:tab w:val="left" w:pos="1080"/>
            </w:tabs>
            <w:rPr>
              <w:rFonts w:cstheme="minorBidi"/>
              <w:kern w:val="2"/>
              <w:sz w:val="22"/>
              <w:lang w:eastAsia="en-NZ"/>
              <w14:ligatures w14:val="standardContextual"/>
            </w:rPr>
          </w:pPr>
          <w:hyperlink w:anchor="_Toc137208906" w:history="1">
            <w:r w:rsidRPr="008B2257">
              <w:rPr>
                <w:rStyle w:val="Hyperlink"/>
              </w:rPr>
              <w:t>4.5</w:t>
            </w:r>
            <w:r>
              <w:rPr>
                <w:rFonts w:cstheme="minorBidi"/>
                <w:kern w:val="2"/>
                <w:sz w:val="22"/>
                <w:lang w:eastAsia="en-NZ"/>
                <w14:ligatures w14:val="standardContextual"/>
              </w:rPr>
              <w:tab/>
            </w:r>
            <w:r w:rsidRPr="008B2257">
              <w:rPr>
                <w:rStyle w:val="Hyperlink"/>
              </w:rPr>
              <w:t>Governance and resourcing of primary health care</w:t>
            </w:r>
            <w:r>
              <w:rPr>
                <w:webHidden/>
              </w:rPr>
              <w:tab/>
            </w:r>
            <w:r>
              <w:rPr>
                <w:webHidden/>
              </w:rPr>
              <w:fldChar w:fldCharType="begin"/>
            </w:r>
            <w:r>
              <w:rPr>
                <w:webHidden/>
              </w:rPr>
              <w:instrText xml:space="preserve"> PAGEREF _Toc137208906 \h </w:instrText>
            </w:r>
            <w:r>
              <w:rPr>
                <w:webHidden/>
              </w:rPr>
            </w:r>
            <w:r>
              <w:rPr>
                <w:webHidden/>
              </w:rPr>
              <w:fldChar w:fldCharType="separate"/>
            </w:r>
            <w:r w:rsidR="00165B17">
              <w:rPr>
                <w:webHidden/>
              </w:rPr>
              <w:t>108</w:t>
            </w:r>
            <w:r>
              <w:rPr>
                <w:webHidden/>
              </w:rPr>
              <w:fldChar w:fldCharType="end"/>
            </w:r>
          </w:hyperlink>
        </w:p>
        <w:p w14:paraId="2405268A" w14:textId="5E4BC0A3" w:rsidR="00CA1BA3" w:rsidRDefault="00CA1BA3">
          <w:pPr>
            <w:pStyle w:val="TOC2"/>
            <w:tabs>
              <w:tab w:val="left" w:pos="1080"/>
            </w:tabs>
            <w:rPr>
              <w:rFonts w:cstheme="minorBidi"/>
              <w:kern w:val="2"/>
              <w:sz w:val="22"/>
              <w:lang w:eastAsia="en-NZ"/>
              <w14:ligatures w14:val="standardContextual"/>
            </w:rPr>
          </w:pPr>
          <w:hyperlink w:anchor="_Toc137208907" w:history="1">
            <w:r w:rsidRPr="008B2257">
              <w:rPr>
                <w:rStyle w:val="Hyperlink"/>
              </w:rPr>
              <w:t>4.6</w:t>
            </w:r>
            <w:r>
              <w:rPr>
                <w:rFonts w:cstheme="minorBidi"/>
                <w:kern w:val="2"/>
                <w:sz w:val="22"/>
                <w:lang w:eastAsia="en-NZ"/>
                <w14:ligatures w14:val="standardContextual"/>
              </w:rPr>
              <w:tab/>
            </w:r>
            <w:r w:rsidRPr="008B2257">
              <w:rPr>
                <w:rStyle w:val="Hyperlink"/>
              </w:rPr>
              <w:t>Responsibility and resistance</w:t>
            </w:r>
            <w:r>
              <w:rPr>
                <w:webHidden/>
              </w:rPr>
              <w:tab/>
            </w:r>
            <w:r>
              <w:rPr>
                <w:webHidden/>
              </w:rPr>
              <w:fldChar w:fldCharType="begin"/>
            </w:r>
            <w:r>
              <w:rPr>
                <w:webHidden/>
              </w:rPr>
              <w:instrText xml:space="preserve"> PAGEREF _Toc137208907 \h </w:instrText>
            </w:r>
            <w:r>
              <w:rPr>
                <w:webHidden/>
              </w:rPr>
            </w:r>
            <w:r>
              <w:rPr>
                <w:webHidden/>
              </w:rPr>
              <w:fldChar w:fldCharType="separate"/>
            </w:r>
            <w:r w:rsidR="00165B17">
              <w:rPr>
                <w:webHidden/>
              </w:rPr>
              <w:t>112</w:t>
            </w:r>
            <w:r>
              <w:rPr>
                <w:webHidden/>
              </w:rPr>
              <w:fldChar w:fldCharType="end"/>
            </w:r>
          </w:hyperlink>
        </w:p>
        <w:p w14:paraId="74A43B25" w14:textId="38FE177F" w:rsidR="00CA1BA3" w:rsidRDefault="00CA1BA3">
          <w:pPr>
            <w:pStyle w:val="TOC2"/>
            <w:tabs>
              <w:tab w:val="left" w:pos="1080"/>
            </w:tabs>
            <w:rPr>
              <w:rFonts w:cstheme="minorBidi"/>
              <w:kern w:val="2"/>
              <w:sz w:val="22"/>
              <w:lang w:eastAsia="en-NZ"/>
              <w14:ligatures w14:val="standardContextual"/>
            </w:rPr>
          </w:pPr>
          <w:hyperlink w:anchor="_Toc137208908" w:history="1">
            <w:r w:rsidRPr="008B2257">
              <w:rPr>
                <w:rStyle w:val="Hyperlink"/>
              </w:rPr>
              <w:t>4.7</w:t>
            </w:r>
            <w:r>
              <w:rPr>
                <w:rFonts w:cstheme="minorBidi"/>
                <w:kern w:val="2"/>
                <w:sz w:val="22"/>
                <w:lang w:eastAsia="en-NZ"/>
                <w14:ligatures w14:val="standardContextual"/>
              </w:rPr>
              <w:tab/>
            </w:r>
            <w:r w:rsidRPr="008B2257">
              <w:rPr>
                <w:rStyle w:val="Hyperlink"/>
              </w:rPr>
              <w:t>Holistic care</w:t>
            </w:r>
            <w:r>
              <w:rPr>
                <w:webHidden/>
              </w:rPr>
              <w:tab/>
            </w:r>
            <w:r>
              <w:rPr>
                <w:webHidden/>
              </w:rPr>
              <w:fldChar w:fldCharType="begin"/>
            </w:r>
            <w:r>
              <w:rPr>
                <w:webHidden/>
              </w:rPr>
              <w:instrText xml:space="preserve"> PAGEREF _Toc137208908 \h </w:instrText>
            </w:r>
            <w:r>
              <w:rPr>
                <w:webHidden/>
              </w:rPr>
            </w:r>
            <w:r>
              <w:rPr>
                <w:webHidden/>
              </w:rPr>
              <w:fldChar w:fldCharType="separate"/>
            </w:r>
            <w:r w:rsidR="00165B17">
              <w:rPr>
                <w:webHidden/>
              </w:rPr>
              <w:t>114</w:t>
            </w:r>
            <w:r>
              <w:rPr>
                <w:webHidden/>
              </w:rPr>
              <w:fldChar w:fldCharType="end"/>
            </w:r>
          </w:hyperlink>
        </w:p>
        <w:p w14:paraId="5B7DF16D" w14:textId="2FCD9E52" w:rsidR="00CA1BA3" w:rsidRDefault="00CA1BA3" w:rsidP="003D2FB1">
          <w:pPr>
            <w:pStyle w:val="TOC1"/>
            <w:ind w:left="567" w:hanging="567"/>
            <w:rPr>
              <w:rFonts w:cstheme="minorBidi"/>
              <w:b w:val="0"/>
              <w:caps w:val="0"/>
              <w:kern w:val="2"/>
              <w:sz w:val="22"/>
              <w:lang w:eastAsia="en-NZ"/>
              <w14:ligatures w14:val="standardContextual"/>
            </w:rPr>
          </w:pPr>
          <w:hyperlink w:anchor="_Toc137208909" w:history="1">
            <w:r w:rsidRPr="008B2257">
              <w:rPr>
                <w:rStyle w:val="Hyperlink"/>
              </w:rPr>
              <w:t>5</w:t>
            </w:r>
            <w:r>
              <w:rPr>
                <w:rFonts w:cstheme="minorBidi"/>
                <w:b w:val="0"/>
                <w:caps w:val="0"/>
                <w:kern w:val="2"/>
                <w:sz w:val="22"/>
                <w:lang w:eastAsia="en-NZ"/>
                <w14:ligatures w14:val="standardContextual"/>
              </w:rPr>
              <w:tab/>
            </w:r>
            <w:r w:rsidRPr="008B2257">
              <w:rPr>
                <w:rStyle w:val="Hyperlink"/>
              </w:rPr>
              <w:t>Understanding how Aboriginal and Torres Strait Islander People experience the health system</w:t>
            </w:r>
            <w:r>
              <w:rPr>
                <w:webHidden/>
              </w:rPr>
              <w:tab/>
            </w:r>
            <w:r>
              <w:rPr>
                <w:webHidden/>
              </w:rPr>
              <w:fldChar w:fldCharType="begin"/>
            </w:r>
            <w:r>
              <w:rPr>
                <w:webHidden/>
              </w:rPr>
              <w:instrText xml:space="preserve"> PAGEREF _Toc137208909 \h </w:instrText>
            </w:r>
            <w:r>
              <w:rPr>
                <w:webHidden/>
              </w:rPr>
            </w:r>
            <w:r>
              <w:rPr>
                <w:webHidden/>
              </w:rPr>
              <w:fldChar w:fldCharType="separate"/>
            </w:r>
            <w:r w:rsidR="00165B17">
              <w:rPr>
                <w:webHidden/>
              </w:rPr>
              <w:t>127</w:t>
            </w:r>
            <w:r>
              <w:rPr>
                <w:webHidden/>
              </w:rPr>
              <w:fldChar w:fldCharType="end"/>
            </w:r>
          </w:hyperlink>
        </w:p>
        <w:p w14:paraId="09A3CD86" w14:textId="676FED12" w:rsidR="00CA1BA3" w:rsidRDefault="00CA1BA3">
          <w:pPr>
            <w:pStyle w:val="TOC2"/>
            <w:tabs>
              <w:tab w:val="left" w:pos="1080"/>
            </w:tabs>
            <w:rPr>
              <w:rFonts w:cstheme="minorBidi"/>
              <w:kern w:val="2"/>
              <w:sz w:val="22"/>
              <w:lang w:eastAsia="en-NZ"/>
              <w14:ligatures w14:val="standardContextual"/>
            </w:rPr>
          </w:pPr>
          <w:hyperlink w:anchor="_Toc137208910" w:history="1">
            <w:r w:rsidRPr="008B2257">
              <w:rPr>
                <w:rStyle w:val="Hyperlink"/>
              </w:rPr>
              <w:t>5.1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_Toc137208910 \h </w:instrText>
            </w:r>
            <w:r>
              <w:rPr>
                <w:webHidden/>
              </w:rPr>
            </w:r>
            <w:r>
              <w:rPr>
                <w:webHidden/>
              </w:rPr>
              <w:fldChar w:fldCharType="separate"/>
            </w:r>
            <w:r w:rsidR="00165B17">
              <w:rPr>
                <w:webHidden/>
              </w:rPr>
              <w:t>128</w:t>
            </w:r>
            <w:r>
              <w:rPr>
                <w:webHidden/>
              </w:rPr>
              <w:fldChar w:fldCharType="end"/>
            </w:r>
          </w:hyperlink>
        </w:p>
        <w:p w14:paraId="6C1048DF" w14:textId="6DE4238F" w:rsidR="00CA1BA3" w:rsidRDefault="00CA1BA3">
          <w:pPr>
            <w:pStyle w:val="TOC2"/>
            <w:tabs>
              <w:tab w:val="left" w:pos="1080"/>
            </w:tabs>
            <w:rPr>
              <w:rFonts w:cstheme="minorBidi"/>
              <w:kern w:val="2"/>
              <w:sz w:val="22"/>
              <w:lang w:eastAsia="en-NZ"/>
              <w14:ligatures w14:val="standardContextual"/>
            </w:rPr>
          </w:pPr>
          <w:hyperlink w:anchor="_Toc137208911" w:history="1">
            <w:r w:rsidRPr="008B2257">
              <w:rPr>
                <w:rStyle w:val="Hyperlink"/>
              </w:rPr>
              <w:t>5.2</w:t>
            </w:r>
            <w:r>
              <w:rPr>
                <w:rFonts w:cstheme="minorBidi"/>
                <w:kern w:val="2"/>
                <w:sz w:val="22"/>
                <w:lang w:eastAsia="en-NZ"/>
                <w14:ligatures w14:val="standardContextual"/>
              </w:rPr>
              <w:tab/>
            </w:r>
            <w:r w:rsidRPr="008B2257">
              <w:rPr>
                <w:rStyle w:val="Hyperlink"/>
              </w:rPr>
              <w:t>Dominant cultural norms shape the health experiences of Aboriginal and Torres Strait Islander people</w:t>
            </w:r>
            <w:r>
              <w:rPr>
                <w:webHidden/>
              </w:rPr>
              <w:tab/>
            </w:r>
            <w:r>
              <w:rPr>
                <w:webHidden/>
              </w:rPr>
              <w:fldChar w:fldCharType="begin"/>
            </w:r>
            <w:r>
              <w:rPr>
                <w:webHidden/>
              </w:rPr>
              <w:instrText xml:space="preserve"> PAGEREF _Toc137208911 \h </w:instrText>
            </w:r>
            <w:r>
              <w:rPr>
                <w:webHidden/>
              </w:rPr>
            </w:r>
            <w:r>
              <w:rPr>
                <w:webHidden/>
              </w:rPr>
              <w:fldChar w:fldCharType="separate"/>
            </w:r>
            <w:r w:rsidR="00165B17">
              <w:rPr>
                <w:webHidden/>
              </w:rPr>
              <w:t>128</w:t>
            </w:r>
            <w:r>
              <w:rPr>
                <w:webHidden/>
              </w:rPr>
              <w:fldChar w:fldCharType="end"/>
            </w:r>
          </w:hyperlink>
        </w:p>
        <w:p w14:paraId="47C87FE2" w14:textId="62D6FDD5" w:rsidR="00CA1BA3" w:rsidRDefault="00CA1BA3">
          <w:pPr>
            <w:pStyle w:val="TOC2"/>
            <w:tabs>
              <w:tab w:val="left" w:pos="1080"/>
            </w:tabs>
            <w:rPr>
              <w:rFonts w:cstheme="minorBidi"/>
              <w:kern w:val="2"/>
              <w:sz w:val="22"/>
              <w:lang w:eastAsia="en-NZ"/>
              <w14:ligatures w14:val="standardContextual"/>
            </w:rPr>
          </w:pPr>
          <w:hyperlink w:anchor="_Toc137208912" w:history="1">
            <w:r w:rsidRPr="008B2257">
              <w:rPr>
                <w:rStyle w:val="Hyperlink"/>
              </w:rPr>
              <w:t>5.3</w:t>
            </w:r>
            <w:r>
              <w:rPr>
                <w:rFonts w:cstheme="minorBidi"/>
                <w:kern w:val="2"/>
                <w:sz w:val="22"/>
                <w:lang w:eastAsia="en-NZ"/>
                <w14:ligatures w14:val="standardContextual"/>
              </w:rPr>
              <w:tab/>
            </w:r>
            <w:r w:rsidRPr="008B2257">
              <w:rPr>
                <w:rStyle w:val="Hyperlink"/>
              </w:rPr>
              <w:t>Moving across health care systems presents challenges for Aboriginal and Torres Strait Islander people</w:t>
            </w:r>
            <w:r>
              <w:rPr>
                <w:webHidden/>
              </w:rPr>
              <w:tab/>
            </w:r>
            <w:r>
              <w:rPr>
                <w:webHidden/>
              </w:rPr>
              <w:fldChar w:fldCharType="begin"/>
            </w:r>
            <w:r>
              <w:rPr>
                <w:webHidden/>
              </w:rPr>
              <w:instrText xml:space="preserve"> PAGEREF _Toc137208912 \h </w:instrText>
            </w:r>
            <w:r>
              <w:rPr>
                <w:webHidden/>
              </w:rPr>
            </w:r>
            <w:r>
              <w:rPr>
                <w:webHidden/>
              </w:rPr>
              <w:fldChar w:fldCharType="separate"/>
            </w:r>
            <w:r w:rsidR="00165B17">
              <w:rPr>
                <w:webHidden/>
              </w:rPr>
              <w:t>130</w:t>
            </w:r>
            <w:r>
              <w:rPr>
                <w:webHidden/>
              </w:rPr>
              <w:fldChar w:fldCharType="end"/>
            </w:r>
          </w:hyperlink>
        </w:p>
        <w:p w14:paraId="71DED817" w14:textId="372C4082" w:rsidR="00CA1BA3" w:rsidRDefault="00CA1BA3">
          <w:pPr>
            <w:pStyle w:val="TOC2"/>
            <w:tabs>
              <w:tab w:val="left" w:pos="1080"/>
            </w:tabs>
            <w:rPr>
              <w:rFonts w:cstheme="minorBidi"/>
              <w:kern w:val="2"/>
              <w:sz w:val="22"/>
              <w:lang w:eastAsia="en-NZ"/>
              <w14:ligatures w14:val="standardContextual"/>
            </w:rPr>
          </w:pPr>
          <w:hyperlink w:anchor="_Toc137208913" w:history="1">
            <w:r w:rsidRPr="008B2257">
              <w:rPr>
                <w:rStyle w:val="Hyperlink"/>
              </w:rPr>
              <w:t>5.4</w:t>
            </w:r>
            <w:r>
              <w:rPr>
                <w:rFonts w:cstheme="minorBidi"/>
                <w:kern w:val="2"/>
                <w:sz w:val="22"/>
                <w:lang w:eastAsia="en-NZ"/>
                <w14:ligatures w14:val="standardContextual"/>
              </w:rPr>
              <w:tab/>
            </w:r>
            <w:r w:rsidRPr="008B2257">
              <w:rPr>
                <w:rStyle w:val="Hyperlink"/>
              </w:rPr>
              <w:t>People’s experiences of care and interactions across the broader health system are diverse</w:t>
            </w:r>
            <w:r>
              <w:rPr>
                <w:webHidden/>
              </w:rPr>
              <w:tab/>
            </w:r>
            <w:r>
              <w:rPr>
                <w:webHidden/>
              </w:rPr>
              <w:fldChar w:fldCharType="begin"/>
            </w:r>
            <w:r>
              <w:rPr>
                <w:webHidden/>
              </w:rPr>
              <w:instrText xml:space="preserve"> PAGEREF _Toc137208913 \h </w:instrText>
            </w:r>
            <w:r>
              <w:rPr>
                <w:webHidden/>
              </w:rPr>
            </w:r>
            <w:r>
              <w:rPr>
                <w:webHidden/>
              </w:rPr>
              <w:fldChar w:fldCharType="separate"/>
            </w:r>
            <w:r w:rsidR="00165B17">
              <w:rPr>
                <w:webHidden/>
              </w:rPr>
              <w:t>131</w:t>
            </w:r>
            <w:r>
              <w:rPr>
                <w:webHidden/>
              </w:rPr>
              <w:fldChar w:fldCharType="end"/>
            </w:r>
          </w:hyperlink>
        </w:p>
        <w:p w14:paraId="0D14E624" w14:textId="7C23249C" w:rsidR="00CA1BA3" w:rsidRDefault="00CA1BA3">
          <w:pPr>
            <w:pStyle w:val="TOC2"/>
            <w:tabs>
              <w:tab w:val="left" w:pos="1080"/>
            </w:tabs>
            <w:rPr>
              <w:rFonts w:cstheme="minorBidi"/>
              <w:kern w:val="2"/>
              <w:sz w:val="22"/>
              <w:lang w:eastAsia="en-NZ"/>
              <w14:ligatures w14:val="standardContextual"/>
            </w:rPr>
          </w:pPr>
          <w:hyperlink w:anchor="_Toc137208914" w:history="1">
            <w:r w:rsidRPr="008B2257">
              <w:rPr>
                <w:rStyle w:val="Hyperlink"/>
              </w:rPr>
              <w:t>5.5</w:t>
            </w:r>
            <w:r>
              <w:rPr>
                <w:rFonts w:cstheme="minorBidi"/>
                <w:kern w:val="2"/>
                <w:sz w:val="22"/>
                <w:lang w:eastAsia="en-NZ"/>
                <w14:ligatures w14:val="standardContextual"/>
              </w:rPr>
              <w:tab/>
            </w:r>
            <w:r w:rsidRPr="008B2257">
              <w:rPr>
                <w:rStyle w:val="Hyperlink"/>
              </w:rPr>
              <w:t>People generally experience a better quality of care in ACCHSs</w:t>
            </w:r>
            <w:r>
              <w:rPr>
                <w:webHidden/>
              </w:rPr>
              <w:tab/>
            </w:r>
            <w:r>
              <w:rPr>
                <w:webHidden/>
              </w:rPr>
              <w:fldChar w:fldCharType="begin"/>
            </w:r>
            <w:r>
              <w:rPr>
                <w:webHidden/>
              </w:rPr>
              <w:instrText xml:space="preserve"> PAGEREF _Toc137208914 \h </w:instrText>
            </w:r>
            <w:r>
              <w:rPr>
                <w:webHidden/>
              </w:rPr>
            </w:r>
            <w:r>
              <w:rPr>
                <w:webHidden/>
              </w:rPr>
              <w:fldChar w:fldCharType="separate"/>
            </w:r>
            <w:r w:rsidR="00165B17">
              <w:rPr>
                <w:webHidden/>
              </w:rPr>
              <w:t>133</w:t>
            </w:r>
            <w:r>
              <w:rPr>
                <w:webHidden/>
              </w:rPr>
              <w:fldChar w:fldCharType="end"/>
            </w:r>
          </w:hyperlink>
        </w:p>
        <w:p w14:paraId="75CDA940" w14:textId="1F1BF1CD" w:rsidR="00CA1BA3" w:rsidRDefault="00CA1BA3">
          <w:pPr>
            <w:pStyle w:val="TOC2"/>
            <w:tabs>
              <w:tab w:val="left" w:pos="1080"/>
            </w:tabs>
            <w:rPr>
              <w:rFonts w:cstheme="minorBidi"/>
              <w:kern w:val="2"/>
              <w:sz w:val="22"/>
              <w:lang w:eastAsia="en-NZ"/>
              <w14:ligatures w14:val="standardContextual"/>
            </w:rPr>
          </w:pPr>
          <w:hyperlink w:anchor="_Toc137208915" w:history="1">
            <w:r w:rsidRPr="008B2257">
              <w:rPr>
                <w:rStyle w:val="Hyperlink"/>
              </w:rPr>
              <w:t>5.6</w:t>
            </w:r>
            <w:r>
              <w:rPr>
                <w:rFonts w:cstheme="minorBidi"/>
                <w:kern w:val="2"/>
                <w:sz w:val="22"/>
                <w:lang w:eastAsia="en-NZ"/>
                <w14:ligatures w14:val="standardContextual"/>
              </w:rPr>
              <w:tab/>
            </w:r>
            <w:r w:rsidRPr="008B2257">
              <w:rPr>
                <w:rStyle w:val="Hyperlink"/>
              </w:rPr>
              <w:t>People identified quality of care concerns across the health system</w:t>
            </w:r>
            <w:r>
              <w:rPr>
                <w:webHidden/>
              </w:rPr>
              <w:tab/>
            </w:r>
            <w:r>
              <w:rPr>
                <w:webHidden/>
              </w:rPr>
              <w:fldChar w:fldCharType="begin"/>
            </w:r>
            <w:r>
              <w:rPr>
                <w:webHidden/>
              </w:rPr>
              <w:instrText xml:space="preserve"> PAGEREF _Toc137208915 \h </w:instrText>
            </w:r>
            <w:r>
              <w:rPr>
                <w:webHidden/>
              </w:rPr>
            </w:r>
            <w:r>
              <w:rPr>
                <w:webHidden/>
              </w:rPr>
              <w:fldChar w:fldCharType="separate"/>
            </w:r>
            <w:r w:rsidR="00165B17">
              <w:rPr>
                <w:webHidden/>
              </w:rPr>
              <w:t>134</w:t>
            </w:r>
            <w:r>
              <w:rPr>
                <w:webHidden/>
              </w:rPr>
              <w:fldChar w:fldCharType="end"/>
            </w:r>
          </w:hyperlink>
        </w:p>
        <w:p w14:paraId="6DE2E299" w14:textId="4C486AD3" w:rsidR="00CA1BA3" w:rsidRDefault="00CA1BA3">
          <w:pPr>
            <w:pStyle w:val="TOC2"/>
            <w:tabs>
              <w:tab w:val="left" w:pos="1080"/>
            </w:tabs>
            <w:rPr>
              <w:rFonts w:cstheme="minorBidi"/>
              <w:kern w:val="2"/>
              <w:sz w:val="22"/>
              <w:lang w:eastAsia="en-NZ"/>
              <w14:ligatures w14:val="standardContextual"/>
            </w:rPr>
          </w:pPr>
          <w:hyperlink w:anchor="_Toc137208916" w:history="1">
            <w:r w:rsidRPr="008B2257">
              <w:rPr>
                <w:rStyle w:val="Hyperlink"/>
                <w:lang w:eastAsia="en-GB"/>
              </w:rPr>
              <w:t>5.7</w:t>
            </w:r>
            <w:r>
              <w:rPr>
                <w:rFonts w:cstheme="minorBidi"/>
                <w:kern w:val="2"/>
                <w:sz w:val="22"/>
                <w:lang w:eastAsia="en-NZ"/>
                <w14:ligatures w14:val="standardContextual"/>
              </w:rPr>
              <w:tab/>
            </w:r>
            <w:r w:rsidRPr="008B2257">
              <w:rPr>
                <w:rStyle w:val="Hyperlink"/>
                <w:lang w:eastAsia="en-GB"/>
              </w:rPr>
              <w:t>ACCHSs are ‘doing their best to bridge the gaps’ within and between systems</w:t>
            </w:r>
            <w:r>
              <w:rPr>
                <w:webHidden/>
              </w:rPr>
              <w:tab/>
            </w:r>
            <w:r>
              <w:rPr>
                <w:webHidden/>
              </w:rPr>
              <w:fldChar w:fldCharType="begin"/>
            </w:r>
            <w:r>
              <w:rPr>
                <w:webHidden/>
              </w:rPr>
              <w:instrText xml:space="preserve"> PAGEREF _Toc137208916 \h </w:instrText>
            </w:r>
            <w:r>
              <w:rPr>
                <w:webHidden/>
              </w:rPr>
            </w:r>
            <w:r>
              <w:rPr>
                <w:webHidden/>
              </w:rPr>
              <w:fldChar w:fldCharType="separate"/>
            </w:r>
            <w:r w:rsidR="00165B17">
              <w:rPr>
                <w:webHidden/>
              </w:rPr>
              <w:t>139</w:t>
            </w:r>
            <w:r>
              <w:rPr>
                <w:webHidden/>
              </w:rPr>
              <w:fldChar w:fldCharType="end"/>
            </w:r>
          </w:hyperlink>
        </w:p>
        <w:p w14:paraId="341C0C95" w14:textId="043790D4" w:rsidR="00CA1BA3" w:rsidRDefault="00CA1BA3">
          <w:pPr>
            <w:pStyle w:val="TOC2"/>
            <w:tabs>
              <w:tab w:val="left" w:pos="1080"/>
            </w:tabs>
            <w:rPr>
              <w:rFonts w:cstheme="minorBidi"/>
              <w:kern w:val="2"/>
              <w:sz w:val="22"/>
              <w:lang w:eastAsia="en-NZ"/>
              <w14:ligatures w14:val="standardContextual"/>
            </w:rPr>
          </w:pPr>
          <w:hyperlink w:anchor="_Toc137208917" w:history="1">
            <w:r w:rsidRPr="008B2257">
              <w:rPr>
                <w:rStyle w:val="Hyperlink"/>
              </w:rPr>
              <w:t>5.8</w:t>
            </w:r>
            <w:r>
              <w:rPr>
                <w:rFonts w:cstheme="minorBidi"/>
                <w:kern w:val="2"/>
                <w:sz w:val="22"/>
                <w:lang w:eastAsia="en-NZ"/>
                <w14:ligatures w14:val="standardContextual"/>
              </w:rPr>
              <w:tab/>
            </w:r>
            <w:r w:rsidRPr="008B2257">
              <w:rPr>
                <w:rStyle w:val="Hyperlink"/>
              </w:rPr>
              <w:t>Contrasting outcomes</w:t>
            </w:r>
            <w:r>
              <w:rPr>
                <w:webHidden/>
              </w:rPr>
              <w:tab/>
            </w:r>
            <w:r>
              <w:rPr>
                <w:webHidden/>
              </w:rPr>
              <w:fldChar w:fldCharType="begin"/>
            </w:r>
            <w:r>
              <w:rPr>
                <w:webHidden/>
              </w:rPr>
              <w:instrText xml:space="preserve"> PAGEREF _Toc137208917 \h </w:instrText>
            </w:r>
            <w:r>
              <w:rPr>
                <w:webHidden/>
              </w:rPr>
            </w:r>
            <w:r>
              <w:rPr>
                <w:webHidden/>
              </w:rPr>
              <w:fldChar w:fldCharType="separate"/>
            </w:r>
            <w:r w:rsidR="00165B17">
              <w:rPr>
                <w:webHidden/>
              </w:rPr>
              <w:t>140</w:t>
            </w:r>
            <w:r>
              <w:rPr>
                <w:webHidden/>
              </w:rPr>
              <w:fldChar w:fldCharType="end"/>
            </w:r>
          </w:hyperlink>
        </w:p>
        <w:p w14:paraId="331B737E" w14:textId="5B90FE37" w:rsidR="00CA1BA3" w:rsidRDefault="00CA1BA3">
          <w:pPr>
            <w:pStyle w:val="TOC1"/>
            <w:rPr>
              <w:rFonts w:cstheme="minorBidi"/>
              <w:b w:val="0"/>
              <w:caps w:val="0"/>
              <w:kern w:val="2"/>
              <w:sz w:val="22"/>
              <w:lang w:eastAsia="en-NZ"/>
              <w14:ligatures w14:val="standardContextual"/>
            </w:rPr>
          </w:pPr>
          <w:hyperlink r:id="rId30" w:anchor="_Toc137208918" w:history="1">
            <w:r w:rsidRPr="008B2257">
              <w:rPr>
                <w:rStyle w:val="Hyperlink"/>
              </w:rPr>
              <w:t>Part C: Evaluating the  IAHP</w:t>
            </w:r>
            <w:r>
              <w:rPr>
                <w:webHidden/>
              </w:rPr>
              <w:tab/>
            </w:r>
            <w:r>
              <w:rPr>
                <w:webHidden/>
              </w:rPr>
              <w:fldChar w:fldCharType="begin"/>
            </w:r>
            <w:r>
              <w:rPr>
                <w:webHidden/>
              </w:rPr>
              <w:instrText xml:space="preserve"> PAGEREF _Toc137208918 \h </w:instrText>
            </w:r>
            <w:r>
              <w:rPr>
                <w:webHidden/>
              </w:rPr>
            </w:r>
            <w:r>
              <w:rPr>
                <w:webHidden/>
              </w:rPr>
              <w:fldChar w:fldCharType="separate"/>
            </w:r>
            <w:r w:rsidR="00165B17">
              <w:rPr>
                <w:webHidden/>
              </w:rPr>
              <w:t>142</w:t>
            </w:r>
            <w:r>
              <w:rPr>
                <w:webHidden/>
              </w:rPr>
              <w:fldChar w:fldCharType="end"/>
            </w:r>
          </w:hyperlink>
        </w:p>
        <w:p w14:paraId="3F2A6790" w14:textId="09B363E4" w:rsidR="00CA1BA3" w:rsidRDefault="00CA1BA3">
          <w:pPr>
            <w:pStyle w:val="TOC1"/>
            <w:rPr>
              <w:rFonts w:cstheme="minorBidi"/>
              <w:b w:val="0"/>
              <w:caps w:val="0"/>
              <w:kern w:val="2"/>
              <w:sz w:val="22"/>
              <w:lang w:eastAsia="en-NZ"/>
              <w14:ligatures w14:val="standardContextual"/>
            </w:rPr>
          </w:pPr>
          <w:hyperlink w:anchor="_Toc137208919" w:history="1">
            <w:r w:rsidRPr="008B2257">
              <w:rPr>
                <w:rStyle w:val="Hyperlink"/>
              </w:rPr>
              <w:t>Overview of Part C</w:t>
            </w:r>
            <w:r>
              <w:rPr>
                <w:webHidden/>
              </w:rPr>
              <w:tab/>
            </w:r>
            <w:r>
              <w:rPr>
                <w:webHidden/>
              </w:rPr>
              <w:fldChar w:fldCharType="begin"/>
            </w:r>
            <w:r>
              <w:rPr>
                <w:webHidden/>
              </w:rPr>
              <w:instrText xml:space="preserve"> PAGEREF _Toc137208919 \h </w:instrText>
            </w:r>
            <w:r>
              <w:rPr>
                <w:webHidden/>
              </w:rPr>
            </w:r>
            <w:r>
              <w:rPr>
                <w:webHidden/>
              </w:rPr>
              <w:fldChar w:fldCharType="separate"/>
            </w:r>
            <w:r w:rsidR="00165B17">
              <w:rPr>
                <w:webHidden/>
              </w:rPr>
              <w:t>143</w:t>
            </w:r>
            <w:r>
              <w:rPr>
                <w:webHidden/>
              </w:rPr>
              <w:fldChar w:fldCharType="end"/>
            </w:r>
          </w:hyperlink>
        </w:p>
        <w:p w14:paraId="58D3E164" w14:textId="5A5C2A82" w:rsidR="00CA1BA3" w:rsidRDefault="00CA1BA3" w:rsidP="003D2FB1">
          <w:pPr>
            <w:pStyle w:val="TOC1"/>
            <w:ind w:left="567" w:hanging="567"/>
            <w:rPr>
              <w:rFonts w:cstheme="minorBidi"/>
              <w:b w:val="0"/>
              <w:caps w:val="0"/>
              <w:kern w:val="2"/>
              <w:sz w:val="22"/>
              <w:lang w:eastAsia="en-NZ"/>
              <w14:ligatures w14:val="standardContextual"/>
            </w:rPr>
          </w:pPr>
          <w:hyperlink w:anchor="_Toc137208920" w:history="1">
            <w:r w:rsidRPr="008B2257">
              <w:rPr>
                <w:rStyle w:val="Hyperlink"/>
              </w:rPr>
              <w:t>6</w:t>
            </w:r>
            <w:r>
              <w:rPr>
                <w:rFonts w:cstheme="minorBidi"/>
                <w:b w:val="0"/>
                <w:caps w:val="0"/>
                <w:kern w:val="2"/>
                <w:sz w:val="22"/>
                <w:lang w:eastAsia="en-NZ"/>
                <w14:ligatures w14:val="standardContextual"/>
              </w:rPr>
              <w:tab/>
            </w:r>
            <w:r w:rsidRPr="008B2257">
              <w:rPr>
                <w:rStyle w:val="Hyperlink"/>
              </w:rPr>
              <w:t xml:space="preserve">How well is the IAHP enabling the PHC system to work for Aboriginal and Torres Strait Islander people? </w:t>
            </w:r>
            <w:r>
              <w:rPr>
                <w:webHidden/>
              </w:rPr>
              <w:tab/>
            </w:r>
            <w:r>
              <w:rPr>
                <w:webHidden/>
              </w:rPr>
              <w:fldChar w:fldCharType="begin"/>
            </w:r>
            <w:r>
              <w:rPr>
                <w:webHidden/>
              </w:rPr>
              <w:instrText xml:space="preserve"> PAGEREF _Toc137208920 \h </w:instrText>
            </w:r>
            <w:r>
              <w:rPr>
                <w:webHidden/>
              </w:rPr>
            </w:r>
            <w:r>
              <w:rPr>
                <w:webHidden/>
              </w:rPr>
              <w:fldChar w:fldCharType="separate"/>
            </w:r>
            <w:r w:rsidR="00165B17">
              <w:rPr>
                <w:webHidden/>
              </w:rPr>
              <w:t>144</w:t>
            </w:r>
            <w:r>
              <w:rPr>
                <w:webHidden/>
              </w:rPr>
              <w:fldChar w:fldCharType="end"/>
            </w:r>
          </w:hyperlink>
        </w:p>
        <w:p w14:paraId="537AB09D" w14:textId="170D2A5E" w:rsidR="00CA1BA3" w:rsidRDefault="00CA1BA3">
          <w:pPr>
            <w:pStyle w:val="TOC2"/>
            <w:tabs>
              <w:tab w:val="left" w:pos="1080"/>
            </w:tabs>
            <w:rPr>
              <w:rFonts w:cstheme="minorBidi"/>
              <w:kern w:val="2"/>
              <w:sz w:val="22"/>
              <w:lang w:eastAsia="en-NZ"/>
              <w14:ligatures w14:val="standardContextual"/>
            </w:rPr>
          </w:pPr>
          <w:hyperlink w:anchor="_Toc137208921" w:history="1">
            <w:r w:rsidRPr="008B2257">
              <w:rPr>
                <w:rStyle w:val="Hyperlink"/>
              </w:rPr>
              <w:t>6.1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_Toc137208921 \h </w:instrText>
            </w:r>
            <w:r>
              <w:rPr>
                <w:webHidden/>
              </w:rPr>
            </w:r>
            <w:r>
              <w:rPr>
                <w:webHidden/>
              </w:rPr>
              <w:fldChar w:fldCharType="separate"/>
            </w:r>
            <w:r w:rsidR="00165B17">
              <w:rPr>
                <w:webHidden/>
              </w:rPr>
              <w:t>145</w:t>
            </w:r>
            <w:r>
              <w:rPr>
                <w:webHidden/>
              </w:rPr>
              <w:fldChar w:fldCharType="end"/>
            </w:r>
          </w:hyperlink>
        </w:p>
        <w:p w14:paraId="24D65778" w14:textId="14CE8DA5" w:rsidR="00CA1BA3" w:rsidRDefault="00CA1BA3">
          <w:pPr>
            <w:pStyle w:val="TOC2"/>
            <w:tabs>
              <w:tab w:val="left" w:pos="1080"/>
            </w:tabs>
            <w:rPr>
              <w:rFonts w:cstheme="minorBidi"/>
              <w:kern w:val="2"/>
              <w:sz w:val="22"/>
              <w:lang w:eastAsia="en-NZ"/>
              <w14:ligatures w14:val="standardContextual"/>
            </w:rPr>
          </w:pPr>
          <w:hyperlink w:anchor="_Toc137208922" w:history="1">
            <w:r w:rsidRPr="008B2257">
              <w:rPr>
                <w:rStyle w:val="Hyperlink"/>
              </w:rPr>
              <w:t>6.2</w:t>
            </w:r>
            <w:r>
              <w:rPr>
                <w:rFonts w:cstheme="minorBidi"/>
                <w:kern w:val="2"/>
                <w:sz w:val="22"/>
                <w:lang w:eastAsia="en-NZ"/>
                <w14:ligatures w14:val="standardContextual"/>
              </w:rPr>
              <w:tab/>
            </w:r>
            <w:r w:rsidRPr="008B2257">
              <w:rPr>
                <w:rStyle w:val="Hyperlink"/>
              </w:rPr>
              <w:t>Contribution of IAHP to enabling holistic comprehensive primary health care</w:t>
            </w:r>
            <w:r>
              <w:rPr>
                <w:webHidden/>
              </w:rPr>
              <w:tab/>
            </w:r>
            <w:r>
              <w:rPr>
                <w:webHidden/>
              </w:rPr>
              <w:fldChar w:fldCharType="begin"/>
            </w:r>
            <w:r>
              <w:rPr>
                <w:webHidden/>
              </w:rPr>
              <w:instrText xml:space="preserve"> PAGEREF _Toc137208922 \h </w:instrText>
            </w:r>
            <w:r>
              <w:rPr>
                <w:webHidden/>
              </w:rPr>
            </w:r>
            <w:r>
              <w:rPr>
                <w:webHidden/>
              </w:rPr>
              <w:fldChar w:fldCharType="separate"/>
            </w:r>
            <w:r w:rsidR="00165B17">
              <w:rPr>
                <w:webHidden/>
              </w:rPr>
              <w:t>146</w:t>
            </w:r>
            <w:r>
              <w:rPr>
                <w:webHidden/>
              </w:rPr>
              <w:fldChar w:fldCharType="end"/>
            </w:r>
          </w:hyperlink>
        </w:p>
        <w:p w14:paraId="4DE667AA" w14:textId="0F2E9145" w:rsidR="00CA1BA3" w:rsidRDefault="00CA1BA3">
          <w:pPr>
            <w:pStyle w:val="TOC2"/>
            <w:tabs>
              <w:tab w:val="left" w:pos="1080"/>
            </w:tabs>
            <w:rPr>
              <w:rFonts w:cstheme="minorBidi"/>
              <w:kern w:val="2"/>
              <w:sz w:val="22"/>
              <w:lang w:eastAsia="en-NZ"/>
              <w14:ligatures w14:val="standardContextual"/>
            </w:rPr>
          </w:pPr>
          <w:hyperlink w:anchor="_Toc137208923" w:history="1">
            <w:r w:rsidRPr="008B2257">
              <w:rPr>
                <w:rStyle w:val="Hyperlink"/>
              </w:rPr>
              <w:t>6.3</w:t>
            </w:r>
            <w:r>
              <w:rPr>
                <w:rFonts w:cstheme="minorBidi"/>
                <w:kern w:val="2"/>
                <w:sz w:val="22"/>
                <w:lang w:eastAsia="en-NZ"/>
                <w14:ligatures w14:val="standardContextual"/>
              </w:rPr>
              <w:tab/>
            </w:r>
            <w:r w:rsidRPr="008B2257">
              <w:rPr>
                <w:rStyle w:val="Hyperlink"/>
              </w:rPr>
              <w:t>Contribution of the IAHP to PHC system access and navigation</w:t>
            </w:r>
            <w:r>
              <w:rPr>
                <w:webHidden/>
              </w:rPr>
              <w:tab/>
            </w:r>
            <w:r>
              <w:rPr>
                <w:webHidden/>
              </w:rPr>
              <w:fldChar w:fldCharType="begin"/>
            </w:r>
            <w:r>
              <w:rPr>
                <w:webHidden/>
              </w:rPr>
              <w:instrText xml:space="preserve"> PAGEREF _Toc137208923 \h </w:instrText>
            </w:r>
            <w:r>
              <w:rPr>
                <w:webHidden/>
              </w:rPr>
            </w:r>
            <w:r>
              <w:rPr>
                <w:webHidden/>
              </w:rPr>
              <w:fldChar w:fldCharType="separate"/>
            </w:r>
            <w:r w:rsidR="00165B17">
              <w:rPr>
                <w:webHidden/>
              </w:rPr>
              <w:t>153</w:t>
            </w:r>
            <w:r>
              <w:rPr>
                <w:webHidden/>
              </w:rPr>
              <w:fldChar w:fldCharType="end"/>
            </w:r>
          </w:hyperlink>
        </w:p>
        <w:p w14:paraId="1B23D321" w14:textId="57997830" w:rsidR="00CA1BA3" w:rsidRDefault="00CA1BA3">
          <w:pPr>
            <w:pStyle w:val="TOC2"/>
            <w:tabs>
              <w:tab w:val="left" w:pos="1080"/>
            </w:tabs>
            <w:rPr>
              <w:rFonts w:cstheme="minorBidi"/>
              <w:kern w:val="2"/>
              <w:sz w:val="22"/>
              <w:lang w:eastAsia="en-NZ"/>
              <w14:ligatures w14:val="standardContextual"/>
            </w:rPr>
          </w:pPr>
          <w:hyperlink w:anchor="_Toc137208924" w:history="1">
            <w:r w:rsidRPr="008B2257">
              <w:rPr>
                <w:rStyle w:val="Hyperlink"/>
              </w:rPr>
              <w:t>6.4</w:t>
            </w:r>
            <w:r>
              <w:rPr>
                <w:rFonts w:cstheme="minorBidi"/>
                <w:kern w:val="2"/>
                <w:sz w:val="22"/>
                <w:lang w:eastAsia="en-NZ"/>
                <w14:ligatures w14:val="standardContextual"/>
              </w:rPr>
              <w:tab/>
            </w:r>
            <w:r w:rsidRPr="008B2257">
              <w:rPr>
                <w:rStyle w:val="Hyperlink"/>
              </w:rPr>
              <w:t>Contribution of IAHP to stronger communities and a stronger community-controlled sector</w:t>
            </w:r>
            <w:r>
              <w:rPr>
                <w:webHidden/>
              </w:rPr>
              <w:tab/>
            </w:r>
            <w:r>
              <w:rPr>
                <w:webHidden/>
              </w:rPr>
              <w:fldChar w:fldCharType="begin"/>
            </w:r>
            <w:r>
              <w:rPr>
                <w:webHidden/>
              </w:rPr>
              <w:instrText xml:space="preserve"> PAGEREF _Toc137208924 \h </w:instrText>
            </w:r>
            <w:r>
              <w:rPr>
                <w:webHidden/>
              </w:rPr>
            </w:r>
            <w:r>
              <w:rPr>
                <w:webHidden/>
              </w:rPr>
              <w:fldChar w:fldCharType="separate"/>
            </w:r>
            <w:r w:rsidR="00165B17">
              <w:rPr>
                <w:webHidden/>
              </w:rPr>
              <w:t>163</w:t>
            </w:r>
            <w:r>
              <w:rPr>
                <w:webHidden/>
              </w:rPr>
              <w:fldChar w:fldCharType="end"/>
            </w:r>
          </w:hyperlink>
        </w:p>
        <w:p w14:paraId="486761D2" w14:textId="08B9A53A" w:rsidR="00CA1BA3" w:rsidRDefault="00CA1BA3">
          <w:pPr>
            <w:pStyle w:val="TOC2"/>
            <w:tabs>
              <w:tab w:val="left" w:pos="1080"/>
            </w:tabs>
            <w:rPr>
              <w:rStyle w:val="Hyperlink"/>
            </w:rPr>
          </w:pPr>
          <w:hyperlink w:anchor="_Toc137208925" w:history="1">
            <w:r w:rsidRPr="008B2257">
              <w:rPr>
                <w:rStyle w:val="Hyperlink"/>
              </w:rPr>
              <w:t>6.5</w:t>
            </w:r>
            <w:r>
              <w:rPr>
                <w:rFonts w:cstheme="minorBidi"/>
                <w:kern w:val="2"/>
                <w:sz w:val="22"/>
                <w:lang w:eastAsia="en-NZ"/>
                <w14:ligatures w14:val="standardContextual"/>
              </w:rPr>
              <w:tab/>
            </w:r>
            <w:r w:rsidRPr="008B2257">
              <w:rPr>
                <w:rStyle w:val="Hyperlink"/>
              </w:rPr>
              <w:t>Contribution of IAHP to delivering equitable access to primary health care</w:t>
            </w:r>
            <w:r>
              <w:rPr>
                <w:webHidden/>
              </w:rPr>
              <w:tab/>
            </w:r>
            <w:r>
              <w:rPr>
                <w:webHidden/>
              </w:rPr>
              <w:fldChar w:fldCharType="begin"/>
            </w:r>
            <w:r>
              <w:rPr>
                <w:webHidden/>
              </w:rPr>
              <w:instrText xml:space="preserve"> PAGEREF _Toc137208925 \h </w:instrText>
            </w:r>
            <w:r>
              <w:rPr>
                <w:webHidden/>
              </w:rPr>
            </w:r>
            <w:r>
              <w:rPr>
                <w:webHidden/>
              </w:rPr>
              <w:fldChar w:fldCharType="separate"/>
            </w:r>
            <w:r w:rsidR="00165B17">
              <w:rPr>
                <w:webHidden/>
              </w:rPr>
              <w:t>173</w:t>
            </w:r>
            <w:r>
              <w:rPr>
                <w:webHidden/>
              </w:rPr>
              <w:fldChar w:fldCharType="end"/>
            </w:r>
          </w:hyperlink>
        </w:p>
        <w:p w14:paraId="1D1D461A" w14:textId="77777777" w:rsidR="00CA1BA3" w:rsidRDefault="00CA1BA3">
          <w:pPr>
            <w:pStyle w:val="TOC2"/>
            <w:tabs>
              <w:tab w:val="left" w:pos="1080"/>
            </w:tabs>
            <w:rPr>
              <w:rFonts w:cstheme="minorBidi"/>
              <w:kern w:val="2"/>
              <w:sz w:val="22"/>
              <w:lang w:eastAsia="en-NZ"/>
              <w14:ligatures w14:val="standardContextual"/>
            </w:rPr>
          </w:pPr>
        </w:p>
        <w:p w14:paraId="41207E0B" w14:textId="222A6F58" w:rsidR="00CA1BA3" w:rsidRDefault="00CA1BA3">
          <w:pPr>
            <w:pStyle w:val="TOC1"/>
            <w:rPr>
              <w:rFonts w:cstheme="minorBidi"/>
              <w:b w:val="0"/>
              <w:caps w:val="0"/>
              <w:kern w:val="2"/>
              <w:sz w:val="22"/>
              <w:lang w:eastAsia="en-NZ"/>
              <w14:ligatures w14:val="standardContextual"/>
            </w:rPr>
          </w:pPr>
          <w:hyperlink w:anchor="_Toc137208926" w:history="1">
            <w:r w:rsidRPr="008B2257">
              <w:rPr>
                <w:rStyle w:val="Hyperlink"/>
              </w:rPr>
              <w:t>7</w:t>
            </w:r>
            <w:r>
              <w:rPr>
                <w:rFonts w:cstheme="minorBidi"/>
                <w:b w:val="0"/>
                <w:caps w:val="0"/>
                <w:kern w:val="2"/>
                <w:sz w:val="22"/>
                <w:lang w:eastAsia="en-NZ"/>
                <w14:ligatures w14:val="standardContextual"/>
              </w:rPr>
              <w:tab/>
            </w:r>
            <w:r w:rsidRPr="008B2257">
              <w:rPr>
                <w:rStyle w:val="Hyperlink"/>
              </w:rPr>
              <w:t xml:space="preserve">What difference is the IAHP making to the PHC system? </w:t>
            </w:r>
            <w:r>
              <w:rPr>
                <w:webHidden/>
              </w:rPr>
              <w:tab/>
            </w:r>
            <w:r>
              <w:rPr>
                <w:webHidden/>
              </w:rPr>
              <w:fldChar w:fldCharType="begin"/>
            </w:r>
            <w:r>
              <w:rPr>
                <w:webHidden/>
              </w:rPr>
              <w:instrText xml:space="preserve"> PAGEREF _Toc137208926 \h </w:instrText>
            </w:r>
            <w:r>
              <w:rPr>
                <w:webHidden/>
              </w:rPr>
            </w:r>
            <w:r>
              <w:rPr>
                <w:webHidden/>
              </w:rPr>
              <w:fldChar w:fldCharType="separate"/>
            </w:r>
            <w:r w:rsidR="00165B17">
              <w:rPr>
                <w:webHidden/>
              </w:rPr>
              <w:t>182</w:t>
            </w:r>
            <w:r>
              <w:rPr>
                <w:webHidden/>
              </w:rPr>
              <w:fldChar w:fldCharType="end"/>
            </w:r>
          </w:hyperlink>
        </w:p>
        <w:p w14:paraId="16905426" w14:textId="464FE47F" w:rsidR="00CA1BA3" w:rsidRDefault="00CA1BA3">
          <w:pPr>
            <w:pStyle w:val="TOC2"/>
            <w:tabs>
              <w:tab w:val="left" w:pos="1080"/>
            </w:tabs>
            <w:rPr>
              <w:rFonts w:cstheme="minorBidi"/>
              <w:kern w:val="2"/>
              <w:sz w:val="22"/>
              <w:lang w:eastAsia="en-NZ"/>
              <w14:ligatures w14:val="standardContextual"/>
            </w:rPr>
          </w:pPr>
          <w:hyperlink w:anchor="_Toc137208927" w:history="1">
            <w:r w:rsidRPr="008B2257">
              <w:rPr>
                <w:rStyle w:val="Hyperlink"/>
              </w:rPr>
              <w:t>7.1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_Toc137208927 \h </w:instrText>
            </w:r>
            <w:r>
              <w:rPr>
                <w:webHidden/>
              </w:rPr>
            </w:r>
            <w:r>
              <w:rPr>
                <w:webHidden/>
              </w:rPr>
              <w:fldChar w:fldCharType="separate"/>
            </w:r>
            <w:r w:rsidR="00165B17">
              <w:rPr>
                <w:webHidden/>
              </w:rPr>
              <w:t>184</w:t>
            </w:r>
            <w:r>
              <w:rPr>
                <w:webHidden/>
              </w:rPr>
              <w:fldChar w:fldCharType="end"/>
            </w:r>
          </w:hyperlink>
        </w:p>
        <w:p w14:paraId="39F8FBB7" w14:textId="7CC24EEC" w:rsidR="00CA1BA3" w:rsidRDefault="00CA1BA3">
          <w:pPr>
            <w:pStyle w:val="TOC2"/>
            <w:tabs>
              <w:tab w:val="left" w:pos="1080"/>
            </w:tabs>
            <w:rPr>
              <w:rFonts w:cstheme="minorBidi"/>
              <w:kern w:val="2"/>
              <w:sz w:val="22"/>
              <w:lang w:eastAsia="en-NZ"/>
              <w14:ligatures w14:val="standardContextual"/>
            </w:rPr>
          </w:pPr>
          <w:hyperlink w:anchor="_Toc137208928" w:history="1">
            <w:r w:rsidRPr="008B2257">
              <w:rPr>
                <w:rStyle w:val="Hyperlink"/>
              </w:rPr>
              <w:t>7.2</w:t>
            </w:r>
            <w:r>
              <w:rPr>
                <w:rFonts w:cstheme="minorBidi"/>
                <w:kern w:val="2"/>
                <w:sz w:val="22"/>
                <w:lang w:eastAsia="en-NZ"/>
                <w14:ligatures w14:val="standardContextual"/>
              </w:rPr>
              <w:tab/>
            </w:r>
            <w:r w:rsidRPr="008B2257">
              <w:rPr>
                <w:rStyle w:val="Hyperlink"/>
              </w:rPr>
              <w:t>Orientation of the IAHP within the primary health care system</w:t>
            </w:r>
            <w:r>
              <w:rPr>
                <w:webHidden/>
              </w:rPr>
              <w:tab/>
            </w:r>
            <w:r>
              <w:rPr>
                <w:webHidden/>
              </w:rPr>
              <w:fldChar w:fldCharType="begin"/>
            </w:r>
            <w:r>
              <w:rPr>
                <w:webHidden/>
              </w:rPr>
              <w:instrText xml:space="preserve"> PAGEREF _Toc137208928 \h </w:instrText>
            </w:r>
            <w:r>
              <w:rPr>
                <w:webHidden/>
              </w:rPr>
            </w:r>
            <w:r>
              <w:rPr>
                <w:webHidden/>
              </w:rPr>
              <w:fldChar w:fldCharType="separate"/>
            </w:r>
            <w:r w:rsidR="00165B17">
              <w:rPr>
                <w:webHidden/>
              </w:rPr>
              <w:t>185</w:t>
            </w:r>
            <w:r>
              <w:rPr>
                <w:webHidden/>
              </w:rPr>
              <w:fldChar w:fldCharType="end"/>
            </w:r>
          </w:hyperlink>
        </w:p>
        <w:p w14:paraId="1FDD6104" w14:textId="40D607F8" w:rsidR="00CA1BA3" w:rsidRDefault="00CA1BA3">
          <w:pPr>
            <w:pStyle w:val="TOC2"/>
            <w:tabs>
              <w:tab w:val="left" w:pos="1080"/>
            </w:tabs>
            <w:rPr>
              <w:rFonts w:cstheme="minorBidi"/>
              <w:kern w:val="2"/>
              <w:sz w:val="22"/>
              <w:lang w:eastAsia="en-NZ"/>
              <w14:ligatures w14:val="standardContextual"/>
            </w:rPr>
          </w:pPr>
          <w:hyperlink w:anchor="_Toc137208929" w:history="1">
            <w:r w:rsidRPr="008B2257">
              <w:rPr>
                <w:rStyle w:val="Hyperlink"/>
              </w:rPr>
              <w:t>7.3</w:t>
            </w:r>
            <w:r>
              <w:rPr>
                <w:rFonts w:cstheme="minorBidi"/>
                <w:kern w:val="2"/>
                <w:sz w:val="22"/>
                <w:lang w:eastAsia="en-NZ"/>
                <w14:ligatures w14:val="standardContextual"/>
              </w:rPr>
              <w:tab/>
            </w:r>
            <w:r w:rsidRPr="008B2257">
              <w:rPr>
                <w:rStyle w:val="Hyperlink"/>
              </w:rPr>
              <w:t>Influence of grant making arrangements</w:t>
            </w:r>
            <w:r>
              <w:rPr>
                <w:webHidden/>
              </w:rPr>
              <w:tab/>
            </w:r>
            <w:r>
              <w:rPr>
                <w:webHidden/>
              </w:rPr>
              <w:fldChar w:fldCharType="begin"/>
            </w:r>
            <w:r>
              <w:rPr>
                <w:webHidden/>
              </w:rPr>
              <w:instrText xml:space="preserve"> PAGEREF _Toc137208929 \h </w:instrText>
            </w:r>
            <w:r>
              <w:rPr>
                <w:webHidden/>
              </w:rPr>
            </w:r>
            <w:r>
              <w:rPr>
                <w:webHidden/>
              </w:rPr>
              <w:fldChar w:fldCharType="separate"/>
            </w:r>
            <w:r w:rsidR="00165B17">
              <w:rPr>
                <w:webHidden/>
              </w:rPr>
              <w:t>197</w:t>
            </w:r>
            <w:r>
              <w:rPr>
                <w:webHidden/>
              </w:rPr>
              <w:fldChar w:fldCharType="end"/>
            </w:r>
          </w:hyperlink>
        </w:p>
        <w:p w14:paraId="0ADF9F83" w14:textId="0E7707D1" w:rsidR="00CA1BA3" w:rsidRDefault="00CA1BA3">
          <w:pPr>
            <w:pStyle w:val="TOC2"/>
            <w:tabs>
              <w:tab w:val="left" w:pos="1080"/>
            </w:tabs>
            <w:rPr>
              <w:rFonts w:cstheme="minorBidi"/>
              <w:kern w:val="2"/>
              <w:sz w:val="22"/>
              <w:lang w:eastAsia="en-NZ"/>
              <w14:ligatures w14:val="standardContextual"/>
            </w:rPr>
          </w:pPr>
          <w:hyperlink w:anchor="_Toc137208930" w:history="1">
            <w:r w:rsidRPr="008B2257">
              <w:rPr>
                <w:rStyle w:val="Hyperlink"/>
              </w:rPr>
              <w:t>7.4</w:t>
            </w:r>
            <w:r>
              <w:rPr>
                <w:rFonts w:cstheme="minorBidi"/>
                <w:kern w:val="2"/>
                <w:sz w:val="22"/>
                <w:lang w:eastAsia="en-NZ"/>
                <w14:ligatures w14:val="standardContextual"/>
              </w:rPr>
              <w:tab/>
            </w:r>
            <w:r w:rsidRPr="008B2257">
              <w:rPr>
                <w:rStyle w:val="Hyperlink"/>
              </w:rPr>
              <w:t>Contribution of the IAHP to primary health care workforce capacity</w:t>
            </w:r>
            <w:r>
              <w:rPr>
                <w:webHidden/>
              </w:rPr>
              <w:tab/>
            </w:r>
            <w:r>
              <w:rPr>
                <w:webHidden/>
              </w:rPr>
              <w:fldChar w:fldCharType="begin"/>
            </w:r>
            <w:r>
              <w:rPr>
                <w:webHidden/>
              </w:rPr>
              <w:instrText xml:space="preserve"> PAGEREF _Toc137208930 \h </w:instrText>
            </w:r>
            <w:r>
              <w:rPr>
                <w:webHidden/>
              </w:rPr>
            </w:r>
            <w:r>
              <w:rPr>
                <w:webHidden/>
              </w:rPr>
              <w:fldChar w:fldCharType="separate"/>
            </w:r>
            <w:r w:rsidR="00165B17">
              <w:rPr>
                <w:webHidden/>
              </w:rPr>
              <w:t>203</w:t>
            </w:r>
            <w:r>
              <w:rPr>
                <w:webHidden/>
              </w:rPr>
              <w:fldChar w:fldCharType="end"/>
            </w:r>
          </w:hyperlink>
        </w:p>
        <w:p w14:paraId="3FF71BE3" w14:textId="783B084B" w:rsidR="00CA1BA3" w:rsidRDefault="00CA1BA3">
          <w:pPr>
            <w:pStyle w:val="TOC2"/>
            <w:tabs>
              <w:tab w:val="left" w:pos="1080"/>
            </w:tabs>
            <w:rPr>
              <w:rFonts w:cstheme="minorBidi"/>
              <w:kern w:val="2"/>
              <w:sz w:val="22"/>
              <w:lang w:eastAsia="en-NZ"/>
              <w14:ligatures w14:val="standardContextual"/>
            </w:rPr>
          </w:pPr>
          <w:hyperlink w:anchor="_Toc137208931" w:history="1">
            <w:r w:rsidRPr="008B2257">
              <w:rPr>
                <w:rStyle w:val="Hyperlink"/>
              </w:rPr>
              <w:t>7.5</w:t>
            </w:r>
            <w:r>
              <w:rPr>
                <w:rFonts w:cstheme="minorBidi"/>
                <w:kern w:val="2"/>
                <w:sz w:val="22"/>
                <w:lang w:eastAsia="en-NZ"/>
                <w14:ligatures w14:val="standardContextual"/>
              </w:rPr>
              <w:tab/>
            </w:r>
            <w:r w:rsidRPr="008B2257">
              <w:rPr>
                <w:rStyle w:val="Hyperlink"/>
              </w:rPr>
              <w:t>Governance and leadership across the primary health care system</w:t>
            </w:r>
            <w:r>
              <w:rPr>
                <w:webHidden/>
              </w:rPr>
              <w:tab/>
            </w:r>
            <w:r>
              <w:rPr>
                <w:webHidden/>
              </w:rPr>
              <w:fldChar w:fldCharType="begin"/>
            </w:r>
            <w:r>
              <w:rPr>
                <w:webHidden/>
              </w:rPr>
              <w:instrText xml:space="preserve"> PAGEREF _Toc137208931 \h </w:instrText>
            </w:r>
            <w:r>
              <w:rPr>
                <w:webHidden/>
              </w:rPr>
            </w:r>
            <w:r>
              <w:rPr>
                <w:webHidden/>
              </w:rPr>
              <w:fldChar w:fldCharType="separate"/>
            </w:r>
            <w:r w:rsidR="00165B17">
              <w:rPr>
                <w:webHidden/>
              </w:rPr>
              <w:t>211</w:t>
            </w:r>
            <w:r>
              <w:rPr>
                <w:webHidden/>
              </w:rPr>
              <w:fldChar w:fldCharType="end"/>
            </w:r>
          </w:hyperlink>
        </w:p>
        <w:p w14:paraId="05F5AF42" w14:textId="7D69D379" w:rsidR="00CA1BA3" w:rsidRDefault="00CA1BA3">
          <w:pPr>
            <w:pStyle w:val="TOC2"/>
            <w:tabs>
              <w:tab w:val="left" w:pos="1080"/>
            </w:tabs>
            <w:rPr>
              <w:rFonts w:cstheme="minorBidi"/>
              <w:kern w:val="2"/>
              <w:sz w:val="22"/>
              <w:lang w:eastAsia="en-NZ"/>
              <w14:ligatures w14:val="standardContextual"/>
            </w:rPr>
          </w:pPr>
          <w:hyperlink w:anchor="_Toc137208932" w:history="1">
            <w:r w:rsidRPr="008B2257">
              <w:rPr>
                <w:rStyle w:val="Hyperlink"/>
              </w:rPr>
              <w:t>7.6</w:t>
            </w:r>
            <w:r>
              <w:rPr>
                <w:rFonts w:cstheme="minorBidi"/>
                <w:kern w:val="2"/>
                <w:sz w:val="22"/>
                <w:lang w:eastAsia="en-NZ"/>
                <w14:ligatures w14:val="standardContextual"/>
              </w:rPr>
              <w:tab/>
            </w:r>
            <w:r w:rsidRPr="008B2257">
              <w:rPr>
                <w:rStyle w:val="Hyperlink"/>
              </w:rPr>
              <w:t>Influence of data and knowledge sharing processes on primary health care system</w:t>
            </w:r>
            <w:r>
              <w:rPr>
                <w:webHidden/>
              </w:rPr>
              <w:tab/>
            </w:r>
            <w:r>
              <w:rPr>
                <w:webHidden/>
              </w:rPr>
              <w:fldChar w:fldCharType="begin"/>
            </w:r>
            <w:r>
              <w:rPr>
                <w:webHidden/>
              </w:rPr>
              <w:instrText xml:space="preserve"> PAGEREF _Toc137208932 \h </w:instrText>
            </w:r>
            <w:r>
              <w:rPr>
                <w:webHidden/>
              </w:rPr>
            </w:r>
            <w:r>
              <w:rPr>
                <w:webHidden/>
              </w:rPr>
              <w:fldChar w:fldCharType="separate"/>
            </w:r>
            <w:r w:rsidR="00165B17">
              <w:rPr>
                <w:webHidden/>
              </w:rPr>
              <w:t>213</w:t>
            </w:r>
            <w:r>
              <w:rPr>
                <w:webHidden/>
              </w:rPr>
              <w:fldChar w:fldCharType="end"/>
            </w:r>
          </w:hyperlink>
        </w:p>
        <w:p w14:paraId="3D5117A5" w14:textId="17D677E4" w:rsidR="00CA1BA3" w:rsidRDefault="00CA1BA3">
          <w:pPr>
            <w:pStyle w:val="TOC1"/>
            <w:rPr>
              <w:rFonts w:cstheme="minorBidi"/>
              <w:b w:val="0"/>
              <w:caps w:val="0"/>
              <w:kern w:val="2"/>
              <w:sz w:val="22"/>
              <w:lang w:eastAsia="en-NZ"/>
              <w14:ligatures w14:val="standardContextual"/>
            </w:rPr>
          </w:pPr>
          <w:hyperlink w:anchor="_Toc137208933" w:history="1">
            <w:r w:rsidRPr="008B2257">
              <w:rPr>
                <w:rStyle w:val="Hyperlink"/>
              </w:rPr>
              <w:t>8</w:t>
            </w:r>
            <w:r>
              <w:rPr>
                <w:rFonts w:cstheme="minorBidi"/>
                <w:b w:val="0"/>
                <w:caps w:val="0"/>
                <w:kern w:val="2"/>
                <w:sz w:val="22"/>
                <w:lang w:eastAsia="en-NZ"/>
                <w14:ligatures w14:val="standardContextual"/>
              </w:rPr>
              <w:tab/>
            </w:r>
            <w:r w:rsidRPr="008B2257">
              <w:rPr>
                <w:rStyle w:val="Hyperlink"/>
              </w:rPr>
              <w:t xml:space="preserve">What difference is the IAHP making to health and wellbeing? </w:t>
            </w:r>
            <w:r>
              <w:rPr>
                <w:webHidden/>
              </w:rPr>
              <w:tab/>
            </w:r>
            <w:r>
              <w:rPr>
                <w:webHidden/>
              </w:rPr>
              <w:fldChar w:fldCharType="begin"/>
            </w:r>
            <w:r>
              <w:rPr>
                <w:webHidden/>
              </w:rPr>
              <w:instrText xml:space="preserve"> PAGEREF _Toc137208933 \h </w:instrText>
            </w:r>
            <w:r>
              <w:rPr>
                <w:webHidden/>
              </w:rPr>
            </w:r>
            <w:r>
              <w:rPr>
                <w:webHidden/>
              </w:rPr>
              <w:fldChar w:fldCharType="separate"/>
            </w:r>
            <w:r w:rsidR="00165B17">
              <w:rPr>
                <w:webHidden/>
              </w:rPr>
              <w:t>219</w:t>
            </w:r>
            <w:r>
              <w:rPr>
                <w:webHidden/>
              </w:rPr>
              <w:fldChar w:fldCharType="end"/>
            </w:r>
          </w:hyperlink>
        </w:p>
        <w:p w14:paraId="6B04F645" w14:textId="494594FF" w:rsidR="00CA1BA3" w:rsidRDefault="00CA1BA3">
          <w:pPr>
            <w:pStyle w:val="TOC2"/>
            <w:tabs>
              <w:tab w:val="left" w:pos="1080"/>
            </w:tabs>
            <w:rPr>
              <w:rFonts w:cstheme="minorBidi"/>
              <w:kern w:val="2"/>
              <w:sz w:val="22"/>
              <w:lang w:eastAsia="en-NZ"/>
              <w14:ligatures w14:val="standardContextual"/>
            </w:rPr>
          </w:pPr>
          <w:hyperlink w:anchor="_Toc137208934" w:history="1">
            <w:r w:rsidRPr="008B2257">
              <w:rPr>
                <w:rStyle w:val="Hyperlink"/>
              </w:rPr>
              <w:t>8.1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_Toc137208934 \h </w:instrText>
            </w:r>
            <w:r>
              <w:rPr>
                <w:webHidden/>
              </w:rPr>
            </w:r>
            <w:r>
              <w:rPr>
                <w:webHidden/>
              </w:rPr>
              <w:fldChar w:fldCharType="separate"/>
            </w:r>
            <w:r w:rsidR="00165B17">
              <w:rPr>
                <w:webHidden/>
              </w:rPr>
              <w:t>220</w:t>
            </w:r>
            <w:r>
              <w:rPr>
                <w:webHidden/>
              </w:rPr>
              <w:fldChar w:fldCharType="end"/>
            </w:r>
          </w:hyperlink>
        </w:p>
        <w:p w14:paraId="3868B365" w14:textId="616D0F73" w:rsidR="00CA1BA3" w:rsidRDefault="00CA1BA3">
          <w:pPr>
            <w:pStyle w:val="TOC2"/>
            <w:tabs>
              <w:tab w:val="left" w:pos="1080"/>
            </w:tabs>
            <w:rPr>
              <w:rFonts w:cstheme="minorBidi"/>
              <w:kern w:val="2"/>
              <w:sz w:val="22"/>
              <w:lang w:eastAsia="en-NZ"/>
              <w14:ligatures w14:val="standardContextual"/>
            </w:rPr>
          </w:pPr>
          <w:hyperlink w:anchor="_Toc137208935" w:history="1">
            <w:r w:rsidRPr="008B2257">
              <w:rPr>
                <w:rStyle w:val="Hyperlink"/>
              </w:rPr>
              <w:t>8.2</w:t>
            </w:r>
            <w:r>
              <w:rPr>
                <w:rFonts w:cstheme="minorBidi"/>
                <w:kern w:val="2"/>
                <w:sz w:val="22"/>
                <w:lang w:eastAsia="en-NZ"/>
                <w14:ligatures w14:val="standardContextual"/>
              </w:rPr>
              <w:tab/>
            </w:r>
            <w:r w:rsidRPr="008B2257">
              <w:rPr>
                <w:rStyle w:val="Hyperlink"/>
              </w:rPr>
              <w:t>Effects of health service activity on hospitalisations and mortality</w:t>
            </w:r>
            <w:r>
              <w:rPr>
                <w:webHidden/>
              </w:rPr>
              <w:tab/>
            </w:r>
            <w:r>
              <w:rPr>
                <w:webHidden/>
              </w:rPr>
              <w:fldChar w:fldCharType="begin"/>
            </w:r>
            <w:r>
              <w:rPr>
                <w:webHidden/>
              </w:rPr>
              <w:instrText xml:space="preserve"> PAGEREF _Toc137208935 \h </w:instrText>
            </w:r>
            <w:r>
              <w:rPr>
                <w:webHidden/>
              </w:rPr>
            </w:r>
            <w:r>
              <w:rPr>
                <w:webHidden/>
              </w:rPr>
              <w:fldChar w:fldCharType="separate"/>
            </w:r>
            <w:r w:rsidR="00165B17">
              <w:rPr>
                <w:webHidden/>
              </w:rPr>
              <w:t>221</w:t>
            </w:r>
            <w:r>
              <w:rPr>
                <w:webHidden/>
              </w:rPr>
              <w:fldChar w:fldCharType="end"/>
            </w:r>
          </w:hyperlink>
        </w:p>
        <w:p w14:paraId="23B70D20" w14:textId="22B5669D" w:rsidR="00CA1BA3" w:rsidRDefault="00CA1BA3">
          <w:pPr>
            <w:pStyle w:val="TOC2"/>
            <w:tabs>
              <w:tab w:val="left" w:pos="1080"/>
            </w:tabs>
            <w:rPr>
              <w:rFonts w:cstheme="minorBidi"/>
              <w:kern w:val="2"/>
              <w:sz w:val="22"/>
              <w:lang w:eastAsia="en-NZ"/>
              <w14:ligatures w14:val="standardContextual"/>
            </w:rPr>
          </w:pPr>
          <w:hyperlink w:anchor="_Toc137208936" w:history="1">
            <w:r w:rsidRPr="008B2257">
              <w:rPr>
                <w:rStyle w:val="Hyperlink"/>
              </w:rPr>
              <w:t>8.3</w:t>
            </w:r>
            <w:r>
              <w:rPr>
                <w:rFonts w:cstheme="minorBidi"/>
                <w:kern w:val="2"/>
                <w:sz w:val="22"/>
                <w:lang w:eastAsia="en-NZ"/>
                <w14:ligatures w14:val="standardContextual"/>
              </w:rPr>
              <w:tab/>
            </w:r>
            <w:r w:rsidRPr="008B2257">
              <w:rPr>
                <w:rStyle w:val="Hyperlink"/>
              </w:rPr>
              <w:t>Risk factors, health service use, and outcomes in the evaluation sites</w:t>
            </w:r>
            <w:r>
              <w:rPr>
                <w:webHidden/>
              </w:rPr>
              <w:tab/>
            </w:r>
            <w:r>
              <w:rPr>
                <w:webHidden/>
              </w:rPr>
              <w:fldChar w:fldCharType="begin"/>
            </w:r>
            <w:r>
              <w:rPr>
                <w:webHidden/>
              </w:rPr>
              <w:instrText xml:space="preserve"> PAGEREF _Toc137208936 \h </w:instrText>
            </w:r>
            <w:r>
              <w:rPr>
                <w:webHidden/>
              </w:rPr>
            </w:r>
            <w:r>
              <w:rPr>
                <w:webHidden/>
              </w:rPr>
              <w:fldChar w:fldCharType="separate"/>
            </w:r>
            <w:r w:rsidR="00165B17">
              <w:rPr>
                <w:webHidden/>
              </w:rPr>
              <w:t>228</w:t>
            </w:r>
            <w:r>
              <w:rPr>
                <w:webHidden/>
              </w:rPr>
              <w:fldChar w:fldCharType="end"/>
            </w:r>
          </w:hyperlink>
        </w:p>
        <w:p w14:paraId="407F3986" w14:textId="1EC5F995" w:rsidR="00CA1BA3" w:rsidRDefault="00CA1BA3">
          <w:pPr>
            <w:pStyle w:val="TOC2"/>
            <w:tabs>
              <w:tab w:val="left" w:pos="1080"/>
            </w:tabs>
            <w:rPr>
              <w:rFonts w:cstheme="minorBidi"/>
              <w:kern w:val="2"/>
              <w:sz w:val="22"/>
              <w:lang w:eastAsia="en-NZ"/>
              <w14:ligatures w14:val="standardContextual"/>
            </w:rPr>
          </w:pPr>
          <w:hyperlink w:anchor="_Toc137208937" w:history="1">
            <w:r w:rsidRPr="008B2257">
              <w:rPr>
                <w:rStyle w:val="Hyperlink"/>
              </w:rPr>
              <w:t>8.4</w:t>
            </w:r>
            <w:r>
              <w:rPr>
                <w:rFonts w:cstheme="minorBidi"/>
                <w:kern w:val="2"/>
                <w:sz w:val="22"/>
                <w:lang w:eastAsia="en-NZ"/>
                <w14:ligatures w14:val="standardContextual"/>
              </w:rPr>
              <w:tab/>
            </w:r>
            <w:r w:rsidRPr="008B2257">
              <w:rPr>
                <w:rStyle w:val="Hyperlink"/>
              </w:rPr>
              <w:t>Relative contributions of social determinants and primary care activity on health outcomes</w:t>
            </w:r>
            <w:r>
              <w:rPr>
                <w:webHidden/>
              </w:rPr>
              <w:tab/>
            </w:r>
            <w:r>
              <w:rPr>
                <w:webHidden/>
              </w:rPr>
              <w:fldChar w:fldCharType="begin"/>
            </w:r>
            <w:r>
              <w:rPr>
                <w:webHidden/>
              </w:rPr>
              <w:instrText xml:space="preserve"> PAGEREF _Toc137208937 \h </w:instrText>
            </w:r>
            <w:r>
              <w:rPr>
                <w:webHidden/>
              </w:rPr>
            </w:r>
            <w:r>
              <w:rPr>
                <w:webHidden/>
              </w:rPr>
              <w:fldChar w:fldCharType="separate"/>
            </w:r>
            <w:r w:rsidR="00165B17">
              <w:rPr>
                <w:webHidden/>
              </w:rPr>
              <w:t>238</w:t>
            </w:r>
            <w:r>
              <w:rPr>
                <w:webHidden/>
              </w:rPr>
              <w:fldChar w:fldCharType="end"/>
            </w:r>
          </w:hyperlink>
        </w:p>
        <w:p w14:paraId="6BCEACA8" w14:textId="469410CB" w:rsidR="00CA1BA3" w:rsidRDefault="00CA1BA3">
          <w:pPr>
            <w:pStyle w:val="TOC2"/>
            <w:tabs>
              <w:tab w:val="left" w:pos="1080"/>
            </w:tabs>
            <w:rPr>
              <w:rFonts w:cstheme="minorBidi"/>
              <w:kern w:val="2"/>
              <w:sz w:val="22"/>
              <w:lang w:eastAsia="en-NZ"/>
              <w14:ligatures w14:val="standardContextual"/>
            </w:rPr>
          </w:pPr>
          <w:hyperlink w:anchor="_Toc137208938" w:history="1">
            <w:r w:rsidRPr="008B2257">
              <w:rPr>
                <w:rStyle w:val="Hyperlink"/>
              </w:rPr>
              <w:t>8.5</w:t>
            </w:r>
            <w:r>
              <w:rPr>
                <w:rFonts w:cstheme="minorBidi"/>
                <w:kern w:val="2"/>
                <w:sz w:val="22"/>
                <w:lang w:eastAsia="en-NZ"/>
                <w14:ligatures w14:val="standardContextual"/>
              </w:rPr>
              <w:tab/>
            </w:r>
            <w:r w:rsidRPr="008B2257">
              <w:rPr>
                <w:rStyle w:val="Hyperlink"/>
              </w:rPr>
              <w:t>Complex relationships between variables and health outcomes</w:t>
            </w:r>
            <w:r>
              <w:rPr>
                <w:webHidden/>
              </w:rPr>
              <w:tab/>
            </w:r>
            <w:r>
              <w:rPr>
                <w:webHidden/>
              </w:rPr>
              <w:fldChar w:fldCharType="begin"/>
            </w:r>
            <w:r>
              <w:rPr>
                <w:webHidden/>
              </w:rPr>
              <w:instrText xml:space="preserve"> PAGEREF _Toc137208938 \h </w:instrText>
            </w:r>
            <w:r>
              <w:rPr>
                <w:webHidden/>
              </w:rPr>
            </w:r>
            <w:r>
              <w:rPr>
                <w:webHidden/>
              </w:rPr>
              <w:fldChar w:fldCharType="separate"/>
            </w:r>
            <w:r w:rsidR="00165B17">
              <w:rPr>
                <w:webHidden/>
              </w:rPr>
              <w:t>242</w:t>
            </w:r>
            <w:r>
              <w:rPr>
                <w:webHidden/>
              </w:rPr>
              <w:fldChar w:fldCharType="end"/>
            </w:r>
          </w:hyperlink>
        </w:p>
        <w:p w14:paraId="72C2A735" w14:textId="12B0B012" w:rsidR="00CA1BA3" w:rsidRDefault="00CA1BA3">
          <w:pPr>
            <w:pStyle w:val="TOC1"/>
            <w:rPr>
              <w:rFonts w:cstheme="minorBidi"/>
              <w:b w:val="0"/>
              <w:caps w:val="0"/>
              <w:kern w:val="2"/>
              <w:sz w:val="22"/>
              <w:lang w:eastAsia="en-NZ"/>
              <w14:ligatures w14:val="standardContextual"/>
            </w:rPr>
          </w:pPr>
          <w:hyperlink w:anchor="_Toc137208939" w:history="1">
            <w:r w:rsidRPr="008B2257">
              <w:rPr>
                <w:rStyle w:val="Hyperlink"/>
              </w:rPr>
              <w:t>9</w:t>
            </w:r>
            <w:r>
              <w:rPr>
                <w:rFonts w:cstheme="minorBidi"/>
                <w:b w:val="0"/>
                <w:caps w:val="0"/>
                <w:kern w:val="2"/>
                <w:sz w:val="22"/>
                <w:lang w:eastAsia="en-NZ"/>
                <w14:ligatures w14:val="standardContextual"/>
              </w:rPr>
              <w:tab/>
            </w:r>
            <w:r w:rsidRPr="008B2257">
              <w:rPr>
                <w:rStyle w:val="Hyperlink"/>
              </w:rPr>
              <w:t xml:space="preserve">What needs to change and improve? </w:t>
            </w:r>
            <w:r>
              <w:rPr>
                <w:webHidden/>
              </w:rPr>
              <w:tab/>
            </w:r>
            <w:r>
              <w:rPr>
                <w:webHidden/>
              </w:rPr>
              <w:fldChar w:fldCharType="begin"/>
            </w:r>
            <w:r>
              <w:rPr>
                <w:webHidden/>
              </w:rPr>
              <w:instrText xml:space="preserve"> PAGEREF _Toc137208939 \h </w:instrText>
            </w:r>
            <w:r>
              <w:rPr>
                <w:webHidden/>
              </w:rPr>
            </w:r>
            <w:r>
              <w:rPr>
                <w:webHidden/>
              </w:rPr>
              <w:fldChar w:fldCharType="separate"/>
            </w:r>
            <w:r w:rsidR="00165B17">
              <w:rPr>
                <w:webHidden/>
              </w:rPr>
              <w:t>249</w:t>
            </w:r>
            <w:r>
              <w:rPr>
                <w:webHidden/>
              </w:rPr>
              <w:fldChar w:fldCharType="end"/>
            </w:r>
          </w:hyperlink>
        </w:p>
        <w:p w14:paraId="309597F6" w14:textId="26685527" w:rsidR="00CA1BA3" w:rsidRDefault="00CA1BA3">
          <w:pPr>
            <w:pStyle w:val="TOC2"/>
            <w:tabs>
              <w:tab w:val="left" w:pos="1080"/>
            </w:tabs>
            <w:rPr>
              <w:rFonts w:cstheme="minorBidi"/>
              <w:kern w:val="2"/>
              <w:sz w:val="22"/>
              <w:lang w:eastAsia="en-NZ"/>
              <w14:ligatures w14:val="standardContextual"/>
            </w:rPr>
          </w:pPr>
          <w:hyperlink w:anchor="_Toc137208940" w:history="1">
            <w:r w:rsidRPr="008B2257">
              <w:rPr>
                <w:rStyle w:val="Hyperlink"/>
              </w:rPr>
              <w:t>9.1</w:t>
            </w:r>
            <w:r>
              <w:rPr>
                <w:rFonts w:cstheme="minorBidi"/>
                <w:kern w:val="2"/>
                <w:sz w:val="22"/>
                <w:lang w:eastAsia="en-NZ"/>
                <w14:ligatures w14:val="standardContextual"/>
              </w:rPr>
              <w:tab/>
            </w:r>
            <w:r w:rsidRPr="008B2257">
              <w:rPr>
                <w:rStyle w:val="Hyperlink"/>
              </w:rPr>
              <w:t>Overview</w:t>
            </w:r>
            <w:r>
              <w:rPr>
                <w:webHidden/>
              </w:rPr>
              <w:tab/>
            </w:r>
            <w:r>
              <w:rPr>
                <w:webHidden/>
              </w:rPr>
              <w:fldChar w:fldCharType="begin"/>
            </w:r>
            <w:r>
              <w:rPr>
                <w:webHidden/>
              </w:rPr>
              <w:instrText xml:space="preserve"> PAGEREF _Toc137208940 \h </w:instrText>
            </w:r>
            <w:r>
              <w:rPr>
                <w:webHidden/>
              </w:rPr>
            </w:r>
            <w:r>
              <w:rPr>
                <w:webHidden/>
              </w:rPr>
              <w:fldChar w:fldCharType="separate"/>
            </w:r>
            <w:r w:rsidR="00165B17">
              <w:rPr>
                <w:webHidden/>
              </w:rPr>
              <w:t>250</w:t>
            </w:r>
            <w:r>
              <w:rPr>
                <w:webHidden/>
              </w:rPr>
              <w:fldChar w:fldCharType="end"/>
            </w:r>
          </w:hyperlink>
        </w:p>
        <w:p w14:paraId="75F38E02" w14:textId="50CFE6D2" w:rsidR="00CA1BA3" w:rsidRDefault="00CA1BA3">
          <w:pPr>
            <w:pStyle w:val="TOC2"/>
            <w:tabs>
              <w:tab w:val="left" w:pos="1080"/>
            </w:tabs>
            <w:rPr>
              <w:rFonts w:cstheme="minorBidi"/>
              <w:kern w:val="2"/>
              <w:sz w:val="22"/>
              <w:lang w:eastAsia="en-NZ"/>
              <w14:ligatures w14:val="standardContextual"/>
            </w:rPr>
          </w:pPr>
          <w:hyperlink w:anchor="_Toc137208941" w:history="1">
            <w:r w:rsidRPr="008B2257">
              <w:rPr>
                <w:rStyle w:val="Hyperlink"/>
              </w:rPr>
              <w:t>9.2</w:t>
            </w:r>
            <w:r>
              <w:rPr>
                <w:rFonts w:cstheme="minorBidi"/>
                <w:kern w:val="2"/>
                <w:sz w:val="22"/>
                <w:lang w:eastAsia="en-NZ"/>
                <w14:ligatures w14:val="standardContextual"/>
              </w:rPr>
              <w:tab/>
            </w:r>
            <w:r w:rsidRPr="008B2257">
              <w:rPr>
                <w:rStyle w:val="Hyperlink"/>
              </w:rPr>
              <w:t>Increase autonomy and responsiveness</w:t>
            </w:r>
            <w:r>
              <w:rPr>
                <w:webHidden/>
              </w:rPr>
              <w:tab/>
            </w:r>
            <w:r>
              <w:rPr>
                <w:webHidden/>
              </w:rPr>
              <w:fldChar w:fldCharType="begin"/>
            </w:r>
            <w:r>
              <w:rPr>
                <w:webHidden/>
              </w:rPr>
              <w:instrText xml:space="preserve"> PAGEREF _Toc137208941 \h </w:instrText>
            </w:r>
            <w:r>
              <w:rPr>
                <w:webHidden/>
              </w:rPr>
            </w:r>
            <w:r>
              <w:rPr>
                <w:webHidden/>
              </w:rPr>
              <w:fldChar w:fldCharType="separate"/>
            </w:r>
            <w:r w:rsidR="00165B17">
              <w:rPr>
                <w:webHidden/>
              </w:rPr>
              <w:t>250</w:t>
            </w:r>
            <w:r>
              <w:rPr>
                <w:webHidden/>
              </w:rPr>
              <w:fldChar w:fldCharType="end"/>
            </w:r>
          </w:hyperlink>
        </w:p>
        <w:p w14:paraId="1B9BD42C" w14:textId="195B3869" w:rsidR="00CA1BA3" w:rsidRDefault="00CA1BA3">
          <w:pPr>
            <w:pStyle w:val="TOC2"/>
            <w:tabs>
              <w:tab w:val="left" w:pos="1080"/>
            </w:tabs>
            <w:rPr>
              <w:rFonts w:cstheme="minorBidi"/>
              <w:kern w:val="2"/>
              <w:sz w:val="22"/>
              <w:lang w:eastAsia="en-NZ"/>
              <w14:ligatures w14:val="standardContextual"/>
            </w:rPr>
          </w:pPr>
          <w:hyperlink w:anchor="_Toc137208942" w:history="1">
            <w:r w:rsidRPr="008B2257">
              <w:rPr>
                <w:rStyle w:val="Hyperlink"/>
              </w:rPr>
              <w:t>9.3</w:t>
            </w:r>
            <w:r>
              <w:rPr>
                <w:rFonts w:cstheme="minorBidi"/>
                <w:kern w:val="2"/>
                <w:sz w:val="22"/>
                <w:lang w:eastAsia="en-NZ"/>
                <w14:ligatures w14:val="standardContextual"/>
              </w:rPr>
              <w:tab/>
            </w:r>
            <w:r w:rsidRPr="008B2257">
              <w:rPr>
                <w:rStyle w:val="Hyperlink"/>
              </w:rPr>
              <w:t>Increase investment in primary care</w:t>
            </w:r>
            <w:r>
              <w:rPr>
                <w:webHidden/>
              </w:rPr>
              <w:tab/>
            </w:r>
            <w:r>
              <w:rPr>
                <w:webHidden/>
              </w:rPr>
              <w:fldChar w:fldCharType="begin"/>
            </w:r>
            <w:r>
              <w:rPr>
                <w:webHidden/>
              </w:rPr>
              <w:instrText xml:space="preserve"> PAGEREF _Toc137208942 \h </w:instrText>
            </w:r>
            <w:r>
              <w:rPr>
                <w:webHidden/>
              </w:rPr>
            </w:r>
            <w:r>
              <w:rPr>
                <w:webHidden/>
              </w:rPr>
              <w:fldChar w:fldCharType="separate"/>
            </w:r>
            <w:r w:rsidR="00165B17">
              <w:rPr>
                <w:webHidden/>
              </w:rPr>
              <w:t>258</w:t>
            </w:r>
            <w:r>
              <w:rPr>
                <w:webHidden/>
              </w:rPr>
              <w:fldChar w:fldCharType="end"/>
            </w:r>
          </w:hyperlink>
        </w:p>
        <w:p w14:paraId="44274FC3" w14:textId="399BA5E3" w:rsidR="00CA1BA3" w:rsidRDefault="00CA1BA3">
          <w:pPr>
            <w:pStyle w:val="TOC2"/>
            <w:tabs>
              <w:tab w:val="left" w:pos="1080"/>
            </w:tabs>
            <w:rPr>
              <w:rFonts w:cstheme="minorBidi"/>
              <w:kern w:val="2"/>
              <w:sz w:val="22"/>
              <w:lang w:eastAsia="en-NZ"/>
              <w14:ligatures w14:val="standardContextual"/>
            </w:rPr>
          </w:pPr>
          <w:hyperlink w:anchor="_Toc137208943" w:history="1">
            <w:r w:rsidRPr="008B2257">
              <w:rPr>
                <w:rStyle w:val="Hyperlink"/>
              </w:rPr>
              <w:t>9.4</w:t>
            </w:r>
            <w:r>
              <w:rPr>
                <w:rFonts w:cstheme="minorBidi"/>
                <w:kern w:val="2"/>
                <w:sz w:val="22"/>
                <w:lang w:eastAsia="en-NZ"/>
                <w14:ligatures w14:val="standardContextual"/>
              </w:rPr>
              <w:tab/>
            </w:r>
            <w:r w:rsidRPr="008B2257">
              <w:rPr>
                <w:rStyle w:val="Hyperlink"/>
              </w:rPr>
              <w:t>Strengthen health system integration</w:t>
            </w:r>
            <w:r>
              <w:rPr>
                <w:webHidden/>
              </w:rPr>
              <w:tab/>
            </w:r>
            <w:r>
              <w:rPr>
                <w:webHidden/>
              </w:rPr>
              <w:fldChar w:fldCharType="begin"/>
            </w:r>
            <w:r>
              <w:rPr>
                <w:webHidden/>
              </w:rPr>
              <w:instrText xml:space="preserve"> PAGEREF _Toc137208943 \h </w:instrText>
            </w:r>
            <w:r>
              <w:rPr>
                <w:webHidden/>
              </w:rPr>
            </w:r>
            <w:r>
              <w:rPr>
                <w:webHidden/>
              </w:rPr>
              <w:fldChar w:fldCharType="separate"/>
            </w:r>
            <w:r w:rsidR="00165B17">
              <w:rPr>
                <w:webHidden/>
              </w:rPr>
              <w:t>261</w:t>
            </w:r>
            <w:r>
              <w:rPr>
                <w:webHidden/>
              </w:rPr>
              <w:fldChar w:fldCharType="end"/>
            </w:r>
          </w:hyperlink>
        </w:p>
        <w:p w14:paraId="332BB306" w14:textId="2D106C6B" w:rsidR="00CA1BA3" w:rsidRDefault="00CA1BA3">
          <w:pPr>
            <w:pStyle w:val="TOC2"/>
            <w:tabs>
              <w:tab w:val="left" w:pos="1080"/>
            </w:tabs>
            <w:rPr>
              <w:rFonts w:cstheme="minorBidi"/>
              <w:kern w:val="2"/>
              <w:sz w:val="22"/>
              <w:lang w:eastAsia="en-NZ"/>
              <w14:ligatures w14:val="standardContextual"/>
            </w:rPr>
          </w:pPr>
          <w:hyperlink w:anchor="_Toc137208944" w:history="1">
            <w:r w:rsidRPr="008B2257">
              <w:rPr>
                <w:rStyle w:val="Hyperlink"/>
              </w:rPr>
              <w:t>9.5</w:t>
            </w:r>
            <w:r>
              <w:rPr>
                <w:rFonts w:cstheme="minorBidi"/>
                <w:kern w:val="2"/>
                <w:sz w:val="22"/>
                <w:lang w:eastAsia="en-NZ"/>
                <w14:ligatures w14:val="standardContextual"/>
              </w:rPr>
              <w:tab/>
            </w:r>
            <w:r w:rsidRPr="008B2257">
              <w:rPr>
                <w:rStyle w:val="Hyperlink"/>
              </w:rPr>
              <w:t>Enhance the use of knowledge and information</w:t>
            </w:r>
            <w:r>
              <w:rPr>
                <w:webHidden/>
              </w:rPr>
              <w:tab/>
            </w:r>
            <w:r>
              <w:rPr>
                <w:webHidden/>
              </w:rPr>
              <w:fldChar w:fldCharType="begin"/>
            </w:r>
            <w:r>
              <w:rPr>
                <w:webHidden/>
              </w:rPr>
              <w:instrText xml:space="preserve"> PAGEREF _Toc137208944 \h </w:instrText>
            </w:r>
            <w:r>
              <w:rPr>
                <w:webHidden/>
              </w:rPr>
            </w:r>
            <w:r>
              <w:rPr>
                <w:webHidden/>
              </w:rPr>
              <w:fldChar w:fldCharType="separate"/>
            </w:r>
            <w:r w:rsidR="00165B17">
              <w:rPr>
                <w:webHidden/>
              </w:rPr>
              <w:t>267</w:t>
            </w:r>
            <w:r>
              <w:rPr>
                <w:webHidden/>
              </w:rPr>
              <w:fldChar w:fldCharType="end"/>
            </w:r>
          </w:hyperlink>
        </w:p>
        <w:p w14:paraId="2E7FB616" w14:textId="508E836C" w:rsidR="00CA1BA3" w:rsidRDefault="00CA1BA3">
          <w:pPr>
            <w:pStyle w:val="TOC1"/>
            <w:rPr>
              <w:rFonts w:cstheme="minorBidi"/>
              <w:b w:val="0"/>
              <w:caps w:val="0"/>
              <w:kern w:val="2"/>
              <w:sz w:val="22"/>
              <w:lang w:eastAsia="en-NZ"/>
              <w14:ligatures w14:val="standardContextual"/>
            </w:rPr>
          </w:pPr>
          <w:hyperlink r:id="rId31" w:anchor="_Toc137208945" w:history="1">
            <w:r w:rsidRPr="008B2257">
              <w:rPr>
                <w:rStyle w:val="Hyperlink"/>
              </w:rPr>
              <w:t>Part D: Looking ahead</w:t>
            </w:r>
            <w:r>
              <w:rPr>
                <w:webHidden/>
              </w:rPr>
              <w:tab/>
            </w:r>
            <w:r>
              <w:rPr>
                <w:webHidden/>
              </w:rPr>
              <w:fldChar w:fldCharType="begin"/>
            </w:r>
            <w:r>
              <w:rPr>
                <w:webHidden/>
              </w:rPr>
              <w:instrText xml:space="preserve"> PAGEREF _Toc137208945 \h </w:instrText>
            </w:r>
            <w:r>
              <w:rPr>
                <w:webHidden/>
              </w:rPr>
            </w:r>
            <w:r>
              <w:rPr>
                <w:webHidden/>
              </w:rPr>
              <w:fldChar w:fldCharType="separate"/>
            </w:r>
            <w:r w:rsidR="00165B17">
              <w:rPr>
                <w:webHidden/>
              </w:rPr>
              <w:t>270</w:t>
            </w:r>
            <w:r>
              <w:rPr>
                <w:webHidden/>
              </w:rPr>
              <w:fldChar w:fldCharType="end"/>
            </w:r>
          </w:hyperlink>
        </w:p>
        <w:p w14:paraId="747939B7" w14:textId="78FADA26" w:rsidR="00CA1BA3" w:rsidRDefault="00CA1BA3">
          <w:pPr>
            <w:pStyle w:val="TOC1"/>
            <w:rPr>
              <w:rFonts w:cstheme="minorBidi"/>
              <w:b w:val="0"/>
              <w:caps w:val="0"/>
              <w:kern w:val="2"/>
              <w:sz w:val="22"/>
              <w:lang w:eastAsia="en-NZ"/>
              <w14:ligatures w14:val="standardContextual"/>
            </w:rPr>
          </w:pPr>
          <w:hyperlink w:anchor="_Toc137208946" w:history="1">
            <w:r w:rsidRPr="008B2257">
              <w:rPr>
                <w:rStyle w:val="Hyperlink"/>
              </w:rPr>
              <w:t>Overview of Part D</w:t>
            </w:r>
            <w:r>
              <w:rPr>
                <w:webHidden/>
              </w:rPr>
              <w:tab/>
            </w:r>
            <w:r>
              <w:rPr>
                <w:webHidden/>
              </w:rPr>
              <w:fldChar w:fldCharType="begin"/>
            </w:r>
            <w:r>
              <w:rPr>
                <w:webHidden/>
              </w:rPr>
              <w:instrText xml:space="preserve"> PAGEREF _Toc137208946 \h </w:instrText>
            </w:r>
            <w:r>
              <w:rPr>
                <w:webHidden/>
              </w:rPr>
            </w:r>
            <w:r>
              <w:rPr>
                <w:webHidden/>
              </w:rPr>
              <w:fldChar w:fldCharType="separate"/>
            </w:r>
            <w:r w:rsidR="00165B17">
              <w:rPr>
                <w:webHidden/>
              </w:rPr>
              <w:t>271</w:t>
            </w:r>
            <w:r>
              <w:rPr>
                <w:webHidden/>
              </w:rPr>
              <w:fldChar w:fldCharType="end"/>
            </w:r>
          </w:hyperlink>
        </w:p>
        <w:p w14:paraId="69A80582" w14:textId="0967FDBA" w:rsidR="00CA1BA3" w:rsidRDefault="00CA1BA3">
          <w:pPr>
            <w:pStyle w:val="TOC1"/>
            <w:rPr>
              <w:rFonts w:cstheme="minorBidi"/>
              <w:b w:val="0"/>
              <w:caps w:val="0"/>
              <w:kern w:val="2"/>
              <w:sz w:val="22"/>
              <w:lang w:eastAsia="en-NZ"/>
              <w14:ligatures w14:val="standardContextual"/>
            </w:rPr>
          </w:pPr>
          <w:hyperlink w:anchor="_Toc137208947" w:history="1">
            <w:r w:rsidRPr="008B2257">
              <w:rPr>
                <w:rStyle w:val="Hyperlink"/>
              </w:rPr>
              <w:t>10</w:t>
            </w:r>
            <w:r>
              <w:rPr>
                <w:rFonts w:cstheme="minorBidi"/>
                <w:b w:val="0"/>
                <w:caps w:val="0"/>
                <w:kern w:val="2"/>
                <w:sz w:val="22"/>
                <w:lang w:eastAsia="en-NZ"/>
                <w14:ligatures w14:val="standardContextual"/>
              </w:rPr>
              <w:tab/>
            </w:r>
            <w:r w:rsidRPr="008B2257">
              <w:rPr>
                <w:rStyle w:val="Hyperlink"/>
              </w:rPr>
              <w:t>Evaluative Assessment</w:t>
            </w:r>
            <w:r>
              <w:rPr>
                <w:webHidden/>
              </w:rPr>
              <w:tab/>
            </w:r>
            <w:r>
              <w:rPr>
                <w:webHidden/>
              </w:rPr>
              <w:fldChar w:fldCharType="begin"/>
            </w:r>
            <w:r>
              <w:rPr>
                <w:webHidden/>
              </w:rPr>
              <w:instrText xml:space="preserve"> PAGEREF _Toc137208947 \h </w:instrText>
            </w:r>
            <w:r>
              <w:rPr>
                <w:webHidden/>
              </w:rPr>
            </w:r>
            <w:r>
              <w:rPr>
                <w:webHidden/>
              </w:rPr>
              <w:fldChar w:fldCharType="separate"/>
            </w:r>
            <w:r w:rsidR="00165B17">
              <w:rPr>
                <w:webHidden/>
              </w:rPr>
              <w:t>272</w:t>
            </w:r>
            <w:r>
              <w:rPr>
                <w:webHidden/>
              </w:rPr>
              <w:fldChar w:fldCharType="end"/>
            </w:r>
          </w:hyperlink>
        </w:p>
        <w:p w14:paraId="6DE838F2" w14:textId="69E74BB6" w:rsidR="00CA1BA3" w:rsidRDefault="00CA1BA3">
          <w:pPr>
            <w:pStyle w:val="TOC2"/>
            <w:tabs>
              <w:tab w:val="left" w:pos="1797"/>
            </w:tabs>
            <w:rPr>
              <w:rFonts w:cstheme="minorBidi"/>
              <w:kern w:val="2"/>
              <w:sz w:val="22"/>
              <w:lang w:eastAsia="en-NZ"/>
              <w14:ligatures w14:val="standardContextual"/>
            </w:rPr>
          </w:pPr>
          <w:hyperlink w:anchor="_Toc137208948" w:history="1">
            <w:r w:rsidRPr="008B2257">
              <w:rPr>
                <w:rStyle w:val="Hyperlink"/>
              </w:rPr>
              <w:t>10.1</w:t>
            </w:r>
            <w:r>
              <w:rPr>
                <w:rFonts w:cstheme="minorBidi"/>
                <w:kern w:val="2"/>
                <w:sz w:val="22"/>
                <w:lang w:eastAsia="en-NZ"/>
                <w14:ligatures w14:val="standardContextual"/>
              </w:rPr>
              <w:tab/>
            </w:r>
            <w:r w:rsidRPr="008B2257">
              <w:rPr>
                <w:rStyle w:val="Hyperlink"/>
              </w:rPr>
              <w:t>The IAHP and its evaluation</w:t>
            </w:r>
            <w:r>
              <w:rPr>
                <w:webHidden/>
              </w:rPr>
              <w:tab/>
            </w:r>
            <w:r>
              <w:rPr>
                <w:webHidden/>
              </w:rPr>
              <w:fldChar w:fldCharType="begin"/>
            </w:r>
            <w:r>
              <w:rPr>
                <w:webHidden/>
              </w:rPr>
              <w:instrText xml:space="preserve"> PAGEREF _Toc137208948 \h </w:instrText>
            </w:r>
            <w:r>
              <w:rPr>
                <w:webHidden/>
              </w:rPr>
            </w:r>
            <w:r>
              <w:rPr>
                <w:webHidden/>
              </w:rPr>
              <w:fldChar w:fldCharType="separate"/>
            </w:r>
            <w:r w:rsidR="00165B17">
              <w:rPr>
                <w:webHidden/>
              </w:rPr>
              <w:t>272</w:t>
            </w:r>
            <w:r>
              <w:rPr>
                <w:webHidden/>
              </w:rPr>
              <w:fldChar w:fldCharType="end"/>
            </w:r>
          </w:hyperlink>
        </w:p>
        <w:p w14:paraId="00DD8B43" w14:textId="4D90D512" w:rsidR="00CA1BA3" w:rsidRDefault="00CA1BA3">
          <w:pPr>
            <w:pStyle w:val="TOC2"/>
            <w:tabs>
              <w:tab w:val="left" w:pos="1797"/>
            </w:tabs>
            <w:rPr>
              <w:rFonts w:cstheme="minorBidi"/>
              <w:kern w:val="2"/>
              <w:sz w:val="22"/>
              <w:lang w:eastAsia="en-NZ"/>
              <w14:ligatures w14:val="standardContextual"/>
            </w:rPr>
          </w:pPr>
          <w:hyperlink w:anchor="_Toc137208949" w:history="1">
            <w:r w:rsidRPr="008B2257">
              <w:rPr>
                <w:rStyle w:val="Hyperlink"/>
              </w:rPr>
              <w:t>10.2</w:t>
            </w:r>
            <w:r>
              <w:rPr>
                <w:rFonts w:cstheme="minorBidi"/>
                <w:kern w:val="2"/>
                <w:sz w:val="22"/>
                <w:lang w:eastAsia="en-NZ"/>
                <w14:ligatures w14:val="standardContextual"/>
              </w:rPr>
              <w:tab/>
            </w:r>
            <w:r w:rsidRPr="008B2257">
              <w:rPr>
                <w:rStyle w:val="Hyperlink"/>
              </w:rPr>
              <w:t>Explicit answers to the evaluation questions</w:t>
            </w:r>
            <w:r>
              <w:rPr>
                <w:webHidden/>
              </w:rPr>
              <w:tab/>
            </w:r>
            <w:r>
              <w:rPr>
                <w:webHidden/>
              </w:rPr>
              <w:fldChar w:fldCharType="begin"/>
            </w:r>
            <w:r>
              <w:rPr>
                <w:webHidden/>
              </w:rPr>
              <w:instrText xml:space="preserve"> PAGEREF _Toc137208949 \h </w:instrText>
            </w:r>
            <w:r>
              <w:rPr>
                <w:webHidden/>
              </w:rPr>
            </w:r>
            <w:r>
              <w:rPr>
                <w:webHidden/>
              </w:rPr>
              <w:fldChar w:fldCharType="separate"/>
            </w:r>
            <w:r w:rsidR="00165B17">
              <w:rPr>
                <w:webHidden/>
              </w:rPr>
              <w:t>273</w:t>
            </w:r>
            <w:r>
              <w:rPr>
                <w:webHidden/>
              </w:rPr>
              <w:fldChar w:fldCharType="end"/>
            </w:r>
          </w:hyperlink>
        </w:p>
        <w:p w14:paraId="4E3439D1" w14:textId="7BE38688" w:rsidR="00CA1BA3" w:rsidRDefault="00CA1BA3">
          <w:pPr>
            <w:pStyle w:val="TOC1"/>
            <w:rPr>
              <w:rFonts w:cstheme="minorBidi"/>
              <w:b w:val="0"/>
              <w:caps w:val="0"/>
              <w:kern w:val="2"/>
              <w:sz w:val="22"/>
              <w:lang w:eastAsia="en-NZ"/>
              <w14:ligatures w14:val="standardContextual"/>
            </w:rPr>
          </w:pPr>
          <w:hyperlink w:anchor="_Toc137208950" w:history="1">
            <w:r w:rsidRPr="008B2257">
              <w:rPr>
                <w:rStyle w:val="Hyperlink"/>
              </w:rPr>
              <w:t>11</w:t>
            </w:r>
            <w:r>
              <w:rPr>
                <w:rFonts w:cstheme="minorBidi"/>
                <w:b w:val="0"/>
                <w:caps w:val="0"/>
                <w:kern w:val="2"/>
                <w:sz w:val="22"/>
                <w:lang w:eastAsia="en-NZ"/>
                <w14:ligatures w14:val="standardContextual"/>
              </w:rPr>
              <w:tab/>
            </w:r>
            <w:r w:rsidRPr="008B2257">
              <w:rPr>
                <w:rStyle w:val="Hyperlink"/>
              </w:rPr>
              <w:t>Implications of the evaluation findings</w:t>
            </w:r>
            <w:r>
              <w:rPr>
                <w:webHidden/>
              </w:rPr>
              <w:tab/>
            </w:r>
            <w:r>
              <w:rPr>
                <w:webHidden/>
              </w:rPr>
              <w:fldChar w:fldCharType="begin"/>
            </w:r>
            <w:r>
              <w:rPr>
                <w:webHidden/>
              </w:rPr>
              <w:instrText xml:space="preserve"> PAGEREF _Toc137208950 \h </w:instrText>
            </w:r>
            <w:r>
              <w:rPr>
                <w:webHidden/>
              </w:rPr>
            </w:r>
            <w:r>
              <w:rPr>
                <w:webHidden/>
              </w:rPr>
              <w:fldChar w:fldCharType="separate"/>
            </w:r>
            <w:r w:rsidR="00165B17">
              <w:rPr>
                <w:webHidden/>
              </w:rPr>
              <w:t>282</w:t>
            </w:r>
            <w:r>
              <w:rPr>
                <w:webHidden/>
              </w:rPr>
              <w:fldChar w:fldCharType="end"/>
            </w:r>
          </w:hyperlink>
        </w:p>
        <w:p w14:paraId="449AF4C6" w14:textId="211D8960" w:rsidR="00CA1BA3" w:rsidRDefault="00CA1BA3">
          <w:pPr>
            <w:pStyle w:val="TOC2"/>
            <w:tabs>
              <w:tab w:val="left" w:pos="1797"/>
            </w:tabs>
            <w:rPr>
              <w:rFonts w:cstheme="minorBidi"/>
              <w:kern w:val="2"/>
              <w:sz w:val="22"/>
              <w:lang w:eastAsia="en-NZ"/>
              <w14:ligatures w14:val="standardContextual"/>
            </w:rPr>
          </w:pPr>
          <w:hyperlink w:anchor="_Toc137208951" w:history="1">
            <w:r w:rsidRPr="008B2257">
              <w:rPr>
                <w:rStyle w:val="Hyperlink"/>
              </w:rPr>
              <w:t>11.1</w:t>
            </w:r>
            <w:r>
              <w:rPr>
                <w:rFonts w:cstheme="minorBidi"/>
                <w:kern w:val="2"/>
                <w:sz w:val="22"/>
                <w:lang w:eastAsia="en-NZ"/>
                <w14:ligatures w14:val="standardContextual"/>
              </w:rPr>
              <w:tab/>
            </w:r>
            <w:r w:rsidRPr="008B2257">
              <w:rPr>
                <w:rStyle w:val="Hyperlink"/>
              </w:rPr>
              <w:t>Embedding self-determination and genuine partnerships</w:t>
            </w:r>
            <w:r>
              <w:rPr>
                <w:webHidden/>
              </w:rPr>
              <w:tab/>
            </w:r>
            <w:r>
              <w:rPr>
                <w:webHidden/>
              </w:rPr>
              <w:fldChar w:fldCharType="begin"/>
            </w:r>
            <w:r>
              <w:rPr>
                <w:webHidden/>
              </w:rPr>
              <w:instrText xml:space="preserve"> PAGEREF _Toc137208951 \h </w:instrText>
            </w:r>
            <w:r>
              <w:rPr>
                <w:webHidden/>
              </w:rPr>
            </w:r>
            <w:r>
              <w:rPr>
                <w:webHidden/>
              </w:rPr>
              <w:fldChar w:fldCharType="separate"/>
            </w:r>
            <w:r w:rsidR="00165B17">
              <w:rPr>
                <w:webHidden/>
              </w:rPr>
              <w:t>283</w:t>
            </w:r>
            <w:r>
              <w:rPr>
                <w:webHidden/>
              </w:rPr>
              <w:fldChar w:fldCharType="end"/>
            </w:r>
          </w:hyperlink>
        </w:p>
        <w:p w14:paraId="07AD19D0" w14:textId="7EBBBB2A" w:rsidR="00CA1BA3" w:rsidRDefault="00CA1BA3">
          <w:pPr>
            <w:pStyle w:val="TOC2"/>
            <w:tabs>
              <w:tab w:val="left" w:pos="1797"/>
            </w:tabs>
            <w:rPr>
              <w:rFonts w:cstheme="minorBidi"/>
              <w:kern w:val="2"/>
              <w:sz w:val="22"/>
              <w:lang w:eastAsia="en-NZ"/>
              <w14:ligatures w14:val="standardContextual"/>
            </w:rPr>
          </w:pPr>
          <w:hyperlink w:anchor="_Toc137208952" w:history="1">
            <w:r w:rsidRPr="008B2257">
              <w:rPr>
                <w:rStyle w:val="Hyperlink"/>
              </w:rPr>
              <w:t>11.2</w:t>
            </w:r>
            <w:r>
              <w:rPr>
                <w:rFonts w:cstheme="minorBidi"/>
                <w:kern w:val="2"/>
                <w:sz w:val="22"/>
                <w:lang w:eastAsia="en-NZ"/>
                <w14:ligatures w14:val="standardContextual"/>
              </w:rPr>
              <w:tab/>
            </w:r>
            <w:r w:rsidRPr="008B2257">
              <w:rPr>
                <w:rStyle w:val="Hyperlink"/>
              </w:rPr>
              <w:t>A strategic focus for the IAHP</w:t>
            </w:r>
            <w:r>
              <w:rPr>
                <w:webHidden/>
              </w:rPr>
              <w:tab/>
            </w:r>
            <w:r>
              <w:rPr>
                <w:webHidden/>
              </w:rPr>
              <w:fldChar w:fldCharType="begin"/>
            </w:r>
            <w:r>
              <w:rPr>
                <w:webHidden/>
              </w:rPr>
              <w:instrText xml:space="preserve"> PAGEREF _Toc137208952 \h </w:instrText>
            </w:r>
            <w:r>
              <w:rPr>
                <w:webHidden/>
              </w:rPr>
            </w:r>
            <w:r>
              <w:rPr>
                <w:webHidden/>
              </w:rPr>
              <w:fldChar w:fldCharType="separate"/>
            </w:r>
            <w:r w:rsidR="00165B17">
              <w:rPr>
                <w:webHidden/>
              </w:rPr>
              <w:t>284</w:t>
            </w:r>
            <w:r>
              <w:rPr>
                <w:webHidden/>
              </w:rPr>
              <w:fldChar w:fldCharType="end"/>
            </w:r>
          </w:hyperlink>
        </w:p>
        <w:p w14:paraId="16C3F7CA" w14:textId="6EA627F4" w:rsidR="00CA1BA3" w:rsidRDefault="00CA1BA3">
          <w:pPr>
            <w:pStyle w:val="TOC2"/>
            <w:tabs>
              <w:tab w:val="left" w:pos="1797"/>
            </w:tabs>
            <w:rPr>
              <w:rFonts w:cstheme="minorBidi"/>
              <w:kern w:val="2"/>
              <w:sz w:val="22"/>
              <w:lang w:eastAsia="en-NZ"/>
              <w14:ligatures w14:val="standardContextual"/>
            </w:rPr>
          </w:pPr>
          <w:hyperlink w:anchor="_Toc137208953" w:history="1">
            <w:r w:rsidRPr="008B2257">
              <w:rPr>
                <w:rStyle w:val="Hyperlink"/>
              </w:rPr>
              <w:t>11.3</w:t>
            </w:r>
            <w:r>
              <w:rPr>
                <w:rFonts w:cstheme="minorBidi"/>
                <w:kern w:val="2"/>
                <w:sz w:val="22"/>
                <w:lang w:eastAsia="en-NZ"/>
                <w14:ligatures w14:val="standardContextual"/>
              </w:rPr>
              <w:tab/>
            </w:r>
            <w:r w:rsidRPr="008B2257">
              <w:rPr>
                <w:rStyle w:val="Hyperlink"/>
              </w:rPr>
              <w:t>Resourcing that matches ambition</w:t>
            </w:r>
            <w:r>
              <w:rPr>
                <w:webHidden/>
              </w:rPr>
              <w:tab/>
            </w:r>
            <w:r>
              <w:rPr>
                <w:webHidden/>
              </w:rPr>
              <w:fldChar w:fldCharType="begin"/>
            </w:r>
            <w:r>
              <w:rPr>
                <w:webHidden/>
              </w:rPr>
              <w:instrText xml:space="preserve"> PAGEREF _Toc137208953 \h </w:instrText>
            </w:r>
            <w:r>
              <w:rPr>
                <w:webHidden/>
              </w:rPr>
            </w:r>
            <w:r>
              <w:rPr>
                <w:webHidden/>
              </w:rPr>
              <w:fldChar w:fldCharType="separate"/>
            </w:r>
            <w:r w:rsidR="00165B17">
              <w:rPr>
                <w:webHidden/>
              </w:rPr>
              <w:t>286</w:t>
            </w:r>
            <w:r>
              <w:rPr>
                <w:webHidden/>
              </w:rPr>
              <w:fldChar w:fldCharType="end"/>
            </w:r>
          </w:hyperlink>
        </w:p>
        <w:p w14:paraId="7705AED6" w14:textId="788F7B97" w:rsidR="00CA1BA3" w:rsidRDefault="00CA1BA3">
          <w:pPr>
            <w:pStyle w:val="TOC2"/>
            <w:tabs>
              <w:tab w:val="left" w:pos="1797"/>
            </w:tabs>
            <w:rPr>
              <w:rFonts w:cstheme="minorBidi"/>
              <w:kern w:val="2"/>
              <w:sz w:val="22"/>
              <w:lang w:eastAsia="en-NZ"/>
              <w14:ligatures w14:val="standardContextual"/>
            </w:rPr>
          </w:pPr>
          <w:hyperlink w:anchor="_Toc137208954" w:history="1">
            <w:r w:rsidRPr="008B2257">
              <w:rPr>
                <w:rStyle w:val="Hyperlink"/>
              </w:rPr>
              <w:t>11.4</w:t>
            </w:r>
            <w:r>
              <w:rPr>
                <w:rFonts w:cstheme="minorBidi"/>
                <w:kern w:val="2"/>
                <w:sz w:val="22"/>
                <w:lang w:eastAsia="en-NZ"/>
                <w14:ligatures w14:val="standardContextual"/>
              </w:rPr>
              <w:tab/>
            </w:r>
            <w:r w:rsidRPr="008B2257">
              <w:rPr>
                <w:rStyle w:val="Hyperlink"/>
              </w:rPr>
              <w:t>Delivery of mainstream services</w:t>
            </w:r>
            <w:r>
              <w:rPr>
                <w:webHidden/>
              </w:rPr>
              <w:tab/>
            </w:r>
            <w:r>
              <w:rPr>
                <w:webHidden/>
              </w:rPr>
              <w:fldChar w:fldCharType="begin"/>
            </w:r>
            <w:r>
              <w:rPr>
                <w:webHidden/>
              </w:rPr>
              <w:instrText xml:space="preserve"> PAGEREF _Toc137208954 \h </w:instrText>
            </w:r>
            <w:r>
              <w:rPr>
                <w:webHidden/>
              </w:rPr>
            </w:r>
            <w:r>
              <w:rPr>
                <w:webHidden/>
              </w:rPr>
              <w:fldChar w:fldCharType="separate"/>
            </w:r>
            <w:r w:rsidR="00165B17">
              <w:rPr>
                <w:webHidden/>
              </w:rPr>
              <w:t>288</w:t>
            </w:r>
            <w:r>
              <w:rPr>
                <w:webHidden/>
              </w:rPr>
              <w:fldChar w:fldCharType="end"/>
            </w:r>
          </w:hyperlink>
        </w:p>
        <w:p w14:paraId="30113943" w14:textId="1C40627E" w:rsidR="00CA1BA3" w:rsidRDefault="00CA1BA3">
          <w:pPr>
            <w:pStyle w:val="TOC2"/>
            <w:tabs>
              <w:tab w:val="left" w:pos="1797"/>
            </w:tabs>
            <w:rPr>
              <w:rFonts w:cstheme="minorBidi"/>
              <w:kern w:val="2"/>
              <w:sz w:val="22"/>
              <w:lang w:eastAsia="en-NZ"/>
              <w14:ligatures w14:val="standardContextual"/>
            </w:rPr>
          </w:pPr>
          <w:hyperlink w:anchor="_Toc137208955" w:history="1">
            <w:r w:rsidRPr="008B2257">
              <w:rPr>
                <w:rStyle w:val="Hyperlink"/>
              </w:rPr>
              <w:t>11.5</w:t>
            </w:r>
            <w:r>
              <w:rPr>
                <w:rFonts w:cstheme="minorBidi"/>
                <w:kern w:val="2"/>
                <w:sz w:val="22"/>
                <w:lang w:eastAsia="en-NZ"/>
                <w14:ligatures w14:val="standardContextual"/>
              </w:rPr>
              <w:tab/>
            </w:r>
            <w:r w:rsidRPr="008B2257">
              <w:rPr>
                <w:rStyle w:val="Hyperlink"/>
              </w:rPr>
              <w:t>Putting the values and experiences of people at the centre of program design and delivery</w:t>
            </w:r>
            <w:r>
              <w:rPr>
                <w:webHidden/>
              </w:rPr>
              <w:tab/>
            </w:r>
            <w:r>
              <w:rPr>
                <w:webHidden/>
              </w:rPr>
              <w:fldChar w:fldCharType="begin"/>
            </w:r>
            <w:r>
              <w:rPr>
                <w:webHidden/>
              </w:rPr>
              <w:instrText xml:space="preserve"> PAGEREF _Toc137208955 \h </w:instrText>
            </w:r>
            <w:r>
              <w:rPr>
                <w:webHidden/>
              </w:rPr>
            </w:r>
            <w:r>
              <w:rPr>
                <w:webHidden/>
              </w:rPr>
              <w:fldChar w:fldCharType="separate"/>
            </w:r>
            <w:r w:rsidR="00165B17">
              <w:rPr>
                <w:webHidden/>
              </w:rPr>
              <w:t>290</w:t>
            </w:r>
            <w:r>
              <w:rPr>
                <w:webHidden/>
              </w:rPr>
              <w:fldChar w:fldCharType="end"/>
            </w:r>
          </w:hyperlink>
        </w:p>
        <w:p w14:paraId="1FCE7A03" w14:textId="7BFBCBC1" w:rsidR="00CA1BA3" w:rsidRDefault="00CA1BA3">
          <w:pPr>
            <w:pStyle w:val="TOC2"/>
            <w:tabs>
              <w:tab w:val="left" w:pos="1797"/>
            </w:tabs>
          </w:pPr>
          <w:hyperlink w:anchor="_Toc137208956" w:history="1">
            <w:r w:rsidRPr="008B2257">
              <w:rPr>
                <w:rStyle w:val="Hyperlink"/>
              </w:rPr>
              <w:t>11.6</w:t>
            </w:r>
            <w:r>
              <w:rPr>
                <w:rFonts w:cstheme="minorBidi"/>
                <w:kern w:val="2"/>
                <w:sz w:val="22"/>
                <w:lang w:eastAsia="en-NZ"/>
                <w14:ligatures w14:val="standardContextual"/>
              </w:rPr>
              <w:tab/>
            </w:r>
            <w:r w:rsidRPr="008B2257">
              <w:rPr>
                <w:rStyle w:val="Hyperlink"/>
              </w:rPr>
              <w:t>Using data and information to inform care</w:t>
            </w:r>
            <w:r>
              <w:rPr>
                <w:webHidden/>
              </w:rPr>
              <w:tab/>
            </w:r>
            <w:r>
              <w:rPr>
                <w:webHidden/>
              </w:rPr>
              <w:fldChar w:fldCharType="begin"/>
            </w:r>
            <w:r>
              <w:rPr>
                <w:webHidden/>
              </w:rPr>
              <w:instrText xml:space="preserve"> PAGEREF _Toc137208956 \h </w:instrText>
            </w:r>
            <w:r>
              <w:rPr>
                <w:webHidden/>
              </w:rPr>
            </w:r>
            <w:r>
              <w:rPr>
                <w:webHidden/>
              </w:rPr>
              <w:fldChar w:fldCharType="separate"/>
            </w:r>
            <w:r w:rsidR="00165B17">
              <w:rPr>
                <w:webHidden/>
              </w:rPr>
              <w:t>291</w:t>
            </w:r>
            <w:r>
              <w:rPr>
                <w:webHidden/>
              </w:rPr>
              <w:fldChar w:fldCharType="end"/>
            </w:r>
          </w:hyperlink>
        </w:p>
        <w:p w14:paraId="7E927510" w14:textId="77777777" w:rsidR="00D80602" w:rsidRDefault="00D80602">
          <w:pPr>
            <w:pStyle w:val="TOC2"/>
            <w:tabs>
              <w:tab w:val="left" w:pos="1797"/>
            </w:tabs>
          </w:pPr>
        </w:p>
        <w:p w14:paraId="0398C81B" w14:textId="77777777" w:rsidR="00D80602" w:rsidRDefault="00D80602">
          <w:pPr>
            <w:pStyle w:val="TOC2"/>
            <w:tabs>
              <w:tab w:val="left" w:pos="1797"/>
            </w:tabs>
          </w:pPr>
        </w:p>
        <w:p w14:paraId="42AE527E" w14:textId="77777777" w:rsidR="00D80602" w:rsidRDefault="00D80602">
          <w:pPr>
            <w:pStyle w:val="TOC2"/>
            <w:tabs>
              <w:tab w:val="left" w:pos="1797"/>
            </w:tabs>
            <w:rPr>
              <w:rFonts w:cstheme="minorBidi"/>
              <w:kern w:val="2"/>
              <w:sz w:val="22"/>
              <w:lang w:eastAsia="en-NZ"/>
              <w14:ligatures w14:val="standardContextual"/>
            </w:rPr>
          </w:pPr>
        </w:p>
        <w:p w14:paraId="4F2B812F" w14:textId="62693124" w:rsidR="00CA1BA3" w:rsidRDefault="00CA1BA3">
          <w:pPr>
            <w:pStyle w:val="TOC1"/>
            <w:rPr>
              <w:rFonts w:cstheme="minorBidi"/>
              <w:b w:val="0"/>
              <w:caps w:val="0"/>
              <w:kern w:val="2"/>
              <w:sz w:val="22"/>
              <w:lang w:eastAsia="en-NZ"/>
              <w14:ligatures w14:val="standardContextual"/>
            </w:rPr>
          </w:pPr>
          <w:hyperlink w:anchor="_Toc137208957" w:history="1">
            <w:r w:rsidRPr="008B2257">
              <w:rPr>
                <w:rStyle w:val="Hyperlink"/>
              </w:rPr>
              <w:t>12</w:t>
            </w:r>
            <w:r>
              <w:rPr>
                <w:rFonts w:cstheme="minorBidi"/>
                <w:b w:val="0"/>
                <w:caps w:val="0"/>
                <w:kern w:val="2"/>
                <w:sz w:val="22"/>
                <w:lang w:eastAsia="en-NZ"/>
                <w14:ligatures w14:val="standardContextual"/>
              </w:rPr>
              <w:tab/>
            </w:r>
            <w:r w:rsidRPr="008B2257">
              <w:rPr>
                <w:rStyle w:val="Hyperlink"/>
              </w:rPr>
              <w:t>Recommendations</w:t>
            </w:r>
            <w:r>
              <w:rPr>
                <w:webHidden/>
              </w:rPr>
              <w:tab/>
            </w:r>
            <w:r>
              <w:rPr>
                <w:webHidden/>
              </w:rPr>
              <w:fldChar w:fldCharType="begin"/>
            </w:r>
            <w:r>
              <w:rPr>
                <w:webHidden/>
              </w:rPr>
              <w:instrText xml:space="preserve"> PAGEREF _Toc137208957 \h </w:instrText>
            </w:r>
            <w:r>
              <w:rPr>
                <w:webHidden/>
              </w:rPr>
            </w:r>
            <w:r>
              <w:rPr>
                <w:webHidden/>
              </w:rPr>
              <w:fldChar w:fldCharType="separate"/>
            </w:r>
            <w:r w:rsidR="00165B17">
              <w:rPr>
                <w:webHidden/>
              </w:rPr>
              <w:t>293</w:t>
            </w:r>
            <w:r>
              <w:rPr>
                <w:webHidden/>
              </w:rPr>
              <w:fldChar w:fldCharType="end"/>
            </w:r>
          </w:hyperlink>
        </w:p>
        <w:p w14:paraId="5307B579" w14:textId="241F18A8" w:rsidR="00CA1BA3" w:rsidRDefault="00CA1BA3">
          <w:pPr>
            <w:pStyle w:val="TOC2"/>
            <w:tabs>
              <w:tab w:val="left" w:pos="1797"/>
            </w:tabs>
            <w:rPr>
              <w:rFonts w:cstheme="minorBidi"/>
              <w:kern w:val="2"/>
              <w:sz w:val="22"/>
              <w:lang w:eastAsia="en-NZ"/>
              <w14:ligatures w14:val="standardContextual"/>
            </w:rPr>
          </w:pPr>
          <w:hyperlink w:anchor="_Toc137208958" w:history="1">
            <w:r w:rsidRPr="008B2257">
              <w:rPr>
                <w:rStyle w:val="Hyperlink"/>
              </w:rPr>
              <w:t>12.1</w:t>
            </w:r>
            <w:r>
              <w:rPr>
                <w:rFonts w:cstheme="minorBidi"/>
                <w:kern w:val="2"/>
                <w:sz w:val="22"/>
                <w:lang w:eastAsia="en-NZ"/>
                <w14:ligatures w14:val="standardContextual"/>
              </w:rPr>
              <w:tab/>
            </w:r>
            <w:r w:rsidRPr="008B2257">
              <w:rPr>
                <w:rStyle w:val="Hyperlink"/>
              </w:rPr>
              <w:t>Introduction</w:t>
            </w:r>
            <w:r>
              <w:rPr>
                <w:webHidden/>
              </w:rPr>
              <w:tab/>
            </w:r>
            <w:r>
              <w:rPr>
                <w:webHidden/>
              </w:rPr>
              <w:fldChar w:fldCharType="begin"/>
            </w:r>
            <w:r>
              <w:rPr>
                <w:webHidden/>
              </w:rPr>
              <w:instrText xml:space="preserve"> PAGEREF _Toc137208958 \h </w:instrText>
            </w:r>
            <w:r>
              <w:rPr>
                <w:webHidden/>
              </w:rPr>
            </w:r>
            <w:r>
              <w:rPr>
                <w:webHidden/>
              </w:rPr>
              <w:fldChar w:fldCharType="separate"/>
            </w:r>
            <w:r w:rsidR="00165B17">
              <w:rPr>
                <w:webHidden/>
              </w:rPr>
              <w:t>294</w:t>
            </w:r>
            <w:r>
              <w:rPr>
                <w:webHidden/>
              </w:rPr>
              <w:fldChar w:fldCharType="end"/>
            </w:r>
          </w:hyperlink>
        </w:p>
        <w:p w14:paraId="69C9D525" w14:textId="51753730" w:rsidR="00CA1BA3" w:rsidRDefault="00CA1BA3">
          <w:pPr>
            <w:pStyle w:val="TOC2"/>
            <w:tabs>
              <w:tab w:val="left" w:pos="1797"/>
            </w:tabs>
            <w:rPr>
              <w:rFonts w:cstheme="minorBidi"/>
              <w:kern w:val="2"/>
              <w:sz w:val="22"/>
              <w:lang w:eastAsia="en-NZ"/>
              <w14:ligatures w14:val="standardContextual"/>
            </w:rPr>
          </w:pPr>
          <w:hyperlink w:anchor="_Toc137208959" w:history="1">
            <w:r w:rsidRPr="008B2257">
              <w:rPr>
                <w:rStyle w:val="Hyperlink"/>
              </w:rPr>
              <w:t>12.2</w:t>
            </w:r>
            <w:r>
              <w:rPr>
                <w:rFonts w:cstheme="minorBidi"/>
                <w:kern w:val="2"/>
                <w:sz w:val="22"/>
                <w:lang w:eastAsia="en-NZ"/>
                <w14:ligatures w14:val="standardContextual"/>
              </w:rPr>
              <w:tab/>
            </w:r>
            <w:r w:rsidRPr="008B2257">
              <w:rPr>
                <w:rStyle w:val="Hyperlink"/>
              </w:rPr>
              <w:t>Foundational recommendation</w:t>
            </w:r>
            <w:r>
              <w:rPr>
                <w:webHidden/>
              </w:rPr>
              <w:tab/>
            </w:r>
            <w:r>
              <w:rPr>
                <w:webHidden/>
              </w:rPr>
              <w:fldChar w:fldCharType="begin"/>
            </w:r>
            <w:r>
              <w:rPr>
                <w:webHidden/>
              </w:rPr>
              <w:instrText xml:space="preserve"> PAGEREF _Toc137208959 \h </w:instrText>
            </w:r>
            <w:r>
              <w:rPr>
                <w:webHidden/>
              </w:rPr>
            </w:r>
            <w:r>
              <w:rPr>
                <w:webHidden/>
              </w:rPr>
              <w:fldChar w:fldCharType="separate"/>
            </w:r>
            <w:r w:rsidR="00165B17">
              <w:rPr>
                <w:webHidden/>
              </w:rPr>
              <w:t>297</w:t>
            </w:r>
            <w:r>
              <w:rPr>
                <w:webHidden/>
              </w:rPr>
              <w:fldChar w:fldCharType="end"/>
            </w:r>
          </w:hyperlink>
        </w:p>
        <w:p w14:paraId="7F02E5BF" w14:textId="7619FBA1" w:rsidR="00CA1BA3" w:rsidRDefault="00CA1BA3">
          <w:pPr>
            <w:pStyle w:val="TOC2"/>
            <w:tabs>
              <w:tab w:val="left" w:pos="1797"/>
            </w:tabs>
            <w:rPr>
              <w:rFonts w:cstheme="minorBidi"/>
              <w:kern w:val="2"/>
              <w:sz w:val="22"/>
              <w:lang w:eastAsia="en-NZ"/>
              <w14:ligatures w14:val="standardContextual"/>
            </w:rPr>
          </w:pPr>
          <w:hyperlink w:anchor="_Toc137208960" w:history="1">
            <w:r w:rsidRPr="008B2257">
              <w:rPr>
                <w:rStyle w:val="Hyperlink"/>
              </w:rPr>
              <w:t>12.3</w:t>
            </w:r>
            <w:r>
              <w:rPr>
                <w:rFonts w:cstheme="minorBidi"/>
                <w:kern w:val="2"/>
                <w:sz w:val="22"/>
                <w:lang w:eastAsia="en-NZ"/>
                <w14:ligatures w14:val="standardContextual"/>
              </w:rPr>
              <w:tab/>
            </w:r>
            <w:r w:rsidRPr="008B2257">
              <w:rPr>
                <w:rStyle w:val="Hyperlink"/>
              </w:rPr>
              <w:t>Formal partnerships and shared decision-making</w:t>
            </w:r>
            <w:r>
              <w:rPr>
                <w:webHidden/>
              </w:rPr>
              <w:tab/>
            </w:r>
            <w:r>
              <w:rPr>
                <w:webHidden/>
              </w:rPr>
              <w:fldChar w:fldCharType="begin"/>
            </w:r>
            <w:r>
              <w:rPr>
                <w:webHidden/>
              </w:rPr>
              <w:instrText xml:space="preserve"> PAGEREF _Toc137208960 \h </w:instrText>
            </w:r>
            <w:r>
              <w:rPr>
                <w:webHidden/>
              </w:rPr>
            </w:r>
            <w:r>
              <w:rPr>
                <w:webHidden/>
              </w:rPr>
              <w:fldChar w:fldCharType="separate"/>
            </w:r>
            <w:r w:rsidR="00165B17">
              <w:rPr>
                <w:webHidden/>
              </w:rPr>
              <w:t>298</w:t>
            </w:r>
            <w:r>
              <w:rPr>
                <w:webHidden/>
              </w:rPr>
              <w:fldChar w:fldCharType="end"/>
            </w:r>
          </w:hyperlink>
        </w:p>
        <w:p w14:paraId="2D34D383" w14:textId="27895184" w:rsidR="00CA1BA3" w:rsidRDefault="00CA1BA3">
          <w:pPr>
            <w:pStyle w:val="TOC2"/>
            <w:tabs>
              <w:tab w:val="left" w:pos="1797"/>
            </w:tabs>
            <w:rPr>
              <w:rFonts w:cstheme="minorBidi"/>
              <w:kern w:val="2"/>
              <w:sz w:val="22"/>
              <w:lang w:eastAsia="en-NZ"/>
              <w14:ligatures w14:val="standardContextual"/>
            </w:rPr>
          </w:pPr>
          <w:hyperlink w:anchor="_Toc137208961" w:history="1">
            <w:r w:rsidRPr="008B2257">
              <w:rPr>
                <w:rStyle w:val="Hyperlink"/>
              </w:rPr>
              <w:t>12.4</w:t>
            </w:r>
            <w:r>
              <w:rPr>
                <w:rFonts w:cstheme="minorBidi"/>
                <w:kern w:val="2"/>
                <w:sz w:val="22"/>
                <w:lang w:eastAsia="en-NZ"/>
                <w14:ligatures w14:val="standardContextual"/>
              </w:rPr>
              <w:tab/>
            </w:r>
            <w:r w:rsidRPr="008B2257">
              <w:rPr>
                <w:rStyle w:val="Hyperlink"/>
              </w:rPr>
              <w:t>Strengthening the community-controlled sector</w:t>
            </w:r>
            <w:r>
              <w:rPr>
                <w:webHidden/>
              </w:rPr>
              <w:tab/>
            </w:r>
            <w:r>
              <w:rPr>
                <w:webHidden/>
              </w:rPr>
              <w:fldChar w:fldCharType="begin"/>
            </w:r>
            <w:r>
              <w:rPr>
                <w:webHidden/>
              </w:rPr>
              <w:instrText xml:space="preserve"> PAGEREF _Toc137208961 \h </w:instrText>
            </w:r>
            <w:r>
              <w:rPr>
                <w:webHidden/>
              </w:rPr>
            </w:r>
            <w:r>
              <w:rPr>
                <w:webHidden/>
              </w:rPr>
              <w:fldChar w:fldCharType="separate"/>
            </w:r>
            <w:r w:rsidR="00165B17">
              <w:rPr>
                <w:webHidden/>
              </w:rPr>
              <w:t>301</w:t>
            </w:r>
            <w:r>
              <w:rPr>
                <w:webHidden/>
              </w:rPr>
              <w:fldChar w:fldCharType="end"/>
            </w:r>
          </w:hyperlink>
        </w:p>
        <w:p w14:paraId="5EA31DA2" w14:textId="25E5D1D0" w:rsidR="00CA1BA3" w:rsidRDefault="00CA1BA3">
          <w:pPr>
            <w:pStyle w:val="TOC2"/>
            <w:tabs>
              <w:tab w:val="left" w:pos="1797"/>
            </w:tabs>
            <w:rPr>
              <w:rFonts w:cstheme="minorBidi"/>
              <w:kern w:val="2"/>
              <w:sz w:val="22"/>
              <w:lang w:eastAsia="en-NZ"/>
              <w14:ligatures w14:val="standardContextual"/>
            </w:rPr>
          </w:pPr>
          <w:hyperlink w:anchor="_Toc137208962" w:history="1">
            <w:r w:rsidRPr="008B2257">
              <w:rPr>
                <w:rStyle w:val="Hyperlink"/>
              </w:rPr>
              <w:t>12.5</w:t>
            </w:r>
            <w:r>
              <w:rPr>
                <w:rFonts w:cstheme="minorBidi"/>
                <w:kern w:val="2"/>
                <w:sz w:val="22"/>
                <w:lang w:eastAsia="en-NZ"/>
                <w14:ligatures w14:val="standardContextual"/>
              </w:rPr>
              <w:tab/>
            </w:r>
            <w:r w:rsidRPr="008B2257">
              <w:rPr>
                <w:rStyle w:val="Hyperlink"/>
              </w:rPr>
              <w:t>Transforming government organisations</w:t>
            </w:r>
            <w:r>
              <w:rPr>
                <w:webHidden/>
              </w:rPr>
              <w:tab/>
            </w:r>
            <w:r>
              <w:rPr>
                <w:webHidden/>
              </w:rPr>
              <w:fldChar w:fldCharType="begin"/>
            </w:r>
            <w:r>
              <w:rPr>
                <w:webHidden/>
              </w:rPr>
              <w:instrText xml:space="preserve"> PAGEREF _Toc137208962 \h </w:instrText>
            </w:r>
            <w:r>
              <w:rPr>
                <w:webHidden/>
              </w:rPr>
            </w:r>
            <w:r>
              <w:rPr>
                <w:webHidden/>
              </w:rPr>
              <w:fldChar w:fldCharType="separate"/>
            </w:r>
            <w:r w:rsidR="00165B17">
              <w:rPr>
                <w:webHidden/>
              </w:rPr>
              <w:t>305</w:t>
            </w:r>
            <w:r>
              <w:rPr>
                <w:webHidden/>
              </w:rPr>
              <w:fldChar w:fldCharType="end"/>
            </w:r>
          </w:hyperlink>
        </w:p>
        <w:p w14:paraId="32B4AFE9" w14:textId="5A2C7DEA" w:rsidR="00CA1BA3" w:rsidRDefault="00CA1BA3">
          <w:pPr>
            <w:pStyle w:val="TOC2"/>
            <w:tabs>
              <w:tab w:val="left" w:pos="1797"/>
            </w:tabs>
            <w:rPr>
              <w:rFonts w:cstheme="minorBidi"/>
              <w:kern w:val="2"/>
              <w:sz w:val="22"/>
              <w:lang w:eastAsia="en-NZ"/>
              <w14:ligatures w14:val="standardContextual"/>
            </w:rPr>
          </w:pPr>
          <w:hyperlink w:anchor="_Toc137208963" w:history="1">
            <w:r w:rsidRPr="008B2257">
              <w:rPr>
                <w:rStyle w:val="Hyperlink"/>
              </w:rPr>
              <w:t>12.6</w:t>
            </w:r>
            <w:r>
              <w:rPr>
                <w:rFonts w:cstheme="minorBidi"/>
                <w:kern w:val="2"/>
                <w:sz w:val="22"/>
                <w:lang w:eastAsia="en-NZ"/>
                <w14:ligatures w14:val="standardContextual"/>
              </w:rPr>
              <w:tab/>
            </w:r>
            <w:r w:rsidRPr="008B2257">
              <w:rPr>
                <w:rStyle w:val="Hyperlink"/>
              </w:rPr>
              <w:t>Shared access to data and information at a regional level</w:t>
            </w:r>
            <w:r>
              <w:rPr>
                <w:webHidden/>
              </w:rPr>
              <w:tab/>
            </w:r>
            <w:r>
              <w:rPr>
                <w:webHidden/>
              </w:rPr>
              <w:fldChar w:fldCharType="begin"/>
            </w:r>
            <w:r>
              <w:rPr>
                <w:webHidden/>
              </w:rPr>
              <w:instrText xml:space="preserve"> PAGEREF _Toc137208963 \h </w:instrText>
            </w:r>
            <w:r>
              <w:rPr>
                <w:webHidden/>
              </w:rPr>
            </w:r>
            <w:r>
              <w:rPr>
                <w:webHidden/>
              </w:rPr>
              <w:fldChar w:fldCharType="separate"/>
            </w:r>
            <w:r w:rsidR="00165B17">
              <w:rPr>
                <w:webHidden/>
              </w:rPr>
              <w:t>309</w:t>
            </w:r>
            <w:r>
              <w:rPr>
                <w:webHidden/>
              </w:rPr>
              <w:fldChar w:fldCharType="end"/>
            </w:r>
          </w:hyperlink>
        </w:p>
        <w:p w14:paraId="58CD523D" w14:textId="01B92FCD" w:rsidR="00CA1BA3" w:rsidRDefault="00CA1BA3">
          <w:pPr>
            <w:pStyle w:val="TOC2"/>
            <w:tabs>
              <w:tab w:val="left" w:pos="1797"/>
            </w:tabs>
            <w:rPr>
              <w:rFonts w:cstheme="minorBidi"/>
              <w:kern w:val="2"/>
              <w:sz w:val="22"/>
              <w:lang w:eastAsia="en-NZ"/>
              <w14:ligatures w14:val="standardContextual"/>
            </w:rPr>
          </w:pPr>
          <w:hyperlink w:anchor="_Toc137208964" w:history="1">
            <w:r w:rsidRPr="008B2257">
              <w:rPr>
                <w:rStyle w:val="Hyperlink"/>
              </w:rPr>
              <w:t>12.7</w:t>
            </w:r>
            <w:r>
              <w:rPr>
                <w:rFonts w:cstheme="minorBidi"/>
                <w:kern w:val="2"/>
                <w:sz w:val="22"/>
                <w:lang w:eastAsia="en-NZ"/>
                <w14:ligatures w14:val="standardContextual"/>
              </w:rPr>
              <w:tab/>
            </w:r>
            <w:r w:rsidRPr="008B2257">
              <w:rPr>
                <w:rStyle w:val="Hyperlink"/>
              </w:rPr>
              <w:t>Ensuring IAHP implementation success</w:t>
            </w:r>
            <w:r>
              <w:rPr>
                <w:webHidden/>
              </w:rPr>
              <w:tab/>
            </w:r>
            <w:r>
              <w:rPr>
                <w:webHidden/>
              </w:rPr>
              <w:fldChar w:fldCharType="begin"/>
            </w:r>
            <w:r>
              <w:rPr>
                <w:webHidden/>
              </w:rPr>
              <w:instrText xml:space="preserve"> PAGEREF _Toc137208964 \h </w:instrText>
            </w:r>
            <w:r>
              <w:rPr>
                <w:webHidden/>
              </w:rPr>
            </w:r>
            <w:r>
              <w:rPr>
                <w:webHidden/>
              </w:rPr>
              <w:fldChar w:fldCharType="separate"/>
            </w:r>
            <w:r w:rsidR="00165B17">
              <w:rPr>
                <w:webHidden/>
              </w:rPr>
              <w:t>311</w:t>
            </w:r>
            <w:r>
              <w:rPr>
                <w:webHidden/>
              </w:rPr>
              <w:fldChar w:fldCharType="end"/>
            </w:r>
          </w:hyperlink>
        </w:p>
        <w:p w14:paraId="32E7D4E3" w14:textId="0CA79C56" w:rsidR="00CA1BA3" w:rsidRDefault="00CA1BA3">
          <w:pPr>
            <w:pStyle w:val="TOC1"/>
            <w:rPr>
              <w:rFonts w:cstheme="minorBidi"/>
              <w:b w:val="0"/>
              <w:caps w:val="0"/>
              <w:kern w:val="2"/>
              <w:sz w:val="22"/>
              <w:lang w:eastAsia="en-NZ"/>
              <w14:ligatures w14:val="standardContextual"/>
            </w:rPr>
          </w:pPr>
          <w:hyperlink w:anchor="_Toc137208966" w:history="1">
            <w:r w:rsidRPr="008B2257">
              <w:rPr>
                <w:rStyle w:val="Hyperlink"/>
              </w:rPr>
              <w:t>Glossary</w:t>
            </w:r>
            <w:r>
              <w:rPr>
                <w:webHidden/>
              </w:rPr>
              <w:tab/>
            </w:r>
            <w:r>
              <w:rPr>
                <w:webHidden/>
              </w:rPr>
              <w:fldChar w:fldCharType="begin"/>
            </w:r>
            <w:r>
              <w:rPr>
                <w:webHidden/>
              </w:rPr>
              <w:instrText xml:space="preserve"> PAGEREF _Toc137208966 \h </w:instrText>
            </w:r>
            <w:r>
              <w:rPr>
                <w:webHidden/>
              </w:rPr>
            </w:r>
            <w:r>
              <w:rPr>
                <w:webHidden/>
              </w:rPr>
              <w:fldChar w:fldCharType="separate"/>
            </w:r>
            <w:r w:rsidR="00165B17">
              <w:rPr>
                <w:webHidden/>
              </w:rPr>
              <w:t>314</w:t>
            </w:r>
            <w:r>
              <w:rPr>
                <w:webHidden/>
              </w:rPr>
              <w:fldChar w:fldCharType="end"/>
            </w:r>
          </w:hyperlink>
        </w:p>
        <w:p w14:paraId="02DEE2D5" w14:textId="54601D47" w:rsidR="00CA1BA3" w:rsidRDefault="00CA1BA3">
          <w:pPr>
            <w:pStyle w:val="TOC1"/>
            <w:rPr>
              <w:rFonts w:cstheme="minorBidi"/>
              <w:b w:val="0"/>
              <w:caps w:val="0"/>
              <w:kern w:val="2"/>
              <w:sz w:val="22"/>
              <w:lang w:eastAsia="en-NZ"/>
              <w14:ligatures w14:val="standardContextual"/>
            </w:rPr>
          </w:pPr>
          <w:hyperlink w:anchor="_Toc137208967" w:history="1">
            <w:r w:rsidRPr="008B2257">
              <w:rPr>
                <w:rStyle w:val="Hyperlink"/>
              </w:rPr>
              <w:t>References</w:t>
            </w:r>
            <w:r>
              <w:rPr>
                <w:webHidden/>
              </w:rPr>
              <w:tab/>
            </w:r>
            <w:r>
              <w:rPr>
                <w:webHidden/>
              </w:rPr>
              <w:fldChar w:fldCharType="begin"/>
            </w:r>
            <w:r>
              <w:rPr>
                <w:webHidden/>
              </w:rPr>
              <w:instrText xml:space="preserve"> PAGEREF _Toc137208967 \h </w:instrText>
            </w:r>
            <w:r>
              <w:rPr>
                <w:webHidden/>
              </w:rPr>
            </w:r>
            <w:r>
              <w:rPr>
                <w:webHidden/>
              </w:rPr>
              <w:fldChar w:fldCharType="separate"/>
            </w:r>
            <w:r w:rsidR="00165B17">
              <w:rPr>
                <w:webHidden/>
              </w:rPr>
              <w:t>317</w:t>
            </w:r>
            <w:r>
              <w:rPr>
                <w:webHidden/>
              </w:rPr>
              <w:fldChar w:fldCharType="end"/>
            </w:r>
          </w:hyperlink>
        </w:p>
        <w:p w14:paraId="66613AE2" w14:textId="4B4B7863" w:rsidR="00EF4C73" w:rsidRPr="00884FAA" w:rsidRDefault="002C6E79">
          <w:pPr>
            <w:jc w:val="left"/>
            <w:rPr>
              <w:noProof/>
              <w:sz w:val="21"/>
            </w:rPr>
            <w:sectPr w:rsidR="00EF4C73" w:rsidRPr="00884FAA" w:rsidSect="009F3F5A">
              <w:headerReference w:type="even" r:id="rId32"/>
              <w:headerReference w:type="default" r:id="rId33"/>
              <w:headerReference w:type="first" r:id="rId34"/>
              <w:footerReference w:type="first" r:id="rId35"/>
              <w:pgSz w:w="11909" w:h="16834" w:code="9"/>
              <w:pgMar w:top="1440" w:right="1440" w:bottom="1440" w:left="1440" w:header="720" w:footer="720" w:gutter="0"/>
              <w:pgNumType w:fmt="lowerRoman" w:start="1"/>
              <w:cols w:space="720"/>
              <w:titlePg/>
              <w:docGrid w:linePitch="360"/>
            </w:sectPr>
          </w:pPr>
          <w:r>
            <w:rPr>
              <w:rFonts w:eastAsiaTheme="minorEastAsia" w:cs="Times New Roman"/>
              <w:caps/>
              <w:noProof/>
              <w:sz w:val="21"/>
              <w:highlight w:val="cyan"/>
              <w:lang w:val="en-NZ"/>
            </w:rPr>
            <w:fldChar w:fldCharType="end"/>
          </w:r>
        </w:p>
        <w:p w14:paraId="4E1FAC74" w14:textId="5941F37F" w:rsidR="00B83BBF" w:rsidRPr="00C95D24" w:rsidRDefault="0060706C" w:rsidP="003D4A7C">
          <w:pPr>
            <w:pStyle w:val="Heading1NotNumbered"/>
          </w:pPr>
          <w:bookmarkStart w:id="2" w:name="_Toc137208866"/>
          <w:bookmarkStart w:id="3" w:name="_Toc117511340"/>
          <w:r w:rsidRPr="00C95D24">
            <w:lastRenderedPageBreak/>
            <w:t>L</w:t>
          </w:r>
          <w:r w:rsidR="00FF4513" w:rsidRPr="00C95D24">
            <w:t>ist</w:t>
          </w:r>
          <w:r w:rsidRPr="00C95D24">
            <w:t xml:space="preserve"> </w:t>
          </w:r>
          <w:r w:rsidR="00E059CE" w:rsidRPr="00C95D24">
            <w:t>of</w:t>
          </w:r>
          <w:r w:rsidRPr="00C95D24">
            <w:t xml:space="preserve"> </w:t>
          </w:r>
          <w:r w:rsidR="00B83BBF" w:rsidRPr="00C95D24">
            <w:t>tables</w:t>
          </w:r>
          <w:bookmarkEnd w:id="2"/>
        </w:p>
        <w:p w14:paraId="628FB91B" w14:textId="0D93044F" w:rsidR="00072EA6" w:rsidRDefault="00C95D24" w:rsidP="00072EA6">
          <w:pPr>
            <w:pStyle w:val="TableofFigures"/>
            <w:ind w:hanging="1080"/>
            <w:rPr>
              <w:rFonts w:cstheme="minorBidi"/>
              <w:kern w:val="2"/>
              <w:sz w:val="22"/>
              <w:lang w:val="en-AU" w:eastAsia="zh-CN"/>
              <w14:ligatures w14:val="standardContextual"/>
            </w:rPr>
          </w:pPr>
          <w:r w:rsidRPr="001F3B0E">
            <w:rPr>
              <w:highlight w:val="cyan"/>
            </w:rPr>
            <w:fldChar w:fldCharType="begin"/>
          </w:r>
          <w:r w:rsidRPr="001F3B0E">
            <w:rPr>
              <w:highlight w:val="cyan"/>
            </w:rPr>
            <w:instrText xml:space="preserve"> TOC \h \z \c "Table" </w:instrText>
          </w:r>
          <w:r w:rsidRPr="001F3B0E">
            <w:rPr>
              <w:highlight w:val="cyan"/>
            </w:rPr>
            <w:fldChar w:fldCharType="separate"/>
          </w:r>
          <w:hyperlink w:anchor="_Toc138851277" w:history="1">
            <w:r w:rsidR="00072EA6" w:rsidRPr="00223B90">
              <w:rPr>
                <w:rStyle w:val="Hyperlink"/>
              </w:rPr>
              <w:t>Table 1</w:t>
            </w:r>
            <w:r w:rsidR="00072EA6" w:rsidRPr="00223B90">
              <w:rPr>
                <w:rStyle w:val="Hyperlink"/>
              </w:rPr>
              <w:noBreakHyphen/>
              <w:t>1.</w:t>
            </w:r>
            <w:r w:rsidR="00072EA6" w:rsidRPr="00223B90">
              <w:rPr>
                <w:rStyle w:val="Hyperlink"/>
                <w:lang w:eastAsia="en-GB"/>
              </w:rPr>
              <w:t xml:space="preserve"> Health-related Closing the Gap outcomes, targets, and current state</w:t>
            </w:r>
            <w:r w:rsidR="00072EA6">
              <w:rPr>
                <w:webHidden/>
              </w:rPr>
              <w:tab/>
            </w:r>
            <w:r w:rsidR="00072EA6">
              <w:rPr>
                <w:webHidden/>
              </w:rPr>
              <w:fldChar w:fldCharType="begin"/>
            </w:r>
            <w:r w:rsidR="00072EA6">
              <w:rPr>
                <w:webHidden/>
              </w:rPr>
              <w:instrText xml:space="preserve"> PAGEREF _Toc138851277 \h </w:instrText>
            </w:r>
            <w:r w:rsidR="00072EA6">
              <w:rPr>
                <w:webHidden/>
              </w:rPr>
            </w:r>
            <w:r w:rsidR="00072EA6">
              <w:rPr>
                <w:webHidden/>
              </w:rPr>
              <w:fldChar w:fldCharType="separate"/>
            </w:r>
            <w:r w:rsidR="00165B17">
              <w:rPr>
                <w:webHidden/>
              </w:rPr>
              <w:t>32</w:t>
            </w:r>
            <w:r w:rsidR="00072EA6">
              <w:rPr>
                <w:webHidden/>
              </w:rPr>
              <w:fldChar w:fldCharType="end"/>
            </w:r>
          </w:hyperlink>
        </w:p>
        <w:p w14:paraId="3EBD25F6" w14:textId="4454E79C" w:rsidR="00072EA6" w:rsidRDefault="00072EA6" w:rsidP="00072EA6">
          <w:pPr>
            <w:pStyle w:val="TableofFigures"/>
            <w:ind w:hanging="1080"/>
            <w:rPr>
              <w:rFonts w:cstheme="minorBidi"/>
              <w:kern w:val="2"/>
              <w:sz w:val="22"/>
              <w:lang w:val="en-AU" w:eastAsia="zh-CN"/>
              <w14:ligatures w14:val="standardContextual"/>
            </w:rPr>
          </w:pPr>
          <w:hyperlink w:anchor="_Toc138851278" w:history="1">
            <w:r w:rsidRPr="00223B90">
              <w:rPr>
                <w:rStyle w:val="Hyperlink"/>
              </w:rPr>
              <w:t>Table 3</w:t>
            </w:r>
            <w:r w:rsidRPr="00223B90">
              <w:rPr>
                <w:rStyle w:val="Hyperlink"/>
              </w:rPr>
              <w:noBreakHyphen/>
              <w:t>1. Activities and programs funded through the IAHP</w:t>
            </w:r>
            <w:r>
              <w:rPr>
                <w:webHidden/>
              </w:rPr>
              <w:tab/>
            </w:r>
            <w:r>
              <w:rPr>
                <w:webHidden/>
              </w:rPr>
              <w:fldChar w:fldCharType="begin"/>
            </w:r>
            <w:r>
              <w:rPr>
                <w:webHidden/>
              </w:rPr>
              <w:instrText xml:space="preserve"> PAGEREF _Toc138851278 \h </w:instrText>
            </w:r>
            <w:r>
              <w:rPr>
                <w:webHidden/>
              </w:rPr>
            </w:r>
            <w:r>
              <w:rPr>
                <w:webHidden/>
              </w:rPr>
              <w:fldChar w:fldCharType="separate"/>
            </w:r>
            <w:r w:rsidR="00165B17">
              <w:rPr>
                <w:webHidden/>
              </w:rPr>
              <w:t>80</w:t>
            </w:r>
            <w:r>
              <w:rPr>
                <w:webHidden/>
              </w:rPr>
              <w:fldChar w:fldCharType="end"/>
            </w:r>
          </w:hyperlink>
        </w:p>
        <w:p w14:paraId="79663072" w14:textId="03C9BEE8" w:rsidR="00072EA6" w:rsidRDefault="00072EA6" w:rsidP="00072EA6">
          <w:pPr>
            <w:pStyle w:val="TableofFigures"/>
            <w:ind w:hanging="1080"/>
            <w:rPr>
              <w:rFonts w:cstheme="minorBidi"/>
              <w:kern w:val="2"/>
              <w:sz w:val="22"/>
              <w:lang w:val="en-AU" w:eastAsia="zh-CN"/>
              <w14:ligatures w14:val="standardContextual"/>
            </w:rPr>
          </w:pPr>
          <w:hyperlink w:anchor="_Toc138851279" w:history="1">
            <w:r w:rsidRPr="00223B90">
              <w:rPr>
                <w:rStyle w:val="Hyperlink"/>
              </w:rPr>
              <w:t>Table 7</w:t>
            </w:r>
            <w:r w:rsidRPr="00223B90">
              <w:rPr>
                <w:rStyle w:val="Hyperlink"/>
              </w:rPr>
              <w:noBreakHyphen/>
              <w:t>1. Characteristics of ACCHSs and dependency on IAHP funding</w:t>
            </w:r>
            <w:r>
              <w:rPr>
                <w:webHidden/>
              </w:rPr>
              <w:tab/>
            </w:r>
            <w:r>
              <w:rPr>
                <w:webHidden/>
              </w:rPr>
              <w:fldChar w:fldCharType="begin"/>
            </w:r>
            <w:r>
              <w:rPr>
                <w:webHidden/>
              </w:rPr>
              <w:instrText xml:space="preserve"> PAGEREF _Toc138851279 \h </w:instrText>
            </w:r>
            <w:r>
              <w:rPr>
                <w:webHidden/>
              </w:rPr>
            </w:r>
            <w:r>
              <w:rPr>
                <w:webHidden/>
              </w:rPr>
              <w:fldChar w:fldCharType="separate"/>
            </w:r>
            <w:r w:rsidR="00165B17">
              <w:rPr>
                <w:webHidden/>
              </w:rPr>
              <w:t>188</w:t>
            </w:r>
            <w:r>
              <w:rPr>
                <w:webHidden/>
              </w:rPr>
              <w:fldChar w:fldCharType="end"/>
            </w:r>
          </w:hyperlink>
        </w:p>
        <w:p w14:paraId="605D7CB3" w14:textId="346AC564" w:rsidR="00072EA6" w:rsidRDefault="00072EA6" w:rsidP="00072EA6">
          <w:pPr>
            <w:pStyle w:val="TableofFigures"/>
            <w:ind w:hanging="1080"/>
            <w:rPr>
              <w:rFonts w:cstheme="minorBidi"/>
              <w:kern w:val="2"/>
              <w:sz w:val="22"/>
              <w:lang w:val="en-AU" w:eastAsia="zh-CN"/>
              <w14:ligatures w14:val="standardContextual"/>
            </w:rPr>
          </w:pPr>
          <w:hyperlink w:anchor="_Toc138851280" w:history="1">
            <w:r w:rsidRPr="00223B90">
              <w:rPr>
                <w:rStyle w:val="Hyperlink"/>
              </w:rPr>
              <w:t>Table 7</w:t>
            </w:r>
            <w:r w:rsidRPr="00223B90">
              <w:rPr>
                <w:rStyle w:val="Hyperlink"/>
              </w:rPr>
              <w:noBreakHyphen/>
              <w:t>2. Health service income by funding source, 5 ACCHSs, 2021-22</w:t>
            </w:r>
            <w:r>
              <w:rPr>
                <w:webHidden/>
              </w:rPr>
              <w:tab/>
            </w:r>
            <w:r>
              <w:rPr>
                <w:webHidden/>
              </w:rPr>
              <w:fldChar w:fldCharType="begin"/>
            </w:r>
            <w:r>
              <w:rPr>
                <w:webHidden/>
              </w:rPr>
              <w:instrText xml:space="preserve"> PAGEREF _Toc138851280 \h </w:instrText>
            </w:r>
            <w:r>
              <w:rPr>
                <w:webHidden/>
              </w:rPr>
            </w:r>
            <w:r>
              <w:rPr>
                <w:webHidden/>
              </w:rPr>
              <w:fldChar w:fldCharType="separate"/>
            </w:r>
            <w:r w:rsidR="00165B17">
              <w:rPr>
                <w:webHidden/>
              </w:rPr>
              <w:t>190</w:t>
            </w:r>
            <w:r>
              <w:rPr>
                <w:webHidden/>
              </w:rPr>
              <w:fldChar w:fldCharType="end"/>
            </w:r>
          </w:hyperlink>
        </w:p>
        <w:p w14:paraId="7D85BF75" w14:textId="099ECC4D" w:rsidR="00072EA6" w:rsidRDefault="00072EA6" w:rsidP="00072EA6">
          <w:pPr>
            <w:pStyle w:val="TableofFigures"/>
            <w:ind w:hanging="1080"/>
            <w:rPr>
              <w:rFonts w:cstheme="minorBidi"/>
              <w:kern w:val="2"/>
              <w:sz w:val="22"/>
              <w:lang w:val="en-AU" w:eastAsia="zh-CN"/>
              <w14:ligatures w14:val="standardContextual"/>
            </w:rPr>
          </w:pPr>
          <w:hyperlink w:anchor="_Toc138851281" w:history="1">
            <w:r w:rsidRPr="00223B90">
              <w:rPr>
                <w:rStyle w:val="Hyperlink"/>
              </w:rPr>
              <w:t>Table 7</w:t>
            </w:r>
            <w:r w:rsidRPr="00223B90">
              <w:rPr>
                <w:rStyle w:val="Hyperlink"/>
              </w:rPr>
              <w:noBreakHyphen/>
              <w:t xml:space="preserve">3. </w:t>
            </w:r>
            <w:r w:rsidRPr="00223B90">
              <w:rPr>
                <w:rStyle w:val="Hyperlink"/>
                <w:rFonts w:hint="eastAsia"/>
              </w:rPr>
              <w:t xml:space="preserve">Changes in the proportion of staff aged </w:t>
            </w:r>
            <w:r w:rsidRPr="00223B90">
              <w:rPr>
                <w:rStyle w:val="Hyperlink"/>
                <w:rFonts w:hint="eastAsia"/>
              </w:rPr>
              <w:t>≥</w:t>
            </w:r>
            <w:r w:rsidRPr="00223B90">
              <w:rPr>
                <w:rStyle w:val="Hyperlink"/>
                <w:rFonts w:hint="eastAsia"/>
              </w:rPr>
              <w:t>45 years from 2013-2019, by workplace, for sites and across Australia</w:t>
            </w:r>
            <w:r>
              <w:rPr>
                <w:webHidden/>
              </w:rPr>
              <w:tab/>
            </w:r>
            <w:r>
              <w:rPr>
                <w:webHidden/>
              </w:rPr>
              <w:fldChar w:fldCharType="begin"/>
            </w:r>
            <w:r>
              <w:rPr>
                <w:webHidden/>
              </w:rPr>
              <w:instrText xml:space="preserve"> PAGEREF _Toc138851281 \h </w:instrText>
            </w:r>
            <w:r>
              <w:rPr>
                <w:webHidden/>
              </w:rPr>
            </w:r>
            <w:r>
              <w:rPr>
                <w:webHidden/>
              </w:rPr>
              <w:fldChar w:fldCharType="separate"/>
            </w:r>
            <w:r w:rsidR="00165B17">
              <w:rPr>
                <w:webHidden/>
              </w:rPr>
              <w:t>207</w:t>
            </w:r>
            <w:r>
              <w:rPr>
                <w:webHidden/>
              </w:rPr>
              <w:fldChar w:fldCharType="end"/>
            </w:r>
          </w:hyperlink>
        </w:p>
        <w:p w14:paraId="0F0EE2F1" w14:textId="09C5E825" w:rsidR="00072EA6" w:rsidRDefault="00072EA6" w:rsidP="00072EA6">
          <w:pPr>
            <w:pStyle w:val="TableofFigures"/>
            <w:ind w:hanging="1080"/>
            <w:rPr>
              <w:rFonts w:cstheme="minorBidi"/>
              <w:kern w:val="2"/>
              <w:sz w:val="22"/>
              <w:lang w:val="en-AU" w:eastAsia="zh-CN"/>
              <w14:ligatures w14:val="standardContextual"/>
            </w:rPr>
          </w:pPr>
          <w:hyperlink w:anchor="_Toc138851282" w:history="1">
            <w:r w:rsidRPr="00223B90">
              <w:rPr>
                <w:rStyle w:val="Hyperlink"/>
              </w:rPr>
              <w:t>Table 7</w:t>
            </w:r>
            <w:r w:rsidRPr="00223B90">
              <w:rPr>
                <w:rStyle w:val="Hyperlink"/>
              </w:rPr>
              <w:noBreakHyphen/>
              <w:t xml:space="preserve">4. </w:t>
            </w:r>
            <w:r w:rsidRPr="00223B90">
              <w:rPr>
                <w:rStyle w:val="Hyperlink"/>
                <w:rFonts w:hint="eastAsia"/>
              </w:rPr>
              <w:t xml:space="preserve">Changes in the proportion of staff aged </w:t>
            </w:r>
            <w:r w:rsidRPr="00223B90">
              <w:rPr>
                <w:rStyle w:val="Hyperlink"/>
                <w:rFonts w:hint="eastAsia"/>
              </w:rPr>
              <w:t>≥</w:t>
            </w:r>
            <w:r w:rsidRPr="00223B90">
              <w:rPr>
                <w:rStyle w:val="Hyperlink"/>
                <w:rFonts w:hint="eastAsia"/>
              </w:rPr>
              <w:t>45 years from 2013-2019, by staff Indigenous status, for sites and across Australia</w:t>
            </w:r>
            <w:r>
              <w:rPr>
                <w:webHidden/>
              </w:rPr>
              <w:tab/>
            </w:r>
            <w:r>
              <w:rPr>
                <w:webHidden/>
              </w:rPr>
              <w:fldChar w:fldCharType="begin"/>
            </w:r>
            <w:r>
              <w:rPr>
                <w:webHidden/>
              </w:rPr>
              <w:instrText xml:space="preserve"> PAGEREF _Toc138851282 \h </w:instrText>
            </w:r>
            <w:r>
              <w:rPr>
                <w:webHidden/>
              </w:rPr>
            </w:r>
            <w:r>
              <w:rPr>
                <w:webHidden/>
              </w:rPr>
              <w:fldChar w:fldCharType="separate"/>
            </w:r>
            <w:r w:rsidR="00165B17">
              <w:rPr>
                <w:webHidden/>
              </w:rPr>
              <w:t>207</w:t>
            </w:r>
            <w:r>
              <w:rPr>
                <w:webHidden/>
              </w:rPr>
              <w:fldChar w:fldCharType="end"/>
            </w:r>
          </w:hyperlink>
        </w:p>
        <w:p w14:paraId="4924FFB5" w14:textId="050C09EE" w:rsidR="00072EA6" w:rsidRDefault="00072EA6" w:rsidP="00072EA6">
          <w:pPr>
            <w:pStyle w:val="TableofFigures"/>
            <w:ind w:hanging="1080"/>
            <w:rPr>
              <w:rFonts w:cstheme="minorBidi"/>
              <w:kern w:val="2"/>
              <w:sz w:val="22"/>
              <w:lang w:val="en-AU" w:eastAsia="zh-CN"/>
              <w14:ligatures w14:val="standardContextual"/>
            </w:rPr>
          </w:pPr>
          <w:hyperlink w:anchor="_Toc138851283" w:history="1">
            <w:r w:rsidRPr="00223B90">
              <w:rPr>
                <w:rStyle w:val="Hyperlink"/>
              </w:rPr>
              <w:t>Table 7</w:t>
            </w:r>
            <w:r w:rsidRPr="00223B90">
              <w:rPr>
                <w:rStyle w:val="Hyperlink"/>
              </w:rPr>
              <w:noBreakHyphen/>
              <w:t>5. Changes in proportion of staff who were female from 2013-2019 by Indigenous status, for sites and across Australia</w:t>
            </w:r>
            <w:r>
              <w:rPr>
                <w:webHidden/>
              </w:rPr>
              <w:tab/>
            </w:r>
            <w:r>
              <w:rPr>
                <w:webHidden/>
              </w:rPr>
              <w:fldChar w:fldCharType="begin"/>
            </w:r>
            <w:r>
              <w:rPr>
                <w:webHidden/>
              </w:rPr>
              <w:instrText xml:space="preserve"> PAGEREF _Toc138851283 \h </w:instrText>
            </w:r>
            <w:r>
              <w:rPr>
                <w:webHidden/>
              </w:rPr>
            </w:r>
            <w:r>
              <w:rPr>
                <w:webHidden/>
              </w:rPr>
              <w:fldChar w:fldCharType="separate"/>
            </w:r>
            <w:r w:rsidR="00165B17">
              <w:rPr>
                <w:webHidden/>
              </w:rPr>
              <w:t>209</w:t>
            </w:r>
            <w:r>
              <w:rPr>
                <w:webHidden/>
              </w:rPr>
              <w:fldChar w:fldCharType="end"/>
            </w:r>
          </w:hyperlink>
        </w:p>
        <w:p w14:paraId="2B729986" w14:textId="37C5B896" w:rsidR="00072EA6" w:rsidRDefault="00072EA6" w:rsidP="00072EA6">
          <w:pPr>
            <w:pStyle w:val="TableofFigures"/>
            <w:ind w:hanging="1080"/>
            <w:rPr>
              <w:rFonts w:cstheme="minorBidi"/>
              <w:kern w:val="2"/>
              <w:sz w:val="22"/>
              <w:lang w:val="en-AU" w:eastAsia="zh-CN"/>
              <w14:ligatures w14:val="standardContextual"/>
            </w:rPr>
          </w:pPr>
          <w:hyperlink w:anchor="_Toc138851284" w:history="1">
            <w:r w:rsidRPr="00223B90">
              <w:rPr>
                <w:rStyle w:val="Hyperlink"/>
              </w:rPr>
              <w:t>Table 7</w:t>
            </w:r>
            <w:r w:rsidRPr="00223B90">
              <w:rPr>
                <w:rStyle w:val="Hyperlink"/>
              </w:rPr>
              <w:noBreakHyphen/>
              <w:t>6. Changes in the number and proportion of staff who were Indigenous from 2013-2019, for sites and across Australia</w:t>
            </w:r>
            <w:r>
              <w:rPr>
                <w:webHidden/>
              </w:rPr>
              <w:tab/>
            </w:r>
            <w:r>
              <w:rPr>
                <w:webHidden/>
              </w:rPr>
              <w:fldChar w:fldCharType="begin"/>
            </w:r>
            <w:r>
              <w:rPr>
                <w:webHidden/>
              </w:rPr>
              <w:instrText xml:space="preserve"> PAGEREF _Toc138851284 \h </w:instrText>
            </w:r>
            <w:r>
              <w:rPr>
                <w:webHidden/>
              </w:rPr>
            </w:r>
            <w:r>
              <w:rPr>
                <w:webHidden/>
              </w:rPr>
              <w:fldChar w:fldCharType="separate"/>
            </w:r>
            <w:r w:rsidR="00165B17">
              <w:rPr>
                <w:webHidden/>
              </w:rPr>
              <w:t>210</w:t>
            </w:r>
            <w:r>
              <w:rPr>
                <w:webHidden/>
              </w:rPr>
              <w:fldChar w:fldCharType="end"/>
            </w:r>
          </w:hyperlink>
        </w:p>
        <w:p w14:paraId="66786A31" w14:textId="40B04839" w:rsidR="00072EA6" w:rsidRDefault="00072EA6" w:rsidP="00072EA6">
          <w:pPr>
            <w:pStyle w:val="TableofFigures"/>
            <w:ind w:hanging="1080"/>
            <w:rPr>
              <w:rFonts w:cstheme="minorBidi"/>
              <w:kern w:val="2"/>
              <w:sz w:val="22"/>
              <w:lang w:val="en-AU" w:eastAsia="zh-CN"/>
              <w14:ligatures w14:val="standardContextual"/>
            </w:rPr>
          </w:pPr>
          <w:hyperlink w:anchor="_Toc138851285" w:history="1">
            <w:r w:rsidRPr="00223B90">
              <w:rPr>
                <w:rStyle w:val="Hyperlink"/>
              </w:rPr>
              <w:t>Table 8</w:t>
            </w:r>
            <w:r w:rsidRPr="00223B90">
              <w:rPr>
                <w:rStyle w:val="Hyperlink"/>
              </w:rPr>
              <w:noBreakHyphen/>
              <w:t>1. Relationship between nKPI and hospitalisation rates for diabetes (unit of observation is the evaluation sites)</w:t>
            </w:r>
            <w:r>
              <w:rPr>
                <w:webHidden/>
              </w:rPr>
              <w:tab/>
            </w:r>
            <w:r>
              <w:rPr>
                <w:webHidden/>
              </w:rPr>
              <w:fldChar w:fldCharType="begin"/>
            </w:r>
            <w:r>
              <w:rPr>
                <w:webHidden/>
              </w:rPr>
              <w:instrText xml:space="preserve"> PAGEREF _Toc138851285 \h </w:instrText>
            </w:r>
            <w:r>
              <w:rPr>
                <w:webHidden/>
              </w:rPr>
            </w:r>
            <w:r>
              <w:rPr>
                <w:webHidden/>
              </w:rPr>
              <w:fldChar w:fldCharType="separate"/>
            </w:r>
            <w:r w:rsidR="00165B17">
              <w:rPr>
                <w:webHidden/>
              </w:rPr>
              <w:t>226</w:t>
            </w:r>
            <w:r>
              <w:rPr>
                <w:webHidden/>
              </w:rPr>
              <w:fldChar w:fldCharType="end"/>
            </w:r>
          </w:hyperlink>
        </w:p>
        <w:p w14:paraId="348EC2B4" w14:textId="46A024E9" w:rsidR="00072EA6" w:rsidRDefault="00072EA6" w:rsidP="00072EA6">
          <w:pPr>
            <w:pStyle w:val="TableofFigures"/>
            <w:ind w:hanging="1080"/>
            <w:rPr>
              <w:rFonts w:cstheme="minorBidi"/>
              <w:kern w:val="2"/>
              <w:sz w:val="22"/>
              <w:lang w:val="en-AU" w:eastAsia="zh-CN"/>
              <w14:ligatures w14:val="standardContextual"/>
            </w:rPr>
          </w:pPr>
          <w:hyperlink w:anchor="_Toc138851286" w:history="1">
            <w:r w:rsidRPr="00223B90">
              <w:rPr>
                <w:rStyle w:val="Hyperlink"/>
              </w:rPr>
              <w:t>Table 8</w:t>
            </w:r>
            <w:r w:rsidRPr="00223B90">
              <w:rPr>
                <w:rStyle w:val="Hyperlink"/>
              </w:rPr>
              <w:noBreakHyphen/>
              <w:t>2. Relationship between service-hospitalisation correlation and diabetes mortality for evaluation sites (Central Australia, Katherine East removed)</w:t>
            </w:r>
            <w:r>
              <w:rPr>
                <w:webHidden/>
              </w:rPr>
              <w:tab/>
            </w:r>
            <w:r>
              <w:rPr>
                <w:webHidden/>
              </w:rPr>
              <w:fldChar w:fldCharType="begin"/>
            </w:r>
            <w:r>
              <w:rPr>
                <w:webHidden/>
              </w:rPr>
              <w:instrText xml:space="preserve"> PAGEREF _Toc138851286 \h </w:instrText>
            </w:r>
            <w:r>
              <w:rPr>
                <w:webHidden/>
              </w:rPr>
            </w:r>
            <w:r>
              <w:rPr>
                <w:webHidden/>
              </w:rPr>
              <w:fldChar w:fldCharType="separate"/>
            </w:r>
            <w:r w:rsidR="00165B17">
              <w:rPr>
                <w:webHidden/>
              </w:rPr>
              <w:t>227</w:t>
            </w:r>
            <w:r>
              <w:rPr>
                <w:webHidden/>
              </w:rPr>
              <w:fldChar w:fldCharType="end"/>
            </w:r>
          </w:hyperlink>
        </w:p>
        <w:p w14:paraId="63D03241" w14:textId="1CC52004" w:rsidR="00072EA6" w:rsidRDefault="00072EA6" w:rsidP="00072EA6">
          <w:pPr>
            <w:pStyle w:val="TableofFigures"/>
            <w:ind w:hanging="1080"/>
            <w:rPr>
              <w:rFonts w:cstheme="minorBidi"/>
              <w:kern w:val="2"/>
              <w:sz w:val="22"/>
              <w:lang w:val="en-AU" w:eastAsia="zh-CN"/>
              <w14:ligatures w14:val="standardContextual"/>
            </w:rPr>
          </w:pPr>
          <w:hyperlink w:anchor="_Toc138851287" w:history="1">
            <w:r w:rsidRPr="00223B90">
              <w:rPr>
                <w:rStyle w:val="Hyperlink"/>
              </w:rPr>
              <w:t>Table 8</w:t>
            </w:r>
            <w:r w:rsidRPr="00223B90">
              <w:rPr>
                <w:rStyle w:val="Hyperlink"/>
              </w:rPr>
              <w:noBreakHyphen/>
              <w:t>3. Changes in individual nKPI by life stage, 16 evaluation sites, 2017-2019</w:t>
            </w:r>
            <w:r>
              <w:rPr>
                <w:webHidden/>
              </w:rPr>
              <w:tab/>
            </w:r>
            <w:r>
              <w:rPr>
                <w:webHidden/>
              </w:rPr>
              <w:fldChar w:fldCharType="begin"/>
            </w:r>
            <w:r>
              <w:rPr>
                <w:webHidden/>
              </w:rPr>
              <w:instrText xml:space="preserve"> PAGEREF _Toc138851287 \h </w:instrText>
            </w:r>
            <w:r>
              <w:rPr>
                <w:webHidden/>
              </w:rPr>
            </w:r>
            <w:r>
              <w:rPr>
                <w:webHidden/>
              </w:rPr>
              <w:fldChar w:fldCharType="separate"/>
            </w:r>
            <w:r w:rsidR="00165B17">
              <w:rPr>
                <w:webHidden/>
              </w:rPr>
              <w:t>230</w:t>
            </w:r>
            <w:r>
              <w:rPr>
                <w:webHidden/>
              </w:rPr>
              <w:fldChar w:fldCharType="end"/>
            </w:r>
          </w:hyperlink>
        </w:p>
        <w:p w14:paraId="4524D0AA" w14:textId="680F33FE" w:rsidR="00072EA6" w:rsidRDefault="00072EA6" w:rsidP="00072EA6">
          <w:pPr>
            <w:pStyle w:val="TableofFigures"/>
            <w:ind w:hanging="1080"/>
            <w:rPr>
              <w:rFonts w:cstheme="minorBidi"/>
              <w:kern w:val="2"/>
              <w:sz w:val="22"/>
              <w:lang w:val="en-AU" w:eastAsia="zh-CN"/>
              <w14:ligatures w14:val="standardContextual"/>
            </w:rPr>
          </w:pPr>
          <w:hyperlink w:anchor="_Toc138851288" w:history="1">
            <w:r w:rsidRPr="00223B90">
              <w:rPr>
                <w:rStyle w:val="Hyperlink"/>
              </w:rPr>
              <w:t>Table 8</w:t>
            </w:r>
            <w:r w:rsidRPr="00223B90">
              <w:rPr>
                <w:rStyle w:val="Hyperlink"/>
              </w:rPr>
              <w:noBreakHyphen/>
              <w:t>4. Changes in nKPIs across the evaluation sites, June 2017 to December 2019</w:t>
            </w:r>
            <w:r>
              <w:rPr>
                <w:webHidden/>
              </w:rPr>
              <w:tab/>
            </w:r>
            <w:r>
              <w:rPr>
                <w:webHidden/>
              </w:rPr>
              <w:fldChar w:fldCharType="begin"/>
            </w:r>
            <w:r>
              <w:rPr>
                <w:webHidden/>
              </w:rPr>
              <w:instrText xml:space="preserve"> PAGEREF _Toc138851288 \h </w:instrText>
            </w:r>
            <w:r>
              <w:rPr>
                <w:webHidden/>
              </w:rPr>
            </w:r>
            <w:r>
              <w:rPr>
                <w:webHidden/>
              </w:rPr>
              <w:fldChar w:fldCharType="separate"/>
            </w:r>
            <w:r w:rsidR="00165B17">
              <w:rPr>
                <w:webHidden/>
              </w:rPr>
              <w:t>232</w:t>
            </w:r>
            <w:r>
              <w:rPr>
                <w:webHidden/>
              </w:rPr>
              <w:fldChar w:fldCharType="end"/>
            </w:r>
          </w:hyperlink>
        </w:p>
        <w:p w14:paraId="3065D690" w14:textId="080CD2BE" w:rsidR="00072EA6" w:rsidRDefault="00072EA6" w:rsidP="00072EA6">
          <w:pPr>
            <w:pStyle w:val="TableofFigures"/>
            <w:ind w:hanging="1080"/>
            <w:rPr>
              <w:rFonts w:cstheme="minorBidi"/>
              <w:kern w:val="2"/>
              <w:sz w:val="22"/>
              <w:lang w:val="en-AU" w:eastAsia="zh-CN"/>
              <w14:ligatures w14:val="standardContextual"/>
            </w:rPr>
          </w:pPr>
          <w:hyperlink w:anchor="_Toc138851289" w:history="1">
            <w:r w:rsidRPr="00223B90">
              <w:rPr>
                <w:rStyle w:val="Hyperlink"/>
              </w:rPr>
              <w:t>Table 8</w:t>
            </w:r>
            <w:r w:rsidRPr="00223B90">
              <w:rPr>
                <w:rStyle w:val="Hyperlink"/>
              </w:rPr>
              <w:noBreakHyphen/>
              <w:t>5. Socio-economic Indexes for Areas (SEIFA)</w:t>
            </w:r>
            <w:r>
              <w:rPr>
                <w:webHidden/>
              </w:rPr>
              <w:tab/>
            </w:r>
            <w:r>
              <w:rPr>
                <w:webHidden/>
              </w:rPr>
              <w:fldChar w:fldCharType="begin"/>
            </w:r>
            <w:r>
              <w:rPr>
                <w:webHidden/>
              </w:rPr>
              <w:instrText xml:space="preserve"> PAGEREF _Toc138851289 \h </w:instrText>
            </w:r>
            <w:r>
              <w:rPr>
                <w:webHidden/>
              </w:rPr>
            </w:r>
            <w:r>
              <w:rPr>
                <w:webHidden/>
              </w:rPr>
              <w:fldChar w:fldCharType="separate"/>
            </w:r>
            <w:r w:rsidR="00165B17">
              <w:rPr>
                <w:webHidden/>
              </w:rPr>
              <w:t>239</w:t>
            </w:r>
            <w:r>
              <w:rPr>
                <w:webHidden/>
              </w:rPr>
              <w:fldChar w:fldCharType="end"/>
            </w:r>
          </w:hyperlink>
        </w:p>
        <w:p w14:paraId="4DE50CC2" w14:textId="0AF7725A" w:rsidR="00072EA6" w:rsidRDefault="00072EA6" w:rsidP="00072EA6">
          <w:pPr>
            <w:pStyle w:val="TableofFigures"/>
            <w:ind w:hanging="1080"/>
            <w:rPr>
              <w:rFonts w:cstheme="minorBidi"/>
              <w:kern w:val="2"/>
              <w:sz w:val="22"/>
              <w:lang w:val="en-AU" w:eastAsia="zh-CN"/>
              <w14:ligatures w14:val="standardContextual"/>
            </w:rPr>
          </w:pPr>
          <w:hyperlink w:anchor="_Toc138851290" w:history="1">
            <w:r w:rsidRPr="00223B90">
              <w:rPr>
                <w:rStyle w:val="Hyperlink"/>
              </w:rPr>
              <w:t>Table 8</w:t>
            </w:r>
            <w:r w:rsidRPr="00223B90">
              <w:rPr>
                <w:rStyle w:val="Hyperlink"/>
              </w:rPr>
              <w:noBreakHyphen/>
              <w:t>6. Standardised regression coefficients (in decreasing order) by time point and direction of effect for hospitalisations</w:t>
            </w:r>
            <w:r>
              <w:rPr>
                <w:webHidden/>
              </w:rPr>
              <w:tab/>
            </w:r>
            <w:r>
              <w:rPr>
                <w:webHidden/>
              </w:rPr>
              <w:fldChar w:fldCharType="begin"/>
            </w:r>
            <w:r>
              <w:rPr>
                <w:webHidden/>
              </w:rPr>
              <w:instrText xml:space="preserve"> PAGEREF _Toc138851290 \h </w:instrText>
            </w:r>
            <w:r>
              <w:rPr>
                <w:webHidden/>
              </w:rPr>
            </w:r>
            <w:r>
              <w:rPr>
                <w:webHidden/>
              </w:rPr>
              <w:fldChar w:fldCharType="separate"/>
            </w:r>
            <w:r w:rsidR="00165B17">
              <w:rPr>
                <w:webHidden/>
              </w:rPr>
              <w:t>244</w:t>
            </w:r>
            <w:r>
              <w:rPr>
                <w:webHidden/>
              </w:rPr>
              <w:fldChar w:fldCharType="end"/>
            </w:r>
          </w:hyperlink>
        </w:p>
        <w:p w14:paraId="67273C06" w14:textId="2EB96C36" w:rsidR="00072EA6" w:rsidRDefault="00072EA6" w:rsidP="00072EA6">
          <w:pPr>
            <w:pStyle w:val="TableofFigures"/>
            <w:ind w:hanging="1080"/>
            <w:rPr>
              <w:rFonts w:cstheme="minorBidi"/>
              <w:kern w:val="2"/>
              <w:sz w:val="22"/>
              <w:lang w:val="en-AU" w:eastAsia="zh-CN"/>
              <w14:ligatures w14:val="standardContextual"/>
            </w:rPr>
          </w:pPr>
          <w:hyperlink w:anchor="_Toc138851291" w:history="1">
            <w:r w:rsidRPr="00223B90">
              <w:rPr>
                <w:rStyle w:val="Hyperlink"/>
              </w:rPr>
              <w:t>Table 8</w:t>
            </w:r>
            <w:r w:rsidRPr="00223B90">
              <w:rPr>
                <w:rStyle w:val="Hyperlink"/>
              </w:rPr>
              <w:noBreakHyphen/>
              <w:t>7. Standardised regression coefficients (in decreasing order) by time point and direction of effect for PPH</w:t>
            </w:r>
            <w:r>
              <w:rPr>
                <w:webHidden/>
              </w:rPr>
              <w:tab/>
            </w:r>
            <w:r>
              <w:rPr>
                <w:webHidden/>
              </w:rPr>
              <w:fldChar w:fldCharType="begin"/>
            </w:r>
            <w:r>
              <w:rPr>
                <w:webHidden/>
              </w:rPr>
              <w:instrText xml:space="preserve"> PAGEREF _Toc138851291 \h </w:instrText>
            </w:r>
            <w:r>
              <w:rPr>
                <w:webHidden/>
              </w:rPr>
            </w:r>
            <w:r>
              <w:rPr>
                <w:webHidden/>
              </w:rPr>
              <w:fldChar w:fldCharType="separate"/>
            </w:r>
            <w:r w:rsidR="00165B17">
              <w:rPr>
                <w:webHidden/>
              </w:rPr>
              <w:t>245</w:t>
            </w:r>
            <w:r>
              <w:rPr>
                <w:webHidden/>
              </w:rPr>
              <w:fldChar w:fldCharType="end"/>
            </w:r>
          </w:hyperlink>
        </w:p>
        <w:p w14:paraId="6736B24E" w14:textId="34508482" w:rsidR="00072EA6" w:rsidRDefault="00072EA6" w:rsidP="00072EA6">
          <w:pPr>
            <w:pStyle w:val="TableofFigures"/>
            <w:ind w:hanging="1080"/>
            <w:rPr>
              <w:rFonts w:cstheme="minorBidi"/>
              <w:kern w:val="2"/>
              <w:sz w:val="22"/>
              <w:lang w:val="en-AU" w:eastAsia="zh-CN"/>
              <w14:ligatures w14:val="standardContextual"/>
            </w:rPr>
          </w:pPr>
          <w:hyperlink w:anchor="_Toc138851292" w:history="1">
            <w:r w:rsidRPr="00223B90">
              <w:rPr>
                <w:rStyle w:val="Hyperlink"/>
              </w:rPr>
              <w:t>Table 8</w:t>
            </w:r>
            <w:r w:rsidRPr="00223B90">
              <w:rPr>
                <w:rStyle w:val="Hyperlink"/>
              </w:rPr>
              <w:noBreakHyphen/>
              <w:t>8. Standardised regression coefficients (in decreasing order) by time point and direction of effect for ED presentations</w:t>
            </w:r>
            <w:r>
              <w:rPr>
                <w:webHidden/>
              </w:rPr>
              <w:tab/>
            </w:r>
            <w:r>
              <w:rPr>
                <w:webHidden/>
              </w:rPr>
              <w:fldChar w:fldCharType="begin"/>
            </w:r>
            <w:r>
              <w:rPr>
                <w:webHidden/>
              </w:rPr>
              <w:instrText xml:space="preserve"> PAGEREF _Toc138851292 \h </w:instrText>
            </w:r>
            <w:r>
              <w:rPr>
                <w:webHidden/>
              </w:rPr>
            </w:r>
            <w:r>
              <w:rPr>
                <w:webHidden/>
              </w:rPr>
              <w:fldChar w:fldCharType="separate"/>
            </w:r>
            <w:r w:rsidR="00165B17">
              <w:rPr>
                <w:webHidden/>
              </w:rPr>
              <w:t>246</w:t>
            </w:r>
            <w:r>
              <w:rPr>
                <w:webHidden/>
              </w:rPr>
              <w:fldChar w:fldCharType="end"/>
            </w:r>
          </w:hyperlink>
        </w:p>
        <w:p w14:paraId="38634B67" w14:textId="3F8B8BB7" w:rsidR="00072EA6" w:rsidRDefault="00072EA6" w:rsidP="00072EA6">
          <w:pPr>
            <w:pStyle w:val="TableofFigures"/>
            <w:ind w:hanging="1080"/>
            <w:rPr>
              <w:rFonts w:cstheme="minorBidi"/>
              <w:kern w:val="2"/>
              <w:sz w:val="22"/>
              <w:lang w:val="en-AU" w:eastAsia="zh-CN"/>
              <w14:ligatures w14:val="standardContextual"/>
            </w:rPr>
          </w:pPr>
          <w:hyperlink w:anchor="_Toc138851293" w:history="1">
            <w:r w:rsidRPr="00223B90">
              <w:rPr>
                <w:rStyle w:val="Hyperlink"/>
              </w:rPr>
              <w:t>Table 8</w:t>
            </w:r>
            <w:r w:rsidRPr="00223B90">
              <w:rPr>
                <w:rStyle w:val="Hyperlink"/>
              </w:rPr>
              <w:noBreakHyphen/>
              <w:t>9. Standardised regression coefficients (in decreasing order) by time point and direction of effect for mortality</w:t>
            </w:r>
            <w:r>
              <w:rPr>
                <w:webHidden/>
              </w:rPr>
              <w:tab/>
            </w:r>
            <w:r>
              <w:rPr>
                <w:webHidden/>
              </w:rPr>
              <w:fldChar w:fldCharType="begin"/>
            </w:r>
            <w:r>
              <w:rPr>
                <w:webHidden/>
              </w:rPr>
              <w:instrText xml:space="preserve"> PAGEREF _Toc138851293 \h </w:instrText>
            </w:r>
            <w:r>
              <w:rPr>
                <w:webHidden/>
              </w:rPr>
            </w:r>
            <w:r>
              <w:rPr>
                <w:webHidden/>
              </w:rPr>
              <w:fldChar w:fldCharType="separate"/>
            </w:r>
            <w:r w:rsidR="00165B17">
              <w:rPr>
                <w:webHidden/>
              </w:rPr>
              <w:t>247</w:t>
            </w:r>
            <w:r>
              <w:rPr>
                <w:webHidden/>
              </w:rPr>
              <w:fldChar w:fldCharType="end"/>
            </w:r>
          </w:hyperlink>
        </w:p>
        <w:p w14:paraId="54508BED" w14:textId="11EBF0DC" w:rsidR="00072EA6" w:rsidRDefault="00072EA6" w:rsidP="00072EA6">
          <w:pPr>
            <w:pStyle w:val="TableofFigures"/>
            <w:ind w:hanging="1080"/>
            <w:rPr>
              <w:rFonts w:cstheme="minorBidi"/>
              <w:kern w:val="2"/>
              <w:sz w:val="22"/>
              <w:lang w:val="en-AU" w:eastAsia="zh-CN"/>
              <w14:ligatures w14:val="standardContextual"/>
            </w:rPr>
          </w:pPr>
          <w:hyperlink w:anchor="_Toc138851294" w:history="1">
            <w:r w:rsidRPr="00223B90">
              <w:rPr>
                <w:rStyle w:val="Hyperlink"/>
              </w:rPr>
              <w:t>Table 8</w:t>
            </w:r>
            <w:r w:rsidRPr="00223B90">
              <w:rPr>
                <w:rStyle w:val="Hyperlink"/>
              </w:rPr>
              <w:noBreakHyphen/>
              <w:t>10. Standardised regression coefficients (in decreasing order) by timepoint and direction of effect for normal birthweight</w:t>
            </w:r>
            <w:r>
              <w:rPr>
                <w:webHidden/>
              </w:rPr>
              <w:tab/>
            </w:r>
            <w:r>
              <w:rPr>
                <w:webHidden/>
              </w:rPr>
              <w:fldChar w:fldCharType="begin"/>
            </w:r>
            <w:r>
              <w:rPr>
                <w:webHidden/>
              </w:rPr>
              <w:instrText xml:space="preserve"> PAGEREF _Toc138851294 \h </w:instrText>
            </w:r>
            <w:r>
              <w:rPr>
                <w:webHidden/>
              </w:rPr>
            </w:r>
            <w:r>
              <w:rPr>
                <w:webHidden/>
              </w:rPr>
              <w:fldChar w:fldCharType="separate"/>
            </w:r>
            <w:r w:rsidR="00165B17">
              <w:rPr>
                <w:webHidden/>
              </w:rPr>
              <w:t>248</w:t>
            </w:r>
            <w:r>
              <w:rPr>
                <w:webHidden/>
              </w:rPr>
              <w:fldChar w:fldCharType="end"/>
            </w:r>
          </w:hyperlink>
        </w:p>
        <w:p w14:paraId="3114F750" w14:textId="18337F4F" w:rsidR="00072EA6" w:rsidRDefault="00072EA6" w:rsidP="00072EA6">
          <w:pPr>
            <w:pStyle w:val="TableofFigures"/>
            <w:ind w:hanging="1080"/>
            <w:rPr>
              <w:rFonts w:cstheme="minorBidi"/>
              <w:kern w:val="2"/>
              <w:sz w:val="22"/>
              <w:lang w:val="en-AU" w:eastAsia="zh-CN"/>
              <w14:ligatures w14:val="standardContextual"/>
            </w:rPr>
          </w:pPr>
          <w:hyperlink w:anchor="_Toc138851295" w:history="1">
            <w:r w:rsidRPr="00223B90">
              <w:rPr>
                <w:rStyle w:val="Hyperlink"/>
              </w:rPr>
              <w:t>Table 12</w:t>
            </w:r>
            <w:r w:rsidRPr="00223B90">
              <w:rPr>
                <w:rStyle w:val="Hyperlink"/>
              </w:rPr>
              <w:noBreakHyphen/>
              <w:t>1</w:t>
            </w:r>
            <w:r w:rsidRPr="00223B90">
              <w:rPr>
                <w:rStyle w:val="Hyperlink"/>
                <w:lang w:val="en-NZ"/>
              </w:rPr>
              <w:t>: Intended outcomes of the evaluation’s recommendations</w:t>
            </w:r>
            <w:r>
              <w:rPr>
                <w:webHidden/>
              </w:rPr>
              <w:tab/>
            </w:r>
            <w:r>
              <w:rPr>
                <w:webHidden/>
              </w:rPr>
              <w:fldChar w:fldCharType="begin"/>
            </w:r>
            <w:r>
              <w:rPr>
                <w:webHidden/>
              </w:rPr>
              <w:instrText xml:space="preserve"> PAGEREF _Toc138851295 \h </w:instrText>
            </w:r>
            <w:r>
              <w:rPr>
                <w:webHidden/>
              </w:rPr>
            </w:r>
            <w:r>
              <w:rPr>
                <w:webHidden/>
              </w:rPr>
              <w:fldChar w:fldCharType="separate"/>
            </w:r>
            <w:r w:rsidR="00165B17">
              <w:rPr>
                <w:webHidden/>
              </w:rPr>
              <w:t>296</w:t>
            </w:r>
            <w:r>
              <w:rPr>
                <w:webHidden/>
              </w:rPr>
              <w:fldChar w:fldCharType="end"/>
            </w:r>
          </w:hyperlink>
        </w:p>
        <w:p w14:paraId="00033BC3" w14:textId="0C608757" w:rsidR="00B83BBF" w:rsidRPr="001F3B0E" w:rsidRDefault="00C95D24" w:rsidP="00C1191B">
          <w:pPr>
            <w:ind w:hanging="991"/>
            <w:rPr>
              <w:highlight w:val="cyan"/>
            </w:rPr>
          </w:pPr>
          <w:r w:rsidRPr="001F3B0E">
            <w:rPr>
              <w:highlight w:val="cyan"/>
            </w:rPr>
            <w:fldChar w:fldCharType="end"/>
          </w:r>
        </w:p>
        <w:p w14:paraId="24550D0C" w14:textId="77777777" w:rsidR="004B1432" w:rsidRPr="00723E24" w:rsidRDefault="004B1432" w:rsidP="003D4A7C">
          <w:pPr>
            <w:pStyle w:val="Heading1NotNumbered"/>
          </w:pPr>
          <w:bookmarkStart w:id="4" w:name="_Toc137208867"/>
          <w:r w:rsidRPr="00723E24">
            <w:t>List of figures</w:t>
          </w:r>
          <w:bookmarkEnd w:id="4"/>
        </w:p>
        <w:p w14:paraId="01476BCC" w14:textId="6200F719" w:rsidR="00072EA6" w:rsidRDefault="00C52355" w:rsidP="002D68D7">
          <w:pPr>
            <w:pStyle w:val="TableofFigures"/>
            <w:ind w:hanging="1080"/>
            <w:rPr>
              <w:rFonts w:cstheme="minorBidi"/>
              <w:kern w:val="2"/>
              <w:sz w:val="22"/>
              <w:lang w:val="en-AU" w:eastAsia="zh-CN"/>
              <w14:ligatures w14:val="standardContextual"/>
            </w:rPr>
          </w:pPr>
          <w:r w:rsidRPr="001F3B0E">
            <w:rPr>
              <w:highlight w:val="cyan"/>
            </w:rPr>
            <w:fldChar w:fldCharType="begin"/>
          </w:r>
          <w:r w:rsidRPr="001F3B0E">
            <w:rPr>
              <w:highlight w:val="cyan"/>
            </w:rPr>
            <w:instrText xml:space="preserve"> TOC \h \z \c "Figure" </w:instrText>
          </w:r>
          <w:r w:rsidRPr="001F3B0E">
            <w:rPr>
              <w:highlight w:val="cyan"/>
            </w:rPr>
            <w:fldChar w:fldCharType="separate"/>
          </w:r>
          <w:hyperlink r:id="rId36" w:anchor="_Toc138851306" w:history="1">
            <w:r w:rsidR="00072EA6" w:rsidRPr="00E32464">
              <w:rPr>
                <w:rStyle w:val="Hyperlink"/>
                <w:bCs/>
              </w:rPr>
              <w:t>Figure 0</w:t>
            </w:r>
            <w:r w:rsidR="00072EA6" w:rsidRPr="00E32464">
              <w:rPr>
                <w:rStyle w:val="Hyperlink"/>
                <w:bCs/>
              </w:rPr>
              <w:noBreakHyphen/>
              <w:t>1. Methods, analysis and data set diagram</w:t>
            </w:r>
            <w:r w:rsidR="00072EA6">
              <w:rPr>
                <w:webHidden/>
              </w:rPr>
              <w:tab/>
            </w:r>
            <w:r w:rsidR="00072EA6">
              <w:rPr>
                <w:webHidden/>
              </w:rPr>
              <w:fldChar w:fldCharType="begin"/>
            </w:r>
            <w:r w:rsidR="00072EA6">
              <w:rPr>
                <w:webHidden/>
              </w:rPr>
              <w:instrText xml:space="preserve"> PAGEREF _Toc138851306 \h </w:instrText>
            </w:r>
            <w:r w:rsidR="00072EA6">
              <w:rPr>
                <w:webHidden/>
              </w:rPr>
            </w:r>
            <w:r w:rsidR="00072EA6">
              <w:rPr>
                <w:webHidden/>
              </w:rPr>
              <w:fldChar w:fldCharType="separate"/>
            </w:r>
            <w:r w:rsidR="00165B17">
              <w:rPr>
                <w:webHidden/>
              </w:rPr>
              <w:t>7</w:t>
            </w:r>
            <w:r w:rsidR="00072EA6">
              <w:rPr>
                <w:webHidden/>
              </w:rPr>
              <w:fldChar w:fldCharType="end"/>
            </w:r>
          </w:hyperlink>
        </w:p>
        <w:p w14:paraId="2BFF1FA4" w14:textId="5BE6B3BF" w:rsidR="00072EA6" w:rsidRDefault="00072EA6" w:rsidP="002D68D7">
          <w:pPr>
            <w:pStyle w:val="TableofFigures"/>
            <w:ind w:hanging="1080"/>
            <w:rPr>
              <w:rFonts w:cstheme="minorBidi"/>
              <w:kern w:val="2"/>
              <w:sz w:val="22"/>
              <w:lang w:val="en-AU" w:eastAsia="zh-CN"/>
              <w14:ligatures w14:val="standardContextual"/>
            </w:rPr>
          </w:pPr>
          <w:hyperlink w:anchor="_Toc138851307" w:history="1">
            <w:r w:rsidRPr="00E32464">
              <w:rPr>
                <w:rStyle w:val="Hyperlink"/>
              </w:rPr>
              <w:t>Figure 1</w:t>
            </w:r>
            <w:r w:rsidRPr="00E32464">
              <w:rPr>
                <w:rStyle w:val="Hyperlink"/>
              </w:rPr>
              <w:noBreakHyphen/>
              <w:t>1. Evaluation sites and site partner organisations</w:t>
            </w:r>
            <w:r>
              <w:rPr>
                <w:webHidden/>
              </w:rPr>
              <w:tab/>
            </w:r>
            <w:r>
              <w:rPr>
                <w:webHidden/>
              </w:rPr>
              <w:fldChar w:fldCharType="begin"/>
            </w:r>
            <w:r>
              <w:rPr>
                <w:webHidden/>
              </w:rPr>
              <w:instrText xml:space="preserve"> PAGEREF _Toc138851307 \h </w:instrText>
            </w:r>
            <w:r>
              <w:rPr>
                <w:webHidden/>
              </w:rPr>
            </w:r>
            <w:r>
              <w:rPr>
                <w:webHidden/>
              </w:rPr>
              <w:fldChar w:fldCharType="separate"/>
            </w:r>
            <w:r w:rsidR="00165B17">
              <w:rPr>
                <w:webHidden/>
              </w:rPr>
              <w:t>34</w:t>
            </w:r>
            <w:r>
              <w:rPr>
                <w:webHidden/>
              </w:rPr>
              <w:fldChar w:fldCharType="end"/>
            </w:r>
          </w:hyperlink>
        </w:p>
        <w:p w14:paraId="756DA8B3" w14:textId="298B358D" w:rsidR="00072EA6" w:rsidRDefault="00072EA6" w:rsidP="002D68D7">
          <w:pPr>
            <w:pStyle w:val="TableofFigures"/>
            <w:ind w:hanging="1080"/>
            <w:rPr>
              <w:rFonts w:cstheme="minorBidi"/>
              <w:kern w:val="2"/>
              <w:sz w:val="22"/>
              <w:lang w:val="en-AU" w:eastAsia="zh-CN"/>
              <w14:ligatures w14:val="standardContextual"/>
            </w:rPr>
          </w:pPr>
          <w:hyperlink w:anchor="_Toc138851308" w:history="1">
            <w:r w:rsidRPr="00E32464">
              <w:rPr>
                <w:rStyle w:val="Hyperlink"/>
              </w:rPr>
              <w:t>Figure 1</w:t>
            </w:r>
            <w:r w:rsidRPr="00E32464">
              <w:rPr>
                <w:rStyle w:val="Hyperlink"/>
              </w:rPr>
              <w:noBreakHyphen/>
              <w:t>2. Circular framework of the Health Plan’s vision</w:t>
            </w:r>
            <w:r>
              <w:rPr>
                <w:webHidden/>
              </w:rPr>
              <w:tab/>
            </w:r>
            <w:r>
              <w:rPr>
                <w:webHidden/>
              </w:rPr>
              <w:fldChar w:fldCharType="begin"/>
            </w:r>
            <w:r>
              <w:rPr>
                <w:webHidden/>
              </w:rPr>
              <w:instrText xml:space="preserve"> PAGEREF _Toc138851308 \h </w:instrText>
            </w:r>
            <w:r>
              <w:rPr>
                <w:webHidden/>
              </w:rPr>
            </w:r>
            <w:r>
              <w:rPr>
                <w:webHidden/>
              </w:rPr>
              <w:fldChar w:fldCharType="separate"/>
            </w:r>
            <w:r w:rsidR="00165B17">
              <w:rPr>
                <w:webHidden/>
              </w:rPr>
              <w:t>40</w:t>
            </w:r>
            <w:r>
              <w:rPr>
                <w:webHidden/>
              </w:rPr>
              <w:fldChar w:fldCharType="end"/>
            </w:r>
          </w:hyperlink>
        </w:p>
        <w:p w14:paraId="0AEDC35E" w14:textId="7145016A" w:rsidR="00072EA6" w:rsidRDefault="00072EA6" w:rsidP="002D68D7">
          <w:pPr>
            <w:pStyle w:val="TableofFigures"/>
            <w:ind w:hanging="1080"/>
            <w:rPr>
              <w:rFonts w:cstheme="minorBidi"/>
              <w:kern w:val="2"/>
              <w:sz w:val="22"/>
              <w:lang w:val="en-AU" w:eastAsia="zh-CN"/>
              <w14:ligatures w14:val="standardContextual"/>
            </w:rPr>
          </w:pPr>
          <w:hyperlink r:id="rId37" w:anchor="_Toc138851309" w:history="1">
            <w:r w:rsidRPr="00E32464">
              <w:rPr>
                <w:rStyle w:val="Hyperlink"/>
                <w:bCs/>
              </w:rPr>
              <w:t>Figure 2</w:t>
            </w:r>
            <w:r w:rsidRPr="00E32464">
              <w:rPr>
                <w:rStyle w:val="Hyperlink"/>
                <w:bCs/>
              </w:rPr>
              <w:noBreakHyphen/>
              <w:t>1. Methods, analysis and data set diagram</w:t>
            </w:r>
            <w:r>
              <w:rPr>
                <w:webHidden/>
              </w:rPr>
              <w:tab/>
            </w:r>
            <w:r>
              <w:rPr>
                <w:webHidden/>
              </w:rPr>
              <w:fldChar w:fldCharType="begin"/>
            </w:r>
            <w:r>
              <w:rPr>
                <w:webHidden/>
              </w:rPr>
              <w:instrText xml:space="preserve"> PAGEREF _Toc138851309 \h </w:instrText>
            </w:r>
            <w:r>
              <w:rPr>
                <w:webHidden/>
              </w:rPr>
            </w:r>
            <w:r>
              <w:rPr>
                <w:webHidden/>
              </w:rPr>
              <w:fldChar w:fldCharType="separate"/>
            </w:r>
            <w:r w:rsidR="00165B17">
              <w:rPr>
                <w:webHidden/>
              </w:rPr>
              <w:t>52</w:t>
            </w:r>
            <w:r>
              <w:rPr>
                <w:webHidden/>
              </w:rPr>
              <w:fldChar w:fldCharType="end"/>
            </w:r>
          </w:hyperlink>
        </w:p>
        <w:p w14:paraId="5E6CB168" w14:textId="59E9EB3B" w:rsidR="00072EA6" w:rsidRDefault="00072EA6" w:rsidP="002D68D7">
          <w:pPr>
            <w:pStyle w:val="TableofFigures"/>
            <w:ind w:hanging="1080"/>
            <w:rPr>
              <w:rFonts w:cstheme="minorBidi"/>
              <w:kern w:val="2"/>
              <w:sz w:val="22"/>
              <w:lang w:val="en-AU" w:eastAsia="zh-CN"/>
              <w14:ligatures w14:val="standardContextual"/>
            </w:rPr>
          </w:pPr>
          <w:hyperlink r:id="rId38" w:anchor="_Toc138851310" w:history="1">
            <w:r w:rsidRPr="00E32464">
              <w:rPr>
                <w:rStyle w:val="Hyperlink"/>
              </w:rPr>
              <w:t>Figure 2</w:t>
            </w:r>
            <w:r w:rsidRPr="00E32464">
              <w:rPr>
                <w:rStyle w:val="Hyperlink"/>
              </w:rPr>
              <w:noBreakHyphen/>
              <w:t>2. Evaluation activities and number of participants by cycle design</w:t>
            </w:r>
            <w:r>
              <w:rPr>
                <w:webHidden/>
              </w:rPr>
              <w:tab/>
            </w:r>
            <w:r>
              <w:rPr>
                <w:webHidden/>
              </w:rPr>
              <w:fldChar w:fldCharType="begin"/>
            </w:r>
            <w:r>
              <w:rPr>
                <w:webHidden/>
              </w:rPr>
              <w:instrText xml:space="preserve"> PAGEREF _Toc138851310 \h </w:instrText>
            </w:r>
            <w:r>
              <w:rPr>
                <w:webHidden/>
              </w:rPr>
            </w:r>
            <w:r>
              <w:rPr>
                <w:webHidden/>
              </w:rPr>
              <w:fldChar w:fldCharType="separate"/>
            </w:r>
            <w:r w:rsidR="00165B17">
              <w:rPr>
                <w:webHidden/>
              </w:rPr>
              <w:t>57</w:t>
            </w:r>
            <w:r>
              <w:rPr>
                <w:webHidden/>
              </w:rPr>
              <w:fldChar w:fldCharType="end"/>
            </w:r>
          </w:hyperlink>
        </w:p>
        <w:p w14:paraId="0ADECED5" w14:textId="4C66C815" w:rsidR="00072EA6" w:rsidRDefault="00072EA6" w:rsidP="002D68D7">
          <w:pPr>
            <w:pStyle w:val="TableofFigures"/>
            <w:ind w:hanging="1080"/>
            <w:rPr>
              <w:rFonts w:cstheme="minorBidi"/>
              <w:kern w:val="2"/>
              <w:sz w:val="22"/>
              <w:lang w:val="en-AU" w:eastAsia="zh-CN"/>
              <w14:ligatures w14:val="standardContextual"/>
            </w:rPr>
          </w:pPr>
          <w:hyperlink w:anchor="_Toc138851311" w:history="1">
            <w:r w:rsidRPr="00E32464">
              <w:rPr>
                <w:rStyle w:val="Hyperlink"/>
              </w:rPr>
              <w:t>Figure 2</w:t>
            </w:r>
            <w:r w:rsidRPr="00E32464">
              <w:rPr>
                <w:rStyle w:val="Hyperlink"/>
              </w:rPr>
              <w:noBreakHyphen/>
              <w:t>3. Approach to contribution analysis</w:t>
            </w:r>
            <w:r>
              <w:rPr>
                <w:webHidden/>
              </w:rPr>
              <w:tab/>
            </w:r>
            <w:r>
              <w:rPr>
                <w:webHidden/>
              </w:rPr>
              <w:fldChar w:fldCharType="begin"/>
            </w:r>
            <w:r>
              <w:rPr>
                <w:webHidden/>
              </w:rPr>
              <w:instrText xml:space="preserve"> PAGEREF _Toc138851311 \h </w:instrText>
            </w:r>
            <w:r>
              <w:rPr>
                <w:webHidden/>
              </w:rPr>
            </w:r>
            <w:r>
              <w:rPr>
                <w:webHidden/>
              </w:rPr>
              <w:fldChar w:fldCharType="separate"/>
            </w:r>
            <w:r w:rsidR="00165B17">
              <w:rPr>
                <w:webHidden/>
              </w:rPr>
              <w:t>66</w:t>
            </w:r>
            <w:r>
              <w:rPr>
                <w:webHidden/>
              </w:rPr>
              <w:fldChar w:fldCharType="end"/>
            </w:r>
          </w:hyperlink>
        </w:p>
        <w:p w14:paraId="20B17202" w14:textId="6560010F" w:rsidR="00072EA6" w:rsidRDefault="00072EA6" w:rsidP="002D68D7">
          <w:pPr>
            <w:pStyle w:val="TableofFigures"/>
            <w:ind w:hanging="1080"/>
            <w:rPr>
              <w:rFonts w:cstheme="minorBidi"/>
              <w:kern w:val="2"/>
              <w:sz w:val="22"/>
              <w:lang w:val="en-AU" w:eastAsia="zh-CN"/>
              <w14:ligatures w14:val="standardContextual"/>
            </w:rPr>
          </w:pPr>
          <w:hyperlink w:anchor="_Toc138851312" w:history="1">
            <w:r w:rsidRPr="00E32464">
              <w:rPr>
                <w:rStyle w:val="Hyperlink"/>
              </w:rPr>
              <w:t>Figure 3</w:t>
            </w:r>
            <w:r w:rsidRPr="00E32464">
              <w:rPr>
                <w:rStyle w:val="Hyperlink"/>
              </w:rPr>
              <w:noBreakHyphen/>
              <w:t>1. National IAHP grant funding expenditure by funding stream, 2018-19 to 2020-21</w:t>
            </w:r>
            <w:r>
              <w:rPr>
                <w:webHidden/>
              </w:rPr>
              <w:tab/>
            </w:r>
            <w:r>
              <w:rPr>
                <w:webHidden/>
              </w:rPr>
              <w:fldChar w:fldCharType="begin"/>
            </w:r>
            <w:r>
              <w:rPr>
                <w:webHidden/>
              </w:rPr>
              <w:instrText xml:space="preserve"> PAGEREF _Toc138851312 \h </w:instrText>
            </w:r>
            <w:r>
              <w:rPr>
                <w:webHidden/>
              </w:rPr>
            </w:r>
            <w:r>
              <w:rPr>
                <w:webHidden/>
              </w:rPr>
              <w:fldChar w:fldCharType="separate"/>
            </w:r>
            <w:r w:rsidR="00165B17">
              <w:rPr>
                <w:webHidden/>
              </w:rPr>
              <w:t>83</w:t>
            </w:r>
            <w:r>
              <w:rPr>
                <w:webHidden/>
              </w:rPr>
              <w:fldChar w:fldCharType="end"/>
            </w:r>
          </w:hyperlink>
        </w:p>
        <w:p w14:paraId="526F8C25" w14:textId="6716F327" w:rsidR="00072EA6" w:rsidRDefault="00072EA6" w:rsidP="002D68D7">
          <w:pPr>
            <w:pStyle w:val="TableofFigures"/>
            <w:ind w:hanging="1080"/>
            <w:rPr>
              <w:rFonts w:cstheme="minorBidi"/>
              <w:kern w:val="2"/>
              <w:sz w:val="22"/>
              <w:lang w:val="en-AU" w:eastAsia="zh-CN"/>
              <w14:ligatures w14:val="standardContextual"/>
            </w:rPr>
          </w:pPr>
          <w:hyperlink w:anchor="_Toc138851313" w:history="1">
            <w:r w:rsidRPr="00E32464">
              <w:rPr>
                <w:rStyle w:val="Hyperlink"/>
              </w:rPr>
              <w:t>Figure 3</w:t>
            </w:r>
            <w:r w:rsidRPr="00E32464">
              <w:rPr>
                <w:rStyle w:val="Hyperlink"/>
              </w:rPr>
              <w:noBreakHyphen/>
              <w:t>2. National and Australian Government health spending, constant prices, 2014-15 to 2020-21</w:t>
            </w:r>
            <w:r>
              <w:rPr>
                <w:webHidden/>
              </w:rPr>
              <w:tab/>
            </w:r>
            <w:r>
              <w:rPr>
                <w:webHidden/>
              </w:rPr>
              <w:fldChar w:fldCharType="begin"/>
            </w:r>
            <w:r>
              <w:rPr>
                <w:webHidden/>
              </w:rPr>
              <w:instrText xml:space="preserve"> PAGEREF _Toc138851313 \h </w:instrText>
            </w:r>
            <w:r>
              <w:rPr>
                <w:webHidden/>
              </w:rPr>
            </w:r>
            <w:r>
              <w:rPr>
                <w:webHidden/>
              </w:rPr>
              <w:fldChar w:fldCharType="separate"/>
            </w:r>
            <w:r w:rsidR="00165B17">
              <w:rPr>
                <w:webHidden/>
              </w:rPr>
              <w:t>84</w:t>
            </w:r>
            <w:r>
              <w:rPr>
                <w:webHidden/>
              </w:rPr>
              <w:fldChar w:fldCharType="end"/>
            </w:r>
          </w:hyperlink>
        </w:p>
        <w:p w14:paraId="1C6043FB" w14:textId="6BB75975" w:rsidR="00072EA6" w:rsidRDefault="00072EA6" w:rsidP="002D68D7">
          <w:pPr>
            <w:pStyle w:val="TableofFigures"/>
            <w:ind w:hanging="1080"/>
            <w:rPr>
              <w:rFonts w:cstheme="minorBidi"/>
              <w:kern w:val="2"/>
              <w:sz w:val="22"/>
              <w:lang w:val="en-AU" w:eastAsia="zh-CN"/>
              <w14:ligatures w14:val="standardContextual"/>
            </w:rPr>
          </w:pPr>
          <w:hyperlink w:anchor="_Toc138851314" w:history="1">
            <w:r w:rsidRPr="00E32464">
              <w:rPr>
                <w:rStyle w:val="Hyperlink"/>
              </w:rPr>
              <w:t>Figure 3</w:t>
            </w:r>
            <w:r w:rsidRPr="00E32464">
              <w:rPr>
                <w:rStyle w:val="Hyperlink"/>
              </w:rPr>
              <w:noBreakHyphen/>
              <w:t>3. IAHP proportion of health expenditure, constant prices, 2014-15 to 2020-21</w:t>
            </w:r>
            <w:r>
              <w:rPr>
                <w:webHidden/>
              </w:rPr>
              <w:tab/>
            </w:r>
            <w:r>
              <w:rPr>
                <w:webHidden/>
              </w:rPr>
              <w:fldChar w:fldCharType="begin"/>
            </w:r>
            <w:r>
              <w:rPr>
                <w:webHidden/>
              </w:rPr>
              <w:instrText xml:space="preserve"> PAGEREF _Toc138851314 \h </w:instrText>
            </w:r>
            <w:r>
              <w:rPr>
                <w:webHidden/>
              </w:rPr>
            </w:r>
            <w:r>
              <w:rPr>
                <w:webHidden/>
              </w:rPr>
              <w:fldChar w:fldCharType="separate"/>
            </w:r>
            <w:r w:rsidR="00165B17">
              <w:rPr>
                <w:webHidden/>
              </w:rPr>
              <w:t>84</w:t>
            </w:r>
            <w:r>
              <w:rPr>
                <w:webHidden/>
              </w:rPr>
              <w:fldChar w:fldCharType="end"/>
            </w:r>
          </w:hyperlink>
        </w:p>
        <w:p w14:paraId="341CB42C" w14:textId="5355C34B" w:rsidR="00072EA6" w:rsidRDefault="00072EA6" w:rsidP="002D68D7">
          <w:pPr>
            <w:pStyle w:val="TableofFigures"/>
            <w:ind w:hanging="1080"/>
            <w:rPr>
              <w:rFonts w:cstheme="minorBidi"/>
              <w:kern w:val="2"/>
              <w:sz w:val="22"/>
              <w:lang w:val="en-AU" w:eastAsia="zh-CN"/>
              <w14:ligatures w14:val="standardContextual"/>
            </w:rPr>
          </w:pPr>
          <w:hyperlink w:anchor="_Toc138851315" w:history="1">
            <w:r w:rsidRPr="00E32464">
              <w:rPr>
                <w:rStyle w:val="Hyperlink"/>
              </w:rPr>
              <w:t>Figure 3</w:t>
            </w:r>
            <w:r w:rsidRPr="00E32464">
              <w:rPr>
                <w:rStyle w:val="Hyperlink"/>
              </w:rPr>
              <w:noBreakHyphen/>
              <w:t>4. IAHP funding flows to funded organisations</w:t>
            </w:r>
            <w:r>
              <w:rPr>
                <w:webHidden/>
              </w:rPr>
              <w:tab/>
            </w:r>
            <w:r>
              <w:rPr>
                <w:webHidden/>
              </w:rPr>
              <w:fldChar w:fldCharType="begin"/>
            </w:r>
            <w:r>
              <w:rPr>
                <w:webHidden/>
              </w:rPr>
              <w:instrText xml:space="preserve"> PAGEREF _Toc138851315 \h </w:instrText>
            </w:r>
            <w:r>
              <w:rPr>
                <w:webHidden/>
              </w:rPr>
            </w:r>
            <w:r>
              <w:rPr>
                <w:webHidden/>
              </w:rPr>
              <w:fldChar w:fldCharType="separate"/>
            </w:r>
            <w:r w:rsidR="00165B17">
              <w:rPr>
                <w:webHidden/>
              </w:rPr>
              <w:t>86</w:t>
            </w:r>
            <w:r>
              <w:rPr>
                <w:webHidden/>
              </w:rPr>
              <w:fldChar w:fldCharType="end"/>
            </w:r>
          </w:hyperlink>
        </w:p>
        <w:p w14:paraId="4C38DA78" w14:textId="4544F41C" w:rsidR="00072EA6" w:rsidRDefault="00072EA6" w:rsidP="002D68D7">
          <w:pPr>
            <w:pStyle w:val="TableofFigures"/>
            <w:ind w:hanging="1080"/>
            <w:rPr>
              <w:rFonts w:cstheme="minorBidi"/>
              <w:kern w:val="2"/>
              <w:sz w:val="22"/>
              <w:lang w:val="en-AU" w:eastAsia="zh-CN"/>
              <w14:ligatures w14:val="standardContextual"/>
            </w:rPr>
          </w:pPr>
          <w:hyperlink w:anchor="_Toc138851316" w:history="1">
            <w:r w:rsidRPr="00E32464">
              <w:rPr>
                <w:rStyle w:val="Hyperlink"/>
              </w:rPr>
              <w:t>Figure 3</w:t>
            </w:r>
            <w:r w:rsidRPr="00E32464">
              <w:rPr>
                <w:rStyle w:val="Hyperlink"/>
              </w:rPr>
              <w:noBreakHyphen/>
              <w:t>5. IAHP funded organisations (% of funding), 2021-22</w:t>
            </w:r>
            <w:r>
              <w:rPr>
                <w:webHidden/>
              </w:rPr>
              <w:tab/>
            </w:r>
            <w:r>
              <w:rPr>
                <w:webHidden/>
              </w:rPr>
              <w:fldChar w:fldCharType="begin"/>
            </w:r>
            <w:r>
              <w:rPr>
                <w:webHidden/>
              </w:rPr>
              <w:instrText xml:space="preserve"> PAGEREF _Toc138851316 \h </w:instrText>
            </w:r>
            <w:r>
              <w:rPr>
                <w:webHidden/>
              </w:rPr>
            </w:r>
            <w:r>
              <w:rPr>
                <w:webHidden/>
              </w:rPr>
              <w:fldChar w:fldCharType="separate"/>
            </w:r>
            <w:r w:rsidR="00165B17">
              <w:rPr>
                <w:webHidden/>
              </w:rPr>
              <w:t>87</w:t>
            </w:r>
            <w:r>
              <w:rPr>
                <w:webHidden/>
              </w:rPr>
              <w:fldChar w:fldCharType="end"/>
            </w:r>
          </w:hyperlink>
        </w:p>
        <w:p w14:paraId="3C22094E" w14:textId="4E068381" w:rsidR="00072EA6" w:rsidRDefault="00072EA6" w:rsidP="002D68D7">
          <w:pPr>
            <w:pStyle w:val="TableofFigures"/>
            <w:ind w:hanging="1080"/>
            <w:rPr>
              <w:rFonts w:cstheme="minorBidi"/>
              <w:kern w:val="2"/>
              <w:sz w:val="22"/>
              <w:lang w:val="en-AU" w:eastAsia="zh-CN"/>
              <w14:ligatures w14:val="standardContextual"/>
            </w:rPr>
          </w:pPr>
          <w:hyperlink w:anchor="_Toc138851317" w:history="1">
            <w:r w:rsidRPr="00E32464">
              <w:rPr>
                <w:rStyle w:val="Hyperlink"/>
              </w:rPr>
              <w:t>Figure 3</w:t>
            </w:r>
            <w:r w:rsidRPr="00E32464">
              <w:rPr>
                <w:rStyle w:val="Hyperlink"/>
              </w:rPr>
              <w:noBreakHyphen/>
              <w:t>6. IAHP PHC Program funded organisations (% of funded organisations), 2022-23</w:t>
            </w:r>
            <w:r>
              <w:rPr>
                <w:webHidden/>
              </w:rPr>
              <w:tab/>
            </w:r>
            <w:r>
              <w:rPr>
                <w:webHidden/>
              </w:rPr>
              <w:fldChar w:fldCharType="begin"/>
            </w:r>
            <w:r>
              <w:rPr>
                <w:webHidden/>
              </w:rPr>
              <w:instrText xml:space="preserve"> PAGEREF _Toc138851317 \h </w:instrText>
            </w:r>
            <w:r>
              <w:rPr>
                <w:webHidden/>
              </w:rPr>
            </w:r>
            <w:r>
              <w:rPr>
                <w:webHidden/>
              </w:rPr>
              <w:fldChar w:fldCharType="separate"/>
            </w:r>
            <w:r w:rsidR="00165B17">
              <w:rPr>
                <w:webHidden/>
              </w:rPr>
              <w:t>87</w:t>
            </w:r>
            <w:r>
              <w:rPr>
                <w:webHidden/>
              </w:rPr>
              <w:fldChar w:fldCharType="end"/>
            </w:r>
          </w:hyperlink>
        </w:p>
        <w:p w14:paraId="00CBDBC4" w14:textId="0CD95803" w:rsidR="00072EA6" w:rsidRDefault="00072EA6" w:rsidP="002D68D7">
          <w:pPr>
            <w:pStyle w:val="TableofFigures"/>
            <w:ind w:hanging="1080"/>
            <w:rPr>
              <w:rFonts w:cstheme="minorBidi"/>
              <w:kern w:val="2"/>
              <w:sz w:val="22"/>
              <w:lang w:val="en-AU" w:eastAsia="zh-CN"/>
              <w14:ligatures w14:val="standardContextual"/>
            </w:rPr>
          </w:pPr>
          <w:hyperlink w:anchor="_Toc138851318" w:history="1">
            <w:r w:rsidRPr="00E32464">
              <w:rPr>
                <w:rStyle w:val="Hyperlink"/>
              </w:rPr>
              <w:t>Figure 3</w:t>
            </w:r>
            <w:r w:rsidRPr="00E32464">
              <w:rPr>
                <w:rStyle w:val="Hyperlink"/>
              </w:rPr>
              <w:noBreakHyphen/>
              <w:t>7. IAHP funding by state and territory, 2021-22</w:t>
            </w:r>
            <w:r>
              <w:rPr>
                <w:webHidden/>
              </w:rPr>
              <w:tab/>
            </w:r>
            <w:r>
              <w:rPr>
                <w:webHidden/>
              </w:rPr>
              <w:fldChar w:fldCharType="begin"/>
            </w:r>
            <w:r>
              <w:rPr>
                <w:webHidden/>
              </w:rPr>
              <w:instrText xml:space="preserve"> PAGEREF _Toc138851318 \h </w:instrText>
            </w:r>
            <w:r>
              <w:rPr>
                <w:webHidden/>
              </w:rPr>
            </w:r>
            <w:r>
              <w:rPr>
                <w:webHidden/>
              </w:rPr>
              <w:fldChar w:fldCharType="separate"/>
            </w:r>
            <w:r w:rsidR="00165B17">
              <w:rPr>
                <w:webHidden/>
              </w:rPr>
              <w:t>88</w:t>
            </w:r>
            <w:r>
              <w:rPr>
                <w:webHidden/>
              </w:rPr>
              <w:fldChar w:fldCharType="end"/>
            </w:r>
          </w:hyperlink>
        </w:p>
        <w:p w14:paraId="27BAAD4B" w14:textId="168A7998" w:rsidR="00072EA6" w:rsidRDefault="00072EA6" w:rsidP="002D68D7">
          <w:pPr>
            <w:pStyle w:val="TableofFigures"/>
            <w:ind w:hanging="1080"/>
            <w:rPr>
              <w:rFonts w:cstheme="minorBidi"/>
              <w:kern w:val="2"/>
              <w:sz w:val="22"/>
              <w:lang w:val="en-AU" w:eastAsia="zh-CN"/>
              <w14:ligatures w14:val="standardContextual"/>
            </w:rPr>
          </w:pPr>
          <w:hyperlink w:anchor="_Toc138851319" w:history="1">
            <w:r w:rsidRPr="00E32464">
              <w:rPr>
                <w:rStyle w:val="Hyperlink"/>
              </w:rPr>
              <w:t>Figure 3</w:t>
            </w:r>
            <w:r w:rsidRPr="00E32464">
              <w:rPr>
                <w:rStyle w:val="Hyperlink"/>
              </w:rPr>
              <w:noBreakHyphen/>
              <w:t>8. IAHP funding per Indigenous person by state and territory, 2019-20</w:t>
            </w:r>
            <w:r>
              <w:rPr>
                <w:webHidden/>
              </w:rPr>
              <w:tab/>
            </w:r>
            <w:r>
              <w:rPr>
                <w:webHidden/>
              </w:rPr>
              <w:fldChar w:fldCharType="begin"/>
            </w:r>
            <w:r>
              <w:rPr>
                <w:webHidden/>
              </w:rPr>
              <w:instrText xml:space="preserve"> PAGEREF _Toc138851319 \h </w:instrText>
            </w:r>
            <w:r>
              <w:rPr>
                <w:webHidden/>
              </w:rPr>
            </w:r>
            <w:r>
              <w:rPr>
                <w:webHidden/>
              </w:rPr>
              <w:fldChar w:fldCharType="separate"/>
            </w:r>
            <w:r w:rsidR="00165B17">
              <w:rPr>
                <w:webHidden/>
              </w:rPr>
              <w:t>89</w:t>
            </w:r>
            <w:r>
              <w:rPr>
                <w:webHidden/>
              </w:rPr>
              <w:fldChar w:fldCharType="end"/>
            </w:r>
          </w:hyperlink>
        </w:p>
        <w:p w14:paraId="3F96EDD7" w14:textId="703A9113" w:rsidR="00072EA6" w:rsidRDefault="00072EA6" w:rsidP="002D68D7">
          <w:pPr>
            <w:pStyle w:val="TableofFigures"/>
            <w:ind w:hanging="1080"/>
            <w:rPr>
              <w:rFonts w:cstheme="minorBidi"/>
              <w:kern w:val="2"/>
              <w:sz w:val="22"/>
              <w:lang w:val="en-AU" w:eastAsia="zh-CN"/>
              <w14:ligatures w14:val="standardContextual"/>
            </w:rPr>
          </w:pPr>
          <w:hyperlink w:anchor="_Toc138851320" w:history="1">
            <w:r w:rsidRPr="00E32464">
              <w:rPr>
                <w:rStyle w:val="Hyperlink"/>
              </w:rPr>
              <w:t>Figure 3</w:t>
            </w:r>
            <w:r w:rsidRPr="00E32464">
              <w:rPr>
                <w:rStyle w:val="Hyperlink"/>
              </w:rPr>
              <w:noBreakHyphen/>
              <w:t>9. Number of clients of IAHP funded organisations and total Aboriginal and Torres Strait Islander population by state and territory</w:t>
            </w:r>
            <w:r>
              <w:rPr>
                <w:webHidden/>
              </w:rPr>
              <w:tab/>
            </w:r>
            <w:r>
              <w:rPr>
                <w:webHidden/>
              </w:rPr>
              <w:fldChar w:fldCharType="begin"/>
            </w:r>
            <w:r>
              <w:rPr>
                <w:webHidden/>
              </w:rPr>
              <w:instrText xml:space="preserve"> PAGEREF _Toc138851320 \h </w:instrText>
            </w:r>
            <w:r>
              <w:rPr>
                <w:webHidden/>
              </w:rPr>
            </w:r>
            <w:r>
              <w:rPr>
                <w:webHidden/>
              </w:rPr>
              <w:fldChar w:fldCharType="separate"/>
            </w:r>
            <w:r w:rsidR="00165B17">
              <w:rPr>
                <w:webHidden/>
              </w:rPr>
              <w:t>90</w:t>
            </w:r>
            <w:r>
              <w:rPr>
                <w:webHidden/>
              </w:rPr>
              <w:fldChar w:fldCharType="end"/>
            </w:r>
          </w:hyperlink>
        </w:p>
        <w:p w14:paraId="1C2F1D0C" w14:textId="52C41A8E" w:rsidR="00072EA6" w:rsidRDefault="00072EA6" w:rsidP="002D68D7">
          <w:pPr>
            <w:pStyle w:val="TableofFigures"/>
            <w:ind w:hanging="1080"/>
            <w:rPr>
              <w:rFonts w:cstheme="minorBidi"/>
              <w:kern w:val="2"/>
              <w:sz w:val="22"/>
              <w:lang w:val="en-AU" w:eastAsia="zh-CN"/>
              <w14:ligatures w14:val="standardContextual"/>
            </w:rPr>
          </w:pPr>
          <w:hyperlink w:anchor="_Toc138851321" w:history="1">
            <w:r w:rsidRPr="00E32464">
              <w:rPr>
                <w:rStyle w:val="Hyperlink"/>
              </w:rPr>
              <w:t>Figure 3</w:t>
            </w:r>
            <w:r w:rsidRPr="00E32464">
              <w:rPr>
                <w:rStyle w:val="Hyperlink"/>
              </w:rPr>
              <w:noBreakHyphen/>
              <w:t>10. Total IAHP grant funding expenditure per client by state and territory, 2019-20</w:t>
            </w:r>
            <w:r>
              <w:rPr>
                <w:webHidden/>
              </w:rPr>
              <w:tab/>
            </w:r>
            <w:r>
              <w:rPr>
                <w:webHidden/>
              </w:rPr>
              <w:fldChar w:fldCharType="begin"/>
            </w:r>
            <w:r>
              <w:rPr>
                <w:webHidden/>
              </w:rPr>
              <w:instrText xml:space="preserve"> PAGEREF _Toc138851321 \h </w:instrText>
            </w:r>
            <w:r>
              <w:rPr>
                <w:webHidden/>
              </w:rPr>
            </w:r>
            <w:r>
              <w:rPr>
                <w:webHidden/>
              </w:rPr>
              <w:fldChar w:fldCharType="separate"/>
            </w:r>
            <w:r w:rsidR="00165B17">
              <w:rPr>
                <w:webHidden/>
              </w:rPr>
              <w:t>90</w:t>
            </w:r>
            <w:r>
              <w:rPr>
                <w:webHidden/>
              </w:rPr>
              <w:fldChar w:fldCharType="end"/>
            </w:r>
          </w:hyperlink>
        </w:p>
        <w:p w14:paraId="567A1F8A" w14:textId="34340480" w:rsidR="00072EA6" w:rsidRDefault="00072EA6" w:rsidP="002D68D7">
          <w:pPr>
            <w:pStyle w:val="TableofFigures"/>
            <w:ind w:hanging="1080"/>
            <w:rPr>
              <w:rFonts w:cstheme="minorBidi"/>
              <w:kern w:val="2"/>
              <w:sz w:val="22"/>
              <w:lang w:val="en-AU" w:eastAsia="zh-CN"/>
              <w14:ligatures w14:val="standardContextual"/>
            </w:rPr>
          </w:pPr>
          <w:hyperlink w:anchor="_Toc138851322" w:history="1">
            <w:r w:rsidRPr="00E32464">
              <w:rPr>
                <w:rStyle w:val="Hyperlink"/>
              </w:rPr>
              <w:t>Figure 3</w:t>
            </w:r>
            <w:r w:rsidRPr="00E32464">
              <w:rPr>
                <w:rStyle w:val="Hyperlink"/>
              </w:rPr>
              <w:noBreakHyphen/>
              <w:t>11. National IAHP grant funding expenditure, 2014-15 to 2020-21</w:t>
            </w:r>
            <w:r>
              <w:rPr>
                <w:webHidden/>
              </w:rPr>
              <w:tab/>
            </w:r>
            <w:r>
              <w:rPr>
                <w:webHidden/>
              </w:rPr>
              <w:fldChar w:fldCharType="begin"/>
            </w:r>
            <w:r>
              <w:rPr>
                <w:webHidden/>
              </w:rPr>
              <w:instrText xml:space="preserve"> PAGEREF _Toc138851322 \h </w:instrText>
            </w:r>
            <w:r>
              <w:rPr>
                <w:webHidden/>
              </w:rPr>
            </w:r>
            <w:r>
              <w:rPr>
                <w:webHidden/>
              </w:rPr>
              <w:fldChar w:fldCharType="separate"/>
            </w:r>
            <w:r w:rsidR="00165B17">
              <w:rPr>
                <w:webHidden/>
              </w:rPr>
              <w:t>91</w:t>
            </w:r>
            <w:r>
              <w:rPr>
                <w:webHidden/>
              </w:rPr>
              <w:fldChar w:fldCharType="end"/>
            </w:r>
          </w:hyperlink>
        </w:p>
        <w:p w14:paraId="2618C43B" w14:textId="12A4763A" w:rsidR="00072EA6" w:rsidRDefault="00072EA6" w:rsidP="002D68D7">
          <w:pPr>
            <w:pStyle w:val="TableofFigures"/>
            <w:ind w:hanging="1080"/>
            <w:rPr>
              <w:rFonts w:cstheme="minorBidi"/>
              <w:kern w:val="2"/>
              <w:sz w:val="22"/>
              <w:lang w:val="en-AU" w:eastAsia="zh-CN"/>
              <w14:ligatures w14:val="standardContextual"/>
            </w:rPr>
          </w:pPr>
          <w:hyperlink w:anchor="_Toc138851323" w:history="1">
            <w:r w:rsidRPr="00E32464">
              <w:rPr>
                <w:rStyle w:val="Hyperlink"/>
              </w:rPr>
              <w:t>Figure 3</w:t>
            </w:r>
            <w:r w:rsidRPr="00E32464">
              <w:rPr>
                <w:rStyle w:val="Hyperlink"/>
              </w:rPr>
              <w:noBreakHyphen/>
              <w:t>12. Total IAHP grant funding expenditure, constant prices, 2014-15 to 2020-21</w:t>
            </w:r>
            <w:r>
              <w:rPr>
                <w:webHidden/>
              </w:rPr>
              <w:tab/>
            </w:r>
            <w:r>
              <w:rPr>
                <w:webHidden/>
              </w:rPr>
              <w:fldChar w:fldCharType="begin"/>
            </w:r>
            <w:r>
              <w:rPr>
                <w:webHidden/>
              </w:rPr>
              <w:instrText xml:space="preserve"> PAGEREF _Toc138851323 \h </w:instrText>
            </w:r>
            <w:r>
              <w:rPr>
                <w:webHidden/>
              </w:rPr>
            </w:r>
            <w:r>
              <w:rPr>
                <w:webHidden/>
              </w:rPr>
              <w:fldChar w:fldCharType="separate"/>
            </w:r>
            <w:r w:rsidR="00165B17">
              <w:rPr>
                <w:webHidden/>
              </w:rPr>
              <w:t>92</w:t>
            </w:r>
            <w:r>
              <w:rPr>
                <w:webHidden/>
              </w:rPr>
              <w:fldChar w:fldCharType="end"/>
            </w:r>
          </w:hyperlink>
        </w:p>
        <w:p w14:paraId="1F2CCFC5" w14:textId="36E3E7B2" w:rsidR="00072EA6" w:rsidRDefault="00072EA6" w:rsidP="002D68D7">
          <w:pPr>
            <w:pStyle w:val="TableofFigures"/>
            <w:ind w:hanging="1080"/>
            <w:rPr>
              <w:rFonts w:cstheme="minorBidi"/>
              <w:kern w:val="2"/>
              <w:sz w:val="22"/>
              <w:lang w:val="en-AU" w:eastAsia="zh-CN"/>
              <w14:ligatures w14:val="standardContextual"/>
            </w:rPr>
          </w:pPr>
          <w:hyperlink w:anchor="_Toc138851324" w:history="1">
            <w:r w:rsidRPr="00E32464">
              <w:rPr>
                <w:rStyle w:val="Hyperlink"/>
              </w:rPr>
              <w:t>Figure 3</w:t>
            </w:r>
            <w:r w:rsidRPr="00E32464">
              <w:rPr>
                <w:rStyle w:val="Hyperlink"/>
              </w:rPr>
              <w:noBreakHyphen/>
              <w:t xml:space="preserve">13. </w:t>
            </w:r>
            <w:r w:rsidRPr="00E32464">
              <w:rPr>
                <w:rStyle w:val="Hyperlink"/>
                <w:lang w:eastAsia="en-NZ"/>
              </w:rPr>
              <w:t>Number of clients and client contacts at organisations receiving IAHP funding, 2014-15 to 2019-20</w:t>
            </w:r>
            <w:r>
              <w:rPr>
                <w:webHidden/>
              </w:rPr>
              <w:tab/>
            </w:r>
            <w:r>
              <w:rPr>
                <w:webHidden/>
              </w:rPr>
              <w:fldChar w:fldCharType="begin"/>
            </w:r>
            <w:r>
              <w:rPr>
                <w:webHidden/>
              </w:rPr>
              <w:instrText xml:space="preserve"> PAGEREF _Toc138851324 \h </w:instrText>
            </w:r>
            <w:r>
              <w:rPr>
                <w:webHidden/>
              </w:rPr>
            </w:r>
            <w:r>
              <w:rPr>
                <w:webHidden/>
              </w:rPr>
              <w:fldChar w:fldCharType="separate"/>
            </w:r>
            <w:r w:rsidR="00165B17">
              <w:rPr>
                <w:webHidden/>
              </w:rPr>
              <w:t>92</w:t>
            </w:r>
            <w:r>
              <w:rPr>
                <w:webHidden/>
              </w:rPr>
              <w:fldChar w:fldCharType="end"/>
            </w:r>
          </w:hyperlink>
        </w:p>
        <w:p w14:paraId="152B8539" w14:textId="09991683" w:rsidR="00072EA6" w:rsidRDefault="00072EA6" w:rsidP="002D68D7">
          <w:pPr>
            <w:pStyle w:val="TableofFigures"/>
            <w:ind w:hanging="1080"/>
            <w:rPr>
              <w:rFonts w:cstheme="minorBidi"/>
              <w:kern w:val="2"/>
              <w:sz w:val="22"/>
              <w:lang w:val="en-AU" w:eastAsia="zh-CN"/>
              <w14:ligatures w14:val="standardContextual"/>
            </w:rPr>
          </w:pPr>
          <w:hyperlink w:anchor="_Toc138851325" w:history="1">
            <w:r w:rsidRPr="00E32464">
              <w:rPr>
                <w:rStyle w:val="Hyperlink"/>
              </w:rPr>
              <w:t>Figure 3</w:t>
            </w:r>
            <w:r w:rsidRPr="00E32464">
              <w:rPr>
                <w:rStyle w:val="Hyperlink"/>
              </w:rPr>
              <w:noBreakHyphen/>
              <w:t>14. Total IAHP funding expenditure by client, constant prices, 2014-15 to 2020-21</w:t>
            </w:r>
            <w:r>
              <w:rPr>
                <w:webHidden/>
              </w:rPr>
              <w:tab/>
            </w:r>
            <w:r>
              <w:rPr>
                <w:webHidden/>
              </w:rPr>
              <w:fldChar w:fldCharType="begin"/>
            </w:r>
            <w:r>
              <w:rPr>
                <w:webHidden/>
              </w:rPr>
              <w:instrText xml:space="preserve"> PAGEREF _Toc138851325 \h </w:instrText>
            </w:r>
            <w:r>
              <w:rPr>
                <w:webHidden/>
              </w:rPr>
            </w:r>
            <w:r>
              <w:rPr>
                <w:webHidden/>
              </w:rPr>
              <w:fldChar w:fldCharType="separate"/>
            </w:r>
            <w:r w:rsidR="00165B17">
              <w:rPr>
                <w:webHidden/>
              </w:rPr>
              <w:t>94</w:t>
            </w:r>
            <w:r>
              <w:rPr>
                <w:webHidden/>
              </w:rPr>
              <w:fldChar w:fldCharType="end"/>
            </w:r>
          </w:hyperlink>
        </w:p>
        <w:p w14:paraId="41A28837" w14:textId="3D800675" w:rsidR="00072EA6" w:rsidRDefault="00072EA6" w:rsidP="002D68D7">
          <w:pPr>
            <w:pStyle w:val="TableofFigures"/>
            <w:ind w:hanging="1080"/>
            <w:rPr>
              <w:rFonts w:cstheme="minorBidi"/>
              <w:kern w:val="2"/>
              <w:sz w:val="22"/>
              <w:lang w:val="en-AU" w:eastAsia="zh-CN"/>
              <w14:ligatures w14:val="standardContextual"/>
            </w:rPr>
          </w:pPr>
          <w:hyperlink w:anchor="_Toc138851326" w:history="1">
            <w:r w:rsidRPr="00E32464">
              <w:rPr>
                <w:rStyle w:val="Hyperlink"/>
              </w:rPr>
              <w:t>Figure 3</w:t>
            </w:r>
            <w:r w:rsidRPr="00E32464">
              <w:rPr>
                <w:rStyle w:val="Hyperlink"/>
              </w:rPr>
              <w:noBreakHyphen/>
              <w:t>15. Total IAHP funding received directly through grants from the Department of Health and Aged Care, year ending 30 June 2021</w:t>
            </w:r>
            <w:r>
              <w:rPr>
                <w:webHidden/>
              </w:rPr>
              <w:tab/>
            </w:r>
            <w:r>
              <w:rPr>
                <w:webHidden/>
              </w:rPr>
              <w:fldChar w:fldCharType="begin"/>
            </w:r>
            <w:r>
              <w:rPr>
                <w:webHidden/>
              </w:rPr>
              <w:instrText xml:space="preserve"> PAGEREF _Toc138851326 \h </w:instrText>
            </w:r>
            <w:r>
              <w:rPr>
                <w:webHidden/>
              </w:rPr>
            </w:r>
            <w:r>
              <w:rPr>
                <w:webHidden/>
              </w:rPr>
              <w:fldChar w:fldCharType="separate"/>
            </w:r>
            <w:r w:rsidR="00165B17">
              <w:rPr>
                <w:webHidden/>
              </w:rPr>
              <w:t>95</w:t>
            </w:r>
            <w:r>
              <w:rPr>
                <w:webHidden/>
              </w:rPr>
              <w:fldChar w:fldCharType="end"/>
            </w:r>
          </w:hyperlink>
        </w:p>
        <w:p w14:paraId="13507BC7" w14:textId="3E29C295" w:rsidR="00072EA6" w:rsidRDefault="00072EA6" w:rsidP="002D68D7">
          <w:pPr>
            <w:pStyle w:val="TableofFigures"/>
            <w:ind w:hanging="1080"/>
            <w:rPr>
              <w:rFonts w:cstheme="minorBidi"/>
              <w:kern w:val="2"/>
              <w:sz w:val="22"/>
              <w:lang w:val="en-AU" w:eastAsia="zh-CN"/>
              <w14:ligatures w14:val="standardContextual"/>
            </w:rPr>
          </w:pPr>
          <w:hyperlink w:anchor="_Toc138851327" w:history="1">
            <w:r w:rsidRPr="00E32464">
              <w:rPr>
                <w:rStyle w:val="Hyperlink"/>
              </w:rPr>
              <w:t>Figure 4</w:t>
            </w:r>
            <w:r w:rsidRPr="00E32464">
              <w:rPr>
                <w:rStyle w:val="Hyperlink"/>
              </w:rPr>
              <w:noBreakHyphen/>
              <w:t>1. Babuny framework showing what Aboriginal and Torres Strait Islander people value in health service design and delivery</w:t>
            </w:r>
            <w:r>
              <w:rPr>
                <w:webHidden/>
              </w:rPr>
              <w:tab/>
            </w:r>
            <w:r>
              <w:rPr>
                <w:webHidden/>
              </w:rPr>
              <w:fldChar w:fldCharType="begin"/>
            </w:r>
            <w:r>
              <w:rPr>
                <w:webHidden/>
              </w:rPr>
              <w:instrText xml:space="preserve"> PAGEREF _Toc138851327 \h </w:instrText>
            </w:r>
            <w:r>
              <w:rPr>
                <w:webHidden/>
              </w:rPr>
            </w:r>
            <w:r>
              <w:rPr>
                <w:webHidden/>
              </w:rPr>
              <w:fldChar w:fldCharType="separate"/>
            </w:r>
            <w:r w:rsidR="00165B17">
              <w:rPr>
                <w:webHidden/>
              </w:rPr>
              <w:t>102</w:t>
            </w:r>
            <w:r>
              <w:rPr>
                <w:webHidden/>
              </w:rPr>
              <w:fldChar w:fldCharType="end"/>
            </w:r>
          </w:hyperlink>
        </w:p>
        <w:p w14:paraId="11A933F3" w14:textId="1106A2A1" w:rsidR="00072EA6" w:rsidRDefault="00072EA6" w:rsidP="002D68D7">
          <w:pPr>
            <w:pStyle w:val="TableofFigures"/>
            <w:ind w:hanging="1080"/>
            <w:rPr>
              <w:rFonts w:cstheme="minorBidi"/>
              <w:kern w:val="2"/>
              <w:sz w:val="22"/>
              <w:lang w:val="en-AU" w:eastAsia="zh-CN"/>
              <w14:ligatures w14:val="standardContextual"/>
            </w:rPr>
          </w:pPr>
          <w:hyperlink w:anchor="_Toc138851328" w:history="1">
            <w:r w:rsidRPr="00E32464">
              <w:rPr>
                <w:rStyle w:val="Hyperlink"/>
              </w:rPr>
              <w:t>Figure 4</w:t>
            </w:r>
            <w:r w:rsidRPr="00E32464">
              <w:rPr>
                <w:rStyle w:val="Hyperlink"/>
              </w:rPr>
              <w:noBreakHyphen/>
              <w:t>2. Babuny framework spotlight on flexible and responsive</w:t>
            </w:r>
            <w:r>
              <w:rPr>
                <w:webHidden/>
              </w:rPr>
              <w:tab/>
            </w:r>
            <w:r>
              <w:rPr>
                <w:webHidden/>
              </w:rPr>
              <w:fldChar w:fldCharType="begin"/>
            </w:r>
            <w:r>
              <w:rPr>
                <w:webHidden/>
              </w:rPr>
              <w:instrText xml:space="preserve"> PAGEREF _Toc138851328 \h </w:instrText>
            </w:r>
            <w:r>
              <w:rPr>
                <w:webHidden/>
              </w:rPr>
            </w:r>
            <w:r>
              <w:rPr>
                <w:webHidden/>
              </w:rPr>
              <w:fldChar w:fldCharType="separate"/>
            </w:r>
            <w:r w:rsidR="00165B17">
              <w:rPr>
                <w:webHidden/>
              </w:rPr>
              <w:t>103</w:t>
            </w:r>
            <w:r>
              <w:rPr>
                <w:webHidden/>
              </w:rPr>
              <w:fldChar w:fldCharType="end"/>
            </w:r>
          </w:hyperlink>
        </w:p>
        <w:p w14:paraId="233A9CAA" w14:textId="13DE49EF" w:rsidR="00072EA6" w:rsidRDefault="00072EA6" w:rsidP="002D68D7">
          <w:pPr>
            <w:pStyle w:val="TableofFigures"/>
            <w:ind w:hanging="1080"/>
            <w:rPr>
              <w:rFonts w:cstheme="minorBidi"/>
              <w:kern w:val="2"/>
              <w:sz w:val="22"/>
              <w:lang w:val="en-AU" w:eastAsia="zh-CN"/>
              <w14:ligatures w14:val="standardContextual"/>
            </w:rPr>
          </w:pPr>
          <w:hyperlink w:anchor="_Toc138851329" w:history="1">
            <w:r w:rsidRPr="00E32464">
              <w:rPr>
                <w:rStyle w:val="Hyperlink"/>
              </w:rPr>
              <w:t>Figure 4</w:t>
            </w:r>
            <w:r w:rsidRPr="00E32464">
              <w:rPr>
                <w:rStyle w:val="Hyperlink"/>
              </w:rPr>
              <w:noBreakHyphen/>
              <w:t>3. Babuny framework spotlight on awareness, affordable, accessible, available, accessible</w:t>
            </w:r>
            <w:r>
              <w:rPr>
                <w:webHidden/>
              </w:rPr>
              <w:tab/>
            </w:r>
            <w:r>
              <w:rPr>
                <w:webHidden/>
              </w:rPr>
              <w:fldChar w:fldCharType="begin"/>
            </w:r>
            <w:r>
              <w:rPr>
                <w:webHidden/>
              </w:rPr>
              <w:instrText xml:space="preserve"> PAGEREF _Toc138851329 \h </w:instrText>
            </w:r>
            <w:r>
              <w:rPr>
                <w:webHidden/>
              </w:rPr>
            </w:r>
            <w:r>
              <w:rPr>
                <w:webHidden/>
              </w:rPr>
              <w:fldChar w:fldCharType="separate"/>
            </w:r>
            <w:r w:rsidR="00165B17">
              <w:rPr>
                <w:webHidden/>
              </w:rPr>
              <w:t>105</w:t>
            </w:r>
            <w:r>
              <w:rPr>
                <w:webHidden/>
              </w:rPr>
              <w:fldChar w:fldCharType="end"/>
            </w:r>
          </w:hyperlink>
        </w:p>
        <w:p w14:paraId="1A98DFC1" w14:textId="5FBBF29A" w:rsidR="00072EA6" w:rsidRDefault="00072EA6" w:rsidP="002D68D7">
          <w:pPr>
            <w:pStyle w:val="TableofFigures"/>
            <w:ind w:hanging="1080"/>
            <w:rPr>
              <w:rFonts w:cstheme="minorBidi"/>
              <w:kern w:val="2"/>
              <w:sz w:val="22"/>
              <w:lang w:val="en-AU" w:eastAsia="zh-CN"/>
              <w14:ligatures w14:val="standardContextual"/>
            </w:rPr>
          </w:pPr>
          <w:hyperlink w:anchor="_Toc138851330" w:history="1">
            <w:r w:rsidRPr="00E32464">
              <w:rPr>
                <w:rStyle w:val="Hyperlink"/>
              </w:rPr>
              <w:t>Figure 4</w:t>
            </w:r>
            <w:r w:rsidRPr="00E32464">
              <w:rPr>
                <w:rStyle w:val="Hyperlink"/>
              </w:rPr>
              <w:noBreakHyphen/>
              <w:t>4. Babuny framework spotlight on governance and resourcing</w:t>
            </w:r>
            <w:r>
              <w:rPr>
                <w:webHidden/>
              </w:rPr>
              <w:tab/>
            </w:r>
            <w:r>
              <w:rPr>
                <w:webHidden/>
              </w:rPr>
              <w:fldChar w:fldCharType="begin"/>
            </w:r>
            <w:r>
              <w:rPr>
                <w:webHidden/>
              </w:rPr>
              <w:instrText xml:space="preserve"> PAGEREF _Toc138851330 \h </w:instrText>
            </w:r>
            <w:r>
              <w:rPr>
                <w:webHidden/>
              </w:rPr>
            </w:r>
            <w:r>
              <w:rPr>
                <w:webHidden/>
              </w:rPr>
              <w:fldChar w:fldCharType="separate"/>
            </w:r>
            <w:r w:rsidR="00165B17">
              <w:rPr>
                <w:webHidden/>
              </w:rPr>
              <w:t>108</w:t>
            </w:r>
            <w:r>
              <w:rPr>
                <w:webHidden/>
              </w:rPr>
              <w:fldChar w:fldCharType="end"/>
            </w:r>
          </w:hyperlink>
        </w:p>
        <w:p w14:paraId="75CCB937" w14:textId="4AEB1A4A" w:rsidR="00072EA6" w:rsidRDefault="00072EA6" w:rsidP="002D68D7">
          <w:pPr>
            <w:pStyle w:val="TableofFigures"/>
            <w:ind w:hanging="1080"/>
            <w:rPr>
              <w:rFonts w:cstheme="minorBidi"/>
              <w:kern w:val="2"/>
              <w:sz w:val="22"/>
              <w:lang w:val="en-AU" w:eastAsia="zh-CN"/>
              <w14:ligatures w14:val="standardContextual"/>
            </w:rPr>
          </w:pPr>
          <w:hyperlink w:anchor="_Toc138851331" w:history="1">
            <w:r w:rsidRPr="00E32464">
              <w:rPr>
                <w:rStyle w:val="Hyperlink"/>
              </w:rPr>
              <w:t>Figure 4</w:t>
            </w:r>
            <w:r w:rsidRPr="00E32464">
              <w:rPr>
                <w:rStyle w:val="Hyperlink"/>
              </w:rPr>
              <w:noBreakHyphen/>
              <w:t>5. Babuny framework spotlight on self-determination</w:t>
            </w:r>
            <w:r>
              <w:rPr>
                <w:webHidden/>
              </w:rPr>
              <w:tab/>
            </w:r>
            <w:r>
              <w:rPr>
                <w:webHidden/>
              </w:rPr>
              <w:fldChar w:fldCharType="begin"/>
            </w:r>
            <w:r>
              <w:rPr>
                <w:webHidden/>
              </w:rPr>
              <w:instrText xml:space="preserve"> PAGEREF _Toc138851331 \h </w:instrText>
            </w:r>
            <w:r>
              <w:rPr>
                <w:webHidden/>
              </w:rPr>
            </w:r>
            <w:r>
              <w:rPr>
                <w:webHidden/>
              </w:rPr>
              <w:fldChar w:fldCharType="separate"/>
            </w:r>
            <w:r w:rsidR="00165B17">
              <w:rPr>
                <w:webHidden/>
              </w:rPr>
              <w:t>109</w:t>
            </w:r>
            <w:r>
              <w:rPr>
                <w:webHidden/>
              </w:rPr>
              <w:fldChar w:fldCharType="end"/>
            </w:r>
          </w:hyperlink>
        </w:p>
        <w:p w14:paraId="49EA6578" w14:textId="4AFF27FB" w:rsidR="00072EA6" w:rsidRDefault="00072EA6" w:rsidP="002D68D7">
          <w:pPr>
            <w:pStyle w:val="TableofFigures"/>
            <w:ind w:hanging="1080"/>
            <w:rPr>
              <w:rFonts w:cstheme="minorBidi"/>
              <w:kern w:val="2"/>
              <w:sz w:val="22"/>
              <w:lang w:val="en-AU" w:eastAsia="zh-CN"/>
              <w14:ligatures w14:val="standardContextual"/>
            </w:rPr>
          </w:pPr>
          <w:hyperlink w:anchor="_Toc138851332" w:history="1">
            <w:r w:rsidRPr="00E32464">
              <w:rPr>
                <w:rStyle w:val="Hyperlink"/>
              </w:rPr>
              <w:t>Figure 4</w:t>
            </w:r>
            <w:r w:rsidRPr="00E32464">
              <w:rPr>
                <w:rStyle w:val="Hyperlink"/>
              </w:rPr>
              <w:noBreakHyphen/>
              <w:t>6. Babuny framework spotlight on responsibility and resistance</w:t>
            </w:r>
            <w:r>
              <w:rPr>
                <w:webHidden/>
              </w:rPr>
              <w:tab/>
            </w:r>
            <w:r>
              <w:rPr>
                <w:webHidden/>
              </w:rPr>
              <w:fldChar w:fldCharType="begin"/>
            </w:r>
            <w:r>
              <w:rPr>
                <w:webHidden/>
              </w:rPr>
              <w:instrText xml:space="preserve"> PAGEREF _Toc138851332 \h </w:instrText>
            </w:r>
            <w:r>
              <w:rPr>
                <w:webHidden/>
              </w:rPr>
            </w:r>
            <w:r>
              <w:rPr>
                <w:webHidden/>
              </w:rPr>
              <w:fldChar w:fldCharType="separate"/>
            </w:r>
            <w:r w:rsidR="00165B17">
              <w:rPr>
                <w:webHidden/>
              </w:rPr>
              <w:t>112</w:t>
            </w:r>
            <w:r>
              <w:rPr>
                <w:webHidden/>
              </w:rPr>
              <w:fldChar w:fldCharType="end"/>
            </w:r>
          </w:hyperlink>
        </w:p>
        <w:p w14:paraId="40439B6A" w14:textId="586F2C59" w:rsidR="00072EA6" w:rsidRDefault="00072EA6" w:rsidP="002D68D7">
          <w:pPr>
            <w:pStyle w:val="TableofFigures"/>
            <w:ind w:hanging="1080"/>
            <w:rPr>
              <w:rFonts w:cstheme="minorBidi"/>
              <w:kern w:val="2"/>
              <w:sz w:val="22"/>
              <w:lang w:val="en-AU" w:eastAsia="zh-CN"/>
              <w14:ligatures w14:val="standardContextual"/>
            </w:rPr>
          </w:pPr>
          <w:hyperlink w:anchor="_Toc138851333" w:history="1">
            <w:r w:rsidRPr="00E32464">
              <w:rPr>
                <w:rStyle w:val="Hyperlink"/>
              </w:rPr>
              <w:t>Figure 4</w:t>
            </w:r>
            <w:r w:rsidRPr="00E32464">
              <w:rPr>
                <w:rStyle w:val="Hyperlink"/>
              </w:rPr>
              <w:noBreakHyphen/>
              <w:t>7. Babuny framework spotlight on holistic care</w:t>
            </w:r>
            <w:r>
              <w:rPr>
                <w:webHidden/>
              </w:rPr>
              <w:tab/>
            </w:r>
            <w:r>
              <w:rPr>
                <w:webHidden/>
              </w:rPr>
              <w:fldChar w:fldCharType="begin"/>
            </w:r>
            <w:r>
              <w:rPr>
                <w:webHidden/>
              </w:rPr>
              <w:instrText xml:space="preserve"> PAGEREF _Toc138851333 \h </w:instrText>
            </w:r>
            <w:r>
              <w:rPr>
                <w:webHidden/>
              </w:rPr>
            </w:r>
            <w:r>
              <w:rPr>
                <w:webHidden/>
              </w:rPr>
              <w:fldChar w:fldCharType="separate"/>
            </w:r>
            <w:r w:rsidR="00165B17">
              <w:rPr>
                <w:webHidden/>
              </w:rPr>
              <w:t>114</w:t>
            </w:r>
            <w:r>
              <w:rPr>
                <w:webHidden/>
              </w:rPr>
              <w:fldChar w:fldCharType="end"/>
            </w:r>
          </w:hyperlink>
        </w:p>
        <w:p w14:paraId="7CADFDC8" w14:textId="2C8AF085" w:rsidR="00072EA6" w:rsidRDefault="00072EA6" w:rsidP="002D68D7">
          <w:pPr>
            <w:pStyle w:val="TableofFigures"/>
            <w:ind w:hanging="1080"/>
            <w:rPr>
              <w:rFonts w:cstheme="minorBidi"/>
              <w:kern w:val="2"/>
              <w:sz w:val="22"/>
              <w:lang w:val="en-AU" w:eastAsia="zh-CN"/>
              <w14:ligatures w14:val="standardContextual"/>
            </w:rPr>
          </w:pPr>
          <w:hyperlink w:anchor="_Toc138851334" w:history="1">
            <w:r w:rsidRPr="00E32464">
              <w:rPr>
                <w:rStyle w:val="Hyperlink"/>
              </w:rPr>
              <w:t>Figure 4</w:t>
            </w:r>
            <w:r w:rsidRPr="00E32464">
              <w:rPr>
                <w:rStyle w:val="Hyperlink"/>
              </w:rPr>
              <w:noBreakHyphen/>
              <w:t>8. Babuny framework spotlight on choice of care</w:t>
            </w:r>
            <w:r>
              <w:rPr>
                <w:webHidden/>
              </w:rPr>
              <w:tab/>
            </w:r>
            <w:r>
              <w:rPr>
                <w:webHidden/>
              </w:rPr>
              <w:fldChar w:fldCharType="begin"/>
            </w:r>
            <w:r>
              <w:rPr>
                <w:webHidden/>
              </w:rPr>
              <w:instrText xml:space="preserve"> PAGEREF _Toc138851334 \h </w:instrText>
            </w:r>
            <w:r>
              <w:rPr>
                <w:webHidden/>
              </w:rPr>
            </w:r>
            <w:r>
              <w:rPr>
                <w:webHidden/>
              </w:rPr>
              <w:fldChar w:fldCharType="separate"/>
            </w:r>
            <w:r w:rsidR="00165B17">
              <w:rPr>
                <w:webHidden/>
              </w:rPr>
              <w:t>115</w:t>
            </w:r>
            <w:r>
              <w:rPr>
                <w:webHidden/>
              </w:rPr>
              <w:fldChar w:fldCharType="end"/>
            </w:r>
          </w:hyperlink>
        </w:p>
        <w:p w14:paraId="39EDDE6A" w14:textId="7003276D" w:rsidR="00072EA6" w:rsidRDefault="00072EA6" w:rsidP="002D68D7">
          <w:pPr>
            <w:pStyle w:val="TableofFigures"/>
            <w:ind w:hanging="1080"/>
            <w:rPr>
              <w:rFonts w:cstheme="minorBidi"/>
              <w:kern w:val="2"/>
              <w:sz w:val="22"/>
              <w:lang w:val="en-AU" w:eastAsia="zh-CN"/>
              <w14:ligatures w14:val="standardContextual"/>
            </w:rPr>
          </w:pPr>
          <w:hyperlink w:anchor="_Toc138851335" w:history="1">
            <w:r w:rsidRPr="00E32464">
              <w:rPr>
                <w:rStyle w:val="Hyperlink"/>
              </w:rPr>
              <w:t>Figure 4</w:t>
            </w:r>
            <w:r w:rsidRPr="00E32464">
              <w:rPr>
                <w:rStyle w:val="Hyperlink"/>
              </w:rPr>
              <w:noBreakHyphen/>
              <w:t>9. Babuny framework spotlight on quality of care</w:t>
            </w:r>
            <w:r>
              <w:rPr>
                <w:webHidden/>
              </w:rPr>
              <w:tab/>
            </w:r>
            <w:r>
              <w:rPr>
                <w:webHidden/>
              </w:rPr>
              <w:fldChar w:fldCharType="begin"/>
            </w:r>
            <w:r>
              <w:rPr>
                <w:webHidden/>
              </w:rPr>
              <w:instrText xml:space="preserve"> PAGEREF _Toc138851335 \h </w:instrText>
            </w:r>
            <w:r>
              <w:rPr>
                <w:webHidden/>
              </w:rPr>
            </w:r>
            <w:r>
              <w:rPr>
                <w:webHidden/>
              </w:rPr>
              <w:fldChar w:fldCharType="separate"/>
            </w:r>
            <w:r w:rsidR="00165B17">
              <w:rPr>
                <w:webHidden/>
              </w:rPr>
              <w:t>116</w:t>
            </w:r>
            <w:r>
              <w:rPr>
                <w:webHidden/>
              </w:rPr>
              <w:fldChar w:fldCharType="end"/>
            </w:r>
          </w:hyperlink>
        </w:p>
        <w:p w14:paraId="757A4C9D" w14:textId="2AF035AD" w:rsidR="00072EA6" w:rsidRDefault="00072EA6" w:rsidP="002D68D7">
          <w:pPr>
            <w:pStyle w:val="TableofFigures"/>
            <w:ind w:hanging="1080"/>
            <w:rPr>
              <w:rFonts w:cstheme="minorBidi"/>
              <w:kern w:val="2"/>
              <w:sz w:val="22"/>
              <w:lang w:val="en-AU" w:eastAsia="zh-CN"/>
              <w14:ligatures w14:val="standardContextual"/>
            </w:rPr>
          </w:pPr>
          <w:hyperlink w:anchor="_Toc138851336" w:history="1">
            <w:r w:rsidRPr="00E32464">
              <w:rPr>
                <w:rStyle w:val="Hyperlink"/>
              </w:rPr>
              <w:t>Figure 4</w:t>
            </w:r>
            <w:r w:rsidRPr="00E32464">
              <w:rPr>
                <w:rStyle w:val="Hyperlink"/>
              </w:rPr>
              <w:noBreakHyphen/>
              <w:t>10. Babuny framework spotlight on cultural safety</w:t>
            </w:r>
            <w:r>
              <w:rPr>
                <w:webHidden/>
              </w:rPr>
              <w:tab/>
            </w:r>
            <w:r>
              <w:rPr>
                <w:webHidden/>
              </w:rPr>
              <w:fldChar w:fldCharType="begin"/>
            </w:r>
            <w:r>
              <w:rPr>
                <w:webHidden/>
              </w:rPr>
              <w:instrText xml:space="preserve"> PAGEREF _Toc138851336 \h </w:instrText>
            </w:r>
            <w:r>
              <w:rPr>
                <w:webHidden/>
              </w:rPr>
            </w:r>
            <w:r>
              <w:rPr>
                <w:webHidden/>
              </w:rPr>
              <w:fldChar w:fldCharType="separate"/>
            </w:r>
            <w:r w:rsidR="00165B17">
              <w:rPr>
                <w:webHidden/>
              </w:rPr>
              <w:t>119</w:t>
            </w:r>
            <w:r>
              <w:rPr>
                <w:webHidden/>
              </w:rPr>
              <w:fldChar w:fldCharType="end"/>
            </w:r>
          </w:hyperlink>
        </w:p>
        <w:p w14:paraId="6FDA2781" w14:textId="4E200D5D" w:rsidR="00072EA6" w:rsidRDefault="00072EA6" w:rsidP="002D68D7">
          <w:pPr>
            <w:pStyle w:val="TableofFigures"/>
            <w:ind w:hanging="1080"/>
            <w:rPr>
              <w:rFonts w:cstheme="minorBidi"/>
              <w:kern w:val="2"/>
              <w:sz w:val="22"/>
              <w:lang w:val="en-AU" w:eastAsia="zh-CN"/>
              <w14:ligatures w14:val="standardContextual"/>
            </w:rPr>
          </w:pPr>
          <w:hyperlink w:anchor="_Toc138851337" w:history="1">
            <w:r w:rsidRPr="00E32464">
              <w:rPr>
                <w:rStyle w:val="Hyperlink"/>
              </w:rPr>
              <w:t>Figure 4</w:t>
            </w:r>
            <w:r w:rsidRPr="00E32464">
              <w:rPr>
                <w:rStyle w:val="Hyperlink"/>
              </w:rPr>
              <w:noBreakHyphen/>
              <w:t>11. Babuny framework spotlight on consistency of care</w:t>
            </w:r>
            <w:r>
              <w:rPr>
                <w:webHidden/>
              </w:rPr>
              <w:tab/>
            </w:r>
            <w:r>
              <w:rPr>
                <w:webHidden/>
              </w:rPr>
              <w:fldChar w:fldCharType="begin"/>
            </w:r>
            <w:r>
              <w:rPr>
                <w:webHidden/>
              </w:rPr>
              <w:instrText xml:space="preserve"> PAGEREF _Toc138851337 \h </w:instrText>
            </w:r>
            <w:r>
              <w:rPr>
                <w:webHidden/>
              </w:rPr>
            </w:r>
            <w:r>
              <w:rPr>
                <w:webHidden/>
              </w:rPr>
              <w:fldChar w:fldCharType="separate"/>
            </w:r>
            <w:r w:rsidR="00165B17">
              <w:rPr>
                <w:webHidden/>
              </w:rPr>
              <w:t>120</w:t>
            </w:r>
            <w:r>
              <w:rPr>
                <w:webHidden/>
              </w:rPr>
              <w:fldChar w:fldCharType="end"/>
            </w:r>
          </w:hyperlink>
        </w:p>
        <w:p w14:paraId="1F2A8576" w14:textId="2444C599" w:rsidR="00072EA6" w:rsidRDefault="00072EA6" w:rsidP="002D68D7">
          <w:pPr>
            <w:pStyle w:val="TableofFigures"/>
            <w:ind w:hanging="1080"/>
            <w:rPr>
              <w:rFonts w:cstheme="minorBidi"/>
              <w:kern w:val="2"/>
              <w:sz w:val="22"/>
              <w:lang w:val="en-AU" w:eastAsia="zh-CN"/>
              <w14:ligatures w14:val="standardContextual"/>
            </w:rPr>
          </w:pPr>
          <w:hyperlink w:anchor="_Toc138851338" w:history="1">
            <w:r w:rsidRPr="00E32464">
              <w:rPr>
                <w:rStyle w:val="Hyperlink"/>
              </w:rPr>
              <w:t>Figure 4</w:t>
            </w:r>
            <w:r w:rsidRPr="00E32464">
              <w:rPr>
                <w:rStyle w:val="Hyperlink"/>
              </w:rPr>
              <w:noBreakHyphen/>
              <w:t>12. Babuny framework spotlight on services and support</w:t>
            </w:r>
            <w:r>
              <w:rPr>
                <w:webHidden/>
              </w:rPr>
              <w:tab/>
            </w:r>
            <w:r>
              <w:rPr>
                <w:webHidden/>
              </w:rPr>
              <w:fldChar w:fldCharType="begin"/>
            </w:r>
            <w:r>
              <w:rPr>
                <w:webHidden/>
              </w:rPr>
              <w:instrText xml:space="preserve"> PAGEREF _Toc138851338 \h </w:instrText>
            </w:r>
            <w:r>
              <w:rPr>
                <w:webHidden/>
              </w:rPr>
            </w:r>
            <w:r>
              <w:rPr>
                <w:webHidden/>
              </w:rPr>
              <w:fldChar w:fldCharType="separate"/>
            </w:r>
            <w:r w:rsidR="00165B17">
              <w:rPr>
                <w:webHidden/>
              </w:rPr>
              <w:t>122</w:t>
            </w:r>
            <w:r>
              <w:rPr>
                <w:webHidden/>
              </w:rPr>
              <w:fldChar w:fldCharType="end"/>
            </w:r>
          </w:hyperlink>
        </w:p>
        <w:p w14:paraId="3D4ED49D" w14:textId="7CB7CB36" w:rsidR="00072EA6" w:rsidRDefault="00072EA6" w:rsidP="002D68D7">
          <w:pPr>
            <w:pStyle w:val="TableofFigures"/>
            <w:ind w:hanging="1080"/>
            <w:rPr>
              <w:rFonts w:cstheme="minorBidi"/>
              <w:kern w:val="2"/>
              <w:sz w:val="22"/>
              <w:lang w:val="en-AU" w:eastAsia="zh-CN"/>
              <w14:ligatures w14:val="standardContextual"/>
            </w:rPr>
          </w:pPr>
          <w:hyperlink w:anchor="_Toc138851339" w:history="1">
            <w:r w:rsidRPr="00E32464">
              <w:rPr>
                <w:rStyle w:val="Hyperlink"/>
              </w:rPr>
              <w:t>Figure 4</w:t>
            </w:r>
            <w:r w:rsidRPr="00E32464">
              <w:rPr>
                <w:rStyle w:val="Hyperlink"/>
              </w:rPr>
              <w:noBreakHyphen/>
              <w:t>13. Babuny framework spotlight on staying healthy for mob</w:t>
            </w:r>
            <w:r>
              <w:rPr>
                <w:webHidden/>
              </w:rPr>
              <w:tab/>
            </w:r>
            <w:r>
              <w:rPr>
                <w:webHidden/>
              </w:rPr>
              <w:fldChar w:fldCharType="begin"/>
            </w:r>
            <w:r>
              <w:rPr>
                <w:webHidden/>
              </w:rPr>
              <w:instrText xml:space="preserve"> PAGEREF _Toc138851339 \h </w:instrText>
            </w:r>
            <w:r>
              <w:rPr>
                <w:webHidden/>
              </w:rPr>
            </w:r>
            <w:r>
              <w:rPr>
                <w:webHidden/>
              </w:rPr>
              <w:fldChar w:fldCharType="separate"/>
            </w:r>
            <w:r w:rsidR="00165B17">
              <w:rPr>
                <w:webHidden/>
              </w:rPr>
              <w:t>123</w:t>
            </w:r>
            <w:r>
              <w:rPr>
                <w:webHidden/>
              </w:rPr>
              <w:fldChar w:fldCharType="end"/>
            </w:r>
          </w:hyperlink>
        </w:p>
        <w:p w14:paraId="143F4F39" w14:textId="242556C8" w:rsidR="00072EA6" w:rsidRDefault="00072EA6" w:rsidP="002D68D7">
          <w:pPr>
            <w:pStyle w:val="TableofFigures"/>
            <w:ind w:hanging="1080"/>
            <w:rPr>
              <w:rFonts w:cstheme="minorBidi"/>
              <w:kern w:val="2"/>
              <w:sz w:val="22"/>
              <w:lang w:val="en-AU" w:eastAsia="zh-CN"/>
              <w14:ligatures w14:val="standardContextual"/>
            </w:rPr>
          </w:pPr>
          <w:hyperlink w:anchor="_Toc138851340" w:history="1">
            <w:r w:rsidRPr="00E32464">
              <w:rPr>
                <w:rStyle w:val="Hyperlink"/>
              </w:rPr>
              <w:t>Figure 4</w:t>
            </w:r>
            <w:r w:rsidRPr="00E32464">
              <w:rPr>
                <w:rStyle w:val="Hyperlink"/>
              </w:rPr>
              <w:noBreakHyphen/>
              <w:t>14. Babuny framework spotlight on wellbeing</w:t>
            </w:r>
            <w:r>
              <w:rPr>
                <w:webHidden/>
              </w:rPr>
              <w:tab/>
            </w:r>
            <w:r>
              <w:rPr>
                <w:webHidden/>
              </w:rPr>
              <w:fldChar w:fldCharType="begin"/>
            </w:r>
            <w:r>
              <w:rPr>
                <w:webHidden/>
              </w:rPr>
              <w:instrText xml:space="preserve"> PAGEREF _Toc138851340 \h </w:instrText>
            </w:r>
            <w:r>
              <w:rPr>
                <w:webHidden/>
              </w:rPr>
            </w:r>
            <w:r>
              <w:rPr>
                <w:webHidden/>
              </w:rPr>
              <w:fldChar w:fldCharType="separate"/>
            </w:r>
            <w:r w:rsidR="00165B17">
              <w:rPr>
                <w:webHidden/>
              </w:rPr>
              <w:t>124</w:t>
            </w:r>
            <w:r>
              <w:rPr>
                <w:webHidden/>
              </w:rPr>
              <w:fldChar w:fldCharType="end"/>
            </w:r>
          </w:hyperlink>
        </w:p>
        <w:p w14:paraId="5BCEFC6C" w14:textId="6D4D3079" w:rsidR="00072EA6" w:rsidRDefault="00072EA6" w:rsidP="002D68D7">
          <w:pPr>
            <w:pStyle w:val="TableofFigures"/>
            <w:ind w:hanging="1080"/>
            <w:rPr>
              <w:rFonts w:cstheme="minorBidi"/>
              <w:kern w:val="2"/>
              <w:sz w:val="22"/>
              <w:lang w:val="en-AU" w:eastAsia="zh-CN"/>
              <w14:ligatures w14:val="standardContextual"/>
            </w:rPr>
          </w:pPr>
          <w:hyperlink w:anchor="_Toc138851341" w:history="1">
            <w:r w:rsidRPr="00E32464">
              <w:rPr>
                <w:rStyle w:val="Hyperlink"/>
              </w:rPr>
              <w:t>Figure 6</w:t>
            </w:r>
            <w:r w:rsidRPr="00E32464">
              <w:rPr>
                <w:rStyle w:val="Hyperlink"/>
              </w:rPr>
              <w:noBreakHyphen/>
              <w:t>1. The fragmented funding system</w:t>
            </w:r>
            <w:r>
              <w:rPr>
                <w:webHidden/>
              </w:rPr>
              <w:tab/>
            </w:r>
            <w:r>
              <w:rPr>
                <w:webHidden/>
              </w:rPr>
              <w:fldChar w:fldCharType="begin"/>
            </w:r>
            <w:r>
              <w:rPr>
                <w:webHidden/>
              </w:rPr>
              <w:instrText xml:space="preserve"> PAGEREF _Toc138851341 \h </w:instrText>
            </w:r>
            <w:r>
              <w:rPr>
                <w:webHidden/>
              </w:rPr>
            </w:r>
            <w:r>
              <w:rPr>
                <w:webHidden/>
              </w:rPr>
              <w:fldChar w:fldCharType="separate"/>
            </w:r>
            <w:r w:rsidR="00165B17">
              <w:rPr>
                <w:webHidden/>
              </w:rPr>
              <w:t>149</w:t>
            </w:r>
            <w:r>
              <w:rPr>
                <w:webHidden/>
              </w:rPr>
              <w:fldChar w:fldCharType="end"/>
            </w:r>
          </w:hyperlink>
        </w:p>
        <w:p w14:paraId="2EB69659" w14:textId="3317199B" w:rsidR="00072EA6" w:rsidRDefault="00072EA6" w:rsidP="002D68D7">
          <w:pPr>
            <w:pStyle w:val="TableofFigures"/>
            <w:ind w:hanging="1080"/>
            <w:rPr>
              <w:rFonts w:cstheme="minorBidi"/>
              <w:kern w:val="2"/>
              <w:sz w:val="22"/>
              <w:lang w:val="en-AU" w:eastAsia="zh-CN"/>
              <w14:ligatures w14:val="standardContextual"/>
            </w:rPr>
          </w:pPr>
          <w:hyperlink w:anchor="_Toc138851342" w:history="1">
            <w:r w:rsidRPr="00E32464">
              <w:rPr>
                <w:rStyle w:val="Hyperlink"/>
              </w:rPr>
              <w:t>Figure 7</w:t>
            </w:r>
            <w:r w:rsidRPr="00E32464">
              <w:rPr>
                <w:rStyle w:val="Hyperlink"/>
              </w:rPr>
              <w:noBreakHyphen/>
              <w:t>1. Total IAHP funding received directly through grants from the Department of Health and Aged Care as a proportion of total reported revenue, 2020-21</w:t>
            </w:r>
            <w:r>
              <w:rPr>
                <w:webHidden/>
              </w:rPr>
              <w:tab/>
            </w:r>
            <w:r>
              <w:rPr>
                <w:webHidden/>
              </w:rPr>
              <w:fldChar w:fldCharType="begin"/>
            </w:r>
            <w:r>
              <w:rPr>
                <w:webHidden/>
              </w:rPr>
              <w:instrText xml:space="preserve"> PAGEREF _Toc138851342 \h </w:instrText>
            </w:r>
            <w:r>
              <w:rPr>
                <w:webHidden/>
              </w:rPr>
            </w:r>
            <w:r>
              <w:rPr>
                <w:webHidden/>
              </w:rPr>
              <w:fldChar w:fldCharType="separate"/>
            </w:r>
            <w:r w:rsidR="00165B17">
              <w:rPr>
                <w:webHidden/>
              </w:rPr>
              <w:t>187</w:t>
            </w:r>
            <w:r>
              <w:rPr>
                <w:webHidden/>
              </w:rPr>
              <w:fldChar w:fldCharType="end"/>
            </w:r>
          </w:hyperlink>
        </w:p>
        <w:p w14:paraId="2DB2A961" w14:textId="208A2D56" w:rsidR="00072EA6" w:rsidRDefault="00072EA6" w:rsidP="002D68D7">
          <w:pPr>
            <w:pStyle w:val="TableofFigures"/>
            <w:ind w:hanging="1080"/>
            <w:rPr>
              <w:rFonts w:cstheme="minorBidi"/>
              <w:kern w:val="2"/>
              <w:sz w:val="22"/>
              <w:lang w:val="en-AU" w:eastAsia="zh-CN"/>
              <w14:ligatures w14:val="standardContextual"/>
            </w:rPr>
          </w:pPr>
          <w:hyperlink w:anchor="_Toc138851343" w:history="1">
            <w:r w:rsidRPr="00E32464">
              <w:rPr>
                <w:rStyle w:val="Hyperlink"/>
              </w:rPr>
              <w:t>Figure 7</w:t>
            </w:r>
            <w:r w:rsidRPr="00E32464">
              <w:rPr>
                <w:rStyle w:val="Hyperlink"/>
              </w:rPr>
              <w:noBreakHyphen/>
              <w:t>2. Proportion of clinicians retained to the following year across all sites under two assumptions, by Indigenous status</w:t>
            </w:r>
            <w:r>
              <w:rPr>
                <w:webHidden/>
              </w:rPr>
              <w:tab/>
            </w:r>
            <w:r>
              <w:rPr>
                <w:webHidden/>
              </w:rPr>
              <w:fldChar w:fldCharType="begin"/>
            </w:r>
            <w:r>
              <w:rPr>
                <w:webHidden/>
              </w:rPr>
              <w:instrText xml:space="preserve"> PAGEREF _Toc138851343 \h </w:instrText>
            </w:r>
            <w:r>
              <w:rPr>
                <w:webHidden/>
              </w:rPr>
            </w:r>
            <w:r>
              <w:rPr>
                <w:webHidden/>
              </w:rPr>
              <w:fldChar w:fldCharType="separate"/>
            </w:r>
            <w:r w:rsidR="00165B17">
              <w:rPr>
                <w:webHidden/>
              </w:rPr>
              <w:t>206</w:t>
            </w:r>
            <w:r>
              <w:rPr>
                <w:webHidden/>
              </w:rPr>
              <w:fldChar w:fldCharType="end"/>
            </w:r>
          </w:hyperlink>
        </w:p>
        <w:p w14:paraId="3A18A7EF" w14:textId="65E66F8D" w:rsidR="00072EA6" w:rsidRDefault="00072EA6" w:rsidP="002D68D7">
          <w:pPr>
            <w:pStyle w:val="TableofFigures"/>
            <w:ind w:hanging="1080"/>
            <w:rPr>
              <w:rFonts w:cstheme="minorBidi"/>
              <w:kern w:val="2"/>
              <w:sz w:val="22"/>
              <w:lang w:val="en-AU" w:eastAsia="zh-CN"/>
              <w14:ligatures w14:val="standardContextual"/>
            </w:rPr>
          </w:pPr>
          <w:hyperlink w:anchor="_Toc138851344" w:history="1">
            <w:r w:rsidRPr="00E32464">
              <w:rPr>
                <w:rStyle w:val="Hyperlink"/>
              </w:rPr>
              <w:t>Figure 8</w:t>
            </w:r>
            <w:r w:rsidRPr="00E32464">
              <w:rPr>
                <w:rStyle w:val="Hyperlink"/>
              </w:rPr>
              <w:noBreakHyphen/>
              <w:t>1. Traffic light framework for observed changes</w:t>
            </w:r>
            <w:r>
              <w:rPr>
                <w:webHidden/>
              </w:rPr>
              <w:tab/>
            </w:r>
            <w:r>
              <w:rPr>
                <w:webHidden/>
              </w:rPr>
              <w:fldChar w:fldCharType="begin"/>
            </w:r>
            <w:r>
              <w:rPr>
                <w:webHidden/>
              </w:rPr>
              <w:instrText xml:space="preserve"> PAGEREF _Toc138851344 \h </w:instrText>
            </w:r>
            <w:r>
              <w:rPr>
                <w:webHidden/>
              </w:rPr>
            </w:r>
            <w:r>
              <w:rPr>
                <w:webHidden/>
              </w:rPr>
              <w:fldChar w:fldCharType="separate"/>
            </w:r>
            <w:r w:rsidR="00165B17">
              <w:rPr>
                <w:webHidden/>
              </w:rPr>
              <w:t>223</w:t>
            </w:r>
            <w:r>
              <w:rPr>
                <w:webHidden/>
              </w:rPr>
              <w:fldChar w:fldCharType="end"/>
            </w:r>
          </w:hyperlink>
        </w:p>
        <w:p w14:paraId="5EEF506B" w14:textId="791E58B7" w:rsidR="00072EA6" w:rsidRDefault="00072EA6" w:rsidP="002D68D7">
          <w:pPr>
            <w:pStyle w:val="TableofFigures"/>
            <w:ind w:hanging="1080"/>
            <w:rPr>
              <w:rFonts w:cstheme="minorBidi"/>
              <w:kern w:val="2"/>
              <w:sz w:val="22"/>
              <w:lang w:val="en-AU" w:eastAsia="zh-CN"/>
              <w14:ligatures w14:val="standardContextual"/>
            </w:rPr>
          </w:pPr>
          <w:hyperlink w:anchor="_Toc138851345" w:history="1">
            <w:r w:rsidRPr="00E32464">
              <w:rPr>
                <w:rStyle w:val="Hyperlink"/>
              </w:rPr>
              <w:t>Figure 8</w:t>
            </w:r>
            <w:r w:rsidRPr="00E32464">
              <w:rPr>
                <w:rStyle w:val="Hyperlink"/>
              </w:rPr>
              <w:noBreakHyphen/>
              <w:t>2.</w:t>
            </w:r>
            <w:r w:rsidRPr="00E32464">
              <w:rPr>
                <w:rStyle w:val="Hyperlink"/>
                <w:iCs/>
              </w:rPr>
              <w:t xml:space="preserve"> Traffic light framework for observed change and evidence (regression coefficient)</w:t>
            </w:r>
            <w:r>
              <w:rPr>
                <w:webHidden/>
              </w:rPr>
              <w:tab/>
            </w:r>
            <w:r>
              <w:rPr>
                <w:webHidden/>
              </w:rPr>
              <w:fldChar w:fldCharType="begin"/>
            </w:r>
            <w:r>
              <w:rPr>
                <w:webHidden/>
              </w:rPr>
              <w:instrText xml:space="preserve"> PAGEREF _Toc138851345 \h </w:instrText>
            </w:r>
            <w:r>
              <w:rPr>
                <w:webHidden/>
              </w:rPr>
            </w:r>
            <w:r>
              <w:rPr>
                <w:webHidden/>
              </w:rPr>
              <w:fldChar w:fldCharType="separate"/>
            </w:r>
            <w:r w:rsidR="00165B17">
              <w:rPr>
                <w:webHidden/>
              </w:rPr>
              <w:t>223</w:t>
            </w:r>
            <w:r>
              <w:rPr>
                <w:webHidden/>
              </w:rPr>
              <w:fldChar w:fldCharType="end"/>
            </w:r>
          </w:hyperlink>
        </w:p>
        <w:p w14:paraId="1DECF57C" w14:textId="219514B8" w:rsidR="00072EA6" w:rsidRDefault="00072EA6" w:rsidP="002D68D7">
          <w:pPr>
            <w:pStyle w:val="TableofFigures"/>
            <w:ind w:hanging="1080"/>
            <w:rPr>
              <w:rFonts w:cstheme="minorBidi"/>
              <w:kern w:val="2"/>
              <w:sz w:val="22"/>
              <w:lang w:val="en-AU" w:eastAsia="zh-CN"/>
              <w14:ligatures w14:val="standardContextual"/>
            </w:rPr>
          </w:pPr>
          <w:hyperlink w:anchor="_Toc138851346" w:history="1">
            <w:r w:rsidRPr="00E32464">
              <w:rPr>
                <w:rStyle w:val="Hyperlink"/>
              </w:rPr>
              <w:t>Figure 8</w:t>
            </w:r>
            <w:r w:rsidRPr="00E32464">
              <w:rPr>
                <w:rStyle w:val="Hyperlink"/>
              </w:rPr>
              <w:noBreakHyphen/>
              <w:t>3. Traffic light framework and simple correlation for morbidity-mortality</w:t>
            </w:r>
            <w:r>
              <w:rPr>
                <w:webHidden/>
              </w:rPr>
              <w:tab/>
            </w:r>
            <w:r>
              <w:rPr>
                <w:webHidden/>
              </w:rPr>
              <w:fldChar w:fldCharType="begin"/>
            </w:r>
            <w:r>
              <w:rPr>
                <w:webHidden/>
              </w:rPr>
              <w:instrText xml:space="preserve"> PAGEREF _Toc138851346 \h </w:instrText>
            </w:r>
            <w:r>
              <w:rPr>
                <w:webHidden/>
              </w:rPr>
            </w:r>
            <w:r>
              <w:rPr>
                <w:webHidden/>
              </w:rPr>
              <w:fldChar w:fldCharType="separate"/>
            </w:r>
            <w:r w:rsidR="00165B17">
              <w:rPr>
                <w:webHidden/>
              </w:rPr>
              <w:t>223</w:t>
            </w:r>
            <w:r>
              <w:rPr>
                <w:webHidden/>
              </w:rPr>
              <w:fldChar w:fldCharType="end"/>
            </w:r>
          </w:hyperlink>
        </w:p>
        <w:p w14:paraId="26925D01" w14:textId="4F030589" w:rsidR="00072EA6" w:rsidRDefault="00072EA6" w:rsidP="002D68D7">
          <w:pPr>
            <w:pStyle w:val="TableofFigures"/>
            <w:ind w:hanging="1080"/>
            <w:rPr>
              <w:rFonts w:cstheme="minorBidi"/>
              <w:kern w:val="2"/>
              <w:sz w:val="22"/>
              <w:lang w:val="en-AU" w:eastAsia="zh-CN"/>
              <w14:ligatures w14:val="standardContextual"/>
            </w:rPr>
          </w:pPr>
          <w:hyperlink w:anchor="_Toc138851347" w:history="1">
            <w:r w:rsidRPr="00E32464">
              <w:rPr>
                <w:rStyle w:val="Hyperlink"/>
              </w:rPr>
              <w:t>Figure 8</w:t>
            </w:r>
            <w:r w:rsidRPr="00E32464">
              <w:rPr>
                <w:rStyle w:val="Hyperlink"/>
              </w:rPr>
              <w:noBreakHyphen/>
              <w:t>4. Associations between PHC activity and change in hospitalisation rate at the site level (the dots represent the site datapoints)</w:t>
            </w:r>
            <w:r>
              <w:rPr>
                <w:webHidden/>
              </w:rPr>
              <w:tab/>
            </w:r>
            <w:r>
              <w:rPr>
                <w:webHidden/>
              </w:rPr>
              <w:fldChar w:fldCharType="begin"/>
            </w:r>
            <w:r>
              <w:rPr>
                <w:webHidden/>
              </w:rPr>
              <w:instrText xml:space="preserve"> PAGEREF _Toc138851347 \h </w:instrText>
            </w:r>
            <w:r>
              <w:rPr>
                <w:webHidden/>
              </w:rPr>
            </w:r>
            <w:r>
              <w:rPr>
                <w:webHidden/>
              </w:rPr>
              <w:fldChar w:fldCharType="separate"/>
            </w:r>
            <w:r w:rsidR="00165B17">
              <w:rPr>
                <w:webHidden/>
              </w:rPr>
              <w:t>225</w:t>
            </w:r>
            <w:r>
              <w:rPr>
                <w:webHidden/>
              </w:rPr>
              <w:fldChar w:fldCharType="end"/>
            </w:r>
          </w:hyperlink>
        </w:p>
        <w:p w14:paraId="5806C9BA" w14:textId="6A66D495" w:rsidR="00072EA6" w:rsidRDefault="00072EA6" w:rsidP="002D68D7">
          <w:pPr>
            <w:pStyle w:val="TableofFigures"/>
            <w:ind w:hanging="1080"/>
            <w:rPr>
              <w:rFonts w:cstheme="minorBidi"/>
              <w:kern w:val="2"/>
              <w:sz w:val="22"/>
              <w:lang w:val="en-AU" w:eastAsia="zh-CN"/>
              <w14:ligatures w14:val="standardContextual"/>
            </w:rPr>
          </w:pPr>
          <w:hyperlink w:anchor="_Toc138851348" w:history="1">
            <w:r w:rsidRPr="00E32464">
              <w:rPr>
                <w:rStyle w:val="Hyperlink"/>
              </w:rPr>
              <w:t>Figure 8</w:t>
            </w:r>
            <w:r w:rsidRPr="00E32464">
              <w:rPr>
                <w:rStyle w:val="Hyperlink"/>
              </w:rPr>
              <w:noBreakHyphen/>
              <w:t>5. Distribution of the correlation coefficient between MBS chronic care activity rates and diabetes hospitalisation rates for the evaluation sites</w:t>
            </w:r>
            <w:r>
              <w:rPr>
                <w:webHidden/>
              </w:rPr>
              <w:tab/>
            </w:r>
            <w:r>
              <w:rPr>
                <w:webHidden/>
              </w:rPr>
              <w:fldChar w:fldCharType="begin"/>
            </w:r>
            <w:r>
              <w:rPr>
                <w:webHidden/>
              </w:rPr>
              <w:instrText xml:space="preserve"> PAGEREF _Toc138851348 \h </w:instrText>
            </w:r>
            <w:r>
              <w:rPr>
                <w:webHidden/>
              </w:rPr>
            </w:r>
            <w:r>
              <w:rPr>
                <w:webHidden/>
              </w:rPr>
              <w:fldChar w:fldCharType="separate"/>
            </w:r>
            <w:r w:rsidR="00165B17">
              <w:rPr>
                <w:webHidden/>
              </w:rPr>
              <w:t>227</w:t>
            </w:r>
            <w:r>
              <w:rPr>
                <w:webHidden/>
              </w:rPr>
              <w:fldChar w:fldCharType="end"/>
            </w:r>
          </w:hyperlink>
        </w:p>
        <w:p w14:paraId="1775C0A9" w14:textId="5406E4D0" w:rsidR="00072EA6" w:rsidRDefault="00072EA6" w:rsidP="002D68D7">
          <w:pPr>
            <w:pStyle w:val="TableofFigures"/>
            <w:ind w:hanging="1080"/>
            <w:rPr>
              <w:rFonts w:cstheme="minorBidi"/>
              <w:kern w:val="2"/>
              <w:sz w:val="22"/>
              <w:lang w:val="en-AU" w:eastAsia="zh-CN"/>
              <w14:ligatures w14:val="standardContextual"/>
            </w:rPr>
          </w:pPr>
          <w:hyperlink w:anchor="_Toc138851349" w:history="1">
            <w:r w:rsidRPr="00E32464">
              <w:rPr>
                <w:rStyle w:val="Hyperlink"/>
              </w:rPr>
              <w:t>Figure 8</w:t>
            </w:r>
            <w:r w:rsidRPr="00E32464">
              <w:rPr>
                <w:rStyle w:val="Hyperlink"/>
              </w:rPr>
              <w:noBreakHyphen/>
              <w:t>6. Dendrogram of hierarchical clustering of all nKPIs within sites</w:t>
            </w:r>
            <w:r>
              <w:rPr>
                <w:webHidden/>
              </w:rPr>
              <w:tab/>
            </w:r>
            <w:r>
              <w:rPr>
                <w:webHidden/>
              </w:rPr>
              <w:fldChar w:fldCharType="begin"/>
            </w:r>
            <w:r>
              <w:rPr>
                <w:webHidden/>
              </w:rPr>
              <w:instrText xml:space="preserve"> PAGEREF _Toc138851349 \h </w:instrText>
            </w:r>
            <w:r>
              <w:rPr>
                <w:webHidden/>
              </w:rPr>
            </w:r>
            <w:r>
              <w:rPr>
                <w:webHidden/>
              </w:rPr>
              <w:fldChar w:fldCharType="separate"/>
            </w:r>
            <w:r w:rsidR="00165B17">
              <w:rPr>
                <w:webHidden/>
              </w:rPr>
              <w:t>234</w:t>
            </w:r>
            <w:r>
              <w:rPr>
                <w:webHidden/>
              </w:rPr>
              <w:fldChar w:fldCharType="end"/>
            </w:r>
          </w:hyperlink>
        </w:p>
        <w:p w14:paraId="1B6CCFF0" w14:textId="2F4D0DD0" w:rsidR="00072EA6" w:rsidRDefault="00072EA6" w:rsidP="002D68D7">
          <w:pPr>
            <w:pStyle w:val="TableofFigures"/>
            <w:ind w:hanging="1080"/>
            <w:rPr>
              <w:rFonts w:cstheme="minorBidi"/>
              <w:kern w:val="2"/>
              <w:sz w:val="22"/>
              <w:lang w:val="en-AU" w:eastAsia="zh-CN"/>
              <w14:ligatures w14:val="standardContextual"/>
            </w:rPr>
          </w:pPr>
          <w:hyperlink w:anchor="_Toc138851350" w:history="1">
            <w:r w:rsidRPr="00E32464">
              <w:rPr>
                <w:rStyle w:val="Hyperlink"/>
              </w:rPr>
              <w:t>Figure 8</w:t>
            </w:r>
            <w:r w:rsidRPr="00E32464">
              <w:rPr>
                <w:rStyle w:val="Hyperlink"/>
              </w:rPr>
              <w:noBreakHyphen/>
              <w:t>7. Trend over time for nKPI PI03: MBS health assessment for clients aged 0-4 years</w:t>
            </w:r>
            <w:r>
              <w:rPr>
                <w:webHidden/>
              </w:rPr>
              <w:tab/>
            </w:r>
            <w:r>
              <w:rPr>
                <w:webHidden/>
              </w:rPr>
              <w:fldChar w:fldCharType="begin"/>
            </w:r>
            <w:r>
              <w:rPr>
                <w:webHidden/>
              </w:rPr>
              <w:instrText xml:space="preserve"> PAGEREF _Toc138851350 \h </w:instrText>
            </w:r>
            <w:r>
              <w:rPr>
                <w:webHidden/>
              </w:rPr>
            </w:r>
            <w:r>
              <w:rPr>
                <w:webHidden/>
              </w:rPr>
              <w:fldChar w:fldCharType="separate"/>
            </w:r>
            <w:r w:rsidR="00165B17">
              <w:rPr>
                <w:webHidden/>
              </w:rPr>
              <w:t>236</w:t>
            </w:r>
            <w:r>
              <w:rPr>
                <w:webHidden/>
              </w:rPr>
              <w:fldChar w:fldCharType="end"/>
            </w:r>
          </w:hyperlink>
        </w:p>
        <w:p w14:paraId="3871FB09" w14:textId="3C96FF97" w:rsidR="00072EA6" w:rsidRDefault="00072EA6" w:rsidP="002D68D7">
          <w:pPr>
            <w:pStyle w:val="TableofFigures"/>
            <w:ind w:hanging="1080"/>
            <w:rPr>
              <w:rFonts w:cstheme="minorBidi"/>
              <w:kern w:val="2"/>
              <w:sz w:val="22"/>
              <w:lang w:val="en-AU" w:eastAsia="zh-CN"/>
              <w14:ligatures w14:val="standardContextual"/>
            </w:rPr>
          </w:pPr>
          <w:hyperlink w:anchor="_Toc138851351" w:history="1">
            <w:r w:rsidRPr="00E32464">
              <w:rPr>
                <w:rStyle w:val="Hyperlink"/>
              </w:rPr>
              <w:t>Figure 8</w:t>
            </w:r>
            <w:r w:rsidRPr="00E32464">
              <w:rPr>
                <w:rStyle w:val="Hyperlink"/>
              </w:rPr>
              <w:noBreakHyphen/>
              <w:t xml:space="preserve">8. Trend over time for nKPI PI03: MBS health assessment for clients </w:t>
            </w:r>
            <w:r w:rsidRPr="00E32464">
              <w:rPr>
                <w:rStyle w:val="Hyperlink"/>
                <w:rFonts w:hint="eastAsia"/>
              </w:rPr>
              <w:t xml:space="preserve">aged </w:t>
            </w:r>
            <w:r w:rsidRPr="00E32464">
              <w:rPr>
                <w:rStyle w:val="Hyperlink"/>
                <w:rFonts w:hint="eastAsia"/>
              </w:rPr>
              <w:t>≥</w:t>
            </w:r>
            <w:r w:rsidRPr="00E32464">
              <w:rPr>
                <w:rStyle w:val="Hyperlink"/>
                <w:rFonts w:hint="eastAsia"/>
              </w:rPr>
              <w:t>25 years</w:t>
            </w:r>
            <w:r>
              <w:rPr>
                <w:webHidden/>
              </w:rPr>
              <w:tab/>
            </w:r>
            <w:r>
              <w:rPr>
                <w:webHidden/>
              </w:rPr>
              <w:fldChar w:fldCharType="begin"/>
            </w:r>
            <w:r>
              <w:rPr>
                <w:webHidden/>
              </w:rPr>
              <w:instrText xml:space="preserve"> PAGEREF _Toc138851351 \h </w:instrText>
            </w:r>
            <w:r>
              <w:rPr>
                <w:webHidden/>
              </w:rPr>
            </w:r>
            <w:r>
              <w:rPr>
                <w:webHidden/>
              </w:rPr>
              <w:fldChar w:fldCharType="separate"/>
            </w:r>
            <w:r w:rsidR="00165B17">
              <w:rPr>
                <w:webHidden/>
              </w:rPr>
              <w:t>236</w:t>
            </w:r>
            <w:r>
              <w:rPr>
                <w:webHidden/>
              </w:rPr>
              <w:fldChar w:fldCharType="end"/>
            </w:r>
          </w:hyperlink>
        </w:p>
        <w:p w14:paraId="07B861BD" w14:textId="07939760" w:rsidR="00072EA6" w:rsidRDefault="00072EA6" w:rsidP="002D68D7">
          <w:pPr>
            <w:pStyle w:val="TableofFigures"/>
            <w:ind w:hanging="1080"/>
            <w:rPr>
              <w:rFonts w:cstheme="minorBidi"/>
              <w:kern w:val="2"/>
              <w:sz w:val="22"/>
              <w:lang w:val="en-AU" w:eastAsia="zh-CN"/>
              <w14:ligatures w14:val="standardContextual"/>
            </w:rPr>
          </w:pPr>
          <w:hyperlink w:anchor="_Toc138851352" w:history="1">
            <w:r w:rsidRPr="00E32464">
              <w:rPr>
                <w:rStyle w:val="Hyperlink"/>
              </w:rPr>
              <w:t>Figure 8</w:t>
            </w:r>
            <w:r w:rsidRPr="00E32464">
              <w:rPr>
                <w:rStyle w:val="Hyperlink"/>
              </w:rPr>
              <w:noBreakHyphen/>
              <w:t>9. Number of Aboriginal and Torres Strait Islander residents who had an MBS health assessment per 1,000 residents by site, 2012-13 to 2018-19.</w:t>
            </w:r>
            <w:r>
              <w:rPr>
                <w:webHidden/>
              </w:rPr>
              <w:tab/>
            </w:r>
            <w:r>
              <w:rPr>
                <w:webHidden/>
              </w:rPr>
              <w:fldChar w:fldCharType="begin"/>
            </w:r>
            <w:r>
              <w:rPr>
                <w:webHidden/>
              </w:rPr>
              <w:instrText xml:space="preserve"> PAGEREF _Toc138851352 \h </w:instrText>
            </w:r>
            <w:r>
              <w:rPr>
                <w:webHidden/>
              </w:rPr>
            </w:r>
            <w:r>
              <w:rPr>
                <w:webHidden/>
              </w:rPr>
              <w:fldChar w:fldCharType="separate"/>
            </w:r>
            <w:r w:rsidR="00165B17">
              <w:rPr>
                <w:webHidden/>
              </w:rPr>
              <w:t>237</w:t>
            </w:r>
            <w:r>
              <w:rPr>
                <w:webHidden/>
              </w:rPr>
              <w:fldChar w:fldCharType="end"/>
            </w:r>
          </w:hyperlink>
        </w:p>
        <w:p w14:paraId="478A3E7D" w14:textId="0D5806F0" w:rsidR="00072EA6" w:rsidRDefault="00072EA6" w:rsidP="002D68D7">
          <w:pPr>
            <w:pStyle w:val="TableofFigures"/>
            <w:ind w:hanging="1080"/>
            <w:rPr>
              <w:rFonts w:cstheme="minorBidi"/>
              <w:kern w:val="2"/>
              <w:sz w:val="22"/>
              <w:lang w:val="en-AU" w:eastAsia="zh-CN"/>
              <w14:ligatures w14:val="standardContextual"/>
            </w:rPr>
          </w:pPr>
          <w:hyperlink w:anchor="_Toc138851353" w:history="1">
            <w:r w:rsidRPr="00E32464">
              <w:rPr>
                <w:rStyle w:val="Hyperlink"/>
              </w:rPr>
              <w:t>Figure 8</w:t>
            </w:r>
            <w:r w:rsidRPr="00E32464">
              <w:rPr>
                <w:rStyle w:val="Hyperlink"/>
              </w:rPr>
              <w:noBreakHyphen/>
              <w:t>10. Overall relative importance of explanatory variables</w:t>
            </w:r>
            <w:r>
              <w:rPr>
                <w:webHidden/>
              </w:rPr>
              <w:tab/>
            </w:r>
            <w:r>
              <w:rPr>
                <w:webHidden/>
              </w:rPr>
              <w:fldChar w:fldCharType="begin"/>
            </w:r>
            <w:r>
              <w:rPr>
                <w:webHidden/>
              </w:rPr>
              <w:instrText xml:space="preserve"> PAGEREF _Toc138851353 \h </w:instrText>
            </w:r>
            <w:r>
              <w:rPr>
                <w:webHidden/>
              </w:rPr>
            </w:r>
            <w:r>
              <w:rPr>
                <w:webHidden/>
              </w:rPr>
              <w:fldChar w:fldCharType="separate"/>
            </w:r>
            <w:r w:rsidR="00165B17">
              <w:rPr>
                <w:webHidden/>
              </w:rPr>
              <w:t>241</w:t>
            </w:r>
            <w:r>
              <w:rPr>
                <w:webHidden/>
              </w:rPr>
              <w:fldChar w:fldCharType="end"/>
            </w:r>
          </w:hyperlink>
        </w:p>
        <w:p w14:paraId="1D8C2F68" w14:textId="25B1C266" w:rsidR="00072EA6" w:rsidRDefault="00072EA6" w:rsidP="002D68D7">
          <w:pPr>
            <w:pStyle w:val="TableofFigures"/>
            <w:ind w:hanging="1080"/>
            <w:rPr>
              <w:rFonts w:cstheme="minorBidi"/>
              <w:kern w:val="2"/>
              <w:sz w:val="22"/>
              <w:lang w:val="en-AU" w:eastAsia="zh-CN"/>
              <w14:ligatures w14:val="standardContextual"/>
            </w:rPr>
          </w:pPr>
          <w:hyperlink w:anchor="_Toc138851354" w:history="1">
            <w:r w:rsidRPr="00E32464">
              <w:rPr>
                <w:rStyle w:val="Hyperlink"/>
              </w:rPr>
              <w:t>Figure 8</w:t>
            </w:r>
            <w:r w:rsidRPr="00E32464">
              <w:rPr>
                <w:rStyle w:val="Hyperlink"/>
              </w:rPr>
              <w:noBreakHyphen/>
              <w:t>11. Effects of primary care activity and social determinants on hospitalisations at Time 1 (2011) and Time 2 (2016)</w:t>
            </w:r>
            <w:r>
              <w:rPr>
                <w:webHidden/>
              </w:rPr>
              <w:tab/>
            </w:r>
            <w:r>
              <w:rPr>
                <w:webHidden/>
              </w:rPr>
              <w:fldChar w:fldCharType="begin"/>
            </w:r>
            <w:r>
              <w:rPr>
                <w:webHidden/>
              </w:rPr>
              <w:instrText xml:space="preserve"> PAGEREF _Toc138851354 \h </w:instrText>
            </w:r>
            <w:r>
              <w:rPr>
                <w:webHidden/>
              </w:rPr>
            </w:r>
            <w:r>
              <w:rPr>
                <w:webHidden/>
              </w:rPr>
              <w:fldChar w:fldCharType="separate"/>
            </w:r>
            <w:r w:rsidR="00165B17">
              <w:rPr>
                <w:webHidden/>
              </w:rPr>
              <w:t>243</w:t>
            </w:r>
            <w:r>
              <w:rPr>
                <w:webHidden/>
              </w:rPr>
              <w:fldChar w:fldCharType="end"/>
            </w:r>
          </w:hyperlink>
        </w:p>
        <w:p w14:paraId="26037523" w14:textId="2F3CC88B" w:rsidR="00072EA6" w:rsidRDefault="00072EA6" w:rsidP="002D68D7">
          <w:pPr>
            <w:pStyle w:val="TableofFigures"/>
            <w:ind w:hanging="1080"/>
            <w:rPr>
              <w:rFonts w:cstheme="minorBidi"/>
              <w:kern w:val="2"/>
              <w:sz w:val="22"/>
              <w:lang w:val="en-AU" w:eastAsia="zh-CN"/>
              <w14:ligatures w14:val="standardContextual"/>
            </w:rPr>
          </w:pPr>
          <w:hyperlink w:anchor="_Toc138851355" w:history="1">
            <w:r w:rsidRPr="00E32464">
              <w:rPr>
                <w:rStyle w:val="Hyperlink"/>
              </w:rPr>
              <w:t>Figure 8</w:t>
            </w:r>
            <w:r w:rsidRPr="00E32464">
              <w:rPr>
                <w:rStyle w:val="Hyperlink"/>
              </w:rPr>
              <w:noBreakHyphen/>
              <w:t>12. Effects of primary care activity and social determinants on potentially preventable hospitalisations at Time 1 (2011) and Time 2 (2016)</w:t>
            </w:r>
            <w:r>
              <w:rPr>
                <w:webHidden/>
              </w:rPr>
              <w:tab/>
            </w:r>
            <w:r>
              <w:rPr>
                <w:webHidden/>
              </w:rPr>
              <w:fldChar w:fldCharType="begin"/>
            </w:r>
            <w:r>
              <w:rPr>
                <w:webHidden/>
              </w:rPr>
              <w:instrText xml:space="preserve"> PAGEREF _Toc138851355 \h </w:instrText>
            </w:r>
            <w:r>
              <w:rPr>
                <w:webHidden/>
              </w:rPr>
            </w:r>
            <w:r>
              <w:rPr>
                <w:webHidden/>
              </w:rPr>
              <w:fldChar w:fldCharType="separate"/>
            </w:r>
            <w:r w:rsidR="00165B17">
              <w:rPr>
                <w:webHidden/>
              </w:rPr>
              <w:t>244</w:t>
            </w:r>
            <w:r>
              <w:rPr>
                <w:webHidden/>
              </w:rPr>
              <w:fldChar w:fldCharType="end"/>
            </w:r>
          </w:hyperlink>
        </w:p>
        <w:p w14:paraId="6DB176B6" w14:textId="23F579A4" w:rsidR="00072EA6" w:rsidRDefault="00072EA6" w:rsidP="002D68D7">
          <w:pPr>
            <w:pStyle w:val="TableofFigures"/>
            <w:ind w:hanging="1080"/>
            <w:rPr>
              <w:rFonts w:cstheme="minorBidi"/>
              <w:kern w:val="2"/>
              <w:sz w:val="22"/>
              <w:lang w:val="en-AU" w:eastAsia="zh-CN"/>
              <w14:ligatures w14:val="standardContextual"/>
            </w:rPr>
          </w:pPr>
          <w:hyperlink w:anchor="_Toc138851356" w:history="1">
            <w:r w:rsidRPr="00E32464">
              <w:rPr>
                <w:rStyle w:val="Hyperlink"/>
              </w:rPr>
              <w:t>Figure 8</w:t>
            </w:r>
            <w:r w:rsidRPr="00E32464">
              <w:rPr>
                <w:rStyle w:val="Hyperlink"/>
              </w:rPr>
              <w:noBreakHyphen/>
              <w:t>13. Effects of primary care activity and social determinants on emergency department presentations at Time 2 (2016)</w:t>
            </w:r>
            <w:r>
              <w:rPr>
                <w:webHidden/>
              </w:rPr>
              <w:tab/>
            </w:r>
            <w:r>
              <w:rPr>
                <w:webHidden/>
              </w:rPr>
              <w:fldChar w:fldCharType="begin"/>
            </w:r>
            <w:r>
              <w:rPr>
                <w:webHidden/>
              </w:rPr>
              <w:instrText xml:space="preserve"> PAGEREF _Toc138851356 \h </w:instrText>
            </w:r>
            <w:r>
              <w:rPr>
                <w:webHidden/>
              </w:rPr>
            </w:r>
            <w:r>
              <w:rPr>
                <w:webHidden/>
              </w:rPr>
              <w:fldChar w:fldCharType="separate"/>
            </w:r>
            <w:r w:rsidR="00165B17">
              <w:rPr>
                <w:webHidden/>
              </w:rPr>
              <w:t>245</w:t>
            </w:r>
            <w:r>
              <w:rPr>
                <w:webHidden/>
              </w:rPr>
              <w:fldChar w:fldCharType="end"/>
            </w:r>
          </w:hyperlink>
        </w:p>
        <w:p w14:paraId="4C240A65" w14:textId="4081D0BC" w:rsidR="00072EA6" w:rsidRDefault="00072EA6" w:rsidP="002D68D7">
          <w:pPr>
            <w:pStyle w:val="TableofFigures"/>
            <w:ind w:hanging="1080"/>
            <w:rPr>
              <w:rFonts w:cstheme="minorBidi"/>
              <w:kern w:val="2"/>
              <w:sz w:val="22"/>
              <w:lang w:val="en-AU" w:eastAsia="zh-CN"/>
              <w14:ligatures w14:val="standardContextual"/>
            </w:rPr>
          </w:pPr>
          <w:hyperlink w:anchor="_Toc138851357" w:history="1">
            <w:r w:rsidRPr="00E32464">
              <w:rPr>
                <w:rStyle w:val="Hyperlink"/>
              </w:rPr>
              <w:t>Figure 8</w:t>
            </w:r>
            <w:r w:rsidRPr="00E32464">
              <w:rPr>
                <w:rStyle w:val="Hyperlink"/>
              </w:rPr>
              <w:noBreakHyphen/>
              <w:t>14. Effects of primary care activity and social determinants on mortality at Time 1 (2011) and Time 2 (2016)</w:t>
            </w:r>
            <w:r>
              <w:rPr>
                <w:webHidden/>
              </w:rPr>
              <w:tab/>
            </w:r>
            <w:r>
              <w:rPr>
                <w:webHidden/>
              </w:rPr>
              <w:fldChar w:fldCharType="begin"/>
            </w:r>
            <w:r>
              <w:rPr>
                <w:webHidden/>
              </w:rPr>
              <w:instrText xml:space="preserve"> PAGEREF _Toc138851357 \h </w:instrText>
            </w:r>
            <w:r>
              <w:rPr>
                <w:webHidden/>
              </w:rPr>
            </w:r>
            <w:r>
              <w:rPr>
                <w:webHidden/>
              </w:rPr>
              <w:fldChar w:fldCharType="separate"/>
            </w:r>
            <w:r w:rsidR="00165B17">
              <w:rPr>
                <w:webHidden/>
              </w:rPr>
              <w:t>246</w:t>
            </w:r>
            <w:r>
              <w:rPr>
                <w:webHidden/>
              </w:rPr>
              <w:fldChar w:fldCharType="end"/>
            </w:r>
          </w:hyperlink>
        </w:p>
        <w:p w14:paraId="1DAF9C49" w14:textId="3EAF737D" w:rsidR="00072EA6" w:rsidRDefault="00072EA6" w:rsidP="002D68D7">
          <w:pPr>
            <w:pStyle w:val="TableofFigures"/>
            <w:ind w:hanging="1080"/>
            <w:rPr>
              <w:rFonts w:cstheme="minorBidi"/>
              <w:kern w:val="2"/>
              <w:sz w:val="22"/>
              <w:lang w:val="en-AU" w:eastAsia="zh-CN"/>
              <w14:ligatures w14:val="standardContextual"/>
            </w:rPr>
          </w:pPr>
          <w:hyperlink w:anchor="_Toc138851358" w:history="1">
            <w:r w:rsidRPr="00E32464">
              <w:rPr>
                <w:rStyle w:val="Hyperlink"/>
              </w:rPr>
              <w:t>Figure 8</w:t>
            </w:r>
            <w:r w:rsidRPr="00E32464">
              <w:rPr>
                <w:rStyle w:val="Hyperlink"/>
              </w:rPr>
              <w:noBreakHyphen/>
              <w:t>15. Effects of primary care activity and social determinants on birthweight at Time 1 (2011) and Time 2 (2016)</w:t>
            </w:r>
            <w:r>
              <w:rPr>
                <w:webHidden/>
              </w:rPr>
              <w:tab/>
            </w:r>
            <w:r>
              <w:rPr>
                <w:webHidden/>
              </w:rPr>
              <w:fldChar w:fldCharType="begin"/>
            </w:r>
            <w:r>
              <w:rPr>
                <w:webHidden/>
              </w:rPr>
              <w:instrText xml:space="preserve"> PAGEREF _Toc138851358 \h </w:instrText>
            </w:r>
            <w:r>
              <w:rPr>
                <w:webHidden/>
              </w:rPr>
            </w:r>
            <w:r>
              <w:rPr>
                <w:webHidden/>
              </w:rPr>
              <w:fldChar w:fldCharType="separate"/>
            </w:r>
            <w:r w:rsidR="00165B17">
              <w:rPr>
                <w:webHidden/>
              </w:rPr>
              <w:t>248</w:t>
            </w:r>
            <w:r>
              <w:rPr>
                <w:webHidden/>
              </w:rPr>
              <w:fldChar w:fldCharType="end"/>
            </w:r>
          </w:hyperlink>
        </w:p>
        <w:p w14:paraId="5B4D9CB1" w14:textId="750B5CF4" w:rsidR="00C52355" w:rsidRPr="00884FAA" w:rsidRDefault="00C52355" w:rsidP="00141AD6">
          <w:r w:rsidRPr="001F3B0E">
            <w:rPr>
              <w:highlight w:val="cyan"/>
            </w:rPr>
            <w:fldChar w:fldCharType="end"/>
          </w:r>
        </w:p>
        <w:p w14:paraId="640CBB35" w14:textId="77777777" w:rsidR="00D06CC2" w:rsidRDefault="00D06CC2">
          <w:pPr>
            <w:jc w:val="left"/>
            <w:rPr>
              <w:b/>
              <w:caps/>
              <w:color w:val="9E6047" w:themeColor="accent3"/>
              <w:kern w:val="28"/>
              <w:sz w:val="40"/>
              <w:szCs w:val="48"/>
            </w:rPr>
          </w:pPr>
          <w:r>
            <w:br w:type="page"/>
          </w:r>
        </w:p>
        <w:p w14:paraId="204D3A42" w14:textId="0267D2C0" w:rsidR="00366F9E" w:rsidRPr="00884FAA" w:rsidRDefault="004B1432" w:rsidP="003D4A7C">
          <w:pPr>
            <w:pStyle w:val="Heading1NotNumbered"/>
          </w:pPr>
          <w:bookmarkStart w:id="5" w:name="_Toc137208868"/>
          <w:r w:rsidRPr="00884FAA">
            <w:lastRenderedPageBreak/>
            <w:t xml:space="preserve">List of </w:t>
          </w:r>
          <w:r w:rsidR="00FF4513" w:rsidRPr="00884FAA">
            <w:t>abbreviations</w:t>
          </w:r>
          <w:bookmarkEnd w:id="3"/>
          <w:bookmarkEnd w:id="5"/>
        </w:p>
        <w:tbl>
          <w:tblPr>
            <w:tblStyle w:val="ACTableDesign1White"/>
            <w:tblW w:w="9209" w:type="dxa"/>
            <w:tblLayout w:type="fixed"/>
            <w:tblLook w:val="01A0" w:firstRow="1" w:lastRow="0" w:firstColumn="1" w:lastColumn="1" w:noHBand="0" w:noVBand="0"/>
          </w:tblPr>
          <w:tblGrid>
            <w:gridCol w:w="1557"/>
            <w:gridCol w:w="7652"/>
          </w:tblGrid>
          <w:tr w:rsidR="00DE3527" w:rsidRPr="00DE3527" w14:paraId="1DFD670B" w14:textId="77777777" w:rsidTr="00FD6BC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34228096" w14:textId="77777777" w:rsidR="00DE3527" w:rsidRPr="0058387D" w:rsidRDefault="00DE3527" w:rsidP="00492E99">
                <w:pPr>
                  <w:spacing w:before="60" w:line="276" w:lineRule="auto"/>
                  <w:rPr>
                    <w:rFonts w:asciiTheme="minorHAnsi" w:hAnsiTheme="minorHAnsi"/>
                    <w:color w:val="000000" w:themeColor="text1"/>
                    <w:sz w:val="22"/>
                    <w:szCs w:val="22"/>
                  </w:rPr>
                </w:pPr>
                <w:bookmarkStart w:id="6" w:name="_Hlk131500933"/>
                <w:r w:rsidRPr="0058387D">
                  <w:rPr>
                    <w:rFonts w:asciiTheme="minorHAnsi" w:hAnsiTheme="minorHAnsi"/>
                    <w:color w:val="000000" w:themeColor="text1"/>
                    <w:sz w:val="22"/>
                    <w:szCs w:val="22"/>
                  </w:rPr>
                  <w:t>Term</w:t>
                </w:r>
              </w:p>
            </w:tc>
            <w:tc>
              <w:tcPr>
                <w:cnfStyle w:val="000100000000" w:firstRow="0" w:lastRow="0" w:firstColumn="0" w:lastColumn="1" w:oddVBand="0" w:evenVBand="0" w:oddHBand="0" w:evenHBand="0" w:firstRowFirstColumn="0" w:firstRowLastColumn="0" w:lastRowFirstColumn="0" w:lastRowLastColumn="0"/>
                <w:tcW w:w="7652" w:type="dxa"/>
              </w:tcPr>
              <w:p w14:paraId="2AABDB00" w14:textId="77777777" w:rsidR="00DE3527" w:rsidRPr="0058387D" w:rsidRDefault="00DE3527" w:rsidP="00492E99">
                <w:pPr>
                  <w:spacing w:before="60" w:line="276" w:lineRule="auto"/>
                  <w:rPr>
                    <w:rFonts w:asciiTheme="minorHAnsi" w:hAnsiTheme="minorHAnsi"/>
                    <w:color w:val="000000" w:themeColor="text1"/>
                    <w:sz w:val="22"/>
                    <w:szCs w:val="22"/>
                  </w:rPr>
                </w:pPr>
                <w:r w:rsidRPr="0058387D">
                  <w:rPr>
                    <w:rFonts w:asciiTheme="minorHAnsi" w:hAnsiTheme="minorHAnsi"/>
                    <w:color w:val="000000" w:themeColor="text1"/>
                    <w:sz w:val="22"/>
                    <w:szCs w:val="22"/>
                  </w:rPr>
                  <w:t>Definition</w:t>
                </w:r>
              </w:p>
            </w:tc>
          </w:tr>
          <w:tr w:rsidR="00DE3527" w:rsidRPr="00DE3527" w14:paraId="1415BAF0"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1D66D4E2"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ACCHO</w:t>
                </w:r>
              </w:p>
            </w:tc>
            <w:tc>
              <w:tcPr>
                <w:cnfStyle w:val="000100000000" w:firstRow="0" w:lastRow="0" w:firstColumn="0" w:lastColumn="1" w:oddVBand="0" w:evenVBand="0" w:oddHBand="0" w:evenHBand="0" w:firstRowFirstColumn="0" w:firstRowLastColumn="0" w:lastRowFirstColumn="0" w:lastRowLastColumn="0"/>
                <w:tcW w:w="7652" w:type="dxa"/>
              </w:tcPr>
              <w:p w14:paraId="0D01AB4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Aboriginal Community Controlled Health Organisation</w:t>
                </w:r>
              </w:p>
            </w:tc>
          </w:tr>
          <w:tr w:rsidR="00DE3527" w:rsidRPr="00DE3527" w14:paraId="4081F189"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0B1365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ACCHS</w:t>
                </w:r>
              </w:p>
            </w:tc>
            <w:tc>
              <w:tcPr>
                <w:cnfStyle w:val="000100000000" w:firstRow="0" w:lastRow="0" w:firstColumn="0" w:lastColumn="1" w:oddVBand="0" w:evenVBand="0" w:oddHBand="0" w:evenHBand="0" w:firstRowFirstColumn="0" w:firstRowLastColumn="0" w:lastRowFirstColumn="0" w:lastRowLastColumn="0"/>
                <w:tcW w:w="7652" w:type="dxa"/>
              </w:tcPr>
              <w:p w14:paraId="497FA24B"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Aboriginal Community Controlled Health Service</w:t>
                </w:r>
              </w:p>
            </w:tc>
          </w:tr>
          <w:tr w:rsidR="00DE3527" w:rsidRPr="00DE3527" w14:paraId="6DFC023E"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41BE9E3"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ACR</w:t>
                </w:r>
              </w:p>
            </w:tc>
            <w:tc>
              <w:tcPr>
                <w:cnfStyle w:val="000100000000" w:firstRow="0" w:lastRow="0" w:firstColumn="0" w:lastColumn="1" w:oddVBand="0" w:evenVBand="0" w:oddHBand="0" w:evenHBand="0" w:firstRowFirstColumn="0" w:firstRowLastColumn="0" w:lastRowFirstColumn="0" w:lastRowLastColumn="0"/>
                <w:tcW w:w="7652" w:type="dxa"/>
              </w:tcPr>
              <w:p w14:paraId="4DE8907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Albumin-to-Creatinine Ratio</w:t>
                </w:r>
              </w:p>
            </w:tc>
          </w:tr>
          <w:tr w:rsidR="00DE3527" w:rsidRPr="00DE3527" w14:paraId="483C0EEB"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FA61582"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AHPPC</w:t>
                </w:r>
              </w:p>
            </w:tc>
            <w:tc>
              <w:tcPr>
                <w:cnfStyle w:val="000100000000" w:firstRow="0" w:lastRow="0" w:firstColumn="0" w:lastColumn="1" w:oddVBand="0" w:evenVBand="0" w:oddHBand="0" w:evenHBand="0" w:firstRowFirstColumn="0" w:firstRowLastColumn="0" w:lastRowFirstColumn="0" w:lastRowLastColumn="0"/>
                <w:tcW w:w="7652" w:type="dxa"/>
              </w:tcPr>
              <w:p w14:paraId="21941025"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Australian Health Protection Principal Committee</w:t>
                </w:r>
              </w:p>
            </w:tc>
          </w:tr>
          <w:tr w:rsidR="00DE3527" w:rsidRPr="00DE3527" w14:paraId="7AB21E30"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3151F0B"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AHPs</w:t>
                </w:r>
              </w:p>
            </w:tc>
            <w:tc>
              <w:tcPr>
                <w:cnfStyle w:val="000100000000" w:firstRow="0" w:lastRow="0" w:firstColumn="0" w:lastColumn="1" w:oddVBand="0" w:evenVBand="0" w:oddHBand="0" w:evenHBand="0" w:firstRowFirstColumn="0" w:firstRowLastColumn="0" w:lastRowFirstColumn="0" w:lastRowLastColumn="0"/>
                <w:tcW w:w="7652" w:type="dxa"/>
              </w:tcPr>
              <w:p w14:paraId="1C54C263"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 xml:space="preserve">Aboriginal and Torres Strait Islander Health Practitioners </w:t>
                </w:r>
              </w:p>
            </w:tc>
          </w:tr>
          <w:tr w:rsidR="00DE3527" w:rsidRPr="00DE3527" w14:paraId="09E94D12"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1E3D098E"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AHWs</w:t>
                </w:r>
              </w:p>
            </w:tc>
            <w:tc>
              <w:tcPr>
                <w:cnfStyle w:val="000100000000" w:firstRow="0" w:lastRow="0" w:firstColumn="0" w:lastColumn="1" w:oddVBand="0" w:evenVBand="0" w:oddHBand="0" w:evenHBand="0" w:firstRowFirstColumn="0" w:firstRowLastColumn="0" w:lastRowFirstColumn="0" w:lastRowLastColumn="0"/>
                <w:tcW w:w="7652" w:type="dxa"/>
              </w:tcPr>
              <w:p w14:paraId="26A458A4"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Aboriginal and Torres Strait Islander Health Workers</w:t>
                </w:r>
              </w:p>
            </w:tc>
          </w:tr>
          <w:tr w:rsidR="00DE3527" w:rsidRPr="00DE3527" w14:paraId="4A46FCCA"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63E5593"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AIHW</w:t>
                </w:r>
              </w:p>
            </w:tc>
            <w:tc>
              <w:tcPr>
                <w:cnfStyle w:val="000100000000" w:firstRow="0" w:lastRow="0" w:firstColumn="0" w:lastColumn="1" w:oddVBand="0" w:evenVBand="0" w:oddHBand="0" w:evenHBand="0" w:firstRowFirstColumn="0" w:firstRowLastColumn="0" w:lastRowFirstColumn="0" w:lastRowLastColumn="0"/>
                <w:tcW w:w="7652" w:type="dxa"/>
              </w:tcPr>
              <w:p w14:paraId="3065BE6C"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Australian Institute of Health and Welfare</w:t>
                </w:r>
              </w:p>
            </w:tc>
          </w:tr>
          <w:tr w:rsidR="00DE3527" w:rsidRPr="00DE3527" w14:paraId="7943ED7E"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05CBD22"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AMS</w:t>
                </w:r>
              </w:p>
            </w:tc>
            <w:tc>
              <w:tcPr>
                <w:cnfStyle w:val="000100000000" w:firstRow="0" w:lastRow="0" w:firstColumn="0" w:lastColumn="1" w:oddVBand="0" w:evenVBand="0" w:oddHBand="0" w:evenHBand="0" w:firstRowFirstColumn="0" w:firstRowLastColumn="0" w:lastRowFirstColumn="0" w:lastRowLastColumn="0"/>
                <w:tcW w:w="7652" w:type="dxa"/>
              </w:tcPr>
              <w:p w14:paraId="20D07C79"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Aboriginal Medical Service</w:t>
                </w:r>
              </w:p>
            </w:tc>
          </w:tr>
          <w:tr w:rsidR="00DE3527" w:rsidRPr="00DE3527" w14:paraId="521DAB49"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3DFAFC2D"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ANFPP</w:t>
                </w:r>
              </w:p>
            </w:tc>
            <w:tc>
              <w:tcPr>
                <w:cnfStyle w:val="000100000000" w:firstRow="0" w:lastRow="0" w:firstColumn="0" w:lastColumn="1" w:oddVBand="0" w:evenVBand="0" w:oddHBand="0" w:evenHBand="0" w:firstRowFirstColumn="0" w:firstRowLastColumn="0" w:lastRowFirstColumn="0" w:lastRowLastColumn="0"/>
                <w:tcW w:w="7652" w:type="dxa"/>
              </w:tcPr>
              <w:p w14:paraId="60A9187F"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Australian Nurse Family Partnership Program</w:t>
                </w:r>
              </w:p>
            </w:tc>
          </w:tr>
          <w:tr w:rsidR="00DE3527" w:rsidRPr="00DE3527" w14:paraId="2BF6EC53"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740DF9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ARF</w:t>
                </w:r>
              </w:p>
            </w:tc>
            <w:tc>
              <w:tcPr>
                <w:cnfStyle w:val="000100000000" w:firstRow="0" w:lastRow="0" w:firstColumn="0" w:lastColumn="1" w:oddVBand="0" w:evenVBand="0" w:oddHBand="0" w:evenHBand="0" w:firstRowFirstColumn="0" w:firstRowLastColumn="0" w:lastRowFirstColumn="0" w:lastRowLastColumn="0"/>
                <w:tcW w:w="7652" w:type="dxa"/>
              </w:tcPr>
              <w:p w14:paraId="6ECF90E7"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Acute Rheumatic Fever</w:t>
                </w:r>
              </w:p>
            </w:tc>
          </w:tr>
          <w:tr w:rsidR="00DE3527" w:rsidRPr="00DE3527" w14:paraId="72B3FF3A"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3AD4F01D"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AUDIT-C</w:t>
                </w:r>
              </w:p>
            </w:tc>
            <w:tc>
              <w:tcPr>
                <w:cnfStyle w:val="000100000000" w:firstRow="0" w:lastRow="0" w:firstColumn="0" w:lastColumn="1" w:oddVBand="0" w:evenVBand="0" w:oddHBand="0" w:evenHBand="0" w:firstRowFirstColumn="0" w:firstRowLastColumn="0" w:lastRowFirstColumn="0" w:lastRowLastColumn="0"/>
                <w:tcW w:w="7652" w:type="dxa"/>
              </w:tcPr>
              <w:p w14:paraId="160C58B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Alcohol Use Disorders Identification Test</w:t>
                </w:r>
              </w:p>
            </w:tc>
          </w:tr>
          <w:tr w:rsidR="00DE3527" w:rsidRPr="00DE3527" w14:paraId="40F8B88C"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E534E5A"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CDNA</w:t>
                </w:r>
              </w:p>
            </w:tc>
            <w:tc>
              <w:tcPr>
                <w:cnfStyle w:val="000100000000" w:firstRow="0" w:lastRow="0" w:firstColumn="0" w:lastColumn="1" w:oddVBand="0" w:evenVBand="0" w:oddHBand="0" w:evenHBand="0" w:firstRowFirstColumn="0" w:firstRowLastColumn="0" w:lastRowFirstColumn="0" w:lastRowLastColumn="0"/>
                <w:tcW w:w="7652" w:type="dxa"/>
              </w:tcPr>
              <w:p w14:paraId="5CF1BD51"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Communicable Diseases Network Australia</w:t>
                </w:r>
              </w:p>
            </w:tc>
          </w:tr>
          <w:tr w:rsidR="00DE3527" w:rsidRPr="00DE3527" w14:paraId="3BB60C67"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0CCB0D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COAG</w:t>
                </w:r>
              </w:p>
            </w:tc>
            <w:tc>
              <w:tcPr>
                <w:cnfStyle w:val="000100000000" w:firstRow="0" w:lastRow="0" w:firstColumn="0" w:lastColumn="1" w:oddVBand="0" w:evenVBand="0" w:oddHBand="0" w:evenHBand="0" w:firstRowFirstColumn="0" w:firstRowLastColumn="0" w:lastRowFirstColumn="0" w:lastRowLastColumn="0"/>
                <w:tcW w:w="7652" w:type="dxa"/>
              </w:tcPr>
              <w:p w14:paraId="67A8399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Council of Australian Governments</w:t>
                </w:r>
              </w:p>
            </w:tc>
          </w:tr>
          <w:tr w:rsidR="00DE3527" w:rsidRPr="00DE3527" w14:paraId="6C4DAA92"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206AE3F"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COPD</w:t>
                </w:r>
              </w:p>
            </w:tc>
            <w:tc>
              <w:tcPr>
                <w:cnfStyle w:val="000100000000" w:firstRow="0" w:lastRow="0" w:firstColumn="0" w:lastColumn="1" w:oddVBand="0" w:evenVBand="0" w:oddHBand="0" w:evenHBand="0" w:firstRowFirstColumn="0" w:firstRowLastColumn="0" w:lastRowFirstColumn="0" w:lastRowLastColumn="0"/>
                <w:tcW w:w="7652" w:type="dxa"/>
              </w:tcPr>
              <w:p w14:paraId="65579721"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Chronic Obstructive Pulmonary Disease</w:t>
                </w:r>
              </w:p>
            </w:tc>
          </w:tr>
          <w:tr w:rsidR="00DE3527" w:rsidRPr="00DE3527" w14:paraId="33AAC7F5"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A959E38"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CPI</w:t>
                </w:r>
              </w:p>
            </w:tc>
            <w:tc>
              <w:tcPr>
                <w:cnfStyle w:val="000100000000" w:firstRow="0" w:lastRow="0" w:firstColumn="0" w:lastColumn="1" w:oddVBand="0" w:evenVBand="0" w:oddHBand="0" w:evenHBand="0" w:firstRowFirstColumn="0" w:firstRowLastColumn="0" w:lastRowFirstColumn="0" w:lastRowLastColumn="0"/>
                <w:tcW w:w="7652" w:type="dxa"/>
              </w:tcPr>
              <w:p w14:paraId="58E3BBDC"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Consumer Price Index</w:t>
                </w:r>
              </w:p>
            </w:tc>
          </w:tr>
          <w:tr w:rsidR="00DE3527" w:rsidRPr="00DE3527" w14:paraId="00726AE1"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39C5BE19"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CQI</w:t>
                </w:r>
              </w:p>
            </w:tc>
            <w:tc>
              <w:tcPr>
                <w:cnfStyle w:val="000100000000" w:firstRow="0" w:lastRow="0" w:firstColumn="0" w:lastColumn="1" w:oddVBand="0" w:evenVBand="0" w:oddHBand="0" w:evenHBand="0" w:firstRowFirstColumn="0" w:firstRowLastColumn="0" w:lastRowFirstColumn="0" w:lastRowLastColumn="0"/>
                <w:tcW w:w="7652" w:type="dxa"/>
              </w:tcPr>
              <w:p w14:paraId="721A927B"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Continuous Quality Improvement</w:t>
                </w:r>
              </w:p>
            </w:tc>
          </w:tr>
          <w:tr w:rsidR="00DE3527" w:rsidRPr="00DE3527" w14:paraId="25356595"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07AE65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CVD</w:t>
                </w:r>
              </w:p>
            </w:tc>
            <w:tc>
              <w:tcPr>
                <w:cnfStyle w:val="000100000000" w:firstRow="0" w:lastRow="0" w:firstColumn="0" w:lastColumn="1" w:oddVBand="0" w:evenVBand="0" w:oddHBand="0" w:evenHBand="0" w:firstRowFirstColumn="0" w:firstRowLastColumn="0" w:lastRowFirstColumn="0" w:lastRowLastColumn="0"/>
                <w:tcW w:w="7652" w:type="dxa"/>
              </w:tcPr>
              <w:p w14:paraId="45E2B48D"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Cardio-Vascular Disease</w:t>
                </w:r>
              </w:p>
            </w:tc>
          </w:tr>
          <w:tr w:rsidR="00DE3527" w:rsidRPr="00DE3527" w14:paraId="7B9BD88D"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C86CF3D"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DFA</w:t>
                </w:r>
              </w:p>
            </w:tc>
            <w:tc>
              <w:tcPr>
                <w:cnfStyle w:val="000100000000" w:firstRow="0" w:lastRow="0" w:firstColumn="0" w:lastColumn="1" w:oddVBand="0" w:evenVBand="0" w:oddHBand="0" w:evenHBand="0" w:firstRowFirstColumn="0" w:firstRowLastColumn="0" w:lastRowFirstColumn="0" w:lastRowLastColumn="0"/>
                <w:tcW w:w="7652" w:type="dxa"/>
              </w:tcPr>
              <w:p w14:paraId="2AC8FCED"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Data Feasibility Assessment</w:t>
                </w:r>
              </w:p>
            </w:tc>
          </w:tr>
          <w:tr w:rsidR="00DE3527" w:rsidRPr="00DE3527" w14:paraId="22A95DFD"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4CF8BDD"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DSS</w:t>
                </w:r>
              </w:p>
            </w:tc>
            <w:tc>
              <w:tcPr>
                <w:cnfStyle w:val="000100000000" w:firstRow="0" w:lastRow="0" w:firstColumn="0" w:lastColumn="1" w:oddVBand="0" w:evenVBand="0" w:oddHBand="0" w:evenHBand="0" w:firstRowFirstColumn="0" w:firstRowLastColumn="0" w:lastRowFirstColumn="0" w:lastRowLastColumn="0"/>
                <w:tcW w:w="7652" w:type="dxa"/>
              </w:tcPr>
              <w:p w14:paraId="493573D4"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Department of Social Services</w:t>
                </w:r>
              </w:p>
            </w:tc>
          </w:tr>
          <w:tr w:rsidR="00DE3527" w:rsidRPr="00DE3527" w14:paraId="38436B96"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68781CF"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eGFR</w:t>
                </w:r>
              </w:p>
            </w:tc>
            <w:tc>
              <w:tcPr>
                <w:cnfStyle w:val="000100000000" w:firstRow="0" w:lastRow="0" w:firstColumn="0" w:lastColumn="1" w:oddVBand="0" w:evenVBand="0" w:oddHBand="0" w:evenHBand="0" w:firstRowFirstColumn="0" w:firstRowLastColumn="0" w:lastRowFirstColumn="0" w:lastRowLastColumn="0"/>
                <w:tcW w:w="7652" w:type="dxa"/>
              </w:tcPr>
              <w:p w14:paraId="278BC64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estimated Glomerular Filtration Rate</w:t>
                </w:r>
              </w:p>
            </w:tc>
          </w:tr>
          <w:tr w:rsidR="00DE3527" w:rsidRPr="00DE3527" w14:paraId="24641A6B"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D833DC0"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ENT</w:t>
                </w:r>
              </w:p>
            </w:tc>
            <w:tc>
              <w:tcPr>
                <w:cnfStyle w:val="000100000000" w:firstRow="0" w:lastRow="0" w:firstColumn="0" w:lastColumn="1" w:oddVBand="0" w:evenVBand="0" w:oddHBand="0" w:evenHBand="0" w:firstRowFirstColumn="0" w:firstRowLastColumn="0" w:lastRowFirstColumn="0" w:lastRowLastColumn="0"/>
                <w:tcW w:w="7652" w:type="dxa"/>
              </w:tcPr>
              <w:p w14:paraId="7EE4A392" w14:textId="36C9439F"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Ear, </w:t>
                </w:r>
                <w:r w:rsidR="002C05B7">
                  <w:rPr>
                    <w:rFonts w:asciiTheme="minorHAnsi" w:hAnsiTheme="minorHAnsi"/>
                    <w:color w:val="auto"/>
                    <w:sz w:val="22"/>
                    <w:szCs w:val="22"/>
                  </w:rPr>
                  <w:t>N</w:t>
                </w:r>
                <w:r w:rsidRPr="00DE3527">
                  <w:rPr>
                    <w:rFonts w:asciiTheme="minorHAnsi" w:hAnsiTheme="minorHAnsi"/>
                    <w:color w:val="auto"/>
                    <w:sz w:val="22"/>
                    <w:szCs w:val="22"/>
                  </w:rPr>
                  <w:t xml:space="preserve">ose and </w:t>
                </w:r>
                <w:r w:rsidR="002C05B7">
                  <w:rPr>
                    <w:rFonts w:asciiTheme="minorHAnsi" w:hAnsiTheme="minorHAnsi"/>
                    <w:color w:val="auto"/>
                    <w:sz w:val="22"/>
                    <w:szCs w:val="22"/>
                  </w:rPr>
                  <w:t>T</w:t>
                </w:r>
                <w:r w:rsidRPr="00DE3527">
                  <w:rPr>
                    <w:rFonts w:asciiTheme="minorHAnsi" w:hAnsiTheme="minorHAnsi"/>
                    <w:color w:val="auto"/>
                    <w:sz w:val="22"/>
                    <w:szCs w:val="22"/>
                  </w:rPr>
                  <w:t xml:space="preserve">hroat </w:t>
                </w:r>
              </w:p>
            </w:tc>
          </w:tr>
          <w:tr w:rsidR="00DE3527" w:rsidRPr="00DE3527" w14:paraId="01D13AB2"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F56307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ERP</w:t>
                </w:r>
              </w:p>
            </w:tc>
            <w:tc>
              <w:tcPr>
                <w:cnfStyle w:val="000100000000" w:firstRow="0" w:lastRow="0" w:firstColumn="0" w:lastColumn="1" w:oddVBand="0" w:evenVBand="0" w:oddHBand="0" w:evenHBand="0" w:firstRowFirstColumn="0" w:firstRowLastColumn="0" w:lastRowFirstColumn="0" w:lastRowLastColumn="0"/>
                <w:tcW w:w="7652" w:type="dxa"/>
              </w:tcPr>
              <w:p w14:paraId="188D5A63" w14:textId="3D5FF30D" w:rsidR="00DE3527" w:rsidRPr="00DE3527" w:rsidRDefault="00D534EC" w:rsidP="00492E99">
                <w:pPr>
                  <w:spacing w:after="120" w:line="276" w:lineRule="auto"/>
                  <w:rPr>
                    <w:rFonts w:asciiTheme="minorHAnsi" w:hAnsiTheme="minorHAnsi"/>
                    <w:color w:val="auto"/>
                    <w:sz w:val="22"/>
                    <w:szCs w:val="22"/>
                  </w:rPr>
                </w:pPr>
                <w:r w:rsidRPr="00D534EC">
                  <w:rPr>
                    <w:rFonts w:asciiTheme="minorHAnsi" w:hAnsiTheme="minorHAnsi"/>
                    <w:color w:val="auto"/>
                    <w:sz w:val="22"/>
                    <w:szCs w:val="22"/>
                  </w:rPr>
                  <w:t>Estimated Resident Population</w:t>
                </w:r>
              </w:p>
            </w:tc>
          </w:tr>
          <w:tr w:rsidR="00DE3527" w:rsidRPr="00DE3527" w14:paraId="5B409CBF"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ADA5BA2"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FNHD</w:t>
                </w:r>
              </w:p>
            </w:tc>
            <w:tc>
              <w:tcPr>
                <w:cnfStyle w:val="000100000000" w:firstRow="0" w:lastRow="0" w:firstColumn="0" w:lastColumn="1" w:oddVBand="0" w:evenVBand="0" w:oddHBand="0" w:evenHBand="0" w:firstRowFirstColumn="0" w:firstRowLastColumn="0" w:lastRowFirstColumn="0" w:lastRowLastColumn="0"/>
                <w:tcW w:w="7652" w:type="dxa"/>
              </w:tcPr>
              <w:p w14:paraId="35FA37E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First Nations Health Division</w:t>
                </w:r>
              </w:p>
            </w:tc>
          </w:tr>
          <w:tr w:rsidR="00DE3527" w:rsidRPr="00DE3527" w14:paraId="1A81FFCB"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8CA2BD1"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FTE</w:t>
                </w:r>
              </w:p>
            </w:tc>
            <w:tc>
              <w:tcPr>
                <w:cnfStyle w:val="000100000000" w:firstRow="0" w:lastRow="0" w:firstColumn="0" w:lastColumn="1" w:oddVBand="0" w:evenVBand="0" w:oddHBand="0" w:evenHBand="0" w:firstRowFirstColumn="0" w:firstRowLastColumn="0" w:lastRowFirstColumn="0" w:lastRowLastColumn="0"/>
                <w:tcW w:w="7652" w:type="dxa"/>
              </w:tcPr>
              <w:p w14:paraId="5EFFE85C"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Full-time Equivalent</w:t>
                </w:r>
              </w:p>
            </w:tc>
          </w:tr>
          <w:tr w:rsidR="00DE3527" w:rsidRPr="00DE3527" w14:paraId="6E6A0377"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83ED795"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GP</w:t>
                </w:r>
              </w:p>
            </w:tc>
            <w:tc>
              <w:tcPr>
                <w:cnfStyle w:val="000100000000" w:firstRow="0" w:lastRow="0" w:firstColumn="0" w:lastColumn="1" w:oddVBand="0" w:evenVBand="0" w:oddHBand="0" w:evenHBand="0" w:firstRowFirstColumn="0" w:firstRowLastColumn="0" w:lastRowFirstColumn="0" w:lastRowLastColumn="0"/>
                <w:tcW w:w="7652" w:type="dxa"/>
              </w:tcPr>
              <w:p w14:paraId="6DE11185"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General Practitioner</w:t>
                </w:r>
              </w:p>
            </w:tc>
          </w:tr>
          <w:tr w:rsidR="00DE3527" w:rsidRPr="00DE3527" w14:paraId="083DCFD7"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413D8A6"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GPMP</w:t>
                </w:r>
              </w:p>
            </w:tc>
            <w:tc>
              <w:tcPr>
                <w:cnfStyle w:val="000100000000" w:firstRow="0" w:lastRow="0" w:firstColumn="0" w:lastColumn="1" w:oddVBand="0" w:evenVBand="0" w:oddHBand="0" w:evenHBand="0" w:firstRowFirstColumn="0" w:firstRowLastColumn="0" w:lastRowFirstColumn="0" w:lastRowLastColumn="0"/>
                <w:tcW w:w="7652" w:type="dxa"/>
              </w:tcPr>
              <w:p w14:paraId="386B5237"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GP Management Plan</w:t>
                </w:r>
              </w:p>
            </w:tc>
          </w:tr>
          <w:tr w:rsidR="00DE3527" w:rsidRPr="00DE3527" w14:paraId="3859840A"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65B2600" w14:textId="0EF04FF1" w:rsidR="00DE3527" w:rsidRPr="009F3F77" w:rsidRDefault="00DE3527" w:rsidP="00492E99">
                <w:pPr>
                  <w:spacing w:after="120" w:line="276" w:lineRule="auto"/>
                  <w:rPr>
                    <w:rFonts w:asciiTheme="minorHAnsi" w:hAnsiTheme="minorHAnsi"/>
                    <w:color w:val="auto"/>
                    <w:sz w:val="22"/>
                    <w:szCs w:val="22"/>
                  </w:rPr>
                </w:pPr>
                <w:r w:rsidRPr="009F3F77">
                  <w:rPr>
                    <w:rFonts w:asciiTheme="minorHAnsi" w:hAnsiTheme="minorHAnsi"/>
                    <w:color w:val="auto"/>
                    <w:sz w:val="22"/>
                    <w:szCs w:val="22"/>
                  </w:rPr>
                  <w:lastRenderedPageBreak/>
                  <w:t>HSC</w:t>
                </w:r>
                <w:r w:rsidR="0049303D" w:rsidRPr="009F3F77">
                  <w:rPr>
                    <w:sz w:val="22"/>
                    <w:szCs w:val="22"/>
                  </w:rPr>
                  <w:t>G</w:t>
                </w:r>
              </w:p>
            </w:tc>
            <w:tc>
              <w:tcPr>
                <w:cnfStyle w:val="000100000000" w:firstRow="0" w:lastRow="0" w:firstColumn="0" w:lastColumn="1" w:oddVBand="0" w:evenVBand="0" w:oddHBand="0" w:evenHBand="0" w:firstRowFirstColumn="0" w:firstRowLastColumn="0" w:lastRowFirstColumn="0" w:lastRowLastColumn="0"/>
                <w:tcW w:w="7652" w:type="dxa"/>
              </w:tcPr>
              <w:p w14:paraId="31CD9F00"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Health Sector Co-design Group </w:t>
                </w:r>
              </w:p>
            </w:tc>
          </w:tr>
          <w:tr w:rsidR="00DE3527" w:rsidRPr="00DE3527" w14:paraId="07FE90B0"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D2B4095"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IAHP</w:t>
                </w:r>
              </w:p>
            </w:tc>
            <w:tc>
              <w:tcPr>
                <w:cnfStyle w:val="000100000000" w:firstRow="0" w:lastRow="0" w:firstColumn="0" w:lastColumn="1" w:oddVBand="0" w:evenVBand="0" w:oddHBand="0" w:evenHBand="0" w:firstRowFirstColumn="0" w:firstRowLastColumn="0" w:lastRowFirstColumn="0" w:lastRowLastColumn="0"/>
                <w:tcW w:w="7652" w:type="dxa"/>
              </w:tcPr>
              <w:p w14:paraId="5F5982D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Indigenous Australians’ Health Programme</w:t>
                </w:r>
              </w:p>
            </w:tc>
          </w:tr>
          <w:tr w:rsidR="00DE3527" w:rsidRPr="00DE3527" w14:paraId="27E0961E"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vAlign w:val="top"/>
              </w:tcPr>
              <w:p w14:paraId="4C01641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IEO</w:t>
                </w:r>
              </w:p>
            </w:tc>
            <w:tc>
              <w:tcPr>
                <w:cnfStyle w:val="000100000000" w:firstRow="0" w:lastRow="0" w:firstColumn="0" w:lastColumn="1" w:oddVBand="0" w:evenVBand="0" w:oddHBand="0" w:evenHBand="0" w:firstRowFirstColumn="0" w:firstRowLastColumn="0" w:lastRowFirstColumn="0" w:lastRowLastColumn="0"/>
                <w:tcW w:w="7652" w:type="dxa"/>
                <w:vAlign w:val="top"/>
              </w:tcPr>
              <w:p w14:paraId="6C698A03"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Index of Education and Occupation </w:t>
                </w:r>
              </w:p>
            </w:tc>
          </w:tr>
          <w:tr w:rsidR="00DE3527" w:rsidRPr="00DE3527" w14:paraId="23D8043B"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vAlign w:val="top"/>
              </w:tcPr>
              <w:p w14:paraId="6DEBCEA5"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IER</w:t>
                </w:r>
              </w:p>
            </w:tc>
            <w:tc>
              <w:tcPr>
                <w:cnfStyle w:val="000100000000" w:firstRow="0" w:lastRow="0" w:firstColumn="0" w:lastColumn="1" w:oddVBand="0" w:evenVBand="0" w:oddHBand="0" w:evenHBand="0" w:firstRowFirstColumn="0" w:firstRowLastColumn="0" w:lastRowFirstColumn="0" w:lastRowLastColumn="0"/>
                <w:tcW w:w="7652" w:type="dxa"/>
                <w:vAlign w:val="top"/>
              </w:tcPr>
              <w:p w14:paraId="0A63704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Index of Economic Resources </w:t>
                </w:r>
              </w:p>
            </w:tc>
          </w:tr>
          <w:tr w:rsidR="00DE3527" w:rsidRPr="00DE3527" w14:paraId="3F4EF47D"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vAlign w:val="top"/>
              </w:tcPr>
              <w:p w14:paraId="3126FF23"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IRSAD</w:t>
                </w:r>
              </w:p>
            </w:tc>
            <w:tc>
              <w:tcPr>
                <w:cnfStyle w:val="000100000000" w:firstRow="0" w:lastRow="0" w:firstColumn="0" w:lastColumn="1" w:oddVBand="0" w:evenVBand="0" w:oddHBand="0" w:evenHBand="0" w:firstRowFirstColumn="0" w:firstRowLastColumn="0" w:lastRowFirstColumn="0" w:lastRowLastColumn="0"/>
                <w:tcW w:w="7652" w:type="dxa"/>
                <w:vAlign w:val="top"/>
              </w:tcPr>
              <w:p w14:paraId="4016A1EE" w14:textId="11E80E53"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Index of Relative Socio</w:t>
                </w:r>
                <w:r w:rsidR="009F3F77">
                  <w:rPr>
                    <w:rFonts w:asciiTheme="minorHAnsi" w:hAnsiTheme="minorHAnsi"/>
                    <w:color w:val="auto"/>
                    <w:sz w:val="22"/>
                    <w:szCs w:val="22"/>
                  </w:rPr>
                  <w:t>-</w:t>
                </w:r>
                <w:r w:rsidRPr="00DE3527">
                  <w:rPr>
                    <w:rFonts w:asciiTheme="minorHAnsi" w:hAnsiTheme="minorHAnsi"/>
                    <w:color w:val="auto"/>
                    <w:sz w:val="22"/>
                    <w:szCs w:val="22"/>
                  </w:rPr>
                  <w:t>economic Advantage and Disadvantage</w:t>
                </w:r>
              </w:p>
            </w:tc>
          </w:tr>
          <w:tr w:rsidR="00DE3527" w:rsidRPr="00DE3527" w14:paraId="4639D76E"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vAlign w:val="top"/>
              </w:tcPr>
              <w:p w14:paraId="53062EC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IRSD</w:t>
                </w:r>
              </w:p>
            </w:tc>
            <w:tc>
              <w:tcPr>
                <w:cnfStyle w:val="000100000000" w:firstRow="0" w:lastRow="0" w:firstColumn="0" w:lastColumn="1" w:oddVBand="0" w:evenVBand="0" w:oddHBand="0" w:evenHBand="0" w:firstRowFirstColumn="0" w:firstRowLastColumn="0" w:lastRowFirstColumn="0" w:lastRowLastColumn="0"/>
                <w:tcW w:w="7652" w:type="dxa"/>
                <w:vAlign w:val="top"/>
              </w:tcPr>
              <w:p w14:paraId="2F3CB007" w14:textId="011C0548"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Index of Relative Socio</w:t>
                </w:r>
                <w:r w:rsidR="009F3F77">
                  <w:rPr>
                    <w:rFonts w:asciiTheme="minorHAnsi" w:hAnsiTheme="minorHAnsi"/>
                    <w:color w:val="auto"/>
                    <w:sz w:val="22"/>
                    <w:szCs w:val="22"/>
                  </w:rPr>
                  <w:t>-</w:t>
                </w:r>
                <w:r w:rsidRPr="00DE3527">
                  <w:rPr>
                    <w:rFonts w:asciiTheme="minorHAnsi" w:hAnsiTheme="minorHAnsi"/>
                    <w:color w:val="auto"/>
                    <w:sz w:val="22"/>
                    <w:szCs w:val="22"/>
                  </w:rPr>
                  <w:t>economic Disadvantage</w:t>
                </w:r>
              </w:p>
            </w:tc>
          </w:tr>
          <w:tr w:rsidR="00DE3527" w:rsidRPr="00DE3527" w14:paraId="5DBD5E5A"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340A7D77"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IHPO</w:t>
                </w:r>
              </w:p>
            </w:tc>
            <w:tc>
              <w:tcPr>
                <w:cnfStyle w:val="000100000000" w:firstRow="0" w:lastRow="0" w:firstColumn="0" w:lastColumn="1" w:oddVBand="0" w:evenVBand="0" w:oddHBand="0" w:evenHBand="0" w:firstRowFirstColumn="0" w:firstRowLastColumn="0" w:lastRowFirstColumn="0" w:lastRowLastColumn="0"/>
                <w:tcW w:w="7652" w:type="dxa"/>
              </w:tcPr>
              <w:p w14:paraId="117C044B"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Indigenous Health Project Officer</w:t>
                </w:r>
              </w:p>
            </w:tc>
          </w:tr>
          <w:tr w:rsidR="00DE3527" w:rsidRPr="00DE3527" w14:paraId="39B519FB"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4D989D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IPAG</w:t>
                </w:r>
              </w:p>
            </w:tc>
            <w:tc>
              <w:tcPr>
                <w:cnfStyle w:val="000100000000" w:firstRow="0" w:lastRow="0" w:firstColumn="0" w:lastColumn="1" w:oddVBand="0" w:evenVBand="0" w:oddHBand="0" w:evenHBand="0" w:firstRowFirstColumn="0" w:firstRowLastColumn="0" w:lastRowFirstColumn="0" w:lastRowLastColumn="0"/>
                <w:tcW w:w="7652" w:type="dxa"/>
              </w:tcPr>
              <w:p w14:paraId="688B0E6B"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Implementation Plan Advisory Group</w:t>
                </w:r>
              </w:p>
            </w:tc>
          </w:tr>
          <w:tr w:rsidR="00DE3527" w:rsidRPr="00DE3527" w14:paraId="17616143"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3B2765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IRSEO</w:t>
                </w:r>
              </w:p>
            </w:tc>
            <w:tc>
              <w:tcPr>
                <w:cnfStyle w:val="000100000000" w:firstRow="0" w:lastRow="0" w:firstColumn="0" w:lastColumn="1" w:oddVBand="0" w:evenVBand="0" w:oddHBand="0" w:evenHBand="0" w:firstRowFirstColumn="0" w:firstRowLastColumn="0" w:lastRowFirstColumn="0" w:lastRowLastColumn="0"/>
                <w:tcW w:w="7652" w:type="dxa"/>
              </w:tcPr>
              <w:p w14:paraId="2073D93B"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Indigenous Relative Socioeconomic Outcomes index</w:t>
                </w:r>
              </w:p>
            </w:tc>
          </w:tr>
          <w:tr w:rsidR="00DE3527" w:rsidRPr="00DE3527" w14:paraId="126AC6CE"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DDCFCFE"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ITC</w:t>
                </w:r>
              </w:p>
            </w:tc>
            <w:tc>
              <w:tcPr>
                <w:cnfStyle w:val="000100000000" w:firstRow="0" w:lastRow="0" w:firstColumn="0" w:lastColumn="1" w:oddVBand="0" w:evenVBand="0" w:oddHBand="0" w:evenHBand="0" w:firstRowFirstColumn="0" w:firstRowLastColumn="0" w:lastRowFirstColumn="0" w:lastRowLastColumn="0"/>
                <w:tcW w:w="7652" w:type="dxa"/>
              </w:tcPr>
              <w:p w14:paraId="71E251D8"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Integrated Team Care</w:t>
                </w:r>
              </w:p>
            </w:tc>
          </w:tr>
          <w:tr w:rsidR="00DE3527" w:rsidRPr="00DE3527" w14:paraId="16520C90"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5597FB7"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IUIH</w:t>
                </w:r>
              </w:p>
            </w:tc>
            <w:tc>
              <w:tcPr>
                <w:cnfStyle w:val="000100000000" w:firstRow="0" w:lastRow="0" w:firstColumn="0" w:lastColumn="1" w:oddVBand="0" w:evenVBand="0" w:oddHBand="0" w:evenHBand="0" w:firstRowFirstColumn="0" w:firstRowLastColumn="0" w:lastRowFirstColumn="0" w:lastRowLastColumn="0"/>
                <w:tcW w:w="7652" w:type="dxa"/>
              </w:tcPr>
              <w:p w14:paraId="75854FC4"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Institute for Urban Indigenous Health</w:t>
                </w:r>
              </w:p>
            </w:tc>
          </w:tr>
          <w:tr w:rsidR="00DE3527" w:rsidRPr="00DE3527" w14:paraId="5CE6D1B4"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64B8BB9D"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KEQ</w:t>
                </w:r>
              </w:p>
            </w:tc>
            <w:tc>
              <w:tcPr>
                <w:cnfStyle w:val="000100000000" w:firstRow="0" w:lastRow="0" w:firstColumn="0" w:lastColumn="1" w:oddVBand="0" w:evenVBand="0" w:oddHBand="0" w:evenHBand="0" w:firstRowFirstColumn="0" w:firstRowLastColumn="0" w:lastRowFirstColumn="0" w:lastRowLastColumn="0"/>
                <w:tcW w:w="7652" w:type="dxa"/>
              </w:tcPr>
              <w:p w14:paraId="1E0264EE"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Key Evaluation Question</w:t>
                </w:r>
              </w:p>
            </w:tc>
          </w:tr>
          <w:tr w:rsidR="00DE3527" w:rsidRPr="00DE3527" w14:paraId="40E70B43"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1E07DF07"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KPI</w:t>
                </w:r>
              </w:p>
            </w:tc>
            <w:tc>
              <w:tcPr>
                <w:cnfStyle w:val="000100000000" w:firstRow="0" w:lastRow="0" w:firstColumn="0" w:lastColumn="1" w:oddVBand="0" w:evenVBand="0" w:oddHBand="0" w:evenHBand="0" w:firstRowFirstColumn="0" w:firstRowLastColumn="0" w:lastRowFirstColumn="0" w:lastRowLastColumn="0"/>
                <w:tcW w:w="7652" w:type="dxa"/>
              </w:tcPr>
              <w:p w14:paraId="2F03D3F4"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Key Performance Indicator</w:t>
                </w:r>
              </w:p>
            </w:tc>
          </w:tr>
          <w:tr w:rsidR="00DE3527" w:rsidRPr="00DE3527" w14:paraId="3AFBAA53"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AA7D81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LHN</w:t>
                </w:r>
              </w:p>
            </w:tc>
            <w:tc>
              <w:tcPr>
                <w:cnfStyle w:val="000100000000" w:firstRow="0" w:lastRow="0" w:firstColumn="0" w:lastColumn="1" w:oddVBand="0" w:evenVBand="0" w:oddHBand="0" w:evenHBand="0" w:firstRowFirstColumn="0" w:firstRowLastColumn="0" w:lastRowFirstColumn="0" w:lastRowLastColumn="0"/>
                <w:tcW w:w="7652" w:type="dxa"/>
              </w:tcPr>
              <w:p w14:paraId="1419C087"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Local Health Network </w:t>
                </w:r>
              </w:p>
            </w:tc>
          </w:tr>
          <w:tr w:rsidR="00DE3527" w:rsidRPr="00DE3527" w14:paraId="785D00D7"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63C1FD3B"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MBS</w:t>
                </w:r>
              </w:p>
            </w:tc>
            <w:tc>
              <w:tcPr>
                <w:cnfStyle w:val="000100000000" w:firstRow="0" w:lastRow="0" w:firstColumn="0" w:lastColumn="1" w:oddVBand="0" w:evenVBand="0" w:oddHBand="0" w:evenHBand="0" w:firstRowFirstColumn="0" w:firstRowLastColumn="0" w:lastRowFirstColumn="0" w:lastRowLastColumn="0"/>
                <w:tcW w:w="7652" w:type="dxa"/>
              </w:tcPr>
              <w:p w14:paraId="241C9A6D" w14:textId="19304A44" w:rsidR="00DE3527" w:rsidRPr="00F80754" w:rsidRDefault="00072571" w:rsidP="00492E99">
                <w:pPr>
                  <w:spacing w:after="120" w:line="276" w:lineRule="auto"/>
                  <w:rPr>
                    <w:rFonts w:asciiTheme="minorHAnsi" w:hAnsiTheme="minorHAnsi"/>
                    <w:b/>
                    <w:bCs/>
                    <w:color w:val="auto"/>
                    <w:sz w:val="22"/>
                    <w:szCs w:val="22"/>
                  </w:rPr>
                </w:pPr>
                <w:r w:rsidRPr="00F80754">
                  <w:rPr>
                    <w:sz w:val="22"/>
                    <w:szCs w:val="22"/>
                  </w:rPr>
                  <w:t>Medicare</w:t>
                </w:r>
                <w:r w:rsidRPr="00F80754">
                  <w:rPr>
                    <w:rFonts w:asciiTheme="minorHAnsi" w:hAnsiTheme="minorHAnsi"/>
                    <w:color w:val="auto"/>
                    <w:sz w:val="22"/>
                    <w:szCs w:val="22"/>
                  </w:rPr>
                  <w:t xml:space="preserve"> </w:t>
                </w:r>
                <w:r w:rsidR="00DE3527" w:rsidRPr="00F80754">
                  <w:rPr>
                    <w:rFonts w:asciiTheme="minorHAnsi" w:hAnsiTheme="minorHAnsi"/>
                    <w:color w:val="auto"/>
                    <w:sz w:val="22"/>
                    <w:szCs w:val="22"/>
                  </w:rPr>
                  <w:t>Benefits Schedule</w:t>
                </w:r>
              </w:p>
            </w:tc>
          </w:tr>
          <w:tr w:rsidR="00DE3527" w:rsidRPr="00DE3527" w14:paraId="26C4FA75"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2F62F9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MOICDP</w:t>
                </w:r>
              </w:p>
            </w:tc>
            <w:tc>
              <w:tcPr>
                <w:cnfStyle w:val="000100000000" w:firstRow="0" w:lastRow="0" w:firstColumn="0" w:lastColumn="1" w:oddVBand="0" w:evenVBand="0" w:oddHBand="0" w:evenHBand="0" w:firstRowFirstColumn="0" w:firstRowLastColumn="0" w:lastRowFirstColumn="0" w:lastRowLastColumn="0"/>
                <w:tcW w:w="7652" w:type="dxa"/>
              </w:tcPr>
              <w:p w14:paraId="598D8F7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Medical Outreach Indigenous Chronic Disease Programme </w:t>
                </w:r>
              </w:p>
            </w:tc>
          </w:tr>
          <w:tr w:rsidR="00DE3527" w:rsidRPr="00DE3527" w14:paraId="19A4A05E"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6DC91F83"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NACCHO</w:t>
                </w:r>
              </w:p>
            </w:tc>
            <w:tc>
              <w:tcPr>
                <w:cnfStyle w:val="000100000000" w:firstRow="0" w:lastRow="0" w:firstColumn="0" w:lastColumn="1" w:oddVBand="0" w:evenVBand="0" w:oddHBand="0" w:evenHBand="0" w:firstRowFirstColumn="0" w:firstRowLastColumn="0" w:lastRowFirstColumn="0" w:lastRowLastColumn="0"/>
                <w:tcW w:w="7652" w:type="dxa"/>
              </w:tcPr>
              <w:p w14:paraId="57CAC998"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National Aboriginal Community Controlled Organisation</w:t>
                </w:r>
              </w:p>
            </w:tc>
          </w:tr>
          <w:tr w:rsidR="00DE3527" w:rsidRPr="00DE3527" w14:paraId="0FD5627C"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BA8E8F3"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NDIA</w:t>
                </w:r>
              </w:p>
            </w:tc>
            <w:tc>
              <w:tcPr>
                <w:cnfStyle w:val="000100000000" w:firstRow="0" w:lastRow="0" w:firstColumn="0" w:lastColumn="1" w:oddVBand="0" w:evenVBand="0" w:oddHBand="0" w:evenHBand="0" w:firstRowFirstColumn="0" w:firstRowLastColumn="0" w:lastRowFirstColumn="0" w:lastRowLastColumn="0"/>
                <w:tcW w:w="7652" w:type="dxa"/>
              </w:tcPr>
              <w:p w14:paraId="79FD91F5"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National Disability Insurance Agency </w:t>
                </w:r>
              </w:p>
            </w:tc>
          </w:tr>
          <w:tr w:rsidR="00DE3527" w:rsidRPr="00DE3527" w14:paraId="237563F9"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82FF9E7"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NDIS</w:t>
                </w:r>
              </w:p>
            </w:tc>
            <w:tc>
              <w:tcPr>
                <w:cnfStyle w:val="000100000000" w:firstRow="0" w:lastRow="0" w:firstColumn="0" w:lastColumn="1" w:oddVBand="0" w:evenVBand="0" w:oddHBand="0" w:evenHBand="0" w:firstRowFirstColumn="0" w:firstRowLastColumn="0" w:lastRowFirstColumn="0" w:lastRowLastColumn="0"/>
                <w:tcW w:w="7652" w:type="dxa"/>
              </w:tcPr>
              <w:p w14:paraId="3392D801"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National Disability Insurance Scheme</w:t>
                </w:r>
              </w:p>
            </w:tc>
          </w:tr>
          <w:tr w:rsidR="00DE3527" w:rsidRPr="00DE3527" w14:paraId="55C09DDE"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6989177A"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NGO</w:t>
                </w:r>
              </w:p>
            </w:tc>
            <w:tc>
              <w:tcPr>
                <w:cnfStyle w:val="000100000000" w:firstRow="0" w:lastRow="0" w:firstColumn="0" w:lastColumn="1" w:oddVBand="0" w:evenVBand="0" w:oddHBand="0" w:evenHBand="0" w:firstRowFirstColumn="0" w:firstRowLastColumn="0" w:lastRowFirstColumn="0" w:lastRowLastColumn="0"/>
                <w:tcW w:w="7652" w:type="dxa"/>
              </w:tcPr>
              <w:p w14:paraId="4B56A339"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Non-Government Organisation</w:t>
                </w:r>
              </w:p>
            </w:tc>
          </w:tr>
          <w:tr w:rsidR="00DE3527" w:rsidRPr="00DE3527" w14:paraId="27175B9F"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59753785"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NHLF</w:t>
                </w:r>
              </w:p>
            </w:tc>
            <w:tc>
              <w:tcPr>
                <w:cnfStyle w:val="000100000000" w:firstRow="0" w:lastRow="0" w:firstColumn="0" w:lastColumn="1" w:oddVBand="0" w:evenVBand="0" w:oddHBand="0" w:evenHBand="0" w:firstRowFirstColumn="0" w:firstRowLastColumn="0" w:lastRowFirstColumn="0" w:lastRowLastColumn="0"/>
                <w:tcW w:w="7652" w:type="dxa"/>
              </w:tcPr>
              <w:p w14:paraId="00DFDC69"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National Health Leadership Forum</w:t>
                </w:r>
              </w:p>
            </w:tc>
          </w:tr>
          <w:tr w:rsidR="00DE3527" w:rsidRPr="00DE3527" w14:paraId="52FC79E4"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622B46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NIAA</w:t>
                </w:r>
              </w:p>
            </w:tc>
            <w:tc>
              <w:tcPr>
                <w:cnfStyle w:val="000100000000" w:firstRow="0" w:lastRow="0" w:firstColumn="0" w:lastColumn="1" w:oddVBand="0" w:evenVBand="0" w:oddHBand="0" w:evenHBand="0" w:firstRowFirstColumn="0" w:firstRowLastColumn="0" w:lastRowFirstColumn="0" w:lastRowLastColumn="0"/>
                <w:tcW w:w="7652" w:type="dxa"/>
              </w:tcPr>
              <w:p w14:paraId="3C70EB37"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National Indigenous Australians Agency</w:t>
                </w:r>
              </w:p>
            </w:tc>
          </w:tr>
          <w:tr w:rsidR="00DE3527" w:rsidRPr="00DE3527" w14:paraId="003E7605"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3ADD02A9"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nKPI</w:t>
                </w:r>
              </w:p>
            </w:tc>
            <w:tc>
              <w:tcPr>
                <w:cnfStyle w:val="000100000000" w:firstRow="0" w:lastRow="0" w:firstColumn="0" w:lastColumn="1" w:oddVBand="0" w:evenVBand="0" w:oddHBand="0" w:evenHBand="0" w:firstRowFirstColumn="0" w:firstRowLastColumn="0" w:lastRowFirstColumn="0" w:lastRowLastColumn="0"/>
                <w:tcW w:w="7652" w:type="dxa"/>
              </w:tcPr>
              <w:p w14:paraId="4BBBD746"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National Key Performance Indicator</w:t>
                </w:r>
              </w:p>
            </w:tc>
          </w:tr>
          <w:tr w:rsidR="00DE3527" w:rsidRPr="00DE3527" w14:paraId="3072178C"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7424C45"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NSW</w:t>
                </w:r>
              </w:p>
            </w:tc>
            <w:tc>
              <w:tcPr>
                <w:cnfStyle w:val="000100000000" w:firstRow="0" w:lastRow="0" w:firstColumn="0" w:lastColumn="1" w:oddVBand="0" w:evenVBand="0" w:oddHBand="0" w:evenHBand="0" w:firstRowFirstColumn="0" w:firstRowLastColumn="0" w:lastRowFirstColumn="0" w:lastRowLastColumn="0"/>
                <w:tcW w:w="7652" w:type="dxa"/>
              </w:tcPr>
              <w:p w14:paraId="4574E49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New South Wales</w:t>
                </w:r>
              </w:p>
            </w:tc>
          </w:tr>
          <w:tr w:rsidR="00DE3527" w:rsidRPr="00DE3527" w14:paraId="4F333FD7"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3FE338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NT</w:t>
                </w:r>
              </w:p>
            </w:tc>
            <w:tc>
              <w:tcPr>
                <w:cnfStyle w:val="000100000000" w:firstRow="0" w:lastRow="0" w:firstColumn="0" w:lastColumn="1" w:oddVBand="0" w:evenVBand="0" w:oddHBand="0" w:evenHBand="0" w:firstRowFirstColumn="0" w:firstRowLastColumn="0" w:lastRowFirstColumn="0" w:lastRowLastColumn="0"/>
                <w:tcW w:w="7652" w:type="dxa"/>
              </w:tcPr>
              <w:p w14:paraId="6A0B511A"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Northern Territory</w:t>
                </w:r>
              </w:p>
            </w:tc>
          </w:tr>
          <w:tr w:rsidR="00DE3527" w:rsidRPr="00DE3527" w14:paraId="25BEE61A"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vAlign w:val="top"/>
              </w:tcPr>
              <w:p w14:paraId="7C24FC6F"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OATSIH</w:t>
                </w:r>
              </w:p>
            </w:tc>
            <w:tc>
              <w:tcPr>
                <w:cnfStyle w:val="000100000000" w:firstRow="0" w:lastRow="0" w:firstColumn="0" w:lastColumn="1" w:oddVBand="0" w:evenVBand="0" w:oddHBand="0" w:evenHBand="0" w:firstRowFirstColumn="0" w:firstRowLastColumn="0" w:lastRowFirstColumn="0" w:lastRowLastColumn="0"/>
                <w:tcW w:w="7652" w:type="dxa"/>
                <w:vAlign w:val="top"/>
              </w:tcPr>
              <w:p w14:paraId="31F52CA8"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(Australian Government) Office of Aboriginal and Torres Strait Islander Health</w:t>
                </w:r>
              </w:p>
            </w:tc>
          </w:tr>
          <w:tr w:rsidR="00DE3527" w:rsidRPr="00DE3527" w14:paraId="2C7B3418"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78E2859"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OSR</w:t>
                </w:r>
              </w:p>
            </w:tc>
            <w:tc>
              <w:tcPr>
                <w:cnfStyle w:val="000100000000" w:firstRow="0" w:lastRow="0" w:firstColumn="0" w:lastColumn="1" w:oddVBand="0" w:evenVBand="0" w:oddHBand="0" w:evenHBand="0" w:firstRowFirstColumn="0" w:firstRowLastColumn="0" w:lastRowFirstColumn="0" w:lastRowLastColumn="0"/>
                <w:tcW w:w="7652" w:type="dxa"/>
              </w:tcPr>
              <w:p w14:paraId="13AE9AF4"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Online Services Report</w:t>
                </w:r>
              </w:p>
            </w:tc>
          </w:tr>
          <w:tr w:rsidR="00DE3527" w:rsidRPr="00DE3527" w14:paraId="208A44B7"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D8A5211"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PBS</w:t>
                </w:r>
              </w:p>
            </w:tc>
            <w:tc>
              <w:tcPr>
                <w:cnfStyle w:val="000100000000" w:firstRow="0" w:lastRow="0" w:firstColumn="0" w:lastColumn="1" w:oddVBand="0" w:evenVBand="0" w:oddHBand="0" w:evenHBand="0" w:firstRowFirstColumn="0" w:firstRowLastColumn="0" w:lastRowFirstColumn="0" w:lastRowLastColumn="0"/>
                <w:tcW w:w="7652" w:type="dxa"/>
              </w:tcPr>
              <w:p w14:paraId="0E7B056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Pharmaceutical Benefits Scheme</w:t>
                </w:r>
              </w:p>
            </w:tc>
          </w:tr>
          <w:tr w:rsidR="00DE3527" w:rsidRPr="00DE3527" w14:paraId="2A396D15"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37AD839"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lastRenderedPageBreak/>
                  <w:t>PHC</w:t>
                </w:r>
              </w:p>
            </w:tc>
            <w:tc>
              <w:tcPr>
                <w:cnfStyle w:val="000100000000" w:firstRow="0" w:lastRow="0" w:firstColumn="0" w:lastColumn="1" w:oddVBand="0" w:evenVBand="0" w:oddHBand="0" w:evenHBand="0" w:firstRowFirstColumn="0" w:firstRowLastColumn="0" w:lastRowFirstColumn="0" w:lastRowLastColumn="0"/>
                <w:tcW w:w="7652" w:type="dxa"/>
              </w:tcPr>
              <w:p w14:paraId="4AC6084E"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Primary Health Care</w:t>
                </w:r>
              </w:p>
            </w:tc>
          </w:tr>
          <w:tr w:rsidR="00DE3527" w:rsidRPr="00DE3527" w14:paraId="615150C4"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81A82D0"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PIP IHI</w:t>
                </w:r>
              </w:p>
            </w:tc>
            <w:tc>
              <w:tcPr>
                <w:cnfStyle w:val="000100000000" w:firstRow="0" w:lastRow="0" w:firstColumn="0" w:lastColumn="1" w:oddVBand="0" w:evenVBand="0" w:oddHBand="0" w:evenHBand="0" w:firstRowFirstColumn="0" w:firstRowLastColumn="0" w:lastRowFirstColumn="0" w:lastRowLastColumn="0"/>
                <w:tcW w:w="7652" w:type="dxa"/>
              </w:tcPr>
              <w:p w14:paraId="2C194AA4"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Practice Incentive Program Indigenous Health Incentive</w:t>
                </w:r>
              </w:p>
            </w:tc>
          </w:tr>
          <w:tr w:rsidR="00DE3527" w:rsidRPr="00DE3527" w14:paraId="775E0456"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7944B38"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PHN</w:t>
                </w:r>
              </w:p>
            </w:tc>
            <w:tc>
              <w:tcPr>
                <w:cnfStyle w:val="000100000000" w:firstRow="0" w:lastRow="0" w:firstColumn="0" w:lastColumn="1" w:oddVBand="0" w:evenVBand="0" w:oddHBand="0" w:evenHBand="0" w:firstRowFirstColumn="0" w:firstRowLastColumn="0" w:lastRowFirstColumn="0" w:lastRowLastColumn="0"/>
                <w:tcW w:w="7652" w:type="dxa"/>
              </w:tcPr>
              <w:p w14:paraId="5F1658EA"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Primary Health Network</w:t>
                </w:r>
              </w:p>
            </w:tc>
          </w:tr>
          <w:tr w:rsidR="00DE3527" w:rsidRPr="00DE3527" w14:paraId="6B5A1C6B"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6CD956B1"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PPH</w:t>
                </w:r>
              </w:p>
            </w:tc>
            <w:tc>
              <w:tcPr>
                <w:cnfStyle w:val="000100000000" w:firstRow="0" w:lastRow="0" w:firstColumn="0" w:lastColumn="1" w:oddVBand="0" w:evenVBand="0" w:oddHBand="0" w:evenHBand="0" w:firstRowFirstColumn="0" w:firstRowLastColumn="0" w:lastRowFirstColumn="0" w:lastRowLastColumn="0"/>
                <w:tcW w:w="7652" w:type="dxa"/>
              </w:tcPr>
              <w:p w14:paraId="68DFC374"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Potentially Preventable Hospitalisations</w:t>
                </w:r>
              </w:p>
            </w:tc>
          </w:tr>
          <w:tr w:rsidR="00DE3527" w:rsidRPr="00DE3527" w14:paraId="56342C20"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B01288F"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RAHC</w:t>
                </w:r>
              </w:p>
            </w:tc>
            <w:tc>
              <w:tcPr>
                <w:cnfStyle w:val="000100000000" w:firstRow="0" w:lastRow="0" w:firstColumn="0" w:lastColumn="1" w:oddVBand="0" w:evenVBand="0" w:oddHBand="0" w:evenHBand="0" w:firstRowFirstColumn="0" w:firstRowLastColumn="0" w:lastRowFirstColumn="0" w:lastRowLastColumn="0"/>
                <w:tcW w:w="7652" w:type="dxa"/>
              </w:tcPr>
              <w:p w14:paraId="767DE12B"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Remote Area Health Corps </w:t>
                </w:r>
              </w:p>
            </w:tc>
          </w:tr>
          <w:tr w:rsidR="00DE3527" w:rsidRPr="00DE3527" w14:paraId="3D3B2050"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A8DAB0E"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RFDS</w:t>
                </w:r>
              </w:p>
            </w:tc>
            <w:tc>
              <w:tcPr>
                <w:cnfStyle w:val="000100000000" w:firstRow="0" w:lastRow="0" w:firstColumn="0" w:lastColumn="1" w:oddVBand="0" w:evenVBand="0" w:oddHBand="0" w:evenHBand="0" w:firstRowFirstColumn="0" w:firstRowLastColumn="0" w:lastRowFirstColumn="0" w:lastRowLastColumn="0"/>
                <w:tcW w:w="7652" w:type="dxa"/>
              </w:tcPr>
              <w:p w14:paraId="17E8135A"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Royal Flying Doctor Service</w:t>
                </w:r>
              </w:p>
            </w:tc>
          </w:tr>
          <w:tr w:rsidR="00DE3527" w:rsidRPr="00DE3527" w14:paraId="6E114832"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05374E1"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RHD</w:t>
                </w:r>
              </w:p>
            </w:tc>
            <w:tc>
              <w:tcPr>
                <w:cnfStyle w:val="000100000000" w:firstRow="0" w:lastRow="0" w:firstColumn="0" w:lastColumn="1" w:oddVBand="0" w:evenVBand="0" w:oddHBand="0" w:evenHBand="0" w:firstRowFirstColumn="0" w:firstRowLastColumn="0" w:lastRowFirstColumn="0" w:lastRowLastColumn="0"/>
                <w:tcW w:w="7652" w:type="dxa"/>
              </w:tcPr>
              <w:p w14:paraId="3CB7B115"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Rheumatic Heart Disease</w:t>
                </w:r>
              </w:p>
            </w:tc>
          </w:tr>
          <w:tr w:rsidR="00DE3527" w:rsidRPr="00DE3527" w14:paraId="6B2E7E41"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80B90A4"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SA</w:t>
                </w:r>
              </w:p>
            </w:tc>
            <w:tc>
              <w:tcPr>
                <w:cnfStyle w:val="000100000000" w:firstRow="0" w:lastRow="0" w:firstColumn="0" w:lastColumn="1" w:oddVBand="0" w:evenVBand="0" w:oddHBand="0" w:evenHBand="0" w:firstRowFirstColumn="0" w:firstRowLastColumn="0" w:lastRowFirstColumn="0" w:lastRowLastColumn="0"/>
                <w:tcW w:w="7652" w:type="dxa"/>
              </w:tcPr>
              <w:p w14:paraId="5EB89B66"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Statistical Area</w:t>
                </w:r>
              </w:p>
            </w:tc>
          </w:tr>
          <w:tr w:rsidR="00DE3527" w:rsidRPr="00DE3527" w14:paraId="7301EE79"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1AE7A86"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STI</w:t>
                </w:r>
              </w:p>
            </w:tc>
            <w:tc>
              <w:tcPr>
                <w:cnfStyle w:val="000100000000" w:firstRow="0" w:lastRow="0" w:firstColumn="0" w:lastColumn="1" w:oddVBand="0" w:evenVBand="0" w:oddHBand="0" w:evenHBand="0" w:firstRowFirstColumn="0" w:firstRowLastColumn="0" w:lastRowFirstColumn="0" w:lastRowLastColumn="0"/>
                <w:tcW w:w="7652" w:type="dxa"/>
              </w:tcPr>
              <w:p w14:paraId="4D9F4AB5"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Sexually Transmitted Infection</w:t>
                </w:r>
              </w:p>
            </w:tc>
          </w:tr>
          <w:tr w:rsidR="00DE3527" w:rsidRPr="00DE3527" w14:paraId="6631F868"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C26874D"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TCA</w:t>
                </w:r>
              </w:p>
            </w:tc>
            <w:tc>
              <w:tcPr>
                <w:cnfStyle w:val="000100000000" w:firstRow="0" w:lastRow="0" w:firstColumn="0" w:lastColumn="1" w:oddVBand="0" w:evenVBand="0" w:oddHBand="0" w:evenHBand="0" w:firstRowFirstColumn="0" w:firstRowLastColumn="0" w:lastRowFirstColumn="0" w:lastRowLastColumn="0"/>
                <w:tcW w:w="7652" w:type="dxa"/>
              </w:tcPr>
              <w:p w14:paraId="5D216BD0"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Team Care Arrangement</w:t>
                </w:r>
              </w:p>
            </w:tc>
          </w:tr>
          <w:tr w:rsidR="00DE3527" w:rsidRPr="00DE3527" w14:paraId="5513CFC0"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26139290"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TIS</w:t>
                </w:r>
              </w:p>
            </w:tc>
            <w:tc>
              <w:tcPr>
                <w:cnfStyle w:val="000100000000" w:firstRow="0" w:lastRow="0" w:firstColumn="0" w:lastColumn="1" w:oddVBand="0" w:evenVBand="0" w:oddHBand="0" w:evenHBand="0" w:firstRowFirstColumn="0" w:firstRowLastColumn="0" w:lastRowFirstColumn="0" w:lastRowLastColumn="0"/>
                <w:tcW w:w="7652" w:type="dxa"/>
              </w:tcPr>
              <w:p w14:paraId="57EA5D8D"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Tackling Indigenous Smoking</w:t>
                </w:r>
              </w:p>
            </w:tc>
          </w:tr>
          <w:tr w:rsidR="00DE3527" w:rsidRPr="00DE3527" w14:paraId="4C6D6F9E"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7415D74F"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 xml:space="preserve">UNICEF </w:t>
                </w:r>
              </w:p>
            </w:tc>
            <w:tc>
              <w:tcPr>
                <w:cnfStyle w:val="000100000000" w:firstRow="0" w:lastRow="0" w:firstColumn="0" w:lastColumn="1" w:oddVBand="0" w:evenVBand="0" w:oddHBand="0" w:evenHBand="0" w:firstRowFirstColumn="0" w:firstRowLastColumn="0" w:lastRowFirstColumn="0" w:lastRowLastColumn="0"/>
                <w:tcW w:w="7652" w:type="dxa"/>
              </w:tcPr>
              <w:p w14:paraId="04F1D462" w14:textId="5D9DC84D" w:rsidR="00DE3527" w:rsidRPr="00DE3527" w:rsidRDefault="0042059F" w:rsidP="00492E99">
                <w:pPr>
                  <w:spacing w:after="120" w:line="276" w:lineRule="auto"/>
                  <w:rPr>
                    <w:rFonts w:asciiTheme="minorHAnsi" w:hAnsiTheme="minorHAnsi"/>
                    <w:b/>
                    <w:bCs/>
                    <w:color w:val="auto"/>
                    <w:sz w:val="22"/>
                    <w:szCs w:val="22"/>
                  </w:rPr>
                </w:pPr>
                <w:r w:rsidRPr="0042059F">
                  <w:rPr>
                    <w:rFonts w:asciiTheme="minorHAnsi" w:hAnsiTheme="minorHAnsi"/>
                    <w:color w:val="auto"/>
                    <w:sz w:val="22"/>
                    <w:szCs w:val="22"/>
                  </w:rPr>
                  <w:t>United Nations Children’s Fund</w:t>
                </w:r>
              </w:p>
            </w:tc>
          </w:tr>
          <w:tr w:rsidR="00DE3527" w:rsidRPr="00DE3527" w14:paraId="2A4F961C"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1D5FED32"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UNDRIP</w:t>
                </w:r>
              </w:p>
            </w:tc>
            <w:tc>
              <w:tcPr>
                <w:cnfStyle w:val="000100000000" w:firstRow="0" w:lastRow="0" w:firstColumn="0" w:lastColumn="1" w:oddVBand="0" w:evenVBand="0" w:oddHBand="0" w:evenHBand="0" w:firstRowFirstColumn="0" w:firstRowLastColumn="0" w:lastRowFirstColumn="0" w:lastRowLastColumn="0"/>
                <w:tcW w:w="7652" w:type="dxa"/>
              </w:tcPr>
              <w:p w14:paraId="041B671E"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 xml:space="preserve">United Nations Declaration on the Rights of Indigenous Peoples </w:t>
                </w:r>
              </w:p>
            </w:tc>
          </w:tr>
          <w:tr w:rsidR="00DE3527" w:rsidRPr="00DE3527" w14:paraId="52E3EACE" w14:textId="77777777" w:rsidTr="00FD6BCF">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4A3E6A17"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 xml:space="preserve">WHO </w:t>
                </w:r>
              </w:p>
            </w:tc>
            <w:tc>
              <w:tcPr>
                <w:cnfStyle w:val="000100000000" w:firstRow="0" w:lastRow="0" w:firstColumn="0" w:lastColumn="1" w:oddVBand="0" w:evenVBand="0" w:oddHBand="0" w:evenHBand="0" w:firstRowFirstColumn="0" w:firstRowLastColumn="0" w:lastRowFirstColumn="0" w:lastRowLastColumn="0"/>
                <w:tcW w:w="7652" w:type="dxa"/>
              </w:tcPr>
              <w:p w14:paraId="5778DDDA" w14:textId="77777777" w:rsidR="00DE3527" w:rsidRPr="00DE3527" w:rsidRDefault="00DE3527" w:rsidP="00492E99">
                <w:pPr>
                  <w:spacing w:after="120" w:line="276" w:lineRule="auto"/>
                  <w:rPr>
                    <w:rFonts w:asciiTheme="minorHAnsi" w:hAnsiTheme="minorHAnsi"/>
                    <w:b/>
                    <w:bCs/>
                    <w:color w:val="auto"/>
                    <w:sz w:val="22"/>
                    <w:szCs w:val="22"/>
                  </w:rPr>
                </w:pPr>
                <w:r w:rsidRPr="00DE3527">
                  <w:rPr>
                    <w:rFonts w:asciiTheme="minorHAnsi" w:hAnsiTheme="minorHAnsi"/>
                    <w:color w:val="auto"/>
                    <w:sz w:val="22"/>
                    <w:szCs w:val="22"/>
                  </w:rPr>
                  <w:t>World Health Organization</w:t>
                </w:r>
              </w:p>
            </w:tc>
          </w:tr>
          <w:tr w:rsidR="00DE3527" w:rsidRPr="00DE3527" w14:paraId="1D7A97A4" w14:textId="77777777" w:rsidTr="00FD6BC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57" w:type="dxa"/>
              </w:tcPr>
              <w:p w14:paraId="0CB3CF49"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YPLL</w:t>
                </w:r>
              </w:p>
            </w:tc>
            <w:tc>
              <w:tcPr>
                <w:cnfStyle w:val="000100000000" w:firstRow="0" w:lastRow="0" w:firstColumn="0" w:lastColumn="1" w:oddVBand="0" w:evenVBand="0" w:oddHBand="0" w:evenHBand="0" w:firstRowFirstColumn="0" w:firstRowLastColumn="0" w:lastRowFirstColumn="0" w:lastRowLastColumn="0"/>
                <w:tcW w:w="7652" w:type="dxa"/>
              </w:tcPr>
              <w:p w14:paraId="6923CCF4" w14:textId="77777777" w:rsidR="00DE3527" w:rsidRPr="00DE3527" w:rsidRDefault="00DE3527" w:rsidP="00492E99">
                <w:pPr>
                  <w:spacing w:after="120" w:line="276" w:lineRule="auto"/>
                  <w:rPr>
                    <w:rFonts w:asciiTheme="minorHAnsi" w:hAnsiTheme="minorHAnsi"/>
                    <w:color w:val="auto"/>
                    <w:sz w:val="22"/>
                    <w:szCs w:val="22"/>
                  </w:rPr>
                </w:pPr>
                <w:r w:rsidRPr="00DE3527">
                  <w:rPr>
                    <w:rFonts w:asciiTheme="minorHAnsi" w:hAnsiTheme="minorHAnsi"/>
                    <w:color w:val="auto"/>
                    <w:sz w:val="22"/>
                    <w:szCs w:val="22"/>
                  </w:rPr>
                  <w:t>Years of Potential Life Lost</w:t>
                </w:r>
              </w:p>
            </w:tc>
          </w:tr>
          <w:bookmarkEnd w:id="6"/>
        </w:tbl>
        <w:p w14:paraId="0BB31B1E" w14:textId="77777777" w:rsidR="00DE3527" w:rsidRDefault="00DE3527" w:rsidP="00DE3527"/>
        <w:p w14:paraId="792C4F40" w14:textId="77777777" w:rsidR="00DE3527" w:rsidRPr="00DE3527" w:rsidRDefault="00DE3527" w:rsidP="00DE3527"/>
        <w:p w14:paraId="71C2C6B3" w14:textId="124B2DED" w:rsidR="0074711D" w:rsidRPr="00884FAA" w:rsidRDefault="0074711D">
          <w:pPr>
            <w:jc w:val="left"/>
            <w:sectPr w:rsidR="0074711D" w:rsidRPr="00884FAA" w:rsidSect="004529D2">
              <w:pgSz w:w="11909" w:h="16834" w:code="9"/>
              <w:pgMar w:top="1440" w:right="1440" w:bottom="1440" w:left="1440" w:header="720" w:footer="720" w:gutter="0"/>
              <w:pgNumType w:fmt="lowerRoman"/>
              <w:cols w:space="720"/>
              <w:docGrid w:linePitch="360"/>
            </w:sectPr>
          </w:pPr>
        </w:p>
        <w:p w14:paraId="09220729" w14:textId="5106785C" w:rsidR="00087882" w:rsidRPr="00884FAA" w:rsidRDefault="00084806" w:rsidP="00DA6112">
          <w:pPr>
            <w:rPr>
              <w:rFonts w:eastAsiaTheme="minorEastAsia" w:cs="Times New Roman"/>
            </w:rPr>
          </w:pPr>
        </w:p>
      </w:sdtContent>
    </w:sdt>
    <w:p w14:paraId="23611A6A" w14:textId="7039BA00" w:rsidR="00CF3ED2" w:rsidRPr="00884FAA" w:rsidRDefault="00FA5E0F" w:rsidP="00FF4513">
      <w:pPr>
        <w:sectPr w:rsidR="00CF3ED2" w:rsidRPr="00884FAA" w:rsidSect="00CF3ED2">
          <w:headerReference w:type="even" r:id="rId39"/>
          <w:headerReference w:type="default" r:id="rId40"/>
          <w:headerReference w:type="first" r:id="rId41"/>
          <w:footerReference w:type="first" r:id="rId42"/>
          <w:pgSz w:w="11909" w:h="16834" w:code="9"/>
          <w:pgMar w:top="1440" w:right="1440" w:bottom="1440" w:left="1440" w:header="720" w:footer="720" w:gutter="0"/>
          <w:pgNumType w:start="0"/>
          <w:cols w:space="720"/>
          <w:titlePg/>
          <w:docGrid w:linePitch="360"/>
        </w:sectPr>
      </w:pPr>
      <w:bookmarkStart w:id="7" w:name="_Toc102122647"/>
      <w:bookmarkStart w:id="8" w:name="_Toc111630617"/>
      <w:r w:rsidRPr="00884FAA">
        <w:rPr>
          <w:noProof/>
        </w:rPr>
        <mc:AlternateContent>
          <mc:Choice Requires="wps">
            <w:drawing>
              <wp:anchor distT="0" distB="0" distL="114300" distR="114300" simplePos="0" relativeHeight="251657221" behindDoc="0" locked="1" layoutInCell="1" allowOverlap="1" wp14:anchorId="71A1840A" wp14:editId="0F7887C5">
                <wp:simplePos x="0" y="0"/>
                <wp:positionH relativeFrom="margin">
                  <wp:align>right</wp:align>
                </wp:positionH>
                <wp:positionV relativeFrom="margin">
                  <wp:align>top</wp:align>
                </wp:positionV>
                <wp:extent cx="5734050" cy="226758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734050" cy="2267585"/>
                        </a:xfrm>
                        <a:prstGeom prst="rect">
                          <a:avLst/>
                        </a:prstGeom>
                        <a:noFill/>
                        <a:ln w="6350">
                          <a:noFill/>
                        </a:ln>
                      </wps:spPr>
                      <wps:txbx>
                        <w:txbxContent>
                          <w:p w14:paraId="3E8DF6E5" w14:textId="0654FB3F" w:rsidR="00FA5E0F" w:rsidRPr="005444A1" w:rsidRDefault="00FA5E0F" w:rsidP="00FA5E0F">
                            <w:pPr>
                              <w:pStyle w:val="CoverTitle"/>
                              <w:rPr>
                                <w:color w:val="357DBE" w:themeColor="accent1"/>
                              </w:rPr>
                            </w:pPr>
                            <w:r>
                              <w:rPr>
                                <w:color w:val="357DBE" w:themeColor="accent1"/>
                              </w:rPr>
                              <w:t>Executive summary</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1840A" id="Text Box 25" o:spid="_x0000_s1028" type="#_x0000_t202" style="position:absolute;left:0;text-align:left;margin-left:400.3pt;margin-top:0;width:451.5pt;height:178.55pt;z-index:251657221;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ZcmGwIAADQEAAAOAAAAZHJzL2Uyb0RvYy54bWysU01v2zAMvQ/YfxB0b5yk+eiMOEXWIsOA&#10;oC2QDj0rshQbkERNUmJnv36UnK91Ow29yKRIP5LvUbP7ViuyF87XYAo66PUpEYZDWZttQX+8Lm/u&#10;KPGBmZIpMKKgB+Hp/fzzp1ljczGEClQpHEEQ4/PGFrQKweZZ5nklNPM9sMJgUILTLKDrtlnpWIPo&#10;WmXDfn+SNeBK64AL7/H2sQvSecKXUvDwLKUXgaiCYm8hnS6dm3hm8xnLt47ZqubHNth/dKFZbbDo&#10;GeqRBUZ2rv4LStfcgQcZehx0BlLWXKQZcJpB/90064pZkWZBcrw90+Q/DpY/7df2xZHQfoUWBYyE&#10;NNbnHi/jPK10On6xU4JxpPBwpk20gXC8HE9vR/0xhjjGhsPJdHw3jjjZ5XfrfPgmQJNoFNShLoku&#10;tl/50KWeUmI1A8taqaSNMqQp6OQW8f+IILgyWOPSbLRCu2lJXWIbp0E2UB5wPged9N7yZY09rJgP&#10;L8yh1tg37m94xkMqwFpwtCipwP36133MRwkwSkmDu1NQ/3PHnKBEfTcozpfBaBSXLTmj8XSIjruO&#10;bK4jZqcfANdzgC/F8mTG/KBOpnSg33DNF7EqhpjhWLugm5P5ELqNxmfCxWKRknC9LAsrs7Y8Qkfu&#10;IsOv7Rtz9ihDQAWf4LRlLH+nRpfbsb7YBZB1kiry3LF6pB9XM4l9fEZx96/9lHV57PPfAAAA//8D&#10;AFBLAwQUAAYACAAAACEAptRs7NwAAAAFAQAADwAAAGRycy9kb3ducmV2LnhtbEyPQUvDQBCF74L/&#10;YRnBm93UULUxmyKF4kmw1VJ622Sn2WB2NmS3Sfz3jl7q5cHjDe99k68m14oB+9B4UjCfJSCQKm8a&#10;qhV8fmzunkCEqMno1hMq+MYAq+L6KteZ8SNtcdjFWnAJhUwrsDF2mZShsuh0mPkOibOT752ObPta&#10;ml6PXO5aeZ8kD9LphnjB6g7XFquv3dkpOLpFGU7ravO2H17H/TY9vNv6oNTtzfTyDCLiFC/H8IvP&#10;6FAwU+nPZIJoFfAj8U85WyYp21JBunicgyxy+Z+++AEAAP//AwBQSwECLQAUAAYACAAAACEAtoM4&#10;kv4AAADhAQAAEwAAAAAAAAAAAAAAAAAAAAAAW0NvbnRlbnRfVHlwZXNdLnhtbFBLAQItABQABgAI&#10;AAAAIQA4/SH/1gAAAJQBAAALAAAAAAAAAAAAAAAAAC8BAABfcmVscy8ucmVsc1BLAQItABQABgAI&#10;AAAAIQC1UZcmGwIAADQEAAAOAAAAAAAAAAAAAAAAAC4CAABkcnMvZTJvRG9jLnhtbFBLAQItABQA&#10;BgAIAAAAIQCm1Gzs3AAAAAUBAAAPAAAAAAAAAAAAAAAAAHUEAABkcnMvZG93bnJldi54bWxQSwUG&#10;AAAAAAQABADzAAAAfgUAAAAA&#10;" filled="f" stroked="f" strokeweight=".5pt">
                <v:textbox>
                  <w:txbxContent>
                    <w:p w14:paraId="3E8DF6E5" w14:textId="0654FB3F" w:rsidR="00FA5E0F" w:rsidRPr="005444A1" w:rsidRDefault="00FA5E0F" w:rsidP="00FA5E0F">
                      <w:pPr>
                        <w:pStyle w:val="CoverTitle"/>
                        <w:rPr>
                          <w:color w:val="357DBE" w:themeColor="accent1"/>
                        </w:rPr>
                      </w:pPr>
                      <w:r>
                        <w:rPr>
                          <w:color w:val="357DBE" w:themeColor="accent1"/>
                        </w:rPr>
                        <w:t>Executive summary</w:t>
                      </w:r>
                    </w:p>
                  </w:txbxContent>
                </v:textbox>
                <w10:wrap anchorx="margin" anchory="margin"/>
                <w10:anchorlock/>
              </v:shape>
            </w:pict>
          </mc:Fallback>
        </mc:AlternateContent>
      </w:r>
      <w:r w:rsidRPr="00884FAA">
        <w:rPr>
          <w:noProof/>
        </w:rPr>
        <w:drawing>
          <wp:anchor distT="0" distB="0" distL="114300" distR="114300" simplePos="0" relativeHeight="251657225" behindDoc="1" locked="1" layoutInCell="1" allowOverlap="1" wp14:anchorId="7A7D1987" wp14:editId="119AC1CF">
            <wp:simplePos x="0" y="0"/>
            <wp:positionH relativeFrom="page">
              <wp:posOffset>15240</wp:posOffset>
            </wp:positionH>
            <wp:positionV relativeFrom="page">
              <wp:align>bottom</wp:align>
            </wp:positionV>
            <wp:extent cx="7546975" cy="10680700"/>
            <wp:effectExtent l="0" t="0" r="0" b="635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546975" cy="10680700"/>
                    </a:xfrm>
                    <a:prstGeom prst="rect">
                      <a:avLst/>
                    </a:prstGeom>
                  </pic:spPr>
                </pic:pic>
              </a:graphicData>
            </a:graphic>
            <wp14:sizeRelH relativeFrom="margin">
              <wp14:pctWidth>0</wp14:pctWidth>
            </wp14:sizeRelH>
            <wp14:sizeRelV relativeFrom="margin">
              <wp14:pctHeight>0</wp14:pctHeight>
            </wp14:sizeRelV>
          </wp:anchor>
        </w:drawing>
      </w:r>
    </w:p>
    <w:p w14:paraId="79796DA2" w14:textId="5E9FF7EA" w:rsidR="00087882" w:rsidRPr="00FE5409" w:rsidRDefault="00087882" w:rsidP="003D4A7C">
      <w:pPr>
        <w:pStyle w:val="Heading1NotNumbered"/>
      </w:pPr>
      <w:bookmarkStart w:id="9" w:name="_Toc137208869"/>
      <w:r w:rsidRPr="00FE5409">
        <w:lastRenderedPageBreak/>
        <w:t>Executive summary</w:t>
      </w:r>
      <w:bookmarkEnd w:id="7"/>
      <w:bookmarkEnd w:id="8"/>
      <w:bookmarkEnd w:id="9"/>
    </w:p>
    <w:p w14:paraId="7E88292A" w14:textId="7B20AEB0" w:rsidR="00F327EA" w:rsidRPr="00884FAA" w:rsidRDefault="00940FBD" w:rsidP="0035030F">
      <w:pPr>
        <w:pStyle w:val="Heading2NotNumbered"/>
        <w:numPr>
          <w:ilvl w:val="0"/>
          <w:numId w:val="0"/>
        </w:numPr>
      </w:pPr>
      <w:bookmarkStart w:id="10" w:name="_Toc137208870"/>
      <w:r w:rsidRPr="00884FAA">
        <w:t>Overview</w:t>
      </w:r>
      <w:bookmarkEnd w:id="10"/>
    </w:p>
    <w:p w14:paraId="08636CF0" w14:textId="4318599D" w:rsidR="00F30EA9" w:rsidRDefault="000D7FC7" w:rsidP="00F30EA9">
      <w:r w:rsidRPr="00884FAA">
        <w:t xml:space="preserve">This report sets out the findings and recommendations </w:t>
      </w:r>
      <w:r w:rsidR="00F327EA" w:rsidRPr="00884FAA">
        <w:t>of</w:t>
      </w:r>
      <w:r w:rsidRPr="00884FAA">
        <w:t xml:space="preserve"> </w:t>
      </w:r>
      <w:r w:rsidR="00E20515">
        <w:t>a</w:t>
      </w:r>
      <w:r w:rsidRPr="00884FAA">
        <w:t xml:space="preserve"> </w:t>
      </w:r>
      <w:r w:rsidR="00754C15">
        <w:t>6</w:t>
      </w:r>
      <w:r w:rsidRPr="00884FAA">
        <w:t xml:space="preserve">-year </w:t>
      </w:r>
      <w:r w:rsidRPr="0010351C">
        <w:t>evaluation of the Indigenous Australians</w:t>
      </w:r>
      <w:r w:rsidR="00D62F74" w:rsidRPr="0010351C">
        <w:t>’</w:t>
      </w:r>
      <w:r w:rsidRPr="0010351C">
        <w:t xml:space="preserve"> Health Programme</w:t>
      </w:r>
      <w:r w:rsidR="00F327EA" w:rsidRPr="0010351C">
        <w:t xml:space="preserve"> (IAHP)</w:t>
      </w:r>
      <w:r w:rsidR="001E626F" w:rsidRPr="0010351C">
        <w:t xml:space="preserve"> from </w:t>
      </w:r>
      <w:r w:rsidR="00E50539" w:rsidRPr="0010351C">
        <w:t>201</w:t>
      </w:r>
      <w:r w:rsidR="00C421B1" w:rsidRPr="0010351C">
        <w:t>7</w:t>
      </w:r>
      <w:r w:rsidR="00E50539" w:rsidRPr="0010351C">
        <w:t xml:space="preserve"> </w:t>
      </w:r>
      <w:r w:rsidR="001E626F" w:rsidRPr="0010351C">
        <w:t xml:space="preserve">to </w:t>
      </w:r>
      <w:r w:rsidR="00E50539" w:rsidRPr="0010351C">
        <w:t>2023</w:t>
      </w:r>
      <w:r w:rsidRPr="0010351C">
        <w:t xml:space="preserve">. </w:t>
      </w:r>
      <w:r w:rsidR="00F30EA9" w:rsidRPr="0010351C">
        <w:t>The</w:t>
      </w:r>
      <w:r w:rsidR="00F30EA9" w:rsidRPr="008C5876">
        <w:t xml:space="preserve"> evaluation</w:t>
      </w:r>
      <w:r w:rsidR="00F30EA9" w:rsidRPr="00884FAA">
        <w:t xml:space="preserve"> was undertaken by a consortium led by Allen + Clarke</w:t>
      </w:r>
      <w:r w:rsidR="00F30EA9">
        <w:t xml:space="preserve"> Consulting</w:t>
      </w:r>
      <w:r w:rsidR="00F30EA9" w:rsidRPr="00884FAA">
        <w:t xml:space="preserve">, </w:t>
      </w:r>
      <w:r w:rsidR="00F30EA9">
        <w:t xml:space="preserve">the </w:t>
      </w:r>
      <w:r w:rsidR="00F30EA9" w:rsidRPr="00884FAA">
        <w:t xml:space="preserve">University of Queensland and Monaghan Dreaming. It was fully funded by the </w:t>
      </w:r>
      <w:r w:rsidR="00F30EA9">
        <w:t xml:space="preserve">Australian Government </w:t>
      </w:r>
      <w:r w:rsidR="00F30EA9" w:rsidRPr="00884FAA">
        <w:t xml:space="preserve">Department of Health and Aged Care. </w:t>
      </w:r>
    </w:p>
    <w:p w14:paraId="41BBB8A0" w14:textId="26A1DD42" w:rsidR="00120CDF" w:rsidRDefault="00710CD4" w:rsidP="000D7FC7">
      <w:r w:rsidRPr="00710CD4">
        <w:t>The IAHP is the Australian Government’s largest investment in Aboriginal and Torres Strait Islander peoples’ health</w:t>
      </w:r>
      <w:r w:rsidR="00283A23">
        <w:t>.</w:t>
      </w:r>
      <w:r w:rsidRPr="00710CD4">
        <w:t xml:space="preserve"> </w:t>
      </w:r>
      <w:r w:rsidR="00120CDF" w:rsidRPr="00884FAA">
        <w:t xml:space="preserve">The objective of the IAHP is to ensure Aboriginal and Torres Strait Islander people have access to effective, high quality, comprehensive, and culturally appropriate </w:t>
      </w:r>
      <w:r w:rsidR="00341994" w:rsidRPr="00884FAA">
        <w:t xml:space="preserve">primary health care </w:t>
      </w:r>
      <w:r w:rsidR="00F727F5">
        <w:t xml:space="preserve">(PHC) </w:t>
      </w:r>
      <w:r w:rsidR="00120CDF" w:rsidRPr="00884FAA">
        <w:t xml:space="preserve">services in urban, regional and remote locations across Australia. The </w:t>
      </w:r>
      <w:r w:rsidR="00341994" w:rsidRPr="00884FAA">
        <w:t>IAHP</w:t>
      </w:r>
      <w:r w:rsidR="00120CDF" w:rsidRPr="00884FAA">
        <w:t xml:space="preserve"> recognises that </w:t>
      </w:r>
      <w:r w:rsidR="00F727F5">
        <w:t>PHC</w:t>
      </w:r>
      <w:r w:rsidR="00C55436">
        <w:t xml:space="preserve"> </w:t>
      </w:r>
      <w:r w:rsidR="00947ADF">
        <w:t xml:space="preserve">is </w:t>
      </w:r>
      <w:r w:rsidR="00120CDF" w:rsidRPr="00884FAA">
        <w:t xml:space="preserve">essential </w:t>
      </w:r>
      <w:bookmarkStart w:id="11" w:name="_Hlk135910837"/>
      <w:r w:rsidR="00120CDF" w:rsidRPr="00884FAA">
        <w:t xml:space="preserve">to closing the gap and improving health </w:t>
      </w:r>
      <w:r w:rsidR="008A09F9">
        <w:t xml:space="preserve">and wellbeing </w:t>
      </w:r>
      <w:r w:rsidR="00120CDF" w:rsidRPr="00884FAA">
        <w:t>outcomes for Aboriginal and Torres Strait Islander people</w:t>
      </w:r>
      <w:bookmarkEnd w:id="11"/>
      <w:r w:rsidR="00120CDF" w:rsidRPr="00884FAA">
        <w:t>.</w:t>
      </w:r>
    </w:p>
    <w:p w14:paraId="07CD20BC" w14:textId="51D4DB28" w:rsidR="006F49E7" w:rsidRDefault="003A30E3" w:rsidP="000D7FC7">
      <w:r>
        <w:t xml:space="preserve">To support improvements to health outcomes for Aboriginal and Torres Strait Islander people, the IAHP provides funding </w:t>
      </w:r>
      <w:r w:rsidR="002859A9">
        <w:t xml:space="preserve">to support the delivery of health care to </w:t>
      </w:r>
      <w:r w:rsidR="006E3345">
        <w:t xml:space="preserve">Aboriginal and Torres Strait Islander people across </w:t>
      </w:r>
      <w:r w:rsidR="002859A9">
        <w:t>5</w:t>
      </w:r>
      <w:r w:rsidR="006F49E7">
        <w:t xml:space="preserve"> key </w:t>
      </w:r>
      <w:r w:rsidR="00E25765">
        <w:t>themes</w:t>
      </w:r>
      <w:r w:rsidR="006E3345">
        <w:t>:</w:t>
      </w:r>
    </w:p>
    <w:p w14:paraId="29241378" w14:textId="68C4ACF0" w:rsidR="000B00ED" w:rsidRDefault="000B00ED" w:rsidP="00580736">
      <w:pPr>
        <w:numPr>
          <w:ilvl w:val="0"/>
          <w:numId w:val="19"/>
        </w:numPr>
        <w:spacing w:after="120"/>
      </w:pPr>
      <w:r w:rsidRPr="009648D7">
        <w:rPr>
          <w:b/>
          <w:bCs/>
        </w:rPr>
        <w:t>Comprehensive PHC</w:t>
      </w:r>
      <w:r>
        <w:t xml:space="preserve">, through funding Aboriginal Community Controlled Health Services </w:t>
      </w:r>
      <w:r w:rsidR="00CE3469">
        <w:t xml:space="preserve">(ACCHSs) </w:t>
      </w:r>
      <w:r>
        <w:t xml:space="preserve">and other health services to deliver </w:t>
      </w:r>
      <w:r w:rsidR="00F727F5">
        <w:t>PHC</w:t>
      </w:r>
      <w:r>
        <w:t xml:space="preserve"> to Aboriginal and Torres Strait Islander people. </w:t>
      </w:r>
    </w:p>
    <w:p w14:paraId="20357A74" w14:textId="04AB69F5" w:rsidR="000B00ED" w:rsidRDefault="000B00ED" w:rsidP="00580736">
      <w:pPr>
        <w:numPr>
          <w:ilvl w:val="0"/>
          <w:numId w:val="19"/>
        </w:numPr>
        <w:spacing w:after="120"/>
      </w:pPr>
      <w:r w:rsidRPr="009648D7">
        <w:rPr>
          <w:b/>
          <w:bCs/>
        </w:rPr>
        <w:t>Improving access to PHC</w:t>
      </w:r>
      <w:r>
        <w:t>, by increasing the capacity of ‘mainstream’ health</w:t>
      </w:r>
      <w:r w:rsidR="00AD2424">
        <w:t xml:space="preserve"> </w:t>
      </w:r>
      <w:r>
        <w:t xml:space="preserve">care services to provide culturally appropriate care and by improving outreach, coordination and referral services to connect </w:t>
      </w:r>
      <w:r w:rsidR="00B05F1E">
        <w:t>Aboriginal and Torres Strait Islander people</w:t>
      </w:r>
      <w:r>
        <w:t xml:space="preserve"> to the full range of services appropriate to their health needs. </w:t>
      </w:r>
    </w:p>
    <w:p w14:paraId="3A5E061E" w14:textId="77777777" w:rsidR="000B00ED" w:rsidRDefault="000B00ED" w:rsidP="00580736">
      <w:pPr>
        <w:numPr>
          <w:ilvl w:val="0"/>
          <w:numId w:val="19"/>
        </w:numPr>
        <w:spacing w:after="120"/>
      </w:pPr>
      <w:r w:rsidRPr="009648D7">
        <w:rPr>
          <w:b/>
          <w:bCs/>
        </w:rPr>
        <w:t>Targeted health activities</w:t>
      </w:r>
      <w:r>
        <w:t xml:space="preserve"> such as anti-smoking, mental health, eye and ear health, blood borne viruses and sexually transmitted infections, chronic conditions such as diabetes, renal disease, cancer, heart disease, respiratory disease and rheumatic heart disease. </w:t>
      </w:r>
    </w:p>
    <w:p w14:paraId="3C7ECA0E" w14:textId="77777777" w:rsidR="000B00ED" w:rsidRDefault="000B00ED" w:rsidP="00580736">
      <w:pPr>
        <w:numPr>
          <w:ilvl w:val="0"/>
          <w:numId w:val="19"/>
        </w:numPr>
        <w:spacing w:after="120"/>
      </w:pPr>
      <w:r w:rsidRPr="009648D7">
        <w:rPr>
          <w:b/>
          <w:bCs/>
        </w:rPr>
        <w:t>Capital works</w:t>
      </w:r>
      <w:r>
        <w:t xml:space="preserve">, including upgrading and maintenance of IAHP funded PHC facilities and residential staff accommodation. </w:t>
      </w:r>
    </w:p>
    <w:p w14:paraId="6CCA953D" w14:textId="78DF9244" w:rsidR="00F30EA9" w:rsidRDefault="000B00ED" w:rsidP="00580736">
      <w:pPr>
        <w:numPr>
          <w:ilvl w:val="0"/>
          <w:numId w:val="19"/>
        </w:numPr>
        <w:spacing w:after="120"/>
      </w:pPr>
      <w:r w:rsidRPr="009648D7">
        <w:rPr>
          <w:b/>
          <w:bCs/>
        </w:rPr>
        <w:t>Governance and system effectiveness</w:t>
      </w:r>
      <w:r>
        <w:t>, including funding of information systems, system support, data, evaluation, and continuous quality improvement.</w:t>
      </w:r>
    </w:p>
    <w:p w14:paraId="49EA9929" w14:textId="351A397B" w:rsidR="00CE5DCC" w:rsidRPr="00884FAA" w:rsidRDefault="00CE5DCC" w:rsidP="00CE5DCC">
      <w:r w:rsidRPr="00884FAA">
        <w:t xml:space="preserve">The aim of </w:t>
      </w:r>
      <w:r w:rsidR="007E79AA">
        <w:t>the</w:t>
      </w:r>
      <w:r w:rsidRPr="00884FAA">
        <w:t xml:space="preserve"> evaluation </w:t>
      </w:r>
      <w:r w:rsidR="00264719">
        <w:t xml:space="preserve">of the IAHP </w:t>
      </w:r>
      <w:r w:rsidR="003D40DC">
        <w:t>was</w:t>
      </w:r>
      <w:r w:rsidR="003D40DC" w:rsidRPr="00884FAA">
        <w:t xml:space="preserve"> </w:t>
      </w:r>
      <w:r w:rsidRPr="00884FAA">
        <w:t>to</w:t>
      </w:r>
      <w:r w:rsidR="00373D78">
        <w:t xml:space="preserve"> </w:t>
      </w:r>
      <w:r w:rsidR="00B5188C">
        <w:t>strengthen the</w:t>
      </w:r>
      <w:r w:rsidR="00373D78">
        <w:t xml:space="preserve"> appropriateness</w:t>
      </w:r>
      <w:r w:rsidR="00B5188C">
        <w:t xml:space="preserve"> and effectiveness</w:t>
      </w:r>
      <w:r w:rsidR="00373D78">
        <w:t xml:space="preserve"> of</w:t>
      </w:r>
      <w:r w:rsidRPr="00884FAA">
        <w:t xml:space="preserve"> comprehensive PHC systems for Aboriginal and Torres Strait Islander people</w:t>
      </w:r>
      <w:r w:rsidR="00B5188C">
        <w:t xml:space="preserve"> and communities</w:t>
      </w:r>
      <w:r w:rsidRPr="00884FAA">
        <w:t>. The objectives of th</w:t>
      </w:r>
      <w:r w:rsidR="00DF7260">
        <w:t>e</w:t>
      </w:r>
      <w:r w:rsidRPr="00884FAA">
        <w:t xml:space="preserve"> evaluation </w:t>
      </w:r>
      <w:r w:rsidR="00616A3F">
        <w:t>were</w:t>
      </w:r>
      <w:r w:rsidR="00616A3F" w:rsidRPr="00884FAA">
        <w:t xml:space="preserve"> </w:t>
      </w:r>
      <w:r w:rsidRPr="00884FAA">
        <w:t>to:</w:t>
      </w:r>
    </w:p>
    <w:p w14:paraId="6E3EFE39" w14:textId="7A89B544" w:rsidR="00B5188C" w:rsidRPr="00B5188C" w:rsidRDefault="00B5188C" w:rsidP="00F16837">
      <w:pPr>
        <w:pStyle w:val="Bullet-Number"/>
        <w:numPr>
          <w:ilvl w:val="0"/>
          <w:numId w:val="40"/>
        </w:numPr>
        <w:rPr>
          <w:lang w:val="en-AU"/>
        </w:rPr>
      </w:pPr>
      <w:r w:rsidRPr="00B5188C">
        <w:rPr>
          <w:lang w:val="en-AU"/>
        </w:rPr>
        <w:t>develop an improved understanding of consumers’ and health care providers’ perspectives and experiences of the health system in terms of what they value</w:t>
      </w:r>
      <w:r w:rsidR="00AF74FE">
        <w:rPr>
          <w:lang w:val="en-AU"/>
        </w:rPr>
        <w:t>.</w:t>
      </w:r>
    </w:p>
    <w:p w14:paraId="01ABBA0F" w14:textId="110EA983" w:rsidR="00B5188C" w:rsidRPr="00B5188C" w:rsidRDefault="00B5188C" w:rsidP="00F16837">
      <w:pPr>
        <w:pStyle w:val="Bullet-Number"/>
        <w:numPr>
          <w:ilvl w:val="0"/>
          <w:numId w:val="40"/>
        </w:numPr>
        <w:rPr>
          <w:lang w:val="en-AU"/>
        </w:rPr>
      </w:pPr>
      <w:r w:rsidRPr="00B5188C">
        <w:rPr>
          <w:lang w:val="en-AU"/>
        </w:rPr>
        <w:lastRenderedPageBreak/>
        <w:t>evaluate the appropriateness and effectiveness of the Australian Government’s investment in Aboriginal and Torres Strait Islander PHC considering the broader PHC system in a range of contexts</w:t>
      </w:r>
      <w:r w:rsidR="00AF74FE">
        <w:rPr>
          <w:lang w:val="en-AU"/>
        </w:rPr>
        <w:t>.</w:t>
      </w:r>
    </w:p>
    <w:p w14:paraId="340D93E9" w14:textId="77777777" w:rsidR="00B5188C" w:rsidRDefault="00B5188C" w:rsidP="000F4640">
      <w:pPr>
        <w:pStyle w:val="Bullet-Number"/>
        <w:numPr>
          <w:ilvl w:val="0"/>
          <w:numId w:val="40"/>
        </w:numPr>
        <w:spacing w:after="240"/>
        <w:ind w:left="714" w:hanging="357"/>
        <w:rPr>
          <w:lang w:val="en-AU"/>
        </w:rPr>
      </w:pPr>
      <w:r w:rsidRPr="00B5188C">
        <w:rPr>
          <w:lang w:val="en-AU"/>
        </w:rPr>
        <w:t>support informed policy, planning, and decision-making that will enable improvements to be incorporated into the IAHP as it is implemented through practical, timely and evidence-based findings and recommendations.</w:t>
      </w:r>
    </w:p>
    <w:p w14:paraId="37196244" w14:textId="20E76BCC" w:rsidR="007A47A2" w:rsidRDefault="008D57E4" w:rsidP="009E61F5">
      <w:r w:rsidRPr="008D57E4">
        <w:t>The evaluation focused on the investment in Aboriginal and Torres Strait Islander PHC under the IAHP</w:t>
      </w:r>
      <w:r w:rsidR="005A388E">
        <w:t xml:space="preserve"> </w:t>
      </w:r>
      <w:r w:rsidR="000F7ACE">
        <w:t>PHC Program</w:t>
      </w:r>
      <w:r w:rsidRPr="008D57E4">
        <w:t>. This investment included funding for PHC services delivered by ACCHSs, A</w:t>
      </w:r>
      <w:r w:rsidR="00CE3469">
        <w:t>boriginal Medical Services</w:t>
      </w:r>
      <w:r w:rsidRPr="008D57E4">
        <w:t xml:space="preserve">, state and territory services, and mainstream services. The evaluation </w:t>
      </w:r>
      <w:r w:rsidR="00302312">
        <w:t>took</w:t>
      </w:r>
      <w:r w:rsidR="00BD7B0E">
        <w:t xml:space="preserve"> a system</w:t>
      </w:r>
      <w:r w:rsidR="00302312">
        <w:t xml:space="preserve">s approach and </w:t>
      </w:r>
      <w:r w:rsidRPr="008D57E4">
        <w:t>considered how the</w:t>
      </w:r>
      <w:r w:rsidR="00302312">
        <w:t xml:space="preserve"> </w:t>
      </w:r>
      <w:r w:rsidR="000F7ACE">
        <w:t>PHC Program</w:t>
      </w:r>
      <w:r w:rsidR="00302312">
        <w:t xml:space="preserve"> and the wider</w:t>
      </w:r>
      <w:r w:rsidRPr="008D57E4">
        <w:t xml:space="preserve"> IAHP ‘enabled, interacted and influenced’ other parts of the PHC and wider health systems.</w:t>
      </w:r>
      <w:r w:rsidR="00B97C9A">
        <w:t xml:space="preserve"> </w:t>
      </w:r>
      <w:r w:rsidR="00186C86">
        <w:t xml:space="preserve"> </w:t>
      </w:r>
    </w:p>
    <w:p w14:paraId="205162A2" w14:textId="62B127A5" w:rsidR="009E61F5" w:rsidRDefault="009D7880" w:rsidP="009E61F5">
      <w:pPr>
        <w:rPr>
          <w:lang w:val="en-NZ" w:eastAsia="en-GB"/>
        </w:rPr>
      </w:pPr>
      <w:r>
        <w:t>The</w:t>
      </w:r>
      <w:r w:rsidRPr="00884FAA">
        <w:t xml:space="preserve"> </w:t>
      </w:r>
      <w:r w:rsidR="009E64E7" w:rsidRPr="00884FAA">
        <w:t>evaluation was guided by a process of co</w:t>
      </w:r>
      <w:r>
        <w:t>-</w:t>
      </w:r>
      <w:r w:rsidR="009E64E7" w:rsidRPr="00884FAA">
        <w:t>design</w:t>
      </w:r>
      <w:r w:rsidR="009E61F5">
        <w:t xml:space="preserve">. </w:t>
      </w:r>
      <w:r w:rsidR="009E61F5">
        <w:rPr>
          <w:lang w:eastAsia="en-GB"/>
        </w:rPr>
        <w:t xml:space="preserve">A </w:t>
      </w:r>
      <w:r w:rsidR="009E61F5" w:rsidRPr="00ED7C2A">
        <w:rPr>
          <w:lang w:eastAsia="en-GB"/>
        </w:rPr>
        <w:t>H</w:t>
      </w:r>
      <w:r w:rsidR="009E61F5">
        <w:rPr>
          <w:lang w:eastAsia="en-GB"/>
        </w:rPr>
        <w:t xml:space="preserve">ealth </w:t>
      </w:r>
      <w:r w:rsidR="009E61F5" w:rsidRPr="00ED7C2A">
        <w:rPr>
          <w:lang w:eastAsia="en-GB"/>
        </w:rPr>
        <w:t>S</w:t>
      </w:r>
      <w:r w:rsidR="009E61F5">
        <w:rPr>
          <w:lang w:eastAsia="en-GB"/>
        </w:rPr>
        <w:t>ector Co-design Group (HSCG)</w:t>
      </w:r>
      <w:r w:rsidR="009E61F5" w:rsidRPr="00ED7C2A">
        <w:rPr>
          <w:lang w:eastAsia="en-GB"/>
        </w:rPr>
        <w:t xml:space="preserve"> was established in 2017</w:t>
      </w:r>
      <w:r w:rsidR="009E61F5">
        <w:rPr>
          <w:lang w:eastAsia="en-GB"/>
        </w:rPr>
        <w:t xml:space="preserve"> to provide advice on the processes of co-design and engagement and ongoing advice, guidance and leadership on the implementation of the evaluation. </w:t>
      </w:r>
      <w:r w:rsidR="006722DC">
        <w:rPr>
          <w:lang w:eastAsia="en-GB"/>
        </w:rPr>
        <w:t>The HSCG</w:t>
      </w:r>
      <w:r w:rsidR="009E61F5">
        <w:rPr>
          <w:lang w:eastAsia="en-GB"/>
        </w:rPr>
        <w:t xml:space="preserve"> include</w:t>
      </w:r>
      <w:r w:rsidR="001D2C6D">
        <w:rPr>
          <w:lang w:eastAsia="en-GB"/>
        </w:rPr>
        <w:t>d</w:t>
      </w:r>
      <w:r w:rsidR="009E61F5">
        <w:rPr>
          <w:lang w:eastAsia="en-GB"/>
        </w:rPr>
        <w:t xml:space="preserve"> people with </w:t>
      </w:r>
      <w:r w:rsidR="009E61F5" w:rsidRPr="00ED7C2A">
        <w:rPr>
          <w:lang w:eastAsia="en-GB"/>
        </w:rPr>
        <w:t>expertise, experience, and perspectives from across the PHC system</w:t>
      </w:r>
      <w:r w:rsidR="009E61F5">
        <w:rPr>
          <w:lang w:eastAsia="en-GB"/>
        </w:rPr>
        <w:t>,</w:t>
      </w:r>
      <w:r w:rsidR="009E61F5" w:rsidRPr="00ED7C2A">
        <w:rPr>
          <w:lang w:eastAsia="en-GB"/>
        </w:rPr>
        <w:t xml:space="preserve"> and in evaluation and research with Aboriginal and Torres Strait Islander people. </w:t>
      </w:r>
    </w:p>
    <w:p w14:paraId="1AB3C4F7" w14:textId="003F4E1F" w:rsidR="009E64E7" w:rsidRPr="00884FAA" w:rsidRDefault="009E64E7" w:rsidP="009E64E7">
      <w:r w:rsidRPr="00884FAA">
        <w:t xml:space="preserve">The key evaluation questions (KEQs) developed with </w:t>
      </w:r>
      <w:r w:rsidR="003713F5">
        <w:t>the HSCG were</w:t>
      </w:r>
      <w:r w:rsidRPr="00884FAA">
        <w:t>:</w:t>
      </w:r>
    </w:p>
    <w:p w14:paraId="7D97F099" w14:textId="77777777" w:rsidR="009E64E7" w:rsidRPr="00C27AF2" w:rsidRDefault="009E64E7" w:rsidP="00F16837">
      <w:pPr>
        <w:pStyle w:val="Bullet-Number"/>
        <w:numPr>
          <w:ilvl w:val="0"/>
          <w:numId w:val="38"/>
        </w:numPr>
      </w:pPr>
      <w:r w:rsidRPr="00C27AF2">
        <w:t>How well is the IAHP enabling the PHC system to work for Aboriginal and Torres Strait Islander people?</w:t>
      </w:r>
    </w:p>
    <w:p w14:paraId="48F6189D" w14:textId="77777777" w:rsidR="009E64E7" w:rsidRPr="00C27AF2" w:rsidRDefault="009E64E7" w:rsidP="00774C9D">
      <w:pPr>
        <w:pStyle w:val="Bullet-Number"/>
      </w:pPr>
      <w:r w:rsidRPr="00C27AF2">
        <w:t>What difference is the IAHP making to the PHC system?</w:t>
      </w:r>
    </w:p>
    <w:p w14:paraId="241B22C4" w14:textId="77777777" w:rsidR="009E64E7" w:rsidRPr="00C27AF2" w:rsidRDefault="009E64E7" w:rsidP="002119DA">
      <w:pPr>
        <w:pStyle w:val="Bullet-Number"/>
      </w:pPr>
      <w:r w:rsidRPr="00C27AF2">
        <w:t>What difference is the IAHP making to the health and wellbeing of Aboriginal and Torres Strait Islander people?</w:t>
      </w:r>
    </w:p>
    <w:p w14:paraId="401189FA" w14:textId="77777777" w:rsidR="009E64E7" w:rsidRDefault="009E64E7" w:rsidP="00F02D33">
      <w:pPr>
        <w:pStyle w:val="Bullet-Number"/>
        <w:spacing w:after="240"/>
        <w:ind w:left="714" w:hanging="357"/>
      </w:pPr>
      <w:r w:rsidRPr="00C27AF2">
        <w:t>How can faster progress be made towards improving the health and wellbeing of Aboriginal and Torres Strait Islander people?</w:t>
      </w:r>
    </w:p>
    <w:p w14:paraId="282A97EA" w14:textId="3F136CEB" w:rsidR="00C150EB" w:rsidRDefault="00C150EB" w:rsidP="00C150EB">
      <w:r>
        <w:t xml:space="preserve">Importantly, while many of the services funded </w:t>
      </w:r>
      <w:r w:rsidR="00C11185">
        <w:t xml:space="preserve">through </w:t>
      </w:r>
      <w:r>
        <w:t xml:space="preserve">the </w:t>
      </w:r>
      <w:r w:rsidR="00EB1182">
        <w:t xml:space="preserve">IAHP </w:t>
      </w:r>
      <w:r w:rsidR="000F7ACE">
        <w:t>PHC Program</w:t>
      </w:r>
      <w:r w:rsidR="00EB1182">
        <w:t xml:space="preserve"> are ACCHSs</w:t>
      </w:r>
      <w:r>
        <w:t>, th</w:t>
      </w:r>
      <w:r w:rsidR="00EB1182">
        <w:t>e</w:t>
      </w:r>
      <w:r>
        <w:t xml:space="preserve"> </w:t>
      </w:r>
      <w:r w:rsidR="009D4ED5">
        <w:t xml:space="preserve">evaluation was not </w:t>
      </w:r>
      <w:r>
        <w:t>an evaluation of the services delivered by ACCHS</w:t>
      </w:r>
      <w:r w:rsidR="008E4530">
        <w:t>s</w:t>
      </w:r>
      <w:r>
        <w:t>. Rather, th</w:t>
      </w:r>
      <w:r w:rsidR="00F02D33">
        <w:t>e</w:t>
      </w:r>
      <w:r>
        <w:t xml:space="preserve"> evaluation </w:t>
      </w:r>
      <w:r w:rsidR="00FC1866">
        <w:t xml:space="preserve">was </w:t>
      </w:r>
      <w:r>
        <w:t xml:space="preserve">about the funding </w:t>
      </w:r>
      <w:r w:rsidR="008E6348">
        <w:t>program (</w:t>
      </w:r>
      <w:r w:rsidR="00947ADF">
        <w:t xml:space="preserve">the </w:t>
      </w:r>
      <w:r w:rsidR="008E6348">
        <w:t>IAHP)</w:t>
      </w:r>
      <w:r>
        <w:t xml:space="preserve"> that supports the delivery of </w:t>
      </w:r>
      <w:r w:rsidR="00F727F5">
        <w:t>PHC</w:t>
      </w:r>
      <w:r>
        <w:t xml:space="preserve"> to Aboriginal and Torres Strait Islander people</w:t>
      </w:r>
      <w:r w:rsidR="00E15348">
        <w:t xml:space="preserve"> within the broader health</w:t>
      </w:r>
      <w:r w:rsidR="004C212B">
        <w:t xml:space="preserve"> </w:t>
      </w:r>
      <w:r w:rsidR="00E15348">
        <w:t>care system</w:t>
      </w:r>
      <w:r>
        <w:t>.</w:t>
      </w:r>
    </w:p>
    <w:p w14:paraId="62CD2881" w14:textId="77777777" w:rsidR="001F3B0E" w:rsidRDefault="001F3B0E">
      <w:pPr>
        <w:jc w:val="left"/>
        <w:rPr>
          <w:b/>
          <w:bCs/>
          <w:color w:val="275D8E" w:themeColor="accent1" w:themeShade="BF"/>
          <w:sz w:val="36"/>
          <w:szCs w:val="36"/>
          <w:lang w:val="en-NZ"/>
        </w:rPr>
      </w:pPr>
      <w:r>
        <w:br w:type="page"/>
      </w:r>
    </w:p>
    <w:p w14:paraId="47DABFF5" w14:textId="486E0DEB" w:rsidR="00020C90" w:rsidRPr="00884FAA" w:rsidRDefault="00940FBD" w:rsidP="0035030F">
      <w:pPr>
        <w:pStyle w:val="Heading2NotNumbered"/>
        <w:numPr>
          <w:ilvl w:val="0"/>
          <w:numId w:val="0"/>
        </w:numPr>
      </w:pPr>
      <w:bookmarkStart w:id="12" w:name="_Toc137208871"/>
      <w:r w:rsidRPr="00884FAA">
        <w:lastRenderedPageBreak/>
        <w:t xml:space="preserve">Background </w:t>
      </w:r>
      <w:r w:rsidR="00CE5DCC" w:rsidRPr="00884FAA">
        <w:t xml:space="preserve">and </w:t>
      </w:r>
      <w:r w:rsidR="00B02E57" w:rsidRPr="00884FAA">
        <w:t>c</w:t>
      </w:r>
      <w:r w:rsidR="00020C90" w:rsidRPr="00884FAA">
        <w:t>ontext</w:t>
      </w:r>
      <w:bookmarkEnd w:id="12"/>
      <w:r w:rsidR="00020C90" w:rsidRPr="00884FAA">
        <w:t xml:space="preserve"> </w:t>
      </w:r>
    </w:p>
    <w:p w14:paraId="6365E875" w14:textId="72FB8F85" w:rsidR="000B2C9F" w:rsidRDefault="00771174" w:rsidP="006D03F5">
      <w:r w:rsidRPr="00884FAA">
        <w:t xml:space="preserve">Ensuring that Aboriginal and Torres Strait Islander people are provided with </w:t>
      </w:r>
      <w:r w:rsidR="00913A52">
        <w:t>access to</w:t>
      </w:r>
      <w:r w:rsidRPr="00884FAA">
        <w:t xml:space="preserve"> </w:t>
      </w:r>
      <w:r w:rsidR="00400099" w:rsidRPr="00884FAA">
        <w:t xml:space="preserve">comprehensive, </w:t>
      </w:r>
      <w:r w:rsidR="00913A52">
        <w:t>culturally safe and responsive</w:t>
      </w:r>
      <w:r w:rsidR="0014131A">
        <w:t>, and equitable</w:t>
      </w:r>
      <w:r w:rsidR="00913A52">
        <w:t xml:space="preserve"> </w:t>
      </w:r>
      <w:r w:rsidRPr="00884FAA">
        <w:t xml:space="preserve">health care is an essential element for the elimination of health inequality and </w:t>
      </w:r>
      <w:r w:rsidR="00400099" w:rsidRPr="00884FAA">
        <w:t xml:space="preserve">achieving the targets </w:t>
      </w:r>
      <w:r w:rsidRPr="00884FAA">
        <w:t xml:space="preserve">of the National Agreement on Closing the Gap. </w:t>
      </w:r>
      <w:r w:rsidR="001840E5" w:rsidRPr="00884FAA">
        <w:t xml:space="preserve">Investment in </w:t>
      </w:r>
      <w:r w:rsidR="003279C5">
        <w:t>PHC</w:t>
      </w:r>
      <w:r w:rsidR="001840E5" w:rsidRPr="00884FAA">
        <w:t xml:space="preserve"> to address health inequality is consistent with international best practice approaches. </w:t>
      </w:r>
    </w:p>
    <w:p w14:paraId="5394FBE3" w14:textId="23A94269" w:rsidR="006D03F5" w:rsidRPr="00884FAA" w:rsidRDefault="006D03F5" w:rsidP="006D03F5">
      <w:r w:rsidRPr="00884FAA">
        <w:t xml:space="preserve">The commitment to improving health outcomes for Aboriginal and Torres Strait Islander people is reflected in the </w:t>
      </w:r>
      <w:r w:rsidR="00DF7260">
        <w:t xml:space="preserve">National </w:t>
      </w:r>
      <w:r w:rsidRPr="00884FAA">
        <w:t xml:space="preserve">Aboriginal and Torres Strait Islander Health Plan </w:t>
      </w:r>
      <w:r w:rsidR="00356BA6" w:rsidRPr="00884FAA">
        <w:t xml:space="preserve">2021-2031 </w:t>
      </w:r>
      <w:r w:rsidRPr="00884FAA">
        <w:t xml:space="preserve">and </w:t>
      </w:r>
      <w:r w:rsidR="00356BA6" w:rsidRPr="00884FAA">
        <w:t>Australia’s Primary Health</w:t>
      </w:r>
      <w:r w:rsidR="0040580F">
        <w:t xml:space="preserve"> Care</w:t>
      </w:r>
      <w:r w:rsidR="00356BA6" w:rsidRPr="00884FAA">
        <w:t xml:space="preserve"> 10 Year </w:t>
      </w:r>
      <w:r w:rsidRPr="00884FAA">
        <w:t>Plan.</w:t>
      </w:r>
      <w:r w:rsidR="003D33C2">
        <w:t xml:space="preserve"> </w:t>
      </w:r>
      <w:r w:rsidR="002156C2" w:rsidRPr="00884FAA">
        <w:t>Several</w:t>
      </w:r>
      <w:r w:rsidRPr="00884FAA">
        <w:t xml:space="preserve"> policy frameworks</w:t>
      </w:r>
      <w:r w:rsidR="00E15348" w:rsidRPr="005D1C41">
        <w:rPr>
          <w:rStyle w:val="FootnoteReference"/>
        </w:rPr>
        <w:footnoteReference w:id="2"/>
      </w:r>
      <w:r w:rsidRPr="00884FAA">
        <w:t xml:space="preserve"> </w:t>
      </w:r>
      <w:r w:rsidR="0051416B">
        <w:t xml:space="preserve">also </w:t>
      </w:r>
      <w:r w:rsidR="00CA0F5B" w:rsidRPr="00884FAA">
        <w:t xml:space="preserve">identify </w:t>
      </w:r>
      <w:r w:rsidR="00E42D01" w:rsidRPr="00884FAA">
        <w:t>action</w:t>
      </w:r>
      <w:r w:rsidR="00CA0F5B" w:rsidRPr="00884FAA">
        <w:t>s</w:t>
      </w:r>
      <w:r w:rsidR="00E42D01" w:rsidRPr="00884FAA">
        <w:t xml:space="preserve"> to support </w:t>
      </w:r>
      <w:r w:rsidR="009A768E" w:rsidRPr="00884FAA">
        <w:t xml:space="preserve">improved </w:t>
      </w:r>
      <w:r w:rsidR="00E42D01" w:rsidRPr="00884FAA">
        <w:t xml:space="preserve">health outcomes through </w:t>
      </w:r>
      <w:r w:rsidR="009A768E" w:rsidRPr="00884FAA">
        <w:t>action to support workforce, increase cultural safety</w:t>
      </w:r>
      <w:r w:rsidR="0095076B" w:rsidRPr="00884FAA">
        <w:t>,</w:t>
      </w:r>
      <w:r w:rsidR="009A768E" w:rsidRPr="00884FAA">
        <w:t xml:space="preserve"> and monitor the performance of the health system for Aboriginal and Torres Strait Islander people</w:t>
      </w:r>
      <w:r w:rsidR="00682495" w:rsidRPr="00884FAA">
        <w:t>.</w:t>
      </w:r>
      <w:r w:rsidR="00E42D01" w:rsidRPr="00884FAA">
        <w:t xml:space="preserve"> </w:t>
      </w:r>
      <w:r w:rsidR="00A338D3" w:rsidRPr="00884FAA">
        <w:t xml:space="preserve">Outside the health system, there are </w:t>
      </w:r>
      <w:r w:rsidR="0051416B">
        <w:t xml:space="preserve">also </w:t>
      </w:r>
      <w:r w:rsidR="00A338D3" w:rsidRPr="00884FAA">
        <w:t xml:space="preserve">various </w:t>
      </w:r>
      <w:r w:rsidR="00682495" w:rsidRPr="00884FAA">
        <w:t xml:space="preserve">commitments to </w:t>
      </w:r>
      <w:r w:rsidR="00E42D01" w:rsidRPr="00884FAA">
        <w:t>address the social and cultural determinants of health</w:t>
      </w:r>
      <w:r w:rsidR="0028715D" w:rsidRPr="00884FAA">
        <w:t xml:space="preserve"> for Aboriginal and Torres Strait Islander people, including housing</w:t>
      </w:r>
      <w:r w:rsidR="00682495" w:rsidRPr="00884FAA">
        <w:t>, employment, education and justice outcomes</w:t>
      </w:r>
      <w:r w:rsidR="00E42D01" w:rsidRPr="00884FAA">
        <w:t>.</w:t>
      </w:r>
    </w:p>
    <w:p w14:paraId="67A1E7A1" w14:textId="54B681EE" w:rsidR="00B11844" w:rsidRPr="00884FAA" w:rsidRDefault="008D5F88" w:rsidP="008D5F88">
      <w:r w:rsidRPr="00884FAA">
        <w:t xml:space="preserve">Over the course of the evaluation, it was clear that there are gaps between policy </w:t>
      </w:r>
      <w:r w:rsidR="00646028" w:rsidRPr="00884FAA">
        <w:t xml:space="preserve">intentions </w:t>
      </w:r>
      <w:r w:rsidRPr="00884FAA">
        <w:t xml:space="preserve">and </w:t>
      </w:r>
      <w:r w:rsidR="001840E5" w:rsidRPr="00884FAA">
        <w:t xml:space="preserve">the </w:t>
      </w:r>
      <w:r w:rsidR="00646028" w:rsidRPr="00884FAA">
        <w:t>experience of real, meaningful</w:t>
      </w:r>
      <w:r w:rsidR="00A860A6">
        <w:t>,</w:t>
      </w:r>
      <w:r w:rsidR="00646028" w:rsidRPr="00884FAA">
        <w:t xml:space="preserve"> and lasting change for </w:t>
      </w:r>
      <w:r w:rsidRPr="00884FAA">
        <w:t xml:space="preserve">Aboriginal and Torres Strait Islander people. </w:t>
      </w:r>
      <w:r w:rsidR="0014131A">
        <w:t>While the</w:t>
      </w:r>
      <w:r w:rsidR="0014131A" w:rsidRPr="00884FAA">
        <w:t xml:space="preserve"> </w:t>
      </w:r>
      <w:r w:rsidRPr="00884FAA">
        <w:t xml:space="preserve">momentum and promise of the National Agreement on Closing the Gap and the </w:t>
      </w:r>
      <w:r w:rsidR="005A788D">
        <w:t xml:space="preserve">National </w:t>
      </w:r>
      <w:r w:rsidRPr="00884FAA">
        <w:t xml:space="preserve">Aboriginal and Torres Strait Islander Health Plan </w:t>
      </w:r>
      <w:r w:rsidR="0014131A">
        <w:t>will likely drive improvements, more work needs to be done</w:t>
      </w:r>
      <w:r w:rsidR="001177A9">
        <w:t>.</w:t>
      </w:r>
      <w:r w:rsidRPr="00884FAA">
        <w:t xml:space="preserve"> Currently, the Closing the Gap targets are not on track to be reached by 2031.</w:t>
      </w:r>
    </w:p>
    <w:p w14:paraId="204E405E" w14:textId="5E0F46D0" w:rsidR="00E246CA" w:rsidRDefault="00E246CA" w:rsidP="008D5F88">
      <w:r w:rsidRPr="00884FAA">
        <w:t xml:space="preserve">Aboriginal and Torres Strait Islander people value comprehensive, holistic </w:t>
      </w:r>
      <w:r w:rsidR="003279C5">
        <w:t>PHC</w:t>
      </w:r>
      <w:r w:rsidRPr="00884FAA">
        <w:t xml:space="preserve"> that </w:t>
      </w:r>
      <w:r w:rsidR="00192754" w:rsidRPr="00884FAA">
        <w:t xml:space="preserve">is adapted to place and adapted to context. </w:t>
      </w:r>
      <w:r w:rsidR="008426B6" w:rsidRPr="00884FAA">
        <w:t xml:space="preserve">These values are </w:t>
      </w:r>
      <w:r w:rsidR="00404CEB" w:rsidRPr="00884FAA">
        <w:t>aligned to Aboriginal and Torres Strait Islander approach</w:t>
      </w:r>
      <w:r w:rsidR="00B83E12" w:rsidRPr="00884FAA">
        <w:t>es</w:t>
      </w:r>
      <w:r w:rsidR="00404CEB" w:rsidRPr="00884FAA">
        <w:t xml:space="preserve"> to health and wellbeing that </w:t>
      </w:r>
      <w:r w:rsidR="00B83E12" w:rsidRPr="00884FAA">
        <w:t xml:space="preserve">are </w:t>
      </w:r>
      <w:r w:rsidR="00B531C4" w:rsidRPr="00884FAA">
        <w:t xml:space="preserve">far </w:t>
      </w:r>
      <w:r w:rsidR="006D3828" w:rsidRPr="00884FAA">
        <w:t xml:space="preserve">broader than the biomedical model </w:t>
      </w:r>
      <w:r w:rsidR="00340194" w:rsidRPr="00884FAA">
        <w:t>that domi</w:t>
      </w:r>
      <w:r w:rsidR="00863591" w:rsidRPr="00884FAA">
        <w:t>nates</w:t>
      </w:r>
      <w:r w:rsidR="006D3828" w:rsidRPr="00884FAA">
        <w:t xml:space="preserve"> </w:t>
      </w:r>
      <w:r w:rsidR="006D0755" w:rsidRPr="00884FAA">
        <w:t xml:space="preserve">approaches to care </w:t>
      </w:r>
      <w:r w:rsidR="00C2696C" w:rsidRPr="00884FAA">
        <w:t>in</w:t>
      </w:r>
      <w:r w:rsidR="00297658" w:rsidRPr="00884FAA">
        <w:t xml:space="preserve"> health systems in Australia. </w:t>
      </w:r>
      <w:r w:rsidR="00466E0C" w:rsidRPr="00884FAA">
        <w:t xml:space="preserve">For many Aboriginal and Torres Strait Islander people, </w:t>
      </w:r>
      <w:r w:rsidR="008426B6" w:rsidRPr="00884FAA">
        <w:t xml:space="preserve">to be healthy is to be </w:t>
      </w:r>
      <w:r w:rsidR="00A27F94" w:rsidRPr="00884FAA">
        <w:t xml:space="preserve">connected </w:t>
      </w:r>
      <w:r w:rsidR="00812ED5" w:rsidRPr="00884FAA">
        <w:t xml:space="preserve">to culture, Country, family and community and </w:t>
      </w:r>
      <w:r w:rsidR="00534A10" w:rsidRPr="00884FAA">
        <w:t xml:space="preserve">supported in </w:t>
      </w:r>
      <w:r w:rsidR="00FF4ADC" w:rsidRPr="00884FAA">
        <w:t xml:space="preserve">spiritual, cultural, </w:t>
      </w:r>
      <w:r w:rsidR="00A27F94" w:rsidRPr="00884FAA">
        <w:t>mental,</w:t>
      </w:r>
      <w:r w:rsidR="00FF4ADC" w:rsidRPr="00884FAA">
        <w:t xml:space="preserve"> </w:t>
      </w:r>
      <w:r w:rsidR="00A27F94" w:rsidRPr="00884FAA">
        <w:t>emotional and physical wellbeing</w:t>
      </w:r>
      <w:r w:rsidR="00B469AE" w:rsidRPr="00884FAA">
        <w:t xml:space="preserve">. </w:t>
      </w:r>
      <w:r w:rsidR="004473E8" w:rsidRPr="00884FAA">
        <w:t xml:space="preserve">This holistic approach </w:t>
      </w:r>
      <w:r w:rsidR="00CA7838" w:rsidRPr="00884FAA">
        <w:t xml:space="preserve">requires health care that is grounded in </w:t>
      </w:r>
      <w:r w:rsidR="004C3C7F" w:rsidRPr="00884FAA">
        <w:t xml:space="preserve">– and connected to </w:t>
      </w:r>
      <w:r w:rsidR="00262D47" w:rsidRPr="00884FAA">
        <w:t>–</w:t>
      </w:r>
      <w:r w:rsidR="004C3C7F" w:rsidRPr="00884FAA">
        <w:t xml:space="preserve"> </w:t>
      </w:r>
      <w:r w:rsidR="00CA7838" w:rsidRPr="00884FAA">
        <w:t xml:space="preserve">the elements that support </w:t>
      </w:r>
      <w:r w:rsidR="0020691A" w:rsidRPr="00884FAA">
        <w:t>health and wellbeing for Aboriginal and Torres Strait Islander people.</w:t>
      </w:r>
      <w:r w:rsidR="004C3C7F" w:rsidRPr="00884FAA">
        <w:t xml:space="preserve"> </w:t>
      </w:r>
    </w:p>
    <w:p w14:paraId="241C6458" w14:textId="580BF690" w:rsidR="009E61F5" w:rsidRPr="00884FAA" w:rsidRDefault="008D018C" w:rsidP="009E61F5">
      <w:r w:rsidRPr="00884FAA">
        <w:t xml:space="preserve">This evaluation identifies opportunities to </w:t>
      </w:r>
      <w:r w:rsidR="00F54EE1" w:rsidRPr="00884FAA">
        <w:t xml:space="preserve">give practical effect to existing policy commitments and </w:t>
      </w:r>
      <w:r w:rsidR="00405812" w:rsidRPr="00884FAA">
        <w:t>support informed policy, planning and decision-making that will enable improvements to be incorporated into the IAHP</w:t>
      </w:r>
      <w:r w:rsidR="00BC630C" w:rsidRPr="00884FAA">
        <w:t xml:space="preserve"> </w:t>
      </w:r>
      <w:r w:rsidR="00067534" w:rsidRPr="00884FAA">
        <w:t xml:space="preserve">to improve health and wellbeing outcomes for Aboriginal and Torres Strait Islander people. </w:t>
      </w:r>
      <w:r w:rsidR="009E61F5">
        <w:t>The evaluation</w:t>
      </w:r>
      <w:r w:rsidR="009E61F5" w:rsidRPr="00884FAA">
        <w:t xml:space="preserve"> acknowledge</w:t>
      </w:r>
      <w:r w:rsidR="009E61F5">
        <w:t>s</w:t>
      </w:r>
      <w:r w:rsidR="009E61F5" w:rsidRPr="00884FAA">
        <w:t xml:space="preserve"> the strength of Aboriginal and Torres Strait Islander people who continue to share knowledge about what needs to happen to improve health and social outcomes for Aboriginal and Torres Strait Islander people</w:t>
      </w:r>
      <w:r w:rsidR="009E61F5">
        <w:t xml:space="preserve">. </w:t>
      </w:r>
    </w:p>
    <w:p w14:paraId="61934EAF" w14:textId="2866130C" w:rsidR="00771174" w:rsidRPr="00884FAA" w:rsidRDefault="00FE5A57" w:rsidP="0035030F">
      <w:pPr>
        <w:pStyle w:val="Heading2NotNumbered"/>
        <w:numPr>
          <w:ilvl w:val="0"/>
          <w:numId w:val="0"/>
        </w:numPr>
      </w:pPr>
      <w:bookmarkStart w:id="13" w:name="_Toc137208872"/>
      <w:r>
        <w:lastRenderedPageBreak/>
        <w:t xml:space="preserve">Evaluation </w:t>
      </w:r>
      <w:r w:rsidR="00DC3F59" w:rsidRPr="00884FAA">
        <w:t>m</w:t>
      </w:r>
      <w:r w:rsidR="00771174" w:rsidRPr="00884FAA">
        <w:t>ethodology</w:t>
      </w:r>
      <w:bookmarkEnd w:id="13"/>
      <w:r w:rsidR="00771174" w:rsidRPr="00884FAA">
        <w:t xml:space="preserve"> </w:t>
      </w:r>
    </w:p>
    <w:p w14:paraId="34D324B0" w14:textId="77777777" w:rsidR="00ED0322" w:rsidRDefault="002F7A54" w:rsidP="00AC78F8">
      <w:pPr>
        <w:spacing w:before="240"/>
      </w:pPr>
      <w:r>
        <w:t xml:space="preserve">The evaluation used a multi-phase iterative mixed method design, employing both qualitative and quantitative methods of research. </w:t>
      </w:r>
      <w:r w:rsidR="00223F9A">
        <w:t xml:space="preserve">This approach enabled flexibility and adaptability across the </w:t>
      </w:r>
      <w:r>
        <w:t xml:space="preserve">different </w:t>
      </w:r>
      <w:r w:rsidR="00ED29FF">
        <w:t xml:space="preserve">evaluation </w:t>
      </w:r>
      <w:r>
        <w:t xml:space="preserve">phases, sites, and settings to </w:t>
      </w:r>
      <w:r w:rsidR="00ED29FF">
        <w:t xml:space="preserve">understand </w:t>
      </w:r>
      <w:r>
        <w:t xml:space="preserve">the IAHP and its interactions within the wider health system.  </w:t>
      </w:r>
    </w:p>
    <w:p w14:paraId="515883D1" w14:textId="6F47E96E" w:rsidR="00AC78F8" w:rsidRPr="00884FAA" w:rsidRDefault="008A49FE" w:rsidP="00AC78F8">
      <w:pPr>
        <w:spacing w:before="240"/>
      </w:pPr>
      <w:r>
        <w:t xml:space="preserve">Significant processes of co-design informed the </w:t>
      </w:r>
      <w:r w:rsidR="00F439BA">
        <w:t xml:space="preserve">methodology and </w:t>
      </w:r>
      <w:r>
        <w:t>conduct of this evaluation.</w:t>
      </w:r>
      <w:r w:rsidR="00F439BA">
        <w:t xml:space="preserve"> </w:t>
      </w:r>
      <w:r w:rsidR="00AC78F8" w:rsidRPr="00884FAA">
        <w:t xml:space="preserve">The </w:t>
      </w:r>
      <w:r w:rsidR="00AC78F8">
        <w:t xml:space="preserve">methodology for </w:t>
      </w:r>
      <w:r w:rsidR="00C47E12">
        <w:t xml:space="preserve">the </w:t>
      </w:r>
      <w:r w:rsidR="00AC78F8" w:rsidRPr="00884FAA">
        <w:t xml:space="preserve">evaluation </w:t>
      </w:r>
      <w:r w:rsidR="00AC78F8">
        <w:t>was</w:t>
      </w:r>
      <w:r w:rsidR="00AC78F8" w:rsidRPr="00884FAA">
        <w:t xml:space="preserve"> grounded in: </w:t>
      </w:r>
    </w:p>
    <w:p w14:paraId="4BC5C2C4" w14:textId="37F73997" w:rsidR="00AC78F8" w:rsidRPr="00084A3D" w:rsidRDefault="00C61840" w:rsidP="00FA3B1D">
      <w:pPr>
        <w:pStyle w:val="Bullet-Number"/>
        <w:numPr>
          <w:ilvl w:val="0"/>
          <w:numId w:val="23"/>
        </w:numPr>
        <w:spacing w:line="264" w:lineRule="auto"/>
        <w:ind w:left="714" w:hanging="357"/>
        <w:rPr>
          <w:lang w:val="en-AU"/>
        </w:rPr>
      </w:pPr>
      <w:r>
        <w:rPr>
          <w:b/>
          <w:lang w:val="en-AU"/>
        </w:rPr>
        <w:t>c</w:t>
      </w:r>
      <w:r w:rsidR="00AC78F8" w:rsidRPr="00084A3D">
        <w:rPr>
          <w:b/>
          <w:lang w:val="en-AU"/>
        </w:rPr>
        <w:t>o-design</w:t>
      </w:r>
      <w:r w:rsidR="00AC78F8" w:rsidRPr="00084A3D">
        <w:rPr>
          <w:lang w:val="en-AU"/>
        </w:rPr>
        <w:t xml:space="preserve"> processes to involve participants in decisions on the design and implementation of the evaluation</w:t>
      </w:r>
      <w:r w:rsidR="00220C86" w:rsidRPr="00084A3D">
        <w:rPr>
          <w:lang w:val="en-AU"/>
        </w:rPr>
        <w:t>.</w:t>
      </w:r>
    </w:p>
    <w:p w14:paraId="7CCDAADF" w14:textId="3588F1AB" w:rsidR="00AC78F8" w:rsidRPr="00084A3D" w:rsidRDefault="00C61840" w:rsidP="00082CF8">
      <w:pPr>
        <w:pStyle w:val="Bullet-Number"/>
        <w:spacing w:line="264" w:lineRule="auto"/>
        <w:ind w:left="714" w:hanging="357"/>
        <w:rPr>
          <w:lang w:val="en-AU"/>
        </w:rPr>
      </w:pPr>
      <w:r>
        <w:rPr>
          <w:b/>
          <w:lang w:val="en-AU"/>
        </w:rPr>
        <w:t>e</w:t>
      </w:r>
      <w:r w:rsidR="00AC78F8" w:rsidRPr="00084A3D">
        <w:rPr>
          <w:b/>
          <w:lang w:val="en-AU"/>
        </w:rPr>
        <w:t>mergent design</w:t>
      </w:r>
      <w:r w:rsidR="00AC78F8" w:rsidRPr="00084A3D">
        <w:rPr>
          <w:lang w:val="en-AU"/>
        </w:rPr>
        <w:t xml:space="preserve"> to ensure the evaluation remained responsive to changing circumstances and contexts</w:t>
      </w:r>
      <w:r w:rsidR="00220C86" w:rsidRPr="00084A3D">
        <w:rPr>
          <w:lang w:val="en-AU"/>
        </w:rPr>
        <w:t>.</w:t>
      </w:r>
    </w:p>
    <w:p w14:paraId="79212CC3" w14:textId="1EADE763" w:rsidR="00AC78F8" w:rsidRPr="00084A3D" w:rsidRDefault="00C61840" w:rsidP="007F446E">
      <w:pPr>
        <w:pStyle w:val="Bullet-Number"/>
        <w:spacing w:after="240" w:line="264" w:lineRule="auto"/>
        <w:ind w:left="714" w:hanging="357"/>
        <w:rPr>
          <w:lang w:val="en-AU"/>
        </w:rPr>
      </w:pPr>
      <w:r>
        <w:rPr>
          <w:b/>
          <w:lang w:val="en-AU"/>
        </w:rPr>
        <w:t>p</w:t>
      </w:r>
      <w:r w:rsidR="00AC78F8" w:rsidRPr="00084A3D">
        <w:rPr>
          <w:b/>
          <w:lang w:val="en-AU"/>
        </w:rPr>
        <w:t>articipatory action</w:t>
      </w:r>
      <w:r w:rsidR="00AC78F8" w:rsidRPr="00084A3D">
        <w:rPr>
          <w:lang w:val="en-AU"/>
        </w:rPr>
        <w:t xml:space="preserve"> </w:t>
      </w:r>
      <w:r w:rsidR="00AC78F8" w:rsidRPr="000C0C7A">
        <w:rPr>
          <w:b/>
          <w:bCs/>
          <w:lang w:val="en-AU"/>
        </w:rPr>
        <w:t>research</w:t>
      </w:r>
      <w:r w:rsidR="00AC78F8" w:rsidRPr="00084A3D">
        <w:rPr>
          <w:lang w:val="en-AU"/>
        </w:rPr>
        <w:t xml:space="preserve"> to work with participants in generating knowledge, lessons, solutions and actions. </w:t>
      </w:r>
    </w:p>
    <w:p w14:paraId="335ED550" w14:textId="3417BF5E" w:rsidR="00DA43EE" w:rsidRPr="00884FAA" w:rsidRDefault="005C706E" w:rsidP="00DA43EE">
      <w:r>
        <w:t>The</w:t>
      </w:r>
      <w:r w:rsidR="00DA43EE" w:rsidRPr="00884FAA">
        <w:t xml:space="preserve"> evaluation </w:t>
      </w:r>
      <w:r w:rsidR="009164D3">
        <w:t xml:space="preserve">used </w:t>
      </w:r>
      <w:r w:rsidR="001E2340">
        <w:t xml:space="preserve">multiple </w:t>
      </w:r>
      <w:r w:rsidR="00DA43EE" w:rsidRPr="00884FAA">
        <w:t xml:space="preserve">data sources to </w:t>
      </w:r>
      <w:r w:rsidR="00DA43EE">
        <w:t>shape</w:t>
      </w:r>
      <w:r w:rsidR="00DA43EE" w:rsidRPr="00884FAA">
        <w:t xml:space="preserve"> the evaluation findings. This </w:t>
      </w:r>
      <w:r w:rsidR="00063B6D">
        <w:t>included</w:t>
      </w:r>
      <w:r w:rsidR="00DA43EE" w:rsidRPr="00884FAA">
        <w:t xml:space="preserve"> quantitative data from routinely collected administrative and clinical data sets; qualitative data </w:t>
      </w:r>
      <w:r w:rsidR="002F0D29">
        <w:t>generated</w:t>
      </w:r>
      <w:r w:rsidR="00063B6D">
        <w:t xml:space="preserve"> </w:t>
      </w:r>
      <w:r w:rsidR="00F12488">
        <w:t>through</w:t>
      </w:r>
      <w:r w:rsidR="00DA43EE" w:rsidRPr="00884FAA">
        <w:t xml:space="preserve"> yarning, individual and small group semi-structured interviews; sense-making, emerging findings and collective action workshops; and review of documents, research and evaluation sources.</w:t>
      </w:r>
      <w:r w:rsidR="00C96C40">
        <w:t xml:space="preserve"> A summary of the data </w:t>
      </w:r>
      <w:r w:rsidR="005D6629">
        <w:t xml:space="preserve">generation and analysis methods is </w:t>
      </w:r>
      <w:r w:rsidR="005D6629" w:rsidRPr="00A30C8E">
        <w:t>shown i</w:t>
      </w:r>
      <w:r w:rsidR="005D6629" w:rsidRPr="00CB2040">
        <w:t xml:space="preserve">n </w:t>
      </w:r>
      <w:r w:rsidR="00A87664" w:rsidRPr="00A87664">
        <w:fldChar w:fldCharType="begin"/>
      </w:r>
      <w:r w:rsidR="00A87664" w:rsidRPr="00A87664">
        <w:instrText xml:space="preserve"> REF _Ref138850867 \h  \* MERGEFORMAT </w:instrText>
      </w:r>
      <w:r w:rsidR="00A87664" w:rsidRPr="00A87664">
        <w:fldChar w:fldCharType="separate"/>
      </w:r>
      <w:r w:rsidR="00165B17" w:rsidRPr="00165B17">
        <w:t>Figure 0</w:t>
      </w:r>
      <w:r w:rsidR="00165B17" w:rsidRPr="00165B17">
        <w:noBreakHyphen/>
        <w:t>1</w:t>
      </w:r>
      <w:r w:rsidR="00A87664" w:rsidRPr="00A87664">
        <w:fldChar w:fldCharType="end"/>
      </w:r>
      <w:r w:rsidR="00A87664">
        <w:t>.</w:t>
      </w:r>
    </w:p>
    <w:p w14:paraId="060B13EE" w14:textId="6EA05612" w:rsidR="002B7BD0" w:rsidRPr="000D2E0A" w:rsidRDefault="00AC426B" w:rsidP="000D2E0A">
      <w:r w:rsidRPr="00C61386">
        <w:t xml:space="preserve">The evaluation worked closely with site partners in 17 evaluation sites </w:t>
      </w:r>
      <w:r w:rsidR="006900CF" w:rsidRPr="00C61386">
        <w:t xml:space="preserve">that were selected to provide </w:t>
      </w:r>
      <w:r w:rsidR="00102764" w:rsidRPr="00C61386">
        <w:t xml:space="preserve">a range of </w:t>
      </w:r>
      <w:r w:rsidR="00274893" w:rsidRPr="00C61386">
        <w:t xml:space="preserve">places where Aboriginal and Torres Strait Islander people live, work and receive health care. </w:t>
      </w:r>
      <w:r w:rsidR="002B7BD0" w:rsidRPr="00C61386">
        <w:t xml:space="preserve">Importantly, the selection of sites was not intended to deliver a representative sample of IAHP funded services and organisations, but was intended to support the </w:t>
      </w:r>
      <w:r w:rsidR="006761C9" w:rsidRPr="00C61386">
        <w:t>generation</w:t>
      </w:r>
      <w:r w:rsidR="002B7BD0" w:rsidRPr="00C61386">
        <w:t xml:space="preserve"> of qualitative and quantitative data</w:t>
      </w:r>
      <w:r w:rsidR="006761C9" w:rsidRPr="00C61386">
        <w:t xml:space="preserve"> and understanding</w:t>
      </w:r>
      <w:r w:rsidR="002B7BD0" w:rsidRPr="00C61386">
        <w:t xml:space="preserve"> across different settings.</w:t>
      </w:r>
      <w:r w:rsidR="002B7BD0" w:rsidRPr="000D2E0A">
        <w:t xml:space="preserve"> </w:t>
      </w:r>
    </w:p>
    <w:p w14:paraId="4E5A021D" w14:textId="27CC3AAB" w:rsidR="009D333F" w:rsidRDefault="006900CF" w:rsidP="00B11844">
      <w:r>
        <w:t xml:space="preserve">The evaluation </w:t>
      </w:r>
      <w:r w:rsidR="00AC426B">
        <w:t xml:space="preserve">engaged with </w:t>
      </w:r>
      <w:r w:rsidR="0087398F">
        <w:t xml:space="preserve">1,089 </w:t>
      </w:r>
      <w:r w:rsidR="00673ADE" w:rsidRPr="00884FAA">
        <w:t>people across Australia</w:t>
      </w:r>
      <w:r w:rsidR="005B2403" w:rsidRPr="00884FAA">
        <w:t>.</w:t>
      </w:r>
      <w:r w:rsidR="00673ADE" w:rsidRPr="00884FAA">
        <w:t xml:space="preserve"> </w:t>
      </w:r>
      <w:r w:rsidR="004344B4">
        <w:t xml:space="preserve">As part of </w:t>
      </w:r>
      <w:r w:rsidR="00BE45E3">
        <w:t xml:space="preserve">these deep listening and </w:t>
      </w:r>
      <w:r w:rsidR="004344B4">
        <w:t>engagement</w:t>
      </w:r>
      <w:r w:rsidR="00BE45E3">
        <w:t xml:space="preserve"> processes</w:t>
      </w:r>
      <w:r w:rsidR="004344B4">
        <w:t xml:space="preserve">, the evaluation </w:t>
      </w:r>
      <w:r w:rsidR="008C4C64">
        <w:t xml:space="preserve">engaged </w:t>
      </w:r>
      <w:r w:rsidR="00AC426B">
        <w:t xml:space="preserve">with </w:t>
      </w:r>
      <w:r w:rsidR="00102DF6">
        <w:t xml:space="preserve">452 participants in community and </w:t>
      </w:r>
      <w:r w:rsidR="009D506A">
        <w:t>individual health journey yarns</w:t>
      </w:r>
      <w:r w:rsidR="00D64940">
        <w:t xml:space="preserve"> to </w:t>
      </w:r>
      <w:r w:rsidR="004344B4">
        <w:t xml:space="preserve">better </w:t>
      </w:r>
      <w:r w:rsidR="00D64940">
        <w:t xml:space="preserve">understand </w:t>
      </w:r>
      <w:r w:rsidR="000778AF">
        <w:t>Aboriginal and Torres Strait Islander</w:t>
      </w:r>
      <w:r w:rsidR="008C4C64">
        <w:t xml:space="preserve"> people’s</w:t>
      </w:r>
      <w:r w:rsidR="004344B4">
        <w:t xml:space="preserve"> </w:t>
      </w:r>
      <w:r w:rsidR="00AC426B">
        <w:t>experiences of the PHC system.</w:t>
      </w:r>
      <w:r w:rsidR="009E65AF" w:rsidRPr="00884FAA">
        <w:t xml:space="preserve"> </w:t>
      </w:r>
      <w:r w:rsidR="00E4393A">
        <w:t xml:space="preserve">The evaluation team also engaged with leaders </w:t>
      </w:r>
      <w:r w:rsidR="00814366">
        <w:t>in Aboriginal and Torres Strait Islander health services</w:t>
      </w:r>
      <w:r w:rsidR="005612E4">
        <w:t>,</w:t>
      </w:r>
      <w:r w:rsidR="00814366">
        <w:t xml:space="preserve"> </w:t>
      </w:r>
      <w:r w:rsidR="00D91502">
        <w:t xml:space="preserve">Primary Health </w:t>
      </w:r>
      <w:r w:rsidR="009806F9">
        <w:t>N</w:t>
      </w:r>
      <w:r w:rsidR="00D91502">
        <w:t>etworks</w:t>
      </w:r>
      <w:r w:rsidR="006E180F">
        <w:t xml:space="preserve"> (PHNs)</w:t>
      </w:r>
      <w:r w:rsidR="00383B3A">
        <w:t xml:space="preserve">, </w:t>
      </w:r>
      <w:r w:rsidR="00446573">
        <w:t>peak bodies</w:t>
      </w:r>
      <w:r w:rsidR="0008341C">
        <w:t xml:space="preserve"> and </w:t>
      </w:r>
      <w:r w:rsidR="00E43314">
        <w:t>with</w:t>
      </w:r>
      <w:r w:rsidR="00166403">
        <w:t xml:space="preserve"> </w:t>
      </w:r>
      <w:r w:rsidR="0046521A">
        <w:t>the Australian, state and territory governments.</w:t>
      </w:r>
      <w:r w:rsidR="007D321D">
        <w:t xml:space="preserve"> </w:t>
      </w:r>
      <w:r w:rsidR="00034C5A">
        <w:t>The</w:t>
      </w:r>
      <w:r w:rsidR="008C252B">
        <w:t xml:space="preserve"> breakdown of evaluation participants is show</w:t>
      </w:r>
      <w:r w:rsidR="008C252B" w:rsidRPr="00E73D1E">
        <w:t xml:space="preserve">n on page </w:t>
      </w:r>
      <w:r w:rsidR="00034C5A" w:rsidRPr="00E73D1E">
        <w:t>6</w:t>
      </w:r>
      <w:r w:rsidR="008C252B" w:rsidRPr="00E73D1E">
        <w:t>.</w:t>
      </w:r>
    </w:p>
    <w:p w14:paraId="4B5DBA1F" w14:textId="71C289A9" w:rsidR="00C07447" w:rsidRPr="00884FAA" w:rsidRDefault="00C07447" w:rsidP="00B11844">
      <w:r>
        <w:t xml:space="preserve">Over the period of the evaluation, the methodology adapted and changed to respond to changing circumstances. This included the impact of the COVID-19 pandemic on </w:t>
      </w:r>
      <w:r w:rsidR="002348D0">
        <w:t>face-to-face</w:t>
      </w:r>
      <w:r w:rsidR="00900783">
        <w:t xml:space="preserve"> engagement activities at evaluation sites. </w:t>
      </w:r>
      <w:r w:rsidR="0086403D">
        <w:t>Despite the need to adapt the approach to engagement</w:t>
      </w:r>
      <w:r w:rsidR="00CD6A77">
        <w:t xml:space="preserve"> and rescope some activities</w:t>
      </w:r>
      <w:r w:rsidR="0086403D">
        <w:t xml:space="preserve">, the reach of the engagement and </w:t>
      </w:r>
      <w:r w:rsidR="00CD6A77">
        <w:t xml:space="preserve">the </w:t>
      </w:r>
      <w:r w:rsidR="0086403D">
        <w:t xml:space="preserve">strong relationships forged with site partners shows the </w:t>
      </w:r>
      <w:r w:rsidR="000A0940">
        <w:t>value</w:t>
      </w:r>
      <w:r w:rsidR="0086403D">
        <w:t xml:space="preserve"> of the </w:t>
      </w:r>
      <w:r w:rsidR="00E12B3B">
        <w:t xml:space="preserve">various </w:t>
      </w:r>
      <w:r w:rsidR="00E2501C">
        <w:t xml:space="preserve">participatory methods </w:t>
      </w:r>
      <w:r w:rsidR="00E12B3B">
        <w:t xml:space="preserve">embedded in the design of the </w:t>
      </w:r>
      <w:r w:rsidR="004C6FE4">
        <w:t xml:space="preserve">evaluation </w:t>
      </w:r>
      <w:r w:rsidR="00E2501C">
        <w:t>and the importance of co</w:t>
      </w:r>
      <w:r w:rsidR="003433C3">
        <w:t>-</w:t>
      </w:r>
      <w:r w:rsidR="00E2501C">
        <w:t xml:space="preserve">design and partnership in </w:t>
      </w:r>
      <w:r w:rsidR="00CD6A77">
        <w:t xml:space="preserve">building the </w:t>
      </w:r>
      <w:r w:rsidR="004C6FE4">
        <w:t xml:space="preserve">evidence and insights </w:t>
      </w:r>
      <w:r w:rsidR="00CD6A77">
        <w:t xml:space="preserve">that have </w:t>
      </w:r>
      <w:r w:rsidR="004C6FE4">
        <w:t>inform</w:t>
      </w:r>
      <w:r w:rsidR="00CD6A77">
        <w:t>ed</w:t>
      </w:r>
      <w:r w:rsidR="004C6FE4">
        <w:t xml:space="preserve"> </w:t>
      </w:r>
      <w:r w:rsidR="00CD6A77">
        <w:t xml:space="preserve">this </w:t>
      </w:r>
      <w:r w:rsidR="004C6FE4">
        <w:t xml:space="preserve">evaluation. </w:t>
      </w:r>
    </w:p>
    <w:p w14:paraId="62A3E2A6" w14:textId="2664F470" w:rsidR="00B11844" w:rsidRDefault="009E65AF" w:rsidP="00B11844">
      <w:r w:rsidRPr="00884FAA">
        <w:t xml:space="preserve">The </w:t>
      </w:r>
      <w:r w:rsidR="00673ADE" w:rsidRPr="00884FAA">
        <w:t xml:space="preserve">findings and recommendations in this evaluation report are shaped by the expertise of Aboriginal and Torres Strait Islander people. </w:t>
      </w:r>
      <w:r w:rsidR="0011620C" w:rsidRPr="00884FAA">
        <w:t>While this report refers to</w:t>
      </w:r>
      <w:r w:rsidR="008175D9" w:rsidRPr="00884FAA">
        <w:t xml:space="preserve"> people who contributed </w:t>
      </w:r>
      <w:r w:rsidR="008175D9" w:rsidRPr="00884FAA">
        <w:lastRenderedPageBreak/>
        <w:t>to this evaluation process as</w:t>
      </w:r>
      <w:r w:rsidR="0011620C" w:rsidRPr="00884FAA">
        <w:t xml:space="preserve"> </w:t>
      </w:r>
      <w:r w:rsidR="00D5105F" w:rsidRPr="00884FAA">
        <w:t>‘</w:t>
      </w:r>
      <w:r w:rsidR="0011620C" w:rsidRPr="00884FAA">
        <w:t>participants</w:t>
      </w:r>
      <w:r w:rsidR="00D5105F" w:rsidRPr="00884FAA">
        <w:t>’</w:t>
      </w:r>
      <w:r w:rsidR="0011620C" w:rsidRPr="00884FAA">
        <w:t>, t</w:t>
      </w:r>
      <w:r w:rsidR="00B11844" w:rsidRPr="00884FAA">
        <w:t>h</w:t>
      </w:r>
      <w:r w:rsidR="003109CD" w:rsidRPr="00884FAA">
        <w:t>e</w:t>
      </w:r>
      <w:r w:rsidR="00B11844" w:rsidRPr="00884FAA">
        <w:t xml:space="preserve"> evaluation </w:t>
      </w:r>
      <w:r w:rsidR="005F1C2A" w:rsidRPr="00884FAA">
        <w:t xml:space="preserve">team </w:t>
      </w:r>
      <w:r w:rsidR="00B11844" w:rsidRPr="00884FAA">
        <w:t xml:space="preserve">recognises that Aboriginal and Torres Strait Islander people </w:t>
      </w:r>
      <w:r w:rsidR="00901859" w:rsidRPr="00884FAA">
        <w:t xml:space="preserve">are the </w:t>
      </w:r>
      <w:r w:rsidR="00B11844" w:rsidRPr="00884FAA">
        <w:t xml:space="preserve">knowledge holders </w:t>
      </w:r>
      <w:r w:rsidR="002202B0" w:rsidRPr="00884FAA">
        <w:t>for</w:t>
      </w:r>
      <w:r w:rsidR="00B11844" w:rsidRPr="00884FAA">
        <w:t xml:space="preserve"> what will improve health outcomes for Aboriginal and Torres Strait Islander people. </w:t>
      </w:r>
      <w:r w:rsidR="00266E21" w:rsidRPr="00884FAA">
        <w:t xml:space="preserve">The use of </w:t>
      </w:r>
      <w:r w:rsidR="00773E00" w:rsidRPr="00884FAA">
        <w:t>‘</w:t>
      </w:r>
      <w:r w:rsidR="00266E21" w:rsidRPr="00884FAA">
        <w:t>participants</w:t>
      </w:r>
      <w:r w:rsidR="00773E00" w:rsidRPr="00884FAA">
        <w:t>’</w:t>
      </w:r>
      <w:r w:rsidR="00667FF0" w:rsidRPr="00884FAA">
        <w:t xml:space="preserve"> in this report</w:t>
      </w:r>
      <w:r w:rsidR="00266E21" w:rsidRPr="00884FAA">
        <w:t xml:space="preserve"> is not intended to diminish </w:t>
      </w:r>
      <w:r w:rsidR="00146485" w:rsidRPr="00884FAA">
        <w:t>the</w:t>
      </w:r>
      <w:r w:rsidR="00B1670C" w:rsidRPr="00884FAA">
        <w:t xml:space="preserve"> </w:t>
      </w:r>
      <w:r w:rsidR="00146485" w:rsidRPr="00884FAA">
        <w:t xml:space="preserve">leadership </w:t>
      </w:r>
      <w:r w:rsidR="00202D8E" w:rsidRPr="00884FAA">
        <w:t xml:space="preserve">and expertise </w:t>
      </w:r>
      <w:r w:rsidR="00146485" w:rsidRPr="00884FAA">
        <w:t xml:space="preserve">of Aboriginal and Torres Strait Islander people </w:t>
      </w:r>
      <w:r w:rsidR="00667FF0" w:rsidRPr="00884FAA">
        <w:t xml:space="preserve">within their communities </w:t>
      </w:r>
      <w:r w:rsidR="00801729" w:rsidRPr="00884FAA">
        <w:t>and throughout this evaluation process</w:t>
      </w:r>
      <w:r w:rsidR="00146485" w:rsidRPr="00884FAA">
        <w:t>.</w:t>
      </w:r>
      <w:r w:rsidR="00202D8E" w:rsidRPr="00884FAA">
        <w:t xml:space="preserve"> </w:t>
      </w:r>
    </w:p>
    <w:p w14:paraId="6C37A74C" w14:textId="018F7431" w:rsidR="005A0436" w:rsidRDefault="005A0436" w:rsidP="00B11844">
      <w:r w:rsidRPr="00884FAA">
        <w:rPr>
          <w:noProof/>
        </w:rPr>
        <mc:AlternateContent>
          <mc:Choice Requires="wps">
            <w:drawing>
              <wp:inline distT="0" distB="0" distL="0" distR="0" wp14:anchorId="77692BAD" wp14:editId="77DDD0E8">
                <wp:extent cx="5716067" cy="3829050"/>
                <wp:effectExtent l="19050" t="19050" r="18415" b="19050"/>
                <wp:docPr id="622789836" name="Freeform: Shape 622789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6067" cy="3829050"/>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2E1A10E9" w14:textId="10489EC1" w:rsidR="005A0436" w:rsidRPr="00E2645B" w:rsidRDefault="005A0436" w:rsidP="005A0436">
                            <w:pPr>
                              <w:pStyle w:val="NoSpacing"/>
                              <w:spacing w:before="240"/>
                              <w:rPr>
                                <w:b/>
                                <w:bCs/>
                                <w:color w:val="9E6047" w:themeColor="accent3"/>
                              </w:rPr>
                            </w:pPr>
                            <w:r w:rsidRPr="00E2645B">
                              <w:rPr>
                                <w:b/>
                                <w:bCs/>
                                <w:color w:val="9E6047" w:themeColor="accent3"/>
                              </w:rPr>
                              <w:t>A note on the use of data</w:t>
                            </w:r>
                          </w:p>
                          <w:p w14:paraId="5CED503A" w14:textId="77777777" w:rsidR="005A0436" w:rsidRPr="0058387D" w:rsidRDefault="005A0436" w:rsidP="005A0436">
                            <w:pPr>
                              <w:pStyle w:val="NoSpacing"/>
                              <w:spacing w:before="240"/>
                              <w:rPr>
                                <w:color w:val="1A3E5F" w:themeColor="accent1" w:themeShade="80"/>
                                <w:lang w:val="en-AU"/>
                              </w:rPr>
                            </w:pPr>
                            <w:r w:rsidRPr="0058387D">
                              <w:rPr>
                                <w:color w:val="1A3E5F" w:themeColor="accent1" w:themeShade="80"/>
                                <w:lang w:val="en-AU"/>
                              </w:rPr>
                              <w:t>The evaluation acknowledges the data included in this report cannot provide a full picture of health and wellbeing outcomes for Aboriginal and Torres Strait Islander people. The evaluation also acknowledges the real stories, people and experiences which sit behind the qualitative and quantitative data in this report.</w:t>
                            </w:r>
                          </w:p>
                          <w:p w14:paraId="172BB13E" w14:textId="77777777" w:rsidR="005A0436" w:rsidRPr="0058387D" w:rsidRDefault="005A0436" w:rsidP="005A0436">
                            <w:pPr>
                              <w:pStyle w:val="NoSpacing"/>
                              <w:spacing w:before="240"/>
                              <w:rPr>
                                <w:color w:val="1A3E5F" w:themeColor="accent1" w:themeShade="80"/>
                                <w:lang w:val="en-AU"/>
                              </w:rPr>
                            </w:pPr>
                            <w:r w:rsidRPr="0058387D">
                              <w:rPr>
                                <w:color w:val="1A3E5F" w:themeColor="accent1" w:themeShade="80"/>
                                <w:lang w:val="en-AU"/>
                              </w:rPr>
                              <w:t xml:space="preserve">The evaluation team respectfully acknowledge that the use of quantitative data cannot replace deep listening to understand the stories and experiences of Aboriginal and Torres Strait Islander people and that the diverse and living experiences of Aboriginal and Torres Strait Islander people should not be reduced to numbers and numerical trends. </w:t>
                            </w:r>
                          </w:p>
                          <w:p w14:paraId="5851353B" w14:textId="023B47C8" w:rsidR="005A0436" w:rsidRPr="00032592" w:rsidRDefault="005A0436" w:rsidP="005A0436">
                            <w:pPr>
                              <w:pStyle w:val="NoSpacing"/>
                              <w:spacing w:before="240"/>
                            </w:pPr>
                            <w:r w:rsidRPr="0058387D">
                              <w:rPr>
                                <w:color w:val="1A3E5F" w:themeColor="accent1" w:themeShade="80"/>
                                <w:lang w:val="en-AU"/>
                              </w:rPr>
                              <w:t>The evaluation also notes that descriptions of health conditions in this report follow the descriptions used in key data sources. In some cases, we recognise that these labels do not reflect best practice approaches of discussing specific health issues, including mental health conditions, and may not reflect Aboriginal and Torres Strait Islander approaches to understanding and talking about health and wellbeing within their communities. The evaluation has made recommendations to shift the knowledge transfer processes for the IAHP to align with Aboriginal and Torres Strait Islander approaches to health and wellbeing.</w:t>
                            </w:r>
                          </w:p>
                        </w:txbxContent>
                      </wps:txbx>
                      <wps:bodyPr rot="0" vert="horz" wrap="square" lIns="91440" tIns="45720" rIns="91440" bIns="45720" anchor="t" anchorCtr="0" upright="1">
                        <a:noAutofit/>
                      </wps:bodyPr>
                    </wps:wsp>
                  </a:graphicData>
                </a:graphic>
              </wp:inline>
            </w:drawing>
          </mc:Choice>
          <mc:Fallback>
            <w:pict>
              <v:shape w14:anchorId="77692BAD" id="Freeform: Shape 622789836" o:spid="_x0000_s1029" style="width:450.1pt;height:301.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147hMAAMplAAAOAAAAZHJzL2Uyb0RvYy54bWysXWtvIzty/R4g/0HwxwR73ST7ObhzF/vI&#10;BgE22QVW+wM0tjw2YluOpHnc/fU5RVb1NNtkVSPIl2lrVCKLdVjFOkVS+vm331+ed1+P58vT6fXj&#10;jfupudkdX+9O90+vnz/e/H3/p9+MN7vL9fB6f3g+vR4/3vx6vNz89pd//qefv719OPrT4+n5/nje&#10;oZHXy4dvbx9vHq/Xtw+3t5e7x+PL4fLT6e34ijcfTueXwxUvz59v78+Hb2j95fnWN01/++10vn87&#10;n+6Olwv+94/pzZtfYvsPD8e7618eHi7H6+754w10u8Z/z/HfT/Tv7S8/Hz58Ph/eHp/uWI3D/0GL&#10;l8PTKzqdm/rj4XrYfTk/vWvq5enufLqcHq4/3Z1ebk8PD093xzgGjMY1q9H87fHwdoxjgXEub7OZ&#10;Lv9/zd7919e/vf31TKpf3v58uvvvCyxy++3t8mF+h15cILP79O0/T/fA8PDleoqD/f5wfqFPYhi7&#10;79Gmv842PX6/7u7wn93g+qYfbnZ3eC+Mfmq6aPXbwwf5+N2Xy/Xfj6fY1OHrny/XBMo9/oomvd+9&#10;Hl7Q7x4APrw8A59//c2u2bmxGXYuDBODOIs5EfuX292+2X3bTS70ayEvQqmtye/c5NZCQYTQkoPI&#10;4y70g0yaub9WpGJT3vdoq6BWJ2KkVltRqxchbsuV1II1kx3QkveuohY8b2EtP7RtUa1JxEitsaKW&#10;y01PnRbM5ZaWryvmctsHH7qiZm5p/r3zNd1W9u8wzvdQuqX5PWTKWLocgNB3lTm2xGDv+ppuKxCa&#10;UNRtiYGHTFk3n4PQumYq2s0vYdj7qgfkMHhftJtfgkAyFd1yENquxwwpOIFfwrBHcxXvzGHw5Onv&#10;MfVLEEimolsOQjsNQKGk2xKGva/5Qshh8L4cOpYgkExZt5CD0LUTAltBt7CEYR9qvhByGDzAL9gt&#10;LEEgmYpuOQjd5Mq+EJYw7EPNF0IOg5vGom5LEEimrFubg9CHylrQLmHYtzVfaHMYKnZrlyDU7dbm&#10;IPQjzZACpu0Shj3Cc9kX2hwGH4q+0C5BIJmK3XIQBj8ChZJuSxj2bc0XsJZniwyCdGG+dUsQPGTK&#10;unU5CMNQ8YVuCcO+q/lCl8PgHVaZ9zGkW4JAMhXdchBG3/ZFu3VLGPZdzRe6HAbkDEXdliCQTFm3&#10;Pgdh7Lty7O2XMOz7mi/0OQw+YJV5b7d+CQLJVHTLQZiaoWy3fgnDvq/5Qp/D4GkFLOi2BIFkKrrl&#10;IExYtIqY9ksY9n3NF5AYZr7QFNfTYQmCh0xZtyEHYZrggiU/HZYw7IeaLww5DD4UY++wBIFkKrrl&#10;ILimHcqJyLDEYQ/kywFuyHGoBF/k+cust7ZojTkKDnSjnF2OSyD2Y80bxhyIPhRRHZcwkEzZcmMO&#10;Q91y4xKJ/Vhzh3GFhKNZ8t4fxiUOjoQq6uVAQL0KZxiXWOyxhJSBnVZYdGNx6YLCP5B1JFRWb8qh&#10;qEM7LdHYg7dV1MvR8M1YjCbTEosoVFFvBQbcouyz0xKO/VRziylHA5yluEhMSyyiUFk916zQaFoa&#10;b2Htd80SkD0+WDGga3JE/ITEtDD/XLMEJErVdMwhwQzE8l7WcYkKdKy5iGtyWEIYyty1WaISpWo6&#10;5rhgcBWcwc8WExs61vzEreg1yiRlnpgR7ChV0XFFsacRq33RjCuOXSfZLkcGnRfTKZfx7ChVUzHH&#10;BatvBWm3BGbv6lzb5cCE0RVjtXNLWKJURcUV4R6nsbyUuJxxuyrldj53GHReDNguY91RqqZiDsvY&#10;Yq0oAp0Tb1dl3s7nuKDzYthxGfmOUjUVc1jGpga0X+KCek/VXVYMHP5XXFdcWMaxKFVRccXCh24o&#10;M12X03BX5eFuRcSrVsyouGZFVDCX2eWAuFYGOmfjqHzWgveKj6PzctAJS1iiVMWKa06OUmlZxZyU&#10;uyordytaXrViRsw1K66peSx6lZbAnJu7Kjl3K3YexlC2YsbPo1TNirm7dENfrla5donLnrK6cprj&#10;ViS9asWMpmtWXBH1LlQKkS5n6q5K1d2Kq6PzYirmMrYepSpW7HJ3accK73Q5YXdVxo68NHNALG3l&#10;XKdbwhKlKiquaDty7QrQOW/HdkoN6BVzR8Qrq5hx9yhVUzFfXUKNhbqcvrsqf3crAl+di7RjNO9x&#10;aHOxX8HStpWkNmfxrkrj3YrHh5FI0HtS5TImH6UqVlxx+dC05fqMy8m8q7J5t6LzVStmhF6z4pC7&#10;ix8q5VSXU3pX5fRuRerhCOVMJ6P1UapixRWxR0m94i45sccuYc1dVtQe9im7S0buo1RNxdxdXF8j&#10;Bjm9d1V+71YEPyB5Ks7FjOFHqZqKubu4MFXmYk7xXZXjuxXJD11fVjFj+VGqouKa5rehomJO82l/&#10;trIATjkuAQS3aMWM6Uepmoq5uzis5+VMJ6f6rsr1sdEh8S5t/EYHLASdnO2TVFlFnI3IGkSSVSYG&#10;OHYggrQBjM9VrOjXZN9NRaCxf7lo0JNUTcUcFqhYZoC+ybg+FU3LQPsV10cQAi7vrYitwoWKUaqm&#10;Yg4LVCwDjSLzokVYsZaM+RXVx9Qpri4+o/pRqqLiiuq7lvhaIaX1OdWnbZiKFVdUH/sJRSNmTJ+E&#10;agqunKWlMFtUcInK3leJvl8TfVfc5cTUW2ACd14oiNMnn+V8yeFRjpzcfX/lMyf4a3egI0xNPOjy&#10;drrQAZc9XAWnWPaBzomgCUjRAZWKMCYtCQ+bhKEqCQP1LU0TlFG82yYOw0bxeFTGVJyqGSSOIsQW&#10;ZaiyEMW3jZRYPomDnG9pnRh3FN82VGK/UXzbUImJkjgI5BZliBVG8W1DJYZG4iBWW1onthTFtw2V&#10;mEsU3zZUYhEkjuR/izKU0UfxbUOl7JrEkRRvaZ0y3Si+baiUdUbxbUOlDJDEkbhtUYaysSi+baiU&#10;GZF4WldMb6IsJYpvGyplDFF821BjrZ7kqca+ZbDYNUkdOCyC2z7A43Vbg9McnbBCbOqBKrxxDIjY&#10;mz4gEYrqpNs+IING1XLbB2TQG8NUrAzGMaCit6kHiVRIwbd9QGKV2xisnEQrh9rTJpUkXrmNASvW&#10;d+KgUZfZ1IPELIcqyaYPSNRyG8NWrERElVBB2NaDIL0xdEWWHnsAu97Ug0Qvl46qmhHDSfxyGwOY&#10;kwjmwAM3qSQxjJNjWyWJYkjnt/UgccyBsWxRKfIQMivxh20fYJ+mbH7bBxhpyq03fUACGY4FbfwA&#10;BzJKPRc9JPNyannGmfT1afTzzQ6n0T/RZw4f3g5Xykjlz923jzfxAPPuEQeo6fgxvfNy+nrcn6LM&#10;lVJTzqrwSP3+eP/5dSnniC7AzPOI5G15vsXmHOMdj01DfXlXnknK8zIu5pR35ZmkAtWV0aUc+5Z3&#10;5ZmkWg+qRYrxAORdeSaprgFnhFSrS1GtCFJiDGlDnqmtnorJ1KPe2EC7SBDDZmAyrbQiz9QaDqMn&#10;MZkq8rY8WYyKSWgNW1haaxMVh0nMq2JY9JPVLDlHlIkGoZsEW6PJR+ZlUrSXZxoF9ubSNLLkcH56&#10;y3Cxv8Lj0K2HBSf1i40hzXyuJ3KK8aJZXY7D1Lx+yTjlyeMdOIYDFrW9kfYd0O+8Wkk78uT2JqY1&#10;MI/WHt1wSe3p40UITLMP3avtwdDJLka/sUJizxfvqcwLOUQVtV+JARLaxRzyTGbxLXNJo7WOiltk&#10;Zb1TbJ0l5YxeeyZeczIpWsmTtRto3xndAjt1sBIKjEmKo7cMhqxf0p88ud+JkyBjMgcJBnN+KO3I&#10;M7UXcAIsjsMIBsGxk+NOhDbe4GmDEXbRY0sInObrLhlQEEuo6a4WcF4kyRnadXTmAtoZ6IaOqsSE&#10;rr4ChZ52nEjOGMdAO76Qg8ep1ht5Vs1JuqAlT0Zt4hBuyLUNVQ6pX30cLdE5kjNmQet5thizoA3s&#10;lPpkbgPthlG3qlWwF8qzwBAbGQxdrONl0tANRw+jbkY0a3s6EoExABEN2ranDQUaqx4w2oFXe2M1&#10;bUfmjBZkE+dShlzXSGqje24XzwRhHIZrdKgpx/ECO80uHU4AJjndfl3gqpIR0DrMltgezmKo/XZ0&#10;uwvjMAJp19GeFskZdulpl5rkjH4Hzm5wQEbVb6TTQGjPwm2i3QaS0128m2Q+6/rhfibPZx03JFXJ&#10;zgZ56HEdIOqHgK+Nt8fKkcah26VHrEpyhn7tlPDF9Ff77WjTGfYzsua+pzMfJGfYb+BsDu6p9jvS&#10;1hi1Z8nxvJpLSbIUyDMtCf2EwBLngT5P+0nsosehoaHTGTSvdDsPjuepQWKGuBVI49X1GzyvCYZf&#10;DoHOg6E9I1sfWibuc5FJ7CbPZD+4ZcIXMGu4DR3bxdKv5wKa4b9Dz6zDWD+GgROruV4h+suTxyEJ&#10;pz6thpHdXM/9h4nR1Sf92DAV17GFarym6nNvnGOL0Z5nBojQoWE2Bp4Dxpo1BsbC8EkcrE1zz1iL&#10;QABTbDHSNOyXJl8DxOo4Bq7iIttV5UZOmObSrcwReaa5MkrMMPSbGl7LjTVritcKKGbouE3x1DXk&#10;6Ky7NhCUutLi+6P4KSOQZxoJBHn1MIacimcUhox1C4Kcv8yFWulSntI1HZJGi5R46IPhpL0zXBjm&#10;SUtcB/ajt8j7N1icLMHU4mBEyxlBql0YXTPPQxVfFWx4vcGtDKPJhjMtlCWN4TRcOMM8snqnU280&#10;03xv2HLOe4Kxkk0N17GwWWONiNcKHAy2RkQHCEnPzqBqUzMTcctK4o04nGj6I8fl0XRInuwO9x90&#10;3B2CQBzRhB0MdYaggBglcWLHlEw+ieMr5og4HtBJF713qdV6bJyoko3UQ4PlRQ1zGtSwjN4bOgkH&#10;3D3u+lu9c37XWb0L7r43cgp4O1sehxP13uOtJNIT+ZQhKW1SIqLaM94EozZxHluXlBjicebYkJQa&#10;QINKj9p7w/sCOAtkWZ53NlADMyVTUAybo00IxpqPS9LME1przktUDJ2R58xRPvRGDBknnvMB/Ey1&#10;5zgJn+kNhjRSkKE5jzZ1Lx4H5jS2pFRhbMlu5nF2lpd8E23qa8fYcgyBpO4duBCSkgVYXp/Joxfe&#10;1yPkajN5lN1StGnoSV99lCxvxCX4Ls868He9d8kNzbkELsFFVWvsw0hXQNIM0T0OWzGcpeFLP1Q9&#10;wbNk1hnZKQpws5X0CDZIORlj1zEaWtmbszAawjx2w/JgyvOIdN8c6CjAJtxxkyytmzaaUi80x47C&#10;p1ROjBH146ynVS3CRUQekZGx9MKZQj+fJZAEXp4pkUcBj+d8Z+R1fc/lbewT6LOu7xBgo+U7LEya&#10;F/c/dj1xHkOVDLLp0M3nL2Qk8uQRUUqTcDfW4j6eOY8eZ6wIvZCT0BtbWn3DeR32fXUrYbeFa3Cm&#10;5CgYwV6qlVDWkzaN6N3BkcQ7dD/CbYZ51ulxHovMbHmjzY63VDCX9BiCyjbHus5gPaiVy4gQyrS5&#10;hOq7rHEG7qjny4qAIoTaJg6osz0NEtk1IGVpfhrVuXaao7fBN1t8MZW0qWOE29GCkTGT24HZGdZ3&#10;fTXELo/0bqzFbc9bkaE3Yl0L4HlExumUlmhmsqe5Qccbq2acbz3zd4xdn0vYHBTvMDhCi6sTrKdl&#10;+UZinZUrholuzaScQY8MYeKiEsaux+Qw0iXKFBV1L8YNBvEOA01seUqbBkYIsDKXDB6HC1QiaXhx&#10;wPfdiZV070B5faskuhcr6flS+LEeGRWJ8CPaGOs7SrsS5w0eF+Zogy+vUyOYl72yYFXg8A2m3Htn&#10;VDlwSIrnZ4cCjhY/6cs5kz07IxPwP/akjNzGSyXa9Hff0n3SOOeNHU98J5REG+OEk5fjADgvoec2&#10;uMgpkQGOr1pJTi+hTcOezZwnY8tSaxMH3mQuGbVcHImUddPgxbi1KZHBWBFwIlj8yPAOXAYWPS1J&#10;Mg5HMH3Vdv1seYPD4pa8tGlkVjg6LnoaXBsFUsHdOEoTi64c5/UZggL+vCLocQn1ZpnJxi6ro2Pb&#10;3Lsxl6RaiHVTz35xa0MirXHmA9+oJGDqSxxuqYugHuloPyANx5hItMPAgnoW0M3hw9hgkT005D/6&#10;YMKc+hmlXD97r9EibmTKYIyJwTs2iJo6hrM/GuuvtGdV+eezM0a2K3IBVlcjG6PncZ9ak5PchA7v&#10;aHKSQdFNF1WODd0YTIC+OAVrDhZevV8+5gfWouPBNRQ/GpmotIfddXUc7E8epx1UOZ4HWJgNPNKa&#10;4K0VPrmxp7NKmplT7PRUZNLEeKvB2r5IcwVfMaqv1XIOh26oqL2mOYBb0Tq2cJ04B+gsgdYer7y4&#10;raI7L+8IY+vYaC8Z2eFkh9ovY4svCzHmQJrL+N4T3S4ohtF4cfvJsEuCDWcidHT5HhwueG2Us+Yy&#10;9xsw+TU8ZBxUjlTl2M50nUSVY/s5S7+0EuN7B/V5yvNlMlI6PrY1GrtrPKsGY0MX+Q6Bi+qjOlau&#10;lFiUgCkOvqNRb41zE6OQxJ3iiLjeGsdk47QC242OdKioJt3eYXX3fLoc0wfprlO8Sj9feqK7Uovf&#10;g3g9/enp+RnCdAeJrkLha5JQWqTXl9Pz0z29G1+cP3/6w/N59/WAH/oI/e/63/+edcvEzqcvr/ex&#10;tcfj4f7f+O/r4ek5/R2vOvEPYNBvXtDviFw+XL9/+r57ukfD1Cb9z6fT/a9/Pe/Op/SDIvgBFPzx&#10;eDr/42b3DT8m8vHm8j9fDufjze75P17xax0TmAsC9jW+aJFM48V5+c6n5TuH1zs09fHmeoPvIKA/&#10;/3BNv1jy5e389PkRPblogNfT7/BLHA9P9HsZ8Sc7klb8Aj8YEi3LP25Cv0iyfB2lfvwEyy//CwAA&#10;//8DAFBLAwQUAAYACAAAACEAtROrn9oAAAAFAQAADwAAAGRycy9kb3ducmV2LnhtbEyPwW7CMAyG&#10;75N4h8iTdplGQocYdE0RmsR1Eh27h8a03RqnalLo9vTzuMDFkvX/+vw5W4+uFSfsQ+NJw2yqQCCV&#10;3jZUadh/bJ+WIEI0ZE3rCTX8YIB1PrnLTGr9mXZ4KmIlGEIhNRrqGLtUylDW6EyY+g6Js6PvnYm8&#10;9pW0vTkz3LUyUWohnWmIL9Smw7cay+9icBoWs3myr7byZfj8/RqL+e59SY+o9cP9uHkFEXGM1zL8&#10;67M65Ox08APZIFoN/Ei8TM5WSiUgDgxWzwpknslb+/wPAAD//wMAUEsBAi0AFAAGAAgAAAAhALaD&#10;OJL+AAAA4QEAABMAAAAAAAAAAAAAAAAAAAAAAFtDb250ZW50X1R5cGVzXS54bWxQSwECLQAUAAYA&#10;CAAAACEAOP0h/9YAAACUAQAACwAAAAAAAAAAAAAAAAAvAQAAX3JlbHMvLnJlbHNQSwECLQAUAAYA&#10;CAAAACEAICC9eO4TAADKZQAADgAAAAAAAAAAAAAAAAAuAgAAZHJzL2Uyb0RvYy54bWxQSwECLQAU&#10;AAYACAAAACEAtROrn9oAAAAFAQAADwAAAAAAAAAAAAAAAABIFgAAZHJzL2Rvd25yZXYueG1sUEsF&#10;BgAAAAAEAAQA8wAAAE8XA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7784,200321;552461,230578;854031,230578;1161233,265008;1425263,211798;1708063,233708;1990863,215971;2248637,231621;2572105,229534;2839264,206581;3083273,229534;3405490,247271;3697049,221188;4011132,224318;4296435,235794;4549829,249358;4815736,218058;5053489,212841;5361315,248314;5693543,229534;5709810,661476;5693543,1197752;5671645,1655777;5709810,2179533;5692917,2656338;5699800,3059067;5676650,3517092;5630351,3988681;5306257,3990767;5050986,3979291;4758801,3983464;4445343,3981377;4175056,3951121;3877866,3981377;3583178,3978247;3310389,3981377;3031342,3999114;2742911,3981377;2458860,3984507;2187947,3987637;1917035,3945904;1607331,3981377;1295125,4010591;1039854,3981377;830882,3993897;528060,3977204;187074,3969901;7508,3719500;32535,3235391;2503,2824316;15642,2290127;14390,1860271;15016,1443980;23150,902487;20647,323435" o:connectangles="0,0,0,0,0,0,0,0,0,0,0,0,0,0,0,0,0,0,0,0,0,0,0,0,0,0,0,0,0,0,0,0,0,0,0,0,0,0,0,0,0,0,0,0,0,0,0,0,0,0,0,0,0,0,0" textboxrect="0,0,9136,3670"/>
                <v:textbox>
                  <w:txbxContent>
                    <w:p w14:paraId="2E1A10E9" w14:textId="10489EC1" w:rsidR="005A0436" w:rsidRPr="00E2645B" w:rsidRDefault="005A0436" w:rsidP="005A0436">
                      <w:pPr>
                        <w:pStyle w:val="NoSpacing"/>
                        <w:spacing w:before="240"/>
                        <w:rPr>
                          <w:b/>
                          <w:bCs/>
                          <w:color w:val="9E6047" w:themeColor="accent3"/>
                        </w:rPr>
                      </w:pPr>
                      <w:r w:rsidRPr="00E2645B">
                        <w:rPr>
                          <w:b/>
                          <w:bCs/>
                          <w:color w:val="9E6047" w:themeColor="accent3"/>
                        </w:rPr>
                        <w:t>A note on the use of data</w:t>
                      </w:r>
                    </w:p>
                    <w:p w14:paraId="5CED503A" w14:textId="77777777" w:rsidR="005A0436" w:rsidRPr="0058387D" w:rsidRDefault="005A0436" w:rsidP="005A0436">
                      <w:pPr>
                        <w:pStyle w:val="NoSpacing"/>
                        <w:spacing w:before="240"/>
                        <w:rPr>
                          <w:color w:val="1A3E5F" w:themeColor="accent1" w:themeShade="80"/>
                          <w:lang w:val="en-AU"/>
                        </w:rPr>
                      </w:pPr>
                      <w:r w:rsidRPr="0058387D">
                        <w:rPr>
                          <w:color w:val="1A3E5F" w:themeColor="accent1" w:themeShade="80"/>
                          <w:lang w:val="en-AU"/>
                        </w:rPr>
                        <w:t>The evaluation acknowledges the data included in this report cannot provide a full picture of health and wellbeing outcomes for Aboriginal and Torres Strait Islander people. The evaluation also acknowledges the real stories, people and experiences which sit behind the qualitative and quantitative data in this report.</w:t>
                      </w:r>
                    </w:p>
                    <w:p w14:paraId="172BB13E" w14:textId="77777777" w:rsidR="005A0436" w:rsidRPr="0058387D" w:rsidRDefault="005A0436" w:rsidP="005A0436">
                      <w:pPr>
                        <w:pStyle w:val="NoSpacing"/>
                        <w:spacing w:before="240"/>
                        <w:rPr>
                          <w:color w:val="1A3E5F" w:themeColor="accent1" w:themeShade="80"/>
                          <w:lang w:val="en-AU"/>
                        </w:rPr>
                      </w:pPr>
                      <w:r w:rsidRPr="0058387D">
                        <w:rPr>
                          <w:color w:val="1A3E5F" w:themeColor="accent1" w:themeShade="80"/>
                          <w:lang w:val="en-AU"/>
                        </w:rPr>
                        <w:t xml:space="preserve">The evaluation team respectfully acknowledge that the use of quantitative data cannot replace deep listening to understand the stories and experiences of Aboriginal and Torres Strait Islander people and that the diverse and living experiences of Aboriginal and Torres Strait Islander people should not be reduced to numbers and numerical trends. </w:t>
                      </w:r>
                    </w:p>
                    <w:p w14:paraId="5851353B" w14:textId="023B47C8" w:rsidR="005A0436" w:rsidRPr="00032592" w:rsidRDefault="005A0436" w:rsidP="005A0436">
                      <w:pPr>
                        <w:pStyle w:val="NoSpacing"/>
                        <w:spacing w:before="240"/>
                      </w:pPr>
                      <w:r w:rsidRPr="0058387D">
                        <w:rPr>
                          <w:color w:val="1A3E5F" w:themeColor="accent1" w:themeShade="80"/>
                          <w:lang w:val="en-AU"/>
                        </w:rPr>
                        <w:t>The evaluation also notes that descriptions of health conditions in this report follow the descriptions used in key data sources. In some cases, we recognise that these labels do not reflect best practice approaches of discussing specific health issues, including mental health conditions, and may not reflect Aboriginal and Torres Strait Islander approaches to understanding and talking about health and wellbeing within their communities. The evaluation has made recommendations to shift the knowledge transfer processes for the IAHP to align with Aboriginal and Torres Strait Islander approaches to health and wellbeing.</w:t>
                      </w:r>
                    </w:p>
                  </w:txbxContent>
                </v:textbox>
                <w10:anchorlock/>
              </v:shape>
            </w:pict>
          </mc:Fallback>
        </mc:AlternateContent>
      </w:r>
    </w:p>
    <w:p w14:paraId="0CA2D6B9" w14:textId="110A4791" w:rsidR="00F87521" w:rsidRDefault="007D321D" w:rsidP="00E84271">
      <w:r w:rsidRPr="008F539A">
        <w:t xml:space="preserve">The evaluation adopts the metaphor of the bottle tree, </w:t>
      </w:r>
      <w:r w:rsidR="00500CA5">
        <w:rPr>
          <w:i/>
        </w:rPr>
        <w:t>B</w:t>
      </w:r>
      <w:r w:rsidRPr="008F539A">
        <w:rPr>
          <w:i/>
        </w:rPr>
        <w:t>rachychiton rupestris</w:t>
      </w:r>
      <w:r w:rsidRPr="008F539A">
        <w:t xml:space="preserve"> or</w:t>
      </w:r>
      <w:r w:rsidR="00EA0DCD">
        <w:t xml:space="preserve"> </w:t>
      </w:r>
      <w:r w:rsidRPr="008F539A">
        <w:t>Babuny</w:t>
      </w:r>
      <w:r w:rsidR="00E82ED5" w:rsidRPr="005D1C41">
        <w:rPr>
          <w:rStyle w:val="FootnoteReference"/>
        </w:rPr>
        <w:footnoteReference w:id="3"/>
      </w:r>
      <w:r w:rsidRPr="008F539A">
        <w:t xml:space="preserve"> to </w:t>
      </w:r>
      <w:r w:rsidR="00690806">
        <w:t>represent</w:t>
      </w:r>
      <w:r w:rsidR="00690806" w:rsidRPr="008F539A">
        <w:t xml:space="preserve"> </w:t>
      </w:r>
      <w:r w:rsidRPr="008F539A">
        <w:t>what Aboriginal and Torres Strait Islander people value for health care. This approach was adopted because metaphor is consistent with Aboriginal and Torres Strait Islander epistemologies and the bottle tree enables the specific elements of care that are valued by Aboriginal and Torres Strait Islander people to be depicted in a dynamic, connected system that grows and transforms in connection to</w:t>
      </w:r>
      <w:r w:rsidRPr="00153ABC">
        <w:t xml:space="preserve"> place.</w:t>
      </w:r>
      <w:r>
        <w:t xml:space="preserve"> </w:t>
      </w:r>
    </w:p>
    <w:p w14:paraId="492A22B6" w14:textId="77777777" w:rsidR="00F87521" w:rsidRDefault="00F87521" w:rsidP="00E84271"/>
    <w:p w14:paraId="2BA8E482" w14:textId="77777777" w:rsidR="001C7AC9" w:rsidRDefault="001C7AC9" w:rsidP="00E84271">
      <w:pPr>
        <w:sectPr w:rsidR="001C7AC9" w:rsidSect="003C317F">
          <w:headerReference w:type="even" r:id="rId44"/>
          <w:headerReference w:type="default" r:id="rId45"/>
          <w:headerReference w:type="first" r:id="rId46"/>
          <w:footerReference w:type="first" r:id="rId47"/>
          <w:pgSz w:w="11909" w:h="16834" w:code="9"/>
          <w:pgMar w:top="1440" w:right="1440" w:bottom="1440" w:left="1440" w:header="720" w:footer="720" w:gutter="0"/>
          <w:pgNumType w:start="1"/>
          <w:cols w:space="720"/>
          <w:titlePg/>
          <w:docGrid w:linePitch="360"/>
        </w:sectPr>
      </w:pPr>
    </w:p>
    <w:p w14:paraId="30D7A642" w14:textId="5A33AC83" w:rsidR="00F5150C" w:rsidRDefault="001C7AC9" w:rsidP="00E84271">
      <w:r>
        <w:lastRenderedPageBreak/>
        <w:t>xx</w:t>
      </w:r>
    </w:p>
    <w:p w14:paraId="272D4472" w14:textId="7ED46C6D" w:rsidR="009545A7" w:rsidRPr="00884FAA" w:rsidRDefault="00DB65BC" w:rsidP="00275469">
      <w:r>
        <w:rPr>
          <w:noProof/>
        </w:rPr>
        <mc:AlternateContent>
          <mc:Choice Requires="wpg">
            <w:drawing>
              <wp:anchor distT="0" distB="0" distL="114300" distR="114300" simplePos="0" relativeHeight="251658273" behindDoc="0" locked="1" layoutInCell="1" allowOverlap="1" wp14:anchorId="3650958C" wp14:editId="49C32170">
                <wp:simplePos x="0" y="0"/>
                <wp:positionH relativeFrom="page">
                  <wp:posOffset>-67945</wp:posOffset>
                </wp:positionH>
                <wp:positionV relativeFrom="paragraph">
                  <wp:posOffset>-1251585</wp:posOffset>
                </wp:positionV>
                <wp:extent cx="7636510" cy="10713085"/>
                <wp:effectExtent l="0" t="0" r="2540" b="0"/>
                <wp:wrapNone/>
                <wp:docPr id="2065761324" name="Group 20657613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36510" cy="10713085"/>
                          <a:chOff x="-64065" y="0"/>
                          <a:chExt cx="7637388" cy="10713085"/>
                        </a:xfrm>
                      </wpg:grpSpPr>
                      <pic:pic xmlns:pic="http://schemas.openxmlformats.org/drawingml/2006/picture">
                        <pic:nvPicPr>
                          <pic:cNvPr id="191" name="Picture 190">
                            <a:extLst>
                              <a:ext uri="{FF2B5EF4-FFF2-40B4-BE49-F238E27FC236}">
                                <a16:creationId xmlns:a16="http://schemas.microsoft.com/office/drawing/2014/main" id="{B59CE39F-03AA-6686-3890-90F2952652C4}"/>
                              </a:ext>
                            </a:extLst>
                          </pic:cNvPr>
                          <pic:cNvPicPr>
                            <a:picLocks noChangeAspect="1"/>
                          </pic:cNvPicPr>
                        </pic:nvPicPr>
                        <pic:blipFill rotWithShape="1">
                          <a:blip r:embed="rId48"/>
                          <a:srcRect l="2788" r="2529"/>
                          <a:stretch/>
                        </pic:blipFill>
                        <pic:spPr>
                          <a:xfrm>
                            <a:off x="13648" y="0"/>
                            <a:ext cx="7559675" cy="10713085"/>
                          </a:xfrm>
                          <a:prstGeom prst="rect">
                            <a:avLst/>
                          </a:prstGeom>
                        </pic:spPr>
                      </pic:pic>
                      <pic:pic xmlns:pic="http://schemas.openxmlformats.org/drawingml/2006/picture">
                        <pic:nvPicPr>
                          <pic:cNvPr id="911304582" name="Graphic 26"/>
                          <pic:cNvPicPr>
                            <a:picLocks noChangeAspect="1"/>
                          </pic:cNvPicPr>
                        </pic:nvPicPr>
                        <pic:blipFill>
                          <a:blip r:embed="rId49">
                            <a:extLst>
                              <a:ext uri="{96DAC541-7B7A-43D3-8B79-37D633B846F1}">
                                <asvg:svgBlip xmlns:asvg="http://schemas.microsoft.com/office/drawing/2016/SVG/main" r:embed="rId50"/>
                              </a:ext>
                            </a:extLst>
                          </a:blip>
                          <a:srcRect/>
                          <a:stretch/>
                        </pic:blipFill>
                        <pic:spPr>
                          <a:xfrm>
                            <a:off x="-64065" y="539165"/>
                            <a:ext cx="7551327" cy="10120824"/>
                          </a:xfrm>
                          <a:prstGeom prst="rect">
                            <a:avLst/>
                          </a:prstGeom>
                        </pic:spPr>
                      </pic:pic>
                      <wps:wsp>
                        <wps:cNvPr id="911304583" name="Text Box 911304583"/>
                        <wps:cNvSpPr txBox="1">
                          <a:spLocks noChangeArrowheads="1"/>
                        </wps:cNvSpPr>
                        <wps:spPr bwMode="auto">
                          <a:xfrm>
                            <a:off x="99481" y="66320"/>
                            <a:ext cx="2761221" cy="379711"/>
                          </a:xfrm>
                          <a:prstGeom prst="rect">
                            <a:avLst/>
                          </a:prstGeom>
                          <a:noFill/>
                          <a:ln w="9525">
                            <a:noFill/>
                            <a:miter lim="800000"/>
                            <a:headEnd/>
                            <a:tailEnd/>
                          </a:ln>
                        </wps:spPr>
                        <wps:txbx>
                          <w:txbxContent>
                            <w:p w14:paraId="6125B160" w14:textId="77777777" w:rsidR="009545A7" w:rsidRPr="00C90C48" w:rsidRDefault="009545A7" w:rsidP="009545A7">
                              <w:pPr>
                                <w:spacing w:after="0" w:line="240" w:lineRule="auto"/>
                                <w:rPr>
                                  <w:rFonts w:ascii="Calibri" w:hAnsi="Calibri" w:cs="Calibri"/>
                                  <w:b/>
                                  <w:bCs/>
                                  <w:sz w:val="36"/>
                                  <w:szCs w:val="36"/>
                                </w:rPr>
                              </w:pPr>
                              <w:r w:rsidRPr="00C90C48">
                                <w:rPr>
                                  <w:rFonts w:ascii="Calibri" w:hAnsi="Calibri" w:cs="Calibri"/>
                                  <w:b/>
                                  <w:bCs/>
                                  <w:sz w:val="36"/>
                                  <w:szCs w:val="36"/>
                                </w:rPr>
                                <w:t>Engagement Snapshot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3650958C" id="Group 2065761324" o:spid="_x0000_s1030" alt="&quot;&quot;" style="position:absolute;left:0;text-align:left;margin-left:-5.35pt;margin-top:-98.55pt;width:601.3pt;height:843.55pt;z-index:251658273;mso-position-horizontal-relative:page;mso-position-vertical-relative:text;mso-width-relative:margin;mso-height-relative:margin" coordorigin="-640" coordsize="76373,10713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np8gqAMAAOgJAAAOAAAAZHJzL2Uyb0RvYy54bWzUVt9v&#10;2zYQfh+w/4Hge6JflmQZUYquaYIC3RYsLfZMU5RFVCI5ko6c/fU7kpLlOC22BtvDAkQmdbrjdx+/&#10;O/LqzWHo0SPThktR4+QyxogJKhsudjX+/On2Yo2RsUQ0pJeC1fiJGfzm+scfrka1YansZN8wjSCI&#10;MJtR1bizVm2iyNCODcRcSsUEGFupB2JhqndRo8kI0Yc+SuO4iEapG6UlZcbA25tgxNc+ftsyan9t&#10;W8Ms6msM2Kx/av/cumd0fUU2O01Ux+kEg7wCxUC4gEWPoW6IJWiv+YtQA6daGtnaSyqHSLYtp8zn&#10;ANkk8Vk2d1rulc9ltxl36kgTUHvG06vD0l8e77R6UPcamBjVDrjwM5fLodWD+wWU6OApezpSxg4W&#10;UXhZFlmRJ8AsBVsSl0kWr/PAKu2Aeud4UaziIsdo8abd+8W/zNYgknP/aF4/eoZKcbqB/4kKGL2g&#10;4u8lA152rxmeggz/KMZA9Je9uoBdU8TyLe+5ffIKhP1xoMTjPaf3OkyA1XuNeAOUVAlGggwgfbC7&#10;ZVFSedk5J/dd8CIuq4+SfjFIyHcdETv21iiQL4RwdEbPP/fTZ0tue65ued8jLe3v3HYPHVGwaOJV&#10;6YxTtqD9M+18hbCgyxtJ9wMTNhSaZj0kLoXpuDIY6Q0btgwy1B8aj5BsjKa/AWJXamnp9hTWSvO0&#10;CnIwVjNLuzmXGW8gzIAAvyK5JCtWEGcRzlF2eV4VJWjqm7IBQrWxd0wOyA0AJ0DzZJDHj8Y6GMsn&#10;E78BhecW6A7IYPC/EVuVQPmt8nU6S+5uamxp4fbguYT+NcW5ffuPBZZOEgoCg1RAbK+Q00kjyrMq&#10;gZ7kQ52IKsnSchZVksbrdOU+OfaiRTGvF9Wo4KQzcznC7EVBflcz93UOunZhl7YzKyGblfDJJfmT&#10;PKDFAolNTg9QfcgewDw3DKPOepHWcuwYaQBt6EcnriGOKx60HX+WDbQdsrfSF9vZGVJVqzU0RCjo&#10;osjS6fid+U/LIklTMLuizsqqTMJS80nwneyTjZCuI/o97gUaa1zlae5hnVgGbuEG0vOhxuvY/QVR&#10;uGTfi8Y7W8L7MAYl9AIE4bIP3cKN7GF78N3eq8W92crmCeiAXuzPTbggwaCT+k+MRqjJGps/9sQd&#10;Qf0HAZRWyWrlbid+sspLYAbpU8v21EIEhVA1thiF4TsLs9gnZtRboP6W+wa3IJkgg+78yF8nvK6n&#10;q4+7r5zO/VfLBe36LwAAAP//AwBQSwMECgAAAAAAAAAhAMg/jKekPQAApD0AABQAAABkcnMvbWVk&#10;aWEvaW1hZ2UxLnBuZ4lQTkcNChoKAAAADUlIRFIAAAUKAAAG3AgDAAAAbAxZxQAAAAFzUkdCAK7O&#10;HOkAAAAEZ0FNQQAAsY8L/GEFAAAC01BMVEUAAADf////39/////f7//v79/v7+///+/f9PTq9PT0&#10;6ur///Tn7/fn9/f37+f3/+/m8vny7Ob5+fLk9Prq7/T06uT6+u/o8fb27ej6+vHn8/fz6+fq8fT0&#10;7eb7+/Hp8vX17Ob5/PLo8fbz6+X5/PHn8vf07Of6/PL16+b6+vDk9Pjo8fb07eb6+vHj9Pfo8Pf0&#10;7Ob7+/Dj9ffp8ff17ef7+/Hq9Pf27uj7/fTq8/j27ej7/fPp8/j17uf8/fPl9fnq8vf17ef8/fLq&#10;8/f27uj8/PPl9fnp8vj17uj8/PLl9fjp8vj17ef7/PLk9vjq8/f27uf7/PPk9fnp8vf17ef7/PLk&#10;9fnp8/j17uj7/fPk9vj27ef7/fLp8vf17ef8/fLl9fjp8vf17ef7/PLk9fnp8vj17ej7/PLp8vf1&#10;7ef7/PLj9Pfj9fjk9Pjk9ffk9fjk9fnk9vnl9fjl9fnl9vnm9vnn9vno8ffo8vfo9vno9/np8fbp&#10;8ffp8vbp8vfp8vjp8/fp8/jp9/rq8vfq8/fq8/jq9/rr8/jr+Prs9Pjs+Prt9Pjt+Pvu9fnu+fvv&#10;9vnv9vrv+fvw9vrw+vzx+vvx+vzy9/ry+Pvy+vvz+Pvz+vz07Ob07ef0+Pv0+fv0+/z17Ob17Of1&#10;7ef17uf17uj1+fv1+/z27ef27uj27un27+n27+r2+fv2+vz2/P338Ov38ez3+vz3/P348u348u74&#10;8+/4+/z4/P359PD59fH5+/z5/P35/f369fL69vP69/T6/PH6/PL6/P36/f779/X7+Pb7+/H7+/L7&#10;/PH7/PL7/PP7/P37/fL7/fP7/f78+ff8+vj8+vn8/PL8/PP8/fT8/fX8/fb8/f78/v79+/r9/Pv9&#10;/fb9/ff9/fj9/fn9/vf9/vj9/vn9/vr9/vv9/v79/v/+/fz+/f3+/vv+/vz+/v3+/v7+//3+////&#10;/v7///7///9Uus0OAAAAa3RSTlMACAgIEBAQEBgYGBggICAgKCgoMDAwMDg4OEBASEhIUFBQWFhY&#10;YGBgaGhwcHBweHh4eICAgICHh4ePj4+Xl5efn5+fp6enr6+vr7e3t7e/v7+/x8fHx8/Pz8/X19ff&#10;39/n5+fn7+/v7/f394ewUBAAAAAJcEhZcwAAFxEAABcRAcom8z8AADnjSURBVHhe7d2P36x3Xd/5&#10;8KOyiovAulurlrK16qp1tUKl/qyuu1W7VXS3LO1a6yqLRflhCJAfEMJJThqPMSbGHNqY3WO2XXp2&#10;QQyYIxxsYlAgagIEjoUYxPDTIGE9cP6E/c7c7/Nj7sw991z3Pdd8v/O9n8+HMvfJNZ/7x9z3vOa6&#10;Zq7rmosWOQPQlcRtmMwCdCJxGyazAJ1I3IbJLEAnErdhMgvQicRtmMwCdCJxGyazAJ1I3IbJLEAn&#10;ErdhMgvQicRtmMwCdCJxGyazAJ1I3IbJLEAnErdhMgvQicRtmMwCdCJxGyazAJ1I3IbJLEAnErdh&#10;MgvQicRtmMwCdCJxGyazAJ1I3IbJLEAnErdhMgvQicRtmMwCdCJxGyazAJ1I3IbJLEAnErdhMgvQ&#10;icRtmMwCdCJxGyazAJ1I3IbJLEAnErdhMgvQicRtmMwCdCJxGyazAJ1I3IbJLEAnErdhMgvQicRt&#10;mMwCdCJxGyazAJ1I3IbJLEAnErdhMgvQicRtmMwCdCJxGyazAJ1I3IbJLEAnErdhMgvQicRtmMwC&#10;dCJxGyazAJ1I3IbJLEAnErdhMgvQicRtmMwCdCJxGyazAJ1I3IbJLEAnErdhMgvQicRtmMwCdCJx&#10;GyazAJ1I3IbJLEAnErdhMgvQicRtmMwCdCJxGyazAJ1I3IbJLEAnErdhMgvQicRtmMwCdCJxGyaz&#10;AJ1I3IbJLEAnErdhMgvQicRtmMwCdCJxGyazAJ1I3IbJLEAnErdhMgvQicRtmMwCdCJxGyazAJ1I&#10;3IbJLEAnErdhMgvQicRtmMwCdCJxGyazAJ1I3IbJLEAnErdhMgvQicRtmMwCdCJxGyazAJ1I3IbJ&#10;LEAnErdhMgvQicRtmMwCdCJxGyazQFWn75pxOv+ZPUjchsksMKr33nXXbx079us33XTTVYP9cpma&#10;+I1jb77rXfl87CxxGyazwDj+9Ld//aZfTNNW4pduOvZbd+WTM0/iNkxmgdW769ivrbSCFyhBfPuf&#10;5sswK3EbJrPAar3rN34l1RrPv77p2H98b74e5yRuA+T2BFbq8tfkg/U4dG0+YGJvKbyy3I5b8wx0&#10;qCgXV151+da/V2zy6S+Q/9qMyff0unzMjMtr/rJ2/628bvr3tMnKTTwJ146sFdZzuPz5LfrdLO1w&#10;e81bzqZ+36t2+eF8wOgOXbvDuvfwFP7tTLIih656bT4a6HA/IZk08bUjrSi37fLXeDio4NBVl+Wj&#10;cwan8DsyyGrN+d3soATj2m7vPocOXZ2PDgIZrOvQ1Rfc6Yam8PsyxygWP2VT1h4Pzn1n66boeEVR&#10;BhuRl48GpvDbp0OsUZ7yZUa5Tc4+aqzk6VYOtsOHXzsshV+dQWjKxjzXeOVrDnuJpE2/9C1fnMwt&#10;4/mZgkZtRbHRNUVr90174Venc7v7poxA8/KsQitRVMFN8KyUblfPzQBskNpR7Pf1/v784OPSusW+&#10;KFeHzTTZVWfNB7flkg3xA4ndYnauphej7754+VW7HcpGk74vtVvoWbky9OLQoVW/oHvl2Q1yNtM3&#10;JXeLfHeuC91ZRRM7OhLyAHvRU9O7BX4g14V+PbaJO+2uePZ1GPvA9+UH07sFHH4MdO/LE7ydfUuu&#10;CdCtb0nwduawO6B7u28hP+5FuSpAr56b4C3wg7kqQK+WSOGX56oAvfof07tFrBYCnfuO5G6Rp74w&#10;Vwbo01Ln6vpKr5zA2m3bh3vBOWq3v2WYvb8He35it4uv1UJYl8MrOo/OZVcr4tK+Mq3bzVfaRobx&#10;5c2HVmiP7zF70CzzTOGWL/XeDDCqw1ePd57Zy2wyL7TUSbriqisP0lvVwnodXsfpti/3LOJ8y68T&#10;FpOBVt4xYvNcPe5pTA5PTpMy1eTK+9a3l3/wGIfW/aZ95euV+/K101/LsjK6SZb9rl/4txK55WSK&#10;/Vllqqbha/Z93ua5vHyz5Q6Yf1Eces26O3jgvGaXt5n5wS9N45aUMfat/Onv82yfhxbtV7ERNHFC&#10;BtdopyA+d9mXjs/JICvzmqsGb84ePnTtZfmwG6UGB7CJh6+WwRq2BfHQ1W9P3wbILKt15WuXWkWc&#10;NvAA3HdsPLM+kzvUmfRtgK1hxjdbvPIvr1ZNTFaHN/Tp+wtIfWOkkM23YVk8vKqDSFghKaQPl0+O&#10;pjjcfBS9O3KrpJAOXTbZfzMfN8QTHA2TQjrXxq463b3e3x0p5OCo1EQrg5tACjloLts6Omd85as4&#10;G8zGkEIOrMvG2ngun9Wa4KaRQg66K696zapeZSmfxKEjG0oK4ZzJtvPQJk729p5scNtXcLNJIYAU&#10;AkghQCGFAFIIIIUAhRQCSCGAFAIUUggghQBSCFBIIYAUAkghQCGFAFIIIIUAhRQCSCGAFAIUUggg&#10;hQBSCFBIIYAUAkghQCGFAFIIIIUAhRQCSCGAFAIUUggghQBSCFBIIYAUAkghQCGFAFIIIIUAhRQC&#10;SCGAFAIUUggghQBSCFBIIYAUAkghQCGFAFIIIIUAhRQCSCGAFAIUUggghQBSCFBIIYAUAkghQCGF&#10;AFIIIIUAhRQCSCGAFAIUUggghQBSCFBIIYAUAkghQCGFAFIIIIUAhRQCSCGAFAIUUggghQBSCFBI&#10;IYAUAkghQCGFAFIIIIUAhRQCSCGAFAIUUggghQBSCFBIIYAUAkghQCGFAFIIIIUAhRQCSCGAFAIU&#10;UggghQBSCFBIIYAUAkghQCGFAFIIIIUAhRQCSCGAFAIUUggghQBSCFBIIYAUAkghQCGFAFIIIIUA&#10;hRQCSCGAFAIUUggghQBSCFBIIYAUAkghQCGFAFIIIIUAhRQCSCGAFAIUUggghQBSCFBIIYAUAkgh&#10;QCGFAFIIIIUAhRQCSCGAFAIUUggghQBSCFBIIYAUAkghQCGFAFIIIIUAhRQCSCGAFAIUUggghQBS&#10;CFBIIYAUAkghQCGFAFIIIIUAhRQCSCGAFAIUUggghQBSCFBIIYAUAkghQCGFAFIIIIUAhRQCSCGA&#10;FAIUUggghQBSCFBIIYAUAkghQCGFAFIIIIUAhRQCSCGAFAIUUggghQBSCFBIIYAUAkghQCGFAFII&#10;IIUAhRQCSCGAFAIUUggghQBSCFBIIYAUAkghQCGFAFIIIIUAhRQCSCGAFAIUUggghQBSCFBIIYAU&#10;AkghQCGFAFIIIIUAhRQCSCGAFAIUUggghQBSCFBIIYAUAkghQCGFAFIIIIUAhRQCSCGAFAIUUggg&#10;hQBSCFBIIYAUAkghQCGFAFIIIIUAhRQCSCGAFAIUUggghQBSCFBIIYAUAkghQCGFAFIIIIUAhRQC&#10;SCGAFAIUUggghQBSCFBIIYAUAkghQCGFAFIIIIUAhRQCSCGAFAIUUggghQBSCFBIIYAUAkghQCGF&#10;AFIIIIUAhRQCSCGAFAIUUggghWM6NHE4/xiqjF571VWvyb+AUUnhyl2ey1U6lEtgHFK4OqWBoybr&#10;0LVXjpFZQApXZOwKnnf4cjmE1RsthRt+h13q27/20KEqW66vyyWPcVku92v6NO9KXJ3PODXyU78e&#10;Jffs8qv+NH0bILNzXe5uuiaHrn7NlfnwYLvsqqvrPCDtT4nk9HIFv8TyKTbwBmjP85/1xUncsjI4&#10;o/w2rvbrWLtDVx3IZw+vvOq151vSgUN7XJ2b3Ar5kFV40bd/USK3nIyFX0dtB+nmv7af/m13+NC1&#10;kzvTUi4vDwT5kJX6yaemckvJ0FWXX25FkNFNVpgO0t/Z4cmeqNufUzzXSAkc2Qu/OplbxnTics8J&#10;NufQ4U3bIXt6Dz9cNnX3uh86rNgLvzydW0K5ur/cZjVflZK/jjdz2Xg/ufyLJ5mgXYcbS438sTm+&#10;I6Hb1RdlABaRPzbTi5Z86eRLfzIDMJf+sdm+O61bTAk30eFDV69iX94FNnI3Z5jnpxO7hb5YCTfZ&#10;Cns1LWtHuznDOX89uVvkubkuG21yKsRzu6oNc/lk2h4E9Oxrk7sFvilXpR9lzW5HuQocKM9K73b2&#10;uJ/OVQF69X0J3s6+NtcE6Na3J3g7+4FcE6Bb35Tg7czLx0D3/laCtzMpBHr3ot3PWiiFQO+em94t&#10;8D/nqgC92n37+KLvzlUBOvX85G6Rv57rAnRqqfNYPz9XBujS7oeaTFgtHGZfx6458A3WbvcjTbZ8&#10;S67PYqur2ORNbp39ANZj6VNYX/SsTLCDsc6lbw0RxvbTS5yT5py//aJMMWv89xPxZqswohc+a9g7&#10;wn955ijW/nzea60ersDkBGRrla9Lsw4d+vWvTOGWd9XVmd6Bp7bGNnmXdC4wac0eT0W7dldO3/D9&#10;8IrzWD7duO/Y0L8z6dsA5bc5/9fo17FWrb3D59ptBXDjHxf292s89DqPjKuxpxROvG7rYsvrJg90&#10;ML7JexFclo/7cdm064OU67vTrdIeUlicmTh915bpP6jlL97+Gzd1/pTE4Ztu+jfHjv3Hu96VH7lX&#10;773rzcf+7U2/lJ96jl++aeLfHnu7O90IErdhMksr3vvmf/MrubtsmtK5m3712LFj/6E8qr63/Ch/&#10;sfUAW0z+dVA9kNtg6v/Lf2RUidswmaUp73rzr9+UvjSu1K/Er9zJ851DfYnbMJmlPe/97Ua3l+WP&#10;tiVuw2SWRv3p24/96i8mQTXJH5sjcRsms7TsL+469msLnoIfzS/edNNvHHvzXXedzvcBGyFxGyaz&#10;tO+9d/2HY792079Opsbzy5MVwN+y/sfGStyGySyb4713HTv2qyt/FvFXbvq1Y8d+u/u9XDgIErdh&#10;MsvmeVdJ4k37e6H58GTXtmN33fVAPiX0IHEbJrNsrsn+ar997JxfvelCZVVvvjfbyY1eJW7DZBag&#10;E4nbMJkF6ETiNkxmATqRuA2TWYBOJG7DnDnzqY9/6L6J+x988OMPP/ypRx/NpwPYRInbIE96+P5p&#10;B7d58MEHH374Y48++rl8aoBNkboN8YwXpH07+9CDD37i4Yc/bWUR2AzJ2wDfkNwta7qyaBMaaFn6&#10;trxvTuH2oKwriiLQogRuac9I1vanRPHPH5747KOFJxeBylK4ZT355xOz1ftw2ZIWSKCKJG5Z35Vu&#10;rc39k0BOfXxayelr1FNfyE8AsG9J3JJGXCncs/Ox/GRiOXk+MvJTUpMHLTZAGrekoa8et2O6+T2x&#10;tQk+kVpav9xVbqep3Hjn/Hlu1/Nyiy/0oVz3vI/m811g+jzJjL/KNwQrl8Yt6Ufyl9ypg7KC+YX8&#10;SBOfyg86cWHW5u5F35Szv61PbH3znjhhX9K4JTW4fbx+51Yw567KnF/ZnMrNPJYLo/boox/LtzD1&#10;yXyPW9ov24rlt7R1WySTVirZWRq3nCflz4y9Ob/WOXF+U33i/Opn8en8xy2z26D5XOxZqeTWsVBW&#10;IDkvkVvOf5W/JejEVhbL45AsHnSJ3HL+Rv5+oENbR87L4gGVyC3nyfmbgc59+MHJs765k3AQJHJL&#10;yt8JHAz3P/jxsppoLfEgSOOW9Lz8hcCB8uEHP2klsXNp3JL+Xv4y4ECa7HH6WUnsUhq3pKfnLwIO&#10;tMla4qdtOHcljVvWD+dPAZgk8ROS2Ikkbllf5ngTeIwPTU+c9OlHPZ+4uZK4pe3jJNZwIEwOKpoc&#10;GD05nUTuZrQvhVve9+b3DSzjbBmnB0Lblm5WAre8J2gh7MvkUPLpEejTA89zT6SyBG4I28iwWtMT&#10;dUxWHbdO0pg7Z1sm39jw7+2vMraD2ROPXGj2zEpT0xto4uwJ2eZ+N1lS5NrFR/MZtimf8PynSN4G&#10;efpH8wsERjI9u+30vJnTu3Xur6ObfrGzZ7Gc9uLBD+U76taHH3y43L6p2zBnPvfJ7m8eaM1WmaaR&#10;2lov2vsJGKfjWSXbWmX6cL7IAfWhh5+Uug2xNfvH9/3hfff9yf0H7pyg0Jb33T/x/vxrgXJvvf/+&#10;9+UfbPOCZ6RvA2R0m/ILcStDM6ylDPT3E7jlZXCuP5r+331WFoENM7iFmVvCH0xXFvMPgJZ9fRK3&#10;rIwN80f3vd8WNNCwf/XkNG5JGdur38/zt/knQBu+K41bUqZWbeuFsPwDYN1+fthqYabWpmxZR/4D&#10;wBiGvXKSoWZsrU5O5D8A7MWPJ3LLydBm+MNcCubqnb9Jz8qC8yZ7Vk2d+z2cc35l/5wsgVp+PpFb&#10;ToZ6cu6OeoA3xvNzT+S/TJ2LWXHhx+vx2K/4+7k8/7vKP2EFBh1/l5mDLHfCaG8foXxjscQxWd3J&#10;Gqvdtxjmy1K5pWSGpc1uHU53JTon/3G+XGfLn+Q/bln/GtoGy42V34MVSXYkhRw8kzLKIjOekMot&#10;JTPQiT+erjc6zRL3vSCRW06GoEMli/e9z3OMB9V/l8gtJ0PQuf9kNfGgGXbSwgzBwfB+W84HxU8N&#10;eqpQCjmgJLF3/3Uat6RMwQGliJ36kSRuWRmDg+39ktiXnxr6Vk+ZAyYmRwDmQzbYTw3avXoig8Ac&#10;yriZnjf87T8zCexuetaIfEyz7h/6viYTmQWGmhzsN42jnbhb8iefOpO6DZJpYH8mh7ZMWXW8wOS2&#10;2MEeHkAyOV9ZvnWqjjNSCM2ZnpOx/nuhTWOx7YRIE3+Qy5rOnZhp9qxPeyaFsBEm9/its7tt/Xtl&#10;pp/z7CddUVc2kBTC5tpaPZtuXC9TyMnVput4B7d4O5JC6MnWk48Xpu78GyCwgBQCSCGAFAIUUggg&#10;hQBSCFBIIYAUAkghQCGFAFIIIIUAhRQCSCGAFAIUUggghQBSCFBIIYAUAkghQCGFAFIIIIUAhRQC&#10;SCGAFAIUUggghQBSCFBIIYAUAkghQCGFAFIIIIUAhRQCSCGAFAIUUggghQBSCFBIIYAUAkghQCGF&#10;AFIIIIUAhRQCSCGAFAIUUggghQBSCFBIIYAUAkghQCGFAFIIIIUAhRQCSCGAFAIUUggghQBSCFBI&#10;IYAUAkghQCGFAFIIIIUAhRQCSCGAFAIUUggghQBSCFBIIYAUAkghQCGFAFIIIIUAhRQCSCGAFAIU&#10;UggghQBSCFBIIYAUAkghQCGFAFIIIIUAhRQCSCGAFAIUUggghQBSCFBIIYAUAkghQCGFAFIIIIUA&#10;hRQCSCGAFAIUUggghQBSCFBIIYAUAkghQCGFAFIIIIUAhRQCSCGAFAIUUggghQBSCFBIIYAUAkgh&#10;QCGFAFIIIIUAhRQCSCGAFAIUUggghQBSCFBIIYAUAkghQCGFAFIIIIUAhRQCSCGAFAIUUggghQBS&#10;CFBIIYAUAkghQCGFAFIIIIUAhRQCSCGAFAIUUggghQBSCFBIIYAUAkghQCGFAFIIIIUAhRQCSCGA&#10;FAIUUggghQBSCFBIIYAUAkghQCGFAFIIIIUAhRQCSCGAFAIUUggghQBSCFBIIYAUAkghQCGFAFII&#10;IIUAhRQCSCGAFAIUUggghQBSCFBIIYAUAkghQCGFAFIIIIUAhRQCSCGAFAIUUggghQBSCFBIIYAU&#10;AkghQCGFAFIIIIUAhRQCSCGAFAIUUggghQBSCFBIIYAUAkghQCGFAFIIIIUAhRQCSCGAFAIUUggg&#10;hQBSCFBIIYAUAkghQCGFAFIIIIUAhRQCSCGAFAIUUggghQBSCFBIIYAUAkghQCGFAFIIIIUAhRQC&#10;SCGAFAIUUggghQBSCFBIIYAUAkghQCGFAFIIIIUAhRQCSCGAFAIUUggghQBSCFBIIYAUAkghQCGF&#10;AFIIIIUAhRQCSCGAFAIUUggghQBSCFBIIYAUAkghQCGFAFIIIIUAhRQCSCGAFAIUUggghQBSCFBI&#10;IYAUAkghQCGFAFIIIIUAhRQCSCGAFAIUUggghQBSCFBIIYAUAkghQCGFAFIIIIUAhRQCSCGAFAIU&#10;UggghQBSCFBIIYAUAkghQCGFAFI4ij8s///++7fbWra7902v/f7px39w331/PP0AGJMUrkyp1vK5&#10;G+b++9+Xj4BRSOEe/NGFF0PW9/Yt64q0rjwusjGm9+SVpfD3p5uEVl7WorR3sg3O9LmEfLxBJt/1&#10;1n1lP7/G6TMnk+dhpv9iP973/n2mcFJTv4iKylriwVj/mP6U/2lSkOk/ezP9qZbI4tbzxpMHgOkH&#10;rNCHPpu6DTJZB7QC2I73beSGc+76eX3J39MFtm6SLflPjO6Hn5S+LevJ3/DjGaU177v/T/JRW6bV&#10;mzZv+k9o0b94ehq3lCf8g4zRsjpNnGy/TTdlt/YHmnwEm+MFT07mlvD0f54hNkRJUtl6zove45g8&#10;h5cPYZM97wkJ3a6+/uczwkYqa2uTiz291HJ2V+8NfdUWlvDNKd1uvj7XB+jQv1puE1kJga79g8Ru&#10;oWfkygB9+hep3SJP9zwh0LkvS+8W+OFcFaBXX5/e7ezpuSZAt/5egrezv59rAnTrexO8nf1IrgnQ&#10;re9K8HbmMBOge7tvIP9UrgnQrb+T4O3M6WiA7u1+uMn35poAvXpeerfA38lVAXq1xPkYnuBgE6Bv&#10;L1jmLF3fnCsD9OkbUrvFnpdrA/Toh9O6XTzJroVAv/75siexfpL1QqBXP778W9494X/IDLv68INn&#10;PTzYn0/n8omAddj9kLsLfbPXkRe4f9q9zz766JlV+cKjn3344Qcf9F4iMK4HH03jlvVkp2W40Iem&#10;629b/fur5GsUjz46SWK+KrBC9z/4sc+dOZPELe8ZOx2CV9aJPlqi8KlHp76Q+/DG+MLW972sUcO3&#10;s621xNziB97kcegTk6cU8kup9mtZJN/Zlk9PvtvyGyw+lB9ifz48fST+2NZn37g7XVMSuEH+xscm&#10;z2ZNfxNlteiT07/EfDrW49FHP/bwRw/WhnN5qL0gfH3c68vj71YZB3Wx5O/j0/xJ3yqlbsNkluo+&#10;9+inHv74gx/OfWTzbD3DkMTNNd3KyE/bt/JzlnX+qa0XziYbWedlcytXZuUSt2EySzsmq4mfaLqJ&#10;03v39E792cld2hoNbUnchsksDWqgidNN2Qf/fFK9rSex8q1BwxK3YTJLyyZNLFEcfVecc8/hTbOX&#10;Lw6bJnEbJrNsisnL4ysK49nwdfTiBRSJ2zCZZTN9blKxPRA+Opa4DZNZgE4kbsNkFqATidswmQXo&#10;ROI2TGYBOpG4DZNZgE4kbsNkFqATidswmQXoROI2TGYBOpG4DZNZgE4kbsNklr34fC6BhiRuw2SW&#10;OU6duveee952onjrv9+zt07m7yneeerUX+YTAyNK3IbJLOd95NQ995w48ZtJ2Wq95cTv3nPvqXwh&#10;YAyJ2zCZPdA+c6r4QFlxe8eJE29Js8b1myd+755Tf5Yvz1g+P/nFrsLn8gnZDInbMJmdMd0w/J3J&#10;hl3uuZttuom6gzfmOnW89XfKKqK72Zk/K7V5z9ZDUfGG3Dpt+83Jt5onPlbx1MdHJg/G02djNuPn&#10;b9Rb33Zv+V0kbsPkF3HmzF+eOvXO8TYMWeDE2w5YET9X4lEebafpe1NuhM134sTv3vOeU4NW9stq&#10;a7kd3rGf56J5jLd9JnEbpmwefrA8GOWTUM8bShHfc+ozuZNsrB03SssDbXmkPRD3+jdsrTDem598&#10;xuQhYKI8DFj9G8kbnp26DfC05/h9tOYt5V70wU1YSfxIuWNPnmHd2qyzZkM7fuivpXDL+ZJn/0QG&#10;adBbpy82N7Pr4kz4ZI+2/dPHp3LL+Js/kymaNtnWOvWRBGltJuUTPjbW9ydzu3v8czLCZnjjiRPv&#10;uGfo0/LL6/OVDA6uZ6Z0u3n8j2WADfSmEyfeNt2LYx8ri5OXN862L58W+vEzy20iP/6f5PpsvLeU&#10;lg3ltTK693cTu4WUEOjbj6V2C31PrgzQqSV2qHlmrgrQq69J7xb4Z7kqQK92f7Lwq3JNgG59Z4K3&#10;M3sUAt37ngRvZ3YpBLq3+0kZHHkMdO/rErydSSHQvacleDuzfzXQu3+Z3i3wnbkqQK+ek94t8BW5&#10;KkCnfu5L0rtF7GIN9G33vQoLq4VA135iuXN0fWuuDtChn31KWrebZ2cAoDs/81+mdLv7b34uMwB9&#10;+WfLvGRy1lf9bKYAevLORG5JT/mhzAF05Ewat7SvcgQe0J3BKbzookwCdEMKAaQQQAoBCikEkEIA&#10;KQQopBBACgGkEKCQQgApBJBCgEIKAaQQQAoBCikEkEIAKQQopBBACgGkEKCQQgApBJBCgEIKAaQQ&#10;QAoBCikEkEIAKQQopBBACgGkEKCQQgApBJBCgEIKAaQQQAoBCikEkEIAKQQopBBACgGkEKCQQgAp&#10;BJBCgEIKAaQQQAoBCikEkEIAKQQopBBACgGkEKCQQgApBJBCgEIKAaQQQAoBCikEkEIAKQQopBBA&#10;CgGkEKCQQgApBJBCgEIKAaQQQAoBCikEkEIAKQQopBBACgGkEKCQQgApBJBCgEIKAaQQQAoBCikE&#10;kEIAKQQopBBACgGkEKCQQgApBJBCgEIKAaQQQAoBCikEkEIAKQQopBBACgGkEKCQQgApBJBCgEIK&#10;AaQQQAoBCikEkEIAKQQopBBACgGkEKCQQgApBJBCgEIKAaQQQAoBCikEkEIAKQQopBBACgGkEKCQ&#10;QgApBJBCgEIKAaQQQAoBCikEkEIAKQQopBBACgGkEKCQQgApBJBCgEIKAaQQQAoBCikEkEIAKQQo&#10;pBBACgGkEKCQQgApBJBCgEIKAaQQQAoBCikEkEIAKQQopBBACgGkEKCQQgApBJBCgEIKAaQQQAoB&#10;CikEkEIAKQQopBBACgGkEKCQQgApBJBCgEIKAaQQQAoBCikEkEIAKQQopBBACgGkEKCQQgApBJBC&#10;gEIKAaQQQAoBCikEkEIAKQQopBBACgGkEKCQQgApBJBCgEIKAaQQQAoBCikEkEIAKQQopBBACgGk&#10;EKCQQgApBJBCgEIKoWP/Ry7ZjRQCSCG0oKy9/d/5cGz/LpfMGJjCp33rd/5YJhnu/83l6v8Yz35m&#10;Ns+6Enig7f5EwZAUPv7Z/zJT7Ns+/v7/z3///+QjNprHr5YMSOHX/ExmWC8bNDC6pVP4+O/JBFR0&#10;4dr0pj1G/DvrgQ1bNoWP/ycZgDa9ofx/m3GUwKbl0XXZFH7n1tVhc9SOo336NsmSKXxmrg6bbfQ8&#10;lfZ6XWsTLZfCx3vFhC79X+X/V7LiOPlEbLLlUvh3c23gPE8BdmS5FP5Erg3QpXsTu4WekisDdOpv&#10;JneL2D4GOvezX5LeLfCcXBegV9+f3i3w3+eqAN16SoK3MyejAbr3dQnezr4/1wTo1vckeDt7dq4J&#10;0K0fSvB29nW5JkC3fizB29lf+7lcFaBXS7yE7HUToHffmt4t4MQ0QO+elt4tYrUQ6Ns/Te0Weppn&#10;C4GufUVqt9jX5NoAPXpOWrebb831AfrzjpRud8/82YwA63Fi4vfuGWg6Vbwpn4Ul/N6yb/NUPOWH&#10;MgSM5k0n3nHPe0595MxK/NmpU/fc844TJ/K52cEb7j0zIIUXXfRV3+89TmAkbygN/OCKEvgYnz/1&#10;gXvu+d0TJ34zX4wLvWVys6dyy/qKZz67yIo4A/zedJvljbntV+xN008+9Y58vcaUNZOJt+Yb5gJv&#10;LL+0e099fqtZa1BWFScri8XWL2UJvzu9+sbZutPt9kTBG985vVmSuGGmk+zNRyaPz2/b3zbLW7eK&#10;d+/kbzqfdnN8rnzT5SaY/p0e8DSeeFvZFv7L3C6M5zOT9peV4jmrIm+953Nb10nchtkaZZ9KE+5d&#10;vopvLOUoAfnAqT/LeC8OYBon64EfOJW7IOv0+emd7ncma4vlb+49FzwhkbgNk1lWZ7J+d075XZ33&#10;gcl/+UyudhBM0jhzC8zIlvaGvjr6lrKp+cHNW5E/EBK3YTILVU2e9Prg2T42vUI5SeC9NoWblrgN&#10;k1loTGtxnGwJezZwMyRuw2QWmveREsdJG99W2jjS6/dzvGXyTNSqdg5kLRK3YTILG2eSxneWNK5+&#10;rfGt0wNDPnDKSuBmStyGySxsus9kpbGUcejux9mZswyX/Hk1eOMlbsNkFqATidswmQXoROI2TGYB&#10;OpG4DZNZgE4kbsNkFqATidswmQXoROI2TGYBOpG4DZNZgE4kbsNkFliRu+88evToLUfmu+XobSdP&#10;ns41GUfiNkxmgf06ecfRm49c+gvLuOLI9UeP3nnyoUyyUonbMJllszySS9rw0PFbjlySyg1zyZEj&#10;rz969KQorlLiNkxmadJDJ48eLRtVr87dZgfXlDWM4za6Knnk5NHrX5XfxP4cOXLjZE3x3fnE7Fni&#10;Nkxmac3pO4/esNy21lmXXl/uR5lmLU7eevMuD1N7c82RIzccLW6b/M/EHSdPPpCvuQ6PnCzb+hO3&#10;ntxydxZsiMRtWU/9xm/7hz/6o1vP5bamPDreuvsmw8mTk+enr8/Mitw8+Quovb1y8uiR3CmGe1X5&#10;IW6Z/BBn3bj1g43l+vIl7tzPmszp40dvmH6mW247uTkb/mWT+Lrc4msz+eu8ddS1xodO3nbLkWvy&#10;5WZcUr72vn7N65TELeWJ3/a/5kds2PTWn/N49MDJcvfe2zMzA5SkHC3bnet+PHygwl1sFa65odxY&#10;+RkGeOT4DfkEWya/8+NZFRnD1qND3LnHda0Hjt98Rb7fOq6bPGLnJ1qNW4++ftcnYiYuPXLL2TXF&#10;psyuuqRyy/jG/z0/2SaYrOZMVj2mrj+y/j/CV5//8hO3lVt+lK2V0yt71qmaS2+8bdBNc0cLP+91&#10;ZSvk+LIPee++/cZhz1uwHtccPf+Xl8zt7on/ONPsx/T5nLIGs5KNurtvv3kjVwbnuO74sq/gnL45&#10;I0247uajC58XeaisO8lgy244G8OEbldP/F8yyapMq3j7yb29aFE2iff+zGCTrrgjP9piD819Ugr2&#10;7Natv6yUbjeP+9GMMYLpxvQdy21AP3Ly+Dqe9KzhyDJPsF+fK8Oq3DjdIknqdvMPM8S4tl7um++O&#10;o0eP9LI9PN8ld05rt8jtuSqszo2TP62kbhf/RUZgTK/abb3wgS5Xh6nt9eVvK63bxT/KBIzq0l12&#10;zbR5zCjKY3Bat9hTc30Y2TVp3nwP5VqwWtcvmcL/NteHsS3cVe+2XAlW7ORyKfyfcnUY2/QZ7J00&#10;tUshPblluRT+b7k6jO2SRc8W2qeQkVyxXApzbRjf7cnePHUP4qVnDyV2C/3nuTKM7+Zkbx4pZCx3&#10;p3aL5cowvuuTvXn63sOcmu5I7BbzXCGjecnkf148/XDqSLI3z41bV5mOTP8HVmS5FHoFmZFcnMvz&#10;Hy1K4fGy/GVbVysuPv8h7NNyG8j2K2R8aeEtyd48py996fl2Trw0l7BPS71s4mgTxvDKXM46nuzN&#10;88hjTpn8ilzCvlyy3M40tpBZi8nJFhbsV/jQnJPHz64lwt68fMkUOjMNa3HJoqcKT3sBmdEsmULn&#10;K2RNFpyycIfD7py3i317xdIpfJxNZNZi59P6vzvXOHg8CbAGy6bwov9sA973k82x48sdV+z4dk9d&#10;bx4v8/KPIo7mZQNSeNETvbsJ67DTK8h3Z3lvBm/f27d8FMuncMPeB/mge/WRG7fefHmb43lf5tcf&#10;qfpmwgv2B9zpGOSjWd6PFa3lWVlciSEpvOiJ32YreRNc/PJlVxzm79lX16uSvu0WnKBrE2Nw8Sgr&#10;d7K4B1uPy4NSWDz1G7+t2Rfs9vhn0NkLkHu4FV78C7/w8nzYgh12LOzn9/SKHo+Reeyv58Wbsf/7&#10;2W98aAqLTDbpJbus55Qf+4ID/1dt+qnr3WMv7iQW89/17pEsnWtzfvJa6+Fj1bfc8rs8jG47VLJZ&#10;naUw5uSu7wO0utouOpn4zWpsV5pXDr/JL3aQYMv6TGGjXjJ9EF15tlrauF2F+Sk8maUbqfzaR9wa&#10;YRWksI6RqtiFjUvhoo1PBdwUUtiAUsTBUWzxtd8V6XCtkPZJYUOWOBPp5PWB3nexlUIqkEJaI4VU&#10;IIW0RgqpQAppjRRSgRTSGimkAimkNVJIBVJIa6SQCqSQ1kghFUghrZFCKpBCWiOFVCCFtEYKqUAK&#10;aY0UUoEU0hoppAIppDVSSAVSSGukkAqkkNZIIRVIIa2RQiqQQlojhVQghbRGCqlACmmNFFKBFNIa&#10;KaQCKaQ1UkgFUkhrpJAKpJDWSCEVSCGtkUIqkEJaI4VUIIW0RgqpQAppjRRSgRTSGimkAimkNVJI&#10;BVJIa6SQCqSQ1kghFUghrZFCKpBCWiOFVCCFtEYKqUAKaY0UUoEU0hoppAIppDVSSAVSSGukkAqk&#10;kNZIIRVIIa2RQiqQQlojhVQghbRGCqlACmmNFFKBFNIaKaQCKaQ1UkgFUkhrpJAKpJDWSCEVSCGt&#10;kUIqkEJaI4VUIIW0RgqpQAppjRRSgRTSGimkAimkNVJIBVJIa6SQCqSQ1kghFUghrZFCKpBCWiOF&#10;VCCFtEYKqUAKaY0UUoEU0hoppAIppDVSSAVSSGukkAqkkNZIIRVIIa2RQiqQQlojhVQghbRGCqlA&#10;CmmNFFKBFNIaKaQCKaQ1UkgFUkhrpJAKpJDWSCEVSCGtkUIqkEJaI4VUIIW0RgqpQAppjRRSgRTS&#10;GimkAimkNVJIBVJIa6SQCqSQ1kghFUghrZFCKpBCWiOFVCCFtEYKqUAKaY0UUoEU0hoppAIppDVS&#10;SAVSSGukkAqkkNZIIRVIIa2RQiqQQlojhVQghbRGCqlACmmNFFKBFNIaKaQCKaQ1UkgFUkhrpJAK&#10;pJDWSCEVSCGtkUIqkEJaI4VUIIW0RgqpQAppjRRSgRTSGimkAimkNVJIBVJIa6SQCqSQ1sxP4fEs&#10;hVFIIa25O/GbdWuWwiikkAouzuVcDyV+s27OUhiFFFLBK3M5V9q3zZEsnWdhWWEZUkhjXpX2bXNF&#10;Fs8jheybFNKY69K+bbJ0roUrmbAMKaQxN6d9sx7K0rlelkvYMymkMbcmfrPsVsi4pJDGHE/8Ztmt&#10;kHFJIY2xWyE1SCGNmb9b4dEshXFIIY1J+7ZZlMJLcgl7J4U0Ju3b5vVZOo8Usn9SSFsuSfu2WXTc&#10;nRSyf1JIW65I+7aRQsYlhbRlDymE/ZNC2rJDCq/PYhiHFLJ+i06fsEMKb8xiGIcU0hYbyFQhhTQm&#10;7dtGChmXFLJ+L83lXPOPNrklS2EcUkhj5r/LkwPvGJcUsn4vyeVctyd+sxaemWbh54NlSCGNuSXx&#10;m7XwfIULN7hhGVJIY65P/GYtPIs17JsUUsGiQ+WuSfy2WTTyilzCnkkhjdlhx8JrshhGIYVUsGgV&#10;b4dT0yw63MT5GNg3KaQ1pxO/WfaxZlRSSGuc0Z8KpJAKXpzLuea/z9PtWQqjkEJaM/9wE+/+yaik&#10;kNbMT6H3hGdUUkhrpJAKpJDWSCEVSCGtOZ74zbo7S2EUUkhr5qfQQciMSgppjRRSgRTSGimkAimk&#10;NVJIBVJIa6SQCqSQ1kghFUghrZFCKpBCWiOFVCCFtEYKqUAKaY0UUoEU0hoppAIppDVSSAVSSGuk&#10;kAqkkNZIIRVIIa2RQiqQQlojhVQghbRGCqlACmmNFFKBFNIaKaQCKaQ1UkgFUkhrpJAKpJDWSCEV&#10;SCGtkUIqkEJaI4VUIIW0RgqpQAppjRRSgRTSGimkAimkNVJIBVJIa6SQCqSQ1kghFUghrZFCKpBC&#10;WiOFVCCFtEYKqUAKaY0UUoEU0hoppAIppDVSSAVSSGukkAqkkNZIIRVIIa2RQiqQQlojhVQghbRG&#10;CqlACmmNFFKBFNIaKaQCKaQ1UkgFUkhrpJAKpJDWSCEVSCGtkUIqkEJaI4VUIIW0RgqpQAppzR2J&#10;36y7sxRGIYW05mTiN+tklsIopJDWzE/hnVkKo5BCKnhJLuean8LjWQqjkEJa81DiN+tolsIopJDW&#10;PJL4zbo5S+e5OJewZ1JIYy5J+7a5IYvnuSSXsGdSSAWvyOU8V6R921yXxTAKKaQxR9K+ba7I4nle&#10;mUvYMymkgkVbtDemfdtkKYxDCqlg0esct6R9sx7JUhiHFNKYo4nfLIcgMy4ppDG3J36zHHfHuKSQ&#10;xsw/G8MdWQrjkELWz3F3NEcKaYzj7qhBCmnM6cRv1uuzFMYhhbRlh+PuFh2C7Lg79k8KacsOx91J&#10;IeOSQtoihVQhhbRFCqlCClm/l+dynj2kEPZPClm/RatxUkgVUsj6WSukOVLI+u1hrfD6LIZxSCHr&#10;tyiF16R92xzJYhiHFNKWHU5ivSiFXkFm/6SQtlyf9m2z6Hz+Usj+SSFtuTnt2+bSLJ5n0aswsBwp&#10;ZP0Wnc9/hxRmKYxECmmL8/lThRTSllsTv1kPZOlcL84l7J0U0pbjid8sb23CyKSQttyZ+M1yPn9G&#10;JoW05e7Eb9btWQojkULW7qW5nMtbm1CFFNKW+W9t4mwMjEwKWbtFR4fs8NYmN2YxjEQKWbtX5HKe&#10;HU5M42wMjEwKacp1ad82r87ieV6ZS9gHKWTtFm0g73BimkWHIDsbAysghazdonY5BJk6pJCm3JL2&#10;zVp4CPLCfXNgOVJIU25L/GbdnaUwFimkKfMPQb4jS2EsUkhTTiZ+sxx3x9ikkKY47o46pJCmDD/u&#10;btEpsWFZUkhLXpX2beNdkBmbFLJui467e3Xat801WQxjkUJa4mATKpFCWrKHg0289SerIIW05PVp&#10;36yFB5u8LJewH1JIS+YfbPLuLIXRSCEtmX+wyZ1ZCqORQtbsJbmca/7BJt7vjtFJIS15IPGb5bg7&#10;RieFtOSRxG/WouPuHGzCSkghLUn7tlmUQrsVshJSSEvSvm2kkNFJIS1J+7aRQkYnhbQk7dtGChmd&#10;FNKStG8bKWR0UkhL0r5tpJDRSSEtSfu2kUJGJ4W0JO3bRgoZnRTSkrRvGylkdFJIS9K+baSQ0Ukh&#10;LUn7tpFCRieFtCTt20YKGZ0U0pK0bxspZHRSSEucmYZKpJCWPJT4zbo1S2E0UkhL5p+61VmsGZ0U&#10;0pI7E79ZUsjopJCW3J74zfI2T4xOCmnJ/PdBPpmlMBoppCU3Jn6zFr4lvJeQWQUpZN0W7Ql4XeK3&#10;TZbO9cpcwn5IIS25NO3b5ooshrFIIU05nfjNuj5L57GBzCpIIev2slzO9e7Eb9bNWQpjkULW7cW5&#10;nGv+3jQLDzdZ+PlgOVJIU25O/GYt3Mf65bmEfZBCmnJN4jfrgSyFsUghTblk7usmdixkbFJIW+a/&#10;bmJvGkYmhazdwif3jid+s27MUhiJFNKW+a+b3Jalcy3cOweWIoW0Zf7rJgtPyPCKXMLeSSFtmf+6&#10;ySNZOpe3N2H/pJDGeN2EGqSQ9Vv4usn8401uyNK5XpJL2DMppDHzXzdZeOid403YNymkMfNfN3FO&#10;f8YlhbRm7nshL3zdBPZNCmnNHanfLK+bMCoppIKFT+7Nf6unhcebvDSXsFdSSAULTzF4JPGbtfB4&#10;E+9vwn5JIa15VeI36+4shVFIITUsPLHWA6nfjNOOKWFMUkhz5r9ucl2WwhikkObclvjNuiVLYQxS&#10;SHPmv4R8R5bCGKSQ5sw/9G7hSf1hn6SQ5tyQ+G3zqiyGEUghzZm/Y+GZa7J4Hi8vs09SSBWLzjy9&#10;QwqPZPE8TmTNPkkhVSw69O7Vad823uqJEUkhzbki7dvm5iyGEUghzZFC1k8KaY4Usn5SSHOkkPWT&#10;QpojhayfFNIcKWT9pJDmSCHrJ4U0RwpZPymkOVLI+kkhzZFC1k8KaY4Usn5SSHOkkPWTQpojhayf&#10;FNIcKWT9pJDmSCHrJ4VUsYfzFd6QxTACKaSKRWfg38NZrGGfpJAqnNCftkghzbk+7dvmiiyex9s8&#10;sU9SSHPmvw/y6SydSwrZJymkOfNTeHeWwhikkBpeksu5jiZ+s27L0rlemkvYIymkhpflcq7jid8s&#10;uxUyJimkOXcnfrPsVsiYpJAaFu788kjiN2vRvjQX5xL2SgqpYVG7djjubtG+NLBfUkgNi3Z+uSHt&#10;28b+MoxJCqlh0VrhLWnfNlkKo5BCWjN/X5qHshRGIYW0Zv6+NO/O0rkW7qYIS5BCWjM/hSezFEYh&#10;hbTmZOI3SwoZlRTSGimkAimkNVJIBVJIa6SQCqSQ1kghFUghrZFCKpBCWiOFVCCFtEYKqUAKaY0U&#10;UoEU0hoppAIppDVSSAVSSGukkAqkkNZIIRVIIa2RQiqQQlojhVQghbRGCqlACmmNFFKBFNIaKaQC&#10;KaQ1UkgFUkhrpJAKpJDWSCEVSCGtkUIqkEJaI4VUIIW0RgqpQAppjRRSgRTSGimkAimkNVJIBVJI&#10;a6SQCqSQ1kghFUghrZFCKpBCWiOFVCCFtEYKqUAKaY0UUoEU0hoppAIppDVSSAVSSGukkAqkkNZI&#10;IRVIIa2RQiqQQlojhVQghbRGCqlACmmNFFKBFNIaKaQCKaQ1UkgFUkhrpJAKpJDWSCEVSCGtkUIq&#10;kEJaI4VUIIW0RgqpQAppjRRSgRTSGimkAimkNVJIBVJIa6SQCqSQ1kghFUghrZFCKpBCWiOFVCCF&#10;tEYKqUAKaY0UUoEU0hoppAIppDVSSAVSSGukkAqkkNZIIRVIIa2RQiqQQlojhVQghbRGCqlACmmN&#10;FFKBFNIaKaQCKaQ1UkgFUkhrpJAKpJDWSCEVSCGtkUIqkEJaI4VUIIW0RgqpQAppjRRSgRTSGimk&#10;AimkNVJIBVJIa6SQCqSQ1sxP4R1ZCqOQQlpzd+I369YshVFIIa15KPGbdXOWwiikkApemcu50r5t&#10;jmTpPBfnEvZMCmnMpWnfNldkMYxCCqlg0WrcdWnfrNNZOtfClUxYhhTSmJsTv1kPZelcL88l7JkU&#10;0pijid+sB7J0rpfmEvZMCmnM8cRvlj2sGZcU0pj5e1i/O0thHFJIYx5J/GYtetnEvjTsnxRSwYJ4&#10;zX8B+cyZS7N8Di8gs39SSFtuTfq2uyHL53hxLmHvpJC2PJD0bXd7lsMopJAaLsnlY1yT8j3G6R1H&#10;XpFL2AcppIYd9wS8PeV7rFtyDRiDFNKSa04nfI+18HgT2CcppIr5ryFfstMzhRM35kqz7EnDSkgh&#10;Dbkt1Zvr9HW5FqyeFFLJnNW5GxK9HTwy50RdO76YAoNIIbU8poXzT8RwgYdenWue40QMrIgUUs3L&#10;crnlVfMPPp5x+lZrgYxDCqnolefWDF99+/xjj7d74EYxZAx7SGGRP0vYr7tvvf7IjUePzn+Xu/nu&#10;vvXIZGTRi80wWOI2TGYBOpG4DZNZgE4kbsNkFqATidswmQXoROI2TGYBOpG4DZNZgE4kbsNkFqAT&#10;idswmQXoROI2TGYBOpG4DZNZgE4kbsNkFqATidswmQXoROI2TGYBOpG4DZNZgE4kbsNkFqATidsw&#10;mQXoROI2TGYBOpG4DZNZgE4kbsNkFqATidswmQXoROI2TGYBOpG4DZNZgE4kbsNkFqATidswmQXo&#10;ROI2TGYBOpG4DZNZgE4kbsNkFqATidswmQXoROI2TGYBOpG4DZNZgE4kbsNkFqATidswmQXoROI2&#10;TGYBOpG4DZNZgE4kbsNkFqATidswmQXoROI2TGYBOpG4DZNZgE4kbsNkFqATidswmQXoROI2TGYB&#10;OpG4DZNZgE4kbsNkFqATidswmQXoROI2TGYBOpG4DZNZgE4kbsNkFqATidswmQXoROI2TGYBOpG4&#10;DZNZgE4kbsNkFqATidswmQXoROI2TGYBOpG4DZNZgE4kbsNkFqATidswmQXoROI2TGYBOpG4DZNZ&#10;gE4kbsNkFqATidswmQXoROI2TGYBOpG4DZNZgE4kbsNkFqATidswmQXoROI2TGYBOpG4DZNZgE4k&#10;bsNkFqATidswmQXoROI2TGYBOpG4DZNZgE4kbsNkFqATidswmQXoROI2TGYBOpG4DZNZgE4kbsNk&#10;FqATidswmQXoROI2TGYBOpG4DZNZgE4kbsNkFqATidswmQXoROI2TGYBOpG4DZNZgE4kbsNkFqAT&#10;idswmQXoROI2TGYBOpG4DZNZgE4kbsNkFqATidswmQXoROK2zUUX/f/BL1iyaJZ4LwAAAABJRU5E&#10;rkJgglBLAwQKAAAAAAAAACEAxD+nVxHxBgAR8QYAFAAAAGRycy9tZWRpYS9pbWFnZTIucG5niVBO&#10;Rw0KGgoAAAANSUhEUgAAB0kAAAnECAYAAABv/lyKAAAAAXNSR0IArs4c6QAAAARnQU1BAACxjwv8&#10;YQUAAAAJcEhZcwAAIvMAACLzASUZdVYAAP+lSURBVHhe7P0JuGRVlaeN/7u+7q6u7vqq7K+quqpr&#10;6KKqq7vmciJJFDQHxnuTeUZUVFQcUHFERQWhFJwHVJwQFWdUHEFFAUUFRERBRGUSAREREVHBMf7r&#10;PREr77o795kiTsS9EfF7n+f35M04++yzh7XX2bFWnIj/nx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xOrjnuv2vMcwGpwuhBBCCCGEEEIIIYQQQgghhBDTxTYbFk7d&#10;ZuNir63WbFh8xaAKIYQQQgghhBBCCCGEEEIIIYSYHpQkFUIIIYQQQgghhBBCCCGEEELMFUqSigF/&#10;a9p+8O+0M0t9WS0wnkhMnnuaGPs/Kv43GtTVG+hwXhCiY+R/hRBCCCGEEEIIIYQQ04GSpEUg15MG&#10;Pxr8vw6SFVeb/LxpDwbHxAlj0EUyZqWYpb6sFt5j8jF9Bi+IiUEi08f+E7wwIiSvNJdiXMj/CiGE&#10;EEIIIYQQQgghpgclSQtIPnhg93W8UEPXiYuVhmSJ9wdN8xODs9SX1UIcz1mw92ki+iY0KkqSinEi&#10;/yuEEEIIIYQQQgghhJgelCQtiIkDVPdkaHyKdBaCwPSXp37oz8W8MMVMui9cg2txzVnlBSa390Ve&#10;EBOD8faxZx5yxPnhSb4qlCQV46SJ/41leEpdCCGEEEIIIYQQQgghVgYlSTcTn9iqSh4cZPJyeqpO&#10;uC0gIVaC6LvqPrShJKlYaaIN6h4qhBBCCCGEEEIIIYRYOZQk3UwM3PKUS9lvqc3aU6RiNNwWkBAr&#10;gZKkYppQklQIIYQQQgghhBBCCLE6UJJ0GTHZkEsg6ClSkeL2gIRYCZQkFdOEkqRCCCGEEEIIIYQQ&#10;QojVgZKky4jB29zTpHVPkfJbayQeYtICcd7rTHUJDP+dtsOL//V/XzDWxe+3xTZRjtc5z+EalPO6&#10;+Jf/N7122W/E8Xp6nKRxbJ/3k3Gog37Q/nSsylT2ZG+OcfeF171clSiXo6zv/J/Xq/qKTXh5//1J&#10;frfSbZO++29XxnY2+S1RbNfLMx6O2xlq8puXXDeulTr79/moqz/+Pmddgs/HlvFIYU7TNlKuyfhD&#10;HA/+LiP+9iJ1VxHHPo5BnO94rfiBjSrRxwhz4Md8DOkvf8fxoL3RBoaFOphfH4c2dTPfnDvsPPk1&#10;fdza9JPX/PeGEX/X2VyZX8nVk7bd/baXo43YaFUf43qoskOIviC3xsrazvj4ed6mOv/u4x7rgjju&#10;VeK6ce2U/bZphHHy8lxHCCGEEEIIIYQQQggh6lGSdAtiUDgGxQnc+uuUiRCgjUHoKlFPGV6G68br&#10;RcVEE+X8dahrQ5Nrp31zfFz4l/7GwH8qgtVVyS6OVZ2fU11gPuLnjKsvMZlRpTRJACQ2PJhfpqrx&#10;i0ku/i6bc4g21CTREJMY8frRzqL9RRjHJuNCe1NI6vrxuOZSYl+r+oOtlJUrW1dRZX10YnKqzMYg&#10;vRZjVEYc+1guznccG5Ji/nqVsKVIWl+dPebmqwl16wpxPDcmvOZrtEq0u2quvBz9xJ6b9LPu2mVt&#10;hjZ+JdYT7T9VlS+I67Jq3UDsU27M2rS9qk3g5agrUjX+UZ7wjWsCO60irrWc3xVCCCGEEEIIIYQQ&#10;QogtUZJ0C2ISIT6RUhVkTs8h6M1riOBumsgqS/j5cYK8HlCmPgLg1MHf8dwYJI9Bbf7mGO2IgWZU&#10;d+00sO14/6kvBrtpq7cvvk65MmJbOZ8xYqwIjqd1+zi2wc8fV18YQ2+Xl0H+misd67Q81/G+E+Tn&#10;+n6M6+fmKtYR7Yo+0XbqYHyBZIcfR2VzDyQ9vJyf70Q74/o5fEwR48VcUhZxfhxPf9LVYQz8WHrt&#10;CPV6OVTWn5gwideivL9Oe2iXt5FzfI1VJYAgHVdPdqXE+UFcI0dsV9p/2ubHaK/DNb3tcT3FcUdp&#10;X3jNy8bz6DdjxTXi66is3WWkSTbGmrGg7tQnYa8Rzk3n2dcl4u9oS6hsvvx42hbvZ3odXo91e5vj&#10;uvRyOcr8itcT1wjyter/9zVM+Xg+ZXJQ1svwdxXx2thASlnbfezTNlGuDC9DnRHmiWvHBD99c1t1&#10;+XpinL0c168izlFdQlUIIYQQQgghhBBCCCH6KEmaJQaUSRDEBFIa+AWOEzSuSibEgHZZkN2Pu+oC&#10;w7FORBA7bUOasCir04/n+gdxTBD9TZMT/D8G0nPjwWt+nMB2Cgkjr4N/PWDeBq9/3H2BWE8VafKH&#10;ZECOmEDIjQ/n+XFXld0x316OusuICYm0XLSzXLvTNufmLO1/Ot5xrHPnU96Pu8r6HRMm8Tqxj6Mm&#10;UpokZWKfUNnai+OXjn2c77JEWLTnMrtycvaT80fRbpi3NkR7wffkktnMHeOTrtE4rmXn8lr0aWXt&#10;8+OunG3G67loV2qfcY44niP1K7Sxqp6o1JZTe0/rgTjOZbbh1NnIOHxiOrdOtMGyMhA/PMB1c34B&#10;eD2WE0IIIYQQQgghhBBCiGYoSZolDeLGhEFdEqKMGPAtCwz7cUSAvSwo7MQgOcoF0iE+qVeXUChr&#10;G6/HOsraVvf0T0xK5BIgEOsYZrz93HH3Bfw4qoKEgperS2jQJi+bti3aJiprlzPMU5rpvEQ7y82H&#10;n1uVyIA4BmliLq6xXPIll1zClnJ4Iod2ReK8162tOmJfcnOQJrlQWQKnak3E+S6zm9ivuvWS2k+a&#10;lHUYn1iubK2mcJ6PP6pqD2MUE8xxzKij6prpdXKJaj+GymyFa8Ry1FnmR+MayfWrqV+J9aCyZGNc&#10;E7m5j+uyzqfU2cg4fCJ15og2WFbGicnwsnGqW4tCCCGEEEIIIYQQQgiRR0nSUmLQ2IPxdQHdOry+&#10;snr8OCoL1EdikLws2eHEunP4sbK2xfGoaltdADzWU0abfuXwc8fdF/DjqIp4zbqEU1WSOLapKpkR&#10;icmk3LVjcirXzzgfVe2pS1DQVi+bXqcu0eGJRPrsSSb6lVLVHv7vx4axq0hMrtGelJjUrbM3P5ar&#10;J/anLBEW60/nJyXWV5Y4dNrU6zRNyueIdtYk2RXnM1fej9Wtk7pkqxOvlytXN89OTIqnHxaIxDWR&#10;KxfHq8w2nLq5bNr2aD+ck6PueJM6nDgGZfYax7OpnQohhBBCCCGEEEIIIYSSpBXEQO4wAViC8pSP&#10;8nqGDS6nVCWvUuITOTn8WNm1eb3qfKcqEQZN6on9GneStIq6voAfr6srlkvtIlVMxqTJD46XHSsj&#10;1pcbz5iUzT2tVWVn8RjXif3IycuiSBzrXPLTE1m0tSqJHI+liaz0+pStS1hXEddUmljyxA1lYuIw&#10;nbN4jPakxDaXzXe053Q8UprU51SNcxnRHurqT4n9qEpWOnHscuuz6lik6fjV9S3WU0XTMYpzletD&#10;03qgro9N297GJ5Ydr+tXJF4P8f9IPJ77kIEQQgghhBBCCCGEEEKUoyRpJTFwXBfMBYK/JIrik0k5&#10;DRtcTolB8qrgPsS+5PBjZdeuOz9SVVesJw14OzGpV9evHH7uuPsCfryurliujdLkR0ww1CVGnHhO&#10;7uk+fzIT5eakys7isbZKifMSk4787a+TGKtKLHriMpdohWhbLhKaTZJyKbHvafI5JnVjIicd/5iI&#10;zD3B12S+47jVrZc29lM172XE8a2rPyXaYZPrxb7kEmR+rGztOk3HL45Hrm+xnirq6nFi/3J9aFoP&#10;1PWxadvBy+XaBHXH6/qVEm0q/RBH3dO2QgghhBBCCCGEEEIIUY6SpJW0CULHZEedhg0up8T2VQX3&#10;gTq9bA4/VnbtuvMjVXXFryEl+J1CosgTTGWJrjqqrg9d9QX8eF1dsVxT0f90XmOCoc4mIzEBFZ+e&#10;jAnIsq+zrLKzeKyNcteKthH7Fq/hSVy3kZh0jF+BW9YXICEax8PFa3XrKBLHLtpHnCNPvvqTpSgm&#10;or0dZbbeZL6jPde1v0l9Thz3puPSpi0pfl7Tc2NfUIq/XrZ2naZtjuORG7tYTxV19Tixf7k+NK0H&#10;6vrYtO3g5XJtgrrjdf1KiR+KSD9kENdV7kMGQgghhBBCCCGEEEIIUY6SpJU0DULH5A7JDsrmArZe&#10;ZtjgckpsX1VwH6jTy+bwY2XXrjs/UldXTFAR5CYITvsZR09+obrAfxl+/iT64sfr6mparo6YYGgz&#10;PjGJH8+Lr5c9TVllZ/HYsPPlxCRnTIb4fMU5iMkRT/rGp8pyXxucQn9zT5bWraVItGVPfsYxcaKP&#10;8LbF/uY+MABN5jvac13b29hP7EfTMYltoc9tiGu/yfViX9LkGfixsrXrNB2/OB65sYv1VFFXjxP7&#10;l+tD03qgro9N2w5eLtcmqDte168c0TZ8vVc9oS2EEEIIIYQQQgghhBD1KElaSdMgdEyUVAXZvcyw&#10;weWU2L6q6wJ1etkcfqzs2nXnR6rqiomsKpUljZrgdYy7L+DH6+pqWq6OmGCoS4xE4lOP2KtT9yQj&#10;VNlZ0zXSFJIdXp8nHXP15xKiMeEZn9asg6RLTLrG8akjl2R2+4o2k0uIxj6UJaibzHe05zo/0MZ+&#10;4tzW1evEc+rqT2nTD2DMvHxufVYdizS9bl3fYj1VNB2jOFe5PpQ9eZ2jro9N2w5eLtcmqDte168c&#10;cZ158j2un7YJeSGEEEIIIYQQQgghhFCStIamwWwvU5dc8XLDBpdTYvvqkgrU6WVz+LGya9edH6mq&#10;y58I8idIY3KKY/y/ri91VF0fuuoLxAR5FTH5N0r/YoKhLjGSEttA0jQmTquS0lV2VpeoaktMhpAE&#10;if2NT2fHp8iwGXDbGrYdTecyEvvvY+j/TxM3Pv6ekI62X0aT+Y7J4TrbamM/bfyLExNXbZ/ui/3A&#10;DuqI5XN98WN19hD9QVU/43jkrhfrqaKuHifOVa4P8XjV+oW6PjZtO3i5XJug7nj8wEBZmZToq9yu&#10;4vrxp0uFEEIIIYQQQgghhBCiOUqSVtI0mO1lqpKkMcg7bHA5JbavLolBnV42hx8ru3bd+ZGyumJQ&#10;35/+Gwdl13e66IsT66oK1MfkX11Co4o4hlU2mSM+eUZ7Ypuq7KfKzmKyEo2arEgTt97G3JOuMekY&#10;zxv2qbI2dhHx5CzrPyZNY1IX4nhzzM/zJG+OJvMd56duXbWxn6p5LyMmwFA6BhFsh/Fy4tgxNlVP&#10;A3MdHz+Uszs/VrZ2nTjvTddBbuya2k9dPU6cq1wfos1X3Xti4hrl+tjG9r1c2bjWHQcvU9XulPRD&#10;Hv531XWEEEIIIYQQQgghhBCiHCVJK2kazI7B+lwAmtdimVGCy5HYvqrgPlCnl83hx8quXXd+pKwu&#10;kh4+DgS8R02olVF2faeLvjixriobSZM6dcksxio3PjFxUnW9HNTn55KcQP53FXV2FpN/zGtVcguq&#10;Emfg7WK8PDGSSyTGdsV5KLMr6itLoMaxoVwb4hON3o5cHXHuYnurbKHJfKfjUEUb+6mb9zJi38rW&#10;OQlRxihtr8+9n5uzJepzu0BlHzrw43VjEttb1c84Hrmxi/VUUVePk9pLDsbQy6TjwNhF23Tl+ti0&#10;7eDlytpUdxy8DGpqW/FDHtFOxvmBGyGEEEIIIYQQQgghxCyjJGklTYPZMUnkiRgCvyQCckHqUYLL&#10;kdi+ukBzXRDcj5Vdu+78SFVdjEkMcEd50gQxbvEpszZ4fePuC8TAPaLdzIv3IZI+0UUZtxUX5/rX&#10;SOauSRk/v8omy4h9d2G/VdTZGcmYmLRiHqmT+fN+0Xde87nP1ePk1kwuERKfJnPRjjK8DG2I487f&#10;MdnUdlzTeUXp3DvxOq6qpDLt83Jl7UrHgTmmLG2gr5Em9Tl1814GSczYT/72dYGiraTJ79g+P5cy&#10;fq6vDVdZIhW8TG4dReKaqOpnHA/+Ton1VFFXjxPHoqwPsS7EePBaXGv+uv+d62PTtoOXK2tT3XGI&#10;88gc017aTZvLkp7xgwxRVetHCCGEEEIIIYQQQgghylGStJKmwew0SZQTSQIvM0pwORLbV5fEqAuC&#10;+7Gya9edH6mqi4ROLlFUJupoGwSP5+boqi9QNfdpAghIADTtf+78mDipsskycgm9uic7m9gZ4xDH&#10;tU5V1yS5mpbPPY0IMRGEqhK+ueRrqrLkZhX0Pa2nLNGTtgHbqaLpfJf1DVuLtLGfNv4lpck6p+85&#10;O2D+m6yROt8Qy1UR7baqn3E8cmMX66mirh4nzlVVH+J1UzGO2GLdXDZtO3i5sjbVHYcq++BDC2Wk&#10;SfKcjxRCCCGEEEIIIYQQQohmKElaSUwolSU9IgR3Y7CZIDBBXA9Kk8CpCux60Lhp4Jfr+bXqEl0e&#10;XOYaOequXXd+pKyu9AkzAveMTRSvMU6xXNvE1ST6EiFRQxtjm7GDsjlhHOhntBXE+bxG/8ueoqVO&#10;L1+VTCiDtsbEYlUiw2ljZ7SbsUqTlyTEeJ26yhKekfQpuDJ8TSHGr6592BhzFevnb17j2LDEJCXt&#10;KOtjmgCu8ytt5hubSsctrb9NfW3mPQe2Rptoh9fD2GAHdf3mXK6frpE2c+XrsWrtAse9bVW2Gccj&#10;tz5jPVXU1ePEuapK/gPjGceZceIc70+0u9xcNm071I1r03GnHX5dvzb/r0p8p+unavyEEEIIIYQQ&#10;QgghhBCiGiVJxQSJiaS6BE1MEDQJ3AshhJhtSPrqviCEEEIIIYQQQgghhOgGJUnFBIlPhVU9LeR4&#10;WSSEEGK+4clkvyfUPV0rhBBCCCGEEEIIIYQQ1ShJKiZITJLWfV1m/ErKuq9tFEIIMfv4V/miYb4C&#10;WgghhBBCCCGEEEIIIZZQklRMEH43zwPciK/f5TUSpq7c7xAqGC6EEPNNvH9U/U6xEEIIIYQQQggh&#10;hBBCNENJUjFh+IrEmACt0tWmuidOhRBCzD4kRv3eQMJUCCGEEEIIIYQQQgghRkNJUrEC/K2JZGn6&#10;xCgiEM7X6yoILoQQArhn+D2CD880+U1rIYQQQgghhBBCCCGEqEZJUiGEEEIIIYQQQgghhBBCCCHE&#10;XKEkqRBCCCGEEEIIIYQQQgghhBBirlCSVAghhBBCCCGEEEIIIYQQQggxVyhJKsYEvyG3/eBfIYQQ&#10;QgghhBBCCCGEEEIIIVYPSpLOLYumH5l6pvfwQofc00S9iGv8kUkIIYQQQgghhBBCCCGEEEKI1YGS&#10;pHPLM0yeyERdktbNE6VCCCGEEEIIIYQQQgghhBBCrA6UJJ0peDrUE5OH80IF43ySlK/Y9bov5oU5&#10;os0cCCGEEEIIIYQQQgghhBBCiJVASdKZIj7Byd9i8mgOhBBCCCGEEEIIIYQQQgghVjtKks4UStCt&#10;PJoDIYQQQojh4Hft+ZkG/Z79ytLlPFCX7431LSvtGff4Tfv80H7/BqPX8YIQQgghhBBCtEJJ0plC&#10;CbqVR3MghBBCzD4xMN/1zxbMKyRofA/1CV4QK0LX80Cy1evT3rg94x6/aZ+f2H75DSGWE2MT+pCK&#10;EEIIIUQZSpIuw4NdcQN5kInf1fTN5dUmPqXK727WwZu2F5ji+Yj/83pVHfFTvfwN/N4l1+c12up1&#10;eLlhVbdh5hppP+rGoS5wuNrHmvJc28cb8cabNqZQ1svUKdcO2s44+ZggrstruesJIYQQYmVRYL57&#10;GEcfUyRWhq7nIa4VJUnbM+7xm/b5kS8Wopzoz7U+hBBCCCHKUJJ0Gb6B5A0iybI04RZFQssTaim8&#10;ngYYcqqqI77h428SdvFcF+fnXm+jqg0zSbrcOVG5RJ4fK6vbj6/Gsa7rM3MRaTMHaRvK5jVKCCGE&#10;EKuLSQfm+cCXX69sPzPt8GFA7yP9FStDk3loY49xrShJ2p5xj9+0z8+kfbEQKZO+P7e5Hmvay+pJ&#10;UiGEEEKIMpQkXYZvIONTffxLIosNJv/6634s92Rg3IyS/GNDyhs4RAIuJvV4YjBHfMMXE2mcS/20&#10;kbrB647l+Ntfz4k2xTpzpMlCrse1/frxWLpB99fL6vbjq22sY7KW8rwJ4RrxdZQmhv2adXMQiePL&#10;tfi/l6MfjE1Zm4UQQgixcnCv9nt42V6nS+J+Jt1PCDFp2thjXCvsqUU7xj1+0z4/sf2T8MVCpEz6&#10;/qz9gBBCCCFE1yhJugzfbLrYgKaJOZKBMXlHIiyFBBfnVm1a4+aWT2ynxDd8rjQxlxIThnVvcuve&#10;UP6RKfaTPqUwNp4sTftaVTf48VhuNY117pPzMQFalrxsMwcx8cp4CyGEEGI6qNtHdU3cy1TteYSY&#10;BG3sMa6VaUzCrTTjHr9pn5/Y/kn4YiFSJn1/1n5ACCGEEKJrlCRdhm82US4h58QnAEniDUOsI/eG&#10;NL7hQ1Xtcainqs5I3RvKWFfdG04SlWmSr+5cP45W21jnEsJAH2O5uidb6+bAy5EsFUIIIcT0ULeP&#10;6hoFRcVqoo09xrVStzcWWzLu8Zv2+Yntn4QvFiJl0vdn7QeEEEIIIbpGSdJl+GaTpwTrnuyLTzgO&#10;szmte0MajzdpD1BPVZ2RWH/uDWV8yjH39GUdVXWDH19tY82TsVXUvSlpMwf03ctO4vdLhBBCCNEN&#10;dfso4ENXHI8f8uK89KcG+H9uTxE/5FWlsm+3AOqI10Ps8fjGjNyHvSJ+jn94jL1K3AdRL3u4+E0b&#10;TfaMca9E+xzq99fLPrDm0Hb6EPerPpaxzojPR1391O19L5tbJ/Yl3ctRD2MT93vUS51cv8ne3plk&#10;28vmYVh7jGvF98b0nb/j2NDesrlrCvNPXfzr+Jrz67id5NZcDtrKOETbR23mkWul9oqarMXc+KUw&#10;bj7v/NuGpvNDW3mtqd1iR9h/2mfGrYn/cShH+bQtbiux/dHmm/y2biTW0+TDyREfe18v9D3aC/aW&#10;GzfvWxwjt8+6tcC1vLxDfbTd24NoR11dvj74F2hr9Ou0L/VvQLlR1wZtS8/nelyfOalilPFL+wxp&#10;W7A52pGzVcp6uSql/hCoj7WU9tuvl+t30+tVKc5hnN9R7tsRXmc8o/0xN03XO/1Oz2dMmsynEEII&#10;IcRoKEm6DN+MsWGtI25q/Q1RFWwM2fi5/I0N8jekEcpUHc8RN69158T6c/31Y2gYquqGuuOR1TTW&#10;bPK9LOeltJmDWJY3A03fTAohhBBiZYl7h7K9TLzPQwxK5pQGAeP+pUrsIVIIhsbAcZmqAo9ehn5Q&#10;Lp7nYhziMa5ZR0x2xKBt0/1YHNcy0Y50TxWTJlX7z7SvVXuz2JdYrmy8onL7yDIm2fayeRjWHtP6&#10;6EsMgqdinQyLv2fgX/rkiZAyMV5V1LUVcTyXQAJe9zZVqaqOunXBebGuJgnBSNv5ya2tlPh+qUp1&#10;7+uYn7q2lK0N3g/GsnVtjv65rl0pfh7jV7b20/VO2Vy5qKqxjudDXX1V6yquG+wpN+bUHxl1bdAv&#10;+pc7zxXnM2XU8Yt9rmtLrh/D+EOuU7cPcKW+qen1qhTnMNopfa+j7L4N/L9uLlGVv20yLkIIIYQQ&#10;40NJ0mX4BqxqQ+7EN3/pmwaHjWDdm3OUO7/uDXGO+Gah7pxYf9rf9E3lMJTV7dQdj6ymsY5jnL7Z&#10;hXi8rq7cGzLeSPEmoewNpRBCCCFWnqp9lBP3BPF+z98cY38TA48oPm3BPoHroHg+wVJ/HaV7Bs6L&#10;wWvaxz6JsgS20wQGr+Xw4/HJDtpL29mr8Dft5XpeFsU+pNBWL0efIrTPj5XtoeKY0ib64uPAuKTj&#10;HEnbyf9zpMHassBu3C/Ha8XXaSNt9jZSl49dm73epNoOZfPANb0fcZzr7JHXvGw8jzFg/rhGfB2V&#10;tbsObJ3zqS/WiQ1zndyaK7P/2G7E2FKW12lffN/BPOfsPtor7YljRR3eXkS7csR2xPkAxjquddrY&#10;llh/2fyk77EoV0auLHUgt/14nDHJEX0FKmtP7H/qi2N/6mwq1lO2vsrw82iX10N7Y5+jffC6n0P5&#10;Nn7MiXXEdR/HO9aDuE6O3LrxdiFei+MXbQYNszZim7m+n49oO69RT44uxs/7zNz4nCGuSf20L75O&#10;ucgw/pD/x/piu+l/HBMUx63p9VLFOumXQ33+OsrNkRPXYjqe1BPHiXHFBrg2faKPfgzxWgrl/Tjj&#10;4ucj+secpOMvhBBCCNEtSpIuwzdnbO7qiJvzuOEENou+8W6i9HxgU1h1PEdVm1Ji/Wl/q441pe78&#10;NvVX9WvSYx3bwnkpVW0tg3LxzYWLflW9YRFCCCHEytBkrxT3BIh7fQw0A/uYGPAkoJkj7nVy+49I&#10;DFCX7UVi0JN25fDjrrK2QQzEEtQsIwZM03J1+7HYZgKmZXuk2P/0GvFYLlgL6Z6srN/U7WXidWIf&#10;y64xDJNoOzTZF7exx1ifizFKiTY0bEA8fU9APWn70jWXuxZleN3LlPUxjiPzk8Jx2lQ1RrHNuXmN&#10;4xfnA/uP8121PqtoOj8xkYFSXwZxPGhbrt+MbZxrlFvLcVyYL86L4A/iHCHOicQ2p8cijLuXy81j&#10;HX6uq2ouuvBjkLu/5Mq1HWuUG2+ni7VBHX4sTbrV0dX4pX2mLuqO8P+4xnI2D7GuqrXuNltWD8R5&#10;za1DaHo9iPWl/jzaRm6MnKr7dhzntH4nzhnjmRL9cZndCSGEEEKMFyVJl+Gbs6o3UU7cLKYbwrhZ&#10;9I1wuoGPb0hzG8q64zko1/ScWH/a33gst5FtQlndTt3xyGoa6zjGnJcSj9fVFeENAW2Pb3oQ4683&#10;C0IIIcTqomof5cQ9AUoDsE4M0LOXyRH3B7n9h8MeyMvV7bFigDSXnPFjqCpoDrEPVUFv+ufl2u7X&#10;YnubjkHaFvZafiyXyIjBXFfZXjjuQWNf4lx1uYebRNuhbh6gqT1CrA+VBeMZq1gubVcTYruqbDba&#10;CErXZhzruv18tOlh5rvuWrn54DoxsZCzh6ak80N7yohrEBtKwd78eM6nROJcpcmgNKlSNq7pOKQ+&#10;j+N+DJXZVOxXVf/LiNeosjuI16paO9FGUz8G2IIfZ4zK7i8QbbQuYVhXVxdrI9pcWSKwjK7GL/aZ&#10;dpbNWYxDlK2zWFdVm5oQ253as9PmetFO0vka9b7dpK1OnLfUN/jrVW0QQgghhBgvSpIuwzdodZs8&#10;iJvTuNGLm8WqN3XxzUHuDUbd8RxVm+CUWH+uv34MDUNV3VB3PLKaxjqOMeeltJmDMqiXNwleT9kb&#10;MiGEEEKsDHX7KIh7gqqnNMDLoRxxL5TbfzjxmnXB/hggze1Z/BiqCpo77MW8fAykOjHxkRuzuv2Y&#10;HyNgW0fcR0Xi3jFXD/Pkx+OY5/rvx9J6YjC4bt7bMIm2Q908QFN7hFhfLrEWaVNvjrp+R2KiOO1n&#10;rCdny5GYRBmmzXXjnR7n/U6X7xPazE9cwygS62myRmOyLS1PP/1YXf+iH2PeUpqsR/ddVe8nq/D6&#10;UZ3debkmY1TmxyCOUZ2fSX1DSrT3urq6WBupL2sz5vG8OqrGL/ajas6iXefGDmJdsZ/D0uX1op3k&#10;/Mso9+1Y9yj7DebSj9WtHyGEEEKI8aAk6TJ8c8aGugo28l4WxQ1l3EhXvamL5XIb1rrjOdp8sjPW&#10;n9uAx81qTEw2papu8OPTNtYc97Kcl9JmDqqIbx7LxlAIIYQQK0PdPgrq9gyRqmAucI0mdcVyBLsp&#10;W6a6wHnVsRx1yYgYMM8FVGmTH0/3UPEYYxX7kVMcT/4ficfSgKwnzihTFdSNx9InobieH/PjueDz&#10;MIy77RDbX7aXbWqP0KQ+pyyp0pTYrjpoi5dNk4P+OqIdVYp2X9c/wBbi+XEd5s6nTDwe+1j1/qcp&#10;af11eFkUbTCOZ86uUtL3eJGYwK5LvsT253xVtHfWRko8Pux4+vl1vjK2lbbw/yrF9c7/I3G802Mp&#10;HPeyJMVS2qwbL4e8nWWqWhvxmsQdmIc6qNPPGXX8mvY52mnZ/Ma60uvUQf2xzajL60U7ya3vUe7b&#10;sR2j7DdiG7FPyjIuQgghhBCTQ0nSZfjmDFW9SYqbvPRTjGwC29aR27DGenLHczS9NsSyuQ143DDX&#10;faqYNzXpRraqbvDjaJrGOm7iOS+lzRzU4fWUjaEQQgghVoa6fRTU7Rki1OFlc8TjVXXFcm2U60PV&#10;sRxxTHLJiPgBvFwANJ6f7sfisbZKxyvOC3vEiD9VQ2A4BsfT/sTAce7Jl7iPdrGfbpIIqGISba+a&#10;B6epPUKT+pzYv7p6c8R21RGTY6mN++ttVdY/kgsx8Vem3Plx/OIaQl0k39vMD5QlnqLNN6kHvDyK&#10;fRnWvsp8VRy3dMxiu4ddn35+2fWd2Na2SsehzVqJ/gCltFk3sZ42Sm0C3xOfYkTME+XK7LrL8Rum&#10;z2XzG+uqmwugDHaX9j9VF9eLdpJbl3FM2963YzvaKO0X9Ua/ghgbxih3jxJCCCGE6B4lSZcRN2aI&#10;N7PpZjDd0KcBCo77Mcql50NM2qG6DWvueI54Ttm1nVg2twGPx1HaT6B+f8NP+YifV7a59+OuaRlr&#10;jnvZtM8Q66qaA8rxpiNXB8QnUhkbIYQQQqwe4v2+bK9Tt2eIxGBjjni8qq5Yro1y+zw/Vta/HGXJ&#10;iLhnK9vXxDFN92PxWBvRntz+0o/HvsVreLLE97ko1uP9ZK9XBnXE8XBV7f/qmETbq+bBaWqP0KQ+&#10;p82ayRHbVUdsV2rj/nobMZ5pmxn32KY65cYnHb9YXy6p0ZY28wNlcx9fb1IPePmqutIxTYnt57wc&#10;8YMB/B1h3ni9ai3XUXd9J7a1jXJ+rO1aifWlxPGuI9bTVLm1AfQp94ES5B/2iHQ5fsP0uWx+Y111&#10;cxFtsU5dXC/aSdm6jPepNvft2I42yu03gPb5eoziOmWJcyGEEEKIblCSdBm+EYubM/5m886mLQYb&#10;UNkb0/hJOP4m4cUGln9zm8nchjW+CSjb0OaIbWfDy7lsxnk9bi5j/WUb8HQTT1+oD6WffmQTHfHX&#10;y+r249M21hz3spyXo8kcpOPv7UbpuJddRwghhBArQ3ofz9Fkz+DEPUuOeLyqrqblmuD1lPUvR9zD&#10;xD1VfL3saa04pul+rMl4tyEGhT14HufLiR+2Y68G7OX8NfatddDfXCJg2PkZd9ur5sFpY2dN6nNi&#10;P4YZn9iuOpgXL5valL/epJ4q4vsZ5o15SIP9deOTHmfO43sN1tYotJkfiO+94hzFvjapB7w8ikms&#10;Ye2rzDfEZA/z4EQbGGUcvY6y6ztN2tqUNmuFsfWyKCWOdx1V9QwLawJ/FX0bSseoy/Ebps9l14x1&#10;Vc1F9MmsYeYwjaGAlxn1ehDtpGxdDnvfbtOOpmCruTgO4xV9hBBCCCFEtyhJugzfhLEpY6MX34Cm&#10;4g1i2UaNzW7VuShuknMb1vgmoGxDm4NNpZ+XKm7CY/1lG3DIBXVS5drnx8rqjsenaaw57mU5L0eT&#10;OaA/MchQJg9qCSGEEGL10GQf1WTP4FCHl80Rj1fV1bRcE7yesv7lYJ/j58VkhAe/2bOVEcc03Y81&#10;Ge825IK/Pnax/lxSMe7zcoHjMqgrTZoNw7jbXjUPjl8P1dlZk/qcNmsmR2xXHfFaaYLMX29STxlx&#10;/LH7svcydeOTOx5fQ6O8X2gzPxCvG/sUx7NJPZwb64rEeaxbY7H90f5T4vsufz8W3+fG98lt8Tqq&#10;rg9N29qEON7UW0W8LuOQ0mbdeLkmZYcBW47v7aNtdzl+w/S57Jqxrqq5iEngqnJeZtTrQZN1Oex9&#10;u007hoE647ot+2CPEEIIIcToKEm6DN+A+YaUN29sxuKGlmNN3ohyLm+448aOeqiPN83gx0jipcTN&#10;au54FbyZTK+bvvmP9afHUtigEtSJb1ion/O8LylelvNyeD3TNtYx4Vr1ZrrJHAD9azu2QgghhFhZ&#10;2Bv5fdv3MiltgtjU4WVzsKdpUhf7By/XJFFRhddT1r8y4v6HvVLcZ9GPMuKYpm2vSqgMA/s0r8vb&#10;5P9P94LeHw8Ux0TnMMS97jCMu+1V8+A0tUdoUp/TZs3kiOsIm6ki2mn6fiMeG6YdEPs9rN1D2fE4&#10;Vsxv1fuSKmL9ufcqkbiW3aYcxtCPMX51xPKpj4l9q2tTXA9Vviq+h/M6/f0Xa3IUmlwfuvRjcYwY&#10;gyrifSFni3Hd1NHF2qgj2ka0+S7Hr02fvVzZ/Db1h16mzt683KjXg2gncSxT4rw2vW93ud8oI37Y&#10;pG59CSGEEEIMj5Kky9AGbHJorIUQQggxrcTEQtleJgYn6wKZ1OFlc8S60oROJCYMJhX4T0mTETGQ&#10;WjUOcUxzAdeqpNYwxARJHLc02RTbzzE/r+yDgHXUzXUTxtn2unmApvYITepzYr11ayZHHFvspSxR&#10;GhMAKP1gYhy3qgRnFbHfVXXE9ZIbn6rxa9rfKmL9qGo+Y5I97VOawKqbv6r1HG0am62aR7dpVOWr&#10;YvvSdVNnl3V4PU18ZVd+LK4VxiBd+w79pr9V12zjk7pYG3VU2XxX49emz16ubH7jXFS1yctU3Zuj&#10;bxr1ehDLpmMZGea+3eV+owq/RpP1JYQQQggxHEqSLkMbsMmhsRZCCCHEtBKDuE0CmXUJA+rwsjli&#10;XXV7pxhEbhLELguuN71eSnzyg8CpB+jrgqhVgXFIEydl7XZoR1XSiLHx+nz8qTclnWv/uyw4TR3p&#10;E51OHJvctZoyrrZD3TxAG3tsUp8T6+W8tsQ+ItZCaifYRFwjuYQx88R4epm6RAR1ponWmOygrpwt&#10;xsQEyo1P1filCbBhklaxfleuHYxBLJNbf9Eu6XOuDG2O5cr8Ql2/aHecI1RnizHJG+tP564tXk/d&#10;9aErPxbXitdF3SnpnOSI66aOLtYGbeeaZeMe25z60q7Gr02fvVzZ/Ma5qLKBOG45/5ba9KjXg1iW&#10;v8tgnLwca8PXR9n6dEbdb9BnrpEbD4h+Z9gPJgkhhBBC1KMk6TJ8A1a32RSjo7EWQgghxLRCQK9u&#10;LxODk2UBQIc6vGwOAot+HFGe+glKpkFMysZAK8cpSxtcBJ4518vliNdqS+yPiydTqohjWhbMjcFz&#10;xP8Jonq/CKBzrgduy+qBNOnj9eWI4+nKBd7BjzPujHMc81hPVdvqGFfbock8tLHHJvU5HPeynNeW&#10;aHex3wTXvX3xdf4uS9SkY0zdcT4RdXriLbdOYgKBv91W+Te3RnLjQ/mq4+lcpEmlOmL9sb3MI2uW&#10;a6ZtLVvL2FVqb5xLHSg3/mnSxInJMOR+LG0PbfZ25+Ygkls3nDsqXlfd9R3GIbaB/7ttoCZ+jNf8&#10;/DimnMMx5ogx89dRLokKcTybMOraiG2n77TL+x0T2fQr56u6GL82ffZyZfPb1B/GpzPpm48Z7U37&#10;hEa9HsSxzo1DJI6Jq+6+TVui/fk69blA9JO2ebkIx/1crh/nMY4X4jUhhBBCiPGgJOky4gZNjBeN&#10;tRBCCCGmlTSwlyMGJ+uCezE4WUYuiIoIPKYQuEwD5GXKnQ9+fJi9Wi4ZUZYMceKYVgVz08BplaoS&#10;RgTf0/K0O0c69lWJlbJ5iqLMKIyr7dB0HpraY9P6oM2ayRHXEclPT5LkRDvrbJIx9cB+nXJPOaUJ&#10;hJywUf87Nz5Nxi/Wger6FYn183ecg5zqbJdrV427C/9U1866tc6YsxZ83pv4qnQ+qnxEU7yuNr5y&#10;VD8W56ksyRZV5h8grpumjLI2mqwLjlfZx6jj16bPXq5qfpv4Q2y1bm1Qj5cZ9XoQ7aTMfzjMaawL&#10;NfEllBl2v9FkTFCV/QohhBBCjI6SpMvwTVibNzhiODTWQgghhJhWYpA3lxyBmLioCzT60zNpADGF&#10;IGcMRhJcLAseEnzkGHstb6uL1wiycpxyOer6VwV1xnY22e8xRl6+LnFB2RhMdnFNrsU41Y05xEAz&#10;/S17qpAkRLxOXcCWZBN1xzHgb14bJvmXY1xtbzMPTeyxTX1t1kwO5t7Pd2hjtBP+5rUyu09hXCkf&#10;60aMOa+RrGGMy+A6lIltcFvwOfNjufFpOn7RHrheU2L9PubYKOvefQD/8v+qfqZgB7GOWE+dDUbS&#10;tiD+H9cR//fX60iTa03toApvW5PrRxhv5i3aBmrixzjm5X0smJ9op6mdleHjRz/aMMraYNyx5/Rc&#10;/s/rTeZllPFr0+em88v16vwhpP2mfur2eXQb7eJ6XMuP161fxjzWRxubwrlcm3N8vGI9zBPHy+aV&#10;Y/Q3nkt/GIs6+xVCCCGEGB0lSZfRdAMsRkdjLYQQQgghhOiKmHgQIgfJGLeRaX4fmkuSCiGEEEII&#10;IYZBSVIhhBBCCCGEEFOOkqSijmgjbZ6MXW0oSSqEEEIIIURXKEkqhBBCCCGEEGLKUZJUVMFXr7p9&#10;8K1G04ySpEIIIYQQQnSFkqRCCCGEEEIIIaYcJUlFFcP+butqRElSIYQQQgghukJJUiGEEEIIIYQQ&#10;U46SpKKMPzK5baC/NU0zSpIKIYQQQgjRFUqSCiGEEEIIIYSYct5jImk07V+lKrrnIJMnFbGTaedw&#10;k/eHrxEWQgghhBBCDIuSpEIIIYQQQgghhBBCCCGEEEKIuUJJUiGEEEIIIYQQQgghhBBCCCHEXKEk&#10;qRBCCCGEEEIIIYQQQgghhBBirlCSVAghhBBCCCGEEEIIIYQQQggxVyhJKlYr91y35z3Q2nW7bIXW&#10;rFu8V9R91+2yHm2zcWGvtvJzXV6nXwtx7UFThFiVxDXia8JtfM3GxYehbTbueiRas2HhWPy2q/D9&#10;Jvv7jCUtnBtl9VzaVOm5y+tdPCNcb9AG2tNX0b7N7V1an3Fd+npM++z9rur7Uv9dS+OAvG1ttLyO&#10;WHe/P2V98n5Nm4+J4x7HPjf+cQ7Sedg8NsmYLdeWY1qnZXWHa/evv6Xf97Z7f7x/g+4KIYQQQggh&#10;hBBCCCHmgSLgm0mC1okg5qCKqaMfoO0H7TcHYzcuPsyDpwRMB0XnGg8ax8A4ygXH1+yw6ZC1G3Z9&#10;9DYbFp9caOPCq9HWOyy8ec2GXc9AZjfnFdpAQmXxShv365CVu9nG/w5k595dKGNzK6uF26191yH7&#10;e5AQSpM/S8F67MnKLUv2eCB+MLxiCMpsMrXLJkrP93oHlxobsf20A/vAVvo24wmkfvJt4KPMzpYS&#10;lgMbvD1vp9JybQp/L4S/uYctbFZ8feXU9zHFHA/8y7J71OA+dZ91C7uhtdvv+m/Rft2u3Z5cy+2K&#10;epZsK9oX4trF9Zd8ndnZvNracp9fjEvW7y9P6Lr/R3bOFvcANClfM0mG9WuUH1QhxMTAVt1nbmmn&#10;y/1k31a39JNt5ed7fTkfkvoPVOZDBl0RQgghhBBCCCHEqBRv0rMBwmrxpn5QxdTRD0Tk+5VqzcbF&#10;6+3fy9Zs2PQxZH+/c+sNCyciG7tnbb1+8XFrdtj1kCJw/cBNDyBwfe8N+/x1DBjm5MGZKA+EeHAx&#10;yoMm/cBJP5CzFMxZCui4QvBlWXAHWX0Ewa1PC1fYvzfY8Zvs7zvt9Z/2Rd9JHHjygERDTDZI3WjL&#10;pAhamrt2QfeBeU+MaOPRhmkj6rc3tdX6wCNjMhiXQYJmBZM0GxZ/bG283tpj62Thiq03LF5s/56/&#10;ZuPChfbaZ+zfD1n7PtH/IMDCh6zs6da3s+zYJ2O/lvcncx1JkuZYZQnZpfsC8nvDwH8uu+db2cFe&#10;oK2W15Nco6GPzvWpmVbi3iVmF+yJvYjZpe1D2HcUdl3Y8MB+Z/I+7L7D12x//Q7WeNg7+r5xMFxC&#10;CCGEEEIIIYSAIhiWecNdJwIPgyqmDoIGuT6tPnlyMipXTpKiFn6yZuPiTX0tXLV18eTuwuVFYm/D&#10;4iXI1v1FhTYunmf/v8Blr13K60W5jQtXmjjvWmT13Gz13DnQij6B59cvb4Mn+ePxWV9DCz9DNu+3&#10;2RzeWIintHlie+Pi1cheu8r/Nt3A8aJMP3D884GoK6m7jeLYp/XIj82WPOGwZZLPZfa3RbIvJ7PN&#10;zcm5JtqyDr/Okpa1o8PEntSVFi4dbMumBrOhzQmnlfqA0jzjH8zqfyBr8wcFQwI0Z2dSmdxnux/t&#10;+9Ytk6uD4RdCCCGEEEIIIWaTIuCYeeNcJ3szrSSpNIRikmQpgWJzUpP0Wlnl2xb/r8SP1LV8rWBn&#10;y9fK8nLzqfw4aE02k9uWj9EWNsYHIa4ynbPN+oUP27+v32b9rsfxterFV/3O2JNIJF48+YL8qfh+&#10;Imb5tzmExMxA5U/Gk4AYJCGUvMmI8RpMwdSQ60dfgw8KFPOvJ/lGYctEaPGk9JgSofEbPZYShYM1&#10;PXjCuv+NHkVbNvuBpW96aaqlc6MPSb/5ZfmHPGgbsr9X1IfowwBCCCGEEEIIIWaa4s155g1xnXhj&#10;P6hi6iAwketTteY9MbFlMN3GcfCaNIy2HL/4fyV4plf5taL1Mv3yeRznfE7iGt3JE0NbJoU8IaTg&#10;+pY0TciizcmZzUmVfmLF5QmWKOYjVa7cZm1cfKdd65StNyy+w8p+xP7+pL3+Cfv7ArveVfb3jWs2&#10;LtxmbfsZ826vdWKbVv/U7SOx+VxfhteWyVXUn+f+WkJuI55knbZ1Vdh88TvKu26/9fqFA/2369du&#10;XDgFe7O+Duxs8fZuf5ee+zG22rfXvN0yp30Vc7GUmMw+Cb80R/0EqitNosY583nrau5SH8L1/Nqb&#10;29O3o377+/0Z2nbpx+DSQgghhBBCCCHE7FG82c+8Ia4TwYFBFVNHP5iR79c4ZNfLvL4UtNlSBHXa&#10;KJ7r9S6vmzbk2yHNmsrnOX09Zz+zrnTdLF8rWieSNB4NgvTF01qD4P3mJJAnEwj4D27TYkQ8iRIT&#10;KP1kqz/5uhq+onRhr0Fzp4b+mOX6stKKT0QuJfWKPb5p642Lrys0+E39NRt2fSXiCfG1GxdegrZe&#10;v/i84vf2Ny682rX1DgtvRms2LryL39621z5h1zuv0OBr++16V9q1b0DbbFi8zcreabrLyv7aXvvN&#10;8naOQ9zPp/nenU/Quvrz2Vzx3OL8pToHyeD+da1s0o4q7XrkYAkIIYQQQgghhBCzRxFAyb4hrpaS&#10;pJIkSZIkjUOeKIjJHu7dhcKTWtP6ZF1T6Bfyp9Hod1/+hOnypOdSMiQ/rqtJ0/h0GmOc60u7hJMk&#10;TZfwu4MlIIQQQgghhBBCzB5KkkqSJEmSNCvyJ6dIHPbV/CsyXf50a5QnKlOl5WI9aKn++NW5S1+X&#10;S/v67UwTndOR7BxW0/jkcH+OvA+jJ0atvvB//3sev+GBf/VNDqtLS3aIjxosASGEEEIIIYQQYvZQ&#10;klSSJEmSJEmapAZbsqmCZNFSH1ZPQm/L5GL8P8muSSRel5Kdfn3apcTn9Mvm8NzBEhBCCCGEEEII&#10;IWaP+UySLr4i1ydJkiRJkiSpe8Vk2ZqNi9cPtmRTxbB7ZkmaZvF0+2AJCCGEEEIIIYQQs4eSpJIk&#10;SZIkSdIEddlgSzZVLN8/TuLpTElaGS1/Anjh9sESEEIIIYQQQgghZg8lSYcPcl11zbW9Lrjr7rt7&#10;exz8sOw1ot789nf1Lr/iyt4tP7h1cGYfzv/ujTf1zjz7nEb1SJIkSZIkTVbhSdINC+cPtmRTxbD7&#10;R/ZvX7rk0mKvxp4twmvs7V72mtdnz60T+773nfGRYk/64zt+Mqi1D//ndY7nzpWkZlKSVAghhBBC&#10;CCHEDDOPSdL777LHO5f6MnyStEuqgmNHH3fiFonRMgi+fe4LF2brkSRJkiRJWhnFJOmmjw22ZFNF&#10;myQpyUv2Y2lStAoSpuz5cvXlRPK1af0kTCmfq0eS6nTPdXveY7AMhBBCCCGEEEKI2WIek6Q77L7f&#10;6Ut9Wd1JUj79Pww8lZCrT5IkSZIkaYX1zsGWbKpYniQt16Of9PRWydEI5zVJlLLPGwY9VSoNIyVJ&#10;hRBCCCGEEELMLPOYJF23uM8nc31qq66+bhcIqKX1EyQbBb5+N61TkiRJkiRp8lr6UNraDQunD7Zk&#10;U8W2O+zxuuV9yosnSEeBpz5z9brY341Cm6dVJQmtWbd4r8EyEEIIIYQQQgghZot5TJI+cGHvTpKk&#10;bcXTojn4erVc+bKv2CX45r89SnK1LBjH0wj6jVJJkiRJklaTtt6w+I7Blmyq2Han3S7I9SdV3JeR&#10;8OT/MTHJ3q3ug3ZlT3yWPaXKa/Ecrld2jbJ9pySVSUlSIYQQQgghhBAzyzwmSbdfliRd+o2scYug&#10;VI5cIIzfjcpBoC0ti8q+dk1Pk0qSJEmStJo0rUnSez9gp0ZJUj4UR9Kybg9Wti8EEpy5c750yaWD&#10;Essp+9kGkrQ59DSp1EZKkgohhBBCCCGEmFnmMUm6duNioyBXl+KT/zkIouXK5z79X1YWldXP06i5&#10;8pIkSZIkSSuhrTcsvHWwJZsqdtnvwZ3uH8s+EAdlT3vmniItS6iist+2J9maKy9JOSlJKoQQQggh&#10;hBBiZpnHJKm1/Ypcn8apsic9y54MzUEdubKusq/nzZWVJEmSJElaCU1rknSPgx9+6VI/ln5jdVjx&#10;kwhl5JKkZT/bUPbVvKjsGvrKXamNlCQVQgghhBBCCDGzzGWSdOPiDbk+jUtVQTCeAE3LlwXB6r62&#10;rSwRW/YVbJIkSZIkSZPWmg27vmewJZsqDnj4YzpNkqIycknMst+gr/vq3LKv3M2VlaSc7rtul/WD&#10;ZSCEEEIIIYQQQswWc/l1uztsmmiStCyoVfZkKMnQHHXJzrLrKEkqSZIkSdJq0ZoNCx8abMmmiv0f&#10;/tgrc/0ZVlUfost9hW7upxggLZeq7LdPc2UlKSclSYUQQgghhBBCzCxz+pukdyz1Y2GLvnWt3O9H&#10;QVnycthkZ9nvTpV9pa8kSZIkSdLEtWHhE4Mt2VSx70MP7zRJWvWbpLlvDxk22alvGpFGlZKkQggh&#10;hBBCCCFmlnlMkub6My6VJS756rNceVT2pABPHOTKuwh25VCSVJIkSZKkVaMpTZIuHvDQkCQd/UN2&#10;ZUlPyP0cQ+5Dd/wefVoulb5pRBpV+k1SIYQQQgghhBAzi5Kk41XZ70CRPM2VR8M+KaAkqSRJkiRJ&#10;q11rNiycN9iSTRUP3LTvdbn+DKOyPRuU/RxDjtxvl6ZSklQaVUqSCiGEEEIIIYSYWeYtSXrPdXve&#10;I9efcagsAMaTAFVPhSpJKkmSJEnSbGnT5r9tD/mVwbZsqrjfTrvdvLxPw4k9IE+A5mCPmHuKFOVQ&#10;klSahJQkFUIIIYQQQggxs8xbknTtul22yvVnHCpLdn7pkkuz5V1KkkqSJEmSNFtaliS9YrAtmyrW&#10;7rCpkyRp2W+EQtU3jeRQklSahHj/NFgGQgghhBBCCCHEbKEk6Xh09HEnDkJQW1L2hIBLSVJJkiRJ&#10;kmZLS0lS23teP9iWTRVrd9x0+/I+tdeZZ58z2J1tSdnX7LpyKEkqTUJKkgohhBBCCCGEmFnmLUnK&#10;10Xl+tO1yp4SuOqaa7Plo8qSpHXJVSVJJUmSJEla9ZrSJOn9d95jc5J0zYaFLftVI54SLYOv3636&#10;KQaUg9++z5WNUpJUGlVKkgohhBBCCCGEmFmUJO1eJDPLePPb35U9J4qv481RF8yi7hxVX90mSZIk&#10;SZI0UW1YuHWwLZsqtl/YZ+gk6agJUlT2O6a5slFl+8q6D99Jkuue6/a8x2AZCCGEEEIIIYQQs8W8&#10;JUnvu26X9bn+dKmyT+w3+bQ/GvYT/3pSQJIkSZKkVa8Niz8ebMumiu122eOubH9qxE8w3HX33YNd&#10;2XJ4vUmCFA37cwzDnidJrsESEEIIIYQQQgghZg8lSbsVga6yQBi/Q5U7J1XZ0wZ155c9KdA0+CZJ&#10;kiRJkjQeLT15uWbjwl2DbdlUsbw/zcTTmlUJUhKoufNyKvsph7o6ck+g8lqurCTlNFgCQgghhBBC&#10;CCHE7KEkabcqS3C2eVKAYFcOgmO58i4FwSRJkiRJWv1a+PVgWzZV5PtSLvZ9ZV+R2zZBiviwXI6q&#10;n1WgDTn4YF2uvCRtqYXbB0tACCGEEEIIIYSYPZQk7VZ8pW6OugRnqtxTB1Vf11v2O6gKgkmSJEmS&#10;tJq0ZuPibwbbsqmB32TM9aVKZV9zO0yCFA3zIbqyD+81+Y18aX4Vf3PX1ut1g2UghBBCCCGEEELM&#10;HkqSdicCTmW0DYaVfaVa2VfuXnXNtYMSyyF5misvSZIkSZK0Uhpsy6aGtet22SrXjzKV7eOGTZC6&#10;yj6Ml6uTp0hz5Zv+Rr40v1KSVAghhBBCCCHE3KAkaXcqe2KA13Plq1T2ZCjBNRKl/tW9lCtLkLZ9&#10;elWSJEmSJGkcikkXNNiWTQ1tkqSf+8KFg53Yloz6BGfZk6EkPmPdL3vN60u/6rfq63klaUstXDpY&#10;BkIIIYQQQgghxOyhJGk3KvsKNBg2GMVX5Q4LydSmv4EqSZIkSZI0SfH1tYOt2VSwZt3ivXL9yCn3&#10;kwnDUPYhu7LkZxOG+eCeNO9SklQIIYQQQgghxAyjJGk3KvtatVG+0owk5zCBsFG/yk2SJEmSJGmc&#10;muUkaZfk6mePN0wilj2lPkAntdWaDQvnDpaBEEIIIYQQQggxeyhJOrrKvhoX+Mq13DlNRTCrzROl&#10;PCGg3yGVJEmSJGk1694b9vnrwdZsKoj7xwcs7LVFf6K6JFc/Yq9X9jMPOdhLKkEqNVf4TVIlSYUQ&#10;QgghhBBCzDLzliRt8yRAUxGoyj3xSfCqq4AU1yDARZ3p0wO8xjF+fyp3riRJkiRJ0mrS2u13/bfB&#10;1mwqiEnSDbvvv0V/osp+K74t7O9y9Uex9+PbTNKEKXtFXuPDevrwnNReMUm6eMZgGQghhBBCCCGE&#10;ELOHkqSSJEmSJEnSJHWfB256wGBrNhVss3FhL2/7Azftu0V/JGlmZe8VB8tACCGEEEIIIYSYPeYt&#10;Sbp23S5b5fojSZIkSZIkTUb3Wbew22BrNhUsS5Iu7r1FfyRptrRp6W8lSYUQQgghhBBCzDLzliS9&#10;57o975HrjyRJkiRJkjQZrdlh10MGW7OpICZJt91xty36I0mzqml9zyeEEEIIIYQQQjRCSVJJkiRJ&#10;kiRpklqzcfFhg63ZVBCTpGt32LI/kjSrUpJUCCGEEELk+APTX5r+ybStid9Tuafpb01/YvpPpnni&#10;/zX9telepg2mrU1/b/qfpt83zRP/n4m+b2/axvR/TX9q+l2TEKsSJUklSZIkSZKkyWrXIwdbs6lg&#10;WZJUT5JKc6Q1GxaOHSwDIYQQQogV57+Y1pl2Nx1coj1NlPln0382idFhPJ9rervpAtMPTb0Gutp0&#10;lunVpsNMf2OaZkj+LpqOMX3M9E3TLaZfmXL9j/qt6Q7Tl01vND3GRALxP5qmkT8y7Wd6nelc0+Wm&#10;75t+bcr133WX6dumd5qebCK5zroWYkWZtyQprN24eEeuT5IkSZIkSdIkNL1J0vvttHvSF0maZU3X&#10;WhVCCCHEbMJTeq8x5ZIudXqrSbTnoSYSnCS1cuM6rL5hepXpX0zTwL6md5lI7OX6M6pInp5vOtS0&#10;2tnZdKLpIlOuL6PoQ6a9TEKsCPOeJF2zYWGLvkmSJEmSJEnj07Q9nRaTpNvtsucW/ZGkWdW0fTW2&#10;EEIIIWYPng69wZRLrDQVT5WKZjzRNK6EYKqPmngqeLXxr6YXmW4y5do9Lt1sOt7E1/auJh5k+qop&#10;1+audY2Jp5b5OmchJsZcJkl3WLwi16d5FwnjYZWrT5IkSZIkaUmblv62/edgWzYV3HfdLuu97ffb&#10;SV+3K82PlCQVQgghxErxFya+kjOXSGmre5tENfub+PrY3PiNW3wd72qA5ChfHZtr46T1fNNKw5Od&#10;XzTl2jdu3WgiOSvERFCSdLWKxKMnHwkqhsCiVKE4TnEM+1JSV5IkSZJWXraPPGOwLZsK1qxbvJe3&#10;fdsdtCeT5kkL+tYrIYQQQkycw038fmMueTKM7mMSef7M9AFTbtwmqa+Y7m9aKXiCNteuldSFppUY&#10;k3uaPm3KtWnS4quO/9IkxFiZ06/bvWCpL10mzKhLCc3ZV5qIXTo2C0nYByzs1dt1vwf3Nh14aG//&#10;hz/G/n1ob3H/h/QeuLh3ERhet2mf3sGPekLvCc96fu/oE17Re/Fr39w7/uWv6T3qyGf0HvSox1sd&#10;C721Oyz2HvToI3rPf+lJvXd86MzemZ+9oPeBT57be+GrX987/CnP6i3sd0jv/jvt1tt0wEN6R7/w&#10;Zb13f+QTvc9++bLeRV//du/0j5/de84JL+sdcdRze1s/cMfedjtt6j32ac/uvf609/Y+ef5FvS9/&#10;45reeRd/rfeqN7+9eH1h34N7999xU2/vBz+i9++veG3vvR/9lJX7Uu+ci77aO/V9H+497ZgX9g5/&#10;8jN793nADr3tdt6t98gnPaNox8lvf2/vlPd8sPfS15/ae+Kzj+3tdcgjeg/ctHdv7Y6LvY2779fb&#10;99BH9w45/Im9hz7uydaXJ/b2eNBhvQ277ddbZ+OwZr310eyAr1x8wMLeNib72vjs07v/znv0trV+&#10;0f/c2LZT6kf6dqUkvySNV+7HU+XKNhPndq3cdcrVbX+60bQlSdeu22WrXD8kKVX9+oprOaquTDy+&#10;pPGvaSVJhRBCCDE5/tHEV7DmkiWjSEnSPDuYrjflxmyl9AzTJOGJ5Q+acm1ZLZrkb9XsZ/qZKdeO&#10;lRJfwYtvEGJszGOSdLtd9jx9qS+5hCaBhvlJdPK1cYV23K1Igq3NlJEmqaVAV9vAVz+Jt09vx70O&#10;7N1/592L+Xzgwl69vQ45rPfU572g9+pTTuu95X0fKhKXJDAPePhjeg/YdY/eTlZ+/4c9ukg8fvWq&#10;63s3/fjnvau+98PeJz//pd4zj39Rb5d9Duptv8vuvU0HPNjq+ffex8/7Yu/qm28rdOHl3+qd/Pb3&#10;9A559BF2rT17u+57cJEsfe1b39W7/Nobi7q+deMPikTp0455gV3rgKKu3Q96aO+o404srnHN939U&#10;XO+LX7uyaOOBj3hMUYa6Dra6Tjr1nUUS9QtfvbJIgL705Lf0HvrYI63te5rdburtuOcBvYMe+fje&#10;k5/7772nH3tikRg9+FFH9HY76NDe9laGpCXJy/n5isS+zYw3aCpJfVX7KV53+WvcX6NieWk2tDTf&#10;ZfZhr/EtRlPDPdfteY+0D9LqVt4vlfmjWGZetLzfFX5cSVIhhBBCTISnm3IJki50X5NYzuNNubFa&#10;DXq3aRLwW7Wj/t7tpPQU07h5lil37dUgJUrFWJnHJOn63Q84JdenlRKJm+133au3y76H9A54xGOL&#10;p/d4im33gx7W22GP/XvbbNi1t+2Ou/Ue87Sje894/om9l73+Lb23feBjvZe/8W1Fkumgwx5bJKd4&#10;Su5Bjzqid+xLXtV790c+2Tvv4suKhNKb3vn+IrG11yEP7933gTv1Nuy2b++1b3t3730fP7tIYl3/&#10;w58UCSgSZIc98Wm9dYt7FXrc04/uvfndH+h94avf6F3xnZuLp/dIhj3+Gc/tLe5/iNW1Y2/HPffv&#10;PcPacMxLXt17wStP7r3k5Lf0nvzcF/QOtH7sss/BRZKOtm/Yfb/eDnseWDyhmBuDVB5ULQ/YoPTY&#10;/AW5tttlj94Oex3U2+ehjypsZt9DD+/tfvDDiqca19r48NQnNkXy0Ofn6BNe3nuczeG+D32kldur&#10;96/3W997+BOeWswjycj3f+Kc3js/dGbvBa86uXf4U55ZJEjX7rDQW9jvQcXcv+i1b+q944wze6ef&#10;9ZmiPE9hcm0Slv9mdT3siKf0jjz6uN6/v+J1hb38u133ic86treftY0nLmkXydw9H/SI3kMec2Tx&#10;pObDjnhqb89DHmFr4EG97WwtFE9iVs69NKzWZr4msnqdSatd+fnjNX/dkwDz5yOl1as1GxevG2zL&#10;poZcPyRp1sXv8Q6WgBBCCCHEWFhr+pwplxjpSlubxBKPMOXGaTXpeNM4+TsTibfctVerHmkaF6eY&#10;ctdcTWK+/sEkROfMY5J0x70P7iRJun63fXubDnpYkYTa68GHFUlNvoqTr9zkKb4Nu+9bPLX3pnd/&#10;sPeRz3y+996Pnd174ateXzyxR1LzfjvxFaGH9U56yzt6X/nWdb0bfvTT3rW33N47+4tf7j37BS/p&#10;7XbgQ3rrN+1dPOm336GP6n3n1h8XT+Tx9N6Xr7ymeFKPJ/Z44o4E6QEPP7z4SlKeBKQuns77xPkX&#10;FYlUkpokPu9v13zoY5/Uu/6HS3XxFackSP3pPeriqUASpCRRb7z9Z8VTfh/5zPm9pzz3+OLpPtp1&#10;vx0Xi687jXXxJODLTj6l6CP1UN+hjzuy97b3f6T39etuKur69k239j74yXOLhBtPFTIWazfuWnwN&#10;6ulnfbr35vec0TvF9JwTX2HnPrm3cff9i2Rr8cTgXgf29n7Io4rEGmO/eMBD7fy9s/MzrMoTDv63&#10;Eg2zJp6exsbW77af2dcjewce9rjew454Wu+wJz6jSObywYLtBut6W7NDEs4nvPoNvdec+s7eK970&#10;tt5Tj3lB8SEEEsXb7rBY2OmRRz+/WEMkk08/89OFL8Dmd933QUU5nnBFrz7lHbb+Tuu96LVvLhLL&#10;JLB3HXwdMXWt37RPbx+z+UMOf1Lv4dYmvgY514fOxFrbaXfzGQ/t7bT3wcUa27jHAUXflUxtr+oE&#10;ppKXq0f9D5XwAQ7Xjnsf1Nt+Ya/igz6U4d915gt2sfXJOsRP8AGVnfd5ULGWOY5/oCzHDnyE6bDH&#10;Fx9eWdj/wf2vLB8cp+z6TfuaPzik+PDQzvscXHyQiA9MpR9k4Gu9kbdjdrRw+2BbNjVsu9Nud+X7&#10;Ikl8CGmx+FYW9gvrzIegjXseUPyMAR+I9K/iZ43zVf3sOVj3fICM//fXeH/985X+/kHDeI2VEL/H&#10;O1gCQgghhBCd8++mXDKkaylJusTBptwYrUYdahoH/8v0DVPumqtdu5m65s2m3LVWoz5vEqJz5jFJ&#10;uvO+D3pl2h8ClwQodtjzgN6RRx/fO+q4F/WedswJRVKQryTliTsSG/s/7PDeMS9+Ve/Dnzm/951b&#10;7+h984Zbiq8R5enOgx/5uCLhx28jPunZx/aOe9lJvTt+3SvK8aQmCZPHP+M5vQ277VMkGR/2+Cf3&#10;XvSaN/Y+fcElRZlvXH9z76PnfL54jSQjSU2SoyRbeO3O3/brOvdLX+294R3v6z3mqc8q6qG+hx/x&#10;lN5LTz6leHqUJ0NJSH7o7M/2Xviqk4s6qIskKu165Zve1vtpr1ckUT9z4Vd6r3vbu3uPfNLTi7p2&#10;2GO/4u9XvPGtvc9fekVR12XX3FAkNfndSfpGOZ5epS7aQV0kUekHX5VKW/pf4XpA8SQiSeALLvtm&#10;UdfXrv5u7/1nfab3vBe9orfngx5WtJ1xo663f+BjRR9JuPIVrLSBhC518TQjCVna+qUrrirGgcTy&#10;ez/2qc0JZeriSdpHP/mo3lvee4Ydv8bafV5RD/O45yEP35y8Znwf89Rn957/stcUX936zONf0jv8&#10;qUdbmx5eBLO2s3I7732wXfdBvYc+7im9I59zvJU/2trz5N5eD35kEdwmeEVAmyA3X/36ZCuD3Rx1&#10;/It7j37KswpbIWmO3ex24KHF05bPPfEVvVOsba865Z1W7kXFeXzVLUEwypIco/6H2Osk3wme057U&#10;XudVBB4ZdwKMjD3rdT8b58c9/bm9px97gtnIc4qnUnc78KHFHGLPfA3vobbWzv7iJcXX9b7/zM8U&#10;HyZ4ynP/vRh77AsbxCZZfyT7sedPfeHiwnZJ8rN+9jj40MJOn/H8E3q3/vzXRcKfDwWc9sGPFU9q&#10;81Q1dfEBg+e/9NWFX7juB/0PEPBhBdadfyUxCVXqOvqFL+396Be/7X33tjuL9fbW0z9crHfazTUf&#10;8pgnFr+zSltSf3NA8aGGPYonfPlq4UMe/cTea059R2GDBz3yiCLwmhvDcagIAi+aX9tt3979d9q9&#10;mB8CxcwRyR0SSLnzEEnEVLlybdW8Xk9Y+nEC1K60rBTFfbP4gAH3T/NfO+51ULEe8V182IAPD7FG&#10;+eAQdkDSnd8h5h777Be+rPesF7y097hnPK8oz7cNUA9fnc2Hf/jWBD6889q3vrv3sje8tXjS/SDu&#10;sbYuNtr6wNc/7PFPKe5z3Hs+dPbnirKsq533PsjW/269vewew3rit4cvvep6u5fd2Dvrcxf1Xm3r&#10;mt9Q5l7GB4ge/4xnF+VYYzf/5O7exd+4uri3POvfX1x8KIgP+3D/ZL2e8anzCv+An/D75yOe8NRi&#10;vfJ15E945vOK+8337rirEF9H/q4Pn1X4Df/acu6fqb/hw1F86CL6G+rivB/87FdZf8P6P8DG+5m2&#10;5t/y3g/Z3uBrxXjwwY2nH/vC4p63nV1vJxsPfMSDzZ+c8t4PFvc87kWPP+p5vX0f+qhibvhgBE/y&#10;729z8cgjj+o98VnP7x1hc/Nw86d7F/e8fYr7FIleyi3s/5Bfrdm4+ElbN5+wtXWe7SU/YTZh/y6e&#10;v2bjwoVbb1i41P6+2F77ppW7PtrNkqYvSWq2fHO+L9JqUpGs3KmfrORbWviNdP+mDfZZfNtG8cEo&#10;s2v2fez/njP4jXV+s/xJ5g/2sz0bH5zYaHvG/WzP+Pijnlvco9lbfvjT5/dOsT0962x3vtbf1iL7&#10;Y3wGH4q68rvfLz70yN7f9+usWe7XfGML3/iCn7n9l73iQ4/v+egnN+9l2Uewb+e32fE3fLCQ/Tp7&#10;f/wN57PfXTR/w/pkLV/0ddsX2x773Iu/VvgC1u/Ohb/Zw3zJw4tvouH319/6/o8UH0K0NXss4j0g&#10;vw1sf59r6/FSnu7OjaeSpEIIIYQYBzubvmrKJUHGoTUm0f+60rtNuTFardrO1DVfMuWuNQ26xNQl&#10;R5hy11nNeplJiE6ZxyTpUcecuP0RRz2vt9chjygCqQQRnvyc44rk3flf+XqRtCAZ8aZ3vb8IfhKM&#10;2HrdTkUAhKQJyQyCqSQ2zv7CxUXglK8upS7KEjT58Kc/VwQ0f/SLXu+K73yv+NpRD35us2GXIknH&#10;ayQPqQuR/OD3H/d5yGHFE58kSgia8AQnT3sSTLnsmu8WbSB5QrKFugi40lbKfPe2nxSBGc6hHQRa&#10;qWvnvQ/cHJQlIEMfSTK+/A2nbn4addsdFop6T33fh4rgDf0jMEOClKAvwRueHiVoTBKI36W89Nvf&#10;sbp+UyQuX/zaNxVPo3I9ypEsffsHPmplri2ebCXQQ+CZYDSBacoQVD7xpDcUfeep1R/94tfF1/uS&#10;3GWMqAs9+snPLALNX7v6O0WwmPnhK2GPOIon8/ha34Ui6UobzvzshcXx2+7+Te9zl1xeJKuZH8rQ&#10;TxLVtONrV99Q/F4myWmedCUJSxCbcpQnqUVAnQA2STEC4owhCS6efCWQRV+wG+aYuugDyXCSwySJ&#10;qYvgOk/9kvi9zuaZgDdJL+yG+aEu7IL5IiBGe6iLhDLJPJLWBOkod6DN9ctOfkvvfR872/r29SLx&#10;R8KMoBnJiG2szPbWLr7umKThc1/0yiIBzNffHvzIx/d23PNAG8/di8QGid49DzmseOLp4U94evEv&#10;AcSNe+xfJJNJGhFk5KnIPWyt8DXQ/SenHl0Eyf2pKIKR/E1ChOOPeOLTbV6OKZJ2BCO33wU7tXbZ&#10;vzxVRcL5eS9+dZH4OPGkN/Ye9eSjens8qB/MxyZIWPL6aR/8eO/Cy79d2BaBycOf+qxiTFmLzNMJ&#10;r359MSckGRgvtxvsmbWB3fCV0e/+yCd651x0ae+Hd/2msGeSDB6w5CujscGXvO7NRQCS49gqdsOH&#10;Alhb2Axr+4nPOqZ3+sfPLoKerGvsgrVCsoW1umb9zsV8YjeczzpkDVHvMS9+ZWEH1IPd5PwNduP+&#10;hnWNnW3hb7745SJwSgCVurAbfueVxAj9x0dgP+5vSAJRF77reWYLb3zn6UWQ9CWvO8Vs9FnFE3D3&#10;K+Y67+el2RBrniSYP6VEEpvE2YMf8yTze0f3jn3Zawo/csQzjyk+FMQHNniKeZ+HPLJ4avq9H/1U&#10;75Irr+1dXdwPziuSdKwbbAt75b71sXO/UNgxa5H7Agk/7gH4LtY19xZsHN9HGRKI2C32S+KAulhH&#10;+NizPndh8eECynG/4j7l9oxP5QNG2DHJ0e/f+YtibbCe8MfcD1iL+AruU1yPtUpdJCy5R9AW1g7t&#10;wr++44yPFb4E38xaw2dwb+G+6f4G38L13N9wf0/9DX4l9TfvOOPjy/wN9z7agF+grjJ/Q4KUr8Tf&#10;7G+sLH4w+ht+1xl/Qxn8DXXxtfgkYPA31BXvU1wHf8PY5vwNH3KK/ob+ur+hf4x/8DdDJTj5Xc+1&#10;63bZiq/vtHvM1P3O4f122PR6vjKeeyxrhuT8Z798eWE/JOOZ64XBnmTXfQ4u/C739Qsu+5aN6U+L&#10;JNbxr3htkZy+v83ztsVe6alF4ooP8Xzzhh8UCX3s+zHsSajLypAQO85shA/okRC7/ofcDy4p6ucb&#10;SShDfY80+3ib7bvOufDS3le+eW0xn0Vi7QlPK9bE/Wxd80EF5pV7IR/g4R77rg9/ovjg0ILds2k7&#10;32TwEPMPL7f79PvPOqf3AdsHvt3KH2O2xT6ED5v5Ho5vUuBe9c4Pn1nsPV9s91P2AXwIif0BPwtA&#10;kp72v8HuQW+3e/vJp72v95wTX17Y6XqzQerCnvlwxGtsv0Q/P33Bl+1e9t5iTPngA/sIfBM+603v&#10;+kBx/2Qfy7i9ymyXD53hb7DVBx/+hKLfrAfWxs0/uavwUeyzWIPsp1iTJDXZf37rxluKveUlNmb4&#10;Lj6gx9pgLeJ7uHd+9stfL9bFjbf/tJhT/2YV9zf4LsaTvS51sSfnQ3q0BX/DesTf8CE+5oV6qI+k&#10;av/DHX1/gz/EH3C/x0f4ByTYp7i/oS7GhT02x/CnfCgL/8O+h76xrtm3s1fCJ/n+Bn8xMOdK4jpl&#10;3Q5eFkIIIYQYmf9ierUpTXqMW0qS9jnHlBuf1Sy+YvVPTV2xmn+LtamONHUBCehc/dOgA0xCdMY8&#10;JknffdZZWxG8JZBynwfssDnhQrDFg7ckCQlSEPi413YbioAKv9tI8pOgBgFQAiEk7gi4EuCJCRcS&#10;XDyR4sFUgicEb6iLsjztSJKR4McP7/p1EVwmUUeCiAAVgRICRjxJw1OhtIm6CAoR1CFYec/7ry/6&#10;QNKPQDBlCPKSsCMASsKSdvcTvIcVASMSKLSL6xI0IeBJwIV2bb/zbkUwlWAfAaUf/OyXxVOkJFwI&#10;khJwoS4+Xf/Gd76/aDMBaoIuJAA5l4DSv91vXREQIklHgOr7d97du+WnvyzGl/6QsCGoRH30l8Av&#10;ASrq4mlTAlkEeegbdRGoes4JL+2RBKIeROCcJ2dJSjHu1EVAj/m46nu3FnUR6CWQxVgz5owXweXn&#10;v/SkIlhO/2756S+KQBbzT+CMuhh/gpYErq6++UdFXQSf+D92w5hSF7bBeV++8tpi3BlX2khgnsAZ&#10;Y+VzTTuu/cHtRdsJVLnd0G7GnvI83cNXJZOQZS4JaBPIxD6xU8bjcU9/TjE+37H2UBfBf8aPwBlj&#10;Sl3Y4ElvOa2YO3/ikYA8iQwP1BNgY76Yt+ttnG6xPhI4J9lOcpoy1MX4vv609xV2g51SF7ZGkoR5&#10;8bqwI+yJ+WO8eIqCxDAJf8rQfhIuBJG5Du1iHZEMIfmIPVMGW3zm8S8u+s5x6sL+sRvWA2UQNkhw&#10;kAAi7eK6fACARDd1UIb2PffEl/f4IAI2yvywLvk6aMbo3ttvLOYIG+QpDuaFdjHXJAGYN/pG+7Gb&#10;42xesRWvC3tm/pkf6mL8sUGSEdgedVGn2w1rg3Yt2c01m/0Nf6f+hqfk3N9QF3PtdoMt0C5PuGA3&#10;1IPob/Q32DOJFfwNbY/+BruJ/uaFrzy5GNfTzjizSGLzldc8TU0yfM2GBWtX/n4gjar+k6s8cfuA&#10;Xfcq/n3gbvsWCWzGfU3xu9T9r0A+9HFP6T39+Sf2nvfik4p/sS1sfev1uxSJEuyZxAI+7ppbbu9d&#10;fu1Nhd0Q9Mff4Lvc31z67eX+hvUS/Q3rqfA3t/b9Dfac8zevPuXtWX/DusFOqYvfJXZ/w7rm/sl9&#10;KvU33G/wN9R1049/ViQK8DfYM+VYk/z/M4m/4f4W/Q33mTJ/w3hRBl/Bk9fR33D/xN/4vYVy+BvW&#10;S/Q3fp9yf4MPe675a+737iMYExJp0d+QCCWRUedvuI/gbxhP2nWp+Rs+UBT9DckX/A11UJf7G5Kf&#10;7m8oT6I79Tc8oZ76G+5T0d/QTuyG+xh1kbwJ/mbqngLtgn+937pjSTxjgySbmBv2EowJNhj3N+zB&#10;SIhh65TDbkiiYYOsCdYitsg9j73d0v7muiL57TbI/LDm+LYN5pi6mHO/5zE/zCN24/c89iTsvUiA&#10;sif1/Q1lSfoxtyQPuR7/8mE47hPcD6gL2zj+5ScVe2Hqwm6wbe5d+A/sgQ9SYGsk82kP7WKN8CE0&#10;/BLjgK1S/gSzXe6ZP7yLvdLPiyQhH2AjMUhdJGX5cBk2yDjRLsbtnR86s7jnsXZoF0m/l73h1GJt&#10;sQ+/6fafF/6GfrO/oS7mh6+2557HBwe/f+cvzUfcUnyoifXHONAuPljH192z5vlQHWuNDwbwExX4&#10;G8qwl+VbQvBdrGvaRXmSpvguyiA+WMeH2q787s1FXe5v2BtRB2XwETwZzjVIkFIXH6wjKYvvogxt&#10;I3Hsvos+sp8g+YzduL9hrtkfYoObfcS3v7PZbhgr6uJ+gN0wL7fd/dtinpjrgTkLIYQQQkyc/UzX&#10;mtJkxyS0jWnemdRXG49Dp5m64PdNPzDlrjFNusP0R6ZR+G+mK025+qdBN5n+g0mITpjHJOkuex64&#10;FcFIglk8oUKA9Fs3fq8INCACWwQ8CGgQ3OCJkg984pze1666ugjeECAh8MUnwgnwUBfleQrjC1+9&#10;ovftm24uAkoEngh8IOoiGMYnzwkCXXb1NUVdBHoIthBQIihFcIcgDsG2L37tG72rvveDIthK0Jj2&#10;EtQhSEKAhE/EEzj5+rXXFnX50zsENTlOXQRR+aqvi75+Ze+a799aBLsIelEPgRTq4ro8scqn6b9x&#10;3XeK4M4l37ymCBTz9aAEiyhHYI3AzZev/KbV9cMieEOAhnoQ1yMY5p+mv/I71xfBHYL1BIoJ1jAG&#10;jClPPpKM+fKV37Jx+lGPp1EJaFEPAWXGlH8JohEk/9Z3byj6SBKSpwwZI58fAmskAS799rd71/3g&#10;9t6Pf/XbImhHXQQGqYsEEAFmEsDfuvHGoi7a/oJXvrYISFEP9flTpl+9qv+Vvnf8+rfFXDNeBIgJ&#10;PPPEDf0hMHfVTd8rypEg5OkdksmMA2PGkwEEsL9mc02Zn/6mV9gI5xO4pi7shnHGBq+++eYigEUw&#10;juAXdkNdBP6YawLpl11zbb+u3/aKYCU2gQ1SF2NCYpLg4zXfv6UYC386mWtSF3NNkv1j536x9/Xr&#10;rivGgbq4HnVxnLqYd+wGG7z2lh8WgdmPnnN+EfBjLBlT+sBc8+TuFTbX2A1fl4yN03baTV3YI8HJ&#10;Cy+/0tp0m9V1m62Bc4qnKQl4Uoax9ae+vnH9d4u6+KpqAsAEIrFnrklAFrv50hU8gX17Echnvnjq&#10;KtoNY8OcXGl2Q2CTJyxZY9TF3FCOgDB2gw2SBCIgSUAWG/C5xoZICpDs/+YNNw6SjL8pxoe5w55Z&#10;G7STdmCD1//wjiJpQzt50oM1wfWYg9Tf4Cdy/ga7wQaZH/wN45fzN8w1/obkB7bD68yj+xvGuLCb&#10;gb8hIJv6G+wfuynzN7Rpyd98vvf1q/v+hrXE14D3v5JwbxsvW2c2XgRyeXL2Ra99o/mVl9o6OK5I&#10;+vEkMclWnk7mqWeeHl484CG9TQcdyld39jbssX+Pr+jlySP/3bY24qt++cpWnpDmekt1beptx1cz&#10;73Vgb9f9H1z8liRPNfF0NG3iKSf/6mye7uJrCZ974suKr+J++rEnFsmjBfMj9A/xG5RHHffi3qvf&#10;8tbeOz70cRvfc20c3mTr4eDeznYNnuba1eyHNUXC6ouXfrX35W9c0/vQpz5bPD3O2njgwl42rnsX&#10;T0fz1NdXvnVVMX/4G+bafRc2iN3wgZDU37BesOcyf3Pnb39b3A84HxukLuyDJ5sKf/M99zcXL/M3&#10;Ptepv8F/ur8hwVPnb7BT9zckcy6/dsnfkNDgeu67SACl/sa/DQEbpC78DeeRePj64D6V+hsSQPgb&#10;7lNt/c1PzD+z9hmjnL+57gc/2uxvsHH8DHUxTzxRynrA31AX/oZzU3+Df7n4G0v+Bv8T/Q2+Nedv&#10;uI9zb3F/g1/hgx2XfHPJ35z2wS39Dfepvr/p/x44a5v1Th+9rip/w5hTF+W5T5HIc39z7S0/nssk&#10;6dEveNmxnzj/wsFc/6RIQrKmsGEfU/wrY/jlK68u7JlkGHOKzTDHrDPmCRs8+4sX21zfVIw9yU3W&#10;OmuLuvC92A1PI3/lW9cW9kwyjD0C53td2DWJ8M9ceIntlW4q1ixzhV0WT2oO7gfYB8nRr17Fuubp&#10;yruLD+KwDv3+yXrDr5938ZK/wffwIR7sgP5h0/6k82XXXGfj0P+aatYGdbEmaBfrEhs8/5LLCn9z&#10;rfmbz1z45eL+gC+hLtYtH9j64CfPsbr66xr74sMY+A/WBu1iLWGDX7j0671rbr6l+AAI+0x8F23m&#10;elybJOSHP/1Z8zffsXp+amvoTttPv6eoizGjnO+xL7jM/I35Lj4M9/HzvlAkR30vi+3juz5+3udt&#10;TdxQ3Ku/e9uPi/5wHY5TzvfYF15uPuKWW81H3Fb4TvZKzAttZzx44vcT59se+/obiuT1d269rfig&#10;AvXQNsaCJ+TxXRd/g/vBrYWPYG0yPn4/YM77T5l+yWzwxqKuq2/+QXFvYazwXdTF+n3b+z9qPuJq&#10;u9YPiw9GMffMG+MwMGchhBBCiInxP0xvNaVJjklq3pOkf2b6tSk3NtOivzGNyotNubqH1ddMbzI9&#10;1sRXJe1k2t60i2lv0xNNbzON48MBjzGNwkmmXL1d6Memy03fMv188No49FSTEJ0wj0nSe65dtxVB&#10;HoKDJOYIYH3/zruKQCNftfWPW9+/+IQ/AVcCOQTAOHbb3f2nPvgUOIFggh988pugBAFqAle3/rz/&#10;KXnKk9D7v/deW5QhuEGQh6AygQ/qIonKOQRTCDpTjmCJP5XHEyvfu+PnRXCDYO7//reti0+HUxdB&#10;HpIdBJOpi3/pC8FbngTgk+Ye5CFYxifbeSqHa/Mp8r/5l/sUddEHgjwE9OjbbXf9qggEEzjjKRme&#10;YKBdBF/8CQWux6fg+ZQ/AeSt/vnemz+9T5CHgB4BP54Y6Ad5zimekuGpAj7ZTjCOIA/JWuoiiEUg&#10;m7H523+9b1EXQR6CgyQZCBTf+jOeBPh+ERgmaUE9/vQbwXueUKCu/tcN/6hIknldBAgJDpKcJlD8&#10;g5/9okgC8VVz9J0ytM2DyiSSqIvgIIF/Esh/d881xTUJNGI3PEVE0Iy6eNKR8WNOvC4C2iSxuA51&#10;MdcEJTn3/9xrm6IubJDgF3NL4POWn/afPCLgRjCScWcuSaLxhAJjyZgy19f/8PZirP/hvvcrxsET&#10;qQQz3Z55soUkCQFE6sKeSVTz9BbtufXnvyyeLiBgz/X+ac12Rds9sUHyo/+E7M+L8eUJBQJ1boOM&#10;HfPPXPMkDfbAeBGA++dtti/q4m/shkQ5TydhN/5kC/ZJu7BBf7KFuWZMsflrrG3Y1L9u+8DiqRyu&#10;TVCZp6D6T7X+tKiXQDD9p13YDckJAosEWhlT7Ia20R6eTMamCV5yHh8scBv8wuDJFuaFughQYzes&#10;BeaHYCTtIolAPfgI5oegKv1xu2E8SMDTb9pDH6mTZAh205+ffrsY15y/cbthTeILmI86f8NTPtgW&#10;ZZgfbJD5b+JvSPBEf8MHE3L+hgAwdWGDJMRoh/sbAsf4Rfoe/Q3jl/obAsHR35AQY3yYG+pyu6FP&#10;XI+55iso+a21v/mX+1rb+/4Gu2EdR3/DB1rwN9gMfcTfYDfYHXUx19g9ayr6Gz64QZA/9TfYU/Q3&#10;+JbU35BU8LqwGz64gZ/F31AX84lf9CeiEOuShEjqbwj6M/Z1/oa1zPXoZ5m/4X6Q+htsYLm/Ob04&#10;n7FiLkmq5PwNiZ+/v8+2Rds9kYptpv4GP0pdzCVt5Ol06nB/c735G+6F2H30NyTzor8hIcI6xW6w&#10;V+yGpzkZpzJ/g0/x+xT+BhvkPsNTs5RzG3R/Q0Jms7+xexBz5/7GE6mcn/ob2kxd2GDqb6iLtlFH&#10;zt9Ql/sb7oPR33DPI8FS529IpLrdYIOsORJP1MHYYzfub/yJQuyZ6+Pn3d8wV3xww+2Gsc35G+yI&#10;5HS/rv5e6YLLrpzLJOnbPvDRYxknfBzzzL6C+wT2xzpjrvnAFE8B8+TejbffWcwj98q//Pt/3exv&#10;sBuS5NgCfpAnHUk6ktxijVEXc/2CV76u2JfyNcmUxR7YI/zF//2Xogz7G/zd+z7+6cLfsGYpQ93Y&#10;OdejPu4t+CnWKUl87AYb4r7+5//nnzf7CD7wgw3ib1izlGHdsf6wB/rJfgG7+fp1N/Z+9Mt+u/Al&#10;2LjX5XbDvhT7Y53xTQ74fnwMNs8aYX/D05zfuP57xYflWJP4evzg/7S6th74CJ7cLe555m9+8NNf&#10;FD6Cp85pC3WxzkhU47u+fVP/5xboIx/44wMSf/UP/1a0nfsUyVDs3NcG9wb/AJuvDT5swQfk8Aus&#10;Wdr1pSu+Xfh2rwufQjvxXdyLv/+Tu2zeryrGBjugLnwXezXuU9zzKNdPiF9pY/rE3l//072KtnOf&#10;wm7wXXwwgnsx9z/mzH0X92Lsg/sSfaMubPHzl369SEhz32BMuTZ2099j/7Z3k9kF7wPi0+MDcxZC&#10;CCGEmAiLph+a0uTGpLXWNM+81JQbl2F1nemNpmebHmR6tOnBpmNNPPX5RVPuvFH0ItMo/FfTb025&#10;utvq86bdTU3hicfnm3J1DavTTcPy56ZcncPqZtMbTJtMud/q+BPTw0wfM+XOH1Z6mlR0xjwmSfc8&#10;8NCtCJIQ+CE4QgCX33ckeUSygwACgSeCESTNCA4SyCfwROCbQBDBGAJdBLFIohEAIZDFp9sJWBIY&#10;JphOkITAE4EVglH+G0MEnkgAEiQlSERdBDkIuLzzQ2cWwUzaRSCH5ATBWoK3JIMIYvH7TxyjzGXX&#10;3FgE9wmSEnwmUErgiKf8eJ2gGNf81Be+XNTFJ86pi2ARAXg+Uc9TDtTF1y8SXKMd1EFdBLS4Pu2l&#10;3YwFwSoCdQSuqIuAMgkT6icYQ5D+km9dVyQGGB8SAowpQXOCNwQWGU+ChwTRqItPuBMMJljE00EE&#10;0wgS0a6Lvn51MV88JUCignYRtGOMScIQ5CVwS7KFsSfYzNhTliTQqe89owhwU9cF9i9JBtrOtWgX&#10;wUSCUQSVPTBNoJC6PDhIAA27IdhJ8Im6aB92Q/KBMSA4TfCT5AdjRBCVMSNxw9gwlgQtmWsC0T7X&#10;zA+BNsaBwCJzQ5ARGyRpht0w7gQZCaRSF30j+Mmckxgg6M9x2kWylAAiiW6CYohALokH7IbrEWTk&#10;HK7J9QiukQwjUMc1aDflSKCR/OB87I+yBOB5ze2GrxymLwQosXeC+cw19k3fGU+3G9pAvxgrgn/0&#10;l7a63XzpiquLMcYuCQp6QtbthrlmXEnSMTYkb5hDxv8pzzmu6A8fUCjm+rJvFU+k0FYCkSQ1CH6S&#10;WMdWmGvEk27MGXaAbWEX2A1zS9CSdvG7Z9gk7ScIzJrl2iQssBuSStSFPWJLJMSoi3nCbmjHZn9z&#10;6RVFXfiXMn9DP/E32Lj7G9YRduM2SLvOu7jvb+hTlb8hkUOQlDmmLuy5zN+QLM75G+pyf4NPwJ6j&#10;vyF46/6GD5NQVxt/w/xgz1wff0PgPfob5oS6SIZt4W++udzf0Ef6it0wjiQXmR/sJvU3BNEZw7b+&#10;BrvhPJIUy/yN+ZfU3/B6E3+DfWITZf4Gu6G97m+wQWwXu4n+hrrK/A3jxbi5v2E83d8Q4M/5G+51&#10;7m/4LcHob865aEt/gw2yVvAflIn+hnXv/ob7lvsbyrm/we6wP+pyf8O9lTJl/ga7oe/MNe3nAygk&#10;P9zf0E/6iw2m/ob2kxj0hKz7G+aZcWV8U3/DPJT5G9pU5m+Yd9Y6yRP3N9yPmNvob0jSMIaMe5m/&#10;oV5ei/4Gu3V/Q13ub5hb7CH6G9aD+xv6i43zpHzO37C/4T6FXzzxpNfPZZL0s5dcfixjij3jb/Bv&#10;JCAZU/Zy+Fj3N8wRdoOdMr//svYBm+2G9ckHkaiLD/4wxv4UNnUxB+w18Qtxr4Tt4vuoi2QYfgU7&#10;wTf07fmqwt/wIQaOYxPYBv4Gf4U9u+/Cr7POqIv1jd3g90jwUhc+jLmm7XxIiTWE72KfjN1Qzzes&#10;nx+2NrLO+KAJdTEe2A37Yr9P0VfWCm1nDFi37JWwSZ4IpX/4AMaOexdtxj/vc+ijivsDvoMx597C&#10;fp31yv3EfRd7PvrDfYdx5z7EPY/68TP4VPxh3Bdj9/gu9zfco3yvxIf22Eex9rku9yN+yxtfyhqi&#10;Tu6B+BvaTTmuzTjg++Jeibbiu/iQ0cXfuKa4Pt8+wPywtvE32I3PNXXhu/A3jBH9w2cydtgN/oa2&#10;M0/cP1900hs37+HwN6xh/ALzw7jybR/cI/A3zCH+ZmDOQgghhBBjh6c306TGSmmek6R/acqNyTD6&#10;vukppiY80PQhU66eYfQTE79pOyz7m3L1ttWJpmH5O9M7Tbl62+o207DQh1ydw4jk6H8zNYXfB77E&#10;lKtrGOlpUtEJ85gkfdJRx2xFMIIgFp/sJlhC8IbgAoEggoMEggmceICHwAxBCwLwBCEJfhIEIZlH&#10;sIkAI+VIlBLEIuhBIIi6CN4SJCMQxqe+CW4QOCOIRbCCughwEKDywBN1cW0CLpxPIMiDXQRJCHRT&#10;F8EUAqa0g7YT5CWYQjs98ETwlmAXQRKCeASBCMIRMCGYRqCbuihLgMqD5rSLOkmaeeCJdhGgIeBG&#10;wIm6CLoQcCUgRrCIuugDgW8PYtEuxo1AEAkSxoB2ETjiNcab8aRdBKgIIhEs4hP3jC2BIF7netRF&#10;8JbAMwFbr4skDgF3ki20iSAc1ydQRh20i/YRBKS9BJ5IwFGeYDH9Yp59rj1xQ5toG4FN7Ia+0S7G&#10;jQAigWvqol2MCXPmyRbaxpwytx5IpQ/MPXbDmBdPTth8EkjDBmk7dRGEw5aYO9rEXBP4Yq6pC3tg&#10;bAlGMtfMD+3CzmgDQVbqYh75G7txe6Yu5pqgG0FZymA3JFuZa44zXgRcCdSRpKPt2DNBUgLw2Drr&#10;h+sy1wQDPTmF3ZCwKL4i1MaAugj+YzfYoNdFABC7of/UxdgSDCXp5OuMfwn6YSuMA+WYK5IYPAFH&#10;PYzFo5/8jN57B4kb+niFrW/qZq4JRlIX7SPA68FpRL0EOxlT6qJtBEyxG5J0XA9fQSCaNcOapRzB&#10;UgKwzA9lqAsbZAy5DtfDBllPqb8h6cRcu4/wJwE9qUE/SVTV+RuCt6m/wW6wpdTfYIPR32CDZ57X&#10;9ze0K/obbIExpV7shutQF3Pd1N+wpphrrsWYbvY31n+vi6RM6m8IYpMoy/kbxgCbJhhf5m+4Hu1i&#10;zt3fYM+0C3+B3eBvWLO0i4A2yd3U32ADrFV8RM7fYNv+FdvUlfob6mLO3d/QdurCzhgbknTub5hr&#10;9zf0j/r44IUn6cr8DdcmiYa/oR73NyRXsU/619bfEHj3ulJ/w9jib84a+BvGHtvgXomteF3R32Bb&#10;1BX9DXbq/oa+Mz/0kfI5f4PdRH9DwiLnb1h/XIt24W9Y6zl/Q5upy/0Nc+3rDLshOdVPavTrwgZ5&#10;bbm/Oaqwm83+xuyHpFnqb0hgRn+DDeFvmB/qom05f4OPZa6r/A02yHpxH+42iN24v6HOOn+DPX/a&#10;5oGEH8ky6vJ7XupvsBvmetf9Dp7LJOn1t95xLHbDfPFBC9/fMOfMKzbo/oY1zr0Lf+N7JewGm8Ne&#10;sC3+Zb/jHzBg7P0JUvc3rEf8GDaOj2BumGvOwe95XfhDbJCEIWVoF3aDDUZ/8xm7x7NXwj7xJZTF&#10;D5Pww0dQF3aNDeJruRZ10Q98l+9v6CcfYHmO2Y3XRR+wG3yH7yOwG/wBa5m66CPrEhvE33hdJIFJ&#10;FLMWGSvGlvsWr7PufX+DDbIXZu1QF/7G73nYKX3gnktyl3mhLmzf71OMAXVh/75Xch/BOmG94G+o&#10;i7lmXPDH1EU51uQxtu7YK9F2+oi/8YQs/gGxfhlD9zesI3wGaxSfxfWYaz5M5h9CohxzxT3P/Q3X&#10;xG6YW+aFMj7X+A6vCz/Aefgu2k457AZbwg6YQ8aCcwbmLIQQQggxdt5lShMaK6VtTfPKK025MWmr&#10;T5l4GrMtLzDl6htGR5qGpYuvfOaJ3C44xZSrv63uZ2rLH5q6+gpcng4dFpKruTrbiq/1FWJk5jFJ&#10;euq7z9iKAANBEgKOBE0J3hJs4dPmBJgJiBMAoQyBDQKFBJoIUBHoJohD8JgAOMcpR+CIgAgBEIIR&#10;PG32zONfXARqCWZ6XQRvCLgS0PAAPEFsnozxABVBEp78IJjBEyk8BUcAkwAyx6iLPhB4JnBGoMUD&#10;8ASZCMQQVCJIQsCEJDDBWz5pTjkC8h5c5+slCbwQeCZoTSCIMvSVaxIgIlBHMIh+8Al7gj98Ap7g&#10;DecQJCfYRdsJwBP0IyBF8IZx9U/w8xQW9RSBugu/UgSoCHbxyXyCa5TxhDLBfAJVBBSZE0+kEFwj&#10;OUHgjEAQwTX/1D3BdeaQPlAXSQUCVIwXAXjmmnkjKEhQifIEqAj00XbGnyAac0abeZKBMaUu5paA&#10;M+WwG+aewCKBQQJP9IN5pV+UIbhGwoKgFQEqnoCj7dRFOzyITQCeJABBf+ohiEgwEXsjwEXbCYJi&#10;gwS7sBee1uB6BDoZH67FWDDX2A0BNeaGtpEYILBJoJ666AM2SECXcaIuAqHUhQ1gN8wR1yZYyPkE&#10;/JgfbIinPJhr6sJusA/6xPzwtZcks6mbQL0HeAkAEsSkX8whZUlO8eQH80Jd2A3Xx264FnUxJtg3&#10;AVfq8bnmPPrPOiPZwjohwcNcY8/YD2sAu2EMqIs1zly73dBPkof0h8QgNo+9EvhmvZDM7H/F3lVF&#10;0oyAK2PKPPL0DnNR2I3NIXbDXPNBBALJ1MXYElglucpapS73N7zOOPD0IWvf/Q124/4Gu2njb1hD&#10;JLCwXcabMu5vCNRjx9Tl/oYAq/sbbCP6G75KkLVP0JdAvdtN9DdcEx+Gv2G9p/4GG8Tf8GTeMn8z&#10;qIskA3YT/Q1zjz0xz26DzKv7G+ywzN/QXuaPdjEHlEv9DXZDEJyxwgdQxoPrdf6G5DB1YdMk9rAb&#10;9zdcN+dvGGNsJedv3AbxN/4Bluhv8All/gY7JFGFv3G7if6GscRO3e9Gf8Nc1/kbyqb+hutFf+N1&#10;YTes+dTfxPsU8xD9DQnz1N9gN/gbfAxjxZi5v6H/1IW/wQY5l3XPV8fiR6ib17Gb6G+4DnNIchd7&#10;zPkb7MZ9F2NCXdHfML7c8+j/qP7mkzbXrIMqf0P7mvob/yACdZG4wa8wHzl/w5hiX6x9/EG0G9/f&#10;kJSJ/gb/kvob2ss43Hu7jXOZJL30W9cdS2ISn+b+hnX2XPs/9zxsGWGD+CnWFr6LtYYfwW64pzA/&#10;2A92g9/GrqK/wQaxG+yQuWIdkMzzr7LFD2M3+CzqwgaZa+YXe4/+hvsc6xXfhQ1hNyTzqAvbP/7l&#10;ry18FzbIXNM+/E3cK2H/2E3cK2GDLzZ/s7/5G3wqNshvo/peibpIHnIPdN+FD8cH46cYI7dB/Cv+&#10;DP9HXfgd/u++i7HA35BsJTnM2mBMWeMvs/sU/oPrsVfC3/h9irq4H9B2fBf2TF3c1/w+5X6QfRDj&#10;nO6x8TckWamLtXvCq99Q3L8YA+ba71Oc777L/U30XZzDPY4xZ+zZwzAO2A3+gfnhPoWPYIx8r4R/&#10;ZV/sduP3PPc31MW1WcOsZfdd3KfYF2M37rvYLzCGA3MWQgghhBg7V5jShMZKaV6TpFuZcuPRViRI&#10;/5NpWLr6TVp+43JYbjXl6myqb5q65HpT7jpt9AhTW55rytXVVqMkSOF3TJeZcnW3FU+nCjES85gk&#10;vfS667byQAOBVIIZBLtIRJIc4Pd9COwQtCDQQACDICXBGwIgBKAIkBGMIIhCAIQAFQExgroEU0gO&#10;EODg6/eoi3oIqBCU5VP2BG+oi6AFATGCTQSCqItACIEagj8cJ8BG0uhL37iqSAwQSCHQQ8CHwJM/&#10;AUOAygPwMbBJAJ5AHe0myMO1Lw51cV0CUQRPqIO6qNMDqQSwCGSdf8nlRTKHYBntITlAwOjiK64u&#10;ArsEZggEEYAniOwBRBKEnrhhHAjW8TcBMIJ4BKcIBB/2xKf3Lr7y6iJwSOCJfwnmECBiHAjeEoxk&#10;bAhK0XaCXSTNCIjRFoJdBKgJCtNH6qBdtI+55gkLgk7URXnmjGAZZbgm80BAjEAlQTh+N4+5Zk4I&#10;IFKGcSO5SzKAcaCPBLsIYhHEowz1YR8E4AnQERjk90MZU36zinG61soxPySimB8Ca9RFQoh+c4z+&#10;0U8SXSSj/MkCfuuWthOAwwYZU/pBkIy2+NMa2CPzQTnKYNPYIAF47Jky/M4gQUzslLq4JuPL/DDX&#10;jAPXZB6wE/pPXdgFAV7GmrpoO3XxGm0nWMlYYEM+P14XyQjsl3WDbWGvfN0g9uwfHmDsCRRTF8ep&#10;C9uO88N8c32C1sw1dWHPngTCjqkLm8BOSEjTbuaHuWZufX4YM8aFJB2+gfVDoJe5wJ5J8JBAJLHJ&#10;hwVoF3UxP8x1nB8ClzwBw7xRh/sbbCT6G4KbBGSjv+Gc1N9gR3X+hvGnnpy/IeBMXawjxi/1NwRl&#10;o7+h/e5vqIvxZ15J/Li/oQ/4G8bV/Q3Xdnt2f8O4lfkbjpX6GxsXAsjYs/sbAvvR3zC2qb9h3FgH&#10;+BjGIPU3rDP8DeuXuhhLbIv1nfob5pP+sB7cdxF4pt/R32C3F9s4ur8hccFc42+8LsoTNI/+huRF&#10;6m+Y6zJ/w5jSR9Yl/iz1N9Ge8Tf02f0Nbc/5G+Y99Tfc8wjAUxd2g7/xgL/7G+YHv17mb6gLmyYx&#10;4Pbs/oaETOpvmH/6xZhyTeYBn5D6G+w5+hv8CHXhb6iLJIPPT/Q37/zQmcv8DQls5o21QV2MF8kV&#10;fESZv0GsAfc32Lz7G+w5+huS314X88NcMz/cw5gf+kkSKvU3jA32zL0Yf0NiE/tlfrDnMn/D//Ed&#10;zDX+BvvBBkkiu79hPTJv1BX9DYm1Kn+DPaf+5n47Lc5lkvTU0z98LEk6xhR7xn6KD8KZ3TGm2CoJ&#10;O+yZ5BRrg3HH93z1qu8UNsgcMk/cd5kfxpS63N9wf6Eut2eeiHd/wz3jYbZHuPya7272g9iif8CA&#10;/Q11YWf4DeabeXZ7Zr/p9kxd2Bo2HPdKJPzc32ATXJsPCmDPlEHx/sn1uG882e7F/E6p14UfwG/g&#10;Y/Dh2L3vlViztMntmeQhH+5gLbIPf/YLXtz7+rU3FXZMXVyb5C4+At9FXeyV+FAAPsL9DUlN/+YO&#10;PqCz1tYQ/uByaxdjTl2+V3J/w1jgq0nu0n/q8vsnvos9CWuR3yqlDZdfe0OxNmg7c8Vcc29irqmP&#10;MeUex7rBHvBN+Cl8B/tv//AQ43yZzSPjT13cW/iQBnNHm6gPv8K5jCm+i+v6Xgl/w7gz/vggxgp/&#10;w3zjb/iATPQR+E58F+UG5iyEEEIIMXbuNKXJjLb6memnyWvDaJgn7maB15hy49FG15hGSZDC75lu&#10;MOXqbyt+97It25lydbXR401d8nRT7jpt9AxTW6405epqI+yqC7qYF3SCSYiRmMck6XU3374VgSoC&#10;DwQgCB4QdCGZR1Drtl/8snfTj39eBC4IKhGg8qedCGYRIONT3AQiCFoQ0CYgQmCEoAbBIOoiyPST&#10;X/2qd+PtPysCGwSVCIAQ/KQu6iTQQRCZYBHBSIJKBGoIdhEkIUhFXQR5f/KrX29+6pOgEk9BEYAn&#10;qESwhICrP8lAuwiEEkCiHV4XwR4Conf+sl8XwRKCpDzJ4AF4gjiU+ei5XygCPASMCMYT2OLT7dTF&#10;dSlHwO2nv/5177vWduoi4EtQifEkMMP1/OtgqYu2EaAi4MpYE+hiTKmLZC51MQ4EhAjmENRhfqiL&#10;caDP/gQMQSWC6yRNPehH4JJx5QmBO60uyhH04skc5toD8ATjSNwR4KIMc0kwkmAnQT/qYp6oj2D6&#10;HVYX7acuAlQE8ClD+ylPMoJ+0XaCawS7TjjpDUWbvS76yVjfbmPPOFx0Wf8JC+aaeihHP2gDAUTm&#10;h8QANkiQj2AsZRgr6mIcfvSL3/SDkVaeRAfBSOrCDglsEnAleUPQnECdJ2WwF6+LPmJ3P7zr18WY&#10;Eoxkrpkfxoq6CCYyZwT9aBf2zJMfBNM5n3GlffSTYz/42a+KMSVAS5CUtmBbrA1siPr9SRPsmeTE&#10;Uc8/obAr6iLASRtpzy0//WUR/CTwzFMRjLfX5Qll1qonBrBBkp3YM22nLtpGu2/+yd3F/DDvL7Vx&#10;Zn5YiwSWeRKDQKMn/NwGCWxiz9gh5bGdW376i9737rirKIvdkMzzxA19IBGKnXAt6nJ/w1NY0d8w&#10;Lj8a+Bvmh7nmibHob/ArJIeiv/Gv2Yv+hrG44xfl/oZ/8TcEft3fEFzO+ZvHmo9zf8M8eQKO9ri/&#10;YW1Gf4PN5vwN/iDnbzyYv9nf2DVSf0Myj7rc32C7Zf6GurgeySJ/cqrK37DO6vwNfWYt0z/Wmfsb&#10;5o263N8Q7L7Txsv9jd9bsGXKYTP4SuyO6zGXJL78yWP66P4Gu3F/g91wb0n9DTaS+hs+wEKbvS76&#10;yfzgbxhT5hr7Tv0Ntpv6G+55jCXtd3/DNfA3jCn+gmSe+xvKlfkb+p36G+5N7m/4m7nGxzDujD9/&#10;n3TKaVv4G+Yj9Tf4j1t//uvN/oZkDgkp7IG68DcklLEXxgt75sMX2En0N8xjzt+QsEj9De1xf8MY&#10;u7/hetHf4CMY08Lf2Fx7Esj9Df4/+hvWJh/64FrUxXxyzvfvvDvrb1jX7m+wk+hv8BmpvyGR88O7&#10;lvwNH3DAlpif6G+wX8Yg52+8roc+9si5TJI+/ZgXHMv8YF/MMx8mwNe678IGsTeSgawN5ofxOu5l&#10;r+rd3esV84NdM9fs2Zgf6qIM9s2cUIZ1hr8h0en+Brsh6fWiV5/c+6XVdZ3ND3X5B1iYH9YQZfCV&#10;7BGwU+wau3F79nbhS171plOLuq4d7G+Ya/abrFfqojz7D9pCXawzfIE/eex14UvecNp7+nXZOOAj&#10;eBqVJDBlEPaHn8K/Uxf2yt6QJCP9pww2SLnTPvDh3i+sLsbB97L+pCZtY42zpjhGXayzj5/3xaKt&#10;+Bmv6xDzJe8/8+xi7PHhXJv9IWuZulj/zBV+nf6zblkb3I9IMrrvoi58yZnnfr73c6uLMcUH+1Pm&#10;7m+4Z8W9EnsTv+e576IufOe5X7q0d+dve8Vai/cWfATrjP7Gp8zxXbxf4H7pvos6uede9PVv9n78&#10;q14xpsw1ydzou0gCM4bUQV0DcxZCCCGEGDu/NaXJjDY6wgS8+cgdb6N5TZJ2MXaPNHXBE0y5+tvq&#10;haa27GPK1dVG/LZrl/A7ubnrtNGLTG3o4sniO0x/bOqKLr5299smIUZiHpOkcNKbTlt/+FOPXr/D&#10;ngeu326HTesPffxT17/iTaeuP+30j66//a7e+qtuvnX96Wedu/7oE16x/sDDHr9+3aY912/a95D1&#10;Rx//kvXv/uhZ6y+96rr119165/oLLr+yOO+wJx1lde27frtd9rS/qeu09e8+46z1t//K6rqBus4u&#10;zt330MOLuvY85ND1x7zkFVbX2ZvrOv/iy9e/5OQ3rT/M2rLDpn5dh1u9tJXzqevKG24urn/U8SdY&#10;XYetX2dlqOv4l5xUtPfy626wum5ff+7Fl64/4aQ3Wb+eZNfbt7jm462/J5162vozzj6/qOvy625e&#10;f9oZH11/1DEnWB39uva1f49/xUlWhrpuLuo6+4KL15/wipPXH3o4de1Z1Peko44p6jrr/Av6dV11&#10;w/pTbeyeevTxRXsod+Bhh1sbTl7/0XPPL9p91c23F+Wp/5DDH1/0jzF70tH9us6+4NJi7C+98rr1&#10;p777jOL1PQ/s13WIzcFLrD9nnXuB1XVrURf1HmP9Zn6222XT+l1sLp96zPFW17vXn3/p5VbXr9Zf&#10;fPlV69/07tOL9m468JB+XdaPl5x8atEW5oa5pr/H2FwzP0VdNtdH2XxRF3XcanUx1yef9u71jz/q&#10;aDt+YFEX48v8n33+xUU9tK2Y6xOY68MK2+K6/J+6mGvqon30+fCnHjWoa9/Cbpjrc20c6F+ca+aH&#10;utxuqOtKm5+b77yrsBvagK1gz9gO9VIGO2AOKbs014cO6urPNeVoO3VxbcaGtjA3CLuh31wHO8XG&#10;Tj39jGKs6Rt10Vds5GSr6wYrc/PtdxV2w5yxtvp1HVjMKfNxwaVXFnVdanZTzI/ZDXWttbr6dvMm&#10;u+bpRZtuuP3OYq6wJbfnfl3H27lnFPPSr+u6op3MNfNHuwq7sTXFNW6981dFOeymb4N9e3a7wX6Z&#10;a9p/8ZVXFeNSzLUdxybcbrDNW81Or7M5Yi1hg9hzUVdhNycUY00dRV1W55b+pm83XLPvb6yuKn9j&#10;a4K2M27L/c2mzf7mtAp/s8nWEXUv8zdmg4W/Ya5tTDf7G7PLLf1N3577/uawwgYp0/c3d9b4m3NH&#10;9jePH/ibj9r6py7spvA3Nm/ub+grNsKcYO/MT/Q3XI9+buFvbDzK/A3XW/I3FwR/g+8K/sbWRuFv&#10;bM639DfYYPQ3A7tZ5m8O3OxvLsj4G2yBuhr5G+xmC39zZdFnbDD1N4wDY9Wf67OLdhT+xtqF3Qzv&#10;b8xulvkbu0/V+Rvmepm/uX3gb/pzTXvc3xxf62/6dvMm8yPL/Q1zXeJvrJ42/oa6sRvWPXVFf3Oz&#10;+Rvattzf7Fvvb2x+or/hmsxh3t+Y3dgY5/wN47ilvzmjkb+52P3NYH/D/G72N8VeCX/z0fWD7dRc&#10;YT5iK8brQPyN2SBzstl32bqM/ob5xj6wZ2zqzsJ3ub8Je6WB7/K9kvsu1h42tdnf2DnYKbZOXczT&#10;kr8JvstskPP7vuvWol78DbZOXdjNU81uOJc1i0/Fbqg7+htscLO/GdSFr97sb4q6+vc87LTYd/3K&#10;fFfG32CDfX+z3HcVe9nN/qZvg4wPtud7JewNf0Nd2GHhuwb+pqjLxh+7pU+Fv7G6+Bf7xua5f1LX&#10;ufiugb9hHVIXts38cIxxx9/gu4q9LP7G6qJ9zAXvDzh+62bftXx/w5pjTPG3XhfrHBso9krUZXON&#10;jbB+mGv84Fk2vu5vqIu24bt8HLAt+kDdvF7sb6wu5hM/yHsN1nThu+w+xWt9H2F1MdfWF8aBewt1&#10;4SsG5iyEEEIIMVb+mymXzGii40wRJUmH4wGm3Fi00SWmLrnKlLtOG33O1JbHmnJ1NdXFpq75A1Pu&#10;Wm3Eb5u2ga/IzdXTRi8zdUkXyWL0zyYhhmZek6RCCCGEEEIIIYQQQgghumWYJOnrTf/dlKIk6XCQ&#10;bM6NRRvtb+qS55ly12mj35jafv3vsaZcXU31GdM4GPUriN9rasPbTLl62mgca+mzpty12mjU30gV&#10;c46SpEIIIYQQQgghhBBCCCG6oE2S9IOmqqfAlCQdjgtMubFoqp+b/oOpS/7GlLtWW7X9ehQS8Ll6&#10;muom0zj4lCl3vaY62dSG6025eprqW6ZxwFdr567XRq8zCTE0SpIKIYQQQgghhBBCCCGE6Iq65Obn&#10;TTuZ6viRKXd+G81bkvRPTLlxaKMPmMbB+abc9droaFMb3mXK1dNUnzaNg4tMues11b+bmvL3plwd&#10;bfRu0zi4tyl3vTYax1ciizlCSVIhhBBCCCGEEEIIIYQQXUHSIpfM4HcpH2pqym2mXD1tNG9J0geZ&#10;cuPQRo80jYMXmHLXa6MzTW14rSlXT1ONKwHH07q56zXVE0xNub8pV0cbPd00Lrp4Yvy/mIQYCiVJ&#10;hRBCCCGEEEIIIYQQQnRF+hWnJDufaWqLkqTtOdWUG4c2+kvTONjFlLteG91hagNPXObqaaO/MHXJ&#10;/zHlrtNGVV9TnbKbKVdHGy2YxsXHTLlrttG/mIQYCiVJhRBCCCGEEEIIIYQQQnTFn5rebOIpPhJj&#10;w/JDUy4h0kbzliT9rik3Dk11s2lc3MOUu2ZbtUlaPtWUq6ON+N3MLjnRlLtOU11nasOhplw9bbTW&#10;NC6ea8pds432NAkxFEqSCiGEEEIIIYQQQgghhFhtKEnajv9qyo1BG51nGiffM+Wu20bbmpqygylX&#10;RxvdaPodU1d8xZS7TlO92tSGJ5ty9bQRT7+OiwebctdsI/ooxFAoSSqEEEIIIYQQQgghhBBitXGr&#10;KZcQaaN5SpL+myk3Bm30RtM4IQmbu24bHWBqyh+acnW01ctNXcBviebqb6M2X7ULXXzl8J+ZxsX2&#10;ptw12+g1JiGGQklSIYQQQgghhBBCCCGEEKsNJUnbsY8pNwZt9DTTOCEJm7tuG/EVum34hilXT1sd&#10;aBqF3zeNatMfNLXldaZcXW30j6ZxwW/g5q7ZRmeahBgKJUmFEEIIIYQQQgghhBBCrDZ+YMolRNpo&#10;npKkzzDlxqCNdjeNk+eYctdto1eZ2vBsU66eYcTvew7DfzCRyMvV2UbbmdryYlOurjYa5rptuNuU&#10;u25TnW8SYiiUJBVCCCGEEEIIIYQQQgix2lCStB1dPKW5tWmcPMKUu24bnWFqwx+ZfmPK1TWMnmtq&#10;Q1cJ0pNNw3C0KVdfG+1mGiffNOWu21T8zqsQQ6EkqRBCCCGEEEIIIYQQQojVxi2mXEKkjeYpSXqO&#10;KTcGbfQ3pnGyqyl33Tb6sqktXXzlbBS/rXpvUx1dJUh/bPofpmE4wpSrs43G/TXMl5ly120qkqxC&#10;DIWSpEIIIYQQQgghhBBCCCFWG0qStuO7ptwYtNEfmMbJv5ly120jnjBuyx+avm/K1TeKjjGVwVfU&#10;ktDNnddW/N7ssDzElKuzjd5sGidfNeWu21Q3mIQYCiVJhRBCCCGEEEIIIYQQQqw2ukhqzUuS9PdM&#10;uf630S9N4+bPTblrt9V/NLXlYaZcXaOKr3rd1xR5nilXdhhR1yjsYcrV20YXmsYJY5i7blPdZhJi&#10;KJQkFUIIIYQQQgghhBBCCLHaUJK0OX9lyvW/jW42jRueVM1du61+3zQMp5py9XWhT5gONl0cXhtV&#10;w/4OaWQbU67utvrfpnEx6hO3d5uEGAolSYUQQgghhBBCCCGEEEKsNkja5RIibTQvSdJ/NOX630Zf&#10;N42b/8eUu3Zb/YlpWD5lytW52tRVAoanbnP1t9WRpnHxJVPumm2EbQnRGiVJhRBCCCGEEEIIIYQQ&#10;Qqw2lCRtzhpTrv9tdJFpEvzclLt+G/0v07D8kelrply9q0UnmLrkElPuOm30HdO44Ot8c9dso3H/&#10;nq6YUZQkFUIIIYQQQgghhBBCCLHa+J4plwxpo3lJkm4w5frfRp81TYJbTbnrt9Hfm0bhj03nmnJ1&#10;r7QOM3XNm0y5a7XVc01d8l9NfKVw7lpt9WcmIVqjJKkQQgghhBBCCCGEEEKI1YaSpM3ZzZTrfxvx&#10;m5qT4Lum3PXb6F6mUeHrWT9oytW/ErrKtL1pHDzWlLvmMHqaqQsebrrFlLvGMBrnb6aKGUZJUiGE&#10;EEIIIYQQQgghhBCrjZtMuWRIG81LkvQgU67/bfQh0yS4xpS7fhtta+qKJ5ly15ikeJpynL+p+c+m&#10;3HWH1SmmrUxt+UvT801drO1U/C6vEK1RklQIIYQQQgghhBBCCCHEauNGUy4Z0kbzkiR9pCnX/zZ6&#10;j2kSfNOUu34b8fXCXfJ3pk+Zctcap/jq4W1Mk2Ac/eNrfPc3/bnpd0wOf/9309+YNpleYrrYlKuj&#10;K43yO7VijlGSVAghhBBCCCGEEEIIIcRqQ0nS5nTxNORbTZPgclPu+m20aBoHh5ty1xunPm7iCctx&#10;c4gpd/0udZfpjuS1SYnfmRWiNUqSCiGEEEIIIYQQQgghhFht3GDKJUPaaF6SpEebcv1vI77ydRJ8&#10;xZS7fhvtaxoXf2a63pS77jh1lGncdPkboKtNv2cSojVKkgohhBBCCCGEEEIIIYRYbShJ2pwXmnL9&#10;b6M3mybBRabc9dtoD9M4uJfpS6bcNSchxmY707h4sSl33WnXb0xCDIWSpEIIIYQQQgghhBBCCCFW&#10;G9815RIibTQvSdLnmXL9b6PTTJPgElPu+m200dQl/8n0clPuWiuh40zj4D+YvmHKXXOadadJiKFQ&#10;klQIIYQQQgghhBBCCCHEakNJ0uY83ZTrfxu9zzQJuvhN0m1MXbGjaTUmDs83/S9T1+xqyl1vmvV9&#10;kxBDoSSpEEIIIYQQQgghhBBCiNVGF78LOS9J0iNMuf630YdMk+Bbptz12+ifTF1wvClX/2oRa2B7&#10;U9eQ3Mldb1p1rUmIoVCSVIwR/Pc4fLhoR5fzcLjJ7z335IUx8h4T1/lR8b/ZoOvxm+R8zCPyYZPl&#10;j0wvMF1tcru+2HSQKUK5Z5jScqwHIYQQYhTYT/m9ZZL3lVnc94pyXmfy+Z7mPTztpx/Yb466412g&#10;tSPEHKAkaXMOM+X630ZnmSbBdabc9dvor02j8Bemc025ulejDjZ1CV+7+0FT7lrTKJ5OFmIolCQt&#10;IADr60lB1m7wNyuIYLZYGbqeB+rw+sadPPqEya81K3Q9fpOcj3lDPmyykPgk0eljHoUvcJqWE2Il&#10;wA8T+E5tFNvkAwDy0/OL72kI4ssOVjfMj6/dSd7/Z3HfK8qJ8z3NPsH7ULYHqzveBVo77Vk0TSKB&#10;LURnfMfkC31YzUuS9EGmXP/biKThJLjJlLt+GxEgGJZtTdeYcvUOq7szr3WtDaauWU2/wzqKLjIJ&#10;MRRKkhbERIOC4d0QfdQ43xSJarqeh0km5WbxDW/X4zfJ+Zg3fFyRfNj4ibZMgongDTbNB5dILjlN&#10;ywkxSf7WFO9ZVaKcnvyfDdo8vRRtAD8mVi/cU1ZirmZx3yvKifM9zXt470PZXrnueBdo7bQn7qc1&#10;bmIqUJK0OXubcv1voy+aJsEPTbnrt9HvmobhQNOvTLk6h9VrTH9gIjjRdfI16hbTP5q65omm3PUm&#10;qc9lXmujc0xCDIWSpAVxkziJN8MEcv16sxooi30kiC1Whibz0MYe41oZ9xv6WXzD22T8Vut8zBvz&#10;7MPor/d9Ut+uEJ+8I+FURiynRJNYDWCH/jSGCzvFP7vi/QyNM1gsRqPNPbjNPsXL6knS1Q/z4/PK&#10;+p0Us7jvFeXE+Z5mn+B9KLuv1R3vAq2dPm3275TVk6Riqujia1nnJUm6qynX/za6xDQJfmLKXb+p&#10;fmEahi4SyVGfNd3flPI40w2m3Dmj6iumcfAA00dNuWuOUyeY/tD0ovDaMHqHSYihUJK0ICYaJvFm&#10;eFbeFInZoI09xrUybtudxTe8TcZvtc6HmB8mfU8Evx6qomk5ISYBCf2YICU5WuaL/bd0KY+fF6uT&#10;NvfgWdyniP68+7xO6h4Isqf5oo2vWc14H8rua3XHu0Brp89K7N+FmBhKkjZnnSnX/zb6tmkSkOTM&#10;Xb+pbjO1ZcGUq2tYHWOqgiddX2jKnTuqXmwaF4zTeabcdbvSt0zPNv2lyXmLKVe2qermQ4hSlCQt&#10;mPSGclbeFInZoI09xrUybtudxTe8TcZvtc6HmB8mfU8Evx72X4WXQ0KsNNFfkyBt8pM4JFbn7en0&#10;aaLNPXgW9ymiP+8+r5O6B4Lsab5o42tWM94H+pOj7ngXaO30WYn9uxAT41qTG/iwmpck6TamXP/b&#10;6AemSZC7dhvxlbZt4I3YL025utrqatMDTU3ZZPqMKVfXKNrFNE72NZ1kusyUu35bXW96n4nxyPFe&#10;U+68pjrEJMRQKElaMOkN5ay8KRKzQRt7jGtl3LY7i294m4zfap0PMT9M+p4Ifj3svwovh4RYSfC5&#10;0R719c+zQZt78CzuU8TytT2peyDInuaLNr5mNeN9KNu/1R3vAq2dPiuxfxdiYihJ2pz/bcr1v41I&#10;JI6bPzblrt1GnzS1ge8Xz9XTVh8x0f5heL4pV+ewusA0Kf7cdLDp9aYzTReZrjKlvz3zUxNrluN8&#10;de9LTfub/tpUx8dMsa62WmsSYiiUJC1osqF0Xxp/s+EgU9yU80GS15lyv6dGWS9XJeoogzq4fvrV&#10;bvx+UtVvuBG48/IexOMpBq7Fa9RHHUD7vWyTJx3i2NE+h9/B8NfrAoe0nevH35qjTfQ11hmJ9Vf9&#10;5gZ1+3jVvTmLfUnbTD2MjY8Zol7q5PpNnh5xJtn2eK34+rD2GK/jb+h9bLytPnejvuHPveGlTl+L&#10;qGrN5WCeGJNYN2ozj4xdagtN68iNH0zDfMCo64B+zqIPY2zTcaFf1F03JvS7rf9rA9enHbF+xJzF&#10;ceffeLxKubkaZl1wLJYdRYyZEJMk3ouw/VFwfxPtmHXrvpJ1VeYP8HO0ZVi/DH5v9ev5Nev8EMfS&#10;dYyvYTyGvefkfCJtoc6c7+E1bzftrYL2ep2MjRNfH7doa25O3J5iH9LxrRqHlNw4lokyTYj34rqx&#10;9uuW9dfBTrzOOCcRrku/074wNvE+VkY6trSH+rwe6o33+dgm1mEO5sbtjn9TuEaTe28kzrXja9Nf&#10;b2MDQDvcjry9Xg/1cqyKOOc+Rt436vBj9JPXquYaaDftj+fSLtrX1F/l4DzOp0+xn/zdpJ8+xvzr&#10;jLL+gPO9Xm9LPD/WPay/dPxase/UX9dvGPUeEq+Xo+44jDp/cSyddO14XU3HmnnCpmPdCFtnHuvq&#10;oT9+XYf6vH+Md9qvYcaBdnq5YcU1Ha7hr+Or6mAcvDzjkoM60z4xjk38N/hcxvMZv7IxETMKTwy6&#10;AQyreUmS/mdTrv9t9QemcfJPptx12+i1pqbsZ8rV0VbvMo0KTzvm6h5We5pWmt8x/YnpvxX/G550&#10;89xWw24mhVCStA8bVl9P/J3DN8j8y5qrWrds4OKbbfCNcp04N4W6mviJsk1i3LzyNxvYeJ4L4saY&#10;a9YR31DFPscxrXoTEcuViXakfo43dH686k1X7A+q8pexL7FcWkdOVX1MmWTby+ZhWHtM66ubvzKb&#10;bEJ8U0qfeCMU647KrbkUxj2+ucqpqh7Oj+Ncppy9OtM8H6Osg1n2YWVtcVXZVN18oSp7qoPr1tk8&#10;bQDK5o7nFPszyrqIa7wLCTFJou2xDkYh+gLWSc5fpvsFyjVZQ/iAUXwYSilrY1TV/qaMJveZ9D4R&#10;7w9114zj7L4Pmt6Du1JuPnwu+bdufKvuK9BkvxOFD28C7YrnlZEG7avWR7S/XDmC6LGuMsUgf0oc&#10;27L7YrSHaFPxdSe9X6aJhLJrROXq9XYixnrUfS/Hm96fyxIVcSz4u862cvd6Z5R9ZBWMZRN7x9bK&#10;6HL9cX6cy5wYi1hmmH5DXVtR2Zw0aSeiv1Xt83LUlaPueJfzh+hX1dpB6X0kheNN25QbW6BfXq5s&#10;nuKYDDsOqT8aRrEdqf8u658TfXjqh2lbnX2iqvmI9ZdJzAlKkrbje6bcGLTRP5rGyXpT7rpt9BRT&#10;U75qytXRRnxNbFfsbBr1N1ld55hmhbtMuT42EXYvxNAoSVoQN7H8ncM337zZjBtYNuGcwwYuvp4G&#10;HNhg8gYDxc0im0l/HaVvujgv1ks72EhSljeqafAgF2CgrB+PG03qou30gTYB1/PjqOrTfXFT7uc7&#10;cUy5fo5Yhj7SFx8HxiWOU1p/2s6yDXy6sS7bhMc3BPFa8XXaSJu9jdRF/cx11ZvllEm1HcrmgWt6&#10;P+I419ljrC+dH44xh2lApsqGqvA15/X7303XXIS+eDnEuawVXmdc45tp6sy1ObaH8r4OEeMW+039&#10;OaZ1PkZZB/QtztMs+bDYFuS2ieJ80P+UWD/H2/i/pqQ26fX7uFMv13L8eOxXPM8VGWVdMDde1svQ&#10;Jn8tJy+H4uttfLAQo5La4qhEf5CuP46xzuL6wc+lvj36H/6Ofhfl1gjr1Y9TX7p+qYfXU2IbaZvf&#10;T5G3l3PbENuC8AWxP/FY7EucC65bBXV5Wf52mt6DU8WyueNRadkU96WMd5w7n1fGPL6emxfAr8Zy&#10;8d6S3m+pl9fb+M/Yj9z9GtK5jLabEu2YeYik8x5tgjrjuSjezyI+tpzv7ff7rt8LabPDmHid0U6A&#10;sYrjm+tbbBfHffzL7r2OtxN5O1FbGwDa6eUQ53G+j1+8FqKudPwhjgXnx/L0hbpy85Qyyj6yjlgv&#10;9UR/RBvjmMV5jnS1/iAdD6+DtnCevx7ro61tYb6inXj/c9eiDZGu7iHgxxnDHE2Pe/tHmT+UWzvp&#10;eKAy/8XajOU4j/O9nlg/SsfWobyXoV/xb47RZv52/Pgw4+Dl0uv46znFfqZzE/tYNuZObFf0Ifwd&#10;j3EN6uLa7gv9GMrNB+X9OPPg53v7GXteF3NCuoiH0TwlSfma09wYtNFOpnHC16/mrttGe5iaQLnc&#10;+W10s+lPTV3CV9fmrjWMeDJ32vkHU65vTfUBkxBDoyRpQdzE8neOuPlG3KPTNwvpG+eyTWWsi01e&#10;FWz+vGxZ2+IbYa6fwjX8uKtqwxs32GUBB4ib27RcHNNcH2ObGcuyREbsf3qNeKzsjU6cDxTfjETi&#10;G4V4ndjHsmsMwyTaDnXzAG3sMdaHaGNqS+mb9rJ219HVmksDAWV9jOPI/KTwGn0ps9X0zWB8o+hM&#10;63yMsg6irdPeHNPow2KbaHNZGR/7SBf+rw7myc+ln22IfS+bM6eLdQF+HPuvwsshIVaKeL9gjY9K&#10;zpen97tI9A1cP7f+eC36fnxNSjxetjZTKOfndNF3SP1Ezt/RH+939LfRF9f5jya+rc09OJato67e&#10;eBwNu+epu//Fe0PdeOWItl92b4n2iXK2B/FeyDmReJ2yeyx2E/uLcmshHVvstsreo01FO6HuOP65&#10;/dQo996ubIC+ca6XoZ25/tLPuv7EsXDRr7Q+2hHLpO2K+622+8g66CvzVDansQ9lPqursU/HK1cm&#10;joWL89oS/Rn9ytk+16fN6Vrv6h4CfrzMn9Qdn9T8UX9dfzgn1pPzoRD9E8rNc5wfxDykbYp0MQ7x&#10;mvxdRawvnRv648dS3xyJ/i4tF22srC1xvBmflDhfZeMi5gh+99ANYljNU5L0dFNuDNroEaZx8jxT&#10;7rpt1DQxyO9n5s5vI35Xcxwcb8pdr62ebJp2Rv1K5KeZhBgaJUkLmmwo4+abTWzZRi2+8cm92YRY&#10;V9WbIt6ceLmyNxZODBKkbz7jJhiVtcuJG96yTTgwDl4ufXMVxzTXx9jepmOQtiVu4HN9St/ooNwG&#10;HOJGPvYlzlWXm/NJtB3q5gGa2iPE+lDZm71oQ7k3oU3oas3FsS5b30606WHmu86up3U+hl0Hs+zD&#10;4phU2RXjlQZZ6uzEqfJ/dcT2p+NZRzy3qm9NadJfP15nJ14OCbFSxDVSZ7NNiPWhXMDVSYOKqe+K&#10;4H8o4+VTX+Cvt/Ev0R9z/+2CNuOJP433odieunOb+Lbo26v8M8SyddTVG4+Psufx+a661zPfXkdb&#10;4n2p7BrR5ly5/UlMNKQ2X2W3KXHscjYZj1Nv2V7JiTbldsJ8xHEr24dEG2t77+3KBuK41q3t2FeU&#10;XjM9XuWb4r0+TZjEvpX1a5zE/V6Orsa+SWII4nsTVOdrUmhfXCNV52Pv0Ra7vIeAH2MMc9Qdb0Kb&#10;+cPmy+Yv+i+U+oI4f3X3t7jWc+ssHkdVa6cpdeMQr1llfxDXdjo3jJ8fQ2XjGdd87F8c57p5j3V0&#10;sUcRM4ySpO14mSk3Bm00rqSgw2975q7bRr9rquOvTLlz22icX2fLb3jGm+2wOss07RxryvWtqbYz&#10;CTE0SpIWNNlQxs131Zvrqg2nE+uqelMT21W3sWZT6WXTPsQ2Vb3xi0QfnXvzFN9g5foZ257rox+j&#10;PXXEoESkLlATgwR18+fH0nrixj1NdIzCJNoOdfMATe0RYn114+Hl0DDU9duJ9p2zxVhPzpYjMfhR&#10;NxY56sZ7Wudj2HUQ2zdLPqxp8KAMPy+3ZlPK/F8dMQCXBivriH1P52IYqsbS8eO5uYh4OSTEShFt&#10;us5mmxDrq1uvsWwuSJ8S/XdaHh/kx6rus5F0/9LW/+WIfi4XhK8i3h/q5iKOHX/naHMPjmXrqKs3&#10;Hh9lz1N1zGl6rTKi3aT31/Te6n/n9g7xeKwn9rHJfTLe73Ll69qREq+PnWDj0Uar1t0o996m81Jn&#10;A7Geur0XxPlMy8dr1fUnzj2KDLuP7Io4Jjm6Gns/hurec0Sbot42xD0z9bShy3sI+LHceEDd8SZ0&#10;NX8QE6HpfcBfR3XzF++FufJxnNv6gjLqxiFeM+1bSp0tx3Eq8yP+Xot/414gtqPOB1W9/4u+qW5e&#10;xRzwbZMbxLCapyTpkabcGLTRuJNul5py122q75iacKgpd34b7WkaJ6MmB9EPTNPO5aZc35roV6bf&#10;MQkxNEqSFjTZUNZtSp0YPM9tOCHWVfWmKJbjDSVly8RxL5tel+N+rG7D7NS9mY3JpNzmN44p14/E&#10;9vDGzvtQpqo3kfFYunn2zT1lqjbg8Vj6qVGu58f8eN2bpqaMu+1QNQ9OU3uEJvU5sX/DENtVRd2a&#10;82OINlcp2n061jmYt7Lz+X/KtM4Hdfu5qOk6iH2ZVR+Ws7kq4rnMCf+vUpw3/t8U1kVMFNPOpgGG&#10;2Pem4x1puy7Aj9eNp5dDQqwUcY209QE5qvxNCtfzsuwB6oj7hLSt8br4C3xlDHSWEdtAELNJO6rw&#10;ulBbGC8/t24umvi22Lc2c1FHXb1N62q658kdc+K1mt4XIvH+md5f4708JhHS9sR+cJ+LxHnK7W1T&#10;Yl0openYOtGmaEs8n/tZFaPce5u2s6kNIMrWEeczXRfpWNThZVHsd6wHNd1HDgvXi6rbA3cx9vTX&#10;jzVJ7sdr0sY2xDXSZF4i8bqj3kOg6hjUHc8xrvmDOHYxecl1/PXUJ5VRtUeP10mPNcX776obhzZ2&#10;QX1eNjc3vDfy47kkb7SL1C/G+eCekPYjKt4z0nbE/rTZo4gZRUnSduxjyo1BG33XNC7+syl3zTb6&#10;tKkJbzPlzm+jPzCNk/uactdto1+appm1ply/mupzJiFGQknSgiYbyjabby+X23BCrIvNYRmxXBul&#10;1+Uafqxuw+zEc3JvFOIn+3Kb1TimaR9j3W2V1hWvkwZqPEjBG/H4pjbtTwwO5AIZMcDv4s3CqEHB&#10;SbS9ah6cpvYITepzYr3D0OZ8L5faPvixtqKvKcwFcxXfpJYpNz7TPB/DrIN4zTZK55G++bHcvOSI&#10;53Ttw2LgIGdzVcR2tVXdHKfEdroYC17P9dmJfW8y3qOuC/DjdeMZ6xJipYhrpK0PyFHlb1Ki72ri&#10;E6LPSQP3rN103bL/wN9XJXY4FhNBiLrpR9vER0ykobbE/tXNRRPfRh1epm58Y9k66uptU5eXy/XX&#10;j+Xue060oWGIY54Gz/l/vH60r3jfiQH2dA8c9xtl85Ti5VFqg23GFtI143+jJvY97L23CxsYZj3F&#10;dZEmO+JYNJmLON+pnY/r/RTQb94TpfOVU44uxj6OVXosR7xmOlZ1DLNGnDhGTa4b+8W5KX6srM91&#10;x2GS8xd9T2zTMHv7eF3Oj8R11XR+Rx2HeM06u6izV3xVvM+nvivaYLqG47i0UdqOYfcoYkb5lika&#10;wzCapyTp1qbcGLTVfzeNgweYctdroxeamnC9KXd+U33ZNAluNOWu30Z8de+0wtc75/rUVE8yCTES&#10;SpIWNNlQxs1eHV4ut+GEWFfVpnnYDWYabIib4LoNcyRu0GNQgE2pv54GR5w4pmkfY3vaiPakG/TY&#10;ljje8Rq+cffADYr1eD/ZdJdBHbk3LLxWNYdVTKLtVfPgNLVHaFKfE+sdhjbne7k4jo4fayPGM+0f&#10;85WzgTLlxmea5wParoN4zTZa7T4sHmvTHoh9aSP6kvq/JtDX3Dxg4+k4O23618W6AD+eW8ORWJcQ&#10;KwW+sEtbrPI3KfG6dWUh9Tk5uD4+IZZDrMfoOyP4o1zSA/kHvJoQ21e3/nO0Ob+Jb4v+sm58Y9k6&#10;6uptU5eXy/U37hfToD3EREDZ/a8J0V4i/ho2ANxn/DXf00K0He4jkTgWdfcgx8ujdHzbjC1Em+L6&#10;8XxP/tYxzL23TTu9HOdEYtub1ANxXVTV12QuYh9ydj6O91PYdM5/lSlH12OfHstRN1ZVjHKun9f0&#10;3NgvlOKvl/W57vik569snqrWQRnxuun6iPU1GecuxiFes269lo1DJPrp9H7ibeXflDgubVT1viQ3&#10;NlynbI8iZhAlSdtzpyk3Dm3UxIENw9NMueu10QZTE+4w5c5vqnNNk4BkbO76bfQXpmll1GT2X5qE&#10;GAklSQuabCjjZq8OL1e24Yx1Vd1zmparI26C6zbMEQIcufPi6zHgEYljmrY9tqdsjNoQ32x7UC5e&#10;34mBGt/os7H213gjUAf9zQUFh52fcbe9ah6cNnbWpD4n1jsMbc73cjl78mNN6imDuYlzxXWwhTQI&#10;XDc+0zwfkabroE1fquBcr4c+N2VcPiweaxtkjn3J2eu4IGBLv9MgQ248Y/9yx52u1gXEOqrwckiI&#10;lYL1FG0xTfK0pckaceIarisL0edUJXhYt+wvot9GXC9d0xH2IuxRoi9ATf1bbF8u2FpHPL/umk18&#10;W+x/3fjGsnXU1dumLi+X62/cGyL8PtdD8d6H6vpXRdwD+H2U+tK641qJe1W3F/5NiYneqntQxMuj&#10;1F7bjC3EfnB96ovrjnFsSpt7bxc2kPqmJsR1kfYtHYs6qp4kjTTdR9aR9pc6c3XUjW0XYx/HKj2W&#10;I16zbb/juWWJpTK6vof4sbI+Vx1fifnD9rxsbFN8r13Wl5R43fT9RFxXdePc1TjEa9at1zivZf0t&#10;G6v4es4fxnbW9b0pw+5RxAzxTVOc/GE0b0nSdMEMoxeZxsEnTbnrNdVPTE34f0y589voo6ZJ8DFT&#10;7vpt9LumaeSpplx/mgp7EmJklCQtaLKhjPeXOrxc3ExGmm4cm5arI26C6zbMkbhhj0EMD2xUBbPi&#10;mKZtj+0pG6M2xKCPv0HxsYv155KKbLbTc5tAXTGIkwvyNGHcba+aB8evV1XGaVKfE+sdhjbne7k4&#10;Zo4fa1JPGXGsc9dw6sZnmucjR906aNOXKjjX66HPTVmNPmyUc7uAQELsG2IeI/F41Xh3tS6gST3g&#10;5ZAQK4n7EZQLErahyRpx2vrVGMxs6nOoNyY7fN9RBz4hBuD5fxO8PGpL9PN1/Wvi29qMbyxbR129&#10;berycrn+Mld+vEpN56aMaFdu/3F8I75W/D4c97S5tdNkniLc17w8SmkztsD8eHm/fnwNtR2/Jvfe&#10;rmzAjzWpB+J7kXS8c2NRhZdFTRIXdfvIOqK9V7Wvbmy7GPs4Vk2eOI7XzPmEKqItNZmXSNvr1t1D&#10;qo5B1fGVmL84dtH/xPkr60tK1YcC4nXqxrmrcYjXrKoHmvY33tPdZ8X2cg9Oie1sYmNtoc5h9ihi&#10;ylGStD3PMeXGoY2uNHXNn5ly12qjD5qakG4Sh9EFpknAb2rmrt9UPDE7jfCVzj825frUVI8yCTEy&#10;SpIWNNlQttl8e7myDWfcWFZtHKvetLYhboLb1hM3oGyCYzCqakMaxzTtY10woy3xzZu3yf+ffrrW&#10;++PJkfjGfBhikHQYxt32qnlwmtojNKnPabNmcnS15qrewDYl9rsqMFY3PtM8H1WUrYNZ9WExwIua&#10;BAKdrv3fsFTZGTbux6rGO47RKOsC/HjZfdPxckiIlST6N+7LbfxASpM14sS1GwO8ZcTyVes5Jfq5&#10;unUZaeo/IvEewr6oLX5uXYIljnNZ29rcg9vcV2PZXL1t6vJy6bzE+xt7SBTvgYwP/UuTc8MQ72U+&#10;7t4H9qeRuFZoY3xiKzcW0YZofx2xfDom0GZsgTZ5+Wgn0X5Y8/SlLVX21YUNQNv1FMunbYpjUedv&#10;4nuaurWYEtvQhjhmVXZdN7Zdjb0fQ3X3hFHen7RdI5Gu7yF+LDceUHU8jntX81c37vH9c3yv3XZv&#10;n5ZPif6ibn67Goc299+4tqm3jOi/fbw8cVq2zuM5de0Yljj+Ve0XMwTJOp/0YTVvSVK+jjY3Dm11&#10;X1OXPNaUu04bUUcTfs+UO7+NrjNNgqtMues3VdvN12qB5FKuP230/5mEGBklSQviJrZsI1e3KY14&#10;ubINW7wem9kyRnmzGYmb4LYb1RjIYMMbN71VG/7Yx1y5+MawagyaEjfrcdzSAEZsP8f8vDSg05Q2&#10;dlHGONteNw/Q1B6hSX3OqGPT1ZqL48Yb/WFoOkbxjXdufKZ5Pqooq3uWfRj98eMxyJIjnceu/d8w&#10;VPUvjnfVmmlqq3XrAvx4bg1HvBwSYiUhQOf34Sa26xB4TX1GG18e/SrXrwrkpm2sCr7m8POa9g2i&#10;/2jqr2MQvm4/Rv/TPjfpY9w3obK2NfVrEO996Z4tJZbNzXE8XoeXS+cltr3tXA9D9O303/9O7Tva&#10;LMf8POYjB/Pr5VHdmqi7p7YZW6iy4VgX161LpKTEOUr71YUNQNzn5I5H6vZpcSxQ03t92/122zly&#10;4nllNs8cxT1bjq7GPtpimY+B6PNQnY2n0Nd4fpX/of/Ms9P1PcSPldla1fFxzF/Vuox+CqXXbDp/&#10;UPf+smqtp3Q1DnG91q3BWLZs7iCOGeMT7adsjOr8Slf4NaraL2aIWUuSbms61vRy0ymm95r4Wtd3&#10;mFjAJ5oebfp907D8Z1NuHNrqOFOXXGHKXaeN/s7UlFF/kxT9iWmckOTLXbeNLjRNG/uYcn1po9eY&#10;hOgEJUkL4ia2bLMXN691eLmyDVu8Xt2mLm7Wm7zhzL1Jipvgsv6VwUbdz2WT65vzug1v7GPujUH6&#10;Bq3qzR3Qjqo3cfHNps9VLviSviHwv8ve9FNHWQIkjk3uWk0ZV9uhbh6gjT02qc+JbRyGNud7uVz7&#10;mSfG08vUBT2xs/QNKjZQdQ3OifOIcuMzrfMxyjqYVR8Wj9PvXBn64v2PdO3/cjDfBHDKzvNxQOn1&#10;43jTvrI6uloXUFVPJNYlxEoT1wDCftP7h8N6wG+wplL7bePLIa5ffExujdKOKv/Ldain7HrcK/3c&#10;mLikrVX9jGu+7L6REn1O2Xn00ZMwaZtjciY3Huk8IfqRI85FnT/ieF19TiybG/N4vA4vl7YvjiPz&#10;kLOLLok2Etufu6flylXtCaIdld0n6V8sV3ZfbzO2EMcxnVeuGddf2geuNey9t007vRznpMR9Dyob&#10;Z/rp/gjl9sdxLFw5W4+2gNK+cZ0yfxDbS7k2xLWfa1fqB1GOrsY+jkPOblObdeV8Qh2xzfQx55PZ&#10;b9KOtK1d3EMcP54bD6g6Po75Q5yTG/tYV7yvOakd59YEpPeU3NjTHz9eN79djUNcr8x7mR+CWLZs&#10;7pxoL3Gsc/12mthOJJ0v2sd1y8YuzlVuLsUM8g2TT/qwWg1J0qNMXzfl2pfTb00kTv+TaRjON+Xq&#10;baNfmP7K1AUPNuWu0UbYQhu+bcrV00YHmMbJvqbcddtoUr+d2hU7mnL9aKu/NwnRCUqSFsRNbG5j&#10;CnFDWIeXK9twsgn0Ml6O67KBZDMYoSybXC/LccqyYXSxUedcL5dCGT+/rH9VxL67CABUEce0bHOb&#10;vknk/2x4vV+8saMe32RXtT19U+P15Yjj6Sp7E+HHGXfG2dvG37GeYcbVGVfbock8tLHHJvU5bdZM&#10;jjbneznOyZGOMeXifCL65m9S03p4ExjHnnLYJ+dRD+Pkx1y58ZnW+fDzhlkHs+zD0oAFdsF5KAY8&#10;6FcK/Y3n8v9h/V8O7zPXpq9eL9eI7U5t3cnNGfXwugdFuloX4MfL2uPEuoRYDaRrGbHG3Beg1Ael&#10;PoEyfqxsjUQok9ZX5n8Q7Un3CrEO2hf9D2s9nh/bFNtK333N82/q96r2JynpNeMYxvsD4r4SiX1B&#10;+B7q49zo7+LfHMvR5h6Mn4tlKUNZxoG/I9EG4ng68XgdXo5zUrh+HKso2s85iPFJx7Et3ANy18iR&#10;2iTCZsrAdtJ+0G765/MRj/N3WX/ajC1Ee+JaKamNYAeOX4v2MMbUhZrce9u0s6oeoN1eBjEvbp8o&#10;tgWl9urEsYjjXbbGEK+nxPMYLx8X/o715sa7CmzIz0VxzPk71u3K0eXY58aWfqXt4XX/m/a2Jd2D&#10;8XfZHLP+IlzPj/m5lPFz0/VKXXXvlcvGo+p41/OHfcVzvE9pXfzte9mUaAuIvnO+18M14nHWdg7K&#10;e5m6+e1qHCCWpa2x/7HP1O3lyubOiX1xMS5V4CdzbfF+IdY/NuvlImn7mu5RxAwzC0nSg025djXR&#10;aaZh4InUXH1tdappVP6H6QZTrv424unbNnSRKP64aZycacpdt42eZZoW1pp+Ysr1o426sEshNqMk&#10;aUHc+PF3jrhhrsPLVW044xujKDaJKWwy0w15mXLnx01mWf+qYFMar4HqAitxTKs2rukmt0oxCJHC&#10;G7e0fNmblnTsqzb5ZfMURZlRGFfboek8NLXHpvVBmzWTo+s1x5jGN2tVSoMJkFsHUdRdNz7TOh+j&#10;roNZ9WGsXdZgrDcV/SkLBHfl/3LU2Sui7WVBr6rz49h1sS7Aj1etYfBySIjVAusAW4/2WSZsPPU/&#10;bXy5g19pck2ul1vnTfwXom8R2l53XY7X+dgcTe41ZfeAOIY54W+b3kua3oOrxjDdR8R7cG6O29yj&#10;vVzOXzbx/VGMyyik/S/bC+TaVXb/cbChJjbK/qLK3tqMLTSxE+7JXgb59ZuMf9m9tysbcOrWhKvK&#10;BtKxSPudqmz+m6ztsnPrqKub8Y5lcnQ59thC1Z4XP4L/jmOb8wlN4Fp1/pj+59bHqPcQJ5bLUXe8&#10;y/njX/pa5Tfq7k/0NU0S50Q96f0xEtdfk/ntYhygygfFfkf7K5sbJ/eBmCbvS7jesO//qu6vUVVz&#10;IGaMLr6idSWTpHw9LE+F5trVVE82teXeplxdw4inYEfhDFOu3rZq+1TrB0y5etqKpz3HwUNMueu1&#10;1T+ZpoEDTT8w5frQVti3EJ2hJGlB3EyWbfh8s5xu4HL4G45coiXC5jluHNkIlm302ChyjE2s1+/i&#10;NTbNHM+9iWGD6mXbBtqBOmM76zbSEN9EV70RAY7T/nQjzDW5FuNUVwfENw6MUdknRNNPa9ZtrnkT&#10;Qd1xDPib14Z9U5syrra3mYcm9timvjZrJsc41hzjSj+xK++HX4PXCBQxxmW4rabjRJ2sE+r3tuTG&#10;Z5rnY9R1MMs+zPvl5f0a1JHrT4S66fuo/i8H9ohNx7oZe2whtaUcrIV4Lm3KBVO9D3GM26wL8ON1&#10;a9jLUb8QqwlsnTWPDed8HGunzP7b+JuIXzP1P218M74gbTPri/aW7UXKrtvU71VBm9u2x/Fz/Tzq&#10;iOMQfRHtrKLJPRjoa+r/GId0Hr1dXD/Xj3i8Du8D50TiHpEytJe+uzhOv2ivl0NN7gdlcG6sq2wP&#10;Fcce0Yam5GyUv3mtSdvbjC0wd36dKjuJ4xjvjfSV/2MzfrxJe9u008eCc6rItQW1WVN+DrYDjA/X&#10;9TZ433ydlcHxdK208VVVYHexTYh16OPta6NsbLsee/wC4xXHnb76vgiinbXx+ym5a/mc1K0Pzh31&#10;HlI3Hk3Gq6v582vkxsRt3se/jpy9oqb3Ocr4OU3nd9RxcCiX2l70URDtLz2Ww8cYcf2m40g52k8/&#10;Yr8QrzHGHC+rj2PpmPhc1vkvMWNMe5I0OoVhNezXqXaVJEQkuNrC76p+zJSrr61ebWrLk0y5utrq&#10;l6adTF2yYMpdq62+YhqG3UxvMfH7uHuY/l/TuPiPJpx+rv3DiN/xFaJTlCQVQgghhBBCiKkmBvPr&#10;gvIxVueJBSFSSBS5nXiSVAghhGjNfzP9T9NfDKk2v+NZpt1NfzqEuqCL5ND3TMOw0ZSrb1i9z/Rf&#10;TU04xPRNU66eYfQ3prbwFG+urmHE77Oyie6Ch5vuNuWu01bHmIbhKlNa10dMh5n4euQu+O+mR5q6&#10;+KCD66em/2USolOUJBVCCCGEEEKIqcbjBjxlU0dMfvE0jxA5lCQVQggxMq8y+c1kGvV903amUXiH&#10;KVd3G5EYGpZzTLk6h9VdpteaeBLxPiaSyb9r2sq0rek406Wm3LnDikTzsPCkZa7OYcVTvXubhmEH&#10;E78xm6t3WN3L1JZ/NuXqivq26Z0mnsa9v+mPTf/BVMXvmP7MxNcIf8iUq3dUPdYkROcoSSqEEEII&#10;IYQQU43HDZp8FWL86sSuPhAvZg8lSYUQQozENia/kUyzvmwahS6+8vbnpmHZx5Src5r0f03Dcrwp&#10;V+eoYtPN3D7LtKNpaxPJR554/XsTv5lJgv0I01tNJB1z9YyiU0zD8AhTrr4mutXEE8KfN33YRBKe&#10;p727+q3RKvHVzUKMBSVJhRBCCCGEEGKqid/kRsyG32zjt+lIdLlIdMWv5eXvpr8tJ+YPJUmFEEKM&#10;xNEmv5FMu/i64GHpIkl6o2kUun6acpJ6k2kU+Mrd35pydU+z+J3UvzINAxu7XJ2rXf9oEmIsKEkq&#10;hBBCCCGEEFMNyU6+OjcXT8iJsn9rEqIMJUmFEEKMRJuNyWoXT2MOSxdJ0stMo7DJlKt3tYsnFn/f&#10;NCrPNOXqn2bxIYRhOdaUq3M162CTEGNDSVIhhBBCCCGEmAlIbPFUKb9NmsYWiFVyjDJC1HFPk9uO&#10;vpZZCCFEa84zxY3INOsQ07B0kSRlLEflaaZc3atZ60xdkdscT6tIHo/CtCVJH2kSYqwoSSqEEEII&#10;IYQQQgghhBCiKy4y5RIe06hRkjQfNOXqbCPq6IK3mHL1r0YdaeoSfjc0d51p0y0mfu90FPgd1Vzd&#10;q1FPMgkxdpQkFUIIIYQQQgghhBBCCNEVXzPlkh7TqCNMw9JFkpQfm++KC0y5a6wmkcQbB4eacteb&#10;Ft1uWmsaFew5V/9q07jsQIgtUJJUCCGEEEKIleGe6/a8B1q7bpet1qxbvBfaZuPCXmjNxsWHbbNx&#10;1yPLtGbDwrF5Lb6iXEvlNtdj13H5te+7bpf1Ud422olo86ALQgghhBBCbMEsfd3uSj9Jur+pK/7B&#10;9GNT7jqrQceZxsm+ptx1V7t+ZnqAqQuwp9w1VotuMI3yO8BCtEZJUiGEEEIIIbqDBOJSstMTmkWS&#10;8ow1GxbOtdcvNd3eV36vPV1auH3NxsXrEH2jj/2+Lp5RvNcw9fu/lJyNSdmYiFUCVgghhBBiNugi&#10;ObhaNMpvkp5hytXZRn9n6pJ/Mn3GlLvWSurhpkmws+knplwbVqM+b1pv6op7m3LXWQ16q+kPTUJM&#10;FCVJhRBCCCGEaE6aBB0kAEPyM79/loZRPgFblXxlXtKnYJV8FUIIIYSYLG8y5ZIg06hRnmobNUn6&#10;I9O4eK4pd81Ji69m3sY0Sf7MdIop157VIp74HeWrnqs405S75krpNtNDTEKsCEqSCjFfECBE/nV5&#10;BA6RBxIJLLqWnvIo+3q/4qmYrDx42Ua5epautRQA3dyOQfvKAqIeFFVgVAhRhfvF6Bujf0wVfQ2K&#10;fjMq+qgq5c5Nr4H8+tGvybeNH8aY8e/f/+z+NtZEaP/pUrOLIiGI7N537pL6T2fmlLuvIju2+Z4a&#10;XgvnLtW/+ZqDpOSgHTP0xGuq3FgvH0/7u3I/YudvsZbL1u7ApIQQQggh5oLHmnLJkGnUn5qGZdQk&#10;6atM42R706Wm3LUnoeeZVpIF01dMubatpF5v+mPTuNjB9AtT7tqT1HWmp5n+q0mIFaMIAGSDBtUi&#10;WDCoQggxBjxY74G1foC2H3zrB+L6ycqtNy6+Dq3dsHC6/f+crTcUQb7L12xcuNbKXm9lb7N/f266&#10;K7eW51PtvhbQA58e7PQExWCqhBBD4Ak+X0/u63L+rr8G8x/SCGu2NOGDwpofJHxmMenT71foq/m3&#10;Jd/GePn4eXLHEzjyaXlsDM0Oc2PdRMV8xHtM32YzY+/rYXDZVU9cv75m03W7fL2azS1bq0trNNjr&#10;DK7J5WKMBkMohBBCCDHz3MeUS4pMmy4yjcK5ply9TfWvpknwItMdplwbxqHTTHzt72qB3539lCnX&#10;1knp2yaSxv/bNAn+1vQGU64t49bFpkl9vbIQtRQBi8yb+DoR5BlUIcTckwYLc0H+pQD/UmB/ECg8&#10;39bUZaZvWrmb7PWfxrUmTYOWnkTpz6knJAbB4WL++0lWbETJCLEaiH4r+q6yhMdyP4Zt930ZKvYS&#10;meSHa7A+BonJ2U+ETLuYr/48Bl9m8+8+bGBCc4HZa2WS1MblThuj622srrB/L7L/n7/N+oUPr9mw&#10;6WP99dCl+mtrHrT1hsXz7d8LTOeYzl+zceHCQhsWL+lr4cpCGxevZvz7WvyevXYrsr9/bHP3s4F+&#10;mZu7lRBraGBaQgghhBBzwbNMN5n4/cdpFF8D+4+mYdnOlEsQNdXHTZPkd01PMn3DlGvPqOKpweNM&#10;f2Varfy1iScbSY7n+tC17ja93cTvpK4UfFqXr7p9r+nnplw7u9CXTa807WESYlVB8Cv3Jr5OazZM&#10;b5K0CPBuTmh4QKYfgCrGox/oXfa0xeCczV+l5QFkgskeYPaA8+AyYsL4+FcF/Zk7V38u+3NbzG+L&#10;oP/AfhTsX6ZNDdS0HErrn00t+aIlH+S+Bxt1X+M+ZmDuYoqJfirnn6p803K/5FpKLGBLLmxrua+S&#10;zxpN6TguPbEZZa9vnoNhlKkvuW6ubZNX0T5szuxxYNozCetzed+5Py2E/0vTLLPhzOvxtW73JPj6&#10;gWkJIYQQQog5gORXLlnUVHuZVoq/MR1meofpq6afmXJtLBNf5XqZ6T2mx5j+wTRt/KVpk+lo0/tM&#10;3zLl+tpUJES/YDrJxFOU9zStNn7HtM50pOltJuYw15c68SGDz5tONO1mUkBTrGqKgGvmTXydCNYO&#10;qpg61hSJz3y/utfCb9CajYubZf//tWvNxoVfubbZsPjLJS38wo7fidZs2HRHlL12c5T1h0AlKj5V&#10;b+df1tfCRYU2Lp7X18In7DofGuhdW++w8GZkr7966w0LJ27W+sXnbbN+1+MKbVh4VgzW14mxXa6l&#10;pKOrsLlE9nptwB8VQdktgsa5cZ83xSAewb2lAJ+NY0kQcH6VH5P4/1xAtFiTP9vy9ZVQ2ZOrrLHB&#10;2ks+0OEfHFCitTm5ZCZjivrjG/3ekn/rz8nyD1Us+a3cfEouG6c7bAx/bP/yVeGbE46MZ19L9r5k&#10;866lDzUV82Jz5LI6lv1GoM8nimvDNTCBVY/bZ7RR+kd/0eYxcL+QsVE7buOcn49mWuDna2YWxjjf&#10;b0lqL9bnwLSEEEIIIcSMw9OSueRRU73btNr4X6YNpj1NDzY9znSU6QmmQ017m/ity0l9XexK8Aem&#10;fzatNe1oos8PNflYPNH0CNMBpkXTA0189fT/NU0rv2eiz/c38RuuB5lIfNPfw037mbALvhr6z008&#10;kSzEVFEEGjNv4utEoG1QxdTRD6Tm+yVJk5EnNbdMaC4vJ02DmLc1GxdvMb94if3LVwSeZ/9+0vzr&#10;WYPfiL2gn4hYbUmymGwtS0B5cqX6qfqoXAKqTDEx5cqVQ7Fe5NejHVH9toVk2SA5hJYSRP0kEbJz&#10;Nicz7V99+KK1ch/SWO7LbJxH8G/pb2xWJUyXbBU76NvClglStynsbbA1mGnSteVriLFB/XGy9bJh&#10;11eazzp9mw2LH7Hx5CtNGfOb12xcuKv4MFdufmzsB5eZSRi3bL8laQjhgwamJYQQQgghZpwXmHLJ&#10;zyb6jYnfixRCCDEBiuBi5k18nQhGDqqYOvoB1NifNKCbe4pMml4t/Db/epk84F8e9DcbGiHgL82v&#10;Bskefqtu/eInt96w61nbbNz1PTzZXTzdvWHhreZbT1+7YeF0sy9+i+3cfmIoV5c0f0p9E9rSP0W5&#10;r5K/aqp+krxYp4OkLCrWYpKcRZ6gdbE3Wq6lDxm0V1rX8m9isP9nk/1Fe5faP/akP+0abK9mlnGP&#10;oTQ/UpJUCCGEEGJ++KEplwBtomeahBBCTIgi2JZ5E1+naQ6KEXzM9Wlcsus1CFCXBbnTgPg0Kwb4&#10;c/3yMSgbCwX8pXnV5qTNZWb7JE/PX7Nx4UL7v/3Lk6uLvHae+fNLkf19lelKO/fWgTJ1St3L/dqW&#10;PszmY9n/JWl2tLCSP5MzEfDB3l+tZWkUKUkqhBBCCDEf8FWkueRnE33OJIQQYoIoSSpJkjSf2jLY&#10;H/+f+yDDtCv2ib4u7z/joQSIJLXTPCR9zFdcmuu7JLWVkqRCCCGEEPPBpaZcArSJ7mUSQggxQZQk&#10;lSRJkiRJkoYRv3E62F7NLLZvPHepz/oghTS8lCQVQgghhJh9Nplyyc8mepJJCCHEhFGSVJIkSZIk&#10;SRpGg63VTKMkqdSVlCQVQgghhJh9PmJKk59N9EGTEEKIFWA+k6SLr8j1qUsdfdyJvS9dcmnvuzfe&#10;1Lvr7rt7kR/f8ZPi9TPPPqf36Cc9PXt+KspR/qprri3OT6G+y6+4svfmt78re74kSZIkSVK3WuBb&#10;pGaeYffKTcX+LrdXzJXNaY+DH5bdGzZFe8fJac26RX17mhBCCCHEDPOvplwCtE63mf7SJIQQYgVQ&#10;krRbvew1ry8Slk2pC4IR+CLZ2gbqJEmbq0+SJEmSJGl4LT1JyROWg63VTDOuJCl7tVt+cOtg97Yl&#10;uXNyYu85Cp/7woXZeqXupSSpEEIIIcRs8xpTLglap0NMQgghVgglSTct69coapvMdHJ1IRKkVcGz&#10;Ogia5eqVJEmSJEkaVdO8F2zDQx5z5B1L/R5939j0A3C5c3NSknR6pCSpEEIIIcTscg/Tr0y5JGiV&#10;3mgSQgixgsxjknR5n7tJkvJVt8OSqw+1eSI1B1/dRiAuV7ckSZIkSdIo4jfeB1urmWZx/4eGJOlo&#10;4qttm341bu78nEZNkurrdientet22WpgVkIIIYQQYsY4ypRLglbpW6bfNQkhhFhB5jFJunaHTe9c&#10;6svoSVKCSzlIUvLp/PSrbwlm+e+LkgiNx2KZHDxZGoNZJEHfd8ZHtvgtK4djsV5JkiRJkqQuNC9J&#10;0gcu7H17rv9t1fYDdbk6csrtGfV06OqUkqRCCCGEELPLtaZcIrRKO5uEEEKsMHP5dbsbFz+Z69Ow&#10;yj0RQDLz0U96erZ8E+UCaVVPhpKIzcHXueXKS5IkSZIkjaZdjxxsrWaabXfc1EmSNAfJzLJvDsnV&#10;kZOSpNMjJUmFEEIIIWaTB5lySdAqvcAkhBBiFTCXT5J2mCTlSc0c6dOjbZULmJU9derKJWvrzpEk&#10;SZIkSRpGazYuPmywtZppdt3vQZ0nSfkwne8VlSSdHylJKoQQQggxm5xnyiVCy/R5kxBCiFXCPCZJ&#10;t91h95AkXVjWr7YiyJXCU6C5sm00TJJ0XG2RJEmSJEnaUgt7DbZWM83jn/Gc2/L9bye+EQTxkwvx&#10;dSVJ50f3XLfnPQZmJYQQQgghZoQHmHKJ0CrdxySEEGKVMI9J0vvttNsFuT61FV+nm4NgVa58G+UC&#10;ZlVft1vWFv0mqSRJkiRJ49F8JEmf9+JXdZIk5cnR3E8xKEk6P1KSVAghhBBi9niDKZcILdOTTUII&#10;IVYR85gkvf/Ou1+R61NblX3Vbq5sW/GUQQ6eFk0Tpfw/9xQpX78by0mSJEmSJHWlNTvseshgazXT&#10;vPTkt3SSJC2TkqTzo4FJCSGEEEKIGeJLpjQRWqYTTUIIIVYZ8/kk6e435PrUVgSgUjwxydMCX7rk&#10;0i0CXxy/6ppra5/wJPHJk6M5qMPP54mEXIIUuniiVZIkSZIkKae1G3Z99GBrNdO85ORTlCSVOtHA&#10;pIQQQgghxAxxbxPJT36X9Oumbw90qekLpvebeHr070xCCCFWIXP5m6QdJUlzQS0SmGXBrhTKkkzN&#10;1Y04VpYoBZKjZcf1NbuSJEmSJI1VGxbn4puijnjmsbdn+9+RxpEkzcGekWvxIT59kG4ltHD7wKSE&#10;EEIIIYQQQgixWpjHJOnaHTbdsdSPhS361lRNk6FVELDK/T6Vi0QpydSm1CVeJUmSJEmSutCaDbs8&#10;Z7C1mmkOPOxxM5EkTeHDdtozjlfL32coSSqEEEIIIYQQQqw65jFJmuvPMOoiSQrUk6vfxVfv8qn/&#10;JugJUkmSJEmSJqF5SZLufvDDZzJJ6mjvOD4pSSqEEEIIIYQQQqxylCQdXlVJ0suvuLL35re/q0hw&#10;UpanRXO/YepUfZKf4Febp0n1ZIAkSZIkSePXwgmDrdVMc58H7rz5G0jGoVGTpOz5RqHuW02k4RWT&#10;pGs2Ll43MCkhhBBCCCGEEEKsFuYtSXrPdXveI9efYVQW1KpKUJYlSs88+5xs+aZPkKYQ8CJJm6tT&#10;kiRJkiRpVK3ZuPCuwfZqptl+1z3vXOr3pmVj0IVGTZIi9p58qC73W6McY59Z9YE7PtyXnieNLiVJ&#10;hRBCCCGEEEKIVc68JUnXrttlq1x/htEwQS0+qZ8jF5ziidAcXJeAF3VxXhkkSqsStpIkSZIkScNq&#10;zYZdzxhsr2aaPQ95+KpPkjYR325Strdkz5g7R+pOSpIKIYQQQgghhBCrkHlLkq5Zt3ivXH+G0bBB&#10;rRzUFcuUPUGaS6aSCC17OoBgWFpekiRJkiRpdC18YrC9mmkOOuyIn+X7340mlSRFVb9fqg/WjVdK&#10;kgohhBBCCCGEEKsQJUmH17iSpGVPm151zbXL6oniHJ4CyKGglyRJkiRJY9B5g+3VTPPwJzwtJEmX&#10;vj61K00ySYrKyH1Vr9SlFi4dmJQQQgghhBBCCCFWC0qSDq+yr7qtCzLliElSfjcqR12ys+zpU34H&#10;NVdekiRJkiRpaG2Yj6TPgw5/4l3Z/nckJUnnRUqSCiGEEEIIIYQQq455S5Led90u63P9GUYkH3O8&#10;74yPZMsjfg8qR0xkltUb68mp7CvUlCSVJEmSJKlrrdmwcOVgezXT7LzPg36V639XWi1JUr6VJFde&#10;6kpKkgohhBBCCCGEEKsOJUmHV1lSMve7oS4SqDne/PZ3bS5TliQlwRrrSlVWN0+m5spLkiRJkiS1&#10;06bNf6/ZuHj1YHs106zfbb+ZSZKy38zBb9vnyktdSklSIYQQQgghhBBi1aEk6Whq8zugJDkJQqVQ&#10;RyxXliSteyL0lh/cOii5HP0mqSRJkiRJ3WgpSWp7yJsH26uZ5n477vab5WPQrUZJkrLHYx9Z9S0m&#10;rrJ9KOhbRyYhJUmFEEIIIYQQQohVh5Kko6ksoUkQKj4dylOnZUnMNDBFwKsMnlKNvxlFwIvrlNWt&#10;JwMkSZIkSRqLNizcOthezTTZvneoUZKk8VtN2PPx7SHph+P4P3vNsg/28Xrdt5VIXUhJUiGEEEII&#10;IYQQYtWhJOloIqhUFnRqAsnNXL1lAbO2xISqJEmSJEnSaFpY+nvD4o8H26uZ5Z7r9rzH8v4Pr6uu&#10;uXawOxue+AE8VPbTD21I65TGJSVJhRBCCCGEEEKIVYeSpKPLv+qsLSRIyz65z+tlT4c2pclXr0mS&#10;JEmSJA2jNRsX7hxsr2aW/z977xluSVXt/X69395zn/Ppfro854b3vungOdIgsQOhe++m6SZnaLLk&#10;JDkKkkRsEBBQsuQgAiIi6jYhIpJFJNlEARERFMVYt35z79E9ejJrVtXatdbevdf/9zzj6d2rZo2Z&#10;Z9Ua/5q11pk9f41U3XuxLojfPrLvoUf1/LAe5+lecZAmkVQIIYQQQgghhJh2SCTtxhBKq37nKYag&#10;VJPffkIo5fW6bWEXqnaQymQymUwm66+N/GXi9mrGMmv26MfSdW9vXZC6f0QobbtLlftLzot9yfpp&#10;EkmFEEIIIYQQQohph0TSbo1XlhF4ineBIqAiXvJbUW1/94kgFucRAEvtLjXfBM7i36GSyWQymUwm&#10;64fNmjf6t4nbqxlLlyJpP163683uF7knjHeXcv9I/hyXODo1Vs6X5RPDSgghhBBCCCGEENOFYRNJ&#10;uwx2yWQymUwmkw2TzZrrfpN03sg/Jm6vZiz9frhONjwmkVQIIYQQQgghhJiGSCSVyWQymUwmk/Vi&#10;E7dXMxaJpLLJmH+oQCKpEEIIIYQQQggxDRk2kXSd2fPXSNVHJpPJZDKZTNbO1py9+F8mbrFmJGvP&#10;G1mSqrdM1sSindfvTgwrIYQQQgghhBBCTBeGTSQlmJeqj0wmk8lkMpmsnUkklcmqTSKpEEIIIYQQ&#10;QggxzZFIKpPJZDKZTCbrxfgZg4lbrBnJrHmjS1P1lsnam0RSIYQQQgghhBBi2jFsIimk6iOTyWQy&#10;mUwma2f8ZufE7dWMRCKprDuTSCqEEEIIIYQQQkw7hlEknTVv9L1UnWQymUwmk8lkzU0iqUzW3CaG&#10;lRBCCCGEEH1jtLSHS+Pm0+ybpfH5VPGvpX2xtN+VZmXibz7jmBBCTCnDKJKu40TSVX8rSCaTyWQy&#10;mUzW1BARJ26vZiQSSWVd2kz/DV8hhBBCCDG1bFCaF0dj+7fSpoKbSkuVB0MoFUKIKWUYRdJPbLLw&#10;6VSdZDKZTCaTyWRtbMFhE7dXMxKJpLIuTSKpEEIIIYToJ0eXlhIizXYobSpIlcWMHaVCCDGlDKNI&#10;ut5mWzy4si6r107SDUeWFHM237pYuP3uxZa77l2MbLtLscmS7Yv1N9ui+MQmmxfzt9qx2GGvA4tD&#10;TzitOPXcC4uTzrmgOOLkM4pdP3lomXbnYq3ZmxUbzF8UPjvx7GXFxdfcVFx1613F5y+7ujj8pM8U&#10;2++1f7HR6JbFhgsWF9vtsV9x2ImnFedcfHlx9W13FZddf2txyrlfKPY+7OhitMz34xttUsxZuGVx&#10;8LGnhPxOX/bF4rNlWnzvdsARIc36my0q1tt0UbHZljsWW+y4R7HD3gcW2+25fzGy3W7FJlvuUKw/&#10;f4tkPWUy2fQ1duBPdhd+Fz5kMtnUWzmPT524vZqRlPeJS1L1lsl6sXVmz19jYmgJIYQQQgjROXUi&#10;KcenglRZvAkhxJQyjCLpBvOXTIlIirg5b/H2QYRE0MTmbr5NsdsBhwfx8eKrbyyuuPlrxReuvK44&#10;6JiTi823362YXaZdf9OFxRY7Li2efunXxS9ffat44Y13ip8982LxxWtuLHbe96AgVG40srjYfs9P&#10;lj5uKB7+xQvFS2+/F9J984cPFcefcW6xeKelZV5bFZ/YeKTYaZ8Di5d/+17x7Gu/KV5483fFQz9/&#10;rvjCFV8pdtz7gBW+SHPZdbcUjz67vEz7fvH8r39bfH3sgeLoT59VLNpht5Bu7bnzi30PP6Z4ZcLX&#10;i6WvHz/xTPH5y64KAuvs0SXB1+4HHFZcefMdxePPv1y88s4fQtqv3f/94siTP1Ms3G6X4Avx9pDj&#10;Ti1++MhTxa33fKf4ylfvKT6z7JJit/0PKzZZsl2x7qabB9u0/HvbpfsVO+x9ULHVbvuWZVlabFK2&#10;6XqbbVGss/HCZLuvTibRSDYYs3G2+s+ZVW28XhJguzDaD5vqMUL+vgwr+1X9PD2s7AOJpBWWHp82&#10;t+yY/3+VxT7SZnNC82L62qzZox+bGFpCCCGEEEKsgN/lTL2Slt8W5RW6TdFOUtELjIsXSov7Ra9C&#10;FkPDMIqkGy/a5tZ0nZoFltj9uNlWO4UdkQccdVLxySOPD0Lngm12LtbbdPNi48XbFTvsdUBx4NEn&#10;Fo8/+0Lx7GtvByHyujvuKY446fQg9CEeIkqeeu4FxbceeDgIkaS79wc/CSIjx0izxY67F/scdnRx&#10;8jnLig/++c/i1d/9sXjwyV8W19x2V3Ho8acWG2+xTRAjd9nv4OIzyy4uvv3gI0GIRExF1PzsxV8O&#10;guWGC7YIQunehx5VnPWFS4s/lb7I84HHfxEETMqKiIpguesnDynOvvCy4nsPPxF8Ic7ecs+3i09/&#10;7sJiSeljg80WBQF3+7L+R516VnH/Dx8IO03PuOCS4pCyTFvstEcQLUM7bblDseUuexc77nNQscfB&#10;nyq2WbpfsWjHpcXszbcuPrHJwmKdjdNtLKs2BT9laWNczDTRs1tbB9t4YVh7NliwpJi7aNti3hbb&#10;Tfy7bfnZ4hXHNxzZMuzU326PTxZ7HPSpcl08rNhm9/3COk+6T5Tp2NnPQy8Ly/Vwp30PCteEJbvs&#10;FdLw+bivzYv1yavMZ0Hpb+6ibcIDMxuV/lNl7K9pjEhwnZwl26i8j5y4vZqRlONkxuwkZQ1Mfb6q&#10;fXSN0PzoziSSCiGEEEKIFLnfEv1maU2Zrr9JSh1S5cEkxE09uf5pI9ILsdoyjCLpnEXbXZGqU84Q&#10;8xD+5izaNgTBEUUPPOaUYvcDjiiW7Lxn2BG6LoH3+VsUO+59YHHKZy8ozr3kyuL6O+8rrrn97uL4&#10;Mz9X7LDX/mFX5EajS4rFO+9RHHP6OcVFV99Q3HDnN4ub77m/OO/SK4s9D/lUsWDrncJrahEs9zr0&#10;qOLsi75UfPHam4qvffuHxZW3fC2ch4i68eJtg6+tdt2rOPKUM4vzLru6uPDK64oLr7q+OKHMD0Fy&#10;3qJtQpCeYP42Sz9Z7H3o0eH1uIcc/+li78OODTsxCdqvV+ZHuo0WblX63b5YsM14MJ96pdpjptu4&#10;iLI4CB0IGrQFf4+/1nhc3MXY3Zo6fypNgcyZZtaf00PcYtwjEK43f3GxfmlzyjViw3JujK8hE3Nj&#10;Yv5wjNeBzy/XtM222jHMJR6e4LiJkcypVD7T0TYo11HqidCAyLlk572KfQ47pjj8xNOLz3/pmnLd&#10;Pa+8Jhw+/iBIuZbO2XyrYvcDDy/OvvBLxR3f+n7x06efDw+fXPqVW4o9Dz6y2GzL7Yt1y/ZaXKb/&#10;9Oe+UFx+w+3FN3/wUPHjx39ZXHHj7WGtXrLTnuW1YKtyLd662Gmfg4rjzzivOOmcZcWZX7i0OPYz&#10;54YHUFizx3fTl9epTReFvClnqg6yri2el6uuvyYuTeW6/NG8+b9fVya3tpT3g3dM3F7NSGaSSNq1&#10;hTWnXHu4P9p0yx3DWrTxFtuVa+X4G1NY5zHSTvU8GIxRv/x8kkgqhBBCCCFSdCWSArtJ2YEa+xgt&#10;baqwnbLsTrQysXMRgZRjYmqRSCqGnmEUSWdvvvX5qTrJpo8hPgYxZkK4ZWfWzvsdEoTpTx55QrHP&#10;4ccWW+22z7jgUqZDDOYVwZ9Z9sXi6tvuLm68+77w2mLEhC132Sv8xuomi7cNr/4975Irw47bX7z8&#10;ZvHQz58vbrr7W+FVv+ykXW/TheF1wsd95rPhVcWv/m58V+79P/5ZEKARp9m5O3+rHYr9jjg27MJ9&#10;4oVXwuuNn3zx1eL6r90bPifNepssDL/Lyo7fL11/W/HVb40Vl153axBD9jzkqLLM2wZhff3NFhez&#10;F24ddtem2qIfNvMDlauDjQSREVEriIulpdN1Y+yMRDxbvPNexS77HRoekNhodKvxY+X82HKXPYPo&#10;xquw7/vRT8PDG1+6/tZivyOPmxDptgpzjJ3oP3z058Xy3/y+eO71t4vv/OTR4swLLilGttkpvM4b&#10;4W//Tx1fzoVvhNd0s/t97KePh//b3GAHPDvWz/3i5cWPHns6zB9ew33nd35YnHjW58Nue8TDTRZv&#10;F8TEz116ZXH3d39U3PqNb4eHQI4t5ycPpyAE0obsWOf12zvte3DYzTm63W4r6iZrZ0HkLo21dWHZ&#10;jgcec3Jx1KlnFyedvaw47oxzi93KNTS8Ar1s+9kLtwzr5e4HHhF+0/rg4z5d7HHQkeG3p1nf1plX&#10;juvSJyLK7LI/EFEYg+RTvQbFn/d3XsgmbxJJ08b6NL7TfPdgPGA3ut2u5VrKQ3WbhwdEEBW3Lteu&#10;fQ47tjho4v5m2z0+GR4sCfdBpR/SbVqucTzotrScX0sPPLLYfs8Dwk53/HP9IC1zi53xI9vumizP&#10;dDXq+Imy/DxUwwMmO5fXp+322D886LfFTnuO17Fck3jwhnbZfq8Di33Ka8kBR58U1hvai4dxgiBb&#10;rhc8wMLaxc5/fh9/p30PDWn4bMMFS8L6tm7ZplzXRsp7S/JYssve4Y0A/FY++ZFmbdbBsg95SG5x&#10;eb3Zctd9ioXldZP7tXU3XfThrHmjf1h77uiHqTrl7OOz58+ZGFpCCCGEEEKsoEuRVIi2SCQVQ88w&#10;iqRzF283agEqAk+8Dpadk5vvsDS8cjFVX9mqFn5ftWyrEQJ+i7a1oFEI/G225Y7FLvsdUnzqlLOK&#10;Uz93YXHmBZcWR596VtgFRXsTdBrdDvHw08Vl191a3PO9B4tfvvpm8d2HHg07p3glMCIKO2l5DfAV&#10;N301/NYpQsrPf/Vacd1Xvx5+z5Tg/PqbbV5su3TfINIgovBq4Pf+UQRfh594WrHHQUcEcQd/hxx3&#10;SnHVLV8rfvLUs+E1wk88/3Jx9a13hnSbb79rscH8RWG37zkXfan4xvcfLJ555c3ij0VR3D32w5AG&#10;gZUyIeDw2uRrb787/P4rvh755a+Ky2+8PeQxuu3O4fXG/F4su4MRWxGAPih93XLPt4IvBCJep4yg&#10;xO+8IiDx+6/4evjp54vPffHy8PrOuYtoV9p0h3J87l5stvVOyf6YrNFv683folhv0y3GA5aI06OI&#10;07uE4C5zhH5lJzWvKTUhJeVrdbGwi3H++G5hRLWFZfsSCGWM+sAzAj0B6b0OPTrs2D75nPOD0DhS&#10;ts1G5XggeMuOQXzwW7k77nNwsfXu+4a2Q5jETyr/rmxOOfe23/uAIPTzqmtsfAf5wmKrXfcuTj33&#10;C0F8fPyFV4pfvfVucef93w+v72asM04RN489/ZziprvvC791/NYf/1K8/Nvfl/P3jDD/GM/MjaUH&#10;Hl5cdNX1QRTl94cRQL9631jYtc4cJA2/Mcz/ETOZE2//6W/Fc6+/FebLAUedEB4uYNzvdcinikuu&#10;vSmIp5QJsZVzKMfWu+0d5jWvGj/ls+cXt3/zu+H3jH/7538UT774cti1idjKPERw/eSRxwUx9weP&#10;PBWE21+8/EZx4533hnm1ZOc9Qh3ZqXn8Zz5bXHD5V8K8vbmchxdccW3op0Vlv3MtoK95VToCA32X&#10;auvV1ahbGO9lPfl9632POL743CVXFNfc/vWw9rBG71Ouu5uV/UN77bb/ocX5X74mvAqevvlTuXZd&#10;e/tdoR8RyknDuOBhkhvv+uaKteuhcm1ljCCS0z+kQ+TmARMeTOF3sv9c+vrS9beENXzbPfYLfc0Y&#10;5HqAGM6r228r+3zZl64p/ZwQxjMiPoITcxEhnNcfIxTxm9iIJhuWa5V/yCC9c9L/X9abjbyLzZo3&#10;urz89zHE0XGb2b9Jys6/T2y6+Z+5LjIG+emAM87/Yvhd+C/fcHtx7hevKNe3E8PPEKxfroOLyzF7&#10;2nkXFnd863vh4anf/vnv5Rr2Urg/YMzywBb3EsyTL99wW3hQhJ8/YO26oZyPrL22dvGmEPK6q1zD&#10;f7789dLX34qfPv1sWJu5V5pX3iNwj3PQMSeF+5sV90pl2mvK+5vDTvh0uS6P399QriNPPiP8dj3z&#10;/q7ynunzl10dRFrKzptQuCbyNzvid9r3kGJpOddYJxFz02NCVm/jc2ZivizTTlIhhBBCCJFCIqmY&#10;SiSSiqFnGEXSdebPX4MgFb/1SYCXnYIEqAj6s7uQoC2BfAKzBG+PO308EHz32AMhkL/sy9eG3yFF&#10;wEIgQVBBYN3rkKOK/Y86KQSV2FlDYIm2IjgdAtTzJ0TZXfcOu50w/ubJdQRGRCeCcAgr7LgJuw92&#10;GN+BYEF7e3UZu3gQrPjcfIXfwtt65xAIJ80G8xcHAYBdl6ece2Hx6fMuCqIlu8VmzV0Qfj8VwXLB&#10;1jsWBx93avGFK68P9bv5698KOx8RH3jFI+kWbLVjCGoT9EPUIAhHm/H/tWZvGtoLwWL7PT8ZAuKP&#10;PPNiSIOYgkhI0I9gHoE6xE2EFHZnImpg7DZDvMAXgUF8EYy/9Cs3hwA8vgiw8zurBP0IMOILIYXf&#10;dUVsIQ2+Xnv3gyDAzJqzWfBFWkRJREzEFspN4J+yI9yYL4KS/K7r93/2ZPBFPX/93p+DaOp9Ibzy&#10;m7BP/eq1IAwggNJujCfKbYFNfteV33wlP3y98f6fixPPOi/stiM/fHHODXfeG8RdfCHMMtbIAz/Y&#10;NrvvE8RWE3dp0zf/8Ofwms9PbDIugBDcRMQk2IlY5+dqvwxRlV0ru3zy0LADht/n5TdqN16yfRBd&#10;2SXLHGIHBwHjq2+9K+y8vfDKGyaE6d3CLkrbxXjMaecU195xT/HVsl9uuec7xX0PPDz+6umyrZiT&#10;BIKZd5dee0tx13cfKMfVT8ux+u3ixLPPDzt22bk7p5yL2y3drzjz/EtCO/KKU8bMN3/4szBfQxA4&#10;7AzZuth534ODgHjKZ79QzouLgkiz1a77hN0qCMW06/rl3xsv2SHscEm1QT+N3StBoN5tnyDKshNv&#10;3bK/eUCBsl901Q3FYxPjmbXrsedeKo+PhDFov2fMwwME4G2esQP09M9fFOY8vviX4DpzAR/4YnwR&#10;aGfM4wdjPPP7xg8++csVc4PXxiK2IvSzA5u1krnJwwr4wNfy37wXxDHzRdkQVJd96erw6lnzRRp2&#10;KbIu09cIcEedekZ4WMF8kZZdrn6NYL35whVfCeKulZ315qhTz1yx3vAARLzeMI/4jeh4vWHdiNeb&#10;g445OYwr1kFE3k9+6vjis1+8Iggk/HvepVcF0WTtck1lzLPW89AIgjuCK2t4l68tx5ftyLRrS3gV&#10;bzkmPnXq2WW5bgqvb//x48+Edlhn3oIV6w2iCuIIAkpuvUFAXXW9+TAIpIwZfI3PxePKeXr/irUL&#10;geear349rLX4ob/5PewLLr82PExibfrmHz8sy3FM6GfS0U+MQQR3rsVcCxCWeDiGB03Ij/5hFz/i&#10;DuOc/IKvslx8bmXnYRh27tNvj5bpfvaLF4Oof8YFlwZxeL2QZ3ldLP/+VLlW8fvfn7vkynKN/3IQ&#10;i3jgZ/xhHwTlRWV/71jW4YByjTusvJ7ze9p7FJuU6wFp6ItwLS7HBTvX6PPw6unybx4wsZ1oGOsJ&#10;abm+x/3ZT+M1+4wX1pLRci1hLR6/zxgfN+yq27pcX444+cxyLbywXA92OX/teQsOmzVvdOna80aW&#10;sOMNQWed2fPXWHP24n+ZuIUaSjYc2WJ5PJ6ZGzxIwAMZjD1bb3jYg934rDW2LjG+11xvTpgXzEUe&#10;UmE88zAJaVh/7/nej8M8Y37hi9+R556B9ZE0GOOeOfzv684OvkjLnONBEbu/Cbvyv/2D4uBjTw5p&#10;8MX9DQ+dcH9jvsiTefa/PrFhmY6xslV4GIbrNHPQ1ggeVOFeiXnIPGMX//Hlen3z1+8vvvGDn4SH&#10;Gi6/6Y4wj/9jw03Gd/iX96Hs7uQBq133Pyysg4O6N5kaG3+AYOXDAyOn2vwZ9rkjhBBCCCGaIZFU&#10;TCUSScXQM4wi6fzF269BIOqy624pHvr5cyFYRJCdYDFP9f+PtTcIwWACtIhmBJsIOmH3/uAnYYcN&#10;O21MGEAAJNCED4JK+MQXO2r+v4+vG4LBBLF4TSVBMAJTz7z6Vvgb8Yt8yI9dWATb2A1AoJ5yIUrw&#10;6liCufgi2MXOHAQLxAACZgSn2WXAZ4gG+EIgYZfPV7769RWvg0WwY7cYuxL+3/9YJwS8CJpTBgQE&#10;AnkEzxEiEFcIllNHgmuIDNSJ4/gi0Iavk87+fPBFcI0dErTNdx96LAgfBNkIDCLKIILhi11iCCsE&#10;1/FFOtIjzNKO1JGgOTssEFttdxjBv9vu/U4I8hE4xBdiC6+uJQ8CeZSfYCK+2WXx39ZaLwg4BO4Q&#10;NKg/+dG25EfwkTanfwhYUk7f1wQ5SYeAwJhAIGEnCOMGAYFy2bihrRkL9A/9aTtb6WsbN/gin//1&#10;iY2CCISghHCLWES5GDcINwgb7MLCF+MMkZbzqR99zbjBF31M0JWgLAI2wi0BV3whcl181Q3h9xD5&#10;3dpxgQfhfbdi+70OCOJbal7L+mvs+iRYzKth2XHKa28JKiOc8zvFiMwEuxF4EPKZ4wTl4/WGcbPK&#10;elPORQLujHm/3iAWMQYRnxAcWUd22e/gj6w3CE+sN4xr5jUipq03jP94vWFs8xnj2dYbhAEedLD1&#10;hjGIL+ZCbr1hzqXWGx4e4EEEfLEO4Iu1A1+IDLbeIILF6w2iLr74lzWK+YKYRzoeqOD/zDO/3iC2&#10;sq759YYHMOL1BsEgXm9YY2h75i1rD33h1xvS2HqDUMcOSnYk86pv+hqx+2tlO1Au1vf/Pmv9VdYb&#10;rgO9rDcIiP9znQ1r1xvWSVtveLiD8+lr6mnrDf2CMGPrDeOG8uCL8tH3XFcRixBmEFt4nTJ9TRr6&#10;musU/Yg4/7H154a2ZQxyLm1OOtqNHf6InfQN44aHSRi79DXtwLjgOkVbMBb+c8ONwzWGMUidOI4v&#10;xg3XZvoEP6RF3GXc2MMwjFfGDeONsYxwzlj01zz6mnETXj99xLGhfpQNv1ynbCcg8wjBiOvuxzfa&#10;JDwcgLDGuL31G98O7Um7Mm4Q5KkXD4Gw8xu/rPXMWcRd2o3fqMU/6zxiN+U69rRzQtuT54PlHGOX&#10;OAIvO/8YWzxowEMoPGDEfLb7G/qQ/udaxnpj9ze0I2OG9ebesQfXmLhNEhF7H3bUctZiu79hjDFu&#10;uJ/ivoaxwxikrxnjdn/DOEPUZB36fz62dpgfjEHWGx40IQ1rF+sNDxMxz/BFX7Pe8DlrLunIm7HF&#10;nPm//n2t0NeIl9zf2CvQWUvoa/JjXWbt4r6QdZGHYWztYi5xz8C68H+vOSusN4iqrDe2dnE/QdkR&#10;RJn3XFt4mIT1hrls44axypikXvjy6w1jEF8Iy1Z25j/jnnIde/pnw3rJXMPOvujL5bmnhTdn/K91&#10;55TzdsvwWmEeAtyZna0HHhl+aoHXFrODnAcP7GEFHgxMXXfrjIcJEHbH35CxMPzEAzvUedBl9zI/&#10;XoG8Wzm/eEMKbxtYc/15PGj1kB4iEEIIIYTonX8r7YzSYmHGfqNysqLMmqXtVxq+qsQfPuc3MklH&#10;efpB/Nug5Fn1u6DTVSTl90J3KI22jH/nlP/z+VT+1qmHNqwqJ+Ntsv2Mf/qUcRPngfF7q/QVZaDN&#10;+vVbq9Ynqd945TOOtaVqnmCTmY+0OXOMclE+79fK2885KERjhlEk3e+YY9YguEVwlGARwVmenCdg&#10;SZCLYCTBJQKpBJIJpBJ8IkBFoJsgFgFl27VCkN+CsgTECaQiLJAOXwTqEUxtxwC+2H1AoJt88EVw&#10;ncAzAWmC+ZSLwCbBL4LN7L7EFwFX/NtuGvJE/CDQTRALXwS7jjnt7CBqEBAjDYFxgnIEwQlg4Ytg&#10;F4Et2gFfBNgJfBHoJg2++Jc6U16EFnwhfhCwRogh2EXAFb8EwJ568dWwE4jAGcE92seC+ZSPoB/B&#10;OYJr1JHAHmILvmgDfCESmEDCrlDyJehIQJr88EW7EZwkyGi++JvPCP7SNwQaCTzbbid8EWwkiE4w&#10;z4QB+pwyUBbKjS+C2JQVkQEBmOAg+Zsgiy982rghWIkvApsITAQZCYbTpoittKH9nik7MQhiW5CR&#10;9qKu9Ct1tx0ptiuX9jZfjA+EAMQp0uCPvmcMUHZ8MTYIOvJ6YNuRYrtyCVhSP3wRHCcYaQFeAv+7&#10;lP1wzOmfDbus2B3Hb4PN1SuoEzZSjtWFxWZb7RR2gx949MlhJyyv491uzwPKsbVDCALTpvxmGvPs&#10;wSfH2575ZuOGNWLtufNXWW9YH2y9IdDt1xtEM7/e0Nc82MHra3PrDUFs1hvWEXwx15jnCDJ+vUG4&#10;idcbxo1fbxDQCHRb0Jz1hv/zuV9vGLuMQYRBfDH+qbf5Ykw3XW+YU6wxtt6wXiCsIS7YesPcjNcb&#10;RM54vUG4q1tvEBkQPuvWm7MuuGSV9YY+9esN7cF6gwhr6w39xHqDgGfrDWW09QYhr2q9YRzZ6zrx&#10;xXrDWoxgRnti8XpDOtoltd4wbuL1BsHT1hvWFVtvWLcYz6w3rEPmi/606xTCIb7Im7GEL+qHL8Yt&#10;55IPwg1lY0xSXo7jizGLEEX/0A74QtT34i75IlSzhjI+aXfy5QEa1m3ywxeiDII8ax/rIOVnPDJu&#10;GOuko23pL+YVIjjjgbZFUKJ/zRfr5lkXXhbagXJjtB3jhms+5aJ/+D/9xpqKL8aP/YYvaRj3Pyqv&#10;DWcsuzjkZ77sOmVCMQIb11OuU/hijWAeMXaZD8xp5jZjiHFDGvqGeiKa0T52f8O/iM6MG1tvmN/M&#10;Kbu/wRCBTzlrmUTSCso2XG67K5m3CI4Igbbe0D+MQeYyawhtz7ykzxjDtnYxT1gT6GPGFmm5V2K9&#10;YS1l7rPeIJjSJ+T1Qunr+2VfM5aYW6Rj3PPQCcIi4xhf3N9wr2Svu6ZcPIjAeYwV5hmGX9Yz5iLp&#10;mI+MNcphvhjPjEHGjfni2kJ9/P2N3Ssxnm0tQWylffx6w9pl6w1jlfSMQYR+2op6cg1BZGZdYyyT&#10;jnluD/vgy655zGXmPfOaNuGaxzylXLQp5xxd3gfzynn8MM+Y57QX69IvX/1N8YNyXrJ2cW2x/Ogr&#10;hGLWD1sjqAvXOOpPGvI97oxzr5oYGkIIIYQQYgKEGwSPWATxgg1pEKt8mipDtGkjnJAW37EQ09QQ&#10;tpqKWtQpzoe62/n8mxLRzIA0XuDqt5FXGzGT8iEINi0j7ZHzj3CdEuL4jGNVcCwlevpz6PucyOeN&#10;MdK0n8GE1176inNow6ZQNp8Pf/OZhzZuMsbjNoqhXKnz2liuv2lj2i11XpW1mYNCdM4wiqSXXHXj&#10;GgQjCXYRlCU4SQCE4Ci7SAgK8eQ8ARuC0wQkCZgiMloglYAXwVCCNQSACFgSxCUAQ9CfgAu7SAh+&#10;EvRBpHj9938KQRfEDwLbBFzwhTBA8AYBgcAZvmyXD8FtgjukI4hF4IzzeQ0sQSP8svsEoY80BOoI&#10;3BHcIrhD8JOAEEFSyktAiSAcgVR2AxA4w1cIUP3wofAZAVR88S/CLXUi6IQvgn7szKFeFujGL0F/&#10;Amf4Ii1BdMpK3QjmEZyljQnCkRdtSuCYYBSBPkQU25lD21D/N97/MAT9CO7ThgQGyZN2o3/sFaG0&#10;Kbs1LFBPEJigHkFHAu70MeWibTmHwDzHaQeCywgK9opQAmwEEBELCJYxHqgDQT/8E3DGF8FSAtHs&#10;6iPohy8C9gRJEaepH/UkgIj4RXCdnUUEP+lrBArKgy/GImOQvkYYoI9IT6Ce82l3+hLhiNdgMgbZ&#10;OUU70NcEH2knxhcBe/qLutM3BPRspxljGF+kpYzsGMPHf2wwL5Tdxg3lxhdCggnKFmTkd2VPOef8&#10;gtfs3Vr25bVlel5luefBnwq/Ufvx2ZuV82j7cuzsXvreJ7x2mp2rC7bdJfymWfg903L9GOTvmSJm&#10;ImqG12KOblXwqk2ETF4RvNchR4fdIewaYQfJ+Kt/9yoOKMfhRVffEHaFsUuTV5jye7msEf+54SZh&#10;zCIeMTYJ3NKujGfGCAFbxjyiGG2HWGTCYLzeMCYQ1hjPCFLxekO/MBcZ+7beMPZYIwji2nrD3LH1&#10;BmGVsYIvBJfUesN4zq03zEfKTvDb1hvmB+sNcz1ebxCeGFf4IlDNDiXKS8Dc1huC8sxTfDFvEccY&#10;l8wJfCFqxusNawrrDWWhTW29Yc1jLcIXaWk75gvlIZ3tUGT3nl9vmHfxeoOQllpvWOPxRV1ZMxAs&#10;69Yb5rqtN4gMPIjQ63rDgw7xeoPIGK83XKfo5+fKsiHQ+PWGNdzWG65T+LL1hn7jOkUfkZ71esV6&#10;U7YpfU3bkI/t1OQcxg3tVLfeUC9bb+hr+oz623qD+MG4QUipWm8QSzmPvmNsMV7pa8YSfYwvRFDm&#10;AAIl7cl85FrMGKSvqR/rKqIK9UFkZC7SpggpjHHGHr7IjzFI+5ioyfWTOtPXtDvjBmHdREbKxe/9&#10;0tfMPUQzfPGgFGOQcUMafDGe6QvyYWyxBjD/6X/qTxrWCvqaNYE1BF9V6w1rC/XHF2OMtmNcxusN&#10;D03F6w3XaFtvGM+UYfvd95NIWkHZ3svf/MNfwni19YZx49cbHq6w9Yb1CXGf9rZ7JeYi6ydjivWG&#10;6zprAfOYcePXG8YA45lxyPWAh1UYU6Rh3rJWM54Z6/hiveFBBNYXxg3pmG/siOa+x9Yb1nPWFoRB&#10;1l3GBXOR6w3zmToyz7hXY8wxrig/9x2si4wb6sdaaPc3zHnWVK5TzB+7V8IX/9Iu/l4JcZb1hvsQ&#10;xjJtxjWL+rAWsaayDrLe+bWLcc08p7y2dpE364GtXfQPayLtTP25LrIO0j+2duGLucH9DtcA+ob7&#10;LtZg1htbu+gf6st6Zg8Y8C/z6Zrb75ZIKoQQQggRUbUTEvEKUmJXnSES5YQeg7x7EbFiQ3xqkl+V&#10;IEc5EHnq6km6qvbqp1lf1NFLX5lViYI5US4nJFadZ+cg1LXte+rWRIxjh2Pq/LZGuzfJL3UuZrQV&#10;HXPzp6monDPKk4I8e52PPGwgxJQwjCLpY88sX4OgJYEXAvAE8C3YRUCFAAvBZoJOBIMIiBEcIrBL&#10;UIbgDMEbAk8EgCywieBHkBJfBIxIS+CHoBSBGYJUBMQIWhFwIlhEgIqAGMFP26VA8IYgE8E1AkWU&#10;iXQEgQiWIQoQVCIoSxAL8QNfBMYIkBH4JciFL4QUgl8EWQn6EySlfNSPwCh+CCoREKNOBPsIiBGw&#10;YxcWbUHZaS+Cy+dddlUI1FnwljahfrZLgaASOxkIWhOYwhf5EcQiUE7Z8UWAlyAWgWuCcLxOkCA0&#10;vggk01bUgVe9EZinHSwYSRCLtqDcL5W+aBN2ShD0o514nS19ii+CkQQZaVuC5ogP1I3gIO2G6Eg6&#10;yk5QDL+8gpDAG8FwXntJu5CGgDi+EBkIfpKH7eigPxFkKQuBSMYNAUDaENGMMcPrOG1nG/1CGvqa&#10;4CfiFu2AL9LT/7Sp+eL3cAnAE0AkoMdrQmk/yosPyk6wlN0UjBuCkfiiTQgy0qaUnXZl3BIkp8yI&#10;EfgiaIooQpCU/kHoIviJGEDZ6Uf6nSAjbUqZKBsiFMFHgpEEGakjcwpfzA18ESymnelfys5YZTzS&#10;H7QpZaf9ry7/z++CLt5pj5Dmf669YRABrrnt7jCmGa9f+9b3w1ykjciP10vuW7bdlTd/Ley04TeF&#10;GYOILYwbApr4YkwQdGY+2kMN9Cnjkr6mHfDH+GD80qbMH8Y+DxgQ3Gbs0aa8JpT5Sh1NZORvgr6U&#10;C18Y+dM+rA2ksfWGoKytN4hirC9+vWHOUUcCySbw8PuciC32cAf/0q9+vaGPmGP4og3ob9otXm9Y&#10;Mwimm9hKXWlnHg6x9YbxQ50IFtt6wzlN1hvEFr/eIFym1hvGja03pDXBj3agXIwzhCjGIPOM9YYd&#10;RvSbrTeUjQA8gXnEVtqU/JjDfr2xHV1+vWFu4ItjjGXytfXGi608TEBbUG58pdYbdm7hy9Yb+rqX&#10;9YZXoSImkIY5aOuNXafi9Yb+WbHelPX1u1GZi7azza83dp3y6w3z36839CnrDWPQfNm6iw/SPJxY&#10;bxD/GJe0qa03XKdYb7hW2HrDefjy6w31idcb6u3XG8YNAoVfb1iL6R/ayfoasYXzc+sN85xxgyjF&#10;PGOtZ91gjbC5QZvQ//Q1ZccXfU061lt8McZs3Pj1hrL69Ya+yq03pGG9oZx+vWGsxusNbcd6g0Da&#10;ZL3hWowvW2843683jBP6ep35iyWSVvDca28vZ/1CdOb+xq83CKasN6y7rIPcKzHXbb1hHaR9ue9h&#10;fDL+6GsEP8RO1nDGPD4R5Ogf1hv6x8Ygc4t5hi/+xg/XdeYF4wLBj/FEefDFWOQegbWEcuOLv/HP&#10;GGSe4Yvdncwxyowvxj7XPNYb1mXGs+1YZ+2j7MxtxiP1Zv1gnjG2GGv4Yj4z9xmLPNjD/Q3XC3zR&#10;DtyT0hakwbhXsjHIWEaMZG7iizlLGnvTge1sxRf14F6JslMmys/axXXJrnlcG7kGPvjkM2EdxJfd&#10;K7HemHDLHGdttPWGetpDLtSfNmUdZw6T36PP/UoiqRBCCCFERE4knYxownl1AlMXgo8ZAlodVfnR&#10;Bk2ErOkskk6mr8xSwlw/RFJ29KaONbEmbZE6r1eLd4SmSJ2HQVuB1Kxq/nQxZ1JtSF6TGT9N+kWI&#10;vjCMIukb7/55DQKEBP0JLBKcJhBMgIpgyG8++FvYrUHwkwAVgSYLiBFYIrDCDhiCKDyRTjASAYbd&#10;NBzHF0FJAji/+8s/V/giSEqAiiAWgRuCMwSYbQcMu2nsqXuC2PjBHwE0AkO//1sRfBGII4hGQNwC&#10;8ATrCd4SJCVYxA4Rgsb4Jg+CWNQTEYSn8N/7exGCebQDASoC4haAJ5hFsA0xjSAwvghmEzij7gSx&#10;KDt5E3zyvnjq/riJ3QeUiyCbvS6NwC3lJ9hFYJugFIFi0pI3wgO+yJM2JTCMkEK5KRf58X+Cuvgh&#10;TwJoBM5oa3zhB0Ooob3wRdAPgYlymC/6gMA97Uj9KBvBMdu9Rx3xQ9kIWv/uL0VoV+sf+pr+wRd9&#10;TYCP/qUPyZPgJUFFgvn4oh1oM8bJOx/+M/gigEhwnb4mDYE6AuMEHgmAUi58BUH5oi+FoCfpaAd8&#10;0W9v/+nvwRf9w5hEDKAd8EXwn+AqbUS5SIdQRZCPMjMmGA/4Io+3/vjXEEAkYI8YSv8gHmDUA+GB&#10;Y4x50hFwRfTFB21BmzIOqRc7WywYiWhC/xBkxJcJPLQl5WLsE3AlsEk7US7GPOOQQDH5kYZ6EBAl&#10;kEq70xaIxnzGeMEX84zxYbv38EVdaTPakjQEjK2vme/4Ih1lJEhK8Jo8mWeMW0Qr6mXzGsMPYxBf&#10;9DVinu3UxBdth0BBeUhr6w1jkPbGF2sK7WrrDXVlvUHM4xi+mP+IPYzBeL1hjvr1BsHknQ//EXz5&#10;9cYEWcY+awFjLl5vWDvwY+sN4+jdv46vN/gyUYa+plzUgXFrO+5y6w0igF8jEBPi9Yb5FK8315Tj&#10;OV5vmLPeF4KP9bVfb3gYJbfekI62Sa035IUv8qPvGU/khzGeeajB1hvKTj0Yz7be4Iv1xnb4Ukfa&#10;gXIyzm29QUhgnWIMU0dbb9gZznpDoJ7+YU2nr+kffNHXiOh+vSFo79cbfFEPzvXrzY1l/6TWG+b/&#10;KutNec1j/SCdrTe0g19vEGX8esP6xBrO3KJctt7QzoxnfNl6wzj36w11RlCy9cYEZfrOrzdc81hn&#10;aAt8MS8pi603iCCIMvQPZfLrDeOTctl6wxiM1xvmvF9vuLbQP7Q79eRvBGW/3rAOp9Yb6k8a5i1t&#10;Ql9TFnzRFqn1husnD+XE6w1909V6Q7vbekNfs94wDrgnmS2RtJKfv/T6cuYAaxBjhbZnnrG+sXYw&#10;d2hXP57pZ9qfPuRe6YNi5RrBtcV2+Np6gzDIGMAPfc4YZIyww5HxhwMC4o0AAP/0SURBVC/6kTn7&#10;59IXawT3N4h5nMv6zfhijvBAC2stvli7GINcKxE1mRfky5yl/8vlJvhijiDuUye/3nBt5mELyoQv&#10;xqDdK1EufLFeXHz19cWHpS9bb7i22E5Nrv+MM+4ZWBcY87besHZxLcYX84hxeuXNXw11xBdtarvM&#10;SYMv8uNehnslxjzlR8Tlnod6WR2ZczfedW/xp9IX85o1gntZxGHWCHyRHw+BsCbbekN98W9rF76Y&#10;/8yrP5a+nv/1OxJJhRBCCCEiqkQ/dmdOVnSr2rFmdCH4eGMHYY6q/BDCUp/HNl1FUgSuJq9yrbNU&#10;+3Utkva609Vb3W93ps6ZjFXt6jRS52C9CqRmqfbtYs6kxtNky1o3RoXoG8O6k5QgFgEqC4DwZD6B&#10;YQSd3//tHyFIQuCLIAniAwEXAmMEzQmwECwn0E0QF0GJzwm04osdcwSeyOPdv/4jBEkRAGynGYEZ&#10;AmLkT6AZH/giIEb+BDY5TpCKQA7BYoQNykWQlCAWgSbEIgI8BMQI0iJQPPbc+M4cAmIEeNmRQiCY&#10;YD1CK74IXL3/j78Xz7zyRhA5CBYToKJctAcBMdIQoCfwRBCLp+4RMggKEixilwG+CM69/49/hJ0M&#10;5E85CF7hi38pJ+UlKIgvAvsE1wh2EQzDEAAQ4AhAvvf3f4RAHQEx22mGL8pHYJB2JABM/yDcECxG&#10;lKFMlA3Rm3KRz+//9vdxseW2u1b0D/1IYI/A/d1l/xKYJnBGMJHzaG/aivbnHD5DgPjdX/4Rgmv0&#10;tfUPvgh0E5RDrKFv6Gv+ZiwxDuhD+oe+NpER0YJgHMF8+odyE/gj0M24IeiOH4LYiD0ID4xPAo20&#10;x3Fnfi74os0RLQhYItwQjKQd8IWwRtvQRrTVL8t60na2a41xSv8gtpCOshM8p68RARDNCMiSjvZF&#10;ZMAXAUuC+vQp49kEHoKMCBjsPiXwiWiBqMF5jDsT8+h3xhL9w3igDoxBRGYLktI/9DXnvv7en0MA&#10;lLwJpNI/+MEf45ExjuBCngSLGYOMX8qDL8rHHEagMDGS9qWd6R/KTj3pB9sBhy/GIHOTgDgBV3xZ&#10;XxNo/u2f/xHmGQFtPiMgThran/FhO+BIY2OQMUDAmTz9esMaQR/R15TVAuK59QYhJV5v+Jz5w3i2&#10;9Ya1K7feIB4i5iE4+fWGdPhiXCDI2nqDL1tvWJMIhNt6wxgkuM56Q//YesNOubbrDWMwt96wBvCa&#10;V/rH1hv6iXGEMBivN5zv1xt82XrDuGG9oX1y6w1Bc7/e0D+23jDWbb3hYQXrH1tv6FeuJ369YQ6n&#10;1hvmMw/XWF+n1hvGHetD1XrD2ol/fFStN4zB3HqDL/qHvsYXbcp6w3qIcBOvN8xPxMew3rz6Vugr&#10;6m3rDf3DekM6v94wn1gXcusNY9DWG/JDIGRMst7Qz6w3CCTxesMOtqr1BvEEX/x7+ucvDOcikNh6&#10;Q1/TP6y7+KO+fr2hPfx6Q9mZI7bemBhJX9t6gy/6u8l6w9xtst4wBpnH8XqDSGb3N6wpjBH6jfWG&#10;do3XG+bGoaecIpG0gnIdW07/MPaYi7beMJ5YQxhfiH+sN4wV1gfGNH8zlhDX/vDPIqRl7aR/bL3B&#10;J+Obcc4YpX8Ys4xv5gb9bGsX4/TeHzwYhLrHnnt5xXrDtcXWLvqV+cfcYT4yL5nDzC3KZPdKzI37&#10;f/xwuaYW5b3J8rDecD1gDcEX843xhqDLnLa1i7HEAyyMZa4dnMOaPfbTx0pf/wzXK1tvWLsYg6wD&#10;zAPWXdYa1gDWLvwzN5hjrJmsg8yzB554OtzzsnbZ/Q3lxhfrE+sIaxd+8Mf6avc3tnaxpjPmH/7F&#10;8+W4/1tYW+3+hv4hHWsXbcr6Tv1Yo2k7u1+nXFxjWAep0xMvvFzOx7+yDkgkFUIIIYSI6Lfol/t9&#10;0i4EH28IhTkmm990FUmbirx1lhLluhZJu7C6fk6dMxmrE/tT53RhPKQQ08WciXfHMkdT6czoSz+P&#10;EY0R1L3gLZFUTBnDKJLeMTa2BsEmAk+8IoxAD4F7AlwEghBTCGQRsCaIxesnMYIvBLdIQwCUoBg7&#10;hgjE4gNfBLIIrhCMIXhDUJmgJYFnAkCk4VViBIUQBixYTCCLYBs7cwjKkA6xwXbmELzBF8EngvcE&#10;pnhVGrs/COQSXCPQ/ZsP/hp8Uk573SC+CHoRJCPgRACOOhLsJshH4Ok/N9w47BogIEfwlPJQLupK&#10;wNV2YeGL4BNBJcpCG5COwDEBROrPazEJsNHGBMFeevv3IT/EBoJMBGUJMuKL4CABsYd/8UII8BLs&#10;JqBH0I9gHr7IlyAcry58+bfvhfwIUNuuCPKifwhQ4/9nz/wqBKcJeBOQQ2SgTXlNKu1B4IyAGPnh&#10;iwA19UHMQHSmTelrxKlHn30pBM0x2oU64YNXIOLTxg358ftbiBKMGwKVtCe+dtv/sBBMJx/qx24M&#10;xg2BOgJ+lIu6Mm5sBynpELHofwJ0+GG3CX3NOHnihVdDGnZ1MI4YN7Qpvgj+EXikryk37fBA2df4&#10;Zzzjy/qacjDWKTt9iVhEAJ52wBcBToKR9A9+MPoasYPxzFgmLYIWojP9YuOZhwToa/LCF+kRD5gP&#10;lJ2yIS4RfGQ804f0JcFbgp8Eixk3jGcEBQK2tAFjgjFI4BRhzdqU8cG4Yd7gi7bl/4wnxh7zh/HM&#10;uEEYoR2YQwgciJqUnXagTW3c0JaMU/qcclJegqj4wicBccYw7UA6xhDzheA0vhBAbNzUrTfMT7/e&#10;MLZT640JSvjCJ+I042Z8vflHEC7pf9obP5SNPk2tNwTNCRTji3bj4QHWhebrzd/Cv4xvguZ+vTn3&#10;i1fUrjesnYgH8Xpju7DwVbXesDOL9QZfjBvG4CrrTdkHiEfxekP/+/WGPrUdpKn1hjU1Xm/wRV/b&#10;esP4Y24wbjnX1hvqkFpvGDf2kAt9hCDGfGFuVK039NOJZ30+iIGM0bfK8cVDFx9dbw5dIWDb3Giy&#10;3tC+jBu/3uxx0JETAvbLoX623jAG/Hpz1hdWXW+4ZjFu6Dtbb+jrsN6Uc9bmBuXkWphbbxBSmS9+&#10;vUEwoX3ol99MjGfWa7/eMAZp56r1Bl/0JcI+893WG8Yz/Upf44vxRT24Tvk13K5Ttt4wbhB44vWG&#10;82y9YXwxBvFP2fFVtd4gosXrDeunX2/wy3zhGG3KGEPQQpyy9YaxiJDr1xvyTq03V91xr0TSCsr1&#10;ZrmtNzYGEa1Zk2h71nxERhOdaVPmEn3GPLV0zF/WBPqH8cA8smuerRGMRa55tt7Q38xxrnmMQdL9&#10;+j3ulR5esd7gy655iPyMK/LjGokYylih3IxDrqWsjRwjHXODtdN2kOKLf7mnQ6x97V3ubz4M9WAt&#10;5prJ3GCNoL7MPa5h3Ae9+rsPgmBJ+9AOzEWuedwzMJfJy9Yb1i7GM37wx1rAmkD9mWPUk2sNawft&#10;RNtz/WBt4XrC+oAv7rdZu+z+hnrufejRYa1ibpAn7c8DO6xdHMcX6w07SH/69HOlr/G1izKyNiI6&#10;j68Ri8JDNpTjmVfeCm3KevOVr94jkVQIIYQQIqKN6OfFEnYvNhHCcq8rjQUfRCEEKXYKxrv3yJfP&#10;63ZM9lOUhcm+lrQXywlQdQIXRpv69uQc+i6uB5/F5Po4ld5oMjYwykC/2qtlKRu/b5lK643fNK0i&#10;TsuYYRxyTjw+aJdUW3jrSpSlHyz/pvOH+elp2q45i9su9/rjut3ZlA+xVL9JKqaMYRRJl1111b9s&#10;t8cnxzZcsGhs0y23G9vj4CPGLrv+lrGnX/712Jvv/2XsgSd+Mfa1b31/7IiTPjM2d/MtxzbYbNHY&#10;lrvsMXb8GZ8d+85Dj469/M77Y8+9/pux7z70+Nj5X7pmbKtd9w5pFmy149g+hx89dsVNt489+9pb&#10;Y79+78OxHz369Nht3/jO2CHHnTq20ciSsQ1HtgjpTz7n82Pf/9kTY6+888exZ19/a+w7P3lk7HNf&#10;vCLkQ7lGttlx7JNHHDd2ze13lXn9duz1338QfN389fvG9v/UcSt8bbPbPmOnnfeFsQcefzr4+uUr&#10;b43d98BPx87+wmVjW+y4dIWvg44+aeyGO78x9uJbvxt77XcfjP3gkZ+PXf+1e0J5SYO/bffYd+zM&#10;Cy4d+8mTz5Zp8PXm2De+/5Oxz3z+4rHNt9s1pBvddpexw44/deyWe7419tJv3gtt8f1Hnhy75rY7&#10;QzvSDnNGtxzbce/9y/pcPvbQ08+V5Xp/7OmXXh/7+ncfGDuprPfItjuFdIt22LVs49PGvnrf98Ze&#10;/u17Y7966/dj3/vpE2OX33D72K77HzK23qabB1877XPQ2AWXXzP2yLO/CnX8+a9eH7vzOz8o++Nz&#10;oc1pB+p61KfPHLvrOz8K+b3w63dC/1x23S1jO+5zQPBFX+76yYPHLr7mhrEnXng51PHJF18J+XMu&#10;YwFf9MFxZV9/8wcPlWneD31Jv1989fVjjBt8zVu0zdjSAw4f+1I5bp588fVQLnzecs+3y/b59Ngm&#10;W2wb2nTLXfcs63ze2Ld//MjY6+99MPaLl98Mf3/+sqvDOFh309GxTZdsO7bnwZ8au/KWr4UxSFs8&#10;+uxLoa/pN/KiHejrT3/uglCvX7/3p9AO+GLcLNlpjxW+6NPrv/b1MBboo0d++eLY9WXfM57mLtoq&#10;tAN9fcYFXwzj5s3SF2X/1gM/C/1Pv+Brsy13CGONcjxbjnfK9dOnXwhjcp/Djgplwh9tcs7Fl409&#10;9PNny/nzp1B2xuCny3FJX+OLMXjwsSeN3f7N74y9+OY7ZV//LqS/4uavhnakragnfXXeZVeM/ewX&#10;L5a+Pgxlpx8YN5SHtrcxSF8znl98652xHz/xy7IvbhvbZd+DQx/S/vQ14+bx514O85qxeM/3Hgjj&#10;hnbyY5BxzvijbLTJpdfeHMqCL9Lutv9hof+fKMcLvsiP/Bk3lDv42nG38H/qTlsxBplnF105Pm5W&#10;rDcHHT6+3pRzwtabO7+96npDfx53xjluvfltmBu23uArrDdlPzBf6GvWG8pOG/v1xsYg6w2+4vWG&#10;/HLrzQFHnbjKekO/ciysXeXcYNyw3lD/DSbWG85hzNGeK9abiTFI2fGVWm/oa1tvKBd9fchxJ4f1&#10;hv6hXcN6U5bTrzc77Ln/2Gcv/lIYn7be0Ncnn3P+KuvN4Sd9+iPrDet1vN6c/6Wrw3pDufBFX/v1&#10;xvra1hvGoK03nL/KelOOG8bg+HrzWsj/6E+fvWK9CX39mXPCGAzrzcS1JbXeMG7wYesN15bDT/x0&#10;GKN+vaFP6EPWG8YQ44a+Yy4yN1hvmHtPv1SuN++sXG8OLtvarzenfnbV9cbGTbzeXPfVmvVm6T5j&#10;Z5x/8UfWG8YNfe3Xm5vuGl9v8PWzX7wwdu3tXw954GfFenPRZWHc+PXmtPMuWmW9Ye2M1xvWWNqR&#10;+oX1prxO2Xrz1h9XXW/oaxuDrDfM0Xi9oX/pQ9qUteeCsp0pD/OasXjP93/8kfWGMcjnfr2x61RY&#10;IxLrDXX9ejnWGDerrDennhHqTlvhi7nBesN8MF/h/ua6mz+y3nzq5DM+st6MPfiYRNIK9jrkyKto&#10;U+bZ+Hpj9zd/LOfZr8N6w/XZ7pXG+/q0MAbDvVK55rDeMAa5Bth6w7jhfoCxZ+vNnWVfh3ulchwH&#10;XxN9Tb+xhuOPeW1jkDHP3GAd+8IV102sNx+sWG9YX5hf+KKvjz3tnHIMPhDKzpjmPsKueX69uZR7&#10;pXIMkic+WW8oB+MKX+P3xZ8bu+9H3Ct9EMYg45EyME/9ekNZqRvr5aPPvhzWG9Yu8qJNbb1hjWHt&#10;Yg3AL23DurbuJiMr1hvuN1nbWLtsveH+gjbAF3lzHeGahy/WJuYcfca9YvBVrr/7H3V8uA/mOkYd&#10;WQe4toS1q5wbdm1hvXng8V+Eezju0ejrM5ZdfOrE0BBCCCGEEBM0EUkRkKpeOZoTWLCcwIRYQxoE&#10;lpzo5akTKWNRydNUJKU8JmbxL0JRlViUa782u+t69VO3i5T+qYK29G2SSpsT5ThWRRMxD3HNxNGY&#10;ute/5nZ30iaMkVgczlE3D3Kk0nujLFXjsm7+5NoYcmM6Nxc8ub6q6h8hpg3DKJIKIYQQQgghhBBC&#10;CCGEmDx14lBOIDXqdv41FaqakhMGczvfmoikOVExRa/iZkyvfnI7a5vu7jNRMd5lCf0SSXMCKXAs&#10;VzfK2zWUKZUXlhvDqfRmTeZPLl/6Jke/RdLUmBBiWiGRVAghhBBCCCGEEEIIIUQv1ImkTURD2xFa&#10;ZW2Fxzp6Fe7qRNLc7sQqplIkRXxLpTfrQpzuta1z5zURDqFul2zXAl6vgmMqvVmTsZ9rq7ox1GuZ&#10;Pbn89RpdMe2RSCqEEEIIIYQQQgghhBCiF3LiHDvcmpI63ywnpvVCTtTJ5ZUTlNrU1TOVImnuVa11&#10;v6PZlF7bOnde3e5II9cmWFMRsCm9Co6p9GZNyD1kUDeGei2zp+4hB+ZG120tRGdIJBVCCCGEEEII&#10;IYQQQgjRCzkhqo3IlxNr2uzQpDwIbOxgwye7DlM+q6xXkbTpb6LGdNV+vfjJCZFd7QDM5ZFr617P&#10;i0mdb9Z0hzKv7qV/yZe2zI2DKsuJhKn0Zk2YzBjK1SVXZg/t02SeIbzThnoFr5hWSCQVQgghhBBC&#10;CCGEEEII0QtdiXw5sabODyIN4ktbQTRlOQGuC0Eppqv268VP7rdg2wiROfCT8o/l8uj1vJjU+WZ1&#10;fhDzEOhT57a13PhIpTdrwmTGUFdjOtdfKaNdu3idsxCTRiKpEEIIIYQQQgghhBBCiF7oSuTLiSw5&#10;P+zw60IcNcsJZ10JSp6u2q8XP7n6tBEic+T6NZdHr+fF9FrHXP69WG58pNKbNWEyYyjXPm3GNA8q&#10;8FrdlJ+cIZZyrhBThkRSIYQQQgghhBBCCCGEEL3QlciXE6Wq/OR+U7NXywlnXQlKnq7arxc/ufq0&#10;ESJz5Po1l0ev58X0Useudo96y42PVHqzJkxmDOXap+2YRuzM+asyxFUJpWLKkEgqhBBCCCGEEEII&#10;IYQQohe6EvlyoljKD69C7XIHqVlOgOtSUDK6ar9e/OTq00aIzJHr11wevZ4X07aO7ExOpZ2s5cZH&#10;Kr1ZEyYzhnLt0+uY5uEFfn805bPKEEqFmBIkkgohhBBCCCGEEEIIIYToha5EvpxYk/JTt9sPkWa/&#10;0lK/e9irANcPQamr9uvFT64+bYTIHL22da/nxaTON0v5qRP3aDNEQET6mF7HRyq9WRMmM4Z6LXMT&#10;aKc2r+Bt069CdIZEUiGEEEIIIYQQQgghhBC90JXIlxNTUuJJbhcpAmqOXgW4fghKXbVfL35yQvNN&#10;pXVBr23d63keXuGaOt8s7jME9VQ6M0S/HL2Oj1R6syZMZgz1Y0zH0K5NXmGMQC3EwJFIKoQQQggh&#10;hBBCCCGEEKIXJiPQGHViFjtCPeziS6XDEE/rft+wVwGuH4JSF+0HvfjJtUNXglWvbd3reZ66V+fG&#10;u4xzv3HbpC96HR+p9GZNmMwY6rXMvcC8zeWHpXboCtFXJJIKIYQQQgghhBBCCCGE6IWcQIMhVNWR&#10;E6ewWKyZjCgEvQpw/RCUJlsXoxc/bUXEXui1rXPnIYQ3EdPqdi/G9FpWo9fxkUpv1oTJjKF+jOkc&#10;PMCQe6VxP/IUIotEUiGEEEIIIYQQQgghhBC9kBNoMAStOrGt7ncgYyYjCkGvYlg/BKVcXXgFcVN6&#10;aZPcjlys7rXFBmIr/Zxqg17bOnceRtvkdgzX1S3VJr2W1eh1fKTSmzWhl743cmVu8oBDL+TaOddO&#10;QvQFiaRCCCGEEEIIIYQQQggheiEn0JjlhNK63X6p38bM5VknLFIOypM6F8uJYb2KYDnq2q/p60dz&#10;fnJCWe63YLG63+H0gleq7XKCWK6tc+eZVQmlfFZXr/gVzpDL84zScrTdDe1JpTdrQq99D7kx3VQk&#10;b0tuznexe1mIVkgkFUIIIYQQQgghhBBCCNELdSKfGcIkIpSJWoh/CKCptN6qdrOl0ppVCS11AimW&#10;E+76IZJSppQ/M8Q+E0ppO8S4VBl7FcoQC1PneEPU8m1KeShHvAM4Va6c8Jhr69x53iiDF3JphzqB&#10;FEuJq7k2JJ/UOVAnkGK58ZFKb9aEXvse6uagF5MZA4jF8fwiTTy/q2DsVM1BPhdi4EgkFUIIIYQQ&#10;QgghhBBCCNELOYFmsoYwVUVOCENsQbjygmxT0S0n3PVDJIU64TZlsRjVq1CGn17yT1mq7XLtnmvr&#10;pv3Vi1XtkKQtUunNGHNetEcsbCL0Y9NVJG0ikscW76qN24D/M/+8mErbpoR1b/3auSpEFomkQggh&#10;hBBCCCGEEEIIIXqhnyJpTlhqsnuvF5sKkbSp0OYtzm8yQhnCX+q8trY6iKQIwrHA7Mm9CnYylhsf&#10;qfRmTZhM3yNkps7LWewzNy/aWLxDVYiBIJFUCCGEEEIIIYQQQgghRC/kBBp2jfW6S7HuNyChyWtV&#10;U0aZqnbQTYVImmvDKovzm4xQBl2IgwjXMf0QSXvtd6zq9c1G7nWwdUa5GLepY7nxkUpv1oTJ9n1b&#10;kTP22YvIH1tuLAjRVySSCiGEEEIIIYQQQgghhOiFOoGG3WFtRaemr91kR2BbwYz0lKmq3FMhkkJb&#10;kTLeDTlZoQyqBL4mVtVn/RBJOdbLTuKUiJuilzGLUEifVJU7Nz5S6c2aMNm+b1vf+AGGXl7Z663J&#10;AxFC9A2JpEIIIYQQQgghhBBCCCF6oYlAg3iUExjNbIdnG/DddCcbYoyJi+wYjH8fkf/nXvmJyBaL&#10;spTZBLLJ0lSkpAwx1g6x2EWd2rQp/Zn73cjYSJvbnUl7pvqez3Jt3URc5fwmZSVNTqRMge8mAnw8&#10;ZmmLuA+oa2580O9xPfh/U/Gwag7go40w3KQtsbi/yZ+yxvWuM9qlbb8I0TkSSYUQQgghhBBCCCGE&#10;EEL0QptdbKSNhTz+5jPEnMkIjYg8CDWxIIfQxeeIoqsDlDNVD9qJzxDkJtNOTUEIS5UD4zOO5UTO&#10;ydJEJDUYO3E5EfzY3Vr3et06OB8/sWA6yL4YJLQl8zEWTKk/7ZATNWkLP25i0RSffE7/9XPsCNEK&#10;iaRCCCGEEEIIIYQQQggheqGNSCpEU9qIpEII0TMSSYUQQgghhBBCCCGEEEL0gkRS0Q8kkgohBoJE&#10;UiGEEEIIIYQQQgghhBC9IJFU9AOJpEKIgSCRVAghhBBCCCGEEEIIIUQvSCQV/UAiqRBiIEgkFUII&#10;IYQQQgghhBBCCNELEklFP5BIKoQYCBJJhRBCCCGEEEIIIYQQQvSCRFLRDySSCiEGgkRSIYQQQggh&#10;hBBCCCGEEL0gkVT0A4mkQoiBIJFUDJh/K417J/4VU0fX/fC70rhHuSn8T4hmrFnaF0uz8YPx/YnP&#10;PYzTVDrGsBBCCCGEEEIIIaYQiaSiH0gkFUIMBImkWV4ojXWXwLyYPAgfdi2jTf+1NDF4+tEP5m8Q&#10;974IsZZfyijDGaXVCcCIbnZOLMpV4duOPFLw3SAW85q0MeW18yjbTIe29O3kzd/rNk0nhBBCCCGE&#10;EEKIKUAiqegHEkmFEANBImkWv/aKyRNf27QLbGroRz+Yr0Hc+/qy11mVkAmU1dI1bQN/319V19Q9&#10;XJN7tya+ZxK+/RG+qT9Gn+1QmtE0nRBCCCGEEEIIIaYAngznC3v8hPPDpY2WJkQv8NS8DwqZMdaa&#10;7nYQQohaJJJm8etvv/G7yFjrZyK+jtwniamhST+0HY+kwwYh7lleGOKjt/iVrFjVrkx/n4Xo1gTS&#10;2TlVdaUclsYbbZqjie9+geBoeQ/iPpPvT5YfO/ar8OnoVyGEEEIIIYQQQgghhBCiGySSZrHgPNZv&#10;plIgESKm7Xgc5Ni1vLAq/Kt0sZQISllzx1M0aRcvktoru7G6V+hO5RrQS1tMhqZ1nco2EUIIIYQQ&#10;QgghhBBCCDGTkUiaxYLzWL+RGCCmE23H4yDHruWF5aAsli61G9YfbyoMNmkXL5LyOlj7G8vlM5Vr&#10;QC9tMRl8XWmvKqayTYQQYnWk7i0QfM5x7c4XYvztGfFbSLjfmMlvb6NuVtf9+ECIDpiqcUVelu9M&#10;nrdCCCGEEKKfSCTNYjfcWL+RGCCmE23H4yDHruWF5eBnLyxdKhhMWe14U2GwSbt4kZT0fldrrn2m&#10;cg3opS0mg6+rRFIhxEzB1nxeZW9rl61fvNZ8EOtr3Zrp1/uZANf6OmFYTB5+MsDejsG/vA5/dQdB&#10;xYuj3nL3Jqs7Te/BhGjDVI2r+HuXEEIIIYQQ7ZFImsVuuLEU/olJe3KRIAIBMv+aTQJS7ChL4dPl&#10;rOp88iPw5gNyfOEnUFR1jmG7CSyoRMDDCzr4pF7k4T+rAz8WdKB+njaBLMpPOh/AIH/qW/X7jpaW&#10;f3P432DMfaHydUmVmTL6gCNGGWnHtl/UBln2qs97HY/2uQ/KksaPS/7mi+xkA2vmD8vhv6yn0vp+&#10;a9pX3qevq8d/Wedvxqq1N1aVVxPfTUitQeSPT562tvanf+x4zuI5DORB3XwbWtrc2PdpJ2tN1hAh&#10;hBgErInxelhlpOvnbhefTwpfzpmAv+bOlDpNR/w9ClZ1nV+d8Peo3FNQJ4z77Pg+dybh+5L5I0QX&#10;TNW48teAmbAuCSGEEEKIqUAiaRa74cZS+C8D/F0nOiAexHjxJGep19bEgaGUEQCoEqUsUGYBu1RZ&#10;7EuOF1x4aj+Hb4dYyLDPq4J3QFl84KLKUgEMf17ui5KvD8GQKnxdfDratK6MuTqmGFTZwT6Py9jr&#10;eLTPbSzl2oZjkxFKva8cfn6m0lJWO5Zrb4/3WdW/fl7a/PGfpURHaOK7jro1CLO6+tdT5YwxYdBv&#10;/kGKnKXmZypdr9ZrGwkhRJek7p+4zrHum/nrDdbP9asuD1+W6Yp/E0Tq/tejnaS94x/iqms70tr9&#10;J/9O5j5uOkB9bIxV3ZfNVPz9pt2nCjFZpmpckZfla99xhBBCCCGEaIdE0ix2w42l8F8GvCjEl21E&#10;KW7aY7EoFg4IruHHCxacw2fe4mCE/0JAgIP8LC2+fL78ncICZRy39OYL4zMrL/83fymx10OgxdLG&#10;gqp9XhW8o54+2Eg6ykC98OXLgcX+/XH+TuEDI1guOOIFIZ+X/5wycszan77hs7bBukGVHezzuB96&#10;HY+WlvJY//EvZaA9/JjA6sZQDu8nR1yHGOpux6lTE0hn58RtZ/i5yd8Qj+uUgNjEdw4/NsiLvK2/&#10;yI82p3/oY6BMdtzmP0a72eeYpQf+b+lsnbN0jDE/5jDK5EmNL84xH7HlxmHsWwghBg3rkF/bbZ1K&#10;wZrLukz6Xtb4plhZqvLw177pSuo6KrqHsWrt3M8xOR1R3cdN80t0xVSNK3+9qLr+CiGEEEIIkUci&#10;aRa74cZS+C8DZilxywsHVaJWmy/rCA3eX5VY4IUpxIYYHyjDCO7F4pcRCzBVcH4unR2rqqMvc9UX&#10;LF//OA9/LCWMgRdezKra0IKfPh9fx6o8emEQZTfs3Kp+aDMewdL6c+KxhFDn01SVuw7vowryZm5Y&#10;utRY8uOfOUqaOvNzuapdSGdp+NvwfUefxO3Tts1jvMgei+J1+LbIBRgYo7RrSuQ1fP2rxH5fV99G&#10;MZNtEyGE6Cd+7czdQ3m49rVdo9tQt2b6Mk9Xqq6joluG+Rrb9D5kJjLMdRf9Y6rGlb9eUAYhhBBC&#10;CCHaI5E0i91wYyn8lwEsJUSCF9WwlDjkfdUFKrxQk/syQD6WLiW6+UAZog0CSA58WPqqAJ8Xwihn&#10;jB1L1dGXt00bxGXx4liqreNdjViq77xo6evi+6pKBOqVfpfdsGNV7dxmPIKlxShjFX4M5YS2HD6v&#10;FMw3304pQRL8+O/FqtrFf1mPgwQ54bZtm8f4+jQJ1Hv8ubk1pQlN5rGvay6QMtk2EUKIfuHXJ6zu&#10;HmpQ1K2Zfr2fruSuo6I7hvka2/Q+ZCYyzHUX/WOqxpW/XlAGIYQQQggh2iORNIvdcGMp/JeBnDAE&#10;PiiVuoH3vuoCFZYOwaUOL0rF+DJVCbwevxMuJbyBF6dS9bRjqTr6Lzl1AhrCqKWNv4h5ATXlx3ZY&#10;+vqn+q+qPF4Eog/aClI5+l12w45VjbU24xEsbV17+HLF/dYUO998eKMtrI3MqgR934a9WFW7UA5L&#10;w98eP25j8bZtm8f4sdNkPnt8W6TmbVvMV1U9fF3jNvJMtk2EEKJf+PudqnuiXkBsxZ+/f7M1kAez&#10;Ug9QeXz6FH69r4M1mLL4B3z4m8+aXisoL+X29TEfvi7+3qpX89c+7n3s8yYPtPnrTVV/dtEeMdwH&#10;UO74/oW/+Sx1D5fC/Pj+NR9x2Xz5ezF85qAslJuy+DqRb5M6+Qf97OEDxkfc9vhv2j6GnZuzVP/3&#10;o07cE1p98Nnrg5epccl84/7K32cafqzbPRjp+LvX9iVdXAbzwbhMlcPgOGlpA4My0q7W1vybGstV&#10;UB5/fs6qviek2pW/+axpOQxfjxyMAcsrlwftaT6pZwrmDH1KH5hPjLHRpA6pfsGf5Utb+PGBP8vD&#10;xlUM6evagjRtykxels6O23rh82ozfoBxwTm+//HTZEyD5U1ag7rVXQtTpNa/NmURQgghhBB1SCTN&#10;YjehWIomXwaMui893hc3vFX4dNxk8/+c+Rtx/u/xX0CawA26pefGPIYbdDvOTXwKO56qoy8PN/xx&#10;XbzZF7eULy9ExV8cfZCCdL59Yvyx+MuHLyt1rfqC3ZZBlB3sWKofgDauS+NpmtbXr27OVGHn1xn9&#10;Qj2q8H2YS+dp0i7+y3qqjj5fvvAabds8xp+PsebUfek2emkLg/HFOd7MV1U9fJrcOGjiSwghpgJb&#10;m7Cu7gH8vWLOfNA1xtJUrZl+va+CdZ17EEtXZf4aloKAcOo8bxZk9/c4vZqvs79nxVL3Qh7qYmnj&#10;9u2qPWK4/lkgPWd1fmm7Oj/eR5M866wKyuID+VXGfWrVPYq/9vN33Thq0+6p82OL504/6uTHm7e2&#10;VPkxo68pv8eXhTHI+pUbE7n25dymbVM1B/19M9TVydaMFE3nqrfYXz/mu/9eRvtX4dsyJ5r7OZFK&#10;x/Gma0uTfiGNr4OZnyvxuIqJ1/i43FV5eEtd13w5KYP/f8py4wcoh79OVhntm+tLS0d5qHuubql5&#10;avi+rrJcOYQQQgghRBMkkmbxN58p6r4MeOIb+BjvK/UFwPDp2lqcr/8C0BR/ThwUrPvCBnY8Vccm&#10;X0hSlvJlx/jS4fHiKl+CfEDS14dj9nksVgJfZOIvn3yxpZ+bClNVmL9+lR3seKrtoOl4NJqm9X7r&#10;5kwVdn7K6APqzFikHXL48RbPjSqatIuf66k6eh+YjZe2bZ4iFViiPeK5GtO2LUhDXvEciK2qHr6u&#10;uXHQRZsIIUTX+LUJ64I4KE9AlfURY72NhYgqodSOV62Zfr2vwqchX/Kizhjl8Wt/1f1eHNj19Ynr&#10;asFhy8Nfy/jbPk+ZvzeK6+yD0nWBcV+n+P6hi/ZIYedwPvXkWm1+8eP9VpU/vh+lfJxr48YfszHD&#10;OXHb0VaWd5VZWiwFfn0aq5f1u29HjLKm7tV8Xr4Pfd3851hd/xqpusdjzN/H96NOnG9/cz5+mBPU&#10;qQ3eD4YPK5dvH8rs8WWZbPv6+pM/6awdaWN82nHKm4L8LI3Pl785Rpm8H6zquxZp/flWHv6N62rl&#10;HMR89+WqOoc6WRqMvKvwfR/f4/uxbX7I09oy7lv6LYXvF58ff3OMdvJ9SvtYGo574nUqNRZ8Hvj2&#10;66HllyqrL+dkxw9jIU7r5xV/+3pg1C2FP9/O4V9rP/71vvg7LpcfExznPGsTxjQ+KG9VGYQQQggh&#10;RFMkkmaxm1IsRe7LQAzHLS3nxXhffAmowqdrY9xA574ENoUbcjsn/oLDlwA7VveFIVVHX542xpfB&#10;GF8W396WB1+cwAc//JdWX8+Uf6A9/Rc6b/hKBUmaMIiy2/FUP0DT8Wg0Tev91s2ZKux8bDJYe2K+&#10;nXM0aRc/16vq6PvY5lHbNq+CoEL8BR/js6p6tmkLxpr3m7Oqevi65sZBV20ihBBd4oPQdk2eDN4f&#10;gdDUOpy650gFeu1Y1Zrp1/sUvixcq1L3MnzmrzPxPR/HffA3dS9C2e1aGNe3yXXUyF0n/P0QeVXB&#10;dbMqXRftUQXnUL+UT/B1qxpnvj8ZH7Ev/m/tGbdl22uspcVi4jZIlQXI048Nuwfy+HKZ+ftcw88H&#10;8m6Dz6NqjPW7TozPXvH+qtYMPmPckMaTKkuv7cucIF1OdPJtk2o/G59mpI/bhvOsLliqjb2gRHlT&#10;eXkfqTbr13z339mq5rLP26yqXa1N+dfj88FSay/EeaXGYqpfcnX148rPKergx0Cq72hTO17VPlV0&#10;NX6APrc0pE+1P595X1Vzw46bscbG/mjPXNv471yxGC6EEGKawaLub8zN+Cx3ARVCTBMkkmbx61qK&#10;qi8DKfwNfOpLmfeVC1Q0TdcEv343xX+J4abevjw2/XJjaVJl9+VJtVEbfGDMf/G3z3x/2ZcT/yWH&#10;LymWtuoLqsFxvmz6L8xYr/0ziLLb8aoyth1nTdN6v3Vzpgo7H5sMvYy3Ju3i53pVHekXS4Pht22b&#10;18GXaT8WzFJ1bdoWPqjC2KN+qfs9S1NVD1/X3Djouk2EEKIL/Drfxdrkg6R1gVC/XqeEDTtWVS5/&#10;fgq7l/H3eCmq7lWgTftwXYnz8efnrhGQu074e1Osqj7+WhkH17toj8ng7y1jfN3ryse4iq/Xba+x&#10;lhaL8fcHdSKHzxeLyx0fx3eKuH/r7tc9Po+qMdbPOsViSFv8PM7NEcoRt98g2tfj5xd5x/j5jlXF&#10;Ef3DDP57j+H7K57HhveRard+znc/l1Nt6QU6s1Tf0D52PB5H3kdduXy7p8Z33C9VbWqk5hRt6AXF&#10;qnHvz227fnY1fny70v+58U69SGPpU9dtO4bl5rsfS/j0+HmeG49CCCGmAfEFyZtdGIUQ0xiJpFn8&#10;mpYi9WWgCr9epr4gel+5QEXTdE3wN95t8F/A7AuTv8Gv+rINliZVdl+eVBu1wX+xty9+vu28f//l&#10;3b4Q2RfZuqBIDO3gvzTVfaFMMYiy2zlVY8jn12ScNU3r/fZ6n2DnY5Ohl/HWpF38XM/VkSCA99W2&#10;zZvCuPBzNhUYaNoWPsCTS2dpqurh65pro361iRBCTAa/zk92bfLrXGp9jvH3W6n0dqyqXH69j/Fl&#10;yQV1wd+rxHn5oHgqeFxH0+so1F0nUvesMXbfxr8+EN1Ve0yGXH/5+4i2wgK0vcZaWizGl7PJva+/&#10;n4jT+3LRfzl8vpzXFJ9H1RjrV51I58dZW/xYw9r6GkT7evx8Tvnwx3PfIcHSYTF1+UCu7v5YP+a7&#10;/86WGk+2Dvk2T/WPr2fsxz7HciIfcDyX3udTN07Atx/n0kb+WpBrU1+WtvOjH+Onrv/B92cqvR1r&#10;Uh8fO/Bj1+dRVzchhBBTjL+QxMYxMfPhiy9fyriZ8xd3jP/zOcd7+YIsBoBE0ix+PKeIvwzk8Oul&#10;v/k1/JeD3Jct/6UMmwz+S1gb/JOY9qWJf+2z3JcyS5Oqow/2dHEN8V/MKJP1AWuTx9eHLyD+SdJe&#10;ysEX1smcD/0uu6WpGmtNx6PRNG2bOVOFnY9NBj/+U3MyhS9/VV2tr7BcHZnL8Zdi+7tJm7fFB+9i&#10;/JfwXFtYGnzlsHRV9Wg6DvrdJkII0Qt+nZ/s2uR9NRG66u4D7fOqcvF51bm+LFwXWINzZmljX1Wf&#10;N8WXI3eNAF+OVJ39PVkq0O/vo+JAd1ft0YbYp78fjPF9Sdq2cI6d32QcW1osxh9rInDk7vl9uer6&#10;3/tp0wZN8rDj2CDrVEfbfovpd/vyXYS0ZnX3mJShaR65+dDED59bmng98Of3Y76nvj8b/vsb6XL1&#10;9Mf8uPRlIk0TvC/O97TpF/D5c65fn+K1NYVPz/cM2qEJXY0fn3+TvH1/puZh7liMz9uLob5NMeZj&#10;Ls4ihBBiCvEXpNg4JnqDmx0ugLHoiDW94eknXJi50UmVL2fc7KSemhNTiETSLH78poi/DORocgNv&#10;x+sECH+DP5k55W/I2+LnfxtBLZfOf9moa4Mm8CXD/NFO1m7xF1MfcOSYP48vrW1pMy6q6HfZLU2u&#10;vyxNk75o4g+6aBs7H5sMfvxXzckYX/6quvq53mZd8OWpa8de8P5jfDlya4qlyY0JH+ipqkfTcdCk&#10;vYUQYtDEa/dk8AJC3TXDsPRYHDC1z6vK1fRa0NYMf0/oP2+DL0ddm9RdJ7hP8vesXlQA3/5xYLyL&#10;9qiD9uJ7P9fVlB9vMf6cpvcxnrbXWEuLeXrpc9+2sYDS9B4BvJ82bVCXx1TWqQ7u08xXL+tP1+3L&#10;nOL7h/9+WmUpH03yMJquX1Uil2+7uO7+/LbWFEvPmuTx399oTy9O+7rE3/s8vYwL357x/X+bfgE/&#10;ruL1LL5OpeD7QxxfxA/lyJ3fppy58dN2PY3rG2PHmvSF7+94XPprlBl9XzXGhRBCTBG5G4l4cRfN&#10;4GJXJz5OJbk+b2rxlwYxhUgkzeLHbQp/c1y35vm5U3XjbcdzaYB1wtKxXtQJeXyxiINCkPuiUIe/&#10;Yc99wYrx56TwX7CbrBW5uvsAhy8jX0Rj/HH7O/WFB+hL0lR9YfNtk8qrCf0qu+HTV2FpsLovi038&#10;QZs5U4Wdj00G32519TN8+avq6ud6XR2Zl/5LuVldO6ZgLagab348xYEZ8GXO5e3vT1Jtxmc+TZWv&#10;puOgSXsLIcSg8fdh2GRgbTM/Ta+LPu94LbbPq9ZMn1+Mvxa0MR+s72Ld9uWoa5Mm+fn7svg+1a5Z&#10;ddfGNhaLF1VQFn/NrLOY3LEmtO2rqvy8n/hYFb5t47y9v7r+9344ryl1eUxlnerw+fTiq8v25XtY&#10;6j62ylI+6vLw0K6WNsY/pMf3yfi7L//33zPj75C+HG2s6XwH0tp5vq5WL8oHvi4IaIYXQuN7fl/+&#10;JvMZfHvGY6FNvwBpvC/v2+pVB33k12tvtEMqntGmnLnxY5838QO+vliMfd6kL3wd4n4A7jlS84zP&#10;mpRVCCHEAPCLeWypxV1UQwDTX7RzNlU0LV8TayJ+iAEgkTSLH7Mp4i8DOfx6WXUz6784ETThywDn&#10;cQMcB3XiLxD8nzT4xriZ5lz7MpgqX+6LQh2+7t5SX148lq7qCwNfCn3AiLpTdqsXxpdC6mvpcqS+&#10;UKTETXzG6fyXUo/vS8pBW1ubx31Y1x45+lF2w9Llvri1GY9N/IEfN6kx2QQ7H5sMfvxTrib48lfV&#10;1Y+PJnX0AQ+zunZMYefSP4wJyorxt59TqTL5YAxG/qRjfOPPYAxYGnxaPoz9eE3Cqurh2zHXRk3a&#10;WwghBk28ZsbB9jb4a22Tawb4vOP7DPu8as3kc0sTQ/52rGlZYvy6zXWiF9qUo8l1gmtUKo3/PHXf&#10;1EV7VBGPIa6h1CUm11/+/F7GYNtrrM/PE9elCb5t47b35aprd+8n1X5V1OUxlXWqw+fD+tGWrtqX&#10;tcd/V2EMMafiNSnnA+qOe3LzAfy9KN+B7bsx/3qBNDXefTnq2qVX/D2/HyOpfO3e3d+H+/rF3wn9&#10;98Em8xl8e9J3njb9AqSx9JzLOPDfP1JrbBXUjfr48YXV9dtkxo8va9v6pkRgO9akL2gbS58be1Xf&#10;t5qUVwghRJ/xF6TYcou7WBXayl+U62wqiL8odGG6mE8DJJJm8eM1hb85rlvz/HpZNfaZZ1VrAV8U&#10;YvwNdZ2lzs99UWhC/MWlyRd1S5v7wkA7xL6rjPbKEbeR/6Lp4cuYT4fFXxaNXD+ZcZx0k6EfZTcs&#10;XV0/NB2P9nndF8E2c6YKOx+bDH78N70e+fJX1dXP9aZ19IGbnO8cqS/NsZGmiqrz/Rwj4BGXNTb8&#10;WJqqejQdB03aWwghpgJ/n9Im+BvT9prBOmzpsRj7vGrN5POqc3u5fqUwH6k8mtCmHE2vE/5+xsQF&#10;f91L3bN11R4pfN4537n+8sea3sd42l5jLS0WkzuWIicKNL1HAN9HbdqgSR52HGtCV3Wqo22/xXTV&#10;vl7wy5Uj5wPqjnty86HJ9zOMe9RYyAVfjrp26RW/fpuw5vvD19+vEbZm2XXHzvV4P03Hhb+nj9u+&#10;Tb+Az9/az3+GMWbawjm+X2MfXY0ff6xJffmubelT7Z07FuPzrvsOD4wH/4BVVYxACCHEAPEXpNj6&#10;dWMxk+Di629MmtpUEN/gdGFNbhhEn5FImsW+iHiRwMOXMRvPKRHSw3FLmxPPOBbv4OP/qS9zQHov&#10;SphRduYYa3FVfpZPVf3q8HXCmnyhsC85dYIq9eVLEHXwX4wwPqPOHK9qF4O6+/NzgUzfhnVfNsiX&#10;+vsvNRj/5/O6cjWhX2WHpv3QdDy28We+6uZMFXXzsil1wdEUvvxV/cG4tDRNvugCX3Z9H/baNsxB&#10;6mVthPE3nzWZn6wX/lzKFAcjIB77Ni4sDwsUVo2HpuOgSXsLIcRUYOscxhrY63XfXzNYc+vw6VmH&#10;Y3LHwK/dMXVB36b460jT66DH17EupuC/o+bK7PvLrjt270J5U3TVHil8P5gAkiLXX/4+ppdrJPna&#10;+U3qZ2mxmLZ97tPH9ye+T+v6n+NVfnI0yWOq6lSH7zes7drTVfv6Y6l7RSPnA+qOe3Lzwb6v0A/4&#10;YX7YHMc4N1fOfs53j7/fpy+t/vH3Gl8e1ix/T8w5MW3HRZw+pk2/AGksvS+f90Mdm37n8uSuCW3K&#10;2eV66tPHZQI7Vnddp58sLUa/NMWvOUIIIaYYf0GKLXWhECvJtV2dTQX+pseMmxxuIPzNCBd5buj8&#10;DUjOeg0oiI6QSCqEEEIIIUQrCGTGAfgm8N3HPxwSB0jrgrw+wJ4K+NuxqvLkgsSTCdZ6fPC47uEp&#10;vjfG3wf990585fBpc33gBQba0AsQVXGLrtojhe+HKr/knwuCe+GAdHE7eqh/Spzw59dhabEYL0LX&#10;zQXf9ql8fZ/WxZR8TKVu7nia5DFVdWqCHxe5h80gXie6al9/LCc+mniZ8gG5PGJy65d9XrdmVNHP&#10;+e6hvywP2s3W9Hit9OXhmD+vSmj014e6vvXjO9VmbfoFcuPK9xtlzK1VKXK+uxo/fg5zbc+VMb7+&#10;p8aKHcNyY9L3a5N12JOrjxBCiAHjL0ixxRcvsSqpNmtqU4G/MeGGIHcjbPgvyFXW5IZL9BGJpEII&#10;IYQQQrTGBzcxApY5wYvvxxZY9fjvTBxPBcA536erCqbaccqSoi6o6gPnTYLZqbL6741YSsTBr4kn&#10;8ffB+Htnrgw+bVWdDS8s+XbIiSFdtEcKLxyl4iaUyQseWAxl8YF6xkeqfBazSeVj52J138t92hjK&#10;649XiQLk4cuciin4Pq2LKVndsLrye5rkMVV1aoKvN3mn6s5YtDHkaVOWXPv69S819xiLfs1K+YBc&#10;HjG59cuOVbVHE/o13z1+XPn6pNZJf9z+zglpjD1Lj1XF7OJrV2oNbNMvQBpLH48r2tGvv/FcIj31&#10;S5UD/DiK26mr8QO+jFX9Txn92ly1LthxM9b82B/jx68dcd04lhoX4McR6YQQQkwx/oIUW3xhFKuS&#10;ajOMi2x8cxPbVMBFmIsvN451N4sef9FPWa83sKIjJJIKIYQQQgjRE7EIgBFA5buwmQ/MYnFAk+9W&#10;8XcmzrHzycMf5++q4Lw/P0VdkJiy+AAwefH9j102fG/D+K7KZxZQTn2f82ID5tskrk+qLv44+XAe&#10;PvncB9LJ29JV1dnAh6U1o1w5umqPGL9rCeN882f19MexFLEfysD51l4+6J8Ktnux1urGuZwXCyyW&#10;DksRty8+6Gs+x3w7YhxLQRtYGs7L4fNs0u5G0zy8f2wQdWpKnDd9aeWK+9XTVftafMiOk6fNC8aa&#10;H3tmsQ/I5RGTW79YR/zx2DiGUU7Gdiqm1a/5HpNqG7+uGbRjnI68c8RtQH1sXvtym8Xz3GjTL0Aa&#10;S58aV/SPHcf8euTzYg5Ze/NvPJbjfutq/ICvA0Z+VfMKo21T4wi8D/+3rR8pXzF2jD6jvSgfxt/e&#10;L/6EmPawyDF4mYjxBQzjMyYGaVIL4nSHxYAFlTqk6ke97YLSD8ifBcYWeVvAqr4wdIHVmXzjOvN/&#10;W9CnO13Vw1+QYutloR7UmMrVn3FEPpS/n2PJ54lRZ1sH4otzbKsT/kYkZXU3MqLPSCQVQgghhBCi&#10;Z/he6QOWOeO7Ueo7Jp+lvv/GRuwj9x3V0pFPCv/drAq+K9d9h/NWVR6+a6fSe6uKGdCmqfSYz89/&#10;b66qs8F3be8H84H6Krpqj5i69rG4jP2/ilxbmRFroB4xlLVq7MZt449VkYsPecsJPb5P62JKPr82&#10;cYVe88hZV3VqCv1Zt2bQt3HsrMv2rRt75F/no+64J7d+NWkPb1Vrab/mu4ex4n1QlhSpNasuFkr5&#10;me/xebHRN/RfFW36BZqMK9YUS4NZ2+XWITOOp9q6q/Fj0L51ZcHwlVpTDZ+OcuV8Mm5TvppcQ0kj&#10;xLSGCdBmUTVrIvAxYU0U9MakarJweVgQUxeRqhsog2MsRE0WDjPK3EbY4qLh/fO3v+nILaK0fde0&#10;rXOqvvhIXazwWXURqYKLZVXf5QT3Lurh8Rek2NrUaRBjymibD+Opbl72gvcfz13+78sQ2+pE3VrY&#10;dt0SHSORVAghhBBCiEnB91kCwHwfj79r8n2IWEaT75TEaGIf/M1nuYC2YeeRPgWfm886+K5N+jj+&#10;RByCz5s87M93PdL6+nA+7VF3Lvn7mAfl8DEhoE3teHwshdUfo0z0W1O6aI8Y8+nbh/Fifc1xPqvr&#10;L/IlWO7Lxt98Vvd9mzaM24X/x21jZaS+OSgLfeH7zs5r0u++T2OhNsaLLm1iNm3ygEHWqS2MlTjm&#10;wv/JJzW+u25fPo/HHu1C3I38aRsbOykfTfIwbJym5oPvG9Ix7r2RD2WK50gV/ZjvBvW0NsFya5ev&#10;V668MdQ57hcsNzY8bfoFSGPpObcKymTpfL0pD+e1GcvQppy58eOpKgtt2WRNBTsHH4DPuD84Vndd&#10;T/Vjm3IIMaUwyW3g9mq5BYVFPXUOZpOvKfFi6a1qsWfRyZ1XZ0zkJqTOxSC+oKSsS8jPX5jaGP1l&#10;sICl0pi1ucDmxpnP09NVPTy58Vh1TsygxhQXpV7rX3cR7QVuuqh7irqxsjpR1+ZiipFIKoQQQggh&#10;hBBCiNUQhCaLLyGE5SAu6OOPVTE5ISaDja+2Oo0QM4LJCDApq3qSxC/+KaMcTeBCkDofqxKEOKdO&#10;nGxiTUSt1HlY03buii7qbBddyp46bpYTx2NyomLqIt9lPTyTFUm7KBfWZEzFTwG1tUEyU0TSuno0&#10;FbhFH5FIKoQQQgghhBBCiNUQH5dkM0IdPjao3XiiH9j4kkgqhhLbtt2lpRb3OqGtbqu24bekx5YS&#10;Lsi3CzHLrE4QTJ2DNd2p2wXUeTI7HM18XXPjBPG3CQiLqfMxyhvTj3oYkxFJBzmm6h4uaGKDZCaI&#10;pNShrn91QzoNkEgqhBBCCCGEEEKI1RAfl6yLQ/p4KvEqIfqBjTGJpGLoyAmOkzEWbISkmJzQVvdq&#10;ASO3GzMlzubyRIBDhPJlxUdu515V3YzUOW2sC7p4dTLmL9J1Yl1qt2ZMTphM7UDuRz2MXFnqbk4G&#10;OaZyIjHl8O3Oa4/JOy7fIFldRVLajn7K9a1Z1W55MWAkkgohhBBCCCGEEGI1hDiUjzURNyROT1zN&#10;jBgfG4J8utxGCyEmgx+LQgwNiDJ1u6WYFAgHXsBhkY4X6JSlhKY6oa2O+ALiLfUkTU6wQWzNiZ25&#10;OuYuSKn0Ta2LRSjXRmbULRbX6K94PMR9mBsvTYSjnMAdi6z9rAfwmU/jLZXeGOSYyrUBYl4OziVN&#10;al70k1z7YFMN61mqXE1NAuk0QiKpEEIIIYQQQgghVlOIk+dird5IJ4FU9BMbaxJJxVDBwuoX29gQ&#10;dHLUCZ5Vr09NpTVDwMiRyzNV3tyuMESkHDkROfd62VT6lCHEmaCG0Mf/6+rfhLrdl7RhFZSHhbAq&#10;bU7kS/W3Jyf4pc7tZz2gV5F0kGMqJzh2MVb6wXQXSf24aGOcR93ENEIiqRBCCCGEEEIIIVZjiBUS&#10;oyfuFMcMiZfyOccthixEv7DxV7cxR4gZRW5XHwtwE+qErHh3IOREpjphNnduLBpx8Uilw+ryMXKi&#10;YNXFKZXWGwtOql26ou71rE2gXylnLPpR7pRfs1y9cqJ8andeP+sBvYikgx5TOcExJxJPJTNNJGX8&#10;0GcSSKchEkmFEEIIIYQQQgghhBBCtCW3qw9rukutzk/qNQCIO6m0GIJEFTmBKnUedUilxZoKTDkh&#10;rUo0SaX11k9xazIiZlNy4mVK7DTavGp3EPXoRSQd9JjKCY70Q5VQP5XMNJHUG22eWtPEFCGRVBhr&#10;zl78L9g6s+evgc2aPfoxs4/Pnj/HbO15I0vamj8fw6flQ54TRRBCCCGEEEIIIYQQQqwm5MSenFCZ&#10;Iic6pHbX5cROrEoAy5U5lU8vAmdMLk+OpUilNcuJiF2QE6AReLog165VeeT6PHXOVNejSiQd9Jiq&#10;myvM1X6K7r0w3UXS3G70plb327NiQAyjSGpC36x5o0vXnrfgMGzW3JFTqRMW2qS08u87xm1kzFt5&#10;7mNdWex7pVne2MKvY+vMHbkVK8+7syzfvWX5v1Mev6v8976yT76HleeWNvogVqZ5bNxGnyw/fx4r&#10;///arHkjL5fnvF36+WDcqvp4JGupcyZrZf3eK8v2aun/6dIenDVn9D7qXP57xdpzF5y/1twFn1pr&#10;9oIdsHU2WjDqhVyzWJA1K+uaFHAZBymzsdHWPupnZV5xmazMEoy7h7akbcfbfsFhtO/EISGEEEII&#10;IYQQQgjRATmxp+mrTI2cr6rX9uaEiiohMfea0pRgOZkdY02sSkhLpTXrt7DSZb9WUbd7OCUW5kTP&#10;VH8Poh65PKr6dirGVJM87ZWwXeywnSxdiqS9CJp1DyLkROo2JqF0GoAYmBKr6mzWaiySUvZUnWSy&#10;6Wcj786aN7ocK/+eENXHxfMwd8fF/GXl56diJtJ6QdZE2JkmwMYi6EQ72EMM7360LRccNnGqEEII&#10;IYQQQgghhOiAnPhQJRBVkRObqkTSXnYKIgSl0lftfJ2OImm/6bJfc+TaNrWrN1eulLA3iHrkxm1V&#10;HlMxpupEx9goY9Uu50HQpUiaOr+J9QKCJ2VHZGUNSvmNLTXWxQAZTpEUMSldL5lsOGxcfEVQjIXX&#10;lOgaC6/Yf260cMN1Nljw7+vMXrAB/9quWI6RFlt57sQu2+B3fMc2tvac0esxdgyXx75b2g9nzRt5&#10;qrRnyr8ndj6P/gZbe+7oO+XnfyjtT+Xnf0/Xq9rIe2IJEEIIITqHh3cmaxOuRInaQwghhBBi9SAn&#10;9rQVoXKiCPmkqHuNKLsVPbk8qoSKVNouraqdUmnN+k2X/ZojJ3LHonWur6sE8UHUAz8p/1gvfduF&#10;VeWb20VdZbThVOwsXV1FUg9jFrE05Tu2eK0SA2QYRdJxwSZdr7XnLZww+z+vlTXz6fplPr9cnlbO&#10;uLyydjbyl9L+sPbc0d/Pmjf6zqy5I8tLQ6B7aq25QUB8sLQfluPdvf7YzL8eOW2l75WvVp7YEYqV&#10;/3933FJlkvXD6LOJJUAIIYRoRHnNXpq6pky92X3ER83fb8RWHl9xX+ItdQ8zbqn7n17so75XyX9l&#10;+SbqMV5PHr6a6AohhBBCCDFNmWqRFHK7BfcrzZMTLKp2zaXSdmm95NtvBiWSIiJV7ezFfNu0fdUu&#10;DKtImtsB2lS080YfDVoonQkiqdGkzavGsBgAQ7mTdNoGvGTT3XyQcTzINx78C/Nowpgb4za+G7Op&#10;rTV34dkYv7+KrTV39Lq15o7cutbcBeO/Pzv+G7SPlGn5fVnEXMrxBjssy3//UOb9wax5I3/DUmUf&#10;Hkv/Zi79NrEECCGEEI0orylL4uuJbHAmkVQIIYQQYvozHUTSnHjG7/15ql5/WfWqXUil78pywkgq&#10;vVm/GZRICrndjX53by5dlYA3jCJpE7GNuZZrm5QxRwa523EmiaR1DwNguTVO9JlhFEkV8JINu31U&#10;RMztWp4OZjumx3dYp0TQlK2abuTdiSVACCGEaMT4b1+vem2RDc4kkgohhBBCTH+6FKHY9Znyg+UE&#10;hKav3EVISx3Hql61CzlxAyGnX6TyM+s3gxAXjZwY5sXrqn6oetUuDKIevYikUzWmYsgrtxM7tkEK&#10;eV2KpG3qaNb1zs4mZRBThERSmUw2LKbfNxNCCNEGrhv+OtL0IZ2mts7ckfdmzRt9tfT7dGkPht/o&#10;Lq38/FaMN0usPXfB+eWxS2fNGzkXW2vO6MnY2nNHDzdba/Zmh6Vs1tz5J6asvBc+q7QvmK218cjl&#10;WOn/Bqz87Jtl+b4XbO7IQ1hZBt5kEX4vHCvTvVvan319VhrtlLNV05d+V9gqn0skFUIIIYSY9uRe&#10;I4ko0IbJ+MoJEOw0hZwIm3s9aU5om6kiaW7XZtt+bULVDl+M/qN/UsewnNg5iHr0IpJO1ZiqggcJ&#10;KGvdbkdsULtJuxRJpwO5cWImpohhFEk/Pnv+nFSdZDLZzDYFW4UQQrQhFkllgzVdt4UQQgghpj+5&#10;wH9uh18KXo2b8oNViU1G7pW7JoZV+fe7FVPkBC0TYPtBKj+zftNlvzYhlx/9lxM7c6LdIOqRy6Nq&#10;3E7VmKqDXdm5hxWwQZVvpomkde3aj3klGjKMIqlenSaTDafxgMTEMiCEEEI0Yu15I++mrimy/ptE&#10;UiGEEEKI6U+dkFH1W5ExCF2p883qdtc1eeVu6nMs96pdyIlgdedOhlR+Zv0mt3MTa9qvTanr/6od&#10;jvFvzsYMoh69iKRTNaaaktuZXVWnrplpImnuIRBskK8yFhESSWUy2bCYRFIhhBBt8SJp/DpYWX9N&#10;IqkQQgghxPSnTpxs+krTnChTt9PTyPnIHcu9ahdyYg1low36QSo/s35TJ1o2FfJoW9qoTuSG3O7K&#10;KuMVyjkGUY9eRNKpGlNNyZVPIml76uqCdf0bqKIFwyiSrjN7/hqpOslksplts+aNLp1YBoQQQohG&#10;rD1v5LHUNUXWf5NIKoQQQgixepATILG613PmXpWLNRWy6vykrKkAS7rU+Vi/RKNUXmaDoG7nW12/&#10;evGwSRv10n+IoHX0ux7+eGy5ek/FmGpKri/qhOmumI4iKa/ERcyvGzMedivn+tqs693ZogUSSbuz&#10;E047u/jBAz8pXnnt9eL3771feN76zdvF8y/+qrjljruS59bZvoceVXzj/u8GH7FvIM+nnn6muPza&#10;G5Lny2QybMFhE8uAEEII0YhZc0fGVl5Hmu8kPe+iS4ufPvJYuEeL4TOOcX+XOlc2bhJJhRBCCCFW&#10;D5qIWwip8Y5N/t9k92ATIQzqdrWmrKkAS7rU+WZtRBPSUm+Ek1zdUvmYDQLEsFTe3mgXL+5QH+qH&#10;mOTTNRH92vZf3at2jX7Xo1eRdJBjirrhkzybzKecsNylmFf3O529WD93ZPp8aGvWNcYXgq6Hscz6&#10;VtfHZvSdmEKGUiSdt+DfU3Xq1RA+U8JlFaRtKmZusePSEERrA/4RbFP+ZLLhNomkQggh2lHe896x&#10;8jpSL5JyD5YSRqvgPo/7vZSvYTcebJzoBiGEEEIIMc2p263Xq7UVPOp2tcYWC7dVICylzveG0IG/&#10;+FWpCCiIWAgm8Y6yWFzx+HSxDQLq0WQHXBNrujOyqaiENd3R2O969CqSDnJMxUIx8zUl7tU9uIBo&#10;3CWpPLqwfpHKqwvLrQNiAAyjSLpgyY4bpOrUi7FDtFfqdpUSMJuMf3YwpPzKZMNqs+aOnDqxDAgh&#10;hBCNaHOvzL1dL3C/J6H0oyaRVAghhBBi9cF2qnVpCDmxOFQHwlHKV8oQl9rQZEdiW5vOIikgmqXy&#10;b2tNRdI2+TXZEWn0sx69iqQwqDGVK2MbaypMNyWVRxfWL1J5Tdaazg3RR4ZRJN31gEM6EUkRISdL&#10;7jVrbXYhpPjzhx8q4CaTOZNIKoQQoi1N75Une1/IjtKU32E2iaRCCCGEEKsXbQTKOutFIAXOSflL&#10;Gbvw2tJmp2MTm+4iKXRRZ8ZGU+JX3KaM8dGWftVjMiIpDGJMdSHG9uOVsKl8urB+kcprMtbLGiT6&#10;wDCKpMecfnbnIimCJL8J6ndvIlDyG6U5OMf7NKsKtLHTwL+qlzzYtUD+KXr9DVSZbCaaRFIhhBBt&#10;OeS4T7+w8lqycJXrireqn17gXtAeiuPf3L2hfqN0VZNIKoQQQgix+sGOvcm+2pRX5vYikBpNX7lL&#10;WXuhq115dUJf6hyzQTOZ345sKwQ1yavXHY39qMdkRVLo95ia7E5vBNLJzMkqUnl1Yf1iMuPHG2tk&#10;mwcHRJ8ZRpH08BNPG03Vqa0hUCJO1v2WVC4YxvmpcxBPY3I7Q/n9qxTalSCTrTSJpEIIIdpyzOnn&#10;vpe6pnires0u94Cp9FX3hlUPzw2rrTl78b9MdIMQQgghhFiNQEzpZXccOwh7FS49CEIIpVViLfm0&#10;/a3TGPLI/XZjzsgfka9OdKKM8a7KLsreK+xQjMuTM9L20p+0S10+bV61G9N1ParGAp9xrCn9HlMc&#10;b1NvjPT9FPO6Eh299Xt+MH7a/vaxGWsSgng/BGcxCYZRJD3g2G5E0qaGsJkjdU7qVbt8lkprltrB&#10;UHeOTDZMJpFUCCFEWw474fR3U9cUb8+/+KuJO6+V5B5uswftYriXS6UfVpNIKoQQQgixeoMQgMCC&#10;YJoSfxBg+BzRoI2YNJ1ArEN8QjRJ1RFRhM9pA9piMuLedAHBECEqVV8+49hk+zMnnvXyqt0Ug6hH&#10;L/R7TCHyMefwEYum5pu6d/HAwkyG9c2PoZQA7dc4tec0ZhhF0m12/+QOqTr103hNbhWp9L2IpKk8&#10;tCNBJltpq/O6JYQQYmrYce8Da0XSXh5USwmroFfurrSJLhBCCCGEEEIMGSnByQwBUQghOmMYRdIF&#10;2+w4cJE0JXoaTdPndiQQUEuh3ySVyVaaRFIhhBBtGdl653dS1xRvKapetWtW9cpd//v2w24TXSCE&#10;EEIIIYQYIthxFwuj3lbXXcdCiGnKMIqkGyxYtG+qTv20qp2kVb9J+o37vzuRYlXwEwul/D/lX69s&#10;k8lWNb1uVwghRFvW33TzvoikbX/HdBhtoguEEEIIIYQQQ0Tu92zZYSqEEJ0yjCLpWpuMfipVp34Z&#10;ImYVvGqt6pzUb1UB4qftEGUHaZUAq50IMtmqJpFUCCFEWzYaXdKTSFp1j2fGfVoKiaRmI+9OdIEQ&#10;QgghhBBiiOB3MVMCKcbvPwohRKcMo0i67mabD1QkrXqdGuReh3vCaWdXCqWAOFp1XK/Zlck+ahJJ&#10;hRBCtGXHvQ/oSSTlPi2V1kwi6UetvE67/0skFUIIIYQQYtjYobSUOGq2QWlCCNEpwyiSbjS61Wmp&#10;OvXD6naEps7xhlBKuqaQlnNSvmQy2YLDJpYBIYQQohEHHXvqu+lrykqr+u353Fs9qn5aQSLpxN/z&#10;RpdPdIEQQgghhBBiSLiptJQ4irHDVAghOmcYRdLNttphYCLpU08/MxHy+iiXX3tD8pzYEFp/+shj&#10;E2fl0Q5SmSxnEkmFEEK044SzPl8rklYJnjwox70Z93Kk41/u/6pEVZBIOvG3RFIhhBBCCCGGin8t&#10;LSWOmvFbpUII0TnDKJJuvsNuAxFJCYpVgXiaOidl7EJos5uU17tpN6lM9lGbNW906cQyIIQQQjTi&#10;M+d/sVYkzb05pC36TdJxk0gqhBBCCCHEcLFfaSlx1Gy0NCGE6JxhFEkXbL3L+ak6dWmIlFUgYtqO&#10;gjpruoM0hkBd052qMtmwmERSIYQQbTn8xM+8l7qmxJZ7OK4NEknNRh6b6AIhhBBCCCHEEPDN0lLi&#10;KMardtlpKoQQnTOMIum8RdtdkapTV4ZAWrWbgM+b7vJETE3BK9rwse+hR2Vf59smL5lsOGxkycQy&#10;IIQQQjRihz33/8PK68hCd035qCGUNt1RWvXKXT3kZiaRVAghhBBCiGFih9JeKM2Lo/yf3yndoDQh&#10;hOgLwyiSzllFJM0Hu9paVwJp1Q7S1Gt68Vn1Ol6E1ji9TDa8JpFUCCFEOxbtsLSxSIrxthB+oxQR&#10;NL4n5DPu8XjQjZ9TSMHnKb/DZxJJhRBCCCGEEEII0WeGUSRdb5NFt66sS3ciKUGxqt2f0DToReAs&#10;xfMv/iqZHuOcKnFWu0llsnH7+Oz5cyaWASGEEKIRG8xf/EHqmjJZY8doilTa4TSJpEIIIYQQQggh&#10;hOgzwyiSzpo74kTS7iwnkPL6tdQ5KWP3QYo6sbNq96l+20omGzeJpEIIIdoya86Cvoikqfs2dpqm&#10;0g6jlffrYxNdIIQQQgghhBBCCNEfhlEkXWfe6H2pOk3Gcr8N2kYgxRA1U6TSeqt6bZtEUpls3GbN&#10;Hv3YxDIghBBCNGLDkSV/SV1TJmupN4DwoFwq7TCaRFIhhBBCCCGEEEL0nWEUST+x8UInko6sUq9e&#10;rErUhLYCKVblj9f5ptKbkVcKBdxksnFbZ/b8NSaWASGEEKIRcxZt87fUNWUylrrXQzStu9cbJpNI&#10;KoQQQgghhBBCiL4zjCLpuptu/mCqTr1YlTAJvQikWJVIWrcjtOp1v/pNUpls3CSSCiGEaMumW+64&#10;QiSdNXfyD9dV3TvW3ecNm0kkFUIIIYQQQgghRN8ZRpF0vfmLOxFJq15vC/zOVOqcJoaoWQWv9SVf&#10;S8uOg8uvvaFSIP39e++v4lsmG2Zbc/bif5lYBoQQQohGpK4nKeOeC+MekHuzfQ89asUxu1/jN0dT&#10;cJ52ka5qEkmFEEIIIYQQQgjRd4ZUJH06Vae29vyLv5oIbU2O1OvVqoJobfGCqkw27DaxBAghhBCN&#10;SV1PUtYr3AfqrR8fNYmkQgghhBBCCCGE6DtD+Zukmy56NVWnttaVkAmxmIloWrU7tCm9vu5XJpup&#10;NrEECCGEEI3gNe2p60nKekECabVJJBVCCCGEEEIIIUTfGUqRdJPNp71IiiGU8nrdtlAu7SCVyWIb&#10;eXdiCRBCCCEa0UYkbXtfyD2eXrFbbRJJhRBCCCGEEEII0XeGUSRdZ+OFK0TSWXNHPlK3pvaN+787&#10;EeaaHKnX7XrjN63Ii9f7pnaX8jtWBOZ+8MBPtBtBJnPm5/eseaPLJ5YAIYQQohGzZo9+zF9X6ozf&#10;HeU3Sbkv4/7Owz0c93Lc00kcrTeJpEIIIYQQQgghhOg7QymSzht9b2U9ehdJZTLZ9DaJpEIIISbD&#10;x2fPn+OvK7JB2shjE90ghBBCCCGEEEII0R+GUSSdJZFUJhtCU7BVCCFEOySSTqXpui2EEEIIIYQQ&#10;Qog+M5QiaUev25XJZKuTKdgqhBCiHeW1Y0n6miLrv+m6LYQQQgghhBBCiD6j3ySVSCqTzVxzr9vV&#10;b5sJIYRoiUTSqTO9Jl8IIYQQQgghhBB9ZxhF0k9ssrlEUplsKEwiqRBCiN6ZNW906arXFdmgTCKp&#10;EEIIIYQQQggh+s4wiqTrbbb46VSdZDLZzLVyzbpjYgkQQgghGiGRdLC26sOLI+9OdIMQQgghhBBC&#10;CCFEf5BIKpPJhsLKtW5iCRBCCCEaIZF0sCaRVAghhBBCCCGEEANlKEXS+YsfXFmXyb5ul/PNx8IJ&#10;i9NMR4vL6usxbgSqzPznMtnqY26MSyQVQgjREomkU2kSSYUQQgghhBBCCNFnhlEk3Wh0q1tX1iUl&#10;FK4uQufqarFAi31UpDWTWCvr3VaOs9V5zRJCCDE1SCSdWpvoBiGEEEIIIYQQQoj+MIwi6Sc2XXRF&#10;qk4yWbcWi8EfFYIlAA/OJJIKIYRoS3ndXpK6psgGY2vOXvwvE10hhBBCCCGEEEII0T3DKJJ+fPZm&#10;56fq1MQ+scnmxbqbbVH+u7BYe+PQDuXnC4t1y883WLCkmLP5tsX68xeXf5dW/jtrQhhDBFunTL/e&#10;ZouKjUa3LG2rYvbCrYoNR7Ys1t100bh/0pT/8n8+n7Nw62Aj2+xSbLrljsXHZy8o1pq7YEU5Nl68&#10;fbFoxz2KxTvvUf67tJi/9U5l/luHPNeas6DMb2Exb4vtyuN7Flvvvm+x1W77FtvtuX+xcPvdi//Y&#10;cNOQhjzXK+tDOj7Hz4Iyv9llvtRzVqi3BLzpb/HO3JW2ugixG44sKeYu2rYci9uW/25TbL7D0jDH&#10;GKezynHPmJ+7aLu/l/V4eq25ow+X4/yp8u/nyzH6Qvnv22vPHf19OVb/mvKNSSQVQgjRFomkU2sS&#10;SYUQQgghhBBCCNFXhnIn6Sajp/m6IMhstds+xeY77F5st+cBxVqz5xfrbbp5MbrdLsWBx5xUfPGa&#10;m4ofPfZ08ehzLxf3/einxUVXXV/sdcinitmjS4oFW+9YHHzsycXFV99QPPD4L4pfvfVu8dDPnytu&#10;uef+4pJrbyrWXG9OSLfLfgcXn/7cF4o7vvW94tnXflP88tXfFPf+4CfFBZdfWyw98PCQZnTbnYtD&#10;jz+1uPQrNxc/eerZ4OvBJ39Z3Pz1b4V0/77u7GLu5lsVux9wWPGZZRcXd3/3R8Vzr79d/OLlN4t7&#10;vvfj4vOXXVXs+slDgq/Nt9+1OPzE04ov33Bb8fAvng++KB++zr7wsuJ/fWKjYuMttin2OOiI4swL&#10;Lim+8f0HixfeeKf4+UtvBL/nfvHyYud9Dwq+tthx9+JTp5xRXHnzHcWjzy4vnnzxteKub/+g+PL1&#10;txVHnnxGsea6c0K5tl26X3HYCZ8OZb3ylq8Vl153a3HCmecVux1weDF/qx1Dm85btG1o693Lzw4/&#10;8fTigKNOKvY4+Kgg4m5WpqHt1y3TISAjmM3feucg3iL+Ii6vP3+LVcahrBtDwOdfhEjEyk2W7FBs&#10;ucveZb/sF8T1JTvvVX62fRD5TVTfcte9i30PP6448pQzi2NOP6fsyxOKw078TDgfX4j42+7xyeLQ&#10;E04rPluOpwuu+Epx9kVfDum33+uA0McblWkX77S02Oewo4tTz/1Cccq5FxbHl2Nm70OPLnba5+Dw&#10;MAJl46ED8vZlbm8LDptYAoQQQohG5ETS6f7w0eph4w8Tjv/90Qe+1pk9f42JrhBCCCGEEEIIIYTo&#10;nmEUSTffdtcNln3pmiB4PvHiq8UvXn6juPb2u4PIs83u+xSf2HgkCIOfvfjLxdhPHw+iJiLj93/2&#10;ZHH65y8qtttjvyAKYpyD8Ih4+OKbvyt+vvz14qpbvlZ88sjjgq915i0ottxlzyBg/uCRp4Koubz0&#10;9d2HHitOPfeCYtul+xZzFm5ZzFu0dRBbb7v3O8Vjz70U8nv8+ZeLL11/axCQluy8RygXeSNCIng+&#10;/+vfhjy/9cDDxUlnf77Yate9gqi5yeJtg0D61fvGiideeCWkoXxfvObGIO5St3U3GS123PuA8BlC&#10;7ItvvBP8IZYef8a5IT98bbbl9sUxp51d3PntHxRPlm1FuR7+xQvFhVdeFwRWxNj1Nl0YxNnLrrsl&#10;CMSkwddd3/lhOJf8NlywRRCU8f31sQdCO5GOvD//pauDr5FtdirW32zzIBpfcdNXQz7Lf/P70P7U&#10;5YiTTi8W7bBbscH8RUFQPuWz5weh+emXfl089avXi/t//Ehx+rKLy7IcWmy6ZLvgC0H5oiuvD230&#10;06efL3746M+Ly2+4PfTPSFme9TdbFMr1qVPOLK657e4yn+8Vd5flQxCmDbfabe/QP+S54z4Hlv1/&#10;cXHxNTcVV992V3HZ9bcVJ5x1XuhDxsK6m7Bzd9ti9wOPKM/9THHSOecXR516drH/p04IO37ZFcyO&#10;Y4Q/hPlNttyhGNl21xUicGqeyXq1kcfKNeqOWXNHTv347PlztBNFCCFEL3S3kzR+/f7KY4itUyG4&#10;VudpwqUdp+zVb6zop82aPfqxia4QQgghhBBCCCGE6J5hFEmXXXXVGo/88lfFy799PwiR7O489vRz&#10;glD5HxvMK/Y9/JjihDM/F8Q8RDp2WCKWslt0p30ODOIb4iHiJSIjPl793R+DuInIedSpZxYbjSwu&#10;Pr7RJkGMQ8D85g8fKl56+70gHn7nJ48GoXP7PT8ZxLf5W+1Q7HfEsUEQfepXrxUvv/OHgvIhviLU&#10;kWbtufOLA446sTjtvAuL+3/8s1B2BFf+Xvalq4MgS7kQGhFuEfkQD18pfSE23nDnvcVBx5wUxFHs&#10;wKNPLM44/4vF2EOPhTS/fPWtUMZzLvpSEHXxhRB5yHGnFF/56teLZ155M+SJCHrNbXcV+3/q+CAA&#10;I34edMzJ4TxEYNKQFrEV/wiklN92tt541zeD6ElbsFv2irKctCP1Q2g8+NhTis9dckXx4yeeCW1K&#10;HdjZyi7chdvtEsqFUHrkyZ8JbU170kekp/0QW9eavWkQSQ8+9tTQzpQZX08tf7342v3fD/1BO1Eu&#10;6nr0p88KIjBiMn3NrmF2AbP7l/FAWtqB/qdf8IX4jHDLuKH/zBciMLt6EYDxhbCOoLzDXvsXH1t/&#10;bmgPfLFbmHFD2/MvdWG3LgI3bbrVrnuH/99897fKsfdEWb4fFheV+fPZyLa7FP+x4SYhX3bg7l+O&#10;i+PP/HxxzGnnlG15bNj5ya5PduQiyLLzkx24s0e3Ss7l1dNG3p01b3T5rLkjY6xhiKHl/5cSTJUg&#10;KoQQoit40CZ9HZINwiSSCiGEEEIIIYQQoq8Mo0j64GPPrIGYx25GdpAi3rFzEqHuPzfcuPj62I+D&#10;+MhxhC7EQ0Q6dksi5PGaWnY1IjwiwCH4scvy6lvvDK/LxdesOZuFnZ+ciy/EPgQ9BDR2QLKLk52a&#10;+EJU5fW8P3vmxSAyIrbymlx2liIIIraym5HdkAisiJAIjQh7J551XhBbbdcnoh2Cm4nA/Isgh3CK&#10;yIjox85JyoTwiziK3f7N7waBj12RiHQIgwjFCMhBzJsQSHnVMIIux3mV8Na77V18+8GfBTGQMrEr&#10;l7qwg5RjJpCya5adpbQT5ULU/MIVXwkCKWLf/1xnwyBKfvvBR8JuTwRg2p82RhClTSkXr2blVcMI&#10;2LQpbU96duqySxZx9L/PWj+U8f7SF4In7Y6oidjL64BNuGXnLa8eRtA1X+zwRaRFbKVv/r+Prxvy&#10;/9YDPwu7XhkP9A+7hRE7qRvCLe3GK4rpb9oTX7Qx/tnNyrj5r//5iSDQ0o+05YtvvRv6B3EXARtR&#10;Gl8IqgjfpKPsCK74pd42Bv/f/1gn+P7WAz9dseOWnbKI9vS1icC0Ke1Mu9KmCMG0Ha9B3m7pfkHM&#10;/29rrR/6/vzLrw2i9VW33hVejXvA0ScGsZbXHLNLduF2uxZLD/pUccTJZ4QdskedelbZf8eE3w6d&#10;u/k24Tdw+a1bfgPXfgeX38Dltbz8Xi6v10W45fW5/L14pz2LHfY+sDjw6JOL/Y86qSzroWU/7xle&#10;9ctrf9dcb25x5ClnFGeV9bz56/eXffN4cf0d974vEVQIIcSg4Jpz2ucuevfML1xW3mccVV6rdw2v&#10;leea9wn7TXlZAxt5d8UDTqWVfz+G8bDT+JsfRu8I30nCg0+jy8Zt5FS9blcIIYQQYhqzfPkp//LK&#10;68ctkclksqmy1147Xk/WikkzjCLp8nffXQNRDNEOgRJxEeEJkQoR7q0//jns8ENUQoA779Irg6CG&#10;6IRwxutgEcnwQTp2f7KrEAEOkQ5fCJGIXb/9019CGgTE7z38RNhxieCHL9Ii7Pmdmoh5t37j20Eg&#10;5Tj54WvpQUcUv/vzX4Mv0n7nwUfCTk17/Sx1YNfqTXffF/IysZWdm4hm+MFIxy7Sdz/8a0iDqMlr&#10;h22nJr4QLUlDOWgDBL9Hn3kxCMrssmXHLTseKR9i6Lsf/m2FLwRHv1OTsiMcs4MTgRFfiMHsdN3z&#10;4CNX+KJsvMrYfNGm7CD1OzXxiWCJyIfYhy/ERkRGhEh8Wfuf/+Vrit+VdSQNwixiL7swOY4v6opv&#10;6o4Iaa/+RQRGWMQHbYU4TVnfKX0hRNI/iND0te36RChFrEaIxA9l43XIlAEx3HwhZCMg/7bsR3w9&#10;XvYP/UX/UHZ8IeAiKDNWKDttxg5dhFt7zTPtgbiJ4P6bD/4S8nzs2eXFdXfcE8RhysxxE5QpC22K&#10;4IpfxFXGs41T8kXkfvMPfwn5IdyyW5ixSRrKTXpeP83uX3wxLhCUeb0x45ny44u09O+v3/tzaAcE&#10;XF6dTP9wjLIhKCNqcwxfiMoIytSb8Uwa+pp/GVOv//5PoVyIwJded/O7E9NYCCGEGAg/f+n15bze&#10;n/sb7hXt/oaHpbj/4xr1s1+8WNxw5zeLU8prGb+9jpDK72nPHt0yvOHh5HM+Xxz96XPKe7UTim33&#10;2D88PMRvbY+LrZuHv3koidfxp+67uzQeVvpEme8G8xcXW+y0R3jtP79BvmjHpcXcLbYdfxNFeXzD&#10;kS3L+6XdyjIfX5z6uQuD8VMCBx59UnhwinagnpttuUNx3Gc+W/z4sSfKe4Mnyvu3B8Lv1pNuXlmf&#10;DeZvvtp+ZxBCCCGEEBmWv3HMGq++eUIhk8lkU2WvvHHCYxNLkhA9M4wi6WPPLF+DXZ+IZIhS7N5D&#10;zOJVtuy6e/8fRRBv2L3H7kDEPMQiBDYEP0Q5xKLX3v0gCJGIaIitJjLuvO9BQfDjla1/KH0hdiFo&#10;IU4hsOILEYjdqJffeHsQf3iFK+ISO0jZ2UoQDvFqt/0PDUIXefyx9IXwhLiLQMquQoQk8iV/6mSv&#10;g0U8ZAcpATwT1agHvhDT8IXQhXhJWW1nKyIVwifCLXXDF7s+edUsux1pA9KxAxRfCKn4enZiNypC&#10;l+1sRTw74Yxzw25QfvsVgRfRmdfPIugijNIW/I0vxE98IYwhJp58zrIgqOELkQ4hkvzYYUr/IPgh&#10;RFIWE1sRHPGF6Pb+34viyRdfCUIkOyXxgS98Uk7ETgRnREYETsRwhEHaFFGTtqOdKfN7pa/Hn3+p&#10;uP5r3wjjBgESXwjhtB/tiDiNL8YNgiJ9TRoCqYiq/J4pwuC7f/1n6Kdry/7iVb+0Of3Dq5zJj3ZA&#10;0LRdn2d94dIg3JKGcYFQTDrE33c+/EcYPwiRfM5YoPyMDdslix/8sfOY8+hrE3fpa9qL42//6e9h&#10;XDO+GeeUm/5h3DAPEJQRd6knQWHmC8ItY572oI3xT9/85oO/hV28jEHGDe1JH9FXtDPtzbyg/elr&#10;+oNXRuOL1xbT19QbsRXxFhGXMbj/UcdLJBVCCDFQbr/vu8u55nHN51rMvSOiYLi/eeGVcH/DNY/7&#10;G36OgPsRrsU8WHbmBZeW9xvfLv5UjN/fcB/DG0W4fuKLeyWuefzEAg+I4YuHo7i/sQfTMO6VuLe4&#10;89vfK/5c+uJeiPsb3vrB9RNfvMGD66m/V+KtIVx39z70qBX3SjwIx8NX9/7gx8EX9xPUhTpxr4Qv&#10;ysf9Ddd7rtVc/7l2cz/A2zbsvphrPA8+ffvHDxcflL4effalcA/J/Q3txH3Q9nvtL5FUCCGEEGIm&#10;IpFUJpNNtUkkFV0wjCLpjfeOrWEiHQIpgiXBL3bGEaB64Y3xXYUEowgS2Q5MdukhkvH6WYJFBI0I&#10;UCH8EHRab1NeSbpLceYFlwRRJ7yu983fhcAZnxHEwhfiE2Ie5xJcwxdpES8JPBFYo1wElygDIt3T&#10;L71ePP/GO0EYpKwEsQh2UXYELQQ/ym47JxFVEcoITuGL9LzC9YGyLATp8EWwi0AdohS+EOAQbhH8&#10;7PWz1BXRDOHXfCEyEghkhyJt8NyvfxsENEQyxDICZ7QDATJ2g5Ifvh59dnkQuizIiCCGYIeYTHuz&#10;o/DZ198OgrKJh/ji3xPP/FwQ/OxVtgiD1If+QfDDEBIRmTn23Ou/LX752m/CDlITD/FF+QggUl7E&#10;PnwhDNLO9I/5oh/YTfnTp18IYvIzr7y1Ygcp7YQv2s0EWfNFmyDucYz6UU/GB+MGEfz5X79Ttsf4&#10;uCFISf/R9gQ2ETUJZiJY4sv6mjLT7rQ/45ZAKiIr4qeNG8Ym4wpf9A8BUcYgvhBueU0zQVjaknHK&#10;GCOweds3x0K/kIbxww5pAqkI64xVBG8eHGAMs1OGdNQXoZg2xRdtgbCPCIuwThrGNeOGdmTu4Isx&#10;xOuAw2uLyzSUH0GZ/qEd8EU6BH/GAL5efPPd8C/nMZ5LXxJJhRBCDJQTzz5vud3f8IARb6bggTV/&#10;f8O9DPc0dn/D9ZO3U3CP8cwrvynvE35bsBuVeyV/f4MwyTXPhEjuFbjHsvsbfPEQ1WXX3RLuSbgP&#10;4v6Gh6jsAT2u/ZSP6zx5kAZfPDCH2Go/f4A/rqU8WMV9xLOvvVU88+ob4V6J+z/ub/DFPQxvGOE+&#10;kfsbfHF/w70Sx+yehGs89w34eu7Xb5f3juMiMG9D8fc3p3/+YomkQgghhBAzEYmkMplsqk0iqeiC&#10;YRRJjznrrDUQbhBlEJQIWPGkPOLOOx/+PQhaBLbYCUhAiUAPAR92xREI4in/R8t/r7/z3rATz17h&#10;SkCL3Y8Ezgia8SpUXlGLyMSOUIJKBKAQNRHzCKrh62e/eCE8dY9YhEiEL4REBDKEQdK8/vsPiqtv&#10;vSuIX4hN+CJQhzjFDlJEKXYM/PTnz4X/I+YRgKP8pGeHH8Lg6+9+UKZ7LwS1CHYRxCM/BFmCbZQD&#10;sQxfP3nimRBIQ0xDVCMgZjsUCZy9+YcPixfe+G1x5c1fC8Kg7QRkVwTtwqt+EfFemgiuUWfEPPzg&#10;j1ewsiMBMfA3H/y1eOaVXwdxF+HRREbEXfqHoFsIIJZ9xA4L+oJdn6QhCMffBAIRlH/757+F9qDs&#10;CKLUjXagfLwqjx2vCJ/0N6Ikwi1loU0RuxE1CVAS2PzdX/62YqcmwUfanAAo/YPAjDCIEInRJhdc&#10;fu2K/mFcIGoi8I3vIP17EBvxRVAUURNfBD+trxEiKRu/R0pfkw/j1IR1gqSMm9//9R9l2R8LO5Hp&#10;N8YzbUr/WF8jQrLDl4CpicD4YjzTp5Tj8edfKd4vfZEeXwRJGYOMHcY//YrAag8FEMjlldH0C75o&#10;D8Yz45xx8/7f/hkCt/Q1O3HxQ//YblT6mrlhr7vm4QH6B1/8S/7MPwLP7//9n8XX7v9eqDM7c6jf&#10;JltsK5FUCCHEQNlm6T7L7f6Gh7h4OInrGPdKP564v+EazTWdexzuKbju8vCd3StxjeWaaoIl/3J/&#10;w4NPJpByD8P9DfdK3Ldw3UOI5H6Ae5+3/viX4tnX3gjXRXZ5Uh58cX3nHoV7pSCQlvc33y+vt9zf&#10;8OATabgec3/DPSn3ZG/98a/lPdprQdy1eyXScS/L/xFOuR/hXoJ6cB714nrNvRJlxD8PPnEP98QL&#10;L5f3OzeFciDcUn67l/36d38kkVQIIYQQYiYikVQmk021SSQVXTCMIun87bdfg+ANwSULYhGg4rcP&#10;33j/z0HkIkiEuEM6Al+8hgyhC8GStOwy5DVoJnQR7OJ1Y4hAPHX/xvsfFi+9/fsgQuKL4BTpEFtt&#10;JyDBNYJsiFWISAhdpCE9wSiCZQSoCGTxtD+fEwgzkRGBlICYvRaXHaQE1xC3EOjwxa4GRDrEOXul&#10;6qPP/iqIwwhd+CLYxa4IAmL22rjHn10ehGLEXUQzfCHAEZjj9buIebzq9UeP/TyUCV+koQ4E/RDA&#10;EEjxRbud/6WrQ7vii7JTX+qNEEkA7t2/FsV9P3oo+KFfaHfaFtEZ0Q3RDF+k5xVx1Iv+wRf9QH+Q&#10;D8Ln7/9WFF+977uhXCaQErBjVwRCJP33Stle7KpF8CWIhx/6CDEOoZidHPj6wz+L4trb7wq+2PGB&#10;+IlPxD3bjUrbs2uTQCB9RJtSNvqaHaOImgiDfyyK4pJrbwhtj1i+7iajoa6Ihwis9A9j4rs/ebQ4&#10;pay39TVthnhIX7OzF1+80u7cL47vdLZdmIxBdtci/NI/tBdl5FV81j/0NQFe+hpf5McrABF8Gau0&#10;OeXib4Ri6kX/vFSmu6fsB3aQImDji92m+KavGXvkR7kQbTmfsYAv+p0gLAFe2pRA8J33fz88FGBB&#10;WepAX9M/jBva9I9l2x987EmhfxjP1LEcgxJJhRBCDJQNR7ZYzvWTayBv2+ChIK5T3Mtxv8abLOxe&#10;iXswBFG7vxl//fzPw05Prvl2r4SYyINH9vv2D/OGjPI+kgenuIfgnoQHwHjwze5vuB/89oM/Cw8o&#10;cS22eyWu4TwQxf2NPeTGA01ci+1hJURN7m8oM/cR+Lrnew+E+yO7V8Iv4isPaiG24ot7Ue55uHfh&#10;Xol62n2xPezHa/Fv/+a3w70N90r4or6IwuP3N29LJBVCCCGEmIlIJJXJZFNtEklFFwyjSLrO/MVr&#10;2A5SgkoEixCVeC3Z9x5+svjY+nODuEMQiyf4ERkJKiHuEBhj9yBCEAIWAg9BKAQeXkNKsAixC18I&#10;VP/rExsFcQdBiaf5ERntFbv8yw5WxE4CSpg9dY9wSwAOkRRfBOX+x9obhHIhKBHsQmSkPPhCKOW3&#10;HdkhiB/KRqCNwBbiFL4Q9BD/2Kn332etH8pFQItgFyKjvWKXurILlF2Q1A9fBAAR89h9gC8CcfYb&#10;qvhCPCTQhjBI4OyZl98I5cIXQTnqThqCdexEQFCmXvgiXwJt7ASljuRJkM1EYAJ1BBoJErLTdPcD&#10;Dw9lJ+hH/yDmURZ8IbDhi92o/3OdDYMvAnWIwLS1+SJ4aa8Rpk0JfhKMRMyzoB/CHzst2RVLP9Ku&#10;BDj5P68Rth0WiMaMEcaBjRt2a+DfRGf+xeifNdebE4KkBDgRGRmDjD/GDWI2AVcET3wxbhBuCZJS&#10;NwKWiJv4IhDLWKV/SM8YJLBJmSgb/X5e2c7UH1/0D6/4ZQcM7UBfU1d2fzAf/nPDjUP/8DdBUsYg&#10;QVnGDcIrAVf6xXyxUxQRmOM2bvjdVo59fKNNgi9EXPqCICu+yJedqXzG2KMfCc7S17zOmHZg3NCf&#10;lI0+Xnvu/PAv4/nsiy6TSCqEEGKgLNx25+Xc33D/xD0L1zO7n+JBLX9/w70Suyu5J+Gax70O9wP/&#10;9T8/Ee4juI7yBgaun9xLcc3j/obrPA+Q+fsb7ot4mwW/gU+++OUe4f/52NrBF9d3HqLi+mn3JNzf&#10;INLykNsnNh4Joib3N3avhC8ePOPehbL+32vOCvck3N/YQ1Tcj9j9Dfet3Cvhi/sb6ssDeY+V9yLc&#10;31Au7l1OO++i4It7Eh7M4o0Z3CtxXX/xjXckkgohhBBCzEQkkspksqk2iaSiC4ZRJIVzL/nynLvv&#10;/+Gcp5a/Mef5N96ec+8PH5xz1oVfnnPM6WfN+R/rrD9n9vzFcw494ZQ5X7nj7jkPPvX8nOVvvzvn&#10;seeXz/nyjXeUn58+Z+H2O89ZZ+OFc7bffb85yy65as69Yw/OeWbC191jP5xz1rJL5hx5yulz/sfH&#10;S18LF5d/nzXnxrvvnfPwM+O++PfLX7l1zqHHnDJn/tbjvnbe68A5y778lbIsD8955tU3Snt7zh33&#10;j805vfRFuv9a+tp48dZlGc8tfd1f+lgefFG+S666cc6Bx5xQ+tp+zvrzS1/7HTrnwqu+Muf+B/H1&#10;dvB3673jvvY78pjS1zoh7QlnnVt+fn+o27ivZ8J5+x15QpnXuK/dDzwy+B978LE5z+OrrOetZf6n&#10;L7twzl7lMXwtLOtwyrnL5txR5vHY868GXz98+KmyPlfN2evQY0K51y/blL8vKes99nDpq2yrp5a/&#10;GtqFcu2834GhvRZuv/uc08+9MNSd4/gi/bllO+916JFzNl64degf6kF/kA++yJf+olz0C/24eOe9&#10;yn69JPTJeF+/G9rk3LKvqRd9g9F2V91a+nrsmZDmsbJt+T++Fpfl+R/rzJ6z9e57hfNCX5ftSbrx&#10;cXPJnN3L9sYPZQvj5lbGzbiv0Nc33hp80eZrrj97zvZlX1Mf6+vxcfPginagrWgzxo0fg6Gvv3Jj&#10;8EVea66/cUhPO1Mv+gdfd5RjmzYkH/qQfMfHzcoxSF0vLPsVX+T38dkbl21i42a8f/BHn9K32++1&#10;35z1y3HKeD3hrGVhDNJOy8s6/vCxp+ZcWI5d8lxn4/mlr/mhryir9XUYg+U5jDnakjHPPDqlPGfF&#10;GCx9kZ76kCdlwt94XzNunpozMYWFEEKIgXDyZ89fzsNqPKDEQ0GIh4iOPEyGcIjIyMNgPDjGG0UQ&#10;BhEieXiNh4449t/WWi/s1ORBON7AYA+58RARb4FAfETQRGS0B+E4hlj51PLXwwNovBEDIRZfiJq8&#10;Xp/dqDxEhXBL3rxtA7EVoZWdnzwchQDLQ2744gEwxF12n/LwEb540Io3q/DQFuXGFw808XAUD2TZ&#10;blQejuLBN8Ra0vDQFg/Z8VMGvP2CB914OIrXA/PQFiIwed73o4clkgohhBBCzEQkkspksqk2iaSi&#10;C4ZVJBVCCCGEEKKOO+//wXIETXaH8uYO3mrBTk3EUXtzB79Jzk5N0iEO8vp43hbBWxNIw1sWDjv+&#10;1PATArwVAl+8gQFhlfP9mzv4uQPywRcCKKLqMZ8+K7xdgjSIrbwhgzeWsJsTY8cpb7XgjST4QtSk&#10;jPYGE8RdBFJ2ivK6e8RdfPE2B3Z9IopSpvC63qeeDTtWET7ZJYsvdqPaG0zMFztY2RXLK/Hxxc5W&#10;3mqBWMuOVdKxy/Rzl1yp7wxCCCGEEDMRiaQymWyqTSKp6AKJpEIIIYQQQqR57Lnlh732uz8te/DJ&#10;Z5Z9+fpblx1w1InL5m6+1bKNRrZYttchRy276Mrrl3334ceXvfT2+8ueeeWNZbfd+51lp577hWXb&#10;Lt1n2cc32njZ/K22L9Nct+y6r96z7MkXX1v22u/+uOxHj/582cXX3rhsvyOOWbbR6JJg/H1J+dkP&#10;Hnly2SvvvL/s57/69bKbv37/spPP+fyyrXbZa9l/bLDxstFtdwr53XjXveH4K+/8MaTH/z6HHRXK&#10;NGd0q2X7H3nCssuuu3XZA48/HXyRL+eccMbnli3Zac/gi3/J79Z77g/lxtd3H3p02flfvnbZngcd&#10;uWyD+VuEeh50zInLLr/xtlB/0jz+/CuhLsecfs6yzbffJfjaerd9ll1y3c1l3b+77NnX3g5t8Z0H&#10;H1mGQLrLfgctnWhKIYQQQggxk5BIKpPJptokkooukEgqhBBCCCGEEEIIIYQQojFVIumixf+9KA8H&#10;+y//5X8rHnjowI+kkclksi5MIqnoAomkQgghhBBCCCGEEEIIIRqTEkm/euduKwRS7P9c439f5bhs&#10;cnb8SfNWaV/+n0q3OtjBh66/yji57zt7J9NNxvCJb8uHPFPpppPxUIEvM38P04MGrCE8XGH1//c1&#10;/49kOjOJpKILJJIKIYQQQgghhBBCCCGEaExKJN116cdXiBtYUxEPEYi0s+f+2yrnIxCxM/XiS7dM&#10;nueNNKT1AhNiCz7P+uxI8eQzRyTP80Ya0nKOF2owPkNkm4xgFYucGPlcc/32yfSxxe3D/1Ppprsh&#10;Xvp69KsuflezGSJcKu10sfhBg9WhzF1aao6k0plJJBVdIJFUCCGEEEIIIYQQQgghRGNikRSBsfx4&#10;FWsiKPodhTmrEkrJNxYPU4Z4mtutiP9YGK2yXnckVvlvKhDOFJE0JQT2oy6pcSGRdHqbRFIxFUgk&#10;FUIIIYQQQgghhBBCCNGYWCRlB2b58Qqre00mRhp/Ts5Su1IRSNv4QKRMCbcIpKn0OaO+sZ+csVs0&#10;5cesiaA8k0VSdn2m0k7GUiJpP17r26VJJJVIKgaPRFIhhBBCCCGEEEIIIYQQjYlF0lisTIma3pru&#10;IDVL+WvrA+OVwN4HQmvTHaTeOMf7qbPUq1+9NRFdZ4pIivm+q9vl26utjr9JKpFUIqkYPBJJhRBC&#10;CCGEEEIIIYQQQjTGi6SpV+3mhJ2UEIQhkHixjN2V7MBE2Iz9cSw+H+HS/75nvLvVzO/aTO3wRND0&#10;5SBNasdqU2Evbh/KGYumTXbeziSRVJY2iaQSScXgkUgqhBBCCCGEEEIIIYQQojFeJE29rtYLGbEh&#10;esbpvbjZxFICaEpMSokuftdm6jiipveBpcTUpuJV3D7UP9Vmda/clUg6800iqURSMXgkkgohhBBC&#10;CCGEEEIIIYRojBdJY9GzTrzzabH4FbhNLBYMea1qKl1qx6nPr6kokxKv6kRNs3jXKIJravdt3St3&#10;q0RSykad/GuDOYYQG/tIGfXgVbSxf/zxGeVKCcdmXvDlHNthS9va62751wvhPq94B7A38iX/uGxV&#10;5n/bFJ9xm3jfmB+7fgzRpvjy5/P/qnKaUXfqTV7+Vb+YtSftVdWeXYmk9CntRplTu6ApB+XMjeGu&#10;2waj3uTry8TffGbH7HOzlB8ziaSiCySSCiGEEEIIIYQQQgghhGiMF0ljESb3248pEajpa2u9eYEG&#10;ywmtsVjlxTKEHX8MS4mV8e+fpgS3lCH8+PMwE8gQlvznXohKGXn69Pw/LldspKkS5LC6881o7yrR&#10;NRa26GMvsJmRzs7JHTNjXMT9XGe+X5oIbnGb0lZxv8RWNdaatiVGX6fGfRciaWpMV1muX7tsG6yu&#10;P1lHUv5TvswkkooukEgqhBBCCCGEEEIIIYQQojFeJC3/u4qlBC+zJsJVE4t95PKMxZ5YjIxFVAx/&#10;Ji6mxK+mwq7fZYkhAlUdw3J+43o0Ncqf8pcSMussJajFfZrauYj5Psodw9jh2FYgxSYrklaVPbZU&#10;O7TtH/KKfXQhkqbqnTPaObWjtMu26bU/sdiXN4mkogskkgohhBBCCCGEEEIIIYRojImkiB/lf1ex&#10;nKgTC44IMfjg85Qog+AT74RMCUmxyOYtJV7541U73PgsJaCmRKAqi4Ulf26q7aoETaytCOctFsHY&#10;LZtKV2e0SdwfTUU530e5Y1gs4NKOVgf+rdrR6Hcypsplx8x6bdOUwNmLr1gUnwqRFEvtnu6ybXoR&#10;5M1iX94kkooukEgqhBBCCCGEEEIIIYQQojEmkrYVdWLhpcnuMtJ4MalrkRTDf0oQ9Yb4k9vpGVtK&#10;BI0FxlhEjXe5eqsSrai7CYi0TewTi8XXVLt7PxiCbipdLKhViXIImb5cvu5x2rj/4r7w5cLw5Y/T&#10;Nv44lipXnKaqTWkvy5N2SKWJfSEEUm7O5ZW3vsz8zeexj7jebedTyqzfKA9/+zFLu6Xqk2q/rtom&#10;7iszP47wUzX/vK/YJJKKLpBIKoQQQgghhBBCCCGEEKIxXYmkTQ3Rx0S2VJ6x2OQtlWcqHcJPShQ0&#10;41gun9ji3Zr+VbtVabAqITauB+VJpeUznw7zIljqNyur6lXnC0uJkXGa2OL0cf7xcX/MLG6P+Hiq&#10;XHGa2AeGYBenSwmcbcVLLBYC43q3nU+9WryzM9VfXbVNSkhNjTfmd0rgj9N5k0gqukAiqRBCCCGE&#10;EEIIIYQQQojGDFokxWznWSrPlOhilsozTpMS1KoMfybY5iwWfFICE8KsT4MhOsXpsLge/D+VDsuJ&#10;TSlRK1ef1Ktt/fFU29W1T5w+7r9YrI798X9/HPPHsVS54jRN27TtOK+yOL+43l3lU2dx26Tq3VXb&#10;tBkfTfrMm0RS0QUSSYUQQgghhBBCCCGEEEI0pkuRlF1t7G404QThMCWWmEiTyjMWm7yl8vTHU7+X&#10;yGfsosRvandplWBklhI/q4ShWNAkv1S6uB65MqTqZMfa+MHqhKu2whYWp4/7Ly6/f3Uv/8bCbWqX&#10;bpNyNW2LNuOcsYwQja/U2PEW17vtfMqZjV/KUfUqW7NUvbtqm7ivKIs/31vbsSSRVHSBRFIhhBBC&#10;CCGEEEIIIYQQjelSJE2lw6rEw5QAGYtN3nJiT+p1t4hc/nzEzdTOzNTOULOU2NPG4jJgTUUrLCc2&#10;tfGD1QlXbYUtLE4f9x99XCcwekuNuSblatoWTcY5omRqnOQsrnfb+ZQyxmtq92/OUvXuqm2a+sHa&#10;jiWJpKILJJIKIYQQQgghhBBCCCGEaEyvImnqVa+pdFhOMIk/Z+ehP9dbvIvOizTxsapX3SI8xaJd&#10;Tuyp27lXZ6n6tBGbVvedpAiOTUXSKrG6SbmatkXdOE+NjyYW17vtfEpZXKcmlqp3V20T+9FOUjHd&#10;kEgqhBBCCCGEEEIIIYQQojG9iqQpEcReoxpbLPR5cSUWIauEl9yu09SxXNmbikYIfD5dL2a7Zr01&#10;zR/LvcI3JaBWvQoYq3tdalthC4vTx2KhLz9lp8xehOQ4gnbV2MGalKtpm9aN83hHMmVFvI3LF+cX&#10;17vtfIotNfbIg899urhtUvXuqm1S/VA13pr0mTeJpKILJJIKIYQQQgghhBBCCCGEaIyJpCmhMfWq&#10;WLOUoBILRVhqZ57/3cmU0JcSk1KiiwlGTcuCtdlJmtot24vF7RiLVpQnFr+wVL1826VeMcxn3odZ&#10;SnSj7X2atsIWFqf37R7nWdUnddakXF0JgbGfqh3JsXgd160unzqL60x+qXTxGE3Vu6u2SY23VJ8y&#10;x+L2weJ03iSSii6QSCqEEEIIIYQQQgghhBCiMSaSYuV/V7E6USsWG23XnR1HJEuJJT4Nf8fHOcfE&#10;GQSXlDjjd0GSJj6OUX6/A5DyxIIRFouFZvEu1yrBzFsTMTJVBozyUhfSUP+4fTHfdilhG/P1xh/n&#10;pHzFoh3nxWn88ZTF6f2YiUU3+jXekdnEmpSrKyEw9sMY8McRvFP95+uN1eVTZ6k6x3Mr9YBBqt5d&#10;tU1qbDOuTJjPjTXM/KRMIqnoAomkQgghhBBCCCGEEEIIIRrjRdJY0KwSD81SIk2dpV6nG4uRTcwL&#10;RlhKuGpqKfEqJQg1FblS9THxE+u1rIhP3s9kfKWEsq5F0ioR1xttRVkwxLa4ftggRdJedw93LZIi&#10;xsbnN7FUvbtqGyz21ca8n9gkkooukEgqhBBCCCGEEEIIIYQQojFeJI1FT0RTL2TEhqBVtWssZaRF&#10;fIz9pMSZnKXE27Y+zKqE4LgtKHsqXcpS4rEXdWOhKbXbNmWxMIwhRLbpA4z0qR2dXYukWMpnzihb&#10;XM9BiqQpcbyJdS2SMrd6eXggVe+u2qYqTcrox7j83k9sEklFF0gkFUIIIYQQQgghhBBCCNEYL5Ii&#10;TpUfrWKpnX3eEJWaiDmkSQmkZuTdROzLvfKW3XdtBMNY2PIW+6kSU1OW2gXof0s0Fq1o4/iz2HJl&#10;pV2bCq3kU/XK2yZiZGxx+ricTfs1Nl/GJuXqUghMzYPYYiE8rneTfOqMfq1ru7gcqXp32TZYXfsw&#10;Fil7nG/sx5tEUtEFEkmFEEIIIYQQQgghhBBCNMaLpIh15UerGIKfFzNSxnm8KhVRxIs6CKOIg4gq&#10;qfNiQxhDBI3FFUQXxKAmIhNlIT/yjcVbyoZvylolFJr5evB3W4ErFi29SOqFLcpon1NuX3fybVpv&#10;jL4ifVzvpu0Xi8yUJZXOW1xeP17Iz461NS86NilXLKTGoqUZ/e7bh79T4j1lj9uSv/mM9IwzX6Z4&#10;jMcCJ+fWjbmU2Zzw4wm/jCdra98HlC/20XXbYHxOXr6OlNG3g391Mb78+bFJJBVdIJFUDJh/K22D&#10;iX/F1NF1P/yuNK5dN4X/CbEqjAvGB+NEiEGwQ2l2T83fQgghhBBCCCG6xIukWCzu5XZuymQ58+Id&#10;xtiKhUL+j7Dm02FeVJbNfJNIKrpAImmWF0pjfVVgvxvWLM2uWbTpv5YmBk8/+sH8fTP8T6QYLW1Y&#10;xWTGhY0RIQbB0aXZmONvIYQQQgghhBBdEouksWBVtwNMJqsyP44wv8s0tlicr9rtKJuZJpFUdIFE&#10;0ix+jRWTxwetMXYyisHTj34wXxJJq4nbfZiQSCoGjURSIYQQQgghhOgnsUgav0YUq3rlpkyWMz+G&#10;MHaHxq/8tde2xmmbvmJYNjNMIqnoAomkWfwa22947elM32Xm6/gwH4gpoUk/tB2PpMOGTSRld6jV&#10;fT8+yKCdpOO2OtGmf7tg0PnNZCSSCiGEEEIIIUQ/efHV4/79lTeCSLHCdt19VdHqoEPXX+W4TNbE&#10;4nHU1Dgv5U82c+3lX5/w2suvH39YV1aOIzGESCTN4tfZfsNuPstLu/HEVNN2PA7r2JUQ04zVVSQd&#10;dP9qPHWH2lIIIYQQQggh+smLrx+zQbyri9+JLA+tMHaWxmlksjpjVzK7R/1YyhnjTK/ZlXVh7JAv&#10;x5QYMiSSZvHrbb+RSCqmExJJmyEhphkSSZuh8dQdakshhBBCCCGE6CcpkRRDrCoPB0O80it3Zb0a&#10;r849+ND1i9lz/23FmDLjN28RUs/67EgQVVPny2RtTSLpcCKRNItfe/uNRFIxnZBI2gwJMc2QSNoM&#10;jafuUFsKIYQQQgghRD+pEkllMplsdTWJpMOJRNIsFmDFUqxZmh3nb+C3HL9Y2gul2TEEgh1KS+HT&#10;5azqfPI7ozR+W9LS8ruH/OZh1TkGaUhvv4/4r6VRdvODT+pFHv6zOvBjv71I/TxtfpOR8pPOzrH8&#10;qS9lSmFp+TcHPswngmAVvi6pMlNGLwBhlJF2zPlNMciyV33e63i0z71ISho/LvkbsYJy9UoXcy6G&#10;dPH55oPfhYzL6+dDr1b3e5PkQVv1OrbwT3o/ljjHzyf+5f9NxiltgE9/vvdR19a+HlMFdaBN/ZjE&#10;KJtfU9r0r53j6ed4SuUH9GGcJ383GStNmGz/k4b0/Gtwjh8XVt6qOsZYnX158G/1lUgqhBBCCCGE&#10;EP1EIqlMJptpJpF0OJFImsUCrFgKgrF2nL8J+vpzYiOgG+MDvDlLiSo+CFxlCAJxUN6wADX/Ijil&#10;ymLBZR98H+WDDL4dfFAc7HPyrIKyxEJGylKBeX9eThzw9UEgqcLXxaejTevKmKtjikGVHezzuIy9&#10;jkf73MZSrm04VjUm6+hizhmMY9+WVRaX1wu1vVpubFCnJv1A3ara0a8NQFp/bmypuWTgq2l5qqC+&#10;lm4qqFrfvNla16Z/SWsMYjz5/AA/JkDmLNc3dXTZ//xLmXPrA3nF9YxhPUuda0ZZ/BywvhVCCCGE&#10;EEII0RUvvnrcv6dEBplMJltdTSLpcCKRNIsPuqbwgo0P+hIoJ4hLYDYOBsdiBMFg/CA6WRrO4TNv&#10;sRjiA8AElcnP0uLL58vfKSxwzXFLb74wPrPy+qB0XcDdB+1jQdU+rxKJqKcPyJOOMlAvfPlyYLF/&#10;f5y/U8Q7t+ivKqirpfN5+c8pI8es/ekbPosF4joGVXawz+N+6HU8WlrKY/3HvyZWxEJO3RiqgrzN&#10;h41ZrM2cM6i7paF8Ns4w6o9POx6X19L5NuZv+zxlvk3jdjd8GszXi3/julWNMb8++HP423z5+mFV&#10;O/jsuPWnH+v48fO1SVtPBXFfWvmpi7UrbW/Y8br+9QxiPMX4PPFPPpaWfvZ9Qz17wc7vov8po09P&#10;O1FO/PrPSVdFPEdsTGN+rHt/HBNCCCGEEEII0SWICSmRQSaTyVZXk0g6nEgkzWIBViwFQWKfBksF&#10;on3guyr4631VCSiG33mEvypxwwtTXgAwfIAdI8Aci1+GF+cIPlfB+bl0dqyqjr7MVYFtX/84D3+M&#10;+qSIg+xYVRtaoN3n4+tYlUcvDKLshp1b1Q9txiNYWn9OPJYQUHyaqnLn6HLOMdZIV1UOym9tiKXm&#10;BmPUjtcJMXVt6vsfS81ZiMdASpjy5cKoR5yO+nhRibZIQfvhL1V/8PWqGrfU19IMGkQ9y7utUNim&#10;fwc9nvw4IO+UPz6j/ywdY6wtXfc/hs+4LPzft09qXMdtmBqznOfTYHVtKYQQQgghhBCiLRJJZTLZ&#10;TDOJpMOJRNIsPsiaIhZsqkQNArs+XSqIXiegeLwAxHlVkI+lSwWvfeCaoHJdAN0LKvHORMMLYakA&#10;th1L1dGXt00bxGXxokCqrb0Qa5bqOy9a+br4vup1d1YV/S67Yceq2rnNeARLi1HGKvwYSokgdXQ5&#10;55pQN9faiFp1ber7tm5c+XxTc9sfx6rmthcQGXu94sdtCuqbO95PfFtUrVtVtOnfJnQ5nqzNWbur&#10;BEzwa3LX65XRpv9JW1VeymfpUuuWF4Zz61IsuHbRd0IIIYQQQgghPBJJZTLZTDOJpMOJRNIsFmDF&#10;UnjRIycMgQ8Sp4LjdQKKx9I1ETW8KBXjy1QlNnl8gDoVwAYv9KTqacdSdfQCQZ2A5sWdOADuhYiU&#10;Hwue+/qn+q+qPF7MzQX8e6HfZTfsWNVYazMewdLWtYcvV9xvTehyzjXBlzflo0196trUjmF1oq4f&#10;g6n0vlx1c9v76RXf1inqjvcTxr/lXTdmYtr0bxO8v8mMJz+WqtZiwz8w0GQu90Kb/s89jFM3R7yf&#10;1Lrm8YJrF30nhBBCCCGEEMIjkVQmk800k0g6nEgkzWIBViyFD+jWBWF9wDYVHK8LDhs+HQIo/8+Z&#10;F0n5v6cusB3jhRnEuhgfjK8ScO14XQAcYSeui7fcjiIvoMaiiN9hSbqciOyPxcKfLyt1bbtDrYpB&#10;lB3sWKofgDauS+NpmtbXrxfhwpdrsnMuBW1sYwzzonXKB2Ww43Xl4XxLG7eTP0bfNcH3cVw2X65U&#10;uT25cVQFPr3V+fDzZdAw/v2uQsqSE+o8bfo3Rb/Gk0+HT59Hyiwt1gWx/676v07Q9f1Y9yDBZPtO&#10;CCGEEEIIIUQOiaSyqbSDD13fvvQX/+ca/3tx33f2TqZbXeyBhw4M9fB14rNU2tXRzvrsyIq6YfRf&#10;Kt1Um0TS4UQiaRY/d1P44HNdENYHbDkvxvtKBYcNn66txfn2Ilz4c2Jh0O/Yqnqtox1P1dH7bmMp&#10;X3YsFnO9uEpA3gtpvj4+WJ/afYb44QP2GGIp/VwXvK/D/PWr7GDHU20HTcej0TSt99uLcNHm/Lo5&#10;B7QV7epFnipL+fB51JUn16Z+7jRpbyCdnRPvqmtSd8P7qYIxzXhjjFvaKkvRJI9+4tvXjD7nc8ZA&#10;FW36FwY1nny6ttYLg+x/S5eaB3asiZ+2fSeEEEIIIYQQog2ICV7U6dVWd3FrutpX79yt2HXpx4t/&#10;X/P/WKW96bPZc/8tiFarqwjHmPF1wqhTKm2XdvxJ81bJk/ZNpevF6C/vG+OzVNrV0egfX7dB9Fcv&#10;JpF0OJFImsXP3RRe9KgLwvqAbSo4nhNQPD5dGyO4HYsBvQgXXmyIX/OIIGfHqnZq2fFUHX152hii&#10;RIwvi29vywMRAyinpfPCrq9nyj/Qnn5nmDd85cSXHIMoux1P9QM0HY9G07Teby/CRZvz6+Yc7ddE&#10;9DFL+fB51JUn16beT5P2BtLZOXHedXX3eD8pGE/xAwE5S1GXxyCgv305zKhb1Txp07+DHE8+XRur&#10;emgix6D739JxTowda+KnTd8JIYQQQgghhGjLhJjgv6j1ZDNJCJoO9uQzR3xEkKoyBNOUj+luKUFx&#10;EKJbql1T6XoxiaTTwySSDicSSbP4uZvCix51QVgfsE0Fx3MCiqdpuia0CVwbCH92DoFzEwL95ybi&#10;pbA0qbL78qTaqA1eKPQCon3m+8sEAAQOw4ufdTtDOY7IEgskvfbPIMpux6vK2HacNU3r/fYiXLQ5&#10;PzfnGK++vyg3u3FjYTvnA/zxuvLk2pTxU3WsCtLZOfGu7rpye7yfGC/EY/Zq15icD6g7PkioE/Mq&#10;Fv5S/de0fwc9npqmmyxT0f+WjnNi7FgTP4NqIyGEEEIIIYQYTiSSTj9DII13jtZZyg87JH0adlCm&#10;0k2VpQTFRYv/+0fSXXzplqukmawwJ5G0d5NIKqYzEkmz+LmbwosedUFYH7BNBZm9r1Rw2Giarglt&#10;Atcev9MRQQ+8sFe1KwssTarsvjypNmpDSrT1bef9p0RFEzxygm+KeNeVtU8bBlF2O6dqDPn8moyz&#10;pmm9316Eizbn5+acH6+5MtfNW3+8rjy5Ns0dq4L+tXPistWV20N+ljbGj69c/XI+oO74VMA88+2E&#10;xQ8VNO3fQY+npukmy1T0v6VLtaMdw2IBOmZQbSSEEEIIIYQQwwliQltBLmV63W535n+ns6ml/KwO&#10;glaT3ySNX4+LxWnamETS3k0iqZjOSCTN4uduCi9s1AVhfcA2FRwnOG/Hc0F2L6Bhk6FN4NrDDik7&#10;z17f6IXTqt2LYGlSdWR3lx3vIqjtRSTKZH2AiOnx9UHg9buneimHF0x6rUe/y25pqsZa0/FoNE3b&#10;Zs6k6GrO+WM5ITvnA9r0tS973E6+vbE6AShOH1NXbg9lqfLjj5FnFTkfUHd8KvFCYNxWTft30OPJ&#10;z/t4LHXJVPS/pUvVy/uhDXJ0fT0RQgghhBBCCOFBTEiJDFg/xSRZtf2X//K/rdLm/J/dlOwwtTQI&#10;b/weKQI35s83W10ErTqTSDp9bHUZUxJJhxOJpFn83E3hRY+6IGxdcBzsuH91agovoOUC8nW0CVzH&#10;+N2SbQS1XDof+K9rgyb4V5jSTtZu8e/yeeGZY/48RMe2tBkXVfS77JYm11+WpklfNPEHk22bruac&#10;P5abQ178T81bXx7Ethw+baqd/Lyuq5sXgFL55uoeQ1ksbYw/ViWSMQZt93LKB+TymGpybdW0fwc9&#10;nuKHZXIC5mSYiv63dJwT48d96rhBH1g6rG4+CSGEEEIIIYRoi0TS6WUpka3X1+SuLoJWnUkknT62&#10;uowpiaTDiUTSLH7upvAB7bogbBPRwo7n0oAXExEr64Q8gtsEsmMmI1z43VfeT04gAH9OCi8U1YlO&#10;kKt7LN7a3wiJMf64/V0lDtKXpKkSDXzbpPJqQr/Kbvj0VVgaLDceoYk/aDNnUnQ157yYnCoz88X3&#10;Y8oH+PIwF1PzzPBpU3nGwk7VXPJlx1LjsMl6Y9iYwWK8qJdqb/L2czblA3J5NMGveQhlbSBvzqnq&#10;Gy/wxetJ0/6divHkBUP6IJcWenngYyr639Kl2tGvi1hqjsTzA6tbK4QQQgghhBBCtKVrkZTdjuxw&#10;5Nx4RySf8XrVBx46MHkuxutW/XnsoOTza67ffsXvdHLcC4f+tzd5ZSufUQ4+N1+cm8qXz/AV15X0&#10;nJ8rqxll47c0ydvOJ1980hZ+B2idTVYkpbzx+VVG/ey8XtqdvKgfdbc03qg/6XNt6Nsd/+Rnx3x7&#10;5sz6vKnFfY2l0mFt+7apSNpF2/ky+b6k7+J25XiTV2KTH2m9b3zZeIjbjv/HPrzl2s98VlmqftQB&#10;f/Y5f8fnYRJJhxOJpFlWzJvwv4/iA9p1QdgmooUPSBMgJwjOeQTx42BwHHDn/6TBN4aowLkWwE6V&#10;bzLCha+7t7pAvaVLBcCBQD51t3TUnbJbvTCC4NTX0uXwAohZSlRKBdarxBjfl5SDtrY2j/uwrj1y&#10;9KPshqWr6gdoMx6b+AM/blJjso425/t+4jwP7ejHGXW1fqQ9U20f+zBS45W24nPfX77sVe3k5yTG&#10;/LV259+4XFVCaq7uMT7PGC9OYpQBf5jV0R/HUuTyaIKvT90Yi7G8bQxb+Wk7L/BV+W3Sv1Mxnlhb&#10;fPk5TjrL1+rIZ5Z/VZ5VTEX/W7qq/iBfS2PpaCPMt7O/RnJMCCGEEEIIIUSXdCmSInoggMTnpAyx&#10;NOUjFpkQivDrP8O8OBOXE+EqJTzFYlXT8laVlXxSbRRb1fkpQwSKz6eMTQQuLCXSVZlvw7btjvgV&#10;H6syyl8liMVpvQgbH8uZ91lnqT6L0/Tat6n2j8ddP9qOsjJGUuPeW5UvLNXf3lKCrh9D3pq2H0Jo&#10;1dj26ax+qfmaOlci6XAikTSLnzcpCBTb8bogLMctbVWgOhYIvRFoj4mDxTlLnd8mcJ0iDvwjDNRh&#10;aasC4EA7pESFlNFeOeI2wm8KxAefDkMgSJHrJzOO97Jzy9OPshuWrq4fmo5H+zznD9rMmRRdzjkE&#10;JDueMureZN7m/Pgx4Mte1U4IX16crjLKViWQQpNyG3XrQPxARmwIdT5Niro86vD1qRtjMXX9jFGH&#10;qgcamvbvoMcTUGbftnXWy5o06P63dFX93KTOtDPE/xdCCCGEEEII0RVdiaR1AkvK/O43s1hkqhJ9&#10;vDgTl7PqHC9WtS2vF+/MKH8qbWy+rE2sSrilDPHOxdhSIl2V+XK1bXfKkjpeZdQptSsyTjddRNJe&#10;+zbV/n7cYf1oO8TGqnETW8pXG+HWW2psVz2kUGWUOzWufZpc/eLzMImkw4lE0iwm1BHcTkHA2eZV&#10;SoT0cNzS5gLVHIt38PH/qgA+6QlQ+x1FGGUnkExwuCo/y6eqfnX4OmF1YgyQF2nrBFXqi1hAHewc&#10;Mz6jzhyvaheDuvvzER6r8G1YJUga5Ev942A9/+fzunI1oV9lh6b90HQ8tvFnvurmTIo25/vxyXkp&#10;+JyxZHMdoy2ZN9TR7xCs8gGI0nEfxP3ly57rS2AuxeXCmo6vJnU3rH+pZxXUj3TWFlYW5iDYjsMq&#10;H03yyOEfGOhl3NCP+PB9RFkol9UhR5P+hUGOJ4/1Tzxe8MHntBl598og+9/y4Jwcdn2w8nAebe/r&#10;ab56GTNCCCGEEEIIIXJ0IZKmdj82tVhAairyeXEmVc6UWV69lteLS/ydSpOylJCUszoRDQGvavdd&#10;m3J5kbptu7cV+jBeL2v5mcVpvEjqX7eaM9J5n3VWN64n07epdozHeL/arqmldjY3bevYUmPbvw63&#10;qaUemEilS1l8HiaRdDiRSCqEEGIag7hoYhf/1gnEQgghhBBCCCGE6DddiKQpUYTPvJCHUJTaXRb/&#10;pmCVWMe5Jjbh1wuWqXJiiFHsUMO8UJUqr6XlOP+mhCwvLsXlRGSKRVR2q1K2lABUZ012MuLb5xlb&#10;3C78P5UOa9vu1I2dfZSTv31f036pnbqp/OM0XiQ1S/VFnKaNxe0S+5tM36ba0drPrF9th+HXfisV&#10;Y8zGaWJfqV2k+LFy23xI7eSMfVGXOI0fQxh/p9YC8vG+4uMYZaB9OE4/+LbzJpF0OJFIKoQQYhrD&#10;Lky7p2HHohBCCCGEEEIIIaaayYqkCBtxmpSgY2lTO9Z8mpTIhDASCyjeUuVMiW1YqrxVaWOh0tcr&#10;Vc4qwaZXSwlcsXnRKLa4Xar6Beul3ess135m/jg2HUVSrGnfps7ls1TanPXSdvRXqpwpQdIfj/PC&#10;UmXGN3n4dHG54jFbNYYQOH06LM4zPp5KU2USSYcTiaRCCCGmKX4Xad3rV4UQQgghhBBCCDEoJiuS&#10;pnah8VmczoxdbnF6L3zwd3w85w+Ly4kolEqHpfz7XYJ1ae1YSmzFEJzqytvGKFtKxIotJY7F7ZIS&#10;2sx6afc6i8XNVP7+ODYdRNLJ9G2qHfkslTZnXbUdVtd+cXvk5k+cNi5XfJw288e9xWnj8vtjWOo1&#10;wVUmkXQ4kUgqhBBimmK7SPWaXSGEEEIIIYQQYjoxWZG0rYBVJyL1IjLVCTfeUiJtG/O+cjs92UFH&#10;20xmJ6Y3xFLyi3fymaXq3KZdeml3DHGWeuK77nctU/nHaWKhDGs7xuosbpeUv177tk07DqLtsLr2&#10;i8dUG2EzLlfV+GxicfnrjudMIulwIpFUCCHENAVxFNNrdoUQQgghhBBCiOnEsImkqfK2sdhfTkzD&#10;EI1Suzx7NYS51G+qYvGO2Dbt0rbdc+WoslT+cZqUENZ2jNVZ3C5V/nrp2ybtOMi2w+raLz5W5Qer&#10;G1P+WFuL8607njOJpMOJRFIhhBBCCCGEEEIIIYQQjZFI2twQtlI+7ZW4Vbvo+LyrHaVmqZ2HcTu1&#10;aZe27Z4aG3WWyj9OkxLC2o6xOkuVPZUOa9u3TdpxkG2H1bVffGwyO0n9sTZGO8btFKepql/KJJIO&#10;JxJJhRBCCCGEEEIIIYQQQjRmsiLpxZdu+ZE0bX+T1O+AbCvWYXXCjbeU/y4FTNojJWDyeSp9r5YS&#10;vurEuLbtUtXu7J6M01KeeFdlXMZU/v44lhLCUnWN07SxuF2a+mvSt3XtOOi2w+raL26PLn+TlN24&#10;/ngb836wqvqlTCLpcCKRVAghhBBCCCGEEEIIIURjJiuSpkSfqh2XiJGxyMT/fZo2Yp1ZnXDjLVVe&#10;hNtU2l4tVc+mAg9lQaSqqzNpvH9sUK/bjUW3KlEtfl1tKn9/HEu1U53I19bidmnjr65v69px0G2H&#10;1bVf6tW/qb5n7sQ7auNyxb5oq14fQvB+sKr6pUwi6XAikVQIIYQQQgghhBBCCCFEYyYrkmKxaIQh&#10;lvjdcewuTQl7sfDRRqwzi8uZEpS8pcpLOeLdfPyfXYIm/MT1QTBCzKJ8Xgji/72KpF7Qoh7k731T&#10;hpSolRLbUv1nbYmg6tuVv6vSxubLaOZ3U1JGXtkap0n1S5wm1U6p/CwdbZPbuZyyVLv445Pp27p2&#10;HHTbYak8/fHU7m7qaOVmrKR8YHG5qEuchrFJm/p25G/808bkxZj2frDYT1X9UiaRdDiRSCqEEEII&#10;IYQQQgghhBCiMV2IpFUCSp3Fv+eI1YlMKYvLmRKUvKWEnCZWJ3blrKmQ12tbpvzHuxFj8+3Upt3J&#10;K07bxFL9EqdJCWFN8ovPyVnduJ5M39a146DbDkvVxx9nDsY7RJtaqlyphxDqbDL1S5lE0uFEIulw&#10;s+bsxf+yzuz5a2CzZo9+DFt73sgSbNa80aXY2vMWHIbR51gYM6WVf98xa+7ImLfyvMdiK30sNyv/&#10;/27KfBpv5bHHVvonv9E7XP5leUZODTZR1o/Pnj8Hox7UaaKaQgghhBBCCCGEEEKIruhCJMVSu0Tr&#10;LCXstRHrzOJypgSX2FJ1qzNfjjZCWpPymLUV6DB2HqZ8pdrSmy9Xm3ZHVBukENZExIvPyVmq7/3x&#10;yfRtXTsOuu2wVH2apElZPM9T5aobdymbTP1SJpF0OBlmkRQRzYtqJqwhHE4kmRZQnpSYSbnXdoLm&#10;SjET4XCloGkiI4JjEB3Hxcd3U/06U22l4LpSaKWdQntNiKsSVmcGfr7YXGGOTLd5LYQQQgghhBBC&#10;CLHa0pVIiviTeg1syvyrPGOrE5lSFpczJbjERnnrdlp6Q6Tzv/nZdEcgZSEvn3fOSJtq95RRprrf&#10;U029utXMt1Pbdue1sHXCZZx3ql/8caxKCKvb/Zs6p8pS7euPT6Zvm7TjoNuuiUiK5cYKxvymvv6z&#10;VLkw6txGDGYuxj7iNBJJRR3DLJKOiyfp+q1qK3c6IrSZmfg4buPiW3Pz5666A3OliDlcQub0sok+&#10;n+gvE1URVMtjSySqdk9K2MTG2/yju5n93Gk2ZxYcNpGVEEIIIYQQQgghhJgMOZEUAc6LOVWCiDcE&#10;IASPeMcZggkii//9xZQhRHpxhb+9OJmyWARqI6ZYeVPCGZ9RZtohVQbqgrBUVdfUTtmmVlUu802Z&#10;moqvlNOXkT7FB3lYml7aneNxX5tvq7svP20V+/DHOTfXZghv+Lb0GOe3bed4vKTK1WvfxgJoVTsO&#10;su343JeJPFPpMNLGbcz/vdDry5wqlxnjk3bkfD+2MP5P+WmDqnK3GRuxSSQdToZZJEWQSdVteG3k&#10;H6X9M33MbOGE8fdIZHHalTZr7sgqVvW5P7aqxZ9bGaaPTQh10W7V8VcC247V8vgqAuugRNbU7sp4&#10;J/KqYuTK3chYWCfG67NC5F9r7ugPy3OeLP9+uqz/L7Hy/29N2Nul3z9hs+aN/Lk858Py/L+sPXf0&#10;r+X//+bbbVBGnSaaQwghhBBCCCGEEEJMhpxIKpPJZKujSSQdToZZJEU0StVttbC5I39fe97IP2bN&#10;G0XYLP9OpPmImDn++axKIXKYbPqJrNhKkXHkV2WfvVz21TNrzx19cqUFEfbp0h6d+Le0kWdKW46V&#10;57yBlee/G8TJ0lbNw0TulPl0M8/KtrpjYuqLj7JmaRuU9q/hf2J1h/60h+b244Mp4KbSyP934X/T&#10;gy7bZYfSzBd/CyGEEEIIIcRwIZFUJpPNNJNIOpxIJE3Xz1u9qLiqCJk3S1t9DvnV5ymTDauZqLty&#10;DjWbMyOPTUx9sSqIRSb2fJMPxGoPgrf16dF8MAUwlqwM04Uu24Xzu/IlhBBCCCGEEKsfEkllMtlM&#10;M4mkw8kwi6SQqptM1tZWFegkcKfNdquubJ/BPgww8u7EtBer4sUsTKz+SCRNI5FUCCGEEEIIIbpC&#10;IqlMJptpJpF0OJFIOvLuyjpJ3JJNnVXvhow/s52UJjpO1mJ/5Ge2Ml11+VYfY/f4xNTvlTNKM2GE&#10;V3fOBEZLszpRvxQzsd6D5N9K47WztB+voe03EknTSCQVQgghhBBCiK548dXj/v21N08oZLKZZinx&#10;TDYcJpF0OBl2kXTWvNHlK+u0egtAMpksb7Nmj35sYur3ihd+EFyGhWGtd1d4cY627DcSSdNIJBVC&#10;CCGEEEKIrnjx9WM2SIkMMtnqbq+8eXzyc9nMN4mkw4l2ko48lqqfTCabeSaRtGckkk4OiaTTA4mk&#10;QgghhBBCCNEVEkllM9Ukkg6vSSQdTiSSSiSVyYbFPj57/pyJqd8rEkklkvaCRNLpgURSIYQQQggh&#10;hOgKiaSymWoSSYfXJJIOJxJJJZLKZMNjI0smpn4bdijNxJCcvVBaFfjgtyjtdymxh0vjtz75vcoc&#10;ds5+4X/jvwnqBSj8/mtpBv+3z4FjXyzN0pOv/11R/rZjlgd0UW98kzd5+nMof5d1b/K7qh4vllG+&#10;ttA2vhwYdcSXF5FpG5+myvAXgx/qErddk3HTRAwkT2tf/k1BHnEZSEu7p8rsSYmklMvGJ0b70GZ1&#10;48Cgr63trezmp0mZmrSLQVrK5vMhDz6HNiKp+fLjwepu/qqw9uJfqJvPgE/S99JGQgghhBBCCNEM&#10;iaSymWoSSYfXJJIOJxJJJZLKZMNis+aNLp2Y+m1AoDOhIWcpoQnxIha5UpYTLiwNQgzp/HlmXmgx&#10;cYp/yd8LJWZe1OHc1OeTqTcgrqXSx+aF2RhLU1d3RDb/mReNU3iRKZd/DH7r+pN2N1JtnzJfhlgI&#10;rjJ8x+KYUdWnBud5XylhmfN8mpTRFlVt7etAGhP7Upari8FxLzJWGWWqEl3r2sWoG7uMH98+Vb7q&#10;6m2Gvyrazmc/tqtMCCGEEEIIISYPYkJKZJDJVnd76fVjL33tteM/Jhs+W778lH+ZWOLEEDHsIums&#10;uSNjqfrJZLKZaAsOm5j6bUDoQFzBvECGsGWfY7HIw3le0EDkQOgjLTsfYyGGz1LYcb8zDLEIYQRB&#10;hL+9KGSiCmW18nIe+WF85kVZymN5eLGl13pDLAxxPr59mf3xKqHSjjepuy9jTnQG3y/UsylegKKd&#10;6TNrB8rEZ5TVoG04Rv3sPMpp55j5MuDHp/XtTb2sfzHqn4K0lgZ/nlhoo04xvgw2dqwMlMe3NX+n&#10;8OX06Wkf6z9fjqq6AGW2dBjncT5+MJ8Xhq9Uv+baxfB9hVF2y8fXw5e9ylfcV74vOcf7oI1TmA/y&#10;tvytT+L5zL/mj/z4v+832j7XzkIIIYQQQgjRHImksplqL79x3KkTw1wIMQQMu0i63Z77v5uqX51t&#10;sePS4pY77iqeevqZ4pXXXi88f/7ww/DZTx95rNj30KOS59fZCaedXfzggZ8EP/jzeP+kS50vk8k+&#10;arPmjkz2HseLHggPObxQWCWiePEH4SOFHTdLiVqeWDBCRMkJgdTD0jYRe+rq7UUm6pRKT3m84Iil&#10;dv/541iu7l4gorxV+FfzekGzDsps59GmbfBtnCsb0H6kybWz74+UuF7Vp7SxF+ZS7enHJIJa1a5M&#10;P74pc4wvo/nCtycWbE3s89DunGtpKHOVAFpXt6p2MfBb54My+jRVvvw8oK1SZY7rFrcPxO2Ym88m&#10;omL/P3v/AS9Xeaf5vr5nzpzpuXfOac/pE+7M3L7Xt+fMTE/3TLe7beNsENgEATbR5GiiMRgbbDCY&#10;5IDBJhiDySCiJEzYgCSCsSQEImcQ2SAwUSCSkAnG9jrvs/b6137r3e9KVav2rvD7fj7PR1LVqnfF&#10;qtq1Hq3aedMAAAAAQDMoScmwhpIUGC2jXpJuuctetUpSlZ4qRuvQ9CpVY+OF0fhh6VpG01cdn5BR&#10;zhSWpCqWbDo9poiKGJs2VnjZfUpZ4Sn+MqrMiRUvvrLiSKqut/gFUt7VscYfN3Ylnd2nlK277vOn&#10;zyv3/O0dK+Xy+Nsp76q/PP5jy46HKvxCOLbPYvtU28cv0WIFoPjbp2hf+8e4xg35+1ZFYN6+07a0&#10;6WLL5JeNsfn4/PVWwnnGtovPn1fRfgrL3dhYVn5quqLj1t+XsePK345lz2ebrmw7AQAAAED3KEnJ&#10;sIaSFBgto16SbrT1LpVL0rMvmJ3VkvWteOXV0iJTV4WGV41WpcdRlBJSnCksSVWa2HRlRZx/ZWOs&#10;bLH7lLLCU/xljF3hFyorjqTqevtjqSQq4xdEsentPqXKuvsFX966W7lVVl6F/FKwqPSL8bdLUflW&#10;Vdk+C+/XslYpSMWmqbL//DFD/jFTtO/Kto0/TpVS28rJ2PRl263OvPxyNxzLn0/RthbtG5u2bP3L&#10;ns/+uld5vgAAAABA5yhJyaDml6dvah+e05x/8VZt91OSAqNl1EvSGRtt/nZs/WKpe4VnSFeUxsZV&#10;VHB2WpAaLV9sbELIeKawJA2LDU2bl7Kr14rui/HnXYWWwabvtiTV4226Kldb+gWRErLbq667XzjH&#10;rqbz7y8rr2L87aBCquxKWeNv46rr4lNBa8eL4h8zsX3mz0/3+8tdtN7+47T9/HnG4pek+rfPn2eR&#10;spLQ7lOqFNNVy8vYdvOvDs27Etn4x3o4ln+ftre/zWKxaZVQ1e0o/ny1LjpOqmwzAAAAAKhv1EvS&#10;K67aMfn/feTf2oewZN9vfjY6XafReDa25nP9wt2i05H60b6zbWvb17+fkhQYLaNekn5mvS93VJLq&#10;ylD9TlL/d44ef8rp6e1F8n5HqX7/aMyTTz3d9ntH9fi8aSVvfELItJWkdVJUEsXui6lTqohf0sSK&#10;I6m63iqEysYK2fRKWEzZ7VXXXfyr6cLx/OWrWnD6dHWeX6Qpmp/WtahU87dx1XXRlYz+7/3MS2w7&#10;+/Pzt4dSdTnrJjwu6hyHNl24bbSsdl+VccQvCsNC2F+/2Haz+5Qy/nzCsfz76iZUZzuqEPWLa0XH&#10;q7YDV5YCAAAAaNaol6Rrzvgb/8NXmqaKTI0Tjq35xaYlneUf/vHftW1fXV1q91GSAqNl1EvSNdaZ&#10;+W5s/WJROfnmW6vSMjR2v1J2Reg1NyyKPk7jhoquDNU4MfpK4Nj0hJBGXrf8wiIshXz+dHUS+zpN&#10;uy8skPLUKVWkrDiSTtY7b6yQTR8b226vuu7iX0kYXs1qBaf+7JSKKL9s9aP5xa7c87dx2bro8f52&#10;LEtsO4f71B8vdoWt8R9XJypiw/X251nGpgu3Tbg8VfgFZdF4se1m9yll/PmEY/n31YlK8VCd7Wg0&#10;/7DMVzRWUUkOAAAAANVRkk4uSXWFYmzaugmvdFQoSZvNT366Qe72pSQFRsuol6Qfn7FB5ZK0au68&#10;576sspxMRWvsMTF50yq6YjSm6DGEjHqmqSQtmq4KGycsfPLULVXKiiOpuj7+lY95Y4VseiUs2uz2&#10;qusuumLOHqfyzvhftVvlq4DLqGxSqR1eqRlbVn8bl62Lvw01tq4oDYutsn0W3q/t6pdmeetfZznL&#10;+MdMmbx5+vuyyjii9bXpw/Us2252n1LGn084VtF9ddXZjj7tcx07/uMVHQfh8wwAAAAA6hvGktT/&#10;+ty//Mu/mPS7Kv308krSWEm68Vf+LjrtsEbbUvvA1l/75pY79olO20k0lr99FRufkhQYLaNekq61&#10;0RatkvQTMzaYtJ6dRFdz5mmqJNUVqzH6CuDY9IQQStIcZcWRVF2fuuWQyhqbXgnZ7VXX3fhfOWpf&#10;M+pf/dn0V4+qjPJLSP3b52/jonXxv162qMwq22ex+/3blHAZpepyVlHnOCyap91XZRxRMWrTh9um&#10;bLvZfUpZkajH541VdF9ddbZjHq23/5wIv4YYAAAAAOobxpLUrVZbDjls7eh0igpUfidp7xIripu6&#10;UtcSfuWuri7V7ZSkwGgZ9ZL0s+t/5YPY+nUTfR1vnjoladHX7aoMjeF3khKSnwZ+J6lftKl4yFNU&#10;1NRl41QtreqWKmXFkVRdbxVvNl3R17oaf/qigqzquhtd4WmPtasJrcT0ry5tkr8u4Xb0y8+idfH3&#10;RVGRVbbP8u7X3+12bY+wLC4rreuocxzadLFt41+pW+X3yPrTh8dq2Xbzl7lsXkXPcf+q5brHbqjO&#10;dixS9RgEAAAAgGpGvSQlvc1UlKR+Ea2oNNXtlKTAaBn530kaWbduU3Qlad7vJH3yqaezKdo99PCj&#10;k6Y99AfHRH/vaWxaQshEGihJ/ZIpdiWe8UuSbks5G6dqsVG3VCkrjqTqeoclW1hShfyr22Lj2n11&#10;Sx1/ObT9/f2Rt47dKtuOdl/R8eCPUVSS+iVwbF5Fy+IfH9r+4RWTZfukqjrHoU0X289+GVl2HJQ9&#10;78r2UdV5+YV4bKzweRB+XXIddbZjGRunbDsCAAAAQDlKUtLLTEVJqquBw3k8+Oi3KUmBEUNJGl+/&#10;blL0O0lVcMYeU3T1qa4o1f02Xawg1W36Ct5wXELIRBouScuKhrpfb5n3FbBV52fqliplxZHUWW//&#10;qtPY1YqiEsmfLq84tPs7KXXC3+1pf++0sNI20HLkPd5fH5WYIbtP0TaP0bayafK+btcvSJXYPiva&#10;pxrT3x7hsekXjXn7z6ftEVvOOsehTRfbz/4VkErec0nrbFcLK7GCt+xYD+cVGyPc/kpsLL9wjZXR&#10;obztXHU7at20X/OOLb/Y1XMDAAAAALrjl6T+187usPPHWiXUL0/fNP1dmnaffsek/l1WdumrZVVQ&#10;6vd++mPbGLpdY6vQynu8//ssNa1uVylmX7Gq+zUP3WfTdRN/vWOxbeEvl5bFvuI1jP87T/WY8Pej&#10;5q2jtonG9L9KVttQy1f0Oz31OI2h6WK/b1Xj6b6ir/3V/Ta95mm3a3+H665/x37nqz9GWcL1sXXQ&#10;8vvz0rJofraN/On98RQtKyUpMFpGuST9xzW/8uHYunUTFZWxElPefGtV9DGWvK/QNSpLYzS/vPKV&#10;EDKRBkpSv8RSVGCoIFFxExZ9mtYvbXS/plWJYVHhosfadDH+vKqoU06JlsOmj5U9Ume9VQb56+1P&#10;b4/x79ff8woi//F1hVf7KSqrOqVlt3G0DioTte30p1/Ian1ihVg4jUo0jant55dxfrmuv+s+zUd/&#10;+vvWojFCZfs03J9hqav18+/Xv205bJ01ri1rbB51jkObLm8/a3ybRtE20zLpdn85LLovpmy7iF9u&#10;Kv6xq/na7f42io2lY8BfLtvndtwo2qa6zcbVbaGq29FfNz3G31/hOsXmAwAAAAD1+CWp+2crKqhU&#10;PsWKNj95v8Mz/ArUoqj8ipV24VWIeWWollH3hbd3EpVy4XIoWr6w6A2jAjIs/MJpwqtaY+tYNi8t&#10;Y1gUKpq3XyqWJW/fhftcx4HKSf+2MCpFi8Yoil+2V9nOSljMhuut7UhJCowWStL4+nUa/c7RPCpB&#10;Y4/xo2nyStYYFadcQUpI1ay/f/b070ZYIFlUgoRURvnFSlFijxe7P69AClUtVYxfruQVR1J3vcPi&#10;KhZtm7yCVGy6quse0rL584td4VmVljMcL4zuz1ufosf7y1VlPv7VjLF9VmWf+mMo4XKHxVpRYtu1&#10;znFo0xXtZ62HTVcULXeeKttF5aa/7LHYY8N/h6qM5Sd27FTdjmEpmxeVpwAAAADQvbySVEWVfxVj&#10;UWJXEtYpyRTNKxwjLBDzlqfJklQJl0PFXdXyMSwLw/vLSlKtS5V5aZqwkA3HqpIq+67qceAXt52W&#10;pFUKUiXcjuH8VOpSkgKjZZRL0k+uud5HYuvWafJ+V6iseOXV6GNi2eOb38m9atSnK1Pta3gJIVXS&#10;SEkqKkX88lPlRF75oPJC96nsCMsv3abyUfdruhh7TNWvyLQrFvW4KlTM2PKUlYh11lt0n5bHX2/9&#10;XbcVPc7UXfdQWPTlbeOq9Hhto7D40r91e9n42ta2fxTbFuHj9G8tu196abvrWLGv+7X7Yvus6j71&#10;i+9YuahxNE1YvmlZtM46HmLFnth6VjkOq+5nrXu4XRT9W7fbtslT51i356xNr2X0t7/YcpeNZVcb&#10;+88dRcut2/X4vGWvsx0l9pyrun0AAAAAoLq8krROVNj5hZVSpySzhFeTVi39NK/YFaadxl8Gpc66&#10;aFr/seH9ZSVpnagI7HascAylk32n+EV3J1+3W2cfhtsxvNJV60BJCowWStL4+tWNruZUERpT9+tw&#10;r7lhUa2rSZ986mmuJiWkQj6x9syds6c/RoMKI/s5t6yAAwAAAAAAVZWVpCpAVV7pK1c1jf4eu9Ix&#10;vCJRJZmuCtRXuuo+/6pH/T32dbxVC0SVcXb1oYrV8IrKcPpwXD+6L5zevz+2DFp/f331d7vasqmS&#10;VOPZPLTtY8up2H5RtB10mwpD/T5T20YWjRe7UtOfRskrSbXPygrNcKzY+oXLZQnXUevhr5/2tdZL&#10;66D5Fz1WoSQFRssol6SfWHPmR2Pr1klUVOap8jW7iorOKleQxqig5feSElIcStKR418JqKv5AAAA&#10;AABAE4pKUhV1YQGpqKgKpw3LvyoJC7sqBaIKSr84iyV8TNGyxco1//7YFZHhFa+KlknThvMKH1tl&#10;HTVObB3DqyWVvMIxL7FyM5wmVpKGpaQSK7rD5YmtX94yh/tCx0fZvrbE9iMlKTBaKEnH1+dTX9xo&#10;0jpWzUMPP5pVlZPpvthjwugrdvOuHtUYKlD11bpFJaqKUq4oJaQoG2ySPf0x/PyvVq36VaUAAAAA&#10;AKCKopI0LPQsKq7CacMrKKskLOOqFIj+FZx5CR+Ttx5KrFzz77crRC1119N/rFJlHfNKRK17OG3R&#10;usUSm184Tbhf8ta5yrJ3u34qxVXGxoppP7H9SEkKjJZRLkk/tuZ6a9n6fPpLnZWkTRSkSt5X9cau&#10;QtVteYXqnffcN2l6QoiFknSElP2+TQAAAAAA0KlOSlIlvAo0r0hT8aWSS/fHvqbXTzcFop/wMUXr&#10;ESvX/PvD+4rGiqXs8XXW0b5O109seTSdrvbVladhyRtL+PjpKkmVouWNfc2uJbYfKUmB0UJJOr4+&#10;n1t/k0nrWBaVlXl0xWfsMbHkjaPfTRqbXjn7gtnZVO1UnsamJ4TMTPScz57+GG5/5eL/fPs3LgAA&#10;AAAAoCmdlqRlRZqu/KtS0PnppkD0Ez6maD1i5Zp/f3hf0VixlD2+7jqG04bjxdanLP7jleksSXWV&#10;cjj/MDquwq/hja03JSkwWka5JNVVZbY+n1nvK5PWsSh5JaXU/drb2O8zrVJ25l19qq/ljU1PyKhH&#10;X7GdPf0x3LZ2sZ9t5+oGAAAAAADQoF5cSaoCq+yq0Vi6LRAt4WOK1iNWrvn3h/cVjRVL2ePrrGPZ&#10;laSxdakSfx7KdJakFk0T+x2slnCZYutOSQqMFkrS8fX5zHpfnrSOeTn0B8fkft1tJ78XNPZ7Rqtc&#10;iXrTLbdnU7ejJCUkHkpSAAAAAACABnRSksbKOhVadr++6tW/T4WpviZVj/PHCcu4bgpEP+Fj8tZD&#10;iZVr/v1h2ZtXGObFf6zSzTpqG4bTalvb/eGyap+EY8Xm59+v9ENJalHhrm0WK9394ym2HylJgdEy&#10;yiXpJ9aeubOtz6e+WO13kqoAbbIgVWIlqcaKTesn7/ehqsSNTU/IqOeTa673kezpDwAAAAAAgE4V&#10;laSxrzVVYoWUX/6FJZt+J6n/eEv4dbzdFIh+wseE4/qJrYt/f7guir5K2J/GovX0y2IlfGyVddxh&#10;54+1TWOJLYttj9g4sX2n3xEbThdO008lqUXbvGic8KpTLTMlKTBaKEnH1+eT3rrlRQVo3lfcdlqQ&#10;KrGSVIquCN3jm9+JlrX8TlJC8kNJCgAAAAAA0ICiklSxq0B1v0q38CpRi18chiWbvprXL7RU1MUK&#10;v16VpJq/XXWo5fSXtawkja2vtonWwabRMtn6hIVi+Ngq66ioQLZ11bKrOA2n0XIUjaPS1opSjaF5&#10;x67ItDEs4b4J18kSm6ctc9E0KjRtubQd7e9aXu0rbXN/HN0fK3f9acJl1jwoSYHRMtpft7v+/rY+&#10;n65wJWlemaliUqVl7DFVcs0Ni7KR2mlcfaWuf2Wo5vOrsatzr2bV1aX+2ISQifzjml/5cPb0BwAA&#10;AAAAQKfKStIqCUs0lV2x6crSVEkaXqEaxp9PWUmqgi5WLOalqZK0SvyxtJyxaarEXx6lyZK0ynLZ&#10;Y8L5lsXKVSW8T9uGkhQYLZSk4+vzhQ02m7SOflRUNkXFpz920Vf41qExOr2alZBRSPbUBwAAAAAA&#10;QDe6LUlVIIZfPxv7atQqqVIghiVcLLHi048/n9i0/lhK7HeB5qWJr9utkthXIYdfOVs1/hhKkyWp&#10;UlZ+2mPqlKT+dtRVsuH9uvKUkhQYLSP9dbszNjjS1mftjbectI5+9NW3TdEVqeH4KmG7KUr1WH4X&#10;KSHFyZ76AAAAAAAA6EZRSaorQouuygy/dtZPlWIx/ArZKgVirIQLo/KwaLnrlqRKlfXRV8WGhXE4&#10;TZV11NfNFl29qnUL56OUrbei+8NpwnGaLkm1rEXrY4+pegWypvPHj30Vr7YFJSkwWihJx9dnw612&#10;nLSOfnpdkioqOfO+0reIvmK3m6/7JWQ0ssEb4898AAAAAAAAdKWoJLVCTwWhX6ypDFRRZb/nMy8q&#10;v1SEanr/sbpNxZmKLL88s999atH44WPL5mnR2Fr+2Lx1n00Xlp/hlaB+NO+wONby6zHhslv8wjFW&#10;KucVjbHl13xVoPrLH0b3aZpY0anbNY1fDGv8cAz/fsWOgzCx/RMrb21abXt/f2t9/LFt2bU9/XFt&#10;Wjtu/HGVsFzVtLqdkhQYLaNdks480dZn5leLS1J9je2bb63KasnuhF+3G0ZlqaZRYRqb54pXXk2e&#10;fOrp9HeZUo4Skp9PzNhg4u9rz1yePfUBAAAAAADQjSolKeld8krS2LQknrBQtTKYkhQYLZSk4+uz&#10;7mbbTlpHQshgh5IUAAAAAACgByhJpzeUpN1FV5aG28+uNqYkBUYLJen4+qy54WaT1pEQMkzZ4L7s&#10;qQ8AAAAAAIBuUJJObyhJu4uOUX/b+b8/lZIUGC38TtLx9fnMuhtPWkdCyDCFkhQAAAAAAKARlKTT&#10;G0rS7hJ+1a7/u2EpSYHRQkk6vj6fXGfDSetICBmeuOf74uypDwAAAAAAgG5Qkk5vKEk7T7jtVJj6&#10;91OSAqOFknR8fShJCRnGeL+TlJIUAAAAAACgGX5Jqq8qdTel+cu//Ivk/Iu3aiudSPPR78/0r4bU&#10;3+13apLi6KrRouOVkhQYLZSk8fUjhAxD/JJ05lj21AcAAAAAAEA3/JKUkGEKJSkwWka5JF1j7fX3&#10;j60bIWQI417rsqc+AAAAAAAAukFJSoY1lKTAaBnpK0nXnrlzbN0IIUMYSlIAAAAAAIBmUJKSYQ0l&#10;KTBaRvtK0g02ia1bv+QTMzZIE7tvPLrP4t+u369q8W8f5kxe1/LtN7yJr7d/rAzq8WHLPL4e5ft3&#10;Yh2H4TULAAAAAACgbyxffsSHCRnGZIc4gBEwyiXpx9Zcb6329bLiKL88+vSXNk4+uc6Gyae+uFH6&#10;70+6fGbdjZMvzNw0WfvLX03W32L7ZMbGWyZrbbRFsuZGm+vqtXSaT30xf0wy3alauDWfamVmeD/p&#10;JJSkAAAAAAAAAACgZaS/bnfNmR+NrRshflRyp39+caPk0+t+Ofnsel9JvjBzs2StjTZPPr/BpmlJ&#10;/smsBFeBriJd03zG/al8+kvjhTqZ3lCSAgAAAAAAAACAllEuSf9xza98OLZu050ZG2+RFnC6OlVl&#10;XHrV6jozk89vsEl6tepXtts12WXf7yQ7f+OAZNf9vptssdOe6ZWrKug+t96Xk/U339bdf2ByyNEn&#10;JEced0ryvR8fl+z//R8mW+y8Z3r/Z760YbLRVjskO+z1zeSo409OLhxbkJx32dXJcafPSr5z5NHJ&#10;zK9u7+ap5dg82W6PfZMfnnBKctm1i5JrltyWXHnDTckvzrko2e2b302+4Jbnc+tunGzpxv2WG//i&#10;K69Nlt73SHLHsieSK3+9JDnquF8kG351h+RTbtm/+JUtk532/mZy7MlnJnPn/ToZc/effuGvksOP&#10;/XmyzW77uGXayI31ZbdcOya7uPXS7T8/68LkuNPOSb571DHJ9u6xa27ktoUbS9tlo613TLZ3y7/v&#10;9450OSrZeZ8D0u2wptteduXuZ9x4se077NFxonJWx8Mn3fZSiaurmzfbcY9k2z32c/t9/2SrXb+e&#10;bLz1zmnJq6tWP7f+V9LjbuNtdnHb8tvJXgcc4vb9fm4775Q+9lPrbNQqgHVMfmnTbZK1NtzMZYtJ&#10;8+8murI27+ratHh2+/Rz62+S/t3d/r67/feTp43HjcuvEwAAAAAAAAAAAONGuSSVbXb7xktf3naX&#10;ZEZWMn58rfWTvQ48NPnGwUckhxx9fHLcaeemf6o4+vI2OyWfXXdjl42SzXfaPS0fTzrnwuS8y+Yl&#10;Z1x8aXLUcScnu3zj28kGW26XrDFj/eSTa2+QHH/6rOTMiy9LFtx4W7Lk7geTS6/5TXLYMSck2+6+&#10;T1pYqmj8+ne+n5x7yZXJnQ8/mfzutbeTh55+Pjnv0quSb33/B8lXtt05+cRa6yZrztwkufy6Rcn8&#10;xbckDz/zYrL8lTeTX99yV/KjE3+ZbLfHN5LPr/9ltw6bpY+Zc/V1yd2PPpWOdf+TzyZnz7k8+eYh&#10;RyYbb71j8rEvfDFZb7OtkyuuX5yWno/+7uXk6RVvJNfedHtaam79tb3T9VOpqcL0VwtuSO59fHny&#10;7MpVyT2PPZ2cfuElyTcOOizZ8KvbJx/97Ix0+cZ+fWNy3c13JI89tyJ56uXXk3mLliaHH3ti8tVd&#10;9kzH0vy+96Ofpsuv5dFyaV1PPX+OW/dDk/U33yb5h0+vmc5bY/3mtnuSJ19cmTzxwqvJlTcsSb7/&#10;k+OTzXfcLS13N9hi23T76XZtp2fdWLc9+Fhy8rkXJXsd8L10Xv/tk59Pdt33gHSsRXfcly7T0vse&#10;Tue32/7fddNsk5aHMzbaPNlsh92TLXfeKy2QN9x6p+ix3qtYGf7FTbZO1v7ylmmZqTJQRe8m2++W&#10;7Pnt7yWHHfvz5Kjjx4vu3d2y6xhUCfrfPvWFZF93jJ52wSXJJfNvSO565LduOzyeHms6BrSdPrn2&#10;+slWu+6VnHDGrPRY0fZ85tW30n3145+fmuy49zeTtTbcNPnbj306OfaUM9P9c+sDj6b7+r4nnknO&#10;mXtFst/3jki36afW2SDdP79wx/vC2+9NfvvSa+kxqOPxB8efnGy/577uWP5KOtbPTj0nLcwX3/VA&#10;cs+jTyfXu/kd755HWv51vrxF8mm37bdyx8YxJ5+RHoe3P/R4Wqxf4J5H3z3qJ8lX3b747HobJ3/7&#10;8c+kzy8tl9ZPx42mPWXWxelxs/ZXvrpJ9jROfXLN9T4y/hXaG2zyibVn7rzG2uvvr2JUr3Huz8W6&#10;LZsUAAAAAAAAAACMulEvSb/3o2MXq6RTCbnuplul5dJzr69OCyAVdSpnVMqo8FNJ97n1Nk622e3r&#10;yRkX/SotK1986920fFLhqFJRY2isL23y1WSzHb6WvPz2e62xVOb9/Kzz09s1lopNFZwqox559qXk&#10;hTffSR5//pW0ZNz/0KPSMTSWCktN98rv30/H0vxuuf+R5Gennp1sst0uyae/ODMtqHb6+v7JBZfP&#10;S8tKLZf+VFGoUlNjaKy1N9482eNbByWvvvOH1lgqb3/yi9PTAk7Lpem+tt+Byeyrrk3v11haPhWm&#10;ex94SDqGClnl24f9sDWW1lGlpEozXamqYk0l3J7fPjgth3/r7tc6qtzU2FoOG0fLr/JTY6m01bLf&#10;cOvdadmqfaKxNJ3WRQWppnn+jd8nD/z2d8n5l12dlqK6X8um7frTX57VGkvbVMXgIT/+WVrIaiyV&#10;ddrGKvlUHGosFbhnzb4svXpW22DGhpu57bFRcsRPT0qu+s1NySXzf51c7Jb7+NPPTXbR/Ny8VESu&#10;5earcvxEt291HFx70x3JnHnXp1fDbrHTHmkRvrab5jNf3NDt67G0YNRyqaDWuqjU1P7RflQhefAP&#10;j02LSJWVOhZVeP/i3IvSwlPb06bVY7VvtO21fy67dmG6fbQNdL8Vytq/Khg1nspplaZb7LR7OpaO&#10;MU2rYlrbQMul43quW37tN21T3T9zy+3S/arjTsuksXQ8aztvuv2urbF0/Oh2zU9jPfjUc8lFYwvS&#10;40n7WGPp2Dj6pNPSwtPGUomt21S62/NHzzXtX92volt/138e2Hmfb6X7+NPrbtRWkgIAAAAAAAAA&#10;AFQ26iXpljvvvljljQooXbGor3d984M/p8WTSjpdoagr4FTcqFhTSair6W6656F0GpVAKs90Faau&#10;dtRYKlFVTp109gXpWCp4VNKpIFWZp2lUdKnQ0tWNKp5U1OnqPZWHWg6VRSqeVI6qKDztgrnJW3/8&#10;c1qwLbjx1rSos7JIxayu+FNxq+JJpZKu+lQ5pSs4VX5qLF05qLFUyq76059bhayKLs1Hy6ViTeWh&#10;rj5Voabl0p8qIg/6wTFpwaUSTuuhsS6+8pp0LCv8VHTpikMtl642PfDwHyWzfnVlujwaSwWa/n2A&#10;u13z0jbd7ZvfScfSVYUaSyWdyl19za/KaY2lddBVhiqBtZ207bXdtJxaXpWfKtZU7Gnbq6zU9lIh&#10;q/LQ9o+KNxXL2i5z3LbW/tNY2p9nXnxpsu/Bh6fjaJvqakXtCxW/b/zhz2mJqn2tZdUYGktjHnr0&#10;cWmBrKJSxeDiO+9P95cer/XTsmlcjaX1f+29P6fbQ/tay6ErfLWOWleNreXV9tS+1jH4y/Nmp4Wy&#10;tru2qdZX66grfF99549pkX/hFfPT7aMyU2NpH2idVe5qPz/5wqvpMahjV9tb5af2pfaD5qllX7H6&#10;D+kVndrXtn80lq4S1b7QsaLSXNGVxzqedQxqLNs/R/z05+nx/tKq99L9c+4lY2kJrG2q40tFvo4R&#10;7R9Np2Wz41nHoI5TbVsVxUf+7KS0RFWxfvO9y9ICW8e5tqmej7t+49uUpAAAAAAAAAAAoDOjXpKu&#10;MWP9xSpcVACqRFIBt/LdP6WlkQollU26Ou7ja34p2XLnPdKCUWWZruDT1XK6ElGllQolXVWowkgF&#10;lq7MUwH3+vt/Tv+0q/d0JZ2+Pldft6sySvdpLBWIKrRUpqlUW2PGemmxpKv3VNItW/5COpaKMZWa&#10;uhpV89N0Kj9VuGmal1a9m5ZPKtpU0qns0zQaU+WUCjwVcK+996e0/LSr9zSNrrDUFX9W+Gm5dHWo&#10;XVWoYlfTqYjTMtx41wNpybXy3T+mX9OqUk7Fm7aVxtJj9FWpmkalma4O1Trb165qLJVrKtt0taPm&#10;pdJPf1ehqPloLG1/FcraPk+++Gry8tvvp8unglRlrYo1jaXCUlf93nTPsrSsfOX3H6RXZKpw0/rr&#10;q4ZVbKq003578qWV6VjabvoaYRV4Ohbsa2pVOut3rGrfqEDU8XHgET9Ot+k/f36dtPSz40bbXGPp&#10;2FCxvsNe+6X3a7m0r1UMaxs9/+Y76baw40bbVGNpHbTOOm607JpGRaqOm/GvZt44XS7taxXFKlu1&#10;f1QgqlzWcaNtqrH0pwpG7WsVwJpO+1pfqavj2cayq4VVrGvZdTzril99bbGOY42lY1BXGatE1nbQ&#10;WJq3vq5Xx7P2je1rHTcqWbWtNK3G1r7Wumks7QP9JwSVp5qXxtIVpFpWHc8aR8+Pfb77/bQk1zLr&#10;eNC21fbT1braphpLx8aJZ19ASQoAAAAAAAAAADoz6iXpp9beYLGuXNPvDtXXeaqcUlmnUkhlpwon&#10;lWsqelTe6Ao4FTwqIzW9rpTTlaMqi1TwqDg66ewLs8LyvfSqO5WcKuo0hko/XRGo3xGqqwRVcr34&#10;1jtpOatSTlcTahyNp7/rikSVmjaWHqOr/FTmaSwtn4o7zUNjPf/G+Nez6upDLYuKJ/1eUBVtKhXt&#10;63NVXGpdtBy6WlBjqRDTcqqk1DJpLJVeuiJWX6mqsVSwqajT157qSkctl8pPFZjaPrpfJbC+Nvaw&#10;Y05MCzGNpSsCVRKqXFUpq5JOhZeKL5VpT738WrpcKj9V8OrKSSunVUD/6MRT0mXR1xc/9/rb6ZWF&#10;Knh1ZaWKSI21+/4HpSXf8lfeSLeFfW2silQrp1XiqizUNnp5tYrBVen6quC1clr7SQWzrox95tU3&#10;06+h1f7Ulblad20HjaX1OOGM85J7H38mLRlVDKqUVdmpIlXrqLJRVz+qFNW8tB1UjKts1z7RNJqn&#10;tq8KXl35qnVUUarfI6qrM7VfNI32tb7e+Pqld6bbQMehjkE7brRMGk/7/YyLLknXX8v11Irxq4/1&#10;WB17GktjquDVcfO8G0tXH+sY1DKosNRYWk+VxTrGdQxqLO3zqxfenK6TtpPmp3U99Ojj0+eMjhlt&#10;B5X5J555XrqNNJb2pa4UvfCKBekxqHXUnyp4dXW2jmfNT/tApamK2Bfe/H1a8upKWR03KkZtLO2H&#10;uVdfR0kKAAAAAAAAAAA6M+ol6cVXLlisgujVd95LCz/9XaWoyph/+tzaaRGkryNVUfPK6t+nV7ap&#10;TFLRpiJQ06h00pWDKuhUXq189720UFIR+Y+fWSu9367w+9GJv0yvEHz19++kVzpqXN2mKwo/+tkZ&#10;aVGk4lAF3fNvvO3m9356ZZ5Kp//+qS+kpaHGUjF1zMlnJA/89rlkpRtL06hY0tedqpj7h0+vmRaD&#10;usJPBd2Lb2m53k+XX2XW36/xudZYKp90xaJKtdfeeSdddpWQ+h2eKh81lopWlaAq6F5atdot+x/S&#10;r43V2H/3ic+m20tj6atjdSVlerXqO++mxaeuaFTZpwJVY+lPXUWpQvHlt1e7ZfpD+nW2c66+Lh1L&#10;219jqaxTAajt+Ma741dNqjj85iFHpcujbavlU9mnonOF2z9aLn1lrx6nddRYiq4CVtmnku91t380&#10;1jVLbk3LUG0nLZf2tQpOFbvjY32QvP3nJC3o/tsnP5+Oo22mUlyFqYrM19xYKitVEqvY1f7TWNrX&#10;Kl5V7L7y+9+n++f3SZKOr/u1fhrLjhsVi2+8P3786YpMHQMqILWOtq91DLzi9rX2j8ZSUaljRmPp&#10;GFMZrONGy/P6++O/v1YFtOah/aNpdczqas4Hn3rebffxsVa7ddTX5upYtrG0LipWdQy+/v4f0hJb&#10;VwHrSlQtt8ZSQa2rrVVsv+r29ctv/yFZ7ZZLJa3tQ20PbWPttxfeXO2OmT+k/wlBJbGm01iar64o&#10;1ldPa19rLD0XV/0pSQtyO061n+y40TH46u/foyQFAAAAAAAAAACdGfWSdP6iWxarVFLhpfJSX/9p&#10;xaeuutPVfiqCdPWfrmxTIaQrMHXFpcpIFTcqBr9z5NHp72nUlYLLX3k9HUtfnapCTNOoNFNZpStD&#10;dVWixlIpqd/zqCtBdSWdptOVd/o9lbpiVFcwPr3itbSU1XQq6lQ6qVBVqaUrQx/53cvpWBpTX1Gq&#10;K0NVHKpE1NWJuhpWX4v7wpv6Gt7XWr9XU2WkxtIVhfraVV0ZqitCdSWg1lXFnUpRXWWqK/f0VbYq&#10;/bR9VDDqa281lopHjaVpVObpq1ovvvKatAjTWJpG5afKWi2TonJMV4Hqa141lq4o1Dy1nVVsaiyV&#10;efqKXRWG+rpV7SOVhPrdmyoDNY7KVl1B+bNTz07LZo2lkk1XY+rrYLW9NJaKNhWKumpR+9l+Z6u+&#10;wlVXJGoa+z2e+upfzUfbVEWvtqv2h8bS/FQM6opM7Q8VmxpL89bvy9SxorG0L3XVpK7K1JWetq91&#10;7OhrcVV8aixd1aryWF/Xm47loq+YVVmo9dJYKm71NcD6fakaQ9tUy6SxtB10rNpYKrV1zGmZdAWs&#10;tq+uAravstXxquPGrgxVoa9tpXF1xaiKSG0HHYP6jwEqnrXddWWurgJWuWpXAesY1O821f7QvtZV&#10;slpXLZueDyo2dRzqGNRxo8frufHbl8av0lbpq2W2Y1DHh44T7Wstv44bHRN63qjg1VhaD+1XFc8a&#10;67EXXqYkBQAAAAAAAAAAnRn1kvSBp363WFcX6ko3lUC60k9XydlX4uqKN11VqXJNJZCuptOViyps&#10;VCipzFLhoyv4VDipMFJZquJORarGUqGkYk1FpK5S1Fgq4lTSqSBV8aQSSFco6nH6OlMVVyr8dKWm&#10;btPv0VS5pq8jVbGmckpXjupqQRV+Kuk0jQoqK+mOP/3c9GrAdKwXXk2vdtRYKupU3uoKUi2jSk0V&#10;TxpLf+oqTK277tdYKulUHmq9VK6pTFXhqCssdcWhlkvzPfTo49Kvt9XyaCwVYyr87PesqqRTIasr&#10;TVUCa/20bCpCdWWuSj+Npe2hK2J1u7aTijMVa3qcrkpUgar9o3lrfH1lrIpWbX9dOamxVFhq22s/&#10;6fe66it8VbxpLJXGWh8VcyroVMTpK1/1e0l1n/ahptU21lh2ZaT2tUo629c6bnRVo7azCkPtZ42l&#10;9dX+0HGjsbQ9tO91nGjdNJb2tX7Xp8pWFZ6aTmWptqm2g9ZPy6YrJ3UMqpzWcaOvCda/NZa2gwrE&#10;7ffcN/mZe5yOFe0fjaX9rvFVAmu7a/vrWNMxp+NGY6lEVfmq6TQ/lZ/a1/qaXO1r7WftIx2PutpZ&#10;Jb9KWx0XOgb1u1FV6mosHdf6DwDaPjqWVfBqPVR86+pj7R8tm44blabaP5pOx41KaB2DKps1lrab&#10;9rXmqRJVzzPtaztuNJaWbe6C31CSAgAAAAAAAACAzox6Sfr0ijcXq+hRaaYyTKWgyikVQiqjdGWc&#10;rqZTKaOySOWh7teVjLpCUcWgijKVb1Y8qTRTOadCSVdX6uo9lasqBHUFnEoxXfWpKzVVqtmVgCoG&#10;VdJpLEXFk0o6K1E1lso4FUoqnLRcGlNXfeoKThVdGktfXfrDE05Ji0Utk8o8/V2lk+ajsVSw6TEq&#10;IlWEabmsZNQ8tOwaS7+vVctg5a7GUimp3xtpJaoKuG8c9P20ANNYWi5dBah1VlFmY+lqVG0bFbG6&#10;ctLKaW1DbUtNpz9VDGpb636NpStptS9U+Gl+Vk6rgFNpqLFUDOoK3+8eeXS6blpHLZ+u8NXt2p66&#10;QlHTq8xTiaxpNJYKS92m+WgslXCav0pnbXPNU9tNZZ6WV9vBriBVcacrUG0sHTe6wlclq8bScaN9&#10;ratiddxoHTWWrvDVcaMyWdNpm+grj/W1wNpWGk/HjcpVbUtNp31u+1qFrMbSvlYJrKs+NY6iclr7&#10;TFdxapm0/CqnddzoeNay67jRlZva1zoGNZaOM5Wc2tcaR+upcla36TjQcqlwVWGpq5E1hsbSmCpM&#10;9RXBOgYVHf8q5G1faywto44bFaNaLk2n0lvHjZ4TGkvrqn2t7WhjaZvo+antrWm0L3UMfv/Hx1GS&#10;AgAAAAAAAACAznxyzfU+8rE111urbj6x5syPZkMMtIV33HfkqefPGdv9WweNffZLG479w2fWGvvJ&#10;SaeN6bab71029szKt8bu/+2zY7Ovunbs0J8cP/blrXcc++x6G49tsfPuY0f+7KSxS69dOPb486+M&#10;Pb3i9bGFt907dvK5F419bb8Dxz65zvpj//yFL44dc8qZY6ddeMnYrQ88mo517+NPj114xfyxg3/0&#10;07GZW2yXjrXV1/Ya++EJp4xdecOSsd++uHLsqZdeH7t+6Z1jPz/r/LFd9vnW2MfX+lI63s9OPWvs&#10;rNmXjt2x7Il0rLse+e3Y+ZdeNfbdo34ytv4W2459fr0vj223+z5jR7vln7do6dhvX3otHe/aJbeN&#10;HX/auWM77LlfukxfWP/LYz877Zyxcy65YuzOZb8de9aNddtDj4+d+6srx7512A/H1tt0q3SsHffa&#10;L13+a9zjtX5az/luXN227W77jP3TZ2eMffHLW4ydcPq56XJo3Z5+5c2xpfc/MnbWnMvH9j/0qLEv&#10;brLl2Fobbpquh+b566V3pcv+6LMvjV218OaxH/381LGtdtkz3e4bbrnd2Alnnjd20ZXXjD3gtrnG&#10;0j44/aJfje1z0GHpvGZorH0PSOe56I5707GWPfPi2BW/vnHsqONPHttix93G/vsnvzC26Q5fc9Oc&#10;NzbH7beHnn4+Xf4ldz2Q7te9DjxkbMbGm6fRfj/JbWfdp+3wwFPPjV1+7aKxw3/687FNt9tl7O8/&#10;8dl0/2h+l15zw9gjbrm1f7SvT3H7erf9vzv2hZmbpOupcbX/tf4aS8fNr+bfMHbYT04Y23CrHcb+&#10;7uOfHdvZbQeNdcX1i9JtoP2jbaJl0Hpp32j77/PdQ9Nl1X7RWNq2WpdDfvSz9Lj5249/ZmxPt+za&#10;Xle540b7RtG+1m3a19qHOi72O+TIdBvqeNFYdz36VHoM6rjRvDTWfgcfnj5O+1fHzaPPrUj/ruNG&#10;+1pjaR10fGjf3vvEM+lYOhbPc/v+wMN/lO6f//LPnxo78Mij02P32pvvSLe77eufnnJWui11zG+8&#10;1Y7pY3TMaV8/+9rbY7e558i57pj8ljtutG80ltZXY91w2z3pWOm+dttOz9HNd/raWtnT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Jh9fN11//oTa29wxhprz1z6iRkz33J/JjlZusaMmXM/&#10;udYGm2cPbdQaM9bf1c1jWTDP8cyY+Tvdn01aW7Z+k8ftVWbMPC6bNQAAAAAAAAAAAIB+s4bKz1jR&#10;lxMVqdlDG6GSdo0ZG1wbm1dbuigeo+P1ONmsAQAAAAAAAAAAAPST7OrNaMlXlOzhXdP8S65enUiH&#10;JamufI2O1+N8fJ0Nv5gtAgAAAAAAAAAAAIB+kX6NbaTgK0v28I5VvnrUz4CVpL36WmIAAAAAAAAA&#10;AAAAHVLpGCv3qiQboiO1rh71Q0kKAAAAAAAAAAAAoFO6krOjojJLNkwtHV096mfQStIZG34sWwQA&#10;AAAAAAAAAAAMuzVmbDArVhqV5RMzZp6YDYEe+8TaG5wR2wdVkw1TWcdXj/rpsCSV6Hg9TjZrAAAA&#10;AAAAAAAAjAJK0v6mKxxj279OsqEqUUEaG6N2uihJuy2FO8iybNYAAAAAAAAAAAAYBZSk/a3oK2+z&#10;qz2XhbeHyYaqxE2/NHx8R+miJG2SW5bS9VEpm00OAAAAAAAAAACAUUBJ2r9Kfz/njJnHuT9LS8Bs&#10;uErc9GXjufs33D9ye3v6oCT9+DobfjG6bEH4faQAAAAAAAAAAAAjhpK0f7ntnH+V6IyZv8ummZqS&#10;1M1Ppa2mKS1vlT4oSd0yzI0um58ZG1ybTQ4AAAAAAAAAAIBRQUnan8qu1rTC0v29pyVp9pW+R2R3&#10;pwahJK36u1xtOwIAAAAAAAAAAGCEUJL2n4+vu+5f68rN2HbPsjSbtPmS1PsdqPpdnVqW7K6WQShJ&#10;tezR5fKTXY0LAAAAAAAAAACAEUNJ2n9UMMa2ucX/HZru342WpNnv8Tyi6Pd09ntJqmI3uwI2vmyt&#10;bLh/9hAAAAAAAAAAAACMEkrS/lJW8OkKyWzSlLut0ZK0in4vSctKZkXbOHaVLAAAAAAAAAAAAEYA&#10;JWl/WWPGzLmx7a3Eij13OyVpwM276KuK04RlMwAAAAAAAAAAAEYIJWn/yL7qNrq9sxyRTdribqMk&#10;9egrdKPLE6To64QBAAAAAAAAAAAw5ChJ+4fbrvmF54yZv8sma+PuoyT1VLmK1E0zN5scAAAAAAAA&#10;AAAAo4iStD+UFY+6P5u0jbuPkjRTablc8rYlAAAAAAAAAAAARgQlaX8ouQJyaTbZJLovmHZSskkb&#10;068lqZtv6bZwWZZNDgAAAAAAAAAAgFFFSTr9yn6PZtHvz3T3U5I6FX6fa5YN988eMrSCbTHp99gO&#10;Eh1rvb7ydyrm0RT3en2t9qt7/X0ru2kktL9GDv9zGIPp4+uu+9d6LdFrcHbTwBrW1xpeSyCD9L4P&#10;AAAAAAB6jJJ0eumkqk5CxrZxmpKy0U1DSeq4+c2NLoeXQTrZq+PCrZN/dXHlK2Db9s80XNHbFDtJ&#10;38v1mIp5NMktZ+v5nt00ErRvOtlPbtrS14WyDEPh1U/0n34+sfYGZ7htuyzY1kt1e9F/Cup3/nv5&#10;VBQwOjZb83SvZdnNjdD+sHXJbhoKnb6WYGq17aeG/7PXoL3vAwAAAACAHqMknV7BiaBwG7+lsiyb&#10;NMpNN/IlqU6qR5chzACdDGu/2mU8VcuaoSlJvXV3yf3K6W5MxTyapGW05c1uGgltr5M1jml/e3Wa&#10;qSi7RoXbnkeE2zeewbvCb9L74hS89gbzbPT1S+PZ2NlNQ6HT1xJMLf/409+zmxvhjdv42AAAAAAA&#10;YABRkk6f8nKv/ESxm27kS9LsqqT4cngZpCuU3PKGV1lpm87N7i40LCVp236dsf6u2c2Nmop5NMkt&#10;JyVpjWM6fS7osfFMXKmtK07j0xxX9h9VUM2k//jhtn/6/HPbOHse+q950eLCf7724xW+brnSddB/&#10;cMp7v/GnyW7qGCVpfenz2raZ+3t2M6ZAnedv235q+ErSQXvfb1K/v4YCAAAAADAtKEmnzxrFXwVZ&#10;6etV3XQjXZKWfl2xpWLB2A/aynPvGKl6Un1YSlJM5vYpJWlDx7S/LfWcyW5GD0x6nc7Zh9lr11K9&#10;7mU3tUnvG/B9ZsuvZDd1LHgvpiStoBevJajGP6Z4zZ0e7AMAAAAAACIoSadHcHJzUqqevHDTtk54&#10;5CWbtDFly55mik4+tp3wLMggnQzy10n/07/992eVX/XQtn84CTxU3D4dyuKiTNvzvKFj2t+Wg/T6&#10;MIiC94zKv1855B478PvMll/JbupYsF0pSSvoxWsJqvGPKV5zpwf7AAAAAACACErS6bFG0VWkMza4&#10;NpuslJu+dcIjL9mkjQlOzMYzRScf3XwmvjIzPwP1O6da6+T+TP/tf01lhWOjbf9wEniouH06lMVF&#10;GR3HTR/T/rbkZHFvte2/Ll6P9VgbZ1D3mS2/kt3UseC9mJK0gl68lqAa/5jiNXd6sA8AAAAAAIig&#10;JJ0ebV89GKTO785007dOeOQlm7QxwYnZeKbg5OOk33GXm/Lf7dov0itHs+XW745Kb1t33b/216fs&#10;dyS27Z9sP6Rj6ORwe6m8TLeVjWfGr2pNy/3w96Uu1bKWHbetK2KzojdbJv8/Cyzzf0eW+/cRdl/R&#10;787SfLPfszX597hOTttVbO7fhfOw+/V8zW4a375uHew5nP7p/l3lhGO2L4/wH++PUXasumkbKS7S&#10;5462/eT/ZKDxjyg6JnS/pm1qm8j442fO9beJ/3h337SXpOP7Ln3NWdq+nG4bVth3/nPbjjVdGW77&#10;QGPac95480l/J182xsRrvptvbF+1jjN/2vGU7l9JHz++zTt6rofc41rPM5daV5Jm29xfhniy/1Ri&#10;Otnere3mHcs2bZV9PD5N+3ND3DyLvlp/Im667CGVpM+bicfnlqTpV7gHz/ds/XKPh+y+dNrspqhh&#10;fi2JvbfY8lQ9FvSn/p09p3Lf78rEjufW87R921d+X29632m+re2ejqnnbsXnb0HKttP4erQ/Z13c&#10;OsT3kbuv9XoUG3sQtnWd50nlfeCWLXtIS2u9vedAlqWdvBcAAAAAANCX3IdqStIp5p+AmY6EJ4br&#10;Sk/ORMZty4wpKEknn2yanMhJn36WnZBNl90/eaeTXxPrVXxytm3/pCf11t81OHkYZlnZST5/uUqS&#10;ljkx7j476b5U6xZdJu+4SZc9uz124k8qrFt7guOhbB7+/dm/S8qO/H2jsSotq5tH9pBJ3P22DTsq&#10;Sf2SqCS5x0ST20RKj63xE8uteerv2UO74sZqbcu848ukr9kVt1veSWP/eZn+PWe7ZZOnWren6x8/&#10;0R0ue5XnhO73X198uc9NPzX3Qbr92sYoPiZ8bnq/YM2Nljl7SKru9tY69er52f76XRA3XfaQSvx1&#10;dImWpHnHjZ/wGBJ3e+FrzbC/lrRNl5/8dZvYfpXe78pMPp47f19vet9pGk1r//aibVDp+VuYnO1U&#10;MF8/k9bBX/bYsd/P2zr7d63nibuto9fQXrwXAAAAAADQlyhJp55/AmY6Ep4IqavS8vf4xEnlbThg&#10;J3BaJ6RmBGVe+4nuwq9VDLbNxAlEN2Z6Elkn3CaftM+9uis27fgYaWJXRkSLUne7nTTWMqXLpfXV&#10;MmUnt91tEyf30vGzMbVO2c0t6VU+3gk8jaHplEkny91Yuj0shsrm4d/v4p+MTbdBtj3b1j+vJLP7&#10;02VOt9v6u/rL669LXhng7issLsr4jx/frxvub8vgbjuibV3cMmYPa6P1bk3T/TYJT95OHFve2G3b&#10;xt2XPbwrbqzWtojtexMWfBP7r7WcE9tUceseO9mdbWObxj/JvXR8rPR5Fl7pnE3vXSWlbTs+7/S5&#10;52/btnmMT9s6ztLXEO+5rPFi+yUd33u8Hps+XkXB+PNK+yX3P0PkaRt3PJXG0LZsLYN3TOjxdrsS&#10;Prez6cenrbC97f6J/dvc81Pb2caaGGP8uGtLzvMkTzDepPcFjWf3Z+uVvg6OP07Hw/gxFG470Xj2&#10;2OymNv79w/Zakj2mNb2Wo23dgmXNHtbG3W7bR9Om09tYE8+j4tLXl83blnvieHbbJ9tOdkzbcqXz&#10;zh7ext3e7L5rX57x10bNw/296vM3TDDmpP2kcd19rfGy4zud96Tjxq1j9rCUprH7NK/s5pZ0/q3H&#10;9tm2bt+GlZ4nnb6GhsvWGqPL9wIAAAAAAPqO+9BOSTrF0pMMkW06lckWpSOVln9Gb8tJN4+JE08F&#10;iZUV/Uonnmy5dQIquzmVnRBsrVfRyfTY/gnHk/Qkedt0k0/YuttbJ551ElJjZ3e1pMvmn0h0iS2f&#10;uz3cZ7lXToiOIZs2Nt9gnpNO1Pnb0yV+lVX5PPyTk+MnYoPtlO2biROP+Sc603Irb52D/VZ6wjW7&#10;qZb0JK1OduYcP1q28XUcn0dsWZvaJuG8YtNo3LZpxqebspI0XY/gRHFsm+jxZesS7N8sxSXJpOkj&#10;45pwWfPWyd03USZNKg/yX4O6pRPwkX3plrd6UeQeU7rPTN3tnS7LFDw/7f6iaaoKlmnSa1xWZIzf&#10;7/ZtdnMlGs8em93UZlhfS9r+U4Q7JvLWb7zwao01+f3H235ZCt/vysSOZ+3fcEytZ/t0k4/5Xu27&#10;WNnuc9NVfv62jR/ZT8H8o1fwe/u87bnhPza2HIOwrcN56XHuvvKfQyrug16+FwAAAAAA0HfcB3hK&#10;0ikWOwEz1ckWpSOVlj9yUqspbScxi5JzkqhfaXlt2WMnG8tOyprJ+6ewGPCukpj8VY/+ybuyk+xu&#10;mtbJt9hJtbb7q5xQLTmR2Vq2Gflfqezub500zG5qUzYP/34lb5nbCtmC5Smjx9o42U1t3O2tbZjd&#10;1Di3DK1jopfbxN3uX/mVe3W0xm8/DqeuJHX3+csYLcZM+LwLT3aH92s7Z3flapu+pGRpO2Ffso20&#10;P2xaf0w9bmKMeqVaFZP2ZZb0NjfvovUTN22lE/zSyfYu42+37KY27vbS56fdXzRNVcE6TnoO6Ta7&#10;v2zbhvzHZjfVpm1uY8T2V9vx5tIPryVly2xUerXGibw2uNta20/zzFu3qiYdz128r1dRth207Vrz&#10;SJO/PMZNV/n52zZ+sJ90LPv7sWgsbffwtcwfO/bYft/WnT5PxN1XaR+0zbMH7wUAAAAAAPQVStKp&#10;N/kEzNQnW5SOVFr+4KRWk/wTSkXp9qTkVNJJv9ay557caitBcou4tv1TctIuPYFo07pkN6fax8mf&#10;nylbPnd76+ScS+lXtLkxCk9kemPlnhTXfTZd7HgonUf7ycnCZfam67xU8JY3u6lN2f1NmKpt4m7z&#10;jofiE+ztV8RNaUlaeRnFLVurRAunD59PVUqribHKX8/cNBPrk3PVkvG3p7/u7c/hzk74l0lf69w+&#10;bCursqS3FZyQd9OU7jPTyfYu488/u6lN2f1i9xdNU1XbOrp5Zze3uPX23ytLX3N9Gs8em91Um/az&#10;jRHbX/79Ln3xWuLdV+E9L/8/4bjbvGWqt+1j2o/nzt/Xq6q17yq+VrhpW9skNqavffz2/dRWBpb8&#10;55WYsnXr623d5c8h7vZK+2Aq3gsAAAAAAOgb7sMvJekUayvEpiE6EZ0tSkfaTiDlJTip1ZTg6o2i&#10;5BZn/cg/IZX31WbhcZNXmrSf4CvfD3lj+ifm8pbJFy5fdnOLu63WSffSE4fZfS5TUpIWnVAUN03h&#10;VasxGtNP2Rju9lrbsAptl7ZlqHFVS+x+n5smd338kqys1PPnqb9nN3fFjVV6srg1T5cqJVtRAZNu&#10;25z78rSmLzjGjTdtuj5FcfP3rn6aWBatY1BeLs17nelW+nrh5h3ML0u86NLy2DRaj+zmqHQ9bbwO&#10;jxl/m2Xjdf38tPuLpqmqbR0jx0hwf/o6XvZcMxrPHpfdVGrQX0vSZbb73PxsPfKiaWx6/TsbJuVu&#10;a/S1OptfdLljWtO6VHkO93LfGTdt5edv0X4quq+KsmVP17/G+K1pXaZ7W7tpKr9GFY01le8FAAAA&#10;AABMO0rS6eGfFJnqVCm8iqQndSLjtqWDE1dVtJUQhSm/6quf6H/q27IXnYjyp8vbj237p9oJvuiJ&#10;3rZjtOL+bE2vsYKT1e62WieNNc/WWJGTeXafS+6VJG6M4q/HLJtHyf0+N03p+mmbpMdw2xWH8WQP&#10;aeNu7/rEe1Zm6+spW/s9L73cJnZ77L6QP0/9Pbu5K26swpPF2letebpkNxcKlrPt6101D+++us+n&#10;WiVprQTL0nYF0UTcsbLh/lWK4rryytLosVeyz3ydbO+peH7a/UXTVNW2jjnHiFuXyT9r6H2k5Cs0&#10;NZ5Nn900ybC9lgTbs1bC5Xe3lW6/OtqWrcLx7KaLvq+bqdx3xk1b+flbtJ/cv2v/bOIrW3bdVmd8&#10;N13fbGs3TeFx599fPtbUvhcAAAAAADBtKEkHm9sXrRMeeckmbUzbCaS8dHDiqoxOyoQn0qOp8DV5&#10;/cQvY7R+2r558UtiTZsN0UbT2TQVT/BFT5r5t1fdn63pg7HE3VZ48i5UdmLQL4xjpXjbCb6cr4sr&#10;n0eTJyc33L/S8Zsle1gbd3utbRhSAe/WqbQAsvRym9jtsftC/jz19+zmrrixWssWWw/d1pqnS3Zz&#10;obbldONnN6faxqu4DnljxXjTVo693mRDtKTHibd9/Ondn11/dWiM5tn2/Ig8Z93thfvMV3d7T9Xz&#10;0+4vmqaq4BjNPUbSryeNPe/dbXnbUePZdNlNbYbxtSTYntXjtkNYGrnbS4+FOtqWrdLxnP9cmep9&#10;Z9y0ucsU8scP17fOODFly67b7P5w3jFuur7Z1m6awuPOv79sLJmO9wIAAAAAAKYcJelgc/ti0smL&#10;MNmkjWk7gZSXCieW6vJPFJVkoE7caHmD5a+eyNVAbfun2gm+6FUQbSVkxf3Zmt6l25PGZScGwyv9&#10;VCBrOsUvk5XY46VsHmX3+9w0ueuXnWhsLY8bd250fiXbqOz+IunVLO0na5fq+Jm0n6Zom9jtsftC&#10;/jz19+zmrrixWssWW49wn2U3F/KXU8dgdnNK82iNV3EdWtO7Zc1uyuVNW/vYyKNtoPWYVB42tA9C&#10;/n9s0Dyzm1vc7YX7zFdne0/l89PuL5qmqrZ1rHKMjJelk64srbuuw/paUnd7FtHjbazspq60LVvJ&#10;8Sxuuuj7+nTsO5POq+Jj/PHD9fXHcan9817Zsuu21vjBvGPcdH2zrdN5ZNNmN7Xx7y8byzfV7wUA&#10;AAAAAEwpStLB5vaFf7IommzSStKvG6xxNU0X6eTEVun/xteyhyeg+p1b7tKvYMvNjPav9JQOTvC1&#10;xvO3nX9irso46QlBb6zs5hZ3W+HJu5A//5wThxW/sjr/q5crzKORk5Nty1qwLYvGkLL7i7RdWevG&#10;yW6eZMq2SXa7Uvac9edZtP3qcGO1li1vPVrzdMluKtRWzgfLqXnk3ZenNX3B/jLetLWPjTLpc9vf&#10;By56r8jubkzbNnLJbm5xt5XuM1Nne7v7p+z5afcXTVNVsL0ql3rpfzBp/08wk759QePZ/dlNLcP6&#10;WtLp9ozR422s7Kau1DmepTWtS9v7+jTsO6P5VX1M0X4quq+KsmUf5G2t+di02U1t/PvLxoqZqvcC&#10;AAAAAACmFCXpYHP7onXCIy/ZpJWEJz96lshJ2SLByab8RErDftZ2NWTFbZJeDZQ9JlYK+yf4wqvZ&#10;Qv4VVBoruzkVbPPc3/tpyk4I6ja7P7upkH8shifzgiu/dCVu++/7UqHujoWyk3dF85Cy+31umtz1&#10;8+8rWiZ/uuymNmX3F/HXRfsqu3mS6dgmOqazm6OKysdO+fPPWw83r4n/mFGyjOJPH46pf0+MVW0d&#10;WtO7Zc1uyuWmiV7N1CS33K0ysRfz8LdR+HokdeZfZ3u7aSaOhR4/P/1jJLupY23rWOEYCRUti8bL&#10;vc97DRim15K0ALL7XLKbO+IeX3os1OHv67L3df9nBO3j7ObUdOw74x5T+fnbtpzBfqr7s0mobNkH&#10;eVu7aQqPOzdWI6/hTY0DAAAAAEBfoCQdbG5fTJwczEk2aSVu+tLxmko2y0rW8E7mFmXQ/ke7f8K2&#10;7GScTwXCxHq3n3zzT/DF7vcFVxO1FczhCeMKJ+e8K2Inz9PdXuukcdGJwbb7utjnRfOQsvt9bprc&#10;9fPvy1ve7AqNwgLFHye7qTJ/XaoeE73cJm1lhZsuu3kSLas33aQT5p3SPG3MvPWouoxSdLJcNA/v&#10;/sZL0rZlDZ7LTamz7zuh5Z5Yh8jvJK14DEud7e2mmbLnpz9Nt+9XbetY4RgJ6TH2+OymlsL7Ku6H&#10;QXwtcbcXvo9V5R5feizUEezrwmUrel+fjn1nqs5b2qYN9pOeNxPjzEz0n6ayuyYZf962F+dlyz7I&#10;29pNU3jcVV2mMnWWCQAAAACAvuc+nFOSDjC3L1onRPKSTVqJm750vKaSzbLU5BNWual9kni6reGd&#10;dC860RdqL0Tay4To9poROxncfsI4Nn/3uFZpoWI2Nk1WHnjlRvyKWHdfrZPGWmabPjwJ17aObt5a&#10;huyuWormIWX3+9w0uesXnEidtC+yk75tX7uc3dXG3V5rG/rcY/zffTvpuTJpP7r0cpuEJ7pjJ2zd&#10;7ZN/X29k+3XCjdVatrz1mLSMwUlwo8cX/ccF0TTeOJXWYWK88tc2LWvZMvi0v/WY7J8pzUevLXnP&#10;J7fcnb1eabn0PC14jBuzbV+XHXsuhdukzvaeyuenP03ZcpVpW8fI9siOh+hX2/vHtqbLbm7ReHZ/&#10;dlOLu21oX0v8/+yg7VJ2nGveseeLe3zpsVBHsK/zl7/kfd3dNuX7zviPcSl8/rZNG11P73nknpvh&#10;a5loX2bPgbZ5lS37IG9rN03hceePpWmzmyfRfb14LwAAAAAAoC9Rkg42ty/8E0XRZJNW4qYvHa+p&#10;ZLMs5aattkzB1QL9ru1EXE6xmEcnpfx1908QBif4Jk7su3mk5er4SbK2barbs4e30Qmy7CRja1qX&#10;pekY45nr3190Ujl9XDZddlOhbDnT6fNOHEaWbTzjJ/A0v/ETfXnLVGEeRff7NC+bNruppe0qQxct&#10;k8ZT9PfYemQPbeNur7UNfTpG2uajYsgtl5bB/fuIbJu1LUMvt4mkx2N2fxb/2JpYHv9Esrsve3hX&#10;0nllYxatR7osNu/x+adf5ZzePn5fW3mm+7KHtsm2s01TaR28cQsLBROetNfjXI7QvC3jy90qBdvL&#10;g2yb6Djxj9FsXH89Ky2P8R6XbT8de+PbLz0GgmNPt2UPbRO+7rnY8aL90fYaOr7c2XQl23sqn5/u&#10;vvayzo6l8XWpdQVw2zpG9knrvvHt2zoO9Pf214LiEiq7qWXYX0vapmk9ZsP9W9tPx8v4so8/JyLj&#10;uNtLj4U6sm2bjhfsO/99ve21KPY8mo59Z+o8f/3x9ffs5pZwPdK/j48zvs/bfvZp/49k/tixZR/k&#10;be2mKTzuqu6D9HZ3v5Zf66b5ji93d+8FAAAAAAD0JfehnZJ0gKUnXSL7x082aSX+yZgep9LvkdJJ&#10;pshjJyc4wTYI0pNS2fLHTrCV0Tp726B1tVB2Ai69Pf172T51y5E9NCo7qdZ2QjAatzx5ZaS4aWqd&#10;NPaXO3ZiMFIIFSa2jUvnUXK/z01TuH7aznZ/Tpb502QPa+Nu7+rEe9k2y040T9k2Sa+k8aaJxs1P&#10;04b/7pYbqzXf0vXw1rkoRc9jzaM1bcV18MaufCJa+7jtxHxRwvKg2nNqWd7VRXmqvE+1UrJt3P3R&#10;55HWOZskVXd7543rpZHnZ3bMx19Pg/1Rpm0dI8dIhXXStom+/rv7Ctdl2F9L9Fxue2xxJl2t624r&#10;PRbqCI9n9+fkK2P95OxXmep959Ny2eP8hM9ff3z9Pbu5jX7eqPBatyz8uaRs2Qd5W7tpSo87La9N&#10;48ffB716LwAAAAAAoC9Rkg62tMCascG1OSeKlupERzZpJZP+53vvEv0KwJjshE70pPL4CaYNri0q&#10;5/qVFQdaB2337ObK/BNn/sn19JjIbrftkp70844T2266qiF9UAXpSTNvjLZxKhxn49ONPya7qZCb&#10;tnVicvJJzvavRNT8tY6W1pU+k04Gti+nuy13HlJ2v6/K+o0v16Tna+t5auuVN0bdbRiTHh/aLu0l&#10;uwqg43TC038NmIptIumx5Z3cTefvltF/XtgyuVR+7Shix4bGLVsPSbfLeHESvhYt0+1lz+F0u088&#10;ptI6tNbZbcfspkq0LNqf7rGtbapk46VXV+c992PrOb4/qj3P82THXbpM3r60aDmPKNuGJh0nPH6D&#10;Zetke0/V8zMt9NzxF86nynHo0/StMXKOkfHXw+D5rr/r+eXuyyabpMq6ZPt0aF9LWusXPufH1ze9&#10;Ai9vuasub1XpfpyYf1oaji/f5Pf1ov1qWus2BfsupHlMmm/w/HW3tcbPe62S7Lmk15XKr1dumsJl&#10;H+RtPb7e5cddus1K9kG6XD14LwAAAAAAoO+4D7uUpAAGin9yr/SkYdvJ1nplEwAA0y1W3KE32NYA&#10;AAAAAIwYSlIAg8Z7LSr92ua2E55r8/uzAACDheJu6rCtAQAAAAAYMZSkAAaN9zr0lr6uLrs5avyr&#10;4VqvXY18VSsAAFOF4m7qsK0BAAAAABgxlKQABs0a478nzl6L3rLfsaiTmxad3HSZ+J1b7u9lhSoA&#10;AP2G4m7qsK0BAAAAABgxlKQABo3KTvc6tDR8XSrI0k/O2PBj2cMBABgYFHdTh20NAAAAAMCIoSQF&#10;MKiyK0Z1Vemy8DXKZanu0zTZ5AAADJyPr7PhF733Nr42vofY1gAAAAAAjBhKUgAAAAAAAAAAAAAj&#10;hZIUAAAAAAAAAAAAwEihJAUAAAAAAAAAAAAwUihJAQAAAAAAAAAAAIwUSlIAAAAAAAAAAAAAI4WS&#10;FAAAAAAAAAAAAMBIoSQFAAAAAAAAAAAAMFIoSQEMm1ljiz/sZ861iz+SF5smeygAAAAAAAAAABgF&#10;lKQAppJfXF40f/FHlYsXLN5EmTN/8c6z5y3e/+J5C4+cs2DRibMXLJo1Z/6iMffnYvfv+5TZ8xct&#10;V9zf32jP4qTZTIxt88zme1+6PG65smWb5W47UcucLrdbh3Rd5i1eK01WxmarDwAAgD5mP6vGYj/X&#10;hbGfaWNp/UzoxX72bfuZsSCxcf3ElilMuC7Z6gIAAADAaKMkBdANO2GkEzR+0aniUAWiFZwTxWas&#10;kBylZKVrVrRqG/kFa3oyLDuRlW1iAACAoWSFnf0smRZ+WTHYViTqZ6TsZ0yL/ac6S/ZzZ/of7Ow/&#10;2Vnc/QX/2S7289qoJf4fA5XWNsy2q/38anHTtP6zoMX2ke231n7M9q1f3GaHAgAAAABMD0pSADE6&#10;aWHFZ+tEh05CZSedshMnnFjqcVonqbITUnbyyS9Us10GAKXCQsKKiFj5kL7WVCgg0tcoO5k+cXK9&#10;gwLCf8x4whP13rwnnZxP36fstTF7feQEPNC98HXDf+0IXz/81430OZq9VrSex22vD7HXATK6mShp&#10;02Mle80ver33i9f0uHTHKK/9AAAAAGqhJAVGj04c+AWoTjpkJx+44nOAk+677GRSepKSIrXv2Inm&#10;vJPMRSea0+dodrJZ0fPVnrN+7HY/9pgwGi+Mu711IjJ2EpLjaXqEBYV/3Ngxo/2maB+29rH2//hx&#10;MeKlRMFV/NmxnW1qYKiE7zv22pH3uuH+3npv0fMm/nwiZHBiPxv5r/865lvvAd7POenPZvycAwAA&#10;AIwWStLm6EOXfdDiRDKmi51IT4/B7OS5TgR4J7444TWyWfSGnSAKywEdN9khhAKxoipWUmUn4Von&#10;m7XtxxPbL4ObWOlk74HaPhxXE/xjR9tn1I+dfk56Qj1yTPNzHaaDXjsU/32nSsk5/rrBawch3cQK&#10;Vr0n+O8Lbe8NvD8AAAAAg42StDl5JyLyTrZlDwMqs5PsdoLdTo55J8U4GUa6ir1eKZNOArljb5BL&#10;r7wTzVZUpevqnWi251V2goznVhfRNky3p/demG5zbX93bKXFYR8dX3asaJnseLHXXf+YCQuKbP04&#10;doY8eT/XcZIcZfzXlaL3H14/CBnc6HmcPeUBAAAADAJK0uZ0eiJj0sk2nWhzyYbFiLDyxj9plp0w&#10;owBtLNqGbMemkp3Azf36Mj9WKFnSUiGIFVDsrQLZAAD/9ElEQVRh7H57rMbTfCzpfINyyjJxkpn9&#10;PniZ+H2Utm97EY2fzoNjhTSUST/X6TVsCkvUJEk+nOUjLh/NspbLJll2Vv785z/vr7i/H+n+PDHI&#10;rCxjXhYHuS8ny3uU2LyUcLn8ZbbY+ljS9dS6+3G32TZJt1EW227ahmleef2tjV545fXPL7334ZnK&#10;9bfcs8fYDbd8/bLrb/6eew2x9yb/NYbXFkJGJHreZy/HAAAAAAYBJWlzxk+wxj8sdZdF6Vf86GSb&#10;Trq0nXDjyoW+lXe1gPZhmqzUSffvCJ44u/zXN6e5etFtyXU335Xm5rsfSnP7A48m9z7yZPLg408n&#10;jz39XPL0cy8lz738arJi5RtpXn/r7basfufdVt57/w9vujyrvPveHx788+STppNOkL79+3ePWbX6&#10;ne+9uer3X3/x1dcOdPPaQ3noyWd2s9x67yO7Lb7t/q11IvTKRbdup5OhVtilJWBQ1On1oHevCYQQ&#10;QgY1uSWqy033PPgP7n1JBaeVm2mp6d6v/DJT72F6P9N7mxWFbyhuGtT0/h8+SH9+0M8T+llD0c8e&#10;in4W0c8kC2+/L/05RT+z6GeX2H4lo5dLr1vyh4nc9IHlsutv+uOVv7nl/Ync+oHl2pvu/GMY+znY&#10;jrGy2M/QeYktK5m66HNA9nEQAAAAwCCgJG3OeNkV/7A0VUmLGRVv3sm3WKmqqMTLFh05tI38stMK&#10;T6Xtijav8Bwvxkaz9LQTPCo6dWJR0UlGnXC0QlMnI5VhYyeoXaJXvbz73vs3v/n26tteXvn6oief&#10;feF25eHfPnvPHQ88+uiiO+5/8pqb7nxJueLXS9+ObV9CCCGjExUhKubsPw7pPw35/2FIpd4wvpd2&#10;yn62sJ81tJ20vWJlpxWeFEr9FSsax2645V1l/o23v73gxjveUa6/5e63f33rPe/eeMcDv1eW3Png&#10;H26975H3Fft5U7H/XGfRMWDPG3vuhP/hzv+PdnYcxTJsbL389bdtYtvItps9nyzattrWfmwf6Hmm&#10;2H98tOecPe/8ojd2HAxDKEkBAACAAUNJ2px+KEk7T/vXGqr0s6LV3db6+sz0Ssj541+L2Spds1iJ&#10;aLEy1i9l/WSbrVT4OH/McJ7pfL1lskLTruL0i8103bJyM13n8Ss6+R1QXqz49K/utJNOdoLJTiqh&#10;edq2dpJK21wnoezEk0426SRTbL8RQkhZ9Pp+2fU3/fmqhbf+6Zold7xvBcTi2+9/8+Z7Hnrtprsf&#10;fOm2+x957tb7Hv6t4v5+n3LPw0/ecddDj994+wOPXXffI7+9Unng8afPUR5+8tljlMeWP/ctRVfh&#10;L3/+pa0VfTXpU8+9/A/K/Y899TldMan47+mx9/bwvdzez+3nkuh7uv7DWPpeHl/3YYv2ZViqWmGk&#10;6P3DL4isEJnu8scvafxyxi9krIyx8sXe/+w/ZQ172dKPseNNsf2g/eIfe3b8+WWlfwza/u6H4xDT&#10;z38dsNeA2OuAomPMfy3wy9d+eS3Q+1D2MRYAAADAIKAkbc540Rb/sESqht/ZNFXRiQQ7seWfzLKT&#10;V5ywGhw6seSfWLaTSBSp/Rs9/+xEs51ktoLDTjQXnWwOTzjHYicZw9jjw9j4/olI/ySknRSPrQ+Z&#10;uoTHjX/M2PHiHyt2PAxCIfHniSvyc6/Kd7GvUK8cXcX/3Euv3vfUcy8+9OhTv3v0gceefvKeh594&#10;SWWwrlDTV2DGtvWoxX9d8o+xbmPj2fixeZPeJ++1I3zd0PuEvWZQZGJQ6XgNi1f7eafo55wmXqMo&#10;SQEAAIABQ0naHEpS0k/Rh3w7CWYnv+ykFye6Ro9OFNkJIjsxZCeEYscPKY5/slnbMVZSaVv7J5uH&#10;7URzeExxXFULx05/0/bmtZL0Y2IlZ/jaESs5ee0A6tNzRu+9fsHq/6xT9J5ASQoAAAAMGErS5qRf&#10;URv5oKToBJs+VHGijXQbnSSLFaD68O6fTAfqipVeOsaG7XXLfw7Z88g/2WwnmrUddHIsLKpQjx1X&#10;seLJji3tj9i+6odo2bSMio4XLXN4zChaL46d4Re+TtprZOzYISSW2HtQ+P6jY4zXD6B/6T0g9vxW&#10;KEkBAACAAUNJ2hz3gWhW7IOSohMeIZ3w0AkQnQjRiTadHBm2MoLUi52Mt5NmdsJMxwgnytAvdBwq&#10;9vqlE0VWGNhrmaKTvmGsXLJYUebHThxbdJtNb+PYPPxiStFy2MllO8Fs0XOH50//0z7S8aV9ZseY&#10;f5x1GxvPj3+s2Ossxwo6YcesvR7a61rsPZ8MfsKf2xR7f7L3JHt94Wc4YHjouR17TVAoSQEAAIAB&#10;Q0nanDkLFp0Y+6Ck6ERZXWEJYSfcVBBYkUCh2t/xrxawooeTZwAAjCa91/s/19nPdPw8N73xf16z&#10;wtP+Q479Jxz/P1TwMxsw2ihJAQAAgCFCSdqcpkvSOnSixk68+SffdHLHPwGn6CRQbBlJfuzkmV0t&#10;EDuB5heeCifPAABAXf7Pc/r5wi9TKVSLU/SzmrYjP68BaAIlKQAAADBEKEmbU1SS6uRMP9KJOEUn&#10;ieyqVStZ7cScX7bqZJOdpNPJJyteLVYmWmLboqmE8/KXw06O+SfJ/BNl/skyO2Gm9fZPmtlVApw8&#10;AwAA/ch+hov97Bb+3GY/I8V+pprO+D/H2c9tWt7wZzf7ua3oZzYAmAqUpAAAAMAQoSRtzsXzFh4Z&#10;+6Ck6AQPxlnxaLGiNpZwWgAAADQj/DlMhaPKx6bjl5nhz3cAMGgoSQEAAIAhQknaHEpSAAAAAACG&#10;FyUpAAAAMEQoSZsze97i/WMflBRKUgAAAAAABhslKQAAADBEKEmbU1SS6ncqAQAAAACAwUVJCgAA&#10;AAwRStLmUJICAAAAADC8nnv51ehnfoWSFAAAABgwlKTNmTN/8c6xD0oKJSkAAAAAAIONkhQAAAAY&#10;IpSkzSkqSRfefl/2kQoAAAAAAAwiSlIAAABgiFCSNufiBYs3iX1QUihJAQAAAAAYbJSkAAAAwBCh&#10;JG0OJSkAAAAAAMOLkhQAAAAYIpSkzSkqSa+7+a7sIxUAAAAAABhElKQAAADAEKEkbQ4lKQAAAAAA&#10;w6uoJJ2zYNF92ekBAAAAAIOAkrQ5c+YtXiv+QYmSFAAAAACAQUdJCgAAAAwRStLmUJICAAAAADC8&#10;KEkBAACAIUJJ2pyikvTqRbdlH6kAAAAAAMAgoiQFAAAAhgglaXMoSQEAAAAAGF6UpAAAAMAQoSRt&#10;DiUpAAAAAADDa8XKN6Kf+cdDSQoAAAAMFErS5lCSAgAAAAAwvIpK0tnzFy3PTg8AAAAAGASUpM25&#10;aP7ij8Y+KCmUpAAAAAAADDZKUgAAAGCIUJI2p6gkvfzXN2cfqQAAAAAA/e7lV15JFi1Zmtxxz33Z&#10;LZ3R42dstEX6OfrQHxyT3Tq9tBxaHi1Xt+s3aihJAQAAgCFCSdqcfi9J51x2ZevD+TcPOiy7tRp9&#10;cD76hF8kW++6d9txoH/rA7ZOHjTl0cefTM46/+Jk9/0ObC2vsvFWO3U9L62HxvHH1PyGxdXXXJ9u&#10;o3A/aVtqm+pETxFtC3+bl0XHVDemYn46bv0xTjrt7OweAED4GlkUvWfmaWocAOgn/s+p3XwG0WNt&#10;HP1c3g+0HE2s2yiiJAUAAACGCCVpc/q1JFUxplLU3391PpxXPfGp6brV63mF5aEyDCcFwvI3L5qm&#10;6H+K+ydwqqTbwrHX81NpHI7RLyemAKAf+CfJqyRPU+MAQL8If07t5udef6x++VnUf90ehs9DU+n1&#10;t96OfuZXKEkBAACAAUNJ2px+LElVEsWu1Kv64dwvLTWO/q0P0YpdteiP29TJA0XFrsZTwvkodeel&#10;qxDDMZRhOCngn+RQEar9ZNsuLE+1H/OuKPX3gba5jZGXbq/C7fX8YsVxv5yYAoB+YO8fer2Mve76&#10;Kbqav6lxAHTO/4aOut8agzj7D5bart383Ov/zNsvP4v6nx+G4fPQVKIkBQAAAIYIJWlz+qkkVQnm&#10;F4v6YO//u8qHc50I8B+fdwWivsbVn65TdjVk3tfC6n478WPzKvv6WKPp7LFa92E7KaATYdq/eevi&#10;73tFJ6lj/BM4U7Fdejk/raON7f+9X05MAUA/sPfDbl8bmxoHQOf8n6t4LvaXftw39rqtTMXP/cOE&#10;khQAAAAYIpSkzemnktQvxfQ/oFUw1v1w7pefGq+If8Ve0de5diu8GlRXs1bhXxGr7TCKJwX8faRj&#10;IsY/RqZiu/Rqfv6VFNrX/nz65cQUAPQDez/s9rWxqXEAdI6fd/pXP+4be91Wmvw5fBQUlaRzFix6&#10;Izs9AAAAAGAQUJI2p59KUvvQ618xWPfDeXglXpGp/JBt86myXOJfEWtl7yieFPD3pxLjHyNTsV16&#10;NT//Pwlo//vzqXLsA8CosPfDbl8bmxoHQOf4ead/9eO+sddtpcmfw0cBJSkAAAAwRChJm9NPJak+&#10;6IZXdNb9cF7nSlL/a3CrfgVup2w+SpWS1E4AaBntdwmN4kmBUSlJ/TF1BXF4W7+cmAKmm94j9Npu&#10;v2/Nf47ouWOvlz7/P53kXZHu87/qXFezx2hMzc9fDj1GXyNe9rsr7X1K0xu91vnz7OT3X+o1I1wm&#10;Rf/O2zah2HrlpWhbavm1LWydbPqqy1HG3g+7fW1sahwMvlF4/uj108azn7c1nl5T/W/u0POhzmtQ&#10;J6/L4s+zKHVfD2276bXWaAx/+TRvLXPR9oxtL30bjC235qP1i+l2m2jsKvvaXsMUf3odPzZOET1G&#10;y+PvCy2zbfM6P4vqvVPb3F8me5xur/pZy45/e7zWwd9X/vhaPlRHSQoAAAAMEUrS5vRTSRpTtyjS&#10;B2h/n9tJjVCdMrUJ/jKVfd2uv85+oTqKJwX8klQnbWL87TUV26UX87N9qxNBdhLJn0+VYx8YdjqR&#10;a8+Jovgnxo1/ArjsNVgnaG1anagNhf95Ixa9XuWdEPYfr2nCk+hKnee83uf894e86PUl7z1RtF00&#10;TeyxsWibhjR+bH3C1C09Qra+3b42NjUOBtcoPX/Cn1/817pYqvx83M3rctXtFXtsEXucXmvLtmnR&#10;fg23l7aH/1hLqJtt4s9D4xTxP/NoPXz+MZ1H+79oH2i76bi2fxe9TlY5/ou2tej9sOy5qGX2p9F+&#10;QXWr33k3+pl/PJSkAAAAwEChJG3OnGsXfyT+QWkwS1LxT07oA3l4Qtw/KaT7q/7P5k7566D4/9M7&#10;xk7mhyfQRvGkgL/OeSfr/O2rE076t5+mNT0//3jU340/n6rHPjCs/KtKFJ281QlwRa8NfgmqhCef&#10;/feFshP//rzC9w+/4NT7h8a1577m6Z+M199j/DH8E+L6u+7T871sGX3+eJqn/7oUnlCOFTOi9yX/&#10;BLe/Xv62UzQ/3R6e7NZ7qT+G5qv5a1ptx3CccNvWYeuk9bXltJS9x/qaGgeDa5SePxrLHq91tb9r&#10;vTS+ls2/XfF/Lgl1+7qsbaBl0u3+GLrNT92f020sLZ9tU/1pr7H609/W+nvs+a552zR6jP1d+0bj&#10;aHwtr6/bbaL9avflHW/G327afz7/uI3Rtrf7Ff8Y8NchPCZj/O2kaD21Hrpdx084Xt5ra7jt9G8t&#10;j5bL327+MmkeqI6SFAAAABgilKTNGcaSNPY/kfVvjeV/ANcH7qL/0dwU/8RKnRMe4Qkwf51G4aSA&#10;TqLY+ip5J+r8YyQvOklVdKKvjibnp2PVTvyEJ9o6OfaBYeS/LurkaOz1T88l/7VW8U/E+q8nGiOP&#10;xsmbzj+prOdtlRO94Qlw0Ulfu1/RfLp5L9I87D0uj//+EStX/G0XW2b/xH3e65G/3lrHGH8bFu2H&#10;Mv76xKKxtU55+8g0NQ4G1yg9f2I/v4Tlmvjrk/dzq9bTptGydPK6bPzlyts+dfjzszHD+Wpbarlt&#10;Gi1nKLa9in62a2qb2M+FStF7g35uzJvOP2Zj/Ps1jpbLp/H85VBi+0aP86eLrbP420bHeijc1rHt&#10;rGPVn0bJmx/iKEkBAACAIUJJ2pxhLEmNTjL5J0D86IN2eEKgF3Tiw59v0ckVLY8tb2xd/RMao3BS&#10;oMpJOglPrBRF27Db/d7k/PyyJNyn3Rz7wDDxX8djBYXPf50MT/77J5TzxtFrtE0TnjT3X5OKXoP9&#10;1/3wPz9IWJJW+Q8V3fLXK1bA2DYueq31t1/IX+ey1yt/O5btzzz+fi6K1qto+zY1DobbsDx/wp9f&#10;YoWu6OcWf7qwxJOmXpel6Z93bCwlfB33+ftV6xMKt1fRWNLUNvHLwNj2Ev+YiR13/vihsGzP+zlV&#10;t/vHbWzflD03fH6ZGs6zyn8SEH9+StF7MSYrLkkXJ9npAQAAAACDgJK0OcNckuoDuH8yyY/Gip30&#10;aZp/kqJs+f1ljf3PcX+sYT8pEJ6YKltf3R9uM+1/naQKj4G6x1FME/PzT3CV/a/6JpYZGET+86Co&#10;gDD+CdRwev9KlryT3f6J2vB1x26vshxFhYhfksae+73gb8fYCWi7r+i1xn8PCl///HXSPiii10mb&#10;tuykeh69fmqdwhPtWi7tZ/9kvBLuS9PUOBhuw/L88dej7LXHX97wuPfH6fZ1WfzxirZhVf68wud2&#10;yC82y9azaKwmt4mOj7Kx/Pez2HHg77+Qf7zlvRca/3iL7Rt/PmWfq/zyN9zWdnuVcfz313AcFKMk&#10;BQAAAIYIJWlzhrUk1Yd6/8SHHhuWV0rsxIJOTmi+eSk74WL8ExhalvCkmM8/IZJ3wsI/EaHlGFba&#10;vjopVLY96vBPRin+SUjNL9zHfor2W56i+Rm/jImdENK87f46xz4wTPyTuXlX1Pj0fLbpFZ+eZ3a7&#10;XpND/mPDE9P+81EnaP3XiFiKTuL66xTe1xQr/yxlJ9TtvqLXGv89KHxd9O/TvPx5h/GXpVevbdqX&#10;/j6oUlrENDUOBsuwPn/0eHtsbD18RYVWk6/L4i9XE68JdcYKt72vzvZqepv4PwfHfg71X5diP0P6&#10;6xXyf/6M/XzqK9s3dp+iaYvifw7zt6f/GajKa6y/bhoX1b3/hw+in/kt2ekBAAAAAIOAkrQ5F81f&#10;/NHYhyRlUEtS/0O4ToSrMDU6keCfHFDCEs6/L5ayEyXi/89rpewkhH3g1/LqxEnMqJwU8E/86O95&#10;26Muf7/7V1D4J7by0om8+Yl/XOcdT50c+8CwyTupWsSmV8KTx/7rqP/eIP5/bghPcvvPx7oJX6/9&#10;15wmX8u1/OH7Wyyx7Wj36TU3j3/SPuRv1zrp5Wubf+JdiRUNVTQ1DvrbKDx/qvzsYYpep5p+XfaX&#10;q4nXhDpj+WVwuC51tlfT28Tf/uH7kaa1+/KOOf+YCvn3lb0Hle0bu69u/G1Ud//XWX60oyQFAAAA&#10;hgglaXOGrST1/4d9UcHmnwxX/JPl/hWosYT/0zykE6j+GGUnS/xCtWjsUTgpEBbcTRWk4u9z/6SS&#10;f8zEouXoRN78RP/W7TppmreOdY99YBj5r3udnHgOXyv952X4H2T8giQswvznY53EnuP+ye8mXss1&#10;vr+dyhLbjv66axuF/O0W/qcPqTN/P2Xvp93yi6mwFK+jqXHQf0bp+eO/jpW9nha9TjX9uuwvl8bu&#10;Vp2x/PUM16XO9mp6m/hFqF5/fP7PrXnHgL88If++cL6hsn1j99WJfq7251s2j1Cd5Ue7spJ01tji&#10;D2enCAAAAAD0O0rS5gxbSeqXk2VXe/gnRvL+J3ZdYUEanoSP8T/sa5ny4p+k1bh2e/i/zwdVWJA2&#10;fbWOfywpvZY3v/CY9vexH397aN/b7bETsMCw8ssHHf9V2PRKWFDq33afXmfsfv/22PtB3feiIloP&#10;G0vjdsvfRnqt0GtE0ZVase3on5BXdOWSHqP4V1opsWXu15PW4ftrp5oaB/1nlJ4/Zevh0/15y9T0&#10;67K/XN2+vkqdsfz9E65Lne3V9DYR+w91ir8P/NtjjxP/mArVOd7K9o3dp3Sq7v6vs/xoR0kKAAAA&#10;DBFK0uYMU0nqT1ul9AxPanVL49UtSMVfhk5S9WRMP/NPUvWiIBX/So4qJ2G6lTc/7S+7vdMAo8J/&#10;vlR5rfPLzrznin8y2/7Tgf98jV2ZU/ckbhF/nbo9weu/j/mlb8hf/th29P9TRlFse4X69aS1/5+L&#10;ulmupsZBfxm150/ZeviKXqf8+8rGkbLXZX+5mvj5rM5Y/rYPrxLvdHs1sU3Ev2LUPlP4x6zey/L4&#10;6xUqWudQ2b6x+5RO+fOo8vnNX/7w2EQxSlIAAABgiFCSNmdYS9KyaY1Nr3RDJzv8/9ldtSAV/8N+&#10;J8k76TYo/HKiVwWp+Ccx6+yfTuXNzz9OO4lO1gOjwn99qHLy1J8+733A/4pzO8nsF6c6CR2qckK7&#10;Kv9kercneP3Xk6LXNX+68AS+XnPtPp2UV/z3M73maOzYdjFFV2NNF79MUIqWv0hT46D/jNrzp2g9&#10;QrrfptXjfE2/LvvPsao/vxexscqWLXxdD/dRne3Vi/cqf/n087H4xanGyON/tgj5+1bHXhH//TK2&#10;nP6xHh4nddgYita7SFPzHFWxz/wWSlIAAABggFCSNmdYS1I7mVDEn77KCY08YUHazVhF/BMew3JS&#10;wD9JpPTqd735JzF7OR/TxPzqHPvAsApPYpe99vmvxUUnkPUeYdNVPUFfdewyReVDXf7rRFHJ459Y&#10;D0/2+8vTaQHon0jvl//I4Rff3bwvNzUO+s+oPX/89Q3XI+SvV/g61YvXZbu/ifW3sZSq+zU23zrb&#10;q1fvVf7rj44Te1zRlc/if2YI+cdb0Tj6WdZ/r4y9P/oFf9G2LuNvj6JtrXnYdErZdsZksc/8FkpS&#10;AAAAYIBQkjZnmH8nadGHdZ0QqPqBvIx/IkJjFp206IY/n2E4KeDvW6WT0sGu2CgqITWfspM8VU3l&#10;/Ooe+8Cw8k+K6rmlE7chve7605WdaPen9V9bi16HwhPLseXwqTCJvR8UlQ91+f8hQ8sUm59fBCjh&#10;+53/WqPt0ul7mP+eWvT+a8q2Xx6tp9Yhr5AKjwUltp2bGgeDa9SeP/6yhusR0v02bey4958bea+H&#10;4XOo6HXZplG6fZ75YykqGsP9ouXVcts02s+hOttLmt4movckm9Z/ryo7RvxpYzTforG07v72UWI/&#10;i+r105+u7Gd5rX/sNddfz9i2C7ebpdtjZRTFPvO3cu3ij2SnCAAAAAD0O0rS5vRTSaoPxDoJ4Sc8&#10;kRDeH36I9j9kKzrppBMf+hBt0f969j/Qa5rw5ElVWgZ/fho7XMZY8k7KFvFPeAz6SQFt73AfxLZT&#10;mPDki26zMTSeToTZtNoX/klHm6aTbW+mcn7axzZO7MQUMCrC1wt7TthzT+8T/v36e+zktM9/fvkp&#10;ey8IT9Lq33pdsvcXFalaJnst0N9Dus0e38Rruf+6o7/b8uhP/33DkrdM4Ta26L1X4yh6ncvbtrrd&#10;H8Pes23bKHo/9vdXJ2x8Revrv+/qNTlcD90f40/TzTgYbKP0/NEYNn5sPXy636bV40JNvy7rOedP&#10;a89HbQftizr8cfy/a5k0pj8vRfs9ps72kl68V8XGVIr+s574x26M/59+FDveFP+x2jb2HNHtMdo/&#10;Nr1NF3720ri23fPG8Z+Liu0vHQv+NtDt9vfYsYlisc/8rVCSAgAAAIODkrQ5/VSS6oNwbL8VRY8J&#10;6cN67IRCLPqgXnZSvIh/IqFOYstdxp/XoJ8U0PL726NOfBpnqva1TOX8/G2ksYBRphPJ4QnUWHSi&#10;t+yks9G0/mN1ArcKnbD1H1eU2NVJ/ntdE6/lYbkSi5bD/p73vulPX5a8wlDLEm7XvGiZOxEWHHnR&#10;+EXlSlPjYLCN0vPH/7mi7OfQKq9TWt6mXpeL9kPsdbSIPU4/O5X93Kblz/tZrc72Mk1uE+OXgkqV&#10;fe9/ZshT9l6m10htGxur6GfROp+98t5rtT2Kjn+Nr3LX3y95xybyxT7zt0JJCgAAAAwOStLmFJWk&#10;Vy+6Lfs4NTX8k1BVk3fiRFfv6T59oA8/tOvkhU44NPHBus7Jcj+dnHD1T+hWPbHSr7R/qp5M8aOT&#10;JyGdwNH21PYJT640ua/NVM1P+9jGzTuhBIwae+75rx/6u26r+7oavufUed7q+annengyXK8Jet/R&#10;CfW812l/vk29lut1Se9H/vJoWbSMdjW73Re+b4ZfI6ztqG1hsatjNZZNp+Rtb3uNjL3/6jaNo/s1&#10;Xae03bS+Gs8fX/PTbVrHKuM3NQ4G26g8f3S821jheoR0v01b9jql5WnidVnz0WPCMequqz1e20v0&#10;eG03/2c23Ve2bHW2V6ipbSI6jvxxqhS2th31uCIaO1xO/Vu3GxtLfxbRc0XLpm1rYykaW7fpOabn&#10;QxHtK40RPhd1mx0H/n4pOzYx2WXX3/Tn2Of+NJSkAAAAwOCgJG1OP5WkAABgavnFQdkJZ784KTth&#10;DowCnj/9x7axlaQAJhSVpDovkJ0iAAAAANDvKEmbQ0kKAMDosp+RdOVOGV1dZNNTQAA8f/oR2xjI&#10;R0kKAAAADAlK0uZQkgIAMLrsZyR9JWLZ11ra1y4qdb9+EhhGPH/6j21jSlJgMkpSAAAAYEhQkjaH&#10;khQAgNHl/65EFT32e+N01ZtFvw/O/1pR/b2sEAJGAc+f/mPbmZIUmIySFAAAABgSlKTNmTNv8Vqx&#10;D0kKJSkAAMNNZY3KhNjPTbFo2kcffzJ7NDDaeP70H39bA2h31cJb/xT73K9QkgIAAAADhJK0OZSk&#10;AABAV7zpqjj9bsXw5yeVDbpP0wCYjOdP/9AVvdru+npjAO2KSlKdF8hOEQAAAADod5SkzaEkBQAA&#10;AABguFGSAgAAAEOCkrQ5lKQAAAAAAAw3fb6Pfe5PQ0kKAAAADA5K0uZQkgIAAAAAMNyuu/mu6Of+&#10;NJSkAAAAwOCgJG0OJSkAAAAAAMONkhQAAAAYEpSkzaEkxSh4//3VaVateiXNypXL07zw4sOtLF9+&#10;ZzSPP35jpfiP8cdVbH6KLYOiZQLQ3/7053db+eCPryd/+ODFNO+9/1Qr77z3cDSr37m7UvzH+OMq&#10;Nj9F87doeQAAAKqiJAUAAACGBCVpc4pKUn2IAqaLFZtWLloB+eBDC9Lcdtv5aW5cclry6xuOS+bN&#10;/0Fy+RUHpZkzd980552/a5ozz9p6IKJltWXXemidtG6K1lPre/fdl6bRNrBy1i9jKV+BiWLTykUr&#10;IN/+/dI0b749P83rqy5LXnvzwuTVN85Ks+K1X6R5aeVPkxdfOSrN8yu+NxDRsmq5Fa2D1kfrpmg9&#10;lbfeviGNtoEVtH4ZS/kKAMDwKipJL16weJPsFAEAAACAfkdJ2pxRLEnfX/12mlUrXkxWLn8izYvL&#10;7kmeuWNJmscXLUgemje3lXvmnp3m9lkntbLklB+1csOxB+fm+h8fmObaH+yfLDjiG2muOni3NGMH&#10;7pJcedDX0lxxwE7J5ftvl1z5nV2Sy9yf+vel+22TzN1rs+RX+2yZzN1z0zSX7L15cvFuG7cye49N&#10;0szZy93v7otlzI214PB90uWxZdY62HppHbXO2gZKr9iVnFZ4quCzslMFoJWcVm7GSkRSP1a6hoVr&#10;WLZa0WpXuQL9xL+KU2Wnyj0rO1X++QXnIBWb/R4rXsPCVdvdL1vtClgrWgGMttWrV7ey4pUVaZYv&#10;f7qVZcseSu64845WFi1elGbe/HmtzL1kbjLrvHPT6O+x+NNbbKwwNi/NW9FyaLm0jMCooCQFAAAA&#10;hgQlaXMGuSRV0Wklp19uWpGpUlDloEpClYUX7LhumrM3/0w0Z2WZuO3Tk+5L79/sM8k57k9lYtrh&#10;i7aZFasqU61IVblsiorPfi497QpTKxDD2BWpYbROYfz7w3FsPv22/nVi66J1tYLVL1n9q1ntSlag&#10;KpWfv39n/Otq/eJTZVy/lp5aHv+qzTC23GHsatUwdn84js2n39a/Tmw7aT39ktWuaKVgBaafX2Za&#10;iemXl1Y+WmF5yi9PTo796THJ4UceluaA7xyQ7P31vZIdd94hzeZbbjaw0fJrXbROWkdF66tC1opW&#10;FazaVkAv9aq8pyQFAAAAhgQlaXP0YSj2IUnpZUmqws2/2lFRmalc8a0dkkv33Tq9svLS/bZOr6Sc&#10;s8dX0oLz/O3WSWZtvVZy7lc/Hy32SO9z1u4zkjNP2Cw56/StkrPP3DZarDUdKzStqAy/flbFrF0R&#10;GZZ2Vtwp/fQ1tFYwW8msaJm17FY4W+lshWT49cJW0lohG9t20xm/YL3u+mOTG35zYrJ48cnJzTef&#10;ldx8yznJLbfMSu659/LkjjtnJ3fdfUly3/1jrfW0WClrV8Haevvr78fm2YuE81LC5bHltNjyK/56&#10;2T61hMewHcd2LFvCY9qO6346tmO0fFru5c/ckjz7wo+SZ1443P0ZL9aajhV1Vkb6V0MqKmb9r5/1&#10;Szsr7uxraPvlq2htWWzZtJxaZi27Fc5WOlshaVfdav39gtYK2di2m874BevKN89LVr41O3n9rUuS&#10;N94aS95YdZVbl6uTt1YvSt5cda1bv18nq35/Y2s9LVpfW2d/vf3196P59SrhvJRweWw5Lbb8Flsv&#10;26eW8Bi249iOZT/9fFzn0fJpmbU+Wk9tg7mXHpqWWnvsuXVyyGHfaCuzrNDyrxYcJmGh6V+VaaWm&#10;tkGs1FT555eaYUlI6kfbUts2LFTtitVRL1SthLdoe/ix49iPbTs/doznRdu8m8TGVGLL4i+rrYet&#10;X1WaVo/XPOw/IdhzVM9N/b0XFt5+X/Rzv0JJCgAAAAwQStLmTFdJqis+YwXcqMeuUFX8q1fTK1hL&#10;oytf/Yzf3nr8Zl6y+zpJWpJGCrGq8QtPK5FUGllB5BdB/V789Cu/fPVLVytcrXzU9reiUfukL694&#10;PTuL/n5mlvTvWyVnpNNsNTEtaUX70hIreWOlbt1C156zDz98ffLAA/OSe+65LC2+9fjrr/9pcull&#10;30nne+6snVrLde5520YLsarxC08rkVSYWEnkF0GDUP70I22zsHgNC1dtd21/K/e0T/qxaH0hy/Ov&#10;HJI8//LBaZ5TvGn8v5OJaH/a8y0semOlbqzMLSp0lfS4eue25K3VS1wWusdenbz+1mXJyjcvcPP5&#10;eTrPF145PLp8F83dK1pYlcW/UtCKLSu3rFRUrGzNi11dGUtYvvj36bE2D83TCkwrMa0kCctMS2yd&#10;Bin+umjdbF/Y/gj3SZifn3RicvRPfpz84IdHpTniyMPTHPCdb6fZ/4BvtmXPvfdsy+577p7stMuO&#10;yTbbbR1dvl5mh522T/Zw89dyH3f8z5JzZp2T5sqrr0yWLr05eeSxR3JLQyUs6sIyr+i4s2PPP/7C&#10;41Cxbe8fjxb/uFRs/4XHqBJb/1HM9jtum2y3w7bJTjvvmO5//X27HbZLttrmq9Hp/Wib90JRSTpn&#10;/uKds1MEAAAAAPodJWlzKEk7T6zMHL+vvaC0vw9Kxpc5W4dYqbrzmm1ljOXsc7ZLzjt/l2T23H2S&#10;q676fjJv3lHJwkW/SB586JrkqaduSV566TFKzz5gVx1aiWpXr/ol6i23nJ1e9XnF2CHJnDn7pjn3&#10;3B2TM1RInrl1clZk//dlrFxV/ILVRQXreMmqULROjm0T7fPxv2v/N7HvY4XHcysOSQuZl1cem7zy&#10;+qlpXntzTlak3Jm8+/5jFJ59wIrnvBJVUTG28q2L3T78pdufP0uLrudXHJa84JIWldrnKi2DY6Df&#10;kluw2jq4qGClZI3Htku6jbxt1lTOOnf3aLFAuouVXH556ZeWVqxZUawyTgWdFXcq8x55xP1c8czy&#10;tPTT35UlNy1pFXl+aecXdX4x5xdxU1u8bdr278228O+b3mhZJpZHy9m+rGS4oudDL1CSAgAAAEOC&#10;krQ5RSWpPkT1in7HZVvx5sUvHbtN+9gFV1mSyjlr+y8EpUf9gsmuarMr2ezqNf9KNfu60fCrRv2v&#10;GB1GVmJakWllpl9oWqlpxaZiV/1pO9oVouFVolN7pWhWrmUFW1tJ6ZeX/Z5I0ZqWxa3bxq9ojV/V&#10;Gv57qqL52rzH/54un7c/tA5Wek516f3M8wdFS4+qsava7Eo2u3rNv1LN/8pR/+pS/ytGh5GVmFZk&#10;WpnpF5pWaobFpmLb0q4UtCsHtb2n6kpRv3RsFWwWFZYDULBaWiWrLXO2Hla2hgVrur5Z/NunI7nL&#10;pnXwbp+WuO15yqlfaysU2guk0UlYaqpgjJWaVkxaqXn33Xel5eU9997dVmaGVyXa46qWmbFlHO5M&#10;FJX9evzFnxuUrP0ePdd6gZIUAAAAGBKUpM3px5KU9Hm2/mxQelgZM70Jv1rUilj/q0Ut/leM+rGy&#10;tmpiYyjh/BRbFistLbbcU1tg9muswHN/98o8FZMDc/UqSYvldH9ZKd56jRj/s9uStBep8tWiFv8r&#10;RsNYyVglsccr4fwUWxYrLC223FNVYPZ7rNizMm9SwZrdT/o3rWI5uD3MyUFJWj2Ti6GqBetXt94y&#10;2Xa7bdLoqzN32XWnNDt/bTxf233XVvbYa/c0e319zzT7fXPfNPpK2IO+993k8CMOa+UHP/pBcsxP&#10;j2nlxJ+fmPzytF+mOfmUX6Q5/YzT0pz0C913instPaNVWlpx6ZeXYYE59VdkkqL0a6FaN/bcqfoc&#10;Go8VtGFi0w5XJrZRfH39bUhJCgAAAKAQJWlz9GEo+iHJpZcl6e2zTooXcKT/06clKSE6FilYe5js&#10;qlptT7uaduIK2uqvA08s/0609CBkumJXSbb+bldL2p+vHDJe3pGOU7X8rJqfHr9LW7lAyLCmXgFJ&#10;+iPdl769Kklvvvuh6Of+NJSkAAAAwOCgJG1OP5Sk+r2ebSUc6fvEig9CBjdW8LWXrGmyr9htFa2D&#10;9FXBZSksPf0/m80jTxzQKjqsmCJkkOMfx1a4tl3FqvtUEA7R1awqPaezOKYkJSRMezFHsdp0pvZq&#10;V10p3guUpAAAAMCQoCRtznSVpEtO+VGrcKMkHbzEig9CiB8VjH7JOP5vlZCtItYvY+vGHp9l8hWd&#10;/t/7K48+SUlKSJVY4Zp3u32lcO34Y7iEY/v/7tcc9cMdW2UCZRAhTWZyGThoV7PGl3VqS85uMx0l&#10;6ex5i/fPThEAAIAc/5fL+i7fcDnM5Wcup7tc4KLSQbft47KNy7ouf+MCAD1BSdocSlLSSWLFByGE&#10;VMljv6UkJYR0F78kJYSQYQslKQAMl3922cLl2y7HuahUuzAnZ7uc5HKkyx4uM1z+0qXX/qWLlnOD&#10;Cpk5hfkHl+n0eRfti5tc/uiSdJDfuVziojfaT7oAQCMoSZtTVJLqQ1Sv+CXp2Zu1F3Ck/9NeevTn&#10;1WqEkP7M408d2Co6KEkJIZ2EkpQQMsyZe8nc7FNzsyhJAWDqqNi8yOVNl1hxVjdjLp9w6YUjXGLz&#10;7Jcc5DJVdKWorhLV9n7LJbY83eYel91cAKArlKTNma6S9IZjD54o3ShJBypnubSXHpSkhJDqoSQl&#10;hHSbgw7ZLlosEELIMISSFAAG3y0usYKsm9zo0jR9dWxsXv2WXl9Nu4nLlS6xefcqz7sc6gIAHaEk&#10;bY4+DMU+JCmUpCQWSlJCSDd5/GmvJH354LbigxBCqmS/b20bLRYIIWQYQkkKAINNX6sbK8W6zZ9c&#10;mnaWS2xe/ZaNXXrh6y7LXGLznKrc7vJPLgBQCyVpcyhJSd1QkhJCugklKSGk21CSEkKGOb0qSW9/&#10;4NHo536FkhQAmvFvXZr6it0wf3Zp2nyX2Lz6LYe5NEml68MusXlNV1TYAkBllKTN6YeSVKWbX8KR&#10;/k976UFJSgipnraS1Cs9CCGkavbYc6tosUAIIcMQSlIAGFw/d4kVYE2laUtdYvPpt/zYpSk/cInN&#10;ox9ytAsAVEJJ2pyiklQfonqFknSwEys+CCGkSp5YTklKCOkulKSEkGEOJSkADKaPusSKrybTtEEp&#10;SY93acIRLrHx+yn6umYAKEVJ2hxKUtJJYsUHIYRUCSUpIaTbtJekm3p/J4SQwQ8lKQAMpjGXWOnV&#10;ZJo2KCXpSS7d+j9cYmP3Y3ZyAYBClKTNma6SdMHh+7QKN0rSwUus+CCEkCp56nffbRUdlKSEkE6y&#10;/U5beoUCJSkhZLgyHSXpxfMWHpmdIgAAdODLLrGyq+k0bVBK0mNdurW1S2zsfswfXP7fLgCQi5K0&#10;OfowFPuQpAxKSXrvpedmo1b32jNPRsfyo3FXPL4sWb1yRfaocfr3Cw/elSw64bDo44Y+W382Wnz0&#10;Krfeel6yevVr2dYf9/wLD0Wnzcs9916erFjxxKRx9G+N9ZuFJ0UfV5TZc76RPPPM3dlI4z744L3k&#10;6nlHRqcnhIyniZL0squ/nmy+42Zt7/GH/nj76LR5OX/uHsm3D9l20jj6t8ZasHDf6OPycvp5uyd7&#10;fmurZOYWm7SNt9PeWybHn7prcv+jB0QfRwipn/aStNns9fU9kzvvujN7Zx/33nvvJd8//NDo9LFo&#10;2iU3LUlefPHF9LFGf3/mmWeSa669Jp1P7LFl0WNXrVqVjThh5cqVyQknHh99DCFksDLrvPqfb6ug&#10;JAWA3rnHJVZ2NZ2mDUpJepRLt37iEhu7X6PfbwsAuShJmzMMJemzd96cjVrdWy/+LjqW8vA1lyXv&#10;rXozm7KYytLYGEOdKSpJVUKqwIx5882Xoo8Js+zh65J333s7e1SxOsWritu8cXVf7DGEkPF0U5Kq&#10;aFSBGXuPVxkZe0wYlZlhkZmXKsWrytSwaI1lrQ03TucdG4MQUi+xUqGJnHPuOdECUnRf7DF+VI4+&#10;/sTj2SOKaT51S00Vq37pGlK5G3scIWSwcsovT86e1c2iJAWA3tjXJVZy9SJNG5SSVNu4W2e5xMbu&#10;5/xnFwCIoiRtDiVpe1R61qWrTWNjDW2moCQtKiGlSkmaV7AW0dWmsbEsRcWtoSQlpDh+SVonunq0&#10;qNysUpLmFaxF0dWmsbEUFaQqP2OPy4uuYI2NRQipnlip0E1UPj744IPZO3lcWUmqgrSowIzR9HWK&#10;0rJlpCQlZDhCSQoAg+N/dlnpEiu4epGmDUpJ+s8u3ZrtEhu7n3O2CwBEUZI2p6gkvfeRJ7OPU82b&#10;7pI07+t2P3jv3WyKem4758ToeMOYs7b/QlB6bBX8u/NUKSGlSkmqr77tRF7JWVbcGkpSQopTtyQt&#10;unrUT5WStG6haVFBGxuvyhWkYbQMfPUuIZ3nyeXfjZYKnabo6lFfWUmqr9fthL6SNzZeGJWwZShJ&#10;CRncbLbFxN+P/ekx2bO6WZSkANC841xi5Vav0rRBKEkfdWnCpS6x8fs5z7kAQBQlaXOmqyS94diD&#10;J0o3r4DrJGFJqn/HpqsSo7JU48z//t6t+/Q1vHkl6ihdTdrLkvTJJ6sV3lVKUqOyVL871P9dofoa&#10;3rwSNe9q0qqlKyUpIcV59oWDosVHXvT7PGPv6WGqlKQ2rYrKHx+/c7Lktv1b9+mrcPNK1NjVpJo+&#10;nE6P968UzRtT6+SPRQipnqZL0qpXf5aVpP7vMVXxeellv2rdp4JTv4s0j+73x4pFY/piX+tLSUrI&#10;4GYqSlJ9vo997lcoSQGgvr93iRVbvUzT+r0kfcxlfZcmdFqS3u5yl8uhLvu4bOeyt8sRLro69XmX&#10;2OOaysddAGASStLmzFmw6MTYhyRlFEtSXWGqr9ydu9dm0fufXHJdNpd2Rb/jdNjSy5JUZaZPhaUK&#10;zVCVkvS1155Nr0rV1amx+/MK2byxfbqiVMulaUOUpIQUp25JqjLTfy9XYRkrKKuUpHt+a6v0qtS8&#10;KznzCtnY2LGrSPX1u+F0sWXVY8PpCCHV8sCjB7YVC93GpytKr7n2mkmFpJSVpPraXD0+bzp9pW+n&#10;v+9U9/u0fOFtQklKyHCEkhQABsOvXGKlVlFOj9xWJ03rpCT9/7sMol+6xNYnzPsuF7hs5PL/cqni&#10;yy63usTG6zYqZwFgEkrS5lCS1ovK05jRLkmbi5WkKjjtyk+VjqEqJWlZVJ7GFJWkuppU5ajdRklK&#10;SP10WpKq4LQrP/X1t+F7fJWStCwqT8NxY2PHpisqPmNXk8amI4SUpxclqa4mVTlqt3VSklZJ3u8U&#10;LRs7LFc1PSUpIcObw488LHtWN4uSFACaM9MlVmiV5cOR2+qkaaNUkh7gElsfi77Wd1+Xf+3SqRNc&#10;YmN3k2tdAGASStLmUJLWT8wolaRn77xmtPhoIiou/a/FVXpVkioxeWP/ZuFJk26jJCWkfmKlR1FU&#10;SPpfi6v0qiRVwnFjY8fmrzLXn8aPHh9On/d7TgkhxWm6JNUVoOFtvSpJ/a/k9RWNHT5GX7Or2ylJ&#10;CRneHPCdA7JndbMoSQGgOXe4xAqtohzsIrH7qqZpo1SSbuISW5+VLnu6NEVXocbm02nudAGASShJ&#10;m1NUkj74+NPZx6nm+SXp2Zt5BVwHmcqSVL+jNEZf0RubfijTw5I0ll6VpCpjY/QVvbHpY6EkJaR+&#10;/LLjOe/vddKrklRlbDiuoq/o9acLvwJY8X8XaZi60xNC8tN0SRpLr0rS2O8RFX0Vb2x63e7/zlT9&#10;3X5/KSUpIcObvb++V/asblZRSarzAtkpAgBACf0+yliZVZTlLiZ2f9U0bZRK0n9wCdflVJf/1aVJ&#10;/x+Xd1zCeXWa37oAwCSUpM2ZvWDRrPiHpMEtSWNWr1yRrHh8WXLbOSdGx6iavN9J2u24A5UhKUnz&#10;fidpnZKTkpSQ+vHLjn4rSfN+J2l41Wes9Cy6MjQ2fdGVp4SQ/Nxxz7eipUKT6VVJ6heeRvOKTauE&#10;papfglKSEjK82XHnHbJndbMoSQGge3/h8pJLrMwqytYuJnZ/1TRtlEpSme+idbjRZU3d0CP7u4Tb&#10;rdO84QIAk1CSNmdUSlKfvhpXv1s0NlZR9Jj3Vr2ZjTJhpL5qVxmCklRf6/vue29no02oOy4lKSH1&#10;45cd/VSS6mt9Z26xSaVx9ftRw+koSQmZmgxqSbrkpiXZSO3yxtXXAPv0e0n9+ylJCRm2bNr6OyUp&#10;APSvn7jEiqyiLHbxxaapmqaNWkkq/zb7s9f0Nb6x7Vc3f3IBgEkoSZszXSXpklN+NFG6TXFJKrqy&#10;tG5RmjefkbqK1OWs3WdEi49epRcl6TPP3J2N1K5uwUlJSki9nHvetm1lRz+VpLEiU4mVn5pXleks&#10;lKSENJdBLEnDr801RVeRhstw6WW/arufkpSQ4Q0lKQD0p//iEiuxyvIpF19smqpp2iiWpFPlKpfY&#10;9qsbriQFEEVJ2pxhKEnzvgK3TJ3fI6oiNKaXv/+0XzPoJWlsPFFxGpu+KJSkhNRLv5aksfGUvCKT&#10;kpSQ6cuNS78ZLRWaTNMlaWw8laZ5v4tUhagvVqZSkhIy3OkFSlIA6M5sl1iJVZRZLqHYdFXTNErS&#10;3vmpS2z71c2zLgAwCSVpc4pK0seefi77ONW8JktSRSWmEl4dqtv0u0hjPnjv3bZp87LohMPSaUMj&#10;9zW7WQa5JP3NwpOSDz6YfCVHp+NRkhJSL2FJ2mmaLEkXLNw3WWvDjWuNR0lKyPRl0ErS8PeKmqLx&#10;9NW6Pn31bjgNJSkhw53Vq1dnz+zmUJICQOe+5BIrsMryly6h2HRV0zRK0t5p6veSPuQCAJNQkjZn&#10;zvxFY/EPSVNXkp7jFXC9St7VpmVflZtXkHbydb3DkkEtSfMK0tWrX0t/R2nsMWWhJCWkXi68ePto&#10;6VE3TZWkeQXp5jtulv6O0thjlEN/vP2kx9QtSY8/ddfotISQ4gxSSZpXkF5z7TXR6ZXwKlKNEZuO&#10;kpSQ4Q4lKQD0l07KxCNcYmLTVk3TKEl75/suse1XN792AYBJKEmbM10l6e2zTmqVblNRkiqxsrOo&#10;JKUgjeesvdeJlh+9ShMlaS8KUoWSlJB66aeStNOCVImVnufP3SM6rRKbvqhUJYTkZ1BK0k4KUkVF&#10;Z7eKvsqXEDIYoSQFgP6xm0usvCrKiy55YtNXTdMoSXvndJfY9qub01wAYBJK0uaMUkmqr8cN5ZWk&#10;87+/NwVpTgatJL163pE9KUgVSlJC6qVfStIlt+3fcUGq6CrQ8LFFX5+757e2mjS9liE2LSGkOINQ&#10;kj744IPZo9qVFaRKEyWpdHLlKyGkf7LilRXZs7k5lKQAUN//6PI7l1h5VZSdXPLEpq+aplGS9s58&#10;l9j2q5sDXQBgEkrS5hSVpE8/N7kAaopfkk5VYqWnrhYNp1MJqjI0REE6nkEqSVWCqgwNNVGQKpSk&#10;hNRLP5SkKkFVhoaPr1qQKnXnHxay+ndsOkJIefq9JFURGlOlIFUoSQkhyvLlT2fP5uZQkgJAfT9w&#10;iRVXRbnVpUjsMVXTNErS3rnfJbb96mZTFwCYhJK0OaNSksZ+J6lK03A6CtLyDEpJ2uuCVKEkJaRe&#10;prskbaIgtcSuRI1dHXr6ebtPmu7bh2w7aTpCSLX0c0nabUGqhL+TtBN83S4hgx9KUgCYfn/jEiut&#10;yvJJlyKxx1RN0yhJe+dNl9j2q5v/xQUAJqEkbc50laT3zD07WsDVjb4uV2XnCw/eldx76bnp1+SG&#10;9694fFk213bP3nlz27RK7Ct5KUjbMyglaazAbLIgVShJCamX6S5JNU34uE4KUkVFZ2wsLZvu15j6&#10;Wt5YmWrTEELqp19LUt0fU6cgrZPY/HQVamxaQshgZMuttmj9nZIUAKbf+S6x0qoos13KxB5XNU2j&#10;JO2NdVxi265ufu0CAFGUpM2ZvWDR4viHpMEoSVV0dkLFalh8qlDtRqx0Hcb0siT9zcKTsq1Zn373&#10;qI0TK1breOaZu9uWS3nttWeze+tZseKJSWMRMqqZ+6sdo6VHURYs3Df6nl4l/pWdsWK1TsLfOaqx&#10;Y9OVRb+f1B+HEFIv19ywb1up0G2eeeaZ7B27nsefeLxtnFixWlUnV35SkhIyfPFL0mXLHsqe2c2h&#10;JAWA6ma4xEqrsvwblzKxx1VN05ooSf+HSEbdT11i265uvu0CAFGUpM0ZxZJUBWnsd5F2W5LqKtRw&#10;zGHMWft9KVp+NBGVk53yr+DstiSNXanaqSpXvRIyKumkJFU5GXtPrxL/is1uS9LYlap1l63Tq1YJ&#10;IRNp+krSTqkU9cfppiSVKl/n64eSlJDhCyUpAPSPxS6x0qooR7tUEXts1TStk5L0UZfnXF53+UN2&#10;W5i3XV50edzlbhdtz7kuKv0+5/KvXIbZCpfYdqmbv3UBgChK0uYUlaTPvfxq9nGqeU2VpCo761CR&#10;GX4lr4WStFooSeuhJCVkIsNWkipVl0+PpyAlpPtQko6HkpSQ4cuWX6UkBYB+sJNLrLAqymsuVcUe&#10;XzVN66QkbSp3uvzc5R9dhsmeLrH1rRuVygCQi5K0OYNekioqPZ9ccl3y2jNPpr8/1KerRlVe6neW&#10;xq4e9aNxNH2nRubrdntYkjb1dbv6+wcfvJfdUx9ft0tIbzKdX7erv8d+P2jVhF+360djH/rj7dMr&#10;Rf3HzNxik/R3l/plLSGkuzRdkjb1dbsPPvhgdk99nXzd7gknHp+sWrUqG2F8jLpFKyGkv7LlVlu2&#10;/n7HnXdkz+7mFJWkF89beGR2igAARt5TLrHSqig7ulQVe3zVNG06S1I/N7hs6zIM7nWJrWPdrOkC&#10;ALkoSZszZ8Gi+2IfkpRelqQPzZsbLeBI/6eXJSkhZLjTSUlKCCF+mi5JCSGkX+KXpIsWL8o+OTeH&#10;khQAyh3uEiusinKPSx2xMaqmaf1Sklr0Fb27uAyqvVxi61U3+npiAChESdocSlJSN5SkhJBOQ0lK&#10;COk2lKSEkGENJSkATK//r8sfXWKlVVE+7lJHbIyqaVq/laSWOS7/zmWQ/I8u+l2tsfWpmy1cAKAQ&#10;JWlzKElJ3VCSEkI6DSUpIaTbUJISQkYhfN0uAEy9s11ihVVRLnepKzZO1TStX0tS5XWXnV0GxVEu&#10;sfWoG34XKYBKKEmbU1SSrlj5RvZxqnmUpIMbSlJCSKehJCWEdJs77vlWtFAghJBhCiUpAEytz7nE&#10;Cquy/GuXumLjVE3T+rkktWzt0u8+5hJb9rrRlcz/0QUASlGSNoeSlNQNJSkhpNNQkhJCug0lKSFk&#10;FEJJCgBT69cusdKqKEe7dCI2VtU0bRBKUmUjl372G5fYctfNQS4AUAklaXNmz1+0PPYhSellSfr4&#10;ogXRAo70fyhJCSGdhpKUENJtHnj0wGihQAghw5Rlyx7KPjk35/YHHo1+7lcoSQGMsu1cYoVVUVa7&#10;dCo2XtU0baFLbD79lg9c1nLpR/u5xJa5bu5yAYDKKEmbQ0lK6uasvdeJlh+EEFIWSlJCSLd5cvl3&#10;o4UCIYQMUyhJAWDqPO4SK62Ksr1Lp2LjVU3TLnKJzacfc7NLv5nhElvWTvIJFwCojJK0OZSkpG4o&#10;SQkhnebCi7ePlh6EEFI1lKSEkFEIJSkATI3vucQKq6Isc+lGbMyqadrBLrH59Gt2cukX/87lGZfY&#10;ctbNXi4AUAslaXOKStLX33o7+zjVPErSwQ0lKSGk01CSEkKaSKxQIISQYcqKV1Zkn5ybQ0kKAO1U&#10;cr3rEiutivJPLt2IjVk1TfvfXW51ic1Led9FRaCmudTlApczXU52Oc1FV6Je5bLIpanCsChPuvSL&#10;61xiy1g3Z7sAQG2UpM2hJCV1Q0lKCOk0lKSEkCYSKxQIIWSYQkkKAL2nki9WWhXlCpduxcatml75&#10;Ty7ruOgrX/+zy//p8q9d6vorF/3u0ENc7nCJrUO3+a7LdDvFJbZsdXOfy79wAYDaKEmbQ0lK6oaS&#10;lBDSaShJCSFNZPudtvTKhE29vxNCyHBk9erV2Sfn5hSVpLPnLd4/O0UAACPhUy6x0qos/5NLt2Lj&#10;Vs2g+Y8uuvI0ti6dZonLdDrKJbZcdfNnlzVcAKAjlKTNmbNg0RuxD0lKL0vSh+bNjRZwpP9z1u4z&#10;ouUHIYSU5dzzto0WHoQQUif7fWvbaKkw/alf2G62RXFij/ETe4wSm7Y4WnY/sWkIIVOVXqAkBYAJ&#10;V7rEiqui/NClCbGxq2ZQbe7yqktsnTrJ/+oyHfZ1iS1PJ9nGBQA6RknaHEpSUjf9UJKed/6uaebM&#10;3Te5/IqDWpk3/wet/PqG4zqKP4ZiY2teis07tlxkKrKVl6L7YimaPryP9CL9UJK++MpRaV5a+dM0&#10;K177RSuvvnFWmtfevLCj2OMtNq7Ny+YdWy4ytXkukth0ljrTkt6nf0tSUifVSt3RK2533HmHZO+v&#10;75XmgO8ckObwIw9Ljv3pMWlO+eXJaWadd25b5l4yt5V58+fVjv94iz++zVexZdFyWbScttxah9i6&#10;kaJMHOPahr1ASQoA4/7OJVZaFeWPLk2JjV81g0xXTTZVlE5HwbitS2xZOslBLgDQFUrS5vRPSfrp&#10;8QKu7TYyVdF2n7zttU/G94tF05zZRUlqBaMVjyolb1xyWnLbbecnd999afLgQwuSxx+/MVm+/M7k&#10;hRcfTlauXJ5m1apXkvffX52m39hyaRltebXsWgdF66P10vopWlets+IXsX4JG9t2gxW/eNwqOUN/&#10;nun+7XJG+m/9fevkLHe7kk53dvZnv0bL5y+jW/5W0n+Pr2e6riQnW3VVklrBaMWjSsnXV12WvPn2&#10;/DRv/35psvqdu5N33ns4ee/9p5I/fPBimg/++Hrypz+/m6Yfabm0jIqWV8uudVC0Pspbb9+QRuup&#10;dVb8UtYvYWPbbhDjF5GtcvLlg8dvsz+VVw5JXrC/92m0fOkyumVNo79rHVy0Tq31ykIJW56DDtnO&#10;KxYI6W2qlbkT2Xb7bdLsufeeyX7775scfMhByU+OPTrNL0/7ZZqLZl+UXHrZpe7nwKvTLLlpSZo7&#10;7ryj0SxavKhyYsVpLLEyNYxfripnnnWGW+9T0pz0i58nxx3/s9Y2+cGPjkq+f9ihyUHf+25ywHe+&#10;neYb+349zV5775F8bfdd0+y0y47J9jtsm2y1zVej271f4x8/eQkfo8K5F26++6Ho536FkhTAKDnW&#10;JVZcFaXJUi42ftUMuq+5xNarbs5zmUozXWLL0UlOdgGArlGSNqeoJF39Tu9OKHdyJek5+nMzv9Cz&#10;Em+iYFUu2GHd5IIdJ2fu3ptPytgBO03KgsP3acsNxx48KUtO+dGk3D7rpGjumXt2YbQtlPsvPz/N&#10;3XPOTHP7+Se3cstZxyU3/fLHaX59zEFprv3B/mnmH7ZPcvX39khzhVv+y/bfLvnVPlsmc/b4SpoL&#10;d1o/zXnbfzHNuVt9IU24fStn5zWD4mM8F1y4ezJ7zjeSK6/8fnLzLeemsaLTSk7U45ev2pZF5WtY&#10;wIZXxfpFrJWxkwvZ9nIzTU65mU7T78Vmv8bbbum29MtWl4my1fZFvyQ7Jvy/Z8eHbpt0fESSV5I+&#10;9/IhyUuvHp288tqpyWtvzkneWHVV8vt3728Vnf1acPazsvJVpbKVr0UFrF0Ra0Vs2RWxlcrNASg2&#10;+zVlZWts+9u/+yGx5YsdHzZNXk4+9WuTSoXpzDbbbd3KjjvtkOyw4/bJLl/bJY0VPMpuu38tzS67&#10;7tTKDjttn2y73TZpvrq1/7tWCSGjGl2Z2wuUpAAw7j6XWHmVl0dcmhSbR9UMgzNcYutWJ03vkyJf&#10;cHnfJbYcdTPHBQAaQUnanEEqSTuJX47GStBYAeonVob6Caf3x7b4Baxiy2PlbWy5+zo5JWlRVMrZ&#10;VaMq8/yrRVUCKqiv6CpWK1GtSLUC1cpTu5o3vzAl/ZhzZ+2U5qKL90pjpfell32nLVdedWgrV4wd&#10;nJtLfvXttsyes08a/acH5dxZO6aJLUuniRUeRVEpZ1eNqswLrxZVCYj67OpaK1GLilS7Wlf7ICxO&#10;iwpT0n958ZUjkhdfPboV7cMVr/28La+8fupEXjs5Ny+/dkJbXnr1mDQvvvqjNC+sODxNbDm6zVnn&#10;7h4tFspiX2NqX2FqX11qV7vZlXK6qs6uxFu27KE0y5c/nWbFKyvSrF69Ok0vaXybn5YhvDrQv2rP&#10;vgLVvvrUvvY0th2aS7Wvwi26Yo4QMjl6LvcCJSkAfOhD/8ElVl4VZUuXf3D57y5/30Bi86iav3X5&#10;TzkZFP/OJbZudbLCZSr8s8trLrFlqJsbXACgMZSkzZmuknTl8ifSktFKRJWG0UKOTHmsvI0VzMr8&#10;I/dOZp+wc3LBqTsn55y1XbQE6TQq6lT4qMTzS1W/WLVyVbFi0IpWKw2ng83bSku/uLTy0gpMi9bJ&#10;LzNVZMauBvULTSs1Y9uvH2MFrJZb62D71vavrbNtA79A9/exEu5npRP+45Vwf8X2k5XNscLZ9tGg&#10;7Zvpyk1L900eevTA5KnfxcuPbqLCRwWe/1W8frFq5arFSlbFSsPpYvO34tIvL8MC00pMKzJjZaZ/&#10;Neig/l5UW9bxIm/ia5b9/avYNrBt4u9fi21Tf18rdfmPVcJ9FdtPtn9sH2nZ8wrn2HYg7dF2Wnrb&#10;Uck3v71j8sMf75P8/BdHtpWcVnBasTlVhWa/s8JV28QvW/2vT7XfNxn+jslB+/2S2++4bZrddts1&#10;2Wffryff//4hyZFHHdH6utsTf35icuFFFya/uvSS5PwLznPv4Ze3toGVzhbbJlZCh7+HM4wV8FVi&#10;RXa3iY1dJbHlD2PrXBZ/OxXF37Z14++jXic2/yqJrXOY2Pbzo+2u52UvFJWkc+Yv3jk7RQAAQ+3T&#10;LrECaxhyv8uguNsltg5V8yeXXvvPLs+6xOZfN3e5/FsXAGgMJWlzoh+QsvSyJC2yasWLyYvL7kme&#10;uWNJ8viiBelVp/paWrty0y9WB/ZqzIoJC0u/rNR2sCtYtW3Cr/i1r/HVNtS2VLRdFZXUirb1+6vf&#10;bqVTViSpQFJhpLIoVo5MR6ygs1jh6JeOncTKv2EtxWzdtK5huVlUbFrRaAXkqLLy1S9dtZ3seTLo&#10;ZWvV40PrGx4XISuSVCCpMFJZFCtGpiNW0FmsqLNSq9NY+TespZitm9bVtldYbmp/W7GpY8AvNa3I&#10;HGVWvvqlqz1PyspWJbZf+illx4cV3/5xYcU0ppd/dasK19gVrnZFblnxFJZH4f2KPdbGVPwiPLzK&#10;d9TLcKAIJSkAfOhDW7nESqxhyeEug+BnLrHlr5O/cumVf+/ysEtsvnXzqMtfuwBAoyhJmxP9gJRl&#10;ukrSbqjoU/GnqAS0UtBKQhWGVrzG4v+u0Fjyfs9obCyblx+/qAzLyqYKy36iksgvUP1CaBCKoEFL&#10;leJK+yHvik3/Kk30Dytc/dLVile/fFWsuPZjpawlNo1iY9i4/rFhx4cdI1NBZYgVRFYMqUTxy6BY&#10;+UI6S1hsajvnFZtWbmr/WIllxSYlVn/R/rDCVfvJ9plfvFps3/qx554lNo1iY9i4/rFhx4cdIwCA&#10;6UFJCgAf+tDXXWJF1rBkkcsg2M8ltvx18l9ceuF/cbnDJTbPunne5e9cAKBxlKTNiX5AyjKIJSkG&#10;k5VAVvyoqLFCR8VqeJWdFayDULLaclp5aQWmxS8y/a+f9cssK65ipRWlJjB+1Z0VPypqrNBRuRcW&#10;q4oVgrGysN/il5cWu/ouVmRaYuVVWFpRagIAMDoW3n5f9HN/GkpSACPiWy6xMmtY8rbLINjeJbb8&#10;dfKPLk37H1wWusTmVzcvu3zMBQB6gpK0OdEPSFkoSTFowivuFCsW7eq4TmPj+LF5WGHpl5YUl8Bg&#10;8a+4U2JX3XUaG8ePlZVWWPqlJcUlAABoGiUpAHzoQ99ziRVaw5T/yaXfbegSW/Y6+XcuTbvKJTav&#10;ulFB+nEXAOgZStLmRD8gZaEkBQAAAABg8BWVpBcvWLxJdooAAIbaYS6xUmuY8n+69LsmriT9Fy5N&#10;utglNp+6oSAFMCUoSZsT+4Bkef8PH2QfpwAAAAAAwKCiJAWAD31of5dYsTVM+fcu/W5fl9iyV81K&#10;lyad4RKbT9287kJBCmBKUJI2J/YByUJJCgAAAADA4Lvu5ruin/sVSlIAo+JrLrFya5gyCF+3e5RL&#10;bNmr5hGXphzvEptH3XzgspYLAEwJStLmxD4gWShJAQAAAAAYfJSkAPChD23uEiu4hiWrXAbBPS6x&#10;5a+aG12a0G1Z62cjFwCYMpSkzYl9QLJQkgIAAAAAMPgoSQHgQx/6ry6xgmtYcq1Lv/uPLrFlr5Mm&#10;TvB/xyU2difZxgUAphQlaTNmjS3+cOwDkoWSFAAAAACAwVdUks6Zt5hvCAQwMp5wiRVdw5DvuvS7&#10;n7nElr1O1nTpxt4usXE7ya4uADDlKEmbQUkKAAAAAMDwu3rRbdHP/WkoSQGMkPVd3nOJFV6DnGdd&#10;+t0/ucSWvU6ec+nGti6xcTvJni4AMC0oSZtBSQoAAAAAwPCjJAWACf/G5R9cPtvDfN7lCy56gZ3h&#10;so7LF11iZVvVfCmStV00rzo+7qLfzzqV/qXLr11i61UnJ7t0SlegxsbsJPu6AMC0oSRtBiUpAAAA&#10;AADDr6gkvWj+4o9mpwkAAD0WK9yqpgl/7fInF42nq0+/6dJrTRWkiormTvx7lxddYmPWzQEuADCt&#10;KEmbQUkKAAAAAMDwoyQFgP4QK92qpgmx38ep8vBwFxWJTfuyy8Mu4Tw7icbp1CkusTHr5nsuADDt&#10;KEmbQUkKAAAAAMDwu/zXN0c/9yuUpAAwdWLFW9U04VyX2NiWq112cPkPLt3YyGWuS2wenWYbl07o&#10;q5Vj49XN71xudlnscoPLdS7zXa5yudzlEpfZLhe4zHI5y+U0FxW0P3c5rsP82EVf1wwALZSkzaAk&#10;BQAAAABg+BWVpHOuXfyR7DQBAKDHYuVb1TRhgUts7Fjuc1HR922XmS5/76Kv6/1Ll/+Hy//TRVef&#10;/leXDVz0NbTnuDzjEhuvm/zGpVPfdYmNOUj5s4t+lywApChJm0FJCgAAAADA8KMkBYD+ECvAqqYJ&#10;ugoyNna/Zy2XTulqz9iYg5aTXQAgRUnaDEpSAAAAAACGX+wzfyuUpAAwZf7oEivAqqQJt7vExu7n&#10;XOTSjRdcYuMOWh5wAYAUJWkzKEkBAAAAABh+sc/8rVCSAsCUed8lVoBVSRMG7UpS/e7Pf+HSjdUu&#10;sbEHLe+4AECKkrQZlKQAAAAAAAy/2Gd+i84NZKcJAAA99q5LrACrkiZc4xIbux9zo8tfuHTjX7rE&#10;xh7U/GsXAKAkbQglKQAAAAAAw02f7WOf+S2UpAAwdbq5qrEJc1xiY/dbbnH5n1269b+5xMYf1PwH&#10;FwCgJG0IJSkAAAAAAMONkhQA+scql1j5VSVN+JlLbOx+ynUuf+XShH/lEpvHoIY3bAApStJmUJIC&#10;AAAAADDcVr/zbvQzvyU7RQAAmAJvuITFV9U0YVeX2Nj9koNdmvZ7l9i8Bi1/dgGAFCVpMyhJAQAA&#10;AAAYbpSkANA/XnMJy6+qacJ/dHnbJTb+dOYul0+79MIyl9g8By0rXQAgRUnanNgHJAslKQAAAAAA&#10;g42SFAD6xysuYflVJX90acpXXB53ic1nqvOCy49ceukcl9i8By2LXAAgRUnanNgHJAslKQAAAAAA&#10;g+31t96OfuYfzyJ98yMAYIosdYkVYGV5zKVpO7tc4xKbX6/zG5ftXKbCZ1xiyzBoOc4FAFKUpM2J&#10;f0gaDyUpAAAAAACDjZIUAPrHf3KZ41L1ilJNd6HL37n0yv/msqPLJS4vu8SWo4nc7fILl39ymWp/&#10;7zLm8qTLBy6x5evnLHABgBZK0ubEPySNR1/JAwAAAAAABldRSTp7/qLl2ekBAMAU+88uX3TZIsjm&#10;Ll9y+a8u0+G/uKg0PdZlnstTLnV+j6lKyJdcdJXqYS5al3/j0k/+YsACAG0oSZsT+5BkoSQFAAAA&#10;AGCwrVj5RvQzv0JJCgCo6l+5/HuX/+6ylovKXH1l70Yun3L5v1w+7AIA6DFK0ubEPiRZKEkBAAAA&#10;ABhsRSXpnAWL7stODwAAAAAYBJSkzYl/SBoPJSkAAAAAAIONkhQAAAAYIpSkzXEfiN6If1BanP7e&#10;EgAAAAAAMLiee/nV6Gf+8VCSAgAAAAOFkrQ5lKQAAAAAAAyvopJ09oJFi7PTAwAAAAAGASVpcyhJ&#10;AQAAAAAYXk8/91L0M79CSQoAAAAMGErS5syev2h57IOSot9bAgAAAAAABhclKQAAADBEKEmbQ0kK&#10;AAAAAMDwKipJ58xfNJadHgAAAAAwCChJmzNnwaL7oh+UXChJAQAAAAAYbI89/Vz0M38aSlIAAABg&#10;sFCSNqeoJH3u5Vezj1QAAAAAAGAQFZWksxcsmpWdHgAAAAAwCChJm0NJCgAAAADA8KIkBQAAAIYI&#10;JWlz3AeixbEPSgolKQAAAAAAg+3Bx5+OfuZXKEkBAACAAUNJ2hxKUgAAAAAAhhclKQAAADBEKEmb&#10;U1SSPv3cS9lHKgAAAAAAMIiKStI5CxZxngQAAAAYJJSkzaEkBQAAAABgeN37yJPRz/zjoSQFAAAA&#10;BgolaXPmzF80Fv+gREkKAAAAAMCgoyQFAAAAhgglaXOKStLHnn4u+0gFAAAAAAAGUVFJevG8hUdm&#10;pwcAAAAADAJK0uZQkgIAAAAAMLxuf+DR6Gd+hZIUAAAAGDCUpM3h63YBAAAAABhelKQAAADAEKEk&#10;bQ4lab733vsgzapV7ySvvroqzfPPv57m6adfSfPooy+kuf/+Z9PcccdT0Sxd+kRuFi58uC3+ff4Y&#10;Ng/F5qvYstiyaTm1zIqWHwAwuPLei8L3ISV8L/LfT+w95pprHkhz5ZX3pLnkkjtaueCCpR3n7LNv&#10;zI0/nc3L5q/YMimx98PYe6Gtc/jex/seAACTUZICAAAAQ4SStDnDWpLaSWU7oWwnku3kqn/S2D9J&#10;7J/o/eUvfzNUsRPVdnI6PCFtJ6Lt5LMVr5x4BoDq7P3HSk0rNMMS038f0mvxqLwXTWX8973wPc8v&#10;XWPveQCA3lu9enWyYsWKZPnyp91r8u3JokULk3nzr05mzTo3OfanxyQHHPjtNDvutH2y+Rabpn8W&#10;Ze+990wOP+Kw9LGnnHJyMveSOWk0rsZftuyhdH6jqKgknT1v8f7Z6QEAAAAAg4CStDmDUJL6hadO&#10;Yip2olknmP2Ty3ZiOXaylDSX2ElnO+HMyWYAg8x/z8l737FyU+89vP8Md7Rf7T8W2XudjgN7n+M9&#10;bjCsev+DNC+ufifN46+vauXul19Pc+Nzr6SZ99QLrcx+7Nk0Zzz4VJoT7nmilaNuf7hW7HE2lmLj&#10;+/PUMtgy2fJq2YFBp0JUJaWVoH75OR3RvLUMfqGqMlXLqNJ22MpUSlIAAABgiFCSNme6StLwBLR/&#10;8tm/mqafTjhrWeyqFCsJFTtJboWhXxzmxU6y5yWc3sa0eVlsGZRBOEFv283fRn65qhPOnHSezEob&#10;uzJN0Xay8iZ2hdqSJY+lue66B5IFC+5Pj5fLL787mTv39jSzZ9+a5qKLbkmjfXP++e2ZNeum9PZZ&#10;s27OclMa3afbLRNjjefyy+9KEx6vFtv/dgxYtNx2PPjHhV+8K1p/bQtF2wWI8Z8z9nyx54q91uoY&#10;1DE5KK+hiv9e5L8H5D23bF3955e9Xij+cywv9tzrJv54Nk/bH4r/vFdsmW09/HWz15J+229aFtsP&#10;Wmbb1lpPbYMXX3s7OzpRxi81rcz0S0wrF/3C8sCbHkj2+s09aba79o7ky1ctTda+7MY0n5j9m6GJ&#10;1kfrpnXUOitafytetX38kpWCdfDY8d9N+sGyJ550r4O3u58dp78Q7Saxq1NV9PpXp9oVqv1crFKS&#10;AgAAAEOEkrQ5U12S6qThVJ/M9E8m+ycv7QSsnaD1TwQPQwljBUFYEtgJav+ktJ2I9k8+a5spsW06&#10;lbH95+87O/msaF1i+64f9puWQdEyxYqau+9enhaZixY9khaZl146XnZceOEtybnn3pScccai5PTT&#10;F7ntcENyyinaHguzTN5OJP+57h8vVlhYaeEfMwr6i72O2XPIf/4o9tql/a393m+l2VlnLU5z8cW3&#10;pbn00juTK664O828efcl1133UJolSx5Nc9NNjyW33fbb5K67nk6jdXz44efTPP74S63X8KmMPU+q&#10;xPZTXux5Fou9XoapS4/ReJqflknrYM95ex0I3/Om6rg56MyJoutLcxcVllx2NaHKQbuasF9ZKWPL&#10;6V+hGRabWj+/2ByFUrNfYuWqtndesWrH26jyj+XYcewfy3Y8h8e0ou1rx7Yd3xbtA/9Yn6pj3uZj&#10;81e0PLaM/muR1uUX9z2Z5vQHf5uc5dbxnIeeTnPyfU+kt816eHlrvW19bR03Of70ZLNtt44WjtWz&#10;WZZNvNsqZvNNk83c4xT9+6tbbZFst/22ybZdL1O92Nf/+rGvD7bY7ZrWoseqiG0aJSkAAAAwRChJ&#10;mzPVJalORMZOHFaJTl4qGkMnNhW/6LTSw07GdnqCtR/YstuJXsVOWPsFgZ3sDU/4WvzSwGLb0U9s&#10;e/vRNGedpSxOzjxzcVrgnXPO+GP1d0VXGI7/e0mick/Txcaajmi5bP1tm2j7qKiYP//+NFdffW9a&#10;VFpUYFx11T1prrjirrTcUC655PZkzpzb0ugKTF1hec45S9L1VbTup522MDn1VMrMQY9/zOh4sdcd&#10;K171vIuVr36xZM9fvwgaVv7rVtlrV+x1y3+90nNWie2XqcyppyoL3XN6UfbnwuT00+0/Kyg3ZIk/&#10;nvQ2dpz4sedtGDu+/Nh7pR97nus9QVffX3bZ+Ou+XYU//rp/U0fvcX5J2m3WunRxsuGVNydfXXBb&#10;suv1d+XmG4vvrZSDlz6Y5oCb7k+z18J7kh2vuzPNFvNvSzadd2ua9a+4KfnCrxa3Elu24c/CDhMb&#10;K5415sRvn+pYkeYXaH6xqtLQL1ebvoLRSsuwuAzLSy1LWF76xaUtv1/kWVE4VSXl1OeG8T8vDm9T&#10;6h+TdbLuwUdNKgwnp8MCtKlsPvGnytStt/lqWlDuvOtOyY47Tv8Vr7pqtWmUpAAAAMAQoSRtzuwF&#10;ixbHPigpvShJdaIyduJQJ6BVNOmrOnU1nU5O3nrrk60raFaufHtgygW/KFBB4F/JEhYEeeVAbBsN&#10;dvwSYbxUmLgy0m4n/ZOJEkj7aXxfWRnUTGzcifGLjwW9RoxfWTtcx0xY6sTKGyttwlhZG8ZeX8oS&#10;e6wSzseWw3+dstcqS2zd+j92nNtxGZuGkCrxj5+J17f2aZotSYmf8cLn4+nfrQRyf1c51CqIstsG&#10;NsF6ebeNr3fvCq9O8um5C5PPX7IomXHZjcmXLl+SZv2xm9KomFzvipvSbHzlzWnWu3z83yre9R8A&#10;ZrgM/j6rEm8do2WmpbelZtNZ57CjI8XfNBaiDWTnnXdM9v3mN5IDDvxWegXoXroC9Ot7Jbvttkuy&#10;xx67RR/TTXR1adNuvvuh6Gd+hZIUAAAAGDCUpM2Z6pI0PGHYSaxU0Ml6O4lvJ/d14t+/skuxq7ss&#10;dlWTn3Aae6ziX61pxYIVB35pMNhlQT8mLC38E8/DVZTVy3ixM74drNyJFTyx24YxE+uvK7v0VcW6&#10;6ktX/+qqL10tPDY2fjWw/q7nq35fqu6z5+3kMclgJa/oHJXnABmUxEvS8ZJrvOgapVjp4xVBbaUm&#10;aTbaxhN/78ditb9ix2eY2LSjnsn/QSFeko5Gdthxu7Q0/eY390v2+cbeyd5fV5k6ke222zpN7LGt&#10;q1tddFVr0yhJAQAAgCFCSdqcopL0uZdfzT5SNUNXVrafMOQENul18o4xK1QmYgWsHysk8zIx3eTx&#10;JuLPN0zZ/WQqYldGzplze3L55XemV7Lr65YV/YeI669/KP0KZt1uX8t89dX+1zGPl6+KrobXV3Eq&#10;+nrq2PyIZeJ5lP984TlChifdX0k6UUIUX3VWHCtlixJ7XGu+k4rM7D4yRHH7tLWfx/f/+HFBUTg8&#10;seLXnt/Z87htv9vf62WUS9Ims3r16uxTdDMoSQEAAIAhQknanKksSfXVs7GThoQQMlrJKwQtdn97&#10;rJSPxS/vJxKOG5tmPLExlcnLEY7pp+x+QkY7fN0uGf5kZVtQ4k+U75SsnWe81Jz8nxjcv4PtPfH3&#10;6cnaPzguWvqRelm+/OnsU3QzKEkBAACAIUJJ2pw5CxbdF/ugpDRdkup3c9qJwlNPnXzykBBCCCFk&#10;WENJSkgn8cpARYVgWymo2DTjsVJ2ophtLhPjts9zIt5y2bJGlze8bXhCSdpMFi1amH2KbgYlKQAA&#10;ADBEKEmbM5UlqX7Xp50oPO20RW0nDgkhhBBChjmUpISQUYhfkm625eZtxR+pnnnzr84+RTeDkhQA&#10;AAAYIpSkzSkqSVesfCP7SNUMvyQ980x+Vx8hhBBCRieHnTHcV48RQoiy1k9ObhV9m2791bbij5Rl&#10;s9bfZ806N/sU3QxKUgAAAGCIUJI2Z/b8RctjH5SUpkvS++9/tnWikJKUEEIIIaMUSlJCyCiEkrSb&#10;TJSkp5xycvYpuhmUpAAAAMAQoSRtzlSWpHfc8VTrROE55yxpO3FICCGEEDLMOeyMeKFACCHDFL8k&#10;3WSHHVp/J+XZbItNWn8/9qfHZJ+im3H7A49GP/MrlKQAAADAgKEkbU5RSfr6W29nH6masXTpE60T&#10;hbNm3dR24pAQQgghZJhDSUoIGYX4v5P0Kzvu1Po7qZKJkvTwIw7LPkU3g5IUANCPZrrc5ZJ4uc5F&#10;t0+Xv3I51eV1F1sm/V236T6gF/7RZa6L/1z4rct3XYAoStLmTGVJunDhw60Theefv7TtxCEhhBBC&#10;yDCHkpQQMgrxS9Iv77Jr6++kXg448NvZp+hmUJICAPrN51z8QijM37hMh7Co8qOiFOgFv5QPs7UL&#10;MAklaXPmLFj0RuyDkrL6nXezj1TNuOaaB1onCi+4gJKUEEIIIaOTH54eLxQIIWSY4pekG+2xV1vx&#10;R6pn7733zD5FN6OoJL143sIjs9MDAABMGV0hFyuELNNVDMWWxaIiC2ha2X8YUHEPTEJJ2pzYhyRL&#10;L0vSiy66pe3EISGEEELIMIeSlBAyClnnsKNbRd9Ge+7TVvyR6qEkBQAMu7KSdLq+ZjS2LH6AppWV&#10;pPoKamASStLmxD4kWZouSa+88p7WicLZs29tO3FICCGEEDLMoSQlhIxC/JJ05r7fbiv+SPVQkgIA&#10;+pV+L2fsK2n1u0VV9lTFlaTohI4L/a7OcL8M8lchcyUpOkJJ2pzYhyRL0yXpJZfc0TpRSElKCCGE&#10;kFEKJSkhZBTil6Qb7PedtuKPVE/TJem9jzwZ/cyvUJICAOooKnTqXPFWVgxN1+8k1TrElkfhd5JO&#10;v6L9U6ek7yf6jwf8TlLURknajFljiz8c+5Bkef8PH2QfqZrhl6Rz597eduKQEEIIIWSYQ0lKCBmF&#10;rP/tQ1pF33rfPayt+Gsq55x7drJy5crsU+a4Bx98IDptWa65dkHy+OOPTxpP/9btmlfscb0OJSkA&#10;oF81VZKKribVFajhGDNdpotdKeuXVrpyUQWp7sP0GsaSVP7RJVw3PTem62unMQAoSZsx1SXpBRcs&#10;bZ0opCQlhBBCyCjl2NNuiBYKhBAyTOllSbrX3nukZWjMiy++GH1MXlR+rlq1Knt0sRNOOC46Ri9D&#10;SQoA6FdNlqRAXcNakgK1UZI2Y861iz8S+5BkaZpfkl544S1tJw4JIf83e3//bMt11/e+909wFT+n&#10;ros/4OCqEHNuHU6QINcH5HAiSM7BJAR0STiOUxRRgJhcgmOHxMQkvjghHAPBIEisveXHbbT3tiTL&#10;WktP1qPljSVZtpCRjGUj2bIt2zKWH8hetz+9+jvXd471HaNHP8w151zz/ar6lrTn7MfRo3utHp/V&#10;c1IURVGnuQhJKYrahbrq535hEfT9rV/+1aXgb0r1hZpDQlI9PTrEOp4m/YVf/Plu7fMohaRnL+4x&#10;TgIAqEZIinUiJAU6hKTzWGdI+va3852kFEVRFEXtThGSUhS1C/XK1/zsIui78t++ZSn4G1Olp0e9&#10;2pD0Xe96ZzdHPUJSAACOEJJinQhJgQ4h6TzefmH/ZfFN0v7Bu2+586+6+6nZEJJSFEVRFLWrNUdI&#10;+o7Hnz548a+Wf0V72yNPhtPWlJb35W98q1vSkc/95TcOfvnuR8J5fGndjzz35XZ6T/9+4NkvVi2D&#10;oqjTVT/8j35mEfTNEZLeccft3ZWlrCYkVeAaPY2q7x9VeKr3bVp9xK7WreX+yuv+1dJyVlZ/9+j/&#10;5w5JH378yfC+X3Xm4t513RABACCh76B8dVMKZvx3VOr/9b2Vr2pqCn0PoZav77vMhT96XevSdN/Z&#10;1CroO0D9+kvfhbipIamOlY6H2jL9nlP9W6+v87tOPbVhbjvf2NTU46zl6/ip36TrUKn/6lhpG9Rm&#10;q/quVTsm0Xe8jj1/cueJakpIqjbXOabt0vb55dr2rvIcPAnq/zrmfv+sL2jf+M7dLUNIOo9SSHru&#10;1g+92N1PzeZtb7t9MVD4B39w59LAIUVRFEVR1Gmut7w1DhRq6mdu/fDBp7/6l91vVMvu+Mxz4Tx9&#10;9b//8d3HAlevtNxcuBpRWBotg6Ko01lX/+RPLYK+K/7df1r8/9h64MEHuqvJoccffzz8uNyakDSa&#10;T8uLpl1LEZICwIlREJWGnnrNU2jgp8mVAoch4YxCFq0rDWJqSyFHbZihEDYK4vS60fL8+760X1pX&#10;TTvMVVrXkDBT26dAsHYb1e6l5attoiBOr/l2S9W0tY59KeTzpT4yJLSy4HXMsdI8uVA8UnP+qI1r&#10;+njaRiltVzTfkCodb7Vx6RyIasg5WEuBcdp/1K4KZ0vr0nxpO6fz5Pp0WlrfkHMPa0ZIOo9SSPre&#10;W++OR+Im8CHpH/4hISlFURRFUbtTY0PS9z/1zOgws1QKL0tyy+2bL6KnTaNlURR1+sqHpN/3629d&#10;/P/YspD0U5/61OKJTn38baomJNUTo56eKvVPj669XEj6r1//um4r50FICgDLooBAJQoXFDJE75eq&#10;5qk4BVk+XBpbCkVKwZLJBUwWiPWFQ5pO2xy9t8pSoFMjCiZrKxcKlkK53DySm8/mUfg09Nhr32rC&#10;OAX60fxDS+1es75oXpUZGjqqXXL9uTZULpW2J6J1jj0fdY2YU2k/S3+EkZvP5tF1KXq/VGOe8MUa&#10;EJLO4+z5/SuimyTVez9w9wvd/dRs/EDh7/3e/tK/p9R73/vhg8cff+bgy1/+y4Nvf/toEFH//4Uv&#10;vHDw8MNPL33Ub1QPPvhkN1c9LTtalq9bbnnk4Omnv3jwwgvLH0P34ovfOnj22S8f3HXX4+F8FEVR&#10;FEWdrhoakpaeHvXGhKRadp/cckuBbcmbP/x4uDyKok5X+dDviv/420v/HlMKMdOPux0TkmoZKX3X&#10;aTTt2mqFIeknnnw6vO9v68LeuW6IAAB2RhQMqBQQjQ3dVKUwQ+YIfKy0nX1KwV1NeKLpNjUknRJw&#10;WUXBXK7NVBZ4Rqa2da5q2iKab2ylT4RGovlUMjQgtdKxjALaOc6ZqA21rin9p+a4DFHaz7Eh6ZR+&#10;13ctwwYgJJ1HKST949vu+Xx3PzUbP1A4R0iqcFRBYw2Fkgoso+WonnrquW7Kegplo2WpFMoqRK2h&#10;5fSFuBRFURRFbXcdD0nL31H6xPN1v0eMCUnT8FVPeqZyyzUKSzWNAld7L/rOVMPTpBR1+ut7/uji&#10;Uuj3fb8+PSSNakxIqu8cTWk50bTrq6sX/09ICgCrFYUCqikBqUpPeJbMEfj40hOEJbngTkFWTUCk&#10;+TcxJFXAVfNRrn0VtV+uzVR6Lyc339Q+pep7si+aZ0rlnuo00TyqsQGpVdS+c5wzUX+auq19fXSo&#10;0n6OCUk3bf+wAoSk87j+4v7V4U1SU+/74Iee6e6nZrM8WHhr8u9hpYDUPzVaQ9PngtI5Q1IFnumT&#10;o300fbQsiqIoiqJORw0NSX2QaYFk9FG3Q0NSPdHpaT3pa5JbrsJbbYe+0zR6Xx8PHNF6oukpijo9&#10;9T//3ntd4PcjB9/3pv976d9z1ZiQNP1uU9HTpfqeUn2Urz5613zjG99oX9N70bJWV6sLSZ98+pnw&#10;vr8tQlIAOygKBeaqUqBVCkLGVF8oWwr8akrzb2JIqqcdo/mGVhTKldosmt5MbetS9R3naJ4ppYCt&#10;JJpnjlJwn5rjnEmfjtV3w0bTWelYahqj0FiBug+85w4RS/s5JiSdo/rCcqwZIek8zl7Yvya8SWrq&#10;/O33PdXdT83iG9/4djJYOC0k1cfrjpELNseEpLmP29XH646hfYqWR1EURVHU6ajlQKEuJFVYaYGk&#10;/j81NCT98je+1c15SAHpkJC0r7StEUJSijr99b/89g0u8PuRgyv+/X9Z+vdcNVdI6oPRHH2P6cl9&#10;b+lRSPrr/+FN3RbMoxSSnrm4t98NEQDAzogCgaj0vYM+KFAA2vcEZuljcNNAQ8tSIKXlpoGEQhq9&#10;3vfEpA9zUlODO4UzUz+WdEyVAqi+gEulNvXtqXnUFul+RKFnqc2i6U1tW2sbdFzto2W1bTXfgavv&#10;NM1Jp1WfUTCoedL+oXaJ2sLXXKGsjoOtX/tb00ZpIFjbrqVK207tH02n6ns6W9unc3zTv5M0LU3n&#10;l1NzLSv1d2wAQtJ5lELSG/fufaK7n5rF3CGpDzUVfOo7Re09PWVa+qhbve+XpUpDUv07naamtOyI&#10;lmcfqZvbPn0kcLo8iqIoiqJOTy0HCuWQVB9jmz6tOTUkTee3j8CdMyRVRQhJKer01//6n/9oEfJd&#10;/ZM/dfD9v/rmxb/nrDEhqd4fq2/Zc9WPupD0t37rv3Rrn8fTzz4X3verCEkB7KIoEEhLIUJEIVNf&#10;uJAGU0Zhjd5XwFIKvby+kLIUoNQGTAp9bDlan/Zd81qQ52m6aBmqUriZGrucvqdIc8dNtD8+VIqm&#10;LbVZKTSqaWu1c9Sm0vfxqKWnO9Um6iNpOFxSan9VSTS9L21Lrl+qzaN5rEptLKVQMLfOVOlY5Y7P&#10;qo3dr9J8Vrngt+9aVjoPsQEISedx5vz+tdFNkurC/n0PdfdTs/jqV78eDhaOLX1srkLFu+56PHxf&#10;gaTej0TzzBWSRk+45pYVbV/pe1MpiqIoitruWg4UyiFpVFNCUgWu/vtC9f/2faJzhqRaZkQf0RtN&#10;T1HU6Sn/5OgP/6OfOXjFv/w3i3/PWScdkoq+0zRa7rz1o4v/v+66P+jWPI9SSHr24t6lbogAAHZG&#10;FAj4KgVtotAhms+q72m0oUrBYGldNcFdKXyLjA03U2OXU3qytvbpPgsVozC71GalAK+vrUsBqei9&#10;0r5pe+embYrWpSqFrdH0VtrOvqC2tF4dm5KxYaJXOla5P3BYtbH7VZpP1XctK11bdJywwQhJ51EM&#10;SW+//7bufmoWc4ekNZX72NtVhqTRE6LRk6uqIYEqRVEURVHbX8uBwsmGpHpq1PPzzRmS5r6TVOuI&#10;pqco6vSUD0lf+ZqfPbjq535h8e85a66QVB+3e8cdtx/8xm8cPfGqMFQfsZt6/PHHl5a36iIkBYDV&#10;igIBq5rQUIFWNK/V0OCxz7qCu8g6Q1KFb9H0VrVPUZasoq1rgkMpBVaquQO8scFcNL1VXygnpbbq&#10;60Njt9krrX/uj9GtNXa/SvPVXIdK56EKG4yQdB6lkPTGvXtv6u6nZrGOkDQNPs0qQ1J99G8qmk6l&#10;7Ug9++yXw2kpiqIoitr+Wg4UTi4k/eW7H+mmPqTvJfXvzxWS6mnV9DtPhY/apajdKP/xugpJVT74&#10;m6vmCkm1nGjaMcufu254x9luzfP43BeeD+/7VWcu7D3VDREAwM6IwgCr2tCwFE70BT1DrSq4GxO6&#10;jQk3I2OWU/qo1r7v0ay1irbuezrS9AVWpbBsjFIfLq0rmt6qhn3sdFR9fWjsNnul9av0xwNzt3Wf&#10;sfs1tT36/uADG4yQdB7Xn7/tDdFNkurcBz/0x9391CzWEZIqcIzYd4P6WmVIGq1PpddTmj+alqIo&#10;iqKo7a/lQOHkQlKFlN7bHnly6f25QtJo+4SnSClqN+oHXvdri5DvB3/+l9vvJfXB31w1JsR84MEH&#10;uimP5EJSVeqkQ9LzF27s1jyPL33lhfC+/7D2nu+GCABgZ0RhgFWtUig2JLBTkKFl6Qk2BR4KL6Nl&#10;5mrVwV1K2xstT9UXcHljllPan7meACytY2xbl+ZLRfNb1TylKQq+FARqvWrLUpCWq1LAFk1vVWNK&#10;HyrtS2mbPbVPzXmm81hteBIfwTt2v+Zoj2heK2wwQtJ5lELSG/fvfXt3PzWLb3zj2+Fg4Srr298+&#10;+t4tkwshc0+dei+88I02eM19D6oq+rjdhx9+OpxWlSIkpSiKoqjTW8uBwsmEpApEveipzjlC0mgZ&#10;MiZspShqO8t/B6lCUh/6zVlzhaSl7xlNnXRIurc367ffEJICQCIKA6xqlUIxVYlCGs0/NBCNqhTA&#10;lbaxNF/JlIDLG7McBaHR9Kqx+5Ma22ZztXU0v1XfchTm6SNWo3mHVilgi6a3qjGlD80RCkrpeEWl&#10;dp3j45xzxu7XHO0RzWuFDUZIOo/mZugt8U2SniS9+/e7+6lZnHRIGn3fp+QCzpqQ1FOYWfNEqiis&#10;ffDBJxfT6DtKFZxGT50SklIURVHU6a3lQOFkQtL042/10bvpNFNDUi3zxb86/sdpfMwuRe1W+WD0&#10;B39hs0JSBaKphx/+aDitKnUSIemPver/WPz//fff1615Hl/7+ovhff9hEZIC2D1RGGBVqxT0qHL0&#10;hN8c4ajVSQR33pSAyxuznFIgNHZ/UmPbbK62HruPpfWPqVLAFk1vVWNKHyq1T2mbU/pDBX2sbrSc&#10;Uiks1bxzG7tfc7RHNK8VNhgh6TzOXNy7Lr5J2j945013vKm7n5rFSYakCi+HPEWqGhqSip4sTYNS&#10;BaBTEJJSFEVR1OmtKFQYUkND0vQp0kee+3I43ZSQNBeQfu4vv9F+R2k0D0VRp7Ou+rlfWIR8r/gX&#10;v7L4/7lrTEj6K6/7V92UR7761a8e/JPX/F/Hpr3jjtu7KY7oSdR0urnrx3/8xxb/f7Ih6T5jYAB2&#10;ThoE+KpVCnpUkdJ3ao6tkwjuvCkBlzdmOaVAaOz+pMa22VxtPWYf53p61FcpYIumt6oxpQ+V2qe0&#10;zRGFnaXl5Urh6txB6dj9mqM9onmtsMEISedxWkPS6AlNhaa57wZV5Z487fP00188tiy9NhYhKUVR&#10;FEWd3opChSE1NCSNph9KAWgu7CQgpSjKlw9Jf/Cf/4vF/89dY0JS1Re+8IVu6iOf+tSnDn7jN97c&#10;vq/ANApIRSFrury56yd+4scX///oo490a57HN7/17fC+36obIgCAnZEGAb5qlYIeVUofhTrnE6RW&#10;JxHceVMCLm/MckqB0Nj9SY1ts7naeug+6snkaNqpVQrYoumtakzpQ6X2KW1zif54Qd8/Gi0zVwpK&#10;5zR2v+Zoj2heK2wwQtJ5nL2wdy66QVKdOb9/bXc/NYvjIemtyb/nKX1naKT0PaJWmkaVhql6Lbdc&#10;ha9+WpXmj76bNDX0aVeKoiiKora7olBhSK0jJBU9aZou+2du/TABKUVRS+VD0h/6uZ9f/P+UUoA5&#10;Vhpsvv+mi907w5Q+lndV9dRTy58EMFVfSHrduf2XdMMEALATojDAqlYpFFOl+p72U0jz6qai7z0c&#10;G8CNna9kSsDljVlOKRAauz+pdbd1NL9VtJy+cE9tphBQIX1qbMAWTW9VY0ofGrvNNdROQz6Cd8hx&#10;7TN2v+Zoj2heK2wwQtJ5lELSsxf2r7l8+fLz3T3VZCcRkuaCTH3/ZzT90Br6Pad6XWHpiy8efReY&#10;glEFoVqWwtRU9GQqRVEURVGno6JQYUhtSkiqEFRhaIqAlKJ2u175mp9dhHx/+2devRT6jS19zO1Y&#10;euI0XZ6eOB1CT59GH8m76vrc5z7XbcF8wvv+rghJAeyaKAywqvXGpqL5VVHQU3qKVAFqydgAbux8&#10;JVMCLm/MckpB8w1NzWGdba2PcI3mt0pDLwXq0XRWCv1KxgZs0fRWNab0obHbPITateYjjBVQz2Xs&#10;fs3RHtG8VthghKTzOHNxbz+6QWpr5pBUosHCuWrVAalV9PRnLiTtq+j7SxWeRtNSFEVRFLX9FYUK&#10;Q2poSJp+J+kY6cftEpBSFJUrH5L+8D/6R0uh39iaOyRV4KmP2K3x+OOPn1xA+neX/72KkPQ9H7gr&#10;vvdv6u0X9l/WDRMAwE6IwgCrWqUnztLATk/xRdOpFJ72fb/hOoO71JSAyxuznNL+zBVYrbOt+z46&#10;N33KuPQdtzXHYmzAFk1vVWNKHxq7zWPovC2tTxU9oTvG2P2aoz2iea2wwQhJ51EKSa+/uH/15cuX&#10;n+rup2bxtrfdHg4YTq3cd4DOHZCqou87HRuSavtSt9zySDgtRVEURVHbX1GoMKSGhqS1pSdFU7nl&#10;fvqrx38XIiClKErlQ9K/8w//4VLoN7bm/LhdXwpQFYJ+9atf7aY+pCdH9fG69j2lJ1ZJSLoKhKQA&#10;cCQKA6z0hGifUuipSkOxKaGQrDO4S03dFzNmOUNDxDFW0dYKwmvCtL6nF1NTj+/YgC2a3qrGlD40&#10;dpvH0h8wlD7SeK51jt2vOdojmtcKG4yQdB5nL+5dim6QVF1Ieqm7n5rFKkLSKGiUVQSkquhJ0rHB&#10;pv8YXtG/o+koiqIoijodFYUKuXr/U/HH/Pf58je+FS6vVLUhaTTdEHMEuhRFbW75kPRH/v6PL4V+&#10;1LBahRv37g3v/ds6v39FN0wAADshCgN89X1MaV+YlYYT+nc0naovFJJVBHc1IVqktC96urbWmDbp&#10;C6f7PrbYKGxVcBmFSKtoa5XapvTEcN++RW0y9fiODdii6a1qTDkfStus47oKpXYutdMQY4/F2Pm8&#10;aF4rbDBC0nmcdEiq7+CMBgzH1kkHpNF3kio0jabtq+jjgZ966rlwWoqiKIqiTkdFoUKuoic2a0XL&#10;K9VJhaTap3SZFEWdnvIhafpkJFVfP/lTP9FdNed1810Phvf+bRGSAtgxURiQVi4oLX3EqUrhW6oU&#10;CvUFi3o6svR9pmODu5oQLVLaF1Xtx4+WllMKykofc6zqC7h9m0RtMLbNSvNZ5YJSvda3X69uKlVa&#10;Z98T0X39uBSwRdNb1Rh77KUUCtaG5EOV/ihijqeXhZAUgxGSzuPMhb2nwhskVXOTdPny5f3ufmoW&#10;c4ak+ojbyJiAVMtS2KmP7X3wwSfb7wpN389952kUbGo5X/jCC+22+KdMtf9afvSRvVr/3CEyRVEU&#10;RVGbVcuBwq3Jv5eLkJSiqG2rpZD0713t/p8aUq95zau7q+a8SiGp/ki6GyYAgJ0QhQFRKRyx0E9B&#10;Vk0QlgunommtckFLX0CqGhvcleYr0TZFy7NS2OfbTGFctK6xQZnCwmgeXzpuvk21PdqO9GNTo+0a&#10;22al+XxpG3yQq3boC0hVUbhaakOtJ5pH+gJSVSlgi6a3qjH22Iu+7zeaz8qHyeoDOh/T80vT6LzS&#10;Mcu1kVHfyZ2D0R9EjEVIisEISedRCkn1nSRzh6TveMf9bqDwVvf/wysKGmulgaSCzjFyweaYbVvV&#10;068URVEURW1GveWtaaBQDklP8uN2f/nuR9r5zIt/9VdtIJpO9zO3frh9byw+bpeiTndd9XO/4MI+&#10;QtKxtaqQ9Lb7LoX3/m1d2L+mGyYAgJ0QhQFzVe5JylIQprBFwZUFNlpGbeg2NrgrzdenL7iNKg2j&#10;xgZlWs6Y9UcVtcHYNivNN7VyT0iqLaLprdTn/EfQKizsCxmtNjUkrQnJ00r/cCFtA/1b558PU9W2&#10;UbDua84nVwlJMRgh6TzOXtx7PrxBaqoLSc9191OzeN/7HnKDhesLSUVPh9qyxoSkCkhz30U6dNsI&#10;SCmKoijq9NfQkJSiKGrb6gd//pcXQd+PEpKOrl/4xZ/v7hTnVQpJz5zfv7YbJgCAnRCFAXNUKUSr&#10;eXpvTI0N7krz9akN2nylgc2UoEzBXzTf0IraYGybleabUgqE04DZK30U7JQqBWzR9FY1phx7BZnR&#10;fKVKl1kKFodU+oTqFGPDzrHzedG8VthghKTzKIWkZ2/af+muhKQKO4fQutOP5PWV+2je1Isvfqv9&#10;+N1oGRRFURRFna769d8mFKUo6nTXK/7lv3Fh34+6/6f66u///R9b/P+qQtK7PvxIfO/fFCEpgF0T&#10;hQFWNR99GpXm6zN22QrKck/QjQ3uSvP1KYVcuUoDmylBmcwRDiq4To1ts9J8Y4+7yj8JGil9HGxf&#10;abv0lGX0Xilgi6a3qjH12A8NOdNljgn505py/kTGhp1j5/Oiea2wwQhJ5xHdHC3qMCS9rrufmsVt&#10;t31sMVD4W791fPBwSOl7P8eKPiZXoefjjz/TfpfoCy98o5vykKZXMKp15p4eTUtPhyosTZelf+t1&#10;nh6lKIqiqN0qQlKKok57LYek1JDyIem/fv3rurvHed330Y/H9/5NXX/+tjd0wwQAsBOiMMBKT+0N&#10;DbU0felpPzN22XpiLRcsjQ3upoY8Q0PKtH2mBmWSC/hqKvdRqWPbrG++MU8SRyFuRP1jaFCqoFDH&#10;JLfdpYAtmt6qxtRjP3R/04/bHfORvb7S5c2BkBSDEZLOI7o5WtRhSPqW7n5qFnff/afhoCFFURRF&#10;UdRpL0JSiqJOe/3A635tKfjbhPqRv3tU0fubUj9+AiHpRx57Ir73b4qQFMCuicIAK1MbwGm6moDU&#10;aNraJ9n8svXEYPr9iPp36SM/9V4Uoui10ny1attIQW/K2iENu7RPCrFqKQgqfW9kWpq29HTm2Dar&#10;CVc1f822apragMto2TUBvD2VbNQW6THQvpb6tI57uh/6t16vkTsHtIwhwXBNW6rS4631a1uHBstq&#10;l6HHpZb2Oz1+2j4Ls3PGzudFbaF/1x5PrAkh6XTXndt/SXRzZKX35w5J77//z8JBQ4qiKIqiqNNe&#10;//Z34lCBoijqtNQV//6/LAV/6y4Fo3484Oof2eTvST3atnWEpGcv7jFWAmCn+DAgLU/BpJ44TMMY&#10;hSUKmvT+WAp5FEKkgZwCD70+ZdknSdsZ7YdCFmun2rBmCgVh0Xao9JreK4WcU9WEpEbBVrqd6mPq&#10;a30fr9tH82s5aXB2ksfiJKktFQim56j2X+1QCjXVFr7fpEGhlqnXdfxW2XeAUQhJp9OTovHN0WFp&#10;mrlD0j/5kz8PBw0piqIoiqJOexGSUhR12utvvvm/utBv/UVIuuxPPv7JF6N7f9WZi3vXtQMFALAj&#10;fBCSFjDGkJAUACYjJJ2uJiRt7qPecHg7NY8nn/x8OGhIURRFURR12ouQlKKo017f80cXXeg3sdqP&#10;x1Vw+KPLrw+oNCT9Oz/yd5rXXVC6UR/Bu/qQ9LFP/vnXo3v/ti7snWsHCgBgR6Qhli9gDEJSACeK&#10;kHS6cki697ymae6jZg1JP/OZL4WDhhRFbVrdmlQ0zZx1kuuiKIpaT73ud+NQ4eRL343qvh/1+q7C&#10;aY7qu5vXVX/jzG1JpfPuQh3tv7XLUfscb7vDat6ztl60d/I+tfX1/e++vVj/+x/fna1oelW0nk2t&#10;6pB0EU5OC0H7auyTpD9qgeWJhqirD0k/+ed/8Zfx/X9ThKQAdkwUZFkBYxCSAjhRhKTTvf3C/svC&#10;m6O2VhOSfuMb3w4HDSlqd6svGPTh4WH91m/p9dtcpfNQahe102Fb+fbz00SvUauvXJvb8Tis4f3c&#10;T3tU1g+W+4KfL3qNolZTr/vdIUFYNK0P1HY5oKQO6yigPeoXzf8vQlj32iktCxEtZPwHN93f1j/5&#10;4EMHv3jnR9v6N/d9rK3feOhPF/W7D//ZwZlP/Pmizv/ZZ9u6/enPH3z42S8t6vEvfXVRf/G1ry/q&#10;q9/89lKtg63btsm2U9ut/bDSfmkftc8q7b/aQ22jdlJ7WUAbtfGY+pEff5UL/o5qETyeYK3i43bb&#10;/bDwdNYQdfUh6Z//xee/Ft//tx+3u98OFADAjoiCLCtgDEJSACeKkHS6Ukh65sLeU5rm8uXL13b3&#10;U7NZHjDUILYfnGagemq97W23t/Xf/tvdB+94x/1tve99Dx28//0fbeu22z7W1t13/+mi7r//z5ZK&#10;3x0bVTqdSvPbMlVah9an0rq1Hdqe5e2sCSVsmrh88FGqNDCZVuk2UrtRUeDq30//fdoq2j9rB9Xp&#10;Pj/i4+7///C666+5/nrrr7N2Lf34xz/bfvy8Sp+woHruua8u6qtf/fqi9MdFU8ovy5Zv67RtUGmb&#10;VP5a76/v6XVd5dtgfKVtmyubbrni63w676bUbRv0JClFWRWC1vS1EeVDzFyAGQWXaWDpg8p1BpNT&#10;2bb7cNMHnBZyRkGnlbWRlYWfFoDmysLitOxYWF17+58c/Oz+Rw7+8a0fPrjmlgcOfqI5Zn/vwj0H&#10;/+fFew9+uDmOP3juzoO/+a795FgfPVmteuVrftYFf8PrH/zEj7f1mn/6Tw7+xWt/4eBXf/XfHLzp&#10;13/t4E3/4d8fvOlNv3bw//uNNx/8u3/3q+3//8Iv/nxb//gf/3/CZf3Ij67jO0l/tA1Sl8JUqyhU&#10;bV9b3q51hKRnL+5dagcKAGBHREGWFTAGISmAE0VIOt3Z8/tXxDdHqw1JjwdmQ+p0hhVRsJkOstsA&#10;uw2u+0F1P5A+VDqY7gfRo8FzG0C3gf8oGLVBdNuvacec2pT63d/dO/iv/3X/WP3e7y3XH/7hXW2l&#10;r0cVrWc3avkJx+PXtXnqaLnbECBtZ9l1W9e/6Lrtr912/bZruJVdd+16nlZ6nS6VX1aubL22LVbp&#10;td6u9/6a76/9dv2/cOFPDt7zngcP3vWuB9q2+O///UMHf/RHdx/8/u/f0Zznt7fXjt/5ndsOfvu3&#10;6X+/9F99qHAaajkYsbBtOXAbWuk6XNkTkosnJadUtO7j5ffpcL/8PqfLPP31ve/YO/iBd99+cNX7&#10;7jr4P87f04ZoCtN+bv/SwevuefTg39732MGbHvjEwX+59MRSeOdDPR/4+SDQwsG+8vPUlF+fym+L&#10;ym9nKVi0EFEhr5UFv1b2RKuFw1ZRW57mesW//DdLgV+ufvKnfqINA6+77g8Ozl+48eDRRx85+Nzn&#10;Pnfwta99rbtTGUfL0LLuv/++g4vvf//SeMC/+KXXtqHqa17z6qNtccHlOp52jerX/8Obur2Z1zPP&#10;femF6P5fZWMAALAroiDLChiDkBTAiSIkna4UktpfkTb3Udcc3k7NRwPJ0cDhKuqtb/WVG5w9DA4U&#10;JPzO72gg96g0sKv6/d+//eAP/uDOtt7+9nsWpcHg97znw21pvy5e/JODW299tK39/ccOPvShP23r&#10;wQcPB8k/9rHPtPXEE88cfOpTzx189rPPt5UOXEeD10MGsP3gNeHl9pX12d/+bfW//bZ0rK677q62&#10;FD6cPXtvW+fOPdSW+t4ttzxycMcdH1/0u0uXnjp4/PFn2vJ9S+UDkzRk8YHMSfPr9tuUniO5c8Kf&#10;D3YOvPe9OkcfbM/ZP/iDO9rgRud11PbUptbRddqXvX68DudTMKcgX8f88Py5sz1/dD7pteV1UNTq&#10;65//noK3OFSI6v91w20H33P2gwcvbyp634eTy+Fe8+8wSBy2fuqkq3T8Dt9TSPm/NHXlu24/+IH3&#10;3NHW/7urK999+8HffOf+wRXHnvKjqJOtH3jdrx0L/RSIKvi74R1nD5566snJQWitr77wtaXxgL94&#10;5tnunUPaDoWqClRVe3u3tduo+q3f+i/tNv/L/+8vHVz7z//ZwTXX/OTBP/zJf3Dwf/7Y3zu2f3PX&#10;qkLSL375q1+N7/9Vh1+5AwC7IgqyrIAxCEkBnChC0umuv7h/dXxzpFpdSKpgwwd4FtxFg4nU6S8f&#10;2Kof2FNZKgt41VdqysJh1c03P9yWwsPz5y8d/PEfP9TWe9/7YFuHTzzdtygLHVVvf/uHmv/qtbhu&#10;uOGw3vWu+9s6d+7Dbd1440faUlip2tv72MEdd3yirXvueWIRlv/pnz7TloXkaTiJk2NhrAWwPnhV&#10;2HrXXY+3/Uh9SMf8zJl72rBNT8cpgIv69G7WYTh5GFzak6zpNNFr9WXXCF0b7HxXGG4BuY6d/QGA&#10;nU+1rB/48N2H7fysOpkq/Tywin4u2HVfx0vX2729x9pzd3//8I9G9McjKpvO6gMfeLi9Tkd1112f&#10;OLj33k8u6sEHn2zL+pv+4OmRR55uK/1jDZX9wYaVtk31hx98+OCn3nP3wT8596GD1158cPEkm55u&#10;0xNy9nGbpY8TtY/m9E/UaX7/JJw9+eafdvNPuEWhBjWu/NOC/iNlVWp7e/rQjok9oahj5Y+/SsfS&#10;npa0vjD142XtY121rKi/5PoK/eTkK+1LVmmf8v0q7V++rK9FZcffl/VHq2gaX9FyVVr3a9914eAn&#10;//nPH/yTf//mg//7xve3oei69IWkc3jsMf3Of/vBe9777oP//vb/dvCf/tNb2vpXv/LLbempVf/k&#10;qgJjlV6zjwvWE7UKRhXM6slahbWr8MJffv0r8f2/ipAUwG6JgiwrYAxCUgAnipB0ulJIeubi3r6m&#10;ae6jZg9J+0SBhR9k1MCmBkX9oLUGVKMBV2pc+UFqPzAdDUirdGxsYFjHy8IKCyysfBA4JMAANp36&#10;tsr6vT01fs89f3pw552faMMYBeh6qvWd73ygDdv1VKPKnliPzsV56+hJy+UwsxRqRq+PK7uu2DXF&#10;X090HfHXEH/t2NRrhR1vH6z6cMyuk/bzyn5mqSwAtDaJ2muusnVEZdth26WybbXj44+Tv+7btd9f&#10;/+342c+B0s8Cfh5sBgvf/PciWkhngZqFaqpceJIGJGmlgc5cFa1L5bdH5bfVh0AqH1BapUGlhZU+&#10;sFTtCusj1j98v/D9wdrbHwt/vCzgs/Lhnw8F5yi/bCu/br9dKr/NKt9/VGP6T64P7Wo/WpeTCEm3&#10;yTe++a0vR/f/Vu1AAQDsiDTE8gWMQUgK4EQRkk539sL+NdGNkWqdIelUGmzV4KsGYtMB7HQQW6WB&#10;Xj+YrbJBYj+orbIBZT+4HVU0UJ1WNJ+VX49fv1U6gJ0bvI4GrdMB63SwGsB62Tmp8zO9fpWuXTXX&#10;rb7y86lseblrTXqdSa8xXFumsbYrFQAAyCMkXdYXkl53bv8l7WABAOyANzb1yaZ8kKV/E2ZhrO9q&#10;6uamfJ9S3dCU3gOAWRGSTlcZkl59eDsFAAAAAMD2ICRddvny5eej+38rQlIAAABgSxCSTlcKSc9e&#10;2DunaZr7KEJSAAAAAMDWISRd1heSnr1p/6XtYAEAAACAzUZIOt2Z8/vXhjdGKkJSAAAAAMAWIyRd&#10;dhiS7mWD0rdf2H9ZO1gAAAAAYLMRkk5XCknPXNy7TtM091GEpAAAAACArUNIukwh6ZkLe09FYwBt&#10;nd+/oh0sAAAAALDZCEmnIyQFAAAAAJxWhKTLuidJL0VjAG0RkgIAAADbgZB0uuvP3/aG8MaoKUJS&#10;AAAAAMA2IyRd1heSXn9x/+p2sAAAAADAZiMkna4UkjY3Tm07NfdRhKQAAAAAgK1DSLqs/bjdi3v7&#10;8RhAUxf2r2kHCwAAAABsNkLS6QhJAQAAAACnFSHpMkJSAAAA4JQgJJ1OQWh4Y9QWISkAAAAAYHsR&#10;ki5rP273wt65eAxg/+DM+f1r28ECAAAAAJuNkHQ6QlIAAAAAwGlFSLqse5L0ungMgJAUAAAA2BqE&#10;pNOVbo70UbyaprmPIiQFAAAAAGwdQtJlfSGpjQMAAAAA2HCEpNMRkgIAAAAATitC0mXtx+0WPlGK&#10;kBQAAADYEoSk09V8zE5zH0VICgAAAADYOoSky/pCUvvaHQAAAAAbjpB0urMX9s7FN0aEpAAAAACA&#10;7UZIukwhqZ4WjcYAVPpD6nawAAAAIOO7mrqhqQNXn2zqtU0BOEGEpNOVQtKzF/av0TTNfRQhKQAA&#10;AABg6xCSLiMkBQAAU32pKR+Q+npVUwBOCCHpdISkAAAAAIDTipB0mUJSfWpUOAagurB3rh0sAAAA&#10;CHxvU1E4aqUnTAGcEELS6c5c3NsPb4xUhKQAAAAAgC1GSHqc7vXDMQAVISkAACjoC0lvbgrACSEk&#10;na4Ukl5/cf9qTdPcQxGSAgAAAAC2DiHpcaWQVGME7WABAABAYOqTpPo+0webiub7zqYADEBIOl1l&#10;SHrN4a0UAAAAAADbg5D0ON3rR2MAKkJSAABQ8h1NTflO0tc2Fc2n0nsABiAkne7sxb1L0Y2RipAU&#10;AAAAALDNFJL+i9f920URkpZDUo0RtIMFAAAAGXoaVB+r6wNOPR1aE3ISkgIzIiSdjpAUAAAAAIDd&#10;cfb8/hXRGMBhEZICAIDVISQFZkRIOt1pCEl/74+uP3jVT79mcXx/+Md+6uDXfuM3u3d3l9rF2uT+&#10;hy51rwIAAJyMK//232t/D/lnv/S67hUAwCa4uH//347GAA6LkBQAAKwOISkwI0LS6Uohqf66VNNc&#10;vnz52u5eauP8q199U3iMVbvuP//22xZtsXfH3d2rAAAAJ8N+D/mZn/vF7hUAwCYohaRnLuw91Q4W&#10;AAAArAAhKTAjQtLptjkkvfH9tyyOqZ5UOPvu97VhoP7LEwuEpAAAYL3s9xBCUgDYLISkAFB2VVNv&#10;bCr9zsVPNnVDU69q6juaGkvLf2tTWv6XmvLr0L/1utav6VZJ+/DqptL9tPV/Z1N91BZqE78faift&#10;3/c2tQrbut3rpDaJ2kzfI3rS+0xIulo6P3TtUFvqeKtfp+2s1+x8WdV1Rt9b688xO7+mXDs1b+7c&#10;tWvzFNpmaze/fJWdK1Ov/7MjJJ1ON0DRjVFbGx6S+qdIFYxiGSEpAABYJ/s9hJAUJfrjRvUT/sgR&#10;62RfVaI/vl0H+3hybcdJICQFgJgGv6NAISoNoA8JdDSorunTgfe+0vYMDY4UfPj16P/1mqd9rdmW&#10;3LoVJig0iObxpbChJrSUbd1urSvtN9pGBSq10tBHpWUq2MxRn9J86TxpUFTb77Ss2vBH60jbUeuI&#10;lqEA1k83pnw/yJ2n2p7aY2aitulr9z5pP7ZS2wyVHl+V9jMKtdUu0fQ1pX2uDUtr+p3+37/vKzo3&#10;a859bV903NNS++g8H0LT65yPlheVti93jTlxhKTT1YSkzT3UGw5vpTaLBtzsmBICHkdICgAA1sl+&#10;DyEkRYn9Tk8/wRQWtr/qp1/TvTKMv3daB1u3tuMkEJICwLJo0L+2NLDeRwPwNYP7pRoSAEXzq4zC&#10;u+j9XKVhXykAiUqBQs22R/OqzLZtt6omrCmFiKX+lZvP5lG/ToPMvtL0NUFpKVBKAzyFSdF0Q0rn&#10;jymte0gwrf2MlmE1VrQsKx8k9lEoGC1DlfaLsdevtNJgMtLX7/rOs3TbJZpOZYae+zp3a4PSodcF&#10;X1PC9NkQkk53WkJSHEdICgAA1sl+DyH8QgkhKeZg1xvVGLsWku7f+yevCscAmiIkBbBrxgRJaZUG&#10;yqcMwKc1R9g4NGywsqfMxu6P2rhPNJ9KtnG7VdETf6lVhKRT+nVpnUbTRPOqVhGSqoyCvOh9lc6R&#10;WqU+odBxrFK7D1luqc/7a06p/4ypvidKS/1OwaSOQfS+VdS/oulUMvbc13b0Bf5T224jniYlJJ2u&#10;JiS9fPnyW7p7qY1CSFpGSAoAANbJfg8h/EIJIWk/e0pSXzeCGE+SDnP3Rz52VTgG0BQhKYBdM8cT&#10;WLngQ4FBNP2UmhLajQ0bVPZxmtF7taX5S6J5VNu63ao0MIyUgppSYJmbT31kbEBq1bfd6wxJ+86r&#10;vpDPlM79vmNeogAzWqZVzZO6Ugob/R9LlPrPmOoLmnPrU5+o6XdDQtIp576qL8Sc+oQ/IekpURmS&#10;XtfdS62dv3kt1ccff6Kb44iCQg0s/PCP/dRiOv2/XusLEaPvStL3oOom3Jal/9f2Pfv5z3dTHNKy&#10;bX6/znS6iNaRbrNKg0j6vprSMoaEpGqvX/uN31zaH30vjrab73sFAGC9ou/Ky/1+kf4OpH/rdfu+&#10;O/v5fv9Dl7op8jSvfp/wf5jm19X3+4VN3xd+6fcZ7WO6nprfd7D97Lj39ZNdRhutnr93Wgdbt7bj&#10;JDz0sSd+LBwDaIqQFMAuKX2c5ZCKBv0VhEwdgM9V38B8NM8mVN9TdNE8m1BTtrsvbJRSyDUmJJ2j&#10;+vb5pEPS9I8DSudW37abaF6r2iAzogAzWqZVzUe0lo5t2har6AelkHjq+oaEpFOrFPiW/nhC8+l9&#10;3w+033qK2fc9QtJTohSSvv3C/ss0zTaGpH7QTgNrfhAxVxrsy/EDE1qeDxPT0ns2mKfgMZpGpUHK&#10;3ADlje+/5VgwGpVfV6o2JK1p09J6AADAaqWD9/qdxf+c9uV/v9AfOlk4GlXuD6H0M7+0Dl+lP6ay&#10;aUrBjn7nKW2jqvQ7E7YfAWA/2mj10uvsSbN1aztOAiEpABzqCzE1mO+fStOAuQbO0/miQf++YEiD&#10;8JrGf2+ewpVo+Wlp3lKIE80TldZvT6RpO0pP1kWl6W37tZyaMKwkmj6qbdruNDCMlEKnOUJS62vW&#10;Z7TPNW1WMiQkrd3OUqXflTn1ac3SH0iobaYqtW8ackZKHymchqxR+2odOuZ6L20Lvdb3hKbez5l6&#10;PLVdqWi6qLRddu5rv2rOXW1vpNQG/roc0XVa51VN4L1yhKTTVYak57p7qbXToJ0CP5UPKu01K88G&#10;FVQKHvVEgk2nm1A/MKdQM2LL0Px+eg0gahl+HSqFsn779L6m0/R+fk0T8cuzpzltm7X9PkDNhbv+&#10;Rj9tE+On0XZp//16/D7kthUAAKyW/3md+/3CXlPZk57+35pOP+f97xD62Z/79A0/r//9QKFmur5o&#10;GWLvazsjfj0qLVfL1+v63cf/kVtuW7H97PfeXD8BbXQS/HV2HWzd2o6TUApJz17ce74dLACAU67v&#10;KdJSSCA+xIim1QC6X54vvVcahNfgf9/HVmqQPiea3ldp/aXwy1du/X2hRS6wkGh6X9u43aX5TCl0&#10;mhqSqh9ZqJQqhUSq0rYPCUlTpbaOArSI9ima36p0fkhp3/vmraFlRMu2yh0TU/pDiWheHWfNo/br&#10;W7YpHYep/U6l89W3pa65Wmd0Dkfz+9Kycv2qr61zfSrXh2tC7I1CSDrdtoWkng0WqHIU9Nk0GmiL&#10;nobUa37AMHpSwa9LpQHKdDq/Ll/pExaaz78frU/bqoHC3GCgttmHrdF++Rt9DTam/HZo/3Pr8gOU&#10;2kcAAHCy/M90lX4HUJjopb9fWOn3CS/9vSf62a5laZrSU6J+m3J/ZGbvR8FOuh3R7yqS/i63y/S7&#10;mo6nb7eo0mMuam8dMx+yqx+pTXNtb31K04ktw6+/NL+J1q3/t/5VEwBqHVqX//1Xy9BytfyI9R3r&#10;N/6TWvTf9BzKsXXa7+za7ty+lOj46Vzx86q039H8uXPaV3SsI7ljOWQ/fDtofq3b5o3OzaH76891&#10;a+uI1m3b4q9f2ga9Fm2L0Xqtv6nUD6wP6b/2ek50Dur/9VruXspE82pb7fyx17QdJ+GRJz71j6Mx&#10;gMMiJAWwG0ohicKGvifRRIPzGrz3T5tKXwDbFyKJgg4tO5pfVXraLZreqhQ0Sk0AUgqR1G6l7S7N&#10;G01vta3bXXOsS9s+JaxS2FPqx3ovms8q7dfeukNSKT2t2fc0aOlY15z7NUrrKD2BqH4ezaOaM8Ar&#10;HX9te07NudbX91LRMqz6zn3R+qJ5VelTyCbXh3X93yqEpNOVQlL3naRbG5LaTahupHMDKKIbZltW&#10;NNCX3kznluVvelW5gQY/qDD2RtgvIxqc8jf60ft98xvd0Nt0GuQAAAAny/9MV+UCBP+zXaV/R/zv&#10;PfodZwz/+0FuGaX3/Tb0/S7kf78q/T53mumYWzDUV+lxr5k36iv6/dDe71tG7ndeHa80JPOlkMje&#10;z/WjtF+npe2Kzgk7b7Rc39+san8Ht+kVqpb2JXe+SbT+tLRs37+1T9F0vkrr9NJjmd6z+Mot097P&#10;tYM3Zn/9NSX3hxeSC1N1nPXamH6kbbGQVRWp2afcedB3/vhrfG2/nIqQFADGBxg1SgHskJCjtJxS&#10;iBFNb1UK+0w0n5W2qU8pQCuFYNH0Vtu63esKSWuCJRm7z6X5TiokVZ+IlmGVC+lKf8Qwx0ftmrHX&#10;gSEftTtVtA6rnL6QtLbvedFyrGrO/VKfyp1DpT68ER+jW4uQdLrKkHS/u5faKHYjrIr4wYC+AQTd&#10;oNu00Y21X1c0CGP8zXXp5t7fZJemK/E301HI2fe+vadBkj5+IAQAAJws/zPdPzmV8uGBfnbnzPUH&#10;ULaMXChRet//bqXtKdHvSjZt9DvNLrBQS8fLt4F+p7TwJfqdUm1r76vN/dOTes+3bRrw+N+l02Xo&#10;PT+v3o8CbP+7sZ9XfTUNjaJ+YuvQtDoPfF/Rsqxdot9n7byx9dgybP2+LUo0r1+O1qW2ivZDr6W0&#10;Hr8M7ZOmU2k5/lzInY82TdRGNbQuvw22rNx+pH1Bovm1byrf96bsr/6t10v3JzZNOm+pjfy10R8/&#10;/deW5yvl90n3lf5+UP/v9ym9num8sH5q81t7+HPISn30JBCSAth1fR/VWftxlTmlp5qGDL73hRG5&#10;7YymtaoxJQCTsSFYNL1VjU3c7pr1lo5zLuCRsfN5pUCutM9T2npsO6cUgpb+2CEXrpX2uSaQq1U6&#10;Pqrc+Vu6fky9NqWidVjl9O1X6QnknGg5VjVKwXfuXCj1A5UC87nbeyUISaerDEnzqeAa+ZvRiB9Q&#10;9DejubJpo+X1rcv4dZZucP36ohv5iG7A/fb6v4bWv1N+W9L39W97TwMDtsxc+cED/RsAAJyc0s90&#10;T+/ZdH2/X9h0qhoa6LffC6z61lV6395TpctNy//OU/r96rRSG/i2SinosffToNLaLg2UPAsy02DK&#10;r1eloCnl+6aCJE+/u9p7UR/QtqYhqqewyd5Ll238OtJgz2+bwjofbA1hy1CpPdM29u3kw0JjAVlp&#10;G3w7pPshahu9lzvX+qTHMlqHb8sopPTzqx1ypuyv78vRMfd9Iu2PpTayYFf/TY+f+L6iStk+RcdX&#10;tEybJm0bH9BG1y+1kb/XOqlr3NPPPvd/hWMAbRGSAjj9SoP8pSc0a0XLtZrzCatcGBVNa1VjE8PG&#10;Gpu43TXrLfXHUtg5dj5v7D5Paeux64yUntbMtUHp+z7n+qhdU1pXtK8K5aJpVUOeQtdyFPgqCFQ7&#10;lILXXOWU+t2QbfSiZVnVGHMulObxpX1SW87dN2ZDSDpdZUj6VHcvtVHsRlgVSW92h1Sqb13Gr7N0&#10;g+sHKnKDHbrZ1k119NfNaUUDZn5b0vfTgZIhFa0LAACsTulnuud/vud+vzA2nSpHy9OAvwUMucqt&#10;q/S+n39IlX6/Oq38cY3499P+Ya9HoZjxT8n5AMkvNwpIxYdW6bHx/bYUUNrvumk/sfmjwM6z+dMA&#10;y6+/tP99bBkK9nIsIEv3wbdtqe+q3Uvr0XKj5deqOZZioboqfSLSXld7R0GjTN1f/3oUxPrAMd2G&#10;XBvV7rt/qtPz86dt4tn8ah/PtkvX0Ry/36V2mxMhKYBdp6c5o8FwVW24lFP6PkHVUNEyrHJhVDSt&#10;VY0pAZiMDcGi6a1qbOJ216y3FNaU+uPY+byx+zylrceuM1JqA1X6JGDp/Jzzo3ZNaV+j774sXZtq&#10;nkJXe5SOzZDKmaPfpaJlWdUYu01D2kp/QKPQeePCUkLS6QhJj1dpYEJV4tdZusH1N9vpjbxoIMkG&#10;W2pKy0v5bUnf9+sfUtqm3KAIAABYjdLPdK/v9wvPplNFfGDQV7l1ld7389eWQobS/p9W/rhGIY1/&#10;+s7/njbm9z3fvn7+UrvbNOnvvvb7cykcEpsu7Sf2em2l8/vzZgpbRul3+9w++G0oBWxiy4jaK7f8&#10;WrXH0oeQ6XT2eqkd5thfC2qjdrD7oyFBst+mUljvp/P867Xl2WulkF1sulL7zukvnvviL4ZjAG0R&#10;kgI4/UrBxdhBftMX2gxVGsTXuiLRtFY1xqzTGxuCRdNb1djE7a5Zb6nPlPrj2Pm8sfs8pa3HrjOn&#10;9LRmGiye1EftmtKToar0yfKxH7Wr4E4hbzTf2MqZo9+lomVZ1Ri7TWr/0kc2R6Xpx/TTlSEkna4y&#10;JH2+u5faKHYjrIr4G9qpN5t96zK16/QDFemNvAa3fECq9/VX2Wk46dcVDXaU3i+tHwAAbJa+n/lm&#10;yM93m06V8kGJggqtPwoXbJrcukrv23sq9LPfDfWUmu8DCkh1jKJ29v2hprQcH2z5+Uv9zqZJf/fV&#10;9uj1vr6Ym85er63Sk6RT2DLS/fNy++CfzOzj9zeVW36t2mNZms5eL7XDHPvrn0b1TwDrGmSva5pU&#10;ro1q+0FuOv96TaVPktrrpXaT2unm8slP/8W/DscA2iIkBXD6lUKasYP8pjRYrxpqTBgVTWtVY0oA&#10;JmNDsGh6qxqbuN016y31mVJ/HDufN3afp7T12HXmlJaXfvzrSX7Urim1lUJbM/ajdrXdpXB1bOXM&#10;0e9S0bKsakzZJgWlpX6RK33U80YgJJ2uJiTt7qM2Tu7G2vgb2qk3m33rMrXr9AMQ6Y28fxogfc/z&#10;64oGO0rvl9YPAAA2S9/PfDPk57tNp0r5P9Yqrc+mya2r9L69p0K/vid7FXCmQbbvD6XjmFM7v02T&#10;/u6r467X+/pibrra+XP8eTOFLSPdPy+3rXp6sHYbbBnRtFPbovZYlqaz10vtMNf+WvDvn760c0Dv&#10;RXJtVNsPctNN7Uc2b6ndpHa6uTz12Wf/YzgG0JTGCNrBAgA4xUqhythBflMarFcNNSaMiqa1qjFm&#10;nd7YECya3qrGJm53zXpLfabUH8fO543d5yltPXadOX1Pa9oTmKXpVvFRu0ZPqEbrVPmP3C1NV/qo&#10;3dLTsVMqZ45+l4qWZVVj6jYpaFbfG/pUqQ+514aQdLqzF/cuRTdGbZ3fv6K5f3rJ4W3U5indWIv/&#10;K+SxAwqmb13G30SXbnD9AETpRr70/Ul+umiwo/S+/94bFQAA2Fx9P/NN6feLlE2nStnrCktLbLrc&#10;ukrv2/dIqkr7hKPv/VQ4pL7g207/r9eir0Pw/aH0XYw5fv7SMbJptB2e/f6cC7WMTZf2k9r5c/x5&#10;M4UtI90/L7cPfhtqP342fRJRcsuvVXss1/Fxu9H++j8KsL5tf7yRPjFscm3kt2nqx+2W5s+xeTft&#10;43YJSQHsulJIM3aQ35QG61VDlQbtc2FUNK1VjSkBmIwNwaLprWps4nbXrLfUZ0r9cex83th9ntLW&#10;Y9dZUtoeCxhL3/e5io/aNQrgSuexfeRu6eNycx+12xcQq/TE41VNRU/KRtNb5czR71LRsqxqzLVN&#10;FpYOebK0r7+vHCHpdBUh6UsPb6M2j90IqyJpENh3o17Sty7jb6JLN7h+oKJ0I18KSf1fakeDHX45&#10;0ft+gK20HgAAsF59P9NN6feLlE2nStnrpZDUf/Rlbl2l930Ioo/oRJ61VS4cyvG/C49pY9+fSv3O&#10;pkl/9/XHOPd7uLbRwq+0n9TMX+LPmylsGen+edp2TZPug/+EmNLv29o/my46Vrnl1/LHMvqoWuPv&#10;L9Lg3V4vtcNc++uvL1qO/3cuqMy1Ue7je1O5p2Br58+xe67a62mpfef0+JNP/1Y4BtAUISmAXVB6&#10;YkthxhQaZI+Wa5V+B2HJ2GVF01rVmBKAydgQLJreqsa6trsUqNSsd2zAM3Y+b+w+T2nrsessqXla&#10;M/eRtDrnowBxTgoqo3Wr9F7pXC8dy1Lwq/3qu95E81nlzNHvUtGyrGqsYpsULJf6udXaP3aXkHS6&#10;Ukh6/cX9q5v7p5cd3kZtHrsRVuX4wRXdoKY3+6m+m+7SusQPxpRucEuDmP4vuNP3RPvgv+9HFQ1c&#10;+W2J3vc3/PoL/dy+Gw1m9LUfAACYX9/PdFP6/SJl06lS+r3A3ovWp9f8NLl1ld7X7xV+GX3hg34H&#10;GROUnQZqP7WRQpahbWDzqvp+10v5/lTqdzZN+ruv/10zeopOx9T/0V7aT/z6+57Ci/jzZgpbRul3&#10;e2vndB+0j9bP9d/c79J9f/xoy4+euqzh21IVnW997W3vldphrv0V6xv6r937lPa/dAxsXTqHom1K&#10;7608v0+5+Uv8/Wj0RLfOS1u+qtS+c3riU5/9w2gM4LD2LnXDBQBwapUG1FW5p7ZqRcu0GvLEmgbp&#10;o2VY5UTTWtWYEoDJ2BAsmt6qxrq2e+p6xwY8Y+fz1rHPY9dZopCx9LRm6Vw6iZCrdKy03aWQt3TN&#10;KIWvNW0ZzWeVM0e/S0XLsqqxim0yWnbpDyH8RyavBSHpdBUhqZ4m3Uh2I6zK0U2sH3zRDahuVDVo&#10;oxtylQYJ9Jr9FXt0o16zLvGDMaUbXD8Ikd7Ip4OGGkSw7dWNtW2nr2ib/bZE70s6IKB/qz00vUrr&#10;1XKsDU/qph0AAByp+Zkues+mS3+/SNl0qpQf1NfvJPr9w34vSH93UOXW1fe+fudIl2PrstK+W6DS&#10;t0+nlT/+ael3NLWLjovaK6XXbFodS7W5D1oV0KjNtZz09zw/b7RsY9NEvyf638P977Sa1n7ftf9G&#10;x1ev+fn9duj3fOuTWkbKt9sUtoxo/4xtZ7QPfju0nTq/tB+q9Hd77UvEn3danubVsdT8NTS9zW+V&#10;Ox4qvZay90rtIHPsr2havxz9t7S/pWPgr2nqk3a/o//a9vj9T/l90vxqNx+Wall2P5m2XXpv59vD&#10;H1ebpq9950JICmDX9T2hWfr+vxqlAGnIdx+WApDSwH80vVWNKQGYjA3Boumtaqxru0vrrQnFc084&#10;qkrHeY5gaBX73NfWY9fZp3S+9AWoJ6EUtJW2r/SU69Q+H81nlTNHv0tFy7KqsYpt8vREbrRsq7Ui&#10;JJ3uzMW9/fjGaBGSqjaSHzQp0Q2sn7avor+yr12Xv4Eu3eDqptimi27k00HDtHQT7deV3oxL3/vG&#10;Dxr0Ve1ADAAAmE/tz/S+3y88m06VSv/ILCoN7ts0uXXZtKVt0e88PkAolUKdXVRzPKyi3z9r2zid&#10;1/enUr/LzS/pU3Jp6fdQ699RPxnye3zKnzdT2DKi/TO2jbm+7sOwXJUCQ38sfNWeE35+/T5fOibq&#10;LxF7v9QOZur+io59Ok/pSerSMeg7hzSPgk/7d6T2nik6V0r3djoWet+2v6Z95/DYk5++MRoDOCxC&#10;UgC7YY4ngzRwroArDXbe2FS0XKuaj9ztG5QvBbnR9FY1pgYvY0OwaHqrGuva7tJ6+55SLAV7qlLA&#10;M0cwtIp97mvr0jp17oxVao9cKZw8KaX9zlXfH1VM7fPRfFY5c/S7VLQsqxqr2KZUqa3XipB0ulJI&#10;evbC/jXN/ZNqI2lQQMdTN5Y1dOOredInMXXDrNc1YJC78a5dl/+LZ60vRwNGNp1uuCOaRoMHfnu1&#10;rbpx1o2+/6vkKNj12xK979m60sEDrVs37Fpn3zIAAMBq1P5M13s2Xe73C2O/Q+hnf47WawP3Ks2j&#10;34ksBLDQQK9FbB25941+p9HvGn5dtj69pvWUfq867XzAkwZYaju1jf8dLgppNJ3aMf1dT//W74BR&#10;MOb7U6nf2XFWf4lo+9PfaX0/sv5d6ifaPr1v61JZ/1DfiX6Ht+Vquin69k+0bX37oP3V+74d9P96&#10;LTpmqfQ46/9r5hNNZ/Pp/9VeOia2b/pv33bUtIOnZU3ZX7FrjErbW6Llajr9N0d9JW1D6/vW30v9&#10;Rdud9mWVXadK+6Xla9t8m2tZ1ndt+2vbd6rHn/rMbeEYQFMaI+iGCwDgVOsLMvvCLT19Zk9/pYPw&#10;fQGngtXS02F6r/R0oar0kcDR9FY1pgYvY4O3aHqrGuva7rGheF9AqioFPHMEQ2P3eUpbl9Y59aNL&#10;S3/8EFXfeT4nnbPRNpSq70nk0nHoe0K2r//lrCKQjJZlVWMV25TK9a2TDNpDhKTT9YWkly9fvra7&#10;jwIAAABwwiw8KYVE/qk7BUGAp/DO+kdtQInT7ZE/fequcAygKUJSALuiL8hUaXDdBw0KL/XvNJiI&#10;BuH7whoNrOtpUB926v8VIJU+elPVF+xE81jVSPfP1yrDxmh6qxrr2u7S90mqdDw1jQXj2pbStvqK&#10;+paZIxgau89T2lr9PprPSv3b2krnhKav+dhi6Qus0zqpj9o1fX/8kFbpjymkdPxKT6HWBPQ5c/S7&#10;VLQsqxpjtknto+t0Td9SP4mWrRryEeorQUg63dkLe+eiGyPVmfP7CkjfcHgbBQAAAOAk6Skzu4fp&#10;C7dsOkJSpAhJkbr02CcfjsYA2rqwd64bLgCAU68U9AypaBC+NKg+pRS4lZ4ilWg+qxpTAjAZG7xF&#10;01vVWNd2j3lCsLZyAY/MEVaN3ecpbV3zBwppKVysMeRYrOMJwL5A3VdN+NZ3ndEy/JPMmr42qM2Z&#10;o9+lomVZ1RizTf6PUfT/Co7VPv76qv/XeeCnTas2wF8ZQtLp+kLSy5cvX9fdRwEAAAA4QT7cij4S&#10;1/jpdvmjiREjJEWqFJKeubh3XTdcAACnngbAS4PftZUbhFdAEU0/pWoG5KP5rGpMCcBkbPAWTW9V&#10;Y13bLTVP5pUqN38pdJojrBq7z1Pbesx5V6s2BFSbnzQ9GRptS1S14dvQjxiurZw5+l0qWpZVjTHb&#10;FE07tNT2fU/7rhwh6XS6AYpujFSEpAAAAMB6+e8wTL9/U/+v12wafccikCIkRerBRx5/KhoDUBGS&#10;Atg1Q57sylUubNHg+dCP1yxVbWgSzWtVY2oANjZ4i6a3qrGu7ZYpgbs+IjYX8pRCpznCqrH7vMq2&#10;zlWt2nNaTw2uQ22gXhu+TXlqXduSO5Y5c/S7VLQsqxpjtmmOP5Cp6esrR0g6XUVIeq67jwIAAABw&#10;wvQEaXRPk5YC0vsfutTNBRwhJEXq/oc//vloDOCw9hgvAbBzFKqMHTBXCFoKM/Te1CdKtW1DAp1o&#10;GVY1VhmAlYK3aHqrGuvabjMmcLfgOxfylEKnMcFQauw+T23roX9AoGlradnRMnzpnFqXmlBz6Pdc&#10;jul7dnxzxzJnjn6XipZlVWPMNk25Lqv/2Lm7doSk0+kGKL4x2j+4/vxtb7h8+TIjLQAAAMAa6YnR&#10;X/uN3zz4mZ/7xaX7Gj1B+s9+6XXFj+IFFJ5bnyFIh3zoIx97IRoDOCxCUgC7SU8CloKftDRIXhOc&#10;GQUjYz4WU0961T5RZvRkYrou/Vuv19DgfxpgaX8VKtRsi74DMQrA9Jr/fsTUtm63p7Cm5jiny9T2&#10;paFNXx+zeTSdn0/Lrg1wxu7z1LYWTVd7ztX2AfPqpqLlWK3jo3a99FinNSaA0zUm7QtRqX/6IDsK&#10;ykvtPUe/S00996Pzx5aR2yZd8/uOQ1TqO5p3YxCSTlcKSfXe5cuXn+ruowAAAAAAwJYrhaT6Y+lu&#10;uAAAdpKCIYUGCm+iEEAD5EOe6kz55Udhml7XOjSwXxs2YfPo+CmA8cfYQsSxQdJppcBOfT4NXdV2&#10;Y9tL545fVlpTzuE59D1NOvbc13z0vWEUeKpd1Aej0F79Um2n4H2jwlFDSDqdboCiGyOVPor38uXL&#10;z3f3UQAAAAAAYMvd8cDD34rGAFT62p1uuAAAAGArKfRKwy4rBYbrpkAu2jaVAjmgGiHpdKWQ9OyF&#10;Pb6PFAAAAACAU6QUkp69sH9NN1wAAACwldKnUn2tO4Tse8pVTywC1QhJp9NfiYY3Rk29++Y7b+nu&#10;oQAAAAAAwClw232XwjEA1fUX96/uhgsAAAC2jj4SNQofrdb9kbOlp1xVG/mRrthchKTT6a9Eoxsj&#10;1btvufPB7h4KAAAAAACcAjfu3RuOAagISQEAwDbTk5hR+Gi17u/61ZOs0Xap9AQsMAgh6XS6AYpu&#10;jFTvufWuS909FAAAAAAAOAVKIenbL+y/rBsuAAAA2DqfbCoKIFU3N7VOfU+5vrYpYBBC0ulKIel7&#10;P3D3n3f3UAAAAAAA4BSI7v8XddP+S7vhAgAAgK3yXU1F4aPVur/vs+8pV20/MAgh6XRnz+9fEd4Y&#10;NfWOm27/encPBQAAAAAAttw3v/Xt8P5/UYSkAABgS72xqSh8tFr3933q43Sj7VLpCVhgMELS6XQD&#10;FN4YNfWum+/4ZncfBQAAAAAAttzXvv5ieP9v1Q0VAAAAbJ0vNZWGj1br/r7PvqdcFfACgxGSTnfd&#10;uf2XRDdGVgAAAAAA4HT40ldeCO/9VWcu7D3VDRUAAABsle9tKgofrdb9fZ9af7RdVtp+YDBC0un6&#10;QlJ9FA8AAAAAANh+n/vC8+G9/2HtXeqGCgAAALbKdzR1Q1Np+HhzUwoo9f466UnS9ON29eSrtu9V&#10;TQGjEJLOo7kRej6+Qdpv/8oUAAAAAABsvyeffia89z8sQlIAAABgaxCSzqMUkuqvTAEAAAAAwPb7&#10;xJNPh/f+qjMX9/a7YQIAAAAAm46QdB76a9HoBkn19LPPdbdS2DT6KOS0AAAAAADI6QlJr+uGCQAA&#10;AABsOkLSeeivRaMbJJVuoLaZhYdf+/qLbenjg1V6QlYBsEofN6T9VD38+JMHH3nsiUXd99GPt3XX&#10;hx9p67b7Li3q5rseXNSNe/cu6j0fuGtwRW0/V0Xr89trZfti+2f7rLJ2UFnbqK2s1HZqR5XaVO1r&#10;pfa29ifIBQAAAID10T1ddN94WHuMlQAAAADbgpB0Hvpr0fgGab0hqYWbPtT0gaYPMn1wqcDPwsBo&#10;n6jNKB/WWjjrQ1kfxFoI6wNYQlcAAAAAGEb3W9H9merM+f1ru2ECAAAAAJuOkHQe+mvR6AZJpYBq&#10;Lgq0fODpw04LOn3IGW0PReUqDVvToFUhqw9YAQAAAGDX6H4pup9q68L+Nd0wAQAAAIBNR0g6j+vP&#10;3/aG8AapKYVNffwTnxZ+psEnoSe1qWXhqgWrKkJVANh8+v0jLV2vfUXTTC0AALaZ7n+i+yLV9Rf3&#10;r+6GCQAAAABsOkLSeehGKLpBUik8Eg0KKgRVcKQASUES4Se1a6UBBf+kqg9TCVKxDro2q+/p+mx/&#10;qJJ+NLk9TZ2W/pilVPZHA7my6fwybZ1av5Vtk/3Rgcq21wdZ2B5pv9Mx9X3P97+0P+n6qdK11Eq/&#10;T1jpOqvS7xe+omvyJpbfZtsXK7+fKt8GKmsbK3++qawtc+fdkHPPn392DnIeApvBzkcrf66q/Hk8&#10;tNJlWaXrVOH0Kv5cvWn/pd0wAQAAAIBNR0g6j7Pn968Ib5C62qbBSYpad2kg3Aa3NXitgWoNTGsA&#10;CvA0AGmDlhYuRcGS+pMPktTHTvN12YdLFiSloZEPiXww5AMhPxjMYO8ytYfapdT/0r5n/Y7fCXan&#10;7Hj7c9LOSzs3+8Jdu5bZ+erPWys7f/157MvO6VxZP04rmjZdtl+v3yZto227L79vc1a0rrTNrPx2&#10;qvw+WPl9jNrBt5NdJ/310gr9ouup9S07RnZMdaztvLHzyM6rbbm++uuCKro2+OuDVek6kZ4DQ/u8&#10;7++qqM+rfL+3Svt/Wv58WFdF2+Ur2q9039M2io7toghJAQAAgO1BSDqP687tvyS8QaIoavbSIJIN&#10;DmngR4M7GrzQIAe2kw1i2aCUBp90XP3AqA0SauDQBhaj/kGtvvygrg3kpoO2fQO10cCsH4y0Qcp0&#10;INPK3i+VX15atk7rZyptn2237Yf2yfqd9pe+R1HU1LLriJVdT/111Zf9/PNl11xfdt2Kyq5tc1a6&#10;Dr8tflv9vvjrqCpqH4ra9uqGCAAAOOZVTT3YlH5YWH2yqbc2hene2JTa07ev2vvVTWEc+mzZdzV1&#10;c1O+fVR6Te9hSxCSzmNXQtJ33XzHN9958x3feM8H7vrKH992z+ff98EPPXPu1rs/8/477n/4wv59&#10;D7V1+/233Xz3gzdevOP+d9105wN/eH7/3t+56c4H/6Pqxr37fvX9dzzwi+du/dA/VeljituPKtaT&#10;uF29/cL+y/pKf507pnScaiua/9h2uO1W2f60+3Rh/xqrM+f3r1Xpu2utzl7ce4vqzMW961RnL+yd&#10;a/67b9W8d+nMhb2nVE3bfzk9FlS+NABng4UKPSxEVSlcwWrYX+pbQJUGUDagaoOnfrA0Oo4URVEU&#10;RVEUtU2le7duiAAAgGOiMMVq7kDltU2lgeENTZ3m4Mbvq68vNVWy6W31HU0plNR++H3Sa3pvlU6y&#10;z24j9Z2obVR6D1uCkHQ+Zy/uPR/dKG1C3fD+/a++4/23f/YdN93+sXfefMe9zf9feMdNd1y/COq6&#10;EK8N9brAz8JICw273cQG8CGuhbU+mPWBbBrCdsf/s++86Y7PRX1ll8qe1rCnHixUtafcFKoq7FPw&#10;pwDwNLInONNws/SEnQ85VTwNQlEURVEURVGqvUvdLRsAAMeUAqfvbWouenIyWodKYeBpFe2vVc42&#10;tJUC22j7VKt+ovOk+uy2IiQ9JQhJ56MbovhGae7ae/7w6cJmfYfB13U+6LQnMxWeEXCihgWuadhq&#10;Qeu7P3DXu977gbv2zn3w7kcUrr7jptv/Mu6bu1EKBBWwWsiqwNAHrSqFiQoWLXSNSiHk0PLz2/It&#10;vFTZ+lW2TenH3dnTmwSbFEVRFEVRFDVf6Y9Su1ssAACOOanAqbQe1Wl9AjDaV6ucbWiraLus+p6S&#10;nYqQtIyQ9JQgJJ3PYVgZ3yzVl55GPQw/FXy2TwLqCU8XenarA9Zu8USrC1fVZ9950x1vUrD6nlvv&#10;usQTqxRFURRFURRF7UbtMU4CAMjalJD0tIZb0b5a5WxDW0Xb5WuVCEnLCElPCULS+eiGKL5R8rUc&#10;gioA9R9r2y0KOJXUz32Y2v4RwOHHAe93370anDMUdVLlntJvSv3Sntb3pWt3X1n/7iubfmn5+vlw&#10;uN7FdxSrmukOt6vZxm479fNkYz/mnaqtw+MY9T3rf81ri35lnxrR/gGVPfXfXFftUySs9LuF1eLT&#10;AlzZJ02k1V2uB4mWM7TS7fPb3+6D2zfbX1/WFla+nXLnnUrta1V77nH+UdQ2l527c1S0fIoiJAUA&#10;5G1KSMqTpEe2oa2i7bLiSdL1IiQ9JQhJ59MOzB3eGOnGuQ1C28G45nUN8GkQsJsUQIYGx23AW+eP&#10;Bq4PB6nTAQiKsloMWC4Fm82/D0MQFyi1fcsFSOpvp+Xa7IMmC5XSEMkHRm3buHBIbde2nwuDmv9n&#10;ELi3jgLOtv2C/pf2vdPU77BMx9Wfi3Y+2jlplZ6bVna9svPUn69tf+rOWSv1N6vm30vhrkr9Mi07&#10;v8fW0rJsPcvbcbR93Xar0n2ysn2urWgZafn1WvntWmzf8nb3tl/QFvbzh2vlLLX8ByO+TzX/PjyO&#10;XT/w11W7ttr11a6xvrpT9MSk6/fXBJVt72K7M9eH9BrhrxPR+WDt1LZVob937Tq4z3fHx/X7tKLj&#10;uokVbfthBfu71CaqY+3m2lXHrOsGAAAcc1KBUym44TtJl21DW5X6Dd9Jul6EpKcEIel8dAOsm9zu&#10;nwBWQANLNmCkwaAzhwM/PIl6asoNkNqAkxsYbQcIu8FQ9QVdd7uugRNgA71+QDcdxPWDtotjFwzS&#10;tuetDS76gcejQUk3aHnUP/rK5o+qeX9pkFPVrv9om8KnNtvrjfaRvgdgAF0nrHTd8KVriS+7pqbX&#10;Vl92nfVl1ylfdg3OlV3nxlS0PFW6DX4b2213+7bY564tuJ7uFn9erLK61QEAsFFOMnB6Y1MK+Wz5&#10;euLwhqZO61Ok4tszrZJNb6vvaErbo+2ybdT2KiDVe6tESFpGSHpKEJICOE002GYDie2gXReinlUY&#10;0oYkPpCjVlP5J+tsILUdOHWDpQxoAQAAAACA04zAabWidrXCOPTZMkLSU4KQFMAuap9eOH/4pIYF&#10;qj5UbWunQtWjp/AUbvqAM33Czp4SsSdD7GkQgk4AAAAAAIAYgdNqRe1qhXHos2WEpKcEISkA9FP4&#10;Zx8L5z8WT0GhBa1tcNiFrao2UFS42AWNfbUIZzOVTHv40aVdcGnVBr1diGnVPrWpINiFmgSbAAAA&#10;AAAAJ4fAabWidrXCOPTZMkLSU4KQFAAAAAAAAAAwlYIThQP6DsUHm0qDA32vooIXfZ/iq5pa1Xcq&#10;arlafvRdjnpN702ldby6Ke1P9H2RaYh0mgKn72zK9t3vh455tO9jaB36vtBoHXpd73t+mrRwaNf6&#10;rPqIznXrR36frdSf9J6uW0O/h5aQ9JQgJAUAAAAAAAAAjKGwRAFLFED0leYZEiYo7PDr0f/rNe+q&#10;phT6+PVEpXBkaChitM01+6vwxcK8kwqcFISl4bBK+1sKh20+P4/aMZ2ndt+1LC1zKM2j/hQtMy0d&#10;e1tH9L5VzpC20nHU6346ldpIweMQ6ndRf4j6ZG5avTak/55kn43adEg7af259uk7V3RMtZ7oWNXU&#10;kHZVm0bLUA25rmHNCEkBAAAAAAAAAEMpjIgCgqGlYKImUIvmVZnacM1KQc6QoEnbWAqOorJ1jA2c&#10;htKyonWotA05uflsHu370OBJ09ccV6N2qgm4fdk6ovescoa0VWla1RClfhqF0tF0qpog7qT7bKmd&#10;tNwaY/dZ+zq0/0Sl7Sz9QYGZemywIQhJAQAAAAAAAABDReHA2EqfCI1E86lkaEBqpUCkNshLn7Ss&#10;La2jFN7kAqcxhgR/Xm4+zaP2mfJkXo0pAVfftuUMaSs93RhNZ6UnmGupP0TLUKWh/dQg7qT7bKlN&#10;VTXG7nNpvqGl/bcnanOmHhtsCEJSAAAAAAAAAMBQUTgwpfqe6ozmUY0NSK1qAo25npqNKhc4jTEk&#10;+PNy8ymAHBuQWtXs39gwr6ZyhrZVqR3UB2uoj0fzqxRKpqYEcevos6U2VdUYu8+l+caU+mTJlGOD&#10;DUJICgAAAAAAAAAYKgoHplRf0BTNM0fpqbESPeVYevpvatWEiLWGBn+mL9yaUn1h0yrXrcoZ2lal&#10;0LGvDxk9MR3Nr4qeph4bxK2rz/Ydyxpj97k039gqPU06djuxYQhJAQAAAAAAAABDpcGAnoRT0KOP&#10;Hk3DBT1Bp+CgFNxET9J50TxRKWy19SssqglPcqGP9D2Rp33SNFqXaN1DApvSuocaGvyZvnDLSvuq&#10;ffP7WvMUaEnf/OoX/uNs1ZeGPHmaM7SttK/RtFY1x7H0EbbRk9SlfqT3ctbVZ/v6UY2x+xzNp36i&#10;/Uy3V/utPqXjnM7jq/TdpGO3ExuGkBQAAAAAAAAAMJQCUYUtCiX7PirXTAlRoul9aVty4Y3Cjmge&#10;q1Ko0fdxs7l917Zom6J5fOW2eYxS+04NSdUOFj6n+j7yOLePCqui6a0UKlqQl+oLAq1yxrRVqS/0&#10;fa9uKWTN/YHA2CBuXX22rx/VGLvPal9tu/Zd53uu36RKQWlpfWO3ExuGkBQAAAAAAAAAcFJKAU4p&#10;bI2mt1I40hfUjgm4+p4e7AtDtE19oVMucBpjTPAnfeGW2q4UOvWFnf5JUK8vvO5rm775VTlj2qoU&#10;zPY9CV2aN9f/xgRx6+yzff2oxph9nkJ9M1qXqvRR0Se9nVgRQlIAAAAAAAAAwEkpPblVCsWi6a1K&#10;H4tpSqFGLhTrC+FqnlabGgQOMSb4k9J8NQG0lI5rLjQqPYGqYLZG31OsOWPaqi+ALLXTmD8OGBPE&#10;rbPPltpUVWPMPk8x9pw56e3EihCSbqbvfsUr/trLr/zBn375lVe9uWnvu5t61Le/q7ubaW54+fe/&#10;8trvufKVf72bHQAAAAAAAAA2UilMy4UvEk1vVaP0xFguDCkFIaUAJTV2n4caG/iMnc/T05DR/Kpc&#10;aFRqlyFBUzS/Vc7YfS6FnXpaNFJ60rb0BOqYIG6dfbbUpqoaY/Z5irH94KS3EytCSLo52mD0+195&#10;bdO+uUC0v678oZu+54of+rvdIgf77h945d96+ZVXfTpc9vR6tFsNAAAAAAAAgFNGQZCCSAUEChdK&#10;IUuucuGLRNNb1RgThpT2YUgQUlpOaZ+HGhv4jJ3PGxMaRdNaDWmXaH6rnLH7XPrY3NzTr6UnM0vf&#10;ZTqmTdfZZ0ttqqoxZp9z9ISujpeeNtb+KJCOlpurUj+YczuxRoSkm0FPjDZt+pWorcfU3/j+H/rd&#10;btGDHD6VGi9zjpoS4AIAAAAAAADYPPoI0r6PPK2tUjAWTW9VY0woVgqKct+zGRkTOI0xZh9l7Hze&#10;mNAomtaq5mNhTTS/Vc7Yfe77yF29n9J3W0bTqkof0TumTdfZZ0ttqqoxZp9TCqWHBqJRlfrBHNuJ&#10;DUBIul6HT49OeHK0VFdeVfpe4VAznz7aN17ePPX6blUAAAAAAAAAtlwpKBhTufBFoumtaowJxcYE&#10;RZG5ltNnzD7K2Pm8MaFRNK3VENH8VjlT9rn0kbsK6FLRdKrSR+3KmDZdZ58ttamqxph9NgqcS8dm&#10;aJX6wZTtxAYhJF2vpi1fn7btnDX0idJmntWGpFde9eZuVQAAAAAAAAC22FxPj/oqhTjR9FY1xoRi&#10;6wycxhizjzJ2Pm9MaBRNazVENL9VzpR9Ln3kbvrkUum7cEsftStj2nSdfbbUpqoaY/ZZFJB+qalo&#10;vrFV6gdjtxMbhpB0vRQaRu07Zw35iNtmekJSAAAAAAAAAEWl4GdKlUKcaHqrGmNCsXUGTmOM2UcZ&#10;O583JjSKprUaIprfKmfKPvd95K7/qODSHxOUPmpXxrTpOvtsqU1VNcbss8z5BKlVqR+M3U5sGELS&#10;9TqJkHTIx+4206/443ZfeW23KgAAAAAAAABbqu/7/hQu6GNHo+9nHBviRNNb1RgTipW2le8kXTYm&#10;NIqmtdrU7yQ1tR+5m3u6se+jdmVMm66zz5baVFVjzD6rvaPprXQM9NRutN1j+8GY7cQGIiRdr0JI&#10;+qjeS58C/Z4rX/nXFTQ27306mCdb3ey9mmlXGpIOeaoVAAAAAAAAwObR029pKOAr+k5Gb0z4ItH0&#10;VjXGhCGlbR0ShIzd56HGBj5j5/PGhEbRtFZD2iWa3ypn6j6XPnJXT49K6Vzp+6hdGdOm6+yzfU/Y&#10;1hizz3pKLJpepTC7FLiP7QdjthMbiJB0vY6FpFdedcN3/8Ar/1b3dtZ3v+IVf03TLs1bqNpwspl2&#10;lSHpo91qAAAAAAAAAGyp0lNbNeHSmPBFoumtaowJQ0oflVr98X2N0lOHpX0eamzgM3Y+b0xoVHoi&#10;WSFkDQVg0fxWOVP3uRQI6slFURAava/q+6hdGdOm6+6z0fRWNebuR33n19h+MGY7sYEISddL4WXb&#10;pldedYOeEu1ertIFpbVPlL6+m62oma4Ukt7dTQYAAAAAAABgR00NBxQ8RPOqVhm+jAlDSvuqIKzm&#10;I2FLTxyq+kKcIcYGPmPn88b0i1JfqF1v6SlCVc4c+1wKEvXRtrn3az5qV8a06br7bDS9VfTx257e&#10;z308sSq3z9G0Vn3G9oMxxwYbiJB0uzXH4vXpsQnryqve3M1S1ExLSAoAAAAAAAAga2o4UArGxoYv&#10;NcaEIaV5VH1POyooi+bzVdrnocYGPmPn88b0i9I8qr6nLUtPalrlzLHPpTCxFN7WfNSujGnTdffZ&#10;aHqr0kdxK7wthc6q3D5H01r1GdsPxhwbbCBC0u22eBK1rwhJAQAAAAAAAMygFA70hT+lj+pVjQ1f&#10;aowNQ6LprfTUWy7IU9hUeirOqrTPQ43dx7HzeWNCo9J6VQrNck8+ltbnK2eOfe77Ds5c1XzUroxp&#10;U4mmt1p1ny0FnXqCNjqeNQGpKrfP0bRWpSdn+9ZLSLoDCEm3GyEpAAAAAAAAgJNUCpdyIYj0BaSq&#10;UvgSTW9VY2woVvqOR5VCJe2b7bcCqL55fJX2eaix+zh2Pm9saFT6PkmVQiyFd0b/r22Kpo0qZ459&#10;lppwz1ftR+3K2DZdZ5/tW056PLUdfX3AKrfPpf6Qe3K2LyBVlfrB2GODDUNIut1qQ1JN181S1ExL&#10;SAoAAAAAAAAgS+FCFAxYpSGIApi+7420KoUv0fRWNVYRIM5RpX0eahX7WBsYjg2NSvPNUTlz7LP0&#10;fX9nWrUftStj23SdfbbmjyHGVm6f+z52WfPZ96Hq+qVtrHlilpB0BxCSbrfmWFR9J+l3v+IVf62b&#10;paiZlpAUAAAAAAAAQNGQp86GVCl8iaa3qjElFNP70Xy1pUAm97RcaZ+HGruPU9rGjA2NFFrVBFal&#10;Kj0RmDPHPsvQj9yt/ahdmRLErbPP1j4ZGpXWm/ujitw+j/3Y474q9YMpxwYbhJB0u738yqs+HR2f&#10;pB7tJu/VTEtICgAAAAAAAKBIocTYYEuBVu7Jr1L4Ek1vVWNKKDYlyNN8enItF1r1BU5DjN3HKW1j&#10;poRGpfX3lQI5BY/Re6qcOfbZ9H1sq5W2dYgpbbrOPqsnyaP5+srWm9vv0j73PU1aqtzTr6V+MOXY&#10;YIMQkm4vfc9odGyO1yuv7Wbp1UxPSAoAAAAAAACgl4KpoSGMnhBTeJMLGErhSzS9VY2podiY/dX0&#10;9uTg2MBpiLH7OLVtZGpolAuqSqVwUv1JovdVOXPss6n9yN0hH7UrU9t0nX126NPmfr25/e7b5zHr&#10;tI8Gj94v9YOpxwYbgpB0++ijc//G9//Q70bHJajqp0ilmZ6QFAAAAAAAAEAVhRo1T9EpjFCQZBRM&#10;pOGNAgkLvCIKmNKP8dS/a4MnLTv6GE8tQwFdDT1BmwuO0lJg4/dHwUm6z9qeOdk+puvRMSrt49j5&#10;vFxf0GsWfvVR+JYe46i0nWkQlR7baBpvjn02WpaOd27btQ6ty/eHGmq3qL/ptdo2XWef1Tmfzh9V&#10;2jZRX1Lb+u86ztE2+/lypTZR25i0jbTdpX4wx7HBBiAk3Q4KRr/nih/6uwpHm7b/SnRM0tJ03/0D&#10;r/xb3SKqNPNlQ9J2veWP97276U836QnXoesFAAAAAAAAsL0UXihgSYMNBQYKSoaGQ5tOYV60v/q3&#10;QlsfvmA4hVMKztLQ8bT2p5Owrj6rY6VjpmPnA1MdW21PzVOpQ2lfTnqd2FKEpJvje6585V+vDUD7&#10;akxAKs28pSdJh5UCVQWmr3jFX+sWfyq1wXCzv2rz7iWcIJ03+gMC/bd7ae2afn+D9Yncedhuc1Pd&#10;P1FpE4/3tmn65uvtOs0ftAAAAAAAAADYWYSkm0OBYtTWg+vKq24YG0w2888XknbVBr9X/uBPd6s4&#10;dZp9XLRZ9xJOiAIe3882JZD3fSIKQi1Yb6s577uX0WNTj/e28T9rCOoBAAAAAAAA7CxC0s0xQ0j6&#10;+qlPVzXLmD0kPapXXtut5lRp9o2QdE3Sc2ZTAp9mW8ohqdvmpviu30qbery3DSEpAAAAAAAAADQI&#10;STfHDCGp6lF9b+nYsLSZf4UhqWrzg1K1Xfv0q7b3yh+6qXs5q5mOkHRNlo5V0/e7l9fO94kohNI5&#10;au+f5qes51ZzvIeev7uIkBQAAAAAAAAAGoSkm2OmkPSoRnzsbjPfikPSzf8OPIUGbnt7n/LTNDZ9&#10;9xJ2nO8ThFAna+j5u4sISQEAAAAAAACgQUi6OZp2fX3azpPryqs+PSSUnD2ojWujgwtCUkzl+wQh&#10;1MkiJO1HSAoAAAAAAAAADULSzZF8lORspWUOCkq//5XXtoPoV/7gT2sAPTfvYRjRTntDtN5SaV+7&#10;xWycoSGLprHpu5ew43yfIIQ6WUPP311ESAoAAAAAAAAADULS7eFDyRFh6kq/r1Ghp77/L1hvXFde&#10;9eZu1tkp1O2C20eT9d5d+r7WZp5PJ9Nnavl7VZvXjoWk7bHy7aFlN9tUGw63gfnh91Yu9qE95u0y&#10;y9/r2kzbPpGs6buX2lBk0Wfa/Rz33bCHx7kNWBb73NWj7f71BC7NdLNv29G88fdPLo6De789j/w+&#10;DDw+7fzu+Lbb4Ob3y47apHl98dR46Q8YDvtR05cr+qb6SzfbEn3kdvO+1pceM/379aWP5G7PpW56&#10;286uD6Tb1Cyr/rhZ+y2O3WFVfZ9y7njXtNFhvfJarcOtu/faqDY6Wu9Vn+5erqLlaz7N370UUvvm&#10;9k3mPBbN9L0h6fL35iZtHZzHds2zfWj/2/y775rg6Q9zNI/fn255xb7q19m9FPL7VNqu5eOd9rP5&#10;rycAAAAAAAAA1uTlhKRbqR3E9YPYVTUuGBtiMYDcXyt5wmtAm7y+m2VhMSjeX0vzNv9eDI7ruJTa&#10;QOuwgCPHBxiFejQXGPj52+3pQpqkBre/+k9VG12Z/y7cVWxb33x63d4vrLOtvuPTzX8UhoS1HJhE&#10;YYxvh1xYU9kPjqpp927WBYVOfcestM9t8NVNd/j/7b4dW8aigm3wuqAv2/5Hlb9WuemWjndV3zys&#10;9vxttvUoWGzaqV1IxtJ+J6FZn8V8TXUvhXxbN3WsL895LHzf0rK6lxea1xchfltJ+/j5u3/3fJpA&#10;+WdP3Xl12Fcz27voU9H7xh9z/azoXj7Gt206XfPabNcTAAAAAAAAAGtGSLrdegfKfV057AmoMbpB&#10;43j9rjR43M0ymyCc1NONb+4qehpvKezUYHYXRPiA4FG95kv72M3Saqbxg/tHA+banm7dSwFO4Ti0&#10;03fTaR4N0Nt6m9e0XX5APnwCzi9D6176/8P37tb/d5NXaeZJQpOrPt0G0s3yumB6OSjIBEnd+o+2&#10;x///+G2z9ZZDUm3z0nEYc3ySPtYto2uL9Om39v917LrZF9r1Ft//wZ+297tlvb7tA/akXfdeW81r&#10;bR9Jnlrr+oybTm18OG173XDL0Tqip96SZbi+fXT8l15vKw7EdN4stXN7XF55re1X14+OltO81s26&#10;xE2zdLyHnr9L6+vpc0ttntmunMV8TXUvhbptt2mLIWlTk45FN207jZbbvdw6/jPl+DL8/E35dbbX&#10;3PR8UOWeqmx/ZiTT2nl1WMeeOD729LU/lvr/7uUl7VO3bhlaZ/fWMc177tqUBMQzXk8AAAAAAAAA&#10;rNnLCUm33tKAbk+dxFMtS4FCobrJZ9EsbxGMaIA6HfiXbjB+qa0qgqEwePM0jZu+HRRP21n/Xh7o&#10;Px48aBq/jFyokLTvsSdim3l9gNG2x5TjvrRdh3VsnaLXl6frDVcmb5u45ZVDUquRxyfpF+E0S8Fb&#10;V1Ff9O2QeX8RGkXts7SeZlndywtp8BStQ5r3jo5Z06+6lxeO73McQjXr8oF3GAot9dtgm8X3NR2P&#10;7uUli2Vkjneyzdnz14dmbT/swtNU25Zuuu7lajavqnsp1Lfd8x6LuP8pEFzM29bxPi5+ftXhubM8&#10;bdduPswNg+jkevZoeE0+PFZLwXD3Vsv3G03XvbykeT25PsXXf7FrQXS8m9dnuZ4AAAAAAAAA2AAv&#10;JyTden6wv79WP1ibDqDnqpt8FksD0j1PejXTLAa5o5ChNmQxmmYxvQbMM2FLEmwdCwz0mr3vg4tU&#10;cryPBQLH23/aMfchRtReXrLulW+buOX1h6STjk9/yCfap8V0TUXH0rdD+v5S4JMJlnxw19Sx/V7a&#10;hsK2SvP+USCbtE1yLqjCgDzZnmPhU9Jni+eU9nkxbXAu9y1nyPnbvO+egoz7YtKWxSdOI0fLnz0k&#10;HXUsRH1i8X7X/4YEe35+VRoSmqXQNQk2xfd1rTvaVqP9Kl3ntXx7L97npTDW6lgb9p1/zeuzXE8A&#10;AAAAAAAAbABC0tPBDxAXqycwmYPWEa47qW7yyZbCg2AgPpWEHsemHxKyiKax6XNhgfQtd/Fe1T4c&#10;hTvdSwtL7X/lsO9PjCyW1VQpxJAkDDs2/dzbJm594bHS6zbNLMenqb52aKZZHB8LoTzfDun7S9tR&#10;OF9tGgVH3UsLzeuLfe7bVh/mlLelfLyaaY7WmSxn6bgXwjdJgrVj+3+0nPh4L21zZhqzfC3IfUT0&#10;UbiW7leNxfKb6l4K9W33XMdC0v6n86I2IJXl4xmHtcZN13Ot6g8SNU1u+qX3gu13+7dom6gdl7Yp&#10;WI6ff8r1BAAAAAAAAMAGeDkh6anQHJOjgd9SBaHD3JYHmfPVTT6ZX1/fk46SPmnVvbwwdHBb09j0&#10;3UuhZL1Ly03Weex7FNPSNDa9/t0tpuXbI31vqG5di+3qXi7SdDbPKrfN2PKaCo+VXrdpupdCpeOT&#10;PF1WE2Iv1hntZ6kdltq8ma57+RibJhOSHs7flJZXqmYdPnhaWl/7fua9VClsbV7z16f2+1Vzpffd&#10;tMeOaek96ZZRnMak14L0qcCl9yuOe8Qvv3sp1LfdS+9POBai+Y+W9YM/PSQgFT9/tHyvmSb/Bx2+&#10;XwRPDaeWAvSkjZbD9eXwc/n8bacrbdPivbQ/SPP65OsJAAAAAAAAgA1BSHo6NMfEhxD56hlcn8PS&#10;AHyuRgYOkWZZ2ZAnx29L+qTdkJBFNI1N372UZdNpnu6lVrLOQZWGFL79+wKMPktP2lUO9Gu6o3mW&#10;A5c5t80crSvePr1u03QvZdl0mqd7qTWlT0T7WWoHv65c6J88sXtse9x7wyo5f5b2u+fcKu1T81rd&#10;9el4lfYtPA5L25yZxmu2O/sEou//NX+AETladrn/9W33XMdC/PvN/x99CkHldblv+V4zTfb88+vu&#10;W44kbXBsW+299A8HmtcWwbvCSx8i+3B2ORTPPFlc2J/UYlkV/RAAAAAAAADAGhCSng7LTwIVquJp&#10;nama9SyexCnUbIPGWtZiuT3hgVlM31Q6OL80EF+xnZrGpu9eyrLpNE/3UitZZ31defw78YYEGH38&#10;spqqOmaabjFPcjzm3DazWFdm+/S6TdO9lGXTaZ7updaUPhHtZ1872Pms/0Yf6dnM74K94x936t6r&#10;Lq0r3Zal/U6OZaq0T81rR31iWJX2LTwOS9tcc6yWn05celpaQZm9V/po1RK37A0NSZefJK0Jg/uW&#10;7zXTZM8/e13VtxxJ2uj48tzx8str/m3b0B5f/2Sp39/kj0LCjxFuXp98PQEAAAAAAACwIQhJt18y&#10;yF+svu8nnCodxC5U8XvshvAD433hgXHbcewjFZN9GBSIdS9l2XSap3upNXSdJUMCjD7NMooffRrR&#10;dIt5klB+zm0zi3Vltk+v2zTdS1k2nebpXmpN6RPRfva1w9ITjIcBVvsRte257vp7G6Im/VfsfVX3&#10;0ihL+91zbpX2qXmt2B5D2HK0zO6lJUvbXHGsxIeEdo1ceqowCU+HcMsoHou+7Z7rWEj6frLuY+dt&#10;qm/5XjNN9vxbavee5UiynceOSe7J38U8rt0W63ZPpDb/v/jjg9zPyua9ydcTAAAAAAAAABuCkHR9&#10;FgO+V151QxR01GgH8t1HFhYr+HhCowFhDRprYHnSttQ9RTprWNvs12LAXv/fvZyVhB/HBrqTgfhB&#10;gVj3UpZNp3m6l1pD11ni26MmeCgZs13NdIs+kK5/zm0ztrymwu3T6zZN91KWTad5updaSTv0Bmaa&#10;36aP9rPUDrXnkc7X3NONfrrupVGW9rvn3CrtU/NasT2GsOVomd1LS5a2OTNNaunjV7s/4Kh5qrCG&#10;DwK7l0J92z3XsZDoff9aqW9J3/K9Zprs+eff61uOJH8QdKyNkmt7e576dvPraPbhWCDavGY/S7Pn&#10;ePPe5OsJAAAAAAAAgA1BSLo+fqC5LYWlAz7SsfvIwKpQsq1mfd2sxxx7cq2ZdkhYOnBbZh0wTsKM&#10;igBrafrjYcSV5e97TGkam757Kcum0zzdS62+4HYI369qgoeSpC2OPXWbSqfvXl6Yc9uMW194rPS6&#10;TdO9lGXTaZ7upQX3Xm87NNNkg2IptUPz2uLpXb3XBnjLfwjxaN/52U7jltG9PJjmteVond3LodI+&#10;LYWQPcvps1hO5ngPPX+lu37ZPO01xD+xayHaGM38R0FgYTlLbR1s91zHQnLvN/9ebGtTj+b6WN/y&#10;vWaa7PnXLGcRVPonP3P89NqG7uUlzXtHfV99odtW/VzrJmklgevrl/pAZtnSvD/L9QQAAAAAAADA&#10;BiAkXR8bvD1WV171aQ0Ya/A5HVQ/HPTVR24ufSdhb7VPBpVCley2KCh45bXRQLheawNH/3G3FdU3&#10;qD6U9mvI8ptpXJj7ymu7l5cs3i88fWua6eYK4Xq3q4Y/lnO09dJ2FcIDScKwG7qXF+beNlmsLxNE&#10;6HWbpnspy6bTPN1LC81rVe2g/V5M11S0n6V2aF473N6KvpfTdxxqadvcckYHc0uB1IT9ksVyMsdb&#10;xqyrmX5xfJPQdFLAtXx9jM/r7hrmzv/j65zrWEjufW1H+0cy3XvNdGHf6Vu+10xTCEmP+kXfzyj9&#10;7PPblgucm/fcR4S3fxBz2K7NcegmaS393Dg8Rov5dPy7yY5p3ickBQAAAAAAAE6LlxOSro0faD6B&#10;Kn5c5EltS83TQmNoMH+xDg22B4Pc7aC4D7AKAcpimqamhAApm07zdC8tHAsMCgP1opAgChX8sezb&#10;9hpd0GDb3VQ2WPbfXxqGGHNvm7h1hkGEXrdpupeybDrN07204NshOj7H+ldX0X6W2sG/19Soj3lN&#10;A6XcMTPa9uh4adsWy2i2q3s51Hdsm9d9yNwb3Ob6/2IZmeMtbprqftZMe9R/m2vD4v972q6PX27U&#10;b7R9y8eqrWP7NuuxKLyv7bP3Duv4/vct32umKZ5/y20dP72qvqn3FtMV+k83rS1vse6mjp1LyfuH&#10;/98TrPt5upeybDrN070EAAAAAAAAYJMQkq6PH2hecfUO0J7QtmQ/vnEqLTcKGtr9Oqwb/PtRWOH5&#10;p780bftk3uFyPp2GBu16umm7l7JsOs3TvbRE2+mmacMArU9BRBuSHD5FrGPVPR11PCzp3m/n7wsw&#10;ajXL8mGC6lFrk+6/PuhoKhOkrmbbbL1xm855fHxQo9Lx6dpgqf+54xjtZ6kdcmGrK22D9kn1+ijc&#10;FB2Dbnqrw+mb9Vm123HU14/tczuNzd9M270cKu2T6HxL2ujTmmdpexQoNvtu03WzLlnMnzlGMuT8&#10;NUm4tqip16z02tT+f9dv/HY25fvWSo9F7/su2FWl18q++b1mmuL5t7RfTR22T9MubfscayNV78+R&#10;Zr7ketRsZ3CeNK8v7adKfaV7O9RMM9v1BAAAAABOgzc29cmmdJNkpX/rdUyzCW37HU3pL5W/1JTf&#10;jgebelVTALD1Xk5IujZBiLGKqgom/aD3implAanpnoBaDrGiuvKqT5cCUjkW6CzX0hNJzb9nHTRv&#10;A52j6frq+NNRAwKMWjp2QVhxrA7bLP/k3Sq2za0/bFO9btN0L2XZdJqne2lJ28eCAMbqMOD5wZ/2&#10;wU+0n33t0LxfCkmXqtTmer3Qj5erOb7dbAt+P7TN3cuhmmPb136+tN3dbEvcNNlzaMj56x3r40Gb&#10;jKE+0XMc7m7PMffvbtaFOY9FzbFaagtdM931u2Z+00zTe/5VtI9V207dbFnHrqHN9ndvLQmD8WZb&#10;urdDzTSEpAAAAADg6OYoV5gmalOrk/K9TUXrV93c1KZRqPvWpny4rIBXr+k9ADjm5YSka9MNiveH&#10;emPryqtuqBlQlvYJxWgZc9SVP3RT7XbMoQ2fm3X6Qff2/9tB/3yAlzoMdI6CAltGui82jd7vXspa&#10;bFMzT/dSqAuTFJSlTy4qYGqfkNU03eRLmvcXT0flphmrDWoOn4JLgy4FB6/vO86axuaZa9v62nTu&#10;49Oet4ch0dGxUXvomHT73x6/7r1oP5vXs+2QBDyPWuhqddi/2/UvwhpV7onSNggKpu/29e7Dpyzj&#10;YMjvR1PFj/7V+zZt6di27ad90LqtvY9Kfbt9ejrXl2qOkbTb3h17VTtf8+9SHz12HewJzIbojsPS&#10;E+2H23d0TWpeO+xTwb7NeSz63pfD4+T7+FFbNP+uPo/tGGi/u5dC3fq03KV+2rSZzq0b+sJYT9vk&#10;27n0dGjz/tJ53L2cVbs/stiG4HgCAAAAwGnhQ7O0ME3UplYnZdtCUoWh0baqNnF7AWyAlxOSrlU7&#10;MHwYYITtPKraQeVhg/vHBsTnqDZIqw8lgV239GRbc/6UAj2xwKarYnCGfr79a0IwAAAAAAB2XRRG&#10;WWGaqE2tTsq2haTpxwKnBQDHEJJuhkVY2gaLcZtX1N1TQ8n2Ca/l4GVMPUo4Cgx3+KTo4XlUevrN&#10;tNcMO++a/+9exki+PWvaHwAAAACAXRcFUVaYJmpTq5OybSFptJ2+AOAYQtLN032s4utffvhxq9FH&#10;Uqr01Ofdhx/Nmf9oyrG0vDawaYPbNjSNt+Mw1F18RGbuIz8B9PMhqc6r7uVQ94cViz+q6PvYU/Tz&#10;1zjaEwAAAACAflEQZYVpoja16vOqpvz3cqrsuzmHICQFcOoRkgLA5vDBZ/v/V171ZoWnVvoobf1x&#10;xNIfLfCdh5O1T9Fbe37/VY92LwMAAAAAgIIoiLLCNFGbWvVRgBnNp1LwWWvbQtIbmoq2VaX3AOAY&#10;QlIA2Bztk+QDPnZbgencT5LvoqYt3Xcy83HhAAAAAADUiMIoK0wTtalVn10NSb+jKT0t67+b1J6g&#10;1XsAcAwhKQBsnvbJRn3UdRKYdk+Qth+1zcdbz0PtuGjjpr0JnQEAAAAAqONDs7QwTdSmVn12NSQF&#10;gMEISQEAAAAAAAAAQ0XhmRWmidrUqg8hKQBUIiQFAAAAAAAAAAwVhWdWmCZqU6s+hKQAUImQFAAA&#10;AAAAAAAwVBSeWXn6PshXN5WGd59s6oamXtXUHL6zKVuPlu3Xpe+m1Ouvbeq7mppKAaKWpe1/sCm/&#10;Lr8+fR+m9m/od2Kmy/PVJ21nX6sKSdX2b2wqbQv9W20wZL2bRH1F+xX1KdWUY7wNrmrK9ycdT/X7&#10;Kfx56tty7r5yktcDbDFCUgAAAAAAAADAUD50SMsopFAgEU3jSwHJ2LBCYYjClWi5uVJAMnR9Cm+0&#10;npr9SUvzDAmXomVYpbTcaLohpTAsVROSKhhUiBhNk5YC5VUGiTqeWke63jHHWqFnFIqWSsdY/WPI&#10;Pmp70/6k9eq8qaG+r/3z86t0PpXCRrWHpknn8e1UOqfSZWuf07bXfqR/AKG+WnP+TOkrq7geRO2l&#10;0j5G506Jpo9CW20z1oCQFAAAAAAAAAAwlB/kT0sBRxTelEpBwZgwqyZ0yVUa4uQotIrmH1pqk5rw&#10;J5rXKjW0naOKApq+kFTHamiQqKBpbPjVpxQW1wbUY/ptWuqPpYDSlNpXy6gxdp9z89k8fSFjuuzc&#10;vqgtRe0ahYylGtNXVnU9KLWzzoEhSu1Q028wM0JSAAAAAAAAAMBQ0SC/1dBAxEqBQ20wokAjWsbQ&#10;qglKo/nGlp687BPNZ5WaIyS1MMsrhXg6TmPDKD0luAqlICsN9SIKfacEbGn1PWFYal9VjbH7nJtP&#10;r9ecV+mySyHpmIDUKuqXOau8HuhYRtNa1f5xh55yjeZX1QbjmBkhKQAAAAAAAABgqGigf44qhTum&#10;L2AaWn0hRzTPlJqyvtQ6QtKppWXPLRf8qfr6lIK8oU/F9pVCL4ViOZsYkuoJ0pqgOF12bl8Ujo4N&#10;SK1q+srcfTU6P0vtUvOHD1J6Ip2P210TQlIAAAAAAAAAwFDRQP8c1fdEVV+gpcDPP8Wn6fV0WN88&#10;JdE8U6ovEInmsUrNEZJGIc/cwZOvVTxNOjYwlPT7NOeqUr/axJC0ttJlr7OvnNT1oPQRxLVPgZbO&#10;1b4nj7EihKQAAAAAAAAAgKGigf6oFC7YE3UKKGoCmtLTY6X5S+Gj1l16qq30dGc6rQIWBYsKNtKn&#10;BbUcbWPpyTPNXxLNY5WaGnipooCmNvjSfmob1L6i9qgJHedWage9l1Ozn+pXvk9qX9VmNQF1ri/3&#10;rbfG2H0uzVdT6T7VtKFqFX2ltC9zXg/072g6q76QU+uL5lPVhqxYAUJSAACA0+e6c/svsTp70/5L&#10;rd5+Yf9lVmfP71+huv7i/tVWZy/sX2N15vz+tTV1/fnb3jCm/DL8elVL29Rtp6/FPrh90752uw8A&#10;i+tgev3TNSS95vnrka5PZy/uvcXqzMW961RnL+yds2r+ve+rme6SrzMX9p6Kqnnv+VVWtE6r5v3l&#10;bfTb7/bN7WO736pm+rYtomt4dO3OXau5TgPA6RMN9vvSwH8uIOr7/sBSwJMLH/uCRymFOaWPzNR7&#10;Wq9Cl1KY6k0JwaLprfqUgrvc8YjUBF8KmXIfKau2iuaxGrItNUphWak/9YV00XdUen37mQvqpvQP&#10;M3afS/P50vG146SQT22heS3kNOvsKyd5PSg9fZo7zqZ0zeubFytESAoAwDIbVE3LBvdU3aTAaL5f&#10;5QbuowH7drD6cPB6MSjfDX53g+T7B5TVUWDQtpMLAvzAvx/wt0F+P8CvY9QdNgArZtdGuy7aNTG9&#10;HvprYXtucy3c0lq+TrfHMbhW23U6d61uqwtiu64EADgh0WC/lYKLvjCx9BRXLrDU01rR9Kq+MMvk&#10;gg5tz9xK+1hqn2h6qz4nFZJq39KwzCs9Oafqe/JuqDGBYd82loJGr3ScdS5E+tq3xph9ltJ8VkOC&#10;u3X1lZO+HpS+UzR3nE0pjJ/7XMAAhKQAgE2VhkgaAEvDo7NdcGQDpYsBtm7AzVfzejdwmlY0aDe0&#10;DpeVrK/4pIYG/aya6Y4FNbmwRqV26ZoJa+b7aDqYr+PaHeNgED/qR9Tm1+F5rmPpz2U7f5fOW87V&#10;jXJwcPCSXHWTYGbp9dF+fuva2Nbh+cO1kVpRHV2v237mrtnqf+F12/2+xfUbAOpEg/1WNQFFKaiJ&#10;vhNQFJ5G06tyT6mlSiHi3MYGltH0Vn1OIiStCcGltC21AWStMYFh6ek+VSnY8/qWE7XVJoekfaFm&#10;al195aSvB1pmNJ1VLuwshcB94SpWjJB0HrqRspstf8NlZYOl7aBAN/BtZQOqVnZzlpbWkZZu3nKl&#10;m7pSdZuOTtRGfRW1u6/omKUVHWurtG/4SvuRle9raaX90sr67dSKlm3ltyPd5sU+uX1ftI9rT2v3&#10;7pBhS9hxs2Nq/bftC9Z/3CCpioHSoTXf03J2rnWH79Sz/qn9btugaQvfR30/7dqSwXxqVNn5aeel&#10;nY/tz8LuPDzt558LJV/W1RVNXd3VNZcvX75W1fz/G5r/vqWr65o619V+V5dcPdXV876aZcwmWbat&#10;T2XboG2ybVRpm1VvaWZ/g6r5f+3XNV1pf7XvKrXDS5vamuNu183oZ7q/TnKNpE5T2e9Zbf92v2Op&#10;3/vruc6J7lQBgJ0RDfhb1Sg9BabgIjIk0MgpBStDgqEape3d5pA0d3xSpbYuhXhjjAkMS9unJ/+G&#10;iJZhFf3RwKaGpArtagNGs66+so7rQWmduadvS9c6Pmp3zQhJ59EOLAc3U6evNNixiRVtK3X66/D4&#10;26BF8/+LJ/aigEhlgxiL8EOD092Ahg+LdjUwyvEDojYo6gdG24Gh44OjDJCeilo+x1Q6xu1x7s6z&#10;0rmWO9/GlM1fKluX75Pd9gUhPP2T2uSKn1ht/r00IK9qzw/3M2xVP78U5HWBnoWcPtz0oaYPMxcB&#10;ZjMtKnTtZSGsD2AXwWvzXwtdjwWu3eEK2c9z9Y/F7ztNv7Fr7OJ6HVw/j66dUX+lKMqqO90AYGek&#10;g/2+aowJVqJp56zaEFHhiYIPhTfa1lJwkqvSuqLprfqUtqV2/2SO4GtsiDfGmHWV2kofrTpEaVnR&#10;+kvtq6oxtn1L8yk0HGpdfSWads6KzpfSU8MKmKNgVUFoNL2Kj9pdM0LSebSDDcENEkVRp7HyoVE7&#10;kNgNZtuAtlUz3Vvedcsdb33nTXe8SXXu1rv/04179/3qTXc++B9VH7znI//6jgceftOQ0jyq99/x&#10;wC+qzt36oX+ahkUWGFloZLXYrm4AVKV9UREiURRFnbY6vKbbz68b3r//8A033X7Xu2+588H3ffBD&#10;d9142z333XL3h+9X3XbvpY/d/dAjH3vwkcefeuhjf/rMRx574vk/+fgnX/zEk08fqJ58+pm2nn72&#10;uUV97gvPL9WXvvLCor729ReX6pvf+vaxOm2ifUzbwbeRbzvfrtbW1vaqhx9/sq3muLR130c/3tZd&#10;H37k4Lb7LrV1810PHtx05wN/9f477v/m+z54z7ffdfOd3477BUVRc5aur90QAQDsjGjA36rGmGAl&#10;mnbOikIRT0/YlQKPIVVaVzS9VZ9SWNe3f96Y45MaG+KNMWZdCrWi6VVD2kpOS0hami9nXX0lmnbO&#10;ivqAQtBSv4meGs5Nr9exZoSk8yFMoCiKoiiKoqj56j0fuKtYN+7du/KK1ptWtO0URe1i7V3qhgcA&#10;YGdEg/5WNYYGK32h0hwVhSKmFOKMqdK6oumt+hCSHq8xIduQtpKh6y+1r6rGmH2WsfPlrKOv9LXf&#10;HJXrA6U/lEg/ppmP2t1whKTz0Q1RfKNEURRFURS1CWVPiB9/Il61eKrcPRGfPhU/dyXrWTyVb7W0&#10;fd02u23v9ifaV4qiqKN69y13Xlb98W33/A89ZWt1670f+fYdDzz8Lat7Lj32TdWHH338Gyo9Re2f&#10;pLayp3z7nqq28k8O+0qfMB5S0fJ8Rdvht1Xl90Pl99GeWs49vWxPMPunmO1J5vQPDaJjchpLP7e6&#10;4QEA2BnRoL9VjaHBykmEIrnvJJ3r6VFfuQBGoumt+hCSHq/cuqJprYa0lQxdf19/rjFmn2XsfDnr&#10;6Ct97TdH5a4Hfev28/FRuxuOkHQ+7QBfcKNEURRFURRVqnfdfMc333nTHS+++5a7nj93692fee8H&#10;7v5zffxp+zGoe/fedO6Dd/++Sh+bvfjOwAvl76L01f2qcurZ/lo7pN+56L/bNv0o8jNdYLsIaJeC&#10;2Pi4URS1ulKwpoBNgZvKwjgFcwrqFNr5wNJCQAsIFSLaRx1js/iPn/aBbhrc+qC29NHSFsZG/eik&#10;Sz9Luh9JALAzokF/qxpDg5VVhiL62MvoYzKl9CTYlNL+5ETTW/UhJD1euXVF01oNaSsZuv6+/lxj&#10;zD7L2Ply1tFX+tpvSpWuB+aTTUXzqvy8uen4qN0NQUg6Hw2wRTdKFEVR1LR61813fEv13g/c/cKN&#10;e/d+8f13PvDMBz700J/re/Pu/PDDH1E9+Mjjt6see/LTNz7xqc/+odWnn/n870T13PNf/k9RvfCX&#10;L74pqoODgzeoLl++/Javff0bb1V98ctf/X2rz3zuC2+3+tRnnr1J9fhTn7nN6mOf/POHrC499smH&#10;P/qJJ59Q6Tv/VPf+yWNP3/XQI19U7d/3J1++5UMffuED9zz0on2fnJ580RMwUftQ6y/7yE0/mG8D&#10;+So/iG8DwlMG75t++HxTTzV1qan9ps51dV1Tb2kmsf56bfPfa7q6uqkrunpZUy9tamcC1LHURqo/&#10;e/rZ/+nxp56+6qGPPfFjH7r0sV954JHH//39H/342+75yGPnbn/gozfreqTS9en8/r1fPnfrh16M&#10;+gpF7WLZ9VGhlq6Pq7o2AmIhbBS+WvBqoWsUuE558pWQFMAuigb+rWoMDVa+q6loWqtVKYUhKm2r&#10;QhF9X2lqbGAZTW/VZ+w6U+sIvqYYs65oWqshbSX6mNVoOaoxIV+Nse07dr6cdfSVdV0PTGl77SN3&#10;S9vIR+1uCELS+Rw+iRDfLOlmSzdgVnYj5ssGVq3sL2J92SBsWtE6qfVUdHzSio6tr7Qv+Ir6jsr3&#10;r7Tsr67TsgGqmrK/4vZ/zd1X6fr8NqXbb/vn28HaK2pnavvK+r6Os/UD6ysasFJpACt6CgTH2QBg&#10;bhBwzBMYu3y+2fXG+qjaRu2k9ir109PWRy8fha8WwKYhrAWxbRiramZrA1mr5rVrrZp/W0Drg9q5&#10;a2kdfv3dNiz+wKEr237bH+2fyvbX9l9t8Xwz72TqJ3aO6tz056T6mp2DUd+kqE2t9Oe6v06e1msk&#10;do/9ruV/z1J/j86Jw9pjnATAzokG/q1qjAlWommtVqEviOl72oyQNJ5fNSaMKxmzrgebiqZXvbqp&#10;IYYuS6F6NK1VjbHtO3a+nHX1lWhaq1XrO356/43Ja76GnItYIULS+bQf3xbeKO23A2DrpMGJvrIb&#10;wFWXhR81Fc0/V0VtUCpsBh0LfxzVTzRo4QcuooAoDYmioIiwqL/8gKgNivogSe2sdlf7M0C63fy5&#10;ZueZnWP+PMuda6XzzZ9zpfLT15T1x1yf1Hbb9cL3TfonNo2dd/588+dZdF7pnOHnFzWk7Ge6/Vy3&#10;62jp+snPdeCgPT+ic+qwCEkB7J5o4N+qxphgJZrWKnqScyqFoNG6VDXhz9jAMpreqs/YdabWFXyN&#10;NWZdpbYa8qSfvoMyWoZVrt2jaa1qjG3fsfPlrKuvRNNareJ6kCr1HwXjuafQ9To2BCHpfNrvuQpv&#10;lA6fJAWwvdLAqCY0SoMjVS48WmXZemzdVjb4aeUHQW0g1A+GMiAKANvF/+yyn192jU9/duV+ZkU/&#10;ryyYtXDWygI3K4VwVtHvx7tavl1Uvs18e1ob9/1M9z/P7Xjy8xxYHZ2D0bmt0qdLdcMDALAzosF/&#10;qxpjgpVSKNH3VOcYU8Ok0vaWAstoeqs+Y9eZWlfwNdaYdZXmGfKdkaUwXZUTTWvVF/LpfW1jNK+q&#10;1L5j2qpkXX3lpK8HqdJxLx0bPWGKDUFIOp+3X9h/WXSjpNIACAAAAIBDFtj58qGuLwv6asrCwSkV&#10;LTetaDtV0X4BOD30BwvRPb/qzPn9a7vhAQDYGdHgv1WNMcFKKUipDWOGmBomlUKcdYSkVzVVaxdC&#10;UrVHNL1VzUfu6inS0vfW2vdTRqLprUohn9ZZ+nhfVal95z4u6+orpXlWcT1I6TiUwtBc6WO8sSEI&#10;Sedz3bn9l0Q3SlYMkAAAAAAAsL1KIam+gqcbHgCAnREN/lvVGBOs9H1HaCl4HKMUwvQ9Ddb3dOE6&#10;QtIhHyG7CyGplEIuvdcXaKlNo3mtSmFnKehU8KoQLlUTkKpK+zz3cVlXXznp60Gk7/inxUftbhhC&#10;0nmFN0pd6S/OAQAAAADAduJJUgBYFgUAVjXGBiulp/ZqQi2jsMm+N1ChU6S0jbkQS/oCUlUpwImm&#10;t+qjJxej+az805FqK4W9UZutK/gaa+y6akKutI103HWMS31R1ReI9a1b/dI//VuzTqvSPs99XNbZ&#10;V0rtMff1INL3NHJafNTuhiEkndfZi3vPRzdLKn10FwAAAAAA2E6EpACwLAoArGqMDVZqAkiFT2kI&#10;qRBErykIiYLEiOZJp/OVhlgKZPpCSqt0+7xoeqs+2r9ovlJFwc06g68xxq6r77s9p1TfxxvX9OWx&#10;VdrnuY/LOvvKSV4PcmqDa1VtaIsTQkg6r7MX9y5FN0sqQlIAAAAAALYXISkALIsCAKsaU4KV2iBy&#10;SOUM/TjN2kpDGy+a3qqPQphovlJF7b3O4GuMKesaEyz3lfpNjSEBW1oKd3PnQmmf5z4u6+4rJ3k9&#10;iOiPDKJlpKVjjQ1DSDqvUkj69LPPdbdVAAAAAABg29z30Y+H9/sqQlIAuygKAaxqTAlW9BRYzfcy&#10;DqmcKU8aahtzAcqqQlJR+0Xz5mrXQ1KZMwyvDUhl6Me1WqlP6inK3H6X9nlqW6XW3VdO8noQ0TUi&#10;WkZafNTuBiIkndeZi3v70c2S6smnn+luqwAAAAAAwLYhJAWAZVEIYFVjarCiYGSuJ8j6wgs9nTk0&#10;KNW2aRtz4c8qQ9Kh27vLH7frlZZRW2P2a2hAq2NrH9ua2+bSdpT2c8z2b0JfOcnrQaQmpOWjdjcQ&#10;Iem8zl7YOxfdLKk+8eTT3W0VAAAAAADYNqWQ9Przt72hGxoAgJ2hICH9qFD9uzZgyIUaWoaekKul&#10;J/HGfmSpApzadSngqAlCFGDp41uNti8NLLVe7X/O1LYVbW9tu0TfnWnHJ912tcHUNtNrcwdGcwV/&#10;2i4dn2g5pdI8U/ZJfaYm2Lbw3URtrONe+j7U3D6O3YdN6isndT1IKSguHT9tEzYQIem8zlzcuy66&#10;WVI9/PiT3W0VAAAAAADYNh957Inwfl9FSAoA66cgRWGYgo4obFFIofcUNCpIKYWUJZpXT/6l69Cy&#10;FXSNXe6qKPRRgJUGR9p+7UfpidZtMldIavQRqjqeartceKf3NI2mnYP6jpanvuQDNx2703SsTsJJ&#10;XQ+8aD1WQ/7AASeIkHReZy/uvSW6WVIRkgIAAAAAsL0ISQEA2Fxzh6TAEH3fSzrmCV2cAELSeemm&#10;KLpZUuljeQAAAAAAwHYiJAUAYHOVvteTkBSrpidFo76n0lPB2FCEpPMqhaR3ffiR7rYKAAAAAABs&#10;G31CVHS/f1h7jJMAALBG6ccJ+yp9Pycwh1L/U4CPDUVIOq8z5/evjW+WCEkBAAAAANhmpZD0zMW9&#10;67qhAQAAcALse0D1XZKlp0hVfNQpVkn9K+p3VoT0G4yQdF6EpAAAAAAAnE6fePLp8H6/rQt757qh&#10;AQAAsGKvaioKo6Lio06xan0hPTYYIem8zl7Yvya8WWqKkBQAAAAAgO315NPPhPf7bRGSAgBwYvQd&#10;o1EYFZW+KxJYJQXxUd9T3dAUNhgh6bwISQEAAAAAOJ2efva58H5fdebi3n43NAAAAFasNiRVeGUf&#10;ywusgj5KN+p7VnrqGRuMkHRepZD0tvsudbdVAAAAAABg25RC0rMX9y51QwMAAGDFakNSAiqsmp4U&#10;jfqelb4zFxuMkHRehKQAAAAAAJxOn/vC8+H9vurMhb2nuqEBAACwYq9uKgqkrPQEKQEpTkLU/6xu&#10;bgobjpB0XoSkAAAAAACcTl/6ygvh/f5h7T3fDQ0AAIAV09N5b23qk02loZSeMuUjdnFS9J236XeS&#10;PtiU+if9cAsQks7r+ov7V8c3S5sZkn788ScO/vNvv+3gZ37uFw+u/Nt/b+kYv+qnX3Pwr371TQd7&#10;d9zdTT3N7/3R9e0ybfk//GM/dfBrv/Gb3bu7S+1ibXL/QwTpOKLzU/0jOj/1ms4fTbNr/tkvva5t&#10;A7UJMNWN77+l/Vnnfz6p9G+dY2Ovy89+/vOLvupL/ZaffcB20Pmv34N1Pk9x9t3vW1wD9P/rpv2y&#10;3yt0/QMwDCEpAAAAcIoQks5rm0JSDdJGxzYqBTJTBog0ABMtV7XrFFJbW8wVSGO76Vwbcn7uWuCi&#10;65HtOzCWggr9sY4/l3I15hzz1/aoAGw2/0ds+rkzhb8e6P/XTb9vzrVvwC762tdfDO/3rbqhAQAA&#10;AADbgJB0Xtvycbul0DJXYwdR9JSOLUN/ta6BaQ3O6L96ymbXEZIilT7RVlObMOh6UghJMdWQP0Kw&#10;GvK0lZ7wTp/+TgvAZvM/a6aes4SkwOnyzW99O7zft7ru3P5LuuEBAAAAAJuOkHRe2xCS+o/8GloK&#10;PIfygewmfMTYpiEkRcr6w5DapY+eJSTFVH0BZq5qr9E1f4iEZXZM9PQexvHhPx/fP53/I7+pn9hA&#10;SAqcPtH9vhUhKQAAALBFCEnntQ0hafQdaXrNf7ehBoaip9nGDBL5QIMQ8DhCUqSsP+ijQBUY1Jyb&#10;ql3pP4SkmMr6j4I5XYP9OaY/5smFqDVPk/rwQaXz2PdZKyyzdtmEAGlb8fvW5iIkBU6f93zgrvCe&#10;v62b9l/aDQ8AAAAA2HSEpPMqhaR3ffiR7pZqvdLBXw3gRjRo7KdTjRlIIdAoIyRFSudkaRA1Ojd3&#10;qf9wTcFU+sMg/dFP7ru2/XcR+qr5Gej7p0rnZfqaCsusXQhJx/P9jN8nNgshKXD6lELSt1/Yf1k3&#10;PAAAAABg0xGSzuvM+f1roxsl1aaEpOmxLA2OpNMO+U424wftcBwhKcawPuOLkBSYh8JTf25Z9YUJ&#10;6cfZ2/S+z1phmbULIel4vp/x+8RmISQFTp8b9+4N7/nbOr9/RTc8AAAAAGDTEZLOaxtC0nSwVk+W&#10;Rk/T+AEUq9rvFPWDQaXyH3FotF6FsXqazqbT/+u1vkG/9DvNtF/aFr8s7X+0H3rNf4yp/r92IEvz&#10;ptts69K25J5WEt9Wffs3pW1wekRPuakfjLGOc0br0Pr0NJ9/sl3/r9eidXn+GtaHcwZjWX/xpb6X&#10;o37t+7PKfsb5PmuFZdYutT9318muwTreRtcTf02z61ntdUb9R9c+9RXfj3S9Kl0X9bpNW6qhPyP0&#10;naY2r32/afTzwa77ei9H269p9V/RtLoG+2XkvkNVHzGv+fw61T5qp9zvV75Nar4mQsfIptd2Gd8G&#10;9jMyx37W+GPnj7/ayF7v6+O2LL/P+v8hP7d07dG+p8fK+pHf59J1DUDezXc9GN7zt0VICgAAAGwP&#10;QtJ5lULS+z768e6War1scM9XOkCl//cDPTZNLT8YVCo/2KOBLhtIK5UfwErZNFp/tA++bDlabzSA&#10;baX9zg3+afDOD0DlqrQM31a5wa852gbbT/1Dg57RsVdfHMPmP6lzRusprcOq1Jf9unM4ZzBF7iOt&#10;S4FL+nPPTxudL1hm7aJ23HT+WIuuI/bvqHIBp9G1t/Z3ifSPy6Lf6aLSdXcIH6Lp//UzpnTtLl33&#10;rf/rv7mfM+lx7/s5Y6Vlpb87pedvbruMP34+DPVtUOqXuZ/LVlq+7zO5Zc31c0v9re9Y6Xjav9XO&#10;AIa77b5L4T1/Wxf2r+mGBwAAAABsOkLSeW1DSKpBGA2QRMfVBnLSwRX9Ox2YK9E6NLik8uuy16w8&#10;PximwUINVNl06TblBqrtfb9OzafptYx0EFKv++Xa/qeDVLn1+W3WPBqYsm3W9vv15Qa1tD6bJm0T&#10;M0fbYLvo2NoxLZWOfd8AfIkt56TOGXtfy9C8Gqi1vpwuO7df/nzI4ZzBFOov1j98qf9E0lBG/csH&#10;M74/WmGZtYvOz02nbbTt9ddO/b/e0zUlvXbmfodSaOins2ujlqNK+46W6/tW7vctf81TaT1DaB5b&#10;lrbH/l/r1/5p29LrvtYfsX3Q+7aN2k8tR6XX/PVe+5S2n9ZlbaL/99dwVbp/vi36fkb6Zfm29W2g&#10;9UbSa4XWa9vpt8GvI7esOX5upf0pd7z8srReAMOVQlKNCXTDAwAAAAA2HSHpvK4/f9sbohsl1aaE&#10;pKJBID94UypNNyQgTflBnxw/yKRBHD9IZdJBs2jAz96zipblB4msNFiULs9vk96PaFkaPMy1j9bt&#10;B6Ki/dLAlb2vgbDUXG2D7eL7Ra50bk05NyVd5qrPGfVT7VvUj8UPSuvaE+m7pnDOYIq0b1iVgoT0&#10;HElDGd9nrcbSOaL1bQcuWAAA//RJREFU+Z8tUUXBkK4X+pnl90//X/o5ZueT1im2DFu//lua30Tr&#10;1jLt5569putDTrTvFkrlril2bLQfomlt/rG/36TXZy0vbW9tj/89S/ueSvuapon2Q/vt9zlalvh+&#10;Zu06lua3ZVkpbEu3T/vtp4n6Xdr/1S654yV2zGza6BjpNd++akfPb5f13Yh/ojKdzrdB1C+1D33H&#10;Rdvhp8kta66fW76to3bWPH4ZqtK1DUCevkonuudXEZICAAAAW4SQdF6lkPQjj00LM1bBDxZGpYGU&#10;MQOInh+wybEBG21LaeDMD3pFf0Vv76lyg2LaHz+d1pkLSPxA0tgBRw2alZbhB1uj9+dqG2yXdBC+&#10;VLmB9Rp+OZtyzvhlRPquKZwzmCJ37uX6s1730ymYSKUhkWoM32f7StN6NfOm84i1h/ahtIzSdUGv&#10;6/1oPpVvc/1/xP8sjSq3fmt7LTdaxpjrVNpHcvvtAzhdl1I+GIv6jZf2s+ja5vvZ2OuvSdcX9Q3j&#10;2zX6OeK3q9RPRO/5aUu/g6oNfL9Sexu9Z6+rcj8L/Lan++jbIOqX/vhpH3PS/h8ta46fW2nb5Zaj&#10;133AXNp2AHn6A+jonl+lMYFueAAAAADApiMkndfZi3tviW6UVJsWkmowxQ9clSo3aFnDryPiB6E0&#10;WFXiB72iQR17T4NNpUGm3KBayg+elaYr8YOp0aBl6f052wbbxQ921lT0xEgNm3+Tzpm+a0bpfc4Z&#10;TOH7j6/Sz0AfNqii67zvs1ZD+T9WUBBl4ZH6sf85Ep13es3e13mh64tJfxdIQylbtr8GaBnaTy1X&#10;22KvR+eRts8CID+vSiGPvW4VtbVNp23Q+34btQ22fP03Zftm269pFDTZ+kshXI5vb3tCNcemU6V8&#10;u5dCSOPbMZreLy/qh0NofltW7g9oTPrzKuW3q6+9fNv2XcNF0+Sm930z177WL/Tf9Gegb4OoXw45&#10;fr6vp8vy6+nb59LPrSFt568J6XIA1NG9fXTPryIkBQAAALYIIem8zlzcuy66UVJtUkiqwZzouGqg&#10;xA+E+qoZrIr4QaRIOqijwaJS2bTR8uz1vgEfv01aZo7ftmiALKLBQr+92qfSuvw60vfnbBtsP/Ut&#10;9Yk5z1Gbd53nTNqPfegUKV1TOGcwls6v6NwqnRvpz9JcmOT7rNVQ1rejMEfsZ030RKKFa+mTZ8YH&#10;mel1xJ9TWrfOm5Tfv3Tb/NN20TVB7e7P+XQaHw5HAbD4kC4Nq/y2jf1jkpRvk6g9vNL1zF5X1WxX&#10;KWgTv69929XHXx+jdaVsWpWOh+e3q4+fNne8vVLY58/P6Nz080Y/P/vawF8v+sJ232fSZfn3pvzc&#10;qgmFjV9O2m4A6pRCUv3hdDc8AAA74aqmHmzqwJX+rdcBj74CYCMRks6rFJI+/PiT3S3VekUBqQbx&#10;bFBLA3V+IM5XzUBZqm9wzA8ODa2Uvd434OO3SQNFOaVBLaP20iCwHwjNVbQuv470/TnbBqeHBmNz&#10;QenQp6JsvpM8Z7SNusb4p6JyFSldUzhnMEYuIO0L1dLrfu78833Waijr27lz1fd9z4chpeuD/dzX&#10;Pnl+uWn4ZfzvFen1wfZd7ZujNrb50+uGrV/XixI7FmkQ7Nef2/6hfJuUroeSu17pWNjr6Xs5fr1R&#10;qOfX1bddfXy/SY9JxJ8LuT6g6uN/LtTsg9/OtI+oX/nzOj2X7Q8LVFEg29cG9p6qjz926bL8e0PL&#10;G3L8/b5pPgDD6d4+uudXaUygGx4AgFPvu5rygVda39kUIPQVABuLkHRepZD0E08+3d1SrU86YKTK&#10;DQJHYarmjaYt6RscGzs4FD0VYO/1DfjUDiSVBrVEA641QY9VtC6/jvT9OdsGp4t/OstX38BoyuY7&#10;qXNG15X0GlSqSOmawjmDocYGpJLOM6ai8yRifTsXFlrgUwo5a8vz8+fommDTpNcHe73vHLPp0vbw&#10;53tNpdcymz99fQrfJn3X3Nz1yrdZ+l6OX2+0P35dfdvVx29fekwipXXn2iBi00XLifS1ow9C06cr&#10;7bzXfyN9bWDvqfr4Y5cuy783pNJzasjx9/sW9SUA/QhJAeDQa5uKAi+rVzcFCH0FwMYiJJ3X2Qt7&#10;56IbJdWTTz/T3VKtTxSslD7OzA8uWdUMWnl9g2OlgaOhbDl9Az61A0mlbdPguQ9ItUy1ZTqo7pcR&#10;rav0fmn92G1+gNPX0PPT5juJc0ZhlL2n0vUlWpZfV6T0PucMhtDTfGMDUknnG1N9557xTx4qHLGn&#10;QrWdpX7v36upUsia469H6Tltr/edj7np/PleU7knSWvbuYZvk75rbu56lV4Pa/j1pvspfl1929XH&#10;H9O+YyfqN7l159og4s/Hmn3w25n2Xcl9HK9/PWpL6WsDe0/Vxx+7dFml94YYcvz9vvl2AVBPfwAd&#10;3fO3dWHvXDc8AACnXl/wpfcBoa8A2FiEpPPa9JDUD8RYlQZSoulLoWqkb3BsrsEhseX0DfjUDiSV&#10;ts0/aVtan19GtK7S+6X1Y7dFT3qrSv05YvOdxDnj/+ii1J/9uiKl9zlnUEvhog92rGoDUknnHVN9&#10;554Xba+vaNv9OTFGzfy6Jtg06fXBXu87H3PT2fk+pJ28qfNHfJv0XXNt/aqUvR69F7GPRFZF7enX&#10;NfRnQcof075jJzatKu2DpTZIDd2HXAjq+eDV/rjA/zzKfQxzXxvYe6q+a4bvM+mySu8N4duu73d1&#10;v2+5dgNQpnv76J6/LUJSADtkW58OfGNTX2rKb+snm+JpxtXZ1r4CYAcQks7rzMW9/fBGqalNDUnT&#10;jx/z/ICL1dCBN7+MSM0AV63a5fhtKu1P7aBWqQ39dNG6Su/P2TY4XXJhiQ0A17L5TuKc8csobaef&#10;LlJ6n3MGNeYISKUvtKyp9DzJsT+MUL9WwJN+kkHu55A/J3NhUImfP0fXBJsmvT7Y61M/bjf3kah9&#10;bP45rwe+TUrXQ7H1q1L+GPaFWuKnj9brg7++7erjj2nuSUvjr7vRx0GX2iDl96FvvVLzxzc+XNYn&#10;qogFp9H2Gt8G0bL9fvUdv1LAPdfPLd8vhxyzOc8NYJc8/exz4T2/SmMC3fAAAJx639tUFHhZber3&#10;TEbbaoXV2Na+AmAHEJLO6+zFvUvRjZJKN1LrFn3crgaK9LoPLTSQqgHNdFrVkAFk6Rsc0/L88oeG&#10;PJ4to2/Ax29TaSDRDzilg1r+vVJI6tsxWpdfTvr+nG2D7aCBTQ3a6r8axPTHXP1Br+WCmTEDnbXz&#10;znHO+GXk+rL20QcBEb+cFOcMavg+ZDU0IB0iWt9Qdt73hTEpH4aUflbl+HM6x4dJ6fXBtrsURvmP&#10;nk2vGz5cGnM+W9vrv3Mp/dxOla5Xft/6ts8fx1xb+u0ac6w9f0z7lud/z1FomSq1Qcrvp34/LZ2T&#10;6g/RU6Ip37/UH/060v7m+TaIpqs9fmo7my5a1lw/t2rbTu3h223OcwPYJaWQVGMC3fAAAOyEVzX1&#10;YFM+8Lq5qaua2lR+W9PC6mxjXwGwAwhJ57XpIakGXqLjWVvR4FefmsExP9BUM1CdexrGltE34OO3&#10;qTTA6Qcc00EtHzhH69M++CccVNG6/Dqi9+dqG2wH3zeH1phjb/OexDnjB9LT90TXJwtUrCJ+WyKc&#10;MyjxwceYivpun+i8Hsrm03nU16c9TWuBiMK1IfOKP6dzfJum1wd/PtpTfF4a2KTt65etfR/K2r7v&#10;GjeEb5PS9VBK16v0d7Lc71hah2+jXGDpt2vq/vp2t4r6fhoARtfTUhtE/B/K5K7h6c+Lvt9P/TL9&#10;9pQCSd8G0b6nxy86LtEfJ0bLmuvnlt/PqE3SvqSa89wAdgkhKQBsNx/SpQUA2DGEpPM6c2HvqfhG&#10;af/gc194vrulWi8/iDakagZtIjWDY1quH+zSAI4GjPRX8RrQUWnwSa/ZAJBeS9n8fQM+fpui5Rjf&#10;VumglgbH/ECTBm9tezUo5geqrKJ1+XVE78/VNtgOPkgcUrlB8z42/0mcM/4pF5X6rPVh/X86cKuK&#10;9F1TOGdQomNtfWNM9Z0rEd9nrYaKlmGl91Tq01Ho489LnRs6F/zPczsHdT6k54KfN8e3aTp/+rNS&#10;69E0Kv+HRDZNet0Qv++6Rvp1aD+0P1qWlpGyefXfufg2Sfc35bc94pel0jHQvuh1lb+WqUphoIIz&#10;P63WrWVoHi13CO2XLccfPy1HxzDaNr0e6WuDlF+3SuvXcbc2SX9Oajt8f45oPj+PzVfit0PzR7TP&#10;fpnW5ir7+aLyfT1a1lw/t9Kfs5rWtscfB63L1qfXAQyne/vonl+lMYFueAAAsKGicNQKALBjCEnn&#10;VQpJv/SVF7pbqvXTYEl0XHOlAZS+Aaic2sExLd9P21fRX9Hbe30DPn490SCT8e0UDWppwMrej0qD&#10;XH4Z0br63pc52gbboa9PpaUB0FIf7mPLOalzxg8UR6VBWz9NxG9LDucMctR/oz5QW33nSiTqi0Op&#10;j/qwKleaRkFJKg1zcpWe3/6czvFtGl0fStc1ba/etzaKrhtDzueUzTfmuOXU/Nw2frtz/PJKlQsh&#10;vdw1Vu08hD+m2r7oiUhfWm9OTRuk1Idr+ruWXfP7afrUpyp6stlL2yBS0zdt3vTfqbl+bvWd6wqZ&#10;/br0XwDDEZICwHaLwlErAMCOISSd19mLe89HN0qqTQpJRQMkGiDS4Ij/a3eVBqb0ugZapoYH9hf/&#10;tQN0GhjTPOk2KTzR69rm6EkZsQE1TVfitym3LPGDgtGgs6h9NDjot1fbqkEwtbF/iiZqS7+Ovrae&#10;0jbYHuoH6j86pvakhy87N/sG52us45yxfmzrVmmfFJTY+7auiN+WPpwzSPlr8pjKBRwlaWihvjeU&#10;rgvablX6s0L/1vlj+6X/6udPSteM9OeVqnRNsXNay8zR+m1Z6bYZve7Pe/1X22Lnn53XWl+O9tEv&#10;w5aj7ddxic5lW+6YNs/x17nc/hpbf6n9RNuuY5Be8/VvvT7kOqW2SH8nsetrrSggjI6h/t33s6i2&#10;DVL+91TbFpX2TX1n6M9A2w7blugc8Xy/LvVL8UG/Ld/3b7F261vWHD+31Daa1tap0r99m1l76L8A&#10;htO9fXTPryIkBYB5fWdTr25K313pw0x9t+Vbm/repobyy0lrDvqOTW1bus0q2259P+d3NLUKWr9f&#10;t9b52qZOm+9q6o1NaV+/1JRv5082dUNT6jvqQ7tAx93aw7eFSq/pPb7/FQgQks4rukmy+trXX+xu&#10;qQAAAOoozLHApBR22R8YqIYGSICn/mN9acwfBgDAaVcKSfWH093wAADsBAUvCqR8IKN/6/UchYMK&#10;sNJ5FBx6CvbS8CsqLasUOEah0ZDSNtQEbdr+tC1KpeUOCS8VCirw9MvQv/W6UQDr3/dlgXKuXdWO&#10;QwPF6Phr2dHxH9NXItqPocdU7VLqI1GfVA05Rmq7aLvSY1QSHWNbRu7YKPgc0u80LWEp4BCSziu+&#10;STosQlIAADCUglH7/avEB1uEpJiCkBQAyghJAeBIFMJY5SjkiqZXwCQKrKKgqFSaPheCRdMPrTTA&#10;9bTeKUFsads9hXXR/BbilQJSlU1X2tbaQFAU2kXLUCmIS0XTWdVSoBrNX1MKPHNhZa5PWk05PioF&#10;sDWioNYqemq675iXqja4BU49QtL5XHdu/yXxTdJhffNb3+5uqQAAAOoopLLfv0ofs+mn6/soUaCE&#10;kBQAyghJAeBIFL5Y5ZRC0jEBqZWFrKlo2qGVCw+nbK+vmqA0F8LpdYW40Xu+bB9KwZq2o5Y+yjZa&#10;hioKBaPprGpMCQStSkFpNL1VzZOXpfBZ662h6aL5VWn/KIWyNRWFrsBOIiSdz9mb9l8a3yQdFgAA&#10;wFD+uxH1sbt6stSHoHpf339o0+g7LIEpCEkBoEyfEhXd8x8WISmA3RKFL1Y5uZBUAd3UwDEKfqLp&#10;hlYuJJ3yBGlafU8b5kIxhYelcM3K9kGBX/S+Ve1H7paeeoyevI2ms+ozNRD0padco0C6tD81Hwkc&#10;zeer78lNvR/Np0rD69JTvLVFSAp0CEnnQ0gKAABWwYegpfpnv/Q6niLFZISkAFBGSAoAR6LwxSon&#10;F5LOUUOfYKyt6EnC0pOUCi0V7PnAUSFY39OQpeBqalBoIamUQlXtVx+FjNG8VlEIGU1nVVIKD1Vq&#10;Ux9Aqs21r6V99G1hSscz+vhgr6ZP97Vraf3p9vY9Dez7q46F/p2G6YSkQIeQdD5vv7D/svgmaf/g&#10;PR+4q7udAgAAGE7BlcLSV/30a5Z+J9PTpXpd7wNz8E8v/94fXd+9CgAwhKQAcMSHM2nl1IakFjRa&#10;4Kbwq/S0n1Vq6tOe2o706UptUy6E0+ulpwZLH41beppUbRHNU1s+FCuFbLmPLfbG7EM0rVVJ6fiV&#10;vitWx6B0jFJ9T2emfcCrOTZ97Vrq22l/UmgbTZd7StboPdvWUh8Fdgoh6XxKIemNe/d2t1MAAAAA&#10;AGBblUPSfY07AsDO8AFNWjk1IamehsuFUlOexpRoHqtapaf+SsGdKQV/uZCrNiRV21kbaFnaHh82&#10;S99H7paCNikdg9z+R9Na5SjIi6ZXaRv6lNosejo4Fz6qSse1NogviaZXRU+xRtOpaj4WGECCkHQ+&#10;Z8/vXxHdIKkISQEAAAAA2H6EpABwJA1pfOX0haQK+Uohnd6L5rOKwi8vmseqlrYxmr/vY1mNArdo&#10;flVu+2tC0prg0OSeslT1Bb2leXPHLprWKkehXzS9qvRkpyk9HRoFiqX1lZ7yjaaPKndsS+dEdEyj&#10;6VRDjj+ADiHpfEoh6c13PdjdTgEAAAAAgG1FSAoAR9KQxldOKRDq+6haU3pyT2FiSTSPVY1SSFsb&#10;UpXaILf9fSFpX7ic0rZGy1GVAsHSU6hjg8ScqWG0RPOroo+/7eubkb7Q31fuSc+hT7xG01nxMbrA&#10;QISk87n+4v7V0Q2SipAUAAAAAIDtR0gKAEfSgMZXTilU6vveRlN64m/VIemYgDNVClrHBGkK8Gqe&#10;rPRKYWcuEJRS25eeQI2mt8qJplXV9hPJBa16PVJ6SjYKIPvCa1+5dZZC/0hun6y0TUMCc2CnEZLO&#10;pxSS3nbfpe52CgAAAAAAbKtySLr3fDdEAAA7IQporHLmCElLwVRfUBnNY1VjSCg2pnJtUFpvLljt&#10;UwoEcx8NW/rezlIwF01vFRnyhObYiuhp2Ghalb6LNhUFnKUQMwqzo+lUuSdza/ug5s8dRwAdQtL5&#10;nL2wf018k0RICgAAAADAafClr7wQ3vcfFiEpgN0SBTNWOYSk5RoTkvbtc07pI3ejjw7Wk5TRtKrS&#10;R+1KNI9VZF0haen7YtNjk3siWMcjF5SmT9uWnuiNQlnReksBd1oKtnPLAnYeIel8SiHpXR9+pLud&#10;AgAAAAAA26oUkp65sPdUN0QAADshCmSscrY9JI2eHJyzTjIkLQV00fd+lrah9FG7Es1jFSmta66K&#10;lD4KWeXl2k99PPexxGn4XPr44tJHKJfC3FzpmPJkKZAgJJ3PmfP710Y3SSpCUgAAAAAAtt/nvvB8&#10;eN+vIiQFsGuiIMYqh5C0XGO+k7Rvn0uGfAdn6WNk+74DM5rHKrLqkDT3/aBS2k/1X5MLOCXXz9Pv&#10;e82tq7R9RkHpkCdKrfoCbWCnEJLOpxSS3vfRj3e3UwAAAAAAYFuVQtKzF/cudUMEALATogDGKoeQ&#10;NF9adi5sXFVIWvrIXR/Y6qnGaBpV30ftSjSfVWSVIameqEwDYK+0bt8mUcDp+3AuwLR1l55azYXl&#10;KR2X0jHMFU+UAh1C0vlcf/62N8Q3SYSkAAAAAACcBk8/+1x4339YhKQAdksUvljlbHtIqkAwmlc1&#10;JazsM2WfS2o/clffaRlNo6p5MjGazypSWl9tPxmr9N2r9oRnLuD0xyLXV+z7QUtt759YrWFhae2T&#10;pZqu7+lfYCcQks6nFJJ+5LEnutspAAAAAACwrQhJAeBIFL5Y5Wx7SLqqsLLPKtdbCtbsezFL4XBN&#10;2BbNZxWZo59MUWoT7W/p+0hNLui17c99XK/WPZa2TaG1Au5o2b742F2gQUg6n+Zm6C3xTRIhKQAA&#10;AAAAp8GTTz8T3verzlzc2++GCABgJ0TBi1XOaQ5J9STfqqwyJC19XKuCvtxTk6qaj9qVaF6rSKmf&#10;+CdcV6XUJgpIS99HakofUSy5IHOufqRjVwp7V9lfga1BSDofQlIAAAAAAE43QlIAOBIFL1Y52x6S&#10;riu8W2VIWvrYV328bOn92qcRo3mtcqJprewJ11Up7bPCxb7vIzW5IFTtFr2umvMJz3V+bDGwFQhJ&#10;59PcDF0X3SSpHn78ye52CgAAAAAAbKtSSHr2wt65bogAAHZCFLxY5WxySFr7HY3RvFbav1VYZUgq&#10;pScOp37UrkTzWuWoP0TTq+bY55LS07O54NO+a9TLPXGaW4aqtk1rRetQEZICDULS+RCSAgAAAABw&#10;un3iyafD+36VxgW6IQIA2AlR8GKVs8khae0TfKXQcFXB06pD0tLHy+aq9qN2JZrfKqf0FKRC3bnD&#10;xFQppI3qu5pKlZ5IjWru/lP6yN8hxw84tQhJ51MKSXUTBQAAAAAAtpu+Tie67z+sPcZKAOyUKHix&#10;yll3SFp6YlLv+SdB7bsn0zCu9FGpqiHf9aj1WUCp9eWsOiQdGuaphnwsbDS/VU4p4FPpI29rg1It&#10;S8dSx1j/rVEKadPSciOlJ1Kjip5GTWldOldqnlrOPcmqqlkXcOp9z/f9by/969/3v10xtP7G9131&#10;sm4R6OhjdeKbJEJSAABwunzzW99u62tff/HgS195oa3PfeH5g6effa4tfRShSr8D+dKna6g0wJzW&#10;fR/9+KLu+vAji7rtvktLdfNdDy7qxr17j5V/v1R+mX59Kr8tKm2fbbvti+2j9lf7rrK2ULuofQAA&#10;p49+LkT3/arrz9/2hm6IAAB2QhS8WOWsOyQtPQWaqyi8LH1cqkrvK0RMvztTTxta+Jouo7Ttqw5J&#10;pRQgRzXkSc5ofquSvidctc3a//QpTrW7+preS78/tLaf9YW0vkpPZWp90TxRRU+jenrfT68+pL6k&#10;ffXHQ9P1tV3aNwFgklJIqgE0AACAdbBA0wI8H2T68NKHlT6ctFBRAeR7PnBXW9HvO1S+LMD1gawP&#10;Xy10tbBVISsAYDPpGh5d69u6sH9NN0QAADshCl6sctYdkg55OtAqWmYaVs1RpW2fss+1hnzk7tCP&#10;ao2WYVWi4K8vkB5atf1Matddeiqzts9pXX1K58+Q4qN2AcyOkBQAAKySf3LTgk4LOdNw04ea0e8m&#10;1PaUPR1rwao90WqhKoEqAJwsXZOj67Xq+ov7V3dDBACwE6LwxSpn3SGpQrehT0zmltn3sbtDq7Tt&#10;U/a51pCP3B3yUbsSLcOqjwLpocesVENC0tLH1foqPQFaG6jXfAzwHOG82nLIU8AAUOXMxb396CZJ&#10;RUgKAACMf7LTP9FpT3ISdFJjS/3Fh6kEqcD2sZ8ROm/tD2NUOpftD2TsZ4f9/LDynwpgfzxjf0Bj&#10;P1ui0s+bUunaUlPRvH49th12nbKy7bU/AtG+2P7Z/tqT9moLaxu10zpoX6NrcFvn96/ohggAYCdE&#10;AYxVzrpDUhkabpa+K1TvzRHgaRmljz89iZBUavdlaMgWLcOqhsLB9GNzx1bpeKZqgmO1WZ+adq3d&#10;rin9TU+rlgJdABiNkBQAhrFBwL4CtoX6qw1ma0DXgk8NANsgtAZWCT2pdZX6n8IJCyMUOHCdBerZ&#10;7yY+vLRrfhRcWvhnPwt8UGkhov1csIrOXaq/1I4qC2Z9GJuGrxa66tiNCVuj9S/qpv2XdkMEALAT&#10;ou/V1L9LT8QpXNNHfaZBjwKw2qcTc4GZXqsNgLSumrBJ0/R9d6P2achH1frS8tVefevQfilETufX&#10;a3OGXgrqovVYDTlO3pi+ElEgPDYk1DFSSD9UtO1Wte1Rateh7aB9iPp/qdRmajueIAWwMqWQVDdh&#10;ALDNbFDQDwbaIGDfwJ8f/IuukWPKDybaOvzAmB8cswEylQUD0WCZDZhtylMK2Ax+MFx9xA98W1+3&#10;Ph71VYralvJhAuEptoX9fmLXarteq9SP7ee7yoeX6ucWXvb9HmO/b0TnDXX6yn6f9L9D2u+N9jtj&#10;NN+iCEkBYKsoMNL3RSq8SoM3vVYTXnpangIzhXHRMm25Com1Xp7oG0+ho46P2jMKMBUi6j0Fg2OC&#10;0W2g/qN+pP4Uhabaf/VF9UnCUQArVwpJbRDfbrb94L0N3Kv84L0N3NcM3jOIBWAou3bYQKIfPLTB&#10;QhskZGDwqOx6btf09Hpeuo6n13Cu3eujtreBdB0bGzTX8dOxpO9T1FHZ9U3XNV3DdO4ANex3Dbve&#10;qtSH7N7Gfu/w12Ar9Tm7Hts1WWU/g3V95hpNbWJ1wwMAAAAAsFvOXty7FN0kraP8IL4fyE8H8638&#10;oL4N7KuiwX0b4LdBfisbBAGwetGgYzrgqHM5HWS0wUUGFTez/LW7dN321+y+a7W/Rm8z6/O+76f9&#10;3/q+ygbZ77n02Ddvvfcj31bddOcDf/W+D97z7Xffcuf/iNqfGl8WVljftf5rfdf3X+vDvqw/W5/2&#10;Zf3b+riV7+tDyi/Dyq/Dr9tvl22r7YP2yc5R22c7f6M2Oo1lx1Xto7ZT++q8xPbx11a7rvrzxZ8b&#10;/lxIzwP1f7seRH2Gok57nbmw91Q3PAAAAAAAu2WTQtJNKT9omg6cqmzg1AbZrGzwxQ9Oqmxwxg9m&#10;qmwAxw+CqmyQxwbTVX6QHZiL71d+gNEGGVV+oFFl/Vl92/p8btCRgUdqVWV9yl+rfVn/89duK38N&#10;T6/jVvZeOq9f7h/fds//UHUB5l+96+Y7v/2um+/4liraZmp82XH2x9QfP7sOpT9v7Wes/7nKz9J+&#10;9jNBlf4csOu/Sm1v54aOz2m4zms/rH/Zfmq/7Wei2gRlly9ffj4tve77lf2ekfYt//uFXY+tj9n5&#10;b33tNPQ3itqc2rvUDQ8AAAAAwG4hJN3+soEiKw0e+bJBJRtY9mWDzH6wOSobgPZlg4dp2SCXLxuw&#10;LpUNlPWVDVTOUc8896UXVH/x+S8+o/rss194QvX0M89dUn36Lz5/l+pTn3n2psef+sxtjz356Rut&#10;Hv3kp25QffTxJ3/f10ce++Rv3v/Rj79N9aGPfOw3fd3xwMNvuvWej/xWWjfd+cAfpnXxjvvf5evm&#10;ux+88cLt999mdeNt99x3Yf++h1TNcX5Cdf72+5563wc/9Izqj2+75/PNa1987wfufuG9t979l6rD&#10;EOfOb0f9iKIoapX17lvuvKyfUfbzyH7m2M8T+1mha7OFmgSaq5eEWU+5uuRq39W5oK7z9ZcvfuP6&#10;L375q7//5KefeZd+Xn70E392y4c+8ui9t9176WMX7rj/aVXTF74S9ZNtqnfedMfnzn3w7kf087j5&#10;uXtX8zP3Jv28tp/j+vmun/sfuvSxX/nwI396reqejzz2jx/62BM/ZvX4U09f5euzn//S/2rVHJ6X&#10;NfXSynpJVA997Mn/p687H3r4f/L19gv7L0vr7Pn9K66/uH+16uyF/WtUZ87vX6u6/vxtb2juHd6i&#10;OnNx7zrV2Qt75/T1HYdf4aH7ir1LeipN1fz/84cVtyFFUZtROn+74QEAAAAA2C2HgxnxzRJFURRF&#10;UdTxaoOPNgxRQNL89zA0sSBF4cr5/SvawOWm/Zded27/Jd2vHf+PLrxRqHNFU1c3dc3ly5evbf77&#10;Bhe0WSCnsK59Cm2XaJ+7ffdhZRpIvkXVTK52u1bV/P81TalNVWpflYI2H7YtArTukKyV+oeFcgrj&#10;FMIdBW5R39vlssBx7/njIaRVNB9FraOO9dXDAN3Ob/3s6Kr592Hg3v0sUbXXgu5nisoC+/Y60YX4&#10;udI1pVT2xwBRhctz6178nGu2z8q2ebEfyR8OLJ+vUVutv7Td3WUZAAAAAHaLbtyiGyWKoiiKonap&#10;Dgez298LukHr5v/b4FMDx/aUmQ88T1oX7inoU+hnYaCCwUXQquoCRAsTFSz6JyEtdLQQMi3/ZGX6&#10;dKWVLUNlyx0SYkYB5sYEl5tmEVwcBqgKIQhQKWpSHQWY7TW/Cy99aKnrv8qHlT6ktFDRfjbYH8Ss&#10;82fENlE7tX8k0pSFtj6QtSBWx6A9Hl3w2h6rlQSue2/pNg0AAAAAdotutOIbJYqiqNNUywFQW90A&#10;YM3Anx/8G1o2v5Ut1wbFbGAsHRyzATKrdlsPA4KtfEqBWle1g+HHg0/1ta6fq592vxYAW0PXU103&#10;2/58eH0kPKW2uI6Cy8XvK/r57sJLfx1XEWBC7HdL+32y7Qfd745tf+l+Z2z7U9u3gv7XzNMtDgAA&#10;AAB2lx/MX9xUVwze6yZdN2B2E2Y3Yv5m7GjwngF8iqLmqJ7QsxsctIHB7jK3U9Jreu56nl7Ly9fw&#10;6FhQJ1v2s7QcfO5y38duU9/Xda49Jw6va7qWcf2iRtTh9Xbx+0ZXbZ/qfvewa7CqDaWafre4HjfV&#10;/sxtrst2bfbXZ6uu6wInyn4/bPto8//dywAAAACAk2IDA7ops5u0duDADeS3N21uMF9lA/p+UL8d&#10;oDgarGgH91XtQMZigH//z5v68vLgB0VRJ1/BoGMy2GgDjX6A0Q8sdpcRrEl67bYB4Oi6XXO9Vh84&#10;ulaf9jBjuf+3++/6vsp+3rXt2LWt2tl+bnaHAcBAdn1qf8YcXo/2u98Rg3OV2q6Kr63p9dX/fpFe&#10;Y/3vGVxrAQAAAADATrCBED/g7wf9VenAv8oGsS0AsBBA1Q28LSoNBKw0iKOycKAb2GkHeQ4rGgSi&#10;qFXV0QCjDTJatf2168e5AUc/6NieLww6YgbpNTq9Vi/6WHDN9uWv3yrrs/467l9T+ekXy3HrUS1t&#10;g9s+226rbncAbCidt3atsN/p9LPOfl87/LkY/eykhtVymNlWxe8Wdv3111uurwAAAAAAADvEBoP8&#10;QLzV0kB9Mohvg/tWfuBf5UMBCwuisoErX90A4rHygZob/FoKiUvVLHsR0PWVhXpzVrSeXEXbn1am&#10;PY63W9DGKn8c/PHyx3HpGLvj7/tG2z+6PsPgIgAAw9jvYf53Kv/70+Ln+eHP+aUn5d3vGBvwB3F+&#10;G47+QKrbvsXvN+nvLM3ri99L0t9F/O8f0e8cXRMCAAAAAAAAAAAAwBH7AyYLY335P3hKK53WL0fV&#10;LR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z/2XsTODmO+uyfG3PFJjfkwIG8&#10;JOSCAMn/TUJiIIGXAGG1u7P3MT0r7cqSLV86dnpW1soHR0wIN8ZcjgkGbLAtSzOzkmVZsg0kJIC5&#10;T3MZG5vT2AZ8SvP/PdVds7W11T09107P7vP9fJ6d2e7q6urq6pqZevpXTQghhBBCCCGEEEIIIYQQ&#10;QgghhBBCCCGEEEIIIYQQQgghhBBCCCGEEEIIIYQQQgghhBBCCCGEEEIIIYQQQgghhBBCCCGEEEII&#10;IYQQQgghhBBCCCGEEEIIIYQQQgghhBBCCCGEEEIIIYQQQgghhBBCCCGEEEIIIYQQQgghhBBCCCGE&#10;EEIIIYQQQgghhBBCCCGEEEIIIYQQQgghhBBCCCGEEEIIIYQQQgghhBBCCCGEEEIIIYQQQgghhBBC&#10;CCGEEEIIIYQQQgghhBBCCCGEJKFSefjlAwOPnD/ppEdVLh94JHTRzMyjPyW6fH7gMVB5y8seq3Vx&#10;NnucKSxDmk9dFKYfGHgMtj88f9KjkCfyxj7CvRFCCCGEEEIIIYQQQgghhBBCSOe4aOaVj5+bHHrG&#10;WV7f/zt5vG/T+tG+12WH+y8dHer71NBA79eHMr23jw31fc4b6f+v9SOZ6zZPZC4XfXSHN3jhzunB&#10;N5w/M3jOv28ePvMtm0e9kj/+krKf/ceyP3FS+Wzvr67wp/7s6vz4H+47c/J3ivnRJ39xfuAx4W4J&#10;IYQQQgghhBBCCCGEEEIIIaQ99PT0nDAw0POcvr6edSKvt79nd39/3xv7+3uPZDLrvpDJ9N7Vn+mt&#10;tFKjg313jg313To12v9pb7j/k95w3wFvuPei9cN9W73Bvpe/4hWveHJYPEIIIYQQQgghhBBCCCGE&#10;EELIauLw/PyjDoy/5AlXnZ494Vp//W/tnZ34/SvnJp+xsHPsjxZ2Tv7pvtncs0uFiedftWP8b/fM&#10;Tv7Dfn/yRaXZ8RdfPeu9eCE/8U+lHbl/Lhayr4BKOyb/uZyffOleP/uPpTnvxQdEV0vaA3OT//Ce&#10;MyZf+uqZ4fFTxvp3e8P9Hxge6PufwYHer2QyvXe7TMy0aGSw9zNjQ/3XZYd735ob7Nu6YXRdTy7z&#10;qj+Zn59/RFiFhBBCCCGEEEIIIYQQQgghhJBu4sr8xK9duW3yGXvOmHg+pqHdt3MyU5zLrt+bz522&#10;rzA5W/a9c4uz3hvLee9dJT/7wWJ+8qrSXG5P0feuLhdyC7L++pLv/be8fkJebywWvGs/ut078LbT&#10;Rj++e2boi9u9wW9ODvffOTTYe7/LhKxHw4O9R6dG+h/YND5w347c0C93rh/+xetOHrnn7VvG7nnj&#10;5pFfnjs9fP95M8P3z+aGHtw8PnAUyg73HxsZ7Dvmyq9p9fd+W16vQtRrEP3a88Kenp4Tw6olhBBC&#10;CCGEEEIIIYQQQgghhHSAh88PDDxm7/zM4w/ODhx/6Vkjv36tP/xbe7YPPxXRoogQRfRnyZ8YLeUn&#10;T12Y83YW/ck3Fv3s+/bls5eV/Ozeku8dLvm5TxXz3ldLee/WUiH701LBu7Poez+T119enc9V3n3G&#10;ZOU1J49WTp0crEyPZRo2JIcHex9aP9p//5nZwYfOmRmtvPHU8coHtnuVj+anKvvPnq5cNz9dOQTt&#10;mq5cu2uD0sGzA11z9vrKNTvXVw5ECOv2FaYqV8zmKpdsnay8S8r8ttPGK284dazy2k2jlXM3jlZO&#10;yw5VNo4POMtWrwYH+sqjA33vzA71TZw+2vMcROqW58d+5T3bX/UknI/D89njyi972WMPn3TSo+Yf&#10;xqhUQgghhBBCCCGEEEIIIWRN81cv+ufdosN168Uv98IsCCFV5h/xwe1TTy2enX3evoL3//b760f3&#10;5bNnLMx65y8Usu8ozWY/WPa9q0u+d7BUyN4gr58sFbzPyetXS37uZnn9ruj75ULux1fOZu95/1kT&#10;979jy9hD580MHztlYuDYyFCf0yCMEiI6149mHjw9O3jf7umhu1+zcfin7zp97LZLzhy/Zc+O7C1S&#10;lh/J/n4pr5WDu9YrQxRGaGCMhqZo1RhdHxijy8zRqcp+aM6Q/I/lS0zTcFuVV5g39qOMWHl/5Wyu&#10;cuFp45U3bh69/5zpoZ9v8wbv3jieucd1XEmUyfT+fHy4/8b1I73v2Zbtny7uXP+sq07Pnrj3rJlf&#10;v3g+e1x4wgghhBBCCCGEEEIIIYQQshb56xf988V//eKXV+rVX73o5W8MsyBkLfLwiki9VioPv2hm&#10;5tGH5zc/8bKt43+AZ4OWC9mZku+dX/ZzF5fy2etggJb97N3y/0MLhZwyDbWhuGDo0m3Zyus3j1RO&#10;nRyo1G2ISnpsNz89Urlg00jl0q2TlatnPck3F2rpvgLJcilPOUVCeczyoo5QX/9x1mTlHaeOHT13&#10;Zuj+Hbmhn8NAHR/qu9dVF1EaGuj7QXY4U/JG+t528khff2iWqnNZmZ9/xPz8wx4x/7CHPUKfW5xo&#10;QgghhBBCCCGEEEIIIYSsQmiSElI/l+ZHn1zeNvmM8lbvr0o7cv9cnJ0cL/vZLaW8d07Jn7yo6Gev&#10;LPne9fL6+aLv3Sbv7zu4c33l8PyGyuHd05Uj58zI60xlYeeGynvOmKzMrR+pjNZhipqG6DtPG1fm&#10;KqbhrUZyKmMxMBcR9RlEcC6N4tRT5iIdzEiXYbmSCszRoNyqvDrSNKyv68/ZqOruGllfLngPlTH9&#10;cN67o+jnvv/WU8d+unvD4F2nT2buwRTCrjqL0uRw31dPHsuU8usHziv7uZNK26eev+f0sT+62h/+&#10;rb3zr3x8eMoJIYQQQgghhBBCCCGEELKaoElKSH0U85ueXCxseM7+2an+Un7SL/ve+0r+5OGi732j&#10;5Gd/LLpLRY0Wcj8vF7x7S773gOhoqZCr7Jn1Ku89Y7xy/sYRPEvUadrZQrqzvEHZZli2nahctj27&#10;zGCsR8qMtJalUbqcZlQplqMey37uaMnPPVguZB8oiaTuH5Rl98u6+0p5796rZifvfcepo/edOz30&#10;wOaJTF2m6frRzBdPGc9c8dqTh6cOzueeXt6y5bHhqSeEEEIIIYQQQgghhBBCyGqBJikh0Vx++eWP&#10;vGx95leL+dGnl3dO/eVeP/uPxXxupJz3tpUKubeU8tm9xXz286Kf4Dmc16uIxxn1jE1EQRYLwTSx&#10;rw5N0SRT6CIdIkRhiMJUtc3Dta7FKXiNSNlqtKzxvFMdiRpGo14t5+LC0ycr5588VjndG3LWva3B&#10;gd5fzIxmrp7LDZyyb+f4s/f72T/+6Nzo0w7mJ35t7ysZZUoIIYQQQgghhBBCCCGEdC00SQmJ5vDp&#10;2RP2zuZeUCxMbN7ne28u+bm9Jd/7ZLngfUFeby77uduLfu6uciF3/0JhSpl1H9yO54qOVk6dHEw0&#10;hS6MU0SKvumUUZqiCaWn5jVlTjUMwzowUQMjVQtGalXy/ztPH1fPbz0zO3jUdW5sbRjLfGWrl/ng&#10;v80MDV29dfwPDs/PPypsKoQQQgghhBBCCCGEEEII6SZokhJS5eHzJ80/Cs+hvGLr+G8ezq//w9JW&#10;78X7/OzW8mz2w0U/93lM5aoiFMNoRUQuwnzDM0ExHW6SKXT180SR/gNbJ50mILVyMiNT33X6ROU1&#10;J49UZsYHnOfO1PhQ3xezw/2Xzoz3rTu8eeCJB7aOP6G85WWPnZ9/2CPC9kQIIYQQQgghhBBCCCGE&#10;kLRCk5SQgMMnnfSoA1s3/EFxW/Zl++dym8p5719Lee9DpXzuhpKf+3qpkP0ZDLVD8xsq14muzOcq&#10;rzl5tDIzFm+o2aYoo0XTpUWTVE/Zu14Z4OWdGyr/fupYZUt20HlebU2PZK7YOTW47v1bx58QNilC&#10;CCGEEEIIIYQQQgghhKQVmqSEPOxhnzgz87hDW6eetrB96lX78t4F5UL2mqLvfa/kew8tzOUqZd87&#10;Ku+PXbUje+yCTSPHaj1flM8VXR3COdd6x5axY7s2DFe84X7nOdcaHOj9SibTc35PT88JYfMihBBC&#10;CCGEEEIIIYQQQkjaoElK1irz8yc9as/24aeWChPP3zub7S/nvW1FP/fuou/dWCp434MxemT3dOXA&#10;2dOVd50xoZ4xGmeMcgrd1Sn9/FNMx4tIU0SZfmC7V3njlvHKFmkTrragNT7cd9gb6Tvr8vmBx4TN&#10;jhBCCCGEEEIIIYQQQgghaYAmKVmrXO2v/62r89mXlQqeX8x7V6kpdX3vJ6W8d8+e2ez97z1jvOJP&#10;Dccao4gqpDG6dqQNU0zPi/dYJu3l6L9uGnlw/Wj/UVcbqaq/7409PT0nhs2PEEIIIYQQQgghhBBC&#10;CCGdhCYpWSt8cWDgMfvPzPxqcW70acV89nlX+5OD++a880t+dm+5kPvuXn+qcul2r3LuzEhlNMYY&#10;hWmKqXRpjFIwSmGYIsL00Px05bIducrrNo3GGusDA70fH8n0bgibJSGEEEIIIYQQQgghhBBCOgFN&#10;UrJWKO8Y+93SrPfikj95+r68956S7x0sFXKfu2rWu/286eEHZ8YyTlMLgul1ljeojFE+Y5QyhWfW&#10;wig9sHN95RpMySuCefqOLaP3bveGfuFqT1X1972xv7/nhWETJYQQQgghhBBCCCGEEELISkGTlKxG&#10;Kg972MMvmnneo9+8ZctjD4y/5AkH5sb/YN9O7+X7fK9QKmSvLs95t162ffLo7unoqFEYo3jO6JtO&#10;GaUxStUlHWEK4/TaszdU3nDqWGVyqC9yOt6+/t6b+vp6vLD5EkIIIYQQQgghhBBCCCGk3dAkJauR&#10;vfMzj1/YOfVH+33vJaV89uTyXO41Rd/7QCnvHXn3aePfP2Vi4JjLHNXG6AWbRmiMUg0L0aUHdk5V&#10;Dp69oXJofkPl8O5ptexdp4//ZGt24Ed2u9OiWUoIIYQQQgghhBBCCCGErBA0SclqA1GkB/MTzyz7&#10;2eFiIfuGsp/7+J5Z7wfvPmPsvunRzDGXOQVz9PyNw3zOKNVylXzvmKhSFpUK6vX+kp+7U9rbDzeM&#10;Ze5wtUeapYQQQgghhBBCCCGEEEJIm6FJSlYDX5wfeMzHt47/5jU7vD8vFqZeUc5nzygXvHd9dMfk&#10;f587M/xLb6R/mREFecP9jBqlVkSYfvfaXRsq1569vnJQVCp4D4i+/K4zx/aePJb5pKt90iwlhBBC&#10;CCGEEEIIIYQQQtoETVKyGtizffipxfzEP5X87O6Fuezed502dvPc+uF7Rgb7nJGjmFL3wtPGaY5S&#10;K6qFuSn1vNLgf+9oKZ+7t+R7PyrlvZveedrYVTOjmY+72mt/f++3aZYSQgghhBBCCCGEEEIIIS2E&#10;JinpRjCl7sXZ7HFXbB3/zX2z48/eV5jsLecn59+xZfTTG0YzD7qMJv28UU6pS3VaMEoRWYqI0iO7&#10;ZxBVekz0hZLvXfzmU0ZfPTmU2etqw6I7ezM9Z4SXASGEEEIIIYQQQgghhBBCGoUmKelGLjsz87iF&#10;7d5z98/lcvv83Ovfdtrox6dG+3/pMJUqo+HzRi/bnnUaVqtVJccyKj1CVKmegndhDs8uzd0l+nrR&#10;9w4X/dy733ba2Ou94UzZ1aaV+vvYBxNCCCGEEEIIIYQQQgghjUKTlHQTlw8MPObymYHjF3Zu+NNS&#10;furkt546fu3USP+9LhMJUaOr4XmjMDsXp2iFPEQeGv/rZfLqB/+r9PJ+oTBVKflhWvXq2E6v13lQ&#10;Ky6crwM711f275yqFPPegyU/94Oinzsk52T2LaeODo0O9F3uauOiOzkNLyGEEEIIIYQQQgghhBDS&#10;ADRJSTcwP/+wRxS3ZX+7mB///xYKWe+Nm0c/dMpE5naHaVQ5dXKw8r4zJ5xmVDdqoeApEw0GZtHH&#10;K4xNWT6H9V5ohobGKUxSLWzvhyao+h+vwbbKeFXbB+/Nfen31MoJUaXXnL1eRZVes3M9zskxOW+3&#10;yTm7Ts7ZhaWdua0Xbh7bOD7Yt8fV5vv6e2/q6ek5MbxcCCGEEEIIIYQQQgghhBBSC5qkpBvYe9bM&#10;rx+am/yHy7ZO7JrNDX1neLDvqG0UIXL00tX2vNEwylNNxxoug+mJ98rolPfK2PQxlXD4fi40TFX6&#10;Kfk/SFfOB2arWob/kaekVXmGhqkyUtUr1Tl5x8p+7mgp7x2V14eKvveTUj53k6y7tOhPbXn3qaN/&#10;l8mse7Xd/pU4BS8hhBBCCCGEEEIIIYQQkgyapCTNXLpp9MnX+rk/uXjrxMTpk0P/NTTQ+4BtDK2a&#10;yFEYl4j4hHGJaE8lbVpOBVGkYRQoli0grTI/g9drz15fObx7pvKx806u3Ci64dyN6hX/33DOxsp1&#10;su7A3Pogvd4nzFHJZ0H2GRiogQFbXY//q2WgVkqILD149obK9XLerp2fxvn9hZynL8s5v3zfrDdb&#10;8qfWzU9nRuV62G9fD/39vd/mFLyEEEIIIYQQQgghhBBCSA1okpK0Ut6y5bEXnzH2irOyA9e5zNGZ&#10;sUzl9ZtGKlebpl83a24qiACF+ZlfnBY3WL9olgZGJv73lFFaNU3n8FzLYNpWUwdFWA6DVEek6il7&#10;lcmKfJBHaIbCMMUrokx1eRYjU6mV0n5MwYvnlMqrnIOH5DzdU8p7d5R876tyDhfknLx2347s8MxI&#10;Xx7GqH19yLKLOQUvIYQQQgghhBBCCCGEEBIBTVKSNj510fMeffj0008obBiaGR/qv802f0aH+ioX&#10;bBqp7JntfuMO0aGBOTkVmpZ6XWBOYv2Rc2ZUROGh+Wn1zEqYnjDPYHzCQEPUoZKVt0swSZEW2x2Q&#10;PPRzMK+TvA/heZhnw4RF2iCCNDBJtXQ+WL6YJ9V+6fOFc3TdrmlpF97PiwXvY/sKubeU/cnx0g7v&#10;z0cH+t9pXytQb3/P7vDSIoQQQgghhBBCCCGEEEKIhiYpSRtnjGfGRgf7vmubPTBH33DqWGWvr428&#10;7pcyG5X5GBqR1WXBe5hjMDCv260NUhiZMEjXV/Y3YpJCkjYw3YJIRZiuyBvT9SJ/rF9qkC7dXpm5&#10;4f/UygjnBOdLnys5P8eKee+Hcn4+WypkSyU/+/aFQva0CzYPbhzM9H7Jvnb6+ntv6u/veWF4iRFC&#10;CCGEEEIIIYQQQgghhCZpNN+7I38TtXL61nd3fO2zX9h61yc/fWbF1P+IPvvZrZWvfWFb5RtfXP26&#10;+YvbncspytTN+v0Xth37xpe2PfjNr26/51vf3HH7t7+741tf+tq2O+zrCPrcl7f95Lvfz3/edf1R&#10;K6Nbf1B4TvgRQwgRvnf77Atd1woVr2/fOX9CWIWEEEJicPWhVOMKq5UQQgghhJDVA03SaG79gV+h&#10;KIqiqFbpljv8deFHDCFEgEnqulaoeNEkJYSQZLj6UKpxhdVKCCFtA19yny8aFm0XnSd6s+h9ootE&#10;rxVh+XoRflz/g+hxom7m90UniXKiWdH5In3M7xX9uwjPUTpTNCV6uejXRauB3xX9o2hANCPC8f+r&#10;6F2ii0WoB9QHlm8WTYheIOr2c04ISRk0SaNx/SigKIqiqEZFk5SQpdAkbUw0SQkhJBmuPpRqXGG1&#10;EkJIy3iKaEwEQ/A7InQ0jeiTojeJhkQw3tLKr4owKPB60cdF94tcx5NEXxVdIjpFlOZj1jxc9GIR&#10;DM+Pir4rch1XUn1OBCN1i+gZIkIIaRiapNG4fhRQFEVRVKOiSUrIUmiSNiaapIQQkgxXH0o1rrBa&#10;CSGkKV4mukD0aZFtfLVKMF3/SpQGHiuaFF0tcpW1VfqQ6KWitPH/id4qulPkKnerdLkojcdPCOkC&#10;aJJG4/pRQFEURVGNiiYpIUuhSdqYaJISQkgyXH0o1bjCaiWEkLr5HdGc6Bsi29xqp0qiV4g6wZ+K&#10;MFXu3SJX2dolRFj+i6jTIMITEb6uMrZTMN97RYQQkhiapNG4fhRQFEVRVKOiSUrIUmiSNiaapIQQ&#10;kgxXH0o1rrBaCSEkMc8R4fmStpG10sJzLVeKPxC9R+Qqx0rqQtETRCvN74muErnKtJJ6p+jxIkII&#10;qQlN0mhcPwooiqIoqlHRJCVkKTRJGxNNUkIISYarD6UaV1ithBBSk0eIMKWubVx1UteKnilqJ9tE&#10;rn13SnjO69+JVooJUbun1a1H3xa9UkQIIbHQJI3G9aOAoiiKohoVTVJClkKTtDHRJCWEkGS4+lCq&#10;cYXVSgghsfyR6H9EtmGVBsHA+0tRq/kN0T6Ra5+d1o9Fzxe1m3NErv13Wg+I/kFECCGR0CSNxvWj&#10;YDXrpBc9vfoZcvwJx1Xef+mgM109akee1FJtOf1vq3X8tBOfXLnmuvXOdNTaEdoA2oJuF2gjrnTd&#10;ok/8z6YlfQnef+GrZzjTpl00SQlZCk3SxkSTlBBCkuHqQ9Mg/C7G72MpYvX7rStd2qQqlRBCYvgt&#10;0RdF1Q4uhcJzUTElbKt4uOh6kWtfadFtoj8XtQs8b9a137QIRjGmfiaEECc0SaPRPwTsHzAwH2oN&#10;0F+5d2LZNhjod6VNi3RZtQpnv8iZrh61I09qUTDD7Drulh/YVPv0qp5nLWsX6JNcabtB6Dfs43nd&#10;61/mTJt20SQlZCmmSYrvW7IoVn/xnKeoPu7tF/Usu75M2f0GtnGlM4V+xdzG9XmK73LmTSgQvu8l&#10;uRnF7JuxTTPfC2mSEkJIMlx9qBb6YfT96O/tvh3/YznWt+N3vOv7rStd2iTlJISQWPDsz2UdXAr1&#10;X6LHiVqBJ3LtI236jKgdpG2K4Sh9S4RpoAkhZBk0SaPRPwRcP2BqGQ6NbNNp2eXFMbjS1aN25Ekt&#10;Cm3KrmOapBTagN0uVptJ2q19CU1SQpZimqSuvitOGMCO6ttcebnSmUqyjas/0qpl3Nrpm+mXaZIS&#10;QkgyXH0obnie9J67rF+OE9K3ciYT1+eJK13aJOUkhJBYPila1sGlVG8TtYILRa7806iTRa3khSLX&#10;ftKq80SEELIMmqTR6B8Crh8wtQa2Gtmm07LL6zIhMABopqllyJlpIVeeVONCm7LrOEm0DLW65Rro&#10;T9s0zPbAVFzf4OpPGUlKyOqgGZNUy2VOdsIkhWlrpzdlp6dJSggh7cfuP/Gd2JzxqR5hu7jv1GY0&#10;KtLGPWrG9XniSpc2STkJISSW+0TLOrgU609EzVIWufJOo24RYXrgVnFY5NpPmvVMESGELIEmaTT6&#10;h4DrB8xaNUnr/TFnp3XlSTUnPpOUsoU2YA7SpPGZpLYZgf9d6SBMcYYpNs20fCYpIauDVpikGIi2&#10;+4QkhqetJNu4vgeZivuuV0/aWqJJSgghyTD7zmYMUi18x476HmqnjfvtW+/v6rRIykkIIZH8imhZ&#10;55ZyvV/ULGl/HqmtWVEryIpc+Teq74j+V3REdJ0IUclfELnSNqNLRYQQsgSapNHoHwKuHzA0SRdl&#10;pzFlp3XlSVHU2pNtRuB/V7rVJpqkhCyllklqXj+4YcL1PQSyo8tXyiStpy8z00E0SQkhpP2Yfad5&#10;050pzHBi3mgKExRRoK7PBSjqBkQ7Xdxv33p/V6dFUk5CCInkqaJlnVsX6M9FzfApkSvfJPqZ6Mui&#10;Q6IPiIqi/xb9WORK3wp9TNQK8IxPV/716EbRuOi3RFHg2bEvFiGtK496dYeIEEKWQJM0Gv1DwPUD&#10;hibpouw0puy0rjwpilp7qsdYWE2iSUrIUuoxSbVc30XsqeaT5mUqyTb2vvG/GbkPRX3fM9PEpUsi&#10;mqSEEJIM3W/aj42Bak2fC0U9u9QVTWqnifvt6/osc6VLm6SchBASydNEyzq3LtA2UTN8VuTKN0oH&#10;RNjnX4vi+BvR+aJ2GKa/J2qGF4lc+dajU0X1MiO6XeTKrx49T0QIIVVokkajfwi4fsC02iTV0RH2&#10;AB3udsUPM6x3baeF9YiiwCCh6w5Z5Iv84/Kxt0F6vc4eAIwS0iXJEz9SUVa9HD9Q7Tt4G1Gteqx1&#10;3rB/pLPrUNdf3BSf5g9oXQ9Ij+V6WifkizKaaSGzrl2yj8d8vo25DvuJe/YN9o07n83jS1r3teo2&#10;rm3VI11Gez8oJ5ahncedB3MABNvo40LZdTvGq11PyBN52/uNkjkgj22xX9SDa3tdR3F1HFVu3V7M&#10;axD5xT2TE8eGPHR6lMmVTpcb68302BeOD+tc26Fsui2Y5YL0ecK29nnCsZhpGxX2aeZrq11tqJFz&#10;oYVzgjp9whMebX6f/6lov2ij6NdEhKw5GjFJXX0JtjXTJM3LVJJt0PeZ6/G/2WdA6Cfs7SAzDRT1&#10;nQR9DvIwP6shlA99G46fJikhhCRD962uPj7JdzjI/r4L6e/J9mdAnPQ2kP15AmG5/h7byPdNCNvr&#10;7+lm3vr3CNa7toOivgMjP6M8N4teLiKEkGU0apL+QHSFCIYgzMMNIkQXbhX9q+gGkWu7VumgqBmS&#10;mKS3iV4repaoXh4h+jeRK99GtVnUDM2W51WiRkHU6RdFrnyTaoeIEEKq0CSNRv9YcP2AaaVJih8j&#10;pkERJfxYcm2PwXdXepewH/PHmSk7LY4hal2c4vLEMZjmqEtR5aulpPUYZY6gbK70puLqz/4hiv3Y&#10;A5wQ2oGrDqLKhR+ndlqzLdnrzPNmKsnxRf34braNJlWSMkJx58G+9lBXGBAwl0FmPaGOkxyfKZxv&#10;bIuBhnq2jaojV7ntZbbQvlztxrWdnQbH7BrwsWWbyUnPEYT89eAKhGNypWtEZr6m2tWGGj0XWOYa&#10;lHPo1SJC1hyNmKSQnU73yVr15KWVZBu7L8D/uM7tzwHXILS5HjI/y7WS9GHob2iSEkJIMtC3op+W&#10;t0uE76l2HxwlfGe0t9c3xNT6jmgKaXWeru3sGx1tRX3f1Gr2N5tdpqjfUSKOLRNCnDxe5Oo0XPq8&#10;aKfoz0RJ+HXReaKHRK78mtWTRI2C52e68oQOiwZFreAqkWsfjehyUTN8ReTKN4nmRM2CKZJdeSfV&#10;ZSJCCKlCkzSaqB8LkGtgy1TSbVw/uOJk/rDScu0rTvjhlGTwztyXvS5OcXkmUVT54oT0rrxccp2H&#10;iB9/kXLlYQ+uugxSCNu6zrttRmnZ5xf1Y64310GuNlLP8dl134o2mkT1ngMIZbPzsesr6jzocuJ4&#10;kwwm2NID8jifrvVxcp3rpOW2pQdo4vKC7DRJDFLIPp8uEyFOOA69bSN1FaVWXMdQM23Ilutc1FEm&#10;RJQSsuZoxCR19SW6T9ZKmpepJNvY/YPuI+3lrv7AXA/Z/Vg9n7c0SQkhJBnoX12fG65+Okqu35r6&#10;c8fu/+OkPzPq3c5UlMHZit9sdplivgPTJCWERHKryNVxaH1I9A+iRnmu6KsiV97N6CWiRnmTyM7v&#10;66IxUavBYLy9r0Z0rahR/ljkyjOJfin6FVEr+LDItY8kaub4CSGrEJqk0UT9WGhU9mCYK0IwiWwT&#10;q5HyuSIG7TTmD6ekhop9R64rTRJF/fiLUj3miH0eUBeudHFy3XnsGlx1Cft33c0c9UPd/nFqpzPX&#10;QfYPXtegQJzM+mlVG62lRs4BBHPTvps66fWg68luO6hvXX68RkU+6/NQb/1CyFOXV6uR61grSR2Y&#10;6+sZRLHbU9J2bkpHfboGmBpVK65jqJk25JKZV53HS5OUrEkaMUld/XIr+iqXzDwhu3/QnwW49u0b&#10;buy+xVwH2f1Y0u9aEE1SQghJBvpX13c7+3OjluztISyv53u1eXNeq75vQh0YV6BJSgiJJGpq3KtF&#10;fypqBZiy1rWPZjQkahREipp5vU70cFE7gMEIo9HcXyP6jKhRThK58kyiK0Wt4nSRax9JhCmSCSGk&#10;Ck3SaBr4sRArezAsapBP/+jBq2vftoGIH1sYmMNAHd6b01AiD9cPN33nqyk7DfZtp3GVx05jyk4L&#10;oawwNFA2yDW1nKt8cbIHQ+2yo+6xH+zb/jFoD2rif/MHbJRRZkcDRg3I6nMKmW3AzhP7NfODXCaL&#10;vV97vX3srnKhreh6wKt5XuPKCOnjwXq8mttq1Wty2+cAQr7mudLt3E5nG/6u8kA4Fp0fjlEfgz0o&#10;be4TQjpzvd02kR7LkT/KYl/nOF+ugW8zDRRVbuxPX9PI25WXvU9XXnHrUXZdHxD2h2PBvsxrAULb&#10;wXKcYxybWV9477qesT8zD8hul3a9msLxmWkh+5hXog3Vey7sciP9Re/uxfNHNU8XDYtgkL4DCwhZ&#10;a9RjkuL6c30uQXbf7cqrEZl5Qnb/YPZd9jq77zPXQXY/FrcefTT6XN0H0yQlhJBkoA91fbez++Ba&#10;sreHaqWxPwdMucoE1ft9E2rVb7aoMpm/o+T/F4j4LH1CSCSXiMxO5NuidkRU7hKZ+2lWzT6jE4Yd&#10;pg/+P+q/9nKByHUM9eg7okaxTeF6tEXUKl4qcu0jiRDxTAghVWiSRlPrx0K9sge77PXYj15vCgNi&#10;ZjpzQC6pkuRhrodc5XHVhZ3GlJ0WBoX+0WfKNZWPnSZO9mAofsi50tnCgKO5HRT1g9n+gWrXj10G&#10;VxpTLvParhuYN+Z61J+5HjLXQ+Y+8WPWXh9VN/pHuPlj2t426niaaaOucxC1H9SPndbeF7atlcaU&#10;ndaVxj63rjRxcp1rO42r3KhXO12S+nLlFbfePO+tUK1rBbLrNO4coW2aaSHzOl2JNtTIuXCV+/zX&#10;vfQMeSWEhNQySZPI9bnWaF627Hzt/sHsP9CPmjdi4L3Zt5rbQfb3DXu9fQOHKZqkhBCSDPSZru92&#10;dh9cS/b2UK00Ud9HoVZ932zlbzZXmew0sowQQmJ5jugu0S9ErxE9StQu8FzTZR1Xg4LB2S38o8h1&#10;DPXoblGjwOh05ZlEWVGr+D2Rax9JdLuIEEKq0CSNJu7HQiMyf4i5Bs/tKIi4tK50cbKPwf6xA5nr&#10;IdePK1dd2GlM2WldeUL15mvLFb0GowYDjFH1Ctn7xTaudJCd1q5D/G+uh/Frrrfl+kFr381r3xXs&#10;+uFsrofMOnb9qE46ILBSbdR17uIMO7tOIHO9qy3F5WdHFtppXefJXJ9ESeqnnmvATmeec6hWXq52&#10;gXrAuXDdxFCv7GvBLp8rjatP0nLVn9mOV6INmetN2enMY3W1nVCIGn25iJA1T7MmKT5rXdd7I3m5&#10;ZOdr9w9232WvN41Oczlk9mOQ64Yx5I8bbexjpElKCCHJQJ/p+m5n98G1ZG8P1Upjfi+05SqTKx1k&#10;pzPzdX1PbvQ3m6tM9uePLCOEkNSwXrSs42pQrxd1C48WuY6hHt0iapTzRa48k2hU1EruEbn2U0tf&#10;EhFCSBWapNHE/Vio9aOq1jZ2hGC9MvelBXMD+8WAmh3JZcse1IPsNOaPLy3XcdlpTNlpXXlC9eZr&#10;Cz8EbbPLFI7Xdc5cZklS2XWI/+PWu2Tv3zRpXQYLzC1ze8hOY9ZxM/XajjbqUr31VuuY6j1m+45q&#10;nBM9sIBX+xzhfzsPnRZ1hvWugW5b9vb1lNtOZ55zKElecWVEO7Sn2bWFtghzEucr7tqD7PJB9Zx3&#10;14COeT13sg3Z6exjdRm4hn4qwjOdOGUZWbM0Y5Ki/3YZpFF5udKZSrKN3T/Y/Q3KY/aJ5ue63e/a&#10;30tcN7CYwvHqzyeapIQQkgz0ma7vdvZ3tlqyt3fdXGuniduHq0yudJCdzsy3lb/ZkpRJlhFCSGr4&#10;Y9GyjqtBnS3qJu4QuY4jqb4gapRzRa48k+hkUat4hsi1jyS6UUQIIVVokkajfwi4fiy4DDdTtbZx&#10;ra9H5r4wIGcbObXkMhHsNOaPL60kP5xM2WldeUL15usSTOJa5rAdiVnvgKwpuw7tvFx1bMs1Dase&#10;ALXXYdDV3h4y00BmHTdTr65t65ErT5fqrbdax1TvMaO+a5l8plzXfiN1lSQPO42WnQ7bmuuT5IV+&#10;w657W64ILVxnSUxgU3b5oHrOO+rcTAuZ56GTbchO5zrWGkYpBLP02SJC1hz1mKToq5EG15T+rIyS&#10;Ky9XOlNJtrH7B1d/Y6fRN53Y+bs+T5C21mcS0tAkJYSQZOi+Vd4uET5L7D44Skke1wDZaVzfC7Va&#10;9X3TlU89MveTpEyyjBBCUsVR0bLOqwHhmaLdxG0i13Ek1cdEjXKWyJVnEr1d1CrWiVz7SKI3iwgh&#10;pApN0mj0DwHXjwXXwJapWts082PGjmRzDerVUqM/6pL8cDJlp3XlCdWbb5zwIzjOxDHL0EjdaZlT&#10;6LnyctWxLRhQ5jaQzteOcLQNXi0zDWQeXzP16to2qaKiLV2qt95qHVO9x4xBj6QmqR7oNtVoPSXJ&#10;x06jZafDtub6evJCvxR3k4V5PuwIqaSyywfVc95RRjMtZPannWxDdjrXsUIwdHANP/rRj4yaDQZG&#10;KSNKyZqjlklqXkf1qJG8kmxj9w+u/sbuK3UaO/+o75LYHvuJu/Hrmc/8jZfJKyGEkBqgX3V9l3RF&#10;gkbJ9d3Q9Z0vSRotV56udJCdzszXlU9S2b/ZkpRJlhFCSKrAtLHLOq8GlBN1C8eJXMdQj/AMoEZB&#10;XbnyTKJviloFniPr2kcS9YgIIaQKTdJo9A8B14+FqIEtrVrbuH6o2RFbSeS6qxX7xnIznV0e16Ce&#10;uR7CNnYa13HZaUzZaV15QvXmm0TalLDzNX8Q2/uFuWrmUY/swU9XHbtkG1S6DLYZ5ZpqFzLTQGYd&#10;u6ZfqtV2tVrVRmvJdY7i9mPXlz3AUW9bMg111DnKY9Y91sdFLdnnCeWz69hVl+Z6qJ5y2+nMcw7V&#10;WweQHpS3jwfSx263J6SFcWzXjX0t2OVzpYm7Xlz1Z9ZxJ9uQnc51rKZuucPHzY7DopvN7UJhOSFr&#10;itVokrrS4XuZnb/9WeES0rjK9bjHPeq98koIIaQGuj91fcdN0g/jO6VrW/v3NmSnifte2Krvm67v&#10;yY3+ZktSJllGCCGpAncbL+u8GtA/i7qFPxW5jqEeTYga5e9ErjyTqlWG9FdFrvxr6SHRk0SEEFKF&#10;Jmk0+oeA68dCrR9UtbZxmZt2ZGIS2fuJMvns6R5dg3rmesj88aWV5IeTKTutK0+o3nzrkcsojFvn&#10;+sGbRPYgZtTAqS3X9E/2Mvwwd20Lmekgs45dP5rtO4a1cNwwi/Txt6qN1pLrHETtx1UmGGRmmnra&#10;kp1fVPuMUtJBCddz5uw09ZTbTmeXu568bLnqWPdddhuPmqbMNJ4hV73Wc7246tnsTzvZhux0rmM1&#10;FZqkAFGjtlGK55MSsqZYrSapPaiOfsbO3+zHasm+uePRj37EtfJKCCGkBrofdd1Uh98+cYYi1tnf&#10;a6Govt9OF/e9sFXfN1v5my1JmWQZIYSkhieKlnVcDeqZom4hL3IdQz36P6JGaTaS9VuiZp8dMity&#10;5Z1EzUTREkJWKTRJo9E/BFw/FmoNbCXZBj/K7DTYDj90zHT4H6aZHiAz17v2Y04JirSuH4SuH3Z2&#10;GuRtp3HtT6fDj0g72jEqrS1Xvq50UcKPVxwTjt2sH0S4xeWN9fa6qOg4nD/84MS+XKalPfgZ9ePZ&#10;FurN3A6y24Zt4pgy00F2HbvufEZ++viwf2yj05nttBVttJZc5wDCfswyIn/XsdjXVdz5toVtzXQ4&#10;t/Z5j5O9PQTjEOXFeuRl1q0pO696ym2nw7bm+lp5oYw4t2jPZv3pa9jeVqex2zjyMLfHtnYayC4f&#10;5Eqn80K9mfnifVRand5eD2G/7W5DdjrzWFEf2B/qG/tAGQyT9AUimqRkzbNaTVLITmsPtJt9D/oH&#10;LMPnM/oO87MIn6k0SQkhpDF0Xxr1fRHf1fCd2P4Nie+Nrt9CkP3dUctOh+11f478zX206vsm1Krf&#10;bEnKJMsIISQ1/LFoWcfVoB4h6hY+IXIdQ1J9XtQsnxG58k6qD4ka5bdEvxS58k2iZ4sIIWQJNEmj&#10;0T8EXD8Won4YaSXZBj9Q7DRJZObjMjSSyDWoZ6exf3xBSfZnprfXufKEkvwgi5O9bZwwSGlu6zKR&#10;k8jMA7IHV+MGTm3Zg5+2UO+u7SA7rV3HrrqNk9m+WtFGk8g1MJ1Erjqupy1FDZaYwqAD9gNhAEUb&#10;oJAe1G5EZjmgesptp0tyzs319da3PmY7Ij2p7PIlycs8t2hP9nq7jdV7TFrmfrRadS5c+dTQy0WE&#10;rClWs0mKvtN1Y4aW2Y+5+rk4PfGJj32DvBJCCKmB2S83+l3WFPIw8zRl3wxjq9b3RDMvU3Y6Mx+o&#10;Vb/ZkpRJlhFCSGr4J9GyjqsB4e7lbmFA5DqGejQvapZtIlfe9egSUb08TnRY5Movif5DRAghy6BJ&#10;Go3+IeD6sWD/oLCVdBvXgFwtmflgAC7qDtc4uQb17DT2jy+o1oAfZKa317nyhJL8IIuTvW2c7POQ&#10;5JhcMvOA7HMZN3BqK+6HLcrm2kbLTm/XMY6v1g92U/Ydxc220SSCWVnvOUB6fWe2qXrbkit9nLBf&#10;nC+9fS2DO0pmGaB6ym2ns895rbzqOadm3mgbrjS1ZJcPQhtxpdUyrx9XWruNdaoN2enMY3XlE6P9&#10;IkLWHKvZJIXi+gGzH6vVJ5pC35Xb9Pyny3tCCCE1MPtkqNEbZKG42X2gWt/9an1PNPMyZacz89Fy&#10;fYbVkv19OkmZZBkhhKSGTaJlHVcDeruoG3iU6Esi1zHUoz8TNQue6XmvyJV/PbpG9CxREmCQXidy&#10;5ZNED4qeJiKEkGXQJI1G/xBw/Viwf1DYSroNDKx67mh1DerDuKhlDtg/Bl2DeuZ6yPXjC6p1p6qZ&#10;1l4XlWeSH2RxSmICoo5Mc8sU6rSeH5Z2NCpkb19r4NQU2oG5ralaP8bt9K46TmqUuu6MbkUbTSK0&#10;46RmLuo2ah/1tiW0iVrXj0t6/0nqFuvtNHY56im3nc4+57XySno+Xe2h1vUP2f2Nq01CcYNU5vXj&#10;Mg9c/Wkn2pCdzjzWOiL9YZDiGaWErDlWu0mKz4iozxizH4v7HmAKN8ahr/v2nfPNPsaHEELWBGaf&#10;rIXZYer5/o++N25mH61avwvM74mt+r6p1YrfbEnKJMsIISQ1XC1a1nE1oH8RdQNFkav89eh9olbx&#10;OpFrH/XqIdFpojieLGrGIIXwLFdCCHFCkzQa/UMAP4jMH1H4kYQfIeaPBVsY+LK3iTOOMOCFHzWu&#10;ATosQ7QafsxF5YHl2N78UYb9Yzv9g87M22W8mRGp2DbuhyCOz46gQ/72NknztOsYx+FKFyUcP37U&#10;oQxmPhCWYV1c/WuhHKgb+8ct8kQ+WAeTyHX+7R+Vrh+vcXL9KEX9ucwgU+Z5rXXeUHacN7uu0XZq&#10;1U+zbTSp9Dkw2w6EcmJ5rfqw2xLK5koHIS9zH/XIPL9oDzh2u27wP5YjjXl+cWx6W616ym3uB9vY&#10;5n+tvHR5cc6i6hnn29zGFOrNPkd4r7dD/ub+7fKZwjrzesN2KJe5f7w388O+4vrglWxDtc4F/sc+&#10;zWMMhRl9PiziFLtkTWOapPbnIK4d83qqR3Ze6Fdc6UyhXzS3cV37dv+g+/g4oQ+z+yNX3uibXJ+z&#10;2B+WoT/RfR9NUkIISYbd12qhP435nqb6XaxDv+/aPkrIF59Bru/J5vdX7Nven5mPKfNzwfV90xQ+&#10;cxr9zZbkO7AsJ4SQVPBI0X2iaqfVoJAHIjTTzImij4pc5a9HeI7nU0Wt5Gsi174a0bWi54lsMqLv&#10;i1zbJNUHRIQQEglN0mjsHwQURa0u2YMHGCCxBwzwvz2IASUZcKcoW7fc4a+T9kMICTFNUiq5aJIS&#10;QkgyXH0o1bjCaiWEkI5zsmjZQE0Dwp3LaeXxolNErZjWFkJeraZP5NpXM3qHCJGjjxG9O1zWjD4n&#10;Ok5ECCGR0CSNxvWjgKKo1SO5zJco7k5x+w5zM5KUopKKJikhS6FJ2phokhJCSDJcfSjVuMJqJYSQ&#10;jvNZ0ZJBmgZ1kihNPF00JLpYdL/IVeZGdLaoXSBv1z6bEabgvcNa1oj+R/QUESGExEKTNBrXjwKK&#10;olaP5DJfIkSH2lOxYsoqTI9lp601ZStFuUSTlJCl0CRtTDRJCSEkGa4+lGpcYbUSQkhH6RUtG6Rp&#10;QIdF7eTXRK8RYapXU/9p6ArRIdGnRM1OKRulC0Tt5kKRa9+d1A0iRKQSQkhNaJJG4/pRQFHU6pHL&#10;/EwibOfKj6JqiSYpIUuhSdqYaJIS0lpuvbXwnO/eXvDidMtt+THX8rTp1lvnhlzLb7ndH3YtX+1y&#10;9aFU43LVMbW6FHaLhKQaGIrOwZo6NShqJ9eJXPtdKf1MhKjUlQLT5LrK0QnBgMZzawkhJBE0SaNx&#10;/SigKGr16AtfPUNFj8rlnkjHn3Acp9mlmhJNUkKWQpO0MdEkJaS1wBj43h1zlTjdcsfcTa7ladN3&#10;bs8fcS2/5fbCV13LV7tcfSjVuFx1TK0uffvb/I5B0k2rnkUKo7WdnChy7XelhIjVPxStNK8Wucqz&#10;kpoTEUJIXdAkjcb1o4CiqNUnTJ275fS/rZz0oqcv+371tBOfrIzU173+ZcpUdW1PUUlFk5SQpdAk&#10;bUw0SQlpLTRJV69cfSjVuFx1TK0u0SQlaeYJou+Jlg3cNKCXitpJq6YErleYuvdFok6CCN0fiFzl&#10;a6e+JGr3eSWErFJokkbj+lFAURRFUY2KJikhS6FJ2phokhLSWmiSrl65+lCqcbnqmFpdoklK0szb&#10;RC5zrF69S9Ru1otc+26H/kt0luj3RWnh8aJ3ilzlbYdeLyKEkIahSRqN60cBRVEURTUqmqSELIUm&#10;aWOiSUpIa6FJunrl6kOpxuWqY2p1iSYpSSsvEbnMsXr1U9FviNrNSpqkEKIoYf6eIvpzUVp4uchV&#10;3nboVBEhhDQETdJoXD8KKIqiKKpR0SQlZCk0SRsTTVJCWgtN0tUrVx9KNS5XHVOrSzRJSVq5SeQy&#10;xurVJtFKsNImqa0jomkRIjo7zfGilZp+9xMiGOqEEFIXNEmjcf0ooCiKoqhGRZOUkKXQJG1MNEkJ&#10;aS00SVevXH0o1bhcdUytLtEkJWkEEZIuQ6xefVC0UnTaJNVC5OxGUac4X+QqV7vF6XcJIXVBkzSa&#10;792Rlx/C3aXPfXnbTz756TMrWl/9xrbbvv2tHbd966vb77r5y9vu/8YXtx27+YvbKvK6anTzF7c7&#10;l6924bjrPZfY5ptfCrZrVzvQ5cJ+XOtXUmkoQycVnOf018GnPnNWtc/6H9HNX9n+y299Y8ePvnPL&#10;jm9+7/v5L7j6um4VTVJClnLrDwrPcV0rVLxokhLSWuJM0re/s1eNt/3jP/3hna71aVM3m6QHDm2o&#10;/EvPn1THOJ924pMrl1w6VF2P93/x7KdU1+P9xz95ypI8bGlz7+bvbq/816c2yz6mlA7fOF35ys1n&#10;LTEAqdpy1TG1ukSTlKQNPGuz2vE3oa+JniRaKXpFrnJ0SteInidaKf5R9FmRqywrpc+LGFVKCEkE&#10;TdLVQ2+m54z+TG9Fa2Sw78LirNdTyueuKPnej8qF3EOiyv6dU5UFecX7rpCfk/JOqdeS/F8qZCvX&#10;nD1VObRrg6z3lqdfC/I9qYP16jVY5lUW5qRupI7sdHLuq+8XVH2JjHQLc9IeIL1NA8L2+0VlKUOw&#10;n+C1PCf7l/1Bru1aKXXsqq3gNTjGw7tnVNlc6deCcE7UeZH3QdsI3qft+r9se7bab0FneYOV4mz2&#10;c6Ud2fOkzf6/Q3OTz7h8fuCJYVdHCCGEENJSokxSGHDHH3+cGmu77mMnf8mVJm3qVpMUBqmua5ij&#10;J73o6ep/bZJqsxqCOYr1eP/5r5y1LC9btfKmVkY4D4WzX8x6T7lokpI08QpRtfNvUi8SrSTPELnK&#10;0UndL1qJu7bPFbn23yltEBFCSCw0SVcH/f2v+sv+TO+d2mTIZHq/9IEzx9cXC97bivnsl0r57NED&#10;O2FIwEzrItMIZfVRXm20BebXNTvXVw7u3LBoAK4hwQzF68Fd6ysLyvhCHUwpA9k0PwMZhqW8wiSV&#10;thDUW96rHDx7feXQ/HTl2l0bKgekTmGo1WOgoSzYBttff85GyQ/GNdYF+1s8Z8H/bRWOXe0HxnDw&#10;P0xSbRKuReH8BAY2zhPOP+oibCtST7otpUHz0yNLjNJ3nz7681Leu0n6r0tFp5X87N+Vt2R+I+zy&#10;CCGEEEJaRpRJqo04GDucbre90nU94T1v2ToYodrkfO0F/7xsfS3BGI3Km1o56fOAc+1aT6VDNElJ&#10;Wvgz0Q9FquNoUttEnQDRq67ydFoni9rBs0R4Fqprn50WjFtCCImEJmn309PTc0JfpvewYTDc+ebN&#10;ExNFP/fucsH7bMnP3QUDDHKZE+lVaLDhfWh6IQpWm15pi4ZbEfmB6RmYXPoVpmC8CVk1UNX2Qb3C&#10;YFXbKfMsWLdMRh7LZKTD9jpCGfsyI1axj+B/Rx4tVNAeFo8P+z5yzto2SbVw7V83P139P2gPtdvN&#10;Smt6LFM1SUeH+pSJL2W8s+hn95V25rZKW33Bnu2vWskZcgghhBCyBnCZpIh2k1XKnINJt9ZNUm1S&#10;IhrQtb4ZIU/kDbmmz9VRpDDZ7HW1VCtvauXUjNHdCmG/2D+mdHatpwLRJCVp4LdFXxZVO/Am9CFR&#10;p/hd0TtFmOrWpQOiw6JPiWCo3i5yHUM7NCJqJS8V/Ujk2ldadJ6IEEKc0CTtfnr7e3YbBmlly0Tm&#10;rFLB88u+98mSn7275HvHEHl5YGf3mEUwcbSRo8y8QmDoXLd7WkWRBobY2hPO4aF5Ha0JSb3Iq6qr&#10;JIIppsxSw8iU5QvhctQzokFRz5jOWEeZah3aNa3MNkRo4hXnQuWJfMKoRFUWGJPYj97vSkrKocw/&#10;2T+iW2mS6nYzrepFXUvqfIXnzZG+U7Kn3d05PaIiYKWNfUfaVUnKf35xp9d39Y7JP/3U/Mzjwy6Q&#10;EEIIIaQpXCapjnpDFCn+X8sm6ZVXT1bHGF3rm5U2rzCNrms9IkCxvpFI0Fp5U2tHZmS4az0ViCYp&#10;6TSPFt0oUhdsk/q46BGibuI40V+J1otgsP5U5Dq2ZnWf6C9FrQDT2br20Yg+LBoU7TeWtVKniAgh&#10;ZBk0Sbub/v6eF/Yb0+yuH+7/0L5Z7/SSP3Vlyc/9GOYITKJuMhUXYN4oMycw3JShA8myYHrQdBk7&#10;KylEBB7ePb1YJ6KSnw3fu7expQzE8D3MUdU29DI/mD4XBihMUtMgrRqlsg4RmjBMA9NN5x3koUy4&#10;0CA197UiCo1aVRaYpOfSJIVwjlEP6nxIvQTnfHm6NMiedhfGqZzPY1L2e6RtfUFeP1j0p7Ys7Jz6&#10;o7AbJIQQQghpCtsk1ZGLOooUy9aySdpuo7GWCYr9Yn0jEYjNGKzU6pKOZOUzUeNFk5R0mqtE6mJt&#10;Ut8TnShaDfSLEHnqOs5m9DlRs2wUufKuV58XvVJk8hJRO8zSl4kIIWQJNEm7FzXNbn/vTdpMyGR6&#10;b/nQ1slTFwq5DxV972sl3zsKs6vbptkNnicJcw1mW2DiwRhcs2aX1AGOXUVtyv/KhAzNYkSDBoap&#10;tU0SKbMMdbpY18Fy/V4vh3GttzP2N2dtoyITdbpOSO8/KCPKdt38hsAQpJTUtSR9gjJIRZ0/Z255&#10;w/1Vk/Ss3JAy7aGin7u3VMh+tVjIXXpgZ9Yr7fD+/ODswPFhl0gIIYQQ0hC2SapNuS2n/111mcsk&#10;RYQlpu7U5guE/7HcTptUOk+dH8qiTR29H3sbU0lNUkw9C+NQR8wib+zXnE7XLIdL9tS7rrLDcMY6&#10;V9nNeqtXOt8oxeVtRhLq8qLsOB4dbYjt7eOz6wzCMSI/babb0gaz3ifKrdsX9oH89LZ4RTrznKAN&#10;RuUdJfOY7Dzxah6/PiZdX1hfy4yu9zxDuh5czyM1t3GVJ+5cY50+Z5A+H3q9Od2ySzgOO60uI/LR&#10;5UCZdDotXQ86jc4Py+20Wq7jw35wnszzZm5jl8uuf7w326rZxvR67FevryWapKSTvE9UbbxN6EHR&#10;34tWG9OiVj2nVQt5NkpW5MqzXr1JFMeo6Osi17aN6CuiR4kIIaQKTdLupb+/743aSIB25DKbyn72&#10;rWXf+27J9x6E2QCDdKGLzUWYOjDorjm7256n2kL5XhC9uXtGGVva9FNRttqkbEiyLcwyvK+ancH/&#10;Kl+RjhJFxOnismxQBrUMaYPtGjZr26Kg7AtqimlEIHdXNHX7JG1p17S6pkr54Hxiedrq5k2njFb7&#10;NeiD27PBzR6qrXm/kLZ4c8nPlkr57Hl75yZeIN3hw4NekRBCCCGkfkyT1DRVTGPBNklhXul0MCRg&#10;YGgjCmokWs3M05Zeh325ttVKYpLiGE2Txiy7mT/MFduAwv8Q1ul0UFzZdR522XVeOp2ZvxaWmflo&#10;1TJ9dDpX3qYJpY8bxpJOq2Xuw7XeFPJ3mZkwxLDeNq5MIQ3OSdR61K2db5z0MeE4TQPPFMqDNhq1&#10;Pqr9NnKeIV0PttmIOtbbxNWxy3jUeUL2+dblxyuW6zrB8eq0kHmcev84Rvtc2OU26wFpzX1ArvpD&#10;/lH1jTz0OrsdmeUyj9kU9m0arbZc5yRKNElJp3iLyNmAG1CfaLWC6Nj/FbmOuxF9VdQImBLYlV89&#10;ukuEKNmkvEHkyqcRvU1ECCFVaJJ2J319PetMEyE70vefC4XJDaV89rr9c1OVI7unu88UgtEG40be&#10;q0hAedXPvOxmo7dRwZQ0zyGiRoNnh0LtNbaUASv70/vBc2H1/qSNqfOkDdTUyce0slJGqaeiCK+Y&#10;dnottiFbOIcHd20I6gLtCOcYyrvTd1JLokm9QbUMRimemSvvH5Ly/0jO842lOe+svWeN/PHe+Vc+&#10;/vKBhz0y7CIJIYQQQhJjmqTa/LBNBdMkNdPY5o02KWCamMtryTSIdGQZlsNsMc0X26yxlcQk1fnZ&#10;eWFfZhQehHLofbuMKiiu7Kgjvc5VduSp19vroGam+q2Vt3lsMKjM82lH5ul0OL96HbbH8ep1rghM&#10;ffzaADPrR7cVrNPnRK+H0IawDOvsfKNkHxOE8ut1ej9mufR6GJa6nK5z1cx51uvtOsK2WK73i3RY&#10;hnVx5dFlwXrzXKFMSGub6PqajbsudRq9T32MyEsfq5kOZU16/Zs3JiCNLh+W620g17m2y2Vur68P&#10;SNexuV5vC9l1EiWapKQTvEZUbaxNaka02nmi6DqR6/gb0ZCoXg6KXHkl1SdFzxLVCwzwn4hcedar&#10;vxARQoiCJmn3YU+zO5Dp+/Jl2ydni753ZTGfveXA2evV8yQDA8RtQKRSMEnlVUckHpTjgCGiIhjN&#10;dGtAMLP2w+xWz/6Uc4k6kPpRUZFh/ejXdqhqgIb7VMvCMqhzlEJTTQuGbtBmAlMU7QnPUu22aafb&#10;paphLPUURAjLckSWOtJ2UheeNl41SaEPbJ0Mpp2WfiGIhM0eLee97+/LZ68pzU2eXyxkX3HlKet+&#10;LewmCSGEEEISY5qk2kSyzRxtkmrjDYaFaZxoJTFjbCEfbYBge9d6rHOVy1YtkxRGic7LVX5bSYzG&#10;WmXX611l1yYPDB57HQTDC+tdxlst1crbPDacd1d9oL50+aPKoM0p1znX+UPajNQy9w+ZZh+kDVjs&#10;31weJzNPbBeVJ+Q6Zm3Mwmgzlzd7nvU+UT5zuVke1GNUeey61e3CVRaXdD7Yn2s9pNNAUdeZrl8c&#10;q6u9RF3/Ou+otqjX2/VuroNcbVCvg+xym+3BbgtRoklKVpqCaElDbkKzorXC34pcddCIMM1xPTT7&#10;HFIYpL8uahSYm4iAdeVdj94rIoQQBU3S7qO3v2e3aR7snh7cWi7krij62Z+UfO9B0TGYbHi1jYf0&#10;KzABYXTtnwuMwiDizZV2dQvn8Dpldsv/oZnVCSMrMK47s++GBNMvFNoRXjFdsX6mKxUouAkBdQLz&#10;O4gM1hHcrvSd0PRYptrP4X11nZRXRTb73kNyfu+RY/haac5744F89nkXPW/m0WFXSQghhBCSCG2S&#10;wkSQf5VsQ0GbpNqwMM0WmCUwI7RxA+louCQyzTCX8QLpfG2TyVY9JmmUEWRKly3K3Gm27LrOahmQ&#10;Scpqq1beuuxRZYN0Hq4IP60oY8w0qFxmnh2Zaa/X5bPzjZN5TK42qI8Hch2zq31DOt9GzrNZD+Zy&#10;SO8P+boiHaPKY56XqPKY0vuPuy51mrj6dpWn1vVvHr+rzqGo44T0tq5r0LyeXeWOq/so0SQlK8lp&#10;omojbVLni9YarZqi+DZRPTRjUP5A9BRRsyCPb4pc+6hHzxARQghN0i6jp6fnxP5M753aOJgayXyw&#10;lPf8UsH7nI6ygomgDIRukY5mk/cLc16lLIJRg4g3ZZKaaVex9svx4vzBuLpGTSmKegiiN7EezwK1&#10;t6GWS0ci62el4v1CAW1Jv19Mu5aFCGVMy42oW2WOSl0F793pOyE7mhT/YzkiYREZrK8ZKfu9xYJ3&#10;pDib3V6enXhBMT/65LDLJIQQQgipiTZJYcTJv8qwsY0DmKSmIRElbFuvoaeNwKiouHqMjiTT7WpD&#10;BsL7KOMG0lOBRhmNzZa9lgmqt40rY5Rq5a2PzWUuaeF8xuUBaXPMzsdsTy4jT5urUQasLl9U3bpU&#10;65h0nUSdT328tpnYzHnW9YA87HV6fy5z0FwfF4WLNNg+yiw1b35wGbF2mqi21uj1r8+z6/i19Pb2&#10;vmuVC+dJr3cdW1zdR4kmKVkppkTVBtyk3iRai/yNyFUfjSjp1LODItf2SYXtW8ULRK591KPNIkII&#10;oUnaZfRneq/ShkFmoPfuD585fn7J94plP3c7TEXINhpSLV9HsYWvPiLcNihzdK2ZWfp5i9eKggg/&#10;Wa7qJKgbOz0Vr9JcGG0IwSzNB+baWjLe44S+Qt9UAQWmslFnKZEZTYrnlOrlQTm9MNo8d1Suk++X&#10;8tnr5f1r9s/mnh12mYQQQgghNdEmaZTZBcEkNU0vpNGCMQWTJi5KLUowdpAnFGXO1GN0JDFJsU8z&#10;6g3CcbhMJhh4WG8bP1Aryh63PZbp9fa6JIrLG9LHZhtwWnGRxaZQd0hjG4i6jqMMyajttGqVz6Va&#10;22Ad5GqrpgloGm7Nnueoeojan2u9q/5xDPp4IVyXruPGMr3eXqel0yA/13qo0esfdYLtooxgs53Z&#10;12CtciFPrI+6vmq1QZdokpKVoFmjzdSForXM50WueqlXLxEloZlnoV4pajWvFrn2lVR7RIQQQpO0&#10;i+jr61mnzQLorGzm0pLvXS36drng/RKGRzc+d1E/QxLT7MKoOXLOxiXmzWoUDB4Ydng1nxEZTH0a&#10;1Id6TqS8BpGRNEnrlooclbpFfaq25VWugTGIGwlQv65t1pAQhan6C9SFansif6pSTFnd4FmkZr+n&#10;o0m1cAy4huT8PiTn+cfyemAhPzVxxRljT5k/6WGPCrtPQgghhJBItEmqTSuXmQGTVBsSSGevb1Sm&#10;EegyKSFtBCUxOpKYpFowobSJAsHsMdfXMseaLbu5vb0OqscctlUrb/PYogzQWnlAZj62QafNMZfB&#10;DOntXOZakvLZqrVNrfOFcmCdbSY2e56j6iFqf/Z6yLVeC/Wu9w/Zx64jOeOuW53GvgZMNXr963JF&#10;maj6GnQZobXKpfusKKO9Vht0iSYpaTcvF6mG2QKtdYMUfFDkqpt6NS6qxRNFrm2T6v8TtZonie4R&#10;ufaXRD8XEUIITdIuoaen54S+/t6btFEwOtj3mX1+9g0lP3dzKe8d1RFVymwzDIS0S0WvwQDENLtY&#10;Jv8f3BVEktppV5NwfDCCMeXpDefMVK6d3xAYo6Ehqkw9lTYwjl15UAkl9Rc8mzRbObx7RokmaWjS&#10;q+ssNOJhKqe0rZ3lDVZNUjOaFNLHsR/vVURp9ptyft9Xyk/mylvH/iTsQgkhhBBCItEmqTZaokxS&#10;GBVY3y6T1LVeG4VQEqOjHpNUS5s/dhlqla3Zsuv1rYyC06qVd62yQ0nSmFGKtoGot0U+5nLIjB50&#10;RVEm2betpOfDZcZBUSZg0nwh13nW6+x6qGU61mNKou5xDpDevn61kWgvN5UkTaPXP7aBarUDlxFa&#10;q1z6mG2DXkvn7dp3lGiSknbyD6L7RdXG2YRokAa8VuSqn3q1TVSLV4lc2ybRt0Xtolmj+DEiQsga&#10;hyZpd9Db37NbmwSZzLp7Ltg0/NaS7y2UCt59R86Z6coIUiUfUX5471X2F4Joym4zehNLReyFUssC&#10;gyowQrEcpnFWrQ8MU2t7qiHBZFZTs4Z1fADtS9Uv/mc9IwoTfYi6UUHVx1Rgmiq5t1lpXbY9WzVJ&#10;oTedMrosjZquehduNsj+olzIfr6Yz15SzHsDe7ZP4cZCQgghhJBItEkqb5VchgJMUh3VFWW8NSLT&#10;gLLNMhgo2gSJKpetRkxS0+gzl9cy1Zotey0TtJEoOK1aeScx4Mzjc0VQxhlz5rbmcq2oOtdKUj5b&#10;tbbRdVIrKjHuWOo9z3H1UMsA1OujoiRt6Zsc7PaiyxdlJEJYD9nlN9Xo9a/ztveP9qPbOOSqB73O&#10;VS6cC70e58FeH1f3caJJStrFc0U/EVUbZhN6l4gEwNx01VG9yolqASPAtW0SfV3ULt4icu0zqX5T&#10;RAhZ49AkTT+IIu3P9N6pDYJTJjKHFgreVeWCmma3ct38tJo60zYNUi1lWBlmoLwemt8QPmdw9QjH&#10;s38uiBrFc0aPIJJRzldw/JIGkjTViFpZvtrqoLMK6hn1C+NPm6UwBhFRinOz1usbdaBMUvW/bn9B&#10;W7TTdlJmNOnIUN+y9egDg2m6vWPSr/y8WPA+J8dwbvmsib/cM/WqJ83PP+wRYZdKCCGEELKEpCap&#10;NrYgl+GBZS7TC+uiDBzT6ICJhbQQ0iEvvR1kbgfpyDbT9IozSZG/fWzYvzZqbJNGm26QNsfM7Zsp&#10;O1TLBNXbus5HLdXKW9ddnAGHY9FlsM1WmFJ6H3g110HYb9Q6SBtuUYZmkvLZqrWNLm+UKanNRHta&#10;2GbOc1w9RO3PXm9ea0iL8mP/Zlq9H2xjr8NySJ9DHI9uzxDOpU5jb2uq0etf1w/qQO8Xx6GX61e7&#10;ndcqF/LQ6+11UK02GCWapKQdPFP0XVG10TahD4nIIheIXPVUr/5JVItLRK5tk+itonZxksi1z6RC&#10;+ySErHFokqafpVGkvXdfvm3yP8p570cwMkoF71h3Rl6i7PKqnhsZ6NpdG1JnzLRCairQUNeeHTw/&#10;MVgHk1heq8ccGFRBZC3VUkkdB4Z88Oxb/K9uLujKa6e1QpvDtafrB2ayaoOhgZ8WJYkmhRakTzm0&#10;axrX1s+ln7xqoTDllf3JvziwdfwJYZdKCCGEELKEpCYpXrXRBMHcgMllLjMNSy1tVkAug0qbW7aQ&#10;b1T0mmmgmEZbnEmq0+ty60g9CPnbRgzqQa83ZaaJKjv2oU0lu+xaOq2rvs192+uSKC5vSBtTttll&#10;yzSKYYDZ5xv/uwwsGHJYb5urWrruowzLpOUzVWsbrINcdWIaoaaBqNXoeY6qh1r7i1pvng/dhvVx&#10;Q65j13Vtyqx3XX7kY27nknnukR55m8tqXf+m0J6wb20G2+2oVrl0XaAMrvW12mCUaJKSVvNU0ZdE&#10;qkE2qX0ispT/ELnqql79kagWV4tc2ybRJ0TtAmV37TOpflVECFnj0CRNNz09PSf2G1Gkmyf6ryz6&#10;2UMwNg4hIrGQO2abBN2gavReaJIiCgxGDQwOM123Cce1f25KTf0JM1QZ2CqSEQYU3sOgQ9rAjKqa&#10;Umr98vyoFio8DzpqV0WXiq6Rc3WNnCucM7TDbm+D9Qrt9eDZG+R92CbDNprGNulPDVdNUlc0KYRz&#10;iIhtXHulvPeVBT/73n07vOy+Myd/J+xWCSGEEEKWoE1SbVa4TCRtksLIgDlhGiPaPIMZEhfxhXQu&#10;QwjbwMjQ+4cpgn1guTZJXSaTTm9G4sWZpCifbRjhf5expIVy6P3g1TSXoLiy6+N2mTS1TFDkgXUu&#10;462Wkhiser1rmlJbOA7bJMT/cfWm6xl17lqv6yvKxNX7SVI+rbhttKmO/braqK4zrLfXQY2e56h6&#10;qLW/qPU4DuwH+8d6CO+xzHVt6W3Mdo825TJeXQanLRwv0tdz/UPYRpcZ6XV5kR7LsM61TVy5dJtE&#10;Otf6Wm0wSjRJSSv5FdEnRaoxNqnDIrKcO0Su+qpXSe4qv17k2jaJ3idqF38ncu0ziR4SEUIITdKU&#10;Y0aRDgz0/uIj2ycvLvnZr8LICZ6/173mmoqaDCP5cDxd+1xVQzBm1NS6cm4wvS6WBaYcXqeM9zhv&#10;2oxamgfVPi2grk2jVJZdc/ZU5RDOlwjnrjsjsxsXjldde6gX+b+INhm2TVf6TmrPrFc1SSFXNKnZ&#10;l8hx3LeQz36nlPfesX829+ywWyWEEEIIWcIt3/df973bC5WTXhiYCm+/cF0F/5u65Y7Ct+xlKyFd&#10;JmV0ONbb+s5t+S+6ln/vdv9W9/LOCMeD41ImqGO9NoAmss91ro9TrbzXluYcyygqWt/8nv8Xcv0Q&#10;0jR43s0hkeqQm9SnRGQ5/0/kqq969WNREq4SubZPorKoXWRErn0m0e0iQgihSZpi7CjSHd7Af5cK&#10;uf8pFbyfLD5/b6lB0C0KIkmnlCmjTcLuNqe8yv45HBfMpdBgCo04FS0L4wkmKYy5vCxz5kGthPSN&#10;BYvmdHjOjFe0RZhtiLKEgv+1AiMObbgaEd3lwjEGbTY4fvO6TJvMaFJvuN+ZRkmO5bpd05UDc+sr&#10;xULummJh6hWXz29+Yti9EkIIIYRUueX2ue8iggrRXfJvZGTWSguRZigPVE9EYTdIm6BRz8/UEYtm&#10;lGxS1cqbotaMYJK7lsfou7cVfLl+CGmaPaLqh1gTwlzxaedJ4etKc63IVWf1aq8oCReJXNsn0V2i&#10;dvFmkWufSfQFESGE0CRNMf39vRdrM2BooPdHV2yf/FjZ9+6ByQOzRhkbLnMgxQrMJZhR8r8cB6ak&#10;RSSfWmel7RbhXMCwPrIbhgyiRYPjU0YTDCecL3MbrDf/pzognJfgPV4DyXnJB+fq8O6ZqvDsUkwF&#10;HUQHB9GmmKJXT8+rTdTl++geqfYpx6+eCyzvVSQpzH0jTVpkP5sU/7vS4XxeNx9EdMv7T8myMxYK&#10;Y8+9MT/65LCLJYQQQghRaJNURyC6pg1tlzBlKyIe7WlXYZDqKT0xbaa5rtulp36FXFOk6vMQNRVr&#10;nPQ0rdBqM5Ypqm7RJCUd4h2iamfchG4TpZ13i1BWRFn+PRasEJMiu74aVVaUhHNFru2T6iRRO4DR&#10;6dpfEi2ICCGEJmlKsaNI/fUDB8t+9pYj58xUjYzuUxChhvfq1Q/MqPDZqt0nPzBAlbkGUyk0RPU6&#10;tT6lRhO1qCBq0jiP6tzJutBEDc4t/l9cHhjg4Xq13JJe10WCUXr9ORuD55Oq48RxpPNYEEFa7Run&#10;hp1pIPSVMLVLBe8b5Xz2nQtzUxP7dnr/J+xmCSGEEEIU2iTV5p2aptUyDtol/dxBCM8lhCGqzVFd&#10;lqjnHHaTEN2JYzGfDWlGeurnOprHnjSKVD9zMipvilqzoklKOsBOUbUzbkLtjDxsFc8S2eWGWfpP&#10;onayWWTvtxkljYQ9ReTaPqkQ+dpqThe59pVUJ4sIIYQmaUoxn0U6MtB355Xbs4fKfvaebjZJYcIU&#10;lZEYRH7h+ZAwSbvxeILoQTzPcr16D4NtoZBVx6bMNm0w0SRNvVTUpLRFtM+lJrc2QsNzKe8XfESM&#10;ynt1XnVaaQ8711cOzW8Io0+nK0d0FKq8R/tGxKneX1qF9gyTVF+PRSyTY1T1Y6RLg/As0mr/ONTn&#10;TAPh+kTErxzDj+X/jxXzk/+2d9vE34TdLCGEEEKIQpukEIxKWbTMOGiXYIDCKDXNQQiGHyIqV4NB&#10;CumpjCEcK47NXK/rXa+vZ5pdROPqbZFPWqZLpqiOiyYpWWGeIrpfVO2UG9RR0aNEaSfONPykaJPo&#10;BFGrOF50oci1v0b1UVFSYP668qhHu0St4sUitBXXfpLqt0WEEEKTNIX09PSc0G9Eke7cMPidUsH7&#10;YcnPPqCm+OzSqT1hthQLMEgD0wVTnOpILztt2gXTC6YajCX8r4ykOZEcU2Cidff0q2tJVSNUnTOc&#10;Q5je4Tq8wvhWy2EYhttheXjuAyMRxnnQnmGWIjoa0u27G65ZtGcYu/p6XGL2G+nSoD2zXtUkhWCa&#10;utIFNzOomxgehFEqWtiXn3xV2NUSQgghhChMk5SiKGrViCYpWWHeKnIZUfXqv0TXiw6JrhGVRftE&#10;iNL8iOjDog+ILhG9V4RnZWKK37eI/l30bw0KpmY9zIpc5bf1QRGmtIWJ3Ai/KzpbdLvIlX8zGhXV&#10;w09Ernzq0TmiZvln0c9ErvyTCu2LEEIUNEnThxlFOjjQe98V27N3aDMueKbncjOgGxQYT6HpMoeI&#10;0sVIL1f6tEk9B1aZo4uGlz6mwFCS98pUWtyG6l7pc6qjS/VrcL7lNTz31VclLDfM1LBtID3ajdl2&#10;0ig8f1VFXuJYpa8Jjjk8rpQJ0+zqfvLUyQFnGt1XwizdvxPvvc+WZ72pyzKZx4XdLSGEEEIITVKK&#10;olanaJKSFeb7IpcZ1U36T1FSGnlG52dEF4vOEL1Q9GzRH4h+TYRI0RNFfynqEb1GBCPPlU8r1IhJ&#10;+H6RK6969WlRv6he/kj0epErz3q1RUQIIQqapOkCUaSZTO939OD/3NTA10oF7+cHd62vRq51q1Q0&#10;Ht4rgyl4f2DnVNdExsIgPYipUxGZJseiDK/QRIKZhOmD02ooUfVLGZ3h9Lp4r9pv2G6hBZxzdb4X&#10;X3U69YrrNbypAW0DkaZpn3YX0a/qpgXb+E2hPrB1smqSQpdtD6bxdukaOSYcW9H3vr0wl9txaG7q&#10;aYcPn4TZex4e9LyEEEIIWct87/a5b5gmgX42KWQuT6MwbS3Kiel5XetrqdntqXTrltsL97iWU2tE&#10;txcedC6PEU1S0ih/Kqp+eHa5niFKQiMmaZr0V6J6GRS58mpUd4oQGbxNBNP4uSI86/Xpoj8T/bUI&#10;+7xAhLSuPBrRN0SEEFKFJmm66OvrWacH/YcGe+//4JmTXyvlvaMY4O8WMzFSynjJhZF1MJI8dUyI&#10;0FyWNkVS0bvKoPbUMVRNMH8Kpou8Lt+Goqo3NfjZakRjYKgGkY1L0qZEh3aFJqmK9A7auStdWuQN&#10;91dN0vnpEWcaCDc34Hmrcu3eUfSzb9g7m3vBFVvHf/PygYFHhl0vIYQQQtYwt9w+d5NpEmjjEM/G&#10;NJenUf/S8yeqrFtO/zvn+lpqdvvVJhjkeKZpPc9ETbNuuWNp26aa08c/eYpqH/YzdVOr2+d+5lwe&#10;o+/eVkCAGyF1MyLSBlS3KydKAu4ocG3fDTpf1ChfErny7CaNiQghpApN0nTR3997RA/6nzY5cHfZ&#10;90S5Y5iWNu1mYk2FpgvMF5gW3TJ1MOr+4NkbVLm1yaUNU6xXEYZGeoqqCkapMtZFebR/rxqRnMa2&#10;j2eoIrpb3Qig2rssT/FNABdsGqmapCNDfc400EG5hvG81WLe+8lCwftAaWdu8oA//mflLS97bNj1&#10;EkIIIWQNY5ukE97z1BgaXs3ladTTTnyyKuvb39nrXF9LzW6/2qTrY7VE1tIkba30TQWQa33qRJOU&#10;rCAni6oXSJfrPFEScLG4tk+7viBqBkwF7Mq3W3RARAghS6BJmh4mhl/1fD3gD733jAllWpR875hr&#10;4L9bFESjTS0xW244d6OaAtNMl1bBJA0i/wKTFFF2gUkamkgUFSdpO9p0xLWAtoTI8HSbpMH/1Ws3&#10;/D9t2jPrVftL6E2njDrTITpW9aUF72dlP3twn5/bXZr1Xvz+8Zc8Iex+CSGEELKGsU1SRJDK4tRH&#10;i33+K2dVx/wQAWmvP/744yLXQbW2X4vSddY1kYI1RJM0uZJMs911kdc0SckKkhdVL6Iu1ztESWj1&#10;1LMroa+L/ljULK16Nmkn9H9FhBCyBJqk6WFkcN3r9WD/1Ej/vZj68rr5me43SZWZOBW+iubSb5Ii&#10;ahflU9G7OhIwNLnUcyb1VKoUVUtoP9JeVMSxvMfzSa/FM4bxvyt9BwUjEZGuQXuHOarlTp8G+VPD&#10;VZP0LG/QmQbGbxgN/nPRTUU/+145F5k9U1NPCrtfQgghhKxhbJNUFildefXkEvMgbUL5dFnrWaeV&#10;JA3V3aJJmlzdNM12YtEkJSvIa0TVD5UuF56RmYTniFzbp1WYJhfP+mwFvyP6lsi1nzRrnYgQQpZB&#10;kzQd9PT0nDCQ6b1ND/afMz10Fwb2YdSVutwkXQjNIZiLeH4ndB2esSrH50qfBiHaD4YRDC1VdkQC&#10;husWUm4aUenUQhh5vDAXTLmL9pS2KbR1JKn+P2jz6W7vF542XjVJocu2Z5elwfUc9qX3yfX8XXld&#10;KOazM1ednj0h7IIJIYQQsoYxTdJuMg7xbESU0zU1bBLDJ257anWIJmlyrcrn89IkJStINz+f09Z7&#10;RUn5mciVR9p0k+j3RK0EhutnRa79pVGI/CWEECc0SdNBX19Pvx7kHxnsfejD2ybvgZGCaSLtAf9u&#10;k4pKU+/D5xyKENWV1mesLj5zFKZW8AxSFTlaNUwpqn6pti+vi9PsTinzLk3T7lZNUmnnuJkBy4pd&#10;0Oa94f6qSYrnlNrr0dcoYzrvPSjHdZe83lTc4W0r5kefHHbBhBBCCFnDmCapbS7iWZ16+l0IRgqm&#10;qdXpbWEdzEdzGzznEsvitnPtB4atngLUZWS6TB29LErmtLrm9rrc+pmcmHa2EbPIdfwo+yWXDjnT&#10;Qzh2pNHpsW88D/bjnzxlWVq7PrAvPUWufoaszitqylxzWlVzH/rcu+oaQlrsQ9cRhOOMOrdR6aOe&#10;/9pI3dWSyyR11bdub3ZaV5lwPFHnB9L1qOsFafW25rHr9qfbuS4TymO2UyiqHFF1r4W8sR/dRiDs&#10;xyyHuS6JkN7ch6l66hay27Mur94ex2vXhSl7f0iPOqmmoUlKVpDNompj7HK9XpSUfxe58kiTMDXu&#10;b4vawW+IbhS59psWHRVNiAghJBKapOlgcLCvqAf5z8wOHIWhgoH9tBqJ9SgwRvEeJqm8yv8wLNL4&#10;TEZlpqDOQ0MrMLaC8iOCNI1lprpFQVuqRiTPBdPApmnq5up0u4YxqqYJNtKkUfPTI1WTdGSob9n6&#10;4EYHNeX3saAfyt5ayk+ec2N+E01SQgghhCwxSbWhg1fTrDClDQ1bMDNMkxHpbAPD3gYGj5nGll7n&#10;Miz1vmzjyd6nLgfWuba3zSdTSwyXGsKx6Hz08Zv52maWfey6nNq0wqttxOFYsQ71YZcZ5wxpdJ76&#10;f1vYFutx/OZy89ybyyHsV5fLJbuezPTYj10X9vmst+6SyjRJ7fp2ydwW7TnumLHOZeDpeoRZam9v&#10;tlWz/ZppIPO8N3JdQfo8RwmGJPZj17XO35YuA97b+zLPX5TMY9fSx46y6nqzhWN2nX8zvS6j/r9q&#10;rNMkJSvIy0TVRtjlKojq4a0iVz6d1tdEvaJ2c5zobSJXGTqtS0WtmmKYELKKoUnaWaTDfkRhbOwp&#10;mUzv3XqQ/31bs5WDZ3d/BOmiAqM3eBbjBmVAptVsROTuNVL3RSkjzCGaolTLVDUecT0E1wTaW5pu&#10;hDgYmqShkahe1XTZjrRp0p5Zr2qSQu89Y2JZGnUtz+Uqh+anYZbeXZydfMPh+Wy7bqYkhBBCSBdh&#10;mqTa6NCGCMwLbdiYpoROr4U02hCyo9tg8ujt7IgynSe21SYKtsV702CyDRak0etso8pcFxXBZqbB&#10;sWJfMLWwHNL14DKEoqSPBdsiD70c5cM6My2k9wHz1jTFsK2uf9t81MaXXdfYXu8Ty7AuquxReevy&#10;2BGo5vkzy4r96fNkngMYVEhrnlMtHWUJmcvrrbukMk1Sbfrb5cI+sM400bFM1zHKZEazmm3T3EZL&#10;1yPSmPsy6wjHiDQ6HbbRbdVM1+h1ZdazuR3yw//I00yvzxlkLjel66+WwY3j1ftDucx15naQ3Z6x&#10;D338ZpnsdoT/9XZ2vaK9VK8nmqRkBUFEYbXRdrn+RVQvJ4kOiVz5dUL/Knq4aCVBHXxM5CrPSutz&#10;oleJCCEkETRJO8sX5wcekxvte7Ue3J8c6jt6YNe0MursQf6uk29Eocn7A3NT6lmkOkozjYKJe3j3&#10;TFh2vTz9JhHVDQpM92okqR9Mp50qk/TsDSqSOrhuF6Neu0GnTg5UTVJ/atiZBvV/5JwZTLt7/4Lv&#10;XVTcuf5ZYVdMCCGEkDWMaZLKv1XZxgQMD73OXA7pKC7beINgXOjtTDPHzM80oVzrTSPEXmcur7VO&#10;y0xjGy0QjgPr6jFJtfnoOhZbtfLXxpJdn7qeIdvM1NIGmcuUMo+7aiSF0suRxlyuy5KkLnCuteFl&#10;5wNFmXH11F090iapuV9XuWzpY8arNvxMaXMPstfp5ZDdrrTM84Bjd+0DauS6so1Vc5soJWnv+hzZ&#10;/YJpdLqON67uzfbsMsP1Ovs4tKluG7bLRJOUrDDvEVUbbhfrqaJG+SvRO0SdeFYpnju6TfQUUSc5&#10;TdSpKXjLojERIYTUBU3SzvKp+Vc+fnSo77N6cP+c6aH7EEUKo8I1yN9VMqashfbPwYRZn2qTFCbu&#10;kXM2qvdqytH88jQU1ZiC6wDGI9oWpm9Om0mKmzN031ONosZ1oN+nWG86ZbRqkrqm3IWUSbp7Bufh&#10;wYWC95/l2YkXfGzqVU+qzD/sEWGXTAghhJA1iDZJTePGZViY613LYZKYZg8MExgq2lyB4WRupw2S&#10;KGMman9QnKmj19n7M6XTQLbpY66PM41s6eN0RReaijISYW7BUNL1gjRRRmZcueLqTZtL9vmN2sY0&#10;uOyyuBRVb8gf6/Rx2+ZW0rqrV9ok1aanq13b0lGKUNQxm/ViLjfrEcdrrjNltj+zDZjSedV7XWnT&#10;EuvN5XHSbS7KdDQNWdMIRf3o5a7rCIoycyG9POpajdpOt2Mco1k3y0STlHSAjaJPin4gqjbiLhHK&#10;PCNqBRhkgFn3PtHNItf+WqHbRG8X/a0obfyxaJfoCyJX2Vulr4uwn2eICCGkIWiSdpbN/f/yp3pg&#10;H3rPGeP3mUZFd8sLIzIDYwjPX0xrhKw2hFA+lLM8J2XPp9fMpbpRwfUQmKXB6zUpM0m1aYvrQUWR&#10;zuE1WfmwTdVY7YDsKXcv247pgpemQb96PW6CyHtH5RxcfmBu8qUHto7/5uUDA48Ju2RCCCGErEG0&#10;SWpO0ekyHvR629DQhkWcYMKYhpNpnMBwMvPTijMqo6b+NNfFGWI6TZQ5E5d/lEzjC+ZNlGlkmnBR&#10;wva2MQRzSq+PMtagKFPKNLTsiL+oc6vrAa/m8ihp4y5OqFO7fSWtu3oFk9SsN/u4XUpyzOY5NJeb&#10;Ubxx5p3eR5zZ3ch1BWkjGmUxl8dJbxNV72hHep/mcvN4zeWmzHZntsda7dlcbx+jWR7sG+3HWd80&#10;SUmHwbMqu0ntBM/FHBZhMP0Tou+JfiGqXsw19KDoO6KrRDAEXyn6HVG38AciPB91twjH8G2R6zhr&#10;CabwPtE5oh7R74oIIaRpaJJ2luHBdb4e1N8w2n+05HsP7YdJsSpM0sA0UWaLHxwTjs2VrtNaWq7w&#10;OYwpjniluk+BgRi0KWWSznnKlE/TtW73PeoGhwTXgTJI1bbu9Sslb7i/apKev3H5lLs4Pky3W/Zz&#10;D5Xy2StLfnbd3tmB33/DmZnHhV0yIYQQQtYg2iTVpkyUOaTX2+ajNlhgsMG00YIZBhPFNjigqEg8&#10;U9pIchmV2oxzmTp6XZxJVCtNXP5xglmj6wNCPrYxp48L68z6Qr1i+ygjTxtz2M613pQug2lA6/OH&#10;fZlpzXVR5zaJ4WaaWuZxQTgulD/OOExSd/UKJmkSI89UkmNGWZEm6oYBux5tJWlfuhz1XFfmOUha&#10;d6aJGbWNPl7s31yu23JUnwGZhqZ5/mu1Z70+6ryhbet61OmW1SdNUkJSz2NFmB73T0V/L8JzNGH+&#10;/YPoL0S/L3qSaDXyRBGO/Zmi54rwTFOYvwOil4tQB1iO9ZgC+VdEhBDSFmiSdpbhgd79elB/98xI&#10;pVzwjnXaaGiJVAQpIrk8FZmJ55FieScjzeKkIujkVRlCIpikyii10lFUo1LtCRHKynQMlLaocWV0&#10;Vv/XZV2axpZcM8dERyX9AyWRbCPv3WnbLRijuj91TbmLug6fOfyQlHPfft8bXdg59keXbx7Ad3NC&#10;CCGErFG0SQozRv6NNIei1mMZ5IoGi1KUyaRlGje28QGjRa+zTR1zXVR54rZPsr6WsL1p+NkmD4wm&#10;LEcac3ktwRzDdnGGlJa9j1pGWCvOrWmGudYnUa26q1cwSXVbsw2+KOljiDtmXV+2GVrrGoKSti+d&#10;pp7rqpFz0MwNC0nasm63thlaqz3r9bXOG/oH0yxdUqc0SQkhhBBCakOTtGM83F//L7+VGei9Ww/q&#10;v+fMScOg6E7BCFJRcqHZCKPl0PyGysGdG5alTZMOnr1BGUQwSfGsSCwLpkSlqFYpuB6Cazx4j3aX&#10;KpM0fMVNA9dg2mm5HuKug/CaOSbpflkqeD8pFXJ3lvK5+5FPJ272qDXlrmmSLvjegb357MkL28ee&#10;e/nMwPFhv0wIIYSQNYg2SeWtUpQp41oPQ6LWdi7VMq60KQPZRlKcEZTEJKqVJkkeSWTmg/d6uTYA&#10;44wll5IYUlo6olEbULo+oyIcsQ4yy1nvuYUxqNO71tejqLqrVzBJ9bG3yiQ1DWc7Ta1tIfPYXOuh&#10;Rq+rRs5BEhM5KvI1SZvU29ppam1bT3uH8ey8rmiSEkIIIYTUhiZpZzg8nz1u42j/tB7MR9TTgV0z&#10;qTJMGlEJxkhorMAowet1u6eVGeRKnwahnId2BSZpYO5KuWWZmiaYolqkoD2F14ZqZ17lWml3abzm&#10;D81PV2449+Tgf1wPIjsNZJik98ix3SHvfyTHeS8MUnU9ObZpt8wpdy/YhOj8xXUoE/qjMPL1unI+&#10;e0Zxzvvby+Yzvxp2zYQQQghZg8AkrWXcRK03o+Kini3qEowMbGNHl0F6mk0te73e1mXqaJPIla9W&#10;3PZJ1idVVPSmjja0o/JqSeeVxDQzj0FHCsJEwvmy0yY5t8umMXXIjEh07aceJZkCNolgkkZFMkZJ&#10;7zeqPWvzzm4fta4hrSTtq9HryjwHqENXGlu1DHSzLPa50HUR1Zb1sbrans4zqj3r9UmPX5uxS6J4&#10;aZISQgghhNSGJmlnuGx95lcnh/qLejD/LG9QRTh1vUkamj9KahkiSafVtKJ22rQIxgnq/pqduoxh&#10;2avHQFHNCyZpEKmZDUzSObk2YJIiYtNIlwZVTVI/VylKWRdCk9S+cSC4EQImae7ekp+9W97fo6bc&#10;DdeZaVdK89MjVZMU/aq5zjRJRYcX5ryzyrMTL9hPk5QQQghZ08Ak1eZi1PS3ceu1OYF1thECUwUm&#10;DMwSc7lphGpTA6aOaWjh1WUkaVPHZcxoUwbSJpFtwsRtn2S9LezTNhFRDzqa0z4GvRzGkW06oczI&#10;z94G6bANZNexS6ZhpyPsoozOJOcWeZj1iPc4DtNYM41Nl+EGswv7MPOpt+5MmccYZaTCJDXbGvLV&#10;9YfyYh2OUbcVCGVEWrs9471uG6gPcxuo1jWklbR9NXJdmecA2+kyYnvUP+rTrm8sM/cDmfVp1rO5&#10;HaSvV1dbNq9F2+is1Z7N9WY9Ix/ka2+j6x7lWLLu9rmfJWknpmiSEkIIIWTNQZO0M+w5ZfipQwN9&#10;P9CD+e/YMnYMxkSnoq9aJRVxpqbZnAoMFT947iKeS+pKnwahzo+cM6OmGIXJi3Kr56nSJKVaqCAa&#10;06sUpW2hnSHa8jq55tHuXOk7KUS44ppAGVHu4JqQdaFZakqOBc8kRTTpUUi9t9KspC48bbxqkkKY&#10;glevsyJJD5dmc1ulv3rB/vn1NEkJIYSQNQxMUm1KucwtSK+HMWOvg3GBdVowXSBtzkG2OQEjQ5tA&#10;trCtNlhcRpLezmX6mYaIKTNN3Pbmem3e1pI2mXC89rG7zCOYPmbdwJzCNmZ92PvWRh/SmMujZJpl&#10;kOu8acWde73fKNnl1KYZZNaHucxMr9eZaXXd4DXO1DJNONNIMwWTFG0NdazT2rLLZLch+xhwDlzl&#10;qnUNadVqf1qNXFeQLkeU7G3MetTCfuz15jIt1K1ZHt2WzXPoOs5a7TlqvVlWXR+6PqFl+7p97mdJ&#10;2okpmqSEEEIIWXPQJO0MO7LDrzAH8j+8bfLYQTXl6/JB/64SDBUYjYaZAoN0f8rNX0T0qbKr/2Gq&#10;0CCl2qOStK3SnLQvuU4QwZxWk1Q9u1PeByYpbnqQMkf0T4gahQGZlps8MH257lvfe8ZEdbkySefD&#10;SNKCd0SObes+3/v7K/MTvxZ2zYQQQghZg8AkhdkgbyONwVrrYSzBiLMNExg2WOfaBmaNjqrT6bXJ&#10;oc02l8Gi00cZaDBFTJMG/5vra21fa70tmFmuY8d+7Yg3LZg1qBvT4MF75OM6Zm30xJmdtnR5UJao&#10;ckC1zi2OD3nociJfbOMqJ4TlOk8t/I9zaptUjdSdli4T8nath2CS4hV5ob7t/WCZyzjDuXelRx1F&#10;latWPWrp/JK0r0auKwj152pbrm103ZhpcV70er3Ovo60sD3Orb0/1/nWqtWeo9br82LvC8uc+7p9&#10;7mdJ2okpmqSEEEIIWXPQJO0M06N9vh7EXz/a/wCirxBx2akpKlslZaSEBuP+AgwTRMxNpfK4tLGj&#10;TF1jOf4301FUqxRcH/IeZqOfU9Gai9M8p0d4hnBgJuL/0CCV5eZ1kmadOjlQNUnP3zhcXW6apPL/&#10;Yfn/LJqkhBBCCIFJ6jILKCqt0lGWMA/jzEZtklJrU++7ZODnSdqJKZqkhBBCCFlz0CTtDOODfXv0&#10;IP5sbuh+mKSIKOt2k9TUkXM2pjqCFIZJMMWusVzeL2gji6JaKrSroG2hjcGMv/7cjal8Xi/KdGhX&#10;aJKqyPBw+uwuEYxR3b+azyWlSUoIIYQQFzRJqW4SIhd1ZKUZ8egSTdK1K7STXzn+uGNJ2okpmqSE&#10;EEIIWXPQJO0MA5ne2/Qg/ps2jajn+KXZUKytwABS0ZkiRJ5dvxsmqSttOoT6xrSi6jmLmP4UEXNh&#10;5JwrPUW1RKEpD5P0Y+edrKI2l6XpsHDzAKb/xnsVRdpl10XUc0lpkhJCCCHEBU1SqpuEKVil2UZO&#10;92uKJunaVT3txBRNUkIIIYSsOWiSrjw9PT0nmAP4H92hosqOYQDfHOjvPnmh2Rj8j6lE02z8wsDV&#10;zyINjF29bvEYKKrVMqPFb0Ak6c70XSN4jrCKcJVrBDcOKKX4hgeXXM8lpUlKCCGEEBc0SVurWx3L&#10;qNZIT7Mb9XzMZbq98JBzObWqpdvJjvwL73WtjxNNUkIIIYSsOWiSrjwTQz2jevB+dKhPRZLBJDUH&#10;+LtO6rmeeP4ooklh+uYqh3en2yRFtBzKqCJg53KVYlh+mqRUu6VN+YNnr1fXiI7AdqXthFAmGKV4&#10;H9w8gPfBdW2nTatczyU1TVLpr47s35nbumd28h8O0iQlhESAG9tEJw4M9Dynr69nXW+m54z+/r43&#10;9mV6D0v/clV/f+/Fvf09u/v7e14IhZsRQroMmqStFU1SikqJbp/7mXN5jGiSEkIIIWTNQZN0RXn4&#10;/vnMr+ZGet+lB++3TQ2pKV+73SSV8qtXGKQL4ftD89PpjiTdGUy3uwDjB2U2omApql3CzQTqelGS&#10;ZX5WmXdpiiSvlkfKqM1b9Rpe290g13NJXSYpI0kJITBCQxPUCwzP3ov7+ntvktdvSx9yp+5L6lKw&#10;7RITNdwdISSF0CRtrWiSUlRKRJOUEEIIIaQ2NElXluKOiWflRjKf0YNor900GjwX0xrg7zopswfy&#10;KuV8sEwZkCkyfrRg3CrzVpdZlqnpRBlBSq2E0NZwnWAq27DNVduknbaD0uYool3VMhUlvjRNmuV6&#10;LqkySXdPY/1DokP78tkzFvJTf1PcNPrksIsmhKxyXvrSzK/297/qL3v7X3WmigiFGdqoEdqIQvNU&#10;G6cwaMOiEUI6CE3S1oomKUWlRDRJCSGEEEJqQ5N0ZSlum/inscG+u/Vg2UWnT6hpX83B/a6UMhsR&#10;IZdVRilMoIMpNUnxrEX9vEVMI1qCfClnlz1zkepihea8vm4wta2e3jZNwnN7D++eVlPuIkp8cV13&#10;3FBgP5cURnQwxXbuoXI+e00pnz25uDX7vMtnBo4Pu2hCyCoDEaLVKXL7e2/q61/3M90v1KNMpvfu&#10;wYHer48P9d84PZq5avNE5vLN45kr1o9krp8Y7v/ScKb3h67t6lDVOA2LTghZQb53x9zFMEqp1kjq&#10;84em6UJRTev2wkOutkbF63t3FG50LY/Td28veGHXSAghhBCyNqBJunK8f3z8CR88K3uKOSh2+Y4g&#10;uske3O9GBVFxnjJUYJTiWaupOzZVrvVBdBwMKm2Owth1paeodik0ShHFjBsl0nizBKakvv6cjWEE&#10;aXcYo6bM55JesGlk0ST1cw+V/MmFUn4yV9rh/fme7VNPCrtpQkgXMTAw8MhPzTzv0YezJx13+eaT&#10;nrjnX6eeND8z8PuTA+vGhwb7Ppjp773F/M4VJ5igoi/Jdgsjg/0XTQ73n7PdG5h67fTw1Ae2TkyU&#10;d2TXl2ezW6TP3lH0J88tzk6+sZj33laczb11X957C16hi88Yf++/njxyxdnrh646fTKzMD2auXFs&#10;qP8Lrn3GKTPQu6e/v+ecwb5XvSg8XEII6RpuvX3ujU6ji6Ia1e2FO8PmRQghhBBCSGuhSdp+Lh94&#10;2CMvn505vjw79Zfv3DL2Hj0AhignmA/dNIVllBYwdaiP6TgDoxSmI6I102iSXnv2hso1OxE9qssa&#10;GFXO9BTVcoVmo2p3iLo2opuXpe2sFiMvEXEdLCsVEC2+PG0aNT89UjUc8FxS0ySV87CvPJcd2++P&#10;/PGBreNPCLtrQkgXcfHp2RPesnHw2flc38zMWN8lI4N93xoY6P2Fvu6jNDTYe392uO8np08M3Lxr&#10;w+D/vvuM8as/sj17SdH3LizP5d5aKnhv2SfvS3nvPcV89tJSPntlMe+V5TvEQdH10nf/t/Tdn5Z+&#10;5LOS/ibpU25Sr6LSXO7Tks//SppPSD7Xlf1suZzPXSV96If+48zxD7/u5OE9Z2b7D00O939Nyvpz&#10;V/kidBUiYnt6ek4MD58QQlJLt5ikxx9/XEWKWzlwaINzvUt6myuvnnSup5rXSS96uqrjj3/ylMXl&#10;NEkJIYQQQki7oEnafj7xhszj9s2OP3t/Ppd79caR/9EDXjNjGefAfncqmGIXzy1U/1dNUjtd56TK&#10;gnLtlHKFBhWWF7VpRVErImlvqv3pNhhEXUPu9J0TbnI4tEs9w1NFXKupqdU13h3XjPlcUtyUApP0&#10;yDmhSepn95T9yUxxPvf0vTMzjw+7a0JIF7All/mN9WPrshND/XszmdpG4/RY5lh+arjyr5tGjv3n&#10;WRNHr9qRPSr9byLJ94aHSn72AXm9X/5/MFymJO+P2dLrjDRHcZOJ6FjR9+4T/aTkT35d8jxY9LPv&#10;u2zb5Ntfe/LIZadnMwezI/1fc5XfVl+m9zCm5qVhSghJK91gksIYlaIquda7ZG7z+a+c5UzTrcLx&#10;FM5+ceW1F/yzc/1Kasvpf6fqeElZaJISQgghhJB2QZO0/Vw1nz1hIe8NlPypiwpTw9VnVhXWDzsH&#10;9rtbMIACA0WZkSkySTF1KMpWysPQlfd5WR6WlaJWUmpqaml7iLxGJPm1uzYoudJ2UjBJVYQrrhss&#10;g7HbRSbpnllvibFwtVzzR87ZiON4SPqBjxQL2Vfs2T781Mvn5x8TdteEkJRxeP6kR+2fX/+r7zht&#10;4Hn+hoFTciOZa2tFiw4P9h490xt86C2njlX2yOf9DedurNx43snq9XqHsFylOfdklU7rBvn/yO6Z&#10;yqH56cqhXetFG5Suw/8i3XdjWfV9uA5prts9raLXMW058r9O3l9zNiLzvftKvner9K03SX/6MemT&#10;DpXyuaIs/4gsf//rN47u354b+K/cSP93XcdnSuri4/2ZnvN7enpOCKuMEEI6TjeYpG9/Z68y4v7i&#10;2U9xrndJb/O0E5/sXN/NmvCeVzWAXetXUrqe/6XnTxaX0yQlhBBCCCHtgiZp+1koTD+llM+evVDI&#10;fe6M7OCDemALU0G6Bva7VWraYEzDGRoqeMZiWqYSRjm02aP/V1FxMEvDNBS1EgoiioJ2iGhSGKV6&#10;wN1OmwYh+hKvQZm7xyDVGhnqq5oJF585ocyKIJLU++DCbPaFxfzoky+//PJHht01ISRlbBrpW5cb&#10;7v/Q8EDfj/S1bGtksO/Y5omBB8+bGb7//Vsn7tszm71f3QyBz/y54DMfN0qhP6tXru8xuIEkqZbn&#10;pWbeOCp9/33SD/1C3t+z4Ofukj72Z6KfSv4/KvnZH5UL2Ttk+e2lvPf9t546+gM/N/Sj3Ej/Pa7j&#10;N6Sm5A2rjhBCOkY3mKQ6WhHmoGu9S3qbJebdKhGOKS3HhqmMUZYlZjRNUkIIIYQQ0i5okraf4rYN&#10;z8FzrUq+d5c30l8dzMJUkPbAW9dKmT2L7wOTVA8Idl6IaD24a4MySWFKFdVyRJYuT0tR7ZZpOOI9&#10;prRFJJI28dOk6jTVZweR2FjWTc/wPXVyoNrnvn7zqIoaUyZpwXv/wfzE33xq/pWPn59/2CPC7poQ&#10;0kHUM9w3DzzxX72+/zM5tO4tQwO9X9fXr63Rob7K9qnhyjtOn6ws7AyiODFtOW6Iwk1aypQUufqF&#10;TkobpygjyuuKQEX0KSJYgwjUk+X/adlGtvdz91xy5vjtZ28YvG18qD82mjaT6cVUxC8Oq5YQQlaU&#10;bjBJ9XMv65leVm+DaWld66nWyDkVMk1SQgghhBDSLmiSto/Lzsw87uD8wO+X/VymlPeKGJg3B7Au&#10;2551DqB1o/CMTxiiQZRcsAyDgHa6TgmDkhiEVCaPSD8PUkWZONJTVLulrhe0wYInbXN95dB8Ok1S&#10;JSkXyrd/Z/A+KKeWlTZlQsS+7nO35oYWTVI/e0n5bO+vylte9thK5WEPD7ttQkgH8Qb7Xj440PuV&#10;qOl0hxExOp45+s7TxivFOZiMgbQxipuzqlGbkKNPSIOqEaZS3qDcgXAcWupZ1aGBiv/R/xaDZ5z+&#10;Uj43flLO525912ljt+6aHrxjYqjvPld9QXh+aV9fjxdWMSGErAjdYJJKMZUQteha71Ij21CNSdc1&#10;DFO1jCYpIYQQQghpFzRJ28eBreO/WcxP/NOC7+0s+7lPfmTH0ufjrSaTNIiIg0Eamia+lzqTFNF6&#10;KBfKqCLhYJR2gclDrWKpNgizNHiGL9pnmp7jawrRTRis1zcXBHKnTZMQsa/7XESeaZO06HuX7Nsx&#10;+dflLVseK901TVJCOsPDX/GK0Sf396/ry2TWfcH8jmRqS3aw8oZTxyp7pc/B57nrWl8Lss1Vbaii&#10;b0Zft3P98N1Dg73VxzosUf+672T6e9+EOg+qnhBC2ofLJIWxqKd0hfAsUDx7EuuOP/44tczeRqfH&#10;tp//ylkqghNTsGIZtsH0t/Y2plz7vOTSIXekYg2Z26Asrryrhl6E9Db6eCFEp+p6cEmnxbb1rrf3&#10;h7rD9MIov5kurj7adQ6wTpfL3gbS6avHRZOUEEIIIYS0C5qk7aOUH3rmvvzEGeV89oqy73370u3Z&#10;JQNWrgGwrpUyH/E+jC6T/1NnkuKZj9rYCaatS22UCbVWFJqN8l61xZRdN6Zwk4GaslreB2XOdsX1&#10;s2d26c0p1+yawbUPk/QDe2cnXrBn+9STMMVn2G0TQlaInp6eE/r6XnXuQGbd98xrVAvPGT1/43Dl&#10;sh1ZNf0sPsNVRKX0kWm9maSdQn+rTNKdU+qmGj1VL6ZqPzwv9YObWPLe/fId55a3nDJyszfcf5er&#10;XpX6+94o9X9ieCoIIaTl2CapfpanS3oKW5hn5jaQNuNglGlDzVbU1Ldx+9SmnWufUYKRqbfBPs38&#10;tFBG24DUgjnp2kbL9WxUHLdeb6+DbOPWXKfLC6HMqGddh7axqdMueQZoqHadA70u6hzodDRJCSGE&#10;EEJI26FJ2j7KO8b+bzGffXfZ975W8rN3v++MieoAlTfc7xwE614FEZmluSAyLs0mqTJHVQTc2o1G&#10;odIhRDKjbapXLJP2ieigNJqPMCdQNtxkAJO0ekOEI23aZJoDV/iI2FXT7X647E/94975kV8/PH/S&#10;o8JumxDSZmCOwqST6/FO89rUOmVi4NilZ01WrtqRPSp94jHpb465rmsqEOpHqxi8Pij9NJ67fPQ9&#10;p439crs3SLOUELLimCapadbBTNNmHqIJYZDpdbZJiHR6Hcw5CHlhOaTNVZexF7dP0+hzGZNR0qae&#10;Ng2xfx05au6vauoZMg1SlOfjnzxFLcerGWVpR6LiealY7jpGKMrcRL46T6Qx12H/OpJTSx8bymIu&#10;b9c50HUIuc6BuV+apIQQQgghpO3QJG0Pl88PPGbv9vF1Rd87UPK9X8BYeNMpo9WBqemxjHOwq3vV&#10;RSapXq7MnqXpKGpFJe0xiMAOrxX5H9FBaYyS0s/6C8ocRJJK/+ZMmzbhphTd9154+iSu/YfK/uRH&#10;i4XsK/bMTz01nHKXENJG+vt7Xpjp732rXIfLTLvhwb4Hz8gO3PeBrZOVI+fMqMhRdcNIir5HdIPQ&#10;R+OGFkyPfsO5G6UepxFd+tCHt07eNrd+8Jt2vVfV38fv9ISQlqJNUphd2pS0oxft9TAEzXVmFCXS&#10;2AYijDe93lxea5+mgWjvM07aEIRcxp5eZ5ukMAX1OtuwhExDEMdkrtPmqm1eakWZm9qgTBopq4/N&#10;3n+7zoF5zK5zYO5XG8o0SQkhhBBCSNugSdpyHn44mz3u6q3jf7DgZ08p5r3P6WdGXbBppDogderk&#10;gHOAq3uVfpMUg4bK4DGN0S4xeajVqcBshFmPdiiSV5j5aTQGYNyq6R5F+hoKyp/+awj9re5737Rl&#10;PDBJC95VRX+irzg39bTLzsw8Luy/CSEtJi5ydHiw96Hd04M//9C2yXvKwVSxajpZaC1OqdusVB8t&#10;nx/4/gWTeT++k6no0ty9xXz2LvmMufXcmaHvjA323W2fC6g303NGeNoIIaQptEmqTTQYZjDGTCNM&#10;C+sh21w0DTg78tFcD4PPtbyRfcZJbxMV1RmVp46ajIta1RG1KHuS5VpR5qYZxWkbmy7ptGk5B6ax&#10;XF1Ok5QQQgghhLQLmqStZX5+/hGXFSZ/p+SPv2RfIff6ku99F1ERMD78qeHqQBTeuwa4ulfdY5Ji&#10;EFEthzHFSFKqozIMRtUePRVBleboqYM7N1Sulz5NRWLPofy48SAwe13p06D56cUbVLaj7w2m291z&#10;YOdkpjw3+Yy9MzOPD7twQkiLUM8czaw7t79/3c/09aeFyNHXbhy+p1iYqhzZPV05GE7n3b6+L/i8&#10;V1Ptq/5qUcG6oB8LbgIJX7E+/I6gvjegz1PLdZ7dIW2Y4nsovo+W/OwDpXz2c2dvGPzfwcy6X9rn&#10;pq+/96a+vh4vPI2EENIQ2iTVJp8rmhCCQYb1kL1OT0NrG3D2ett81KZkI/uMEoxGvY3LLDTXm6ag&#10;uTzOrNRlts1Ova3LSIxbjzLoSE4IdVSNyLQUVXao0XPQzHmHtMm6xJCmSUoIIYQQQtoFTdLWApO0&#10;VJh6/j4/t7Xk5/aUfO9HGJjCFJpneYPVQSgM2rsGs7pXGGiEaRIOIPrpnW43KJ+UTQ14BuWmqE5J&#10;DcKLiiJcMzece3Kqrh1b1+xcXzmye0beh9eSuoZQ3vReS+ZU5xvHB1DfKpJ0fyHbX8znnk6TlJDW&#10;gql1Ybbp607LG+m/+9Ubh2+/ajb7Q7kGHzi4c6py7a4NlQPS56Hfq97E1AbB/Az6qUCBCRr0W+oV&#10;fXEYvaq/GwTmaPBerZe+Tm/TLdKRpdeEdY0IXTmGu2Td14u+d/js9UP/ZZ8nCOdvYKDnOeEpJYSQ&#10;uoBJCsNN3ipFmXz6mZuuaWG1ceiaotZcb07X2uw+o6QjM2E8xq1fYuqJ9L6ittNCGsg0YE0j0TYv&#10;oThzU6/XkaZaLtMyquxQp86BNl/xWl1Ok5QQQgghhLQLmqSt5eJs9rji7ERPyc/9R6ngfU5e74Kp&#10;gLv4TZMUU+/aA1ndrXCgMcUmKQYH1WCnGujEIKEaKFyWlqJWVNUBeLRNT0VpttMoaFboz3DDgb7O&#10;l5gJKdWFp41X+97RoT70ASqSdCE/MUCTlJDWoczRTO9hfb1pDQ30PvCak4d/tmdH8N0AalfUKPLF&#10;d5HqZz0U9rOBGQpzNFwXvlf/6+8E4TqVl7xH34Y81PS/uswqvexHvQ/y7hahfvCdFIZwKe89KN/f&#10;bv/IjmxpZjTzcfu8Qb39PbvD00sIIYmBSVrL5IO0yWZHIppGmysCM8qIS7JPHeUYN/2tLZiL2GaJ&#10;aZdgfdR0tKbMqWXNaM848xJC+ePWa6FOTLPUNDShqLK38xxEnXctHQW7pKw0SQkhpCYvF/2vqNoR&#10;i/aLsLxT/JroHaKfinSZ8B7LsI6QdvBs0YdF5rVws2iHiBAnNElbS3HT6JOLeW9zyff+u5jP3VX0&#10;vQf1YKD5XDyapCurJSZpWFZID5xSVCe1OEAfDsRLu0SbTaPxeGDnVOUgriV5H0xdGSjN19KeWW/J&#10;oP+eHd5DJX+yuN/3Rhe2T/3Rga3jTwi7cEJIA0Q9d3RwoPe+MycHbvvgtolbpI948NCu6cq14XPa&#10;8dxR1/XajFwRoKYhqtMpoZ9FerXc2A7vMZW46teCdHqdygPL0E/jf5F8zwu+93SJ8NmC+scUx5Ac&#10;r/SH3rdKfnbvRaeP/ofLLGVUKSGkXmyT1DTAtHQ0IWQbd7W2jVpfazttPEL2PuOkTUZ7Otxa65OY&#10;pNrstNNo89K1rRlFGmXc2tJltPPTy+2yt+scxJ13yDy2JVME0yQlhJBYXiCqdqAOPV3UCWyjyhSM&#10;UkLagWnK2xoWEbIMmqQt5eGISirnc68u+d4P1LRmahrKYGDKNEkx/aM5aNX9CgYRuyeSFOVF+YJy&#10;U1RHpQbice2E7VHew4xEu12WtsNCmVTZ9HXkZ4N1oZGQVo0M9VX73/88c+JoyZ9c2Dc7MVX2J//i&#10;Y9unnhT24YSQOsHzK+W6WmKOQtNjmZ9ecubE90p+9hfStx0r+blj6npsY1+hIkhFyvzUy0Q6IlSZ&#10;m/p7gCpH+F6lDf8P0wfpwvXyqk1WfVNLsD2m38W26BuD125RcDzeMTkW6Q+9o4gqlWO5vZj3jrzz&#10;tNEPDg30/cA+p4wqJYQkxTZJ7edhwggzn5mJtOb6WuaiXm9P19rMPuNUa5uo9VHl1DLLa28bZWoi&#10;OlNHw0K2uRklbcbapqrOJ6rsK30OtDm8rM5okhJCSCyIkKt2sA51yhhylUULRhYhrabWDQMw7glZ&#10;Bk3S1vDF+YHHXLN96qkLOyb+X9HPXlL2vXsxbSbMBD0gNT2WqQ40rUaTFAORMHm6wyQNBjr1oCdF&#10;dVRhm4TQJjGYryKt0miSQqpcwbWk/kf5U24QmP3vBZtGjpbz2Wv27chtKhUmnn/VfM8JYVdOCEmI&#10;ih7N9F6lryut8aH+779p0/BN8nl7WymfPYrPXkzR3Y7IUW1Wot9Un+nol9A/qeXBc54P756uHJHv&#10;Y9efs7Fy3e4ZVRaUCc+KRz8LYfpZU0GkpaSRdLr814nwzOgbzztZpcH+EUWK50kvGqzoF1GGsHxd&#10;INQRInxxbIgslTr8oRzXJ8qzubdOj2ZutM8vokrl3J8YNgNCCHECkxQGmbxVgkEHcw9C9CCMMj3l&#10;KrTEDBPByMNyGGb2OnO9PV1rM/uMkhnZiLzqWW9OpWs/1xPrtGHoOk59jCizNhuxjT4Gva1pNCId&#10;jts2J5HGlT6u7J06B3r9sihTmqSEEBJLLZO0U9OMuspiipBWU8skxRTUhCyDJmlruCrbc0LRn3xR&#10;qeD5ZT97qOR792FQzYwsMAfp8Yw8c5Cq21U1RzFFHV79NE+3K8vkvNAkpdIiFeEEqcH24LpBe9UD&#10;8WkUynxo3rimVB8QGLx22jTInxqu9r/nzQwfk2v/cDmfO6M45/3tZfOZXw27ckJIAvDsUbmWlkSP&#10;Dgz0/mLX9OBNV+zwviLfB34g/cF96kYK+byFQdpspKX6juFQKY9odvRDQR9U7Uelb8JsHgfk8x8K&#10;ng8/pcqC7ycQvhtESadRkm2wrTZV1Swh2A++S6Ac6rtPKByzer9YxjQLfTaOUR2XOkfeA7L8p1J/&#10;35T3n3jL5tH9I4O9PzHPNdSb6TkjbA6EELIMmKQwtrSRZgtGmJ761hVlqY0y21hMsh7GnN6PqVr7&#10;jJLeBtvHrYcB6FqvI0J1Hvhflx+KMiF1vi5hnc7DNDfNKE4cI/aFV73MNjTjjk3njzT2ulrro847&#10;yhIZKSoyTWXbtKVJSghZreC5nK4pafFsUZg9SWEkKWkEtAs8q9M+L908FTIjSUlD0CRtDZedmfmd&#10;ciE7Uyp4l5V876ulQvYBRCHsn1s0Cr3h/urg0mozSYOBwTCSA6aJyDz2TgsDnoe0SYqBzVA0Sak0&#10;CIPsgbkYXENYBgPSjERPm3B9IzJLlRvXkTILUP50XlPz0yPV/jc/NXRMynpkv5/bus/3/v7K/AR+&#10;lxBCamA8e7R6PUFjQ/1f+I+zJi+V6/+2a86GIQlTsZ3R8DApYYrifWCOFkXoj2CG6ptM2jUFrjYW&#10;8T3v+nM3Vg7uWr/k+4+Zztwu7UJ5UW/47FHPKw2O51vynfayTWMDn7LPu+iqsGkQQsgStEkKowvG&#10;nI5ihLGGaVqxXBtitnEHYTmESEd7Xa31cfvUJmKUMemSnlYWxl8j6yFERZpmJcqGMppRnS4hb21G&#10;6m10lCiWYZ2ZHseIY7P3hbK59hVXdr19q8+BNkld510byq51NEkJIauVOEOnnoi3WsZQp55JimNw&#10;lQfiM0k7T9z5qcekTxMY4OMzSUnd0CRtDVfmh55ZnJ18Q9nPfr2U936BKeYwyGQO0K1mkxQDlCpy&#10;wg8HBX35P20m6fx0OOCHgUxZbg1mUlSnhOtH3WiA92HbxHTdapDaSpsW4Zq6bvd09XpfXJfOa+r8&#10;jYuRpGd6g3g+4uHyztyZe2cnXnDlKTRJCanBw1X0aH/vt/V1BGUy6+6ZzWWuvnzH5B659r8s19W9&#10;12AaWxik6jtQ898D7AhSfK8q5eU9+kqsl/f6Bg0V7Sn7hnmpvoNZ27ZKyBcmKaIvMQ0vpuUN+m6s&#10;D8xave+oCNg0Sh+XPjYYplL+X0rdwii94dXTw58YHOi912wD4fS75pTlDw9fCSFrGG2SUpQtbYTa&#10;0+maUbD2dMFKNEkJIauUVpmkANGkiEC183i5qFPoSFnTtELkIgxSDsR0ntVokoJni+xjw7XRqWmn&#10;SRdAk7Q17M1P/E2pkL2iVMgdw7OdXOabaZK+94yJZeu7Wvp4/eBZivi/XREcjWipSQrl1IBqYE65&#10;t6GolZY2SEt+VhmQB1JtkuaUERGUNyhzWg1SCDem6P4XU5/LssPSL5zFSFJC4jGiR5dMrzs62PeZ&#10;t58y8m/FvHet9AO/CKNGj7XLmKwqH5h5pXzweY7vHKovstOtsLS5qPpxZZQG3zFKfmAUd9MUvKbw&#10;/UnNauDnHpI6v+uK2exX14/232a2BdGdAwM9zwmbDCGE0CSlnDKfV2pHoGrzNDLKlyYpIWSV0kqT&#10;lJB6Wa0mKSF1Q5O0OS47M/O4q2azJ+7NZyfKvnc9BuqO7F57JqmOhNsv76+NMIk7qSUmKcrqB4Os&#10;aTZ11oJgtOHcQGqAeWcwGAvp58ZhnWvb1augfeI9IpB0/SxP13kFA+f6GgrM0rReU6ZJOjLUB1P3&#10;4/tnc7uu9b2X3ODnfiPs0gkhBsogzfRepa+dUHdtmcxcdNm28X8rzXoLpXz2+zAqcYPYftWnu6/B&#10;ZrXEfEVfo24qyVWOnLNRRXOqzwszzQpJ7xNRl4goVTeKYVlYRvX9KOwnO1G+ZoRziePC96drd62v&#10;HJhT0wr/fMH3PrPNG/yi1S4qfX0968KmQwhZ49AkXbvCM0ox3a89vS8MUj0NMAxRc52OIsX0vJiS&#10;11xXFU1SQsgqhSYp6SQ0SQkJoUnaHOUdvb97dX7ilaW899pSwfscTAM8C6vke8fswSZEL+mBpNX3&#10;TNJg8A/HfjjCJO6kYDJhEHX5QGW6yrnWRJM0SmiXQdtEHWCQenmazkuZIXJNqSkZU37jwWXbs0sG&#10;88t+7lMlP/v6/X523UJh7Clhl04ICUFk4PLpdXu/NLd+8HXlQvYNos/Ld50H9DWG69/13acVUn2L&#10;n1U3jph9jPkZYqbvhFBGVR71v1dZUCZpePOIuvElWBbcTLJ027SrWr+q/LmH5P39chx3vXpm+Faz&#10;fUC9/T27wyZECFnD0CRdu9LPOYXwLFIYouYzUvHeNkL1c1dhsJrLl4gmKSFklUKTlHQSmqSEhNAk&#10;bY59/vifLeS9s8r57BUl3/suzB1EEpiDS1qmSfqmU0adabpXwaAfpghFVMfy9Z0VBvhQtnCAT5Zh&#10;sBJRcMvTUu2XXCtHRQ/KucBA631yPn5R8rN3y/s7RT8V/UTO1Z2ie0oF774gbXsG31MrtE1RWqaS&#10;jJRcU7gBQUVqy3UFE0NdYzBQ7bQd1J5Zb8lA/lU7sp8r+ZNvXtgxObjvzMzvhF06IURQzx+1ptcd&#10;G+x/z/vPyo6V/ewbpF++Ua7ze28492R1/QfGYLsEgy4wHPG/3tfh3TOpvIEE5cPNLXg26pFzZuR9&#10;uFz6xdIcpuFdvk23CN+lcAMTzjmOrZT37r/wtLGvme1Eqb/3SNiUCCFrFJqka1cwQGGUmsYoBLMU&#10;zyG1DVIsw/oJ73lLli8TTVJCVgV4zs1GEYwZ8xmVeI/nVg6LmgHPIUT+eN5llPmD5dgX0j1d1A7w&#10;DFBz/3HPQkyrSYpzhfOBurSfc4r/sbyTzzo1QR1GlfPVombPM/LH+UO7sfcBof3iXKEMqLN2Pc9J&#10;nxPXM14bvX6irhOoGZMUdY5rDOVC+cx8dXnbeQ2uBGj/OOfm8em2gGPjc726DJqkzbF3buIF5Xz2&#10;naW894VSwftZXNTXqZMD1QGkCzaNONN0neaU4RUOAnrKKMHApTNtBxWYpFIumKTyP8qsTShXeqo9&#10;0oPDUv8PiH4u5+Oncj5+ILql5Ge/Kss+I/qkXE/QTUXfu7mYz/5Q1v1C0h5NQ7RQu6XaJsxGtFUR&#10;orMDA9KdvuOSMh4Ky6jKriTLU2aSQphmV/fB/3HmxFekvG/em/eG9hUmaZISEtLb/6oz5RpZYpDm&#10;RvtevTDnDSz4ubdL//QFuc7vwTWFGzjaaVQGU9WG/4d9C/oZfJZgv2n9TNARpbjJRUXcy3HAJK32&#10;j1b6bpIySkXBtMJepehn77nkzPFbvJH+u80205fpPRw2KULIGoQmKdVy0SQlJNXAiLJNTywzgWlg&#10;pokSDId6zBmYLNiXbcQkFUyOpGYGTFiXEYflGuRnrjeF48K+ktRDq4R91WNmonwwBJOWEfUelz/q&#10;xmXEYZlZbzZJ6hrnPs7kM4U2Uo9ppY3XRs4VtokyxV0kuX5Qx0nauF1HNiiXa7t6FHe+Ucdx14BL&#10;9VyDSYFhbLcf1CvM2bh9YTu7nu1totq0LeyvnmuPdBiapM2xsGPqFSXfWygXcoiAexCDYRg8sgeV&#10;oFVpkmpTBIOAfjDdrjIjXWk7KAzqKfM2HKAMpsGTdXl5lfVqCj85BvUK+bljkvZYqZBVKhe8Y4Hp&#10;Y6RX0S3BQGh1e8kziFSdqhpGGOQt+dlg32q7tatgsDiHQdUH5BzcJXX0Y9FtUkfflLr9rNTdx0WH&#10;5bxcV/Kn5H32y7L+++WCijJdEyapajO67UhbQjTSofkNqW4/iJ7Hta+uLfm/pPoDlDddZTaj+d+8&#10;efRbUs9vLuW9oSt2jP1u2KUTsmZRzx/t771YXyOh7tw42j+9kPcGivnsm0SfxucdoghXJIoz/EzV&#10;n80w5lTkapd8FuAzD/35tcpMDsuMvh19o/qu0LhQJ7pe9OtKC9930ffvl+88V+zI/nzjWObnS9oP&#10;I0oJWbPQJKVaLpqkhKQal0EAAZgLMBlc6+OUJCoORpZpLjUqmCJxxpImymDShlgtcwjpUGbXunYK&#10;hk4SXMZkUkWZgnGmXNQ2IGo7vQ3Mp3rPPY4tiRkHQ9+1fb1CvSfZn2tbSFOv6Yh6iWrPSU3lOKE8&#10;LrDPRq9H9BGtJO44427CiNpOb4N+ybU+To1E+JIOQJO0cS6eP+m48uzkeMnPfhqRlAfCQTuYBPZA&#10;EnSWN1gdOFotJmkxNG5w/DhuZZKmMOoNA3lHdCSpEgYus5gqbjEdjB1l7mDA0Tsmx3asnM8exas2&#10;rZTpY7xfMEyg6oCl7Av5V9PKazDI293T7LVSUp8Pie4r5bO/kDqDWfoTORe3S319V16/BdNU6gzv&#10;fyivWI8pd4+tnfpD25FX1X4CExLv03r8MHJhXuiB/+A1KHuadOrkYh983szwrdKmaJISIiiDNNN7&#10;lb4+lPp7v+tn+6f3zU5MyWfde6Sv/oxc33fC7EPkOKZddV1nrZL6TFX9IBR8dqOfwfcMfcNNNwjl&#10;vnbXehVxr/pF1UfiO1PjfaT6rqHU2X4W360QTYzPAHw+ybH+bONYhhGlhBCapFTrRZOUkFTjMgYg&#10;GESNmm5QnJkBWmH4aKGctYgz7pKYJ0iXVpO0GYNLy2XMRdUZpA1PF83WdZSS1IVru0ZlR4S6cG0H&#10;gXoNUi2cS5dB24prxlWH2Fcz7SfJeamHuONs1CRtpt3V6stICqBJ2hAPx5/ituxvL+Szp5Xy3s0w&#10;4A6qqcfcA0mQPzVcHTQ6f+OwM023KRjk8yr78X4umHovjVODYiDvejwrVQ1Qak1WSjuzQRoMwsqr&#10;GpSV41EmzxyOLVyn14ev5blsdZBSRaWqZcGriqIL1wXbhdPsIa1atwaiIWsIhqdLcl6Omlq23pHX&#10;qpW0mUWzMXhNa/QUri8ouHZkGdq7vi5SJLMPPnvD0O3SpmiSkjVPT0/Pif39vd/W1wbU199706un&#10;hv5Rro9TS7PeB6UP+gaua3UzxIr0xejzFiMvcRNare9YqZXqu4PPf9WnKy19n1yoF0jeq9fgfXAj&#10;Fr6T2elXRmgTwb7VZ/W9myYy9y9pTzRKCVlzfPv22RO/d/vcCymqlQqbFyEkhbhMAagZgxRChGcc&#10;rTB8TCGCMI4o4w5GVhKDCNun0SSFwZVkKtdactVfVJ1BWBdF1HbNtimoVmSfa5tmFBXVqXFtAzVq&#10;kGq56rcV14yrPTVb1lpttF7ijrMRkzRtx0faAE3S+hl42MMeWdw0+uQ9hYnnl/K580p+7tYbzt1Y&#10;ObQr3hycnx6pDhjhvStN98lT5mDwTNLgGVVq2k1n2s4JBs4N556s3isjRw0qTgbrpfwLS4xLOSYR&#10;zN6PnXdy5WPnb6rciNfw/fXnzKjjrA5WIr8w32Bb5I3/JS+1n3B/+B9GkvxfHchEvWHgFGnU/8H2&#10;Og81EFp9j3wW16vl+n2YDvmqaA5jmZlPmhQMGk8p4fwgOgnTN5rCcpXGsf1qV/D8uuB84n+cU9RJ&#10;GutCn0vdHoObAdD2lrbXTsvsgwtTwz+U/vst+3Zkh2mSkrWKyyDNDPTuffeZk39dyk/mSn72g6V8&#10;9qtFP3vfdbun1ediYPbl2mKUqj4kyF/1f8GrVzks+03jd4uk0p9z6NdxTOq4jO8MtoL1YVr0o/j8&#10;V9818F6+r5h9a/j5Xl2vluM12C5Ig5u1gu8ZKj/1vQfpWnfjDT7DEVGqpxU+eTzzS7Nd9Q9w6l1C&#10;CCGEkNWKyxRoleIMrTgjpBHVMmXjDL8kwvZpNEkR7ejarl65TLm4OnOl1zRb13GqdZ5d2zQjGGxx&#10;uLZphWDc27TimrGjY/FsWFc6LZxLpNHANIahbhrerTYR446zEZO0FapllpMOQ5O0fi6aed6j9+30&#10;/k8xv36gmM+9q+TnbsfgIaIo7UEjU+YAPabedaXpPgWDcNq4gYmTxmgPTAsIoxPlLGGK3SUG1OJA&#10;ojIr1Xs5prngeAItmnjB1MKSBkZQuJ16VUIewT4XhQFNvIZpw1cMViIfNWiJ5WGZlg6Aom6DAUdV&#10;NrVt8FodOMU2etrgcDtVPp0f/pfXNJprtlBGU640a0bq3IbnNzyvwTSTrRvUbrVwnQXTbaONhu0a&#10;CsvfaZl98Nbs0E9okpK1DKbYRcSoviag3v6e3ftnc88uzk5sKea9D8m1+03RQ/g81DetuK6t1ijo&#10;J9TnHIxS6fuCzzrse3V8JuDZnQfle0RwLMH3jOXpwjpWn9/BzSfqewvqRfWlgfA5r2fzUPmF9VVU&#10;27k/R4PvBovbBN93lqZpVHp/wY1NOAbvHtsoZUQpIYQQQsjqxGUIuITnDppGAQzQWhGYcdPg2oYG&#10;8oIhhXxtQwImDZbXipg0zRybZo07mDPNTkvaiOIMqFoGF4Q6NesT26Au7ONwmZ5xdeZKr0la1ygD&#10;zqueWhZlS/IMXDzTNAo7LdoMjEFsY7cP1IurLky1ypTFedD7x/EmqSPbEExar3Gy6w7170oH1YrO&#10;Rvlwjaf9maS2kM7MJ0lfFtfeSQqgSVo/b96y5bHF/Pj/V5rzzirnvatKvvdjPGsqiC50Dx5BmGJX&#10;DxStFpNUDd7h2Z6FrBoc05EErrSdFMp2eD54JinO0+H5DRUVFbNrWj3vEcuCCIhk0YtqvQhpYQxh&#10;O/1cRuQHMwsRNzCMDu+eUTpyzkYVzYqoYyxX0TgYzFQKBi4X/w+kBojVPoOBzMNSZkSy6sjWGyU/&#10;RNhcI+UI8kBaY+BT/Y88woFW/b+86uOLO06qs9IGAQbK0d7QjtDmXGnTILR/tG81QG60sWBQfmna&#10;Tuj8jYsm6ZbJgTulfv9dypnZd2bmd8LunZA1gcsgHejve8uhuclnlGa9DaW896FSPvcVeX0Q/U47&#10;bn7Sn0eBpM9A3yZCv6eX47Oy3c8+XUnhuwLqE33j4uc7pPt66TflVdcB1uO7wo3Sr94gn/noXyE8&#10;PsCUXo7vOUHEbbB9MNX/oomqjFV891Drgz5a99PVG6/CdY0Kn1UqmlQZwF5l0/jAfWY7y/T3nB82&#10;Q0IIIYQQskpwGQK2YCK4gMlUy1ywjSkNzBqsh8ESZ3qZ1DIp4wyUpAYTTB+dD/aHY8e22sgzQTpX&#10;HlCcuWnTaD61okijzhvA8ZimkittXJ3FmUZJ6hr17KpTUGt61LjoTtQJ2ohtDscRV/9QHK70plCW&#10;qHaJOndtoxVXxyDOFIzap03cuYo6P+2m0eOK204ryvit1ZfFXYckBdAkrZ/L3nDm44rbsi8r+rk3&#10;7Mt7HyvmvbtgjGHwyzVgpHXhaePVQSJvuN+ZptukBvpCAwTvYeDoqdbSIDUAiIFXKaMyl+Q1MHKD&#10;55vB1MF5wzJleIqUAWrl4xIGGlXacDt97EF+Qd7KND17w6JxuiuYrhD7xsAv6i4YmESewUBmGIEh&#10;y7A+3B+mxpP9YTvTgNV5Yb8qL5VHIG2K6un91GCppAmm3AvWYz/VfVCpkrq21PvA4MY5hTleq5/p&#10;pFC263bPqPeLA+3NDbi3Uq/fPFrtg7dMDvy05Gdft7Bz6lVXFMaeEnbvhKx6YJDKNXCVvhagwUz/&#10;W8uF7P8t+tkt5Xz2Mvk8+WYpn7sX1w0+x9Tnp3U9NSv12RN+LgWfgUE/p9djn9h3ks/jbhGOSc06&#10;IscbfA7jeLPKUNQGpn28+K5waB7fH4LPfnyPwPcAU3qZvulL5WPUa5C/zjv4LhTUfaAFfN/Im/12&#10;41L7kePEd5nwe84v14/032u2t76+nnVhcySEEEIIIasAlyFgKs5oAzAdXNtp1YpGq5c4YzBuX0mM&#10;uzjzzUWj5qZNo/nERdYmje7TpqLLzI6rszgDr1ZdxxmkAOvijg3lbTUok2tfUJzZ6kqvhXLWMmrj&#10;9otzE0ejZqJJ3LmKusGh3TR6XHHbQbX6sri+BeeJpBiapPXz/q3jT9ibnxgq+bkPFH3vi6WC93M1&#10;iLgzfhDxvWdMVAeIRob6nGm6UftFVUNuLjALXek6oWp5pGwonxqUVIODzQ8EtkLaaEUZIdNkhdCm&#10;sBxpXNubWpJXmI8yaXfBwJc8MBiKtOrYzeNH3qExLOvUuVR56fVUJxWY2MF5OaIiSZenSYvQ9mAA&#10;BEaHvs4CY96VfqX15lPHqn3w1Ej/z/flvXOKc+tfdsX8+G+G3TshqxqXQdrf3/fG4o6JZ8l1eno5&#10;n71CXr+J6wWGHK5p+zpqhYLPm0DqRp6wX9u/U09zn57vEa0Ujht1qm9qwiwckKqLMI0yQ3cFEbRJ&#10;PvujZH+/qH4vEKGf1rNnoP7VOUA/HT6OQH1fQpmgBj9z1LHKPvHZddUO78H1o5kHq21uYN3PxgZf&#10;+dywWRJCCCGEkC7HZQhoJTENYWi5ttWq13isRaeMOxedNElhvrnSayWNooyjHXWdxDgEcYYV1GoD&#10;r1FjzpVeq5YpB+LqqlYbarTMJnH7b/U0uklp9LjitkvSD8VdhxBJMTRJ6+fyzZufWCxkvbLvlUXf&#10;KfnevcrQqjGYtWfWWxyUFOF/V7puURDdtvS9UopMHAwQ4txoo0lLl7uTqg5g6oFLGJpG1KmKCpFl&#10;um3F1WtQ78gnmO7YjDjF1H56amEYbNVIEQyC6jxCM0sJz0RVr1gXDHCa+6JWWDg3+vyr6GJEG8W3&#10;h05pyfUGE8BsV470K613GtH840N995Xzubm9/tQ/XubnfiPs3glZtbgM0qFM39vKsxN/WfKz0yV/&#10;8nK5br+pvtOEnyG4pl3XUsOqfhYHn0XoK5RJJ/0ZPvsQMYnPQfQjaezjWiF8Xgd9o9RtWB/6Owle&#10;cTMMPrP1zXeN1AO20eao+n4B4TsG6lgUzESxQU3hj/Osvg8oSblQJrzHeQrLF7zWL/XdRV6x/w9v&#10;n3zIbHuD/b23hk2TEEIIIYR0OS4zQCupaRhnTtQyeuqlXcZdI6ZbI+ami0byiZuqtdZzNJPSjrqu&#10;FR2pqWVYxZlljRDXhuP25UqvlQQ97bRLtdpQo2U2ids/hJsHWl3XtWj0uJqtj1o3fJAUQ5O0fv5z&#10;fuxXynlvc9n3PlEqeD8uFbIPJLnj3zZJP7B10pmue+RVFnYG7/G8TRhzy9N0Vhigw8AgBukQ8Vo1&#10;Axsc8OtWBQOfgYqiRRMLr0EaNRArUtP9ziHCBcsRBRgM3Np5UisjVfdyXtT5UOcCU0bXvimjU9L9&#10;IAbFdZtDG7LTdULvO3Mxmn94sO/BYt7btuB7f39lfqLemz0J6SqiIkiv9XN/UsYUu372g3KtqgjS&#10;A3O40cE7Zl8/LZH0BcXwMzgwCmUZPnfQR6jPpHDZalfYN+p+vbrMTNNuhWUIhGXBTVHVc6CW4T36&#10;8HBZA0Jb0t8h3nPG+NLnk2Z6bwybKCGEEEII6WJcZoBWUuJMsXoMOxgZyAsRbDA8YF668oxSu407&#10;G5TXlR9Uy+AyaSSfuONpVQRg3D4areu47Wxc22slidIEGDCCEYj9oi7jjLQoxRlsrvRaSWimDcUd&#10;S1yZTVA/Sa4zXMeow5WYgrfR42pFfbi21SIphiZp/RQ3bXryvllvtlzwviZ6oOxnj6q75WEyhQNB&#10;UcI0u3pwCNPvutKkXeYgGo4Zps3Hzjs5iEYw0qVBMK9h3gblDcusBmgbH/DrZulIP0STIJLk+nM2&#10;qqgVRJzqwVA1MCoKzLmwrrRUPotRL9QKSOpdR/+qAXU5J7jWcB6XpU2REKFU/V/ak+o39P8d0qXb&#10;stX+d2iw78GFfO608o4N/7e4afTJYfdOyKoEhqhu+9Bgpvetbz1l7LnF2awnn48fLOWzX5bXe/FZ&#10;YHyWt9Ao1Td1LDVCEdV45JwZdVPFWvtcwedxNdJTvqfgteWRuwmEeg++KwVRptefu1G1AZwnrFPP&#10;SsV7dbPO4rmrR8FxBpqfHqm2Q2hyeN25AwMDjwybKiGEEEII6UJcZoBWUuJMMSgOmDTYvl5D1KU4&#10;Ay6ujHHbxdGMwWXSSD4wQl3poUaPx6bROmtVXbu216qVD8w8TLHq2rZexRlsrvRaSWimDbXCFARx&#10;58sl1GsrpnOOotHjakV9uLbVIimGJmn93ODnfqM0551f8rM/PaSevxcaSgk0PZapDgy96ZRRZ5q0&#10;Sw2chREG+rhhtmGAzU7baWFADoYgyqmm9oORrcq+dqWMbWNwFq9qGl5tZIWvajAbqpp0eG4a3uv1&#10;1Epo0VAI6h6vMLjTeL0tKiijikpGe1LHIOrwtfeRHUuj+RfmvI3FfPZ5l88OHB9274SsOvr6ejyz&#10;3ff391787jMG/26fn50u5r1L5PP8ZrlGH0REZ/B50FqjTvdh6nNY3gfPLJZ18h6fPfic7oQ5mAap&#10;74/hZ3KSG+3apaAcwdS4+nzgXOlnxQY3ush5a7CMKn/RfvlMgCG7eSKzZOrdkUxv0pu4CSGEEEJI&#10;CnGZAVpJiTN6oCgQ4dcKc1RrJYw7k2YMLpNG8okzhBo9HptG66xVdd3oMcbtvxHFGWyu9FpJaKYN&#10;xdVPXJltcKMCptV15RMnmKXtmNqt0eNqRX24ttUiKYYmaf3sn/N+b6Hg/XvJ9+674ZyZugYUT50c&#10;qA4KXbBpxJkm/QoGyjCgJ3WhjBs89xKREO70nRNMwMWomGBwtqSfuWmlXetSxunOYHpi1BlMLqXd&#10;05UDaOPhIKky6vSAKbar1iXrtB0K6je4IQE3J2Dg+jo5P2mc3loLZUVEGvpGtBf8j+WdNtdtk/SD&#10;Z0ycvLBj8k8Pb978xLB7J2RVMTDQ8xxp63fqNt/X33vTv830/XF5LjsmfcnF0o9/Qa6NB9vzGS59&#10;lzJI8bmBz97Fzwrc5JHG7wxUIPTZwTNip9XnPSKBg0hSrJPvA+F717ZxwmcCvpddNZutZIf7j+l2&#10;mcmsu+e04X/5i8sZUUoIIYQQ0pW4zACtpMQZPZCLuGdqNqqVMO5MmjG4TBrJJ84QavR4bBqts1bV&#10;dSPH2KroUVNxBpsrvVYSmmlDcfUTV2YXMDvj8osSzNVWG6WNHlcr6sO1rRZJMTRJ62fP9qk/KvmT&#10;by/63gM3nLtRRUK4BoNcMqcZO3/jsDNN6oXoAnkNTLLAeISRlsYBT0zhh0E+DPiV8ouRr2rwtvqe&#10;ggLTe3HqPxilMOIO7ZL/ZVkQFbh0sBt1WjVMqwPgVCulB6LNAWlMiaie+WksS5tggugbSNT1pwxe&#10;d9qVkjndLlQuTPYW50afdng+e1zYvROyasBzSGGKGm3+zm25vn8q7fBeIv39W6Uf/6p8Fv4Sfb95&#10;vbZMxmdCcP3LZ7C84mYcNYuBvC5JT6VKOEdoF7hJatHgXrzppRHp7xn4PnH59qX9cXak/3+K27K/&#10;HTZfQgghhBDSRbjMAK2kxBk9kA2mQm1lBKnWShh3Js0YXCaN5BNnCDV6PDaN1lmr6rreY0Rksitt&#10;s4oz2FzptZLQTBuKq5+4MseBmxfw/FFXnlGCUdpKGj2uVtSHa1stkmJokiZHGvPD3/yylz12oeA9&#10;t5z33lX2c/fDJMXUZK7BIJdgjOoBobO8QWeatGvpAFlgmMKITKNpA7MPETJlNSiHQb7A4GtmkG+t&#10;CnWmok3ngnqtRgjB+MJ7kRpIVcuXb0+1SFLf6lzAtMZrq42NFklN2WguUyaJ8X8HdPGZE9X+d2yw&#10;7+dlf+of986P/Prh+ZMeFXbzhKwaMK2ubu9QbqR3cr8/+aL9/vq8XA8fwzWBz8dW9yHBZ2zw3QAR&#10;iIs3eHjKGE1rn0W5BVMz+MyXzxv1+SPnV90c2Ph5xGcDTNg3bR6ttk9oR7b/7MvOzDwubMKEEEII&#10;IaRLsI0AU0mJM8Ugm1rRfjBpNopczz1s1IBrdLs4mjG4TBrJJ84QavR4bDpd167ttVz51DL3UGcw&#10;AWHS2zRqsLnSayWhmTbUaJmTgHqqZwrees5rLRo9rlbUh2tbLZJiaJIm56LnPe/RB/Prfm1hNvvC&#10;Bd+7pOR7D+BZnPVEQ+A5pHowCFPvutKkXYHZKO+V6RG8h0mKAS8zXRqEaEgY2WVMC6wNPJEZlUfV&#10;FgY09UApoksPnzMjdbu+UlR1KXWKAVPdHvQyKw+qeenrDWZDOZ9VZkMarzvINEICs9Qoe7h8pbXE&#10;JB3qu2dfYfKvL54/6Tj5pvLwsJsnZFXQm+k5Q7d1aDDT9+Zy3vurUt47R/rna6Wf/gH6cvXs4OBa&#10;PWZfL41Kzzagvivg80A+G/A9KXj+6HqapF0m/dmPc4jvTvoGnWb6cm2Sok2Yz+ofHOi9rzTnDX3o&#10;rKFnhk2ZEEIIIYR0AS4zQCsprxa5todcRk9cFCkM1DgaNeAa3S6OZgwuk0byiTOaPyxqBZ2sa0zh&#10;6tpeyza9YKi70mnB9IujUYPNlV4rCc20oUbLXA+o1yRTGMOgbhWNHlcr6sO1rRZJMTRJk3NxNnvc&#10;3tmB3z9Q8P6lXMheVvK9B47U+UzSC08brw4GjQz1OdOkXRj8LGIQtPp/MP1nWk3SG887OTDw1LLO&#10;GTSrRoZRFwyCLw6Kl/G81+p6qtVS9awieIJ6R9+D6RBdadOi4Ll2UkZpFxgYX5A2stChNvKWU8eq&#10;/W92uP/HxR0Tzwq7d0JWDfZzSEXXv23z8J8WC+Oe9NlHyn72AfQdyshssWGpPmelb8L76g1V8qr2&#10;w8+GrlVwo0swi8TiTWZoQ4tpGpG0wWP2tLtnTA7csi+fHbt8duD4sEkTQgghhJCU4zIDtJISF3Fm&#10;G3aI4nOlg2Ce1nq+YSeNO5tmDC6TRvKJO55WGVadrOtaU+faUcZxz7hNci4aNdhc6bWS0EwbarTM&#10;jYDrNm5/kCtCtxEaPa5W1IdrWy2SYmiSJgdTgF2dz/zh/sJ4f9H3PtqISXqZMRjUzSapjhTUg2Uw&#10;I9NokmLKz2vP3hAaeLlK0ZGGakw6EgQmGHTg7PC5ZRh4RxtRr+5tqcYUXHfBNLYYnMaANSLBXGnT&#10;IkSZX3/uxmp7wDFoc92Vvp16/ebFZ0JPjWS+99G50aeF3TshqwLXc0hfPT34omJ+cmSf711U9rO3&#10;4XsLrku5JhE92rII0kDo+3VfFXwGo7+q53sSlU7B6D60a/H580X04fisD891o0LbeM3Ji30z9K7T&#10;xz5a9Cf6rjx94lkHZ5RZymh/QgghhJAU4zIDtBAhWos40xOyTbFmTCHQSePOptlj0TSST70mYiO0&#10;o65hhCcx02pFL9o0e34bNdhc6bWS0EwbarTMjYIbGOKmNG7VPhs9rlbUh2tbLZJiaJIm56KZVz5+&#10;fz7zh8W8N7Avn72i1IBJumfWWzIQhP9d6VItDID6MDkWjQ5lktUx7XC7hcG8xQiZwJRRZbbSUc0J&#10;dYz2f2AumIpPPaMsHDRVkScdMMJWs3BTAuo1kBcYkOdsDOo6pUKka2DIyP9oG2H7cKVtl1R9STu9&#10;YNPIMd33To9lvnb1aet/K+zeCVkV9Pb37Da+Y9w5NrBupOhPDsq191G57m6W6+9ePD/8gFwP8r7F&#10;U+ziFVOyLn7eqs8FeZ/mPopKrmDaZJzTrJznrCwLznMzfTqeb4r+2Rvur343nhzqf7DoewckX79Y&#10;yD7n8Hz2uLCJE0IIIYSQFOIyA0zVmqa0lpllmxP435UOqmUKgXYYd0lMNBdxx4Lo2qQ0Uie1zOla&#10;0xZrYLbCuHSZSO2oawh1ExcxXOvYXHXS7Plt1GBzpddKQjPXQ1yZcV7bQVw9x9VTPTR6LhrdzsS1&#10;rRZJMTRJk/P+reNPwPSMJX9itJTP7Sn53gOHd9dnkkKIINUDQR/YOulMk2opowPvw0Ex+R9GSL31&#10;0E6hLMokDQdqg7I2PohHxUuZpcokDep5iRFGo7T1Uteg1K/UrZ7K1pkuBUK0sYo8Uu0AA+tBuRen&#10;bGy/tJl/3sxQ1STdNDbwqf1nZn417N4J6Xp6enpOlLZdnWZ3aKDv7eXZib9cyE+9tuRnb8GNTHgG&#10;pL7RwnWt1Kvgu0DwWp0KfC7oj6qGmpGeWh26Vj53Du/GLAaLN6GhTTXTr7/vjMVnRkPSXz9Y9HP7&#10;Jf8NaMdX5id+TX5UMqKUEEIIISSF2EaAS1FGadwUpxDMN5s4U6iWsYjoyLjnmTZq3CUx0VzEHQuU&#10;dPrRuHzijLK4aY6hWga3WSeuOmi0zuK204oySrGs1nFtFNnE7bNWRHStdhxnsLnSayWh0XMP4kzB&#10;pCZ5vcTdFNGK6GVAk5TUDU3S5Fw+M3B8afvE80v57Mll3yuLGjJJzbvl33vGhDNNmqUGwZQpE5il&#10;GBiDCZKmwVAYM8ooxYCtEkzTYOCWar3UoLuqbzwjc33YLnTdNzdwSsUIBkVolqbVjEC5dDSZMkch&#10;rEPZrbTtEsqAPmHWGzyq+95TxgeuO8hn3pFVhLTrq3T7Ft158Rljr1jwp3aW8t61cr3dg2nxW99P&#10;wBxD9GhwbWOZmlkA171I3ay0JD21GoTPecwQoM5/aLzr6OFm5E8NV78fQx/eOnF7sZC9RvI+f99s&#10;9oVXnZ49QZo6jVJCSCfB+BjGUDGG5hp/xbg71mEsFeOltR6LRwghqwK7M4wSzBFt+qGDTGKERZlT&#10;rrRaUUZLLYMUatS4i9suDpTJlZ8WPmzMOsOHi2tfjRplMAtd25jCeTPrFOVBOexpU13larTO4rYz&#10;hTKYRi7qoZZBCrk+oOPqEPuJ+lCvZZBCcQabK71WEho99wDP+3Vtp2WayWgDuB7t6wtpcF3hnNX6&#10;4oO2E3UNYnmraNTsbHQ7E9e2WiTF0CRNzuHTe04oznl/u+BPnV7yvYOlvPfgdbun6x50PHVyoDoA&#10;dMGmEWeaNAsDYYHkfzUo6lVNSVf6TqhaHnPQrgUDeFQNSR2j3qtGerWNUC0Vrr9wWkv9P9p8Gg2J&#10;wEAP3l+jzNJw3Qq2C7RJ3Mhxpjf4kO57N41lFi6fmaFJSlYFfX0963TbhiaG1u0q5ie3lfK5G4p5&#10;745SIftAWz6jq5+rQX+P7wWYyndZOmpVSfXreK/PP/pzrTBNI8IjKMwbCWGayvfNY+W8d1PJz+4o&#10;75z4y2J+05PlxyWNUkLISqHHo2uNIcbJ9ATqodaj4lqtWuOohBASiatTaZWiOtA4IwxmCzpvbdgg&#10;j6SmW6PGXdx2tahl3Lpkm1GNGmXIp5H9u+Sqg0brLG67ZhUVIYm6cKXXQpszp6CFWZj0C0JaTdIk&#10;Jrkt+8YFuw7wP64/00zVX6jinkcadV4agSYpqRuapMkpbxn7lQP57POKvrdxoYlIUvNO+fM3DjvT&#10;pFlBtAiOedHwSJtBo565BkMmNGeCZ2ctT0e1Vhg0Rb2rwVMtNXAaGqbmcqph4SYF1Kd6xTJ5354o&#10;sdYJ0aToL4MI46CNVG+2sNK2Wuif8NzkzROZqkl61uTAGy/fvPmJYfdOSNfS09NzQl9/7026bWcy&#10;fTcuzGVfWMzn3ivX2O0lP3sUJiauwZZ9Tqs+aLH/CW6akv/lMzetN2xQrZN+jijOPT53Fnycb7QJ&#10;fN9yb5NUbzpltPodGboaefu5O8t5ryzfvQtXbR/7ez6jlBCyAmAsD+OzrRo3hlwz+8URN07XLiUd&#10;/yOEkCW4OpRWKM5ESxK914gaNe7itqtFI3fi2B12M0ZZq+7KcdVBo3UWt10zwge7bTCbwKhzbdes&#10;4j5gXem1ktDMuYeR6douTnaerfrCYkeoNkNcmeLORaPbmbi21SIphiZpcj41P/P4g/mJZ5b97HAx&#10;711V8r0HjjRgks5Pj1QHf87yBp1p0qxgMDQ8ZryX12rkppGuk0LUGMoUPP8wiHytDuhSbZWOLtGm&#10;nRowTVHbWC1a0KZE2K5hQKobA6x0aRGehaieYYcbF+bCa1LdxND+6xJ9waFd05XJob7qdLuz2aH8&#10;RTMzjw+7d0K6lt7+nt26XfcPrPtZYf3QqaWdua2lfPYG+bx+EM8Mb/V1hn5+QfU9oeSavkbtJ/wM&#10;oNaEEDV83fx08Dkv7SG48SV4PqkrfRJFRJM+VM5790ib/nRpNrt1X2Hyd8LmTwgh7QBjp0lm6mtE&#10;9QRJuLZvt+o1cgkhROHqULQa7VCxXS0azRtGWVQEXaPGXdx2tYgzuaJkGzbNGGWgFeYgjGubRuss&#10;brtmPqTNSFAXcdPB1hLKhShL17o4g82VXisJzZ77ek1OO89mptvQaub6cdGo2dnodiaubbVIiqFJ&#10;mpzD2exxh2eHTiztnFpXmvMuL8EkPad+kxTRo3rwpztNUq+izdG0m6QqqsHPKlXLTK2IMBU1jDu8&#10;188sWwlDbC0I5v/iQHTwioHqNF2DthDFhjaxeB1OyTEsTdMuoT9A/eh+F9q5IZMpb3nZY8PunZCu&#10;pKen50Rpz3fqdp0d6r+k7Ge3lPLeZdJHfEc/O7LlkZ2hGaauZ3nFNdaW/VCpFr5n4WbBxSn2w3bR&#10;5Ge9HU360R3BjUCy7uflfPbS4uxEz9VbM39Q3vKH7MMJIe2gXUEkWknHAV3btlutHqMkhKwRXB2K&#10;ViN3niB9XLSfptG8EbEWZSzFdYRY59oGarYDrffDx66fZo0yEGXwJVHUXUCN1lmt7RqJJHaZuC7Q&#10;Puo1SmEU4pxElTvOYHOl10pCs+e+3uO1p9ttZMpeU3Z+rYAmKakbmqTJuXj+pOOumvN+r7Rz4pVl&#10;P/fhUoMm6YWnjVcHfnC3vCtNmlUdGMX/4WtqTVKYSRisM8tMrYgQSYopTs2p9xhh1EJhMLratr3K&#10;Ialr/ezPNAr9A9oEImDVlLsreD0ikm5vYf2SQff57OD/PTx/0qPC7p2QrqS/v/dio13f+d7TxnpL&#10;ee9D8jn9vWIhex+uu+Cz0H1tNKLAEJPrGH0QrmNRO/ZDpV847/icx/sFTKOupsZtLpIUckWT4vOj&#10;6HsPLhSyXyrnvUtKhcnJvWeN/Hp4KRBCSCuJe1xWq5RknM21XbsVN15NCCGRuDoULU1SAw7pkhik&#10;GqRNGslm5o2IQbvDx/9xU35inctEwbK47ZKStI5g9NroerDNLhxTPdME4AOqng9CpI2Lzmy0zmqZ&#10;pADbJykr0iQ1uDTIO4kBr6OSNagL+xzgWOPaNM67fRz4H8uTEHUNII96jOEkdQnZ5xv7R1nrNZZR&#10;L/Wel6TguO3zh/JpMzuKRrczcdUF/k96PkmHoEmanE/NzDz6an/4t/bmJ19azGcvLfnZB64/Z6OK&#10;kHIN8kTpvWdMVAd+Rob6nGnSrK4zSTGQG7660lLtEep/2fSvut1QrZG+FpU8ZVogkiuN0VwoE65L&#10;lFNfj9BKGOd4RvFH8rlqvwuV58d+pTL/sEeE3TshXYcdRTox1Lu77E9uKvrZzx/ctT643hzXQ6PS&#10;N7xoYxQ3POyfW185GJqjq/YmGOmnlsmVbg0K5zz47od6CZfPGe+bkBlNiu/KH93hwSQ9Jp8b94q+&#10;Wcp7b5H2/hfh5UAIIa3EHNNqlzAuWAvXdu1W0rFUQghZgqtD0TKBMYmIQ9uMQacIownrGwUmD0wI&#10;5GXmDcMDy5vJeyVBOV3HAZNF11NSs6YZYIS5ygFhGdbFmZzNksQk1eDDyy4n2hjaWq3pdWuB7ZGP&#10;bZyt5LlYSVCXMATtaxTHj3qIMzVRF2a7sY1C5InlOH/tbDuENARN0uRU5ucfsWf7q550TSH7f4uF&#10;7PvKfvaBG87duNwIqiHcIa8HfiD870qXVimzUQ+Aha80SSlbaA+qTUgbwUBq8AzN5emoJoTB6EJQ&#10;x+U83nuqP0rTtailBtPRV1bbgL4m239doj+4dMdiv5vJ9N4SduuEdC3ms0gz/b23/ufp3lQ5n3tX&#10;MZ/9/nXzG1QEtet6aFQl1dfgul38HoAI9mtbbMamTnKsRXlVn2Ph/850a1R6BoNFU17qB8ua/Lx3&#10;PptUlgc32+R+WfSzJfkePrwwmz1x7yufx+dLE0JaiTme107VGq+3x3tXQu0K6CCErHJcHYoWIY1Q&#10;j0lKCCFNQ5O0fsr+2J+U8t47yr53fytM0g9snXSmS6toklJJVI1oRL3PIWIwOA+utFTjgmERTGEb&#10;/I+2j8hJO10apNvDfjyjFn2H6kva3yZQH28/bTGCvz+z7rNhd05IV9LT03NCf3/vt3WbPnms7wP7&#10;/Nzb5TPvv0uF3J3tuFlCm2El6c9VXy7XbvBZm57P/rZIjlN/fwimGubn2DJJnejnYiszOWx7zX7m&#10;m8/wRzTph7dNHlPTtkv+pUL2c6XC5Gv353OvvOos7/fCS4MQQlqBHfgAYRkCKBBgYQc/wFjEOnub&#10;WqoVtYlgDNd27dRqC4ghhKwQrg5Fi5BGoElKCFlRaJLWT3Hr6NP25rNvKvrefdefu1EN+LsGd+KE&#10;wR498IPpd11p0qrAJA0GwJTRIa+pNUmlfKVCVsqcVe9daan2SEfdoF0cQOQHBksbuFaoaGmDNBjE&#10;x/tgoBqDyK70qZCUUT0/VV2T7TUblFEfvn/dySPHdJ+L5ziG3TkhXUlfX49Xbc+Z3rveffrErmLB&#10;+5hcUz+Sz+gH2vKZrPpvTOktr+p7gHlDkpFutQn9q7zqz7Sk/RbqCQYy6ghRvQfDutIG4moSjvXw&#10;7png+aTV71rN9+92NOkFm0aC550jStr3bi8VvIUFf3Ln/tkcZ2sihLQSM4ITM8PBzExiHiKdOYZb&#10;S5iNbqWIG2vWwkx6hBDSEK5ORYuQRqBJSghZUWiS1s/e+ZlfL+Wzryv5uZ8f2T3T0EDk9FhmyaCP&#10;K01a1XUmKcwYFfXiTku1VxgYxnWi/g/bTSv0X+96beW2mz5Rufv2Wyr3/uynFZsHfnFP5ec/vqPy&#10;45u/VPnGdXudeXS9lFmBiBrcDID3XgXPSYZR6kyfAqH/uG73tDIP1P96XRuuT/RJKuIo792/PTd0&#10;r+5z+/v71uznF1kd9GV6D+v2nB3O7Cv5k2+W7yQ/wGfffmn7+uaAVirIE8YXbsrIyrWLqPB0PgO5&#10;pVLfeSy50llCveB8HNo1XTkkfTIEc09/V2rHOeqkYF4GhnlQR0EUabK6itP89Ej1+zJuMMS07ard&#10;+dn7pB1+v1zIXrE3P/bS8NIghJBWgLFXRI7itd7IynoiSmHGrhSu6FhbtSJbCSEkElenokVII9Ak&#10;JYSsKDRJ6+fg7MDxpdnc7lLe+yHuml8oYJDQPbgTJXPQB9OJudKkVYhYg9GB18DYwHMQ02iSwjwK&#10;IkBQTm3odrMOX7CtcuctN1ceeuD+0ApcCgxD13btEsoDExJmZFSZwC9/8gNV7i/tu7RSbPI8IA/s&#10;r15Qvh98+SZVZle+Xa3qtQhTekoZ08vSpEiIOFLRrqrcoelQZx+aRLpfKvrZu0+bHLhb97mIwgu7&#10;c0K6Dmm/63Rbhi7YNPRv0sbL8rn8UPAIgHZd/+G1Ku+vVWafK033SkWKyjGpCHQtK02cFreTvkde&#10;g74N64I6w6syDmW5Tmvn0c1SBr06JjnGfHCsrfjeZT+i4vLtuPENN8EE56vsZz9dLEx5hzdvfmJ4&#10;iRBCSCfBc0Zd47kurZRJmiTCFSYqIYQ0jKtj0SKkEWiSEkJWFJqk9XP5zMzxJT+3o1zwvlb0vQdL&#10;fvZovQNe5nOWzvIGnWnSKm2OwuxSUaWF9JmkqjyIVJPyaUNXlduRtluEaMg4I1Lj2rZdqtesRPmD&#10;NuPOL07akG0WRJje9KELnfvoVgWRpMG1qAb1wzpO6yA8Il0DI3eqUpT/g2jS1pdVDdrjZom898Px&#10;wb5qJClMprA7J6TrkDZ8lW7LUyP9Ny3ksx+R7yE3y2fcMUQrtvqzGEaU+hxVplfQz+BGh9X0LFIc&#10;I+oN3x3U1Li7NlRNv1r9qN4Wzz7GdoiUP3LOxuCGIP29w5d8VHrUY06lU1PGhnmsBqHultSVOv7G&#10;Pu9tmVPu+lPBjYXXSPu7dtd6tM1vSds8p1SYev6Nr9305Mr8wx4RXiqEENIpkkRtQitlkmLKYNf+&#10;TXG8mRDSFK6ORYuQRqBJSghZUWiS1s9/zo/9SjE/tXnBz328VPB+XCpkH8BAfD2GxIWnjVcHfDB9&#10;mCtNWhWYpIH5iEEwRApgcDBdJmkwHRvKh4FdXVZX2rQL5iAiRJPiyqMdgmnbCI2cB9SBa0rdZvjO&#10;f13r3Ff3Cm3ckCxrX0RZc6pOy4gooLDceHawK20zggmB/Xxo68T3dX8L9fT0nBh254R0FWi7Zlu+&#10;YONwWa6f78hn3H3lvHdUmXqOa6EZ4TNefYbiWg115ByYpOnpX1pxA009YFYCtW/0XWF/q03B4DtS&#10;8H2olA+WqzQq6lEky2HAqhtFZDnyws07LvC5h6nlVf4p15K2p45TjlnXTZN60ymj1TavvzOjf8cN&#10;N1K3P5D9XFzOT43t2Tr2JxddNPPo8HIhhJBOYT7TNE4rYZK+XOTaty1EwBJCSMO4OhYtQhqBJikh&#10;ZEWhSVo/h+cHnojBmHI+d0XJ975RLni/qNcktKcPuyycPqwrpAb/gsEvDAZiUGxxmjVH+g5IDdah&#10;PKqMGKSbCl/d6dOqpNGjJq582qGoQd1auPKKUzsMUg2m7nXtsyulB+IxOC2vaP/BdOBWuhRIm6Qq&#10;+hXXqDJe3GmbEfaDvuk/zhz/ru5rM5neu8KunJCuozfTc4Zuy0MDfT9YmMvtlev+PhXV6XvH2nO9&#10;B/1KUX2GBtdqEEmaHpO0E1x/7sbK4flp6WM2qOhQ1A36YJwD1RdjytmwX1b/q+8hkg6SNJ+/7J2J&#10;Ptu65XNKTX0rr/t3wljXxxy0l2Zlf2eGaYq+HZHTUp93lvLZ/ZJurjg7+Q8Xz2ePCy8XQgjpFP8r&#10;co3p2lqJMd4khi2eo0oIIU3h6ly0CGkEmqSEkBWFJmn9XDQ/8/jijuwrirPZt5Z8779LBe8uHbFk&#10;D+zEyZw+DJGlrjSplBr4Cl7V4J+8x/Gr6W3NdB2UHijGwLGO1lCDk0aaNKve6FETV36tFiJfGsWV&#10;X5warYckwIBGXbv2220qzQVtPDAeMWA9pQaQ9cB1mhT0lzB18D/K25qBdFs4fgykv/7kkVt0X5vJ&#10;9H4x7MoJ6TqkDVen2j1tYvDj8hn8KdwUdGjXBnweH3NdB81qyWwMflb1M4d2tX5a30YFE7ETfPEj&#10;71JTvupyqGh41ZeFfVo+qLPAQA2kv5v84MufCXOpTbfdzIO2eGT3jLxHXbjTNCJMs6vbPh5Tob/f&#10;Sdu8R9rkp4v53Lv2FSZ7987MPD68XAghpFO4xnNd2ihqJy8QufZrC+kIIaQpXJ2LFiGNQJOUELKi&#10;0CStn4uz2eP2bpv4m9KO7I6Sn0UUx0/0YLxrYCdKp04OVAd88IxSV5pUCoN+fhgtES5DxFqaTFIt&#10;nJNgsA6Dk9qUSbcaiR41ceXZSsFUXKnyNTqlbz1gmkbXvrtNuBZNkxTLMBVhqweqWyFcl9pgUaaB&#10;j0j61pcT0W6IJpX+tRpJOjTQ94GwKyekq+jp6TlB2vCdui2/YdPIDXLdfxc3HaiIOsc10BrhZqjF&#10;6xNRgriG63nEQDvVKZNUmZcwQ8MbUbQBqvsy0xzVwvOw650ZodtMUvS7HzvvZHmfxfOgl61vVOZj&#10;KqCP7Aiehy/fw+8r+t73Svnc/n0Fb+ryzQNPDC8ZQgjpBM8WucZz/3/23gROjqs6F7cNZg87WSFA&#10;9vAnQMJLAnl5MXmEPF7gIc++d1XPaEaybNlaZ6p6ZLUsbBabxZDExmYxGIxtgS1r1NUzWkeyiQ0J&#10;YAjGZrFZzOIF432VJc3/fHfpvlO6XV29V4/O9/t9UzVVt6ruvXXr3Orz1bnXRqRtJBAharuuSUS9&#10;MhgMRs04jxieABn/s5jFqBboJG3DIVxFbHQHymAwjkOwSFo5MN/Rtev6/iTnuT05z/lkPuPcDacQ&#10;hEKbY6cUs+MDBWcPvoq3pUkiIZAK5x8i15QzUA6fmUCRdJMUSUUUqYi0K+28bDVriR41YTt3PVnr&#10;3G+2c5ZinCF9Idj+4uYbF83bBkd0JflcKtGkUsyQQina/P4t44bjPjmEY1uIpHgu8UxqcdeSthZi&#10;3kSIR2ekeu7Ttra7q+NCZcoZjLZCZ+eyU3U77uvteOqaSecHiKLDs9TYoW/xrOI5xTMqn1dcMym2&#10;pZUiqXin0DaMlvrdYpbeN8L5rHYEhnYTSfFxzvVbV4j6wBDN9bTt5ggsF6waFO0w5ztH6BqP0/Vu&#10;CabS6z+/euiF6pFhMBiMVgDRoWF/ro3QDhoJzDFqu26Y/UQGg8FgMBgMBuP4BouklWMhe8JJn/NO&#10;fdnMevev835qa+C7P4FTSAzrGnLoRNH8Kn6gr9OaJpFUTq9ARU/oofeSND+ZJu4JBGz5v3bUYVk/&#10;p129WK95N23nrhchRNYK23lt/MlNe9URpQERNUrgjHMOACKr7fh2ZEG4oOdURHfT85mUiC9N5At5&#10;0gKDsCd1fibp3Efnt8AuL18Y7ut8XNvazs5lrjLlDEZboaNr2RbdjiH8U9/7BNo5nvlGPeN4LiH4&#10;zZIdwbO6l/r6pPWfrRJJzQ9zolhN9KiJdhNJ8WHKwXNWiHXY+HpGk5ofF0Iw1cPJy2GP3bvoWufs&#10;8UZeph4ZBoPBaAXCgVSl2OjgqjhRpI0WahkMBoPBYDAYjPYAi6TV4+rV6VfMes7KXMb5LiIpEbUY&#10;duhE8bopt+DsAfG/LV3SaA4pNyvEDRk5UGn5m0EMCYi8mZGjyLOZJgmsp5PXdv56MSrSFRGdcRzB&#10;6lxl586Lcy44n23HmowTUYpr2Y5tR+KjBTyjWOp2jyjvJAmlIgoNzm3lQNf5taWtlnDOw1m/I2Rn&#10;e3qWvUmZcAajrdDZdeq3dDvevLz3V+hzG/txkuzfc8qW4OOGfdnl4rm1p28dWwFbPsKsZf5ujbYV&#10;SdFOBO3pquHVG51F9hzvzejbMGpCkHEfyfmpj+5Yv/y16pFhMBiMZgNRmTYx0kZEejYK+FjkfqLt&#10;uiZ5FEwGg8FgMBgMBgNgkbQ27MykOgI/fTDvp58SEReZyiI6EEGqnT2fXjNiTZM8ukKAgNgoBVNX&#10;RGtWOidrMwgHMgTsgkgqnL0y/+G0rWQ5kVQPKfvofXerLaVhO389WC6PcAbHyR8in2znNxknYvWB&#10;O2+3Hhtm3OjXuFFBSSfmCyw6pdHO5fyBYnjbUNpWUUf/zGFd57eOz6SKUj2K6KLPrxt5ynSqY15H&#10;Zb4ZjLbByKlvf5nZjq9cn7oLQ8mjf7M9A/Wk+IiB7Ag+tsCoEbY0rWatw8BXijgf1tQrT+0okh6A&#10;SCqmOKBt4n1RCu229JXSfG++8PRB0S4xvC9d56mdvntJfkPqDdt6ep6hHh0Gg8FoJuJGkSLKs5GA&#10;+Gm7bpgcec9gMBgMBoPBYAAsktaG66ZT/zCbGf1UkHFvIz5c6dxgZ6R6Cs6e808bsKZJGuEszftO&#10;wfEFImoAw1ra0reSuB9SvJXCKJx0QiCtY2RDPRglQMLRqoeUbaVIGhXZiWFvkSauSFruGYEgXA4/&#10;3D9jPdbGOHO9Ymhe27HtyGJ0Jtq6K+ZLTpJIqolncx8+YkA+LfurpSir7x4BP7Ci/xFtYzu7Om5W&#10;ppvBaCt0dyxbrttxqr/z19QP3wuRtNK50Cuh6C/1Oj2jEKMaeb16EB9IIOJ1l3gXG1XvK2o/lYHe&#10;18Q22MfwsZpx+jH0y7ZjTdYL389fKaYOQL+phyq3XS8phHCP+aDFe1fGUfVdv/cuf7S/8N6MdS2S&#10;Uht9OvDTn81Nun933cb3/MZCNnuSenwYDAajGYgrTCLCs9HiZJwo0kYLtQwGg8FgMBgMRvuARdLa&#10;sNMffv2M564Lppxr8r77EzixKnEimvMrrXN7rWmSRjHErnA2wunl0DZXOKiS6DzVDlMhGIn8QozR&#10;S/sxraBNJIWjNhzd2CqRtNzcnjrSJa5ICidqlKM3jqhpO64U44iucZze7UH5McCsT+1eOKUxj+By&#10;4Ui2p28dpTNdDcto2V8N8azjmaf1w3TeRze6vQ9pG9vV1cn9FqMt0d3dMaPb8ZpU78+obf8aUZ2N&#10;HMEBfaacTxI2hfp8ITwmb8QIk/pDNUSra5F38UcY6P/VUrB4LIgh3OMgzsgD5YA+J060KURS3Gch&#10;klL52kEklXPBo64lAw/3wZ6+UiJ6VD8LiCqFvceHeoHvHMp7zhUzXuqfd/j9v/X1iYmT1ePDYDAY&#10;jcYbiTYh0sYVxEYi7pC/yDODwWAwGAwGg8EAWCStDdesGfqdWS/9T8GUsyXw3JshRMBxudgpV5oX&#10;nzm8yNljS5NUyggTKcjMY07SBjprqyUEE+lQdBfmhNOU8uvLpS19q2g6ZhGVWWp4vVaIpIhiRZ5K&#10;AXnSaR+LKZJiOL4oRy+GF46Cec04jIrU1aj0nEmlaN9wShcohz9MoriBfN3w3pW0Xr/nEeKIKKvv&#10;Hqby3zfS1/WktrGdnctcZboZjLZCZ3fHt3U7Pn9F/x2B7zyM0Rsa+lxD1BLClnw+xQcICRXo9BDe&#10;4p3EQ14hzuF/MfS22B4+xkYM414O+IjHdmyYpYC+RousceYsvRXvAyiDEBpRLlmWpIql+GAOc8EX&#10;BFKQttfrvSs8n/+XJl3xsQ1d5xDd86vo/r97Pjv0yvzH3vls9fgwGAxGI4Go0P8i2oTIMOeIjUac&#10;IX+bkQ8Gg8FgMBgMBqN9wCJpbchmT3nmNdnh39zhu525jLMbDsT9Ys6ueM6gsLMH/9vSJZIFZ52r&#10;hoCT26OGsWsVkaf9WUS6yvxKZ12y6hrRjuWGkG2FSFrOiWtG1MQVSWUk6bHXAnG+cqg06hNCbzno&#10;IYPbnSJaR4gD6YWcWu7fknyRtF52A8IBPtigdvb0tZPOL0z72tOz7E3KdDMYbYXu7o6f6Hb88TOG&#10;7go894ndKrLQ9hzUStFHCoELHx0UI0iT2L+D4QhL8RGX6mOESCfsYnSfH6fvAUp9xBRmGLYPoOKI&#10;pOIYUQbck+KxuP9JFEoh3sO2iw92MPQ7lvoeWNJXQ7e/q2DX6XkQw/vSNQ7RtbblMiPL9k0Pvvoy&#10;x3mOenwYDAajkcCwtTYhMsxmDLP7L0TbtcNEtCmDwWAwGAwGg8HQYJG0Pti5Kf3GvJ/+JPFXed89&#10;GmTco8JpF3Ls2KgdPeAX1qesaZJLQ2z0pUCRRKcd7gWGY5P/yzznhBP42LRJZrNFUoiLUVGdplgJ&#10;0TOuSAoRq9SzESfqE45l27FRjAPbce1G4Zimtq0jveFcR1RPYkXSrStFHuspksJJT+3s6c+tHb0i&#10;XroAAP/0SURBVL7TtK/Lli17sTLZDEbbAO3WbMdXbUg9hPbdiPkpi3ZDClyIxLyenlE8q7b0iSDZ&#10;Dz2cuBZ3MffoMenKMM7Qt5V8TKP7TizxEZQtTVyRVEfGmmJjqQ+NWk307/gQSrYlyiflOZymVobn&#10;JdUiaZBxvpSfSnXMZp3XXP3h7ueqR4jBYDAahbjzkIJ/T2w0ECFqu7ZJRJoyGAwGg8FgMBgMEyyS&#10;1gdz0+6r8p6zJphyZwPf+RmcOHAqxonyGB/qLjh7zj9twJomqZRijCSiNlDeJM59iHzJObLgsFOO&#10;YOFoTF5eo9hskTRq6EE4fufP33AU6SDAYZjpuCJp1HMRZ/5QzJFqOzaKceoOorDt2HaidqBrBzUE&#10;A4iGcWxRswnx9ivvXSkc/7b91RCikXDQ++6h81b2/1Lb1p7ujluUuWYw2gqIgNbtGJTCqJwjtO6R&#10;nXgWMZ9xoW90Fw5uXZFskZTyuFd+GCHyL+ZNp+1yTuZ4LPdBkEYlfQ9GhkD6qH4ldiQp3rF0eaiM&#10;ws7r8qIdJEgwxfsA+hwzv1jW086b85IO9nWySMpgMFqBuHN/go2ehxSACGu7dpgQdhkMBoPBYDAY&#10;DIYJFknrg5w3+JIZ33l7znc35TPu/iCTfhICACI9bA4ek9nxgYKzZ53ba02TVEohpiiUwjmWyLlJ&#10;lXBScNaBwrlYP6ddM9hMkdScJ9UGMzIG7Rz3/dFf3X1U7S4JqnchrJZifKex/fhSjFN31Zw3WYTT&#10;vPi/iColQiBNYtRRIZKU8l0vsQdl3adE0g1u76+0bR3o7rpEmWsGo51w0lDfu/9Zt2Onv+soBKFG&#10;Pc9FIUvaEvSVGK5biF5GuqQQ9QDbIYaepfxWIoyajNPvqA+DrMdXy0r7O5QV71riYy91r2DzkvQR&#10;DN4HxMgFaKP6fqi2FE5bLcNTVcxMiyHWhUg65zunzk6xSMpgMBqKSgRSDMfbDMQZ9rcZQ/4yGAwG&#10;g8FgMBjtBxZJ64Nsz+uedc3k8lcG/tg7Aj/974Hv/gzOLERjSIGitAPL/CJ+oK/TmiaxVI46IZLS&#10;EkJZEp2puBd7IN5CGMU2kW+53ZY+qWymSBp1LQw5iIhhiFz4GIDu/VHiQ4/++p6nVZKSsF3LZFT0&#10;qkarRVLhmMdzbdnXKorIIiFsaJFD/y/zaqZNCs1hGetVl0IkRdSbn35qpK/rSW1b0wMdKWWuGYy2&#10;wXx21Qsmhjov0O34jFSPGDo+zgdY1TBQoiMELtG3k/3A8yT6z1DaVhN2GM+7EN/Qt/tYh/0zbWA8&#10;ok8rh0rnwo7Daj4KEmUUdl4u0RYa1R6qIfobcV9En0TEEoJpFfcliua8pBeuHkZ7ZZGUwWA0A28k&#10;Qmy0iZBhXkVsBv6AaLt+mM0SbBkMBoPBYDAYjPYCi6T1xTUrO34zyIyuzHnO9Xnf/VXgu4chBEQ5&#10;sMJfxF+90bGmSyalk046U+WwniJi05q2tRTDAFMe4QCWEQ3I+7HpksxmiaRwykbhttwXRaQInPUg&#10;2nnedx6j/B1RSUrCdj2T9RQzTT58153q6NKIL5LKDx+SIpLqCB08g4WhJhWxLZy+1dR1B5FDi7tB&#10;naK6tUj6+fUjh0y76g32vFmZaQajbbB9nfuqicHu/yi043TfUfSxjfrwAc9jDktD0ML1kjpChMgX&#10;bEgNfTmGxI2Dmy59v/X4WlipSArbLt+3iu+J6ItF5Kb6v9WUtl22zzkljoq+qc4jd5ijsHxw1RCu&#10;wSIpg8FoNCoRSP+L2KyozThRpCDEVAaDwWAsAWBIA3Q0ppFHB4Wvc5o5ZMB5REx2beYD/2M7g8Fg&#10;tBVYJK0/ZjaOnBJ47vmBn57PZZx74SySjqLSNL+Ib6t5SeGs8+Q6hn+DMxWRhcekSwCF00446vC/&#10;FJK0aGpLn0Q2SySNiqpBHgLfPULpDlM7PxJk3KNwfmK4w8d/fY9KVRrha4XZKJG01mF85XMsopYQ&#10;NXuI+BTxMDFy+OCGEiKj+T89gxA3kE/BBEUXmUTexHNIzx+eRTFEZhkbGZdaJL1w1eDT2qb293Tc&#10;scc7nYcXY7QddvnDr58Y6v6hbsubl/cfhSDWqH5LPpemGOdKkTRBIpwm7BvyJj60gC3BUuyrzO7F&#10;iSLFCAe2Y2tlVZGkorxF2w+hOEkiqSZGUpkX74MQdPW7V/147or+wnvzxtF+tFUWSRkMRiOB98iw&#10;P7oUmymQ4jpxhNs5IoPBYDCWCGDUbcYexCTVzYLt+poMBoPRVmCRtP6YWTfw8u2T7t/l/NFNge9+&#10;M59xD0Mk1SKLzdnTvvOSKpGD1iF0zG+ZWDhwzopQmgTRl9GucK4isnQ3lhkINvWNcGgUmyGSlouq&#10;uemS9x3Nee6RvJ8+HGTST0MknN2EaJb0wmP3LV2RFE5oMZQ0RFHffSDIuPfmMulHRflLPNeNpozC&#10;lGKGiCDFUtkZLFuVr3LE84e8Ib9mGcLpqiHKjg811jo9R7RNdfu78znvtJcoE81gtA2CDc7/dPu7&#10;HtBt+cJVgw21N+jLtfgmh3XFUPXLEynCQbjF/Kz6f9gSYUcqEONg8+Ogmj4nDqvpl8R8pFhX5YRI&#10;msRIX7z3CpFU2Xbzw5hw2mp48ZnDhffmwb5O3HsWSRkMRqOQVIEUmCTa8hHmvxAZDAaDsUTAIml9&#10;gA4bUbkYksFWp4iKxXZExqIjbWYHz2AwmgwWSRuD+Wz2mZifNJ9JX57z3R8RH81n3KNwGgWWyDPT&#10;2QNiCN5wmsQSTi9FzFs2v6XoFEsi9TyayCOEJeGwo/V6iTSNZKNF0vnzNywcPvSUOtOxuPe2mwtp&#10;hTAOgVn8L+uxHvlLokiKZ1YJB4gcfSjw0z+l8t4RZNz7sa/Uxw+NY7Gtot0KMUO1YwiQzc9PZYTg&#10;gjxqUUPSnrZSCpGUbJDT33VU29N1TvfknqmeFynzzGC0BfKr3/lCenfoHO7rfEK35YtWDzU2cl0I&#10;b/KZzGUcsUS/nkSRdJd61qUNhHAIG2hPW4px+psnHrzfemw9WHm/pMsqiW17Ni+XH/Co/5NC2GJ8&#10;OCfeB8V9UR/zWNJWw/BUFdunHBZJGQxGo4DRC8N+UxubLZACcaJI4eNlMBiMhgLjkdtEJhhGiFDV&#10;wDakLIjr4HrHM1gkrQ3orCF8xh1D3yQEVR6/nsFYgmCRtHHITY++OjedHsj76X+d9dP/DTFJzCVG&#10;SyksLeZAX2fB2XPh6YPH7E80lQMMnMNQd76MaLOmbTFxDyCUzirHHRyrc7R917QUb+o9JFw92WiR&#10;NMphC/H0+g9NCgenbr/yHkMoxb2vT/6SJJKifGgvEAmoTT8c+O73At/5Bu37OrWbW+h/zDt8tNnD&#10;2hZEUWNdiKNKIE3qs6eJqCch5Krnr54fKeC827z0Iuf5R1YNLmORlNFOmFvb/dIZz/3rwE9Pjg50&#10;NU0kFQKW6BvxPDpCNJXDuSbHpoh3KCXmir5I55doioflePOVFyvLHw2MrmA7vh6suF9CGfG+RcQ7&#10;DOwm+ijQPG8SCFuMdy35fqhZ3zn3TTt/+bqRp1kkZTAYDUDc+T7hZ222zxT6gS0vYa4gMhgMRkMR&#10;FdYOQa8aRAmBuN7xDBZJqwfqpxpx1CS+nmIwGEsMLJI2Dtt6ep61a/3wb+amnXfmffeLQcZ9cG6T&#10;cOxYh8vzR4vzK2E9vD/JFCKZctyJ6DDaBqeqTQxuNfXQdNKZCqeqJMogRNJQ+iSxkSLpTZe+X53B&#10;jp/etE/UjxCzlHNWHKv+R70tVZFUzCnsuT+icuao3NfS+nw+434n8Jx76f+jzWvrsq5l/ctt8n7I&#10;oQ3FvmOOSR7l8J1KXEdZPPkM2tJWSjjm//2skYItHezr+tkub/xvWSRltBNym8b+PJhKLafn+7Kx&#10;wa6ndHtueCQpsRjVjQ8ZXPlRQ4JEUjzj8iMLaT/EdrGszIZgntFywMdBtmPrxWr6Jdh8MY+zLwVH&#10;CJFJFEnRfxYiXEV+5bthsX3VzvGh7oKt/+BpA4dZJGUwGHVG3KFs4WttRVATIkRt+TGJvPHogAwG&#10;o+FgkbS5qEUkRYdli9CF8Ffp1z7hc5hMIjBkri2vlRKd6/EGvEzYhtZAW2qmMM9gNAwskjYe28/q&#10;e03eT58GcSXIpH9Iy6f3bFaRVIazB9Gj2tmDqFJzX+KpHJVC6FDOMDhWkxiVqSPusC4EJuVY1dGQ&#10;GMIPjr0kOYU1GymSRjmMMdwgHJ5os0JUFk5OVW/T7kJO3f+lIpJC8BTRoxn3CJX3XuJ3qMy7chnn&#10;CmrrXw4yzn/S/3dS+3mE2JThdkXkc2EdS/yvhH3cGyE6Lj4mqYRDv/BBgnD4oyz1qUPci43GBycr&#10;hrq/ms8sfwuLpIx2ws6pobeR3fl44DtfXT7YdVi350aPMlF4JvX/iCSlZ7UZNi4uYTtArMt3DvmR&#10;BfIM2yjyLuYZxz5a1/ZSLOV6uY+CNNBvmNeuNysVSUWULJUDSzk3qSuGtBVTCKg0SSHug7hPot7R&#10;fnBPVBnqRPPjwveO91F/zSIpg8GoG+JGabZKII3r50UkLIPBYDQcLJI2F7WIpFH3qtJ6tZ1DM2mA&#10;AFxrBKnJ4w1oV7Z6AKt9xhmMRIFF0sbj8uHh5+/e5P7xzJTTlffdzwV++qED54wv7A6JcOH5la7e&#10;WN9hyRpNiIzCaafEHAghtojZVhN5EvmC4w7OVU0l0sCxd2DLhBLJjj2+lWyUSAonbBQWiZLKQXvM&#10;OtXfUhFJ8WzC6Uzt4omcl57P+el/Dabdj1F5L8/7zr7Ad+4MMs4hpIVIqgWFhpLaqBheUTmahcN5&#10;Gu1Z7QunTzAR+SQ+ooDNoP/x/NUr/xBz0gPF6KKtE32XskjKaCfQj4wTZ7yRvoBsDz3nD54+0lOY&#10;X7fRIqm056MLdG3xXOIDGAhdSRJJ9WgQIp+UP9mP0z4Q/ThsYuEDLdhLOf9xDv9DPKV9993+XWX1&#10;owExNXz9erKaSFIQ/QDKDl6/dYV4ZwmnSQLlu5ZbaD/yPug+rHaeu6Iokq51eo/kMs6XqH9mkZTB&#10;YNSKuAJkqwRSIMo/bpKnTWMwGE0Bi6TNBYuklSPuBONxebyBRVLGkgeLpE3DidesXv7KwHdOz3vu&#10;VwI//UDedw/DcQSRI/BdMYSe299VcPicf9qA1SmURMLxVYhuE8v0wv4t44lyrIYJIWye8oh8C+ep&#10;oo5MQVkwhKm6P4X9rWSjRNKoKNKH77rzmPRwfMJxjgiWA+dMiHuONpBkkbSS89Jz+jTd/weCjPPd&#10;nJ/+Qi7jnJfzHQilOfr/v6msDxUd9fbr1Y+IEFXPEdohtcddZ48WoruS+CFCJKkM+zYvF/nHM6aj&#10;oeQzZ0lfIS9bWxxqF/zUmcNZFkkZ7YT86u5X5D1nDfU7t+NjnTNSvU17L5AfXUh7TrZOrCdNJMVI&#10;D2IYV7IZ6Jt3Ir9ecb8WEGErsZQfYGgb4y4cuGCDGEa3HNAvyo9SFMXxxevUg9WKpCDuEcqHfiiJ&#10;w+0WSHnER0fa5gfUloQYj7YWTlshLz5zuPBsDPR20rVSX96ZSXXsWD/82qvXskjKYDCqAkaTixto&#10;gmjTViDKT2mSp0xjMBhNA4ukzQWLpJUBXwzZ8mgSQy+Ev3zC/+jswwIrxrs/3sAiKWPJg0XS5uHD&#10;3d3PvcYb+uuc55wZTLvbcr5z38Fz5DBpgRJJs+MDBYfPOrfX6hRKKuGsk1Eo0pF4/daVC5h3MJwu&#10;KYTDTgh8cNr5aelIhSMY5RDOxzTdm4mFeaIUS1tflkaJpFEOY1skDeoCw7vCMbtv87iMBiTWI39x&#10;5olrlEh6w4cnhXiOSNGc736Z2sLHaHkxHX9VkHEPzPru7bT+ALX1p8WwzQ1uEwGcyGh7tC7EevVs&#10;adEC96FeEZjNIuyEjNRerhzlymFeJ563omhDJ4a6f031c+asN/rWr09NsEjKSDTmTznlmTPrBl4+&#10;N+3+HbXZD+X99F3z9H7QdJGUlngm0QcmXiRF/60iRYW4S//LuY5l/sV243/YyzjCJCD6GbpGYe5k&#10;nEsM41vMS62sRSQVVOWT5ZSR9MekaTWp7vToAfi/8GFMOF0VxIgr+tkA6f58OZhyuq7d0PeHN7JI&#10;ymAwqsMKos3/1yhiKq9K5wyFH9d2rjDL+ckZDAajbmCRtLlgkbQyRJUZjPPVEzprvCRAID0ev0Ji&#10;kZSx5MEiaXMxn+15wZzv/Fk+467CvIZwSMJxBJEU4sGn1wwXhtUDMQSvzTGUSFL+sdQRpRCAtcM1&#10;iUS9C5F0GtFs0tkqy2A4GaksQgDEdk29rwVshEh685UXqyNbAwx7aOYnjtP4JzftXXRMHMapO4j6&#10;wunuuzfn/PT7gunRdYGf/nTOd79J2+6h+38Y4npzBHO0Nd3eRJ4WMJdxOwqjmvpZ2rt5XERv11Mc&#10;1TSj8TNjPbeTPTo9n3Heso0jSRkJB0SdXRucN5ENWk7tdhvZngcwIsP6dF+hTTdHJJX2RgtvyRNJ&#10;x4RIqvvtwKe8UV6Rx0Ukew6bjvwXObpw6LFHlMUvjceovxCRqHR+OWeytF1hmyVtcfXvBTWJpOpd&#10;y9yGMpr/J4X4oEq864r8yvtmS1cpw9NUfPqs4f07NqYGZjcO/SmmulCPFoPBYFSCeo/GF4cY3jcu&#10;4gTDgMdjkAuDwWghWCRtLlgkrQxR9YWvlRjlwSIpY8mDRdLmYyY78bwdG5z/mfOcD8x6zg2B794H&#10;p9/+7HLhcBvo6yw4fBo9/1i9KaJPQCUuCpFxOpmiDpyJGC5W/A8nKOUzn8E8sNJ5B4eoXJf/z1F6&#10;OPngnIXzVZ+nmWyESAoHbCuBKFYzP3GcxkhjHhOH5RzjT9H+IOM8GHjOj3JiSGzni9QGvkC8kdrz&#10;XbR8Un/U0AzBAM8QniXpoHcXdtE1EdWMZZI/PihF2ABRb6JcEDbq5yjX/ML61CKH+RfWjuzL+c5Y&#10;LuO8aX7VqhcoE8xgJBLXbRz9jZ1e6j2B5348yIx+lZ77x/BBgSmSYg5GW9uvF7VIirlIEy+SFuzH&#10;qLCL2AYxToxwkB0Xo3SIIeHVsPDgz7+2X1n8aPz0pn2F8gubJepDUv8vbZler86W1SaSFm2oXqJ/&#10;SuL7Fu6NEHB1nVJ+i/evNg4a78wXnTH01TzZ/O0bBt/0FXqe1KPFYDAYlSDKj9ooVuKTjhtF2qqh&#10;gBkMxnGKdhFJ8VUKDKnt3BDLsA8GtNIQ/zAwTCuiDktdC8R2fJmDdJVOIB1VN0kUSXUUZjjfOiqz&#10;0Z1WVH1V25aqAe6zrgeU3cwHxvrHduSnXhOeo95Rt2iHaN/m9XR7j/ulVjNEUrN+wvkFsa3aZ6YS&#10;4B6Y10d+KvmijdGmYJG0NbgmO/ybs9Njb8tn3CnMUQrHpJgfM5Ne8Ef7Cw4frNucQommrwRSse6K&#10;yI0kOVg1kS84UoWjUTk4hcNzuvg/HHmF7SiXcsTiWH2eZnIpiqRApfkJR5/GYTk8+qu76R47d9C9&#10;n6c2cTDnu98LPPceuu+P0rbDtBTR3rZz152IYBLXkk5wvY7nqml5qDPx7MCBL8QE5SgXjv06lgdR&#10;dtp2Lh/sPkLn/9IuP929e+PAH89MvPt5yvwyGInEtd7Iy8jmnEHcT8/FL8jmPAVhyXwnaJZICjuj&#10;RcLEiqQijxB0abvKKwg7uYhUJs04UaRII/t+2F+cU5Zdf7Cih98tzhUt3xF0xGklrEUkFfdHlVuL&#10;pBCI5T1MFovvgaML1L7FNt2+auXEUHfh+fjoqsFvzXrOmbMbRt86n3VerB4tBoPBqATwg5n+uGYw&#10;rn8Wvs4486UiTa3+fQaDwagIMGQ2gwRWK6BEGeRKhS0IRWFRKoowpJVeA6LNecRKrmMSglVc4x1V&#10;N2GRNErcikuUywZbWk0NCFpxOi+IUvUSB8OIqi/Ue6OBtoHr2K5fishztfWBdoT2G6feQbTZsAgY&#10;96UjirincYA2GnWPShGCaSV1ZLMDOId+7rC0ibOajCUOFklbg56eE56xbZXz28GU+78DP31B4Lk3&#10;B76LuQ6P/uvq4YLDB1GlNqdQUomhduGUxLoWQCCMtEpUjCIcdns2LxfrOThDhcOumE/tYBUilVqK&#10;7RBRPTmnKeav1E5YfVwjuWRFUjiX1VxvcYb/RT2EyxHFOGW8+9ZvHs376Z/mfOc/6Xn8Ts53H4QD&#10;Gu2kWUI/2qB+ftAW4YzX875Kp/3i9O1E1B8iu8T/tI6yms9VPYh5nLXt3Ly8/3Decz834ztv37V+&#10;+Dez2Z5nKfPLYCQSc9Puq+gd4FyyPT8im/gU2aEjeG6aPVe5EAbxfAq7nHCRlP4X+Y3BuH0dhEt8&#10;1IERI/D+AhuMiFR8yLZ/y3IRtVoUS3FulQ/kR/wv7Voc21aTSCqorklEnmFjsbSlbyXRfpCv4v2C&#10;WHpsumpoztn73vG+H1BdrN3lY7SWwZeoR4vBYDAqQTU+uloZ1w8fpUGYLOXLZjAYjIYhykDBsFaD&#10;KIMc13BC9KjFsEMw0QJKFCDy1CoogRBw4og+UWUKi6RxO48oIl822NJqVlP3qMNGCKVR+cA149zj&#10;agFhrpa2UWmULeovSuiLovlc1UNcB8tFfOKlxXZcJYQQHwel2gHKWk4gBcPPFmOJgUXS1iF7wgkn&#10;5Tb0/HbeS/3zrJ/alPPcvfmM+/juzeMFhw949UYMAWt3DiWP0mmonZZa5IGgeGza1nJxZJt0NAYQ&#10;SfF/IZ3aBxGUKJZwShIxVxyG74PDVDgAjXM3iks3kpTqmepQ5ykOzDKU4y9uvlEdVRo/3LcD9/ox&#10;urf3U34eDHz3kMgXHY+20vD7K9qdam96nbbvEiJFuF22HyG0XL91BZVD2wdZHlnWY9NXyvDcdP9+&#10;xtDTeT918a7s6OsvmZg4md5oTlSml8FIJHauH309vQdcSs+EGGYX7Rp2B8Pu63Y9PtR9TNuvL+l5&#10;hOhGSxEpSevN+kgkLosiqbQlYk7SUBob4/SfwPz5G0R6GX0qyw77hb5+17QazrZgo2UdyXzI/+Pm&#10;B6xFJM35jrimvjbyefCcFYm6V2GiLe2me1eoL/FOVRtNkXTrRP/3Z/3Rs+am3b9jkZTBYFSJeviS&#10;K2Vc/2fc4KRGjkDHYDAYViRRJI0jesRhHKG0UjEwirheOURdrxEiKWiDLZ1mtXWPzq7eomW5+xPn&#10;HlcDdPC261XKuC8KEEhrFeu1SF0vkbSUsFiv51MzzhdipdoB8hgn0pdF0iUOFklbjx3+2G/l/fQp&#10;ec85L/DdW4iH3P6ugtOnrYbc9WV0hRRBZNTAPiGSJs9pBwcoIkV05AccnUXnZzGdpogKgUPPcEoG&#10;viPTi3JLh2ojxbRGiKRwCLcSmJNUtBdR/7KdPBajnKUcxzY+fNed6qjSQD3g/glBgIh127kaQtUG&#10;5XMj2x+GgtaRyovStinhuN+fnVBlxPNDyxLPWjU0h9rFHHU5z32Ens8Ltk+7r1KmlsFIJOhl+8Rt&#10;q3pesGtq9B+o3X4JNuiGrSsLYtfFZzZxdAlDtNL2qOn2sAwhkILIGwTJnEd9h7Chpe1JnBEKgAfu&#10;vN16vEnx7iD6ijExGgWiTPExWMGeKdumbZ227zbWIpLK9xWsy3cQbJtHJKmRJmlEPeFjGZ1HEQkr&#10;1qvvC8zhqDeN9f5o1neFSMrD7TIYjCoBn109fd3lWEkAi56my3YeEPt4yiwGg9ESJFEkracxx5Cc&#10;UajntcBykXFR10uKSFoL49zfShAnWhGCXT1FMJzLdp1qWS7CFi8Tcb+miqJue/XKf6k6xTNlS18L&#10;y70ElXpu4kaz1rN9MBIIFklbj2w2e9Jev/+3Ai/97rlM+sNBxrn+I6sGH22aU7SuLDoGhYhI/x/U&#10;DsRF6ZJB4fj14fBUka5RjtZp6RwV0Q8qjRhuj5YoM6JShbCF6FR9TJ3ZCJEUhGO4Vbjv9lspD6oe&#10;laMXc46WQxxnNnjTpe9XR5QGRFSkRXuAIAAHeDNFASHAg+KacPy71JaWi7zY0rcTRZ2iXOLZUh8l&#10;CMp7XS+ekeopOMrPGR+ASPpLus5mzPOoTC2DkUjcuLb7ubk1g38wO5nqpecjwHNvRgSGo6Txf7j9&#10;14+hDzPoOcUz3Kwh5eNQiKTqnULmVdpN3Y/YGLePg5hqO94krlkQSSkv6PfxjjNXeD+Q6cQ62Toh&#10;BAr7dyxrEUk1cW68g2CpRx1I0v0yifrCCBy4V4X3KVouanMVcosxHPVap/eXLJIyGAwGg8FgNB9J&#10;E0kh9NiOA/F1Co43w+4hQJWLJIsSSOotkpYa3laj2SJpqehWW9p6EPeonsD9tV3HRtRtrWJYOcES&#10;1zAFPaRHtGi5Y6JQj2FrQf1soQ5s+yulzSEX9XzWwnJfntX6nLJIusTBImlysH2d+6rdm8b+Je+n&#10;33ftZOo20ymK4fZszqHE0pdCD5aYI2tvA4XDWgkHMCIbhHMR841a0iymTCOdoSpyVqxLx6l2bDeC&#10;jRJJ68VK86edzaZoBofyN6+8SKUuDUSgQgA1z2djnCjSn9y013psoxlknEIEFObX09uxLoQJI227&#10;UooJ8pnQooG+1/XiF9anCrYS/Pz64UO5jPtdutba6za+5zeUiWUwEom5tWMvzU86b6Hn46zAcw+g&#10;TWM4d/NDDbN9o73r7fWmtjno4xD5DeEvnKbVhCApP7yCHUG/je2oK7tdifOhDID+y3Z8pUSdQegu&#10;RkkqClu/mPUQSXFefR39EQrsbhKFUgjL+qM5/d4UXq+U560oiqSnj3TfyyIpg8FgMBgMRvNRDyGu&#10;EkaJpBBJSg05iu1REXlRw6NGRZOGxRdcB6Irzhe+HsTZcoIYGDV2epTYExZy6iF2lRrK1JbWRtSF&#10;Lg/uT5z2Um9BqlKBDOnjDnMbRlT5UBelgLqJGoK2VNtF3drSm8R1zeNxDPIZflb0sxX1HMWlTVyP&#10;c17UPURkpNVAeyj3IQMYZRsqbQNhMpY4WCRNDuazpzwzP7n8lblptyfIpK+ZTPc9oR0/Ew2fh6wB&#10;xFC0GQxHi3WIiVKQtKZtIbVIiggH4WiEUEr5XeTctFE4PCFuKQclnHwoJ/2POdP2bR4XjkrhrAwf&#10;WyWXkkiKOpEOUxmFgwhcEVEp6jW9cOixR9QRpfHEg/cX5o+zEeJnOUBsjTpHI5kT7UU+G7rcaDtw&#10;bterzbSaOsJaD+NZeK5UeevBc1cUh1scH+w+Ss/hr+g61wf+6Dii9JSJZTASidnM0O8E3si7qb88&#10;L+e5/4U2jWfG7C8xF6lu4xhaWm+vL4u2CLYYEX/iI5Zj0rWWWiQtfHQhPm4qLbLFGZkAqPVjGdwv&#10;iKP4KOzAlnHxcQjqc9an7SJNsX/TrI9IincW1Wd4ch12N4n3DnkSc9SjHsT9U3WCpSV9HF6wqjhn&#10;78Rw9/15L72G5yRlMBgMBoPBaC7iiF71ZJQQEhWlFkf0ihJSTNHGBAQd7IeQGnfc83JiUZRIGJXH&#10;cuJi1L2KqlcbbOcwifKVyk+UIA1WmpdyqCSa1CTE7ErF0lL3tVyEMID6sh0LlhKry0WRRuUf7dBs&#10;T6XSRuULx8dFuSjSKBEZKNduouo4rkiK51iL+lgizyBjiYNF0uRhdjL1/wV+estla0e+oR0/4LbJ&#10;6p1IraFygAnHK3FaDk9nT9s6QpDCnGJwborh3yivOhrDlv4YUjrpWIbgJZc4FyJo4SSNK5LGdeTW&#10;AgiPjRQEqxFxC0KAqjsdWfmLm29UR0QDZYJz2ywXnMpxIkgBOKn1cc2lfj6KdQABEeu1RNUkjRAz&#10;5reMy7KqeyueLxH5tThtNcTQoxiSXNvJD5w2cIjOf3vOd68NJt1BFkkZSUduevDVOzPp1E7fvYSe&#10;j++gXeO5MSMBs8aQouvc3kXPQL0on0uiWh6gfjGJ0Yj4AEl8eIF8KruCqHxbWvQL+BCmHNCP2I6v&#10;jlJsRt0V3nlEHuU+077XRSTV5/TUdYloPzqCP0lEnQjxlvIb6PyK+ijWSaX8hDFnrzvQ9TCLpAwG&#10;g8FgMBjNR5JE0lKReHEEKiBKhIkrgMZFlLgVJcq0g0gKoTAqaheIiposJQjWgnICWxRR5+XKA2jB&#10;3MYosdJEqSjjUsMel0oPlptPVwP1jXumxcEw6iWSRt3zuOcpJwqXuk9xRNK494ixBMEiafJw9dru&#10;l+7KLO/Y6bsfG+nrfEo7f/zRfquDKLHUjkDlHBQRBGcnUCQlwuGqHXfCeadoS28jnMuLHKA4XjlK&#10;sV87S8U11LYwm4VGDi1bS6Qr6gr1A+cuIpiu/9BkLOd2LWi0aGyjaFvCISzbCZZwZiOSGfsLonGb&#10;E/dSlIUoyquepxyEjVDaWnix4SAf7OtcuHYy9UjOd78eeOlPUN3+v8uyznOUaWUwEokd3tgf7cy4&#10;Z1B7vora7u1o15hzU/cf4XbekHnK6fmEWGXaJhFJmkChDf01PkKSHzSB2q4emzaOCAngo5zwsbUS&#10;NhAfYGF0AFGngthXXK+PSCr7T92fYInrJvF9q0B6JxLR0rQuh5fX71CV0xRJ+3o7ns5NOasxfPWe&#10;qZ4XqUeMwWAwGAwGg9FgJEUkRVScLT1YLkJNI0oMqlRELIdqBct2EEnjiE1RealEeKsEyFdUBG85&#10;litXlIBXSoAMI+r+hlEuQjaOsBsH9RBJUX7b8ZpxP0Iod55SHxiUE0nj2gjGEgWLpMnDtmzPs/LT&#10;qT/c5ae73z/R/3Xt/IEAYHMQJZbCcVn8H0IQBLBFaRJAOOlk1I4SST3paMRQqLb0JSnKKh22haVY&#10;l9GkcFoWrhM6Fk7QZqGRkZO1DgcsxWQppqPOfrhvRh3VGMRxPtedfvH+ayc/hIjdRCGwm2nblHim&#10;IPIIJ70okyoXPQ/VOsJL8YxUT8FBnhkbwPXup+27A889Z3bKedstZE+VaWUwEokZf+LPgmlnMvCd&#10;gJ6Vn6Jd46MJIXwpImJat3MQ/+t99SBsr1jH86r6MDHCgqW/ajX3U76QN9hL1FHg2aNIwTjDtjdq&#10;yPXb9ze2/wKQd92PacEY9+6G965M5PuWJu6bmHdX9wmq7zPfGePyig1O4bno6+k4NDftjM9k3L/a&#10;NsEiKYPBYDAYDEazECV2NYKlxLx6CJxRQmu9oxuj6i0qv+0gksZBVNRlo0RSAMJhOcEsilFCadR5&#10;4yJKaA0P+Yy82NKBcaOn46AeImnU/YZwXQmi6rmU2Bl1TKkoXcZxBBZJk4ltPT3P2D058udfWj9y&#10;kekYvfD0QauTKJlEBBkt4fTyXTEPFaI/7GlbS+GQ1iIp6NF25bSrinSsdHArB7Nw/I3KiAklGJmC&#10;GIukduKePHDn7erI+qIRkUORhDNYO4CpXEIgBT1XCBFJFCOqJrVtPO/6QwHMyQda09bAL6xPFWwj&#10;+PkNeKbcu/NTzlWBN7oyPzXyl5dcMnGyMqsMRiKxa/3o6+mZ2Uo8mJ9O/xJtGx8YmCIpaA4r/ek1&#10;I4v21U7Z/8kPN+h/IvrrRIqkKpJU9qvimV+0XzPOnNQA+hjb8bUyTn9YD5j5F6Ij3UcMcS4jWI/N&#10;VxKIvh1CtxhqV7U39IWl7mUUTZEUzHnOCKat2JbteYF6xBgMBoPBYDAYDUaU8NYIlhLzGp2PuGIQ&#10;AFEJ+cFwpziu0ujFKMEySuxpJ5G0HsJbLYDAGDVUbRRL1bMtbT0Zvm7U/Yw71G4c1ONe1TOvUecq&#10;lZ+o56beQ2kz2hAskiYXeb/7FbMZZ+N6t/cB7fyZGOqWYl7ISZRIahFQiCNuYRjVsOM3CRQO6cJw&#10;byo6pQpnnSaclMK5LByWtE2cG85AObQqHLxwYGIIXtxPFknt1OLhQz+7Qx1dHzSyDuyE8EDtSjuE&#10;aRvamn4W0AYKkVxtTJRBDs8pnx3xQYBwgBfLXU+eu6K/4BifGO4R9oWu8/Ncxrkw5znvnFvX96pt&#10;23qeoUwqg5FI5NeN/GXgOR8JPPdm6icQCS36hnB7H6f+X7d3DL8b3l8TtV2ipRZJC8PQh9O2mPuy&#10;ywWFTbXs14wTRQrcdOn7rcfXymYB/S6uV/wQBWK36mNE35K8e4g8YW5ZOV89bUMfgX1V9BOXrR0p&#10;PBeIJJ31Rzpz3uAfXN3N81EzGAwGg8FgNAvVCBblECVolBLzovJRD5YrC6L8kIdahnPVLFVGIKpu&#10;WCStHBBLo+bKtLFUlKYtbT0Zvr8QF23pwErvZxTqca/qmdeodlwqP7U8N4zjACySJhe71g8/fy6T&#10;Tn1mzfAN2gEEfmlSOZPagXC4qiWG3zx4zopIp2arCGEH+ZoV0a9a2Dk2XVUUzj/QoXNjWEAplGrn&#10;pa6PZuGH+2dkvhrAh++6U12lNGzHRVIIbO7CPbd+U52hemBowkaW30rKuxQepFCKdjWn/sd+vVwK&#10;RHsW4k7h2ZHllR8f1JcYbtTt7yrYxfefNqhEUveOIJPy8/7Q6+YRSbSwcKIyqQxGIjHjuX+dn3Iv&#10;JVvwQ+IjaN/oI8Jt3hxa+vzTBo7ZXxPpORVDzNMS/SCWSRNJdV+JD4yksEZ9agn7GffDIy0wNoLN&#10;wqIywPZSnWDuZ9QX7p+tLbWayFtxOHa8C2F7dfm8bF1RJB3q7Xx0znffkdvg/Pa2Hh5qncFgMBgM&#10;BqNZqEawKIcoQaOUoBJ1TD0YVRZEotVDHNWMEo1qEXui7lXUNW2wnUMzDpIikmogP5W0ofCwu1Hl&#10;qRfD9zcqv5XezyjU417VM6/V5Cfq+uF6ZRyHYJE0ubilp+dZuYzzrsBzLxrp63pSO4EyY/1WR1Fy&#10;CceXdH6JObL86OiPVnBRpAWcjMa+urBwfiWUYV05o1EXqJdf33Grcnk2DoisacTca5o3X3mxEEoh&#10;RoYBRy6GP7QdF5ffuuoTC4/dd486Y3wgP4gebWTZjyHdZyGOGv9jKMRd0+mFfXS/dZRs0p6Faogy&#10;4Bmao7IJxze2o51rGmnBeoimiKTTNhHDkF4zmV7YgyF+M+63cn567Ors2EuVKWUwEo2ZDSNvzfmp&#10;L+Q895dBxnkS7dsmTq5zewttHlHU4f01kZ7d8AdCpebQbhULdeI7Io+wI6VE0jijGgCN/GimWVgs&#10;kiKKVNcT2WOyiQWbnDCK+ynyi3so1+UHZfb0pfjxM4YKz0Wqv/PX+Yzzlm3ZVS/AtBXqEWMwGAwG&#10;g8FgNBhRwltcASWMagSVqGPqwVJzkkbNC1kto0SjWsSeqHtVqVBlO4dmHNRDeGsEkK84w/CGh4iN&#10;Kk+9GJ6TtJrnpBrU417VM6/V5Cfq+jgf4zgHi6TJBb6Cnzl75K07M+7U+1f036ydQIN9nVZHUVIp&#10;nJjCuamcX2oOxnC6JBARKnAqCjHTsr96SmFY1AWcgsIZSNvV8HiYmyup878ljXDaf/XS94s5RSHI&#10;2pzhEEWx/b7bv9v8yFGicN7TPc9lHBGdJZ3AuPfYHxpecAlQCqREtS6eHSG2IKJJRk/bjquFpmCE&#10;dfHM+s6TgZ+az025y5QZZTASj7lp9+8CP72N7ASG2j2M9m3rC7LjA4U2j/Xw/poI0VGIj8Rp+bxi&#10;9IckiaSFiEjKKyIlpT09lhg+Nw7w0ZDt+HoxrlBbK9DP6WtqgRS2GEvMty4+TlP/J47URyCPUjBV&#10;70gV9hcfP6P4wczYYPcv8tkVrzvhhOxJ6vFiMBgMBoPBYDQBUcJbXAEljGoElahjaiXOHRaogD8g&#10;1jOCVDNKNKpF7Im6V5UKVbZzaMZBPYS3RgH3utwQvOEhd6PKUyvRxsKRq0A1z0k1qMe9qmdeq8lP&#10;1PXLPTeM4wAskiYXl7x54uTAG/mTwHP7vrzR+Zx2AoEXnj5odRYlkRCIMO+UFEvlkH5yLk57+lZy&#10;b3b5wvyWcSlqCWedPV1N1I5dsSwO76uXqBdJPQQdsxThWIXAfP3WFbJ9EYNCnVH90f/NidSUjmkZ&#10;OYo8oO0Y7Ye2H6Q8ijnYlto9pTrGcNVS1JH3QG8/Jm2dePVGR0SPanv4iTOHIfA8FnjOT6j+P3/d&#10;VOoflBllMBKPuUn37+jZuZra7n1kQ0qKpOYcvPLDgMX7a2PxYw7xYQcR4lVSRFLY8WJEJOyM7jPt&#10;duaBO29feOLB+5WMuBj4iAYf2GDkA9ux9SI+0Gk0UBYMLVy4LtUL6gejFqB+IHRj5IJG2uNaiWHS&#10;RR+u7yfaH9YtaW28YFXx44HRge6f5aZHX60eLQaDwWgWMMIi/GvwX8JXXgtwLvgJ2VfHYDDaClHC&#10;W1wBJYxqBJVmzc9o4iKi7XqaENJWEN9IDCOq3qLyW4vYU+01bbCdQzMO6iG8NRLo1G15M2kC99iW&#10;RrMRqOY5qQb1uFf1zCueKdt5wFL5ibo+v3gxWCRNMLInZE/a4428bMek85bAd8+dTPc+qh1B40Pd&#10;VmdRIjkN8QhOV/U/rcs5xZLhfDWJiIv57LjIr3QqwtkI0au+eRXCnbqGuJbYLpd7qW6QDzg3xfyO&#10;6hjmsYTgCMe5GBaS/tfRv6KtibqlNIX6bRzldWUEpYxwMu+pjBxFHpfa/dTP8N6zl4v7IAVpWWYt&#10;uISPqQdNscgd6FrY4Qkb84ucl9ob+M6W3IbBNykzymAkHtd5w38beOnLqA3/lPg42jg+PAi3e3wc&#10;pds95icN76+N6rlFf40l2bCkiaR4bxD/U96EXcfHKE2w7/Uk+gCMGmG+A4h61+9HNTKH+yjOJW0w&#10;BFK80yS5nvZvmRAfO2FdjMKwqA8tz3NXFEXS04d7vn3N+pW/qR4tBoPBaBZMf3OtPjYdjBTX38hg&#10;MBiJQJTwVq1Bq0ZQicpHpSJMXERFkUJAjUK1+a1F7KlnHdnOoRkHSRdJgai6BsOwpdFsBKJE+vBw&#10;wLWgHvcKw1XbjgcrzWs156rluWEcB2CRNNE4cT57yjPnJ4deOes5Z16+dvin2hEEIprK5jBKHLXD&#10;i6gjVCAY2SJlWk0RdaEciiL6lbYFGUfk2Za+Liw4BDWxHdeXDkNddzKNOoZ5DNGe4NSXDmfUF5yt&#10;8hmR969+9Sfvi3Tcy/ukzi2iRIvXgTiKISKFQ3ypkeq00EYFVbmxXdXNovR1JD4S0Xbw/acNintP&#10;9/hWuu6/7/RGh3LeYK1f8TMYTcOus5035zznosBL30bt+GG0cdsHFeY8vG5/1zH7a6MU1cRzLGxn&#10;wkRSsqXonwvbxNDAOs+L0yaZsFV4/xH/o+/HiAdivb7l0H0U7iM+vNL22pa21UR9gKbAi/td7Fvs&#10;RHnQPv3RvsJzcVaq5z+2n+W8WD1aDAaDUS/oaclso9wB9Ywk1f67cn71pENPzxceiZDBYCxRRAlv&#10;1YpdUYJGKTEvKh+NMKxRkYboFGzD85qoVrCsReyp9po22M6hGQfHm0jaCEdV1P2sZydcj3tVz7xG&#10;DYVcqh3X8twwjgOwSJp83Li2+7m5qdRwPuN+HVFT2hlU/+H2GkNEBcDZBWeddsKK+TctkTKtpo5K&#10;FA5LRSEECcddA2nUDYi60g5OiLb7s1JUTmL0bVIoRFK6d4V56xS1s1g6X+tF1T7EvTIEQXEfdV7k&#10;/LZJHVq6FqIdglK0MNpsYWk/rh40hSJwR2ZMRJjRdb+600uv2eON//VcduylynwyGInHbMb9q8Af&#10;/Vjgud8hO/UA2rlNJP30mpFCu8dw0+H9tVHaMmHPxDJ5IqkWF/U7hdiulu1C0TdQvcoyKFup6j2c&#10;tiZOS1tcfK+gayf0gx30I2Zfot+9bGlNom2iTFPpviP6uThjpGf/dRvf8xvq0WIwGIx6QfvPKvUd&#10;H88w/aAMBuM4QJT4Ua3YFSVolDLIUUJOI77aqFU4iqq3qE6nFrGn2mvaYDuHZhzUQ3hrNKLqGkJd&#10;GFHpS31tVQv0l1qlaBvmuRrU415FnQOMm9dywyCXegZqeW4YxwFYJG0P7PRG/iXIOLv+ffXAE9oZ&#10;BH5hfcrqPEoSMfwonK5CQFLE0GphMSsJhGMaQqmYU1IJW4goDaerO1XUhBBkMb+lqCfsw/ytoyIS&#10;BPtYJC1PtC8d0QkHsaxHRBqqpeWYyijbg7xXahudW6zj2tiHpaZOs0SIcsPRL9qmao94RuRzgjq3&#10;H1cvYphRbf/WpXsXDp6zQj6zvjO3c2PqPXtOP/1l89nsM5XpZDASj1zGeVPguR/J+e43yX79Gu3c&#10;JpJi9Aiz/w/vr5XCRipbBjuaLJG0GIFZsOvCxh6bNsmE7YS9kn2R6h/QX9W5HLK/I4o+SNZTku6n&#10;SXzkoutEtj+M3lF+pBRRl/ScrHV7D+tn4oyRrmt3XTD8fPVoMRgMRr2g/WeV+o6PZ5g+eAaDcRwg&#10;SnirVuyKEjSiDLItvWa9hZBahaOoeosqYy1iT9Q1MYRpJbCdQzMOaq2/ONCCGiKJy0X2hlFOjLNF&#10;JzfiWYhCNXm0AWIrop9LtZ+oe2UTi21A/duO14w75G7U3MMoQynU8twwjgOwSNoeCM52/meQSX0q&#10;57vfc/o6i1/Np+o9L1n9CUegEJTgtIMDzHcXDm5dYXUCt5pwugnxVuRTbaf8Nlr4OYaF68O5KYcV&#10;lNulaAqHYhIjcZNC1I0QvDfLKE4hesOxTvuEiKqd0zEpBVBQHgcHbuE8tB33BHO/IUIa92Ypitl4&#10;hlGuOarPOfHsSmFU1k1l9Vktw1Gkn14zLOqd7OLTgedeuTOT+htlMhmMtkF+Q+oNuSnnfWTz/yM3&#10;5d6Lti7sSKj9XzflLmr/+N/cXxfCXor+J7mRpKCwO0JcbI7tqRdRnxD2RB8PG6rzL/r7OlKdT/RV&#10;yk6LETwS2DfpERdEH031IetE034MiGPQRleNdBdE0nWp7o/NTEw8Tz1aDAajvaCndAPgQ4NPT2/D&#10;Msq3Cf/gCmLY94X/SwVtID3S6POaU1tpH7H+Py6j/HLIh5k/BDTh2uGgCe33C/vGkQ7btX8V/5s+&#10;Qpwvyp+O9CiXOTod8otzlPIL6vMj76gjnB/X0cfa7kmUbxhEvZvAtSspB4PBSCiiHn5tuCpF2Kib&#10;jDIUplEJs9q8lEItwhEMs+7obIwqY1TdlBN7ou5VpdG2tnNoxkFU/dXrXukOH0R9o/ylXihMIE3U&#10;kK6g7SVDd9ilWO7+VINq8mnCbBOl2l3UvQLxMhYHUc8nWC6v2G87ThMvJ6VQy3PDOA7AIml7IO+n&#10;3pDLONOB7wT/tnrwPtNRiiH4bA6kJFE4NA3e8N6VKnJg8fZWE45YODHhpCuKlOWddXUlHL+0FFEm&#10;6to6mhX1CIcinJ2Ivgg70ZmSRUFvVDr9xf9yHwTTQgRPTIrhJ2kJB65oy7ptiG3yelI8XLpDIqMu&#10;Ub7FZTTap2irxx5XT5pRpOvTfXRN5wjdk6N0j+/Oe+6/Xbdx6E+VyWQw2gb59enX5Txnmrib+vif&#10;o62Xsu8YZrcxfT+eYVoKeynFqkSJpET9ziD6ZmXXtR1uF6I+Ie6JMnjoT/C+gX31LYe+h/o9AtdD&#10;1H0SP67CR0b64zTRj4i+RPPY9JqoRwjnKePDwUmn6+z5rPMc9WgxGIz2gvZRRfmM4QMM+zXxv5ke&#10;/i9Qi3mgLTBG+wNxzrBvUftl4ccz/Wk4pz6/SfN4G5BG77fRLJNOG/ZRat8k9kf5B22+QdOvibrS&#10;+TbrDQEkYei8oB7M+jSJc5j5x3lwnJleXw80r2OWA3WI/TpPUT5OBoORQJgiS5h4uKsBjrOdDywl&#10;5AC1iChhwIAiPY6zGUogfH6T6NRsKCeQglFljKqbcmKPKRraiPJqw66/QiolXNmO14wDs4MKs9p2&#10;E0aptolyolzhe4T/cUy5+xMlKJfqNEGct1S7CAP3AfWP86GjLIVy9xREec3r4t6i/OG8lmp3ONZM&#10;Fybyp4VS5Bvntp2r3PMJ4sUj/LzpFwxbepNRYm0tzw3jOACLpO2Bazf0/WHeTw0HGfeivO/eOjHU&#10;XXCUjtO6zYGUWPruwoFzkjncriYEofkt48IJW4j0aCmls1M6zeFEhKNY/g9xDmm0CMgsUgulcAxj&#10;jlCxTVDd05L3Vm6HYxn1jGEA5Tx9jqhntAu0YcwXi/PbxIylQlE2qoM5XQf0v3C8q/2yfhYf0wiG&#10;o0g/u24E+Tqc892Hgmn32zszqXPyk0OvVCaTwWgbBF7fn+ycdNbs9JxrqD3/CO1dCJShZwBEf6+f&#10;gfNPGzhmf9UU/Qc9y3ieIVbRNswTmaSPPmS0Idal6Cfrpzn2p140RVIhlFJ9i2W9y4H7Ka6BUQ+w&#10;Tc4Fn8S+SvTRaGei7Rm0pDUJ0Rx9sNkvvHd571B+9epnq0eLwWC0F7SPCr5D0PTHmr6/sG8bvjCk&#10;hx/OFOsA0y8atU+fF2nAsO9SpynlNzR9vGGY10E5dD6Qb+xD3k1/nvbfha+lr4H0WMIXqf15OCfy&#10;r69j1h2gfaDh7ThOB3TYfK9hXyLypPNv3hNbvZjlLgVdFpzLBI5FvhgMRhvBfOjDrFbsihI0bIbH&#10;RJRIBWqjGBZU0AFAjMHXNXHFIxhQM51J3aGFjb8tbZhRZaxF7CkndtlYSqCzpdWMA7MDDbPadhNG&#10;3PqulKVEcwD33HaMSXTc4XuFdoJt6Bh1B22yFHCc7lRrZVS7q+Yauu2biHpmaqHtqzgTtTw3jOMA&#10;LJK2B3ac2f9bOT/1j4gmzfvON64KzU0GAcHmREoaIa7kiHOb5P8icjOUJgnEXIsQwbQDU4tCMuKj&#10;uZTRMkRcW5Dy5Mn87M0uXzhI+UQ0BRyGwtGo0zMFhVCqRFIhjgrnsRzSr6zAB0FU33OkRVugJeoZ&#10;zlkdaZXENlwPolxw6KO8iGCWQrGsA/FMiLopU4d14uK5SPtEew8yziHKz4+JQeClzsitcn5bmUwG&#10;o23w5TXpP8j5zljecy8j234b2jtsuu3Dl+z4QOE5wHp4f9XEkOT0PAsbqfqXpImkZv8mbJCw382x&#10;P/Ui6lMPtyvyru+x+L/+FHVUOLesr6T1WbivyFPhAxzKr7y39vSaiLa+zh8tPA/gOWPd77jkkomT&#10;1aPFYDDaC9pHBZ902GcNwO+l09j8baWgjwn7vkyfaVh4DUOnK+U3NH28JkyfZZTP0YT234XTm9eA&#10;3zTK51jKl21DqbwDpi8xLLACWpi1+bHN+i0Fvb+S+8lgMBIK86EPs1qxK0rQKGdUqxECy7HUNeMI&#10;YtUwqoxRdRNH7KlG7LLBlk4zDsxOKMxq200YUW2zWpZ7cQBsImetjAJEW9sxlTKq3VVTJlt7bMTz&#10;iZefci8UtT43jCUOFknbA/PZnhfMbhr608BLpQPPOQCn0sbR/oJjyO3vsjqRkkV3IRCik5zPEdTO&#10;MXv61hFRrhBJpYPRdMaWd9w1lKKuVB6UkxVO7ULEa5jmscc5pWMYDmJqg0Q4iXFfdaTwIjFaOa7h&#10;sJUCOYaelMNfJsm53GiK+sG6crKLOio4sJvXvsJRpJetHREiEtmSJ8kefmPWcy+a8dy+mXUDL1cm&#10;k8FoG+xcm/q92Um3k56pD+V895to8/gIw9Y3nrui2O+vc3uP2V8tCx+DKHuHdSnUJqd/1rZX22Jp&#10;h45Nl2SKD04o/2J0AlXP2q6G09aDhY9ZiLN0TWxL2nuX6JuRH1EHso+O079AxP/CxuI8vb3dHXdf&#10;Mzn0yuwpJzxTPVoMBqO9oH1UpQIzTH9aJX6sUsdonylE2XI+NX2OUn5D08drwvRXxhUCtf8ufC3z&#10;GqXOZUZ3xkWpvAM6L6UCM0xdIAzTJ10K2kcfx9fMYDASDvOhD7NasStK0ChlkE3UW7yMuma1kXEw&#10;hKbxNhl1vVrFnqj7VYo22NJpxoHZCYVZbbsJI+oa1TBup4XOut4Rk+Wgv16qhbavojSqqctS7bGe&#10;z2ccgRSo9blhLHGwSNo2OHHX+uHn533n7bPT7rV53336Wm/xF/QXnj5odSQlh1LMk8JTWkSlQYyE&#10;w86evnVE5OH+LeO0PiodsUQpltnTN43KiYgl8qUd2wUxz3OFc33f5uWiXpNYt62icMTSshAdpR2x&#10;SvATkaW6btV9F/VL6eapTue3TIgIILRZW4TXUiLqBxGkBUG40M6wVMJpE2kOMQphCM8n2nnOdx8P&#10;vNTenDcynfNH/3HPxMSLlL1kMNoGc2vHXrp7cvlb5rz0GrJHB/H8wd4IOxV6FswPBjA/aXh/LZTP&#10;t+xbsNT9iJkmCYR4u/ds8ZFEYZsWHJNO1CdGINA2VfRBxKJIXX+KD6lEvyb7N9hPW9tqFdGfgGLE&#10;ByEgY3v5+4l2cOHqkcLz0NPTcdvl9J5MP3BPVI8Wg8FoL8TxUek0Nv8dok/hZ4Z/ED4wzVLn1f7h&#10;OD5YfY5S/mrTZ2hCXwNCbFzoPIevVeoaJsw0tmhcCM04LwJBdP2Y/tswSuVFIypPuuy2fRqmfxR1&#10;hGNs+WYwGG0A86EPM46htUEbIRtLGaYw8LVKNVGTYeIcUQaqGkEM6WGYTWNqMqqMUXWD85VDpflF&#10;WhtsaTXjoFTZwWrbjQ3mcBS1MG6700A91yuitNxQshq1lDWOAFypEBslXtbj+Sw1vIYNtT43jCUO&#10;FknbCzNZ58+CTPoTxPsg4K1ze482ymFadwonnXLUKSKiojjPWHIIR6aIVFNOxcIwu3rZUkrnZsGp&#10;6kHcc1S9Ogv7ssuFgMQiqYW+jF7Guqwv7UCW9ScdyXJfwQGvBANxjLG+lAlntRjOFm2f/kedyH3N&#10;L384ivTTa0aEzYCIRPfmkcBzv0T5S22fdP9iJjvxPGUqGYy2wYfXvuW526f7XkXtvYPa9E4IWAfP&#10;WWG139dNFSPnQPwfTlMV8ayr62FIfPyv+5Fj0raYQiQV/bO0TdKGt4dtRn3qvEtxEPlGfTco/+I9&#10;AfdQ3Uf6P2kiqSY+Qjq4dYXsh2PUB9rn+acPFZ6F3u6OK9QjxWAw2hNxfFQ6TdhHGScYIXxe7c+P&#10;44PV5yjlGzV9vCYquYaG9t+Fr1XqGibMNOHyxvFphlEqLxpRedJlt+0zAf9oeNo/5DWuv5PBYCQE&#10;EPtsAgTEtajItCjgOJuQh+vgenEBg1KpsKMJAQeiU5wvOCoRxHBObehw7rAhxP9RZbTVDfJaiWCE&#10;dLZ7ZmMpgQ7bbXkvlT6MUnWGc1TbbkoBnVa1giXaTy1f8dg6u7jEPaq0LlDWSq6HtMhjXOD+2s4T&#10;Zilx3QTaQDXPZ6V5Burx3DCWMFgkbS/s3jj6u7MZ5+zAd76Rz7j3X7Uxddh0mCY5mlSLUtIZKJ2C&#10;iOqTQ88dm76VhAMR+RIRc8LJqJejKv9qWxKoHIpCNEXeCvmVdQynLCJXRGQgrYsyHcdEHaBOzGhQ&#10;0TZRj7TUgvgeqi84s5Mo4jeKum7mVJQtHPlzPtq8/D/vLU7faEIACkeRYjueTelMdx/Je+6lYr7m&#10;DT2/va3ndc9SppLBaCvkP/bOZ89sGHlrkHE+T3bo0H5EkoaeB018EKWfCXw0YEtTKaUoRaTnX9vD&#10;/QkWSfdtHhd9nuz7nKKNsqRPEtGfQNwT/+s8izLUO++I+Mf9pHVxfiylMCv7v2Te1/849zTR78Sp&#10;D7w/mtNOdHV1XKgeJwaD0Z7QvqqwuGdCpzF9YqZQB59d2Kes94XPW4mAqc9RqViorwE/Xlxof3X4&#10;WqWuYcJMY/r6dD7gB0S0rennjTpvqbxoRB2rr2nbZwPum+kjjeNXZTAYjIoAwwiRBMYGBs4WwYbt&#10;EExgLCsRYk3gOHRI2ohqwrBhey1iWyMAY446CYtH6LxQF/UWK1sNtAO8SOh7VKodoE5Q9nqKZ2gb&#10;6CBx/nB9g6hz7EPekMdar22WM3wtfZ1q2znase3cqE9swzNUSf7Dz6d5TlDXDeqv2jwzGJFgkbS9&#10;kF+dfkXOc0Zmfeezged+J8ikn5weGyg4iZIeTSocdbQUQtS0HBoWjq5wuiQQjkThqFPORem4k05G&#10;6dxMDpFPKe4px6JyMGII2d2bli9cv3WlcHhrodQ89ngj7p8gtb9dm9IYslXUk9hPS91G5zKjiY24&#10;aRQhPhaHO1TPK4RRwUY48qOJjz4KDnDiF9anxHaI/l9572mUHweRpOfv3DTwxz09JzxDmUkGoy2R&#10;n079YW7a+ddg2n1wN/pF3d+EaH44cP5pA8fsr4Z4tkU/ItZpG60jWjuJIqm0U3hvkOKozrctbdKI&#10;aEnUqxSijX4nlK5WyghVrOt3AyLqSuwrpksSIZIKu27ZZ1LnH0PfYz5+/Sx0di5z1aPEYDDaE9oH&#10;Bl+tDaYgZ/rGdFAI/GY2lDqvFvFKHWdCn6NSsRC+Pr09rp9Q+wXD1yp1DRO6TPBPmtD+X1v+o85b&#10;Ki8aUcfqvNj2RQH3Vh8XvmcMBoPBYDAYDEZjwCJpeyG/+p0v3LU+9Q9znrth1nd35TPu4/npsYKT&#10;CExqNGkgIhrSQpCCMAVHGIaGNUWZpBHOV0QU6vXF+7WTM7y9dRRin3aIgqqesR7OP8S/dnEs18qC&#10;Q1rVgXYUz4n9ss4g1mMOPmxf6nOOhinaAdVNsdyqrfijYuhNtB3RflT9NYOlokhBOMcPnDOxkPOc&#10;ewN/NJN7/+BLlIlkMNoWl68f/k2yTWfT8/f9wE8/QXbpsC3qLzte/DDKfC5qIgQ0PN8e9c/qmZ/f&#10;Mp7IPgIf+8gIf2m7hX0X+5pnn6olBF7YLuRV9s0O1THub33yLvp1/Q6gbLauHzE6RoL7NgjI129d&#10;Id4Pbfs1i8+DC5G0MOVEZ+eyU9WjxGAw2hNaGENghU1Q1GJoWADUQh6CGcLAefR5w4KbFvHiiKTV&#10;ioUIstDbbccifyivKfrGEUkRZBEGzoUgC+xHXZnQx9lGpcM2vT+MWkTSqH3loI8L3zMGg8FgMBgM&#10;BqMxYJG0vZBf/c5nb1/nvmrOc945m0l/Nu+7j2PYycxYccixJEeTzvky4iM35T6d89wj+7MTxaHn&#10;kkjKLwQZEVWKqBWxTUeYyggNHXmYGBacxq4QprXAJfMs/4cYiGgW6TRd+pGShfrQS9SFWtcRuIhi&#10;AY83kRT3H+0AQ+yifmT5R1WEN7UNRJGK+qLtxnGNJiLktE0DEUUqBAC0V9mOj9Iz+d1gKn361Wu7&#10;n6tMJIPRtpjPOi/OT7mjed+5Lp9x7qB2/hSeQ0S0m8/GuSuK/f0ZqZ5F+6olnm2IdsX+zBVDWsuh&#10;t5NF9MciwhX9mrDjtF2sH5s2aVw03C5R5lmVoR6k+yf6L9hIEWlbtN1iZAQzbcKID+YgkiLvOt82&#10;yg8H0gtXb1g83cSyZcteox4lBoPRntDCGAghVI/uB/FPC5pgWLCDOKqPMUcwhPBojmQXFtz0OSsR&#10;SSFCagHXPF+UIAhBU+8zR57DMTp/lYqkII7VeUC5tYgMmnkD9HVwbn19AAKpjjIFw6iXSIpyA8in&#10;vke4vzh/OK9m9K15PxkMBoPBYDAYjMaBRdL2Q/aE7Elza4f/KPDc9wee82tEe8z46YKjCPRH+63O&#10;pVZTiBy0DPz0U3nfOYQh85IcSSocdYpwFu+Gs1o5keFMlmIbnJFaeAsd32IKhyjlSzuPA0/mG2WQ&#10;wthi5/tSo7wv8j6JeevU/8IpjboQ6dS9Mxk6z1KmFkmFIIp6Ic5tGlvYv3lctBPdtpspQCCK1BxG&#10;UdszLY5Qnp6kfN5NNmRPftoZumRi4mRlHhmMtsV1G9/zGzkv/U85391Kz94+eu4ewdybMmqy+Hxc&#10;fOZw4dmo/0dRZAOmpQ08KIbbtaVpLdGvCaJPxrC7BZudfNsN+yXfeWBTVX5VnyzT1NAnG32Y7PP0&#10;Ry9qXzh9woh2vp/eZ7Eu3l1KUIqkowufOmvoaf0cdHd3PKoeIwaD0b7QwpgpKoYJsS8MCGmm0Afh&#10;TYuC2K7Xw2JcJSKpKdyZ1IgSCyFK6jzYGI4KLSVMmteIqiNbRK0ZLYo6wTV01CmWej2MUnnRiCo3&#10;oM9rUp/LPBbpzDyBtnIwGAwGg8FgMBiNAYuk7YkrTht8SeA7p+d855t533ks8N3D5hB84KfXjFgd&#10;TK2kjtCj/D5NPBRk0ke1YzPpgh2EpANbJhZ26XwWxLfiEtuF41OsJ8QpCeco5QdzlCGfBWcs8kzb&#10;xLylZ4+KKMq2jizV9S/KhfVwOdR22o/5RjFHK6K0INQnve01grjPwtmMddVWsS4jpykNLUX7oLoS&#10;7UalaQbNKFKIQHouUj3MJrXZhyhP3yL795lcxnnXNp6PlLEEsC3b86ycl/6D3JS7LOelLqU+5R4M&#10;SR+OJMVHBGZfr5+PelD2EY565mkb+g5lJ8JpW81d6JMxdK1+r2iijaqWeAeS9xM0+uRCv2ysV0J1&#10;v9DHBR7WiXTf0KfDph+TPkFEneh3Q8Ey5ddzhX/gtP5D+hno7+mEY53BYLQ3tDgG8QyRlWZkJETG&#10;UkIdAKEUwqEWS7HE/9iuxVCc1wSiG7E9jkgK4DxaxMP5TRFPz6OJ7TboaFhTBET5bMPf6nKHyxsW&#10;JHGsKb6iHLbzaeB4s06RF1wDedNiaBil8qKh81Sq3Lb7aEbN6jzp+wbi/6hyMBgMBoPBYDAY9QeL&#10;pO2J/OrVz57xnVMD3708yDjfIT4M8cAdKEZfJXnY3cBzj1Lej+b99OGAKMWZBEeUEoVzc7robCxE&#10;JAqnZlGY02JpM0WlaFKeKX96aGDhREVUpXaCE+FwxBCAEErbTjAU9e2o+kfZTMczlqqcaqn3aafs&#10;IufscUQ4msUzR/WhhX2Io3CoQziX4inSGnXYBF690RG2S9sxMyoeDn+I2pSfe6gNB5TPTTPeyFu3&#10;9fSwSMpYCjixp+eEZ8xkR34/56U2BNPp20S/Q22/+DxKmvP14qMCvb1Wyg9JJMX1YBeUKGVL30qK&#10;uYm3TAj7pW0V1ot9cDIp61XmWfRXlGc9T7vYD3tboc0V/RrdI1F2Wke7wQcuuIasm+RSfKyD9mWU&#10;OyrP4kMZSr/G6S1Eko4NdH9JPUMMBqN9oUWysJjJkAiLpAwGg8FgMBgMBqNeYJG0bXFSkBn9H3Ck&#10;5jx3e+Cn74HA9bn1TsFxCiZ22F04XuHE80efprw/BYcexI+kO/NA5BFOut3E/VsmxNyecOwJAVI5&#10;KBcT23CsduBKJ2CrKOqY8nPf7d9dAJ548H7xvxYPkUc4LTXjiIg/3D+zcM+tNy98d+cV1v11o6g7&#10;6UwW0TK+dAJLIU+VQdRxMT0isW5470pxn/CMaAfrMec+Toj6AguOadSd2AenPeoTwxLjf1lH2nHf&#10;LK5zewv2y4wiBXH/EAFM9/WngedcNOu5PXNrx/4om82epOwig9H2uGTizSeLj6A85xqyaT/J+c6T&#10;MiKw+CGROXIEnhm9vVZKe6qffWlXce1wNGsSiD5YRJLif2HzZR8bTpdUok5Rt5ibfZ7KofsvsV/3&#10;YZgTOqpMon+me6PS6/cLDOkLG78obUKJehB5Ve8aOSoL7qMe4SBM3Yc7fV1H9DMwme6eVo8Pg8Fo&#10;X7BIGg0WSRkMBoPBYDAYjEaBRdK2xYnbNvT89s4p522Bl3p/kEn/+ODWFUJAaIdhdyG8iCE9Pfcw&#10;rT8FhxciGdslqg/5RV4xR6meX0zsU849+b8kHH3a2SdFVC3stZaP3ne3EEkBiImFPFG59p69XBDD&#10;0eqh+qLyfPjQU+I8OKdtf30onagyIlbXt6xbtCeRP1X/QthDXdN9giMd4hruE5yrQhwU5zs+ifKD&#10;GDYa9ZQjzm6ifVS35r3GvoC2ibpsEs25FsFwhByE7uvJzgVe+gdzfnp9fv3Q6zCP4wLZQ2UXGYyl&#10;gBO3T7p/kfNGVgWZ1JWB59594JwV8oMc+SwcbdS8pOijRH+lbGww7YoPmEyBNilEnvDOIyIvha2i&#10;/gB9BNGWPmnEewRssXiP2LRclkPsK/Zvclk8xmQO5cU+vV+lx8cuop9rk3rAfQRF3y3mDtf9jq6P&#10;Y9Nvm1w85PSFKwcwXyCDwWhvsEgaDRZJGQwGg8FgMBiMRoFF0rbFidnsKc+8JjP0Ozk/PZb309+A&#10;IxNiEJxIbn+yh92FCANHXj7jHp7NuIfwPyL+SjnFkk7kXwhPm+RwoOAchCfhwDQcmcqZWYh0VOXF&#10;/0JcFU5NKVTVwpsufb8QLQGs29KEI0mxTd4XlUbkhfIEx2vBeWunFlwfuPN26/64hCgnrov6ENfE&#10;tZGn4vVF9KPahzQYihLROIuEUBWZUqmTGPmvRzmSStSXrBM9zyjanazTQl35UjyVYn/x2EYT8yya&#10;w+yekeo5Js1eshEQ7/Oe+7XAG+nbtX74+coeMhhLClev7X7pLm/wzYHnrstPu1+DXYZ9o+f2KNbD&#10;85LW7WMo0RcU7S5sAT5ggo21pm8hYePlOw/yq/uExUPJR3FRH2jZXwl/cfONYjSFUv1tHOryCFuM&#10;Moh7IG0xRk4o2Gx1jyCSUtso2Goc3y4jcphE29Ltq/hRDsovyxUm+vhPGB8JDPV2PrJ9ynmbenQY&#10;DEb7gkXSaLBIymAwGAwGg8FgNAoskrY3IJTuzIz8n3wGQ+66v8777tNwIl22dmSRAzVpw+7OTsP5&#10;JYQaMTfprun0wkE9bF4bEiITovDg6Nu3eVxEt+yDaLdprCjwCccmBCjpeBb/+1K0CoumtRLD3mrE&#10;GQJXO13F/8gT1pWjVjtc4ZhshvPVFOeEaCr+V3Wm8iSdxa6oc4jrqG9Z5+PCSYz7UM08elrsbWxE&#10;bPOJ+yZEY2p/uI9iO9Ultut9i9slthfvQzNoRsCHh9lF/uS6iDy/L+e5X875o/+ozCCDseSwkD3h&#10;pPnsshfnpkf+iWzexbmM812ye4/ArkkhbVR8SKCfmXNX1KePh8gobDBsrLC/aTGkrf4AK0mEXZDi&#10;GvpRmeeiyFaei0ZTsOyPy5uvvFidZUEIpbY0cShETqpnlEn2tVQu0dfROi1hk2chAkMYVdvlvYK9&#10;lu8gzeqn60n9YZm+fyhbUBj2/ViijOetKPYXK0a6f7Rzo/u/1KPDYDDaF/cTWSQtjTcSWSRlMBgM&#10;BoPBYDAaARZJ2x+5jPOmvOd+MPDdrwYZ9144kTDEaDsMuwvnHiIBsX5gy/ix+9uZcPRpR6ZawpFZ&#10;cECrbebwuzKCpJi+WlYskpr/KyFSOl6L+0WESkGsqj+FM5iuWdimriXzJusSFFG5ervaVqjLGrlk&#10;RVKqS4grxTantov9uv7ghFfHoA1SW9XHN5rhYXbDgg/sGZawb4Gfvon4gblNaTiLGIwljdz04Ktn&#10;vFQ6mE59OvCEUHpUDk0/Kp4T/czUbcQIZff1hzNYJlUkLdg11T9oW4Y+tuLRFCz743L+/A2FIed/&#10;ctNea5qKqO20eh9A30j3nrZBwEa5VVn1Utyr+rAVoymgben2JYVgezpNiMjr032Ftr/R7b0xn1n+&#10;FvXIMBgMBoPBYDAYDAaDwWBUBhZJ2x/57PJX5qZSwzun3EuCjHsrnIZinq7p0cQPuwvOUn7h+JuD&#10;KAOHoBLH2oHaMYp1OErhWNTbsMT/By/YKJx6cALu3zIu5pU7kJ1YuOVLlwonLRy0Gjjm4bvuLAib&#10;QlQ1HIYY0g/AeXE97eQFsG6Ko3GB6+nzFyiGLEwLh68ZbXPosUfEtRE5Y6bHOYBwFI2OsNGiI/7X&#10;aQGc724cg6hGUU7pINUO7x/unxHXQzqNQ489uvDgnXcsfO2TH7C2FX1+5B11hDzp4/U9wXbzGLOM&#10;NoTLi3oOl6OWCKJGUYgImnjOtPOd2pUY7hp1TtvEsI2i3uX/4fM0khg2dHyou2CnsI5tej/KAFEI&#10;+c/57veCaefTucyoC/FImUAGY8li3nGeMzeVfuOOSWeMnt9t9HzeRTyCD2p20POqnxvQfG6qpfwo&#10;JY1nTYiNsAky0k9FoCeMog+gvMrhwmV+UYZKPxRKGkWU7CY5fPxeqnv9MZkQsNU63ilwX8TICagH&#10;tb0WNv1DIbp3YjSIzePq3qEvktTlDBPlHTSGZj935cDVQWbkf6hHhsFgMBgMBoPBYDAYDAajMrBI&#10;2v7YtqrnBdf5Q6+b89LpfCa9Dw6kg1tXCKcZokdNJ2rSht0VURBYKocsoggwZFy7CKUaENG0OBoG&#10;RNADF2wsClZUvttyX1R7pXAHhyRonuP2fTMyqoKuIxyHtIQQB+CcprgK4HhEzGBp7sO6Pr9JLRxi&#10;fVG5lHMS26NgCo06bVgo1I5q7IdoWQoQLkUUox4ykXjPrd9Ue6UI+RidA9RAXdkihHReIGKa4qoJ&#10;HGvmH/nGcbr+zXsCmtcxy6HrVh+Hcuh0SSDaGhzts5uoDal6RT0LYu5RTzrchWCKYyCS6vUmMRwN&#10;F454x3Nz4JwVQizIZ5zrZ730mXOZ1N/kvMGXKBPIYCxpYFj9a9ct/xN6TjcGfvog8Z6c7x6BeGmK&#10;RReePrjo2amVsA1CKFX9D5jMvtldmN8yLvIr/p9uf5EURMSofgeQ/WJxn7TbinW8J+jPACxt++tO&#10;KhdEUgyVLz7iAdX2Y9IqXrVx8Xy8V20c3rQrO/x69bgwGAwGg8FgMBgMBoPBYFQGFkmXBE6cyb77&#10;eYHv/M/Ad79AfBJOJ+FYIyZ72F04wkxn2KiIWqlXVESjqQGRDDSH2tNRn0BYPEM6CHg/vWmfEH9Q&#10;ZkSYfvVCf+Hhu34mjoEAh7rR9xG82xAOAR0VCZrRjnEcxFpwLThDDaek3gf88ls3Lcx/cL3YDrEQ&#10;+1BWUzjUjtVFIqnhqNYiIsp0684v0rXSCwfonMi/xk9u3Csiba/fulJEQiNaFKLorbkvLqoDXFeL&#10;n4ieLVxPUedFA3nSgqh5TxblNXRslINYlwXnMrfjfBBmzW2touk0l45nJXbQOsRRIYbS/QkglGI9&#10;wiHdSMIWQRjVtgm2KpwG9x4RU5TPJ/Kec3XOG35n/rzuV2Szr3uWsn8MxpLHJW9+88k5L/1P9Oye&#10;n/OcA7T8FZ5zfPikn596fwQlbAfshuqjcT18eKH3xxkpwGZnNZG+3GgKYerzow9FX6Bt9hE67s6v&#10;7lvU98VFKbuNfgP5N/OHdeTZ/MgG1P1CON+6z9H1gNERwufDtsIx06hvWiqb/cN9O0Q/aX7wg9EU&#10;HqD+0eyDTeq8YD+I4/W2Uvck3G+GYb5fgKj/yHLEoOin0CeJvmixCBzFD58xVGjzTn/XfdRGR3du&#10;Gvhj9agwGAxG4pE95ZRnXpZ1noMPnfPZoRfOre1+6dWru18xv27g5TfS+vas8+LPrx564czExPMu&#10;mXjzyeowBoPBYDAYDAaD0SiwSLp0MOcN/9FOzz2f+JMg4x4KPPcIxEY4oJI67K52vhaEGiKG1pRR&#10;Y8emTxo14Hi0OSzN4XDDTlVQOJ2JQihV83LdFhSjTLUTURND02rASRo+n6bpKC7lbIajFJAObukI&#10;R9TK/PnrCw7Ve267WTrFcX3LOTS1g9V0vuJ8380V8wFH9P4PUh3QuXC/9b3XjlYsUX7cf4jGqBPd&#10;fvU5NRfnffE+09lritaaWpiNOta2T1PDdj9bTR1VhLaEYRiFuKwcz7Ie0d6wHfWK+yDvgV42k+Fh&#10;dmGjFg+zK4ecpLwdofYJe0Z2LX1Bfn36dcrkMRjHFa4/L/2K/FT67+l5yJIN/QYtH0f0qNm312PI&#10;XU1ho2GrVf+M5xEjVej9up+BvYStLQXYXPO85rEA+hucA9R9D2AT3bSNRn9ipgXupf7qpkvOE2nC&#10;Ap4+v0ktPGI9fB3056YwGQbOaabXCPe3uq/C0vwoKAzUX7Gvkx+ymKMpPEV5kaMp3KO2yHqzvXdo&#10;mOJoGOEyI3/YptNjqesJNK9jlkPv17D1uTaib8IoB1qIF8RIEmAobZgbjA8D1jo9/zW7KfWeuWn3&#10;VeoxYTAYjMRj+1nOi2enVrxmV2bwTbmp1D8EXvrduY0jPeAeb+Td+Y3O23d56b/NTY78+fy6iZer&#10;wxgMBoPBYDAYDEajwCLp0sFMduDlgZ8+PfDdPbT8Wc53D8EJBcdmeNjddW6v1fnUdMIpqEQcMXwc&#10;rYv5BynPx6RNIDVKRVDoSBuglFgZpuk8lnON0XYhLGIIWulwhfN2HoKjOAZ1JSNOhSgWOkep65pC&#10;4yydW84JmhaRKxo2IVBEuQgWnZl6GFycE/9rce5WIx/7cS7aJoYPpDJBzIMQakZ36vOVo5n38D7t&#10;sLVFmYKmMz+8Tx9rO6+mdiLbHP+JIO6lcrKjruU21DfdO1A5o7FshTiqaQ6zCx4zzC5xlxBJ009R&#10;/u/M+eldOc9dda038jJl8hiM4w7z2VOeucsb/Wd6zj8XeO5t1045D5vR2PUdctewD2Qr8MEMPmTR&#10;23Q/o20ihEPd36DvMMW0sHiG/9GPhbfjOB0tGhYiQW2jNdB/wLZ98zMXiHmqkWf0UeYHOnH6wPA+&#10;fR2Uzezf0aejXMi7mV4jfC19DV1HKJsWHL9K+TXFXGwPlO0GcR2IohieX3wwpc5pCri2fs4Erqvr&#10;OHxPbPVSrg8032nM6FJ938IjLJSmKz7kwbqejzzIOOJeHpu2SHwEMGi093Mn+j47u2HkrYjAUo8I&#10;g8FgJArZE044aVtPzzOwjqjQ2czQ72DaiB1T7rK874zNZpyNOc/5QN5z/41s/7/OeakP7vLdTbRv&#10;NdnEAYioO6aHX3uFN/iS/Op3PrvnhBPEuRgMBoPBYDAYDEYdwSLp0sHl64efn/dH35733a2B5x7M&#10;+e6TGMJVR36Eh92t9/xlVVMJOMIxSP8f2DK+sMuIVkkyNUo5YUGNsDMYhJMRTlQ4F+GUBE2nKQTj&#10;fYgK3Ez1QfWjI0khSmoHthC6VN3lPLkN+dGI5yDGcZJ6SN+wE7hIKcjq60Po1o5VHFvc5y7KB/KI&#10;vO4VQwuPL+zHPGRUvu8FV6oU0kkcvh4c1Mirrh9QO4hl3hen13nBMeF94KI8hfbpY23n1cR91EA+&#10;cB1bvptNPOcYrhjCItkBiItiO+6HEBw30f9CFJX3TUaHFY9vJr+wPlV2mF3MTYzyUJt5nLgnl0lP&#10;XzeV+of5rPMcZfIYjOMSufWjr85tTA8EXvrj9Gx8a/Py/sP6WUJ0dvhZqpYyklR+UIElPrrCUOjS&#10;xi+2pejDbB/V6P7MJniWYhwbDeg+FfkpflxFeaU+yTwH1sPnARf3gcXtcY4NUyOcXl8D0H2SqE9a&#10;4uOkA1RnGhA85UdI2E99JfX78+fIdzgI1KZQWirvoAYEUlPI1NT9p86PyXJ9oK6bSu6njbhneD8V&#10;bUm8/+l2tjhdmJ84c7jQb/T3dj59xdrUih3ru19749ru56rHg8FgMBKF7Wcte/F1G4f+dMZ33r7T&#10;G3HoN7pPNu9jZPM+/+WNbu4za4dvpN/kt/rpvnvSA12PnTHS++u1qd67MmO9P3jfRP/X/vWMwRmy&#10;f+flfGf1jqmRZTMZ96/28AeDDAaDwWAwGAxGfcEi6dLBtmzPs7ZPu6+a85x3Br57Sd5PP3D91hVi&#10;6FLtYDKHtwQTNT+pL52GiFSBQGJNkzBqRDlSNcIOSTOioxSEA5HqREYEjhZEUjgwTWeqOCecjMrB&#10;GMfJW3Cy/kqfSw5/p4f4K+UklU5MfV1c0y04ViGS6m1YmvlAGaRzWFGUq3Re4XA3BWMbbHnUebE5&#10;gEHzeuF9+tiSZVeEcKsdzRq4nzaRoFmEI104nVH3oi0gYrc4hyDusW4fYj8E9TIO6UbxjFRPwQaF&#10;h9nVRFtEeagcv5r1Ux+dmRr5+7zf/Ypt2+TX+AzG8Yps9oRnzq0deyn6+tyUc9Xn1o08aPbrV290&#10;jnmeqqO02YJkMwo2Ru03bWkp21fNSAFxbDREWXM78gZ7p/NqjmJg9ismSwmNepj8SoRAjfC19DXM&#10;c4k8imFlpQ1GWQCZD9kvij4UVOUxzwmWyjuoUWqEC/3uYTtW169tH2hGkto+/IpLlBFtSb730TYq&#10;Y/H94Nj0mhgFRbfz01M998x4qX++upsFUgaDkUzkP7b62bsn3b/ITztDZOc+9qWNqZs+fFr/rzYt&#10;739i+WD3kYHezqNm/x3F/t6Owxvc3lsvOK3v367zhv8WH0eryzAYDAaDwWAwGIxawSLpksKJ23p6&#10;nnXtdN8fzk6nJ4OMe5twLE1LhxSiNSFGmBFcWEdUV9gR1WxiiDmIOFIMlE4yRIUkfdhdjVJOWFDD&#10;dFhqByciPeBENiMRbQ5ief9GxZxrAIbgk9G2sq7gRBUCmKfPUZzXFOvC0aoJpyQtdcQoRFI4KDH0&#10;3fVbJxbuuc2MJJXnF/eF0sglriH/z/mOOJ92rELERXpEAB44Z2Lhh7PFKNFiNIzMo6ZZXtPRrs+J&#10;fKDuzH1RDmJ9HNKE94G2+tXUx9rOayMcxqbYXWt0TSVEe0C72DU9poelFfdGCAW4V7Q+J4Zi1g53&#10;5ZwX6eR9bQXPP21xRPvFZw4v2q+feyUSPEH8+k4vdUZug/Pbys4xGAzCtev6/iSfcc6jZ/rmVF/n&#10;Ef1MXbDq2Mjsaig+noEtUf/Dfu8Xwpa0H1G2VNNMY4u4LzeaQjh9KfuOD6uQTym0Lb4u1mUZiv0P&#10;/i/Vj+hrwLab26OogWsVtlM9mR82CRssri/7Yp1f/WES5h3dc/aoiIoVoq86T6WjKWgsyovBUuUG&#10;sa3UPs1wnwexNO4HQrDtGGZffMwjtqll4f/SxL0z59e/YGX/Dfn17l+rx4HBYDASg1uyq16wwxv7&#10;oznffcdV64f9s8f6bkKUaCWiaDk6A51fXTHQOb1tqudF6rIMBoPBYDAYDAajWrBIuvSwa3j4+blN&#10;6d58xt0Z+O7PiU8I4UFFlEEUNX9klYrkaialMxakfKj5EhEBC0ehLX1SqFHKGWk6as1h7/T8ZGFH&#10;L2geE953T0EkvbvgYIXjsCCQIR3VYen52Ir3eVHEqIdjMZzi6KLhZA9g3lMfzmdqO8KJqUVWeS4t&#10;vmnHqo4kRVuD0xpzqWkIUS8kkMp8yDKhTvQ2M1rFVrdxnLy2ugWj6lcfaztvFMvlt95E/Ys6pjoV&#10;wzFvKj4nuCd6Hls8S4Xj8L+n7pne1mRiiG/T9tjmRsYzL5979+HAc74T+KnLcpPOu7ZlX/csZeIY&#10;DAbh6rWp39s57YznMqkrp0f77tfPFT5+Cj9XtVD2K3Idw6TrfiTKlmqaacK20RTbSsFMD5ay74W+&#10;hfKJPsp2XfRxWkRFulL9SLk+xEaNRWUU15D9LPps0U+r65t2WOcDQF8rPyYaFcKjKRjbYOurNML1&#10;rVmq3KAuu22fSZxDv8cAWI9TX+aQzbgXOXFP7GlNIv0nzjKH2u04ctmawU/Pbhz6U/U4MBgMRkKw&#10;cOIlq0dOmRztuc7p77wfEaDadtmIeZYnhroX1qf7Fs5bMbBwwarBhfNWDiyckepd9GFIFHu6Oj+u&#10;Ls5gMBgMBoPBYDCqAYukSxMzG0bems+kz8v76X2B594LwQoMfPcoHE4YZtf8cYXhL02HVGtoiDe+&#10;K/IrxJIWijrlqAFHpi2SQg+jZwqAoIZtODxs0wjvM52bcBrCkYqoDAjKiD45cM6Khf2bx4XzUQOO&#10;0oJzFnUpBLSi81Y4Q0UdS8EV0T4aiIIRTmVKj0hTODe/eqG/8ORD9y/c8qVLxdDIe4hwAAMQcZEn&#10;nV/TUW2LykGd6YgYc/hE8zhbverhEKOcvKUctua5w/uinMflqFHKMV0P4v4IsZnWtTAu7h0RkaNy&#10;qF1HpBHD61J6HQ1mO18zGZ6H1PZxBuwTnnmIBLT+U2qTX8QcTDv94dcr08ZgMBSuHut+aZBJ/d8g&#10;47z3y1Opm8w+vX5D7ornkpbyAws55zH6itFIW6pZypZrW4u+Mc5oCprl7LvuE28LzNEUyCbDVmK/&#10;KgvKcGwfKNPoa8SOJCU7q4FrwTZjOHPY3kWRpPQ/bDfq8MCWCTHcLPpPPULEE9SvmufV+ah0NAUN&#10;Ue7QPjDqWH1N2z4bkS99DIC+2ZYORNlFJCnakN6Oj+JQX/r/EsR9fd/K4igEZ4z0/Crwncnt69xX&#10;qceBwWAwWor5U0555rTrvsrp7/z33u5THzf7ZJN4F8Zc/BhZBe/GcT5URp8O8XRDus96zgJ73rNW&#10;ZYfBYDAYDAaDwWBUAhZJlyau29j/u7smU/838NzzA9+9fT47vgBChNA/uPADzfxhZYvqaibNCA84&#10;ziCUiPlU4ZANpU0KTcDZq+fogjNTOyKBsENXR4fAuWg6PuFwNKMzzGPAsHNTOoSlmAzBEsPc7ssu&#10;F3Wn8fBdPxNOyPnz1y9888qL6DjU8+jic/nSoa4FUTPC5+c337hw/Yc2Luyle/H9/JVCIAW+s+0S&#10;4eCFeBpHJAVQbu24hVNci8iA6dBFnWiEna5mvdocudphG65zTTNP4X3muXXkL5b6HuH+4vxh57MZ&#10;fWsbUrIehECK+4x7jDqXwoVyLuOZwf/qWUF0qXxmnIWc2F7eCd1IwgFkzodsG+Yb+UWZEGmk1r+2&#10;00+dtXMq/cY9PJQYg3EMMB9ZLuO8iez3GNnuHU5/V2EYP3+0f9HzVRtHxUcYYl3ZGvQxtxojFhx7&#10;jKS2qeEPhXQ/Z7PTUTa6nH3XfeIxIintgw0UdpOIpc6b7EdgO6VN1f0f+ivz3KWI/lUDw9vLD1jk&#10;dQrD2uMaZMORfjf1pfjgCB824R1H95/mh0K1jKagYTsOjDpW169tXxTLzT2L9gLxGuvyPUPWtWa5&#10;/gnianqg2Id4oz3fynuu88Uzx35LPQ4MBoPRMixbtuzFvd3L3t/d3fGotlMmES16zsTgwhUbnIUd&#10;VY7epD8CwnvypWtS1M+XFEwf6Oxc5qqsMRgMBoPBYDAYjDhgkXRpYv6U7DP3njn2W3lveCjwU/8B&#10;p+HezUJYKYikIIRR84cVhsM097eEEHSEMxE/Ig1nWsiplgRqRA0baHO0mtGicBbDIakjKrHU6+Hj&#10;opybYdryZB4XdS6IglrItSEcYYNzADinud10dkfVkS36REeLAqgPXEM71vX1bHkvlRfNKAe8GUVr&#10;QjubzWN1nvS9AqKiaKqmcraDEA8xlK75QUFBJFWRS0gnnPS0LsVGud5Khu1MeB5S2CUljB6lsh2m&#10;8twT+M4XZzamT8mekD1JmTUGg2EAQ1Dv3jj6u3Nnj72Dnp3LPrJq4EnzOatbNClsCuyOsjOwN/hg&#10;41ZjOPVwnwCiH9H20RQAQQ30heZ20Owfw/vK2XeTGtp+w8EMsQ3rEElNARM2VQzZS9vNj170sSYh&#10;YKJceD/BebBNQ6T3dbQt9bMqShTQH1GFz6UBoVFvN/sa80MqTd0/2vpADVvewai+P2pfFM38HrOf&#10;6gL9Fmx8cRvug+rHYhDCgtm2L1s9fGHeS/3z3NjYS9XjwGAwGC0BBEmySw+YNgrEB4EYPhf2q97T&#10;2mh7OuONlhZLuzrZV8NgMJqKlxHniAt15N8TGQwGg8FoClgkXbqgl4oTc9PDf5fz3EsD372d+Bh+&#10;UOErVNNZZUZ4gRiKV+9rCYWoI39MwgEJ5xoi445JlwBqwEEIZ6cZGQmRMcqRi2PM9HC6Ij0cotoR&#10;HD5GR2uUc2DCOXvwgo0LD955R0FYxPl/9tV9IuIUvOtbN4ntj9z9Mzls7tlFwgF+/YcmxTCApgiI&#10;/Nqc2roc4fKGHac41hRfUQ7b+TThVDbTY107mgFbPZTKi6bOUziySTOcR5zPdFLr+6brFShVL7XQ&#10;/GIc90QOcykdI/r5hWihRVBE6uA+iuMLzxBR7W8Vz13Rv8i+III9nAblQWQVyhB47o+CjHv1zunU&#10;abnp0Vcrc8ZgMCyYn88+k57x1+Uzzoe3T6UeNKPt6hZNCvFQzG9c7Jdhk8w5pwHYTdhHpIkaKQDU&#10;NhY23LSvsKOmbTWPAXXfGNW3ampgNAXY0a98ZEoME78ffWB2TJwDwDnxgYlpV3W/h7wI2446oH3o&#10;f7BN9B8QQomwsRooZ4B5RcleHzxnYuG+731L7ZFAXvRoA0ir6wHnM+sB6xqVjqagEa5zTbPcpfYB&#10;eKfBNix13iCGg+ERE/RHUFI8Lm5HPaBed58t+y9sQ/vBCAdYmmmjokkxP59u185A54M7PdcJJgf/&#10;Ytf64eerR4HBYDCahRPxB9GjZJO2a9ukOdDbeRTDg3950hW/p8wRdupF8VuAzov3fowUtX3KeXCt&#10;0/uzcF46uzpupny+RuSawWAwGowVxLDIWSsniQwGg8FgNAUski5t5Nak/yA37a7Y6btfpB9V34cT&#10;Cj+ozB9s+LoV8wPqH1S2oTCbTR0RN6scs/NbxgsOzCRRo5QzMgkUP6Q1Ec1RiqG0tnNVStSLhm0/&#10;szTxjMK5IkVSFXVzjFNZzT1K3L1pVH5MgOdGiRkiPd1b85hmEpHpprMGoo3ta3p8CHFwywSVwz0a&#10;+E6Qm3ZGrvOHXje/qucFypQxGIwSmFk38fJ8xpnO+84vPmw8c+jL6xFNqiPX9RJiF94jTJG00pEC&#10;IDxqQCCEYKeFSSz1evi4SkRSW54wtK3ev2i+ULKVonxkixA1e/OVF4l8lYL+WAdCH0RVDfEuQP+L&#10;OaJpvxYdMd+o+fFNGLaPbKodTUGjGpG03GgKpoiK8ph5AsxyoPwYxUT8T/UhPuoRfRbaUXzRQLyj&#10;DhTfUSfTPd/EKANo95dMvPlk9RgwGAxG09DVtextXV0dP9Z2Cezr7Xx6y3jfw1dtcA7vmpbDi9fr&#10;91Qp4vxihBnPfZr6sYev3ejeMtLXdY+ZL7Czc9mpKusMBoPRMEDQtAmdtZBFUgbj+MF5xPuJpg24&#10;nYgPMBiMpoBF0qWNbVM9L5rxRt4abHLPynnu3pzvHtq7+VjBEaKo+WMKztV6Dw0UmwWRRzktlfMS&#10;TkcRBduAL3KrpUaSRdJWkkXS+IRQjagbRIyKuduUk11GKikWHMx0jNom08vtQjAV6ZRDWq23grAp&#10;sCPapiBiPWxTUF6IwOJZ950nqTzfC7zU+3dODb9xPnvKc5QZYzAYEZjPOs8JvNGVged849rJ1OOO&#10;8dETIrnNZ64aymh1ekanVd9MdgWR3+a8n0gHgcwUAiGg2cQ/TfQPZrQphECIcIha1CJg+BidPo5I&#10;ivNAKNUiHs6vxU3YVj0yA0ZT2EfvRZjrWUQ7CrvpCsHQPB5L/C8jLFEXaTEHOD7i0mm+F1y56D0l&#10;LEjify0A4xiUR0ds2ljNaAo6L+VEUlzbtj98H5HOjHLF9fX9ARbXi0wjyo8+jfom9G3Ffqt4nbjE&#10;8Oy6PSNC67Nrhi8NvJE/oabPQ7EzGIymQkSPdnV+lOzRouF1lw91/2r7pHMP2bpD4l0e/YDFnjWC&#10;sLEQZfGhZOClnyA7u+/MkZ7/MPMH8jylDAaj0WCRlMFg1AKbDdBkMJoCFkmXPE7EcGQ5L/23xEtz&#10;GefBPYg2Uz+qzB9ZGGbX/DF1Rqpn0f6mE1GkvhRItfgDx6wQkMJpW0QNFkntZJE0PuFMRuQo2vj+&#10;LeNSmKA2D1FCrKvnVQinQqwoPhNg4aMCsb143lYQYqg5jLclOl3MjYwhOw+cM0HldA7lfPebQcb5&#10;xFzG6ZrJDrxc2S8Gg1EG+dXvfHbeT3cHnrtt1k9/f+t43yHz2TOeu+oo7Alsy6iwLbA9eG7DImm7&#10;EeXQzmzYX6wXBGEhlJq2VNlhbMP/sM1kkxHBjw89YLvFeegc5odcYZH0eCDKjw93xDykRPRLor/C&#10;vNmF+oxPc07rNU7vk9RPnH2tN4JprxgMBqNpeNe73vUSskOLhtft7el4bNPyvv/MZdzvU1/59Cz1&#10;k7B7zf6gFzZWfDDpO0d2+s79Oc/55gdW9l9n5lWwa9nbVHEYDAaj7mCRlMFg1AKbDdBkMJoCFkmP&#10;D8ytHXtp4Lnr6EfTNyCU5n33MBxY4R9Z559WnPcJbK1QCieldFSCcEwKxxsRPwYXp20NNVgktZNF&#10;0miiHUtHCrVz4ZQvCp1ym3Qsy+2hY3EcHTO3STqhkUbP81Y8R2toOrVBRAKZ+0W5ibBBEBUo3z8L&#10;fOfT+enRodymkT/PnnLKM5XpYjAYZXDJJRMn7/bTpwT+6Ln07O+9dip1v/n81RpNqu0LnlnxwRKt&#10;H9gysWi4Xdtx7Ugt8Imhzi00hdA47yHHpUiqKP5HH0btpRpxFNw26S7qSz5++uDP81PO6o+tfuez&#10;VfNnMBiMpkBFkBbs0UBv548+uWYoT+/dt9I77GP48A/9hM2WNYPa7u7Nyo+h855z/cfPGHhfd3fH&#10;w0a+H+jpWfYmVSQGg8GoKxohkv49kcFgHB+w2QBNBqMpYJH0+MAtPT3PmhFOVGdLznP20Q+6x+a3&#10;TKihLhf/yAoLHK0VSqUjEpQiEYQjV0SgtfKHqGa5Ye2Od2L4PQ3b/uOVaM9wtOtISszvJ/cZX55D&#10;NBWOZb2UFMduGl3A8wtnfjG9EjOqdEbXixBkTPuRHR8w98sIUiovhrekMh4KPOcngZ++Lu87Yzs3&#10;uX88k514njJbDAYjBrZt63nGnO/82Zw/Nig+NvDdu967YqjwDNYlmhQk26Ij2zHE7NIVSTEP9HJh&#10;pwSxLjgm3pl01Gl4NA4bjyeRFHUCitE+dN2ofozsfFV903krih/uOf2dh4MpZw+dZ/iSiQmei5TB&#10;YDQNHd3L1mhbBA73dR28cjL1IbJH/0226nHYK90/mDasFcRvCvRXQcb5RT7j7Pi31YMXmnknPrBs&#10;2bLXqKIxGAxG3RAlks4RGQwGIwo226HJYDQFLJIeH8iecsIzZ9YNvDyfGXpLznfeR/wZhugUc3BZ&#10;fmBBGDV/UGHoTFu6ZlBGsWAdS0k44ZIgkjKZtRAiJ5wZEB0gfort2qks/tdtfzG1SCr/pzTTlL4g&#10;qraOF54+uMhu+KP91rmNUWbx/Pruz4MpZ0fOH/F2ZRz+sp3BqAILCwsnYrSI3ZnR/5Hz05vJFtw+&#10;d/b4omexHnOTFki2BnMh38ojBZTl8SaSypER5P9BBsIo7L9kzkgbh+g73IHi/Lpnj/X+MvBTl+Qy&#10;zrs4kpTBYDQLYYG0r6fjB1duTGWor82RjXsYc4HaRmdqBSlPR8XvCbK9tH6YfkPfH/jO3NaVfWeb&#10;Zejq6vixKh6DwWDUDSySMhiMWmCzHZoMRlPAIunxhatXd78i56eHc767K8g49wae+zQER/Hlf+iH&#10;FgQO8wcVhFKb4NEIhocWFT/2lKNNRLKo7XpYPNMxx2QmkYg6ks/aqBAYCgIohE2vOJSlEEiFY7l4&#10;rCbEUbR3pAsgjNISx80KcbQ5z2YpYs5RRKyVshd4RhGNJb6y99NPURl/FnjODIYB37nR/V85b/Al&#10;ykxpnKiWDAajDLLZ7Elf9Pt/a3bKcamvvJGeqyP+WLEPx7N59UZn0TNbOaWdmlXC181XXiQEQMCe&#10;nvmLm28U9bOURVI99LB+j0T/hQ9/xBIRpEbaSohh2nX77e/tPHr5mpG9dN5JzLE/n+Uh2RkMRuOB&#10;OTzJBj2gbVF3d8d3t2101pN9u5b62R/BVu3fMm79Hd0qyjlRZWTrLvmb4TZ67/YmBrs36XKAnZ3L&#10;XFVMBoPBqAuSKpK+kXge8b+I4Txh+x8QawGOX0HE+e4n6vNj/SpiP7Eek+lj6GHUMc4ZLou+HvJw&#10;EbEe12xWuTRwLpyzVPn0/foXYqOAPOgy264dp63oMph1djsR96Vew0eb9wbnNvOq2wHaCtp+o2Dm&#10;wbw+7l21ZTXPEyaD0RSwSHp8YSF7wkk5b/hvMewu/cDblc+4d0O4KA73uZitFEpNavEoBzGoICK5&#10;9ANwdGFfdlxGMISOYTKTRC0SClE/MyradM5TzmQPbVx+ACDbsf0Zw7GIABcfDCiRFEscZ0vfLIYF&#10;Uqxjm5kG4uj+LROiHqjcPw0857rZaXddMDn4F9uyPc9SJorBYNSAmY2jbyf7cDX1kz/fPuU8aT6X&#10;GErffCYrpuh7sU72hmxWfhp9sP0jK+bxQfnxT/H9S3y8o97R5Idtxx4Tl+aIJmc5vY/nvNS/0bvr&#10;qTkv/QfbenqeoZo8g8FgNAyd3R3z2g51dXX89KOr+gfyvvs56gfvE+/efvpoUn+Dom/G7/uc7/4y&#10;7zmf2+WNOIN9nfsK5enueEAVk8FgMOqCZoqkEH/CQhr+N0UhCF4Qa8w0pYi8V4pKzl+OELZsgiOE&#10;JlzDFNziEscktVwmsB/5rKSMEAYrEUshcJrnxzq2mYC4GScPperU1iZtxLMQR2y1AcdVem9wvbhi&#10;Ke4FBF7zeNQ16sZE3PuFc0Xd/7DAWimRh2rrksGwgkXS4w/Xbez/3cBLv3tm2nlf3ne+QT+ejoq5&#10;SX0t0CxmUoRSQfohCgcc8gmBSIil+F846saEWGo9jslsAdFOQUSOms+WEDexhCOZ2i89g/R/6Ygb&#10;EalDNIfzkh8KYL1Fz6KiTSBFBJDej3wLJ7pwnrtHyM7cReXdGUw6kzt993/NZ53nKNOkwRGkDEaV&#10;2D3p/sXOKffcnOdcT7bh7o+fUZybFDSfzUopnmH9P4Qwsj2Ys1MMnW2kYx5f1O9dwTT6M/XhD7UN&#10;2V6qeydDv2K220vPHP4Jteupa9YOv3HbVM+L6Fcx9xMMBqOh6Oxcdqpph/x032kY/SQ35fwnxMcD&#10;W8at9ispRN8spvTIOA8HnvMfsxnnI5evHegyy9TV1cn+HAaDUTdAOLEJGWC9RdJS19ICFkShOCKO&#10;SYhPcVHN+csxHHmHKD1bukqJui8nVGo0o1wmcL1wJGQljHvPbMeCGpUKj+HrQkS0pSvFasS9uCJu&#10;KYaFThtwr2zH6ucX7SiOEGwS6Uu1P1v6ShmnXAxGbLBIevxhIZs96erV6VdAKCVuCzLp+wLfPQqn&#10;J6K9bEJpdnyg+IOK6PZ3tUYoVcIQhheVIpErIheQ5xu2rhRRpbb8M5nNphYHMVfRQcwfWhAY5McI&#10;0pGs2nFB8DyWSIsIVFC2bfUMqP2tpE0gxbykav9RLJFvzJ8aeO5RKuuPMcTuTs9ZMzeVfuPnVw+9&#10;UJklBoNRB+Qnh16Zm0z10rP2MbIrt+ADqBXDxYg8PKP6+a2GsDs6ch02DJHtpUaiYC5dyo925Ic7&#10;+AhI9GVqn+jb1PtZ+Li4ND/Ow4d5uYz7lbzv9HOfwWAwmgUzinSgt3NvkHF96lfz9D77S/Stou+L&#10;eH9vNWGjkU+yx4eCjHM32dB9O6fc0a6uZe/V5QKXLVv2GlVkBoPBqAlJEUlrEfq0yBqFRgiJYPja&#10;tjTVMhw1aUOzyqVRr+vFEUptx4FApQKppo5krVQg1YR4GBfVXiPMcoJilEhajUCqWer5t6WtlHGe&#10;WQYjNlgkPX6xa/3y19IPps2Bl76JfkDdk8f8pPSDqpRjyyaUhofUbC7lcG5SaJLbELkgfrCWEZ6Y&#10;zIaS2p4ahqvgOBbt1WiTch7R8sQx4rnUbVqds9UiaRmBtEAxDBkEYs/9pZiDdCqVyU8OvYVMEEcC&#10;MRh1xraJnhft8FNvyHnOBNmYfXgGr/NHF/Xd6MvDz2ksKvul7RiW+AhkL0eSHneUYjmtUxswRXPR&#10;NmhZS/8UjiJ9/8r+h6n/uDrvj5yimjmDwWA0FOEo0i3L+zbO+u61ZKPupt/LT8HGJX30ImGnKY9k&#10;m8VHi4Hv/IRsdCbr9L2mq6vjx4XydXVcporNYDAYNQFihU3EAJslkobngqyUOLZc1CXKYju2VoYj&#10;Lm1paiFEySg0q1wA6riegiyibqNgOwasViAF9TC0tn1xGScKspRwWS2j2kGpa0EcrVYg1bS1A1u6&#10;SskiKaOuYJH0+MW27KoX5DaO/mPOc6YDz52nH05P7t88Ln5QhX9oaZ67YvHQuxBGWieUqugFCDC+&#10;HOIN2xG5hnIgiq9UZCyT2QiiveHLcrDgPJmGA1k6keU6HBblHSs4Hm1ZnEc4n4niowC0ezii1TkV&#10;i2Js41kughSiKKK6Qcrn47MZ99a8514deKkzZjaMvHUu2/1SZYY0WDBlMOqDk+ZX9bxg59TQ28hO&#10;fJH6xscw5N7m0EdO1fbb0vbodTmc3x4WSY8bwrbjHXH3puViqGW9XfQ/mFtbCKTomxb3T5XQjCJ1&#10;+jsPXzvpHAymnS3BpPsXqo0zGAxGQ0H2Z7u2Q309HXMznrOS3mP/CzZKv9+LD3MN25VUztLvBryP&#10;U//9YH46fWF+ffp1XV2njuryEXluUgaDURckQSStB6MEN0QP2o4Bw/NkQoxCBKctbZg2cdaWrhZG&#10;RVw2s1xAeN5Lk1p8NI/D9aNE3HLitu2YJBD1EAWUKWo4YtSJeW+QHnVX7phSqLcga9JWVlu6SmmW&#10;n8GoGSySHr9YWDjhxKvXdj93+wbnTfTD70PEu/TcgYLGDyyTSRJKkUfttJXOOdpOyz1iflIVxWak&#10;ZzIbyaKwqbcpZ7GIrtFOY72MJs4l5xJC25ZRqKKNt9gpU0YgFUQeMQwn6oLyfXvOdz475zvjucm+&#10;P4fdUSaIwWA0CDuml792p+9cQM/fTwLfObR90jmC0R/0c4shTM1ntmpOY+5JadOiPrBiLg3iHuOd&#10;qvhupfsmoueIj9bE+5hxTCX89JqRQhsFP7Sy/2f0jveRION0bZ/ue5Vq3gwGg9EwLFu27MVkfx7Q&#10;dmgq3beZfiN/kN7Bf7Q3i+kv2uvDINjq+S3j+A3xRC7jXhlsSr/7wpW9r9flAxE5q4rPYDAYVaOe&#10;wmU54SPutbTgpgERqFxEXJSIVErcw3VKiXSl5hYtJxyH0+MaECdRN+H5LCFcok6iojNxfCk0s1xR&#10;QhzuTZTYGRX5GSVu29LbiDrUdYs6jRJzbUR6HamJ88Rpp1GIOj5K9EYdRrVznccw4oqkaGfIm75X&#10;KGucugoDbcWWLi6Rj0rndmUwIsEiKQPD8+U9ZyjwMIyQc0eQcQ9BnIFgavuxBdqEUji3bGmbQeGQ&#10;87FeHOZUrwvhSpRnjJ24zLoRQiAiRzHfj4imQvtChCgcxBBE0QbVchZLyzlsjmQ8dzifKe6Ldbqe&#10;LX21zuhqCIHUFFpAUyDVz5oQiX33scBP/yDnOVcEU+7ymY3uX9249i3PVWZHgF5sWDBlMBoARGvn&#10;/dRpZItmA8+5k/r3py9ds3gY0/NPq3LYXcWCSIa+lp599LG2dMz2pxZH0d8Vt9ESfZsn92mx1Dyu&#10;Uq5zewvtc3yo+2jgO7tyGcfdvWnkzxEhrZo3g8FgNAzmULvd3R0PYxQUskNfonfa+/ZvmWi7ebjx&#10;bj5P+abfI4epz95PZdl43VTqH3q7O67Q5eQhdxkMRj0QRxCKy3JzaMa5FkQkm+BWTkACS6GUCFlu&#10;2NRSx5USqwDUAY5DOaLSmSgncpVCM8sVJaaVE7xw70pdE/e0FGzpTeKcpfIcV8grVVfl2iruWSmU&#10;KmuU4K0R1RZKPV9xRFLUc6n7FCVig1FlBWzHaDIYTQGLpIxLJt58ct4feh39eBrOee7ngox738Gt&#10;5X8EwsFa+HGlWKvTtVpCKEKUHdYx1yPEUR1xh/kcD5yzQgw1VIx+YDJrI5zGEDPxnCBqcj+eFwik&#10;Zhqibptx2x1ERuHMoDZcjD4liiF6WyfylxFIMd/RUdTHwa0rZFl99+bAcy7K+anhuezYH93S0/Ms&#10;ZXIYDEaD8ZUPjv5G3nfenvdGs9SvH0AECezK+nTfome42o+bYNNEn6uW6FthC1sd6c6sP/UHQYV7&#10;TNvwIQyGcMT9z3v0vkXL4gdq1TEcRfqRVQOP0fvop3Ke8+aFhQX+oIbBYDQFHd3L1mg75PR33Zif&#10;di/O+Rhq13kYI6S02wdB+L0C2x347mEqx/do+YVd0+mxdE/HWsPm8pC7DAajZtRTJC0XjVjuWlFR&#10;dgCiMW3HadrEVcCWFiwn7pUS2lCOeqOaCEJbWrDe5UK92tKD5e6ZRpQQV+l9A6MEUiCOcBglJkcJ&#10;u2CpY6PaaDnxWgNiqu34UoJyubLiuFJ1DETdX7BchLjtGE0GoylgkZQB/Fu25wUzvvNn+Fo2yKSv&#10;px9Qj0CggTMMDjL6HyLIMT+8wk4t8IxUzzHpmkkZ1ULr4CKHHQQnKTpJJ98oO3SZsSkiaUC1LiKo&#10;dPuCmIl1RNJgO20zxdKy1M9aYZuMyNHnKG5vDctFkKI+8DyJ//Gluu/+mMrwmfy0M5TbNPbn2Wz2&#10;JGVqGAxGE5BfvfrZ+Q3jfzg7tXxZzqdn0U/ft3fz+MIOslPms4xRIK7e6BSe5biEbRJ2ic4HW4W+&#10;dO/Z+LDK+LCD2dbEPZX93uI+SN5v9Fno92TfNUdL89hqeEaqGEW6arj7UOA7Xw2mncld64d/UzVr&#10;BoPBaDgQVVm0RT278r6zh+zeL+n9/kmM9lJ4320TwoYLYVdGkt5HtvUbtP6+T54x8De6nIJdy96m&#10;qoDBYDCqQlJE0nJCjobtWM1SEW+2tGA5lMpvI0TSqMjHVperHsJf1L2vtHxgnOvajtOMI+5G3ZNS&#10;dRU172vcIWajrmtDlEhaTkzWqKasGrZjNBmMpoBFUobG5evf8fy5bOpv6MfTZM5LbaflL+ez4yKq&#10;LUqksQkomO8M223pm0HhvDOctVJwkqIT5pLZt3lcRP+JYU3b7Mcus7kUAuAmOdcoopH3ZyeKkZ4q&#10;kka0L98ptLFKhAItMOKc+7OIRsW51PFYaoaOaxajBFIqq/h4As8TorVzvvNkfjr9jcBzP5XflB6e&#10;88b+aD7rPEeZGAaD0TQsnHjJxMTJeAbnMulpsk8/FCMs0PN6BT3T5vNc7fykOBdsnvzfXdib5eF2&#10;lwL1+x6G1kX00Z6zR0WkKLbJodTxsRD1U54j+iZqX6rfq54Xnzm8qE1eePrAd2en01sQDY13U9Wo&#10;GQwGo+EgG7Rd26JNo71XUT/3PbJ1h2l5VH84YrNjSSbyTb8tjqp++6H8lHNVfmrk7zu7O+Z1WRFB&#10;q6qAwWAwqkKUeFUpywlPUdcqJ8RoREVcViq2lRNlSwlHcfNaCeopkta7XFH3rVTewogSWktFKtrS&#10;asZBNXVqopr2GnXNuIgSWm33NkokRX7iIOqa5dq77RhNBqMpYJGUYSLnnfaSa9em/mbOc88IPHd/&#10;4DuHdm+CECSFG/zAsv34um7KFRGk+oeWJhxftvTNonDcKRGrsJ1+3ArHLm3XkRAF6jRMJriobUjK&#10;6FG5DY5jOewk/T9N+yp1nNBxsm1i7lxsw3nlOXO4jthnpG8yy0WQgrAJ+PBAzFXnu3fQ/5fkp0eH&#10;ZjcO/akyKwwGo0X4+sTEyYE/Mki2ZU+Qce6lZ/QpfJTxiZAohbkgzec6LtGXwobJPhVLNUpDKB2z&#10;zUj3EvfQJLaL/kqQtiEN+im1rxaa74+IIs1NuRfv9p237872/+42HqqdwWA0EaZwmBlDJKl73/4t&#10;40vio9oD50yIDz4Dz7l+Zsrp6u/uukiXtaNr2RZVBQwGg1EVooSgSlluWM5qRKcw6ikmRuUXYlSp&#10;4VbjRk8COA+ug/Ih71H5L8VWl6uaPFfCUvfellYzDqppKyaqaa+2tPWkLd/1EEmrKauG7RhNBqMp&#10;YJGUYWJh4YQTr1479tL8pPOWfMadyvnOzkAMnSmjxTDMkPiKVv3YCjM7fuw8peeu6LembRZFXuHU&#10;E/9jqaL/4NwVQ8aNimECETGBH46ILtXlDJ+LuTQpnMB0v3HfC/OMbhmnNj8mHP4FUb3gEJZigCDa&#10;ktiu21hp4utznA+ioozQWa4ic/S5nYKIbztnrdE6lRBDaWMozlLPMsqBaGwxxKbvPEbbvkN5/iwE&#10;0jnf+bOZ7Lufp8yKBs8px2C0ADlv+G/nMm6W7Mtusin3w7bB/kAYNZ/vaj9qEsKZsFmOsGMHtkzI&#10;jyYsaZnJpewDx6jvm6C+T81Jj36IiL5RpMG9Vh/0yBE7isdXyw+dPrS4Ha4e+nYw5Zw+N+2+atu2&#10;E55BTZj7DgaD0TSYIumm5X0H6d320YPnTCzsIhtps2HtRIikGLkm8NJkZ9PrR/s7LjHs73ZVBQwG&#10;g1EVosSRuAJLXNQixGhUI3yVOiZqiN+ovMYZvhRDq0bNw1kJW12uqDqvB0vde1tazTiopq2YqKa9&#10;2tLWkyySMhgWsEjKsGHPxMSLdk4Nv3Hn5IiT952rcr77EJxm5URSsNQ8pYg2taVvOHWEnuHQkwKU&#10;WqftEKr0MLwQyTC8Koukxw+1SIr7DiexEEkhmAvHsGo31GZkm5D/a5E9b2wrR1zHFElxPrRFiJ/i&#10;mVJig47UsZ2jGTz/tIFIgRREOTDELspCeb41v8n9tznfHcQ8iPjYQpkSBoPRYuQ29Pz2jD9wCtmV&#10;rdSX3w4nKYQwPMcYatd8zqsZJr/Qn5Ldgl28futK8QFIOB0z2dTz1qF94D1I9kPy/Qj9IdbRTxU/&#10;1onX70UR8+EOGn3N6lTPfbMZ54IdU+7/5ghSBoPRCnT3dFynbdKmsd6vBr7zGD7+kSO+tDflB5qw&#10;7+kfULn+/ezRvg/psnZ2ddysqoDBYDCqQpQ4EldgiYtahBiNaoQvREja0oMQFM3ISwiFUeLm7cRy&#10;iCpnNWx1uWzp68lS996WVjMOmi2SRomV9aIt31HXZZGUcVyARVJGKVw+PPz8a9b3vh5f9O/0nety&#10;vvt9iKUQbyAmQSQpJSTC0Rp2vkJ0aeU8pQX6yLMUeuHsy2EbfvjCISi2SUcg/kc0DH5M4uthOA91&#10;mcV+ZltRiKDiPsp7CSfwns3LxVLMLyQc/SpCVDn9ZVvQjmAd3Yk2E985jOuKtiMEV71dOp/Nc2K4&#10;3uL+xWxWBCk+ZAhHg+O5NYfYhZMIdUZ5Ohr4zsOB794SZFKfCibdwXx2xevyq1c/W5kQDRZMGYwW&#10;Yj57yjN3+P2/NTft9gWeM5fz04/K59ld+NKke8zzXkk/DRupR2cQ/8Ouqb4UdkJHIDKTSf1hEPpG&#10;cQ/JvuMegrMYaQP/Z5zifRX7jj1PNcQ1zWjm/t6Ow1/emPq33KTbuW968NWq+TIYDEZT0dPV+XFt&#10;l04b6f4Z9ZWP46NA2EqbLWsn4gMmlIPe338WeOlrzp3o+6wuK/EBVQUMBoNRFaLEkaUikgJRc5lW&#10;wnJD7dYretRkq8tlS19Plhoe2JZWMw6WokhqixBmkZRx3INFUkYUPrXxPb8ReCN/Mptx3hV47vsD&#10;370577uHIR7CAYpllGAYHs4PRJSaLW2zKPMLMQyOXOnMlcIpltIBmIMzkP6fz46LqApEUWAoXv3j&#10;spQ4zEwmcc/hDEab1VGicHgg4gn3VzryEdUpncPiOAinRBwr2orvqPMZ7SYG0V5wPRlxiW2y7Ylr&#10;4X84ooXTGdcoHtdsQiANP68QTMwhONHuISyj7ij/TwWecyDvOe/NTbnLZqf6XnOZc8pzlOlgMBjJ&#10;wonBxtH/MZsZpX48/R/U1/0Ktg3P82fWLh79Ac89IvxM+1CWsF3ador/XTGkH/pN/B/1nsBsDbU9&#10;l/3Tctkf0X3U9wp9Je4h3ofEx0N6P/pGlaZa4hzhYXazy/u+OUt9ydWru1+xkM2epNotg8FgNBWD&#10;3Z192i719XQcot+/T8AWLoWPfvTHS7mMc28u4x64bM3wJ0w7rKqAwWAwqkKUOLKURNJ6CFhXEaMA&#10;sc92XK1sdblsx9SL5xFLwZZeMw6WkkiKeWRLCdlR12WRlHFcgEVSRhzkVw+9cOfkyP/Je+6l+Yzz&#10;34Hv/irnu0/SD66j+NEFZ1spJyiG6TR/gIGIVrOlbRULwhgiYvC/WFeCmeE0FFRCFrbp7VHlZzaf&#10;4t5A4KT7IiJksJ3uW8HROy2FSpleDnkr1ukY6QhWAqYQNNW+SijaU1EwQH5wHhmVqtqVOnex7bWO&#10;iBxz+7sWPaOIBNdCCeXxqGjfqCc/fTiXST9K9fetwHM+EPjD79i5NvV7ylQwGIyEYjYz/juzm9K9&#10;gZf+OD3TN5PdO6yHxUW0uPn8wx5UPES+tA+yL4S9JdsmncqISGx/5/JSoHxPwQgJtDT6PblO9xv9&#10;ptjnLMxtkttFH1hIUztxfrQtc5jd00e675rz0+vzG1J/qJorg8FgtASjA+9+q7ZNEEnpnf5xiKSL&#10;R4RpT+qRA6h/fpBs+n9fvjZ1lS4ruGzZsheramAwGIyKESWOLCWRNOq4OMTxpeb51MCQtbZjNXEO&#10;CF2YrzSMJJcLAp3tWDCO2FgtbNfTjINq61Sj0vaKIY1taTUbBRZJGcc9WCRlxAEZpROvXtv9ezPT&#10;qX+eyTgbd3rONTk/fTv9yHoSEXL48YivU0tFGGCeUkSnmD/EwsN4tpRw/kGsgkNQOAXhHKYfw74W&#10;0LBPUeyTc3TNbxnnKNMEEXWPe4A2iXuCiMcb3rtyYe9mMTysuH9aHIWjVkRwCuevEkPVPYZzXzqT&#10;q6W7gDl892eXL9BzQv9TO6LtOC/Obw7he+yxzaXt2fRH+wsCif4AYB/V4R6q27yX/nnOc6/d6Y9m&#10;5ibdd+wku/D1iYmTlalgMBgJRX71O5+9a/3wa+cyo13BdHob2aOHdp1dFDEvOG3xUNsVC6Wwb7Bp&#10;sHmC0o7CFgoHM/eNLaXuH/GuhvcWage0Xd4z2f+hXxwVEaS7RbuQAmkg0sl3oWLfVR3RBnB99DG6&#10;nUGE+NfTB7bkMs6bvj7x7uep5spgMBgtwdoV3b9n9oXXTqaeXCoiKWywFEnTTwS+84tPnjV0wCyr&#10;qgIGg8GoClHiSFyBJS5qEWI0qhG+oq5bjhAI4+StnEBWbpjepJYLqFVsrBa262nGQa35jqrfUnVn&#10;S6vZKLBIyjjuwSIpoyIsnHDijunh1+a8kVX0A+u6XCb9QwilcHqVc4AiKi08TykIZ1nFQ/s1mFog&#10;E0KaWheOROX0lUKqXEoHs07DTBKFQxjCnrh3dL88OPClQ1jcMzj1hWP/2GNrIp1TfDSAdSNqVYik&#10;ZroWE0NfhwXS8HDYcKxTvkUkKS0fzXnu3mDaGZ+dTP1/e6YmXqQsA4PBaBPMTjmv2emlzqFn+TZ6&#10;ph8ju3gE/Tee9fDID+izK40ohZ2T4hr9j7mW6X8IpTi/LT2zORTvM9TviX6IOAtiH+6LeIeRbQAi&#10;qUiDfeIdB8fIZa1EO7vkrMXDO5/ldO+amRr5fdU8GQwGo6WYmXj387q7Ox7SNurz64aFSLoUhtvV&#10;fT3Z+MPEhy5aPXCzLmdnV8fNqgoYDAajKkSJI3EFlrioRYjRqFT4QpSkLS2iPiFsYrjX8Lye+B9z&#10;i0LYLBdlqYG05jlMxqnHpJYLiMpbOfG3FtiupxkHldZpGNW0V1taTVsEcT3AIinjuAeLpIxKccnE&#10;m0+e3ej+Vd5Pj9EPrI8Gfnou77vfp/8f0VF8u+gHGH5MCgdciLbhd8HERJXaWHAUSrFNCGtURhGF&#10;Qf8jIrGwndLByYhIRiEeox5YRK0r8QNfzDFK7a1Q1xBDTccu5hDFUgmUQihV90s4iGmbFi/rxTm6&#10;z/s2j6sPBtBWiudHhE4hfy0mRA8zkgc0I7t1/aIcc1SvQSb9OJXl1sBztwVTzvpdZztv3rV++PnK&#10;JDAYjDYCnt1cxl2Wz4z+G9mk/8LQ+YgsRP+N5x/D4Zu2AUKpaT/CFGKowWK/D3snbZ5IQ/YP9lHM&#10;ZU62xfZ+wKwvUc8Y5QL9JP7XfaB8XykuYeuRRtwT3UeqNLLfWtx3he95OeL8eCfcMZVeNLS7O9B1&#10;+2fWue/g0QgYDEZS8LHV73x2d3fHLdpOfXDlwNMHt64o9JHtTNH3EvOecyTwnMe2TvTdocvZ2d0x&#10;r6qAwWAwqkKUOBJXYImLWoQYjUqFrxVEW9q414uLWsuW1HIBUWWD6Noo2K6nGQetEEmjrtkoQZlF&#10;UsZxDxZJGVXgxPls9pl7vJGXzWVSf5PznIm8l/5k4Lnfg0NtL0TSTXJYt1LiIOZAtEWVmvMgJoYo&#10;gyiHchLCeUhLSRWNIZyI0ukLyqFeJ9QQvOoHKY5l1oWoT9QrRGjUtf7CWzh4sR9L5eCFOBl40qkr&#10;HfWgdvgudvzWSgiLyAuuUYwepX1gKG2rCIF0ndt7zHOHZ1KnkQ7tMdXu04ep3n6a851Pznqp98yt&#10;Hf4jzFGsbAGDwWgzfP2SiZNnpiZ+PzftvJPs078HnnMvRNJC9Dsx/BFFxRGlop8s2llhf8kO7t8i&#10;h6aHjeF+sfFEHaOPBMVHXmK7iCJS/aD8oAfDLou+i/bLe6X2izTHnrdSoj/ZSdda6/Ye1W2qt6fj&#10;sbNGuvu29fQ8SzVNBoPBaDmy2RNO6u7uuF7bqveO9z99w9aV8r3YYt/aibrvJRuPd/uHtk70/1CX&#10;s6ur4zJVBQwGg1EVosSRuAJLXNQixGhUKnxBxLOlRaRlPVFr2ZJaLiBKhMOwvZVEpVYC2/U046DS&#10;Og2jmnsadUy9nyeNJIukjWobDMYisEjKqAWXIyJlg/OmXZ7rBFPuJbOe+5VZ38VcpfflffcpiKSF&#10;aErLjzUM7Vn4cWYQ0abhtMklnIgu/egsOhNltIZ0PsLJiP8h4okfp7SfncPxiHrSEShwTsg6pH2q&#10;TgMVLVpw/tKy0M7EdrkMn7feFHmcls4TKY5KFtvB4vTSUd18Yv5RM4oHPCPVUxA/dH2L9PjKPCOe&#10;45vp2f5iLuO4+cmhV6pHn8FgtDGy2ewzr6HnOZhOpXO+E5AN/TkiSneRfYWdhU21RZubH1OEabdr&#10;yg7SeXHOnAe7DcoPWGDPebSF+lHYcPSXot/EKADStst+0F2Yo3Wzr0QaGdkr+6xC36rWzXPjuEr7&#10;Lv2ug2ttXt5/xGxPowNdl6jmyGAwGIlCV1fnR7WtWuP0HJrfMl6wZ+1MLZLmMu6T1BffdVaq986C&#10;XaYyq+IzGAxGVWimqFOLEKNRqfB1FdGWFuJepcPORiGqbOWEy6ihesFWlksD57VdD4x77yqF7Vqa&#10;cdAKkbTc3LRxrlspkiySNnI4ZgajABZJGbVi20TPi3atX/7aWW/0rXnPGcr5zodnfWcf/fj6BZyt&#10;+PoWUQxaIAz/YLNFtoHh6LbEUohxyqEoHI9YYlvRoYglfmAjigYOSTgm2SkcTfyIRz0h6ghRTohy&#10;wVIMG6ictzlaSmeuPk7eg0LdF7Y3hmjPyCfydOCccZkvJZYnbXhdDKEZnn8U28zoMHzQsAf1KwWN&#10;h3Ke+7XAc8+h9XdgHsP57CnPUY89g8Foc1yWdZ5zjT/6+mAqnaLn/xP0nP9YD18ubduxQ++CF585&#10;vMi+RFHa4mPtIPrM3fR+sD8rrwdbH07DrIzoiwqjKxAPUp8p7iP6QZOUDn0T3snQrx48Z4W8R9Lu&#10;i74TLEYCV0edH4i2H1w5UIggBYd7O6/7ysbR31BNkcFgMBKFzs5lp2p71d/bIebt1nbN9lu2XYi+&#10;FmXBOz79ZrplqK/zEV3Oju5la1TxGQwGoypEiSPV8l+INtQixGhUKnxVWj7M24lraEKMxDlKlUkj&#10;SqjCPKGlRMtyAinYynJplIpc1axEDENa5AHCa9Q8nbbraMYBrmE7FowjVkbVMfaVAu637RgQZYaQ&#10;GgdoMxhWGefD/SuFVoukUQI69pl1jfaGjwY4wpRRV7BIyqgnrvVGXrbTG/mXWc99f9535gI//fO8&#10;7x6iH2NH8n76CP0gOwonnO2HG+ZDDIs4IJy0tvRJpS7fIpEUjkc4J/G/ckJKBySxRH0cbxTOXKyL&#10;+tCUzlxdl6JuQRWNpOtPOyx0fTeF5nVFXoz8ie162VoiejQ8tDWeM0Rx6zS63rGkMhym+r5n1nf+&#10;M/Cdfw+m3f/99YlLeL44BmMJIr969bNnp/pek/PSAznf2Ul8EFHkZA+OKHtgnUfctB9xmFPiHM5X&#10;EE2xTdhLNfyrSFu0q8zy1LZb/q/eMwr1qtdVOvSnofTYLkRU9XFPkMF0B3p/7USk8OfXDR+CyKDb&#10;Tk93563Lli17sWqCDAaDkTjARpl93pUbUo9QP/W0jsS02bt2ID5cwQfMtH7PZ9YOf90sI5X5Nar4&#10;DAaDURWixJFqCQHOhlqEGI1KhS+IcLa01RCCT6l8QvSxHaMJkcsUJCGUlYoGDbOV5dKIcz3cG5Qx&#10;LIAh/xBGIbSGBTVb2TTMdGHGQatE0jjCN+oinAfUG7ZBGLW1jVLAMeG0ms0QSeO2Y5NxxXkGIxZY&#10;JGXUGSdiSM7cVOof8lPuaOA7H6AflTuCjPtD4iFEjuyhH2j4kWb7kYmotvAQfyBEHoio4fRJpXQE&#10;y/KJ+TDF/7QPzkgsp+mH6qYxMW+pjo4UERfix3fxPEuZKCfKq6NFEf0iIkazE2IdaUS9mc7eaVmP&#10;Yhv9L53tcl3Nn9lwwqmMfMP5i6hLeb+QB+mgbqpQG8FS0aN4lsxIMJRFtD96NsXwW5n0j6l+d9Cz&#10;OxlMDr/j82s6fkc92wwGYwkiv/qdzyYb+jrML77TS11GdvU7ZAMO78suF8OIIxLwM2tHFtkRsNIP&#10;mEzbKObzNv7P+87CPrJD6ANg/2GTdMTLonTHOXX/I/pNo75En0nbZTrZH2Ep+iSiEEPpnQR97V41&#10;OgPSiLrFsPU4htZt/VelfRryh/e8XZvSC9snnSOp/s7DxXZz6iPu8LK/U02PwWAwEovurlN/om3X&#10;lvG+X5OdfEyOBtS+Iin6DfzeJLt/J5XpZl2+zq6Om1WxGQwGo2pEiSPVspQwU4sQo1GN8FXvMkLw&#10;tEXClYu2rJatLpcGxDvbcbWwVNkAW3rNOGiVSApUIxyWYym0WiStpl2UOyeDURFYJGU0AgvZE066&#10;Yt3Ey+c2pd8YeOl0kHG+lKMfZIHnPgVBCw6+KDEQw+yG504EMX9iWwzBq0llhJBXEM/UUv+PH6r4&#10;wS1Ft+PPGSwct6rsaBPaKS7EUdQb7QelI9ddmFVCZPEc2tEuHbzNIK6HPMp1WhbasXJMgyptq2iL&#10;HgXDw+uCKAsECVo/nPfcn1AbzQXT7rp9m0b/lF46TlSPNIPBWMKYyb77eYgozWeG/99sxv0U2dlf&#10;CvusbATstK1fNuc0jkPRD2rC1mPpYwn7rgVA2R+0+7CGjaK4L1Q3EK/l+4OxXfRD9L94x5B9qPjf&#10;OAbp8f4l+lkP9w79qqx/8zrVUuSL3m2unXSeXuP0PGm0l4cwhKVqcgwGg5Fo9PQs26DtV39v59Nk&#10;K+/Hhyawuzbb1w7E+z4+Ysn57vdXDnffXrDPPB8pg8GoA6LEkWqZNJEUqHc5bWVEtGXU0KNRhECJ&#10;YUht+1pdLhP1FoKXqkgKsRn31HZstSyFVoukKGul7b7cORmMisAiKaOR2Laq5wX57NgbZjPu8pzn&#10;XpTzMFepc8es7z4Mh52OoCzlCLXNhwZiDtOrNyL6wX5cIimclvp/LQC6Yl5N4cSk+hCO4um0+AG7&#10;b/N44YtfOI21o/qY8yaMwhELKkc3nAkog4hgofLoH+hII9OjLpSDVhBOWyU+wolL+6QICkdu8TrN&#10;pnZM6wjYQr4oTxBvZR7txzaLcaNHQbQp3BNZBudhej5vy3npK3KZ9Jmz3shbL+P5RxmM4wqXTLz5&#10;ZCGU+unhnO98kuzEjYHn3h14zpFdZPNgx2f8Uevw3ZXMU1okbCaEUG0/8dFLcV30kR7mLh1bNOIC&#10;bJewxcecb+lQ96PoQ2Gn0Wfq8hc+xKG+p9APob8Exf9yCeET67r/xXrhHUT1pTqNPI/ap1h8X4lH&#10;0d/TtdS7zaPTo/2/NttJR9eyLaqpMRgMRuIxMPDul5s27IvrU/dhtBvYYpsNTDrJ3h/dv2V8YT/l&#10;/9pJ5zu93R2P67LxBywMBqMeaER0YJKG2wUwtG214mUUbfNwVnMt1BeEplL1k4RymYi6j5UQImIU&#10;bMdoxkErRVIA97ReEaUQ0Euh1SIpEGeIYZM83C6jrmCRlNFIZE/InnT58PDzd2VX/mZ+0+hf5jMj&#10;qwIvdWXgObfm/fThg+esEMPElYsqtUXFgRiat53EUhGtgaUmnJxwVsJRqRye2L43u3zhANXN/Bb5&#10;Y9x0DNvOmxRqAVFHAgnnLOUfZcB9PkDlATGMozgG912UH8ejDuS9hOgoI2TwtbasG3mNYx25zaIW&#10;fuU9QJ6QF5k3IZKK/+3HNoMVRI8exRL3Be2L2uQTOd/5FuX/M8GkO5hbP/rqr09M8BykDMZxiMsc&#10;5zmzmfHfyU86b5nNOBtnvdEDZOfuh63Tw+DCzuNDJZutMexMWaI/lB++oN+T6+j/dB8p07miP7l+&#10;60rRJ+r+sGiLi+dbSjQFUtS7GIqe7DXKvmj0As1F2+S7BNZRR8IpTseLvgrbRZ2ruhPrNfMo7hnu&#10;DUjXfnzz8r77zLbR3d1xuWpiDAaD0R5YOOHErq6On2o7ttHtewTTpGBoeIsdTDzR56IfQX/w0VWD&#10;txk2+gGeJ5rBYNQDEHKixKRqWEoAgahnuxa2YV8cQIy5nRg+hxYaw4gSEhEVGT4G6SE6oQzloiZL&#10;CVA4R5woQuQLIrUGrhnOK66RlHKZwPls9zIOcf9Qblu5TEAYDN9r/B8lGJpAWwnfB9RZqbYSRqn7&#10;iG3YFxeoc1ubjUPUcTnRGmVBmcLtAfksd6xGPcqKa5VqkyaRBlHXDEbdwCIpo2mgH5v5qdG/DHzn&#10;9MBLXZb3nW/Q+q/zvvsUfrxph2cpwRSRKrYheEE4Z9sushRUTuFChKT4Xzk59XpIfEM9wXkKyqHz&#10;FhP7i5T1KYhjFc3ziXOCZlrB8LlC1xJCqMwL/kekEYaf1U5vESGr80/b9HW1I1xSOcZBDPs3rURS&#10;OheWclhAXHtxfptJnZdCHiivOco3nM2iTKH702xWEj0K6vuH9cB3n6T830rP4afpeRwL1o38iXpa&#10;GQzGcYxLJiZOnpka+ftZf/RcshWzZJ9vI3vxa7Lrh2DXYUPOP+3YkR5gd2oaEr9gT+VSi32FfWR/&#10;8b8W+2CXkRdtp9uRso9D/6ntM20X5ZRLlFW+J6C/VH2m6o/IdlO/KbcvPqccLUB+iKSOxz51PEZw&#10;MNNXS51nLOm8R6idPLR5ee/dZpvAXHfsgGcwGO2Izs5lrmnPLl8/8hBGV5B9j7DL4sPDJBP2WfQH&#10;tKQ+4wjZ6nuWD3aZdnq7Ki6DwWAwImATfkBsj4NykbZR0IJkOA8QvuKIhFFoZblMQOzCuSDS2URT&#10;CGLYjnqAiHY8i2MQGxGVifqw3T8IqdgHERhtp5b20Sogz2gPKEdYMNVlY4GUUXewSMpoJr6ycfQ3&#10;9ngjfxJkUv83N+VspB+XX8j7zg/wQ3N/drkQ3MAoh+eFpw9GiqWVzI/WagqRUAw3KNeFExhOTeUU&#10;lWloqRybWCIK84b3rlSRNROFr4IRbYKvmxHJgegTRJwIqjotJaqCWuzUNIfIFVTn1REt++mauC4i&#10;gQ9uJW5ZsXCAiHSybMX8I8+6fMKRqxy8wtlbSCPLCafDrJgjTW7DccgH8iTP2zzi2siPrkMshbNe&#10;3QeZd/W/cVwzWcnco8SjeK50NFjgO4/kPOfbwaTz6Zyf6t0xPfzaW3p6nqUeVQaDcZxjbmzspfs2&#10;pd+Y89O9ec85L/CcmcBzf4IPYg6S/ccQsF/c6Fht0Lkr+sP2JyZVHyGo+gz18Q1sskiDfRmIg+mF&#10;vdQ/oT+CTUNfduz5kkuUB3lG/4L84x1Ij7RQ+AgHVHUhj8NSrdN2LGVfKreJfouIc6J/Rp9vRpmK&#10;8whhVW+rjXh3QKTqLjofnfues8f6ClFXYGd3x7eXLVv2GtWkGAwGo+3Q1dXxY23T6PfnA/T+/Av8&#10;3oLts9nFpBH9DH6zCVE349zx4dMGbzDtdFfXsrepojIYDAajBCA0mSKNSeyLC9vxmq3AUi0Xg8Fg&#10;VAUWSRmtAOYq3eGn3hB4qXTgOV/K++mfB777ZOCnnxY/6goOwdJEFEuUWGo7ph2oxTcspYiq6oJ+&#10;3BacptgGB6lwFmN/8f/CuYQzVG0T6YospFEU24y0In3oHohrYx8tC3lSaYSTtnAc0srt8hhZFunY&#10;VU5a8X8JFq5NpCXmKhXO73LHNYK4vulMpv+1s75sORrISqNHC6Q8w3lO64cD37l11nM+TfU8um96&#10;9NXq0WQwGIxF+Orq1S/M+al/JFs8mfPdnWSj7yK7cTjw3CPUFxyFXYE9Mm2Rtkf1GOFB9y1i3mpP&#10;rovthf6kKI6K/1tom2OT8qj7EFk+2U+ijLp/Rd+D9UK/X0G50GdCxJZ1ZE9TDyJvEEqpXTy6aaz3&#10;Z+b9VxGkLJAyGIy2BkRE07Z9dNXAf9M79JO78RGK6gPJnic2ohR2Gh9IUh6fIM6m+rt+YJSHo0gZ&#10;DAYjBqKGla0EtuM1W4GlWi4Gg8GoCiySMlqFbRM9LwomB/9izh8ZzHnuB3O+m5/1R+/Ieekn4ODD&#10;DzoZvWf/0ae5FMVSLcJJwlFK29VS7INwpxymIg0coWJdbi9GoVCawn6ZRjia9XnFujqn56hj1Xak&#10;xTpRXEtQrmO7HO5QUszJqc+P9NjnGdfA/6Bw+spzR1JdC+fVedHRrEIwDaevE5F36VyW83XuOlsN&#10;H6zyoOsjVhkaQIijiNAKi6O6rZeKooYTG88Ton3oPjxMbeaWwHM/NeulBnZvGvnzj61+57PVY6lx&#10;oloyGAzGCZinNDc5/HfU96TJtn8o5zsB9Sk/JFvy2BzZGNjnKzc61r64Lv0w+gPqQzCku96Gvk9H&#10;RMp+kPJBthu2DkSexAgKZNNlv9RcyuEYR0U0px6ZAflC5Oui9xtRDuQf9lvacPTxMs/4QIj+98r3&#10;O0iPPhJ9VyGt6r/E/6qu6kHkXY5I4B4l/ooFUgaDsZTR3d1xnbZvvT0dT1wzmdpLtu/neL+GzYVg&#10;mrRh39H/iJF4ZP/5JPUv3//Aiv7tpq3mKFIGg8GIBwzvaRMAwbhDmUZFbWJ41FZgqZaLwWAwqgKL&#10;pIwW4sRt2Z5nfX710AtnNw79aeCNrqQfcDvoh92P8r77FBxwcURSTdv8aJpw0rbTnKXawSlERqwL&#10;0RBiJP0/DUK8U85U8eMX6SEoQuikdeEMxf8yjaCvfrzTNvOc8hxYp6UQSmlJ23JIo9PBcYslHLW4&#10;njpObFf7cExBiFUOXpEvtS6EXZGvaOrziHV1XpQbw0Q1WiQF4eTQIqkoF9VpwXmt6kbXW7MI8bPU&#10;xwBlo0eJcJJgWDC6d4fznvPfuSn3M7mp9PB1G0d/Vz2LDAaDEYUT8x9b/eyrV3e/Ah83kS0cy/up&#10;L5NtvCPw3CcQoQ67CVvvj/YfY6dADJVvs09xKPo99G96m7DFyg6rfgXzbGIbnNX6/UEIpA3uM6KI&#10;a2uhFHZYCKWbx8WHK8ir6E8UMfS+HlpY9+HFci5OW4oQXzFkL9bFcaqvinNsJdSCL/XRD20a673T&#10;vM88BymDwVhqwEcfpp0b6uv8ec5PB2QDn5in92v0gfK3WHKIfkaMKOCnn6C83v7lSWdnX0/Hr4xy&#10;cBQpg8FgxESUmIhozHKA4Fhq7k8wzjkagaVaLgaDwagKLJIykoCenhOeMbvR/au876zOT6c/GWTc&#10;G/J++qd5330c85/B2SlEtxgiW5RYus7tFfM42o5rN8KRKkVEF0PdSaeqcIhC2NMOUqozLJXzFWnk&#10;/2DonOpYHCO3yXPrdQiVQqQVVNuFKGs5Vx0orjOt8qOuK8RWItqD4CY116pyhAsa57BRCLhwWhPh&#10;QJCOa5yHtomoHdQVrivLJcRdUQ+NKWc5lpp3FNGkaOulokdB7ZSn+kO0z8OB5347N+VeutMbcXau&#10;H369evxMcAQpg8GIxC3Z1z0rvyH1hiAzujLwU5eQbTyY8507yeY8DjEQAuXHzxgq+VFHLWLpMaQ+&#10;Qtp81V+p/gL75P9yO+w97LykmrNb9R+SUsgUgmY5in5D9h2g7o9wXkSvFvoT6jtEX1nIE2w1+he5&#10;XfbfKo3YJ/Ot81+OKLfO056zVf9HxxbOK0jnFX1YkdUKprierrMc9SnXTqUe9NJ9vzTvLwukDAZj&#10;qaKja9kW0945/V13YBSkfMa5g+zuI7C10vZL2uxoM4hri76JKPLhp3++bTI1MzbU9d9G/h/gKFIG&#10;g8GIj/OINhFQE2JjP/EPiCb+njhJvJ9oO04zfFyzsFTLxWAwGFWBRVJGUnD12u7nIrJtZmP6FPpB&#10;t3Z2k/sF+tF5B5yPB86ZKPzwLCeCgRCOSkWzgHV31LaAcIRq57D4Xzlfi5T7Cw5T4YhV6bUjFduU&#10;Q1Y7VYWTNexYFenk8dinnaw2B2y9KK5RmH9OXlvkm9bnES1DbQKRLDpiCA4B0T4i2gi2F5wHyqm9&#10;j45H1Oh+OpeuL10nstxYqnV1nmYwShzFkLtR4qimiCo6ZwUc2o/mfPfGYMr9WH4q1ZGfHHrl1yfe&#10;fLJ69BgMBqMSnDgzMfG8azJDv5ObdP8u8J31ZDe35TLO7einb9i6UoiFsKelPlrCB0t1ma+U+gP0&#10;WYvEx0Vp5P8QLBFhCVuPJSLrdf8BFoRTkPoH9BFhYrvuN/Tw74gKRd8hzkt9Euwtoor2Zan8dE35&#10;cQ/eXeSoGIv6FxD5xTakVXkt5j2a6OuQL4iyuL78yAfnwDmRRvYR8kOfmnkU19P1du2kc//qVM99&#10;5j1lgZTBYCx1dHV1XGbavZVD3QHZ8I+S3f0OLY/sVn0JbHOp3yKNJK4pf9tgxAIRRfok9QtfPSvV&#10;PWvmG4KvKhKDwWAwYgCioE0ErAchVLYKS7VcDAaDURVYJGUkDRBLc176b/MZd1XeT1+V893bZ/30&#10;Q/Qj7yn6sXdU/AgUYpj9B2KYpYYp1Wy3oXiPRwqHr7rfWBeOce1Q1u0AaYQDWjqchSBqCOu6vYhz&#10;iXPIdbEP6/p8av9sYU5V6WhuFqPE0TjCAvKryySGn/TdJ6gcN+cy6QtnPLfvy+tHX60eNQ2OHmUw&#10;GFXhkomJk/OZobfkPWdNPuNclfedO8iWPh74zhFth66bdEp+tFTv/rfYP2A4W1xf2XWsi320rmyk&#10;3C+Xui8Q58E6UYqMwoYW7Ko+VqeV15Pr4lr4XxDXVf2ROBeG0aVyqn5odhoOdPVRj+qvCtcPUe8z&#10;R0EAZd4ojTi/Wopry/91vmolriuup/L5qbOGHhvp63zSvI8hgZT7FAaDsWTR2d0xb9q/FUPdMznP&#10;+XQu436b7PLdZDcfJ/t/FPZS/wYJ29V6Ev2CXKr/M+5h6oMeJf6M+LWtE317zPxC6FVFYTAYDEYF&#10;wNCxNjGwFiZhONqlWi4Gg8GoGCySMpKIubXdL90hhvNzunJ+enPeT1+nfuwdRdQEvpDFl7qV/PDE&#10;vI1npHqKPxJDhADV7tGlS5bKOYt1agPC+UvtQv4PRzGGXIRzQDmJ92aXLxw8Z8XCDe9duXD91hW0&#10;PiG4l9pNwZEsHNg4h+nExlI5l2kdjnLtdGg0IY6iDdraJtrtF9anrMeZRB3BIYOoIkQ55TLOvXnP&#10;3U9l+MBsZvRdX54effUt2eyz1GPGYDAYNSPnDb4k76fekPNTvcFU6tzAd4LAc+/ZS330frLFcmja&#10;0YUryIbZPgAB6xVZqinsu7btpl0XxL7iEmKlPgY2tNA3YOh1MZqB7HNE3wPiAxpxfJFCgC2kg1Nc&#10;X5+Ic2CdjkMUJiJP95ONxroenldHHmkBVFPWnYpgReQqHYO+7fqtK8VHQIV+EUuRP/RjWBbzViuR&#10;P1xz99mjC+87beDBvt6Op817193Z8dlQBCmLpAwGY8kC9g4fhph2sL+n8/ZPnZk6h2zmVWSXv0/9&#10;yOOw23gfF79XG/RbAv0A+gb0K/i9gyhS+u18L13/BgyH/4GVfR/p7j71EZ1PjvhnMBiM6oH5N+sp&#10;KCYl0nKplovBYDAqBoukjKSCOtgT86uHXrjTH3495irNZZzdtPwFfnjih6FwZvou5loUDP9wLEWI&#10;TVFD8SLqFMOZ2o5ltp5wYOeEA1r+j3YgnA9E4aBW1I5x4aQ20hcc14KiDak0cr84tomEMIBoKkSK&#10;httiXHEUNJ8DOGRo/Yl8xrk+8NNbctPOO6msr1CPFoPBYNQdM+sGXr5zMvU3weTIurznHKT++pGc&#10;V7RLeomPkUqN7gCxFB80abtWV6JPwDzXtK6HoC1EYnrFSFHdH+BDnKL4qPoItS77CUSrFrfr4zQR&#10;OTortkNEVftFGroWLRdti0s6L+ZpDzvcRT5EmsXbqyXulaaYW5XKOpXuPbTofnWd+mBH97I16vYz&#10;GAzGcQObUEp86Jzx/ovo98iXyXZ+j/g4PnSp9vdqKZrnKpyTbL+cB9t5mH4jfYX6qAvOTHVhaOCH&#10;jPw90NOz7E2qCAwGg8GoEv9C/C9iWByMSwiSSZyrc6mWi8FgMGKDRVJG0jGf7XlBsHHkf8z67oog&#10;434856Xn6Afh9/K++8iezfhKd7wwh5gecigu4wzFiwg/27HMxrOkYCmctip6VDmLpYNbHlN0GCun&#10;MbbTupi3FeuedibDMV5cP+Y6DSTaVZQ4GlcoEMMvimijURHxk8Pwul7qtsB3rg0yKX/WS//TzNTI&#10;72dPyJ6kHikNjvZhMBh1xbWnn/qy7euG/y4/6awJptKfDabcG8XHTX76KfTTmNMSUS+wWResKi2W&#10;NmzecGHrZT8BwVRGfBr7xf9K/FT9QkFIpf2iz6F1jF6A40U6HKcETCwXRXEW+iC9LO4TfVbheFxT&#10;9l3oq8R1sQ/XEufE/zgGfZhcF+kKaYvnrZUyijW9sPdszLs6tvD59cNPjg10PRG6Rw91di47Vd12&#10;De5TGAzGcYWurs6PhmzjwvLB7hs+u2b40sBz6Peq8wPqAx/bTX3ePsxnTe/piPas5jer+b6PyFGM&#10;mkN9wGPU5/yA+oMbc56Tp2t98soNI2ePD3RfF8rXA2SzXZVtBoPBYNQBEARXEK8izhHvJ4aFQ2zD&#10;PkRX9hMRtZl0LNVyMRgMRlmwSMpIOhayJ5y0Lfu6Z20/y3nxLs95cy7jrqIfhJ/NZ9zb4Mg7AKcr&#10;/eis5genJgSpqOhSkAXTpLHoOBaOYtx7sZT7RBrlYNZOapEeVMcUHMtII9b1sjG8bsoVUcqlhpzE&#10;dgj3SGc73sbCkIy0VPPw/Tg/7V48Oz3Ws8sfff2eqZ4X0WPEzmsGg9Fw4GOMbT09L9i5NvV7MxvT&#10;p5DtxXD5+/L+6M9how+IYc+lSKr766jIUthE2Mx6DcUrREhh56WNlf2D7AsWi5voTwyq/SICVfQn&#10;6n86FkKrKXgW+hW9DdcQQ+4WjxH7xHnU9cU2XAvHq/2F86pjxbnkco7+19cUZcK5jLS1UIuk+emx&#10;hXMmBhb6ezuOmPeku7vj+mXLlr1G3XIGg8E4rgHx0bSRmisGu2/6/NqhawIPQqm7gCHohUhKfWCt&#10;Iik+EMaHwmT/f5zLOFflpt1Ns366973j3SP9fR1zobxAIA1/1MJgMBgMBoPBYDBMsEjKaCfMZ53n&#10;zHjuXweZ1HL6YXgR/fC8npY/pB+fdwW++0jOd48iWgVf7MLJB2dfJT9C4YiFQzb04/IYsmDaPoQD&#10;WTuvW8WoqFEQ2ysRR9Gm4WAR7RvCqO8+SWX8RZBJ/yctP5Pz08P7psf/8DLnlOeoR4fBYDCaiq9P&#10;Tb0omBx7x6zvbspl0leQnfoq8cdks+6lPvsxWhf9NRzGWF5y1vDC+nSf1UaC7TRv+GKhtEg5d6nu&#10;l2iJ+U19pyiYinRStJXiK21TAqoWTMW5xTnk/7UQ55Qf2qh5UdGn+O7hT60Zemx0oGvx8LrE3u6O&#10;f+X5RxkMBmMxMIytZfhdwdXDPbddvHrwv8jWf4P6vR9SH3AP9QGPkm0/DJuLyFIQNliPjFSwyfR7&#10;Ftsgjkqb7z5O5/gV8Sc5z/kv6ls/S+c7/YOnDU6M9HV9prPr1AfNa6s5SPmjFgaDwWAwGAwGoxxY&#10;JGW0GzBP6a71w6+d9UbfGngjffSjc0veT19HPxxvCzznqQNbJhYObl0holXwo1NGrBzrHCxHiFYY&#10;9tT8sRkmxC0WTJk2QvBEuygVNQqifVUaOQqnNpwnGLZyX3YcTvYjOd/9ReClZ2Z99yxEb+2ZGvn9&#10;mey7n6ceGQaDwWg6tvVse8bc2u6Xzm4a+tMdvguxFEPmfyQ/7czlfecO6repv16x8JX3rlyYp35b&#10;9tljC1/c6MQa2aFe0aXNJWy9KX5K258TkabFiNQg4xREUfyP+VHFuopkrYdACkIghSMeQzdeT+9N&#10;V0+6C5Ppvqctdf7QQPcyjLzFYDAYjBIQUaVdHT+22FDBFcPdt79/xcC3t085P6B+4OE9m5Yv3EB9&#10;IHjgnBWiL9xPxBIjL4jftMR9m8epn3Cfpt+8dwa+O7/Tdz82M5Vafu5Ez8RIb9dlXT2LxVHF7aGP&#10;WhgMBoPBYDAYDEYpsEjKaGfkvNNesnOj+7/oR+NkPuNcga90c55zLy0fwVe69AP0yXwmfVg7BBGB&#10;J2g4CeOwEsH0C+tT1nMwjw/CcV8uahTRypW0E7RXs80GvnuE2vchWj5A/F7gubm8n/Z2bEi9IXvK&#10;Kc9UjweDwWAkApdlT3nO7k3uH8956XfP+enNged8iWzXN2l5dz7jPkzrjxAfo777KVo+TTxylRrZ&#10;IWre8Go+NDneqPsPfCwmR9Yw6gp9ie8e2u45T5491v90eGhd4kOdnR2fZUc7g8FgxEc5sRQc6et8&#10;8kyn59Fzxvsf/+iqgcc+edbQw2Sf8V7/UOCnHyL7/CD1ib+mfvJeeuf/6TWTzrf//cyhr/hjvfuc&#10;gc6vdnd3fNd2XkSPdnQvW6OywmAwGAwGg8FgMOKARVJGWyN7wkm71q/8zZznvHnWS71ndtJdkZty&#10;t+Y997Kc7+zLZ9LfJz6KSIn57PLCF7o6YqUwZGkFkaZxBFM4dVkwPX6oo0bRLkqJo9VGjepIH7RZ&#10;fEmOdpuHoOC5N+f99FXU1rMz025ffmrkL7+6euiF6slgMBiMRGHX+uHn78lO/P6us9N/O+M7pwa+&#10;M0599zTZso8Tv5T3nOtzGff7ZN9+hYgZ2DrMuzZ/zsTCZ9Y7C5uWD1htq+YZqd6Fc1ccH/1u4YMv&#10;IvoIk2KOagzVqIZrxIgaov/IjosRCFCnGG0D0aOI5v3kWUP3jA50PRquz77ezq+NdZ/6N+r2MRgM&#10;BqNCqPlKt4ftazkO9XY+murv/PVIf+e9w32ddw30dvy6p6fjMVtaTS2O8kctDAaDwWAwGAxGFXjj&#10;Kcte/Nen/MubqqE6BYORCHx94s0nYyje/IbUH+Yz7v8jZnO++2Va3kp8OJ9JH9YOROlclCJU2PkY&#10;lxC74gimIOZS42iXpUUtjCLSqdSQuhBM0T5qddqj3aoIoKOB7z4eTLvfyWecT+zIOG7eT73hBx9b&#10;/Wz1GDAYDEbigYj3q9d2P3fbhp7fzq1P/21+yh2d9ZwPiAhTz/0a8SeB7zyc993DZPfEsPnaDl6w&#10;ajAyuhTUIzscr0Ph491GUEWPakohNb0w46cX3jvRd2RssOupY+oPwzb2dKxlRzuDwWDUD52dy07t&#10;6ur8KNnZB46xuzWws7tjnsVRBoPBYDAYDAaDwWAswraenmfMZp3X5M8efXs+447mMqPZwHM+Efju&#10;trzv7KHl1wIxf6n7C1p/MO+7hxB1sU9HmmbHRcSentMUkRiIyIC4WhSrFjskKxFMdZTpxWcOH3Me&#10;ZrKJ+4z7hvnySkWMgrjHcUVxOLG1eI92qKN+9tIS/1MbfZrS3UfL7+X99Hwu434hmBbz8HZjeN1P&#10;bRz9DdX0GQwGo+1wxWmDL8ltGHxTbr3zrtykM0b99hT1z++n/vpfAz/92bznfpmWcznP/QrZQUTQ&#10;3zqbce/45FlD920e639yoLe0LdZEFOq/nzmykN+k7KviHqOfh70V/bzq63V/X+sHVXEoBU15TeQB&#10;7xyLIkCJ8v0E2yiflE4cJ4fLBfEBDXgoyKQfpeWDtP9XOd/9Jb3v/Djw0rfRtpuvWJ/6r8l030/7&#10;ejoOheuou7vj4d7ujivY0c5gMBiNBQRTRJl2dC3bQvZ3e2d3x7fDNrkEH4AoKsTWrmVvY3vNYDAY&#10;DAaDwWAwGAwrFk444cT86tXPzmeHXnitN/KyHWf2/9bOTe4f75x23hZkhlM5P7UpmHI/lfPdXXnf&#10;vSXIuPfl/fTCgS0TC9dvXblw4Bw5JC8ck0Unqhqad5NymhrOzTAxJyUEslLRhWFCWD2eI16STvN+&#10;RgmjOmoU97GSiOGiY1wOjYh2B2c4HOFoZ4Hv/pra6tdyfvrTOd9ZHZzt/M/85PJXzp/lvHhm4t3P&#10;y2ZPOEk1fQaDwWg7zJ9yyjNnJiaet/2sZS+eXzfw8tk147+zOzv6u3PT7qt2TPb/fzunht4247l9&#10;ZAPX5jPuB8kOfhLD85J93B9knO9SP/7zT60ZfmjrRP9Tcfrd9EC3EE0/csZwQTRFP18USpVYqmxz&#10;uT6/HsT5RV9A18X1TYEU/QHeS67fukK8p+yh/VT+I4GffoL6h4fpHeZB4kNUNw8S76ZtdxBvofWv&#10;0va91H9c+/EzBoPRga6f9nZ3PG6rk+7uzhvGBk79m209JzxD3RYGg8FgNAkLJ2RP+volEyePdr/n&#10;T0d6l/2fvu5lfd3dy5Z3dZ062isiUJe9radn2ZtYFGUwGAwGg8FgMBgMRk3Ylu15QeCN/Ened94+&#10;56XSOz3n7MBzLsp7zjV5352n7d/ICdEUTtf0D/KZ9I9p/RdBxr2H+Ot8Bs7I9JOB7x5FZImIMC3h&#10;VC04VomfOHNYiKDlhgfUxNC8GMKV5zNtHT9TZhhdTSmMynnwrtjgLLr/BaJdCMe3ZnGuOOyntnWU&#10;2ttTOT/9KLWx+6kt3kXt7Me0/h3adyPl55rAT5+fnxodnfHcv553nOeoJh3GiWrJYDAYSwZfz048&#10;b/tU32tmvZG3BpucU2czjjvru2eJ+cen3ItnM+kryGZek884O6lP37990vn6eRP9P18x3P2IzW6H&#10;2d/bcWQy3fvEB1b2P375upHH6D3gcbK7j9PyENleDPcr+vyCHSe7Lfr/Qt9fOXUfgKX8+Ir6Ht89&#10;Mptxn6TlI3TN+8j+0/sH9QW++32InrmM+21a/3rec79C7yv7aH028J0Z6j+uo/zuoDQ7gszo1bT9&#10;shy923zizKHPrXN6Dgz1df7cVm7iA4higuNdVTWDwWAwGAwGg8FgMBgMBoPBWKpAhOn8qp4X7PXH&#10;fgvzlgab3L+Yy4z9zW5/5JSc57wzn0l30HIkn3FX5bz0dC6TvjDIOJ8PPGdm1nMPBJ57C/GenO8c&#10;QoTHDe9dKXjwnBVyGLxjok/NoXqlI3SHlxbzqa1L99kcllZq0ZQjTRtHPb9oHDF7sK9zYT3dv4+f&#10;Mbww48thEXGfcb9x33H/NdEeQD1Uoo4IumGrbDvYHnjpI0HGvS/nu9/P++7B2Yx75WwmfUHeT6/N&#10;+enenJ/6x5mNQ3+FNnuFd9pLVHNmMBiM4wUnXv3h7ude6536MkTR7/HSfzCzzvmzuan0G3ednf7b&#10;Wd/9X7NTztvwAVTeS/1z3nP/JTflLstNup2zZEOn3N5Llg92/0epKMowIZqe5fQ+vnW877GLzhh6&#10;8qqNqaOw7we2jAv7jT4fNhyRnSD+x/Z4pPTqOPEOgdEr6LyIDqX8H6L+6J4gM/pdiKB4/6D3jQ9T&#10;P+DRO8kE9QW9sxnnXbOT7v+Z89135LyRf9o15f5v9BFzxMvXDPy/yXT3dKq/K+jt7vylrWxgd3fH&#10;T7p5/joGg8FgMBgMBoPBYDAYDAaDEcZMduJ5+ezQK7evd9485428O/Cd8ZzveMGUc0HguZ/PZ9L7&#10;AkT4YZ4vz32Elo8HnvOYWBJzvvskbX+KjjuU89ynwbzvHqZ9h/OeewSk9aO0DVz49Jrh2HOZakLE&#10;w5yYLJxWT0TpIsJXR4tGDaMLIs3m5f1HL187fGT7pCPup7inirjP9P8hcd8V0Q7QHlSbeILSPEFp&#10;H1fzxVF7wTIN0f17+Yx7MO87V836DsTR02j/O67bOPSnV69d+1zVNBkMBoNRIbJiKN93P08M4zvV&#10;95rzJ/rfeeZw17nLB7u/3N3d8ajN3pfiWU7vU2eP9T/5gZX9T3zqzOHHyW4/TLb6EbLreBd4VLwL&#10;ZGgJGx+m7+I9AcQ6IkXp2PSj1C/Quphz+mdEDJG7fzbjfiGfcc7D+8fMZOr/5v2xN+xav/I3MRyj&#10;KpYARE4MwYho0M6ujpspjw+E82xSzmPHc9gxGAwGg8FgMBgMBoPBYDAYjAhcMvHmk3Pe4Etmz3Je&#10;E0y6f7Fj0nlLfqPz9tmMu2xnJpXa4TurZ6dHMznP/WDeT/9r3nc/E2Scq3O+uxMOzsB3/jPIuJgn&#10;7YezvvsTSnNXPpO+H85TWn+ClocxzOq+zToqhaiiUT6z3ln44KqhhRXD8UVTcHWqdyEz1r/wodOH&#10;Fj67LrWgh/7FcL+mOHi8EeW/YqOzcOlZIwvvWzmwMEH1ikhQWx2ahGh6+kjP0fdO9B25fP0whM6H&#10;As/5dS7j3AvSPbyXzn8PtQH8fzfd659S+/h+znO+S/u+Q23gW2gH1B6+kvec/XTfZ/PT6esC391G&#10;2y6nNBfN+ukP5KbcTbTtrMBLpWemnK4Zf+jtuzKDb9qbSf0eXff5qkkyGAwGozacmF/9zmfvmep5&#10;EdnjV1Bf/ns71g+/9pNnDr555WDnptGBrqv6ezpvt/UHURzs7Xxo5XD3j89M9f7QG+351vsm+r7y&#10;r2cM7Pr82qFr8r7zuSLdy0HqFz4t3humnA/v9NMXzGZG3x9MOVt2TjqT1Desyk0Nu/mpdAfmYd3h&#10;p95w4cre168a6Pn77o73dHR0L1vT1dX5UYidcURREGl5SF0Gg8FgMBgMBoPBYDAYDAaDURGy2RNO&#10;WshmT5rPnvLMr09MnLwt2/OsbT09z7qFlhCvrvVGXnbllPOaXRnnTbPTI/8UTI/07fRTp+Wmhej1&#10;sdyU+4W8l9qez6Rn6f8biDfn/fT3cxn3xwHmGfPdhxBViqFa92CoVgzPC2LIVgzRq3jpGinuQQS1&#10;OUCjuC7dK4aPRaTq8TK/KYbNvVhFiCI6t1yEqEkpjHYffv+K/keu2pC6O8ik76J79nO6Vz/M+85/&#10;B176G4Gfvinnp28k0tK9ie7ljbi/Oz1nN61/SQzPPOV8Nu+lL81PuR+j498HIXTWHz2L9i+ntIOz&#10;Z4++K3+2+9e59YOvznmnvWTbqlNekF+9+tloX/8/e3cCJld13vnfk8lkmcniJLNkMv8ZM8ksmS2S&#10;wCGBOFghcWwMdqu7Wt3a1VoQAoHcINDSalnCEMwSLLMakLFsbAxesDCbUWhF2MQ2jBfF2IwJ2JZB&#10;QOMFtwjGLLLT//Mr1Smdvv3eW/dW3equW/X9PM/vMVRX3a46VWXu2+895+hzpia9++d//ppx9hgF&#10;gDyNu/9f1X/b9f+xiv4bP/7xuf/8+sp/59fOe9u/6+/tnlsqdV3Y29v92d7eOd+1/nuRNv29Pc8u&#10;7O95eMm80hdPXdh7u2awLptfunlJf+8HF/eXPrCgr+fGeXN7bplb6vlIb6n7Jvc7b9L/usd+tlSa&#10;8/fuf2s2QiPR/Xf19HQNMGMUAAAAAAAAQFN94fKzf3nvuUt/W0uj3rNx4A/v2bT0z+/esLSkmYGa&#10;FXLv0LLBuzcObLpn0/J33bNp4NK7Ng1sv2to4GrNJrl708BH3b9/8u6NS2/7zOaBT31m89I77t64&#10;7F53+32f2bRsj3vc/WrA3T209PPl2ambBr76obMXP/bXpy94evOK/h+tXtSban+1MMvm946fu7x/&#10;/KLVC8avOmvR+AfXLSk3Y7Vn6uEsL++dqlmoPpqNWY7RlJyO6Hlob9ebz106ft07Fo3/VaWJPDA/&#10;eS/RaJbNL/14zeLe7w8t73vsxncs/NtPnrfkNve+7fzMpqXX3LN52VV3b152jXs/r3Lv41/ftWHp&#10;Re72be692uLes+E7K/+rBuidm5YM3bF+4Bz3s9V63+8eWrLk7vUDC+51nwPtH6dZyPeuHzhe+4r+&#10;zfCK/3HXuuWv+/BZC3+t8hECALS4np6uOYdncnbvrMziNP+7Mg0ZC2eL0hgFAAAAAAAAMGXGt77m&#10;5758/ap/ob0jbz/v7b+qZXq1lN9dW5f+tpZM1f6mmjG4e/Oi/3zPuUt+796Ni/7L3wwP/Nc7Ns3/&#10;/U+vn/e/7ly3/H/v3uQytHLmpzct/ZN7Ni75y7s2DHTdsXGgX822e4cGlt+zacnpd29atu6ujQNb&#10;79647GKXK+/ZOHDDPZsGPnTXpqW3bl8z/4vvPq3/axuX9R9YNr/0ovFH1FRR81RL9mrmqpbs/eh5&#10;S6vL9h5pltqNyzyj2aAfc79bs181K1QzYTUjVjND0+wfamVxf+nlMxb3PqvlELefseCWW85euO2e&#10;DYuX7x5a8ba7Niw5YdfGpceMbFr4Pz8zvPy/371x8X9Tbj9v+X/Xe7Vn85Lfu2/jgt/V0oy7Niw9&#10;SvlMJXs2L3jdJ937u2vzwH/82NlL/sNtQwv//W2DC//9pzfN+3f6HNy3cfFv3XX6gt+4b9XcX//4&#10;GWf8yu5Fi/6VlnzUTKbKRwgAUEDa37O39+3dPb1vf5f75wvcf2s+W4n536EGU26Gqklb3oO0p2uA&#10;pigAAAAAAACAtnLHqlP+5c3nzP/XH9N+aZsX/efPDC/873+z/tT/c8/Qyj++a+Oyv/jMxuVvv3fj&#10;iv67zl06sHvjslV3DS1de+emZevvHlq65Z5NSy+6c+PAlXcPDbz/r0+f/7ltq/q/cc7Suc8un196&#10;yfiDa+osnVf6p3MGtHTvvPHLTp8//oGzF49/Yv3S8U+uX1bJQDlqqmr/z2h2nrO4POPzyjMXlnPZ&#10;mgXl2Z/bTj2cM5f0ja9a2FtOmv1Ca2VeX/fP3rF07o/fubL/e+87a+G+T5679LY7Ny678q5NS4bv&#10;Glq26vahhd13b1r6J38zPP+/3nv2it/U8ouV4QcAIBddXV1HaQaqGppqbKrBqT1Fa0X3PTxrtWs2&#10;jVAAAAAAAAAAHWXr1jf+vGYb3rF11b/8+Blzf+W+Dat+/Y5z5v9rzVC8d3P/f9Ss1L85b+C/3rtp&#10;6e9/Zv2S/3Xn2YtmaCnXO9cvOfbezQPH37lu6ew7Ni3/87uHlpx0x6alc+7YtHjBZzYsWXnByv4b&#10;37li7q7zls39/OpFvfuXzut5zmoyFiXz+nr+acX80ktnLel7buOyvv1Xnzl/7w3vWPDJuzcOvPue&#10;oWWDd21cuviuDYu7Pr1+0ZvuWj9wfHn/2OGF//2OrYv/022ru/+txra89ycAAAAAAAAAAACA9vOx&#10;s3t/+fbz5v3O3WcP/J97Ni1742c2Le65a2j5wN3rB868ce2Ci9+9ev7H3nVq/70bls/9ysoFvd9b&#10;1F//sr15ZX5fT3kW66kLev9pw7L+n12wqv9n7zlj/ksfGlz0g09tWPLNezYP/K17LbfePTRw5Wc2&#10;Lt2iPUHv2jTQo4bonUO9/2H84zRAAQAAAAAAAAAAgI42/prX/LO/O2/5r9422P3v79264r/cvX7g&#10;/+zeuPQYNRXv2rT8z+7dvPQt92xY1v2Zjcvm37Nx8dK7Ny09dceZC7dcsKr/xrOX9t53+sK5X102&#10;v7Tfamha6e/rfkVZ2Nfzj0vnlX6orFjQ+8zqRXO/q5y1ZO4/nDPQ//UtK/q/qFyxZsFd179j0ac+&#10;ePaSWz9x3tIP3bNp2Y67Nw68/67D+6++7+6h8l6sl9y5Yem2ezYPnHvP0LJV92xaPu8z65eevHvz&#10;khPu27B41ifXzv+v95y17N/MZYYoAAAAAAAAAAAAANn6mq0/t/WNr/n561et+hcf3zr3F+654qxf&#10;3Ll16S99rLf3lz92+dm/XF7id+vcX9m79Yxfuf285b/6d5cs/9UHty78NS35e9fGBb+xd+vS197s&#10;/veu00//jXu3rvjNT69d8e/2bl35/927ddF/uWfTvD/4zHkDR9/hcs85i2c1nA2LZ+l4u89dMPPe&#10;Tat+/67Ny19317lzf/tj7vd+fNXcX799+fJf3X3Zon+l56zXcMVbzvrF649xr2vua2iQAgAAAAAA&#10;AAAAAGi+rW9848/vfOMbf+met7zlF6/IKTuXvvGXPj537i9UfgUAAAAAAAAAAAAAtBYt6duMVA4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A7j4/tf+9JL&#10;o0e98spTMw+9/PScV14ZHXj11acHf3ZodLty6NCzO3/609FdP3312b0/PTS6L8zjo0984ugte/aF&#10;mbVlz16XXZXsnDW8Z/uszfdtU44eHhmYsfm+2TOGds+csXXvaytPAQAAAAAAAAAAAADypUaomqBq&#10;gB56ZXRbufF5aHSf+9/9Pz307Hi9+eHzT6sxOt5Qhkf2Vxuqm+/b5puolacOAAAAAEBtE64APjQ6&#10;W1cBh1cCh/nwA18fLF/Ju2VksJrhkQHlmOGROcHVvUdVDg8AAAAAaGG+GVquBV8Z3abZn4deHR2z&#10;GpxJef7gd8afeeaR8W9/60vjX/zCveOfvuPmcj5w49XjW965YfycdWvHT1+9cvyMM1f/5KRl68aV&#10;N68YGj9x9UXjs9dcPn7CWVePH7/upnKO3bDLbo6miW+g+uYps08BAAAAoPOExa5f+sgvd6Srf7MW&#10;vrd8/hv3m0VoUg4XqH7ppPJVvmqqqlitPE0AAAAAwBRRnVhtiKo2TFEXqgEaNj/V+Lz4kvPLjU9l&#10;ydKF46Xe7qaka/7S8VMWrSo3Vd+06vxqM9WsP+MyPDIWNk4rQwEAAAAAKLpykXtodHa1EZqy0A0T&#10;veo3vPL3llveX/7f86+8/tE3DO4oF6THnXdr+ere1w/dYxehGRI2ULnSFwAAAADyU22KVpbLterB&#10;MKoNH/7a56rN0GY3QRuJGqhqnmo2atbmKU1TAAAAACgY3xCtLoOUsB+Mmp4qbkdGdlULXH/Fb7jc&#10;UV4FrwpU5eQlZ5YL1XD5pMxLJnGlLwAAAABkNqFmTGiKhrNDdWGsakTVh1atlyWqL/0MU9WeqkH9&#10;Bbj6XZ+47eYntLyu6kTNDFXNqBpSs0VVT1rHzJqweaoLfc2aM5Jq/cn2MQAAAADQGvxVv3EzRK1l&#10;j1r5Sl+l7qt9Dy/du1N7oTLbFAAAAAAOC2eLxq0q5GeIqiFab80YNj5981PHVE2qi3T1O6zfHeaH&#10;zz+9z6z3ItFFtlrBSE1ORfWjGqpqplrPrVbUiFVTNlX9qdpzeM92LtgFAAAAgCkUd9WvdZVvM5qh&#10;Ol70yl8/83TlGWvG/GxR67F5JDr71CxYfTTb1BWuxwyPzKkMHwAAAAB0BNWOr7wyOlBeYchojDbS&#10;FNV9VQP6Rqhq0TQN0DRJ2yStFTVRffNUdWTWOtVfuKtGrHX8aip1Jw1TAAAAAGiCV155aqb2Ew1n&#10;iqoAVUPUzwy1iro08Q1PNTqvuvLSapHrlzrKctXvLZ//xv3RglF7kkav8NXsUL98kqIrdhtprPri&#10;tVbTlOWRAAAAALQzf1HtT386uiuuMartVlT7pWmKhvWimqm+PoweN8/k1SSNi2pT1aS+FrVetxXV&#10;napjVeNaxy3HN0ypOQEAAACgftHZoo02RbV3jF/2KO8rfX2sJmnWqNEZLpWUpWj1SdM0nbVlz95y&#10;8Tq0e2ZlyAEAAACgkFQ/agsWa/uVcLaoVT+F8TNEdf9m1Ixp0uwmqRXVjmqApq0/dZGvluZNmmWq&#10;mlNbwVTeIgAAAABAEs0Y9Y1R3xRNW8wq4VW+aobq8VNZ2ObRJI2LXypJhauK0Xqu+E0oYPcxwxQA&#10;AABAkVSX0w22YVF8LanasNZs0VZoikYzHU3SaPyFu2n2N1VtqvsmzTBlOV4AAAAAMPjCduy5xx/O&#10;coWvooJWDdFmzQzNmmY2SePii9e0TdPu/nnlJmvcLNPy1b7DIwOVtwcAAAAAWspLL40eFZ01qlpQ&#10;9aQulq3VGNUqQ7qflt1thaZoNK3QJI1GdafqSNWT1pj66AJdLeVrHaOSfdSbAAAAADqelkP6/rPf&#10;vHbfV+9/IU0hq0SbolZBOZ2ZjiZpNFmaproqWPfVLFXrWFztCwAAAKBVlLdkOfTszrA5qrqw1oW2&#10;0dmiYQ3XimnFJmkY1Y9aqajWLNOki3OVyt6lr628vQAAAADQ3vys0S/93/seT9MY9U3RohSzrdAk&#10;jcZf8VurgK1xxS9X+wIAAACYFmqOhkvqavanLpyt1Ri96spLW2LFoaxp9SZpGG3pogtvk2aYqhZV&#10;TZp4cS5bvwAAAABoV1oOac+eT33iIx+57qVahWyRmqLRtGKTNIz2iNEVv7VmmSYux0sBCwAAAKDJ&#10;dIFt2Bz1y+mqXoy72Fa3a8aoGqhFa4yGKVKTNIwu0H3ziiHzvfHRxbm6n/V4ak0AAAAAbWVk5PZ5&#10;27df9MXBs8/8qVUgKb6QbdX9YLKk1ZukYfwVv13zl5rvi6KfxV3xO2vLnp0UsAAAAADyFm2O1lqF&#10;yC+l+8wzj5h1WtFS1CZpmFoX52p2adxKRjRLAQAAABRWV1fXay+4YPPFZ5552gtWMeTTDlf4RlOk&#10;JmmYtFf8xjRLdx0zPDKn8vYDAAAAQF3C5qhWFkpqjup2/byIKxDVSjs0SX38/qVxF+fSLAUAAADQ&#10;FtQcPefcsz546qnLXrGKH8Vf4duOhaxS1CZpmFpX/CY0S/fSLAUAAACQVdgc1ZK6cc1RvwrRF79w&#10;b1tdbBtNOzVJw+ji3Lhas1aztPJRAQAAAIDW0tXVddQ73nH6JxYumnfIKna0B2k7N0bDtEOT1KfW&#10;Fb9JzVKu9gUAAABQy0svjR71s0Oj21VLqTmqBqhVe6g52m6rECWlXZukPsevuyl2JSPVn2azdHhk&#10;zGWg8tEBAAAAgOlVKnXNVnN0wcL+V6OFjYrYq668tCMao2HaqUkaRkVqHc3SXTRLAQAAAESNj+9/&#10;rZqjh14dHVNzVBfWWrXG6atXdlRz1Kfdm6Q+x513a+K2L29adb71uH0zhnbPrHyUAAAAAGBqqTna&#10;19/7gFXEqDmqWaPPPPOIWey1e9q1Seqj5ZEyN0tZGgkAAABAhZbWHRv71hNJzVHNKO3E5qhPpzRJ&#10;fWo1S7XCUfQxs7bs2clFuQAAAACmhPYbVXO0t6/0sFW0dNryR3Fp9yapT61mqZZPmvy4kcHKxwkA&#10;AABAh3nlladm/vSno7u0n2hSc7Td9xtNk05rkvokNUu1Z6l+PulxLMELAAAAoJl6errm9JS691mF&#10;Sqdf4RtNpzRJfZKapSpuXz90T/Qx+yhiAaAl/WuXP3ZZ5LLB5a9crnT5oMv7Kv++zmWZy9td/sTl&#10;51wAAEikpXVfffXpwX1fvf+FpOZop23VkpRObZL6qI7UUrvWZ0W3W3Ums0oBAAAA5EozR5Oao1oe&#10;ySroOjmd1iT1SWqWaj/T6P1ZGgkApt1/dlnh8lGXZ13G68ghl8+5XOIyx+U3XKbSiS5vLWCOd/mP&#10;LvU42sU6ZqvnjS6/6wKgw2j26Nhzjz/8gRuvLq8+FNYJ+neao3Y6vUnqo2Zo3MxScwnezfdtq3z0&#10;AAAAAKA+h5fW7dlemtt9MCxCKGJrp1ObpD5xzVItjWTtV8qsUgCYUmpkanboIy5W07PRvOpyhcvv&#10;uzTbnS7WcyhS1rtk8dcu1nGKlKtcAHQAzR79/rPfvPZTu276SbQ5qlBXJocm6cRomd24OtNYgpdZ&#10;pQAAAACyqzZHe7vHosUHRWy6dHqT1EdX9UY/Q4qWRjLuTxELAM3z31ze7TLqYjWtmpVbXTRjshn+&#10;zMX6nUXMv3RJ49+4WI8vYv7QBUAb0+zRz3/+7gespXV1m/YctWopciQ0Se0k1ZmTl+AdGax8JAEA&#10;AAAgWdzSuhSx2UKT9EjilkaKudrXhSIWAHL0py5aStdqUk1lznHJ27CL9buKmJJLGpoFbD2+iHmn&#10;C4A29Td/86l3vnf7xa9EawDNJv30HTePP3/wO2YdRSaGJml8Mi7BqwtyX1v5eAIAAADARHPnds10&#10;xcSuaHFBEVtfaJJOjvYktZZGYlYpADTFb7nscLGaU9OVT7hoJmRePu1i/Z4i5nyXNC5wsR5fxHzK&#10;BUCb+chHrn7dpZde8Ii1tO7Fl5w//swzj5j1E7FDk7R2Ui/BOzwydszwiC42AgAAAIDD4pbWVVF7&#10;1ZWXUsTWGZqk8bGu9u3un1duok66P3uVAkA9NHv02y5WY2q686jL77jk4XMu1u8oYm50SeNqF+vx&#10;RcyXXAC0kfe858KVq1YtOxQ912fLlvpDkzR94pbgjc4qnTW8Z3vlIwsAAACgk2lp3VKpe3+0iKCI&#10;bTw0SZMTd7WvGqjR+87asmdn5SMLAKjtD1x+4GI1pVoln3f5BZdGfd3FOn4Rk7ZJerOL9fgihiYp&#10;0CZ04e155w0+FD23Z1WixkOTNFviluA16kyW3wUAAAA6VTB7dELh4ItYqzgj2UKTNF2sq321LNKx&#10;G3ZNvO/wyP4ZQ7tnVj7CAIB4N7lYDalWi5bKbdR+F+vYRYyWRk6jnZYYfsgFQMGtXbvylIGBRc+H&#10;5/OqKz9w49U0R3MITdL6cvy6mybUmIq1/O6MzffNrnyUAQAAAHQC7T3aU+reFxYLi5cs+Ceu8M03&#10;NEnTR4WqCtbwM6nld98wuMO4/8hg5aMMALA942I1pFoxQy6N+KqLddwi5iqXND7kYj2+iLnfBUBB&#10;6cLbFSuW3rhw0bwJy+uyKlG+oUlafzSrNFpnKtHld6kxAQAAgA7R3ds16IqCCXuPnrNuLUVsE0KT&#10;NHvetOr8CcWrcuLqiybdb9aWPbsqH2kAwETa69NqRrVq/tGlkaXu/tbFOm4Rc5lLGle4WI8vYu51&#10;AVBAapCuPHXggfC8XbNHb7nl/Vx4m3NokjYe1ZThZ1U5ecmZ5Saqvw/7lAIAAABtrLy8bm/3rmhh&#10;wBJIzQtN0vpywllXT/iMKipgjftqD5mjKh9xAMBh/9vFaka1ct7tUq9PuljHLGKGXdLY6mI9voj5&#10;mAuAgimVumbPm9/7k/B8XQ3SL37hXrMuIo2FJmk+0epFWq0o/Nzq37Usb3A/9ikFAAAA2o2K2FKp&#10;e39YDGh5XYrY5oYmaf1RAds1f+mEAnbS/jEKe8gAQNQfu1jNqFZPvX+Q1HK91vGKmIUuabzNxXp8&#10;EXOxC4CCKF94W+rZHp6jK1pelwtvmxeapPlFM0d1AW70MxxZvWjfjKHdMysfewAAAABFFRSxE5bX&#10;VRH7zDOPmAUYyS80SRtLXAGrmaaT788eMgBQ8acuVjOq1dPvUo+3uFjHK2KOd0nj/3OxHl/ErHYB&#10;UABz53bN7O0rPRyel2v26KfvuNmshUh+oUmaf6zld3VRbnX5XV2MS6MUAAAAKC4VsT2l7n3hSf+C&#10;hf2vqIjlKt+pCU3SfGIVsNq7NHo/9pABgLJ6m6RPunzU5V0u57gsd1nqcp7L/63Eelxe+YBLvW52&#10;sY5ZpIy5ZLHFxTpO0fJfXQC0uO7ersHS3O6D4fn4OevWjn/7W18y66CpzPee/eb4zR+5bnz1aQPj&#10;f/mXfzbp/2d026aN7xj/7P2fNh9fK1/9yp7xd797S/k4v/Ebvz7h2Pp3f3zdz3p8HqFJ2pzErV50&#10;7IZd1fscMzwyx73XAAAAAIqkp6drjjvBnzB79Iw1qw62QhHbSaFJml+0T0z4eVasfUpnbdmzt/I1&#10;AIBO9fsuE/6Im5AHXc52Sduo+h2XK12sYzWaZ1wa8b9cjp6CHOPyhy5/5HKcyxtcTnC538V6XWlT&#10;z96cmlFqPcdm5PUu/jX/iYte83Uu1mtJm2+4AGhhh1cm6t4ZPQ//wI1XT/uFt4899lC5MeqeZuqo&#10;oanHWceLRvezmq5J0f3VtLWO10hokjYvmjl60rJ1Ez7f2qd0wjYvwyMD7v0FAAAAUATlq3wjDdLL&#10;L/+rF6a6iL322ksnXWn7e797lHnfLFGxqmOrANXxwuNP1ZW8aUOTNN+oUNWVveFnW/9u3HffjK17&#10;693bDgCK7l+4TPjvo5EdLrNc6vWXLj90sY7dSP6bSxH9gov1erKky6VofuZivZa02egCoEWVG6S9&#10;3bvCc28tr/vFL9xr1j5TGdV60VozbfS4Wo3SRo+fd6OUJmnzo5WKws+6GqW6UPfIfdjeBQAAAGh5&#10;lf1Hqyf2c/tK/3jPPR//gVVoNSsqKI85ZoZZMCrWY9KkniuF014l3KzQJG1Oolf6mo3S4ZH97CED&#10;oIM94WL9t/FDLpoFmYc/d7F+RyPRLMUi0nLv1utJm2+7FM0CF+u1ZIlmJgNoQdq6pVTq3h+ec295&#10;54bxZ555xKx7pjpa/tY9zbqjC2ut4ypqcNbbIPVJOn49oUk6NbG2eTnhrKurP5+1+b5t7v0FAAAA&#10;0GqsZZDmz+8b3ffV+1+wiqxmRMWkZnC6p5MY67G1oj1m6ilU6913Jq/QJG1e3rxiaELxqkaplkqa&#10;cL/hkTEapQA61N+6hP9N3OdyikveGl1uNZpmPMepYL2WLCnijMoDLtZrSZubXAC0oHKDNLIyUSss&#10;rxsmbJKqTozuOaqLZWs1UuNWHop7XF9f14TH1PodeV6wS5N06mJt8zJ7zeXVn9MoBQAAAFqMtQzS&#10;wsXzH3/qqa8/bxVYzcidd9w8aenbuFiPT4oapNZx0oQmaXuHRikAxDrZ5RWXH7ls0A1N8psueS67&#10;u8SlaNa5WK8lbbRk7W+5FIn2I7VeS5b8qQuAFtPT0zXHnVdPaJDecsv7zVpnOuMvotX/Wj/30TYt&#10;7mWZ0c+sx1h1bdLM0LjfoRrZun89oUk6tdE2L+F3QNEsU/9zGqUAAABAi+jq6jqqp7d7b3jyfupp&#10;y795cOzbB63iqhnJugSudYy46OrbuBmk+r3RJqiu7FWhrJ+puM17L5isoUna/ET3jumav3T82A27&#10;Jt1vxub7ZrvPDQAgf/pDofnf6jpylkvRvORivZa00WzcovmCi/Va0uZzLgBaTHdv16A7n642SLX/&#10;6MjILrPOKVLiLubVLFDr/lnuq6hmzfqYrKFJOvVRo1S1pf8+KCcvObP6cxqlAAAAwDSz9ok577zB&#10;h6ayQaq4p2IWhLra1vqZdYy4WA1YNU2ne4Zo2tAknZpEG6Xd/fPKRW30fjRKAaAp/tJl0n+v68xS&#10;lyLpd7FeR5Yc41Ikv+tivY4sWewCoIWUSj3bw/NpNUi/+IV7zRqnaImrS/NqkurCXOsxtWa5ZglN&#10;0umJVinSakXhd4NGKQAAANACSqWu2e4EfcIySJs2rds91Q1SxT2dao45ZkZ1n5ZGm6RxV+TGLYvU&#10;iqFJOnXR8kfh94FGKQBMmf/oYv43u450uxTJfhfrdaTNvS5F83EX67WkzRMuAFpEeeuWUvfO8Dxa&#10;DdKHv/Y5s74pYlSjupc6KXF1pXXfpOV247aHYU/S9ogapWqMht+Ridu8jAy69xsAAADAVIkug6Rc&#10;fOn5Hz306uiYVVA1O5rZqUSLzEabpJs2vmPSY7VUknXfVg1N0qkNjVIAmBY/5zLpv9l15kSXovgT&#10;F+s1ZEnJpUh+wcV6HVmyxQVACyg3SHu7d4Xnz+esWzv+zDOPmLVNERN34a0S18Ts6+sy769VjqL3&#10;1QXC1vYw1n0bCU3S6c9Jy9ZNqDXVKK3+fHhkwL3vAAAAAJqt0iANT87HrrrqkvdPV4NUUWFoFZiN&#10;NkmtvWPy3NdlKkKTdOoze83l4fcjvlE6tHum+0wBABr3ay6T/ptdZ/6nS1E84GK9hrR51KVo3uNi&#10;vZYs+W0XANNMDdKeUve+8Lx5yzs3jD9/8DtmXVPEaBncuFmkSTNDtbWL9RhFj/Nbv+h/rQapbtPv&#10;jh63kdAkbY1Et3kJl949Znhkjnv/AQAAADRLT0/XgDsRD2eQjr3rXcNnT2eDNCmNNEnjrvgtyl6k&#10;PjRJpyfHr7tpQvHaNX9psBxSJcMjYzRKASAXamya/92uI7/oUgT/ycV6/lmyzqVorNeRJTe6AJhm&#10;5QZpb/fe8Hz5Azde3TYNUtWSWgLXuuhWURMzbhapT9wSuj5xta6O7befyTM0SVsnb14xNKHWDBul&#10;rFgEAAAANImxB+nYrl03v7VVG6RKI03SuKt3VcwqWtpXxw+v3NU/6zb9LO8rd+sNTdLpS7RROmE5&#10;JB8apQCQh790mfDf6zpTpL0qb3GxXkPavOyiGbhFco6L9Vqy5I9dAEwja4ldNUitWqYIUUPSvazU&#10;Ub1Yq0Hqo0ZpWG/Wio7drDqUJmlrJbr0rv69/DPqSwAAACB/c+d2zXQn3hMapO9+95KVB0aHxl56&#10;+esPWEVUK6SRJqmW1bUeq71drNujUTGrotY69lSGJun0Jrr0bniVbzUqZLfufa373AAA6rPcxfzv&#10;ccb8rUsR5LEH61UuRTPmYr2WtNnjAmAatVuDVImrG6NRfaiLaa1jJEUN1bi6NoxmrTZz1SOapK0X&#10;1Zbhd0lL8ZZ/Rn0JAAAA5MdqkK5c2bvwydHN+w48u3lcefHFL99vFVLTnWY0SbPmzjtuNo8/VaFJ&#10;Ov2JLodULV4nZp/7vAAA6vNuF/O/wxmz0aUILnOxnn+W/IFLkfS5WK8jS+a5AJgm5QZpqXtneF68&#10;ffu2A1YNU6RkrRvVLNVj0s74VGM1y2zSvr6upswmpUnamtFqReF3ShfpVn5GfQkAAAA0yhWyR7lC&#10;dn9w0l1ukB4Y3bzLN0h9nn/hsy3XKG2FJqkK2ulcepcmaWskepXvCWddPek+s7bs2es+MwCA7L7q&#10;Yv53OGNmuBSB9dyz5E6XonnUxXotafNtFwDTKNogffclA6889p2NLVlHZknW5XZ9jjlmRmKdqJ+l&#10;mUFqRcfOe19SmqStmdcP3TOpUeprTepLAAAAoAG60ren1L0vPNnu6ekasBqkPs/96OYHrYJqutKs&#10;JqmOq6V0/V4yKmCT9oupZ1mlvEKTtDViFa/aszR6P1fI7nSfGQBAeke5mP/9zZhvuRTBO1ys558l&#10;b3cpkuNdrNeRJUWZJQy0pVKpZ3t4HrzuvAUvqUHq68jvP/f+fVYtU+Ro6dtNG9+ROAtUzUzrsaoz&#10;4x6n7V9Uf+r4SU3UWk3YrKFJ2rpRrdk1f+mEWvMNgzsqPx8ZdJ8HAAAAAFlYe8V093YNPjG6aVvY&#10;FLXSSgVuM5qkSQ1PFarWY7TkkXX/qQhN0taJitfu/nlHvlPun48779bJ9x0eGXCfGwBAOhe6mP/9&#10;zZi/dimC77lYzz9tvu5SNPe7WK8lbX7m8psuAKaB6siwrjzt9P4Xwgapz+gPr3z00KujB62apshR&#10;o1INSzcUZnSxbfQxcfe37pt0sa6atNH71xuapK2dYzfsmlBrKv6i3GOGR+a4zwMAAACANKwGqa78&#10;feLpocFoIRsXFbhWYTXVaUaTVI1Q6/4+v/e7R016jG6z7jsVoUnaWlFTNPxuqZBVQRu934zN9812&#10;nx0AQLKfc/mBy6T/9taR33NpdSUX67lnyVqXIvlPLtbryJLrXABMg2iDdMXKvu9bDVKfw43SJ1ui&#10;lswzmhnqhsOMatbwvmp6WvdLulj3zjtuNh+j5ql1/3pCk7T1Y9Wa5Ytyh0fGZgztnuk+EwAAAACS&#10;lBukkb1i1CB96qmhmQdGh8asQjYurXAl8HQ0SRv5nc0ITdLWi67oDb9jWoZ30v1UyG7dqyUkAQDx&#10;1riY/93NmA+7FMHXXKznnzYvuPyyS5F81MV6LVlyjAuAKRZtkA4s630qqUHq8/Sz5x9sx0apdTGt&#10;Em2SahWi6H3SNDvjZp/Wql/ThiZpMRKtNdUoLf9seGS/+zwAAAAASNJd6toWnlCrYXr11ctf54rV&#10;/dHiNU2mu8ClSUqTtFUze83lE4rXk5atm3w/ClkASPKLLqMu5n93M+ZPXFrdH7lYzz1L3uNSJJop&#10;bL2OLLnXBcAU6+npmuPOccf8uW5fX8/T+75+3vNWzRiXl1957EGrvilq4urEaJPUul/0PlbqrV/T&#10;hiZpcRJtlJ685Mzy7bO27NnlPhMAAAAALJVCNjyZ3lVukI5u3mUVrWkznY3SRhqWccscqfi07u/T&#10;yO9sRmiStm7evGIo/L6Nv2Fwx6T7UMgCQKx3uZj/zc2YO1yK4G9crOefJf/DpUgudbFeR5ZoiWIA&#10;U6irq+sod25bbZCW5nYf/NwXz37UqhVr5cUXv3y/VeMULdqX1A2NGc0cDe9r1ZOaJRrex8rq0wYm&#10;PU756lf2mPfPGpqkxcqbVp0/odbURbrlnw2PDLjPBQAAAIDQpEK21L1fS+8+Mbppm1Ws1pNXX/3u&#10;PqvYamYaaVjqilvrsSo+rfv7WMscpbnyt1mhSdra0VK7/nsXtz8phSwATPJfXH7mMum/uXXk/7i0&#10;ut9xsZ57lnzKpWhecbFeS9o86gJgCqmG7Ont3lutK12N+aldaz5h1Ydp8/wLu1uyUaolcFUbar9R&#10;6+dh4hqYii7ODe8bV8MmzQjVc9DziT6GPUk7O5pBGnwXD+9P6m5nf1IAAAAgUN6HtLd7V3DyPFYq&#10;dc1+8ulNc6witZFM9ZJJjc7qtB6rvWSs+yoqTq3HbNr4DvP+UxGapK2d1w/dM6FwNfcndaGQBYAJ&#10;bnMx/5ubMee7FMFNLtbzz5KTXIpkrYv1OrJknQuAKVQq9WwPz20vunhJQ6sS+Xz/ufdP+QW3teJe&#10;bjWaDapmZ9gw1ezRO++4ObYmVVRb6n7hca+99lLzvmp4alWjcGaofp9+r9UgVWpd4JslNEmLF9Wa&#10;XfOXVr+PuihXt7GtCwAAABCI7kPa3ds1uH90w1EHRofGrAK10UzlkkmNNklV7FqPV+Ga5f55LXFU&#10;T2iStn60zG74HdTSSJPuNzwy5j5LAIDXvGapi/nf24x5xKUorOefJV91KZonXazXkjYvu/yqC4Ap&#10;0tPTNRCe0y5d1ndjnjXl6A+vfPTQq6MHrZpnOuJecsOxZoeqaRrX9MwSHSPagG0kNEmLmdj9SYf3&#10;bHefEwAAAKCzTdqHtNS9U7c3ug9prTz/wmenpFHaaJM0bsldFZxqlPqiU1fwxjVI9Ryix53K0CQt&#10;Rk5atm5C8apiNnof9icFgNf8psuzLuZ/czNmjksRvNvFev5ZcrpLkfS4WK8jS65yATBFotu39JS6&#10;9/2/x9c/YNWCjeTpZ88/eOjVJx+16p6pjrXNStqontQsU+u4ii6ybaRRqsfmfaEuTdLi5sTVF02o&#10;Nf3+pDM23zfbfV4AAACAzhS7D+nTQ4NWQZp38myUxjUosySuSE1aHqlWVJyGSy5NR2iSFiOxSyFF&#10;7nfM8EhR/qgPAM1wh4v539yMeY9LUbzgYr2GtPmRy8+7FMn/dbFeS5YUYa9ZoC1Y+5DefueZl1k1&#10;YF559dXvtsTyu1r+NmszM+0+pmpy1lOLpj1+1tAkLXbMi3JZrQgAAACdKm4f0qeeGprZrGV2reS1&#10;t4x7SQ1HBa51bM0Wrecq4WZcvVtPaJIWJ8edd+uEwtUvhTQhrpCdsXXvUe4zBgCd5lIX87+5GfNZ&#10;l6JY42K9hiy5xKVIjnWxXkeW3OkCYIpE9yE99bTed01FTTmV27jUii64VXPSamrqNv1Me4fWs/yt&#10;akrVqjqO9jCNHl+1qi4a1kpHzbxAlyZpsWNdlHvshl2sVgQAAIDOZO5Dun/ra598dmivVYA2M3k0&#10;St1LajhxTVJFxWyWq3hVBOe5/0sjoUlarGjpo/C7ecJZV0+6jytk97rPGQB0kuUu5n9zM+bHLr/v&#10;UhSPu1ivI0v+i0uR5DFb+O0uAKaA6sjw3FUN06msKadqGxdCk7QdEndRLqsVAQAAoKNU9iENl9kt&#10;70P6xOimbVbhORUZ/eGVjx56dfSgVYylSTOX2w2jq3g3bXzHpIapZo3qNv1supfXjYYmafGiYrX6&#10;/XRRMTv5fiOD7rMHAJ3gRJcJ/91tIAtdiqLLxXoNWfIxlyL5HRfrdWTJ110ATIG5c7tmunPVCfuQ&#10;fvXh9Zuseq+ZyWt1IpIcmqTtEV2E67+zSnl/UpbdBQAAQKeI24f0wOjm2VO5zK6VZ75/6YFDh545&#10;YBVkpP7QJC1etBSSlj/y31MtizTpfiy7C6AzzHD5oYvVDMuaIu1DKg+4WK8jS/7CpUh2uFivI0vW&#10;ugBosvI+pKXufdW60tWYF12y+K3TVVM2etEtqR2apO2T6P6klWV3yxfPAwAAAG1Ns0aDk+HyPqTT&#10;tcyulaefPf/goVeffNQqykh9oUlazBy/7qYJhWv5Ct/IfVh2F0Cb+w8u/+BiNcKy5lMuRXKMi/U6&#10;suQhl6KxXkeWvODySy4Amiy6D6lWKzowunmXVeNNVcoX3VJLNi00Sdsn0f1J/bK7M4Z2z6x8xQEA&#10;AID2o4ZoWMhqX1LdPp3L7FpRo/TVV7/Lkkk5hSZpcRNe4auZpbrCd9L9hkcGyl9wAGgvanR9wcVq&#10;hGXNl11+2aVIPulivZYsWelSJBe4WK8jS4o2WxgopEpdGaxO1LP9yac3zbFqu6kOtWTzQpO0vfKG&#10;wR3VWlPRv7vacn/law4AAAC0l/JySL3de/0JsJZG0m37RzccNd3L7MaF4jaf0CQtbqLL7qppOul+&#10;LLsLoD3d5WI1wbLmaZf/7lIk/9bFei1Z8j2XovmBi/VasuT3XQA0WVhXavuWq69e/ronRzfvs2q6&#10;6cpLL3/9Aas2IvWHJmn7JXpRrupPLsIFAABAW+ru7RqsFrLlYrZrtm5vlWV240Jx23hokhY7J5x1&#10;9ZHvrUv5Ct/IfWZt2bOr/EUHgPZwq4vVAMuaV1ze4FI0V7tYrydLLnQpkjNcrNeRJUVbUhkopGhd&#10;qWV2W21lIp/nX/js/VZ9RLLn+YPfGf/SVx941FzZhhQ2aoqG3+c3rxjiIlwAAAC0n66urqPcCe+E&#10;5ZB0e6ssiVQrL774ZYrbBkKTtPg5ZdGqauGqvWOs+8zYfF/5wgcAKLj3u1gNsHoyx6WIfuZivZ4s&#10;eZ1LkXzDxXodWfIWFwBNpJWIJtSVvd27WnllImXs4O1cdJsiaoI+/LXPjY+M7Br/9B03j++44b0v&#10;D20+99BZZ63+yaLF838avOeHa5J5i145aengiyeeduFLuqjz+HU3mTUKaf2cuPqiCe/tcefdqotw&#10;d1a+9gAAAEDxlUrdO4OT3rHyMrv7t7621ZZESgpXAdcfmqTFjwrV4Ds8PnvN5ZPvx/4xAIrvvS5W&#10;86ueLHMpomEX6/VkyUdciuTtLtbryJKvugBoMl1sG5yTjs2d2zXT1Wo7o7Vbq+X7z72fbVyCqCG6&#10;76v3v3Drre9/avPwec+sOm3594P3taH0zJ37vZMXnb7vTSuH7z9u3Ye/NKlmIS0ZXYjr30N/US6z&#10;SQEAANAWtKxuWLR0l7q26fZWXRIpKc/96OYHrSKv03Po1dGxQ4ee3f/TQ6P7fvrT0V2K+/edPzs0&#10;ul25Yc/Xhmdtvm/brOE923VFaCV7FTXWogUSac1o6aPq97h/3ri51BX7xwAoLi0PazW/6slal6LS&#10;HqrWa8qSN7oUyYiL9TqyZLULgCaq1JXVWaSqKw+Mbp5t1W2tmNEfXvnooUPPHLDqqXaPmqJ/98Dd&#10;P77wwi1PrDx12ejcvtI/+vdxKtLdN2/3WxetvvWPz77pveUaNFrDkGmPZgKH75kuytV7Vfn6AwAA&#10;AMWkGaM9vd17/YluT6l7X3kWaYsviZSUTr4KWM3Qn7767F41Pl999enBV155auZLL40eNT6+/7WV&#10;t7xuukr0mOGROWqylRuqFK8tF+0Xo+ao/z6ftGzd5Psd3j+m4c8DAEyxjS5W46ueDLkU1aku1mvK&#10;kr9zKZKjXazXkSU/cvnnLgCaKKwrS6Xu/aorn3x2aK9Vs7Vqnn72/IOHXn3yUavWaqf4maI37Lhi&#10;f8am6Jj+ZuD+d5dmDZf3ny11zdaMYb3flY/Ca7QPrcuAGuVatWrCZ6NGysd3x/7zVRcM6yJe1S+T&#10;ahoyLVF96d8nf1Gu/kZQedsBAACA4ikXNUFBogJHt7sCseWXREqKrgK2isH2y+g+NURfeWV0QA3R&#10;8ptqUMHqcpSKV73HlaL1cOHqPgM++nfdHhS6R4XFrkXN03LjVAXslj37ooUUmdpov5/wO23t/TOL&#10;/WMAFMuZLlbjq56c71JkX3GxXleWLHUpEi0NbL2OLLnEBUATRetK1RRPPr1pjlWrFSEvv/JY261Q&#10;5Buj7373+aPz5vf+JHy/YjJWbm6WerarTow2QuuhY+hY5WWZS937jd8ZzZju+xcrtwzqQl1Xd7LK&#10;0TRGF+WG70/5oly2dAEAAEBRqQFWLjr8Sa4rPnR7kZZESkp5uaRXRw9aBWJR42eK+lmi5TeyQgVr&#10;peicU71i9/BVvkfe40ZyuIjdpWMfLmwPN9SjNEvx6C0jg8w0nb6csmhV9X3z+8VEw/4xAApCS4Rb&#10;Ta968i6XIjvZxXpdWfKUS5H8WxfrdWTN77kAaBLVIe68M6w5dun2os0ijebFF798v1WTFS0Pf+1z&#10;41deecmBFI1RvYe78mqIpqHf4evXSu1qPa/DUT1a6tn+hrU7VumiT6vGIc1P9KLcNwzuYEsXAAAA&#10;FFP56s0jJ7djvggqejEbph2WS/KNUc0WDZfN9Q1RvY+5NkOzplysdu/U1eNWIU3DdOpz3Hm3TniP&#10;tF9M9D7uPSn/8QoAWlivi9XwqidFb5DKPS7Wa8uSrS5FcrmL9Tqy5GMKIZrvAAD/9ElEQVQuAJoo&#10;WleqTinyLNIwz7/w2UI2SjVr9CMfue6lM8887YXgvYmmPFNUDcqpaorW4p7DUeUVjmovz1tu5qrW&#10;ZHbp1Ce8KFfL7rr3YKzyFgIAMvqXLn/g0uOyzkVLH2kW0/srudRFe8+sclGB/Gcuv+lSZNoH5b+7&#10;nOIy6PJOl792ucHlgy4qAje7nO7S7/Iml//PBQBypSIoKDDGVRjp9nYpZsMUt1E6uk8zRn1jNFIw&#10;1tsQ1ePG1NhUY7XSXN2l6LiHl1MqNz3TLH0UFx1/p4rWsND2M0wpYqcmb14xVH1P/H4x0fswmxRA&#10;C3uLi9XwqicXuhSd6mbrtWXNv3cpkhddrNeRJX/uAqBJtLpMUAccqStHN++zarMi5vvPvX+fXa+1&#10;XjRrdMcN7315/oK+l8P3JUi5MRqt1VqRnl/NhmlldqlmMlJnTl1UW4bvg2aX6j2ovHUAkJvfctni&#10;cq/LF1z+3siXXfa46MrIi1xUOLWyX3PRZs5XuTziYhUwafKwy/Uu+j9fNRxb2c+5/IXLu10ecrFe&#10;T5p8y+XDLme4zHIBgIaoiRUWFr5AaqdZpNG8+up3i1HclmeNHl5KV83sVEsPHclYtfHpisXy3kBH&#10;9hetqwjW4zRjVYV0+bn4Rqr9+62Ur/KtHK7smOGROcwubW6i+8WcuPqiSfdhNimAFvWnLi+5WHVR&#10;1lzh0g4+4GK9viwp2n7U57lYryNLVIMDaCKd61fPOSt1ZTteeNvqW7moOTq0+dxD1fciEtVwcSv/&#10;FIF73uULhhPrUFf/qs6kWTo1CS/KLW/xwmxSADlb4fKci3WSXyutRgWulvT5nIv1fPOI/sD3ly6t&#10;Qs1qzYzVckgvu1jPudFoPOe7AEBmKjDciWx1JqJvYLVjMRvNy6889qBVVE53jiyp+9TMLI1R3xBV&#10;wTgdSyTps6TPT2WJrdqzW9WcD/YynTG0eyb7yTQvaoz6sY+dTereg8rbAQCtQBeE/sDFqoGy5kaX&#10;dqDVlKzXlzXHuxTJd1ys15El+tsKgCaJrk6kCyt1ezvNIg3TiisUqTl6zrq11fcgkjHVlXqfym9Y&#10;m9DnrFxX2q+53CxlBaPmJzqblL1JAeTlv7qo4Wed3KfNv3GZblpGd43Ll1ys59isaMbtYpfpssDl&#10;b1ys59as/IOLlu0FgNRUKB0pIDpjFmmYF1/8cmvtK1Npjqp5WFlKKLbZWG6KqiHp7jvVDdE09JwO&#10;N03LRWtS03RMr6PyMJqlTQqzSQEUjOrh/S5W3ZM17bQPpVaNsl5jlux1KRLV9dbryJLvuQBoorBR&#10;pTpFt7X7hbdqlLbCCkVJzdGizxpNSxfslmeXGmNQjm+WRuofkl9OWrauOt7MJgWQh7NdDrlYJ/dZ&#10;8m9dpst/crnY5R9drOc2VdEVw7/oMhX+lct6l7yK+XqjZZn/swsAJFKh5E5gq80rNUx1eyfMIg3z&#10;/Aufnf5G6avP7v3yl0f+tNasUf2sqFcA17zKV3HFqwpc3V/NUlds7YsWX6T+MJsUQEFor8yvu1i1&#10;TtZoRZ92oj84Wq8zS3RBb5HoAmjrdWTJBS4AmkTn7+788khd2dtVvoC/Uy68fenlrz9g1nhNzre/&#10;9aXxiy85/0gtFeTwtihHVu3pJHHNUtXSb114+jt1YWi0BiKN57jzbp0w3swmBVCvY1y0r6h1Ul9P&#10;pqtJeq5LHk3evPL/XN7o0kyLXA64WL9/OnLQpWjFL4ApNmEWqStq/dWlnVLMhpm+Runovm8/9tDC&#10;8ozQmNmW5at/C9oYjaOGaWWm7KTXW07QLFVhxfJI+YTZpAAK4Bdcvuhi1ThZo21J2sk7XKzXmSW6&#10;oLdItJWO9TqyRhdxA2iSCXVlG+9FmpSprCefP/id8Q/cePX4kqULJ5zbK6qx2m1J3XrFziwtde/8&#10;47Nvele0DiKNJ5xNesqiVbqtPKscANLSXp3WyXwj+XcuU0kzNhtdIriZKe+H0ARXuVi/rxVyjgsA&#10;TKLC1Z24TppFemB082yr6OuEfP+590/ZUknad/TAgYc3LVw479rwfQjjr/71zet2VWtZpMrdXsMS&#10;vPkkOpvUus+MrXvLDWoAmAa3uVh1Tda04x/lvulivdYsGXIpkk+5WK8jSz7iAqBJEurKXVbN1c55&#10;7kc3P2jVfnlFzdGRkV3jp69eeaReqoTmaLzKBcmTxuztfX0Xuxpzr1UPkfpizSZlpSIAafyZS7P2&#10;6/xtl6l0t4v1PFolmt36py55auUGqc8SFwCYIG4WaScWs2GmolE69tzjD685a9V1GvfgPai+F+02&#10;azStSrPUHBPtbar7lJfgZVZpQ0k5m3Rn+U0BgKmVV231uEu76XexXmvW/GuXovgDF+s1ZM0JLgCa&#10;xKorn3pqaKZVa3VCRn945aOHXh09aNWBjURL65r7jpa69/taCfFUX1vb2ui2E95x7WXReojUH80g&#10;9eOrf6a2BJDkn7tc7mKdxOeVqWySarlZ6zm0WkZd/odLHvQHbOt3tGJOdgGAsvLVvq6Y8ieu/mrf&#10;Ti5mwzSrsFX27PnUJ3r7Sg/7sQ8ypiZhu88aTaPcLA0+nz4qYN34lGc4Mqu0sTCbFEAL0tYzVh2T&#10;Nar32tH9LtbrzZIbXIrkfS7W68iSv3MB0CRxdeUTo5u2WXVWp6RcTx565oBVD9aTT99xs7W0LvVj&#10;HeJWMTp54crLuBg3nxy/7qYJY6vZpdSWACxdLo+5WCfxeebfu0wVXRViPYdWzH0ueVjnYh2/FfOk&#10;CwCU6UrT4KRVV/uWT1g7vZgN88z3Lz2QZ2H7+GMP/ePq1SsfDMa9Ov4Ut7a4AtYvwVveq9Qoykjt&#10;pJpNuvm+8h+5AGCK5LHM7k9d1BT7rMsel90u97jc4aJtYT7hcouLll/9oMv7Xa53ucblSpf3uPx1&#10;nWnmLJ43ulivN2v+0KUoftPFeg1Zw6pKQBO5unJOcE5Zriv379/62gOjQ2NWjdVJefrZ8w8eevXJ&#10;R63aMG20vO7Fl5w/4bxd0dK6voZHdqq9tS/p5HEtPfD6TXc9EK2LSPaEs0m1T+ms4T3VbXQAQCf6&#10;KsSsk/dmZCqbpF91sZ5DqyaP/UlvcrGO3arZ6AIAr5mwzIwrDnQbxezk5FHYKrfv+vA3e+f2PF8d&#10;88MZ09hT3CbT+JgFrPsMa8kkXZHqirB90aKM1M6bVh35g4s5m3R4ZKzyNgBAs/0rF6t+KVouc2mG&#10;W12s35clf+NSJFtdrNeRJU+5AGgiNeuCc3RdjPKaJ54eGrRqq07Ny688Vtc+pQ9/7XPW3qPahiSP&#10;v2fCUT2pMY2O8QlnXvWJSbURyRTtRRqO6x+fe8s/VoYdQIfTFYzPulgn783KVDZJNVPReg6tmgdd&#10;GqWrkq1jt2oOuvyaC4AOFrnad9zvfcksUjuNNEp15e/69YPfCsdb0R8TOnHP0UaUZz8bS/Bqtql+&#10;PmvLnl1WcUbik2Y2qWbrlt8AAGiuk1ys+qWI+Rcuefp9F+v3ZM1clyLJ428n73QB0CTRurJU6pqt&#10;258c3bzPqqs6OS+++OX7rXrRimrID9x49YTzdIXZo81RnlXa270rOt5/ObDu/km1EcmUrvlLq+P5&#10;5hVD1JZAh/stl4+7WCftzc5UNkl/5GI9h1ZOn0sjtIyTddxWzrtcAHQwd4IaFgDlq32FYjY5r776&#10;3X1WERuX3bs/8eK8+b0/CcZaKS+tWxly1EFL7UbGtLr8rpaHtYozEp8Us0n3lwceAJprg4tVuxQx&#10;f+6Sp/e6WL8nS7TVT5Gc5mK9jqyZyr+HAB3HmkV6YHTzbKuWIpvHn39hd81Gqbm87tzug2zP0nzW&#10;Vi9vX7DsK5PqI5I6J5w1sdn/R+tve6Qy3AA6zL9zmYq9R+MylUXBCy7Wc2jl3OjSiC+4WMdt5Tzk&#10;AqBDlZcuDU5Sq1f7Pr1pjlXIkYl56eWvP2AVs2FU2O644b0vTxhnF678zY8+t5PGt9S9T+N7zPDI&#10;HKtAI3ais0lVyEbvoyWNK0MPAM3ybherdiliTnXJi1YBesXF+j1Zcp5Lkfy9i/U6suQDLgCapLJM&#10;6ZHzyEpd6WqmndEaihzJ9597f+yFt88888j4lndumHBu3ttXepgViKZO+XMdWb1oTv98tnZpIOFs&#10;0tlrLqe2BDrUDS7WCftUZSqbpD92sZ5DUtRY/YyLimJdPawrRue7vMPlr1zudfmJi/XYPNLoHiX1&#10;NEl/5qIZqJe6DLmc7qLXvMblfJfbXH7gYj02r/yOC4AONOHqSHfyX7lZV/zusoo4MjlJSyWpQfpX&#10;F73z1eoYHw6zR5tAV1JP2Fu3Mtb6A82MzffNtgo0YkdLH/kxVBEb/fmsLXvK+xYDQBNd62LVLUWM&#10;6tq8bHKxfkeWvOry6y5Fob32rNeRNce5AGiS7lLXNn/+qHNy3bZ//9bXHhgdGrNqKHIkoz+88tFD&#10;r44eDOvIb3/rS5P2H+2f33sXs0ennlVnzunrf1wXl0brJFI74cpFh2vNEf42AnSg/+tinbBPVaay&#10;SfptF+s5RPNdFzUIj3VJS/8H2qz9XLM8jygtJ2IdMxrtBXq9i5ZeSrtHzQKXh12s4zWaZS4AOlC4&#10;JJIKW91GMZs9z7/w2UmNUhW2p61a/jM/voqf3VgefDSFvfxu1+wZQ7tnWkUamZxjN+yaMH769wn3&#10;GR4Zqww3ADTLzS5W3VLEXOKSlydcrN+RJde4FIkulLZeR5bsdQHQROFsO19XsjpR+jz97PkHD736&#10;5KOqIx/+2ufGlyxdOOF8fOHCedfSIJ1e7n2YsE9pT2/PC8edd+vEOonUTHTloj9c/6nnK0MMoIM0&#10;OiPwQeO2LJnKJul9LtZz8Nnt0uVSLy1dvMfFOnYj0azVer3HxTqmz5ddlrs0QrM3rGM3kve7AOgw&#10;cUsiPfH00KBVuJHkPPejmx/0DVIVtouXLPinCePriioK26nR09M1JzL24+62ARql6RMug6SZpZPu&#10;MzwyUBluAGiG61ysuqWI2eqSB13Yah0/a2a4FMUfu1ivIWu0UhOAJonWlf6iUFYnyp5bbr3+qbBB&#10;umjx/J8uGVigVQTQAqIX5Pb0ln5MozR7wlpTM0u1RU5liAF0iHqXitUStGpwavlZ6+dpM5VN0rjC&#10;9osuJ7rk4eddtDyk9Xvqzbtc6qUlcq1jfsclz8JMDWbr99Sb8ob6ADqLtSSSPPns0F6rYCO1oz1l&#10;Pn3HzZMbpK6YokE6tcx9SmmUpo72IvXj1t0/r3zFb/jzWVv2MCsHQDNd7GLVLUXMWS55eMjFOn6W&#10;3O1SJB9ysV5HllS3kwDQHOZSu6MbjrLqJRKf225fM75oSW/1HHzR4vk/O+205QvLg4yWEX7ele7e&#10;0k9olGZLtNZkOxegs/wzF+ukPSmaeXiMi1ekJul6l/B3a4/Ss13ypuZj+HsazdUu9TrJJXo8Ffhq&#10;5uZJn4no72kk2hMVQIcJ99XwSyI99dTQTKtgI+miwnbhotJP/bi6jKkxVx5wTLlJs6VdtB8se5TW&#10;jpqiKlj9uM1ec/mk+8zYupelowE0yyoXq24pYvL4A7dVZ9aTIs3U0H9jrNeQNczAAprMWmqX1Ymy&#10;JdogXbCw79C73jXcjL+hIgfRC3K7+3pfmbRFCYlNdMndE8684sXK0ALoAFmapNpr5G0uUUVqkv5L&#10;l2dc9Ht3uPyOS7N8yiX6WuvNLS6N+KqLjnOHyyzd0CTvdok+93rzDRcAHSRuSaQnRjdts4o2Ujvl&#10;BuniUjiDVA1Slo2ZZpXP+ljwvhyeUUqjtGa09JEfMzVMJ99nRHvEA0AzHO1i1S1FzB+4NEr7mlrH&#10;zpJHXIpksYv1OrLmX7sAaBLVO8F59pivK1mdKH0e/PK6CQ1S1ZTX3bB8uDzAaFmRz/74nP6FL0VX&#10;3yHx0ZYufuzK27uwnQvQUQ65WCfuPlqOV1fNxilSk9TLexal5XgX6/XWk3tcGvVrlf9tpl91sZ5/&#10;PXnSBUAHiVtq1xVp+6NFG6md6JW/LjRIW4j+WBNe4V5OqWv2rM33bbMKNnI40St8Jy0jNTwyVhli&#10;AGgG1WVW7VKkHHTJw50u1vGzpGjnJXlcFHyuC4Amiiw9Wt7KiaV20yfaINU/X3fDyhvLg4uWp1WK&#10;gs//+NsWLP/JhHqJxGbS9i4b77y5MqwAOsBjLtbJu6IlKf65S5IiNkmnyssu1mvOmkZnkk6lL7lY&#10;ryFrmEkKdBhrSSSW2q0vex8YpEFaAOVG6cQZpWOaZTpry55dVtFGDueURauqn+3yFb6Rn7PkLoAm&#10;0xYuX3F5zsWqY1o533F5u0seftvlOpfvu1i/Ky4/cxlx6XYpIm1doz1FrdeWFF0AuNIFQJOx1G79&#10;sRqkH/7IaVqVDgVSKvVs9++hcvKSMyfVTGRyotu7sOQu0FmsZWGvd/mPLmnQJI33dRfrNWeN3o+i&#10;0FU21mvImi+4AOgQ0f0zWGq3/kQLWxcapC3M2KO0vCSYK9L2RYs2cjjhFb7K5L12WHIXwJT5pYKl&#10;Wf6Ty7EuJ7qc4tLnstRlvou27HlLJf/NpV38G5fXu8x2Odml10XL8S5y6XLxr/n/uPyCC4ApELeF&#10;y4HRzbus2okcyWPf2Ti+dnB+dexUU37qjjXf2b9/62vLg4tCKZW6d4bfBeviUjI54fYuujj3mOER&#10;/pYCdAgVMboK9u9dLnD5Q5csaJLGu9fFes1Zc5lLUei5Wq8hazR2ADqEtSSSuGKNpXYzJFrYutAg&#10;LYDoRQK6+l2zIa2ijRxO1/yl1fGavebyiT8fHtEMHwAAAHSYcKlRv4WLmnwHRofGrPqJHMlV16w8&#10;Uo+4fPyTZ7x4YHSzLgRBQbn3cVf4nr5hcMfEuolMirZzCcfsj8699ROV4QSARDRJ4z3gYr3mrDnH&#10;pSje52K9hqzZ6QKgQ0xYEskVtrqNpXazZ9sFRxpHCg3S4nDv1UD43rnsmrH5vtlW4UYmXuGrJZGi&#10;P2fJXQAAgM6jc2h/jqglR3Xbk09vmmPVTuRIPnzL6uq5taKGqVZ1Kg8qCqurq+u1uljAv6/dfX0/&#10;UxMwWjuRiZlwQe4Zl/6kMpwAkIgmabzvulivOWu0XE9R3OlivYasGXYB0AHilkRiqd1siRa2/o8C&#10;KI7okkhqcrM/qR3tFxOO1eRinyV3AQAAOokaQu68sLrfv79glKV2kxPdrkUrE/2/x9c/wDK77UF/&#10;X/HvraIG4MS6iUQTXpB70rJ1XIALIBWapPF+6mK95qz53y5FoeVMrNeQNdq/BkAHsJZEkiefHdpr&#10;FXFkcu7ZfVZ0H9Jd+iNBZShRIOGVvi5jb1my9g+0fKxVvHV6Tl5yZvUzH91jR83lypACAACgA6gp&#10;Gp5H+3rI1Uts4RITax/SL/7fs/9RqzqVBxVtIfLdKDf+wtqJTMyxG3ZVx0o5duOnNlWGEgBi0SS1&#10;/Y6L9XrryS+7FMUPXKzXkDXHugDoAO6kc9KSSOV9Y4wijkzO1x5ZP7FBWureT4O0uCpXwFffTzVN&#10;WXbXzglnXV0dp0lL7g6PjM3YupfvAQAAQIfoLnVtC86jyxfMsYVLcqL7kOriW5bZbU/RVYvYnzQ5&#10;qi/9WJ1w5hUPVoYRAGLRJLX9mYv1erPmb12K4t+4WK8ha77nAqBDhPuR+iWR2DcmfS65bFn15N1l&#10;rFTqml0eWBRW9EpfXTwwa8uenVbx1smJLrmrK37Dnx8zPMKevAAAAB3CnQ9Ouvj2iaeHBq0aimwe&#10;3/vA4ISLbdUwdbfvZ5nd9jVhf9LoRaZkQrRSkR+rE0+78KXKEAJALJqktotdrNebNee5FMViF+s1&#10;ZM2HXAB0gLj9SNk3Jl10pW84flq6uDywKDz3fh75I4/LyQtX/ynL7k7OKYtWVcdo0pK7w3vYlxcA&#10;AKBDWBffUlfGZ8OmRdXz6FNX9ZWX3tXFyuXBRFvS31v8e65E6ydyJCeuvqg6Tmooa3WnyjACgIkm&#10;qS2vvTmLtB/pR1ys15A181wAdIC4/Uhd0ca+MTUS3T+mp7d7L8vsto/ysrvhH3rc90MzI60CrpNT&#10;a8ndynACAACgjcVffDs0ZtVSnZ4P37K6OlaKLr5VQ7k8mGhrmmUdvvfHnXfrxBqKlBNdtej16z+l&#10;yVAAEIsm6WR5LbX7VZei+G0X6zVkzcsuv+YCoAO4k81JSyKxb0y63PCBUyectLPMbvvRexq+xz09&#10;XQOuYNsXLeA6ObWW3J2xdW/5D2QAAABoX9bFt9SVdnSxrWaO+vHadsHSwz8b3Uw92QGiF+N2zV86&#10;oX4iR6Kx8eM0+/RLv1IZQgAw0SSd7GMu1mvNmlUuRbHVxXoNWcPSeEAHsZZEYt+Y2vnaI+sn7B/j&#10;G8xoP+79DZfdHZsxtHumVcB1csLi9U2rzp/48+GRgcpQAgAAoE2580D2I02Z8GJb1ZQPfnkds0g7&#10;TPRiXK3OM6GGIuWE+5K+efnGVyrDBwAmmqQTaXlc63VmzTMuRfHzLqMu1uvImv/mAqADsB9p/bnk&#10;smXVcXMZY5nd9lW+0jf4nnSXurbN2rJnl1XEdWqSltx1Y7WzMpQAAABoU5GLb8sXyVFXTk70Yls1&#10;TMs/YxZpx3Hvf/XCgknblpByonWmLliuDB8ATEKTdKJbXKzXmTVbXIoir1mkH3UB0CFUvPoTTvYj&#10;TR9d6evHrXyy3ts1WBk6tKnovjFvXHXBG6wirlOTuOQu+5ICAAC0PXcOOFY9H6xsQ+JqJ+rKSMJZ&#10;pFpyV0vvMou0M0Uvxp295vIJNRaZXGf+8dk3vasyfAAwCU3SI/7cxXqNWXPQ5d+4FMF/cHnVxXod&#10;WfOnLgA6RKnUvbN6wun+Wbexb0zthLNIw+Yy2ld03xh9X5hNOjFJS+7O2LqXmdYAAABtylqhiLpy&#10;ctQQZRYpQuHfZJhNaiesM0887YKHK0MHAJPQJD3iRy7Wa8yaNS5FcZ2L9Rqy5goXAB0kbPr4JZGe&#10;fHrTnGgxR44kujwSs0g7RzjzWjnhtMvfahVxnRpd+Vz9XkQK/Bmb7+MPPwAAAG3KnSfPqZ4nuxpT&#10;t1FXTs5tt6+pni+rplTT9Mlnh/aWBxEdKTqblL1JJ0cX4PrxYV9SAElokh72Dhfr9WVNkU5Q3upi&#10;vYasedrlV1wAdIjoybiu9tXtT4xu2mYVdORwwuWRXNiLtMNEZ5O6om1ftIjr1CQuubtlhIsJAAAA&#10;2pQuHPXngD293eW/qVFXTs7awfnVc2WtTqTb1EwuDyI6FrNJk/OGwR3V7015X1JWKQIQgybpa17z&#10;n110NYn1+rLmeJei+LqL9RqypjyDDEDn0D4x/kTTpbpnoPZDiRZz5HCiyyN1l7q2VYYNHSL8A5C+&#10;N3903m1nWIVcp2bCUkirL6rerqWJK0MIAACANhM2ebSXv26jrpyYe3afVT1PVh788rrxA6NDY/v3&#10;b6Xh0+GYTZqc6MW4x625al5l6ABgApqkr3nNx12s15Y173EpigtdrNeQNXe5AOgw1tW+4gq4/dGC&#10;Lms+/9Ca8XdfetL427r+5/gfzPj3E/4/53VH/cb4G//sd8s/f/ib55iPT8qHbu4fP+sdf1I+xq//&#10;+i9NOLZ+1+KBY8avua7bfGyjYRYpogWsvkdHD4/st4q5Towao35sTlm06sjPhkeqF2IAAACgvaie&#10;9OeAfhsXVz9lqitVH7qH1RXVgdYx0+RTn15Sri2t4+p2/dx6XNZsu+DIxYT6Z92m2bbu9wDMJq2R&#10;8GLcN55x+dWVYQOACTq9SbrJxXpdWfOgS1H0uVivIWt+6FJeYhNAZ5l4tW/3Tt321FNDM6PFXJYk&#10;FZhW1OQc2nKieawwaqbqftGmaFLUjM2roPXZsGlR9cScWaSdS1fHV787vd1js4b3bLcKuU7Mcefd&#10;Wv2OKLrq1/+MZZEAAADak6snq1tSaH/S/aMbjrLqqaRkqSOtWMesFdWZtWrMNPVqrURXJNKsUt2u&#10;+tv9DmDSxbgTty4hJy85szo2J552wcOVYQOACTq5SdrtYr2mrDnkMsOlCP7A5UUX63VkTckFQAdy&#10;J5e7/EmmXxJJ+6FEC7q00exOd4i6otmf1jEVFa7R2ahZopmn1nGzRsshVcerPGZds93x0YGiBWxX&#10;33yW3A2iK5/92IRLRc3YfB/fGQAAgDY04dy4q+uoA6ObZ1s1VVKmo0mqBqh1rDB5NEnDpXbVLFXT&#10;9MnRzfvc8YGq8GKDN68YmlBjdXretOr86nforUvO+kFlyABggk5tkv4Pl+ddrNeUNctdiuAXXL7i&#10;Yr2GrLnIBUCHil7tq9ueeHpo0Crq0sQ9vKHELZGr2aDW/dNGVwbXs6xvNB++ZXX1pLyn1E1B2+Em&#10;zMTu7d41a8uevVYx14lRQe/HJtyX9OgtI4OV4QMAAECbUFM0OC8uN0nrqSsbaZLWs9yutoixjhVN&#10;Hk3SSy5bVh0fltpFHC1V7T8nLLk7MeG2LicvPkMTnQBgkk5skv6Ky/91sV5P1lzjUhS3ulivIWt2&#10;uwDoYP4Es5zKrMgDo5t3RQu6tHEPr0Z7kWoGZ9icVBM0aSkjLY8bHs8n2iTVrNPw2PrfWsfW/jbR&#10;42ZNuIeMn3mLzqULC8Lv0J8MfuBcq5jrxIQFbFjca1niyvABAACgTcyd2zUzPC/Wba5+2hmtp2rF&#10;apJa98srqlnD3xXXpM2jSXrqqr7q+Nx2+5rybVqS2B0fqIquWBSuytPpecPgjuq4qMZkKxcAlk5s&#10;kn7GxXotWfNFl6JQM9d6DVnzfRdOxoAOZl3tq9tdsbY/LOayREWloityrZ8rtWaF7t6zctJj/BW+&#10;Kk6TZoTqsdHj+agAth6TNtE9ZPzMW3S2cDb2nL55m6xirhOjfUj9uCh+P51ZW/bsqgwdAAAA2oQu&#10;uK2e+7nzY91Wz8W3U9kkterSuFq10SZpdNuWrz2ynqV2EStcseikZesm1VqdmmiN+YfnfOSUypAB&#10;QFWnNUk/7GK9jqx52uV3XYrgfBfrNdSTN7kA6GBWISsHRofGrMIuzyTtL6rC1HpM2miWqXVcFdzW&#10;/dMm3EPGZcwdE3Dfo57t/nOhJZhZcvdIuuYfmXldvQJ6eITvDgAAQJvp7u0arJ4T93bv1W2uhsp8&#10;8e1UNkmjNanqSN0e3ubTaJM03LZl7eD88m1PjW5mhRWYJvytxsVfcEr2lGeQ+nE54R3XXlYZMgCo&#10;6qQm6XtdrNdQT8rLSxbAWhfr+deTFS4AOly414XfX1PL/UQLumbkrHf8ifX/TeU02iRVAWsdt9Em&#10;6cSldrt3umMCk5YWY8ndIwn3JdU/+9tZFgkAAKC9hE1SXytZNVWtTFWTVFuxRH+PXw0pervSaJM0&#10;rCWvuubwyklPPr2JlYkQSxey+8/M7DWXT6izOjmnLFpV/S69acWmeyvDBQBVq1zM/5inTFGapFtd&#10;rOdfTxa7FMESF+v51xONHwDYhezo5tnRgq4ZiWtkKo02SeMasI0utxvuIcNSuwiFBSxL7h6JZo/6&#10;cQn3JZ0xtHtmZegAAADQBrpLXdv8eZ9qy6eeGppp1VS1MhVNUm3f8uu//ksTfoefRaqEt/s02iQN&#10;a0mtUKTVm/bv38qFg4gVrlgUXnDa6XnTqvOr36W/WDn8zcpwAUBVJzRJ17lYz72enONSBD0u1vOv&#10;J1e5AECZO6nc5U8udQKu254YHRqwirq8kzST1NqTNEted9RvmMe95rpu8/5pov1Iq2Pl4vdvBSQs&#10;YF12HT08st8q6DotcfuSzth8X1FW8QAAAEAKE86H3T/Xe/HtVDRJo7WoGqZqnPqfhz/zaaRJGq0l&#10;y/uRPjtUXpIYiKMLs/1nJrzgtFbu/vvR8Zde/el46OCLr5r3TZMV7/9K+ZhP/PDFScd99vmXxx9+&#10;8vnxS+/+B/OxSfHHfezZF8rHCen56vfp5ydf/vkJjztx9UXV79Jbl5z1g8pwAUDVqS7mf8xTptWb&#10;pI0uJxzmIpci+EsX6/nXk1tcAKBKe8X4k0stvavbnnh6aNAq7PJO3J6kKlCt+6dN3H6k0cI3a/Y+&#10;MFg9EXdhT0VMEBaw+nzMGt6zPSzkOjnhvqRHlokaGawMHQAAANqAZo9Wz4dLPdvrvfi22U1SLakb&#10;PX60ARr9uXWfLHnwy+uq58OKbmM/UtTS1dX12vBzU2tf0o0f+8akZmPIekyt3P/NH1QeXZuamnoO&#10;1nHCqKGq+6alxqyeh3/8GwZ3VMeku6//nyrDBQBVK13M/5inTCs3SRe6WM+5nlzrUgTHu/zYxXoN&#10;WfMZFwCYIFwi1C8f6wq2nWFB14xoOV33q8yEyxyljZqfH7q53yyoffRz67Fp8+FbVldPxP3+rYAX&#10;LWD/7PSLLw4LwU5OuBzSScvWlW+btfm+bZWhAwAAQBtw53rVVYq09G69F98m1XRhdNGttlPR3qJZ&#10;LoaNHt+6mDb8uU8jTdLbbl9TPR9eOzi/fBv7kSKN8G82cfuSaqblQ9/+UaWlGM96bFx0zKSGaxw1&#10;NJMapWmeZxzNWNUx1Cz2Y6IZtpWhAoCqdm2SdrlYz7eefNilCP7A5VkX6zVkzd+5/LILAFRFmzp+&#10;+dgDo5t3RYu6vJNU+OrKXusxYaL7xyRFS+82usepcslly6pj5ZcmBkLhzGz2JT2SCVf6VpaJmrVl&#10;z67KsAEAAKANuHO9CU1SV0PVdfFt2iZpNGmamNbFutaWLNH7KI00ScMLbrddsLR82/7RDWzfgprC&#10;Zaz9BadhduzdX16aNo3oY5OiJXDrpecTXSLXp1G3Pnhg0pYub1myVn9DB4CqFS7mf8xTphWbpH/u&#10;8jMX6/lmTVH+IPe7Lt92sV5D1vy9y791AYAJ5s7tmhmeWFZu1kzS/WFBl3dUhLpfY0Z7w1iPCZM0&#10;CzUaHa+RJXbDqJj1Y+WXJgZC+mNQ8J3SvqRjVmHYabH2JZ21ZQ97MAEAALQRnf/6873u3q7Bei++&#10;rbdJqmh2aVL9pwtow/vr3637hffxaaRJGl5we9U1K3XbfndMoKakfUk1szKL8LFJUePVopml4d6j&#10;ul/cbNNwedwwITVidYywoaomaHTf05DfWzXc0uXNA+dp0hgAVLVbk/SPXJ53sZ5r1tzt8s9cWp0a&#10;ml9zsV5D1jziwpVpAEyRJml1j00VbGFBl2d271kZOwu0VkHrk6VJ6qMlfNPMUE3Kqav6qifhfmli&#10;IDRpX9Ite/b6Yq/TExaxJ5x19fjRwyP8YQgAAKCNhKuq6KLSJ58d2mvVVbWiJXTd4epO3IW3WpY3&#10;el9rFqkSvZ/SSJN0w6ZF1XNhLb2rsXHHBGqKrgCmC1B9jWVRczJuv8+wPkuK1fhU49KaHbri/V+p&#10;3GMi3T96X0XPTdHjrJ8rasQm0XK+Jy85szomb118+tWV4QKAsuUu5n/MU6aVmqT/y+VpF+t5Zk1R&#10;GqT/0uXzLtZryBoapAASlUpds6sn26XuasPCKuryiBqg0St3fdQ4VQPVepyVLMvt+mT9HWEe+87G&#10;6gm44pcmBkLRAvaEM6/6hFX0dWK0NJQflxNXX6QmafXCDAAAABRf2CQtzySt8+Jb1Y26MFaJXuiq&#10;n33o5v7yRbDuV8bGely0htSM1fA+YcL7+eTZJH1qdDPbtyC1nrndB/3n5/h1N1VrrJAam34v0Eaa&#10;pDqG5e6/HzXvr8TNaNUsUev+aZK0H6qaqGGT9C0D6z5aGSoAKFvmYv7HPGVapUn6Opd/cLGeY9YU&#10;pUEqu12s15A1NEgB1GQ1SbUvilXUNRoVpZop6n6FmbgreLNEDVBdHRzXiFVUGNczo/Rrj6yvnoAr&#10;aoa54wGT9JS69/nPyZtWbNhlFXxxaWTfl1DcVb5xUZEZ3cdGx/BFdh5RY9SPi99LZ8bWvXyPAAAA&#10;2kReTdK0SdrGRXVheF/NLo3eR03Y8D5hovdVGmmSrh2cXz0XVpP0idEhtm9BamGNOXvN5dUaSzWb&#10;Em1gNtIk1UxUS9LMz7jleeOW3E2Th779o8pRJlP9+uYVQ9Xv1FuWDt5bGSoAKGuHJulvuXzFxXp+&#10;WaOmY1EapLe5WK8hax53oUEKoKZwaVCddOu2p54ammkVdY1kKhqk0SRdWayfWY9JyoNfPjILTnHH&#10;AUylUs92/zl566LVt1oFX1zyFO4VExc1UpMas2mOkTZvGNxR/f74vXRokgIAALQPd543cU9So67K&#10;O3H7l2rJ3vB+0Z8nzSJVovdX8mqS3rP7rPEnn97E9i1ILawxy6vyVGosXdRqNS8baZJaj41bOtcn&#10;bsldHcu6f5rENWtFdeqbVp1f/U69dck7vlgZKgAo05VI5n/MU2a6m6S/6PI5F+u5Zc0XXH7BpQg+&#10;5GK9hqwZdfnfLgBQk/aJ8SeVvkl6YHTzbKuoayRJDctGCs1aSZpRat0/KZEmKcuEIlZ3qWtb9XvV&#10;13uXVfDFJU+1Gpy62ljFbpI8m6TaOyf4Do0fu2HX+Iyh3TMrwwYAAICCc+d4R5qk7pzYqqvyjupJ&#10;96snJWyCasUh6z6NJNqErZVok1QXJ7vjAKmENaZflScpjTRJrRoxTbPT0kiTNGkmqZrDYZP05EWn&#10;l/+eBQBe0Zuk97hYzytrHnb5FZciuMbFeg1Z84LLH7sAQCoTmqS93Xt1m65otYq6emMta+RTz4zO&#10;LElqzlr3T8reBwarJ+Dh/q1A1IQZ2nO7D1oFX1zyWm5X4pZDUkEZVzRH5dkkVTSD1I+N9tKZsfm+&#10;2ZVhAwAAQMG5OmmnP9dbtqL0XquuyjtpmqRaVte6T6MJn0etRJuk2ubGHQNIJawx/ao8SWmkSWpJ&#10;0+yMbt/iWfdNk7g9Sf2s1nA7l5MXnf5EZagAoGypi/kf75SZzibpx12s55Q1+uP1b7oUwSUu1muo&#10;J/yhEUAmWgLJn1T6Jqn2RrGKunqStEdMsxukSlzBrFj3T4r2jamOVWXWLWDRfrX+s6K8fujuTI3S&#10;LFET0xJXxN764IHKPdLJu0l68pIzq+OiopYmKQAAQPtopSZpWG82YyapEj6PWjl1VV/1PFhNUvd4&#10;ILXJNeY9Zr3lU2+TVBfUWjSr07p/mEYas9HE1bny8JPPl++jvVn9eNAkBRBV1CbpB1ys55M1P3D5&#10;bZci2OJivYZ68pcuAJBJ2CR12aXbnnh6KJe9Y5Ku1p2KBqkStw/qr//6L5n3T8qEJmmloQzECb5X&#10;48ede/Oj0aIvr8QVomqGpr2/Zq/GLWWUd5M0XBJJy0QdMzzCXkwAAABtItw3cdWq/o9YdVXeiav5&#10;dMFumvvVm0aW273jrjO/544BpBZtkmrrEqve8qm3YRnXnNT+oNb9w+TZJI07lvgVk0446+rqeLxt&#10;0anqBwBA1RIX8z/gKTMdTdL3uljPJWtecvmPLkWw1sV6DfXkFBcAyCzc10JX/eq2PJqkulJXjUh3&#10;uElppEGqQlTLJqkBa/08TN6zWD98y+rqCThNUtSiJZn952X2GZd/M1r05REVhxa//JCVsNjU/Xbs&#10;3V++XUWvJe8m6RsGd1S/R+VlooZHtE0EAAAA2kDYJF22rO/TVl1VK6r5lM8/tMb8eZh3X3qSWe+p&#10;Fn34m+eYj0kb67iatWrdN002bFpUPQ/eedNpz7njAZn09JZ+7D9Dx513q1lv+RS5SZq0+lE4ozWs&#10;Ld82f+nByjABQNliF/M/5ikz1U3S9S7W86gnv+dSBL0u1vOvJ90uAFAXs0k6ummbVdSljYrRuAap&#10;rt61HpM2apCGx1JRrIZseB81UNUEDX9vNNHHpImWRPJjxXK7qEWNdP95+fNV2x4Ki768omWGLEkF&#10;rN/zVMXlyZd/vnr7VDVJtSyUHxfl2I2f2lQZMgBA8b3V5Usu4XnXvS66fbr8lsu1Lj9y8c9J/6zb&#10;9DMAOQrry+Ur+h6w6qpaCWs+1XUfurl/QsNT/6zbwvtF00gz0yfv4151zcrqOfCV164YdccDMgmb&#10;pMevu8mst3yK2iTVcr+6mNeiPUrDGjZsks7pX6iJUwBQVaQm6XwX6znUk//hUgSzXA65WK8ha/pd&#10;AKBu4ZW++mfd1miTNO5q3noSnTGaVAinTb2Fbdgk1SxBdywgVrgf01+s2LQvLPzyiIrDOH75ISv6&#10;mQrP6O1T1SRVNIPUj80bz7j86sqQAQCK7Q0u5rlXJb/rMh1udbGej6JGKYAc9fR0zfHneQsWlh63&#10;6qpaabTma/TCXB/r2Hk1SYeGFzHrDZn1zJ37Pf8ZascmqWrcgy++WnnURGqcRutYjYEfj+6+Pv2t&#10;HQCqFrmY/zFPmalskn7DxXoOWTPDpSg+6WK9hqxRMxwAGhI2cvJqkqpwdIfJJdEi9Kx3/Il5v7Rp&#10;pKjd+8Bg9QTcZcwdD4gVXoBw0sC6r4bFXB6Ja2pqdql1/1qZyibpyUvOrH6X3rRiQ3kvZABA4dVa&#10;IWqey3SwnouPZpQCyFHYJO3r737BqqtqpZGaTw3WRpfZ9bGO30g9edvta6rnwIPnzKeeRGZz+vof&#10;958h7cdp1Vo+eTdJ09SZjTRJ1SDVTNE4WoI3+hgtOezHgyYpgKiiNEnz2pPzay6fc/lbl79x+YzL&#10;nS63u6ghqStHb3b5kMsHXG5w0RWjV7moIfDXdeZcl6z7n/6li/UasuZbLnrN2hPvPhe95rtc9Jpv&#10;c/mYi17zTS56zTtc3uei16z9X63XkyZbXf7IBUCbCJukWhpJtz01unm7VdSlTTObpIqWVnrdUb9h&#10;3j8uKpbT7GOalK89sr56Aq644wKxwibpyYvPfCRa0DWauCWI6m1qTmWT9E2rzq9+j962cMXDlSED&#10;ABRbrSapfj4drOcSBkCO5s7tmunP8+ptkipanShLzaf7XnNdt3msemP9nkaapOHKRAsWlmjoILM5&#10;/fP3+c/Q7DWXm7WWT70Ny7gVi3Q86/5hrCanZoZa9w1TT4NUOXbDrup3Sunq6nptZagAtAktPab1&#10;6XVl4/MuL7j8xOVlF/2H9Gcu5n+wmxj9zldc9Dz0fHTV0w8rKe9jl9EeF+v3FCl/55KFGpTWcYqU&#10;77m8zgVAG3Ankrv8CWVeTVI1I+P2JM2apMam9hXVVcZqgEZ/n5ZYelvX/ywX159/aI35+Kx57Dsb&#10;OQFHauF+TKcsOu1bVlFXb1QkWtIUoHGZyiaprnr2Y9Pd1/9cZcgAANND+3JaS9Jqb1EtoZsWM0lR&#10;D30udBF49H1hKeSCUo3kz/MU1VBWbZU2ukBW+5KqvnOHr0b1n+pA1YO6j/XYRqN6MvydasQ28ru4&#10;6BaNmoomqWJJ0yS1pHmcZqnGSVrm9/VD90z4TvE3GqC9/KnLhP8QFyRdLmn9nEte+3JOd05xSeur&#10;LtYxipaNLgDawIQ9SXu7y8teNtokbdfQJEUWPT1dA/6z8rYFyw9YRV29idunJe4K2zSZyiapCvrq&#10;92j+0scrQwYAmB5Je4ne65JWq+5JqtdgPR+FRtz0S3p/sjTp0SKiTVI1Bq3aqhNj1JNHVYYNSKVr&#10;/sBn/OfnxNUXmbWWTyNNUqve1EpG1n194magPvTtH5n399HP46RZ4pfvFNC+3uVinSC2erSUa1ra&#10;Q9Q6RhFzqUsaagxbjy9i7nEB0Aa6e7sG/QllT2+3lvCmSZqQ/nk9L/nx0lJS5UEEDOF+TG+ft/j7&#10;VkFXT+L2iFHRqsLUekyaTGWT9M0rhqqF7CmLVj9UGTIAwPTIq0kqmk2qGajRY7zVZbr4mbKaneif&#10;k2YuqkGqn2F60SRtQ+4cb8yf6+19YNCsqzo1i5b0Vs+DS6Wu2ZUhA1Lpmr/0Qf/5aWaT9LFnX6jc&#10;e6IV7/+KeX9lx979lXtNpNut+ytxKyRJmgapMZOUJinQRtSAsk4QWz0PuqR1got1jCJGe4Cm8Rsu&#10;1uOLGGZ9AG0ibOS4aBn11zwxummbVdARV9Qu7q0W/Bq78iAChvAChLfPX/KcVdTVk7hit9YVurUy&#10;lU3Sk5at8/+fM/6WpYNZ/wAPAMhXnk1SICuapG2op9RdXRL0ttvz2fqkXbJ2cH71PFgrz1SGDEil&#10;a97ib/rPj7YwsWotn0aapHf//Wjl3hMlrVwUt2Ru3IW8cRf/SpoGqcKepEB700we6wSx1fP3Lmm9&#10;3cU6RhFTnnmVgq5msR5fxLB/GNAmossh6d9pksbn9DX9B/xYqQlWGUZgknAp65OWnv2EVdRlzcaP&#10;faNSNk6WdFVvmkxlk7Rr/tLq/+f8xannX1kZMgDA9KBJiulEk7QNaYUif6734VtWm3VVp2bDpkXV&#10;82DqSWTV1b/wKf/5ecPgDrPW8mmkSara0qJleK2mZ1ydGtfs1P21EpIlbYNUOe68W6vfJ6UyTADa&#10;xBddoieHRcg/uKS12MU6RhHzsEsa7bTEsAKgTYQnlVpCliZpfC5698C3gvEq7+EKWPT58J+VNy/f&#10;8C2rqMuauKtztRySdf8smcomqR8X5c9Ov/jiypABAKYHTVJMJ5qkbSi8WPCGD5xq1lWdmksuW1Y9&#10;D+4udW2rDBmQSnffvOrKVs1skipxtaeOqyanv59ml8Y1PK0LedVkjbv/s8+/POn+STl+3U3V79Oc&#10;/gUvVIYJQJv4vIt1gtjqybIEa5eLdYwiRk3tNP6zi/X4IuZFFwBtIlwOSVezPvH00KBV0JHN49dc&#10;t/JhP1Z+D1fAUip17/eflRPWXvsdq6jLkrireSVpn5e0maomaXRJpDes3bGqMmQAMBV+1+WvXKKN&#10;Gb9HZaNNGV0Ye5qLjhXX/NHt2iNT99PzaYbo3qD6nXH7grZqk1T7hc5z0VhG9znVv+v26dzrNKQx&#10;jHue+rw1+j7r+HpP9bmJ/g5F+63qvdJz0Jg1a69V/55Ye7zqNv0sq7jvidLI91HfRY2Zjh8+V8V/&#10;fpo5Vh1NzT9/rrftgqVmXdWpueqaldXz4L7+0l2VIQNS6e7rfcV/fjSLUvVV3P6hWVj1pOrPuGZm&#10;Gqovo8dU4pbyrcemaz9V/T69fd7i71eGCUCbuNMlPIErStLOqBRtTm4do4jRHrJp6OTbenwRc8AF&#10;QJsIl0NSQfvE6NCAVdCRzeOfumPNd/xYuZT3cAUsYZP0T87+wKhVIGZJXBNTSx5Z98+aqWqShlf7&#10;atndY4ZH2NsXQKNUZ6lBE9YratqEDRvdR82q8D5xUVMlS1PLN171O63j1YqaNWkbNXpN0d+j1+4f&#10;r/+1mmg+ovtEm0bNjH5Xlmamnp+aW2mfo8Yj6fhqllmNON2mn8XRz6ymZ/gYvfdJTb4w+oykfZ/F&#10;N17rea/0GI1hWnpu4e/RP+u2kMY4zWc8OkZRel7W47Kknvc7LlnHCin09HTN8ed72oPTqqs6NZpZ&#10;68dm8dLev60MGZCK/+wouvhU9VUe4hqamiVaj6Qlc+Pqznq87+ZPV8eDJinQfj7kYp28tXoecknr&#10;P7lYxyhiPuKSlv6gbh2jaPmaC4A2ES6H5LLryac3zbEKOrJ5/B++vfFgMFblPVwrwwhUuc/FUeHn&#10;xBew9SZpSSJdiWs9Jmumqkl6wllXV8fllEWrxmdsvk8XzgFAI+JmQqpRIlazq1bUOElq9Hj63WFz&#10;qd6o+ZTm98U1f/Q8ajVIFd0vbryaGf9e1FLPe+UT1+hKasolNcfiHucfo0Zd1vdery1No1SzjK3H&#10;Z43GPc3vsx6reGrWWj+PS9L3J0sDMy56PhZdRGDdP0005shJ2CRduLj0T1Zd1am5Z/dZ1XPhhQtL&#10;P6gMGVBTXI2Zh7gmqaJ6UBfmpqGatVZ9mmeT9L0fuKU6Hm9bsGx/ZagAtIlNLtZJW6vn/S5ZaDai&#10;dZyiZYNLWp9xsY5RtHzYBUCbCItYLb1LkzQ5pbndRxqlpS4aPJhEn4vqd6q353mrOMySuCt4VYSq&#10;gWo9Jmumqkk6e83l1UL2zSuGxmds3XtUZdgAoF5JTVI1auptYupxtRpMeTR8fNRAqyXu92kM0jSy&#10;WrlJ2sh75WM15prRJG2kGZdmLKzH1ZvojFCL9ThFsjZIfeK+P3l8Z6wxbPRznfRZQEbRZo5VU3Vq&#10;9j4wWB2X/nndP6kMGVDT3LldM8Pvla+vmrXcbjSqSfW7tG9oSA1U3a7maJraVPVlI8v4htZeeOQC&#10;3LctPPWBylABaBMnulgnba2ecDmjNNRctI5TtPyFS1rdLtYxipazXQC0ibBJ6jL21FNDM62CjhzO&#10;vPk9j/rx0h6ulWEEqtx3asB/Rub09T9uFYdZEnflbtIyRlkzVU3Sk5at8/9fM/6mVefTJAWQh7jm&#10;iGZnNtp0i5ux5uXR8AlTazZb3O9TI8y6PZpWbZKqmZZmKddascYv7yZpvTNdw9T624n1mEYSN6vT&#10;sx6j1Nsg9bHGt1lN0kY/PzRJc6TVdvz5nvK1R9abdVUn5rHvbKyOi8LKREjrLUvXzqt+buYvNWut&#10;TovqST8mb1t42h2VoQLQRnQyetDlhYLkZpd6aB+qv3N5ysU6UW3lvOJysUtWx7mMuHzH5Z9crGO3&#10;cj7mAqCNRIvYq69e/jqroCOHs2bN/E8E47WrMoxAVanUvdN/RnRFq1XQpY2u6o2z8WPfMB9TT6aq&#10;SXrykjOr/1+jpXdnbN3LH4YANKrZTb+k/UnzbpKq0ZOk0d/Xqk3StE3eWrEaXXHNTiWpMZb0uEZT&#10;6322HtNIajX7rcfkEV2kEJXHdyY6OzZpZq+eg34ezmrVd0DHCBurNElz5s71xvw5n2ZPWnVVp2bR&#10;kt7q+TArEyGtty4+/Wr/uVFNZdVanRatTOTH5G0LVnyiMlQAUGi/6PJLBcrPuzTqn7lYx27lAGhD&#10;7qSyWsSuXt1/ilXMkcO57oaVN/qx0rhVhhCoKpW69/vPyImnXbjbKujS5okfvlhpV06k263715up&#10;apLqqmc/Nm8Y3KE/SgJAo7I0/dQI8U1PNU3SNMKSliuNNnzUkFFDSk2Z6Ow9/V7dXmvGWzObsqLX&#10;3egM26xJapLq9VqPCaMxDcdTj9F7F30dVqMr6T227u+l+Wwo0SacntutLtZ9w2hP0zjR++ozo8+h&#10;HhP9fGhcrLEIk1dTVu+D//1pvz/6fobSjmtSomOn52XdT6k1i1bvncaOPUlzpm1c/DnfbbevMeuq&#10;Ts2GTYuq58OsTIS0Tlm0+iH/udEMSqvW6rSEqxS9bd6i91aGCgAAAMguLGJVqB0YHRqzCjqyefyR&#10;xzbe5cdK0Z47lWEEJs3M/pN1N/2tVdCliWaKxtGeMNZjakV7xTTqoW//yDx2rbx+6J7quCh/eN4n&#10;tT89ADQqTZNUTZC4ZomaJNZjfJIaTGrW6D5qiiU1vUK1mpTRplIobZNUz8c3s/S/agDFNYGSxi+p&#10;uRlV73FqzSLV+xNHYxmOiXXfpKacfhYnTTNPS+/65mhUUuNO0c/jaEz0GYk2h5PU+h4kse4fRs8l&#10;7nNZ6/uTNMaS9JlO+i6E4o6RZp9fNElPb/def8734VtWm3VVp+aqa1ZWz4cXLOrdXRkyINHJS9Y8&#10;4z83s9dcbtZbnZZwlaJTFiw/tzJUAAAAQHbh8qDdpa5trnjbHy3mSCWjQ2PhTEHtP1kZRsB9l7pm&#10;+8+Gy9jRwyP7rYIuTbTnqEV7lFr3T5O4malZ1DuL9bjzbvXjUs6sLXv2VoYNABpRqzmU1CD1as38&#10;S9uoSiupMZg0oy2poeST1FS01NvcjKr3OEkza/W+pOGbitFZltKsJmlSg1T0s6TXpuebt6T9UpM+&#10;w9b9fdJ8f5J+r96bJM1sktaaQYsmKpV6tvtzPjUFzbqqQ3PP7rOq58MLF5Z+UBkyINGceYsP+c+N&#10;VuSx6q1OyymLVlW/Sz09XdrSDwAAAKhPWMS67Hry2aG9VkFHDmfevNLNfrzUVK4MI/AazcT2n405&#10;ff1fsoq5NFnx/q9UWpKTaWlc6zFpMp1NUhXzfmxU0M7asmdnZdgAoBG1mqRpmoZ+RmhcsjYea6m3&#10;cVerSZo0OzHOdDZJ1Xyz7u+TR3O6GU3SNI1DqTVL1mrqNqLehqN1f580n/2ksar1Gar3OYeSjsEy&#10;utNENZI/79t2wVKzpurUPPjlI0uEzl/Q80plyIBYf7b8gtf5z4xy7IZdZr3VaQm3cqFJCgAAgIbo&#10;hDI46dZSuzujxRw5krPO7v9g9WS81L2vMoyA9vfd5T8bJy8+o+79SNUkffb5lyttySPUoDz58s+b&#10;j0mT6VxuV8tC+bHR/jGzhvdsrwwbADQiqTmXZblN6/E+Sc20etTbuEtqBtW7tOh0NkmTlmrNaxZg&#10;vWOd9LhasyO9pDFR0jYB06q34Wjd3yeNpIsMan2G6n3OoVrN6HD5aUyRsL5cOzjfrKk6NY99Z2P1&#10;nFhh+xbU8mdnvufs8DNj1VqdmO7+edUxmTu3a2ZluAAAAIDsovsofuGhs2+0CjpyODd+8NRbg/Ea&#10;0/hVhhIdLlyK+Y1rtu+xirlOjRqjfmzetOp8d9vIYGXYAKAR9TTnLEnNmiwzNPV81GBTY0bH1KxD&#10;65hxqbdJmnZP1Ki8xq+e4yQ1ItMutVtL0u9IGut6HxdlPd4n7QxlLd2r91e/V2OZ9DmIS1LD0bq/&#10;TxqNfIaSXkvScw4l/f4wupBAY560TDJyEjZJFy3pNWuqTs6pq/qq58WLlvRsqgwbYPqLU7fd7j8v&#10;WpHHqrU6LZpN68dE4WIDAAAANCxs7lxy6cD7rWKOVDK6WbMFx/x49bAvKRxdveo/E8ofnvfJA1ZB&#10;16kJl0PS0rvHDI+wJBKAPDTSoAklNWtqHUdNFzWwsjZErSQ14PJoKEXlNX71HCdpL9gsjcgkOo51&#10;fCXpd9T7uCjr8T61jqPZj2rQW4/NmqTPh3V/nzQa+Qzl9ZlOOk40+p5q9inN0iaKXoSr2ZNmXdWh&#10;ueSyZdWxOesd8x6oDBtgesuy9S/4z4suPLVqrU7L8etuqn6HeubOfbkyVAAAAED9SqXunf4kc936&#10;+bdaxRypZHRoLNyXVGNXGUZ0sHA/0u7evketYq5Tc9x5t1aLWEVX/s4Y2s2SSADykFeTL6kplnQc&#10;zfDLoznqk9Q4y6uhFMpr/Oo5TtLrydKITJL0vib9jnofF1Xva0z6/fUk6fNh3d8njUY+Q0njk+Uz&#10;rT1is34Pdf8s7yUycud81YtK9z4waNdVHZrbbl9TPS9mX1IkmbF171HhxaYnnHW1WW91WjQOfkzm&#10;9M37TmW4AAAAgPp1l7q2+ZPMvv7SXVYxR45Es239eLmMVYYRHcx9Do7sR7rkzPutYq5TExaxfoko&#10;FfyVoQOARuTV5EtqSsUdJ2lPzXqT1LTJq6EUymv86jlO0uvJq3mV9L4m/Y56HxdVz2vMa/ZomKTP&#10;h3V/nzQa+QwljU/Wz7QapdrL1jpWUrIsp40Mekrd+/z534dvWW3WVJ0a9iVFWsdu/NSm8LOii02j&#10;tVYnRtu3+DGZ0zf/E5XhAgAAAOoX7hvjMmYVc+RIHvmH9UdmkiqlrtmVoUQHqiwpVr1a/oQzr3jQ&#10;KuY6NW9eMVT9ruifjx4e2V8ZOgBoVF5NvqSmmHUcLYWa5wxSn6QGXJ4NJS+v8avnOEmvJ0sjMknS&#10;+5r0O+p9XFTW16iZydZ9G03S58O6v08ajXyGksanns90vUtfa/ld5KxU6tnuz/+2XbDUrKk6OeG+&#10;pKee1vuuyrABE6iu9J+T7v55Zq3VidGyw0fGZdGNleECAAAA6hfdN+YLD53ztFXMkUpGh8Z6erv3&#10;Vses1LO9MpToQOFFBj1zuw++fujug1Yx16k5ecmZ1f9v0azSWVv27K0MHQA0Kq8mX1KzxjpOrdl+&#10;mtF2motmt0XV24DLu6EkeY1fPcdJej1ZGpFJ6h3reh8XZT3exzpOrZmQGjPNYFaTPqrez4d1f580&#10;GvkM1fuca/HN0iwzSxv5fTC48+MBf/63dnC+XVN1cK66ZmX1/HjwnAX6rAITzNi697UnnnbhS/5z&#10;wn6kRxIuQaxavDJkAAAAQGPCJZGuu/HUx61ijhzJuy5ccqUfLxeW3O1g4ZXyrmBjFmmQ1w/dU77q&#10;2Y/PGwZ3jM8a3sNFBQDy0kiDJvQlF+sYitXMSpqpVmv5znobcM1oKOU1fvUcJ6nRfKtLHuod63of&#10;F1Kjznq8T/Q9U0Pdup+PmqNJ6v18WPf3SaORz1AzPtNRmp2b9Ht8WHY3Z1ppx5//LVrSa9ZTnZx7&#10;dp9VPT9euLj0T5VhA6qOGR6ZE86YPHH1RWa91YnxY6KwXDUAAAByEzZ6dDWrVcyRI4kuucvJeecq&#10;lbr3+8/B7NMv/YpVyHVqjjvv1up3RM1SNU2PHh4ZqAwdADSqkQaNV6uZpRmhIc3is+6nqHmq4yWp&#10;twHXjIZSHuMn9RwnaRzymlVV71jX+7hQraVzo7OMk/a4TfNe1Pv5sO7vk0Yjn6F6n3M9dLykmaXM&#10;5MtZdKWirz2y3qypOjXRfUk/+tHTzq4MHVD2+k13PRC92NSqtzotYX2pVIYLAAAAaFy4ZOjc/u4f&#10;W8UcCTI6NBY2x9w/76wMJTrI3LldM6ufAZc/XP+p561irlMze83l1bE5ZdGq8m26KroyfADQqKQG&#10;jaJGVS1JzSkl2qxppCkk9TbgmtFQavS1ePUcJ2sTsR71jnXS49QIt5a7jaq1JHNUvc/Vq/fzYd3f&#10;J41GPkPN+EwnqTVbFzkLa6UP37Larqk6OFqG2I/Puy5c+khl2IDXzBjaPVNNUf/5qF5sGqm1OjHh&#10;uMzpn/9EZcgAAACAxkWv9tXVrVYxR47kkksH3h+MGUvudqDuUtc2/xnomrdo1CrkOjnhElFvWnV+&#10;+bYZW/cy6xpAXpIaNIoaWrWabbX2LYxqpCkk9TbDmtFQSnotWoI4rXrGJGlGrpJ2+VM1W/U+W2NQ&#10;71gnPU7R2CTNGK712qwxqfe5evV+Pqz7+6RRz3vvJT3nNBc41CPpdyJnuojUnwfe8IFTzXqqk6PG&#10;sR8fLbm7f3QD58gom7X5vm1hHcV+pEcSXoTb3Tdvd2XIAAAAgHy4E80xf8K594FBs5gjR/L/Ht/4&#10;sB8vpaeni2VEO0j5woLgCvk/X3U+TdJIuuYvrX4/yktEDY/srwwfAOQhqUHjk9QorTXbz9obM+l3&#10;1mos6nno+ViPVZKaYfU2wZLUGr80Myal3kZZ0l6wSq19OMPGojV29TYekx7nE9co1W21Xld0CWdJ&#10;+p1/5ZIk62zokHV/nzTqfe8l6TPdrD1C4y6K0PcSOQsvJtx2wVKznurkRJfcve6GlTdWhg4dbMbW&#10;va99/aa7n5hURxm1VicmbB5ry6jKsAEAAAD56Ont3utPOK+8dsWoVcyRiVm8uPcTfsx6St37KkOJ&#10;DhAuUd3TW/rxsRt2mYVcp0ZLQvnxUTQ+s7bs2VUZPgDIQ60mn48aIGpC+aaWmn9qgFr3DRM3m826&#10;r09cQ7ZWg1RJatw1o0mq52Qdz0fNPt8o1dipGWc9x3obZWoWWo8Jo2ZZOKZ6Pnoe0WaX9bySGo9J&#10;Y530uDB6DmEjV+NQq0GqWM3VpDHU77EeI7UapErS58O6v08a9b73Uus7GDaT9RlQszj6/dIxou9D&#10;nKQlnq0LItCg8Fx50ZJes5bq9Kh57Mfo3ZcMvFIZOnSwo4dHBlhqNz4nLzmzOjZcpA4AAIDc6Uo8&#10;f8I5eM6Cb1mFHJmYkc8OftqPmdLV1cUySR3Cvd+7/Pv+1iVn/cAq4jo50eJet80a3sPVvgDylNSg&#10;aTRqvMRJaoSpEaqGTdiQTdt0S2rcNaNJKrUat1aiDbt6G2U6Tj2/34o1dknjnjTWad+vehI3Q1Jj&#10;Yd3fR5+5sGmvZmGaRr/Sqk3SNE3yaKKzasPPj/5Z46txCmdB++9g0mctTZMVGbGdS+3cdvua6vio&#10;kfzE6BBNnw43a8uevSy1G59whq0uxKgMGwAAAJCP8GpfhUI2Xfr6eg5Ux63UvbMynGhjlT/6VJen&#10;ZgmkyTlx9UXV/y/xxf0xwyMUsgDy1MwmaVJjKc3svXqS1LhrVpM0baMtTPT3NdIoS5rdlyXW2CU1&#10;O5PGOulxjURNurgZoVJr+ed6k/T5sO7vk0Yj732tmcxWose07pM1STN10aDwfJntXCYnuuTurZ84&#10;/QeVoUMHUq2kmomldu1oZaLw+8IF6gAAAGgKd7JZLWR1ZatVzJGJufKaZX/jx0zjx8l6++vu7Rr0&#10;73l3X+8rLIE0OeFSSGqY6rYZW/fy3QCQp6QGjRof9c5SrLUHpKRZVtWKnlPcDLrpaJImjWFcor+v&#10;kUaZ5NEctGYCNqNJWu/7rsQt3+xpxmO9n1k9L31urZ8lfT6s+/uk0eh7n/S5thI9Zr3jFSZpfNCg&#10;cDuXD9+y2qylOj2XXLases68YdOi8Sef3sRFhR1Ks0ijq/GwpcuRhGNT6i0dqAwbAAAAkC/NhPQn&#10;ntoXxSrkyOF8+8mN+26/Y/m+q6/pP9jbO6c6m7S71LWtMpxoU9p/1r/fvgFIjuS4826tFK+Ho393&#10;t7NnL4C81WrQaKZa1iZK3HKoUZp5lrVhpvvrOcU97+lokkrWJmV01l2jjTKJa/ClSdx71owmqX5W&#10;z0zitMu51vOZ1WxgvSdxzzvp82Hd3yeNRt/7rK83egFDPTOhffR7WWa3ycLtXLT/plVTdXo0wzY8&#10;b/7q18+l+dOB/CxSltqNT7hSkcuuytABAAAA+dLm9/7Ec/6CHpqkRnxz9IYd88Z9zlrbU22auTCb&#10;tI1Fl6WuNABJkNlrLq+OzymLVpVvYz9SAE2QpkGj5lFSg9FHDRPN8MxCx07bpFFzxzcXNWNQM13D&#10;n+vf1TCKo2ZOtCmr5+wbZI1K26TUc4jy4xBtduk1ZRlTvZ/RcUmK7ps0O1Pjab33ui1prNM0V/X4&#10;NM9V90lqUlp07DQN+OhnVmMRfQ/0WpM+H3rfo69D/x5tRsaJ+w7oGFkaw2nGUom+3/ou1dMoVWM9&#10;3LcUTRKeN2vPTau2IpvHT13VVz131sxS9ibtPJpFqlmjmj3qPwsstTsx4UpFXJgOAACApqnstVg9&#10;+fzaI+vNQq4To+boxz6x9NGwOepzzbX91TFTOGlvX+GyYVzdaye8AvpNq84v38Z+pACaIMssNt03&#10;2sjzTUY1cxppNKrJo6ZStCGnRpduL0ozRs/Teh0aJ92mhlweDdla1Aiznoei2/SzpCZno9I0ST19&#10;dqLPUw0/NeFqLa9bix6v40QbplP5XkwljaW+j9GGqV6/xiGp2azPrh6v+1mfGx1Dx9a40RydQtSW&#10;6aJtbsJx+urXzn26MoToAEdvGRlUvRTOlNS+pGzpciQai/A7Uip1za4MHwAAAJC/Uql7vz/5ZO+Y&#10;5OZomHcMlr4ZnLiPVYYTbSQ6i/T4dTeZRVwnRwWsdQU0+5ECaIIsTVIgrSxNUgA1UFumSzibdO3a&#10;3leuu6FvsDKEaGOuRnrt0cMj+6M1FFu6TEy4H2lPb8/zleEDAAAAmkOzIP0J6MLFpX+yirhOSNrm&#10;qA+zSdufe193+fdXy/1YBVynJyxgVehXroBmP1IAzUCTFM1AkxTIEfuSpstNN5/2hB8nZft7+55/&#10;3/v6uciwzc3afN821VAnnHW1VUORStiPFAAAAFOqo5dFGh06mLU5Gmbw7N7nw7Fjb9L2MXdu18zw&#10;vWWPGDtvXjFUHSO/HDH7kQJoEpqkaAaapECO2Jc0OfsPbHr0M/eufFC15KJFPdXz6LVre1192U8z&#10;qI3NGNo98+jhkTHVS+F+m6qnwvqKsB8pAAAApkHHLYvUYHPUR7NJ++d1P+fHzoXCtk2478RO/76e&#10;smiVWbyRPeX9c/w4+UYy+5ECaBKapGgGmqRAjtiXNCau/vy7L665/wM7Fxz0teTWbXOr46RccWX/&#10;+PXX93Ee3aZmbdmzV7VSuBKPwpYuE8N+pAAAAJgWHbMskitOH/v2+gcbbY6G2bKl98XwJF5XT1eG&#10;FQWlQix8T7UcklXAdXqOO+/W6hgpx27YVb6d/UgBNAlNUjQDTVIgZz2l7n3+/LDj9yV19efXH133&#10;UNgc9dEFt+Fs0tPX9I5ff0P/WGUY0UaO3jIy6GuocJakX4mHHAn7kQIAAGBahMsiLVhU+plZ4BU5&#10;rjj9+2+cc3+ezdEwi5d0v+DHz4XCtuB6erv3+vdTMyXZI8ZOuFeMn22rK6QrwwgAeaNJimagSQrk&#10;jH1JDyfNykUXXjhxNqn+nWV320u4zG64F6nCLNLJYT9SAAAATIvoskh7Hxg0C73CpdIc/chHFx2w&#10;itK8oqWRwvFj34ziCi8YUChc4xNeBa1iVrfN2nwfn30AzUKTFM1AkxTIWfR8+rHvbLRrtTZNuO9o&#10;mgwsK1XHat78nvJtLLvbHmZs3ftav8yuLrwNtyphFqkdXXzrx4i/qwAAAGBKuZPQXf5k9JLLlpkF&#10;X2EyOnTwwS+vbXpzNMzatb3Vk3ll7tyumZWhRUGULxYI9uelcI1PdKld/btuZ6ldAE1EkxTNQJMU&#10;aAJ3fjjmzxNvu32NXbO1W1wNGt13NE2iF9yu33B42d33va+f8+qCmzW8Z7uvn8IZkt3986r1EzmS&#10;6H6krj7nOwAAAICp09PTNeBPRgu75G6lOZq1MM0j2lNm4cKeQ9WT+lL3/srQoiB0pap//yhckzN7&#10;zeXV4tUvteuyrzKUANAMNEnRDDRJgSZwtdBOf65Y+Atwa8XVoHH7jqZN9IJbNU6v39HPuXWBhfuQ&#10;qvmn+tK/v29adX61riJHEu5H6sI2RgAAAJha0SV3C3XF7zQ2R8NcfElfeFKvsIdGQegq1Z653Qf9&#10;e0fhmhzNso2OFUvtAmiy33K51eVHLmEj60sub3UB6jHDRU328DOl6LOmnwGoQ3gB7qIlvXYN1wZJ&#10;s+9omuiC20WLeqrn11qC9/DP2J+0iMJ9SJXoLFI1Tf3PyJGwHykAAACmXXjF77YLlpqFYEulziWN&#10;mpl16+aGJ/bj2pOnMrxoYe69qi43TeGanGM37JrwGdcVv7p9xub7ZleGEwAAAB0segHu1x5Zb9dz&#10;BU3WfUfT5MILJ9aRqivLP7uhf6AyrCgA7UPqaqN9vnY6ft1NE95XNQL9z8jEhHu2sh8pAAAApoUa&#10;euEJfMsWsy3YHA2jK3+DcRxjL43W1t3bNRi8X+WlZK2ijRxOeIWvCtnK7SwHBgAAgKpwr/8P37La&#10;ruuKlibXoaevmbjsrhqnuv19O/q5GLEA1CCdtWXPLl836cJbbU3i30/VTlyMa0db3YSfff6GAgAA&#10;gGnT0sVsizdHfbSHTHiC31PqpoHUoubO7ZrZM7f0on+vtIysVbSRIwmv8PVXQrPULgAAAEKlUs92&#10;f85YiFWKkuLq0P/32LkPNLsO1bK74QW38+b3lGvL8s9vmDuzMrRoQTt3dk1okCralsS/l1qtSLNK&#10;w5+TIwkvxOXvJwAAAJhWYTHbKvvHPPHM0IEiNEfDRJdL6unt3lsZYrQILQM2p6//S/49Ypnd2tHS&#10;uuHnWkvv6vYZW/dypS8AAACqoqsUPfadjWat1+rJa9/RtIlecHvqqsP7k15/Q/8YjdLWdf2OeTuv&#10;uG6gusxutG5Sw9T/jEwOS+0CAACgZbTS/jFFbI6GWbt24nJJ2vO1MsxoASfPW3pd+P74vTVJfDTT&#10;1o9XMOuWK30BAAAwSZGX3G3GvqNpE7c/KY3S1nT99f3b/Ht3zfWLHn390N0Hw6afltzlYtz4RBvK&#10;LLULAFPjrS5fchkPcq+Lbp8uv+VyrcuPXPxz0j/rNv0MaAbru6B/n87vAlqAljfxJ6iXXLbMLBqb&#10;GRWkRW6OhtGVv+EJf09P10BlmDGN3jxw3sruvv5/8u8LV/bWjgp7zbb1Y+abyiy1CwAAAEu4StEZ&#10;Z857xar9Wi4tssVLdH/S9Rt6y7fTKG0tYYPU59TTSi/4941ldmsnvBDXZVdlaAEATfQGl7AhFM3v&#10;ukyHW12s56OoUQrkbYaL9Xnzma7vAlqAGnn+JHUql9zVUkbt0hz1ie4ro9AonV5/vuqd/d19fT/z&#10;74eu8uXK3toJ94mpjtnwyNiMrXtfWxlaAAAAoEozwvz5ozKdqxTVzBTtO5o2Vh25dRszSlvJjh39&#10;26Pvm5rZ4XumGsqqrcjhRC/E1TLdleEFADTReherIeQzz2U6WM/FRzNKgbzV+i6c5oIOFV1y97bb&#10;19iFZE5px+ZoGBW4ixb1VMdToVE6PY4d/MCfds1bXG2QcmVv+oRLRvlif9aWPVzpCwAAgFjhkrs3&#10;fOBUsx6c7kz1vqNpQ6O0Ne3c2fVa7UEafb+Ghic2SFefUXr1pG0ffCxaV5EjiSy1O6a/RVWGGQDQ&#10;RLUaQ/r5dLCeSxggb636XUCL0P6Z/mR17eB8s5hsNCpGp2ufl6nOFVf2j8+bP7FR2t3bNVgZbkyB&#10;PzznI6ecNHDOq+F7cMJZV5vFGpmY6D4xx27YVb59xub7ZleGFwAAAJhENY8/h5y/oOdVqy6crkzn&#10;vqNpo0ZptI68+JK+6s/ft6Of8/EppAbpDTv6d4XvkXL5e/omvE9qbuu9u37HvINvveAjX4rWV+Rw&#10;WGoXALLRvpzWkrTaP1FL6KZVqzHETFJY/sol3C9W+ZZLkWdb1vouMJO0w82d2zUzOFnNdWkkNUdv&#10;v2P5vmhh0e6JFk4KjdKpcfSWkcE3L9/4Sjj27EOaPmHxqn+u3L6vMrwAAACAKbpK0d4HBs0acUrT&#10;IvuOpo1VR1544eEZpcp1N/RRU06B972v/6jrb5i3N3xvlOgF0fpnvWfhfbovunFfWF8RltoFgHok&#10;7SV6r0tarbonqV6D9XwU9iSdftb74lNUrfpdQAsJl0a65LJldoGZIa26jNFUxmyUlrq2VYYcOdN+&#10;mbOG92wP99NUaJCmT7R41axS3T5r8318bgEAAFCTO4fc5c8l/+qigResWnFKUtl39KabFz1v1Wqt&#10;HNWRfgx9tLyr/7n2x6wMN5pAM3bLSxwH74kSXRJZtX7YwA6z8rLLHojWWp2c2WsuDz/PLLULACnk&#10;1SQVzaDTDNToMd7qMl38TNlwtqJmKqpBqp9heoWflWiKTDOnW+27gBaifTP9SeuiJb11zyalOTox&#10;utI0ureMC0vL5KzcIN2yZ5caouFYn7JoVbnxZxVqZHLC4lXN0vLYDY+MaXwrQw0AAADECuvK/nk9&#10;L1k1Y7PTDjWpltn14+izfsORRun1O/r3abZjZdiRE83UtRqkqusXLZp4AbTfMzYua9+z7X6r5urE&#10;nLzkzCNjV+qhyQ8AKeTZJAWysj53PkDbKi+NFMwmveEDp5oFZ1xojsYnesWp0lPq3qdljivDjwZo&#10;r8zXb7r7iTevGJowxjRIs0dj5sdPM3J1G7NIAQAAkFZ0yd3bbl9j1o/NSBH2Hc0Sa2WiU1eVJt7v&#10;hv6BytCjAXH7jyp6H6IN0nXrkhukPoPveee90Zqr03Lshl0Txq5U6mJvXQBIgSYpppP1ufMB2pqW&#10;gvUnrmlnk9IcTRerUaroSuvK8CMjv7zu64fuPkiDtPFoad1wDI8779by7TOGdtPMBwBgohkuWrVK&#10;f5/QqlBhzagVo3T7X7nobxtAxymVunf6c8ozz5o3atWRuaZg+45miVVH6t81s9Hfh+V3G6Pldd04&#10;7vfjGaaRBqnP+u0bO3pGabgdji4Wrww7AKAGmqSYTtbnzgdoa9GrfmNnk7oilOZofVFBFY5xOSw3&#10;k5kad67g2qdG6EnL1k0YTxqk9SVcAkljqtu0hHFlyAEA6HTaGuc0l2hTtFZ0/2ZscaJGrbbxiXs+&#10;ul0/p1GLKaeZYuH5eb1budRMgfcdzRI1SjWDNBxTJVzuVUvEXn9935zKW4AUNHtUDeZwrMNYM3nD&#10;JY+zZPt1yztyj1LV5V3zl1bHTxfmV4YfACb4XRddYajmX/SEVntUNnpCqxNnncjrWNHf4aPbdfKs&#10;++n5NEN0b1D9zrhCoVWbpCqKtK+jxjK6t6P+Xbe3yv6Oep5WwaTx0/vcyN6neqxeZ9yVs4pu08/0&#10;2W7mmPj3xNrjVbfpZ1mFryOaRoRXG4fPVfGfHz3fRt6b6dSM9wLTQA07fwKr2aTRIvSxb69/cCqa&#10;o3fcuW384MHR8ahvPHKvef9a+cpXbxt/6umvl4956NDLlaMdptu+973Hxr/whQ+aj8071v4yuqKy&#10;p6eLorYGP3tU+2RqpmO0QapGHw3S7InOIj1+3U3l27WUcWXoAQDoZKqhozVc1qjey4tqr7TPZzr/&#10;hoIOFm7lcslfD+ybUFfmkE68aHft2t4J5+xKdFbj9Tvm7WSv0trUUHbjZc4eVS68cO6kBmmtPUhr&#10;5YrrBvZF67B2zwlnXR2O4VhXVxefTaCD6IRVTYHwxFSNgrBJoPuogRTeJy46qc3SvPSNV6t5lSY6&#10;eU/bqNFriv4evXb/eP1vtKEYRnSfRguOLNHvytK40/NTcyvtc9R4JB1fzTK9p9HH6Tb9LE6tsRY1&#10;mNO873otKvSy8A0w63i1UmtMovT5Dcdb/6zbQjpemteqz1/SuFrvRZbouSV9P+Pe77joePq85c36&#10;/wT9e3Rco6byvUALiM4m/fAtq6tX6E5VEfrd73650r6cTD+zHmPlo7ecWb5/tCmaRA3TkT1XmMfL&#10;M7oq1Vp+V0tT6T2ovB0IqGHnCq1yYakmXnf/vAljR4O0/jCLFACAWPr7iFXb1JO8GqWqx6zjW1Et&#10;Cky5cCuX3rndz1uNznqifUfv23vaV6waqxMyNDy5Uaq6UvVleL/rr+9nxp5BS+tef8O8veFYhdGs&#10;3ejqT2qWNtog9bny+iVfitZi7Ryt8lQdy1L3zsrbAKBDxM2E9CenahIkNQ6tqDGRprmg3x02NOqN&#10;Gh5pfl9c80fPo1aDVNH94sarmUlbKNTzXvnENbp0u3V/Jak5ljTWknTcuKQt0uptjkZTqyHnWY9V&#10;vKyFatL3x7p/1sTNktTt1v3TJGsTuxbrd/gkse6veHm+F2gR4WzS+Qt6Dn3ko4sOWCf4eUczOV96&#10;+YVKu9KWtkmqmahZmqMhPW4qGqWKufyuC3uVHqGlddWwU5GlJuibVp0/qUGq22iQ1hdmkQIAEEt1&#10;i1XTNJK42jGtrM+JJimmRfTi22uuW/mw1fRMnTbedzRr4i64nTyrtH/fDTf0U1c6N9wwd6aW1tWy&#10;xOEYhdE+r6evmdiEzrNB6nPN9YsePW7r3QejdVm7JVpnzp3bNbPydgDoEHFNP52c6oS23iamHhfO&#10;GrTENdLqiZqDtSQ17tI0T1q5SdrIe+VjNYOa0STN2qgKk/Q7Je/3J82MUutxitT7WuO+P9Z9s8Ya&#10;w0bHrdb7kpX1O3ySWPdXJO/3Ai0iWtDmXRREoxmfWu42jbRN0qTZqGmoWWsdtxmZv+XCh8N9Ony6&#10;e3sf6eRmabi0roosNUGjy+uqWTp7zeVmUUbSJWYW6d7K2wAAQCdrxt8qdEF6I7L+zSfN3z6Apggv&#10;vp3b1/2PZvOzViqrGk3VhbtFinXBrdXU6+RmqZYertUcVbQlTnR5XTWi1Ti17t9orr1hwSPHvfPu&#10;J6K1WTslrDNdWKUI6EBxJ9I6GW606aamRJKsJ8y1Ums2W9zvS7v8i8aqGYVHrdQqFNTASbN8aK1Y&#10;45d3k7Tema5hkpaLzfv90XegFutxSiPNYMUaX+t+WWMdt9HPT6s3SZvxXqCFaCkUf0KrYsE6sc8j&#10;mrGZZcZnPU1SNTz17+HsUM00fe65Jyr3sNW7/2mWXP6+lQ/6IkLNvqCIqKant+fhTmqWzti696ho&#10;c9SaPaqle7QvqR8/kj3MIgUAIFGz/lah49ZDFxxbx0sKTVJMm0Znk3bivqNZo+beokUTm3uKGnz6&#10;WXjfTmqWalndNM1Rv7xutEGq/V/1M+sxeeX6HfMOnnThRx+N1mjtkGidWSp1UV8CHajZTb+khlbe&#10;TdJaVzk2+vs0Vs0eLyu1CoUse3wkxWoE6TbrvkpS4yjv9zZMUvO9Ge9PrSWGrMfkEatBa90va6Kz&#10;Y5OW2dVz0M/DmZQaY33mwsZqqzdJG02aZjmm0VTNJrVmfP74x8+NP/74A5V/myhtk1RL96r5quNY&#10;P/fRHqRx1ES1HpNXrKJIDcE3rxiaWFBU0u4zS9WYC5ujipp2E/YxqYT9R/MJs0gBAEhk1cKq2XQx&#10;dLhqlGo71XhpL5Stp9ZLupA76W8Ftf72ATRVePFt2tmknb7vaD2x9ipVtHxstFmqqIGoWZaVt6kt&#10;7NzZ9drynqM7+velaY7qbxzR5qj+XWNpPaYZaddGKbNIAUiWppJOjn3TUye9SQ00n6R9HaMnx2pE&#10;qAGmE/bo0q/6vWlO5JvZlBW9bj1P6+fNSlKhoNdrPSaMxjQcTz1G7130dVjFT9J7bN3fSzvWmlka&#10;Nu30eUwz2zRs2oWsz7OOp+eqn0Ufp9tqzTJMasqK9RgrOk7W74+eX6jRz7De8+h3JOn1W0swh/Sd&#10;1DFbfU/SaPJ4L9BipmI2abRJ6puganJa0jZJ0+YrX72tcuTJ1EC1HpNX1m/feL9VUCiaIRnXLC1H&#10;S1e1wdWYWlL36OGRAfea94Wv/9gNu8zXz/K6+YVZpAAA1BTWwvq7Sa2tY1QHpWmU3uqSVVx9pWMl&#10;1V5Jf/sAmi568e3OD532FasxWg77jjYUNf40AzIcbx/NLLUvfO7fVfTZpdpv9Prr+7eVZ8pOen2T&#10;o6axtaerNft2qtJ90Y0T6uEiR3VlOK49PV1zKm8VgA4TnkjHRU2QuGaJmiTWY3x00h3HL7+iE+Va&#10;J/CeTuSTmpRJjYy0DSY9H99A0f+qARTXBEoavywn+PUep9YsUr0/cTSW4ZhY900qYPSzOGnGOq75&#10;qOdVq1Ga9Lr0WH3u9PyiDcE4jRRq1mPC6PMa97ms9f1JGmOxHuOTVtx7pXGcLtbz8Uli3T9MM98L&#10;TLOpmE3qZ4yqIaklcP3tU9Uk1X6ocZrZJH3fDQuePm7r3QetoiJMrWZpT2/vqBqm7r0qzFXAaoxa&#10;s0YVFVTW0rqKxkHN0/D+pP7EzCLlKl8ArUi1jGpbnTvqPNtqQuk2/Uy1XNo6uBb9Xp3PqsaK1lL6&#10;d92e1+8SHSusI/Q7spwv++er2tuqR/wY6Zi1LtxMQ8fw70n07wl+fPR89Lyy0ljovbReh27L831O&#10;oueu16bfl/Z11KqBFL2GLFSDW8fRc9PP9D5YP1ey/i4gd+HFt71zu5+3mqPsO5pfLn+PvQSvEt8s&#10;Lc9q3Hn99X2FaGhlbYwqaoDG7eOq2aPNXl63VhZcfFV1K54iJ/z7RU+pe1/lLQPQgZKac4pOZGsV&#10;JSpsrMf65FHUhJIag0kz2qyiJRoVCVlMd5PUKrp99L6kofH0BUtUUgGTVATXGuu4Bqmnz4z1OJ+0&#10;ry0tFZHW71E0Nkmsx/ik+f5E/4gRRu9NEusxPmnFvVf6bE0X6/n4JLHu79Ps9wItIDqb9Ior8y0c&#10;1KRUQzR6+1Q1SZU4zWySZr1StObMUpc5/fP3teoMUzVGjxkemTNry56d0caols2NW1ZXUTOPvUfz&#10;DbNIARSEb/hZ55G1ovPueptoqmNUl+lc1zp2NLV+l86Xo+fE+vfwPFq1XPjzMHEXJHqqOZMeHxc9&#10;h3rGSM87zd8BfDSOSXVuSM8nqR6PppH3uVniGpphsvxdQ+LG249r0t8Ysv4uIHfRi2/f/4FTH/AN&#10;UvYdbV4uvHDu+KmrJs+Y9NGsU93HeqxmmKoJqWZk5W2cVtWldDM2RhU1R+PGQbfn/TeORrLyssse&#10;iNZuRYouau7u6/8nP77tvF0QgNpqNUnTNA11om891idr47GWpJPqpIKmVnFUq3Fnmc4mqQo+6/4+&#10;tRpCaTRjrFXgprmyNalh1YwGnvV7fJJY9/dJ89lvpEi0HuOTVtJ7lfcyumlZz8UniXV/n2a/F2gB&#10;0YJWe5pYJ/N5pxVmkjZrT9JLrl39sFVQpI2Wm43s8WEmbJpO9UzT6mzRzfdtc895X1xj9MTVF413&#10;zV9qPn+/tC57j+Yfcxbp8J7tlbcPAFpBvc3RaLJelGc1NNMmrpaLOx/296/V4Iw7ruh8PG0zNy76&#10;/XnOkoxLrTqonkavTx51ep6s5xgm6T2NivvbkOp3/77FfcYUai60hPDi29Lc7oNPPjP09J77Vz9g&#10;1Usk36hJGLcMr49mWCYvNXu4aapGpRqWlbe1KXT8wzNF++Zo79Q0e4xG4/cctZbVVXR7fIN4erP2&#10;Pdtit+Vp9WhVqOo4l7r36+9JlbcVQAdKas6p4ErLerxPlpPqNJJOqpN+V63GXT2ms0maVPTl1URs&#10;xlinvXo26XcrebN+h08S6/4+aSRdZFDrM2Q9xietpJnZiv7oY80ybibrefgkse7vk0Yj7wVaRHdv&#10;12BYUGj5HutkPs+0wp6kWgrYekwjuX7HvINv3LbreaugyBpdpakmYlyT0cqcvv7Hu/vm7e4udW3T&#10;VZ2+gVpvE7XcDB3aPVOzRI/eMjKo5VrdczNnyarZecJZV5ebctZyuj5q4NEcbV7MWaTDI2PuvSzM&#10;ks0A2l5SHVdP0tZKarQ12nC0mnVxNZhuT9N0jKsRG2kqRpOmdm/0fUmqdWvVqbWi59Yq9BmwnmOY&#10;pLGIiptZG36uk8aPmgstIXrx7Tnn9Nxu1UukeVEdX6tZqtWjdB8tP1u77u/fdXiJXs047R9QA7Wc&#10;9/UfpVTe+io1P8szQt3P1AT1jdDrbugbLDdDb5i3t56GqI8ao35J3bjlhjVztBWW1q2V9ds3Fq5R&#10;Gp1Fqr85VN56AB0qryZfUlMsywxNPR+dNKsxo2NmLfySTuCTnmPaYjQqr/Gr5zhJxUVey9Em/Y56&#10;xzptUZg0Jkraxp3up4JezUA9r3qutk5i3d8njUY+Q9ZjfNKqNc4+GjeNY9ortxth/X6fJNb9fdJo&#10;5L1AC9FVgP5kVwWHdSKfZ6aqSaoldeOEe6TmlXO3D3/RKigajRpdaWeY1krP3N6XXHHzXFf/wqfe&#10;tnDFw6csWv3QXw6su//E0y7c/adrr/3MH573Cb0GzQ7dHz4HNTUVLY2rRpyej64k1XOq1chV01T3&#10;Y1nd5kbvT7iscXUW6eb7KGABtJK059Jpo/q3Fp2PxzWjssSaLRlX/6mmT1ObWzWifo9130ZSa9Zt&#10;o+MTV+umWZ62VvSZaRVJF4n6pH2+cZ+daB0Vdz+FmgstY8Js0lL3E64+2h+tl8jURLMotUpU9f2I&#10;Sbam6dRHzU69Fj1HPVfrNShqjibPlG29vOvqtbuj9VwrZ8Is0t7uMWaRAsirKaD7WsdQah1HRZ5O&#10;lBu9ElaJK2Yk6TnWW6jkNX71HCdpWaekccgiqYBp9lgnjYlS6zj6edLzyJIk1v190qjnvfesx/hk&#10;kWWc9D3VHyWa2Sy1fq9PEuv+Pmk08l6ghWjGYXDCW166xjqRzytT0SSN+x3yve89Zj6mkVx1/eLH&#10;j9t690GroMg7YdM0adbmdMY3RrXkrq46tV4HyTca63D8K7NI92tGcOWrDgCtoFbNUk90YWKSWivB&#10;pI1VzyXVf2kSPWaamYr1Jq4eTJrxqlomeuGnjqMxDRurcbVu0oxYXVQaXnyt36F/jzaY4573dKg1&#10;w1fPOw01j+P+nhO9uDnpM0bNhZah1WvCeuCMM3qutOomMrVRAzRp79JodNG0GqzrN/SW/y4wVc1T&#10;NUT1u/R8NVtUS+YmNUb1Mz3PVmzups0V1w2YqzS1WlRXdvf1/9SPPbNIAUheTYF6T3RVNMSdTNeT&#10;uGJGkhpB9RYqeY1fPcdJej1J45BF0vs6FWNtPd4n7jgqRvPaF8gniXV/nzQa+QxZj/HJop7lunT/&#10;vD5nUdbv80li3d8njby+z2gB7mR3V1hwXHFl85aoaXaTVHuR/vjHz1WOOtGhQy83ZRZp90U3TmuB&#10;o9mdWu5WjTLNINSMwqluoOr36QpTFVEspzu10Szd8P3W56D8s+GRgcpXHABahXX+qGaZzpP1s+iF&#10;hbqtVmNKP4+TZiajHh8upavH6PlEz/etc3ndFt4na/T6Qkl1oaLGpJqWYSNNz916vtHEnZ8njW84&#10;LhY9F/3euD1J42ao6vaki0j1Mz+2tZ7DVNFzqjXGtWbsenH1d9bPGDUXWoo7D63WlC5j79ne94hV&#10;O5Gpj9/H0zcgg/cpddRAVcNVzUnN7lQj1TdTFc361IxORc1L/U1Bv1f/q3/X7bqP7uuboTpWrYao&#10;j+7jl9Rt5t8rpjJFaJROWNGKvUgBVOTVFKjnRDfpCs96Y52Ee0kFWrSYSyuv8avnOEmvJ2kcskh6&#10;X6dirK3H+1jHUaFXz3K6tZLEur9PGo18hqzH+GSlYr2eZamS/ohTL+v3+CSx7u+TRl7fZ7SA6D4y&#10;Knqsk/g80uwmqWaKxvnGI/eaj2kk264abOk9RdSw1GxONdLUwAwbqm9eMZRqydwwuq8eo4aoZrTq&#10;mCylO70JC1e9P3rPtYds5esNAK1G9YfOo1UfRWfNxUmqs5LOO2vNIlWNHUe1UlinWfdNel5h9Jp9&#10;Pabj6lh6rP7ZU31hPdZHxwjvH6XH12riWeMdV4vq9zXKOq6StpnYStK812k+z3E1lN476/2t97MP&#10;TLloTdk3r3u3VT+R6U8eTdOpiJ8xquaqnrP1Woqea65f9OjRwyNjVp033dHfDsL3o6ena07l6w6g&#10;w+XVFMh6oquT7VoFTz3R84gTVywpvsDLKq/xq+c4Sa8naRyySHpfp2Ksrcf7WMfJa+mpaJJY9/dJ&#10;o5HPkPUYn3qoiNX7mvW7mfcfBazf4ZPEur9PGnl9n9Eiunu7BsMT4GYtXdPMJunjjz9QOdpkzVhm&#10;9/od8w5O1TK7UxG/76iixmo0zBBtvahRHX5vVciqyJ4xtHtm5asNAO1A593WOaeic/E4SRc1ajZf&#10;Gjp31++wGmBJ9Z9P2oskk2qzuAZaVK09M60Zn3G1qMauUdZxlWZcONpMaf4ek/ZvCnGfybiGfdJn&#10;jJoLLSdaU27b1vsJq44irRc/y1OzQzVjUzNHw/ey2VFDVA3bcJ/Udm2MRqNGaav9XUG1f9e8xT8L&#10;3iMuwgVQlVdTIK4QUazjJC2Bo+hEWwWPtRRN0kl10ol80nPM0rgL5TV+9Rwn6fWkLWhqmc6xThoT&#10;JXocFXrW/cLoc6dC2yrIrfv7JLHu75NGI58h6zE+jfDN0qQ/wkST9n1Nwzq+TxLr/j5pNPJeoEVp&#10;+RR/EqyiyDqBbzTNapJqlmgcLb+rZXitxzWSte/Z1tKzSEl7R4VruMyullrW7bM238c+MQDakXXO&#10;6WOpNTPTqp2zSqr/lFqzP0NJtUSWiyyTjmM1hpNq0bhldNOyjumTx/hPlVrb02jM07zPcZ+XpNop&#10;6TNGzYWW1FPq3ufPT119+YSrm/ZH6yhSnGhp23CpXL/MrpqZaqYqam7q7weKtXSubvNNUMUv2auZ&#10;rDpmJzVE43LdjvkHTrrwo49Ga77pilaeCt7Dsblzu7gIF0BVXk0BFUvWMRSrmZZ01WKtqzCTTqqt&#10;3+UlFUv1NnjyGr96jpPUaE57FXEt0znWta4ajlLBa91P0eetVtFqPc4niXV/nzQa+QxZj/HJi96H&#10;pPfTJ8+rp63j+ySx7u+TRl7fZ7SQUqlrdnAiXC5YrBP4RtKMJul0NEiLsH8Iae9oyWP/XVWztLLs&#10;8b4ZW/eyTwyAdmSdc/pYkrarUVMrD0n1X9zsU4sabNYxfLI0FJOek/W6a60upFo57euISvq7h6Ln&#10;mraJPF2SPkc+aWp2vc64v+skvb9J7yc1F1pStKZcfuqcq616irR/1Pjs9OZnlmilqlZolGoVqe6+&#10;vkPVWrPUxUW4ACbIoylQqwCKXq2ZNONPJ9m1ioqkk2r9LE5Soydt4y4qr6ZKPcfJWizWYzrHutby&#10;TFFJTeOk5+pZj/NJYt3fJ41GPkPWY3zypueZdBV3Xp85sY7vk8S6v08aeX2f0WLcSfAufzKsqz11&#10;5ah1Al9v8m6Sjuy5YvzQoZcrR5lItzejQap0X3QjTVIybYnuD6MrfcvL7G6+b3blqwwARaF6V40o&#10;1TM6h6zVWLNiSarNpuIi2SyzP5POq61aLknSsZSoWvf30fui9ylLUzNpfMLo/dDFpq1GzUvr+YZJ&#10;UztLXP3dyEXv1FxoWaVS987gXHXs8u1z2Z+UkBRRo/StF3zkS1YNOFU5aeCcV6vf31L3fu03XPlq&#10;A0BZrQIizYl9rSsR9TtCSb8zzUlx0kl10gm9jm09Rok+x7QafS1ePcepNdMyj+V+mjHWKkbTSGrI&#10;WWPS6PtrPc4niXV/nzQa+QxZj/FphlpFdV6sY/skse7vk0Ze32e0GJ0ABwVteTkc6+S93uTZJL3j&#10;zm2JDVI1UK3HNZptVw2yzC6ZtmiZ3VMWrap+R/XPuo1ldgEUjM4lk2qSLLEkLZGaVJtlUW/9F5W0&#10;yk/W8+qkc3TFkuV9UNNWDeA0zdKk2ZNWVNM2usRvXtS8r/Xc0zbb4y581/Ebueidmgstq1xTBlu5&#10;9PZ1P+DqKJbdJSRlpuui7OjFuD09XQOVrzUAVNUqOHSSW6vZltTMUqIabUTUW7glFUp6TvVIei1p&#10;m4FSz5gkzchV0i5/qmar3mdrDJox1kqt51ar8W797kbfX+txPkms+/ukUc9771mP8clyRXQWSeOc&#10;F+vYPkms+/uk0ch7gRbnToTnhCfG2ivEOnGvJ3k1STVDVEvpWprZINWVncdtvfugVVAQMhWJ7A8z&#10;fvy6m3Q7y+wCKAqddyc1MOuJJek8PKk2y6Le+i8q6Tj1nFdbx/Gx6G8YWZqZiu6f5jWmWa42Gv3N&#10;ZDpnluozWmtGs36etoaMe3/TNITz/mwAUyZaU55xZs+wVV8RQuwsvuSKPdFasJnRhbdvW7DsBf+d&#10;7ent3lv5OgPABElNAZ+kRmnSEqeKdSVi0u+s1VisVewkFTVJRWWaJpql1vipkZlGvc2ZWoWOCrgk&#10;YYFijV1SAVPvWPvENUrTFLTW5zHpd9YqSGt9jpNY9/dJo973XqzH+NR67+sVd1GE3rO8WMf3SWLd&#10;3yeNRt4LFIA7Ka4uu6tceGE+jdK8mqQHD45WHjlRMxukyhnvueAhq6AgZCpS3h+mf171e6l9ScvL&#10;7A7tnln56gJAK0vTfKonlqR6J6k2y6Le+i8q6Tj1nFdbx/GJo5qx1gXdVtJcbKxaq1bNaqVZNVqS&#10;NJ9RvZa0DVLJ+6KAuGRZ4hmYEj2l7n1BTTl2w47+XVaNRQixc9pfX7zbqgubkRNPu/Cl8Puq/YUr&#10;X2UAmKBWk89HJ80qdPyJs5p/aU6M45pT1n194hqyaZpnSYVbUlGpcaiHnpN1PB8VI75RqrFTUWQ9&#10;x3qbM0nLGPmoyAvHVM9HzyNaMFrPK6m4rXesw+h+4dinKTbjGulJzzVp2aBaDVIliXV/nzQaacwl&#10;jZV+Fo6tvovWMlIaG30W0hTsOob1u5SkMc7KOr5PEuv+Pmk08l6gALREUljU5rU/aR5N0u9977HK&#10;oyZqdoP0iusG2IeUTFt0Ze/JS870RWu5WcoyuwAKRufX1rljo7Ek1VhJtVkW9dZ/UUnHqee82jqO&#10;TxLVPnoutWrMaNI051RXp6klo5nKGaV6/WkapHF/g4mT9FnMM3puQEtxNeVR/txV6evrvtnVVSy7&#10;S0iGDL7nnfda9WGeKV+M21v6SfX7WurZXvkaA8AkSU2BRqPGS5ykE3WdCKthEzZkk4qsMEmFW9KJ&#10;fNhMyiprwaVEG1X1Nmd0nHp+vxVr7JLGvd6xbjRxzbykBp6iJl5Y/On+tQpGnyTW/X3SaKQxl+ZC&#10;hWiiRXn4+dE/q9DXfXxzX/x3MOmzlqbJmpZ1fJ8k1v190qBJ2gGiRe2pqxrfn7TRJqnuF+crX73N&#10;fEwe0TK7c/5q5+NWQUHIVESzRsPv4+w1l4/P2rJnV+XrCgCtTufI1nljGH9uHa3/xLq/jyWpxkqq&#10;zbKot/6LSjpO1vPqWhcmp6Hx13PKMrM07d8IfLM0bV2u+1mfh7zpdzSjQSrNrPejAVqOmi3hOeyy&#10;ZT2rrHqLEBKf9ds33m/ViHmkfDHuotOfCL6nY7povvIVBoBJkpoCjSapqFBDxXpMo0kq3JJO5NMW&#10;QJZ6GlXR35f0PtQqIms1B9PGGruk4rbesW4ktcainuWU0iSJdX+fNBp579PMJI4m+r5Z98kajXue&#10;hb71O3ySWPf3SaOR9wIFoo36g5Pl8aHhXvOkPRrN6GyU9hyNHlezRfOg5Xqjx07KtqsGm1aUEFIr&#10;J5x1dfU7qFSX2WUfUgDFkXQunqb5ZD3Ox5I0azGvVV3qrf+ikmpUjU0WeR5LdLw09arGOwvVQ/o7&#10;R5qaNM8LTC3NbJBKs+p9K0DLia5Q5DL27nf3vsuquQgh8dl+3fIHrFqx0fz5qneNBd/P8e7ersHK&#10;1xcATElNAZ3c68TZ+lmtpFmeJu0svmj0nOIK0nobd9GmZRZJYxiX6O9rtDmTVDCnjVWo1VskJ411&#10;I+97OLvR0kjDWGMY97yTWPf3SaOR917Fb9bvaPR9q/c7HqaR74/F+h0+Saz7+6TR6PcQBeJOlCfs&#10;T3r5e/rMk/YwSTM+s4geN0/RY8fluh3zDxy39e6DVkFBSLMT3Yf0lEWrylf7HjM8MqfyFQWAIkiq&#10;wdI0FK3H+ViSajPV7nmot/6LSjqvVmrVdaGkJY0bOUfXc0xqaDYypvp7RVKdlbUBm1Wtvw/oudXb&#10;IJU8/v6QJnl9roHcRVcoKpW697M/KSHZk/cWQMef88EXenp7Xgi+mzsrX1sAiFWrKaAT56xNlLQn&#10;/GmuboxG99dzinveSYVbXANM0fEakbVIiM66q/U+pNHIfjhx71m9RXKtsc46XlmKuHpmKfvXEve8&#10;k1j390mj0fc+6+tVIzlUz0xoH70vzbgK2vpdPkms+/ukkcf3EAWhq39VyPoTZ+1Pes21yfuTtlOT&#10;dOVllzXlik1CasXah/S4824dnzW8hz1iABRNrZqnFutxPpZaF4Q20vTy6q3/LNYxfNRETCupkZn1&#10;OUVpzKzj+jQiaaZxM2uLWrV2ow1SaeTi5CxJc/E9MG16errm+HNapbev5y5Xa7E/KSEZk1ejVLVm&#10;d1//c9XvZal7P8vsAkgjTVNADb2kAtBHJ9tZih3RsdM2aXSC7JuLuvI0Wizp35NO9tXMiTZl9Zz1&#10;+6NNy3qkbVLqOUT5cdDzCe+r15RlTPV+JhWR0ei+0aZZSONpvfe6LWmskz4v/g8Gej+ir9eKjpXl&#10;SmPRa0pzbL3+8A8Y1h8FahVm+nl0zPXvaQu6uO+AjpG2AZl2LHWf6Fjq3+tplKr4zvq+pFXvmLbC&#10;e4ECKZW6ZodFba39SZu13O5zzz1R+Wlj0i63e/n7Vj5oFRSETEWi+5Bq2V3tQ8oyuwAKKE3Nk8R6&#10;nI9F597WfX3iLnyN8rWS9RzzbJImXRCt8+s0NXhSo1FptNknSe9jo6xjKvqdzTAVDdJGJX3GmjUu&#10;QNNollp4brtixZx3WjUYISQ511y/6NFGV7uK7kOqv/lUvqoAkEiFkXVyqkRPUHXfaCNP/6zb1EBo&#10;pNGoE3U1MqIFigor3d6sZkze9Dyt16Fx0m0q8hoZp7RU+FrPQ9Ft+lkziyPr9/qExbjGQkVStID2&#10;73sjz1HH1udSn8+wcRZ+ZtuJXq8+Xxr78Duq+Pc86Xukn2lMVFhb75/eE42bfkdRvo9ATaVSz/bg&#10;JDr1/qRFzfU75h086cKPPmoVFIQ0OzH7kO6nQQqgoJJqnqQLUaVWMytOUuNRqVXjhA0qq+mZ1MCy&#10;7p+kVoOzVlNXtWC0rgmjGi8PYa0YRr+7EaqZrOMqqqvyps+c9bt89Hqmu0EqSZ8xfaeAwonsTzo+&#10;PFw626rFCCHJufaGBY8c9867n7BqyVr5s9Pf/VT4PewudW2rfEUBoKYsTVIgraQ/GFhXLAPAtOnp&#10;7d4bnkxv3TbXPGFvh6zfvvF+q6AgpNnRkrqT9yG9++CMzfdxdS+Aokpq9iQ1wWo1SJU4tRqPio4f&#10;NsP8xZDRZmCzm6RJTUIfNX313MILifXc04xRXEPYXyRbq2EsSY1F6z1Uo1G1bpqaVhepWsdV9D7m&#10;rVYDvZHoteSFJinaTnkrF81aO1JTjl159bybrXqMEJKcei7s/uNzb/nHUm+Py+HvoP7GwzK7ALKg&#10;SYpmoEkKoDB08hy9+vfiS/rME/Yi57od8w80unwNIfUkbh/So4dHBipfQwAooloz99RkC5uVun/a&#10;RlYcNROTZldmSbObpJLUKGwkGsc44fjon9Vw1diHq+Hon/V6ksYy2mTVexn+XI1YvT7Vt1mbvOFz&#10;yYv1e/JMXmiSoi1Ft3JRk+b6Hf37rLqMEJKcLI1S1Zpz+uZ9J/j+jdEgBZAVTVI0A01SAIXiTqKP&#10;0sl0cGI9fvl72qtRuuDiq9iLlExLzH1Ih/dsr3z9AKDI4pZqbTRJajVn02YqmqRqHuY9Rmpshs3n&#10;KOsxWaPnHDY+JelvJ1nSjKV2xfpdeSYvNEnRtqJbucxbMGeTq8P2R+syQkjtXH9D/1j3RTfus+rL&#10;MCcNrPtq+L3r6emaU/lKAkBqNEnRDDRJARTO3LldM8OT63nze9qmUXr5+1bSICXTktlrLq9+pxQ1&#10;TGdt2bOz8rUDgKJrpGGp2YZxdVMtaZajrRVrOdq8m6SihmZes19rNUglj99l1azRmaT1RM8t2nzN&#10;i/X78kxeaJKirbnz3V3hue9ZZ3WvtOozQki69Fy04wGrzlTetHL4/vD7pgsVKl9FAMiEJimagSYp&#10;gEKKLpOkRuk11/abJ+tFST17ehCSRzRjdPI+pHc9PGPrXpY/AtBO1Gy06p6k+IZjvU1SaWQpWzVZ&#10;Lc1okooajI3umanH12qQimZqWo9PEzUxk/YybaQBq9mpaZ5/vfJoDiclL0n76vI3KBReeX/SUvf+&#10;sKZ8x9ndg1adRghJl5WXXTapUXrcuTc/2jO3+6D/nmkLJZbZBVAvmqRoBpqkAApLy7OERe3AspJ5&#10;ol6UrN++8f5oQUFIs6M9R8MGaXkfUlfI0iAF0KY0ozRNk0qNsrAespqSan6mpWNlWc5W99VzjaMm&#10;nlXL6bY8Gnx6vVmbebp/lgat9vusp1GqxnGtvUI13lmbvf75N2sGqafmbrMapXn+bSju/dG4JjWo&#10;gcKIrlCkbNzYe7FVqxFC0mXte7ZV/66hC297enseDr5jY/reVb6CAJAZTVI0A01SAIXW3ds1GJxw&#10;j5+6qpiN0ut2zD9w3Na7D4bNK0KaHatBevw5H3xhxtBuClcA7UxNMDV51AAKG5dqXOm2ZjaA1PhU&#10;czWuwamfNXMWY1bh84029vTv/jknNXRrUTNOYx63rLGacnpfNLOxVnM0SmOpx+nxVtNUv0+/V7+/&#10;2c1RAC3IapS+++K+T1s1GyEkXXQB+Os33f1Ez9y5Xwy/Wz09XQOVrx4A1IUmKZrBKkJ9aJICKIRS&#10;qXtneOJdxEbpvIuv+brVxCKkWbEapG9Ye92PjxkemVP5agEAAABtL7qVi8sYjdLpycieK8a/+90v&#10;jx88ODp+6NDL4yH9u25/6umvl+9nPT4u4XFfevmFyhEP078/99wT448//sD4R28503w8yZarr+k/&#10;2NvXu3vC94p9SAHkgCYpmoEmKYC24E66d4Un4OvWzTVP1lsxl79v5YNWE4uQZuXYDbvGu+YvrX5f&#10;aJACAACgk1mN0osvnfu3Vv1G8s8dd24rNzCz0P1rNTW/8ci9k5qiSdSIVbPUOhZJl+tv6B9bsqRn&#10;z4TvEw1SADnR0i9aIia6xI2WjGlkaRt0Ni0rFF12SJ8xLTnEckMACqWnt3tveCJehBml1++Yd3D2&#10;tk8dsBpZhDQjrx+6Z/yURauOFKwuJ5x5xYs0SAEAANDJ7EZp35esOo7kF83yjM4aTUuPi2uUfu97&#10;j1XulZ1mq1rHJMlRg3T5yjm3Tvgelbp3dnV1vbbyNQMAAADQLDrx7il17wtPyFu9Uaq9OqxGFiHN&#10;iBqkJy1bd6RgdTnxtAtfOnp4hL1hAAAA0PFolE5t1OCst0HqaUbp/8/e3z/Nll31neC/IIX/ACua&#10;383LqD2NA9xFe2gNSJ6qW1VUldALBciSBVhTIANjIaHqNrhRG5DBwJTQMHK73RYRPVgzbqsHByjE&#10;hCKMPYxdCjs8EMZqNYNfgja4sMGN3bjvnfO9N1dp3XXXXnufl8w8mfn5RKx48smzX9de++y198qT&#10;mZW9lr/1t/5SWi6SiwKk73zXnZ/y80fnMwRIAQAAAABOyP1AaXii9PlvfOrej//Es6kjf0758Y+8&#10;9Ve+/IOf/O0smIUgW0sWIP3qd3zw3xIgBQAAAAD4Ak8++fgT3md+6qk7n/+LP/7sZ7I9HbJO9Duh&#10;GfqNUD1haun0dbyttELXfbkSjwKp+updn+7v/r2fufe7v/tbhxSPojb48pC2KED6Ld/y5I9O8+UV&#10;mzcESAEAAAAAzsjklD/0G6UKlP7Ij+4rUHrnz/3Uy1kwC0GOIW/45vd94aBnEgKkAAAAAAA5d55+&#10;/AXvOytQyhOl20v2e6GtJ0Ml+r3QDAU8Y1qVrUBnFkA10ZOsrd8s1ROuWR7kYVGA9IMffPp7p3ny&#10;aoBU8+Xxxx9/3WE6AQAAAADAOdBvX7zqpE/y3JufvPdDP/xM6tifWl78iy/wNbvISURPkMYA6Ru+&#10;6f/07/633/kz33KYKgAAAAAAELjz1OMveh96klf+7Pc//XK2v0OWSYaeGM3SShTwzKjy9ERPmLbI&#10;0iNfEAVI3//+p75dc8PPk6/7use/5DCNAAAAAADgnDz11JMfds76LgKlH/noc7/N1+wip5DsK3bf&#10;9JZ3/Pv/6Dt/+i2HKQIAAAAAAA2SQOm9P/1dT/1qts9D5ktGFfDUk58ZCnRm6UdEvz3aIkuPPJBX&#10;A6RP3fm8mx+v6OuqD9MHAAAAAAD2QLax/YEPnS9Q+p4ffpGnSJGjiwKkb3z7tz1k929827f8PgFS&#10;AAAAAIBxnnrq8ce8Ty35P77w1C9nez1knmRUX7fbeuqz+krdnuirejP4ut22ECAFAAAAALgwso3t&#10;B1/8utThP6b8yEvPv8xTpMix5cu/86fvPf7mb3jI3vUVuwRIAQAAAADmo68PnXxq/5Wi997+DU/+&#10;erbnQ8ZFvxma8Ru/8Y8eSfvzn/qR+4HLSJZ2jih/xtpyr1UUIP3O73zy/XE+6Hd8D9MFAAAAAAD2&#10;SBYofe97TxsovfPnfurlLKiFIFvJH3nvX75359nnHrLz//Qd7/+fvuI9P/6HDlMBAAAAAABm8vjj&#10;j7/myafuvOz97Dd//Z1//iM/+my690P6Un3VrZ4o1XVLlwVI9Z6+gjeWOyrV75Fa3cgX5CMfffbl&#10;t7/9zp+ebP+h3yB98snHnz9MEwAAAAAA2DPZJ4Cf/8an7p1iY/viX3yBr9lFjipf8cJHHwmQftW7&#10;/4t/8sUf/PTrDlMAAAAAAABWMPnYn/D+9tc9c+ff/NAPn+/nXC5dqkClULA0QwFSPV2aldkTBUBb&#10;T5CKf/JP/0Ga75ZFAdK3vv2J/3yyeQKkAAAAAACXjAKl8RPAkmN+/e5HPvrcb/M1u8gx5bFv/aGH&#10;AqR6/di3/NAvf/EHP/2ag+kDAAAAAMAGPPXUkx/2e0nJ933f6X/O5VpEgdLsSdEWCpyOPkHa+krf&#10;DLXhV3/1M2k5ty3PfuK5r3/izwSb5zdIAQAAAAAumWxje6yv333PD7/IU6TI0eQ/+ZN/7iE7fhAg&#10;/cG/ToAUAAAAAOA46DcYvQ8ueeHbn/5X2X4Q6ctf/+9ebD416vm9f/s7s74KdxQFU5c+mXrN8tGP&#10;PvvhZ5658xPB1l/RzxkdpgIAAAAAAFwq+mqY4Ozf//rdLb8u6Udeep7fIUWOIq9/339/7w3f/L6H&#10;7PfOM8/e/ap3/8APHEwcAAAAAACOhAJF3heXvO3td36Hr9+dL3qCc87TpApqjjxNOhf/W6i3LB/5&#10;yWdf+aEfeuZbnnrqzse8fetbuR5//HF+zgUAAODIfP8k/3iSe070v94HANiU1tfvvu/9T6ebhTmi&#10;r9m98+d+iiApsrl8+Xf+9L03vfWdD9nsm97yjn//Fe/56DsPpg0AAAAAAEdG+8mnnrrzee+XS471&#10;LUXXJgp0jjxBmvG7v/tb3ac/53zdrkdfAZyVdwuiAOkP/uDTb5ns+KHf3yVACgBwfXztJL80iQ/E&#10;/ewkeh/Oix+TKAAARyH7+t13f+u6QOmLf/EFvmYX2Vzi749K3vjWd73yFe/58T90MGcAAAAAADgh&#10;2X5y628pujbRV+y2nh79jd/4R/cDqHqqswqiKlA6+vukJqpXQdBecPbv/r2fSfNfs3zkJ5/79Ac/&#10;+NQfmuz34QDp03c+/fjjj/NzLgAAV8RXTJIF4Ez+g0ngfGRjYrJ3/sAkz03yE5Mo6B7brydi9b6e&#10;ilVAXukBYCccvi7pFb8Z0Mb2+75v/qeAX/rom3/9yz/4yd/OglwIskT09bpf843vfdU2Tb7m+ff+&#10;va/6pj/7Bw9mDAAAAAAAZ6D1VOl3fff6bym6RlGAMyN7ilPvtQKq/+Sf/oNH0o+Kym2h3z/N8lyr&#10;6PdH3/a2J9402exDZyL6yl0CpACwFxRM+elJYtDFRE9FftckS1BQJz5V+S8nWVre3lG/fF+jSB9w&#10;PrIxMdkrmp8KfGreZO2uRAFVAvMAO0HOf/b1u+95z9P3fuRHn003E5m848//+c9kgS4EWSJ/5L1/&#10;+d7jb/6Gh2xSvz/6v/sT/9mPHkwXAAAAAAB2QPwdR4k+fDtnP3nt0gpO6rdJs/QSPdmZoeBpln5U&#10;9NRqi1v4fdIv/P7oo09D6z0CpACwJxRIyQIsUZRuLtkTbxIFfK6RXpD0WoPDl0I2JiZ7RE8mLwmO&#10;etEHIABgR9x56vEXH9kgTDLy2zIffukb/0EW6EKQuaKnR7/6nf9Z+vW6//E7/6zWHwAAAAAA2BnZ&#10;txRJ3vd+niqVZL8VOhLsbD19uiaYWT1Neu1BUn297rd8y5NfO9nmQ1+vO8krd55+/IWDOQMA7IZW&#10;IDOTub+rWZW9J1pP0+op2DkHhTxJum+yMTHZG5prWTvnysgHEmSX+rremG/JByNOTfaUrfryrkkA&#10;dou+Lil7qlSfAv7gi3mw9CMffe63v+b7/uqvZAEvBJkjX/6dP33vjW//todsT0+PfvU3f/cn+Hpd&#10;AAAAuFB0HhO/yUznPF88CcBVoSfwWk+V3vpvlWa/B6r3srRe/sf/8f9zSP0wa4KZytviWoOkenr0&#10;pZ985oXs63V1BqKzkIMZAwDsijlBUgUf5nApQdLqt0TVh1H4TdJ9k42JyZ6Qnax9gtRLj2qe7v1p&#10;oqzNJgC7R5+g9JsGk3d/66NfwfuBH33vL2YBLwSZI3/0T/3YI0+P/vGv/6b/+Q3Pf+c7DmYJAAAA&#10;cGnog7/ZnlAy8sFhgIvkyScff9779SZzf9LlmiQLkuop0Sytl9ZX4/78p34kTT8i+k3TFmvK3at8&#10;5KPPvvyDP/j0W/Kv1+X3RwFg38wJkkrmPA15a0FSkX16UWXMfQoXtsePSZQ9Uf1G8BLpQZAU4Mxk&#10;nwKW2FfwvvTRN//6l3/wk7+dBb0QZET09OjXfON7H7GxN77t2/4hT48CAADAhdPbQ+99XwuwmNZT&#10;pZKRn3S5NsmCpKJ6cvOv/3cv3v9K3kj8ml79runv/dvfuf81uv79TBQEzcoUKiPLc8ny0Y8+++F3&#10;vOPxr0y+MYuv1wWAi2BukFRPk+rraUe4xSAp7JdsfE32gp4izdrnRV+DG78ySP/rAwxxczjy9DdB&#10;UoAdoK+defqZO78SNhT3nnvzk/fe+h3f/o+ywBeC9KT126N3nnn237/h+e/80YP5AQAAAJwD7X+1&#10;h43fpKQ96py9aO9ciyApXD1PPvn4E089defz3uc3af2kyzWKApkZCljqK3X9E5wKjirg2Qpm6ulS&#10;X7b/Sl4FOvWkaAy+qnyla5Up1Eaf55JFT49+5CPPPHF4qpmv1wWAi6XnTGaipyVHqMreEwRJb4Ns&#10;fE32wha/a6sPMeg3ORUg1YazRzVPCZICnBh9yvK55+78K7+5kLzpre+8/1WpWSAMQaIoOJp9ta7k&#10;8Td/w6/+79/+nj90MDkAAACAJXz/JDG4qT2o9qKjKK3P72VkL2sQJAU4cP8nXZJgqX6v9BaCpX/1&#10;499WBihHURkqy5fd+t3SOYz8PuoliH579CMfefbF9773yT+Yf73ukx/m63UB4JJoOZNybrP3JXKE&#10;R54mJUgKeyIbX5O9UM0ZfY3zMajqJEgKcCbe9rYn/8ojG41JCJYiPfkj7/3L9+0k2s6dZ575/Te+&#10;5R1/ns0qAAAAbEC2BzMZpfqQ8JyzmCrYym+Swk1yP1ga9gMSBUuv/fdK9TTnmkCp8qqMWO7f/Xs/&#10;c0ixjN/6rV97JPB6ifKRn3zu09///U99Zfb0qP7X+wczBAC4GFoBEr1fBU9Gniat8s9BgRrVp08S&#10;xt/7lMjpVV36GlI9aTf6dcDGnoOk+voZOfxqR9Z3vSe9KI3SHhN9pas+LZr95qreX1v/scc5ludl&#10;L6h/WfskI3NuCVWda4KkshfZpcarVYfeX2O/WZkmW6DfEm61Xza61BYBhtBX07zprX/y74RNx33R&#10;E4L6GtUsSIbcprR+d/TOM8/e/epv/u5P8NujAAAAsCFxf+RllK2CpEJlxQ/7a68Zf6oG4Gaofq/0&#10;3d/69L0f+uFn0iDYNYiCnK3fJ63QV+zqa3izMiVLyh39HdO9i54efeknn3nhbW974k3Jb4/ee/Lp&#10;O5+ebO51B/MDALgoquCFAgTZNcnI06StsiU9FJxRAEL1ZPkrUZ4qoKR2Lyl3qagu6XIO6n+lv5bM&#10;3QQobQxI6n9fhvSlsfBpWjI3kHfMcY5kZZjshWrMpactqDaio9KyZwU6FTCvnkSvRH2s7itL5oQX&#10;2cxIMFaBzzl9mGuLALN441v+5Fd+7dvf86txE2KiYOkf/u5PpIEz5Pql9bujkj/+9d/063y1LgAA&#10;AByBbF9kMkq1N9XeDwA2QB++bQVL/8Q7r/treBXU1NfkKrCpYGXkd3/3t+4/4anfCa2Co1GUVnmy&#10;cvW/3o+/gXqpcv+rdT/63MeaX6379J1X9OQy31gEAJdMK+hgDmkVKOgFbaqARkX1VSlzRPVnARcF&#10;5rL0x5Q5Dr6CTFkZc0Q6HKG1KbGAj4KlcwOYo8G8Y49zJMtrsheqOaNxGOlnj6qOUcnGWPNqrq1k&#10;ontOK9CfpZ8r1e+6Sr9r9KMPGGwxRgApf+yd3/sswVLERMHR/+RP/jn9xugjtvDGt77rFdnLwXQA&#10;AAAAtibbD5mMQpAU4IQ8+eTjT2S/Vyq5ld8sReaJfbXuITgav1qXp0cB4GpoBQTMIVVAIbtuUj2V&#10;VQUbKrL0S0UBx8heg6QKrmRfM7tUsr5HqiDpkgCpiQVZK7J8S2Wkr1k+k71QzRnJFkG4Xh0jktnz&#10;FuWaqJ8ZWdq50rLNreYfgVI4Ov/hd/yVN/2xd/7nj2xQTPSVq/pdyiywhly+KBDeenJUvzv6tW97&#10;94/xKV4AAAA4MtleyGQUgqQAZ+D+b0k2gqWS97736+79+E9c9++WIrUoOPqRjzzzxFNPPf5Y66t1&#10;de1gUgAAF08rsGEOqQ77q0BZ9dRgFTSpyNKvkfhU2l6DpPqq3CzvGul9zW9rU6K2rHkqcOSpxyzf&#10;Gmk9fWhkeUz2wshTxArCyYaXUs3LUcnseYtyvWRPQ2fp5korSLpl+zV/AI7Ol73/55//qnd/6Ley&#10;YJnEfrdUv1WZBduQyxIFvqvg6Nd8w3t+iuAoAMAu0D5IHzbWXjl+CE//6/25P8dSobK8L6s6Rj60&#10;alh75cNmPrG+6UXvq8zenmsElaGyVGbcc5p+1J4lHzyULrSnyvqh93RtS90vQR80115H+o7f3GVt&#10;3ELPx8a3O8oorfMIiXSxJzQmGps4p23MRn7WpcLsQuX5eaHXspWlcwKgiYJcra/hlShY+iM/SrD0&#10;luQjH332Zf3u6Dve8fhXTjbwiWgTk/DVugBwlcgB8w6eiXdIK8dV0nIGW2VLKrL0ayQGcvcYJN3q&#10;q2ej9IKVvbFdI1mQy5PlWSNVwF5keUz2gjZeWfsykU0tCZZW83JUtAmMbFGuFx0YRLJ0cyU7FKnm&#10;n+aQ5om/z2mcZG9ZepM1gWyAWXzZB37+BQVLs69dNXnTW995/6tZ+TreyxJ9pa6Coxq/bFzvPPPs&#10;v3/j27/tF/jdUQCAXaB9l/zGGPhrifzdKmAnnzMLsvoAWuWT9vxR+bc9nzYTtWFJoFHtnrNnMD98&#10;BLUnBhwr6en+GMzVt3Tlxzoi3cQ+S2e9fbEn+3C0ysz28lvv904h6tvaOaZ5PTpuo/bqmVN+T9Rf&#10;Aqkwm+o3SyXv/tan7/3Ah55Jg2rI1cjnFRx997v/+B9qfLXuK7IRgqMAcK20HF29b8jJio6zF5/W&#10;UznRFTGtnHT7xGcMyMp57W1Eld/T688xpKUjMdIe5Vf/vcOrTe+IM1056rqW5YkiHeqTi4bqjpuJ&#10;KFWfRUy/9ThHsjwme6KaN5kovR+bHqNjXkm20Yzt1ljJPtW2uLnX+Op9jZnPEyXawVzdRFGbYpnV&#10;/NP7se0e9SHLJ+FpUjg5erL0j37rX/gXb3z7t/nNzCOi64996w/dD8BlgTnk/FL93qjkiWff8ntf&#10;/c3f/Ymv+qY/+wcPww8AAOdFPmNvf9SS1n6t5bdb+t5esFWukB9b7a1GRPX7/WlF5Tf3pPfh2zUB&#10;psrX3xLtn5boW3myvZfI0puM9Et7+iyvJNvLZ+kuQbK+GL05Jj3OHTfZ4yhLyu8JH9aFVegpwWz/&#10;IXnuzU/ef7r0h36YgOm1iD05+ra3PfGm6ndHFUg/mAgAwFXSCjpER7LlPJpkjlgV0KhQoEyOopzL&#10;0U1L5eBLKuZuDlosLaf3FGnPye5tOKvgYW9cJa3Nr97rHQRUnHqcs/Qme0K6yNrYkxjIHqWap9m8&#10;bqHNu/IoONjayEeqAKWkV3+Wx2SUav6N6LPS3+ihEcCm/G/e//NPvP59f+PvKxDaegLRRL9f+kf/&#10;1I+lgTrk9FJ9pa7kjW991yv85igAwO7YItCR7YeqAM5I0NECPRHtv7L0S0T7wR69PVxPWv0QI/vZ&#10;Subsd5ayJkAskW1lZGlNRvpVjUt2fpGluwSpzmKqObZmXlc2a2xx38hkpG6ALgqWPv30E7+e7Ukk&#10;f+KdT937ru9+mq/jvVDRb45acDT7zdGD8NW6AHAztA74oyPZC2ZkjmerbMkxqAJ22abTmLs5aLG0&#10;nKrdo/Ur4JjlN2n1v7ep7AVoLTDWkmMEiZaOc5beZG+s2UjLZio9RKp5eopDg8p2e58az/KYjNKy&#10;p96TyUY1VqPBYoCj8MXf83OPfekHPvUx/SZp9VSiiQKmSsdvmJ5O7Ot0pffiK3XvKjj6x975vc8e&#10;hhYAAPaD9ju9b0cZkczvbe3VtEcbCa5kwZLeB3SXiPz5irX6aQV99A0xWfo5cuz9jvZlWb1zJdvf&#10;ZelMRvo19/wiS3cJUp2ptOZY9jXEc0R5e2ch1T58jZxiDw83xJNPPv6EniTM9ikm+jreD774dWkw&#10;DtmXKDj6/d//1Ffq92ibwdGn7nye4CgA3BotxyxzJHsBteiMVU7fMajqqxzFuZuDFkvK6W3sRoMs&#10;vXJawaZqTBU8GglyZnlNjuGgLx3nLL3JHlHwbc3GTPlHWKrPrahssHUgYmR5TEaQfWd5Jb0PCBjV&#10;vO+1H+AkfPEHP/26L/2en3vxy97/86/0nlT0oqCpnkYlaLqtWGC0Nw4Kjv6nz7/3F/7jd/7ZU9yL&#10;AQBgGb0Pq45K5jdWfvKIxDK3Cthl0lqrqg8Uaq+j637PqXKkUx9YbfnU1ROx2sv6vbTq0P8xwHzs&#10;Nbb6gO8cydqZpTMZ6ZfSZHkl2flFlu4SpDrTWTvHKqk+8Ft92Fy2721X83b0PjMSnAVYhAJmCpw9&#10;9+Y7v5btXUze8x5+v3Rv8pGffPaVj3zk2RcVHL3z1OMvtoKjCoYTHAWAW6UVIMkcSTlbVdAm5mmV&#10;LTkGVX3VJmHu5qDFknIq51i6nkPV/1bAp9oUtDajkWrjN7I5m8vScc7Sm+wVbYiq/vZkJFC6VJ9b&#10;scYGszwmI1RzdtT+q0Br71P1ACdHX8X7pR/41KcVrPuKFz567w3f/L5HNkeZKJhH0HS5KDAqfUuH&#10;vQC1nhrl90YBAC6CkScZtQ/zTwEqj/zMuK/OfM/KTx6R6Mv39hUKzmj/oDYaanvW3igqO6MKZHq9&#10;ZKgtqrcVbGo9oar3q0CRrplue21YQxUglqhvakfUd6azbF8W03gZ2cdVe6FsPNfsS88pLdsUo3PM&#10;5oYh3fUC4FW9elI1y1PZbusp8KoegKOg36d869ueeOnNb77zO9l+xkS/X0rA9HxiX6n73vc++Qdb&#10;vzcquf+k8FOPP3YYXgCAm6Tl6LYcrd7X83hnvFW2ZA5yEhVMlAOrMqtyW1JtEuZuDlosKadyyuU4&#10;z6Eqa0n9ujZCNR6V3iPHHucsvcne0YasdQjQk94YbDV+Gcqv8ZQtq57e4UqUng1meUxGqOx/C1Gf&#10;AXaJe7r08wriKYBXfeVrFAX6FGBV0FRPRcag4K2LgqIKJtvvwpZPjE7X3vjWd//eV3/zn/lZvlIX&#10;AOCi6D3d5YMqEe19vB+epR31VRWsMb9d5aos5fXBFgXfsrwmKsOnjyh/z5f3wT6jtddQfWvJypXs&#10;5YOKVRBNuqwCtLrm93+Zbn15UUb2cUqT5ZWM7GOyfCajVDY+Zy+1tC8jc0xB62xu6L1eoLRFay5V&#10;9wzRylfZEsBR0dfxfuM3Pfl3sn2OF30l7/vez2+YHlseemr06cdfODw1mgVHX1FwVAHvw1ACANw0&#10;rU1L5UhWwRqfr1W2ZARtBKpPns6RapOwdnNgLCmn9QlCiRz2OSzZYFR5RuuvxrnSu3Gqcc7Sm1wK&#10;2jT1NmJRNF8r1o5fRJtF2c7cgGgmPRvM8piMUNn/FjLn/gFwNg5Pl37MB/kUNNXXwY4GTSX6zVP7&#10;XdM/+qd+7GaCpxYQ9TrrPS16PzD6tm/5/a/6k//FZ/7wC//Xr/ziD36arzQCALg8qn3x6AdeFdCT&#10;35wFwUZ8Ve2jRqgCuqq/CpAa1bcgSbInPlt7jd4eZYSsXMmoTo6JxjNrm0n1VayGxkT6awWUs3JN&#10;RvZxS84vPFk+k1EqG5+zl1ral94c69lSb0605lWWVpLdBzyt+dTbNwOchG/8xiff+fZvePLvZ/sf&#10;L89/41M8ZbqhKDD6kx999hMKjL75zY9/SxEYlbyir9wlOAoA8DAtJ6tyJBWoyfKYmEPeKlvSY+vg&#10;RbVJWLs5MJaUU+lorqO7pP5Kz6P1V32o9C5OOc5ZepNLQ/2s9B6l+kTqmvGLaJO4RXDUpGeDWR6T&#10;EebocIm05h3AbskCpvZVsXODpibXFDxdEhA1Ubqvef47/pc/+m0/8rf/w+/4K28iMAoAcNH0nszc&#10;4smu3l5JwbOR4KaoArpznrycGxiu/O2RQGFFVqbJuZ+sq76BS/ulLcjKNhnZxylNllcyso/J8pmM&#10;Utn4nL3U0r5U9Y/OryyvSWscsrSSHq329vbNACfnG77xiT//1rc9+flsXxTFnjL98Z/gKdNRscDo&#10;D/7g029561v/D2/pBEYl94Oj/N4oAEBOa9PSc0irzZHlbZUtqdjqqUIv1SZh7ebAWFJOpaO5ju6S&#10;+qtNwWj9VR8qvZ96nLP0JpeK+lvNRZPqk+xLxy/S+/DEEunZYJbHZISq71vIXr7qC2AR9wOm7it5&#10;faBQwU4FCRUATTZgQ6K8b3z7t90PoOqrexVE9YFUBSP/8Hd/4qEg5bHFB0El+rpc9VPtmxMQlSit&#10;8vyn73j///QV3/5Tf4UnRgEArorK993iKUlR7dVaT59mKNCTlWEyJ6BYtSnrd/UEq0T7lNF+RHrf&#10;sKO2jgaRt6ba6271pGtWtsnIPk5psryS1vmBJ8tnMkplTyNtMJb2papf10ao7LA1DllaSc9eW/vX&#10;0bYCnAU9YfqOdz71C2/++ju/l+2bvPyJdz54yvT7vu/r+GreIAqMfvSjz374Qz/47JvuB0b1W6Kd&#10;wKh+i1RPjRIcBQCoaTlZPYd05GnSVtmSFr2vK1kq1SZh7ebAWFJOpaO5ju6S+rfYFFR9aOn9HOOc&#10;pTe5ZLSR6h0QVAc1S8YvooONLZ8gNenZYJbHZISq72tFZZ/rUAZgc/Qbpl/2gZ9/4Us/8KlPZ8FF&#10;BTMVVFSQU0HPNcHTTBRwtCdSY1A1EwU3M1EA1l4r+KkgrQKZKntOADSKBUTvPzH7ru/7vS9/73/9&#10;S6//rr/2A1/8vr/J1xgBAFwn1T5q9Kt2e1R1zPkwXrVPnPtUY1WWJNJLb6L9jM4Y5vjPlX68aDy0&#10;/xxB7Z27r8kC1tU+Y+0TtEZWtsnIPq4aG7W/R5bPZJRqDEfaYCztS1W/ro1QjXVrHLK0kspONTda&#10;tll9cxTArnj88cdf98533fmpt3/Dk7+e7auiPPfmJ+8/afpd3/30zX097/3fF/3J5z79F/7CMz/w&#10;p/7UnXfoSdCxwOidjxEYBQCYR8uhG3FIe0+TVs5ii95TcSpTDmD2adOqvmqTsHZzYCwpp2rzqFNu&#10;VF/p06r/XJuCc4xzlt7k0pGesn55abFUn57eU8Eab9ln9in1NTaY5TEZQQcmWV7J3PkHcFPoKdMq&#10;aGoSg6cKJCYbuYuTVwOiU7/+oz/98X/9+j/zNz6jp24VFOVpUQCAm+AUfuQaP9mzZJ/YotrzSjKq&#10;/UYUBYEUAB4JllZBo0xsT1JR6bySOB5Vu0b3WD2ysk1G6qjGcsQusnwmo1T6nmObS/uyxRyr7Ls1&#10;Dq081Vf8Vm0999dLAyxGT5l+8zc/+Tff/OY7v5PtuzJR0NSeNr2mr+i1oOjUr5fe9a473/7MM3d+&#10;YuBrdCUERgEAVtJyzkYc0t7TpNXGMUOOXZbWpPfpuCXOqVi7OTCWlFN9/dDcTyAvKescm4JzjXOW&#10;3uQaqPQiabFUn57qEKD3dVJrbDDLYzLCFvYPABNf/D0/99iXvf/nn//S93/qw1/2gU+9HIOlUSx4&#10;qic77elPPR3qn+xMNn8nE/9kqNqlp0719On9gOj7/sbf/9IPfOoTChITFAUAuFkqH3orP3IrX7Uq&#10;R/2YS1aOSYb2f3OCmRKlH+lj70wiEwVLW0/sVbqqJLY1S2MyusfqkZVtMlKH0mR5JSN2keUzGWUr&#10;21zal6r+EfsT1b2gNQ6V3SpQ6u1T86f6ULLsGeAqeOqpxx977uuf+DNvedudv/11z/S/mtfkrW99&#10;8t573vPgd00v5WnT+wHRjz778l/8sWf+xgc+8PRf0m+4Pv3Mnc9M/ekFRE2U7hPSGYFRAID1tBy6&#10;UYe090RgSzIqR3GkPUucU7F2c2AsKadyyuc6u9VXrrYc/HNsCs41zll6k2ug0oukxVJ9GtVTrDrc&#10;6H0KfI0NZnlMRqjq3uq3ggBulvtPmypw+j0/9+L9J07Db5uOiH4j1AKqPqiqwKUXBTNbosBrFL1v&#10;gU+J/w1U1Xm//vf//Ctq94PALwFRAAB4iMqHHt1H9VjjJ3uqckb2X5GsHJMWCvQsOTsY8cm1v5wb&#10;hJUoX6TSVSVxPLI0JiN7rBGysk1G6lCaLK9kxC6yfCajbGWbS/tS1R/HtEV1L6jGofeTOaOS2THA&#10;VaDg35NPPv7Ec1//+F9489c/+Q9CkLAUBU7tidMPvvh1Zw2e/tiPP/vbP/BfPvNL3/M9T//1F154&#10;8q++9W1PvPTMM3f+m8GnRE1e0Vft6it3CYwCAGxPy6EbdUirgFclGWsd1KXO6drNgbGknCqPRJvJ&#10;EXpft9rq/zk2Beca5yy9yTVQ6UUbsBZL9WlUNtyye88ae8jymIxQtZ1P5AIcCQUbFUC9Hzx9/6c+&#10;fD8QuTCIulje//Ov3JcPfOplPRX6aiD0e37uMYKhAAAwQOVDj+6jeqzdNxlVOSP+eiQrx6RCH55U&#10;W+YGNEd+f1X74d5PgGQSnyitdFVJHI8sjcnIHmuErGyTU+zjsnwmo2xlm0v7UtUfx7RFdS+oxqFq&#10;86jM/fYxgItHQdM7Tz/+wlN6ivLpO//KBRGHxIKn+o1TBU9/6IfXB08VBP0v//wzv/K93/v0337h&#10;O578hXe966lffMtb7/zy08/c+ZWnvu6J387a0ZNDAPUT6itfowsAcHxaDt0ch3TJJ0Iz1jqox3BO&#10;q+BSZIljro1ilt5k1OmtvtpYm9AW59gUnGucs/QmoyhoHT/xKf2ObNx7WKBbm/ve05eRXpC8+gR2&#10;pc/W11B5lti9Z409ZHlMRnWY5TWp7AkAjsQXf/DTr7sv3/Nzj9nTqPd//1RBVRMFV00+8KmPPfS/&#10;ZEqjPPdlyn8/+OkCoARBAQBgJZUPPbqP6rF232RU5Yz46x7th7JyTEawYOmcc4RRv9yCpaOBWKXz&#10;+wbVMzeIq/Sq15OlM9lqj5GVbTJSh9JkeSUjdpHlMxllK9tc2pct5lh1L6jGoco3Iso/99wA4Op4&#10;/PHHX/fkk48//9RTT35YT1rGYOOo6DdR3/78k//8vnzDk79u8ta3Pfl5yVve9uSvPvfmO7/27HN3&#10;/odnnrnzz5/+ujv/eso3O0jbkPtPiaoPh6dEX3foHgAAnIiWY1Y5kpElT5NmVA5qLwjVa0PlnFYO&#10;tSRueFosdcyrAKek9/Upvb5XAbJzbArONc5ZepNRqo38SECx4l2TWFnaaEtPI5sepel9VU9lQ9X4&#10;VbZjVHbf+5CBDlmqQ4ieDWZ5THrzxqjm35z7IAAAAADcDvKTM/9RstXTXVvs1YT2KVkZEvnic9iy&#10;LKHyqv2Iyci+xKM9kvYDI4HY0X3DHKp6te/bgqqOal9sLD2/MLJ8JqNUNj5nL7a0L1vMscp+W+NQ&#10;1dsTOysAgAaHwOkTD76a9s7HDk9lZsHJU8sr9oSoAqI8JQoAsB9aDt0ch1TM+RSoJKNybFV+K2DU&#10;C5xJqk1C79OwCvRYoNQ2W5lTutQxH2m/NtoxCDe6oayCvOfYFJxrnLP0JqNkeU3WblRaY6EDAfU9&#10;fvWy/leeKsgokU4rekF6v4lXnQpkx7Zk+UxiWkPv99re02mVX9e8PWi+qO3Rvnp2NedARvXZgVmc&#10;rwAAAABwPbR8d0nP/x6lqqPnJ3uq/Zdk9EPBQv50VoZk7hmCR22szhTW6FT7mWrfMDcAO0K1R96q&#10;vrn78EhlFyNjmeUzGaWy8Tn2tLQvW8yxueOg/WiWVjZu++34IWj9b+cCrfMSAOjgg6cPnty88/kQ&#10;xFwjLgB652Oq4/7XAj/1+GMEQgEA9k/LoZvjkIqRAJaXjJazaCLH0Ace5ED2AjwmvU1CL1iTSXRO&#10;12wyohO8lfSezNzTpsDkWOOcpTcZJctrMqqvFtVYrJFesM4/wToq0a4q+9Xc8ps5HcKM9rWn01G7&#10;8JLpozqQkei6+hAPkGSbKk/6iGWstQcAAAAA2C/yAb3vF0V+4loqn3mur5mVYTLnycbKb17r/0pn&#10;Wbkma6j2PHPPPkaogsnaH21BtQ/X3qVHtYcb0UmWz2SUysbnjMvSs5gt5lg1Dtn5RMsW184fAFiI&#10;Aqf6yt5MFOg0Obz3hAKfLvj5OsmhKAAAuFBaDt0ch9SYE+hrYU9hbS1V8EwsCbbEMpc65qK3IVwi&#10;Go/epwzPsSkQ5xjnLL3JKFlek7WbmmoslsrIp5SX2F6057kfkhiVnk6XBHizMo8x/9baAwAAAADs&#10;F314LvMBTUafFlSwNX4DilHtD+b6mtVeXYHP3r5R9HzvLQLD1d5yLVmZkiVnHz16+6ORIKbQOMs+&#10;svGpdNWzv95+fEQnWT6TEXsSa85QPEvL2WKOVeOQzeuW7nsfcAcAAACAI9Fy6OY4pEblmHrRJqyF&#10;NptLnuqUaOPX+sRm5px6RtvuJZZZlTGizy0DTSMBUnGOTYE4xzhn6U1GyfKaVHWPUNnPEhk9mBHV&#10;GGaS2XN18FKJ7GDpp2ll43PtqFXm1oHe0fkDAAAAAJdJz//tBcL8XizzHf31KHN9zV6As7d3UAC0&#10;8rurPf4cWk+qqu41VEFtfWB6a7RPyeoyUX+qoLLy+w9yZ3vN6mlVSav8XoBUMnJ+keUzGQ0C9/bA&#10;xw62bjHH5p6HtD6gL5uQ3kb7DAAAAAAb0XLoRpzijJ6jLlm7ActEjqacyZaTmzmnkZHNgpfovC51&#10;zD32SeKsjFExXYxwjk2BcepxztKbjJLlNdliMzMyf0ZkdOyMuWOhdkbU/7mBUqVX3a25M9KPucHN&#10;7Ot2jS3mn0RlxK/mBQAAAIDrYuRbTbTH9MEq+YjyX2MwMPN7W3seyVx/vwoSmsg3j0EatX1kn9wK&#10;imn/pr62rnuqrzBWORH53NqLjuz1q32WxvEYqM1ZfSZqv8bR7xukb70X9yRZH3v7IJXhx1NlVHt3&#10;LyPnF7GNXnTNt1ljqzGIe+bWPtBEOjT9KK/6k9l+VU7Vly3m2NzzkKrOTDQvVYeJdKIyqn0tAAAA&#10;AMxAG4K4QbPN0VKyMk3k0EXHOEObg5GAi5xvv6nJghxyJEfqFKNBKrUtojrUv1i/dDFn46Vy5gZs&#10;JapnrqMsPWdOvd7zm/kK2Uo23iNjfcpx1tjGdur/LOCXUR0sqK9boY2Uysvq6Ynsxm+y56CxyMYx&#10;k5ad2RzI8kTxm2S1ORubOTYY7SETpenpZ+n8k6h89WvpGAAAAADA5SC/ccQHHZEsILNFAMczuted&#10;K9ne2PD60Wv52dpLeH9Zr9WfSpfxfEL7BH/d9nXaS/k9odL1fPtj+e69AOAcyYJtaneWdgvR3rrH&#10;kj1rto/M0vUkUum66ssWcyw7TzE59rhpziy5FwAAAADABSEnWpuaGEiTI6qgmd8AbYWcVm2worMr&#10;B/SY9UZUhzaD6n/meGsjqPflFI8Gk/bKOcZ5LtXm+hj6V5+lF7PF7NBA76tdspOtdKSytOGNQUuN&#10;jerKNnoR6SObQypD7x/jIEL9l61kutJ7c+uN86+lf+lK9V76HAQAAACA+chfjz7iEskCHVsEcDzy&#10;b6OPv1bkI1d+cJZnrqjNca+zVQBSvvwx0R4kq3eutPZg1R51RFr5tc/poT1QlreSzG6XBFsjlxQk&#10;FVW9S0T77K3OAwAAAAAAAB5BG45sMyLRxhcAAAAAAG6TtYEqSXxSUmwRwIkooJl9+G+J9AKkYou6&#10;skCT6s3SzhG17diBJZUfPwi8RFof9tT7S3WsfWwruDgSJFXf5tad2e2SDxpELi1IKqq6l8jImAEA&#10;AAAAACyitYHRhhcAAAAAAG6bNU8MKsiasUUAJ0MBxrWBO+XvBUjFkqcETRSAy4LHxpoArJ5OHWn/&#10;FiiYWAXSelLpQOh6lq8SK3NNkFTMrVsB0Yy5HzSIXFqQVLa3xn5b0rMVAAAAAACARbQ2MKfaWAMA&#10;AAAAwL5RQGTO19kqbStoJLTXyAIwem+LfYiCQHMDNUo/J0CrJx2XBEoVNOv9VIb0PTfYa+0/9hOk&#10;Gfp62jn6njPOo7YXg9vSQxyfuWOswNxIv5SmGtPRQGkW9Mz6IZFOqsDhFnNM5We6V3syO1O5LX1J&#10;BzGP0mt8da/o6SjTDQAAAAAAwCpan47VJhcAAAAAAMCjYIaeLG0FX3RtNABzCnx7Y/BG/1ubq4Bu&#10;DwXHtK9SkCfTi4J3Cippj9ULjkakS+VT/ixoqvpUr+o/R3DUo/pND7GtpuslOjBUtvTgg3YqV+/p&#10;2rFQv9TuzIbMfkb6pLFU2qgb9cd0c+4xXEtmoxK9P4J0kOU3AQAAAAAA2JTsU6HaoAEAAAAAAAAA&#10;jKAPGsSzBZM5H0LI8psAAAAAAABshr7WJm469MnYpZ/sBQAAAAAAAIDbo/q63Dlk+U0AAAAAAAA2&#10;Q19J5Dcc+gqcPX01FgAAAAAAAADsH30jlT9f8DL6NcLV06j6FiwAAAAAAAAAAAAAAAAAgN1QBUn1&#10;lGkPBVJbv2kqGSkDAAAAAAAAAAAAAAAAAOBkfP8kWXDTREFUfZtV/Hkf/QzQd02in/7J8pnws0AA&#10;AAAAAAAAAAAAAAAAsCsU7MyCm1uIArAAAAAAAAAAAAAAAAAAALtDX4mbBTnXCF+zCwAAAAAAAAAA&#10;AAAAAAC7Rb8rumWglCdIAQAAAAAAAAAAAAAAAOAi+NpJfmmSLPA5Igq08hukAAAAAAAAAAAAAAAA&#10;AHBxKND5rkl+epKfneRfThIDonpP1/TU6HOT6GlUAAAAAAAAAAAAAAAAAAAAAAAAAAAAAAAAAAAA&#10;AAAAAAAAAAAAAAAAAAAAAAAAAAAAAAAAAAAAAAAAAAAAAAAAAAAAAAAAAAAAAAAAAAAwvn+SfzzJ&#10;PSe/NMm7JgEAAAAAAAAAAAAAAAAAuDp8cNTLv5wELpvvmiQGwH96ki+eBAAAAAAAAAAAAAAAAOBm&#10;8QG0KHC56EngbEwlCpwCAAAAAAAAAAAAAAAA3CxZEM1kLV87SVbuMURfGwxf4GcnyfRkwtOk18dz&#10;k+gJ8Gy8l4hsCAAAAAAAAAAAAAAA4CrJgiMma1HgMiv3GKLfUYUv0AuSfsUkcF1sGSA1AQAAAAAA&#10;AAAAAAAAuEqywIjJWnqBuq0FvsDaJ0kV4I5BN31Nr77GF/aJH6utBABugz8wiX6zOt4D9AEkPlQD&#10;AAAAAAAAAAAAV0k8EPWyFoKk5+O7Jsl0JBn5TdIsnwnsk2ys1goA3AYKhGb3AAlfvQ0AAAAAAAAA&#10;AABXSXYgarIWvm73vEj/CoiajvRkqJ4UGvk9Uq/bKLBPsrFaKwBwGxAkBQCAa8e+NSF+W472kfpt&#10;/xZL852aS2knAECF7le6b/n7mM61fmISuGyysbVzSq1hlwBrLQDAleJv6lHW8rWTZOUeQxQQhO3I&#10;dGwC+yQbqzVCYATgdiBICgAA187Ste5S1kjW8ttG3yS19APSAHtC9yt///KCPV821dhqDbsEWGsB&#10;AK6U7MZuciqqr4ZlkTkP2ViYwD7JxsrkUhxOADgPbPYAAODaWbrWXcoayVp+u6z9qR2APaH7VWbL&#10;Es41LptrGFvWWgCAKyW7sZucCoKk+yMbCxPYJ9lYmbCZAIAKNnsAAHDtLF3rLmWNZC2/XTS+2bib&#10;/AeTAFwKlT1zrnHZXMPYstYCwMWi7wvX174qEKcblv8KEhO9p2v6ylalPRZyTt81SVwY9N3l+n79&#10;LRYF1aF+ZHXo/egg+zRRTsUxg6QaT+k26kNietf3xh/r++/VN/+d+2rHGhtTXt8Xla06tsbKz2QL&#10;/Fzw+jHRe/p6IKU55qZu6/E5J15/Uc7pcNocjF//JF1rfNfOPX3lTnbPU32qd4vxPMc6cop+eXx9&#10;8fc1VOcp5qOtX35OzrEVXbf7im+/ylO5W7XdbDrWY3Ude10RNl5eVxK1aUlf2ewBAMC1s3Stu5Q1&#10;krX8dtH4ZuNucs69IMBcKnvGli+baxhb1loAuDh0QKlD3ezG1RMdCI8eQOsQNNaj/PEHm3W4Hg+e&#10;M1FZSw5WlUcHs1mZUXSAanVk101OhXST1S9ZushI/xqHrMxMNDZzgo1Z+X7s9DceXnuJ6MA7ptf/&#10;et+oxjc6FKpf7Yk2pzKjbYrexqonqmfkUF7tXFKX+uJ10WOr8dFcyeatypqL8sRy1IatnMFYtpet&#10;Hc6efoXGa2Sspd8lAb/R8kekdZ9RP7NxGxHpZ6/98iyZk7oX+bGusHuRzy/dxPuQ5ppPk0llK3o/&#10;m6tR/Po3l8zuK1F75qwrGvveOqC2j671Vd0qZ0RflahtAAAAl4J8nmw9k1Q+09J8p+ZS2glfIPP9&#10;JPKd53zgrefLb/VBQYBTUNnz1ucacFquYWxZawHgolh6qB1Fh6k9WjdIuznqIDJzfCtR+jmHuHKu&#10;5xzcSqyO7JrJqdgySKo+VQtvT0Z136pD9jAy5tEBaOnADrl7h+LxMHzuwp2lmysx6BEZCYL0RE+J&#10;jbDV+GTXTHr99SiAk5UhmWvjLbKyTaK9raXSr5BusuuVzNHnkvJ7EjnlOmKcol+eNXNSATYfvGvR&#10;uheZ3Y/MxyjRVkaDhiaqbw6nWld664D0PTewKd1ktMZlrnDoBgAAl0K19lX++NJ8p+ZS2glfoOX7&#10;SeL+vqIqR+dEAJdEte/SfQ4ul2sYW9ZaALgYqhvWEuk9CdSqTzfHJYe/JqM3V9UxN0Bq0mvbqaic&#10;+jmLzBp9exk50G4t7rKHkQP76AC0dKD3RwIncRM1d+HO0s2V2AZjq3ExGQk6bTU+VbsVRBulqnM0&#10;8NsjK9sk2ttaKv2uCfSNtPMYgUSJr1uvszRLZeSJ0lP0yzM3sJjJSKC0pUvZ0NJ7g+q14NzSfowG&#10;r0+5rlTrwJIAqUl2b97Kxlv2BQAAsDeqtS/bHxlL852aS2knfIGW7ydp7a0z5GPKJ/bnQvIbtV8d&#10;+VAjwJ5onTVI2HtcNtcwtqy1AHAxVDesJSLnsqJVnw5E1x6sjiwSWz3tlMmpqDYHcxaZasGdK70A&#10;WKuu0Sez4ti2dKDNzsjBeNxEzV24s3RzpbWRO4aN9oJOW42PApjZdZNe0MOoxnCrJ7Gysk1G7iVz&#10;aOl3beAts02P9L00UNQTTzV/lkhvHTlVv4zqnjtXdBhTzYOWLteukbK1tfY2Mvdatr5EeutKa1yU&#10;b419KG8co61sfOt7CwAAwLGo1r7KB12a79RcSjvhC1Q+eWtvDXDtVPsv9h6XzTWMLWstAFwM1Q1r&#10;qcSv9vMcoz6T3oHqMeuWnIpqczC6yFTBLB0Qqw5/IK5PVPYO2KtFulrcRySWXelgROImqrKNTKdZ&#10;urmSBS57Qcalkh36e7YaH9lMdt1k5CnQaiwUJNqKrHyTypaXsFa/lVSfdq6C3GqTz6s+j7Yzzolq&#10;zJZKtY6cql9CZWVpTXRf9PVpDuj+UgXp4v3HcwxdbiW9+XvqdWXtOlBJ7OtW41LdhwEAAPZEtfZl&#10;PpOxNN+puZR2wheofL/Kvwa4Zqq9brWXgv1zDWPLWgsAF0N2w1IgQk6mrmVPU/QONXW9RXWD9GIH&#10;qla/DlZHnrCr6OXXEz4+cKUD3JE6TU5FtTkYWWSk09YBvt73B/6R6isuqyB1tbiPSKTSwYjIDj2V&#10;XWY6Xdsf6dkHC0Q1LiaqVzbq5+XInJRUG8ctx6eaMyNBzioANhJkHSUrf4mM9GlUv0rnbVPzrWcT&#10;1bi28lZztTV+VT3Z/DnmOnKqfolq7KpAru6jrXbq/RaZLjNRGarfdKv7gnSepW2J+m73oZH1Trpo&#10;cY51Re3P8kTR2u7HSjru6Sr2deT+3JORewUAAMBeqHySyidYmu/UXEo74QtUvl/Ppwe4VnS/yuaE&#10;RPc5uFyuYWxZawHgotDBnQ4R/YFpj8pBrW501Q3SRO1ptaN3sN5aKHTAmaU3qb4CsXo6xsupWKp7&#10;o+pPdehvVAt1S4dVHi86ELex11+1NQuMVTrwIlsym1Db1D/lje1cu3Bn+UxG6dlZFTQSVaBBIhtv&#10;seX49NrRmtuG2pnlk/TyziErf6m07N4Y0W9m56IKtkla9ql8WXpJpcdWPrWh4lTryCn7VdXVm4+i&#10;6l/rK7BH18jM5vTeSCBPadS3jJ6ttqjuX8daV0bWAY1TS1fSY5bHpGLtmgEAANeP1hqtgVqL4pqj&#10;//V+yx8YRflVjtae6APof72vDyAuqWfpWrfVGin9qd1a75Uv2yPovaV9nNNO+ZiqQ+/7dDaOKmsr&#10;jjmmo8hP1L7P6pee1aaWTyaOPV6i8v107Rbw9hF1YPao+041ViOonszmJaewQc8pbGsUtUX69fPD&#10;6td7I/ueHqpDeyv1J9aR3W+yMTLZ8t50DejeZnad2ZHe32oOtVC5qsPq1xjLdrL9+bnG1uxc7Yz+&#10;i61Dmo+tMwXPkrW25TNd21orWv5Fa77PYctxBIACTTY/wbxosrWobpASTdxqMarqlbRuYLoxZOlN&#10;ejeeXn7Jqag2B3GRyYg3RxPdhEeodNHSf7zhZ6JyR6l0YKKFYJQ5C3dGls9klNa4SEbaILS4ZvlN&#10;Wovf1uMTnQwvrWCgUPuyPBLpZ0uyOpZK7/7R029Pt9W4tvTSsumReZ7lk/T6OZcl68gp+1XpfSQQ&#10;rDRZXonKzmj1z6S3RvbujdJr5QT36m/1+xzrSq+vvTVA5Wb5TCo9V3oavV8DAMB1ovVDa1TlD3vR&#10;WjnnEG5u+SaqR/lGWbrWrV0j5RPowDjL35M5uhxpp3Td21+ZKE/lO1ScakxVT9StyvB7kcony+o6&#10;5nj1/NKtRe2Jvq7+z/xcpa32tRnywWUnsSyV3zuklp5VZ8zbEtnSHNswNB5z6umN4RpOdS8Qmud+&#10;/ul13K+N6mZkPFuM3gdkR2armU2ZaA6tpWV76mdrbxjRXIn9ynRcEcfIyhix87nzR6KytZ+cc1/v&#10;2ZHsIvbBxNYdz5qxVb1ZnzWnqnEbtUETtXHp+YL1ec5aq/Zfw1o7p8/S0+hcM7YeRwDokE0skxbV&#10;DVITeGRSVgtF68alxS1LL9HiPkJVhuRUqI9Z/RJbZFroRpzlk4wGFasxbOm/GjPJaN1GpQOJxnTO&#10;wjmycFdk+UxG0IKX5TUZdfB75bQ2cluPz9L5VjkJczehPbI6lkrPQa30O6Lbyj4lGa08I/bcam+v&#10;n0vI6jHJOGW/ZKtZejm4o2T5Ja32VmM9skZW+SXeMW+R5TPJdHWudaVaB0bXgCyvScsuRNXeEVsE&#10;AIDrROt0y3/oSWu986j8uQe9UdS+kcO2pWvdmjVyaUAkij+UbtFr55KxHD3P8OxhTG1c5Cdm103i&#10;+B17vHp7/mNInIeVnUjmUO2RWz66/FnpPcszIqM+saja15O5dt/jlPcCkeWVGHN1M/desGScrY4q&#10;n+x3LVX5a/UrGdGT0mR5JfG+5Fk7fyTS86ges/wSoT6orOy6SWTp2FbnapIsr3S11H9Rv1pU91D1&#10;T3qZuwbOua8ZS+qJstVaq7bM1fXoPeVY4wgAHbJJZdKid4McobrhtzaX1eIysiE1svwmp6LaLPR0&#10;WOl/VA+66Wb5JS0nqdK/buBzqXSgG/vIwuVZa5dZPpMRFATN8krmLlSVrlsBi63Hp9KnpDU+1WI+&#10;d0x7ZHUslV7bKv1KVz2qOSfJaI3ByHhm+SQjbZ1LVo9Jxin7laWVjNwTjJZNt9rb6p9ktN4sr8kI&#10;c+21avMx15VqHRitt7rntOxCbDFOAABwXYwcgPakOgDrBbDmyMh+aelad4x8S6T3IdOqPh2kLh1L&#10;5R09vN3LmGpcRuzXj98pxqvy9Y4l0YeUTrN0JqMfZhaVfrO5v+aw24vK6NnkWl3LHrbi1PcCkeWT&#10;iKXBY4336L1gaVBYdVSBny3GpbKN1p7W0xvPkQ/DK02WV9LaK26xJntZY0ejczmie26WTtIaW7Uz&#10;S28ie8mo6hqRFtX4r1lrNWdGubS1tiXK17unHGscAW4WTXjdRLTYaIItccxaVDdI1TVCtUhHp9bI&#10;0pq0FpeMLL/Jqaj639PhWue3J636qxv1nI2FUfWj5SRVrLXLLJ/JCFV/5iz+Yol9bD0+onLW1cZI&#10;tQEdcb7nktWzREbaVul39P6T5TXJqGy6cqyqfD1n0HOsdeRU/arSbyUZVb0j9yKR5TUZYa69nmtd&#10;qerN7jEZS+fmFuMEAADXg3yQyvcdldZhsQ7VsvRrpOfDLl3rjpFviegwsWLr+ry0Ppjq2dOYalxG&#10;fHU/fqcYr2P7mJlkPmSlm5GxFtV4Hyto4aU6U6j24aMie9iKU98LRJZPsjRAajKyJ6kCgGtli3Hp&#10;3at6QZvePB4576qCyNl51VZrshfZUe88JMsn0ZlI9n6USHUPyMZW7VM7s/QSXdN4RrYIIrbYej57&#10;GbHvPa21a4LCJtWac8xxBLg5NJG3csRaVDdI73RXVItsywnJ0pr0FnVPlt/kVFT97+mw56CslVb9&#10;cxf3HktsoGKtXWb5TEaonL65/VliH1uPj6jakW0Eq83ByKcL55LVY7K0zy220G+W16RFllZSOVat&#10;to5sLoX6U/V3jrTI0kq27Fd1T9hKMqp61YcRsrwmI8y112qubyGtflf1jt435/bV2GKcAADgehg9&#10;AO1Jtn4d47DXpFovl651x8i3VHRg2OIY9XmpDtP3OKYj4sfvFONV+XrHkkx/1T51dI9U3SOyD3n3&#10;6lQ7vY0pENAL6GnMMqp8Cgb4IJRsV/8rjz/sb5W9hFPYViTLs4X07EP69HrcWrYal6qNPd1W+y1J&#10;T0eiqj+jOl9bI719XpZnjkQq3WVj2/uwSxYgFdV6JF36fLrvaMyjjlscYz6bqA0Vl7rW9qTlXxxz&#10;HAFuBt044sRYKy2qm0VvwTEqZ7l1o8rSmswhy29yKqr+93TYc1DWSqv+uYt7jyU2ULHWLrN8JiNU&#10;+pnbnyV92Xp8hBbdrDyT6KBVDl3LCVhDVo/J0j632EK/WV6TFtWGNzpJ2uxW7awCkOKU68gp+lXd&#10;Y7aSjLX3IpHlNRlhrr1W6beQVr+3WAfm9tXYYpwAAOA66Pm8Evkb8XBKa1U8+M3Wr55PojKUJjv8&#10;6h0OKq98uIyla92W+bQ/UN90LbZT71U+oaTyX6t2RlEbbD+idvTGRJIFvow9jumIqE3GKcZrbXuX&#10;iO+j0ZvjamePatz8OAvpLt4bTPR+TO+RjWT5JNonZbTapvdbtiT8XKjaNJdT2FYky5OJypl7L6js&#10;o/cUqcZbaazPqnukTpMR2xyh0u8Wuq3aKdvK8kgym1ZZWVovarOvU/rtnRuYVG3N0o9Ktj5W7Ynt&#10;6H1YS/eGjOr+1rpnGMqrNLLTFiPjIVEZsm1v6yo7S+ulojdXrM5zrrWqX3WK0XtK5l8cexwBbgJN&#10;wt6nTZZIi+pmUW2aPNVNQ9cysrQmc8jym5yKqv89HY4s+muktRmcs7iPsMQGKtbaZZbPZIRKP3P7&#10;s6QvW4+PUZXrbaVa0HV/OgZZXSZr+pyxhX6zvCYtpFc5OlmeuWKOW8ap15FT9Ku6x2whLbteey8S&#10;WV6TEebaa5V+C2mtK1usA0vn5hbjBAAA18HSg0khH8qvRVnayufRtSo4MeKjtdq3dK1bs0aqrTqY&#10;1Dpe+Z6eyh9Y2k6TSr86UM/ymKgfLfY4pl7UBl+G+io9x3adcrxElVfXRllSTqXzlq9qSDdZPklm&#10;J1XgrLqfGP6eEkX2E8nSSXr9Oiantq0sjxfNCc2fDI1Jlsekss3eXG7dC9SW6j5i0mrzXKo+Vve6&#10;0XtOpaNqXLP50Aus9eZQFRCWVEHhLH0m6pPNRY2x/td9NlLNZT+2vfVI95QW1RhlbZrLiA1oHrTm&#10;eW88Khvf81pb1d+7p2Rz7tjjCHAT9DZ1S6VFNXF7jotRLZKtxTVLazKHLL/Jqaj639NhtciuFZWd&#10;Od1idHEfZYkNVKy1yyyfyQiVfub2Z0lfth4fY9SZrtJVDt0asrpM1vQ5Ywv9ZnlNKqq5Miq9MTj1&#10;OiKO3a8tym+JbL/a8GZ5JCP3IpHlNRlhrr1W6deKym6tK9UYjd43l87NLcYJAACuA63r2Xog6X16&#10;35AvpQOzeEjYO/gc8SNVZnVQ2Grj0rXu1Guk/ISsLon63aJqp6R3gCp6h7fZoe9ex9REh8It32sL&#10;lo6X2ML3E0vKqQKXVZBIVHmzQGTrYL5Xj1HtrbPD8iydpAoG7ZE1tpXlMRm5F1TBlFawWfM4S2/S&#10;s2m1qboPSEbuJyNUupW09FPNNS/SX4tqvxbvsb12jt4nqvGsbClL72XEljwje9XeetCbx9W60AoC&#10;zqG37vTWnN6YtgKAe15rR+ygF+yP+Y89jgBXT29RluiGqptLdtPK0pu0qCbu6KZpiVObpTWpbsiR&#10;LL/Jqaj639NhdaMddRiWMLK4z2GJDVSstcssn8kIlX7m9qfahLX6svX4GJpblVNhC3tll9Hx3Yqs&#10;LpM1fc7YQr9ZXpMWPf2PSGtTZ5xjHTlFv5bMoy1Yey8SWV6TEeba67nWlS3WgaVzc4txAgCAy0e+&#10;bLYWmMw5DM2ognDVoXKkKkc+VcbSte4ca2RWl0mLqp2S1sGrpzf+WRl7HVOJ8q212RGyuk0qtvD9&#10;xJJyenueSm9VwCXm0z4nSyfRmI9QjXPWvyydySnsYUuyPphUZOlNRgIMlU217ntVMFuS7Z0jvTJk&#10;C1tR7ZtaHz6u8kRp9TdLK8nul1voVPTKac2LLK2XEVvyVPqzsa3uLyP3jOp+oQ9mjOqsRVX+6JpT&#10;6aF1z97zWjtiB70gbyzj2OMIcPVUh8AjN6ssn0mLauK2nIfIEqc2S2uiNo2S5Tc5FUscMGOJ7rZg&#10;ZHGfw9b9WGuXWT6TERSwyfJKWp9OarGkrK3Hx1M5FbqmxTq7Jhm9Jywhq89kbZ8jW+g3y2vSoqq3&#10;J3KkRg6HzrGOnKJfa+8JS9mi3iyvyQhz7fVc68oW9c7tq3Eu+wAAgH1RHaSOPvVVUR1+tg6lM6p1&#10;S5J9KHHpWneONTKry6TFVu2Uv5uVIcn8kb2OqWTER96CrG6Tiq18zqXlLBm7aq+b3SOqMRrtY1Vn&#10;9kHRql8S1XspB+xZ+00qsvQmI1QBjdb9pLLDOfcgpc3KkMietqLa97fOmbK0LcnuP3Pnw5bnalkZ&#10;Jq0gV5bWpPch7Yze2Fb91bwembfV/UKiNW5ucNdTjeGonVf9bN0X97rWql2jZPlNYr+PPY4AV08V&#10;vGjdaDxZPpMWW9wgK2ei1W45oFl6yegNsnfTORVV/3s6rPLKHo7F1o7bEhuoWGuXWT6TEar+zD1g&#10;qZyBlm62Hh9PpVtbqLNrkmMu4ll9Jmv7HNlCv1lek4zWRk2bA9Wp+R7vi2qnHNA5BySnXkdO1a/K&#10;bufOyTlU9Y7ci0SW12SEufZa3b+Oua5U9Y7Ynlg6N7cYJwAAuHyqtWjugWxGVq7J3Ce8sjJMsjVv&#10;6Vq35Rqpw0ftB+THKW8vmJNJi63aqbRZGZLMD8rSmZxzTOcc3LY45niJLXw/sbScKkjU0l+115We&#10;IlXbtpDMtkfr1D1tzn5qS45tW1l6kxGW3E+qe8cce67Kye4DS9H9KatDonOdSEsnrbHL7peVbWb3&#10;y0oXcwJjYsn4ZGlNlnzQoGqD5kL2vkQ6nlNfVY+JxlhjNHedWjI3IpUdLBmLvfpPkWpcsvlyzHEE&#10;uHqqCTSymGb5TFqc6wZZ9XW0XjmFWX6TU1H1v9eXSv/HPPhfa2uRJTZQsdYus3wmI1T1S0YXMG0e&#10;svwmLV1vPT6RGLTyokU6e1+yxJEcJavPZIs+e7bQb5bXJKN1v9pb37J8Jhmn6pfI6jHJPjG4BepH&#10;Vp9k5F4ksrwmI8wd06rNx1xXtlgHltrvFuMEAACXT7U/XLIn8cj/z8o1mUtWhsnc9b1a67ZYI1VG&#10;tUbPkRZbreXVQXUs51LHtMcpxktsdQawtJzeXjvbH1T3iGyPX7VtC8nGWXvuak8eRf793IDTUk5l&#10;W1l6kxGWzK2qX3OC0VU52X1gDdW5TqyrdW9sfeg52ze2AqpZUFZUdjxXF5VeW/eJLK3JEpba/tz5&#10;WdlvJmrXqI0umRuRuffsa1lrq/HPyjnmOAJcPdWEyyZ6JMtn0uIcN0hR5ZH0glDV5sfkVFR9GdFh&#10;ls9kZNyXsNbWIktsoGKtXWb5TEYCfUqT5TXR5mqEahPWciTF1uMT6c2/TEb7vJSsTpOt58EW+s3y&#10;mmS0NjBbO0Fr+5blM8k4Vb9E1bcl95kR1t6LRJbXZIQlY5qlNdl6PhlbrANL7bcap9aTBAAAcH0c&#10;01eo1hrJXOaueVX9lU+yNJ/QnqjazyyRFmva6an8kVjOpY5pi1OOl9jC9xNryqmeYMy+BSlLJ8kC&#10;QqIa0y2kNc7VE68tUR+OdcB+atvK0puMsGRuzZ2/LbYqZ4TqXDTOnWyuqK3V2Zf/oEGVLnuKTmRp&#10;TebqYsl9IktrsoRqbCvR2d/cD3VLp1lZlah9vbP0LdaduWNR1SmZy9w5tkWfRdXvVjnHGkeAq6ea&#10;6D1npzfxWpzjBil6N8nq6wiq+ryciiU3Sk/lbI6OwVwqW8sWlR5LbKBirV1m+UyyzVJGbxPQK6e3&#10;sWk5kmLr8Yn0PnWbyajelpLVabJFnz1b6DfLa5LR+hSl7nVbbmarvh1jHTlVv0T1lVpqR2vNWMPa&#10;e5HI8pqMsMRez7GubLEOLJ2b1ThJ5m5KAQDgMqnWkSV7Ek9vrZnL3DWvqr9a25fmk19VBaCWSoul&#10;7YxU/kgs51LHNOPU4yW28P3EmnKq/YH8YY/2Jlk6iYJNGdWYbiGteoX23629ViVb79vPYVtZepMR&#10;lsytufO3xVbljFDZtO+nxjBLY/Or1Wb/BGRVV2vfn6U1mauLJfeJLK3JEqqxrdon8eMxysjDQVF0&#10;z6gCbFusO3PHoqpTMpdqHDK72qLPoup3Vc4xxhHg6qkmXHTwPCOfTGhxjhuk0XoCySQesut1dTOM&#10;ciqW3iiNNcG0iMbT7KHlqIhKj9mi0mOpDbRYa5fVZkLXfB+lJy1aMcDSGxeJ5mXU86idVof2W49P&#10;xtyNTtTP1mR1rhH1r8UW+s3ymmSM2IQXpfeiea251HOUqrl4jHXkVP0SveC+xnzUTlWW5r3uB9Xh&#10;xNp7kcjymoygerK8kpa9nmNd2WIdWNJXIfvJ8pjINuyeKxuRfkbbBAAAl0O1jqy971c+gWQuc9e8&#10;qv7KJ1mab8mh3oi0WNrOSOWPxHIudUwzTj1eYgvfT6wpp7c/8HuDar/T2otUY7pWVHZv76L+jezT&#10;olQ++1zOYVtZepMRlsytufO3xVbljJLVY2L2JXvIrlt7Wh828OcHlR207DhLazJXF0vuE1lakyX0&#10;xlb6yq6ZLJmXKreqNxOdcdjeN6LysjyS1tyIzB2Lqk7JXObOsS36LKp+98rZehwBrp7WwmWiG653&#10;3pR+NNDR4hw3SKPKt4WcijU3SqMXMNZ1HerGG6TsQXYghyWWUem+ujlni0qPpTbQYq1d9pyTTDKH&#10;ZW4gcVQ0XhVbj0/GSBDYpAqubUVW71pZstkd1W+W1yRjjr57Un2V0qnXkVP1y+gdEsiR1D0njr3u&#10;nRpbXYv9re4pa+9FIstrMsJSez31urLFOrBmbmrss3yV9A6mAADgsqjWkdG1qEXlE0jmUq1b2Zq3&#10;1CdZkk++QZbei3wy+QvZWpqlN2mxtH+R6iA/lnOpYxo5x3iJLXw/sbacai8jX9dojY/83RbVucLa&#10;e8ocNMYaw1F/V+m28HPPZVtZepMRlswtvZ+ll/T2qJ6qnOw+sJbKRq3drfuiof1fdl12ZLTmWXWv&#10;ytKbzNXFkrmYpTVZQm9sNQeqObpmXqr8SgdRWuOyZG5E5t6zqzolc6l0nNnVFn0W1fiPlrPVOALc&#10;BL1DzaXS4hw3SKO3gIxI5RCfiqr/ozpsOSVrpNJ9dXPPFpUeS22gxVq7rL52pyVZO48xLrLZnmO0&#10;9fhkqA1Z+Zn4zeWxyOpdKy1dbaHfLK9Ji6reJaINacap15FT9UvIbrfuX3VPWXsvEllekxGW2uup&#10;15Ut1oGlfRVzNhsmo/MdAAAuA/kQ2f1eonViDT3fWevuKEvKWuqTLMnX+4mDXl+zfCYtlvYvUvkS&#10;0R+51DGNnGO8xBa+n1hbTtV/21dIB9l1SfUB5q36uBWyM+3NR/ZDW+zhz2VbWXqTEZbMrTn3joqq&#10;HLVra6oxMtvOzk2jHlpns2pzdX9T/S2q89oqX8aSsrK0JksYGdtqPCRrfRF9cEH2OHKWrrSRLdad&#10;uffFa1lrKxucux6sHUeAm0Cf9MkmxYjIAWzdtFuc4wbpqerviRzDytk9FVX/59xw5cRmZSyVSvct&#10;O5HY4j6HNTaQsdYutXCOLDZeWu3cclxGAqRi6/FpUR0keRlp81qyetdKS1db6DfLa1JR1b1EMrs9&#10;9ToiTtEvQ/f9ufO7ErW9xdp7kcjymoxQ6bZnr6dcV3QtyyOp8nnW9LUaq5aMzncAALgMqrVIe8e1&#10;ZOWazAlI9Hy1jKU+yZJ81R5hZE3P8pm0WNq/SJbfJDtIz9KZ7HVMI+cYL7GF7yfWllM97ag9g6ie&#10;MK4O6Ku2Se/nRPZc7Ym2aN+5bCtLbzLC1ve9OYGtKpCidm1NZf92/pRdi+PX6r/SVXvKKoAjXWd5&#10;JHPssxcYa+k1S2uyhKo/vg1VOok94bsG6aS6r0myNWyLdae6L7buC1lak0tYa3s2ODfobywdR4Cb&#10;oVqAWmI3otbNuMW5bpCeJf31wabsuuRUVP0f1aGhG/4Wh/8qY6mz0nIwKtbaQGQLu5xrV5WjssW4&#10;yLE2m+2x9fi06DkYkrWfdBtlC7uP0trwbqHfLK9JiyX3uhHJ5vop15FT9svQ2FYb0DlSzf0t7kVZ&#10;XpMR1trrqdaVLdaBtX2tDjcyGb0nAwDAZdDzbatgyAjVOjXHZ67Wq5Z/sdQnWZJv7Xqc5TNpUbVT&#10;MlJvb/yzMi5xTCPnGC+x1RnAFuVU+wLZRet678MT1Rht8cGLtVRPrc2xoRbnsq0svckIS+ZWZYfa&#10;B43sG3pPEY7obAmV/bfaFNvS2tNLX637W28O9HQ6Su+8oUWW1mQJo/NBe+YsjcmoPY2gdSqrQ5Ld&#10;P5fMjciSe3alu3OutZLqPMjo2eDauT13HAFuitFDTS1KfjJmN6vq60N0Y9ZkjHVpkdVNYITWYbXe&#10;G92Iqg/qSywjitoZbxDxZpKlOSbqY3bDn6NDj8Zk7kGvifqu8a4OsoXaFcdMeaXLJYt1Swd6b8lh&#10;xBZ2KZQ2lpGJ0vR0tnRcZNcji65n6/GpiPMnyhIbXsLoWI2K9NdiC/1qnsX26v/W/VZ1+rResk+d&#10;6Z4oUb7KoZS07nenWEfO0S+P0iy1G81n3++MLe5F0l1c3/R/S6cR1ZOtj3Psden9S2J23btHbrEO&#10;bNFXtTXmz6S6RwAAwGXSO5jUWjiC+VDRT+itMSPrndJkeU0y/0moLVl6idbaFkvyVT5az3cSWT6T&#10;FlU7JRqPnn6rdit/xiWOaeQc4yWyPYPJqJ8rqnJG9gOiFQiSVPvdkXZm+UxG9HtssnZJ5thQi3PZ&#10;VpbeZIQlc6vKI2nNY0PrRpbPy7HspbqPZXur7H6ovVZMZ5KVIenNn55OejoValerfonmd4ssvckS&#10;5syH6r4mmXOPrKjsNrt/LpkbkSX37MpGJedaayUj/kVlg5K1zB1HgJtDi4EODHXT9xNSE1jvjR7Q&#10;XhJZfyW6WeuGN3pIeg3Y+Gszr/5r3L1OTC/Sl3QzsqjcItKj9JPpUO9pse4d/nviuPjyJLJdva+F&#10;7BLGpOe43tKcOxayr2z+SkadY83zLL9E9tbC7PUY68g5+xWRHatO5ckcWAXEbF7GDcwtcSvrimzT&#10;7MH3Tf3Ve7fmTwAA3BLxg3BRer6PP/yLB1O9AzrVXa0vutZrX2tfsvRgc0m+uH56kc9V0ftQVove&#10;IaZE63jLN9HanuUxkW+TcYljGjnHeAk/V6LIHx+lKifOwRbScZa/JyO+7lb7lWNQ9btl83M4l21l&#10;6U1GWDq3svQm1f1Humjti72oXcdg5P7ppWUbvXtZlJH+VHqpdGr07Kha07P0Jkuo5kOmi+xcwssW&#10;9qD+Z2VLtC5GKlsZvZ8tuWfvda01qWyxZ4Nb3GvnjiMAAABsTLXgb7HYw4NgTaZfSeUIerZwZrfm&#10;WvsFAAAAl0svWCaR/+sPw3SwpgOqeKCZHfb1Dj110KY2+MM6vVZZvUN0tavFUp9pSb7qALTaH/QO&#10;EiUtRg4xJdKh2mf61d/KJzWpAjqXNqaRc4yX6M01lW97AulL6bOARtV+XRtlboBnNJBbHV5LqjGO&#10;aMxN7y2blE1p/JW2R2X70vdazmVbWXqTEZbOrV67NTayB7NrrSMjfTUZGdOl9O5FXlq2MXIvNVF9&#10;I4zoR/X6NVn6zdbkKL05nOUxWYJsJytLko1tZYcStT+em1gwUXrza06L6r6XBf2Wzg3P0nv2Htda&#10;L6pDdfl1S/e5LK2X7F5+7HEEAACADdHiny3CJltsrKDtDM45/NjCmd2aa+0XAAAAXC7yb+ccFleS&#10;HfbpMCxLu1bU5uogbanPtCRfr486NPSHdko/GqBqMXqIuUR6B+mXNqaRc4yXsEPgOaJ6I0sP3CPa&#10;u2ZltESBmVF6h/u6rqBOHG/pSPpWXbGMrG9Rp8qjvLIVH0xRul7waeRgvse5bCtLbzLCMe6XW4jK&#10;PxYjwUgTP2aeOf2vguQe2eFWa3IU2VtFlsdkCbKdrCxJa2x7ged4H4r3Mc0nvRfLV9+r9rTWvWqM&#10;R9edpffs3v1kqaxZa9dKS8/HHkcAAADYkN6nYrfYWEGuW0l2SNCicq6rT80dk6wtkkvvFwAAAFw2&#10;Wx3EtQ77Rp4smCvyyyuWHmwuzRcDOltJi1Y7tzhcj4eSGZc0phmnHi9jyfhElh64R7R3zcpoSStQ&#10;lBGDl1tI1rfKJubIaABrhHPYVpbeZIQ1c6sKWIyI5kRLZyP3oqX0znZM1L6K0Tndu7955n6AYURG&#10;zgqyfCZLqGyjNbYjH9zy96LqfjhHpPOMLdadNffsva21a6U17sceRwAAANiQykGZE+iCmky/JiOb&#10;CznNlWM9Z4OyJVlbTC65XwAAAHD5zHmqpiUtX0SHnvKVszxLZMTnWXqwuTTfmkCzdN86TG7RaqfK&#10;kX6yayMSn9JpcUljmnHq8TKWHARH1hy4R0bHcMnTOWvsMJOsb1sEY7W/8k+druUctpWlNxlhzdwa&#10;CWq1RPlkJ60+q13HQu3O6ozSC6CPBrHm2tgWa7KJyhohy2uyhNa4Sqqx7c0hf/a2RUC5svEt1p01&#10;9+y9rbVaC5bO98q/OPY4AgAAwEb0Pmk7d0MKbXpOoJx8Oc5+o6HXcuZ6m4klG/ytuNZ+AQAAwHVQ&#10;fWNFT3qHsPJp1j4RoYM5+UojLD3YXHMguiQoZHsIlZ1db9Fqp7VxSVt6Yxi5lDFtccrxMqSzOQfe&#10;PhhgrDlwj4weTI8GzyMa26UH6l5URutbm9aUrz2UfyptK05tW1l6kxHWzq3eh3kzUXrTfavPatcx&#10;GZmLvSfTRuZQNo9HqOb6qMy5J2T5TZbQGldJb2yrvBLLv/aDEqrHn79Etlh31t6z97bWLpnvPf/i&#10;2OMIAAAAG9Fzfs3Bh/VssRloyahjeAyutV8AAABwPehwTIGDzN/IRGnn+CFKO6d8Ex2wzTkAs0PF&#10;eJCnw+rqSYql+Qz1b+TwUDrwh8SZn1gFptTOeIisev2B/uhYxnxz2fuYVpxqvDzZ2LUkK1P7ziy/&#10;9ODbOILaonFojZ90I53PGaeI1ZGV3xPVLx30fj9Pfc/yt0TlagzX9KvHKW1L1+MY6v85NpkFYVTG&#10;6NzSGI3adZz76nPUldpzbFpzSTJq+2bfrTmk8tecFVVtrGRJvWvtKCLbiXNzjl6VLptDet/fE7R+&#10;tfTfklHbbrVjzrqjccjuUXpvzhidaq3V/SgrRyK7EipvxC6lt1H/4pjjCAAAABtRbby0MMN2yOGq&#10;9L1Uzu08XWu/AAAA4PrQYZwORrNDML2na2sPfnUwrrKyQzG9r4M9+TlzDvf2gNqrdutg1ffNDodP&#10;7btZW/whr15LxzqU3Eq/lzqm5xovHURLH3F/oDacw06OjelZfZYteHs00fvqu+xy7v1F6ZVP+bM9&#10;1zns71y2dU5adq3/tW5UAW9oI71V9q33bO7cqo5le601yNY82aD8m0vm2GvtSJDUUFrZnb+f+/vb&#10;0vpvYRwBAAAuDjkhfmGOogUatkWOfeb8LxE5UnvZgF5rvwAAAAAAAAAA4HKZEyQFAACAG0KfYsoc&#10;BBM5EXAcpPvs03EjoiCi8p/qk8JzuNZ+AQAAAAAAAADA5UGQFAAAAFL0JGl8+s++5oEn+U6D/0oR&#10;iR8LEwUddU3pLuWrN661XwAAAAAAAAAAcDkQJAUAAAAAAAAAAAAAAACAm4IgKQAAAAAAAAAAAAAA&#10;AADcFARJAQAAAAAAAAAAAAAAAOCmIEgKAAAAAAAAAAAAAAAAADcFQVIAAAAAAAAAAAAAAAAAuCkI&#10;kgIAAAAAAAAAAAAAAADATUGQFAAAAAAAAAAAAAAAAABuij8wyU9P8i8n8QHSX5rkayc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ae/fuvWZLORQLAAAAAAAAcFVke+A1cigWAAAA&#10;AAB6ZA61k9cVguN9JWgsJ/mSSR6b5IlJnpfcvXv3hYN82MnHJvnEJJ8+yMsH+fwkr0imvEfF6jnU&#10;aWLtsHapjSZqs8mHpyJelEyv7/dveq3+qt8S6UAifWDrAAAAAADwKtobFOL3y1HYU1wJGstJtF+U&#10;PLJ/nl5rr3l1+2fJ9L/tn20Pzf4ZAAAAAM6HnM+DM3rfMZfDKif2IOaIm/N7VAf8UL53uFuOtney&#10;o2N936k+dA9WMumyZR8aB7ONo2/Krgnp6yBxY9m08+n10EZSchg6AAAAAADYkIO/Lb/7/v7o4KNb&#10;MMv2R7ZHkq9/7L1ztX+u9hS2n7C9BHuIjZAuD3qVju/biMbgMBbsnxcinU2yxNbZPwMAAFwLWuzd&#10;wn9/8fcyLewWMHrVIfAyvWfOgTkI3kkwR8EEh+EKOIyfxvG+g36wBbMjOZU34Zyrj5PIkX7IiZ4u&#10;3fRGUf079DPah/Qj25DO2LxdOBrDw1j6DWXcVN6fE0EeWmMGJZZh4usxUf1zJCsjSlb3I+2c1DJn&#10;vfRrZrZ2erE11Iutp5XcX2tXSlaul6xtEt/+2E/Jq3oIOjLdRf1G/ccxysbWbNLE26vEDgCjLW8h&#10;se7Yttj+2D/JQzow3Rz007Irr2M/BhI/PtlYPjT2h1v6VeL6qX57vXh7fcQ2p7/eHs3uPnwoFgBu&#10;gMO9oHm/1nUv03uv3kck03vZPbt1v37o/nxoAlwghzHUmPr1RTajdUR+wk3sjaZ+mp9kvtD9OTRd&#10;sjljc8PPhftz4KDKq0T9O/Tzvo1MOjH7kI7Ml2T/fOFoDA8S9wtxfxDXGMmr68wMycqxOrxY/XMk&#10;KydKVv9DbZzU8tCaKZner9ZNia2drTXU7h2Z2Lpaie0T1khWrpesbRLfh9hPyX0dJDoy3T2k30mi&#10;/uMYZWNrdmli9mqypz20JPbxIR2YbpyOenblx0Dixycby4fG/nBbv0pcP63v3m5TG51eR7vUGN0f&#10;z+kaDyHBvpgM8+XJMM/O1I54g/U3xHjze+hmN732N7h4Y/M3MjaXHaSjg87u39yk24O+NQ4aE5zz&#10;DZn06W39VRufLrVs2+z6qLat8oLYAqh6o214+1B/sBEAgCtF9/hEvP9mojUhivl1XszH60mWV5LV&#10;I4ntud/WQzc2YyrzY4elEwBugGnO61Dn7Ng9bRK7x9m9T/dFf+98df88ZWsdELJ3Xoh0dNDV/f3z&#10;Qbf+EFBjwt5oI6TLSczezdb3vn9WG9g/AwDcMLrPJ2I+XBTz6Uy0XkTxvl4lWV5JrMMktuV+Ww/d&#10;2BqCpLAvJmPXhukmOUx2m/i6GehGYTeSRzaUkun/ntP9kOPt5aDyoxDqModcbfIOuXfKbeNmN8f7&#10;N78pLVwBGsvDmJpt22sTW5SPueABAABcNdMaypOkADeE5vxh+t8ch32D7SXi3jndP0+vex9m9nvn&#10;h/bPB5UfBV/PJLZ3llgb7++fp7/qg+2d1Ud/sHh/TzWlgStAY3kYU7Nve23C/hkAAGA7+DAe7IvJ&#10;KLWBgTMQHO3ohEfxaXHKAQAAAM7M5JMRJAW4IaZpr2AfnIGwH872y1582vtyKAYAAAAAzszBtQbY&#10;D5Nd6pOSAAAAAAAwg7t3775wcKkB4AaYpj17ZwAAAACAhUx76M8fXGuA/TDZJhs9AAAAAID5PH9w&#10;qQHgBpjmvL6aFQAAAAAAFnD37t2XD641wH6YbJONHgAAAADAfJ44uNQAcANMc16/YQkAAAAAAAsg&#10;SAq7ZLJNNnoAAAAAAPMhSApwY/D7lgAAAAAAy5h86U8f3GqAfcFGDwAAAABgNo8d3GkAuBH06ffD&#10;/AcAAAAAgBlMvvQnDm41wL5gowcAAAAAMJsvObjTAHAj6NPvh/kPAAAAAAAzmHzpjx3caoB9QZAU&#10;AAAAAGA2rzu40wBwI+jT74f5DwAAAAAAM5h86Q8f3GqAfcGnYQEAAAAAZvOagzsNADeCPv1+mP8A&#10;AAAAADADgqSwW/g0LAAAAADAPA6uNADcEDrYOdwCAAAAAABgHi8e3GqAfcGnYQEAAAAA5nFwpQHg&#10;hpim/osP7gAAAAAAADCHu3fvvnBwqwH2BZ+GBQAAAAAYZ/KfP39wpQHghpimP0FSAAAAAIBlPH9w&#10;qwH2xWScbPQAAAAAAAYhSApwm+jT74fbAAAAAAAAzOOJg1sNsC8m4yRICgAAAAAwyN27d18+uNIA&#10;cENM0//5B3cBAAAAAACYCUFS2CeTcRIkBQAAAAAY5O7du58+uNIAcENM058gKQAAAADAMh47uNUA&#10;+2IyToKkAAAAAACD3L179xMHVxoAbohp+hMkBQAAAABYxusObjXAvuB3VQAAAAAAxpn8548dXGkA&#10;uCGm6f/Eg7sAAAAAAADMhCAp7BOCpAAAAAAA4xAkBbhNpulPkBQAAAAAYBmvObjVAPtiMk6+MggA&#10;AAAAYBCCpAC3yTT9CZICAAAAACyDICnsk8k4CZICAAAAAAxy9+7dDx9caQC4IabpT5AUAAAAAGAZ&#10;BElhn0zGSZAUAAAAAGAQgqQAt8k0/QmSAgAAAAAsgyAp7BN+kxQAAAAAYByCpAC3yTT9CZICAAAA&#10;ACzg4FID7A+CpAAAAAAA4xAkBbhNpulPkBQAAAAAYAEHlxpgfxAkBQAAAAAYhyApwG0yTX+CpAAA&#10;AAAACzi41AD7gyApAAAAAMAsXjy40gBwQ0xznyApAAAAAMACDi41wP4gSAoAAAAAMAuCpAA3yDT3&#10;CZICAAAAAMzk7t27rxxcaoD9QZB037z73e/Wpyzuyxd90Rcd3r1dfvM3f/Pe+973vvu6ML28/vWv&#10;v/eZz3zmkOK2+PjHP37vta997av28bnPfe5wZRmf/exnX9Wtyv3kJz95uAIAAAAOgqQAN8g09wmS&#10;AgAAAADMhCAp7JpLCZIqWGPBIBMFyyoUPLO0CiZdIm94wxse6vMtowCpH1MvH/rQhw6pbotoH2v1&#10;oPy+PJUPAAAAj0CQFOAGmeb+8w9uAQAAAAAAMApBUtg1lxIk9U9UennppZcOKR7Fp7vUIBpB0i+g&#10;sfa68HJtQVJ9KMD6pg8HtJ6UJUg6Dz1p6z9sUd0/AAAAWsh/ntYRALgxpulPkPQC4NuYHkX7Hv+B&#10;Y+nlVvdCfBsTAADA6SFICrtmstEXH5jqvonBIJNq0+PTESS9fJ599tmHdGGbOm1q1m5s9kYMVrbs&#10;VzrYcoOnYOw1b/DUP6/XawsCAwDAaSBICnCbTNP/ooKk2huYb28i/1ff0NNC39ZkaRVsvETYQz9M&#10;6wPnt7oXivbBB40BAACOz7SH/vy0TgLsk8lGLzpIKml9la5PQ5D08rklXYwGSWEeBEkBAGALCJIC&#10;3Caa+4fbwEWgffLU7EdEHz5t4fdcl+ors4f+AnrK0evCy7Xthfg2puOgD1vYB7MlfBsTAAAsgSAp&#10;7JrJRi8uSKqvifFOWutpUrsuIUh6+dySLgiSHgeCpAAAsBHPT+sIANwYlxYkjXsKL61voPF7rkv1&#10;ldlDfwEFtLwuLECup4kVQL0mRvfQfBvTPNhDAwDAFhAkhV0zGeiHD7a6a+JGJzrA2acE/fXoIPuv&#10;EWo5xj6NnN2Yxn9tjTnC+rRu/K0P1e2/0iim0euWI51t8NRX/9WzqkNtqb42SVi+GGBW3tbGIPZR&#10;dfj3WhuPFqpHeo39kg70ftYO395MdH0ErzPT91xdqn3aVKn9sV16L461R2UrndmSNqWmB72nNsVN&#10;7ByxcjPUT/XL2iCxvvq5ozb5fsWntPemQ6VT+jifYrurT1B7ifWqnDhnem001D5rr/62xgYAAC4P&#10;BUqm+zsA3BjXFCSVv55h+xOJXl8ivg+SWybagN/7XRuxr/of1iOb8Xq91PsCAACcF4KksGsuNUiq&#10;gIP/P3PU/PXoIMfyss1CL42/rgCfDxRFUeBGQRUfzImSOfGxDT5wG6UViFG9VdtMYmBJxD7G9uv6&#10;KCo/BsUyUQDNk6WJMoLvi3Rd6dKCcJ64OWhJaxx8Gv/pVRO1SeLfmyuZHVf9NDFiH6t5swcdVvNJ&#10;bTNG6/X608FRlsakdbBkxLGMugQAgMuFICnAbXLpQdK4t8z8bZ9mzl5vT8R+3jLRBrL94rXA/us4&#10;xL30pd4XAADgvBAkhV0zGejHDra6a7KNTgxiRIffX4sOciwv2yz00sTrPRkJEMaN6tw6lD7SC/Z4&#10;mdtHBalGUIA0y98S/2RtT2+6PoLvy8hYRF3GTVclCkpHsnReFNRb8ySpJI7faHmG8vv3q3mzRx1G&#10;sa+Qmvsk6Yi9xr5FYl+jLgEA4HIhSApwm0zT/yJ+qsbI/NH4f8T7+9Hf1R7Nrmkv4Pdshk8jiWn8&#10;3tSuyff2H37UBybVNv/NLTGNXmf1C98HidA+x39wWHWoLb1vh7F8fu9jebMgs4h9VB3+vbn7AtWj&#10;vWLsl3Sg97N2jHxI2vZKFb4c0/dcXap92peq/XEPqffiWHtUttIpn8pRm00PZoNr9tBWbob6qX5Z&#10;GyTWV10z1CbfL9mqx7fPPsirOlWO5dNf6bQ1JtKPylUa3x6J7EBltfoRdaiypPM4n2K75+6hDWun&#10;10lvnA21z9qrv60+AQDA5THtoV+Z7u8A++SSg6RymPx7SuPx1+JGJJbnnVyjlyZel9jmQOKdTi9y&#10;koV3AOM1o6pDZBsC71irzf5adJ7lwHrnVc6sJ6vfi673UFt9HRK/mdNfv8mSKH0ktmUuWV9Ur7Vj&#10;RJdql3Rom11Deox5I/F6FG+jet265onpvI1melcfrd3qm/ridR3tpTdvJOfWoc0ZtSHOOduEGrF/&#10;Lfv1/VR7vV7Vbl1XHypGxxAAAC4PgqQAt8k0/S86SCqf1u8/5ed6f1x4Pzj6yiP+bS+NL1++etwH&#10;epFvr/a19tWSrA2+Donq8f97aQViVG/VNpMYWBKxj7H9Ua8Vcb/eEtsTGVEHmfg9TgtfjnRd6VLt&#10;jLqM+6+WtMbBp1Efoy7UpmhzcyXTQ9VPEyP2Mdqkb5/02RtTC0YbssURG1CamFf4NNJhNZ/Ub2N0&#10;7Lz+tEfO0piwhwYAuF0IksKumQz0Ewdb3TXRyTeiE+YdNP9+dK5ieZlj3EsTr0eHL/vkXdxExcBQ&#10;LKNXh4hpfF/9xk4bj4y4AfDEsiU+KOUDYC1iH9WmjBgwjg5+bMtc1uqyR8wbdeOvSbSJMZtSWr8p&#10;HN0cxHTeRjVO/lrW34jy+zyx3r3pMNqI/vfXVZ4n9i9eN3w7tIlcgsbTbFp/R+YKAABcBgRJAW6T&#10;ae5fxE/VGNleIe7NKn8/+sqxvMzP76Xx5Y/ISHAoBtfm1hH7KbTPydJm4vdgolf/6P4ijlVP/N5o&#10;JMA7sj/xfRkZi6jLaA+VZOcEWTovOsuI+965EsdvtDyjt4f2OhgNdvoPL8TyK1HeSJauErML/c2u&#10;R7G2jthrNtc8vfsHAABcLgRJYddcepBUGyL/vnes/fvRuYrlRcdY9NK02uTx17M00eGNTmOswzvL&#10;RnRGfRkjTngUT08HI8QNWquMnkM8ou+Ktbrs0dOVvxY3PpHRzUFM5+sc1btHaXye3hicU4etcqs0&#10;sX+tMqLulC77VC4AANwsL07rAwDcGNPe+SK+hclo7RX8h1PjvsT749FXHtmj9NL48k0UkFQbJK2n&#10;3PwHdeOHa+2aUdUhsiCYDxjGPYPy+kCs9jt+nx2De1n9XqJeM9TWuJdXQNDaob9xz6L0kZYNjJL1&#10;RfVaO0Z0qXZJh9pPeVvLgmqReD2Kt6+e7RmVTjK9q4/WbvVNffG6jvYS6431SWTnVq/pyF/3Nm1t&#10;kt6lM2+Lyhvng++P8NdMrHyVFeecf5pUxP617Nfbitrr26Gx13XprmJ0DAEA4PIgSAq75tKDpCI+&#10;CWlOo38vOlexvOhIil6aqk2Gv56l6TmcI3VUZfj3R8U73SP19xgtI/ajN2ZzWatLQw6+nPvWBt4k&#10;2ou/lpXrGd0cxHS+ziX62mIMzq3DKs1I20RMZ6LNnnTiN/cAAHCTECQFuEGuJUgag1Pe5/f+fvSV&#10;Y3lxryB6aXz5khg0yZ5eU3s9sf2xjF4dIqbx7fTBRwWgMi7l25jieMT9VY+1uuwR80bd+GsSH3xT&#10;Wn920bM9o9JJDPpm/Y3EvWOsN9anPXDcT8Y00ssoMa8PsAp/TRJtRP/767Hu2L9W2/xYqo9L0Hia&#10;TevvyFwBAIDLgCAp7JrJQD99sNVdE51nT/y0nzmyPn10VGN52Wahl6Zqk+GvZ2l6DudIHVUZ/v0R&#10;ic7sSP09RsuI/eiN2VzW6lJ2FsuoJNqLv+bLzYgbnagLI6bzdS7R1xZjcG4dVmmqtkV0MOHvK170&#10;Phs2AICbhiApwA1yLUFS4YNr8m0N76tHX3lkj9JL48uXZPjrWZqeTx/ryD7gGIOQvozWHqAST6w/&#10;7mlGiE+Jtsro6Tten9uWtbrs0dOVv6Zxyeo3erowKp2M6t2jND5PbwxikFIoOOjTSEbp9dtfa41N&#10;lSb2r1VG1J3SZX0FAIDbZVofAPbJNQRJhXcMzXn26aOjGMvLnN9eml6bhL+epek5nCN1VGW03h9l&#10;pP4eo2XEfvTGbC4j+StdRqe/J9Fe/DVfbkZvo2PEdL7OJfraYgzOrcMqTdW2DN1H9Enc+AltSW+T&#10;DgAAVw1BUoAbZNo7X8S3MBnVXiE+PaZAl/D+fvSVR/YovTS+fEmGv56l6fn0I3VUZfj3R2Wv38YU&#10;x8PbwAhrdWnI3vRh9lv8NqbRMfBpJBF9SFdPMMc2Ron1+2stHVZpRsZXxHQm2jerTeydAQBgWhcA&#10;9sm00Xv5YKe7puesyuHyn/iMX5MSHcVYXuao9tL02iT89SxNz+EcqaP6Shj/vvQzl5H6e/T0aMTN&#10;Q/yamLVtWaPLGHSXLrXR845+r5/+mtJWRF1E+zViOl/nqN490R578ybj3Dqs0sT+tcrIUN64qbfD&#10;JAAAuC0m//nD0zoAADfGNQVJhfe99aHA+F70lUf2KL00vnxJhr+epen59CN1VGX490dkz9/GFMcj&#10;2kCPtbrUXi+WUUlsn7/my83o2Z5R6WRU756txsCnkXji1ztXEuv311o6rNJU4xvh25gAAKBiWg8A&#10;9sm00fv8wU53zYiz6p3P+ORXdBSjkxmDHXLe/HVJdGZH2uSvZ2l6DmeswwdAjZjGBxdjUKflkLcY&#10;6WOPuCnI+iDimPlP44q1bVmjyzhO0Z5EzBt17a8pbUXUWVafiOl8ndHGs/5q0yobMV33+nkJOqzS&#10;xDa0ymgRP3HfGhfB76kAAFwvBEkBbpNp7l/EtzAZ1V5BRN9Y/3t/PPrKsbzMF+6l8eVLMvz1LE3P&#10;px+poyqj9f4oI/X3GC0j9iPqO46H0s9hrS75NqbxMfBpJEb8EHJPYv3+WkuHVZpqfDN0xqA2x/Md&#10;iQKl/kPSAABwW0xrAcA+uaYgqZyt1qfWoqMYHU0fxGh9+i06syNt8tezND2HM9YhUWBKfZXodbzu&#10;nc7YT/VL/fNp1AYF1KQDC2gZI33skf2+hsbD2iC9Z79fEVnbliW6tOBh7IMPLOpv9snOaC/+WtY/&#10;TwzGqT5rpw+2VRuuLNCv8TW9ezu3fNEe47y5BB1WadRGf139N336upRPNumfdFUbY/90vUUcm6hL&#10;AAC4XAiSAtwm1xYkFd6/l//r/4++9Ih/20vjy5dk+OtZmrhnie0cqSPuk+XnG/597RfmMlJ/j1hG&#10;NnYi6jvu5+P1Vjkt1ugy23sd45uEjJ7tGZVORvXuURqfJ9Y7MgZx766zGSN+8F36tn206PXbX2vp&#10;sEoT+9cbB4/yxvbHBxQAAOB2mNYBgH1yTUFSER1Ek+goxoBNJhZAMonO7Eib/PUsTc/hjHX0RIEm&#10;jzYg0SmtJOppVO89sgBYS3zgyrO2LWt1mX0SspJoL/5aHOdIZZ9+ox7tPdY5+sld22RFe+zZQ0/O&#10;ocNemqoNZncj/dQ4+A1+JI5N1CUAAFwuBEkBbpNp7l/ET9UYvb2CiP6/95WjLx0/yOkDi0K+cfS1&#10;e/uJDH89SxPbHNsZ64jtFDGNDy7G/XOmt4qRPvaIY5f1QUR9++CZGLGBijW6jOOU7Ydi3tg+f01p&#10;K2Jfs/pEpZN4bpH1185YRvfQsT7ljfvImEb7eMO/n+kg5o31+2stHVZpYv964xCJ943YPo90ajat&#10;v9m5EAAAXDSvme7xAPtj2ui9cjDSXSNHbGruq9JCzmYMbkoyR0yfYIvpTMwh8+9Fh32kTf56lqbn&#10;cPo65LDHOr3EvIb6MRoojZ/qG+njKNpg+LIyqRzhtW2J+av2KG3cuKhdmW2Z9DbT/lprrDytwPKc&#10;IKlt4HyaKH5uRHuM8+YSdNhLEzdpXsz2Yj+jqA8tOzXi2GT3IAAAuEwm//lj070dAG6MS/mAsdHb&#10;Kxgt3zf60vJ/Yxr7ZhWVne07evuJDH89SxP3LLGdWX+0b9HeRJLtYfy+JT4ZKd//Ur+NadQGWizR&#10;pQUPYx9kH/5att+N7fPXsv554j5P9Vk7/d6t0klm4xpf0/uSb2OK9Um8LqK9Sfy5jAUNJarb6lWb&#10;lDfur2P9/lpLh1Ua1eOv+72w153y8W1MAADQgSAp7JODge4e7zjKoayQw9ZyJCNy0Lzjr3xyxMyp&#10;M4dTf82JNbyzp3wZfqOYOaQq0zu12ih4/MbHnEk5zL5cvY7BzQylUXm+PonapXozHY30cQ6qQ2XG&#10;8VEb/OYjY21b/DhLhHQ6R5fm5Pv2K4/aLry9+I2Y8HlUxgiyRd8+lWF1CbXVrmV1Gkrn+6+0soU4&#10;5spvfZBEXVyCDkfSxHmvunxatVFzIvZX7fT3hwqVYW3R39bYAADA5UGQFOA2udYgqd736UzkC0e8&#10;r90Sv5+IQY5sPxHx17M0sb2xnbGOnsQ9uHx9v7/pyZI+jpAFEVuS7Z3EqA20WKvLEXvxEtvnr8Vx&#10;jmj/5dN7kX6Mnk5i8Lklqk9Ee4z2EOvriWzPo31qlq4lsX5/raXDXppqHM3uRmxF41DtpaOuYl8A&#10;AODiIUgK++RgoABXT3TaYT7oEAAAgCApwK0yzf2L+BYmIwYcqgBZFuDIgiXxQ5Ve9H78cGYMcozs&#10;J/z1LE0MSsV2+jqyDz56iXkN9XM0UDrywdKljATIqg9kzrGBjNiXqj1KGwNglb1Ioo5j+/y11lh5&#10;WoHlOUHSkSC5t+toj9HmY32VDrOx7LVHffNBzFi/T9vSYS+NPmTs03ix9kZbiaJ2tuzUiLqKfQEA&#10;gIuHICnsDxnmA/sEuH6i0w7zQYcAAAD3g6SfmNZBALgxDreAi0HBGwtQ6a89+ZahQEz09f032HgU&#10;6PDfUKS/CvxY+dm3IRk+QKTAToYPCGUBG9VjdUvi04tZ/Qpk+nL1uvr2G0NpfF9N1C7VmwUdR/o4&#10;B9WhMn0gTO1RG3rfxqT2+zy9IFUk2//t7ZuEIgqs+fapjHN+G1MM/Cm/zSF7T21UutZY6v2sX7JB&#10;XfNlxfpHdDiShm9jAgCADXjddI8H2BcyzAf2oLspLAAA8PVJREFUCXD9ZBs8mAc6BAAAIEgKcKsc&#10;bgEANwP7v/VkQVIAAIAb5UumtRBgX8gwH9jno9ydOLwEuArY4K0HHQIAANz3kz89rYMAcENMU59v&#10;YYKbg/3fegiSAgAAvApBUtgfMswH9vkod+/e/f3DS4CrgA3eetAhAAAAQVKAW2Sa+nwLE9wc7P/W&#10;Q5AUAADgVR6b1kKAfSHDfGCfj3L37t1/d3gJcBXo9zJk9hL9LgbMBx0CAADc95NfntZCALghpqlP&#10;kBRuDoKk6yFICgAA8CoESWF/yDAf2Oej3L17938+vAQAAAAAgAMESQFuj2nqV9/C9L8cXgJcFQRJ&#10;10OQFAAA4FWemNZCgH0hw3xgn49CkBQAAAAA4FEmP/nzB3caAG6EaepXQdJ/c3gJcFXwTULr+fjH&#10;P/6qDl/72tfe+9znPne4AgAAcHMQJIX9MRnm8w/s81Gmjd4rh5cAAAAAAHCAICnA7TFN/epbmH7n&#10;8BIAAAAAAHKeP7jWAPtBhvnAPh+FICkAAAAAwKPITz640wBwI0xTvwqS/tbhJQAAAAAA5BAkhf0x&#10;beZeOBjoI0zX/sXhJQAAAAAAHCBICnB7TFO/+qkagqQAAAAAAAWKRR1ca4D90AmS/trhJQAAAAAA&#10;OA7uNADcCNO0r76F6dcPLwEAAAAAIIEgKeySyTZffGCij0KQFAAAAAAg5+BOA8CNME17gqQAAAAA&#10;AMt58eBaA+wHGeYD+3yUaaP3Dw8vAQAAAADgYV5zcKkB4AbQJ98Pc/8Rpmv/+PASAAAAAAByCJLC&#10;/pg2cx8+GOgjECQFAAAAAGhCkBTghugESdk7AwAAAADUECSF/TFt5j52MNBHmK69fHgJAAAAAAAP&#10;Q5AU4IaY5nz1LUzsnQEAAAAACiaf+cMH1xpgP3SCpH/n8BIAAAAAAB7mdQeXGgBuAB3qHOb+I0zX&#10;fvHwEgAAAAAAEhSLOrjWAPthMsxPHGz0EQiSAgAAAAA0+ZKDSw0AN4AOdQ5z/xEIkgIAAAAA1BAk&#10;hV3SCZJ+5vASAAAAAAAehiApwA1RBUknfuHwFwAAAAAAEhSLOrjWAPthMsxPH2z0EaZrnzq8BAAA&#10;AACAh3ns4FIDwA2gQ53D3H+E6drPHl4CAAAAAEACQVLYJZNhvnyw0UcgSAoAAAAA0IQgKcAN0QmS&#10;/t8PLwEAAAAAIIEgKewSgqQAAAAAAIsgSApwQ0z74+pbmAiSAgAAAAAUyJ8+uNYA+2EyzM8fbPQR&#10;pmv/z8NLAAAAAAB4mCcOLjUA3ACdIOlPH14CAAAAAEDC5DO/fHCtAfZDJ0j6/zi8BAAAAACAh3n+&#10;4FIDwA2gQ53D3H8EgqQAAAAAADUESWGXTIb5ysFGH2G69t8eXgIAAAAAwMMQJAW4Iab9cfUBY/bO&#10;AAAAAAAF8qcPrjXAfjjYZ8pktH/z8BIAAAAAAByTr/zCwaUGgBuAICkAAAAAwHIIksIuOdhnyt6C&#10;pN/xV//+vTf/xP/7ZPLf/K3/36FmAKj4zd/8zXvvfve77732ta+9p9uK/r7vfe87XH3AZz7zmXvP&#10;Pvvs/euSL/qiL7r3uc997nD1MrD26y+gD3iUl1566dV7wByW5tsjn/3sZ+/3RaLXcN0QJAW4LTpB&#10;0r9yeAkAAAAAAAmTz/zKwbUG2AeTXb7mgXnmTEb7Nw4vd4ECl1/2gU+dTD741/6/h5qPh4JEOhx+&#10;wxve8OqhqkQBJAUePv7xj98PQAHsmde//vUP2a+J4YMGXmT7QgFV/a8AyRaBUx9w2TIQa/NUfwF9&#10;rMFsXvf6a7rHf+hDH7rfL8kclubbI/pAiPVFr+G6IUgKcFvoUOcw/R9husaTpAAAAAAABQRJYXdM&#10;dvm6B+aZMxntpw8vd8E1BUl1KG6H5D1RoEfBUoA98slPfvJVW1WgQ8i+9b5hTxzKlu3JKv214JD/&#10;kMAWQYWtyzMICj4M+ljOsWz03BAkJUh6g7w4jTUA3AiHeZ+ylyDpS5/63EkEAAAAAGAuBElhd0x2&#10;SZC0kGMFSRUY8k/eKXCkrypVIFQHqhI9CWeBJRMAjz2d6QOP58A/BdrCbDh+Ba/Bk6TbYX3XE4pL&#10;GbUtgqQ50pv0Un24hSdJH4YgKVwwBEkBbojDvE/ZQ5D0X//e76f72mMIAKzH9l2SbN9l+wr7BqYt&#10;6NUJcApu2Q5P9bNFx7h/AGzFZJsA+2GyyWaQVFH9SV4+/LsLriVI6gOkWhSrA3IFeBRAfTBcAF9g&#10;LwfxvUCZbNjaeenO2SUEBbcINo3a1iXo4xyY7jQWtwZBUoKkt8bkK394GmsAuAGmKb/7n6ohSAp7&#10;YusPwl4jPb/Rrm25r8BX/QL2rViyUfz203LLdniqcxTT7y2eS8D+mWwTYD9MNvklD0zzUQiSHidI&#10;6g+C53xqiE0FRPbiVPYcvGtyfk/lzK5hi2DT6Jhdgj7OgenuFjcjS+1vC7vdC9d0z4M+BEkBbodp&#10;yveCpJ84vDwbBElhT9heQYJPlNPzG+3alvsKfNUv4Pcgt7h3Oye3bIenOkfBtmHnvGayT4B9MBlk&#10;FST9vOTw7y649CCpnhi1rzvQ32v6ikU4PXtxKnsO3jU5v6dyZtewRbBpdMwuQR/nwHR3i5uRpfa3&#10;hd3uhWu650GfyVf+2DTWAHADTFN+9z9VQ5AUTsXI1zjyJGmfnt9o17bcV9yKr2pfaapvZmvBk6Tn&#10;41bsMONU5yim31s8l4CLgCAp7IfJIB97YJePQpB0+yCpfp9OapdsuUgp2KrNiS20JvpaX9UTg7H+&#10;u/97X39qZWZPvcqR0fu2QarqNFSfL09OqX6TT+/pr/43zKm1Nlp9VpfSV3XF/Crb57e2ejRG/uuQ&#10;9dq3qYXyRf3r/+o3CZf2z6dpydxNqNJrE+v7Lmn1Qel9uq1EttRCdWqDY/YiabXP7Cwrz+aL9OjL&#10;kvTs18ZYfzOijal+/T/X6Vdf1Q7V4+eX1Z31OaaLor72mGtbUR9z56ih60rn7W+p7oTd42z8rXw/&#10;3r2ypWPZW5wTKkPvez0Is7m5Ym3MMFs1PZv07PQc/TdUj6Wdw2g+tSvqozcn1NcKqzsbiyW2qfct&#10;7RL7hcti8pU/MY01ANwA05TvBUnP/i1MBElhLd6PqX4n0NLIT4Ll9PzGY+j5VnzVuFeFfXErdphx&#10;Kts0/XKfhp3yusk+AfbBZJBVkPTlSV45/LsLLj1IqoNlqV2y1Q+Tqxw7CG6Jrsf67LBcB78t7KBd&#10;YoE8w/clk6xOYYfRdqgd8/nF2xwHvVfVpz5kwYLR/Lqm/JY+k+wAXihfDCJEWdu+mF+H81k6L60A&#10;RkY2DlFiG1R+lm4LyVAbKzuX/jxmZ5LIiP56Y6a/EfukdEvmjElvTktin3t5NOd7zLUtrw+v8ygt&#10;fYqRe1jsaw+/4eqVn83tkYCnyvT3uKVBUknGiF5iG4xz9N+o5l5FL5/sR3ZkaTKJdubvqy37E6af&#10;GEwdGYPMNm95w3+LECQFuB2mKd/7qZqzf8CYICmsZdSPsTTy4WA5PX0fQ8+jY3zpVHt3OD+3YocZ&#10;p7JN0y/3adgpXzLZJ8A+mAzyiQd2+SgKkh5e7oZLD5LaQvhA9etRsMIf4OqwVk+yycHQX39ArHQ+&#10;uOEDOq3gjU/jD5j91+ZosfX5Va8FYLOgjB2EW7utDLVZB/P+qU3TV5ZWB/v+wDxb9LP8qsPqsvcl&#10;vs0qW2msrZY3O2S3Nlg+S6O/vo7sIH1t/5TOruv1EqRvK0P1a2xVlrXB26zak2Fp9DdjpJ1e1xEF&#10;KuxabKO3cR+wqcpTHvVF4+PzyI59kFDXI62++jaqfG8H0qPsozXPMpRebVFen0999nbh229UfR9l&#10;ZMyEtw/JXBtW38z+VZaf/7rm70EqbxTf/li+rvlydT3ObRszszVD6bx+Y1DNsOtZn41qnLxeJLIp&#10;a7v+ertXumhb5+x/1a+KXj6zpTn3WvXXymzZj0+j18Ya2/T69/qD64QgKcDtME353f9UDUFSWMuo&#10;H2NpKn8X+vT0fQw9j47xpWN7Vf2F/XErdphxKts0/XKfhp1CkBT2w2SQBEkLOXWQ1B+6RskCVP6g&#10;vHUArMNjS+MPj3XIa++r3gwdRuu6Pwj3+fyhsccHjGK7/EG4DqCzII/h9aX+x0CADsftEDvTTy+/&#10;2mbXLU0MFvj2xv5afrUhlm14/cc0a/u3hVNpY1yNhQ8cZnZm/dDfjJF2ej1HvJ6yNuo9td+XXZXX&#10;w3SS9afV1zX1zUV2YnWp3sgWbRm1LT82S2zY7mHZNcPsT+Myim+/JAt4ez217mUt/L03w65l42NU&#10;47Tm3i7O2f+l9lflW3OvtfncsjHri8r22PtLbHN0/sB1MPnLn57GGgBugGnK94KkZ/8WpksJkspH&#10;1NqvdVaqlei13ov7Mdtb2lqt/80H1XvKE9H6q7Xc/ABLq7W7tzbLL/L7n16+uennskRXkmzfZKiN&#10;SuN9RN+HrUX1Raw+a4P05dugscv66Ml0k8mcfYSYo3ND76svfn80kk/9trSZzdg1lRFRep3lxDp7&#10;NhjrtP76+aJ2t/YhHqVRXWZTEpWj+dfy24Wll52qfr+/UHmGylDb1Edfh0TvxTb6OTBX/Jyxunxb&#10;MtQ2pVP6iNoe70MjupE+NK5xPCo7aiH9qD5vyyPtsL2V9d/6YnrR314/hOzL24fPF+1wBOW1clqo&#10;PqVRn1tYObKhiHS8ZC5HnWltsDHUX7/ntrKz+mWHPl9E9fjxrMbS0qjdQvbg8+r1yDxX2bJJn1eS&#10;zUFPy46sf3atGn/pQ3nMhkbqhYuBICnsh8kgqyDpLx5e7oZrD5LaQt0SjxZmez9bWD22kEVHwt7P&#10;Fl7vXPrF3JzALI/Hyo4BWMsv6S1qpi/V1XJEvM4iI/ktbyuNFnFLY46FYeWrDS38OHk9irX9W+JU&#10;etQeyx/75vF9MOfGY/3Q34yRdnq78Pi6Kz1Hh7BV3ghVf1rXZMtWn99cHQurKxu3NX03Rm3L9LHU&#10;hu396l7g7bRVR8S3X455RjW3e/R0PFJuqwxv85kNelr39nP2v6ebFlU+s7Ml91qtQfZ+vE8I22zF&#10;tcryLLHN0fkD1wFBUoDbYZry1U/VnP0pUnEJQVJ/AJyJ/JvWuqq8/qBUEv0l73u2pOVTeL8hk+hL&#10;zE0/lzW6qnwQS+N9QAssHEsi5t+pDdWYxT4aes984Z5Ih6PM1bnI7DKKritdpDdmds2PlVBZdq2S&#10;zJf1dcaAS5TWXBnVf8uXtuvyp7NyjJ5eJb6No3rJxOvf22Rmf4a1L56T+POBlmS60T2j6nNrPDIs&#10;QFVJyy5tb6Z5WvWllV/08vn7Z3W/8vgyszwaK7suad2DTcdxD6i+VPqXLNWZn8N2/4vrl59XWT3V&#10;nMvuc3ZN/azu8ZVdVeNoonZl8yTqpNKtrkf8fjuTLA9cFI9N4wiwDyaDfP6BXT7KtNH7pcPL3XDt&#10;QVIt4FrovXjnzKNr9n5vYbCFSeIXWb/YxcXX6tUi5vF9GJG46Pu29LC6YhmeqryR/CNprHzv1Ah7&#10;f1Ri/pG6q/55G9Drufiyext4a2u0B9Hrx0g7W/30eX3go0eltx5Vf1rX5BCaw6e/qn/toUiF9U31&#10;RNb03Ri1rUpXxsjYjkrVFs9o+y1NpseKno5Hyh3Ry9J7+zn7X12rqPLZ+6Pi+6N5aO/HgHFrDfT6&#10;GxWv51H9w3Uw+csvT2MNADfANOUJkjpZgnxmH4DSnlM+vtZLrd/mT/s126+rdl359L7Wcp/WH7qr&#10;Hl1TOole+7qzw3G7pvLtwFd/VY/yev9+bvq5rNWVXrewNN5nMrYow9A1SxexfUTcQ6lO6c8HA7I6&#10;pA/Lp/SG8lte/Z3DEp1rjO39mEd/rZ0SpYs2oXR2Xa8jdi3qwOq1+sz+hPRhbdLfiK/TRONh7Vb/&#10;fJ+8fg0/PsqrNMor0dzy+VVuxK5ZOqtf4uemxkPBHZXvdad6fBvieZYwG9PfFl4Xem2oHfZ+1n/h&#10;0/g++vc1Pr5tem3tkkR7sECW9OLbo3wqSzKK2i39SZ++LNmKn5sxwCvsuh9H1a1y1D8fcMv06++P&#10;KkPlZXlNfPsqpC/LE+/hwute4ueq4dPotWFzyq7Z3LJ263+7pnRx7KLOfL/VDl9XZpsaF7Np5Y02&#10;rTJ0TRLvQaonu99ZehPZg83VOM+zMfC6UlqzJYnK8bac1d+yI9OryrP3JVGnlk9l+2vKr7pbcxMu&#10;BoKksB8mgyRIWsjWQVLvDMSbfwtbVB4M1xfQYmDvZ4uZx5fh02oRtvejs2WLUXQ8/CI4IjF/qz8Z&#10;meMQqcobyT+SxspXXR57f1S8UyRG6q76p7G0az0byPBOXg9ra5a214+Rdrb6OcfOPT07k+3LKVSb&#10;/UbYS9afqq9yYmNZSrfUcdM9QvNHZXin0ku0SdHr+wijtlXpw2i1x9cxItLB6H1ztP2WJtOj0Njp&#10;vu034FEy7FqrXNHSyxb39nP2v9WvHlU+e39U4r3W2q/56bE1OW7ovP5GJNrmqP7hOiBICnA7TFO+&#10;CpL+w8PLs7L3IKlf7/0hr2GHxN43ietyy7fWWmxpVIbKiug976/79XuuD7PU5xllra4qH8TS+LzG&#10;FmUYlY5sHyFRP6Kfr/75A/KI5c3q97YQ/cIK395Rnfs9dcs2VZaliecuPX3btUrPGdWewtcpydrt&#10;g1zRh/Zlx/4YVX5h16oyevhxzvQzslet9G/3isz+hI297NRj+eJZmOHvQ7Hvek8yd7yXYO2XRPxc&#10;UP8y2/RzWH3y+LPPLK/mpc3vVpoWGg/lyezK90mSjV1r3HzeJXM56iwGOT3RNu3eUuUdseeItUei&#10;9sZx8vaf2avZadUfP9ZRbyM6aenUt22OfcBF8cQ0vgD7YDLIKkjKb5JuHCT1N//M6c7wi4rHl9Vb&#10;MHwZMa0taN5BkMNi6eMitmRh9rT6kzFSV1XeSP6RNFa+6vK03h9lpO6qf2udBu/M9LC2Zml7/Rhp&#10;Z6ufc+zcU+lNNi17t+styfrT66uQY2jpfFnRIa3wG89KMtur+j7KqG2N6KPVntE6ljBatqWJevSb&#10;lJ5k2LVsfIyWXra4t5+z/61+9ajy2fuxnaN4ndqapj7ae3E9HtVfi7X54bLQ02PTWAPADTBN+SpI&#10;+iuHl2dl70HS6nDb0Brt/Wa/rsZDaY8OeC1dtf76va73Abz/3ToM9sxNP5e1uqp0YGky32qLMozK&#10;v7N9hPrn++DxQYuIvd9qo12f4z/O1bn+Wj3VfkhY2f7cRfT0bdfm+sFVuf5a9IM9Xv8+iO370ho7&#10;4edknCP2vsqqyuhh5WT6GdmrVnry7Y9BfGFnCj645MvL8hhWtvrvsaCUzmqOTTU//bXW/c3fA6Pu&#10;7P2qH/5eHPNXZHs7w+vP0sRxsDR+PdliLnudSTcV3jZVty+zpW+bj9U9M2LtqcbB9BH77cenuv94&#10;3cV6RuxIWBv01/AfgqjuU3DRECSF/TAZZBUk/buHl7vh0oOk/iY/urC1HBfvfPUWYF9GrNMvfHot&#10;bPGNDpuwxTw6BKO0+pPhHYcWVXkj+UfSWPmqy2PvL3VgR+qu+udtYI5TafiyKwdeWFsrm2j1Y6Sd&#10;rX76vGafI7TKk/3bZkZ/NXdi36v+9PrqUbneOfebpwrfZ+lb/Y7z1q5HmxSVzYwyMmZiRB8jY7u1&#10;0zvafksT9Wj9smvRoe/p2OdtMaKXpff2c/a/ulZR5bP3l95rpRsrw+ah39TH+eX1t8Q2R/UP1wFB&#10;UoDbYZryTzyY+Y9CkHQMqVEy6heL0XXV/Bd/yNrCyvO+RdwnyDep9khz0xuWJxPvd9h7x9CVpVGb&#10;I1uUYVT+3Zp9hLD3M39Z42DX5+whLc+Sfdscv9371j1927VKzxlVub06DR+M8unsPR9kyvD1RJ/a&#10;3p/br0hVzoiNVbrwdhTb7/cSfjz9OI+Kx+dXu+fY71x8XZHqmtHSXTXunkr3FX5c/FzVONj7Po2f&#10;mz6N161vy9K5PKIzw9vmSIBU+DZqnVM74z42YunVthateeL701vbrAz1wTOqE39u5rFyJbrfVPqB&#10;i+T5aWwB9sG0mXvhYJiPQJB0+yCpsACkpOdUitai4hf9XjnZp3I8tlGzcuz/zKGRE2L19hbKjKWO&#10;Q4uqvJH8I2msfNXlMWdmZCOeMVJ31b+lTqXhHfvKEezZWq8fI+1ca+dyDr2D2CrPt6W14aj60+tr&#10;xtw8vu0tp9euR5sUlc2MMmpbI31rtUd9s/dH7oVzGG2/pYl6tPdbByQ9Hdu1bHyMVhlb3NvP2f+e&#10;blpU+dbea4VtvKwM+z8LvK61zVH9w3VAkBTgdpimfBUk3cW3MO05SOp9nOh7VIyuq+YXjfjcVl5M&#10;qwNYK8enae2V5qYXI0HSY+uqKnuLMozKv5Oe9H41XlV++Wh6X/r0+labfdChtZ+KLNG5309XuhK+&#10;Lz5tT992rdUm5ZEuTJ+ZxHJ7dRpZujl68vlj2tEyhOrUvkR9bM2frJwRG+vporUPsb2ErnvUDitv&#10;RGJ+4c/cJOqz3pMeliA7VXutL5lEfD9atHTX06kxmi7D+uL1p/un3rPxtjR+v2e6lU49W8zlEZ0Z&#10;Zptqo9m0/vbGWO2Mc0Dzv9VmS5PND6M1T+weK+lhZcS0ozpppdP925ct0VzUWI/e22HXECSF/dAJ&#10;kv79w8vdcA1BUt3I/aKmhae6uVeLil8sWouiOQqS1sLonTCfPmuX6rHr2eFyj9FFUrQWa8+Ifqr8&#10;I2ms/Kg/X7dtaOcwUnfVPz8WSz5h6G1Rf1t2aBsASWZnvX74drbstOqnP3jIPjmm99R+X3arvF5b&#10;pAOrL+vPyJhFzLkczVPpQqi/dl1pIz5/dW+p8HqqbGtEH1V/LL8kG9ul9MbZsDRRj633DT8nMuya&#10;7q0tRvXSan91bz9n/6t+VVT5/LUl91ohO/Zl2OvehyUkc21zVP9wHRAkBbgdpilfBUl/+fDyrOw5&#10;SNrzYVuMrqu2r6n8UsPKa6XVQbT3BSxty7eem77HsXVVlb1FGYb34SKmL/1tUeX3vl1LNC6jLNG5&#10;9ykrXQnfF5+2p2+7lrXJBzEqieX26jSydHP05PPHtKNl+OBVJVk5IzbW04UfY9sTaF7be3FvonbY&#10;tTVYYNifHer1HJtWO6vAqJfISD9auuvp1BhNl+HHxQKLNt5mCz6N3YtNH5o7ni3m8pyx97bp55Ta&#10;11s3dF3tjR/Qyc4e7JrpJKM1T3pnHh4rI6Yd1UkvnfQc73fqv81JuFgIksJ+6ARJd7HR81xDkFTo&#10;Rh6dHd3w5fDo5i/RoucXJUlE6fx1laHNgt6PG7VqsfWLsrVLdbfw5Sqd6jNUh9qgtqisyFLHoUVV&#10;3kj+kTRWfnQs1Fc/jrruF2k5axoH6Sgrf6Tuqn8q365pfG3spfueY2X48tUXOVYqQxIdL5Wb0euH&#10;yrIyvK14qn76DXBso17bNV92q7yoMxsv6Utj5fs7Z8w0xhK11XSvv97ZVptGUDssj3RuTr/+qoxo&#10;cxGf3+an2pU5zS1Gbas39qIaW5Vp19Qvtd36KzQ+0qHaMKo/4cv1dhGxNLFsswO1SX039Nr6bJLh&#10;86tPaoPq8G0Z1YtEercxUHm+Ddm93ef3dUYszZb9r/pVUeVT/6Ldz7nXGlaG/9vC61Dp5tjmqP7h&#10;OiBICnA7TFO+CpL+6uHlWeHrdse+eWK0HVr75V8cK33FkjJGdWVpog8jtijDqPw7G6/Kd6vym7+q&#10;NN4/1ft+DzUHK2NU515X8hUrfF+8797Tt12Levbl2Z7PU5Xbq9Pwe1mfzt5rnQ8Yvh6/pxD2fuyX&#10;x+e3PWnc91TljNhYTxeqz66bXWis7b3YHj8ufr+yBtXn9y+jtu3nhdoV2+PbGqmuGS3d+fdlQy16&#10;uq9QX3wdfpysnz6N7eXs/2iPvi1L5/KIzoxom36u9eaVR+3W3LC8S+ZZa574/vRszspQWzyjOvHr&#10;ZoX07cuM9cHFQZAU9kMnSPprh5e74VqCpEKLjC0kI9Jy1L2D1hItHNF5i/iFVVI5BiprtO2RNY5D&#10;RlXeSP6RNFa+6orI8bINWiVZ+SN19/RlZUSJDnCFnLCsDC+Vo9brx4jz2+un7N+uZxLbV5U3Upb+&#10;Zv1p9dXeb8nIHPTE+ehFGyNzIjObVD22iYr55tDqk7etlj48vbH1m75Ksr62GLE50Spbmwu7lomf&#10;Mxm+z178JnFELz5vJi27Omf/e/1q0cu35l5rxLlf3dfEUtsc1T9cB5O//Mo01gBwA0xTniCpkyXY&#10;Wq6/Ff5AdnRd9f5JdaDrfaxqz+sZ8Xk9c9NnrNVVq2/yHS1N9GHEqL6rMozKvxvRUSu/+aryhbdk&#10;rs7119rX8ytbZff0bdeink1/LR1U5fprMaji8YELv+cY1VM1J+39Uftp7aWrckZsrKd/YXqw/tr/&#10;+hvx+6jR+8sII+2MWPrWWWJrfonqmtFqk7/HVPOiFYQfxexQc8D0Hs88LI3a4euLbDGXR3RmZLbp&#10;54s/N+ghfdueNc4DKy+bH0ZrnoyulZXuvE5ac1hY+0fv6XN0DbuGICnsh06Q9J8dXu6GawqSGjr4&#10;ldNiC5OJFlw5XVocq8VEaFHSYqQFxfJrkVGZo46Zd+biYt9CZauN/hDZ6tWiFR1hYY6J0vWonE+j&#10;Km8k/0ga61/LUdH46NrcMRypu6cvlauxtzbqb8+py5BTqnaYw+fb33NYe/2QjVuZreBtr5/C2mh9&#10;tTqz9vXKk+368TK9yWatvVl/Wn1Vvmwe63+1ZS4aV80hP6c1HnrP7E3vtcpWH6ytlnduO0Zsq6UP&#10;T28shOnP91ei/1Xn6H3MGLE5YX3LdNOzN71f9Ulj5eeT8vp74qhe1P+59/Zz9n+kXxkj+cz2595r&#10;DenT+qO/lW6MJbY5qn+4DgiSAtwO05SvgqT//PDyrOw9SKq1U6qUZP6H1nGtsfKjDPkelsf8kAyf&#10;Tr5Chso3/0y+QOU3eKzdrXIjc9NnLNGV3rM8Wd3yS7xP4/MaXo9VAM3SqJ0tVL6li5g/V+mold+/&#10;X9nEXJbo3PpRtUVlWZqoc6/vLH8rX09/vs5Yrq9T8yDzZ30a+dker//YLsP7w1kbe/mFryfD15GV&#10;YzrSmLXo6V/4szKv12x+yEZsv6F7zeg9pof2JFZvq50RS9/SscbV0kR6uheV7vx9JtsPyebsepZ/&#10;BO3RLL/1Jd6PLI3GxNoU7dlYO5dHdGZk89fuL1bGHJ3YuhbbZGW1bEBkbRHelqv10ttRbLPXicrI&#10;bMGnye67Gd5+4KIhSAr7gSBpLacIkgIAAADAZUKQFOB2mKb88w9m/qMQJB3Df2BJogNtBRp0sKrD&#10;UbvmD3R1zdL3Do39IbcOjVWm8kh0WO7rjoEhHfRK1B47DNbf1qH43PRzWaIr4XWg15bHBxRMsvb5&#10;YIwO7C2/6veH5D7YLF0qjcrTX0P/W1mR1sG8p5Vfddj7UdQulamxyYJ/FWvtM+ZR/X48pE+vQ+Hz&#10;63XErsWxUj12TW2zchWE8NcksdzYZonZsq6pLq+HmF91+evqo9mAyvD1K10WGLHrsV8elWnpVKbG&#10;R+hvbGNWjm+Hrqt9KlP6MrwuYj89Vpf/20J1WZk2h/y4qx7NR9mqr1N60nvK73Wm1xY8U73Rhlr4&#10;Oao2GHrt7VIS8X1oUelOddg11S+dK42v23SZ5R9BerH8JnHO+za20hgxrexH7dX7ytObyyM6M6ws&#10;/fX4e5D+ms0Ljafa5HWl697Oox7tfbWtRastwvdJ7ZHdqg6JxtRsTKJ2RHx+E1+Gb7vK9zpV+dKz&#10;dO/1oDExHWVthouCICnsh06Q9HcOL3cDQVIAAAAA2AsESQFuh2nKV0HSf3F4eVb2HiQVOvC0A85M&#10;4uGzDlLtml5XKJ8FEyrJDsntoLglsV1z0y9hrq6EAgdVHh08W9tbB+etvvnATXb4LfEBKJ8mYnXo&#10;b4sqvz9cr6QqP2OJzpUnS+ulZQ89+7Zrcax8MCUT1SfR61hurLMqJ5sromdnEl33NuOxNC0bNKwP&#10;mah8BXf1OivH99OL8hhRFy3ihwyygJAn+1BCJr7OVnu9tMYjwwcqM/FzKFLNPaOnu2qOKrjmg5yV&#10;7it8kE6SzbFop9V9ec1cHtGZUd3/vF59XfZeSzKbtGvVPOvdi0futa354HVS6Ta7V/i8mVT3F7gY&#10;CJLCfiBIWgtBUgAAAABoQZAU4HaYpnwVJN3F3vkSgqTCnn7xB9w6DM4CAP4gffRAVOXowNcfjqt8&#10;1emfSPHofQU27MDYRP/7wJ8xN/1S5ujKsDzWf/31fbfAUqudOpTP8kd0iO3bpXKtDqHyLX/E2uAD&#10;VpEqv9qja7FdaruCDFa+pAoQZKzRudJZHrVb9lDl69m3jUHLBqt2mg5iuVan6dXKsbr0V3l7gSvp&#10;WrrN5oDezwJJRtUvj9Xh9ar+WvlmI61yFCj0efXa96unf0M68vqp0hqqJ46PRPqxp+kiGjvp3ufR&#10;a5UzUmfE5oK1XeLHVu9LItXcM0Z0558clfixE9auJX0TKsvKVj0ZPmCtvvdYOpdHdGaoHVV7VI/V&#10;bXWaPcV2qQzpOcP0W82zXluE2VG0S72X2bHhx0dYOb4M9Uk6j9j8lt6tHxL1X2Na3V/gYiBICvuh&#10;CpLuEYKkAAAAALAXCJIC3A7TlK+CpL93eHlWLiVICrAGC0bogL3Cggmt4AkAAByPGCQFCBAkhf1A&#10;kLQWgqQAAAAA0IIgKcDtME35Jx7M/P1CkBRuAXuaSQfwFfYEG0FSAIDTQ5AUOhAkhf0gg3xgl5fB&#10;P33l9+79yj/71ycVAAAAAIAMgqQAt8M05QmSOgE4F5qOEn1NYwt9FaN9RaO+mhEAAE4LQVLoQJAU&#10;9oMM8oFdAgAAAADAHAiSAtwO05QnSOoE4Fz437SLv9Wo4Kh+w8+eNlWgNPu9OwAAOC4ESaEDQVLY&#10;DzLIB3YJAAAAAABzIEgKcDtMU/6xBzN/vyhI+oP//T86iQCcCwVF7SnRSpTmk5/85CEXAACcEoKk&#10;0IEgKeyHySB3/2lYAAAAAIA9QpAU4HaYpvzug6QAt4KeGH3ppZfu/95oDJjqPV1TGgAAOA+6D+ue&#10;rHs0QAJBUtgPk0ESJAUAAAAAWABBUoDbYZryBEkBAAAAANZDkBT2w2SQBEkBAAAAABZw9+7dzx/c&#10;agC4cqYp/yUPZj4AAAAAAKyAICnsh8kg+TQsAAAAAMACCJIC3A7TlH/dg5kPAAAAAAAreOLgYgOc&#10;n8kg+TQsAAAAAMAC7t69+/LBrQaAK2ea8q95MPMBAAAAAGAFBElhP0wGyadhAQAAAAAWQJAU4HaY&#10;pjxBUgAAAACA9RAkhf0wGSQbPQAAAACABdy9e/fTB7caAG6Aw9QHAAAAAIDlPHZwrwHOz2SQBEkB&#10;AAAAABZAkBTgtpjm/CuH6Q8AAAAAAMv4koN7DbAP2OgBAAAAAMxn8qM/cXCpAeAGmOb85w/THwAA&#10;AAAAlkGQFPbFJW30fuavffe9v/RffdPJ5Bd/8b861AzXxksvvXRvMv97r33taw/vXDef/exn7/dX&#10;otdbcIwyj8GtjXWPZ5999r4+9HePXIpdAQAIgqQAt8U05z99mP4AAAAAALCM1x3ca4B9cEkbPQVJ&#10;f/Kjz51MfuH/9X8+1LwdH//4x18NAHzRF31RNwhw7oDB+973vlfb+pu/+ZuHdy+fD33oQ6/q9Rb4&#10;zGc+82p/9XoLjlHmMbi1se7xhje84b4u9HePXIpdARyb17/+9ffnwV4/0AAPmPzoj03jBAA3gub8&#10;YfoDAAAAAMAyCJLCvrikjd41BEktQGHSC1ScO2Dg23tNAQuCpOs5t22OQpD0YQiSAlwGNg8ksF8I&#10;kgLcFtOc//Bh+u8WfRvSKQQAAAAAYCEESWFfXMJGz7jGIKnkk5/85OHqoxwzYKCvH1W5erq1BU+S&#10;XgfHsKNj2uaWECR9mHMGSe2rft/97ncf3nmUS7EruF5G7HQN9g0RWoOrb4jgSdLLQH70NE4AcCNM&#10;0/7FB7N/n/y7f/e76b72GHKpVD/Fwc90wKWiMyXzHSV6fY5vItuSc3+rGuwPO8PUvfpYYHcAJ+M1&#10;0zwD2A+TUe56o+e5piCp/toCrwBki2MGDKxcBZFuDYKk6zmmbW4JQdKHOWeQdKTuS7EruF6OPUew&#10;8euCICnAbTFN+ycezP59cmlBUn0IV4fdtvaa6H+9f4wP6VZ7g0vcN3zuc587SeDgmlGAUfqTHi/R&#10;N7P2R7n0cx58ZoicwraxO4DTMM0xgH0x2eWuN3qeawuS+k1Y62nOYy7QVu6lO89LuMQN8BqOYUfH&#10;tM0tubWx7uHvQadmpO5LsSu4Xo49R7Dxq+PFaSwB4EaY5vxjD6b+PrmkIKn2vxbca4muV996tIRq&#10;b3CJ+wbvV5zDv78G/Ljr9aWhD92r7fqroLnQE3CX/hQcPjNETjFPsTuA0zDNMYB9Mdnlrjd6nmsL&#10;kgpzaLUBzD4pe8wF2sq9xI3AWi5xA7yGY9jRMW1zS25trHscOwBUMVL3pdgVXC/HniPY+NVBkBTg&#10;hpjm/GseTP19cilBUgU+pU4TfcW9nobTuijRT774AOqWVHuDve0b7Ot/q2+e4knSmpGfUbjkJ0k1&#10;/mr7NY4/PjNEzB6OeYaJ3QEcn7t3774yzTGAfTHZ5q43ep5rDJL6DWK20PcWaOWXw+9/f0KijZTe&#10;t08SGrbRmivaMLRofU2S2qQ+tb4myb7r38pWOqW3wLFEm5rKMZnbf2PpBtj0Z78Rp/JVz5w2G2p7&#10;1Jn+1/stVK4ODWI+6bCqV+9b2iyN/faspKrfE8vMxk/jMlKe8kc99vrkibpUOWZ72Vj7eVB9wlb5&#10;1Q6lG910yiZUp9pjeU1642vprU1K6217RJ/W51Y+05P+LkH9k7348q28rG02zyvR2BsjdjVqF0qj&#10;tH4c1G6zjQylVzobb6W1/MrbuqdE/FiqLvXR2qA6Itm9RK/1XqvOtfejeA/W/2Yfek99jyzRqdDh&#10;k+nWyq/aJpboJPZp1H7m2qnKlf5Vli9b0tKH7/8cUT7DyrD+tVD/LL/6FtFctbE2ac1hj/rs535v&#10;PG6BaYP3wqQLALgRpmlPkPQgS/FrlNazbJ0StoY/UPt2WJlZudW1c7C39lwi5u/o7zXi51PlV18i&#10;19w3WIbZg+6NxwK7Azg+0x7689McA9gfBxvdPdcYJBV2wKpNYjxUrRZoOyCvJG48R/K0JENlq44s&#10;vUlr8+v71isnO7hd0n9j6YbT8tlh8tw2C42xP2TORNejLagfWdooWb2VHSm9XfNBgB6+zHhwHqUq&#10;V9eyPF6W5lebfGDC0IG+vaeAXwtvY5kdZfTmg6TVH7uugNISffZsS7qw60sOCryttETle9sdsVvf&#10;nzl21ZpjorILSeveYPdozfWsjDh/Wlj61lh6RvSa9XXt/cjrWrqI+aONLNWp/xBGJlmAbalOen3y&#10;4vPPtdORgGecCyN5MvHj4PUi22rRCqYuXX9ElU9+zA3z/KQDALgh9On3w/zfHZcQJPXryYhflfkW&#10;a6j2gUv3iMdib+25RMy3j37tteB939F9yqVwzX2DZZg96N54LLA7gONDkBR2y543ep5rDZL6Rdgf&#10;wopqgdZhqQ4mdQDtr+lw02+odFiaYdcrB6PamOlg2x9Aq+06tFVb9NcfqCtdPAj3fbNypBcrwx+s&#10;63o8tF3T/6pfFZav1e8YDMgO/+1gQG1XH6xf+qugkJUdbcH0bfV5fagcy6e/Ea9rryt/4B7r6+HL&#10;NPHj5/siUV0Rry/pQ3mU1/LrPbuutBGl8flVh/Lqb3ag77G5mOnLsDL0dxS1QzanNvjxV7t8m7ID&#10;H7tmevN9ivrUexEfhKnGwq7PQWVZXpVl806iNpo+JS19WZqqbpVn5Zj4vnibUTvifUFYGl3XnPXj&#10;oHLMrvQ3Ym00ffkxULnZnM5QXl+O9UHibdnrVXPQ24VeW3skse619yOvaytD+fW++iy7MZbq1Acf&#10;Vba/36kOpY/tWqOTrE9z7cfK198WapfsXDry7VN7/Dz0OjR8G/W6RdYOtdfyqg0ZPo23NWH3ILNr&#10;Px7+PhHL1jUr0/dJ/ZU9zLlHXiFPTHoBgBti2ju/fJj/u2PvQVK/BrbWsWNj/pMkUl07B3trzyUy&#10;4tddMqN+5SVyzX2DZZg96N54LLA7gOMjX3qaYwD7Y88bPc+1BkmFvS/xh75rFmhtPC1vhl2rHIxq&#10;Y+bL12Frhj9YjRth3zdJdpjs69ch9xyq/i/dcPp8Okz2h+NG1WfpyfLGw33D52+lybCyJdFWMjvy&#10;6WM7R4jjl9mAD5DE4In6Ztd0wJ4FK/SeBV8kUR92oN8Kdvjxknh8/zPb8u3LbHMJvky1LWLXJBqT&#10;2Cev8xj88LrODgFUVgyizsHGoWX3wpef2UPr/ueJdjX3vuB13LpneF3Fdvp7ccsuR7AyJNX8Mr3G&#10;8TT8HIjlrL0fjcxhsUanvo2jrNHJWvsRI3baw9qXleHbqNctWu1Qny1/Zp/+3uZtwt5fsv5soZMr&#10;hiApwI0x7Z0/fZj/u2PvQVL/YaWWTzGK1imVZx8AMtFa1fJpROWbjPgtWnuVztertVV+cLWuiyyv&#10;Xus9v6arPLs+R7zfY365yqrwfkn0Jdf0tYXGRr5MHDf5Tnq/5aMYuq505mtJ4ph7v3SuZP60oTrU&#10;dz8+I+229Fa2yok2UNlshvcHM1E7I1u0Xzbh687qqRidAyL6zJbXj33PFnVN9wnzZU16dmw2pHRi&#10;Sd1COo91Z5LpX2XH8WrpqkJlW/5sbyT8nGndm305Wb/1XpybPT0LXVdaa5v6Z31Wf71urFyliUjX&#10;lk/t8EhfsgPftmPanbHFnBPRjlRGzw6kTz/PRuoFOBXypSe7BNgfe97oea45SOoXYi2iRlyg56BF&#10;0/Jm2LXMwTBaZWgxtvdjXyK2MGuh9/i+tZw174hV7cyo+t/TTQufzxyWDHOg9Ndj4x+dNo/X7ZzD&#10;g8pW4jU5WfZ/1ZaKkfETKt/SeYfMH5LE9nqkA0vn6xmt39fjkZ7N+fRzzlCZlq9yPudiZWb2bNey&#10;9hhmW3HejdqmzcfevPX4McjabXjbzfpg9l/VPTKu1X3B9BDnXsT0IPvwWBtlG5Uee1j7VE/Lfnxf&#10;q82K2bDK8oyOeet+5Ouv7gNrdOrvNSP6XKuTtfYjRuy0R1WGb6Net2iV4eej9BvR3NO1qBsrb8n6&#10;Y/dx2cCW98Mr4bFJNwBwQ0x7548d5v/u2HuQ1NYiyRq8f9GSlg/m/adIdU3Il/GH3Zm01lnlNZ8s&#10;E9/eXh0t8X6N11G1pzS/Ie7V1/S1hd9ftaTywdWnqk3WHuXPro9I5ptpXMzPrSTzy4Rd1zhU5czR&#10;p/lmLfF7sWO3f5Q5c0BEv77qQ9b2UTvI8vq6e3OhpbfeGHmJ+55e3mqeZJjes72J8GcmLTuszkdG&#10;+toq19YF3b+ycvyctPfiHs6PUbQj6XbkvmGstTux5Zzz62aU2Fejqru3pwc4BQRJYbdMxvmJg53u&#10;mmsOkgrvEJgj4Bdo7xyM0Nvk2bXoYHhaZfh2tRZ2w5fhHbnRvlmaqp0ZVf+raxWj+WyzGdPZe6My&#10;p8+VPv21EQd4hNHx8860T2dzYcRJs/x+s+fHotogVGPm51x0Lm0j4evcAqsvG9vqmtG6h9j72gBU&#10;tPJXeB1WgStRtWOk7lG7sjRRV1bHqMS2jLRxBCu/Gkuv11Hx+PwVrfvRqK7X6FTzyjal+qs2Vza0&#10;Vidr7UdsYQNVGXP1npXRuj/5ALDuvR57f1S8bnybVbfW/WxDfqN8yaQXALghpr3zhw/zf3fsPUg6&#10;qe/VtWQpOjS2cuRbaG+jdUqi9cnWT4kOiiOV/1Rd8wftqsMHHnXN77Hi/lhrpq3dEu1BlF9tVp1W&#10;bly7q/Z4LI1fu1Wnvd/a8/k0ar+xpq8VSis92JgZaofva7b/0n7Prsdx93u6uC+s/ClDZVh+3y7D&#10;BxxUjvphdasdpiuJ15Vh1yyd+VLKrzH3+bP6K5S+l3fr9ptNSJR/hCVzwPfNxOq2ttv7yq86PGbH&#10;Vpe/Lh1Ynfob8XVbujl1q3y7rv7ZdbXJ9mbKp/8jVrauK69Po/pNj/o7ip8jsa3C20imD2Fp4n3V&#10;60Jt0hhKRxK99uOe2Yv0qmumZ6U3G1V6338rx9/rqgCp8PpWmYbySS8Sj9JYPSZzxl5sPee8XlWW&#10;Lz+2X+nsmp9P0qP0FscP4BzoA4eTjQLsjz1/GtZz7UFSLVq65q/7BVqvM7RIauH3C2WUDLvmHYyI&#10;rmVleKev1S7Dl+HTjvRNWJpWO5f0v9WvHqP5WunsvVHJHCbpSo6Q2VImUZ9e1z5f5qSOMjp+rXTm&#10;LGdzIWL5fdq1YyH8Zlt2ZPj3szHoobks3aq93gH2onZFqmuGjV/UW+v9yGg6j99U9bDys7QjdY/a&#10;laWJuvL1j0icAyNtHMHKr8bS2+aIxA2Nz1/RSjeq67U61Xzym2OJyvRzzlirk7X2I0ZtQBtibTyV&#10;LvbPJCtjrt6zMqRjK8MfHPhNcdyw2/ujEu99Gq94P9O9oerDjfC6SRcAcENM8/7FB9N/f1xKkLS3&#10;xlbYmqs1ST5Ghh2KS6K/UflP1TXzh6sDZqtXbfT4cv2htaE1W+VGv6Rqj8fSxPzeh88O8qUbu+51&#10;uaava6j2HOYXSbJx13uyieiXVP6UUflmXkdqX4bqtjSZPuyalRHHwtc/d39etV0co/1LWDIHfN9a&#10;+Xy5c/ftXjdRd2vr7tmd3cfiePszwVZ//HjF+1sLldXK4+s0iXX7NF4X/n2NX3af0XvWX4nfuwg/&#10;t1tlGJbO7MTmfZU35umxduxPMecqnY7c8wDODUFS2C17/jSs59qDpMIffGpx9gt0dNy0MMoRsOuV&#10;ZNi1ylnwi79HjoK9H9sV8WX4tFXfPJYmtnNN/1v96jGar5XO3ot9GUUOkpVRSdRn1HV1cDDK6Pi1&#10;0pkzO+K8WX6fdu1YGOZcypYMm4dq41y8U1xJZgPVNaN1D2m9HxlN5/H20sPKz9KO1D1qV5Ym6mpJ&#10;/zxr8xut9nl6ttljNH8r3aiut9KJ5oaVZaL//WZ2rU7W2o8Y6a/fkFeSlbGF3v3G2m/cbU3UnI1Y&#10;+qzPo2isVJ/flEvmHuhdGQRJAW6Mad4TJJ1kCVKfpFpjK/xBf7Weab2ydHFNrHyN6pq9X+2dfPu8&#10;f2Prc3YYbii9zyOq9ngsTdRJFRgR5uP7fZCo8hitvq6h1V8/nlWQLgZfROVPGZVvZmMnv6/qpz/H&#10;kZ/msfcz/8ww32ru3Oj5lVu2X2UtHeslc8D3LQtUCR+ki/bfo9Ld2rrN7lptatmlzYFKT8L0OccH&#10;t71LtEM7v1CZZodxnlkaiZ9n3m4y+zP8/SLq03Sh9kXbi1gZ0pPfj1W2aX2q5p9n7djb2Bz7nuHH&#10;xN+r7cxQ/V46XwGOjeJQk50C7I/JPne70fPcQpBUi5gt9EpTOW5WlsScBI85WJIMn7dFqwzfrmrz&#10;JHwZLac39s1jaWI71/S/ulYxms82nDGdvTfqoHl83cofdVbpM17TOJizOOKMZlT1eeRYZuls/Hob&#10;AGH5/SbA66Nqf2/MfPvM4TfdzNl0CK8TOcfaDETH1K6rXZHqmmF601+Pva/xrGjlr/A69JuiDCtf&#10;/Y+M1D1qV5Ym6srq6OmhxUgbR2i1z+P1umQO+vwVrfvRqK7X6jQiG/JtWjKvW6y1H9GzAb9O66/W&#10;wDgvqjLm6r3VDtuA21zzm3XdeyJ2bcn6k6G2Wxtadd4Ir5n6DwA3xDTvn38w/ffHpQRJMz9xBO8n&#10;jPqk0X+p/KfWNb92j4pf4+29uXuLqq0eS5P5Na0AgfcbfCBgbV/XMKL/uf5Gz58SvvzYF3u/Cs4K&#10;X0YMrNj72fgYI+3MqNou7Nqx29/DypgzB3p9MyzN3PZV5a+t28azpffWeYPlG5U59mLBM4k/o7B9&#10;mdoi0et4RmNp4r3b2jvnTCfei6yMkb5YGeqL7cfUpnjm4vH3FdXRu4esHXt7/9hzTnvlLJ0vV+Oi&#10;vWqlH4BzQJAUdstknwRJEzlHkFT4Rdy/jgu0vd9yNH3eDLtWLbytMvymqrf4mwMYHaetnI8l/e/p&#10;poXPVzka3mHz2IHyiBMZMdtpHSpU+syuyamydqo9cx0nX2blaJpDLfF1eCe9OuRofUJOdWbvR3z9&#10;GWqTXZct+X7NDdKM2Iddj/YsqmtG6x5iGxpJS59qk83H6h4UaY1BpHdfaLXdk9lqhqWJuhrRQ8VI&#10;G0dotc8zasMtRuxNtO5Ho7peq9MWma7X6mSt/YieDfg6Wve+qozRNvbaET/gYf/Hw2BjzfrTQnZn&#10;9lXZ+jUz9R0Aboxp6hMknWQJ5oc+UON8/P6hh62jMa33nyKta37tHhGtjeYzef947lpZtdVTld/y&#10;47wf4f3INX0dRT6e9mjmm2Ti8XuRynfK6PlTouWbzRk7X0ZMO1LGSDszWm0Xp2x/xdI5UPXN0ytb&#10;eXXv8PeEKLH8tXV7m9U1m2PShT+fiGVXbcxE83sUv8/yexjz5dUWn8bOQtR2ey8G8+acLVgZMa31&#10;eW4Z9rp1Pubx90GJ+qz3snvXmrE/9ZxrpZP92biaaA5U/QE4MS9OdgmwP+7evfvCwUh3za0ESeWE&#10;mLPhF7a4oNn7rYWzFxyya5VjpbJbZXjHpLXY+s1XbKd3CqrFupW/9b5R9b/qV4XPp7HJgmg+TXQi&#10;q2s9erbjdR312dK1d94rm8zwZUoXKivi02g8PP5aq+44F/wG3jvrSuOvGf4gRdLC0qkcez3ibEd6&#10;dtX6tJ9RXTNaduA3NFHXQvrxBxFzxlt57V4Ux8FTbfiEtb3SrbeLrAzD0kRdVTY3Qku/c2m1z+P1&#10;2rLhCm9vKmfu/WhU12t12sLmmtf1Wp2M9snSZOPTs9NeHWqz3bcyO/L5W0FW0bNF1WPlaB23Oltr&#10;emULa7B6K1u/Zqa+A8CNMU39Jx7cAfbH3oOk3lec+2FE4fP3sHU0pvXrYaR1bdS/yOj5/xVVWz1V&#10;+b5+v/7bviD6dmv62kO+i9+PVOKp9rk9ev6UaPV5ztj5MmLakTJG2pnRars4Zfsrls6Bqm+equx4&#10;HtCSWP7aur2f3hK1LbLUDkaxfZbV7ftpWBrbU/hzhhhUtLQj7bUyYto5fbYypG9/X8h0GVHb1Sdr&#10;s0Sv4znWmrE/9Zyr0skGpSPbq5lU578Ap0JxqMkeAfYHQdJczhUkFT54ZRIXaFvstLD7g1a9tnpM&#10;Mnx+1afytbj6evR/qwy/qEvkmKhuva/yfBu0GdIi7fH5fZ0RSxMX/jX9r/pV4fOZyMlQ+yXeCVe7&#10;Yp/1v963NCpPjpQhx02602Y12ogvW86Ola38/pok6rPStdpv1+Y4TL5ME7XbbEB9832N9Qo/ThpP&#10;9UvpJNGBjc6r8G2XjZkd66+3D0vTQm22NJZebZmL6rVyNCa2idDfqA/9H6muGaazaB/CHzq0xsL+&#10;ZvkrVIaVrTK83UfnW33P8Haq8mysvK71nqXR6xa+nIi3K+nBl6N5I72oLepHpNLvHKr2ebxeNX5q&#10;m79vqO3StfQb9eHzmvhx8fpWX+P9SGnseiw7slSnSmu2aPXrr8bcyos6WqOT0T5Zmmx8enaq+WzX&#10;1T67h6uN/t4jyewo5lf/VIfq9f0csUXpVmlsXkv8muJR2T6d+ja6/qhPap/XqdJ7XVX6vlYm//mV&#10;qe8AcGNM058g6SRL8Ou/1pC5eB9B61CFraNaaz2+jEjrmtY4e9/7raNYXvkvc6ja6rE0Sp8hHei6&#10;6cL7IvJDPGv7WmFjIlFbo88yov/Y3h4j/pQvP/oz9n7PXqs22vut8REj7cyo2i7s2rHb38PKmDMH&#10;en0zLE1sn7enuH8RVflr6zYfWX9Vt/ng+pu1xTA7iHuqrfB7B6Hx0P9637A08v+F9SXeS4W119JW&#10;KJ0k2sAc27cyTN/WVon2MaMorR8Tv56sHXt7/9hzTvfPkXRCddk6IJl7HwU4As9PtgiwP2ScD2x0&#10;39xSkFT4RUwSF2gtbP56FHNmJBlaSH16E78Z8mky5Fz4vJmoH/7g11jrfKzpf69fLXy+qu9ytFoH&#10;1XrfH6K3JNqIHDdz5DKRns1moj57uja7lIw6l7HMqm2tMmUX0c4zWZpf/fJ2UhHHJLPZEar2SEfm&#10;yEd7FpYuu2ZU9xDZVjUO2pCYDWf5e/g51ZJqM+BtxovflPVs1bA0ma40dt6mK4lU+p2DlV+NpWGb&#10;055EfdhYSpbcj0Z1LZbqtJdH8yWba0t1MtonS5ONjy/Di7fTXvtsrrTsqKUXP06WplWGiOtg74Bi&#10;6fqTpfFSzftr5u7du5+f+g8AN8Y0/QmSTrIErfneV838k4g/vPb+TrVn8UHAuEZ5/ynSuqZ22/tL&#10;1jxbe3vrtO+rqNrqsTSZXyN8cFp12P8ai8javlZYuTFIYrT6W42nR22PfuWIP1X5j6Njp3ZZGXEc&#10;7f3W+IiRdmb0fN9Ttb/HaDt83b2+Ga32mU6138ioyl9Tt59D0R57+D1GHIct8PdQ7SPs7MKfAfo0&#10;aoPds7Pxr+zGU92759i+lWFtkX79+cvImmK0xnjN2Ist51zrXin8fV1j2UO6qsYS4MQQJIV9IuN8&#10;YKP75hqCpOb0+MPWFv4wU38zB0uLtsrym039b4u53s82P4YWR6vD8voFutpAGUqvBd47J0ovJ6fa&#10;vKp/lr5yZqxv3nEzlvZ/pF8Z0pfVI6x+e0+6lC4qB1FoLNUGcwh9fpWna9l4m679mEnvpmdrS9Rn&#10;T9feuVTZI1iZpkNrm42F/vqxqFD7pQvLK1F7RnQpNC7e/rxOYjtb+LFVu5ciXcb2SKd6z8Zd72X2&#10;bP3Prhk2xq02qo5oI34crP6lfTSb9+Xrta+jwm/GJHrt8/Vs1RjRlWxA7fJ2pdeyNY1HZltKr3RL&#10;9WOMtM8jHcRxk6itWjcy3XqbFTY29p7KqubQqK49c3Wq/9X+eK/T/z3dLNHJVvbTs1Nh9y1LozJN&#10;39aOlh3ZPLV2WF7PqC36dtp9r8LuQ3FMbB7rmtJ4bCx8XWqz0o9syq+Vu3fvvjzpAgBujGn6P/bg&#10;LrA/9h4kFd5/0bpSrdeW1tZgrU9+7YzrlWFrqM9rRP/JU13z6+ao32RoDbW8me+hfkgXqt/j29Pq&#10;q7A0Mb+hvJZGPpT5VnqdsaavFVZmq51+3CLeH8zapPdkE3G8rS/SbwvlsbIre2m1W3VbGtUX6eUX&#10;1s4sf0XVdnGq9vdYMgd6fTMsTWxfT6dqR6v8NXX7vHN15vP29gBL8PcCP9/8Hs6nMR1Ksnnn29vS&#10;s8qz+Zvdt3vj5LG6vF5t7rfKb6E+W3l+jH2f/PsRSxPHWP+3rhmjc04S94hCffR9HsXGYa5dAhyB&#10;JyZbBNgfk3ESJE3kGEFSuGy8wwPXhXeGRwINAOeG+xHAeSFICnCbTNOfIOkka/AfupHoEFgfupE/&#10;LvGBPIk/wPf+jw6H7YNTEgU9fL7scLnyn6prfq+gerVf8O3Sobfqz4KdSmcH2hLfX+WxazGf6rA8&#10;CmgovfLF4Kalifk9FhDx7ciCHmJNXyt8oMR/yEqvfTBGElEau6b8ftz12q7pf48Pzqmtuq7+qP2G&#10;72/M74MRErVT+ZVObfLlK12mU7te6WpOoMhTtV2cqv09lsyBXt8MSxPb5/umOix4pj76a5JY/pq6&#10;o8696H2NgcS3yWO2ILF5byi9jZvKWoIPjko0LyO+Da00hk+rdOqX2izR3PS6kO1FLL/+9rBy4lj7&#10;+4P/QITGWm1Sem/bem3rkNrnx2HN2Is4/urX0jlnorZaGfpr91JJrF/XVIdvu+afr7fqF8CJIEgK&#10;+2QyToKkiRAkhYgcEE2ZB9MGrgnvNGabFYC9wf0I4LzcvXv309P8A4AbY5r+BEknWYN8be97t0QH&#10;yNmh+khepcmo/Keeb6W2+MPvlsRDa9HLq0PwuAeJh+0mes9j72f1Gj6IIKmCHmJNX1vENkTx45rh&#10;g6GZZGOuYECWVoEiw6fJggcKYvR0oetZsENYmkpXcwJFnl7bxSnaP8LcOTDSN2FpYvtiYDaK6rNA&#10;WSx/bd3qq12rRPPQfwBBSAdmDz1ZQmxb/NCFUKCzl8ZQe02PlajejDm2b2Vltqj37LrdC/w4tiS2&#10;a+3Yi63mnPRe6Ta752XpvLTWRoAT89hkjwD7YzJOgqSJECSFiHe84LowJ9ZvmAH2DPcjgPNCkBTg&#10;NpmmP0HSSbZAB9A6sI2HwDosbz1lZSiv/Hb/RI1exyevInb4L98/Ul0zFNDIDq71v/rSCgQIe5rH&#10;t1n5qjw6RPdPfimv2umxfUx8P+LbXNVprOlrCxs3a7PEj5ner/Tfy5+h4Kzvg1779NKxXWsFLWSL&#10;8r1j8Er/6/3KVkfGx8ZYf+cw0nZx7PaPMmcOjPatal+vPtN7LH9t3Srf6oq6le35fZzGIENlRFvX&#10;axsz9W0Jao8vM5s7KtunqXRgqL1qm8+n/kv/VVvn2L6V3bJF1WV1W52mR28Deq20Wb/Wjr2xZs5Z&#10;Wkunv779KsNsOKLxVN+ke0uvtkoHuhcC7IQvmWwTYH9MxkmQNBGCpBCRc6Ip82DawLVgmxhJy9kE&#10;2BvcjwDOC0FSgNtkmv4ESScBAIBH8UG2KjioDyBYOgCP2YX2+wBXCkFS2CeTcRIkTYQgKUQISlwn&#10;9ulFSfWJPoA9wf0I4LzcvXv3E9P8A4AbY5r+BEknAQCAR7GnGfW0XwV7OWhhdkGQFK6Y1002DrA/&#10;JuO8iCCp0MbvlALg0VdpaMro6yrgerCvSql+awNgb3A/Ajgvd+/e/Zj8aAC4LabpT5B0EgAAeBT7&#10;elV9PWqFpdPXogJ4ZBcSgqRwxRAkhX0yGefFBEkBAAAAAM4NQVKA22Sa/gRJJwEAgEexD7JKFAiN&#10;vwOp/y1AKuF3IiFitkGQFK4YgqSwTybjJEgKAAAAADAIQVKA22Sa/gRJJwEAgEfRz/fo6VAtFz0h&#10;CAYZ2AfcAK+ZbBxgf9y9e/dPH4wUAAAAAAA6TP7zhw+uNADcENP0J0g6CQAAtPn4xz9+79lnn73/&#10;tbtaOkwUQNXP/Hzuc587pAR4GPs5KD2VDHClECSFfXL37t3vPRgpAAAAAAB0IEgKcJtM0/+dD+4C&#10;+0NB0p/5a999EgEAAAAAmMvBpQbYH3fv3v2xg50CAAAAAECfFw+uNADcENPe+dsP9wAAAAAAAJjB&#10;waUG2B/TRu+nDnYKAAAAAAB9CJIC3CDT3vn9h3sAAAAAAAAMMvnRrxxcaoD9MRnoXz3YKgAAAAAA&#10;dJj85xcOrjQA3BDT9P+BB3cBAAAAAAAYZdpD/9rBpQbYH5OB/uzBVgEAAAAAoANBUoDbZJr7/5fD&#10;bQAAAAAAAAYhSAq7ZrLRX3hgqgAAAAAAMMDzB1caAG6Iu3wLEwAAAADAbCY/+tcPLjXA/pgM9BcP&#10;tgoAAAAAAH0IkgLcINPe+ROHewAAAAAAAAwy+dH/9OBSA+yPyUD/4cFWd83/evf3TioAAAAAAA0I&#10;kgLcINPemZ+qAQAAAACYyeRH/8rBpQbYH5OB/trBVnfNb/zWj977J7/xZ04m//Jf/98ONQPcu/fa&#10;17723jRd7r300kuHdwAAAOCGIUgKcINMe+eXD/cAAAAAAAAYZPKjf/XgUgPsD4KkuRwrSPqbv/mb&#10;9z70oQ/de/3rX38/6Cb5oi/6onvve9/77n3uc587pIK9YWOlsbsFFAxWfxUcxi4BAC4L3bf5cM/R&#10;IUgKcIMQJAUAAAAAmA9BUtg1k43+9gNT3TfXECT97Gc/++qhZUs+/vGPH1LDnrDxuZUg6Rve8IZX&#10;+/yZz3zm8C4AAFwCum/bPVz3czgKT0z6BYAb4+7du//4cA/YJb/12//1SQQAAAAAYA6TH/0/HFxq&#10;gP0xGei/Odjqrrn0IKmeIPUBUj05qkNMiZ7y0NOker91mGl5jxVEffbZZ++X/+53v/vwDnhs3OYG&#10;Se2JTI3vJdF7khR7AWjD/Lhtjj3+I+sKT5KeBIKkADfItHf+54d7wO74X+/+XrqvPYbAZWO+iv7e&#10;Gqfwj/TheNUh0WsAAAC4HyT9tWltBNgnBElz2TpIaoeakpZDrgBca6NieY/1JKM9OcgTJzlL9a/0&#10;lveawF4A2jA/bptjj/+1risXCEFSgBtk2jv/1uEesDsuIUiqDxBNanx1ndQHiStsD63A1jmwn8i5&#10;tmDiLfuqZn/HOlcR/hs9+FYmAACAB0x+9C9PayPAPpkM9PcPtrprLj1Iap/WlCzB8hIkPQ9L9U+Q&#10;FOD2YH7cNscef4Kku4EgKcANsucPGF9CkHRS4UPS21ude83zbb0mbtlXtfGcu6+fA0FSAACAR5n8&#10;aH6TFPbLwU53z6UHSW0jIul9YjbD8h7Lmb/ljdIIS/V/7o39scBeANowP26bY4//ta4rFwhBUoAb&#10;hCDpA1nKpMKHpPXTHsax1jz7OlTVX30dKk+SXh9mT8c6VxEESQEAAB6FICnsmoOd7p5LD5L6Dd6o&#10;Q+6/orcl/jdK5YDrt05t02OizZ82dtFB97+V0ZLsN9UU5FUfbNMoadUxivqhunyZEv3mmt5vbZ5N&#10;R7ZxVTqlV3usXVV+w/LZb8NamdYfe2907Kz+lrR+S056iOOn/6vforW6NJ4aG/XD8voNvT8MsP+t&#10;Lr3n+5Z9tdUae1F5sV8aa9XZ+tDAaHv1Wu/5vmYovS9vhMzWM6nGU+2yNlralk0qrdL02ii7tPKk&#10;F8+S+Tmqa7F2zsW61F7dt2zu6X2V7fvVqqNlO0Y2ryv9i6X9s35VonwjzBkPQ2OrNls7Jb051uqr&#10;15eutewm5v/kJz/5al791f+RJfc4obJUj+VRP6u2iT2Pv/JrbNR3P2aSlj5iulFRnwzTocqq2Poe&#10;I+Jcl/RsdOc8NvUBAG6MPX8L0yUFSf2a7tfHiNYIS7clfp2r1q5rxXwx/b01bNxlW8fi1u0LAAAg&#10;Y/KjPz+tjQD7Y7LP1z0w0/1z6UFSHYhK5SbaDPYOBe2wthI7SB05oJX4g9e5h7pCeXoHtdVGN2Ok&#10;n6ozHtQK2zjboXLMZ9LKL3p98pvz0c1UT0c6JPbIFnqBOF3PbMauK4iQlWH4zVrWZ79Jzg4klMen&#10;z2SJvbTGZrS9qtPeq+aU5bfgR4+RMTFZMp6SGAjxNpwFmIxWoGNE39n8XGIbS+dcry4Ty686Wmla&#10;c0JUbTOJ+hdL+6fXWTovo/fGOeMh/BzIJLbViH1t6VmyRFe6bozMidZ4KrCWpTfJAp7V2Jks6ZPJ&#10;2vGvdG0S7WUkTyZ+HHyfTnmP0RhV+Ubnxp6YNnhvmtoOADfG4RawSy4pSKq1SWut/Z+t5cLWZcmW&#10;eF9Lr28N073+3ho27t4/2ppbty8AAIAMgqSwWyb7JEjakK2DpCIeuOrAUIe/rU2hx/K0nHk7gNRB&#10;ow4+/UGz6rXDSf3NGNko+UNOpfMHrLrmD7Kzw+cWSqsgk/L7TYT64DfGWXDLrlu7JNKBylH7/KeU&#10;s76pDv9Ui+WVZAfzczdTvv0VFjxQW6QPGz/9VRDZ+pcdJFv5cWwk6oOhPsW01l/V6Z826rV7rr1Y&#10;XWqTjY3+t2tKF+fBaHt9Ot8Hj+qzNHo9grVPdXt7Vn02Xvqb4YNB0pHyK59EY+L14tuj8bb3VX+G&#10;T+PHd8389DqsdC3WzrmsLuVR3pg/m5tK4/WbzUml8fliMMvsVxLtbm3/hJXfut4j01FrPGxclU5t&#10;9/1Re02H+htp9VX5VJe3GUlPV9YG5VUbVY6x9B7ng4+65vOpHJUX23UJ4692qyz1wbdB9Xj79m03&#10;rI2SCkuj9Ia/f0RdGz7NVvcY05vyq4+G+qd2tNqyZwiSAtwmh1vALrm0IKnWDvu/tWaOrnlz0Vpk&#10;5fp16VYY8VWuFRt37x9tza3bFwAAQMa0h/7laW0E2B+TfX7JAzPdP9cQJBU6VLRDay86ILTD3wxL&#10;t9SZ14GllZE56iMbJbVRaVqBIWEHodmB/FKsXknEb5zj4athfZNEHetw3q5lutUBbi8gU+Hb18LG&#10;Ru2PB/aGb2dMY+9LqoNmv1mTxENsT6/dc+ylqsv3K7Z9TnttTrVs09oiHY9i9WZj7g91fKBA+LnW&#10;Gg/ZlaWJc8XrLbsn+PJ9AMXyLZmfS21jyZyLdckGIvEeGdujMlW3rmX9tfw+wONRfksTx2ht/8TI&#10;/KgYHY/KDg1va7Gc2FdvT0Y1R0fyC7NZpZl7j/N1jHLp4+/HVe2JjOqkVcY57jFWXtafS4UgKcDt&#10;MU391zy4A+yTSwuSCr8mZWtub83TmqUy/H5NonVI70e/w9apuaJ8LVSHfI7YBvkBLR9OmO9jZasc&#10;tVn+h97X36wPhtZwlaH85teYqC3SXbbOiyW+itVR6cLa3vLBhJWT+QSyAfXZ90dlqs7MPgxdV1rb&#10;V6hsa4t04XVo5Wb1a7wsn9rhkS7VL9+2lp69L6/Xuq50Pm+vT8ZWOlFavWf909/KvgAAALZm2kP/&#10;42kNAtgfk30SJG3IsYKkhhxw7+hK5Ki2DpktTebMjyCn2MrInOmRjZLlrzZ7Oqi3dK1N2VzUZysz&#10;4q/1Duglse/Wb+m+hfph+efqv2q7YW2IGzGPb0MMhtj72qRVOvc2UNUleu3u2Ytvb2VTwg4U4hgs&#10;bW9mB7YZrDbsESsvmy/Crkeb8P2pxkNtsTJ8m/0cyuaabXhVj6fKY7Tm55a6FtWc83XZpj3i62il&#10;UTstjceXX236Tf9Rj2v7J3rzo8foeFhbtZZUmE1G+x/pq7C1Ktbj81d2Z/qo+tK6x3ldV200rmH8&#10;hZWv9kR8GytaZZzjHmM2pLKvhWmD99zUJwC4Iaapv+tvYbrEIKnWansvWzerNU8+ol1rSdxf2xo3&#10;V1pruvcJWqL1NNsTWN9UdlVO7IMx0pdW3Ut8lZbvbXgfoOWbqh+Wxvt7wpffkpYvaf2RTrNyvL9m&#10;70X/SG2zPWPUm+zUrmUS2+X9UdmpyvPpvVR+1VY68fvOKC37AgAA2JppD/1r09oDsD/0KfiDne6e&#10;awuSGnKK7fBQIic1O9i169GZH8U76ksOdX3+UcnqWYJtICWR6ppR9d3e7x3cWrq5+h9pn10fldiG&#10;1vuRSg+RXrvn2Eu18RO+Lr9Bm9Nef8ASA0H+0GHOBtDyZO339cUNvr3f2rAavn8xENgKKPh6fR5f&#10;1qh4nc7R9YhNV+WN1DWSptUO//6oeNb2T/TmR4+R/gurZ1Rie0b6KvwhnGc0v6UZFZVr6IDKDqX0&#10;V9eyNdLwbRoVz0ifjj3+wsr3ujBG2iiqMk59j/Ftll7iffMSIUgKcHtMU58g6UGWIjVK/Nrk14jo&#10;d1drnu2j5fv7NUe+g8+X7fN6a7lRrek+KCgfxdohUdssryR+8EhYG83PkWj/oPwq2/tfWf1Kq3K1&#10;Xvs9jtZynzfuM0TVrxZ+T5Wt4zEQl+27fBofhPTva0zVZtOlXvvzEqWNWH9Ml0qv9iq/0nvf0crx&#10;Nqi2Wt4ssGz6VBqVaSifxiHu+5TG6jFRG6U3a5O9rzJjfWJrneiv0il/tC+VBQAAcGwIksJu0QHP&#10;wU53z7UGSYWcYv/pwiy4Yte8M58hp1f5zSnORGkill5/M5QnllOJnPDqIDtDGxk569UnLSPVxtnw&#10;bY99t/d7eh1NFxlpn10flbgptfdHbMPSZjbg6bW7Zy9+Ez2nLp92TnuFbfTiJs/ezw4nKjSPlE+2&#10;rP4YaovZaNzU+gDDnPGIaf2m2M8jbYjtfV+vL2tE4vyco+uebYiqvJG6RtK02uHfH5FoF2v7J3rz&#10;o8dI/4XVMyrxAGWkr2JE1xWWZlTiPU4HUP4gSKK++3lpXNL4aw5qTJROc9LK9KL2RObqPSvj1PcY&#10;4eu0NHovprsUJh/6HVM/AOCGmKb+rr+F6VKDpFpvbB2MfvzompdhvnyWd66vla3p5puo7VlAUPhA&#10;VPRbfN9URuVTSPy6PIK1L2t71a8Wqt/akp1XRF8t+p3C0kgvhvwAyyO/LOun3vPlR9/B66lVhmHp&#10;zAZ7AVIR8/SIfpP8q4gf/+j7nkonlX0CAABsDUFS2C2Tfb7zgZnun2sOkgo5rRoSSbZZsWuVY+43&#10;gpVUG7DWRml0I7kE9V2Ou5VfScRvLlpUbbf3exue0XSRkfYtLdsYzT9nDHvt7tmLP2ifU5dPO6e9&#10;wgdmbaPp51W2Oa1QGZa3JXEzqU22XZszHjGtL8e32+aJP1gQc3UVmZO/ZxuiKm+krpE0rXaMtK9i&#10;bf9Eb370GOm/WFvPqK7W6trSKP0aNN+szyb63x/6jLapxUj+Lcbf368qyXS2hd5PfY8xdICnQ1M7&#10;jJTo9SUezBEkBbg9pqlPkPQgS5EaJXFt8mubX5dG17yMKu/outZa0/0+IVtnDb8XiWurb18ryOr9&#10;hbnrb+WPVNcqLKimtdvjg3qWRgE8j0/j133/Iaqqj17ncV9n/VG7Wro0rAzpX2l7AVKRBXcrvH21&#10;9qBeH9GGttSJ2t7ql29DFvgGAADYkmkP/c+mNQdgf0zG+b0HO9091x4kFdVmRe9LWpswv8mS8x6d&#10;ae+oZ452VbcYcfSXYnVLbLPi8X2LVNeMqu/2fm/DY+la+m8x0j67Prrpilj+Xtt6NuDptXuOvfQO&#10;v31dfgM3p72GbXJtk+cPFlqbwxa2GVb7vI3qfZWvTWWGpettNH3/LKjrsWCF/gq/iY3pfVlL5ucc&#10;XY/YdFXeSF0jaVrt8O/3Dkky1vZP9OZHj5H+C6snHlSNMtJXYYddMd1ofkuz9B4X0VzwbfJPKlzC&#10;+Pv8mt+az/H+ZNfVnshcvWdliFPeYzJ0f7Z7tv627ql7hSApwO0xzftd/1TNJQdJhfneWhNsXRxd&#10;8zKqvL213Git6b7s3vrV8tdG+jbazozKH6muVfi9lfcV5BvoPfNrLI3XjaWReL/H2qLx72H5o085&#10;pz9WhvZq5oeo3dVe0Y+V6oh+UmR03CyNyvecUiemgxHdAQAArIEgKewWgqRtOUeQdBqSpoNq16ID&#10;bZgTbIedkZ6j3nOitWmw/Ft/ytDKzb6SR1QbyLWbSzskrjYgOmi3/C39txhp30gbKkbb1rMBT6/d&#10;PXvxh+09e7EDkdj/Oe01/KduZbPWzrnBGdvct+ZTRas/EenF2podrviDBF23/+MBi1g7P7e0DVGV&#10;N1LXSJpWO/zBTC9An7G2f6I3P3qM9F94e+8d0GX4vlYHQ/4AyTOiK7H2Htci0/MljP+I3u260kZG&#10;9V6VIU55j2kxaut7ZPKhX5jaDQA3xDTvd/1TNZceJPUBOLs+suYpn3x98zcyiYyuP6013fvxPayM&#10;mHakb712an3W+q06bA8SJfNHWv3q4f0Bv3e3D6+pTz6N2mbY+MR9mbV7pC1Wbkw7pz++DHs9sufz&#10;frdE/pLey3zwUfuyNHE+nFIno+kAAADWQpAUdstknz/wwEz3zyUHSeU4y4muDmz9JslvJgy75jcj&#10;np5z6w9DM0fd8lcbBEsjWfKETgsrM24ODNt0SSJrN5d+s5PpXf20AIGk1cYWvn2tw/De2PewvL22&#10;jW7WRE+vc+2lVZ+3y9j+Oe01NNd8efa692nfiM87Wrfh88Y+GT7w3pqz8RDCNsu9e4Bk7vyco2vf&#10;vxZVeSN1jaRptUN6szkrnbXmXYu1/RMj86NipP/Cp5v7QQDh+yqdZXbj08T704iuRFXGGuyA0s+h&#10;Sxj/Xh3+/qC0EZ+/6l9VhlBeS3Pse0wLf8+ubH2PECQFuD2mqb/rn6q59CCp0Nqp61rLtU5Va6au&#10;W/qeRHpruWFrn/c1RLU/jfj101P1zajaqbXY71NbEtsuWv0awfouv8GwuqyNlsZ8Ie9zxDMR68NI&#10;W6yMmHZOf6wM6d/vRUc+BCa/RX6S17texz6N2pelifPhlDoZTQcAALCWaQ/9L6Y1B2B/TMb5Ywc7&#10;3T2XHCT1B57aTMgJlrMskUNtjqlEG4ns0NMOL80JV14rR/hPs8rZtzJUt78myRx1n8bKVT3+QFvv&#10;WRprh//kpOpSevUhOvoVvm8+mKXXXjeSiOppXTN8u2PfLYBt17XpURqJ14mlmdMvIR1ZGdosqlz1&#10;yx9Ca6x8G1SHP4BWG1WO8mebF5+votJDpKfXufYiUR713dL27H5Oez12WGI61d+5xLZ7kb2q7RoP&#10;9SMSx1NplU5lqv/RrvxYR+yAwZfXSu/brPSqc3R+ztF1zzZEVd5IXSNpqnb4a+qv9O7tS2VaUCiW&#10;v7Z/YmR+VPTK9/h5ZPcYQ302m8vmge+rSXUPjHN0RFcizgnlG73H6T2JH0P9lS59eR7frj2Ov17b&#10;daW1eaq/Sh91FfH5bczVR7+uiKoMQ/mVxte59T1G70vXes+Xrdf+fh3ta+8QJAW4PaZ5v+tvYbqG&#10;IKlfa5RGYv9HvA8U1xhR5fX16HULqyP6J75svxZmWBla8zxV+4xWO71vla3JotV2UV3r4X0w6Vw+&#10;iLXD8GnULu+7xPX+/9/e3/Ro+3RrfRgfYSN/AQQfwAz20IM9Q/KI2faQmcWMkSOhDJhYCiOkDBAT&#10;xCAxIGUAsoKCB44j7YEjWQqIiCSS2UHIMo5ibIjzwstm30+u4//v43mOZz1rVZ0vV/d99d2/n7TU&#10;3WedVbVqrVWr6jzr6m7ror3CDrdR9zxnxuM2ZH/hvZBEeh5F96YP0v5H48v3WBfzkTbxGI7YDgAA&#10;4A4cksLL8gjOv/oWpy/PZ/9zu7n5nkQPTtNDVj5Epfilq+p5g9uJ2vbLyG6jnhv5FOmd5MPASupG&#10;f4UfrCbJF86VOw+XJh/aqmisKvdDxplxiXyAre0mfolc76vSPby4bKfbzg7Jzq5n4qW7L0Vx2b0c&#10;P6NvUvusD4xHybhbSecT+XM3T1ReX+ZU6tzYPShfnZ/PjA2xau9IX0fu2ekhv7t8JbX9u+MTWZ5S&#10;58fErv1Ec8f5aSeVHOsuD3axesRW5mqO241tyh+v7n+vx53I3t4zSJ/K0XXF17s2zEfkmMkeKWr3&#10;s/HYQ//PH7oDwBfiMfVf+q8w/QiHpMJrv9abXM8rvj7t9Vdr+m4tN9al7k9y37Raw/SM7vv0bJGs&#10;9DOTnnlda3nHpLtYle3IMcn29lHuc/Ie2cf7mq6/fOaa3oWIlc3PjMdtOAa1r8p92e75LDnin7xe&#10;8T11PjzTJhrbhMbq+tM8AgAAeBYcksLL8gjOv/0Wpy/Pj/A/SbVB1oY3N+F+GVo3tR3aPOdLZtXL&#10;TbO+V/t5j/py2344mTb+esBK3fR9t6lXP9pE572+X/0fGUtF/Ui/fPmqn92/rksq/pRqV2Zy8z+N&#10;Xdezf33VWGxf286H0mdw29ZB/una0QOarvuBJu9XfZV1hwHWeafbETsYtaX7VnY9Ey9d3Gucq1g5&#10;o29SDxDO1E2ks+rra6L2Ha/uoz7YCt2n69Wf+lnXO192pN2OzK0r8/PZsbFq70hfR+45oof8pDFn&#10;TpTIB7JRF693x2eOzo+OI+1X5NfMYRJ973hzLkt03feKGteym+zX1RVHbJUo5lWnzolVjnM8d/NI&#10;9694Zf87P+Q90tO5wXpMY1S/1Vf1XsfCzk6pw3vlGMdn+kLf6/6jMf5qcEgK8PV4TH0OSd/kKjKj&#10;ROvdRK6zua+p+PrUVq6TFa3JLpsOGYX3H/qaaK22bvpa9y8mdaj7jroP60g9s/503Ugfr7lVdzGN&#10;6yjeA+ir+6nrv+9xX5JuT5JjmfTJ8XT2PjMe95Vxo5g74s+K9kRu74x/jO+pMfxMm0jki25Mec9n&#10;3Y8BAMCn4l881hyA14ND0lne45AUAD4GP/DpwfEKPqDY1c+Hf4DPxpGXcwDQwyEpwNfjMe9f+q8w&#10;/SiHpEIfovG9lkoeEOVBp77Pw5+ubh5uaT+vOjqYUr95mOR2ur1+7qOkgz+AJdGzhPWTqN3KkX1Y&#10;Hpbpe1P19wGXdNdhZfbd6b4a1xH8rJQinZIc33SPsT4S6a72bUvZ1QeYku7DWGfG43ZqDCoGXCab&#10;GtlWOun+PEjU934WrIeUk98qvqfqIp5lE4vudxt1jhyxGwAAwBPgkBRek8eD3t99C9KXh0NSADhC&#10;vjTQA+QV/GKhe2BN/HDJgyV8RvLlFQCcg0NSgK/HY97/9bcU8JL8SIek2s/nIZCkkodaneRBa0c9&#10;RLLkQdhur98d5lbpDkjFkX3Y6rBNzzku68S6dbrvxrUjn7ckeahoZMfdPUYHjD5wXEl3GCjOjMdt&#10;dTGYPrHf0geTVL1Wfkt8T6fLM22yilP1kQe8AAAA7wiHpPCaPILz//BzjL4+HJICwBHyk835kuMM&#10;rj+91BB6mPTLm6uHsQDfkyMv5wBg5H/xmDsA8IXgkPRXchUf+mi/vkOHP95r68/WdugASmV5oKqf&#10;fTCl65IO7eW113ddfa17f/+53Kl/YR3ytzf1ferR4WeWST+RB43dc41s5MMwt6Ux6BDTdTvdj4xr&#10;R/bbHfKJPOQ76nO1a59I1IbHNHFmPG570kd9uW/3Kb3UdvWx7u38svOb2ekirtrE/tFXoXbSH/pe&#10;fuOAFAAAPhAOSeE1eTzo/ZdvQfrycEgKAEfww6u+XsUP2pL68KsHST1kuh89sK4eUAFeFQ5JAW7B&#10;ISnAF+PV/wrTZzgkBYCPoR6SAgAAfG8ee+l/+fOuGuDFeATn/+ktTl8eDkkBYEd+avfOb3eqnfy0&#10;7iS6R3/qC+AzwiEpwC04JAX4YnBI+isBgNeGQ1IAAHg1OCSFl+URnP/1W5y+PBySAsCO/LNVd3+7&#10;U78xqvb0YFkPTHVNZfx5IvjM5HwBgNNwSArwxXjM+5f+VzUckgKA4ZAUAABeDQ5J4WXhkHQWDkkB&#10;AAAAoOOxh/5fvm2nAeCL8Jj6HJK+CQC8NhySAgDAq8EhKbwsj+D8J29x+vL8q3/9+7/4//2rf/hh&#10;8m/+4J++9QwAAAAA8Csee+i/+radBoAvwmPev/S/quGQFAAMh6QAAPBqcEgKL8tnOiQFAAAAAHgF&#10;OCQF+Ho85v0/fEsBLwmHpABgfvd3f/enQ1J9BQAAeAUee+l//fOuGuDFeATnf/cWpwAAAAAAcAAO&#10;SQG+Hp/hkPR/+Bf/qw8RAAAAAIAzcEgKLwuHpAAAAAAA5+CQFODr8Zj3/+gtBQAAAAAAwAk4JIWX&#10;5RGf/+LnMAUAAAAAgCM8HvD++tt2GgC+CBySAgAAAABc47GX/rdv22qA1+IRnP/ftzgFAAAAAIAD&#10;cEgK8PV4zPv/5i0FAAAAAADACTgkhZeFQ1IAAAAAgHNwSArw9eCQFAAAAADgGhySwsvCISkAAAAA&#10;wDk4JAX4ejzm/f/zLQUAAAAAAMAJHnvpP3zbVgO8Fo/g/DdvcQoAAAAAAAfgkBTg6/GY9/+vtxQA&#10;AAAAAAAneOyl/+BtWw3wWrzF6Kfg2x/+yw+VX3z7t289AwAAAAD8iscD3t96204DwBeBQ1IAAAAA&#10;gGtwSAovy1uMfgr+4F//33/xb/7V/+XD5N/+wT996xngF7/4o3/0j/5CU+av/JW/8nYF4DV5dqz+&#10;/b//939qT6LvXxWNVzpq/AAA7w2HpABfDw5JAQAAAACuwSEpvCxvMfop+FEOSf/ZP/tnv/iLf/Ev&#10;/uK3f/u3f3nw8Cf+xJ/4xZ//83/+F7//+7//dhe8GvaVfPcVyAOnrxyXPnCsout/6k/9qZ/spDn9&#10;SljHZ8Xq7/3e7/2yTX3/qmi81hPgM6B1X/GqPcCr5RHYwyEpwNfjMe//1VsKAAAAAACAEzz20vxP&#10;Ung9HrH5Wz+H6OfgRzgk1W9hTYculr/xN/7G293wStg/X+WQVAeAHvMrH4y9J3k4uBIdcLzSb1ha&#10;Lw5JAV4b8uznhkNSgK/Hyx+Sfvu3Pz0zf4R8VlZ/eeS9/irJ7/7u7/7Urr4CAAAAfFU4JIWX5BGb&#10;HJIu5NmHpPotkTwg1W+Q6KWoRA9kOmjRdb007XDd9zpE9cPbn/2zf/btCiT229mDJz9sy7+fiXxJ&#10;0P0m6VeIlzwc1Dg9XyWah3nAITu9ym+CWScOSQF6/CekNW/f6wMOR9ZsfpP0c/N4wPvbD/8BwBfi&#10;bfq/Lt/+bftc+x7yDLT26Zkj99QS/azr77E2rvaL77WX9Pim5/yvBHsfAACArwuHpPCSPGLzj/0c&#10;op+Dz35I6kMnib7v0IPZ9AlT133WwUeFh7c1V+3/Xg/b35uvEC95ODj5XYenu3s+mmfrwyEp/Gh8&#10;REy7/VfJC/B8OCQF+Hq8Tf/X5RMdkupDRP5A0SQqf/YHhFf7xffaS/Kc/StsC8krP1cAAADA8+GQ&#10;FF6SR2xySLqQZx+S+jfvfjb9eVz3vV648vC25qr93+th+3vzFeIlD1Imv+sT0L7nVWyx0/ksH3Gg&#10;9Ax+1LkGz+cjYtrtP2sewuvBISnA1+Nt+r8un+SQVAefMqdFHzr8O3/n7/y0Jkv024Z5gPpMVvvF&#10;99pLfpXnbP6KBgAAAOx47AMAXotHXHJIupBnH5L64Uhy5YHAdd/rhetXeXi7ylX7v9fD9vfmK8RL&#10;HqSs/O4/la0XA6/AEZ3P8BEHSs/gR51r8Hw+Iqbd/rPmIbweHJICfC0e0/71/1XNJzgkzTVYe+fp&#10;z97redl7u2ey2i++117yqzxn23bsfQAAAGDisVcAeC0ecfknfw7Pz8FnPyTNh66jDw75J3onyU9q&#10;6qFTn870g5hFD6D6Tdb6Mtj/l20l3f+c9EPrb//2b//yvqmPo2gc6ivblOgASte7/4spbCP/mWLd&#10;p/v9SVZ9XdU3rucDL7fp8fjaUd+5/0nUT4fsUP2nn1efyHVf8qd8o3G4ru0i8v/w+Wf3pWs5NtvV&#10;94o78aL26rjka/U5fWjgqL76XtdyrB26P9vbkS9xVn53/xpPxxWfKh7Vp+5z+0fr+r5OZ9Vze52v&#10;OtIO+t7zP+eKxr7Syah+nWfS52juqLZUO9LFOvm6yZid/sy5cbu7ODK6L9tV/xkLNedYx8xxR8bu&#10;NjUWsbJBR9bXPVN+MFf1VD2tPzUuVrqJOh7JLsY7m6S++r6rb5+tJP2mNmSvbFuiMep69bHz5lnR&#10;eMyzYla+0nXbSnLEH/pNnrTTEd9/Vb59+/afPWwEAF+Ex7TnkDTkKrmmHllbvNY/C62D7r+yKruD&#10;12t9/ZGx7WRHAAAAgI7HXgHgtXjEJYekC3n2IalepsrsFr1gXb2oFEdeuPpFcL5YXUm+OD5SR3om&#10;qpMvXTupdXYcGaf67B6S/TDrl+q1nmWqL3Zjygfmow99OxvpJXuiWKgv4quovIsZl+vldteG0YsI&#10;X+vGnA/u3UsC1cn7O7kSL5NvjuqrPn1tNadcvztQ6Mj+J7/nvK7t3vHpzmaSaZ65vOqcNpz67Ug7&#10;aK6uxrSa++mnSa7Wl055sJP40E73TGRs7w6mjF94yc6dbvni78g8mMbucs1v99nJ5FOX7/KDuKqn&#10;5sGqXlfnzvxw+TQmS+03Y2QSH3xeWZeO1JkkuRuzXTymVL2N/wTeJPVQ+Kvz7du3//RhFwD4Ijym&#10;PYekIVfIPeW073lvumccsyq7g/dv+az1I2LbTc9NAAAAAA9+67FfAHgdHkHJIelCnn1IKuohnl5U&#10;6qXkkRePrjM9dPgltR449eI4XyyrX7/A1teOIw9v+SJc96kfo7J8wZqHsTt0r14Kq34eLGgM+bDa&#10;HW653HpJZAO1I/3ypXg3NvXhF9JZV9K9MD770Jf6r/CLfukie9h/+qoX4B5f90LB7VffSDQGky8m&#10;sj1dV5/5on2n99l4cV/Syb7Rzy7TfXUeHNU376uHBUb9+R59f4Rst/O7fJMHNLo/ueNT1VHsql7a&#10;RX1kn91Bh8tS5zz8Un3rcoS0g8UxprIci0Q6V3IuaWyqo7qun3MwY9bonqyvPlRXX9MeliRjubOX&#10;SP2O2sZzwGNPvdSe/ZbzwHYzKsu+O9u5LPux/er4u1iq9a2DJG19R0/nWdWXXkb2lk6dXnfmh/VI&#10;m9j2WVeS+hhdW5ULtad2Ne68R/plTHXrknB5lztMtpOkrR1HlbwnY9bXZQO1n/XlU41J5fqayFdu&#10;TzZPf9gWky5fFQ5JAb4Wj2n/+v+q5sUPSXPtyn3GFbw3qftA7WHqPiWZ1l6xKvP+ROu+11KLdFDd&#10;XI8T7xn1VWhfkc+oWrO19u7WWevg9iy7/r3Gqx//7Da8XzCynXSpdtWYOx2lT953VKyLyDamvbrQ&#10;+FRP96lOxXb1PZKdbYRisfpDP097RAAAALgFh6TwWjyC8nd+js3PwY9wSCryJWVKvpTs8H35EHMG&#10;PfC4jW7DXx/eOqSj7tHDxoQfMOoL2Du4X0lF9nCZHmhWY5NUG+dDWWdbPajlQ+JZ+6d+E/aN9J8e&#10;jlPPeo+vS2SrCdkm7736AkGciZdVXzmuqvsZfT2npti0LrLxUbJ/1dfPFumd87ja4a5PV+he1+vi&#10;sZYphqWHrsk+qzzTccQPfvkiqXM/9Z3617W0Z7WH9dfXrn7GqyTJ/vUyrcN9K38dJfPKyq6OvSk2&#10;xSpvug9JnSNiZ7tdfXNHT7ffxWPH3fnh6xLpXW2fMdv5PMv1/RVsL0mHy1Y2ybhNrsZs1ptePudc&#10;zbk86QIz3759+88f9gKAL8Jj2nNIGnKF3DvdwfuIlUx7s9V6tyrzHmglU5/53JR9VNG+aDokzP38&#10;JFP93Pd07fg5Jvdek9Q+jtSZxBzZ94jsq44z92WdTLZRf939lmmfCgAAAJfhkBRei0dQcki6kPc6&#10;JDV6uMsX25Jp8y58jx6srrB7KZwPbxOu3x2SGL2Y9X3TocFZjj7MTrbLB+k6do9btp/QOFz/rP1X&#10;uhvrsDrASB3qy29fXx3UiIyBVV9ip/cuXlLfVUwJ6a37qg+u6tvFgdpW2erBu5L9r0QvTard7/p0&#10;h+t18ZhlsoXHvouPibSDXk5M5MuJfKGQLx/q/Esyd2Q/R/vPfir2RzfPZSPXO+OHbHPKPcJtX82b&#10;vp6HYZXMcbUfX9/5f6qfTHp2B3Yr7s4PX1/1Z526/JMxtYrJFbsc6bJujppVG86L9UBaTDHr9ro6&#10;idvOfJgxtIpn+BUckgJ8LR7TnkPSkCvIjJLdOrUi9yLag2kt01ou0VrmPYZE611ltfauyrRnUXva&#10;i+Y6qT1vHqB2e9XUSSK91Zd01niyfmcb9eH9vES6qJ7r5x5c99WDPd2X5W7DNrPO+l7926ZGe7K0&#10;zbT/crnunZhsvNr3GN9T/epnANs1xy/7qM2u7dxPyR7e2+qrbVFtCQAAALfhkBRei0dQcki6kPc+&#10;JDXegMslku7BRrh89dCxIh+O8qHH+OGte6Essv5R6fq5wvQwJVZlZjV2X9+93Pd9Z+1/RD+XH5Wq&#10;w3S9srJDZaf3mXhRjK/IvvKlwxl9NWd8b774F+rfZWde/mf/VTRn/XKho6uzkp3vKqt6LpN+fhGi&#10;lwl5qHWGo37QC5buPsdKfTHR4fo5H6f4qKxiNmNAL0sSv1iSrc6wmwNiFUOTVBv7+ipG8iVPve9I&#10;/bt6pu1lj2rjSrZzRK6MaeWfHG+191FyzB0uW+m4amOVt6aY9ZiPStpG+cH5Ql+lGy8G13z79u1/&#10;97AXAHwRHtP+9f9VzSc5JO3W5qP4uVlr1bQvzEPH+hyyWnt3a/sK69WNLdfnaU++0tnrfldmch+u&#10;+5O6z5va2JF6dLjsyt4n9z3dPjKf9fIgOq9P+8/cJ+fY7/gbAAAALvPHHmsvwOvwCMo//XNsfg5+&#10;1ENSoQclfzJSUh9shMtWDx1CD0Gqv3pZ2r0U9v3TQ2t9uNqJHlzPvmDVQ4seENMWVSpHHm5S9zp2&#10;X9/Z9eh9lSP6ufyo1AdAXz8SG763i4Fkp/cuXvJB90xfee8ZfYVfLtTDOF+vnzrekf2f9bvrHZXp&#10;ZYAOfGVjH15U6fRymX0kOTv25KgfpvtWL40qrp/37mLR7O6zDWt+9fV6uL7D9l2NK21yRLq86bJd&#10;DE73Han/DD39Kf68R9e6dSDvOyJXct7KP1OsdlxZl4TLVjqqbGpD+wKXHY1Zj/mo1Pp6iej5alGb&#10;+UIRfsW3b99+72EjAPgiPKY9h6QhV5AZJau90wrtB9zGan3NNVRreLJae1dlO1b7Dpdpje0OSIX2&#10;S+471/0cy85u3qton5Dkvqd7z3CUnX1ctvLN1MZq3yPyEDht6Pbq81/Ftsm9Tz6vTgfuAAAA8HQ4&#10;JIXX4hGUHJIu5CMPScXuAchlq4cOPVD4vpV0L4VXD3bizEvls2jsqxfQKZXdw5pY6e7rK7uKo/dV&#10;juh3tW1ztP4ZH+703sXL9FuFHdlX3ntGX5EPuj5UyXmVnzo+QvZ/1jdX65kcy0q69rNs9anyoxz1&#10;w3SfD3SmWElcP+/N+Fixuy/zo1+u5Mu2sy9HdnNAHLXdCtffxdJ035H6z9BT+GDfPpfo+3rI5rLd&#10;mCaO1F/558h476xLwmUrHVW2asMf8MiXnauYPRKTR5C/3JZFP3vewM9wSArwtXhMew5JQ64gM0q0&#10;vl4h183uQ1iJ17F6YLhae3fr8orVGrwqS7o9c+5Z6n6qkvrnHuFZ+7ydfVym+yZWbXivXn0m/CGu&#10;euht2x6VtK32Nba5vkq3XVwBAADAbTgkhdfiEZQcki7kow9JxeoBStcl00NHPnDo4aE+AO0ejlZ9&#10;i6x/9rBph/uWaBz1xe/qYWpVZlZj9/X6wFXxfZP9J47o5/KdDhOuv9NtFwPJTu8z8XLmgT5fwp/R&#10;1/hB1weCedh49gV/9n/W7653xafZr14i6VCk6u7yTq9aJh18beeLjqN+mA7GHSu7T3gL189PeWd8&#10;rA4y874O1XW57eCXMVde1u3mgEjbXc2brr+KwRxbve9I/WfoWZGN88VTvnRyX++Z81b+ORLTru9+&#10;zqxLIutO7NrIA1F/8GMVs9ZZ9n4G8lnmj/qbp1+db9++/e8fdgGAL8Jj2r/+v6p58UPS/GsFV8gP&#10;vO3IdTxZrb27dVn7ce2T1HaOJaXbd1iXrizp7stnmWnPYlL/vPfIvidRn1r/Vx8W63DZ1b1P7nvy&#10;mSX3ud4PGdvsqPBXNAAAAL47f/Kx3gK8Do+g/DM/x+bn4Cscksotku4BymXTQ4cfEKaX/buHI9fv&#10;+hZ6KHR9H0A9C7c7vYBdPUytysxq7H74Wx3grA4gdhzR74gOK47qtouBZKf3Ll70ct31d/HiB9M6&#10;/jP6GsWQ6yhmrefdw8qzfr/j07T9dLC70quWqY18yVEPe3akHeqLiSQPU1LvfKG1+nR2vgTKFxPT&#10;C5NK9j9hO+irdPQh3pWDwd0cEOrDOl3Nm66/OqDKA+rqI19fxfAz9OyY5vBH5LyVfya9EpdfWZeE&#10;y1Y67toQ9YMfq5jN/PfM34Q4EutfEQ5JAb4Wj2nPIWnIFXKvdnY/Ko7s9YzXrnrvau1dlUlfr8Er&#10;6dbKo+tod1/u8aY9i0n9894j+x5RnxlW0uGyO3sf2zif3by/UVnlqG136BnDbVn0cz7TAAAAwFPg&#10;kBRei0dQ8pukC3nmIaleVmpTv3rBnw8M3ctPl00vbHcPCLsHLNfXg9FEPjhcebCdcJvTA9XqgXj3&#10;oCVWD4b5Urmze30gXj30daR+00PWzvc7XHen29EHZLGz69l4mfrLuKz6n9HX5OFsjmF1uDeR/e9s&#10;W8m+z/p0Z3vFpMs7vbqyjGN9PfPAn3aY8ljeky81RJZN+Un6+LC86qfvXV/3dLrnQaxkQrr7nrTz&#10;GXsYx/c0JpPz4EredF1Jd4Ap3dO3FdftYiW5q2dHzsecw2n798p5K/9kTE65YdfH7kWty6Y1W6Qd&#10;Juoa5e+7mF3Nwzt4fu1i/avx7du3//JhFwD4IjymPYekIVfIdezKh7Jy3dx9GMj7gPqsslp7p7K6&#10;19J+sva/2nesyhL3kffl2r56lyBS/9wnZBu5H6tYT4naqvvBle1E1p3YtZH7Ho/Bzwjdnso6d3vg&#10;K8ivucdb7eMAAADgEhySwmvxCEoOSRfyzEPSPNTQJl8PB3pAkehhJx9I9CDXvfzMAwTVUV23I/KQ&#10;QA+gbkN91wOE7uEo73G76idfYOua7+keENWX7tcYVg9HlRxbvrDW92kbSWX3oCVS7zp26e8HUoke&#10;hHSPJG3ie86MS8hGbkMPXGpX48oHrnzwdh/5UCod1Y7q50OzyXorVnao7Ox6Nl4kqqOx+95d3J/R&#10;N1FbqmOb6usVsv+zfr/j04wZ2cxzTF/VTm23MpXJ9i6rL4xWVD9KpLd9WXXqfJW+1nxXnOg+ieZC&#10;1tf4K7rH5dJd96iuvmb+8D0T8ovv8f0ayxU8pm5OJtIz+5TO9qnY5U3XtUzjl5yJh8pVPXVdOuha&#10;xri+171uL+f3R+S8lX/UvtuQjo5lzTfreWddElnf/pK++mr086oNIbv4HttsFbOpm+7L/jQ26a9x&#10;qq1E90pUbhvoq3zu9lb2/opwSArwtXhMew5JQ65Q1/9c+ydyL6L11HX1/USu81rzktXaO5XlHin3&#10;BMlq3+Ey7Tkmcr3P58TVWCree+hrkvrnvqDie7L/ZLdvcdlqv7BrI+0gH+fPXbzkM0LGyl1W/gQA&#10;AIBb/M5jjQV4HR5BySHpQp7953b18lFmX4kenKbNfT5QpPhQSvXyobOK2vYL6+7hKB+eUurLWD2s&#10;rPqxrB6OKnrY7Nqw6IHQ31d2D1pi92CYD9xVNFaV+0HpzLhEfRmQ7SZ66POD7Uq6BzWX7XTb2SHZ&#10;2fVMvHT3pSgu/VI+OaNvUvucHvR3ZP9n/S7u+NRztRPFjvNJp5fv68rSr7sXLab6YTX/ZfsO+Xc1&#10;JsvV+rJh5pEVmU8k08uuHc4Jnf8qGtfKbpaVPxXHKxtM/nT5kRi+omfGxySdX9875+384/IqfgF3&#10;Z10SOddSvGaLvGdF9fs0T4TmyjS2KsmujnTo8vRXhkNSgK/FY9pzSBpylVz7tLZ0B1/G9/o5QOuQ&#10;9yn6Oq1L+dztuma19k5ldS9ckR7e03T7jlxj9X2nd95TbZJlXf9i9aGmnf5mqm/Srh0uWz17rexv&#10;vO/RV++39H1Hjq0+h97B/Xb+BAAAgFtwSAqvxSMoOSRdyHv8T1Jt4rXh9sZfogc8behXLz2NHiry&#10;pbLq5aGqvlf7eY/6ctt+sJkeRvVSOHXT992DlPrpXtjrZ/V/ZCwV9SP98gW9fnb/ui6p+IGwKzMa&#10;r9ucxq7r2b++aiy2r22XL7iP4ratg/zTtaMHZl3PB2Hfr/oq6x6qrfNOtyN2MGpL963seiZeurjX&#10;OFexckbfRDayTc7WTaT3UdtOXPWprmm+p81UR9fcpq51eu10li/cpuN7hf3gWLA/3Y++aiyd7yvy&#10;t2zhuhLnjSO6VJvoe8dQ1XNCerr+7t4VntP6egSN70re9H32fV0HdvPItp7ioXJFT12THVIvfa/7&#10;V/Pv6vw4Mqadf9RujWP9nFxdl0z1lepmnEt/970iD2zV3hHsk9Rd38vW0qvON/u9+kI/H42dr8a3&#10;b9/+wcNGAPBFeEx7DklD7lD3GFp/tdZpfZVoPcr1M9csrWG+rnVN97qe1qusV9d1kfUrU5n693Xp&#10;7r2N9hJab7NPrZuVurZKb+kqnTXuLO/q676sn/ZS/1lf+tW9U9bX9xMeh/RT+6bqKOnI+tJLfcmm&#10;2efK/sb7I7elr6u9SOqW+zQhW0h/7/kS3StRuW2mr9m/9AUAAICnwiEpvBaPoOSQdCHvcUgKAB+D&#10;H5b1sA6Q6OWHX7h0L89eDekp4SUNwGvx7du3v/eYmwDwRXhMew5JQ+6gvZj2YDLrSnzYVjlSd9rj&#10;rQ7pVmU6jHVZJ9apO+T0c4naWOneHXAa2aGrkzLVP3pIqsPCbK9K6t6R9kvJA86VjY3GkPUl9cNd&#10;ie6vh7iTJLs6K38AAADAZf70Y50FeB0UlD/H5ueAQ1IAOEJ+2lsvIwCSfMmUn5J/Vawrh6QAr8W3&#10;b9/+8WNuAsAX4THt/+TPs/+F+SSHpEYHdjp402GUTGzR4ZUO1lYHVKqr3wLM3+LU9/U3CSv+LcH6&#10;W4ViVSbqb23qPumvZw//RRP1X9E1lfmwUO3kmPW99nm7Azn1U+0lHaRTd5hsrJtk9Rc+hO2qdl0n&#10;barrk32ExpE+Ud084NzZ2OShtMZ8BNmg6q7vZR/pVQ9a9bP6qYeljj8AAAB4FzgkhddCQflzbH4O&#10;OCQFgCP44VuyexEAXw+/qNq9nHkVHMsckgK8FhySAnwtHtOeQ9IQAAAAAIALcEgKr4WC8ufY/Bxw&#10;SAoAR/Cnl/lTu1DRJ8YVG5Kjn0r/3lhfDkkBXgsOSQG+Fo9pzyFpCAAAAADABf7M2/Ya4DV4BCWH&#10;pAvhkBTg85F/Too/tQuV/C3jz/CndoX15ZAU4LX49u3bP3/MTQD4IjymPYekIQAAAAAAF+CQFF6L&#10;R1BySLoQDkkBPh/5f27q/50B8J/a1f9y+iz4/yrxv5EAXgsOSQG+Fo9pzyFpCAAAAADABTgkhdfi&#10;EZQcki6EQ1IAAAAA6OCQFOBr8Zj2HJKGAAAAAACc5fEc/efettcAr8EjLj/VIem3b//mF9/+8F9+&#10;qAAAAAAAVDgkBfhaPKY9h6QhAAAAAABn4ZAUXo5HXP7Oz+EJAAAAAABneNtSA8AX4DHlOSQNAQAA&#10;AAA4C4ek8HI84pJDUgAAAACAC7xtqQHgC/CY8p/ikPQP/+D/8SECAAAAAHCBv/C2vQZ4DR5BySEp&#10;AAAAAMAF3rbUAPAFeEz51z8kBQAAAAB4bTgkhdfiEZQckgIAAAAAXOO33rbVAPCD85jvHJICAAAA&#10;ANyDQ1J4LR5BySEpAAAAAMA1OCQF+CI85vsf+3naAwAAAADARTgkhdfiEZQckgIAAAAAXINDUoAv&#10;wmO+c0gKAAAAAHCDb9++/aW37TXAa/CIS/5kEAAAAADANf7Y27YaAH5wHvP9t36e9gAAAAAAcAUO&#10;SeHleMQln4YFAAAAALgGh6QAX4THfOeQFAAAAADgBt++fftrb9trgNfgEZcckgIAAAAAXINDUoAv&#10;xNu8BwAAAACAC3BICi/HIy75NCwAAAAAwDX+5Nu2GgC+AG/zHgAAAAAALsAhKbwcj7jkkBQAAAAA&#10;4BockgJ8Ib59+/bP3+Y+AAAAAACc5LGf/ltvW2uA1+EtPgEAAAAA4BwckgJ8Ib59+/aP3+Y+AAAA&#10;AACchENSeEn4NCwAAAAAwCV+521LDQBfgMez8997m/sAAAAAAHASDknhJeGQFAAAAADgEhySAnwh&#10;OCQFAAAAALgOh6TwkvCgBwAAAABwCQ5JAb4Qj2fn/+Jt7gMAAAAAwEm0n37bWgO8DhySAgAAAABc&#10;4k+/bakB4AugT76/zX0AAAAAADgJh6TwkvBpWAAAAACAS3BICvCFeDw7/7W3uQ8AAAAAACfhkBRe&#10;Eg5JAQAAAAAuwSEpwBfi8ez8l97mPgAAAAAAnOSxn/57b1trgNeBT8MCAAAAAFziz7xtqQHgC8Ah&#10;KQAAAADAdTgkhZeEBz0AAAAAgEtwSArwhXjM+b/w89QHAAAAAICzfPv27R+/ba0BXgcOSQEAAPY8&#10;1ss/KPIvH/KvG6n3Sf7wTX7JW7MA8LnhkBTgC/GY8xySAgAAHOTx2Fufi7vnZ0m97zeen8VbswDw&#10;iXlMZQ5J4fV4xCYPegAAAAAAJ3k84P25ty01AHwBNOffpj8AAAAAAJyEQ1J4SR6xySEpAAAAAMBJ&#10;OCQF+Fo8pv2f+Xn2AwAAAADAWR7P0P/8bWsN8DrwaVgAAAAAgPNwSArwtXhM+z/98+wHAAAAAICz&#10;cEgKL8kjNvk0LAAAAADASTgkBfhaPKY9h6QAAAAAABfhkBRekkds8qAHAAAAAL+BHmBC/vFD/t6b&#10;/BcP+Vtv8tfe5C9JHtX+wuPrn6vyuK4P5h2SqKN/C/FLeVz7qY+HqD/1LT0k0kn6Sf75496P4i+8&#10;bakB4AvwmPN/8uepDwAAAADQo2fSN/mwZ2hJ1Jueoafn6A97hlZfb1trgNfhEZu/83OI/hg8Jtq/&#10;fsj/+yH/w0P++4f804f8k4f8N2/yX7/J//Uh/+f4+f/2Jv/wIf8gxIlsJU4sVZz4JP/bN/lPHvK/&#10;eZP/9Zvo+//0IX/zIX/7IX/9Iarzd99+lvzeQ/7zh/wfH+J+pe9/+5D/6W34AADwg/LI9XlYVcWH&#10;Q53kenVFuvUtpaszSaef5dfG9DZsuEDYUXaV3eUn7St+4yHs8VUPU/rAnPaDevkv+WMP+S3J23bx&#10;0/I2FonGp3H6AdIPjPmQ+FMcPq6fgUNSgC/EY84rn/wwPHLeL5+dHz/+i8dXPTtL/OysvPgqz85/&#10;9SF+dpbo2VmiZ+f6/PyfPaQ+O0tvPTv/tz+PHgAAfnQeOf/XnjGL+Dm0k1y3zkq3xlXp6nXS6Zby&#10;a2N6GzZcIOwou8r28pP3JT89Rz9u++VB5uN7P0P7OfpHeobWODQejUvj9HN0HrrKJo7nf/y4foq3&#10;rgBeh0dcKvAzwC1OBA54ydFE/WtJ+u1aJ9me+3C/v0xCkjcdl4nobUhfmjdb/EYie7Nb90JQ8pM/&#10;HmUASx5x0s3rI/O4yk/zupNHN7/8tFPKo+yXn6Tq5HGPX3x34rlQxXkkpbvvqHR9b6UbzySP+1v7&#10;VHnc29q3SOebTtKfHyWdHlelG/tP0thtsnv1W+f/Lp6Ui6s4T6f8tJlOeUvrEBQbVRvavmn/9M8v&#10;/Rd+7eZMxk7GpPObJXPfWaltZT+/FrehX8ZixlvGFXHzJN7sKbtm/MgP8o39pr0Th6QAX4jHnNf6&#10;4zXD+VrSrRWZ971vnqTbY1fJ9txHXT9+uXY8vua6kWvGT+uF5G1YX5Y3Ozjfe9/g/ULuDzL325+8&#10;jIYtipOQM3O5yk9zu5NHN7/cz1Z5lP/yeabKo9yx3on3P1WcS1K6+45K1/dWuvFM8ri/tU2Vx72t&#10;fYt0vukk/flR0ulxR7rxt/H2uN7ZvfNd9X8XT362qaJcneJnwl+Tt/QOQbFRtaPtmz5IH/3Sf+Hb&#10;9L1jI2Mn49I5zpL574pkW9nPb8Ttm34ZjxlzGVfEzhN5s6njSHZ3rMg/jgF+kxQAXp9H8vLC6YXy&#10;lwvj2+KSCc4LoBcpJTseGt8Z2fdN6oNWt1FYbRKmjcKvbRYkb+EBAAAAAAAAb7w9N+VLwZ+en9+e&#10;ufJFsp+f67Mzz8/vjOz7Jjw/AwAAAADAx/P2oOCHRz1A5APkTw+RkreHj19+Kkny9oDiB0pJPsT4&#10;ATMfNFP8EPQMqW1Lav+pm/X9tYestzH99KAlefycD1vdA5ftxsMWAAAAAADAD8zbc18+O9fn518+&#10;O789T9Zn5+n5uT67SurzbfccfFVq25La//b5+fG1e3bm+R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g7/40N+8ZB/76efPo5/9yHqVwJ7vpef4PV59djwXJeeAABfHfY/8L34kWPvP3yIxvV3&#10;f/oJroId/8gf+ZsPkQ3+o59++vH5dx7ylx/i5wl9/Spjh9eEZ0f4KN5rzftq68hH8RX3KP/+Q/6r&#10;h2jcEn3/xx8CAHAIbfKVPPQV1uTLEj0gfSRe4JTkYc339NNVtHBrUyg/vzrSUbp+FtsmnyE2nrWZ&#10;/Q8e8o8eorb0/R0Un//xQ3LDqbZ3caAy3ZP1JHoQ2h1Sq1z3+SWURDb5ih98eGZ+0IOD2tJcAOjw&#10;3HP+kGgOf6+8/5n2P5qr3lfLfmeRfZWvq/2P5NurKLe7H32/Qjrovq/yzPCZYu8sfiG58zmswY6/&#10;2qdpf/GjoxzsPa3GrX2p8vOP7n+N+1nPf9p/qp2vEC8fxbOeHQF2vNea95XWkY/kq+1R9Ayl8Uq0&#10;Visn6vv3eH66C2shwIvilzCaoLDGSffKi6+7cJh9nO/pp6t4AyN5ZXLj8RkPqz5DbHiuX93Myi9+&#10;gfMMX2njlgeVVdRXt/HUxq8ecErymvxRUVve0Eq8wc16X20z+az8oAMct8OaDxXFR869TpQ7dd9H&#10;8hn2P8pbmlNpK9nyLDv7X2lzh58DLKsXCdbvq+SPH3nvbb936zAc56vbMfcVH702fA+cE6a974+K&#10;D+Ekd5//PGfeYz37qjguv/KHNeBjeI8176utIx/JV9qjZBx9hvGyFgK8INrcO5F81IGHN9l66fse&#10;+GWy+nk22ni+h+5HdPahx3uM60fjvfx0lfztxQnHwKs/3Hj+alH/jC8HXi02OjzXz27utDHMF+z5&#10;/VXyoFPt6WdRDwRqXpIurqcH94wVfe8xKo4q1lv1c11SPc+Trt5n5SPzg/uqtv2MOBe98lz+TORc&#10;11fN73xRoXzkh7mPjp1X3/9IL9tONrKdrhwkqh3Nc30QxHlTfrANJM7Dz0B9uF2PYbX2+N5nx4Bz&#10;3Ef6+Eif3yv27Iurvt7VT78/M56ucne8K9Sm2lYfz+bV7Pg9UK56L/u+Io7VH+2Fs8c15XblQJUr&#10;J97FfX10Xn0275lbzuK16keLy4/me+xFPhNX1rwj8+SrrSMfxVfbo3id+izviX6UtRDgh0IbYSdO&#10;JdGPwC/A3+tT6B7Pe7zEey/dj+j8nuP60XjvGDvLMx8s4R6vFhsdnutnN7N+sNOhpF6qa4x3484P&#10;3bJbx1Tuw+ipb+smSfRw7+vd+HPN+lE2++SHa3yGufxZ0P7PB3t6YJvmlu5TnObh6UfgOf+K+x/Z&#10;SrrJfn45aX2f+RvvmfueaQe3K7/nb0h1eKySZz8zuN2P9PGRPr+HXvaJ5ApH6t/t45m8ty7eb0z7&#10;mDu8kh2/F+9p31fjPXPg9+RHHdd780qxb/9N+zc4hu2o3A6/yZU178g8+UrryEfy1fYofhf26r90&#10;AgAvjBekj/y0hT8x8R5/LvG9N/lu+5kbpyM68xB+DtvqVTa4LNivw6vFRuXOXNdhWx5eOO709Qp5&#10;YDkdingNqS/V9ZCj6yrvmA5RfVCjl/UTKpe8qg/PQn64xnvuJb4aPhyTvNoLtlff/8he+Zsbuad7&#10;pi3TDs/MffliapfzXf7sZ4Yj++Bnc6TP7xV7dz84c6T+K72QfO8PCr3nGvtKdvxe7PZ7PxLvlQO/&#10;N3xY7xqvsn9/9X3SZ+F77EU+G1fWvCPz5CutIx/JV9uj+D1SPpcBAJzCi5a+VlymjZc2CkqyTjx6&#10;OXlmQ5ibjk66/tWvrvtFqEQJvkt63txPovJEL3/0UtBta1wan8aZ406evXE6o3N9eJEN9L3vlc47&#10;nVTHGxCJxu7fOLvC0fZcLvt1eGzdA2cXd+7D9epmauUn+7bWMbvys3Hj+46K7p/o7K0+a5wm7l90&#10;undzaYfr136rP47EqMvuxEb2oftWMd3Fhsahn1e2t2/VdmXSw3Ex0dlH+nnMz9jMSg+1ZZ+cxfHW&#10;jduobd1T7ee63TohuziOMgblN12TrOL6yD3JldhM7GPbU7o7znZ5yH5Uucdse/rno1JtnGhMR/KD&#10;Y3mnr+r5XonsNc1TccVGwjYQR3JUzuFOpHPicWSb6mPl74mjNha+T2PvyHF0+arry/bsSDvq0Nh+&#10;0NcdqUvnown7tdo8sR7Vj+KoPd2PYrDDsXcmB9e+VffM2Feobbf7TLLdKQ6uIJurTdvLfXSxq3yu&#10;spXPj/pV2LeTVB2u+Lpypk/f69jT2LJvjWvVr/X1PMh57LYz7uyLSVY5WJyp73vl007P3TOe87Xr&#10;SGQb2egoZ8c7+X/Kjc6Lnais0q17Ho/bqqQdj+I66u+M7TNXd6zKa7xlLKvPXBcnnVxesW209jgu&#10;fE1t7GLCdncdiX7ucobwfeLsepdIr6O5yj7rRG0cIfW+Yqf0mcS62u+dHjtbrcY1SZ2XpvOjdKrj&#10;cizu9P0oG9kGuu/ofMwxVlFZUnOlytXnZMcV3fjUzsqmRnVV7rrWo4v3pOovydxYsQ1TT/V75gON&#10;1V+Orex/Z78z47X9JlH5Uc7ay0y+rbZIHIeTD3flXZ+6d9Wn/XBkzXP/nags8b0ftY5MrNZKtzmt&#10;hbaN61am8l286/uM904n2azD7XgNP5LfkrPxnPZTf6rrejsfJp0/ZZ+uDdtvkiMxYDs923eyVfou&#10;2eXtbh64f/dRx7Zrc1cuZGOV6z6J+pceU4wB/HA44XUJwWWafJmgUqZEUtGCp8mWSVk/W+rGKRNq&#10;JypPpIfaySSS7eek1sSfxqNE5rK6AKqerqvtZ3BGZ9tDXzPxpqhOh8ahsrxP4n719UzSO9ue75sW&#10;Ri/y1adaUBwvVdSH69XYWfnJ9afF0mPoNvJn40Y2kF2sp8S2quJx6vuK2ss2Oulsq/5Vprq2SSdH&#10;Ng7GbUpqzDhG1dekbx2fr3f6C7fTxcbkC4nKug2J7ZCxofG7Xh2TkP1dXvXMGFWf9qfvl/6VOn9S&#10;3Ia+P/LwsSL1PuNjk77u5oNRHtM91be+Xn2RNqt10hcTec/RcTk2tTGcbN/5SqS+VTQ2x+iUh+TH&#10;Oh+kj+wrXbJMP3eyyw+67jY6SdxWjWXrK92kc9a3aLzdHLlqI8eYyt1/J+lntZE28ZyxZB/ZpvpQ&#10;ue7Xz2fm15UcrL50veYuYxtrHEn1p8dlvTsfpB2r72r7HZ4falv9H8UPWqrXIV9Yj9T5bMxav86W&#10;V3Kw25PU+2uMXsE+ULvPQjbzOKeYuorb9di9x+xsZ1t1e/8r8+TMPviKrzs+au99JS+qD7Xn+3SP&#10;9VLZjjP1rZvsMfmt87OQH6v9so2j+fWMvrKn++xEZbrHyI9VL7ctqWOruTNF9+ur2qrYjjW2V7iO&#10;1rZpTJ3tdU1l0qfDObnT07EsPdMmKbpHNpzKO796/ZFkXFSZcmvaXf1qbDlvaj33p3urz1TvCFdy&#10;lfqSbjXuJbL7DuutemfttFszXVb9c8RWqzmYkvbqqO1XyX1c5tXke9hIqD+VHZ2P0rPaxHaS5L2Z&#10;txwz7k/1j7Ian9p3WTe+K/Fu0g/WP9uq/WVf1ivvV/kR1K/bd7xUUftde1fGK59J1zpWi3x+hLP2&#10;EtJX9/meFLWlOarva13Fq+/rUOy5vNpp1afEZZ2+jt8pZsyZeeK573ZtwyqZRxLp6XvUn9q3npJp&#10;/ek4slaq/Q6XT3p6XFUf9aXrq3jXeOQ3x0MV6dphO8je03g6P4sr8Wz9tS5WP+5ixkw2sKg8UaxX&#10;3fSzpcZ/h+u9h+9Ut9PB99fxiLR9leyntqvx6nrOr2TKJ6LmBdvPeujr0VwI8GnRRPAkqAkhyzQh&#10;JJqsup4TSAnzDJqQqqf6EznxNcE9GfU1F4Z8GDZOjlNiyM2q2nLbup5td+Oy7rrvmex0Fr7HC510&#10;se5prw7XzfEK+TEXzqOcbc+x0vWh+iqTZAyqLfejry7T/WrHdSSpg5j8lJvFWkekLrX8TtxoMXX5&#10;hNuoC1baIeegkE2yrOJ+rbfu9cIu/X29W5gnss1K6qKv8pPtZJ9I0rZXYiN9kWMSuaGo/hdTbHT9&#10;GG9+1K5tL9KG0j/LMtZqm56vqqu2her65ZbFZVdRv24rdTtK6rPCPqw5XX1mTMhGmatqrIvUOeMk&#10;OTKfKqvY1PduL2NJ5Bj01b5U3awnqfo61mqM6L70x5HxTPlBuCzjSTg3ZayrX/el8qTqq3q+J/1S&#10;dbhjo8wnrm8f6F5f73KU9Z32EqqvckmdS9Kr+noix2cb238aa5YlHvuk37T2uj3ZP+2lPqc61Y6u&#10;qzrV5h0rO6/IuOjwfK82kH66bnuaLmaFbVJfRGeMyCb2i5hysPpz3zkHVFf6HrHXDufEbr5eIeNM&#10;X3Ocd1FbtpPHbhvlNePraVOhdnIuHJ0nxuU1ts0VX+/Y9Sl8j+eefGqb5HpWSXvoq/VSXfXnepJq&#10;4/TJmfGYI/XzHo1NttX80vXUvctfmW9y/oqj+4bkiL7ysf0v3TJ/SweX1dwhrK9kImM+40t1bQtJ&#10;zZGpe+aTFVlHetuOui5x/uieJ5w7p1ztmOzKPQ7bKseZOTnXmSM61fVH99g/im23p/4rXsdVVn1v&#10;nWoM1v50n/qRnnUudei+tMXZXKUyydm5WfVWP0ftZL9aXyGdM/YlLjNHbaWf3cY0Ls/tTr+c9xlX&#10;6kM/V1vaxnVN/x42yrHrPtfXdcmR2JdMWOc6J1VXtjnKNL60vaQbn+2dYxO7eE9/1HanXG891a77&#10;EcqP1QYrnBvUt74qdp1j0+7PHK9w+RnfmCv2EivfevySqc0uNoXun8qnPvX9qk/d47Kja96ReZK2&#10;k0hnXRO5/nd+ubKOrMgYcZ/Ol+5LkjlUSM+pTOjaVN7Fu+/J2LFuWb7SKf1l26o9XZfYPhL9nFyN&#10;57Rf1j0aL45NSdpeX1Pfrj3dr7Iz/hbP9p11y9ivNhS2leyZqH625z513WuSpJvbrtf1J7wmrfTJ&#10;PoViw/Wu5EaAT4UWEgW7pCbGLNNkq4nISUhyBk/saYLtkon0dHnXhsvqImncv5JAh8uVHCo73a+y&#10;01n4Hkm1S/qqYj9J9w4nw6NjutKeF7TOpm6vJnlfV+x1i1WWVyY/yW5THZGbgYrbvBI31nWymZgW&#10;rFx46xwUOV9q/LhfifSuc9w6r/SqrMbiviSrGE09r8SGY6wbk8jNYsVjrrEh++p63aQI16kPd1Nb&#10;IvNUjjftIN9VHKOSzt9nmOx3FG9Sd/Fhf8juFdnBdrLI1jVWTW5Cq73VluzjuXJmXG5TUmNT2P/V&#10;l7ahyq/mIUkXV8ZtrOw85YfV/O/I+KukvtX2wnO16nnHRi6TnM1RLlMbHZ5LavcOV3OwHyC7cacf&#10;0ma7WPBcq2NOO3a5dEXq0uWkFVOeEyrT2FWWcXs2ZsV0/yoGJt2c17p89Szcb5drjiAdNTZJ5rsp&#10;1u9g/2ecpu8ydyn+PbY6V+/sVcSqTFzx9Y4jdXyPpPrTtpNUPCdlj7N5cdXuEY7Uz3s6n1m/mosy&#10;Njq7pZ+PckRf575unRCrfd80FpNjmvYxLq9r+RVfHbV916bzwbSnsJ26crcpWcWyZNJJ+lZS384/&#10;03jcp9pc+bT6Lds7u96JO7lK97us03nFzk7eM0iS9E23Rmf5KpZWtso2Jrx21v2h8pvnh/o7gvuq&#10;9v0eNsqys/PRZVNukW1c92y8JLvxeb8rqfpfjXfpa7/mdZP1EueoTs8zeM2XdM8kLqsxd2d+i1XZ&#10;iqv20r2rPrNeHY/n5DS3bYtann12fsry2meWHWU3T8Ru7jseqr+tj2zfzbFpHVlhPSSrtVLfJ56H&#10;0qXDvuzKj8a7ZLUPWfmrmxPTeK7Gs/B1STcHV2S71fZCerm8xoJQrKtMfj/DR/iu09dl1cZuc4pb&#10;7/Xq3M41p7N92q+W7+ap++zGAfBD4cmgDU3FZZJuAd1NpIlVm8Kbqy7JmGmSZqLvFsppIUiclLoE&#10;sKt7hZ3OIu/p7JLlybTAKYHK/h6r7ule4lSutreKFfs7F8Lsp/ODWLWp65LUUew2SlObad/apvHY&#10;O31dNi3YGq/bzwUrF7puoyCybtXN/U7+Xek8MdVJG3XjzPJk5ccuNryJkUwx642MpOLrk63quNIH&#10;2Z/HI9vKB0b+k47WXbkqcT/deMVkpyt4ozg9PO1wnt1tNK1vjVHZyw9wErcn0fgn/2Ud2VH3Zl3L&#10;0XHtYlN0/n9WHpp8bdz32fwgbJfVepkc0bfGrOnq3rWRx34lR+m6ZNpLZK7oHhSOkPO/xreZcvBq&#10;LjvG029py2xHOuzW6yxTO2ewfyRn6wrrXO1j+6s8ORuzkx19vY55l4Nte5VfGe8O9W99r8ad66do&#10;nNJ9yptXmean7ZT2s09lu+TOPBHp484nV329YtenyHu6eM3yRO15XlzJiy47M57kSH3fI+l8Nuk3&#10;XZctVOZx7/YNyU5fx51kiv/Vvs/5cdLJ/df4Sty2xplM9ljhOpJu/ZralG6uV/UwU3nGameHtLH6&#10;r6zGafvKfp1/su/E9bI/jVH3O/9Iqo2yv8lfE3dzle1Uc+AR7tpJXzumeuKorezfVc5Qme6pL+gV&#10;T7p+1CZH9f0oG3nskjPzUbjfKbdkvHUfXDjK1fHdifdp3LpHZfKRyuvYvR5fffY01mmKSZenznfn&#10;d9rxbG65ai8/q5/1rfCcVPsdjpta7utX+pzGucL9TfNE+B5JN/ddPo0lr8t3GsNqHZnIsXf6rmyj&#10;+3V9ss3Kdm6zi/eM667uEX9JJhu4XO2YSVfdo7IpnlOX9MlRnD+6PbdZxb3rT/N/4r18J1ye9hWT&#10;3/I5stYx0kPl1QbycdemmfrUnLFPs0/Fntp0f9PaDPBDsXqJvlu0Xb5KYpWc9N0EO/pyyQmwJgZ/&#10;wnDaqDsBTklMuP+alFK3sxunFTudhe+Z+nZ5HZcf5laifqcEXLna3pSw3Z4SbpL3T7aeFoeVn6Y6&#10;Ziq/EzfCi860YKuO6yf2a7VPkhun2rf7nca706vDdepGK3VdxWiN87OxscpZJuM0WcXGtDnyBrv2&#10;lxvvSdRW5rn0VbWfka9c9y6ytdqa/L/Duq7qZ+zmWOUDx0raQeP29SlWhPr0Jliiscjm6s/1j8bt&#10;LjaF28yxPisPdTkh2Y1nyg/Zh74/gudPfag5oq/rZmzesZHo7J5Mtkl9M+4S6eP6EsXPdO/EnRys&#10;/rvreX/6LfPWJNN6vbPjCtVx+1eY/Nvlnysxax/U9fdKDhY5n2Q36TfF7hXSj0bta/5Inyq7PKa6&#10;usc+ll2fqa/ndfVfzm3b0OtkXQ/vzBMx7Q/MVV+v2PUpfI+ks/kUm3fzon2icV/hSH3fM+1rXV7X&#10;Cs/rlajOmRjd6etyfZ3o5p3x3Jnmmvcadawmc0ZlstMK11EMdEz2WOkhVuU5RzvfeG5P82E1Ttu3&#10;i2WR88hkPphE7apuZdffirTDxCpX2U6rWJy4Yif5yteUVzrUnsq7eDpqqynmEutRbeI+Ol91eJxd&#10;7vkeNro6H4X1Xa3jzvXuo9pvR8bj2fHdiferud66SNTGbo/TsXsmmZ4B7oxXuP5qXzBxxV53Y9d1&#10;p5jqyp81X7q1YOLIPPE9U7suT53Tl5Oonvx6lIyhGttiFSOe67Jfx1S+i3eN2eUZ78Y6dTl1l9+m&#10;vq/O/539VqQu+n7CulU7Zmyv6ne8l++yvPpu8pvs2l1P3GbtU/rp+uTvqTz30JPI7t0YAX44piQj&#10;XDYtaC7XBD+KJ6ASZ0cm1hW6R1IXd21gdV0LQocfhKcEmImsJnbrrnE/k53OYnePy+sG3gujdFYy&#10;tOg+2eDsAnK1vcmujqHqDy8OantCMaJ7agys/KTrXR0ztXknbnIDN9lH7aq8jtf2XsWGFiu3n31n&#10;v92G6ohelVWbUwwal9exnI0N+2iVd2zPurlYxUa3Ucnx1k2B9dD9ORcUu2qrs3lucifs8+kh4Siy&#10;pfu6uqE5Ut9zNW2a4+zWD/nc9js7zmy7zrWJXWxOtnqvPJQcmYdTfji6XiaeV9UvR/Tt8uAdG63y&#10;iVjZxvruxq560s3tSM7E3J0cLLqxOx6rzdyXfKAyi+6Xzaf42Nlxh+NLcoUuBmwTjT9tciVmp/lr&#10;257JwUb+8FywPl2uusLKHp3UeTHhmJc8S1dhO3R62Mae8xpT/mzuzhP7eKp/x9cTuz7F7p4pNrsY&#10;qHhMnd3tE43tCkfq7+5xecaacpCuSdIPEsWE7j26Lic7XWyr1Xicx3IPJ1briJjW/0T9dm2Lzk47&#10;dnUme0xjNCs9p1g18qHKFbsdk85H1p9uPlhX+TbjSHNN45zy4pH+Vqh91V3N+1Wusp1qDtxx1U6y&#10;g+tNeEzVd2dstZuDaZMkc8K0R6lMsfg9bCSuzsfUdzV2xZDHbJH+R3PlnfFdjfe7uV73OG9LZMOj&#10;8SHUvut1uFx9JFfHa+ynVf2Oq/a649vVOETqlOXvPV8qR+bJ7p4pN1xdR1ZM+cmsYsQ6Tv16TtTy&#10;XbxrLCqf1v6Vzjt/dfFwNZ7Fzn4r0p8rrFu147ROHWFq01z1ncu7MU22kp91XbbumOa2kI90vZu7&#10;Yprbvq5xpL+lm/SY5i7AD4cmlSeYkkqSZd2kWNVdoQmpOpp0HV4EpnKRyTwXSrFLKq43JUAnqy7R&#10;WfduUbzDTmfhe6aHl6lcdty1fYY77amexPGSi8rZBO+6khoDk5+mDZZZtenrV+Im43ViWrCO2Nvj&#10;rX2732mjcUSvyqrNozHajcV6HImNem+H+6qbjtUcVntu29iv3f2+90z+09hVR/p1ZF6VDe6Q46k2&#10;PELWX41RPtI9GbveSK7i1rGtr2dwverbFbvYzLmftnqPPFS5kx8cT0dtmPFV1/Wdvpk/pbO5Y6M7&#10;Ocr6Hh27Yti6SqZYqLjOlRwsav20Y/XBkb46dnbc4TiSXCHztZnyvfs66jcxzV9dk5zJwRXp7hwm&#10;ecZDoP04zYmrZE4+GyMTmRPq/BR1b+N7q83vzpMpXszU7x12fYrd2jGV72JglRfTJ1fGe6T+ai0Q&#10;U3nG4LM4ou+uXNgXdW+wW2NzTNKlwzmitr2zY8cZ29fxej5O+59JT7GLZfeZ67tZ6Xxk/bFeOR+u&#10;rAXi7np3N1fpumQVix137ST/deSeQnklOWqrVcwZxY3Kqx45f44yxeL3sNGd+Wh9JUeQHp7Dkt3z&#10;gdmNL3Ws47sa71f8WpFe6lf+VDtn5qx1mmzk8po/7s5vx+aqfsdVe+18u4pd7yO6cQjHWi2/0+du&#10;vnQcmSe7uT+Veyxn15EVjoHdvq/GSNpN31fsr658F++Oa93XMel8xF+Ok4yHO/N/Z78VR/yZ8VTt&#10;eDUe3tN3U64Sk63cl8baMc1toWsqq3NX5DhruWOsxjXAlyMToJJoskuOV5PnbgIeSW5ODN091kn6&#10;dazKtXi4vEt075U8VjqZ3T1TuTemz9L5TntO2loIFG+rJL6yddbtNlNT3dUmbdem612JG+mhslVM&#10;T7Y4EnOuW+/Z9XtEr8qqjq5Lzsao8BiOxMaqHZEbgHrPyp5ZTz5Nv9YNUZZNenTsbJ4Pz+rjDu5L&#10;trzCyo5G/vE9tpHurdc67ItpU9nR9XcE15nGMemyipereaiyiwkxzQfpu6ubpG8qO32tZx3rHRvt&#10;xr4q3+k74XpTn5Uj/XiM3T2e044t+0zXK7LRrq+OlZ2OoLyr+pIz+czUuPI81XgUA8nZmBVuO3W7&#10;moM7pONV23dYr279ukPmv+nB+Sz2XTc/Re6b8vvq17vzxO12vnymr5Mjbe7umcpX9tjlRbXldq9w&#10;pP7unqk8c8WzOKKvy3Vvx2q/ssuPu/5zzPo+OaJ7ZVdnVT69nBUrPYXLqn3Ear8rVjqdsW/ua6+s&#10;BWLX347V3DRTrko71Ry446qddvVsx1pPHLXVyr/Ge5m6d7mSE3x/jcXvYaPd2FflR+1bcb2pz8qu&#10;n9Wzo+routqY6OL9il8n0obV5xM7vafyq+M1ui45qqe5ai/poDqTb1exuzp80b2upzaSO33u5kvH&#10;rj+xu2cqt66rts+i9iRTDEzld94zSn+VaZwdfkaZnivcb9Vp5698/sl9w53573qT/VYciRXnu+4e&#10;x8N0mDzxnr5blbvPaqvpuljNbem6qrua246DaRwAXwYnIk38yi5JuTw/dXKEXZLftZvJvk7+TBrT&#10;C3SX1/6VVPzwKekShMu6pHOVIzrnmDtW5R7T2cVi4k57uUisNnbC93YvkvNhoKvvsuonx5akcrTN&#10;K3HjBakbi8gFrS5YtsNkb49J80rtJK7b6SR2bXdMbZ6J0aqnyHZ3seF2ppfEbqur77o1NkyW26+d&#10;/dJnkx4d9leXc/MFuOQujru6gTqDdeliRDZwPs/yna9FvtCc1oKK2r2ygUt96vwSafcaF46lZ+ah&#10;yp384LnSxVOH42+lbz4kGfU72f6OjVx38qfLu/jb7SUmrNPRebHSQdimXQ4WaXM/hE33Xl1fd3bc&#10;kfNRbU0olqdYc32NceWbszGb8zfJeXEmB09IH7XVxf8Zck/X5ZuraLzWcYqfK2R8Ttifjs/Od3fm&#10;Sdqs2wc/29di16eYYs+sym2PK3nRL6eOzpHKkfo7v0/lzmGSZ8XgEX3d5+R/27sbz26NTT/WWMi1&#10;T6J7kyPzp3LU9ppvFeuhe5KdnrtY9j5IbXSsdLbtuzVVMeK8Uet6LejGucL9VRscxfWv5Crb6crc&#10;vGon69P1mftXSeWorY7MQetX18jMCVMuTY7kzY+0kevWNo3Luzjd5ZaJ3XyrPCMGzsb7M3N97jGP&#10;7ot8f81lxuV1Tbg6XnFkXzBx1V7P8G2N3ZwrEvWR3OnTdaf50nFknngsVVczlV9dRyZ2a2WWVz/b&#10;Nl3d3b7PZV287+bPSuf0dReX1utZ839nvx3Wd/Jntt/ZSuNUmeL4DO/lO+HymqtWtvL1Oo7d3F7Z&#10;Zze33e6UOwG+DF60us2oy6aJcnVjqDpZT4k/NyKZlGtiUJmSuMo6vTIxuK4Wk0zuTp5KBO5X7fq6&#10;v9bEkhunbrFwcj264TVHdPbDy7RgrMpz8asLq8Yvvc9sdO60lzaa2jDZj32he71Jsp/q4qB7dF1S&#10;/WQ7Sbo2rVdtU1yNG+H2VVc6SXLcGQMVb/46W9mekrrwCo+nKxMur/NsxdTm0RiVnTrOxIb6cF/p&#10;Y33vvKT6mVfEKjZMjYXaR5IxUe9RX9KlxlJuUGQTIT3tZ7c5zaEzuK0unhOPebUOyB4ZJxn7dfwa&#10;j65LNI+rbRTv6cNEfUjSd7Kl84HbPEPOe41DP1unLOvWlPfIQ5U7+SHjKW0t+6lM+qUt7c861tTX&#10;5a6n/nM+VK7aSLjdKzlK1yWOB+lrnfVV13PsIsdiXXfcycEi/bcaj0hb1r40FvXX5Qa3O+lwBPct&#10;UR/Zv753ufzZYT/7a6enOBuznqNd7Lkvz51EOtccLPvo53qv+5Ada9lZcnxn0JjVv+ItY1P62C5u&#10;t8aP7nG5xnKGKSckGRuSbq24M09yjnhsaiN9cdbXO470uYo9sSrPuWx/qv0jeTHt5bmQMbHjSP2d&#10;36dytee2NcaK/Ct7PFtftany6n99b11la9dPbHPXlWSM1jH5HvlXbebcq+zs2HHU9p19pY/KdE/V&#10;02WSyi6WPX+nvL3SOfvVfbat7Gq/6Z60uchc2eU0XVO9ivu7ut55rJ1OGYtd+66rcZ4l7ZRrbLVT&#10;jeG0k/wodI91cXx2vjtqqyNz0OX1uu53mcbh+vKh+pVe6d9VLH4PG61iW7i8m49qT2XSzfMxY0p1&#10;Ont5LLL7Ee6Mz/fIbmfiXe277GiuV3vpayGbqL7a6fTrkJ7uW/UrWV5j4ep4hcbico9DbXQ6VK7Y&#10;SzwjdnWP7aB+XMfz6T361L1H2c0TYV07v4ipPMfSxZ6uqe5RVvlJuFw2qrhMYptrnB6/x1DnfcZz&#10;F2sas8s7VjrbXy63/dSP56Wk2u5qPO/styPHWnVSmW3YxZ/G5Lo1vna8l++y3HPUrGzlOaiyOrel&#10;i/Wp9s/+rGvObdfr5rbjQfdU+6kNtdfVA/jh8ASsE164rCYosyufcLJJqf3nPepHP7s/ybQwKzl5&#10;8qdkAskkmKJ6Xkj1c010KtN16dFhnafyiSM6O2l1i5RwuRbCipJatq9kW+0pmxzlTnu24e4+kUm+&#10;ivzvRd+LvVn5SbpnOymyoe1Y2xRX40Yovms92cy4PK+ZGh+2t6+5/0qOVd9XduUdqzpHY3QqPxMb&#10;mht5r+wh8c/yfV3cxSo2jPW0dO2Y3MhJrEf6q6ufcyVFdR0LZx4+xGq+pHRjd1nnG7Wb46mSm7fE&#10;mzGJ6ts2OXbVrfNlso2lW6t22Kfqr7Zn6XKnWNn1ah6q3M0Pq3HJ9ontW3NG6jv5e/L1VRut8onY&#10;lcseLrc4PjJHSG/dm3aa8lDH1RxschySKdaE7u36ynlRc+POTkfZxZJkNdb0h+6bdDkbs56/nc/O&#10;5uCca743bbvy44Tjeye7to/k8Mn+uT85myOnnJBU3bo+7syTWteS++Cr6+3EkT5XsSdc3s3pq3lR&#10;1D2O5ShH6u/87vJuLzat73ntDEf0rffUPqXv5P+c9xbVTaZ5rHZlI32vmK4cmT+Vo7bvyh1zVWRz&#10;z5FOz10s25ZT/ph08vqj8imvS7ecV0nWURvSI6/VufWM9e5OrtrZaSL1Pmsn6Wv7V5E+jm/Ny+SM&#10;rXZzMMs7pri05NycYvF72EhMsW1W5bvc4muObcePRGOU3ke5Or478X4217ss781+jq7R0kd1NOaO&#10;Vfmd8da6lil/Va6sjavYVf7z2tT51nboRGVut8bZqk/pe2e+dOzmyS5XZXkXQ5kvpJ/azmt1HVmx&#10;WytX5alnFd3vunXft4pnYfulzZKVTvbXtMeRTO/crsTzSpejZB/2p8ch6eJS7NapFe/lu1X5ylb5&#10;XJcim2dZndsibZWiOeG6nQ1lA7Wf91fbT7EC8EPhgO8WnFWZ2JVP6P5MfpqA3YKoSZgLnCatkshu&#10;o6LklZO5Wxi12PgetysdlGh0rUtkXqC69lxPovvOstPZ9poS065cY9MYsw99r37ObHLM1fbke9/f&#10;LQgV2aVucux/X6+xs/KTWLVpO3bxKK7EjVC57nWfui8XWZdNsaP6WsyqvXVt0tUbBenZsSvvWNW5&#10;G6NnY0P36z7p4nryq9qXvTp2sSFU3+0dmRuyidqrekg3x1VFuqtO3u++rGPGxxFS75XUsasfl036&#10;er53tl6htqttFLe6Ntm2q6O+VrG+Q/XVjvS1v7LtnZ+lk9uQqL5t5etVtyOxZp6RHzr/6FrVy+WK&#10;wUT21XXpW/0tfdT3NK/EFRupXNfVT8euXGNwXpGoH/fhnJk6qZ3U6wxu70wOTmxL6bOyo7D9a1/S&#10;vYvVnZ3Ooj7SrhL9vMqtwjEv2c0ptXM0Zndrh8Yv23RtVV973ai27fo9Sva7kjrnOqxfxq1ENpB9&#10;Jx01/3SfdDk7jqP1ZOPdvXfmicaQ9dRf5Yyvj7Drcxd7u/IredHI3x6nvk75f2JX3zpNcbkrn/LE&#10;0ZxYOTJezw/fJ5Edd7nJ+cZ15HP5Jqk5SfdIB133/FJ5xW0emd9mV2dVvtJTsaVrnZ67WHV70zxS&#10;maTq5D4V29JBunhOqU3psooH18l5onrSt/Or+9M9d1C7V3KV753sNOEYkt5X7CS7y8buX/byOiud&#10;da2uu2dtJZ10r+voZ6O2dV1+mcgxSfR95jwzxeL3sJHw/Xfmo++RvplbNEaP16KfOz12rMYnW+la&#10;zWvmarwL9dGNoaur/qWj40giPaWfdDiKx6O2Onbld8arMWS9qY+JM/YyK99alylmVvNE11TW8V7z&#10;pWM3T3a5aleu9mUHjcF96F7Zfbc/qNh301q5K9e4Ug/Z2DnQdWsc7OLZftJ9HSuddN12kz8n3SZU&#10;x+1b9PMUzzv7HEX1qz8VQyt9bUfpcIX38N2qfGcr1e3mtnyia1fmtvXp5rZQ++rH/boftTfVAQBo&#10;8WZCSejMQgwA8D3xZlAboh8Vb/J2DwJfGW/UtXkGOIv2PV8hlwAAwNdELx69nzz7rO8Xk1df3n4F&#10;sBHAr6M845xz5lAS4Cvig0G9l/+R8bnDdDALAPDd0Yt3JSp9wqP7RA0AwCviFxI63PhRcX6WwIxt&#10;xEEyXEEHo84lfFAMAAB+NPTbHl7nzsIH0fZgI4Bfh2dYgOPoXbzmSv6W8o8IayUAvDR6GahfQVdS&#10;5hNeAPBZ8Cfif/RDjTsvtb4Kd347AsB/9kfCPggAAH40tDfyC9grf0bwq7y8vQM2Avh1+O1qgGN4&#10;rmgd+dHROCV8sB0AXhL9uruSMRt6APhM6NBQH/D40X/73b/hxp8Andn9bwuACR2K3nlxDAAA8Kro&#10;cELide7KB+60z1ZdCX9xqgcbAfwmX+XPhwJcQe8vtD5rXfb68aO/k+eD7QAAAABwGf9JEg5wZvzp&#10;S/63BZzFD6Z8CAEAAH4k8kNA+qp17spLyfy3PNCDjQB+E++x+WUMgN/EH4SXaK58hXmiMXq8AAAA&#10;AAAAAAAAAAAAAAAAAAAAAAAAAAAAAAAAAAAA8KnQn0DUr4y/6p/589/9fpU//2J7fZZ/4J5/Nx3g&#10;FXn1HATPwX8yTTnpFXm1OPT/wdGf4gX4CBxz/GlsAPgR8P/7Zn8JAM/AzzL688TPhnc2n4eVr97j&#10;+e2zvX/8kfC/xNF+4itAHvoYPjqHAHxatABqMnzkPwGeJqF00LVnvSy7OrZX2xTYXp/lH7jbfvzd&#10;9OegDZLi+O5Bz7Pn12fmPTcCsrNs7P8pItEDrvr8qv9f5HvE3mojqDLp8wx/3Gnr1TakfhHzVeN0&#10;x7Ny8TPj77Nz5eWf8ojsd3ZvBwC/jubds3LR3XX+mbp8L/74Q5zT9D18DlhTfoa9yeshnyifSN4j&#10;PhX7apt3Nq/Pylfv8fz22d4/PgvNs++9JsiPsr188BmQvrLX1edj8tDH8NE5BOBT4k+7St7j02kT&#10;/+gh3STMf8R8lztjsx6vsimwvT7Lp4lsP32Fe+TDkTYfd3jm/PrsTDnoLvKX257kK/I9Ys9rQLcR&#10;tI+e8UGYO229VxxeQS90pYuEl7u/yTNz8TPj7zOTMXf0RcT32rcC/Ij4pcgzctHddf6ZunwvpLvG&#10;cHeNgI+DNeVXsDd5PRyf8s17wDubz8Pkq/d6fnM++CzvH5+FD5Ik32tNsE+1L3p1Mv6u7n3IQx/D&#10;R+cQgE+JFwEtgh/1SRn1M01Cf2LpGZ+auTM2vVRX3VfYFKS9rn4656Ox/eQDWLP7TTK/mNcm6e6i&#10;9cz59QxybB/JKgfdQe36gUJf8+BLY9WHLnT9K/I9Yk/2Vp/dhtsvY5+Ro6629V5xeBXFq3T5DA9k&#10;78FH5uJnxt8z8H7po9cGx9yZvGhdr+ztrvC91imAu3iurA48nIue8UGd1Tr/0bp8D3IN/YjcBM/h&#10;vdYUzwe1/1l4tb0J/OpZ5r32Z7yz+TxMvnqP57d8RtU++EfCeW46APWa0H3I+iOx/V/hHcGKfE7q&#10;bHpkLSQPfQwfmUMA4ARKnq8+CaWf5BU2BbaX5LNgfb/Xp68+E96ofdaXQnfQYYTG/tGfWH6vHORN&#10;teTVN7RfAf9Gx6tuuF9tLfxe8/FV+Mq52HPl6ieAr+KYe6+Xf8/gq88L+Lz4xdQr/FWcV9LlvdAh&#10;2/fIo/CaKBYkPAvDHd57f0acfh4mX73HPtXPqJIfCR/oSV79w0x+Lv3sc9P2Xo3jyD1wn8nOPOsC&#10;fGdefRK+2qbgsyWtV7PfK/OZNmrvwfd6afZec8rjYYPxGnhuveqG+9Vyu/SQPtLrq/HVc/H3OiD+&#10;DDH3FQ534MfklT748aN/CMV/ElPj/IprCPw6X31PAc/DcfQezzK8s/k8rHz1HnvpV3tGfRb+QPv3&#10;/i3RI9ivn/m3K4+sheShj+GjcwjAp2X6hIoXEE8UPfz517Mlemm02vSrTHX9qVr1oz95qOt+4VQn&#10;YSZR48ms+hNur/5JxWlsphuTdPDYu03Brs1dua5bX4n695/0dd2K7+9e0Lk915W9becjuJ7GXdFv&#10;wq3Kp0Wvbj7Oxo5QHSdrifRQvcmuK2w/1e3icvfi847PVFd28lh0f8bYGZk2SPKTfO4xSaSjxpl2&#10;Tn9VPtpGvtaJyirTGN1HRzeOXQ66i/0s3c5y1I/Jym/6muNz+7a9yqeYMlfs3vHRsaeXsKs+uxyv&#10;fnVNbU3Ydjn+rq3kShyudBe78qlP+dP61j6Fx9e9xNaYMyc7Ns/g9kUXj7u4Urn6tQ6yn/xve3Q+&#10;yPjSfR6D+tXPtscZmeaNY9Fjkqi/Oq5VzNy1UTcfXCfbFhlHnaidSjdG/azrE904HDu+tqpfmerU&#10;2O7iRXPjKDnGKioTtqF/rmgurcqts/Ts6OzdxdQZrrTpe4XG5Nyir0fI+jUeNPbMOdZPZS7fxceV&#10;MbkP1e1yQ+KcmvHkOD4TU6Yb4zRPK7rPukp0v9qyjXbzuhPVNxpTvVaxjmnf7Nfc1SW54oMaF7pf&#10;sXfFZzv+wUPUh/uSpF+vsMqdGpeu2e9XsH/U/oT61z36Wpn0k30n/TJP6z63L0lbZX37Xu3rmvp7&#10;5odWrH/V1fbRfBOOJ12TyL+6J/H4JlF5pZvTsovsW6k6yS7W3z5yW11fIudl9mHd3XbFfjgyB61T&#10;tY9Qn6vy1K+2e4f31Mmx4TYksuNq/vteMa2rq37VtstqPzWm5DP5qWKfq1yoXvpXY1r5QGVdTEzx&#10;Kzwmx9mReXUU9am+bUu318WoyVyjfm03+eeMHtXmqq+2a14RV+xWfZU4lrrnN9H51ePVz/ZFYrso&#10;11pf21X97XLwFV94jL5H9V23xnink+2X7ZiMsaOS/u+uJe5T+nR08bHyt/D9OY472N/qu+PqM4tt&#10;m3r63klUbmq7Z/PQiiuxv6L60TFd8ZhclnrY9x5TF8uedxOeX7pXdVRXbaiO/VFzz+Q/4XamHALw&#10;ZdDk0mSQ1ATtRakmlpQpqSjp5IKYorZcVieh+tL1XFw0uV23W0SUCFyu+mY1NtXJ5JaiBOGyuvin&#10;Lh1OtpIuqak9l1dxn13Ssr1yfML2cj214QS327gY1+8SomNAUpOs8Hiqzq6nr9OGZIod2W2KN0u1&#10;w46MtykuJ3s9w2dZR6J41CKW/tL9+rkT1+t8oPbdRie5aFsX9VX5SBtp/Lqefs7xps4ix2g7Zd1O&#10;r6s56C65ITwTp12cpEjnLqd4HIqNKQ7UtsY5lU82uGL3CY9P7VSOjKHGhFnFnnOPdK5kjjLqQ9c6&#10;HYXs5LZzTenaMlfj0LrI5h2rTe6qT9nXPqx9rtZMj1Hieeqfp/ipuH3plrFVpWtvtWZLXNbFpG3R&#10;zTHpJFurfo31TlxvtR5OknWmmLljI7HSwfpnzKgdXbeN1F+Ot/aT7audrCvp9FqNI/cHXX7rOBKn&#10;6tNxXkU6H0Ft695sx3aROCfJry5f5WhJh9vvYjfnXSc1fo5wpU3bXLrWGNP4dmT9bh5adJ9zXxXF&#10;UPW3uWon+2bKDSZzas4R36txneHsPDW7PCgRu3md4rnpeBb2weRbte/+0k62Y9a7q4u54oP0q8qz&#10;j26+3eF/9hD39U8eor7Up69d6U/6W98qimmXHc2dHbKr29T3FbXtcumTrPTT2Cf9PF+1j6n1sw/7&#10;+8re8AzOT5KaYxxD8t+UZ6RbjlE6ZaxpHI5XSfZR57TvcV19XemUMSZxrnObU+5zDsq5KjzGrt7Z&#10;Oejr3b4gbbnaT9U27/JeOmXdTjp7Ou7Untu2pF/s7+or52lJnQepT/VTHbvv1dez72wUE47VTlTW&#10;5RWPSX3WsVu62N/hdieRrbt86bju6h/Roc7jTpKrdktfJY4lSdV3p5vL5IeK7aL4ku2ynqWrJ676&#10;wmPcrQ+Zj6qonvXNeFd8py10j36ukmNNfC31SFyv+udKnjeu94y1TrzXM0vOIXNmLczYPpuHJu7E&#10;/oT1dP1sf8qtsknGVIruUSxP5av5VeeHRW25rPo47ZyscgjAl0OTWZNBE6niyepJpkTnSaMJO00k&#10;TUbX1VdvNHVfJpaurttVckx8f7dpVZJQmfTMRLAam/VQmZO56uYBhyQTvXC5knyHdenKXSaRLa2r&#10;9MzEWJOW7nNZbphkO1+veqr9mqgn3HddfNWvfS/R2Csur2Vu0wum/GpfZwxU1Kfr2je2k3yfZUdJ&#10;+6letitZvaR9hs/Un+517NZNr9up9je6321V/bJM47CNdZ90V9/Z3zS/qr4fYSPhOSqZ8D3WKcn5&#10;mkgH9522P5KD7qK+pavbV3/VZpW0oWxtn6mebOqyOs9U7rL0m1CZ559tkeUat/Vc+SbrmMnuK67G&#10;njefZ3OqxybpxmebpE0VJ67T4diRTknXlpA+V+PQc67TXbh+LV/1mbEkqX2mzxPbWdczn6gv9V/b&#10;mcj29VX66ZpQGxmvFY/X8SHUv75PX7vM6B6X6b60SY5F2G5XcnHOiYxF2119J+6rxswdG63mg/uT&#10;dDHl+VljO/E9ass2NI7XWl8281h0j2NF11Onbn5PpI0qbtN9yg7u0/pLfO0I7k/SkTFW7aKfXSap&#10;MZcxVcsc85Ich77a3l29FVfbrHFpX2rsbmNFrZ8xlDaw/7I87V/nt7g6pvSb9Ko6GbWT8eR5JVL3&#10;6vuJO/PU45E+aQvpoTJJcmRee2zq32Tcdtjmtd1pnRdXdRFXfKA6vl7jRm3UPu6QMfr7uhBc2S8J&#10;jctjlj0d17ouG7rNM7lzwm11Mex4lS7V7pN++tltdvo5zlVfYv+orqnz0/fpusQ2eMb47T/1UXHc&#10;qkxfNTbrmX6vMSY8TsXbhO9JGwqN0et9rV918pxQfX0Vuqayab5NbVufujdR27U/I3vouiRjaBq/&#10;6rotSe1LuLwru8N76PTe62qXV7PPGns5Z+ucUr1sW9gmjgn153uyn4ratu5qI3OqdMhxVVbzKtcf&#10;3XcUj7u2p3HLLy6r/lO5y6SPxuI4rj6bUH+un/5QfZWlDe7Yzb6qY1jlMPswddOYsy9J6i2qXSTq&#10;V9clHrNEPydqy2W676gvhMfoPq1X+kLt+L70l+I225fUeFddl3VrnpBeKlfbidedmj+E+pnata6y&#10;ReojXaZcbFx3Kj/Lavz62WWSGv/6uSvLNmsdcWQMvudsHlpxNfYnHNeqW8e/yq3uS+PXvcLzR2UZ&#10;AyqXrPY46tttZkzpes7Lrq51OpNDAL4cmoyaEN0m2hNMUpNHJtGaYN2mJllNFiITVmVafJwIusXU&#10;ddRuMo0tdc+NiXEClNREb92VgDq6jaxQsvMYug1fltcxpr6J9VSyu8Nk8/RjV+5kKnHCN74uWcVO&#10;JTfN3SKbfda4m8j+unb1c9fms3ymBaraJ/F903js59VC183fjsnX38NGYpqjJut39sl4SDJ2z+ag&#10;ZyB7ecPjfrrxC+nnMdYcZiY/7/xmO0i6OHQ8rPLVGbuvuBp7OYZkF3uyq+t1tndZji/jvOqR/dWc&#10;1rUl7sSh42eKm2mTu+szyysuq3FmPTs7nyF9Kf1rPGosLk8yRro1O8ur37LsvXJxzmGN8QhTX1dt&#10;tJsPWd7F1DQ/je2oNjobqk+V19hxuxpLh+N82lN1THEqdN2y2ntMPu5Y9Wemdj1+276W227VPplj&#10;6ziEfODyozF3p03bQHLGVybrd3FtO03tu6zG7p0xZTyscoN16+yc7R+JKd1/dZ7mWI/G70p3ketk&#10;rhdX18JVf1d1EVd8IN10bco9zyLtIVn57Qwe86S/rqv8ynysuK2V3+r+dKefy1fzWVLjy+T8lH3r&#10;fdLV5XdxW9K54nFIuj26yzrbuWyar6t+xeSX1Klbz4Wuq1y2q6Rt61zz9aqz++zGOc3BqY7H7XlT&#10;y3POqO1n8myd7qxB7lOymsdV53x26ObP2T27dZDUMWSsVByf+tr5yfubrm7GcDevZA+V6b4jKI7t&#10;u649YX1rmznG3XNCx9m1+Y7dpn4cS6uxSc9KltdYyrIu1rI89bnjC+E2JdP64PGqn5rDRJZXUu8J&#10;z6Gqv+Oym6/usz4jTr4xtoXu61CZpMsvV3Gb6TchHXXd/qvl0zPLzqYuq+0lvkdyJg9NZJ2zsT/h&#10;uHh2bpVUHVYxbD9VPxiXr/Zf1Re7OAX4UngS1cScE7dLBFmeaLF3Yp2S/WoSus06cSc9tTC6Tl0k&#10;pzq+3vUvprGJ3UI29ekxyzbT5st9Hk1aSrauczS5d3QbAftR4gWxxoHHWjcQab9aJib7pi+njYD0&#10;8j3VThO2n6RbJEXX5jN81pUlaYupD9u/LnS5Ke82iB2+f6XvR9lIOIamzYbbr7GvtlSmfmt9x66u&#10;656Oqd1nIj3sO0s3Hzz/6qY6cTtVX49D0vnNbUtW9q92muyzsvuOSY/dGCZdfP1K7Olnl1WmOs63&#10;1U9TW3fiUHXdZtXDdOV3Y3+Kh4zRydZHcPvSsctZky1dr9NZTPWExyuZbCmyjWmMnoc1F/v6ag4n&#10;K32v2sjjvDIfhMum/N/FhvpRW5lnsn7q2vUpunZ3THWyvy43ZfkZ3N8q38n3uif3Lu5P9d1G2ifn&#10;a93zuL1uzTC7/WjlTpvWfxVfK7J+F9fWbWpfZZIaR3fGpJ+ndo19WPXSnls+c//Ti4qK+1zZcdLJ&#10;41iNteK2pnmt6yqXPhXXrXpMa6GY6giXndXlqg+sp+TOM9KOjKPsS3qrTHrr+pn9kscs6WwpPKdq&#10;XF/BL35rbOVzWdrwjn5Zd6V72rWLGZern7usbGkdpjnu8mqHHGc313XNsZF1ZXONd5Uz3e5q7Nl/&#10;RX7W9ervqY6vn52DXT8et8R7pzo3PPaq3zN4tk531qD0cRcjRvdIFBduS1+nvOYxSrdVuyJ93o1h&#10;ionMr92aLpzTa13h69O8Oju/c8wT9m1tM3ONxnsW+2QVA+aO3SZfCMfSFGOTHVdtpl26HCxcnna7&#10;44vUp47FeL6u7rHu3bhdNsWesE/rh1BW7ToXyMcmdU0bHcnzQvVVXuvfpdPVtpdO1iv9nmPJemJl&#10;l/TplI/ynjN5aIXH0OkkrrSZsT2NxWT7dT0RmQu6OJ5smu3q+w6Pvba7GvNUB+BL4mRXF7/8BGKX&#10;BFxeF8Cc8FPymCahNntT3WkxdbLqPinRjU0LkPuYFvwpKQnXnZLSVO7FtkuSYpW0/PBa68pGHqNE&#10;tpg2XCu68dqPKvP3WZ52rH06NiSr2Kmbk4y5iex38kHF9uv8KTLuss1n+Gzq00zzKFEbuqfOF/fR&#10;xX7Han59DxsJx2/dbBlv4laivnM8d3LQe6CYtZ0kday2gWJhwnmu+mfnN/fbbThFlyPFFbuvuBN7&#10;Lq9jsI5XYm/KQcI2q7Hh/qqfprbuxOFu3kzl8qOvX4n9KR6yP92jukd9n7j9ad7ZlhKjfnztypq9&#10;iy/jvq/k4iNzOJliRlyxkXDcXpkPOT+7PUSuu5NI7zp+561unMb1pd9RbKMaD7aNyrv4dPnKxx3u&#10;b1qnRBcbHr/G5u+z3Dmi6pP+0PcTzklTrCR329zF5Y5V/ZzjnY1T9/Tr3TEdyQ3220pUv5s3HVfn&#10;6dGxJlln0k82UXlnA+ta7WZ71vme/dX5d0eXqz6QDo47ido56qcz2B4rObNfErpf9Z6dOyd2tq/X&#10;7+i3y9Pm6t7wCo6TuqZk3HZ2XsX1br3JPeIkqlv73elkZNvuPunp62orsc7Vr1fnYBdXHrfK/H2W&#10;p37vMV+fqVP6otoymdagI+tq9uF29HU1d+Rv11Efan+63z6XdPdMMeH5p68TGePJkRg+sj4ntqX0&#10;nZjy2dm+kqMxYO7YbfKF6HJY5oD3eH6a/HjHFx6j2phiVmNxv9M9alfl3dzyuFZrh9uv8Zl9J/aZ&#10;9E7Sl5N0ed7kXH5mPuzsY5+oT3+f5R6L9K3Ypt3e1j7t6hnfIzmThybuxv5E+kO+VhtTDO5i2fuo&#10;yS6TTZ+x/zqaQwC+JKuNqJPjtIC4vC7ynrirhDNNwlXy7SZ16l+TwDS2aXFLpqSUibFLdrlZyPJM&#10;1FVPs0pasofKZJ+K+vRCZ6l673Df6TP3Kdt53Flu/3d+nmLDTLFlu0/1xM4HHSv7iS4m3tNnyc5W&#10;YtLD80h6HGE1v76HjXKOdg8WOZ8UZynalEjXLgbu5KD3QnraxqlXjrGzgVEd3VPn9s5vbrsb55Qj&#10;r9p9xZ3Yc3nG+d3Ym3KQ6PK/9e82ulNbd+LQG/dOdzGN7U6fUzwY3W9fSNTO5LOOXfui01/9ut5E&#10;5zOziy9zNRcfncPJFDNXbXR3PmR8d7iuytWvRbZSrHb5Ragv1dM9HWm7ozllZaPJruaIjyvZ38q/&#10;jkGP1fWc8zyn0xaOzWqftPcK3SOZ7J/caXNl8yPs6itmXd7FgePTtjR37XQkN6ht3aNYztjXPFT/&#10;Z+xxZ54eHWuym9dCY9E93Rzt8mq2WX01+Unc0eWODzRn3a6lWyeukjlM8t8/xPppHBr30dyWvEfu&#10;XNGts2rXtq/xeke/XZ42u/npcsXAHVb5aRXTYhXXu/XG80ttO2Ykqie7TuvNTqfE/svcZ73UV2Xy&#10;zdU56LyVfdlvquPcn+Ur/Z7BM3VyW53/E90jubKupr+th/rbzXv15XG5TjeX3OYUpy7X18QxsZp/&#10;imPdU9ezIzG8yzFJ5ptp3gj5T/fUNcB26uyz42gMmDt2m3wxxVKX1yvdOm92dunav+uLaYyJ6uie&#10;Oh8T2znnnPG4Jh/knrSS48s56DZrvF7N8+ZsfB3Fellfx5D0FI7BHM80RuGyKzlG7O45EhfJ3dhf&#10;cTa3TjpPc8BMNn2P/dfR9QjgS+AE0iVeT8BpAZkm6G7CZ9Kqk9CLXpcguwXLE727fxqbk37deBgl&#10;E/dTk5J+1nUvIBXrU8tT92lT60RYk1bqs1pI1YdtL1ltvirVth6ndXG5bZmJVGWVo7FTy63/lPSF&#10;Y2TyQeWI/ey3jImP8JmY5pFZLXS+3vmgY5pf38NGYreByfbPcCcHvSe2v/QzR8aY/smctPPbzj9T&#10;jrxq9xVXYy/LpZfZjU14bnWxN+Ug4TUi/eQ47u6f2roTh55vne5imle7Pp3buz6neKioDfcv2eU4&#10;c6R9t5v679bsXI9yfohdfCX249lcfGW+TDFz1UZH5sMUM8LzM2M+6ebEEayTxtXhfqXbUVY2Ws1r&#10;sfNxh/uTrKg28hx2TLrcOdBzUeOoPjti79TryDp2p82VzY+wq2/dpjnuOKnrx50xHc0NvifXn6vc&#10;madHxlrZzWshn+ge2anS9Wn9ujk2+Unc0UXXJHd8oLrq221NOeIs6VOJbPYM3F7nF+H8ciZ3rsh1&#10;1PNk5TPfe0W/XZ4Wu/mZ5XfnpnNEl59WMS1WNtqtN47HszGz0ympfaSfO7tOvnGds7bO+SG87jm/&#10;udy2T/3u+nXimTp1ObLi+JJ4bolV3CXpb8W982RdIyY0PudtSfX7bj7eiQnXrbruYjhtPuWYpPq0&#10;I3OG92Vil2t2HImBxH1dsdvkiymWrJvqdaSd0ybiiF2kX23/ji/ENMbEeU1x1OE5Lck5J7LvyQfq&#10;W+WT3Wp996d5pvaTq3neaI6o/pF8f4Yat/al/eFy9+sxKsbqGHexYp+ubLDz+5G4SO7E/lFU705u&#10;db0ux61suqon7Msz+6+j6xHAl6AmyETXJdMCMpXvFgMnk24SrupmMlOykPjnugCKaWyrMQsnFklN&#10;SquHodSnLmS7DYMXY0lNWru6FdtwGl9H7cM+SrtmuW2krx2+99mxI6zb6p5kZz8tQn7gSNvv6j3L&#10;Z75vslVuvJKMt6luZbLv97CR2M3FrH+GXRytctB7Yr1yvEdiZdqYHrV/jR0z2f+q3VdMPtmNYSrf&#10;1bPNJF3suUztVNLeYmfHqa07cehNbFc3/VPHtupTsbPqc4qHjswJ0/gqu/bTp7n27ur5AbLWE7s4&#10;SXxfFxNiysVX5svU11Ub7ca5ihmxihthGx+JjcR9djbNPd2Zh/+VjVb9iV15x84nJu/z2DJW7CO3&#10;47mouKoc6dP7sJ1e5k6bR20wsavv+Jr2lKqncrWT3BnTbs6IK/usFbs+V/P0yhyc7GZyDnbPUWfX&#10;wlV/V3V5tg+sxxk7rkifSabxncXtdWNOm5zJnTuyz/RHp8OqbKffqq5Rme/r2JWfYZVHdnG7Krd+&#10;0zjP7qHMTqfE+c9+2OValUlS5ztzsPrJ617O8Sy3vpN+z+CZOq1ix7h+vedIXVH9nTnnqD9We/Zd&#10;W1P5rt4qh+xi2LbpnlU61L77msj17Myz9I6za7P7umK36foUS9N1Y90lmufJzi4ZU7lfOWLPyRfC&#10;dSf7iFX8qD3P6S5+jui3y0NuX+PO/rr9vG00xfoO1+/avkPGhmNO4zC2k2NnNcadTV228ununiNt&#10;JHdi/ww5D6qP3X6nc66rufaYlU19fdeu1/1kqruzF8CXYlpkVhNTZHld3Nxmt7B40ZF0k9Bl3aQX&#10;Wb56iSymsTkJ5EJgvGhbKm6z6i4bWB/Jyp41ESqZOblK6titb2evDtu4S4wr3L9tUP3nco9FOp9N&#10;6mJVbvtOnwyzLdR3jbuJ9HdXx/aqbX6Ez3YLpJg+bSldXffoxsn3T/p+pI2ENyg11ow/1STp9Jpw&#10;HHXteiySo3PqGaSvp4eJboy6ZjvKT8kuzjzWKRfYTrXdq3Zf4fbOzhWXK78md2Iv63bUtt1WbUes&#10;2roThy6rvtmN7U6frlv7nPADU8bzCrffxaPizGto1c0xcGXN3sWXuZOLc75MdZMjMXPWRjVmkyO5&#10;2OXTWuKx13m4w33WdnMskqMxJ2yjWmdlV5HlZ/Labp0ybl9x6rjLcbtc4/ZLzsmerj+V51j0/RHu&#10;tDnZ/Ci7+rtcMul1Z0yuW+dSojhx/ekT22dIfc7OU8/BLg9O7Ob17pPjVV+3V3Uzvrcrv6rLs33g&#10;dXDaF50l879kss1Z3N4zc+eOnKf+fsp77v+sfhlTK3bz0+XT3D/DKj9Z113M19g8sqewnaZn3gm3&#10;eyTW0o45x7o1cPLN3TnouooVfa0x5XL3L/2O7KXu4D7v6rSLw7Rp9dcq7pKuvtfMM/HfrbOpX8eq&#10;3NenmPD4ujnsut2an2vhzjYm9exiW9emNnOOXOHs2mw9z9pt5QvXmcbW6ebYn9rMup1NvZbWfHLH&#10;F7t4NB5vtz5ZL0nnU++/V/5ybp72pGlv+7/rS1zN88I5W9LZ8g62texgX+d67nLpb5tN+cb1Oxsc&#10;WQt3fj8aF0nGb2UX+2dRH2rnTG61DpoLHSubut30l1CMON4kaiNZ6ZQxDfDl8SJVF+pdMlwtMLlo&#10;ajIKJUhPPieSOgkziU4Lgduw3tJvuncaWyZGJzMl7dzk6GuXlPyyTPc40at913GfHrfRvboukX2k&#10;s0T9q47rSyruMxdXtad26mKjficddrj/qX4d45REj8ZOV24fqA/FQ+LFQjJtLDtsP4nG4Lqyf26k&#10;apvP9lmHbOw2vNBp3OrHrBat9En6S99LZ4lZza/vYSPhsXkeS9Lvtf2K9FHdGqvWOe2idnc5yEgP&#10;36OxHEHtqz/5PPXRGNSPytRejXv1peuSOka1qfu7emIXZ647jdM67fxamew+cST2pjG4vOpxJ/ZW&#10;Oci4rm3U2UGs2lIdt3E2Dt2vxl/H5jJJ5Rl9Zjzoe91b/eZxq04tm0i9pY/0EvKlY1X36OfkGWv2&#10;e+bijEWNw/qrruynevkgs4qZqzZKHc7OB5F1hdrLPtIHORahfnRN/VTcb9pFNvF1fz2aS4RtlHEq&#10;VnYVLlefZ7Df1a7tar8kGUPSUaJ7TfrIY5jGrbH53mpvlbn+Lq6TO226rNr8KKv6spH16uwhW7s8&#10;7SnujOlobsgYrv1LN7UzrbGVO/NU46t1hdpUmermnBV5v1B53iO9Vd7lTuM2bEu3VVn5Sbjsii5n&#10;faB21U+2LxRfHseZnLNCfXhsXbuKQ+nd9ecY1NdKjtnjUFu6rjFM43CeU/lZZDPVdd9qo/OlWOmX&#10;bUz6qd6K3fx0ecajY+js2G1L6Z/sYjrLu1hzmXOT7s92bG/1r7JE7Wk8dT7sdKqkHh5nzZVm5Zv0&#10;95E5mNT+a0xkvOnr1E5y1ddGdbPPqzopZtzW2TXIZTXuksnf6Vf5zagt6Vp9lHkhy3bzcVWuay7L&#10;NvW956f6q3MjxySRbXyPxmW7TDp1qE+3lzlBqL/UtbLLNTvOrs1X7bbyxRRLqZvjRO1qrLrmOO/W&#10;XesiUZ9uW3o6d0lq3N/xxS4eTeZOz1217f26x9XNW+cOScZd4vJ63WT+8Vf135G61nvUv9qa9mCu&#10;K190eLxT+YrMIdJNkvEo3bJcXyd7rOZQ9uNYkR2yrzt5aOJO7Hc8O7daj6n/lU2tu9p2DEs/X/fX&#10;6q+VTvZxzSEAX45Mfp5gxkm5Lm5mVZ7tVtFE96SfFnJN7An3a5kWpNXYhJNHFSUqL3xdUsqEW0Vl&#10;brcmUOFxV1Edt9slLbepe0wuOKojvfXV1ya/rcj6XcLWNZd3eppVbAiXdwu67OYk7X7Ur6/pa9rh&#10;CLZfjq+KF8/KM33WUcdryUWtu2aswyQ5Lt8r3Srfw0YiN6qWGnveREhkK5VnLOpa5WoOMt5ESKTj&#10;EbqxVJHeXW7Iuh5j+mKqt4sz1+9iZ5cjr9h94kjsTWNYldf1wLKLvV2OEu7X7XX2F6u27sThNDbZ&#10;Xffr+25sWhNrHcuqzykeMjYdA2mbyW+VbH/KMxpbF6uyffaZIn2so8ZXcb2dnndz8eQvS+5Vppi5&#10;YyNxJxfn3LbU3Jc6qU3VyWvqv+J+q2gcKrPNp/lVmeJUTHY1u/KJLrdr7BWNIe+p9hNZ3sVrkj6x&#10;vXMe7Op3XGlzZfMj7Oornl3e4RiSnh1X7eR7drnB+dai9iWZL6ZnkY6r81TxNeUFifSppG0sGZcu&#10;72LVpC31/TRXz/jJclSXsz7ImJLNdG/a7mwO2KEYc9v/00Osn691vsm1WvdWch+aorayrPojbXIW&#10;2d51Jd3exKz0W+X2o3l4Nz+7ctt8isGOVX7axfSqXONOX1hy/VZ/eY9j1WOT1GevnU6VHJ+kW6fN&#10;yjd38mDOvS7W7TeJ7j2C65zxdfJMnfJe6aOf04d31tWVv72WyAeeZzmHpUfVJeeL2M1Hl3dxk3lW&#10;4v78s/rtYiLH1M0RiWy+sktHjl3tSpfq5279sn2qbY6iNrOfKtIluWq3yVerWJJu6f8U9WmbdTHq&#10;etOeRVLzk7nqi108mlw/q2gs1rlbw6r9LSbLJxzDlskOQj7JOJcdNP70S1df9nH5tBa7fGevjmxf&#10;Ip9VsnzaS4vVHFI/3TzPtXDnd5ev1q/KndjvyJhW/erDs7lV9VXe2V2sbPrs/dcqhwB8ObwIaCJV&#10;PHGnpL8rVzLPxVBJzclQddVnnYROPqsEmEmhSxpmNTahxTUXfenq9qzHtCCp3IlL7SvReCy6prIO&#10;JSrd68Sl+9SWrvvho0ukui7JDZPqKKmnjdVu2vkstofa6drI8m7zZu7GjseWC4++17WziVttuQ3p&#10;LB9PcdnxTJ9NqJ0cq3QyXrTUv/rsqHNN98rGdX5M8+t72Ui4rvtSXdWpSCfHjUU/r2Ki2iXHobrS&#10;d1VXdVb3VDQWxbTbdr/6Xn1Xf1TUp+5zPcmunu/r4kzXVKb+pVtFtnD5xBW7d0yxJ9zuNFdW5avY&#10;8/ika8VjmnKQsC/U9qSb2LV1NQ6PjG2aV6s+fb32OcWDxq5+Mkfpe107EwM5pzQGjcVt6tquPelh&#10;n0g0Ds8N+VjXurni+1c+NNIxx5nxKt10zfp35Jgk+j5tb6aYuWujVcy4bZV3yD7WSyL71r6sU8aW&#10;+lI9jeWIXeo43NdRpjgVu7m4K5+wXVVXorHInh1p+84eLteYJ3sl0rXaW7rUmDrD2TZXNj/Crr70&#10;Ubn806H4UXnOx8oVO/neI7lB7ah/tet66u+KLxxPbuvMPK11U48uN+zmteflagzOu+pzZaudn+7q&#10;csYHspPWBZX7XtVT/bP+Osr/5yHuy6LxTvslXfNYpnwy5U7HicoqHnO399kh26iuZIrBZNJP9p/0&#10;O5qHrccUc7XcfUqk11E8Zulf2cX0rlx+sn2m+2Qv2S3v0/e6t9vT7PrscJwpNmSniZ1vzszBRHV0&#10;r+p192X5KseYq75Onq3Te62rK39nDnGsSNcunjw3Kzuf78rdn/WQyA66f4o179k1Jse/60tXjXkV&#10;pys05+w7i37u5pLxfUf8PCF9OztMdr9it8kXu1hSX2kT9XP0+cltqjzjW+1NsW2u+OLo+iDU/qST&#10;r3e2F4ox215fM49IP12XLhOyqfuVH3c4zo/meeG5r/s6vA+Q7HwxYRuojy7uXC57ruak9Zjm0G4t&#10;vJuHJq7GfofnbPXhNMd3Otu2k+/cx2RTxYd1UVvWQ37SNZVVJp12OQQAAH4gnPQl0IONAOC98cPe&#10;6qHzq4ONAAA+J375dPSF2x28VtQXjXfRSza1u3sh+or4hedn1B3Oga8/N86VymMA8Jsor/kQbdpT&#10;KP+pXOs2AAAAwCF46bwHGwHAe8NLkT3YCADgc+IDxo/I3/7tgbO/VbFCL2LVpl7MTr+58Krkb0FM&#10;vzkEPwb4+vMj/0nkSwD4TfxuTgehHbtyAAAAgBb/iQV96hR6sBEAvDf+RKz+5A70YCMAgM+JDiyV&#10;v5/xWx06/NF6UH+DRL9d4sNYlT/rt+h0KOr155kHrx+BbKBDY+n/2Q534Rz4+vMjvynPSJ6VvwB+&#10;JDQvvB53HyTwHOI36QEAAOA0/rT1R/z5q88KNgKA90QvfJVjJHzyvwcbAQB8XvLF5V3y32DoZan+&#10;yoD/0oCvPeuQSC9Z/Wf7nv3nez8CfcBT9uDDRT8++Prz499Y17sHAPhN/EGo6QNXWq81f3hWBAAA&#10;gNP4hQKfOJ3BRgDwnuSfR4MebAQA8Lnxhw6fgQ4T8mBUopejOih65stRtee2+a0UAHhP/GdCP+MH&#10;MgDeG35LFAAAAAAAAAAAAAAAAAAAAAAAAAAAAAAAAAAAAAAAAAAAAAAAAAAAAAAAAAAAAAAAAAAA&#10;AAAAAAAAAAAAAH7J//gQ/fPrf++nnwAA3o9//yH6R/vKOZK/+xAAAAAAAAAAAAAAAIAP5d99iA8r&#10;/h1dgHfnP3jIf/QQ2f4Oqq92dOj0WdBB/GfQWXNBev6HP/0Ez0Kx73yjg1KJD0n/+EOw+TGeOY/u&#10;xvpnmdMAAAAAAAAAAAAAAL+GDy3+0U8/wXuTh9I6WLiDfKZ2PtNv4vm3ll9d57/8EPsJnoMO4+x/&#10;5Z3K33wINj/GM+fR3Vj/LHMaAAAAAAAAAAAAAODX+I8fohfcOqCA+/igZzoA9SGpDhb0m3N38OHE&#10;q/zmnfTYHZZY51f/rTP7kXnxPBwf0wcybHPlpK/MR8+jVaz/SHMaAAAAAAAAAAAAAODX0MtvveC+&#10;+1uN8DNf+cCAQy5YQXwc45XshM8AAAAAAAAAAAAA4IdFL8Al+r9ycI+v/v9d+Y0yWOE/D939qV34&#10;Fa80j5jTAAAAAAAAAAAAAPBL/NJY6M+l6v+5+ZoOAaYDgDxA61iV+7d5dJCpwzf91qcPHPQ1fwu0&#10;02n6c6z1UE/tuy/Jf/UQ3bNC4/Vvo0rUr/qf/pRs2k8v3nMcR7hqf9ON0XWy7STtL3t4vLpfP/tP&#10;Up6RySfWz7pI1F8d1+rPYK7iRe3ufivsjI0yho6K2q68h84+2Kk678gxVe7quaKbS+pPfVV835G5&#10;3c1F28u2kUx9ibThmXl7Nj7Uj5Eu9VrF/lAeqDg/WFdJxvJZbLOurbRPx863d+eR4rBeq1jHHH8X&#10;63d1STxHZCvfK3/omso6amzqfvlxuh8AAAAAAAAAAAAAPgC9dNdLW78c90vfKt1Bg19id4dawode&#10;arvil/xq1y+Oq0gfHV5M5d1vAnkM6tP6VVF73SGLXljnS399L3H/Xb20nw6TXFeyO2wRrq97pfuZ&#10;sYraZ4rHsrJ/53PpJNvl2HW/7VHF9boYWeknyTo6NNC17nDI+uZhVpXpMO+sjdSHrrsf2SDHm2L7&#10;yF4V11/FeFdPrHR2WefXCftZOlXu6DmhuST9urYs0imRPXW987/wuLsxpL3Ur9ryuCR1/tyZtzpw&#10;U/s5PsdDivvX90Y2dp2aS4Ts5vJqn8wPalvtpg4axxnquFPUtr6q/UrNk52Iu/NI3+va5A+17/7S&#10;ll2sP2tOy/ddG/pZ0tnL+rg8+zjrMwAAAAAAAAAAAAB4In7R7Je2eonrAwW9ePb17uBCvxkzlYnp&#10;0CsPAtS+xAcCKvNLaB8AZPlOJ7/49z16Ia0X2yIPKLqX0+5P48qX7qlTfXFe7ee6qpNtTOzsn7ao&#10;5Mt36aU+hep7LJKd/XWvDyttK+N2ugMDkb+h5f5N/jZq6qdx6Wf1nbiv+puEVV+Jxq7rEsehpOpw&#10;1UbCsaQYmrDf7DOz09kHK/JvZaWz40HS6TzhschWyR09J1TPts32hOIsyxKNVdcne09z0GNTu45j&#10;49iobcqW1kFfz85bsdPXfddco2uSqquw76WXbSZSX92T5Dw7yirGdvPC46q6KBeoTJJcnUeZrzuk&#10;W9fuFOviqi5CceGytJnIPJh+VR1fr35TG7UPAAAAAAAAAAAAAPhA/KJfopfj+eJX6GWyyrqXyj60&#10;mP48pl+21/J8+a2XzvVgLnVSH5NO3Utwl0m6F/zTeNxnN07hsei+JHXt9Nmxs/90AKL7/MK+HsKI&#10;LF/Zv7Nv4vu6Ax3hw5Z6iFYPFI4w9bWLl+mA4o6NhGNl0j8PQOrB2k7n9HtyRGfXm+ZdxzSWq3qu&#10;8EFU157wgZ8k/eVYV71K6pm29nXV6eJ4OhTLcV2Zt0L1VL/zk3B+rIdj9u8q5jJ3ZUykvUza8whH&#10;YmzScfLdiqvzKOd1jaPUsdp31d9VXcSqrvRxvbSL86NyOwAAAAAAAAAAAAC8GH7xqxfO9aWwmF4M&#10;Ty+Fk6lcbbms+00a/4ZQV1esXla73vRS2n2rDZMv3LM/2UP6rWyUZWrnLKu2hfRRuSTxOFb9ut7K&#10;/p19TfY99eFDqHrQ5Ov18HRiGqfYxYtweY7njo2Ey6Y+fWCk9is7nV2ecSju6jwx1bmq54Ri2O3V&#10;wyujcfme1Eff+3rFOaF+8MHzR3oata+2Mo/Usd2dt2I6BBU5xnrA1+ks0naZCyYfaIwq0xhUPh3W&#10;VtzelRjzh0WqH1a4rSvzyHWrHj587PLLVEe47KwuasvX02byrXRxLNR1x3pKug8MAAAAAAAAAAAA&#10;AMB3xC/Y6wt74/J6EOCXxpKOVbl/A2s6eNm9iLdO9UV3/uZR94JcdH3ni+xJ9BK8a3Nnvx27+v7t&#10;OkliG00HI3fsb9z36qBzOvDxuLrflutwX93h9k7fye93bJRtdofXwodNnV47nV1eY/yOzhM5lnoo&#10;dlXPCftR/p/Iw8D0Vx4s5vW8Pw+a8vok0qOLwbvzdnUIKlZ+8gcIqs19qCubJz6AW4nanA48K1dj&#10;LOOoG3NH1rkyj6xr9ZNtUn2b/VV73NHFvlmJ6tR2pYNjTaJ2pr4BAAAAAAAAAAAA4APJQ4buxW2W&#10;15fifpncHWqJ1aGXX3DXg1fjPrvf9lnp7MPO1aFe99LdB0GqpxfdFr3Q1n3TgcDOfjuO1O8OVKbD&#10;pOSO/c10aJN0euRhxGS7ivvS18pOX//2l8TctZFjaXXYJ5/onnqAI3Y6uzwPee7qPLGaF1f0XOG5&#10;tIqZPISrB1k+UMq579jIOSBsC9XxnJWob/mkyx/i7rwVOYYO58eqs+h8mDpNcynHKFEf8lu14Yo7&#10;MZb2PsrdeeR4ygPdbLOOfRXrd3RRHV2XTdIH0kt2WcWRfOh2LdMBNQAAAAAAAAAAAAB8ED5cml4a&#10;d4dPZnWoJXy4UsvzJX13gLY6QBErnX2gOB3Q5EFEHqBML8Z37Oy340h92zFfqu9sJK7aP9GBgO6b&#10;7JIHOKnH7gCpw33pwCE5oq9jMQ917thIOJYUGxM+OMlYEjudszwPqu7qPDHNi6t6rjgyl6yPxlKp&#10;9XPOVh11j66vfNRxd96KXd/d4Z7p5odjuPqou/cOd2Lsir3vzCPR9Wn9aq4QU6yLO7romuToPOhQ&#10;XfXttjr9AQAAAAAAAAAAAOCD2L30XpWvDtD8G0fdi+DdS3/X7Q5QxEonv4DudBKuWw9H/GJ8qjex&#10;0uUIu/ppqzwgOmpDyVn7J75PdTqm39rK/o8y9bXTVwc99l+O9Y6NxC6W8vCu/hbZru+p/K7OE9NY&#10;ruq5Ymc34UOu7p56WOjDxu5Q2GVn599u3h3BfXeHoMJj1Byp1INfiX+usZQ+fwZ3YuyKvXfxsJpH&#10;ov72p/Wb1odVf1d1Sf/IfnexHmfsCAAAAAAAAAAAAABPZvfS2OXdQYBfGte6eqHsQytJfams+3V9&#10;ekE8/UaVWensPrsDpNSr1vWB73TgMbGz3w7X78aqwz/rVW2VBx31YOGu/c3q4MZMv7Xl39Rb1U1W&#10;BzfWV4ci3W++OV405iy/YyPh8u6QS6x+G3FnY5fnb76KuzpPTHWu6rnCMT3NJbdZ/WVSp7Rxd6/j&#10;74x+wjqqr6usDkGlq8ok8luHy+UTz/NOn5xLnQ3OcifGbO/pgLLD7V2ZR6Lq6/aqbsb3duVXdUl/&#10;6p677NY4AAAAAAAAAAAAAPgA/NJ4evG7eqnsMr3o1UtkiQ4ndd1lkoru1/XpEGV1YCAmnfNQz/V9&#10;CKAX5q6n9uthQx601UMNtaG2uoOkSZejpJ3UvvtWn7aD7qmHGfrZ9aR7tb8PcCSVnf1NHk7Y/9Iv&#10;bTcdNqV+Gof1V13ZSvUypvzbYbq3Yn0lGpdtrbbsN0n1wR0biawr1J7HITRmlXdxsbOxy922uatz&#10;R84LtZVc1XOFD9Kkb51LtplkmjMZd2pDX6dDLV33vfUejVXX1EbF7V6dt+mnOkaRY5jw3LEuXV4S&#10;NSYqGoPqdoeCHXdiLO3tukJtqkx19X2S9wuV5z2reWTchm01xeMq1oXLruhiu3R+Ur+aK5kH1a76&#10;yfZFrkUrn+V9XYwBAAAAAAAAAAAAwA308lYvYCX1Ra7YlesFsMtT9GJXL+71fXfo5ZfN9VDDuJ3u&#10;BfJKJ7/A1wtuv1yuIn2msWYd3ad28sBAhwjJSpcjZH315+9TpNP0It0HWFWks21xxf5GBwGdHVOf&#10;7pqZ4sOSL/59rw8vkjycyPop1Tfmqo2ED7FS8hDE5XnN7Gy8Kp90lp4+gJx07vA41Wfljp4TNW6k&#10;a85JfV21l/NCInusyLiQvuorr9X6d+etcH6TdBw5+KvzY3UQZr9LZD+16/jztTNcnRfybdq2SqdH&#10;6mk5Oo+M41Ci77sDULGKdXFHl/S5RPdKHNeS9KFyoq97DqTtulyXpI+mNQAAAAAAAAAAAAAALuKX&#10;uNML9l25XlTrRa9fEuvFtF4u67rrdi+CdV3SHQromvvsXoSvdFLfKtOBmQ4/Jt0mXKe+kNfL6u5Q&#10;Z2efHX7p7rFKP/eta9JldYizsr/bPmv/itpJe+SBkw+brH9Hjklie8p2iQ8n6mGn2nVd6Ss/1AOw&#10;2lZy1UZC/VkvifpNf3hcXf+uM9l4Vb7S2Ydlk84dqqs66Tuz0kPsyiesa/W9rq1i2njssrnaWqFy&#10;jTHjQvXlO8VTrX933grbVH10yNYq130T0s36rg6Nje7JeJTo56M2TWSTq/Oi1pXI9rrW6XFnHhnb&#10;U32uYnEV6+KuLrqutrux1zqyk3xT41L1V2M1nuuqDwAAAAAAAAAAAADwQ7E7aIGfDxN8wAC/OuCZ&#10;fnMWPgb7QQdZAAAAAAAAAAAAAAAAcAIftKx+2+yrw0Hyr9BvvMkWkrO/2QnPQ78h6N8k1G9dAgAA&#10;AAAAAAAAAAAAwAk4aNnjP7P5VX5jz39OuP45Th2Q+s92cmD8ffHBveYvAAAAAAAAAAAAAAAAnCB/&#10;KzD/Jx78Ov4fgUf+Z+OPgA/gJBq7DkTzfxrqe/0mI3ws/n+g6Qs+3AAAAAAAAAAAAAAAAHAS/69N&#10;fhttjQ+kvsqfl9UBqA5K8zBOogM6/R9SDki/D3/5IfaFfFN/0x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3/kj/z/AWnBTu7rujlOAAAA&#10;AElFTkSuQmCCUEsDBAoAAAAAAAAAIQBOs20xYQMBAGEDAQAUAAAAZHJzL21lZGlhL2ltYWdlMy5z&#10;dmc8c3ZnIHdpZHRoPSI3ODgiIGhlaWdodD0iMTA1NiIgeG1sbnM9Imh0dHA6Ly93d3cudzMub3Jn&#10;LzIwMDAvc3ZnIiB4bWxuczp4bGluaz0iaHR0cDovL3d3dy53My5vcmcvMTk5OS94bGluayIgeG1s&#10;OnNwYWNlPSJwcmVzZXJ2ZSIgb3ZlcmZsb3c9ImhpZGRlbiI+PGRlZnM+PGNsaXBQYXRoIGlkPSJj&#10;bGlwMCI+PHJlY3QgeD0iNjA0IiB5PSI3ODEiIHdpZHRoPSIxMjEiIGhlaWdodD0iMTIxIi8+PC9j&#10;bGlwUGF0aD48Y2xpcFBhdGggaWQ9ImNsaXAxIj48cmVjdCB4PSI2MDQiIHk9Ijc4MSIgd2lkdGg9&#10;IjEyMSIgaGVpZ2h0PSIxMjEiLz48L2NsaXBQYXRoPjxjbGlwUGF0aCBpZD0iY2xpcDIiPjxyZWN0&#10;IHg9IjYwNCIgeT0iNzgxIiB3aWR0aD0iMTIxIiBoZWlnaHQ9IjEyMSIvPjwvY2xpcFBhdGg+PGNs&#10;aXBQYXRoIGlkPSJjbGlwNCI+PHJlY3QgeD0iMCIgeT0iMCIgd2lkdGg9IjE3MCIgaGVpZ2h0PSIx&#10;NTMiLz48L2NsaXBQYXRoPjxjbGlwUGF0aCBpZD0iY2xpcDYiPjxyZWN0IHg9IjAiIHk9IjAiIHdp&#10;ZHRoPSIxMDgiIGhlaWdodD0iODAiLz48L2NsaXBQYXRoPjxjbGlwUGF0aCBpZD0iY2xpcDgiPjxy&#10;ZWN0IHg9IjAiIHk9IjAiIHdpZHRoPSIxMzEiIGhlaWdodD0iMTMyIi8+PC9jbGlwUGF0aD48Y2xp&#10;cFBhdGggaWQ9ImNsaXAxMCI+PHJlY3QgeD0iMCIgeT0iMCIgd2lkdGg9IjEwMyIgaGVpZ2h0PSI5&#10;NiIvPjwvY2xpcFBhdGg+PGNsaXBQYXRoIGlkPSJjbGlwMTIiPjxyZWN0IHg9IjAiIHk9IjAiIHdp&#10;ZHRoPSI3MSIgaGVpZ2h0PSI1OCIvPjwvY2xpcFBhdGg+PGNsaXBQYXRoIGlkPSJjbGlwMTQiPjxy&#10;ZWN0IHg9IjAiIHk9IjAiIHdpZHRoPSI4MyIgaGVpZ2h0PSI4NiIvPjwvY2xpcFBhdGg+PGNsaXBQ&#10;YXRoIGlkPSJjbGlwMTYiPjxyZWN0IHg9IjAiIHk9IjAiIHdpZHRoPSIzNCIgaGVpZ2h0PSIzNSIv&#10;PjwvY2xpcFBhdGg+PHBhdHRlcm4gd2lkdGg9IjgiIGhlaWdodD0iOCIgcGF0dGVyblVuaXRzPSJ1&#10;c2VyU3BhY2VPblVzZSIgaWQ9InBhdHRlcm4xOCIgb3ZlcmZsb3c9ImhpZGRlbiIgcGF0dGVyblRy&#10;YW5zZm9ybT0idHJhbnNsYXRlKDUxNCA5MykiPjx1c2Ugd2lkdGg9IjEwMCUiIGhlaWdodD0iMTAw&#10;JSIgeGxpbms6aHJlZj0iI2ltZzE3Ij48L3VzZT48L3BhdHRlcm4+PHBhdHRlcm4gd2lkdGg9Ijgi&#10;IGhlaWdodD0iOCIgcGF0dGVyblVuaXRzPSJ1c2VyU3BhY2VPblVzZSIgaWQ9InBhdHRlcm4xOSIg&#10;b3ZlcmZsb3c9ImhpZGRlbiIgcGF0dGVyblRyYW5zZm9ybT0idHJhbnNsYXRlKDIzNCAyNTMpIj48&#10;dXNlIHdpZHRoPSIxMDAlIiBoZWlnaHQ9IjEwMCUiIHhsaW5rOmhyZWY9IiNpbWcxNyI+PC91c2U+&#10;PC9wYXR0ZXJuPjxwYXR0ZXJuIHdpZHRoPSI4IiBoZWlnaHQ9IjgiIHBhdHRlcm5Vbml0cz0idXNl&#10;clNwYWNlT25Vc2UiIGlkPSJwYXR0ZXJuMjAiIG92ZXJmbG93PSJoaWRkZW4iIHBhdHRlcm5UcmFu&#10;c2Zvcm09InRyYW5zbGF0ZSg1MTQgMjA1KSI+PHVzZSB3aWR0aD0iMTAwJSIgaGVpZ2h0PSIxMDAl&#10;IiB4bGluazpocmVmPSIjaW1nMTciPjwvdXNlPjwvcGF0dGVybj48cGF0dGVybiB3aWR0aD0iOCIg&#10;aGVpZ2h0PSI4IiBwYXR0ZXJuVW5pdHM9InVzZXJTcGFjZU9uVXNlIiBpZD0icGF0dGVybjIxIiBv&#10;dmVyZmxvdz0iaGlkZGVuIiBwYXR0ZXJuVHJhbnNmb3JtPSJ0cmFuc2xhdGUoMjM0IDkzKSI+PHVz&#10;ZSB3aWR0aD0iMTAwJSIgaGVpZ2h0PSIxMDAlIiB4bGluazpocmVmPSIjaW1nMTciPjwvdXNlPjwv&#10;cGF0dGVybj48cGF0dGVybiB3aWR0aD0iOCIgaGVpZ2h0PSI4IiBwYXR0ZXJuVW5pdHM9InVzZXJT&#10;cGFjZU9uVXNlIiBpZD0icGF0dGVybjIyIiBvdmVyZmxvdz0iaGlkZGVuIiBwYXR0ZXJuVHJhbnNm&#10;b3JtPSJ0cmFuc2xhdGUoMjM0IDE0OSkiPjx1c2Ugd2lkdGg9IjEwMCUiIGhlaWdodD0iMTAwJSIg&#10;eGxpbms6aHJlZj0iI2ltZzE3Ij48L3VzZT48L3BhdHRlcm4+PHBhdHRlcm4gd2lkdGg9IjgiIGhl&#10;aWdodD0iOCIgcGF0dGVyblVuaXRzPSJ1c2VyU3BhY2VPblVzZSIgaWQ9InBhdHRlcm4yMyIgb3Zl&#10;cmZsb3c9ImhpZGRlbiIgcGF0dGVyblRyYW5zZm9ybT0idHJhbnNsYXRlKDUxNCAxNDkpIj48dXNl&#10;IHdpZHRoPSIxMDAlIiBoZWlnaHQ9IjEwMCUiIHhsaW5rOmhyZWY9IiNpbWcxNyI+PC91c2U+PC9w&#10;YXR0ZXJuPjxwYXR0ZXJuIHdpZHRoPSI4IiBoZWlnaHQ9IjgiIHBhdHRlcm5Vbml0cz0idXNlclNw&#10;YWNlT25Vc2UiIGlkPSJwYXR0ZXJuMjQiIG92ZXJmbG93PSJoaWRkZW4iIHBhdHRlcm5UcmFuc2Zv&#10;cm09InRyYW5zbGF0ZSgyMzQgMjA1KSI+PHVzZSB3aWR0aD0iMTAwJSIgaGVpZ2h0PSIxMDAlIiB4&#10;bGluazpocmVmPSIjaW1nMTciPjwvdXNlPjwvcGF0dGVybj48aW1hZ2Ugd2lkdGg9IjE3MCIgaGVp&#10;Z2h0PSIxNTMiIHhsaW5rOmhyZWY9ImRhdGE6aW1hZ2UvcG5nO2Jhc2U2NCxpVkJPUncwS0dnb0FB&#10;QUFOU1VoRVVnQUFBS29BQUFDWkNBTUFBQUNJUmxHekFBQUFBWE5TUjBJQXJzNGM2UUFBQUFSblFV&#10;MUJBQUN4and2OFlRVUFBQUREVUV4VVJRQUFBTCtBZ0wrQVlMK0FhcStBWUxPQVpyVjFZTFoyWkxk&#10;NFlMaDRZN2w1WUxSNlk3VjZZTFY3WXJaN1lMZDdZcmQ4WUxoOFlyVjRZTFY1WWJaNVlMWjVZYmQ2&#10;WUxkNlliZDZZclY2WWJWN1lyWjdZYlo3WXJaNVliZDVZcmQ1WWJWNllyVjdZYlY3WUxaN1liWjVZ&#10;TFo1WWJaNllMZDZZYlY2WUxWNlliWjZZclo2WWJaNllyWjdZYmQ3WXJWNVliWjVZYlo2WWJaNlli&#10;WjZZYlo2WWJaNlliVjZZYlo2WWJaNlliWjZZYlo3WWJaNlliWjZZYlo2WWJaNlliWjZZYlo2WVFj&#10;YnF3c0FBQUJBZEZKT1V3QUVDQXdRRkJnY0lDUW9MREEwT0R4QVJFaE1VRlJZWEdCa2FHeHdkSGg4&#10;Z0lPSGk0K1RsNXVmbzZlcnI3TzN1Ny9EeDh2UDA5ZmIzK1BuNisvejkvdEFYZjJ6QUFBQUNYQklX&#10;WE1BQUE3REFBQU93d0hIYjZoa0FBQUlsRWxFUVZSNFh1MmNhVnZxT2hDQUE0SXNvaUtnZ3FBQ0I3&#10;VWd1OG9tMFBQL2Y5Vk4yeEZMTTFuYUp2VSs5L3ArYW0xSnh6U1p6SmFTWDM3NTVaZi9MWVZxczJP&#10;TnBoUHJxVm5Kd2QvK0haemRkS3pwY3JYZnJWYno0VXR2dHYvcloyM2Q1dUhHbnlYYkdIeUNUQUky&#10;dEljN2Q5VUMvT2dIeU5Zbk5naWp4bmJjdm9UZkprckJPbjdUaW16NkZXZ2dLUXI5Y0IzcVozbWZn&#10;VllTSU5PSjFLTUh0bjlPb1NYRHBKc2JlR1IwOXAwMHRHYVFsQVpCSFJiR1o5alZCendxTm5ZbkJX&#10;MGFJVGVBNTJoaGNRWE5HcUMraFlmb1ltaG9XVGpSMnFVZSs4NEp0SzZUZ3JaUmVzUzZybjNJVm5T&#10;Ly9BUExXM2lFSmxyUlZ5YzVzek40aWc2NjBLZ2g3TGF1VVpBMk1LRUN2SmZnV2ZISXpxQTlrOWoz&#10;OExRNEZGZlFtbUZlWWcrQ2l4QnIvcnAzdjRURENNeXk4TWlJbEhmUWtKUmw5NUxrV2hNNFk5bExs&#10;Y2dpbG0xNHJhaWs5b015OWJTbWNJWXlMblJramxnY1dSWFY2ZVkrU3dvdk1udDdVMC9MYlBMb3Ny&#10;YWhCVEdiVnBxVVhsWCtxZm5GbVdRc1I1VzFCYjhYc3FLQ0ZrZHdJc1VxZE1VZEcwMVdGVW1YMU5y&#10;SWRFT3N1dHVid2hnT2NhTEllZ2UvRmVBSVNtNURlakNEVEZVNENzTExXcE4yMWJaQkJUMmZ3NWs2&#10;cTh2MG8yZ1VoSlgxUXFwUDMzTFVLWXhreDFEckpHOEpldUlqbEt3NTZWdnQwUzdOdjhGSldPWkZV&#10;ckRnR0dGWkJERVVPSG1ISDNGcDBidktDckUxRG52NiswdStYL0dwN25vUDRTYzg3QnQ2VXlQRXhH&#10;ZVo1a21xelczQmRycENCYW5xYjlDYjRwcmJPem9yeS94eE5sQnlFQzlrM2RXbEUwcUR1ZjFlSmZr&#10;RkhMUE1GS0p3SnpJRGRad2lxVmM0anNmMDRwUXZxNExTNnNPdFBCWW51aVNsREN1Q2ZwVVoyN2R3&#10;STQ5ZFVhT2tkQUtOK1JyY0FwRTRaQ1FheUs0U0lsQ0plaEdIQ0Y3Z0xoNTNoUFRnMER4YjBkUzZo&#10;SnQ0VUgyWG5LVGVTc01oeFIva0xpMlNTdXp0TzZ4QUxvUkh1SVVEL1NlZjREQWh6a0V3aHFMWVJL&#10;ZVMzc05oVW5SQU1nYmh5N1diaEZ6QmNXTE1RTElnQmRHS2FsOFRjcW9uWnhHQ0hZZ1dSR2lCT01h&#10;VVJ0V3ZDc2QwWGNObGpBRzlYb0hqSkNsN29nVzRnS3NvVHJqV1RJemRCeksrOEFWTFpLWnU2SFda&#10;ZFdDRXVpZGJBSDVvN08vZlByMHVERW1aQWhkVlpLaFFJNlVBaDhtQ2lscURpeGhyYWpwMjREaFpV&#10;RkZGWHVvanZSNGp5aHVEbWlmY0VYVzRockdudmtNT2poTUdVVllwa1VmbG1PTTNjSnd3eUJJZ2xN&#10;UkoyeHJPWGZGQWFwOUVNWjJKYzBPaWR1bzNiRUpMYVAwN0VZcWYwYXJZV0JWR0lOeDZPZU9yS2c0&#10;amFsNWsvaTNjV3hLMy96d1laU1YwN1o3Y1crQWthWUpMUUVib3FOQkY5Y2ZVS2lPcTBHT3kzWmpj&#10;R1p3bGpiTk8raEZPR2MrOUtjTlpHTGFyMlZSa3JxdlFkcDkrSUE5L3h2RnVEcXk3c2NMQVlRaUlL&#10;czc3ZU1IdXBMM3FMd0tpQ3BYcXpnc2Qvb3dKeUlTQ2hFbUtrWGZQRDYyckFRMlFGZzQ4MXdBZ1JK&#10;eHVOTWZ4RWlDZVZmQUsyS3pmUkpveDBzR3h1U0xSUTN1M0RJbzFaOXVwbHJFNnNXK09JNnl5U01T&#10;N1V4ZkxEcEk3UWs0ZlRWc0dnYWlseUZWeG9VWkFCZzU5WER1L1RWVzZZOXJoMjQvaC9ZMXltVXNJ&#10;WGwwSkQ4akRlMDFzUERQbTJhVUJXUU82U2hnQWNyRnJpS2hzMmJ4NitaQXlGOUEwY0FwL0ZyQkRl&#10;aDZwTjlQZXIvdGcrYmlrVHNjQm1UNmdjSStRbGRHRVpRN3RIb2ltSUcwczlKblJ1MVQwb05rREVW&#10;TVIyd2RrazFJTVpZdllpNjZXOFJNNXhHdFBHbXdoMytsVE5BdnhFMG52TUgyUmlxSEk3VW1UcVVQ&#10;UE5rWVI1dGYxSHpqNFpnc04rbEFyVStPeWZLb3doUWFGcWlRSEZtUkEyTUt5TjJqTVJ5YjJZbTYv&#10;OVdySFl5RmsybkNSSVd3bTBrbEFCRkdxcVpPeWVLbC9oWmhPNitGcWlYZDBGTEVXRVpwZ0V3WFhR&#10;N0daV3BZMURPMzhPYWttVnRTZ3UrcVNsZVNCdFlISFJ0MDN6VjVDUTlha2tFeWc1eFZkYmpidU1H&#10;Y2x3RVVsWnlac3VBQjJCeThmZFpOVGFUanh3UkdWWEJyMzdlMFdIc1gxZ2lMbmNPYURKNnB5WVhW&#10;a0pyaE90TDJOSVE5dzZvTy9JOHU0ckRoZ2t5Q2pXRkIrTDNWZFRMRHhQRDNrL1F2S1FTUnhGa05B&#10;d2hkWjNJZmVGUnhoOFlJWnB2Qm9wTHo0QVM3aGFGdTFWTm1DblplRmN6L2k3VUo2aklFUWZBVjZr&#10;R215aEVzY2luQmJVanpEYzdHcXVVQzhraUhacE8vYndTTkZuaXZiT3Bwb2ZuSjlLRkZGNG1aZURr&#10;cEFsSmgvVkhZSG56ZUZXTGRlRGtvRWJxV1pZUGRkcDQ0NU4xZ2x3REVoWGFMb2JMOGxSZldPdk5Z&#10;Nmg2MENCb3paaisrSUJ5b3A0Z0l5WU82YnJYMXA2SC83dUxndVI1MlZBR2plYjZFM2JmSHBxL1Rp&#10;ckRwSTVJWUYzV3Z4eWdZVUltTS8rOFloUjFLaHFYS2dCSGNmTTlhMTc5cTIvTHFkcDhmeFdrQUd2&#10;S0RpOHpsdXZ0UmgzL05YbzNBM2JYelpXeko0MVNIejJCSEp6K1B2bUdSNGNRMWJlUTgyYjJmUWZo&#10;aXJnbVYyY3h5RTV1OWdPVmd4VW9yY1lmbCtGeld4TnI4UHp1bHpyclpleWRYL0FYN3lkOWRxaE44&#10;UnRoODFXTjFUNVFZZTdFQ3lRa2hhWUFtTWlySU5PY2Q4dnRTd3ZWTUM5emlRQVpJZzJuTzFxWlJr&#10;Mjl3T3ZQRStEQ1dRbEVrQVNCRG0vM3ZwMHJNOGJyVERYanZRMUNjcFNRazNxQzd2Y3VtbVNNM3Vw&#10;KzJ5NEpORkF2TXR0S1RVd3BMTW51Mm8wNStnWGJzWkM4VWs1RlF3MkZXc0ZJWXJ3WEQ5WXJYMXBl&#10;ZFc3eE9yMHl6amlxWllyZGNmMjEzTDZrOUZ4bnU0R1hVZ1RBaHJ1NXFOcmU3dE9TWm5zZkUwVjR5&#10;SVJwU1VrRXFFa092bnROOXQzSlRMcGJ6TCtkMGdoRmtlV1ZMYUg0bTYybnNuSVJDWmpMSUNqVStJ&#10;M2NzNDllZ2JxOE94NEd5c0NVRld0ckZSRDNHL3V1SnhtVUNpYUNCVXhPcWNQRU9EeG9pd1JQR29t&#10;UjJ4R2lXbGE2SEpRanV0a2xKYUNoVXUwWkRGVWNOVE1sTnVyL3lCaFRDa095R01BbFUyaGo1c0dP&#10;ZGpwamhUcFhoUEpISmRuVUhCamJ2bHhCemxucVpCdTI0cmZWb2pIdWxTOHlYbUVyWjR2cEo5LzBF&#10;ZjJYTHpaZlMrVWgrOTltcjFOblUrZVAxWXZ3b1JrOUJJS245K1ZYLzRZMDBFL2J5ZmRtdm1KbEFF&#10;MHFYYmg2ZlJmSFhzUEt5SGp4Vk54b2dKVGp4M3hTR0JxZlBMTDcvOHB5SGtIM2YzdHU0OEVDb3hB&#10;QUFBQUVsRlRrU3VRbUNDIiBwcmVzZXJ2ZUFzcGVjdFJhdGlvPSJub25lIiBpZD0iaW1nMyI+PC9p&#10;bWFnZT48aW1hZ2Ugd2lkdGg9IjEwOCIgaGVpZ2h0PSI4MCIgeGxpbms6aHJlZj0iZGF0YTppbWFn&#10;ZS9wbmc7YmFzZTY0LGlWQk9SdzBLR2dvQUFBQU5TVWhFVWdBQUFHd0FBQUJRQ0FNQUFBRExBR0Fw&#10;QUFBQUFYTlNSMElBcnM0YzZRQUFBQVJuUVUxQkFBQ3hqd3Y4WVFVQUFBQzlVRXhVUlFBQUFMK0Fn&#10;TCtBWUwrQWFxK0FZTE9BWnJWMVlMZDRZTGg0WTdsNVlMUjZZN1Y2WUxWN1lyWjdZTGQ3WXJkOFlM&#10;aDhZclY0WUxWNVliWjVZTFo1WWJkNllMZDZZYmQ2WXJWNlliVjdZclo3WWJaN1lyWjVZYmQ1WXJk&#10;NVliVjZZclY3WWJWN1lMWjdZYlo1WUxaNVliWjZZTGQ2WWJWNllMVjZZYlo2WXJaNlliWjZZclo3&#10;WWJkN1lyVjVZYlo1WWJaNlliWjZZYlo2WWJaNlliWjZZYlY2WWJaNlliWjZZYlo2WWJaN1liWjZZ&#10;Ylo2WWJaNlliWjZZYlo2WVNMejJTb0FBQUErZEZKT1V3QUVDQXdRRkJnZ0pDZ3NNRFE0UEVCRVNF&#10;eFFWRmhjWUdSb2JIQjBlSHlBZzRlTGo1T1htNStqcDZ1dnM3ZTd2OFBIeTgvVDE5dmY0K2ZyOC9m&#10;Nzl3SEtOd0FBQUFsd1NGbHpBQUFPd3dBQURzTUJ4MitvWkFBQUFydEpSRUZVYUVQdDJXbGpta0FR&#10;Qm1BUUNsb1R0UnFUV0RWcVJPTVJqMVRGQStILy82eGlmYTNLdGNPQStlVHpMYkF6SzdySExKSHU3&#10;dTRrS1ZONW41aU80MndXbzNiMVFjSFZtMUE2ZTdlakM5dXAwWnhZanJQN2JCVmtORXBKL3ZCTW9Y&#10;YkdBOXFsb1dnamJhaHR2NVJCNDRTMExWSkdzZ1kvMFQ2UlQ2UVRzVDgwUlBDVmtZdGduVU1NV3cr&#10;WktNeWt6N1pBSXBJWmdwaGt6d3dUS0NHTVIwY1dvaUhDbU9JOTJRWlJURXVrSWZxQk1KNEJzaENw&#10;Q09PSk1jOE9FTVVrcjVDR1pJRW9yaUx5a0x3aGlPME5pUWhzSFRGOFRlRWVjOUpFUkJMUHlDVXlR&#10;ZnRrcXFSbjY2UlVJZnh5Q3c2QldRRnRrOHNKWjhBOHZjNGtkWWlrNGNaWnRFMUJUYmdtMi8za2xj&#10;RkpYcnlZN0Z2Q3hWRnJqTTMxZkNqYytUSnQ4YWpjMVNQSHBQby94Vkw0RytmL29Ha0VzNHJHQWJR&#10;dk5ITHRuM0V4bE53ZzdLYlRzQnBTdS80aEtyZ2NManREMHdoMkwvQ255M25xM1ExaDkvc3RudUhP&#10;Sm1BQUZIeTF0WUU3VWZReEdrZDU5dzZVa3Y4eldyZ1ZyYkpCOHdqejYwbjNGRFNTYVRXMFlvaG53&#10;ZnB5UmFuajRyVW4zQlY1Rk5mSzIvTUhiK09TaDNEMG54Qm13YWszMmNBRnIrTHhQb1hXRTMyWDVy&#10;L0JMWS93cDArczAzbFdOQzZuN3BoVTV2akRKKzVCNUZFd3g5dVNGcjdFaVpjUXIwcjBabEFMUHla&#10;emFoYjVoWFRzOWxueGF2Vk1IL0Z4ckpnN2JZR3dXbnB4KzZwOFkxKzZlT1h5NGZZbGRaRWdCblpm&#10;YXJ5VDhNR1cyeGY1SkhCbThWK3R2U0FGbVYxR0pFTURPY2hxQ09Sb0lnZFZCM0VzZVNRaEdpR01L&#10;ZGFya2xIQ1ExeWM3M0dROU1Bb1Q1Qkp5RzRoSklId3JmamFLcFh6b3RJbHJDTEwxNVRlV2t0YTky&#10;dHRXUkdicUYxSHkvUW9yeUg5N2FubGFDemx3UDNHU3ZGMGZ5bm83ZE5GYVp3eWYwVnEzcXd2LzBS&#10;Zzc1UVU2aFM5SEgzYzlEOWc3dm5vWEFFdGJqSU1yNmoxeWRvZDczUGo5bDBkS1hyU1JmZnU3dHRK&#10;MGwrWkQ2SGlib3BFUGdBQUFBQkpSVTVFcmtKZ2dnPT0iIHByZXNlcnZlQXNwZWN0UmF0aW89Im5v&#10;bmUiIGlkPSJpbWc1Ij48L2ltYWdlPjxpbWFnZSB3aWR0aD0iMTMxIiBoZWlnaHQ9IjEzMiIgeGxp&#10;bms6aHJlZj0iZGF0YTppbWFnZS9wbmc7YmFzZTY0LGlWQk9SdzBLR2dvQUFBQU5TVWhFVWdBQUFJ&#10;TUFBQUNFQ0FNQUFBQ0VSbWpzQUFBQUFYTlNSMElBcnM0YzZRQUFBQVJuUVUxQkFBQ3hqd3Y4WVFV&#10;QUFBRERVRXhVUlFBQUFMK0FnTCtBWUwrQWFxK0FZTE9BWnJWMVlMWjJaTGQ0WUxoNFk3bDVZTFI2&#10;WTdWNllMVjdZclo3WUxkN1lyZDhZTGg4WXJWNFlMVjVZYlo1WUxaNVliZDZZTGQ2WWJkNllyVjZZ&#10;YlY3WXJaN1liWjdZclo1WWJkNVlyZDVZYlY2WXJWN1liVjdZTFo3WWJaNVlMWjVZYlo2WUxkNlli&#10;VjZZTFY2WWJaNllyWjZZYlo2WXJaN1liZDdZclY1WWJaNVliWjZZYlo2WWJaNlliWjZZYlo2WWJW&#10;NlliWjZZYlo2WWJaNlliWjdZYlo2WWJaNlliWjZZYlo2WWJaNlliWjZZUWNicXdzQUFBQkFkRkpP&#10;VXdBRUNBd1FGQmdjSUNRb0xEQTBPRHhBUkVoTVVGUllYR0JrYUd4d2RIaDhnSU9IaTQrVGw1dWZv&#10;NmVycjdPM3U3L0R4OHZQMDlmYjMrUG42Ky96OS90QVhmMnpBQUFBQ1hCSVdYTUFBQTdEQUFBT3d3&#10;SEhiNmhrQUFBR1BFbEVRVlI0WHUyYjYxWWlPeENGYWE2Q2pqS0F3b2c2cUNpSU4wQkJSS0I1LzZj&#10;YWhFMFR5TTZsYjU1MTF1TDdJM1pWSjdWSUphbFVpc1NlUFh1aXdNbmh3My9Ed2ZuRDRHcytuMC82&#10;dDc4ZFBQdFpUbnVMN2owK3I3TjQvbk1VMzlHNXgrVHFaNytMMUQwNjNxTDdrNjZSbGI2RUZlTmpL&#10;TVJQZG9nK0pXWVZxTVJOU3ZFdGZETTlnVkxNdE5BZlpmb0xXckZTUW04S0JqOHdPOUlqZEthaUJz&#10;VVllVUpYU29aUWpJdk0rUUE5YVRpQThvWk1kT09UYnN6UWpaWXpxSy9JdDRiVCtmVGw3cXBXeklj&#10;MnhibWNvQk1ERGJ6d1RiYnQ0dWxzOGNFZGR1cEhJUXdwOU5HWUVjR0dGSGxwM014RDZwZTYxVEFz&#10;RWNiaUVZKzJjVnRweVAyUVVzK0dLZjV1Mkd6aU5UeVJHQnhCdzU2Q3hXendFT2JtS3g3SnpFNmhZ&#10;c3Z4R0c4eVppLzRzT1lTYnlVU09UeGh1UDUydHhPdEsxeW10eTE4d1ZzTHFuaEVtZnJ4ekJONXhB&#10;VVdYWmJFT2Z1WndXc0x0RGJNKy9hVFZHL0Nzc3VETi93M256K0xpMlFSRHhYVW9XYmtXR3ZDYkJV&#10;NE9YOTd5NlhvL2ZmeTN6Vy9sanBLSnBZek5LZHp4N203OGU1MHBWYlpEU2VkRCtncGFFTFB3RFBV&#10;S1lJSm5Dc29LbkFQb2FmbEROb1Vjd1NiMWtSOTMzU2dweVA1Q1dXQzI3UVl6dEo2eCtLNEZ2UHpB&#10;cm95YnR0dWVwL3FqYmlHbWdaVkREOXV5SEdLZ3JMV3FjMHgxd2swZDdBYUJZOTBVeGQyQ0NzYTV3&#10;YUsyM3dXSWJiRktUYzd2UkVmbEJKMGxORGRzaC8wZkowcGZ1Y0pkakN0bFhUYmUweENHb0EvYUVO&#10;QWpQc1kxOUFUZVF3VmxzcithYkFoVFh6cE9WeGtMRWVYTjVBb2FFQk5KR1NDb1l0bU5qeEJ3a21T&#10;aVQyQUxDank3cU5mSU5oV1lmSWdFeVI3azRLSXdpTHBzR21XT3RvUjBLVUtraVNJREgyYVBVWkRB&#10;dWNRTVZnY2RnRlpZRkpvU0VDM2ZmK0Zqb0J0N0tWQkRxekdrRERhMEJFSTY1RUxpSk5wZkV5ZVJo&#10;RjhEZXpiMVlRUThwSm1FM2laSUY3MkNSRkJ6anBGTUJRSmg1d1UxTnUzYk1NVkpLSFlQWnd1YUVN&#10;a0k5c1FTYjZOYk44enBaL0ZNeFkwSmxIR01USFpRSHhkdlJQR1pjTWxXaE5STFJGeUFMUEpiWVFo&#10;UjJKYmhWY21JUmFJS0FkTWxrcUZWeDVCTE9BM2c2U0FwZHk1VjVJVWl2OVVHc1VoWjloM3lMWWhX&#10;MWFJb0g0TEZxZlNTRVkrdEg5QUVocTJSTnhESnBLR1RPQVpvdkNROVhwS3ZtU3l2OTFDRko1VHRD&#10;aENKaDBKUHJkdkJNTGdrSE5uSHpJQmNzeUxJSUpaYzRzbVJRcVFiWkNuUmRqampVZ0JiWXJJT1Ry&#10;NVVCYWRTeTZRbTU5UHBNT09yS1NPTkFMQXpuQlZ5RHhpdGlGSnZQSVJNbytZYlVqY29WV0JMNGc4&#10;NHJiaEVLMks3TzVIOGdWTUY1S0kyR1Q2UFhZM1QzbHV6cUxhc2xhUTJIWjN6eUJad2UxcmdiQWs1&#10;WU5HRDZJMVpQSVlNa2Qra2NPcFhhY2tLMWxrZS9jS0VrVkE0a0dDbllqaUtFQWNBaElQRWtkWjVO&#10;anRZU1UxRUhtUWVETEt3V0FtU0Fmd0xBUWlmblBsYW1oaGtid0NrVVVrc3FXeVFPL2E1TjJiWkV5&#10;bW9Vc29WaFQ0dFlxMGNTYnlrSWhFTXhpS1M5c1p5Wlp1VlFXdWlHUm1xTzZOV2FxSjNLZVJ3Tk0z&#10;eXF0cnR2eGt5UUU1ZkZ5cjhBWFZ2a3l1ZUVQSDkwb1RYTDRLazBJU3l3dHFKWGxsd2VFZE5IWWc1&#10;MEorUHJhbVRNTElGVDNWdEplTmRyVzNEUWJTWkE4Q0krVmRZUk1hQXNFZHdybFF1Y0o4UHBZUFdX&#10;dktVQkY0Z01nM0phVW5hRTFJWktBandNN29GdVIxWlJRampRbnN0c0Y4TjB4STNlb3UvNGY2ZTJQ&#10;aVJDMklmSENzR1liRmpERGN1bGVnSnpEem15Rk0zMnNySUxxbW1jYnUxZVlQZm1xckRtNTBoUWRX&#10;OThhMFVzL3RWS3c4MHlrMlRPV09QWXYxUmxYbzlkVXFtOHc0YVNrWFJZK2hzUUpqUVVvOWxwT1dK&#10;cUxKWDhzcGR4bkRqRmlqTGo1YzhGNmxvNW1xYW91cVBDeE5VQmRocnZpbzdWcVJyRHlvZ3BRZGVy&#10;YkJTRkx2MWdzckxqZmxDTGxLbzJ0ZDhYcG5IeUR6c3B3dGhwMmJSdU8rM1RlWkt6S1JnMmcxS1Uy&#10;bFdIQjYvbW81aXRwbExoQmY1L2Jqc0lJbFZjTXdhOXFzQ3RzNHZFWTZLRStCQ3J5ak5HSVlaTzlm&#10;d2dxbGd1RGUrblVFZ2EzSzRjQzhoU3VueVpHN0Y1OU1mTThHaWJLaFB0ZkFwQkhGL1lkVHM5a0xP&#10;WU42VkRjd1RybGovd09JRGFObXRML1pTbFZmL1pueCtzZTY2dFVIcWFxMWZ3NnU0dnNSNFZISFlo&#10;UDVhc2Y4czdsRGd4WFRoMHJvbVdnbTExQk8xbkg3TE16NTNCZEgxOUt0K095dFZZODJyMjBtVTZv&#10;M243dnZvMUd2MjdtL3FtaFByM3YyN1BrL2swajhBekFXWENFblgrRGhBQUFBQUVsRlRrU3VRbUND&#10;IiBwcmVzZXJ2ZUFzcGVjdFJhdGlvPSJub25lIiBpZD0iaW1nNyI+PC9pbWFnZT48aW1hZ2Ugd2lk&#10;dGg9IjEwMyIgaGVpZ2h0PSI5NiIgeGxpbms6aHJlZj0iZGF0YTppbWFnZS9wbmc7YmFzZTY0LGlW&#10;Qk9SdzBLR2dvQUFBQU5TVWhFVWdBQUFHY0FBQUJnQ0FNQUFBQTNtcHh6QUFBQUFYTlNSMElBcnM0&#10;YzZRQUFBQVJuUVUxQkFBQ3hqd3Y4WVFVQUFBREFVRXhVUlFBQUFMK0FnTCtBWUwrQWFxK0FZTE9B&#10;WnJWMVlMWjJaTGQ0WUxoNFk3bDVZTFI2WTdWNllMVjdZclo3WUxkN1lyZDhZTGg4WXJWNFlMVjVZ&#10;Ylo1WUxaNVliZDZZTGQ2WWJkNllyVjZZYlo3WWJaN1lyWjVZYmQ1WXJkNVliVjZZclY3WWJWN1lM&#10;WjdZYlo1WUxaNVliWjZZTGQ2WWJWNllMVjZZYlo2WXJaNlliWjZZclo3WWJkN1lyVjVZYlo1WWJa&#10;NlliWjZZYlo2WWJaNlliWjZZYlY2WWJaNlliWjZZYlo2WWJaN1liWjZZYlo2WWJaNlliWjZZYlo2&#10;WWJaNllReE51SzBBQUFBL2RGSk9Vd0FFQ0F3UUZCZ2NJQ1FvTERBME9EeEFSRWhNVUZSWVhHQmti&#10;SEIwZUh5QWc0ZUxqNU9YbTUranA2dXZzN2U3djhQSHk4L1QxOXZmNCtmcjcvUDMrMzhiUjlvQUFB&#10;QUpjRWhaY3dBQURzTUFBQTdEQWNkdnFHUUFBQUxGU1VSQlZHaEQ3ZHByYzVwQUZBWmdDSW1RMUZz&#10;a3RkWkxxYldOaWpGaVl1SWx4djcvZjFYYXZJeXl1TzVaOWpEVER6NWZNc1B1dm1mUVpZRTExdG5a&#10;Zjh2elBNZHkvYTlCRUhUOGF4eGs1VFQ2RCt2ZkgzYjR1eG9HcmJxSERpeHFvM2RrWnkzSHJTdDBN&#10;K1EvSTFMbWZWaEdWd00zRDBnNzZkR3dranRNdmcyRjNjREJrQnpzN2h0aUNGNXJHS1hOZlVRRTBh&#10;aUVnWG9xeVVRbTIzUnNqTlhRM0dLMGprVVZvOGs2R0tscEYraWRVZy9qOU0wdUVVRXh3S0E4WHVq&#10;VHdhUU12WkQ5Q3dQeUloWXlPNXUvU0lYNjZHeGlybDZGV3VocUpsTE51aXB4NFZSUmZIU3U5bUlq&#10;czY0ZzhxZ1plakhZbmxqQTIrakQ0azM2OE9EbVdUdmxubVJyM1JnZHVMU1JLNmlqbWMzcTZBblpD&#10;elR6K1lMb0ZKNHJOR1dNNkpRWE5ESmFJL3BRRFcyc1hJUWY0RmcvTTQ0OEw4elJ4S3FPOEwxcnRQ&#10;REsxZ25Sd2l0VHA4UjBQeEJrNmdSb1lDYld1ZGlnZ1psWXA0QzE0SjhHOGhPRlRPcFlDL25nNGpB&#10;N29VNFRoOWtKZFg3Z01EdWhUakVYYWV3T0JlQUpoOWtKRDFkTEhHWW43R0VVTmEwM3lFOW92bG1U&#10;VFpDZkdPSTR0Mi9JVHloZlIzZjVsbk1mK1lreWpuUEx2SjJzME1CTG5BWkYzWDRXU04rN0xPU0Va&#10;a2cvY0ljbUN2S2NPRktua01lM0VObUg3QWthR2ZXUm5lTHdMejZmRVoxV1lsOU5KZS9jM0Y5UmhG&#10;d1I5eHRERDdraW0va2g3aE55TSs3UmdVZDIxVW53Zm5BanBCNFJvUXNMOGFad1FHZjFVWGs5dFNQ&#10;TCtDNHMyYVQ0d1BjOGYvSjBHUGNxYnBFb3diWDNNa0NlMUU5ME5ETlZic3M3SEZNaEl2d2FWREhm&#10;aEtPVWlWY0YwMEswTXBaVk5kdU1wWmFKWHlOTmJxM2hCVklJN0o3OEYxT0ZnWEttcGR6a1hGS1Yx&#10;NDNJem5VWDF5NFRhK2pmWGdNTTFlTnFQdEp0bXhpbzdYYUtDSXFweVkvM3BXNUV1bXgzayt5V25x&#10;NXk1LzVaK2o2eFdTN240WGVmZkcwcU9WNjkyUTJqNWY3SzJremIwa2NuQmxkZXJSN3ptUDYvNGV5&#10;TWwyWDlBZkh1bElxejNmUURBQUFBQUVsRlRrU3VRbUNDIiBwcmVzZXJ2ZUFzcGVjdFJhdGlvPSJu&#10;b25lIiBpZD0iaW1nOSI+PC9pbWFnZT48aW1hZ2Ugd2lkdGg9IjcxIiBoZWlnaHQ9IjU4IiB4bGlu&#10;azpocmVmPSJkYXRhOmltYWdlL3BuZztiYXNlNjQsaVZCT1J3MEtHZ29BQUFBTlNVaEVVZ0FBQUVj&#10;QUFBQTZDQU1BQUFEVjByUXlBQUFBQVhOU1IwSUFyczRjNlFBQUFBUm5RVTFCQUFDeGp3djhZUVVB&#10;QUFDNlVFeFVSUUFBQUwrQWdMK0FZTCtBYXErQVlMT0FaclYxWUxaMlpMZDRZTGg0WTdsNVlMUjZZ&#10;N1Y2WUxWN1lyWjdZTGQ3WXJkOFlMaDhZclY0WUxWNVliWjVZTFo1WWJkNllMZDZZYmQ2WXJWNlli&#10;VjdZclo3WWJaN1lyZDVZcmQ1WWJWNllyVjdZYlY3WUxaN1liWjVZTFo1WWJaNllMZDZZYlY2WUxa&#10;NlliWjZZclo3WWJkN1lyVjVZYlo1WWJaNlliWjZZYlo2WWJaNlliWjZZYlY2WWJaNlliWjZZYlo2&#10;WWJaN1liWjZZYlo2WWJaNlliWjZZYlo2WWJaNllSNjBnbThBQUFBOWRGSk9Vd0FFQ0F3UUZCZ2NJ&#10;Q1FvTERBME9EeEFSRWhNVUZSWVhHQmthR3h3ZUh5QWc0ZUxqNU9YbTUrcnI3TzN1Ny9EeDh2UDA5&#10;ZmIzK1BuNisvejkvdVh1ZWs2QUFBQUNYQklXWE1BQUE3REFBQU93d0hIYjZoa0FBQUJza2xFUVZS&#10;WVIrM1gyVmJDTUJRRjBMU1Z5bEJCRUVFRmxFbUVDaWlURkdqLy83ZUVjdFFtWkxqbDBjVitndVRj&#10;ckt5U29iQ0xDMVpxK1orcnhiamZyQlRLRDNkNXRLWlZYa1M4OWJCaW9ZL082b1FvVHdvR3QraW5H&#10;cUh5eE1jTkVpUU5WRW1FZldRSWNqc1VTVFdSTXV1aFFpNGtQNlExS2hSV3hOL05SVjZwaktCQkVY&#10;RWw0cVAyRUZmeUVUVElJSzQwUWRCRTNCSWk0bnhZQjNtVkhuSkhoVnIxR2g4RnJuWWRSbEZpQVdY&#10;OTdhRWxlTXVnZ2RPSzQwckRISEtzRVk5eUVOeWppVE5HcjhMdU9WNktEaGRyeDVVOCt4MmRLdFBz&#10;ZnBncHZoeUZSUlFuT2NxVEE0S1NNRXdVTFd3VUoxbDk5S3JzNXZqdzV3bTF2UHJ2TTZRYW9GTGd6&#10;ZEJQTlVPaHlHckxUbW0xRUhXbmlxWXR3dmxDbFlUZFRUR2xFWXFrVWt6cEdTVnk1Q2x0OTJ0VHl6&#10;TnNFMmdncm1FNEFHS0UwODFCVkdmcElxeVJSVlpqVFhraEtTR3NSaHFHMmFhdEZoS3ZOTk1wOG9p&#10;Y1NSMTVoUzVpUnRiUCtTaGRrdno5b1hXbDJSMGRaRWp5RTFTSmdpb1NWTlVsS2prOUI5MHBPTjdK&#10;TlVKL09lTTR3dUYrNWpEN2Q1SGtqRGJTTzVTb3RjRW8wWkN3TXpYYzJ1dDROZmRmenYybmNQRS9N&#10;ZllOZDBKVHA2dk5kSmtBQUFBQVNVVk9SSzVDWUlJPSIgcHJlc2VydmVBc3BlY3RSYXRpbz0ibm9u&#10;ZSIgaWQ9ImltZzExIj48L2ltYWdlPjxpbWFnZSB3aWR0aD0iODMiIGhlaWdodD0iODYiIHhsaW5r&#10;OmhyZWY9ImRhdGE6aW1hZ2UvcG5nO2Jhc2U2NCxpVkJPUncwS0dnb0FBQUFOU1VoRVVnQUFBRk1B&#10;QUFCV0NBTUFBQUNFb1ZxQkFBQUFBWE5TUjBJQXJzNGM2UUFBQUFSblFVMUJBQUN4and2OFlRVUFB&#10;QURBVUV4VVJRQUFBTCtBZ0wrQVlMK0FhcStBWUxPQVpyVjFZTFoyWkxkNFlMaDRZN2w1WUxSNlk3&#10;VjZZTFY3WXJaN1lMZDdZcmQ4WUxoOFlyVjRZTFY1WWJaNVlMWjVZYmQ2WUxkNllyVjZZYlY3WXJa&#10;N1liWjdZclo1WWJkNVlyZDVZYlY2WXJWN1liVjdZTFo3WWJaNVlMWjVZYlo2WUxkNlliVjZZTFY2&#10;WWJaNllyWjZZYlo2WXJaN1liZDdZclY1WWJaNVliWjZZYlo2WWJaNlliWjZZYlo2WWJWNlliWjZZ&#10;Ylo2WWJaNlliWjdZYlo2WWJaNlliWjZZYlo2WWJaNlliWjZZWWw4OEc4QUFBQS9kRkpPVXdBRUNB&#10;d1FGQmdjSUNRb0xEQTBPRHhBUkVoTVVGUllZR1JvYkhCMGVIeUFnNGVMajVPWG01K2pwNnV2czdl&#10;N3Y4UEh5OC9UMTl2ZjQrZnI3L1AzK3g0MXFJRUFBQUFKY0VoWmN3QUFEc01BQUE3REFjZHZxR1FB&#10;QUFNK1NVUkJWRmhIN1pqWlZ1SkFFSWJUZ0lpTUtDb2dUaGhBVVZHUWJXUVZBdS8vVm9id2szUlNW&#10;ZG1jTTFkOEZ4N3N2N3Jva0s2bDJ6aHg0djl3MmVnT0p4L1A1am4rL3pIS1hPMk9qSzR4K0RNcWMv&#10;Zzc4SkxCZUhyVU0zeTVUSDlCU2cxeHVkdHRmdmo4TGZqeHNTNUFUVVZwQ3pkK3htb3ZaZ3FGTThj&#10;cUNka25DMDZDbUVicDNmbTZ6YlRmdkhHK0lSNVZid3NGbVEvd3dXSGR5V05LQk5rdVpzVEJhc1pa&#10;YS80dnpHTXl5R0tpVEdFRzI5Z01vbGFhOThkT0xOcVlLM0NXZUpVMjJ5dk1abEZEbUNYakU5TlpH&#10;akJLU2dYekdmSnIyQ1FsWktHUE1LSHdrZW9oSnBmTUZ5eVMwNEVMd2kwTUpLeUdpVStFS1Z3UW5t&#10;QVFaUEs2dFA4dVhvcUdtaDVHS0hBUkpDZThvYTRkZktwd0NKYlNCb05CaEZ6Q1A5anNCdktCc3VC&#10;VVNOWVR5RHFMU2pDWUM3NWs1M0lMMmM4NVZKMHhsM011bW1QSUdnMklmcXBRTmRaU0dxT3ZhZ0RG&#10;VHh1cXhqc2tRZzhHSGh1MitEUFpuZitSYkppaVdvUGtvdy9SUTQ3aUNpdzBlcEI4akNCNnRLQlFj&#10;ckRRc0xqcW5NUW50KzkrUTlKSjVKTjVvUk5JT3JSY2h2aThoSWtPN2RDeXRQTjRnTVRCMUMyYTc2&#10;NmhhSWhieWFZSkc0MHZza1hyVURUQytoWXVrcXZRWE9nMjNrRGhZU29zaVU4YVJpTW9QUGV3MGdr&#10;K0dQWDVBb1VueDNTVHdZZC93N2hIUk12QzVJZmdtNmNtZlBweXVZS1p4aGpTa1E3R1BmajA1VUcz&#10;NkJMS0VhWWFoWFFzTnRsUG1HbEFPbktIWVkwM1NDeFpwb0FFZmVabyt4TDI4S3hMQzZJTFkxU0dS&#10;RkUwaTltUUpNNUU4Q01rUW80V2hUMWR5QzVNK3BLNm9KcHcxcm1IN3NGMDhqbElQb3BTTTgyVUR5&#10;WjMrL3NhQjlVU2UxRW1tTXVRTkhyQjY0VlNVejZYV0V6UHBKajJ5dXJYdklZcGJ6TGIzSVBORDN4&#10;M3RUU2RiWnE1TzV4ZFJZYnMwWXY1UVIxV2o2Mm5pZFI0SHBteDc1TXJTYkdaU1lVbS9SbEJkR204&#10;d2lJeHNzdklnNGZFUE9RbVErM1BGOGxaRlRHZmhiMnNpU0xjcFpGSnNkRFBzTlppRDVQdEkraEUz&#10;VElrUG0zUDVMU3RJWitOS1dzemVwRU9kZW02aXRDUCtpVTlTdUpCMWNlYVp2VVExRU4wa0s0YWZN&#10;NlF5VHh3cGRiRitxaEY5Q2c4NTMrRWpMNGRWRk01ZEZCMUpnSVc3UXZJS1ZIVm5wNktONVBXUDdt&#10;b1ZtWHp1VDhhRGJ2dFdpbjlJNTg0a1FyRCtBYmRyOVAvVzhtVWtBQUFBQUJKUlU1RXJrSmdnZz09&#10;IiBwcmVzZXJ2ZUFzcGVjdFJhdGlvPSJub25lIiBpZD0iaW1nMTMiPjwvaW1hZ2U+PGltYWdlIHdp&#10;ZHRoPSIzNCIgaGVpZ2h0PSIzNSIgeGxpbms6aHJlZj0iZGF0YTppbWFnZS9wbmc7YmFzZTY0LGlW&#10;Qk9SdzBLR2dvQUFBQU5TVWhFVWdBQUFDSUFBQUFqQ0FNQUFBREd4U2hWQUFBQUFYTlNSMElBcnM0&#10;YzZRQUFBQVJuUVUxQkFBQ3hqd3Y4WVFVQUFBQ1dVRXhVUlFBQUFMK0FnTCtBWUwrQWFxK0FZTE9B&#10;WnJWMVlMZDRZTGg0WTdsNVlMUjZZN1Y2WUxWN1lyWjdZTGQ3WXJkOFlMaDhZclY0WUxWNVliWjVZ&#10;YmQ2WUxkNlliZDZZclY2WWJWN1lyWjdZYlo3WXJkNVlyZDVZYlY3WWJWN1lMWjVZTFo2WXJaNlli&#10;WjZZclo3WWJkN1lyWjVZYlo2WWJaNlliVjZZYlo2WWJaNlliWjZZYlo2WWJaNlliWjZZYlo2WWJa&#10;NlliWjZZZXhCTTE4QUFBQXhkRkpPVXdBRUNBd1FGQmdnSkNnc01EUTRQRUJFU0V4VVdGeGdaR2hz&#10;Y0hoOGc0ZVBwNnV2czdlL3k4L1gyOS9qNisvejkvczNYMENVQUFBQUNYQklXWE1BQUE3REFBQU93&#10;d0hIYjZoa0FBQUEwVWxFUVZRNFQ5WFN4eGFDTUFBRlVWQ3hZKzhOc1dHbC9QL1BTY2lnSk1hOTNw&#10;Vzh5UUU4YXYyMXp0eGJEUjB1VE1iblJJaThiNGVjZlhaQXVMWFlWRlY1Q3luc3NCYlpSNnIwNkxN&#10;WGJHbTUwQ1c4TENodjF3b0o3WmhRc0tKSmRzQmNkQ05LUTFaVmo1bzVNS3AyVktFY01XcHE5SlRM&#10;cEZ2U1UrWlhVWjQwWU5KZDZLa2FrKzVNRnk1c21pMVo4TmcwTTdKUU4zN3JxRXJPakF5L1VUSWxZ&#10;dng1eGllOXVGZEtMdEQrREtuS2pwYUpOeVYyeGZ4T1QrSjFnMDFYbXAzRWdkQnZNaGc1M1VuYjV2&#10;UFBzYXducWVGVjBNd1dyTllBQUFBQVNVVk9SSzVDWUlJPSIgcHJlc2VydmVBc3BlY3RSYXRpbz0i&#10;bm9uZSIgaWQ9ImltZzE1Ij48L2ltYWdlPjxpbWFnZSB3aWR0aD0iOCIgaGVpZ2h0PSI4IiB4bGlu&#10;azpocmVmPSJkYXRhOmltYWdlL2pwZWc7YmFzZTY0LC85ai80QUFRU2taSlJnQUJBUUVBWUFCZ0FB&#10;RC8yd0JEQUFNQ0FnTUNBZ01EQXdNRUF3TUVCUWdGQlFRRUJRb0hCd1lJREFvTURBc0tDd3NORGhJ&#10;UURRNFJEZ3NMRUJZUUVSTVVGUlVWREE4WEdCWVVHQklVRlJULzJ3QkRBUU1FQkFVRUJRa0ZCUWtV&#10;RFFzTkZCUVVGQlFVRkJRVUZCUVVGQlFVRkJRVUZCUVVGQlFVRkJRVUZCUVVGQlFVRkJRVUZCUVVG&#10;QlFVRkJRVUZCUVVGQlQvd0FBUkNBQUlBQWdEQVNJQUFoRUJBeEVCLzhRQUh3QUFBUVVCQVFFQkFR&#10;RUFBQUFBQUFBQUFBRUNBd1FGQmdjSUNRb0wvOFFBdFJBQUFnRURBd0lFQXdVRkJBUUFBQUY5QVFJ&#10;REFBUVJCUkloTVVFR0UxRmhCeUp4RkRLQmthRUlJMEt4d1JWUzBmQWtNMkp5Z2drS0ZoY1lHUm9s&#10;Smljb0tTbzBOVFkzT0RrNlEwUkZSa2RJU1VwVFZGVldWMWhaV21Oa1pXWm5hR2xxYzNSMWRuZDRl&#10;WHFEaElXR2g0aUppcEtUbEpXV2w1aVptcUtqcEtXbXA2aXBxckt6dExXMnQ3aTV1c0xEeE1YR3g4&#10;akp5dExUMU5YVzE5aloydUhpNCtUbDV1Zm82ZXJ4OHZQMDlmYjMrUG42LzhRQUh3RUFBd0VCQVFF&#10;QkFRRUJBUUFBQUFBQUFBRUNBd1FGQmdjSUNRb0wvOFFBdFJFQUFnRUNCQVFEQkFjRkJBUUFBUUoz&#10;QUFFQ0F4RUVCU0V4QmhKQlVRZGhjUk1pTW9FSUZFS1JvYkhCQ1NNelV2QVZZbkxSQ2hZa05PRWw4&#10;UmNZR1JvbUp5Z3BLalUyTnpnNU9rTkVSVVpIU0VsS1UxUlZWbGRZV1ZwalpHVm1aMmhwYW5OMGRY&#10;WjNlSGw2Z29PRWhZYUhpSW1La3BPVWxaYVhtSm1hb3FPa3BhYW5xS21xc3JPMHRiYTN1TG02d3NQ&#10;RXhjYkh5TW5LMHRQVTFkYlgyTm5hNHVQazVlYm42T25xOHZQMDlmYjMrUG42LzlvQURBTUJBQUlS&#10;QXhFQVB3RHYvd0RrRDUvNWwvOEFzZjhBNGxCL3NML1NQN0I4My9tRTZYL3o4YW5Objk5Y2M3TW5t&#10;aWlpdTQ4OC85az0iIHByZXNlcnZlQXNwZWN0UmF0aW89Im5vbmUiIGlkPSJpbWcxNyI+PC9pbWFn&#10;ZT48L2RlZnM+PGcgdHJhbnNmb3JtPSJ0cmFuc2xhdGUoNiAtNTQpIj48dGV4dCBmb250LWZhbWls&#10;eT0iQ2FsaWJyaSxDYWxpYnJpX01TRm9udFNlcnZpY2UsQXJpYWwiIGZvbnQtd2VpZ2h0PSI3MDAi&#10;IGZvbnQtc2l6ZT0iMjQiIHRyYW5zZm9ybT0idHJhbnNsYXRlKDM2LjMyNjggODc5KSI+cGFydGlj&#10;aXBhbnRzIGluPC90ZXh0Pjx0ZXh0IGZvbnQtZmFtaWx5PSJDYWxpYnJpLENhbGlicmlfTVNGb250&#10;U2VydmljZSxBcmlhbCIgZm9udC13ZWlnaHQ9IjcwMCIgZm9udC1zaXplPSIyNCIgdHJhbnNmb3Jt&#10;PSJ0cmFuc2xhdGUoMzYuMzI2OCA5MDUpIj5OYXRpb25hbDwvdGV4dD48dGV4dCBmb250LWZhbWls&#10;eT0iQ2FsaWJyaSxDYWxpYnJpX01TRm9udFNlcnZpY2UsQXJpYWwiIGZvbnQtd2VpZ2h0PSI3MDAi&#10;IGZvbnQtc2l6ZT0iMjQiIHRyYW5zZm9ybT0idHJhbnNsYXRlKDEyMi4zMjcgOTA1KSI+LCA8L3Rl&#10;eHQ+PHRleHQgZm9udC1mYW1pbHk9IkNhbGlicmksQ2FsaWJyaV9NU0ZvbnRTZXJ2aWNlLEFyaWFs&#10;IiBmb250LXdlaWdodD0iNzAwIiBmb250LXNpemU9IjI0IiB0cmFuc2Zvcm09InRyYW5zbGF0ZSgx&#10;MzMuMzI3IDkwNSkiPlN0YXRlPC90ZXh0Pjx0ZXh0IGZvbnQtZmFtaWx5PSJDYWxpYnJpLENhbGli&#10;cmlfTVNGb250U2VydmljZSxBcmlhbCIgZm9udC13ZWlnaHQ9IjcwMCIgZm9udC1zaXplPSIyNCIg&#10;dHJhbnNmb3JtPSJ0cmFuc2xhdGUoMzYuMzI2OCA5MzApIj5hbmQgVGVycml0b3J5IEVuZ2FnZW1l&#10;bnQ8L3RleHQ+PHBhdGggZD0iTTI3Ni4wMDIgNzgyQzMwOS4xMzggNzgyIDMzNiA4MDguODYyIDMz&#10;NiA4NDEuOTk4IDMzNiA4NzUuMTM1IDMwOS4xMzggOTAxLjk5NyAyNzYuMDAyIDkwMS45OTcgMjY1&#10;LjAyOSA5MDEuOTk3IDI1NC4yNjYgODk4Ljk4OCAyNDQuODg1IDg5My4yOTZMMjYwLjQ0MyA4Njcu&#10;NjQ2QzI3NC42MSA4NzYuMjM4IDI5My4wNTkgODcxLjcyMSAzMDEuNjUyIDg1Ny41NTQgMzEwLjI0&#10;NSA4NDMuMzg2IDMwNS43MjcgODI0LjkzNyAyOTEuNTYgODE2LjM0NSAyODYuODY5IDgxMy41IDI4&#10;MS40ODggODExLjk5NCAyNzYuMDAyIDgxMS45OTRMMjc2LjAwMiA3ODJaIiBmaWxsPSIjMzI3REJE&#10;IiBmaWxsLXJ1bGU9ImV2ZW5vZGQiLz48cGF0aCBkPSJNMjQ0Ljg4NSA4OTMuMjk5QzIzNS4wNTEg&#10;ODg3LjMzNSAyMjcuMTM2IDg3OC42NjcgMjIyLjA4OSA4NjguMzMzTDI0OS4wNDUgODU1LjE2N0My&#10;NTEuNTY5IDg2MC4zMzYgMjU1LjUyNiA4NjQuNjY3IDI2MC40NDMgODY3LjY1MkwyNDQuODg1IDg5&#10;My4zMDNaIiBmaWxsPSIjOUE5QjU4IiBmaWxsLXJ1bGU9ImV2ZW5vZGQiLz48cGF0aCBkPSJNMjIy&#10;LjA4OSA4NjguMzMzQzIxMS4yODMgODQ2LjIwOCAyMTUuMDkgODE5LjcyNiAyMzEuNjkzIDgwMS41&#10;NDZMMjUzLjg0NyA4MjEuNzcyQzI0NS41NDYgODMwLjg2MiAyNDMuNjQ0IDg0NC4xMDMgMjQ5LjA0&#10;NSA4NTUuMTY3TDIyMi4wODkgODY4LjMzM1oiIGZpbGw9IiNFM0U4N0IiIGZpbGwtcnVsZT0iZXZl&#10;bm9kZCIvPjxwYXRoIGQ9Ik0yMzEuNjkzIDgwMS41NDZDMjQzLjA1OCA3ODkuMDk0IDI1OS4xNCA3&#10;ODIgMjc2LjAwMiA3ODJMMjc2LjAwMiA4MTIuMDAxQzI2Ny41NzMgODEyLjAwMSAyNTkuNTMgODE1&#10;LjU0NiAyNTMuODQ3IDgyMS43NzJMMjMxLjY5MyA4MDEuNTQ2WiIgZmlsbD0iI0ZDRkJFOCIgZmls&#10;bC1ydWxlPSJldmVub2RkIi8+PHRleHQgZm9udC1mYW1pbHk9IkNhbGlicmksQ2FsaWJyaV9NU0Zv&#10;bnRTZXJ2aWNlLEFyaWFsIiBmb250LXdlaWdodD0iNzAwIiBmb250LXNpemU9IjI0IiB0cmFuc2Zv&#10;cm09InRyYW5zbGF0ZSg0NTAuNDEyIDg1NikiPnBhcnRpY2lwYW50czwvdGV4dD48dGV4dCBmb250&#10;LWZhbWlseT0iQ2FsaWJyaSxDYWxpYnJpX01TRm9udFNlcnZpY2UsQXJpYWwiIGZvbnQtd2VpZ2h0&#10;PSI3MDAiIGZvbnQtc2l6ZT0iMjQiIHRyYW5zZm9ybT0idHJhbnNsYXRlKDQ1MC40MTIgODgyKSI+&#10;YWNyb3NzIDwvdGV4dD48dGV4dCBmb250LWZhbWlseT0iQ2FsaWJyaSxDYWxpYnJpX01TRm9udFNl&#10;cnZpY2UsQXJpYWwiIGZvbnQtd2VpZ2h0PSI3MDAiIGZvbnQtc2l6ZT0iMjQiIHRyYW5zZm9ybT0i&#10;dHJhbnNsYXRlKDUxOS40MTIgODgyKSI+MjQgPC90ZXh0Pjx0ZXh0IGZvbnQtZmFtaWx5PSJDYWxp&#10;YnJpLENhbGlicmlfTVNGb250U2VydmljZSxBcmlhbCIgZm9udC13ZWlnaHQ9IjcwMCIgZm9udC1z&#10;aXplPSIyNCIgdHJhbnNmb3JtPSJ0cmFuc2xhdGUoNDUwLjQxMiA5MDcpIj5jcm9zczwvdGV4dD48&#10;dGV4dCBmb250LWZhbWlseT0iQ2FsaWJyaSxDYWxpYnJpX01TRm9udFNlcnZpY2UsQXJpYWwiIGZv&#10;bnQtd2VpZ2h0PSI3MDAiIGZvbnQtc2l6ZT0iMjQiIHRyYW5zZm9ybT0idHJhbnNsYXRlKDUwMC40&#10;NTIgOTA3KSI+LTwvdGV4dD48dGV4dCBmb250LWZhbWlseT0iQ2FsaWJyaSxDYWxpYnJpX01TRm9u&#10;dFNlcnZpY2UsQXJpYWwiIGZvbnQtd2VpZ2h0PSI3MDAiIGZvbnQtc2l6ZT0iMjQiIHRyYW5zZm9y&#10;bT0idHJhbnNsYXRlKDUwNy43ODYgOTA3KSI+Y3V0dGluZzwvdGV4dD48dGV4dCBmb250LWZhbWls&#10;eT0iQ2FsaWJyaSxDYWxpYnJpX01TRm9udFNlcnZpY2UsQXJpYWwiIGZvbnQtd2VpZ2h0PSI3MDAi&#10;IGZvbnQtc2l6ZT0iMjQiIHRyYW5zZm9ybT0idHJhbnNsYXRlKDQ1MC40MTIgOTMzKSI+Y29sbGFi&#10;b3JhdGl2ZXMgYW5kIHdvcmtzaG9wczwvdGV4dD48ZyBjbGlwLXBhdGg9InVybCgjY2xpcDApIj48&#10;ZyBjbGlwLXBhdGg9InVybCgjY2xpcDEpIj48ZyBjbGlwLXBhdGg9InVybCgjY2xpcDIpIj48cGF0&#10;aCBkPSJNNjAgMEM5My4xMzU2IDAgMTIwIDI2Ljg2MSAxMjAgNjAgMTIwIDc1LjAzMDUgMTE0LjM1&#10;OSA4OS41MTE5IDEwNC4xOTMgMTAwLjU4M0w4Mi4wOTgzIDgwLjI5MTVDOTMuMzA1MSA2OC4wODgx&#10;IDkyLjQ5ODMgNDkuMTExOSA4MC4yOTQ5IDM3LjkwNTEgNzQuNzU5MyAzMi44MjAzIDY3LjUxODYg&#10;MzAgNjAuMDAzNCAzMEw2MC4wMDM0IDBaIiBmaWxsPSIjMzI3REJEIiBmaWxsLXJ1bGU9ImV2ZW5v&#10;ZGQiIHRyYW5zZm9ybT0ibWF0cml4KDEgMCAwIDEuMDA4MzMgNjA0IDc4MS4wMDIpIi8+PHBhdGgg&#10;ZD0iTTEwNC4xOSAxMDAuNTgzQzgxLjc3NjMgMTI0Ljk5IDQzLjgyMDMgMTI2LjYwMyAxOS40MTY5&#10;IDEwNC4xOSAxNC44MTM2IDk5Ljk2MjcgMTAuODk4MyA5NS4wNDA3IDcuODEzNTYgODkuNjAzNEwz&#10;My45MDUxIDc0LjhDNDIuMDgxNCA4OS4yMTAyIDYwLjM4OTggOTQuMjY0NCA3NC44IDg2LjA5MTUg&#10;NzcuNTE4NiA4NC41NDkyIDc5Ljk3OTcgODIuNTkzMiA4Mi4wOTE1IDgwLjI5MTVMMTA0LjE4NiAx&#10;MDAuNTgzWiIgZmlsbD0iIzlBOUI1OCIgZmlsbC1ydWxlPSJldmVub2RkIiB0cmFuc2Zvcm09Im1h&#10;dHJpeCgxIDAgMCAxLjAwODMzIDYwNCA3ODEuMDAyKSIvPjxwYXRoIGQ9Ik03LjgxMzU2IDg5LjYw&#10;MzRDLTQuNjY3OCA2Ny42MDY4LTIuMDEwMTcgNDAuMTQyNCAxNC40NTQyIDIwLjk0MjRMMzcuMjI3&#10;MSA0MC40NzEyQzI4Ljk5MzIgNTAuMDcxMiAyNy42Njc4IDYzLjgwMzQgMzMuOTA4NSA3NC44MDM0&#10;TDcuODE2OTUgODkuNjA2OFoiIGZpbGw9IiNFM0U4N0IiIGZpbGwtcnVsZT0iZXZlbm9kZCIgdHJh&#10;bnNmb3JtPSJtYXRyaXgoMSAwIDAgMS4wMDgzMyA2MDQgNzgxLjAwMikiLz48cGF0aCBkPSJNMTQu&#10;NDU0MiAyMC45NDI0QzI1Ljg1MDggNy42NTA4NSA0Mi40ODgxIDAgNjAgMEw2MCAzMEM1MS4yNDQx&#10;IDMwIDQyLjkyNTQgMzMuODIzNyAzNy4yMjcxIDQwLjQ3MTJMMTQuNDU0MiAyMC45NDI0WiIgZmls&#10;bD0iI0ZDRkJFOCIgZmlsbC1ydWxlPSJldmVub2RkIiB0cmFuc2Zvcm09Im1hdHJpeCgxIDAgMCAx&#10;LjAwODMzIDYwNCA3ODEuMDAyKSIvPjwvZz48L2c+PC9nPjxwYXRoIGQ9Ik0yNDkuNSAzNDMuNUMy&#10;NjUuODgxIDM0NS42NDUgMzAxLjkwOSAzNDUuNTQxIDMxNy4xOCAzNDMuNSAzMzIuNDUxIDM0MS40&#10;NTkgMzQ3LjMyNSAzNDMuODY3IDM3Ni4yMiAzNDMuNSA0MDUuMTE1IDM0My4xMzQgNDIxLjIyIDM0&#10;My43MjUgNDU2Ljg2IDM0My41IDQ5Mi41IDM0My4yNzUgNTAzLjk0MyAzNDUuMzk2IDUyNC41NCAz&#10;NDMuNSA1NDUuMTM3IDM0MS42MDQgNTc3LjEzOSAzNDIuOTg4IDU5Mi4yMiAzNDMuNSA2MDcuMzAx&#10;IDM0NC4wMTIgNjQ3LjE5MiAzNDEuNjE4IDY4MS41IDM0My41IDY3OC45NjcgMzczLjc5NiA2ODIu&#10;NDE4IDM4NS42NTYgNjgxLjUgNDA1LjkgNjgwLjU4MiA0MjYuMTQ0IDY3OS45MDkgNDUxLjM3NCA2&#10;ODEuNSA0NzMuNSA2NTIuMDk0IDQ3MS43MjkgNjQ0LjczIDQ3Mi40NzkgNjE4LjE0IDQ3My41IDU5&#10;MS41NSA0NzQuNTIxIDU3Ni4xOTkgNDczLjMxMSA1NDYuMTQgNDczLjUgNTE2LjA4MSA0NzMuNjg5&#10;IDUwOC42NSA0NzIuNDk3IDQ3NC4xNCA0NzMuNSA0MzkuNjMgNDc0LjUwMyA0MzkuOTYgNDcxLjM2&#10;MyA0MDYuNDYgNDczLjUgMzcyLjk2IDQ3NS42MzcgMzUyLjY2NyA0NzUuNzc1IDMyNS44MiA0NzMu&#10;NSAyOTguOTczIDQ3MS4yMjYgMjc5LjU0MSA0NzIuODUgMjQ5LjUgNDczLjUgMjUxLjY0NCA0NTcu&#10;MDQyIDI1MS44NDMgNDM5LjY5NCAyNDkuNSA0MTEuMSAyNDcuMTU3IDM4Mi41MDYgMjQ5LjcxMSAz&#10;NjUuODI1IDI0OS41IDM0My41WiIgZmlsbD0iI0ZGRkZGRiIgZmlsbC1ydWxlPSJldmVub2RkIi8+&#10;PHBhdGggZD0iTTI0OS41IDM0My41QzI2OS40NDkgMzQ2LjQ2NCAyOTQuMjg4IDM0Ni4zODkgMzE3&#10;LjE4IDM0My41IDM0MC4wNzIgMzQwLjYxMSAzNTQuMzc1IDM0MC43NTEgMzc2LjIyIDM0My41IDM5&#10;OC4wNjUgMzQ2LjI0OSA0MTcuNjkgMzQwLjg1OCA0MzkuNTggMzQzLjUgNDYxLjQ3IDM0Ni4xNDIg&#10;NDg4Ljc4OSAzMzkuNzM3IDUxNS45IDM0My41IDU0My4wMTEgMzQ3LjI2MyA1NTIuMzE4IDM0NS43&#10;NDEgNTgzLjU4IDM0My41IDYxNC44NDIgMzQxLjI1OSA2NTIuMDk0IDM0MS4wNzYgNjgxLjUgMzQz&#10;LjUgNjgxLjQ1IDM2My45MzcgNjgyLjMxIDM4MC40MDggNjgxLjUgNDA5LjggNjgwLjY5IDQzOS4x&#10;OTIgNjg0LjAwOCA0NDkuNTMxIDY4MS41IDQ3My41IDY0Ni4xNDUgNDc0LjEzOSA2MjQuNzQzIDQ3&#10;Mi40ODIgNjA5LjUgNDczLjUgNTk0LjI1NyA0NzQuNTE4IDU2MS44NjIgNDcyLjk2NyA1NDYuMTQg&#10;NDczLjUgNTMwLjQxOCA0NzQuMDMzIDQ5MC44NjYgNDcxLjYwNSA0NjUuNSA0NzMuNSA0NDAuMTM1&#10;IDQ3NS4zOTUgNDIxLjk5IDQ3MS42MTcgMzk3LjgyIDQ3My41IDM3My42NTEgNDc1LjM4MyAzNTcu&#10;MzIyIDQ3Ni4xNjUgMzM4Ljc4IDQ3My41IDMyMC4yMzggNDcwLjgzNSAyNzIuMzkxIDQ2OS43OSAy&#10;NDkuNSA0NzMuNSAyNDcuMzExIDQ1Ny4xMzEgMjQ5Ljk2NCA0MjUuOTY4IDI0OS41IDQxMS4xIDI0&#10;OS4wMzYgMzk2LjIzMiAyNTAuMzI1IDM2Mi4yMzUgMjQ5LjUgMzQzLjVaIiBzdHJva2U9IiNBN0I1&#10;QkYiIHN0cm9rZS13aWR0aD0iMyIgc3Ryb2tlLW1pdGVybGltaXQ9IjgiIGZpbGw9Im5vbmUiIGZp&#10;bGwtcnVsZT0iZXZlbm9kZCIvPjxwYXRoIGQ9Ik0zMi41MDAxIDk0Ni41QzU0LjM0MDQgOTQ4LjE5&#10;MyA1OC44MzYzIDk0OC44OTkgODMuODQwMSA5NDYuNSAxMDguODQ0IDk0NC4xMDEgMTE2LjEwMiA5&#10;NDguODYgMTQxLjIyIDk0Ni41IDE2Ni4zMzggOTQ0LjE0IDE4NC4zMTEgOTQ1LjczMiAyMDQuNjQg&#10;OTQ2LjUgMjI0Ljk2OSA5NDcuMjY4IDI0OS4xNDMgOTQ3LjM0NiAyNzEuMDggOTQ2LjUgMjkzLjAx&#10;NyA5NDUuNjU0IDMxNy41MTMgOTQ4Ljk0MyAzMzQuNSA5NDYuNSAzMzUuODI3IDk2MC40ODkgMzMz&#10;LjAwNiA5NzQuMTU3IDMzNC41IDk5NC45OCAzMzUuOTk0IDEwMTUuOCAzMzUuODQ1IDEwMzUuMyAz&#10;MzQuNSAxMDQ3LjUgMzA1LjY2OCAxMDQ1LjU5IDI5MC43NDggMTA0Ny44MiAyNzEuMDggMTA0Ny41&#10;IDI1MS40MTIgMTA0Ny4xOCAyMjQuNzc0IDEwNDQuNjMgMjEwLjY4IDEwNDcuNSAxOTYuNTg2IDEw&#10;NTAuMzcgMTc3LjE2MSAxMDQ0Ljk0IDE1OS4zNCAxMDQ3LjUgMTQxLjUxOSAxMDUwLjA2IDEzMy4w&#10;ODQgMTA0Ni45NSAxMDggMTA0Ny41IDgyLjkxNjQgMTA0OC4wNSA1OC41Nzk0IDEwNDkuODEgMzIu&#10;NTAwMSAxMDQ3LjUgMzAuMjUyOCAxMDM1LjM5IDMwLjQ0NzUgMTAxMi43NSAzMi41MDAxIDk5NC45&#10;OCAzNC41NTI2IDk3Ny4yMTQgMzQuMDgwMSA5NjkuNjY1IDMyLjUwMDEgOTQ2LjVaIiBmaWxsPSIj&#10;RkZGRkZGIiBmaWxsLXJ1bGU9ImV2ZW5vZGQiLz48cGF0aCBkPSJNMzIuNTAwMSA5NDYuNUM2Mi41&#10;ODM2IDk0Ni44ODIgNzQuNDQ0MyA5NDguOTA5IDkyLjkwMDEgOTQ2LjUgMTExLjM1NiA5NDQuMDkx&#10;IDEzMS41NDQgOTQ5LjA1NyAxNTAuMjggOTQ2LjUgMTY5LjAxNiA5NDMuOTQzIDE5My44MjggOTQ2&#10;LjgyIDIxMC42OCA5NDYuNSAyMjcuNTMyIDk0Ni4xOCAyMzkuMDA2IDk0Ny4xMzIgMjY1LjA0IDk0&#10;Ni41IDI5MS4wNzQgOTQ1Ljg2OCAzMTEuNjc1IDk0Ny42NDIgMzM0LjUgOTQ2LjUgMzMzLjE0NCA5&#10;NjQuODI1IDMzNS4zOTMgOTc4Ljk3OSAzMzQuNSA5OTUuOTkgMzMzLjYwNyAxMDEzIDMzNC4wMjUg&#10;MTAyMi43NSAzMzQuNSAxMDQ3LjUgMzA3LjkxNCAxMDQ1LjA0IDMwMS4zMzEgMTA0OC4xOCAyNzcu&#10;MTIgMTA0Ny41IDI1Mi45MDkgMTA0Ni44MiAyMzkuMzY1IDEwNDcuMjcgMjE2LjcyIDEwNDcuNSAx&#10;OTQuMDc2IDEwNDcuNzMgMTcyLjY3NyAxMDQ3LjA3IDE1MC4yOCAxMDQ3LjUgMTI3Ljg4MyAxMDQ3&#10;LjkzIDExNS4yOTcgMTA0OS40MyA4My44NDAxIDEwNDcuNSA1Mi4zODMzIDEwNDUuNTcgNTcuMjM4&#10;OSAxMDQ4LjIyIDMyLjUwMDEgMTA0Ny41IDMxLjAzMzMgMTAyNi42IDM0LjAzNiAxMDA1LjgyIDMy&#10;LjUwMDEgOTk0Ljk4IDMwLjk2NDIgOTg0LjE0NCAzMy45OTE1IDk1Ny4wOSAzMi41MDAxIDk0Ni41&#10;WiIgc3Ryb2tlPSIjRkZGRkZGIiBzdHJva2Utd2lkdGg9IjMiIHN0cm9rZS1taXRlcmxpbWl0PSI4&#10;IiBmaWxsPSJub25lIiBmaWxsLXJ1bGU9ImV2ZW5vZGQiLz48dGV4dCBmb250LWZhbWlseT0iQ2Fs&#10;aWJyaSxDYWxpYnJpX01TRm9udFNlcnZpY2UsQXJpYWwiIGZvbnQtd2VpZ2h0PSI3MDAiIGZvbnQt&#10;c2l6ZT0iNTEiIHRyYW5zZm9ybT0idHJhbnNsYXRlKDI3LjUzOTUgNDA3KSI+NDUyPC90ZXh0Pjx0&#10;ZXh0IGZvbnQtZmFtaWx5PSJDYWxpYnJpLENhbGlicmlfTVNGb250U2VydmljZSxBcmlhbCIgZm9u&#10;dC13ZWlnaHQ9IjcwMCIgZm9udC1zaXplPSIyNCIgdHJhbnNmb3JtPSJ0cmFuc2xhdGUoMjcuNTM5&#10;NSA0MzgpIj5wYXJ0aWNpcGFudHMgaW4gPC90ZXh0Pjx0ZXh0IGZvbnQtZmFtaWx5PSJDYWxpYnJp&#10;LENhbGlicmlfTVNGb250U2VydmljZSxBcmlhbCIgZm9udC13ZWlnaHQ9IjcwMCIgZm9udC1zaXpl&#10;PSIyNCIgdHJhbnNmb3JtPSJ0cmFuc2xhdGUoMjcuNTM5NSA0NjQpIj5jb21tdW5pdHkgeWFybnMg&#10;PC90ZXh0Pjx0ZXh0IGZvbnQtZmFtaWx5PSJDYWxpYnJpLENhbGlicmlfTVNGb250U2VydmljZSxB&#10;cmlhbCIgZm9udC13ZWlnaHQ9IjcwMCIgZm9udC1zaXplPSIyNCIgdHJhbnNmb3JtPSJ0cmFuc2xh&#10;dGUoMjcuNTM5NSA0ODkpIj5hbmQgaW5kaXZpZHVhbCA8L3RleHQ+PHRleHQgZm9udC1mYW1pbHk9&#10;IkNhbGlicmksQ2FsaWJyaV9NU0ZvbnRTZXJ2aWNlLEFyaWFsIiBmb250LXdlaWdodD0iNzAwIiBm&#10;b250LXNpemU9IjI0IiB0cmFuc2Zvcm09InRyYW5zbGF0ZSgyNy41Mzk1IDUxNSkiPmhlYWx0aCBq&#10;b3VybmV5IDwvdGV4dD48dGV4dCBmb250LWZhbWlseT0iQ2FsaWJyaSxDYWxpYnJpX01TRm9udFNl&#10;cnZpY2UsQXJpYWwiIGZvbnQtd2VpZ2h0PSI3MDAiIGZvbnQtc2l6ZT0iMjQiIHRyYW5zZm9ybT0i&#10;dHJhbnNsYXRlKDI3LjUzOTUgNTQxKSI+aW50ZXJ2aWV3czwvdGV4dD48dGV4dCBmaWxsPSIjMzY0&#10;MjRBIiBmb250LWZhbWlseT0iQ2FsaWJyaSxDYWxpYnJpX01TRm9udFNlcnZpY2UsQXJpYWwiIGZv&#10;bnQtd2VpZ2h0PSI0MDAiIGZvbnQtc2l6ZT0iMTUiIHRyYW5zZm9ybT0idHJhbnNsYXRlKDMwNi45&#10;MDIgMzM0KSI+QWJvcmlnaW5hbCBhbmQgVG9ycmVzIFN0cmFpdCBJc2xhbmRlciBwYXJ0aWNpcGFu&#10;dHM8L3RleHQ+PHRleHQgZmlsbD0iIzM2NDI0QSIgZm9udC1mYW1pbHk9IkNhbGlicmksQ2FsaWJy&#10;aV9NU0ZvbnRTZXJ2aWNlLEFyaWFsIiBmb250LXdlaWdodD0iNzAwIiBmb250LXNpemU9IjI5IiB0&#10;cmFuc2Zvcm09InRyYW5zbGF0ZSgyNTEuOTAyIDMzNCkiPjQxNzwvdGV4dD48cGF0aCBkPSJNMjQ5&#10;LjUgNTA4LjVDMjc4LjYwNSA1MTAuMDg3IDI4Mi40MTEgNTA1Ljk5MSAzMDguNTQgNTA4LjUgMzM0&#10;LjY3IDUxMS4wMDkgMzYxLjMwOSA1MDYuNDQ3IDM3Ni4yMiA1MDguNSAzOTEuMTMyIDUxMC41NTMg&#10;NDM2LjU3NCA1MDkuMDU3IDQ1Mi41NCA1MDguNSA0NjguNTA2IDUwNy45NDMgNDkzLjUyMSA1MTIu&#10;Mjc0IDUzMy4xOCA1MDguNSA1NzIuODM5IDUwNC43MjYgNTgxLjkxMSA1MDguMzIgNjEzLjgyIDUw&#10;OC41IDY0NS43MjkgNTA4LjY4IDY2MS40OTYgNTA3LjE1OCA2ODEuNSA1MDguNSA2ODIuODEzIDUx&#10;OS45OCA2ODEuOTIyIDUzNC4zMjMgNjgxLjUgNTQyLjUgNjYwLjIzOCA1NDEuMzc2IDYyMi42MSA1&#10;NDIuOTYzIDYwNS4xOCA1NDIuNSA1ODcuNzUgNTQyLjAzNyA1NjUuNzI3IDU0Mi4zOTMgNTMzLjE4&#10;IDU0Mi41IDUwMC42MzMgNTQyLjYwNyA1MDEuMDg3IDU0NC43MiA0NzQuMTQgNTQyLjUgNDQ3LjE5&#10;MyA1NDAuMjggNDM5LjgxIDU0NC4xODcgNDE1LjEgNTQyLjUgMzkwLjM5IDU0MC44MTMgMzc5Ljg1&#10;NCA1NDMuNTA0IDM1MS43NCA1NDIuNSAzMjMuNjI2IDU0MS40OTYgMjc0LjE2MyA1NDcuMzIzIDI0&#10;OS41IDU0Mi41IDI1MC4zNDcgNTI5LjMxMSAyNDkuNjQ3IDUxNi41IDI0OS41IDUwOC41WiIgZmls&#10;bD0iI0ZGRkZGRiIgZmlsbC1ydWxlPSJldmVub2RkIi8+PHBhdGggZD0iTTI0OS41IDUwOC41QzI2&#10;Ny4zMDYgNTA4Ljg2MyAyOTQuNjkyIDUwOC44IDMyMS41IDUwOC41IDM0OC4zMDggNTA4LjIgMzYz&#10;LjM2MyA1MTAuNzM3IDM4OS4xOCA1MDguNSA0MTQuOTk3IDUwNi4yNjMgNDM2Ljg1NCA1MTAuNDkg&#10;NDYxLjE4IDUwOC41IDQ4NS41MDYgNTA2LjUxIDUxMC4xNzIgNTA3LjEzOCA1MjQuNTQgNTA4LjUg&#10;NTM4LjkwOCA1MDkuODYyIDU4NS4xMjQgNTEwLjEzMSA2MDAuODYgNTA4LjUgNjE2LjU5NiA1MDYu&#10;ODY5IDY0Ni40NjMgNTA2LjI3NCA2ODEuNSA1MDguNSA2ODAuODAxIDUxNi40NzEgNjgzLjAxNyA1&#10;MjkuNDQgNjgxLjUgNTQyLjUgNjUxLjg1MiA1NDAuMjI3IDYzOS41MzggNTQxLjcxNyA2MTMuODIg&#10;NTQyLjUgNTg4LjEwMyA1NDMuMjgzIDU2MC40NyA1NDYuMDEzIDU0MS44MiA1NDIuNSA1MjMuMTcg&#10;NTM4Ljk4NyA0ODkuNjU1IDUzOS40NTQgNDYxLjE4IDU0Mi41IDQzMi43MDYgNTQ1LjU0NiAzOTgu&#10;OTc2IDU0MC42MiAzODAuNTQgNTQyLjUgMzYyLjEwNCA1NDQuMzggMzEyLjU0NSA1NDQuODc4IDI0&#10;OS41IDU0Mi41IDI0OS42NDggNTI2Ljk2MSAyNTAuODQgNTE5LjI0OSAyNDkuNSA1MDguNVoiIHN0&#10;cm9rZT0iI0E3QjVCRiIgc3Ryb2tlLXdpZHRoPSIzIiBzdHJva2UtbWl0ZXJsaW1pdD0iOCIgZmls&#10;bD0ibm9uZSIgZmlsbC1ydWxlPSJldmVub2RkIi8+PHRleHQgZmlsbD0iIzM2NDI0QSIgZm9udC1m&#10;YW1pbHk9IkNhbGlicmksQ2FsaWJyaV9NU0ZvbnRTZXJ2aWNlLEFyaWFsIiBmb250LXdlaWdodD0i&#10;NDAwIiBmb250LXNpemU9IjE1IiB0cmFuc2Zvcm09InRyYW5zbGF0ZSgyODcuMTQxIDQ5OSkiPm90&#10;aGVyIG9yIGluZGlnZW5laXR5IHVua25vd248L3RleHQ+PHRleHQgZmlsbD0iIzM2NDI0QSIgZm9u&#10;dC1mYW1pbHk9IkNhbGlicmksQ2FsaWJyaV9NU0ZvbnRTZXJ2aWNlLEFyaWFsIiBmb250LXdlaWdo&#10;dD0iNzAwIiBmb250LXNpemU9IjI5IiB0cmFuc2Zvcm09InRyYW5zbGF0ZSgyNTEuOTEyIDUwMCki&#10;PjM1PC90ZXh0Pjx0ZXh0IGZpbGw9IiMzNjQyNEEiIGZvbnQtZmFtaWx5PSJDYWxpYnJpLENhbGli&#10;cmlfTVNGb250U2VydmljZSxBcmlhbCIgZm9udC13ZWlnaHQ9IjcwMCIgZm9udC1zaXplPSIxNiIg&#10;dHJhbnNmb3JtPSJ0cmFuc2xhdGUoMjY0Ljk3IDUyOSkiPjg8L3RleHQ+PHRleHQgZmlsbD0iIzM2&#10;NDI0QSIgZm9udC1mYW1pbHk9IkNhbGlicmksQ2FsaWJyaV9NU0ZvbnRTZXJ2aWNlLEFyaWFsIiBm&#10;b250LXdlaWdodD0iNDAwIiBmb250LXNpemU9IjE1IiB0cmFuc2Zvcm09InRyYW5zbGF0ZSgyNzYu&#10;MTM3IDUyOSkiPmZlbWFsZTwvdGV4dD48dGV4dCBmaWxsPSIjMzY0MjRBIiBmb250LWZhbWlseT0i&#10;Q2FsaWJyaSxDYWxpYnJpX01TRm9udFNlcnZpY2UsQXJpYWwiIGZvbnQtd2VpZ2h0PSI3MDAiIGZv&#10;bnQtc2l6ZT0iMTYiIHRyYW5zZm9ybT0idHJhbnNsYXRlKDM2My4xOTkgNTI5KSI+MzwvdGV4dD48&#10;dGV4dCBmaWxsPSIjMzY0MjRBIiBmb250LWZhbWlseT0iQ2FsaWJyaSxDYWxpYnJpX01TRm9udFNl&#10;cnZpY2UsQXJpYWwiIGZvbnQtd2VpZ2h0PSI0MDAiIGZvbnQtc2l6ZT0iMTUiIHRyYW5zZm9ybT0i&#10;dHJhbnNsYXRlKDM3NC4zNjYgNTI5KSI+bWFsZTwvdGV4dD48dGV4dCBmaWxsPSIjMzY0MjRBIiBm&#10;b250LWZhbWlseT0iQ2FsaWJyaSxDYWxpYnJpX01TRm9udFNlcnZpY2UsQXJpYWwiIGZvbnQtd2Vp&#10;Z2h0PSI3MDAiIGZvbnQtc2l6ZT0iMTYiIHRyYW5zZm9ybT0idHJhbnNsYXRlKDQ1NS4wMDMgNTI5&#10;KSI+MjQ8L3RleHQ+PHRleHQgZmlsbD0iIzM2NDI0QSIgZm9udC1mYW1pbHk9IkNhbGlicmksQ2Fs&#10;aWJyaV9NU0ZvbnRTZXJ2aWNlLEFyaWFsIiBmb250LXdlaWdodD0iNDAwIiBmb250LXNpemU9IjEz&#10;IiB0cmFuc2Zvcm09InRyYW5zbGF0ZSg0NzQuMzM2IDUyOSkiPmdlbmRlcjwvdGV4dD48dGV4dCBm&#10;aWxsPSIjMzY0MjRBIiBmb250LWZhbWlseT0iQ2FsaWJyaSxDYWxpYnJpX01TRm9udFNlcnZpY2Us&#10;QXJpYWwiIGZvbnQtd2VpZ2h0PSI0MDAiIGZvbnQtc2l6ZT0iMTUiIHRyYW5zZm9ybT0idHJhbnNs&#10;YXRlKDUxNS42NjkgNTI5KSI+bm90IHByb3ZpZGVkPC90ZXh0Pjx0ZXh0IGZvbnQtZmFtaWx5PSJD&#10;YWxpYnJpLENhbGlicmlfTVNGb250U2VydmljZSxBcmlhbCIgZm9udC13ZWlnaHQ9IjcwMCIgZm9u&#10;dC1zaXplPSIyNCIgdHJhbnNmb3JtPSJ0cmFuc2xhdGUoMjcuNTM5NSA2NzMpIj5wYXJ0aWNpcGFu&#10;dHMgaW4gPC90ZXh0Pjx0ZXh0IGZvbnQtZmFtaWx5PSJDYWxpYnJpLENhbGlicmlfTVNGb250U2Vy&#10;dmljZSxBcmlhbCIgZm9udC13ZWlnaHQ9IjcwMCIgZm9udC1zaXplPSIyNCIgdHJhbnNmb3JtPSJ0&#10;cmFuc2xhdGUoMjcuNTM5NSA2OTkpIj5IZWFsdGggU2VjdG9yIDwvdGV4dD48dGV4dCBmb250LWZh&#10;bWlseT0iQ2FsaWJyaSxDYWxpYnJpX01TRm9udFNlcnZpY2UsQXJpYWwiIGZvbnQtd2VpZ2h0PSI3&#10;MDAiIGZvbnQtc2l6ZT0iMjQiIHRyYW5zZm9ybT0idHJhbnNsYXRlKDI3LjUzOTUgNzI0KSI+RW5n&#10;YWdlbWVudDwvdGV4dD48cGF0aCBkPSJNNDQ0LjUgOTQ2LjVDNDY2LjQxMyA5NDguMTkzIDQ3MC45&#10;MjQgOTQ4Ljg5OSA0OTYuMDEgOTQ2LjUgNTIxLjA5NyA5NDQuMTAxIDUyOC4zNzkgOTQ4Ljg2IDU1&#10;My41OCA5NDYuNSA1NzguNzgxIDk0NC4xNCA1OTYuODE0IDk0NS43MzIgNjE3LjIxIDk0Ni41IDYz&#10;Ny42MDYgOTQ3LjI2OCA2NjEuODYgOTQ3LjM0NiA2ODMuODcgOTQ2LjUgNzA1Ljg4IDk0NS42NTQg&#10;NzMwLjQ1NiA5NDguOTQzIDc0Ny41IDk0Ni41IDc0OC44MzIgOTYwLjQ4OSA3NDYuMDAxIDk3NC4x&#10;NTcgNzQ3LjUgOTk0Ljk4IDc0OC45OTkgMTAxNS44IDc0OC44NSAxMDM1LjMgNzQ3LjUgMTA0Ny41&#10;IDcxOC41NzIgMTA0NS41OSA3MDMuNjAzIDEwNDcuODIgNjgzLjg3IDEwNDcuNSA2NjQuMTM3IDEw&#10;NDcuMTggNjM3LjQxMSAxMDQ0LjYzIDYyMy4yNyAxMDQ3LjUgNjA5LjEyOSAxMDUwLjM3IDU4OS42&#10;NCAxMDQ0Ljk0IDU3MS43NiAxMDQ3LjUgNTUzLjg4IDEwNTAuMDYgNTQ1LjQxNyAxMDQ2Ljk1IDUy&#10;MC4yNSAxMDQ3LjUgNDk1LjA4MyAxMDQ4LjA1IDQ3MC42NjYgMTA0OS44MSA0NDQuNSAxMDQ3LjUg&#10;NDQyLjI0NSAxMDM1LjM5IDQ0Mi40NDEgMTAxMi43NSA0NDQuNSA5OTQuOTggNDQ2LjU1OSA5Nzcu&#10;MjE0IDQ0Ni4wODUgOTY5LjY2NSA0NDQuNSA5NDYuNVoiIGZpbGw9IiNGRkZGRkYiIGZpbGwtcnVs&#10;ZT0iZXZlbm9kZCIvPjxwYXRoIGQ9Ik00NDQuNSA5NDYuNUM0NzQuNjgzIDk0Ni44ODIgNDg2LjU4&#10;MyA5NDguOTA5IDUwNS4xIDk0Ni41IDUyMy42MTcgOTQ0LjA5MSA1NDMuODcyIDk0OS4wNTcgNTYy&#10;LjY3IDk0Ni41IDU4MS40NjggOTQzLjk0MyA2MDYuMzYyIDk0Ni44MiA2MjMuMjcgOTQ2LjUgNjQw&#10;LjE3OCA5NDYuMTggNjUxLjY5IDk0Ny4xMzIgNjc3LjgxIDk0Ni41IDcwMy45MyA5NDUuODY4IDcy&#10;NC41OTkgOTQ3LjY0MiA3NDcuNSA5NDYuNSA3NDYuMTQgOTY0LjgyNSA3NDguMzk2IDk3OC45Nzkg&#10;NzQ3LjUgOTk1Ljk5IDc0Ni42MDQgMTAxMyA3NDcuMDIzIDEwMjIuNzUgNzQ3LjUgMTA0Ny41IDcy&#10;MC44MjYgMTA0NS4wNCA3MTQuMjIxIDEwNDguMTggNjg5LjkzIDEwNDcuNSA2NjUuNjM5IDEwNDYu&#10;ODIgNjUyLjA0OSAxMDQ3LjI3IDYyOS4zMyAxMDQ3LjUgNjA2LjYxMSAxMDQ3LjczIDU4NS4xNDEg&#10;MTA0Ny4wNyA1NjIuNjcgMTA0Ny41IDU0MC4xOTkgMTA0Ny45MyA1MjcuNTcxIDEwNDkuNDMgNDk2&#10;LjAxIDEwNDcuNSA0NjQuNDQ5IDEwNDUuNTcgNDY5LjMyMSAxMDQ4LjIyIDQ0NC41IDEwNDcuNSA0&#10;NDMuMDI4IDEwMjYuNiA0NDYuMDQxIDEwMDUuODIgNDQ0LjUgOTk0Ljk4IDQ0Mi45NTkgOTg0LjE0&#10;NCA0NDUuOTk2IDk1Ny4wOSA0NDQuNSA5NDYuNVoiIHN0cm9rZT0iI0ZGRkZGRiIgc3Ryb2tlLXdp&#10;ZHRoPSIzIiBzdHJva2UtbWl0ZXJsaW1pdD0iOCIgZmlsbD0ibm9uZSIgZmlsbC1ydWxlPSJldmVu&#10;b2RkIi8+PHRleHQgZm9udC1mYW1pbHk9IkNhbGlicmksQ2FsaWJyaV9NU0ZvbnRTZXJ2aWNlLEFy&#10;aWFsIiBmb250LXdlaWdodD0iNDAwIiBmb250LXNpemU9IjEzIiB0cmFuc2Zvcm09InRyYW5zbGF0&#10;ZSg0NzUuODk1IDk4NykiPmNyb3NzPC90ZXh0Pjx0ZXh0IGZvbnQtZmFtaWx5PSJDYWxpYnJpLENh&#10;bGlicmlfTVNGb250U2VydmljZSxBcmlhbCIgZm9udC13ZWlnaHQ9IjQwMCIgZm9udC1zaXplPSIx&#10;MyIgdHJhbnNmb3JtPSJ0cmFuc2xhdGUoNTAzLjU2MiA5ODcpIj4tPC90ZXh0Pjx0ZXh0IGZvbnQt&#10;ZmFtaWx5PSJDYWxpYnJpLENhbGlicmlfTVNGb250U2VydmljZSxBcmlhbCIgZm9udC13ZWlnaHQ9&#10;IjQwMCIgZm9udC1zaXplPSIxMyIgdHJhbnNmb3JtPSJ0cmFuc2xhdGUoNTA3LjU2MiA5ODcpIj5j&#10;dXR0aW5nIGNvbGxhYm9yYXRpdmVzIGFuZCB3b3Jrc2hvcHM8L3RleHQ+PHRleHQgZm9udC1mYW1p&#10;bHk9IkNhbGlicmksQ2FsaWJyaV9NU0ZvbnRTZXJ2aWNlLEFyaWFsIiBmb250LXdlaWdodD0iNDAw&#10;IiBmb250LXNpemU9IjEzIiB0cmFuc2Zvcm09InRyYW5zbGF0ZSg0NzUuODk1IDEwMDMpIj5Db2xs&#10;ZWN0aXZlIGFjdGlvbiBmb3IgY2hhbmdlIHdvcmtzaG9wczwvdGV4dD48dGV4dCBmb250LWZhbWls&#10;eT0iQ2FsaWJyaSxDYWxpYnJpX01TRm9udFNlcnZpY2UsQXJpYWwiIGZvbnQtd2VpZ2h0PSI0MDAi&#10;IGZvbnQtc2l6ZT0iMTMiIHRyYW5zZm9ybT0idHJhbnNsYXRlKDQ3NS44OTUgMTAxOSkiPk5hdGlv&#10;bmFsIHdvcmtzaG9wPC90ZXh0Pjx0ZXh0IGZvbnQtZmFtaWx5PSJDYWxpYnJpLENhbGlicmlfTVNG&#10;b250U2VydmljZSxBcmlhbCIgZm9udC13ZWlnaHQ9IjQwMCIgZm9udC1zaXplPSIxMyIgdHJhbnNm&#10;b3JtPSJ0cmFuc2xhdGUoNDc1Ljg5NSAxMDM1KSI+Q29sbGFib3JhdGl2ZXM8L3RleHQ+PHRleHQg&#10;Zm9udC1mYW1pbHk9IkNhbGlicmksQ2FsaWJyaV9NU0ZvbnRTZXJ2aWNlLEFyaWFsIiBmb250LXdl&#10;aWdodD0iNzAwIiBmb250LXNpemU9IjEzIiB0cmFuc2Zvcm09InRyYW5zbGF0ZSg0NjEuMDUgOTY3&#10;KSI+TnVtYmVyIG9mIHBhcnRpY2lwYW50czwvdGV4dD48dGV4dCBmb250LWZhbWlseT0iQ2FsaWJy&#10;aSxDYWxpYnJpX01TRm9udFNlcnZpY2UsQXJpYWwiIGZvbnQtd2VpZ2h0PSI3MDAiIGZvbnQtc2l6&#10;ZT0iMTMiIHRyYW5zZm9ybT0idHJhbnNsYXRlKDU4OC4wNSA5NjcpIj46PC90ZXh0Pjx0ZXh0IGZv&#10;bnQtZmFtaWx5PSJDYWxpYnJpLENhbGlicmlfTVNGb250U2VydmljZSxBcmlhbCIgZm9udC13ZWln&#10;aHQ9IjQwMCIgZm9udC1zaXplPSIxMyIgdHJhbnNmb3JtPSJ0cmFuc2xhdGUoNjguNjggOTg2KSI+&#10;R292ZXJubWVudCBvZmZpY2lhbHMgYXQgdGhlIG5hdGlvbmFsIGxldmVsPC90ZXh0Pjx0ZXh0IGZv&#10;bnQtZmFtaWx5PSJDYWxpYnJpLENhbGlicmlfTVNGb250U2VydmljZSxBcmlhbCIgZm9udC13ZWln&#10;aHQ9IjQwMCIgZm9udC1zaXplPSIxMyIgdHJhbnNmb3JtPSJ0cmFuc2xhdGUoNjguNjggMTAwMiki&#10;Pk5hdGlvbmFsIHBlYWsgYm9keSBhbmQgb3RoZXIgcmVwcmVzZW50YXRpdmVzPC90ZXh0Pjx0ZXh0&#10;IGZvbnQtZmFtaWx5PSJDYWxpYnJpLENhbGlicmlfTVNGb250U2VydmljZSxBcmlhbCIgZm9udC13&#10;ZWlnaHQ9IjQwMCIgZm9udC1zaXplPSIxMyIgdHJhbnNmb3JtPSJ0cmFuc2xhdGUoNjguNjggMTAx&#10;OCkiPlN0YXRlIGFuZCB0ZXJyaXRvcnkgZ292ZXJubWVudCByZXByZXNlbnRhdGl2ZXM8L3RleHQ+&#10;PHRleHQgZm9udC1mYW1pbHk9IkNhbGlicmksQ2FsaWJyaV9NU0ZvbnRTZXJ2aWNlLEFyaWFsIiBm&#10;b250LXdlaWdodD0iNDAwIiBmb250LXNpemU9IjEzIiB0cmFuc2Zvcm09InRyYW5zbGF0ZSg2OC42&#10;OCAxMDM0KSI+U3RhdGUgYW5kIHRlcnJpdG9yeSBQZWFrIGJvZHkgcmVwcmVzZW50YXRpdmVzPC90&#10;ZXh0PjxwYXRoIGQ9Ik00OSA5NzcgNjEgOTc3IDYxIDk4OCA0OSA5ODhaIiBmaWxsPSIjMzI3REJE&#10;Ii8+PHBhdGggZD0iTTQ5IDk5MyA2MSA5OTMgNjEgMTAwNCA0OSAxMDA0WiIgZmlsbD0iIzlBOUI1&#10;OCIvPjxwYXRoIGQ9Ik00OSAxMDA5IDYxIDEwMDkgNjEgMTAyMSA0OSAxMDIxWiIgZmlsbD0iI0U0&#10;RTk3OSIvPjxwYXRoIGQ9Ik00OSAxMDI1IDYxIDEwMjUgNjEgMTAzNyA0OSAxMDM3WiIgZmlsbD0i&#10;I0ZBRjhENiIvPjxwYXRoIGQ9Ik0yMTYgNjIgMjE2IDI3OC44IiBzdHJva2U9IiMzNjQyNEEiIHN0&#10;cm9rZS13aWR0aD0iNiIgc3Ryb2tlLW1pdGVybGltaXQ9IjgiIGZpbGw9Im5vbmUiIGZpbGwtcnVs&#10;ZT0iZXZlbm9kZCIvPjxwYXRoIGQ9Ik0yMTYgMzE4IDIxNiA1MzguNTk2IiBzdHJva2U9IiMzNjQy&#10;NEEiIHN0cm9rZS13aWR0aD0iNiIgc3Ryb2tlLW1pdGVybGltaXQ9IjgiIGZpbGw9Im5vbmUiIGZp&#10;bGwtcnVsZT0iZXZlbm9kZCIvPjxwYXRoIGQ9Ik0yMTYgNTk5IDIxNiA3MzAuMzMzIiBzdHJva2U9&#10;IiMzNjQyNEEiIHN0cm9rZS13aWR0aD0iNiIgc3Ryb2tlLW1pdGVybGltaXQ9IjgiIGZpbGw9Im5v&#10;bmUiIGZpbGwtcnVsZT0iZXZlbm9kZCIvPjx0ZXh0IGZpbGw9IiNGRkZGRkYiIGZvbnQtZmFtaWx5&#10;PSJDYWxpYnJpLENhbGlicmlfTVNGb250U2VydmljZSxBcmlhbCIgZm9udC13ZWlnaHQ9IjcwMCIg&#10;Zm9udC1zaXplPSIxOSIgdHJhbnNmb3JtPSJ0cmFuc2xhdGUoMzA5LjcxOCA4NDkpIj43MTwvdGV4&#10;dD48dGV4dCBmaWxsPSIjRkZGRkZGIiBmb250LWZhbWlseT0iQ2FsaWJyaSxDYWxpYnJpX01TRm9u&#10;dFNlcnZpY2UsQXJpYWwiIGZvbnQtd2VpZ2h0PSI3MDAiIGZvbnQtc2l6ZT0iMTkiIHRyYW5zZm9y&#10;bT0idHJhbnNsYXRlKDIzMS4xMDMgODc5KSI+MTI8L3RleHQ+PHRleHQgZm9udC1mYW1pbHk9IkNh&#10;bGlicmksQ2FsaWJyaV9NU0ZvbnRTZXJ2aWNlLEFyaWFsIiBmb250LXdlaWdodD0iNzAwIiBmb250&#10;LXNpemU9IjE5IiB0cmFuc2Zvcm09InRyYW5zbGF0ZSgyMjEuOTM4IDg0MikiPjIzPC90ZXh0Pjx0&#10;ZXh0IGZvbnQtZmFtaWx5PSJDYWxpYnJpLENhbGlicmlfTVNGb250U2VydmljZSxBcmlhbCIgZm9u&#10;dC13ZWlnaHQ9IjcwMCIgZm9udC1zaXplPSIxOSIgdHJhbnNmb3JtPSJ0cmFuc2xhdGUoMjQ0LjQz&#10;NiA4MDkpIj4xNjwvdGV4dD48cGF0aCBkPSJNMjQ2LjUgODQzQzI0NC4zMzIgODI1LjM3NCAyNTku&#10;NDY3IDgxMy41OSAyNzYgODEzLjUgMjkzLjQyNCA4MTMuNzM4IDMwNS4xNTQgODI2LjcxOSAzMDUu&#10;NSA4NDMgMzAzLjU4OSA4NjEuMTU1IDI5MS43NjEgODc1LjQzMSAyNzYgODcyLjUgMjU5LjI5NSA4&#10;NzIuMjc1IDI0OC41OTIgODYwLjI5IDI0Ni41IDg0M1oiIHN0cm9rZT0iIzUzNTQ1MSIgc3Ryb2tl&#10;LXdpZHRoPSIxLjMzMzMzIiBzdHJva2UtbWl0ZXJsaW1pdD0iOCIgZmlsbD0ibm9uZSIgZmlsbC1y&#10;dWxlPSJldmVub2RkIi8+PHBhdGggZD0iTTIxNC41IDg0MkMyMTQuMTQgODA5LjQ3MSAyMzguNjY2&#10;IDc4NC41ODggMjc1IDc4My41IDMxMC42NDggNzgzLjk2NyAzMzAuMTk0IDgwOS44NTkgMzM1LjUg&#10;ODQyIDMzMi4wOTggODc3LjYwOCAzMDguMDYyIDkwMi40MjUgMjc1IDkwMC41IDIzOC4zNTcgODk4&#10;Ljc0NiAyMTguMzY0IDg3Ni4xNDIgMjE0LjUgODQyWiIgc3Ryb2tlPSIjNTM1NDUxIiBzdHJva2Ut&#10;d2lkdGg9IjEuMzMzMzMiIHN0cm9rZS1taXRlcmxpbWl0PSI4IiBmaWxsPSJub25lIiBmaWxsLXJ1&#10;bGU9ImV2ZW5vZGQiLz48dGV4dCBmaWxsPSIjRkZGRkZGIiBmb250LWZhbWlseT0iQ2FsaWJyaSxD&#10;YWxpYnJpX01TRm9udFNlcnZpY2UsQXJpYWwiIGZvbnQtd2VpZ2h0PSI3MDAiIGZvbnQtc2l6ZT0i&#10;MTkiIHRyYW5zZm9ybT0idHJhbnNsYXRlKDY1Ni44MzggODk0KSI+ODM8L3RleHQ+PHRleHQgZm9u&#10;dC1mYW1pbHk9IkNhbGlicmksQ2FsaWJyaV9NU0ZvbnRTZXJ2aWNlLEFyaWFsIiBmb250LXdlaWdo&#10;dD0iNzAwIiBmb250LXNpemU9IjE5IiB0cmFuc2Zvcm09InRyYW5zbGF0ZSg2MDguODE0IDg0Miki&#10;PjU0PC90ZXh0Pjx0ZXh0IGZvbnQtZmFtaWx5PSJDYWxpYnJpLENhbGlicmlfTVNGb250U2Vydmlj&#10;ZSxBcmlhbCIgZm9udC13ZWlnaHQ9IjcwMCIgZm9udC1zaXplPSIxOSIgdHJhbnNmb3JtPSJ0cmFu&#10;c2xhdGUoNjM3LjQ1OSA4MDgpIj4zODwvdGV4dD48dGV4dCBmaWxsPSIjRkZGRkZGIiBmb250LWZh&#10;bWlseT0iQ2FsaWJyaSxDYWxpYnJpX01TRm9udFNlcnZpY2UsQXJpYWwiIGZvbnQtd2VpZ2h0PSI3&#10;MDAiIGZvbnQtc2l6ZT0iMTkiIHRyYW5zZm9ybT0idHJhbnNsYXRlKDY5NC40NTcgODQ2KSI+MTAy&#10;PC90ZXh0PjxwYXRoIGQ9Ik0wIDMwLjVDLTEuODQ5NDcgMTIuNTA4NiAxMi41NzE4IDAuNDkzMTcy&#10;IDMxIDAgNDguNDA4OSAwLjA2MDk4MjIgNjAuMTA1NiAxMy43MTU5IDYyIDMwLjUgNjAuNTY5NCA0&#10;OC43NDkgNDcuNTY5MiA2NC4wNjUgMzEgNjEgMTEuNjMzMyA1OS43NjQ4IDAuNjk3ODg4IDQ3LjY3&#10;OTkgMCAzMC41WiIgc3Ryb2tlPSIjNTM1NDUxIiBzdHJva2Utd2lkdGg9IjEuMzMzMzMiIHN0cm9r&#10;ZS1taXRlcmxpbWl0PSI4IiBmaWxsPSJub25lIiBmaWxsLXJ1bGU9ImV2ZW5vZGQiIHRyYW5zZm9y&#10;bT0ibWF0cml4KC02LjEyMzIzZS0xNyAtMSAtMSA2LjEyMzIzZS0xNyA2OTQuNSA4NzMuNSkiLz48&#10;cGF0aCBkPSJNMCA2MEMtMS4wOTgxMyAyNi4xODE4IDI1LjA4ODMgMC42Njk3NTggNjAgMCA5My43&#10;NTY0IDAuMTMxMTE5IDExOC45OTYgMjYuODk1IDEyMCA2MCAxMTguMjk5IDk0LjgwNzkgOTIuNDY5&#10;MSAxMjMuNzEzIDYwIDEyMCAyMS4zNTg5IDExNi45NzIgNS4zMzEyOCA5NS42OTg2IDAgNjBaIiBz&#10;dHJva2U9IiM1MzU0NTEiIHN0cm9rZS13aWR0aD0iMS4zMzMzMyIgc3Ryb2tlLW1pdGVybGltaXQ9&#10;IjgiIGZpbGw9Im5vbmUiIGZpbGwtcnVsZT0iZXZlbm9kZCIgdHJhbnNmb3JtPSJtYXRyaXgoLTYu&#10;MTIzMjNlLTE3IC0xIC0xIDYuMTIzMjNlLTE3IDcyMy41IDkwMi41KSIvPjxwYXRoIGQ9Ik0yNjEu&#10;NSAzNzEuNUMyNzMuNzg4IDM2OS42NjMgMjk1LjgzMyAzNjkuNTE1IDMwOC41IDM3MS41IDMwOS4z&#10;MzUgMzc3LjAxNyAzMDguMzEyIDM4NS40NDggMzA4LjUgMzk0LjUgMjkwLjMwNSAzOTMuOTA3IDI4&#10;Mi42MjMgMzk0LjM5MiAyNjEuNSAzOTQuNSAyNjIuNDcgMzg5LjU4MyAyNjEuMDUxIDM3Ny4xNjIg&#10;MjYxLjUgMzcxLjVaIiBmaWxsPSIjOUM1MzNBIiBmaWxsLXJ1bGU9ImV2ZW5vZGQiLz48cGF0aCBk&#10;PSJNMjYxLjUgMzcxLjVDMjgzLjg0NSAzNzIuMDMgMjk0LjQ5OCAzNjkuMzExIDMwOC41IDM3MS41&#10;IDMwOC40MTkgMzgxLjA1MyAzMDkuMzg5IDM4OC4yNjYgMzA4LjUgMzk0LjUgMjk2LjA4NyAzOTQu&#10;Njk5IDI3Ny45NzYgMzk2LjEzNyAyNjEuNSAzOTQuNSAyNjEuNjI1IDM4Ni43MzUgMjYxLjE2OCAz&#10;ODAuNjk3IDI2MS41IDM3MS41WiIgc3Ryb2tlPSIjOUM1MzNBIiBzdHJva2Utd2lkdGg9IjEuMzMz&#10;MzMiIHN0cm9rZS1taXRlcmxpbWl0PSI4IiBmaWxsPSJub25lIiBmaWxsLXJ1bGU9ImV2ZW5vZGQi&#10;Lz48cGF0aCBkPSJNMzA4LjUgMzcxLjVDMzE5LjQxMyAzNzIuOTM2IDM0My45NiAzNzMuMDc0IDM2&#10;My4wMiAzNzEuNSAzODIuMDggMzY5LjkyNiA0MDguNTg1IDM3MS42MjQgNDI0LjUgMzcxLjUgNDI1&#10;LjUxOSAzODAuNDE4IDQyNC41ODQgMzg0LjkyMSA0MjQuNSAzOTQuNSA0MDQuODkxIDM5NC44NDcg&#10;Mzk1LjU0NCAzOTQuMTg1IDM2OC44MiAzOTQuNSAzNDIuMDk2IDM5NC44MTUgMzMzLjUyMiAzOTEu&#10;OTk3IDMwOC41IDM5NC41IDMwOC43ODcgMzg5LjA5MiAzMDcuNTY3IDM3Ny40MzIgMzA4LjUgMzcx&#10;LjVaIiBmaWxsPSIjOUE5QjU4IiBmaWxsLXJ1bGU9ImV2ZW5vZGQiLz48cGF0aCBkPSJNMzA4LjUg&#10;MzcxLjVDMzI5LjUyNyAzNjkuMzcxIDMzOS44NzggMzY5LjY2NCAzNjYuNSAzNzEuNSAzOTMuMTIy&#10;IDM3My4zMzYgNDA0LjAyOCAzNzQuMzA2IDQyNC41IDM3MS41IDQyNS4zNTYgMzc5LjQyIDQyNC40&#10;NTYgMzg5LjQ4MyA0MjQuNSAzOTQuNSAzOTkuMjM1IDM5Ni43MjggMzkyLjk2NCAzOTMuMTQyIDM2&#10;OC44MiAzOTQuNSAzNDQuNjc2IDM5NS44NTggMzIzLjAwNCAzOTcuMTQ5IDMwOC41IDM5NC41IDMw&#10;OC4yNDMgMzg0LjM2MyAzMDguODEgMzc2LjYxMiAzMDguNSAzNzEuNVoiIHN0cm9rZT0iIzlBOUI1&#10;OCIgc3Ryb2tlLXdpZHRoPSIxLjMzMzMzIiBzdHJva2UtbWl0ZXJsaW1pdD0iOCIgZmlsbD0ibm9u&#10;ZSIgZmlsbC1ydWxlPSJldmVub2RkIi8+PHBhdGggZD0iTTQyMy41IDM3MS41QzQzNC40MTMgMzcy&#10;LjkzNiA0NTguOTYgMzczLjA3NCA0NzguMDIgMzcxLjUgNDk3LjA4IDM2OS45MjYgNTIzLjU4NSAz&#10;NzEuNjI0IDUzOS41IDM3MS41IDU0MC41MTkgMzgwLjQxOCA1MzkuNTg0IDM4NC45MjEgNTM5LjUg&#10;Mzk0LjUgNTE5Ljg5MSAzOTQuODQ3IDUxMC41NDQgMzk0LjE4NSA0ODMuODIgMzk0LjUgNDU3LjA5&#10;NiAzOTQuODE1IDQ0OC41MjIgMzkxLjk5NyA0MjMuNSAzOTQuNSA0MjMuNzg3IDM4OS4wOTIgNDIy&#10;LjU2NyAzNzcuNDMyIDQyMy41IDM3MS41WiIgZmlsbD0iI0U0RTk3OSIgZmlsbC1ydWxlPSJldmVu&#10;b2RkIi8+PHBhdGggZD0iTTQyMy41IDM3MS41QzQ0NC41MjcgMzY5LjM3MSA0NTQuODc4IDM2OS42&#10;NjQgNDgxLjUgMzcxLjUgNTA4LjEyMiAzNzMuMzM2IDUxOS4wMjggMzc0LjMwNiA1MzkuNSAzNzEu&#10;NSA1NDAuMzU2IDM3OS40MiA1MzkuNDU2IDM4OS40ODMgNTM5LjUgMzk0LjUgNTE0LjIzNSAzOTYu&#10;NzI4IDUwNy45NjQgMzkzLjE0MiA0ODMuODIgMzk0LjUgNDU5LjY3NiAzOTUuODU4IDQzOC4wMDQg&#10;Mzk3LjE0OSA0MjMuNSAzOTQuNSA0MjMuMjQzIDM4NC4zNjMgNDIzLjgxIDM3Ni42MTIgNDIzLjUg&#10;MzcxLjVaIiBzdHJva2U9IiNFNEU5NzkiIHN0cm9rZS13aWR0aD0iMS4zMzMzMyIgc3Ryb2tlLW1p&#10;dGVybGltaXQ9IjgiIGZpbGw9Im5vbmUiIGZpbGwtcnVsZT0iZXZlbm9kZCIvPjxwYXRoIGQ9Ik01&#10;MzkuNSAzNzEuNUM1NjIuMDMyIDM3NC40NTYgNTg2LjUzOSAzNzEuMDEyIDYwMy42OSAzNzEuNSA2&#10;MjAuODQxIDM3MS45ODggNjUwLjY2OCAzNzAuMjgzIDY3MC41IDM3MS41IDY2OS45NTEgMzc2LjU2&#10;OCA2NzAuNTQgMzg4Ljc1MyA2NzAuNSAzOTQuNSA2NTIuODU5IDM5NS4yNjIgNjMwLjA2OCAzOTEu&#10;NTc5IDYwNSAzOTQuNSA1NzkuOTMyIDM5Ny40MjEgNTcwLjMwNSAzOTMuMTEgNTM5LjUgMzk0LjUg&#10;NTM4Ljc5NSAzODUuNjA4IDU0MC4xMTEgMzc5LjIzMiA1MzkuNSAzNzEuNVoiIGZpbGw9IiM1MzU1&#10;NTIiIGZpbGwtcnVsZT0iZXZlbm9kZCIvPjxwYXRoIGQ9Ik01MzkuNSAzNzEuNUM1NjEuOTc4IDM3&#10;My44MjIgNTg0Ljc3OSAzNjkuMDcyIDYwNy42MiAzNzEuNSA2MzAuNDYxIDM3My45MjggNjUxLjY5&#10;MiAzNzQuMzE3IDY3MC41IDM3MS41IDY3MC4wNTQgMzgwLjk2MiA2NzEuMjkzIDM4NS44OTYgNjcw&#10;LjUgMzk0LjUgNjM4LjUwNCAzOTQuMjE4IDYyNy40MjQgMzk0LjcyOCA2MDYuMzEgMzk0LjUgNTg1&#10;LjE5NiAzOTQuMjczIDU2My43MiAzOTIuNTk2IDUzOS41IDM5NC41IDUzOC44MjggMzg5Ljc1MiA1&#10;MzkuMzM4IDM3Ni45NzIgNTM5LjUgMzcxLjVaIiBzdHJva2U9IiM1MzU1NTIiIHN0cm9rZS13aWR0&#10;aD0iMS4zMzMzMyIgc3Ryb2tlLW1pdGVybGltaXQ9IjgiIGZpbGw9Im5vbmUiIGZpbGwtcnVsZT0i&#10;ZXZlbm9kZCIvPjx0ZXh0IGZpbGw9IiMzNjQyNEEiIGZvbnQtZmFtaWx5PSJDYWxpYnJpLENhbGli&#10;cmlfTVNGb250U2VydmljZSxBcmlhbCIgZm9udC13ZWlnaHQ9IjQwMCIgZm9udC1zaXplPSIxNSIg&#10;dHJhbnNmb3JtPSJ0cmFuc2xhdGUoMjYxLjUzNiAzNjUpIj4xODwvdGV4dD48dGV4dCBmaWxsPSIj&#10;MzY0MjRBIiBmb250LWZhbWlseT0iQ2FsaWJyaSxDYWxpYnJpX01TRm9udFNlcnZpY2UsQXJpYWwi&#10;IGZvbnQtd2VpZ2h0PSI0MDAiIGZvbnQtc2l6ZT0iMTUiIHRyYW5zZm9ybT0idHJhbnNsYXRlKDI3&#10;Ni41MzYgMzY1KSI+LTwvdGV4dD48dGV4dCBmaWxsPSIjMzY0MjRBIiBmb250LWZhbWlseT0iQ2Fs&#10;aWJyaSxDYWxpYnJpX01TRm9udFNlcnZpY2UsQXJpYWwiIGZvbnQtd2VpZ2h0PSI0MDAiIGZvbnQt&#10;c2l6ZT0iMTUiIHRyYW5zZm9ybT0idHJhbnNsYXRlKDI4MS4wMzYgMzY1KSI+MjQ8L3RleHQ+PHRl&#10;eHQgZmlsbD0iIzM2NDI0QSIgZm9udC1mYW1pbHk9IkNhbGlicmksQ2FsaWJyaV9NU0ZvbnRTZXJ2&#10;aWNlLEFyaWFsIiBmb250LXdlaWdodD0iNDAwIiBmb250LXNpemU9IjE1IiB0cmFuc2Zvcm09InRy&#10;YW5zbGF0ZSgzMTQuMTM5IDM2NSkiPjI1PC90ZXh0Pjx0ZXh0IGZpbGw9IiMzNjQyNEEiIGZvbnQt&#10;ZmFtaWx5PSJDYWxpYnJpLENhbGlicmlfTVNGb250U2VydmljZSxBcmlhbCIgZm9udC13ZWlnaHQ9&#10;IjQwMCIgZm9udC1zaXplPSIxNSIgdHJhbnNmb3JtPSJ0cmFuc2xhdGUoMzI5LjEzOSAzNjUpIj4t&#10;PC90ZXh0Pjx0ZXh0IGZpbGw9IiMzNjQyNEEiIGZvbnQtZmFtaWx5PSJDYWxpYnJpLENhbGlicmlf&#10;TVNGb250U2VydmljZSxBcmlhbCIgZm9udC13ZWlnaHQ9IjQwMCIgZm9udC1zaXplPSIxNSIgdHJh&#10;bnNmb3JtPSJ0cmFuc2xhdGUoMzMzLjYzOSAzNjUpIj41NDwvdGV4dD48dGV4dCBmaWxsPSIjMzY0&#10;MjRBIiBmb250LWZhbWlseT0iQ2FsaWJyaSxDYWxpYnJpX01TRm9udFNlcnZpY2UsQXJpYWwiIGZv&#10;bnQtd2VpZ2h0PSI0MDAiIGZvbnQtc2l6ZT0iMTUiIHRyYW5zZm9ybT0idHJhbnNsYXRlKDQyNi45&#10;NzggMzY1KSI+b3ZlciBhZ2UgPC90ZXh0Pjx0ZXh0IGZpbGw9IiMzNjQyNEEiIGZvbnQtZmFtaWx5&#10;PSJDYWxpYnJpLENhbGlicmlfTVNGb250U2VydmljZSxBcmlhbCIgZm9udC13ZWlnaHQ9IjQwMCIg&#10;Zm9udC1zaXplPSIxNSIgdHJhbnNmb3JtPSJ0cmFuc2xhdGUoNDgyLjk3OCAzNjUpIj41NTwvdGV4&#10;dD48dGV4dCBmaWxsPSIjMzY0MjRBIiBmb250LWZhbWlseT0iQ2FsaWJyaSxDYWxpYnJpX01TRm9u&#10;dFNlcnZpY2UsQXJpYWwiIGZvbnQtd2VpZ2h0PSI0MDAiIGZvbnQtc2l6ZT0iMTUiIHRyYW5zZm9y&#10;bT0idHJhbnNsYXRlKDU0NS4zNzMgMzY1KSI+YWdlIG5vdCBwcm92aWRlZDwvdGV4dD48dGV4dCBm&#10;aWxsPSIjRkZGRkZGIiBmb250LWZhbWlseT0iQ2FsaWJyaSxDYWxpYnJpX01TRm9udFNlcnZpY2Us&#10;QXJpYWwiIGZvbnQtd2VpZ2h0PSI3MDAiIGZvbnQtc2l6ZT0iMTYiIHRyYW5zZm9ybT0idHJhbnNs&#10;YXRlKDI2Ny43MDIgMzg4KSI+NTI8L3RleHQ+PHRleHQgZmlsbD0iI0ZGRkZGRiIgZm9udC1mYW1p&#10;bHk9IkNhbGlicmksQ2FsaWJyaV9NU0ZvbnRTZXJ2aWNlLEFyaWFsIiBmb250LXdlaWdodD0iNzAw&#10;IiBmb250LXNpemU9IjE2IiB0cmFuc2Zvcm09InRyYW5zbGF0ZSgzMTYuMzA5IDM4OCkiPjEyMTwv&#10;dGV4dD48dGV4dCBmaWxsPSIjMzY0MjRBIiBmb250LWZhbWlseT0iQ2FsaWJyaSxDYWxpYnJpX01T&#10;Rm9udFNlcnZpY2UsQXJpYWwiIGZvbnQtd2VpZ2h0PSI3MDAiIGZvbnQtc2l6ZT0iMTYiIHRyYW5z&#10;Zm9ybT0idHJhbnNsYXRlKDQyNi45ODIgMzg4KSI+MTIwPC90ZXh0Pjx0ZXh0IGZpbGw9IiNGRkZG&#10;RkYiIGZvbnQtZmFtaWx5PSJDYWxpYnJpLENhbGlicmlfTVNGb250U2VydmljZSxBcmlhbCIgZm9u&#10;dC13ZWlnaHQ9IjcwMCIgZm9udC1zaXplPSIxNiIgdHJhbnNmb3JtPSJ0cmFuc2xhdGUoNTQ1LjQ5&#10;IDM4OCkiPjEyNDwvdGV4dD48cGF0aCBkPSJNMjYwLjUgNDE3LjVDMjgwLjk1MyA0MTkuOTY5IDI4&#10;OS43IDQxNi4zMjEgMzE0LjE4IDQxNy41IDMzOC42NiA0MTguNjc5IDM1My4wOTEgNDE0Ljc0OSAz&#10;NzIuNzQgNDE3LjUgMzkyLjM5IDQyMC4yNTIgNDIxLjM5NSA0MTguMjI0IDQzNi4xOCA0MTcuNSA0&#10;NTAuOTY1IDQxNi43NzYgNDgyLjU5MSA0MTcuMjMgNTA0LjUgNDE3LjUgNTA0LjU0NyA0MjYuNzE3&#10;IDUwMy42MjMgNDMzLjgxMSA1MDQuNSA0NDAuNSA0ODIuOCA0NDIuNjM3IDQ3MC40NTEgNDM3Ljc4&#10;OSA0MzguNjIgNDQwLjUgNDA2Ljc4OSA0NDMuMjExIDQwNC4yMDkgNDQyLjAzNiAzODAuMDYgNDQw&#10;LjUgMzU1LjkxMSA0MzguOTY0IDM0MS4yNDIgNDQyLjYwNiAzMTkuMDYgNDQwLjUgMjk2Ljg3OCA0&#10;MzguMzk1IDI4OS42MzIgNDQyLjA2MSAyNjAuNSA0NDAuNSAyNjAuMTE1IDQzMC43OTMgMjYxLjEy&#10;MSA0MjUuNTg3IDI2MC41IDQxNy41WiIgZmlsbD0iIzk1OTVCQyIgZmlsbC1ydWxlPSJldmVub2Rk&#10;Ii8+PHBhdGggZD0iTTI2MC41IDQxNy41QzI4NC44NTQgNDE1LjI1NSAyOTUuMjY0IDQxNS42NTcg&#10;MzE5LjA2IDQxNy41IDM0Mi44NTYgNDE5LjM0MyAzNTIuNjk2IDQxNi4xNTkgMzc3LjYyIDQxNy41&#10;IDQwMi41NDQgNDE4Ljg0MSA0MTMuOTU5IDQxOC45MTUgNDMzLjc0IDQxNy41IDQ1My41MjEgNDE2&#10;LjA4NSA0NzcuNDk2IDQxNC41NjEgNTA0LjUgNDE3LjUgNTA0LjczMiA0MjguNTk1IDUwNS4zMzQg&#10;NDMyLjgyIDUwNC41IDQ0MC41IDQ4NC41OTggNDM5Ljc3OSA0NTguMzk5IDQ0Mi4xOTcgNDQxLjA2&#10;IDQ0MC41IDQyMy43MjEgNDM4LjgwMyA0MTMuNTIxIDQ0Mi4yMjcgMzg3LjM4IDQ0MC41IDM2MS4y&#10;MzkgNDM4Ljc3MyAzNDQuOTA2IDQ0MC43MDEgMzI2LjM4IDQ0MC41IDMwNy44NTQgNDQwLjI5OSAy&#10;OTAuMTYgNDQyLjg1OSAyNjAuNSA0NDAuNSAyNTkuNzUgNDM1LjYyNCAyNTkuNzczIDQyNC41ODYg&#10;MjYwLjUgNDE3LjVaIiBzdHJva2U9IiM5NTk1QkMiIHN0cm9rZS13aWR0aD0iMS4zMzMzMyIgc3Ry&#10;b2tlLW1pdGVybGltaXQ9IjgiIGZpbGw9Im5vbmUiIGZpbGwtcnVsZT0iZXZlbm9kZCIvPjxwYXRo&#10;IGQ9Ik01MDQuNSA0MTcuNUM1MzQuNTQzIDQxOC4xNDUgNTQyLjA3NiA0MTYuMTEyIDU2Ny4wMSA0&#10;MTcuNSA1OTEuOTQ0IDQxOC44ODggNjEzLjM1NCA0MTUuMzU4IDYzNy41IDQxNy41IDYzNy41ODkg&#10;NDI3LjA3MyA2MzcuNjQxIDQyOS44MDUgNjM3LjUgNDQwLjUgNjIyLjM2MyA0MzguMzQ2IDYwMi4y&#10;IDQzOS4xNjIgNTczLjY2IDQ0MC41IDU0NS4xMiA0NDEuODM4IDUyNS4yODQgNDQyLjE1OSA1MDQu&#10;NSA0NDAuNSA1MDQuNjYyIDQzMC4xMSA1MDQuNzU0IDQyMy4wMjEgNTA0LjUgNDE3LjVaIiBmaWxs&#10;PSIjMzVBNkJDIiBmaWxsLXJ1bGU9ImV2ZW5vZGQiLz48cGF0aCBkPSJNNTA0LjUgNDE3LjVDNTI4&#10;LjY0NyA0MTkuNjM1IDU0NC4xMDIgNDE1LjE2MSA1NzEgNDE3LjUgNTk3Ljg5OCA0MTkuODM5IDYx&#10;Mi4yMTkgNDE4Ljk5NyA2MzcuNSA0MTcuNSA2MzguMTc4IDQyMy4xMTUgNjM3LjkzNSA0MzEuNDM4&#10;IDYzNy41IDQ0MC41IDYxNi4zODIgNDQwLjA1MSA1OTMuMjU3IDQ0MS45MzkgNTczLjY2IDQ0MC41&#10;IDU1NC4wNjMgNDM5LjA2MSA1MjEuMTYyIDQzOS4yOTMgNTA0LjUgNDQwLjUgNTA0Ljg0IDQzMi44&#10;NjkgNTA0LjQ5OCA0MjMuOTU0IDUwNC41IDQxNy41WiIgc3Ryb2tlPSIjMzVBNkJDIiBzdHJva2Ut&#10;d2lkdGg9IjEuMzMzMzMiIHN0cm9rZS1taXRlcmxpbWl0PSI4IiBmaWxsPSJub25lIiBmaWxsLXJ1&#10;bGU9ImV2ZW5vZGQiLz48cGF0aCBkPSJNNjM3LjUgNDE3LjVDNjUxLjk2IDQxNC41MzQgNjYyLjA3&#10;MyA0MjAuMDMzIDY3MC41IDQxNy41IDY3Mi40ODkgNDI0Ljg5OCA2NjguNjc5IDQzNS41MjEgNjcw&#10;LjUgNDQwLjUgNjU3Ljg0OSA0NDIuMjI4IDY0NS44MzUgNDM4LjIwMSA2MzcuNSA0NDAuNSA2MzYu&#10;NjE2IDQzMy4yNTcgNjM5LjY4NyA0MjguMzM3IDYzNy41IDQxNy41WiIgZmlsbD0iIzUzNTQ1MSIg&#10;ZmlsbC1ydWxlPSJldmVub2RkIi8+PHBhdGggZD0iTTYzNy41IDQxNy41QzY0OS45NjggNDE0LjI5&#10;MiA2NTUuOTI0IDQxOC4xNDkgNjcwLjUgNDE3LjUgNjcxLjc0NCA0MjUgNjcwLjM3MiA0MzEuMzIg&#10;NjcwLjUgNDQwLjUgNjYwLjMzNyA0NDEuNjQgNjUzLjIwOCA0MzYuNzA2IDYzNy41IDQ0MC41IDYz&#10;Ni4xMDIgNDMyLjQ4NyA2MzcuOTY1IDQyNy4wNzMgNjM3LjUgNDE3LjVaIiBzdHJva2U9IiM1MzU0&#10;NTEiIHN0cm9rZS13aWR0aD0iMS4zMzMzMyIgc3Ryb2tlLW1pdGVybGltaXQ9IjgiIGZpbGw9Im5v&#10;bmUiIGZpbGwtcnVsZT0iZXZlbm9kZCIvPjx0ZXh0IGZpbGw9IiMzNjQyNEEiIGZvbnQtZmFtaWx5&#10;PSJDYWxpYnJpLENhbGlicmlfTVNGb250U2VydmljZSxBcmlhbCIgZm9udC13ZWlnaHQ9IjQwMCIg&#10;Zm9udC1zaXplPSIxNSIgdHJhbnNmb3JtPSJ0cmFuc2xhdGUoMjY1LjU4MiA0NjEpIj5mZW1hbGU8&#10;L3RleHQ+PHRleHQgZmlsbD0iI0ZGRkZGRiIgZm9udC1mYW1pbHk9IkNhbGlicmksQ2FsaWJyaV9N&#10;U0ZvbnRTZXJ2aWNlLEFyaWFsIiBmb250LXdlaWdodD0iNzAwIiBmb250LXNpemU9IjE2IiB0cmFu&#10;c2Zvcm09InRyYW5zbGF0ZSgyNjYuNzg4IDQzNykiPjI1OTwvdGV4dD48dGV4dCBmaWxsPSIjMzY0&#10;MjRBIiBmb250LWZhbWlseT0iQ2FsaWJyaSxDYWxpYnJpX01TRm9udFNlcnZpY2UsQXJpYWwiIGZv&#10;bnQtd2VpZ2h0PSI0MDAiIGZvbnQtc2l6ZT0iMTUiIHRyYW5zZm9ybT0idHJhbnNsYXRlKDUwOC4x&#10;NDMgNDYxKSI+bWFsZTwvdGV4dD48dGV4dCBmaWxsPSIjRkZGRkZGIiBmb250LWZhbWlseT0iQ2Fs&#10;aWJyaSxDYWxpYnJpX01TRm9udFNlcnZpY2UsQXJpYWwiIGZvbnQtd2VpZ2h0PSI3MDAiIGZvbnQt&#10;c2l6ZT0iMTYiIHRyYW5zZm9ybT0idHJhbnNsYXRlKDUwNy41OTggNDM2KSI+MTQyPC90ZXh0Pjx0&#10;ZXh0IGZpbGw9IiMzNjQyNEEiIGZvbnQtZmFtaWx5PSJDYWxpYnJpLENhbGlicmlfTVNGb250U2Vy&#10;dmljZSxBcmlhbCIgZm9udC13ZWlnaHQ9IjQwMCIgZm9udC1zaXplPSIxMyIgdHJhbnNmb3JtPSJ0&#10;cmFuc2xhdGUoNTYyLjcxIDQ2MSkiPmdlbmRlciBub3QgcHJvdmlkZWQ8L3RleHQ+PHRleHQgZmls&#10;bD0iI0ZGRkZGRiIgZm9udC1mYW1pbHk9IkNhbGlicmksQ2FsaWJyaV9NU0ZvbnRTZXJ2aWNlLEFy&#10;aWFsIiBmb250LXdlaWdodD0iNzAwIiBmb250LXNpemU9IjE2IiB0cmFuc2Zvcm09InRyYW5zbGF0&#10;ZSg2NDQuMTEyIDQzNCkiPjE2PC90ZXh0Pjx0ZXh0IGZvbnQtZmFtaWx5PSJDYWxpYnJpLENhbGli&#10;cmlfTVNGb250U2VydmljZSxBcmlhbCIgZm9udC13ZWlnaHQ9IjcwMCIgZm9udC1zaXplPSIyOSIg&#10;dHJhbnNmb3JtPSJ0cmFuc2xhdGUoNjc0LjQxMiA2ODkpIj4yNzwvdGV4dD48dGV4dCBmb250LWZh&#10;bWlseT0iQ2FsaWJyaSxDYWxpYnJpX01TRm9udFNlcnZpY2UsQXJpYWwiIGZvbnQtd2VpZ2h0PSI0&#10;MDAiIGZvbnQtc2l6ZT0iMTIiIHRyYW5zZm9ybT0idHJhbnNsYXRlKDY2MC4zMzIgNzAxKSI+cGFy&#10;dGljaXBhbnRzPC90ZXh0PjxwYXRoIGQ9Ik02MjAuODM2IDYyNS4zMzcgNjI0LjUwMyA2MjUuMzM3&#10;IDYyNC41MDMgNjM5LjMzNyA2MjAuODM2IDYzOS4zMzdaIiBmaWxsPSIjRTNFODdCIiBmaWxsLXJ1&#10;bGU9ImV2ZW5vZGQiLz48cGF0aCBkPSJNNjI0LjUwMyA2MjUuMzM3IDY0Mi4zMzYgNjI1LjMzNyA2&#10;NDIuMzM2IDYzOS4zMzcgNjI0LjUwMyA2MzkuMzM3WiIgZmlsbD0iI0UzRTg3QiIgZmlsbC1ydWxl&#10;PSJldmVub2RkIi8+PHBhdGggZD0iTTY0Mi4zMzYgNjI1LjMzNyA2NDUuMDAzIDYyNS4zMzcgNjQ1&#10;LjAwMyA2MzkuMzM3IDY0Mi4zMzYgNjM5LjMzN1oiIGZpbGw9IiNFM0U4N0IiIGZpbGwtcnVsZT0i&#10;ZXZlbm9kZCIvPjxwYXRoIGQ9Ik02NDUuMDAzIDYyNS4zMzcgNzU3LjUwMyA2MjUuMzM3IDc1Ny41&#10;MDMgNjM5LjMzNyA2NDUuMDAzIDYzOS4zMzdaIiBmaWxsPSIjRTNFODdCIiBmaWxsLXJ1bGU9ImV2&#10;ZW5vZGQiLz48cGF0aCBkPSJNNjIwLjY3IDYzNi4zMzcgNjk4LjAwMyA2MzYuMzM3IDY5OC4wMDMg&#10;NjUwLjMzNyA2MjAuNjcgNjUwLjMzN1oiIGZpbGw9IiNFM0U4N0IiIGZpbGwtcnVsZT0iZXZlbm9k&#10;ZCIvPjxwYXRoIGQ9Ik02OTguMDAzIDYzNi4zMzcgNzUyLjAwMyA2MzYuMzM3IDc1Mi4wMDMgNjUw&#10;LjMzNyA2OTguMDAzIDY1MC4zMzdaIiBmaWxsPSIjRTNFODdCIiBmaWxsLXJ1bGU9ImV2ZW5vZGQi&#10;Lz48cGF0aCBkPSJNNzUyLjAwMyA2MzYuMzM3IDc1Ny42NyA2MzYuMzM3IDc1Ny42NyA2NTAuMzM3&#10;IDc1Mi4wMDMgNjUwLjMzN1oiIGZpbGw9IiNFM0U4N0IiIGZpbGwtcnVsZT0iZXZlbm9kZCIvPjxw&#10;YXRoIGQ9Ik02NTYuMjUgNjQ4LjMzNyA3MTkuNDE2IDY0OC4zMzcgNzE5LjQxNiA2NjIuMzM3IDY1&#10;Ni4yNSA2NjIuMzM3WiIgZmlsbD0iI0UzRTg3QiIgZmlsbC1ydWxlPSJldmVub2RkIi8+PHRleHQg&#10;Zm9udC1mYW1pbHk9IkNhbGlicmksQ2FsaWJyaV9NU0ZvbnRTZXJ2aWNlLEFyaWFsIiBmb250LXN0&#10;eWxlPSJpdGFsaWMiIGZvbnQtd2VpZ2h0PSI0MDAiIGZvbnQtc2l6ZT0iMTIiIHRyYW5zZm9ybT0i&#10;dHJhbnNsYXRlKDYyMC44MzYgNjM2KSI+KDwvdGV4dD48dGV4dCBmb250LWZhbWlseT0iQ2FsaWJy&#10;aSxDYWxpYnJpX01TRm9udFNlcnZpY2UsQXJpYWwiIGZvbnQtc3R5bGU9Iml0YWxpYyIgZm9udC13&#10;ZWlnaHQ9IjQwMCIgZm9udC1zaXplPSIxMiIgdHJhbnNmb3JtPSJ0cmFuc2xhdGUoNjI0LjUwMyA2&#10;MzYpIj5lPC90ZXh0Pjx0ZXh0IGZvbnQtZmFtaWx5PSJDYWxpYnJpLENhbGlicmlfTVNGb250U2Vy&#10;dmljZSxBcmlhbCIgZm9udC1zdHlsZT0iaXRhbGljIiBmb250LXdlaWdodD0iNDAwIiBmb250LXNp&#10;emU9IjEyIiB0cmFuc2Zvcm09InRyYW5zbGF0ZSg2MzAuNTAzIDYzNikiPi48L3RleHQ+PHRleHQg&#10;Zm9udC1mYW1pbHk9IkNhbGlicmksQ2FsaWJyaV9NU0ZvbnRTZXJ2aWNlLEFyaWFsIiBmb250LXN0&#10;eWxlPSJpdGFsaWMiIGZvbnQtd2VpZ2h0PSI0MDAiIGZvbnQtc2l6ZT0iMTIiIHRyYW5zZm9ybT0i&#10;dHJhbnNsYXRlKDYzMy41MDMgNjM2KSI+ZzwvdGV4dD48dGV4dCBmb250LWZhbWlseT0iQ2FsaWJy&#10;aSxDYWxpYnJpX01TRm9udFNlcnZpY2UsQXJpYWwiIGZvbnQtc3R5bGU9Iml0YWxpYyIgZm9udC13&#10;ZWlnaHQ9IjQwMCIgZm9udC1zaXplPSIxMiIgdHJhbnNmb3JtPSJ0cmFuc2xhdGUoNjM5LjUwMyA2&#10;MzYpIj4uPC90ZXh0Pjx0ZXh0IGZvbnQtZmFtaWx5PSJDYWxpYnJpLENhbGlicmlfTVNGb250U2Vy&#10;dmljZSxBcmlhbCIgZm9udC1zdHlsZT0iaXRhbGljIiBmb250LXdlaWdodD0iNDAwIiBmb250LXNp&#10;emU9IjEyIiB0cmFuc2Zvcm09InRyYW5zbGF0ZSg2NDIuMzM2IDYzNikiPiA8L3RleHQ+PHRleHQg&#10;Zm9udC1mYW1pbHk9IkNhbGlicmksQ2FsaWJyaV9NU0ZvbnRTZXJ2aWNlLEFyaWFsIiBmb250LXN0&#10;eWxlPSJpdGFsaWMiIGZvbnQtd2VpZ2h0PSI0MDAiIGZvbnQtc2l6ZT0iMTIiIHRyYW5zZm9ybT0i&#10;dHJhbnNsYXRlKDY0NS4wMDMgNjM2KSI+c3RhZmYgZnJvbSBtYWluc3RyZWFtIDwvdGV4dD48dGV4&#10;dCBmb250LWZhbWlseT0iQ2FsaWJyaSxDYWxpYnJpX01TRm9udFNlcnZpY2UsQXJpYWwiIGZvbnQt&#10;c3R5bGU9Iml0YWxpYyIgZm9udC13ZWlnaHQ9IjQwMCIgZm9udC1zaXplPSIxMiIgdHJhbnNmb3Jt&#10;PSJ0cmFuc2xhdGUoNjIwLjY3IDY0NykiPmhlYWx0aCBzZXJ2aWNlczwvdGV4dD48dGV4dCBmb250&#10;LWZhbWlseT0iQ2FsaWJyaSxDYWxpYnJpX01TRm9udFNlcnZpY2UsQXJpYWwiIGZvbnQtc3R5bGU9&#10;Iml0YWxpYyIgZm9udC13ZWlnaHQ9IjQwMCIgZm9udC1zaXplPSIxMiIgdHJhbnNmb3JtPSJ0cmFu&#10;c2xhdGUoNjkzLjY3IDY0NykiPiwgPC90ZXh0Pjx0ZXh0IGZvbnQtZmFtaWx5PSJDYWxpYnJpLENh&#10;bGlicmlfTVNGb250U2VydmljZSxBcmlhbCIgZm9udC1zdHlsZT0iaXRhbGljIiBmb250LXdlaWdo&#10;dD0iNDAwIiBmb250LXNpemU9IjEyIiB0cmFuc2Zvcm09InRyYW5zbGF0ZSg2OTguMDAzIDY0Nyki&#10;PmNvcnJlY3Rpb25zPC90ZXh0Pjx0ZXh0IGZvbnQtZmFtaWx5PSJDYWxpYnJpLENhbGlicmlfTVNG&#10;b250U2VydmljZSxBcmlhbCIgZm9udC1zdHlsZT0iaXRhbGljIiBmb250LXdlaWdodD0iNDAwIiBm&#10;b250LXNpemU9IjEyIiB0cmFuc2Zvcm09InRyYW5zbGF0ZSg3NTIuMDAzIDY0NykiPiwgPC90ZXh0&#10;Pjx0ZXh0IGZvbnQtZmFtaWx5PSJDYWxpYnJpLENhbGlicmlfTVNGb250U2VydmljZSxBcmlhbCIg&#10;Zm9udC1zdHlsZT0iaXRhbGljIiBmb250LXdlaWdodD0iNDAwIiBmb250LXNpemU9IjEyIiB0cmFu&#10;c2Zvcm09InRyYW5zbGF0ZSg2NTYuMjUgNjU5KSI+YW5kIGhvdXNpbmc8L3RleHQ+PHRleHQgZm9u&#10;dC1mYW1pbHk9IkNhbGlicmksQ2FsaWJyaV9NU0ZvbnRTZXJ2aWNlLEFyaWFsIiBmb250LXN0eWxl&#10;PSJpdGFsaWMiIGZvbnQtd2VpZ2h0PSI0MDAiIGZvbnQtc2l6ZT0iMTIiIHRyYW5zZm9ybT0idHJh&#10;bnNsYXRlKDcxNS4yNSA2NTkpIj4pPC90ZXh0PjxnPjxnIHRyYW5zZm9ybT0idHJhbnNsYXRlKDIz&#10;OSA1OTApIj48ZyBjbGlwLXBhdGg9InVybCgjY2xpcDQpIj48dXNlIHdpZHRoPSIxMDAlIiBoZWln&#10;aHQ9IjEwMCUiIHhsaW5rOmhyZWY9IiNpbWczIj48L3VzZT48L2c+PC9nPjwvZz48Zz48ZyB0cmFu&#10;c2Zvcm09InRyYW5zbGF0ZSgyNzkgNjU1KSI+PGcgY2xpcC1wYXRoPSJ1cmwoI2NsaXA2KSI+PHVz&#10;ZSB3aWR0aD0iMTAwJSIgaGVpZ2h0PSIxMDAlIiB4bGluazpocmVmPSIjaW1nNSI+PC91c2U+PC9n&#10;PjwvZz48L2c+PGc+PGcgdHJhbnNmb3JtPSJ0cmFuc2xhdGUoMjY2IDYwMSkiPjxnIGNsaXAtcGF0&#10;aD0idXJsKCNjbGlwOCkiPjx1c2Ugd2lkdGg9IjEwMCUiIGhlaWdodD0iMTAwJSIgeGxpbms6aHJl&#10;Zj0iI2ltZzciPjwvdXNlPjwvZz48L2c+PC9nPjx0ZXh0IGZpbGw9IiNGRkZGRkYiIGZvbnQtZmFt&#10;aWx5PSJDYWxpYnJpLENhbGlicmlfTVNGb250U2VydmljZSxBcmlhbCIgZm9udC13ZWlnaHQ9Ijcw&#10;MCIgZm9udC1zaXplPSIyOSIgdHJhbnNmb3JtPSJ0cmFuc2xhdGUoMzA2LjUzMyA2OTMpIj4xNDA8&#10;L3RleHQ+PHRleHQgZmlsbD0iI0ZGRkZGRiIgZm9udC1mYW1pbHk9IkNhbGlicmksQ2FsaWJyaV9N&#10;U0ZvbnRTZXJ2aWNlLEFyaWFsIiBmb250LXdlaWdodD0iNDAwIiBmb250LXNpemU9IjEyIiB0cmFu&#10;c2Zvcm09InRyYW5zbGF0ZSgyOTkuODY2IDcwOSkiPnBhcnRpY2lwYW50czwvdGV4dD48cGF0aCBk&#10;PSJNMCA3NC41Qy0wLjgxNDY2NSAzMi44NDg3IDI3LjAyMTggMS40NjMwNyA2OSAwIDExNS4zMjYg&#10;MS43NDI2NSAxMzYuMjQxIDMzLjQxMTEgMTM4IDc0LjUgMTM0LjM2NiAxMTkuMjE5IDEwNi4xOTcg&#10;MTU0LjA3MiA2OSAxNDkgMjUuNzE1MiAxNDYuMTQ3IDUuNTAzNjIgMTE4LjI5NCAwIDc0LjVaIiBz&#10;dHJva2U9IiM1MzU0NTEiIHN0cm9rZS13aWR0aD0iMS4zMzMzMyIgc3Ryb2tlLW1pdGVybGltaXQ9&#10;IjgiIGZpbGw9Im5vbmUiIGZpbGwtcnVsZT0iZXZlbm9kZCIgdHJhbnNmb3JtPSJtYXRyaXgoLTYu&#10;MTIzMjNlLTE3IC0xIC0xIDYuMTIzMjNlLTE3IDQwMS41IDczNS41KSIvPjxwYXRoIGQ9Ik02NzAu&#10;ODUzIDYxMC4zNzUgNzA2LjM1MyA2MTAuMzc1IDcwNi4zNTMgNjI4LjM3NSA2NzAuODUzIDYyOC4z&#10;NzVaIiBmaWxsPSIjRTRFOTc5IiBmaWxsLXJ1bGU9ImV2ZW5vZGQiLz48dGV4dCBmb250LWZhbWls&#10;eT0iQ2FsaWJyaSxDYWxpYnJpX01TRm9udFNlcnZpY2UsQXJpYWwiIGZvbnQtd2VpZ2h0PSI3MDAi&#10;IGZvbnQtc2l6ZT0iMTUiIHRyYW5zZm9ybT0idHJhbnNsYXRlKDY3MC44NTMgNjI0KSI+T3RoZXI8&#10;L3RleHQ+PHBhdGggZD0iTTI0Mi44NSA2MTAuMzc1IDQxNC41MTcgNjEwLjM3NSA0MTQuNTE3IDYy&#10;OC4zNzUgMjQyLjg1IDYyOC4zNzVaIiBmaWxsPSIjRTRFOTc5IiBmaWxsLXJ1bGU9ImV2ZW5vZGQi&#10;Lz48dGV4dCBmb250LWZhbWlseT0iQ2FsaWJyaSxDYWxpYnJpX01TRm9udFNlcnZpY2UsQXJpYWwi&#10;IGZvbnQtd2VpZ2h0PSI3MDAiIGZvbnQtc2l6ZT0iMTUiIHRyYW5zZm9ybT0idHJhbnNsYXRlKDI0&#10;Mi44NSA2MjQpIj5IZWFsdGggc2VydmljZSBvcmdhbmlzYXRpb25zPC90ZXh0PjxnPjxnIHRyYW5z&#10;Zm9ybT0idHJhbnNsYXRlKDQ2NCA2NDQpIj48ZyBjbGlwLXBhdGg9InVybCgjY2xpcDEwKSI+PHVz&#10;ZSB3aWR0aD0iMTAwJSIgaGVpZ2h0PSIxMDAlIiB4bGluazpocmVmPSIjaW1nOSI+PC91c2U+PC9n&#10;PjwvZz48L2c+PGc+PGcgdHJhbnNmb3JtPSJ0cmFuc2xhdGUoNDg1IDY3OCkiPjxnIGNsaXAtcGF0&#10;aD0idXJsKCNjbGlwMTIpIj48dXNlIHdpZHRoPSIxMDAlIiBoZWlnaHQ9IjEwMCUiIHhsaW5rOmhy&#10;ZWY9IiNpbWcxMSI+PC91c2U+PC9nPjwvZz48L2c+PGc+PGcgdHJhbnNmb3JtPSJ0cmFuc2xhdGUo&#10;NDc4IDY0OSkiPjxnIGNsaXAtcGF0aD0idXJsKCNjbGlwMTQpIj48dXNlIHdpZHRoPSIxMDAlIiBo&#10;ZWlnaHQ9IjEwMCUiIHhsaW5rOmhyZWY9IiNpbWcxMyI+PC91c2U+PC9nPjwvZz48L2c+PHRleHQg&#10;ZmlsbD0iI0ZGRkZGRiIgZm9udC1mYW1pbHk9IkNhbGlicmksQ2FsaWJyaV9NU0ZvbnRTZXJ2aWNl&#10;LEFyaWFsIiBmb250LXdlaWdodD0iNzAwIiBmb250LXNpemU9IjI5IiB0cmFuc2Zvcm09InRyYW5z&#10;bGF0ZSg1MDMuNTk3IDY5NCkiPjcxPC90ZXh0Pjx0ZXh0IGZpbGw9IiNGRkZGRkYiIGZvbnQtZmFt&#10;aWx5PSJDYWxpYnJpLENhbGlicmlfTVNGb250U2VydmljZSxBcmlhbCIgZm9udC13ZWlnaHQ9IjQw&#10;MCIgZm9udC1zaXplPSIxMiIgdHJhbnNmb3JtPSJ0cmFuc2xhdGUoNDg5LjUxIDcxMCkiPnBhcnRp&#10;Y2lwYW50czwvdGV4dD48cGF0aCBkPSJNMCA0MkMtNC42MjkyNiAxNS45ODMyIDE3LjUxMzcgMC40&#10;Nzg0MTUgNDIgMCA2OC45Mjg2IDAuNzc2Mjc2IDgxLjgyOTQgMTguODcyMiA4NCA0MiA4Mi4wNjcz&#10;IDY3LjA2MDUgNjQuMTg0MSA4OS41MjUgNDIgODQgMTYuMzQzNCA4Mi42NyA0LjEzNjc1IDY3LjE0&#10;ODYgMCA0MloiIHN0cm9rZT0iIzUzNTQ1MSIgc3Ryb2tlLXdpZHRoPSIxLjMzMzMzIiBzdHJva2Ut&#10;bWl0ZXJsaW1pdD0iOCIgZmlsbD0ibm9uZSIgZmlsbC1ydWxlPSJldmVub2RkIiB0cmFuc2Zvcm09&#10;Im1hdHJpeCgtNi4xMjMyM2UtMTcgLTEgLTEgNi4xMjMyM2UtMTcgNTU5LjUgNzMzLjUpIi8+PHBh&#10;dGggZD0iTTQ5Ny45NjEgNjEwLjM3NSA1MzAuNjI3IDYxMC4zNzUgNTMwLjYyNyA2MjguMzc1IDQ5&#10;Ny45NjEgNjI4LjM3NVoiIGZpbGw9IiNFNEU5NzkiIGZpbGwtcnVsZT0iZXZlbm9kZCIvPjx0ZXh0&#10;IGZvbnQtZmFtaWx5PSJDYWxpYnJpLENhbGlicmlfTVNGb250U2VydmljZSxBcmlhbCIgZm9udC13&#10;ZWlnaHQ9IjcwMCIgZm9udC1zaXplPSIxNSIgdHJhbnNmb3JtPSJ0cmFuc2xhdGUoNDk3Ljk2MSA2&#10;MjQpIj5QSE5zPC90ZXh0PjxnPjxnIHRyYW5zZm9ybT0idHJhbnNsYXRlKDY3MiA3MDApIj48ZyBj&#10;bGlwLXBhdGg9InVybCgjY2xpcDE2KSI+PHVzZSB3aWR0aD0iMTAwJSIgaGVpZ2h0PSIxMDAlIiB4&#10;bGluazpocmVmPSIjaW1nMTUiPjwvdXNlPjwvZz48L2c+PC9nPjxwYXRoIGQ9Ik0wIDEyLjUwMDFD&#10;LTAuOTQ4NTc2IDQuOTk0MjYgNS4xNzcyOCAwLjA3NTQ1NDcgMTIuMDAwMSAwIDE5LjAxOTEgMC4w&#10;ODQ4NDcgMjMuNjM2NyA1LjYwODM0IDI0LjAwMDEgMTIuNTAwMSAyMi45OTQyIDIwLjQxNDYgMTgu&#10;MzYyMyAyNi41MDg4IDEyLjAwMDEgMjUuMDAwMSA0Ljc3MDE2IDI0LjY2MDggMC42MDAwMTMgMTku&#10;Njk4OCAwIDEyLjUwMDFaIiBzdHJva2U9IiM1MzU0NTEiIHN0cm9rZS13aWR0aD0iMS4zMzMzMyIg&#10;c3Ryb2tlLW1pdGVybGltaXQ9IjgiIGZpbGw9Im5vbmUiIGZpbGwtcnVsZT0iZXZlbm9kZCIgdHJh&#10;bnNmb3JtPSJtYXRyaXgoLTYuMTIzMjNlLTE3IC0xIC0xIDYuMTIzMjNlLTE3IDcwMS41IDczMC41&#10;KSIvPjxwYXRoIGQ9Ik02NTIuNSA0MzcuNSA2NTIuNSA0NTAuNSIgc3Ryb2tlPSIjMzY0MjRBIiBz&#10;dHJva2Utd2lkdGg9IjEuMzMzMzMiIHN0cm9rZS1taXRlcmxpbWl0PSI4IiBmaWxsPSJub25lIiBm&#10;aWxsLXJ1bGU9ImV2ZW5vZGQiLz48dGV4dCBmb250LWZhbWlseT0iQ2FsaWJyaSxDYWxpYnJpX01T&#10;Rm9udFNlcnZpY2UsQXJpYWwiIGZvbnQtd2VpZ2h0PSI3MDAiIGZvbnQtc2l6ZT0iMTMiIHRyYW5z&#10;Zm9ybT0idHJhbnNsYXRlKDQ4LjIyOTkgOTY2KSI+TnVtYmVyIG9mIHBhcnRpY2lwYW50czwvdGV4&#10;dD48dGV4dCBmb250LWZhbWlseT0iQ2FsaWJyaSxDYWxpYnJpX01TRm9udFNlcnZpY2UsQXJpYWwi&#10;IGZvbnQtd2VpZ2h0PSI3MDAiIGZvbnQtc2l6ZT0iMTMiIHRyYW5zZm9ybT0idHJhbnNsYXRlKDE3&#10;NS4yMyA5NjYpIj46PC90ZXh0PjxwYXRoIGQ9Ik01MTYgMTAwIDU5MSAxMDAgNTkxIDEyMCA1MTYg&#10;MTIwWiIgZmlsbD0idXJsKCNwYXR0ZXJuMTgpIi8+PHRleHQgZm9udC1mYW1pbHk9IkNhbGlicmks&#10;Q2FsaWJyaV9NU0ZvbnRTZXJ2aWNlLEFyaWFsIiBmb250LXdlaWdodD0iNDAwIiBmb250LXNpemU9&#10;IjE1IiB0cmFuc2Zvcm09InRyYW5zbGF0ZSg1MTYuMTEyIDg5KSI+SW50ZXJ2aWV3cyB3aXRoIHBl&#10;YWsgYm9keSByZXByZXNlbnRhdGl2ZXM8L3RleHQ+PHBhdGggZD0iTTUxNi41IDk1LjUwMDFDNTI4&#10;LjQyMyA5Ni43Njk2IDU0MS4yNDYgOTYuMTM4MyA1NTUuMjEgOTUuNTAwMSA1NjkuMTc0IDk0Ljg2&#10;MTggNTgxLjU2IDk2LjcwMDMgNTk1LjUgOTUuNTAwMSA1OTUuNjYgMTAyLjAxMyA1OTYuMDkyIDEw&#10;OC4zNzIgNTk1LjUgMTE1LjUgNTgzLjUxMSAxMTYuMTMgNTczLjM1NSAxMTQuOTYxIDU1NiAxMTUu&#10;NSA1MzguNjQ2IDExNi4wMzkgNTMzLjk3OCAxMTUuNjg3IDUxNi41IDExNS41IDUxNy40MjUgMTA5&#10;LjUzOCA1MTYuNDAyIDEwMC44OTUgNTE2LjUgOTUuNTAwMVoiIGZpbGw9IiMzNjQyNEEiIGZpbGwt&#10;cnVsZT0iZXZlbm9kZCIvPjxwYXRoIGQ9Ik01MTYuNSA5NS41MDAxQzUzNS44NDIgOTcuMDQyIDU0&#10;Ni44OTcgOTcuMjg0IDU1Ny41OCA5NS41MDAxIDU2OC4yNjMgOTMuNzE1OCA1ODIuNTgyIDk0LjQx&#10;ODkgNTk1LjUgOTUuNTAwMSA1OTYuNDEgMTAwLjU4NSA1OTUuNjI3IDEwOS4yMDcgNTk1LjUgMTE1&#10;LjUgNTgwLjk0MyAxMTQuMTY1IDU2OS45ODQgMTE1LjI2NCA1NTYuNzkgMTE1LjUgNTQzLjU5NiAx&#10;MTUuNzM2IDUzMy4zMzggMTE1LjI0NSA1MTYuNSAxMTUuNSA1MTUuODg4IDEwOS42MDcgNTE3LjA4&#10;OSAxMDIuNjYzIDUxNi41IDk1LjUwMDFaIiBzdHJva2U9IiMzNjQyNEEiIHN0cm9rZS13aWR0aD0i&#10;MS4zMzMzMyIgc3Ryb2tlLW1pdGVybGltaXQ9IjgiIGZpbGw9Im5vbmUiIGZpbGwtcnVsZT0iZXZl&#10;bm9kZCIvPjx0ZXh0IGZpbGw9IiNGRkZGRkYiIGZvbnQtZmFtaWx5PSJDYWxpYnJpLENhbGlicmlf&#10;TVNGb250U2VydmljZSxBcmlhbCIgZm9udC13ZWlnaHQ9IjcwMCIgZm9udC1zaXplPSIxOSIgdHJh&#10;bnNmb3JtPSJ0cmFuc2xhdGUoNTE5LjE4NyAxMTApIj4yMDwvdGV4dD48cGF0aCBkPSJNMjQwIDI1&#10;OCAzNDEgMjU4IDM0MSAyNzkgMjQwIDI3OVoiIGZpbGw9InVybCgjcGF0dGVybjE5KSIvPjx0ZXh0&#10;IGZvbnQtZmFtaWx5PSJDYWxpYnJpLENhbGlicmlfTVNGb250U2VydmljZSxBcmlhbCIgZm9udC13&#10;ZWlnaHQ9IjQwMCIgZm9udC1zaXplPSIxNSIgdHJhbnNmb3JtPSJ0cmFuc2xhdGUoMjQxLjY0NiAy&#10;NDgpIj5JbnRlcnZpZXdzIHdpdGggbmF0aW9uYWw8L3RleHQ+PHRleHQgZm9udC1mYW1pbHk9IkNh&#10;bGlicmksQ2FsaWJyaV9NU0ZvbnRTZXJ2aWNlLEFyaWFsIiBmb250LXdlaWdodD0iNDAwIiBmb250&#10;LXNpemU9IjE1IiB0cmFuc2Zvcm09InRyYW5zbGF0ZSgzOTEuNjQ2IDI0OCkiPiwgPC90ZXh0Pjx0&#10;ZXh0IGZvbnQtZmFtaWx5PSJDYWxpYnJpLENhbGlicmlfTVNGb250U2VydmljZSxBcmlhbCIgZm9u&#10;dC13ZWlnaHQ9IjQwMCIgZm9udC1zaXplPSIxNSIgdHJhbnNmb3JtPSJ0cmFuc2xhdGUoMzk4LjY0&#10;NiAyNDgpIj5zdGF0ZSBhbmQ8L3RleHQ+PHBhdGggZD0iTTI0MC41IDI1My41QzI1Mi4yIDI1NS42&#10;MzEgMjcyLjcwOSAyNTEuNzk0IDI5MS45NSAyNTMuNSAzMTEuMTkxIDI1NS4yMDYgMzE5LjAxMSAy&#10;NTIuNzg1IDM0NS41IDI1My41IDM0NS42NjEgMjYwLjMzOSAzNDYuMDkzIDI2Ny4wMTYgMzQ1LjUg&#10;Mjc0LjUgMzMwLjYwMiAyNzUuODQ3IDMxOC4yMzMgMjczLjc4NyAyOTMgMjc0LjUgMjY3Ljc2NyAy&#10;NzUuMjEzIDI2MC4zNTUgMjcyLjI5MSAyNDAuNSAyNzQuNSAyNDEuNDI3IDI2OC4yNCAyNDAuNDAy&#10;IDI1OS4xNjUgMjQwLjUgMjUzLjVaIiBmaWxsPSIjMzY0MjRBIiBmaWxsLXJ1bGU9ImV2ZW5vZGQi&#10;Lz48cGF0aCBkPSJNMjQwLjUgMjUzLjVDMjYyLjYwMiAyNTQuNjE4IDI3Mi4zMTUgMjUxLjQyIDI5&#10;NS4xIDI1My41IDMxNy44ODUgMjU1LjU4IDMyNi4wNDIgMjU0LjQ1MiAzNDUuNSAyNTMuNSAzNDYu&#10;NDEzIDI1OC44MzkgMzQ1LjYyOCAyNjcuODkzIDM0NS41IDI3NC41IDMyNi43MzcgMjcyLjQwNSAz&#10;MDUuNjQzIDI3NS43OSAyOTQuMDUgMjc0LjUgMjgyLjQ1NyAyNzMuMjEgMjYyLjAyNiAyNzQuMjMy&#10;IDI0MC41IDI3NC41IDIzOS44ODcgMjY4LjMxMiAyNDEuMDkgMjYxLjAyMSAyNDAuNSAyNTMuNVoi&#10;IHN0cm9rZT0iIzM2NDI0QSIgc3Ryb2tlLXdpZHRoPSIxLjMzMzMzIiBzdHJva2UtbWl0ZXJsaW1p&#10;dD0iOCIgZmlsbD0ibm9uZSIgZmlsbC1ydWxlPSJldmVub2RkIi8+PHRleHQgZmlsbD0iI0ZGRkZG&#10;RiIgZm9udC1mYW1pbHk9IkNhbGlicmksQ2FsaWJyaV9NU0ZvbnRTZXJ2aWNlLEFyaWFsIiBmb250&#10;LXdlaWdodD0iNzAwIiBmb250LXNpemU9IjE5IiB0cmFuc2Zvcm09InRyYW5zbGF0ZSgyNDMuNjQ2&#10;IDI3MCkiPjI4PC90ZXh0Pjx0ZXh0IGZvbnQtZmFtaWx5PSJDYWxpYnJpLENhbGlicmlfTVNGb250&#10;U2VydmljZSxBcmlhbCIgZm9udC13ZWlnaHQ9IjQwMCIgZm9udC1zaXplPSIxNSIgdHJhbnNmb3Jt&#10;PSJ0cmFuc2xhdGUoMzUxLjg4NiAyNjQpIj50ZXJyaXRvcnkgc3Rha2Vob2xkZXJzPC90ZXh0Pjxw&#10;YXRoIGQ9Ik01MTUgMjA3IDU0OSAyMDcgNTQ5IDIyNyA1MTUgMjI3WiIgZmlsbD0idXJsKCNwYXR0&#10;ZXJuMjApIi8+PHRleHQgZm9udC1mYW1pbHk9IkNhbGlicmksQ2FsaWJyaV9NU0ZvbnRTZXJ2aWNl&#10;LEFyaWFsIiBmb250LXdlaWdodD0iNDAwIiBmb250LXNpemU9IjE1IiB0cmFuc2Zvcm09InRyYW5z&#10;bGF0ZSg1MTYuMTEyIDE5NykiPkNvbGxlY3RpdmUgPC90ZXh0Pjx0ZXh0IGZvbnQtZmFtaWx5PSJD&#10;YWxpYnJpLENhbGlicmlfTVNGb250U2VydmljZSxBcmlhbCIgZm9udC13ZWlnaHQ9IjQwMCIgZm9u&#10;dC1zaXplPSIxNSIgdHJhbnNmb3JtPSJ0cmFuc2xhdGUoNTc3LjI3OSAxOTcpIj5hY3Rpb248L3Rl&#10;eHQ+PHRleHQgZm9udC1mYW1pbHk9IkNhbGlicmksQ2FsaWJyaV9NU0ZvbnRTZXJ2aWNlLEFyaWFs&#10;IiBmb250LXdlaWdodD0iNDAwIiBmb250LXNpemU9IjE1IiB0cmFuc2Zvcm09InRyYW5zbGF0ZSg2&#10;MTcuMjc5IDE5NykiPmZvciA8L3RleHQ+PHRleHQgZm9udC1mYW1pbHk9IkNhbGlicmksQ2FsaWJy&#10;aV9NU0ZvbnRTZXJ2aWNlLEFyaWFsIiBmb250LXdlaWdodD0iNDAwIiBmb250LXNpemU9IjE1IiB0&#10;cmFuc2Zvcm09InRyYW5zbGF0ZSg2MzcuOTQ2IDE5NykiPmNoYW5nZTwvdGV4dD48dGV4dCBmb250&#10;LWZhbWlseT0iQ2FsaWJyaSxDYWxpYnJpX01TRm9udFNlcnZpY2UsQXJpYWwiIGZvbnQtd2VpZ2h0&#10;PSI0MDAiIGZvbnQtc2l6ZT0iMTUiIHRyYW5zZm9ybT0idHJhbnNsYXRlKDY4My45NDYgMTk3KSI+&#10;d29ya3Nob3BzPC90ZXh0PjxwYXRoIGQ9Ik01MTUuNSAyMDIuNUM1MzEuNjE0IDIwMy43MDggNTM3&#10;LjY5IDIwMy43NDggNTU0LjUgMjAyLjUgNTUzLjkwOSAyMTEuOTU1IDU1NC4yNjkgMjE1LjM1MiA1&#10;NTQuNSAyMjIuNSA1MzcuMDYxIDIyMi42NjkgNTI0LjMwMSAyMjQuMTI1IDUxNS41IDIyMi41IDUx&#10;NS41NzIgMjE1LjY5OSA1MTUuNzUxIDIxMC4yNzkgNTE1LjUgMjAyLjVaIiBmaWxsPSIjMzY0MjRB&#10;IiBmaWxsLXJ1bGU9ImV2ZW5vZGQiLz48cGF0aCBkPSJNNTE1LjUgMjAyLjVDNTMyLjg5MSAyMDIu&#10;MzQxIDU0NS4yMjcgMjAyLjg2NSA1NTQuNSAyMDIuNSA1NTQuNTkxIDIwOC43NTMgNTU0LjA1MSAy&#10;MTIuODUzIDU1NC41IDIyMi41IDU0My4yODggMjIyLjg1NiA1MjkuOTA0IDIyMy44MjcgNTE1LjUg&#10;MjIyLjUgNTE1LjIwNiAyMTQuNzAyIDUxNi40NCAyMTIuNDk2IDUxNS41IDIwMi41WiIgc3Ryb2tl&#10;PSIjMzY0MjRBIiBzdHJva2Utd2lkdGg9IjEuMzMzMzMiIHN0cm9rZS1taXRlcmxpbWl0PSI4IiBm&#10;aWxsPSJub25lIiBmaWxsLXJ1bGU9ImV2ZW5vZGQiLz48dGV4dCBmaWxsPSIjRkZGRkZGIiBmb250&#10;LWZhbWlseT0iQ2FsaWJyaSxDYWxpYnJpX01TRm9udFNlcnZpY2UsQXJpYWwiIGZvbnQtd2VpZ2h0&#10;PSI3MDAiIGZvbnQtc2l6ZT0iMTkiIHRyYW5zZm9ybT0idHJhbnNsYXRlKDUxOC4xMTIgMjE3KSI+&#10;OTwvdGV4dD48cGF0aCBkPSJNMjM5IDk5IDQ5MCA5OSA0OTAgMTIwIDIzOSAxMjBaIiBmaWxsPSJ1&#10;cmwoI3BhdHRlcm4yMSkiLz48dGV4dCBmb250LWZhbWlseT0iQ2FsaWJyaSxDYWxpYnJpX01TRm9u&#10;dFNlcnZpY2UsQXJpYWwiIGZvbnQtd2VpZ2h0PSI0MDAiIGZvbnQtc2l6ZT0iMTUiIHRyYW5zZm9y&#10;bT0idHJhbnNsYXRlKDI0MC4wNDkgNzMpIj5ZYXJuaW5nPC90ZXh0Pjx0ZXh0IGZvbnQtZmFtaWx5&#10;PSJDYWxpYnJpLENhbGlicmlfTVNGb250U2VydmljZSxBcmlhbCIgZm9udC13ZWlnaHQ9IjQwMCIg&#10;Zm9udC1zaXplPSIxNSIgdHJhbnNmb3JtPSJ0cmFuc2xhdGUoMjg4LjIxNSA3MykiPmludGVydmll&#10;d3MgPC90ZXh0Pjx0ZXh0IGZvbnQtZmFtaWx5PSJDYWxpYnJpLENhbGlicmlfTVNGb250U2Vydmlj&#10;ZSxBcmlhbCIgZm9udC13ZWlnaHQ9IjQwMCIgZm9udC1zaXplPSIxNSIgdHJhbnNmb3JtPSJ0cmFu&#10;c2xhdGUoMzUzLjM4MiA3MykiPndpdGg8L3RleHQ+PHRleHQgZm9udC1mYW1pbHk9IkNhbGlicmks&#10;Q2FsaWJyaV9NU0ZvbnRTZXJ2aWNlLEFyaWFsIiBmb250LXdlaWdodD0iNDAwIiBmb250LXNpemU9&#10;IjE1IiB0cmFuc2Zvcm09InRyYW5zbGF0ZSgzODMuMDQ5IDczKSI+Y29tbXVuaXR5IDwvdGV4dD48&#10;dGV4dCBmb250LWZhbWlseT0iQ2FsaWJyaSxDYWxpYnJpX01TRm9udFNlcnZpY2UsQXJpYWwiIGZv&#10;bnQtd2VpZ2h0PSI0MDAiIGZvbnQtc2l6ZT0iMTUiIHRyYW5zZm9ybT0idHJhbnNsYXRlKDI0MC4w&#10;NDkgODcpIj5wYXJ0aWNpcGFudHM8L3RleHQ+PHBhdGggZD0iTTIzOS41IDk0LjUwMDFDMjY1LjEx&#10;OCA5NC43NDU2IDI4NC4yNTUgOTIuOTc2MiAzMDEuMTggOTQuNTAwMSAzMTguMTA1IDk2LjAyMzkg&#10;MzM4Ljc0OSA5Mi45MDc0IDM1Ny43MiA5NC41MDAxIDM3Ni42OTEgOTYuMDkyOCAzOTcuNDMxIDkx&#10;LjQyOTEgNDI3LjExIDk0LjUwMDEgNDU2Ljc4OSA5Ny41NzEgNDY1Ljg2OSA5OC4wNDcgNDk2LjUg&#10;OTQuNTAwMSA0OTUuOTg1IDEwMS40NCA0OTcuNDIgMTA4LjI4MiA0OTYuNSAxMTUuNSA0ODMuNjE0&#10;IDExNy4wNDMgNDUzLjkxMSAxMTMuNjIgNDM3LjM5IDExNS41IDQyMC44NjkgMTE3LjM4IDQwNi44&#10;NDEgMTE3LjU3MyAzNzguMjggMTE1LjUgMzQ5LjcxOSAxMTMuNDI4IDMyNC44MTUgMTEzLjYwNyAz&#10;MDguODkgMTE1LjUgMjkyLjk2NSAxMTcuMzkzIDI2Mi4xNDkgMTEyLjQ5MyAyMzkuNSAxMTUuNSAy&#10;MzguODI0IDEwOS40NzMgMjM5LjIwMiAxMDEuMDEyIDIzOS41IDk0LjUwMDFaIiBmaWxsPSIjMzY0&#10;MjRBIiBmaWxsLXJ1bGU9ImV2ZW5vZGQiLz48cGF0aCBkPSJNMjM5LjUgOTQuNTAwMUMyNjYuODA3&#10;IDk3LjA0MSAyNzYuMzE0IDkzLjE3MjkgMzAxLjE4IDk0LjUwMDEgMzI2LjA0NyA5NS44MjcyIDMz&#10;OC4xNDQgOTYuMDkxNyAzNjUuNDMgOTQuNTAwMSAzOTIuNzE2IDkyLjkwODQgMzk3Ljc3NyA5NS44&#10;NjY3IDQyOS42OCA5NC41MDAxIDQ2MS41ODMgOTMuMTMzNCA0NjkuOTgyIDk2LjEzMTQgNDk2LjUg&#10;OTQuNTAwMSA0OTUuNTE4IDk5LjYwNCA0OTUuOTE4IDEwNS44ODggNDk2LjUgMTE1LjUgNDgzLjEy&#10;OCAxMTQuNDY3IDQ1NC4zNTcgMTE0Ljg4OSA0MzIuMjUgMTE1LjUgNDEwLjE0NCAxMTYuMTExIDM5&#10;MS4wOTEgMTE3Ljg3MSAzNzMuMTQgMTE1LjUgMzU1LjE4OSAxMTMuMTI5IDMzOS42NzggMTE2Ljc2&#10;NyAzMTQuMDMgMTE1LjUgMjg4LjM4MiAxMTQuMjMzIDI2Ny41MjMgMTEzLjEgMjM5LjUgMTE1LjUg&#10;MjM4LjcyNSAxMDUuMDM1IDIzOS41NjIgMTA0LjUxNCAyMzkuNSA5NC41MDAxWiIgc3Ryb2tlPSIj&#10;MzY0MjRBIiBzdHJva2Utd2lkdGg9IjEuMzMzMzMiIHN0cm9rZS1taXRlcmxpbWl0PSI4IiBmaWxs&#10;PSJub25lIiBmaWxsLXJ1bGU9ImV2ZW5vZGQiLz48dGV4dCBmaWxsPSIjRkZGRkZGIiBmb250LWZh&#10;bWlseT0iQ2FsaWJyaSxDYWxpYnJpX01TRm9udFNlcnZpY2UsQXJpYWwiIGZvbnQtd2VpZ2h0PSI3&#10;MDAiIGZvbnQtc2l6ZT0iMTkiIHRyYW5zZm9ybT0idHJhbnNsYXRlKDI0NS41MjYgMTEwKSI+NzA8&#10;L3RleHQ+PHBhdGggZD0iTTIzOSAxNTMgNDg1IDE1MyA0ODUgMTczIDIzOSAxNzNaIiBmaWxsPSJ1&#10;cmwoI3BhdHRlcm4yMikiLz48dGV4dCBmb250LWZhbWlseT0iQ2FsaWJyaSxDYWxpYnJpX01TRm9u&#10;dFNlcnZpY2UsQXJpYWwiIGZvbnQtd2VpZ2h0PSI0MDAiIGZvbnQtc2l6ZT0iMTUiIHRyYW5zZm9y&#10;bT0idHJhbnNsYXRlKDIzOS4zMjQgMTQyKSI+SW50ZXJ2aWV3cyB3aXRoIGhlYWx0aCBzZXJ2aWNl&#10;IHN0YWZmPC90ZXh0PjxwYXRoIGQ9Ik0yMzkuNSAxNDguNUMyNjkuMzYzIDE0Ny4zMSAyODIuMjg0&#10;IDE1MC4yOSAyOTkuNzQgMTQ4LjUgMzE3LjE5NiAxNDYuNzExIDMzNy4xOTcgMTQ2LjExOCAzNTQu&#10;OTYgMTQ4LjUgMzcyLjcyMyAxNTAuODgyIDQwMS43MiAxNDkuNTc3IDQyMi43MyAxNDguNSA0NDMu&#10;NzQgMTQ3LjQyMyA0NjEuOTgxIDE1MC42MTEgNDkwLjUgMTQ4LjUgNDg5Ljk4NiAxNTUuMTA5IDQ5&#10;MS40MiAxNjEuNjI1IDQ5MC41IDE2OC41IDQ2My4wMTQgMTcwLjUxIDQ1OS41NDUgMTY5LjQ2MiA0&#10;MzIuNzcgMTY4LjUgNDA1Ljk5NSAxNjcuNTM4IDM5OS4yMjIgMTY3Ljk4MyAzNzUuMDQgMTY4LjUg&#10;MzUwLjg1OCAxNjkuMDE3IDM0MS4wNzIgMTcwLjIzNSAzMDcuMjcgMTY4LjUgMjczLjQ2OCAxNjYu&#10;NzY1IDI2OS4xODUgMTY2LjAzMyAyMzkuNSAxNjguNSAyMzguODI1IDE2Mi43NiAyMzkuMjAyIDE1&#10;NC43MDIgMjM5LjUgMTQ4LjVaIiBmaWxsPSIjMzY0MjRBIiBmaWxsLXJ1bGU9ImV2ZW5vZGQiLz48&#10;cGF0aCBkPSJNMjM5LjUgMTQ4LjVDMjY0Ljk0OCAxNDkuNjE5IDI4Ni4zMTYgMTQ4Ljk0NCAyOTku&#10;NzQgMTQ4LjUgMzEzLjE2NCAxNDguMDU3IDMzMS43MjYgMTQ2LjA3MSAzNjIuNDkgMTQ4LjUgMzkz&#10;LjI1NCAxNTAuOTI5IDQwNS42MjUgMTQ4Ljg0OSA0MjUuMjQgMTQ4LjUgNDQ0Ljg1NSAxNDguMTUx&#10;IDQ3My44ODIgMTQ2LjI2NCA0OTAuNSAxNDguNSA0ODkuNTE5IDE1My4zNjEgNDg5LjkxOCAxNTku&#10;MzQ1IDQ5MC41IDE2OC41IDQ2Mi41NjcgMTcwLjY5NCA0NDUuNDM3IDE2Ni4yMjEgNDI3Ljc1IDE2&#10;OC41IDQxMC4wNjMgMTcwLjc3OSAzOTQuNTk3IDE2NS44MzggMzcwLjAyIDE2OC41IDM0NS40NDMg&#10;MTcxLjE2MiAzMzAuMjY2IDE3MC45MDggMzEyLjI5IDE2OC41IDI5NC4zMTQgMTY2LjA5MiAyNjcu&#10;MTg3IDE3MC41MDQgMjM5LjUgMTY4LjUgMjM4LjcyNSAxNTguNTMzIDIzOS41NjIgMTU4LjAzNyAy&#10;MzkuNSAxNDguNVoiIHN0cm9rZT0iIzM2NDI0QSIgc3Ryb2tlLXdpZHRoPSIxLjMzMzMzIiBzdHJv&#10;a2UtbWl0ZXJsaW1pdD0iOCIgZmlsbD0ibm9uZSIgZmlsbC1ydWxlPSJldmVub2RkIi8+PHRleHQg&#10;ZmlsbD0iI0ZGRkZGRiIgZm9udC1mYW1pbHk9IkNhbGlicmksQ2FsaWJyaV9NU0ZvbnRTZXJ2aWNl&#10;LEFyaWFsIiBmb250LXdlaWdodD0iNzAwIiBmb250LXNpemU9IjE5IiB0cmFuc2Zvcm09InRyYW5z&#10;bGF0ZSgyNDUuNTI2IDE2MykiPjY4PC90ZXh0PjxwYXRoIGQ9Ik01MTUgMTUyIDU3MSAxNTIgNTcx&#10;IDE3MyA1MTUgMTczWiIgZmlsbD0idXJsKCNwYXR0ZXJuMjMpIi8+PHRleHQgZm9udC1mYW1pbHk9&#10;IkNhbGlicmksQ2FsaWJyaV9NU0ZvbnRTZXJ2aWNlLEFyaWFsIiBmb250LXdlaWdodD0iNDAwIiBm&#10;b250LXNpemU9IjE1IiB0cmFuc2Zvcm09InRyYW5zbGF0ZSg1MTYuMTEyIDE0MikiPkNyb3NzPC90&#10;ZXh0Pjx0ZXh0IGZvbnQtZmFtaWx5PSJDYWxpYnJpLENhbGlicmlfTVNGb250U2VydmljZSxBcmlh&#10;bCIgZm9udC13ZWlnaHQ9IjQwMCIgZm9udC1zaXplPSIxNSIgdHJhbnNmb3JtPSJ0cmFuc2xhdGUo&#10;NTUxLjQ0NiAxNDIpIj5jdXR0aW5nIHdvcmtzaG9wcyBhbmQgY29sbGFib3JhdGl2ZXM8L3RleHQ+&#10;PHBhdGggZD0iTTUxNS41IDE0Ny41QzU0Mi44MTQgMTQ3LjM5NSA1NDkuODE3IDE0Ny40NTMgNTc2&#10;LjUgMTQ3LjUgNTc1LjkwNiAxNTcuNDI3IDU3Ni4yNjcgMTYwLjk5NSA1NzYuNSAxNjguNSA1NTUu&#10;NDA3IDE2OS43NDEgNTI3LjkwMiAxNjYuNDkgNTE1LjUgMTY4LjUgNTE1LjU3MiAxNjEuMzU5IDUx&#10;NS43NTIgMTU1LjY2OCA1MTUuNSAxNDcuNVoiIGZpbGw9IiMzNjQyNEEiIGZpbGwtcnVsZT0iZXZl&#10;bm9kZCIvPjxwYXRoIGQ9Ik01MTUuNSAxNDcuNUM1MzAuNjczIDE0NC4zMzYgNTU2LjEwNyAxNDcu&#10;MzQ3IDU3Ni41IDE0Ny41IDU3Ni41OTIgMTU0LjA2NiA1NzYuMDQ4IDE1OC4zNzEgNTc2LjUgMTY4&#10;LjUgNTU5LjU4MyAxNzEuNjIxIDUzOC42MzQgMTY2LjU5MSA1MTUuNSAxNjguNSA1MTUuMjA0IDE2&#10;MC4zMTIgNTE2LjQ0NSAxNTcuOTk1IDUxNS41IDE0Ny41WiIgc3Ryb2tlPSIjMzY0MjRBIiBzdHJv&#10;a2Utd2lkdGg9IjEuMzMzMzMiIHN0cm9rZS1taXRlcmxpbWl0PSI4IiBmaWxsPSJub25lIiBmaWxs&#10;LXJ1bGU9ImV2ZW5vZGQiLz48dGV4dCBmaWxsPSIjRkZGRkZGIiBmb250LWZhbWlseT0iQ2FsaWJy&#10;aSxDYWxpYnJpX01TRm9udFNlcnZpY2UsQXJpYWwiIGZvbnQtd2VpZ2h0PSI3MDAiIGZvbnQtc2l6&#10;ZT0iMTkiIHRyYW5zZm9ybT0idHJhbnNsYXRlKDUyMS4xNjIgMTYzKSI+MTU8L3RleHQ+PHBhdGgg&#10;ZD0iTTIzOSAyMDYgMzQwIDIwNiAzNDAgMjI2IDIzOSAyMjZaIiBmaWxsPSJ1cmwoI3BhdHRlcm4y&#10;NCkiLz48dGV4dCBmb250LWZhbWlseT0iQ2FsaWJyaSxDYWxpYnJpX01TRm9udFNlcnZpY2UsQXJp&#10;YWwiIGZvbnQtd2VpZ2h0PSI0MDAiIGZvbnQtc2l6ZT0iMTUiIHRyYW5zZm9ybT0idHJhbnNsYXRl&#10;KDI0MS42NDYgMTk1KSI+SW50ZXJ2aWV3cyB3aXRoIFBITiBzdGFmZjwvdGV4dD48cGF0aCBkPSJN&#10;MjM5LjUgMjAxLjVDMjYwLjIyNiAyMDEuMzU4IDI3Ni41MTEgMTk5LjE0MyAyOTEuNDQgMjAxLjUg&#10;MzA2LjM2OSAyMDMuODU3IDMyNi42NjEgMjAxLjE0IDM0NS41IDIwMS41IDM0NS42NiAyMDguMDEz&#10;IDM0Ni4wOTEgMjE0LjM3MiAzNDUuNSAyMjEuNSAzMjIuNTA1IDIyMS44OCAzMDYuNjkgMjIyLjMx&#10;OSAyOTIuNSAyMjEuNSAyNzguMzExIDIyMC42ODEgMjY1Ljg1IDIyMi4xMDkgMjM5LjUgMjIxLjUg&#10;MjQwLjQyMyAyMTUuNTM4IDIzOS40MDIgMjA2Ljg5NSAyMzkuNSAyMDEuNVoiIGZpbGw9IiMzNjQy&#10;NEEiIGZpbGwtcnVsZT0iZXZlbm9kZCIvPjxwYXRoIGQ9Ik0yMzkuNSAyMDEuNUMyNTAuNTY3IDIw&#10;MC44NyAyNjkuNTczIDIwMS45MjcgMjk0LjYyIDIwMS41IDMxOS42NjcgMjAxLjA3MyAzMzAuMTUy&#10;IDIwMy45ODkgMzQ1LjUgMjAxLjUgMzQ2LjQwOSAyMDYuNTg1IDM0NS42MjcgMjE1LjIwNyAzNDUu&#10;NSAyMjEuNSAzMzQuNzc0IDIyNC4wMTMgMzE2LjQ5NSAyMjEuNTQ5IDI5My41NiAyMjEuNSAyNzAu&#10;NjI1IDIyMS40NTEgMjU1Ljk1IDIxOS41OTggMjM5LjUgMjIxLjUgMjM4Ljg4OSAyMTUuNjA3IDI0&#10;MC4wODggMjA4LjY2MyAyMzkuNSAyMDEuNVoiIHN0cm9rZT0iIzM2NDI0QSIgc3Ryb2tlLXdpZHRo&#10;PSIxLjMzMzMzIiBzdHJva2UtbWl0ZXJsaW1pdD0iOCIgZmlsbD0ibm9uZSIgZmlsbC1ydWxlPSJl&#10;dmVub2RkIi8+PHRleHQgZmlsbD0iI0ZGRkZGRiIgZm9udC1mYW1pbHk9IkNhbGlicmksQ2FsaWJy&#10;aV9NU0ZvbnRTZXJ2aWNlLEFyaWFsIiBmb250LXdlaWdodD0iNzAwIiBmb250LXNpemU9IjE5IiB0&#10;cmFuc2Zvcm09InRyYW5zbGF0ZSgyNDUuNTI2IDIxNykiPjI4PC90ZXh0PjxwYXRoIGQ9Ik00NjAg&#10;OTc4IDQ3MSA5NzggNDcxIDk4OSA0NjAgOTg5WiIgZmlsbD0iIzMyN0RCRCIvPjxwYXRoIGQ9Ik00&#10;NjAgOTk0IDQ3MSA5OTQgNDcxIDEwMDYgNDYwIDEwMDZaIiBmaWxsPSIjOUE5QjU4Ii8+PHBhdGgg&#10;ZD0iTTQ2MCAxMDEwIDQ3MSAxMDEwIDQ3MSAxMDIyIDQ2MCAxMDIyWiIgZmlsbD0iI0U0RTk3OSIv&#10;PjxwYXRoIGQ9Ik00NjAgMTAyNiA0NzEgMTAyNiA0NzEgMTAzOCA0NjAgMTAzOFoiIGZpbGw9IiNG&#10;QUY4RDYiLz48dGV4dCBmb250LWZhbWlseT0iQ2FsaWJyaSxDYWxpYnJpX01TRm9udFNlcnZpY2Us&#10;QXJpYWwiIGZvbnQtd2VpZ2h0PSI3MDAiIGZvbnQtc2l6ZT0iNTEiIHRyYW5zZm9ybT0idHJhbnNs&#10;YXRlKDI3LjQ5OTYgNjQ0KSI+MjM4PC90ZXh0Pjx0ZXh0IGZvbnQtZmFtaWx5PSJDYWxpYnJpLENh&#10;bGlicmlfTVNGb250U2VydmljZSxBcmlhbCIgZm9udC13ZWlnaHQ9IjcwMCIgZm9udC1zaXplPSI1&#10;MSIgdHJhbnNmb3JtPSJ0cmFuc2xhdGUoMzUuNTIyNyA4NDcpIj4xMjI8L3RleHQ+PHRleHQgZm9u&#10;dC1mYW1pbHk9IkNhbGlicmksQ2FsaWJyaV9NU0ZvbnRTZXJ2aWNlLEFyaWFsIiBmb250LXdlaWdo&#10;dD0iNzAwIiBmb250LXNpemU9IjUxIiB0cmFuc2Zvcm09InRyYW5zbGF0ZSg0NDguNzAyIDgyMyki&#10;PjI3NzwvdGV4dD48dGV4dCBmb250LWZhbWlseT0iQ2FsaWJyaSxDYWxpYnJpX01TRm9udFNlcnZp&#10;Y2UsQXJpYWwiIGZvbnQtd2VpZ2h0PSI3MDAiIGZvbnQtc2l6ZT0iNTYiIHRyYW5zZm9ybT0idHJh&#10;bnNsYXRlKDI3LjUzOTUgMTQ4KSI+MTwvdGV4dD48dGV4dCBmb250LWZhbWlseT0iQ2FsaWJyaSxD&#10;YWxpYnJpX01TRm9udFNlcnZpY2UsQXJpYWwiIGZvbnQtd2VpZ2h0PSI3MDAiIGZvbnQtc2l6ZT0i&#10;NTYiIHRyYW5zZm9ybT0idHJhbnNsYXRlKDU1LjUzOTUgMTQ4KSI+LDwvdGV4dD48dGV4dCBmb250&#10;LWZhbWlseT0iQ2FsaWJyaSxDYWxpYnJpX01TRm9udFNlcnZpY2UsQXJpYWwiIGZvbnQtd2VpZ2h0&#10;PSI3MDAiIGZvbnQtc2l6ZT0iNTYiIHRyYW5zZm9ybT0idHJhbnNsYXRlKDY5LjUzOTUgMTQ4KSI+&#10;MDg5PC90ZXh0Pjx0ZXh0IGZvbnQtZmFtaWx5PSJDYWxpYnJpLENhbGlicmlfTVNGb250U2Vydmlj&#10;ZSxBcmlhbCIgZm9udC13ZWlnaHQ9IjcwMCIgZm9udC1zaXplPSIyNCIgdHJhbnNmb3JtPSJ0cmFu&#10;c2xhdGUoMjguMzM5NCAxODIpIj5wYXJ0aWNpcGFudHMgPC90ZXh0Pjx0ZXh0IGZvbnQtZmFtaWx5&#10;PSJDYWxpYnJpLENhbGlicmlfTVNGb250U2VydmljZSxBcmlhbCIgZm9udC13ZWlnaHQ9IjcwMCIg&#10;Zm9udC1zaXplPSIyNCIgdHJhbnNmb3JtPSJ0cmFuc2xhdGUoMjguMzM5NCAyMDgpIj5vdmVyIDwv&#10;dGV4dD48dGV4dCBmb250LWZhbWlseT0iQ2FsaWJyaSxDYWxpYnJpX01TRm9udFNlcnZpY2UsQXJp&#10;YWwiIGZvbnQtd2VpZ2h0PSI3MDAiIGZvbnQtc2l6ZT0iMjQiIHRyYW5zZm9ybT0idHJhbnNsYXRl&#10;KDc4LjIxMjggMjA4KSI+Y3ljbGVzIDwvdGV4dD48dGV4dCBmb250LWZhbWlseT0iQ2FsaWJyaSxD&#10;YWxpYnJpX01TRm9udFNlcnZpY2UsQXJpYWwiIGZvbnQtd2VpZ2h0PSI3MDAiIGZvbnQtc2l6ZT0i&#10;MjQiIHRyYW5zZm9ybT0idHJhbnNsYXRlKDE0Mi4yMTMgMjA4KSI+MTwvdGV4dD48dGV4dCBmb250&#10;LWZhbWlseT0iQ2FsaWJyaSxDYWxpYnJpX01TRm9udFNlcnZpY2UsQXJpYWwiIGZvbnQtd2VpZ2h0&#10;PSI3MDAiIGZvbnQtc2l6ZT0iMjQiIHRyYW5zZm9ybT0idHJhbnNsYXRlKDE1NC4yMzkgMjA4KSI+&#10;LTwvdGV4dD48dGV4dCBmb250LWZhbWlseT0iQ2FsaWJyaSxDYWxpYnJpX01TRm9udFNlcnZpY2Us&#10;QXJpYWwiIGZvbnQtd2VpZ2h0PSI3MDAiIGZvbnQtc2l6ZT0iMjQiIHRyYW5zZm9ybT0idHJhbnNs&#10;YXRlKDE2MS41NzMgMjA4KSI+MzwvdGV4dD48cGF0aCBkPSJNMjkuMDExNyAyMjMuNjUzIDE1MS41&#10;MTIgMjIzLjY1MyAxNTEuNTEyIDI0MS42NTMgMjkuMDExNyAyNDEuNjUzWiIgZmlsbD0iI0UzRTg3&#10;QiIgZmlsbC1ydWxlPSJldmVub2RkIi8+PHBhdGggZD0iTTI5LjAxMTcgMjM5LjY1MyAxNTkuNjc4&#10;IDIzOS42NTMgMTU5LjY3OCAyNTcuNjUzIDI5LjAxMTcgMjU3LjY1M1oiIGZpbGw9IiNFM0U4N0Ii&#10;IGZpbGwtcnVsZT0iZXZlbm9kZCIvPjxwYXRoIGQ9Ik0yOS4wMTE3IDI1NS42NTMgMTA2LjE3OCAy&#10;NTUuNjUzIDEwNi4xNzggMjczLjY1MyAyOS4wMTE3IDI3My42NTNaIiBmaWxsPSIjRTNFODdCIiBm&#10;aWxsLXJ1bGU9ImV2ZW5vZGQiLz48dGV4dCBmb250LWZhbWlseT0iQ2FsaWJyaSxDYWxpYnJpX01T&#10;Rm9udFNlcnZpY2UsQXJpYWwiIGZvbnQtd2VpZ2h0PSI3MDAiIGZvbnQtc2l6ZT0iMTUiIHRyYW5z&#10;Zm9ybT0idHJhbnNsYXRlKDI5LjAxMTcgMjM4KSI+KDwvdGV4dD48dGV4dCBmb250LWZhbWlseT0i&#10;Q2FsaWJyaSxDYWxpYnJpX01TRm9udFNlcnZpY2UsQXJpYWwiIGZvbnQtd2VpZ2h0PSI3MDAiIGZv&#10;bnQtc2l6ZT0iMTUiIHRyYW5zZm9ybT0idHJhbnNsYXRlKDM0LjAxMTcgMjM4KSI+NjA4IDwvdGV4&#10;dD48dGV4dCBmb250LWZhbWlseT0iQ2FsaWJyaSxDYWxpYnJpX01TRm9udFNlcnZpY2UsQXJpYWwi&#10;IGZvbnQtd2VpZ2h0PSI3MDAiIGZvbnQtc2l6ZT0iMTUiIHRyYW5zZm9ybT0idHJhbnNsYXRlKDU4&#10;LjAxMTcgMjM4KSI+QWJvcmlnaW5hbCBhbmQgPC90ZXh0Pjx0ZXh0IGZvbnQtZmFtaWx5PSJDYWxp&#10;YnJpLENhbGlicmlfTVNGb250U2VydmljZSxBcmlhbCIgZm9udC13ZWlnaHQ9IjcwMCIgZm9udC1z&#10;aXplPSIxNSIgdHJhbnNmb3JtPSJ0cmFuc2xhdGUoMjkuMDExNyAyNTQpIj5Ub3JyZXMgU3RyYWl0&#10;IElzbGFuZGVyIDwvdGV4dD48dGV4dCBmb250LWZhbWlseT0iQ2FsaWJyaSxDYWxpYnJpX01TRm9u&#10;dFNlcnZpY2UsQXJpYWwiIGZvbnQtd2VpZ2h0PSI3MDAiIGZvbnQtc2l6ZT0iMTUiIHRyYW5zZm9y&#10;bT0idHJhbnNsYXRlKDI5LjAxMTcgMjcwKSI+cGFydGljaXBhbnRzPC90ZXh0Pjx0ZXh0IGZvbnQt&#10;ZmFtaWx5PSJDYWxpYnJpLENhbGlicmlfTVNGb250U2VydmljZSxBcmlhbCIgZm9udC13ZWlnaHQ9&#10;IjcwMCIgZm9udC1zaXplPSIxNSIgdHJhbnNmb3JtPSJ0cmFuc2xhdGUoMTAyLjAxMiAyNzApIj4p&#10;PC90ZXh0Pjx0ZXh0IGZvbnQtZmFtaWx5PSJDYWxpYnJpLENhbGlicmlfTVNGb250U2VydmljZSxB&#10;cmlhbCIgZm9udC1zdHlsZT0iaXRhbGljIiBmb250LXdlaWdodD0iNDAwIiBmb250LXNpemU9IjEy&#10;IiB0cmFuc2Zvcm09InRyYW5zbGF0ZSgzMS45MzgzIDEwNzcpIj5JbiB0b3RhbDwvdGV4dD48dGV4&#10;dCBmb250LWZhbWlseT0iQ2FsaWJyaSxDYWxpYnJpX01TRm9udFNlcnZpY2UsQXJpYWwiIGZvbnQt&#10;c3R5bGU9Iml0YWxpYyIgZm9udC13ZWlnaHQ9IjQwMCIgZm9udC1zaXplPSIxMiIgdHJhbnNmb3Jt&#10;PSJ0cmFuc2xhdGUoNjYuOTM4MyAxMDc3KSI+LCA8L3RleHQ+PHRleHQgZm9udC1mYW1pbHk9IkNh&#10;bGlicmksQ2FsaWJyaV9NU0ZvbnRTZXJ2aWNlLEFyaWFsIiBmb250LXN0eWxlPSJpdGFsaWMiIGZv&#10;bnQtd2VpZ2h0PSI0MDAiIGZvbnQtc2l6ZT0iMTIiIHRyYW5zZm9ybT0idHJhbnNsYXRlKDcyLjkz&#10;ODMgMTA3NykiPnRoZSBldmFsdWF0aW9uIGludm9sdmVkIDwvdGV4dD48dGV4dCBmb250LWZhbWls&#10;eT0iQ2FsaWJyaSxDYWxpYnJpX01TRm9udFNlcnZpY2UsQXJpYWwiIGZvbnQtc3R5bGU9Iml0YWxp&#10;YyIgZm9udC13ZWlnaHQ9IjQwMCIgZm9udC1zaXplPSIxMiIgdHJhbnNmb3JtPSJ0cmFuc2xhdGUo&#10;MTg4LjkzOCAxMDc3KSI+MTwvdGV4dD48dGV4dCBmb250LWZhbWlseT0iQ2FsaWJyaSxDYWxpYnJp&#10;X01TRm9udFNlcnZpY2UsQXJpYWwiIGZvbnQtc3R5bGU9Iml0YWxpYyIgZm9udC13ZWlnaHQ9IjQw&#10;MCIgZm9udC1zaXplPSIxMiIgdHJhbnNmb3JtPSJ0cmFuc2xhdGUoMTk0LjkzOCAxMDc3KSI+LDwv&#10;dGV4dD48dGV4dCBmb250LWZhbWlseT0iQ2FsaWJyaSxDYWxpYnJpX01TRm9udFNlcnZpY2UsQXJp&#10;YWwiIGZvbnQtc3R5bGU9Iml0YWxpYyIgZm9udC13ZWlnaHQ9IjQwMCIgZm9udC1zaXplPSIxMiIg&#10;dHJhbnNmb3JtPSJ0cmFuc2xhdGUoMTk3LjkzOCAxMDc3KSI+MDg5IDwvdGV4dD48dGV4dCBmb250&#10;LWZhbWlseT0iQ2FsaWJyaSxDYWxpYnJpX01TRm9udFNlcnZpY2UsQXJpYWwiIGZvbnQtc3R5bGU9&#10;Iml0YWxpYyIgZm9udC13ZWlnaHQ9IjQwMCIgZm9udC1zaXplPSIxMiIgdHJhbnNmb3JtPSJ0cmFu&#10;c2xhdGUoMjE4LjkzOCAxMDc3KSI+cGFydGljaXBhbnRzIG92ZXIgQ3ljbGVzIDwvdGV4dD48dGV4&#10;dCBmb250LWZhbWlseT0iQ2FsaWJyaSxDYWxpYnJpX01TRm9udFNlcnZpY2UsQXJpYWwiIGZvbnQt&#10;c3R5bGU9Iml0YWxpYyIgZm9udC13ZWlnaHQ9IjQwMCIgZm9udC1zaXplPSIxMiIgdHJhbnNmb3Jt&#10;PSJ0cmFuc2xhdGUoMzM2LjkzOCAxMDc3KSI+MTwvdGV4dD48dGV4dCBmb250LWZhbWlseT0iQ2Fs&#10;aWJyaSxDYWxpYnJpX01TRm9udFNlcnZpY2UsQXJpYWwiIGZvbnQtc3R5bGU9Iml0YWxpYyIgZm9u&#10;dC13ZWlnaHQ9IjQwMCIgZm9udC1zaXplPSIxMiIgdHJhbnNmb3JtPSJ0cmFuc2xhdGUoMzQxLjYw&#10;NSAxMDc3KSI+LTwvdGV4dD48dGV4dCBmb250LWZhbWlseT0iQ2FsaWJyaSxDYWxpYnJpX01TRm9u&#10;dFNlcnZpY2UsQXJpYWwiIGZvbnQtc3R5bGU9Iml0YWxpYyIgZm9udC13ZWlnaHQ9IjQwMCIgZm9u&#10;dC1zaXplPSIxMiIgdHJhbnNmb3JtPSJ0cmFuc2xhdGUoMzQ1LjI3MiAxMDc3KSI+MzwvdGV4dD48&#10;dGV4dCBmb250LWZhbWlseT0iQ2FsaWJyaSxDYWxpYnJpX01TRm9udFNlcnZpY2UsQXJpYWwiIGZv&#10;bnQtc3R5bGU9Iml0YWxpYyIgZm9udC13ZWlnaHQ9IjQwMCIgZm9udC1zaXplPSIxMiIgdHJhbnNm&#10;b3JtPSJ0cmFuc2xhdGUoMzUxLjI3MiAxMDc3KSI+LiA8L3RleHQ+PHRleHQgZm9udC1mYW1pbHk9&#10;IkNhbGlicmksQ2FsaWJyaV9NU0ZvbnRTZXJ2aWNlLEFyaWFsIiBmb250LXN0eWxlPSJpdGFsaWMi&#10;IGZvbnQtd2VpZ2h0PSI0MDAiIGZvbnQtc2l6ZT0iMTIiIHRyYW5zZm9ybT0idHJhbnNsYXRlKDM1&#10;Ny4yNzIgMTA3NykiPk5vdGUgdGhhdCB0aGUgdG90YWwgbnVtYmVyIG9mIHBhcnRpY2lwYW50cyBk&#10;b2VzIG5vdCBlcXVhbDwvdGV4dD48dGV4dCBmb250LWZhbWlseT0iQ2FsaWJyaSxDYWxpYnJpX01T&#10;Rm9udFNlcnZpY2UsQXJpYWwiIGZvbnQtc3R5bGU9Iml0YWxpYyIgZm9udC13ZWlnaHQ9IjQwMCIg&#10;Zm9udC1zaXplPSIxMiIgdHJhbnNmb3JtPSJ0cmFuc2xhdGUoNjM4LjQzOCAxMDc3KSI+dGhlIG51&#10;bWJlciBvZiB1bmlxdWUgPC90ZXh0Pjx0ZXh0IGZvbnQtZmFtaWx5PSJDYWxpYnJpLENhbGlicmlf&#10;TVNGb250U2VydmljZSxBcmlhbCIgZm9udC1zdHlsZT0iaXRhbGljIiBmb250LXdlaWdodD0iNDAw&#10;IiBmb250LXNpemU9IjEyIiB0cmFuc2Zvcm09InRyYW5zbGF0ZSgzMS45MzgzIDEwODgpIj5pbmRp&#10;dmlkdWFscyB3aG8gcGFydGljaXBhdGVkPC90ZXh0Pjx0ZXh0IGZvbnQtZmFtaWx5PSJDYWxpYnJp&#10;LENhbGlicmlfTVNGb250U2VydmljZSxBcmlhbCIgZm9udC1zdHlsZT0iaXRhbGljIiBmb250LXdl&#10;aWdodD0iNDAwIiBmb250LXNpemU9IjEyIiB0cmFuc2Zvcm09InRyYW5zbGF0ZSgxNjkuOTM4IDEw&#10;ODgpIj4uIDwvdGV4dD48dGV4dCBmb250LWZhbWlseT0iQ2FsaWJyaSxDYWxpYnJpX01TRm9udFNl&#10;cnZpY2UsQXJpYWwiIGZvbnQtc3R5bGU9Iml0YWxpYyIgZm9udC13ZWlnaHQ9IjQwMCIgZm9udC1z&#10;aXplPSIxMiIgdHJhbnNmb3JtPSJ0cmFuc2xhdGUoMTc1LjkzOCAxMDg4KSI+U29tZSBpbmRpdmlk&#10;dWFscyBwYXJ0aWNpcGF0ZWQgaW4gdHdvIG9yIG1vcmUgYWN0aXZpdGllcyA8L3RleHQ+PHRleHQg&#10;Zm9udC1mYW1pbHk9IkNhbGlicmksQ2FsaWJyaV9NU0ZvbnRTZXJ2aWNlLEFyaWFsIiBmb250LXN0&#10;eWxlPSJpdGFsaWMiIGZvbnQtd2VpZ2h0PSI0MDAiIGZvbnQtc2l6ZT0iMTIiIHRyYW5zZm9ybT0i&#10;dHJhbnNsYXRlKDQ0NS45MzggMTA4OCkiPig8L3RleHQ+PHRleHQgZm9udC1mYW1pbHk9IkNhbGli&#10;cmksQ2FsaWJyaV9NU0ZvbnRTZXJ2aWNlLEFyaWFsIiBmb250LXN0eWxlPSJpdGFsaWMiIGZvbnQt&#10;d2VpZ2h0PSI0MDAiIGZvbnQtc2l6ZT0iMTIiIHRyYW5zZm9ybT0idHJhbnNsYXRlKDQ0NS40Mzgg&#10;MTA4OCkiPmU8L3RleHQ+PHRleHQgZm9udC1mYW1pbHk9IkNhbGlicmksQ2FsaWJyaV9NU0ZvbnRT&#10;ZXJ2aWNlLEFyaWFsIiBmb250LXN0eWxlPSJpdGFsaWMiIGZvbnQtd2VpZ2h0PSI0MDAiIGZvbnQt&#10;c2l6ZT0iMTIiIHRyYW5zZm9ybT0idHJhbnNsYXRlKDQ1MS40MzggMTA4OCkiPi48L3RleHQ+PHRl&#10;eHQgZm9udC1mYW1pbHk9IkNhbGlicmksQ2FsaWJyaV9NU0ZvbnRTZXJ2aWNlLEFyaWFsIiBmb250&#10;LXN0eWxlPSJpdGFsaWMiIGZvbnQtd2VpZ2h0PSI0MDAiIGZvbnQtc2l6ZT0iMTIiIHRyYW5zZm9y&#10;bT0idHJhbnNsYXRlKDQ1NC40MzggMTA4OCkiPmc8L3RleHQ+PHRleHQgZm9udC1mYW1pbHk9IkNh&#10;bGlicmksQ2FsaWJyaV9NU0ZvbnRTZXJ2aWNlLEFyaWFsIiBmb250LXN0eWxlPSJpdGFsaWMiIGZv&#10;bnQtd2VpZ2h0PSI0MDAiIGZvbnQtc2l6ZT0iMTIiIHRyYW5zZm9ybT0idHJhbnNsYXRlKDQ2MC40&#10;MzggMTA4OCkiPi48L3RleHQ+PHRleHQgZm9udC1mYW1pbHk9IkNhbGlicmksQ2FsaWJyaV9NU0Zv&#10;bnRTZXJ2aWNlLEFyaWFsIiBmb250LXN0eWxlPSJpdGFsaWMiIGZvbnQtd2VpZ2h0PSI0MDAiIGZv&#10;bnQtc2l6ZT0iMTIiIHRyYW5zZm9ybT0idHJhbnNsYXRlKDQ2NS45MzggMTA4OCkiPnlhcm48L3Rl&#10;eHQ+PHRleHQgZm9udC1mYW1pbHk9IkNhbGlicmksQ2FsaWJyaV9NU0ZvbnRTZXJ2aWNlLEFyaWFs&#10;IiBmb250LXN0eWxlPSJpdGFsaWMiIGZvbnQtd2VpZ2h0PSI0MDAiIGZvbnQtc2l6ZT0iMTIiIHRy&#10;YW5zZm9ybT0idHJhbnNsYXRlKDQ4Ni45MzggMTA4OCkiPiwgPC90ZXh0Pjx0ZXh0IGZvbnQtZmFt&#10;aWx5PSJDYWxpYnJpLENhbGlicmlfTVNGb250U2VydmljZSxBcmlhbCIgZm9udC1zdHlsZT0iaXRh&#10;bGljIiBmb250LXdlaWdodD0iNDAwIiBmb250LXNpemU9IjEyIiB0cmFuc2Zvcm09InRyYW5zbGF0&#10;ZSg0OTIuOTM4IDEwODgpIj5pbnRlcnZpZXc8L3RleHQ+PHRleHQgZm9udC1mYW1pbHk9IkNhbGli&#10;cmksQ2FsaWJyaV9NU0ZvbnRTZXJ2aWNlLEFyaWFsIiBmb250LXN0eWxlPSJpdGFsaWMiIGZvbnQt&#10;d2VpZ2h0PSI0MDAiIGZvbnQtc2l6ZT0iMTIiIHRyYW5zZm9ybT0idHJhbnNsYXRlKDUzOC45Mzgg&#10;MTA4OCkiPiwgPC90ZXh0Pjx0ZXh0IGZvbnQtZmFtaWx5PSJDYWxpYnJpLENhbGlicmlfTVNGb250&#10;U2VydmljZSxBcmlhbCIgZm9udC1zdHlsZT0iaXRhbGljIiBmb250LXdlaWdodD0iNDAwIiBmb250&#10;LXNpemU9IjEyIiB0cmFuc2Zvcm09InRyYW5zbGF0ZSg1NDQuOTM4IDEwODgpIj53b3Jrc2hvcCBv&#10;ciBjb2xsYWJvcmF0aXZlPC90ZXh0Pjx0ZXh0IGZvbnQtZmFtaWx5PSJDYWxpYnJpLENhbGlicmlf&#10;TVNGb250U2VydmljZSxBcmlhbCIgZm9udC1zdHlsZT0iaXRhbGljIiBmb250LXdlaWdodD0iNDAw&#10;IiBmb250LXNpemU9IjEyIiB0cmFuc2Zvcm09InRyYW5zbGF0ZSg2NzAuOTM4IDEwODgpIj4pPC90&#10;ZXh0Pjx0ZXh0IGZvbnQtZmFtaWx5PSJDYWxpYnJpLENhbGlicmlfTVNGb250U2VydmljZSxBcmlh&#10;bCIgZm9udC1zdHlsZT0iaXRhbGljIiBmb250LXdlaWdodD0iNDAwIiBmb250LXNpemU9IjEyIiB0&#10;cmFuc2Zvcm09InRyYW5zbGF0ZSg2NzQuOTM4IDEwODgpIj4sIDwvdGV4dD48dGV4dCBmb250LWZh&#10;bWlseT0iQ2FsaWJyaSxDYWxpYnJpX01TRm9udFNlcnZpY2UsQXJpYWwiIGZvbnQtc3R5bGU9Iml0&#10;YWxpYyIgZm9udC13ZWlnaHQ9IjQwMCIgZm9udC1zaXplPSIxMiIgdHJhbnNmb3JtPSJ0cmFuc2xh&#10;dGUoNjgwLjkzOCAxMDg4KSI+d2l0aCBhIHNtYWxsIDwvdGV4dD48dGV4dCBmb250LWZhbWlseT0i&#10;Q2FsaWJyaSxDYWxpYnJpX01TRm9udFNlcnZpY2UsQXJpYWwiIGZvbnQtc3R5bGU9Iml0YWxpYyIg&#10;Zm9udC13ZWlnaHQ9IjQwMCIgZm9udC1zaXplPSIxMiIgdHJhbnNmb3JtPSJ0cmFuc2xhdGUoMzEu&#10;OTM4MyAxMTAwKSI+bnVtYmVyIHBhcnRpY2lwYXRpbmcgaW4gb3ZlciBmaXZlIGFjdGl2aXRpZXM8&#10;L3RleHQ+PHRleHQgZm9udC1mYW1pbHk9IkNhbGlicmksQ2FsaWJyaV9NU0ZvbnRTZXJ2aWNlLEFy&#10;aWFsIiBmb250LXN0eWxlPSJpdGFsaWMiIGZvbnQtd2VpZ2h0PSI0MDAiIGZvbnQtc2l6ZT0iMTIi&#10;IHRyYW5zZm9ybT0idHJhbnNsYXRlKDIzNy45MzggMTEwMCkiPi48L3RleHQ+PC9nPjwvc3ZnPlBL&#10;AwQUAAYACAAAACEAxdSOU+IAAAAOAQAADwAAAGRycy9kb3ducmV2LnhtbEyPy2rDMBBF94X+g5hC&#10;d4mkvhK7lkMIbVeh0KRQslOsiW1ijYyl2M7fV161uzvM4c6ZbDXahvXY+dqRAjkXwJAKZ2oqFXzv&#10;32dLYD5oMrpxhAqu6GGV395kOjVuoC/sd6FksYR8qhVUIbQp576o0Go/dy1S3J1cZ3WIY1dy0+kh&#10;ltuGPwjxwq2uKV6odIubCovz7mIVfAx6WD/Kt357Pm2uh/3z589WolL3d+P6FVjAMfzBMOlHdcij&#10;09FdyHjWKJhJsYjoFJKFBDYhMpEJsGNMT4kQwPOM/38j/wUAAP//AwBQSwMEFAAGAAgAAAAhABQ4&#10;QxfPAAAAKQIAABkAAABkcnMvX3JlbHMvZTJvRG9jLnhtbC5yZWxzvJHBSgMxEIbvgu8Q5u5mdwsi&#10;0mwvIvQq9QGGZDYbupmETCz27Q2IYKHirceZ4f/+D2a7+4yrOlGRkNjA0PWgiG1ygb2B98PrwxMo&#10;qcgO18Rk4EwCu+n+bvtGK9YWkiVkUY3CYmCpNT9rLXahiNKlTNwucyoRaxuL1xntET3pse8fdfnN&#10;gOmCqfbOQNm7DajDObfm/9lpnoOll2Q/InG9UqFDbN0NiMVTNRDJBfxebjo5edDXHcbbOIxd5j8d&#10;hts4DD8O+uLB0xcAAAD//wMAUEsBAi0AFAAGAAgAAAAhAKjWx6gTAQAASQIAABMAAAAAAAAAAAAA&#10;AAAAAAAAAFtDb250ZW50X1R5cGVzXS54bWxQSwECLQAUAAYACAAAACEAOP0h/9YAAACUAQAACwAA&#10;AAAAAAAAAAAAAABEAQAAX3JlbHMvLnJlbHNQSwECLQAUAAYACAAAACEA2Z6fIKgDAADoCQAADgAA&#10;AAAAAAAAAAAAAABDAgAAZHJzL2Uyb0RvYy54bWxQSwECLQAKAAAAAAAAACEAyD+Mp6Q9AACkPQAA&#10;FAAAAAAAAAAAAAAAAAAXBgAAZHJzL21lZGlhL2ltYWdlMS5wbmdQSwECLQAKAAAAAAAAACEAxD+n&#10;VxHxBgAR8QYAFAAAAAAAAAAAAAAAAADtQwAAZHJzL21lZGlhL2ltYWdlMi5wbmdQSwECLQAKAAAA&#10;AAAAACEATrNtMWEDAQBhAwEAFAAAAAAAAAAAAAAAAAAwNQcAZHJzL21lZGlhL2ltYWdlMy5zdmdQ&#10;SwECLQAUAAYACAAAACEAxdSOU+IAAAAOAQAADwAAAAAAAAAAAAAAAADDOAgAZHJzL2Rvd25yZXYu&#10;eG1sUEsBAi0AFAAGAAgAAAAhABQ4QxfPAAAAKQIAABkAAAAAAAAAAAAAAAAA0jkIAGRycy9fcmVs&#10;cy9lMm9Eb2MueG1sLnJlbHNQSwUGAAAAAAgACAAAAgAA2Do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0" o:spid="_x0000_s1031" type="#_x0000_t75" style="position:absolute;left:136;width:75597;height:107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67OwgAAANwAAAAPAAAAZHJzL2Rvd25yZXYueG1sRE/fS8Mw&#10;EH4f+D+EE3zb0g2RWZcNUQb6Iqwd+nptziasuZQmtt1/bwaDvd3H9/M2u8m1YqA+WM8KlosMBHHt&#10;teVGwbHcz9cgQkTW2HomBWcKsNvezTaYaz/ygYYiNiKFcMhRgYmxy6UMtSGHYeE74sT9+t5hTLBv&#10;pO5xTOGulasse5IOLacGgx29GapPxZ9TUFbf5qc4VZ+PVSjfLQ12PX6dlXq4n15fQESa4k18dX/o&#10;NP95CZdn0gVy+w8AAP//AwBQSwECLQAUAAYACAAAACEA2+H2y+4AAACFAQAAEwAAAAAAAAAAAAAA&#10;AAAAAAAAW0NvbnRlbnRfVHlwZXNdLnhtbFBLAQItABQABgAIAAAAIQBa9CxbvwAAABUBAAALAAAA&#10;AAAAAAAAAAAAAB8BAABfcmVscy8ucmVsc1BLAQItABQABgAIAAAAIQBrV67OwgAAANwAAAAPAAAA&#10;AAAAAAAAAAAAAAcCAABkcnMvZG93bnJldi54bWxQSwUGAAAAAAMAAwC3AAAA9gIAAAAA&#10;">
                  <v:imagedata r:id="rId51" o:title="" cropleft="1827f" cropright="1657f"/>
                </v:shape>
                <v:shape id="Graphic 26" o:spid="_x0000_s1032" type="#_x0000_t75" style="position:absolute;left:-640;top:5391;width:75512;height:10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MxywAAAOIAAAAPAAAAZHJzL2Rvd25yZXYueG1sRI9BSwMx&#10;FITvgv8hPKEXscmuutZt01IExUtB23p/bJ6bbTcv201st//eFASPw8x8w8wWg2vFkfrQeNaQjRUI&#10;4sqbhmsN283r3QREiMgGW8+k4UwBFvPrqxmWxp/4k47rWIsE4VCiBhtjV0oZKksOw9h3xMn79r3D&#10;mGRfS9PjKcFdK3OlCumw4bRgsaMXS9V+/eM0VB/ha1ms9m9FfntY5cqecffUaD26GZZTEJGG+B/+&#10;a78bDc9Zdq8eHic5XC6lOyDnvwAAAP//AwBQSwECLQAUAAYACAAAACEA2+H2y+4AAACFAQAAEwAA&#10;AAAAAAAAAAAAAAAAAAAAW0NvbnRlbnRfVHlwZXNdLnhtbFBLAQItABQABgAIAAAAIQBa9CxbvwAA&#10;ABUBAAALAAAAAAAAAAAAAAAAAB8BAABfcmVscy8ucmVsc1BLAQItABQABgAIAAAAIQARZDMxywAA&#10;AOIAAAAPAAAAAAAAAAAAAAAAAAcCAABkcnMvZG93bnJldi54bWxQSwUGAAAAAAMAAwC3AAAA/wIA&#10;AAAA&#10;">
                  <v:imagedata r:id="rId52" o:title=""/>
                </v:shape>
                <v:shape id="Text Box 911304583" o:spid="_x0000_s1033" type="#_x0000_t202" style="position:absolute;left:994;top:663;width:27613;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3lgyAAAAOIAAAAPAAAAZHJzL2Rvd25yZXYueG1sRI/NTsMw&#10;EITvSLyDtUjcqB1KUUnrVhU/Ug9cWsJ9FW/jiHgdxUuTvj1GQuI4mplvNOvtFDp1piG1kS0UMwOK&#10;uI6u5cZC9fF2twSVBNlhF5ksXCjBdnN9tcbSxZEPdD5KozKEU4kWvEhfap1qTwHTLPbE2TvFIaBk&#10;OTTaDThmeOj0vTGPOmDLecFjT8+e6q/jd7Ag4nbFpXoNaf85vb+M3tQLrKy9vZl2K1BCk/yH/9p7&#10;Z+GpKObmYbGcw++lfAf05gcAAP//AwBQSwECLQAUAAYACAAAACEA2+H2y+4AAACFAQAAEwAAAAAA&#10;AAAAAAAAAAAAAAAAW0NvbnRlbnRfVHlwZXNdLnhtbFBLAQItABQABgAIAAAAIQBa9CxbvwAAABUB&#10;AAALAAAAAAAAAAAAAAAAAB8BAABfcmVscy8ucmVsc1BLAQItABQABgAIAAAAIQARE3lgyAAAAOIA&#10;AAAPAAAAAAAAAAAAAAAAAAcCAABkcnMvZG93bnJldi54bWxQSwUGAAAAAAMAAwC3AAAA/AIAAAAA&#10;" filled="f" stroked="f">
                  <v:textbox style="mso-fit-shape-to-text:t">
                    <w:txbxContent>
                      <w:p w14:paraId="6125B160" w14:textId="77777777" w:rsidR="009545A7" w:rsidRPr="00C90C48" w:rsidRDefault="009545A7" w:rsidP="009545A7">
                        <w:pPr>
                          <w:spacing w:after="0" w:line="240" w:lineRule="auto"/>
                          <w:rPr>
                            <w:rFonts w:ascii="Calibri" w:hAnsi="Calibri" w:cs="Calibri"/>
                            <w:b/>
                            <w:bCs/>
                            <w:sz w:val="36"/>
                            <w:szCs w:val="36"/>
                          </w:rPr>
                        </w:pPr>
                        <w:r w:rsidRPr="00C90C48">
                          <w:rPr>
                            <w:rFonts w:ascii="Calibri" w:hAnsi="Calibri" w:cs="Calibri"/>
                            <w:b/>
                            <w:bCs/>
                            <w:sz w:val="36"/>
                            <w:szCs w:val="36"/>
                          </w:rPr>
                          <w:t>Engagement Snapshot</w:t>
                        </w:r>
                      </w:p>
                    </w:txbxContent>
                  </v:textbox>
                </v:shape>
                <w10:wrap anchorx="page"/>
                <w10:anchorlock/>
              </v:group>
            </w:pict>
          </mc:Fallback>
        </mc:AlternateContent>
      </w:r>
    </w:p>
    <w:p w14:paraId="7D5AF5D6" w14:textId="0ED1E0D8" w:rsidR="00C17BA0" w:rsidRPr="00884FAA" w:rsidRDefault="00C17BA0">
      <w:pPr>
        <w:jc w:val="left"/>
      </w:pPr>
      <w:r w:rsidRPr="00884FAA">
        <w:br w:type="page"/>
      </w:r>
    </w:p>
    <w:p w14:paraId="1171B611" w14:textId="77777777" w:rsidR="001C7AC9" w:rsidRDefault="001C7AC9">
      <w:pPr>
        <w:jc w:val="left"/>
        <w:rPr>
          <w:highlight w:val="yellow"/>
        </w:rPr>
        <w:sectPr w:rsidR="001C7AC9" w:rsidSect="00D01379">
          <w:pgSz w:w="11909" w:h="16834" w:code="9"/>
          <w:pgMar w:top="1440" w:right="1440" w:bottom="1440" w:left="1440" w:header="720" w:footer="720" w:gutter="0"/>
          <w:cols w:space="720"/>
          <w:titlePg/>
          <w:docGrid w:linePitch="360"/>
        </w:sectPr>
      </w:pPr>
    </w:p>
    <w:p w14:paraId="2D7C2A5D" w14:textId="2D6A76AF" w:rsidR="00316391" w:rsidRDefault="001973C4">
      <w:pPr>
        <w:jc w:val="left"/>
      </w:pPr>
      <w:bookmarkStart w:id="14" w:name="Figure01"/>
      <w:r>
        <w:rPr>
          <w:noProof/>
          <w:sz w:val="16"/>
          <w:szCs w:val="16"/>
        </w:rPr>
        <w:lastRenderedPageBreak/>
        <mc:AlternateContent>
          <mc:Choice Requires="wpg">
            <w:drawing>
              <wp:anchor distT="0" distB="0" distL="114300" distR="114300" simplePos="0" relativeHeight="251658274" behindDoc="0" locked="1" layoutInCell="1" allowOverlap="0" wp14:anchorId="7648AD6A" wp14:editId="5DE6A1B3">
                <wp:simplePos x="0" y="0"/>
                <wp:positionH relativeFrom="column">
                  <wp:posOffset>-762000</wp:posOffset>
                </wp:positionH>
                <wp:positionV relativeFrom="page">
                  <wp:posOffset>75565</wp:posOffset>
                </wp:positionV>
                <wp:extent cx="10302875" cy="7205980"/>
                <wp:effectExtent l="0" t="0" r="3175" b="0"/>
                <wp:wrapNone/>
                <wp:docPr id="17282320" name="Group 17282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02875" cy="7189974"/>
                          <a:chOff x="-28575" y="36561"/>
                          <a:chExt cx="10302875" cy="7190608"/>
                        </a:xfrm>
                      </wpg:grpSpPr>
                      <pic:pic xmlns:pic="http://schemas.openxmlformats.org/drawingml/2006/picture">
                        <pic:nvPicPr>
                          <pic:cNvPr id="1461470763" name="Graphic 1"/>
                          <pic:cNvPicPr>
                            <a:picLocks noChangeAspect="1"/>
                          </pic:cNvPicPr>
                        </pic:nvPicPr>
                        <pic:blipFill>
                          <a:blip r:embed="rId53">
                            <a:extLst>
                              <a:ext uri="{96DAC541-7B7A-43D3-8B79-37D633B846F1}">
                                <asvg:svgBlip xmlns:asvg="http://schemas.microsoft.com/office/drawing/2016/SVG/main" r:embed="rId54"/>
                              </a:ext>
                            </a:extLst>
                          </a:blip>
                          <a:srcRect/>
                          <a:stretch/>
                        </pic:blipFill>
                        <pic:spPr>
                          <a:xfrm>
                            <a:off x="-28575" y="36561"/>
                            <a:ext cx="10302875" cy="7190608"/>
                          </a:xfrm>
                          <a:prstGeom prst="rect">
                            <a:avLst/>
                          </a:prstGeom>
                        </pic:spPr>
                      </pic:pic>
                      <wps:wsp>
                        <wps:cNvPr id="1670927070" name="Text Box 1"/>
                        <wps:cNvSpPr txBox="1"/>
                        <wps:spPr>
                          <a:xfrm>
                            <a:off x="120770" y="86265"/>
                            <a:ext cx="10058172" cy="218392"/>
                          </a:xfrm>
                          <a:prstGeom prst="rect">
                            <a:avLst/>
                          </a:prstGeom>
                          <a:noFill/>
                          <a:ln>
                            <a:noFill/>
                          </a:ln>
                        </wps:spPr>
                        <wps:txbx>
                          <w:txbxContent>
                            <w:p w14:paraId="03C85C32" w14:textId="3D7D2E57" w:rsidR="001973C4" w:rsidRPr="004851C1" w:rsidRDefault="001973C4" w:rsidP="001973C4">
                              <w:pPr>
                                <w:spacing w:after="0" w:line="240" w:lineRule="auto"/>
                                <w:jc w:val="center"/>
                                <w:rPr>
                                  <w:b/>
                                  <w:bCs/>
                                  <w:sz w:val="24"/>
                                  <w:szCs w:val="24"/>
                                </w:rPr>
                              </w:pPr>
                              <w:bookmarkStart w:id="15" w:name="_Ref137142571"/>
                              <w:bookmarkStart w:id="16" w:name="_Ref138850867"/>
                              <w:bookmarkStart w:id="17" w:name="_Toc138851306"/>
                              <w:r w:rsidRPr="004851C1">
                                <w:rPr>
                                  <w:b/>
                                  <w:bCs/>
                                  <w:sz w:val="24"/>
                                  <w:szCs w:val="24"/>
                                </w:rPr>
                                <w:t xml:space="preserve">Figure </w:t>
                              </w:r>
                              <w:bookmarkEnd w:id="15"/>
                              <w:r w:rsidR="009151E0">
                                <w:rPr>
                                  <w:b/>
                                  <w:bCs/>
                                  <w:sz w:val="24"/>
                                  <w:szCs w:val="24"/>
                                </w:rPr>
                                <w:t>0</w:t>
                              </w:r>
                              <w:r w:rsidR="005B4A4F">
                                <w:rPr>
                                  <w:b/>
                                  <w:bCs/>
                                  <w:sz w:val="24"/>
                                  <w:szCs w:val="24"/>
                                </w:rPr>
                                <w:noBreakHyphen/>
                              </w:r>
                              <w:r w:rsidR="005B4A4F">
                                <w:rPr>
                                  <w:b/>
                                  <w:bCs/>
                                  <w:sz w:val="24"/>
                                  <w:szCs w:val="24"/>
                                </w:rPr>
                                <w:fldChar w:fldCharType="begin"/>
                              </w:r>
                              <w:r w:rsidR="005B4A4F">
                                <w:rPr>
                                  <w:b/>
                                  <w:bCs/>
                                  <w:sz w:val="24"/>
                                  <w:szCs w:val="24"/>
                                </w:rPr>
                                <w:instrText xml:space="preserve"> SEQ Figure \* ARABIC \s 1 </w:instrText>
                              </w:r>
                              <w:r w:rsidR="005B4A4F">
                                <w:rPr>
                                  <w:b/>
                                  <w:bCs/>
                                  <w:sz w:val="24"/>
                                  <w:szCs w:val="24"/>
                                </w:rPr>
                                <w:fldChar w:fldCharType="separate"/>
                              </w:r>
                              <w:r w:rsidR="00165B17">
                                <w:rPr>
                                  <w:b/>
                                  <w:bCs/>
                                  <w:noProof/>
                                  <w:sz w:val="24"/>
                                  <w:szCs w:val="24"/>
                                </w:rPr>
                                <w:t>1</w:t>
                              </w:r>
                              <w:r w:rsidR="005B4A4F">
                                <w:rPr>
                                  <w:b/>
                                  <w:bCs/>
                                  <w:sz w:val="24"/>
                                  <w:szCs w:val="24"/>
                                </w:rPr>
                                <w:fldChar w:fldCharType="end"/>
                              </w:r>
                              <w:bookmarkEnd w:id="16"/>
                              <w:r w:rsidR="00C522B0">
                                <w:rPr>
                                  <w:b/>
                                  <w:bCs/>
                                  <w:sz w:val="24"/>
                                  <w:szCs w:val="24"/>
                                </w:rPr>
                                <w:t>.</w:t>
                              </w:r>
                              <w:r w:rsidRPr="004851C1">
                                <w:rPr>
                                  <w:b/>
                                  <w:bCs/>
                                  <w:sz w:val="24"/>
                                  <w:szCs w:val="24"/>
                                </w:rPr>
                                <w:t xml:space="preserve"> Methods, analysis and data set diagram</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8AD6A" id="Group 17282320" o:spid="_x0000_s1034" alt="&quot;&quot;" style="position:absolute;margin-left:-60pt;margin-top:5.95pt;width:811.25pt;height:567.4pt;z-index:251658274;mso-position-horizontal-relative:text;mso-position-vertical-relative:page;mso-width-relative:margin;mso-height-relative:margin" coordorigin="-285,365" coordsize="103028,7190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3bDRUwMAAL8HAAAOAAAAZHJzL2Uyb0RvYy54bWycVV1v&#10;GysQfa/U/4B4T/Yj8dpexal8kyaqFLVWk6s+Y8x6UXeBCzh2+ut7YHfjOk502z54PcAwnDlzBi4+&#10;7NqGPArrpFYzmp2mlAjF9Uqq9Yz++3BzMqHEeaZWrNFKzOiTcPTD5ft3F1tTilzXulkJSxBEuXJr&#10;ZrT23pRJ4ngtWuZOtREKi5W2LfMY2nWysmyL6G2T5GlaJFttV8ZqLpzD7HW3SC9j/KoS3H+pKic8&#10;aWYU2Hz82vhdhm9yecHKtWWmlryHwf4CRcukwqHPoa6ZZ2Rj5VGoVnKrna78KddtoqtKchFzQDZZ&#10;+iKbW6s3JuayLrdr80wTqH3B01+H5Z8fb625NwsLJrZmDS7iKOSyq2wb/oGS7CJlT8+UiZ0nHJNZ&#10;epbmk/GIEo7FcTaZTsfnHau8BvVh40k+GQUPOJwVoyIblj++EWOaFukkOCUDhuQAmZG8xK+nA9YR&#10;Hf8vG+zyGytoH6T9rRgts9835gSVM8zLpWykf4oqRI0CKPW4kHxhuwGYXVgiV+DovMjOx+m4OKNE&#10;sRZdcNsLLlIRdgbnbisLqd1p/t0Rpa9qptZi7gx0jDiRk0P3JAwPzl020tzIpgmVC3afITT/QjOv&#10;kNTp8VrzTSuU7xrMigbJauVqaRwlthTtUiAr+2nVV9JZ/hUAYys5b4XndSheQLYHE0YOMntFWK/r&#10;4y2FHasDlFnnb4VuSTAADWhQElayxzsXcEFIg0sPrIMSMQJZkD7uHzeQhdERXX/UYvc1MwIQQthf&#10;hFCM02kOJeAm6oTwELL8R+9IpLL3Dt1I/A7Tfc3D/BvcZXk6DuHQW5MiL0Zdb+25S0eTbJx33Zln&#10;k7NpftBYe15+izpWKh20FUvdqEDx8wQ4DjNo1QFssPxuuYtNEJGFmaVePSE/q1EoAHeG30hU7Y45&#10;v2AWly8m8aD4L/hUjd7OqO4tSmptf7w2H/xRMKxSskVvzaj7b8NCezefFEqJkH4w7GAsB0Nt2iuN&#10;9yGLaKKJDdY3g1lZ3X7DOzMPp2CJKY6zZtQP5pXvnhS8U1zM59GpuyXu1L3B3ZJFOQYNPuy+MWt6&#10;tj0K9VkPYjnSa+fbsTzfeF3JKOY9iz3dEG604isB6+AZ+nUcvfbv7uVPAAAA//8DAFBLAwQKAAAA&#10;AAAAACEA/QFNhqQSDACkEgwAFAAAAGRycy9tZWRpYS9pbWFnZTEucG5niVBORw0KGgoAAAANSUhE&#10;UgAACcQAAAbQCAYAAABAfMVZAAAAAXNSR0IArs4c6QAAAARnQU1BAACxjwv8YQUAAAAJcEhZcwAA&#10;IOUAACDlAXgV5EAAAP+lSURBVHhe7P0Jt2RVlbeL/z+CY9wPcB33A7yvY9yh9VaVloAKZEK2JJkJ&#10;IiAC0kmBYouW2JVSWmKVaJVaSnVWee1SkmxIukxIBKTJBKQVMItGEky4qWXZFb43/vsXETNinnnm&#10;7qI5J87J5xnjGZAndrP22mvPudba68T5/wEAAAAAAAAAAAAAAAAAwMKyZcuWV81156vlt7dse433&#10;O1uuO0p+d8v2tUO3ndnT/2x07RxendvKpPL1iw0AAAAAAAAAAACzQt0Eo5/wmzspaBOM28783pbr&#10;LokW219R5Xe3br+qzmy/aDyvn/gsPmeyEgAAAAAAAABgTPzckZ8z8vNENjej+Rqb2/ne1u3XfO/a&#10;bVu+d+323X33y+9eu+1Az+2HzeLnnaXu8Hp611f8TNfbv3bVQ6HqpNDPf9mcls1jMX8FAAAAAABQ&#10;4Aej5QPS4cDUa4PUaNwuHscGZqad07SyMHADAGiPj+sWV+fG9IpJxiNsonESJhOV/cnKuROVNlmp&#10;OpcxZ+oeSXIfQI6eC8Uzi2Xd58fHr2HsCnErxq/hz2zb3n7D59WeU3s2rX/aLwoAAMBMcPjw4VfJ&#10;gwcPv/rFF198zaFDh4564dChtS+++NKZP//5S5fIFw8duuLQyy9f1fXQy9e89NLLW37+0su75aGX&#10;Xt4/8NBLB+TPD7102Ft81mnjnH37xyx+vl/n07mlyiFVNtktZ1FmlV/qenRd/csEmBr+GbLnyJ4l&#10;e57smfLPlT1bc56v/jNmWnu35y197kx7VipMn60qwzns/FYu/yx2Lcofn0mp67f6UN3wfB55xDmm&#10;OLfUHTeVjslmf/5oOE6cO1as1u/T3Oz8C6XKXfy3uC/DuSob99rclMa+krEvAAAAAADMDFUD0sFL&#10;QjcYjQM3GxQtCbfu+M/vX7fjZ3LLdTse23Ld9Xf+YNvOXfLa7dd/R27decPXv791+2fktdft/ODW&#10;bbsuUJ3YgM5eaDKwWz4MJ2aGz4LX7r0cPiPl+u2lHcfajc7TPzXAWGTtdtgW5y9as4UaRTxUPA+L&#10;PmY3plvZhloemrMYxbRrS+xP2gWLfLDNtJywdceuW+Z6w/6uO2/8cXTbzhsfldft2PX0lm07DxX7&#10;v/z9rTt/I4vzpte0UH5/647fFrnt8HU7bzi466ZbHpU33nLr/t17f7jn5j23X3/Hnff+2z337v/6&#10;vvt/fPUTTxz4+LPPPvtBe3HhtRc5/mWG11782AsO014Q9ZsswNRQLLQYaH3YfrwbxLj4fCyWvdhV&#10;xJ/+CwR7cUDfEmCI7+P4fo60Pvawz9Pr95jW/6lTz58326ZMf76evizlf9pK2jX1tOtkfADjYQty&#10;1BezPpsturFFNnMW0hzqLY4p/r9z8IUX5/ncc8+PbXZcnW+htcU/fgFPd9FO0ce1vqzqrl+VsEyw&#10;cYg9F1L32p4P3X+/MC0uSFNbmbcArb9QbLCoLGlv2M7B4ryifuMzaovqeEZnA+uXqS9j/Z1Bv2gR&#10;F7PFeaLiZ/25of6cT38ebPCOY15fLu+7Wb9tVvtuw3L0yqVyWtntmnxfVddcfDbo986dIxzet34d&#10;pnU9qnH82z1/Uabiv4yBAUbAP/8+VumZGj7/eRyYhP6Ycx2eV2WJ+rJa7Oq5+DEVAACmyDBxRUkE&#10;MMRP4sSJnDiZ4yd09FL74cd+8vf37HvgW3ffd/+uO390757de+/Yd/2Ntxzcvuuml6/dsevXW67b&#10;+d/ZQGUSXrt918Btu26a466b9szz5j175/0s7uePmZ1zsfzBtuv/93U7b3ilqNvf33Dzrb+65dbb&#10;fyH33H7Hwb133v3sHXfd/ai8+559D96374G9Dzz4yM0PP/L4zh8/8th3fvofT3/9iacOfOGZ5577&#10;TPwtSql7a/da6t5bW1C76DeTZY/Fw/kd/PmLfpKJGDcZM1z4M+1JmSa6CZveYp3+5ICuywYLygf9&#10;ahiZ8vobDoyyepxTn2a3Xr2DOp5nEWP2Xrvt+nukFg4VsecJueuWPU/ecMuep2/afdvzN92695C0&#10;52b3bbf/eu8dd/1q7x0/+r155933/c579737f+vdd/+Dv3ngwYcPmQ898vhP5aM/eWK/fOTRn+x9&#10;8qmf3vL00898R+q5y545/7xN4jmzeu85d5Dq679pG7b2shhtd/jc+AnGrkXZ+m2hKLOVX9di1yWt&#10;nema1f5Mqw/f97nvvvv+Txlzns93lusav7xY5BcY9hLQXhAeePqZThH7uz76+JNdH3r4sa73P/BQ&#10;55599w+86959ndvvurvrrbff0c2Xps+Vuk+TUsfT8XU+nVflULlUTpVZ15BdZ1MH96B/T+wliLR7&#10;Zy9E7KVI1/691n034zPsn2NrP0di3lyuKE4odnTjimJlEYP6cSlty5lzY9nc+OVjl49bufZ5N2fP&#10;fbHQj91tyyb7Mb4bW+24hYM+gVRd2BhBWhu3Nm/as2DPhsVQeeDAMxdovOBVbpQ/O3jwy97BM9jX&#10;P5/2zHrteZ6jf96dFg/KLPZN48i0zcpiZtdR7DPnen19+PqSc+rTclgS25ZyfPN9H3tm7LkdPieD&#10;fs68frqehSNZq4denQzGC6H/5fpg/ThmWj27GNJ1bmwbxjfFF3N+36zXP5P92wtTwOrYnpudN+15&#10;w64b95578+7bL711751/q19i2Hv7nVs0r7P3jrv3a57hh3fd83MbN2V9xDinMqvzKb5c0pfZrsNf&#10;m67VtD6yVJ9Z+n60+q/S+tnS+t7WFzfVP//pgaf/85lnfvbsM888t0vjxuLn3bka5cynnnrqRIu7&#10;/dsGY+D7ML7f4vsrZWM+3/8Y5N4iFw/ydJLXl4rZuNHGjnHcKK2NS2v39iy01T87Uf8cZc+Qymhl&#10;llNdAFvca+tTWb/J+kf95gUVlPXRrJ/mxjL9/tnk+2bumP1+zbAvY/2XYZ9l2E+Z20dZPn0Ti4de&#10;6+ObFienaTzngw8+9j/uvPP+12+//sYTr9tx41v1pQFS96d7j7ptRfeu115GGfua/X17fdviuDp+&#10;f5zNojlYtsR4XB2LF+d9wGJquSIZD6te+vbzRz92WB6JY+FB3daMg3v5ZTgG7t8qAJgVug90NxD0&#10;Hnx72H2n0R7m/i4pWedLxs6QN+s8tTE7ZjSWp1/cRcM63JasVL+9ADp8qT1MWronvcRlSWucxFWS&#10;BIaBvx/0df+77cIFeZXTtwUC+mhYO1Tb9G250cRN1eRNgwkcmxTRRIMmH2zSQxMXNulpE52+3TTV&#10;JiBt0tEmGG1ixCZA/MSHTc7YhMdUJz1qtPNbPZnZ5FGcLLJJVD+RbPU5Tp2Oqk0E273wE79+wtdP&#10;Tj340CO/1mKghx95/MXHfvLUE3Ex0OM/eepaW4DX9YkDH9fEbndy9z/+462a4JWPP/74GzTo1YKU&#10;YbyrcthRVHwxLeZI62TGODmIlSFeyknEzEk6jL/1ZvuPa+/YboLAxfxQfxPLOUeSFv/smffPn3nj&#10;LXtfufGW236784abf7Nj182/2n79zb/oLjDevutX+hYu2f1msOt2/jo7x0Jo7aSsj2DPXfFchsHg&#10;sL/o+wmyn/4a4fOj5UWfEy0XWh4sYveyeoExC1rus7znc57lO8tz1tZ9G2qr9rf8ZHlJ59T5VY6s&#10;jLNgt61pEYvst0O1SXu54her2IuWbr+uvzjFXrpIP2bpPwowBoo7ikP9uFSMc7v5rchr9fmsv013&#10;XGyxzsZBvdg23vjHxgF1YwGLfT7+qe9lv6hy2w/vvPPmW29/Qr+ool9SidfRVMtV9kybMX9Je94t&#10;32XHa2Nd3lQ5LDb4/mvsw1o/VnHD9GMNuaAvWZeJMcbNi29JbFO7tbimNm1xzfoD1kfwffpBXz70&#10;P31bmYa9/o45p99Tp/WVm5jtP9DOO9dhuYpt0rIvF2P9y+LnVj/9Ouz3QU03dvF9Uq/1T4d9VK+N&#10;KXsqtldpbXZc/TFjGXz5rNzFdnN/yaX7jOhbiXfu1bfU69vqt26//qe9bxXe8VvVJy5N9cuRxX19&#10;Rb9sWvj7Yiz4O40JdW/1zdHFvX6xuMcHu3+pYOv2Z2Wx39Mlz02dPj6N/Yz5tquFDlKLHm7afdtm&#10;eefd922Sjzzy+OYiL5/bnTMq9H2bbv7wc579+U4Zx3pyuYz34ryjzYuqzxLnHaX6PTYOU58o9tcm&#10;2T+bVX2fMfYTs/6h7xv6fqHvE1b1B62/o/ap/o36NP3u/LKg1zcbzsFaPvI5qJd7urGiG0Mm2T+x&#10;/F/8f3HsYfyxmDOMMXPfS1qfsn8ZM0c2zvNju6rYZ/FPsW9O/Eti4HKJhd4511Vc68GDLzytBeZ6&#10;R3H/gw8/fec99x3UFwfsuunWw3LUMbDyapGr7tq+66adO2+4+R9333r7Z4o4crYW7tnYRfZvKcCi&#10;YmNoxUKLz/3YPJVxs8V5i9Gur/l00R99sOfOh6XGI2b2V1H0V1Bk8fPnvPoLJGaR238ZVV9YfWIz&#10;lnEpG+u2+Fnoo+f9cd13c34/vDemVK40hznTnO3cCUsPa1PWl1S7833Jbhsd9CXVrq0/ua3YbZEX&#10;qfcfvvQhLbMYtP9/VQORqkGIaYMRG5CYNjCxwckk9cc27bz6TT7zJ08+9avHf/LkQXW6pH1rzL37&#10;HnjOVEdMv1VpqlPW/aaa3bc9X9TJoe6L7kJ10Kb9bVqLrf+GK73sH35Dz12/+uGP7v3lj+657/C+&#10;/Q+8bPWoupVP/fQ/ftb77cmfPWud+0r9YKDQBgmmTZzYwHWO/UGGTdy3cTBAMd1x7XxWhjllLMo8&#10;p0OfdPjH0dq02q89V37CRM+iTZIUHYr03tWp/bS/1POt49oz7ScTVJasjDhff99Uh7pvFiNVtxY7&#10;bVLHT3bZRFd2r7C5vgNa/Lvf+Zw7CeMnYmJH03cwzdjJlP00OzbDY8ZORq+joXJ2y9rtZPQ6GLo+&#10;Xes0rO7A9+uxX5feH2zf9eXrb7l16823/fBO5U3lUWvv46i4lGnPkGn9FGnPlT1b9nyZs/6cqR9m&#10;uVeL62RxDd0+iL49r7iuh1XP8vY77rpe3whx+w9/9A933rXvb4uc/OE77rr7knv2PXC2XlBoEau0&#10;l9demwyq0m9vk37SL+7wk3+WRy13FnFxkC9jvMSlo+U2y2n2fFoes2csa89N1L42zrBj23hC583K&#10;tJS1ieDus+H6uYM+aPEcDfqqxfNVtRiln0qWHcqLyon9vKxf8GqU//qfd/N+d4Be5PheHt8yiGkW&#10;x7IYNmdsUDUWsPs3pXFAVM+g9SvtGbE8R9+xWtWPtD6A9Qus/qzv4PsU1tewujZtLGZ9e6l7Yuoe&#10;mTYPYeOpTN3XUczaiIzbxfP5Mlk5rex2PXaNul7f57L+ldXfpPpT1ucs/r/XXy/6lGV9dfWR5dz+&#10;+eT75ovF8Fps3JH/QtFwnNAbK5hWV1J1Z1p9zum7D/r03dhqdvv8Ngbo2RsXFD9P7x8unj62+bgW&#10;Y1qMZ/aM+1iWxTDpY4aMMSVaFX/KjOeIZZBWPtPKHWOW18cv0+rG4n+MaabVbVbv2FyrR2unvq1a&#10;e/Vt1vT3zLT7acb7PYrxmDKe18qUtRk5K20m1nPTui4zXr/X14U5a/WR6esnq5Pe9d718q0/vPPh&#10;3Xt/uEeLaa7dtusLvh8y1Ofhnpajm5jt748f87nl8UEuH+Zvl7cnn6/n9tF0vmE/bVgv8xe19bs1&#10;M4cfCzaax2Iua9FVP8H6AZbr9azq2dWz7NtrU/X82zOv4+kLBOxd5jPP/uxhPz9TOkdT2J07cHM1&#10;fr7Gz9nYvM1ynruB+SgWKi5afO/GS8XOfuxuG6+/v3XHr/QLM1rwueOGm++7cfdtRVO+fY/eB+ib&#10;ovXLlfprU4898eS/6ksv9E3G+kbj5w++sFcWz9OizGO1tWwskY0VsrFB03FB1qdZCn2Zpmqxoa1b&#10;2bpj12/t3ZL+epn/C2a2xsPWeZT95SVpdezr3e6FtPvj71vR9n5hWpuLWptMtXbrtBgdY7V3ELe9&#10;Ns/b18dzi+lei+9ei/VZzPex32t5IGp5IbMfRirxc0dxzsj3La2/Jr+/dftn9P6267ad39xy3Y5t&#10;RVvp/lJebzHs9me/t3XHf2ZtqrHFefpFXBysIHrQ7aG3TsOoHQdsrgVO1bUNuKzTpfthQdqCSVnw&#10;yLTtLOj4YGQJwAd9H/At0PsAn5V/0lpdxPqwOrF6sXJb3fiAa9dbVlc+cRZBcuL64/v7YPfC3wO7&#10;D3YvdG1l98KSrrWZrP6aqv11rNjWVB6rt2nVD05Oa2PWzsral3/OrX35tmXta6Gf9zqtrUuLCdff&#10;tPsPWnirTpkWIe++7YdP33bHj57UpJS+MUWLf7r+8Ef/cO++Bz9jC3/27XtwpX1zXT/9HRGo0zPs&#10;6PQ6OZowi5NmpnWAtK32k37iqunklTpu6vh1O4xF57PfSU3b8VLQx/T4zPnnzj97/hks029n+9sx&#10;LW/Y+awMWfkQl5Jqx2rb9rxYjrK8pHif5YQmal/r29hxdQ57po7kZ2jOREJ/kiBOBsTBvg3o4+Dd&#10;D9D7YX8q+EnCbm5Snrq28Z8S/YUG7UWb+Ndbdt/2dfUJHnrksc/an/Ds5iabMLGJlqTelpOWxyxv&#10;Wf6xZ6VJnoo5KtNyZNT2tfOb/hx2XiuTzMZHdf3YWenL4nx1b3S/bCxq99fam7Uv6/t0228/dlnc&#10;sglLH6ssRi1EbIJq/OSr6Sdg5XAStjdGMW0sorGKOWesUr9oz+wuApDDxXtmb1GAt9guba+T8vv6&#10;FuitO3/X/9aDV67becPv9Yst266/8X/b82Aqplmcs7ka6eN0WUye89zggqu6N3UvTLs/0u6Z6fOh&#10;1+fGUbX24vX51bQ2Ji3XluVby7nS8i65dzJaHao+6+KB3U/dZ7UXa08xFiyVeBCfm/i8xOfCt2Xf&#10;bn17tTZKu6x2mAvdLx8UDvLuYI5w6SxsE/bSWGNXezGtPqO96FZ/0saDR8pY8EhW8cRiiOKG4oXi&#10;hGJEfCaaaLHaYrPFI4tRFrssFmdlqnPQLt0cjlS79XM5fj7HxkhVizn84g2b7zH9vI/0izb8PJDX&#10;nrXM/uO4KGTlMbPriNcqfV34epKxHp999tkP6q8pac5Ji8/uvPu+H9z5o3v37N57x76irT2884ab&#10;n7W/EtP2i3PU3pTT1N6U86ytWd5fKrl+uRv7MtafiX2Z2J+J/fPYr/F9G9+/MZdzP0fXZvprtn6y&#10;9HVjWr1lWt1mWj97oYzn9+WM1+SvWfr68PUks7qcpnZeuze+rnWdatf6TNtqfqcfphcHK7QeyuxB&#10;Nv0DPOogJN4cO/cs6m+i3UhT12Q31W6s3Vy7wRbMVEeqL0tQ0jpDSzVZ+YAeg3hsC74d+DaQ1fms&#10;aPd+FLPjLYQ6t7VTa5/WJtUOrf1Z28vuK2KVFrOkxQCLA6Pqj+OPn51/KrpBZRxE+gGjDRBtEGSD&#10;pX4aPaLRQFJ1MphY6k8mzalnRMQRtBxj/Uz1L9W3sX7lOP0u6zNZf8n6rzqP+kxS58/KhbnZhG3l&#10;ZG2RM7Q4Tb+hqglDLWbXt1puv+HmA/rzCU3/DJx+s1F/NkXfPKpv8dZvbuu3C2P58MjW91+tH2rP&#10;ehzPymxS0sa3ps0FWEwybc7Axr42/l3s8eIoWpntOuzapK7V6sDqR3VVNgey4P38QotJFocs9vg+&#10;vu/fq1/b7+ICDNAvVEn7VmX92ccDB565QC++lMeef/7gNwffrKD2xlgIsavF/br8G/Owzaf7POxz&#10;selzcszNZszRdcb9vf48sSxWRiu75ULLh9Ku2+pBdbIYufFIN7bJ2BazNujbm7UH326yvp9UH0qL&#10;oLX4QWOb71+389f6Fp+sz+UXaef2FnUX2w4WfBfuHi4OL+x/O5vUC8fhYrbet9bZgralsqjNY4tY&#10;tEjFFqQM5iEL1c9Tf6+4x8xJYmsVFywWKAboudfzrudbz7Ke0UmoYylW+LxiccZyhuUKyxFZeXHy&#10;Wj6OucFygs8FPvZbrM/udxO1r+UQtQmdQ+fT+VUO2gC21bdl398p6/OYvt9j7d33f2RVH8ieB3sm&#10;xnkucHravbF7ZfdO99LnJmltwPrFlqOsPbXJUzpetwxFX7XftVscrCJ0AVlBF0p7UMse1nH1x5T+&#10;fGZWLpyudj90j3xALgvCWeBdSsG2ScCxoGMBR+r6fdCxwGNtOatbRFwYBwsA+i//57z07790K1tc&#10;p8mcWX4Bp3LZb0V1f+upuI7udTHJhIgzovpC1odUP0l9Jusvqn+l/lbWJ2ujjmF9Neujxb6Z9cuy&#10;Mh6Jqn9q4zDdG9WV6s367m3669pW+6j+Ve+qcx2XPjAudW0eQtq4uE57rsY1HteXRWblPVJMF9IV&#10;Wp/e9+etL9/vOsMMo3FN2Qv1wUv14j7bC3XJeAcREadq0d8YzCHa/OEyXbBveVg5uDQPh8VtLDTH&#10;WVJjpqq5J3tHmc1pjGP2PlHnszkqm6fyc1U2X2VzVlLlju8Vy8aC3qwuJmk8ny9XHMNKuwa7F3Y/&#10;pF2zrt/eq9o98vfJ7lWbeamm2r2yOSy7L3YvrP4Xom4RZ8nsGY/PefZ8x+c8Pu/2zJdpsSBqcTPT&#10;YsY4ZsfNzMpmZffXaPo68PVj9WZ1afVr9Z7dk4VS19SLkdu29LuFC49+E8QCtSooKyjiUjcGWgsI&#10;Xh9opQ8kmXF7rx1zlgIOIi4dNdljL+KKf8/7hh17KWeTRYOXc4U2kWR2F7H1nfdZfx87zpwXQEw6&#10;IeIyVP0y68tp4KjBpQafGqhqYmySk5c2CRYnKW1ga4NY36+M/cfsGhZa349W+az+VH4bqFv9acLP&#10;JmuzOilT29tkoY6nY1t90IdGxKWk78PP6bv7Pnu/b24vu21R3XJ54T1p7AW6LWSTqje9RPdjnDim&#10;YVyDiIjLTjdPWNrPKOzO+fX7G9IWn0nrf1Tpt5f+WH5OcZB7+/lX5RnkX5eDycN4JGrzKJrbsDko&#10;m4eKc1G2QCubL5l1bQ4oU9ck48+z48ySVk6V3eaqbL7K5qykzefZXB7zV4iI81XO68XXGVkQp4Cd&#10;FRQREREREfFIMk5carJrsSYtbSLO1HmlyuAX3LXR9rXrMHX8SU5S2rF0bJ2XBW+IiPUOFta5F9/z&#10;Xn6XvAAf5SW4LTSrM9vXH1/6c1t5yl6c+5fnvEBHRERERBz+VS2bk/IL6mwxli2s0xyL5qn8XJWf&#10;67F5pEnN8cyCNs8ks3kym/eyerGFbKov1Z3q0RazxQVtzFEhIk5Wxd1+/N7fX5628GzZsvPVlkRY&#10;EIeIiIiIiDiaGk/5b1HzC+nKFtMttYlJm3C0BW42uWiTsn5CkYlERERERERERMTZUvM1tvDOq7mc&#10;Mm2+J9PmwaqM+8Tj+3LY4jQzuwZERJx99X5E7xS+e+22A/3laQsPC+IQERERERFnQ5uUtMlGP3lo&#10;vxFsC+38Yjtpv/XaRNvHjmPq2H6i0k9KMgmJiIiIiIiIiIiIiIh16j1Db0Hc9sP95WkLDwviEBER&#10;ERERERERERERERERERERcVz1C/e2Fq2/PG3hYUEcIiIiIiIiIiIiIiIiIiIiIiIijqv++syiL4i7&#10;7bY7/wcL4hAREREREREREREREREREREREXEcZ2JB3J133v96FsQhIiIiIiIiIiIiIiIiIiIiIiLi&#10;OPoFcVu2bHlVf4nawrJv34MrWRCHiIiIiIiIiIiIiIiIiIiIiIiI4zgTC+IeeeTxzSyIQ0RERERE&#10;RERERERERERERERExHGciQVxjz/+08tYEIeIiIiIiIiIiIiIiIiIiIiIiIjjOBML4g4ceOYCFsQh&#10;IiIiIiIiIiIiIiIiIiIiIiLiOM7Egrhnn332gyyIQ0RERERERERERERERERERERExHGcuQVxKlBW&#10;UERERERERERERERERERERERERMQqZ2JB3DPPPfcZFsQhIiIiIiIiIiIiIiIiIiIiIiLiOD7x1IHB&#10;grj+8rSF59DLL1/FgjhEREREREREREREREREREREREQcx5lbEKcCZQVFRERERERERERERERERERE&#10;RERErPLRx5/srkP77rXbDvSXpy08hw69fM2123exIA4RERERERERERERERERERERERFH9sGHHvn1&#10;TC2I0wq9rKCIiIiIiIiIiIiIiIiIiIiIiIiIVe7b/8DLWodWuL+/PG3h0YK4XTft6S6Ie+jhx9KC&#10;IiIiIiIiIiIiIiIiIiIiIiIiIlZ5774HnusviNvdX5628PgFcfc/8FBaUERERERERERERERERERE&#10;RERERMQq77znvoOLviDupZde3nLznr0siENERERERERERERERERERERERMSR3Xvn3c/2FsRt29Jf&#10;nrbw+AVx9+y7Py0oIiIiIiIiIiIiIiIiIiIiIiIiYpW7b/vh090FcVu3X9NfnrbwaEHc7Xfd3V0Q&#10;d9e9+9KCIiIiIiIiIiIiIiIiIiIiIiIiIlZ58623P6F1aN/duv2q/vK0hUcL4rQQTgXRwrisoIiI&#10;iIiIiIiIiIiIiIiIiIiIiIhV7rplz5OLviDu0KGXr7EFcbfefkdaUERERERERERERERERERERERE&#10;RMQqbUHcd7Zcd0V/edrCowVx9+y7nwVxiIiIiIiIiIiIiIiIiIiIiIiIOLLbb7j5gNahfW/LdZf0&#10;l6ctPH5B3K6b9qQFRURERERERERERERERERERERERKxy644bntM6tO9u2XZmf3nawqMFcQ89/Fh3&#10;Qdy2XTelBUVERERERERERERERERERERERESscsu2nYdmYkHco48/2V0Qd+32XWlBERERERERERER&#10;EREREREREREREavcct2OF3sL4rav7S9PW3gOvfzyVU88dYAFcYiIiIiIiIiIiIiIiIiIiIiIiDiy&#10;39+6479mYkHcgaef6S6IkwdfeDEtLCIiIiIiIiIiIiIiIiIiIiIiImKZtgbtO1uuO6q/PG3h0YK4&#10;5557ngVxiIiIiIiIiIiIiIiIiIiIiIiIOJJad2Zr0LZs2fnq/vK0hefFQ4eu8IXRt8VlBUZERERE&#10;RERERERERERERERERETM9F/KxoI4REREREREREREREREREREREREXLJq3dlwQdyWV/WXpy08P//5&#10;S5eoQFaYJ546kBYYERERERERERERERERERERERERMdMviOsvTVscbEHctdt3sSAOERERERERERER&#10;ERERERERERERW6t1ZzOxIO7FF186UwWyBXGPPv5kWmBERERERERERERERERERERERETETK070/qz&#10;71677UB/adri8MKhQ2tVoF037ekW6KGHH0sLjIiIiIiIiIiIiIiIiIiIiIiIiJipdWczuSDu/gce&#10;SguMiIiIiIiIiIiIiIiIiIiIiIiImDkzC+IOHTp0lAp08569LIhDRERERERERERERERERERERETE&#10;1tqCuML9/aVpiwML4hAREREREREREREREREREREREXEcte5sJhbEvfjii69RgWxB3D377k8LjIiI&#10;iIiIiIiIiIiIiIiIiIiIiJi57/4Hf9NfELe7vzRtcTh48PCrVSAWxCEiIiIiIiIiIiIiIiIiIiIi&#10;IuIo3n3v/t/OxIK4w4cPv0oFYkEcIiIiIiIiIiIiIiIiIiIiIiIijiIL4hARERERERERERERERER&#10;EREREXFZOFwQt21Lf2na4qEC3Xr7HSyIQ0RERERERERERERERERERERExNbede++7vqzmVgQ9/ND&#10;Lx1mQRwiIiIiIiIiIiIiIiIiIiIiIiKOIgviEBERERERERERERERERERERERcVk4UwviigLtv3nP&#10;XhbEISIiIiIiIiIiIiIiIiIiIiIiYmu17mwmF8Td/8BDaYERERERERERERERERERERERERERM2dq&#10;QdzPX3p5966b9rAgDhEREREREREREREREREREREREVs7XBC3fXd/Wdri8dJLL2/ZtuumboEeevix&#10;tMCIiIiIiIiIiIiIiIiIiIiIiIiImTO1IO7QoZevsQVxjz7+ZFpgRERERERERERERERERERERERE&#10;xMzZWhD38stXXbt9FwviEBERERERERERERERERERERERsbX3P/DQ7CyIe/HQoSv6hek88dSBtMCI&#10;iIiIiIiIiIiIiIiIiIiIiIiImTO7IO7A08+kBUZERERERERERERERERERERERETMdAvi9veXpS0e&#10;jz/+08tsQdxzzz2fFhgREREREREREREREREREREREREx86GHH+uuP/vutdsO9JelLR73PfDQpbYg&#10;7uALL6YFRkRERERERERERERERERERERERMx89PEn+wvith/uL0tbPH50z30ftgVxWWERERERERER&#10;ERERERERERERERERy3ziqQOzsyBu9623f0aF2bbrprSwiIiIiIiIiIiIiIiIiIiIiIiIiGUeePqZ&#10;7oI4uWXLllf1l6YtDjuu332ZCrLrpj1pYRERERERERERERERERERERERERHLfO6552dnQdy11+38&#10;oApy8569aWERERERERERERERERERERERERERyzz4wouDBXHf3rLtNf2laYvDD7bt/KYKcvtdd6eF&#10;RUTE5eXPD710WB469NKBri+9vF/+/KWXd7/00stbzEOHXr6m68svX+V98dChK8yf//ylSyalP653&#10;zvmtTIW+rCq7addj1ze43qQuEBERERERERERERERERERcTLOzIK47127bYsKcte9+9KCLpS2YGHO&#10;Ig23UMPrFz6Ma3b8OecvnFO2pOyIs65W4Up9PaXU322WTzx1oPPo4092fejhxwbe/8BDA+/Zd39X&#10;xQivFtGat95+R6n69slxzI4Z9WWRVkYru+mvy1+v1YHqw1T9WH1J1V9Wt4uhi0fdmDVYvPbyy1cN&#10;Fpe9+NKZhw4dOkq++OKLrzl48PCrDx8+/CrZD//LDn3l6pYtO1+txPrdLdvXfm/LdZd8d+v2q763&#10;dfs1RZ7b3Xd/36cLf9l3kJTL/P7WHb+V127f9cvCX127Y9evt19/8y923XTrYXnLrbf/Yvdtt/96&#10;7x0/+r21wdj2fHvL2tkstTFERJy8ivOK+9bvUm6wPov6M+r37Lppz8Btu27qWuSdUm0b2yf2n2JO&#10;snxkucjyEDloaWr9e2tXvm1J3XNrY2oL1s7MrL011bc5396yvnjW5rLrQUREzFS+8znPa2Nrabmw&#10;Tr+PacfTOaxvRP8Il7rWju35qTI+A2XybCAiIiIuDX1fUMZ+nfX/vNlYKRtTVZkdQ/rzWBnoVy5v&#10;f7Dt+v9P79i/s+W6o/qv8heHohBaINCdqM4KWmZ3MUZ/wZoWlvkFGfpGH1uQ8cKhQ2v9ooy4MGOp&#10;L87w16HrMu1a7dpVD6bqRWbfipR9A9K8BXxhoZ6/L7g8tORkicGSiL3gspdb8cWWf6FlL0ptQQ9O&#10;1uxFtN2H7KWgvRCU9jLavxy0zsAzz/7sl4UPP//8C9tsgZstblNMWQ5xcxy06E2J87tbtp1Z/PeK&#10;/qLu/d+9dvvheI+WukVH4Q/X7bzhFTlO+4ptLHY26XAiHnnas++1uGBavIhaPDEtzkQtDmXaYp1x&#10;jcf15/dltLJb3MvqZFLq+DqXyqAyKk4rhi+VPpn1bSzf+Dxjdaw6VV1m14/ttWfQ2qnqWHWt9qN6&#10;tz6/7on19a0fmt3Dpab1pa1/Y/0Z1QFtDWdBm3cZzL8ceunAwYMvPO19/uCLDxbbzvtlSz+X47Vv&#10;uZ6W2TnNeeXszy8t13kmi7GTMjsHDrV68n1J65tZbpPKbZbfFPttrGt5Tnlh1nKdlcfP/1juiuNy&#10;XavlMctltB9sq9pMXd9wlp4bO7c9J6aV7/qbdv/hxlv2vnLjLbf9Vr9Qql8slXtuv+OgvO2OHz0p&#10;77jr7kfNu35034/kffse2CsfePCRm+XDjzy+85FHf7JXPvnUT2+RTz/zsztN5WXl525uS+oWF0bf&#10;dyr+PegbWX9l8A5M78P67xTtveLgvVn/PZp/t2bv20bRH0fa8eXgnP49Xf9dne9fda/F+k7JdS8H&#10;fT73OV1abjMtz5vxc9Mfw45r+dHMyoKT09e19PfB3x9/3+L9tT6O5SWv9YNM6+9FlcOaan2taLZt&#10;mVkZYlmlvxZ/ndLXga+fqjad3QNcHrZ5jnzbsfbk25q1P98+ffu1Nm/9Pt/3s/6f6ftiWV9tKej7&#10;kbpWe96tnlR/qlfVd3ZvyrQ+SZmDvD5Fs/OaWZmXi9Ye9SU2/df8i8N3r912QAVRw1Jjuvve/b/9&#10;0T33Hb533wPP3X3Pvgfvvu/+XXfcee+/3br3zg/fvPv2S2/afdvm7dffeKK+gUfq23h66pt5thyx&#10;izRmgbgwL1uQ5zv41rkfdPAbLsKLjRlzLRkq+VnCsyRnSc0SmSWvhU5Wdj6fNH0ytQRrSde0ZOyT&#10;tNeSU50+8ctsm2h2PmllMq2sdg2mvz5/3Qtd923UYi/F6n681reb9b/tTIvBCrduv0bfhKYFYmb3&#10;29G2bDtTSUZqEZmMcbsfPmaGXi7Z+WqVdc63vLVY9Gb1Vfx/UVfbtljd6Fi+XnydZNrn0uqxp/bv&#10;qeMVn3frXOcZfCNd91vpuov1Bt9MZ/dw1hfvxbhQFQ/8M2fPon9e7dm2zr70gwAbGJh+0OAHE9IP&#10;NLKYi+31deqNdS/9vfHGe+jvr9e3Aa/PAZm+PWX6PDBpffseR//MZPoclenzltfnMNOe32j2rONw&#10;kK36tPuhb/rUeEjuu//B3zzw4MOHHn7k8RfNhx55/Kfy/gcfflrjpR/edc/Pb739rpd37Lr5V1uu&#10;2/lKdp6otrtu5w2/33nDzb/RSyDtr+NoDLZv/wMvywcfeuTXMnueovF58s+HtUHfnqytZGUbRR1P&#10;x9Z5dD47v8qk8ik2KI4ovmSxaDlpMVTx0e6P3Re7H9O6D/a8W5v27Vrntdhm98fKJa0NWZmj9nlU&#10;+9rxpI+dvt1N6lp1nKydWRvL7gnOtnMmAG2i0L0wldlL058dPPhlWdz7Lzz82E/+/qFHHvvsvvt/&#10;fPU99+7/+p137fvb23/4o3+4ZfdtX5dFrP3HnTfe8h257fobr5Vbd+y6pfife7Zcd/2d8vtbdz78&#10;/a07Hizamb5F+uneeGKob4dt7R0jjuV6Y7g4jhuOM3pjFY1JbOzWHy4tGn6+6cEHH/sfjz/++Bvk&#10;I488vlne98BDl8r7H3zkL+7d9+Bnuvdj3wPfkppX1EKGfft/fN89997/hLzznvsOKu/defd9v7P4&#10;5OOHjyEWN03FAtNin9fX/0IYz+/LZ2W267Brs1gmY3yWMT7LGJut/z2K8Vh2DjuvxXcrm90ff1/8&#10;/bBrz+pnIfT139TsOAulfunt+htv+b0tClJfUM/EHT+698D++x969McPPfZjW+jzzDPP7ZoTA722&#10;WMPp53qjtthjHLPFI6OalTGaXWPXrD4KLWeYfn7btDwz0PJP3zm5Kcldk1B9Rusv2vOmZ8yercVu&#10;o8vRfj7/5fev2/GzIucf3HLdjhev27Hr6eJ5PLj9hpsPFM/kQfsrEHo2fbz2Mdv08dFit//ZqMbz&#10;yFgW0+LxpO0tXOwtXlSMuunWvYdu2n3b8zfcsufpXbfseVLuvOGWB+X262+8a9v1N+zdvuumnepj&#10;Xbv9+u/8YNvOb8rB/Gi/v1Om9YPKtPlcr5+bna+fwx1aHGswzxuNc8LR4Vx67m233fk/7rzz/ter&#10;b/TUf/zHW+WBA89c8Mxzz31GPv/8wW/ql9+fP/jC3oPdX6Z44Rc2B1elzclF/bycmeV4n9t9G7V2&#10;pfs9S/k8auWRvn8lrdze2JZlfG6i8Xmr0z+vTc2Ok5mVL7umeN2xbny9yaxucWHVNyTFduzbrL/n&#10;1h6s/ViOMe2Ztv67tGfe9/dlFiuymGJmcUhm21aZnbfOnx54+j9/8uRTv3r8J08eNG0OVmpOVnO0&#10;miuN4xbp68g/f7LsOfPPlcyeqyP5WSra7f/Wl3aYms92/rfz9+b3t+783dAdv82OO0mL/tw29Tm+&#10;v3X7Z7R26b777vs/+1MYywKbh/Frf/waoCZfzuXHbek4y42j5o2Z+uMj9Vukf759n8NiUXwe9fwN&#10;np2i/9a/rMWhKIQm5OY1okmYTPylCzniJKCc27Gd22md3xFlId5iER/EsR+8MKkRJzC6D6B7CKc5&#10;QWGJ3h5ue7DtgbZkaonTkuQ0EqOOaZ0kufu2H/63BqT6zbnde+/Yd9Oe2/fcePOeq3fdeMtnr71u&#10;5we3btt1QfkzM3fxqt0/u3eD+2X3prgPVvfTnAyaRWNnz4K8D/Qx2Fug18S+Xm4X9+rpG2+5db8m&#10;CHovXXbuLe7pTC6O8jHbxe25MdvFbW+czChzsE/3WN1jd3OD1UWT+rBy6hjdYxb5wtr5UswJtghQ&#10;6hp0LZb3evZyYf86uzlyfl0O6jPU6Wy1sWlaPFvzOuNF7PxVX/2p24Ga8JRbd9zwXHTbzhsfHcft&#10;u256Yo433HzAu/OGm5/1atJVFtu+PM/rb/5FVH+ut0x/7dGszhDH0Qa3RfsaDHrV1rK2KbP2nBqe&#10;g23X3/hzb/b8btm289DA63a8WAy4/6vwV1m5F8p+7N2tON2P3f08NXqOin1u33ez/pvvY/v+dDaY&#10;tX609XOsf6M+jfVnbLJIfd1J9XN1DB1Lx9SxbVLKzqn+lPWtVB7re/k+mZ+Yi/23Ov2+0o5ZN6BX&#10;2Wwizff/pa5JE5zZ9ba1eI5e2bpj12+1yNJePtk3ZugX1rSgRC/JH37k8Z2P/+Spa59++pnv6AWL&#10;3e8546qgtY1MG6M11Y/v2qh9n3jiwMe1gEmLl6R+Ae/mPbdfL3fddMujypfXbr9+5P5LESN+r7HS&#10;3jvu+pUW3EhNmvq2NErbWe5aTOiO+RQnbOytcWARP2xsHtuabz92nxWTnnrqqRPlvn0PrizGRpv2&#10;3H7nSv2C5XU7bnyrtP6t9XHnjBfGGCssd20sFC0+69aV08YGVcZ93BjC7NU79Y+jqhxpuV850/K/&#10;9QFsbs3m2qwf4PsAlqPH7QPIslinOKeFClqwoEVoyq+PPfHkv/74kce+c/+DP/5Hy1lacCt33bzn&#10;W7bgVotA/ELboo/8cHHtWmCb1smoume9eH57czOKm4qhw3n0uQtq+91ImBA2D+775bF/rtx3z74H&#10;zpa333XPp7U4+/pbbt2q+QItwPr+dTt/7e9rnRpnFc/QrzQ20oIkeesP73xY88F3/ujePVILj6UW&#10;Iau9alGy+lpSC5Uff/ynlxXP1Lm2iNkWNWuBs14cSpsvnqu9e5mr2pfNX5lz57GGc1k+31vON+fk&#10;/nx+a5CrYl4qfpbWFyJOX8vtVWb74dIy3lP15UybCzHVvzOtnxe1uZ+o9QW9erfWfb/2o3t/qXds&#10;0uZFLAfKm2/74Z3dd6O7b9t1/U179u648Zabi3y5U6p/JrVQV4tmzGGumZdvBjlHDvPO3PxDDsKm&#10;+kVkmueTfg68eHYOSevfyeIZelj6Nt61P2e29/Y7t8g9t97xbxqT3Lr3zr+V6nPqi63uuOvuS2Tx&#10;zJ2teRibi5FauK0F3DLr+/W7uwtC7GfOfy/a+wthstdH7D2jehZ9HZdbPN/FfnYMHVvqXP0iLCuG&#10;93FuXz32y60/Pr8PPjcG+pjXq8/x1fn7xV0c1ACqBhwx4KvQs27vJvXKXPy7P1Eg+9fYv8E2aWB2&#10;G0G/UaiBqG5MNRxrSAsdGKA5CuIazCuwK9Br8kFJoJ8M/lZJQqqTpCSihUq2IEETC3phawnK2tMk&#10;tA6jdQ6tA6jOnb3400uaRx77yX899pOnnnjywNOPaQJOL7f0m+96uaAXnppY0aRL/3IXDU30xMVz&#10;eikyeNnam1RMJx+Xm92J1O41v3xNrx7Gu0+WtCxhKf5kSUsxS86fOMri99LrpFscL/6/iOHbtnSv&#10;taiDXiwmBo9DWedIbS1rb9bmfLvr3o95nSbrR8xph922KIftsdcmzeKztA3g0tLf07n6+z602Kfb&#10;Lkr07Sfo21kDrX0uoPZs1Omfp6g9c5n+2Rxqz+3Q4jiDfqxpz7t32L/1WpwY2g8hS5bedfSuT9et&#10;+ujVVa8Oi3/36l73sdt+um1uTi6N7VqfWzvTvjper06Xbn3VveAz9aJPL9PUz9596+2f0S9m6KWw&#10;Jh+37rzxx9IWJxb1lMaNaaoFkbOwKHJOOym059+eZf9cLpdnbdKoTlQ/9rwOn9NeXujXcXoPmvr9&#10;rdufLdrrY1rMoG+4UDvWQgd50+7bfqDxoyYci/HlD6ReNu9/4KGtWiShhYm2OFHjN1OLKmxsNIq2&#10;+GzeIjS3EM0vSIuLGv3CNI1P/OI0aROi+g1aabnDYqLlnG5sc7nLcp2Lk91YKX2sVL0utHmMtn5F&#10;7xlU2f31dNtT/1rtueyZ51Fpz2yZcXtft1anclCfoS6tHov/T69zqRjvx/x74u5L/95k90fm96h3&#10;n0wttpSa+NcLgB/dc9+H7RvrpBaF6NsETS10kj/9j6e/roVPUT3Tpm3rtQUnpr6ZsPvthP0XEcqN&#10;N9y05y+kfnFx246bPq7fWpd2/wdtYNAO5rSFbnuQvg6H9Tq02Ca9B9FsX3/sYhu7P/PvUbg38X4U&#10;19Rt7ztv2vMGe9mixTbqMygG2fyRaTHK9PGrzLiPP56dQ1pfxfow1rcZdY5mElg/VHVk8aBfb67/&#10;2atzdz/S+ziq/n4X/553bwdlGdzXub9ka/3o/iUte6xfZmMHi++ql0H7t2e4d+9Git/97Ytnrncv&#10;7B4M652+YRP8/TL9fbN7N9TyyLDP06/37nPgnRP7dL+9xX37wbadu2T3W9Kuv/GuHTfcfJ++OU2/&#10;5NG1/41q/mX34KX3rbc/kepehttiD1OLPgYLcguLc/79tdt2fcHnmGnr6yRzXj1FLf6kWv5J9Xlq&#10;oMW2+cac17PYJ30el4M/6H2bz5xvorIFS35Rki06ir+QNo2F6F5/LPvFNGnnk1YGab+oZlo5vX5B&#10;vWm/bJdp155pC7QW0qwcZix7dq2xPnx9+br0dSx9/fv7kt23OrNfNJgzjnXjVt+vy/pui9lfG5VR&#10;c1CWe+bF0PLYmMS/5RPjfMzu6a9z3rhF9uvF55NCX5eFMV9Zvfu+gBz2E3r3rNimex+l3Vvp7/mw&#10;HdB3WwhU5/17Y2MptYO0PZXp2tKw7fTbiY5rzm8Xc9tHtcPtfRuT/hyxbQ7abbdcZc/94j7z8fks&#10;flb6POoal/SzMXzA5wf57IZnN3hwU+ff2O7N9Te2+Hda6Yttoxvev0ZrzFYH1vD9Q2H1Vnw+L8gO&#10;g+vSCLC+jLGd1LUVay9zAsDcNuIe/uk/+Hafi//fv+W6nXv12wT67YKtO2/4ugafmuTUZKdNwGox&#10;nl4U6sWD79j5Dp6fnOtX2bJC16VrtAnPbme3v3hOHWK97LFvKPGd6FnQd+K7nXfXabf7uVTvW3we&#10;Lc5UPYemPY+DZ9Jr8S4atyvU/jqencNi3zDO0XE8Usnyhm+vXrVb77ANRy2/ztfaYJ1qr5M0O0dm&#10;Vub5Ztfc/kVurO+e/n4M7d8uAIBG9GLH3BfBxf/34qH1D7r9hmE/f7HGgDau8H3/nsN+je/HWBy2&#10;+Gqxs3/psECo3lX/vn312lWvTfXvZXrPF0Lfpua2q1zbrlzfTudbHCMtx2I7LGOcO5n7fJWNFfSc&#10;zX3Wlv/zZvFT16xr77XxXjvPtDozVY/RuI3MjjU819y6N/09MPvFBoAJYc+/f/YHz3LoP1l+KP4/&#10;jcGT1uJ5aUzvx3XTx/fBNTSKRc2Nx5M6j51bDso0rDuXeyebR/vHKo6f/YUDYibALOL7NbnW/2mv&#10;70dFs+3nm5WnPJbovYzeYdgC8u6i8v4v03QXKfl3NFrINKPvaXA85yxYc4vW/C9iVS1c8798EN9r&#10;9psazDhZ3OiZxZm2Zsett180gImiNtmfv/Bzgurrp3315a6NbcaZg5vfT+EZXlB6Fd6rfLsZujHD&#10;CYLeJIENhnUj5ZyB79zBb/ehsIH8pAfAC+2wkTfVrrut84+VlWcxHZZt8MAPHnZ70P1DrnZkD7k9&#10;3P1mBwuADdTUwfaDNVtMFwdt0UEHPtrv0Ged+tihpzMPAAAAMFv48V8cB9pYsEq/rdf6+/T5jxys&#10;Lald+HmD4t/pAoO+3YmjOA4ufpaOQZeSfrzsxsz9cfNw7GxzKH6yrFtfyYSZ5BkDAFhcrK+kmOzn&#10;ym2efDBHPjfnDXJd8f9p3jhSdbm/yJHz55UtB/ZyH3kPAJY+9mUH0t6fNH1fYwvtTFuENViU1V98&#10;t1wX4Nm1Da7RXXfxea8u+ovS5i1Mq3iXZe+zsoVqcbEa77gAAOZi4yM/NtK4aM7YKBkfmTZOaqs/&#10;Rl87dmF/zs1M5t5s3s3PvdnYw8YfzL/BRLAG1GtMwwkF6R8cm1iQaqRyMDjOHySZPEjLY3K9zuHk&#10;e9kE/DAAZA+/1bndi/jQ928fAAAAAAAAwFTI5gvyOYP58wZxbFuuP8Zc7TyZVhY/Tjb7xQcAAKjE&#10;5zfLL8M81MtTymXFz7tz4TKfD583J27aXHAyR15v3N9ZHNvO25tfrp5jzr4JgZwJALCQ2GIuvyDP&#10;tIVfUVsYNo7Zcb2xLL6cZv8SAAAAAGAUhhPXvUkIm4gwNWD3DicmxtFPwHvnbhfP7cslh2Vm8h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hv+3sOPcXFjG/1Xot9f/R15fGI/5ZKH2reNThX6/zOsL31dYdbx3Fsb9dOwq&#10;vlxo2+ocZei8OtY9hf74+reOoeufNL5sqtv/Wej5PwpVx748+nfczqPP/H3y5Y73r40rC0VsK3Xq&#10;nnl0nGw7r9V5dp26h35bK1cdsQ36Y/s61v9HmpTZa8fWf/3PdV1VqP377b9VWEXVNRl67nUcf8/0&#10;/6pH3Ru1MQCAaaNYY/EoxtyyHNsk32h/HbNpLhA6ruKf4mA8vuWfqj5TRGXXPv66pI6vOF3Vrxln&#10;3yaMUu/KJb5etF0dPjfr2FburN/WVN2LmEfbajmuyTVNs4/pUZ3ruL7O/DH0WXZfAKA5TeJ8k7yh&#10;+On3rcsNOq+PtU3iQhZ7msYTxXa/n661roy+fBp7GPFYbfSxMuYaY9x8EFGcjPfW5x9jIfJIHMPV&#10;5Q4jjjFVR4aO4T+rUuVqg89dpuquTd8nK5/KoXqKjHItC5n/PbGd1tVJWT9L6t/6uY5p5SmjyXyD&#10;4oLK3+Y+AcDsobikuKhnOj7jTeKFUMxQPFB+9MdQvNNx6ubWhc6Txa0sjhsxptqYZVIxW2X2x8+0&#10;2FrVj2sS++tyk51HMbfqnvicqnNW1Z9QuX3ZFrIvVkaTfnOT3BNzqPTlyvD1p/MDwJGN4pHiRsxv&#10;FouyubImucOrWOWZZuwa5XqajAu8dXlnEvjrNZVf2oxLVA/xGE3ypmg69s9QGf1+ZWWO+VnX7KnL&#10;rVkZ1Taq+hC+bNq3SR9Q16y+w7g5uwlZX1HnrOqDGdm++nfV/Y79t/h8NHnWVQdNx+AAsIyIiSoL&#10;1EbcNkvkWeKTsRORoeNl+2YqqJUF7bLj+AFkJO6TkSXkzEl3MGLZYpDXv/3npuqoLKDHfXzd+J+3&#10;1Y5TVqYy473Rv7Ptyowd0DhBoH83we8jff3FzyJty2z3Ue0lflbVUcsSelXijp0Kf2ydO36e2bT+&#10;AABGJQ4qy1RO9DGvbb6J+2e0ieeKoRbPM3Susn6JV9ceGWffpkyq3vV5HX57afXWNn9G27aBqJWj&#10;yTWV3Y/Yj/HEfapQGZrkZVPHbjK5AwBzmWScj8eqigcii1l1lMWFJuPObD9ZdU1+Ox8Ly2JgE/1x&#10;4mfGuPkg0nRuIrsnbbS6jMfx1xxfojTN3bHO/cRy2/vRhmx/s0neiS8VvNkzMsq1LMR9y4hlrXrm&#10;m/azpLarmjdr+3zUHQ8AZg+Nt5oseNLzXTYnrr5BfKlepeZTy8bHZXFW52+6j8XIacXsOhWzs7LG&#10;42Sxv01uUl+trF8Wj2PXUkaM975sbcoU9ceJn1XRJv/U9ZvLyl+VS+M+AHDkMur72ba5I8akacWu&#10;Ua+nTVyWdXlnEmTnNacxfoyMsy4h1md2PvUl4rguvpP2n8lI2X3z+TkS96m6l6rnsraaWZezm1B2&#10;35q8Ty57LkfpZxplx6yyqi8MAMsIBckYALJBdbZdDJZZUjAVXOtoE6zNLGCXHaeqDHUdlDiBXWVW&#10;pnGIZYvHrwryZRMkcR+fOMruYRNtgr6qTJmxY1LWOajSX0OWiOuSmsrut49J238mI23L7Duysc7L&#10;7pv28duZ/sWIJz63/hlQfejf/vMy1QYBAKZF2eCpTB/v2+YbWRbTFBfbvDzwlsXtJi80zMg4+zZh&#10;kvXeJE/47aWOIdr0saK6X2W5sanWP2hyTbFPZo7TxzRG6ftITfoAQDOmEefjs+tjZUaWt6qoynNN&#10;nv9sP1m1r9/Ox8I2eSnqJ4vjZ8a4+cCje910bmIh8kg2n1I2hjN0XL+9rsdTlpMy4751ZMcwm7xU&#10;qHrOsmdklGtZyPzviWUte+bLXsrUWfZs0k8AWN6M0keJtB3fmTqvxURPVR+krF8U97EYOa2Y3cQs&#10;rjeJ/W1ykywbE8bj6NxVxHjvyzbtvphnlDZplrWPsjqdxHgaAJY347yfbZs74nhnGrFrnOtpOy5Q&#10;Dp422XnNaYwfPcpXTcf+GbE+s/PF+5n1nfznMlJ13zRfkBH3KetDtPlFLG+T+qmi7NmQZddkVD2X&#10;bfuZRttn3SzrCwPAMiNO1GVBMG6jQBeJA+8YgOsSbwyePrgrGOn48ZgKVJGqINx0QObJEqrqwwK6&#10;PlfC0c+03aQ7GFX1IqqCfFlCq0sckZh4s/vvicev2z4SzxfLp/rOOkmWtLJ7VnbvjdjG4/b+Mxmp&#10;K3MV8dz6d0ZZRzn+NoKhevLb+ePG8qq+/EsZtWOdT/UcFwcCAEyKGKek4o6PR8q3ilkW1318rcs3&#10;imXZpLE/vhFjsdTPfF6PZfHGgV6WnxVXLVdpe+UalU/H84yzbxOmXe8ZfnupY1TRdvtI7D/58mc0&#10;uaZ4TO8ofUwjy+/qw+nnvl3p/3WPfJtuUvcA0CPLB03jvP7tn0dD2/rt2sYaWYXPTVmZ6vDbR7Pr&#10;EX6buhjT9nrEuNs3yQeKyX6fWHdNxuwxfo+bR+Lx/NgsI15D3D4er0m9NMUfV/r6q5s0V7vy+2p7&#10;/++sHid5LZO+b5Emx4/3Tmo/389Sn07bxfqRWZ9C5/HbxPOqTZcdr64OAGDxyeY49ez6XK0Y4mOQ&#10;RzEg5jrFA8UFG0OKeAwzy0kxPnrLckHcpy7+NImpnrqYrXpoMv5vEvtj2bSPofuiuVj/uYznEVXH&#10;yVAd+O2zsnnitcg6mmzv+6Cmftak3yyzfmasC2+W+0TcBwCOPLJ3fYpHFmf0ueKvfqbt4livScyv&#10;YtKxa9zriXmiLncuBL480l9fWZ/B0HX7feN4pu76dA/89rFuY/1F6uozztlm90T4bWQknsere50R&#10;98n6ECqL30aqjOqn+HKqXWl/a1e27ajE+xbrXfVWRdZ/MUftZ9Y96ypzWV+4bVwAgCWIgkAMVj6R&#10;K1D6z2QWeP2AUwErJoqyRTtGDELZORSs/DYy4o+jCQV/bWWBNJ7bE4NoXQKfNHX1kgV5/++sUxb3&#10;iYkjEhOvzlFFVqY2xPNl5atrl0rs/jO1zyriM6Dje/xnMtKkzGXETpvabUa8prrt4+SMn5hp0k4A&#10;AKaJ4myMvYpNMf4a+rk+9wOqpvkmvmCIMToeR1bFRQ0oY9nj4DXmhbLBbcY4+9axkPXu8dtLn7Mz&#10;2m4fUZn8/nV5uck1+WNOoo8psokL3e+y+2Go/65j1/WvAaDHNOK8iPG6bayRVfgy6PzxJa/v32f4&#10;bWM8KsstfpssFnraXo8Yd/sm+WDcuQkR62vcPBLHfLq3VdTd61i+JvXSFH9cGceVfmI94rfVNcZ9&#10;s3qc5LVM+r5F6o6f9bOq+nHaPvZTsz6FzuO3KbsuHS+2Hal+AwDMJvH5llX5XfkkxokYmxRXqsYT&#10;ikt+exnjRBYf/b+zflTcpy4GTytmtx3/Z8eJZdM+kbrziCbH8cT2UHaNRrwWWUfd9tkxJ9Fv9nUx&#10;qfE0ACx/YkwqixdlxP3r4mpk0rFr3OuJeaIudy4Evjxy2uNHz7hj/6r6zOZsy/pocbtIPE9sI9l4&#10;Le6jtuNRX0/X7LdRG60b+2k/1Yu2HZVYz6oX/++6Y2fPpf/3KP3MNs96rFtZ1dcBgGVCFoyN+Fk2&#10;oFEA9dsomCro+p/VJfYY8GJwN/w2MuKPo/+PCTQLavHcnhhEx0kSo1BXL7F8MfFk9R73iYkjUtU+&#10;MuLx67aPxPOVla+qbmI9yDLitupERfznMtK0zBnxWZHZxFXs3Hiz7dVWy7aJdVfWkQMAmBbKxz4O&#10;adCbxbIqmuabuhgdXxw2yVvxmNKXP35eNwD3jLNvHQtZ7x6/vfQ5O6Pt9pGY5+I9jzS5Jn9M/f+4&#10;fUwR295C9zMBjhTis5b19yN1cV7EbdrGGllGHKPo3zGGVy20EX5blS2OD7KJUv95Fgs9ba7HGHf7&#10;unyge+S3H2VuQsT4PW4eieWSZdcSt1WujsTy1dVLG/xxZXwRUNXu/JhV2zV5RiZ5LZO+b5G648cX&#10;A036WbEMMo7Pm9SjofPFuYNJ9iUBYLLE57UubkWyl7V1cVRxQvHJ7xPjRIxNsV+S5dK4T921TCtm&#10;18XMJseJZcvqtEn5mxzHE8tedo1GvBZZR93205gfEb4u9P+TGE8DwPInxrm282ZNYn4Vk45d415P&#10;XY5bDHx55LTHj0YcN48y9i87n44d50+qxlR+OxmJ54n9qqyO4j6xD5GNPbM5nmng68bacOzTVpUl&#10;PgeT6Ge2fdaZkwc4AskGwhZc48+zIBYDr634jgkjTup5YichBnfDbyMjsYPSJAG26aDIrJMzLerq&#10;JZZP/1by9D+L5Y37xMQRiYlXZaoiHr9u+0g8X1n56uomtt2y9tekE+s/l5GmZS4jdhZiWWM7bvJs&#10;+c9jMo91p8/jRAUAwDSJcahqcFxG03xTFaPj4FlW9VeMuv3iOZWTrH9Uxzj71rGQ9e7x28uYsyNt&#10;t4/E66zLy02uyR9T/z9uHzNrQ22vEwDqmVacF1X5JSPGGlmGn5xTHhBZmfSzMvx2KpvGOf5nWQ7w&#10;n2ex0NPmeoxxt6+Lk5OYmxAxfk8ij8QJ17IJdZXNb5fdp1i+SeYPf1wp/HjV2mMkllv/bvKMTPJa&#10;pnHfPHXHj+2s6qWJp26/JvXoic9B1kcBgMUnxiBZ9fIwI85pxvm/Mur2i2XTvyc93zytmF0XM5sc&#10;J5ZN+0Ri7M7G7E2O44llL7tGI16LrKNq+2n2m31d6P/HHU8DwJFBFufavJ9tEvOrmHTsGvd66nLc&#10;YuDLI8U0x4/GJMb+ZeeL/aS6duO3lZF4HuHrSMY+YNwn9iHidVbV1SRRPfvz6j6IWGdxTOuJz4H+&#10;PW4/M35ed8/idci2/XAAWILE4Krg02TCXPjA6zsAMSGV7S9iJyEGdxHLU9fZsIBXF0jjuT3ZgE5q&#10;n6yMk6auXmKQ17/rOmVxn7pEGduG1WsZ8fh120fi+bLyxWuUMVnF+17W/mLHI3up5D+XkSZlriJ2&#10;FuL+se3Hf8fORd09jueT6phqu6qXagAAkyLGoCaTrJGm+SbGed8PiMeQTYnH9bE2DupN5aK6wdU4&#10;+9YRjznNevf47aWOUUXb7SOx/1SXl5tckz+mfT5OHzPm8qxfCwDjM604L/Tvqs8jTcsSx6B+HBMX&#10;VcW44/HbWdniNcW84j/LYqFnlLodd/u6fDCJuQkR4/ck8kjTuB9zS5arY/nq6qUN/rhSxPFjVqZs&#10;EWeTZ2SS1zKN++apO77/TDa9lnjPYzma1KMnmy9hnA8we8RnWzmsLW3jnhFzkvTE+Kh/x9gS81jc&#10;p64s04rZsa8T+0pNjhPLpn0M1UNd3DaqjpMR20TZcY14LbKOqu1HOZ4R6z3eT18Xdl2xHuO9ivUH&#10;AEce476fjXGtLq5GJh27xr2emCfqcudC4MsjxTTHj8Ykxv7Z+eK8vMpWN5by28tIPI+IfbFYzriP&#10;bx/ZeC/O7UyLeG/tvHGBWdl8h4jPpf49bj8zft7kWY99l1HekwDAEkMBXYHdP/wxcWcBNQYpvzAn&#10;fmZJLSOeywd3lU1JLJYvdjSEP44FzLpAGs8diYnHq6SblWNSVNWLiEHeylLVKatLHJF4/SpTFfH4&#10;VWZ1F88Xy6ekFBNV1qnJOi6RmKTVCcvw28hIVRuJZs9RLGusY38/1eZixzlOmsXyxHaTPe+mfq7z&#10;ZeUEAJgE2W/g6Gdtifkmxk4dM+bR2AeI8TJ+XkU8dsxX8XOv8k2MzZ5x9i1joeo9w28v68rfdvtI&#10;3b2JNLkmf8xJ9DFj28v6MgAwPtOM8/HYbWONzNAYyW/jJ+XiZ2XjF+G3sxgT94+xx3+WxUJP0+vx&#10;jLt9VT6IMXnUuQlRd+8jTfJIHMPJLA/7cVpZOWP5ymzT3o14DBH7ELHdxWuzum/yjEzyWsa9b231&#10;x8+O1XRMHesptp8m9Rjx28uqZwcAFgfFUv+cVuX0Mvz+Mptnzchilid+bsf185P+5yLuUxerxo3Z&#10;MVY2Gf+LuuOIeJwqlfOUBzPicXTuKuryQSRei6yjavt4/kn2m/3ndtxxxtMAcOQQY5O37v1sFifL&#10;zI4zjdg1zvVU7RttOhYZl3heMc3xo4j3YNSxfzyfjuPH47LJ3LnfXkbieezeqO1kPxdxH9+HiO06&#10;tsFp4ssc30vH6ymru1j+SfQz4+d6DuuIz2pZewOAZUYMsN6yl3RxnxjgFBD952XJPAaeOsvKU9bZ&#10;qAqkdR0UEfeP6jqbJMa2xLL5pCfKkkBM+j4h1iWOSLzHKlMV8fhVZueO56tTdV828RA7L3GFtzo4&#10;VZ8bfhsZaVPmeA9F9nLE4zsS1rmLz5avgyZtWu011k+0rm0AAIxClidGoU2+kYp5MVe3zXGeGGtj&#10;zFRcjrE6qgmBLIeNs28Z06r3JnXmt5dZLvS03T5Sd28iTa4pHtMYtY8Z215Wxro2UNZvAYAh04zz&#10;TZ5jT9M47M8bJ28V9/3+0k+aevw2/rrjJKXf3/+8rq6aXo9n3O2r8kG8H6POTYi6ex9pkkdEXPzg&#10;J+5F/EWp+LkRy1dlW8r2j+3G90Hib+Fb3Td5RiZ5LePet7b644/yPBixnmL7aVKPEb+9rHp2AGBx&#10;aBuzMvz+sumzXhez4udWtknON087ZmfjfxGPE2OuiGWrUv2LsnFZPI7OXYXqwG+flc2T1UkdVdu3&#10;Pb8nXmu8n/FzY9x3NgBwZDDq+9k2uSPLQ9OKXaNeT4zTVdblnEkRz2tMa/wo4naxrpqO/evqU9fQ&#10;ZO497heJ57F7o3L5n6tdGGX7iNiu1eYi8d13tGyuoYp4Xt1HTzynvx5PPI7d53H6mU3qJBKf1XhM&#10;AFimKLCXLZApm2T3Sc0HJyMmtrLfdouBp8yqQaYo62zEa9NxjLJ9IjpvTOLesoH2OMSyKah7qpJA&#10;TJhWb3WJIxKPozJVEY9fZdYRiecrU/eiruyxYxkTsL+f8WWTxx9DRpqWWZY9S7GTZvc6dgLsPsbO&#10;hX8u/M/Lnjmh56Ku813WaQEAGJUsT4xC03yj+K5Ylg1g2+Y4T8zRZTlJPy/rX0nF/7LB9Tj7RqZV&#10;703qzG8vLceV0Xb7SNN7YzS5pnhMY9Q+Zmx7WRn955lVOR4AesRnrUnMMupiSZPn2NMkDse+f9YX&#10;j4uq4iSk4bfx1x3L4SdC/c/r6qrJ9UTG3b4qH0xqbkLU3ftIkzwi4oR3LGccm5XNL8TylZnVQx3x&#10;GEYcf/qxvB/L+nM2eUYmeS3j3re2+uOP8jwYsZ5i+2lSjxG/vax6dgBgcWgbszL8/rLps14Xs+Ln&#10;vmwxJo063zytmF01/hfxODHmili2Jmblj8fRuauIdZuVzZPVSR1V27c9vydea6yP+Lkx6ngaAI48&#10;Rnk/2zR3yOxd5TRj1yjXE+N0lWXvISdNPK8xrfGj8PWWjRObjv3j+dR/8PdV+vmSMvz2MhLP4/sD&#10;sb1Y/6Vqn9iudYxIPG5U19mWOF8R25jaq/+87Byx/P4+x+tu2s9sUieRWEfxmACwjInBRmaT8CIG&#10;tywxxAl9mQ1I64KzmXUCPPE4nnhtlkCq9snQfvElhJkl33GIZbMyG1VJIHbKdCxRtU9GrDc7Thnx&#10;+HXbR7I2WGbWSfUoWfrtfQJu8rLJ8NvJSCxzXZ1mlB0jvjSx5ydemz1/8bkse0Hm0TF1vrIOeF09&#10;AwC0IeYJOcogPTtOmWUxPsbeNnk85ui62K9Y6gf83qocJMbZ15hWvTfJ8357qWNU0Xb7SNt70+Sa&#10;4jE9sR1Zedvsk/Wjy+652aTuAY50phnn47Hj55EYa2QkTtza5J8njg/85LvHbxPjhb82jZFsjFG1&#10;T6TJ9UTG3b4sH0xybkLU3ftIkzwidD6/nfTzG348VtVWY/nK6mUU/HGlEevY2l1V3Td5RiZ5LdO6&#10;b0bV8eOxZNN+VqynWI4m9Rjx20vfzgBgNogxpem4zuP3l03n77KY5Ymf+7ijXDaJ+eaqmJqRlbnM&#10;qrqMx4kxV8SyaR+PYmr2biDG/brjRGK8z8rmyeqkjqrt4/kn2W+On3viea2eqvYBgCMXxYim72dj&#10;nKyLq5GFiF1trieeM8bacSkrh/TvVj1xO2Na48eq/Y2mY//sfHFORtq9LSNuH4nn8ceLbdSuuc0+&#10;2ZyQ6sVvk9kW3/8rm4fycxoym9Mqu2Yxaj8zft7kWY/PapN36QCwTMgmaH2g9TQJqJnZ4DwGHjun&#10;EpcGsf4zBcOyicWqzkZZIK3apwqVQUHf7yvL6msUyurFiEE+JoEsadbtE4nHsHorIx6/bvtIPJ+V&#10;T/cv64xkCdXj77m0Omzyssnw28lIWZnbEOtNnU/h27/vAMdn1Tog8braTnxnddz2HgIAVNGmr1FF&#10;Vb5RTI/xPxsgazu/jWxKPH6blw9xX9mEcfZdiHovw28v687bdvuIyuT3r8vLTa4pHtMzSh8z5tuy&#10;iQRP7G9k5QSAuUwzzrcdA8RYIyPZ+LKJ2fjYfx7jRSyLld3/rC7GNLmeyLjbl+WDSc5NiBi/J5FH&#10;jPiSwY7dZGLfiOUrq5dR8MeVntg+1e5i3fu22OQZmeS1TPO+iarjj9PPim0iLuRoUo8e3QO/vQSA&#10;2SPGz7oYlBHjcl18MOJYpG4BQTxujEvavm6fyCRjdtPxv6g6jhHLpn0y4kvfeA1Nj2PEes3K5onX&#10;Iuuo2n6a/eZYF55RxtMAAE3ezzaJ+VUsZOxqcj0xT9TlzrbEskczqraZxvgx7t/UbOxfdr5YD8r3&#10;ut9l+G1lJJ4n9gf8+dSmdK6qfeLcgawqn4jPgmxD1kdoYvZLCrEs8T5n1163T/zcnscqYj9OxwCA&#10;IwgfAKqCQAwWTVUSjMQEE88ZPy8LZnG7SAykShx1+1ShJFM3+B2HunqJQT6eO3bKNNFat08k1llZ&#10;3Rvx+HXbR+L5Yvni59ZBKCN2kGxCxHfGdIwq/P4yUlfmpvhjWJl8OWPnIXYoVQ9+Ml1tcxSyRXEA&#10;AJPE5yZZNlldRV2+iZ9L/cyTDSCbLCTOXjQ22c/IzhvLVsY4+06j3pvkGr+99JMdGXH7ptdnxP5T&#10;XV6O15T1XeIxI7EvoPtUtU92H+vqJZ4jKycAzCV71vSzOprE+fhMZhN9nrr4mZ2zqVk895/XxTUb&#10;e9Tt44nXI+sYd/uyfDDJuQkR4/ck8ogRJ5KtDHHcWtVOY/nK6mUU/HGlJ44TVS++bxHrMz4jWT1O&#10;8lqmed9E3fFjP0v11YTYfuN+TerRE+9TWTsHgMUlm3ure5kZiQtq9e8m+F++zfaL8THGnUnMN086&#10;ZsfPpX4WqTuOiGXLjiNifI7Hisep+yW6eLy2fUtZR9X20+w3x7qIxGvX/nX7AAAoH8W+tM8nTWJ+&#10;FQsdu+quJ57PfzYJYr/Ca3MGkbidZxrjx0mO/cvOl+W1qjn0uG0knif2K2I7Vb3V7RPHnnV9jFH6&#10;DJ7Yd2xj7N/GssT7PEo/M35e96xnfZ5YTgBY5sQgEAOtGHU1sBlf+MVOQjxnDGYyHkPUdTZiIFUQ&#10;H6eDIuL+cfJyHNrWS0wCIiZOJUb/72wfT9xfZaoilqlu+0g8XyxfvIeyKtnHxKYOU+zQ1E0w+G1l&#10;pK7MTcnut/93vM54Xj2XvkNYd11lxPOqvgEAJkkcRCnOtB10NMk3Ma5mcTHmlCaxM5Zfsbctfn8Z&#10;J4yrGHXfSdR7NimQ9cmMUXKK317qGG2I970uL4/SliKj9DHjJE7dC6yY97NyAsB8phXn47iqLhfE&#10;Zzg+83FBVBuzc/vPs3gRY1+8nroYE/eXdYy7fZYPJj03IWL8nkQe8cQ2qTL4nFDXlmL5snoZFX9c&#10;6cn6AN44FxLbfFaPk7yWad+3uuPHF0h191HE507GNtmkHg31R3xbqtseABaPLKa2fV6zRXVZXvNk&#10;543zjTE+ZuWKsSnGs7prmUbMjsfM+nyjHKcsN8U6iH272J+s64PG89a9Y4jXIuuo235a/eZ4bZFR&#10;xtMAAKIqdjaJ+VUsRuyqup6Yd+py50LgyyM9kx4/TnrsX3W++Jks6w/E7SLxWNlx/H1XHq3bJ8u9&#10;VXP8o/QZDB037tvGhehnxmPWPetx7F63PQAsQ3wQkFlwjsFWiaiKugm5mOSzc8ZtVIZI3CYjThZo&#10;Zbj/t0dBUZYlEv08Xpsvu+rFOkT6b3ZdVdTVi/7tP88SRyxjvN5sH09MPHWJIZapbvtIPF9WvriN&#10;rq+KeI/atl+/rYw0KXMTYtuM9z922GJdxyQeOxpCiybUFquuOSsHAMAkifFLZnndUC7T536bJvkm&#10;O0+MpdkChKoFZnEAJmO8VZytygVxsbY0xtm3jknUu4h5NU78e2Iuq9rW8NtLlbsN8Zx1eblJW4rH&#10;zGjTxxRZW6q6H7G/kZUTAOYzjTgvssndOKFrKJ7auLBs2xhbtU8Z2bljrPSflcULP36IMasuxmQ5&#10;pY5xt8/ygeKm32bcuQkRY/4k8ognljn+u+q3z0UsX1Yvo+KPKyOxnXjbvGAwJnkt075vdcdX2/Of&#10;y7KYIGxs7rfP+gFN6lFYv81vq+NXxRIAWFxiXNEzW9VHUdzSNhZv9Xz7/WXVeEvbxziezanG+JjF&#10;HR3L59S2883TiNlxGxlzU5PjxLJpn4y6a8j6lGX3Nyt7VVsQ2T511G0/rX5zrKuMtuNpAFj+KKfJ&#10;sv5szEXSx+wmMb+KSceuca9HecZ/Vpc7FwJfHhmZ5Phx0mP/uvNlfabs3vltZCSex99TQ7nWbxPP&#10;HffJ5oS0T1nbis+CbErM9XXzFfE+xeculiXWu4jPQqyPuE88ZtWzHp9Zmd0TAFjmNAkEcdKuLMga&#10;cTClQOaJHYvsnNkAK563SQdFxETo9djxdL0KsH4AqP+P54vXFQN/FtirqKuXGOTLjp/VnVlXJn3u&#10;t1eZqohlqts+Es+XlS9L9lWdn2wwb+re1hH3iTQpcxNip8cb25aRbWvGDqXw90f3RvVmz5H+q85A&#10;fL6ziQwAgHHRBICPNdLikqE4phhkedvnlKb5Jub8OGhT7Itxz/K+j6OK0THeSw3IIvaZzq3y++Po&#10;+mKZ/MvPcfZtwrj1LvRZPIaOW9dPkrEvkzHKPp543rq83KQtxWOWEe+PNyO7H2pT8d5n9ZmVEwDm&#10;M404b8TxnozHzWK3zu/Hsjq3/7zqnEacEIz5wH9WFi9UTr+dty7GxNgp6xh3+ywfxHvr6zWjbm5C&#10;xHg7iTziUZvw20d9Ps2I5WubJ6vwx5WRbPJYZtccn6esHid5LdO+b02OH7eRejb9PbV+VhaXfOww&#10;6urRjpf1QXS/AGB2iflfZn0UxSvf5/CxMsYIqVjkx3fKjfp37DtIv50R42MW70Q2LjTL9jGmFbNj&#10;LIzj/ybHiWXz9S10b7JxXBbDsz6g6s36K/pvNhdbdn2eeC2yjrrtVZ4sP8U22bbfHOu0jCyXmQBw&#10;5GGxw+KQ71Pr/2NsiWO7prmjjEnHrnGvJ8Zd/Xux8eWRkUmOH2N+GnfsX3c+3RP/uYz9ChG3icTz&#10;xH6Fkc0vmdk+Wd2qjvRz37aUv2NdyKbEPk/Wd/Rk8x2xX+s/i/VutOln1j3r1heOz5jU9QHAEUgM&#10;BjHQxiDUJFhkicMH5BiEyhJC7FjEoBePU0ZVIPVkg9sq/TWJWJ6ywF5GXb00TRyirFNWVyZ97rdX&#10;maqIZaozdiDi+crKFzsHVeXK2p8ZXxxlxH0iscx1VnUYYqfOLCtnbCNm2QREVV1k0hkAgGmhgUg2&#10;IV+lj4Ux35TlgZjzFWfjgDkbqDVR5c8G32WxPFP52R9jnH2bMG69G2X5p8q6PocR9yvrF5YRy1Z3&#10;3iZtKR6zjKZ9TEP3Y5S6lORogOaMGudlVd9dz3CbuG3GuBbHNk0WscTJT5XD4z/L4poRz91kH5GN&#10;++oYd/tYb9OYmxAxLk8ij0TK2k2cpM9omzfa9BXivhFNZMdtpO5FJI6Ts3qc5LVM+741Ob7qZ5SY&#10;oH1iOzRiPTa1bA4BAGaLqvFDmf6lomg7vjOz2C1ifKyKp6PON08rZsf6VHz1uaPJcWLZmlhW/ni+&#10;JsYyl5Edu44m2096fkTEOi2j6nkAgCOPcd/Pto3B8V3lpGPXuNfTdlxQNZcxKeI5I5MaP8Y6nsTY&#10;v+p8RraQTO3KEz+PxPPE/Y2yupJl+2Tla6L6Gk2IZWq6n7bz+/k5rvhcZvVuNO1ntn3Wzaq+CwAs&#10;c2JAiIE2Ju0scWXEwOU7F7FjURbcY+KIwbdpB0VkkwVx8lnJsSzgerVNVuZYnrYdkLp6iUG+KnGU&#10;DWbr7l+sc5WpilimOuPx4vnKrik7T+wgesruY9U+RtwnEstcZ9V9KusUl92nsnPHzrunaSdJ29EZ&#10;AIBpohhT9iI+qnzhY1LMA2X5SftUDcKMpjnfVLnLYqRidjxnpsocX2aMs29Txql3Qz9rOpGj62na&#10;XxRx/9j/qUNl9vtX5V3RpC3FY1bRpI8ZURmb3HfvQkxsASwn9Ky3ifNexQDFsSzuKn80fRGt82fj&#10;j/j8N4nvcWJS+rjgf57FNUPHyeJP3WKabDxWx7jbx3wwjbkJMY08EinLw00WQ8by1RnrrYq4b0bW&#10;3rO+QhyrZvU4yWuZ9n1renzVRZvr0rZV8xKxHutU+6aPALC00DPbpI9SNa5qOtcn6+JEjI9V8VTH&#10;8duadTl5WjFbMTj2a6pewmbHaRPDda66squOsr5Wps6d5dSMeC2yjqbbT3J+RMQ6rWKU8TQALE+a&#10;xiJto5gYyeJklTEnTDp2jXs9bccFdflpEsRzZkxi/DiNsX/V+QyVMx4j3lf/mYzE82T31ijrz1XN&#10;ETXtR3rjHEgZ8Rcx6+aJjDjfoTZgxOcyq3ejaT+z7bPepP8GAMscHzj1/zEx+U5A9nkZMXAqgRk+&#10;OCoQlU0GxuQTt/XH8cfPyDofZQFQwVXHi+fWz/RZWR34RK9921JXL/q3fm6fVyVSEZOpylT3skXH&#10;tHPIuoRX9kKlzJh4VZ/+86qOTZtOUGx/MnZwy/D3PbuPZUm5TG1fRjZJonOWtTHVty+fbV/2DBna&#10;T3UfO/Vqs/p53f4AAJOkKiYp72T5zedAWZWf2gzeFIf1eRys61wqn/oKdblTKG7rvNrHl1MxWsev&#10;ygXj7NuGUeo9ovuQHcPqS9dRlsPK8Pldx2mbk+L9ruofiCZtST+zzyfZx/SonlRWHT+2P6n6VDm0&#10;Tds6BYAhZXFez62N77Jn0CyLKU2Om6Hn2ceguhjj0bb+XIp/ho9D/ucZKpsvg/6/Lteo3P4c+v86&#10;2m7vry/LBz736HhNY2PME7HOp5FHInGcLXUNTfoYyrt+vzrb5Ax/j8raotqGL7vKkxG3y+pxktcy&#10;7fs2yvGzPpLUz/RZk76W6jHu79U12PHqnlsAmG0UVxR7fSy2Z1wxqC6eK4doO23v45u0MV5d7BI+&#10;Puq/dbEqxvIm+WyaMTse22/b5Dh1uUn72z1pkreF7l12f6XdmyY5waNj+mPp/+tou73yisoW+7dW&#10;B03nR3QM27esf2HoHsU64qU1wJFNWX7Uz/RZWX5UfPIxv07Ff8+0Yteo11M3LoguxNjAX0NZHakc&#10;/j7EejbidqoLQznHfq5z1vWJjNgn8GXU8f1n/nyeOHbX+X3u83Wg/4/489SVXZ/5a5X6dxMsZ8f9&#10;pfK4rr1N30WoDdsxVAdN+yqxzvT/xjT6mU2eddWL6qfqGQMAgJYoiPtguxCdDwAAAAAAABgPTY75&#10;yW8vL+QAAAAAAAAAAAAAAOCIxa/C1ssUAAAAAAAAWDrol5r8b/uyIA4AAAAAAAAAAAAAAI5Y9PWc&#10;9sKk7itQAQAAAAAAYHbRn1TQn5fQ+E5/YgIAAAAAAAAAAAAAAOCIw/6mtf5mtf4eN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JVvFXaC7ytsQtz3/y3cXFjFk4VV5/lU&#10;oT9mVOe4vlDbvb5wVHQcf8z/q7CMlYV+e13D/1FYhra3beU7C8v4n4W6Fl2T30e2uc57CuP+Xqs3&#10;3Z+qsvv7o/8vw5dXx9Z1RFTuLxf6Y0q7rqzOVT6/bV178m2wrBwenVP3Q2Xw91SqDlXeunMKtV2/&#10;b1THUtmaHGuUegIAmBTKWYpBPo8oPjaNYcop2k7bxzimf+vnirtVuUeoDP78dfHc8OfU/4+Kzydm&#10;k/6QYnTMJ1GL502vSUyqXmOfJNPyX5vyiaZ1pnLG7ZqqshlVbcT3S6Suuwm6L34/O2aT++ot6+uR&#10;4wFg2igPxBij+NUkDmb76t9V+UCf+fgYx6pN4qeNlZrksbbMWn1kZHlReaEJTfpLsf6r+nPxfun/&#10;I9YfidupzGX3sGm/TvvqGDGPq951ziZ9UQAAqGacvJPtq3FMFT4HND1P07FlJOZhnTsSr0H9kKr+&#10;Rxwjan/PqLnL9zH0/2UoN6sMfo5G2ri9SV8DAGCxiTEsqjioOKpYP8rcWNO8keWxpuoaItnxmua6&#10;KpQ7/DGzXBKvWfmvbrzkc4+vH5872+rH1nX32avy16HrUa6Lx7XxZ1V7WU5z4E3aQ0TXP2rdGepj&#10;xLahfav6Tb6s2rdqWwCARUHBzwc2H7SakO0rqwZmfruso6Cf+W3qVEIfZSAYg3pVQsmSXdWEupKO&#10;3zY7tpJCdtwyVS9VySrbp0zVWVnCj9tmKHH6bVSXvmy6tib3MWtn8dhZp8Ljt5VVbSEeu8q6dtWm&#10;naoDktX3OPUEADAuiktxgJRZlTOUC2M+LVPbxYlkT4yHTXO730eOwjj9IZUz27fMupcHYpL12ib3&#10;ySblE23qrG0ZokZVG4l9qiaTLMLvI23Q3va+xv4KOR4AFoo4UWo2iYNlsU6xyeJhJO4T41/b+CmV&#10;e8rO15ZZq48M/1LC22RSvkl/Kc5H6HxlxG11fEPlKSurN6vbJuXUvVLd+u0yq/o5AABQzyTzjlmV&#10;7+I+dUxyPO7zmJEdv+w9QLatz2Hj5K64TUZcjFdmk3sHALCYZLGrSsVvxeAmLMacpDFOTq0iljPL&#10;s/5zbzbWMvx2Pkf6n7fVly37vMwsRxvKm03yq6lxbKTtvZ7lOfAm7cFQ22vyjsesmn8pK3/VvYv7&#10;VLVHAIBFoSo4lw0MPdl+MktGht8uC6L6md+mqU3K64kvTqvKnCXiqmQZO0WxI6cE1Sa5m9qnrGOV&#10;bV+ljpUlvbhdJE40yFj3sW6rjLRJ9MJvK7Nkq+ts0yHwlrWrtu00q+9x6gkAYBza5qEsX8cXqE0t&#10;y7cxrjYdPPl95CiM0x/K8mKdVcecdL1WXVuZdblXtKkzTWpk2zVR+duoaiM6p/9Mlg3ujfibg/6F&#10;ftv7Gl94kOMBYKGoGpfUvVCoinVluSruE3PGKHlRKt7Xxe0mzFp9RKrOUTUnYTTpL2UT9ln5s+3s&#10;eLoXTRbDSZUpUldO9UX951U26ZcAAEDOpPOOqRxRRtynjjZjy0i8viwniTjOLit/3M4fb9zcFbeJ&#10;tBk3Z/kfAGCWyGJXnVXvPz1t8sak5iTFuDm1inhNTfKIWXVuv53PaW3eC0T9l8Vkn5fp510NjTvb&#10;zKF6472uahdlZvUcWYz21qQ9CJ3fb9fUsvmXqmstm0+J+9BHAYCZw09wxgSYJaeI3z5aFhz9Ntkg&#10;NQ6aY/DUvxVgs4TdJtDGRFE2EC4b7MbOkKEk4reLx9Xn2tdvo2vRNfk603njIFyWlTNu59Fxs0SW&#10;LeqL23iySfHY2co6heoEWHJVWVT3al+67kgsp/5dhd9WZm0gq0f9zHeurY6ydpW15ap2qu2z3+jz&#10;dTVuPQEAjIriS4x1+rdijsUg/Vf/tpgf83XMobaNHxDHY3j180hd/i/D7yNHwZcx1k1dfyjG81hX&#10;qpNYB2V9iGnUa11e1bFjv0RaWyhjnDoz/D6y7p5XtRGVN5Yjqw9P7B/47evuaxVxX0mOB4BpoHji&#10;Y02Mg4o9VWTxylScz4j7xLxSFz9VZuWeGNOzbdsyi/UR8bknlq9JTqjKhZ6Y47Lyx218/cf+g8rm&#10;+yMaS6s+1YfI8n5dOePnOo4fn2t7jalV7rr7BgAA5Uw673jLxltxnzrGGVvGPOxzmSf2EWQsf7aN&#10;z1/j5i6/r/Rk41ndO5VJ6HPlYf1M2/nzAgDMIj6eSY9immJmHI9IxTibPytjnLxh+H2kj/dljJtT&#10;q6ibvxX+86jli4jfpixHGrEMddsLv71si+5XPIbOqxzt24Hynn7m57BjHdXV4VKaA6+7FqE6ieVR&#10;WWPdlc2/qD1H4nm92fYi7tPkWQIAWDAULH2QUpCMwbMuEfhtY0AtC45+myyhxuOUBU8leJ+IpP7d&#10;lGyQm12v6iVuZ2bbK7n4beKis5gcVOdVg9js/PpZJG6TERdpZfXvP5ee2DlR5yESr6+sHZQR99e/&#10;q/Dbythe9O+4TVZ/RtaJyK6hSTuN9eXb57j1BAAwKjF+KeaVDZqFcocf3Cn3NYmThraPg80sXzfN&#10;/xG/j2zLuP2hmGey3Br7BjIyrXptkld1LL+NrKr/SfQhhd9e1t3zujai+vKf101KVJW5yX0tgxwP&#10;AAuFXrb6eBPzTTZe82Sxzv87GzfFfWJeaRM/Y7yUVWO1OmaxPiI+9yg/xDGjylxFXS401LeLec6X&#10;vy73N7n2KurK6T+TVX1RAAAYnUnmHeVRf7yyefiYA6pYiPG4EefFY/nr5s39Z7Jt7or7e+J1lNUt&#10;AMBSwcc0WUaMf7JqHm2x5iTFuDm1ijg2zsaV/vOYa8vqzG9TlSNFLEPd9sJvL9sQx++yyS9D6V4p&#10;T8b6blKHdePgyGK1tybXEtuA+mlVZVEb8dvL2JfJ2oD/d9b3ifs0eZYAABaMOMhToIwBsW7S02+r&#10;oBdfzGbB0X+eJdQYYNskI9mm06GkWbdvliTMbPtYr3GbmCyzRBbJElvEfy4zVJd+m6z+/efSUFvw&#10;P9d1NEl+qo82xP3r6sdvK2N7iZ3S7JojsQwydiSatFPde7+NNMatJwCAUVDc9rFHth2kxMGq8kHd&#10;wC/mHxnzY5v87/H7yLaM2x+K15blmez6I9Oq16Z5tU39T6IPKfz2su6e15WxKu9G4rZx8Vys2+y+&#10;lkGOB4CFwo+/bYwYx7jZmM2IsS7GxuxlbNwn5pW28TOO17KxblNmsT488Xj6dxxnK59W0SZfx3zk&#10;70X8LJ43nkdlbUNdOf1nsq7PAwAA7Zl03tH/x7FgNu6LOaCKhRiPGzp2nJe3/JR9FvsM/jPZNnfF&#10;/T3xOsbpDwEAzAI+pskqsoVRZTF2seYkJ5FTq4jjs2xcGT/341+ZjXX951U5UlSNH8vw28s2xLw7&#10;7vxpkzoUsZ9Sde8Xq73VXUu2NqLumFlfJ9Z5PG9s91kbj/vUlQMAYEHxgc9eAsbgVjf48tsq6DXp&#10;APjPs4TaJhmJOIHeptMRE1eWcP0EeuxgZNvH8vuOW6zf+HkZTfaLn2eoLv02Wf37z6VQR6pswiAS&#10;k5/2U3JuStxf/67Cbyt9uVRH8XPVZR1N9mvSTmN9S2PcegIAGIUYe7IXu3U0yYUZdfu1zf+G30e2&#10;Zdz+UIz1WW6Nx4uLr8S06rVpXm1T/5PoQwq/vay7503KGPsrZXlf9eS3i5MXTe5rGeR4AFgI4gSo&#10;/SZ1jG9V+STGOv27bnI37hPzStv4mU3kVi1aK2NW68Pj5y6UG0Q29qyaI2iTr3WcmBdt+/jzWOfx&#10;PMrrVeWK1JXTfybbzOMAAEAzJp139P/KF37fbE4h5oAqfD6a1njcE8dqtn1cjJHlJf952TZVxP09&#10;8TpkkxfsAACzSoxpdcTxSVkMHDdvGH57WTWuEpPIqVXE/JSNK+PnqiP/s7rcNWqOrMJvL5sS75nq&#10;dNS6M5rUoYj9lKp7v1jtre5a4jxHkzKIuv3ieUXdLxnGfequDQBgwYgB23cuYsejajLab2cBuS44&#10;+s+yhNomGYmY9JsGfhHrIZYnDvKbnMt/Ho8XE0N2/RmxHDLWS/w8I07mNxncC12n/1lMvp5Yp6bO&#10;VdWWjFhHVecSflvp60X/Hz9vSmzHsRxN2mlsL9IYt54AAEYhxq6ql8Jl+P1lXZ42Yg6KObBJXM3w&#10;+8g2TKI/FHNNvC6dIx4ruzb/edk2GXX12iSvZv2MsuudRJ0ZfltZd81N2kisD/07I+b5OOlSd1+r&#10;IMcDwEIQJzItvsSFYdmLaiPGOv075oS4f9wn5pVR4meMyYqjbZnV+jDiyxKfn/zLFelza6RJLvTE&#10;foDOG8epWa6M9SmV53W8Ji8q6soZ5xik6rbq2gEAoDnTyDuW03Wsqv1jDihjIcbjEdVLduzYF8nO&#10;N27uivt64v0ydT11uR4AYBaJ8ayOmFuyOevFmpOcVE6tIo7bsnFl9nld/vKf1eXIWIa67YXfXjYl&#10;3m9fp6PSpA5VP34bWdZWFnMOvO5aYl8ru9YMXYPfT3rieUXcJ96ruA/9FgCYGWKy8ROa8TP7zeoM&#10;v50Fwbrg6D/LEmoM5HXBU5/77WVTssGmJ16Lto+DX193sSx1SSrWTRV+PxnrJX7uUTLOJrSzJB23&#10;icnMVsFXEa/Tq/2r7mk8X1v9seOx4suLKuo6FE3aadwm1t049QQAMApxsFaV4zMUl/z+sm7AZ8SY&#10;rBjoaRJXM/w+sg2T6A9ldVKm8lB2XdOs1/h5zGca3MfJk6r+ySTqzPDbyrp73qSNxMkKtflIXByR&#10;9W3a3Fc/IWKQ4wFg2vjYHX9RK8Z1xb2MGOssnsV47uNc3Cfmlfh5zEsZMWbGYzZhVuvD0D5+O+Ur&#10;I36W5SWjSS70KE/H/l88RtbnyPYz9XPVSVVfpa6csd68ul+qR9/HAACAdkwj7yg+C8V/v7/93Ig5&#10;oIxJjC1jPtG561COifv4f+vcGePmrrhPJJbLq76N738AAMw6MY7VkcXmyCTyhuG3lVXjqknl1Cri&#10;9evfEf+55ap4/pjD/Gd1ObLJPYj47auM5Yq5dxI5rq4Ol9IceN21+M9k0/rL+jKeeF4b88d683MB&#10;cZ+6awMAWBAUtP3EZkzQ8UViHNR6/HY+OVYFR//zLKHGRFgXPOsCeB1xgZs/n09qNqkeF5b5zk9d&#10;4I/XFpNYFX4/GY8dP6+zLEFm23rrErtQG4v1GlW7yyYJYh221ddLPFbW3sqou1dV7VQvWHR9/vO4&#10;jRinngAARiHGmBiX6tD28RhNqYvJVXG1Cr+PbMqk+kNZnZRpL5BjXJ9mvbbNq8pLZXlnUnVm+G1l&#10;3T1v2kZ8GaXvq4mqvpzR5r7GPoJQXZHjAWBaxBgVx2gxzpVN8sbjWDyretFdto8RP495KSPG9yyu&#10;VjHL9WH4a1Se8igX+GNIP4fiaZoLPSqT38dbVhdC49qYU6NNrldm5Ywvb6I6d5ajAQCgnmnlHcPP&#10;mUs/z1y2j2dSY8uYh3XuOuK5o2V1IcbJXXHbjFivUY0xyxb2AwDMEjF+1RHHLDGeTypvGH5bWTWu&#10;mlROrSJefzbO8p/7+tG1+s/8+f3P63Jk3T3I8NtXGY/l61TG+s/q1av7EOs5lr/OWZ4Dr2sP/jNZ&#10;dzwj9pukJ57Xjhv7P34eoWwfAIBFJQYuP2A1fKCXZQMtv41PaDGoagLa8D/PEmpdIozUBfA64uS4&#10;Tyy+I2HXEBOdvzZf9tgxEvHaYhKrwu8nY73Ez8tU4q4aOMftY/1kHY0ydH2xLXmzDkdMnm319RKP&#10;lbW3MuruVfy8zqoXDaPUEwDAKMT4UpdjI+Pk3LqYHONq07L5fWRTJtUfyuqkTh3Xx/Vp1mv8vEz1&#10;eWKui0yyDyn8drLunjdtI/ElQszBvn+n8ma0ua9ZPRjkeACYBjHOxfGZYq//vGms83kg5g97uVu1&#10;j4ifx7yUEeN7XT6KzHJ9CJXHb5ONDTVO99uU/SLaKP2lOJnvrRvba99Yv9HsepqWU/cmbhutyrMA&#10;ADCfaeYdI+YWjWuMsn08kxpbjtLvEDGvm1ldRUbNXXGbMtTHiIsbvKqXrC4AAGaJGLvqiHE5xvNJ&#10;5Q3DbyfLxiuTzKlVxOvPxpX+c18/MRe2eR/vqbsHGX77KmO9xTwa6z9eU2as57LcHl0Kc+B17cF/&#10;JuuOZ2T16onn9ceN98zms6v2AQBYNGJyzl7CKTn5bXwC9fhtYnL0wVGJwc5TtY+oS4SRGMB1rjbE&#10;/a1MsaNjE966Dv9zP+D3CVD1HInX1mSQbfj9ZKyX+HmZdS9e4/baNg7Cs/tWhToLOq8/hhnroC7R&#10;R/y20tdLPJauoynxXsVyxM+rLHt+Im3qCQBgFGJsyQZzVcScKetepBoxJsdcEuNqzHNl+H1kUybV&#10;HyrrRxg6ruo5DpJ9XJ9mvcbPq6xrD5PsQwq/nay7503bSPzlBd83bDKRJerua1vI8QAwSXxO8eNR&#10;TxzD2XjWE2OdH/MoxvvzWBys2keMEj9jfG/7AmGW60Poevw22bmVJ/w2ZdcR60rnb0LWH2iTf3T9&#10;OkasRzP2IdqWU/lZ5fF17G3aLwIAgOnmHU/MLRbrq/YxFmo8XkbM62abfNM2d8XP69C1xXoy28xx&#10;AwAsBjFu1RFzSny/ulhzkpPMqVXE69e/I/7zmO987lVesvqp2icSy9Akp/rtZVN8eWWsV5Xff54Z&#10;6yiWv8o4fo0s9hx4XXvwn8m66zFiv0l64nl9OeO+VqaqfQAAFoUmSSSzbJDlt4nJsSw4+p9lCTUm&#10;wrrgGTsbTZJ0xO+vzoKIx/WDWHVo/GeqV63+9j/LJvGVEP02Tcsajy2bDqq1byxvVYfMbydFvJey&#10;7UsKoeNkkwSemDyt3ZTht5W+vagTFT9vSixn7FDEdhrV57rfbSZSjCb1BAAwCjEf1MXYSNaPqMvT&#10;RhxIatDoaZv/Db+PbMIk+0Mqp9+mLLfHfoU0plmvZXlV54yTOjKb2BGTrDMjblt3zW3aSMyjtm2T&#10;iSzR9L62RcclxwPAOGRjnCbG/CBirIv9gphDtH3dPqPEz7jISsdoyqzXh4j9r6ZmY8lR+0vj9DUi&#10;Wf8h3udxyhlfLMisXgEAIGeaecejmO3HNpYLqvYRkxxbxjwc81EVo87TR5rmrvh5U3Rfsns6ah4H&#10;AFgIYsyqI8ZRH0MnmTeMuG1ZTJ1kTq0ijjWz8Y//POasmA9tf/+zujwXy9AkL/rtZVPifHbVYjJD&#10;5fH7xDoqq0O1n6U2B152Lcao73hiPcQyx/PGcvp7oD6g6qpuHwCABSd7GdvULDn4z7PkGIOjaLOP&#10;rAueoyTOSDynFpH5QXFMCnHArLqJiSTr8MRtrE7qiPct289/Lj1KSn6CQpYlSL+NNGKHVMdr26kT&#10;2eI+f49j8qxL5H5b6Y+VnUs/q0PXVbdf23balrp6AgAYhZgzNXhqS8wnym1NUC6t2m/UuOr3kU2Y&#10;ZH9I5fSfZ30bw28n/TVOq17r8mr8XOVQvyEy6T6kiNvV3fM2bST21ax/6CcMdK1ltLmvbSHHA8A4&#10;ZC9cmxrje4x1MUfEcaT6EXX7tI2fWUzM8lAZs14f2diyqdncxqj9JeH3a7tvJM5tSM845RSxzzrJ&#10;PAwAsJyZdt6JxPGk8nrdPos1Ho/Eso+ba+pyl/9MtkF9kDj2j30OAIBZwscrWUecF/XxfrHmJCed&#10;U6uIOSmL8f7zLGf5/GtznnX7eEbJi3572ZQ4nozv4DP89clYR3V1GD9XHWVzD7MwB153LbHPoX83&#10;Ic6fxP3ieWM5Y79L97FuHwCABWfU1exSgTLiP8+SYwyOMZFk+8SkVhU8J/VCMQZsBXFfV/Ha43Wp&#10;c+MTSVnyzsqrOqkjDnjr7oWMxGssK6PfRhpx8l826RBl+GNI1YsRy6l/V+G3lfH+xzJndRfx91Jm&#10;ddWmnY6KP7709QQAMArZgK5t/IoDriYD1uy8cVH1qHHV7yObMMn+UOwTVOVGv530cX1a9VqXV7P8&#10;nvVNJt2HFHG7uns+Th9R9Rknsqr6BG3u6yj4Y0tyPAA0QTE7xo82xvgeY1029op5JOaeuE/b+Bnz&#10;X5t4uxTqQ3MF/vM2Tnoc6vdru28k1pW9cDHGKaeI9dx0gh8A4Ehn2nknEseTGmPV7bNY4/FIzDVt&#10;9s2oy13+M9mWWK/xl+EAAGYJH69kFXFxlPKK8ouxWHOSk86pVcQcEseVwn+e5ayYE+NYtS7PjZIX&#10;/fayKdliw7q8FvNgrKO6OlxKc+B11xKfGRnfCUSyOo/XH8+bldPfB7XzJvsAACwYMdgpqFcRk2Xs&#10;hAj/eVly9BPcMZFk+8SkVhY8dT1NjteE+NI0liFLiv5zlUOB3/5d9YI1lln7xXr16Fh+e5kltrhN&#10;pGmy959Lj1a3x89jJ0XniMnZE+taeuoSfcRvK2N7yTqtVS+dY7uXWT01badljFtPAACjkOUC5aWq&#10;PKQ47wfxTXKBR/EsnjPLk6PGVb+PrGPS/SGV039e1heJ20nPtOq1SV6N28RJm2n0IYXfRtbd87Zt&#10;xPfNZOxTlf3Wnmh6XzN0veR4AJgGMb5qrFNFjHsxlsVYl8UuxW8fT+N4Nu7TJn5mk7h1sd2zFOoj&#10;5qKqPlfMtzLWR9tc6PH7Ve1rfYyqPBnvXazLqnJqX9WbzlNGXChZlVcBAGDItPNORswJMTd6Fms8&#10;nqHc0nTfSeQu/5n0aF9Zdr9i/0O26QMAACw0Pl7JMhTL4vymj5+LOSc56ZxaRcxJ2fjHf16Ws9q+&#10;j/e0yYuG3162IY7Ppe5fGSqP3zbWUZM6jNvoHnsWs7156q5F5/CfS937MrR9bA/x2kU8b1bOOK8d&#10;j9um3QMATJw4OK2bLM4CakxG/rOy5Jh1BMxsn5jUYvBUsFVQjp0kWTUorSM7nqlriMRyequStq4n&#10;bq/Eo318otR2cSAty+5b3C4jdjCyZO4/l5FYJtWbrx/7uV2T/0wT6rETqTJ56hJ9xG8rY3tRncZ7&#10;q3/ruL5s1q78drKsw1PXTuuw/UatJwCAUYn9ARnzkP6rWORjnSfLgYpTPg8rrumYWQz2Mc8YNa76&#10;fWQdk+4Pxbyu64hk9ZDF9WnUa5O8qv38NtK/BJ9GH1LEberueds2onL67b2qryqa3NcybB9yPABM&#10;mjgW87E6Q5/77aWPSTHWlY29FMv8dt64T138zPoYZtUEbsas14fyt/+sbjJdxMnkmCPa5kKP369q&#10;X18POp/qzfcR1S+I/ZCY56vKqTqyn+v6/Ge6H1n+9vcJAAByFiLvlBHHOF7PYozHy/D5qG7fSeSu&#10;+LnH6ln5VefycwD6/3gfVN8AALOMj1kyojiqeBq3U3yzsYdYrDnJaeTUKmJO0r8j/vOynKXc47fz&#10;1uXINnnR8NvLNuheZf0HjfP9GFTo33HbWEdN6jCrHz+PMCtz4E2uJW4jdc/89ah8+ndsm9JvZ8Rj&#10;lpUze3bNumsDAJgqMVn4gVUZcYI5TlD7z6qSY1lwzPbRz7Jt68ySTBvitZplA8ws2Zg+UWdkg+Qm&#10;VnWg4rYZWbKPySl+HtEx4uS3v4/xsypj51Y0SfQev63Mkq0Se9yuieoklN3L2E7bJvlx6wkAYByq&#10;Bi2ZMRdmuaCJ2qes/9Em//tjZJ9n6txi0v0hxX//WRNVliyuT6Nem+bV2CZ8bp90nRn+c1mXS9vm&#10;XpXTb++t6lOJtvfVT5C0uYfkeABoShzLWV6rI8YkTfAaMdZVjb1iLijbZ5S8KKvGXhlLoT5ibvXn&#10;KiNOwMfrGrW/JOLnZXm0Kn9mZjm+KmfHa6yzSb0BAMDC5J0yNC/vt/N6FnM8HvOVcrb/3I+BI5PI&#10;XXEbT7zGOpvUGwDAYpLFrjqVg2J8W6w5yWnk1CpiTsrGov7zqpwVy95kH9EmLxp++zqzRYW6n2Vj&#10;6zrjPWlShyLWj7/OxWpvkabXki10a2LZeop43rJyxvkYb921AQBMDQVtH5AU1JuQDWb9JLX/eVVy&#10;LHvBq8QT0XHidlVq+yZJqY6ygW1WRlE24M6SeobqNquTTG1XlvCMuE8ZsX5jcvafyYysriyBNr0u&#10;lUPtItI00Rt+W1mWbNt2rHTfq17IxHpsm+THrScAgHFRfG0ShxQ7szyrGBljYZXatipftzmWj7nZ&#10;52VOoz9U1h8os64eJl2vTfNqdh067jTqzIif1+XSWC9Ncm9Z7q+qMzHKfTXI8QAwDeIYrGycGomT&#10;vX68GmNd1dir7JeMFPM8beNnk7FuxlKoj5gLmsR8beP3kf43t9v0EWKerPvc0/SX+LRdNm6uytlN&#10;+zqqv/iSAwAAylmIvFNF9lLWjx+nMbZs0+/QtXjiWDl+7plE7orbelQ3ZWNXr7apyt8AALNCFsOq&#10;zN7HLeac5DRyahUxJ2VjUf95Vc5SOWL5Zd2YuU1eNPz2TczQvYnj9Dp1ffGeNKlDkfUd1NYWs71F&#10;ml6LaPMFPLqmqjYZz1tVzrLzNnlWAACmQgzwTScVFbTjYExJwfCf1R1TScEnYf1/FnjrgrfOqUSs&#10;wOzLMi4K0vFaVcaqgB8HwtreT4DXofrV9lqUFs+tf+vnqteYPDP8/vr/MnQ9/j7EbZseJ6569wlZ&#10;5VW5VT/xXOrYVCXc2Hmoq09fDp2rrk3o3CpDnKTRvtaumiRs30Frct6MceoJAGASVMUhxdcmOU3x&#10;T7k75kSpn+mzukGeaDN48zE3m3TP1PVNoz9UNsngVRnbxvVJ1WubvBpzu7adRp0ZbXP4KLlX5bV9&#10;TNVfHU3uq1f3w0OOB4BJ4ycmFVea5ACh7Xwc0v8biqP2WZNjxlytmBbHTk3ip2KjYqHyjOLlKMx6&#10;fei6/HmU85oS87HPvfGcVcY86fOy/r+u7nUtOl/si6hfo59X5eEmOVv1q+1iX07n0zXHtgUAAOVM&#10;K+/4eF53TMV6n2ukny9W3Pef+fNUoWuLx7W80qTfYcbyx7Fyk/KMk7tiHs5QmVROv62uTz8bp98E&#10;ALDQ1M3X6nPFtqrYOY28Yejc9lkcr0wrp1YRc5L+HfHXVHdc7e+vQf9fNxep+vb7KN/VUXefvdq2&#10;CrUDXZdyarx/Kpd+rnFo2XU0qUMj3idtu1jtLaPNtQhfd/4eStW77mXdMYQ/r66pqt+hz3Q+fy79&#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fq67a/aq/+7udr7766l2vkV/84o1HfelLN62Vxb/P/OIXb7ik541XfOlLN181&#10;9MZr5NVX37hFFtvvTtzf0nnHsOP3ztE7Z89eOVSunr1yqsyy2HetrkXqunSNutb+ZQMAACxprrlm&#10;zavk3/3dpld/9asnv0Z+5Ssb18qvfnXTmfLvv7rxEvmVr2y64mtf23SV+ZWvbb5GfvVrm7bIr3x1&#10;8+55fm3T/lYmx7Djd8/RP6cclKMol1QZrcwq/999bdNRpq5L16hr7V86AADAkuPAgY++quvB97/6&#10;uec+9Br5zM8+uFY+ffBDZ3b92Ycu6Xrwg1c8d/Dyq8xnX7j8mq4HL98in3nhQ7vnefDy/a1MjmHH&#10;72rnLLRyqFxdB+XslVvXUOxzlNR16Rp1rf1LBwAAWNJ0OgdeJX/724Ov/v3vn3vNK68cPOqV3/1s&#10;rfz97w+e+d///bNLzFd+f/CK//3KwavkK6+8cI35hz8c3NL1v1/YPcdXDu5vbTyGHbuvP2+3HEWZ&#10;TJVRZZbda9C19NX1SV1r/9IBAAAg4X++cc2r5B+98bhXy9e+ceVr5P/9xuOOet0xK9aarz1m5Zny&#10;dcccf4n52qNXXNFz5VXe1x294hpv8bMt47li93znbpOcc06Zin36Ze055zr619a7vt716vpN1YfV&#10;j1R99asPAABgNLTYSwu/ZG8xWG+B2HDx2mCR2f6rr77xQPGzw8X/d45cbzzcq4feQjy/4M4W2fmF&#10;dbaorl/dAAAAE8EWtvkFbbaQbbB4TQvM+gvPvvq1zQe+8tVNh4v/do5U+9d/wBbi2YI7W2RnC+wG&#10;C+v+btOrZb/KAQAARsYWts1Z0NZfIGaL17oLzPoLz4p/H3j24IcOF//tHLH2rv+ALcTzC+4Gi+zc&#10;wjpbVNevcgAAgIkwZ1GbW8xmC9gGC9b6C89e+e+Dh+UfXnmhc6TarYNXXjgwWIjXX3BnC+1sgV1c&#10;VNevcgAAgEXDFqxli9X8IjVb/OUWhXUXkxXb7ZfFtgdk8f+He67s4CTs1aer3/2q955zF+z17tHc&#10;hXm6h7LYr3QhHovw4IgmW5XKQwGzhLVJtc+TNp//P8489/JNF13y2UvfedEnPnP2hVd8/cJLr9x6&#10;wSVXPnrhpZ99+rx3ferlC/78078558JPdOQZ536k66lvf2/XDadd3Fm18dxaj19/xshmx5M6d6aV&#10;zbQyS7sO86JLrxx46fv+Zo7vv/zvu37kimvm+IlP/fvAK//qe3O86gvbBw4Xx7W3v5husJDOL6LT&#10;Ajq5XBfQWfu0Nmpax9I6l76DaVonpddRGf42QZWxo1OmP/bwHPN/M0FaOa3sdj39S4QpYnXdvQ/F&#10;Per/uBHaz983u3f9jwFmAmvjap8nnHTCG95x/ppNF79n3aUXvWfN1Rdftm7rn79v/c3ves+6R//8&#10;veuevujda38jz7t4Xees84ee9o41nZNP77lm86paV5w0utnx7NxRlSvqy63r8BbXO/CyD5008PKP&#10;Dr3ikxvm+Om/Onng57+wcY5f/NKmgXGRXEsP+IV09k11tohOixOX6zfSWfu0NmpaXpSWK33+lsPc&#10;mufhzIXK4f3Lgylj7aZ7H4p71P9xKf4+2b3ifsGsYe1SbXTTmSe94RNXnrnpK18/59IvfeMdV3/5&#10;62dv/cq/nHvzl75+9qN//4/nPH31P7zjN393zTmdz33prM7HP3vmwPdfcVrnoved2vXtF26sddNZ&#10;J41sdjw7d6bK5vXl1nV4dW3mP3/7/Dl+b9uFXXfecvEcb7vr3QP3/fi9c3zsqQ8MHCyOG83uYjpb&#10;SOcX0dk30y3nBXTWRq2dSsuFpuXILG/3cmqef6M+b7fN3f7cVp5uvuiX0coudS39y4MpY+2mey+K&#10;+9T/cS3cM1gKWGy87IOX/Y8PfPTjKz/3t1dtuvrvr/7wv3zrn67+l//nH7d+6/vfvLn4/0f//bv/&#10;+vQ//ds1v/nmt/+585VvfKXz11/8QtePffpTXS/78Ic777zk0ka+9ZzzRjY7ns6daWXzWrmlrsOr&#10;azOv3fG9gbfcumPg3ffumeOjj9098NnnHprj4cM/HZgtlGtqdzGdW0hn31Rni+i0OHG5LqCz9il9&#10;PLW8KH2+9Hl0bn7N83C0aQ73xx6eY37+llZOnwtk/xJhyqiuVf92f/o/bkVV+5P+ftt5vFl7mYTx&#10;PL4cpi+nvwba4fLF7q1vq9ZGeu3GYt1wAVvx7+4CqmKb7sK14r8sWsMK2y/A87mz2GdOzPLxidg0&#10;e9g9Me1eeS3WVOlzU1Oz45hZOfpFnizNguH8lakyPhz+ARk+JPNXqsbOZnGsNNmXVYi/Yf3LgEUg&#10;PjT+fun++fvau8/9e99tCz5J91aYyz960wkP/vFb1jz2J8eufvGP33zib/74zat/l7dJnLavP27d&#10;wGNWnTLHpgsBswWA60+96L/XbD7/F+tOufDptZvPe+LEDe/Yf9y60/cec+IpO+Ubjlv/HR9HpmGv&#10;zXktlvUs2mw3xpmKe2bx734n8kjqSM7PAb266tWfq9d5HaNi29IOUT+ULFssPuq6VQ+9+NeNfVu6&#10;dThoT8O6blMvveP6+5Q5997Z/euef9Dmh89CeE5a5XC7z/5++3vu773ZvxRYYPw9sPti90vq/tl9&#10;lb373CSHr3zwf71l5c/+5NiVRQ5f8Zu8TeJC+IbjTxh4zKoT5zjOQsD1b1396w1vW33wpLeufnrd&#10;qaufWLVx1f4V60/Ye8zqE3YetXLltT6GTMNee/NaHBtatNk0hxf/38/dc+Pu8nduHij+f+wc3g8l&#10;yxrFx7nx0HJ4nFjs1bP+3d+1lN4+8f5E59+v7vkGbXzY/sOzUZqz7X6axfHm5W2fA+w+S58v+pcB&#10;i4C/D3Zv7H7ZPbT7OrzP1Xlb7eqP31KMvY894Wd/fOzK//rTY1eStxfRo1etGnjCprVzHGch4AXv&#10;2fzfF3/g1JfPf/fmp8/5801PnH7ehv2nnn3Sj07ctHanfNOqVYy9Z9Isbw9zQL9e58T8YttBjPex&#10;3WJ5P5wsa3SdFhdVD70YWJ679f/9XStRHc69P2UuzLhb2j22+2xajrD7bvYvBRYBfx90X/z9snto&#10;93V4ry2HD/N3r60M4+Yfv+XEB19//JqDf3rsql+//vjVv83bJC6Eb1q9YeCaU06f4zgLAS9+3/t/&#10;/Z7LLz94yQc+8PRFl733iXdcdPH+U9/xzr1rTz19p3zD8au/6WPJNFS8mqvFs2Fb9BbtlxzuckG3&#10;Trp1NTf2F/8/iPk+1hfbH/E5XHXQq4u5OVz16utZ9dnftRW94/n7tZxt1i8Jz/y8/ojuh1nsn/ZB&#10;Yt+jX91HBHbNVgdWJ6of1Zcc1t/8/N67D8N4Wmzn4md2XxGXqr12rTbeb+cuJlk/I+bK+TEpxiVZ&#10;HCcdJ/k4ZdqzGrVnuYnZ/jKeS/qy+HLOLX/vunrxQddq1z4cBwzjRS9myOI43TqUxXF8vO/HkKUb&#10;R1Qv/TA7ObITLW2HN9o3gH4jGDaOfoMZOnzgvL6xuUY3aIzzHT6cC2tWlp5J+d01zq0HX0eDuhrW&#10;35J+gBBxVu3F6268cfHYxawilvVine/wFNvPmyiQvnPST3Uj4Ts4vgOj88phOfxgphdH+9fTOl7q&#10;XP3T19IrS36cpeuRmMOzcgwNZQ/XOLcefB0N6mpYf+RwRJywcycyerFoGH+L/xZxbBjvZi2HD/O3&#10;xeJBHB0hVta/VM/3W8o2y9lSdTvXmM+OhHG3nFsP8+ppWH+Dus3rHhFxVPPc7eJWEc+GMc9yd7Ht&#10;vBegMXf3093IzGLuFipHvv9SdphnrD2Yxc+GecnlrJ4xr/X0uW9uWypz2MYW1qwsPZPyh+ucWxe+&#10;nrp1Nay/Qd3mdY+IOKq9mN2NOS4mu7hVxLNevLP8LYvt0xxueXfhc3gv5rpY2jpeat/+qVvRq7/8&#10;mDg9//gtJ/7qT45d9V9/tnL9i30PvWXtpqfl6s1nPGFuOP2cB+Xms85/VJ514aX75TkXX/aw988/&#10;8Bf7RjEeR9q5zLWnvv2Alee49ac8Z+VUmaWuQ+qasmvF9r5hxdrfdT1+ze+PXX/Kr48/6dTfrthw&#10;2u/lxjPP/f3ms877gzz17As6xT2bqjqHuWrzGXM8ZtWGgdl1IOIkPf6SfuqeDOqg5CdCRERc7vqJ&#10;ymi2/fTVhEE/RdfSm1jIj4OIiLh8zfK2N9tn2la/VNfLgXw/RETEI8EsX3uzfaZvP01XwrgbERGP&#10;bLO87c32ma4siEOcjrYw7S1rN/9q1ebTX15z6pm/2HzW+YfOufi9XS/5wEcOXnb5x17+6Kc/9/OP&#10;X/n5X/711X9/+B/+6V9/I7/zg+s6cueNN3du++GdXffd/2DXJ558auDzB18Y+J//+Z/LRrsmu067&#10;dqsLqbqRVlf/+M1vdb36q9/o+pmrru76kU9e2fXSD3503oI9W6D3xpXr/qB7ld1HxKXvhBfELc/f&#10;ckMc/rnP+Cc+6/6cZ+apb39vY7P9/Tmj/k+OSv9nSaVdR3aNiLj8bLMgrvfbdflxEJey8U99xj/r&#10;mf0pzzJPe0dzs/39nxD1+j83avo/SyrtOrJrRMTlZz89p/CLaLicjX/qM/5Zz+xPeZb5/itOa2y2&#10;v/8Tol7/50ZN/2dJpf+zpdl1IuLys5+mK2HcjcvZ+Kc+45/1zP6UZ5kf+/SnGpvt7/+EqNf/uVHT&#10;/1lS/ydLs2tExOXoiv39NN2K/FiIS1f7xjItkLJvUNMiKi2mssVVWmhlC6+0CCtbrLYcF6gdaer+&#10;PfrY488+8OBDu264ec+//j/f3/oXn/yrqy45YeNpby1i5py/dmXfJtpz+E3JvW8enfuNyFpILBdr&#10;ATQemapt9lP3ZMh+y+2Mcz/SufR9f9O56NIrO+dc+ImB+rnMFv9kC3xY1INlWntQ27D2orZj7Ult&#10;y9qb2qFUm5Tvv/zvOx+54pqun/jUv3e98q++1/WqL2zv+qUv3XREaNcrrQ6k1Yu0upKqO6/VqWl1&#10;HZ99//zHGGDavfP6uOC1ex71MaPObP+2xnKpzOtOueDXazaf/4vVG9956MSTz35+7ebznliz6dyH&#10;T9zwjv1rT7ngzhNOPntX1w1nf+u4dWf846qN77h6xfozPvvm1Zs//mcrN1wg1bmQiq+mfVW4qZei&#10;8avJvf0QPTLZMe2c0srhy2jllm07R8U+/T8ResLTf3TMyl9kzz32VOxT+7PnJH6ue9G/jbXo/sT9&#10;L/vQSZ2LL1vX9byLh551fs+4+KdskQ8LerBMaxNqH9ZebPGYtS1rb9YW1S4v/2jPKz65oeun/+rk&#10;rp//wsauX/zSpq5f/drmI0K7Xrt+0+pFWl1Jqz9TderNnvuq599r988bY4Np99xr8aKJ2f6jGMul&#10;Mq9/6+pfrz111S9WbVr1/ElvXf30ulNXP7F284kPrz919Z3yhJNXFTl81a5VG0/41qpNJ1wtV6w/&#10;ocjhK4scvvKCXt4bL4f3w/NYZMdtmsMtf8/P4XP/FFSew1cWOXwFObxEi31qf2pv+m/cpn8LU3TP&#10;4vYf/+yZnX/+9vmdv7vmnM7nvnTWQP1cZgt/sgU+2YKeeC48clV7sPZhbcbak9qWtTe1PbVFqXb5&#10;vW0XdnbecvHA2+56d9d9P35v57GnPjDw2RcuPyL016w6MK1epK8v1Z9Xdeq1uo7Pv48BMQ6Ydv+8&#10;PjZ47Z57fcyoM9t/FGO5VOZ3Xrr51/LtF208dMb5G58/5883PSFPP2/D/nMv2XznmRdu2nPaO0/e&#10;Vfz7W5vOWv+PZ16w4erNb1//2dWbV3983enrLnvLujWDsbf0edFypfQ5NMux/TA9Mtkx/Tl9WXwZ&#10;rdx53p6bu33elsV+3dzN2Ltay4lqg/acxG10v/q3spRs3P3Nb//zwK984ysD//qLX+iaLfzJFvhk&#10;i3riufDI1NqD2oa1F7Uda09qW9be1PasPV6743udW27d0bn73j1dH33s7oHPPvdQ5/Dhnw78wysv&#10;LHv99er6vb5urL6k6s+rOvVmz76ZxQCv3T+vjw1eu+9eHzPqzPYfxVgulfni973/1xe+57JfnHfJ&#10;ew6d/a4/f/6iy977xHmXXPrwOy66eP9F733/nW+/8OJd8ux3Xfyt0849/x/PufjPr37r2ed+du2p&#10;p3/85DPPuez4Daek8+fS502fT2OubRK/68iO6c/py2Lls3LLqhxeNfYmh9fr45/anP7ff6467N/G&#10;xuj++mNILRTy395kC4S89m1PUVtANKrZMWU8vy+ftG+Y8t8ylX3TVNm3TWXfOOW/dYo/Bzld4wI2&#10;afclW8Sme6t77dun2om1o2xhFGLmL3/5y92FWwqvKLzk8OHDRxW+uh8iWxFzZpYnm+fIfKxrFv9e&#10;tG8jXRztent/Jr1fB/rz4l179WT11tPVZ3cOoeewznvj2f6fLe/fF/mWdadccPKZ77zsovd+8NL3&#10;f/QTH/74lX/96Su/cPXffuNf/v3q72zZ+h153c5de4sYtP/GW2594uZb9x7cs/eHv4p5aVR9Pou5&#10;R+XuN7fJ0GucvqJXdhfUZItvJm22kMcv5mm7iKdqAU+2iMcWI8i4MMaMC2iyhTleW+hVZ6zzaLZP&#10;W3254nVIf52+LkxfV74eVbd+4ZTdB90bv/jK7qPdV7vfWVtAXJ7eePjqq288YBY/2993tyx+tsVb&#10;bH/NXG++qsovfvHGK6LZdrnxXDdeM7csvTI6rez7i8/dNd14eOj8OrAYbzE9xnEfu31s9jHYx9cs&#10;Xs6KFntVZl2D4qXFSIuJMQbqZ/E4ysv9FF1LrzMzd/9s4c00zBbzZAt5qhbx2AKebBHPWf0FPLJu&#10;8U5cGGP6xTMyW5xj2kKHJsY6z8z2a6MvW7wO6a8z1of09eXrUnXr693uhe6NX3xl99Hurd3vrC0g&#10;Lke/8tVNh4v/HjC/8rVN+7t+dfNu+dWvbdri/crXNl/j/drXNl1V5Ve+sumKaLZdZjyXnFOWfhkH&#10;WtkL51xTcY3960zrwGK8xfQYx328tngT46/F1yxOzpIWd1VmxVBdk2KkrtdiYYyBqoN4HE0G9VP0&#10;PLJxtxbQZAtvJm3dQp6yRTxlC3iqFu9kC3imsWjHFjnUGes8M9uvjbFs2bX4a/X1IWN9WT1a/Vq9&#10;232w+2P3zO6jtHtr9ztrD4jL0oMfOtz1hcsPyGcOXr6/6wsf2i2fPXj5ljm+cPk10ecOXn5VmU8f&#10;/OAVmdm2mfPOF8pj5exqZe9bbN+9psE19q5zXh34GG+x3cdzH78tVvu4rFhlcUyxLYuXs6TFX5Vb&#10;16Fr0jXqei0exjioeojHqcrdRu/lwdz9soU30zBbyJMt4hl1AY8t3ilbxDPKoh2/ICfTFnrVGes8&#10;M9uvjbFs8Vritfr6kL6ufD2qbq3Opd0Huz923/y9tPtr9zxrD4jL0Vf+++Dhrq+8cED+4ZWD+7v+&#10;9wu7u/7h4BZvsc013v/9ysGrqnzl9wevyMy2zYznm1MeK6NpZe9bbN+9psE1FmZ14OP8o/3Y7uO5&#10;j98Wq31c9rFXsS2Ll7Okymgx1uKnrtHiYhYDtY0/hhYI9NN0Y7Rowx9D6iV8tnAEh8YFfHGhni1m&#10;qFucly3QK1uk5xfqeW3R3jhmx5X+3FYmW6TmF6rZYjVp12nXrXqwevGL11jAhkvEA1owV/z3mv6i&#10;OXlmf+Hca0ZdPDcNbEGeX5RnC/PiQnbzdW5Be9QvEmtjdqx4XunL5cvrr6N/aY0p7ser+r66f3+O&#10;Ku7dWt2zwktk8e+rZPH/Wgi5u/j//X0P983awaI4f0Hcyqv6lzoZejdsbidAixf8C3tERMRZ0i+m&#10;LltsZwvuorYALzNb+Kvj+AW/Op+cxEJfHSPmYHWa+im6FnUK/L56me9f1iMiIs6afjF12WI76Rfv&#10;mrYIL/OsZOGvjqPjZot9x13o23ZBXDbu1st6/6IeERFxFq1bbGcL7jJtEV6mXwBs29vC37jo1xa4&#10;jbPYV8eNubjJy4f4i2hacBBf1CMiIs6atsDWL7SLi+38oumoLcLLzBYA28JfO4/OKSex2DcuiHvd&#10;MSsO99N0Y7QQYe4xWBCHiDiCWkilxXPdb5wr/v8aWfz/YBGd1AKtvt3FdIWtF30tdXTNTlu4Nli8&#10;Jvv11V3AVnhF8bPuIrZ+ncaFbAcKZ24x2yTUgmWfnye+IC77LbdxXu4jIiJiM8ddENf9Kly3r77Z&#10;Jntpj4iIiJNVC+18Dpb67b5+ip4HC+IQEREX12xBXFXuNuK4mwVxiIiIC6sW3vlcPMqCOH1Lz9xj&#10;rOx+k1f2Yh4REadud2Fd3/1a+NVXi8C6Fj/vLrbrawvF9I1ntviuSltk5s226+qP7xycv9jGymXl&#10;9AvVbLHasl2wNm31TZ1zcnQxBu+n78mQLYjLXtojIiLiZNUC9JiD9cK8n6Jrea3+PrzbV3+mLntp&#10;j4iIiJM1WxCn3zjvp+h5ZOPu7GU9IiIiTsdsQVxV7jbiuFt/5i17WY+IiIjTcRIL4vRL6HOPsbL7&#10;pyyzF/OIiIi4cMYFcRqD99P3ZJj/59ZOSV/aIyIi4mQdf0Hcit1+35NPX5O+tEdERMTJqj/B6nOw&#10;rHqpHv/c2gmb1qYv6xEREXE66k+w+lwsR1kQ985LLk1f1iMiIuJ0nL8gbmWnn6Ybk31rOwviEBER&#10;F99zLr5sTn6e+IK4+LXvx68/I31pj4iIiJM1WxCnb5Dpp+haioH8Ab/vae9gQRwiIuJC2HZBXBx3&#10;syAOERFxYc0WxOnPp/VTdSmvO2bFfr/Pxz79qfRlPSIiIk7Hb377n+fkb9lP043JvrU9eymPiIiI&#10;C+vUF8TF33JbtfHc9KU9IiIiTl6fg3uOviDurPPXpS/tERERcbJ++q9Odrm7Z9VL9Tju3nTWSenL&#10;ekRERJyOt9317jl5WzZZEBfH3X/9xS+kL+sRERFxOl6743tz8rf8n29c86p+qm5E/Nb2Y1ZtSF/K&#10;IyIi4sI6f0Hcit399D0Z4p9bY0EcIiLiwulzcM/mC+Jed8yKw37f8y5mQRwiIuJCOO6CuLdfuDF9&#10;WY+IiIjTcdQFcXHczYI4RETEhXUSC+Lit7av2nxG+lIeERERF9ZLP/jROTl+4gvi4te+n/r296Yv&#10;7BEREXHyvv64dTHRX9FP0bX4/eRlHzopfWmPiIiIk/XzX9g4Jwf3XLG2n6LnEcfd77/itPRlPSIi&#10;Ik7HfT9+r8vZZnnuNuI++rNt2ct6RETMPXz4p12ffe6hro8+dnfXu+/d0/WWW3cM1MInU/HW/Mo3&#10;vtJVi5Kj+lPW0cs+/OF5vvOSSydidmyZlUNaOe0aTLs2f81WD1Y3UnVldSdVl1k9L2dVJzEf/9Eb&#10;j3t1P1U3Iv6S2qlnX5C+lEdExP/sPH/whc4TTz7V2Xf/g11v++GdnZ033tz1Oz+4rvOP3/zWwKu/&#10;+o1SP3PV1ZV+5JNXVqqFUv7ftl88j5VFZTOtvFLl99p16RpNXXNWFzh9dW99jtY8ej99T4b4te9n&#10;nPuR9IU9IiIiTt5RF8Rp0O/3kyyIQ5ycX/zSpu43QF3+0ZM6F1+2rvsniU97x5rOms2rOitO6nnM&#10;qhM7bzj+hK7xeZT2mdS2UvvpGCefvqarjqlj6xsedR49xzrnFZ/c0D2/Ft1k5UPExbXtgrg47v74&#10;Z89MX9YjIiLidMwWxBX5+cx+qk7Jxt1asJC9rEdEXIr6xWp+oZpfnGYL0vwCNFsEZovE3nrOeV3X&#10;nHJ6502rNwyMMRQnr+pZ9S51D/yiPb8ozy/Es8V3ccFd1kZmwWksiNOfZ8teyiMiLlW1oCsuYPOL&#10;1/wCNS1AUhyUWiAs9c2Z+nPSPlYeqaoeVB9SdWN1pQV6fpGeX5znF+T5RXh+4R2L7nKnviCuOOCc&#10;r30/58JPpC/sx/GqL2wfeOVffa/rJz717wM/csU1Xd9/+d+nXvq+v0m96NIrS9V1tDE7RpVZeWK5&#10;7bq8/rqtLqSvo6wOERFxeXrMqlNckteCuJVX9VN0Ja9948rX+P2kFtFkL+0RsVotftMCNFv4pkVr&#10;ZYvcFlNbUOcX0/mFdCyiw1FU+5dqN1JtyFSbksovUu3MVLuTaoNSz46ptimtrWoR6Djacazdm3Y+&#10;K4M9D/ZM2HPhnw1da1YPbdVx4jNa9VKdBXGI0/Gxpz7QXeSiP4WYqc9MbSuz4yDi8lfPv8/FcpQF&#10;cXopn72sR0RcSONCNr+Izb55zBaw2cK1bNFajHGI0hbZqb34xXVxUZ19i920v7kuWxCnufF+um6E&#10;/vya318LGrKX8jg7auFI/JYqW+jj9d8CZdqiFG+2nYzHkyxgwVnQngG1R7VVtWMtuvIL2ljItnTN&#10;Ft35BXdtFtst9Tila/V1o3n0fvqeDP7g8qzzPjJYpGaL0WwRmBaO6Rvk9GdVN5x2cddVG8/tevz6&#10;M7rqxb6+7SZ+4w2OptWl6tW0ura6t3shdW+k7pOMi/7i4r24UM8v0MsWbiAiTktbFKwY5POQjHmo&#10;TIuBUR8no347O06MnT5+lsXQUWNnXBD3uqNXXNNP0ZX832887qg5+xXqhX/20n4paIsx/CIMvwDD&#10;L7wYZdGFfaPXuGbH9gs1TL9gQ2aLNvzCDb94Q9q120IO0+rHFnbY4o5JLfBY7qqeVI+qY90P3T8t&#10;MovP0jjO0kI6lUXt1tqktTtdv7UntaGsrnB2tWfex8wsXvo4qTag9m6xrO7bDY8Udf1l39xoz4rF&#10;You5/j7E41W9VI/bfu5LZ6Uv6xFxqC1g08K27227sPPP3z6/++zoTw5vOuukztGrVs15rkZRxzhh&#10;09qBOu7bL9zY9aL3nTpQ55RazKoymH93zTldVTapcu685eKBcWEeC/KOTK0tS2sL1jaktRe1H9Pa&#10;lLUxae1O7dC0tunbq7R2HFUbz/TPganno8psH68/vp0/ltPKX/Z8VT1bbZ8pbTs/Dhx/ST9Vp2S/&#10;iKYX/9nLekTEUfSL2rToR/oFbVqElC1mi7FpVv2Tt5zQ9fXHre561Mo1XY85YW3XY1evH7hy7Yau&#10;J560sevazad23XDqaV03v+30rqef/Y7OWeedO/D8iy/qevF7Lun6vg++b+DlH/lg5xN/+bGBf/XX&#10;nx74t1/6/MCvfv1LA//5X/+h8+3v/cscr9v+7c6um7YOvO326wf3K2rfrBe1+2qLyqQtWrR7bdoi&#10;RtPu/VJYzGiL6VRuv5DOL6KrW0D3y1/8tPP88w93nnryns6dd1zf+ea/fb1zzMoTu775hFWd405c&#10;01m7fu21J5207pqTNqzbsn7Dut1dT1q331t8fsBcu27tK4Ud85RTN3fe+c5zul767ksGXv7hD3X9&#10;1F9+sutVV32+61e+8vedf/6Xfxq4Y8f2rnv27O7cffePOg899OPOT3/6084LL7B4yi/i0YINLd6w&#10;b6iyhTxSiz6yb6ea5YU9Vj5bwJItYjnSFrLg6PrFbv758M9D1g6nbdbO40It38a99qyXac9CmaqL&#10;TL+NP54/t5XL6tG0sutZ9dq16TqXQvxpqt07u392vf4e2n30983fA4tTPlZNM16pLP4aWi+I+59v&#10;XPOq3kvz4y/Rt87oRbtWwnd908qH/cERM+OiPFuMFxeT+EUkcfGdLRrxC0ds8UjZApK/+Zvt8/zc&#10;574/xyuv/Fapn/rUPy2Y2fnNWGYZryu7/lnV7pm0hUtx8ZLuu1/AJG2hkbQ2Y20oLqwt07bz2jG8&#10;vk36dpm1zbioKbbPrA6mrW8bvt1k7cvM2qWZbS/9saU/b1auKmObsPZgbcHagN133Tu7r4ory3UR&#10;tcVO3359O1WdvHGldbBWdP9bJPq9+pNryt1Sv5Eulc/7qb1LtiBuVha2XPU3mzpXfvbkzif+8uTO&#10;+z98UtdL37++aAvrOme8c21x7Ws6qzatKuql9yckX3/c3OvAyWiLXVTHpi2GyRbz2eI9aQtpbAGV&#10;rFq4ZwtGvLZQxxZdSbUL+ZefObnz2b/e1Pn0lRu7fvyTGzsfveLkrh/68Mmd935gw8B3X7ah8+eX&#10;nDzwggs3dN553vrOO87tedoZ67qectrazkmb13bWnry2s/qkNZ3j167uHLt6VeeoFSd2/uz4Ezt/&#10;/Oa8nsr8k7cUg4cTT+ysXL+qs/FtazpnnLO2c/F71nfe/6H13bat67GFSdlz4I0LmKyObAGTtHq2&#10;e2D3SPdtIRYt6TzWJnR+u+cqm93PWYkxS1FrAxYbr/hE0c4/eFLn3e8rYuO713fe+a613Ta2+Yw1&#10;XVdvXN05ft2JXd+8umjDK0/s/OmxK7tm9w8XVj2TRxfPzLzPjl5xvRbF+RyunJ19u4xe7mcv62fF&#10;n/z0A50HHn5f17vufU9n995LOjt2vavr935wYdd/+ffzun71G+d0/eKXzh545WffPvCKT5wx8P0f&#10;PK3Uiy85ZSSzY5n+3F5fPtOX367Ja9dr129avaiOvKo3afUoVa8yq/PlqF8AZIt+bKGPLfDxi3ps&#10;sY4W0mixTXxulqP2kvgNRV9FHn3Cqq5vLq7/+LVrOitPWtt1zaZ1Xdefur7rW8/aMPDMc0/unH3h&#10;ps75l2zu+ueXndp53+WndS6/4m2dK/7y9K6fv/qsrt/453d2/bdvn9fZcePFXW/Ze+mcNprdy1nW&#10;2pnXFp01WXhmbdK3S1m3+MwWeFm7Na39mtl9x+loi/RsAZ5fdKf7p/vZ27Y39pavPfr4q5WztfAt&#10;G3tn424tWsle3o+iXvib9uLffPCB27qLAMybbtrS9dqt35zjv//7P8zxG1+/utIv/u1ftTY7jjeW&#10;wYxltWsw/fXpeqNWF6ob789+1tMWEtliItO+KStboGILUvyilGxBin0jkl+QYotSorZIpU5bxGKL&#10;RaLxuLaYxBaUSCunld0WmOgaF+qbmjBXdS6tHeqeWFuztmXt6JR3nNs5+sT1XWOMWWj/15tWdv64&#10;6IvI1x9b9EkK33jciV2PXqEFSKu7HneiFiEV/ZNVa7quXLOmc0LfVWvXdrWFRutOWtf1pA1Hjqef&#10;8dau5593dtd3v+firh/5i/d3PnPlxwb6uBrjpY+NPg5a7FOuyNqejPHQx0GLfT7mWZzzsU1xaDEW&#10;2uk5OG7dyZ0V6zb2F0Wu77YxtS21p6y+l4q24M4W2PmFdbagzi+myxYJzIJaAKGFELZwxxak2KIT&#10;W1hiC0qy+4zN9AtY/MIVW7RiC1ZsoYotUsnuGy6u9tzoPum5sWfGnpdJPyu2mEvHln7xk84rbRGZ&#10;X/Sk59ovzpzWgqelqN1DqTqye2laLLTnU1pclKp/W4xmMXI5xUlrc9KuzWKYadcvrU1au/SeevaF&#10;xTGH78Bee8yK37726BVXaDzeH5qX0x3Qhz/NstCqQ+071daxNv/suFWdNx6/pvOmE07qvPnEkzvH&#10;rt7UOW7NKZ0TTyoq7eQzO2s2vaOzbvM5nQ1vvbDrW896X1db6OL1i17MuCinrdl5orb4xmsLHkxb&#10;CGH6hSBeW3yW1eWRYmwzvr1oQOYHZX5wZtogzdRvjERtABcHcmVqgFelDf7amB3HXLXupDmu3bC5&#10;s2r9pq5rTn7rwPWbzuisPfltXddvPnPgyaee3Vm36ayuJ51yTlc9R6aeK3u2Ttzw9q7Hrzu964qi&#10;Xb5lzaldj117WueoEzYWbXJt1+x+HSnGRaG2wGn9qRd11p1yQWfj297VjVEb31Y888V/N72t5+bT&#10;i/+edl5X3ZeTT3171w2bT++6/uRTOutOOrlz0skbu/pJg2g2qGpiPI5NTthkhZm1TbX/FavXFfG5&#10;51uKAapi9lEr1nb+rPjvnx63pvPHb57stythvX90zMrf/dGbVv7mf725iJOFf9JXi3+OXdNz5brV&#10;Pdf3XLVhqBYL2aIh88Ri2+iKNas7x62a71tO7MVXxVzFZMVnxWuL31mZEWdZtVu1ZbVr9QsUE5vE&#10;3dNOW985/8INnYsv3tB53/s3dD5z5cbOl75cv0BuVG1RnV9M5xfS+UV02XVOSltoGRfQSVvgZ4v+&#10;/IJIlT+7rsVU90v+zd9uGizS/HhR7r+4YkPnA5dv6Lz3/Sd1LnnP+s5571rXOeeCdZ0zz13b9dQz&#10;13Q2v21tZ8OpRQw9uYihG4q8WcTNo0/QYobeIsw/VWx8c9GnbbkYcyG1uK3FGCqvyn3Uyp5vLu7x&#10;sWt6i0JXnby66N+s7pz8ttWd089Z213c7BfN2oJZv2g2LpS1BbJttf1t8a1fSCrtvFYWaYt61TbV&#10;Rv2zMe3no6nveNfGwWILLcKwRRptv+2mTluApYVZtphNi7ps0ZoWh2nhmBaWnXPuxs5pp29I4x1O&#10;V9W71D0w44K/sgV92QK+uHAvW7RnC/b8oj1rL/sfmruQyC8aKlvIZouC/GKgrO1PWi0YXn3Kus6q&#10;4rwnFP3bNacUY5uNa4ux7OrOm4u+7DFFOf5shf4Uun4Jo7dAfpbj8qypuuou2ityhPLEUSfo3hb1&#10;unp1501F/b6lqOfj1q/puqKof91/r18olhm3j1pbimZlRZyOK34df3bRe9/XXUTwkU98vOtH//IT&#10;nU9e+Zedv/jkxzof+8uPdz7+mU90PvKxj3TVNxO95/3v6Vx48YWds849u+sZZ57R2XjK5q4ad9gc&#10;jRnncLK8MQnjeaKxXLLJHJLp511tPtbP1/q5XJvftXlfPxfs5xpkvB9YrS2+8wvrtCDGf0uTLaip&#10;Wpzp9Qt0/IKc5aRf3GYLi7LFbbZ4cTEWEdkzYc+Kf0+iZ8zegdi7DT2vFnPsOc9iAy4d4wI8v/gu&#10;W3jXdtGdLbCzZyAurFMOvPQDH+yccd4FnRM2nto5/qTNaVudhGrr9l5QbVvtWm1a7Tmrm6VuXESn&#10;BXTf/d53Bt9GN4nFc00XuS3Wwg2/yCJbWBEXV5Qtsigz21f64+uctsBjseqhrb7O7Jp0vbqvS2VR&#10;nb5lUaqdSy0YHVU7hmnHzs7bxvj8TGuxW7yfdi9tUZstaFvohWz+HlldKzYpRpm26LeNfn8dz4z3&#10;cxL3cFb0bcmeSYvJFpfjYjsfq5ZinGrviv2lfya991voKw7nO85XHQq/+Ch2oKUNYn0n2jrSsTO9&#10;UB3q0047o+s7zr6oc9757+l60UUf6lxyycc677nsL7t+4IOf63z4w1/sesUVX53zrUnZtyNl3360&#10;EPpvZ5JWrr/89Lc6n/jkP3f96BX/UHSEvtx5/we+0Hn3ZZ/tvOuST3UueNcVnXMv+HDnHee9v+sZ&#10;Z7+nc9rbLxkswrGFUWtOPr2zYt0pnePWbOocWzwUWoR4zMp13UWJ0iYZTCYZEJeWNhFiZtvMslbu&#10;JnnIa5OtXj8h67W8Jf3P/b52XJuw9ZO2NlkrVTabrLUJW2Ln6Kre6vohNpkX7312f61vUqZN6JeZ&#10;7eP15zJVhlXr13TWbljT/aayjW9d2znplLWdk0/rufGta7raIhq58bSe60/pqW+FWru55wkbVg08&#10;bu2JXbU4Reqby+SfFfVj3yiibzSTWf1iT7UzPa9qV2pPum+6n1kfcxw3n9JbKKdFcvrWOy2UyxZj&#10;TVtbQOcXEWmx0EIunivTFtXZtxZm6psk5Ykbi3t1cs+V+mx9sV+hvj3Nno0VWsRbePzaIjYUamHw&#10;W1b11LcEyjfqWTmuiNmFerlveWepxW0rs8VLmxQui5eKkxan1N4V4yY1XlNbt4WhfnHohz48bPt/&#10;/fmN3QWHWRtdbO0Z8QtN/bPinxe1yYV+XrToQwtC7FtutPDIFtH9w7+8s/Pv3zu/8y//z3mdb/zz&#10;ud1vfPqHfzq3uziKBW5HjvYs+76L9Umsj2uxIPZpsz7srMVD++a0N3bjWxHbV6/pXoeuS9c6qXkn&#10;q0PfD7S4aXVp9Wl1qnKYvl5lNk6wema8cOSpxYTdRYX99qyFmWrT0tq3tXFpOd3ndbli7ZquJxbj&#10;Dbluo8Ya67uedtaGzjvO29g598JNnXe9+5Sul33grV31TYGf/tyZXfUtgV/+2jndvPHNb5/f+f51&#10;F3Z23HBx55bbLunccffcP+07ira/N/uGvrpv6bNcV/XNfH5B5ZG4SNJidp3ZvoiZf3psL39ZnlUO&#10;zHJmmbYgxxbiaPGNFt1osc1iLpzLvrXNFvXYt+35xW0L/Q1Z9qxaX8GP63Qv/Hhu0mM5xDrtW+8y&#10;s+1N61tbX1pt2PrNat9+DJI9F6OoY+n5sWdH51YZsvItN23x3BUf/1jnL674WOfzX/ibzuf/9oud&#10;z/3NFztXfv5vOld8+nOdD17xqTkLJ6a9aCJblGWLeGwhjxZ82OIPLQSxRVkLuahnVG0BS7aIpW4h&#10;S1zMYgtZsnpcLP39UxltIZa067H7+INtOzo33rKnc92O6zvf3fKDzo7rd3W2/OAHXf/t3/+986//&#10;9s3ugk59M6LUAk8t9FSbtT9TrDb8ttPf2jVr49PUcurmU0/pnLx5c2fzaad1Xb/plM6mt53RWbvp&#10;rZ21m0/rHLd2Y+cta07uHHXC+qLPNLmxh463/rSzOudd8t7O5R//dOeqq788qMcf3X3PYAFYE23R&#10;mNcvKvOLzWwBmhbamnaP6u5TVo+Lrcql8llZbUFx/GZOW1xs1+8X3Fk9Zs/8UnSScWo2Ft2tOGx/&#10;iWUO+tOotpE61eoIxA60TSDSga52UxEEo7YQr6nZMWR2vlnUOrE2OWwTxFUTw2pzNomXTQj7yWAm&#10;aZaOdr/s/vkBux+02+BDql1Y/DGt7agd+Zgkra359ha1/bx2zNgmY7uMbdO3z9g2szrA+Vq7iO3B&#10;6tu3Abtfuo+6x8s5D8XY6dupb6O+fcaYudTaZNYWfFzw7cC3gaz+cHzt+bJ2aG3Rx9Esdlrb9O3T&#10;t1NrqzGW+rZr7ddrbdlrbaapfl9/bDu/tbfY1mahndlCOVs0JD/5yd6iocVeMKSFQfo2rrLFQIu5&#10;eG45aO3X2queD99erc1au9XzaG13OcVKW0B3zrknDZ6F97zn5HmL6OyZmNWFdFKL6OKfsH3t0Sv2&#10;aBz+2qNXbin+f3fv29qb/5LapPUx07c7a3vW/iy+W/vzbdBcTu1wGlq+lTHfStVhzLf2zMssv+o+&#10;xXyqe2nxJLvns6a1QSu/b3/W9rK4d6S1tbK2k7Ub33bs2S1rP74NZW3Jtydvdi9n0dcfV1xLUN9g&#10;57VvCpTHr1/TObb4r/0ZWv1J2hP0X31WqAWX0tqmtU9ro9ZOra2adr982zWz+70UtG+stG+pjN9O&#10;6b+Z0n8jZdk3Udq3UMZvo2yj399/w6Wdy74JUwvEv/zVs7uL//TngvXngy9536ndPyesPzGsRYdH&#10;Hd9beHhU4Z8de8If/PPhn42s3eHi6+OV3S+LbVL30mKgtLhoucf0z3jbZ92e96h//puaHcefR+e2&#10;8lj5VFaLU9Kuz9qy1UtWf23VcXRsnUdlUfmyuNFELaKxb7DKFs1lfw7SFrTFPwPpv6kq/vnHxfrT&#10;j9Ym1Q6t/Vl7s/bl25Luf1ZPiEeaiisW6/ScWFyzeJY9b23UMSw3WNzU+caNaZPW5wUf/33cVzyx&#10;urG8Zzkxu/ZJGRe4adGELXCzhW22qG0pLGibZW0RS1y4YotWbMGKLVZZqEWOk7KsD2d9mNh/szwa&#10;tc/L1DHsmHYOO+dCPDNS57BrU5lUbj3L1hegHzD7apGdLbRrusjOf7udLUzUQrtJfTvhYhu/HfDu&#10;e+7p7Lz++q5aBPv1a67pfOnvvtz5689/vrtI++JLL+2cdc65XU/auLGzbuPJg7GNH99YrjMtX895&#10;Vo9ecU1/GdwQ/6dS9WBlNxJxVvWdP9MGi9ZZtQ5h9tDEB8c/PN6YRM2YPKOWlBfC7PxZmWV2jbEe&#10;fB1Z3fk6tXq2erd7QXKe2yZ9W4xt0Ora7oHdH7t/dm+tQ2adMuuQRa2DFh0kgQr99v6Y1gm0DpkZ&#10;256V3a7J2ou1E9rG4hnbo7VJa49VbdK3y6jfJmrHkRZDrD1YvMjKiojt1IIhv2goLhwytYDIFhG1&#10;1fY17Zg6h6lz2vlVFnnm23tu2ryus+ak4vlf34szFicURyzXxRzXNHcthjFX+hzp86LPjT42xpjo&#10;4yKxcTLaYjq1v6pnw9q0tXUtOrWFp6a+tc60hXd1+n3MN53Qa+fWRt5ywok/WL9+zZnrNqy5pOtJ&#10;a6446aT1VxXtYeuxJ+pZWd059sSeG087qfvtPvq2H//M2POStdNZ1J4d//x47VnyWmzwWh167ZmL&#10;2jMYzbbNjOeJZcnK7K/JX3NWJ0tdfz917f7+qP5U101iX/Yc49LV8pnXxiKTNDuPNysb4rRV27M2&#10;qjjnx9023o594ZhvYq6RVbkm5huZxew2xuNF4/m9vpz+Gvw12nX73Gw5w/KGqXozrS5Vrz6f+JxC&#10;DBhP1aO1W9W57ofule6h7m/WXurUfv7e233O7rdpn1nbsDajY/hnQt9W1/tmzcX7hSx7JlQeu04r&#10;t65F9Wjt1dppVveIOBn1jFkcUxwZN4ZF7Zn3uU3n8HnMjLEtattZzJBl8U7ntDyclWua6pxWjhjj&#10;fD62+GbfwCTjwpCyxSH2bVTZtzDZApFswcWRoC0qsYUltriku8CkX19l3+alOrZv8pL+27zkBRdd&#10;2Dn3/PM7p77t9O7ik9UbTh7kf2ubsT1aW8zaCs43xoz47NAvwDrtWxH9ojtbeGdanPWx1uvjQFPj&#10;Mez4/rxWFiublTW7jmmrfvbw2VtxuL8MbohfEMeDh4iIiIiIs6LGJxrQeG2yrU5NLjSx7OWanU9l&#10;YJyEs649G/YC0ybYbQLTT14ygXlkqXtt6t77lxnSXuBItRl7QWOLD2JcJCYiIi49LXYTw3Fc1Rfw&#10;C03Up8j6H0tN30+yl9bWR7K+ke8XWZ8oqyNEnF0thtl4Wc+7nv0sLixHbVzoY52NBW0MuBTiXFwg&#10;4heJxIUi0i8W8cYFH+OYHT+WQ/pySn8Ndl2LtaBkFNVOpNqNni3p56Ssv2DzD2p3ptqhzVFJtc2s&#10;3S629txYP0HST0CcLfXM2TOrtW/9ZXBDXnfMiv22gR7S7CCIiIiIiIiIuDzVRJ0mDzQnIONkZpzQ&#10;1KSfJv9sYjOb0JzVyczF0CZQbRLVtMlUqfqzSWI/uWqq3m2iVfoFazbpahOvNvnKBCwiIiIuhOqD&#10;qG+i/or6NOrnZH2iaZm9qPb9Kd9/8v0m+kuIaCoW2DjYxr02zl3omFZlWbyzcaPFOxbn4FLXcrTN&#10;cVjutjmQOGfVVNvPnhF7TkzmUxCXnnp2h7lyxf7+Mrghrz16xW7bQBtnB0FEREREREREHFWbUDRt&#10;UjPqJyKlTVB6/QSmN5vsbGJ2LDOeO5ZP+vLH68zqAhEREfFIUH0j67upz6VFGrbQxGuL/01b0CGt&#10;rxb7Ytbvys6LiDgtFXsUg3xss/gWY5wtUouWxbos3sVxZlYmRETEI1nlzMGCuKNXXNNfBjfEL4jT&#10;xtlBEBERERERERERERERERERERERERdbLSi39W6vPXrlVf1lcEOKH25hQRwiIiIiIiIiIiIiIiIi&#10;IiIiIiLOuvqm1coFcf/rTSu/Yxvoq1izgyAiIiIiIiIiIiIiIiIiIiIiIiIutkevOHG4IO6YlWf2&#10;l8EN+ZM3nzhYEKevk8sOgoiIiIiIiIiIiIiIiIiIiIiIiLjYvvG44YK41x2zYm1/GdyQ1x97wi7b&#10;QF8nlx0EERERERERERERERERERERERERcbF9w7EnDBbEvfaNK1/TXwY35M+OXXk9C+IQERERERER&#10;ERERERERERERERFx1v3jtwwXxP3RG497dX8Z3JA/O+6EPbbBm09gQRwiIiIiIiIiIiIiIiIiIiIi&#10;IiLOprbWTfaXwM3l6ONP3M+COERERERERERERERERERERERERJxl165bO1gM99pjVh7oL4Gby5tO&#10;OPFBFsQhIiIiIiIiIiIiIiIiIiIiIiLiLLtq7XBB3OuOWbG/vwRuLm85YfWjttExK1enB0JERERE&#10;RERERERERERERERERERcTE9Ys2awIO61R6/Y3V8CN5djT1j9tG109IoT0wMhIiIiIiIiIiIiIiIi&#10;IiIiIiIiLqbHrxouiHvd0Suu6S+Bm8uKVatfZEEcIiIiIiIiIiIiIiIiIiIiIiIizrJ+Qdxrj155&#10;VX8J3FxWrl79X7bRG49jQRwiIiIiIiIiIiIiIiIiIiIiIiLOnseduKrBgjj3d1VZEIeIiIiIiIiI&#10;iIiIiIiIiIiIiIiz6JtPGC6Ie90xx1/SXwI3ZM2aNa86gQVxiIiIiIiIiIiIiIiIiIiIiIiIOOMe&#10;veLEwVq31x6z8sz+Mrgha9aseTUL4hAREREREREREREREREREREREXHW9QviXnfMirX9ZXBD4oK4&#10;Nxx7QnogRERERERExFn285//XOd3v/tdx3j88cfT7aLaztD+Oo595o/Xlu9859vdY3z4I5e3Os6t&#10;t+4ZnF/qOHW89NJL3evwZW/if/zHf/SPMOTue+5utF1THnzwgcFxquo6U9fu6y4rm45fx/PPP9/d&#10;V/ci7m82OY6hMmXHaOrXv/EP89rEf/7nf1aWz8z21fWdd/656fZyx87t/S17ZY/bNmljOofun47l&#10;9x1FtdcqVBdN7lmZale6nzpGRD/TZ6rHbN8qVU+qA19+1aeej7J60bUY+v9sG6+u2dCxLY6YundZ&#10;/elnTZ9/HSOrGx0jto1x49ck26uOPSq6tngelU33098jYW2kbdtrUlc6l9pLvK/eUetc1+PJrjkz&#10;nk/ls8+axOysPZbhj+3Pqf+vqu+YC1SPVW0oxrTYLhERERERERFx6asvfKtcEHfyyWtew4I4RERE&#10;REREXOrGxQBa1JBtF40LQ/xCmXGwxVuxXHXERV9+gUwTtJDD71+mFh9kaNFB3DZbPNMUfx+q6vr/&#10;z95/P9l2VXff6Psn+If7661yvfVU3bp1b5V93+eVABssJKFwgnSOzlHOQgmRJITIOQmRMwZMcgQD&#10;JumxMQYMNtjGmGAwNgjZxmSDCY+JBgPz9nervzrfMxhzrrnW2rt7d/d3VH1qd6+ZxxxzzLnWGr07&#10;I449m9MxfcPYaoFLY8eY1dGLBpmo9ARt1Owh0w2JZaLex9oY9DgnwGSsYGytYBmCAJkxwZu99SII&#10;qCfoB0E6MWAoiqZlRDvE3Gh6y5/0BNyBmv1Bom2syn9NsdexdhqF9cNOop4zyXxhi7G6Qh+yoK6p&#10;OoftRekJkox61T0k6inaBxgjOu8a4AZpBdtm67oVVBhtfBmBvMYYY4wxxhhjjFkvEN/GWLf/edIZ&#10;990MgzsmCIg76/BhB8QZY4wxxhhjjNnRxCCCVsCF0nrhH1/YjxG+rB8b3BADjaYEgTBAokWr3hg8&#10;MCbIKMrY4Aol9jGb01hnj2TtjqlnbKCMggCYml31BDS15q0W3BXLxPG36mwJgk60nl6mCHTWCu5B&#10;2pT1uux6o41G0bSMaIeYG00f8idDAVCwv5ZE2xhqL8oY/zXWXlH3VNFvSxvjz1imh7G6gmQ+bY7O&#10;4UNUegKkY7Cn2lC0x2gfYIzoN8TFeWj5k2wNtsYW9dAT+GqMMcYYY4wxxpidxb0lIO4eJ53xy5th&#10;cMfk6NFD93VAnDHGGGOMMcaYnU4MIsgCDTJ6XvgrMVhjqJ2p/SKxvRggg8C77Nursm8eUjRgIAYb&#10;aNBCjSxoI8unrELXrTqhAwT3xfFpcAwZ27epoD8qsW9DAU1RJyq1gJJYJo5tyMbQJ/Q7BplAYt4e&#10;omga5gz9y77FDLrK7BrX4hpAXvRNA2EwjqzeWiAiysb5we/QBftBG6Nuoo1G0bSMaIdRv9CNSuzf&#10;UJBitL84p9E2YnvZGmwRbUtlqr1GorTyx/FAEFDG+cScQ0fwgdBtLN9iSFewvywYL37T2RydR93V&#10;bJtgvCoxf7THTLdRYnqNzBazfNBbJpkfB5hLlSEdGGOMMcYYY4wxZmdyr9NGBsQhgi6ryBhjjDHG&#10;GGOMWWemBhH0vPBXYsDBUDtzghtAbA+/xzwxAADSGkcMMEBgQgysYYBIjTguSJZPWYWue+pEwEmU&#10;mGds36aiATEI1IjfejX0jU6ZTlSyb0KKZeLYemwMwCaygJ6szRZRsjwgs7EsiCr2H7YMG4/5SAzE&#10;geBazBd1i3pbY8XcxWDSKJqWEduMcxF1gvwaDDgUxKV5UTa2F20ja0/Th4hzE9ubYq+RKK38se6h&#10;AMIx9OoqBm/2zLGmt4gBbpDWWhjyP0P2AaLE9BpZX7N9J1uvlCx/9Pc935JnjDHGGGOMMcaYnYcG&#10;xP3KSYd+aTMM7pg4IM4YY4wxxhhjzG5gahBBzwt/JQvwyPKROcENILYXgyfImHEgQEAFQQXxm7Oy&#10;ACEljguS5VNWoeveOqPE9LF9mwL0rIJ5iEEhQ99mFHUSgz96Asbi2HptDGAM6KPK2ICTKFkekv2b&#10;zBgEE4M5W/0ncb7jt01lwTpTbCJKlkeJ/YpjQR9UkD/qqLZ245iQb8jus/Y0fYhoW8uw10iUVv5Y&#10;9zKDpXp1FfvQM8eaPsRQwJ0S88bguSH7AFFieovoS+K35YG4N6lk+eP+luUxxhhjjDHGGGPMzodx&#10;bmAzBO54OXLk0OHD5zggzhhjjDHGGGPMzmZqEEHPC38lBjMMtTM3uGEoeIKMGYcGEPEbrWKgSgwQ&#10;isRxQbJ8yip03VtnlJg+tm9TiIFLDD6JQSmtAI6oE1yLQSUIfGqViWPrtTESxzEUxBeJkuVRYsCb&#10;BnxFu4Vk3xoVGSoXdTJ2jCRKlkeJdhjnIq475I+BbvFb6kgWCDtk91l7mj5E1COuzbXXSJRW/lg3&#10;bKv1DWpj6NVV7EPPHGv6EHF91nw55l8ls/Eh+wBRYnqLGOyWBSiqvURfmeWPfe7xB8YYY4wxxhhj&#10;jNl5MM7tHqfs+/FmCNzx4oA4Y4wxxhhjjDG7galBBD0v/JUYzDDUztzghqHgCZB9m1UMMiExEEiD&#10;i2LgUa0OEMcFyfIpq9B1T50Yo8rUwI+5aDCH9iEGsGTfmkWiTnAtji+Wj2Xi2HpsTMnsbUzQSZQs&#10;j9IKmumxkYxsDKqXaA9Z4E0PUbI8Smw3zgX6qMLxxkChbD6yQNghu6+110ucH1yba6+RKK38WSAk&#10;BH1o+bseenUVAwLVB4O5Os9sOxtbnIee4LJMt1Fieos4H3GscSyxz1mwn8pY3RljjDHGGGOMMWZn&#10;cM7RYwFx9zx1/w82Q+COFwfEGWOMMcYYY4zZDUwNIuh54a+MDcCJ/WpJDIwAsb0YIIOAghhg0Qqo&#10;isFFGjgT0xCopWWVbFxZPmUVum7VibFhDK1vGCOxnppkwXQ9xMAODT6JaeivllWiThjoEm1AA2Bi&#10;maj3IRvLiDI0l0qULI/SsoM4by3bj0TRMUSbaa2FFlGyPEocT5wL9FGFuohBlbG/MfAIv+N6bC/O&#10;Y2yvJT3+axn2GokylD+OWQWBgkPla0RdcW4Ivokutp35k7k6BzFAMrNfjFUl+6a8IfsAvZKtTfjo&#10;KJoeA+CQvxX8GXXX48uMMcYYY4wxxhiz89A4NwfEGWOMMcYYY4zZ1QwFI9ToeeGvtIJzMsYEN2Qv&#10;72N7Q4JgAQ0QUHA9+5YoEoNmWsFf2biyfMoqdB3rHJJawNSYerLyQ8SxxOCTGORRC3SJ9VCHMXBE&#10;x1krU0vH75qeEWVoLpUoWR4l9k/tIM5bT99JFB1DlDHjU6JkeZSh8aAfKtRFDKqM35ylwU8acBnb&#10;i+OM7bUk032cO9Y/x14jUYbyZ0FVUaCvmh+tMUZXEMxDFoQ2V+cgBkhGe8DYVGI6GbIP0Cu01Uic&#10;C20DdkFhHxFMrMLgTjDWdowxxhhjjDHGGLMzOS4g7n4HfrQZAne8OCDOGGOMMcYYY8xuIAYR1F6+&#10;R3pe+CvxhftQO7FfLcmCoGJ7NUHwWi04gsQglKy9+M1YWcAGyMaV5VNWoetYZ00QTKGBE5HeelpB&#10;gi30G7GyOmIASwxWJK2AjzgGBvS0ymTpQ3YEogzNpRIly6O07CCOuafvJIqOIcqY8SlRsjzK0HjQ&#10;DxXVRQws4reuxeAnDT6L7cVxxvZa0uO/tP7Ydq+9RqIM5SdoJ/o7FehzTFBcr67QJuagVvdcnYMY&#10;IAnRb+GLe0H2DXJgyD5Ar6jdKTHATW1e/Sa/VTMGbuu3bWp/NfDTGGOMMcYYY4wxuwuNc/v10/b/&#10;cDME7nhxQJwxxhhjjDHGmN1ADCLQQJEWPS/8lRisMdTO1H6R2F5LasERJP6LvCwgQ7+RB6LBBkoW&#10;tJHlU1ah61hnTWrfxkTG9m0MaFcl02kWwJLNT9SJ9jPOCQNLWmWydJZrEaWl20iULI8S+6fBgnHe&#10;akE3GVFUL1GG1laNKFkeJY4nzkWcY10TMaiSdhava2DokN232uuhZXuxbo61VSYjylD+COY2BhNS&#10;xthTHE9LWvXGesbqnMQxadBb9PMaLKcM2QeIEtOHqI03+kTaLfyiCsbJujTAsRZUbIwxxhhjjDHG&#10;mJ3PWYePC4j78WYI3PESA+LudZoD4owxxhhjjDHG7DymBhH0vPBXYrDGUDtzgxtiewwaQVBADHSB&#10;1L4FLQYR9ErtG9HiuCBZPmUVuq7ViWCKGPSBYIk5gR9TQWDSFMmCsIaChXQcGC/mfahMzcZqZMF7&#10;Wb4aUbI8SpxH7V/UbWYjGTFIEaK2EYOJhnRSI0qWR4l2GNvF3KnoeOMa59rVscT1PGT3rfZ6iLa1&#10;DHuNRBnKXwPlNKCKkuXNaOkKfjnW3RtsPFbnJO4PWo/2RQPKIjo/kEy3UWJ6DyroG67Fb7FrrU/Y&#10;TVzTGgBojDHGGGOMMcaY3UUIiPvpZgjc8eKAOGOMMcYYY4wxu4GpQQQ9L/yVGKwx1M7c4IbYXgyQ&#10;iekMKtE8IAYXjJEsyC6OCxLzRKKuh751K44t+1alofmL6TX9D9UzB/23f2MkC1SJOon9jPOCoJCh&#10;MjEdv2t6JAbatAJqMqJkeZQYSKT2GPvCYJoh4nqI5eK3KY4dI4lSC8gkQ2skzm+059jvqJ8YhDVk&#10;90PtDbEKe41EGcrfIguU7K0vjiXqKqZDsrqH6uklBkhCcA3rRwU6z8qDIfsAUWJ6D7EdzIMGu8ZA&#10;zhgIizFFWx9aa8YYY4wxxhhjjNm5aEDcfU4/UDZD4I4XB8QZY4wxxhhjjNkNTA0i6Hnhr8RgjaF2&#10;5gY3DAUrIcAhBgxlgWbxG3XGSBaIFscFiXki8Zu+snqVODdZ4MbQ/GX9zAIlxtpBLzH4ZKzEvvYE&#10;C+lYEEgyVGbIxhTYWwzwa+XPiJLlITHIJQZ8ZgFMQ4GWII4h2mIMmINMsYnYTqtv2VrG+DRPtOfo&#10;T7J+q8T6xq6f2N4Qq7DXSJSh/ENEiTqr0aOrqO8e3zpW50oMkIR9RD/cChyL/c10GyWm9xDnHOte&#10;96yop6gjBMjpuGBHmt8YY4wxxhhjjDG7iwOHDh0XEHfo0KFf2gyDOyYOiDPGGGOMMcYYsxuYGkTQ&#10;88JfiS/uh9qZG9wQ28PvQ3liMAACHlSGvu0qBtXEICQQxwXR9IwsWKcWbJLVn+Xtmb+YJwtCGWsH&#10;vcTgk+zb9pQYQBXnO8511k/oSSUGQ8YyPTYGYANxPJltDBElywPQzxgglvUtjg86bPUpjgESg4Ky&#10;4DS006oXQTxx7cW2Wn2L84D2Yx7oRCX6E9Rdk9g3MGT3Q+0NsQp7jURp5YdOa/YNYl8gWb6MHl3F&#10;PJBoez319BJ9LgLk1K6H9oIh+wBRYnoPUe+xXYwjllHBONR3Zj7eGGOMMcYYY4wxuwcHxBljjDHG&#10;GGOM2TNMDSLoeeGvxACPoXbmBjfE9rJgjhjwBmn9W8n4bxMjWVBNDEiI44Joeg0NWoAgOAN1M0gI&#10;n+hvDEaq6a1n/rJAvBiUNNYOeonjiO1G4r8CjEFMPQFGIAv6osQyQzYG+4IO49xBMFeat4coMR39&#10;y/qP9jP9IX8U5FW7Yr74jVmQ2nqI6wYS68Un1praj9aRrU0E7+j6RJ4475BsrcexZusiGyMkq2/I&#10;7nvaa7EKe41EaeWncB41GA1zEm18TGBVr65iG9H+5upcgX22ZGj9DtkHiBLTe4m+UkXnicS+qWBu&#10;Y35jjDHGGGOMMcbsHjQg7qQzDpbzzjv0q5thcMfEAXHGGGOMMcYYY3YDMYigJQgYYbmeF/5KDPAY&#10;ClYY0y9IDI6I7WVBLSAGlGi/YgBG9k1rkRhUozoD2bg0vcZYfUAQKJEFQoHe+Ys6iHpsBVdkUuuP&#10;gqAMlajDjOwbqnS+egOMskAsSiwT6+yVMcFCyhSBDbTsNgso65GhMbQCtTKBncU6pui35lfi+sny&#10;Rbuj9AQVRduI7Q3JkP9ahr1GorTyt4KuomAue9Y5ibqqzWGcn+jf5uo8UguQhGQ2oQzZBxgjrW+k&#10;q/UzW1Ogta7GzJsxxhhjjDHGGGN2HvtDQNzRo4fuuxkGd0wcEGeMMcYYY4wxZjcwJohAAxV6Xvgr&#10;8SV8LeiBjA1uiPXF9vC7ppOsHQQQxQCrWnBBJAuqGQra0PIt8E1MvYEp0EcruKF3/qIe0b6mx3qG&#10;ZMhOQAzw6P3Wohi8pwEvcRytftSCxGIQTKxzSNA//YazsYwVBKX1BLhAv712hXy1tRRBvp56oZda&#10;0N4YHbcCnOK6y/wPdBWlFog0tH5ie0MS+7MKe41EabXRayMYx1C7kZ65AZif2Af9pra5Oo9kvhzS&#10;E6A7ZB9grMTyJPtGRkgtaLWmp6F/A2uMMcYYY4wxxpidjwbEnbyvEhCHiw6IM8YYY4wxxhiz00Hw&#10;Qm8wjAYC6DdAoXzrW6gAXsJrO0PfMDWmX5AYDBODGVpBVVkAVgwa6P0XlwjaiIFZqpuYjp+1/BAo&#10;j/6hz7EdBDRAr1nwRaR3/mJ/Y95aME5NUJ/Wn6HBJGi7pwyIgSFqr2oPQ3UiLQa0ZMEzCG5rCXSF&#10;ctDRnEA4gvltCdIxZuhhbFASxlyzK/zOenvngiA/ykEPup5ZZ2tdEowlqwNC/Q6NFzarZVFfli8G&#10;otXmTfPFNQGW6b+WZa8R6J+SjSHSmkv4k6k2HuemtTegfRXNO1fnEYw3rgXU3zPOHv86tJ5VWsFq&#10;GHfWz9Y+EO0F+XvWojHGGGOMMcYYY3Y2MSDuyJFDV26GwR0TB8QZY4wxxhhjjDHGGGOMMcYYY4wx&#10;xhhjjFl3YkDcOeceumkzDO6YxIC4e5/ugDhjjDHGGGOMMcYYY4wxxhhjjDHGGGOMMetFV0Dceecd&#10;+lUHxBljjDHGGGOMMcYYY4wxxhhjjDHGGGOMWWd+ISDu6KEnb4bBHRMHxBljjDHGGGOMMcYYY4wx&#10;xhhjjDHGGGOMWXc0IO6kMw6Wo0fPed1mGNwxcUCcMcYYY4wxxhhjjDHGGGOMMcYYY4wxxph15xcC&#10;4s49522bYXDH5NChQ7/sgDhjjDHGGGOMMcYYY4wxxhhjjDHGGGOMMeuMA+KMMcYYY4wxxhhjjDHG&#10;GGOMMcYYY4wxxuwKYkDckXPPef9mGNwxOXTo0C85IM4YY4wxxhhjjDHGGGOMMcYYY4wxxhhjzDrz&#10;CwFxR8/5xGYY3DFBQNxZhx0QZ4wxxhhjjDHGGGOMMcYYY4wxxhhjjDFmfTkQ/2Xq0XM+vxkGd7w4&#10;IM4YY4wxxhhjjDHGGGOMMcYYY4wxxhhjzDrzCwFx557znc0QuOPFAXHGGGOMMcYYY4wxxhhjjDHG&#10;GGOMMcYYY9aZ7oC4g4cPf5cZ7+OAOGOMMcYYY4wxxhhjjDHGGGOMMcYYY4wxa0YSEFc2Q+COFwfE&#10;GWOMMcYYY4wxxhhjjDHGGGOMMcYYY4xZZ/Q/oTLO7dChQ7+0GQZ3TBwQZ4wxxhhjjDHGGGOMMcYY&#10;Y4wxxhhjjDFmndGAuHu3AuIOnH321xwQZ4wxxhhjjDHGGGOMMcYYY4wxxhhjjDFmXTl8ThoQ98ub&#10;YXDHZN/ZZ9/pgDhjjDHGGGOMMcYYY4wxxhhjjDHGGGOMMeuKBsTd67S74tzOO+/Qr26GwR0TDYg7&#10;6YyDv1CRMcYYY4wxxhhjjDHGGGOMMcYYY4wxxhiznZxz9Jy+gLgzzzr7Ew6IM8YYY4wxxhhjjDHG&#10;GGOMMcYYY4wxxhizrmhA3D1P3X/X9aOH7rsZBndMHBBnjDHGGGOMMcYYY4wxxhhjjDHGGGOMMWbd&#10;6QqIO+Ossz7sgDhjjDHGGGOMMcYYY4wxxhhjjDHGGGOMMesM49zA4loaEHfw7Pc5IM4YY4wxxhhj&#10;jDHGGGOMMcYYY4wxxhhjzDqDb4bTgLgjRw4d3gyDOyanHzj7ncx08j4HxBljjDHGGGOMMcYYY4wx&#10;xhhjjDHGGGOMWT80IO6cow6IM8YYY4wxxhhjjDHGGGOMMcYYY4wxxhizQ7nXaQdiQNyVm2Fwx+SU&#10;fQff7oA4Y4wxxhhjjDHGGGOMMcYYY4wxxhhjjDHrzL1PPxYQd/icww6IM8YYY4wxxuwt/u3f/q1A&#10;8Jmlrzt/8q4/Ll/96lfLHXfckaYvgze/+U3lm9/85kJPEPz8/Oc/N81rcv7iLz6w0N1//dd/lcc/&#10;4XFpHmN2Op/61CcX/gj2nqW3gE+h2L8Y5QE3XLfYo2Fbr3ntq9M8Zu8CfwHbgI1M2V91f87S1xms&#10;je9+97uL/sP/ZnnAR/7uI3fng0BXKJvl3Sns9PP7TmMnr5NevNcYY5aN96qdD/Y9yJT7261k7nnY&#10;9LGO56FlzL2Oazvtp/VMqJVmzBAaEHfW4UpA3H33HfwDZjpl/9lpRcYYY4wxxhizE8GDAwg+s/R1&#10;h/2HrOLlDYLhMsHL1Sy/yVn1PBmzDqhk6S2wLiheI0ZR29ipe7VZHTiPUKacTbR8lr7O9KwNBMpl&#10;stP9LM9V9glbw05eJ714rzHGLBvvVTsfyro//5p7HjZ9rON5aBlzT18F2c57BD2LxX600owZ4j4S&#10;EHfg0KE8IO6kMw6+2gFxxhhjjDHGmJ1E71/u7fSHlHzRiW/+WMW3ffCb4fDJvxTEX+P5L/KO0fOX&#10;37THVc2TMesA/cWUb0HwA05TA3vPTvl2BrP1MHAfNjLFd6zjiy3Q8y0I+g1x2dpAOgXfJMzzB3S2&#10;088iDjK4i2X4xp461nWdLBPvNcaYZeO9an3peYYDKFMDjbaKuedh08c6noeG5n4nPa9sPRNqpRkz&#10;xElnHDwuIO6ccw/dtBkGd0x+4/QD/oY4Y4wxxhhjzI6i90GFH1K2ofjFUB3bkDHz8QNOY8x2sK6B&#10;PsvwiVrHbvtDBp+97oIy50U9pVXHuq4TY4xZZ7xXrS+9c0OZs8+a3cNOPA/tJD/Uuv9Zxr2R2buc&#10;vO9YQNyZZ1UC4k46Y/9rHBBnjDHGGNOGf53vb00yZj3ofVCxkx4ObDX6zSJ+4FDHNmTMfPyA0xiz&#10;Hazri61l+ET9t/dZ+k7GZ6+7oMx5UU9p1bETXwAbY8x2471qfemdG8qcfdbsHnbieWgn+aHW/c8y&#10;7o3M3gXxbYx1O+PgWQ6IWxY9X2u/DuDfK8EJ+tseVkfLFvA79I+vKuW/nzLT2W1fa7/T7GM3+hP/&#10;qwQzhj951x8v7AVBcTFt3dbHdto22oSgDzHN+6JZNr0PKmB3EHxm6XsZP3DowzZkzHzsb4wx28G6&#10;vthahk/czUFMPnvdBWXOi3pKq47dbEvGGLMqvFetL71zQ5mzz5rdw048D+0kP9S6/1nGvZHZu3QF&#10;xP3G6ftfykz3O3BWWtF2gBelfMGs8s1vfnNxPQYfbSU7ZWGqZOlmPi1b0M3TB6r5UHaLLneafahk&#10;6TsRiten6YHfDpcFmanEtO2Ash22rb6tleZ1t3vBGf2OO+64OzCzJnqWxxkKZWrnfnyLmbaBoMqW&#10;xIcA8eEAvk0DdVPwM65pmQz0E23r2FAW9hz7SNhX+A7kwTgpSMvKRFqBpkxjXewjBb4rW28sV5Os&#10;b9ARrsfxY45qQa6YZwj7jjroT/Gpeh8aC9pCcDLzQ58YG+tDG9BvbS5wHW3ADlgGgnJoJ7MBHWuv&#10;cKw12AcV/I7rtb5HPULfus7w2Rq72To4V/Q3mBPMjdop7E19oBLXAWyc84w1kK21MTbF/kFafk/z&#10;6X0u1yT7F0F7ui4hHC/qoWidEazzbDy6/seAtjAHsU76r9q6iXMRfRLGmPnXMUAvah8Q/IxrmY7Y&#10;Pvoe0xTmw5hjGv1H1mbNl/fYJfPgeq0ewHwQvc76kK7XlTG20dIBwLwPtak22xqTWS3qj/Bzlod2&#10;zTnFJ36nT6JkZQHLz1kXvT5C18AYUTvVdjJBXtVby99jfJSafiPUM/IDrktcz8ZM3bAcBL4DeWs+&#10;mHXW1jAYUy91NsV/Qkd8R6Ft0UZqeuMcoAx+b9lpVq4l2R6hjK0jrhOUVzur2XNkyloi0AP0jDmi&#10;QEfoR+sMENci+kkdc49iXl7X9RSZcg6hr9G+12zRGJOz1b5WwfqGD9E1DEFfWv6CvgKfvEafhHZb&#10;fg9tMp9ej3sbPvF7y+9zzFN87xR6fJ7uQ1POIRw/rrE9HR90ktkEy9UE9Wh+Cq/3tqNk+pg6b7X9&#10;RvUZ+zM0ZvRD85Mp+90ywLi3a62DVjnMIyUrOwTmO9ZdswNch8BnoG2Uo+ic1eaebYwRlGH5COel&#10;xx6nziH0QIk6ydJ07Mu+nzG7C8S3aaxbGhD3a/fb94p1CojDwsdC6hEstiHnNhY6odomAVqLdp3g&#10;Btwai5lHyxbgoCHYENbZTnYKlHho3ansNPvYjf6EsltsajfDg3XrIcQq0cN3du5Yt/VB2Q7bbt04&#10;el/c/XCOe4Q3qLq+agKb0bXH83pNcI/AvAC/87o+YIjSeugzdH8CP5D5B7aN8vpwjBLzZ7TWFdPQ&#10;TquPGLeW40Pamqg/w7iGdI45yvSnZ2WkR1E/pWNpzRPywW4yfUKivZChMUC0P4D7z1jROkirzxQ8&#10;POLaUKIea/2q2aHZOjhXsGP8XJsrXM/2wqF1oGWm2hT71Dq3qD9Rm6JPw6fmB3gIqQ9Po+h4srGj&#10;HdZfk+jLhsDYhwT6yNaNzsUY/9oL628J2tUy6rszXwEwFkos3/IfEKRl9fbYpeq6dWanzeJTr1Oi&#10;HwZTbEN1BdvUNKBnlsyeAecddp2lm60B9kXJfAfmsmbXuK77fywLlrEuxviIoTNYTXRtDJ1puAY5&#10;rin+vgUF7UTdxfXU0g2kdnbhmh9anzWJ9arex/rPln1QMttU2x1zflN/WpOsPWVsHbonZWd2SmvP&#10;m7qWQGsdU2ALma307FHMS1nWXsNy3NsyydoyxvwiW+1rSc++XNuL6DM0Xf0v9+MM+g188lrL/0K0&#10;vJaZ6nunMMbnsV9TziEU6LB2j5mNraULSPTJFPSjNq6WDnG9dQ8MwRxl5Vp9jbaudh7ThsYc7Xfq&#10;frcshvoLWcVaB3PvG1oMrd9oB5yDmu0xX23ue/SYCcsrQ/YY7aGn7aE5jOlD41z2/YzZXeBb4TTW&#10;7ciRQ1duhsEdk3UKiIubKQwdhgwnhQUAsAGqs24tgimw7rhJKLWFafYetoWtg+IHCWZZUGxT6w9l&#10;u+aKD1VbZ4N1grId+kKblCzd7F5wjudNKs7zfFiE62oX8bzEm26c+TUtlkO6lgO99qb3DhDcP/Dl&#10;ONrU+4/spbk+IEWbzIM+6kOYzEfEtvE77m0A6or5M1rj1DQIxkI9op/6MCd7CIe8lDg3RF8sYR5q&#10;44dw3onWD0Fe9BnXoVdtszUWfGo7/Bll0A+g85TZC3QB/aPPOs+oW20AdWk5wHnM5pi05gl1sg30&#10;HX1lO+iLlsXD1NgH9FEFdXA+kVfLr/LBpRmGc0Ub5VxxTnXN4DPOdVwHsAeUQb1I0/U31aawPiix&#10;fcKH+tGeWmuBaRD0h9d1zBSMR8sC+quoszge/BzL1ljWHgMZ619bID8FelPfif1BfZLqEv2mZH0G&#10;WjftBaANCvpea3OOXbIOfGp5gnyUqDNKNr9TbEPbUh0S3dsgccygtg7M1gI7o0TfgXmjf8En03E9&#10;2i1Ey4JlrgvkHeMjWuNSKNna0D7ENDDH37eIgrIYA8apY8Xao6Cv9BXoC/Jx7lp7SpY2pV6kUcb6&#10;T9SHMcImVI/aVub3dI4hyEv9oB6dv5r+Kdn890Jp1aF9gYy15zlrCXmpR9gj8muato2ftSyIfa/t&#10;UYCS6YLtcJ7YT5TXNmJZ2iPKxb5jXrO2jDG/CNbQdvharGH4DXyq74q+T9c3qe1V9HlZfwHqpqhP&#10;5TjRT/oujAF50EfmI+gvZazvncoYnzfnHBIF9bIOtYlML6B1jlCijGkH+dh/6DrqQ+2HeyphGsrF&#10;eUOfY36185iWobahNgam7nfLAu1ux1pHHtaPT+oxlqXE8i20bzqnWjfa1DK0UQp+h06A6n5o7nts&#10;XccX06Je1I51TtROcW3uHMax1NJWdT9jdhdnnnXo7oC4k/cdzAPi7nnq/hcyEyLosoq2CiwQCgy3&#10;ZtwAiw8LvLXIp9DjPFqL1uwtbAtbB0UPA8bMgWKbWn8o2zVXPFTjpj9LXzco26Gv1g2W2d3gJpjC&#10;B3cKH7jgM6a1aJ3Ne+2NdUCym2M9z/FhisKb+ZoP0PL6gABo2637ixatcWoa7qXi/ZM+2Bgae3aW&#10;1fSaT9EHbbENLQ/J2iBDY8HcqGRzRX3XHorWGNID623NYe881XTAB8uQODbtH+Yz2hmYOnazXHrm&#10;qjXXaisoX3smMsemdM1m60jT9WEoqK0FHTf6pmkA+4I+74l91jYznQGOGXrJ0qfQWtuq4yn+tYaW&#10;y9plHp4/45rmflpb6/pyJbte24e1X3G/67VLtbnsLKDpsQ5KtJ85tkGby/RM/VLiWmitA7O1qH+J&#10;vkNtM/OFuEa7hsT0Za2LKT6iNS6FEtcG0D7ENKB2HPsf08fYuUrWL1LTHVEdxPXd8s9T6+V8j/Wf&#10;LVpzoP1An+MYAcdZ6xOlpechKK06dBxT7HnOWqIOkB7bJawfEvcX7XurDkCJutC1kM0TYDtoQ6+z&#10;/7VAS2PMfHSdx7Rl+Noa6rui3wCsF596HX6OkvVH0+mzdBwtP6bM8b1TGePz1Ldm7Wt6PIeoZPes&#10;ahPZfUdtbiIqY9vhPMKuanPGfsQ5ovSev9Q+8HOWR6ndB6nOM9sEtf1uK1jlWte6Mx3iGtcLJKa3&#10;oL5rtoC64/mSfYW07FTHnfWb9bTqaOlVA84ynfJZTrbOMnrnMI6llqY2O9aPmL3D/kPHAuJOOqMS&#10;EHfiyftuW4eAOD0EjHmY2LsIe+lxHq1Fa/YWtoWtg4INNUs3ZiwU29T6Q9mOudJD9U7x85Tt0Ffr&#10;psfsbobmnumtM3ZGq95ee+P5Pj58UCioU6/jZpqi1yOUeHPOtlsPyIbo1cHQA7hM90NnWdyXUVr9&#10;13x6XevPHlwoPWOh1B6+9tpEBiXaAGjpkLTaxvxDWjYImC+2o3qsPeCZM3azPHrmClDisw+dx+xh&#10;JJlrU7yevTzhA9HsAXhtLehD1Nr6VX8a/Q3Lt9aY6ralmzG01o2mTfGvNfCihdKyEc2n+tLrUQ/o&#10;J0V9rl6Pulc4nmgXvXaJ53OUzOfDXiGZ3VHQll6fYxs1u0QeCvoCiWuRzyi340WQOR6d32i/tKmW&#10;L1Q70OvLXBdTfERrXAolrg2gfYhppKUj6masnVOytUyWdYaOuptT7xT/OURrHjWt5u+H5pCSzX8v&#10;lFYd2o+x9jxnLem+AXvU/Irmi+PQvrf2KECJdczZa7iP4GxV050xZh6r9rUtar6vlaZ+MfNt2ZlY&#10;z6c9+9Ac3zuHsT5v6jmEUtsbWjYBWvOmUKa0w7HFPUWh7cUx4ndI77wMjVfhfQwk7otz9rutoDVO&#10;TZuy1lu2SKgfSJaeMXQPXIM2OrSWWjoBPbbe0kvr2dAUeudwTNpUP2L2Dge6AuJO2f/ydQiI46Jb&#10;xs0DysPxwAGwXggWBBZ15iy5AdVEN7W4MNEeHp6xDnzi96FxIB31cjFD2Me44AkPRsiH3zEW1Z2O&#10;jYeTzJExjQ4aDwW0H/i5tqkQ9EXHXZNlb5rQTdR3S2cAY0Ee7SvGCGc5FFTJeVJbQl0YV7QFLce5&#10;gkQdMI3ziD5MsSHMn85bJtn814AdIH+sE2uptZmjDGSOPYFWOYquxR6oU+gc8ICA61ld6APzUPA7&#10;rse8HDf6GdMU5kM9vNayDzLWR3CsNR2pvdbaRFkI7F2vcwz41OuaNmf+uUZbgvFlZVvMtSn2i7qF&#10;oI5e3xHXKH5Ge3Ftqz3odQV1QTI9sDzTok/BfMZ2o24wzppdKGPWCGE/UD/tOvOpWkZ1UpO4Djhu&#10;rXuob0NQ75AsHdB28VlLm7M+xtgSoETbVp3qdaVlZ6S1Z6FNSiyn7cf5ZrvUIeaWuoPQhrVMBO1j&#10;ber8Z8K5MMsFtk3J7JJ+I1snLVo21UpT2DY+s3TAPNHOtI0eieV72h5irg6YJ+uDng2ys0Vv/7mG&#10;Ibq+h+pXesZCiXomPXXUoGR19+ih1Tal1m9Cvxd9cI8eNU+WbraGXpuv2VSvDVOm2pS2E30291Hs&#10;qXod1Ppdu660dMPyvdLS7Rha+u6ZC+ZpjTvSUy/Qc5OeXTBfPIPFOartxar7Honj6e0z4FzirKrX&#10;cX6kZGdfCtrS63NsQ3Wo9wN67uTPcY3w3I0zrl43W0/Ld1Ci3Sg1+92KdcE8mY9ojUuhZGPs6YOe&#10;0eIzjJa/b0HJ+kS0bz0S6+Lab+m9R7TeKf5ziNY89syx5snSKS1dD0Fp1aF6zdIB88Q50TH0iJbv&#10;0RHh3MX7yZ6+E0rUBe2tV7Sv2NMoPc93jDHjafmKHj+iebL0FrX9aCiN92HYa/V660ysz33hp+K+&#10;reiYeiTr4xTG+ryp5xBK9NcKJZv31twolCntjBUtizFTYCvxOXlE5zsbL4GOuV9mY6JeeqXV1ipo&#10;jbNHB5onplFac400SpaeoWui1q+MXhsdGndPPbVx4cxLaellDK3+Tk1bxf2M2V2cdfjw3QFx9zn9&#10;AALiDm+GwR2TE07e/wJmOvOsQ2lFq0YNfRmLjoeNlsR2uEnURPNrf7EQa2VxIKjdRGOD40KtiT6w&#10;I9q23qxTtJ8tR8g0OAn+nEnWB6BOfkiGNvMxZGNWif2F/ofsAfNXGyeca2ue8HCUEp20zlUrDW1P&#10;sSE9ILckPiiooZtKTWqb6lx7Aq1yquexPoKSrVUdD/Tc6gMkPgxXndXsXA8Vuim37ANM8RG1Gy2i&#10;B+2aHmlXcazUjeospk2df+1XSzB/Wfkarb4M2dRc34HyrTUa17bag9ajoJ+UmBZ9Sk2gk6GxZfYI&#10;UK6lU0i0G0LBmqnZNfSp6wg/D4n2FflrvhRSG9cQtBXMWZYOqBd81tKmro+xtgQo0bbn2hnA/l/T&#10;M66rbcWy2n6cD7YLHbV8Qs3G9IZ/SGCHWR1mHrBDzgHskusZ19WuarYOm8D8tuw9lhmyV9Jao4R5&#10;4rrR/aJH4sPAnraHaI2zRwfMk/WhtS4Bpbb2SK2eofqVnrFQ4jyRoTpgj/AB0EXNZ2R198xjrW3V&#10;Qc3+SU8dNT1qnizdbA09cwVqNjVkw0DbmGpT2Dcpui/q+UvPZaTW79p1paWbofseFazd+BB0CLS3&#10;ij2GeVrjjlBXtXs2hYJ29Dr3JuhCr/Mchk+93ro/yARnMS3fowuibakN8d459plQ4ljn2gbL6z5G&#10;PaFPuhZol9grKENrzKyelu+gRLtRava7FeuCeTIf0RqXQsnG2NMHtWetY8jft6BkfSKrOkPPrXes&#10;/yTwFUP39HEee+ZY82TplJauh6C06uixJeaJczJnLWm7Q3t7zSZ6+k4oURdz95qoA+TBOIfGZIw5&#10;nu3ytQDrGHtAzR9E3wNqfgno+1PtV+tMjD073q+g7uw8OvccM4cxPm/qOYQS/bVCyea9NTcKZWw7&#10;GOsYwbxqnSCeaWB7sA/oLOZVG87GSzhu1JXVM3e/WxbbsdYprblGGiVLz9Aymc5r9Nro0Lh76qmN&#10;S+uOZ+Yhlj2HrbSpfsTsHQ6fcywg7l6nVQLiTjx53+u2OyBOF+MyjBYHFyxCbMzqsLGI9ECROace&#10;56ELE4KNgYcS1Knj0YduBHm48aA/6mgwft6EQ1pOAYK20R6uY7PU/K2xMI2CNqkr1KF6ipse+o92&#10;IcjHOYtjj32fi4691i76pWX0UKGHMpTBnHEckMz2VE/QL6/HspA4Xu1vKw2CusbYkKbrIQn1cu5a&#10;NpyBenjoUl1AZ2qT2cY4x55AHG82HgryxvItoqB+1At9U+eAY+RcsA/or/ZP20ceSu2mAnVRdOxq&#10;A/hZy6DeKT5C28rsWQ+8qDemo38U1Q3gHGd2NWf+VQ+YG6bjU+eE89HLXJtCGcoyfEfWvvoU1QOv&#10;RXRMMU3LQ9SnoO86ZvZd5wk2xuuZbYApa4REQR6WV33CRmNZQMnqJuwf+q9zgrFhPqAjzd9Ly/ZJ&#10;Kw/TKGPWRyzfY0uAEvU1187QNucKn9Qprms5Siyv7bMsieUxNuaBXji/kOifAPWEfqnPVPtq2Y9Z&#10;DjpPmcC3xjKwn7hOahLLtuxVYf34zNIB80Q70THp9V562h6iNc4eHTBP1ofWugSUbO6UWj1D9Ss9&#10;Y6HEeSKtOtQftCSru2cea22rDjL/pfTUUdOj5snSzdbQM1egZlMtGybaxlSbAjxH4JPXcO6F1M5k&#10;tX7Xrist3XBttspPYdV7DPOM6Tf7U9OxQkE7eh1nHQrPPRgrJdoFzoqUll3W6NEF0X7oPTLtrbaf&#10;UOJY59oG7+tQD69ReM/A+2T2F/qjYDwsZ7aHlu+gRLtRava7FeuCeTL7bY1LoWRj7OkD4HlW/c6Q&#10;v29ByfpEVnWGnlvvWP8JqKshifPYM8eaJ0untHQ9BKVVR48tMU+ckzlrSdvNnocoNZvo6TuhRF0s&#10;4xyC/sNW9H4DP4/ViTF7le3ytTgP8izYksw/1PwSoT/Q8+/QmRhgL2LdFOx/mmfuOWYuY3zelHMI&#10;JfprhZK1OTQ3hDK2HdgNpVV2CNTJ+xUKbCTuichHycYL9IxTy8P5GtLLKtmutU5pzRfSKFl6xpQy&#10;oNdGh8bdU0+tjz06zVjFHA71Zdn3M2Z3cc7Rc+4OiLvnqfvXNyBOHX6WvkyGFlWP89A6sIG0giGy&#10;hcjDCtJqD9dYPh50tG1INgbSGgvTINnhS9uJDwN0Y81uVumYYt/nwsNiTW/osz7M1zHUNjk9uEQ9&#10;DJXH2NknSJwLLd9Km2JDrYOzjimrdwrQNw9LmS7m2JPWndkq0tVH1OayhkqPHdR0hrIQ9FWvZxtx&#10;lq62CVr2MdVHIC8ljhX2GiWuX72Riu2yvWyO5sz/0KGFtoG+ZekZc21K+9tjM3HM6iOzfrN91YW2&#10;qXkV2iAkpml5jD3acZz/bJ60/mgbc9YIUIk2AFptA0ptPgCFD7WXBW0Jtpqlg1Wtjym2BChRX3Pt&#10;TNNQV0zHNeoLkqVTYnmtG/4y+iBd11GPSKNk9kXfltmmWR60V8wf5hN+nYJ1kM0N0LnH3EYf02uT&#10;MU1prVHCPKhTr/e2UaOn7SHm6oB5sj601iXgmXOo/3qGUD8+VL/SMxYK8mbptTrUh8A2YY/Rz1Cy&#10;unvmsdU2pdZvUjtX9uhR82TpZmvotfmaTdXsSFmGTQGsAwrXLX137exd63ftutLSTU/5Kag+V7HH&#10;MM+YfuvD4yyd6Pk720M5VzwXcT6z806vXdbo0YWCPkFod3ovUruXoKAtvT7XNvQ8jZ/5u66JeE/K&#10;daP32mb7aNkvJdqNUrPfrVgXzJPZb2/7lGyMPX0Aug64Bof8fQtK1ifS27catbU/t14w1X+iL9Bl&#10;LT3OY88ca54sndLS9RCUufPFPHFOesZZQ21zqGztecAYm6BEXdTsbSqwKfYXn/G+wxhzPOpHttrX&#10;cv1jrcI3xOfSLf/QSgM8Y3J/6TkTK8jPcylEfVfPuLeKIZ835RxCif5aoWTjH5obQpnSDqVVthfo&#10;DPVQYr+H5hvlOQete5hevawKHQf6sJVrndKaL52DLD2D50hIrV8ZvXMxNO6eemrjUp/Ua8fan2XO&#10;YSsNTPEjZm8xKiBu/6HtCYjjgoVk6brpR2m9oK5ByRZ4j/PQhRkXO2k5Tr5YajkYludhiWjbQ4u8&#10;NRamxSAdhRL72Rqbprd0OBZ1zL3OjQ9hIa0bT82n1/VBda28OuExDnyuDVHi3MT02O4cVmVPqsOa&#10;LqB/Sm3MNSitgyDnumWzOmd6w6IHnngjo/2Odtuyjzk+gmXjXKB9CMbIwzH6rnnoazNdrWr+W/Vq&#10;+ph5n2tTc30Hr8e5aaH2kKUDzjkkpmn52piH5qllk3PWCKDU9uxW24DSsoOem74pUFptt+x4SO+A&#10;UrPFMbYEKLE+1bNeV1p2VvMviu6dMa01z9pubd3V9DxkPz3jNvPhHtJaKxm0q9rabdlkK01prVHC&#10;PLH/us/X/GuLnraHmKsD5sn6MLR+OK9Dfoj5GExAhupXesZCifNEanXo2SDuUYSS1d0zj63+9+5R&#10;zAf/r9d79Kh5snSzNeg89JxD49moZx2AuTYF4r0K1gYlvggitbVQOxcrug6jHWv51vl7LKveY5in&#10;5RsivC+D1PwR0HzZfPDMRf9MP5zNtT5PqZ3HW/TaJYk+l2OJe4RCQVt6fRm2wXWAsVNvqiddt+gv&#10;88f7ZbM96PxE38GXIK01yDmH6PWtWBctH9Eal0KJawOMWZu6DrTtmr9vQcn6RFZ1hp5bL6BN9PjP&#10;mDfSmseeOdY8WTqlpeshKK06emyJeeKczFlLevbAXpHlAZov+uaevhNK1MUqziGtc48x5ni2y9fG&#10;+yFNI7X9aCgNqO+CT6C/ap2JM3hPo+3MPccsmyGfN/YcQon+WqFk7Q3NDaFMaYfn0NZz8rFwLUD0&#10;uuosG6+uodY+tor9bgzbtdbBnPuGFr1nmUivjQ6Nu6ee1lmJa3Po2RJZ1Ry20shYP2L2FgiEY7zb&#10;WYcPH9wMgzsmJ5y8/23bHRDHG0/IUHqUIWeRQck2uR7n0bMwNU9MGytatqdt0hpLzziZJ+pJHz5k&#10;mybL9TrQHqbcRPaMEeiDZmxevN5TvjUfU9OyPDGNmzccf0zTcjqeubT00aMr5on21NqMFUq2bltQ&#10;WuXYt17ROcMa0I1Y622tlZYNjBUtq/asBwH6UaTzZ12j6B8lPlwCrTlupRHmifPAQ3h246C6HXOY&#10;nGtTPeMBNd+R3aQO0VrvpDWulj2RoXG16mDZXonlKa11SMn6T2mV1xsW2Pay/B+l1XZLt0N6B8wT&#10;25hiS4AS69M51usKylBiGqWli1b5lo21yhHmifrQh0DZSxGWq92omeXAvQV2O+ZGlH4+ewEFWC8k&#10;pqkfzs6kZM461P1x7FoEPW0P0Vofc9YOaK1LoGeZ2l6sD3+i/obqV3rGQontkFodaiuZfbbGANS+&#10;Yxpp9V8fOtb2J+1j1FWPHjVPlm62Bp0H+LdsvtVW4ny27EiZa1NEbZtnqZad13zakK9AH+nvIbE/&#10;er+frcGpzNljeuaCecb4eD23oP0sD/aeoQf26rdU/9lZCPBcCZ209syMXrtUqHvYFdvOnl8QSpz/&#10;ZdgG1wt0Sr3Ge172lzYOGXOeMatD/Wr0HUO+UNcGJKavel20fISu4dq6BZTM/nv6QOjjMVbqreXv&#10;W1Baa3JVZ+i59YIx/pP7BHxHTAOrPr+pL83Se+ipY649z1lL9Mv4rJXlPGT1j1kHlGi7qziH9My/&#10;MeYutsvXxv1A0wD8DX1U5vtqe5VC/4gxsq6xPr3Wzhzfu2yG5mHsOYTS8smUrD3a1NBZhzKlHY4J&#10;kvVhCrU9raVfTcvsWFnFfjeG7TxXzb1vaMG1jc9sLaK9OOYe/wGGxt1j6zW7AkN6wXhQN9NWNYdD&#10;4wRj/YjZW9zrtAN3B8QdOHToPpthcMdkHQLidDFmCy5jyFlgkWLhIR2LI5PM4fc4oZ6FqXn0uj78&#10;7JG4mHvaJq2x9IyTeaKeoFvqVB0hrutcDm2+Y9B6sw0lgwLHmKWTmk57dNSaj6lpWZ6YpvqAnVMn&#10;KIM5gdQ2pCEwb3pAj5Lpo0dXzBPtScei1yOUWH4ISqtcbayZwPbjg3FuvkjT6zwc4FOvg5oNzPUR&#10;Wl7XINcs1qse7piuh+HswX9rjufMv+oBemTb+KT+IFmfasy1KcpU30EZc3OrdWXpoDWuWl+UoXlq&#10;1TF3jVBa65CS9Z/SKg+4Finot/rIKVBabbd0O6R3wDw1Wxz7oIQS69M51usKylBiGqWli1b5lo21&#10;yhHmaekZ9qcvMuDv6P+G1vReAmuU6zqzL+iQelN9Eupb9yDdR6IgH8qgregf6OvRnu5bqI9nGoqW&#10;A2pTnF/UH/vM/ma2Q5gns2/ecEOQT+uHf8HvaB9j0HKgp+0hWutj7tpprUui84C6OIcYu64x2FT0&#10;tz31k56xUJA3S6/VgfMPBTbHMeBTy0CyujUP7TWfZ+4AAP/0SURBVBR16phqbQO0Qz3R1qmr2Icx&#10;58Zanizd/CJc25gT2gTA3NBHxr1DfV30NUDnAcL5Rhrq1YeD2Zps2ZEy16YIylE4ZvY3o+XTWD6O&#10;GT+zr5TMjtXXQO/6bAhjQj1otzWeyJw9pmcumCfTRwvdV9BHHWvsm6ZFqHP9zPIBtV3kgz5oMwBz&#10;gn5BV7HNXrtUMIcQ9g2i6yxCQVsxba5tID2Kjh3QVihoU9NNH6v2q9F3oA0K5ozpuK52S9GyYNXr&#10;YshHUNB3tAvUV2mebG309IGg/1FiW71Qsj4p6uugA51fjBW/wx6gXy0HkJ/lYtqcegntUT+zfLpv&#10;Y7y0D+gz+o1ony3bzfJk6dSD2iDG1/KnkZ46emyJebI5QX2UsWtJy2It4HemRT1jPrQsGLMOKJnt&#10;Tt1rMCaMTfPjZ9ZXs0PaXtYXY9Yd2jc+9TrWOmweEvcY+m6kRx+2nb6W/cVYWB7to/9Mg2S+j/41&#10;SyM6NkrmwzFu1KP+E59aPvrAOb4XID8E6VquBfJO8XnIEyXaiEJp+UhKNu8oR2E76EPMS5nSDuaR&#10;NoJP1KFzi/YwZ5gbnTvUw2uaH/PJ+uJegzKU2A/uJy07VDhXkCn3VmSK/ag9Q18shz6seq1jbBRd&#10;77iu9kKJ5VvouKA76hTjQ92cVy2DfJCheRsat/a9Zuuah9cI8lJgS3oOQ320L9a3qjlspRHtK4Vj&#10;Nubepx8LiDt138ELNsPgjokGxB3YpoA4Ok6IbgwtWs4C9dHBtASLNZbtcUI9C1Pz6HVdsFn7Q/S0&#10;TVpj6Rkn82T9jI4tSnzANZeWw65BGepLTac9OmrNx9S0LE9Myxy/CuwfeWK5FsjPza0lmT56dMU8&#10;0Z5655Yydt1QWuXoL1r9b6E3Hzww4CBAyTblmg3M9RGA88hDK9vCOPG7Hv7YX6wTSLyRJa05bqUR&#10;5oljgp6G7G7soWauTVGm+g7KmPnTurJ00BpXrS/K0Dy16pi7RigtnVCy/lN6dIrytGcK7FpvMMdA&#10;abXd0u2Q3gHzxDYoPeNWKLGczrFeV1CGEtMorf60yrdsrFWOME+mS70ZywQ2wBs0c/xcZPrU+cjm&#10;W0Wv05aHRG+use+1zu36oEbbIppOiWNiv7KxEubJxguiX8kE+1ks19P2EK310UojzJP1obUuCeYo&#10;07MKxp6dPXvqJz1jodTmqVVHaw5hgzyPZHVjD8nsVPMO9R9237J1COYo81U9etQ8Wbr5Rbg+IapX&#10;1SXmTMvoPGe2omVbNgd7y84mQ3akzLEpJdbRyk+dZf6k5c9xHf2lZHaMdod8DWTojK7M2WN65oJ5&#10;Mn20wFiHnqmg30P3QfH8g5dTWT6iz95aEm1zjF0S6F4Fus7yEUq2rubaBsqrZH2Juul9NmmOZ9V+&#10;NfMdLbvGXOs6iWWHyqtMWRfMU/MRDA6IonkomW56+qDEddTy9y0oWZ8iqzpDT62X9PrPIf+jadE+&#10;h2w35snSde9UqdWX0VPHMux56loC2n5NanM0Zh1QMtudutcMCfSv+YHukTV9GrPOqOh1XY98L0Ho&#10;1yHRh22nrx3yXWw7W6scU2sd95xDwZAfrJWb43v1fqSmu8iQZD6PxDlunUMomb8mlKzvGG92Hxjr&#10;o0xtZ+h+k4J5Yhm1x0xQX5wvLaP9GKqLovVN3e8iU+xnO9c6aK0XtD1039Bi6GyqNgB6/AcYGneP&#10;rat/0bJkyI+oLaxqDofGSWLbLT9i9hb3kYC4e51y5oWbYXDHZB0C4mCwlNbNqlJzFqiLix91YSHH&#10;BUHJNrkeJ9SzMDVPTKO0NtkavU4BtMbSM07mif3kjTQcD9KgZwrKRMe+DNQhD42b0DG2xgh0k9OD&#10;QY+OWvMxNS3LE9M4NuhfDx6YC2xO8cDUA8eL9YN6Yx0tffToinmiPeF3il6PUGL5ISitcj39H4Lr&#10;gIcD2iz0GfOClg1Qxo6V6ENV+D/+rgcX2hCv0W/WHvy3dNSjP+aJY9K+AfYDn7Dt2vpoMdem5voO&#10;2sJQeaW13klrXC17IkPz1KpjqOwQlJZNU7L+U1rlI7B91dncvtcevoKWfnp0xzxxfFNsCVBifTrH&#10;el1RncU0SmseWuVbNtYqR5gn6oM3fgDrkmsYgp9RLp4F9zrUGSSzbX1pkj3Moo7xyWv056gXD4Q0&#10;P9pDPbRp5InpugdAuAfwZUEsQzC3WhZtRBvlWQmfel1hnto+CNAf5NN+oj3YJMpldtbT9hDcbzId&#10;tNII82R9gO4pcd4UjA310F9RWmMH+rKnVT/oGQt1j7xZ+lAdOJ+pj6C9oP9DNoD+Mw8E9ej66Ok/&#10;9I21on1AftTbuofq0SPztNo3x0O/BTvA3PA67IH+KvpI+kfoOfOPca+LdqM2F8uCHjtSptqUQj1A&#10;4ngjHAs+s/Toz/GJ36lf6rVmxwD9jr4G4xszJiX2CYK6hvaYnrlgnpo+hsB4UFb7hrFiHtQmayAP&#10;y+Kztwz0wbmAoCx0Xmt3rF0StctsvSgcB9rK0sEc28CYKfGcALAmx+rS/CL0J8v0q1ynkJrv4BmN&#10;or4W/YC07HdV66LHR6CfbBd1xby4BsnWBuwe0uqDwv5AWn0aotWnjFWdoafUSzCnLIfPbI4J6tF5&#10;gsD30O+wnmifPbbLPKgjSwdYF+pPMb5WfzOG6qBttPrBPK05QZ1j1xLBfMay+BnXkJaVAT19J5wr&#10;lMnSwdi9ptXvls+iRJ9ozE6A/gRrRa/DtrnO4p5eOyOQ7fS16Df3HQjyYQ2jny3fxzItvwi07pr/&#10;wfiRFv0Pfm/5LDDV92pbrT1TmeLzCHUJGdIZ57s19ppNEFxX3cOeol0uox3aru6zEOgXeoHOYhnY&#10;NfrGuiEoj/nK5oI2DNF+YG57JLOBsftdZIr9AOprO9Y6iOsd/UB/0C/qs1W+RdQp6qnZAPuAz5im&#10;9I5bxxRtnWuvRy/UPwS/Z7awijlspSlj/IjZW5x0xsGhgLh979/ugDgAp0DBz1kehU4Fn3odi5xS&#10;WzQULNiYVqtXgWOgZI4s5olpdBJwEDFtiJ62SWssPeNknqgnOtZMf6tCnWHrcKKwn0ObF/NhXvS6&#10;2qReV9Te4ny05qpnHjWPXldd6PU5YAOj1PS7KnvCJkmp6UL7N9buKK1yOtdoK8szBG/qaG+0q5o/&#10;a9nAHB8B1EZgo6gHoocX6AOC/mr+oRukZc8/D0e1uZ/CXJua6zt6yysteyC0MUhM6yk/NE+tOuau&#10;EUprHVKy/lNa5Wu09NbDGPvO8owpP9UWI5RYX4+dtPRF39Qay1Q7RV8pel1hntg+b4Ra/TKrRX1q&#10;fLik6LkpSzfGmJ1Oz15rjDHGbAe6R7XO7MaY1dJ6n2CM2X3oM8+p755WAd8ZbdXzVJ9DdhdbbT/G&#10;APsRU+OU/WffHRB3win7r9wMgzsmGhB31uHDaSVbAQ4CDIyA4OV763AAJwupvRSFZIEdGvgRXxQD&#10;vnxuBaLogqvdtGiemKYvi2vla/S0TWo6GkojzBP1pDqqBc+sAr6Ix2dmG5hbDUzRoJhakFfLHobK&#10;o6zabJyP1lz1zKPm0eva59q4xqJ1atAUgb5bgRBz7IlR9xDYlqYBtM3DFSRbty0orXL6IGJs/STq&#10;kFLblFs2MMdHEJ0viq5X7S/z6PqJtOa4lUaYJ+qXa2jI549hrk2t2ncAjFfTtM+ZDcIO1N9k6ZSa&#10;zQzNU6uOuWuE0ipLyfrPsWNtxLQh0CYlSx+Ce952rI8ptgQosb65dqaBkVgDMV37C4npLRvrmSfm&#10;ibrE+CHoe2Y/ZvW05lbpmWdjjNnJ9PpDY4wxZqvh/Vzr3tYYs3r4nKn1nMgYs3vgexrsw1n6dqDv&#10;NrbqvtXnkN3DdtiPMcB+xNTQgLgTTznzps0wuGOyLgFxAE5UX8TiZ7z8xot4OFWAl568aYDEGwd1&#10;xMjHABB86ks4SPYyWPPgxS6uoU516viZUnP2miemoS8cJz7RJvsJ0B7GiQUdX3L3tE34gj27uWql&#10;EeaJetLAiCgIMkE5zJuOSdF5HhqDwhfeELSBenAdwS3oI+vUMjHohX1CGcwvy0DXWTAOD6vIR3uI&#10;ZSlxLK25aqVleWKajksFfYJuYPvsby8cD+pmn7KxZjZDW8nSCPNEewIaZIF0zgVsLY41K9+CMlRO&#10;20F/aF8AdgM9ULdaTqG96GeWD7RsYI6PIKpTCMYX8+i8QlrBRq05bqUR5onzoMF/UVAGYIzZ+mwx&#10;16Y0j+o/rgnMQewbfqcNIJ/2H3Nd04W2yXlFOeSLouVAy54I28Vnlj5Ux5w1Qsl0TShZ2+w79Ml2&#10;MZecF5ThetC1gjycq9babaH6z9JBS7etNMI8UT9TbYmS6XuOnUG3FNTDucL1nvLIT4nzrOX1usI8&#10;UZdon/McBfpDfthsbNMsD9gQBbaBtUdbBVi3OseYDy1vjDG7hdZeZ4wxxmwXei835Q/NjDHLgWsR&#10;zzDwc5bHGLN7wPNyCp6VZXm2A7472aozgc8hu4utth9jgP2IaXG/A2fdHRB3wsn7nrwZBndMTjxl&#10;3yfWJSAOwKD5grdH+DJXoTPOBDcbfLmMF3OxLNrPXqpq3p6H3JonS8eLwdrLWxUcmLTcmAfs1GN8&#10;cTyURpgn0xPThiQ75GHOKFndLVpzC4n6gp715X8msAcN7Ijla/OE6xgfJc5Ha6565lHztNJagrHH&#10;sjX0cJ4J9bgKe8JL89Y8oUyrfAvKULmhPlBaL/HVtiGtTXnIBqb6CKK2Ccn6EtdTbR2A1hy30kht&#10;/qD3nnEiz5gHRXNtapW+A4K6NVhkqAzaUvvScmDInsDQPA3VMWeNUFrrkJK1He2Zwrza90zG2o8y&#10;pBfQ0u2Q3gHz1GxxrC1RxtY3ZGegtVegL1PtFH2l6HWFeTJdavmW+GZpdQydIyiYv2izxhizW+g5&#10;NxhjjDFbjd4vTb03NsbMh89is+c1xpjdB5/54plrlr4d4BwAwfPhrXo+53PI7mE77McYYD9iWpxx&#10;cERA3OFztj8gjuDhMW4Q4st3HBz47VctZ4t0LYtyWCwog/IQvLTNyuJlMfNAUI8GdiGdgp+1bMyD&#10;TSFLB+gL+hTHiEMSxp49QO9pm3AM2bfitNII80Q94WUyBGOLfYATgq6gb+bRdKBOS/XaC+aWB0kI&#10;2qjpC0DPGIOWgeB3XB/atDEm1I92IGyPDpdjjbpozVUrLeaJOkS77Av6oWkAeuAcQWp2noGynHeI&#10;jhX1QJZtT4TrgfqEoAznFf2AjBkPoK56y0X7gmCNoi9Iy8oQnRt80kYyemxgio9QVJdZXlyjoI2Y&#10;rrTmuJVGmCfOA8eGz7gWoRfkp05b9WfMtSmUR9pc36HtY5ytshgzdQVBWYwB+Ws+geUoNXtivTU9&#10;9tQBpqyRnnXIPLW2sV/QXiDog64xtI0+sB4I8sMfDs3VEKwTc5Glt3TbSiPMU9PPWFsa0jd0zDYh&#10;vXZGsIZq5dFXSFa+ZWPoK6TVLvNEXWrAZLRB9An9VZut2ZiZD3QNW9W1CoGNYN6mnPuMMWYn0drr&#10;jDHGmO2C5/N4L2WM2VogWI9ZmjFmd4FnkpTaM9rtAM9wIVv5jM7nkN3DdtiPMcB+xLTYf+jQ3QFx&#10;J56873WbYXDH5IRT9n9+HQPizHqih7jWhqcvp2OaBtShvphu2lB/QzfP3BxqARzGbDfqJ1q+gDaP&#10;gJYs3ZhVw+BJP7RcT7jfwVdk6UDPLwyKNcYYY4wxxhhjjDHGGGOMMcbsTDQg7oST979tMwzumDgg&#10;zowBL5EprRfKjBKHxDR+c40DtabBb7lpBQfhxb/1bNadlp9QemzemFWiwZutb3402wOltd/1nl+M&#10;McYYY4wxxhhjjDHGGGOMMevPgeMC4va9fzMM7phoQNw5R/NKjCH6DSv4RhYECeg3O+HfwmiQC75V&#10;R8vjX5lB/C070+G3ZUGga/1XPJgLzAm/LQfi4A2zrmiQEb7mNgap4Hdcp9T+HacxWwH/Xek6fcW9&#10;uQvueQgEh5/QfQ8/4xqDxDGPWtYYY4wxxhhjjDHGGGOMMcYYs/PAl74x3u3EU/Z9YjMM7pg4IM6M&#10;hUFtQ4Jvc9JgOcCAAn87y3SgUw14qwkDA7I6jFkX+K8oh6T1rxCN2Qq49zmgav1AYDgD3lqCudMg&#10;cmOMMcYYY4wxxhhjjDHGGGPMzgQxbhIQ953NMLhjgosOiDNjQUAbAlliYBZeNuMbnfDNT1kZiANb&#10;5oOgOHxLEYIOYxAAruGb4/zNcGangEAj+A0GzFLgX+BnHMBi1gXuebbJ9QN7Hs4X/BfLFOyRuAY/&#10;E4P0jTHGGGOMMcYYY4wxxhhjjDE7k1EBcVkFxhhjjDHGGGOMMcYYY4wxxhhjjDHGGGPMunAsIG5/&#10;2QyDOyYOiDPGGGOMMcYYY4wxxhhjjDHGGGOMMcYYs1O456nNgLhjiVlhY4wxxhhjjDHrCf4lMP41&#10;MP7NeJYO8K+e8e/JKfg35a957asXafh3w7wWy+1FoCvoE/rCv2PO8hijvPnNb7r736pD8LP/vfrO&#10;4C/+4gOLOcO/WM/S9xLbqQvuT/jM0o0xxhhjjDHGGGOMqaEBcb9y0qFf2gyFu0scEGeMMcYYY4wx&#10;OxMEb1EY5KYgqAsBDlE+8ncf6Sq/14BeKNSRMTUQDJeJbWdnoOs9S99LbKcuuA/hM0s3xhhjjDHG&#10;GGOMMabGvU47MBwQh6i5rLAxxhhjjDHGmPVEv+HtATdcV01HUBwD3hAkx7xb+Q1xO+HbmBjgpPoy&#10;pga/GQ6f/EZBfDucvyFua2CwL3xLlj6EA+KO4YA4Y+5iJ5xV/K2KfczdI7aCrf5mYpz/ceaH4B4g&#10;y2P2HrBDis+wZjexE/b0rWavniHg2zh2yDr914TWnPT8Rwizc8G5DPOOOc6eP+6Es6wx68S9Tz8W&#10;EHePk8745c1QuLvEAXHGGGOMMcYYszthoME6PPB08InZbVD8gHJ7oMC3ZOlD2CcdwwFxxtzFTvAL&#10;XjN9UKbuEVuB2ttW9BMvWym2H0PULvwHQWY3sRP29K1mL54h1v2/JrTmZLv7ZlbL0LmMss5nWWPW&#10;CQ2IO+Gk/b+6GQr3f/wf+Lo4B8QZY4wxxhhjzO6E32C1Dg9Q/EDa7Cbw17wUP5zeHihT/Zt90jG2&#10;Uxetl0DGLJOeb1nYCX7Ba6YPytQ9YitY5jcT93zLl35DnIP5DdEX8qs40/obbsx2sa57eusbwVbN&#10;XjxDrNN/TchozYn2jf0128eyv1FVgzWzPZKyXWfZ7fRVwOcHM5ZfP+3AjxwQZ4wxxhhjjDF7DMo6&#10;vAzcCS+Zjell1S8PzTCUqf7NPukY26mLvfhizmwPlJbP2Al+wWumD8rUPWKn4XOJmcqqbYeyV9ai&#10;WR/WdU/fzn18L54hOOZ1+K8JGXtxTnYqW33WomzX/rndtknx+cH0ogFx//OkM+67GQ7ngDhjjDHG&#10;GGP2MvgrK97gUvA7rtf++pB/EYe/1MLv+Iu2O+644+6/3MInfp/y14sowz7x2wsgqBMPr/AtClm5&#10;IVAvbqD5bWkQ/IxrsZ8cH2/4kY7xsD/sy9BfA2ZtsuzQgxPoFH8JqjpAf/7kXX/8C3mhLwjq5jX9&#10;q8Veaf01LPob57hnHAR5W0JdRzDfKMt2IdAndAMdZWUA8/P3OA9or2ZLqrvaHI+Znx5gK6gvs5VW&#10;ndQr1yvmiIK0rIz5RTDPusYh+BnXMhvnmqvJWN2PWV+c89YDQdaDftbSMGYAu4XgutbJdYDr+B3r&#10;hfrBZ1w/U/xdbKN3L2G5lvT6JvSZEtPQDscc55TzQB1jnerY8XPPfoU2ptgedBP1Qjinsc8E5ahj&#10;9S8tXRDOUdbflk8GGA/1BkE52hz7jM9YDqDP0edmktn8nD6b3QdF/V2kZy1sN0NrxtwFpTXfuwn4&#10;WUrvPmgMWLXtUPbKWjTrw7ru6du5j+/FMwTv09bVB+3FOdmpbPVZi7Jdtrvdtknx+cH08uunHfje&#10;YEDcvU47kBY2xhhjjDHG7C7wEl5f3meCF8bIF8vqAwC8TOeL9Siov/bCvoa+LK/J2Bth9KE11lgf&#10;x4cbfvxcGx+u1x6AaCBFTWqBTihbaxOCl/iaH/2naB1TROsl6GdLauNQhuY1PlzBnA2VgY5qbVMQ&#10;7NCa+yx4Qu07m9+x8zMEgmZa9UGgn2wt8eFUDKajxPzmF9H1UxPoV8swKKkmtUCkjLHri3Pe8oOU&#10;LA8FY4h2p+tQ10HWR617qr+LbdTWQdxLevxbzTdHMv8J4DvYH3yiTU3XtcefM8nGTabYno49qxt6&#10;UonpAD6HogFhNV2Q1hxBMj2R1lgxv/RfaoNE52JIok+f02ezO6GoD4sMrYV1gH4nWzPmGJTWfO8m&#10;hs6wxtRYte1Q9spaNOvDuu7p27mP78UzBGVdfdBenJOdylaftSjbZbvbbZsUnx9ML/c+/cB/OCDO&#10;GGOMMcYYc1yAGF4G4wUygw3w4lkfGiLIIQbi6AMACOrgi3nk1fJjg4MQSIIbbdSnL+rRpgb8xD61&#10;YPAK+qnf2IOX4OhfvLHm+PgSneNjm/qCHZ+xL/idwSHoc2xTA73iAxSU1bq1rLarL/BV37ymUGoP&#10;EFrlda4xFraLfrIc+hTL1RjqK8G8UBAQQltAu6oHSBbMQGE+tMs6oi3FOdAxL2N+WiAfy8BmWraS&#10;BVnx4RQFv6MOUJtvcwzMGQW603mDDtVOYqANaNlKD1q+d31xzlvzS8nyRMFaQz+gC8B82jcI+oH6&#10;cB264HjR16n+LmuDfVAdQGp7CaWljxbaBq+hbc49+qR2QeLawzhrPkb3MjLH9qjvzCdovRCdD0L/&#10;inr0eqYLgv5R0G6tv9AX9KdldZ6Rj/rAp9oHBLrQsoC6Rt06HowV1yDZ/M/ps5kO55R2i3lSe0a6&#10;+gLYAWyScwm77FnPLMf1AMHPuBbXnNpCTbRPcS2gvNpqbx9hVzFgHeNEXfR1LdCnWrtcF9maAaif&#10;eSA13SwD9BN1a3sQjBvjr60vns8xRvzeGm+LaGP4mb6C0lNPRtQjBL9n84exQjDH6m+I7i0a7Kz2&#10;mZXLbD32gbocK3F/AZyD2hpW/dZAus5lJtBTVjZD+wQ9Qh8U2o9CW6JfgaDfsIOWv4/z3bNuprSF&#10;+mADaEvLsb3MDgBthbqDnmkX+IzzwnZatkMwDgp+pp7ZP3zi95b+ImrbNUFbWTm0pf2mbrL8ZnuJ&#10;6wZSszPak/rADOZT3425hw3EtrDeUF/NNlEHJabRd6LOmEbofzJfgzZRB8qrvaL/yJ/5So6tJtl+&#10;le0DXBMt/1SDOuS40c+xfh6MXavUN3RQmy/2LdM3QDnqMLMxpccHRUH/Yz3sN/uEsdEuICiTzVuk&#10;VS7OiaJ6i2msD3nwO3Qydi45j0O2iXxajuNhOXzi92zue0Dfo36GbJzrTwW/43rNxmgX1CfXl44D&#10;v8fynIeWZPkxJvyOuWYbmBcdF69zHhUKbQWf0A2lpXNdA1k6YD+pD8I+1SSz+WX5qp61m42Ztpy1&#10;P9Uuzc7j3qcd/KoD4gags6WDUniTkjkkY8xq8fq7Cz0I4OcsjzHbDddrdig2w7RugHYCehM15kan&#10;Ru2mzMwHa5RSuymk/iHxQRPKUDA/2b7EhxK4+YxpU9F2x9zMsi9DD15Jz/ha+mEaxj72QR/6SMna&#10;xdqKD090PjUvodR8c6s8H6bVxgJdIU+8XmOor0D1X+uznovwcCOmq2QPSlvlW3Y2ZX5a0A5gZzVb&#10;4X0qJNbL8hD8rGmmDfQNvbd0hzx8mJb5spat9DBlfXHOa2sDULI8Kq06dGyQ2vjm+DttY+peQmmN&#10;pQXKUfA7xsB5qfUJsF+QzAfp2KIPmmt76of0OkBfVLK+se24J0ZdKK3nZUDHBJvQNOoK6ZmN6H4a&#10;9YH8lMyXsyzqjmlz+mymw/mGfXEtZYI1ghd0nIMotbUBYAu1chCk6drVPb8m6uN0LaCtmmTri7TG&#10;RsEYszUBtA9RoFfqNtNT9AMqLb1OoUe30EM2To4RfVK/FqWlZ5StieoBbWXla6C/rbohsV84o3HO&#10;Mz1zjFEful+oHQLot2VHzK9+dIxkeuG40d+WDjKfDFpzqYJxZeUztE+ZX9G8Q+2jfGaPU9bN1LZa&#10;c0qJtgDUVjLfpPM5ZDvRfrVu2FOtbG1MGWN9L2j5Pgr0rmXM9jDFT/Js1lr/2D8pDORZxl4DqaXV&#10;1jjgGLM8HE9Lop8dWv8x/9gzTw86ppbvq/l5MGWt6jxmdWP+VGI6UPsYeubSYzeZxHrUTlp+P9q7&#10;0tIX/Cr3tszOtGxM41yiX/w5k9pcqj6HRO0s24NUtI0eWnaY2Th+p85qgnvoWA7EvbS2vuJ+13PW&#10;0nbUbrLx6f5HQRmtQ9Mwx60xZ3OsY41ppGZf2+mrkG9IfH4wNX7tfge+5oC4AbhhZJuOSkwzxqwW&#10;lSx9r6AHmLjhG7MuqGTppg0luwHaCejN9zL8VO2mzMyHL9lxM52lE+aL52Pdk/iQMrKq+aOMWSd8&#10;UInx9DzA7xkfoMQHX3xI0eoj9YOHAnqdOq+9wM8Y0jWl1p9aeTxgpCwrWGCor0AfFrXmS/PFNErr&#10;gQd9FnSu11tnrinzU0P12+qn5otzqGPosW1zDH2I21rnmi/aQ8tWhpi6vjjntfUMKFkeypAN69ha&#10;/Zvj77SNqXsJpdV+i1g/xzP0wJbz0NpHKbFvc20PZSixPB9C676n6fpwOY6vpmt9OdWyc+pEbUvL&#10;tvwc9Y469LraSNa2puv1OX0286BOKdAtX1jqiyTaKj5h60hHPt3bs/WhNoy61Y6RX9dwti9SWj5D&#10;1wIEddKO0EeuLwj7rqBPHB/WoI4DaVo+sz21a7RN/cW2IXHNqH6gb+oAZTGurL05cKxY37rW0K7q&#10;MVv/c/Ws5WE3HCvqoB1QkDeWb8G2aZ9Rj5RYr9q47p1xXrSMzrfqELAfGA/q4HXYFOY+5m/VpVAy&#10;vbTWMOpU3fI60fYxJ0zX+aytzRaxT/gdOgA6BtU/rrN9tId55LpcxrqZ2hZAGvSD/qsutBz0rGWA&#10;6heCvGgb19EfzjnqZD34VB+kbahNZXUjL+tDOxT0neV6oaCeLB2gPQr0Fm1ebS+uI7P1TPGTmEeK&#10;2qXCc4CeYWELaGfuXlNLy9YpQVotD3SA6xg/fQBAH9VedZ2TVr1EfRPaqq0J6CZrowbbpqBu9j/2&#10;XcdF5qzV1vMUrReS2UhmHz1Q1B6VHjuhYHy0Q+iHawGCMcTy6l9RljqNZSGZPbT6NmcuYTPcD5CP&#10;8xjXFceqsJzu9SiH8Y+dG21L61P9qL2gHY4L/cj2bQr6wjSi8wFBHZy3OPZsv9PymW6I1gNBX9AO&#10;yiBN54OC61qHplG0LOrSOda1yHSKXle0n1k6bSyzTbIqXwUomW6I+o6xPsnsPn7tfge+5IC4AVoL&#10;mwtGHa8xywAOGILNIEvfKnTTihvnduP1dxe9hy2zd+DNxzod5Lxe50FpHfK3C8wppDW33NOyG84p&#10;DN2UmelQhmyN8x7PKT17Us+N9xQoY9YJboAp8FPZgzWld8+t3T+MFZbDuqGMGd/QWqHU6qyVV721&#10;9DCGob6C1n2ZQp8DiedXSkuPtb7U5n/q/NTotTPAPT/64F5dmV+kxxaB3ifFM9eYOYxMXV+c85YN&#10;UrI8lCEb7h3bWNGyPW1oniydMnVNqh3wBQvW29A9cc/aq82VtqnXIy3bo0/Qh/TMz/5TdCx4UQjJ&#10;XlTU+qVz0COqk545BjV94mE/Jdu72efWOaVHWvNoxsG5hGQvkbjOINlaw16b2TcZuifR8tl9MiWu&#10;S0XXAs6N8b5mqI/UAfLEsoTjgOgLMTBUXs8/0XbZd/Rbr28XHEvsJ5ijZ03L6ka62lprviM1/6mw&#10;7+hDTMvmj89Jsr62/CRl6N6F9PpcSqYX9h+S2be2EV/8t/YYwDnL1mYL7VOmQzJUv/Zd53bKupna&#10;1hC6LmKa1gmpzTHnAZK1DZ+Dsarv0boxtqwc56E2vy0otbU4tKaZB21DpvTBLA/YB6Vm3zU/yXnO&#10;/IumZ8FtNWibme201hTTWn6lVXcLXVPZWu2pd+6Zpwbbhoz183PXqvonvQ5034ZkfZtiH4BS80E9&#10;dgIZe14B1DfyxLKgda4Drb7NmUt9HhHPoqBmf1pnNp4xoDylZufQj45N9ZGtLaA6jePW/mNOxu53&#10;Wr7WPtB+1uaeUFCmlgaJYwHqj6MNaF/1utKyL0BdZLZJVuWrACXTDdC6a31EHp8f9g4aEHfCSft/&#10;dTMczgFxSs/CNmbZDG04W0XvRm62D8+RiVBqB0Kz86Cs45xuxzlpXfbI3YbuJ9nNtFKbg549SfNk&#10;6S1ws4qbZNgbb2yjjF0nGKsK6sVDtOzBT8/4QLYuUN8Y0Rcv2m7viy8wtFYoNZ3Vyuv11sObMQz1&#10;FVCyB3pKa54otTGDWl9q9U6dnxrafmaHSs0H166bYai7ngdilGhPLRscQud/zPpiv1u2TcnyUFrl&#10;Qc/Y5vg70NOG5snSKUPjqaHzwIek2B+mrkmlNlfLsD34R4jWwQf/fBDN8WhZzAEk86+qC70e988h&#10;0RdUPXMMWvpkGuZFfS/6xTNCHM+cPpt5cL7ieidqE7W9tGYP8JWUHnvKXspQ4ppSdC3U/HOtj+oX&#10;W3al+bQvOsZWea7l2L6+AKwFKWwlNb8S08bqWV/i1uxIddma7wj0DoltKmrHUc/xxaTOSba3tPwk&#10;fVztBWOkVZdCyfRCndfWMKDE8rX5iulj5gOwHPa1mq2oTWTphKIvZMeumzltDdGaQ01r1cn9v9du&#10;gNZdW1O6ZrP0FpTa3Ou+XWsfaL6WjZvVMsdP8gwL/6b5ga6tMXtYyzZ70lrjoP9p5alByex+qF7d&#10;w1q2znrGrHeWmeLn565VneNYXvc8SLxX0v11jH0ASjYXoMdOIGPPKzqPU851oNW3OXPZqlfTY590&#10;HsbsbxlqJ71zyj2uNWbAfLH/c/c7Ld9am1rH0NgocY40rWU/tIO4ZrSvel0ZsgPWHfVIVumrACXT&#10;DfD5wUTuder+Ox0QN8DQwjZmFQxtOFtF70Zutg/PkYlQagdCs/OgrOOcbsc5aV32yN2G7ie4Iczy&#10;kNoc9OxJmidLr4E+8UFYS6asE7yEwkMErR8/xzH0jA9k60IfDo3tY2+7kaG1Qqn1p1Z+qN4p9NRJ&#10;yQI2lJa+KLUxg1pfavW22puCtj81+KZ23QxD3cWHhhmUaE9zbKJnLWSw3y3bpmR5KK3yoGdsc/wd&#10;6GlD82TplCntA5SjYDzcH4YesPesvdpcLcP2spcHrJcvJvjCkWPRAJzsYbHqQq9roEBtnmr0zDFo&#10;6VPbzwTjiy+n5vTZzKM1l6DHJmp1aNkeyfpAafmM2lpQmKfVxyHb0xe/vNZbvqYjrHPWi0/4itrL&#10;262gpcs5eu4pCyjIn6VnULe9ks2T9o/zUetDa84ZdAKBnQy9UO21H0rWp5ptKcwTy8d9R4EdUhdj&#10;X6D39El13iPa97HrZk5bQ7TmsGd+9cX0strN8mTpLSi1PqlOs3SiZ8+xdmSWB9dkr6hNqR3F82jL&#10;h7Ro2U9PWo+/a+WpQcnsfqhe1VOPjOlfz5iYJ/a9pU+ltVbpb/V5D/MjTcvqvsc9seceKkLJ5gK0&#10;xtUzZuaJOtV51HUQac1Jq/1WOcI8cex6P5nteSyXBTBhjVJQ79DzrBp6zsnSMyhxPBEGVsKm9HrP&#10;nGieVlprTlvzFqFkY6K0xltrqzUOMtTPIRvTNnqkZasZlNr4h/pPfH7YO9zz1P1fcEDcAEML25hV&#10;0OuwV03vRm62D8+RiVBqB0Kz86Cs45xuxzlpXfbI3caYh+R8gND6K7PanqR5svQMfVGCNrOXEZS5&#10;6wR1sy18aju9e25tXVDG9lGDFcaUHVorlFqdtfL6gKylhzEM9RXw4dqQv9GAh/gAjtLSY60vtfmf&#10;Oj818AKAMqRf2moMEtwO37xb6H34qg/OsCY0rWYrPUxdX5zzlg1SsjyUIRvuHRtlyproaUPzZOmU&#10;qWsS5Sj4XeclrjelZ+3V5moZtqd7OerT3+kP1cfgGn1mfClAoi5Iry1k9Jat6RP9Rn8B+q8vX/Az&#10;+hzPCWBOn808htZGz9zU6tD12SNYG1oeUFo+o7YWFOaJfdSy8WwSycbZa7s1HQH4Dp4bKPBnq1wL&#10;qBtt6BqNEsssS896PUJB/iw9A/cgvQI9Z/MMv6T1tF7eD8059KqCuuAP5/g+SqaXlm0R5onltX30&#10;m7rBJ+8rIUNrI9LTp6inIYmBOGPWzdy2AHQAH8WxZRLb7plfzZO1W2Ns3Vl6C0ptLVIPrbVCKGPW&#10;tVkuc/0ky8dAG67BWrACbBDrb1l7DdNavmXI/8AXo79Ijz6EktnqUL3LOPPUGGobME/sO6/PWav0&#10;oVoH71NoE7QRLct5R3le64WSzQXAdcqYNMI8Uac9vhW05qTVfqscYZ44dtgubRa6xT7I69pmvA9l&#10;nrgO0U6WtwX7hrqy9Ijqc6itmt565kTztNJq5UFr3iKUOEdDaaRnrHpdGernkI2t0lcBSm387N8c&#10;n2R2FxoQd4+TzvjlzXC49QqI440RnQgO7TRmCJxij6HCcWNT5KYJwc+41nJQrYXNvsVDGuHBRzcB&#10;9hdpzMd6hhw8DwW19iI8MFA/0AHKckPj+LUvit6E6cGN5bgZRnAdQp2hftU96kI/auUJyqHvqj+W&#10;rc0Z20Y+/A57Ybv41Js+jE/7BUGfx27QvaDPqv9sLPi9JdEOWRfGDZAOwXVdF2gDY2U6BbrFHEcb&#10;oO20RPMT6C620aNTzMvQ2DmnhPnxqdeVqHNItgYjcRy0+bEPZ3qYu14wRoraEkBdvPlSO2edrYcg&#10;1Bna5VrUOlp9Aiyj67dH92Oh/mgfrTVPptgp9cHf49hQvqVPQltnfRCuw5Z96XwA9h/X0RfqoSXR&#10;PrbSB2LMEHxm6QBjiP3Bz7gW+66wbughSwfUH9ZDLa2mW+ajX+QY6F8o6GurD3PWI6VVfwbmEnWr&#10;rULQh0wXhONCHvQbc0Dh+Km3MYIysS3CM0ePPUIPlJhGMvumPbXWGueV4+P8tGxwN8Fxc55rMB/0&#10;qdehJ0pNZ5onS8/A+qBgnWZ5KGPXSYa2p+PQvtfWLNYMJd7Q0x6xJvV6D71zowytFUpNZ7Xyuue0&#10;fMkYetY1xg6BLrJ0wnzQd0yjxLlR6DPjPLXse8r81OjVr+aLvpJ7GT71uhkGOqfU/A3QfHFfadnK&#10;EFPX19Ccq2/K1jyl5g9I79jm+LueNjRPlk4ZGk+NzCfpeah2Xu5Ze8wT+7YM2wP0gdA997PoDymo&#10;i/njnk4yXQC0TWn51Awt25oj+uOoT+qgpeeMOX028xhaGz3rvlaHrola2SEoLXusrQWFeWIftWy2&#10;bpVsnD36ATUdEd6T0kdTcC3LPxW0w74MSSy7LD3r9QgF+bP0DJ71arrtAXPPeiD4uWYPPXOO67o3&#10;QeA3Y5299kPJ9DJkW4B5YnnYQ7S5KFOeQ/X0iXscJEvvoXfdzG0L+1KPxDnsmd9eG4iMrTtLb0Gp&#10;rUXOcTzHZFDGrGuzXOb6SV0DWHe4ps9mom9b1V7DtNY42G6WB/5MfX1NMltt1QuWceapMdQ2YJ7Y&#10;d16fs1ahNwrvhVgv/S33PN5jwiYotWd0LSjZXADaAmRMGmGeqNMe3wo4/lgetNpvlSPMk41d97NM&#10;aveNBHPJ+imoM8ub0dN/RfU5dJ6o6a1nTjRPK61WHvTYDaFkc0TJ0kjPWPW6MtTPoTlapa8ClNr4&#10;2T+fHwy556n7/3XtA+JouNjQ4k2eSsuh6uKtSe1hWGtht9JwIOPDu0yQxoOdOofag0/kpfQ+uOO4&#10;8altRIFTYF+UnoNb5szoUKEX/FyrB9drzhB6iDeaUbLNjW1D9BBFoVND/a3x1fo1lawvKsw3dNiI&#10;tkbB/MbxMC/GOiQoqzbQshcK8wKU5XqoSe2g1HvDjz5qObYXdUKG6tU1qLT8TK2tOcxdL2rzMX3I&#10;niC1jZ4CW6itRfQp81nQa8v/1dqcgo6/tebBHDul4EarNTboKyuPtofmA/qsHdoptbXes87VPrba&#10;B1LvtTWEeRqSoX26ZVeULA+l5UcB+4hrLf9Ss6FlrMfWGCM9frw2H9QpxpnZO/K07KclsS0wZI9R&#10;p5wLiF4nWEet+pCW+a7evXo3o3tgpiOgthV9hfrkmh/RPFl6hraZvTRSHzhmndSojUOv1+xI7TPq&#10;QH1HTBtiaG6492ra0Fqh1HTWKs+zQe0+Av1AWrxeQ+c4qw/oGkX+LM+QLahke67OcSyvaXH+psxP&#10;iyH9Au4rsMWYh3685udNHX2oDh1neaBvzlGm45at9DA0/9n6og1m9oDf1UZba6PmD0jv2Ob4u542&#10;NE+WznNA7fw4ROb/oEeei2p7QM/aY56o62XYHlBfybYw/5qH/oPpkMwngkwXRPWR2WqLITtXm41j&#10;5Z6Bdsfa15w+m+nQ1mp227Pua3X0lB2C0vKBrbVAmCf2UV/oD/WR/kvXbe8Yh/SsoB6uB8hU3WWo&#10;rjCO6C9bupyj556ygIL8WXrGGN3WoO+F3jnPtfp65xzAl+nYY529dVEyvfSMn3lieZ4JYAuAY8cn&#10;dDLV9nr61GsTvaCvtXUzpy2dI4wnBnZoetRXK43oGSOb3xo9dWueLL0FpdYnPU9m6QQ+hlI7z5jV&#10;07MmW6idch55HszOxrrmlrnXMK01jtpY4Y/p43DGxTjieZOS2f2QDnvW5FSG2gbME/u+jLUKPVFQ&#10;n/7O54AxQFLvCbSuXijZXIAeO4HENMI8Uae989iak1b7rXKEeeLYqWPsdUjjPRsEZcb4WMwRzz6Q&#10;2FYNrntIlh5RWxlqg/3BuPR6z5xonlZaa05b8xahZGOitMZba6s1DjLUzyEb69XHVCi18fv8YCIn&#10;nrL/6zsmII4HCTgsHm56HCqMmIK69GAE5643MdmLldbC7kmDoF4efLD42Sbbi5u91kN0HDwADEGn&#10;Rd2hXd5QoU11atkYUA6bD8qw/wB90Tq1DKCzYx58ogzr0PL41LoBfudGq30GmD+d8+hM1dFCUD/G&#10;ievQN/OzDtQfbQK6iPXOheOFPjl/GCd0ETdfoHMT05QoqB99R70AeTA+tA/b0nGhfW0nsz3kp7R0&#10;Qn2iHZ1rjFXbwM9aTutX3ejazmwEtNYfD8MQtBl1zvmIZaEriq5bjgN90vzLgDpgn6IOtb+ZLlpz&#10;hP5ijKiDOmAZ+iFIpt8oGH/Wp8x+qX/kiesX8xztYA46fgjaRP24rmseTLVTQOG4kYc6jfrUNgnG&#10;TcFaq9kkRH0SiZKt9Zi3pWfqYqt8YGu9ov8UpMf+qG4xp1oWsO7WeCmtuaXUdIuyKugX9YT5pE4h&#10;cU7AMtZja4wR6ArrE5+q09hXXaOEOqXgd+QDsQ/Mi0+9rqjuYhrGS/vHp/YHumKajqFVH/JRMM6a&#10;PaHeqGu2pfsR12jm63YjGLfOB8ZOPSFNdQ/9xvKwZ0rNj2ieLD0jzivnJ/YJEm20BcYIn6x2gp/V&#10;TjS/9h1CHSENeuL+B8nWRNQv+sqxALSta1fLqg6QHtcKrkFU7621Aig1nbXKx7FSh9ADynGcsVwN&#10;1S3WIK5BNzpOoP5S9ce1ynahD9quEgV1MB/a0vmJ5bWPqmcwZX5aoDwFY9b60Jb68WgroMc3mzrw&#10;C5TWXgLRNNKylR6mrK9oM1wbaF/7C0EdWhZQsjSld2xz/F1PG5onS+caQNvUH3SkfWiB/lL0Ouri&#10;uDI/07P2mCfT9VzbAxhjFPUhQG2MkvlMUNMFULuDPvTcADBPGJPOA0Feiu7tyKc+DhL1qfYVBf1A&#10;fp7ptRyY02cznaG1oWs6mzdQq0NtHnOnab1QWj6wtRYI88Q+wpYo2b5NNB9sk9d1jK0+0kfU9ByB&#10;7VNa9Y6F/cBaztJbupyjZ/UrNTuaOmb4FErNX7ZQ34O+qR+OPhr0rImI7iF6vbcuSqaX2vpTmCeW&#10;p7/uHUcvPX1Sm8j0PIWaDc1pi3MHXWXprTnsnV/OQ21dZvTUrXmy9BaU2lrUddLakzUfzxNm65nr&#10;J0HcP2i3uifW8kZgV5RlpZHafqu+vmazlMzuh/zaMs48NXp8KvPEvi9rrfIeAPqlLnFe1zwU1MX8&#10;fIY0Fko2F2CunTBP1OkyznWt9ufMJXXa6tdYWuPI6LUnpXePY75oM3P3u57yoDVvEUo2F5SWH6De&#10;8anXe/paO1OSIRtbpa8ClJqdLssnmd3DPU498LXBgLh7nro/LbxVcGFBso0NhytsipC4OSKNDq62&#10;MFvlQWth19L04IMFpWkAbWIsepDjRoP+at6YHp1XC3WuKJcdRFkvZMyCbzludagYT+Zw1NHEAy3T&#10;MB9ZnwF1Hzc4bRtSc+iUZd0Mt9A+1cYT6d0YVWrOf4iWjWvfa7rE/FJqmwvHE+2bG2u29gDXb7aO&#10;Wv1ulQM6Lu0z+zlmnc1F+zJlvfTMUcZQOZXsplNtNPoOzs0qDjsRHQekpoM5dgpUMn1o/a0DdW2d&#10;tsoDlVodhNLKR9kKHwhq6xU+kes1W8vM07NP94w3y6PSqgNplGxP1bFkc9iidz22+jcG7WtWJ3UK&#10;qc0LYd5WPtVdTNMbrGxtwr9A3+pnWvXxXBPPB0THrnuEzkGc270G/AJ1VBPMd6anIVuOebL0GlhX&#10;NUF/6SfGrJMhiT5S+97qD/pSO1fDzof0C8n2GlxrSfQ9rbUCKDWdDZVv6QCSjaEF1nqU6Fugvyyf&#10;CvSf+RNAgY+ozQOuZ/vjkH2PnZ8hVP81qZ21enyzqQP/pvfJmcBOajY+ZCs9TFlfrTKwFdpFtuYp&#10;NX9Axoxtqr/raUPzZOlYw5kM9Zm0/J/WHc8bPWuvNQ9zbY9EPxn3bOxRKrVzE2jpAgz5Pkq2L7Zs&#10;Fn3iOTHTp/arJZmfnNNnM42htdGz7lt10OaxPqac5emravsqGFoLgHmyPuo9ba2PXP/ZOIbK63qq&#10;6TmDkvmkqVCftbOP+rmYNkfP6tsyvwa9qX8cM2b1/WN1hXYznbTstmdNRGq6w35Myc64hJKNr7X+&#10;CPPE8jr2zHan0tMntEdp5RsLRcc6py2uCazvLF2fC0d76LUV9RHZvRL6D5vUtJ66NU+W3oK2UfO9&#10;Q2saoN/0j8ucYzOeOX6SxHcglMx3rGqv0XYzu9c+RpvTtOwcqf440xH7jLUY08jcM08NjAXSWkfM&#10;E/u+rLWqumdbcX6pI6ZDUE7z9EKp2WvLTlpphHmy8c4917Xap26ycoR54tjVBpd1L9TTH6XHnjDn&#10;mja0x4G5e2lrv+s9a/XYDaHEOdI0SGb/2tdYXvWb1Y2y9K+QmA7UTrJ0sCpfBXx+MGM58ZT9X2Hc&#10;G2LgNsPhfiEg7udZ4a2CzrK1sNSJqJPWDbTlhDRfdHYtZ11Lo/PFotTrLfTAGPuKhUmB09a0FqqX&#10;msNRxzjm4KDlos40raV3SjzU0FFmzphwbFHH2nZLV3SYNWe4THQz7J0/nbssnVDmjKPVVmueSesh&#10;NdF69EDSWl+antlCrayuJb0eoeic6KGodnBaNnPXS88c1aBk+qXUDhWtdnkgqh3ol4n2o7W+5tgp&#10;oNT0AWiTGLde1wN5Sx+aL6ZRetY6JZtXspU+ENTW6zL36dZ4KS1bH9IFylJq81gbZw+UVh9bYxxL&#10;q69M61nDPWNW3cU03niMscVafegrJdqJwj5rm1P26t0MztPwdzyTQeA3oLPWeVH1WNtHmWfMOZmg&#10;be0T7Af2gLlH3yBj5g92At9LO4TgZ1zL+q/7BH5GHrYL0f7EsgrSkU/HAoFtou2W/SINbdKPQ2rz&#10;wnNNTdccd01nQ+UB2uWagiDv0BhqQC8oy7FRn1k+9E3bheB3XG/pn8J50vbYd72fVHrse8z89ID6&#10;0KfMRls6pl3iM0s3fWDe4nxi3cI/1uwE6MO3mq30MGV9wbbVXtB/5qddZGueY6z5A9KzDpQp/q6n&#10;DeZBv7N0gLOltos2W/OmDPk/3ltAtI89a681D2Sq7RGUp2DcWR61rdY5fEgXAH2Kvgr50cZQn9FX&#10;nSf8jGtMg0R96j0/8xLYHOxKx5fZ0Zw+m/FwPvCZpWPOKDUf16pDbQJzCrvQ8wDqxLxijjN7YN2a&#10;jjrVDuDLKLwWYZ6hPsLOdd2hTfoGSOYfuB4gyMu+xbKQ2D5+h71rm1wDlEwvgHmyMdVgf6BPXaNo&#10;X9c7RMuBuXrWMSEf7SBrG+mxfAstj3ZUZ9Anxoo+RZ/FPkEf0S4pyKNlamsCP8PGYSNqnxgf6ofE&#10;9gEFY0AfQPSflEwvGBekZQfME8vrnhkFZQDGo7rpoadPQNtHXl0HaBO/Q//Qn5ZDXlzX/EPrZmpb&#10;3GsharfZ+lZ7ADVbiaAuCmxI+wZb4H4Y7Y1Sq1vzZOktOIfQB3WJfqltq06hC9U58uq6jPNhtp6p&#10;flLzUGiTqCfLy7UB+1nmXoP1R0HdtH30La5HjEXL6jpDXtoyPrVNSOZrNQ/HhDp1/WF8lClnnhpc&#10;j3FMCvNkfV/GWtX5p6Cs5lF/SdHxj4GSjQfofIxJI8yT6RTzRlFbgW6G7Ay02p8zl2pfUTCHKIe5&#10;Zn8J6kGa2iM+db7ws5ZpoTrQ9vDJfVjHh+uweQh9AvuBNNUX6mY5onuZrrdaniydAj2hbcB1TFrz&#10;FqHEOdI0CvJwvJhD1QWvK7oeOS/Ip/2jxLJA83GMW+WrAO1Xy6I9tctl+CSze2DMG9gMhbtL1jEg&#10;Tp1bpOasep0LjJ0SnXKr/VoaF1Krzxl0UvGQB0dByZxXjd7xU5A/S8+o6XwoTanpb6xo2d62W85w&#10;FahzhZ7VMWescu4irbZ69Ml57BWth4cX6EfrBLB1ronssFSzHx1Pj6juWgenVdFrs7Xx9pbPoGT2&#10;Q2nZFiW2q4cdzC1+1/RlMlZ/vRLrorT0oban12tzF9EbhOiTKK32CaWVd6t9YE0HNZ1Fevbp1ngp&#10;WR7KkG57+so8Q3OdQZnTxzHU5mQoLdKTt6Y7+FfKmLHV6lN/0COxz2P3arP36N1zzPpCWaY/NcYY&#10;s7XwzIZ7miwd6DnTe/b2M3TP0HPGGqpDn522JDvj6zMMFe1L7R5EYZ5aH7WOmrTsms/QMsF9Pe/z&#10;Y/vUXU1abfIZGSRLz8D9u5aLovddsexcPWPta/1RUJb6wM+xfIuhuin6XF9tO3u2qc9m1N5qa0Kv&#10;ZwK9Zzau7ahoHkqmF+os0zmp6RV6a9kDpdb3Gj19Iq21Q8HLWi3D+mtSWzdT2hqyLU1TewA1W8kY&#10;8pNqu6Cnbs2Tpbfo8b3QDfxbS2A7GJvWbbaHKX4yEue79l5hlXtNa63AN9T2W9DyAegvA/0yX6vv&#10;plRi3jlnnho9PpV5sr4va61G+0G9mo4xqaBNTR8DJRsPaNlJK40wT02nLVtpnetAq/25c8m0IdG1&#10;qf3JBPOqbQwx5EtgS/F9FvrT8gkQjC3aFFjGftdz1uqxG0LJ5oiCs2VrzFP8J3yUvqfMym+nrwI+&#10;P5ixVAPiILshII5l401GBiUu2Fb7tTRK7caoBh0mFqE6ZS7asZt7r3OlZI4Vjgj94lgziRtEbT4i&#10;mf7igWZI4kba2zaIBw46+mxDnEu2gWPcNWe7jLmLQB8Yc+sgkZWh1PTJQ3yPwLZ1c9P60Tem4VM3&#10;Ky1DMvsBrYNkJvFQkB0GUOeQPU2lR8egNt6h8rA92DXKZYcUSGY/lJZtUbJ242EHbcOXZHM5h179&#10;zbFTQGnpo7ZuKbAjvR5pjYXSs9YpQ3njWlmlD6zZL68vY59ujZeS5aEM6QvplCwdME8cJ1nleqyB&#10;tQh/WlsDWV+p09o4lJ68Nd2pzddu0DJq9fXeZFHiOW3sXm32Hr17jllfKFP8qTHGmPWA0vLl3rPX&#10;i6HnmngOQ4kvt8hQHQD38bjP1Xsf3HfhTD/0PAL3I3ovgDKany+GUJ+WU5in1UfYY+wjfu597oR7&#10;E+0nfub9Cu+HYvsYB8av5TAO5Bu6D6OgbJZeg3Oh971oD2PkfGe6XIaecV8H/6A6ZttI57MQ1BPL&#10;9gA98z6YAv2gjXjvSJ3X9Ie+Ukd6T91aE2gDbaluUT/muPU8R3WCslF/rC/TC/JCYhmFeWJ51UHs&#10;H8aG/Gy7VX+kp08K5h95VW/QB/SOPsS+zVk3Y9sCuBbtFm3TplhXtIeWrWRkfcPv0XZBT93Mg/qy&#10;9CGGfC9p2X2W32wvmK9ePxmBTVBQJstDVrnXRNvEz+w7y6OtWA4gn5bFusb6xjpHGQjqyMqi38wD&#10;QT2Zz+HY1WdgPND7lHXBNmtjAkN9B3PXKspTMJYsj9rWkD9uQd3VxtOyk1YaYZ6WTqOtqJ1RF1n5&#10;Vvucp1a7zBPHjnmCoN7o9zF/0Df1pm3DtlFXXPf4PbbRC/fFuJZatoTrSNcy6CfGS71m0F9A4rhj&#10;ntacD521WvMWQR5Ipj+mYbzQk/pBfOL32jgI0mkHEPSbfqpnrLE8dL4VvopEH436srow7+gn9QNB&#10;uTltm53FOUePBcSdcMr+z2+GwR0TB8TdRav9Whol1jUEnQyEzhnOh9Jy2Blon5KlE0rsLze/IVGd&#10;g9p8RDL9qQ7G6g/0tk2QB85YBc5wVY4Qc8hxU+KmCObOnQIbim3WJJbt0Sc3krgOekDfdCPMpGb3&#10;mf0A3YT1+hjQLxw0Yt+mHt5a9Npsbbyt8tCdbvQ1yeyH0rItSq3fWEfwI9oH/Nwa51ha41fm2Cmg&#10;tPRRW7cU+Bq9HmmNhdJqn1B68qKdrfCBNfvl9WXs063xUrI8lCF9IZ2SpQPmyexs1esxgv10yL9C&#10;sr5Sp1lapCdvTXe96zdSq483lZAx9UV692qz95hqs2Z9oIzxp8YYY9YLPvjG2RrnNr13wc967u65&#10;zzDG5OgzaZ+dzBTwspICe8ryAL6D6HkGYYwxxpjlo+e+VqCh7u1ZujFmd3DRxReU666/plx8yYVp&#10;+k7h8DmHd39AnAZ0af5IFohGWu3X0vgCutXnGnywxxev6A8ED/Ni3iFqL4wjFH24oTrFOOIG2Hoh&#10;2EpTavqjTHnY0tt2BJu96mvK3I0BD2k1cCuOdc7cRbSuLDK81VaPPmvz2APXKPoF+NAan9DPFPvp&#10;1V0v6APXJWSMXfXQo2NQG2+tPGxaXwLAl8SHT5TMfigt26L06ERfSuCz9SBsDHP11wulpY+a7dF+&#10;htrWYJ4YkEZptU8oPXnJqn1gTf/L3Kdb46VkeShD+lL9ZOmAeeI4t2I9RqgXtIty0aZqczKUFunJ&#10;W9Md+kQZM7Zafb3+oJehvdrsPZZtY2broXg9G2PMzgX3BjxbtwTn7vj8wxjTD59RLPMZjtlb1O7d&#10;I2OeQRhjjDFm+fQ+8+zd240xO5uXvfyl5VP/8KnypCc/IU3fKWhA3Imn7PvEZhjcMTmWuD+tYKvg&#10;DRECCrJ0oC/U9QZdgwtaD8FaQQitG7JaGl+e4oGBXu9B+4KxsI2hbxbK0I2p9uBCo7k16I06rY2h&#10;tTlqWi2SHP2hoC1NY0Bha85r9G7aNXqDM5ZFLVCm91BBab3UYxsMsoy02urRp3671NgHZHyIPWWu&#10;auuPQaSQmv2NRe21pespqI6nrJfaHOnarvk/SjYmSmu8lN750z5NmfOM2vgjc+wUUKL+Fa616Lt6&#10;9wTmgw+MaZQe+6NMsdVV+cDael31Pg2G1i9lSF9Ip2TpgHliX7ZiPSo6Zuguy9PS25BOlZ68Ld1x&#10;H6jtURm1+jTArrVWx1Lbq83eA+uX0vJZZn2hz6n5RmOMMTsDnPtw3uNZlAI/j2vZH6AYY8bB57PL&#10;erZm9h76LAT3/PG5HX7nszBI/ANIY4wxxmwN+j4Bz8Kxh+v9FJ6D6jP5KTELxpidwcNvubl84Qtf&#10;WKz1F77oBWmencJZhwcD4vZ9Z50C4iCZg4VD5ouN+KJSX4zWXrSiPG/wsxedbH9Mmgbk1F62YCxZ&#10;mm46Gpgw5eGDbk7YwHTzIhwDdKjprcAMoMEJ2c0sBfVmLwy1b7G8jjumDaFtjy0LWi/tV0HNhlS/&#10;2bwRCvqdpQOuj9oBRR88xDR98VuzQX240epHhvatNc6Mmu50DcW0OVDGjnGIueulZvNqQzGACOjc&#10;ZmOitMZL6V1rtb7OobfOOXYKVLIHdNqPWH/PnrCM+SBcV1MCglA/JUufSm29LmOfhv+AYNzRj+B3&#10;pkPm6LZHN8wT+7kV61HR+jJ7HdJpbb4yuIfEQFClpTudn8z/oa+oW9Na9TF4LbOHqYzRhzHGGGOM&#10;McbsdPgcw/dAZi56z9+SZf5RmzHGGGPGo++xWoLz4bKeuxtj1ovLr7isfPCDf7lY65/+9D+Umx72&#10;0DTfTuHAoUN3B8SdcPK+92+GwR2TdQyIg+DFK18m4+UoX3xCsmAIDa5CWX2higAJLZ+9iG29BK2l&#10;6YtmvJDFi3BuDugjy9VebGuAEqQWlDaEvjCGYKzUEXTYChLQl/dIY/+ho9i/qHcNDIFAB3whj3q0&#10;7kyv6BsDOvCJ9jWAAH1AHdALPrWsth37pXlYVuuFPbBdjFHLELTNPLX6I+g/xgkdUI9RD61xYJ5w&#10;DX2NQWmUOH8K50vnAUT7h2g5QkFe9BtoPUDrQX91LaHfyA8dRL3q+oyC/AC6od4UpDFfTNN6ka56&#10;Q134Hf2ETrQc8uK65kf/da1kfoJw3bfmI6JzDdF5inaSjVXLq02inxTonbaOT/RPJesvpTUWSlwL&#10;GAPmQHWFn2knUe9krv5iPyJT7RREQR9pl7AXjAmCz8xetW2U5XwgL9pleeggK0/p0Q3GAEGdHCP6&#10;yDahp6k+kGshs8UW7FNWbu4+jTwU5NVxallIpj/KkG6RTsnSAfPEcaLflFWtxwjnEjrg2oj2Bsnm&#10;pDVfEe0/fRfGq+tR8/AaUd3ALjGfTEN99Au99ak9oCzq0DWFemBzuj4A6sR4NT8+W3s1+zZmXowx&#10;xhhjjDFm3cG9Ee6Z9JmBMVPBfTaehfAemoLnFfH5nDHGGGO2Dzw7x94c36tgD8ders/ujTG7i0su&#10;vajcfvs7y09+8pPy/e9/vzz72beVc887kubdKew/++zvHQuI2/+2zTC4Y6IBcecczSvZCvhSFs43&#10;OmCV2stIvMyEk24JbvD5EjfSeincSsONnL5wjoKx6AtaRV/mQvDiNss3hL4w1oCeKFn/0beWvjVN&#10;X1ID/E5ptYsNtPZgZUh/lDhv2nbsV5Ynk9YDH30x3vsCXOchE+gyK5fpP84VpdWXHlukZOU1WEVF&#10;8wzZCwX2EMv1zHM2J631B1q2R4ENahnWWZPWWoSeKbU+ZcxdLy2bb9UHnfJBVGY/lJZtUWK7Q5Id&#10;mpehv9iPyFQ7BRTsJzWbxfXaDQHGN9Q25gP5svKUHr8T9xAK9aM6yyRbb0THnqXXaK1XzMucfRq0&#10;bB3rlu1PtXWAdEqWDpgnG+eq12ME+moJ7THra2u+IrAVtQuK9nVId0N9jWtybn0UtXOtMxPoS9uY&#10;6rOMMcYYY4wxxhhjjDHGGGOMWQcQDPe2t791EQwHXve615SLLr4gzbuT2H/22d9nvNuJJ+973WYY&#10;3DFZt4A4vmzEC0u+NIbgJfpQEATAy9EYyICXm3hRXnvxD/iSHp9j0gDqxUtc7S/aRFAVAgCyMkT7&#10;WQuQGCK+MEaQhAZk4OdWgAH6GPWtZdjH2L8YoIJ06gqC+lDvkA7YvvYZAluAXrN51xfULb217KHV&#10;L9VpLfAlgvow57RlCn6P3zajoBzGyT5Sb5qHaa16AG1Rx4vxc34gSMvKArUD5KvZPPQaxwm9In9m&#10;a5xbfEa9o18YF/sc28Tv2XUF40O6jhvjoO5jm9ATbEBtjuMdmm+1+1bgXETLcT44NsjQehmyeehd&#10;x6P1sZ3Mfqizlm0xT2wX44i+Dz/jWtZHlqGM0d/Q+DPG2imgUHe6nvCJ31t7CUA56LPmC2pzDHrm&#10;Q4n+Hm1o/zDOuDaQf8gHUpA3S6/BMeMzSwetPg3pFqifgqAu2BXS5to6QDoE+bN0wDxoL0tf5XrM&#10;wPhZLwT10FZbfWWZ2jgiWHvaDsaoPrNHd+wrxwrB79ma7KkPY4x+CPlhg5lNDa1PzQum+ixjjDHG&#10;GGOMMcYYY4wxxhhjtpuLL7mo/NFb33J3MNwb3vAHiwC5LO9O44yzzv5BMyDuhFP2f34dA+L2Chz3&#10;2KADBS/ZKVn6qtCXxAxG2C3gpTcEL9VbQSNmGARLUFq6pM7X3QfoeMbY/W5eL2OYqr+tggK/mqXv&#10;BbBOKWP1sFf3crN7WXefZYwxxhhjVgP+ZcgFF5634/91iDHGGGOMMcYYY/YueK7xe7/3u+W//utH&#10;5ac//Wl581vetGuC4cBpB876FuPdTjh5/ws2w+COiQbEHT7ncFrJVrAXX6LjW0sotW8r6sEBccuH&#10;31yzl4NilkWvfe4UH8BvRxrbz928XsYwVX9bBWUvr339Vq6xAcH8VjR8Y1eWbsxOY919ljHGGGOM&#10;WQ1PfeqTFw+Jr7zq8jTdGGOMMcYYY4wxZt15+ctfVr773f9cvOt6+zveVi6/4tI0307l+IC4fU/e&#10;DIM7Jieesu8TDojbHhAwQJnzLWQOiFsuCE6EzPnWPnMM/XYdBBZEW8HvDDiAzAkOXTUMYkWgUPw3&#10;fEPs1vUyhjn62yooezkgjv96Ems3S6+haz3715PG7DR2gs8yZrdy/gXnlofdfFO55tr7p+nG7HZ6&#10;/m14Rqsc7rPwvMV/uGDMMNdee3X50pe/tFhPj3zULWkeY4wxxhwPgsivvOqKct75R9N0Y4wxxhiz&#10;tTz1aU8pX//G1xfPN/78/e8r97/6yjTfTubUfQe/w3i3E08586bNMLhjogFxZx12QNxWgQA4PKSG&#10;zH0g7YC45cJgkL0atLQKNPizJfi3qVn5dYHjmBIs5YC4efrbKih7NSCOAcFj9mJ+KxwFe9ucIG9j&#10;1oWd4LOM2a087elP2ViDnx0dnG3MbmHqPX6rHJ+5QHyva0yb2//X7Yt/I4J188AHPSDNY4wxxphj&#10;4JtG3vJHby5ve/tby3XXX5PmMcYYY4wxW8dDHvKg8pnPfGbxLPDvP/n3i9+zfDudk/ed9Z+Mdzvh&#10;lP1XbobBHZMTTt73/nUIiOM3ROEzS99t8Jt0EDgw92H01L8en8vzn//cRbsQ/Jzl2WkwaGndA7N2&#10;Igi0wfpmwCEFwTQIOtgJNsT+ZmlD7Mb1MhbIun/zIgOV9+o3nOGFD3Qw5tuwNOAVa3yv2rfZfUD8&#10;bbFmKtt1Pt8NIKj6zjs/t9DfB/bofmzMKgLicI8Lwf1Y9scLu+EcvNfP8mY5vOSlLy4//OEPFrb0&#10;m694+eJbS7N8Zvfgc9v6sxf8O/ZwfWaK5yvr/MeG3nNN5FW/9cry4x//uHzrW98qD7/l5jSP2VvY&#10;T+wdpu5htpFjQGcQfGbpq8TzsLVY3/Pvv/AOEu8ygf+zT52LL7mwfOAD7y8///nPy1e++pXyuMc/&#10;Ns23G7jvGQe/x3i3E0/Zd3gzDO6YaEDcgUOH0kqMMcYYY4wxxvQxNZhlr3P11VeVd73rTxZ6+49v&#10;/seuvlE3psUqAuKGoKCOLH0nQNnJYzDby3Oe++zy7W9/e2FH73//ny++7SbLZ3YXPretP5Td6t8Z&#10;tB5lnb/RleI91wD8e/F/+Zd/WdjE+9733nL1NVel+czegmI/sbuZs4dRbCPb+1/0KJ6HrYGyl/WN&#10;sVOy9CG0vO22zmtf+5rFH/uB57/gebv6X9r/xukHfuCAOGOMMcYYY4zZIube2O9FEAz3jne8faGz&#10;733ve+W3f+f1aT5j9gJTfcgc30PZyQ8TKX4gaqbwjFufVr717W8tbOgTn/iE/93bHsLntvWHshv9&#10;O75Bh4Jv4Oc36uC/y2zHN8T1fkMNxXuuedjNN5aPfexjC3v4yle+XB7z2Een+czuofebfSg72U+s&#10;+r/+rLr+VTN3D6N4L3FA3G7AZ6h+MHZKlj7EMv8L4zJYx2/9e9SjH1G++MUvLvqFf2l/6WUXp/l2&#10;CxoQ9z9POuO+m2Fwx+SEk/e/zQFxxhhjjDHGGLMc5t7Y7zWuvfbq8s7b37HQ1w9+8IPytre9dVf/&#10;1ZoxQ0z1IXN8D2UnP5Sl7OQxmO3hMY99VPn61/99YT+f+9wd5YYbrk/zmd2Jz23rD2U3+ne8xKOs&#10;QzBE7wt5ivfcvc2NNz7kbh/6ne98p7zghc/3vxrfA/Tum5Sd7CfUR68i6GLV9a+auXsYxXuJA+J2&#10;Az5D9dO7j+wUKOsypxdceN7iG+8hH//Ex/fE841fP+3AjxjvdsJJ+391MwzumJx48r7XMcN+B8QZ&#10;Y4wxxhizJ3j8Ex63+NcG3/3udxc3SBDctP/Ju/44zQ/wF54o881vfnOzxF1/jYW/fmuV41/J8S+l&#10;kFfrwM/4665YLoJyrAuCvuOvUDGWLD9AGT6UoAyNk3/Zxd9xQ6v9Rfmsv9q3TIYeiuxF8O90/vRP&#10;37XQz/e//73Ft8RddPEFaV5jlgl9INYl1zyEfqX2QJ9/xY8y+B31ID/rwKf+dXyNVrmpDwdb5bJv&#10;cuBYWpK9mME1+Dv2HQIfifZr49Z9AHkwVgrSmG/svIwdA/XQ8sfsq/aLsDzTMGb2EzqI+xHnWffa&#10;nr3LbB2wR/6bty984d8W33ST5TO7l6k+12wdFMxVlr6T4TdcQLL0rQb7I2TovoWyG+fE9PHQGx9c&#10;PvKRv13Ywfe///3yqle9slx40flpXrO76N03KTvZT2jAV3ZfNJdV179q5u5hFO8lDojbDfgM1U/v&#10;PrJToKzLnL70ZS9Z/PcV8PSnPzXNs9v49dP2/5jxbvc46Yxf3gyDOyYaEHfmWQ6IM8YYY4wxZreD&#10;AAINNIiCF/WxDB50tcpAcNOfBUPwoQCDHGrSClLT4Iko6FcMkkA/Wm1BsnECCoIVNBAuCgP8CIMo&#10;ajL0UGSvcdX9ryi33/7OhW7wEgU25pcoZqsY8meQ7KWEvrSAz6rVA99RCw5r+VNcV1+Sla/ReqiY&#10;pU0JiIMfb0lt3LoPZH6V+cbOy9gxUA8tf8y+Znm0fLYvaVst+4AgLe5dZmu55NKLyt9tzOnPf/7z&#10;8u1vf7s87vGPLeeedyTNa3YvLd9p1gMK5ipL38msm/219kCFshvnxAyDb/j+67/564UN4I+acP7x&#10;HzXtHXr9FmUn+wnYNkXP+cti1fWvmrl7GMV7Sf/+uwoonod5+AzVz1zfsW5Q1mFOH3bzTeXOOz+3&#10;6M+b3/Kmculll6T5dhv3ut+BnzUD4k44ef8LHBBnjDHGGGPM3gCBCnxBj08EZjBNX97rS3r8zOv4&#10;ZhstgzQN3si+UYcPBSjIw2/GwUM/DY7IvjFHb5T1W3XwybZju7yOfmNcDNBAGa0vu1mlcMzIU+tv&#10;9tBS649p5i5wQ/6mN//hQkc//OEPy1vf9kf+N6lmS8H6hj+BP9MALvWDWOtaBuhLCwh9DNJQT/RX&#10;sXz0wfQhsSwllm/R8j1DfomCfFk64LejQZCPfhF9V71lD4DjPoDfoXugbaKOKfMCKK0xUA+th9Ts&#10;a5aH5SnYE9E3zKPqRAP1sB/pnoqxcR/BmHScZmt5+zveVn7605+WH/3oR4s5cjDcPGD/c755k2sO&#10;awL5+c2KqCuuI2VueV3XvMY6IVizml/BmCm1+mugXvRLdQXfAB3Sl2QwP9oD9Fm43vJ/GWhHdQXh&#10;fMU+oL8U7nsRlINEP81zOfc81MV+Q5C/1XdKK89W6RNjyNpB3jH+nDqpif7hDfO2xs/+xD/YASyP&#10;NK4PCtK0fE1i2xRex6faEeodWhPoC8pBfxT0A2VpKxHUyXz4HfPOdvGJ32MZs1yuuPKy8t73vWcR&#10;TI77uNe//nX+o6Y9An1JTbgPE8ocPwGw5+ieAcHvtb1oiGzvi/XpfU9NYp1jzkBj6yfL2oMiY/fQ&#10;IVvI9qIMCm1EQduUqD/2E9e5l0yxLfQzsy3ulzE/x408MQ2gDPtW0wHmkKK6ZT9qdYM58w/71v0W&#10;P3PPpGTzAKBL2LG2m0mm83WxWcL8c21HGdJL1CuF16f0gX3XOUU/ULZ2hhqixzcS+rCWvaIvEHzG&#10;NPSdgt8xXuaHoA/IU7MR5KfUdDVHR/TpLV1oH2oydS6mcvElF949N//0T/9YHvKQB6X5diOjAuLO&#10;OHhWWokxxhhjjDFmd9B6qARw04ebxezBDG4cazejeuMaHz6wPAQ315oGcINIiTfaaI+S3UQD3Oxp&#10;vT03xrz5xphimkp246/1Z+OJN/bmePDC5BWv+M3ys5/9rPzkJz9Z/MtUv0Qx60RrDau/gv/IfAx9&#10;Hh6exTStO3s4hmuolxLTW7T6PeSXKMiXpQP2q+fhftSL7gP4WdN6WcYYWEerD+xrlkf70LMn1vYt&#10;lBvSp1ktsFF8OynkDW/8g3L+Beem+Uw/6rtqUvN7EKy56ANVcH0V5Wu+hf2orWOg5+qaP4ggn56b&#10;M0Hb2RkUUOA7oq5avi2C+mN5FaRFX84XSkiL48WLSUrUM/0q8uDsXJOarimZf99Kfep8ZwL99NrB&#10;UJ91b6D+WvsbJcvD8ui/vhSkIE/LFiCxXkqtTkhmQwTX9SVjJtmc0V9AkB6lpSMzH9yz/dFb31L+&#10;+7//e8Ef/uEby8WXXJTmNbuPIb8VfSZlqp+AP6X/qkn2PKYF2mr5O+5f8MFDovUO+VCI7o1j6wfL&#10;3IPI1D10zB7WghJ9t441m2MK2qntJUN7UM0mKag3ltd5i889gZ6F4nogHFt8VkBbHypXk9b8t9aR&#10;nsuyPVTHNCRRX+tks4Qy1XYyhtb/upyhWqDO1jji2R5jgtTsFbRsmuUh2XmOUrMRPQ/GvoE5OhrS&#10;BX0S8g1J1rdV8tu/8/rFHyuAZ9526576g797nrr/54x3+5WTDv3SZhjcMTnh5H1PdkCcMcYYY4wx&#10;ewPeEOIBQpYewUMeCm7WszxA88Wbfd4E40ZWryuUWFZvjHGzqWk1+NCldWOuN8+xXkprvBxTfIgF&#10;9MY+pu11cDOOm/Lvfvc/F98q8OEP/025/IrL0rzGbBeth2uahofDmkZaPoAPPFv+UB8cZ+k1Wu0O&#10;+SVK9MFEH4Rn6YQSX4Kozxz70Ju05gVQamMA1ENrf2Bfszyqx9qehPFRsn4SttO7H5vl8aAH3VC+&#10;9rW79I9/+Xb5FZem+cw48OIALwjgL3Sd4yzHlwqZ7+PaZh58ogzr0PL4jD5kbvmaf1RfHMsQnqvH&#10;vJDXF49ogy9U0Yb2FZL5mSioDzpAWRDzZ+gLHPggbQfzx70q6iuW43Xkad1j0N9xbNomxo/fKZkP&#10;p2RpW6VPfQmOftTaae0vGTX7U6i/bPyEkuVheQp+xzyDmJ95h8YRBfXQVlQf2b2S2gtsDf1gGuZI&#10;7SHuo1zvFLSDtnEdcxTzm+Xyilf+5uJfpEIwz1dedUWaz+xusOYoWTqJMsZPAPoC5EN+loX/1T7g&#10;51i2BuuE74l7H/xey+e0/Av6iP0D9bCfQMfZOgNBWvWvag+au4f22kINis4h2qWgf5qfREH5XttC&#10;Pj3nQLcsG20L5ZnGdEq83wWqT4iWJdz/4tha+++c+dfxoE32CfZGPVB0HgDysm5dM7iu9Wa2u642&#10;GwV9o06GbGeI1hwqUcb0AfloQ5iTMWeoFmN9I+e/NdaWPtR+IDoWjFHT0bdYHv2hxL7N0RHKUv/4&#10;1LI6N9G2KOi3Xt9Knv6Mp5VvfOMbi3784ZveWC697OI0325FA+I2Q+COFw2Iu98BB8QZY4wxxhiz&#10;W8GNHaX3Jq11kxnhjWG8WW3dBBPmif3Sl5F6vQXr6pU4LkpLR3pzPiZtr/Owm28qX/ziFxe6+dQ/&#10;fKo88EEPSPMZs520/F6PT9Q8MY0y1b+0mOOXKLV+afkeifX07ANDDOmeUhsD4Dh69qMsj+ohphHt&#10;Z4/M0YmZBl7QICj7y1/+cnnwQx6Y5jHLpbV2dM3gLJm9vNKXangZoWlzy9f6hnooKK9pMV1flrTQ&#10;vtZ8ldabvQhWqdUxBF8EZS+YgL4MimNXfdEX87yOMiir+QH9KiQbk764yl7+UeJ4t1KfNX0Q7Utm&#10;gzVUn1k6oP5a/aNkeVT/Q3sO8w7lU4lrCui4+LKacD1irjN7AexHtFHVM4Q2aFbPU5/2lPKVr35l&#10;ofcP/+2HfR+3h+nxW0BlrJ9Q313zqSwP/5ylZ1Cm7NtT/U1LX731r2IP0jLoY5ZnaA/ttYUaFLYP&#10;O6Fk7RGVsbalaTWdc5+CxPoRYAPJ9kmeZSixrOoz2mBr/506/3qey+pFOvRMiXaAPlKiHkHrPLmu&#10;Nqsy1naGaM2hojK2D3POUC0ovb6RfWyNtaUPHSPWVDYW2hck6kFtIa7jOTrSdxCZXaIf6G/sD6Vm&#10;l6vmIQ99cPnMZz6z6APOaDfccH2abzfDWDcHxBljjNlx4EAIaR2sjDHG9KM3jGNvciFDDwNqN7u1&#10;6wrzxJtHXscNp15vER9CtQQPaabcyKpexqTtZfANAh/60AcXevnKV75cHvXoR6b5jNkqsPbxwIt+&#10;JpP4cK314C3LE9MoU/1Lizl+iVLrlz4o75ExD/gjU+YFUHp02+pHq69DegS8h+kVjDWrx6yG5z3/&#10;ueVHP/pR+elPf1qe89xnl/POP5rmM8ul5Ts1rXU+pcSXW3PLt9Y1X3pm51ANAotpNdSX1l7QAM0X&#10;0yhjXnIpaJeS+VJCXxjbQXmetfGpLx6zl3qAdbXO8zoPvWfzrdIn7IqSpRNK7eVvRs++Qv3F8SuU&#10;LA/Lt14MEubFZ5ZOKLU9rLXmua5a46Fe4vrSesfo2czj+gdcWz75ybt83j//8z9v3Mc9Is1n9gY9&#10;fgtQpvgJ7rEtX6TlewNqGKTTu4e2+thLq46e+le1By1jD+21hRoU1KPjRJtZfkKZYls8www9Y2S+&#10;aIO0TYjqTc9DsC9IHAcDdbKzY23/nTP/WhY/a36CMVDivjw0v0xfZp9bLMNmKVNsZ4jaHEYoU/ow&#10;5wzVYqxvrM290tKH2lZtLlUP8R5jVTriuu/VA6G02hwD/kX9/a++slxw4XlpunLFlZfd/az9S1/+&#10;UnnMYx+V5tvNnHP0WEDcCafs//xmCNzxcuIpZ960DgFx3CDGGtm6sA79b22mxii7yVa4UfcemszO&#10;AochznE82BhjjBlP64axht6kbmdAXKtshHvHmDIKpefmGTImba9y/gXn3m1///t//+/y4he/MM1n&#10;zFahD7JbEn1ljx/VPDGNMtW/tJjjlyi1fvGZByRLH6LXl0+dF0Dp0W2rH62+DukR8H4bUrMRsz1c&#10;edXl5c47P7eYmz/903eViy6+IM1nlk/Ld7bSlNranFu+ta51PcdzMF+Y1F5mZdT6ENF240t+SsvX&#10;tVB99UjWV62j59zdM+7WPFLimHvqBXP1qTbSI2PmRuvO0gHH2aqXkuXp1RPozUvp6VNtPntFy7bs&#10;xKyGc887Ut7xzncsAsnx71Kf/ezbFteyvGZv0OO3AGWKn6Av6pVef6D3Gri/GQqkW4bPadXRU7/q&#10;u0da+lZ6/X1rD+21hRoUzAXPE0PBcIAyxbYoQ3ri/S/6pdc18E2DdKgnlOPPsSwDdbIx1uZjzvz3&#10;zg8l6kT/0CsLWmKfMWa9PqfPLZZhs5RWm5TamqzR2z/KlD6MFS3bYqxv5By3xtrSh9pITFMoUVct&#10;3zlWWK4VHDoEZWy5Gk944uPLBz/4l+W2224d/AO+t/zRm8tPfvKTxRkN87YX/+Dv8DmHhwPiNhKu&#10;ZKZT9p+dVrQV9DqKdWUd+t/rQIzZTbZCWdZGY9YP/kVHz82QMcaYNniRR+ndO/Uv+4YeBtQeYPWc&#10;lZkn9ov7AESvt5h7Nqe0dNQ6T7XS9iqPeOTDFw//8CLl7e94W5rHmK1CH57BT8S/lm49XGulZXli&#10;GmWqf2kxxy9Rav2a2ifS45dVb2PnBVBqYwAcR6sfrb726GGon2b7eNOb/3CxD2FuH/Rg/6vUVTDl&#10;Gx5710xtbc4t31rXtRcj+jJ06IWRQhl6vtEaE6Xl61os61ss+aKY0vrDmZrulSljpqxan3o/0iO1&#10;b2HJaNkfof5afaRkeXr0T3rzUnr6pDrX+9Eeid/g05pLsxqe/Zxn3R3E8ft/8Hvl4ksuTPOZvUOP&#10;3wKUsX4CMOi8R/AcqrUHRaJPR1sIoMkCfsb4nFWdgVa1B1Hm7KG9tlCDovNdO3colLG2pWOpfast&#10;aY2N/VXd8VwEW9K9ju3rmTJru7b/zpn/uWsVfeZzXuwDPPPiutYdx7PONksZazs9rPsZaog4by3f&#10;yPlvjbWlD7WfmKZQoq5qczxHR1rnmLM8oLTmdAyvf/3rFs8tvvjFL5YnPukJaR7w8pe/bBEIB/nd&#10;3/udPXtG04C4E0/Z94nNELjjRQPiTt53MK1oK+h1FOvKOvS/14GsIzwsxEhysxp2sq1EKMvaaHYy&#10;676Opj4w1nLZ4WsOU/tkjDE7GT7M6N0v1FfiRjjLAzRffBjSc1Zmnrint/6yr4bexE/ZOyitB3F8&#10;KZA9YNhNZ61lcNX9ryh/8zd/vdDHZz/7mcXXvmf5jNkqsLYh8S+2Se3h2lBaliem8eF5yx+yf5As&#10;vUbL9wz5JUrtvkoDKMY+HAQ9+8CceQGU2hhAj3+mf8/62lNeH8L2vNAxW8PjHv/Y8p3vfGcxLy//&#10;zZctvrk0y2emo76rJXH9Dq1tUvMjc8sPrWs+a4H/5jWOVa/1QFn1i7wWerZu6WsI+kpKa2+o6V6Z&#10;MmbKqvVJG4Bk6XPo2Veov1YfKVmeHv2T3ryUnj6pzvWesVW2RmsuzfK55tr7l49/4uMLfeN+btnP&#10;Zc3OpMdvAcpYPwH43KrHb00B7cXgD+xrOMfHfJSWz1nlGWhVexBlzh7aaws1KKhH52PofpMy1rZ0&#10;LHMC4thXvW+l8Lkl7/t5P6j305kvre2/c+a/d34omT61/Uwy+1lnm6WMtZ0e1v0M1QPa07UIyXwj&#10;bas11pY+WB4S0xRKHG9tjufoqFZnD5RlzcvDbr6p/MM//MOizjvvvHMRFBe/nffJT37i3Tr+sz97&#10;d7nyqiuOS99LnHW4IyBuI+GwA+Lmsw7973Ug68hOn/+dxk62lQhlWRvNTmbd19GcAwVvgluBGFOY&#10;0ydjjNmp6I1tFmCGBzO42dU0PsjBZ+0hOB94wGfHPD17FPPEPV0DC9CGphE8WNI0PDyjTDkjqGQP&#10;yXT/yOrXF417/aXBhRedX37/939voYtvf/vb5enPeFqaz5ithP6qFsjQChboOT9qnpg25IP1QTkk&#10;prdo3ee10gDP27UALvgyypT7jZ59YM68gKExANVvVoe2kfV1SI+EgSLZnmi2nksuvah8+tN3PVD+&#10;6Ef/rlx2+SVpPjMd9XtYO/FFpqbHtddKU2p+ZG75oXWt50r6bZ6Nxz6joG+IfYioL4ovoCjZGbSH&#10;Xn21YP/g43r8XU33SqtflDjmrdJnr++fQk/d1F+rj5QsT4/+SW9eSk+feuezh2XYr+nnD9/0xsW/&#10;4cJ9HF68ZnnM3qPHbwHKFD8xxm/NAfuWjie21+NzNA/KL/sM1KvvsSxjD53bNwrqwVzomSK7VyaU&#10;sbal97StsqB1b6pnQ/zM3zVv/OMJ1qfPLpWazc/RcW9ZStQJx4V5QRrPvxD0M3teCub0ucVWnfso&#10;tTVZozaHEcqUPlBaZZfBkG9kWmusLX1o3TFNocTxtnwnZayO9P3D2LKUseVaIAgOwXCQz3/+X8tT&#10;n/aUu/8d6kNvfHD5p3/6x0Xaxz72sT3/7fcaEHfCyfvevxkCd7xoQNxJZzggbirr0P9eB7KO7PT5&#10;32nsZFuJUJa50exU1n0dtQ4pQ/DF4bLHNqdPxhizU8FDJQoeZujDOjzM4AMO9Yv6sAcPILQM6uOD&#10;HQgePDCN9OxRzJPt6Vo/HirxgQY+a3sEH5RAkEcfpqEcxooy2cOoKOgTX/Bh7Ay6qL340/0FbeMa&#10;2lS97RVuvfXp5Yc//GH57//+7/KWP3pzmseYrUYfkOr6jv4MEs+IPedHzRPT9CEb/BTrwHW9T6PE&#10;8i20/Jg0QB+sLx/gs9Av5uFDfQjyq0+DDvE7fB7q4HXC+qOvVubMC+gZA+qkIJ/qP7aR9XVIjwTt&#10;UrCvYs/R/QLtQp/aV7M6/uiP3rL4lyP4dyKPfNQtv/DX1WY+9A/Z+gfqF+P61TT1K4quXbSlaXPL&#10;96xrjAuCstqe+pce6GdqeiLMx5eoCgX9jmk9oM+UqIseUJ76QB/gwyi1+uifse9l6QBlKeovASWO&#10;eav0qcHUNRubSo/9De2hat/ZOIbKK715KS29UeKa5/1myx5q6PqL9Zrlctuznlm+8Y1vLHSNf5WK&#10;4PIsn9l79PgtQJniJ/icBxL3hFWge5Be7/E5LDv3DFSrf1V70DL20F5bqEGhjeBMwTMG9oja3FOm&#10;2Bbrx7j0eoT5+Eyvlo75pw1oXp1bHRfmU+shtf13zvxr2Zp9tc4QnPuWnjPW2WYpU2xniHU/Q02h&#10;5hvRd4peV9BHSKYPLV9b57AdSrQjXV/L1FGvf4hQxq6VIZ705CeUz33urv3wy1/+8uKPE6648rLy&#10;wQ/+5eLaF77wb+XRj3lUWnYvceDQIQfEbRXr0P8eB7Su7PT532nsZFuJUJa90exE1n0dtQ4pQ+gh&#10;epk3wXP6ZIwxOxn1q5lkD3z0/FAT3CjHcqBnj2KebE+H7+eNdCa4YY0BBUNlKNlYKbgB5s1wFFxv&#10;PdjJ2l7XPXpV3PSwhy5uziF///efKJde5m/kMevBkH/QtHhG7Dk/ap4sveWD0bYGhmXla7Tu84bu&#10;AfVho0oco76cqkn24LlnH5gzL6B3DC39o3986Jv1dUiPytBeSxkbUGPG8czbbl0EwkFe//rX+V+l&#10;rojWiyegfi2uSfWZ2ZkO6NpbdvmedU2/gPrpB+GTsrwt1C9kf0QC0H8K+hbTKVlaL/SnGM/YZyz0&#10;5zrX+rIs6hewDCQ7e6MP6Ask872UOOat0if6R8n6Nwe0S8nSAW0umy/8rntzNg7qv6fvXMtD9k1p&#10;6Y0SbWLIXlroeh9b1vSDbxr5x3+865tHPvqxj5Ybbrg+zWf2Jrqnt/YQyhQ/oef6VvllUfPFuofU&#10;nv/MOQP11L+qPWgZe2hNb71QtG7tV3ZmAJSWbVCiznXPxPg0jbTmjLAezDuAoO+aR882lNq9X22v&#10;njP/+kcQWYAP6tZ77KhPPROMuWddZ5ulTLGdIdb9DDUF9JGi13Uusn7oGspsQOuFvrK9hGsiO/+i&#10;TcoydTTkH7hmYhrXOtrW68vgMY99dPnMZz6zqP+OOz5b/uqvPrT4w3P4nWc/+zb/sd8GXQFx//Ok&#10;M+67jgFx2PzVEePnuJlkwAhhsNyAIPgZ13oMf2r52H8F/eZiqDnpGthksIC0P2gj00V0TBgLHTAE&#10;dbQcLBYy+of6tT30HfXUDmSA4+PvaEfnD3Vm5VmuJll/oZPaHNU2ZegCgvbwO/rC8vjUvmX113Te&#10;gnOHsjpO9jU6TBL7yv6wDnzi92yDUFrloq30wHpqNqQbUG1sbBc6yNKhY+hLZUj3FPYLnzp3sN2x&#10;m57CeRxjDxg/dK1lOO+tvnC90k+gjegHl7WOaAdaP+pp6WuqberhpyaaP4NtQ+bMJ5naJ+gfOlKd&#10;Q4ewEegjK2OMMesK/Gn0afi9tcehzJw9Dp9ZOmCe2nk527vQ9pAPzs4XqKM1VgraQ7vZfjfk92M5&#10;9DXbk3cr11539WK8kC9+8YuLb+TJ8hmzXdCnqD+Db6Bf4NqN9zZ6Lo1pMQ/qyNIBfTCFPgL9gn+B&#10;tMpn8IyblWulEZx11cfCd2a+Lts/0H/kRzsYQyzDseIzpilT54X0jiHm0zaoq6yvPXpU0HbcN1EW&#10;/fI9xOrBC3za3t/+7YfLlVddnuYz8+HagNCX4TrWKueAEs+M+F0Fa4TrEfVo3Vg7WnYZ5XlegcQ0&#10;or6fwjbGor4HbdMPoK+ok34OfoN6VCgoG9N6gQ+koB20q21Bp/BR6Iv6W+Sj6DyirPab1wn0rgKb&#10;4LhRv+ok2gegZGPeKn1CHxSMBzpkGurF7zz7a7kh0C4lSwc6Xxgvxwhd6fgh2Tio/8z+I9of2jjm&#10;KM4LpaU3SiyL/nNe8Ik6OCaA9rBuMWf41LKoi5LZipnPxZdcWP7sPe8uP//5zxf/KvUpT31Sms/s&#10;XXQdwu/hGtaw+kVAmeIngPo3tKP7EdqDj4JfG7q/IGiDfkV9DvpNn5TVRUF/4O+5vzBdzxkYK/ca&#10;9HfoDAQotfrBqvYg1bH6YvaBeqntoShDiWk9UKKNYCyUuA8AyhTbwhh1D8I4OTak6ZhatoVyUaKO&#10;4vxD35qutPbqOfOvusTY2EeU0fmHRH0iT01QFn2p3dOuq81SptjOEGo7XMPrdIaqgTbG+kboloI8&#10;7CfKR7vPbFp1BcG8ah3RbmN55KUsU0dIoyBd7RZzimuQ2CbGCEF7qAPXUFbbncOjHv2I8pnP/NOi&#10;DQi+/f61r31NufCi89P8e43RAXH3Of1AWtFWQGPBpxp6FKRl5UFcQJnACWdlwZzy2n+9DoOnYEFn&#10;DrgGFg0XbSZRF9r/bDOm1HQYnVQmmeMBFCzuuImqROfSGh8ktqcbWibqbBR1jplu2M6QzqOTazE0&#10;NkhWX+xrrZ6WPelGFQXXda6z8hksA4efpesBp2YntI1ogxgH11BNanZLQfst24Mus/Itxq5BoOuw&#10;JkN+BOktfcSxDNlanA+Mixt3TTJ9TbVNrPsh0XZqUGr2NYaxfcJ4hnwk9DHFzowxxqwflGXsOXuR&#10;y6+4rNx++zsXOvzOd75TXvjC56f5jDHGmDHgr58vuPC8rr+CvviSi8pf/81fL17of/0bXy83P/wm&#10;//X0CsE9c+uZjKbFZ2H6rAHPWWqC5xjZS4W55fU5TkxT4vhqz+SGwDOZlq4g6Gv2fBNQ5p5T8fyi&#10;R6gzjJfPgfB8JNanz8Bj3/iMC+Nujb02JkqWvpX6bNkXBW1lZWugXUqWTlpt63PEbBxMw2dMi2C+&#10;s+d9sV5KS2+UuOYB5mPoeSYkPmfT9Z7Va+bz27/9uvKjH/1osX/im1UvuviCNJ/Z22R+N/oYylQ/&#10;MXS2oGTvaDLUf2QCn5SdE/S9lwrT55yBwFD9ZBV70Nw9tHcPq0HJbET7FdunTLWt1vtTCuy5ddZD&#10;mgr6G/PEs1Z8P64M7dVT53/IPqFDtp3pk2lDAp3Gsutos5SpttNi3c9QNab6xta9BOyGvi2zaYyd&#10;aS07ydYV0D4vW0etcUGyPUfvg1TG2lCLJz/lSYt7MJzP/vhP/njxr1OzfHuR4wPi9r9tMwTueDnh&#10;pP2/uk4BcRRMKh0WFpoGImSbhhoo6lJnB0NUB7mK8uw/PnlNFxzKtzbPCPKyLD51M0Ffmab9pAOh&#10;oE0utqjDbJEjHf1Hmjo31KHjz8ZBYb/QF9YRy2cOINNfBGOlqH0AnSP0IfYRbaogD/qI65hP9ok6&#10;Ql2xfvQt63sNtAHHiLLaH50/tKNlQNZXzhfq0XnOHG+0HfY5lqXE8jXQB4rqhuCQQcnGBXugRPuj&#10;3jlW6gtltM/4WcuBKMhTs72s3zWiHnvWoOoI9lKzUUjLj1Cgl9pYeD0r31pHGBfnCvXpuNBfzgUk&#10;2vtc29Tyse4e2G/0MUufQm+f9FCGgxz1j3GrPUDG2Jkxxpj1hJKdPfYaCB7Avzp98EMe2BVIgL9O&#10;e93rX1t+9rOfLb7C/Q/f9MY0nzHGGDOWRz36keVNb/7Dcs2190/TlTe+8Q2Lv5zGvRru0c47/2ia&#10;zywPPheIz4f43CB7jgLifXl8NoH6UC/q13LLKo/nMxD0L0snzAeZ+1wCfUF98TkQfsf1Wl8B9Zg9&#10;VxoLnm3geYfOGepHP/TZB+BLLaRnz6SAjie7jk/8Hu0E+mw9kxka81bqE/1Ef1kOgrH0tJXBZ4mo&#10;L0tXWnqjzWfjYBo+Y1pGXEPx+SHo0RvzxDVPoCuMSZ93QqBL2GVmE6iLUqvXTOe2224tX//6vy/0&#10;+773vbdce+3VaT5jsH6xTrnOuddqnmX4CQA/Gf07/Ab8FM8YvSA/yrFdCOrCHtfy3+p/UTb6U/oz&#10;9dE9ZyAyVD9Z9h4EUAZlo4576hyzh2VwHJmN4KzB9KiPVjnCPDWdo37Mu+5BKIO2eu1K3xlF+wfQ&#10;HfuBz9r5CaBdSG3uwdT5x/Von6iH+yzHEfWpZ7+oR4wFZwO1W00n62az7Eccq8I8U84ZKMO5hMC+&#10;1uUM1WKqb4zvvfEz1w/GB0G9sRzT0Ff8ntXT0g/GR6mNdY6OMrvF7y3fEMeAdlprfgovfvELy5vf&#10;8ib/K/vA6IC4e69JQBwXgALDpWPFZ0yjUaIeTdM8qyoP2H+Wh5NinVgAKB/LtOBGA8kcHhYR6tXF&#10;hIVNydrUcWY6bjHkXFQyh4AxULK2o/4yuIlkzhPo+KKj1P5Dao6OEjeoZaNzFdO0rxhPNv/UV2aL&#10;Wnc2TlyjniAxvQb0S0EbmgY7jBIdPTc4iNqm2kY2VsAxod8xTWWK7dUYuwbV/mp2jDw9fgSS9VVt&#10;IxtrzzriPKB9nQeF9cS1Ntc2tXxmm0P0jG8sPX3SPNH2yVQ7M8YYs55Qan5/L3H+BeeW33zFy8un&#10;/uFT5QlPbN/II2AOeyIC4RAQh5co+Jc7WV5jjDFmLPhLaMj/+uPby2WXX5LmAc969m3l+9///iLv&#10;H731Lf5XImvO3GcFc8v3ou2s+rnhbmMVz3OMMW1wH4eAtt5veLvlETeXO+747GKtfuYznykPv+Vh&#10;aT5jjDG7H30f3Dr3Io2SpRuzCrbq/s/sDLoC4u5x0hm/vE4BcQgwydKBBvposA0CQygtx6z5dIHM&#10;LQ/0xh59Y2DMlGA4wKCZWvBXhupnKNBlygMISvZikIIgophG2HYrEKjWL918W86N9bQCeVpRxZy3&#10;MXqfgvYnjkfTavaocx3TYHOQ1lrSYK8svUatbgZZQf/UYQzYgk4hUbfsS23ugeokBmFRptpejbFr&#10;cJl+pDV3lGwdsnxLl5zDrDyhfWEu9fpc29Tycew99IxvLD19QoAbpeXPNV+WbowxZudAae2XewUE&#10;Ebz3fe9Z6OPOOz9XHn7LzWk+gIC5//iP/1jk/cQnPtH1DT7GGGNML6981SvKD37wg8U+8wd/8Pvl&#10;0ssu/oU8N974kPK1r91174h93P9KZP2Z+6xgbvleeM8/5tmSuYtVPM8xxrRBQNufvefd5UUvfuFg&#10;YDgC5z78tx9erNOv/fvXytOf8TT/m3FjjNnD9J6vW+8DjVkVeD9NiV/OY/Ye+3diQFzrxrjmgHsd&#10;rn6DjwZFzS0P2H8Em2jQ0JRgOA3+GvMSrmcczDPlAQQl6xOl1d9W/4bmX+e+R2I9vZu3BoohECoG&#10;Xy2LVn96+qp5Yhpl6ly0YOAbRDcZBrshPQt8U5uOgXKc+16JOqEsc7xT1mBvGz1+pLYOAPNk/eop&#10;P1a07Fzb7CnfguODZOlT6OlTj16Bro9V+Q5jjDFbAwP84169F8GLkCc9+Ql3Bxd89rOfWZwD4wsS&#10;BMr9y7/8yyIPvlngYTffdFy6McYYswz+7M/effc+/Xu/97vHBcVdculF5eOf+Hj5+c9/Xr70pS8u&#10;guO0rFlP5j4rmFu+B5x9KK0/yDQ5vc9VjDHL46Uve0n50Y9+VP7jm/+x+FeotQA3BMvhm1fxDd//&#10;9V8/Wnw7OL5dLstrjDFmb6DvSBHrgAAkjXfA+y99J+r/mmS2Ctgh7y3il7qYvcmeCYhj2Z6/0KNo&#10;MMnc8kDroGCT0Dy96Dhb3zQV6QnIYZ6anuFI8OIP6XzAGCWOHVCyNNLqH/VX65d+q1aPxIdTYx6O&#10;6bc8QTCn0Ilu9r3ggRn6wvFlEvvT01fNE9MoU+eihT4A1MA22goOQTpXTG9Fa+uaGRK0E8tTljle&#10;1W/vGuQcL8OP1NYBYJ5svEPldf56JPqwubbZU74FxwfJ0qfQ0yfK0KF+7viMMcaYdebZz3lW+cpX&#10;vrzY5774xS+WW5/5jLtflOCc/NGPfXSR9qUvf6k88UlP+IXyxhhjzDJAANwHPvD+8uMf/3ix7+Cb&#10;4i6+5KJF2jtvf0f56U9/uvh3qc+41d9us1OYey+9Fffi+lwpPpcywww9rzLGLB98Q9w//uOnF2sP&#10;QeJ6/0awT/72b7+u/PCHP1zke/Nb3pR++6oxxpi9R+97eZzvprw/N2YMGmdAacUFmL2DBsSdePK+&#10;122GwB0vGhB3r9McEKd5MyitQBbdJKb81eDUBzn6cCZLB8yT6Rn9rgXBqWQOhpKlkVb/VH8xDeg3&#10;L015uDVWp8gTA+MQHDTmoZd+21xLYn96+qp5Yhpl6lwMwQA2fgMc+8JIbA26YjAZdZkFidLmanM/&#10;BGWZ4+2ZgwhteJ0D4vTb6Vr6qtGjF83TSuvVq9Kjn7H09InigDhjjDF7nac//anlC1+469uAv/6N&#10;r5fnbZwt8G9R8W09EHz7wHOf95y0rDHGGLMsLrv8kvLn73/fIigO3wb3qt96ZXnZy1+6+CYc/P7a&#10;177G326zg9BnFVO+bX1u+R7wPAui/w3B9JP9NwljzOrBvz7953/+58X6+8pXv7K4V9N/n4o/evrW&#10;t761SMe+ins7LW+MMWZvg/dceC/GszAF70FxrhvzpT7GzAH3eYwngP1Necdtdid7JiBOA480f0Qf&#10;kOi3W80tD2L/NZgq5h1CA4rGLGjkpWTpgHminhG9rY4EfY4R3ZSsT5RWf1v9G5r/uYEmU8tDB9rv&#10;Wv8i2h7KxENBqz89fdU8MY0ydS6G0PUC/fB3DRbi4YjXaFvZvx0bmvshKMsc75Q1uAo/ksE8Wb96&#10;ylN6x6XMtc2e8i16xjeWnj7Rnofa1cBd/8W4McaY3crjHv+Yu+918PLkPe/5s8XP3/ve9xYBCFkZ&#10;Y4wxZtngW+He9773lp/85Cflhz/8QfnBD36w2I+wL/Eb44wxxpi9zq23Pr3ceefnFnvkv//7v5cX&#10;vugFi6C4Rz36EeVf/uWuYLlPfvKT5cabHpqWN8YYY4wxZl0586wdGBCXfYMUiYE4vK5BCK2/BKwF&#10;K8wtD2KgBvrHIAoEA7XqzWAA0Zi/nOsJ+mGeGNihXzVZ6yslC6ShYI5iGqE+sjmO+otogFKrjRpz&#10;A3F6g50I82Mes/RWf3r6qnliGr/BraZLMHY8igZ0wW44rxrcRTuj7VOyICENHo1BmD1QptpejbFr&#10;cBV+JIN5snXYU572MUYXZK5t9pRvwb4v8y+Ke/qE9iC19UyYD/3M0o0xxpjdAv79zh13fHax70Gw&#10;R779HW9L8xpjjDGr4tLLLikf/vDfLP5NKuSzn/1Muf76a9O8xhhjzF7lKU99Uvmnf/rHxV6JoLjf&#10;evWrysc//rHF7/gG8Cc80X/Ya4wxxhhjdh5dAXG/ctKhX1qngDiIftMUQaAMA1RisIcGS9UCJVC+&#10;Fig0tzxg/zUNQTHsM4JPxgT7aJBQFlyDulCnps0JiGsF6QANamoFxEGyb8TToJOsPANJWkE6SINA&#10;p2N0CeYG4vToVhkKjFF9x/709FXzxLQh28H8qMT0HnQtUNRu1F6Yp6YLDcbMbGMIlSm2V2PsGlyV&#10;H4kwz9R1pMGQNfuqMdc21S6mfJUyZYqd1Ojpk64ZrN0sj9azzP4ZY4wx6wq+UeDzn//XxTfDfeiv&#10;PlQuveziNJ8xxhizSm644frFvfB3vvOdxbeYZnmMMcaYvc5jHvvo8o//+OnFs0v8i3HId/73dxb/&#10;RvXc846kZYwxxhhjjFlnuv5l6joGxEHwMIsBNgg0YDAUJAvE0CAPlGWQCtBvsYJoGplbvhbIooEU&#10;qFfTWqANCgJoNFADdTKoRnWBIAwKr0WYJ/ZT21Pd41PrhWTBHlGQh0Fr6DsDA2vBbNoGg5rQJx0f&#10;6qFg/MindSEv5hFtxDnSIJ3MfpgH9SLgRYO7tP+9c6gBb6oL9At1qMT+9PaVEtM0MAt2yzqyuYTE&#10;8j1osBgkC8Cizig93+AGQd06f+g35ho2m+k/yljbq6FroncNrsqPKMyDcca0nnUEfapOUEbtHflh&#10;v1wLvA7U7rTOWp4snQJdYD4A+9pC50PngqAOyNh5BpRWn3TuVGfMS51Cb7X2OXeoK6aprWbj49wi&#10;j86XMcYYs5089alPLm944x+UGx74gDTdGGOM2Qoe/ZhHLQK1/ULfGGOMqYNninfeeefiGePPfvaz&#10;8tu//brFv0/N8hpjjDHGGLPuaEDcCSfvf9tmCNzxsm4BcQgo0cCDKLWgGgQgxECjKAgkqAVezC3f&#10;CmTRIJnatwtlMMCjJggc0vwaDKPXFebJ+hmDnFQwdgYAoY5YlgIdMqgjCq5ngR5Ag3RUYltDOqHE&#10;gJGxgTyZoH+9gSiwp5Yda1rsz9i+ZuktPaFtDdjLyg+BeVTJ1mW0pywAjAzpixJtHlAwpprtQWq2&#10;12LsGlylHyHMk63D3nWEuWjpihL7uQzbVH+okuVVdC6g55iueq/1rUZPn6CzIRuFj2zZuUpMo2+G&#10;ZHPLeYeMHZ8xxhizShx8YIwxxhhjjDE7gxe+8Pnljjs+W27/X7eXK6+6Is1jjDHGGGPMTmBHBcQx&#10;mIEBGAgIYAAWBOk9AS0oH4OyEMSAgIeeYKap5dl/fGbpDKRAvVl6DQQ+xP7g9xioAhjk1GqDeWr9&#10;RL0a9IE5wFxooE8W1EdhXgQKsc/4xO9D+kcgCduAoB/ZnKMe1Kf2gTYQMFKbJ9RNaQWstOY/C8Jp&#10;gfzRjlEX545txP709JV5UEeWDmg7FJ1L6AjSKj+EjisL0ME1CsYd0zOgGw38gaAsxpHZPKAeMaaa&#10;7bXmfIgxa5C07Ki1Djhf+MzSAfNk6xBgrMwDQbvZOqJ9Il0F+ofOsjldlm3qukC+1ngJ+gSp2ZLa&#10;zdi1Cnr6hHqh92ij+B3Xh9qlrrMxaJBpNl+wHQj61rIhY4wxxhhjjDHGGGOMybjgwvPKzQ+/qVx+&#10;xWVpujHGGGOMMTuFAzspIM7sbCgIKsnSjTFmDgwurAUCMtgMwWlZujHGGGOMMcYYY4wxxhhjjDHG&#10;GGN2PscHxO17/2YI3PHigDizDCgOiDPGLBv99rShb4DMvtnOGGOMMcYYY4wxxhhjjDHGGGOMMbuD&#10;sw4fHg6Iu8dJZ/yyA+LMXCgOiDPGLBv+u9Tav1ZlOv6taJZujDHGGGOMMcYYY4wxxhhjjDHGmN2B&#10;BsSdeMq+T2yGwB0vGhB379MdEGemQXFAnDFmmTzghuvu/nep2be/4RvjIMiDvDHdGGOMMcYYY4wx&#10;xhhjjDHGGGOMMbuHw+c4IM5sEQxY+Yu/+ECabowxU/iTd/3xwrd89atfTdMRhAvBv1XN0o0xxhhj&#10;jDHGGGOMMcYYY4wxxhize9CAuBNO2f/5zRC44+WEk/b/qgPijDHGGGOMMcYYY4wxxhhjjDHGGGOM&#10;McasM+ccPefugLgNvrAZAne8OCDOGGOMMcYYY4wxxhhjjDHGGGOMMcYYY8y6Mzog7j4OiDPGGGOM&#10;McYYY4wxxhhjjDHGGGOMMcYYs4ZoQNw9Ttn/n5shcMfL/zzpjPs6IM4YY4wxxhhjjDHGGGOMMcYY&#10;Y4wxxhhjzLrDWLcTT9n33c0QuOPFAXHGGGOMMcYYY4wxxhhjjDHGGGOMMcYYY3YC9zyVAXH7y2YI&#10;3PGiAXEnnXEwrcQYY4wxxhhjjDHGGGOMMcYYY4wxxhhjjNluNCDuV0469EubYXDH5MRT9h1mhpP3&#10;OSDOGGOMMcYYY4wxxhhjjDHGGGOMMcYYY8x6cu/TD9wdEHfCSft/dTMM7piccMr+Kx0QZ4wxxhhj&#10;jDHGGGOMMcYYY4wxxhhjjDFm3bmPBMThv6NuhsEdEw2IO2X/2WklxhhjjDHGGGOMMcYYY4wxxhhj&#10;jDHGGGPMdoMvfWO8G/476mYY3DE58ZQzb3JAnDHGGGOMMcYYY4wxxhhjjDHGGGOMMcaYdQcxbscC&#10;4s68aTMM7piccPK+JzPD/Q6clVZijDHGGGOMMcYYY4wxxhhjjDHGGGOMMcZsN6MC4s446IA4Y4wx&#10;xhhjjDHGGGOMMcYYY4wxxhhjjDHrCb70jfFuiH3bDIM7JieevO91zHDmWYfSSowxxhhjjDHGGGOM&#10;McYYY4wxxhhjjDHGmO0GMW6Md0Ps22YY3DE54eT9b2OG/YccEGeMMcYYY4wxxhhjjDHGmDrnHL2L&#10;w+ccXnDW4eM5cOjQArxziOClRQv8JxuQpWX1sS0l9of9VND/bGzGGGOMMcYYY9Yf3A8y3g2xb5th&#10;cMdEA+Jwo5hVYowxxhhjjDHGGGOMMcaYnQcD1xiohpcGCC5j4Bn+zcwp+88uJ+87WE4642C5z+kH&#10;Ftx7k3uddhf3PHX/Ar5P2G1gbBwrxg0dQB8E+gHQFXQGNHAvBucxEC+bE2OMMcYYY4wx88B9F+/n&#10;Tjh53/s3w+COCS4yA27QskqMMcYYY4wxxhhjjDHGGLO9aHAbArAY1MaANg1k2+0BbDsNBtxpsF0M&#10;sIuBdf4mO2OMMcYYY4zJwf3SsXuufZ/YDIM7Jiecsv/zzOC/VjJmOngwkYF1lYGHVhl82LEVZO2D&#10;rL8kGyPJ9GKMMetO5s8iY3xhjaxtY8xdcJ1gfeEsgnNK/NYKvCQi8Zsr9KWfoun6rQ61F048B2V9&#10;NMbMp7bWh9Z7XPNxrfObXBQGAJAsD8tHHwHoI9Af9I0+wnv67ifaactWAewks1e12V677YHlWW+0&#10;XfbF+5wxOw/1PVi33BOxxrn2sacde9i/fcT9lf0j0Uepn8qg76qRlQFaP2C7SuwbUL+6Ljrthf3G&#10;2Dhu6CI7t9jnG2OMWTWXXnZxufiSC8sll1xULrjw/HLOkcPlhgc+oNz2rGeWF73ohXfzhCc8vjzs&#10;5pvK5VdcVq688orytKc9tbzzne8oH/qrvyp/9dd/Xd55++3lJS99abnp5oeXiy65rJy5sa8947Zn&#10;lw/9zd+W9//lh8p73/8X5Y1v/qPyzGc/tzzkppvLBRdfWq68+try/Be9pHzorz9cPv1Pny1//6lP&#10;l/e8933l5b/5ivLwWx5Rzjv/go1+XbLRzjvL5z//r+WOOz5bPvKRvy1veMMflNtue2Z54ANvKJdd&#10;dml5wA3Xl1uf+Yzy2te9przmNa8uz3/+88pjH/eYct31126M7aJydOOMdt75R9Px7zaG7oX1fpj3&#10;nK1zm57TMuK5rUVWPqJtR2I/2X+FY+OZSqEeAPSiUF88fyl8xpDp2xgzH6yvY/dL+76zGQZ3TBAl&#10;xwxYsFklxqwb3Dx0U65tyIAbmW503AC5Seqmmj0g4YOenfaQZF1Q/QHqlajOgc6HHmaIHmKAzq0e&#10;XoDagh5ewNjDC20PZLZpzF5H/bP6aKyrVftpEH0NyfzSupL1X8eoqB6A6gio3yTqO4HqXH0n0XlS&#10;/wk4p6TlS4H6U6A+FWQ2ZdYTzhnnknNMW9A1DjvimoYN6hqGHcPGs7Ww3XDtcd1wTWBssG+MO9PN&#10;Xod2AXuAnmo2QbuI9Pgm9Ufqb2iPWb/MNHSt1+ZU5xJzxz1oJ6zzOfzaxrh+40zY6lnltINnl4NH&#10;7tIP9JXp0qyWaKvZnkRb1f2Itko73Y222oLnSd3r6FvtT41ZDfBV8FFYa1hzWHur3i/p37g3Y81z&#10;3XMP5zktnq8Az1j0tdm4VsXlV1xSrr32qnLFxue55x0ul152Qbnl4Q8pz3n208orX/Gi8sY3vr68&#10;/R1vLK9//W+Wxzz6oeWCcw+UGx5weXnR859Wfvd3Xl4+/elPlc9//tPljs9+rLzvPW8rj3/sjeWC&#10;8/eXhz/suvLbr39p+cD731k+848fKZ//138of//xvyp/uFHfjQ+5rhw9cqBcf90V5dGPfnh50lMe&#10;X57+rGeVp9/2jPLQh99cLr/6/uXgOeeU0zbm7/SNM4DuL609JpubrQLtox869+i3zjnnOJsHY4wx&#10;u5PzLzh3Eex14UUXlCuuvLw86tGPLC9+8YvKa1/7mvKqV72yvPRlL1kEix09eqQ8+MEPKi996UvK&#10;n/3Zu8vnPve58u1vf7t87WtfKx/4wAfKQ2+8qRw8+3C59oYHlcc96SnluS96afmDN7+1POfFv1me&#10;+fyXlCsf8NBy6sEjG/vixj60/5zyG/sOl5MPHk33rFVx6tnnlbMvurIcOP+ysv/cizf27sPl1APn&#10;lIuuvLbc8rgnl+e++OXld9/45vLW2/+kvP32Py6Pe+KTN84e55er7n91ee5zn7sx7j8r3/rWtwrk&#10;C1/4Qnnf+967CPI7//zzFgF+j3/C48rzX/C88rKXvXQRAPi4xz+23Pzwh5WLNnSb6X6r4NlT7431&#10;+Y2eVbb7vLLXoM6hf8LzOuB5kuc3PccRnuVxrlP0bE/4jIRn/dqZX8/9PhuanQDslOsKXwa3GQZ3&#10;TE44ed+TmQGLiwtEiYuIcJH1ktVBsnazRdpaqF6s6wP1jnng3GCuOIeYU84z5p82AucNZ64PDYA3&#10;Y7MTyA4veoChXccDTHZ4iT5zjF9s+cNsvZq9Seanx/ho+2ezVdC+SM3HEvW1RH0uUd9L1AcT9cUR&#10;rhNF/XQL9eFjyOpSsj4B9jmOT8dP3VBvqlev9TrQDW0KOsY8cE/O/O9OA3uF7hO0KdiP2sk62gd9&#10;hK57rgXME8bDsxP2w2z8Ownd27P9nT5E55B+QNe91/tyOHDuqeWaB19YnvbsB5c3v/Px5U/f9/jy&#10;lrc/pDzruYfL9Tf8/8r55/+/yk03n1xe+vIbyut/79Hl1a+/pbz8VQ8uj3vCpeXBDz2rXHjx/cq5&#10;559SLr74ULnqqvPTOd8NxDMp1qRtdb2o7XPZfBpj7oLnJ/gzrBusH56XsnU2FtSD+njOgY+kz+Qa&#10;5fkGfcn6uB1ccumF5QEPuKY8/Jabyq3PfEq59RlPKk94/CPLDTdcWc4/72B59CNvKO9+15vK33/i&#10;L8v3v//N8o2v/2v55Cf/qrzlTa8ptzz8+nLRhQfKc57zpHLnHR8rP/nxt8vPf/a98r3vfnkjzwfL&#10;H77hVeXmh11TLrn4QHnRC55S7vjs35b//M4XSik/Kt/+9pfK333kfeW3X/eS8uAHXl6uuPRQ+a1X&#10;Prd86Yv/VH763/+5Uc9/lm9/6/OLPK959QvKDddfXK668vBG/heWz//rx8sPf/Dv5ec//0H596/9&#10;c/nQB/+kvPxlt5Vrrj6vXHfNhYu+feM/Pl++9tXPl3/45N+Ud7/7j8orX/GCcvPND9zo75Fy0UXn&#10;LoL5VA88q+meB3hOhb1ke15mC6sCNkb/H/cA9Bl9xxh0XMbsFfT8CnjfxTVNsF7omwHXOM+2PN8C&#10;rjVd9xlYlxGeh5dBVr+2z/4R9pt+gnB8HDPQfUp9CeG+RdZp/1pnENCGb2e78aaHLoKvnvb0p5an&#10;POXJ5RGPuKVcfvll5bzzzy233PLw8sY3vqF89KN/V+6883Pls5/9bPmLv/iL8tKXvrRcffXV5bzz&#10;zisveMELysc//vFFkNt//dd/la9+9avlve/78/L0W29bfFvboaPnlYc/+nHlJa/4rfLsF728XHfj&#10;I8oFV11fzjhyUbn3GWene8lu45Szzl0E1F394JvLdQ+9pVxx3YPK4fMvLqcfPFwe8JCbyhve9Jby&#10;wb/+cPnil75c/u0LXywf+chHyqtf/epy7bXXlnPPPbc873nPKx/60IfKHXfcsfimune/+0/L7/7u&#10;75QnPvEJi2+hO/+C8xZBh0944uPvDqa77rprFvObzb2iZ0+sM6w/rFGsYaztbDzGTKG1Z4zdK3S/&#10;iHtGtm/o/kF0H+FeQnQ/8Z6ye+B80ufBVmB3tNETTt73/rui4ER+5aRDv6SGvBeoLdZsofYu0myh&#10;Ai7WoQXbS1zYx9iYdNR59qFy8PA55dCR8zYOKBeUw+deWI5ccOnGzxdu9OFIOXXfoY3N+chGXeeX&#10;w+ddVs654PJy9MIry5ELryhnH720nHLmkXLSaYc2Po+WM8++qBw4snHQOf/Kcs5F15Szzr28nHH2&#10;heXeG+n3OuVg+fXTNjbUMw9vgGj+o+XXTz97Qabz3cq9zzhc7r2hA3z++umHNmzq4OL6PU+FLqCX&#10;c8vJBy/YOChduODUsy4qv3a/w+XE+x4s97rfoXLSvvPK/Tb0fPD8q8vZF1xbztr4PO3sS8qvnbqR&#10;56Szyq/f70g5+cCF5cxzrljkOXQh8lxT7nfWJRtzsJnntCPllAMXlX1HrlikoZ6D592/nHLwonLP&#10;k88u97jvhiM47Wg5deP3fUeuXOQ5dOF1G3muXtR9j/siz9kbtn+k3PfA+eW0w5eUM49cXs48enk5&#10;/fCl5TfOPLecePLBco+NOf+10zDfRxf5OCaM/V73O2sx7nucsrGWNn7+tQ3bUD2Z9STzhS0/mPm/&#10;zN9FPxf9VTyM+EDyi1Af1A91Bv1xP6COqXfdjzBHmDPMH+eUc4z5zuxhL6G2X4P6GktW1xBZH43Z&#10;a3A90Gfp3kPfpvtM3F/oJ2vU/Cf2L/pN7ntYy1kf54A6OR60edqBg4u+nH3kUDl6/pFywYVHysWX&#10;wPefWc4+dFo5cvS0cuHFB8v9rz5SHvDAC8sDH3xJechDLypX3f/scujwb5Qz9/3fG3nuXS67/Ixy&#10;wwOPlJsffml51GOuWHze/5qD5eBZ/1c57Yz/bzly7j3LVVefUW582LnlsY+7vDz+iVeVRzz64nL5&#10;FaeX+53xf5X7nvZ/bejiPuXw+WdsnPcPlSMXbdwDbOw7p5yFsyzm5Mx0PLsd2CLmrHYWok3GM1AL&#10;5h2CdStoE+2zP7q376S95KSNsZy0McZTzz5r4z7kfhv3FSeX0w+dWs67/GB50C0XlSc+87rytOc+&#10;pDz7RTeVRz3ponL0khPKWef9f8oV1/16eeKt55TffsNDy5+896nlPX95W3nPXzy1PP+l55f7X/8/&#10;yqVX/j/LIx93Ynn5q46WP//gI8qn77it3Pn5l5WPf/J55RWvuahcee3/WS7ZyPO4J/9aed3vXVLe&#10;/f7HlY//w/PLJ//pReX9H3pSee6LDpaLr/w/ywWX/Y/ykFt+o9z63AvKS3/rQeXlr7mpPP9lN5en&#10;PeeB5aKrNuxg/29s9PukjXuhfen4ernPmffdGPdvlPs/8IzyjOddUd76x48vn9roy2f/9SXlfX/5&#10;8PLEp59YLr///6Pc9PD/UV72ijPKe973oPKZO28tX/3Gy8uXvvrK8pa33Vgedss9y4WX/L/Ltdff&#10;szzmcWeX255zVbn1tgeWRz/2mvLIR9+/XHHluekZc1noWTXzs2r30Yaj/WY62k64ptA/9nXID3C8&#10;3F+oh9o+xTM+oC5raF5F9a661z2Oc8A+U/8YWzb2KaAu6gVtoW30J7MbY3YTWJ9cg7B7rjWssTm+&#10;Tf0P1hb8DNYy/QjWP9rO+rSdXHzJBeWhNz6w3Pasp5QXv/h55SUveV553OMfvrEfnV9uuOGK8oLn&#10;P628+91vLf/xjX8tpXx/gx+WL3/5n8orX/mscu3VF2ycYa8rr37N88qHPvi/yje/+c/lpz/7j/Lj&#10;H3+r3Pm5T5TnPe8p5Yorzi2PuOUB5fWve3H58IffW/7zu19dBLr97Kf/We644yPlOc99Yrn//c8t&#10;j3nMg8vv/d5Ly9/93XvKf/7nv5Wf//zb5Qc/+Eb5+Mf/sjzlqY/YqOdoecLjHlre8Ae/VT71yb8q&#10;P/rhNxb1oK2P/t37ypOedHO5+urzylOeckt501teXT796Q+VH/zoy+VnP/v2Rn1fK+9//+3lEY+8&#10;oVx11Xnl6U9/VHn72363fO5zHys/+cl3Nur5r/KD7/97ee9731puueW6ct11F5Xbnv24cvvtv1v+&#10;5V+Q52uLgLr3vvf28tznPn1DNxeWSy87b+N8f1l58EMeUK699v6pbjO4P8Am1P/DDmmLPDcu0+e3&#10;OPXsc8v9zjpno+2zyv5zjpbLr7m6POhhDyvPfO6zy2+99tXllb/1m+W5z791Y6zXlEsuPbLxeXV5&#10;4pMeUV78kmeV3/39V5Y3/OHryu/87m9t6PWJ5ZqrLysXbdyXXHvtFeWRj7yp3PqMJy/s6lnPvnUR&#10;SPnQG29YfFPgBRt5rrzq0nLNdVcudIhgyxtuuLZcf/3V5aKLzy/nbdxnZfozq+fyKy7duFe9eBEM&#10;euFF5y647vory8NveUh51rOeujGfzy6vfe1vlpe97PmLOb700nM3ysAXPLA8f8NO/uANry3vvP3N&#10;5fb/9dbyhje+tjxhw1Yuv/y8cvU1F2+cd2/csIUnl9e89qUbaa/ZyPu68spXvbjceNMN5fwLjm7Y&#10;xoXl+gdcW266+caNco8vtzzqkeXGW27euG+4thy54IKy7+yzN9bMhv8+crTsO3x04/O8csahI4t1&#10;w/Mqz0w8NwGeETP7N6uH+ud8YG4wT9kZnb4QxDM6z87cU7mvbvfeetnllyz+7Si+oQ0BbAiOwr/y&#10;RGAbvq3t7e9428b+8Z7yrnf9SXnqU5+y+Bef119//SKI7c///M/LV77ylUUQ2/e+973y0Y9+tNx6&#10;660ba+bycuONN5ZXvOIV5S//8i/Lnf/8L+Xb3/nfi38r+vtvfFN54ENvKgfPObdccOkV5f43PHTj&#10;Xvgxi0Cvi695YDnrwisW3+KWzcWyQZAZvi3u1047WH799I1529hPDp5/aTn38mvKtQ+9ZRF4d9UD&#10;bypHLrmqnHLgnMU3uh264LJy2bUPKjc87FGLPNff9Mj/P3t/AWb1saX74zlzZI5GT9w9ENy9hXZ3&#10;d3d3Wmh3g27cXYMHYsTdCCEQkuCeQNzt/b9v7d6kk8n8/nNH7p259+znqaeBXbu+VZ+1alVV75dV&#10;po5vWAxsXL0xxcWL53Y/OPmG4H93FrpflvEO9FUXb7j6hyI+PRdZReWoamg1WfPKaxoQGZcIL/8g&#10;xCWloLKmDguWLMO2nQ9h91PP4KHHHkfv3PnmPd/AYMQmJqO0ogqVtQ3ILalAaFwKPMniP1OQ2H+u&#10;/X/Ns/5zzXr27D/f+s87a7HOv/+K0v85/csv+2Mt/fus8rO44ekDF2/fi+NUsY7dWqxMVKzrhrVY&#10;14/+a4iKle2vcf9H+T9T+vu7tVj9XqW/nfvbv7//G5/p5/tW37P6ptabX645v7YO/KNYivhYzzjW&#10;uSre1rllnUu/Zs+fiqtPnwzu5y+98esf+Ef5R/nvVyTAk/hskosfxk/1wqgprkZA5h4QD7+wNITF&#10;5nIzVIyQmDx4B6Vikn0Qho1xg51zBKLii5GWXYe84g4UlHUhIbUKIRE5mGwXjCEjXOHmmYj8oi5U&#10;1y1CbcMS1LGUTpuNhMQ6TJgUhsFDPTkhC1FTuww9vdt42HqYP7ejqHgmN6vlGDc+EMOGe3LDWor6&#10;hhWmjkp7xwZUTV/ETWglRo7yx/ARfoiKqUJT8xrz+fkLHjF18gu6eHDLZxvcwIzVQbEOLa2qo7vz&#10;t6KtfT2mlc9DQGABhgz1wvgJ2hi3oK1tA3pn7eBBcLd5bm5eO7y80zF4iCum2ITzQNhu2lc7M2Zu&#10;4aFxDfvcCw/PNNw/yB129nF8dg830JvQO3sHFix8DJVVC5GR2QwX1wQMvN8ZTs4JKC2bg67uTaad&#10;ru7NfNZK5OR2wcExnnXc4OqWyv7NR/eMLZg1eyf5PIIy8ktOqYWtXSQGDXaFh1cayjiGto716Ox+&#10;ALX1y1hnDuISpmPipFAMGe4BT/a9oKgbNfVLML12ISqmz0Vi6nT4h2Ri3GRfjBjrwU1iKjJyG5FT&#10;2IqcojZk5DUZe3r5J2PMJB+MHOcJV+8ERCWUIDG9CkkZVQiNyaVPJMHBIwzjJEq084CTZyjc/CLh&#10;ERANN/9IOHgGcWMdwODqg/H27pjgwA2Ns8SLvtxY0u9YJPzURvYfG5j/2iJhpUSmo20ltvQge184&#10;eIfCkUU/nX0iaC+JdH0w1oa2muoNR68wuPtHwTckAf5hSfDwjzZCXhsnX9qcGxj+dPWN4KEpjnXi&#10;4cOfEvu6+oTB1tkPE/k8W8YW/d0zQH4RYX66+ITQVwJhx8PLFB7M7OkPzt5BbCuEm+MgOHr6w5GH&#10;q6k8KNo6e/ZtkrRR9oEND2BT+G+Wol+Q63D38w3x/y2+ZB1H/82jdQP5y41j/wOFddPYv/xrG8j+&#10;m8j+G8n+v8D4X91UBgR6M/b6IjjUDyGh/iz8GeKLwCBv+Pq6wcfHlX/2QGS0P6Jjg0yJSwhiHJeI&#10;xR3unpPh5jERIWEuSEgKMKKV7JwwxtBQREf7sI4TY+kYxsgxbMMZ2fkhKCyKQElZJGNdKFLT+fyQ&#10;iYyTd8PRaQDiE+0wrSIYTS3RqG+OQ1llONt1h3/gWEyafDOmOtyD5DRnxshoriNxaGiOZR2uB5lu&#10;8PAehJFjroad412Mm44oqwpBTUMUKmqjkZkXiDA+39FtOEaPvxUO/BmT7Imc4nDkl0YiPTeU8dIf&#10;wZFOnCsjMXLCffT10QiNdUNCegDi0oJ5cA9BYCQ3pL7OmDR1PEZPHkG/t4FXsBf8I/z5nj/8wzmH&#10;/D0x1cMZ4+wncZ0ezzjqwLnrDhd/L7gGeMPei/PC1R0TnV05vx3oP06Mqy6c5/QZl/+9//P9H+Xf&#10;VxTHVGzcaGtPiVt0dSDtaG+DSQ5TGBedGWe9EcJ5E5UQQL/yhU+gBzx87GHnMAaOLmMRHuWKzNwQ&#10;ZGaHcz8RzjkTzD2XvkS35VwYwX3KOMTGuSEtPQhZ2ZxXrJOcEoTISC/4+dlzXo3j/LRhHR+kZ4Ry&#10;7qmNUKSkBHJf5sm4YANn5zH8OQVx8V6s09cO52dySgAio7if8J5knqVnpqT6m35IVJZXwDmcFYCw&#10;SBc4uE7ERPtRjPN2HJMn1xAfuPhxb8Cx/xqb/2gZy/kwydkFzr5enFu+pviF+cKD/Bw97bjmjTTF&#10;1dceQVE+iIjnWBIDOVf9ue5xX+c6FWNsJmKc3WTahe34MdZ6epn59WvP+88sesZkzuGpnOMO3p5w&#10;8nalP0zGGMYKe3IMjPJCQkYwMvPDkcaYk5DGWBvuABvHIRg5/jauqSMZbxSXGCfLI1giERHLWBzs&#10;yD39UIyedD/3d5MRleiLmJRghMcHwk8xx49rs7sTY44NxtjZm3jya/37R/lfL3b0HbcgP/iE+zOG&#10;u5PzJNhy7oXEOKOoKhLTmxIxd2kGuudkoLkzlWcsX3gH3sP5fguqG12wa3c+3nqnGQfea8O+gy14&#10;5PFCtLQ7IzD074iKvRYLl/rg9X1lOHyiAacvNOGNfXXYsbME9U2u8A24ElFxN2LpqkC8sb8Kx850&#10;4OipLtZpwPZdOaiqmQSfgEuRlH4r1m+KwP6DVXyf7Zxvxsuv1WLTlnxMq7Th2ngpUjLuwsatMdj/&#10;bj2On+nk8zrwyp5abNicgsLSUfDy+ytyCu7DjocScPBQLdtpwolzTXjuhWqsWpPO90bxjPJXFJQM&#10;xs7HUvHOkWa8+mYjtuwqx7wlWcgvC4Rn4CTueyYwNv7H/G+8gzP3wVPhHuiMeMbFosoYlFTHoqIh&#10;EaXT4zlHGIN8RnK+3I/UXGd0z03G4tUFWLq2CHOX5KG5OwnpeW484wzgPnYgsos8UFQRifJa7imq&#10;Y5CWE47oxBB4MaY4cN5MVZzQnPX4SbimYv0FoHU/9999z2rdg1r723/vad1z9t9nWveX/feU//N/&#10;MenJPasXQsP8EBEZgMSkECSxpKSFIT4hGKHhnhyjA8IiXJBO36qYHofislieqWMQnxqKcK4jrj7O&#10;PPNMNevHf8Y6N8XVFWFcp1K4vk6jDzZ2JKOxJZlziXvO8MHwD2asqHfElh05ePalasaDZjz7Yh02&#10;b89HY6sn+3wry01o73bDMy9K8FqLQ8fq8crrNdiyrRiNzV4ICL6R6/WNmDXPB8+9VIYDh1rx9qE2&#10;vPR6HdvNRXWdPXwD/47YxFuxZHkQ/72MsaAO752o47OqseGBArJwgKfv3xGXdCeWrQrDy3uqcPBw&#10;K159oxG7n67CijWMb8UTGSuuZjwZgCUrovD4UyV4/sUKvPRaJdZvKEDPrCRk5nBf7HsLElNGo3dO&#10;FDZtLWKcKcGaDcVYsDiLY49AXCJjl/9A1rHhPj4Cs+amYUZvGrp7UlFRGY9cro/h3I/7Bkzi2cGN&#10;bYaisCSGPyO5TwpFXFww90J+CKCtf90P/lH+I0VxQPFAcUFxQjFD51XFEGtM/I/GQX1e7Sg+qW3F&#10;pP+OcUhiotjYKO6PM9HYVIvu7lYjdOue0YyCwlT4+3MvUJyKJ5/ajo8+PopvvjuHH3/8GG/ufRY7&#10;dqxFUVEavH0cUFNThNdffxqffHIK3377IT777AyOHH0Tux5aj/yCRPj6OaC1rQL7DzyPTz87ge++&#10;fx8//HDeCN8eeGAZzwLRPJc7YkZ3Pd5991V88cU5I2D75JOTOHjwFWzcuBipaREIDHbDvHmtOHrs&#10;DXz+5SnTztffnMaTTz6I5ctn88wQxLO5B5YsnokTJw7gyy8/MP25cOEY9u59DouXdPMMod/X+mHN&#10;2nk4fYZ1vj7LvlzA+QuH8NhjW9Hb24zQUE/Exwdj06blOHfukOnL119/YLLZvfzyY+jqrkVIqDvS&#10;MqI4xrX44Px7+OZbsfkIR4/uNcLAhoYy+JFfbm4iHn9iOz788Bjb+RBfffU+Tp062McvHX4BrsjK&#10;isf8Bd1Yu15Xw67C6jVLMLOnFXX15YzzUfDxc+MZKAFz5nYyFi3HI49s5Zh3sb/bsGr1fJ5/4ulX&#10;Tqxfgiee2oGnnnsUjz21C1t3bsb0hjrklxbD3c8Pkxx1/giEW2D4r/rtf3aZ7OIFj+AIJGXnoqC8&#10;gvuUGuSWlCIpIw1uPh7cS/qiqa0ej+zeiedfegb79r/G8gqeenoXZsxs4FrnyfNbOB7cuRrvf/Au&#10;+Z3DDz9+iOPH9+FhMm5urqAfu5jxP/roZmNnZQrUz0OH9pDxOlRU5LGOq7HD2rULGNMfwZ49T9H3&#10;HqNfLcecOR30v3jOTbZDxrNmWxhLgLV8xQIjwqquLuMaG8n54IGk5FjU1pajs7PJiEObmmuRm5fB&#10;NpIQFh5Em3sZkVh6Rgr/XZmcspGcnICEBMuVwMHB/uyPfocUwHU81NTVlcG/Nj//PUXtSbwaEhqI&#10;APJViYoK514hjmfoRNOf7BxLf+MTo7nO+JBzAHLz09FGWyxY0GNEbPMXzERbez3nbzrH7Y7ExHAs&#10;WTKL7J7FSfqvGJ8+/Q6efW4XamqL6ccuyMiO47q9imvm09h34CXu1Z/DyrXL0MmYEpscDyfuSSPi&#10;otDU3oyZc2ejbeZMtHR3obiyEqk5OXD3D2TcdOG5LwD+kTEIjU+GV2iUEWLauv/vEe38o/y/Vaxn&#10;i3/t99vWc4b1rOHkYREl66dXQDCC6aeRCclIzshGalYuYhKT4RcSZq7aDgqPRFlVtcm0tmTlGnOt&#10;6Kz5i1DT0ITo+ES4cl+QnJ6JuQsXm/fWb96GBUtXoHvWXOQWT4NvcDjsXb0QEp3Ac14Nz3gNRmCV&#10;U1KJhIw8eIdEwc7Nh332YFwP5pyJN6KzXxvnf2aR6CswOtH0Y3pjG6qb2lFUPt0wcPH0QVBoONq7&#10;ZnAtegZvH3zHZFE7fvy4yZjW3NwMP65FSUlJ2Lx5s/n3Tz/9lLH9G67973LN3YTp06dzP+CLzMxM&#10;7Nq1y2Sw++STT0xGu8OHD5vrTMvLy+HDPVV+fj5j/6M4e/Ys1/sv8fnnn3Ot34vVq1dzX5MHL28f&#10;ZOXk8WywElsf3IV1m7Zi9YZNaOqYgbyScnj4h2AK+bn6hcAvIo7rVdSvjvl/SpG40ckniH7L87CX&#10;PxIzclHb1ILeufOwbsNGzOiZhYqqSiSl0E+5F42ICEdpaYm5PrdsWimZZTPWx3NfGG0yEv7aGvPf&#10;sSiznkSmyrwXGBiAvLxcLFzE9f7557Bv35vct72Exx9/3GRKDA3lGSw8nOvcInMd8EcffYTvv/8e&#10;J0+eNL7V0dFhMilGR0dj2bJlePXVV/Hee+/Rr95gG7uxbt1aTJtWZq4WFr+WlmasX78OGzau575h&#10;JWbPmcU1sRqpqSkX6xQXF6G6ZjoK+VMlKycbsfFx3AeE9J0LuC8ICoQfi/V7Met3ZSrW789UrL/r&#10;sJ5drMX6uxBrvLIWaxyz/t6n/+9+VKzxT0Xx8D96/vlH+dfL/+p609++1t9vWYvVN6z+8svfeVmL&#10;9TvU/9WzZ//PWUv/dq3PshZrf6y++XN/1Pfmlv9QpvVKmgsJo3+N0b+1KDPcGHuXHIv67V95jbZx&#10;Gzba3i1GV6iOtnPrtBT92XX6GDvX15VNKimjGpn5TUjJqjUiowk2frB1DIGrVyyi4kuQld+M/JIO&#10;ZBe2IDqhjPATMHlqMGwcQ1knHmExhVz865CZxzayaxEWW4AJtn4Yz2LjxHZ84lgnD9FJJYhNKUNE&#10;QhG8g1Np7GBMsPfHZIdA2LuHwzMwEf7h6SYTlk9oMqZ6hGGsnSfG2Xua7FsSTdi4s26/DFYTHP9r&#10;vrD6R/mXRVnCJGJRhjQHb0u2MdkqOCaHjh5Ke/tgoj19xzmUGwse+lIr6FeNxndSMmsREJIDO4co&#10;2NpHwdU9iQtANReK5RaR1aydWLDocXh5ZWDS5FA4OsXB1y+Lh9s2IxabM3eXEWtV1yxBeMQ0THWI&#10;N8XXLxeZWR08vG3E7Nm7eKB9iPUe5Htxph1nlwQEBuWhsGgmOrseYDs7jQCtbJrEZ4WwnxoHR+dE&#10;LpxFKCjsRVfXFi5gD2H+/EfRUL8CNraRmGwTBhfXRC6yJUbgpc+rP13dD/CAOAPePtmws4/ls5IR&#10;HjkNZeULMWPGNo7pIS7Cj/PQ2Y3JU0LZVjjc3JMRG1fFcSxGb+92zJm3C61t63ggbYW7R7rpj5t7&#10;Kuso/fEyLtg7DJslS57iQbmSY6LvT42Eh2cqUlLr0NC4god21mFpbFqFuPgaODknw25qLOtkIDmF&#10;B/XG1YaN2lm88En2N9OwcXCMZSDLJL8WMl7Hw76FcU3tUh7Oy/l+gmHs45uDjMx2tLZuZBuWdlRk&#10;o/6MCwq7DGO1I0YS0AUGFbEvcaatwKDCPnHeZtOfeXPJuHmNhTH5WBgXG6GdxH1qRyK9gsIe0weN&#10;yTCOKEdpmcR5PzEuLOphG2H9GHNzXr3IjGf2nAeND6VntBnGtlNj4OKegpjYam62l15kvHjxU+RX&#10;bcZkZZyUXGuEiOLbNWMTauqW0W+n02cS2A792C0ZkTHlKCntRVnFbFMk9HP1jMNEW3/G0VAelqIR&#10;HJHD+FqDHMbQ1OwaHpRK4Oodx9gXhElTGdNcw+ERkITQmHzGT0sJjy/AxKl+GGfrjfFTfbhQ+pss&#10;g86+kXD1j4adJ2OwWwBjoI+Zmyq/Nm//Uf7fKhIsTHC0iC4mODgyXjvxoOwCd38vI2iyFD94BTob&#10;IYid8zg4e05AQJg9UjK8kVccgtKKMFRUh3K9d8AU24Hw8BjOQ8FYJKc6obwqDE2tiWhqjuccD+Zc&#10;s+FcGQw3j/sZU0ewjj3rBPL9KDS3RaK+OQwhoeMZIwfC02soQkPGMa67oa4hCh2dyWhpjeec92fs&#10;HM+5OwDungMQHDoC2bmOaGoJRdfMGMzojUFrB+Ow2/2MSfdynRjEODAWxaXe6JyRwANeKudnPMor&#10;vfnZIXByuZnt3IHI6GGck86YMTsScxfGYd6iWLR2BmPypFsYv+7mIfp+zufxjBUBmDUnBfMWpqN7&#10;ZiyKStzg4zeA8/wWePncyTojUVXjiVlzY9hGPNuKxfQ6b4wbez1j0t3w9xvEWDEZ9Y0hmDM/DfMW&#10;pKG9M4pjmApP73vYn1vY3t08eI5jHT/Mnh+H+WxnzsIYZOfZY9z4G+Dqeg8ZDyEbe7SQ27wF6Zg7&#10;PxXNrWFkOpF874Cz6y0ICLoPmdmT0NwehLkL4jF/cRxmLYhEeNRoTJzEcbvfR97DGWtd0NEVi/kL&#10;MzBrXgpjVwCiY0ezjdu4/t5KTvcjv9AeHd2hmLOA/WE7PXMYPz3uo61ug6fnQLY5CmVlnjw4J3Dc&#10;6eiZlcADtA9CwobBmWzcPW+n3YagpJyMeyMuMm7vDmE8vhWOjnfBy3sgfWQsqqr9MXtuch/jONrO&#10;jZvqgXByupmM7kQU+1Za4Y7OnmjMnBPHNiL5d2+MHXcb7TAAHt4jEBFji8LSQPpUAqbXx6K4PASx&#10;iY7ccA+BneN93JsOY6ydjPRcb5TST6dVhyN/WghjqRPGTBpEXx8FF6/xCI5yRGJ6ALIKIljCkZjh&#10;D78Qe+5dxmCK4ygeOMbBh3+PTvZGcnYQ4tIDEZMWABcf2spmDPe1k+DoYcs6rgiO5iE3wSLc8Q/3&#10;grOXPSY7TjDF3m0K97VO3CP5IDzBHxGJ/giL5z7WaTIm2E3gzylsx577YXeExgawnSCExQXAN1Rf&#10;ntlyfRiPKU4T4OQ1BX7hrohK9kNsWiDiWCISfbnPHs06Y2HvMgHuvraITvRERl4YsgojkJYTzL+7&#10;c26PhZ3T/XByHwr/kPFIz3FHOed2Q2sU6tsjUFTmg/Hjxfg+7g2GIC5hMmrrgzF7Xqrx487uaOQV&#10;OMLb917uLW6mH9+FxOSxrOPDOrFmPsiPC0ucMJbzwcX1XsaBIdzT2HL+0if6/Li1PRyp6VPoM3ea&#10;+eAfcC8ysiYylgRc9L85C6L5/HGYMPFGxoL7EBwyDLl5zmjviDF+PGdeMuNGEOfjOMYC+rHbrQgK&#10;GYicfDu0d3Hu9bXTOy+C/b0fNja3MTYN4L5iJP3Ng36XwH1mOnpnJ9EffREWMZxjuoXPuh1hkYNR&#10;VOpIX7f6cRw6e0NhZ3c77B3ug7P7KPgETuFZxos2CoR3iB88g3yM8PPX4vD/lKIMcRMcXeHk64Wg&#10;qEAERvkjJEaCJ1vYOo3EVM49b/+hSM2wQ0NLMG3dF3Pm6UuhIZhic2sf4xGMm+7kx/cXZRjG02v8&#10;GB9G0N63Mq7chtDwQazjgK6LsSIOXbNCMXXqHdxz3cmYcz+io0ejotIHPbNTaPN0zOzl+lDuicDg&#10;wcZvPLzuQFTMcK4xrpg5O5qxXfEmCgVl3CtNHsg910g4uo3jGcQe/mFeZl7KVh5B3rSVZby/xuF/&#10;QpHAWP7mFuQLjxB/BMUGwSfcF24BrnBmbHLxmcq13QXpBcEob+C8XJKB+SsyMHN+PGKTbBEYOpZr&#10;/GRMm+6GleuT8er+Wpw634V3jjZg265kVNfbIi1zCOf7aDJ1x8OPZeC9o3U4ea4BH37ejAcfTuJZ&#10;YCwSE2nr0gnk743dT+fh8MkWnD7fgbfercHaB6JQWj6e838IY8I4rpm+ePr5PBw52YATZxrw0Zct&#10;WLoyhDFkFFLSGPPLJ9OfAvH8K8U4drYNJz/oxJ63KrFoWTDyCkcjPWso1/BJWLgkGC+9VorjZyRi&#10;q8P5Txu5N/DiPn4418NxqKy2wfLV4XhtXzlOvN+B42fb8cLrJVzTvJGVO4J1hnENt8XKtVFsv4Jj&#10;asLJ9+tx9PR0ro0OPF8NQ07eONQ1TsW6LbF482ANTrEvR0414/Fnc9HW5cx4NQxZOcPR0OSATVsT&#10;cODd6di4owArH8hBTWs0nLyduN9y/lXb/b9erL9ctf7ir/8v/Ky/7LP+ks/6iz3rL9esv8j7tV/U&#10;9S8Sh4WGc14E+/C86W1KcIiv+beERPpckjKJcM/AtTY4mPFO626YJ+OJD/dmwfQR/UeGWBQUR3Gt&#10;4pof5841won7SFfuwXy5v4zivjaRe7JE7vPSUTItmM90NCUxxYn+7st9ajyWrcrDirX5mMu1prIm&#10;kH5uy7PlRPqPHdcvfyxfmYbdT5bh8aeK8dyr07gG+iAmZhzP9JNQWGzHdTUEjz5RhINHWvDOkSY8&#10;9UIx55ov/XMkMujHFdOnYPmqMLz+Jn39bDPnQz3ncS3P0y4cyzBk54znXLbHmo3R2Pt2tZlTR0+3&#10;4OkXCtAxw41tDOVYh6O2YSo2PBCHfW9Xmfmw9+1KLN+QhpgkB7j5TubeZaqJLb9mz39PcfLzRnRa&#10;KDKLY5BfEYPcsiDue6YiiHv/hJQJKJvuiQ1b0nHoOGPFWcaKL1qwflM0uYym3UaR90Tunf04jiIc&#10;Od3G+dnBeTody1aHMR6NNbGruGwC15YAPPcS48npJsaLOlz4oplM/RAfPwLpjF/TKidj0fJQvPx6&#10;OY6f6yC/drz8xjR+zo97CTJmzCmvmoJlK8Pw2t5pFsZn63H6Qh0aWyyMs3LGobrODqvWM57sn85Y&#10;0oFjZ8j4xQJ0znQ3dsog4xraYd1GxpMDVTh1tolxshEHjkzDtAru12K5v8mfwDYdsXlHIva/V2fi&#10;8aETzXj4iUyutw7s7xCeEUbS55yxbWcKDhyuxbuMyW8fno4dD6cxHk+h74zlTxv6pwf3WwlYsz4P&#10;D2wtxsLlWWwjAinpTuyzDX3QCekZPjy3RTJeag8ezbU1xvxHH4mHgoK8EBLixbPBr8+v/86l/y/p&#10;rb+Qt35hZP1lfP8vf/4zv+ixxjXFM8UxPVt9+LfErP+qosxJwcEWoU12bhr3u2VYuGgWFi+ehS1b&#10;16GxqYJ+E4ScnEQ0NEzD9u1rcPLk2/jhh0/x44+f4siRN7FsWS8Ki1JQUMhzelsldj20BmfPHTSZ&#10;2H748QN8993HJstaeno0Skoy0NlZi927t+L8eWVr+5zvf4T9+19C76xm+nkCSkp19qvDU09vwyef&#10;HsOP+BDf/fA+vv76DFJTI5Gdrd8p5GDWrBY8//wj+OwzZYb7HF9+eQ4vv/w4WtuqGNviUF6Rjbnz&#10;WvHyq48aMRzwEb77/hxOndrH/aMf8vOTMX16ARYtmoE9e54xAjb15+OPT+KJJ7ahtq6ITOJQNT0P&#10;y1b0YP+B5/C1RGxsR9nhnntupxGiqp26uhKsWbMA77zzmhHUiY2EcVu3rjT9yM1LYEwvxoaNi3D4&#10;yOvsx3m2c8GwWblyFmNOkBELSrC1desqI8774YdPTDvHju3DipWzjdBQWeZaWiuwc9dqnDlLO5Dx&#10;dz+e5zM/NtnpxKe0NBMdZPzYY1vw/vuHLzI+cOBlzJnTirz8RDJOMyK9J57cig8/OnKR8TffvI+M&#10;jBgjGJs2LduI/Z577mF8+qn4fY4Pzh/DI49uZfzMR2R8GPeLsUjOpN801KCyoQ4pufnwDouCvef/&#10;ucw7U1y5LwgKR3hiiulPQXklz2IJRujvFRjE8268Efy1zejE1p1bWbZhw+Z1aG6vR1Iax5MWw/1m&#10;Plauno89e5/FydMHcer0AVz48Ax9ooT7A67/9OP2jho88sgm2tnC+IcfPsbBg69i3rx25NNOxSU6&#10;F9dg9+ObyVh1aG/D+APjw2JcVpaFnp4mPPPMLiPmBD6jH57H668/RRvWcJ2Rr2di1uwmvPDiQ/j8&#10;C9X5EN+znfMX3jN7lNzcJFRW5WP+/E68+uqTZh7IVp9yXjz11IOobyzl+hDLGM75ML8djz+5HcdO&#10;vMUxHcTbB1/D9p3reW7yRlxiFLLy0lHTWG1EaY89+TDXku1YvWE16lvqEZ2g31FzX5Qch+zCPNq8&#10;Dm093ejonYnqpiZEJCZhqrsXHL141vAPgmdwOIJiEugP0abYefgZ2/yazf5vKBMc9Z8DPYyo0zUg&#10;1PhfRFIqUnLyWHK5tnjA1TeA580wJGVmory2Fq0zZmDeksVYsHQRptdPp2/GICw6DAmp8SicVoR5&#10;i+dwf7aC+5tV3B/QDo3TEcBzXVRMOPeaibRpEdo6mjBnXi/mLZjFfWcdcnIzzPthEcGIiY9EEuvp&#10;Ouq8gmz+zDIixwjaMSDQj3tfiS1/viZY18h/rfT/gttarHtwlf5ftlu/8Laus9Zi/QK8/5f3P/8y&#10;/NcFGf8QYfz3KNaMbW4BYQhPSDNCN12VWtvSifLqOp7HcxCfmEx/K+QazDi6Z48REX3xxReMTeAa&#10;t5VrZySysrJQXc14s3Il3nrrLSN0k0hNIrY1a9aguLjYZLKr5VyRYO3AgQNG6KaMd1999RWWLFnC&#10;vWgI8vLy0NjYiAceeMAIkSRyU9m/f78RMRUUFDBO5hpxnZ595MgR875ETefOnTPXlUr0VFRUZMRN&#10;EtWdOHHC9EXPU2a9GZyraqOwsNBk35OoTtn31I5eumpW4w0Ji0B8cipyi0oZN9vR2TvXiBKziysQ&#10;EptsstNJIPhrXP+rimzlHhjOOFSEps4eLF21Fjt2PYyeWXO4b+M+h4wlKly1apVhJjuIrzivWLHC&#10;sBFjZRfcuHGjESJaGWvcixcvNoxzcnKMHSRSfPPNNw1niRP37HndZDQMDg4y2Q2LigrR3d2F5SuW&#10;4YFNG7F02RJ0dnXw89lc02K4P+PZOjWF62OpEY81NNajuaXJXBcbGxfDcwjX8ZgonveSuC9Skppq&#10;U6e9vQ0VFeXmatmYmGie5+O51ynG3Llz8PTTT9F/9rNPh7m/e8KIJyWynDZtGtfseeYK2wsXLphx&#10;yyd27txpmMhHVWfhwoXGDySytPqx/CQ2Nta0pbrLly8345bPqM6xY8ewfv16jqPMMP6lr+tZ3377&#10;reEexnVB/lVfX48NGzYY4Z34qh39WUI7+Z6VsXz90KFDJvPjd999Z+aXxHvW+VBXV2fmzHPPPUsb&#10;HcCLL76AzZs3mSySKSnJpljtsGHDemx8YAO2bZduYTZS01IQEhrMfSnX+uwslJdPQ2tri6nb0dFu&#10;mCea63q5zkXoP9ixXk6WKbl5ObRdMmJox8AgiewD4Beg/7Cl82Pwv2mt+OV68a+tGf3Xjf5rR/81&#10;xFr6ryXW9aT/mvKPdeX/nmLvGYCxU92//+nf3CWGe7pP8vbvf0kcl5hejQULdjMwPseN+UO48qoB&#10;uOLKQfD0SuNhby66Z2zCvPkPMag9YX5mZLbi3vtccONNk+j0DCbl8xnsJHB5iO08jvXrXuWEmou/&#10;/PUO1hnDSVLAg8YSTuatmL/gYSxb/iSfs42H9Gm45dYpuOseB4SGlaK6Zhm6urbxUPcog9OTnNz7&#10;OMkK8fvf38bnOSAuvooH+JU8WG/nof5R005H50b2MwM33DABQ4Z6c+LWob5hFdraN2Fmzw4jtFqx&#10;4lmMGu2Dv10+AKPH6WBQgcLSLlTWzEVlLRezuvlGyDfJNgS33zsZYyf7IzRKAr96pGU3ICu/hYtf&#10;G0orezFgqB1uvWcsJtoHICgiC5EJRUbgl5BRiYT0CviEpGDMZE8MHGFvhH5egUkIjsqGxC1B/BkS&#10;k4vAqCzcP8qWdWzNdZcSJPqFp/HfM/l+NutlwsUnGiMmuGHwGEdMdgyEe0ACfMPSEBCRadoJi8uH&#10;R0Ai7h0yEfePtGewCOVGPM0IDuPSypGYWYWYlFK4eMfi/uGOGDTCCU6e3IzHFiKlT7io7FvTqmbD&#10;wycF1908DPcPc0BQKDfWRe0mg1pz22r0zt6KlrY18BDjGydg0GAP2qEWdfUrjRhJgqZFi57A1m37&#10;MW58CH7/h9sxfISydDTRBmswe852LF6y29iqqXkVbO1icO11YzF2XDDrtKKhaQ1mznyQC9ZjbOdJ&#10;LrR7cfMtk/DHP91lhE3KqtbRuYFBfCeWLH3clMqqBRg9JhDXXDsGNmxPAqtWZVHr3WX8eNmyZ9jW&#10;U7j66kG47PKBcHXjolg+x/ixBFby44WLHmFg78T997vj+hsnGpGUBHId9BurH69Z8zIXlxW49NK7&#10;cN31Ixn887gwL6Zfbbnox3Pm7uACXo3b77AzRaK66dVa/LnwzHmYfvwEx/QmF+9q/PGPt+HOu2y4&#10;kEwzIrbeWdv4/qPcNDxl+ubnn2sYK6tbbNx0Ml6BGd3byUbz4QlsI+MpkyPwO84HZapLTWtAS+tq&#10;I9SyMm5uWW0EdWI8anQA0tJbOGd+Ymzm1aZ97KsN/vDHO43wKy+/k/2V4NDSjhgr492YsUG4+hoy&#10;ttUVXTO4YK7nHFY7fNaSZwzna64bgr9dOgDKNGcRsVnEcGpjwcJHaJtu4zPX3TDOZJgrLZvLBfcB&#10;zJ5lYbx61Uvs31pcdtndtOdwHthyGAcW/YLxg5zXtbjjzqm47XZb+Aflo6JqCf1ii4XxAjJ+4A0u&#10;4I30m9s4tsmIjCoj4+WGsfohxjNmbubinc+YNAH33e9qxIW1dcu5CZCtLIy3bj1ghJRiPHiIG1JS&#10;tVH7ibHaaWlda8R9YqyMgKlpzRzDajK22upJbNmyD3ffMxX/TMYTJwXR1zrQ3vETY/mghJ1jx4UY&#10;P55sE8U63WxbjHcaxkuWPM2N1Au47rph+Ovf7oOTczz5zTIiTCtjxUEJAQcP8aSPjoOTSwo3iHP4&#10;rAc4ds2Hx/m8J7nBWsvnDKSvj4SndwryCttRXbsQ0+sWoqF5GcqqehESkY+BQ5xw76CpcPaMR3RC&#10;qRGxJmfUIDW7HrnF7fAMSMYdA8ZhyGgHOHpEICA8nTEpnTEpi/EpxVwLPMU5EMMnOWPkFFdu1H1h&#10;4xYIXS2s7I8q/Re2/9eKsuKNtnU1Rdcq27oHw8Uv2hTPoCT4hWX84jNGaPGEEa/bu+SoSNyuzK8j&#10;bZxtVfj+2/0/4+Tj/diyNfGM4/bgEo+hw65CSrIT43G8EVgtXpqDZSty0dEVxfV1EG65jXWG/wWp&#10;6ZPQ2h6K2fNjsWhZPJatScCSVTHwCxyMS35zCf34Jm7oPdE1IwnzFmZgKdtYtiKbMTwAjs634qZb&#10;LsGESdcY4UznDIvYYdHyBKxcl8if0Rg+8hr8+S+XwNnlXpSWBmBmbzIWLM7E8pW5WLIsC2XlHhg7&#10;/ircfOsljCe3MWa7o3tmJOYtjsPiFfGmnVkLwnDV3/+Jc++38PMbwTkUxkNfKhYtycKKVXlYuDgd&#10;2XkOGDTkjxzXP3G+D6Sf+2LmrGjMX8L+rEzA8rUJaO30w2/I5u67/8x9yGTGihjMnpuORUuzTH/m&#10;zEtEQtJ4zuHf4O57f88D3Ag0Ngdh1txoLFwazwNnAvnEo3iao4Xx0CsZf6ZyHYrD3Pk/Me6cEW1E&#10;HLfefgmGDPsLUtJ+wXg1Ga+ORWjEMNPOhAk3Iifbg3M8yYh/li7PMaWxmX7idrthM37i35GbPxWd&#10;3eGY08d4xboE/ozCmHE34E9/vAROjvegpMQf3T0pZPIT4/JKT37+GtzIdmSz0jIxjrjIeAUZz1kU&#10;xljyB1xz9W/h6zuc61koGacYxstWWBjn5jti8NC/GMZ+AQMwvcaH9oyyMF5BxmTTMSMA//TbS3DH&#10;HX9EePgE7suiLIzZjoVxEpJSJuCe+37HPeDvaAeJDILQO8fCeEkf42lVLobN4EGX8QAsoaCVcTbb&#10;ycGMnhiEhA/FbXdcwrXmT0hMHk/GEiXGYGE/xlFxo0w7Y8Zej8wsN655iRcZL2M7TS0hcPO40/ix&#10;/DAnT0LBMLZDWy2Px3IyXkw/njTlVvzzP1+CqVPv4oHTj+tKMuZfZJzJtcmb8fxa085Ux5tRXOqK&#10;rv6M1yfyzxG46eY/0pd/C2/vYdzThBjGyioiv1m0JAMFRU6cl38j49/A2/ceVFV792PM/qxJRFdP&#10;IPfHl+D22/+I0NDxqGuINBlIrIznLUhBcupk3Dvg97jjrt8hjH5W3xhIxjGY38d4KRlX1bobNvff&#10;fykPyXZch2LJOOMi45m9sUbUJMYDB/2Rc2Mc7RBKG5Kx5gMZLyXj+ORxpp3RY67jOcGVMSYRcxf0&#10;MWaskO+7e95t/HjUmCuQmW3HOvRjK+O1iViyIgb2DrebcdnZ38H1zZc+SsYLM9lOLku2EbJNsb3e&#10;MLa3vxFFJS6MS2S8qI8x25m/NAK33/kXXHHFb+DpORgVFcHo6SXjRVbGmSgsdmZc+hv78xt4+dyN&#10;yulemGEYx19sp3t2EPdul+CWW/6AkJBx3JdFYNacnxjPX5hqRH73DvgD7rr3r/DyH4ukTB8kZihT&#10;ThCikgMQEqeMim4YOsEOY+ycLsbq/6oybqoz1xhHjLHVtY8uXJu9jYgyPjMQ+dNCUdUYCnvnIfjr&#10;pZfCxuZOZOd6cQ/KmLNAjBVzshg3/bi/vtEwtrG7gaxc0Ml4PFeMaSsL40jcc++luPyyS+DmPgjl&#10;5UH0FUvMEePFSzONsHjk6MsNYw/Pu8jY0zCet5iMVyrmJKBnbjD+wrXhppt/j+CgsdyXRfDs8XPG&#10;6Zk2uG/gH2jT3yEoZAhq6/3QM5txXX7MuL5sbRzqW7yN/w0Y8BfExtrwzBFLH01jP2jzVblGzCtB&#10;8O13XmLaio0fY8Qq9c0RqGWpalIJQ0ScPf5+/U0YNW4A/ENceMYLRkp2GNJyI3i2CkdEgq7amcSz&#10;10CMmjgIPsEOSM7y5dnKl2e4f3mFxVh711br+m0pbk9wDed7ljLa3vWC1vXl61LOr99Uih2PluKF&#10;PVV4891qHDhSDjuHu7h/+z33mpOx8+ESvHu0E6c/7MZHX/Xi3Ccd2LQjinH4Wowa9Ruu0ROxc2cJ&#10;9r/dghNnW3D+sxYAM/DSG1lcF6/g/viPqKx0xZPPVOLQyS6c+7gbn3zTi+MfNGH+Mi9Mdf4b1/o/&#10;o7raDbufqMQ777Xg1PkWfPi52plNjoE8p/weI0b+nXM3CC++Woujpzvx/qcz8Om3vXjnRA0a23mO&#10;nvB77lmv5v46GM+/UIt3j7Tg7IVWI3AB5qCsYjIuu4JrlcttWLQ4AXv2NeH4uS6c/3yG6c+et0tR&#10;UDqU8/MSno1YZ0kiXnm1AYePNePsRy345Cu102MEln/96yWMf4OwfkMW3nqnDSff78KFL2fiI5Zn&#10;Xs5GQsqdPDNdguiYgayTjb1vNuPoyRZ88HErvvihHZ9918T18HZceeUlZDwBDz5UhHeOWBn3cGwd&#10;2PZwLAJCruO4L0FW9lg8+GAx3iLj4xcZd+ONg3kYNuLvuPXW33M/48w9Sz7WbilF51yuC41JiM0I&#10;hVugfjE39Wf+8d+5KAukBH7DJ9lhkrMD/CL8GNeijaBpWkMiGrvTUFgVAd/QURgx7jbGvzFo60rA&#10;OvrxE89WYN871TjzURM++Kwezm53MB5fwnV/LLbvLCTjDpy+0Mf4s048+FgCgsOvx4gRlyAtYxS2&#10;7SjEvgN9jD9twY/o5HwoYjy5Bjff/DuedRyx+6lyHDrRibPGj3tw6kIz1xF/uLhfjvHj/5n7SEc8&#10;urscB9+lH7/Pdj5vpq16sXl7JG659U9c8y7nGc8Pz79cgyOn5Mfd9ONZOHy6Hh09U7ne/5Fr/eXc&#10;2/nh2Wer8c7hFva51Qis5McNzQ646qpLYGt3k9lzvLq3kf3t4ngt82Hfu+U8X41kn7mOe9+M+azz&#10;8sv1OGT8mPPhS/nOLMQlDjV+HMg96+q16din+cv5ID/+8KuZeOH1PKRm3o1hwy5BRMS9WL0mA3ve&#10;aDJ+/D79+NNvW/E92rm+3mXicULCaGzdXoCDhzrIpJtt9ODC51146PEkhEXdSD+Vr480dd7a34Jj&#10;py2Mv0cXDp0qxbjx13Ge/xaFhfZ47PFpOHS8E++dbMeDj1dg+QP5yCr2wRSnURhjM+5X/eY/q3iH&#10;BcDZ142xdiTG2U5EWJwvSqYnoq0nE13zsrBuRylWbMxEeu4EjB53Ffdwt6OtMwIvvFyHQ0cZcxgr&#10;PjSMZyMpbRguvfQS7mvvxcpVqXiTvnVCseKLHnz0dQ9efKMAGTn38cykeHI366Rjz54mHDnRTMYt&#10;+PSbVrbTAU+vu/G3v12CuLiR2LItH2+/125EbGJ8nowfeSoV4dE3cf92CZKTh2Pzlnzs299sGH9A&#10;xt+yjRMfVPC8dAP32pdwP21LHy0j4w72txsff92LMx+3Ye2mUHj4XInRY3+HomIbPPxoGQ6804qT&#10;5+THlvj36NNJ3D//Dfdy71FX54lnn5+Owyauz8Qn3/bg6Nl69M5zoX/+mWv933jW8cKTT1fh3cPN&#10;7DP92LQzh2ckD1xzzT/xDHI91/AIvPJaA46fYTymH2tuPfdKGffikzBx8hXw8LqX+/lQrFhZgC3b&#10;S7B5WwG27yrANv45Om4qY+19ZGyD4uJwrtPJaG5LRS3jX1lFHHIL9GW+M/cC9ggI8EBkVADCIwIZ&#10;xwN/9uV7/y9RrF+YWL8g0Zch/b/4sH7Z8Wv+859V1L5V8Kbnqy/ql/oqIcEvhQf/keLr58U1zxuR&#10;kcqInIrcvEzGKP0uqhE9PTN5tsvhmXMIfPxcTdawjRtX0U+fw5Ej75kvBI+fOMBzSB736jfz7GCL&#10;BzYtxsnTbxlBlK4uBX5gAZKSQ8xZJi4uyIh/PvjgML777hPznl7vHdrDOqE8o93A820AHtv9AM69&#10;fxDf/3CB737DYmln8ODbcMMNlzJWpJosbx99pCtHPzXv6fXSS7tp26m4d+ANjNmpeOnlR3HhQ4mI&#10;dO3otyxq5xv84Q86g9yGpsZy7Nv3Aj7//CzrWL6cVL0HH1xHPx7Js/RtPKOUMW49h08+Pc731Ofv&#10;TK0z5w6YPeDEiUMxZ04bDh/ei6++Os93vjbvf/vdR1i8ZCbj8T305UGYN78Vhw6/hi++tAjvrGPa&#10;smWJacfd3RZr1y40Wdy+/lr9tTznww+Po76+BPcPvoW+PAUbNi7AiZP78PU3Eiz9xDg3L86cZWJi&#10;ArBr1wa8//4RI5QDVzO9JDpMS4/EvWQcy3PCI49uMIy/+/7njEePvo/z8y9GoPfc84+Y5/dn/Mpr&#10;T3A+OeMeMi4sSsaLLz5sstz9cJHx96b8+c/c+w64mX0vNVnylL1Pgi/L6zs8/MgDsJ86GoOG3sr9&#10;cwn2vfUsPv7kGN+zMv6Rfz9s2IwdNxR1DZVYs2EVNm7dhHlLlrCsQHVTM88ckVwb7M15Z5LLf961&#10;bv8nylSvQFOUlUz/0XSUjQMmu3rCNyKKZ7tEizAqt6ivFGPQ6HEYMXEKHLz84B8Zi7CEZNZJY8lg&#10;SYcP2YznGW3UFHs4evshICoWofFJph3vsBiWWJMJzXpelNjMLTD8YnY0S3/+6zM//Xcvo22duTf1&#10;MAI1z5Coi4xlh7i0dExycMKICePhHxaKsuoqNHa00T8XYvWGjSwPYMvOTbjiap6bxo3g2lRE39+O&#10;vfte4V7xAE6fOYtPP3uf5895XBMHY+SYezCzp5bnoZc4ZyziRmsseO213WY+TJ06FkuXzcKxY28x&#10;5nzIdzTvYDJczpjRwHXxTkx1HIMVK2aarJZffX1W77JobvKUNqPGtBMU5Mb4sxJnz75nxLDWGKAM&#10;fCUl6Rgw8CaegV2xfccKk9Xym28/4LtfsVja8fN34P7kt9zfReGJJ7Yz1h7D999b4rpEGK+9/jQi&#10;In0xaPDtSEkNM+vD63ueNFkU9+17nWWvyaI0ZOjdXGfuQXZ2MlavXojHH3+Q8f0J7N79GMujmDu3&#10;C56eDhg/YZjJarlkaS/3AGu5p1zHn5tYNrOsw1133wkb27FQdsGFi3qx8YFV/PzOvnZ2oq29Dg4O&#10;EzHFZpQR/K5aNR9PPLmDMewJlmfx+BNPYNWaRbj+hhvIzwbTKoqxdMUirFq3Euse2IjFK1Zh6arl&#10;3GeXISo59fOx9I3+yQFG27ltGm3n+ri18Mz9Os/bR1T4548s5V/61/8txd4zAA7eQRhr54yxNo4I&#10;ioxD6fR6k31u+Zr1eOX1N0zpntmLyy6/AmPHjqVt5+LgwYNG/CNhmV4SC0lQNmzYMPr6VEhEJMGU&#10;/l2iHeurra3N+LGHhwfXzrVGOCRhz48/WtY8/V0iogEDBpisbhIVSVz18ccfX3yWXhKw/dM//ZMR&#10;10nAdObMmYtiJb0kxNP1sWonJiYGDz30kBGx9X+WRFABAQE8W/3ViI2efvpp7nM+MGIwvVTvscce&#10;M1nqhgwZYsRGylxnzTBnfSkrmN6/6aabjBjptddeM20rk51eak8iPzs7O8NPoqZnn3uee5QDePOt&#10;A4bvE888Z648vfWuezFqwhQkZeQgv6wK5bVNKCivQWFFrflzaEwiRvO8PYGxPyI+5WIdZd/r6J1n&#10;MtqVllfiz3+9FE7OLkYYdfTo0Z+NW9nNqqqqMHDgQM5RT2MHMe5vT71kh9/85jcmQ9qOHTuMwK0/&#10;43379iEtLc0wjoiIMHZQ24oj1mdJ/CVR3V/+8hcjMHvyySe5z9F/crAw1ksiNWVZGzx48EU7yJ79&#10;Gb/xxhsYyXPejTfeaMRlYi7fsjLWz3Xr1hnfGz16tLGD6sieEp9ZX8o0ePXVVzN2DUVvb68RWkpQ&#10;ZvVRMZg1axZGjRrFM5ENZs+ebURssmd/P545c6Zh4+TkZIRuEnJqrNZxi5X6ef/99xtflx1U55d+&#10;XFlZaeaDxGwSbPYXWuolkWJGRoZhbLWDBJv9n6Xx6SrkP/3pT8Yeym4nxv3HLb+VHQYNGmREfLKD&#10;+tj/WWIxceJEXHvttaZfL7/88s/8WAI+ifEcHR2NLSQElFDwl4zVx+uvv96Mvbu72/DrP275oq5s&#10;HjduHKZMmYKuri7TP8UU9UmiRBUJ8a688goydjRnm0ceeZjnhRdN9j2tQRI6FhYWYPz4cWTsbupv&#10;2bLZZObTVdKWNeQxrlFZuPXWW+hjAUY4uXHjhosiQJVFixcaYd/ESROgq6klwJRgc8UqriEb1mPe&#10;gvmYO38elKFvyPDh8AsKQn5xMSpqalHT0Ii65hb+uQ4Zeflw8fLBRFt7uPn4I5p7ttTsPCRl5iI2&#10;NdOUAMbXiQ6uGDV5Kuw9fOHiF2Lir6NPMBx9g6Fron8tTv+jWPbaysyp67FHjJ9iBL7KpvrUs8/j&#10;tT17zb5MxScslmv3T5/TGs859h97sZHOhPRKHlJnIyi4GC6uyTzcKVuWsj31GKGOxEj6WVQ8i45U&#10;BEenRAbhJISEFqO0TCKYzaZOZ9cm5OZ2IcA/17zv4ZGE8IgS6BpIS0YtbXzWIye3kwf+HLaTwHrJ&#10;iIouNwKcmT3bTJ3WVmXLauYBOgvOzokmA1NMbCVqapcYMdzsOTvpzGuQnNIIL+9M6EpHN48UHthr&#10;0dC4rK/OLiMokpDGxzsdyubk7pHGz9QbYdas2dtZbwfbXM62p0MZuSRyUUYtXSUp0YtEMGpLfVO2&#10;LHePVDi5JPCZGcjKbudY1pn+KgOVrqCUwE/81I6yluXld6G9Y6OlzsxtXHjmcrIVmjruHonwD8jl&#10;BnGGyYClOrqmsrhktqkjfuIcxD+XlM4i/81GBKO6yjbmH5DfxzgRoWHKqDW3H+MNPIR3clOcaxg7&#10;uyQhMmoax7Gwr84utLUqW1YLfMnYqY9xdEylEelIRKR2mprXcrPcxPFmmSxhrm4pSEisIVcxVtat&#10;nVz0V/Hf6sg4g+0kGI66ClTCRYnhxLC2bhntUMP30voYp9O+TbShRWg0a86DDLqL2ccKjieVfY43&#10;IsfMrDaTOc3CeDsZyw5inMR2Eukf+p95nejolNBoJxevbZg2bR55lLBOimHs559jeElEpDriqKtB&#10;g0OKzbjFR9eYFpeI8SZuAnehu2uzsUtAUB79LwmeHgl9jOeQ3xbTjgRHuk7Uzz/P2EmMIyLL2Mf5&#10;F+3QSjtkZLaRcbZ5lpt7EhlXXMxapjotzWuMoEqM5cfyjfiEajJbarEDGTc0rkZiYj18fayMrb6+&#10;0sJv9oO0yUrj6/JxtaOfqWmNPzFmqa5ewrkmxmlwZp89vdKNr7e2rWVfHrzo65FR5cbWsoO3TxbH&#10;2WHmrWHcsx3lFfOha2NdWMfNPYEMZAdLZjhLnS1kPJfxoegi48CgAsaPnj5fpx+TtYRcuh7Whew8&#10;vRJYv6AvnihDnyWeyA7+ARbG8vfwiDJUVMxjHQvj9rb13IC1G1/Qs9wZc6Kip/2McXPLWuPrGovY&#10;KMNcXPz0vnhiYSzRYGJSg2GsWOFKxhZfl6juQcO4oc/XJZ7UfBDjlNSGvngixjtRU7PUzCNPTzJm&#10;fyy+/vN4Mr16qbFDf8bZOWLc5+s9OzjG+dwYlZo6bm6KJxbGEgCrjhhpzsvXLbEigZv+fBQWK57I&#10;Drswo3sLmfcaEaCLYoVnghEnK55YY7bqKs4rnlgZy7aK2XqG2ulo32jinWK2lbF8vaJyIRlb7CAh&#10;n4TSypQoNpp/EnWaLIh9jJvIODm1ke1kcvNjiScxcVWoql4IXa/b2r4GFVVzER1bAWe3RJNJ0sU9&#10;HmFRRcgr6kBF9VyUVPQiPbsB/iFcG9xjYOcUgamuUQgMzzWivbziduQWtyEhbTq8A9P5fjhsHLgZ&#10;cY1EUHi2uVo3I68R6bkNiEoohrtPgqlj5xQCR7coSxa/TGVLbTTXL8cmVcDdNxm2jhGY4hAGZzKM&#10;TZyGgtIOIyIsq9SXLDXw9OW8c45jf2Pg7ZeO7FyJfZfxgLkFza1rkMu1ICi44CJj2c3Ek5mcd72P&#10;/qz0X+Qt5f87BazlgP9TfRtX14f8AwbC3XMQvH2HG2GXMgTMW5CJBSytbTGcD/a01QDOhVvg5Xs3&#10;7TIBTW2hmLdQmc3S2ecII5Dz9R1k2vELGIn0TFu0dcZg/qIsrkUZHF8458xE8+WQs+ut8OUzs3Lt&#10;0dEVaTIwSYhQ0xCE+MSx7McQrtGDGFNHIq/QhVwSsHBRNmbPTaP9AxAZPcqIkVzcbkVA8FAUlbpg&#10;Zm8c62SarG3KSBYeORye3kMYv+7npn8kyiq80TNborpsI4ornebNGDIUrsp+5nEHwiJGoGK6Jz+f&#10;yP5ksr1Ek5EsKGSwuXbUw2uwee702kDMnpduhDLdMxM5H1zgH3g//fNW1rkdMfFjUFPvjznz+Sy2&#10;o4xrOXkOrNOPceI4kwVP4h9xbm2PQUbWVMYlMb7ViG0SU8ajuS3kJ8ZtkUjLmAIfv/v7GI8gcxu0&#10;KhOWGM/PYFyKMFnnPL3u4Zy6Bb7+A5CZY4v2rog+xumobdQVlBbG7h4DDePcfGfGWGXCEuN0xpxA&#10;RMWO4ftifDvnz2AUljhjRk8s+WVYGE/3RUTMCPbVwjiYjEumef6McVk5GYcNY3wU49sQGjEc0yo8&#10;0DvHknVr5iwyLnPnZwezz2I8CBFRo1BVQ8a0tfozY2YSCorcGJcsjN29LJnhquv8LIwXZqJzRhxy&#10;Cx3JeIBpx9tnuMkaVt8YahjLDu0dscjMdjBZ/OR/nj7KWjbOiAfnLUzFvEUZtEOkEdL4+Ivx/UZE&#10;mZI2BS3t0Zi/UIwzGb8j6P9T6Fv3msx5PmSckW2D9k6LH8+dn8bnhhgRmE+fH/sHjqQPODFuxbNO&#10;lrFDdV0wY//YPsb046AhjFuO6O6JwUIxnpuKymo/xreR7Cttxf4EhShrmSd9M5l1stE7O5U8le59&#10;ONfW2w3nUP65VIxnWxjrqq6SaR60wxALY7YTETmSbQcYMZxh3KP/WefOdXeQmQ/K4hcZQ1+v82Vf&#10;LX6sDH0S3QUEDTR28vIeRsZjUdtk8WPj651xyMpxYMweACcy9vC5E/FJY9HQHEQfTmU8yeC6FU1f&#10;t6VvWhj7+CtD5GS0tEUZxvPIuLklkmvlFD6DjBlzvP3uQ2qWDeNJOOtYGDc0KWPURPiQjZVxdq4D&#10;GcddZFxbF2KyOUpUJ8b+wYOQV+BgMkgupL1nk3FVjT+iOFaPfoyLSj3IOMnEnFlkXF7pZ+KDlbF8&#10;urTcnb5uZZxsBLphEWI82LQTLsZVvpwrqcZWM8W4xKOP8a1wI+MIxZMaX8aTJOPHXTPjydgZgcEW&#10;xp7eQ2n/sYwnIebatM4ZqahtiEZCigvcvIbD3mkQnNyHcD2bzHXKFwW6cnlaNNLzghES5cj1Zwwc&#10;3EbD1Ws8QqNsUVASguqGBDS2JpmMnonJtoxtAy2Mfe9FWuZkxpMIMk4zjBubQ5GUOolzZjD7S8aM&#10;61k59ownjAN9jOsaQukHE+hXZKxslJynOflTGU9iWMfCeDoZx8SNMrHCwngE9x7KDJdo2EgwWEHG&#10;kZGM62QsWwWTcck0N7LlnFmcSX9Opq97IjRyKLmQMWNOWMRIlFf5WRjTVj2cF8Ulnlw7BzNWKObc&#10;jvAoZer0vshYz5SwMTD4fjK+n/YSY8XsYDMejaujK47z1YV7VbFRXL8DcYljjDhUmQsl8FYGQrHQ&#10;OqZ47Os/nDwnoalVmTrpx3yWfDotw5bx6L6LjJVtraU9jH7O9XN+COfYv/yiSsL1vuXavHTu/nkd&#10;14/070dPlX9y+v15OHpyJh5/rgBdve4oLJ2I/CI72tkRG7YkYf87rTj9/hwcOdGFR5/IRlu3E7KL&#10;7kdm7kDabgq2bk/FO+914gzbOXSkEw8+zLWmw4WxaCL3R3ZobHPHjoez8O7RLpz5YC7eOdKGLQ8m&#10;o67FhvseruH5Q9Da6YxHHs/DoWMzTDtvv9OCjVviyNQJOQWT2Y4tOnt8sfvpIvZjpunPvoMNWP2A&#10;ru4eR9+9l88bjp45PnjmhWk4drLX1HljXy2Wrg7hWjMV2fmTuY+agjkLg/DCq1U4droXp87Nxqt7&#10;q7BweQBKK4cjI+deFJWNwsKlIXh5Tx1OnJmNU2dn4aXXKjB3oS99fgqyC6ZwXzgZS1ZGYs+bDTh5&#10;bg5OnO7Bcy+Xone+B58xhPu9+zCtaixWrYvBmwea2Zd57NNMPPlssYVxGdmQcWW9I9ZuTsRbB1tY&#10;Zy7t0I3HnspF+0xn7isHGcbV9ZOwaVsK3n63w7A5fLQTOx/LQEsnGReLsT0aWt2w/aFMi6iOjN8l&#10;4+0PpXIfZku+A5CVN4g+44hdj+Zy7M3saytWbizCdO4hkjJdEBZrj+AYB8SleaC0JhotM+jDs3JR&#10;XpeIuHQ/+IU7wD1A2btsEZ3MMZZH87OMj22ZKKtNRFK2HwKjnOEd4oiASAf+3QeNncmYtagAy9eV&#10;oYf+XtXgh8SMidwHD0Vi+jj6SCDHVYxX32jDwUMz8ORz0zBvsR/3uTZkPBnF5WIcgdf31ZPxLJw8&#10;04PnXynD7AWejFNDkUHGpZVjsGJNFPbub8Lpc3Nx4lQPnnquBN2zPCyMC+1RWaesZQnmWl35xNET&#10;3dj9bB46Zrogp2iwaWd63SQ8sDUZB95tM3UO0dcf3p1Nv3RFPhnnk3F9iyu27Mq4yPidY+14UIzb&#10;7cl4IP1rMPe0Dtj5SA7eO0o//oB+fLgNm7Yncq+m+TAJuUVcg7q9OI8KcPj4DGPzt95twvrNMaiq&#10;n4hM+nFOwVB093riiWdL2dce2nwu9r7dgJXrwrnmOpr5kF8yBb3zAvHsS+U4Tj8+/cFscqrG0lXB&#10;KJs+Cun044KSkZi/OAgvvTqddWaRz2y8smc65i/xJ2Nbw7iofBIWrQjnHKgjXzHupX9M4xzxRuE0&#10;Ms4h44oxWL46Cm+82cj5Mtc879kXSzFzjifnymTum2xRXj0VqzfE4s235euz6euyZz593ZX+ScY5&#10;A1BVOwEb6Ov732k3jI8c78YjT+SSh4Wx/LiOnDbvSMPBwx2G8XvH2+nriidTkVWg/f4gMp7KGJON&#10;dw534423urBqYwlqeN6ISnKBT6gDHLyd4R5oyQz385j3v6fYuntiqpcHpri5ws7DGU4+TgiK8UZi&#10;VgRKpnMvVc11vCoGyTlcZ6InIzBiDKKTJtNugehdmIMHtldh1+4axq1MlNd4IC3XlvPFDnkldpi9&#10;KAqPPzudPjgT+9/rwFPPF6J7tttFxpU147FhUzzjiWI24wl9/bEn89A+w9Vcyap4XNPkzGekGOGi&#10;GEsUt2u34okDsgvvN7GiocUeOx5izD6kmD0H7x5ux9adqahvZVwyfmyHli5P7Hosl5/vxlm28/ah&#10;FjywLR41jZPpxwM4H4aYrHW7nyqkrWcaP973ThNWb2TsqLXE9awCni1m+OOhx4vx8usttGcHdj9T&#10;gc7eEPZlAmKThyA+dSznsC/mLsnEhq2VeGBHFXq4D8wt9UZUogNj01T4Mj7FZfiieHo8SxIyi+KQ&#10;kBUG71AP8p9Km0zFFFcX6Np12efX7Pa/q4x30H/cc4WtmxvjqQ8iEsK4XsRwLeS+K5f7zQRPnk94&#10;JvT36+xfXD29Tjh7SKhnuTLN0d3zQHxCdNeWrSuhsnnzSmzdtg7bWXp72lFSkg1leyoqykNraxWU&#10;Re2dg6/h8KG9eGvvS3hg40rU1RajuIjnhIpcLF06E28deBlff3MeP/7wMU6dfgdbt6xC9fRSVFQo&#10;G0UV1q6ZjyNH9uL77z5k+YhtvYXVq5agtqaQ7fD8XZ2PdesX4cjRffj2e9ZhOfTeHqxcMQ/TSotR&#10;UZ6NuroKbN++GmfOvAPwOd9+cwFv7XsFCxf0oLIyD0WFqWhsKMOuXetx9sx7+F51vj6PN/c+j/nz&#10;ujiuYvY3C+1tVXj88W3QVaA//vgJvvj8fbz00lPomdmM8mlZRsjR3j4dTz21Ex9+dBw//Pgxvvjs&#10;DF58YTdmdtejvDwfVXxez4x6cw3p58oM98Mn+PjDk3jyiYfQ0V6N0tIMTCvj3rG3GS+/8kSfYO5j&#10;fMRnPr57O1qaq1BVlUM25VgwvwNvvvkCTGY49vnc2cPYsX0DmhrLDOOKihwsWtSNt/a/hK9YR/05&#10;e+pd2msN+U3jmCyMV6/inDz0hhGoifHRw/uxdu1S1iky7VRXF2D92oU4TDsoe9wP38sOb2D1mgWY&#10;No2M2U5tbQW2bVuJ06cPmsxw3379IQ689SoWLZyF6exvEdtpaCg116aeOf2uhfG35/HWmy/SDt19&#10;jLnXa6uk32zBhQtHOaZP8OUX7+PVV56hf7XyWWRcnIY2+tYTT+pKVgnmPmads3jpxcdphwbWKaBN&#10;czCjuxYvvvgoTPY9tvPJx6fw1JMPo6ujxjAuK82kHRrx0suPs44Ecx/j449OGHGN2q+aLsbTaP82&#10;7N37DCQ4FOP3zx3Bzp0PoLmpnPv2dPpXDvfoXdjLcXz11Qf45JPTtMlL6J3TjfTsdMQnxyIhNZ1z&#10;LQfNnW2Y3tiI6sYmxKRmwj8ixojFprh6wcbt/97MY/+3FQnUlCnOzsPfZI4LT0zlXjSOe4EIuPuH&#10;wDMgCD4hYUjJzkZ9Wxs6emZi1oJ5aO/u5DqVY7ISRsVHcT+UiXmLZnO9ehgHDr6BN996GY8+uh3d&#10;XQ0mW5HmQ3dXDZ577iH61QmAMefTT0/j2Wce47/Xo4xxoqwkAzO66vD8C4/ik09PGT/+9JNTeObp&#10;h9BJX58+PY9+XII5s1tM1r4vv3zf+PEFZUp8eBtaWypRSj8un5aJufPaseeN5/HlV5Zros+/fxgP&#10;7drI2FjOuKX5UIllS2aaK52/Y8z+4fuPcfLEQWzetBoN9SUmVkyvyGPsnWMyTX7z7QXOz49w4tgB&#10;xv5lqKoo4phyUFNTiY0bF+HYsf0mDnzHmPLuO3uxYtl8xv4CM8fr6oqwafMKHD/+NuPSR6xzAQff&#10;fhXLlvayv4o5WWhsnIaHHtoAZbL8kc/55svzeGPPC5g3p5Nn8xzTH2WsfPSRzUYIrVjx9ZfnsOf1&#10;Z8ij1bQjxl0d1Xj6mQfx8ccnTFz/7NMzeP653YwhDYZxKRl3ddbi2eceoR1OmTj6GVk/9yzjCf99&#10;elUeKqsKMXtWI1577QkjDhS/Dy8cx2OP7jDxRIwVv5ThUmK9L9gP1blw/qgRajc1VvTF9UosYcxW&#10;NkyJAMX4FOPl1i3ryLiU6+Fc7ntXHPulTw618b7cHLz/P16W/2j+88+NneQy5IWXX31bX8ar7Hzk&#10;MSxatoI+mmqKrkSdNr2WZ6DFRljWM28RapvbkZKVhyDGL//QSETEJSEjn3vi5g60zphtvuAvqarj&#10;GS8J3kHhpgRHxXM+FCCrqNyIniR+Kiyv5n4qDb4hkQgIi0JMUhpqm1p5XliOFWs38Ay1mWemWdzv&#10;FyMmIQnJaYzbFVVYv3ETXnltD/btf5txdx/3INtN5jQJvTRvlGVK2bIkEJIIRuIUiZwk4NL7EkjN&#10;nz/fiJMkyJGoSdeYSmRUU1Njslwps5sysylbloQvqiNBlrKLqY4yXUlso+xjyn4l0ZNEVso8pmxZ&#10;ysglUVR5ebkRESnrm7WOBDPKxFVRUWHqqV9qV+3rOXqerkCVGK+kpMS0o2du2bLFCLVUR/1+/fXX&#10;6U9zTJ3S0lLuuVqNYE5CN41bQqvnn3/eiJ40bo2rpaXFiOMk1LHWkYhHIkDVUTvKJKd/swq1JErS&#10;Z/RZK2O1qbatdST80tWbsoO1HQkO1UcrYwmgJJZStjyNSWLABQsWmLFaGUtIKLGS6oixGCmzmJiJ&#10;nRiKpYR5YmtlLOZir/dVZBP9mwRz6osywylrmQRzEj3pebKtbGxlLOGXMsOpn1Y7yEfkK2pDRULI&#10;Bx980IxX45aPvfjii8bnrIzFwHqlrdoRo+eee84IpqxsJLB66qmncP78edOOxFi7d+82NhRjXYur&#10;OvqcVcyl9h555BE0NTWZdtRvMZZgTkItPUv+sW3bNiOkUzvyY2WP+9d8Xe2InxhLSCZhmfgpc5sE&#10;huIvNpoz8tn+dhBv+bYEZRqTbCYxnwRzYqy2JCJT9j29r3ZUV/ZVH6x2kP3lB3qG6snPtm/fbuat&#10;xq2xaT5L1CefEGPNGfm67KAxyQ4vvPCC8V3VUTviLZGi2KodsdbfZUOxUVGmRPm6lbHV1/v7sYSF&#10;EszpGXqW+iWxnDLhqS/yY9lBAlKrHay+LjtYGSsbpHiIi8YuThLKKo6IjZ71S1+32kG+KXvLZvp7&#10;f8YSG6ptK2P5vOKJ1ddVx+rrijfirPHJTyRc1LitWSQVT6xZ/DRnlEHQ6usam3xdc19+peeJn1W4&#10;aGUskaL+XT4sxootDz/yqBHO6irpF19+FfMXLUFhSRliE5ORkJLG871+vzPfXO+s2N/RMwfFFVwf&#10;ElLgExwBr8AwhMclI7uIcbWkEvnTqhGblsN9V4K5+tneww9TPf2N2MwtkPVDY0zRHk3iPGWY/P93&#10;XanqWIs+4x4UebGdAD5H2UT1DDt3Xzh4BXD/Hof0/FKTPbO5qxfTahrNOKLikxCTmIL8ohLM6J2N&#10;p7muHjt+wojcFA/lK1Y/lg9pXv5a+ZeCONfH+5byf/9Lv5iPSigyYpQbbx6Ly64YaIRks2dLIGMR&#10;0nTP2MINzSIj2lGGpmHDfYxYSaKKefMfhLIe9c7awkPSfOiKQWXlum/AVCOikUjEIgTZYQQuyl6k&#10;DFY33zIZkyaHG1FM76yt3GzuZNnBNjfxINUDW7sI/P6fdaVZLD+3GbPmqJ0HjTCqo/MBZOd0mgxW&#10;yjAnEZaEPBJgWfvTNeMBZGW3mMxwl/zmOiO8kIjGOia1I6FMYlK9yWBlye5VaERGEgepSDTX1r4W&#10;CYnVGHC/Ay655HojMNFnVdQfiZ90TaWEWvfc64h773M0QpD2Dl0/aW1nG+usQGhYEfs7AX/5271G&#10;JCahjekPixhXTV8MXQspxkOHeUNXaHZzHJYxqZ2tqK5ZQDuk4Yor78edd9ugpXUdJB5SO1bGEiNJ&#10;eHbLrTaYMDEMBYUzjUhJjGfP2cE/SxTWSztE4Q//fKth3dG52fRHY5JoR4wl+FLWNzGW4EuiP43F&#10;Mi7ZinbIbaMd/PCbf7reiGQsjC3jEiP1T8LFwUMsjCWAqm9Yzs9vN2NSf9o71yEpqQb3D3Im4+uM&#10;CErCq55e2crCWKIwZfS6514n3HW3gxFIWsRylr6ITVPzSvahFLfePhH//Oc7oUxtlvFY2Khv1TVL&#10;IYGVGA8arCxrTWSszHE7TVvKiFdTu4h2yMCVVw/BLbdNMH7Sn7GEi8om5+iUZPx4/IRg0+ee3v6M&#10;JViajakOMfjjn+7AxMnBRsyk/lj9T4yVFWz8hFDDWGIZic0sjC39Ud8kSBs7wd8wDg0r5Di29LVj&#10;mQ+tbeuNcFE+c+ttNpAQUv6lflgZSzSYnFLHMSvbzrVGSCgBai/7YmXc1LwG0TFV9GELYwnjJDy1&#10;MNbzNGdW0Q5luOOuKfjDH28zPmud3yry45raZcbOd9xpb+wu0Zglq1kf41m6rmAJ7ZCFq68Zhhtu&#10;GoumltXsp96z2EuMlXlSwiqNSXNdwsaeXglDLbFCjJX5z8klDn/8810YM87vZ4zlxxZR3UxMnBRB&#10;xpONIE62Ux/mzVc7Dxo/zi/o5FwJwm9+ewP7nmPGYWUsX5TIVNn2FPvUHwnwdK3szxmrTj3t4GoY&#10;K0YaxhyPpZ1txpeUUfDe+5xx511TTdzoz3j2nG2cM6tph2m0gQ1+94dbjPDMytfKWKJUiTrVxsD7&#10;XZGUXM+xbujHmJuN+qUcS67JbnjNdSPQwDhlHZOVcXnFAsbPNDOm0WMCjFhZ8UFs1I4Eb+WVc2mH&#10;BPzlr3djxEgvxrYNF9uQ/4lxYVEvJk+JNPNBWSAl1pMg0cq4m3G9sLCLMT8Ev/3djfD2SUd310+M&#10;1ZYYS1Q3fIS/6Y+u9ZVAdzZtOc+w0bM2ID1D/9POw8QKzd9fMlbM0bXB9w1wMXwkomxqXm18RmOa&#10;ZRivYZ0K3H2vLW1+s5l3akM+o5+KFcoeGBJaYtoYMNCF60Atn7/ejMe0w3la37AMQUF5uP6G0bjy&#10;qiH8u0SqlrVKPigBruwnofVtt9tg5ChfIy7UOic2uu73l4K4sVPdP/vFQj+9b7n+1dcvBXHj7B0e&#10;uvbqS/is67B0ZTJ6zRWfyZi7IM2IpPIL3DHF5kbOz98YQVJtvRffT8TCJRJqZbDPqdyMeGP8+Jvx&#10;9ysv4Xoz0NLOPF2Dl4I5C1KNGCkl1Z7PuJIx+XcIDh6I5rYgzFucbGlnoQRLSYzrzhgy+CpcdeU/&#10;IS3TBguXJmA225Fgac68VPp+FOPJeMb+PzE2/ZGMR5vMZwvYzoJFEnFkcHMaj8jISbjzjj/j2mv+&#10;GY3NEqfFYu7CRLaTQnum0FZhCAgYyjnzTxg15m/IybNFz6xoLFiSwj6nY/bcTM7XKPj5jsJNN/4W&#10;t932Z/KIMZmy5i5MYkk1gpmKigDOh3u5Vl2CyZOvQlm5C2bPl4Aj1bTTM0u/uAmFi/MAXHfdJRg+&#10;7BqySTLtzFsoxrq2NYFrridsbG/CHXf8hnPnJlTXefG9hD42ZDwzjZthP0yccCv+fpWyK92HZWI8&#10;Jw5zxZhsJEZKz5jKeXkV7r7ndwgIuhdNrYHsR5JpZ65hnIzUVBcMHXK1YZySOhmLlib1Y5yC5tZo&#10;rpcTMMgwVlakkeiYEfZzxi0JiIqajLvu+guuvfqfUVPvjTkLY1kSTDtiXF8fhsCgYWT8O4wY/Vdk&#10;Zk/GzFlRfWzSDOPauij4+4822VtuvvnPmDUvuh/jFCP8qqwKhIfHfYbxhElXoqTMif2N45gstuol&#10;4/LyMLi5DcJ11yoz3FVYukJsfmIsQWVxiRfs7G81jB2db0RVrSfftzLWtTxpPGxxwz/ldsPY0eku&#10;Mk75ifF8Mu6KQ2amrvm8mox/C7+Ae9DYEtDHOB3KStbRmYK0NFeMoK2vuvI3iEsYj8XLE02f5y0i&#10;4/kpXIOjERc3CYMH/5Xx+A+Ijh2O9q5QC+PFZMx51dKagOhoW9x7999w9d9/bzJlzV0Qx8+LcQr5&#10;pfCQFc65NNzYe/jIPyMja5LJprVgsdikMe5kMq7HIihgDPn+Hjfd9Ef0zI40c3zuAmVuTDFirunV&#10;QfD0GmAYj594BQpLHTFrbuxPjGeno7IiHO7ug3H99cqodTnHlISePsay+YyZunrHl/tEZV1Vtrsb&#10;UFnjwfc4H/rm+IyZ6SgqDICtzZ242mTJuQ3LVpExnyXGEht1dun6GGeMm3ANY+lvuXbezbXI7yJj&#10;zYfOrhRkZLhj5MjrDOPIqNFYQsaz5lsYzxbj9hgkxE/BkKF/Yzz+A3RlWVtnCNkkWfpDxq2tiYiL&#10;tcN9912Gv5NxWYUb24/j5y1+bBg3RSA0dBTj1u+5jvwJaRkT0d0TeZHx7HmZaCDj4OCxuO2WP+DG&#10;G/+Irt4wfvYnxr1kXF0TZGLjHXdewrFdjoJih4uMNa9mzclAVWUEfX0obrj+N7jnnsuwaFkC7dXH&#10;mH4s4WJpmS9983bD2N7+OlRUufM9K+N0rmlpKC4KhL3tXfQbxaVbsJSM9SzNKcO4O55rtwsmTLjW&#10;MPbyvgP1jf5k18eYbLrIODPTE6NHX8+16hLuJUdi6fJktsNYQVtZGScm2XANvpSMf8+1czBaO4Iw&#10;/yJjCaoTER9vb3zm71f9jgd3F7L7Ka5LMNfYFImw8NG0wx9orz8hOXUc52NEn//Rj8m4sSGOdhiP&#10;2279I/n8kXMxlH0RY8X1VCOYq64J4T5gkGE8ZtylyC+cauKA4rqV8fTqSHh7k/ENv2H8+hvfi6cf&#10;R7MN2YpxnYzLpvnB2flOw9jW7hruadzM3FuwlLGrj3FpSRCmTr0H13DtHDf+Jks8JmPZW2JCMc7N&#10;c+Ne8nruf39Du95Oxn7mOQuXpHI9twjilDWt/3qs8i8Fccr42r+ORRB34mzFJyfP9eKNt9o4tkhM&#10;sb0GN950CdZvicEHn7fg+LkmHD/bgUPHuvDCSzVoafPAVKe/wcXjb4y17th3sNJcW3rm/AycONuL&#10;F19t4NnJBwMH/hWjx16Fx5/PwPufteDYuWYcO9OJ94524fGnpqFk2mQ+648ICrseK9cF4+CRGpy5&#10;0IXTF3pw7FQv61RwTbPlmvcb1hmIVw8U48zHaqcVx0534uDhTmzfmYeUtCGM6f+E5PS7sP2heBw+&#10;2cj+dOHU+R4cPtGD7Q8WMH6OMJmwistt8e7JKpy8wDG934ajpzqNOGfNuhSEhN/Gdn6DorLheOK5&#10;LBw908y+sJ0Peo3wZtXaNMbqu022k555Pjh1oZ59aSSfdpMd6Y19zfTJCHj5Xo0pdr9DXfNkvPRG&#10;ET/fZtiI8d797Yy9MVxDrse1XMvXbooybI6TjWF8vNNkv2vr9Ob6chmc3f+KmXNcsfftco6pk+30&#10;4OTZWXj5tUaeX/wwmHFp2IjL8MhTafjgM3I5y3b6GD/xdLm5HlGMA0KuwfI1AWRcbWHMdiRqeuKZ&#10;KhSVTmW8+S18/e/By28V4qxhrOxdnRx3J3Y+lM991FBMmPw7xCffiS0748i1AWc+tLRzhIx37CqG&#10;rqJVJqy84kk4eKySfOQ3ZHy6Cwfe7cC6jakIj7zdMC4oHobHn8nEUfZX2doM4yMzsHZ9htlzKHNj&#10;Z68XTp4n4/fVDhmf6KSPtnA/Fw1vv2sx2e63qG2YiBdeLzS2PH2+Gyfe78G+A+2YvyCW564bcRVj&#10;18oNETj7KX3vrMWP1c7Lr9XxLOILJ9fLWf6C7l5n7D0wrY/xDDKchVf2NDE2+XO/dRkGDv4Ldj2R&#10;gg8+7cf4WCeefLYCVdX2sLH/M3wDr8aSlf44cGj6RVsdO9OLp56dzljghFtu+R3cvO7Ai3vzcfaT&#10;nxi/e7gLux4u4N5mBM/sv0Nswm3YtD0ah07Us40+xid7TZbG1PQxuPzyS5CVPx4Hjpbj1Id9fmwY&#10;t2Pj5nRERN+F8WScWzgYjz6d1ufHFsbvHplpshUGhw4wjNtmeOD4B3UXGR+hH+/d32oypvr6X4dJ&#10;tr/F9LoJeP7VApzgvBPjk+/34q2DnYw/8XB2vRlXcL++bF0Yzn3W1I9xF155vZ5rTQCc3S7HVOc/&#10;onOmI/bsLzPXjZpYca4Hr73RbGLXqNFX4J4Bf8KOx5IssYLtKFZIQPvMC5XcyzrCdupf4BNwJRYt&#10;9yXj6ouMJfR7+rkaxldX3H77H+Doeguefy0P73/SynnFttjO8y83YQ73IJHxEzHe5la4+Y1Cbpk/&#10;CitjEJcZjriMCLgHB8DG7f+sUOo/u9h5esHW3QuTnJW5xMlkcJ3i5g57/rves/PwgnuQP1z8fVlP&#10;GU7sMd5hKuy9froe2yMkAMGxIfCNCISDF9eVyZMxbqodfCN9EZIQhOC4IATFBiMwJhhOfj6Y7Opi&#10;2png5AgHH08+g6Xf88RYV6X/Wn//JxaNyzXQDy5+nhhrZ4shY0chISsA9V3c5yzJwNK1hdj6UCXW&#10;by5GeTXrO14Od+9LuY/yxFvvVDIeW+bDccaK51+u4znIE/fe+2fG22thFu5+r1+eu/X3b745Oez7&#10;785C5YfvP8SXn5/D3j3PoKoiFwMH3IhJEwZDWYO+++Z9Iy744fsL+PjDY3j+2YeQkxWLkSPuQkZa&#10;JPa+8SzfU7aPL/nzkz4Rx4PITI/ETdf/DRmpkcCP3+GH75T57BM+7zzOv/8edu5Yi8hwjn30fait&#10;KsCRQ3vxww/KZPQF63xiBAY7tq9CaLA7rrz8n42AwzzjB10D+jG++fp9nDn1NtasmgN314mwmTwM&#10;c2e34v0zElV8yTqfG4HG2dPvYOXyWXBxnIDLL/tn7H9T/dVVox+zXx/j66/O4ujhNzCrpxGTJw42&#10;bW16YCkkWFHGN10V+s3XF3D4vT3ondmI8WPu5x7wb/ju63N9bD7Gj+T3+WensH/f82ioK8KYUfci&#10;ONAFT+zeaj6rfv/4w6f46suz2Lf3OdROL8CggbdgNOsps5qlnU/Zpwv45KNjeOmFR5Cfk4BRZJya&#10;HIbXX3vqZ4w/Y99kh+zMWNx68+WIjw1gO9+Tm65a/YTjFuNDeGTXBsRE+RrGleU5OPTuHr6vDBwW&#10;xh+S8S7aIZx2+PuVf8K8Oc18/yvTj4uMTx/EujXz4eXBfdekoYbB2TPvso7YfIbvv/2If38Hq1fO&#10;hZvLRFxBxq+9/BjfF+OPTDtfc9zHjuzFnFktxk6ujuOMMO+Tj5WdT2w+M8LFY4ffxOzeZkwYp/P0&#10;X/EFmX7/M8YnceCtF9HUUMox3YsAfyfsfnQzbXiedSyMJbzbv+8F2qEEQwbdhiGDb+d4v8K3bEcC&#10;P/Xpk4+P4+WXHuN5MMkwTowPwisv7eZ7tIHxsU/wORm/+PwjyKMdbr/1SoSHerCdHy4ylh9f+OAw&#10;n/8A4mL8jc2nlabjnYOv8v0v6Fti/BEOvv061q1djJAQX9x8y3UoKMrh/ulJbHlwM1atX405C+eh&#10;s6cbaTnZsHVywjgbO3gGhiAuLQspOQUmk5iEWsru5uAdiPFTXTF8EvcObj4m89r/pOxrylpn7bME&#10;aF4hUVxDQmHv4Y0Rk2wxkfFdGdOSc/JQWFGFgvIKZBeXIi03Fy7eXhgzeRL8QkJQUVeLjp5ec8Xn&#10;ynWrsXj5YlTX18Av0Ae333kzsnJSuY94FS+9+gzefucN7N//Kt5880UsXdILP19HTBg/2IhiTx1/&#10;29hK5XvGhPfPHcLGdYvg42Vv/PixRzbyPfoEfc/48VfncOLYPixa2ImpdqPgYD8Ky5fNhgSdP3I+&#10;gPNBIt0Tx97Cwnkd9PURuOqKP+ODs28bf1HMUabJL784g3ffeZl9qMT4sQPg622PXQ+uM75rmQ+K&#10;FefxztuvoLW5AiOG3YW777yO/veZiTvyPwnHPv3kBN54/Qn6XSb9+G5ER/rgBfrs99/pOWrnE3zx&#10;6Rm8St8uLU5nG9eaOapY8d23lriufn144QieemKbiTVjRt1Nn0/Egf0v8fOWmPP99x9zzpzA449t&#10;QUJCMK7n3KyclsN2vuN7jBWQGO483j/7LrZuXoGgACfO4fvZ93IcP7afbShDk+bDx/iAjDdtXAp/&#10;XwfG9T9i+9YVnHO6MrIvrpPxyeNvYenibjg5jMFUW579F8/kXJN42RJzvv3mQ9ruABYv7Ia97Sgy&#10;/hM/s8+MxcQKFsXaQ+++hq6O6WQ8EF6etlxP1hjxszVWfPPl+3iX87WjfTr53cN5fhXHxLF8YxG5&#10;qU+ffXoSb77BdbEyB6NG3o2IMC8898wujlexTbGSMeezs9jDGF1RloV7776evjHawvgbS6z44fvz&#10;+OjDo/ycZV2UrVYs78HOR7ec++Uc+bcI4ngG9/m1z3366aev9/8iXqKWa665xghK9LKKZCSakBBD&#10;Ahc3NzdM5t5MdSRikghERXUlxJDARZmTlBFK4gy9rCIPCSsk4pAwRZmV1JbENlbhhUQc6ofEIxLH&#10;3HnnnSbLlQQneqkNFQke7hE5AAD/9ElEQVSNlP1JQpExY8aYKxslfLOKtKztSEwj0YrGFB4eflG8&#10;YRWLSDAjoYwysY0YMQLp6elGXKPPqo6eJcGMBEsJCQk8d15qRC7KbGVlo58Sl0hkogxWyswl8YnG&#10;oHGLjX5qjBIjKVvbVVddZRjoZW1HzxQ/CWPc3d0xadIkcx2quKvPKqor8ZwELnr/rrvuMgIxvaxs&#10;rIwlTFFGNxcXFyOasYqMNC6Jkax2uOeee0xbYmVtR/0VSwmuJOhRVrjg4GAzRquASO3IL1RHQhtl&#10;5VIdPUeZyKyMrUIZZf4Sm5SUFDz77LPms6qjomdZ7SDGEuWoDfXD2l+rGEl2VDsS5ezdu9f018pY&#10;wjGJkZQ178orrzQCMr3UD7UjxuKnjGheXl4YP368EQhJfKQ2rIzl17KDra0t7rjjDiN+tLaj56nv&#10;yh4o4Zo9zyDKOCabyA/UjrXPEpppniiTneaEMsfpZbWVhFbybQmj1BdlmZOPWMVy1j6rjuygrGX+&#10;/v5GVKZsZXpf41Z9ta1MbGIjjvq7VaSlemIsIV5qaqphrLrWZ6gv6q98VEIoZS3UfNDcUaZCPcPK&#10;WIJKidZk68svv9wIe/SyslF/xU9+6e3tbcYtEZtEdNa+qK7GIK7KiHfzzTcbfnrpGVbGEogpC57q&#10;ODg4GIGfVchlbUd1JIZTdj6NXXPV2o6KGEsUKEHZhAkTDD8J86xiObWjPmucEu0pS6KyDson+jOW&#10;30ukqOtj9Zz4+HgjCFM/NS6rPeXbymAnNvJ1fbY/Y/moBH3K+qh2FE8kllI9K2PFKcUz+fpll11m&#10;RHHWMVnbET/Fa2Wh1PyUAE9iUD3L2o7EeRKHOjs7m3GJX/92NG7ZRUItZQpUvJD4UOLK/oxVR8JP&#10;Zc8cPny46X//duRnmovyBWXoU5/UN43DanP1WXVkh1tuuQWurq7GdoqlVsbyUYltJaZTlkQxkj2t&#10;fmx9luygGHHFFVeYq4P720D9lY9KQKorgeXHEqBJ9Kf3+jOWryszoeaDBKD9x6Q2xU++oniidUZ9&#10;V5+tjNWe/FFj1Xg0PyWi/GU7EvJqXZQdtJ5JWKg5Iv6/VhKzCt76+Xrt+nrfUv7vf+kX826+ytaT&#10;iNFjfVi8jeBh3vyHMXfeQ0Y0ocxwYeFlRmQlgZVEWxKrSCCzYOHDkGhLIrawcGWPi8WQYa5wcU/A&#10;jB4JIh4x7ViylnVDV0pKMDFxUjh0TapEJRIXWOqsRU5uOwKDcmFnH4X7BtqbbE/KIKb+mIxkTauh&#10;qzbVBwkwpthEmcxYEpUog9qcecpstpJ1mkwmoilTQnH3fTYoKJzB5+y62I5EO0nJDUaooDEpq1FG&#10;Zkvf2HexjrLHLWadWm760tjfINMfCY3UVxUJJyR2UIY5XQepdiTgkThKQoj5C1RnKwP5PETHKOtW&#10;IsaM88HI0Z4/Y9zdvYX8ZiM8YtpFxsq0ZBHuSOTHOjMkJuxlHWWEisWw4a5wdI4xwo35fYyVjU5X&#10;W/7EOALBISUWUQkZWuqs40TqQEhoPuymRmLgoKkIjywxAg71R4wkjJL4R1nurIzj4quN8M8iuNnF&#10;BXIlA1oz/PyzYGMXhnsH2CA7r9O815+xxHAenpnsS5gRQiobmnxBjCVkq6tbwoWpxoj8Jk4WYzvT&#10;3zlz/3XGyvClcYqx2EjcVFU1HzHxVayThHHjfTF8pLsRzF1kPGOLEWMq05+EZ2pHAk8Jd6yMJfDU&#10;lZQS1Tm7xGEY21CWKgnQ5i+wMJaITQIriZHs7GPZTrjhLfGdfEY219WYElhJZGo/NRr3D3JEcFgB&#10;enp/zjgzq5388gxjFYnRJPwTY/GR+Cwzq4V1cgzje+6zNX8XW7Ujm0m0Y83ipzGpT/q7xKhqQ3NH&#10;wqjklFojQpo0ORj3sh1l5VI/rIwleJVQS+IotaMsVspIpoxuFsbKHreAdSpZJwXjJvhj2AhXKJuj&#10;lbF8UWJMZfqzMpbtlX3SIo56iEFOYsLZrFNGxvEYMcodNrZhffPlJ8bKWmZlrFgRGFRIxosNY41L&#10;Ar+Cwm4yLoS9QzQGDVY2IWUU0fsWxhKfZWV3GMa69lWMJaqUaElZzdSOxGdZ2a3QVa22duGGcVp6&#10;g2Gs/uinBMLyW81JjUlzKyW1sc+/5McPGmFUSmod62TwOWTM+SCRlcaj/oixxIMSalkZi5EEaFbG&#10;iqfTaRddDa2Ml2I8eKiziW1WxhJ8KS6IsWykdtRecYmEun2MezbzsPET45GjPDFpSpCJ5VbGVhGb&#10;BF8WPw4jg3zOtUVGyKXnSXxWyLgZSsYODjEYNMTZCEUtz7EwlhhT4mR9VownTY4wc6y+YUUf44fo&#10;I2tYp80IDSW+vW+AnYmr/RnLJlbGakOMFZ+b6V+K65oTugJX1wT7kPGUKSHGVqXT5ph+qD+aD5qH&#10;ujZbWfw0JsVT9U/ZC62Mq6sXsc501knGeDK+f7ATGpsV2ywxR4y1vslXFGvkfxJdFxYps94W045V&#10;jKn1ydklAaPGePF5AfTLTRcZi7cYa53T+qJ25IsSIVoZz5ix/d8giHPr7Fuuf/XF9zf1rz/Ofurz&#10;48bexE3tUKxcl2mEJ7qesqUtDFk5UzmXhtCet5DNLYhPHIf2zlAsXJLMfifRnuHk5YKgwFGws72T&#10;m8gbGTtssGpNBuYvTCbrRNQ3BdMOU7g+DKTv3GSuwcrKsbWISpakYPa8RNoqhIc7B/j5DqetbuOG&#10;/2aUV3lh2co0007P7HhMr/FDQqIyEd3LQxU32N73oKTMhTFLgodUKOtYdU0AEhOmwNtzCDeRt/BQ&#10;ept5zsKlKZi3IJl7DAlcPRk7x9BGd9JvboCugdX1khIaqR1d9zhtmg+ioyfCze1+iI2uu1y8XMKf&#10;JMxlO53d0bSVC201gpveO2BrfyPCIkegoVniqERI2GSp44HwsHFwdrqPY7rJZGVbuZZsyHjefPJr&#10;D+ecnso1gYzJd6rDzYhLHIu2jhDWSeHYUxibI1jH1TCean8Xxo67kRwm/sRY/JpCkJ4ucbOFsZPL&#10;HYz9NheFO3MWJJpsT2npYjyCjO8wjMumuWP5Kgm5ktE7O5G+7o9Etu3tdS/n5w3w8LobhSVOfaIS&#10;Cd3IuDaQdWwtjCfcQs63ob07AovFmO0oU19ZuRfXYDHWVeY3MNbebwRdcyQWpM1nzorjYdSXm/PJ&#10;cHcbZPpiz7EtXCJRSh/jGeRX7MZ94gjuk8jY7kaTYU5X7s5bKMYp6GKdklJPRISPg4thfDMPXoOw&#10;gmyMwIWM2zrEz4mHzaE8ZN9mGOvqw7Z2MpYfk7OuzMrNc0Vw0Ghj67G0uUSBq9dZGM+mHzc2k3Gm&#10;LRnfT8Y3w8n1dqRlTjHXm6ovEuY0toTyUMy1xW8kN+l3sJ2byc8Vy1db/FhZ22rq/BmrJnINvs/4&#10;sTJrKfNa7+w+xnNVJ5CHEhv4eMuPb+Wh81b6SigWLfuJcUWFN9fXsXDvY+wXMBAVVR5GaCTGPWRc&#10;UeXLA8xkeLqL8S2ws7nT+KeVsfgVs3+RkSN5+BDjG0xmrroG/4uMu2fGsI4nD5Jk7KxfQtzMZw7k&#10;mH5i3G74cd8SYmFsP/VmxMSNRkt7sJkLYqwMenn5bggJHg2HqfcYxhGRY8mYMYdjmks/bhK/TDuu&#10;DxbGjk63IjV9Mn3BwngOn9fcEmZEiQH+I2FrGN/Edl2woo+xfLS2NoCMJ1kY02/cPe5CfqGjRfSq&#10;dsi4tj6Qe0k7Mh6KSfRhMW5qCcbiPsa9sxJQXuljYczPi7GyAZZXuhtx48KlEmHFcS/kh7jYKfAg&#10;4/FkPGXKnWQrUSzZiLHh58711cr4RgSHDuE+QeIoMqbNdY1vSakXIiPGw9VlgBmTq+sALFstAWAf&#10;464IjpN+HDKMXG4n45ug6zyb235irGutDeOQMYzZFsahYaOx6mJcT0ZTq67VEuNBZi6Isa5m7uQc&#10;nk82el5zKxlnOSEwgIwZ18ewnewcBzOvzHwg47oG8kuZTH4DOKabuAe5C7kFDvTNKCNkk6iwriGI&#10;dezh60PGk+THt5jPLV0h8R7j+qx48vPlHkbp7e8xjL39BnCtdLMwJpueufHcC/khPm4KvDwGmTYm&#10;T76DY4m7yFhZFUtKPUyGOVfXOzGFjJXZs1aZaRZY4roYl03zRpQYu8qPGSed7sFSrjGyw1wyVrbS&#10;/AJn7nPE+DaeeW5CVMxI8pB4O8nw6eyOQkEB4xIZOzrcaxgHh4zAqrU/rZ3il5WtK97EmGun0y1I&#10;SpmIju7wi4znzguhXUPIK/jiWmwt+t/nfcu1ef1LQZyb+cL9xNlKPP1iMdsM5t7GBhFRg7mWDMCT&#10;z2fj/BedOPlBO9473oTHnsojR1/kFY1GTOLdKJk2Ftt2JuHwSV3DOAPvHm8x2Z5mzvbjPJnEWKJs&#10;gePw2r5SnP+8E6fOt+PAoQbseDiNsd4dmTnDEMt2ahps2HY2jp9px5kLM/A262zbxTpdHhz/OMaJ&#10;O1jHCQePTjfXiKo/bx6swYYtXLNaHJGSPgjxSfdyfrvg+VeLcfL9TiMA2ru/Bus2JzDWu3D+j+Le&#10;9TbyD8axcw0481E7TrzfjpffqOBaGoXptXaITxmA5PQBJkPZ629V9omIOvHK6xUmO1ZltQPXTK0j&#10;t2PTjgSc+VgCoXa214pnXy7BgqUhmFYxCXEJ9yAzl/ugteE48F6dGdPxMx145qVi+lAw1zUbREYP&#10;pl3vxe5nsvCB2HBMh060YPfT+Zg1j/yKxxg2RWWjTXaxQyfI+MMZOHyi1WR76pnjz33BJO477kNy&#10;2ii8/GYxLvQxfvtII3Y+konOmR7sx3DEJtyN6XVTaJtMHDvTZto5eLgROx5Kpy95ITt3Atw97+T+&#10;xQEHjlT9xPidGjywletRqzNSMwYhjozbup051iIL4/PdePNtqx3IOGMUnMl49oJAHDlbj7Mft7Ne&#10;O17ZW4lV66NRXWeHRDFOuw9zF/rg9X0VbKOLz+rEy3srGBdYp8YBickjTNbU9VvicfojMr5Axuy3&#10;su8tXBpqrlAU44ycwfxMGPa/V2sYHzvbaeygzH4SAkbHDuF+8R48+lQW3v9MY2rDoVPNePyZfMYV&#10;P+4Lxhk2hcWj8MC2BByij4vNITLe/RTtMDcARUWTEUTG8bT7S3uKLvrxwaNk/GgGuno8kZU3wrRT&#10;VTsZDz+ejqOnyZjz4R3a4cFHMuiXnsjJG8c9xZ0oq7RjfyvwAfsjm795sJbPTkFzO/llDua+7R60&#10;djrhmRcLceKchDLd2Kc6W5O4L3BHWsYYw1hzTNerGsYfdODVN6uwen0MquvtDeOk1Pswa4E3XntT&#10;Ir8unJYf0w4r18agptaJ69pIniFuw7pNsTj9oQRzZHy2zWTfW7QiDOXTpxh7p2cP4foRirfelVi1&#10;GyfIWHZYtIx2qBTjofDyuQsPPSnRa5vxm8MnW/DEs4XcLwbSf8cbNnlFI022x/eOWRgfOdmGJ57J&#10;o6+QcfFkI9CLiRtmxI3nP7ewOci6O3dno7vXi/xGIobtlNdMIvc0Mm417bxzlHUeVVZUb+Tkj4e3&#10;910oKrXBvncr2R+JWdux7506bH4wlfsIV8YjC+Omdkc89UKehfGFmXiLdTZtT2bMdeP+jIxd7jJX&#10;YW97tABbHi7Bsg2F6FmUjuziQEQkOMHFd7IpnsHuCE+UKCzYiMf+T2ce+0f5txfZStnibNxcMcXV&#10;ERMc7BGVEoCsUp4HanhWbElGfkUUsop8ER7HPV7wSMQmjUXPvHA8+mQZ3jvRgX3vNeLJ54q4pwzi&#10;OXIKwiLu515pEJ5+KZ9rpyWOvnusGY88qXXRB7mFo4wfl1aMw/aHkjkPWowfv8c6D+/Ooa9zfS2Y&#10;aP6TjOKyWbj7vX557v6lIO7Lz0+ZL/klWCopSkN0pC+KClJhuf5O1+B9jPMfHMLuxzZhRlct8nLi&#10;kZ4SgYXzOedO7Of7XxkxyLkz75osOd2dtcjNjkdIkBvmztY1t7pK6WP8+MOHOHXyLezYttKIJSQO&#10;yMmKw8b1i3DhwhHW+doIvo4feRPbt65CS1M5MtKijHjiiSe28n1dlfSpEV+8884r2LB+Iepri5CS&#10;FMJ+p+KxRx7AF5/raj8JoD7E2/tfxNrV81FXU4TkxFAE+Dni9En1V8I7Cd3O4Y03nsbyZT2oKs9G&#10;UkIwaqbn49WXd/MZukbwK3z5xTkjdpAoQ2LBBM5ZiSIs13KKjQRqx/HC8w9hwbx2lBansT+haG+t&#10;wsED+lJaz/oSn3zEOs89bER7YhwT5WfEVhJOWBlfOP8eHt+9Fb0zG5Cfm4D01DDMn8s9x/F9pg3g&#10;cyM62f3YFsNYnw8NcsfMGZYvMa2MT9ImD+5YjfaWSjKOMsK5dWsW4MIH/Rgf3YcdZCzBTWZ6NNk4&#10;45GHNvB9XZ1oEcoceu9VbNywqI9xKH0ixdT5/LMzph0xfvftV0zb9bXFrBNmGB878gbfl/DuE3zz&#10;zTns2/u0ESVWVeTQDsGYXplnRH/ffqurVr/CV1+8jzdefxrLlvSY9xLjgxEW6mmESFbGEsO9+MLD&#10;xufEWLaSD0mEKNES8AU+/fiEEbGJWVlJhmGcmRbD93S1mKUdiX+epC8pu19BXgLSUsIxu7eJPN7k&#10;+xbGH7z/nhEzKmNXfm4i99sexp6Wl0XUJD/e9eBa/nslsjKiyTgaq1fOwfv8rNhIcHPy+H4j/NRn&#10;szJiEOjvjO30fUt/xPgCDh16HQ88sAQNdcVISw5DYX6yEUcpc5XakR++985r2LBukRH5WRm/c/Bl&#10;vq/r4j4xYr99bz5rnl9dlYcE8isryYIyOx479jZOnzmGo0f2cw49iI7ORuTlpSMiIpD7HHe8tV/X&#10;bu415Y29L2DT5tVoba1FVlYSoqICeLbJxVNP7sTJU++xnaN479092LXrAXR21iMvN5nnRp1BQ/ie&#10;Mme8i0/pG7oG+eGHNqKb/HKyE4zvyKclPLUw/oLx5Aiekq/PaDRjjqC9G+tL+J4lVoCMJcZ8+KH1&#10;6GyfbhhnZUQZPzp3ro8x7X6KjHftWIeOtunGz4P8Xeizi/m+YpfESBdwmIw3b1qG5sYyI/oqyEvE&#10;g9tW0V/6GH/3EcdFO2xYgqZ61QlHgK+jYdqf8f79L1xknJIUjIppWXjmqZ1GkCk//uarD7DvjWfZ&#10;x9mMIwX00RAEB7oZsazaUMz58ovTePXVx7F4YRemlWZwPgQZu7659xkjxBQfCV4l0Fw4vxPlZVmI&#10;iwkwbZk4C10rrCyIR/H009sZs8UviX3mea67nmPdw/fV5y/w4QeH8fSTOzCrp8nCOMzb9N3CmHOL&#10;jM+efQePPLzBZFfLyYox8ULi4zOMMxbGn+HMqQPGJy8yDnDFqhVz+L6V8Yc4dnQPtm5ejqaGaYxb&#10;ESZ+SRwnIZ3aMVlB39tjxHCN9aWsE8m47kQWEjxoXBbGB8h47ep5Jg4nJ3JPXppJxjvw9Ze6QpuM&#10;vz6Pt+iner4YK66rPx9/pKuSFQckJjyD18h46eIZ5JdpBK+KT3tef8r0Q4w/5/ySUHDRgq6LjFUs&#10;7Czx+NNPjuPZZx40a1hRQbLpj+Lue+9K0NXH+MIxPEPGEvIqPkZF+LDPWXyvb+388WPGk3fx6COc&#10;D501XBdjuKZF4CnGoF8TxI22cRvWt2z/q69fE8SNtXG+7dNfCOIkeJIoR6IivfTFv0QeEotIvCLh&#10;jgQIEspIFCMhjq4htAp7JG5THV2fKMGIxA16STwgAYrEZhIGKMuQBGYSoEgsJdGA2pFI4bnnnoMy&#10;c6mOhBXKqCPxgF7qjwQIEk9JoCHhhNqRsMsqKpGQQ3UkpLDWkcBMAju9LwGGhAoSRinjl0RnEgdJ&#10;RCRhiEQl6q+eJTGaRFhqX2I5taPsbXrpORJ5qL5EE8qqJLGR2hIriSlUR1wlnpI4UKIV9VeiOGUk&#10;s7YjkYdEOxJqKcuTGEsoIzuIm5Wxxmi1g8QyEnxIgKOX+ix7KJOTNcOcnqW6Eu7oGWpH7ckusoPq&#10;+PpyL0hGEm3opXFLGCW7SNxhZSx+Er9JBGJlrHYlWJLgRGzEQOO1ilxkNwl7lCnKylhtSlRiZdzf&#10;DmIskaRVuNOfsXhJWCWRkerJ1yQKstZRm7KDRDniJ9+xCjL1LPmYrkiVUEt+pzoamwRo8juxsQp7&#10;rHaQMEyCGfmbtR0xlnjQmmFObCSmkb/JRlbG/e0gEZYEPPIDvTRuCaMkUJMAycq4qanJtG1lLBGg&#10;ni1myrqlq0vlQxIOWRmLgTL0SQCpK101LutVqvJz9fmXdhBjPVdtqL96nkRPYqE+yI8lYJQoUJ9V&#10;Hc0dqx1kZ9lSgjeJgfSyMpYQVJnMJB5SXzRu2UEiJbUj/1DWMgm1ZAcxli9bhWxqR+IzCZgk5JTY&#10;UmwkMpXISe+pHasdJNJVHTGWEE3P18vKWFngNK81nxST1HfFIfmM2pGvW+2gOhLDqV+yoV5iqLms&#10;Z0sAaWUsUZP8Sc+xMpbAymoHCaRUR6I6q7hTIjvNaTEWX/my+m/NEGm1gzJCSqip9yXctIperYwl&#10;ZhV3ZeaTHcRYWRA1Fo2pv69LTCcfVkyWn+gl37IKXpcuXWr4JSYmGl+V2E3vqR2xlvBYdhB/rQ3y&#10;DcUqvTR22VUxSHNW/NSO5qBijJWx7CCBpjVDmvxYAk/9u14al0R4VsYSHaodiUnlK1bGsoP6p39X&#10;HTFWfT1DnMVYMVvrmDIuKk6ov5qH+ne1oTqKdVbGel82t4pexUY+qvmjLH6ab7KDnie/1pzU81RH&#10;viY7yNcVi4OCgkwss7Yjjlo7FasUIzQmrWuqI/9SG79WsksqX+u/Vuv6876l/N//0i/mR453x4SJ&#10;gQiPLEZWTosRb+gLfatQQWKHIUO9jFBBVwZKoGTJEsQNy5ztULYnXW86dJg77OwjEBVXgpKymXzP&#10;IsKSUEGfkaBJ7UikIPGDsnVJqGDN5qQr5HSF4NDh7uaqvJi4aaiuXYzZRhBhESpIjCSB1uAhnvD0&#10;yoSy7UiwIkGNnqdMV7l5HUaANWKkJw8nGYhPVDaxtaYNle4ZW8zzx44LxvARvkZsIwGOsghJ8CDR&#10;jTJa6erP0WP8WHwQHJqH5NRq8xwJMMRGAjQJtdTGmLFBiIisMIIgZSiSaET90XN1XemwYZ4YPzGA&#10;jIuQmd3M8VrYqB2J/NQHsZFoIi6+lrwWGMbWLGkSNUmgJsYS7kTFlKK4ZAbm9DFWOxI1ubmnGzYS&#10;n0kYJXFZf8bTyufCxTnRMHZ2jTOMJcIRY4nQZHuJOCSSUcYxiW0k3NLVkYYx+yLGeXmdmDwlnGP3&#10;hI9fumGsrEuW7F0WcZREdcowJz7KGCbbSVQn/mIskZ+yh4nxyNHeCCLjpJRqIxCyMpY4SkKtESP9&#10;MGo0+UWU8zA5xzCWP4ixrprUtbvDhnsbEZEYZ2Q1kZ2y0FnakQBN4h8xllBGbUqw1NYmxtsMH4l4&#10;AgPzOG4PSKQVHV2CwuJuzOoTbKodiZrkd2rHIj5rNEIt9VPsxLiicr4R5slWTi6xZFyGyunz+Xkx&#10;3mX6JQGkbCRbaV4om5jEbRLRqC/qU35BN/sRgWFk7O2biriECjS1rDL9sDLWlazKMDd0mI+ZpxIK&#10;NjSu6vNjZZjbTF9vpK8HWBgHM4gmVxmfUBvqj/ouodbIUf59jKeZ/klQJlurHYn8YmOraAcyHq/r&#10;xgqRnlnPzbSyblkYq77EP/KbceNDzdyQsEjiPCtjZWAMCso3jKfYhCCSjPOLOo2PWxlLSCmBn9iI&#10;sUSV4q4MbGpDRfPD3T0Fg4e5GWFodGwZyivn8fMWxrKFNVOibOXiyk14ZqsRtMq/1IaElIWFMzmf&#10;osnYg3ZNRmx8Beobl5u+qMjHJKjSvFR2OMtVyD9nLCFlenozxxxIhl4INIyno6Nr40XGEqApdloZ&#10;h4aVGaGxxG5irP5ofLrKdeQoH4wl49DwQqRl1Jv3rWzk97KPxqT4JRGlrje1MlZ/mjjHQkMKDGNl&#10;JhTj3ML2PsY/CSk1FjGeYhNtMmUqfrS1K8OehbGuWNa1uoOHuMPBycJ4WsUcPmMXF3aLyE/iPAnz&#10;1B+JxyRWlv2sjOXruipXmRKHMea4e4pxOeOJhMUWP1YdMdb6IsYSxUk8LV+xxArGHLLOzGyhrweZ&#10;LHXKLpiQVGVipJWx5o5EdMp0J84SAyuj588ZbzRXEovxmLG+ZFyA1PQ6Y0trOxL5SdSnviiuSxin&#10;cerfrX6stUJXhhvGkxj7o4qRk9/GTflPa6fWJQngxEZiTAvjhcZWVsatLRt/JoZTmeTie7j/Qj/G&#10;znWxZbX+9dcvfzE/3sHhrfR0N9ovFMtXZZov6yUeKChy5Pp6PUaN+gvX6wH0fXfGk3D0zo2HMh/N&#10;6I1GfqED69yEsWOv5OZ5OJl7orElGstWsp0FyUZgkJ45mT7zd4wbexn9eCjnmTdaOyK5higLUyI6&#10;uiOMIGPylGsxccL1JgtQTo43+5CApSsyMGd+IlraQhgXR3HOXMp6f2esGMs57Y+OGTGYw77MYTst&#10;7YohI1jnSs7RWxATY8OY6Ie5C9OMsEKiprqGAK7NAzmmP9PHbmA8tuGeIQjdPbGmHfWprtGfcW8g&#10;Ro++DE5Od9MOjoxvgViyXGxS0Ds7ngc7b/rdHfStPzFW3MZ9kBPjQChmziIb8lNWsYoqT8alO/ms&#10;y+DhPpCbdTfa08JYYsKZvTEoKnHiPLgBI0f+me3dy32FGxqbyXiOhfFMMi6kHZycb8GYMVfyoD0c&#10;WZkeaGiOvMhYAo2MrCmwtf077XAp/XgI91NeaO38iXHnDKsdxPhabuTHGcbdM+INY4lBJLiKTxzN&#10;OXMp59ZVjBVjGSPJuJuM+b4Yt3aEci1kHTK2sbkZMdG2PFSS8YJULFqqDHPcuDcGICRsEOfVn2E3&#10;9XojmlF2LCtjCQ/rm2iHkPtZ53I4OdzJwxkZFwdg8TKJrJSVTQJIH+4VlGXyj2R8K/duDlxzg3/G&#10;uLLai9zuYoy8jAfSAUhLdeUmOaSPsQSQsWThys/fbGzl5X0PfcKVjMMsjNnOzFkWO7i43GoY+/gM&#10;ox+TcRMZm/lgYZyVYwM7u2s4xy+lfwxGcakXfS7SZEIU4y4yzsy24Rp8HSaMv8ZkDMvO9uJn47B0&#10;ZR/jtlD601juKS5juZKHqtHcV/ihvSvaMJaorq0zjHYYgwkTroLNlBtZZzL3T778fDIZp5t6DU1B&#10;3LcMpo/+hWvedYxjk8krEF0zf2Lc0BzImDOIY7ocDoaxA4qKLIwlCrOIG31N5qSRo/5EP7yF+wp7&#10;zhFdz6lsYkkmG1hVrTdj/92GsURaqWRcXh5siRWLJM6LRek0N/K/xTDWlch5+a5oaAlDD59hGM+W&#10;YMkZLm63sT9XGBFaZoY77RmB5astjLtmRCEnz477nGvpF3/lHncQ550n534kZokxx9U1U3awhb3d&#10;9RbGQaMN447OWM4HC+P2jjDuC8cxzl5JX76C++lRXPN8yTjKcLEyTjB2uApTJt+IyEgL41lzksjH&#10;wripWXv0oRg99q+06bW02yTu3QKMwM0wXpBAP6IdwgcbxlOn3oH4+KmMk/60U5qFsRE3+jI23msY&#10;OznfjIwMe9TWB5Nx3EXG1XXepo5h7HIfD4suXEOCODezML+PcVm5G9w9bsWIEWJ8F9c8F9o4nIz7&#10;/JiMy2gHV7fbMYqMvbwG81nuXF8jsIyMJWTrJr/cAnvGvuv4rL9yn30/1zwPNLdHsB+JmLsoifM0&#10;Ctm5ssMNnOdXc487CllZnlyHYvoYJxsBpK7NnjRZjC/nHmMk++dLrlFGCKf+tHeF0y9lh6swefIN&#10;iIiYiNxcH8bPZMNYAsjmFu03hnFO/dXEpvjEieZKbF23OpuMLSJT2iFiKGObGN+GuDh7xkl/LFyc&#10;zqJMk4nk6cexWBg7ON6MtEw77lnE2JKlT/4jO/j538dxX8q5fg8ZO6OsTOI8XW8qcV4c9yvu0LXX&#10;8mM3zzvpj85oZFzvmU1bsZ2e2bGWOu5kPIqMPQdxL+fGuRduYoUEcd0z+9ZFRzH+C585kOcCrp2t&#10;Ykxb9TGePSfoXxXE/fLac/39l3X078dOl9MPPREcfg1CI28mfx9s3JyF/e82GEHT0TOteO2tSsyY&#10;7YLgiGt41r4ZXT1eeOixXOx7uwHHz0ko04UXXytFU5st/IKu4ry4lzExGDsfLsJ7R5tx8nw7jpxu&#10;w7MvF6C2eQL8Q69Ecvo9tHEAHn+6CG+/xzps5+iZdux+OhulFSPgG3gVsvKGcz2IwJNPl+LwqWac&#10;+KCN7bTi4SfSzbWkfsFXILdoOJasiMCzL5bh3aNtbMciHNv2YCLSsu6BT+DfUVYxmet3PPtYhWNn&#10;WowY7t0TLXhgO89TmXcgIORKVFRPxNqNCXiJdY6c7MCp97vxzpEmrFrHc1n8LfAPupbruhNWrkrB&#10;nrdqOW5lC2vHgcP1WLqae7b4Gw3D+uap2LIjDa+/WYujpzsNn70Hqmkzb4SEX4vQiJu4rnpjw6Zs&#10;vNXH+BgZv76/Cj3z3BAcdQ0iY2/ieuuBXY9m400xPtNt2nnp9TK0dNizL1chLvFu+mYQduwqNOIr&#10;MRa/518tQn3LZASScVLa3ZxL/ubKwgN9jI+d7cATz+agvGoUGV+JjNyhXOPD8fiTpTh0Uoxpq1Nt&#10;ePSpDBSXD7UwLhiKxcsj8MwLpXj3SKtp5/BJXcmajMzcAaadkvKJjFdxeP6VSvbDwvg9trd5RxzS&#10;su+CPxmXVY3Dmg2yQyUZt5PxDNqsGWs2RiA28VaO6xrUNjhg2Ypk8qvB8bMtLG14+3ADVqzl2SNB&#10;jK9GXZM9Nm9PxWt7awzjE7SVBHzzF/siJJJ7k/Abuc/wxPoNmUbspL5IVLfn7emYvdAdoWQcEXMj&#10;2rrcsPORbNqn3sL4bDdefmMa2mdMhX/wVYhNuIvzLIC+lIeD9AUJXMT4hdeK0dg+xTBOTLmT+1k/&#10;PPZkAeeMGM/gszrw5HN5qKwZa9ikZQ3lvA3H7idKyK3J9OcI+/PY01koqRxu5kNWwWAsWhaOp58v&#10;pT3JmGwkHHvw4WRzHauv/1UoLhuPBYti8fzLFRy3hbHEklsfjEd6zt2GcWnFWKxeH4cXX63AoeMS&#10;JUpw02SyEcYn32YY19Q7YPmKJLz2ZjXH3GoYH6QPrVzPPXLiTQgKu5p2sMOmrX2MT5HxuS4jzluw&#10;zB9hUdfRDtdz7+Jhsvrp30+8r/nQhjcPyte9EBZ9LcJibjBXzj74cBb27rcy7sKre8vJ1Yn8rkZU&#10;7B1cD/2xdUc+3qGdT7Kdo2Tz0p4yftYegWFXsd+3c43yM9fM7n+X/Oh/ytL39Av5XPfGGcapmYO4&#10;HwvDI48Xk0kfY8aKx5/NRnn1KAQEX0lfHYSFS8PMlboWxjM5tnbseiwVOUW6svoqI5ScvzAaz75Q&#10;bhgff7+D86KFvp6IzLz76BdXoHjaGHMV8guvVOC9ExLXShDcjA1bdBX5HWR8NcoqHbiexjFWleHJ&#10;Fyrx4OPTsHpTAepaA+EbOgQuPA/FJjsgtzQU1c2JmN6SipLqROSXxyAqyQv27hMx2WUK3ALc4Bfh&#10;h8jkEJONzT3YH26BytDjznOXE4vzz2L6/6Ri464Mcpbsce7BfnDyVRY5B0x0soG9pxPcg+hHCUGI&#10;Tg1DRlEs0gqiEJHoR3YTyWekuaI5ISPI8Ju1OBOzl2Rj/spcVDYEIYh7Ww+/O8yVrLPmxzIOFTF+&#10;1uPg4Xa8yti8dCX3BPTPwJDrzHXTq9ekMQ4oViizYBveeq8WC5f7IzzmOq6L13F/44ztuzLwxlt1&#10;xo81H/a8xZg9x53zhfEk+jbGDV/OmRwcONRo4uhRzodX9k1DR48jgsJ55oy/FTNmeePh3Xl466Cy&#10;i1rWzudfKWZMmww/rnmJqfdxjxCCXY8U/gtBnM7lP2fo+np/QdzZU/uNSMHf19GItTY/sBQvvfgo&#10;JA5SZrcvPj+FPa89geqqXAQFOBthk4RRxw6/ga++OANdB/fl52fxwrMPmc8HBbigtroQ27as7BOF&#10;sZ3vP8Bnn57Ak09sQW5OnMm41dZSgaef3I7TJw/g2y/f57M+McIxiS8kmJDwTCKCHdtW4+wZffn4&#10;Cb7/9gN8dOEw+7jECB1io3kGnN2KV156BB+ce9dkGvuO7Zw/d8hkLZO4L4H+L3HJQzvX4/PPTxvR&#10;2Hds5+zpA1iysIt9cTfCKIld9r7+NNs/ZoQTEnwp25OEghqTxHlrVs3D7sc2sy8fc0znTYa5I4de&#10;Yz+rDRuLEGQ53tn/Ej775IRho6tQ3+bfmxunIcDPCUX5ydi0cQlefF5faFkYS5T45htPmatjJZyS&#10;2ObhXetx9JAYn4ayNEmc9/KLjxmRiPojQYhEJwfeesG0IxHb52T89JPbkJ+XhNBgN7Q0TcPTT2wz&#10;4ixlXzKMPz7BtjcYIVx4qKcRuojxSdrBMGY7H394BNu3LjMCNmWekmjspRceNYK878T424/I+LDJ&#10;9CbhmcQkEgRaxFwngB90PSIZ027Lls5EVLi3EUZJ0LR3z1P48PwRw1iCL/Vt3pw2BAe6GrtL7PLY&#10;o5uMnX78/gL7fRZHD+/BzO5ak3kvNzuO9l9Gpi/0Y/xTRi0xLuD4H1i/GM8/u8vCmLaSGOmtfc+i&#10;vq6IjJ2MIOmhnetov9fJv8+PvziLV19+nPyzTTsS6Inxvr0SKvQx/uw4nntmh7FjSJAr7VqKJx/f&#10;asbxNW1ksvh9cgq7H9lkBETKctjWUkmeq/vEjZ8Ym0vU9OCOVUhNDkVUhLcRjUnQd+7MQZNdShm1&#10;Lrx/GBs5DvGNjfYnp1YyXmuy3FkYv0+bHMTKFb3GThIKStD0xutP4aM+xsrid/rk22YOqC9pKRFG&#10;tPXoww+wrxfww48XOG/O4fjRN9Db02jGpCyQEqoeeOt5IzT8ge2IscR5ne3Vho0EmRLqPfu0vjT8&#10;zNhKvnpg//NobCgxjMtK0rFzxxocfu81k/FPjL/68hxef/VJIzBVO/q5hXPmjT3KuNMXcz47gRdf&#10;eAilJWmmPxI0Pbl7q8nQJnGUNVPik49vuyi+le3F+KgRZH5mbPUJGe/auQZpaeGIDPeiD9Xhhece&#10;IuN3yFhXC+tKzGNGqKU4oXghcdPO7WvxIeeA5rmyAp5//x2sXjXHZFxMjA8012EqJkp09gPb0Xw4&#10;c+qgEc5KQCnhogSejz60kXFE1xxbGJ849ibjSZMZU3ZmDPktxP59z+FTXc1MxhJ8SdQm4ZXigMam&#10;OSZhm8ReVsZvH3jBCPzEWGLgB7evxqF3X6Vvnr7IWCLT6qp8w1iiry2bluP11578iTHn6csvPoJp&#10;ZRlmXtXVFGI35536qKyOYvz5p2fMsyUMFeOmhjIjVj703usX2/nk42N4+KF1yMyIQmRfzNa8O0se&#10;Fsaf0BePmnkkYZ9EY8o0+SAZXzh/2DBWrDj/wXtYt2Yefd2ftgjEogWd9JPHyfgQfVhXbX9sMn6K&#10;seKWxHD6szJhStz84w9k/M37OHViH+bPbTHxTwK/9WsX4K03nzUZTk1c//oC5/wbRkCoOCpRtrJg&#10;ypcMY7bz9Zdn8M7Bl9DaUm4YFxUkc9wr8e7BV0z2yB/F+Kv3TcZPCa7FWCJcxSUJqi1sPmBcOYnX&#10;XnkMFeVZhrEEiRJunz/3Dp5/8bGf/YdylX+vIE6f+/TTT4/0/yJeogUJBZSpTGIZCRr0Z32hL1GF&#10;hCsSeUgAISGOBET6nAQGEh1EREQgOjraiEIkvpBAQ0IFq4hDmZyUWUoCFwlBJHqRsErvq0j8IPGZ&#10;hAUSIUikYs10JVGJBEcSaEgIoqw9EoJIpCARk4QZ6q/qSPAiwYVEMhJpSLwk8YcEERJXSOghoZFE&#10;RqojsYcEfhIsSWijMUkkJYGGxC0SsEkgpWsiJYLQmCRe0fj0OfVV/ZHQRdcuSvgiMYT6o/FJRKQx&#10;a1wSdenvEmhYGUsQI4GQMiIp25316lL9u8auOqovZmIsEZHETRKHSKCh/qieRBwST1kFibKJeEls&#10;Ir4al4Qy+qzsoH6rvgRB4ibGakfiRgmHNCYJQSSskQhGAhb1RXUkRpLYTvzEUYz1LAlOrIzVrsST&#10;qiPRjcRA6qPEIGpHrMVLdlQdiUbEQX20ioj0TAlIJCBSHYltdC2pfM7KWAzUtsRBEu2ojsRxsoMY&#10;a9zyV41DwhXxkahGvtWfcX9fF2eJ9CQkEz8xVjsShUnYozZkLwkLxaI/Y41RQh0xlghGAjUJDNVf&#10;jUv1JJSRL6i/Eqlp3Po3jVdtqE/iKUGTxi3RoZ5lZSxfVnuai1bRncQ2mr+aa/0Z9/d1zQuJfzTX&#10;rIw1dyTmUj9URyIg+b7EWVbG/X1dfVYdibBUx+rHEixJRCTGGrv4yQfEVf6lOuItwaHV1zXfZV99&#10;1hor1KZEsYo3iifiLYGh6oiNiuaquMoOmlsSv0qgqfFaGctnJeRUfyWO0nMlKtVY1BfVka9b44l8&#10;Xc/VszS/xVh+LJGuYoTYyJ8lHFQcUIxQO6oj+yrWqI58XX6k50s8JVGd6iomSrSnOrKr5q/8SZ9X&#10;O7K9/E0iLdWxXkUrsecPP/xg6sjPJDDU/BZj8dOzFR/EWGwkzlOsEmNlrZQ4TLbTHLDOh/4xW/6u&#10;WCsRmzWui436pn+XnfQ8xSXNV/mWNVYo9vaP2RJRiqmVseqIueKJ7KDxSzwnpnrfKhxTzNb817gl&#10;mtP8VRywMrb6unxcdazXzGrOyE5WxvJbazyRsFF+LX7yi/6M5Q+qIzGbGMufrIwVs2VjCR81LvmQ&#10;5pDiiZWxfFFrjzWeqI5ikNhb54NsIjGh4rU4K9ZqnP3Xzl8redOqf5khztyy8h966RfzoyZ4wMMr&#10;BWXls9A9YwMkjJK4QJlslH1Nwh0Jknz9ckwGHuuX+RIjSHQi4YutbTRGj/ZDUHAeptcsQM/MTZg7&#10;xyIak4BJGY0keBg9JtAIOiSMUgYhyzWMa6CrU8PCS424R8KS6NhpqG9cgp7Z2+hsEjStvZg1SiIF&#10;1dM1gZZrM3Wd5TYjoFBWK12JOXqMP6bYhCEto4Htr8SsORLA7DAiBYkvlGFOY1JWI2Vpsgjddhrh&#10;hERkEih5eWUY4YSDYwzyCzrQ1r4GRpzRs82I+ST4kphp2HBfIwrROK2CCQlClG1JfXRxTcLwEd5w&#10;d09C6bReKPOSlbGEghLKKIOQ+iMxiIQo/RlLjKFrWCUOGjXaFwFBssN89mMT+2NhLDtIHDNpciTr&#10;BJBlCXlYsjRJpNXSutaIQ5Tpb+KkUCOQioopQ33DYszq3YpZrCdBk5WxxDZiLPtbGWtsEgLp6sqA&#10;wHzDeNKUUKSk16GpZYVhrD5LRKnrViW4kTDFxjYK2VntFpEM6yi7kvgZxt6ZHLcPxx+N3IJ2MrZc&#10;nSnG8jUJbJTtafgIPyijloRaFnGLRewlgUlySgMZJxvGrh4Wxl3dG02fu2dYrvsVY4mjJM7TMyWo&#10;Ehf1VyKZ0nIeGOKrMXVqrLG5vz/tQMbdfYwlGpMdxFiCTDEWJwkF1V8JQyV+lMhJ12BOmhxmGEdG&#10;laKWjHX1pPosxtbMXBILqui5so/aEWPNDYmuJJIcMzYQEyeHIDm1hnNguemv2qlvWGUYS3Cjvkyx&#10;iTSCLwndrLaSMEmCUfmUxmQ/NRI5eW3sp4WxhEiyg0R1Yiz/c3RKMP37OeNFJjOXfH34CInLEozg&#10;tat7PdvZdZGxBD+aB2KszIuWayitjMVvPv2phraOM/3x8ctE5fR5XEAeYDuWzHBirHgixvIdZd+T&#10;eEv9VVsSJckHxFiCzDFjJYAsRk3dIr6vKziV9W2dsYN8XeJH+XJMbJWJM/0ZK5NjcEgR3yfjSdyU&#10;JVWjkYx7GXMkWJWvS5gloaEYS9SUnqEskj8xVt+yczouMlYGtOzcVvZTwkULY9lBolIJKcVY17Zq&#10;nkmEJTb6qSuf0zOajQB1+AgfKLNbUekMtHdb/ELiR4kCJQ4UY4m1ZDMJDq2MZftp5Qvo67XmGeqP&#10;t28GKqrIeKbmgyUznD4jQaiysImxxKrqo+yttiTYUiyTEGwKxyzBalhEkWE8k4ytorFfMo6OqTTC&#10;U/VX/ZFoTNc1Szg2bnww6wUhPnE62eu6aF1NahEDy9etjLVGSKysuGdhrKtfLYyVKXEU1xiJRLNy&#10;mmnnVYwnFsaK61bGihVas/LyZ/ZjvNkIV2U/D890w8bJOQ4FxV1o7yJjPssacyQklrhPjGUP+eRF&#10;xiauL6Cv1Jl4JIGol08qplXO5ubeEnPEWGunRKYWxn4cX66Za2pDRYxLy+awLPyZGO7XBHESvPUt&#10;17/6+uUv5ic6Ob/V1qZrN3Mxf1EqWjvCUVDkgJCwgYzXl3Nu/Z1jnMJ5l4gFizKNWERZifIK7RAU&#10;NsCIIpStKCPDhQciXbeXC2WfkpAhO9cGfgF30ZaXwtHxRjJ25gZG19dloHduAtdsf9pmMv3uDta5&#10;wmT3KSryxcyZmayTZQRdNXV+5ppCd89bMHbC32izO8jLl+yUESqDPhaLmnovpGaMI/9b6DtXwNd3&#10;EA/bYejtycbCxVlG0FA53QsJSaPh5HI9/e9vjJf3My6GYd589TmNNo9GeZUb64yCg/MNmDD+Sm5a&#10;R/OAFUcb5EBXWXb3RHO9cOV+Yzjspl6NcRMuY8weQf+O5sEqw4y7Y0Y4452jycBha38NY8XViIub&#10;zA1uMtnlGMZtnRbGoeH3Y7LtlYwVV3Ltn0ifiMeChRbGyq6VX2Rv7KD37exv4IbTiYx1bWmOEXEo&#10;o1V2ri38A+/GhEmXch7fwBjkZK7BlK1mk3FDCw8luVPg4y87XAEXlzu4OfbheMl4oRhLUOLP/ckk&#10;7utuxdjxf6PP385579OPcRyqG7yRljkebp63GsY+Pvfz8B7K+cQDz+JM8wViVbUXEpPHXGQcEKgr&#10;9ZUJKcMwllikso+xk5MYX4HQkJHc2MdyzpDNkgwL43JXxMSNgL3D1Rg//lLG7+Gcv1F97aQaEWXp&#10;NCfWGUY7iPHfuYmexENKEvvMQ+6SdM7TCBQWO5LxIMaAK+mnV3AeTiA/C2MJe1o7Qjin7S12mPJ3&#10;2NrcgJQ0R3R2inEuGSsDTIgRavkH3kPGl7FP1/Fw4Mi5l4yFZKzMhE2tAawzhfOWdiBjZ+fbeVj2&#10;5pyRECmL9kxEXWOAESV6+dxmGLu738YDiBdmz0k182HmnDiu/d5Iz5pg7CDG3t4DeNgOMYzlxxLx&#10;Vdd4k/FYOLveYBj7B9zHA0gQ5s6jreTHPTH0dXfWka/fYNoJCh6B+roYMhabDCMUksBK1+HaO1zD&#10;/lzKg/Iww3g+GUvg2EnGZeXOZDyc85uMJ17Fw+AEHlISMWeOZT50dkUaMaGuyrSxu4p7jyu4nowj&#10;47h+jENRWGJvMnDYMJZMsbkeyckO6OxItfjxIjJuC0Vuvj33qvewjcuMTSXO6+2xMJ5FH21sCWQd&#10;G/rU3bT3FXByvI3xxLOPcbYRqYlxRpYY32HG5Op2C9d/D8Z9XdObbsRjtfU+ZDwRnt63GTZenvfx&#10;YB7Mw7/8OIt1E3km8UZSyni4uN2IMeP+Aj+/exnrA8hY2RT7GFd7ICl1NPc3N2LcuCsYT4ahrjaa&#10;+wGykR+TscRTcQkjuYch43GXIix0KPcVkT8xnhGJskpn2oGMHa41jKOixqFZXxKTsa4L7WCd4lIy&#10;jhzM9YGMJ13OfdFY7n/6GDPmtHWG0g7K3kxft7ma6/B1PHjao6OPsbLHtZBxXoE9gkLu41y4jG1d&#10;w5htR99KMrFCjJvaxNiWdriXz7mS8eRW5OZ4MC4pM1w2nyUxJg/g2Ywnfndyz3+puXqvsEj/O9Li&#10;x8rmWd/gi4zsibTD7WR8OTw87kVZaSDXzCz6DRkzLlXTDroa1c3jZsPY1/ce7ll+YizBcHWtJ+0w&#10;5iLjgMCh9PUoxjf5nyX2l1d6kDFjtpOFsQTBTc0RZJxuGEuoWlbhgtiEEbTDtUZoGhk5lowTLsb1&#10;ru5IxmxnREQNYcz+O+fw5dzzjCG/WCzsz7jUAeGqY3c148V1SEy0Q3t7v7WzPQz5hfYma9KkKWJ8&#10;NeOqLWbOsDA2mVdbg2gHW87FACOIU+m/HlvKzwVxyhj3yzq6nuXdo0UoLB1sxD26ZnHHQxl475i+&#10;qJ+Jt4+04Inn8rBouR/ySwYiNPJylJQPxq7HMnD4RDdOn5uDg0ckYmOcW+RJe92NwLC/o7JmAp54&#10;pghHT+ka1ZlGXPfwE1yv57shLecOhEVfibqWiXj6hSIcP91j2tn/jrI9MR70OCIu+WY+6xqTkezF&#10;V6twjHWOnpmBPfursf1hro8z7RGXcj2i4q8xQr1X9lTxObNw8swsI1bb8mACGtumICLmWkTF3cg1&#10;IQB79jWyDts51WUyw23cFof61gmIiPs7ElJuxNKVgdh3sB6n/n+s/Qd0VVeytgv3Oefrbne7nXPG&#10;gA0O5JxzjiKDkBAoC+WIJCQQQgIhFEBIIDKYYIMxGUxOJieTc87gnGPXX08tLSFzfM694/uvRu9B&#10;2HPPNedbNWutbZ5+685kuXKjSPYfHiGLlnrJiPQ6+ozylPiHlJf3l/jIqXPj5dqtSQbC7No/TBZ+&#10;OED3W1P6DXpchureliwbLGcujpebdyfLpesTZefeRJm7oI/EJ1c1jcOj35GVHw+V85fReJKcvTxO&#10;tu+OkVnze0pckmrs/ZjEJ70razYMlQtXcfeaomNyzdls2qyuEhb9pvTSeZJH1FPd4/QaBY7G5zNl&#10;wzbNj5mdZGh0eemv60kfW1/jF2v6XVeNT53NknWbh6pmbcU/+FXpN/A5GZfbxgCrKzcmyVXV+Mip&#10;UXptzfnCVuKrGnsNecZaiu49lGIa8zp6crSsWKtnPbeZavy8DBz8ohTP7CGHjwE9ORrjSLZ01RCN&#10;QyOd42nxDXxRZs7tIcf0szfuFOmaCuXAkZGyeJm3jMyoJ30GPqVxeF0WLh6kuYDGhZpjwGeJ8v5H&#10;A2XE6NqaN49LSMTrGhcfOX0h2zS+rBrv2jdM5n7QzwC+3v2fkLCot3V9IXLuUr5pcwaN98TI7IW9&#10;dMw70s/7Ucvn1euDSzU+fwlQMFbrbncJj6kkvTTmial1ZOPWGLl0zdEY0AXHueJZnSUsRjX2ftzW&#10;vmVHjO65wOY5dT5bNda6Mrmd5sxr0nfgMzImu6WuMUWuovHNiXL0tGq8UWt3UWvxH/qS6ZM3sbXs&#10;OThc9SuSG2h8arTmib+My2um77+oGr8gRdO6yaGjADmFcukmYNkIWbbaV58vGou3nz6/BL4g0+d4&#10;yBE9A2h8zTQeYaBWWkZ9jfczBsXNe99LTp7OtlhduJ6rZyxJPtBcH5lR2/ImOPw1+WCJl5w+P073&#10;pBpfm6g5kijzFvVTTWrYeQiNrCzLVgXK2Ut5ps25K9myY2+cvPd+H0lMqSr9tFZEJ7wlqz4O0nqS&#10;Z2f8nLWZjZMZusaouLfsPCQMr22A0MWr9zXetCNCps7uIhGxFTVWj0tqei3ZvD36vsbnsmXDFn1u&#10;Ku4gQUNfN9goI6u57NyTpHlVYBrjvrd2kz4vTm4jAaEvq35PS3Z+S91HkuXWDc2dY6czZNW6IP37&#10;5jLI90XxHPS83t+7ysEj6TpHoc41QQ4dH2n1ZFxeExnk94z4BDxvcOunx9P1TBXJ1duTNQ4jZckK&#10;Hz1vDXTf+qwe8JqeeU85dgqNNVaq8b5DSbKIXM+sqxo/IQFhr2qu4yKZZRpzjvccSJIFiwdI0oia&#10;WkeflOCISvLRygBrXYw2Z6+Ml+374jTX+0riiGqmcWTsm7q+ADl3WTUmjzWft++Ot5odHf+2aRyb&#10;WEPWb4rU/ebqucmTg8dGy+oN+p1mWncJjdI4eD6ldb22ahGudS9L95yrdWu0ns1g3XcnzZlK0qPv&#10;S3oPbKbXipFtuzJk254MWb2Rs6nfIXL1+SOggub6CzIyvbls3BavcQQo1j0dSldtArQOtJRB/i/p&#10;GX5eJhR11uukmTaXb0yQw8dHyIp1/hqHZjrmOXtNnt7ZgM3rWo+pOfz+o5WDNc4NdY5n9Hqvyez5&#10;A7QWjbU8vnQjT/Z+miyLNdfTx9STAT5P6tl6ReZ9MEDvP2NKakWB5nqy1mxPSR5ZS/NYNQ6vqOfD&#10;T86czzWNz18F3I43ODR5ZHXV+DGtB2/oOfNTjXNM44tX8vXeFSez5vXSZ/93rR5HJ1STjzdEyIUr&#10;zj3v1MUs2bIzSmbM9dD3Ktk8SanVZf2WcI21c+88fTFXNm2LksnTOus6Khj8OTKjsZ6RYZbrJbfu&#10;0h+c28vev/l/qJcF4vbt/tigAB+vHjK1OEeuXjkhP/4EdPKFwTbAPzOmjRcc3YDQgJpoyfn77/yj&#10;/1fmDAfYhhNRkH9/CdDXBwun69+fl19/+VxoCQpksXnTR1KQlyYBfvr9PMzHnOJom0mL019//sJa&#10;Zm5Yt8TgIeAfYJD1Hy+x1p6sBaDrwpn98vHqhTImI8FgOICb3TvXmsvY7//+Xn764Z5BC7TiAwbx&#10;8uwmKcMjZO+ejXqtG9Z6E4gKQGLZkpmSOjxcBnl1tTacJ47tkp91HbQ/BAQ5dmSnwShAfgAYONad&#10;PrXPcaGj9eaXl+Xg/k2ycH6RxMX4G5CE8xjtQX//DWeVb+SrL64axPbenALbD8DNlMIsuXzpmPz0&#10;Ixp/Jvdun5Xdn6yRmdNzzAUL4Aao6d6d87oW1fi3r+XO7fMGpkwpyjIHK1zUAP5oXwp0AhhF28At&#10;m5bqGtLNzQhXrZXL35OvvrxWqjHOcAAZuJYNHqTfHTXuH69ZLJ/fu6y5gMa0Gjwg69a8b6DX4EEe&#10;Btzs3LFavgf2QuMfVePTBwyiAwZB46SkcNm9a73BdqIaf//NdQN9ln80S0amRoi3agNwQ/tBQEP2&#10;9f23twwoAaqipSMaA9ycOLbHXOgA4r756oocPrhZ3l8wWRLiAkxjgJtLFz410AaNv9b94ag1b26R&#10;aQxwM6lgjFy6eFTXCqD2hWp5Rvbs+lhmzcjV3BtkwA1QE2CUqzHtHHfuWGuOUEBjAFLMeevmWc0L&#10;IMB7Btts27xUigoyDPADkly+dI7BNqZxCeC3acMyAw19B/fWOGiur1hgrmim8U+35fL5Q5rbH0j2&#10;2CQDgAButm9ebrlFa8iff/xMLpw9JGtWvW8wGHsaphrt3PFxSTy/kB9oIXtyl6zU6wOrAtXhrAUM&#10;Z616dV8/fHNb9dwtH304y0BKIFNzJDuyy3Kceb7+6rLBXYveL9Y4BNs8OIZdPH/4Dxof3LfFQDrg&#10;KGI+EUey859ae0rmoRXyXq0lc2bmaxwGWyvfmdNz5eb1M/r+93r2HI136R6mT801jYeoPkBNN2+c&#10;MRgM+AwXx21blsvkwkyDBXF1Y/1ffn7Z5gE+u3HtVIlT4miLE3EAuLp395L8+htgFKDqYa0nizTX&#10;k3VMT3OGo8Wt5ZZqDBh14dxhzf8PTBPOZkJcsGzfutrOLW1Jf/j+hpw5tUfryXuqbbQBcSNTo+Tw&#10;gS0WI+b5Uc/FSdUYyBWQEo1Hp8XKkU8/EaA9a2/65RU5+uk2+fCDaVqzQkxj3AXPnz1gNfTfv3+j&#10;uX7dADDAXIBONM43R7LDdg1q1xefXZB9e9bLvNkTJTpyiNXJ6VP1e8P1U049/v1rjcNFa6k8Y1qe&#10;6QJMSXvRG9dPC3AuzoTAwICzxUVjzdGNXAbO+/yzS2Ltfn/5yjQ2p0SNM/WGurP0o7ly985FneMz&#10;1fiOXL54WDauX6y5nmK5Hhvpr3/+0IHG9Dxw1i9pjgAjc7aBZ+NigmTrphUaT9VY9wTgd+bkHlmt&#10;tSpDdUNjWjwf3LfJ3PdcjU+d3GvAGUC2p2pMfT98cLvWc0fjb7++Isc+3S5LFk3XXB9qGuMiefb0&#10;fq19aPydaUyuv7+g2Fzz0Dg3J01odfzDd47GANf7966TeVqzY6J8bT3UBM6+ta7WWHFPAl7F6Q+w&#10;2AcgWPW+rpqh8e9ofOu07Ny+SqYVZ2kcBlpN5rqf3buo1/lKjp/Y803Z+zKvWs3aNS+5bf+PP4x5&#10;8HN/BsQB0gAXAcnwD//ADvyjPzAIYAVQDU5OjAWIADIAdgC+AMphDKACYArQBJACvwIM4USEExZw&#10;BRACMJzrYAU8AYwBVAUwwTzAZYwBhGAc6wJgAtAAvACWAdBw3cZYMzAC4AKgDCCSCyGwL9bMPAA5&#10;QBNAYcAMADeAFQAOwCuADMAigBSAHsAijAOmAewBlOHFdXEiAvRgLcBYgG5owjwAD1wXQAmwhTFA&#10;GPyZvbAWV2OADEAl9o1GQCcAKcAiwDJAH8BcaIt+QDlAYWU1BpRCY2LEGGAQdHfhKUAQQB+gOiA/&#10;rgU4xt+xDuYhDq6jFlAOawYcA/ACcuOFTq57HMAIGqM3gBVrZh7iwPr4LNqhIbEFBGFPaAxcAiAE&#10;NEUMgHeIAxAJsUJjgBxAHsAxoBJiCgwE+MI8XI+1AaKwF9bCuoFZgFqYgzgA1gBvAdywb4AZcoD3&#10;iBUaAy8RB2AmxgA3MYZroSFxJR8BnXiPMcwH4OLCU2iM5kAwXIMx5Dpj3DxGY9dRC8iPWKEBuVJW&#10;Y9dRq2yukyuuxmjJWeTvgZXQGGCO/EYb1oSWaOzmOi9yBO2JAfsCPgNI47wxBxoDtZXVGFjIzXU0&#10;JteJA+vkOsQLQIy/I+/YE+eYM+RqzP5ZP3OXzXXWB5DHWhgDTMVZI8cZQ+2hNnAd1sNYNCYO5Dow&#10;EtfctWuXxRFtiIPrggjkx3pwAyNHiRMaA5aR68TBzXVAXs4aa3Y1ppYBAQPdkYPEhDrgaszvyXU+&#10;69YTQDNy19WYegKEBTSFxsxFXWWdrsbUE9woiQMac7bQijUwB2PIEWoMMB3rZW/EjvPrasweyXVg&#10;VfQjD4kD12IeNKJmA2BSs9GGX9HC1ZjYk+uAk+Q6GpPr5KSrMXEgr9mrW084p5wj3kdnziC5DmRY&#10;Nte5vpvH5BA1G6CR3EPjKVOmmGauxuQ0NZFcHzJkSGmuoxm5x77IafYJ/Mf7nAn2yHljHsYREzfX&#10;3XrCmadeESte1BPqB+cWjVk3NQht0RitqScAe+Qd+wakJHZcy81jt2a79QSQDziUa7AeajZr+rNX&#10;SkbW4T/er/8/AOL4D/O0TKUdZ/7EJTJtugO4AGoBjQEptGzla0AWTkRATbSMAxCg3SRwAY48bdv5&#10;i59/mqSOmKqFf5ng/sNYwA/gAubhV6AZ4A9gElrhASwAsQFwAP907hIiQcEZMnr0HAEyKi7GnWqJ&#10;gVE4OdWr38fco0KGZhkoAVzAtYCacOtq0nSgAF/QAjEiMlton1o81YEQAGUAQQA4gL1694mVyKjc&#10;UlAGmAEwyXtQis3RuImn0JIxJiZf1/CB7tuBYAC+cMIC7gOSGeCZbOAHkANzcC2cqPr0jdN999R1&#10;e1trPdrK5k34UDVea/sGcAEaQxtgN6AdNC2rMVBRl66hNg+wEq3+UlKnCjAc6wGqi0+YbLCSo3GA&#10;wRpAdVyDefgV+IfPo3GnzsF6A8mQtPSZuu8VumYsvz8yoASAgzGAJYAp7IP9MA8aB4eMNfgKkAtA&#10;JTQiW8ZkzTONcX1DY+AzV2PAOYDDrCwHEHI1BixzNe7bL06iY/IMOJw6zQGWgJFwaSLeaIzeZTVm&#10;LhzdgNLIPzSmRaRpnH9fYyAUF7Zp0dLHrguIAjzEntgbgEu37uGmMXlIy8rhKcUy0TR2nKcAhIBj&#10;mAcgCeiIz7kaA5CxPs4B6+nQMUgCg0br9WdK0ZSVumZHY2DMVq0Hq8Z9DBoDvqFtMLHmPLAuchuI&#10;EI27e0ToTXOcQUSOxrgOLrZzhGuZE4cYA4YAQnmfeYAYObMNGvbTcQM0F2MlSnMdGI684XrASICq&#10;wEyASP0HDNM8+aPGzAm8x56aNffSmOBsVqDrXCzTZ6AxAOkcg/fQhvwBpKJNKvniagy4yF4cjfUL&#10;55BUrSdT9PNOHlNzgDqBvJgH2Ah4Do2B8piHvADqBH5kPbRuBTjF4bBoMg5fDowEKAj86Gg81OpC&#10;WY05X4BRwLD1G/TR2IfpTXOsPsjQvhnHO1wHP9S5My330JhzGh4xXjW7rzE6ATM2bNTfNO7dJ0Zr&#10;Wa6MM40duAyN0YM50Jh8pd65kKmrsVNP+tjZomVvXPxEycmjJasDwwHeAQeiDevGjTJhWJHu19GY&#10;a40YObuknvS0HHM1nlDwkd5snboO3MXZdjUG2qLGlNUY4JB6gsbAvP4Bo3Tu6TKpjMaAgnyeGogr&#10;JVAqILFb15kPGJO6BnDYtVuo5vUYrdlzdd84N641jcl/4EdykPsNUCfn2tUYMI4WqGjs1JNofXjJ&#10;0RqyoFRjIDynnvSzuoNOQLvUIubhWsB5QJTkRNNmA8VzYII+xEzQ+dHYAaGB6oiPqzHOnuSbC+eR&#10;x2maRw6E6mjsMzhFEpMByUvunQUOSA4gyTzkITlS9t6JRtSgTp1DtI6MNQiu7Kt5xz6nyt7o/5+A&#10;uAf/w3zzzp2vTZ/BPybGCM5t0XGtDQRp3PRR8ehZUULDm0vm2AEydXqYQTkTJg6S8Mim0qbdMzam&#10;Z6+3JDKineaxr8ycFa/7irK2fEEhDaVFq6elWYsnzJUtKrq1jtGHrhnhBgeMz/U0aKd5y8e1Djyt&#10;daOq1pOOuu9AmTU7QTUMkYwxwO41pGnzx6VVm2c1JtXMbSd/4hCZMTNC1zTUnLAGegHvPaL6Pafn&#10;p7bq1V1jHSozdZ5JRQAuHgaCNGryqMFauM0NT+mu7wXpniJkcnGQjukuPXpVkIaN/6X5/Ipq3VBG&#10;jOijzxSRuq8EjRWAS2eDPBgDtBQY1FA/10vzJsTmoe1oYnJ7fe9lPeP/0jwur18Mmunziac+bMbo&#10;muNkfL63xMS3kQ6dXrL1oPHQsGa6VwccczT2kcjoZqrxc6Zxj56V9AG5tWRl+5jGU2dEWls+AKtW&#10;bZ5RfZ6Q3v3e1s+gsVcZjXFyqqtxeELj8KRqXEVzvYzGU1W/sb3Fx6+2zUG8PNF4WAeDmtgTGo8x&#10;J6d3pUmzRy0OQICmcaFqPCdB9x1g4CLwnqPxixq3WqpXN83fwFKN09K7S68+FU2/9h1fFt8hDfRL&#10;Rm/TeJbOM6EAwAWH0/I2BgjSP7CBjEjrqfdFV+MASRreQbp0e0Wv9S/p0uV1fT5pKunpAzT3VOPZ&#10;sdY6Mi6hrXTs7GgMvBMS2lRrRT8pVo1nqsYTJw2R6NgWutbnnVzv8YbeO9vo2R8kMzVO02dEq5b6&#10;BSm8qbRuSxye0LW/JRFRrbRWeBnoBqxFK9CgkHrSsvWTWgc01/tUkZjojlr3Akzj4qmh5ug2xL+O&#10;xaBFq6dkwMCqEhvfXu95g3UOHKqGythx/cTbp6rGQTVuTa7X1PtiN601Q00bnLXS0nvqZ9/VtTym&#10;ufG8aUx72oICR+PiqcEWh9593zBt2nV4SYYMrq/3xV56niJk9pxhtu+UkV1Lcv0RA5L8A+trze5R&#10;qjFOackpHTXXX7V5OnXRXA9sol9o+uu9IVrXHC85EwZJfGJ7fY84PGoxCwltonWx732NC3x1ny01&#10;1i84cfB4Q2t2S73PeeuXvjiZNjPKNMZZr3Vb4vC4wVjhkS1Vj4ElGoeb02RwaAPNvSctT/v0eUfr&#10;SQfVz9/J42lh+lzZT/wC6prGzVs+Jf09NQ7x7TQ+aByhc4XqmemvZ7+aNGkO2PiM1vUa+sVV9ZsU&#10;IrN1nqIpQZKeCTRfpVRjb5+aeh/sorkZ4Gg8Ldgcyfr2B95TjduhcT2tJz21DoSrxgkysdBXUkd2&#10;KwFVH9GzrvUkoL4+16BxcKnGKSM6qW6v6TyPaH1/TZ8hcFOkDkTbOUfjxCTqyas2D6AfLWRHjQaA&#10;dDQuKPTTXG+lcXzR5kHjoaEtVA8v3XesXitGxuUAhTe3/RAH4M7wiBaa655lNPbW2DRUjZ+yetun&#10;9zv6bKT6jfdTjbXmTA/XOtDfYEz0NY0HvKv3xbZaZ3y03jgaA94N9q0uTVuoxq2e0e871fWLK+Bi&#10;sObxMK0Dql9mL4PPmjR7zOLuNaiG7rOzjvHT9UaqxiFC295+A6jZj+j3lBdlsE89vS/2kMmTw02b&#10;ibpvWl0DUToaaz3xr2dtggsnOxpPLg7UOOBKXU7r8cMGTDtOf31V4yibh9bMw6yeEIdHTWMcS9F4&#10;SonGk4r8JH5Ym1KNu3lU1OeTFnquqbV671SNs2ltHe3kOrmD82KY3jvH6L1zGvdO1Zg22mERjXTP&#10;z2hd7KlrcIC4ei07fl32nowTe8nt2n7+JyDu2KkI8Q16WbLzW8jyNb5y7MxIa7N45Uah7N43ylo4&#10;DvB+RvxDXpDcSY1k1XofOXWBFopFcu3WFNm+K0UyxjYTTx0THF7eALV1W0LkzMXRcvPzArl0bZJs&#10;2jpMUtMaSH+vpyQ0qpwUTW8lG3cEyrmrmXL7iyl2rbUbIiUhuZZdKyr+bZk6q6ts3RVpLVlv3iuU&#10;c5cKZPnqUIP2+ns/JbHJlWTGex1kx74Ic5+780WxnL9cIIuW+Ot3xMoycPCzkjSihuDetutgvLlg&#10;AbCcOpcn89/30fhUEE+fpyRlVBWZt8hD9h+Jl2t38uTWZ1Pl5NlcmTW3v/gFvibevs/LqDENDMo6&#10;eCxZbugYgJojJ8ZpPveSQb4vibffszI6u7Z8uKKvfHpSx9ybqK9iOXR0jEws6ireg58X38CXZFxe&#10;c1m6eogcPTPCNL58s1D2HkiX3AntxXPQs+IX/IKMn9hQVq4bJCfOpanGhXLtdrF8sidVMsc113x/&#10;RoLCXpf8onby8eZgc6dzNd68PVFGjm5s2oREvioFxS1kw7YAOXulROObk2XdxmhJSqljGkfEVZYp&#10;M7rIlk8i5MK1Mabx+cuTZOWacIkdVk3neVJiEivKtDntZPuecGuFeUs1vnBlkixZHijh0W/JQJ9n&#10;JDG1usya31t27o/TawCpFcnpc/ny/qIhEhz2hgwY9JQkp70j733QTfZ9Giu0Nr39+VSLw+x5A8Q/&#10;SDUe8pykZdaXhUs8Zf/RJLl2N1euG3iXrfW9jz5bvGwap2fVkkXL+8jhE0nm4HfzbrEcPjZGvyd0&#10;M/BxiGqcldtMlq4aLEdO38/j/QdHS15BhxKNn5fsiQ1kxcfecvzsCNP4+p1i2blvhD5zttI8flYC&#10;QstJXmEbWb1BNb6Q7mh8vVC27UzWut1EtXlaQiJekYnFzWX9Vn85ezlDNZ4sV24VyfrNsTJ8RD1H&#10;49g3ZfKMzrJ5R7jm+lhdT6Hpt/rjCIlLrGGxikqoKFNnt5Vtu0PNiew2Gl+dJEtXBElEzNsyQDVO&#10;GF5VZs3roWuM1ZzJ1twqlDPn8+WDD/0kJLySDBj8lCSNfFvmvN9V9hyOMRfA258Xy+nzeTJ3vpcE&#10;hLwuXkOeNXhvwYcDNA6J1i4UjY+fGm9tZgf7v2KAaXpWDXl/WW85dCJRrqOx5jG5PrnYw3LdJ+Al&#10;c8dbstJHjpxK1bWgcZEc+DRTJhR21jP1nNaT52XchPqybK2XHDtLHAr13BTLngNp+v2gjaNxyGuS&#10;W9DaANeT50fpdSbKZdV4+67hMlrrCRoHq8YTpjSTdZt95cwl1VhrDnm8aVuC1uQGpnFYzBtSNK2T&#10;bNwepvk7Rs9vgZy/UiAfr4/SmlzLak5kfAUpVo237hpqjnrUiovXCmX5qqFWT9A4Luldg5d27AVu&#10;HKf5pRpfmCCLP/KXoVpPyONhqW/L7IWdZffBGKENMhqfuZAv89731npSXry05qSMqq31pL/sPexo&#10;DJh44nSOzJw7QHwDqCdPS9rY6rLwo15y6PiwUo2PnsrWZ5Ce4uP7sub7i5KZ3ViWrBik9SRFNc7T&#10;fRfKwSNOPfHyeUGGBDwvY3PrydI1nlqzU3WOSabx3oOj9PtBW4uDf8gr5na4cp2/1hPNYzTW8/DJ&#10;7hStJy1N46DQlyV/clNZu2mI7mW0aXz11mTN2WEyMr2hDPBSjaMqSOHUjlpPQrWeZMgN1fiiarxu&#10;U4ye/7qWxxFx5bWetJYtO4PlPC2eVRvOzMo1YRKTUFXHPCOxie/KdNWYdrWXVOObqvHZixNlyTKn&#10;nqBxQkplrSedZOeBKD1POTbP2YsTzJEvOKyC1fXhabXkvUX9ZM+hYVrXcxyNz+TInHme4hdUTrx8&#10;n5ERGdVkwZKecuBYgrm53fqsWI6fHq/Pyb1liNaTQX7PG5S9eLm31pPhpvHVm0Vas/X7cXF3rScv&#10;ik/gc5rrdeWjVQO0ZhOHSRqvKeY0lzehg8bhOa0nL8v4CS21nvhpPUnTXHc03rV3hGTltLYcDRj6&#10;ktaTxrJm42A5fTG9ROMpsvWTZEkb3cQ0DomoKJOmdNR6ovdOzXXyuOTWXfrzZ0Dcr7/eau4CcfPm&#10;0lou3Jyojh/bLT/+cE/+Ld8ZgILTDyCN98Cukp4WIyuXzzPg7LeSdpc4w23fukoS4oIMHADewUHo&#10;3NnDQitCA41un7PWkbTkG+LTw0CQjeuXWJtKwABa2AHc4KwWGqJ1x6+vATmbNiw1wAC4DNAIUAZY&#10;BNcyIBlcywDxPrtzTuTfTttMACda5QHuAYPgqLVj+xqDOP797+9KHN0O22d9vLsLbmOAUbTwxAkL&#10;Zx+ABxzJaA8LgAWcMm9uoRzYv9mgOq5Dyz2Ar3Fjk8Tbs4vQxhOXoaOf7pAfv6d1EODOV+Ys5kBj&#10;XU1HoJNjR3fJD9/fNdDjqy8uy77d6yV1uKMxQNNKHOYM4nBaMf74w13BhQswz3ugh82H+965s4dM&#10;l991vZ/dPWeOckAyQ3w8DARZ//EiuXYZOM9pE8j+Vq9cYK5JAGG540eYS9jVKydtz8Bat66fEloW&#10;0oYWSAbAD43R1dX47u3z8t6cSQbJADXhoAesd/fOBcubn3W9tMcEIgGow20McARHPCBC01hjcUXj&#10;j0sTeYPbGI5a+/Zukq++vG5QDo5iOJSNHzdcNe5qYB5ACcDX99/etLXgfnby+B4DmtAYsI4WrsBI&#10;3393R8d8q9e8Yk5YI1MjbQxA0/Klc8298JefaKX1o0F+tLTFNQ6QJj3Ncd87c/qA/PyTo/Hnur9N&#10;G5ZIbJSf7quHue+tW/OB7RV3L9P46+uW60BwgEjAnbjxASICK+FQdevGac2D6ardAMtlXMsAwG7f&#10;PF2i8Q9yT/N1/nvkej8DkchXztntWw4k+fOPdw28xJXPd3BPg/xw1ML97Cs9t+bY9u9vzeGwaNIY&#10;0xhYcPaMCbJn9wb58gvNddP4prUWzh2favmXEBdoZ+zwwa16tks01jUzBkcytEFjWhEfPrxDfvhW&#10;c12vg7Mjzno4YHnpeQBoAhAjfqwVjQHI9u/daO6HAH647y1b+p6cPrVffvr5c12vanzvgmzZtExo&#10;AzrYy8PaqK5dtdAASFdjIDNyPTLcVzXuac5wAFdAptSb37Sm3L55xq4/NNhTAjVPgSiZ9/aNU7pe&#10;pzUp8Bf7IM9xdMO1DJewWzepJ9/qeu/p+TmuuZun56WX1Sb0piYCTVk7ZNUQAJIzQE7gCEgbzt0a&#10;hy8AvvR93AfPndmvNW2kDPLsJvGxAQYVo/H332qu63lg3WdUB6BbNOask+uHD23X/Woe63n55qur&#10;8umhbZabaJySHGag4OnjrsbfG1QIHJo6PMLmQWPc706d3OdAkrovoDocDYfFB8kgHUO7Xlz8Lp07&#10;ZE5saAPQRq4DhAHd4W4JOHjxwlHNh6/kt9+/1Jpwxs5RWAjwaC+r2TjM3aKNdkn7V8Axah45jKMb&#10;55220DdvnLW14OgJyDtHa7C/1iTAMWo2YOoXdy+UagycB/gHZInGtE7etXOdxhCNv7M85L40UePs&#10;o7mFUyc1+9CBLfKtnklH469sDM6kaBMfG2RulIcObtNzq7mu8wBL42BJm2ivAV2sHrB+6vhPP1BP&#10;fjAdiR11hHqCwyG5duL4XvlJ32Me3Bmp2Q5g2tXmW71ivlw4e9Dunf9Wfa5cPfqH797Oq0P3ktv2&#10;//gD/Pbg54DkvnkAiANyAFLgH+2BB8o6CAGHAX4AkgDD8Y/6wDQAasAFQB6AI8ANgBBAJ0APgAFA&#10;EEAVAAiAVMAXXAtHKMYxZuzYsaUgDQAFsAVgBu8DIQC8AGXgigSAAHTkAnPMw5oBDoDGABAAalxH&#10;KBf4Yj5cmYBEcP4BVgBaAOYBvGAexgI3sA7WgzMcEAqgBGNciAPohP1wLeAJQDf0YL3oA/TG3C5I&#10;A5ADjAG4wRzMxXgANfR1NQbCYn5XY8YDiPA+cwGFAOkwhmsRNyAY4DPWwpoA1IBXgGDYE3AKMBJA&#10;DnsCzENjoKGyGvNnIA80Zv+u61tZjYnd8BKgCVgGMAmIiTFcB9CDPMHRDI2JB8Aka+TzzMNYACFA&#10;GtYDvANM5YKLrIc8Q3fAIHIHCAhQhbx0NWZ/QEPsmTwF2CJ2wDSuxvwe0A5QiTFoAITlwnlALoBj&#10;ADaMAbgBbgI2Y4yrMRAM2rNeYBsAHvKtrMbskVwHpAGyAp4CCCLXXY3Ja/IFjQGaOGMAXoBGzMOa&#10;3VxHY6AvNMbhEN2YB40BhNAfjd1cJ8auxlyLfZLrrJn5gH/IdVdjchRNge7Q2M11NEY/5mHtxAYI&#10;ztUYQIjcBf5hvUBhwFMAYYwh14kvoJGrMb8n1xkD/Aikxx7cPGbdrI3cZb3EAb2BLwGNWAtzMYbP&#10;ojHrpv6Qk8SBeag55CyAJBqT60Bv6O5qzLoBQdkvGpOrgIJozBhiCQDJOUNbNMa1jD26UCLzAM6R&#10;6y7oC7yHxu4YV2P0AqxiHnKd2gFkyDrIY84gurtgHu57AIjEwdX4QWc94kA9QXvWi8bkK/tAO8aR&#10;i6wP7VkLcaeOoRnXIRY4GbJP1ulqzDmknhBL4k7NdusJ12LfaAUAR96wN3Kd+kFuMg/5QxzIddZL&#10;HhJ//g6NWQ+/cr+gRqCNm+sulMg8rJk8QX9ihcbUVc6aqzH5wbkn1sxDfaIusFdXY9ZFrrNW9g6k&#10;TM0GqmMML3QCVEQ/rkUOETtqsKsx+UoeMIZ6Qc3mnBEHV2Niix7oxxjylXrCfZE5eLkw35+9cidN&#10;Pvrg/brkVv5//8ODgufgGJlUuNz+QR84AHjKcRujhZ2HAQYAGcAHQAGALvwDP45AQE04GvUfgFsW&#10;DjgrZcbM9YIjD/APMA2wA+AEzk+ACczBXIBRQB2AY7joAD/5+eOEhYPVKpk1e6P9Hger7h5R5jzF&#10;moAmgFGYhxdjACCAmqpWowXgQAmPyNZ1AvasltlzNpk7EKARUBMt7AAVgPWAFJjDASLeE1zLgMqq&#10;VO1sAFnCsEKZMJH2kmtsHkAf122MdoOOE5YDRjEPIAjXAtQB4Hu3SicDbgwoUY3RF50Bj1wnLNpd&#10;4tIEfFZWY0AVIDlgENqB9usf/weNcVqLiNQb/IBEg0EAMID5ssbd1xjwhjXj0gTEAexGy8CscQts&#10;HjSm1SkwHKAH7kqAVsBwaAzk5mpMXgA1sRbcuULDcMu6rzFADK55rsYtWvraZ4C8HCenlaYxoAxQ&#10;0zvvdlSNfYWWimU1BhYB+HI07mpwDvn2oMbAebiNEStaOwJjFkwC7Fkr02ess/gCQAK3uC1FXTAK&#10;UIZ1AVwBjgHmsS/AMVoAFxatsDn4FcAKV0M0xlELUA9gz9UYndAYoAx90RkYaczYeaUa09YVjVkD&#10;LmGAO7h94SqHxpN0LsBMoDpAQ9bCmnAN47OcB7RJHz3HYC7yrmq1bgagRcfkOxrrHGgMUAQg17FT&#10;sGmDRrFxEzXXaeG5WubM3WRgFNcHaiKP23cIMhjT1Zhz4cQzq1RjYFUDBUsgNnIQZ0fXCYv1kENp&#10;o3DEc5wSXY2BgthPtepdDWoalT6rVGM0AhJDY6AnNOb3gGLMwQuNyQvPgUmmMfVikE/KHzSm5Si5&#10;xVniLBAvoDbOAPEu1DW5Tom4SOIABsgWMnSszk8cHI3JUQBcwDHav7ouksBnrIVawdr4O1fjlq0G&#10;WxzMmdA03mzn13UbczVOTJps+cs8aE0+ojEgJrUCWNUFBYGBZ87aYOvFqdHRmJaCuEg68BnzECuA&#10;QyBNgDpqoONIhmveCqs35BgQG7nL+SYHcXcjV1yNHTfKYtOYWlyzlodBYZljqP0rSjReohrnlgCQ&#10;va22szZylzncuk5eAMNyb2jYqJ/mGm6egMeOxrhXojFwM3WdOsi81BN3Hlz8yAuAYDQGaI2KJg4f&#10;6pcfR2PgYFdjtGnbLtDuKa7G/Epd5cxQz9G4Q8dA3edkR2OtOTNnbVSNi2wfxJF5WFfqiFkWa+Zx&#10;NQY2BlZFY8cxdYbVdTRmLtzuqMGNGg+0ffXtl2gas5+yGnt5D7d7p69vpkFw/zsQ12FLye36T38e&#10;/A/zrbp0/XrO3HgpKAyyNnj9BlQR3MaAo0LDmwktH6dMG2rw1PhcHKHaSZ9+laR+w3+acxTwSl6+&#10;n55NfQCeG6fxHGQQk0fPN6Veg4cNrotLaC8TJ/kbKAMQMnZcf3PdAkKoV//vmsevGOg2cVKg6hst&#10;s3UeICggkg64vjV82ACDlBFOyz3mwQUtPaO3DA1rLG3bPyd16v1d8/hNGTmil2ocpPkXq3PFSmx8&#10;B60ndaVVm+dtHk+vqgafsQ7moTXriLTuJXDeE7rmf2jeV9cxAzQGQzX/4jRekRIW0UK8fWpJ0+Y4&#10;YT0qtLUEPptcjJvYUNWJdnqddUw1adT0UY3pIxr/+jrGW2MdrtrEa1yHSlBII+nvWU01ftxctYaG&#10;NZXc/MG2Fkdjb9O4b//K0qDRPzWPn9Yv0i10DM5mkTpPgmTn+Oh6G6omxAHw6UXdZ7s/aAwwh+tW&#10;Nw8cyR6Sjh1fNghrYkGAaUysaGXqG4hLUznTBnBseGo31TjIAEh+HZ3Z21y32nV4QerUf0hr9hv6&#10;BcSjROMYmak6JyR2Mj1at33B5hngWUXrYl9bB/OwLqBE3J4AwurqPAMGVtMx/VXjENOY/CGXBg2u&#10;bbqg8RC/OrqPgSUahxoICTA3aHB1g2mA5ob4MsZLNQ7TeeJ1vlADWgD7zOGw+RMGarka80LjhMT2&#10;mutvmcbNWzypX6SbSY65bqFxnJ69IaZxz97E4V8GUsbEtZUJBX42B2tyNG6tur1uGhOHmNh2Djw1&#10;E41xI8XpsoHQihFtAMeSU7pq/gaUapwxpo+5bnXo9KJq83edr6KO6a71BHAxRl9xkpDUWeepL23a&#10;ORrTlpZ2vxaraWF6fv31zz30DAOOPW0a446XnqG5XqIxawLoQ2PHCetf4jOk1n/TOGVEVxnsW1O1&#10;e8z2PnhIba3ZXjKlOMzyePKUMAOzBnrXMI2bNHtc/9xY9fMp1Tgnb5C1q8V9jzkA1UL0Mzm5g/U8&#10;RZjGuRN8zYmtV5+3bQzgYXRsG12Dr50F1gQwFx3XSusJrm8PWRyiY4mDozExH53ZX2tFA60njHlY&#10;fy0nScO7yETVxNU4c2xf0xioCY0BnwwmLKMxfx7ih/veSzrPP7XOvWXAq3seCgod8LOsxv36vyNp&#10;ozXXJwfrWoBeow1M9RlSx2oo+xo0uKbWPM8yGvuaxrjHORo/rM/utfS5eaBqHGraUDPIW2CxJs2e&#10;sHyndgCfAWoxT67qTbtanOEaNn7Ycp3cH1+i8dz34vWe5mca9+lHHB7RdT9rOetqPGUqGg/U2tDG&#10;AL76DR8ycC4qWuMwwb80jzPHeJrGXbtXMI0BghOTO5sm9zXup2e4mQHBprHGITG5i9YK1XiWaqw5&#10;CIjsaPyyzdO7b2Wtvz2snjMP5wLHyuChDQ0cq6Pz9O33tj77aK4XqcYapxkzY3QPba0+tGz9rJ0H&#10;Wq/SCtnROEzzw4EScY8zjfVag3xq6nOC5vqUUDsPaAyM7DWIXH/SQLYAvXeNzx1k2pjG+Y7GA72B&#10;JB/R16Maf42D1uCp05w85r7FvbNvf+LwqMGWEVEtH9DYyyDd3n3f1PX+QzUpA8S16vCH/5f6g0Ac&#10;37vLvs8rOLxf1SMnwiUusZpBbABqNz7Llhufj5fNWwEYvSQssqp07/WIJI6sIht3+MuFG+k6Zryc&#10;v5ol23cOk6kz+kpA8Jt6/p6UUWMayfY9UXLxxli59SWtN7Nk7boYoe2kX0BF6dX/cRmT00B2HgiT&#10;K7e5Vo6cupApG7bESt7Ervoc84r0H/isTChqJ/uPJMrlW1ly99tca3u5fGWkZI3vLAO8cRl6Ropm&#10;tJYDx6Ll2j2nPd3xU6Nl1ceRMnpMa+nd7xnx8XtFZs/vZdDO5dvj5LPvcs0ta/GHQ/U80nb0afEN&#10;eslguGNnh+kc4+TKnfHmRLRkOc/EDfQ+pTUp7A1ZsmKwnLxAm9RxcvebPPlkT7K8t8BfhiU3kG49&#10;H5WhUeVl2ZoBcvpyqlxX/Wi1uOdgqsx/H2C6ptbixyRm2LuydnOwnLtCe9NsuflFjoE902boc2hU&#10;Nene8xFJGP6urN/qKxeujyrVmBaa02f10++elfRs4UhWX7btvq/xlZtjZe2GWD1DfcQv6E3p2e8x&#10;GT2unnyyP0T1y7BWqqcvjpWN2zTHCrprHXlN+nk+IzmT2hhQ4mp8+kKGrFgVqTnWRTy9X1adn5aC&#10;4pay72iUXLura76bY45aq9dHSea4Npqnz8kg35dlxtweBu3QJvUznefQ0ZHy4ZIwPWutpFc/XMte&#10;lLnvd5WjaPxZloGJh4+nydIVIVq/GuvzxxMSGFpBFi31tjaFV+5kyb1v82Tn3uEyb4F+fxneSLV5&#10;zJzhPlrdX05fSnE01uvtO5QiCxb5am1XjT0ek6g4nPUCDQK8fi9bbn+pebw9QfXz0e9ONS1W8cnv&#10;aK4PlvMlGl+4Nk7jmSQzZntKcGhlXc9jkpJeV7bsitA4jLU4Xb6dJR9viNHaod/vgnHLekxGja0r&#10;2/YEl2g8Xs5cHKPxjJOCou5at8tJ3wFPy/gJrWT3wQS5pDG6+7VqfClTlq+OkuzcrlovXpX+Xk/L&#10;hCktZO+RKLlSojEuhWvWR8vY7HZ6fwamfslc64B2HI3z9PdpsvijUK1xJbke8KLMWtBFjp5xNL52&#10;d7x8emKULFs1VFJGNtG8oUVxeYM6T5wb6Wj8XZ45Ay58X7+bpDTWM/6Y1oPX5cMV/eTUxeFy/fNs&#10;A033HU6VhYv9JTahtsYBRzKc9fzlzOXRchWNv8qRLTuG6TPcEImKrWUaxwyrrLnuI+eupZnGF1Xj&#10;nXuTZeacgVor39Fz9Zgkj6ytnws3GJN6c0XP1vqNsVJUTAcAjUOfRyUts5Zs3R2k6xhttYIWxsSz&#10;cHJPfWYrJ737PyXj8lrIrgPxWmvGyh3V+NzlTFm1Olrva93Ee/CrmutPSW5RU9n7abieX/IiR+tJ&#10;pny8UeMwvr0+W7wgAwe9IFNmdJNDx5Mt1uTxp6rxkqXhWk/a6XWeE2/fF2TmvM5y+HS86qt5rBof&#10;OTlK46n1JK2p9FCN/QPLycIP+8vxs47GzENb1QUfBElSahN9/tB7a9irsmh5b60nqvFn4zSm2bL/&#10;0Eh5f0mAxCfWsVoBHLZynZ+cuUQLz3Gqca5s/SRR731D9PlR49DjUYlKqCRrNg7Smj3S0fj6ONml&#10;Gs+apzU7/B291qN6zZqyaXtYqcbXda71m2Jl8tQBmus6pvejkjq6huZ6YInG4+Xs5bGy5ZMEjUMv&#10;fVasoPn1hIwZ38zaXdO2+o7G+/zVMbJ6bbR+Z+thuY7T2viCxrL7cIRcLtEYV7Z1m6JlfF5HGeD1&#10;otaT56VoWmeDii9pHnPGcUpcuixCMsa2l76ez4vXkOdl6twOcuhUnObWWGtdevREuqxYE6rPR82t&#10;7S1Q4bwP+smxMyP0HsJ5oF33CFm4KFhzvanu6QkDARcu7aX1JNnqwOXbOU7t/yhAnyfrWR6HRVXS&#10;mu1rgBoa39Pc2bYzUb83+mqu15WuqnFE3JuycoO3nC3R+NKNbNm1f7jMmU/b/ar6ffxRSUiuLhu2&#10;DZXz18baGK63cbM+F0wj16tI996PyfC0qrJ5Z4Dq59w7z10Zq9dK0Dj00e93FezemTGusXyyL0bv&#10;r47GtP0tuXWX/jz4vZv/h3pZIG7urHwDlsxBCDAFh7Tv7xkkAQAC6AFAAPCFw9MvOJL9/Jm5xB3Y&#10;t0mKJ2cZOAasAHzB35sL2L9xizlvEB2wxIB+ncyNCJjlyy+vGmgDkHTrxinZ9claA59oJQi4A7yC&#10;S9Ovv+FQ9bOcOX1QViydY8CY2+4SiA23p99++9JgBQAhIA6Am1492sjIlCiDdL75+oaOcebBrQ2I&#10;BOCmp0drg3xoOUo70t9//cJAN6AJ1gwsxzw4feGIRhtCwKjfVR/WB7BCq9U+vdoa/HVVrw+QwjxA&#10;WEAUjAG4oX0frlg3rp20MUBN33//hUEmaI92wBWMv3PnvGkMOIHbE1DH9KnZBjUBAAFoOHHAae0n&#10;uXvnsqzS9QL90Io2JKi/rNV5vyxtEUh72NOmMTAia8GhDxjuS9UYwAVtgBiBEnFyQ+OE+GADe779&#10;+qaNQWPALly2cGli32iNpmU1PrBvi+bBLIMk0RioCfc92pGizQ/f3pTzZw+aQyDgChoDjgGoWRxM&#10;458M2kEPQCTWAxR26eIR1Q8HJtzjrtq8tFkEkCR3aL3KGmnv+fu/ASC/knVrPzDoEY0HDuhiMNLt&#10;2+dMPzSmfSuAC25m5Do6k+uAfz8bqPWjfHbvqgEtwGvMAagGXPjF55cNIvpV1wQ0iAsd4BO5zroB&#10;tb60Frxo/JMBRWgMhESLXfLwk+2r5RvNO0AuNAZi27JpqcFl7JtWjMCE335FqzecB3/R9W4zCAcQ&#10;s1eP1qXuezjMAUACul04h8PcAsEZDY2BrYAHbQwA5O8/yvZtq2yvuFwxBmDp0vnDBghaHn99TT+z&#10;W5Ysnm5nF41pKXoFh0PyWDX++eevZd3Hi8zVENCSvfN7WogCDzka40K3rTQOg7y6mcMh7pKm8e8/&#10;aC5eN01pHctZAGrlHAKumcZac+7qeLS4n+ue5qJH21Oc48i/SxdP6ufmmiOZ28Z429YVmi/XTZuf&#10;VWPO4dbNyw0uo5UlANquTz528vh38vgXOXL4E9N4eFKYaUPtoeUozoa4DgK64aK3dvXCklxvY62n&#10;yUnqkmn820/yyY7VdmY5c8STtZ8/d1A1pk2041hJDaIukTOsGTjvsjkc3tO1fCu//PKtrF+7yEBU&#10;gGE0Rkuc4dCPeQCYj+j65s6eWFpP5s2dbG1GgTrR+OuvbllO4DRJTbeavXSufH7voupborGeDVzo&#10;gGHJdWBBIGfOyS8lGl+9elpW6ueAQmmlCvRKTcTx09rr/kDr0lN2hu/nepDm+pqSODi1AjiYFt3U&#10;EbQZqXXloNa777+7aXtCY8dhblFJrrcxIBj3zlKNtVbs2rHW3Dzdmp2XM1LOah0HJmae7765blAn&#10;rbYBgrkWuY7DoWlssfrO3O2oD8B75DqQ6XVqdonGOEHSinb+ewDBfSwH58yaZLn+k+rHveHrb+4Y&#10;xAnYx30RVzzaD1PLqTlo/M1Xl/UeeLHMPdl58X9AK7lt/48//2+BOMAL/rEe6IR/9Mc5qGvXrgYz&#10;AE0AMAAOAObwj/4ABkAM3bt3N7gMIMJ1hGIcoI/r0tStW7dS1zJABoAJoBMchbgW4AUt7HD4AShh&#10;PbSw45qAR0AZQB60NgTiYI1ANFwHUIN5AceAEIAZAL6AoRjDPMAIQDrACUATQBrAI4AM7JsXsAPg&#10;B5AD1+F6gBV8luvQCg94CncgYAn2DRgBzOK6vrFuAArANiAuDw8PA11wL2K/QBMAGkAnAC4AHmgM&#10;HAa8whjmAWgCmgDaAHxCP1yGAKx4jzlc6ARwjc8zBvAJ2Md1uUI/4BGuBUDEegBZgE6IA9oQT1dj&#10;IBlaxAKFAYGxH1djrgXoAZwHbMTvgXZcjdEA4JDP8j6wDOAimjHG1RiAiTG0UAQYAULh73mfH+Af&#10;NAX6QWPWBJRFHFyNmRO9gIfYE/kDIOQCfsA05Cgw3vDhw01jID/iAhzDGHRk/StWrDBt0Q+t0YL3&#10;yGPGAfyhMeeAMcQMwIoxaIPGaAWoA5SDfuQHn3PhKcayb3LUz8/P1kyeubnOPMBnfIbcRRfylJiU&#10;1Rj4BwDHBSDRmTNGrrt5DEzIWWQMcwBk4pYFMOVqDPxDbgGisl5yHVCLz7IW1sTZAORhL6wXOBFQ&#10;y4XPXI3ZN6AX2pDr5ABxIFbkIfAcYBHgE/MAkLktZAGwgI3IR3KF94gVtcfNdeZhLGeeXKGesGZg&#10;K6BYF57iVz5DXgJJci32R41BP+ZhXUCygIjsmRwEvGMf7BmN2R+5RZ2hTqAxUB1xQD/0IdfJAcaQ&#10;59Qd6hi5y/uuxugFIMh6OTdurjOGNTGe2sqZpP6xbvKROLNe1sN1+Rz1E405x+Q6+VJWY6AwcpMz&#10;U7ZmozEvdAAOpWajMbAf9Q5tiSdj0ZiaRz1hnrI1G435lX2jMWeOMZxT8tbNYzQmngBwwKNoTC66&#10;NZs9sXZANyBqtCNPAfWoeWU1ppYBn5LrgGxuzXY1JqfJLUBX9CPXOfP8vasxcQC8Iw6MYU3cu9ya&#10;TV1HP2BGcgqNyXXmJRdcjTlj6E6NZd/UE7dmu8ActRaoD23RGK3dXGc9aAyoRz1Drz97TZ097+CD&#10;92v+T+Ult/P/ux/+w7xPYKIAlfCP+kBWwDp16vY2EGmQz0iDZwALcOwBEADQAFIAvgBs4h/3AccA&#10;0CZPceAUoBjmAEoBLPHzx8npvoOQA1bk6DWCDDDAyWmI70iDSJx2l6tk3vytBqsAt+DU1N0jWoJD&#10;cBByQBlce4BdAEGAdgDQgOKALwBugKMAMBYs3G5ucIA2QCUAM0BOgBuugxDQAg5CrIW5AJfCwrNL&#10;YRDWM/e9Lfqer60HlzCAEtpLshf2BPSA+x3XQhsADGBCIA5gkKLJK3Qc7QRXGpSCIxQaew/Ctaz4&#10;DxoDdbAXHO/QmLXhfoajkaPxBoOjcDxCYwApnJRwnXM1BkYCjCqrseP0hwudo/F787YaBMiegA1x&#10;mAoKHie4JZXVGMAPaMfVOCAQ9zM0pqUoGu8Q2k+6GvfsFafz5gmtbl2NAVzIFcAWNO7RM8qAr4xM&#10;NKYVo7MetK1V23FXcpzh2PeHNg9rAtTiWq7G/B6Nx2UDAjoa82I/7AsQycsb17IpBra4GgNYAfiV&#10;1TguvsA0JkbASDiCAQehMe5lwF9ozDlhHuZzwSjWg+sTEOPw4bjQsWZnTzjgORoPMKApKNhxOCRn&#10;cI0C+MLJjP0QK9q6At+MTJupeUFLUUdjYCU0BtIiR4GIyjocojFATlmNQ0LGqsbAlo7GnCvyztUY&#10;aBVAs6zGgFpAlGU1dtwUF9p5QF/qRZOmTvtYgCTc5spqTB4C/wAOMQ+gKet/UGOAzHr1+xlc5Wqc&#10;OmKmxcjVGODV1ZhfgXGZ+77Gm7UuFeiZ6mX1i7gC/NEKFI2LpzmObkCUrAONqWHUDqCm+xpvN/3Q&#10;Bo0B/AAZXY1ZD3AoMQaeQmf2FxyC+9kc3fP9PCYXiFVZjR3IlBa7awzUAqJ0NQYMpiYCqzoarxKg&#10;Q9bhauw4w01WTQBIHY2BRYkzeczeaD0dGzfBID80BjoEFmzQsK9pjKMboCguoEB5zEPtAcZkzcxD&#10;zUCHxKSikrq+SgDQAD8djfsbNBYQiMOhozH5Rw4Bn+GUeF9jzgzXcjSev2C7xjjNNAaEI49Dw3Is&#10;d2nbynrQm1qFxryIJ+cj3TReqtcij7fZOUFjnOh690nQPJn43zRGD9ZC/QLSo66X1ZgcdNpRO3Ud&#10;aBBAjvrJWtgbMJyrMXtz3BQnlNR1R2NyCF247wEF+wzGGQ6HQyeP0RpQkDrsajwscfp/A+I69Bi8&#10;9483+g6HS27Xf/rDP7aXHd+6a9evAb5wkapa/V/SsvWLBgGFRjQ1UAbnH1x7gF2CQxtL+44vGgzS&#10;s3dFCdE/jxlH29FQzb0oAwRCQlpItZr/0n2/LH36vSvRsa0NqmMO3IiAFgb71hHcz9q0e9bguqjo&#10;lgbQTJuBk06U7j9UevapInXqPSbtOrwqA72rybCkTgZfzJyt7+v1Ro7qKf0939a1PKPaPG8tGeOH&#10;AXz565cZ5omWSUXB0rzlS9Kw8VPSsXN5wRkuNc3DoAnm4VfAGdq6Amp16vKyePtU1+cKBwqbNj3c&#10;QC3gqNp1H5NmLZ6Xbh5vCI5a6Zl9DOBgHoAvYKkuXV+zebp1f01wq0pL72VAhDlUqcYjR/WVajUc&#10;jYHZAF7Gjvcs1RhoKySsmXTo8JKjsa4reGgjyVTNHI0jTeOwiNY2T+u2aPyORMW0ss+6Go/VmACo&#10;AbbQShAIA/ei7DxvXYercbj07V/D9tWuw2sGqCUkdjSIiD2xt1EZfbQGVzGNcT4CbopLaKc5OsQ0&#10;BqwrnBIirdq+UkbjmpIysrsUFQeXagwABmyDNri20U52+PCuelYCSjXOn+Cn8QZge166dq8ofoH1&#10;9Pz2sVgzD7EH+gOyYZ6uqrGvfx1zTeMajgtYpJ7h/qZNi1YviEfPSgZqjckeUKoxuTg0vLmeOUfj&#10;Hr1eF9wMM8YCpxAr1XB6hN6/2pdo/JJqjPteK8nJH2RzMBdnwy+gnr5/X+OwqBYGvqDxTNM4TOtD&#10;balV91HV7zXVr6rmaAfLF/ZErNgjblnAP47Gb+s+2xpM42oMmNmuA0Ddk9Kh0+uqXw0ZPqKbAYfM&#10;Q44NH8H/UeJNzS3N484vGyCUnNzZQCM0JubAUfUa4LL2rGnsqzk6anTvP2gMvNqt++umcZdurxpQ&#10;NHJUj1KNAQYzMj3tjDsav2mgFufa3MZ0njxde3hkC9X4ZV3P0wazAZFljHHc41yNY+P0S0mJxr37&#10;vm0QUU6+zx80BubCxQ99cAPD6czV2K05g3zqSs3aOBO+YkCv5WiB4zZGHo/OxOGwmsWpXfvnDISM&#10;iWtjueBorBoWD1Vtgb2e1HW/pnWgpiSndrE6gDa08kwZ6aHrrGQak8fEbViy1iXy2JzWoq3+NGiE&#10;y9qz0rlrBTuHaaO1DmhuMQ/xiB/W0cBIV2Na147QukQ8cRJD47HjvFSbR8po3FAyx/a36zAP+YFe&#10;wMQtWj0pHh7lJEA1Zq8WT9M4Uu//Xayut2rzkoGHxGW81lpXY7QE5gJ45Zz36vOG1pdmpv206ffr&#10;+mC/hqYxLVKBMTmL+QW+thbWNHoMDoc1TGMAZdzdSjWeEVGicajWSEDpx1W/cqpfdUlM0RydHOho&#10;rOtOTeuh562y5Q0ae3pX0drf0XLTiXm0PusFab15Rpo0e0ZrdgUD40ZqHeAclGqc2EmfAxyNO3d9&#10;xQBPar9prOul5gBv16yNxs9L9x5vaq6V1AGuo/qQQ5FaW3FBbKkad1eN/YO09lOXytT1pGQP1RjY&#10;EI3fMv3Q1dU4OwcXokb6veFFy+OeqvHkKXr/KAHi6rfpeKPsPZm25iW3a/v5MyCur0/PJqfOx8ri&#10;j3zl6Ol0uf5Zntz+OsfAkYSkxtKjdzkJj64p43LayPK1Q+TUxRFy+8scuXY3W7Z8orU9s7HqVl7v&#10;81VlfG5HawUKfMU8n38/QfYfTdD7Uw3p07+8xMTXlglFjgPOuWvpcvfrPAOFVn7sa05OQ/zLq041&#10;NS7dZeO2KDl/dZzc+CxXvv1tkqxc76/3hMoycFBFSUiuL1Nm4DIUIZdvjbF5zl4eLQsW99fPV9F6&#10;pGMS65kT0Cd7h8nlm+MNWPru90KZNrun9B2g5yngLT2HjWTOgj6y90icAS53dJ7jZ1LNmS4otJLe&#10;Oyrp80wTmbvAy2CKqzhqfZ4tX/00Qe8FrVWbV/VZpopq0EwWfjhQPj2ZpOvNlltf5Ni+8wra6hwV&#10;JWjoWxrrlvLBEl9rR3r9Xq5peP3eWEkc3sQ0DousIVnjW8uy1UPk5AVH4+v3xsvWnRGSkdVEtamg&#10;95sqOqa9rFgTYhCho3GeXjdR9a8lvfuVl6i42pI/qYOsM/AuXe58lasajZXV6/0kMbW25q+O0XhO&#10;LOwq67dE6pgSjX8pkI83Ber5rCwDvN+Q+KR6MnlaN9m+O9yALzQ+d2W07sHTHLXQOH5YXSme3lt2&#10;7EkwjQE9vvt9ksya11uff/U8+b8lySMamXvcnk9LNP4qz4Cs6bM9NC9cjRubU9zeT4eXavzNLxNl&#10;XG47PQflVL8qkpaBxgPksO71hr6PPgeOJUp+YTs9S6pxyFt6D2oh7384xCAlNAYWvPlFltbfJvoM&#10;9JpqXE3j1src406eT9U5nDXv2A3g11TzWDUOe9dAtOWrg3XMGH0/zwC042eTteapxn1eN+grr6C9&#10;rN0UJGevjCrVeO1Gf91vXdM4MqaG1rUuGocIzc0sjVWufK172rgtWHV5R/oPVP00R4umdpOtu8Lk&#10;ws0Mzb98zfkMWbRsoETHV7OYxyXUkclTe1kLzEs3nDz+/rdCee/9/vqsVVEG+VbW/TWUme/1kt0H&#10;Y1U/R+OT50day8yhEW+ZxsNTGsrs91TjQynmqGUa/6rfiSd0MI0DQ96VkaObyvxFA+TQiWFOHqt+&#10;h44nyYTJ7cU/+A3TOE01Xrh4sOZcmml8UzW88/V4A5F6qMahEdXNeeyjlT5y4myqzoHG2bJzX7Q+&#10;ozbXvClvQNyYcW01DoFy/BxuY3kGR1FbImPqal0rp7/W0mfRdrJmfaCcuZxmQNiV21mas0EyfGQ9&#10;/S5X3iDSvImdNG/DTeMbup6vf54oW1RPv4B39RmovMRpjhYWd5bNO3HfI4/z5cK1TPlwubfEJFQ3&#10;jWPj6+hzZk/ZtguNsy0nvlONFyz21PuGaqx1J0k1njG3l+w6EKMajzWNT11I01zvqRq/rft6QxKT&#10;G8isOf1lz8FkXatqrPv+9rcCzZWOejb1vhr0roxIbyrzPugvB3GGuzdO9cmVwyeSzRksQDUODKms&#10;96Bm5oYGNIpTIiDbvW9yZcSo5pbHIapxRlZLc487dk41/mK83Pw8x9aWlYPGOBm/o/f5NvLRigA9&#10;b4BuuXL32xw5dzVN87deqcY5E9rJKsC7yyMNJrx6e5xs0Pqcml5ftSkvEZFVNQ4dNbfD5Mwl1fjz&#10;PKt/n+yP0PVWkX6qMfDYpCldZNP2oarxaNP44vVMy4HYYTXsXMXE1tZn/B6ydUecjkHjXPnu10Jr&#10;lzxw0Jt6z6+k9/AGMm1WD9m5P0quoLHWnNMX02Tuwt76TPyO1Rw0njm7r+w+kGTucVbX9f5QMKWr&#10;3u9f11x/R1JHNdHz0c+c4a7fy7LcOXJyuBRO7aQ5XKLxqGYy//1BcujYyFKNP/8hT7+rtNDvGOUk&#10;OKyqjB7bwtzjjp5JLtE4V2MbJ9n5rUzj4NC39T7fWpYs95djZxyN7+i98+LNdM2p+qZxuN7Pxue3&#10;Nfe405dU46+ceydapY1uYBqH6b0zJ6+DrFkX6tw79Tpf/jhB9hyK+RMg7o/fux8E4mhzCKyCIxIu&#10;Q7gjXbly0mAm2m7iboNrGKCY4zb2nYEBgG2pw8MlMszHgJxFC6fJ2dO4x+EyxD9w/CxbNq20eQAV&#10;gCcAXK5dPSH/Npembw0iAhYBKMHdrHTMFR1j7nH8g9+vBjoBHwAQTTD3uI8M4nCcsL42BymcnJgj&#10;PjbQxuBCBzjmuG4x7hdJiA0yqAy4AigEt6dvv3Fc3wB3gFlwhouK8LF2rIwBlPn2a8bgVvSN/PLz&#10;lwY6ALrhxATQhmsZgAtjgDhwJAMEw7nLHXPowFYDRVyNb9w8Z/AGgAb6LZw/2aAwR2PHdWvj+qUG&#10;nzHP6FGx8sGCYhtzX+OfZOcn60s1BvADuLp65bijsV4HwAVADYc1WlkyBmen+w59jsazZxUYLAdA&#10;BVCCfndx39O1/K5zXbl4RPcx0Vyj0NjGrPvQwLGyGuM2CFiGxriT4ZTkuO99axoDWAHb4BjImMml&#10;Y3ByQuNv5ddfv7U4oTH7xxGKdpJAiYzBhe/g/s22F7QBqAFe4e9or+ho/I210ERjnKeAnxbMLzIw&#10;Bjc85vlGNQaMAj5jHsbgkHbqhI4p1fhH2b9vi2kM+MM1gXjQw9WY9rbozn7IHVrwMgao6b7Gv+j1&#10;i6Vfn/YGaeHQxxm6o/Gx93W9Vy8fNegpNtpPc90Z8/GaRQY1Oa5baPyrrjfWcpCYApDh4veV7oX3&#10;AXfYI9oTbzcOjMGJ0dX499++Fz+/vgb3AX0Bvx46sNnARcYA5wFjciaJlTsGCBZwkTWb49gX1wyO&#10;BE4DGgMoIsa08kU/Yr9960pdc5RpzBjcu4Dz3DE4bx35dKf06N5Kx/jY2QEQA4D89++qn14H0HbV&#10;ivnWcpQ4MAZgDagJ9y9H459lyeLZBrmhMQDox6vft/aVIpqjGq9rejZYI22OyWXGAP/euXGmRGP2&#10;9avFEKiM2kS+sgcgU4uBnlHqIfUBjYkDY3CYA4As1fj3HyRYdXE1nlY8XnN0Y6nGwKrUXmBg2iW7&#10;Gu/bo2Nozcy1fv9Gvv7mtuUNUKKrH7XqF3ORdBwrAStx8UTjtNQomad5ZGN+csbwOnlin2lMXUe/&#10;DxfPlAvnD5dqTE1ds2qh0HIUjYHZgLloLes49Dkar1y+wKCy6EhXv4XmLuns+xu5rjWec0S9Zkzu&#10;uBSb9+Z1jUOpxr9IjuY30B31xNFvhUGmjsZfGThbPDnbapsbB87rHzX+sdT1ElAaEI36+73WYfYM&#10;gIZzJ+tEGzRmDGAlcKPNoxp///09Aw3JY+oB5xCoGYDZ1RiomFrtaKxjZhcYnFeq8b9xCjtSeu9E&#10;v8UfTLd9uPdOwEXa5/4ZEFe3ZfvIktv2//hTr1m7cv/9cx26f/PNN1+W/Yd4oAj+YR9ox4W0AA0A&#10;LYA4XAgL+AdQBzADAIgxwGbANEAB/AB0ABcApeDABDgClOA6CAEqAFYAKQAfAHC4jlAABlyLH66F&#10;IxxABJABYAqABoACYAWgAZATkALzuGMAZYA33PVwbWAJ4Cqgkblz5xq8AKTAtVgvEBZORMwDRAXY&#10;AMTBGIASfoDh2BN7B3gDogCUQDfGAGsAxgBLAAehAYAJwAX6ci3WBMTUpUsXGwe0A3yBxi6ExXUB&#10;RJgDjV2HOTR214KWLjSGxkAnAEwAKVwHjdEqOzvb9oSOZePgzgOgwecBf9g/1wWoAkZyNQZewVGL&#10;eYDGAGLcOLjzANcAcvECkARwcl3L2BdwCSAK8BnzEAcAF+IABOPOAxAEQMQYNAYGApRBF+YBIgLw&#10;Yj9l4wA45GrMC4gNjQGoAI6Ak4BjXI3ZN/vANQqNiQNjiIO7FgAW8htIhhwF5EMLgB5XY3INuA1A&#10;iDURB2Ak9uvOQ/zRFvCHXzk/aIy2zIPWfIa9sG9AGuLgtrRlzfwAfAFhAlehMdCRC3xxrlgXewAo&#10;Yx4gNOLgjnHXQ74BKjGGuAK1ldUYnQCL2DMaPziGNZMbnCNqBRoCzhFf4sN1GAdoRq7zPi/iQHwB&#10;lty1sD/czFyN+T3QH/pxHXID4Art0Zgzw++BkTi3rjaAqOQW+yJHcZtDL2LIWslVch93MPYNfEcc&#10;du3aZXFw5yGvXddB9COPXOCL9XC+qIm852pMHADtGOPui5rImWIugEGgVHKOGsq1OMto6mrMGDRH&#10;M8YwD7AWnyurMXWKOsP71B3yHsCP96kXbhyIIWPYO+siL5mHHCVfgXSBwtgTNY71Ux/QmDPDGGor&#10;Y1xtmJNzC1hGjgKrce6p2a7G/Jk1sG80duNQVmMc5tgzkBu5yvr5O1dj6hP1jhxHY8YQhwc1Br4E&#10;SAQydTUGNkY/5gGipf6yDlfjsnFw5yEO1FH0Iz+o80C3vM+LGk+MqROuxsSBXCcG7B0N0aPsvZMc&#10;YA2shetRD7nPsRb28WevhR9+tOfB+/X/J0Ccb3CyAE+MGfuewVLlK7SQt9/pZNAH7eiAFIBkAAQA&#10;voCacMECjABaAOzBPQnICiiJF1Daa+Wa2jgcfMbnOLANcIHrkoNLEw5CwAGAKrQXZB5etDrFLQgQ&#10;4tXXmhjQgMMR7fqYBxAEoA2Iw3VpAirBUQjAhrUAcgC0AYMAKpR7vbmBQMnDpxmcwDz8CuDitPfz&#10;sXmAOIClxucsMvCEeQCKgIFwNXvjzdYGvdEqclKh4zYGUIIOgGO4TuGEBeCCXlyfedA4c8xcSUmd&#10;JhUqtpS33u4g3oNwEnMc3cpqDIziuo3xe8CO+xq/r68FBgu+Vq6ZASGO25gDgpTVmHWiMe5cACVj&#10;VFdX46xxaLzI4oDGOOsBCrIG1uJqDMQBKIMrElAJGgOsOBp/qOufp5/50OL46mvNDEBLTAKidDRm&#10;Hldj4BZcmoBCgGtcjfPyF5k27I3rlK/QytblQJSOuxIaAy6SK67bGPsDVmG/zMN+iBUgWYWKraTy&#10;W+0NdMsscXRjPQBWOMwBVd13whquGs8xXdgXoAvQDPAMGuMmhtuY04bRaTnqOiUSZxzLaE9K60jc&#10;w0xjnYc5iDttYV99ranlBs6JtE91tQE4dEEZ9k4eAjI6GpN/jsbkYctWPqYx4A7wWVmNGc/niBHz&#10;EDPASua/r/F7+ucPzPkMfYB8HMDPcRsrqzHxZB4gIlzeHI2XmMbMMyp9tp6FNlKpcjsD3cpqTA6h&#10;MfUBjdGHOADauRrTIhd9gBnLvd7M1oQzoNvq0tUYSNaBLXuYqxYQ25gx5Jwzj6ux58BEy2Nc5hy3&#10;MRzd7muMFpxt3PcAO8lH8pI5yF9XY/Qj5rjnAUbRMpf1AOgxHgASKMpxGwsyQBhN3XnQhhbLnLvy&#10;FVoaAMmZ5vPMQ80hR3CGQ2NqDrnOPql5gFX8ynmgxeibldroq63BocDAhUVofN/FD7jMdeokDvyd&#10;U3OcPGZfcfETTGPczwAOs8Y5oCrxIlbEF3DMdeqkXS3Xyp/gzENNZ4+DfIbLK682MUAUkNbR2DkP&#10;gGicaddFkpoNHPdnGtOKFY1bthqiayvU9x2N3TymxgD3oQ2wKnWeWkRbb3ceNKI+ojFgHICfqzG/&#10;ojFuoqyDech1aiLrRGO3rhOvym+1M40BF4GB0Rht0JicJec43+wLnchtV2Pn3jlP86tQXi/fzK5F&#10;TNDYvXeSx9QpzgBrprYzZvz4pX+A4Xh17Ru4texNnlYsJbfrP/158D/Mt+zc+etR6f1kiF9jefnV&#10;vxisFRntADnT+Af/GRFam3wlblh7gzhq1v6rgWxRsa0MYps8DScnHKEGy8hRfaRbj8ry2ut/MVBh&#10;WFJng0Wmz6INXphk53pLRHRLadfhRald+2/m5IT7Dq5UwBDAJ+OyfXTvPbVmPyuV3vpP6d23iqRa&#10;O0dgEeAf/SKWNcAAA1yn6tT9u/Qd8Ja5vOGSVTzdcXIam+Wt95Vu8ta7f5XqNf8pgwbXMaBk8tQQ&#10;ma7zWHvEjD7i41vbXJxwvPPxqykZY/tK4RRc6HAZ8teYe0p0TAfbE6BLUHATgx1YL7AD18K5Djcu&#10;1tKo2aMSFNpIx3jqtYJsHO5u6em0G2xqGgO54NSFqxxzAFagQUJiB+ne6w2pVeev0qrtMxIZ01I/&#10;620as280ThvVW3r0eldeLfcX6dj5dXNnY98u/IO7UWSM0/a2pmpMu0WcuhyNh+q+cSvy0RrT0+Cz&#10;Nyr9h2r8jqS4sMgswJQwc7QCJqM1Yp16f5M+/SuZ45LjuoVDX4BkZXnpGeku71Z9SKrV+Ic+e9QW&#10;3PeAp6bPjLRrpWf2lcF+dYS2hnXr/0MGDcF9r49BMKx3wqQAPVMD9Mx2knLl/6JxeEJ1aqxrHFiq&#10;MYALGg/wqqpn4R9Cq8rAkPp6ZjylqBj3rlDV0s9guKDgZqZx85bPC45zuflDNI+BldDYz+CaHr3f&#10;VI3/pnF4WuPQXHX1Uo1DHI3z0biv3kOqmcYdOpUzgAmNyWNHYx9z2aIVJhp37PKyOc7lTcSFDo2D&#10;tf6hcW89Ty9LxUp/0Zi9rXmNwyFtetF4qEFHQJGso3bdvxlURztT2kEWm8aBeh689LnBw3K4avW/&#10;i6dXLXPto/XkTF3P5OKhBiMN8a9rroQ4c3kPrqZjev1BY5yx4uI7yesV/iL1GjwmfgEN7fr3NQ7Q&#10;+HqIp3c1ixPuewHB9QyuLCp2XBldjYeGtpSXXvmL5s9zEhreQvXzMY2ZhzODc1jPPpVMY/InLAr3&#10;PdVY1wy0hMaj0vvqPaqmaQyQGZcAKOhXonG45TpucR07v2Yad+j8ksQlttM1+Kg2WnOmDJXsnEFa&#10;WwGTX5WKb/5FPHpWFtr04iLpnAfapKrGYU01Ds+Yxj16vyHDR+Ae5zj9MTZrnLfeD3rodf6lufw3&#10;GTCwutUG4jhztmqs1yKvfQPqmUMYbpQDB1VVLXqaxtQczsWYsV5a1ztL+Yp/0TzFRbKBnSNi7Wgc&#10;ZHDhwEHVVeOHpEHjh8U/qK5+rr9MKqk55OjoDO6XreSV1/4iTZo9q/clNB4kU2eE2bkCqATk7dW3&#10;st4f/qZ18AkDmGmRDIg6RfeVM2GIagxsWdvOAxrhEDkBjXUtaMzZAOTtrHW4Zu3/Y7AzLma4ok1B&#10;Y80tnNBGpvXR+2p521c3j0rmpMe+aUs6Vc8M9XBoZDNp1e5509ijVwVJTu2s1/J1NNZ9Z40bJMNV&#10;4zqqyztV/qr1spqMGk276WCZPpu6HmL12S+ovrkOojEwHK6H3EPIY84gGg9L7Kp16y96rUdksG99&#10;ux+QV2jjthb2GlxT6tf/p9bsh8UvsI5+jrpOPUZjf9V4gD7TtTaNGzd9Ws9hc6udjsYRpjEgb+9+&#10;b2ld/5s0bfG4hIQ30ZzzkqKpjrso+qGxz+B6pnGbtq9IdJwDCjIHgC5AIPBgl+6vq8Z/lbYdn9da&#10;10aKpzowHK9G7TqeK3tPfrDtOf/P87Lv84oa3r/jxavJcuZcnly+OdGcaz49lSRbdodIjz7Pa978&#10;U0aPbS3bdg6TC1fzrKXo+WtjZPehGJk6q5O1r+ve61HVrrVs35Es5y7ly+UbE+TUhQw5djZZPlja&#10;T9p0eFTad3pSc9tD9h5IlcvX8+Xa3Txrvbd9t9bBCc2kV//HpN/AZzUfPGTP/lFy4TJt5wCR0uTk&#10;hRTJm9RGGjf7m/Tt/6rMmjtQDh/LkCu38uTqnRw5eTFN1m3VupNeU7r0+KcMCXhd5s4bJIeOjJGL&#10;Vwvk4o1cOXI6RU5cSJa45BpSr+F/aU16RxZ9FCgnzoyVq7d1zbfG63pTZflarcnxb0nHbg9JWMS7&#10;smRZiBw9OV4uXdd5ro0XWnV+enqYDAmsIHUa/KfEDqsna9ZHypmL460t38Wb4+TQ8UR5f0lfa23a&#10;setDkpBURz5eFyunz+XqnibK+StZcvhkkuzYGyo9+74gDZs+JGkZLQWXLTS+qtpcuD5G9hyOlelz&#10;Oou373PmupWe2Uq2bk+SsxfReKKcUY2Pnk6WJSsHSrtOT0jb9k9I7sSusmv/CNMOjc9dzdDrhKt+&#10;zaX3gMelz4BnNA7dZPe+NLlwZYJcupEvJ86PUo1TpWBKe83Pv2s9eEXr5wA5dDRdrtzMN0iNFrkb&#10;t+qZyKwjXVXjwb7lNA5ecvDTTLl0rUBjisapGovhkjyittRv9F9a596SDz4MkOOn72tMi9KV6wZL&#10;TKKjcUj4W7L4oyBryXnp+kSNFxony9GzieIfUlFj9Z8SFVdXVq+L0P26GmfL4eNJ8sFH/SQ4orxp&#10;HJ9YW9Z+HGOtbk3jq2icKLsOhEvv/i9JwyZ/l5HpLcxd7PyVPLl+N9/c3/Z+Gicz5na19oldezwi&#10;ozKay5ZtiaqxngedB0e3o6eTNC+8pX3nJ6R1u8f1vtNZdu5LVe1cjTPlk316zypqKX09H9ez/rTW&#10;Bo3DvpF6rRKNz43S/EuRyTM7SdOWD2lte1GmzuwvB4+k67lzND59cZRs2qHPk1n1pGuvh8V7yCsy&#10;Y46nHDicIZeu6jzX8+TImRFy6mKKpIyqL/Ub/1WfiSrJwsW+cvTUGNP4yu3xeq0Rsmr9EIlPftc0&#10;Dg6rLIuWBMqR46qxxuoCGp9MlmPnkiQwtJLUVY0jYmrJijXhcvpCtmmMgxetfxcv0/t0ZHnp0O3v&#10;muu1ZNXaSD0z9zU+pBrv/TRK9/2y3of+JsNHNpVNW+O0juSaxjiK7fs0XmbP72btbDt3/5feuxiT&#10;qPF0ND57aYwc0ZqzasNg6dTtSWnZ5jF9xu8on+wZbntGY2rOzv16z5rcRuvEk3puntQ4dJKde1Ll&#10;/GU01ppzLl2On0+R6e/pd+3W/9R7zAt6/+krBz4dpdfRmqMan7mULps/CZGMcQ2le+9HtH69pHHo&#10;J/sPZciFaxPtekdPj9A8TtFcbyQNmvxVn4MqyoIPhmgdcDXWmnN+pKze4CuJqVV0zQ/pc2QleX9R&#10;gHyKxprHF67lmH7HzydLSERl1fi/9DmypixfFabrvK/xkVPJ8uFyTwmNqqgaPyTR8dVl5ZoIa/95&#10;+UaBQcHUk31HY2SA98sWcwDP9ZtV48u5mjeOxvuPxsvchT1M4y4eD+tzeGPZuCXB2rlevjlBzlx2&#10;NF631V/v009Ls1b/krHjO8iO3cla13Qe8vhapuZslBRO1e+k3k9p/X9S79sdrL0qGlPXT54fLcfP&#10;DZfZC3pIizYPazyflcLiXqpfmlwpo/GWnUNlbE4j09hz0Iv6bNNH9h0cLRc5D2h8dqTVnMzxTfQ5&#10;/K/6fFFe3lvgI0dOZspVreum8YU0WbvZT5JGVNM9/UP8gzUO7/tq7R97X+NTw80FLjzmHanb4L9k&#10;aHh1c548eW6cXKPm3M7WszFclqwaaO2LO3b7m0TGVtM4hGtdUo21rl+4qvXkRKIcPB6v9/vXtHb9&#10;VRKSG1k72LOXcuQ6sdK6fuBogrz3fk/xC35FY/5PrXMNZcOmeDl93jkPOH9+ejrRWoF37fGMnvOH&#10;JXNcO9m+K0k11jNOHl/PlN0Ho2XydNo3Py0evR/XZ8t2smNXqt47SzS+OFrP5nCZt6jP/wsgrqP8&#10;+tON7i4Q98XnFwzQwCEIV7ZLF46Ye1i1KuXMBQfQBycncy379QtzbKL1IUAUzj8ABKtXLZTbuOT8&#10;eM/gANxwrlw+LrQSrFm9gkFWgAw4OeGWBaRAW0MACMcJq43QXo62kJ/du2AQAvDY7Zvn5OqVEwau&#10;NG5Y1eA8XN/Miej3r+Wnn+4ZYAdsAXiBWxbA0sGDWw3aA8ACLLl29aRcunhMunVpIe3bNjSICFcm&#10;3LKAW7777pacP3PQ4Dz2DHwyZfI4OXVqn+PM9QtOTjfkysWjcuL4HqlXp7LtHWgCZ7ofzWXoK/nm&#10;62sGUQDAAdPghDV/3mS5pGMA5Zjn6y+umcbbNq+Q6lVfN5cmADXHyclxIsKNCfAIOA+4Jziwv8UB&#10;6ARd0Pjze5dM41kzJpjG7B9nMdy4cIb77dfPDTgEhBo1MtY0jo8LNCcnQMGff75nECSxvXr5hDnC&#10;NWpQxYAbXN+++vKGxQqNr185bi5NMVG4jbWWjIx4ywEAIaAmIDQcodC4Z4820q5NfVv7iWO75ftv&#10;S1zLdP84agHYAAihMXE4qXHAJQttaNV49dIxOa26N2rwrl6rrbXApS2p4+SExtcN9OHvcbkaOKCz&#10;vDe3UC7qGJzRTOMvHY1pvUgeA+gBTzmuZV/YegBvAOiAbHCDon3pso/myo0SjdnX5/cumxsaABWx&#10;AhICFER7rkN+ARwCI5GbQEJx0X4GbN7F6U/XjMbk8RXN49SUSGlQT7+PD4+QPbs2aC7glvWV5ft1&#10;vS6AHHAQGgM37d2zwQCaUo2vn5bLl47LgH6dpXXLunoG0zTfdqluuJZ9aecYOJS9kjN9e7czV7vj&#10;x3f/QeNruqdzZw5Jk8bVDN4hX4mNaazrQWPOB/kNeOfZv5PMma33Fp37e9zsXI31POzds1FqqDaM&#10;4/wAPdE6kjwmP3DfA8gDNqK15kcfzpZr104a3Mi+yFfO0KIPZqjG5cwlDR3MUUuv86tqDHAIjATE&#10;hcZRkUNk/boP9e/PmXZuHqMNbZvr1XlLADMBXr/SdZrGWnNo57lBPwfAhsZAetbeVM8bayHuN6+f&#10;sXnYT8vmtQ2kOvrpJ0KrVub5Qdd9WXOLM8ta+/Z2XN+O6rkH/kMbQCucCs+rpi2a1ZTuXVvJjGk5&#10;cv7sIXMtI49p5Qm4OP+9yZafA1TjmXqWz+lngK+YB0iUeB48sFVqVCtv7TcBrGjT+tOPn1nMv/zC&#10;cd8DzvPs31HrSU8D3YDSXI0ByKhd5Dd5TKtj3Cldp0ny+N7dC6YX7VEBHAETP9Y4AMXiykjNYTyt&#10;aWk7WqfWmwYNA7PiNIk2v2hNwbWO/AeqQ2NyfafGjvsGc5DHnEM0ptY2a1JDsrOSDSr+xvL4K1v3&#10;lUtHrOY5jm44dY6QI5/uMFAYbajrpvG5T6Vta33+7dzcQDfqOMAmeQzsTCtanCYBbAf06yjTp+XK&#10;2bMHS/P4m69uGLh6WK9fu2ZFA68BwIGyzQVRNf5a43pU3wdo9NQ8phX0Io0DcCVnjnnQmJqzZvX7&#10;VnOAebkvAQy7Gn9276K1NV67er7W1tt/uCc7r/9nII5/TH/wczjLffMAEAeEwD/YA2jUqlXL4AEX&#10;KAFuAXYAvgA+Ar4AYAHgAewBEgFcYSygB2AbsEOTJk0McAFk4PPAA4ARQFBAEIA9uLEBa+AqxOeZ&#10;B7AHkAAwoX379tK5c2cDawByAHtYD9fEtYzPAsEAsAD/AJRwLeYBmGE9gE/169c3KA5AApCB93lx&#10;HVzBgNeAGQBCuC7QCVAd2gBJ8WeAnmrVqhmUA1DiOjkxD7AIfweUA4gFZAbYw/VZM3MxBsgPYKdG&#10;jRoG3uEcBlDCnhiDxjgIAV+wHmAk4uBqjH6sxwXQGjVqZPAF0I7rqMWvXAeIw3XWIw5AJ1yLeVyN&#10;gWc6deokHTt2NJgQoMTVmJzgM0AcaIxjFnEDKHE1BphhHuLTsGFDGwPE5jo5sR50ckEZwBMAFhzJ&#10;gJiYx9UYfYD/0Ib9A8W4Tk5ci7gBwQAhoTHgCX/ms24eA1udOKHPJxqH6tWr21gXAmRPjAFwIcbE&#10;EY2JA+tDE66DfsxJbgOgNWjQwIA5t00v62HdXMdtUwkkBHzIGDePuSbaAKCx3nbt2lku8jnW4WpM&#10;7IBpgHvQD5c44sA6mAc4DB2IJ2cKQBSIB2inrMbAXeQoGuOERRzQmGsRU3IRfYCdatasaXAPa2ON&#10;rsa8D2wG+ORCm8SBvy+rMWcRYAmN0Rqg70GNyS0ALOYhDm6bWVdj5gH6A3qqV6+eAZ6cad5jHn5F&#10;ByBT9gMoSRwY4+Yxv7Iv4CNg1TZt2hiERf6zDmoOY6hBAHBoh84Ah4xxNUY/NAaEbdq0qeU710U/&#10;tEMf8oOccF3fiDsQG8AjZ9fVmNwB2qOOsjcgQP7e1Zj3ASsBedEGAI04PKgxtYDcRGNgX4BX1uBq&#10;zNpw+qPWMA/gGHFgL67GXMsF0OrWrWuuisDI5DHaMIbzDGQKxEbuEAfAQFdj4sr6OWvUkpYtW5q7&#10;G/cL9s16GEsNB6h2nfWIA7WeazEPa0djrtWiRQvTEKgS/XifeRjD+jhLvE+NIw5o4WpMvrIeAL46&#10;depYPQFQY6+cB168jxbcx9CGeuJCsa7G/B4NccJDYyA/cp8cZS1cizNGbHiPedw4sA/WTB0gVpxh&#10;4li7du3S+yL7Zh7GuG6KxIF7p7uGB1+Lli4/9t/u1806Vi+5nf/f/fAf5v2Hpkpi0mShlSEwCLAN&#10;kA9ww8SCFYKDFYABUAJuSEBNwGc4SAEYADEwBkAFuIUWocwDyODlnWQgAMAEYwADACkAGJgH6AEw&#10;CYgDcGCqOTktMogOoAeXK4A3AA2AM1yImAdoAgctgBTm4Vf+jMtQ8VTGfKy/ny+Dh4zQ9wJ1PX46&#10;X6hBKIAVOPYwF7ADMBTr4FoAM6wPaII5phSv0TGzxXPgMNXFV/cdIN09Ig2KASQpnkrLx9Wl0A66&#10;sHd0Qi8AI9ZbWIRb1hTp3SdGx6CxfgHuHWvATVmNgXYAN9gT8zAncJ6r8YSJuGXl6xrQGP0CBac6&#10;IDvAMcawLmAfV2OuBVQHxOFqDNSEOxttMFu3cTQGXkpXPf43jQ1GUo2BwtB5bNYCjU1aqcbMB3gH&#10;DILGvID5AP/QmHkAvwBVgJQcjddq/GcZ0ORqA1QD3AV04mpMHpFzZTXGOQxoxdUYoJO2p+zJ0ThG&#10;4hJoe+vEAR3Ja/6eOXi5uY7+jKHdLwBRd49wfd/RGEco3J7Kasz6cMtzNSaPAJ/IdRzJAMhoK9ul&#10;q5PHwJg+g1Mt59jPtOnrLReB6Mh1R+PAEhhpnmrsuLABYuKyhf7og358BtBoSrGjMWcDgLWsxm6u&#10;T7E4kOuzZaBXkp5LP12vr64r3PKEXGcOrofG7BWNmYc4ACe5GhdNXqW5PtUAPzdWOHwB9P1vGgMu&#10;ktvAYK7G8QkTNdcj7H00durJ1NJc55qcs7IaA3y5GjOG/ABapGUuGgNj0u7ZrSfFU9dbngH4uRpT&#10;l4CR0Iw8djQm19P1HATZehgLnAes6mpMm0/OCJ/nWowh1916gsYZmU49QWM0LFtPXI1ZP1AV+2Ee&#10;NGaf1Eb2BOzGeXbqCTXH32oC9QRwzNXYBV5djdG7rMa4GNKOmPapnAdyo28/p2YDQDKGmHGGWIOr&#10;MWujnrkaU9fJE/biaozjIvUEcIw8Zn/kG2Ncja2e6NlHY845cB7OkmU1pv009cStOfye2JTVmFwn&#10;PqbxtDUGsdEut30Hf9OYOldWY+ZibeSKqzE5xHnlTLIWNE4dMb2kntzXuGw9QWMXeC2rMQCkq/Gk&#10;whWa60UGNDo1x7l3UrPv15Pl4rabRhvWzBmzmj1p7R9guD8D4vh/npfcrv/0hy/7Zcc3ad9R4/CG&#10;tO3wqnTzqCB+gfolJdvTAVxmRUh2no+EhNIG73VzdaMFZ9DQBpKdg3tcuEydGal608KzqX4BrCA4&#10;unn0elNCI5qJ46gVIcUzwiVjrKfQKq9jp1d1389Lj14VJCqmheQXDJYZsyN17xFacwZo7a+nsXrd&#10;HLVwjYqJpxWo4/Y0eWqYpKb10rpUXa/zkr6e1xytZMDXpMn+5k5VVExb8p764FhNvyiVMyeifp5V&#10;DG4omhJo1yqcHCwJyV30PLylef6i1soXZaD3uzIirZvWv2AbU1AYLLHxnfXh8R1dTznp3O118R5c&#10;09yeAFxYz8RJARIV21a693jD3Ng6dXlJBvvWkNFjcY8LtfXkTwiQ8Mi2+gXxTd33q9JVNQasGTOu&#10;n+CIh8bj84fI0LDmJRrjQveqBIXUl3E5nvo+oFGk1o3BEhDUTHNcNW7/qnTv+YaBPoAyM3QMLk1j&#10;sgYKbTU7dlaN2zsah0c1N4iI9RarxqMzPPU81JcOpvGr0rPvWxId18bgFcZMUY1HpvfWM1tD960a&#10;t39B+vR7U+IT20pBkaMxACSOgv36axxM49cE16jElC4GEzIG5zjAGWLYtkRjT693DPgCFGTMpMIQ&#10;vd920S+9qnG716ST7n+gTw29Pu0EQ2w9BYWBEhPXXu/fqrHuqWPnl8VnSHVJz9QxaDwLt6wAiYhq&#10;pw/ElVTj14R2mABiGVl9SzSO1Fz0NXirS4nGOHMFAnyNxz2OXI+SceMHa+3XXO9csUTjihIc2sRA&#10;TtN4ZoSMHYczXANHY8tjnCKaqsYaB80bANKMzIF6f21gGrdTjQGXomJbWxtHzgMa02aTVo2Oxs+r&#10;Tm9I3LA2qrHmOhBWcZikjOA/ltSQDu3LSQfVuK9qnJDUSfM3wMYUTVWNU7prfKpYHjsOc28Z8DW5&#10;2NG4sChEY9dNa867ei1HYy/v6jJiVA9dh6txkJ6zDuZERktSc/FD44yepbmePzFQIqNxj6ukMX9V&#10;uqjGgI60Ip02I9Q0BpgLiwA4Lm8ad+3+iuZsXcnK7q8ah8k0HZOdM1hrf0t95lCNtVbQHjZoaGNz&#10;0SIOaEwLXNrVdtI9M49Hz9c1dk00hhqH2Y4rV+YYL/3i3FDzqry015rSq09liYhppevEjVI1no77&#10;Xj89s7VUl5ftPPTqU1FiE1obDId+xCF1JC6INVU/1biTatz/HdW4o0wi13W9RVOGSnJqd/37qrpe&#10;V+O3ZXhqZ32vROPJQ7UG4dBXxcnjLuUMenPcKIFMVeOiIL12R80XzdESjQEX00b3UI01DjrPhIIg&#10;rYkdVOPKqvFrprGPbx0ZbW6UjsbAXOFRrVXbCpZ/tCf1C6ijNVvrSYnG43O1noS21C+a5PFr0k01&#10;DghppPXErdlo7C2BIU10rWj8nMbhNRka3tjRWPWjrmeO9dbny8bSUTUmVj1w6ItuYeCnjZkWLqMy&#10;+2qu1NYYOBrjfhYTrxpTT0zjCL2/9pWBnnWkfYnGfVTjuGEdnHqCxsU4HHpoDdE85jyoxjjMJQ/v&#10;VFKzta6rxonJHtK7jMYAsoCyrsY4gsYldtJcr2w1h/a4Xj5VtZ54lGo8cVKQRMd21Puraqza0GaX&#10;9Y/K7F1STxyNI6JbaxwqOLVCNfb1ryWZJTWbMTl5fvq83lo11ntnu1fs3ukf3FCyzPHT0XhcziCt&#10;441trdSubj3Kac2m7a2XatdfXw4Q16R9p8Nl78kPAnF/1p5lSHivfldvpsjtz6bL1dtFsu2TOL2P&#10;tNH4vC3hMe9KWmYz+WhFoJw5n2NjLl2fZK5XmeMby9BIPU+R5SV9bCNZuTZYzl/Ol7ufT5cLV/Nl&#10;1bqhkj6miYRFVZbI2CqSldNG1m2IlItXJ8qdL2bI2Ut5snSVv4wYXVuCw3HSeUPGT2wlG7fF6DUK&#10;dMx0g3MWLR0sKWl19Tpa+xKqy8SiLrJ9V6JcuVEkdz6fIcfPZMm8DwboPaOazRMZX0kKpwEsDZfr&#10;t6bYmo+czJBZ7/WV+OTqOs9bEpdUS6bO6iP7Do2UG3emyK170+TgkTQpntVNYhLesnnikqqY09nB&#10;o6Pl5p1pcvPeVNl7KFUKi7uaQ1pY9DuSNLKezHvfW46eHGtzXL9TrNdNsnavEbof5hk+oqa8v8Rb&#10;Tug6b5nGk2XrrnjJmdDWII6waH1eyGhiLkNnzo239V6+MUk2bI2UMTlNVb/yMjSivIwa00CWrwlU&#10;3fLltu774rUCWbs+TJ8RGPO2o/H41rJmQ4Scv5Jv+p3TeCxfEyAjM+pJiGlcUbLzW+jcUQZGMebM&#10;xRxZsmyIpI6qp/GsbEBO/qTOBkBevVFoGp84O04WLPKUxNTquqfXJCK2shQUd5JP9ibJ1Zuqscb8&#10;2KlMmTO/vz4P1XQ0TqwlxTN7y96DqXINjT9TjY+PkmmzPSRmmKNxbOK7Mv29XnLgyCi5cXuqabzv&#10;8EgpmkYc0PhtjWs9mbtwoMFIrsa79idrHrQ3wIV5klNryMIPveT46SzT75pqvGN3guRMJA6Oxqmj&#10;G8viZX5yukTjK7q3jduiJSu3me67vIToKy2zvixbHWC5yZ7IQ9zHMrJaqMZv6fWqSGZ2K1m9LswA&#10;IfQDeFuxLkg/i8av67Uqyri85ua+R4yY5+ylXPlopZ+MSK9vsYqKryZ5BZ1k8/Y4uXwdjafLyXPZ&#10;toekEWhcTq9VSQqmdJAdexJV4yK5rdc6dnqMzF0wwNwUQ3U9sUk19f7UQ/bsH6G5Xmz7OnQiw1rY&#10;xg172+aJGfaOTJvbU/Z/muZorHHY/+lI/Vx3fa+qrWdYSl2Nnad8eixDYzBNz8RU2X0gxa4ficYR&#10;r+uY6nrOPDXObq5PMfdFnPIiYlVjrRUp6Y1k0Ue+cvJstpPruu7NO2L02V/1i6xoLW9HZtSVJat8&#10;5fTFXNOGXF+/GYe+5iUavyuZWS3NafKcxuGOznNBa8bK9cF2BhyNK8gYjRuxoZ7c/nymjV22KlBG&#10;jm6o82itUI1zJnaUTdtirWYRq1Pnx8sHHw2S5JE1TZvIuEqSX9RWtu1KsHpy+/NpBsjO+8BL8662&#10;5XHMsJoyeZqH7NqXItc1r9D48IlMc+SLT3qnVOOps3pY7qKx5foxrSczPCS2ROOE4XXNBfEw9eSu&#10;anx3qrVUnlTc0daBNomp1cz5rzTX72qu70vWZ+qOpjH1IjWtoXzw4RBd5zgd42i8ZSc1u6XlHvOM&#10;GF1HPlw+xPaLxlduaq5v1VzPaWmtWCNiqmjdaCE4TQIwuxqv3hCqtbyhzREaVUFzvYnWk6H63gSb&#10;x+rJas31jEaOxnFVZfyE9lpPtGZfU411zOkLOVqzfWT4KEdjzmheYRvZ8km8nblbWvtPnsuSBYu9&#10;9dyicWU96zX0GbS7tUg2jTUOR06Nsfobn1zF5olOeFvrSTdrjXr9drFpfPh4utaTXlprqpnG8cl1&#10;ZMacfgaZ3lR9ee07PELn7qz5UFnvma9rHKrKnIX95PDJTNP4BhofGC4TJ3fSe8e7qs87mh8NzKHv&#10;+GnVWLW5dmuyOTTm6P0p3DQup/WytixaNtjgRlfjzdtjZFwuY942jdPHNJflK4PlLLmu81APPt4U&#10;pro2cjSOrKC1pZHWkxCrI8xj9UTvpWmZje08lNy6S38e/N7N69SpvZ4uEPfbr467DYDLlk3LrdUg&#10;rlI44cyZVWBOSIKDkHwr93AQWvOBQVO4/4zAiWhuobkM4SLGGACAFcvmSXpanM4z1HEiWjRTrl05&#10;qe/jqMU/lp40sANnL2A5rrVs6VwDJXD9+ffvXxuItGDeFBmREmVwCy0faUEJKMN6ASfO6NpmTc81&#10;1yjWAwy3ccNHJS5D35mrEU5UOMwxR0pyhEFEgFKuMxygDK0QCyakmwsRL9pe7jEHoZu2J4Cbg/s3&#10;yYS8dL1WqEF8RZPGWuvKn38scRD67pZ8smONZGclGdQELEIr1WPmMuS47wG44CIFdML7aDR75kQ5&#10;e3q/ARxcC3Bk3ceLza2MPaHRe3MK5Py5QwYBWhzu4Ja1wHRD48zRw0xPwDZzwtIXYNeHi2eYi19M&#10;VIDFDNctgBWcvXCeAih5f8FU0xh3JdaFWxbzuxqfPasaz8o3wIVYZY1JNBjJcehTjXUMYM+04lxJ&#10;MY3DTWNrBWqub98LTlbALIUFGaYv+uTljDAY6TtX458+U423ysT80aYxa6J1JC5lgErMA1S3a+fH&#10;Mn5ccqnGk4vG2tw/lzj0AS7u2Lba8sXROFZmTs/XNe4rdbkiPzasX2L6uRrPmTVBaLP4W0musz+0&#10;ALBCY379YOE01eyo6ofb2Ddy8+YZ+WjJLNU40uYhLwxG0vz+t87huGWdlEXvT9ezEl2q8aoVDihj&#10;+un1iO17cyba+8zDmfl47aKSXP/OcgOwZ+b0CZbD5DKtfLduXlHi+vadgWNHj3xi8BnAFzrnjk81&#10;GMnNdaDWTw9tl0kTMvRaYTJSz++kiZlyYB/OcI6zHoDPnt3rJGdcqq3FHOYKxxgwhGucxeGbWwZC&#10;0eoWjcktWgID0QHCsR5gOM5i5uh4yxucuQDvzmiuO25Z3xoMhwMe+etqTCtVwCJcu9Dv9q2zBp+x&#10;Vlzf+HXRB9Mcp0lzfdM4XNNc1xozUjUmd6hh1CBz1kM/PTcXLh6Ree8V6jpCbT24dxFfwEVnzFdW&#10;6wBMgbhYLxpv3ui0b3Y0/kKOH9tt8Bkak4MAczvI9a+dXAdAw5GM3CWeOBzSnhOA9PvvHP0AvnAo&#10;y9EzwBxoDBxKu1DHBVHj8N1tA9RyskeYxmkjYvSM5QiQKQAW6+GamzctM42JFWvGTRGQ18n1703j&#10;DeuWSGZGol0HcHPe3CJzfTO3Nq0FuBSuWD7PAEFH40iDwq7gIllSs6nNwIysg/WgMYAdYDOxxC3x&#10;8qWjWrMn2zocjeOFNriuCyIaAwXSZpQzM1xzkP0B0Dmubzh80U6Pmp1tGrMvADyAasA0rkUccGaj&#10;BpPHxIu64bi+4aynGms92Kea066bs8BcQLr7zeGwZAy5vmu9xdnVmHsFkClxZM3f6jW3blmhZzLB&#10;1kJMcfED5HWcJr+3/GAPtMxNsntnvJ7nQturqzF5tkq1GDUyWnO80O699Vp2/KrsfRl4veS2/T/+&#10;/BkQxz3+wX+IB5rAvYp/+AeIALQAPMB5CpAD2AGgBPgCEAmwAqck4AsccoAHgIEAe5iDuQBvAD8A&#10;KlwHIQAw4CzmcN2KAOiAiBgDRADABOTFPAAIzAk4wzoZw3zAGbj5AOy4bk9cn3UwBrCC9QEnMA/w&#10;DjAXEAz7YV9AE8BnQCfADFwLqA4IB5ABZx8gLMAixnCdESNGGNAB8IN7EFAJvwfs4POsB9DFhcJc&#10;lyEAIoAm4CHW4zo5sQbWAsQBYAIwxXXQh/0BY7gaA2AAXgCaoC8vwBGcnADmGAM0AoxBe1jm4MUY&#10;NEVbxgDBACfx967GAC67du2yz7saA/SRC+yJuHNdYCRXY64JiEQuMA/QE2Ac+2A/7IscAlZBEzRm&#10;zbg9AYW5cQAoAZBjDHvnV5ycAGXQF2cpwBXAGFdjgC0AE/7e1RhohjgABrEe1gX4BijDdYgpgA7g&#10;H9dhHkBIgCUAF9ctywV7WCvwIrlIvrkas3/yERiTHEZjxpDrbh67uU4cuBZzARYCN/IeY4CI+AwQ&#10;G3OgMWPK5jrXBLQkX1yNAeZwfSMf2BdrJ5eAf1yNiUPZXEcDNGYMe0JjFzRyNQb+QXf0Yx7ODMCX&#10;m+uM4fdAY6yDfaEfZ4gYch2ux/lhja7GnEG3nrgau7lOPFkPoBu5xLll3+wfKAs9gHTRhzEAS+Qm&#10;1yJX0RP4zM1jICngRnIchzVyHjCKz7IW5mIMuc4YNw5urjMP+yf+nDVXY84gQBXnH21YM3tkH67G&#10;bq6jMfNQMwAmAc7cekJNQFP0Yx5+JQ4P5jpx4D3mQT9iRy3ifcYxJzHmffbFush16gnXKZvrZTUG&#10;bgT4Yt/kMXWfs48u5DK5iBZurhOHPSXtYZmDuch76seDNRtQkDgxFzF5MNepU6zB1RgosWzNZl3U&#10;bAA1tGEcOQLMSM6wLzfX2S/vUwf+rGZTG8hftOFa5OyDuU4dZwz74pplazZzAbFRq3jf1ZhcB6Tj&#10;OszFGSMP0IX1oN+f1WzuYejCPOQZuv7Za+2GTX/4b+y8/v8G4pjAJzDJIAQcj3B1A6rAXQfAAAAD&#10;dynABv4RH4ccnHKAdgB7gAeAPIBPAEwADMpXaG5uRcNTphvMA+jBOH4FMAAMcJ2wAFW4FtAA8wAh&#10;4FYE0PP8C/UEiAO4ASACCAmAA6gBAAdAgXkAhQBKgCmAEJgHGIQxtMJ76uma4jkQBzBc3pjHWQ/7&#10;A6TApYl9AVixd/6edTAP1wS4Yc/Mw3hafJpbkc7BCzAJcAzXH9zGHHhqqq0TXXgxJ5rh0PTyK40M&#10;hLuv8VK7DuvzHJhk2uHSBFACPMOeXY0BpQZ4DjN3L5yIAFe4vjsPGqMfe8FBDScsoB0+52rDPIBP&#10;QCIvvNjAgBGugzasmesxD+AHQAkaA6gAlHCt+xoD8E22OKAN+wZEYh4+zzzASMA0TZt52XqIveOo&#10;tahU4wmaYzh64eLHPIA1aPGgxrjvoQv6kGdozL4Bd5gHhzziQCxffKmBxr/Q9p2d48yDxuQowBJO&#10;WMQLiIz84j3mYC7iQhxwAsQREI3JLRypymoMBMO1yB+gHeZ2Y1Woe0NTjx4R8tLLDc2l6n/SGG3R&#10;mFxHK66PtoA9aARc07adnzzzbE0DoNAYbVyN0YDYuBoTV3Kfa7kac744IzjUPfV0DcsJ3MeYh/PA&#10;/hnPPly3MYAs11HL1Rinx6DgTHv/hRfrGehjGms8XY35s9N2tIe5SAK8km+uxuQfenp5J5v7WaXK&#10;bS2W/F3ZefgMABJ7whGQ+JfVGDgPkBKQ6dXXGlsc+IyTf/c1Bs6jRqAx+cwZ5lpo4mrMPoHynnm2&#10;ts1XtuawHjRAP+LIeoCwXNey0jzW6wGr0qr3yadqWC5SI9085n1+j/auxi48RU64GufommnBWrNW&#10;D3nu+ToGaZXVmBd/JnfR2HWRJL/Yr6sx7p5oj/vZG2+2suu4GrMW9sZnyCnymNxgzZy9CSX1mDWx&#10;B2Bp3PdYNxpzHlmzGyvm7tTZcZGkngC83q/rOMittBgTh2efq205el9jJ4+ZD/iS+wIaA9eRX2Vr&#10;jguXketo7N6H7mu81H5PDXEd3dgfOcC+0QXXNtbMGPKTmHNd1ltWY/5MDUZfXtQN9l5WY65FHN5+&#10;p4Pd97iOO4+bf+yTesVaqHFAxayZvRQWrSsF4dyXx4DQj/94o//fgTj+X2xlxzdo3VYqVfovadLk&#10;aRmf10/GZveVycWB+sAXrOsZrHnbwSCGGrX+JrQUjUugBepAmTbDcT3KnxCoGnfWul5O3njjPzRW&#10;FSUnv7++PGXKtCCdK0jn9JahYS2kZavnVZuHhLZ8ySkdZeIkQK0woaXj+Bw/1bi1xuFZnee/DPLI&#10;zu0n+RMHSfG0YHP3MajOt4Hq8rjUa/CwePtU0TPdVQon07ovXMeFyZisQapxY6lR4zGp9ObfVOO2&#10;ev3eMrEQh7QQc91KG9VH74vVdS3/1DrwuPgHAvbQetPfwJ2iKaGSlj5A41Bbqrz7kFSt+pC+30PG&#10;jOut1/KTqdNDNOf9tNZ7SI9elVWbv5sDVVhUY40xLQtxAYvQsx6sY3qpJm9L5cr/Rxo2fFLG5/aV&#10;seP7SlFxgK0Hl6HY+E7SsdPrpjFOWLEJuMehcbCj8cQAjUMXadP2ddO4c5fXVd8Bkp2nGk91NM4e&#10;7621qqWepxeklmpMS9uk4R10nbSiDdWXapzrK0ND20jjxs/rPP+p+VrTNM6biONdsMEnQHX+AQ31&#10;fD+h98+HxRNQML2L6jbEQA9zj8vy0c82kdq1HjeNY+Nb6576qMY4pGmsVGNcB728auiZ+afWuMfF&#10;L6i21iFab6JxuP6qX5rTPfU5oI5q/A99nnxI0jM8VONeMmmKo/FE1ThlRA/Nl7e1vv3dnNRCwxtp&#10;HaCVaqBpYxqn9hYPj3dN43r1H9c9ORoXTvE3jfNU4/iEzqpbea2jfxOcsKLjWqj2nqqL0woUGCk+&#10;oZu0a1fBNG7f4RXL43F5uE8FypTiYANcwiNba66/qLX0IWsFmji8nX65VI1nOhrn5PppHNpL06Yv&#10;SoUK/yEDvappnPqXajx5cqDqN1DvT41Vlyelbv1/Wrvf1DTam6JxqGmcle2jZ7+Z1KnzhK7n/2hd&#10;b6F/11fPTInGk4OsPebAQbX12eQRadTkMYN2RquGRaofeYzG6aMHiqdnXc3hf8q77/5d0kZ3tzye&#10;NAX3LtV4kr+kjuypde9dy2Mc3ULCcI8ro3HRUI1DH73XVZW33vqrnptHVIs+MkbHFKnGaIiLZMIw&#10;6nAF05gWnNFxzVUPWqkC3kVoPAN1THfp0KGivPnmf2o+v6T3L9U4t78Uo7HWnPGqcURUW33vZdO4&#10;m8frMiy5nZ4BgLlQa7+Zm+enzz4dpFmzl+WNiv+hZ7mK1q7+kqtnhrOHSxotRwODmuj5fso0BhRM&#10;ScNNEVfGMIO5gEz9A1pI3bpPmcbhkU0lS/N4gtalqdMdjdMz+mudqeNo3PhRGexXU3XvXqJxuOZF&#10;qGRkeMlA73pSrdq/5J23/y4jR3VRbVTjItWYWqEa48jYt28VzeOHzNEtOKyB5kFvyy00LpwconHo&#10;p/fOavLOW3/Tcf/StWgeq8aFei00zFeNcUfr2u0N0xgALSq2mWrW39ZrGk8K1jEeWk/e1Lr+n9JK&#10;a24ueawaT9ZrUdezc30kMrqdgVy1av9dunQvJwlJbfUMeOlacHdUjfMD9Dmxo95fX5GKqnGfvm//&#10;QeMpWo8BF4OCm+r9Ffe9f0qfAZVk+AhHY+o6LnTZ430lMLCl1Kv3tGkcGqbnV/eVX4DTX7BqpHU9&#10;Y4DW7Lp6dh+VBqqxj2811R2NcVpTjaeG65ddL31uqS/Vqz+szyh/l5SRnayuF+iZoVbg1DkiDUi3&#10;qu7pH5obqnFoPa3btK0OKNV4RFp/zfXqGqe/qYb/tDkyqevFTs3BGTUpqZt+93jTNMYNNTKmqYwb&#10;/0eNE5N66DNMJdO4WfNnrVZkje8nk/XMoHGOahwT296A2Fpa1zt3e1XiE9toDB2N/3cgrsOWktu1&#10;/fwZEBed1N/v2u1UuXqrQA4D08wZoHXyJc3l/zDo49OTqXLiXKY58py/PEn2HsjU+tzdXLB69Xtc&#10;cie1lO17aL05Vq7emShXdNyeAyO0TnWR1m0f0XU/LotX+MjR0yPl9IUsg1POXSqQbZ+kaP63lK4e&#10;/xLvIS/I1NldZM+heGund/3OJB03QbZ+kiAjR+u5qv9/xGdIRfl4U4jOM0rOXc6WKzcmyZkLE2Xt&#10;hli9z9WWTl3/ISHhFWTBh33l0PFkuXQjR67d1mtdzpM16yIlOraOvFv1LzJseD3ZsTtajp5KlwtX&#10;8uTStUI5eSrfnOACQ97UZ5OHzFlr2erBcuzMSLl8K9/mOXU+WxYv9Re/wMr63PUXa4O373CiHDs9&#10;Wi7qWgFCjhzLljnzfWTQ4Ff0LPzDIClaPJ66MFqu3p4gV28WqJ5jZPbcgdKn/ytSs85frIXr4RMp&#10;cuJshlzG9Ug13ncwQ+uqnvP+T0vPvo/J+AktZNtuWm/itIZzXoHsPTxS8jUO7To8rjXuEVm01Fv3&#10;9EeNt+9M1bxto7XvMfHyeVaKZ3ZUjePkvGlcoBpNNPBt9Bg9Vw3/JgO8y8majcE6zyi91n2N122M&#10;t/aenbr+U4LCysn8Rb3l4LH7GgNCrt0Qpc903B/+YvHYuivSYnX+Ci5MhXLqdL4sXRGq94S3pGPn&#10;hyQ28R1ZumqQuXHhkHbtto65MF6WLA+UgOC3TeNxOa1l76FhcvRMuuXDxauq8fHxMm/hYNX4Nems&#10;GgNY0er15IV0zeEJtp4jp8ZqHLy1VuvzZs2/yNSZPeTwyeH3Nb4ySfYfytQ61lv6DnhWn70elez8&#10;5rJtV7icvjzG8hiN932aJgWTe+hz61Nav/4pC5d4yRFd76kLjkPVuUuTNJdG6NlvJ917Pqb6PSNF&#10;0zpY69Lz18Y5Guu47buTJCOrjbnU9R3wiqxaF6R5kyZnL2XreibJ2YsFsn5TgiSm1Nc9PSwBIa/J&#10;3IW95MDRJM0tHKpUY83VdZujNQ4NpGqNv0hkbA1rp+tonOtofGaCLFsZLkPD3zGNoxLekiUrvW3N&#10;l2/mqTYFcub8ePloRbB+13vXNB6T3VL2HEyQY3oeLl3PN42PnsiR+R/46j2qnHTWc5UyqrbmRYA5&#10;CaLx1VuTzPXvvYU+4un1ulSt/hetV93k0Inhclw1NveuK4Vy4HCWOYP183xO9fmXjM1pIlt20noT&#10;pzWtFTcnGrw0ubiX5tbT0qT5Q7Jg8QCrFafOj9E9Fch51XjnnjTNhQ7i0etx6e/1tEwqbmftQc+p&#10;xlctjyfIJ3uH617aSZNm/9Bn1hdk5cf+Ns+ZS+N078552LA5UZ/xGuvZfFifI1+V2fN7yv4jiVpz&#10;NI9VY0DeDVti9VmsoX5v+g9rA715h6MxjnfE6vTZCbJ8TaSER1UxZ8LIuLdk8bKBmnOppvF1zb8z&#10;l3Jk+eoQzfWq8vbbf5H0sc11vfEa81F2DTQ+djJHFi7yV41fl45d/iHD02rKmvX+5iR4RWsO8wD7&#10;zv9gsJ7d8vJutb9I4dSuclBr2/Ezo53zoBof/HSsPjMOkP4Dn5duPR+WMeMby6YdoeZs6Gp8SDUm&#10;Dl09ntVnj79ay9Yjp0ZoPMdYrKjru/aO0ntPZ/Ho84T0GfiUFExpKzv3R8u5q1mmMc5lAGtZuR31&#10;ueOfeq3ntEb6qTZpcuaiakzN0TzetDVJn0GbmMaDA1+SWfO6y74jw+TCDdwdVeNrE2TjtjhJ1jjU&#10;qP0fEjT0Hf1zqJ5xN49Vv3MTZdXaKImIrmbaRMS8qfXNU89wily6iSue5vHFXFmxZqiERVaXt9/9&#10;i37PaqLrjbNYoTF1/fipXHNG9AusYC5+ySNqWHvu4+fSrK5fVY1PnM2SBYuG6LPCG/JOlb8YGHfg&#10;WJLWfs4DjpWFql+2zJzjpd9hXjJ3zMzshrpmWoNnOHWde+fx0RqHfvps+4K5Ws5Z0E9rvWqs905q&#10;zvlLhbJ7X7reF7tKr75Pav1/Qut3a83baDlrGlNzJmqepOq9pbN+R3lYz96T/90h7oHv3bzOXjgS&#10;4gJx//4d94tbBloAD7RtU188urU00OH6lRMGZgAHfPX5ZQMMACp6erQy4AEnpxvXThrwBeyAc9u+&#10;PRsMZmrS6F2DK27fOu+4n/14z8Coe3fPmUtZQmyAzQOwBFwDMADUg7sZDlybNiw1l6LaNd+U6cU5&#10;cuvGacc16ifHPQ6wa9nS98zZC7cxnLBwo8IxCSgH+MeFOHy8PaRWjQoGEAGBARGZy9D3tw3iAOrD&#10;aQzHMZzHTp1wHLUAd2iFioPQ3NkF5qbVsP7bcu7MQQP2cNtiHtyeTp7ca1AL7kr+vn1LWg0ecuCL&#10;f39trlEAQ0AZHdo1lK6dm9mecCJyNQYiOrB/s4zNTDBtcH3DmQ23J5za0BgIBvc4XN+aNakm4aE+&#10;cuf2edsrujAPLntAHEAgzAOoBaCGm9lvGgNgGcA7AEiuUbf2mwar3dI4AcMxB/tmfbSpDA4aYE51&#10;uALiqgZQBgwCmEJsAZZwYELj9R9/aHsCEmGeH7+/5YAy7xWZwxUtEgGjTh7fZY5aODDhTEYLV+LQ&#10;u2c7qV/3LTmleqJ7WY1xjgMyRGNaJOJIRjtCa4+o2vArLWWJQ6cOjU3nm7oHYo4zlavxoUPbhFag&#10;PXs4bVABo3B7Ys+Oxjfk8IEtluvNm9YQ3J4e1Bhgbvu2VZI8bKhpDJRDW00ALvLYdaHbvmWlnZW6&#10;tSsLLleuxuQx54ZztmblQmvriusggBXxxbUMjXFJAygiDn6+vVXjigbWcO6AiCyPf8At65i8P3+K&#10;+Hh1N40Bo3ArBCKyPNbrAZEBLOGIV69OJYOK/pDHOGqd3m9OWLjL4V646P1pBooBh6IN1zp3Zr9M&#10;LhwrXTo1kbat68r1aydM4x++xS1La4VqjOMXIBMuYbh8AUaxRmst/PvXBi4C543NHCYtm9ey/Llz&#10;+4LjMGfOZp+ZBkCmKUlhpjEwEmAUmv1iGn9lGuzctlpzPVDq16tsMOFt1cucuUzjz3Tes4IjWliY&#10;t+UOsadOff7ZRSePNZ6Mx9EL90I0pm7geghQxvucY3Jk8cLp5uiGa54Br0c+sda78m+c/j43GBJH&#10;sv59O0mdWm8YNIvG7BcXTrQ+p3UBqIq6xVzAZ0CxprHGCjgRmGrqlHFWJ1o2rylXrxyzeagVaIxT&#10;GgAk0CMa006VdtPmWAlUp7HiWkcO77D9tm5ZW7w8u2p+nrN9cR7Q54vPLxqYCmiIxkBzOE1y9qnX&#10;jgvdVdn1yRqDxqh/I7We3Fa9zDm0VONzdj+I0vOEix9xoB03rW5//c2pFTj9EYfgQE+t628YjHtL&#10;431f4ztW64BKcbpDQ/KMXPrqyyu2FjRm/Ys1L3FzQ2NcCnGW/ObL6zYPOuLORxvl/n07mMbkPbUB&#10;9z3mwekPV0Ti0L1rC62l1bVOHbGa42iMC+JVOX5sl90XcanDDRXXOhwrTWOt6wC9nKOc7BRp06qu&#10;9NWYUgM4nzaPrudLzWNgPVwf0fiDBZPt3vvfgbiOeSW37f/1p+xnnNd/B+KAPXDbAVYD7ACgAVTg&#10;PSAY4AHcxnBhAnwAkgBgAFTgBcQBdIBTFg5C/B54oaxbEYAGEAStI3Fq4vfADoAVwAVcC8AA8Io5&#10;uJbrsgagwTyAFUAUZZ2w3FZ5wBeADFwLcAsgynUQAkoA2uE99gV4A4gHLIEDHbACYBT7YB3MwzUB&#10;PQCMcC0DZkML12WIeVgbEAegA/MAaADtcC3WCyyDDuiLWxSuUcBTfM7VGLCH6wJxsB/2xf527dpl&#10;GrMW5gLiAKbBvQoXK0CQBzVGByAY1wkLEIO9oxsacz3GABDipoVDmtuO1dWYeADKEGdigBMW8QRi&#10;K+t6RBwAXHDfYwwAE/tmDNdhPuAkNEEbNAJmcR21mIdrAdcQBzQGPgEeRGPG8EInoDBgG+YBFAKu&#10;YQzrZR40YB+4F+J+BnTC51iPqzH64RBIPrBvIDOgHTR08xggBjAG7Ro3bmzQEXMzhmuxbxdGwgmL&#10;XAYoQi9ALdbC9RgDzNO2bVtz4CO3OFdlNSYuAKE4YXG2iKfrWsY8rJl5yZeGDRuaWxawI/tyNSaP&#10;Ae8A3Fy3MaCdshozln0CaKEx4B2wj6sx87A2zhrv4RZIrgMBMob3mYdcJA5cA40BNtHX1ZgzgX5c&#10;H7cxNAaYIwfKagywhNMkLpI4HAKf8T5rcDVmfQCkjCHfAbI402hMHjOOPCEOHTp0sBcwGnOgCe+z&#10;b+oLcBZ1CUdKACfqEBozD/sHgKTusRauh57siRgxDzFDd9dtDGc9ADXXtYx5GMt5JQ5oA1zGOWOv&#10;rsbsEQASUJCcoK4AATLG1Zi1Ewc+T6zQjxi4cUBjxnOOcLNkPQBznCH27mrM+okDe+Z8UlN539WY&#10;NbF+gD3cNdEHeJMzzH5ZC+MYQxw4dzgcsm/24WqMjsCZxAf3OFw4AY8BBdHfreuMYX7X4ZDaS81B&#10;N9ZLXLmnsBfyBic1csR1/GQe5mMMYBoak4ecF7RhHayHs4qDG3AaGvMr9Zm8ZB3UY/ZHjSYOaExc&#10;eb+sxvweiJN1sHeuCVjJmlkv8/B7co5W3DgcogF/x8vVmHMI8MjZ5Zxz3l3g9c9eO3fv2//g/RqD&#10;t5Jb+f/dD33TO3T3M1AB2AEoAlgA1x/+wR8QBFjAcdLxM8AKSAVICEgBRx7+0R8Ah5Z+QD1AYQBt&#10;gCI45ABVADUASfBZXHJ4ARgABvA+YApwAdBJ7z6OI4/bes51D2I+YA2gHYAKwAnGAXEAejCOF7AI&#10;oB1QGGOAmgCPHBenjw1UAGxgbqALIBegJEAZoAzGsCbAI+AF4BcADGAPYAfeB4hgHtpW0gYP/RjD&#10;vtECoIJxQA+0aAVM6dAxxIAIdAYydDXmmkAeaAyww3rcFoquxsSEPeDehMYAGlzT1dgBYBbaHgBA&#10;0JdYsTb2wX6YB1CDeDoa+9megGlwTHI1BjoC2gFeQz8AF9cZztUY973gkCxbJ2MAQtgD77n7BrYB&#10;WHE1Zt3kADnlAiWOxqNLNSbmXL+sxsBK5AoudowBvHHcshyN0QhADTClU2f9YqEaA7qgK3tiHnKU&#10;zwDtsQ7WA/jkOjkxD/MBROKi5mrMr2jixgqAB2jNdeZi724LRVdj58xMkD59401j4B4AO9bxv2mM&#10;VuTXfY1pizvO1unmMefD1Zh5uC6xcTUmf2hTyRoYx5o5M5yRrt3CTT/AVz5XVmNgJfIAjZmHX4kn&#10;eedey9F4pOU4dQIY6880dnOUeTiDQELkA/M4Z2ayAaqcOeLE3okBGqMhdQDAz3XmYu/EjXxyNea6&#10;0TGcGceVEY0B+FyNGUcdAHpy6wBngjPP36ML+jh1aXxpXUJjcvTPNCZHXY2Zl3VyPV5oDLBHXWIM&#10;GrNe5mAu9k8eozH6uRpzFstqPGLkDBk8JK1UY2opZ9bVmLHUFzRGP+JJDj2oMXntONUFGkRKLeB9&#10;N4+Zk1xCY7euU3+oi6zD1dipS45jIEAX5x1tXY3JV/KtrMbUOvLb1RgomjPjaow26Md7zEPsqQPk&#10;qKsf16OGc95cjZmT2s9+WS+xIifLakzNpA7gVMk81Ej2+UeNZ5bWfheGJpZlNabWcmZdjVkXtQFt&#10;mceN50AvnOqceydzldXYgSjzLS9djdGbNbsaT5iw6g8wHK/eAyMecIjr+N/+Y3zZnwf/w3z9VgBS&#10;L+h1q8n892nzRgtA2gj21y9BTfSL25vSts3L0qETrmUNZXwujlrBBmjQ1nJoaAuN5zsaq9dsnpCh&#10;TXWeKN1XkMEeo0b31vNQX89DBT2fL5qzUWRMc8kvwIloqME9GZl9NZ6NdMxbGoeX9eHuJdW9u8yd&#10;F6bXAUzxVx26aa7U0nPwukFftGRMTG5vENHM2UM1poH6cKVfgAbX1br+pgFJLVqUkwkFPjJjdojN&#10;M3HSEI1LB/3CVU0f9MvZemh1OiK9mwBqsR6coYYldtZ44t5VUdfygrRvX0FmzRmqc9CeM1hy8wfp&#10;Fxxaob+jtesVPeMv6XX1y+K43rrvQJ0nRPImDjEgAl0B2dCmd58qMn8hGtNyD6BkgOnl0QNns5cF&#10;xzZcy7JLNQ61Fn2hYS21rr+j+3Y0Bqaa/35kqca00PQPaKD6VbQ9de5WXsKjVeOJ3jJL986aM8f0&#10;08810TGVpUWJxsmpXVRj3OWCNQdV4xHddB+19TyUl9atXxRai8YntdOzO9jRWK+VmtZTa049HeNo&#10;3Lz5a5I3QWM5x9G4YBLQTkfVr3qpxrjHpaZ1lSnT/G0e4pmY1FXPA/GsKI2bvKj7L6/vsef7GkdH&#10;t1HN3jWNgae8fapLxlgc+gIsVjiumcZ9q9nn0aZnj7dl3kKc2mhBGaQ56qk52lT1K9G4wyviF1RP&#10;xuXgWgbgEqpnb5CEh9MS/F3L40Y6j69fQ0fjmarxtEDL0YDAhnq2HY27dC1xhpvopV9s0Nhp+RgY&#10;1FTHOBqzL7SYt8CJOfBYqub14CF1HI11Ho+eb0gc7nuFPiUaB+mXl15ac+qXaPySNGv6quTkeVoO&#10;suaCQtU4qZN+yVSNOzoa42yWMrKLft6vROMArTndTOMOnd6QprqW1m3K6+eDSjXOU41jYttqnami&#10;urxqGg8cVE1Gj8G1zNEYpy+g2H790biCady9+1sle3I0xi0yNKx5GY1fFt+AugYIzZjlaJxDu+TI&#10;1npPqFKaxz6aR/MtVpyHQM3Rvqqfq/FLeo7LmTMcEBZnarpqPJZ2ycHNtK6/rfeQV0zj2Lj2uh6n&#10;VhRNAYzykMG+daVLZ605msceHm9IbHwbmViicbFqPCq9t/j6NtA4VtKa/bJpzHrtnM8EnB1irV8H&#10;etUo0RinxLdl+IjOWvcBcGmNG6DPQl313llb8/gNW0ur1q/LNEBC3TfrmTDBR9fXTvr1q2LnAY09&#10;vapKemYPvYe4GvvpfbqjPrdUL8ljrZO6rvfmR8hU1XiqnnPaoYaFN9cv2Dj0vaJnQjX2q2NwGfFk&#10;npw8b72HtNF7JxqX0/W8oF/ca8sC8ljHoPGYsf1Uv0aq8RumMe6OIWE4wzkaU9dpRYxTYnePt0o0&#10;fkGfn9rIexZzANwA1a+n5qhq3NWp6909KkpMXGuZMGmQo7HmRdpo2qk3Mo2BF5s1fVnPSF+ZPZdY&#10;hWiO+lnrVy/vmtKp4+s2T5++b0lySieZPNmp62g8PKW7PgvV0S/imsdac1q2el3rPe11yWXVWGt8&#10;XDy19n4eDxhYVdIyPUo1LlCN4xPQuIZqp3mse+rc6U2rf1PtPKCxlz57tFD93rY8RuMhvrUFSNzR&#10;OFRzcZBERrbVMVX1Oo7G3CscjZ08HpNF6+bGqgmuoC9rbrwmwUP13pmPe5yjcXGZlqktO3faU/ae&#10;/CAQx/fusu/zConpF3Xtdops+SRKJk3pInHD6smgwW9rvN+SHXvi5N63hXLjswIDm2ghl5ffVSKj&#10;a4lfwJsyfGQDA6gu38yW219OlLNXMmX1xiCtue0kKraW1usK+mt9OXwiVe59rfPcKzB3oGUrh8rY&#10;cR30TFYT/8A3zblo664ouXYnR+eZYFDIkhVD9D7YUsIia+p97XUZM66j0Frx7leT5PrdSfLpidGy&#10;cNEQGTWqlWr0jgQNrWzrB3C58Vme3PwsXw4dTzH3uJEZzTQ3q0mXbq/JrPc85ertHLn1RYEBSzgO&#10;zZozUIYPb6r1/E1rkzp7fh+D4W59kS/X7uUaMDRjTi+9zzUU/+Cq0s3jNVmxNkTfn6DXKZArNyeY&#10;a93k4j76XNDAtMFpbdFHg+TM5UzbE637tu7S59jirhKfWFd8/N6WgQMrydadMfLZN5NM4wtXc2XD&#10;5lj9TthNomJq6zwA//Vk5boAa4uIxueujjEwMLegnUTH1dZn8jd0zXXkwNEUufdNody8B7w3Tpav&#10;ps2zfq9Qjf0C35CMcS00xpFCi9nbuu6T50fJ0lW+Mia7lYRFq8a9ymstaWutbtH4hmp89GSGLFpM&#10;e2vVOOQdCQypLBOLOsq+Q8M0lnk6T77GIUXmL/LU57OmJRqXE1qBXrmlOVGi8b5PR8rs97z0uaCZ&#10;+AdV1hr/jsahtwDD3fw8X+OZa+DbzLm9tS421GeXqvp895osXRlg77sa79idpPclR2Nf1Tgqtpp8&#10;sMRLTl8c7Wh8K0e27Y6WoqmqcVJ9GeL/tt5v3tR9R8td1Zh5LlzLlY1bYvWsd9daVFvneUOS0Hit&#10;anxdNf6KVqBjZd3mofps2V7jqBoPfFOfr2ppbg3XWBXZPKcvjpeVawDOO2o91TzWeUaPaWYA1dXb&#10;43Ue2ganGzQ0dnwriYiqqc+a5fUZsbW1nWQ9nAec9RZ/FKDfM1obHETrzbwCoLoEua65d1M1BrZ6&#10;/8OBkp7RXIaG19Bnr3L6LNFbLt0YpxpPkmt3C+TAkTSZM89bv0s1k4Cgt2SoauzAlqmOxp9pHh9O&#10;VN176f29kcYTjcvJkmX+jsafF8jVWxPlkz3JWnv66vNGQ82/SvpdsZos1GuTF2h85c54+WR3jAFw&#10;CcPR+F2ttRVl47ZIzb8Cy+OL1/Jk07Y4vR/1MBAVjROSa8vyNX5yAY01jy9cGyvrt4bKhMJOEhNf&#10;R++PlXTdNWTf4WTVuFDXC/SULas+BobupDle3WI+KrOpbNwaJrSGJVanNPbLP/bXGtJavw/Ukl6q&#10;8fARzeXE2XTVmJrjwHsfLtXn24y2Wj/flYDgSpI7sZ3s2h9nGt/6fILBcx985K0xROPqln+TJvfU&#10;darGX6LxJDl4dJTeSwfps1dzXWtlCQl9W3PdQw4fdzS+qXPt/zTJ6kdqmmo81Kk5iz7ys/Nyq0Rj&#10;wLJp0/vps5dq7P+m5kZVmb/Y0/IFjcmfHftipXhGd312oJ68Kz17l5f1m8P1bDoa03Z0y/Z4fYbr&#10;qc8F9cTX/w3N+Vqab76mLfOQzxu3hcmEok4Sm1BHvAZVFj+/qrL7QGJJrSjQmjpe1q6P1Oeqzvpc&#10;VV1rRUW93zaS9VuGOmdY8xjwixo0LreNady7X3kZltzUAD/mQWMcMD9aFiQZY9pJcKhqrLUUaHin&#10;7sM01vVQUxcvGySjs1pIaEQNfXZ4zc7h+WtZcoe6fmeSHD6WbsDriLQWlsfBQ9+SKTO6GYCLxugI&#10;KApwljqqscagmj7jvGaObtfvOhpfuz3RHA5nzBqgz66NrB5HRFeRee/3t3sLdRuNP9kbZ/FLTFGN&#10;A6tID73PrN0YphpPLNE436DsSUW9TGNiFTespixZOcTq8B3NY87gph2RUjC5s8SpxoMGV9bn0Xdl&#10;174ERxudh9a2H2+Mkty8LnrPr2l1PXVUQ6sxl9FY5zlzSe+d6wJNs0i9d/bpV0GfRRr9iUNch+4P&#10;3sN37Fwf6wJxP3x3w9p34n42LC5YAv36yIiUCOHn37857kC0fPx49QeSnTVc4mMCrL0m8BKAC1AA&#10;rj205wQsYkxslL/4ensY+GTz/P6NXutLc35asmimuTPFRvkJ7mUABoBauOjgMgc8BUzGGOAKL88u&#10;smP7Gp3lVxsDgHHy+G6ZN6fQQK+oiCHmyAMo881XODnpmJ8/l5PHdhvElpYabUDOoIFd5cZ1HOi+&#10;szEAIYBHwD8AN9GRQwxqwJEM5yDGAMEwBrei1KQIGRrkKYH+feT333WtaKNjcEHbsXWVtd7EHSgu&#10;xs+ci4DfgHpwGQJKYgzQXmJ8iAT59zWQShfjzKMaA0mtW/uBQUQJsTgaBZa0ZD1mIBLXQqd1axbJ&#10;+KwUiY0OEL/B+n1J18YPGuMkxnic4ABSALFSksNk2UdzLD7MgcbEjbaaY0YPM43RZtOGZfr+b6Yx&#10;UMnpE7RzLDL3L7QBXNy8calBIjbmFx1zco/lAWPChg4S74Fd5NJFXOq+t2uh8aH9Www6ARgDviM/&#10;cMuihayN+eGOwWfEYcTwSAN7Anx7y88/f/kHjQH6AN2Acmiha+1WNQ8cjXXM184YJw5DJSign+Wq&#10;yO+lGn92+7wBhkBnjlNdgMyeqc8BF4+Uagy0A9jDGD5Pm08cvvhxNb52+bhpOjYz0TTGdQzNAbUc&#10;17KvDQpc/tFcGxMVPsQ0Xrtmsa3H9NPzgOvbwnlTSjXGPYqWrABl5kj2m445vc9gnvSRsRJRovHZ&#10;M4f1/R9tHgC9Tw9uk5nT8ko0HmIAlOOW5bjv4ZZ15OBWmTE11zQGvvPz6SE//PCZ5sO3NgZga9eO&#10;NSWuW7gB+prrFu1pfzGHQx3zDWPWOnFQjWnLGqPXI2/cWBnMum6JwX/D4h2NgfOAjwCRnDEXZaOO&#10;cTQOEv8hvW08P2gMMIez3oplc831EY1ZEwAkoBYOiL9rPIHPqB+MISd8vLqq5u8xi/5Px6jGwKsA&#10;auQv+Qf4RQ64Doc4AjJm4fwpMjotXiLDfMRba86J43v1/Z9MY2BeoCzqGY5vaIxTIg5utN5kTwCr&#10;Rw5tNwhrZEqUtVMdMqi75uVtc2RkDIDa7k8+NsiL/aDdhPx0g+pcjYkZ89qYYaGmcWSot773S6nG&#10;X352WTat/0hyc0Ya9JoQ529nDADXcejDfU/jsEHHqK5ozJlCJ35cjW9cO20QHX8fpxpztgAggbmc&#10;uv6NgcfAmI7GfuLj3V0Waw13JtK6/ssXcuHsYftcRlqc7snRmHvBF5+pxrp3Wi9fUI0B/3BlRONB&#10;qvHhQzt0kp9LNaY17Rw9jyNLNObsAEsDw7InAFLc93Dx4xphqvFgXc8XX2gMSuo64PHeXeut5TU1&#10;NiZqiDl+Al+6LpIA4DamKMsgy6HBnhKqL+LtagzQu3XjcoPhElVj8hgAEjjU1Ri4dovWTcYMi3Xu&#10;neyPH1wJ0RhgePWKBXYmcZgbpvV/9841du9t0Kbz0T/cm1t0mFVy2/5ff/7wGX216tIr8cF/iMfV&#10;hn+0B9DgB5cc/h5oBwccABlAEOABoBigAlxyGAOoAvzDGAAMwCfACnceoAegGIABgBvmAfgCPAFk&#10;YB7GAHW4TkQAScAlwB/84OoD7AAsgrMZcBTwEzAS0AsgA2MAPtgDMBdQiQvTsE4cewArgB8AGQCi&#10;aKXHXEAfADaAIKzZBXuAfgAvgD1wH+OH9wEiGA8oiCbsCcAFiAMYxXUZAooBiGAvAHHAJ8Bx7jyA&#10;E6wfsAcojHkAyIC7gE5cjd04MAZ4inUDh7jzAIsA5ADAAXowD1AYmroaA8URBzRzNcYhCRjPnQfo&#10;CdgMcAP90BiXLq7vagwQAywFqAVI6LZkBVxBY+ZBA6CdshoDygC4oB1jiC2uVoCLrsbEwZ3D1RgI&#10;ECCFPbFuwEGAFcagMXMCRTIGgAWoiWvzQ7xZN4AO13c1Zt/Egf2iDWPYI2MA7oBcAI7IUX64FjoC&#10;RgEXAdpwLfbnuu8xD2OAz4gD+QD8wzXZhzsPcQWMQjNXY1y3AAyJNfOUzXVXY/Qmhq4+gHGAdsQZ&#10;jTl35Ag552qMTm4c0BjwiT3iaMZ10A/oCU1xyWIt5A+aEx9X4wdzHRiQM+TuiTwGNAPqQz/G8Cvr&#10;Q2PyhjGAUUBprsacCfRz50E/gCGATVdjoDAgJ/bOmtHajQPOXKyFvADYdOehPvEZICw0Zj3ozdyA&#10;SszjglGMoS4BN1KX+Ht3HuAmaiN/j8ZoCMDHtQCj2Be5Ti4RB/KcWAGl8nlXY0BaQEtXY2JKXaDO&#10;kKO8iANj3Fyn7Sg1yF0L+gGAAbGhH9qQW8SXM+lqTK5zjhgDYMsLLdx5OKfUZ/aBbswDiEZOuhoz&#10;hvoCtIzG1C3yghi78wCxETuAQ/RjX9QNPudq7OY6GvN5NOa8k9/8uDUbaA24lhxGY7elLfthDLnu&#10;xsHVmPWjrasxdQxgj724GlOz+XtXYwA1arQ7hvWgOT/siZhyfvgcAClx4L5GHFgna2EMOhAHajXw&#10;J7nMeXXnYf+cZ9cFEY2JK2PQjXP+Z6+Tp06fePB+zXfyklv5/90P/2G+ZoPO0qhxPwMoADT4h/rp&#10;MzbYP+oDrAHkVKnaycAAwBCAAuAh3geK4M/AIlWqdjHgASABwAYwgBf/+A+gASQD8AQcAEQBRAJA&#10;AITAmIRhhQIAA6QFyAC0AATBHMAKjAVuADxwXZr4M1AGUAXzMAagpUHD/lK9RndbO6AFsA7zsDeA&#10;h8CgDKlTt6dBPcBNQCZAEYWFJS5NuR8aoASQArQDkAOgQctMtGHMuOxF4j1ouK0F6MRrUIpBEnwW&#10;bXgB3NDSlDH1GzgaA/u4GqMfe8SBCVCEvXFdV2OuwxigHKAMtAE8QWM0Lasx7SbRDY3RkbazZTVG&#10;I8AZ9C+rMTF2NWYMLlfEmjUD5riuZe48/Oo4ug0wjQFU0Jh9Mw8tJtEY4AsXNpywgGGAawBcWCva&#10;EBPyqVbtnqYz4Aif4X0XTsH1DcAGaIU4APixb2ATV2Pm9ByYrOvtZmAKY1gzkIybx0BQxJl94zbG&#10;voF/WCfXYQxaAfagHzAN10Uv1uJqDHDTsVOIjQHkIifQD1CG6zlxKJa27e67vnEtgJ/7Gq9ULSZo&#10;HL1tzP+kMbnduImX7Z3YoxUgk6PxWsuPkKFjLfdcWAkgrazG7C8gMFNq1+llGgPkoDHzu/Pg+kY+&#10;ubkOCMS+y2rM2RjoNdyuw/U8vZIMviyrMesnhuwJmAt3LeCfBzVmnYwhx9CYs4cuzMO6R4ycLrRA&#10;peaQ66wX/cpqTH0BRGIe2l1yLc4Ie3JjxbzUI8YAnznujvNKNSbXqXfE2q0naIx+zEGrXjQODcuy&#10;vGLv1BMc2zjXnEvW49STMaqd4xBJngFusd77Gi/WPBhZqjFAG4AV8XQ15ve0AuVMmcYaB2oZa506&#10;zYGsgCT7D0iwPbEm4kZOcpYYx5rcXK9S1XHWQ2PywtXYrSddu4VaHgNqAfPxd2VrjpPrwTqmi9UT&#10;NObMuBqTx4BjnAPGUE9Y74Mac+65BhoDoVHf0M/R2AH4iE3DRo6jG2eQuDDGreusi7PmunBST1gz&#10;f+9qTP3x80+z92vW6mk1+0GNiQNQJxozF3HgXkTrVzePnZo9rFRj9HM15n20IdcBXhmDxoCO5EVZ&#10;jclZjx7hWtedekKNfLCuZ2V9WArCua8Bg+MecIj734G4ug/8h/n6rdtqHNpoPPvKgvdj7R/saf8Y&#10;FdNKzwqObv/QPK6k2nQSWkdOnoqzWYBBUJHRLTXWz2v+PWqgS0Rke9XPR+eJMeAmO2eAQXTNmj2l&#10;2jyiOtXQs9hdz8AgmaJzFE/z1zG4OdbXe9kT0qjJ0/qlq44+4NEWMlDem0/ryECDKLwH1dQ5/qV1&#10;4Ck9Gw1kRFpPmVAw2OA9YLYxWdTyqnad5i1e1PxrrF+cusrM2REya0644OiUls79u7LUqvsPXTfw&#10;XjNJz+hjgNFUnadw8hCNA/nypp67h61tYUBgC30A9pD3FsQYEFEwaYjuobPmZjnBiQ3YISq6rebB&#10;AHNyAojAxSsxuaPW6nKq38P66xuaN200nmgcpxoPVf18JDq2tdZ+HN3+YVBcfIJqnOPlaDwj0DR2&#10;41Cv/iOq8bv6JaS91pxBFis0Hp/rqftorHt+WuqpPv0HVJWk4d1sfkAu9GFMoMahabMntdY+qXGo&#10;qWvupOsMUI2jDHQbqxr7+NTSZ6FHNEefUv3q63p7Sv7EMhqP7SPe3tVU40f1ei/o2WiotaKLzJgZ&#10;LrPnorEDygC11Kn7kJ715/UcNpVRox2NmQc3P4tD70qmcZu2r2qut9B7iIfMnY/GYTY2JaWLdO3+&#10;utSs/ZDWilcN9BkztkRjnQeNkzQOXbu+rhr/Uzp1righoa215vSR+QsdjfMnAiO10fvqixar7h5v&#10;aJ3vaCCnqzHQYIzF4UWpW/cRjcM7en9tJ2PHeJvGQC7ZeV4avyZ6f3lG4/Avg5uSkrtKbr53icYB&#10;BiwRh2bNn9ba9IT068//Y6yjuYPNW+BonJXVT3O3tr7/qGr8hOpXV1JH9viDxmPHaQ0ZXEPHPKZz&#10;Pav1pIGur4uuI1RmvxehYwL0vqjPmP3fkdr1/qlrek7veU1MY3NBROMpvvpnHMkqS13NP0fj5nqG&#10;u6vG0XomHI1TR2j99Kio9e8hA4kiIlob1AeoxDwFqnFKSlfp1s3RuGOn8rrH1nqf7qUax1itmKBr&#10;j09oqzF62TQGZgOgK9VY58Hl0YnDSxpzNH5Lv3y119rvVapxjmocGt5U78HPSN36D+uzwbsGTY7P&#10;czSeqhrn5AHgahyaP6P6PG4aR6rGtGqdtyBarxWk+vU3UKxR48f09YTqV0dSRngYNMXZnDzVT2jh&#10;OsS3po1xNK6vGnfW94eWajw6g3pfRev+PzXXn9U60FjztrfmHY5kgVZP0jN6aS68rWMe1nryit5P&#10;mqkW3WTOPEfjSUV+eoa6av18Q2qqNsCYYeGtJGNMP5nkaqwxG57aRbp3L28ad+j4un6hbKX3kDIa&#10;a50D5KXdNK55XbpV0PVqHcgeKEVTcUEM1DGD9AtiW7tGnbr/0jhU1mu11X0MKNE4RO9J3hIe2UJa&#10;tn7W1tyr9zt67rqortRj1VhfufklcdA912/wuH6xraYad9C/91WNY/RaQKY4l9bTHH5cGqqG3oNq&#10;aU54WM1hLTiyjRuPM7gTBxzkvL3q6T2vs74XInPn0Uo1QOPfWwYOrKpn6mHV+BnVuJHW3152ttEG&#10;jUdn6vOP5nq9ev/SevKSztnUNJ49N0rrOnmMxt21Nr6pGv9Dz/FLej9rqZ9DY6fmoHHqSFzfKpRq&#10;HKwaJyf31D059zw0HpbUUevIa6YxLpwxse1UY09dh6uxj8ahvXQs1biSXqutnrX+jsY6DzUhMor7&#10;4nN29nr1elsSEjtrfdA81j1P0TxG48lT+qjeDhDXtlunTWXvyXqPPlxyu7afP2vPMii4V+qVG8lS&#10;MKW19Or/uAzwekly8j1k6bIYOXdpvMEgOBYdOJJqLSh799YYeJfTetRTNm8dZtDKjXv5cuV2tuzc&#10;HynpY+uLR+/HDF6ZVNhf1m1IlEvXcw1Au3QjT7btipPUtAbi0fNJCQp6W59bBsone1Lk/NUcuX5v&#10;go7JkvVbA8xBrFuPRyUiuoZq5mNOXNfuAERMlAs6dvWGoRIVW0XrzlMSE1NH5r/vJ/sOptk1bnyW&#10;L+euZMiSlQMlIKycuXclpTbROPvLgU/T5aZe58bdiXL28jhZtHSQ+AW8rmfraa1jTWXJsqFy+HiG&#10;49J0L1dOnBspcxb0kIE+z0nPvk9Lxtj2ep5ChdaKtz6fKFdv58uJs5kCzOXpBYj5vD5DtJfVH0fL&#10;8VNj5frdfAP9Dp9IMmerPgOelP4DX1SNu8tHS6PMJQwgAseig0dHSP6k9tK77zP6DPKa5E30kA1b&#10;Esz17bpqDMSx60CUORT1UI2H+FeUgqJ+snZ9gly8BtiDk1Oe7NgTL2kZjXVPT4l/YCXNXU/Vfbhq&#10;kqP6TZCLN8fJhm3BkjC8inTr+YiERVbTczvIHOWu6X4AtZjv442hEhNXVTV+Up/RamrN95W9B1Rj&#10;jScan7+aIUvXeEtw+Os6z2OSOLyR1is/2X9otF3n+p0J5ub34bIh4h9UUXr0eFqSU5rI4qUh1jrS&#10;NL6bKycvpsm8D3qKt+/zuq8nZfSYdnqehsqxk2Pkpmp85fYEOXkuU2bP62sa9+7znN5f2pmLFG1E&#10;r6Hx3Rz59GSyTJ7e3jTuO+B5rfndZPFHkZajpvFNIMmRMrGok2nsOfAVrTXdZcPmBDl1PsvWjMZ7&#10;DsbK2BzVTzX28a2gud5X1nyMxjmm8aWbebJzb4KkZzZRjZ8UP783Vb9+sm1nconG+ZbHm3aEWBtM&#10;NMZtbMpUb9myPUWu6OcNzlMdgZxiE2qYxuFRNbTmD5Y9+0fKxeuax7qv81czZcVaHxkaVdE0Tkhq&#10;oM82vpbrN+6qxrrm81fGaa776jPyG6Zx0vDGsuijYDmkGrNnND6tGs9f3FsG+b0oPVXj9Mw2+swW&#10;IsdOOBpf01idPE9L1n4y0Psl1fhZrattZeWaSIsDGjPPkVPDzWmwr+dTqvNzMi6nqyz6MEJzdJye&#10;cRzJ8uXT42lSWNxZ+vR7VgYMfFlzvaus2xQvp86N0zmA6nJk7+E4yZ7QVHr01bo/pJzkF/TReMbb&#10;2b71+STN43zZtT9RMrOaS49e+hzp+4YUFfeVbTuSLKeoA5duZsmWnUPNXQ2Ng0Pf0Xuul2zZOtzc&#10;2tAYOG/j1gjVraZpHBZeVe/NPrJnn2qsOX5d8/jCtTGyct0QCY9+Q+d5VOKG1dVaPkTjMMrZ92ea&#10;x1ezZdkqf302rKQaP6W1uIF88GGQHNR6Ys5w9/Lk9KVRsvDDPuLj/5J49HpC0ka30ntUkBw9malr&#10;0VqhGuMu+N5C/e7m86rW9Gdl9OjWsmJ1hBw9NUaulmh89GyKTJ3TWfoNfEp6939WxmZ3lg8Wq8bn&#10;VWPOg17vyMlR1lq4T//n9BnuJf2O2UXPa5yeE2qOk8f7j9Dms5mj8eDX9Pmpt14rTi5ojjoa5+l5&#10;TtJ7U0vT2GdIBX3m6yNbVGNAOfL4staKrbtCJTW9lmkcFPK23sc8ZeOWZPv8Ta3r5CpQWFJKHdN4&#10;aGgVmTXXW3btTTUA1dE4U2u2r7VQRWMAvWkzhsgujQPrvaH6nL+SLSvWBOpZqazPdk9J/LD68v7i&#10;QDlwWDWmrqvGZy6na83WZ7Ogl03jEaNaypz3AuUI7X41Tsx1+uJYzfWBuh80fkaft1rK8pVhqhmu&#10;edTjXDl+LlVmzO0qA7yflt79npEx4zrJwkXhlqPk8VWtTbiIAsz1U4379XtRn0U6mSMp8N811Ya6&#10;fuDoMMkvbGlOnp7eL2s96SnLV8TK+cvj5ZbVHNX4cLI++/N/MHhKn8lf1/tib9m8PVHOmMaAvNmy&#10;fW+EpGXW1fviIxIQVEnjMEDWb0r6fwXErV63LNsF4m7dOCEZo+LFo2sLa9+3ctkccwEDcgEW+fab&#10;m3Jg7yahFWGP7q0MCNm2ZYXcuHbCnJyAXABlgDgAV3BRyxgVK2tXzTf3LkC2X3/9ylyGNq7/SEKD&#10;vaRvr3YGauzbvd5ALaAmnJoADFyXJpx9JuaPknVr35c7d4BXftJ5vjRwbPH70831DUc3YJsjh7fJ&#10;l59fNOck5gEcoy0gDkJDBnnI7Bn5eu3F8uMPn8m///29uQwBLE2dnG2uXFxv8QdT5dRxxxkOyAPX&#10;I9yWiiZm2r5Dgz31ulNl+9blupYfDSrB0QhAIjsrRXp0a2nAyFpd/8Xzh+SHb28aOPHD93etvR7w&#10;GU5EQFbLl86W/Xs3mDa//e64DB06sFloIci1aOG5dfMyuX71eKnGjAFyGhYbJD11TPqIKL3WAnM9&#10;ArICOgHiAFoLDx1kGo8fN1z27vrYcdT66Z5pwxjaVAYHDjCnsPzcEarxQs0D2hr+LL/8/IU58QEu&#10;DhnUU7w8u8q04mz59NBW+eKzC6Yxbk84+gER4UYGJDNz6njZuG6RfPvdXZF/84+3n8uNqycMwuI6&#10;AX59DUw6eQxnuKumMQ5UV68cl6JJWZY3IUED5IOFxZpfy+T3338wkOiHH+5aHtFasWe31uYaCKBz&#10;4dwBc3sS3fePOgb3uKzMJNM4NtpPln002/LLNP4NjW8ZsARIgwMiIAxaXbtyzABInLnQGFgvKX5o&#10;Sa5HaD7Ot/iVavzlNQNII8OHSO8ebQwU2v3JWsdRSzUGwgIa3PDxhwb34ayXOz5F1q1ZKNevAXP9&#10;Iri+fXbvkixdMkf8But3EdWweHKWHD642UAty+OfNdfvaq5/MN3yfJCX5nrxONP4m28ANn+wWN26&#10;ccoAof59O5pr3sL5k+UEznBf4h73ucGhuG4BdfbS9QZpri+YVyRbNy3V3PvONEY/Wmjm56TZvsmf&#10;lcvfU90PGPBFHgMunju934BGNAbmWrZkluzZBXDzq4FE3393+//H3lmAWXFsazv3nvPfe/TG3d1D&#10;jBDc3XVwhsF1cJdBh8FmgMFdIjgEd3d3d4ckxPUk619v9e6hp+mRECRS+3m+B5hdXV311aqq3rNf&#10;VhmoieyFeNy6ZR1ZsmiqcMys6zFZ/FhfOF63RLEcBticM2uC7N4JqKBrjnoMQLp65Vxp0qi6aTNw&#10;J7De+bMej7UMmSYb1K0sYSU11mPaalx/oPHEl+g/aIw6mSZnzZhgMjaWL0u2sWjZsnGJk7VMY88p&#10;o7E+eZSznmisD9NxWDR/knz2GaDbt8Zj7jtuTLypg6x5740fKLt3rDbj/FPIYyAyYr2MtgUw6r1x&#10;A2XZ4qkae1+ox2Q9umiAYMBjPAbSnTltrBzSuP36S8dj4EagNo6rxb/GDcNl2pRRGl8AwQ4Qh39k&#10;/uvaqblZswE7Fy2YomvVDgOZ/qzeAPJu37LcwI/FiuTQdaWe8RiYzIEXLxvIdO3q+dKiCZk6dc3u&#10;0kJWrZht4un7b3XN0fYAmQIaN2pA1rfc0rN7K5k/5wM5fowv0f9j/CO725xZrNnlTAzG9+sqmzcu&#10;NmCp6zFwHgAuWQABnIfoOCyaP1E+/ZQjUNVjnQ/nzxwwazZzISK8hDkmeteOVQYOddccsj0CHJbV&#10;OVWjWmlTZtniKXr958ZjMk0Ctw7s1830ifnHfQ/u3aBrxWnHYx0HjvgGYnNivbKO/whZs2q2tuV7&#10;4zHrOrAtR/m6a/ZCjYnjR7fLt4C8ui8C+5KhDyibMm1a1NV1abxs03XSjWMyTTprNpk6cxkokyyS&#10;l1lHde/NmLdwoi/L02YvMD20bSf70j39sve6rAVL9PB/EQ/4A4QFQMNRgwA1gB6AAd5MWAAlwBdA&#10;AQjAAHgBQIFywFNk0gGEcI+MA1gCSiNDDuAAsAZZmQBPuA8wEv8GKCE7EJAMQAlgBW0D3uFPsmUB&#10;lBQtWtSAE8AP3qxlQAjASAAIbnYgMptRN5ACMAPADRAHsAT3AowCxqAfvEd7gEIAvgCiyA4EBMS9&#10;6Ad94l60HQiGbGO0h7aT9cjN9kQ9wDRkJCNrElnfAD6AOiiDx/gH6AHM5c2ERb/dTE6UAabBD94H&#10;YqMMgAugEe2hDMASEBbAE2Aj0BGgneuxC8oACtJeIBlgDcAi4Bc8pt1cA4BEGQAgYBEAEYBF+k1Z&#10;rgHEwWMXOgEmAzjBY8oA3gHA4DFACf0G+OE912PAO6AUPAYYBFQhs5rrMeAIMUk80B5AGvrt9Riw&#10;xs2E5Y4D4wJoxAtvGAcAL28mLPrgekw9R48eNZ4R54BIAGq0j1hnrCjHOABqMQ7cD/iMfhPr1EGb&#10;iEegIMabrHlAO8QkseXGMfEIoEYZgBtgNK5zPSaOmWduZj2ALkAz4p/3XWCJeoHu8Jg/gc+IA9dj&#10;6gNGAjCiHmKdezGetIXxYhwAXIl16mHsuQb/aKvrMdAVICZlaDv3wjNelMFLxo9YdzNhrV27NiFb&#10;FuNAnfQDf/EQkApAiGu9HhOXjANzgr/Tb2KdOihDjHAt/tEmxoT1i3XAjWOAJeApytA35hg/o7/U&#10;g8dAYcQd3uAR6xIQE+/jMf2nD8Qv/QYeI2sYHrtrBfckJhkj6gFCI9YYT9djxoFYAoqiHtYw/o1/&#10;3IMxJYbwlJgh6xsgLp7jh7seMw6sQ8QeHgNL0m/WENdj5gZrHusEsQ4EyFrGOLhrDuNA7OIxazYx&#10;Sr+9HnvXbNYT4EPWN+ak6zHAGpAmWSRZB7mv6zF98q7ZeMN6whwDoOYeeMw4sN4Rm3gDWEe/uT8e&#10;U493zaYe1nd3PKmDtR2PgRu5B/UwrsQWMBzzgX6xFrLWs/a5mfWAOln7XY/xgJ+52VDpH1AxeyFt&#10;poy7ZuMdHjMOQNj83PWYcSCeGAeEf/SbMeR9vAlSEBBHcpjQVn5tL/OL+UwOcNOu/TBxMpc5IAjZ&#10;zwA0cuaqagANQBaACL7IB2QAQOBYSmCkrNmqSPoMZYSMTYAVwBLUA2zjZOZqaWAvjrEDCgOaAAoA&#10;ZABAadS4n5Qu00IyZKwgGTNVkGrVHRjOvRdZhgDJSpZqbOoAMABq69V7or7vZMKifL36vbQvkfJO&#10;ujKSPUcV828AByAt7scxkfXqxxjg5p10pQTQA/AI2IH7OCDDaAO0AIMAr+TNV0OAOhwY6Uompxo1&#10;u0i+/DVNGWAQICJAEO7Fn/gJDJU7D2VKGwAFWAqABogDEKRN2yESXrWDtiPC1AMMAkREO4AraBfQ&#10;CZAXUAnjANQEWOFCTRzl2byFk/0sazY8LmfK44fXY0A3rgXgcIGlLl3HJXjMEYt4gcfAKQBLNWt1&#10;lZ69PjR1UBfjVr9BH/W4kWkL40C2J9fjIUPJljVef9bTAEZAJ0BJjB3x4noMRAZEVKBgPQHWAtID&#10;KAG8AkTiiMUOHUeZ++cv4GQSI1sTgEuc9pt66D9gFICN6zHADcAcvuFN/wEfGc+rRnTUMtW0zaUN&#10;wNe+w/AEjxkPJzNcO/U43LQZoMjxGKhpgWl7s+bxGuutTZ8BZSpUbGX8I/ZoD/EB6EamLY7NJFMd&#10;Y+t6PGw4cTzRwD4AkLwP8OZCWK7HwDYNI/VBoXhjbW9ZbVMlAwORlc8ZT2ccAHmKFW9g+oTHHO3r&#10;9RggByiyUOH6xj/6z73dbFgcORoVNVo97iYFC9U2ZQD4/BkOgYGqVe+i7znjwLwg1q947MZ6lLkH&#10;/rnrCXPliseDde53MJAbZYCaWE9ccCyuH5kmifU22ufKpu94Sax4PW7W3MlaxnpCnAKlUsa513wT&#10;r8R66TJN1d9yCZApa4jX48hGfaREySZmPcmStaIB77pHX1mXKIOnHHtLe2m3m32PttAm7svY4PHb&#10;aUubecwcMnE8nHWJcRhlYp3MhvhHhjnWRPpNPUBfzHkyJboeMx7EZGwc4+nAwGSaxGPWI9Yu5hfx&#10;z/V47KzZg3XN7qhrNrHurifDEzyOjZuu64kb6856AsRIrLge0z9igPUkc5ZKxh/WE9dj5gP9Iwti&#10;WFl3PQEyjdJ1wMlwiIfAe856gsfOOACF4TH3olx0jwkm1vGYOUWbWE8YZ9fjLrpm87PCRZz1JGeu&#10;cLOeMGecOGYciPXuOg51tUxJjUNnzSbuuA8eEWvcH5ASj1lXWFv7aH/pkzMOxHqnBI9ZT1g/eI/2&#10;4LGzZkdpO6prGY4djDTjwHtOHDvrSeUqbXVeVtEy+lCr6wlx4PWYGGjZUtchHxBXpWaHGf6Nnn06&#10;tGVf9fL/Yj5T3nzSq0+49lsfXMc20XtVVo+zaRueU3/vUW8Ax7JpO50jAoFBgM/qNcgsxUs+Y46m&#10;y5f/Yb0mh/SJq6Z9ipQRoyOlO5mI6pKJ6CnJnO0uAxqQxSd+IBnUOAavhnTuWkJq1ua4qccls9ZT&#10;RMu2bFVI70VWn8Y6J+pJVGd9KKzxjhQo9KjGxJ3q33PqO0dvcgxjAwOxAZRUrU4mrIe1zB1SOuwl&#10;6RAFWFFL+9RUfaylnhfUWH9Tcud90NyrXPlXdc/j2Lr62q/6Bihp2TqPVKxMRrf7dY7fqevPG9K1&#10;ewWJH1RHxmg9/clI1jyPAWVy5r5fsme/V/eKdzT+KsuIERyZWVd6x1aUxk1zSFi5F80RnwA+ZG+L&#10;6V1F4xyPG+u6W0X9yq4ev6DrxL2SSz0mI1Os+meOcxxZR3r0KitkxypRSj3OfpfkzfuQri859EMn&#10;8F6kPgBHmkxEdeqRiehp3WfuNsBM06Z5PR7X1PlQQmrVIXscHt8hhYo8qXFcUGJDHg/TdgOoVa+Z&#10;Tj1+zHhTvMSzuh4X0/bWFY6iBbBq37GwRNQgE5bjcSlte4eOJdXj2iZuABfbti8kVaq+aSA/xqps&#10;uVd1PwvTGK6v9dSXAQOrSKs2+aRiONmV7jftqVjpdW1jeX3P8ZhMTs1a5NUP2a/q+ni/9useHbe3&#10;Dy5mqAAA//RJREFUdA2pHBqrehpnlaRJs5xStvzLklM9zq5xWq3Gu9KjZxUZNKSegWWAfCIb55Ay&#10;ZRkH9Tj3AzrnMzkej3Q8JiNYg8gsUrL0sxrrd2ubHtC4zqbXRui9GmqbG2md5aVuffW4BOPgeAwA&#10;OSAe/xpqjNbUGCmpsZ7eHO/JfChU+DHtQ369F8fDNlKPG2isl5Iatd418wBvyKhFBrdBQ+rIKK2H&#10;4yE7RBXRfqTVcXjEeFyi1PPqaQldj2trW/CY42ELS3jEW5K3wEOmnrCyL+t6VkY91g9F6jHHELdu&#10;m18qhZNtTD3WMhUqpNFxKKse11Zvmmp81JDmLfH4NY29BySLxg5zI6ZnJf1A18B4DLSDx+UqqMe5&#10;7zF9j4hIJzExlRM87hvL0Zs5tQ1ka7tX17j7de/KqD+vKiPVY7JqAU81bJRV5+TzWuZuc7869bJK&#10;r74cYex4TEYys57gsbYlf4FHdS/I5Xisaw4QVrfoUibLlutxQY3VJs3yaTsdj4erx126ldb1JL36&#10;76wnRYs9rc93hXX+hzweWl06diqqsU4WyZDHJZ/VtaGYelzLeDxE15X2HYtI1apvq8daRuvhuNBO&#10;nTneNOTxIGDMAgZczJP3AS1zl64nr+k4hBmPWXPINNmitY6Dxrfj8T26xr+he15FGaptdaDYyiar&#10;WrmKr2h8qsfa93BdT6J1HAYNrmvGKjauqoFijce57pUc6nHNWul1Damq/qrHo+rq+l1OY/2Kx6xN&#10;HGXaW8sMHdZA29PIAIr1GpAp8VkzlvnyPaL7Yk7p37+G47Gu6917lFaPM2qsP2U8LlDwUb13Hsfj&#10;kWRAa6ixXkbHmMx6T+i6frcU1jW7VeuC+gypMRryOKpzMY119biws2Yzrq3bFpE44zFwaB0DqAGH&#10;AlLiX+kyL+pnwVLGf2etUI/b55cqEWR0U491rMJ0PeG46wFmzWmq96wpLdvk1zUkjeOx1sOa3T26&#10;ggzTsTIe96+sc1HXbOPxfToOd+q4va19rajXhzzuV1Wa6DiULUemU/U4531mzebYU+OxruvA3ZGN&#10;s+l6wpqtHue6z8R6T/bOkMcmU2LDKx4D5zXUNbtfyGOy0HWPKaPrSUa9dyldYxwgLn/Jwh9592T9&#10;oH4stF2bVxAQF163VPzBY82laavnpULlu9WH12XO/Eg5cLi/nL04VI6cjJXFKxrL4OGFdY6+oGXu&#10;07XjXQO4HDs1RM59MlwOHo+RBctrSf/BOaReoyd0zbhXunTPJEtXtJKjJ+LlvNYDMDNnYV2JHZBH&#10;6tR/WipXfVDXzVyyam1HOXluuJz7eIjsOdRVZs6LkJ6xmaR67Yd1zB7Uz10FZc36KDlxZrCcvTRE&#10;du7tKtM+qi7de2XVfeQRXece01gpIZu2RcuZC8O1zCCTFWvSjPLSOZpMbPdJ9TqPyahxYbJle7Sc&#10;Oj9Eyw2Szds7mMxXUV3f1fY+KLXrPSvj368su/b31TpGmOMl129tKeMnlpC2UWmkQpV7pF7kczJx&#10;WjXZtaePnDk/1ByBunp9KxkzoYy0bv+m8aZR01dk6sy6cvBovPZphAE5Vq5vLMPHFpTmrV6Q8upx&#10;s9avyex5DdTjfsZjk1Frpa4ZI4pK4+YvaT33a8y+I/MXNdP3hsh59fjQiZ6ycEVdGTAkpzRo/JTu&#10;ffdo2zPI4mUt5MjxAXL246EG/Jq3qL7ExeeVug3U4yoPapzklBVrOmhb8XiY7D1Mtqdq0rtfZqlZ&#10;9xH1+AHdB/Opxx3lxOnBck493rWvm0yfVUN69M4m1Wo+qvPrURkwqJhs3NpdToc85ijdyTMrSLce&#10;eHy/1Kj9mD6vlZHN27TM2aHG4y07OsqHUytLp27pda48JLXqPi1jxleUnfv6OB5fGCgbtrWSCZNK&#10;SbtOaaSSely34bPy4eQI2bW7l+PxuQGyZlNrGft+mHr8lvEmstFLMmV6be3vAMfjs3GyakNjGTGu&#10;kLRo43jctMWrMmtufdl/yPGYbE/LVjWVoaOKSZMWL2uZ+3UtSSvzFjSRoyc1jrUegJxFK+tI/NBc&#10;0rAJHt8rHTunl8VLm8mRYwONxwfxeDGZzfJpW58xsdM1OrssX91OTpwdpvPB8Xj2wmrSZ0AWqVXv&#10;Eakccb8+z+XRWO+gHg8yHu8+0F1mzKkpMX2yS7Vaj+tz56PSL76IbNjSLeTxENmxt6NM+aiidI1J&#10;J1VrPCDVaz2mzxslZdPWbuqLxvHFgbJ1J5nNqqjHGXQsH5KadZ6SUWMryA6NUTwm69bG7a0NDNeh&#10;8+tSseo9UqfBM/L+xHDZubun8ZhjZtdtaiPjPigrbTo4HjeMfFEmTaslB444HpOhb/XGpjJyfGFp&#10;2VZjtMrdGquvyIxZdWXfwbgEj5evbibDRheXZq1elfKV7jMg2uz5jeTIicFy/uPhup70lsWr6svg&#10;EXkksunTpp72Ue/IwsVNzfGoxuNjvXV9aagxV0DqN3pO4+IB6dQ1iyxdCYQ11Kw5+49Gy5zF1aVv&#10;fFZdTx6TShH3qZc5ZeWa9nL8FFn8hsqeg9EGsOoVm0Pj8wkJr/aw9O1XUNZv7iqnz49Qf4ZqLHaS&#10;abMqSffeZLt7QNeTR2XQsOKycUtXOXVmiPZrsGzb3UkmTQ+Xzt0zSpVqD2ldT+qeUFa2a4w6Hg+U&#10;TTvayPtTyuicfEMqqce1dY2b8EFl2b4rRu/letxWxn9QXtp2fFs91mfEhi/IxCk1NF76OR6fU483&#10;NZMx75F972X15i5p1Oxlmf5RHdl3IFbOXhiq/e+nfWwuw8eUMOsIHjdr8YbGeqTGr8aW1gNUuGR1&#10;Axk8Mq+O0bN6r3t0XN/W9aSJOdaUfh863kcWLo2U+CEFpUGj56WirhVRXTIbyNl4rGsFHnNUbuzA&#10;bBrrj0vl8Pv0mSKHrFjVzhxJeu7iEAPgzZ5XW3rH5ZQadZ7QGHxYYz2/rN3QSfs8zIwDmeSmz64s&#10;0b3Ta6w/qLH+sH4W0Fjf1FnjCo91PdndWSZPrypde2TScXpIY/0JGTqyjGxT/85eHGFifcvOtrqe&#10;hElUtzfVY9036z0l496vINt24vEQla4nm9vJhIkVpH3ndPoZjOfwF+T9SdVk36E44w0Z+tZubq7r&#10;STFp3eEVs65HNn1Bps6oKXtYl9RjjpldubaF7hmldD3RtV/X9abN08hHcxrK4eODdD0eIUdP95Xl&#10;a/R5Z3R+adziObPmtG73hsxb2FgO6pyh3xwBu2hZI92fCknDxi+Y9nTolMEAuMdPO3F88JjunUtq&#10;Sr9B2aVu5OOmX916ZJNlK1vLsZMDrwLiOJ7Fv4d7gTiy1ZBlrXr10jJiWG85fny7cMwlWb44JnLJ&#10;kpkSPyBa6tWpJHVqV5D3xw+RixeOiPz8tXBk4flzB2TJ4mkm+xnv169XUSZP0r3j7B4hi9h//vOl&#10;1rlH5poMc+0NnNKkcTWZM/tD+eyzUwaeAtQ6dnS7/ux9kxWIoyGbN68pixZOlo8vHpSffvpcyBi2&#10;f/9mAxEB3HCkXrs2kdr+BfItEJZ8YzII7du73mTrAnwKDy8unTo2ko3rF8hnn5A1hS+ZLsq2basM&#10;nAXkF16lhMREtxWOjP1B70G/vv7qrGzdslzeGz/YZMMLr1Jc+vRuL3v3AnORvetr+ezyaVm7dqGM&#10;GdlPmjapKRFVS8nA+GiToe0nMon9zPFDx2XtmvkG2mvcqJr2S5+9hsbIsWPb5Juv+WL2KwP7LVv6&#10;kQyO7yH16laS2rXKyfixA80RhI7Hn+vfD8jSJTNM9rO6dfR5ul4FmfihzoMz6jEw4X++kpMn9sq8&#10;uZOkb6+OUqtmWQNszfrofbn82WnjMTDhieM7dRw+lJ7R7XS8y0izptVNVrqPLxzUOi5r/z+TAwe2&#10;mKNou3Rurn0qLW1a15dVK+cYAMSBsC7J/n0bDGgS1bGJVA0vIR076DisnSeXyQglZNa7JDu2r5YP&#10;PxgubVs3MEcWRndrbY4WBGyhPV9rjAEykv2MYxrxuFfPtrJ792r53GT6+0b/PCPr1y2SsaP6Cxnx&#10;8JhsbYBFJpOT+kfZ9esWyKiRcRpX1aVaRCkZPChajh7ZquMI1MQXZ8dk+bJZMmRwL+GI2Zo1ysoY&#10;rZPsTdQB3HjxwiEdh5lmDBmHunXKyQfvDZIzp3ebPv/001dy6tQ+mT9/ssT26aTjVF4aNgiXmTPG&#10;y6efuHF8WU6d3K3j4GT6q1E9TMc9Qj1/Ty6d32/i/IcfPpODB7fpdROkW5eW2t7Spv8rtH3ffMUx&#10;jHj8sY7DJpk+fax0iWqqnwlLSId29WXN6jlyWePYAQU/lp0718qkD0foPGho4hiwdcf2FXo9Gay+&#10;MWDUjh0a6+9prOs4Mh969tBx2LlSvrjsxPEXn5+VDRuWyLixA6R501o6niVN1rIjh7arx2S7+9p4&#10;vGH9Qhk9ilivoZ/HS8qg+G5y5PAW+fpLsnd9LR9fOi4rVsyRYUN6S2SDqqbvI0foPn/GycqIx5cu&#10;HpYVyz+SQQN76DpRWWrVKisTxvaX06d2yXffXTQek8Vx4YIpEhfbRT2uYDIPTp8yRmOLzITfaJsu&#10;myNa58+fpHOyo45lmDSKDNdYH69jeMC8/+OPn8vhw9vlo5nvGaipWkQZadm8jplDX3/pwISsTYcO&#10;bjYZ5rp0ItZ1PWlbV1av+Eg+veR4/O23n6hX62TyxJHSvl0jE8edOzUzGQ2BaqkHUBCYb+KHw/V6&#10;xqG4rmEtdRyWy+efAnHwZel52bRxqYwfN0iaN6tt6onr21kOH9isMUEcMw6nzJHUY0YT62QoKaHz&#10;vYscPrRJvvoScEw9/viErFw5V4YP7SOROr9rVCuja3Zf4QjRn3/60njMcckc5Tt4UIw0qF9FatYM&#10;k3Gj4zQud8p3314wa85ZjftFC6eZDIB1autnRx2LKZNGGUiT+7Cunzm914wDWegYp8iGVTRmx8oF&#10;Xe+J4x81No7oPJyta4yzZpfRvtUy0PNXX7B/fGs8Pnxoi5CFjoyfEdVKSutWdXQuzpBPPgYM+ELH&#10;/ROd8+tlyuTR0qF9YxN/UR2bql9L9D2yP6rH2m6OLgUOba9rPh537+KMw+efsuZ8LV/quG7evFwm&#10;sGbrWOMxa+HB/ZtMf/D4yy9Om3rJHNpC9xc87h/XSQ4eWK/vseZ8LZ98clJWr5pnfG0cqWu2zk9i&#10;muOGjcfaZo7aXb1qjsnOCSxYo0YZXX/66hq8Q777hoyAHPV2WBYvmi4D+nd31mxdUybqenhJ1yKy&#10;UbL3Zs5fdJ13X75WIC538XIjr/oifu/eBNCNfwNPkREKUAGQCAgB4MAFewAZgKeAoQDPyIRFWcAF&#10;F4gAUgA6ISMVoAP1ADUB+wAXUA9lgZOAMoCjgAyAtoAHgE0ASoAUgBKACgCIADQA74BOuA8QFm0H&#10;5AGUAXgAGqFO+kVbKQekAPwDwAB4Qjmy/LjZxrgXZdxMRMA9lMEH4BUgEPwBiAHaoC/ch3aT6Yx2&#10;AmhQBqADGA6YDrAH4AbgBfjH9RigA0DJ9RjgBnjFBXtoN/AUoAnvudnGAHAAU+gTZfEK0IhxoB5A&#10;DyAT2ks9jAP/BqoDGMFj+sc4cD31AOQAsQE34jH9AgoDeuF96gHm4N6AMgAw+MOY0A/XY6AQYB+g&#10;M7zDZyAY/MNffMZvQDcAQeqgDNmygFdc6ARIBb8A3Bhv2oSftIHxpgzjgO8AN/SJcWBcgH/w2IV2&#10;gPoAZPCGOCQG8IQ+ubEO4AL4RD3AZfQBgIY2E/MAQ67HtJlsTwBpXE89+IifgEZksKIe4gPfuZfr&#10;MQATcck44DHAEvenP9RDDAEeEd+AgNwLEJUyrsfAOW6sMw5ApmQYBJ5yPaYM/WQu4R9liHXKuB7z&#10;d+BBYoEyAFtAbcwl4ph7ATECCBFT+Mc44Dnj7HrMPHRjnT4BLjG+bhxThhhhHhG/eEM8Ayy5MCHQ&#10;EnAh6wn+02/GjJik39TDOBDr9BWPmQ8AfGvXrjUe02/mBf8GpGPOUQ/znbXK9Zh7sp7gKx7TL2Kd&#10;uUY73Dgm1vm5mwGMOolL12PKuJkS8Q+ICggKz+gz9yOmWU+Idd4HzmPOsw4Qx9yLMsQtfaEtlAF8&#10;cyEsxDrGz4g7PAbAo17WT8bKjXVgPKA8PAZIJQaIKddjfGCuEet4A3SJF16PiXXmLHMFj91Yd9d1&#10;PGbNZj0BTKYe+sf4ERPUw9wh1lkfiCv6xZrA/WkHHjJPgaeJdfqMP6w/+Md98IcyxAljyPuI8Wfu&#10;02fKsbYQb8Q648SYMp+51vWYWGc9ATSkLZQh1lnv8Zd2A1oS28Q6HhNjAJAuBEgZYp31BN/wmHEA&#10;smNdwmN3zeb+xDr3YjzoJ/2mHv5k3QjS6TNnE2eBVV0XIK5QyZoGBACWcOCBGQaCKVS4jrz+RhED&#10;eQCIORm1yETkZNtxM5KRbQeQgyM0ASuAN6gHMKBZ8zi9vqq88WZRKViojgFKACsMDBICFYAmAOre&#10;fKuEcKwj2ccAfsjGxr0AvoBOMmUuL2nfKSFALFwDWMG9XBgEsCfdu2FGZO8BiADycto7W4DnAPzI&#10;DJchY5gBPoASAGhcKIyMZMAiZC0jA1qlyu0N3ADYR5/iB35koLqwss20T0Ukc5YKQpYmN6PWQAN6&#10;AN5NkJKlmpqsZfQtolpn9dTJluV4PNNAMEWK1jMeAx3Sfn7mZiJCQDBkJKOePHlrGsApqtMo9e+K&#10;x8BwufNEGI8LFKxt4JGoTmTUcsdzloFXsueomuBxg4Z9TBsdjznucooBBenP22lLGJAG6MTN9oTH&#10;jBlgD3ALIAjHrl7JluVmYJokVSM66BiU1HJhBmhyMsM52Z4cGGSK8dX1GL8BU/Bv8BAnJrp1H6/X&#10;NtcyRc24k6WJcQCUYaxoc7fu7xnQ5IrHnYxffWOveBzVaaSBxvA4R85wA58Br3g9Jq45apV6APMA&#10;ozpEjU7wGB9btIxX/6sZjwFp8JhYJ+4oAygEqEW2rDfedI4M5ihO4ED8dz0GsAK+euvt4tquSI11&#10;xmF8yGOyZU3XunsYXxzYpomB2IDhBg5ysqzhAZmw3k1fWuUATe44uB4DxuEZsCHjVb5iWwM5cS0e&#10;E8fMn3LlW3g8dmLd9RjQtHv0+2Yuvf5GcW13ZR3bKPVvqPHPAT9nqA+jNV4aahmyF1Yx8JnjsZMp&#10;kb53VD8BmvAYWIv1xMmWNcO8T79btR4k+fLXMPMK0JQ572Ytcz0GmANiZc1hXpCRDOCQfg/Relif&#10;AKwAQ/EYMO+Kx7rmqDf8CSgLtAjE5npMX+k3PrMO1KjZ2fiLAEnxGMjL9RgPAKMAMfGYI6PxmMyR&#10;eAzUybgBUdKWjJnKadw7sc5axL3oF3WGlW1p+kSbqBPoijHkfaBOPAa8uuJxJwNqUcb1mDnP3Mbj&#10;HDkjdD1hzR5hPHb73brNYI3fmlpPEQN91amrsW7WdWfOsB4QA8wDMjvmL+Cu2SGPdW3D40aN+wig&#10;5ptvFdN7NtC4JtZD67rei7L8jP4wz4uXaKzriZPNc6CuxYMGzzVrRc1aXdS7MrpeOBCqE+vva1ud&#10;NYd2RVTrYjwmwyYgpLNmc1wtHjvHcVeq3EbH0vXYiXXKuB4DopL1jfbSJqDBVuqF6zFrBe0vVbqR&#10;8QYgk/UEuJb9B48px97FvMVj1tPqNbvpuj4yIUbxuG27Ibqe1DL15MnrrCfEuusxbQI2x/+IiO4J&#10;IJyreo1jEn2ZjpID4vy/mM9WsJD5oh5ICICnUeO8BmxJn+FfBgQBYiNLDgAacEC/ARHSIDKrATze&#10;zfgvCSv3gjRvlVv6xJbXeuoY+KdXb30GqJXZAAqZs9wlFSq9Ia3bFjRZcoaOoB6O96soVau9Lekz&#10;3m4ghUrhaaR1u/wGYBg+iqMjG+j4V9L58Ia8m+H/tE0PaBynk/Ydi0lc/2r6AYkjTOsJ2ePCyr1k&#10;skrlynOfepxWOnQqrLEZIYBuAwfXN6AKWe7eSf9Pcyxp3XqZpVOXkjJgYA1TB+3u2Eljs9iT8vY7&#10;fzfwXd0GGaVzt+Lab4CbBtI/vq60aVdc8hd8XNKm+6eWfdoAV926l9F71DL1kFmqZev8kiffQ/J2&#10;ur9L0RJPSqMm2SQ6BmCplnpcXz2uqXGbT9elByWdelw67EUDgAEFATyRCYwsVA0bZZNsOe7RMv+U&#10;MmWfl2Ytcxkow3is49CrT4SBXoBSMma6Q9fsNOYYTTweNgyP66vH+qG4+jsmi1OmrHeox685HvdT&#10;j7W9Q4c30PlTWSpVYRz+T7LlvM+U53haIBGARMpFx+hcKv+qevwvyZn7XqlW421zPCfHaY4YXV/j&#10;vZ7Oh3JSqsyLjsf5H9W1IqNEdVaP46ubOmg3cGPR4k8Zj4EX69TPIJ27Flf/gC3ra9k6Oj9KSoHC&#10;T+p+ph5z9Guj7AbCAX5xPK5lYilv/kccj4s/YWCg7jGldb4wDg11ftXUeV9Q16WHTZtLlXrRgIxk&#10;8cPjEVoPGdIaNcmuHt+r8fVPKV32OWnaIpcBuGgrsd6nb3UDg2bNeo96qB5XUP9aF9C1iGxPjsd4&#10;WaNWOsmQ+Q71+HZ9PnlVWrXNa4AyQBo87hFTRdcQHQeNdbKNcWRqu/ZFNBbCTRzTdzKbccwjWf5y&#10;5LpXx+FNjfVC0i9eP5Tr+4OG1FePyxvY812NdfpP9sWoTiV0HK54DGRarMSz8va7f5d8BR+SWvXe&#10;1VgvpmMU8nhgPR3fUlKQzHrqcUH1ukGketzN9bi+9q2WxnpBnSuP6lj9TQoXe1zHIYuB0gYPr63z&#10;E49r6dpQSHLndTwGVG3SLLeBNAcPYT3B4+oGDs1BRjKNi1JheJzTgIhAbq7HZPRyMuvdbkDVluox&#10;mRKveKwfeOukl4yZ79Rx+D8pX/lladkmr3DMpxvHeMxRvsQ6dYVHvC1t2xfWcbjiMUcUV6iURj3+&#10;t2TPRfaaN6Vdh4Im8xdrDsBq124VdH99VfeYf2n8qH9636hOxT0e15XO3XWP0v6mTfcPyVvgQZ2H&#10;WqZLUfXYmQ/xA+vqPllaChd9Rt55Rz0u8oTub9l0/EpLvMfjdh0K6Tx4zPG46OMGzuyqHg/RdQSP&#10;ASFbtCys68kjZj4UL6EeN3U8HqQe0x6y0JFpEggurY55qTJPS5PmObSvYY7HWk/f2Bpady7dg+41&#10;87xsuVekRav8BuACQDMe9w83AHOmLHdKevW4XIWX1OM8uoZU0PedOO7Zk2PkdRx0Lrigatt2jsdm&#10;rVCPe/Yub8C/dzP8W7LmuFvCq70hbRM8rq/zr75061ZR2/CapNdYBwauUSu97nnq8YBquo+z5tTV&#10;cSilfXneZEHMk/8BA0537FxUYzTk8aC6eg3/meJZ9eYf5ujX+g2yqselQh43MP0HbixY+PGQx49J&#10;/YaZpIuOH1nfiIl+A/jPSTzfPGo8Llb8WV2fyZRYVsfTiVHKNm+Zx0B3aXXNKV6aI0Wzm2yOw/Qe&#10;gOJ4HNkot2TPeb/Zr8qUfVmvya/PFY7HrP1kggSuBQCMH1hSr3WAuIKlCy/w7sn8oj20XSe8Er/v&#10;AHE79zWUGnUekgGDcsmCRbVk175OcuJsXzl5dqhs2NxNuvfMKaXK3mmAnPgh+WXh8oYmW9HZC8O0&#10;zBBZuaalAcvKlL9d6jd6UoaPLijLVtSXfYe6yOlz/eXE6aEGjmvd7h0pUeYOadD4eRkxtpisXNtU&#10;Dh2PlXOXhsvx0/EyZ0F9adrqFSlT4XZp0eYlGfdeSVm9vqkcPNpdzpwfKEdPDJIZs+tLvciXpFS5&#10;u6Rl2zQy/sOysm5zWzl6EoBvpBw61k8+nFJFatZ7Uuf3ndKxy1syaWo52billRw50UPbM1gOHomX&#10;8e9XkfDqj0u5SvdIVLd0MmVGFdmyQ/t9hqMEh8ueA700PkpIpWr3S6Wq90pMn0wyY1a4bN0JDNJT&#10;Tmk9u/fFyqBhJbWO+6Vi+APSs292+WheLdmxt5sBNM6cHyabd3aRuPg8Uk7bAgzSb2BOmbewpvH4&#10;pHp8Sv0DNIvpk8d4HFHzUek/OJ8sWKb+HewpZ/D43BBZtb61dIlObzyuF8mxpAVk6cp6svdQZ61H&#10;PT4zVJavaittO75rPK7f6BkZPqaoLFuj/h0LeXxqoMxb1FCat37VeNy05YsydkJxWb2uiXpMmwfK&#10;sZOD5aO5+vml8cvanrt0HF6TcR+EydpN6h8eA44d7y+TpleVOg2fMv3q0OkNmTi5rGygjPF4kBxS&#10;j9/7sKpUrfGEhFW4R8fhHZk4vbJs3t5RTp6JNyDR3oO9ZeQ4J2sZoFaPnhll+keMg8fj/bEyZHgp&#10;KVvxfqlQ5X71KZvMnFNDduzpKqfOD5bT6s+2XV2l36D82pa71L8H1e/sMndBDdm5N0q96W083rwt&#10;WnrF5pPS5XS9rvGIls8j85fUlz0HY4zHp84NNUdZdo3JZLyp2+BxGToyvyzRON57sLOcPhsnx88M&#10;kRVr2kv7ThmMxwBxQ0cWkaWr1b9jgJTD5djpgTJ/aaS0aPu6qadJy+dlzPhismptIzlwRD0+F6/j&#10;MFhjvZFENn3VeNy05asy9r0ysmZjyGP15vCJATJlZjWpG/m0lK10h7SLel3enxQm6ze2UP9DHh8b&#10;KB9Orq59fspkbOvQOa3GfiXZtK2jmU/Us+9QHxk9IUzCazwoFcLvkW4935VpH+k4bNM5ox4zH/Ye&#10;iNN4CtP58pDxuEfvzDrPqsv23eqx3gfQdPvuaBkwuICUr4J/9+s6n01mz6+u4wBIqR5rjG7Z0VP6&#10;9s+vHuu+qR7HDswt85bU1fp7aB1AYUM1jtpL915ZjDe16z2m8yefLF5aR8dB58O5OLPmAMl27JJZ&#10;Spa504BlQ0YUlqWrGsuBo711jrNWDJJFyxtL6w5vmHoaN39ORo8rKitXhzw+z3GXQzTWm0rjFq/r&#10;+n+HNGnxioyZUFpWb2ipMdrPjNWRkwNk2qwaUr/JcxKmHrftkEben1hG1m3A42idv4Pk8LFBun7U&#10;1PXxGZ17d0u7Tm/LB1Mq6JztoPeI13k1QtfCvrpWlZWqtR7WdeAu6dojnUydSay3UY9jjMf7DvbX&#10;9aSs+vuQ+nyvjkMmmT4rQrbt7hLyeJiuGz1k4LDCxmNA3j79ssqsedXUe8azt9YzRLbv6iVxAwpp&#10;W9RjnTd9++eSuQvr6DwBCB6qfR8m6zd3lGidJ2Uq3GGAzIFD88pCPD7AWhGrazux3kmfP8geR5mn&#10;9HmskK4nTjbFs5eGaawP0thvpuvJW2bNadTsWRk1toisWNVI9h8BKFSPTw2RBUuamwyHzIdGzV6S&#10;UeNLmQyVh09whOwIXZfjZebsWtKw6fMao3dI6/YcXVpa1m5omuDxkeODZPL0WlKz7rMaO3dJm45v&#10;aqyXlw1b2+o9Bpi168CRWL2uglSv/YgBBbtE65o9rYLGuuPxGV0L9h/qr/evoGPwsK7J9+o4ZNRY&#10;rypbd3WWE+cGyhmNnV37YmTwiKI6F+7Vdec+6R2XRde7CPUYWLWXrhVDZcfu3rpOF9F+a5lqD+o4&#10;5NT5qv6px8CNrDkbtkZJz9gcJm5q1H1Y4gfnkYWLa+s4hDzW9Xjdpi7ahuwaf3dq3x7XsS2gcat7&#10;5xEyHA4zkPeyVS2kg66NpdXjBo2fkRFjCsny1Q00pvC4f6qAuPEfjo13gbixY/tJVFQTmT3nPdm7&#10;d518/fVp+c9/PpbLl0/LmtULpFmz2hJWpqB06dJCgIEOH9om333rwCBff80XUbP0Wbu6VKxYVJ/T&#10;2snixVPk6NGt8t3357SeT+TSpeMya9aHBryoWLGY9O3TyQBgJ0/ulR9+5AjFr032uBkz+M/H5fWz&#10;tn4eGMjRYLPkzJnd8uOPF+WHHz7Wvx+UceMGSZUqJaVmTf08OrSPAdIuXDhigDkyv50/f1BGjYrT&#10;58DiBgYZM6afbNiwQC5eOig//YcvnC/JkSM7pV+/blKuXGFp2JAvbgcbkOLyp2QD4AvnL7T926Vv&#10;3yj9TFBI+19LJk3WPWOblvnsmN7rY/nyywsG4ujSpaWUKVNAWrWsJ9OmjZNdu9aZTGSAdz9896n+&#10;e7U+KzbRexXU58HGMmv2BNmzd618pR5Tz+efA9Ut0mftevrsX0g6d24uc+dOkkMHt5q24s03X/FF&#10;1Fxp2rSG+ldEYmLaysJFk7UfW+S77654PH/+FKlbt7JUrFBUeveOkqVLZppsWY7H3+h4ntJxeE/q&#10;1KkgERGl9TNvN1mxYqacOkVWhgvGY0CZ994bKlXDS0mN6mVl8OBeGgPz5fy5Q+qfA+4Ajo0d21/C&#10;w0voZ9RKMnp0nKxbP18uXDygbbmkbbokR4/tlgEDoqW8etygQVUDAm3etEw+/YRsRV/Kz0CSx3ZK&#10;XFxn/Wxb2PTtw0lDZevWpdrOo8abr746L3v2bNJn9tZSWj1u2aKuTJ0yRoDAyFpojhT94bKWWaef&#10;M5vrc31Badeukcz8aJyOzRodo1Omni++OGOAr1at6kuZsIIGtpkz50M5sH+zfGuAm6/l268vydp1&#10;8/VzJcezFZHoHq1lwYKJcvgwZc4aj4GRFi6cJvXrh0uF8kWkV68OsmTxDDl+fLcAa+Lx55+dljlz&#10;PzC+VK1Klvsusnz5DDl5aqf6y3F5nxgvP/xwhH5mLKPjUEYGDYwxAM459d6F/C5ePCIT3huoZUrp&#10;ePFZU2N93Tw5f2G/tuWCevyxnNCxHTSop5TXttCmsWPjZePGpfLJx2Qr+lL7/pWW2aXj0E37VFia&#10;NKku7384WLZsWSKfGo8v6vw9L/v2bZbo6LYmjoG1Jk8eJTt2rFbfHI/JdLVv/3odh5YmjttwBO/M&#10;sSa2v/jyZCiOz8mmzcukTZuGpp4OHZporH2gdW8SMvw5UNMlHYeF+hm7nvG4a/dWMm/+h3LwoJb5&#10;Vj3+6RMBRgLAZV7Sr5iY9rJo0XSTkex7nU/UQ9ayBQsm62cuvrAuLrGxUbJs2XTt6075/gfWNPX4&#10;/BGZNGm0VKsWZmIZoBeQjPj+D3CU1nPp0lH54IOhZi6w7gwbprG+bq6cO79P63A8Zo0aOrS3treo&#10;mVtjRpNRa7EBxwCj8Pjkyd26XkWb9a9Ro2pm3DZvXqJ90XVJ11HWyAMHtpq+4A1g56SJI2X79tXq&#10;G0d9suZ8rj5slO7RrU0ct25TX6bP0FjftUo+/+JEgsdbt640MU497dvrevLR+7Jv70ZzD/r03bcf&#10;y6ZNS3Qc6pt51Vnnxdx5H+j9N6jHZ7SeT+RTXWuXLZslkZHVzBrI2C9cOFXXPPXPeAycd04WLZ4q&#10;DRqGS+XKumb37ShLlk5Tj7c7Hut8AOSdNm28WSfCdU3u35+MWnPlzGnATzwG4DsmEyfxn7fLSK1a&#10;5fXzaE9Zs4Yvm/eadZ21Ash0+Ig4qVSpuNkjRo0ko9ZinQPE6BfyM5Dkmb3mCNRKldRjbff4CfHa&#10;z0VaP+vSxxpjF9S/bTonO5o53qRxDfngQ9bsVfKZAYIdjw8d2iQ9dP0kjlu1qidTpxHrwAPHjceA&#10;i4wL8Vu6dH5pq/E8c6au2Xs2yNcmjr8yIOS2bct0HAA41ONOup7MfV/26xz5+hvX41Mab/P083xN&#10;s653795GY3aartk7tM+fJABx2QuV2OTdl1MLxPEf17zXBQFxQCIufAH0AdgDyAWAALAA6AY8wJf+&#10;QAZACGRmAgoAfOLvwCtACC4YwPGIgAxkyAGkAWRwM3MBRAAqUAboiaxRbpYmIDqACt4HqgHGAEAg&#10;oxFAErABmYdoM20BVAC+ANqjDLAH0Al1cz3vUxY4BMiBMsA2gD5AJEAg1AOoAFhBW2kPYARABKAE&#10;/aEeIBjAFPoMLAIIwjVAHPhIPdwLaAI4Aw/JluVmK3I9BtAAOgGYAKYBMgOaIHsT71MPfweewmOg&#10;MeAS4BXa4HoMKAVogsdAJUAqa0OZufAPcAcYCViEPrlZmoC3aCf10H+uAWjCG0AaoBmvx5Rj7IA7&#10;KIPXAE7AHy5Ux5gBkgGJkAGMIwfJ3sb9KUM9tBmIiHbQHmA2YCAXXMRj2s51wF70C2AL6ATIkDLU&#10;A6TCOOAL/tA/sjQRu4AyCL+B2AB28Bi4CciJ2HU9Bs4LinVgJPrMmBIjjA9tAY7CY2LS9ZhYpv3E&#10;On1yYx0YzgVl8BjP6S9l8AjQ0c3MxThRjmv8sQ5o5EJ19Bsw1T1+krL4QBwALNEn2sw4MJ+4F0AT&#10;sQ7Mg3/chzmI7/SHfjEHAaxcj4GsqI9xINbxmFj3eoyHxCj9ACDCZ2KRe7uxTj3Ea1Cs4z1toS7a&#10;BqDGnGLciXs3+5kbx7QtKNYB+KiH+QswB/REv5nrQIBuZi53zeHfxKY/1ukv9fAncQK0RxnAJoA/&#10;1hPXY9oMlMg4ci831okV2kE9tAsICyCMMrQLAJH1hDJ4w7gyNm6sMw7EugvV4SHrLm0kPl2wjBjA&#10;Y8rQHmKRvnpjnTJcy5yiHPdlDWEsuR/wGWu2G+t4DGjGtbQFaAwIkFinL3hHbBCzZAmkTwBxzDHW&#10;bK/HlCHW8Q+wzo114pd70W/mGWs1ZfgTQI31hDKux5ThejfWGQfWE9dj7kncMudoM1Ahazbz0esx&#10;4+DGOm3nGvrKXMEfYpE9w12zmcusU6zTrsfcy4115Ma6u2ZTjjrxDI+pi6ydrNlurOMx84f7Bun0&#10;2XMnvHu1o3yNQlv5tb8qVWupm/RcAzIAGQBCVa7SRsiuBJxC1jfADqAAvswHXAKGq1ylgwFB3niz&#10;hFSs1F569AQ+m6sPYYsFuK5Bw5760NJMyNiDgHgc6GmuASZiYj4UskaVKQOUU1LeTV/OAFd9+gLd&#10;zZORo5aa+9arHy3FigOOccxieQO4ABfQHsAJoK0mTfuHgJvCkjVbVV0gB+hiMlMG6b1GjVkuHToO&#10;l9p1yOhWQ15LU9DATW5GN+qhvcAOQEx58nC0K8dd1pa27UZoWwGaaM8S/YDdXx9CyQ5URcsUELK+&#10;AUYB6+ANbSezGf0A0qIesql16UK2OzxeIIBEjZv0Uf/aSuYs5U2b8cnAIloHdQGN4THgBnAUkFX5&#10;Cm11oVWPB8/TjWmRgU8AgsqWaybp3i1lYEGyNDnQEx7PErIo4THADR6TdatmjW7Sp88Vj3vEvK8e&#10;95DiJeqb8Wbc6zfo6fP4PWnabEACcJMlaxUhq19c3AwZrP0aOXq5kDWvdp1uBrjBYyA94BrXY6AR&#10;4CVgPABKvOFoUZOBaYB6rP2iPS1bDdBYweNw43HhInxRNtL4Qj14DGACHJg9e1VTT5GikToO43QR&#10;IwPTAqMmTfuqf+10HCpomwvpA31TEyt47MTxFANuASDhMUBSWLk2+lDxQYLHtL1hZC8Djr2bvpSB&#10;bgDHXI9pE7ANgAuwDuAOGaGqVe+qD3fASk6fGAc8LlGyobz5VlED7gC+uWAe9wHIAvYpVryR8Zjs&#10;XJGRsSY2ac+o0UsFGLJO3e5CBjE8zpW7igD/EAuOxzPU4/EGPiITFt6QPa9VmyF6j48S2gN8xnzM&#10;nQf/OAqwtsbtiASPaRcwGpArcBX1FC7SUH0fazwePHSBcIwnAFN41fbqMccYFzKZ74DPXI8BjoBr&#10;q0Z00T4zDkV1HFrqZva+6RN1EKdAbOUrtDBw1FtvF9O50c4ATbSFNgGZtW6ji2eFNsbjt98po3V2&#10;NuMAXEWfemkZjjctWSrS1AH0CvBFX4Bi6T+wFX4BaLkAWsOGfRN5TLYxPHaAYAdAczO60R7+BCYF&#10;ygUYw5tcuWvoRqXrSX/H41Gjlxn4rGatzmateS0NR3fVMl6w9uEN4CYQm+sxR2sWKtxAH8pGa59n&#10;q8cagyMWmayDQKbZc1Q0Y16iZCO9v5N10InjqVqvk2GOmMFjsm1283hMfZGNekmFii11HMJMDJKJ&#10;D5jM9RgviWMyfgJjkkUtvGon9RUgjHV9qZkzeAw4xlxIn6G0zsPuZpzddZ06ARcBDfGYrJ/1dJ2K&#10;jb3iMetA3XrRZm7jMQAascQa4cYxc5Wf5S/A8bmFJUeualqvrichj0ePWWbWjlq1O+t6gscFDUjp&#10;Zs2jHtYw1megPkBMPC5YqL5+oBmlG7Dr8WJp2jxO10485hjjgjoHG5r9wBvH7TuQYa6brn2VtEwR&#10;jbNmJg7YO50jbedqTPSWSpVbq8dldS0tavxmfXU8BsqerHExTMu0Nx5Xqx6t8yllIC5t1gKvh7br&#10;q1685y2bo0hhGTmmlvSLr6Lxl1vX/rd0DO7WGHtA25fbZDoaOryuDBxcw4BxzVrkM1COC+40bpZN&#10;+g+sLCNG1pBRYzmysILGVg6dM6/oGkiWoSe0D4Vl4JBaph4gGY4MbNgohxQu+pSBSgoVeUzatM+n&#10;Zarq3lBTRmo9HaJKq8fZdDyf0Xpu1xh6UT0upWNQR1VX4vpHSCf9d516WSR33odMPaXDnpPO3YrJ&#10;oKERMmJ0LRmuataiqMZlFh3PR+XdDLerl2878Nkw6qltYA6OVKxWI51kDR07WqVqGonpXUaGDK9m&#10;vBkyoobGcX5dZ9LreD6g43WXxlEmA+oM0T4N0r4Bn7VuW1gqVn7TwFPAPbXqppO+/SrIMPWGevoP&#10;Ctfrcuva/5Y5HhY4KrJxTv15dY0JPOaowYohj192wJ2c90qjJlmlX8hjvInRMnhcoqTjcf4Cj+tc&#10;LGDAPNdjgI6GjXImeJy/8KPaPvV48BWPO3Z2POa4UTwuXuIF6diJ7Hva5+F1DPzYuWtpqVs/qwGw&#10;qKdkmWelU9ci6l9V4/EIrYsjDCMisui69pipp2KlNyS6pwOfuR5zNGj1muklW477DEAFnNejV+kE&#10;j4eOrK57fQH1OIPuD+pxxrtM+T56LR7TJo7PbNOusMnwBLgDHFWj9ttaprx67NQzYFCEflDKrWv/&#10;OzpOZN26V+o3zG4AODJTOR5XMrBKWPlXDbgDeNiwcRadA8CYjsc9+5ChMqfOW47hJQvio+aaeL3e&#10;8ZhjestJ46a5pGjxZ4w3+Qo8YiCi+MHhusc4HnfqEqYfkrLrWv2c8aZY8efUi+Iao7UNXNZvQDXh&#10;2N56DbJKHo5i1HrICtixS+EEj0eqWrYurmOVRfeHx0095Su8rvdXj4c59RCLjF3N2q7H/5AKlV7V&#10;cSitZSJCHtfUvbOAPpNwxO6Duh7foWvKu9LbHGEc8rhvZWnbvoiER6Q14A7+VKv1lnpfToaOcDyO&#10;H8IR+3l0vXpH95D7dE7ca9oPIInHHJ0L0NaiVQH1+BUDYZH9rEGjzBIXX0k9rq7P2Yyn43HpMq/p&#10;fLnLAIzNmufT+h2PWXvoI1nKgPyAXvPmf0iat86l4wxg5XjcuWtZ43HhIs/rnLldn6GfMeAsHhPH&#10;tKtrd7Ja6npS0PG4aMmnpEPnQloGj2vKiDE89+CxjoN6TD3lyr2ma1U54y9wFUATHteolUHXvvuN&#10;x+UrvizdY3RdCnk8TOMnshHZKDPq/vCQ8TiiWjoTu7QFj/uo316PmecRNRJ7PFDXsDp18+hcSmc8&#10;zpz1Ht0DdR1I8LiWAdqAB8tVSGM8pq56kRkkbkBF3aeqqzd6r36V1ONc+hzFMbx36Rx9SJ8R8ibE&#10;MR6TBRGYsUSp54zHZNFs1iKHelwlYT507c4vVPD4BY2/O/QZ+ml9jiiq7XC8cT2u3xCPgYb/IUWK&#10;PyHtowqG1mMdK/W4TbuSGnO6nuR7Sj9f3K77zSt6XVmzTgxV4TEgba06mSRn7gckrXpctsJL0q1H&#10;ScdjnQt43LhpIfU4s8bxI2Y+uJk6nTiuretxFWnXoahUraYx6npc/U3p1beseqzeqMeDhgG85lWP&#10;39UYJpviPeq5rgO67rlxzFHILVsX1HF+3XjMugPIG9u/oq45Tj19B1SWmupxWFld+9XjnLke0vbl&#10;NmsEHrN3si82bZ5XSpZ+QdvyL93frwBxxcsV8mV5TR0Qt2NvQ2nd/g1ZurK+HD/VXU5f7CEnz3eX&#10;RUta6WeaqlI/8nUpXvouk3Vn+ZrGcuJMHzl9IU72He6p17TQPpaRmnWeN5BGdO9Msm5TMy0TLWcv&#10;xcih411l9rzmGktlNTafl9Ll7pVesTllw9bWcvJcX3OE3e793WX+4iYaYwWlcsSjUqHKAzrWBWTb&#10;rrZy4my0nP+0p+za28kc49qjZ1EpV/FRqVT1YRk2uqjs2NtBTl2IFTKxbd3VVWbOqS9dumfXttxn&#10;AL73JpaRPQc6aj095PzlGNm4pYNMnKSfKTrl1j3oPqlZ9ymZOKWCyerFsZEco7hhS5RMnArMm17L&#10;3GWyVM2cEyGHjnaRk7TnkxhZuaadjJtQV9fpTFKsFJmcXpI5C2tpf2O0njj9s5esXt9Wxr1fRRo3&#10;Bxi5U1q2SyNLVtSTYyfJtNZDy6nHS1vpHKsmDZq8aTwmk9PSVY0MAEM9eLxsZUtdc8OkVj38u1u6&#10;xmSUtRubJnh8+EQ3mTO/hT5/6tyq9YLxOKZvNlm3pYWcONfH8fhAtCxY0lTnRRGpUu1xIUNa/OC8&#10;snVnK8ebT2MMzDFjZjPd14rpGDwuFcMfksEji8jWPY7HHNW4bVcXAZjr1iOXzqf7JaLmYzL2g5J6&#10;bQenns9iZPO2DjJ5Mp+NNU7L3i/Vaz8p708uL3sOdjX1cOTqxq1k3aotbTtmUI/v1vXmWZk+O1wO&#10;HlGPzzHmMbJqbVsZ/14dadU2sxQvdbc0bPKifDS/hslISPwdPtFbVm9oJ+M/CJcmLdTj0ndKizav&#10;ysLldeSIenxSPT59MVoWL2ulzzyA62/rWN1pMs0tXtFQjp7pbeoBAlq+SsdhVFmp0+AFKVX2bukS&#10;/a6s2dBE46qHnFGPj+q84NjU+EG619R+SUqF3SPde2eRdZubJ3hMRrKFS5voM5Y+K1Z/QspVuk/i&#10;BuWWLTta6lhxxG4PAyXN/KipPheUkIpVnlCfH5SBwwrKlt3tEzzevqerzJoXKd176jNexQelao1H&#10;ZcyEErJrH8etMlY9Zcv2jjJ5SiPds/JL6bIP6N76pEyYWFZ2H+wsp873Mx5v2tZJJs+oI+2iMkvJ&#10;sLsNwDd1ZiXtb2c5rh6fU49Xr2svE96vK63bZVFv7tZYf0Fmzq0uB46pdyGP12xsL+99GCHNWr5t&#10;4rh561c0lmqbuDt1Hn+iZcny1vqsUl2f498xHrds+7osWl5fjp3qZeIYj1es0XEYXU7b4cCWnbql&#10;k1XrifVoOXMxRtvcTeYvbKnrXCWpWe9l0+auMZllzSb1+GwfvVecgesWLWuuz7rFdD15Sv25V9fN&#10;nLJ5e8jjT3sYEPejWc107S4llas+KeUr3S8DhhSQzTvbOR6fizVAJZkwe/TKo+8/ZLKSjRpXTHbu&#10;bW/GHI/JvjdlaqQ+VxXQOfWgrvuP6Xwuo3OpkzlK9bh6vHl7Z5MRsn2nLKa9ZL+cMqOizlsgLI1j&#10;XXPWrm8n739QX+d2NuNxvcjnZdqsqupJtPGYrHlr1eP3J0aot2l1HQDge1nXxFpy5Hg3OXGeeR4t&#10;S9XjUWNqSNMW6aRYyTulWas0smBpPTlyupep5+DRnrou6TiMLa/PSPh3p4EkV6yJVG/xuIf2DY9b&#10;6J5UWWrXe03H8279rJNBx6GZHAfQNXEcI4uXN9P1oYRUq/m0zvN7dW3Ormt2C+PN2Y9jDBQ3a24z&#10;fSYvLVUinpawCg9I3MB8sml7W60jVudwrHrZTeYubKRrUT4DAlbRNXs4a/aetnJS1y483rark0yd&#10;1ki6RhfUZzwtU+1RGT2hlOzcH+V4fEY93tFZpn1UV6K6ZDVrW616T8qkaRV0nDupx866vk79++DD&#10;BtKuY3ZdB3QcGjwjU2ZW0XayruNxH92XOsgHk6vpmp1OPb7TZOOcu7C62aOMxx/30LW2jYweW1Of&#10;W9Lrs93d0rTlazJ/SV29vqfj8bHesnJtGwPeNWz8mvG4XdSbBmI7dsrx+MTZ7rJgUUvdFzktJI22&#10;5y4DjK9Yx3oSiuNDMboXtNC5X1KfA4Et71Gfssj6LcQ6bYnRe3W9Cojzf+5Gk6Z/MMYF4saPHyAT&#10;JsTL+QsH5PsfLspPPwMGnJSPZr6vz0V9JDy8lFStWlomTRolly4dE44/BRYB4FmzZoHJqFU5XJ//&#10;a5WXWbPfk08va5n/XNJ6PjUgA9BEnz6dpFwI3FmwYKoAgvz4n89N1jGAoqXLZkqPmDYOgNailqxa&#10;PUu++PKUqefnnz8z0NOUKWOkY8emBnho266RgZwAegBcvvzynBw6vE3mzv1Q2rZtIGXKFtA52EJ2&#10;7FwpX39zVn78yaln7doFMnHiSGnatJaUKlNAACiAdoB1qIeMdbv3rNc5PEafpSMkrFxB3SO7yZGj&#10;W+Xb7/ReP11UfWzAqAkThkidOpX0XoWMTycA/DgGVIVPW7askHHjB+nnlQr6nFdUxo4bIGfP7ZPv&#10;f8Sbjw0U99FHH8iwYX31GbKMfv4sadoG4Afo9b3Wc+7cAW3zQhk8OEbCq5bUz6VldS8YK598elR+&#10;MPU4ZfC4b9/OCeDOvHmTDQAHBAKQBDy1bNlHBlgElGnStKYsXzHT8Tjkzf79G2Xq1LHSuXMLCVOP&#10;W7duIGvXLZIvvzpnxvwr/fPI4e1a90R9/o7UZ84C0pksTduXa190PLWen376zABD9KNZ8zpSqnR+&#10;6dGjnQFKHI8/VY9Pm39Pmz5W21HDjFVcv846fsBneKzlfvpUFi+ebuC8ehozAHHAeceO7XI8/vGy&#10;fPzxcdm2baW89/4Q43GFikVk9Jh+cubsXvlO45h6AK2AMUeMiNPPEGUF6Oa994fJ+fOHTT0c60om&#10;vvXrF+kY9lKPS+maXUbXl9Hy8SdHQh5/IhcvHpLp08dLXFxX/WxbXGrVrihz5kw0HpONDI9Pntor&#10;y5fz+8mOuj8UlcjG1TSup8vnOpeImZ9/viyHDm2RqVPGGpASUKZ5i7qyevV89ZZMRE4cHzmyTch+&#10;FtWpiZYpKB06NpbNW5bKV9+cMX1irDZvWmLmIyAlHgPcAGO6cQxouW/fRpkxY7x+5gLKKSB9Y6Pk&#10;wMGN6sk5U89P6jHw2XsfDJP6HImpHg8cGKP332F8wZ9PPjku27ev0nVyqNStX9nEzshRfeX0mT3y&#10;LWCU1vOdjtns2RMNyFS9Rjkdh2K6pgzWuDx0xeMLh01cDBveV/fgMAOhTZ4yUi59rOMQ8hiAbMaM&#10;CQakrFRZP+vWLK/z430B4MJj+gY8tWIFv5PuJBUqFzPA1qLFU+Szz0/oWvGx1nPZZAacOnWc8aSs&#10;esxcX7lijvEWj8lMCPy1YMEUfd5sZgA04nnjJo114tisOZ/r/F0ukyeNNvMAOKpL11bqxRoz1ngM&#10;aLlv/yadjxN0HGubOO7Vu73sN/CZ3st4fNnAZx+ox0B+eEz/yF6HL2RlxGMAxA8nMg5VzBo4bISu&#10;+ad3y7ffX5Aff75oIDTibdQosgyVN/N87NiBBvD78UfH44sXD8vGjUtk5IhYqaYeV4nQ9WTScLl4&#10;ScfhR9b1TzRejxmP4+N7SGX1mDnBvz/5RP1Tb/D49On9smrVXDMnK6rH9XTc58/XWDceM1aXdR5u&#10;Nx4zt4HCGjeuYfoJROl4fF7L7DSgXZeuLYzHbdo1kPUbFjhrxX8umjjevn2lieM2bQFu8mvMNzfr&#10;5tffXAh5fFYOHNisz2Zke6ojZbSenr3ayd596xLWdTxeuXKOejxCgPzwmHl68CBHPn5s1gpiaOfO&#10;NXqvESZmyqrHwHknyJqnHv9HPQbQY93E11q1Kph+4Td+/MB6bOL4iGzatExGj+6n8anrSZXi+pw2&#10;5MreqfP8s8+OycyZ7xlYtYrunUCvrKusV67Hn35yzOy9uYuVXurdl9Nmz78stG0n+9LP6du81+Us&#10;XGqy/4t4vtDny3qABKA0wCeOQQV8ImMVIAhf+AM9AX0Af5DJCfAJuAxoAvCAOqgPeAowAGAEmAEI&#10;AegESIF6ACwAfQAMyOwFXAE4BnQCPATIABgBdAKkBMwAqADQ4QJq1AXMAUQEQAOAAKhARjoXUOMI&#10;O6AaQBSycQGUAFEBGgGLUIb7ATUAX1DGhXLcLE20l2M8ARkA3egLfQLCAKwAlKAeoC+ACEAK4BfK&#10;AOW4WZoAL/AHoINMWAAeeIyP3Nv1mH7jMcASMA5lyCIHIEQZ6mC86DdQkAuMcE9gH/pDPbSLjEz0&#10;1YWjAMfcTFgu9ASchK8AMPQdMMkF1OgX/gFzMZ54jIf8HUDJ9RggB5AHSIT3gXcYW3x1PcZv4BCA&#10;G4ARQCv8BBZxPQbyAXoBgqNPwEQALsQLZYgxxgHA0B0H4DqgRPqLx8AreMz9iU38Ay4jlvDW9RgI&#10;i7rdWMdr2sd7gD0ALEA8wG1cT6wDSQL/0B/6xbjiJ5m5gINoD20n1t04duEfPAbkwmM8YIz9HgPn&#10;EZ/EOsCSG+tklgJio5947IJPxBGeUcb1GMgJ6AyPqYu2ubHOWAEEEtsAbsQE406sUb/XY4AqdxyY&#10;o26s4zH9IkYAtQDu8I845BrWCO5FbFEGGAlgzBvrlPHCU8xZADQ8BswktplPtAePWRcAlsg+R3vI&#10;vkesU4a2EM+MnZvhEPAJn4gD12NilGu4l7ueACy58BQe0z/mK+ODv6wnwHz4QT2INYG5yLpEHcwJ&#10;fHBjHY/5O6Ab843x5n5kH6MN9ImxArYiJhkHN9ZZp4h15jf9YvyZvy5cRv/dzHpuHFOGsXFjHR+Z&#10;07yHv4h4pB+AZy6sCkzoekx9QJVAaYwjZYDLiHXXY/pObOGxC7QCjjE2+EffiSHGE0jOXU/wyQUF&#10;8ZjxpA/EKOsEseyu2V6P2VOYM26sM5+JXddjYhqPydDnrtmsHVxLGdrN3ABupAztxWNi3R0H2sM6&#10;xhyhv/jHms0aTjuph/lAGdY3xgFvvLGOv8Qy+xn9Zh2hjLtmcz33oizxSBupNwklgtcdXQcgLqJ2&#10;ex24BTJ0CEd0zjDZeoAdADiqRrQTsscB7JDdhkxOwCEFC9U1gAtACNAEWXL69wdqWqCL4lL9YD3S&#10;1EEWK6AHMgEBmgAXkPkHwIBjNcl6BpTCkYM1anU3UFP8gDn60DNfDVup13Uz8EamzGWFTF/1G/Qw&#10;4BiAAe0h8xiZfACjANAAXcj+BNQ0cOA8rWeejBm72kAk1APwULoMGaH6JsB5gAxAPO4RgcApZD8D&#10;+OrVc6ppy0CtZ+TIZQaOAbYB9ipfoaV+cBpgoAvaAlQCVAQIkjFTRS2jC0nFNgbiiFVf8Qb16/eR&#10;AX/wB0CvcpX26t+wkMdOJjaAEsCNDJnKS74CtfUBMEonpnqs1zoeL5GOUWMMBAeoBbxDRisySQFe&#10;ONmVnIxkeEy/Chaupx+suunD8TjdyEMej16h4xATgrQcjwG1vMcaAiZxZCYZkfAYYKtuvV7SrTse&#10;q3/qzdixq6RM6aamHjJHlSrdWP3rYyAbPEbduo9Tz9oImcbwuFTpZtIwMk4XiikJHo8atUxy545Q&#10;j8nWFmFAtOYtOPqQjGROdiXgOLLvEX+58lTXMq01Jgfqog5wM9/4MzB+jnocph4XM5AM8GG79kON&#10;t3iD1xwdSdxd8bijtG47wowPdQxTj8mMhcfp1GPiGIgMKI2xph5gK2AuAL+MmSvomOFxV10MxqrH&#10;s02/Ro1ergtHH9MnIK2ixeobUIsseHgMiIpPHOeIx4wVx/7WqdtTH2TeT+QxGffwGAANjyMb9TZA&#10;3hWPx2vMtTMeU1dJHZOGkbHSMwaP8W+ePsSv0JiobtpD9kYy8TVr3s/0xfWYPjI+mTSOc+WurmVa&#10;STON4z59pps+DcJnrQt4kvkABEmWrjZtBxuPiWM8BjoFVAU4xCMg2jZth0u/uJDHw5aYOCJrIz4D&#10;+lWr3lHvDwDpZGJjfrmAHx4X0LUH4LBjR7JR4vEC43GjxnHGG8fjBupf9wRwjHqY76wnxB4eFynW&#10;UGrXidEy7+lmH/J4zCozZ12PS5ZqpP710jnwgfEXf5gbzNkEjzUWGzTsqxvJ5ASPx4xZYTzBY8BO&#10;gFfANrLmuR5zhCbrjIlj9TisPNkU49XjaVc8Vh+BZvGYjGIVK7VW/4aYdZh6AL/IYka84HGefIxD&#10;O2nZapg+qLgeL9IHiUkGSsbjQoVrqX9ROo+Afcn6xlGg0wx8ZjzW9pB9j6yWHTqO1nV9to71Ahk5&#10;arlp35tvAcKVEbJbAsACt7ke9+k7SX8WbeCzTFkqGoC2Vu0eWoZfFjgej1GP8Q+Ps2StoOtlpFmn&#10;AOlcjwEXyXDIeoNYU+vrHIrRfuAvGjt2pcZLHeMxR5MCvHJULm2gDuZW5y6j9ectzHjnzF1Nx6Gl&#10;lhmQyGP8yZqVbIHFdF5U0/FvbWBGN+sbHrE+s+4B9+FxhYrtNbY5/nqm8Xjo0EUGgHXBZOI4olpH&#10;9c8BIKmH+gC32TNdj9u0Ha3zOzEQ17h53GT/Rv9LgbihIyub4+lefRlg4mldI9/S+ZHHgEPDRjhZ&#10;kXr2riC162ZWXx6THLkekrByr5jsZ4BjQ0dWlWGjImTIiMpSs04GeS0NR/I9p7GVTtfjgtI3juP9&#10;6svQ4XWke/cwqRyeVrLnfFi9ecwcUdqiVS7p26+cXh8hw8ZUlYHDK+kYvqRjdZ9686I+V2SQtu2L&#10;6vwly1UDA5UAFZUp+5pkzf6gFCz4lFQxGaHyS7+B+qFyZIQM13r6DSynMfOojsMjGvOv6JqZWaI6&#10;lzbgmJNdqZrJqlak2POSLceDWuZZk+2rY+ciEj+kigzTeoaNqiIxfUrJG2/cq3vVEzp/0+h+lt2A&#10;MkAT1BPXP9yAUfkKPGXaU6LUC+ZYvK7RxWXwcMeboSOrSLuogvLqK3dovD+ta+Sbuk7llpheVzzu&#10;3aei1KmXWfepxyRnzkf0w8fLJvtZTO/SMsTjcZ36meW11+6WvHmf1TmeVtdjftEafsXjHmWlStV3&#10;dJweltx5H5UKlV7T9TiX9IlzPB4R8rhUmdfkrbfu09h6QZ/L3tX4Kib9jMdkcqolHTsV13F+Tb15&#10;SOPwCS3zlrRpl1fi4q943H9wBcmR43F5N8PDUqzoK7qfqcedShmPObJw4OBquk8WkqLFX9B6HlCv&#10;nxWOZ+3QqZDED65s6hk2Olx6xZbWOX6fzt/HpVTJNLoeq8fdy2k7XI+rmixv+Qs+bcaKjH916mWU&#10;Lt3V42Gux5V17ArLK68ApTwlZcPe1PUYj7W9w0Me961kAL/c+R7XdeAhKVPuZZP9rEfPUk784bHW&#10;U79xNnnt1Tt1jqvHFdPqWpZf+ng8Jmte1ervqsePGI/LVXhV25dTeseWNfUMH1VVBqnHYeVflzfe&#10;VI8LqMfh6dWLIgaCw2OyhEV1LmGAJjzOpx5z5GzrNnhcIcHjAYPLa0w8pc9uD0uRIi+rx5k0/ktq&#10;/NYMeVzdgILFS76o8feAFC76tFSr8Y6WKZjI495xZSRtWo6WfFxKlEija2826dItLMHjfgOqapzk&#10;1T3zGeNxcfWYLHRdDGQabubDUJ0PnboVkVfUmxw5n9I18i1dj3Opf47HZPcCDgWMyp33cd3zdK0I&#10;e8lkP4v2eqxx3KhpDp0PePyMrpFvmyNQe/dl3jkekzWvWo30ulY8ov1/1GRBbNIsh8aKeow3eKz1&#10;VKj0pryu8zN/ged1H0gnLdsU1vWzmr6Px7W1/SX12jdCHnOE2JvSsm0eiRugHofWnPghFXXPfFbS&#10;pXtQn0Fe0j1PPe5IFknHY+AoILYSpV5Sjx/SMk9LRI200j6qgI6P4/FQ9bjPgDBd0zky+DH9fPGa&#10;epxVOnfFYyej24CBEdK8ZT59vg55XOI5k4Wuc9ciVzzWtaJrj2Lyqs7xHDmf1H3/DfU4p+552l7i&#10;WD3uG1fZZPbLk+8J9edBncsvqueZpTseD78Sx2Q9fEU9zp1HPa6QVveUvLrOqMcj8LiuyZoH4Jcz&#10;96Pq8SNSvvyrJvtZr75hTvyFPK6s68nrr+u6nv953Y/f0f2skMT20/d1rPCYI4HJBIrHefM/LpWq&#10;vKHjkFti+5dP5HGBgs/rs4XGaOGXdM/LoJ8XSxhwzPUYiK1k6ZfNOloIj6unlXYdC0j/QVc8jo0P&#10;02eKh/SZ4TEpUfw1fWbIKp26lDFwHu0hwyYZ8AoVedZ4XEw9rqked+paNFEcd+9ZQtfRu3Rdf1L3&#10;/df182JOXTvLa3/qahmODa5iwO08+Z40/QLKrofHMSV1XXc8HqweN2+dx/E49zPq31v6bJRXevWp&#10;nLCukzWvZu2MJobxuGz51/TZpYx+JkgKiCtw1Rfq/uNZKtcu9eH+I81lxqzasudAJwHUOvNJVzl8&#10;up3uBxmkeHGyCWaQfvHFZd7iBrL/aHc5+0lfOXq6hyxYWlc6dsmk3j6ne3ha9au4LFgcKQePdTEg&#10;0qUvesiGbY3U1zekjMZVy9ZZdQxLC0dXHj4VI2c/jZMDx7rKlI/CDQgSUeMFLZNRx6eMrFjT1EBI&#10;py90l8+/7SUz5lSRSpVe0X3qVWnfMbuMmVDBZC07fq6XtjdWdh2MkjHvhUmDRmmkeq2XdKyzydgJ&#10;lWT95tYGMDh5oat88X0vXS+KCUcCV6/5ps7nPPLB5HDZsqu9vt9HznzcV//eRuKHFtFxflnn3Ku6&#10;9+YVjvDcpmWAf05d6CIffxWtP8+t3jyrn/vT6b5aQKZ/VEN27u8spy/11bp6yZpNzaRn39ymT/Ub&#10;viE9+xTUMrVk9/4ox+NLXeXEuY46hzla+Dkd6wwSO6CYzFlYX/Yd6WbacvRMD1m4vIE5LhKYMLLJ&#10;27q2FpP5i+rL/iNd5Awef95DtuxsouvrWyauWrTKovO2tJBR69CJHupxrBw83k2mzwYEeUfnygta&#10;JoM+N5eR5ToOR052Mx5f/iZGZi+opnPyVV1DX9X5k0NGjS8vaza2lONne8o59XjPoSgZ90E5adhE&#10;Pa75krTtkNUcgbpuk5Y501296Sqfq8fDR5fUtfpFXfve1PmcW96fVMXASK7HW3e31T2tqNSqi8ev&#10;6HN6LvlgYlXZulPH4Xy08fiTb3roOp9H95dndZ99Rz0uKFNn1lSPNUbV41MXepujD3vH5dV97AWp&#10;1+B1U2b6zFqyy8A0jsenLnXSfjseN1KP+/YvKnMW1JN9hx2Pj52NkcUrG5psWXjcsPFb+oxQVOYu&#10;IEsTHveQC591l+37mkndBm/rc9vzOmZZZNCwUrJ4RSP1ONrMh0MnusnMedWlVbt0Oh9e0OfV9DoO&#10;pTTWmxio6fSFaLn8dYzMX1JD9+ZXdX6/os/KOWTk2HIma9kxPNax2nu4k0yYWF4im74u1Wq+qGWy&#10;yOhx5WXtRo6yxGOdD9/1lNETyuhz3YsSEfGGRKl/EyZWkY3b8bi3nNZ+bdvTzsR67Xov65rxiu61&#10;Oc0xqWTfO2niuKt89m2MPpPmM0eq16nHEdv5ZcqM6rJjLx73UQ97G6iyT798Oqde1P6/Lj16FZCp&#10;M2rIrn0dtQ6nnjOfdJHW7TIbjyMbp9fyhWXW/Lqy57C+p205rh4vXRUpXaKzOx43ekuf04vInPka&#10;64d1zuDx5e46h1vqXElrPG7WIrPOw5KyaJmuJ8fV40/7yuGT3WX2vJrqybsax8/pc1I6GTiklCxd&#10;3tjAeXj8iXq8ZGUdqVrtNX02fkmfZ7LLyDFlTdYyPGY+7DvSWT6YVFEaNXvT8VjbPmp0OVlDmdNX&#10;PJ7wISc6vKTPq6/r81VucwTqhm1t5cT53mbMt+9tr/tIcX2OfkXXuJf1mTGHvPdhuGze3lZOngt5&#10;/F2MPsfkN32qXTetrvn5ZNL0anotMdpH+95bNmxtqXGZT/dP9bj+6844TCfDYUezVlDPuctdzHwz&#10;Hkdm0GfwIvLRvDo6JzVG1eMT53rKsrWNdN/Joc+TePym7jtF1C8niyQen/u0u/a9ta6R70jJkviX&#10;WQYMKiELlzaUA3j8SZwcORUtcxaRdTaDWdebNHtHn/1KypJljQyghTeffNlDlq+pp/M7jT63vaTP&#10;otl0zpeVleuay5EzVzyeOLWS3uMt43Hrdpn0s7zGupZxPf7su166/laQ8hVe1uet1/VzQk4Z976u&#10;2VvaJHi8Y18HGTG2pO6Xr0oNPO6UXcdBY30rHnMEtq453/Y0WfNKln5eatV6W7r1yCsTp+maDciL&#10;x7rubNzeSj/HFdQ68DiNGYfJU50Mh24cX/i8m36eyGaepRo2fFefDwvJzLm1ZffBKx6vXN9Eonvl&#10;1OfJF/S56U0dW431uXVk70Fn7zz3SXc5eKKtfu59V9cu/Mso/QeW0Hmv68kx9k71+HS07qV19F4Z&#10;1ePn9TPfO2YcFi+NNHAe3nyse+eajQ2v2r/TZc37hHf/RiPGjfjQBeK2bl0iHAUKGCBy2UAuZB8r&#10;VCirAb6ie7QzMNChQ9sMFEDmHwADsmwBVtWqU97AbGTmOnpsm/z4I5nNOFrpU1m0aLI+b2UzoALA&#10;FsABWZcAtci2Q9a3994fakCQBg2rSGxcF1m4aIqcPbdXyLTz88+faH1fSHx8N42/vCZb3cDBvWT5&#10;8tlCBiGTbUxF2wYO7KHrVnn9vFRDgB1Wr5ltwDHTp5/JAvG5fu6tpp+pikvbtpEyciSZiJaIySCk&#10;fQIs2bFjjfa3jc6rstK2XQMZM7a/bN6yRL786rT8TJ9+umgyhpGhCZikU6fmBtoia5mTpYmjei7I&#10;2rXzBcimes0wA419MHGY7N6zxgBftAcg5MTJHVKwYDapXbuikKUJaMKBOByPga3mzZuk/amla0U5&#10;bVdrmTFznBzWsQEiMv36z2WT5Y16AG4AD8kwBwAHfEF7zp07KB9+OFz9DTc+9+3XSeYvnGygpise&#10;fy7DhvXW55PcxuP4QT1l6dKPBHDM9fjIke36WaKnGW9AtsFDYmTFylkGavqZPmk9eNy8OVnWiupn&#10;yYYywni82PTF8fgz2bVrrcRwnKh63KYtGYT6yabNiwUI0/H4konF8uULCxm+oqKaGfiQzE2AY/QJ&#10;KAlQEFgMjzt1bmrAFDJqASMZj3Wszp3dp/GX3XgMIDV58mjh2F1AGeph7IF2AJpqqsfdo1vJtBlj&#10;DJznegw4tnbtPPU4iwE6yb43e/aHAsjpePy1XDh3SCZNHqUeVzUAUZ++HWXe/IkGavJ6PGZMfylW&#10;LLeBtACjANIAx1yPAbWGDuujzzgV9PmumsRrTK9YOTPBY6AmPAYuIoNaq9YNZPjwWFm3bpGZk7SF&#10;mCB7IWBezVrl9FmmnowcHScbNi4ycB5zE2++//6izoVixuMOHZsaiI2MWoBjeAO4w9hFdWpq4B8y&#10;HU54f7CBTF2PmQ+XLh2SIkVyGIiIbH4ATnv3bgx5/LUAvwI3tmhVx7SnW/dWBjgEzgMiop6f1aPN&#10;GgN4TEZBQFUyzAFActQv9TDfp04dIw0jI3T/rCS9+3SQufM+NNn3yC5nYkfXFbK+FS2aS5o0qSlk&#10;LSPDHOAYGd3wmHEbMTJO6tTV/bwxHkfL8hUz5MJFyrgefyGdgeXCCgmZBYFWyZQI1IQ3ZKSkj336&#10;dtL9oayOA5m4+xrgCzjPrH+AbN9/bGBioGKyjgFbkeXNzb6HR2R0A8zD4w4dG8mE9wbJ9h1AYZS5&#10;LD/8dEE+vXxE4yaXgeG6dm1lgFPuzxjhDWPGfG3Vup6ZV127tdS9aqSB875PWNc/0XVqpRQo4MRx&#10;z54dDLgFAAnwRT2AvKz1+FK3LkfTtZfZc96X4yd2aMw4HhPzU6eOMmMOCEe2TQDhM2cOqC94TGbC&#10;PTqv+wuZEiMbRxioeOnyGQYcA+J14zg6uo1ZSwE7Bw/tY+BQr8fAynH9umifymmZOjJ8RB+TjfLy&#10;Z5TBY2CiTzX2yguZQ8maN2ZMvIHqHI+/Nh4DNwLm4U37Do1k3IT4BJDX8eaSycTH+lejRnkDrJLF&#10;kXnkZDh0PGbfad2mgY5VmHrcQuf8CJM90d07f9J69u1bpx5nlXr1qghZAQEOASCBQ6mH/m3dstTs&#10;vQVKlZuZeG/Ovy20bSf78gNxuYqGLfV/EQ/kAoQBDJU/f34DXvB3vvQHMAAO4kt9ACtgEWAHygAs&#10;ABwA9HC9C0cBtRQuXNgAGABFgAHAJoADwCCAFUAtQAyUAYgAogPMoC28AC2AWwBBqM/N5ARgQD0A&#10;BmSsAkCgPYA5wCO0ERjCrYc+AEMArgBRAQO5wBf10F5AEOA97kcZgD9AEyAOgAdewFuFChUyZYD3&#10;gFAAZeg3/gBfAJ3wPsAIcB0QBT/HO0A26iKbHh4DVQCL0D5vtizAFGAR12OgHcAZxsH1GFgDOKtg&#10;wYIGWgSkwlM3kxPtXrt2rekLHlOGceBnLtTEC0ADWA6AA6AG6ASgxfUYqAZ4BbgDqAeQxptRy60H&#10;AAcAC3CFccVP6qYd1AMog+/0GSiFdgGGuONA33nhO3FDGSAWACE8xhfKAMQAnQBoIXcc3ExO9B2f&#10;AQXz5ctnxhQv6QMAjRvnADr4iseUYRzI9sQ4UAZQhviinXgMyAV0CXTl9RhwC6AJjynjZo9jfFxv&#10;6CP3KFmypPHPzVqGf3jDn9wbQBKPveOA/6433BvYEEAI+JF4JFZcj2kX0BXwHv5RhnGgr8w5tx4g&#10;oiJFihg4D2ALYM3NSEYZYC7aSAzjMdCTOw6sFfQdQIp4Io4BiFgTgIi41vWYfhPr3IcyeMw44DHv&#10;4zHzFP9cj4GtAHCJF+5DbABlEQt4TN/wmFinjOsxbeO9EiVKGB/drGUu3Eg8M4dYR/CYeAYmdMfB&#10;9YaxczOxMb8ApVxIl3qYO0CUQGfEDhAV4+ACX2578LR48eLmXvQPz92MZPSLWGSMmXt4TP8AtVyQ&#10;lzL4A5yMx8CWeAysxxzgPog1irhkvL3jQP14DBxKuxhD6qHdjAnzlXWP+3A/Yo0ytBcfqdMdB7dP&#10;jC3rSLFixYx/tI34Z83GG8aSeoHGGCtAU3ccmEuux4CfbmZHyrqZJl2PmTv4RzzgMeMADMl64l3X&#10;WVuZU9wLcJPYdyFd+kWcUTfesSYT6+44EFeUYS0lDgoUKGDGAoiSPcXrMXUCAOMxZdxxwA/XY+7J&#10;tXiMf9590fWYNZM9gT7x7yR0zP879LTZ80eFtvJrf9Ws3/nboUOXyJjRK3VBnC3/938vyJ13vSLF&#10;SzQwQAGwA/DPmLHL9MPaHP1Q0V2efS63PPpYZgFUiOrEUXkufLFYjd2gHzYHyv/+7Sl5+JF3pULF&#10;VvqhE8Bqtj7cLjL1AM2ElW0ljz2exdRFxhwyGg3oP1uGDl6opi7RTWC7tqGJ/OWvT8gLL+bWD69d&#10;9WHdgX9Gjlps6uG4U45tfeDBd002IrKGAQgNiJ+rgbpY27NEB3+HcPzf//sfju0qqR86Y/Vh0AFT&#10;qGfUaMCnsQbMu+fetAaQAlwg81J8/Dxti1PPxA83yYMPvSt//8ezBnIB/hkQP10/aJH1aInpGxnR&#10;uNd9979jgDiyvMXGzdBBn2/6NGrUcvVzvtx+x8tyhwqoxPHYAaxGj1lq+gek9tzzeeWhR/kFciP9&#10;0MQRnlc8njBhvT6kD5O//f0peejhdwyc50BsjsfUA5AE3IPHzzybSypUamvgn34DZms9rsdb9cNJ&#10;S+Px8y/kNOBi7z7OMbPuWAESAXo9+FB6eS1NUR2HaOkR43jsejNt6k71trR6/JQBSwC1HIjNGSva&#10;AziTJWsl4w2ZBQ1w2HuK8dgdq0kTt8gj2ue//f0ZAV5s3Wag9mNGgsfDR+gDh/rO0a/UA+RC5rC+&#10;sdMTPB45crnx6M47X5F//99LBhYEPsJjoB3awtiTXe+FF/PJgw9nMEARgGECDKf9mjBhnW4Ko+Xv&#10;f39a4+ttA+d1jx6v3uDxQlMPsAtwz+NPZJMnn8lhgD+yRgFq4TF9mjxpi27M7eSv/+8JjfXsBqrr&#10;1fuKx2PHLjeAKBAXHpPFikxUHPcLuAhsQ3+mTdspGTU2qQeYCFArNs6BOkeOWmLaA9iZNVtl4026&#10;9GEGJEvs8WJtzzZ54sksOj+f1rIVNI7iE3lMm8iyxXGr996XVrLnItPfkKs8Hjliudx112vy73+/&#10;qPFRS9eBEeqxA7HRFv4k2+SLL+XXfmUw8GGHjqMSPCZ2xo1bow8jE+Sf/3xG2/yGrglk8QOwmqNj&#10;7cwHwDiOJX7yqezyxFPZDNQEYOX1eOLEzUIWOrx56umsAlTXq7eT/cydD8BoxUtE6nzJIC+/UlDL&#10;dNV1yfWYevB4h2TLHq71PGkyl5ENjetcj5kPzLMcOasaj8nyxRHPPXtNVo9Zc5yxmjx5mzzzdA7j&#10;MUAb4KwLseExc4JscWS7w+Ns2asaQLNP32kJHg8fvlQ3yZVyz91p5J//esEAdh2jhieAgvSJNaNx&#10;k1h56eWCZg1knpLJLI7smANdj1cbIO5f/3pW7/W6ASm7dhur3jhrDn1ibnAM61Pa5sefyGogMjIN&#10;9jeZGx1vWP9q1Y6R/6fePPFkJh2T9tpvJ/uZ6zHwYomSTXXdzygvvJxfqlbrpH59oPWEPNb24HGe&#10;3DWMx2QnJHNi31gHnHXjmKxqHI2LxxxrS+ZOsgS6HuPPlCnbdf7mkf/536d0XpSVZi36SVx/B+oc&#10;NXqx8Rjo712dB3gMWAdo7Pd4/Li1cu+9b6rHz0vefNXVv2EJHrtrDjAjWerufyCdAdrIyGc81rUc&#10;j4H8eveeLv/69/Nyl44XIGWXrmPMeux6jE9Ar6zFrMnAkL16MacSA3Ft2o/0fZgvIBzPEtqur3r5&#10;fzGfOV9BGTmuijRskpVf4ut+dLf6x/8W5ii4BjJmXKSMHtvQgBPFSrwojz6uZd76t8ZxdvWvkgwl&#10;M9e4ajL6vaoyYmxlKVriZfkvrSdLlsc0RoupN3Vl5OiGpp5RYxpIpy4lDET0yKO3SeasD+hakV8G&#10;DKwiw0Y59Yx5r5oMHVXBAC7/+udt+kD1kq6rZXW868mIUD0jRteVFq3yydvv3CmPPHabFCz8tER1&#10;LqZxWVWGj9F6xkdoPcBaYXL3PbfpevJf6l9aXSuqCEf2jRrTUMaOb2SAJMCdl175X43R24Rj/Lr3&#10;KGMyGpl6xkXIqAnh0r1XUePNs8/9XeM4m64V1YWjYamH9gwYWNVke3r6WS3z/F9NVqJefYBXtI6x&#10;1WTUePVGPW7SIoepJ83rd0mduvkkth9gXgP11/GYbEQAN4+rx2le/5dpGx6b7Gdaj+NxRSkV9pqp&#10;J2OmR/VBvLjev47H4/rSuWtJA18wVhkz32cAnAEDw9Xj6tqOCBmr9QwZXUH9u1/+8Y/b9APuCxqj&#10;YTJIPXbrAVABFkyX/i7jcb4CT+l6XFTiB4XLCI/HA4aGyf33/1Xn3n/pWvG2rhWVr/IYcOeV1/4m&#10;j6vHZcJeMUdvkpnL9Xj0e+ES06e4/OW/b9N18G/64T+zzl+OT7ziMfBiRPV08sxz/6X6i45DWvW4&#10;vAzxeDxqfBUDOuHNq6/dqc93efQh2/HYqaehgbVKaxtoy6tp/qHrSWYdB8fjEQkeV5YKld809aTP&#10;8LA0bVJE9+4rHo8e20C6dCslefM/IQ9rHKfPcK+uJ3mkf7wTx6O0T3gzbHRFSZ/pEfnb326TPHme&#10;12cRja3Bjsdjx0fqn/WkTbtCkj7j3cbjvPmekHYdCmtftQ0hb8a8HyEDh5WVRx75X7lHY7lE8bd0&#10;ragog4fVC3kcqXFWWyIb59L+/N30C6CoK8dCJnhc1fSrV1wJXY9v073xf/UZI5M++0botVc8Bqyr&#10;VjO9+vvfuu78t1QJf1s4QnbIsGoJ82qkety2Q17jzSuv3K5rfG5djzmismGCxxwXG1Yuje6/lPm7&#10;1K6byfwsweMJWs+4ylKlWlpTT7p3H5JGTTiCt27CHB8zroGZi8Tdo+pNuvR367qaO8Fj4817gFYV&#10;DUT5P9qvXDmf0ec7gFfX44b6Z33h6NRMWe4zHjMvOOZzoM7Z4aM9Hg8vL0888U+5+67b9NnqdX3O&#10;rqB7h+Mx7eE42kZNckuaN/5p5lXxki9oDJTQOYPH1XXMHY/79C8pf/vf2+SJx/+ffvjPqHuTzrVh&#10;Vzzm+E0AtOde+ItZLypVeUvX1nIm+5nX4/ad8xtvXnrp37oP5NK49XrcQGO2ipSr+Lo8+bSWeeVv&#10;UqtORuPxELKWeTyuXju9qSetzvXIRoV0b62TsK5TT3RMmIHz8Ib1FLC33wAyJTreUM+wMZUkd96n&#10;5a9/vU2fs5/SZ8CSutaG1nX1mDWHo0kzZ73f1MP6TlyzVgzzeDx4RHldQ/+tn2VukyJFXtPn7PIa&#10;o1c8Hj6qjjRplsfsL3hcrPjzZi0jcygej9Q5Tj2xA0vLP3RvePTRv+qH//T6XJbYY465JsPc8y/+&#10;xfhTseKb0qOn7iGJPA6XTt0LGW9efPFf+pydQz94c4T2lTgGdAbyo44XXvpf/byTQcehopNhjjUn&#10;5HGd+hlNPQDcDRsW1Ge3Kx6zVnDvwkWfNd68lfYOnas59HnBgeFQ+aqFp3v3ZOQ/9tz/Yb5irdIL&#10;jp9uI/sO9pVT53rJhcsx8sX3wGod9bPpQ3L33bfps15WWbaSI+UGyPlP+8vHX/eXUx/HyKQZ5XSf&#10;vlPefvs2fcbJKkuXdZBDR2Pl1IVecv6zHvKD9JXVm+rq89K/5ckn/0fXmyKyfnM3OXl+gFz4fIB8&#10;8k1/OXymqwwakV+y5/67zq2/S/fuRWXtuq5y5DhHUPbUctEi0l/3mxK6//63PpfdrfFQQbbt4jjR&#10;eLn4RX/59Nv+svtIe+nUI72uAf+lz0r36vMjx0LGyLFTfeTsxz21HPXES/PWmeT2O/V5oOBTMuH9&#10;OrL3UF85c2mAXPqyn/arn2zc2Uwim72szy/sMU+ZzE47d/cSsuKRtezSl921nlgpU+55fe7SmKj8&#10;usyc3UwOH+8nZz9Rb77qp23uK4tX1zVHsr7++m1Svfqr8tGs5rLvQF+tx/H4s297aF1dJGv2h+VO&#10;XSsaRmaSJcvIThUf8rifnP4kRqbOZi+/W2PiNmnSNJMsXtJeDh2Jk1PnqaeHfCd9tM0N9bPF7fLY&#10;Y3/VZ8+Csm5DVzl5Ll7b0c94c+xsN517hXXN+odkzPg3/exTUNas7SpHj9F39fgzx+PxE8voM/Rf&#10;5I037tLYKydbd8bImYshj7/pJ/uOdpBuvTPJuxn/S/Lku1vXvgqyeUsPOXYy5LEZqwHSLiqLfg5m&#10;r3pc106OEXQ8vmg87i+bdzU3x4S+8dZtutc/brLA7dilHutYkTXqkhmrOClf6SX9nHebAfRmfNRE&#10;DhmPBzgefxEry9bWk4iaT8pr6nHViFe0TDPZ7/H4snr8+ffddR151LSnXoOMsmhpOzl2ur/eR+NP&#10;6znzSU+ZMa+KlAy7Rz/f3maArkWL2snBw2TL0no0jr+V3rJ9fxN5Jc0dun/+tz6r55fV68lkp2OF&#10;x98MkGPnuuk8LiJ58v9DMmT4X/1cmk9Wr+6iHsd6PO4nk6aX1/n7/+TVV2/XNaCsbNlBtjvX4/6y&#10;71hHiembVTJk+ovkzu2Mw8ZNeKzzIcHjeInqnkPu1LnJf3gYNbaG7NnfR8cKj/trv/rL1j0tpEXb&#10;NPKmxk3xko/K2HE1ZfvOnjofehuPnfkwQCpXfdXEMRk2p85oLAePxel9nPlw8ctYWbGhvtSo85Q+&#10;R96mz1MvyrQZTc29TqrHZOb69Jto+eo/PbTfj8v/3X6b1KmTXhYsDh11qXFMW85+2ktmLahqsja+&#10;rvOqQcN0Mn9hW/VY14pQHH/9cy+Nrxb6/t06z2/TZ5w8GqMc3aweX+6na8UAOX4+WsZ8UELyFfy3&#10;7uN/1ef5PLJqVSc5oh6fvoDHPeRn9XimjufjT/5NXn75X/qMXUo2byfbna45IY/3n4iS3v2zS8Ys&#10;f9XYuF2fO8rIho3RcvQEa06Meswcj5fo3rnNc3/WbA/r57pqsnvfFY8/1fm5fV9radXhTV2TdI8p&#10;puMwpoZs0zlz/KR6rHHljFV/qVbrdfm//9NYL/WCTJ4WKQeOhjzW9lz6Kk7XyIZSq94zxuOKlV+Q&#10;qVObyB69F3F8/nJP9TBa53kvyVvwCVNPjZrvyPxFbeToSfX4E51T6vG5T3vLnCXVpVyFB83aVa/+&#10;2zJvQRs5cIiMZM58+PI/veTw6dbyZtp75YEHbtPPTLlk5ZooOXFO1/XLznp84mJ3GT+ptOQvcru8&#10;8+5fdP/NKctXRskRXddPh9b1n3T9m7c0Qp///i4vvPBPff4rKZu2ArKy5gwwHh862UniBuaSLNn+&#10;R7Jn/7f07lNKNmzo7nj8sdYTWiv6Diign5Nvk0yZHtBnyKqya09v4/El4ljr2XGgjbSNelveTsde&#10;/6B+5q8m27b1Uo91zVGPL5mxGiC1tb94U6zY8zJxMseSxjoeqzcffxkna7c2lroNnzMeV6j0rEya&#10;Eim79/aW46cdj4Gcf9S1tFCxp8yaE1H9bZk7v1XIY9Z1XTM+6y0LltUwRwuneYNYf1Pmzm2lHmsc&#10;u3vnDz3lxKX2Gp/3mX41a55dVqzuqOs6HmufdP07qTH2/tQwKVT0dkmb9r+kVavssmxFRzls4hiP&#10;o+U/uncuXVOT54FEryAgbtDwQQtcIO7jSwdDgAuQGl8UfycHDm4wzxVZs74lHFMKtOPAP9+pRIAN&#10;Bg7uqXOP/yT0pkx4L95k5gKyEflS5XzhPHacOcJVSpbMYyAiMhFxJKnoTs/r9Jn9+kwcKS++/Iju&#10;WbnN0XPAPxzJBxTh1lOteinzWaZmzQo6f+eZ+//0E/f5yYiMYxERpfXZ9iH97FVe14G5zvGmPzug&#10;h1vPyy8/Jg8/fLsB4rZvXyPAaxy1KroK0KZVq+ZLocLZ5IWXH9bPnJGya/cqk0VNhL5TB18AfW6e&#10;R1999SkD+R0+vENc+Id6gEJmzHxPsmR5w/gTG6frzdGtIcDF9fhbOX5iu/Emc+Y3ZPToAQbaceAf&#10;x2MAjGHD+shbbz0nWbKmEeC8M2f3yHcJHlPuJ5k8eYSpp2ixXAa+cDIRXfH47PnDEhXVVJ/VH9Vn&#10;rxz6XDHeZI0io5bX4wYNKsv//M9tBpAC/ABkoi+ikUW/9u3bbMCT59XjGrXKyKrVsw2YAuDi9Zj2&#10;3n//Pw1IBPwDxAaI5Hj8oz6rLdQ5l1Oef+lhHft6spMjCw0Mh8f4i76Sv/+dzyCPCXCUm+3J9Zj6&#10;Zs/+QOPzTXn19SekT98OBhR0ABc8duo5f3Gf8SZ9+leFLHFutienrT/rmFyUUaP765x6QffPV/Xv&#10;Op/O7A4BLq7HP8rsue+ZegoVyiYcjetkSuQ+36vEZI7q1q2VvPzq41KoSBZzpOiljw/KDz8m9rhV&#10;qzryl7/cZgApACaAPCeOf1T9LAcPbTUgEh5XjSgpy1d8ZDIuAuU5fXe+gMyUOY1+Jv+7gRc57ver&#10;r4hj1+MfdN1covMpj3r8kLRoVdvAP1987vXYicHbb/+LPP/8I0KmL0BBF7By6vlK5s6bLDlypJVX&#10;XntcevZqo+3b5PHYqePTT48ab9Kle1njVZ+BTu1L5DHjxhqSNt0L8m6Gl2X4iN5y6vSuEBxKm2nP&#10;j/pZYJqpB2ALcBEAzgFnGYOfjecxMe3k1dee0GfxjDJ12khzFLIDLl7xGACVeoD9Fi+eoR5zdK7r&#10;sRgALDIyQj+jPaSfgYuY+wLOkpXQG8d58ryrz4D/z0BfHEX7pS+Oga7CwgqYsWravLps2brUQFVk&#10;PnPjj/i4996/y7PPPqjx0SYRxObU87UBMnPlTqceP6afiXVvOLjRALhXPP5a/33S9Clt2heFzGPm&#10;uGkDWHGPn3Xd/UTef3+ofpZ5SdK++4J+xosxoOC33+Ixc5hyP8ja9fNMPXnyZDBQHXHreOzEMUfW&#10;9ukTJa+leVLy5kuv4zBcLlzcL9//4LbZWZt692lv6iGLGkc1O9kouY8Tx8eO79bP0zX0c9zDUr5i&#10;IR2HySbjIpC01+OiRXPoHvzf+nwXYeDLL3TNA6hz1vX/yNZtq/T5pJBZ1xs1rqrPtQvls885Epj4&#10;cj3+QZ+xb9fPi/ea7JbsBS7E5nj8rX4GmiF58qbX+fmYdO3WzEBsiT3+xmTho09vvvm8kEEPcPKK&#10;x3oXjWk8S5/hFf0s/ZwMGhxtoGZn76Tv1POd7ivLTT05c6YzsDRQsbN3Oh4z5zmOmb23aPnKE7z7&#10;Mkeh6rUpvsgk570uCIgDRODFl/7/9V//ZcAIgAgXUuAFoAG0BjDy0ksvGdDFzagF7AAkwwswJ0+e&#10;PPqc828DRQACcA9AJV4AAgA2QDCvv/66gYTIrsO9eI/78OJezz33nI7VkwYkAEwAQHDvA9QAgJYx&#10;Y0Zds9MbUIEyLiAE7MALKOKf//ynfm7KYAANF8hx6wFyAahIkyaNaTfAl5tRC9jBfQFUqJ0ah0UN&#10;FONCT257gVmAOF544QUDatBH6vbeixeABvUAhQCQAHm4cAZ1AZDw3osvvmiyqLkZ+vDYvReACf7R&#10;LyAVwB78cD2m/2QTo62vvfaagQaBXtx7ufVwHWP56KOPGigHiAkwyq0HD4CjsmTJomt2OgN9uKAg&#10;9yCrGy/Aq9tv12f6d94xcKML5Lj9BpoBuGG8c+bMaeoEKKHNXo+pH28ADwFc/B4DFxJTeAOYA0RE&#10;vNFmr8cchUk9AHoAhwBR9Jv2ImKSGKceQEngFRfGdO9FHwGs/va3vxnIBZDH6zF/Ah9R5tVXXzVj&#10;j5947B0rYB/G4KGHHjJxRmY6v8fEXNasWY1/jIMLWHk9xo977rlH3njjDd07hxn/vP0mJmJjY837&#10;OXLkMHPDzR7n9RgwDW+Ad4AU8c/bXuoFeMIb4seb2czrMXFHPcBjgG7EqOsxsQyYCohEPWRaczNq&#10;eT0mRoBV/+d//sfAnwBWbr950W5ANoBNPGZcGQfGkza73uBp2rRp9VnyfgNkAk951xzuCVSFL2+/&#10;/bZwNKkX2HTrAa6kDu4FnAdo6Y1j7ot/b731lhkvxoEyrsfumsO1f/kLv2PJbe7rgmVuv1mDgPOY&#10;e8Q6cCge02avx8Q6HpMBjVhz1wG3vS7QisfuOPjjmP7x3l//+ldTFujPu65zP7L2kVXv5ZdfNvAm&#10;a6/fY/rJGnr33XcbkA0Y0zsfKEs80ec333zTAJmUce/l1kM/HnnkEdN3oFQXeHX7zfwB2mMusO4A&#10;51HGHSvXYyBg4oYxZY3HP2+/gdGA6V555RUDvAEuutnjvPMBkBqPiTEgO3c/o73cywVa8dgdBzz2&#10;xgX3ZM3+7//+b7OHAmz6906gcMaBftOGJHT5aiCuQKy279e9chQq83nRMrUlc64yki5LUSlRpv5h&#10;soj17DVV4k12KrI9zdHJ84E0bTZIJ2N/adFyqER1Gq8PcHyhTzYeMpvN1genCfqgO0AiG/XTD8cj&#10;pZP+m6xSQGDUQ9aiqKjx0rhJvD6IDTCZjLp0eU8Xp5mmDJmI+HuHDmOkUWScNGkab+rp2u19/QDs&#10;AAioT58Z+nAwytTRpMlAXZRGSrfuH0pcv49CZRYYQKFNmxHSsGGsLsCDTfnuWqZfv1mmDPejj61a&#10;D9f29teFfJApAzziZp4CnIiJmSwttb/1G/Q17W2vbevRY7IMGKDeaL+Bjfg3nlBPM70X7e/ZCxBp&#10;rk74BQYe4974V79BrLZruAbXWF3QnTIJHnfzeNxCPY4aZ/qBx9RDtqbOXRyPya7Wtu0IDeQJV8YB&#10;j7V/jE0T9ZhytJlxIUsdmZVoc6yOQwe9f6PIfjoWAxyPu6rHsRzn6PjXp+9Madd+dMjjeGmtXnbT&#10;9iV4rPUwtm30WrKQNW/u+Mc4eD3u1WuaLlYjEjxuq2Wie0w0fTEea5kY9cF4XF89bul6zDjMcTzW&#10;viV4HOl4TBmycg2In2O8wcfo6A/1w2xij6nbeKxlGLNu3Sgz2LSnRYsh0tF4PM3cw/F4jolJfLni&#10;sSfWQx7jO7HXqJF6rG3G4759r3hMrHP/RjoXGAd86tLlfekbinXq4e8m1vX9xo3VY41F47Fee8Xj&#10;GWZ8OD61mcdj2uDEOhnmppk5EKltadp0oCkfHX3FY8oQa8RCA/UGr9vr2EarxyZbIP7hsYn1YU4c&#10;q4+UIf6veEz2rknGf+YD7SWOkvO4OR5rGdrIemLmg1lP3jfzu2FDj8ehWKfNwLl4Sn9cj8160pf1&#10;xOOxjh/zBQ/pd2cdOzJdGo+1DDHdocNYMwaI+c56EueuJ1qGccNXPGb+GY+1DwnjoHLWk5GmLbSJ&#10;v3fXeOvXn3FwPO7FeqIeN2St8HhsxkHvQ99iYoh1PB5wxWPiWD0xHjMOek3zFo7HgK+03xmHKx5z&#10;b9a1xB6H1mxT5orHDXQNbKMemzVbxyHBY7OevGfmpePxUBPXXo+Zy+wHxmMVcXwl1vEm5LHenxhu&#10;pDIes5544th4rH2N1DllYtR47Il1rQePGUPa0gSP9e9XPHbGwXis9XPUbYuWQ0ydCbGu9zFrdijW&#10;XY8pQ2y7sU7/8Zj5bzzWsld5bNYTHYfmQxyPWdfxmH1R33PimFjXNVvbmuCxxqMT647HtIt5n9hj&#10;jjuZrmUWalt+HRDHF+3+8mEVMh7kiLxOXQpJdEwRGTCovAwbUVWGDg83X+xFdSogTZtn0bjJLO2j&#10;8kiPXkUlfjBlwoWj2WL78z9X80mTZlmFbG+duxbS/ayYDBxc0alnWBXz5VW7Dnl0vmTRMlm1znzS&#10;q29xGTSEo+eqypChVTSOSkvb9rl1LLNL67Z5pIvW07svx6RWluEjI/TPKtKzdyl9L5feK7O0apNN&#10;25xf+saV0usraZmqMnhIZYnpVULfy2Hqad8hn3TpVlD69isjHIXDvQYNrqz9LKbtyK79yiRt2uUw&#10;ZeL6c0wq96qqba8k3XsU1T5n03tlNx50iy4k/QaUNb7QrwEDK0rX7oW1TFZd4zJr28kwVFj6xXMs&#10;n95reFXpH1/B9KNp86wqPC6oc7yI9B9I5qSQxwPU486ux1nU49zCEXPxg8o5Hms9cToOHTvlT+Rx&#10;jHocP7iCacsQradvXJi075g3weOOnfKqX3hcwfSJ/vdhHNrnUW+yJXjcqy/wVGX1xvW4pPG4qXrc&#10;snV243Gf2JL6XkXHYy3bUz1uHfK4XYe86l8h9bi03sOph6OdeqjHLUMet26LxwU0VhJ7HN2jmDRv&#10;6XhM//Czn8aT6zFHnXXtXsR4TD143M14HOZ4HBqHLt0K6xhc8Zhx8Hrcf0B53Q8KahnH43YdHY8H&#10;eDx2Yt3xuHnLnMbjHj0BLZ04HjIsXNco/ie343HzBI+1TILHOg6hWDcet8lj6unVRz0eQjZAJ9aJ&#10;6zbtnDhu2TqbRF3lcWgc2uS84rHWw1FXQ0LzwXjcs7gZoyseF5TY0DhQz5VYdzzuEIXHhTSewkzM&#10;0J6BgyppbKvHLa943NXEuno83IljN9abmXEgJlyPOeZT68HjePVYf844NDMe53LWEy2Dx9TTT8ch&#10;qvPVHgPLJHjcr6y2M5/jsbapYyeyVbKecPxwuOMxsa6e4HGrNrlDHgOoAd65Hut60k7XE+Oxrjld&#10;8qnHHAl8xWPGpXXbkMftQx7HljYxPnyE47FZT1rn0PY4HnfuWiAh1odrm72xfrXHTow6HrOeBHlM&#10;NjE31kMes+ZovHaLJtZDHmsZ1hP6Splmuh4neDyorPHYxLGJ9QIhj2mvrutmPXE8Zj7EmTU7v7bF&#10;8biDruusJ1d5rLHepNkVj1lPBnrimDWb9YSxMh53Zl33e0ysOx63DXnMsXgJ67pnzTYet8me2GPi&#10;2BPrxuOO+Z1Yx2PWdTxmzVaPW4TimHW9a/eCPo9Dsa7+mXVdfUrwODQfBoTWbBPHuq6366Aem1jH&#10;4yrGY9aTzl0L6n3UY/ZOPI7xe+ys2Y7HWRI8HjRE984QDIeq1Cz6vn9P9gNx/JLe+z5A3KnzbeXM&#10;he5y4kw32ba7hcxZGC4fTikncxdVlxXr68q2vc3l6Okucvp8tBw73VU272gisxdUkskzSslH88rL&#10;8jU1Zde+lnL8TFchS87RU11k47bGMmNOZZk4rYLMW1JDVm+sL7sOkOVKy2g9h09EybpNDWTm3PIy&#10;ZWZpvWclWb2hruw52EY4cu70+R5y6Hgn/Vl9fb+STJ1ZWRYurynrtjSUvYc5SpXjGqPlwNEOsmJd&#10;HZk2O0ymflRG5i2uIuu1zIEj7U0GIe61X/++bHVt05YZc6rKkpU1Tea6A8c6aJnuRnsOttWfV5cp&#10;H5WW6bPKyMJlVWXT9kbahihzn1Na1+4DbfTn1dWbsjJrfoQsW1NLNu9son3pZN6n3Tv2tpT5S6tq&#10;m0vpvcpqndVk6y4ysXU23pw40109bilzjcdlZQ4ea/u37VGPT2mZkMdbdjZVTyqHPC5nPN6xlwxW&#10;rsddZdO2JuofHpcPeVxPdu6/4vERbdf6LZEyc14F057ZCyvK6vV1rnis9RxWj9dsbGA8RguW1ZS1&#10;mxvI3kOOx9RzUH1aqW2cPrtsyOPKsm4zWepcj3uo3x20ja7H4bJ4RU1Zvw34x/EYf6hzycoa6nEZ&#10;x+Ol4RonjeSgx+M9B9rKouV4XM54vHR1yGPKGI+7aay1kgUejxevwOMmVzzWMtv3qMeLqsoHeLxQ&#10;PV6rHu92POZejsfNdByqOB5rHC5bXcN4fDzkMWU2bU/s8aoN6rHGOu+RMfDIScfjj+ZVdDxeUFFW&#10;qce7D5CZkKxl6vGJzrJ2U0OZ9pF6PMPxeI16vOcQ4+B63FGvq6celzMxOG9RZb0Gj9s5Hms9B452&#10;VI/ryKTpFczxssbjrXjMOIQ8PtxOlq6qYcZpmnqMTxt1HKif9+n7noPtZNEKPC6v7a5qPN60gyxr&#10;UeZeJ86pxxpHzAHH4zC9V4TJREh/yajlxHorjQXH49kLq8lyjZGtu5vJkVAc4yOez13keDxzbjnj&#10;8XZPHPPnZh2HWfOqyMSp6vFix+MdrCeUMR53NvN11vyQx/MryMr1tR2Pdc2iniPq8bpNkdpn1iX1&#10;eKl6rOvL7oPOONBv5vJqrXvGHPVY15y5iyppGbIF4rEzHw6qx8TK5OkVta4q6pPjsRPr6rHWs+9w&#10;e+PZVPUXLVhCHIc81vfRXvV48Yoajsdz1eNVNY3HtAGPqWuXtn/hsgjTp+m6fuExsc68pS2U27mv&#10;tcxf4vFY59jWXeqxesJ9OAKVNZt1z/V46erqGv/Euq7ZWs/x091MrM+af8XjlRprznrirOvMC+bi&#10;rPnEaCn9Uz1eW9u08URoXT9ysous3xypcxePK+o6F+zxGl3rZ8xx1nXjsa5LzP0Ej49F6XpSz9Th&#10;9XifxvqJkMf4vVzXV9fj+UuqyAYtc1DXE+KYNu89pOOg6wl9mqlxvEQ93ri9sa4nHRM8Zs1epOuD&#10;6/Gi5VXN/mXWbK2DcruMxxHG41kLWNdryxaznjhl6P/2PXgcHvK4rI5n9dCaHfJYy2zd1Vxjs4pZ&#10;u+YuwuO6oVjvYuqh7CZt3yzdO43HuneuWEtGy5Yya27rLV1615d23WpJ7calpGhYDqkU8Xbd0Lad&#10;8Ar63O0F4n7kz/9cki+/OCkHD26Q5cunyZIlU2THjtVy+BBHSR2VH39wjpT77PJx2btnjSxbOk2W&#10;LZsmWzYvliNHNmsZIKxLWt8lU3737lWyeNFkWbFiuuzcuVqOH9sqX3xxwrz/g9ZFVqlt25bJUr3P&#10;ihUz9O9L5cSJHVrGOSaV+126eEC2blki8+dPlnVr58ruXavl9Omd8vXXp017v//uvJw9u1c2blhg&#10;2rt69Sy91wots0fLnHHKfH9ezpzZLevXzzfZ6bZsXiR795LZZq98++1Z+UnLfPvNWTlxfIesWT3b&#10;1MO96CPZjL79zjle8ptvzsjx49vMPRYunCg7ti+T/fvWaT8Omntwr6++Oi2HD2/W/syUJUunmnYd&#10;OLDeAH5kaTJlvjwlh9TT5erdksWTjcf8G6jI9fjzz9TjvWsdj1Wbtc2HD3Ns2jHh6EP84e979qw2&#10;oMny5Y7Hx45ukc8/v+Lxx5cOGzhj6ZKpsmK5erx1qYHwyMTGWBmPtf3bti2RBerx2jWzZZd6fOrU&#10;TtMXx+ML6tU+2bRxoePxKvV4Bx7vTuTx2bN7ZMOG+TJfPd68aWEijynz7Tfn5OTJnbJmzRxTz9q1&#10;c0z7z5/fr2XUY1NGx0HbtwaPF0zUti+TffvWJvL4a20X2QtX4rHWs0HHdf9+9VjjKcHjr04Zv1ao&#10;L4vUn507V8khjetPPz1ifMGfzz87Ifv2rtMYni5L8XjTIjmk13z6qXpMGa3nMzMOa2Tp4ilmvBir&#10;o8ZjYl3HQct98vERjYUVWgceTzfZFomTzz8PeazlPta2bddYX7hgkvZ/lvH45MkdBsjhPrT7vHpM&#10;G+jTKvV4h3p86tQu4Vhdtwx+bty4QON4io7HAtmjHuP7N+qbiWP18dTJXertXI0t9Vi93r0bj/dd&#10;8VjH46TOszU61gu0Pdt13uHxRZ1r33/vlGF+HcXjlY7H69fP0zLEOh57x4FYnyGLdD6QeYy1g2NP&#10;f/hBx0H7znxnbJYbj6eauDh0CI+PJnhMrHN/1oFlWoYMjUe1Xrx3Pf5U62ReUwexjsfHjuExx3w6&#10;Hn+ic4w5uXDhJDNH8Zj15Eudb9znBzzWWGO9ok/0jbnhjXVTxozDQhPHGzWeiVHWD+Y/Zb5TH0+f&#10;2i3r1jke4+PuXWRx2qdlHP8oQ73EOPOKtW2fxhEef8d6omW+0blz9OhWHeuPEnl88eKVWP/GHQf1&#10;mDUHDw4eXK8ec9yv6/FJs8bgC/5s0rYfPLgxNA6Ox1+oT/v3r9P3p5gyeMzYffYZUGfIY50bu7Qf&#10;xmMdL9Zd2veZzhPXYzMOGpd4TLsdj7cl8viCrplcazzWOcocZt5/+WXIY2038ciahscbtN9+j7/H&#10;Y11f1q+bZ+phXaZtrPXEuimjPp4+vcuMw/x5k3RtW2I8vnBh/xWPtT7ihDXLeKxlWVfxmGN+TRn1&#10;mHVzlcaD8Vj7d1Bj9mN3zda+f6l7Ep46cczcw2Mn1r9nHLQeYp1xIIYpw1pxJLRmux6zL+7R+YjH&#10;Fy/u17rPS5nwaolOWblWIC5nkTLb/F/EA1oAcAEGAbIAPwBE8KU/0AOQDF/yAwwAtgD+kEUHeAEI&#10;AViBawArgEqAuMisBBjFe9RDWYA1IDBgLfdeQAqUoR7KAFyRMYt7AW8AfQA70A7qAVjgZ5ShHu4F&#10;eAHYQ1+ohzLcn0w+AAxANEAzAGrAF9QDbAWIRxkEsAD8wM/dMpQHJKMt3I+/0wfAHt7nfrQNkIcy&#10;3AuYhCxEtMEtA5zBz1PymDa4HgPGATS5HlMGz+kvHuM1sBXXAV9Qhj+5N+9RD/eijwA4Xo/pA/eg&#10;DPfET9roekw8AGVRBo+pDz8Be7we47vrHx4k5TG+UIYYoozXY/4OoOZ6TGy5HlMGcV/GkLYEeUwZ&#10;12O8AaLCY0Aar8fEo+sx98Jjdxxcj91Ydz2m336PqdfrMe33e0z7aIfrMV55PeaeeOH32I116mEc&#10;GBvXP/rHNW6sUw9wDn31exw0DrQFaCrIY+rED9fjtWvXJop17zjgDe2mTkBQ2ul6jA/M2yCP3TKu&#10;x8wH+k0cE9tej931hHrwEY/d9cQtw71dj6kPj1lPUvLYHQfXY2KdPpMdLMhjPKCNbhlAYK7BY3c+&#10;uOPAffCYfrOW+T3Ge+q4Vo+5H33kWtdjyvs9dmOdelhzab93PcFHrmE9oR7uxfoWFOvEOGXoN/65&#10;se56TD8ZB9dj7uX12B0HfKEMbcc/dz1xPaZuyng9Dop13vd6zM+T8phYdMeBOtwyXOt6TGwltWbT&#10;b+6Fx3jhHQc31onjpDwmrumL6zF95NokdNn/O/TrAsT5K81fouoG/5f0VlZWVlZWVjdWXbq+d9WR&#10;qe/kyF8stF1f9Qr6xXxEnaIbvF/QW1lZWVlZWd14pQaI8x/PUia8xCqAOCsrKysrK6ubr579q470&#10;7suIbHChbTvhFfS5u2987AYXiLOysrKysrK6ufIDcWSSCW3byb7SZi+QKLN7EBBnZWVlZWVldUtF&#10;hrhEv0N/J3v+0aGt/Npf/kotEGdlZWVlZXXz9UuBOF7+8tXrF9sZ9EW9lZWVlZWV1Y1TzYZFU/xS&#10;3f+5u0SlEjuDvqC3srKysrKyuvEKAuLSZi3wemjbTvTyl7NAnJWVlZWV1a1TxZp1xiTem1MHxPGF&#10;uve6bAVLHAr4It7KysrKysrq1unGAHH+NLF5i1XeF/RFvZWVlZWVldWNU+8+H8327scobY4C4aHt&#10;OvDlL2+BOCsrKysrq5uvICDO/6W6/3O3BeKsrKysrKxunQaOqhbv3ZdR0kBc/svect37xOwL+oLe&#10;ysrKysrK6sbraiCugIS27GRfHLnmvSZLgRIXAr6It7KysrKysrp1uuz/HToZXkNb+bW/LBBnZWVl&#10;ZWV163VtQFziX8yH1y52LOiLeisrKysrK6sbp/pNi6b4pbr/c3fhcsWOBX1Bb2VlZWVlZXXjNWJC&#10;zau+TLdAnJWVlZWV1W9fNRpGXvX5O7RlJ/vyA3EZ8xT5OuCLeCsrKysrK6tbpxsFxCU+Nz1XkYqn&#10;gr6ot7KysrKysrpxCgLi3smRr1Fouw58+X8xXz6i6KmgL+qtrKysrKysbpxSB8Ql/tydt2SRc0Ff&#10;0FtZWVlZWVndeE2eWW+Id19Gb2XNmy20bSd6pc1R4Ji3XJvOnQ4HfUFvZWVlZWVldeMVBMSlyVr0&#10;jtC2neQrbfb8Ud5rLBBnZWVlZWX129PVQFz+ZaGt/Npf/nPTcxQu+0nQF/VWVlZWVlZWN07x8YsS&#10;fVHuKHkgzv+L+YrVi14M+qLeysrKysrK6sapTfuSKX6p7v/cXaBU0YtBX9BbWVlZWVlZ3Xj9EiDu&#10;nRz5t3nLNW3b9lzQF/RWVlZWVlZWN14NW7Xq4d2X0bUAcZnyFvkm6It4KysrKysrq1sn/38qvyFA&#10;XOb8Jb8M+qLeysrKysrK6sYpCIjjg3pouw58+X8xH1a5yCdBX9RbWVlZWVlZ3TilBojzH8+Sq2iR&#10;L4O+oLeysrKysrK68Vq0okGcd192lL9YaNtO9PJ/7q7XtNlnQV/QW1lZWVlZWd14terUsb93X0ap&#10;AeL4j+f+64K+iLeysrKysrK6dfIDcXweD23l1/7y/2LeAnFWVlZWVlY3Xw4Ql/gI1F8KxJWoUOTr&#10;oC/qraysrKysrG6crgWIy5yv4PdBX9BbWVlZWVlZ3Xj9EiCO/5HuLWeBOCsrKysrq1un7n2io737&#10;MkqXNe8ToW07yVfaHAXC/dedPXc+8Mt4KysrKysrq1sjfzK3GwLEZchd5IegL+qtrKysrKysbpyu&#10;BYjz/2LeAnFWVlZWVlY3X126lkzxS3X2dO/7FoizsrKysrK6dfo1QFxEvQbfBn1Bb2VlZWVlZXXj&#10;ZYE4KysrKyurP65uEBCX+BfzFoizsrKysrK6+boeQFyh0oW+Dfqi3srKysrKyurG6VqAOBT0Bb2V&#10;lZWVlZXVjVcQEMcX5aFtO9HLf2SLBeKsrKysrKxuna4ViOMzuv+6Q4ePBH4Zb2VlZWVlZXVr5Afi&#10;9HP6sdBWfu2voF/MB31Rb2VlZWVlZXXjFAzEFYgNbdeBL/8v5vMWL/ifoC/qraysrKysrG6cUgPE&#10;vZMjXyN/maAv6K2srKysrKxuvDbvatbDvy8nBcT5fyFfrlrN/wR9QW9lZWVlZWV14xUExKXNWuD1&#10;0Lad5CsIiNu6fWfgl/FWVlZWVlZWt0b+002vCxAX9Iv52Lg5gV/WW1lZWVlZWd0YAcSxsXv345SA&#10;OP8v5vOXLBz4Rb2VlZWVlZXVjVPvvmVS/FKdf/vL7D/SKvBLeisrKysrK6sbq18CxPl/IV84rOJP&#10;QV/QW1lZWVlZWd149YjtedV32qkB4t7Kmjeb/zoLxFlZWVlZWf22dEOAuKBfzFsgzsrKysrK6ubq&#10;WoA4/4NBjsKFAr+ot7KysrKysrpx6hVbprV3P0b+L9WDPndbIM7KysrKyurW6NcAcTmLlAr8gt7K&#10;ysrKysrqxutagTjK+K9buWZd4JfxVlZWVlZWVrdEl28IEBeUJtYCcVZWVlZWVjdbi0b/WiAuc76C&#10;gV/UW1lZWVlZWd04pQaICzyeZVfzwC/praysrKysrG6sNm5vkeLe7b4sEGdlZWVlZfXbkQXirKys&#10;rKys/rC6eUBcl24fBHxRb2VlZWVlZXXjdC1AXP4ob3kLxFlZWVlZWd18XSsQt3J9k8Av6a2srKys&#10;rKxurH4ZEJf4c7cF4qysrKysrG6drhWIS5c17xP+6+YtWhL0ZbyVlZWVlZXVrdGNAeKCzk23QJyV&#10;lZWVldXN1q8H4lDQF/VWVlZWVlZWN06pAeKCPndbIM7KysrKyurW6JcAce/kyHfVF+9BX9BbWVlZ&#10;WVlZ3XhdKxCXJmvRO/zXTZ4xK+jLeCsrKysrK6tbo5sHxLWPGh3wRb2VldXN1mOPPSc6TY0yZy4c&#10;WOZWK2/e8gltvOeehwLLWFlZpUa/HIgL+sV80Bf1VlZW118NGmZJ2P/+8Y//kQ4d8gWWu5Xq1r2Q&#10;aZvbzho1MwSWs7Ky+nWK6VWmrn8/9n+pHnQ8y7ylDQO/pLeysrp5WrOhntx++98S9sqBQ4oHlrvV&#10;ei3NgwltrBT+VmAZKyur1OsXZYjTn/vLXr58NPBLeisrq1uns7uXy7iKeWRkycxGWyYODCx3qzWl&#10;flhCGxdGNw4sY2VllbSuJxA35r0Pg76Mt7KyusnaOm1Cwt44tkIe2b9iUWC5W6mjW9abtrntXD9h&#10;WGA5KyurX6UbA8QF/WLeAnFWv1fVrdst4ZfEroC0IiLaBpb3i3L/+Me/E13Pvzt1Gh9Y/kbL244X&#10;X3w7sMytFu3ytjOojJWVVWp0DRniAn4xP2BgWOCX9VZWvwU9/sRdifYMlDbtYxIbWzywvFeUefnl&#10;K18GuypQ4KXA8jdaJUumSdSOFi1zBpa7laJN3jbS5qByVlZWv06pAeICj2exQJzV71QNIjMm2l8Q&#10;wNaCJdUDy/uV1PVBZW+0ps2snKgdbdrnCCx3q+VtY9bsTwWWsbKySr3WbW2a4t7tvoI+d1sgzuqP&#10;omVxbRO+2HUFsHVs3ezA8n4ldX1Q2Rut/YsnJmrH6sFdAsvdannbOKN5eGAZKyurpNWmc8fq/n05&#10;NUAcL/91Foiz+j1rUr2yifYUNKtdPTl35GBgea8oM61pxFXXL+rdIbD8jdby+OhE7dg5b3pguVsp&#10;2uRtI20OKmdlZfWrdOyGAHFBv5hv2XZIwBf1Vla/ffnhLK9Sgtp69pwWeB0qVqxG4DXXKrK9uXWT&#10;BS6oDPK2wQJxVlZ/dC2JZWP37scWiLP6I8kPZ3mVNdszgdd4BfgWdC0KKn+tItObN6sameCCylkg&#10;zsrKylXHTiWb+fdj/5fqQZ+7p86uF/glvZXVb10a0oF6/Ik7A8t7Nfa9sMBrEXBa0DXXKtrj1g2E&#10;F1TGAnFWVn9O/RIg7p0c+Yv5y546vTvwS3orq9+bvF/sevVBjaKB5b3aNWtU4LUIOC3ommsV7XHr&#10;BsILKmOBOCurP4euJxAXP2xU0JfxVla/efnhLK/mdW0WeI1XgG9B16Kg8tcqMr15s6qRCS6onAXi&#10;rKysQrp5QFzjFv0Cvqi3svrtKzkgrly5RoHXuOL9oOvQ9QbiUguRectYIM7K6o+uXw7EBf1ivm9c&#10;mcAv662sbrWSA+IA0IKu8coLqfkVVP5alVqIzAJxVlZWroKAOPZonXcJr6DjWcZNqhP4Jb2V1W9d&#10;GtJJKqUscYWLJg24X28gzlt3UhCZBeKsrP6c+mh+vRRhdvcV9Ll73/6NgV/SW1n93uT9YtevlLLE&#10;zelQO/A6dL2BOG/dSUFkFoizsvpzqGHLlo39+3Lqgbj8l73XWSDO6veq5IA4ALSga7zyQmp+BZW/&#10;VqUWIrNAnJWVVUjH3smef7R3r74uQFzQL+YtEGf1e5UfziL7mvfvQde48pd1/44sEJe0LBBnZXW9&#10;tCTW/6H8WoC46J6lA7+st7K61fLDWf7jU5PKxIZ4z1vWf23QNdcqC8RZWVn9UrVpX6Kmfz9ODRA3&#10;eHSNwC/prax+69KQThBHnXr/nVQmNrRzX5NEZf3XWiAuaXnbaIE4K6tfr18CxL2VNW82f1kLxFn9&#10;UeT9YpejTr3/TioTG7p8Zkeisv5rLRCXtLxttECcldUvV5U69a76/E3il9C2nezL/7v3HrHxQV/G&#10;W1n95uWHs/zHpyaViQ3xnres/9qga65VFoizsrL6hdrmB+J0794W2sav/WWBOKs/kvxwlj/rW1LH&#10;prZpMzRROf91FohLWhaIs7K6PhowYFHU1UBc/iidV0m+gn4xb4E4q9+qguAsb9a35I5NTZv2sYRy&#10;/P3llxN/gR50zbXKAnFWVla/VKkB4nj5y1ggzur3Kg3nBAFnebO+JXdsanTP/Anlbr/9bwY+c/+N&#10;LBCXtLxttECcldWv15SZdVK1d/MK+ty9cfPywC/prax+b/J+sQuc5c36ltyxqRvG9EooN65iHgOf&#10;uf9GFohLWt42WiDOyuqX69cAcf7TWSwQZ/V7VRCc5c36ltyxqbPa1Usox9+nNY1I+DcKuuZaZYE4&#10;KyurX6ibB8TVbxwT+GW9ldVvXX44CwDO+++8ecsHXsfP3TL33POQNGkSl+i6pIC4nj2nGXjOf1/+&#10;HXRE61tvZUtULkjAeW55789dIC4iou1V2ezq1u2WcE2Qkmonfc2cubDpb9B1rmgT5f7xj3+b6/iT&#10;f1Ovv86g6/335nr+TV+CyltZ/RllgTirP7qC4CwgOO/PYmOLX3UdP/OWqVEzQ6qBOO7JPe69918J&#10;Zfk7P+vQIV+isvzbW2eQgPHc8kFAXLfuhUzdLujHn/w7qF9eBbUT0c+KFd9O8XrKeLPm8Xey6qUG&#10;iKPf/ntzPT+jP/7yVlZWV6th0+JXHdligTirP7I0nBMEnDVwSOK9eux7YYHXeTPCVQp/K9VA3JoN&#10;9UzmOe/1AHWAeEH34j1vvX7xvls2CIgjkx1/Ave5P+deKR0HG9ROxL/5Oe8HXeeKvvjhQhfQ89YX&#10;BMTRZv+9uZ76rjdoaGX1R5AF4qysHHm/2AXO2jJxYKKf7Zo1KvA6b0a4hdGNUw3End293GSe814P&#10;UAeIF3Qv3vPW6xfvu2WDgDgy2fEncJ/7c+6V0nGwQe1E/Juf837Qda7oix8udAE9b31BQBxt9t+b&#10;66nveoOGVla/R5UOr3FVllcLxFn92RQEZwHBeX927sjBq67jZ94y6ycMSzUQxz25x/vViyWU5e/8&#10;bP+KRYnK8m9vnUECxnPLBwFxR7esN3W7oB9/8u+gfnkV1E5EP1ePiEvxesp4s+bxd7LqpQaIo9/+&#10;e3M9P6M//vJWVlZX6fcJxJUqVUf+/vd/WVnJu+/mDYyR66kgOMsLjwGA+a9BLuiFgLdSA8QBifmP&#10;VvWL94HG3Gv87QuSF07z/py6krtfUtAe7aTfQdd4BeAWdD2wXVB5hG/+ur3X0veUPEoJxvutq3fv&#10;GYHxbvXnUaVKzQNj45dqwICFjfz78c0A4h599E4D7VhZ1a2bKTBGrpeC4Cz/UajAbv7rgL3c92kn&#10;P0sNEOcH1oLkvZ+/fUHivknVD0Dm/bdXtDspqK1AgStffCclrvcDfK78x8d65X/PD8TRf+/7fnn7&#10;+3tVeNV0CTFu9edUXL8SgbFxPVW7UfHq/v2YPVrnUaKXv8z1BOI6ds4t/3f736yspHTYa4Excj2l&#10;4Zwg4Cz/UajAbv5rgMm8Zfh3aoA4ILGUADf//YLK+OWW9QNxAGTJ3S8puAwoMKV2IsoFXQ/MFlQe&#10;+QE7PxCHlynd21v+96aXX7k/UYxb/bl0o9a0oSNrpApm55U2a4HX/WVTC8StG9lDxlfOZ2V1XfXN&#10;Z0cC4+1a5P1iFzjLfxQqsJv/GmAybxn+nRogDkgsJcDNf7+gMn65Zf1AHABZcvdLCi4DCkypnYhy&#10;QdcDswWVR37Azg/E4WVK9/aWv5WaWLtEYHxaWaWk/Ys/DIyp1CpfqXJ1/fvyzQbilsR2knGV8llZ&#10;XbO2TBkfGFupVRCc5T8KFdjNfx2wl/s+gBk/Sw0Q5wfWguS9n799QeK+SdUPQOb9t1e0OymobVHv&#10;DoHXeMX1foDPlf/4WK/87/mBOPrvfd8vb39vtuZ3axEYh1ZWv1TTGocHxtj10ueff74sbfYC0717&#10;ddrs+ZeFtvFf9/JWiq43EKe3sLKSNGkyBsbI9VQQEAfg5v2ZH8DyA19klUsJiEsN6OWKNrnX/ZoM&#10;camR/0hY/u2F/VJSUD9/yfXIez31BZXx6o8AxAX1y+rPI/a5oNj4pQoE4nIUCNd7JPm6XkCcVmVl&#10;ZcChoBi5XkoqWxnAivuzIADLC3UBnfGzlIC4lEAvr2gX1/zaDHEpyW27V6mB4Vzhkx+q+6Vt8AJx&#10;1OX1Pkh/FCAuqG9Wfx5F9ygcGBvXU5VqFr56D89a4HW9f6KXv8z1BuL0FlZWkjf/84Excj3lvZ8L&#10;Z3kzmwFnAcl5r/ECX+6xqikBcakBvVy5mdRQStfwvlvWD8SlpKAjYYH2gsomJX8/f2kb/EAc/w4q&#10;55W3/O9NAHFBfbL6c+hGrWkdu1e6au8Ogtl5/VogLugLMSurX6PPzu4KjLdrkbdeF87yZjYDzgKS&#10;817jBb7cY1VTAuJSA3q5cjOpoZSu4X23rB+IS0lBR8IC7QWVTUr+fv7SNviBOP4dVM4rb/lbKcCm&#10;oPZZWaWknTNHBsZUapW7WKnW/n05tGWn+PIDce27xgR+IZ+SAOKC+mZllVqtGzc4MLZSq6SylbnZ&#10;1FAQgOWFuoDO+FlKQFxKoJdXtItrfm2GuJTktt2r1MBwroKgul/aBi8QR11e74N0q4G4oDZZWf1S&#10;fVCrZGCMXS9ZIM7qd69bBcQBdXl/5s+E5oXUgNz4WUpAnB/0ArpzM8EBoXEP7/teyA0FtTNI3jII&#10;OI178R738UN57nuu/AAe/3ahOdrr7wf1u/1A/ve5n3s9IGEQLOdei7z95N5u3fzJcanu8bTea35v&#10;skCc1fUC4tq2H3pVuvdrAeKiupYK/LI+KVkgzsrVrQLi/FCY95hOP6RGRjl+nhwQ5we9AOq82dWo&#10;w/u+F3JDSbXTryAYjXa57fdmtkPc03u9v2+8789Yl1yGtyCgjXvynnt0q/c95L3e308XDES0jest&#10;EGf1R9DNAOJKVix0VZaZoP+h7i9jgTirG6FbBcT5oTB/JjQvpAYcx89SAuK8oBfXe49HBZbzH6Hq&#10;vRa57yE/ROYqCEYDenPbwp9+wI57e+vwv0+/XCCQY1K9sCBKCWgj4x3Xo+ie+RO9h/zXe9/zgoHc&#10;m38HefN7kgXi/ty6UWtakzblrsruGgSz87JAnNVvTTcaiPNDYf5MaF5IDTiOn6UExHlBL673Ho8K&#10;LOc/QtV7LXLfQ36IzFUQjAb05raFP/2AHff21uF/n365QCDHpHphQZQS0EbGO65HG8b0SvQe8l/v&#10;fc8LBnJv/h3kza2SBeKsrlW/Foh7J0e+q6D20Jad4otj17zXWSDO6lbpRgFxfijMe0ynH1Ijoxw/&#10;Tw6I84NeAHXe7GrU4X3fC7mhpNrpVxCMRrvc9nsz2yHu6b3e3zfe92esSy7DWxDQxj15zz261fse&#10;8l7v76cLBiLaxvUWiLP6I+gmAHHT/Xs1R6iGtvFf90pUqcoCcVY3QrcKiENeMAyIy/05YJa3PJAW&#10;P08JiPMeE5rUUaPJXX+tQJwfrPNnt/Pex9+3pI6L9UNz1Om+5wfuXBjOFe3xQ3He9739pC4vbPdH&#10;kQXirK4XEBfZNLaDfz9O6sgW92WBOKvrqVsFxPnBMBfqQl5Y7t57/5Xw8+SAOH92OC9g58oPs3nf&#10;u1Ygzg/WIT/Q5n3PDwJ6YThXfm+oz33Pf9xsUAY6PxSXHBAXdP8/giwQZ3UzgLg8xQtdBbVbIM7q&#10;VulWAXHIC4YBgbk/98NygFr8PDkgjjLe94KOGvXDbN7rkfe91AJxwHDJZbdD3vv4+xZ0XCz1Ua+3&#10;nHsP/vT+PCgDHX33lkkOiAu6/+9dFoj7c+tGrWlV6pS66vN3UsetWSDO6remGw3EIS8YBgTm/twP&#10;ywFq8fPkgDjKeN8LOmrUD7N5r0fe91ILxAHDJZfdDnnv4+9b0HGx1Ee93nLuPfjT+/OgDHT03Vsm&#10;OSAu6P6/JVkgzupa9WuBuLTZ80d592SyvoW27BRfFoiz+q3oRgFxfjDMhbqQF5Z7v3qxhJ8nB8T5&#10;s8N5ATtXfpjN+961AnF+sA75gTbve34Q0AvDufJ7Q33ue/7jZoMy0PmhuOSAuKD730pZIM7qeulG&#10;A3Gq0f5srr8LIK5166FSoEBlKyupWbNTYIxcTyUFmgG6eX/ugm/+41RdYCslIM77Xmp0PYA4rkmp&#10;TN685RN+nlIfXCUH1Xl/7mbP8yu5vvgz5QHP8bPfe1Y4rwDiguLd6s8j9rmg2Pilqt+o11XZZZI6&#10;ssV9Bf1i/pcCcWXC3pDChV+xspL2HfIGxsj1UnKgGbCb+3Mv+ObNgAZA5v48OSDOD6qlRt7rrxWI&#10;47qUyniPPE2uD14lBdX563az53mVXF8ABb3vIe4FkOg/mvX3LOI6KN6t/jyK61ciMDaup3IVKdDZ&#10;vx+nyVr0Dp1XiV7+Mr0HRgR+SX8tmr+4ujRultnKSkaMLhUYI9dTGs4J8sJZwFje91zwzZshjaxu&#10;bvnkgDg/qJYaXQ8gzpthLaky3kx1yfXBq6SgOn/dbvY8v7xl/H3xw3b8m3pc/3/vAvgNinWrP4du&#10;1JpWvHLxq2D2oL2b168B4o6u/Ug2v9/fyuq66pvPjgTG27XI+wWXF84CxvK+54Jv3gxpZHVzyycH&#10;xPlBtdToegBx3gxrSZXxZqpLrg9eJQXV+et2s+f55S3j74sftuPf1OP6/1tSUGxaWaVGFw+vC4yp&#10;1OjHH85d5otx7558K4C4fcsXGKDJyupadXjj6sDYSq2SA82A3dyfe8E3bwY0ADL358kBcX5QLTXy&#10;Xn+tQBzXpVTGe+Rpcn3wKimozl+3mz3Pq+T6AijofQ9xL4BE/9Gst0J2zbK6XtoyZXxgjF1HXQXE&#10;pc1eIDa0jf+6l7dSdD2BOCurm6mk4Cx/tjSyovFzbwY092coOZjM/15q5M8id6OAOG8Z2ux9LykI&#10;Lbm+en+e1P2T6wu++7PMufojHJdqZXU9FVG7Yzv/fpzUkS3u63oAcVZWN0vJwVn+bGlkRvNnQONn&#10;bvnkYDL/e6mRN4vcjQTivGW8P6fN3uu8Sqqvqbl/Sn3xZ9PzijH5I4FxVlY3UkFAnM6jq17v5Mh/&#10;2VvmegJxVlY3UxrOCfLCWf5saRz36c+Axs/c8snBZP73UiN/Fjnve9cTiPOWoV7ve97rvEqqr6m5&#10;P/KW8feFI1z9x7Z6y/5RwDgrq+upImWLpGrv5vVrgDgrq9+6vF/ceuEsf7Y0jvv0Z0DjZ2755GAy&#10;/3upkT+LnPe96wnEectQr/c973VeJdXX1Nwfecv4+8IRrv5jW71lf4tgnJXVzdSPP54/ljZ7gemJ&#10;9+X820Jbdoqv6wXEWVndaiUHZ/mzpZEZzZ8BjZ+55ZODyfzvpUbeLHI3EojzlvH+nDZ7r/Mqqb6m&#10;5v4p9cWfTc8rxuS3AMZZWf0OFOv//TmZYUPb+K97eStFFoiz+r0qOTjLfzSoHwRzs8ah5CAx/3up&#10;kbdulFw7vfKWSQpIS6rMbwGIQ0Bx1Ok/WtWV94hWK6s/s8pUbnwVEJfUkS3uywJxVr8nJQdn+Y8G&#10;BcbiCFL3396sceh6AnH+ulOCyFylBkhLroz357cKiHPLJOWZ94hWKyurpJUpb/4e3r04qf+hboE4&#10;qz+KNJwT5IezvGAW2eAA4LzlvXBWUpBY0HspifsChrnXI+/7f2QgDuGrP0OfK7yxUJyVVWJlLVgo&#10;0d7NHq3zJfAV9Ll76Yq5gV/UW1n93uT9stYPZ3nBLLLBAcB5y3vhrKQgsaD3UhL3BQxzr0fe9//I&#10;QBzCV3+GPld4Y6E4qz+zgoC4tNnzLwtt2Sm+LBBn9UdRcnCW/2hQYCyOIHX/7c0ah64nEOevOyWI&#10;zFVqgLTkynh/fquAOLdMUp55j2i1srJKUrHefdpRvkahbfzXvfwV16jXJfDLeiur37qSg7P8x6Z6&#10;AS3+7h6XipKDxDp1Gp/oPe8xpalVShCZK2+ZpIC0pMokdxSqV/5yHCPrvuf9eVL3T21fEPfylydT&#10;XFBZK6s/mwqUqtHBvx9bIM7qj6SU4Czvsaneo1KDyiYHxGXN9kyi935plrPUQGQoNUBacmWSOgrV&#10;L285fHF/npr7p7YviCx5vO/3nixyQeWtrKyuKLVHtlggzuqPIg3nBPnhLD+U5QXk/GWTgsQQ2d68&#10;73mPKU2tvNffKCAuqaNQ/fKXc+G96wXEuSIjH975j1FlXILKW1n9WcWxK949Obnj1vhc7i2LLBBn&#10;9UeR94taP5zlh7K8gJy/bFKQGCLbm/c97zGlqZX3+hsFxCV1FKpf/nIuvHe9gDhXZOTDO/8xqoxL&#10;UHkrqz+Hzm0DgPPuyQByoS07xZcF4qz+KEoJzvIem+o9KjWobHJA3LyuzRK990uznKUGIkOpAdKS&#10;K5PUUah+ecvhi/vz1Nw/tX1BZMnjfb/3ZJELKm9lZeVo/YZNcd59Guln9fDQNv7rXv5fzFsgzur3&#10;quTgLP+xqV75jzRNDohDXpjuWoCu1EJk3jJJAWlJlWnTZmii9zi61HudK39buM59j7553wMG9F5L&#10;WX/mN+/7ScmfrS+ojJXVn025ipRN9ZEt7ssCcVa/J6UEZ/mPTfXKe6QpSg6Iq1gx8b72S4Gu1EJk&#10;qQHSkivjzYCHOCLWey3yt4Vr3Pf8x50CAnqvRX44MKm+eOXP1peaa6ys/uzyA3H8kl3nz1UvC8RZ&#10;/VGk4ZwgP5zlPzbVK/+RpskBcQBj3veuBejyXn+jgDh/BjzAN++1CEjNCwbyd/c9Mrd5rwdk816L&#10;/HBgckCcK+7pheJSc42V1Z9Jqd27eVkgzuqPLO+XtH44y39sqlf+I02TA+IAxrzvXQvQ5b3+RgFx&#10;/gx4gG/eaxGQmhcM5O/ue2Ru814PyOa9FvnhwOSAOFfc0wvFpeYaK6s/rH44v8wPtbGnh7bsFF/+&#10;axu37hj4hbyV1W9dKcFZ/mNTvfIeaYqSA+JWj4hL9N4vBbpSC5GlBkhLrow3Ax7iiFjvtcjfFq5x&#10;3/MfdwoI6L0W+eHApPrilT9bX2qusbL6MysIiNO9u1hoG/91L/8v5i0QZ/V7VUqgGeCb931X/mM7&#10;UwLi/PUAeHlBMuA76qQcwJj3WuRvp3ukKnV4M9V5y/xSIA75gTba40Jt/Onvhx/u878PVOdeT5v9&#10;MBzyXk991OH1l+tTGicrqz+jLBBn9UdXSqAZ0Jv3fVdBx3YmB8T56yHjGfCYN1Mc0BfgHFnp+NN7&#10;vb+d3J9rEde55X4tEOcH2minF4rj78llawvyy+0L7/mBO+T1nLrc/nuBQ3+7LBBnZZWiUn1ki/9z&#10;twXirH6v0nBOUBBo5c9O5gpIy1suOSAO+euhvPfoT/4OLEYbChd9KdG1yHut90hV731+LRDnB9oQ&#10;kJzbV+7J0bHe9/1wX1A2N65Hfo+Q13PuT98A8bxHxtJmC8RZWSWhc20u+/duviDXuRL4skCc1R9Z&#10;3i9pg0Arf3YyV0Ba3nLJAXHIXw/lvUd/8ndgMdowp0PtRNci77XeI1W99/m1QJwfaENAcm5fuSdH&#10;x3rf98N9QdncuB75PUJez7k/fQPE8x4ZS5stEGdlFdIP55eR1dW7J5P1NbRlp/iyQJzVH0UpgWZA&#10;b973XQUd25kcEOevh4xnwGPeTHFAX4BzZKXjT+/1/nZyf65FXOeW+7VAnB9oo51eKI6/J5etLcgv&#10;ty+85wfukNdz6nL77wUO/e2yQJyVVfKaOO2jq05Ss0CclZVPKYFW/uNBURCwlhIQB9QVBIMlJe+1&#10;iGNJg8oh7u2W8/78WoC4oP4mJ++9kT/LXGrkvT7ofb8A5rzXWFn9WZU5b4nJ3r04uSNb3FcQENe2&#10;Y8mgL+utrG65UgLikP8YUeQH1lByQBxKLtucX0Ht8INorrivWyY52C21ZYL6m5S893YVBL0lJ29f&#10;/W1LSl5YzsrKKlDHrj6yxQJxVn9saTgnKAi08h8PioKAtZSAuOSyzfkV1A7uGVQWuWWSg91SWyao&#10;v0kJeM0PBvqzzKUkb1/9bUtK/ux8VlZ/cqUaZudlgTirP7K8X9IGgVb+40FRELCWEhCXXLY5v4La&#10;wT2DyiK3zK8F4lBQf5MS8JofDPRnmUtJ3r7625aU/Nn5rKz+VPrPuem/Bojzf3a3QJzV71UpAXHI&#10;f4wo8gNrKDkgDiWXbc6voHb4QTRX3NctkxzsltoyQf1NSt57uwqC3pKTt6/+tiUlLyxnZWV1tQaP&#10;HNvDu0+jt7LmzRbaxn/dywJxVn8UpSbzmB9ky5u3/FVlUgLiELBZaqC4oCNVyQKX1LXXE4hDZHLz&#10;lgkSbfFmcUvt9Vznh/u81/oz1PlFxjlvRjwrqz+zfsn/UHdfQb+Yt0Cc1W9VqQHigN+8ZZA3s5ur&#10;lIA4rkktLObNuuYqKVjsegNxtDM1UBx9CfIhpes5MtXrlddzfya4IAV5Y2VllVhDh4dt8/9CPqkj&#10;WywQZ/VHkYZzgoJANP9xpwi4zV8uJSAuqExSCjpSNTlYLKky1wLEIe7vLRMkMsV5s7il9nqu80J3&#10;Xs+DMtT5FeSNldWfWSfPtU313s3LAnFWf2R5v6QNAtH8x50i4DZ/uZSAuKAySSnoSNXkYLGkylwL&#10;EIe4v7dMkMgU583iltrruc4L3Xk9D8pQ51eQN1ZWfyadu3DgPf+erHt6eGjLTvFlgTirP4pSA8QB&#10;v3nLIG9mN1cpAXFck1pYzJt1zVVSsNj1BuJoZ2qgOPoS5ENK13Nkqtcrr+f+THBBCvLGysoqsZq3&#10;79zfu08jPo+HtvFf97JAnNUfRcBtGtJGQSAaAm5zywB0eY86dcXPvMBaUrAYMBf1+UE87s0xqsBi&#10;SQFf3IMy3vvwb295gDH3vaQyqXmhsyC4D7nHo3rrQ7Sb9qcEpQHp0Tb3Ou7pXufNlsef3uvoY1L3&#10;Tc4bK6s/o1KbXcb7skCc1e9JZBrzZl4Lgq0owzGebhmALn8ZxM/dMgBhQWUQABowmbdOBCRGFrkg&#10;iM0V8JgXNqMOb5s50tR9j355j1N15YXOKJNUtjXK0SavP9yPtifXRgQUR1u9ffRe582W58+2x7+D&#10;7ou/Kd3XysrK0dBhZRPt3yip/6Hu/9zduVd44Bf1Vla/dXmPAE0KtgLacstwdGdQGbKWuWXInOY9&#10;DtUrfs59/EeP8m9+nlz2M0A8b1vc40Xd990jR933g+oCYvOWCYL7EOAcWem8R5VyHfdPTYY2ynj7&#10;yN/d67zZ8vzZ9ngv6L78LDX3tbL6swkgzr8nJ5ddxgJxVn9keY8ATQq2Atpyy3B0Z1AZspa5Zcic&#10;5j0O1St+zn38R4/yb36eXPYzQDxvW9zjRd333SNH3feD6gJi85YJgvsQ4BxZ6bxHlXId909NhjbK&#10;ePvI393rvNny/Nn2eC/ovvwsNfe1svqja+WqhRP8e7Lu6ak+Ss0CcVZ/FJFpzJt5LQi2ogzHeLpl&#10;ALr8ZRA/d8sAhAWVQQBowGTeOhGQGFnkgiA2V8BjXtiMOrxt5khT9z365T1O1ZUXOqNMUtnWKEeb&#10;vP5wP9qeXBsRUBxt9fbRe503W54/2x7/Drov/qZ0XysrK0f1m7Ue6d2nUWgL//UvC8RZWVlZWVnd&#10;OsXHLzp2LeneLRBnZWVlZWV1a9WzV+l1/r04qf+h7t/rLRBnZWVlZWV187VuS5NU7928gj53z5w7&#10;NfCLeisrKysrK6sbp5lzJk/278lpsxZ4PbRlp/iyQJyVlZWVldVvV0XLhc/z7tP8Lj20hf/6lwXi&#10;rKysrKysbp0A4rz7MNIP6FGhbTrJlwXirKysrKysbq2iupZa6t+Lk/of6haIs7KysrKyuvWatyQy&#10;1Xs3rzRZi97hL2+BOCsrKysrq5uvLjHd5/v3ZH4/HtqyU3xZIM7KysrKyuq3q1xFwxJ9Vk/NSWqp&#10;fvmBuCo12wd+YW9lZWVlZWV1/dWx07j93n3YUcrp3i0QZ2VlZWVldWtVO7L4Kv9enNQv5C0QZ2Vl&#10;ZWVldevVd1C1VO/dvII+d1sgzsrKysrK6uarcetWPiAu/+XQdp2qlwXirKysrKysfrtKn7vwKe8+&#10;/U72/KNDW/ivf/mBOJshzsrKysrK6uapdbthh7z7MHora95soW06yRcp4f3XWSDOysrKysrq5im8&#10;VpHl/r04tE1f9fJ/7rZAnJWVlZWV1c1Xx+jKV+3dvxSIW7pibuAX9VZWVlZWVlY3TuWr1fJB7fm3&#10;hbbrVL0sEGdlZWVlZfXblR+IS5u9QGxoC//1L2/FqH7jmMAv7K2srKysrKyuv+o2itnn34uT+4W8&#10;+woC4qK6lgr8wt7KysrKysrq+qtY2UJ7vPswWeBC2/RVLz8Q13tgROAX9VZWVlZWVlY3ThH1yqR6&#10;7+YV9LnbAnFWVlZWVlY3X0XDKq/37se/9Cg1ADrv9e27xgR+IW9lZWVlZWV1c3Xo8JGE/dmVflYP&#10;D23hv/7lr9wCcVZWVlZWVjdPEbU77PTvxaEtOtkXWeT811kgzsrKysrK6uYpX/HCPqg96f+hnrhc&#10;ARk8ukbgF/VWVlZWVlZWN06lw0umeu/mFQTEbdy8PPCLeisrKysrK6sbpywFil1ItCf/wqPUgOC9&#10;11sgzsrKysrK6rehrdt3XtnfE5S/WGgL/3WvNFmL3uGvvHGLfoFf2FtZWVlZWVldfxUvV++Edx9O&#10;6X+ou68gIC66Z+nAL+ytrKysrKysrr8y5SuYKOtbcr+QT1RONW5SncAv6q2srKysrKxunAqXK5bo&#10;y/C02QtMD23Vga+gz9379m8M/KLeysrKysrK6sbJvx//0qPU/EBcj9j4wC/lraysrKysrG6u5i1a&#10;kmiPR6k5SS1VLyryV26BOCsrKysrq5unAiWrJQbiUpnuHTreex3qG1cm8At7KysrKysrq+uv9Lny&#10;f+Pdh5P6hXzQf0SzQJyVlZWVldXNV8Y8BVK1d7svC8RZWVlZWVnderH3+vfjX5o5xgJxVlZWVlZW&#10;v02NGDsh0ed0dEOBuJZthwR+YW9lZWVlZWV1/ZUhd+Hvvftwav93G+ene69DFoizsrKysrK6OSIr&#10;q38fTuoX8kGfuy0QZ2VlZWVldXO1cn2TRHsx4nN1aLsOfAX9R7RTp3cHfllvZWVlZWVldWM0c+7U&#10;RHsx+qVflOuenijDe/ywUYFfyltZWVlZWVndXNVv1uZr7x6te/a20Pb9619psxZ4PXHlFoizsrKy&#10;srK6WerS7YNEe7Cj1P3vNgvEWVlZWVlZ3To1a1My0R6MkvqFfBAQN3V2vcAv662srKysrKxujIDR&#10;/ftxSl+mB33utkCclZWVlZXVzdXQUUMT7cXAbaGtOtWvxNdbIM7KysrKyuq3ooJlKv3o3aPTZi8w&#10;PbR9//pXEBDXPmp04Jf2VlZWVlZWVtdXHFPu34dT+7/b3smRr5H/2gEDwwK/tLeysrKysrK6voqo&#10;UzzRHpzcL+SDPndbIM7KysrKyurmqvfAiER7MQpt1Um+goC4y5ePBn5Zb2VlZWVlZXVj1Kxdu0R7&#10;8bVkjkl8fQEZ896HgV/KW1lZWVlZWd08nT13PtH+jFJ7klqqXm9lzZvNfwMLxFlZWVlZWd0c1ajX&#10;JdEejEJbdIqvICAu6At7KysrKysrq+uv0pWLJtqDk/uFfBAQN29pw8Av662srKysrKxujOq3KJ9o&#10;L07Nl+lBn7stEGdlZWVlZXVzVbRc5UR78S/9ojxN1qJ3eK9Hk2fMCvxi3srKysrKyurmaeWadYn2&#10;Z0epO0ktVa8gII7j24K+tLeysrKysrK6vipVsWGiPfiX/O82C8RZWVlZWVndOuUoXCjRHpzcL+SD&#10;PnevXN8k8Mt6KysrKysrqxujgmHFEu3F72TPPzq0VSf5CvrcHfRFvZWVlZWVldWNEUeV+/diMriG&#10;tupUvTiRxV+HBeKsrKysrKxuvcjY6t+jU3uSWqpe0HX/n70/DbaqOvf98be/OlW3jqnKm3tenOs5&#10;p+pWnfviJCmvOfX/3ShNEg0kxAakUaOoYC+CYgei2EUliZLYYgOINHaALYjYK/aCYgOC9CAg4oaY&#10;HLvc3/iv72J/zbMenjHmmKvZ7TOqPrX2nqOZYzxjzDXdzg9j6hNcP2W++dDecRzHcZzm0n/QiJp7&#10;cM7/kGc6uN+AybLuIb/4pfnA3nEcx3Gc5nLD1KG19+8Kqf8h70Kc4ziO43Quy9+7oOY+DHIeprsQ&#10;5ziO4zidy7MvLKq5D++j3M4xlhC3eOkz5oN5x3Ecx3E6jklXX19zf678nb6h/fbdnIQ//OUJgAtx&#10;juM4jtN6cL/V9+Ay/7oNO9HIutipxnpo7ziO4zhOc5l4+eCa+/c+4v9D3vqHaHgwbz2wdxzHcRyn&#10;+eBV5fpenPMwXf9DtJ/+eoj5sN5xHMdxnNYw54FZ4t69j7I7xxzcZ+APdRsuxDmO4zhO53PsqDNr&#10;7s+Vv8Gfa799Nye5EOc4juM4ncOkyTNq7r/7yP/XbS7EOY7jOE7nMGb8UeLevY/U/5C3/u52Ic5x&#10;HMdxOo7bZoyuuQ+DnIfp+u/uI0acYD6sdxzHcRynNYy/9NKa+/eP+w9Y0X6bzk6WEPfislfNB/OO&#10;4ziO43Qc/QcNqbk/42/w9tt3c5L1P+ZvnPqE+eDecRzHcZzmcfa42m1gQZl/3YbXq8q6AwYPMh/a&#10;O47jOI7TXI454Yia+3fR/5B3Ic5xHMdxOpezLzy25j6c+zBd/93tQpzjOI7jdCy498p78cH9Bi5s&#10;v01np4P6HN5XtgFciHMcx3GczmX5Oytr7s37KPda9ML04/6/GKtPYj20dxzHcRynuQw5vvaVLQeX&#10;fC+6C3GO4ziO0zlgV1Z5Dy76H/LW392r111sPrB3HMdxHKf5/HLYkTX34dyH6frv7uNGn24+rHcc&#10;x3Ecp/m0ta2vuX+DenaOsYQ4PIS3Hs47juM4jtMxPPjwYzX3ZlD2teiFyYU4x3Ecx+kc+g8aUXP/&#10;Lfuv21Be1j9iuAtxjuM4jtNqbrplWM39GxT9D3nr727rYb3jOI7jOK1B34dzH6a7EOc4juM4nceq&#10;1W/U3L/3UX7nGNTR7az9eJ35cN5xHMdxnI5h5pz7au7NoP3W3bx0cL8Bk+UJfnL4UeZDe8dxHMdx&#10;mou8/4Ky/7rNhTjHcRzH6XiunXJMzf17H+n/Id+RQtzm7RPDpi2XhA0bLgob1l1Y/dxY+X3LJxPM&#10;8o7jOI7T03nxtfNq7sH7yHuYrv/uPm3sOPOBveM4juM4zWfOA7PEvXsf9ewc40Kc4ziO43Q9xl1y&#10;ec29uXK/XtF+625ewsN3eRLsVmM9tHccx3Ecp3lcdc08cYMn5f5128H9Bjwn6x9zwhHmg3vHcRzH&#10;cZrH+AmDxb17H0X/Q17/QzS8ts16YN8MIMCt/fD88NG748KHb40Nq5afG9Z+MD6sX3dR2LLVpTjH&#10;cRyn9zHrgTNq7tsg92F604W4b7aHr77YVGFD+LLCV19sDF//dUv49utP7PKO4ziO04u54tprau7f&#10;P+4/oK39Fl0qHdx/4MjadpojxO1pawttu3ZV2Bk+r9C269PQ9tlnYe+ePWZ5x3Ecx3H+zqDhJ9bc&#10;m7FDe/utu3lJb/v+i6NPNB/cl+HW254Kd9z5ZLhn1mPhvvsXhIcW3B8WPjo3PPLY3LBg4f1hXuXY&#10;7DkPh3vueTzcdfeicNttS812HMdxHKenMmnyjNqbfIWD+wz8YfvtOSvBlJf1jz+lfiHuzruGh7um&#10;jwgzZx0X5s47ITy08KTKffuU8Pii0VUeefSU8OBDIyv38BPC7LnHh5kzRlTrWG05juM4Tk9mzPij&#10;au7foP3WHE367+6mCXHYDW7bhLB+/YVh9bvjwspl54QVT58e3qzct1+bf3J45cGTwisPnRxef2RU&#10;WP7U6VVB7uO1F4ZNWy+u7iRntuk4juM4PYzbZoyuuW+D9lt0YdJ/d+PBvPXAPpcv93wc9n7yXvh8&#10;8/Kwa8ObYXfl84tPV4Uv/7whfPvNdrOO4ziO4/RWxl96ac39u96dY6xd260H82XZvX1b2Lnh4/DJ&#10;mlVhy6r3wrbK56ebN4bPP90R9u7da9ZxHMdxHGcf+t5c9k1qWUn/K7dGhbhbb30q3D39iTB33oLw&#10;xOLZ4ZXXbwvvvH9DWL3uurBm3bXh3crPr7x+a3j62enhsSfmhvvvn1+V4mQbN9/sgpzjOI7Tszl7&#10;3PU1N3lQdrv3g/sP3CDrn3zGUeaD+xzuvntEmHXv8WH+/JPC0mfPCG8sHxfeX3VhWLv+ksr9++Kw&#10;8oMLwitvjAnPPH9meOLJ0eHB+SeG6TOPM9tyHMdxnJ4MBHR5/8X9uP3WHE1aiBt28mDzgX1ZNm+7&#10;JHy89oLw3itnhxdnHh8eu/KosPDiX4aHLxkUFlz4qzD/goFh/kW/rHz+Mjxy2a/D83cfF96p3MvX&#10;fHB+2Lz1ErNNx3Ecx+lpXDT5+NL3bib9d3cZIQ6C2zdfbQ1//Xxt+HzrirBj9cth85uLw7oXF4SP&#10;np4XVj09N3z07P1h3cuPhG3vPhs+3/Zu+PKLjb5bnOM4juO0c9zo02vu4fXuHNMMIQ6C2562z8Nn&#10;n2wNn3y8Omx8962wdtlz4cOnHw/vLV4Q3l30UHhvycPhw2efDOvffCV8sm5NaPtsl+8W5ziO4zgG&#10;2KlV35uxo2v7rbt5SQtxg4aeaj64z+XOOxeHB+c/EJ55bnp4a/lNYfXH14dNn1wR9vz16vDFl78N&#10;Wyo/49g7700Nr71xS3j2+enVXeNmznw8TJu2JNx6q8twjuM4Ts9n9FlX1dzk69nuvZlC3KzZx4VH&#10;HhsVXnz57LD83fPD2g2XhK07Lgt//vKasLdyD9/0yaSweu2Flfv3+eHVN8+t3L/PCAsePrlS7/gw&#10;fcaxlTaG7dem4ziO4/RE8Ipyef/FK8zbb83RpP/uPumsoeYD+7KsX3dheP/1MeGVB0aG+Rf9KswY&#10;cmiYM6xv5fOQMLPyM36/55hDw7zh/cLdR/8kLLjol+HFe0+o7iS3Yf1FZpuO4zhO9+c3Iw/CDmjh&#10;2ikDzPzuyv848HvVcS145AQzP8bZFx5b+t7NpP/u/sNNU80H9hZf/nVT+POnH4bNbz8V3rz3xvD0&#10;78aHJdecG5ZcPSYsvuLssHjyWeGJy86s/vz8HyeFDxbPCjvXvBK+2PVR+ObrbWabjuM4jtObOGLE&#10;CeoeXt/OMagn28Er2qyH8yk+370r7Ni0Pqx97cWwbPrNYcl1F4dFV54XFl0xLjx+2Zjw+KRzwmOX&#10;nlP9+ekbLg/vPHp/2LRyedi1dXPYs6fNbNNxHMdxeisvLnu15h6/jwFHtt+6m5fwPwDkSYYcP2a/&#10;h/ZlmHXvI+H5l+4Ma9dfF7Z8clXY/Mnk8Mmnl4dPP58cdrVdGbbtvDxs2nZl2PTJlWHDlqurctzr&#10;b90Sljx1T7j/gfnhzjuXmO06f2fKlAXhoIP6hn//9/8dzjtvqlnGaR4TJkyr/s82gJ+tMs3gH/7h&#10;v1XPMWLEWDPf6XwwN5gjzJWVH+PkkydWr9dDDhlk5vd2emt8cL+V9996tnuvrT8wnD6mfiHugYdG&#10;htffPDes23RJ2LxtUuX+Paly/76scu++onIPv6Iqx+HY5q2Xhg2bJ4ZVay4Kr70xJixZelq17t3T&#10;R5jtOo7jNMq3334VkNaufcnM7yps3fZe2LNne1P7+f4HT1bb3LlzjZnfWXSXOWkV/Qf9qub+m/Mv&#10;1PXf3c0S4tZ8eH549aGTw+PXHB3mnPKzqgz3wIh+lc8+1Z/B3OH9woPH/TTcO7RPmHfGz8OTNxwT&#10;3np8dFi39gKzTcdJccvtR4U+/f61KtvoPIg3leUe/vEf/5/98nI459z/U23bEngGHfG/qm3jU+el&#10;6jlOb2TZ62dVrxeAn60y3ZUJk/pXx4Vr3sqPgVeVy/twmd1l8I/XZN1p06eZD+wt/vLZR+GT958L&#10;b99/U3hozPCqpD6rwt2DDwnTK+ATx2ZX7tezTxwQnr1hQli99P6we8Nb1Z3lrDYdx3Ecp7fQ1ra+&#10;9v5dod6dY/Su7fUIcZ9u3RzWv/VKePXe2yv39eOT9/V7T/xlePp3k8LKRQvCllUrqzvLWW06juM4&#10;Tm/lwYcfq7nHg7JvUstK+l+5HXvSBeaD+yJuve2pcNfdi8P8hfeFd967Ifz5v34bvg2/C5/tuTLs&#10;+GyfFAfwMx6st/3l6vDXr6+tHJscPvr4uvDq67eGRx6bG+66q/b1qfVCcQUUSWNHHjn6u7KQzawy&#10;XQmMh/2FRGKVcZqHjHcrBUSeA+vRync6H/ldYeXHwHXKei6x7k9vjQ92ZJX33zL/Qp1J1gfjJww2&#10;H9ynuOuuEeHe2ceHRU+eGlavvSh8+bfrw9f/d0r1Xm3dv/f+9Zrq/XvrzknhwzUXhVffGBMeffyU&#10;cPd07BJnn6NRHn1sclW6gBQiE8WTufPONusR5LM+JQ4mHIPE8vQzfzTrkr/8ZXd7jVD92SqjqaeO&#10;Bn3T6e3l882ykt27N7WXtlNu7CQQc9Dul1990d7KvoSxQdYp6tcrr8zcL/461dMvGWcknANrRpbB&#10;/Nab2BeMTyaOF/lyXLlzjZgxoT6P58SJqawkhb7qNVW09puNHPfGjW+ZZTRMueU7C5ms/HrANcGE&#10;tWGV6QyYuvqctAp9/835F+oQ32UdvLrNemBflg/eOjcs/sMxYe7on4cZw/qEuwf/JMzA/4g/+idh&#10;+pB9/1Meu8TNOqaSN+QnYfbJ/cPDEwaFl+acGNauPt9ss1n8xw/++3f/jadBHoSqe+YMM+t2dyCg&#10;QAqzxi6x5K6uDiQU9l/v0ERRBcjjubCuVZ/ntSSYVL2uBGRC9rOszOM4ZeDucNZ3DL53uQ41+N7C&#10;2oRcmiPSQUa12tEseWaUWR9wxzeQs+tbvbKfFuLK7C4j64E5D8wyH9pb7F7/Rnhn4bSw5Jqx4Z7j&#10;fh7uH9G/Qr8wd3jfMAcM6xvuq/z+0HE/rdy7DwmPXnJKdSe5Le88Hb7+qwtxjuM4Tu9m1eo3au7B&#10;+6hv5xi9a/uxo840H86n2Pz+u+HN+2eEJyaP23dfPzZ9X3/4otHh1Zm3hHVvvBzaPttttuk4juM4&#10;vZWZc+4T9/d9tN+2m5u0EHfiqZP2e2ifw/QZT4SHFtwXnn/xzrB67XWh7Yt9wlv1gfquvz9Q3175&#10;eefuK8LuP19Vlea2VY6tWXddeOPtm8MTi2aHu+5ujhAHsY07bqWkMVmuu+xOdMUV9/puYh2IC3EO&#10;qVeIO/zwY6t1vv/9f2q6dNtROxi2klbGpyvTf9CImpt82e3eYcnL+qAeIW7O3OPDY4tGhWWvjwkf&#10;b7ik+nrzv3x1bfVejXu2FOJwDPf3P//XNdUd4z76+OLwxlvnhscXjQ4zZrRmhzjIFkVyEAStmNST&#10;U58JsldMxNLJKqPRySqTAn2xEgQZq7wkNyE2RUIUxC8twcUSZLDUXOSmnH4BLakxaUkHIlG9iRKS&#10;7r88h45PUd/13GLtMa9MnHLWAkGftDyI1JGSlR435tkqp2HS89rVYHzlfDYKBUassdj3U2fA1NXn&#10;pBXcMHVozb0X5PwLdf1395W/G2k+sC/Dpm0TwoqnTw8PXzIo3D1kn/gm/2W6pJqH16ge2yfcd8Zh&#10;4Zlbh4eP3jvPbLdZVIadBWSIlCzRCJTSOnrnMEgdepwW3VGKogCDeVu5qnYNNSrEUaK0JJ6UEJeq&#10;h7XFPrVqneWiJdHO7o/TeWCtYg20Sorld58lHcvrtAhc77q+hNdlETHRTct5ufFg/Ir6R5a/d0HN&#10;fRvk7i7zgz5HHKDrPrJovvnQ3mLTm4vD0mvPC3NH/TrMGLbvleZgeuW+TGZid5mhfcLMYf3CQ2cP&#10;Dc/+4aLw8Qvzw9d/2Wy26XQOQ4ceUV13+NR5c2bfHg47rF84/bSR++X1ZJa//cx3cQH/9q8HVmNh&#10;lZXceuuUavnvfe8fzfyuCvqLfqP/Vn4OzWijN3DJxedWrymPk/PGW8/X3IPBwX0G/rByHZVOWogb&#10;PWa8+XA+xZqXnwmLrx4f5pxyRJg+tOi+3j/cf9bwsHTKxPDB04+Htl27zDadzmPZsmXhpz/9aRg8&#10;eHBYuXKlWaYrsnHjxjBq1KhwwAEHVO8p+Jw6dWo176GHHvruGMan67Ya9IPn13nTp0+vxht913lO&#10;54PrAHOHTyu/GaTWh9M7mXT19bX3+P4DN1TWSPOT3va9XiFu7ryF4Znn7worVt4Q1m26pvoQHbvD&#10;bd+170G6Zufufa9Q3bpjcli7/rfh7Xf+GJ5cMivcPb05QhyQ8kpMZJJlIJpZZZzejQtxDqlXiGsl&#10;HbU+nebzk8OPqr3RlxTi8Me/rA8mXl5eiFuw8OTw8qtjwvurLggbtkysSm+4P++7X1+2H8zH61PX&#10;rr+kcv8+Lyx+8rQwvQVCnNxJqihZYlCZ+kwQWizpRCedb6GTVSYFdmSLJb0DmqZMgpQUE21SfYil&#10;mMxWRvRCSvWLxOYY8pAsh/7Um9gH3X8pAuld1/A78yx0XPE788rECeOX7cbArnux1JFCnNWPop0F&#10;AVNvlK+6Kky9cU6unXJMzb13H8X/Qr3ZQtzGTReHVe+MC8vuPyk8MOYXYeYxfcI92AXOkOEAdovD&#10;7nHTBx8aZhzbLyyaMiSsWn6u2XazqAy7CuQLeRwSFeQI7mBEWrFbXKwPrUYKcZDx8LtFT32VIbDy&#10;GyElxKVAnNkn/GyV6QikmEdyZR6n51Hves5B7kRo5aeuU6xT1Je7tkHk1OUIx4Ey8rtNY9UFFNsk&#10;WrS1wPcqyua+nvnF184T92ySt7uM9Q/Rnn1hkfnQXvPlFxvCB4vvCQ+dO2Lfw3Lcj9vR92iI6zOG&#10;9qu+NvWRi04O7z0xI3y5d73ZbjNYs+b178QcDY5DRMkRm3oTiAnig89YHnjh+Uf2y++JxNaQFR/N&#10;tddO+q68ld9VYZ/Rfys/h2a00RtgnICV3x147NE5NeOQHHTQD6oCLa4jqy5ISbiaIskU5+O5c8Rd&#10;XtuQXq38jgQSur4P1/sqNbydRbYz7pLLzYfzMT7ftTO888j94cFzjqvct3+y7x7eTuy+fu8JA8PC&#10;C0aF5Qvmhs937jDbbQaUoIr4l3/5F7N+b+XKK6/8Ljb42SrTFfnRj35UM68AohnyOntM8vw6D31k&#10;3pIlS/bLdzoXzg/XUitIrQ+nd4J7sbw34w0rlfXR/FR7koFh9FlXmQ/ui5i/4IHwznt/DJu2XVXd&#10;9Q0P0v/+qrXLqmIcfqcgx53itu2cHDZ/cmX4cM314dnn7wozZzxutl8PRbvEdcfd4ZyOx4U4h7gQ&#10;5zQTff/N/RfqTJYQN/nqIebD+xh33jU8LHrytPDe6gvD5u2TKvfkfffnmvv3Z7h/77t343fuFLdt&#10;52WVe/6l4cOPLgpPPXNGmHFPc1+Zaokz2HVJilYQafg6QS3EWVIR5CFZHz9bQpUlM+mk8y10ssqk&#10;4NiQ9M5eiI9Vh8ikY4O4QTaTSQpZxNpVDW1JgQliHmKt20N/ZVtAz4kUaSCdoQ+6ndQ4UUeW1zGS&#10;cx1DJ6sMSfUf55JJC3karGWZpPiXOk89aFlPp44U4uQOapy7HKmPqdFYOM2DqTfOCe61+v57UJ/D&#10;+7bfnqNJ1/n9LSebD+1zWbfmgvDO82eGZ6cdG+ad/vMwe1jfcO/QuBC3j59UyvSt/qv1xyYfGd57&#10;+eywZbvdfjOoDLtKSkaDKMGdjPDZbEEspw+tAOPiuVMySE/Dhbg4cmc9jgU/W2Wdnk+96zmH1OtS&#10;Qc51CilNSssxebORceAcbF+eC0KeVV4iX5uac10vfnZMzT0Y5Ny7kay/u4uEuG+/3h6+3LMufLr2&#10;lfDW7BvDvNFHhNnVXWT27eSqqT5Mr4rryP9JuP/0weHt+28O/7XnY7P9ZgBpqzK8QiBR7Nyxymyj&#10;t5ES4rCbFfKwQ1pviRfHDHGGEiDknhwhsCcKcbm73qXacP4OBa4cGayrItd5iph8nPrO0RRdU8wj&#10;RcIzy3UFwRevKdf34Urf6kp4yC7bwa401sN5zd49e8PnO7eHze8tD6/MuDnMOfnXlft6n4z7+iHh&#10;rsp9fd5pQ8Jrs+8Iu3d8YrbfDKRkksKFuFrkbmrdRdCS8iN3hcOOcdzhrrN3iEsJT+PHj68exzpE&#10;n3W+07m4EOd0BtitVd6bIa9X1kdzk7Xt+7gL/2g+uC/i0cfuC2vWXV99zdqev1zd/uBcg91l9v0M&#10;MY6vYsPD9Y1brw4vv3JbmHnPo2b79SIFFv06QZnnu8M5MVyIc4gLcU6zuH7K/v+6LfdfqDPhf+Dr&#10;NrBrjfXwPsZdd48IS585I6zfNDH89Zvrwu693BlO3rdrwb2b92/cy9dtujS88PJZlfv38eY56kGL&#10;Tkgp6QLSlHxFoVXfEr6IJd9JQQnoJPNi6GSViQHRTCYIV1r+suoRmbQQB/SYrfhKIQ8pJS5pIQxJ&#10;7/yFc8hknVPvnJaad1kWsdF9KNqlDehklSFF/c99bSrWlkz69Zo5cSqDnEe0pee1o4Q4OT84p5RR&#10;9fWmYWo0Fk7zYOqNc4LXk+v7b86/UNd1bpsx2nxon8tHK88Lrz88Ojz5+2PCnFN+VpXh8FoW/T/j&#10;a4EQ1yfMHNInzL9wYHh1/inho3fPCxs2XmSeo1Eqw65SJKNJYQlShFWmXnL70Gy6ioTV0bgQF4fi&#10;J2Ikd/Bqxc6ITtenEZGsCLnWrPwy1yn7CSxhuZFxyF3eIMdxV7rUjnQSls/ZaXHWA2fU3INB7u4y&#10;1t/deH2b9dCefPPV1tC2dUXY8Mqj4YU/XVbd9W3OsL7VV6jZ9+d94AH67GGV+/nxPw+v3nltaNv2&#10;rtl+M5BCnBYe9Gswc2SM3kAZOaU3wHjUIyz1RCEud0ypNpyeRWxNQJqFkCZ3WMRucrIMKPOdU7T+&#10;mMdzQt61yhGW7wpC3LTp02ruwf+/nw/aUulbXUnv2n7djTebD+c1e9o+DzvWfxRWP78kPDP1qjDr&#10;N+Xu6/cc9/Pw4u2/D9vXrTHbbwYumfQeONdd9ZWTvha7Ly7EOZ3BoOEn1tznf9xvwIzK+mhusrZ9&#10;r1eIW/jw/eH9D28I23ZeEXa27wSHHWS2V37euuPysGHL1WH9pqvDpm1XVneg2bdb3D72/vW31Z3i&#10;Xn/jlnDPrOYKcbFd4FK7w0EqwTHsKod88s///D/D4YcfW60ry5MRI8ZWyx10UN/q75BneA7UldId&#10;j0PSQ3so+/3v/9N350IbWuCTsD7OGcurt22AdtFn1rHgOFMwJuhTLG6Mc6w9OVcnnzxxv3yMBfMl&#10;x4ifcSwlCOF8KIs+4hwoz/qyLynhCPXYf/RR5gH0V64j9ssSMFmGQlw98wbOPPOaalnGDHDtpsRP&#10;lufvOL9cAxgH2pZ1JGhbzwPqWHOWAjHFnKCubAv9w7hSfeAYGln7HAfbwid+Z3tsy6obQ14HsTyu&#10;Oawx/MzzoP9cE1a9FLoO0GsSFM2TjCtgfRxn31gG60zXl7CcHFMqPsRaX/g5dj1Z55HI6zq2Jjjf&#10;OI883oy1ftU182ruvfsoJ8ShvG7jhqlDzYf3MbBD3JNLTgsffXxxdXdX3pur9+/KJ16LumHzpWH9&#10;5olhy/ZJVSFuX5l9Zf/8X9dUjl8WXn71nMr9+zjzHPWgpaii3bY0WvayhDCNlpn0zmQ6ybwYOlll&#10;YsgxcPx6N7vUa1Nlssavd3/TUouUl5AgnBVJS7p/9YheRf2SyF3WKOvJecxZNzpZZUhR//VObHoN&#10;EYiCMmlZMydOZcD8Q6DEnPJ3mVJCHNYYRcwcwTAF48N5kXFICauAibHAp5xrrIUcsQ9zoseP33E8&#10;tr55LSAO+B395rnxKcVPrkm99gnawlqVcquVUI51+F3A80uYx/MhBvK6QP9S6wdjZkxkPHEutKOl&#10;VglTo+uzOzJmfO0rzwH+oVn77dlM1t/deDhvPbTPZdWKceGVB08Oi64bHGaf/NMwq+CVqfv4SaXc&#10;oWHmkEPC/WcfHp69fURY/swZYe3q8eY5GqUy9H3/rZUho0npQr8uDxIGhAeUoegBIENAoMMr/mR5&#10;69WUGilGlW0/h0YlLAhTMiYAv6d2TmpkHKiLMhRMUudLvapQizY4p3wlItpHGT3HhGWtna0YD3zq&#10;PKse+5lClsN4LOGHUGKzxl0EpDeeE+fQO2NZdSR6PXBOY/0tWx7oOgC/W2uAYByYTwhMrIOfY3Nc&#10;pjyvY8aba5Rr21pL6KtsG+sh5/qtZ+zsB9rnuOT1Ezs368VAO7pOGRg3EPvuwTlYxsqXyO8ySzxj&#10;3PCp84rgXPEaQPs8V2qtEl73OeeGhK7vw40IcatWv2E+tCdf/XVz2PHRsvD+EzPDU9eOqwpuuQ/O&#10;52AnuUrZZ2+4OGx6c1H44tMPw9f/tdU8TyOkhDhCGQOkXuvXWygjp/QGuINXPWJXrjzW1WCfrTHn&#10;jinVhtOzKFoTkI+Zj+tJ57dCiJPlUmuQZbqCEHfFtdfU3IMPHXjk6krf6kr1CnFtn+0KG1e+HZYv&#10;nBMWXz0+zBzxs5L39X7hqSkTw5plz4ZPN20Iez7/3DxPI7hk0nvgLmutlJYawddi98WFOKcz0ELc&#10;wf0G3lhZH81N1rbvF0283Xx4X8R99y8Iy169PXy4ZkrYtPWq6oP03Xuvqj5UxytRV398ffhg9e/C&#10;uk2Q3y4POz/f97AdD9X/8vW11XKvv3VzuPfex8z2G4FSA6A4IWUSKVNAjODxGBAtIMewDuF5IEZA&#10;ltD1pEzFY+iHlCokOE9M1GAZS/ZgXr1tF4lwhAJPChlPSxZBHGWbOh9AgGK+Fl/k3MaICTqUepBv&#10;jZnlUkKcrKfHZ60BgnPLsoB5sf6A1LwhllKkskD9mLTDMohxag1gXem66BPatsoDHbcURWMA1roH&#10;zK937WOtxcaB47JvVv0Ycp3G8rAmMPcsp8F6kvXkd1gMWR7rg2s+hj4HYT7OqePDtczYIF/XJ/Ja&#10;lmJjKj4AazY2LwB5ek7ZHy2zERnr2HridSDj0qy1PmnyjJp7L8j9H/JMeMWqbqMeIe7hR0eFN5aP&#10;Cx+tvyRs2j6pej/G/RvCG16JunrtJWHVmouqUhyEuH2y3OXh08p9/L++uTZs3XFZWPbamDBrVvN2&#10;iJNCBxKEDatcDC28FMk2AFKHTBSsiE4yL4ZOVpkY8vWfFJG0SJUSUWRCPHS+lre0+FIUDwsts0Gw&#10;kfm6Tav/ukxs7vUua+y/HleRJKWTVYYU9R8Sk0yxXfy0OKhFrJw4lUGLk/r6SMVIzqm1jspA4UqK&#10;dTxW1DYT6sprQ6fYtY65SdVDQl9QTteVMdCyLpKcH8bWGo++flNJ9kOuB9mezMP59NqXKXb96u9a&#10;K8XWH1Oj67M7Yglx7bfmaLKEuPmPFz/sT7Hmw/PD20tOC0tvGhFmj/5ZmHVM3wwh7pCAXeTwP+7n&#10;nv7z8OQfjgmvPzIqrHn/fPMcjVIZepUcwQPiCcvrHbOKBBIgxQ8phMSQ5cu2n4OUSMrUhVijxRxN&#10;TKCqdxyIV6qurpOSaWSenFMNRBgtQIGUXFM2L1eIk+sFdVhfQ3kHn1Z+CsyZrstjiL0VC8JyFlYs&#10;ypavd82hHmNioa/7suXlNZRaS+g72qYcZRG7BusdO2A+1owU4SSYWy3FFV2nOd+XKWSsMD6rTOoa&#10;tuD4rLXP+FlrKwWEN/aB3/nyWE4cyozDEuIq9bKS9Xf3lq3vmw/tyVf/tSVsW/l8WP7gbeHJqyp/&#10;K//msOoOrbFXq/2dfTu5Tq/c0xdddkZY+fBdYfv7L4S/7l1nnqcRcoQ4KU50BSmis3EhrhaujZRU&#10;E6NI3umqpMacO6ZUG07PImdNnH7ayO/K6Nctt0qIY7vYLS72imeW7wrf/eMvvbTmHtzvV0e/Welb&#10;XUm2A26+Y7r5cF6zZ/dnYd1br4bX594VHr/83OqOb2Xv649eelZ4+8FZYePy18Pnn+4wz9MILpn0&#10;HjpCWmoEX4vdFxfinM5A35sP7jdgcmV9NDdZQhwe0lsP74u4d/aj4cmn7glvvPWn8PGGa6sPyvf8&#10;9Zqwczd2mLkirFn/27B67XVhw5Zr9glxu69o32XmsvD5n68KW3dcEV55/bZwz6zmC3EQQSgwUGyg&#10;LKMFEMoOkCWk2IA2pLSBfFkPyHyAc0DkQDvIkzKXLAeQj3MgT8ofMZlD1ovlyTK5bcsxQH5hPYyB&#10;coglc6VgrCGo6Dz0h+cD1u5fmCPk6f7KuuiTFGLQjpS6LIlLy0H4HfWAjCvGzjJyTbBfAH3hcYC+&#10;ME/GEWsAbVuxYHlSZt6A7A/WJ9cb2pD1gZaHAPNYDudnG3L+gYwDoHyEMnoeEFddPgXaQh30WV4z&#10;ug+MjYR5pEwMUY75+GSfcRztyHaBrp9C1k/lAYyR58b4GVug1xlAWean4sx2MDa0w7hwTbIN/Kzr&#10;Mo9greFcaId9wlwzHz/rNkDsWk7FR15LGEPsOse45JpAv1jPWu/8XgJoQ+cjLsyXcW/WWsdurPr+&#10;W1aI+3H/X4zVbdx0yzDz4X0MCHEPzh8Znn3+rPDOe+eH9VsmVF+bilefQ3rbtG1SWLv+kvDRx5dU&#10;7t+XCiFu305yn++9Kmzcdml46ZXm7hCnd0+yJJUU9dTXMpcWWnSSeTF0sspY6NelSllNjk0LZxKZ&#10;9Fgg9ch2LHGrXilRJ5knxR4kKdJACtP56GNsFzwtJlEqw1zLVCTy6WSVIan+EwpeTFb/ZewRZ52f&#10;c55GoLTFlBLimrVDnJTBZEykxBWba6ATYsLy6L+U3fT1jrXBfIwFa5nrBW3IeGP+tKCovxvQBurg&#10;ONqS8WNs9TWHNhlH9IV9xHF5fmsuZH4qDwltsw2MTV7HliyIfPQVeTL+aEPGVMcEMKEPOq+nc/wp&#10;R9Tce//fwwbuar81R5P1d3ejQtymLRdXX5v6yv0jw31nHR7mDOsX7h3a1/if8LVQiJtz6s/D4ilD&#10;wqsPnRxWvzvOPEejVIZeJUdskPKLLg+BBFIKpAkpeED8oFwSk5Ry+tBI+zHkeGIyjgWlHpwX52d/&#10;IIpI+cMaT73j4DmRJ+UdtAPJRfdf9kMe13lsk7IL+iTzcV5dPyXX1JuXMxfoJ/Jj8yxFHcTTKhMD&#10;47bqIi5FbWpZT68HHcOy5UG9a47CIepxjgH6gHXYaHk5b6zHOKFvnDPm4RNjQR7K4Bw8HpvXescO&#10;mCfLsD7a4rkhk+m6ILVmG0H228oHOWUk7KtVvt5xcDc4HR/OayxuEsSZ/ZLfXRYXTT6+5h7c51eD&#10;dlfqZSVLiGtrW28+tCdff7k1fLr2tbDqqbnh6d9dEO79zeHVe/SMwQU7yQw5ZN+D8yGHhocvPCm8&#10;PvP3YcNrT4S/tn1snqcRmiXE4ThemSlf/YedjlA3Jlrkgvq33jql2l5u2zh+ycXn1tRB39BHvKLQ&#10;qiPheFgXrxXE+ZCXklPQT54rlsdXi6bOEQM7SUGckXG2QDmrfoyy8ZI7WllY47eQawu/69f05sQE&#10;YOdCxAXlZV0ci+1qyHWFeZT1OG7r1ZWEZWXfZL8t9HrhcbaBT9kPtFd2HokVD5w/tfbriSHXAecb&#10;MWN9fOJ3uVZSMZXl5PcM44pPWZ7U8/0AEAtey6QoRvWCvvAcVj6QZfT3LPup15BF0bmYh3I4D3/H&#10;9Z8qr/vUGZw2dlzNPfjnRx7zbKVvdSXZDnjw4cfMh/Oatt2fhc0fvBPeeezBsOS6S8I9x0F0L3df&#10;XzD+lPDyXX8MH730dPhs2zbzPI3QiGQyePDgar2pU6dWf58+fXr40Y9+9F17yF+yZMl35VeuXBlG&#10;jRpVfWUn8v/lX/6len7mx0AbaIv1AM6Duhs3bjTroE/sA35HWdZHXfSFZdEGdk9Df9i+BccJli1b&#10;9t1x/MzjMo+vJtXjxid+j/Wd4HwynhYcXwoZt1xkfECzxpSql1qLnE+e38pjLLhe2FbOOqtnDQCO&#10;R9aDFIZrQZaLIdeRvFYkjIs1dkIhDX2x8tFvliH4Hcdjc6bn/KGHHvpunPjE7yzLtvHJYwSx4Hw3&#10;Ej+9PtC/svMMONfy2kL/0FZq3rjOeA6en2PD+bmWdV2C9uU8sI6+3pxi1n68rua+DPD3dyWuzU3W&#10;tu94jZv18L6Iu6c/ER6af394/sW7w+q1U8Jne64IX3x5TVV627Zjctiy/YqqGLe18vMn7a9lw0P1&#10;Tz5tF+bWXReee+GOMGPm42b7jULhgjIIfgZSuMmBEhU+dZ6UOrScoWE5IGULItuy+si8InmlbNuU&#10;SyCuyONAiimWYBJD7sSk86TEBazzIpbIkxKilJesuWAZSi+WAMW5TLUBLOFI9jsVY0u0icH2itoE&#10;et5kH601AeT8WXFmHrDOn6rP4zERqllYcyFhHigbQ5lntY1jXHNA56eQbafysF7094Zc69a8FcUE&#10;5Fy77AfOpfNYF6Ccziepfsp8LRSn4kMBDZ86D8j4SPEVx9mm7jPmnnlErwe0xTw5JzzW6Fo/e9z1&#10;NfdeUGm3VLKEOOvBfRGz5xwfHn3ilLDs1XPCxxsuDm1fXB32/vXq6r0au7/htambP7k0bNvZ/srU&#10;3bh/43Xol4VNleOr1l4Unn7uzDDznmPN9utBJ6tMCp2sMhoIIDJpoUUnmRdDJ6uMhZSEINHIPC2q&#10;afmH5CaM05JdKPYwWaKOhU4yT8s7RckSeIiUdbRURvEIScdPo5NVhuj+WyKQ3qVLi4R6lzBrjLlx&#10;ytm1z6LeuW0E7oqHeZPHsX6ZUtKlTFbMZDs6LjKesbHi3Ey6ff3dkIoXY6u/P2JCIOF1rdcykP1P&#10;5SG2+lqWIl7Z9SLHbY2ZyboOejrHnFArxPUZOHBr+605mqy/u198bZ840RDbJoS3nzw1zD9/YPVV&#10;qPe27xCHV7Po/xlPsIvczCGHhrmn/Sw8dePQ8Majo8Ka9zp/hzhQtjwoEjvqaVNSVhwhORKWRspM&#10;MbmD/YFsY+XHSI2Dx6WklCLVlsyD2EJBSEIJCVBeIim5pt68nLmgrAWs2Mt8a0wppLSj60qRSx4n&#10;jGdM6NKULd/ImmPMrddoWpQtL+cN59b9w9phPoBUJ/OBXI96rTUydsC6gKKeJHVukFqzjcDrK7UG&#10;ZN+sfE2qfL3j4K5zej0UXYuSMt+zWog77KhfF967may/u60H9pJvvt4W/tL2cdi5ell4bfrvwpyR&#10;A8PcYf0q99/0Tq58cH535T698PwTwrJp14R1Ly8Mf/lsjXmeRpBCREx4oIwRk5wgUrANC8gpKTEl&#10;BepJ0UVjtQ3pBn21yhOMKdYnKZRocD72x5JTUjIK81AvFTMISLouwLis8hZlRKp64iXlJYvYWtHI&#10;eEFEkm1IYjEBqJfqP/KseBQJbAD90/WAlV+vEKdFREms7ylQPhUP6zqvN4by+8OaP8aHbcekNiCv&#10;CbnWEDccs663er4f8DvbjJFab/Ug17mVD2QZLSCmYqApOhfzODdy3VriI/O6ghB3xIgTau7BRx57&#10;wuJK30ona9f2XCFuz562sHv7J2Hju2+FF6f9Icw6ofx9ff55I8MLt04JHzzzRPh0y2bzPI2gJZMy&#10;UOzQcokGog/kGYojGkuiIXzNZwyc1xJQOC60DeFE16N8BBEl1i+NlHlQn8e1yCTzpAykifUdFIlw&#10;hBJYitzxSVoxptQawHEpN+m6qXUq5zq1XmKyWL1rAEJUqp6OYQy2EeufXAtWm4g387XQhT4WrSVI&#10;WSgn6wE957IOoBgG+F2gr2XMOcvrtVE2fnINWP0hsTiC1BokGEPqOwWflOMsEE+rvvU9RHTcnGKW&#10;v7Oy5r68jwFHVuLZ3IRG9YmunzLffHhfxLQ7ngyzZj0SHnl0XnjtjVvC2vXXhi2fXBG27bwsfLbn&#10;qgpXhl1tV1Z3joMMh9+xA822nVeEj9ZdF15/65bw2BNzwl13LzbbbxQpTRRJGylS4obMKxLGWM7a&#10;aQ4USS7Ms+QU5tXTNo9b7cr8mHhjAXGE9bREwrmg9KLFtZjIA9mJx1Niiiyn+0whDueUwotGx0sK&#10;fpZ0BaRMU7QWCMvXM29Yy8xLjUWW03k8Hjs/kDGTx+U8yuOtgP1s9tqnDJqSGOXcW/kxcr83YnPH&#10;uFviZmpMhP3OFT/1muXxovnl+sJ60Hnye0C3H4sP4sHjsbEBxkf3LzanvD5Rj2tXX8v8TtJtNmut&#10;jz7rqpp77//780FfV9otlbB1rGyj/6BfmQ/ui4DINu/+34TFS0+r/AfIuLB+04Swdfuk6g5xeHWq&#10;vn/jGKS5LZUyq9ZcHF57c2x49PFRYcZMF+I0OlllLOQuY1pigawjU2zXrtyEc1lCS2cKcZCCIDjJ&#10;uhIIRTJpgYnyFZPcYU+jk1WG6P5bcZNiFpIWwHTfLBkxN056jeZS79zWi5SyLOmNcmPOjoepXeo4&#10;Lt0Oryc9FxqW03GV3w0paQ+wD7oNOafyuM7X9WQeUirPWksg1qccmHCeMnk9HS3E9f/VL9e235qj&#10;yfq7e/l7F5gP7cvy7gtnh4UTf139H+6zILsdc2hVeNP/M57MHtq3ygPnHB5euOc34b1lZ4d1Hzen&#10;L5rK0KtAprDyNWXLgyIhop42JWWEC4msl0K2yR2TUmKJbLdIFpGkxlEkZWlScozMi4ljsi9aJErJ&#10;NfXmpcZO0FeWsYQt7lqVGyMJ+2bV5ZwDS5oqIweBsuUbWXMUryA25UiCZcvL88ZkTcY2Jn+l5r7R&#10;643HrfUCUucG7Hvq/PWQ027qGrZIlef5Uui+pOIqr0VLcpQUxVhy9oXH1tyDfzn0yMJ7N5P+u/un&#10;vx5iPrC3+Mtna8M7C+8M940+MswZ1jfck7g/Vzl637387sGHhkcuOim8cc/vw8ZXHw9/2d2xQhx+&#10;l+KItXMSdz0DECwoVEA6kZJNjshhIc+Pc1FuQd8owuA4y0sZiDtUyTwpf1hyjowH2ud48KmFJ2tM&#10;KRlF5gG0z5jr9nWsMW6OC/UoJ+G4bFfPYRGNxgswn4JNGRqJCUAfmY+yjAvAWLhGMEauHYLymEO0&#10;y3kGcm0BXQ8wzxqzHJPOk7AMQT2eS147mBddNwVjJtcJQDwwXr1GGokh2mJdlsE4cBzXJc8Vk90k&#10;3FlOy2j8DrCuN+aBnO8HwPigr4gz62ANyLmz5rZectaEjLPO4zhRBmNLgfilzsU8jg/j5jHEJlYe&#10;beu8jkYLcUNHnvJgpW+lk7Vr++Klz5gP6GN8tnVrePP+mWHeqKOq9/XU391VxH194fhTwrK7/xhW&#10;v7A07Nq2xWy/EaRkYuWnoARDIDRxpyMpjFBAwSeFHe4MxTJytyki20A/2TZkEyllWTKJHBeApII6&#10;kGxkWxwD2pJ9kO2jPI8TKQtpcUfmATlu9F32zZJ3ZD5iQLkG7VJuqkeg4VhjdVs5JpRhPPHJ9nVd&#10;ouvLMqk8gBixfcyzFO3YZ0m9a4Dt4nxSKEMbaFPHMAavA5xL56H/yCMQ/nQZ9JP5XNcAseV6Qdty&#10;LaGcjJslcVlzjjo4jrbk+Ky1JYU3LcOBsvFrdJ5lfzBeOdfIk/Xxs6wLeH45Jrah17GMA0D7zLPm&#10;wTqfk8YS4vCPyisxbm6ytn2vV4gD06Ytqe7wNn/B/eGZ5+4K737w++oOM9+G34W/fnNdVYDDQ3Tw&#10;5bfXhRBuqApzb7x1S1jw8H3hnkrd2297ymy7GUjpAugdgXLIFVt0noblUMfKByxjiSCp+qk8wjK6&#10;be6oZglFKWGmCEokUkJEGziGPP6s26bIowWs3FjLduXuUSAlGUnkuKVQFpPhANYWx4xPlE2JaoDt&#10;1jNvuWNJiXo8njp/LO5SFIMopNtuJjyP1c9UHmEZHcOcurHxF5Gql9Mmy1jzK9enHhPh+silntgA&#10;2RctqvLasYTDWAxkezno+Mj1Lr/vKbsh3xLfpIinr/NmrfUTT51Uc+89dMCQv1baLJV+3G/ADNlG&#10;vUIcmD5jnxT32KJR4cVXzg4frrko7NpzZfX+/Zevrq25f3/9/02p3L//EDZtuzS88vqYsPDhU8K9&#10;c46vvn7VarsedLLKpNDJKqPpKkKcFqq0zAXpRaaYRFQ2afGOEg1TRwpx1k5XErmbF5Iuq3dhS+2M&#10;pZNVhuj+x0QgilVMsn8yz9oNDOTGKTWuFPXObb1IidOaVzmfWP86HzCl5CsZN3mcKVUXcJc2vaug&#10;/G4oilVMPiuKAes1skOcziMso/uUA5MVO6aiuPZEjhg+qOYeftiRv1rZfmuOJuvv7mYJcR+8fk54&#10;8vdDwpxTfhpmDDu0ujvcjAIhDrvELbx4UHhr0alh3UcXhM1bLzHbbpTK0KvkyGhSgsgpT4qEiHra&#10;lJQRLiSyXgopg+SIJZJ6+6PrSSkL0lKRSJWSY1J5EpbR85KSeerNS41dIoUteVzuRJa7ix4pqotY&#10;Mx8ym85HfQqL+IRAmJLJypZn3HKR8cN4eBxCWlFsypbPmbfUvINUG42MHfB46rslVhcU9b1ectrN&#10;vU6J/I7QeTlx1DIoRDccj4mMvBaxhq18Iuc3NQ/gpLOG1tyDjxk5eFWlXlY6uN/AG2VdPJi3Hthb&#10;fPNfW8Oqp+aEh84ZVpXhAMT12H16+uBDqzvO4HPR5LPCh4tmhV0fvxa+/HP6Fa31AMmhMrwkWpSS&#10;UNrR0gmR7UvRJgeck3Wt9iGyQP6QohTFEUveIRRigBShQFF99IN1LUEnJb7IPIgtun38znhqKUjG&#10;QvcZcEyW0JKi0XgB5tUjEDUSE1A0blk/tkYt5Lq1RCDmWWNOrQEJywBL9pPtWHGPwTqxa1bTSAz1&#10;94cVKyClO2usMl/3m2tUX2/1fD/I88S+jxh3jNnKr4eiNSHjaK1zxqAsuh3APLl2pbCo5zB2vDOA&#10;iC7vw8efesbMSt9KJ0uIe3HZq+YD+hh7du8O7zz2QLj/rOGl7+uPX3p2eOfh+8KmlW+Hz3ftNNtv&#10;BC2ZWED8sOpSggGWBCWFN0gkUnoBkEIol1j1mQeBROcBKezotuW40I6WcQCOsYwl0OC8rK/z5Lm1&#10;uCPzrHEDxg5ijs5DvJFnxUSKNVa7KXhOLeuQVo5JzoduG+AY5xvofFk/lYfY6blOrbNG1gDrSbGq&#10;HlCfbenYSNkNWLGVYpk8XhRzwPEBPX4556k2gF5bWB+MuTUngO3mxq+ReQbsI8pY/QFSipNyISg6&#10;P4jVZ109R0794D6s7824X1fi3NxkbftuPbgvx9Jwxx2Lw9x588PzL94RPl5/bdj+6eVh287Lw5bt&#10;V4at26+ovj51287J1d1nPvr4urBk6cxw9/TW7AwnkZKDFLMsIGKgDHcYstB1csQWwnIpwYRlLMkl&#10;VT+VR1hGty3HAFmEEhfKMRZaTsuBMoysS1mFIgplPNlvnlPPFwWfnL6gnG4XsA1LMpJIKYd9BKmd&#10;6QBEGUpxBOOw5hOwTD3zxuM567qojdT55frQeZxjgljJNVQG1EFdzI2OIbH6mcojLNPs8adI1ctp&#10;k2WstZqaUyLXbRGIt5aFmZeKDeG5pGAGOI+YV3kcxGIAGY3Hc9AiL8bBPCm2sS+4RuU5mC93s7PE&#10;6Was9WNPuqDm3tt/0Ig9lbZKJS3EDRg8yHxwnwuEtpmzjg8LFp4UXnnz3LB+88Sw/bN9r03dsh1M&#10;qnBp+GTnZdVjH350UVj05Klh+szjzPYaQSfrFYMpdMqpryUqLY/oJPNi6GSV0aRel0oo7jBZko5M&#10;eiyIByQk7trFJNuhoMOkd2GzgOijk8yX8g4SRRr0R48pJe9wRzGkmFQmx4afLQkJ6GSVIbH+a/Rr&#10;Uxm7ItmR5J6nXvTctlqI49zG5kqum5jkx5SKhYwbj0mZrWgNW/WBbKMoVoytXr8YI9ck1i/FPxyX&#10;57X6GOtXUR5hmdg1hT7g+wD5+juBCW3oekxWXk8H91t5/x00dNCK9ltzNFl/d69ed7H50L4sa94/&#10;P7z64Elh0XVHhwfOHRBmHte3KsXhf87jNar4V+sQ4GYP61v9fcbRh4R7T+wfFk85Jrz3ytlhy9YJ&#10;ZrvNoDL0KkWiAigSGyD6QMpIyReWdMK8oj7U234MOZ7cenyFYA4QRdBn3Ua946CgQtAXCFqWTJWS&#10;aVJ5EpbR88J+41MebyQvdy6ksCXLcde1IjnHIqcud5/TIh6BNIf67BvAfMXGUqZ8o2tOvg6WZbD+&#10;rLVZtnzOvKXmHaTaaHTszEt9t7CM1f+ivtdLTru51ylhm1b5esbB9WlJoEBei3oXSYmc39Q8gGEn&#10;D665B59w+pDCezeT/rv7uNGn7/ewPsW6lx8OT1x2Wpj9m8Oqr0zDQ/OiB+czhvYPz90wIWx795nw&#10;l90fhW++3Ga23QhaaNFAComJI1JIsfIJy5QRkgDEEPbBytfInY4geFhlgCwnpRAINDn1uZNTI0Ic&#10;zqXzQUz+KRJqmG/1KUaj8SKpvCIaiYmcr5Ssw/ox4SsG2y47ZjkmnSdhmVjs5bVZRkaivJYz3kZj&#10;KPtYdH1zBzirXxSyrGs9Nv9lvx8Az6Pbksgxxb77yhJbE7i2EDfOGT5xTJYBjEFZdDuAeXLtYh2w&#10;Dzo2LF9mDbYKeQ8GYy4cf3elb6UTdpzRbWFnGusBfYoPnl0UHpt4Rph13M9L3def/t1lYd0bL4fP&#10;tm0Jbbs/N9tuBCl5xLAkHEDBJCZ5SKEmJr1okYZISUge17CMlubkuGLimOyfJfvI/FSerivzYuOW&#10;/dN5PI4yOk/mW31OEYs1aeWYsEZwPCUEyded6rxU2zIvJjrFxp4as87XeZSvGt3dC33mOfQOcBSs&#10;UqIW+6GvAVy3OF4kYbFcKja6bY2ML/pXJMOBsvFrZJ7RJ9a1dtkjspy+/nLOL2MmBUMpHpYVWR0b&#10;7NSq7814xXklxs1NrRHi9nHnHYvC/AUPhhdevCu8tfxP4d33bwwrP/h9WPnh78OK924Iby6/Kby0&#10;bFpYvGRWmDtvYbj1tqVmO82mMuwqMbEDQgNFqSJ03RyxhbBcSjBhGUtySdVP5RGW0W1DEGGeBUSS&#10;enZEktIJ6zPOFGQomXAHKSmzaPmMdSGiyOMWbEPHg21YkpFECkfoByU9SxzSUOzSQpIlBTGvnnnj&#10;8c4U4gDa1LIQ4lUUJwnWCoWlFFY/U3mEZVox/hipejltsoy1VlNzShjPorUeg+2nYkPkDmoUxIoE&#10;s1gMcJ3weGxsRWhBj/FCTPC79T2jv4ss0E4ja33I8WNq7r0/+/VxX1TaKJUO7jdwoWwDO9ZYD+7L&#10;MK3CrNnHh8efGB1efvWc8PbK88N7H14QPlh9QXhv1QXh3Q/GV+7p4yp5Y8Lip04L8+47Mdxx1wiz&#10;rUaQwhNSjowl0fVTr8wkWmLSkodOMi+GTlYZTUxISSVLIpIpJsIgrjLJdnQ8Uq+qJEVSoZR3kGSM&#10;IeXondUs+UhLZbkptoZ0ssqQVP8luo8UwXJkR5B7nnrBvMjUSiFOv962KMXiwpSKhYwbj3UVIQ5o&#10;6VOnmAwY61dRHmEZq0+ISc53DtrQdZmsvJ4OdmSV99+jj/31q+235miy/u62HtjXw4aNF4fVK8aG&#10;Nx4fHZ78w9Bw/9mHh3uO61MV4fAaF0hw9w7tE+aN6BdmVT5n/aZfWHDhr8LzM38TPlpZ/NrCRqgM&#10;vUqRqAAoDgEtj0CYYV4KSzphXqoPjbQfQ4oaufUoiZQRSySNjgPHtRgHWUuLQCmZJle0YRk9Lym5&#10;pt68MnPBOUAceIzCmjyWSxnpCsR254OYiGtEtxcTinLLN7rmANYH1h7bAvg5Fuvc8jnzlpp3kGqj&#10;0bGz3dR3S+zcoKjv9ZLTbu51SlKxKjsOLUUWoXeXk+SsEfLLYUfW3IPPHD9ieaVeVtJ/d5cV4nau&#10;fim8ee8NYfEVZ4cHTh8c7hnx0zBj8CHhnsr9GcwYgp/7VO/V1VevHX1IeOC0o8Mbs24IuzctD99+&#10;84nZbqNI+UMKD5DdiiQNKXnkYMlDKVLimUVsLBYcm5RzcutTTrH6lZKhUnmEZXTb2OWKdS1xjH0q&#10;I301Gi/CNsrOL2gkJrL/OVjzlYL1rHGl8nLGBFJtEJYpmh8JpS+A+UpJXY3GsMwaknHRa5iynCUH&#10;cm3rc5f9fgBsK5cycU8hxx4DMYjNVSwGFkXrj3l63cl6clc9HmtWLOply9b3a+7f4Irrf3tXpW+l&#10;04/7DzhSt7X243XmA/oUG995I7wy46bw2KRzwn2nDQkzh6fu632q9/X7Th1crbPto1Vh7549ZruN&#10;khKNiojJJ6RINgKxNmS/ckjJK/K4RMovluTFNiDu6LzU2HLGLcvoPApKlrgj63XWDnE6zyqj83hc&#10;z5MkNWf15hGW0WNvZA1IgQ9SVyOiE4U3LZ9SGpM7rkk5TYqjGIusy+MYgzyu4bn1GHPmnHBtQYCT&#10;8mNMHANl49fIPJcZC+OsRb2c8wOWkXHH3LBdfEKWS8XGKebBhx+ruS+DMeMv+Y9KjJub9Lbv/QeN&#10;MB/c18vddy8K8+6bHx5+bG5Y+vSM8MJLd4bnX7wrPP3s9PDoY/Mq/5H1aHU3udtubd1rUjWVYVeJ&#10;iR1SzIDsoOWvmLhRlKdhuVg/AMtYIkiqfiqPsIxum7IX6kIgYTlIJYhHGbFJAjGGbUGYkb+zTS3N&#10;UIahuCKR0o3Ok0jBT+4QBeoR4vAz2qRghHhR+ikCdRlftiXzebyReSsaixSM9FzyeOr8yGM5K58g&#10;JrJsroiFeowt1hzmTMeXbVr9TOURlqkn/rnj16Tq5bTJMlYcMQ7W12MiuWs9BttPxYZgXbE8rzmK&#10;Y3rXOBKLQc7YitCCHn9Hn1iG1w+PcQ1a4qqm3rWuhbhfHD2yrVK/VDq434DnZBvNEOLI7NnHh/kL&#10;R4ZFi08Nz75wZnjx5bPDCy+fE555/szw2BOjw7x5J1T+g29EuOvu5stwQMtYlsiRAmKJTDHRRKJl&#10;LEhNMl8nmRdDJ6uMRAtlucmSiGSKxU+KPkiynJblYq9mlei4Y9cpmS/lHSQt0uhzWv3WayM3xXYn&#10;08kqQ4r6L7FemyqPpdZkmfPUA+IqUyuFOP1625xkCaxMqVjIuPEY4s5UFEcKa3qtN0OI47UNWRf9&#10;kGsBZVOynjWunDzCMrpPiA1lOPQHfcAxWYbJih2TldfT0ULckOOPKHyoXrlnT5Z1+g0aZD6wr4fN&#10;2yeEDZsuDqvfPS+8vvCU8OQNx4SFEwdVxbg5p/ws3Duyf3VHuFkn9AtzT/tZeHjSr8Oz044Nbz11&#10;eli//kKzzWZRGXqVlDBCKO5AvJDHpfAA4UK/ZrFIiGBerA+Nth+jnnplxRJJM8cBmUoKM7o/KZkm&#10;V7RhGT0vqRjUm1dm7JQKuQ4hb7Fu0atkNfJ1qLng/FZbEoyBkh4oGlOqfCpu9QDZifIUPlOvawWp&#10;8uin1WdJUf9TbTQ6drYb+24BsXODRs8fg+1izq18kHudAimwWQJm2XHwdahliK2jnDVCminEnTZ2&#10;nPnQPsZfPvsofPL+82Hlw3eFJb8dG+479agwc1i/MHvY33dvhcB+34h+1R1m5o06Iiy+akz4cMmc&#10;8Ne2dWabzSAltEDOiO0aBLhDUy7yVYhs14LyHX+P7aClkUKHJfBJLMEkFQtJSk5JyShFogpgGd22&#10;3MEJIhDFGRyPiSxFNBovwjbQns4ropGYSEkwB2sdIX7YoQttx9akNa5UXs6YQKoNwjJlZSR9bUK2&#10;wji1iNZoDHOvGYA1xrJyNzmsZR63hLDY2mOd3O8HQPEuB6yHousiF7kmNBiXNTeSWAwsitYf86x1&#10;x/jgk8dYvuwabDaWEHfjrVP/VOlb6XRw/4EjdVv1CHGfbtkU1r31anj7wVlh0VXnh7mjjk7e1+ee&#10;cmR4fPK48O7jD4Vd27eZbTaDXMnDohHBisTakK9bzUHLTLnj4vkhqcg2IKxQYLFev5gaW864ZRmd&#10;J/sO+YniDOpQNort2peikflK5VlldB6PS0lIk5qzevMIy1hjr3cNAL1OMS9yznLBudgGxTYIYvgd&#10;fcDvPJccA6UyvR7kXMidyixi8cuZc8IYUuYEWKtWWUmZ+DUyz7KuFgc1HEuqDXlcwzIoL49LqZFg&#10;/EWxdWxmzrmv5r4M2traDqjEtblJb/vebCEOu77dddeiMPOeR8PceQvCAw8+VAWS3D2zHg3Tpi0x&#10;67WSyrCrxMQOihFlxY2iPA3LxfoBWMYSQVL1U3mEZWTbUh6TZZsFBTvEmPKb3uGN54eIwvJSXCFS&#10;7NLSoiQlgOVKQpaUI3e8s/oXA/IM6+n5iR2XsIxeE4yVJQ9KWE7HHbBtCEM6j/D6wKeVr8kVF4mU&#10;ImPzyvxmrn3AncRS66HseAj6E6uXyiMsY/XNWp8aCmlAC4Y5sG4qrhL9PUrBTEupJBYDKdel1mUK&#10;+b2G9cW+yb7w/OinLK+/M1KUXRuDhp5ac5M/YvgZ5V+Z2n/ACtnG8accYT64r4e7pg+v3KePC3Pm&#10;nRAeeGhkWLDw5CoPVX6ePec34e7prRHhiN5hCykljCAPogl/16IXkhbcJFrk0kIM0EnnW+hklZHo&#10;fpRJWiKSSYswRAtochc4KcswacFNottC0q+qlfIOkiXS6HPqNqRIVDZp2QfopPMlOf0nWtzTv1vS&#10;FylznnqgtMXUSiGOuzXGhEQixTWrLJNcoxqeS34XAK6poj6wnJYVmyHEUbarZy7leiiTR1hG90kK&#10;uLHvRyar30z1jKm7I++9++6/vy5+Zar6uxsP5q0H9vWy+ZMJYf3Gi8Oa984LK18+O7y5+NTw8rwT&#10;w9O3Dg9PXHNUePSKI8Pi3w0Oz95xbHj94VFh5Stnh7Wrzg+bKvWs9ppFZehVUsIIgGTBsnoXLi0o&#10;aYqECObF+tBo+zHqqSd3ZysSiTStGAfbBPJ4SqaRebExyNchanEvJdfUm1dm7FJiQ984HgibVvkU&#10;RXMiobCWUxYgtuxn0fUFYuUbWXMx5PzmrLVY+Zx5S807SLXR6NhZNxV/lrH6X9T3epHXoJUPcsoA&#10;xEXuMqh3iwRlxiHXYWx3QyLXRayslPWKhFV5DwYXX3F89itT9T9Eu+Laa8yH9jG++XJr+Gvbx2H7&#10;+8+H5fffEpZef0F4+IITw/2nHRXmnjQwzD7hF2HW8YeHe39zeHjwzCHhqd+ODW/fd1PY+s4z4duv&#10;mv+qVFIktEi5Qssq2H2KefJ4DmWEuJQwJJF97WlCHJDxtoAEpeukaDRehG2gPZ1XRCMxgUTEuvXI&#10;OpDBUuuQWONK5eWMCaTaICxTz/hQR4txkCnlXDcaQ9QpU5+7uuGTxyC04ZiUsCSxtcfzpuKn4Xxb&#10;67iV5K6JGLEYWBSdi3lW3KQgSbmWv9ezPprJqtVv1Ny/wS133lLXK1OtXds/2b7DfECfYs+ez8Nn&#10;27eF9W+9Gl67d1p48rcXhwXnnxTmjT46zBn5y8r9fECYeexh1Xv7fWccExZfdX6l3O1h3RvLwt62&#10;NrPNZpAreVjExBGSI9TE2uCuVUAezyV3XPJVhhaxXa5SY8sZtyyj8yhCxYBUU7SblkUj89XomHhc&#10;S0KS1JzVm0dYxhp7vWuAYNxa7EKdIvFKgrKsi/7gGPvMncqkNMf+UEDTuwnKuehIIQ6fsp/WLoea&#10;3Pg1Ms+ybmcJcQDzhvmV4iDgnDv5dJgQp/+V2y+OPtF8cN8It976dLjttok5oJYAAP/0SURBVMrn&#10;LUsrn09VWFoV5W69tWNekaqpDLtKTOyguBGTnCgUAZ0XkzosWC4lmLCMJbmk6qfyCMvItqUIkrMz&#10;UlmkREYZTceZ8WU+sCQaKcpQutFA/ElJTjyHlSeJCUdSMoqJPhaso+cndlzCMnpNyNjG5k7Ob2rd&#10;AGs8Mg6pPkpQjnWsfE1KYAS5Y6gnhnI+cR6ZB2SMgc5PkYpDToxYxlqrMiZ85adGioap2MQoW1fO&#10;o4xbTMZLxYACG76b65H5gPwe4Hnk+pIxZBlLGk2RM48S3G/l/XfYCePKvzK1/8ANso2TzzjKfHBf&#10;L3feNby6A9xd7TvBgTtB9RWprRXiAAUSmSCqSHEDcoosJ+tr6QeyC8QNKVihLes8lvSik8630Mkq&#10;I5EymJZXNHrnLS3xyKTbgnwEgU3LZ1rSkrINk54DxNMqZ0kyupxVxhLJmIfzymTVl+i5taRKnXS+&#10;JKf/RPdVxho/W3VImfPUg742iiSvepExsGKvkfMV26kMyWoLY2DS8ZKiKfok84i8nnQ8ZNtFsWJs&#10;9TXHsUHW05JnEXI9lMkjLKP7JMds9UnOn7UGmay8no6894LTzz3qpfZbczRpIW7YyYPNB/bNYuPm&#10;i8OaD84L7zx/Zlj2wEnh5dknhjcfHR1WvnxOWLP6fLNOK6gMvUpKGJEyHGQgLaZwN6GYkCTrW9IJ&#10;2kQe5CSdBxptP0ZKxIkhBZBUzCxaMY6YNJOSaWQeJC9LNKJAY813Sq6pN09LbjpfQzkNMaUMFFs/&#10;Kbj2cl61Kucnp4+A5XPXilW+kTUXo+zaj5XPaSc17yDVRqNjz6nLMlb/ec2mdnKrB7mWLIENoM8s&#10;Y+UD1OW1AGLjLJoDSU7fJLyGYjHKGQeR92Dw2xtPWlmpl5X0391lhTjwzddbqzvFfbrm1bDxtcfD&#10;B0/eG96e+6fw4k2TwpKrx4SnfntueOFPl4Y3Z98YVj9zf9i+6qXwxa74rkHNoEhogTzDfC1cNSp5&#10;FMHdinLlFexAx/4UyRsUY+SYimJBUnJKKiY58WIZ3TbHBpEIZeROVyhLeaUMjcaLsA30S+cV0UhM&#10;cufLQu64h1gifnqHLrZtjSuVlzMmkGqDsEzZ8UkwLtknGcdGYgjK1pfCFcU8rmW5a5wE/UW+nv+y&#10;3w8g1laryV0TMcr0u+hczIutO54L1wfWDss3sgabwRtvPV9z/wb33nfPzZW+lU6WEGc9nM+hKsVt&#10;2xI2v7cifPTi0rDi0fvDa7NuC89OvSIsumJceOLKceGZGyaHV2beFFY++XDY8M6b1Z3lrLaaRa7k&#10;YRETR0iOUNOofBIjpz7EGMhlAEIKJBzWwc9oIyZCpcaWM25ZRuexHzi/FAMh0UAcKiNaSRqZr0bH&#10;xOMYk84jqTmrN4+wjB57I2tAg3KyL7E4x+C58Sl/p9CG9tk2jklxUguSsiz6JPM0XGNYX/J4zpwT&#10;vbak4FYk5JGi+Mk8eVzCMrqufLVs0ViwFlAOY5DHc84PWKYo7uiHXG9F/XJqufmO6TX35UHDT4QQ&#10;d2Alls1NWojDjjXWg/ueRGXYVWJiB4UsyBdSCpI7CxFZD5QRIlguJZiwjBZ3ZJ5VP5VHWEa3rcdI&#10;EA+IIoiPJUvlICU2ogUeKdKQmAQjd2RCv6TEpOfLEpwovliSkUSKYDJe6FfsHGgTgpUcH8afkq54&#10;vN41IfuCNij8oJ+YM8qeEH2smLKubIPlMA7W12IS+oI2MXdSMpJ1YtKiRopJqMP28In+MA9YcUrl&#10;EZbRMcQ5mIdYMt86N5B1i5D1y+QRlomtVdZHvzE3nHNZRq4PrEO5/jBGlOc1LusB1kvFVSJjSRkN&#10;57TKglQMsI5kW+inXn/4LsBas65zIK87gFjoMlyrxNqRrplrHTuyyvvv8adcvLdSv1RqtRDX2UCI&#10;4Y5POUnv6gbBQwtfOSkm7uQmWT83oQ6QKbUbG8D4ZMJYpURUNmlZhpSZAyYt5xEp7yBZIk1qXFJs&#10;QorJTUTH1BqjTjpfktN/SWw3u1h8iD5PKkG0stqQWNJnLOn25HWU2p3NQsqNWnCzkDuW6etQJ8SI&#10;baIe+6ivAyDHgE+0zTLIk/G24tkMIU6OTSdcYyiPeKE/sh6Q/SuTR1hG90kKbxg3z61jgoTfZV3A&#10;ZOX1ZG66ZVjN/Ruced6Rb7ffmqNJ/9190llDzQf2zWTT1kvCx6svCO+/NiasfOWc8NE7Y8O6NRdU&#10;jl9cU27z9tp6zaQy9CoQgiCESCAyyJ2HID5YO/xIgQJ1KFChLIUSYkknlDVk+xBhKGM02n4MlK2n&#10;nhRQEDcZE/QZOyJhTOibrFfvOPAz5gH1paCCGFFG0edKSSgyD2A8PB/al7tyoayun5Jr6s0DPCf6&#10;g9gAxNIqK2NJcuQdiZSt8LNVRoL+sLwU6DAe/C7b0HGUa6RseVDvmsP6gCgoy+Nntof8RsrnXENF&#10;817URr1jB6xnrWPCMta55bXCtYjzx8aaS9GYgTw3ykjQF7leAH632gFFcyBhvPFp5Wu4yyKwrkF+&#10;txW1t3rdxTX3bfDHO0YV3ruZ9N/df7hpqvnQPpdvvt4WvvhsTfj049fC2hcXhBUP3R7eWTAtfPzC&#10;/LBj1Yvhzy0W4UiO0CIFCXlcyi3ydajNgjui6fPGkK9ejMk1QJaTIpmU/1KSEne5suSUlIySI8Ww&#10;jG6bsUj1qyyNxoswr56+NRITOV9lXpsJpAyodz4kzLfGlcrLGRNItUFYphkyEndiAzzWSAxBzveH&#10;RApWWHNybVGQ0/D7J3ZN5H4/ALljnhYgW0numogRi4FF0bmYF1t3ck5lW81Yg41gCXFLn3ni9krf&#10;SqeD+w2YLNvBQ3fr4XxZ9rS1hU+3bgmb338nvP/M4+GNeXeHNx+YET58+vGwccUblbzWinAkV/Kw&#10;0BKMJkeoibUhd5nSr0PNIWdcEKCsc+eQGlvOuGUZeVxKTvJ4M2hkvhoZE+COWKlY8/WfVv3UfObM&#10;Ncvo8zeyBmKkxpGCfQEQ9eTPLMM5hMTG8lpkIxS7uMNcjJgAljPnhP1iHCG3UfZC+2V2NIzFr5F5&#10;ltcV4ibzJLKcFvnk+TE+mUekeJfzvVVGXHRque7Gm2vu8e1C3A8rsWxu0tu+Dzl+jPngvidRGXaV&#10;mNgBoUKLERIplei6OWILYbmUYMIyWtyReVb9VB5hGd02fmdeCksoyUHGD0ixBUiRBqTkEtRFviyv&#10;wVzGBL5GhTiA/nK9SNGMbcewZBvm1bsmsHZ1fDXoY0waYhnENHYN4LiU/EDRmkEdKQ8VoeUlCdqi&#10;YNXstQ+wVpivQWylsKnrpkB/YvVSeYRlYmtVyqESWQZrs2h9AEtcY14qrhp9bep1IymKQWpeJLF1&#10;JqU6YF1/et1Z10kz17oW4n4zasJXlTZKJVkfnD6mZwlxANIKBZNUguRiyVE4lit0oQ29Q5okN0k5&#10;JDehjpaWLDFGo8cmJaIyCeeOCUs4rvuWSik5BnkyxcrqOee4KDUhWa+11aDvOum46iTzNLn9J3q3&#10;O6bUOgP6PKmkJSeLnGuISbcnZbCcc0k4X5ZkFoN1sLblcSaIonId6BSLrZTmYgnjs66DZghxMq8o&#10;6THI9SCPF+URlrH6pCVTmRAvSp3WWmey8noyN0wdWnPvBedddNRr7bfmaNJ/d3eEELdl+8SwaduE&#10;sGnLJWFjhc1bLwmbtk6oHjfLt4DK0LOAzCBFFAlEISmtaGSeJX9IMUnCso22HwNl66lX1B+iBZV6&#10;xyH7aQFJSYsoUqaRx2Ue5Bgt1UjQH10XpOSaevOAFGskVlkpp4FYX1NQ1NGSVwrWAegDjnFcMfTO&#10;dWXLg3rXnFVGokVAq4xEl8+5hormvaiNescOmFevEIfrCuuDZUiqvVyK2pLXcBFF/SmaA4LveLYJ&#10;6dQqo5F1rLWbu4Pj8vcuqLlvgzJC3I/7D2iTdadNn2Y+tC/Lf/15Q9i9aXnYuvKZ8Ml7z4XPNr4d&#10;/rp7zf5lv9m+/7EmkCO0SPFNClFSbskRNcoizxsTtiC4yDzuGoXPmPAiRRpdpqi+FGqsMadklBwp&#10;hmVi8o9+5WWjNBovgDwQE2xSNBITQDkx1rcYWDM8rxVPKWpZ40rlybZTfUq1QVimGTJSLNb1xhDk&#10;fH9o5FqmpIefrbIA844yev7r+X6QImQq7s0mFvtcYjGwKDoX81Ljl9c8yzdjDTbCsy8sqrl/gxUr&#10;Xpxa6VvppHdt/+XQ3/xf6+F8vez+dGfYuvqD8PGbL1dfp4qfd23bsn/ZvXv3P9YEciSTGFqC0eQI&#10;NbE2pCgSaz9FzrgoFEHYKRJ+NKmx5YxblpHHc8WdemhkvhoZE5A7hllylBQgrfqp+cyZa5bRY29k&#10;DcSo95qSEhznSstusr8UzrTIRopiDtgeqGfOibW2cE7KduhrTCLTxOLXyDwDSpn4jPWFu+Wh37qM&#10;PH9sPIyDVT8G20T7Vr5jM+nq62vu8ceOOrM1Qlzlj/oVNSc66QLzwX1PgqIPxBYrH0BogBzBsgBy&#10;B2QISBL4HXm6HmUZK0+T0w+WscSMVP1625ZylyXFYPxSvEm1H0OKLTG5R8pkKYmGoE0tcUH8QV9T&#10;cgqFHXxa+YRzDqy5kLINY4Lz4vxSQEL/cK7YmOqdNwmkJ9TXQh5+x3EtIEpYFnISyslrAJ/4PRbP&#10;1BykzhkD7cnYQYJjvzhvVpyaEUOsc55DnxvjxzG0YdWNgf7E6qXyCMuk1ir6SFkQbcXKIrZ6fSDW&#10;KI88qw5jloqrRl4XaN8qQ3JigNhjDXKMLI+xFF3rQNazZEgpu6X626y1/pPDj6q50TdDiBszvucJ&#10;cQQSCsQNLYBB8JC7PcWAYGLVh+wBWSenjVwpTEppZepIWSZXIEI9meSuckXnRiwQkyLBh0AuhOCl&#10;pR5IMziGcxdJfJgHmVLykkxoG/MjhaaiHfSIFn4wDpkvd3GzhCFJbv8J4qF3idOilwXmpEjeYspZ&#10;K7nrEEm3hzGwL2V2iEOcmYriJJESoTzOPqA/WAuYVx7DJ37Xc6tBXbQvvwdQF2OW161GjqXoHIy1&#10;jiPHhfPpNtAvxIhrBWVkPta6dbwoj7CM7hPB2GVM0A9Ibogzx2NdbzhnLK8nYwlx4ycc/V77rTma&#10;9N/dF00+3nxo39NIiSaQJyCZxEQXCaQVSBlyRzm0zV2VKJXEpDqINrIvOLeUvBpt30KKHGXqEe5M&#10;xTYA+gRpiv3S1DsO5KNdKeegHiQTtCnLAu6ghvKxPApEOvb4OSXDUArDZ7PyiIwN+p4qy/ZArrwj&#10;YSyLRB2JlDd5XWCdog0ZQ/ZdC2T1lJeUXXPoI+ZZrjf8jGPWmi9bPuca4jzh08rPaQOUHTvgHKfW&#10;B8vEzo3jHAPPWTRPObBNjMnKl2tNgzlBPYzLuv41RXNA+N2AmGjJNgXXsh4L2mCfi2JmCXH33H9a&#10;4b2bSded88As86F9Wb79+pPw9V+3hC/3bqjKcfj5m6+2mmVbQY7QAkmGYoQWMuSuU8iTO8WhHn6H&#10;lIL6sl4OqE9hC/UhtlDYQV8piUixQwovkGxkfyA5UfQAlkQjJRuUpSyl6wJLTknJKDlSDMvotuW4&#10;NBgnymMuyspyjcYLMD8l2MRoJCZA9h9rBfMnpS6sE8QF6wfj4XEpvMl5xqfsE7DGlcqT1xTWPo6h&#10;XRlbkGqDsEzs2tSgHOKAuZJrAefmNYzxyjr1xpB5ZfsorzFe3zhmlQW8zvX81/P9ALDOcRxgfuSY&#10;EDP0BXV1nAD7jvPJGBUh15SVX0QsBhZF52Jeat0hDixHUvPLeUi12SiPLJpfcw8G77//6t2V85ZO&#10;WogbfvLpf7MeztfL3j17Qttnn4XPd+6synH4eU/b52bZVpAjmcSwJBhJjlCTakPuFIV8ueMSZBP8&#10;DukH8omsB3LGxddlspwE0gzOifatvqfGljNuWUbnydcoStBX9AnSTu5rKCWpWINWjknKXhgf28Bx&#10;OVdE10/NZ85cs4wee71rAL8jH0IZ2uBxrEm2V7QzmwWlLYJrQOZLYZLEdiKTY8Mn1gwlLR13q69y&#10;PvX4NbG1JUVHeY564tfIPAO0zfpYgzJuiCvOx3z0S9YF8vxsg3HBGKSAiLKyLteRPKeuE5MWHZuI&#10;ENe3EsvmJr3t+4mnTjIf3Du9AwgdlWVRKK8gH+Ug4Fj5TvcEc+rz6jgdg7z3gtFnXYXrLzv9Z5/D&#10;D9RtjJ8w2Hx47ziO43QeEMuYUnKgFC6tfKdrcO2UY2ruveDCCUevb789R5P+u7u3CHGO012BPFe5&#10;dKvkSEGO05WAxNfT168U7Kx8yYuvnVdz3wazHzqj8N6N9IM+Rxyg6+LhvPXQvruRK7TIndGkaKPz&#10;YkCYkHVygaxCkccCcosWU6QQEgOCj6wjSY0HkgwlQEtOSckoRaIKYBmrbUoxRWjxqohG48UyaMfK&#10;T9FoTIAUrFKUWbdYcynJh+ViY5bSFdH95/FU3FgmVzaT17MFxqXjAOqNYe73h0Zf0ym5jOvemv96&#10;vh/wuzU/GqwPWQ9IQbTMeHPWeYpUDDRF52Jeat0Bfs+R2HilXJrTv3qxhLjtOz+aUzlv6XRwv4EL&#10;ZTu/OfWcL6yH890VLXnEgKSi68YkGJIj1BS1IYWRGBBrdL0ceQbkjl+LSamx5YxblknlpYCQo+um&#10;aGS+UnlWGStf7wInwVjkbmW6bmo+c+aaZayx17MG5FgtcL1I0SsXKYECS3aT0px1XUqkYBYDMbF2&#10;M8uZc5JaW3JMFM3qiV+j8yzzU+hr3aqb+l6yzs34xIid04kz7pLLa+7xo8eMb40Qp7d9xw411oN7&#10;p3fAXaPwaeUD7IDEnZFcnOpZYE59Xh2nY5D3XnD2uOvDjTc+d0DlGsxKlhA38XIX4hzHcboaua9c&#10;zXn9qdP5WELcpZOPXtt+e44mLcRdfu2JX1kP7R3H6RpwFzPudOc43QlIcFi/ILbDXXeHO8flXKOW&#10;EPfoknO2V+oXJuvvbry+zXpo392QMoPcKUkjxRdrNyfkQxaRcgqEIggScuemeoCEAzmFghKA0JJq&#10;F/3RdfAzjuWILBijlGbwM8dNecjaQQp9Qh7iUCaPsIxum3IK6up5QnwgwXGsqfZjNBIv1kHfrfwU&#10;jcREYq0RtIn1h9hZEhjQ84z6EIWwrig/WeNC27E8gProD8uxXVmmqA3AMqlrU4Mx6WsRY0QcUtdh&#10;PTHM/f7QSNkKP1tlCOchNv9Wv4u+HwDihLGxDuvhPLzWNbJ8qm0N1zDiaeUXURQDSdG5uC5S6w5g&#10;fBwv6sTmF98PKAOK5rIRsCurvg/v3LXm8cp5S6eD+w14TrYzeswFu6yH890VuWtSCku84Y5K1u5S&#10;QO5mFdv9qKgNAHkG+VLsgRQEyQSCjSXzUK5KCUNy7HrHNbSJ80qRRY4hNbaccbOM7h8kII4T0o3M&#10;A+iTJRjlQImnnvlqZEwSziXbwjxCNEK8MfZY/dR85sw1y+ixN7IGUF6vS4h9mB9rTeaA9tkePq12&#10;pJiVI1IhriiHvrEe2kbf9ZglOXNOOKc6voTnlnNUNn6NzLMEc4prQYqF+BnHkGfVATLu+B1rR8YU&#10;P8fimZoDtGPVcdJYQlzl+JGV2DY3yZOAkadeut16cO/0DrhDHIAUJV8pCREOr0Dk7nCg6BWFTvdC&#10;zr2V7zhO89D337JC3MF9Bv5Qt+FCnOM4TtdD7hCHV5NiJzgcYz5eoSplOLz+VdZ3uhaTrx5Sc+8F&#10;11x7zLb223M06TpX/X7kduuhveM4nY/cXasZr690nM4AohjWcNGrTLsj8nWpqVfhksXPjqm5B4Nc&#10;Ic76u7unCHFO1wdiSmUZVknt/iZffWnlO47TGJQnIYpZ+b0R+b2TIxvXiyXE/e1v2xdWzls6/bj/&#10;gBWynTPOu2itfjDvdE8op6SkIog5KANSskyzQF9wLvTNyifsOyQdK9/JoyuuAadrooU4p3OBACfv&#10;zRDk9u7dO7IyP81L1rbvZ469fpX14N7pHUB6k8JbDOwQd/LJE802nO4L59eFOMdpLTdOfaLm3gvG&#10;XfjHcNttiw+sXINZ6aA+h/fVbVxz3TF/th7eO47jOJ3L+x882a67pdOePdtrZDmn62EKcZX7b/vt&#10;OZp0nSk3nbTWemjvOE7n06ffv1b/LsYucVa+43QHpDSGn60y3RW+0hjXqpWvsYS4518ZW3jvRrL+&#10;7n719We+sB7aO06zkTswpYSTRl/L6DhOHLkbXivFr+4Gd69rtSTYTCFO79p+7sWXLbcezjvdj8r0&#10;VklJZRCgWK4jZCjuRoZPKx9A0OKuWi7ENQbntiutAadr4kJc1yIixI2tzE/zkrXt++ljfvu29fDe&#10;6T1AihsxYmz1tal8NSrBMchSvjNcz4Tzjfm38h3HaQ7XT5lfc+8FEOJuvnnJDyvXYFb6cf8BR+o2&#10;fn/DMXuth/eO4zhO54PXpWL3N+wSJ9OXX30Rdu/eVN05zqrndC2wG6t1/22/PZvJ+rv7hltPecl6&#10;aO84TuciXzV57ZQBZhnH6S6cc+7/6ZFrma80XvDICWa+Zv7jZ9Xcg8Fb745P3ruZLCFuxcplq62H&#10;9o7TbOQOcdihCjsyydc1QtSRMhxeHynrO47TOLiucH218rWg3Q28rhYxwStVY68lbhbTpk+ruQf/&#10;9NdDwt++2fFc5fylkxbizjz/kleth/NO94O7g0Euw6sO8VpD5uFnHKN4hlcqyrqtgjvEAQg48lWV&#10;EOH0axpln53ydMU14HRNXIjrWhw76sya+/ykq69vvhBnbft+1rjrH7Ue3juO4ziO0xwsIe6iibeX&#10;EuIqf8SP1G1M+cOQD6yH947jOI7jNAdLiLth6lD8j5RosoS4W+8e9aj10N5xHMdxnOZiCXHL37sg&#10;ee9msv7u/vjj5a9aD+0dpxXMmX37dw/tUmCXJinLOY7TOFL88uvr71AShJBr5TeTP9w0teYefMSI&#10;EyrHt6+onL90ku2AMRdd+qT1cN7pfkA2o+yUAiKUFNNaCaQ3KbzFoMBlteHk0xXXgNM1cSGuazFo&#10;+Ik19+Z2IW5yZX6alywhbtwFUx+0Ht47juM4jtMcYkLcTTct7dt+iy5MP+7/i7G6jT/eNOwl6+G9&#10;4ziO4zjNYfwEW4ibMeOIA9pv0fsl6+/uqdNOvs96aO84juM4TnOZ9cAZNfdgACFuw4bLo/duJkuI&#10;27Vr7UvWQ3vHaRV4TSMEFOwSV1mW3/Fv/3pg9bWF2DnOquc4TmNwB0a/xmpBTPB9ZOU1G0uI+/bb&#10;HRsqfSidZDvggklX/sl6OO90T7ALGHZl46tKCSQpHIN0BknNqtsqcL6pU6dWz69lLRyDmOM7wzWP&#10;rrgGnK4HrkmuCyvf6Vi0EHfdjTc3X4iztn2/4OJbb7ce3juO4ziO0xyuumZezb0XNEOIu+POYQut&#10;h/eO4ziO4zQHS4i76ZZhSSHO+rv7lumn3Gw9tHccx3Ecp7lYQtzqdRdnCXHW393ffrtjhvXQ3nEc&#10;x3Gc5mIKcd9sb2u/TWcna9d2F+Icx3Ecp3OxhLjK8Rvbb9/NST/uP+BIeRIw6fLpV1oP7x3HcRzH&#10;aQ6WEDdp8gzkHdl+iy5MB/cbMLm2jQFt0+4cPsN6eO84juM4TnOICXG33TbswPZb9H7J+rv70SfP&#10;Gm89tHccx3Ecp7lEhbjtF0Xv3UzW393/99vtN1oP7R3HcRzHaS5XXHuNuAc3V4i76PKrLtUP5h3H&#10;cRzH6TgiQtyM9tt3c5K17fvESdPG6wf3juM4juM0j5gQd/PNS0a236IL04/7DZgh61fu6RvuvHPY&#10;jdbDe8dxHMdxmsOY8UfV3L8BhLg77jjmh+236P2S9Xf3Q4+ccar10N5xHMdxnOYSE+K2bp0QvXcz&#10;Hdxv4I2yHv7udiHOcRzHcToGLcQdN/r06vH223R2OrjPwB/KdsBFl189Sj+YdxzHcRyn44i8MnVh&#10;++27Ocna9v2WW54+Uj+4dxzHcRynecSEuJtuemps+y26MGkh7sf9B6xwIc5xHMdxWoslxFXzEkKc&#10;9Xf3y6+cd5z10N5xHMdxnOZy24zRNfdgACFuy/aJfdtv1dFk/d397dfbJ+sH9o7jOI7jNJ9mCXEH&#10;9Tm8r2wHXH/jLcOsh/OO4ziO43QM/QcNqbk3uxDXxZgyZUE46KC+4d///X+H886bapbJ4R/+4b/h&#10;P97CiBFjzXyn93DyyROr6+mQQwaZ+U7Hg+sS1yeuUyvf6TjwfYu5wKeV392A/Kbvv2WFuIP7DVwo&#10;6x/cb8Bz06YNm6wf3DutYffuTQEJn1a+4xSxddt7Yc+e7WHt2pfM/K4E+oj07bdfmfldlaef+WO1&#10;30j42SrjOGWJCXG33Tks+lDd+rt787ZLjrQe2juO4ziO01wsIa6alyHE6b+7XYhzHMdxnI4jJsSF&#10;sOGA9lt1Vqrcv4+U7YDfT735J9bDecdxHMdxOgYtxN18x3QIcc+1376bk6xt329xIS4LSHCVEFaB&#10;xGSVyYFtHHnkaDPf6T1gHXE9NCJZOs0D1yXnxMp3Og5eH41833YlLCEOu8bddNPSyZVxZiUIcLK+&#10;C3EdC0QmJHxa+RoKdGXT+x88abbn7OOVV2ZWYwtRi+nLr77oFqKZTFZ+ozRT2ty48a1qW0hWflcF&#10;64MJP1tlOpO3l89v793+6S9/2R127lwTHn1sslkXlJnjMlIjzglhE31gwnWF/qDPVp3eRD1CXOUe&#10;Pbm2zoA2PITXD+wdx3Ecx2k+MSEOcnr7rTqarH+I5kKc4ziO43QM4y+9tOb+Xa8Qd3D/gSNlO8CF&#10;OMdxHMfpXCwhrnJ8RfvtuzlJb/vuQlw+V1xxb3J3t9zdjFAGuBDnHH74sdW18P3v/1N1B0KZN2HC&#10;tO/WCn6WeU7rcCGu6+BC3P4J/zK9po3KPd2FuI6jrBDH8mVTd9g9rLOAnFOUrHqU5zo7tpSNLJmp&#10;GTublV2jKVyIaw0yrqkUE2PLzHHuHEKEK0o439x5Z5v1ewMxIW7atKHRh+rWP0RzIc5xHMdxOoaY&#10;ELdp+4SR7bfqaNr/H6INXPjNN9vG6gf2juM4juM0Hy3EnTZ2XPX4119v/WH7rTorWULcg48s+g/9&#10;YN5xHMdxnI5D35vbhbgN7bfv5iQtxOHh+k03Le1rPbx3ypErb6AMcCHOSSF3JPTd4zoOF+K6Dr1F&#10;iLvllmdurIwzK7kQ17mUlY2w4xKEHA0T5C4rvzdLJykgCDFBKJO7aCFukHpiO2ExQRCy8rsCGAMT&#10;frbKFFF2jaZwIa41xOKK6x5rXO58aO3MVmaOc+ZQSqY4N64jxA2gPzK/K18/reb0MbYQd8cdw6IP&#10;1a1/iOZCnOM4juN0DL+/5eSa+zbA8U3bJoxtv1VHk/V3twtxTndi545VYejQI8Jhh/ULLzz/iFnG&#10;6Ty+971/rP7/zltvnWLmd0ew5v7tXw+sjuuSi881y3RHMEcYE+bMyndaQ7OEuB/3/8VY2Q5oa2s7&#10;QD+YdxzHcRyn49D35plz7sPx5gpxett3F+KahwtxTjNxIa5zcCGu69B7hLilMyrjzEp4mC7rY/cZ&#10;F+I6jmbJRky9WS6pB+6uhk8rPwVTV455M0SuZq1RkCNTdUWaEcdWUhRXuVOgtdbLzHHRuWQ+zhWT&#10;cdEn5Hfl66fVxIS42+8YGn2obv1DNBfiHMdxHKdjaESI0393uxDndDcgwVWWchVIcVYZp/Pg3Fx7&#10;7SQzvzvSU9cc5ojjsvKd1hAT4r79dnvfylxkJxfiHMdxHKfroe/N7UJcW/vtuzlJC3HYBt6FuObg&#10;QpzTTFyI6xxciOs69BYh7uably6sjDMruRDXuTRLNmLqzXJJPTDVEzemrhxzF+KaQ3cX4oDclU1L&#10;amXmOHUutMvd6L786ovCnSmRL3dl7G3UI8RZ/xDNhTjHcRzH6RiiQtz2Sya336qjyfq7u7cKca3e&#10;HQm7mKF9fFr5XYHuuEPUmjWvJ3ch6w5x78kg9qC7CHHL337muz7jZ6uM3CGuJ+1850Jc59AsIe7g&#10;fgMmy3Yqf5O3VdKB+sG84ziO4zgdR+29+btXproQV4YJE6Z99x+pMYmIwss//MN/M/MBRYxDDhlU&#10;cxx1cHzEiLH7HYuhxTd9HJ/f//4/fXf8oIP6Vsch65ThiivuDYcffmxNmxjPySdPNMsDnA9jlXXw&#10;M46lZCz0FWUZD5zjn//5f37XBvJlffQNbTJmOIeOjwTtsh38jrZ4ToBzyXFNmbKgJp44D86H4ywj&#10;Yfsp4YbnYx8kRf3LHZ9cizyWAuXkWj/zzGu+q69BzFkud11xflA+FlO0y/LWvKT6RFiP52NdnC82&#10;ZzwP4oTfm73mkMe28DtiYM1prH+knrHp9YSyrI+6VsyZj0899hzQJr4vcA3IvmKciFtszXD9oQ5+&#10;13HGZ+raIxyHPC/nh9/DqeuzO9EMIQ5/uMv6PVGIg8ACGYTSBxN2J8Kr/GLSxtq1L1XL4VWa+B3t&#10;4GcmCB85MlSqXrNkI6ai/mBXJsQCfWDCzziWEn3Yf8QE8ZJyDeMD0D4SXzOK1zPyXPi0XteIVyjq&#10;ucHvOK7LEvQBY8UcMnG3qSIJR8KUG3+OL5VkHMvEA+NFLOWYkNA3xJ3lNJwbOQ9cu6kk20jBuYnF&#10;CEKTXlOx+cP8MOk8zBv6jbqyLcQOY7PWDqGEhXhzbcg2UB95Vl2Sqoc5ZYpdJ9aaZN9T15bsO2C8&#10;cRztWXU0qbgSWUb3p2iOJalzyXWXun6dfcSEONyD22/R+yXr7+6OEOI2fTIhbNn+dzZvn1jFKus4&#10;juM4PRUX4ppDq2UQ7CSFtrvyjlI9UYjpDnHvyXA9dRchTu7+1ttewetCXOcQFeK+2nZkZS6yE+7f&#10;sh3c312IcxzHcZzORd6bQbsQh//eal7C/4iXJ8H/qL/llqeP1A/uuzMUMiBjWPlSnrHkEQgczNcS&#10;GY9T2ABSIrGQZWUbkFBkXyRoM1dekqBOqj9WTNA/q6wEfdX1AIWV1FgA4gxBKta3mPDCviEffdf1&#10;CMph7Kl4WmKObF/nEY7RKiPrIwY8nya2FmXseSxXiAOMJwUqC9mvIjmJsDz6EpszxlSOQYM8q32Q&#10;ihfAXFr95Xy0es0BXP+yjiTWP1Dv2OR6stY7v69S/QK63RSx+Eis70kcYz76E2snFafU2kE9zm9s&#10;rrob8VemPv1cZZxZSdfHv3TrSUIcBJOiBPHEkqgofkASgTgXS5CBdF0i5RGdIM5QnskRUVIw4XxW&#10;Pkj1hQnjtOpSmEG+FraQWE6KQxBidJL9Q8zZbixZsUU9qw9MqRhoICsx5Qg8OetJyka58cgR2GJr&#10;hDGU+R0lxCEeFLqspMUruQblcSDnIpZic8uEcUuhTSb0E/216kPqi9VDkgKoHhNAu6n6SLH1xYS+&#10;61jG5lyTiiuRZfSubKk51uTOofWd6tRSnxC3/9/drRbiNn8yMWzcdHFYv+6CyjodH9Z9fEH19y3b&#10;JpjlHcdxHKenEhPitm6feGP7rTqa9v+HaAMmuxDnQlyrYtAZuBDXuXA9uRDX9XEhrnOICXFff719&#10;ZGUushNeeS7babYQt3fv3vDndvbu2bPvsx2rvOM4juM4cSEOrzVvv4U3nvCqlpoTVf6j4JYeJsRR&#10;JIGgofOwixHyCMQVXUbKJnJHJsDjluhDUadI3mAbsi0KI1IswU5Jum4KtMG6+JQ7dMl2pWgnx4p+&#10;yzzUp5ACuCOXhGMmELMYMyl2yX7hnMjnjlIsY+0opoUZ9IdyDj7ZLuDPjCeQfbDmmu2n5iw1r6n+&#10;YXxy5yuOO1Zf50nhiG1qpHgVk46wjpAfk/Is2CaRMZVzxpjLcWsx0eqXnBe0zTWDsnKtWjHvjDXH&#10;cuifzLdExEbGps+NuUMdxFa2xTYwFt1+2e8NtIV2MEY5V7KviIGsA+T6BDLOOk7W2pP10T7HgU95&#10;3QArVt2RhBC3ojLOrKTr/7j/L8b2NCEOkglELimycDcnJksEk/lIkLDYBoSSIplKylCoSwlF10XK&#10;FV9iMKHPVr6UsXAuxIV52HlLCmYQc2RdQGGGCb+jHpDnlGNGQuyRj+NoV84BY4Ay6B8FGsRHxl6P&#10;ibIX6sldwzAmiEuxGFigjkwYl+xjCqbU+XLjgZ8hVOETfWJ9vVasXdI4N/jUefL8uePSpNpn37B+&#10;ZL/RTyuWcl7lcYC2UAdrgdcKQBtyfVqilU44D8uhPcQdCTHWdQHHiIQ54HFZl0mPCeehDId+6jUp&#10;58+aA52whlEO5wa6vEUqroQxxHh0HsePMjh3CikH6nYYK7Sj85z9iQlxd945LPpQ3fq7u5VC3Kat&#10;l4R1ay4IH60cFz54/Zzw3qvnhPdfHxM+emdcWLvq/H1inFHPcRzHcXoiMSGuwoz2W3U06Xr4u/vb&#10;r7dP1g/sewMuxLkQ5zQfricX4ro+LsR1DjEhDnJ6ZS6ykxbi8Dd6U4W4trbQtmtn2PXJtvBZhd07&#10;tofPd+0Ke/a0meUdx3Ecx+kgIU5v+94ThTiIHZWhVtEiEYQN5gFLHqGMYUkgrAfZQ+dR1CmSN9gG&#10;oEAikSIJJZEcpBwlxTaCtqR4AmklJeewDIUqK1YcM7CkFykf4Vy6X7IPVn0ZC/RdCjtAz6cVT/bR&#10;6j/bT80Z61tlivpXZnw6TwpDeh0TxJNlIGKl8i35KwbrACumXBPAGrfsu1WfMbH6DGR9vWY6e80B&#10;KWzpa7SRsclzox3r3LK+ld9MctenFWeQuvaYFxunFAuta6870qgQ94M+Rxyg61fu6SN72itTU1AE&#10;wafOk5IJBA8t4uB3CiDWTmZsG2UsiYdiF5J1/jIwoc86T/Yzdh4p9VjSEMeClOorhBmZ8LtVDqIQ&#10;E362yjD+WuBhX2K72ZXFkp5wjljfCZMVc5IbjxRy/qxzMR7WvMjz13NukGqfyRL1LOQ1ZeXHKBqH&#10;TJZEJs8rZTsg27bii/KUyZD0+Xkd47qxrnPAGEKO03kypdZSiqK4yjGmvqvKJt0Ok7VWnP0ZMz6y&#10;Q9ydw6MP1S0hbvO2S46UD+sbYvvEsHHLJeHj1ReEla+cE95adGp4df7J4eW5J4YXZh4fXph+fHh+&#10;xvHh5dknhtfmnxLeef6ssPbDfWLcZt8xznEcx+nh3DZjdM19G7Tn9XohDkLL0KFHhO997x+r/88F&#10;n/hdii74HXkxtEg1Z/bt1ToHHfSD/crdeuuUmrKA545hiUI7d6yqHpfnsPreLMrGANTTx+VvP/Nd&#10;Ofz+2KNzwr/964HVY/jE7yzLPiGmONfpp4387jzIYznAGMv41xN3gDYo0RHOLfph1ckZF8sAOU7N&#10;mjWvf1cOdawyGsQb8dH9xtxccvG50X5jTCjHePJ6YX30PRYnCa4JuQ7wM8fIYzntSDh/iAHXGmMK&#10;0M9UfMrGhLEoi1xzGsQA/ZRrkefHPFt1QEePneA8LGvlO62hWUIcdmmX7TRTiGvb/VnYtXlj2Lr6&#10;/bB55Yqw4d23wqb33wk71q0Nu7ZtqcpyVj3HcRzH6e3U3ptrhLgD22/hjSctxOE96jffvGSkfnDf&#10;nYFcURlqFb0rGEWWeoUW1oEoovMoeBTJG2zD2rEMSNEEP1tlLCgpYWxWvkbKZClZSpbT/eGYIQ7J&#10;40SOJXaOVNykkBOTf5gfi2dK6mFeas4a7V9ufZ2Xuw4Qe5Sx5oCSJNa0zkvB8+bEtGheUFYel8Kq&#10;PK5hGX0dMp6duebkOaTw1+jY5LktwQzgeKx+s0mtwZw4x9Z36jtawrVtzVN3JCbE3Xzz0g2VcRam&#10;/+xz+IG6PoQ47E6jH9z3VFIiicwrEl20AILyTClxi6JNowIJkyXUQBBiSolLspyWfjjOlPQDpHgj&#10;d9rSICZIqXHLtqQ0xx23ivpSBkhPcucrJvRPC1SEKSUx5cajCMbfilcqT55fz2kuqfYp6lmil0WR&#10;uJWCyYo3U+xaS8WBaxEptp5w3TDp+ryGU+uA49ZyJ2DKjaFFLK5Yu1h3nCd8WuuZc1w26XaYrLXi&#10;7E9MiLvjzmEL22/T+yXr7+5mCnEbt14c1q4eH9557oyw9Obh4cHzBoZ5ZxwW7j/78HDfmeCwcF/l&#10;9zmn/Tw8OPYX4ak/DQ1vPXlaWP3ueVWRzmrTcRzHcXoKUSFu+8TovRsp9g/ReooQB0mnMswoLCcF&#10;IAtIJSybI83I8qCsmAXRRcovFhibrNMoZWIA6u0jRB2ZL8sDGQvKPBB4pGxFZLs8JuvXE3frPBKM&#10;2RKRcsfFPiHeug2C8bJeTFySoD8sHwPntdpCv5CPWMvzaiBX6bqE82QhJUYd7yJYD9dcbK1hXNZ8&#10;1BOTeoU4a1xot+iawvlj1zHLdNTYCdcD0HlO62iVEHdwvwHPtbW1/VA/mM8Br0Rt+2xX2LFxXdiw&#10;4vWw6vkl4b1F88OKBXPCWw/eE964f3r1c8XD88KHzy4OG99bEXZ9srUqzlntOY7jOE5vRd6bgRDi&#10;fth+C2889QYhDlB40zsTUXaDVGKJb1JosXZnY56WfEBKspGk2iAsoyWUGFIwSbUrickqmpSAUzTm&#10;lFBDUm3k9JH5sXGn2mBeas4a7V/qHKn6ObEDmBOW02uWkmRKOrJge+iflZ8z7lgbsm4Oun5qPkBH&#10;rDnAMrJ/jY4t99wUxdiG9V3VDFKxzImzLBM7HqsLiua6uxHfIW5pW2WchckS4n7cf8CRLsQV5xGW&#10;0QJIroiUko3KwIT+6LyccQBIZ0xa3srtZ9lx5ybZlpSTICPl7k6WA8U4CkRI+FkKeYTJijnJjUcR&#10;qfin8ppx/lT7UiaD0GXFSZK7Fi2YrHgzpeaCScchNT6SimPZJOvK+qm+FyHjGksQSGPzkxMDkppD&#10;ppx2nOYJcZu2TxipH9jXy/p1F4Z3Xz47vHDPb8ID5w4Is4f1CfeP6BfuHdonzB7at/o5Z1jf8OCx&#10;/cM9xxwaHjr/l+H56ceHd144M6xff6HZptM9uXbKgOp/M//jP/4/Zn5XZNAR/6va5//4wX83853y&#10;YP4RU6wHK9/pOHx9dw3qFeJif3f/32+336gf2HdHIH1UhlmVcrgbEyQQSCiQTHT5HBmEggo+pYyC&#10;9qUAY+0ARnFIy2US9I8CDOQs2Q7OJ88BCUvWbQY5MWikj1IcA5gjnBPHEVNZXotW+B3nAlpCYhl9&#10;HOTGnTIc+oS+UBjC3Mq4YOzMI7njypHdGNuUhCZBzHE+tC3jh/Zlv5Ev6wGZDxADtqHXtCVvyfro&#10;L8eENrRciLK6fgpZl/XZPvrC6xvx0nUbiQnKM1/W1bCMNS4pAuIc+vuHfQfye4Qwj3TU2GW+znNa&#10;hxbijht9evU45PTKXGQnCHCynUaEuD2f7Qrb168JHz6zKDz7x6vCwgtHhQXnnVjhpLBg3IlhfoUH&#10;z/1NeHDM8eHxy84Nb8y9K3z8+rKwc+P6sGfPHrNNx3Ecx+mN9B80pOY+3xIhrvJHfJs8SeU/Aibf&#10;dNNTY62H990ZuasZZRGKXdwti69WlLIFd9SyXvEH2KYWWUCuvJFqg7BMShaRSMEktluThv2NjVXC&#10;tnWfi8acI76k2sgRhJgfi2eqDebF+g8a7V/qHKn6ObEDMRlSioz4WdYpwmpPkjPuWBvylaY56PWc&#10;mg/QEWsOsIwcX6Njyz035lxKcQBjsV5PmwO+I/Hdx7hY6FjmxFmWiR2P1QWpeeqONCrEHdxn4A91&#10;ffyPebyuTT+47+5AYoHoJF99qJOukxI/CMtoASQl0EjKiCgpmCyphuewXoWqYdLt5PYzd9zoS26y&#10;drWSu9khoQzkrNhubmVBO9yJDskaN5MVc5IbD4Jx4byx+Fj9SM1N2fNbpNoHemc99B1CpbXbWtE1&#10;hTqoi3NJKVEmK95Mqblg0nEoGh+IxRHrpEzC949sFzCl+l6EjKtOGFdsPkhODEhqDply2nHqE+L2&#10;/7u7uULcmvfPCy/NPiE8OunXYdYJ/cKcoX3CfcP3iXAU4mYP6xvuH9E/zDqmT5h72s/Dk9cPDq8/&#10;OiqsW3uB2WazgARSCYEJ8n4z8qBwz5xhZt2ewi23HxX69PvX/cYOUabZY58wqf9357DyuyIyLla+&#10;Ux7GE+vByo9xzrn/p2Y+YuC6teo7+yPjZuU7HUNMiNu8Y8JzlbmJpp4sxEmphSJJEY3KIDgPRRVL&#10;kskRsyBPoYwlXRG2A1nJym+EnBg00kc5LyAlHLENkIoZYLl64y7HHesTxw20HJY7LshKLIP2UvmW&#10;VFkPqfHLcUNg0/Mp17QW9GSe1TbypRhmzU0K1gNFMh6Fs1xSMZFzmVqfLKPHJevHxizn2RIfmQc6&#10;cuyyXZ3ntI7WCXEDF7a1tfXVD+Zz2LFxffho2XPh5btuCHNPPTrMG96vQt8wq/J3N8E/SLv/2P5h&#10;5vCfhievubC6W9ym91aEvW2fm206juM4Tm8kIcT1bb+FN57kCfbxi7E9UYiD4FEZbhXuakbZhK8U&#10;ldIcX41YtKMWy2vJB+TKG6k2CMukZBFJrmAiYX9diEvPWaP9S50jVb/MnFo7IhbJnSl4XvTPys8Z&#10;d6wN+bpieTyX1HyAjlhzgGXk+BodW+65Cb7DOBbC77dcuE6K0LHMibMsEzseqwuK5rq70Qoh7qA+&#10;h/ftSUIcJBDKHkVJ102JH4RltACSKyKVEVFSMFlSDc/RlYQ4yk6NjBsyEiQ4KU7h59R5yyIFSi3b&#10;MVkxJ7nxwM5dOZKgFa/U3OSeP0WqfYK2tRiH2OmYpa4pyIAxCU4mK95Mqblg0nHIHR+TrI95Y0qd&#10;OwVTvfVBKq455MSApM4lrxed5+xPTIibdsfw6EN1XR7/EG3Ttglj9QP7enn/9XPCE789Otx7Yv8w&#10;45hDw92DfyI4pMr0CjMredOPOaRSrl9YcOEvwwszTwhrV51vttksKsPP4n8c+L2w5JlRZhuN0lm7&#10;Za1cdV5SCAQQ5ay69dLVhLic2HMHLXxa+U55uAbKCnFa3IzRLCGuO+5oKPH13X2oV4iL/UO0b7/d&#10;MUM/sO9uFIlHFs2QQVKySSqPcFetmEgD2E/ISFZ+I+TEoJE+SlmoaF4Yr5R4R9im1aecuOMcKIOx&#10;WfmE5XRbZcbF+Fnnwq5dyGvm3KbmVObFYhyLH4Q91o3Je2iTZVLrxYL1rJ3MQK64ZpGKSW67LKPH&#10;JSXA1LqV5XQej3f02FN5TuuICXGQ0ytzkZ0q9+8Vsp0f9xswo14hbtPKt8MrM24Kj1xyepgx/Kfh&#10;vnYhDv8IjUCSe+DY/tW/xReOPyW8NO0PYc2rz4e2z3abbTqO4zhOb8SFuCbDHZTwKX/nLkpyZy0c&#10;y9lRi/la8gG58kaqDcIyKVlEIgXAVLsSKcJY+UTGRe9AVTTmHPEl1UaOIMT82LhTbTAvNWeN9i91&#10;jlT9XGkIyFf9cu1S7tSvuc2BbaF/Vn7OuGNt5NRNkZoP0BFrDrCMHF+jY6u3Pq5/KePJPqWQsUIs&#10;9I51qVjmxFmWiR2P1QVFc93diAtx1fVUmCC/6fo4ht1p9IP77oqUNyDsQGCJ5cvjRXmEZbRIEhNo&#10;NGVElBRM6I/Ok6+11HkSKfdATpJ5uf3s6HETKVPhM7UbVhnkGtDjYbJiTsrGA31He1okS8UrlZd7&#10;/hSp9jWIu4yZriPz5HHU4/xBDMR86jlksuLNlJoLJh2HnPGl4siUOncKpnrrg1hccykzx6lzye+a&#10;Zr7KuKcSFeLuHLai/Ta9X9Ll8Xd3s4S4DZsuDm8tPjUsuOhX1f/ZPvOYvwtwlOHIjCGHhulDKp/D&#10;+4Q5o38Wnr55eFi9cpzZbrOoDL+KFnMgiy145ISqWMMyoBW7xcX60Grk2HBujBnH8YlxIr+nC3Fy&#10;/Fa+0xrqjTuFuGavyxhdbb2Wpd44Ox1PVIjbPjF670aK/UO0niDEAYpHAKJH0U5KzZBBUvJVKo/w&#10;/LlYbTRCTgzk+XOQdcuIPDnxImwT/dd5ZeJu1ZfwFaIp0a9oXHKnOb0mKdzFRKh6SM1pznyzjI5f&#10;Tl3AMkWx1eTUY5lmSmG5c8kyun+561auAwi8Mi/WtoRlmjn2VJ7TOqI7xFXuxZW5yE4H9x+4QbbT&#10;iBD3wTOLw2OXnhVm/eYX4W78jV39e/vv/xiNf3vfc8yhYcaw/uG+04+p7hL3/pJHw+e7PjXbdLoW&#10;U6fue2Z1wAEHhJUrV5plnDyWLVv23XcnfrbKOD2D6dOnh5/+9Kdh1KhRZn5XYuPGjeFf/uVfquty&#10;/PjxZpmeDMaPecJ3HL/rOisOMSGuwpGVvjWeftDniAPkCUDlPwpG3nTT0sn6wX1PACJQZdhVpDCG&#10;n1mGwgVkEpZP7ajFNizhJFfeSLVBWCYli2jwKljUyd0hSsYn9UpNHUeZVzTmHPEl1UaOIMT8WDxT&#10;beS0T5Gy3v6xTNn6udIQ4fxDdJR19ZzlwLron5WfM+5YG3JnxtzX+0pS6wU0c81x50iNFBDlGBod&#10;W05cU6TWqgWlWL5GWpOKZU6cZRl5XH4fx9YYKDuerk4rhDj8z/qeJMRxxyK8htLKT8kdOZIJy2iR&#10;RL5KEWVknoT9yxFRUjBZ58LrEpm0ECiR5coIWZJcAUvuJtYseQ0CDlPq3GWQa6BVO8Rh/EyYA6tM&#10;Kv6pvNz5SJFqP0ZMwpTxlMfl3MXWKJMVb6bUXDDpOMi1KI9LUmuLO/vhWpbHc2FK9b2IWFxzKTPH&#10;qXPJ9ZYbD31d9SbKCnGxv7ubIcRtWH9h+PCtc8PL954Y7jv78Or/cAfyf8RL+D/qZw45JMwc3ics&#10;um5wWP32WLPtZlEJQZWUMAIxjjst4XPZ62eZ5eolpw/NBtIbz4vXUFplWkFXE4zYFxeGOpZ64+5C&#10;XDnqjbPT8cSEuAobKnMYTbG/u//2t+0L9QP77gh2Z5JSHICkYr2CEJSRQdAG5CgKTBpLhikSZSBH&#10;6XZSFO1mVg9FMWi0j7myESiKl4RtWgJRUTuyT7G1QWLxKTOu2K5pcldDLUjlgPNi1zG95iW6Ts6a&#10;Zxkdv5y6gGXkWHPIqccysZjXE5PcuWQZ3T8et16FKkmdh8c7euy5c+o0l1YJcQf3G3gjHrbzgXwu&#10;u7ZtDssXzA4PnDms+rc3/sEZ/s7W/yANv1f/QdoxfcOs438RFowbGZYvnBM+/3SH2W4zeOihh2rW&#10;sATix+DBg8OSJUvMuk4tkHoYO49ZYyB+HsveQXe6buS6RL+tMj2ZH/3oR9+NX2KVbTUtF+L+s8/h&#10;B8oT7GPAkbfc8syN+sF9T0BKFxRgtOxG2QtCCOWLQw4ZVFNGwvYsiYM7NKEdnSdJtUFYJiaaWKDf&#10;rGcJbpB70DfmyfjEJDrU4U5jlpTCuMaElRxpJtVGjiDE/Fg8U21Igcnqn5QB6+0fy5StL3fmy5Gr&#10;pNzEtVC0FmPwvPXElMTakDszxtZNitR6Ac1cc4ifJcWxPmIt8xsdW05cU6TGZcHvrJgELNe/jmVO&#10;nGUZncfvFXxaMZbfZ/XEsiuSEuJuvPG5AypjTSbcr3V93Nfxujb94L67wl2nIL1Y+RDlmHRejmTC&#10;MpZIQlEGn5b0JUWcMrKRBZMl1Ug5LyYGon/sr9WXXGEmV8CSgpHV53rIPTeBfIbxxAQsxETuWqbz&#10;mQf5S+eRnD7h/Ex6Zz7QyNzItuvdsSvVfozYtRM7npIxgRyHtV6YUmuJSc8DYs5kCYk4N+caSdeX&#10;8l/OutMwNXIdxOKaS5k5LjoX20LCd5z13Qcwz5DmYt9JvYGYEFfBfKhu/d1dFeK2XzJZPqyvhzWr&#10;zg9vP316WHrriDD3tJ9XX81y79A+Nf8jfn9+UinTt/o/5x+d9Ovw7rNnhk2bLzbbbwaVEFQpEkYg&#10;xbFss17HSHL70EzkePCzVaYVdDXBiH1xYahjqTfuLsSVo944Ox1PM4U43Nd7ihBHIDlRiiKQ2XS5&#10;HBkEolJMgpNY8lWRmCWFqJQI00qKYtBoH1MSkKYoXpJUn4rakX3qCCEOcKc5rCUe4+tS5bEcINhx&#10;jEXoukXzDVhGxy+nLmAZa25S5NRjGR3zRmKSO5cso/vH450lxLV6PTjN54prr6m5D1OIw724MhfZ&#10;6cf9B7TJdiDE7d27d6R8KJ9ib9ue8OmWTWHD8tfDS3fcEGafNKj6t/eMIdbf3PuoinKVv7tRZu4p&#10;R4RXZ90WPtu2xWy/GVx55ZU1azhGd9i9qZVADEQc8GnlA+4QB5EQOylZZZw8XIjrPWCHsa5w3eTs&#10;Sih3iMP1bpXpqUh5mmNHPHBcl+0IYkIc7tGVPjae4kLc0hn6wX1PgdIFgTQk86V0RFLyEctYopCU&#10;WfhqUbSvZZFUG4RlYqKJhRwLxq13rmIsZJvytamQYyjLAdSnJAhkHikScKQQExtLqo0cQYj5sXim&#10;2pACE+Qm9hGyIGUhUm//WKae+syjmAW4tjTWWo6VLYL164kpSbUh1x3iItcqxojfIURZO5el1gto&#10;5poDiL1cF1LUavbYcuKKMmgXc4v2cAyfUl7Dz7qehayDdtke1pJe/zqWOXGWZXQe+s88nAuxxXHr&#10;3LG57m40KsThQbquXxXi7hy2Qj60785QeIPQImUjyEHcnY1J1gM5kgnLWCKJFG3QD4o+EGykiIdU&#10;RjayYIpJNVLawbnRB+bpWMg8kivM5AhgRJ4T4ow8L2KF+OF8WpjBXGI8sjx+ZnvIl+VjyPnFOXA+&#10;9BmgfSlBWTIZY4Jy7AvKSaErNx48F8bAchCJ0CfZDyv+RXPDhLbRJtu1ylrE2kc/IepBIpNjRgzY&#10;Zz13sWsK8WNCHbaHT1kHyVrjTLH1D5iseaBwiH4zNlb8kXR99JFl8Ik+yHhgbIgRYyXrAqZU34uQ&#10;MbLyiyhaQ5KicyFuMmYYN64nxA0gplIGjsnKvYFmCHH4u3vr9ok3yof19bD6nbHhtQWnhCenDAmz&#10;T/5Z9X/Iz8oQ4lBm5pBDw0PnDQyv3DcyvP/GmLB+3YXmORqlEoIqOcIIZRzA14sS7BqHndZQhrvJ&#10;gf9x4PeqAt2SZ0bVlMfvLBNDimpl2y9CCnH1yjLoE86NPuj+xHbRyxGM6mmXYFwoJ3f0G3TE/6qJ&#10;ZU7sLdCOPJcEbcb6nBIO0SbKXjtlQPX3W24/KvzHD/77d23g53pf08tYyHXLNrGW9Bom6AvKcbxo&#10;h/0EGFfOmkmNhcfKrj2OBZ9WvgXOyfOhT1YZxAn56CN+l+O10OeX84i4sj3AOIJGr2PWl+sMbclx&#10;9Zb13dOICnHbJ7RVYhVNsX+I9rdvdjynH9j3BLC7GUUkoGWTHBmEoglemYny+pWXzNfyUFEe4flT&#10;IkwryYlBI33MlY1ATrxIqk9F7cR2bLOwRDZQZlzgsUfnfFeeu8FRtMSrNHX5FHLOIGHp3eVSc5rK&#10;Iyyj45dTF7AMylv5MXLqsYyOuexb2ZjkziXL6P5xR7aidZt6dW6sbQnLNHPsqTyndbROiBswee/e&#10;vWP1g/kYbZ/vDltXfxDef+qx8PTvLwv3HHd4mDO8b5iZ2KEdQIqbPazy9/eIn4cXbrk+bF31fvjz&#10;3r3mORpFCnE6D6KD3BEIZXWZ3gJ3seqNu0J1Bi7EOR2Nr7k0vFfgNalWfkfTv9VCHLZ4lyfYR88W&#10;4qScAqScQqQ0Z0kqEpazRBgIHajPMrGyseMSlomJJjGkZGIBEUeWhwCj5RMNxhQTq1JiEciRZlJt&#10;IEasr/MI82PxLGojFTP0iWuo3v6xTD319fpNlQVSYAQUnMrC+vXGFBS1IcWyGLg2db3UegHNWnPI&#10;S/URsdZ1Sb1jy4mrLGOR6pcG60OvGYnM07HMibMsY+Wn4oTvpdS11x1JCXG33bb4wMpYk8kS4vBK&#10;NjyM5wP77g5kFC20yCSlLF03RzJhmZhIIsUPnSD+UFTLEVFSMMWkGkgqOF8qIU4xUSpXmIHwwmSJ&#10;RxL0ScY/lrQwU5Qsec0C0hJFqFSKxQTnsZIcd248cI5UYpys+BfNjZQhZbLKWsTal2OzEtaTFMNA&#10;6ppKXStoi3NlrXGm2PoHTNY8pL4ncFzOddn6MllriSnV9yJScc2haA1Jcs6Fec+5tnE+fA9YbfQG&#10;oq9MvWOY+VA99nf3lh0TZ8iH9fWw+p1x4ZWHTglPXDe4KsTdMwSiW5EQd0ioCnHHHFp9zerTt44I&#10;bz95Wlizarx5jkaphKBKruDD8lrikHJLjLJSlixftv0cpDRWJOJoEItUn2JtFglx9bbLulYdgnyU&#10;y4m9RUzCkmOKAYnJqos2mc+fLdj3XHLGiFhaUhzHg/6gX7oegQyl65LUWKQs1hFCHKCEZY1ZCnO8&#10;hsoKcewX4iWFL8JyqbVNYtcx5jRVn/PRG9Z3T6ReIS72D9H+9u32FfqBfU8iJqwUySBSnIpJSyn5&#10;KpVHKEWhj1Z+q8kRYhrpY65sBHLiRdgm+q/zctqB4Igy1s6BEpbTu3+VGRdhW9gZTtbXclQRXM+x&#10;vjcqQLGMjh9202Pd2JjLyIaanHoso8/fSExy55JldP8oTWJ+5XFNTK4EsbYlLNPMsafynNbRPCGu&#10;9n7+4/6/GFtKiPvss7DxnTfDWw/OCk9ccV6Ydexh1R3a84S4vmHG0H7hyd9eFD58dnHY8fGa8Pln&#10;u8zzNEJKiAPYAQgCBPKxM5JVpjfgQlzH4nKS09H4mkvDnfy6yndg/7gQN7bSz8aT9T/msRX8zTcv&#10;Xagf3PcUsNsQJTV8WoKQFEwgYOh8CduK7cCkdzeCUKIlvKI2AMugPSs/BSQU9IFtAPwek9oA8nQd&#10;9B3x4M5NFhwrPq189J/txcaSaoM7WKFfOo8UxTOnDcyRlH/wM+PF+vX2r9H6WJ+UNlEuFmvA9mLn&#10;y6UZMS1qA1hrFWOFAIV61vWK8igXG1+z1hzlUWttpMZE6hkbz52KK+qhHNphu4DtWnVSoD25xoBc&#10;/+y/jmVOnFkmNR6cJ3bt4RPHYnPd3WhUiMMf7bp+TxPiAOQMyDZSWIEcBrEFIgsS8nQ9vsbRyiMs&#10;o3fCkkCCkXIIfqYYQxEqVT8Hjs3agUqC8+FcMhboD6QpLS9JKNMV9ZPxRMLPVhkN+kQhhwl9wrkY&#10;JwnmDfMpZTb8jGO555TUGxMAUUrOLcYh66A/TEV9w7gYZyT0B2NCe6l1xjpWHoHExHih3VRZTar9&#10;VOws0anomkJ7Mp7oM/ouhU5rjfP8qfXPMrF50N8T+GT8kc/4xeqjj+ir7D8S1gTasUQ6kNP3Iori&#10;WkRqjjVlzmWtD16rsXj0JpohxOHv7i3bJy7UD+zLsnbV+PDOs2eFZ24fEeac9vPqq1BnHZMvxM2r&#10;1MHucq8vOCV8tPJ88xyNUglBlRwxB6JKrDxEFQgpkGukcCMFL+4+pcnpQyPtx+BOYATtF+3ABqRw&#10;A3EIvzMP/UvJR1KukcdBI+3KuUE51kU5nhP1ZB3AOqnYU+SxhCHEn20gP9ZnwF2yJFoSwrg5BxiT&#10;rJ8zNwT9wHghIknBSsYDWCKTzAfoA9tAH6QsZolMsj7WFOdKjwek4m6RmosUem3xOPrGXc/kcSLH&#10;ovMkeh7xO+YfyDFiTuq5jlGW+fhEfebJunL9AfYnFedUTLvq+u6J1L9DnP1397ff7tigH9j3JGKC&#10;lNyxCSKPzAPydaHWqzVRh7KYJV9RgEmJZHxtJkjJOK2iKAagkT7mykYgNk8WbNMSiHLiDsGNbegd&#10;tYiMje57mXERxhHiFM+f6mOMmKRHOH6g83IEKJbR8wBxj3Ut+Qrrh3IWsOYmRU49ltExbyQm8jrH&#10;Tn46n7CM7p8UBWPirDyHNb5UHmGZZo4d54vlOa0jKsR9s+O5ylxkJ9kGgPS+d+/eyfrBfAwIbOvf&#10;ejW8Me/u8Njl54ZZxx3W/srUtBCHHdrvrfztPf2YvuHRCWeE1+feHT5+8+Wwe8cn5nkaoUiIA5TB&#10;UmV6Oi7EdSwuJzkdja+5NF3tO7DlQhz+J7w8AcD/rO/JQpzj9CbkjlzWboiO43QeKSHu5puX/LB6&#10;o04k63/M4zgexusH947jOI7jNI+yQpz1d3ezhLhNWy4J6z66ILy64JRw/zkDwpxhfatSnP0/4v8O&#10;pDkIcXNP/XlYfP3g8OpDJ4ePVtYKUM2iEoIquWJO2fKgSKqpp01JUfspIESxLikS4yhEWQIRkPKO&#10;lmRSfW2kXYo1kJukaEQo3+jj7Esq9jFhSPbHkolYhsIVPnW+FIYQd52PfjPfks/qJTYmIOcIMdPx&#10;lOPWfS6KCfJRh+2XXfMyXjFiu5XJcVHw4/pHn/U4dR2dJ5H9ssadQ+pc8jrV0hvA9Yq50tct66Ti&#10;zL7rfhfNJct0xfXdHYkKcRUq8Ymm2N/dPUGIg9gBgQdyCsUufEqpScsqUmqiTALpR0oxlE0g+lBE&#10;Qbs4D/OAJXFJ2YRCHcQYKbTgfGwHn6gjdwxDefQb4l1MtgHof6wfKXJi0EgfZfty3BboO8rljIFt&#10;oi86r564y3WDPNmGJX+VGReRUhRh/8pAwYn95nHMmRTSgKwH5Lh0HmEZax64zgDKMWbWuZGv66fI&#10;qccyOuaNxAQwD2UxJl7jVhmrf/IcyOf1ob8rcI0wZpJU24Rlmjl2nC+W57SOZghxkNllGwBC3J//&#10;/Ocb5UP5FHhl6rb2V6Y+NeXS6itTZ1f+9i4S4qYPOaQqzk2vlFtw3knhpTtvDKtfWBp2fbLVPE8j&#10;NEuIg0AyePDg73aTA3jdKtrHLnNWHZRHOconeEWrPBfr63qaZcuWhVGjRlV3sGNd/IxjKbGF5586&#10;dWq1jyjP+shDGTmeXKxXCuIcyGO7jBfroL9FY0UfsUuTHKcFzmXV16A9lEXMZZvoP/qG+bDqAcYF&#10;sUc76LtsA/WRZ9UlqXqID4+l5jDGypUr94sVxjl9+j5pxqIZ6wi/4xzyVcPIl/XRN7TJGOIcqbkv&#10;Wjs4lxyXjivOg/PhOMtIMG62ZeUD9qEVazvVNkGbMmb41HHVZeV3CUCcsCZ0HHj+sqCebEeCawf9&#10;Y38Bz4/5t+oAlm/kuioC/daxwe84bq0ROQaLRvtTL50mxN1yy9PPyYf2juN0T/gKSut1nI7jdC6N&#10;CnEH9xswWdfHcf3Q3nEcx3Gc5hIT4kD1Jq1S7O/uzTsmPCcf1tfL5k8mhBVPnx7mX/irMHPIoeHe&#10;oYdW/6c7sP6HPIAQh9er3nf6YWHpn4aFN584Naz5oPN3iANlywMpfVDEkdTTpqSo/SJQR4orBBKO&#10;loTwO/NT52J7Wm6LST+NtAsJiHWtXapSsF49wpDcPUvu2KWR5fTY2LYl6xHWrXd9WMTmQefp+Sex&#10;mCAOrBuLiZzrsmPieVNY4hXAeaW8JXeNi8lYqThJ2C+0G4tZEVgbPJdeJ+x3TBaNwfZScY7NZXde&#10;392Rpgtx32xv0w/suxtS7LCAGGLV08IIkCIQBBOdL2F9Sx6S0pVESy8QpaxyGi3oSGR9Kz9FUQxA&#10;vX0sI47hnChnxVLDNi2BKDfuEIaKxoS+WAJTmXFJdKyttosomgt5Dl03R4BiGWse0F9rvRDU5Txa&#10;c5NCtmHlA5bRMW8kJkDugiiRZXjM6h/On4oLgAyHcrouYJmOHjvOF8tzWkdUiPt2+4rKXGQlvO5c&#10;tgHahbgZ8qF8ir1794S2z3aFLaveC69Mvznce8Ivw7zh/Sp/g6d3aKcQdzeEuHEjw4u3/a762tRd&#10;Wzeb52kECBeV4Vax8iFIUIig8KLhq/RiQASxRAtKGZBHILDoeiR2XiD7HwP9s+ry/MiXAhNBmSIZ&#10;JIY+F/uJc6bihTjougASTW5fUqKOBHG16ktiIhPzcS4p7EjQ35gsg/HE6gG5HizpKQXOmYqVFeNW&#10;riOCcWCtx/qGdqz25dpJXScoh7HH+oDzWtch+sUyOo/I+MTy6l3bqbYBZD/ZjkbKgBi/VUai44A1&#10;bJUrAv1mGwTtFl1XOH9MzGSZeq+rFKm1QXBO3XZsvZJ6+tIMEkLc5Eq/Gk8JIW6FfGjvOE73A6+2&#10;rVzmVYpe/es4TscD+U3fgyHJIc+FOMdxHMfpulhC3E23DKvmVW/SKkWFuO0TV8iH9Y3w3stnh0cm&#10;HRGmDz003DPkkOrub2C68T/kwZxh/ar/mv3BcweEl+edGD58c0zYsP5Cs+1GqYSgSo6MUa/IkxJd&#10;QD1tSorazwV1uUsb0TuEyXPloCUbjJF58ngj7UoJq+z4WS8V+5gwFBuLRopXWtiLtS1hmXrXh0Wq&#10;7znjYpl6Y8IyZceUE68Ucp0V7X4GcsfTaL+A7Jtcx40IhDn1Yn3PHXtXXN/dEUuIW73u4mpeJT7R&#10;FBPi9MP67ghEHexORhmH4PfUzmqoh12vKJRAWtFSCgQU+dpBlEUdiFdoG8esXcQAZBVZF3IKRCxd&#10;Dv3AebVUg/7jXEXSlWzfyk+REwOWK9tHjJ/lYjIQYZxisZSwr7G5zY075hAylBwT2kbdlIBYZlwS&#10;rheQM84Y6LecM7aHOWDfkKfr8fxWHila01wHWCf63MhHv3AsNjcxiuYUsIwV83pjQuSYUE6Pv6h/&#10;iAvyYt9ByLfqgaK2Acs0c+w4XyzPaR1dRYgjn+34JLz90Kwwd9TR1b+pq3934x+kGX93Vzn6kHDv&#10;MX2rQtwjF44Or91zW1i77Lnw2fZtZvuNEJNRIHZA3qGUEZMwpEyCtrj7EepD+qBMYck+FIlYRu5+&#10;hHakWGLJJ1KUQVuyf+i7lD8sSYznl22gHtDnY1l8yuOSWCx1HkDfKHrpsVqyDM+PWKF/PC5jbMUo&#10;Bc6JdtEG5w2gXzJ2lkTFPIJzs5zsE9aPrgs4HiDnRtYlZYQ49IH1U7GSawXHeS70q9F1hLgynvL6&#10;kP3COZGPclJyk/0lqbWDT7YL+DPnA8g+WFIf2mC+ziOyD6k8UHZtp9qWfUO7nBuMi/UwZpZHPn7H&#10;ONkHXR4UxUHW1bAM2tN5ci5xDq4DnF+vbbnOCPMIzoG6yJP1Y9dVDLTBdYw2sCbYLvooY4O2mSfh&#10;OsenzusMOk2Iu/nmpRv0g3vHcboXRx45+rsvPchxVhnHcTqPlBB3001L+1Zv1Im0vxA3oO2224Yd&#10;qB/aO47jOI7TXMZPGCzuv/uoR4jbsmPiBvmwvhFWvXVuWPLHoeG+Mw4LM4/r+/fd4Y7+Sbirwt2D&#10;wb7/SY/fsUMcfn/k0l+H5U+dHtZ9fEHYtG2C2XajVEJQJUfGkMKKVR47lWFXNQoeFpawxbyiPtTb&#10;flnQBkQ4tin7JXeDygH9lW2jLebJ4420K9ssuzsX66ViH5N6eNx6VaQmdp5Y2xKWSfUxBuYSO6bJ&#10;+dToOrE5krCM7ndOXcAyZceUE68itPSpXzMqyR1PmX6VvY7xM4+ndmqzYL1UnGN95/GuvL57ErMe&#10;OKPmPgwoxG3YcPkBlRiZyRLiQthwgH5Y73QvINpUpreKJbI5XQcISpwrS9BzHKfn84ebptbch48Y&#10;cUL1OF5fXvluyEoxIW7v3r0L9YP5IvZ83hZWPvFQePCc48JM/GO0IYeGe445NPrq1OmDD63uJIfP&#10;RZPHhveffCRsW/V++HzXp2b7jSBFiBhaEpJQ0LBEISAlE92GFIms3aMgZVDI0wII8njumKCRqg/k&#10;+YskD5ZNlZOxTOVBTNHCiRyPjgXyWNcSiig8ob7Oq5ciOYh5oEhyohREZNsoJ/MAylPeASk5SSN3&#10;KLPWLNuWolIz15G1jqUkhXPpfqXmHhStHcSf+cCaD/bR6r+cD51HWrW2QaptrgP0W7cL0HeU0cdj&#10;pK5jGYfUmmMZvXZlfZ1HMPcsY8WCeaDsdZVC1ouNTYqTqTVkxa4z6K+EuOtuvLl6vGlC3I/7DzhS&#10;ngDs2yFuaZt+cO84Tvfin//5f1a/0A46qK+Z7zhO5+JCnOM4juN0T1JC3IwZR+z3UL0jhLiPV40P&#10;rz82Kiy9aXiYf9Gvwr0n9q/Kb7OOOTTMGdqn+onXtMwd3nff61oG/yTMPeVn4ampQ8MHb4wJWz5p&#10;jQwHKiGokiNjYPcjltfiGQQX5qXQ9QDzUn1opP16gLTDHbSkEJOKQQ4YI+vL4420G2szB9ZLxT4m&#10;9fB4VxSGIAayXhG6bk48WUb3O6cuYJkyYwI58SpCy4EpySx3PLn9quc6xs/W8RxYLxXnWN953IW4&#10;jqFeIc7amf3LL7cfqB/WO90LuctTahcqp/Ph7mnYiczKdxyn59NiIe45/WA+h49efCosunJcmHvy&#10;oDBzeP928W1/GY7HqzvJDf9ZePbGK8OGt18Ln+/cEfa2tZltN4IUJSwswYVgNyuWs/IJy2hpjoJF&#10;SmiJCSBSArJ21SKynBZBeP6YbCPJkUFkX1N5sXPFzlEk6sh8ndcIbBN9j+VZO22BVJ+ltJaztqwx&#10;x6C4hl3JrHxNM9dRbB3LWMTOkVpfOWuH+bH5SK1N2T+dR1q1tkGsbVzvPB4TbsuSG4fUmmMZtCWP&#10;S/Ex9X0iy+k8Hq/nukrB66JIHmQ5a55Sc9gZDBp+Ys39mUJchRsr/Ww8xYU4++G94ziO4zjN4fop&#10;82vuv+CiibdX8+oV4u6445gf6of2juM4juM0l6YJcdsntOkH9vWyccslYe0H48PyZ04PT986PDx0&#10;/sAw6zf9w/QhPwmzhvap/sv1e47pE+YM61v9l+tzTv5ZeOSyI8JLc08Ma1eNN9tsFpUQVMmRMSCG&#10;oCxEMXlcCiuQO7RgUyS0MC/Wh0bbrxeKKoDHGj0XxqjbBI20K3eXK1uX9VLzzzjgUx6XcpM8rpGv&#10;lERfZV6sbQnLlBGGZJyxQxz6EMuXx4vyCMvofufUBSyD8lZ+jJx4paB4iWuYYhx+ju0smDuenH7J&#10;NY5yudcx5FQeLxuvnHqxvnfl9d0Tmf/4WTX3YVCvEPf111t/qB/WO90LvubRdxzr2uC1lpgngNe0&#10;WmUcx+n5aCHup78eUj3eqBCH5+N//vOfV/CBfBk2v78ivP3gPWHplInhwTHHhXtG/LwqvuEfn4F7&#10;Kn9z4xN/f+PnGUP7hQfOOja8Nnta2L5+jdlmM7AEEcgccregmEQh6+agBZIcwSImgKTEFonckSkm&#10;5OUIHjllU33K6S/L6HNIMcgSqlivmTvEAZ4T7ZfJIyyjxZ2cWNYj/mDdsk6qXxLGDlj5pJF1lDOW&#10;VBs5fWR+bNypNmT/dB5J1c/pH8uUGV+9UmSK3DikzscyaEseL1oHRH636t0CY21LWKZMTHLaBXy9&#10;rfVdkju+jkILcZOuvp55LsQ5juM4TnemFULcbXcO66sf2juO4ziO01wmXr6/EHfD1KHVvJI7xO33&#10;wL5eNm+fGDZthRR3fnhr8anh2TuPDYuvOzo8POFX4cGxA8K8Mw4Lc079WfXzofMGhicqeS/fe2J4&#10;54WzwoaNF5ltNotKCKoUyRhyBzMIRjKP4ogW5UhMdCHMi/Wh0fbrhaKK3CFKyjnolyyfA8bI+vJ4&#10;I+1KIQfzZJWJwXr1CENyTWjhTCLLYZwyL9a2hGXKCEOUvfB6UCs/Ng9FeYRldL9z5ETIZyxTZkwg&#10;J14x5K6HOK9cN7E1lxMLkNOvRq5j9js2nzHYXirOsb535fXdE7GEuOXvXVDNcyGudzFn9u3Va+Kw&#10;w/qZ+U7XAa+zxVwByHFWGcdxej4tFuI28IF8GXbv+KQqxa1cND88NWVieODM4WHGiJ9WX5267x+k&#10;cYf2fuHuys/3nT40PHXdhPDBU4+Gtk93mm02g5QgInfFskQKudNRDlrmyhEsYpIK62JHI1negvXr&#10;FVhATtlULFN5hGWsc/D8EFVkHDFHqddRFkH5Ee2zHY0196k8wjJa3MmJZWzeU8g6sZ3YNOxLK9dR&#10;zlhSbeSsHebH5iPVhuyfziOp+jn9Y5ky45PHUzuuWWBMuB4g87INjVWHebF5AiyD/lnHi67D1Hl4&#10;XLctidWNIc+H7wurDInNBSha5x3NsaPOrLk/d4gQd+qZE3+iH9o7juM4jtNcbpz6RM39F4y78I/V&#10;vHqFuGnThh6pH9o7juM4jtNcmiHEDRs5+BD9sL5RqlLclkvCurUXhNXvjAvvvXxOeGPRqeHFWSeE&#10;JZX+LZ4yJDxz2/CwbN7I6k5yq985L6xfd2HY1MLXpYJKCKqkZAwpfEBM0btJQVJBXuzVgrK+JQlR&#10;dolJOY22b4E2IfbFdsaSco4WAHN21oqREowaaZe79+HTqguhx4pfUexBTOqREl9MVEJf2DdLCoq1&#10;LWGZMsIQx6XnjnBNAZ2XmiPCMmVjgnjIV5aWGRPIiVcM1pXrgJIasK4deW2l1mROvxq5jjGPzLPk&#10;NMZV5/XU9d0TaaYQ9+232/vqh/VO9wEiHF6V6oJV1+egg35Q/f4aOvQIM99xnN7BtOnTau7DXUGI&#10;27t3T/h8586waeXysOLheeGFW64Li644LywYf1K4/8xhYd7oo8KcUUeG+04bEhZeODo8O/WqsHzB&#10;3LDp3bfDnj3Nf1UqSQkQgBKEtWMQdxOK1S0iR7CIySOs21uEOLmrlAXEn7LSkJTpUui4gVQeYRkt&#10;7uTEMjbvKeqpw764EJduP1U/p38sU2Z8Oe1qcA0wlkXournrh2XQP+u4C3EdQ6cIcWeOuX6gfmjv&#10;OI7jOE5zSQlxFY5sv1VHkyXE3XHHsJH6ob3jOI7jOM3FEuKunXJMNS9XiBt36YiB+mF9s9m4bUJY&#10;t+aC8N4r54RXHz4lvDr/lPD20tPDB2+OCevWXVhTFjKd/L2ZVEJQBcIJJBQJBA3KHgByiSWjSJEF&#10;dSjOoKwUj4AWXQCFENk+XqfI3ZYabd9CnhNjx/lQF59SvkG+3vUJZZiP+GBXMCkLoR0IOFa80H/W&#10;lcdBI+3KGGFszEd9nBN1rHMWxV6WwSePESlUYS5kv9COlL90n0GqbcIyGIeVb8F1gXHJ11jqPgFZ&#10;D6TmiLCM1W+5flCOc2idu8yYQE68LGI716FvXBuWqIayrIdx4RjWBsYiy+X0q5HrGGWYh37K82Ns&#10;/J7S9divnra+eyKWEPfia/vWyIbtFx1YiZGZrL+7v/1q25H6Yb3jOI7jOK0hKsR9s72t/XZdmBJC&#10;XBsfyJdl7562sHvHjrBj/Zqw4Z23wkcvPB1WPHJ/eOmuG8PSKZeGp/9weVh219SwYsGcsPaV58Mn&#10;a1eH3Tt3mG01iyLpRO4Sp2WKeoQVSY5gEZNHxo8fn3Vu+apL3f8ygkdO2VQ8cmLFMvoceGUqxDUA&#10;MU7ueoWfUa+sDIfylOEggyE2ug2eA+3L40V5hGW0uJMTy9i8p5Cvlk31S9IR6yhnLKk2uC6AziPM&#10;j4071Ybsn84jqfo5/WOZMuOT3z25a0C2BTFNv5I01deceQIsg7bkcV6XsXVApNyKNSvzYm1LWCY3&#10;Jriuc9oFlJwtQTS1RjsDLcSNu+Ry5rkQ5ziO4zjdmVYIcbffMXSsfmjvOI7jOE5zmXz1EHH/3QeF&#10;uNtuG7bfQ3Xr7+6rrh85TD+sbwWbt04IH6+9IKx697zw4dtjw5oPx4f16y8Mm7fV7grXEUJcEdbu&#10;SwRiixZ9JDJPCysAYoksr8s22r4FzkkRKIaUaDRSMEqhZTqKVEAeJ/W2C6SIZSHFMFIUe5CSejA3&#10;WmbSaClN0iphCPOWml+5ZnTdojkCLBOLSWq9om49YwKsVwTmhHXQH8ZCHidyDVj9scaix81+WfEg&#10;jV7HRdcGhT1JT13fPZHFz46puQ+DeoW4r7/ePlI/rHccx3EcpzVoIQ7geJOEuJqH8o3w+a5d4ZO1&#10;H4WPlj0blj88N6x49L6wpvLz5g/eDbt3bDfrNJuUIAKkOAVZQuZJYSX3FZUSChYQSax8IIUlKWxJ&#10;qURLL5KUfFJG8Mgpm4plUZwBy+hzcAw5/cwF88X+xOLHfEuiSeURltHiDkQl5snjEtm/XPEHxNZq&#10;jI5YRzmiVaqNnLXD/Nh8pNrI6V9KHMzpH8uUGZ+UEBF/mReDUlps/huNA2AZtCWPUybDGpTHNSnp&#10;LNa2hGVSfdTkXhcsZ+1yV7TOO5rRY8bX3J+FEDej0s/Gk/U/5sedP3W4fGDvOI7jOE7zsYS4s8dd&#10;z3wX4hzHcRyni9IMIe6GW08ZpR/Wt4qq7NYOfm6l/GaRElQgakAyyZHMII5A6OBOTQBtUxShkBMT&#10;zCCuyL7g3FL6arR9C7SJXasopBD8juPIt+oR9A/xkX1CP1AfO0tZ0hp3yUI5nUfqaZcgHnI8qFc0&#10;h0WxpxBkyVQE50U+5wGgzaL+5rTNMoidlR+DcZR9QluIBdYJfrfmIWeOWCbWb2u98tzIR79wrOyY&#10;5I5lKWS/WAfjic2FXDM6D2ORccSYtLzFOYrFgzR6HSN+OAfL8Zysb9FT13dPo5lC3DffbBurH9Y7&#10;juM4jtMa5jwwS9yH94HjjQpxJ54x5lT5QL4ZfP7ZrrB9w8dh03vLw+YP3gnb138cdu/cX4bbu3fv&#10;fseaQUoQIVJgkjKQ3HmoHkmCggWwBAwp4+n25W5gMckD9SGdWPUBz5/Td0osKXkvFcucOLOM7g9l&#10;LMSijASTIiV4ASkjWXJOKo+wjO6zFCkt0Qnn5rxb9VPItWoJblgTmEPmdcQ6Qv95jthYUm3krB3m&#10;x+Yj1YaMgVUffZbzofNz+scyZcfHuOMT86DzMY9SLEsJXYDXsXUuueZTgi/L6FgVrWsgz2HFOpVH&#10;WKaZ1wWQ3wlW20XrvKPpFCHu4gm3nyof2DuO4ziO0xr0PbhRIW7atGGT9UN7x3Ecx3GaC+S32nvw&#10;wKokh7yuKMQ5juM4Tm8H8pu+F0OSQ54LcY7jOI7TdbGEuLa29V1SiPuiAl6luufzz8Oetrbqz39u&#10;kfxmkZJRiBR6tKghd46CKCFFEggs+B0yBkQVWQ9QsCCQVShnQdrgbk/AEjTkuVFXih44r6xvSSBl&#10;BA8ZJ74yE23KfqVimRNnltH9QUykkCSBDITyiHEZQQZ9Zxsy7viUfQX4XddP5RGWsfpF0QnjYjyx&#10;XvCzHmu948I55HpE2zyvbLPV6wjnYv3YWFJt5Kwd5sfmo6gNOUbKXJgPWY/oujn9Y5my45OSFuoy&#10;/uwb1wrLU3iT6wroeZR1JMxDWZyDa9Iqg/PL40CeA/m8rvTaxjrEMV0/1TZhmTLXhfwOYWx4fn3N&#10;I4a6Pkit0c5AC3H4vT2vdULcxEnTxsuH9Y7jOI7jtAZ9D25YiLtz+Az90N5xHMdxnObSDCFuxrzT&#10;LtMP6x3HcRzHaQ3NFOL+77fbb7Qe2DuO4ziO03weWTRf3If30Qwh7uwLLhknH8j3BKQIYeUTikT4&#10;1Hly96EYVj0KFpBItKwiickhEDoowMTQYoykjOAhhRKJ7FsqljlxZhmrP7J+Cshdum6M1LxhrJxz&#10;OUbCclYeYRlL3IHYZMUT4DgEJv5eRvwBmG/ZngbjluVbvY66gxCXmg+sAymm6bo5/WOZesZX9P0i&#10;5yU1DiC/Z+Q5iJQjJbIMj1mxxvlT32UA8aTYp2EZq23CMmWvC1xTqdgAzI8l6oHUGu0MsCOcvD93&#10;iBA36fLpV8qH9Y7jOI7jtAZ9Dx591lXMcyHOcRzHcboozRDiHn3yrPH6Yb3jOI7jOK2hmULct9/u&#10;mGE9sHccx3Ecp/m0Soi76PKrLpUP5HsCFF0gSlj5REor3PVIAjkDUpEULiB+QJ7AOSzJQgsWOAcl&#10;LID2cqQPCDH63JBSILdYfSWUoPBp5WsgsbAOzyF3IEvFMifOLKP7I+UwLWUhrogRYwliso0F2pMC&#10;D+KPeZCSGPql6zHWVh5hmVh/MDeQnVgOn/idc8a1UGY8xFqP+D0mtYFWrSP0n+3FxpJqI2ftsM+x&#10;+chpA31jP4BcCxyDVT+nbZapd3yYG7nGURZrxfp+0OuK50XZ1DiI/B5COd1nthuLNeKFPNlfgN9x&#10;3PouJEVtA5aJraUUiA3Ws7zmOcbUtQEoJlpz2Bm4ENfFmDBh2neLCj9bZboKhx9+bPj3f//fYcSI&#10;sWZ+PZx88sRqm4ccMsjM7wy605zk0hPH5HQsWDe4Vg86qG+44op7zTJO1+Anhx9Vcw9uVIi7485h&#10;C/VDe8cp4v0PngxI3377VZg772yzTCt5+pk/hj17tofduzeFRx+bbJapF4wNbe/cucbMzwH9QvrL&#10;X3ab+fWCeCOtXfuSme84TtflhqlDxf13HxMvH1zNyxXinnz6nCv1w3rHcRzHcVrD8vcuqLkPg/mP&#10;n1XNKyvE/e1v2xdaD+wdxynHnNm3h8MO6xdOP22kmd/b8fg4zj6efWGRuA/vw4W4rgeFEXxa+c4+&#10;KK+kdn+DZIMyIEcidBzH6c5Muvr6mvvzsaPOZF7rhLjLr7hnqnxY35P5/vf/6bubynnnTTXLSFCm&#10;TPnOhP0EVn49QLDpauPvTnOSS9kxSYGuDFj/VnvOPqZMWRCOPHJ0+Od//p81caMU2pVlRfSb/cXP&#10;Vhmna9BsIW7aHcOf0w/tHacICl9Ir7wy0yzTSjZufKv97KH6s1WmXiDDMdU7Npms/HphavaYHcdp&#10;Pc0Q4pa+cM5U/bDecRzHcZzW4EKc43Q9IHtVLrMqLzz/iFmmN+PxcZx9WELclq3vNyzEXT/15j/J&#10;B/JOY7gQlwdiBLBzlZUPIMGxnAtxjuP0dDpFiLvq6jkPyof1PZUzz7zmuxsKwE5KVjlJd5KvKPHk&#10;jCsX7DqHNiFSQRayynQ03WlOcik7Jlm+DP/wD//NbM/ZJxkiPlbciCWaYUdG5HV2bPn9hn5Ya4hj&#10;a+YOkk59aCHuxFMnMa/OV6YOW6Ef2jvNBbuZMeFnq0x3Q0pjnbFD3NvL51fPjR3Tmi3kbd32XrXt&#10;L7/6whxbzi5tFAbxaeXXC5MLcU4jYO0iYS1b+U5rsIS48RPKCXEvvDL2bv2w3nEcx3Gc1rB63cU1&#10;92Ew64EzqnmlhbhvdjxnPbB3nN7G9773j9X/v3jrrVPM/CIuufjcav1/+9cDw84dq8wy9YI+oW30&#10;0crvDrQyPo7TnWiVEPen2++8Wz6QdxrDhbg8uEMcXm2I1xrK13fiZxzjaxTxqkdZ13EcpyeihbhB&#10;w09kngtxjQJRrBKCGookr7KiktN6euKc1DMmlNNgFzPZjsZfxxqHu0dCHMOrgnkcrx/lq4MtIU7u&#10;zKbzuhLso+8e1/n0HzSi5h7cqBB3x53DN8gH9k7zgbDF1Bm7qbUCvAoUCWKcld+TYeoMKY3JhTin&#10;EbB+mKx8pzXcdMswcf/dR1kh7qXXxz2oH9Y7juM4jtMamirEfbt9hfXA3nF6G5VLpMq1104y8zsT&#10;9In9s/Idx+k+WELcqtVvhG+/3bGhco1nJRfiWo8LcXksW7bsO+EtBWQ4lLXacBzH6Ulcd+PNNfdn&#10;IcTdWPk+bDxZ/2P+6mvuWyIf1vdEIL5Vhl9FSkNSfLGARMSy+Nkq43QsPXFOmjWm7iJndTXk7pH4&#10;2SoTw4U4pyxaiDv2pAuY50JcF6WnCXFyx7ueIviVgcmFOKe74kJc55AS4mbMOOKA9lv1d8n6u3vZ&#10;G+ct0Q/rHcdxHMdpDc0U4vAA3npg7zi9jcolUsWFOMdxWskbbz0v7sP7aIYQd9vdM++TD+Sdxhg8&#10;eHD1OxefVr7zd7AT3Pjx47+TCAlEORzDLnEbN2406zqO4/Q0OkWI++21978qH9b3RORrDSHHcTco&#10;vGbUKk96onzV3emJc9KsMbkQVx+NxM2FOKcsvzj6xJp7MIW4m25a2rcyR8l0cL+BN8q6+B/z0+4Y&#10;Biluvwf3TvPoaULczp1rqmPBq0Wt/J4OkwtxTnfFhbjOwRLixow/qprnQpzjOI7jdD0sIe62GaOr&#10;eRs2XL7fvZvJhTjHiVO5RKq4EOc4TitplRB3971zH5UP5B3HcRzH6Xi0ENd/0BDmtU6Iu/a6Bz/Q&#10;D+x7GhDfKsOv7g6H3w8//Njv/kDCKxF1eaJFJch0aANiHY7hE7+n2iCQ8vDaRbYH8DuOx17dildc&#10;8jz4HbtXUebDp9zNiq+ExSePSdCW7HsM+VpNKRLKtgDPhzL4HbvtMc4AP6d220LMMA+IgewTxoV+&#10;xl7vWa88hhhzDhhDgHNjLKm+sn/oE9qBVCTbQP1Yf0mqXr1j0pSRszpqPbI9zCnPgzyWI1gPKCPj&#10;g5+Lri/EC+1xjjifZeIo45Zbj+OLgVha5YviUe91wbkBLCOPxWhkvTn1oYW4IcePqR6vV4jTD+x7&#10;AnPnnV0VPvhaTyT8jGPIQxm5y9nby+fv1wZ59LHJ7aVCtY48DjHsy6++aM/d9/rQ9z948rsya9e+&#10;1J4TTywrQRtoSybdtmb37k3VcjgnfkdZOX7kSxmP/f/226+q+RhHjmTFeKAeY2mhx4D2cT7Ut8qX&#10;Rc6fnBeZhz7idz1WfOL3WP85b6wP2GbZhLjLtgHOi3MgPnL94Hwon1qPTM0S4jhW9hPtMk5YP3q+&#10;rGuL/U7JnpyD1PVC2CeOEbFH++wX11Jq/QHkQ9q0+pq6lnRMMC78zJRzrbAO+5wTI10HSX9vNYoc&#10;h5UwJ1Y9rleZ8DuON6tvvYXae3B5Ie7Vt897VT+sdxzHcRyndeh7cb1CnPWwvruzZs3r4fTTRoZ/&#10;+9cDv/t/RPgZx5Bn1bn11inVckOHHlH9/YXnH6n+LOsXiVLL336meo7vfe8fv6tngXKsg/OgzmGH&#10;9aspc9BBPwiXXHxu2LljVc05JMhDGTlOC4xN121FjNDnObNv/648+oeY8RyIC9pPjQmwHtpj26iL&#10;c+GcVh3ElOXwO8fHuYidm/VSxM6pYXzYByuv7PqSZSywbnSdeuIHGCvEBHBN4jj7xjJYd7q+hOXk&#10;mFLxIYwL6wOMA+2k5i42LtQrOifHifUhj+u+4LMoho6TA+S32nvxwKok16gQd+99Dz4jH8g7juM4&#10;jtPx3HzH9Jr7c8cIcdc/sEU/sO9JQDCpDL0KhR15LLVjEmQRloPIIgUVCY6nRBUpillAdrHqy/ND&#10;OJN1gOw75SYt4gCMW9eNIfuREqx4Pso7LKeJvZY2FkuJJevImJSReYoEJhBbC8zHGpDCliS1BrDe&#10;YvWAlKPKjEmTmi/S0esR68M6n2wXbaXWQyy2Vh8kunwMtM066GtMCJSUFeJy49HM60KOK0Yj682p&#10;j0FDT625BzcixP1n/wF79MP67g7kDCnA6CRFFoonkERkGxIINUwUPyDoSGlFJ0ovFGtSSZ4L7Wvp&#10;RCeIQLIOYT0tAOmEvkG4ivU/JsQQxA8pJW2hj7FU1H4uGAeTloxkHsSn2FgRJ0vm4RiReAxzXk+y&#10;xlskJSHFhCumWH5ZOFb005o3GVvEQAptVrJEM9TLuV4I+4TP1DWEvsRkrNQaZ8KYU/OPfHn96xS7&#10;FhGDVLLqpM6DFFurZSkrxGHuUt8nSJgHlJP1nDjyHgxOH1NOiFv64tjV+kG94ziO4zitQ9+Lf3/L&#10;ydXjvV2Ig5AlZRoN8iDS6HoUZyDHQPbR9YiWZshjj84xy1vw/FLoiYH+WgIZhK/UOCVaiGtGjBAH&#10;XY+gHOpLIUsSGxNAvSLBT0p3BJKSzI+ND32S586Zg1wBivEBsbyy66usEFdv/ADzsV50/Hge9gf5&#10;uj6R1wJ+5vFUfEAqLkDPHWA/Y9elXIPWPKI95su44Gcet5BtOE5ZWiXEzXtowWvygbzjOI7jOB1P&#10;pwhxV1x17zb9wL4nAQGlMvSq5COPU0rRxyVSMgGQVSDhUJiRIg/a0SINfud5UE7uvgVJSgpMVn3r&#10;/KiD42hLyiwUbrSIgzbZR/SFYhGOy/NbYkxKsOL5CAQhjAl5aEtKPzwuQZ8ggkHWk+OWMUUbsg6Q&#10;MbH6HAP9Q5/RvuyP7queA8A8griwnF4Dui6QscK88bisS8qMSZOaL4A+d/R6JPgdcw1Qh+WktIU5&#10;kuIbysr+6v4wdnIXOZRBXFPXtYUU3DgufT6LopiT3Hjg3K24Lpgnz+V0Do0JcbX/Y/4/+w/cqx/W&#10;d3co0ECGkdIWhA0ILFIksmQ3DQUgKb9QKoEoIkUQnA9CSUrQ0nkStou+Q6phn7C7FiUdJDkGgvPK&#10;hLa4u5eUiigJ8RzI5+5dTCnZrQjEg0nuHsUxoF+6Tj2kYirzkORY0R8ZS0tqkvk6DzBZ80A4H1ow&#10;AogBjqNPnCOAfkv5yFqTTKlzl0GOFQnrHf1CX5DH/qEvvBbQR31tce0i6flgXu71wj5xrcrz6fmz&#10;4otzsC76nOqrtR51THB+9hHxkPW5riQ8N9aWjB/Koj+6vLw+dcxRh+1ZY60XOUYrH+D8XI/og3U9&#10;M2FczHPSHPKLX9bcwynEtd+ma9JBfQ7vK8uC55aN26Yf1DtOV+N/HPi96t8NS54ZZeb3Rpa9flY1&#10;Jv/4j/9PWLnqPLOM4zhdk36DBtXci+sT4gaaD+u7K1JugriD35kHMYdyjCVkSVkHoCwFGshnUkzS&#10;QhHaopiDejwvjst2tZCDcqgHEUjm6XrWblwQlJCH+lI6kjIY2pB1QKtihE+el/XxiTpoB3CHMGCN&#10;CWUoc6FtOS70U86BjiV+Zx7A+TlPOp4xeYr5VtxykOdI5YEy60vX13mkkfgB5hHECeXQH/YJbTJf&#10;ti+hLIm+yOOpMci1gXLcpRBjkmtaC4A8F/LlcYA22Caw1hzaZj7PCXg+tK/7osflOGXZsvX9mvsw&#10;ePaFRZW87Ssq6y4r/aDPEQfoNu6YOftt+UDecRzHcZyOZ+ac+2ruzwDH9+7dO7n9Nt5Ysv7H/JVX&#10;z/mzfmDfk4AYUxl6VYyTxyHw4DiQEo5ESiaQUaxysh1IKzJPyjKWpAJS9eX5U20ACjf4lMch1rC+&#10;JaZRBMKnzkvJPlLwgcCj82Xf9biKSJ1XtpuKRxmK2mQesMYi+6tjLNu2ZCSUl0JeI2NKxU3nx87T&#10;7PUI9JqUpNYfgBRGEQx943HZlxxxrQi0IfsMcsS4opiT3HikSJ1LxsOaF+ahDZ3ndCwQ4OQ9GIIc&#10;jt9885IfVuYomX7c/xdjZV2gH9Z3dyCNIEF2s/IlkGOYIHuk8qVUwySPpYBMw6TlHyLPhZ+tMhRQ&#10;IKfoPI4byZK8pPCG+vockFmkyCPzysA+QqSx8ptFKqYyzxorYLwsQalIFmJCOSsfsP2yElPRWmFK&#10;nbsMcqyIVUxqorSVEp84Zi2ZMeVeL7JPWEfW+aSURoGMsB+p8aTqF50fv8euFTl/sXNr2Jb1HQRk&#10;m9Zargc5RisfyDLWWgRS5rPkQGd/tBB38hnlhLhHl5yzXT+od7oe104ZUP3vZshPVn6rgYjWp9+/&#10;hkFH/K+qiGWVaRW33H5UdeyQ4qz83gzmBLGZMKm/md8IiDva/83Ig8z8jgZrH2PFtWDlO053Qgtx&#10;V/5uZPV4ZY1Hk/V3d1vb+v0e1ndXKPzg08qH0ELRRe+aJmUdyEQoK/NlXS1USUlISjWkqF8xKL1p&#10;CQh94fkoKkkoF1mSUCtjJOUiYPWNY7KkIvYbebptwvq6/1KIQ/+l6EdS5wasj3Fa+UWkhK9G1hdI&#10;tU0aiR9g+yAVg1Q/Zb4W0FJjiK05IudXS5w8riU/vR6teef1gDnhMXmuWBwdpxFw39X34kcWza/k&#10;NSbE/en2u9bqh/KO4ziO43QsDz78WM39GXyyfUfzhLiD+wz8oT7BpMkz9ntg31OQkoiW2SC5MM8S&#10;uoCsD7HMKgNi7VDGs3Z0krCcFmXk+aUMZEHhRrdRJOww35J0UnV5vtTYWLeshJOSe1J5jcA2rb4y&#10;T0uVJNUn7lAIYmKVlBYbGVPRXHfGekRbsXHLazA1brYlpTm5s1xRX8oACZDjJxDjYucoijnJiUcR&#10;qXWWygPMK3stOs1HC3G/OPrE6vEcIe7g/gNHyrrgpluG7ffAvjtD0SV3xyLugGQJXNxBDsKKPE6B&#10;RYs/MYokJ8BzpQSqlBhDCSgmosm6MTGJbaT6UIQUZJol71ikYpoz1pQQVCQLMaGclQ8aiSWT1T5T&#10;6txlkGNNzRevk9R52Vaj14vsU+walnMsRSzIbUwpKVaW02PKOX9sfhFDppjgJsH6ZLLyCVNOmznI&#10;MVr5AN+hSLHvFMJyjXxv9Cb6D/pVzT04JcRZf3c/sfScL/SD+t4CRSsA8ccq01WA8MS+WvmtRp6/&#10;FfJVCu4OZ4lQ98wZ9l2/NBCoMK+olyvxLXjkhKr0R/kK4Pxsx6rzHz/47zXnjYH1ZtWXcKwAfbHK&#10;SFopC1K2y+1Lq2Ffmrn+IHqy3djug1g7nBesDZmXWn+SovlBfCEeyvkHmINzzv0/HS6hOq3nl8OO&#10;rLkXXzT5+OrxyrxHk/V3d08R4iCuVIZYRYsxkpgQJGWdIpkIn/J4kazEfF2viFi7Utixxirz5fGO&#10;iBHzrd24QCpWkJJwHGV0HmF9CFTyuBxzbOey1LkB81LnT5FqX+aVXV+gqO+gkfgBtm/JcpLUrmxS&#10;UNNSYmwMso48rmEZKc3JNa3XHGU3fgItrFoiHvrN8jFBz3EaoRlCHJJu45Y7p2+1Hsw7juM4jtNx&#10;tFyIs96bftHE2/d7YN9TgKBWGXZUAOLuVBBerPwiyYRQdtECEesWSSixfuSeH8T6AMGHbVgiDutZ&#10;O3SlZJ/Y+SQsU1bCSY27TEzKwDatvqbyCMvoPuXEqVljSs0XYF7RfLRyPUpkeznotuTOehiTtQNi&#10;veC6ke0DS5wtijnJiUcRqfgXzQ3ziubeaT3HnnRBzT2YQtxtty0+sDJHyWS99rynCXFSMIHIUbQr&#10;lRS49E5RFD20WEN5DQmST0okAil5i1CwyU26nZigQ8r0oRGxBTGkAIVPyEq5O2WVITWenLHKMjqv&#10;SBZi0iKVpJFYMlntM6XOXYYcMQqUTbJu2eulbJ9kLHLmnsREvZzzs4w1v5QHkVBOf69I5Llykhxr&#10;I+SMkanonIgfkhYhHZsBg2t3mTn+lCPCtDuGtbXfpmuS9Xf3/Md7r2ihRaau/DrOzhbiKP5AFOtI&#10;OUoKS9ZrQWVcioBYpOtLICRZ9SRWPaucRZEQp+UqLV/FoLyH+lZ+vSBeaBeSVld4JSvj0kwhDmuZ&#10;7VrrGuOW3xP6OyJ3/cWEOIhuUjxMUbR+ne7FsJMH19yLc4Q46+9uvLrNemDf3ZBCVA5lpTbAMrqu&#10;3InKkp1iglkRsT7JV0Fa8ldMeuqIGDEfZa38VBs8nousK8cWk/1kGSufebG+F5EaW07sWKZeIY75&#10;ucTqF41fxlGvP8pycsc1EhuDPJ6D7h+FN70DHGU3CG6W+CZFPC3KUS4EOJ+186Pj1IslxM15YFb4&#10;2zc7nqusuexUuae3yTb+cPPtbdaD+Z7AQw89FH70ox99d13i540bN1bzeHzUqFH71esIDjjggOr5&#10;p06dul/e+PHjw09/+lMzryeQGntXY/DgwdW+4tPK7w309PXoOF2FxUufqbnHg7Ufr4MQN7byPdR4&#10;sraJHXfhH/d7YN9TgNBTGXZ0dye5M5f1KswiyYRYsousa7UtiUk1uecHMeEGEhzjAMGHO+XhuDyv&#10;1ceU7BM7n4RlYhIOBCbsoMZyFnrcZWKiwZixFnA+xkRj9TWVR1hG9yknTo2MSZKaL3mOzlyPEvSD&#10;7eWgd+jDfGppDecrGl8Z0JZcK3rcqZhLcuJBWnFdMC+1hp2O4cRTJ9Xcg/sPGlE9Xq8Qd+2UY8yH&#10;9t0ZSFgyQdSAlGOJKZC1mKT4AWmHyRJ45CtIkSDPQa6z5K8cSYfyXU7CePRYigSsnD40InFJEC/K&#10;RkyIV5GgVIbUeHLGKsvovCJZiCklChXFEusE6wX5OlZMVvtMRZJSLkVjBVhrZZK1o1iZ6yWnT4BJ&#10;xkLWTYloIDZHOednGWt+MSYpxSGhnPVKUR2XolQk+OZSNEZ5fRS9CjUnXs7f0ULcMSccgeMb2m/T&#10;Ncn6u3vWA2fs96C+NyBFK9KVhZPOFuI6C0pqkIas/FRcMMeQ0OSuW5CbdDkgdwvUr4WFKIW1AfFM&#10;1iGs16iohfOyLZIjorFerkDXXWFMOlKIk5KkJTQ2cl1ijemdCLELIfoBIDji/LIMfrfacrofWog7&#10;+8Jjw5btE0yZncn6u3vV6jfMB/bdDf16xCLKvM6RsIwWliDBUbiBSMOdsXBctmu9QhRAMIJIJCUc&#10;ja5DyQ7nlVISzsG+6FdadkSMmI+yVn6sDSn55aCFq94uxDUaP8C8nPFDPkNZLXla4hmJjYESXS5a&#10;wpPrmuIad3lDf+Q5ZGyxvnHMepUqrl19PaJu7Bp2nLLoe7ELcXEgw1WGux9Lliyp5stjum5HwHNf&#10;eeWV0bzO6lurSY29qwERDH3Fp5XfG+B8ASvfcZzmYAlxy99Z2Voh7uxx1+/3wL4nUFa2sXZIK5JM&#10;iCW7yLqdLSBxx68YsVfGpmSf1PkIy1gSjnyVaAo97jIxkWixKYbV11QeYRndp5w41TsmTWq+5Dk6&#10;ez0SyIm57aXAeHg+Yl3P9SLFWX2tpGIuyYkHaNV1wbzUGnY6Bi3E/eTwo6rHc4S4g/oc3lfWBT1R&#10;iAOQYSDBSdkIP1uCFHc4gqTDY9zVSh7ToC0ttECE0SKOlEus8wP20xJscojJPSSnD0VtlIHClxb9&#10;cMwqX5bUeHLGKsvovCLBhwnlrHyQiiUEo5gEJ5PVPlPq3GXIkZkgODI1cl7EPOd6yekTYJJ9knU7&#10;S4gjmGeeg0nvRsfvHiR5vNUUjVFeHy7ENZcjhjcmxN02Y7T5sL6nI3e/4g5NsV2cugK9VYijzBZ7&#10;XWlOXCCVSbHJEh+5C1hMmEvBdhsRtdBHtlMkYWmkzGfl9xQ4xo4S4rDmis7ZyHUpd56LrW8AcU6W&#10;bfZOgE7ncNJZQ2vuxVUhbsdE897NZP3d3VOEOAg4lSFWiQlRKRoVluRrGS20nAYg3VBsK0LXleO1&#10;gMyjd6vriBgxPyZVxdqQr6mM1U3R24W4RuMHytSnTAa4zlI7roHYGOS1I4/nImVAing8F4U9Kc2x&#10;v5T6tPgpQT19jWoJ0HHq4ae/HlJzL542fVr429+2L6yssex0cP+BG2Qb1/z+T19ZD+a7O9wBDp8r&#10;V66sHlu2bNl++Z21QxzODSwpjH3rqbuSpcbe1WiFENfddp1LrUdcU5xPeX05jlOeF5e9WnOPB+1C&#10;3MjKNdacpE/QU4W4IgnMQr9StEgyIZbsgrZYt0hCYV+///1/qjmee34QE24o82AnLfQD52CbKJuS&#10;o1KyT+x8EpbR45fjQhn0MZavx10mJgRzQRkO48eY9VyzTWuuUnmEZXSfcuJUz5gsUvPVVdajpFnj&#10;JthZTV73ReMsA9vU40nFXFI2HijXzOuCec2MiVMfo8+6quYeTCHuxhufO6AyR8l0cJ+BP5R1weSr&#10;h+z3wL6nIQUkfOpdqeRrViH/4BhFrhyBC+1JKURLMjmCVkzOyaWofkf0IQbOJ3fMip2/DKnxpPKs&#10;MjqvSPBhQjkrH8RiibXCtYg1hrWp1yOT1T5T6txlKBorYWrGeYuul0b6JK/l2NwTzgMkPXk85/ws&#10;k3OtQMyT4pvsb+5Ym03ReTFHTLK/FpZQ7MQpI8QhybKgtwpx3HUJQosUirqqbNKIeNNdkbv4Wbt3&#10;gTJxka+mlDvAAR6PiU8pGqlLKF9hXUKOowiYI+hhLOxDT5alOMZG4qyJCXHyeGpXtnqvS/mdk7Mz&#10;pbwWurK46+SjhTj8XjmeFOKsv7vfeOt582F9dyNHiEpRJBwBltHCEkUgSGgoQ9GGZWO7SslzQpjj&#10;znJWvjwOAQg7XwEIQHInK/ZBy3CgI2LEfJS18lNtFNVNkTM2WcbKZ1495wepsaXyCMvUI8QB5tfb&#10;/zL1pYTG9c1d2GLCWGwMOWMrgtcAPuXv7BuuB54Dx6RAqK87C4xXinv1xthxSDOEuB/3H7BCtjHp&#10;6uvNB/PdncpQq3TV1zyyf91BCms23WnsrRDiWtFmZ4EdFzmf3H3RcZz6sIQ4HGuyEFe7TSwezusH&#10;9t0dKf/EXpdK5O5PuqyUTLScQuS59CsdKWEV7VbFcnr3qSLJRRITbigI1SPCpGSfHMGHZfS5uQsW&#10;xi2Pk9S4y8SEyDnmK2M1zLfilMojLKP7hDllnjwukf3LHZNFar5AV1iPEghsbE9fO43A16imzl0W&#10;9rOVO8S18rpgXmoNOx1DTIirzE9h6q1CHCgSZSjHYGc4KUsV7TIl4a5ySPK4bC8m6cids7QglUNM&#10;wCI5fShqoxHKCDY5pMaTM1ZZRucVyUJMqXHEYmnJlxomq32mZsQQFI2VUBC1XodaL7HrRfYpdi3I&#10;OOJnHkdMmVIyqyynd0DLiQnLlLlWKIXKOjg3kxxHq8kZI78T9a52mphY6NhAgJP3YAhy0+4ctqL9&#10;Nr1f0n93//6Wk/d7UN/TgTRUCUUVyER6dy6rDuHrKbmjE8QWuXsTfk5JSRBtcA4pZ7EexJjYKzIt&#10;8UZKMqlzSmEKdXgc50K7uv84pvshzyXbIDgHxkWRC2CMOTucxZA7dFn5oIyQJCUnLSHxeOzVrClY&#10;F32x8nPgHHD9cQdDoOU9Cyl4Wvn1ICW9WB5f04rYyle+Yh3k9AXrQ9dDDKwxs0wzxyjXBH7GMZyb&#10;8cS8xK5JUGb9SeSYU+1LEBfWsa5Bp3uBHeHkvRhC3ObtE6P3bqT/7HP4gbIOePaFRebD+u6GFHRS&#10;Oz7FyJFyWEYLSxRlykoylHbKCkTc6c0Sp1J0RIyYH4tFqg2KhJSayuBCXGPxA2w/d/x6/fJ1qTkC&#10;qDyO8jyuX4eai9z9UK5z/MwyiCuOob8sb70uNQXHXPbacxzNESNOqLkX/+GmqeHbb3fMqKyv7KSF&#10;uHGXXG4+mO/ObNy48bvruatKOuyfC3F2ma6CC3FpXIhznOaB3eDk/RlAiKvkHVm5xpqTeoMQJ1/F&#10;COnGKiOhAASRRh6XkgnKWDKVFGK0iCJlqJiIlXptZJHkIokJNxTiMLacWEhSsk+O4MMyWsJhn/QO&#10;ZKRZMSFF6wFzw3xLGErlEZbRfcJudMzTwiXAubn+rPplSM0X6ArrUUN5DTHQu/bVS+65CdZham5l&#10;XPWOijJeqf7n9KmV1wXXWDPFQ6c+sCurvAcDHK/MT2Gy/sf8xMsHmw/texpFkhTlHMgdlNPKyj8x&#10;yUTKNzHpRQo+aMcqkyImYJEcSayojUZhqmd8mtR4csYqy+i8IllIypNWPojFEpIWkyVbyrVixYmp&#10;GTEERWMlUl6LxbQssXPL47gGLSmO8cVc6HzKe/iMCXXc1cyqnxMTlilzrVhrAudmKtNWo8h1GIuR&#10;lHSxLq0ysp1mrYuezvGn1ApxAwaXE+Ku/N1I82F9T4ZiCWQXfYw7dMnyEopsEJa01CaxRDAplcWI&#10;nT8m3lDcoZhkIeUqto1PKcJptHRkiUME42I/LHT5XKx50pQVkmI7r0lBqazEx3r1ilpSWKTYKI/l&#10;tMu1WI/QFyMVW+bhfHJ9aTCHui6RgpcG60lLX8yrN84Wel3L6wJrJfVdAFIxSsE6qetWI0VeCrlO&#10;9+WiycfX3LuHnTy4UIizXnv+yKL55sP67ghlFYg51g5pKRoRlijE4fxSwCmCApH1OlXAdnWfKPOg&#10;fkz+itHqGDE/JlWl2pCv4Sw7rmYIcZyPemRBkBpbTuxYxpKtpPAVm7dG4gdYNzZ3GtknKbXF+heL&#10;gdy9rV7RTEpwFN+07CavG14HsWsvBtuut5+OQ44bfXrNvfiKa68pLcQd3G/Ac7KNnijEdQdJh/1z&#10;Ic4u01VwIS6NC3GO0zzWfryu5h4PFi99BnnNE+L0e9NPPHXSfg/suzuUbLTgFoM7MwEpTEnJBEAq&#10;oRAD+UUKKpbogrYoorAupRnkSdHG2rWrSHKRxIQbufvY/5+99wyyqzrz9e/HW1N1y3aVv8x8mMFz&#10;q27V3A9ju7jgO3cMCowRLRASKIssRAYRLJMxIpngAB5jQIAiEiIJkUGIDCKZKIIEQgiUBYiWbGyC&#10;7v2v//kd9U+859W71l77nN2tPt3vqnrqdO+Vw+6l7v1obQ3GB+nRf0sUSwlWsfokTKNlIzluiOOY&#10;QNKiFER0v8uMCZHCG8pnX/UcAN1WkIojTGO1CYIT4vT6wddcH6n8uci+WPG9YT1q5PrEOMk2AdSD&#10;9Yn2SokPbUXZMj0+5drC10yfQtaPulAnQNnsB7B+nsgx4elxGEt9omTOeHTnfcH65TiijbwXnJ7j&#10;9DN/37DJg99d/cCW2vwUBusP81PO7VtCHAQXyDtS4MDXPJ0J8TK9TKODPjkKQPqAaAMRRApNENoo&#10;SlknKjFQ8AG6fLYRATIK2sQ41IX0kGas8i3ZRiIFsJi4UlRGDsiLtkvxD23PkWvKkOpPTl9lGh1X&#10;JERxnDDf7Av6K9dDbCyRngHzyDz4lPUi4HuZFzBYcc1Q1FeC9nF94xP5ZH/RL9wTvDd4HeNc9n7R&#10;44D7gvOIMuRassZByqXIK9ci2kkZDkG2leSMCdPo+cV1XMO9StEMn6iHQdcpZUPkle1FXnyPPmO8&#10;ZL5WkOsfZeMaxlbWredc9glxcpysn0mOzcQTDmrYgwcPOyBMu3Hck13b9E5B/290PJS3Htb3VSC4&#10;1IahjhSfpGySEqK0BAehhadZQaiRkpk+5YriGAQiKYmhTVKsQbzMB2LijSW7aSiBSTlJnv4lT5dD&#10;G5FOS0daHJJxlMnQdykxoVyMl06fS47kVVZIkvMnr6PdvA7KtJt59JjlwjnEPMnrUsyS1y0ol2E+&#10;rfhmSI2tjANoK8cL675IMJT50XbeKzKvlsWYvtlxttDrWo6jFvIsUmMUQ661Mn3B2DSTz+mdQEaX&#10;e/H+Y0eE1RvPje7dCNbv3fPumGM+rG9H+OpSABkGko6UcyAJQRqCEJP7elJJTFiS9Wog3iA96tWy&#10;HIU3tEeeqoXyKOwQmQ/lUN7SoN+oD6KPJUV19xgxPiZVpcqQ/cIn0soxQ3sgNaHd+JR5pewWk8Fk&#10;GiuespPsO8ZLz1uMVN9yxo5pLNlKtp0SF9qF9jFNK+MHWD7y6TgLlM08KBOfKcEsNQZS5kP/Zb+w&#10;PvE9yka/ZD4J20BQpoxH/2U8kPUQtBNtkPcGPinUAWv8HKcMWoibcv754f9t23B1bX1lhz0GDV0o&#10;yzhm8pSdHsq3K3g9aq2LpZg0aVK0nJEjR9a/h+iDr5nnBz/4QZbMNWPGjPDjH/94Rz58fdddd9Xj&#10;eM0qh3WxfiuOr4JN1RED8bI/Ft/97nd3yoe6KHMBjAPGb+nSpTulTcH87Ds+URavo20puQpxqFe2&#10;BaDvU6ZMCTgh0MpHmB99RD58xupMyWsYD5aR82pepo0RW1MoW/cV3+N6UV9jcE3njAHXCj55jfdI&#10;ClkG0WsI4Htct9ID9BFjo9c5rjXbf8fpjazfsLFhjwd33nN/6OzsHFhb99UE/Yf5CUf9wnxo365I&#10;+SlXiJF55AlKUjKBHMOvNZBMYmIJpBNKSDEgq0gJiBRJLpKUcMO4IrTEkxKsUvURpkE58jr6SmnR&#10;QsbpfpcZE4k8HU2D+aG0ptsKmM6KI0xjtQnrK7YGcF1KYWX6pEnNF+kN61GTurck8h6TfbXIlWFB&#10;UVkA5VljAqy1rPudMx7deV/INSYpmkenes4674aGTR789ncPfFybj8Jg/WF+8pSDzIf27UpRkMKH&#10;RgppCJQ/JFIksQLEESn+ECm9yCDToD7dBitQYJHEBCwi2025SFNURg4sIxZSp6qVIdWfnL7KNDqu&#10;SIjCGrKCrCs1llLo0gHrhyecoR06L4MV1wxFfZVAJqMglQpS9JTjbAXrfpFtSo1Vap3KMmIhthZz&#10;xoRpdBuK6sX9LdOTVD8ZsC6svM1i/azR/cFaL5pz5LF+Vjo2Wojba7/9a9fHLuzapncK+vduvLbN&#10;eljfV4GcUxuGOloggwSD61rEkUihSgpmRAo2ZU8aSwlgMfFGyjXWqVEyXopvrMuS7yy0OCTjrPKr&#10;gPORamNZISmVHvPFOkmOGCfTx0iNDYVF3U9Ki6BIzio7DjmkypRxkOH0vYTvOZb6PkEc88buNfRd&#10;52Me1C2vt4Jc11Liy13LchxiYHxkHlln2ZPemC/1M8ppD7QQN2jYsEIhDkHmAX1JiAPypKoUWnJK&#10;yTqEaSxhiTJVEVLAgaBDgclCSnGyLiDbm0JLQaA7x4jxSGvFF5VRNCZECoSgCiEOc8N4Saw8Tapv&#10;OWPHNNb6AlqStNI2O36AcbG5s5CnGAJLMCNFYwDhTZZlAenNygukVAestkhpLibXyXZaYB6sfI5T&#10;huNOO71hL25GiNtzUMdMWcaESSeaD+bbkRxJR2OJThBtGAfBSuchlkxHtPQjQT5+bUlQzGu1jXFo&#10;V6qOmGCU6o8EgpTMJ9ussdqZgvnQFik5aaw+LFmyxEwrQdtjohTKtPIQXWdsLiAVMg/6kCNmlRXi&#10;0NfU+ACIhEgn8xVRNAY6vTUGZYU4jA/LiWHdT8iXGgPr/nGcdsUS4mbNuw1C3I9q672aoP8wP+rQ&#10;yeZD+3aFpyxB+ilz+hFlEymsUJTjKwzxvTypiSdKxUQZgnYgnRRa0D6UBRnIygOkqIevrTSE7dIn&#10;e6Fe1qfLQLsgylAGQxoZL8dSXgex+iRMY4mJGDOISKwbYHw4HqgT13Sby4yJBmXLOUDdaAPakmor&#10;25ISLGPtJRhrSHlMh098zzXKcSjbJ0lqviS7cj3G4PjI9YA24X5EWzlOBHOG/lI0I/g+NU8xmh0T&#10;gLbIueW6kmlyx6M77wvc67J/GCs9rk73YwlxF11yy7ranGQFnbevCXEQcCCXUCpCwNe4BqHHykPk&#10;KU6pE48g/CBeiiKQSyDYpMQQyDJsF/LG6uBJcDKgfKSXspEEcQixMtF3htg4FJWRA+QmjIOUbdjX&#10;lIxYllR/UnE6Ddqm47gOrDiCvsg+Yr6k2FU0lphHmR/rAusD64d5rdPLuOasuGbI6asE7UM7ZdsR&#10;0H/cY5aAWPZ+kVIZvtdjja9j94Ek9bPAaifJGROm0fOL/iBO37/4vmjO0CY9Tmgv86Z+tjQDysNY&#10;sD6uQZ0udU/nzIPTyPGTdxbipt00LvrKFv16lv4mxFEEs4QSedqaPt2NML+WXCQso6y4kysg6Tie&#10;JGa1iX2CnCSvU/7JeS0kSAlxOSJhM7C+1DimxsWiKD3mnaeESTDvsTWh01rE5Eg5rlp6k+KYJV9K&#10;yo5DDqkyZVxs/fBewae8LqXUItFPwjyo24pvhpgQl1uHHIcY+oS/1L1UBPPpMXXaj9/8cWLD3g0h&#10;bs2G86IyO4N+7fm0GdPMh/XtDEQuyDVafoE8BGlGi16Apz/FJBnANJCA5HWKOMgLIUnGoS6IOWyL&#10;Lp9txXXEs3xIWDzRSueR4pYWm3CSFfJKQU+3CXTXGLEfsRO0cspAHyAlaQEMbUObLUGNYwWs/so0&#10;qboxtrJe1GmNhUWqbzn9Zhq9vgjGRa4VzJ0lrzUzfoDlxubOQq7FIlEsZwzQNvSfbQHoJ9qO/Oib&#10;lQ9gfpkPn1ZaKbtZsihAPtSFOpkWsA1WHscpixbi8P22rzdMra217LDHoKFXyzKGjTvCfDDfzuCU&#10;q1pX61gnXoGY6AQoxBEIOSwHp6HxxCxgSVsyPyQfylIoQ8s9zQpxBG3hCW26fH1ymxwXtIvxsk+W&#10;TCYlNHkqGfKh/fLksBxYFkEZsT5o2Qvfo42Q6TgnAG2S4454mQ/I/qMOli3zahHQmgu2geXo8Soi&#10;Nb8EZXIcUJc17ogDkOLKtIFtl2sA+bGWUZZOn2qvHFM5Hxq5vlBPrC/4WuajeId88uRDzAHar9M7&#10;Trsj92fQJcTtVrsPqgn6D/N9TYhzvgVyTW3K60CGsdIAeXqUFe84juNUwwVTZzZs8uDCi+Ysr/38&#10;zQr6D/N4OG89tO+PQEhhqFLechwnHy3EOU5fQgtxoIwQd9RJY8yH9X0R+cpB6wSootPWQEzykTBN&#10;WXFHyjVl4uRJYlraip0+hv4zD0S6ohOxUhKPFAkhFZWRnFKwzNQ4psbFQrbViicU4+SJcfja6hvj&#10;y843oHwXEywpaWmhUSPHoaxkFSM1tjnjzjT6XsmdAw3zNDPOMfS6llJczilxOeOgkXU2e0Kcvp+d&#10;9kMLcaB2Pbp3M/QHIa4ngTxTG9Y61olURIpDVnwZKDrFhB4g2xUToBzHcZxdw0WXX9awf+MVqt98&#10;s+602s/s7KCFuMHDRpkP5duZHEknJflIQccSnvC9lIpicVbZiEcelm8JPam2MQ7ouoHsu5b1eDqc&#10;JT0BthsSkrzO8cBYyOvNwvYBSyiE7MR4q48pUmNHwSwmkGHsdB91ea3KcCDVRiLXYGwNy1ParHG0&#10;kOsjt+2p9sryYu2U84mvrTTsL8ZWXmfdluDoOH0R7Mlyj772xhlVC3GN700fNuZY86G90/4UvUaR&#10;yFdGWvGO4zhONVxy2fyGTR6cdd4Nr9d+/mYF/Yd5vL7NemjfH8FpSQg4KcmKdxyn+3EhzunL4FRW&#10;uQeDa/5zzHVdW/ROQf/ePXbiyJ0e1PdVKI6l5CKetqZPdSJVCHEQYiBCsS4LnScl3siTxGSdUvCz&#10;RC55UhfAuEC0sU5C0+KQjtenqmH8MN45p8/FYFkpAaqskMS5yU2PsZCSlDXvjEu1MwaFu5gYJcXF&#10;1Ct45ThY89MMqbHNGXem0WPGOYhJgDFYXzPjHEOva6xXSqSYG+tekOSMg0bWWaYv8n6ucgycXcP1&#10;M49p2LfBm++eGd27GfYYPHSVzPPbP1xjPqx38oBsVhvWOinxTJ5MZcWXgeVYp4OR3HY5juM4PY8W&#10;4oaPPzx8/fWGI2s/s7PDHoM6psoyXIjbWfKRMlJMGorll6/SlCdaSVAm0zQrxKXktFjZqXJlvM4n&#10;xauY0FQGlpWSnNiWmLwXQ86dvI6TyHhdC38p5JihjFZlOCDLtOIB+s16rHjCdKmyJFJOyx2HVHtz&#10;7jWKmKk2ynLkGuPJcjGJ0XH6GhEh7ru1+6CaoN+bvt/BR5gP7Z32R54Qh1cl4iQ4XGM8Xq0oZTi8&#10;9lHmdxzHcaqlAiGu4bXnhx493Hxo39/AawEZ8HpAK43jON2PC3FOX2bKuSMb9m+QEuL07939SYij&#10;6JKLJZFR5rHEKMI0WlqBbMO4ImQ+UCTeUNqSIh9P4orJfQDCD9JRzAL4WktVWhyScTKNFuMgPRVJ&#10;RTFYRkr+KRoXDfuZmj8LKS/q/vB6WUlJC4lFYI6tckDZccghVWZOfUyjx5r3QNk5YH1lxzmFta6l&#10;eFYk7TU77syTmlONXC85p9c5vZs5d5zQsG+DHCFO/96Nh/LWw3onD3kSG05uw0lw8lWNeI2jlOHw&#10;ykqZvxl4QhxeC4lXpspXeuJrXOOrI/G6SZnXcRzH2fVARpd7MYS4bV+tG1H7uZ0dtBAHrIfy7UyV&#10;QpyOI0yj8+fkBUyj5TOQalsqjjCNLpsn01mSFWSj2AlxUgTDp3zlZTOgHKt9ktxx1MTySVExtiYs&#10;OJYYM8CvW+l/zhyyrakxAvJVpFa8BfvB8vna1Bip9pa513KR5ch5Q7tjkqnj9BXwGnO5P19x9bVY&#10;/9WFnY+JHW8+tHf6BhMnfvtHwBT/8i//q0GWcxzHcarnyqsWNGzy4JQzrnq89nM4K+g/zI8+3IU4&#10;ICUcyHFWGsdxuh8X4py+zHkX7izEXXLpyGu6tuidgv69e/+xI8yH9X0NKbnkYr2WMEfmYRot7kh5&#10;BuKYFu5Sck2ReCNPEmO5FABzX8sI4YbCGD7l6W45QhxBPtnesuITYf7U6yGLxkUihaKyr6qU9ej+&#10;8zrSyOtFyJPncomduFdmHHJJlZlTH9Po+ZfSpLxeBPOUHecUsXXN0yRBVetPQsES95kVbyHXS2wd&#10;OO3DggdOati3weKnT4nu3Qz69+4p559vPqx38oGAVhvaQvbdd1CDLNcskOwovKWADIe0VhmO4zjO&#10;rkMLcfscOKq0ELfn4P1Ok2WA9Rs2mg/m25Uyko4l+eTIWEyj8+fkBUxjCU+ptqXiCNPosuW4QI6j&#10;CIVPilXAEqRwahelOFlGbHxTML/Vd1I0jqgX9Uu5SyPTy/LKyGwcS57EBlCnlTaXojmU81T0KtSi&#10;cbJA//W4oS2xulLtlW2NrQU5dkVgjen1h3bpNDh1rkjkc5x2ZMKkExv25wsuvRLrvrqg/zD/0yEH&#10;mQ/tnb4DXpeK099wSlxtCezg+9//h7D77gPrJ8dZ+RzHcZxqufqaBxs2eXDksee/hP05J+wxqONJ&#10;mdeFuO188cXmuoCzefPHZrzjOD3DihXP1u/Fbdu+MuMdp52xhLifn3XwL7u26J2C/r170LBh5sP6&#10;vgZPS8sRUFKySitCHMuNnQqVkmtyxBvKbOirFH3KnNAmxTopCMXEoRQcc2DFF5Ez1rlCEgQieUJg&#10;2VPrZD1VnBCH9jBfkZwn5ySWlpJZGcGqiFbXI9Po+ZOymXUKYwzmKTPORaTWNdcfiJ3IljMOFjJf&#10;Tn9kOzHXVhqnvbCEuJnzj4vu3Qz6924X4qoBryXF6W88vY1AShszZnj95DgrX7PgJLhzzj61LtnJ&#10;+iDK4RokvSrkO8dxHKd6ps2Y1rB/g23bNgys/RzPDnsMHnqkLsOFuMa4HMmIaXT+XEGJaZBex6Xa&#10;loojTKPLhghVJCelBCzkx+lxuowyryAFzGf1ncTGEW1g/4qQ+XLnRSPHW4pZqde9FiHLtOK7W4gj&#10;KFuPJcRInS7V3px7jSJlrL85QH7DmEspE1/H6nScdkULcSdPOfevtfVeXdDHxLoQ5ziO4zg9h9yD&#10;weGTzn6qa4suDPoP88PHDTMf2juO4ziOUy1TLx3VsH+DEyaPuKJri94p6N+7+4sQR1ksRyaRwo4W&#10;YXIkLabRoktRG+QJUDouR7yR0h8FqaJXPmpiglBKHIrRrCxEOB6pV77m1AGBjTIi0POC+cacxeQs&#10;yGucO6stsXJTyDWWI+ex/th85qzLsqTGNmfcmUa3Cf1l3pgcitP8dBzzlBnnIlLrWs47Pq15yhkH&#10;C1k2QH+tdADrUqbNWS9O7+fhJyY37NvgmuuPiu7dDHsMGrpQ5jnutNPNh/WO4ziO43QP8+6Y07B/&#10;g3sfuvdfu7bqrLDn4I4RuowVH6w0H8y3KzmSTkryyZGMmEbnzxWUmAbpdVyqbak4wjS6bAhFuI6T&#10;1QDlInxChCojFyGtPGWsTF7msfpOYuMor6MPOLkuFi+vS5mtTFv1eKNOllMkq8UomkNIf6wjNUaA&#10;J/tBUrTic9AnBOo6U+3FWDJfbFyL+lsWjLtcuxgvK53jtCPHTJ7SsD+fcPrZW2prvbqg/zAPrAf2&#10;juM4juNUD0R0uQePPvTUEkJc4x/mO0a6EOc4juM4PcHlV41u2L/BpBMPPL9ri94pWK9nsR7W9yXk&#10;CVuxk54k8vQuLa/liEdMo8UdCl6QW6QAgzZJYQvIfCBHvIE4I8sAMdEGbYBAJyUwfM12IF6mj4lD&#10;+BqSGAQvKeqgT5R4YtJTETl9lmnQFgn6TjGQWDKiLANtRT6WgTGSMpK1fhin5zsFxzkmuGnkaXuW&#10;EMU2Ip2Ok0IV+qTjY6TGv8zcWPcK7wWANrNP+OSc6XxMb40z60I/ywhjGA+Wa42NjLfmKmccYmCd&#10;MS9Af3EfoU5grV+r70578tpbv2jYh8HlVx8e3bsZ9hzUMVPmOeSY482H9Y7jOI7jdA/3PrSgYf8G&#10;VQhxr73Rt1492KqkE5OqJEyj8+eIV0XCU6ptqTjCNLpsSkSxdpWljLglYZ7UKWuU7fTrSXndOskM&#10;xOYO4hyvlznRTo83+sw2YDy1kJdDzhxyrmL9JEwHUc+KLwP7pduVam/OvSYlwqrktbvuuquwXsdp&#10;R04/58KG/Xnk4ZP+Vlvn1QXrD/N4hZv10N5xHMdxnGrRQtxBE05+pGuLLgz6D/MuxDmO4zhOz/C7&#10;a8Y07N/g4EMOjJ8QZ7yeZfnKs80H9n0FKaJZ8RZS2IEgx+uU3SzJhzCNllf0SU8aKcXJfCBXvJFl&#10;ANl2iUxjocWvmDgkr1uUFZQksTolclyKiMlEaJ98nWqMmFxopbWA7IT0UlzktSJkHi29of2Ms4Q9&#10;eRpdGaEqteZy1iPTWPcK1qVeqxKsG/RZ5mGc1QfecyC2VizKrjE99jIuRexnD9ZU6meCxhoXpz3B&#10;vqv34hPOGJdzQlzDa8+Hjz/cfFjvOI7jOE738MTTDzXs3+DI44/fq2urzgq7DxgyUJfhQlxjXEyq&#10;kjCNzo/TtpjXkpmkUAUskSzVtlQcYRpdtpSnqhKTUJ5VVwrmAdYpa3L+Un2Q14k86UzH8VWv+LT6&#10;D7lNn7RmjTfSsR2Yy7JjyTYirxUPpEQWk+4g9jFNFVJYbG3FrgMpGkJS0/FAymtl1kmKnHvccdqR&#10;Cy69smF/3m/khC9r67y6YFnxLsQ5juM4Ts8weNj4hj14yEGHP9u1RRcG/Yf5vfbb33xo7ziO4zhO&#10;tfzhj2Mb9m/wHwcOvbhri94pWL9393UhjsKJdXpWDIhFyAOkKENRDp8yvYRpLNmJJ2BJCQbpUQel&#10;J0ueodRkxUmk/JRqI+pDO6QIhq9xzRJupJCl4yH1oC7ZJ8hOGO+YkJcLy7QkKCDnSYP+QJTCmOS0&#10;I9WPlNSXErskXA9yLsvIgqxHC2ZoN+uw+imlLUuYi5Fac6k4wjSxdYi2om1y/DBnsfHmvHAcJcjD&#10;9pQZ09S6lqAPLF9eT60/SWqcMA7oE+aVfWQe1Iv5RdsYh8+YvOe0D5YQN+6og39dm+Nk0L9373Pg&#10;KPNhveM4juM43cPLrzzVsH+DPQYM/VHXVp0VkF6X8cySF8wH8+1KjiyTknwg7TC/jiNMY+WXMhPS&#10;UZiCGCRlOMbr/Km2peII0+iy+cpUC+QBkKy04IXr6JMUniD+5UhbFrJeoMeIshk+dVsokyFOynTW&#10;2Mp8QApk6BPbjDrQBtYr83As8Smvy5MAi05x06Au5mUf0Ba5VjG+chyQjmOBOFlGmfqRD32R5eFT&#10;jo0+QS82BoT5KAcCOTdAzg3WjVwv6A/So3zdF/Qd61amx9csD/EyveO0O1dcfW3D/rzXfsO/rq31&#10;6oL1h/lLLptvPrR3HMdxHKda9jv4iIY9ePAB41/s2qILg37tuQtxjuM4jtNzyD0YlBXinnmxNWnJ&#10;6T1AlKlNc50y8lNvha+MhDRlxTvFkqaUxVoVFJ1dB6Q4KQ9WIZw6uxa9Fx847sDo3s2gf+8G1sN6&#10;x3Ecx3G6h2XLX27YhwFOfOvaqrPCDwcM/64u48577jcfzLcru1qIgxCk5SwJpSR+rfOn2paKI7Gy&#10;0S5KVimQBpKSLi9G6tWnFswH8SrVHingEchQqTxy3HVeICU+Cy1ypcZbCoZaIkshZTeJni8pB8ZA&#10;uzCvMl8KrtsYGD+dJzUGICZayjRF9wTB/Mh8VhqJtUYcp5259sYZDftz5UKcZcVfMHWm+dDecRzH&#10;cZxqGTbm2IY9eODQMfknxBmvX8OJNdZDe8dxHMdxqgUiutyDfzqkI/ratZ8MGLKbTAsefmKy+bDe&#10;aT8okOGkLSu+3ZAncJU5+au/ACGK44OTxKw0PFksdsqe0z5gvik4Asytlc5pDwYNG9awFw/Y/4DC&#10;V6ZaUntn54fmA3vHcRzHcapnzdq3G/bh7XSM6Nqqs4MuY9a828wH8+0KhKNaN+vIk6UkPGnMOl2L&#10;p2VBRtJxhGlip3NBAIJ8xNd0Mi0FPYpZlkiValsqjjCNLptCEj61RIVxQnoKWLJ8jCekJyk0IR3S&#10;NCMksQ6Ui3ZgLHgNn/oEMQ3yyTwAbcHYIh/LsfICnkbGvKzTkic5lnI8JByTVH0WaCfLBijHGsvU&#10;2Gt5LweMN+ZZ9h/ge2stgqIxAHKts31WOj32AH2L9QdzgrmR9xG+LlojjtOuaCEO1NZ9dcGy4k8/&#10;8/fmQ3tnO+eeO23HDyB8baXpjfT2do8ff1q9bX/3d//NjO+toL1oN9pvxedQRRntxIknXhb+8R//&#10;x471iK/lmsTXu+8+cMe4fP/7/xBGjDimoQzH6StoIe7ffnbgC7V1nxWsP8xfftVo86G903M89vjv&#10;w5YtG8LmzR+H++6faqZJsWLFswFh27avzHjHcRynd6CFOLxSrWuL3ilYv3dfP/MY82G9015AGKtN&#10;cR1IM1aadoSvdbVeldnf4etSY2IU4/2Evb4FToLEiYAuxLU3WohL7d0M1u/dOKnGemDvOI7jOE71&#10;QETXezH+o3jXVp0dant6pywDD+CtB/NO3wGyVW3q62gZTsLTvmKngTmO4zjdB05slfszwN/SsXdX&#10;FnQFJ59+pfnQvp2pUrY644xv3ymNr600vZHe3m4IT2yfFd9bYZtbEbaqKKNdgAzH/krY96uuunuH&#10;CCf5l3/5XzuV5Th9gQlH/aJhD/63nx3wTm3NZwUcDS/zgqmXjjIf2vcFbp1/cl0Wg2zGAGkM4tnb&#10;7zxSj7fy9TQfffRKV+tC/WsrTQqZ34ovw6uvLQhffvWXelmbNr1vptE8//ys+phibBm++GJzvV29&#10;ZYwdx3F6Ax0jGx+q7zmoY2bXFm2GhrQ1XIjrG+AEsNr01ulLp6lR6uorp95VyYBB/1wfm9jpb5QJ&#10;IVBZ8Y7j7DrGThzZsBcX7d0I1ttVXn7lKfOBveM4juM41WMJcXsO3u+0rq06O+w5uON1Wcbp51xo&#10;Pph3+g7yVZlWPOHpXS7EOY7j9DwPL35c7O/b6QYhrtGKP+akS8yH9u1MlbKVC3HdQ18U4nDKGeLw&#10;qeMkqTJ6kp44RZAnw+HUt4suuqV+DXWxPsqrgOsU6drpXnOcMhxx7AUNmzz25Nr6zwrWaTNTzh1p&#10;PrRvdyC8SUHLChC/cDqblb8ngYSGgPZCLrPSpKhCiIO4BqlNBoiEVloJpLlUgBjnUpzjOM52tBC3&#10;x6ChC7u2aDPo37sv/vWR5sN6p73AKWC16a2fHGXFtzPs26LHJ5nx/RGeCIhTwvAqTR0PCQ7xfem0&#10;QMfpSxx10phSezeC9Xv3vQ8tMB/YO47jOI7TPei9eI9BHVO7tursUMvzpCzDhbi+jzwhDq+n1K8H&#10;xfd8NSZo5nWcjuM4TmtYQhz+Y1rt53J1QVvxow6dbD60b2dciHMhrrtgmy2ZDaeaIa7odLNUGT1J&#10;T6wRlh97PWzumDlOXwESutyDWxXiJk85yHxo385AhpMB0hakM8hm+Fy77q0dslyO9NXbaVWIwyl6&#10;ljxYNDayXvm6V3zKuNyT5hzHcfo6w8dpIa7jya4t2gz69+6Tz5xgPqx3HMdxHKd72FmIS+/dCNbv&#10;3fPumGM+rHccx3Ecp3vY58BRDXtxM0IcToaVZUyYdKL5YN7pW0yaNGnHc8kUeG2qld9xHMfpXp5Z&#10;8kLDHg/whrTaz+bqgrbiXYhL09vFshi9vd0uxPV9IQ6vQy0q34U4p7+xsxA3FPdAdtCnzRw/uW8J&#10;cZDeGCB5xU6A44lo/V2IgwzHAHENMhtDamwwfpToMI5WGnl6HGU5x3Gc/syhRw9v2L8hvHVtz2bQ&#10;v3fjobz1sN5xHMdxnO7hrKmHin27eO9m0L93T5sxzXxY7ziO4zhO93DIMceL/btGxmvPddhj0NCr&#10;ZRmDh40yH8w7fQ+c/IaT4H7wgx/seEYJfvzjH9eFuSVLlpj5HMdxnO5nxQcrG/f4Oh0jsHdXFrQV&#10;v9/BR5gP7dsZF+JciOsu2GYX4orJKd+FOKe/cfqZvxcb/HbKvBsdf8CXefFw3npo365A4mLIeR1q&#10;TpreTqtCHMZMjgNDSojja14RYq95lXId6rHSOI7j9CcmnnBQw/69x+Chq7q2ZzPoP77vP3aE+bDe&#10;cRzHcZzuAa8rl3sxRLeubToZ9O/dU84/33xY7ziO4zhO96CFuJzXnuuAU+VkGcB6MO84juM4Ts+x&#10;foPxavTBQ4/s2r6rCfoP8z8dcpD50L6dKZKtcHIV0vzjP/6PHenwNa4hTqYtknomTjwv7L77wIay&#10;AASf2GsiAfIgHdOgHN2eE0+8bKd8Evbj+9//hx35UO65507LkpEA6qWURPA9rlvpwd/93X+rp0M9&#10;gPlxPVfy0nOEcjgmAH3KKQt9Qz62CcTmkuA6xh3tlmOHMlBWatyZVrZN1m2h+6Gv49OaQ5knl4su&#10;uiXstdewhvL0fKLvjIshy8QYo0y9TjDOQ4ZM2Gmcc8ovQpbnOH2Js867oWGTBz8ZMGS32rrPCvq0&#10;mdGH9x0hDlIXQ6uv6URZKOPLr/7SVWKof41rlgCGU9IQvvhi805xEqaTsplsN76W6QnkMtTNU9nw&#10;ie9xUlurr0zVMKSEuNw6OX6xU+Qcx3H6E1qIK3qorn/vHjRsmPmw3nEcx3Gc7uE3f5wo9u3ivZtB&#10;/97tQpzjOI7j9CzHnXa62L/zXnuuAx6uyzIAHsJbD+cdx3Ecx+kZLCFuz8H7nda1fVcTLCveemjf&#10;zkAwqnXVFGsg72h5TaLlpZRYliP+QCKSeQjlIghFWjSSxMQ0iE9SetJAYOLXlhCHcUjVC1CGzgcY&#10;j/5rGSzWX42cI/RRliGJtQFg7Kw8BPNsSXFSvIuh1wGx4psV4tD+2FpEmWWlOKRPtYXroIwQhzKt&#10;eAnqlOPsQpzjxLlg6syG/RfsMWDoj2rrPivgf8PJvB0jh5kP7dsR+fpPnGBmpclByl6xsHbdWw15&#10;ZN0xqQ3yGoPML1/zasl26AtFOB1wnZIdgs7bDAxVCHEoAyFVluM4Tn8BrymXezDo2p7NYP3ebT2s&#10;dxzHcRyne9hZiEvv3Qz67So4pcZ6WF+Gb75aG776y8fhb1tWhr9u+SD8beuH4Zu/rQ3bvl5vpncc&#10;x3Gc/sxFl1/WsH/j9NaubTo71PKMaCxjaHjtjaXmw3nHcRzHcXoOvMZc7s/4O3rX9l1NsP4RcPU1&#10;D5oP7tsVKVvpOMo6kHjkSWAQfyBfaXmpSIiDlIZPKS9BVpPSlXXimJbRkB75EId6pCjF67H8qJ/X&#10;IZdpKcoS4tg+pEUeCk2oS46fHg/AOIJxQx0oJybwaWQdAP1lO/X4WWVK6QplcYzQDzkGlqCHsnEd&#10;6eTY6nG3ZDpZp47jnFh1SliGLIt1ybZjbem8KThm6INcj1h/aJNeB/iebdBxhJId5D2ZBu2Vc4h4&#10;mQ/klJ87Zo7TV7jksvkN+y/YfcCQgbX7ICvo02b22m9/86F9OyLFMMhnVpoi3n7nka4StktcUm6D&#10;mIYT4Bjka0BjsptElo0T33g9JcShXHkqHOP1yXAMMm+zMOQKcbIvGgpxCFa84zhOf2LKuSMb9m+Q&#10;eu25+cf3t35hPrB3HMdxHKd65txxQsM+DFJ7N4P+vXufA0eZD+tz+eab9eGvn78ftqx9I2z+8E/h&#10;05Uvhc8+ejVsXf92+GvnyrDtmw1mPsdxHMfpr/z2D9c07N+5p7zKgP+E3ljG0PDMkhfMB/OO4ziO&#10;4/QcOwtxQ6/u2r6rCdYf5vGA3npw365IUUfHUcCxBB6LHKnHAsIQxaaUPAWsU9BkvVoIk3FW2ZC8&#10;pNil2y1P/ZLilIRjiD7oOOYFVv05yDlCW7V8JsfPGh/GSRlQIsco1kcLmU+PG2Bcak6L5C6WASzZ&#10;T46NFPaKYJ6iV+2Sor7mkOpzTvm5Y+Y4fQUI6HoPLvNudOu0GeuhfTvSqnwl5bOYDIY0fA0oPmUc&#10;hTx9Xcfr16qmhDgpnuk4gGvy9Dgd3wwMKSEOciAD2milAS7EOY7jfMt5F+4sxKVOeYXwrtM//MRk&#10;84G94ziO4zjVs+CBkxr2YZBzQrv1e3dn54fmA3uTbzaEbV+uC3/57L3w2YcvhbVvPBZWPrcwvPfY&#10;7eGdh28Jbz80O7z7yNzw3uN3hI//9HD47OPX6ifHbftqnV2e4ziO4/Qzps2Y1rAPNyPEQYJvLGNo&#10;mDXvNvPBvOM4juM4PceESSc27M94O1rX9l1NsP4RcPqZvzcf3LcrUijScTxFC6dvaQnLohVpKCX7&#10;MA4ymI4jrFfLV/JVobE+QIpiGt1u5k9JSLLfWijjdYylvF4GOUexPsTGT/ZNXtcwTUyai8F8lvSW&#10;iou1V8MyYlJms2uOkmDuvDRbjyR1r+WUnztmjtNXsIS4Mu9Gt6T2310zxnxw3260Kl/JE9xSr1yV&#10;6aSkJq/r16bKE+TkyXIgJcTxRDot0UlwIh2DFV8WhpQQBygGIqBP6COu4xPjJ+cDQed3HMfpb0y9&#10;tPF/roHUQ3Xr9+7rZx5jPrB3HMdxHKd6IKLrvTjnhHbr9+5ly182H9hbfPXF6rBlw9vh45ceCs9P&#10;vyI8fPHJ4f7zjw0PnH9cuO+cSTWOCffXPu89++jw2K+nhDfvuTlsePvp8JdPloVv/BWqjuM4jhPm&#10;3TGnYR8GOae86gCRTpZx7Y0zzAfzjuM4juP0HMdMntKwx/eIEHfy6VeaD+7blZSkI2UqyGhFp2m1&#10;Ig2lZJ8cEYhptHyVkzfVbubPRefndUsKyyU1R4RpdD9l3hzKtjOVLxWXMy8gVQZhmjJrToqSkOKK&#10;TsZLrZFc5FzouJzyc8fMcfoSPx1yUMMeXObd6NZpM3hAbz24bzdaFeLkaWxWPIHsxqBfm8rT2vRr&#10;U6UsR3GMpIQ4htQpbLntzoWhSIjDOMjT6azA+JTQ5ziO01+AgK734KKH6jr9b/440Xxg7/R9Tjn1&#10;38OAQf8cLr+qw4x38hk2/H/Wf4fEpxXfCt/5zn+tl91X5umPNxxUX3eHHbm7Gd/dpMbT7wmnJ8Cr&#10;yvVeDNkNe3QqWK9Ye/mVp8wH9hYQ29a++Vj407xrwp0njglzxw4M88YOCLNG772DW8YMCPPHDQpz&#10;Dtk3PP7rs8KyR28Nn3zwUtj21VqzTMdxHMfpTzzx9EMN+zBoUoh7XZZx+jkXmg/mHcdxHMfpOS64&#10;9MqGPR77ddfWXV3QVvyEo35hPrRvV1KSDsBrKhkPcLIWZCLr9ZQ5Ug/Kg4CEU+dkucSSfXJEIKbR&#10;4lRO3lS7Y+20wNjocWFcSugqomiOANPofuIVqsybgyU94lQ6nByHsnmymsbqXyouZ15AqgzCNLE1&#10;F0OPDeYa/bRO4ctZ2wTxKFu+ildj5WFcrPzcMXOcvsTOQlz+u9EtqX3ylIPMB/ftRqtCHPPHXnkq&#10;YdCi2qZN79evQwST1/m6VHzK66A7hLiUqHbf/VMb8msYioQ4gLLQZ3laHOpGP3FKHMcjpyzHcZy+&#10;zh/+OLZh/91O+pTXPQYPXSXTn3zmBPOBvdP3qS2HHVjxTj6QqDCO+LTiW4FzdO4Fg834doNjBe6+&#10;93AzTXeSGk/GAR3nOFWxfOXZYs8mxSe0W79346Qa64G9xSfvPx9euf3a8OCFJ4Y5h/ws3DZ+ULh9&#10;3KAwry7GbQfX7jxkn3DzyL3CfWdPDC/P+k1Y89qi8NUXa8wyHcdxHKc/YQlxOa8912GPQR1PyjJw&#10;Io31YN5xHMdxnJ7jiquvbdjj4a51bd3VBW3Fjzp0svnQvl3Jka0geUGCkzIUvtbiTkrqwQlcOXKZ&#10;JfvkiEBMo8WpnLypdrPPqfwpWG5K6CoiZ46YRreTr71N5U0BgTEmwUms/qXicuYFpMogTKPnLgfk&#10;0WIcRDYtNqbWCIFIx34VofPmlJ87Zo7Tl9jv4CPEJl/+KFiZFxw/uW8IcfLVoVosy6EKIQ4SGANf&#10;uypfl4qT4mR60M5CXBEcU31inuM4Tn9F78GFQpz647sLcf2Xf/3h39d/7+mOU836G+0mxC16fNKO&#10;cvG1laa7wClsqPefdvteWLrsDDNNd5Iaz95yT+CEOrQDp9lZ8U77I/fh7RQLcQj6P5NPmzHNfGBv&#10;serFB8LDF58S5h7ZEWaMGRRmjNxrJ2aO2jvMHj0gzBw7KNxx4ujw2FVTwoqn7gxff7HaLNOxmTf3&#10;hrDvvoPC8ccdacY7/ZsxY4bXf8bj04qPcc7Zp9bX1XXXXWXG92c2bVxWH0+Mz9NP3WumcZwqwKvK&#10;5T4Mcl57rgP+I7osY/CwUeaDecdxHMdxeg68wlzuz90jxA3qmCkrGTxsvPnQvl3Jka0kUpDCpzxN&#10;KyX1UOZBHtSphaOU7JMjAjGNFqdy8ua0O5U/BctNCV1F5MwR0+h25uSNgbnlXENmxNzr09NYttW/&#10;VFzuuKbKIEwTE8lyQL/kWOl2pdYIkfkh2enXsMp4eR3klJ87Zo7Tlxg25lixyddfmfpk7T7IDvq0&#10;mdGHDzcf2rcbUkZrRsCSQp0VT+QrUy3Bjael4XQ0fM/XpepT40h3CHGtwNCqECdFQMqBjuM4/Z29&#10;9ttf7+HJ157rP74PGjbMfFjvOE4+7SbE4WQ2lrsrTmnblXTHeFYN2sZ2WvFO+4O9V+7FRXs3g/7P&#10;5FPOP998YK/525YPwtsPzg4LThkbZo3aO8wUEtx0wYxR26W4GaMHhrmHDwn3nHlkWHrfzPDlnz80&#10;y60SSmS1bu5g991/WJdc7r9vnpmntyL74XKOo+H6wKcVH4NrCljx/RncZxybsuPqOGXo7PywYf8G&#10;ewweemRt7ZUK2Pd1OdaDecdxHMdxeo6dhbjmXo2eDPoP83h9m/XQvl1JSTox8FpN5pHyTkzqgWzE&#10;63glJa9LUrJPjgjENFqckqd/yeuSWH+AzK9lsByYV7erDDlzxDR6jOQrb63XoaaQ46LlLsJ4q3+p&#10;uJw5BakyCNPERLIy4CRElievx9a2hK9Ixal8VnxqHnPKzx0zx+lL4DXlcg+G4Fa7D7KDPm2mrwhx&#10;ELB4Mho+i05CAzLNihXP1vMiQHqT6SQynVUHxToKcHxdKgU5TUqIo1yXktNyRb5cGFoV4ijqxURA&#10;x3Gc/kjHSP1QPX3Kq/7juwtxjtM6LsS1D90xnlXjQlzfZ+zEkaX2bgb9e/dxp51uPrAn277eEP7W&#10;+UHY+N5z4eXZvwm3Hj0s3DJmQF16kyKcBFLcjJF712W5244bHl6Z/5/1MqzyqwAnO0F8q3UvSrsJ&#10;LjjJC+3+7/+8W71/VpqqaPa0sd7Ea68+vmOu8bWVpi/RrBDH+6Q75rrd19H7778Uvve979T70N9O&#10;0EN/0W/034p3qsUS4nJPeZVhz8EdI3Q5Kz5YaT6cdxzHcRynZ3h48eMNezOoXogbPPRIXcnV1zxo&#10;PrhvR1KSToyYvBO7DpmK1yFo8TqBaMbXqVqyT44IxDRanJJCmCXjoW3ylaBaRpJSWErKitFKXpIz&#10;R0yjx0jKiKnxs8B4Ma8+0Q/IebX6l4rjq1whkek4SaoMwjR67pohNtayrzGxkOsIEqUVn3p9beze&#10;keTcB47T1zji2Asa9t+yR8FqqR2n1VgP7dsReVraF19sjkpxkOcgqElZC2kZILHJ9AT5iiQ1fYIc&#10;Q+yUtJQQhzYyWJKeLB9BxzcDQytCHNpKOTF1up3jOE5/Y/i4ckKc9cf35SvPNh/YO46Thwtx7UN3&#10;jGfVuBDX9znqpDEN+3C+ENf4e/c+B44yH9iTb75aGzaveT2sfPae8NR/nh9uOWy/MG/swDBrdFyI&#10;A5Dh5o4dEGZP+I/w/I2/Cp+vfs0svwrwWtFa1+pcfvkFOwQyfOJkOMT7iU9xmpWrehPydK/+cKJe&#10;b5yzvrCO+iv4ucn7x4p3qgd7r9yLc095lQGvWZVlgGeWvGA+nHccx3Ecp2fAXqz35z0GDP1R1/Zd&#10;TbD+MH/JZfPNB/ftSEwAAhB8cGKWPB0MX/MkLMTL9Cmph7IQ8jIOspZ8BSuwZJ8cEYhpLHGKsh3q&#10;oZBn1Q0sGYn9BfpVmBDFUA7qt04GY76U0FVEao4I01hjJE89Q7wUujAO+B790vMpJTD0jVIcPmWb&#10;gNW/VJzMzzlBfXr8U2UQprHmzgLpsCYg/EnRD+PA9ZCaS6wHjBvXEOMpvMl1BlCuXEOAcQRtYlys&#10;H1zj1hw7Tl/lmJMuadh/Qe0+yA76tJm+JMQBiFwMkLIglUFGg2yGT5yoRlkLcpvMK09bgxQnJTTk&#10;hWTHIOM0lObkp5UOpIQ4KemhbsbjupT/GGTeZmEoEuIwrhDypHSIMZHtavWUOcdxnL7GoUcPb9i/&#10;8Tq1ru3ZDNbv3c+8eIb5wL4vsOjxSfV/23/nO/+1/v2Sl04Khx25e/17XP+n3b5Xl0+WLvt2DP54&#10;w0HhX3/49/V4MGz4/6yXw3gN0iONzAMgR11+VYeZByAP0lFImj1v7A6xCqC8lLRTVX586jiOD/qN&#10;sUE5GCuWjTypMQFoD+uIwXnJAf3E3Mk+AvTzlFP/vWEOJZgDpGM/UY5sF9eAzqdJ5WOb8Knz5aDX&#10;HL7G+CGO16w2Yj2j76iXcwbQNoyVniOORQqZvmz5ObAN1txXNVfNjifrYv0WvN9ZDscCYxVLK9sC&#10;MJ7WzwZZrkVsfaEsxOm0uB67LzB3SMd5wPigL7iGT46X0z2cNfXQhn0494R2/Xs3sB7Wk6//ujps&#10;Wv5ceOv+GeHRy8+oC265QhzSzRw7KDz+mzPDqhcfDFvWv1Urb41ZT7NAeqt1qw5OVbPSOGn6gsjk&#10;Qtyupy+so/6KC3E9zyHHHN+wD+85qGNmbfxLBZw201BGjVnzbjMfzjuO4ziO0zPgtFa9P0Ni79q+&#10;qwk/GTBkN13JWefdYD64b0ekmKTjeD2GPikrJfVAEJJ5NRSGLNknRwRiGkucgmilxTeC6+gHv7dk&#10;JIhPWmiysE4GY1xK6CoiNUeEaWJjJF/9GgOSWJl8GDvKhlb/mM6Kg4hmzYlOG7suYZqYSKaR69QC&#10;7ZKiHJFioYTxqXUG5BqS5YLUvUNy7gPH6Wtgv9V7cJmjYK2H63/441jzwX07wtPfigIkNS21IS9f&#10;cRoLkOkggsl8GvlaVQSIdlY6kBLigD4FTgZIcrIunbcIWXdRQD0yb1HAOGI8ZR7HcZz+zsQTDmrY&#10;f2t7cvKUV+uP73PuOMF8YN8XgFBT6/b23w1uOGjH1xrIIxBHUkIKytLlU+BJEZNYKLBAPIFQo/OR&#10;mJxTVX6rfcyL/lGS0UCkiQlRkKisPBpLirKgvJMCZVnyD8QnxKOfqXZhDHVewjIsIDtReLLGsgjO&#10;g4WcV0vgQp9legu5bnPWayvl5yDHMhbXyly1Mp7MG5vH1H2m74dmfjaUFeJQn5btNLh/rfu06Gej&#10;NT5OdVz86yMb9uGivZvB+r17zdq3zQf24Ku/rQlr33oyvHbn9eHhi08Jsw/9WeErU+sc/NNwy+i9&#10;w4zRA8ODFxwXXl9wY1i39Mnwty3Vvjq1v4lQ3UFfEJlciNv19IV11F9xIa7nwevK5T6ce8qrDrIM&#10;cO2NM8yH847jOI7j9AzrN2xs2Ju3U/7V6Mlg/WH+5NOvNB/ctyN8LSZEHh0HMQdCFKUngK9xTZ6S&#10;RuSJYlY8ypOvjUSdKAvyEdthnczFPFYcYRrrtagAdaAuCkuybsSzj1a7CU+CQzoCyQl1yxPBJKwv&#10;1q4cUnNEUuNHOP5sE0C/0Sfkh/hn5UPfpMyFPBDUkD417kV9x1gzP0AdWrLMGT+mSc2dBn3SY4H6&#10;Ib3FxgGg31wryKvHW68zgDQYe94fiJN5mI/pY/3gWOk6HacvYwlxZY6CtY56n3rpKPPBfTsD2Qti&#10;HE9pQ4DMBlGrSGhDPNLxJDkEyGcQ22KvYZUgDfPiM5UHUh6DFvQI+iJFPfQJJ7FBOEPZCKjHypui&#10;FSEOJ+bpMUK7MOaW2Oc4juOMC8dP1kJc+pRX6/fu62ceYz6w7wtI6QNAWoH8gTic6CRlEso/kFJ4&#10;2hNkM15HWlk2oDCGTymdIL+UW6zTlijfyHpZhs6fkndaza8lG8B8Mj9lM4wf60TfdV455hCIOJay&#10;TcgfO7nKAv1CHkhSUsBCGWgb60O8zAdkPMA8sgw9TlwbEtkf5LX6Q6yxTCHbhrHimKBOLTpZc4gx&#10;QT6sLzmeco6sdSv7JMdT02z5KWSfU3Esu8xctTqeqXtCl22tA3wyfSs/G1JjRNA39glzgXrYX9Qh&#10;y0A75PwBuQZYBvLgOspKrQundX7zx4kN+zCozUNhsH7vfvmVp8wH9uDrL9eGz1a+HN577PbwxG/P&#10;rr8yde6YgWHmyIIT4kbtVRfnZozaO9x75pHh5dm/Dh+9+ED4y+b3zXqaRYpQkDqsNEWgjDFjhofv&#10;fe87O8raffcfNrx+VYP0SHfddVfVv58394Z6HuZHvBSz3n//pfqrW1nHf//n3ZLtRblIh/RWfBFo&#10;DwUl1of60Q6mkf210O1j+tdefbwOy8d1mZZtT4lRHD98WvEAfWA6YPWBdaWQZbK81Nizn5xbCfMj&#10;DmtDvq7X6ksza4swL/PJNdOsfMbyrLbK+UXbUBfqZP3Ig7hYvhjWWPN+kOVb8yvhXLPtKJd1Y0yR&#10;D+1jeXhdsi6DyHTyPk3NPdH3FsD3uK7Tss0oNzbfLMuaE4B8bJeuI+c+T8H1ECO2vjC2yCvnHnOA&#10;Uzpz6+7vXHT5ZQ378J4FJ7THAk6HleWcfs6F5sP5MmzduiVs7fw8dG7+LHz+2af1z61bOmvXt5rp&#10;HcdxHMdpRO7NoJlXoxeGnwweukVWgle4WQ/uHcdxHMepjiuvWtCwyYMyR8FaD9ennDvSfHDvOI7j&#10;OE51YL/Ve3DRKa84iUamx6vbrAf2fQEpfUD4kGIKgDjCeADRRcYDKZZQgskBAgqlIZSh4ynfxOpF&#10;fogsiLfEs6ryW/IPywVF4pEeE57sZdUJOCaQbqz4Zkj1RbYVApEWg+Q8WePIspFG5wXoB8u36o8h&#10;67XyIR7tYdnWGkoh+63j5H3RrPiUKj9FKl8rc1XFeHKudX7kZT4pvUmwDqz1YyHbarUjZ2xlmtgc&#10;yrWp72O5BlJlON3DggdOati3QdHejWD93j3vjjnmA3uw7Zv14cs/rwqfrngxvDz7d2HuEUPD/HGD&#10;wqxRA3aS4CQU4qaP2jvcfcZh4fkbLwsrn70n/OXT5WY9rUApA5+WsJMCAgfyxoDkYYkslFCQX4pw&#10;Gsg2kEekOCKJCSeQfZjGik8hJS2NrC/WJqJFJl6H5KPzynLZ9ljfAMcvlibVBznPFI5SyHJZryVp&#10;Eeaz0jB/bN5l2mbXFpDzr0E+1p0aY4vUuLN8jKkU1STWPVZ2HUHiSuWx6gByXVnrg2Iby44JZkDO&#10;jZwDXrPmHuk4fjHQLplHineWMIcyZX4dD/Dzg/FSNsu9z1OUFeLQ3qI8GH+rr04jv/3DNQ37cO4p&#10;rzrsMajjSVlOFUJc52efhk/XrgkbV60MGz9aGTat/ihs3rgxbPl8805pXZJzHMdxnJ0ZPGyU2ONr&#10;NPFq9MIAm15WMurQyeaDe8dxHMdxquPqax5s3OTr5B8Fa/1hfvKUg8wH947jOI7jVMd5F+4sxBWd&#10;8qp/7z75zAnmA/u+gJQ+rJOYACUYCDhWvCyjrDQSE2xkXKxeIKUXLZ5Vld9qG/NYJ66B1JikypXx&#10;lgjULCmBSMZBRNLxINZmKULFxgJgDqz8KbAeWXZsbcr6y45Xao5Scbk0W0Z3zVUV4xkrGzIZ82mp&#10;tllidYHUGBHKrqn7HzCdrkfOX5VyqpOHJcTlntCu802bMc18YC/56+crwlv3zgi3HTsizB0zIMzC&#10;61ANEW4HB+8V5oweWEuzd7jnzKPCy3N+Fz5++aF6OVb5raClKIgiOacUyXwQYJgH0oeUdiy5RIsx&#10;kESYX5bLMqQkgnRSZrFOspJClI5LIQUctIOyD+pEmZYkxL4USTQsl6APkJDQLynASHFJ5pek6pR9&#10;l3OJT8o4uh9oB/PIE780rBd1WPGA5VhpmJ/ge8wfkOlbWVuyLxDfrP4TK38Ktt/KJ8sFaDfXj2wz&#10;ZDmdF6TKJnJ9oi9SfMMYUvRDXayboD3MC9AOtAvjJcc4JrtJKPxhfcnrzCfnknDseS/reyuWl3Xp&#10;NQtQDvMB62cBf1bIcW/mPk8h22/FE/lzC+PMMUf9co0AObfOzmDf1XtxbdxKhz0GDb1aljFs3BHm&#10;g/kiOjs/D59/silsWr0qrHnnzbDqlRfCBy88Hd577omw4oVnwkdvvBLWvb8sfLZhvUtwjuM4jlPA&#10;hEknNuzxzb4aPRm0Fb/fwUeYD+4dx3Ecx6kWuf9up9y70X8yuKPhlNeJJ7gQ5ziO4zjdzeVXjRZ7&#10;93aKTnnF/26T6cdOHGk+sO8L5Eg7KTEFNCv+gFTZRfWCVN3dmZ95UhJWrFyewmWJOhCSeDJWlRJO&#10;rmSl4wjT6LFIjZ8kZy40Oe0CTJOaC4tU23P7laLZMrprrqoYz9g88tTDorLLkFozOX1hvNUPCV/P&#10;ivtOXq9iDTjN88yLZzTs2yD3hPaf7LP/xzIfXt1mPbCXfPPlmrDs0VvDglPHh1mj9wqzRu1dl+Jm&#10;1j4tIQ4i3K1jB9U/H7no5PDe4vnhsw9frp82Z5XfKtZpXFKmsqC8AaHEipdikpY7KP+wHhkHpDiC&#10;enR+CCSs38qfK6homA9ikRVvkSMyAbYHaOlHwjakyovViXFhHTGpB/Olx2xXCHGp/lWxtlAGRSeJ&#10;lO1SbbBg2VY+lgkgN+l4ziuw7qtU2YRSWWxu5X2hx07WHxsbIGUxqx8yXgtovK7nXubR80XYPrRN&#10;Xpc/m+R1IH9OAOtnAccD5fAa6ypzn6eQY2vFA7lm9fgQOU5WX5xvufehnd+yknPKqw5aiMOJNNaD&#10;+RhbPv88fLphXVj91uth6YN3hRdvuT48e+Nvw1N/vDI8+Z+XhidqPPmfl4Wna9+/eMu08N6zj4UN&#10;H7wXNm/a6GKc4ziO40Q4ZvKUhj0e7lrX1l1d0P8I+OmQg8yH9o7jOI7jVMu/7zv8/8k9uOy70X+y&#10;z9ClMv/ow4ebD+4dx3Ecx6mOP/xx7I69l+wxeOiRXduzGfTv3YOGDTMf2PcFcqSPlJgCcsrACVIQ&#10;T3gak8Yqu6hekKq7O/MzT0q2iZUr64Qcx5Pp8Ek5B+gT63JA2SiTJ7JZ6Dw5chHT6LFIjZ8kZy40&#10;Oe0CTBObC4wjhC22wSI1R6l+gWbKT5HqdytzVcV4xuaR14tOY7No5mdDUV/k/FmvNJbEyiqzBpzq&#10;Wb7y7IZ9GxTt3Qz6P5NPOf9884G95sPn7w0PX3xyuPWooWHmmEF1GW5GRIibPnLvMG/soDBr7ODw&#10;1O8vCOvfejL8rfODsO2r9WbZVQBhg1KOBCKJlmcgwjBeXtcwjZZzWE9MSJHyiHXqE0gJRDmCioWU&#10;pWLijibVDgnLLTp9im1PlRerU56Yldt+IMcbX1tpAOuNCT2A5VhpmB+ndcWErFbWFsrkdSlAaXiS&#10;WmqMLWLjDorqLRrjVNlA9i1njvQ6k/dE0dpIncpGQU2La4Dl67lnnljfgBwf2T65HvTPAspuFAXl&#10;KXBACmayzGbu8xRybK14IOW92NoHMp0V72zniacfati/Qe4przJg39flrN+w0Xw4b/EZZLi33wiv&#10;3X1ruO+8E8Mth+0X5hyyb5h7+NA6txzWUf9+1vj/CLefMDY8XVt7y55aFNatWB62dHaaZTqO4zhO&#10;f+eKq69t2Jtr+/Wqrq27uoCH77ISYD20dxzHcRynWn42/LCv5f5b9ihYfdpMx8hh5oN7x3Ecx3Gq&#10;wxLiik55tX7vxsN566F9u5MjfcQkGJIqA69PjIkuEqvsonpBqu7uzM88ljREYuXiFLiiMSmSeDQo&#10;k+0tQufNEaWYRo9FavwkqbGMkdMuwDTWXMiTy1Lotuf2q9nyU6T63cpcVTGesXlsZn5b+dlQ1Bc5&#10;fy7EtS96H849oV1L7cPHH24+sNdsem9JePW2a8Ojl58e7jxxdJg9YZ+6FDdn9HZmjdorzBkzIMwd&#10;O7Drlap7hztOGBNemff70LnuDbPM7gBiCgUTAoFIShxSAMlBCzJF8k+RPARSZeQIKhY4uYuSDT4h&#10;mKXkFVDUF8L26LHQsO2p8mJ1UjwC8noROeMNWG+qDyzHShNrt0TOXQ6ynrL9SLXDIpWP9eaMjdW2&#10;ojbJvuWgy5HjKq9byLR6/VOWs8Q/5tFjwL7loseH96Q8NY2yG+Ji4hvvBy3KNXOfp8gZ26L5JVXL&#10;en2Vl195Suzd28k95VWGPQd3jNDlvPbGUvPhvMX6FcvDW48sDIt/OzXccsTQcMeEweGO8YPCreMG&#10;1plX289vHz84LDhkn7oAf/8FJ4eX588Iq157KXR+vtkss7/x0UcfhR/84Af1NT9lyhQzTTsycuTI&#10;ep/wacVXAcYO5e+zzz5h0aJFZhrH6Qt897vfrd9P11xzjRlfBT1xzzr5aCGutl931uan2mD9I+DK&#10;qxaYD+4dx3Ecx6mOjoOP+ovcf8sKcfoP83vtt7/54N5xHMdxnGr5Pz/rUFJ7+pRX6/duvL7NemDf&#10;7uRIH0WyS6oM5sXrCCGe6FPPUmUX1Qty6u6O/MxjSUMkVi4lKpzkBviKVHzipCydPgcp9aBMyEax&#10;eHm9KI4wjR6L1PhJcuZCk9MuwDRIL6/LtqHe2fPGRuN123P61Ur5KbprrlodTxCbR6y5nLIlLKuZ&#10;nw1FfYEgynirHxKeygg5T15vdv6c6qj9vlxq72bQv3fvc+Ao84G95q+frwgblz0X3nlodlh85S/C&#10;ncePDLPGDgy31CW4AWH26L3rMtz88XhV6l7h9uMOCo9e/vOwfPFt4W9bPzTL7E4gpfAkLSAlF3mK&#10;UQ76ZKciOUTKP5Y8BFJlWIIKBRgL+QpLSCg6LfrbTDskLEvLQhq2PVVerE5eL/sqyJzxBiw/1QeW&#10;Y6WJtVvSytoq249UOyxS+VhvzthYbStqkzz9LwctrHFdAXndAvcD08oT+GLiGWGcHgNKdDng3tOv&#10;lOWakGIbxTGeYsc6ZN38+SVFOlL2Pk+RM7ayDiue5K7h/s6atW/v2IO/pWNEbdxKhZ8MGLKbLueZ&#10;JS+YD+ctPnjpufD41ReFO04aH2aOHVzfz28Zjf38W3ANctyM2td3Tj60/irV5c88Gjo/+8wsswru&#10;uuuuHesIIsmSJUvMdASSCdLuChEEIhfbCrHLStOOoC/d3ae+OnaOo+E6v/jii834KuiJe9bJ59ob&#10;ZzTszaA2P9UGmPS6kgumzjQf3DuO4ziOUx3Dx52wpXEP7ni9a3vOCtZpMzi1xnpw7ziO4zhOdWgh&#10;Dqe2dm3PZsArXRrS13j4icnmA/t2J0f6SIkpIFaGlFIuv6qjIQ9Jlc241GsY5QldqE/GVZXfahvz&#10;pGQbptHjSgEuNt7NwFekQu6x4lMCUZFcBJhGjwUkJuZNjQXbZ41lDJzsxbJjY5USnzi3GG95ncTW&#10;bVEcaaX8FN01V62OJ4jdE7i/mU/LmBat/mzIGQfeZ7F7gjAdpD55vdn5c6rjgLHDNzfsxQV7N4P1&#10;irXOzmJh7Zuv1oUvt64Mm5Y/F95YeGN4+vfnhwfPPzYsmDw2zD9meLh14gHh1qP2D/NqnwtOmxAe&#10;/82Z4fUF08L6t5+q57XK7G7kSUpSRpEnyMn0uRTJPzlSSKoMS1DJFeIATouCcKNFHikHkaK+EJah&#10;ZSEN254qL1Znbls0uRIOy0/1geVYaXLa18raKtuPsuOUysd6c8bGaltRm+TJYam+xeC6Ala8hjKZ&#10;lCtjJ64Rlq/HgPde2fEm1quAOV68JynNsb1S6tNCLilzn6fIGVvGuxBXDdhz9T6ce8qrDD8cMPy7&#10;upxZ824zH87vxJat4a1F94aFPz8qzBo7qP668xmjtiNfgY6T4WbVmFlLc+vRw8MDF5wc3nzwrtD5&#10;6Sa73AqANFLr3g5wApuVjjB91SIIRDy2ISblyRPiuvP0p56mJ+SapUuXJk/OouiINDrO2U5PnDzm&#10;tA7mCLgQ13+48577G/ZmgD27NkfVBesfASeffqX54N5xHMdxnOqYMPHMT+T+W/bd6NZpM5dfNdp8&#10;cO84juM4TnUMOmD/xj284JRX6/fu62ceYz6wb3dypI+UmAJiZUCM4XXrtYWQYvjKRKts1gu0rAKQ&#10;nzJLd+a34liuJQ0RptHjKgUctEHGNUtM6iE8BQvouFYkK8A5xKfVH7SJ5Vv5Y0jZzpKaUBdFO6Dn&#10;InbyF5ESl54juXb1yW+klfJTpOajlblqdTxB7J4oKhvgZwDjWv3ZIMc2dg/JdReT9FJzhO9jcU7P&#10;oIW43BPard+7ly1/2Xxor4HY9sXnK8Knq/4U1ry+OLz3+J3hjbtvDM/feFl47Kqfh8VXTQnPXX9J&#10;eO2O68LKJfeGT1e+XE9vldVTUDwBvFZWrtEUyT85UkiqjFbbJ0H9lIOs9hT1hTC/loU0bHuqvFid&#10;lIKAvF5EzngD1pvqA8ux0sTaLWll7sr2I9UOi1Q+1pszNlbbitqU27cYZcdVSmgURimOxYQxptdj&#10;UNS3IiCusWxIefJ7tg3Sm7xGgRAyni7PAmOaus9T5Iwtyy4aA7YbaFHXaUTvw80IcQj/Z99hX8hy&#10;cCqN9XB+B1u3hs7Nn4X1HywPL827Kdw66aD6a8/xCnQpwu0Q4mogDifEzRgzuH6a3J9umxE6N220&#10;y68ACm6UfcCMGfF+dZcQJ08w62+v9OwNco0UI614p2dEK6d1emKeXIjrXTy8+HGxv28H/7G8NkfV&#10;Bl2JC3GO4ziO0/0cfsy5qxr34HLvRrdOm5l66Sjzwb3jOI7jONXxs+H7r5H77x6DOp7s2p6j4f/8&#10;bOhfZZ7f/HGi+cC+3cmRPmISDEmVQVELog3jILBAgmFcrGzWSyDT8LWKEFykvGO1var8VtuYz5KG&#10;SKxseSqdBnUBiDox0ccCfUN+jKkUjCBzyX4CmQ+0IlkB1Mf8eozZLmLlTyGlJrSBY2L1S8+FlJ1k&#10;Xqtd1vwzDvUgL9ct41stPwbHGpSJI0xjjXUr4wlQJuKssmWfsca5DvDJemW+Vn42ID3jUTauoR4p&#10;L+J7lsP7gv1FnBxLtJ35iKyjzPw51THi0BGl924E6xVrL7/ylPnAvogvtqwMmz9+LXz4wn3hzXtu&#10;CkvvnR5W1b7+ZMXz9VesWnl6Gsos8lQoKcvETl9KUSTI5Mg/qTJakaospIDTrOwTy69pRa6RMo31&#10;SssYOeMNivqaGieQM1atrC15KlhqnHPlJE2q/Tn1Mo01xkVjI/umX4eaQ866ksi5xLqSr0uNiVqM&#10;12MgRU2UK+Ny4cmBmDvKb/qkOtaB9jJ90YlskqL1GyNnbNmeIkGP6WKn8Dnf8u/7Dmv4XTr3tec6&#10;DD5w1IeynNPPudB8OE+2fN4ZNn60MqxY8kR4+torwtwj9g9zxwwIM9XJcBJIcficg1eoHj40PD/j&#10;D2HTx6vM8qtACm6UPCDH4TS2ovRWfLO4EOdCXG+H4+NCXO+mJ+apN9yzzrfg9eVybwZ4w2ltjqoN&#10;/3ufAxqs+AlH/cJ8cO84juM4TnXsLMSVeze6ddrM5CkHmQ/uHcdxHMepjhHjDnincQ8ufu35Xh0H&#10;bJJ5Tj5zgvnAvt3JkT5SEgxIlSFlKQtKOFbZrBdptKwjscSdKvNbbSvKC5hGjwmkHCn8xEAaSkVF&#10;QMJKlSn7r/NKMUjHEaaxxgJI0UoD2YgSYCx/DIxV0dxxnvRcFOWVcdbaj4mLjG+1/Bip+Wh1rloZ&#10;T8C4ZsrG+sQ6ZfpWfjYAqy6dFoJc0b2GPGi7zAdSP9ecnmHiSWNK790I1u/d8+6YYz6wz+HLv6wK&#10;n699I2x49+mwcdlzobP2tXUq3LZvNux0rVUgX0AYiUkqUpSSYokUR8pKRaBI/skRtFJllJV/cmB5&#10;WpSRoo68ronl10ghzOq7lN5036U0hXbJOILydZyUnVISGsUmSD16zeB7KT5Z/Syad9Dq2uIpZvi0&#10;1rVsY9nyU+1nman5ZRprXnPWEUU+a/yLaOaekG3i61JT7WP5egzk6W1F6z+GvC84D/JnEmB7GQ+Q&#10;T6YpgvnKtFPek7F5ke1HeiuNvA+bHaf+xL4Hjfm4YS/OfO25Dnt1jHhBlnPM5Cnmw3my5fPNYfXb&#10;b4SlDy4Ii644J8w+5Gdh3tiBYdZo+4Q4AikO6WaP2yc8cfXF4aPXXgqdn2wMW7dsMetpBSlCSSkt&#10;JpMwvQtx1eFCXHvA8elO0cppnZ6YJxfiehcrPlj57f6+g44RtTmqNvx0v4MarPhRh042H9w7juM4&#10;jlMdJ5525TK5/4Ky70bX+Y+f7EKc4ziO43Q3ow4d/lrjHlx8yuvgA4e9LvP0VSEOgkqtu3WkrCLh&#10;yU/WKUqgqAzIJPL0KAgqEKgge/GULatsLd9A0OFrFJknJaq0mp9tttpGyQbt13GEafSYUOTBpxZx&#10;kBZlMq9VdwyMJ8ZVCkDsI+cIcTof58CKI6l5IhCcpKSEr3GNcUX5Y2CMUnNHGc+aCyuvbFdsjojM&#10;i7S6/a2Wb5GajyrmqpXxRLqcsuU6QD3yxDgJ6mSZAP3K+dkAUJdc76gHdet0KAv1yzYhD8rlPFnw&#10;ngFl5s+pjhOnjC+9dzP8dL8Dv5R5p82YZj6wz2ND2PbV2vDVX1fX+ab29bav1hvpqofiCAQbyCUQ&#10;VyDr4FOKQ4jXp0JRkAEoR4pUkEJYhnUiEuvFp44Du0qIQ1kcB15Dv+VY6JPXZF2Ub5BGt5tpikQX&#10;KYRh7FgO2kHhh1h9l2kwR5w32Q8rH/NAeEIbgJaJMC4yHctGGylrEaufqTmTtLK2pHiEsWAbMSc5&#10;45ci1X6WmZpfprHWdM46kuMP4Q/pMB6MR1qMHcYltU7l9RRyLCka6jUhYVprDOT6wNzJ9mGOUC7G&#10;FXMk88k0zE/kugBSTCNyfAjqKXufp8C4Mx/KwDWUp9snxwBjxLXJew3zhriYzOk0st/IcW/JfTj3&#10;tec67D105HWynMHDRpkP58nnn34aVr76Qnj5thnhgamnhtkT9g1zIcRFXpn6LT+tnyQ3o8YDU08L&#10;bz5wV12s+/zTTWY9raBFKIoeOCVu6dKl0fQxEQQy26RJk3aUQ3784x+HKVOm7HTy3DXXXNOQLhfk&#10;k+VI7rrrrjBy5MiG18CyfqtPhOmXLFlSbyf6+oMf/GBHGSgTcVZegFfNIg3qYh6AsUi1l2MVG9MU&#10;qFOONdqL8bf6yf7JtqC9zGthtYljI/uJslFWMzIjxlTWhfLRB449y46NPdKjT8gv54v5sB6sfEDO&#10;OeBY4jr6yLalkH1meuTH95gH9IX14BPf6/tA08wY67rRb44HPlPjAHgvIn+sfRwftMOKRz721Xr1&#10;MuJxH1r9Sr2qmW1jvRgb1oOy5HpnuUjDawR1Mx7jJeMwriif5bJd1nhzHLhmMbayT/i6aLwB2iDX&#10;OsDXuJa6l9AupGUa1MU2sX6r/32V9Rs27tiXyR6Dhx5ZG4tqw7/vO3yRrGTYmGPNB/eO4ziO41TH&#10;6Wf+vuGXeVD23ej/e5+hDae8TjzBhTjHcRzH6W7GHH7gU3L/zXmo/tMh+8+TecZOHGk+sHe6Dy20&#10;laXV/N0BTqxCmwCEHisNaPZENcdxnL7C5LPHld67GfYZ3viKtYsuv8x8YN/bgbBBCSOGJdcQKZDE&#10;gNyh86XEIiAFE0seAqkympF/AMuMAdlI54HUYo2hloJi1y2kiKRBGymMWX2HSKPlNElsPqWEJtHp&#10;UnOOMjiGVj8ZZ7Vb0+zaKsoL4So1filS7Wf5qfllGmtN566j1NqQULYiKIdx8noRuk0pUYtprDEo&#10;WpeEQpmFzq/bgj7L+Jhcx3mMYd3nRVh90+sE913RGGBNl5Hx+jM7C3F5rz3XAa9aleUUCnGffRY+&#10;ev1P4ZUFc8ODF58RZh8yJMwZPTDMGFlwQtyovcItYwaG6aP2DvecdWx4YfZ1YcXzT4dP168162kF&#10;SBO1rtXB91IAgpQRS08RRCLzxoBkImUbii5lsWQPlEtRJAbqj4k3TIM2SUFFgvxapAE5/bDGDGi5&#10;JhfMj66DWGUxTo5d0XjpctD32NiQlNhkAakH+VAXvqaQpMF1SxIq6gOIyUGMx/zpetGenDUt28S+&#10;AIxDrC8QlmLSWbNjrOuW6UFsDIjsq1U+2ivL0/EAYhbjtZSJuNh4EIy5NS7y54617uUc8Jrur5Th&#10;9M82a7wkMi1AO3A91h5ijSNhn1KgzVZe1o8xTdWPe8PK3xeRe/N29jutNgbVhn/72XBlxY83H9w7&#10;juM4jlMdU86+7lm5/4KyQtxP9xva8If50YcPNx/cO47jOI5THTsLccWvPd+r48CG37sHDRtmPrB3&#10;uo++KMThBCu0CVjxpDe23XEcpyc5++JDHpH7MMg9oX3QAQevkPmmnH+++cC+HYBUgpOVtCSC73E9&#10;JcAAyD0QT6Q4A6kjlZ8ndcWEFQghLCsmh6TK4ElRaJOOSwGhBjKMlFZQBurQpz1J0Ea2ByC/Ts/x&#10;Qdvk9RjIL9uBr3k6F/sXGz+MOaQkmR9zgr5pUUqCPEiH9Ox3UTq2g5IXx8HqJ+Ni5WqaWVsEYxUb&#10;P0plue0gqfbnzC/TxNZ0zjoCmEOIY3IOUDbGJTbHXDNIp+NSUB4ERaJYzhhg7PXPGvQT/eb8xOC8&#10;AZRhpZFlx+7ZZu/zFFiLmBOOAeYmJgZifPQY4PuiNe00MubwiY/LfXjPzNee64AH7I3lDDUfzJMt&#10;nZ1h40cf1mW2p/54Rbjl0I5w69hBhSfEbRfiBtQ+9w4LTj8yPHPDb8K7Tz4SPl23xqynFaSUwWtS&#10;sNDylxRT5HWAtBBeIHFIQQWCi6zHkjykzCPzaphGyy5Atht1UMhB/RBTpIyj+wUYR1AH5RyZH7KS&#10;zkuJDp+ybLRBClvWqVFSrtFxMaS8hDrZTtSHdlsiDNNbYyfnR8cR1EFRS5+AhfbIfqbmUMO55/ji&#10;E+NtjT0+eZ2gXowd0kkJC+XKU7t0PsA4gjWEfCgLWGmt8SPsC2FfEIf65TijLp2/lTG26kZ9uI41&#10;otNbsG5r/aAfsnxrLfMe1PcI2s45RFyqX1bdctxYBtqDPiFOzjvTyHmSbbfGnW1DnP65ofsCeM8S&#10;tJn50Ca57mTbiGwPysIYMA5jI/Nj7mRewPrZbtTPMlCfHE85Dn0Z/Gc1uTdDYK/1v9qwx6ChV8tK&#10;fjrkIPPBveM4juM41XH+hTOfkPsv2H3AkIFd23NW+LefDX1B5nchznEcx3G6n4knDL9H7r+g6KG6&#10;/t/oLsT1PK1KYb1RKpMnxOGVjfqVrfoVkqlXOjqO4/RlLv7NEaX3boZ/+9mwhv/Mdtxpp5sP7B3H&#10;cRzHqZ7DjjnxPrkPlznlVYZavhGN5Qytv6rNejhPtm7ZUpfiXpx7Y5h31IFdQtwAU4QjO4S40QPC&#10;3XUh7tdhGYS4tavNOlpBiia8BqGCooWWtJheX8+BEoeVV8o8KXGHabTkIfPHBBAII0xjSTGMAxBW&#10;dLwcK0tyiQGxhuNptS01LjHYFogzVrwF2261QfZNxxGIOYiHIGTJZYB9saSmGHLuME5SDiKsG1hz&#10;E6NoXTEOWOMiyUmX0xeOkSVatTLGsm5g9bcIeYqajqPsRlJimZZe2WbEx/olJS59f8n1mSoDMB3n&#10;qUiGk+OWKlfC/uSUqdcr6uA4oRwZJ9NgDSBNkZBn1V+Uvy+ysxA39Opa/6sN+g/zwHpw7ziO4zhO&#10;dfzmt/c9oPffsu9G/9/77N9QRsfIYeaDe8dxHMdxquPE00bcJvdf8JMBQ3br2p7NYP1v9OUrzzYf&#10;2jvdQ18U4sBhR+6+449pKfDaVCu/4zhOf+CaaRN32rtzT2jfa78DG157fsgxx5sP7B3HcRzHqZ5J&#10;p0xWe3h1QtxrbxSLUZ2ffhpeWzg/3H78mDBnzN5h9ui9wsxRe9dPgLOEuOkj9w5z8crUg/cK955z&#10;fHjljplh1asvhs2bNpjlt0JMhJLXpVjD6zGRI0WsLiAFkpTIwzSUXYiUdVJSi0yn43jdOsEO5LbR&#10;ggKLNW6puBhSELOkKwum12MHUnNDeGqVlZ+wHAg/VryFHFfr1DHCNJYAlIL5rHYzLkfgS5VDcvqS&#10;GutWxljWbZ0qlgPazDJ0+ylxUVzTopUUTuWahNzG67F7C8h0uv9yzIrWuyxD9ie2bmS7c8eN92xK&#10;SGWZui9S0Eutd5lO/7zJqV+OWRmBt12p7c+vN+zPgzpm1vpebcDD94ZKalx9zYPmw3vHcRzHcarB&#10;EuLKvhtdn/I6eNgB5oN7x3Ecx3GqwxLiih6qW398dyGuZ+FJafi04otoNX93gpPf0K5/2u17O/5o&#10;Bv71h39fF+YWPT7JzOc4jtNfuHnusbP0PpwrxOnfu/c5cJT5wN5xHMdxnOo59NgTdtrDu7boUgH7&#10;vi7nmSUvmA/nJVu3bg3vPHpfWDhlYpg5ekCYOXKvMGv03nUpzhLiZozcO8wfNyhMP3jv8Mivzg7v&#10;PftY2PTxh+HzzZ+Z5beClCbkdXmKkRRfmL6MvEVidQEp82j5Q8I0WjLJlcpSIlmsbAnTpNpokWpf&#10;btslEFw4P/iEPJMSAQHbbvUvNTeE8blYZVjkzn0z4wRYttXvVJwmJ21OX2QaHcfruci8ueNYBNeV&#10;FMgojSFOCmTyHuLpclqUK9Mu1q0FxZz1SZgOZVh9saCICFBXkUCWsxaZRq+X3L6kRL2c+qtaD+3C&#10;HoM6npR7c+3374W1vlcbrD/MX3LZfPPhveM4juM41XDttYsX6v23VSFur/32Nx/cO47jOI5THb84&#10;9+Bfy/0XFL323Pq9+5kXzzAf2juO4ziOUy133nvSDXofLtq7GfTbVVyIcxzHcZyeY/LZZ18h92GQ&#10;+9pzGXCquy7n4cWPmw/nNR+8+Ex44vcXhwWnHRZuOWL/MGP0wDCjLr9tZ/rIn9YFue2i3F5hdu1z&#10;7hEHhKevvyqsefuN0AkZbutWs+xWSMkZ8oQivvaP6YtEDAgoUjLRWHkYl5I3mEZLJrxeJL6k6uF1&#10;XbYklpdgnCDi8HWFGmvccuQWCwgzFH4I+h9rG9NY/UutAyBP78ohdXKVJjUnktQ4QQaENIQ4PSbE&#10;6ncqTpOTNqcvMo283uoY545jEVhDKEOKbRRJKapxfcux4P2u70G5tpoVzWQZ8roF08l7MHUyHcD6&#10;0T+v0Ab+3NPE2ilhGr1eeF2LgxZsS6yMVP1VrYc2oXNnIa7jyVrfqw345V9WAlyIcxzHcZzuZbsQ&#10;p9+N3jG1a3vOCvoP88B6cO84juM4TnVcdMnBF+v9F8Jb1/ZsBut/oz/8xGTzob3jOI7jONXyyGOn&#10;7LR3460pXdt0MlivPe/s/NB8aO84juM4TrWcd8lF5+t9GHJb1zadHSDR6XJmzbvNeji/ExtWvhfe&#10;ffzB8OxNv6u/BvWWw/evi3Bzxw4M82rMGb13/fO28YPC7NEDwpxDhoR7zjw2vHLXLeGT1emTv1qh&#10;SDShVEJ5g+ktEQNSCUWNInTeXHmDabQgwuu7SoiDnCYFnBjWuOXILTEogum69YlSgHFW/4rWgTyt&#10;KjU+zZA797FxgrQUk+AkVrtTcZqctDl9kWnk9VbHOHcci5AiLNqEaxx7ritKc5TypMynXwOKvjCu&#10;J4U45GE7Qer1pAR9ZxuIPq0OxNopYRo9l7zuQlyldOIVqY37c8frtb5XG6w/zF8wdab58N5xHMdx&#10;nKpYPHOPwUNXyf0XJ751bc9ZwXrt+R/+ONZ8eO84juM4TjX8+uox5+j9t+ihuvW/0Rc8cJL50N5x&#10;HMdxnGp5+Y0zd9q7c09ot055dSHOcRzHcXoGS4jLfe25DrqcXCFuy2efhY2rVob3nlkcnrruqnDv&#10;WceF+ceMCLPG7RNmjN47zBg1YMfrUuccOiQsnHJ0ePq6K2vpHwudtbxWmVVQJJpIqQJpmd4SMWRZ&#10;EFEo01jx8jrIlTeYBmXJ6zzdKSWIAJ50BbScEytbwjS6jRRUIGYhvy47JbCk4sqANslTrnQbed3q&#10;X2puSCp/K+TOvTVOEAIpw0EwgtCEazIfy7banYrT5KTN6YtMo+N4vZkxzh3HIjB+LAcnq8nvua4h&#10;l8lrvK8wF7o8mbaoXZzL1Clz8roF0yEP2s57AmXrn0kx0CeIcLIsGZ9zzzKNzstXywJ5XSMFSX1S&#10;XU79Va2HNqFTvwkNz81rfa82WFb86Wf+3nhw7ziO4zhOdSyeCdNd7r9l341u/WH+8qtGmw/vHcdx&#10;HMepBkuIK3qobv3eff3MY8yH9o7jOI7jVMvH687d6ZS3VoS4ZctfNh/aO47jOI5TLTfNummS3odz&#10;X3uuw//eZ/+tspxrb7RfqafZunVr2LL5s7D+g/fqkturC24Jz910dVj86wvCAxecEhZOmRju/vlR&#10;4b7zTwqP/vr88NKtN4ZlTy0K695fVs9rlVkFOaIJ5QsIJZQ5LBGD4ol1ohJI1ZUrbzCNlkwor1hC&#10;joTprNOZYmVLmEa2UQpD1slsICWwpOLKItui+xG7DlJzQ3gKHU8Fqwo597FTvLSkxetStorJToy3&#10;+p2K0+SkzVnHMo2Oa2WMc+rOhfcJ2sEx1vcM68KaZ3rrhEYpdsXuD5ASwHLWJ2E6zhPKpWiH/mAt&#10;6Twx+DNN35s59yzT6PUipdzYmgUyXUywTa0TKd6V6XObspMQV/v9u7PW92qD9Yf5k0+/0nhwX8wN&#10;Nzwabrr5kTB7zr3hjjvvDAvuuS3c/+Ct4b4H5oWFta/vuPOucOv8e8Ks2feHm6c/HK6//lGzHMdx&#10;HMfp+yyeufO70csJcdZrz6deOsp8eB/lxvFh+ozxYfYth4T5tx8R7r7n6HDfg5PCQw8fU+PY2j4+&#10;KSy4e2I9bu6th9X28AnhJqscx3Ecx+kn3HDjmNPwy7ncf3Neey7TAxfiHMdxHKdn2C7Eld+7Eay3&#10;q7z8ylPmQ3vHcRzHcarl/ocWjNP7MGT1rm26VPi3nx2wVJZzwaVXWg/nbSDFdX4eOj/9NHyydnVY&#10;u/zt8P4LT4VX754Xnrnpd2HJ9N/Xvr41LH96cViz7K2wedPGsHXLFrusisgRTaSoQrHEEkEYZ0kx&#10;gNIM0HGyjpgUBZhGSybyNY8x6UbWofODVBxhGikcyXK1yAMgo1B0ssaNcosV1wxsi+5H7DqQ8k1M&#10;npGCTavClUSKXFhDliSENlt1p6QhUMWcE65vKeRpZF9iYyTT6LhWxjin7lzk/cT1qe9r3s+MB9b6&#10;B1z/+IytL5aHcdZp5PzL6xZMJ+dU9if288kidm/GrkuYRq8trFO2BX2WcST3Zwaw+oP8qZ/VfZBO&#10;/F4u92ZQ63/14SeDhzZY8cecdInx4D7N9dctCtNnPBhuu31BeHjRnPDCy9eFpe/8NqxYdXn4YNVl&#10;4a1lv6lfe/yp6eHBh+fW5bgZ0x82y3Icx3Gcvg+EuKEL5f4LQa5ra84K1uvXygpx02dMCHPnHhYW&#10;3H1UePzJE8KfXj89vP3eWWHlR+fW9u9zwtJ3p9T271PDE0+fEB5adGy4c8ERYebsCQ1lTBNfO47j&#10;OE5fxxbiil97Xvu9e4vM85s/TjQf2juO4ziOUy22EFe8dyNY/5n83ocWmA/tHcdxHMepljfeWnKA&#10;3of3GDz0yK5tulSo/Vug4W0tp59zofVwPptP1q4Jq978U3j3iYfCu08+Ej6ufb1x1Qdhy+ebG9N2&#10;0ylxuaIJpAumA5ZkIYUWKcZAcONJS0TmI4zjKU5ACzZMYwlMsg7EU5BiORREYlJOqmzCNFo4Ytlo&#10;A+N0vSAlt5QRV5AWcyLlQfRXzpMWy3jd6p+UqSjYoDxdPvuCTznGAPVBUMP4xqREC1k3y+a8Ywyl&#10;9KbHSApvWH9sDz7RPsYBq9+pOA3nCe3j2GJ85BjIvug1YqXRca2McU7duaBOlkW0qCrnhVj3FUBe&#10;psE9IstCn/izA1hrR86ljtMwnZ5TeW/IOpAOc4s1x/brdafbxLWg16OEaay1JcVH9J3rCWBs5M8y&#10;GUdYtiyD6wTpZf5W10Kb0Ik9Xe7NAL+D18ag2qD/MH/EsRcYD+7T3HzzI+GuBXeEJ5+aHl55/T/D&#10;8g+uCB+vvyhs+etl4S9f/iqsqX393gdX1f7x8rvw0ivXhSeevjksXDg/zJ79QLjxxkXhuuv8tLgi&#10;Jk48L/zLv/yvsNdew8x4p3/zd3/33+o/IMePP82Mt7jqqrvD7rsPrK+rM864xkzTn/HxqZYqfoad&#10;e+60Hf8YwNdWmvZh8cw9B3XMlPsvfinHvpwbrD/MTzl3pPnwPgZOhrv/oaPDM8+dHN54++fh/VXn&#10;hLUbfxn+/OVlYetfL63t5eeHZR+cGd58e0p4+VWIcSeGhfdMDLfMOzTMmDkh3HTzWLNcx3GcVtm2&#10;7auAsGLFs2Z8b2HturfCli0bKm3n2+88Ui9z06b3zfhdRbvMSXfTJcQ1/CEde3rX9hwN//az/Rv+&#10;N/pZUw81H9q3M4senxQGDPrnMGz4/wxLXjrJTJMC+WpDVf+04nszS5edEf5pt+/V23/Kqf9upgHn&#10;XjB4Rzpw2JG7169jvL7znf9av/bHGw7aKV9v4/KrOuptRZubmWvHcZyepEuIK713I1i/d8+7Y475&#10;0N5xHMdxnGqxhLjc157roN/Wcszk+GlROXz++ebw2Yb1YcOqD8LGjz+sf925+VMzbXeQK5pIUQdY&#10;IghEDJlGIyUNnRdISUQi0/CaJZloEcQCIpElmACmscomTKMlE8g0jLNgu6xxo9xixcXQQozGOsWM&#10;cbH+WWOn21Q0x4RCWw5S5NLipQRzJ+UwksqDtiIfvrb6zXSpOSdS6pLItSD7EhORZBorvtkxzqm7&#10;DHo9aNlNS3OQsmS8BmMs01vETt+Tea14CdNZcyr7xJ8DRe1CHl1Ozj3LNFY7MJZSArTAGojdRywb&#10;bbPuW2LV3UfprP2ePkLuzaBbhDj9B4EJR/3CeHCf5pa594Znn78xrFj1q7B6w9Swev1FYf0nU8Om&#10;zReFTz6/KKz75JdhzYaLwsfrLg4frb0kvL/yivDyK9eGRxfPrp8Wd+O06k+Lg8wyYsQx4R//8X80&#10;LCIKGe0mU6Dd7IPLOY6GawNr3oq3wDpiPqwvK01/xsenWqr4GSbnpN1/Dl577eKF+t3oewweuqrW&#10;t+xg/WF+8pSDzIf3Me68+8jafnxaWLX63NrefUGd9bU9G3v3ps1Tw9qNF9T27vPrfLTmvLB8xdnh&#10;pT+dGhY/dny4866j6q9btcqtgvvun1qXLiCFyEDx5Nb5J5v5COKZnxIHA65BYnns8d+beckXX2zu&#10;yhHqX1tpNM3k0aBtOrz62gIzrWTz5o+7Utshd+wkEHNQ7pdf/aWrlO0BfYOsU9Su55+ftdP469BM&#10;u+Q4I6AOrBmZBvPbbGBb0D8Z2F/Ey37lzjXGjAH5eT1nnBhyJCmuf2vumhnvVpH9/uijV8w0Gobc&#10;9LsKGaz4ZsAcMWBtWGl2BQy9fU66G0uIy3ntuc5z8pkTzIf27Qxkr1pX6+BrK00KyHTIi08rvjdz&#10;972H7+h7rP0Q5ZhGgric/L0JzhVA2600juM4vQVLiMvZuxlkPuBCnOM4juP0DNu2bRio9+FmhTj9&#10;n9MnTDrRejjfNvAUJMgXVrwEcgZFHZ4ipoEkgzgp9ED8gKADAaWoLggcFJiQTks2LNc6RQrwZCcK&#10;IwTf47qWeiRFZQOmsaQ69FFKLkiLscCYcJwtaYh5rLgYKBPykJRhOF76JC+SM3Zy7jAPMZkH17WI&#10;gzFG/rIylha5MLZyHNmO1Nxhbcr2yDwsy+p30Zho9Old6LOU9LjGgbVGZBrUbcWDZsY4p+4yYExl&#10;vVYaXGea2LqToN1oP+9xgK+L1g3vn9SYkdScYq4Yz/sNY420si8A38fWBdcUy7BIrTuCMUY6tglg&#10;znFvy3WlYVs5L1grckxRZmo8+yCmELfHgKE/qo1HtUH/QWDUoZPNh/cWONlt+oyHwt333BbeePt3&#10;9dPgtoVfh8+2XBw2fjY1rP/kwjr4Gg/Xt3xxWfjbN1fUr733wRX116je/8D8cPPND5nlNwtkN56Y&#10;FaOMONQbGDJkQr3d3//+P9RlPytNVeBULNSFTyu+HcBJaegD1oEV39doZl1fdNEtTZ0sl0t3lt0T&#10;dPf49DeKfobljHVfF+Jq+3FnrW+lQmP+fCHu5pvHhTlzDw0PPXpsWLbi7PDV/70yfP3/XVXfq/X+&#10;/WnnxWHr3y4Lf/368rBu0y/DsvfPCi+8NDnc98DR9VeuWuW3CmSLIjkIkk9MaMvJzwBhKCYG6WCl&#10;0ehgpUmBtlgBgoyVXpIbMDaxsSMQv7RIFQuQwVJzkRty2gW0pMagJR2IRM0GSki6/bIOPT5Fbddz&#10;i7XHuDLjVLQWIAbmrH/MW09IcbrfaJuVTsOg57W3QTlTzmerUIrFGuuJOcqFobfPSXcDIU7/z/Kc&#10;h+o6T18U4mbPG1v/dxpODWtGkuqtQhxOvkO7AL620sgT4nB6mhXPMnAqHL7HdZbXm06IyzmpjyfE&#10;oc/si+M4Tm8FQlwzezeDfrvKtBnTzIf2fYExY4bXf77jU8edc/apYd99B4XrrrtqpzjHibFp47L6&#10;esLaefqpe3eK/973vlNfc715XaHdbOf9980z0ziO0z1sF+L0a887pmJ/Lhv6mhDnOLsaiDu1W6tO&#10;P5N4HKcptBDn/Llz9wFDdhLfu0WI038QKCPETZ/xQLj7ntvDU8/eFJavuDJ8/udL6w/M8UB9w6ff&#10;PlDH1zgtbvPWS8Kf//arsG7TheG9Dy8PL7/2h/Dgw3PD9OnVCnEQLmpdqwsWeE0fr0Nw4Wv72k2I&#10;60l4klM7n4qF+UUfgBXf12Bfe9O67o1tcnovOeul7wlxHVPl/tuMEPeTwR0Nf5g/fnKeEDdv/mHh&#10;gYcnhedfnhxWrDqnvjdDasdeLfdvCHG4hv19618vC2s2/DIs/+Cs+qlyDzx0TJg5s/oT4uRJUkXB&#10;EoPK5GeIiUE66HgLHaw0KXAiWyzoE9A0ZQKkpJhok2pDLMRktjKiF0KqXSQ2x5CHZDq0p9nANuj2&#10;SxFIn+SH7xlnoccV3zOuzDgVnRBXRgTMES1bBafR6VB0siBg6O/yVW+Cob/PyXYhbuhCuf/id+qu&#10;rTka9O/dR500xnxo35/prUKcPL2t2dPQZBkxqa630FvnwXEcp1k+3nDO1Gb2bgb9IL4vC3GQlmpd&#10;rn/qOFwnOs5xYkAm47pJravLL79gp7jeAtrWDu10nL6ILcQNvbp2P5YOyCfLGTbuCOvhvOM4mbgQ&#10;5zjlcCFuJzohv8m9GUCSw75dadB/mB825ljz4b3FvFvvCU88fXN4453fhQ9XX1p/iI7T4TZ8uv1B&#10;ugavX8NJM2s3Tg0rPvpVeO3Na8Ijj84JM2ZUJ8SdeOJlO34A42srjZPGhbj2g311Ic5pV3LWS18T&#10;4nC8u9x/Qa1vpYL+g0CuEHf3wqPCcy9MDm8vPzN8tPb8uvSG/Xn7fv3Lnai/Ar0Wv2b9BXWB7rU3&#10;zwgPPXJsmFGxEGeJMzh1SYpWEGn4OkEt81hSEeQhmR9fW0KVJTPpoOMtdLDSpGDfEHjyFAPGx8pD&#10;ZNBjg3HTp4ZJIYtYMhXKkgITxDyMtS4P7ZVlAT0nUqSBdIY26HJS/UQemV6PkZzrGDpYaUiq/ahL&#10;Bi3kabCWZZDiX6qesqBdGCOsafm6TWusEYpEy1aRJ6ix/iKpDzC0MhZOtTD09zmZNm3sVP0/y2v7&#10;8etdW3M06AfxLsTtTF8W4nh6HrDiexMuxDmO09eAENfM3s2gf+/+7R+uMR/a9wVSQtzuu/+wHmed&#10;Huf0Lao8te39919KlofrYFeJZmgT6kcbrXjAE+KAdcqd4zjdR5cQ1/CWM+zptfu2dNBC3OBho6yH&#10;847jZOJCnOOUw4W4nfnJgCG7yb15Ox0jsG9XGvQf5ssIcQvuviO88dY1YfX6S7oemm8/TYYP1CHG&#10;4XsKcjwpbt2mqWH1uovrp8o98dTNYdbsB8zym6G/iVDdgQtx7Qf76kKc067krJc+d0Lc4KFHyv0X&#10;/HDA8O/W+pcd9B/mJ55QLMTddPO48OAjx4Z33j8zrN5wQf3UVuzPcv/e+Fnjfr79pLip9Vemfrzu&#10;gvDu+2eFxY+fEGbNqk6I06ITQkq6gDQlX1Fo5beEL2LJd1JQAjrIuBg6WGliQEySgWITgyWcSWTQ&#10;QhzQfbbGVwp5CClxCe3TQZ/8hTpksOrEPMmQmneZFmOj21B0ShvQwUpDitqf+9pUrC0Z9Os1c8ap&#10;CvSpdghSmqsaOT+oR8qo+n7TMHTXWDjlYejvcwK0r1vrAAD/9ElEQVQhTv8hvbanr+ramqNBP4gf&#10;O3Gk+dC+P9OXhbhzLxi8owwrvjfhQpzjOH2NrhPiGvZu/C5d+1mXFfSD+Isuv8x8aN8XSAlxTv8B&#10;awD0hKTWk3VZyNPfrHjHcXYtlhCHZ9q1e7Z00G9rcSHOcVrDhTjHKYcLcTuDZ+JybwZ4do59u9Kg&#10;/zC/38FHmA/vLe69f354b+UV4YuvfhU6v7i068F5HIhxfBXbxs0XhY/XXRKee2FamDX7PrP8ZpAi&#10;VLPCBPLtvvvA+itXWdY//uP/qJd91VV3m3mQHunGjz+t/j1ezYo8zI942R68vnWvvYbtqAOveU2J&#10;ICgX6ZDeii+Cr4ple1Af6kc7mEb210K279xzp9WvsT04jY+vqsWnPJ2PY5PqH+vm+FmgDyyL9eg+&#10;yHgLLfm12jbGYTwAxxjXrTKbWVtEryl8zXHmtVQ/LHL7hrahbM4xQD8QJ/NwXaSw7kveD7J8a34l&#10;vCfQDnyP9rHNGBvkk/dNrBzAdEBeT40P0fcWwPe4rtNyvel1SDDORXVi/FiP7lPOfZ5CjldsPbJ8&#10;jrtG9kGOgSyb18quF9l3fI260D/Wh098H2t7b2L7CXEdI+T+C2DD1/qSHfQfBA49erj58F5y8/Tx&#10;YfETJ4RVq88Lf/vm8rB5K0+GIzufEIe9+9v9e2r4sJb3qWdPqu3fh5p1NIOWoopO29Jo2csSwjRa&#10;ZtInk+kg42LoYKWJIfvA/uvT7FKneclg9V+f/qalFikvIUA4K5KWdPuaEb2K2iWRp6xR1pPzmLNu&#10;dLDSkKL2a8FMryECUVAGLWvmjFMV6LFG0EIc1hhFzBzBMAXHh/Mix0GPgYaBY4FPOddYC7rtFpgT&#10;LXrie1yPrW/eCxgHfI92s258SvGTa1KvfYKysFal3GoFpGMe/ixg/RLGsT6Mgbwv0L7U+kGfOSZy&#10;PFEXytFSq4Shu9Znu2AJcTkP1XWe/ceOMB/atzN4FWitq3VirwWFUDZs+P/cke6fdvteXRZDXI6I&#10;teSlk8JhR+5ezyfLwDXEWXkuv6qjng714vtUG6x8ZUE+liHryeWPNxzU0A6ydNkZ9bL/9Yd/vyMt&#10;vkbbEafToxzUL9MDjK9sI/nOd/5rQ7ockEeXI0E9nFfC+q02A64jls05Z/vwie9j+R3HcTTbhbjG&#10;h+A5ezeD/r3bhTinr4M1AFyIcxxnV7Ptq3Uj9FvOqhLigPVw3nGcPJYsWbJjD8XXVhrHcb5l5MiR&#10;9fsFn1Z8f8QS4vB2NezblQb9h/nBw8abD+8t7l54e1j67u/Cuk0X7TgJDifA4Wu8FvXD1ZeElR9f&#10;Fj5ei1PheFrcdv785a/C+k+mhpde+WOYPac6IU4KFpBiyooRQ4ZM2JHfIlYmJRHkl9KSBhIHJCYK&#10;HJqYKAPZh2ms+BQQRGQdEllfrE1EylZSTIH0ItMBmZZjI69prHySVB/QbopZFI5i6PFttW2Mg+yj&#10;x0/X1ezaAmynhRybVD8sUvkYh75JUU0ixx6UFZwA1k9q7ek6CNqMeIyNtT5Qj2xPTDADvGfxKa8z&#10;rzU+mKvUvAC0S+ahFAYsSQ0/Gxiv1w/hOsKcyOu593kKOV6W0Ic+y3J1PJB9kH3kfMl8ZdeL/Llj&#10;3XMkdS/1FmJCHN6XXutDdmhGiMMJcY8sOi4sX3F2WF/bm9d3yerYv/G5ZsMFdVnuw4/PC2vWnVcX&#10;4rjH4/MvX15WS/PL8NwLp9T270PMOppBCh0IEDasdDG08FIk2wBIHTJQsCI6yLgYOlhpYsjXf1JE&#10;0iJVSkSRwRLitLylxZei8bDQghUEGxmvy7Tar9PE5l6fssb2634VSVI6WGlIUfshMckQO8VPi4Na&#10;xMoZpyrQ4imCFLGAnFNrHZWBwpUU63itqGwG5NWvxpUhdq+jX6l8CGiL7j+QY2CNmZwf/uyx+qPv&#10;31SQ7ZDrQZYn41CfXvsyxO5f/bPWCrH1x9Bd67Nd2C7ElX+o3h+EuKKT1OQpaRpIWxS3YkIcBK+U&#10;tIU4S8RjvSj3lFP/fad8BJKVzAdpy0pXhJTrmhHiLDkP8pcW2ySIk4JYTtv1OKfGNoUsg2AeUu0F&#10;EBGt+ZLrKDXnus+O4zgxbCFuKH6WZAX9IH7K+eebD+37Ai7EOQBrALgQ5zjOrma7ENf4ljPsy7V7&#10;tnTAA3ZZDrAezjuO4ziO0zNs358b9+YeEeJ+OuQg8+G9xW233x2eff7G8O77vwkfrb20/iB989ZL&#10;6g/V8UrU9z64Iryz/Nfhg1WX1V+T+snn2x+246H6X7/5Vf3BOoS4ORUKcUBKURAmIGLkyBFSVkEe&#10;yhzIK6UdSy7RYgzawPyyXJaBTwonSCdlFnm6GrFkkhy0EMRxQJ0o0zrliX1JSTRSTAEcZ1xHPVJi&#10;YXmIl2VIWI6VRvYd48RxxSfnWvdD5pHXNa22jXEE7UPfMbdSKGplben+cw5Rj5YvU/2wSOWT5TIN&#10;65Zt1mIWkfmseCDXJ+YQ3zMO9wH7h7pYN5HjAtAOtAvjgjiOcUx2I0jHMuScAV63+sC1x3tZ31tW&#10;XlkX1gSvEy216T4DyolIy2vN3OcxWL6VB/1kPcD6WcU+6HUhx0ReJ4yzxppgbpkOcOwRhz7LOuT4&#10;9EYgxO0+YMhAuf+CskKc/sP86MPzhLh77z86vPTqaeH9lWeHj9dfUN+3sX9jX/5o7flh+Qdnh2Xv&#10;nxVWfbxdiNtU378vrO3jU2v79+W1Pf2CsOSFybX9u7oT4vTpSZakkqKZ/Frm0kKLDjIuhg5WGgv9&#10;ulQpq8m+aeFMIoPuC6QeWY4lbjUrJeog46TYgyBFGkhhOh5tjJ2Cp8UkSmWYaxmKRD4drDQk1X5C&#10;wYvBar8ce4yzjs+ppwq0mGetp6pOiJMymBwTKXHF5hrogDFhety7UnbT9zvWBuPRF6xlrheUIccb&#10;Y6AFRf2zAWUgD66jLHwybUyIQ5kcR7SFbcR1Wb8si8j4VBwCymYZ6Ju8jy1ZEPFoK+Lk+KMMOaZ6&#10;TAAD2qDj+hMQ4qw/pHdtzdGgf+8eNGyY+dC+nUkJcTIOIhNPc8OnlsYsIY6nhgGklyLV7Hljd8hX&#10;kKe0JKVFPKRl+3T91ulsqX5JmMYS2mQbdBxJ5ceYMF6erob2sO+4zvT4GsIZPuVY6f5i7BhHWJc1&#10;DyTVHynvYT5ke1G/zIs26vmS480yOC9IK/NridFxHMcCQpy1d+N/o9d+lhSGvibEPf3UvWHMmOE7&#10;fpb+93/ebYeMlBLimAefOg7Mm3vDjvws9/jjjgzvv/+SmX7TxmXhuuuuCrvv/sMdefA12oI4mfa1&#10;Vx/fkUZel6AsxH/ve98x49EOtAftYlloL9ptpec4oTyWi+9x3UpfBOrR454aH4A+yTEF+B7X9RgR&#10;jhXHgf2W/cD3qTGOIfvO8eZ6wLyxDsyj7BevIw+vEZbNNYhPOUdFY86yY2lkv/A1r8u5KIMsQ9OT&#10;81UGjI0uMzauTKv7gTk95+xTk+1AXpSbUw/ReViX9XNA0kxdTnsCIU6/5Qz/Qbw276UDXsHWWM7Q&#10;sH7DRvMBveM4juM43Q/2Z/xHc7k34z+z1TfuKkMrQtwtc+8Jjzw6J7z86rVhxUe/Cp90XhS2/vWy&#10;sGnz1LB6/cVhxYeXh+UrLg+rVkOI+/b0ODxcxyva1tTSLHnxukpPiAMQIyg6EYgTkCUswYRQ8LFE&#10;FSBlDCnuAFmfJWJI0QX16PxoF+u38hfJJDGYLyYDWbAvlpxFtJiC7610gOWlRBeWo9NgXBgXk3ow&#10;X3rMcserlbbJuKIyml1bcl1Y84F4ubZSbbBI5WMc0KIYQB7GUz6TMC7VJkplsbmV/ddjJ+tHGqSV&#10;8QT5mM5qp4zXZfC67oMU0PS9TNg+tE1ep6BnzSdlNKLHXdYrZTTWVeY+jyFPMtRxcq0B62cV5wvl&#10;yOtyvuR1wjg91hJ5n6Aea+x5T2shrxfyJOQ3uf8CSHK19meHZoW4O+46Mjzx5InhtTfPCB+uOa8u&#10;w2354rK69PbxugvC+x+eE1asPDusWnP+diGu6/Q48PmfL6mnefq5kys9IU4HK00KHaw0GgggMuxK&#10;IU5KQpBoZJwW1bT8Q3ID+mnJLhR7GCxRx0IHGaflnaJgCTxEyjpaKqN4hKDHT6ODlYbo9lsikD6l&#10;S4uE+pQwq4+545Rzal8MrBsdUuPdKpTvMG/yumxHSrqUwWqnLEePixzP2DpG3Qy6fP2zIXUv8L7R&#10;Pz9iQiDhfa3XMpDtT8VhbPW9LEW8sutF9tvqM4N1H/Qn6ifEGX9IL3qojl/mZfr+JsRRsrKENQBp&#10;inktEYsSFz51HECZPElMimFAClQQtXT9Mq8lWKX6JWEaS2hLCWQklh/SGuN03wDaj3ZbMp+F7K/V&#10;1laFOBkXGy8537rdcrzRTusUObYRQp2OcxzH0azdcN7VzezdDPpkmuNOO918aN8OQDKpdckEEgrA&#10;15BhdF4KMlYcBBpZlsRKD9GFdVkgTsowkFwYJ8uRyL7pOEhHUrjRaIkG8pqVjsi0OaTGB+3SkhW+&#10;T40PgDRmyVlyrNCPWL/1GFPMSiHHieON+bX6J9PyGvLwmo6DbJXqc0xcZLyeQyLHQ6aBPMXrZbDq&#10;2RXzlUvRWpbjmrMG0D6rHUX16PQAc26lJbE+N1OX0750nRDX8Ay7tqevqs116WC9rcWFOMdxHMfZ&#10;dXR2dn53ZyFu6NVdW3d1Qf9hvowQN336g+GuBXeEx5+aHpa9/+vwaedF9VepQXrDiXBrN14U1myo&#10;fb3xwrD+k+2vWsNDdcStXn9R/QS5J5++Ocyc9YBZfqtAJtGCCSQKS0qSr/nTcRKm0WVQwogJKVLk&#10;sE5VAizDEmWKZJIYUvaJiTuaVDuI7I81nhKWlxJdWJZOI0+kym0/yB2vVtom41IncLWytmTe2LqB&#10;xMU0qX5YpPIxTotNRK4BfK3jGRdrk2y3lZ9wjvQYo1zmT62NolPZKKhZc8h8ug+UxnLvEdk+KZxJ&#10;AQ9peJ2ioBbOeD9rya6Z+zxGas1RdmP7tHQm+6DbIedLXieMi60XIMc0dj8U1dOLePInA4bsJvff&#10;7XSMqLU9O+g/zA8fN8x8eK+ZO++wcP8DR4clL5wS3l95Tuj8y6Vh618vre/Vazf+sv7a1NXrL6h9&#10;jf37l2HjZuzf2Nd/WT9Rbtn7Z4fHnzwxzJo1wSy/GXSw0qTQwUqj0dLLrhTi5CljWmKBrCND7NSu&#10;3IC6LKFlVwpxkIIgOMm8EghFMmiBifIVgzxhT6ODlYbo9lvjJsUsBC2A6bZZMmLuOOk1mgvqlEIh&#10;QrNl5SClLEt6Y1usE+oIQ+qUOq5ZXQ7vJz0XGqbTYyF/NqSkPcA26DLknMrrOt6ah1ReGWetJRBr&#10;Uw4MqKdMXH/ippvGXm39Ib3oobp1Mo310L6diYljELB4Ha8slXkkPFVMi1gyf0pIoySlpTkpaKEs&#10;GUdSElisXxqmsSSzlEBGYvkhu+E65DB5vRVS/U3FkVR/IKnhOuZTx0mYTtcjx9s6wQ7kjKfjOA6B&#10;EGft3fidvPZzpDDok2kOOeZ486F9b0eKNxBNeIIXPrUcVEaIkxKNPAkL5UKAQtkyPWBZOg/aSLFI&#10;niYm285rmpQQx/6hbCkl3X/fvHpbtOREKQmiF8cJbYSIA7FJpi1CtkuWJ8ddjhHq4RigHdaYsjy0&#10;hXFEjhXLoPSEtLo9Mi9hPNJa8UCWA9AW1IP6Ecd+glR5sgymYV65HoAllDFOzyGR42Glkf3QcSRV&#10;Rm+YrxiybLn2Zbmoj+kRj+8hqsl+6nYgnnEE+RCXe89gnFgeytZ5WJ71s6hsXU578/XXG47UQhwe&#10;nNfWQOlg/VvgtTeWmg/oHcdxHMfpfrqEuNcb9ufa799dW3d1wfrDvPHg3mTaDQ+H2XPuD/fed1t4&#10;4cXrwnsrr6iLbnigjtNmwGdbLq6/KhUiHL7GCXJrN00Nyz+4Irz40h/D/Q/ODTff/KBZflVAqqL0&#10;QlIniuWgpQ1KOzFBpkgeAqkympU8IANRYsEnxiJ2khYp6gvI6Q9heSnRhWXpNKnTqlLkjlcrbSuK&#10;I7ItOciyZF5ZpsbKm0MqX06ZTGOtgaL8cg3loNdj7tgAzrMWVqUsZwlWjNN9YHm5yPGR0pg8AY5S&#10;G2SzmPjGn2P651cz93kKliXrYbsRFxPfeL9ap7MVzRfjUust5+eOTGPF9yKexINzvf/if63X2p4d&#10;9B/mO0bmCXEzZ40P8287PDz8yLHhlddPCx98dE5Ys+H8+glxOAEO+/enYv/GNZwghzTvvn9meOHl&#10;U8N9908K012I2wkdrDQaLVRpmQvSiwwxiahs0OIdJRqGnhTirJOuJPI0LwSdVp/Cpvsm0cFKQ3T7&#10;YyIQxSoG2T4ZZ50GBnLHKdWvGGiLluEgq6XGu1WkxGnVI+cT61/HA4aUfCXHTV5nSOUFPKVNnyoo&#10;fzYU3Qcx+axoDJivlRPidBxhGt2mHBissWMoGte+TkyIK3rtufV79/KVZ5sP7tuVmDiWK5TFRCyZ&#10;PwedP0eeYhpLAsttP9NooQ3ktCGWPyYKtkJsrIviSKo/vG6Ng4Sn/mnRL2e8ZRor3nEcRxIT4or2&#10;bgb9e/fw8YebD+17O5TQIJNAHtHxUlCxJBTm13EUZSDcyOsxIKGxHim9EbQNogulICDFHplWIoUd&#10;HcfrqFvHaWRd1jiVAflZliUGAoyBFJ1kP6SUJJFzJccJyPZjri2JjHMZk4eYH22x4oFsZ2xNkVR5&#10;jAO6LwDtZ7wlhDEuNlZyPKw0qXVDUmX0hvmKQVHPEvEA6s69b0HsZ4DsQ+49Q6nN+hkAZJlyTJqp&#10;y2lvtgtxjYe6NCvE4c0sjeW4EOc4juM4uxJLiMNBMF1bd3XBOjL+6mtyBbXF4YbrH6mf8Lbg7jvC&#10;Y0/MCG++87uwftOFYVv4dfjrN1eEzi8urZ88A77cdkUI4Xdh3cZfhpde+WNYsPD2MHPmA+H66x81&#10;yq4eSCIUPYAUKiB+8HoOWp6hIKOlHZIjcqTKsGQS2ReNfDUkhBWdFv1tph0kpz+E5aVEF5YVE49i&#10;J+/FKJJvSCttK4ojrayt3H4wTaodFql8OWUyjbUGivLjfmSaHPRJdbljA2RdUuCKiWeEeXQf9MmT&#10;KVC2vB9lfimc8dQ1tEmKehxbeaKeFOlI2fs8BdesFNuksIfv2Qc5NjFhDxTNF+Ni6wXk/NyRaaz4&#10;XoQpxOFhea3t2UH/YX7wsAPMh/eam24aG6ZPHx/mzT8s3Hv/0eHpZ08K7753Vl2C+7+1/fuLry5v&#10;2L+/+f+uqu3fvw2r150flrx0arh74cQw+5ZD669ftcpvBh2sVwym0CEnv5aotDyig4yLoYOVRpN6&#10;XSqhuMNgSToy6L5gPCAh8dQuBlkOBR0GfQqbBUQfHWS8lHcQKNKgPbpPKXlHCl0xqUz2LSV86WCl&#10;IbH2a/RrUzl2RbIjya2nGfQ4Y2xiElpVsM7YXMl1E5P8GFJjIceN16TMVrSGrfygCiEOfeSaxPrl&#10;mOO6rNdqY6xdRXGEaWL3FNqAnweI1z8TGFCGzsdgxfUnIMRZf0gveqhu/d7tQlwjMRELr9Rk/hz0&#10;KXQ5MhrTWBJYbvuZxhLBctoQy8/rqdP1YmDsIJ7xNDaN1d/YPEhi/ZFjVfQK15wyYuMt01jxjuM4&#10;EghxzezdDPpkmnYU4qSYZZ3uRCjQaOEFxGQYKftYMo8GUhPSQoix4i2kBGPFg5TYRPkmJqVJpIAV&#10;k3VygfzEsnLGBkBeQvoiUYnpUnJSTAAsksAYZwlsRJZR1LdUeYxLrUuuPUsIY370W8cBOR5WmqKx&#10;AKkyesN8WeDkNOZpdR2TWDvK3jNSirXiiVVmlfen0x5AiLP+c1ltDZQO1r8FnlnygvmA3nEcx3Gc&#10;7gdC3B6DOp6Ue3MvFOK2c+21i8ONNz0c5t26sP4K1BUrL69LbzgJbs2Gi+qnxq1Zd/H216fWT4e7&#10;Mjzy6Oxw080Pm+V1J5CNat2uY8koQKbPpUgiyxE5UmVYMkmuEAcg00Bo0SIPrsl0oKgvIKc/hOWl&#10;RBeWpdPktMWiSL4hrbStKI60srZy+8E0qXZYpPLllMk01hooyk/BKpa/iNyxAVImk2JdSuACzKP7&#10;wHuv7LokFM6kiMe6KOzxXmV7pdQXO/2tzH2ewhIIea+wLPaBsqqU+KzT9ormi3Gp9Zbzc0emseJ7&#10;Ea/X2vhf9P5bVojTf5jPFeIIhLY5syfUBbfnXzwlfLj63PorUtdu2v7a1DrrL6jt6ReEtbWv31l+&#10;Znjo4WPC9JmHmOW1gj7BKkfGkuj8qVdmEi0xaclDBxkXQwcrjSYmpKSCJRHJEBNhMK4yyHL0eKRe&#10;VUmKpEIp7yDIMYaUo09Ws+QjiETNhNga0sFKQ1Ltl+g2UgTLkR1Bbj1lwfzK0BMynH69bVGIjQtD&#10;aizkuPFabxHigJYRdYjJgLF2FcXpNFabMCY5P3NQhs7LYMX1J6bdNG4mHqDL/Rfgj+td27MZrN+7&#10;X3vrF+aD+3YlJjLlCE4gJmJdflVHVv4YOTIa01gSWG77mUYLbSCnDbH8sespFj0+KSrBSaz+xuZB&#10;EuuPHCsX4hzH6UU0tXcz9AUhrkgKIjHpLRUH8YbCGT4hgaVObkpJdzFk+614kJKGIFsxDlJckcDF&#10;NgKUy9cylkXWa8VbyHqteMLXrWqxMGeui8aTcak2pMZbkyovFUdSdfF6Tl+tNDn9SJXB66n2g+6c&#10;LwspncXKLUtqrMrcM7KcHPTYVnV/Ou1B/YQ443dp/Efz2hooFax/C7gQ5ziO4zi7DluI63iya+uu&#10;LlQhxJEbb3ok3LXgzvDEUzeHl1/5Q3hj6TXhrXd+G95693fh9aVX1679MTz17I3hoYfmhnm33huu&#10;66GT4TS1bteRMksZucaCskhMkMkROVJltNo+CeqnCGS1p6gvIKc/hOWlRBeWpdNQugHyehG549VK&#10;24riSG5bLHLzMk2qHRapfDllMo21Boryl1lDFrljQ7iWeOqZFLjkqXESxus+5NwjKaSYi6/5PdsG&#10;9OtHKVbyhLYiMKap+zyFFgjl95RtZR9wjYKjlPwkRfPFuNR6y1kzMo0V34swhTgcAY/ruaFVIY7M&#10;ueXQcP+Dk8Kzz58SXnnjjPDmWz8Pby37RW3/PrO2l/88vPzqaeGZ504JDz1yXLh1/uGQAcxyWkHL&#10;WDGhK4YWf2KiiUTLWFoU0kHGxdDBSiPRQllusCQiGWLjJ0UfBJlOy3KxV7NK9Ljj1CkZL+UdBC3S&#10;6Dqtduu1kRtip5PpYKUhRe2XWK9NlddSa7JMPbnose0JGQ7o19vmBEtgZUiNhRw3XsO4MxSNI4U1&#10;vdarEOJ4b0PWRTvkWkDalKxn9SsnjjCNbhPGhjIc2oM24JpMw2CNHYMV159oVoizXtXmQlwjMREr&#10;N3+MHBmNaSwJLLd+prHEtZw2xPJTbEsJahqOJV5HivKWvHSSGW+VmYojsf4sXXbGjuvWOEj4ylT0&#10;T17PGW+Zxop3HMdRzPzJgCG76X0Ye3Pt50hh0L9373PgKPOhfW8mR7oBzQhxAIIZpTiCk+Csuhif&#10;OhFMkyMEpWQdwJPpCE7swglTlryHa1K6Aei39UrPFBwzlGXFa2Q/i+qK9TdnrovGk3FaRJIUjbck&#10;VV4qjqTq4vWcvlppcvoRK0Ne35XzZSHrK/tqUdSH+0XfAxKdp8w9o+/FIvTJeVXdn0578M03605z&#10;Ic5xHMdx+iadnZ274UQ4uTf3eiEOTJ/+ULh1/t3hnnvnh0WLZ9dPjIMg9+hjs8J9980Pc2+5L9x4&#10;46Jw/XW7RoYDtW7XkadCyRORrNONiigSZHJEjlQZZeWfIqTg0ozsk9MfUlReqi3yFLGYtGSRO16t&#10;tA2k4kgra0vmjY1zURtTpPLllMk0VtuK8kshTb8ONQeUy/xWvEYKXFhLXFtSQtMwve6DFDUx/jIu&#10;F54yh75TfpM/k+Q9hvYyPdaELCdFK2uDAh6kOkvYAywbY8n0sg+SovliXKqdOT93ZBorvhfRJcR1&#10;dMr9d1cJcTfeNLb+CtS77j4yPPDQMeGJp08ITz93Unj62ZPDY0+cEO6/f1K49dbDw4wZ48PN0638&#10;rQNRR4eUMII4iCb8XoteCCn5R4tcWogBOuh4Cx2sNBLdjjJBS0QyWGIZ0JKUPAVOyjIMWnCT6LIQ&#10;9KtqpbyDYIk0uk5dhhSJygYt+wAddLwkp/1Ei3v6e0v6ImXqycESLYvErqrgaY0xIZFIcc1KyyDX&#10;qIZ1yZ8FgGuqqA1Mp2XFKoQ4ynbNzKVcD2XiCNPoNsl1Efv5yGC1m6GZPvUlIMQ181C9PwtxkLF4&#10;PSVJ/esP/76eRotYMn8zrw2NyVsSprEksBxBCzCN1cecNsTyUxyD3Cavx5BSGk7Xs9KkpLdUHEn1&#10;B+3EdbRbx0mY7rAjd2+4njPeMo0V7ziOo5iJB+d6H8bfxGs/RwqDC3HFcQCSCgQzvhqS6Nca8npK&#10;gNLkCEG5YpOWcSDWxE6YgmDDfpOc166SojHTyH66EPctqbp4PaevVpqcfsTKkNd7sxBnxVvgHtbr&#10;PYaVH+TcMzwtL1VODq3en057ACHO+l0av5PX5rxUcCHOcRzHcXoXEOL2HNQxs3F/7qg/P680VC3E&#10;XX/9o+Gmmx4Ks2bfH+bfujDcdvuCcMedC8Kt8xeG2bPvC9Nu6F4RDsJGSqiQUoYUS6Q4khLBYhSJ&#10;VTkiR6qMIpmkGVieHi8pwsjrkpz+EMpDEHq0PITvpVyk2yKlqdjJWJhHHSdFupSw1ErbQCqOoBym&#10;K7u2ivqPsuUpYKl2WKTy5ZTJNNYakMKXjiNsuzX+RaBdrN+Kt5BtYt2p9rF8PQZSris75oRrCz+z&#10;AL7Wshvby58NgCe05cJ8ZdspZUzWjzbLNPxZIdsXE/aK5itnveT83JFprPjewrXXLl5VayP24FVy&#10;/8Uf2nE9N1QnxI0LN8+YUNunDw1zbz0s3HnXEWHBwqPCXXcfVdvDj6xdOzTcNH28ma9KKJDIAFFF&#10;ihuQU2Q6mZ9iCgNkF4gbUrBCWVY9lvSig4630MFKI5EyWExiI/rkLS3xyKDLgnwEgU3LZ1rSkrIN&#10;g54DjKeVzpJkdDorjSWSMQ71ymDll+i5taRKHXS8JKf9RLdVjjW+tvKQMvUUgXboebbGoTuQY5BT&#10;p5yv2EllCFZZUlrT4yVFU7RJxhF5P+n7X5Zt/WyQ8OeOvufYN8h6WvIsQq6HMnGEaXSbZJ+tNsn5&#10;s9YggxXXvxi7sJmH6v1ZiAM85QyfELZkHIAUxbyWiEVZDhKVlT9FjozGNFbdeP0o88+eN3aneMI0&#10;WmgDOW2I5cerRxkXE9wwfoyT7bVeW4rxS506RwEPY67jSKo/ci7RFh0PUq/BTa0jK40V7ziO08CG&#10;88y9e8/B+51W+zlSGPAf12Q+F+KK5S7UIU9wknVSmMsph+QIQWUEIIg/Mn1RWyDMSYkHea10Ginf&#10;WfEatCu3DrYH4ymv58x10XgyLtWGMuOdKi8VR1J18XpOX600Of2IldFb5ssCslhRuRo5Fli7+tXC&#10;OWNFUvdMmXJyaPb+dNqDmBAHua0236WCC3GO4ziO07vo7Oz8kX7OjefmXVt3dcH6x8SVVy0wH+Dn&#10;sThcd13t87rF4frr8fWj9c/tX3fFmfmqodalOhBMIFZAjgCQNKS0YcleSM94pJWneUHWwfcQQiBu&#10;yHyAZeNTx4EckSNVRjPyD0BZaLPsC4QaKXrpk9dkXZRbkEa2O6c/RMpDGHcKPcgnZS5gSTuUbgDm&#10;iPllP/SYyfZR4kF6OQ6g1bal4iStrC05V6iH4hjy5LQxRSpfTplMY60Brmf0iWsMbeYY83uWgXsW&#10;602KcSgXYyfLIGgX88rrKTiWFNCAbI+GaawxkGOPcmX7UCZ/5qRETuYnWgqUax+gThlPmrnPi0B+&#10;WTeQ5QMpnhLdB1I0XznrRd7X1prTaaz43gKFOJjuDXvwoI6ZuJ4bqhTiwE03j68xLtw8/dtPfg2s&#10;PFUCIYYnPuUEfaobBA8tAuWEmLiTG2T+3IA8QIbUaWwA/ZMBfZUSUdkQE/DKzAGDlvOIlHcQLJEm&#10;1S8pNiHE5Caix9Tqow46XpLTfknsNLvY+BBdTypAtLLKIHrMioKW9eR9lDqdzULKjVpws5Anlun7&#10;UAeMEctEPrZR3wdA9gGfKJtpECfH2xrPKoQ465Q+BtxjSI/xQntkPiDbVyaOMI1ukxTe0G/WrccE&#10;Ad/LvIDBiutf2EJc0UP1/i7ESakLwhVf4QlhigIWsSQtiGiMh8yF8qQYh/pwehyEOS1h5choTBM7&#10;FY35IYmhXqBlM6bRQhvIaUMsvxTY0D/IZOw7+o0263w8fQ3t5VywzYwDVn9lW9lHjKmc01R/MLes&#10;A59yrhAn81qnyKEexss6Y2mseMdxnAY2nLew9vOithc37sP9SYiDMFLrSp2ULEKJrVUhDsRkIYor&#10;eMWqTJ8iRxrCK1iZxoq3KJsnNT4WOB2P5Wu5KAZfPYtxsuIJ00FcktdzxkqmseIZl1orZaSmVHmM&#10;S71Cl+OOTx2XKhvgdZtMY41HTj9SY9ob5ssC64159CmNMTjOsb6UmXNi3TNS1tOvQ22Fsven0x5s&#10;+3rD1N0HDBko92GAa7X5LhUsIe7hxY+bD+gdx3Ecx+l+LCFuz8EdnV1bd3WheiFu1yKlixiQSmLS&#10;hhRIYkCm0fkoc+BTx4EckSNVRjPyD2CZMSAb6TwQUCCl6LRSCsrpjyQ1rmgD22mJR5grLX5JLFkK&#10;WHmssW2lbUxnxWmaXVtF/UfdqTamkGWUiSNMY60BKbtJdFpLDLOQYhRAuxgnr6fAOpFlxgQzwnTW&#10;GBTNC8G867zML9NZbdFjAwFNpwHN3Oc56P7pn5tamovJf6BovnLWS87PHZnGiu89LK5v6FqIq238&#10;9T/U5wb9D4W99tvfeHDfXkBaoWCSCpBcLDkK13KFLpShT0iT5AYph+QG5JGnYyFYYoxG901KRGUC&#10;6o4JS7iu25YKKTkGcTLE0uo5Z78oNSFYr7XVoO066HHVQcZpcttP9Gl3DKl1BnQ9qaAlJ03O/aOD&#10;zC9lsKK6NJwvSzKLwTxY2/I6A0RRuQ50iI2tlOZiAf2z7oMqhDgZVxR0H+R6kNeL4gjTWG1KCZMY&#10;L0qd1lpnsOL6F2Obeqhu/d79zIvlTjrr7RSJTPLkMA3EKAht+DompUGs0vksKNuRlLxFmCZWN9um&#10;kWl4DWXJ6yCnDan8ENKkyKahqMf0RWPFE/es/kqhTSLbVdQfCIyp9gLULdtMXIhzHKdyIkIcRDdc&#10;Lwp9QYgDPJkNn5DVdLw8zcwSSnAtFheD5UlZScowMVEHbZFxRUIfhCEKR0DHxygr+JQdA9numGSE&#10;8ZBxch5iEp0U7bREVYVgxbFMSWplxo7prLljHMBY6HjZVit/6sRBjD8lKWCNhxxL674AqTHtDfMV&#10;o+ieR3sRx+9j0h7BOi3bDuuekbJs7r2Ug1WX0/5AiLNEtmaEOLxmVZfjQpzjOI7j7Dq2C3GNv2+7&#10;EJcJJA0IIFLmgDQFWQOCiZVHAqECaaUUBlEJ0gmEFC2FAJ7kFBNCpIgTO6kpVQZPYkKbdFyK1Fjo&#10;054kaCPbA5Bfps/pjwZCjDyZC+VTamFdMeEHY478sh8oC33TopTMAxmJ84j0ltgEmm0by461W9PM&#10;2gLsf6yNlO1y20FS7c/pG9PE1gDWjJwz9NOaL1xDH2T/UDbSx+YY7WI6HZdCtid1D4CcMeBJcCwT&#10;oA7MT9HPGylJWmsT88424DO21nG9mfu8CCnkoY9WGtn3VF0581W0XnJ+7jBNqp7ewXYhrrbRPyn3&#10;3/JCXOM/FPqCEEcgoUDc0AIYBA952lMMCCZWfsgekHVyysiVwqSUViaPlGVyBSLkk0GeKldUN8YC&#10;Y1Ik+BDIhRC8tNQDaQbXUHeRxId5kCElL8mAsjE/UmgqOkGPaOEH/ZDx8hQ3SxiS5LafYDz0KXFa&#10;9LLAnBTJWwxFa0UKUzkB9cr86APbUuaEOIwzQ9E4SaREKK+zDWgP1gLmldfwie/13GqQF+XLnwPI&#10;izGU961G9qWoDt53el7YL9Sny0C7MEZcK0gj47HWretFcYRpYmsFfZdjgnZg3WCc2R/rfkOdsbj+&#10;BYW4jk65Bxc9VO8PQhykrVpX6+hT2ghELcpYAF/zFDJKXNapYQSyFsQ6npgGIF5BroK0pmU4wNdz&#10;Ip2OI0yTqhsSmDypTaelAMZXl0rYt1QbUvmB1XeMnzwxTgJpDG1kWpSP/CinqL+YP5kX9cjXxTJ/&#10;qj+oB3Mi5xvpUS7n3CJnHTFNqn7HcRyyeuO5T9Z+ZpTeuxn0793tKsRJEQ1iC2QhXIcUI0UXYAkl&#10;MdkE30OgkSc9oeyYKAQZhqIOBBzIQpR1IP6wHi0/SbGJshzySTGLyHwoE/UhD/sM0F4KQFJIQ3lo&#10;A8aL7cKnlJpYfw5ybCGYsQ1yjOSY4jrbhU/ZDsTJ/sp2kyoEK84B6ufcYbzk+Ml28FoMptNzKuNk&#10;GvZXzhE+eV0iT/nDeDINxo15iTUeciyQH9fQT7meU2PaG+YrhlyzmFPOJdqHdrHdTM+1yn7wOsZC&#10;3n8yD0BZZe8ZOW/IK8cbefE95gNtkfmaqctpbyDEWSIbfr+uzXep4EKc4ziO4/QuOjs7B+rft0HX&#10;1l1d6ItCnOM4juP0bmJCXEf9D/W5Qf9DoS8JcY7jOO0KxDKGlBwohUsr3umdTLtxXFMP1a3XvPQ1&#10;Ic5xHMdxeiNxIW7o1fVNuiBYf6C3Htq3A1JS00CGoaQC4UTnxTUrjtdjWKeMQcyhjGMB+YayS04e&#10;Cm/8XuaTMpEFyoyJXhZomyy/CPRDy0QS1C+FQSBFsBgYdz1GoArBCvUzXiLLk+Mk81owHfLE4jB/&#10;qT5LYUqSGl+UB3GK38fGw8ov13nRmO7q+UqRuueBFN9y7kt+Leto9p4pahuQJ9iBqu9Pp/fz/7Zt&#10;uPqHA4Z/V+/DewweemRtzksFF+Icx3Ecp3cBIQ5vXdH7M/b+ru27muBCnOM4juP0PNiDcSKc3H9d&#10;iHMcx2l/cl+5Kk/zs+Kd3gmFuD0GD10l9+Cih+ouxDmO4zjOroFCnN679xzUMbO+SReEviTEAQgw&#10;UmzB15RiKA9ZJ1nx9CgdB5kM0pssE1IN0sUkJoB8EGJ4WhxAGRCjLHEIQNhhOwDyQpBBesSxbp0P&#10;/UI+KfugLrRb14Xv0QYt+uH7Zk+eQplopxwjtB31SxlPkhpXKTFpOA5Ai3Y6jTVWBHMn60b/ZVsp&#10;IKbKIBx3a/wYh7IxTjwVjGXj+1g/SCwf28vrsXJ0fq4rxueM6a6erxSoX65njo8l4KEfciwA+oC0&#10;sXa0cs+gXH1vYvyZF2XL9K3U5bQnLsQ5juM4Tt+lfkJcbU/X+3OPCHGXXDbffHjvOI7jOE411Pfg&#10;QR0zG/fgjtfrm3NmcCHOcRyn9yFPiMOrSXESHK4xHq9QlTIcXv8q8zu9m2k3ja3v1diz5R5c9FDd&#10;hTjHcRzH2TWs3nBeU3s3g/U/1q2H9o7jOI7jVMu2bRtnWkIc9uaubTo7WELcnffcbz6gL2JL5+eh&#10;89NPw+aNG2qsD5s3bQxbNm8OW7duMdM7juM4jmMywnLVsGd3bd/VBOsP8y7EOY7jOE73gj0Yp8nI&#10;/Rf/Y72+OWcGF+Icx3F6J2+/80iX7pYOW7ZsaJDlnN5PTIjDqa/1zTkSXIhzHMdxnF1DTIgr2rsZ&#10;XIhzHMdxnF0DhLjte3HjPtyMEGeJdc0IcVu2bgmfrV8TNn7wXlj77lth9TtvhrXL3wkbV60Mn0OM&#10;27rVzOc4juM4zk6YQtweA4b+qGv7ria4EOc4juM4Pc/VVz/53aqFOGA9vHccx3F6HrwuFae/4ZQ4&#10;Gb786i9h8+aP6yfHWfmcXk99r67twU/K/bcZIe7hJyabD+4dx3Ecx6mUpvZuBhfiHMdxHGcX8X83&#10;1PfqPQd3dMp9GH8Tr2/SJULTQtzWraHzs8/CJ2tXh9XvvBE+eOnZ8O4TD4W3Hl4YXr/39vDaPbeG&#10;N+67I7y96L7w/pInw9r33q2fHPfnLVvCVpfjHMdxHCdKbZ880vqbuQtxjuM4jtMHsIQ4/HLftT1n&#10;BesP88aDe8dxHMdxqsOFOMdxHMdpLyJ7d8eT9U26ILgQ5ziO4zi7iF4gxH3+6adh40crw/JnFodn&#10;pv0m3P/LU8K9554Q7jv3xHDP2ceGe846Ltxb+1x45jFh0a/ODq/edUtY9epL4dM1H4ctW/wVqo7j&#10;OI4Tw4U4x3Ecx+nDXH/9w7vhl/fGPbicEKfz+ytTHcdxHKd7mXbj2PpeDQFO7sFFD9Wt37v9lamO&#10;4ziO0wNsOLepvZvBhTjHcRzH2UV0CXF4q4rch/GfzOubdInwkwFDdpNlgBwhbtPHq8IHLz8bnp91&#10;bbj9hLFh7tiBYd6YAWHW6L23M2rvcEvt+/njBoVZE/YNj15xXnjzgbvC6neWhq2dn5tlOo7jOI5T&#10;F+JOg/ym92f8Hb1r+64mWO9lvfKqBebDe8dxHMdxqsEW4oaGru05K7gQ5ziO4zg9S0yIq/1e/Xp9&#10;c44EF+Icx3EcZxfRJcTtOahjZuNenN67GVyIcxzHcZxdxDcb6/I69uyGvbi2p9c36RLBEuIeXvy4&#10;+YBesvqt18MLc6eF+y84Jcye8LNw2/hB4fZxg8I8iHFd4Nqdh+wTpo/cO9wzZVJ47ubfh/dffDp8&#10;/ulnZpnOt4wcORLPQ8KPf/xjM74MH330Ub28ffbZJyxatMhM4ziO4/QeIMRZ+7MLcY7jOI7TB7j2&#10;2kU/sv6wjuPbu7bowuBCnOM4juP0LBTiyj5UdyHOcRzHcXYd2Itxmozch3HaTH2TLgjWf2QzH9o7&#10;juM4jlMtvUCIW/7MY+GBC08Nc4/cP8wYMyjMGLnXTswctXeYPXpAmDVun/opcosuPzu8/eh9ofPT&#10;T80yq+Cuu+6qi2QWkMsmTZoUli5daubtTch2W/FlgATHsiDFWWkcx3Gc3sPWrVunWvsz/LXaz/Lq&#10;Qu2X/yN1JS7EOY7jOE73AiHO2oPLCXGNf9AfPOwA8+G94ziO4zjVYe3BRQ/Vrf+I9tpbvzAf2juO&#10;4ziOUy3Yi6sS4vY5cJT90N5xHMdxnIrZUP+PZ7W9+Em5F+PE9vomXSJYr2QrEuI2b1wfXr17Xrj9&#10;pHH1V6POFBLcdMGMUduluJljBoU5h+0X7p4yMby2cF74/JONZrlVcPHFF++Qv1LMmDHDzN8TfPe7&#10;36234ZprrjHjAU+Iw6cVXwYIgDl1thvoC/qEvlnxjuM47QqEODwT1/sznp3Xfu5VF1yIcxzHcZye&#10;5w9/WDzQejjuQpzjOI7j9G6sPbi2p9dPjosFF+Icx3EcZ9exatWF3y27dzO4EOc4juM4u4ruFeKe&#10;WfKC/YB+y9bw2fq14eOlr4Ql038f5h11YLhlzIC69CZFOAmkOLwyFbLc/GMPCi/eckPYvGGdWX4V&#10;SCFOXsdrQyHBUQwDOE1OpukpWD/aasU7ecTm2nEcp92JCXF4u1rtZ151wRLirr7mQfPhveM4juM4&#10;1RAT4nA8bNcWXRhciHMcx3GcnmfmzOHf3fn1aS7EOY7jOE5vZbsQV27vZtC/dw8ff7jxwN5xHMdx&#10;nKrZtm1j/TRXCHByL4YgV9+kS4QyQlzn55vDuhXLw7uPPxQe+93UMOfQ/cK8sQPDrNFxIQ5Ahps7&#10;dkCYNf4/wtPXXRk21Mqwyq+CIklqyZIlO+LxClUrTXfD+l2Iaw0X4hzH6cNcXfvZ9l/0/uxCnOM4&#10;juP0DUZYD8fxy3nXFl0Y9hzUMVPmdSHOcRzHcbqfZoQ46/duF+Icx3Ecp2ewhbiheLBYGFyIcxzH&#10;cZxdw7ZvNtR/z+5xIe6zz8LHb74aXrt7bnjokilh9oR9s4U4pJsxZlBYfNV5Yfkzj4aNqz4IWzZv&#10;NutphRxJatKkSTvS4OQ4K013wrpdiGsNF+Icx+nDzKz9bOt+IQ4F6kpciHMcx3GcbmfE7gOGDNR7&#10;cCtCXMfIYeaDe8dxHMdxquP668fuVvahuiXELV95tvnQ3nEcx3Gcalm14azdrL+Bd23TyeBCnOM4&#10;juPsGijE6b+B7zm4o/4q1TLB+jv8a28stR7Oh88/+zR8+Mrz4aVbp4cHfjk5zD7kZ4WvTN3OT2vp&#10;9g4zRg8M959/UvjT7bPCyj89Hz7ftMGspxVyJCmZZtGiRTuuL126NEyZMiXss88+Da9W/cEPflCX&#10;6HC6nCyH8NQ55MH3eBUr8jAvvpcn05Vh5MiRO9VH8ApYxDMt24l+6LTszzXXXBON4/cYH5yex3Ix&#10;HqnXy2IMUS/SMQ9AGRjPmHSItiAd+4hydH8saVCmsUA7dJ4YaJvuL77GNd1uOYfyuoR94lqQlF0n&#10;qTGX6eQaJlgbej7wPa7rtJx/zJWOk7Ct1hpyHKdyuoS4jk65P+Pv7rheWbD+GGA8tHccp00599xp&#10;YffdB+74x8D3v/8PYeLE83bEX3XV3WGvvYbVryP+7/7uv9XTyzLaEfa5L/TF6Ztce+2iI61fxHGt&#10;tnazwl5Dht4p87oQ131s3vxxQMCnFe84Raxd91bYsmVDWLHiWTO+N4E2Imzb9pUZ31t57PHf19uN&#10;gK+tNE7zVDG+VZTRK7hx9I/KPlR3Ic5xHMdxdh1r1577I2sv/uGA4d/t2qqjQT+EdyHOcRzHcXqG&#10;mBBX29Prr1ItE8oIcXhl6pp3l4alDy0Mj151XphzyJAwd8zAMHNkwQlxo/aqi3MzRu0d7plydFgy&#10;/Zrw3tOLw6dr15r1tIKU3ax4INNIeYxiUApLPsI1xkM4kukB6mtWiIvJXfKUOw36gfpkesahLfK6&#10;jMNYSDFMY4lQOf1CeywpjvOAPkLG0vkI+irzVSXEoU2p/uqxkvMsr0vk2tJxOesE6bgOKQpayPGS&#10;Y4uvtQiniY0n6pXXJZDzmD8l6jmOUw1bt25dWLvfXIhrhhNPvGzHDyzNP/7j/6jLPxdddIuZF5QR&#10;acaPP62eFhKRFY/6WDfqtdJIUA7SQmKy4qsEUhTb9i//8r/MNCkgUqH/yMtyKFOhbMRb+SRIh/Ts&#10;N9uCcq05KhpvCcaQZcbGE20cMeKYhnkCaAPmqyfmoTvBGMqxlf1jGjl/EllOO8J+yb46Tm/iD394&#10;9DTrqPYyQty/7zt0kczrQlz3AZEJAZ9WvIYCXdnw9juPmOU523n++Vn1sYWoxfDlV39pC9FMBiu+&#10;VaqUNj/66JV6WQhWfG8F64MBX1tpdiVlRMPeKI5VMb69fY6yuXF06Yfq1u/dLsQ5juM4Ts/QihD3&#10;H8NHNfxHtEOOOd58aO84juM4TvVgL9antXa3ELd165awedPGsHrp62HJ9N+HOYcPDfPHDQqzRg0w&#10;RThCIW76qL3D3WccGZ6+7srw7hMPhU/XrjHraYWUkEQoQWkBCN9DFoLwIyUjyEuUlJBX5gFSdGK5&#10;aAeuQyLDp0zPdFq4klBqsuQu2Ue0l1IfPik3aZmK6a06Gcc+Ig3LRNulNKb7AiEO+SBoyTiMn2yn&#10;dfqYjAeoh2XIvgDrZDOZX8flIE9zk5IX+oRx1WOFthXVl2qTzA9i6yQmu0l4WltKbsOYMT/GU7ZN&#10;9i1HdkM9iEe9VrzjONUSF+KGXo3rlYW+KMRBcKp1rRB5SpakjEgj67LiGUdidRKmO+OMa8z4KtES&#10;WBn5C/2wRCsJThyLlYnrPJEsBsrX41U03hKMIdNa44k2FPUB9el8VcL6IfpZ8a0yZMiEHX3hGECS&#10;49cYA91XSIKQSllGu9JTQlwZgbYZunuNOLuOKoS4vfbb/wmZd/g4F+K6i7JCHNOXDe1wetiuYtOm&#10;97tGKR6sfJTndvXYfvHF5no7LGGtCvmp7BpN4UJc91BmXHtjX4ralCNl9sZ+NUVFQpz1wN5xHMdx&#10;nG5gw3kD9xzcMULvxTlC3NBR4++VeVyIcxzHcZyeA3uxFuLw4Ly+SZcI1r8DVnyw0nxATz5bvza8&#10;csfsMH/SQWHumAFh1ui9wwxDhNvBwXuFOaMH1tLsHRb+4ujw/Iw/hPeffbxejlV+K6SEJCClJC0T&#10;pSgjOlFsisF0UkrSxIQ4CE7Mr6U3ArlK9y1VJ+OAJZ7JU+DKjBnIFfsgw2n5C99T0rPqLZrrItg2&#10;S9azkPNsxYMq1okc76L50CIfr+NrmYewfRhXeZ3jHFtTjM8dK8dxWmPr1q1P1u45vFllldyfKxfi&#10;BgwddY2s4KdDDjIf3LcTMWkKoo8WuSzxpzuEONYJCcxKR5i+u4U4KUIRyFNWWg3GUObDSWoYR7QZ&#10;nyiH/bXGUItoSIMykR9gTKUsJ/MWjbcEZTGtNZ7yFaFSvIMwhu/RLkpi3QXb1131cC3HZK0y49lu&#10;sO/WGqyS7q6H89Pda9HpeSDE/WTAkN3kHrydjhG1Oc8KA4fu/6zM60Jc91FWNrrv/ql12UPDALnL&#10;ir91/slmef0dnJzHANkG48s4jBteRxo7dYsBMpIV3xtAHxjwtZWmCBfier9s1deFuJw12Bv71QzX&#10;3zS29EN1F+Icx3EcZxcSEeLwO3nXVh0NQ0dNaPi924U4x3Ecx+k5Qlj13V0lxG35fHN44/47w12n&#10;TAizRu8VZo3auy7Fzax9WkIcRLhbxw6qfz544anhrQcXhDXvLA2ff7LJLL8VYkISTsiCKEaxB588&#10;BS0HKTNpkUnGoQ4ZZ8G0aKsVD2IiGQQp5o9JTxapOhmXkp3YnrInhKUEMRkXOwktNg4gVXYOPE0N&#10;fYrVL5HzbMWDVJvKrBOeAGcJajxBTkttvG6NFZFtkOuHeYEeC3mCXJk15zhO81CIq+3Rrzfs0YM6&#10;ZuJ6ZeE/Dpxwg6ygLwtxRMpgOCVNx5cRXIrqYpxMlxJbmMYSuKqEJ4dBCmN/i2Q9ICUziGQYSysd&#10;5ENIWHoMcV3KcFJE03DMrGv6ukVKiJOv1d2Vp6GxDak10Qo8BTBWfpnxbDfK3Met0N31cH66a404&#10;u44//GHx1FaFuP84cP9XZV4X4rqPqmQjht4sZ/VGeLoaPq34FAwuxOXjQlz34EJc3xfiUg/VDxx3&#10;4MU6vfnA3nEcx3Gcylm97pzavr3z3o1T27u26mg4+NCjGn7vPu60080H9o7jOI7jVM92Ia5jqtyL&#10;a3t6jwhxYNmTj4QHfnlKuOXwjjBj9MC6DDcjIcTNGzsozBq7T3j8d1PDh688HzZvWBe2dm4xy24F&#10;KSTFgGxUVuyRIhG+zo2zYFq01YoHMRFMikvyehGpOlNxJCV6pUjlyymTabpDiJOiF06oi70ulMh5&#10;tuJBqk1l1oksRwtqlOW0wMg1k4tsA+4HXten0vF1qdbrgh3H6TZer9133S/EDTnoiFmygv4gxAGc&#10;asY0kLRkXBnBpaguxiEdy4UQpuvU6btbiKOUhnbJE9+K5DD2AcRkOIlOI8cr5xWQqfzyukVKiCtT&#10;TnfCNqA9VnyrFJXfW8ahOyhzH7dCd9fD+emuNeLsOiDE4SQZuQcDvIKtNudZYfAB+6+QeV2I6z6q&#10;ko0YXIgrB0Mz48bgQlw+LsR1Dy7E9R0hbtq0MaUfqo+YMKLhP6INGjbMfGDvOI7jOE71QIjbfcCQ&#10;gXIvBjlC3NijJi2VeVyIcxzHcZye48svN+y2sxA3FM9MSoWfHTT+RF1GjhC3+q1Xw4u33BAeuviM&#10;cNsJY8Ks8fuEmaPwatS968zC12MGhLljB3a9UnXvcPvxY8OLs68PG1a+Z5ZZBVIk0kAYwslcqdPA&#10;cGocRKOUXKRlpjKiE2BatNWKB6xfi2C8XlZOStWZiiNyXK149BviFNrFdBqdp6hMwDR6HGRcKn8R&#10;8sQ9gFPXMP/W6YFynnUcSbWpzDpB/UwrT5OT4pqWOinK5WCdkMi502PNUxVzTj90HKcyTCFuj0FD&#10;F+J6ZaFj5FH3yQoGDxtvPrhvJ3IkH5lGy1JlBJeiuhiHdFLQir2elPHdKcTJ09HwelDIefweoqCV&#10;B8iT9VLpUlDEyzmNziJnbkmuEFflWGMsUTZPZgP4GtcoQcpxjCHbhDnCesF6lKfrYQwxD1oazCm/&#10;iNwxQTq0gfcMQZ/R5pj4CRkS6fgqV5SDr5kffcOY6XyaVL4y97GGr8yV5aKfmAumkXNhIduPcUCf&#10;USbKYhqUgfZrEbXsGiFoH9op67Da7vQWHr+6VSFun2H7N7xXffThw80H9+0C5Ai8SpRSBQNOBcMr&#10;MWOvE12x4tl6OrxKE9+jHHzN8OVXf8mSoVL5qpKNGIra89jjv6+PBdrAgK/5qlUrD2D7MSYYL6Rn&#10;4PgAlI/A14y++tqCHXXhE98zLcFrS/Xc4Htc12kJ2oC+8oQ3BHyNa2VeD8uQO/7sXyrIcSwzHugv&#10;xlL2CQFtw7gznYZzI+eBazcVZBkpODexMcJrZvWais0f5odBx2He0G7klWVh7NA3a+0QpEHAeHNt&#10;yDKQH3FWXpLKhzlliN0n1ppk21P3lmw74HjjOsqz8mhS46rJ6QtAHNrO9iEU3WNYC/iZij7IfBhT&#10;rBH0z8oXa5MswwpyfHQZaCPqZBn4xPextvcabhx7ZNmH6mMnHtzwH9EqF+I2nBdWrz0nfNzF6nW1&#10;zxqr159rp3ccx3GcfsTHG84tvXczuBDnOI7jOLuOr79e+6M9B+93mtyLQdc2nR1GH3ncFF3G+g0b&#10;rYfzDXy2fk346M1XwmsL54VHLj0z3HbsyDBr7KBwS12CGxBmj967LsPNH49Xpe4Vbp10UD3d0ocX&#10;hs82bjDLrIJWJCl5+loKLTOVEZ0A06KtVjwoEuIsQSxFqs5UHImNK+RCtqkImQ/kzBXTWP3NyZ8D&#10;JUiKXwBfp+ZZXpek2lR2nVBQk/Ij1yjkN5kWsP1l1waB8Mb2UZaTp+hZkqDjON3Gqtp991/2GNTx&#10;pNyfKxfi9h89aZGsoD8KcVoUKSPSFNXFOMoxUt6xBBXG5QpJzQA5BnXI18XyGgSdIokJNPOaUSn5&#10;xITAInLmlmAMmVaPp2wLxiHW5zKgDCnCabgGyspOReIVkOl7SojLqSe2njiPuMf4+l4LrEudl8i1&#10;oME8cC5y7mMJ7wULWVYZIU7e9zFk+rJrBEDiS7UJcShX5nF2NYtnWkIcfsGvzVlW2HfEARtk3nYW&#10;4iBgFAWIEpYkQckEcgckj1iAZKHzEimq6AC5hPIM6rDy58IgBRFNqi0M6KeVl5IO4rWwhcB0UkqB&#10;EKWDbB/GnOXGgjW2yGe1gSE1BhoIPwwpAY/krCcp9OSOR47AFlsjHEMZ31NCHMYjJS3JsQByDcrr&#10;QM5FLMTmlgH9lkKbDGgn2mvlh8gVy4eAdcig+wRQbio/Qmx9MaDteixjc65JjatGrkmrLyD18w4B&#10;95/1MzO1FhisOmNtKipPrgdZhjWWDLG29xqaEOKOnjzmHpm2aiFu9bpzw0cfnhk+WP7zsGJZjeVT&#10;woe17z9ec46Z3nEcx3H6Ex+vO/c07NNyLwbYz7u26mgYffjENTJPM0Lctm82hG1frQ3ffLmmDr7e&#10;9tW68M3X6830juM4juNsJybE4e/qXVt1VjjqpNN/qcvIEeK2dnaGzRvXh4/e+FP40+2zwmO/uTDc&#10;d84J4Y6Tx4f5kw4Kc488IMw9Yv8w76hh4a5TDw2PXnleeGn+9PDhqy+GLbW8VplV0KwkJWUlCEX6&#10;9Zkpmams6MS0aKsVDyiZabmJr68E8noRqTpTcSQ2rvI62qZPLYvlK4ojTNOdQpwEJ8ZRLMOnPE1Q&#10;zrPMI0m1qew6kafXUUbjKXDWaW2xNZML+sr6WD7X28iRI3dK7zhOt1J/BXq3C3EHjj3uKVlBfxHi&#10;KMtAEtFxFOKQBtJJCinP6HIA4yi7QILjNUgysfQoW8dVAeQk1gGBhtflqXHyukRKPc0IZK0KdUDO&#10;rZ4LjawP3+uyZH+wDlB2K2Ic60NZsn+QkLBOpPBEWL8VR1Ae8qNM2T4pQGGtyjykqHw5nlZ8CvQL&#10;9UNok+OLNspyLflRxgPea4jDPSLnxlqPSCvzUi7VeUEZIU6KaJhPjjfKRZute5Y/L1L1IB/i0Re2&#10;FaAf/FkErPXHuNgcAtlu1CXFN6wb1oH5amWNO1WzuP4OdLkHbydfiPuPA/ffIvO2uxAHMQKChxQt&#10;IERIicQSwWQ8AkQKlgGBpkimkoIG8iKPlRchV3yJwRAThqSMhbowLozDyVtSMINMIvMCSlEM+B75&#10;QExKQcDYIx7XUa6cA44B0qB9lFQwPnLsdZ9QDgLyyVPD0CeIS7ExsEAeGdAv2cYUDKn6cscDX0Oo&#10;wifaxPx6rVinpHFu8KnjZP25/dKkymfbsH5ku9FOayzlvMrrAGUhD9YC7xWAMuT6tGQmHVAP06E8&#10;jDsCxljnBewjAuaA12VeBt0n1EMZDu3Ua1LOnzUHOmANIx3qBjq9hRxX5E3B+wcB3+uyZDzK5Vyg&#10;n3I8rPWAOLQfYyDnSebDGMk8AO1gsNrE+bHqJLIMBNTH8UNb5BhZom1v4YYbx5R+qH7kSWMbfu/e&#10;f+wI84F9KTacFz5ee3ZYufLM8P5bZ4R3XjwlLH3mpPDGEyeEN54+Mbz9wilh+Runhw8/ONNPinMc&#10;x3H6Na0IcWOPmtTwH9GmnH+++cA+xVd/XR3+9vkH4S+fLAtbN70b/vzp8vC3LR+Gb75cu1NayHP6&#10;muM4juP0V7Zt2zAQb1SRezEoK8QdffLp1+oycoQ4ALHts/Xrwtplb4cVLz4b3lp0b/jT7TPD09dd&#10;GR657Kyw6PKzwlN/+FV4ce6NYdmTj4TV7ywNn65fa5ZVFc1KUjx5CxKUFZ+SmcqKTkyLtlrxICY3&#10;yVO8tHyWIlUn4zAGOo5Yp5XJ6zFhKjUfOXPFND0lxAF5Kpqcz5x5lqcM6riy60QLavJ1qdZpbVKW&#10;TL0WOAXmEfkxryiDciDkPCu94zjdRpcQN3Sh3J8hyOF6ZeGAUUc3vJN1v4OPMB7atxdFko+UaawT&#10;qCi4lEWXAxgnZRZ5IpYUiWR6fb0qIOSwDi3GUK6ypB8gx8WKL0LOS7P9k2WUwaoP/ddzjTFAHc1I&#10;QyyrzOl3rFeujzLI8bDii8ovyt8KHA986jhZL2QtPd74nusxdY/GBC8pQ1r1x2C70CYr3iLVzxzk&#10;zyNrnTIuNoeAEmDs3pXjibGx0jg9z7XXLq4b7nIPBrWNfiqu5wQtxB16dHu/MjVFSrSQAgUkDil4&#10;AHxPycMSLFg20ui8QIonKdEjBwa0WcfJdsbqQRpKPZY0xL4gpNqqpRRLbgEQhRjwtZWG44+2y+ts&#10;S+w0u7JIWYcBdcTaThisMSe545FCzp9VF8fDmhdZfzN1g1T5DJaoZyHvKSs+RlE/ZLAkMlmvlO2A&#10;LNsaX6SXQp6un/cx7hvrPgccQ8hxOk6G1FpKIftXJlhjybUmxUCJHK/YvWuRmntZptWm1Boksgz0&#10;wWoby4mJkb2BZoS4Y08b94JM24oQt3rdeeHDj84O77318/DqomPDc/MOD0/cOCE8ft24sPg/x4RH&#10;fz8mPFJj8X+ODU/ePCH86YFjw7LXTwsffviL+mtUrTIdx3Ecpy8DIe4nA4bsJvfi7XSM6Nqqo2HC&#10;0cd9KvNkC3HfbAhff7km/HXLB6FzzRth0/LnwvqlT4Y1bzwW1r31ZPjsg5fClvVvha/+8pGd33Ec&#10;x3GcUJUQ9/NzL7xVl2E8mM8Cr0Jds/ztsOzpReGVO2eH1+6eW/v60fDxW6+Fz7pZhCPNSlIUgaxX&#10;UQIpommZqazoRMkoJaDFhDiIUKwrJqFBXtJxzIPxkddlHLDEJ9k/nZ99gYwlrxOOK9BxOXPFNJYQ&#10;J+ekWQHMIjafcuytcURajgew4hkny00hBTXKdlpKJFLks9qXgyxDyn1Vjq/jOFn0jBA3YtzxK2QF&#10;fVmIw8lMkEEohuBTntZEKLiURZcDGCdlFimnaImG6btLiGPfLHFGinpF46LjcpDz0huEOAJJ8Pvf&#10;/4eG9JifsuIQpSSUZUlaFqwvJTulaFWmkuNpxbdCqmwZFxsrrjd9jyA986bkQ56KpvOnkCKdPGUt&#10;RaydZWCd1jyl4oAcj9Q6Zztj0pzT83wrxHV0yn24jBC374j9/ybz9mUhLiVpyLgi0UWLGkjPkBK3&#10;KNqkRI8cGCyhBoIQQ0pckum0lCJFkthYACmlxIQawFcypvoty5JyC0/cKmpLGSA9QWrUAe3TAhVh&#10;sMac5I5HERx/a7xScbJ+Pae5pMqnPGWJXhap+60IBmu8GWL3WmocuBYRYusJ9w2Dzs97OLUO2G+M&#10;l45jyB1DCzmuZYLui+ynvK5hKLOmU3OQigOpNUhkGbGfc62sv55i2rSxU8s+VJ989oR3ZNpWhLhV&#10;qyHDnRFeeeS48NAVI8O8o/cJsw4ZGG45YlCYAw4fGOYcNijMGj8gzJu4T3jw8pHhxXsnhWWvnFbP&#10;a5XpOI7jOH2ZjzecU3rvZhh52FF/kXkuuvwy84E9wetQv9z6Yfhs1Sth5ZJ7wpv33Rxevf0P4eU5&#10;vwsvzrhyOzN/Hf50y+/C0nunh7WvLw5b178dvvzzKj8dznEcx3EU275aNwL7tdyLAfb1rq06K5w9&#10;9dKGh+3AeDCfzeefbgrrP3gvrHr9pfDRG6/Uv7ZOhdu6detO16ogR7KykHIVyqAAhFO5pNQFtMxU&#10;VnSi7AZ5iqe8QUSSp37FhDgg2wNpifnwyVPCdD6mt0Qpxsk07D/aRckLn1qMYlsQJ2U65OPpcUTm&#10;AzlzxTTWOMhxp5CHMUDdOq0F2ozxkyft4Wu2G/EyPZB9wprBNYyJ7AvRecuuEyBfm8rXpaZOa5Pt&#10;w5jIvmFskBdjiXmT+SScb1mOlc5xnO6ldv/9lz0Hdcxs3KM7Xsf1ysJB40/6WFbQ14S4GJCWYsJL&#10;GcElJf0AxmmZReaTr4TktWaFsRSQ3Fi+9cpS/bpIHc9xATouB9nnZvtXNN6SIllMg3mQr68E1ulk&#10;MTCmzIdyrDHWML1eH7kU9bGo/DLjWZZU2Tn1Mo2+D3Pntcx9THCPSGEWa6JIbmymHg37Y81TKg7I&#10;8cihlXY6lVM33FsR4gYdcMA2mdeFuLg8wTRa1CgSPEiO6JEDA9qj43IlEEhnDFp0yW1n2X7nBlmW&#10;lHYgI6Ukv7JQjKPohRA7bYrBGnOSOx5FpMY/FVdF/anypUwGocsaJ0nuWrRgsMabITUXDHocUv0j&#10;qXEsG2RemT/V9iLKjGuqL7KcnFCmzal6U3Gg1Tmy0ljxvYFmhLgTzhjX8Ht3K0Lcyg/ODK89dkJ4&#10;/IYJYf6J+4Zbxw0Md00YHOaNHVj/Gp/zxw0KCw7ZJ9wyZkC449T9whO1tK8/cUL99apWme3M5Vd1&#10;1P+d+53v/FczflfzxxsOCgMG/XM47Mjdzfju5JRT/71eN8bIiu/LLF12Rn3MsS64PjAeVtqyLHr8&#10;21e04GsrjeM4vYuYEIcTZ2r3cjKMPWrS1zJPkRBXl+Fq//5a9ui8sOiyU8Ntxw4P8ycNC/OPOTDc&#10;dsyI2mft+6MPDHOPHBruPv2w8PKsX4ePXnoodK5bGr75ap1ZpuM4juP0V6oS4i781VWP6DKsB/PZ&#10;bN0atnR+Hj7/7NM6+Hpr5xY7bTeQI1lZQGrSApdExmmZqazoJE/hksi8KSGuqK0QmqQIBRiH8ZHX&#10;ZRwkKS1DEVy3RDPUE8sDZDt13laFOGCNQyytRufTlO0vhDUpVuq8ZdcJ0fVpKVFStDZISnKTJ8OB&#10;XMHQcZxq6ezs/G63C3EHjmk89r2vC3GQQSB7pSSXMoJLkdjDOEtm4alk+OQ1pk+JPs3C068g+ljx&#10;gEKYbBPhuAAdl4Mcq2b7VzTeklxxSgMJilJUM3mZD6AcnGJmnbgHmM5aHxLkRzlyDjRWOxkXK7/M&#10;eMZAvRAHtUwo0Xly6mUafR/mzmuZ+1gCMVTOP0D/YnXl1oOfObgHkU6XT6x5SsUBveaKKPNKX6fb&#10;iQhxQ6/G9Zww6ID9/5/MO/GEg8wH9+0ERAiITvLVhzroPDmSCdNoUSNHzgA5okcODJagwjpyXhPI&#10;oMvJbWduv9GW3AAhTZ/SJk+zQ0AayFmx09zKgnJ4Eh2C1W+GlBSUOx4E/UK9sfGx2pGam7L1W6TK&#10;B/pkPbQdQqV12lrRPYU8yIu6pJQogzXeDKm5YNDjUNQ/EBtHrJMyAT9/ZLmAIdX2IorGVZJaE9Yp&#10;ialgyagYE9yLHFcr6HpTbQKtzFEsjRXfG7jpprFXl32oroW4sRNHmg/sc3jvzdPDEzdNCHdNGRpm&#10;HzYwzBm9d5g7ZkCYPWrvMHt07bPGnNr3t44bFGbV4m499mfhgUsPCi/cNTGsfH+KWWaV3H3v4WHY&#10;8P+5Q0QC/7Tb97pNzDr3gsE76rHidzXoN9uHsbHSdBest7eOTXfyrz/8+4b+VzkOmEeW19Nz6jhO&#10;c6zdcN7VeLWa3ItBdwhxneveDB88szA8e91FYd7EA8IdEwaHO8YPqgvr5Lba93cdsk+YUduzH77o&#10;lPDmPTeFTe8+G77+cq1ZpuM4juP0V77+esORlhC3x4ChP+raqrPCBZdd+bouw3ow3y5QSIJEZMWn&#10;4ElfPIkLQC7iiVwUk7Rshu+ZXsfFgGQkxSVIXPKEOJ68FjvJi22VZaDd8sQ4CdvOU80kzI/yUC5k&#10;KabHJ763yiSIk3kA2g3pi2ODOJ0vZ66YJjUOsm6MAfphpdWgfcgr5xtf41pqHhHH+ZF1oi2p/jIO&#10;pMrXSEENX1tpNDwJjvkA1granTphDsh2pubGcZzuxRLiar+nr6rdm9WF4eNO2CIrGDbmWOuhfVvR&#10;quRTRqQpqotxlswiRRZ8LdOnRJ9moYCXiz5BT75StZn2yRPUYnJPEWXmNlecspBtLXNKHKC8JqUn&#10;fG21gfGp8ZDjnqKZ8suMpwaCF++VInTenHqZRt+HufNa5j7WUF7T90zq5MRUPVqyjGHNUyoOUHQF&#10;Zde5s8upG+7Y2OU+XEaIGzzsgB35QDsLcRBsUmKGDDpvjmTCNFrUyJEzQI7okQODJdWwjt4kxFF2&#10;aqXfFG+kOIWvU/WWRQqUWrZjsMac5I4HTlbLkQSt8UrNTW79KVLlE5StZSqMnR6z1D0FGTAmwclg&#10;jTdDai4Y9Djk9o9B5se8MaTqTsHQbH6QGldNrC9ASqDyei7yxMBU0PWm2gRamaNYGiu+NzDtpnEz&#10;yz5Un3z2hM0ybStC3FvPnRzuu+igMGv8wDD94J+G6SP3CjNG7V3/JDNqQIabPmqv+utT7zqjIzw1&#10;/ZDw/jvdK8ThRK5ad5NY+VqhtwtxOJUMbYMUiFPLrDTdBaUwCIpWfF9l9ryxO9YEJUyMPa7rtM3Q&#10;XUJcbz/t0MkH9xzmsifvPUrI/fFEyExK790Mw8cf3pCnSIhb/9aTYcm0S8LCMw6r7dU4wXVAXVyH&#10;rE7mdp3miv0bp8Qtuf7SsOrFB8PXf11jltkfee3Vx8O++w4KY8YMD++//5KZxum9XHfdVfWfSd/7&#10;3nfM+HYGaxN9A/haxm3auKy+ZrF2n37q3oY4x3Ga45tv1p22+4AhA+VeDFoV4gYPG2U+mHf6LrVl&#10;UCdXJHP6NhD7KBjmCniO41QPhDg8F5d7dOVC3EHjT/yrrMCFuJ4T4gDrgiwDCYfpqxZb5OtQc9En&#10;SUlJrJlTpmT/cJqYlaaIMnObK07FYN6cdRBDilCcYxnPOmLrQ/YB7dCvYS3qI+Ni5ZcZT43MC2lQ&#10;C5SpsnPqZRo9/rnzynurlfkDqEOefqfrLKoHc841AMEOa6LMOkjFgdzxcHolLQlx118/dre+JMRJ&#10;UQTCDgSWWLy8XhRHmEaLGjlyBsgRPXJgQHt0nJRUdJxEyj2Qk2Rcbjt7ut9EylT4tE4nawa5BnR/&#10;GKwxJ2XHA21HeVokS41XKi63/hSp8jUYdzlmOo+Mk9eRj/MHMRDzqeeQwRpvhtRcMOhxyOlfahwZ&#10;UnWnYGg2P4iNq0WqL2XK0chyMZb69LhUvak40OocWWms+N5AM0LccaePa/i9uxkhbvWGc8MHK34R&#10;Xr5/Urh7ytAwc9TeYVaXCAcBTgpxAPEzRtXixuwd5h29T3j0mjFh+Zunm2VXAV4NWutqHUggS146&#10;aUccpCGIYd0h+vR2Ic7pebgmukss6y4hztdy34EnQ+LTiu8OuHawjqx4xxbi9hy832m1cYuGL7/c&#10;sJsW4n77h2vMB/bk/acWhPvOPjrMGjcoTB81YPteXEPu0RDhIK7PxGlxxw4PD198Sv0Vq1/95SOz&#10;zCqAVAY5qdatncB1CDzz5t5g5t0VXH75BTvah6+tNE7vRc6fFd/OQHRj37T0JuNwT8k4x3Gaoyoh&#10;7uIrf7dM5nchrv9RWwZ1XIhzAE6Q45pInQzoOE730tnZuVu3C3EHTzj5G1mBC3E9K8RJmUWWVbXY&#10;wlPGIOZY8RLKPzqtFHvwGXsNqESn4dgCLXdZ6Pxl5rZVUYh5y54Qp5EioW4Hr8fWR9G8FfWxqPwy&#10;46nhOtl994FmfKrsnHqZRt+HWBPMG+sXYPty7uMipMyp6yz6eSHnX0uDJFZ2URyQ49GMqOrsOq69&#10;dnF9Q8e70OU+jKNhcb0o3Hjj6B/ttd/+3+ar0c5CHE/4wslHVnxKAMmRQ5hGixoQmhiQRsZJ2L6U&#10;6JEDg1UXXkHJoIVAiUxXRsiS5EgpQJ4mVpW8BgGHIVV3GeQa6K4T4tB/BsyBlSY1/qm43PlIkSo/&#10;RkzClOMpr8u5i61RBmu8GVJzwaDHQa5FeV2SWls82c96HWoODKm2FxEbV4vUmoCIyGC9DjUF5xxi&#10;oxWfqjcVB3LWYFEZOo0V3zsYu7DsQ3UtxB110hjrYX2SlSt/Ed558eTw9MxDw20nDglz8GpUnAIn&#10;HrBLtktyP61Lc5DiHvjVweGdl08xy64CnkaGTyu+u3CJyNHwVL7ukpFciHOKcCGuF7LhvIW18an9&#10;/i33bVCdELft63Vhy4a3w2t33RBuO+7g+h49U4lwco+ui+u1vXzmuEFhwakTwpsLp4Uvt35oll0F&#10;UtRJsfvuP6yfcmWV0ZPcf9+8ensg6/lJW+1Hs0Jc6vS13kJKiJPiKU7Jk3GO4zRHTIjDtdq9lh3O&#10;vfjyNTL/sHFHmA/mnb5LbRnUcSHOAXyFLF6xasU7jtMzdHZ2/kgLcXsO7ujE3l1ZgAAnK3AhrmeF&#10;OAChCGkom4FmBK4ULDtH7pKvYNTSmuwvhKOYFAeBCHVpkUsKXIhL9ZPtkBJRmblNyWI4qSs1J7Ie&#10;vs62WVLt4LzERCauDbTXii96XSbjYn0tM56aojXFtltl59TLNNZ9yFeZ4lOftgbQJpafcx/nwPL0&#10;WLKfuB/kdSLnyLpf5OmN1jwVrREgJVZrPJzeyuL6ht6sEHf9TWMHaiHu+MntK8Tx1ClIL1Z86hWB&#10;OZIJ01iiBkUZfFrSlxRxyshGFgyWVCPlvJgYiPaxvVZbcoQUkCOlACkYtSICSXLrJpDP0J+YgIUx&#10;kaeW6XjGQQTScSSnTaifQZ/MB1qZG1l2WcGJpMqPEbt3YtdTMiaQ/bDWC0NqLTHoeZASmCUkom7O&#10;NYLOL+W/nHWnYWjlPoiNq0VqTUo5s8x8A/4ste4VIOdY15tqE2DZKemwqAydxorvHZQX4k4+c0JD&#10;2maEuBXvTAmvPHxsWPyfY+snvuF1a7eMGWA+aP+Wn9bSDKw/dL/nvGHh1UXHh5UfnBk+XneOWUcr&#10;1LpZp6dlDJeIHE13y0guxDlFuBDXC2lSiPv667U/yhHitn21Pvzlk3fDmtcfDUumXRbmHjW0tk8P&#10;iApxgKe7zq7t0fOO2j/86Zbf1cpYvlPZVZGSeCAe4TWPjPeTrZxWaVaIS63T3kI7tNFx+hLbvt4w&#10;FafByb0YlBXiLr7yd1tlfhfi+h+1ZVDHhThn0aJFO9YDToqz0jiO0zNsF+I6pso9ulIh7vrrH95N&#10;C3GjDp1sPLRvL1qRfEBPC3HyhCdiyU2EMlCqTIk8oSrnVDZ5GpYlO3F8AAQcpEG5aDM+Ie5Q4rFE&#10;LjlmAEIRpDPkB4hnH4GUiIrGW4KymFaPJ6+jHrSXdaMdsn8xyckCfUZZUuDD11JWkukB60Ic82EM&#10;2WcpU6HvlJ2QVgpnQPcRyLw6DpQZTw3rR9ulNIj2s8+xsnPqZRrrPkR9zI92cLysccm5jwnScj3z&#10;GsqWgp2cXyD7wnFAGs4Hvma8bCs+ZV6A71kuKVoj/J5lYE2jHVKMQ1t4X+r2pyj7s8YpS+tCXEO+&#10;Gu0sxFGkgNAiZSPIQTydjUHmAzmSCdNY8ogUbdAOij4QbNguhrLyiYYhJtVIaQd1ow2M02Mh40iu&#10;FJUjpRBZp36dLcYK44f60F6ZD3OJ/sj0+JrlIV6mjyHnF3WgPrQZoHwpQVkyGccE6dgWpJNCV+54&#10;sC70gekgJ6FNsh3W+BfNDQPKRpks10prESsf7YT8BNFJ9hljwDbruYvdUxg/BuRhefiUeRCsNc4Q&#10;W/+AwZoHCodoN8fGGn8EnR9tZBp8og1yPNA3jBHHSuYFDKm2FyHHyIqXoP0M1ljInxWYc7n2MSb4&#10;Hvcr+irzSeEN7UFaXEf/Macy6HqL2iT7x/lBuTJtURk6jRXfG5h247gnsRfrfTj2UH3VhrN2gwAn&#10;0zYjxC1/4/Tw/F1HhYeuHBnmHv0fYc6YAWH26AwhbvT217LdeWpHeGb2YeGt506unzZn1dEKta7W&#10;KSuAXH5VR2E+vIIVafCp47REtOjxSTvSg3/a7Xv1NEuXnbFTXsD6WTYEJ5kfJ97hdbBMj3JQHspF&#10;PF7LediRuxeWH3t9J+tDPNPh+5hohbZQtgFoB+qXr6gl7Af7ZoHxQn72R5aZkr3YXuTXY8I6EWfl&#10;zQVjJ/sK8D2uW+PNNsUo055UnzAuvGaNEeYIaXlqImHbdXrOUwx9b5QtPwc5n4DjjusYB51er1uA&#10;9qTuNYL2y7bj69nzxtbjsO5wLTVOVnsI25Mah2bbnnPvyTItdNuRV99/qAN1yXQxMFeyfAtrjSJf&#10;M/f9/8/enwZrWZ35/vjvZVequmKq+s05L9JJn6qu6n5xkpTH9P9/WmWwEwWDoMyOqOA8gOKEGnGK&#10;kQySOOLAKIoKouKEimNwioqCBhSQQRAnBKJpk9j9W7/n++z93bmea19r3et+hr33s7lW1af23vea&#10;h3vfPNyfvVY7s/WjaaWe3Qxff71j4EGHjarJM2v2rG4v6//61bbw2fu/D+ueuies+OUFYf4xPw4L&#10;xw6sPn/t53MHkOKq6cYNDi/ceHn4ZN3K8Ocvt4T/+uuObnU0So7EAxGOabDTlZXGcXJwIc5xnGbR&#10;LCHugp9e9YXMf+TE08wX807/ZZ999qn+7p45c6YZ7+w9TJ06tboWsEvc5s2bzTSO4/QMu3btGthS&#10;Ie6GG5Z//5AjjhOFV/4RcPx5xkv79kJKJlZ8ERRQckSaoroYVySUQFZhWmDJTUDKNbmijxSXrHgL&#10;KRXpHafwsxSEYkCmick3UvSKoUUrUGZuMYZMq8dTlhMDUpfuewqrDImUrIgUmSRsL+rXcplExllr&#10;hnGx9VdmPDWYW8wR82tk23TenHqZJrbOU2sQ65f3VO59Anjvx0CZOg/ENGsc5Jin2oq8KfGsaI0Q&#10;KQmmkCJdinp+1zhlsYW4/QYNrf7lelG49daxE2Q+cNbU9hXiIE1ooUUGKWXpvDmSCdPEZCS5C5wO&#10;kEQon8Ty58KA9ljxkFO0lKIDxikmSsWkKE2OlELQJjn+saB39ysKlrxmAWmJIlQqxMYE9VhB9jt3&#10;PFBHKnCcrPEvmhspOMlgpbWIlS/7ZgWsJymGgdQ9lbpXUBbnylrjDLH1DxiseUj9nsB1Oddl88tg&#10;rSWGVNuLSI2rJmdNpuaCAfMh8xTdzzJO11vUJikdyiDHLKdfMo0V3xeoR4gbe8LImrQXTD/afGGf&#10;Yt3qKeHlB04Mj84YVRXiIMPNHVUkxB0QOsS5A8Pdpx4cnvjt2PD7RyaF994+16yjEaTUkytzAAgi&#10;yKOlHwklFCsN87Nefq+B8GLJLrJ+yjgWSAeJRIo8EogwqfKBjku1F+j0qfZZY5MaNyDbFgPHj1p5&#10;GQ/xSEo1EowJxszKnyI1zgR16rKLZKTctkBSivUJyHnQ8hDGQ6a10PMh7x0Lmb6e8nNgXpSvx1GX&#10;xyNpY8TuNZDqK8YVdeF7rE2dNxVHWFYsTb1tz733yghxWI+p9DliGsqw8kp0OY3c9+3M34S4Ibvk&#10;8xj/8Y7rsfCXv+zo9rl74b3zu72s/8ufPgg73nkurFoyKyy/6qww78gfVXdyxbHl1rP5b2An1wFh&#10;TiXt45V87664J3z2/qvhqy83d6ujUXIkHikxuejjNIILcY7jNIv//nrHdc0Q4i696tqa/C7EOY7j&#10;OE7v0yNC3OBh40XhQ8NxJ11qvLRvLyhblRHAJJTB8NWKlxTVRVEG6ax4AvGJMg7yxEQyKXlZco4F&#10;25CbHkgJxxKtAK5D9KHMA1AXxk2LbBYQc9AmLXxhHDBeloxWZm6l0GONp1V/mfZrrPHA97gWm0+A&#10;sZZtQP+ltIRxgCgly0V6tpHza9XBPLH1V2Y8LdBO9I9tABg/jAXH3yo7p16mSd2HGAM5dnJc8LUo&#10;vya1JiyhkaCvSCPbodPrtmJuMK+YX+aNzVPRGiGcD7lW0H6kR7+sPDHq+V3jlKcyvv9P5UH/jHwO&#10;5wpxl195xBUyH5g6baT54r5dgEzBHY0YIIdBjoDIgoA4nY87HllxhGlQnhUPIMFIGQTfU4yhCJXK&#10;nwP7Zu1AJUF9qEuOBdoDaUrLSxLKdEXt5Hgi4HsrjQZtonTFgDahLo6TBPOG+ZQyG77Htdw6JfWO&#10;CYAoJecW/ZB50B6GorahXxxnBLQHfUJ5qXXGPFYcgTjE8UK5qbSaVPmpseMOYZKiewrlyfFEm9F2&#10;KXRaa5z1p9Y/08TmQf+ewFeOP+I5frH8aCPaKtuPgDWBcmKSVk7biygaVwnazxDrC+B6ZPsQMAbo&#10;D+qz5pdjwLFCwHjwPmZZul78zKDjZBquAQSUK+VXxDPge5lXp8kZp95i1m1jV+FZrJ/DsZfq27ZN&#10;+/6hY0fUpK1HiNu44bzw9ktnhWfvODosOvVH4c4xA8P80QONl+u1QIjDDjV3nfwf4fEZo8LLS04I&#10;774V3wWpXrSYAUkkR+ignKGlGwlFGCuNljsgtHC3KYgtMh4yTk5+thtfpbDC75EHZQMpKFkSiSxf&#10;x7E8yDbcZQplQpSDkCXTyvFFnZR2kA91WH1LjZuU8RAvZTGMnxTSUJ/MCxhHOCaIQ9nsm+5HESiD&#10;daMMq6+sE2UzTpLqdw7MD2TfZb+IXuNIj3bhqxxTtF3KYFyjktRaIY2Un4L5CNYk+oY+A6ZDvUyD&#10;9up1y/Gxxl72D+Vz7lCPXG8AaXV+zosVR1L56217s+89wvlC3/X9h3x6bRXBNqbGB/1kOtRR9r5v&#10;Z7buuLjz2d24EPfgo0u6vaz/8392CHFvLb0tLL/q7DD/6B9XntEDwuyRBTvEjTqg+jy/Y9SB4aFp&#10;k8Jri64PW15fHr78fEO3OholR+LJEeJwHcerfutb3+xKu+++36vm/fijtTVpb7ppRjUeaVM7zjEd&#10;4DUc48pr+F6mJ6gP9aJ+pkVdaJ/Vfh4LGzsSFuWxX2iTlUaOY+4ueqyXbVr20MKa3fg4fjofQb5T&#10;Tp5Qk4f5Lrrw7G7jTjiuqB8/c+6Y/3/903eS9RL0E/UjvcyLa7ExkGvJitfINRDDyoe1EWubtQZy&#10;4dqS5WLsUJ9cA1YdqTVkjSXmdeGdt3RLS5AH85yTh+MYW+OAa4DrQsN1wn6k7imAdsi1yfHPvT8c&#10;p4ivv/5ozr8NOPg7+nlceaaPqKy57DDlostq8k86a6r5Yt5xHMdxnB5lRHchbij+XdmccP31Tw7s&#10;j0JcfyZHVHMcx2kU/13TM1x33TP7NFOIu/iy9hbiHMdxHKcd+JsQl/dS/YMdFw/UQtwVv5hgvrAv&#10;YtPG88OryyaFeycPrb5AX4CX6MYLdkmXEHdShxD30uLjWyLEASmVkCKxA/IG01nxAHGxNMwPIHNY&#10;gpQUhSjBkKL8UiAB+FnGA7bPkr9k+fI6xoTXrTZrWA7aaMVbxMYN9aXEJaZBf5DG6heuE2tMZL/1&#10;mKeQ+WLrRopNqfmI9S2FnBe0RcejL1IaKiMtyXG3ypZ913E5FJWfgvUW5WX5MVlKjp+UrYrWHOLl&#10;LmxWGzivqfal8tfbdpSFa8249ySsq6y8GIPlxcanaA6YJnXftzmbKv0qLcS9+vunu33utoS4v3y1&#10;Lez+8O2w+eVHwvM3Xh7uPPaQsHDsoDCnYIc4CHHYIW52Jd3Sc48NL91xbXj/xYfClzvf61ZHoxRJ&#10;PIBSCwQYKx5SDsuwgKAl5SwptcUEM0ChDV95rai9KFsKQhZaGJLSlSXrQFRjfEwo4higbiveguOK&#10;8iEKsQ6NJSjJMYyB+bKkOEppqD81d2iTzkswhhSjLBCHNup8PSHEyTpioN86XxFYG6m1JefQWpuM&#10;Q/vkdYxTaixj6zyVR8+dnHN5XcL1aKXBfMvyNTp9aj2n2uA4ZWiGELdr167vQICT+V2IcxzHcZw+&#10;wQicuiKf0aDzEd54uPHGp0bsf/DhNYVPOv1K86W90zfgTlLY8cmKdxzHaQb+u6ZnaESIm3bpyFtk&#10;PuBCnOM4juP0CKVeqjdTiANvPn1qWHrBT6qSG3afwcv21At3SHNId8+pPw7P3Dw+vPHUyWH92tYI&#10;cQDCkHW8IAQMS4yibJISR1JyCfMDyBw6HkjRRQtUOfkZHztGUJaRG6d3nZJxFlICk7JOiti4Sckv&#10;JePIdFr84vXYmMgx13lTUMYpko+YzloTqfVShDxSM7YeMGZMU6ZvINW21DrKpd6+s15rtzMi+23F&#10;E6aR61rmja05jDfTYCx0PPtmxZFY/kba3sx7T0I5LTXmZWAbY+PTjPu+zYk8u4deh+uxsGrV8zNl&#10;evD0c492f1n/1x3h6z9vD7s/XB1eX3RjuOvEw8Ld4wYVHm3eJcRVntMPTD02vHT7NeH9lQ+ELz97&#10;t1sdjZISzPAzJRmQ2nkKQLqhUAYRS0pTWoKxZDcJymG5st5Ue1EnhSWUC9GMcRCIuAOWzivrsgQ9&#10;LfdYkhnrTUlkGo4txwjto0SGNsn2xiQqiF2yL2ibFMIs8UvGA4wVy9D1WnOOuhkv2www5pxbtE+P&#10;laxbXi8iNe8SKW5hfGNtAykZ00LeCzKvXOfEaiPj9FxyvNE23V7UqcvCmLI+fJXrXLZFlsVx1/eh&#10;hP2z0rBMrG99j2sJVK4PjBPXAPKhHeivTO84dfNfO5a2QojDjnHGS3nHcRzHcXqQPXv2TGipEHfD&#10;Dcu7bft+xpRrzZf2Tu+D4w4r01Y9ArHM0YeO4zhl8N81PUeHEDd0qXwOQ5CrPqQLwqWXj7xT5gPT&#10;rxplvbR3HMdxHKeJzLp17C48i3Nfqm/ZMW3CoGHDap7Zv7zxBOtlfRarV54Zll0xPMwdf2D1RTrE&#10;ODDbeNEOsEMNdpNbfM7Q8NLiE8K7qyeHzVsvNMtuJhTjKH0AfK+FEkpAKXEkJZcwP9BxEqbRskhO&#10;/lhekiojFSd3GkO61E5qiONY4iuklZiwRWLjltNnkJL2eD02JoBpykg1OeUC7vqHsdBxqfVSRE7e&#10;emU/kCo/d15S5LTfgvWmxl22LwdZVm7frLyEfUu1MZZf1p+DzN/Me08i5Uus51zZLgbLio2PHAMr&#10;nqTu+7Zmx7Tqs3u/wUM3yedxkRD3/AtPdPvcbQlx5C9fbgnvPDI33HvqyMqzd0BViIO0jue19Yy+&#10;Y+SB1Wf07UccEJZNmxRW3Xtz2P7mivCnXa09MjUGhBcp3UgoysTkIlm+FHSQntcp2EhkvJSqZHla&#10;FGIetFeLWITSj5ZyKEpZMhBlN6IlMSkAxcbJgm0BlkiHPrBuLR0VkZKbpJSGfuuxws9SgJJxgAJX&#10;TGyS+fW6aKUQJ+u1+s009YyprF8LbQBrWMp2Vhtj+Xk9d+3IXf3kPUXYFnlfcdxj4wJia0b2Xa8V&#10;C9aFNljxjtM0/mvH0u8NGL6Pfh5XnukTKmswK+zatev7R048rSb/pVdda76YdxzHcRyn59izZ89k&#10;PNPlMxrg2d/5GG8s/Ozniy/ShU85/zfmS3un9znggGHVDxkjRkwy4x3HcZqB/67pOW6++bHv1CvE&#10;nX/JEY/JfOCaGaPNF/eO4ziO4zQPCnG5L9UhxMl04OY5k+wX9hmse3NKePrm8WHJuUPDguMHh9lj&#10;OmQ4csfI/atHr1VfwFd+njcaO88cGB6aPqK6u9zmTReEbUa5rQIyiTyyVAsilDRS4khKLsmVPJhG&#10;yyI5+WN5SaqMVBykGinFAfQRwo1OCyCqUMwhkA5jUlZs3Hg950hE1qP7HrsuYZpcaUyKZrExIKlx&#10;jfU7h5y8OUIc2o91z53sNFb5qT5p6ik/BfOl5tPa+TGF3IUst29MY7WDc5NqYyx/I20Hzbr3NLpd&#10;mE9IaEXCnQXLiI0P29TIfd/W1CnErXz56QdlevDqa8/aL+wrfP2XD8P6p+8ND049tvrsnTMKz+H4&#10;Tq6zRx5Y3UnujiMODE/8bErYtPLB6i5zf/nTVrP8RpCyiwUEI0u6ARB4mM6KJ0wj5SjIOtZ1QrlI&#10;S1eyvVo6Yh5LWCKUddAveV1KRlL6kbIbRTAtiVHE02UWQQEpJQ6xvcASB2PIfKm4mOAUk6OQnnkt&#10;6Yswv56/VLtSpOadyN3hUnKZTJfqgyS2PiTyfrDKZRzGQF6nxBcTDDUU+nLTA467nk9JbM7lPWDd&#10;qxreDyD2u8NxmsJfP3qmCULcwGHjjqvJ//PrbjBfzDuO4ziO03O0XIi79LLZV+jCXYjru1SmLHz7&#10;2/9sxjmO4zQL/13Tc9xww/Lv1yvEnXPB4S/LfODXM8eYL+4dx3Ecx2keZYW4V988v9sfos2/91T7&#10;hX0GG947L6xacWp47o6jw0M/PSwsPPGgMHvU/tUj1+4aOzAsGD0g3Fn5evf4QR3HsFW4+7SDw1M3&#10;jQ9/eP1ss8yeQIpfcic0CBe4lhJHUnIJ8wMdJ2EaLXjk5I/lJakycsqH3MQ+EshOVlqIMhBmtAhl&#10;7eQUGzdeb0SMiV2XMM3eJMRBnIpJahKr/Jy10kj5KZgvNZ9SbLXiU+T0DTCN1Q7OTaqNsfyNtJ00&#10;496zwBrSYhx+X6Z2jLRg3tj4sE2N3PdtTZ1C3KNPPNDtD9HWrnvVfmHfydbXHg/PXHdRWHz6mDD/&#10;6IOrx6F2CHD7d3CEEtdHDQgLjj4krLzlyvDJey+GP3+5uXoEq1V2I8REI8g9FHXw1ZKxpNyUgxaB&#10;KOBoIUzKclpsirUX8HouMq+UfuQOcJR7IB/FxDeKeGWOSwUxAUmS6m+KlHiWiiMxgUq2JwedP6du&#10;i5xxyC27rOAFmjFXjEM75XUp22GdpSQyKSTqclLE5lOS6iPXOOtNyZmIk787cD/FJELHaQgX4hzH&#10;cRyn39JyIe6yy+fN1IVfcPEt5kt7x3Ecx3GaSyNC3GnnjHhd5gMuxDmO4zhOz4Bnce5L9cefOrPb&#10;H6I1IsRt2XZR2PjeeWH1yjPCs3ccHR6YNiwsPOk/wtzxA6pi3B1g5P5hLnajGXNAWHTaj8Mj1xwR&#10;XlpyQtj47lSzzJ4AYkVlOKpIiYjXU+JISi6R5eo4CdNowSMnfywvSZWR2z6gd9OL1UcwjlI01HJW&#10;bNzkUY3yukYenagFNV5PtZFpdLtiQDjKKRdwnCy5J7VeisjJi/6wnbExx25i6IOWmlLl56yVRspP&#10;wXpT457Tvhi5eZnGagf7lmpjLH8jbbeo995LgfUv29nsOWzGfd/uVPrU7dn9w0FD5uB6LCx5aFG3&#10;P0T7YNvb9gv7Tj7/4I3w3op7wou3XhUePO/4cOexh1TFtzvHDggLK8wffWCHuD5uUHUX17njDgoP&#10;TD0uvHn/rPDFx38wy2wGKYkHYg7FFkuSgQDGvDlouU3u1CUloJh4BmLtlRJdDtaubNx5S4ptEJRw&#10;DW2SdbBuKShJkS6HlIBEUvPDeLRXCksanSdHHIsJVHLOcoDsJfPn1G1RNA6A45lzFCrLQnuseE0z&#10;5ipVp76X0AesOS2SyTpSu+BpYvMpSfUR7dBrDOlia17+7iDoY2zuHKc+dqxqVIj74x//OGLwsFE1&#10;+W+4dbb5Yt5xHMdxnJ5jz54901sqxF10yW136sJdiHMcx3GcnqERIe7Mcw9fK/MBF+Icx3Ecp2fA&#10;szhXiHvyuTO7/SHakofL7fyj2Qop7t2p4a0XTg8v3nt8eOrmceHxGSPD0kuHhfvOGRruPfuQsPjc&#10;odVjUp+sxL38wMTw9qtnhc1bLzDL6wmk6GHtEAdkegnFE0sQkfljxwzi+EOm0Uch5tTP+Jhokioj&#10;p3xNqr+alEQWk3KwoxXzQH6RcRKZTotXvB4bE8A0uUIc4LGUsR3yCNNhZy0dF+t3DnKnLiseyPUk&#10;+ybnwto1DKTaVrRWGi0/BctNzSfkKKbT91ERMm9sPaTWMijqWyp/I22PUc+9l0OuuKaJtYU0475v&#10;dyp9Ki3EzVl4R7c/RCsS4r76YnP4fPtbYePKB8ILN14RHjzvuHDX8UOrR6jOHnVAdYc4SOvzxwwI&#10;c8cfFJZMOTo8f8P0SvqHWnJUKimSeKTApHeuoiwG5PVcpEwmxanUjmux9qJtvJ4rOWkoJUkRj2Wy&#10;75Tm2F4piGl5qYiUgERi/UVdzF+ELA/IOdVxJCZQUVYE1nopIqdui9g4SDge7SjEAeTRYhzuBbkb&#10;W844WMTmU5LTR6x3piOxo1uxRrFeeM8QXLPSO055Ghfi9uzZ0+1F+9yFi8wX847jOI7j9By9IsRd&#10;On2O+dLecRzHcZzmcv31Tw7UQtwPBw9Z1fmYToaTzhyxvjbfUPOFveM4juM4zWfOnOH75ApxDz52&#10;RrfP3Y0KcWDr9ovClq0XhY0bzg9r35pSleNeWnpieHrW+PDkDePC8/OOCa8+PDG8/dIZYUMlDSS6&#10;rTvsshoFAgXEj5hkAXGEApPe0atIlJFyhiWXQP5gPEQy1KXTUE5BG3S8zC+vSxgfE01SZeSUrykr&#10;07B83b5YOZBcmCcmnmGceDSk1Q7mj40JYJoyQpwU0mLrSa4Jq+yy4yeR6xH16Hi0iWtZ1484Xkc5&#10;Mh8oGlPZL2sdN1p+Cpabmk+Uz3Rlyy9acyhb7rhmtYNrw7qP8bNcOzp/I21PEauPOxiiT/J6DiiL&#10;5VrxMbguIdRZ8c2479udTZsu6/bsLhLiFiya1+0P0Xbtet94Wf83cNzpn/+0Nezc+nrY8PyS8Pqi&#10;68MLN10Rlv9scnjowhPC/ZOPCovPPjI8cN6E8OQ1U8Ir834V3ntmcfjs/VfDX//6oVlmMygSbOSu&#10;aFpQq1duklAAosQk69MCHki1l9dzJScNdtxiGfieP0vBisdb8hqlwJgUlCJHQIr1V449xlCPVWpu&#10;cuaNaXTbUuOfQ07dFjn1yqNHrXgi5cncXf0amSvCOIyBjpNAJJPjJOuU90dROZLYfEpy+kjQDinE&#10;FrUF4yF3mIvNoeOU4euvP9rUqBC35g/rTtP573tgmfli3nEcx3GcHuW6lgpx515w/WO68Cuvvtt8&#10;ae84juM4TnNpRIg79ewR22rzuRDnOI7jOD1FGSFu/qJT7pPpwGNPn2W+rG+E9zeeH/7wxuTw+uMn&#10;h98/Oim89fzpYd1b54RNW2p3hWuFFCcFDogWkHUgCgHIGVIg0rszSVEF6SgYQd6gVEIsQUPWDSCg&#10;yDJSkozOr+NIKj9IlRGLw3X0B2NFuQdfpRQlhSykRV/k+On+aYEMeXDdGje5CxXGWeZFHVJO0uUC&#10;xsXGBDCNlMaKQJ+4XvBVjg/i5HjGpJ5Uv3OgEMT6cQ1twPdyLQPdN8bLdWjltdqG9IzHvOIa+izn&#10;vJHyUzBfaj6BXDeoQ7YN7cDPaDvaIvMBfS9yXvV6Y7zOj3SMR3qMDa5jHHLy19t2pMV1mb7o3pPr&#10;lGsIaThn+Ip1hnuc/QCog/MYW98x0E7kQ362B+XJ8hu979sdCHH4vF3zTC4Q4m6bM6vb527rZX03&#10;/roj/PU/Pwj/uXtj2P3hmvDRut+F9196OKy6/9awctZV4cXbfhZWLZkVNjx/f/j4vZfClzvfC3+u&#10;pDfLahJFEg+gKKOPMJW7o5U5vlEiJTSIStyBLLbLV6q93IkK4o28XgYe8wi5ioKVFAFl/Wgv0+eK&#10;VRKOa6q9UvKSO9BRLoqJeFKoKhNHYgKVFLLQNhmXQ07dFjnrVO5eZ8mURKZDf6w0GrlzmxUP5Fq2&#10;2si4InmMxAQ/rrkyEmbOuHNN5QhxpEwerF+2IXcMHCdFTIj74eBDJlfWWVb43YsvX6HzuxDnOI7j&#10;OH2C1gpxZ54zY4Uu/NoZS8yX9o7jOI7jNJ0R9QpxE08fsUvmO+CQQ80X9o7jOI7jNJ8yQtzC+0/t&#10;9odoz7/cffenRtn64bSwedMF4b1154b1a6eGjevPC5u3Xli9bqVvJhAuKBGloBiiwXUrPYDkQYkD&#10;3+u8FE8orci8EogeOq/MD6x4wHhLsgGpMmJx8rqFbi9llxgYI5le5rHGDQKQFg41EGtic8Y0sTEB&#10;TEMJKBcpBcVAnyhUaVL9zgEiUKx+XEf7+LPuW2otAwpHsbZpsUunbbT8GMyfmk+Sus8Ifh/ofJgv&#10;q39E9i3WjlTduAc49/XkJ7rtLDOGde/hd6K1htgurBsdJ0FeKbLlINelRK7RRu/7dmfTjgu+02NC&#10;nOKvf/kw/PGTtWH7mqfD+mfuC+ufXRw+rHy/a9ub3Y5JxQ5z8udmkSMaSfFNil9ScCkj0WikhEbB&#10;JiZbpdorBaJYX4qQO9ZRsNOyG9tLoQ3kilUSmV9KdwTjK+uScbxu5QNy9y4dlyNHMY01r5wjtEFK&#10;ejnk1G0hd3WLyZdS1ovJYmgv57XMmpX3gHXkp5QjgbX+GJcrg8XGSsp5lviHPmKOZJxsv9U2KQmW&#10;GReu4dw8rCN3DBwnReW5uKsVQtxjT66wXso7juM4jtOzzGmpEHfKWT97XRfuQpzjOI7j9Bgj8B/w&#10;tc/iPCHu2JNG7JH5Bg/7ifnC3nEcx3Gc5nPzzWO/o4W42Ev1WQtO6vaHaG+sOc98Wd/uQKKAbCFF&#10;EAgwEEaK5A69OxG+p5TBXdOsHZMYB9EFP1vlyJ3WNMyPNlvxgP2JlZMqIxYHMQVxWrbBz1Y9GD+M&#10;o+wbysSYoM86PaD4Yo0bqXfOisYEME09O02l+lsk61B6SvW7CNSPctgHfMXPHBMKoFbfICBx7HVe&#10;rodY27AuZL2oR8tdjZQfg/Wl5lPCNjAfQFu5fmOyIq6jPxw/tpXSFq/FhDaQys9xSfWjbNtTazF2&#10;7wGsDbYHIL9Mn7r3YuNXhP79hz5xzUoa+V3dztQjxP32lutr/hDtoMNGmS/rc/jLV9vCF5+9V5Xg&#10;dn/4VvhT5fuvvtjcLV1vCnEpMUtKaIiTshLy4WcIPMgv80mkhMayYoJZqr3Iw3biK6QbWQ4EIYg/&#10;qMeSmoAUh4iWvqRsBiAfyfhcKBMRlMv2oq0Uz4DuK9uAfkphD+Mt8wGZD+RIaUxjiU5yJzSMJeqX&#10;Y4S2Yl2gbVrYyqk7BvOhf6gPyL4DuR4xRrJ+PTa6bUVwfcoxZxu47oh1LzFOymBIx/Uo1yrayjK1&#10;3Id2syzkRVrGoS1sp2wD2sk8KJdxqFOvZz3naC+uyXnGVynRyfsJaXFPy3ahniKRz3HK0gwh7pHH&#10;n7xF529EiNuzZ0+F3eGPFXbv3lX9vuPaHjO94ziO4zhRTCHu3wYc/J3Ox3hjwRLirpv5iPXC3ukB&#10;Dj74yPAv//J/wvjxk814p/fAnFRumfCNb/y9Gd+u7LvvwGq/vv3tfzbj25Fp02Z1fejG91Yax+kr&#10;3HDD8gn1CnHjJxz2hcznQlzfY+fOLQEBX614p7V8/fWfq+O/fv0LZrxTC8YJAeP20LLpZpoimlGG&#10;47QNt47+fq4Q95tbJ3b73N1fhTjHcZxGqPzK7PgsnxDiHKdetm2b9v2yQtzPfjWj5g/Rho8/1nxZ&#10;3w5AjKl0qYol8RAps0hxR8fFgKQj80ik4ANSgllRe1GWlpMstEhFpDgErLYgr0wTk+uKoBCHOqSo&#10;pZECFSnqpyxP582R0pjGEuKAHoMYeq3k1B1Dym4SmQbzpwUvDcYtNv8pUmOO61IUtNYm4+R8yvVs&#10;gXL1GIKi8cc9WSYP5pnjq+dczpmFvke4rmOgHpneceoFQlxlTf0/8nncQWNC3PMrX7Jeymexa+dn&#10;YefHO8Jn27aFT7ZtCZ9u3xY+//ST8Mddu830juM4juPY7NmzZ2lLhbgTTvnpal249cLe6RkqU9KF&#10;Fe/0HiNGTOqXc9Mf19w558zs6hO+t9I4Tl+hmULckJHD7Bf2bcCLL86tSjQI+N5KQ15/Y0lnyjzR&#10;qTelqN27d1Trxlcr3mktDJs3v2bGx9i2fU1nzu4Bc4ny7rr7DDNvO8P1ilB0H8ZoRhmO0zbcOjr7&#10;pfrPrju+2+fudRsvNF/WO47j7M1UfmVWcSHOaQX1CHHTrphe87n7qEmnmC/r2wEpo+F7Kw2Q4o4l&#10;EyEeIpIUhiDBQY6BMMadpWJIgUvuLKXJaS/qgsSjJTO0BaKQJStJpOAn5SWC8tnPmLCUA8UhCkio&#10;i7t7AYxnqq3cdUuOOfNwnBCn83FnLyuOMA3Ks+IB65dtRpnoD6Qna1xy6k4hxwhlxNqHNarXI9ZD&#10;rF256DHHV/zMMtk2a20yjxYoU21N3TfWPYefrfuT4N6S9wW+Z/rYnKMNiON6JfhZ9wVgLNB2WQ/a&#10;iHJT97bj1ENlfTUkxC28d8lcnf+NN1ebL+bT7Am7dn4aPtq8IXzwzpthy1uvhU1vvBK2rH4jfLh+&#10;bfhk65bw+WefGvkcx3Ecx7GAEFf5nD5CP6ddiCugXXeIwi5daDN27dJxvutV79KOQhx2s0N7UzsO&#10;coc4a821Ky7EOe3E9dc/MbleIW7kUYf9VeYbPq59hTjsJMUAGclKQz7++L3OlMU7r0nRDiKdlaaV&#10;uBDXuzCUFeKk1BULEC2fWvEbM39fJGe3Qu7u9tWfvzCFv2aU4Tj9igaFOOtFveM4zt5O5VdmFRfi&#10;nFZQjxB31vkX/Emmb2chzuk9tBDnOI7jlAPPZPk87iBfiLtjwV0P6fzrN2w0X8xrdu/eHXZ9+kn4&#10;cON7Yf3Lz4U1yx8MbyxdGF67Z054+c5bw0sLbql+fe2+eWHNo/eHzateDZ98sCV8vvPT8IVRnuM4&#10;juM4f6PlQtyxk6bVHPGy/8GHmy/s243+KMS45NO7tKMQx/ai7VZ8f8XvFaedcCHub3z55c4ukcaK&#10;J4hngJRkpSEQoRis+FbjQlzvwlCvEKfnDeKmXFPtdCxoM9ZiM8pwnP7EzbeNHZj7Uv2Sq45ZW5Ou&#10;gvWi3nEcZ2+n8iuzigtxTkvYcXH2s5thykUX1XzuPnnyFPNFveOkcCHOcRynMULYtI98HneQL8TN&#10;vPm25Tp/rhC369OPw4cb1oU1TzwYnphxcVh81tHh3tPHhXvPHF/9es9pFU4dE+4+eVR4aNop4eUF&#10;N4f3Xnwu7Ni0Mezetcss03Ecx3GcDvbs2fNMS4W4cROmfiALHjxsvPnCvt3oj0KMSz69iwtx7YPf&#10;K0470YgQN2zMsK9lvtHHDjdf2LcL8pjKmGQkd5JjSB3LSMmuaCe5VuECUe/C0CwhjnAXNISiHQ37&#10;Cs1Yi80ow3H6E40IcYeOHWG/qHccx9nL+eY3/676Wf6aGUPMeMdpiDqEuIlnnlXzuduFOKceXIhz&#10;HMdpjFYIcR/u+Mh8Ma/5aNPGsPa5J8NzN88Id086PCwaPyjcU+HOsQOrLBgzMNw9blC478jBYe7Y&#10;weHRK6ZWd5DDMaq7P99plum0BzNndrxr3Geffcz4/sTIkSOrfcVXK97p22zevDl897vfrc7h1KlT&#10;zTSO01dpuRA38qgzd8iCDzniOPOFfbvRH4UYl3x6Fxfi2ge/V5x24vrrn5xerxB38OGH/pfMd/SJ&#10;7S3EyeNN337ncTMNriNAdMPuXAgxIQnHNTJAYLLStBoXiHoXhmYLcYA7FWItWvF9jWasxWaU4Tj9&#10;iTJC3Bnnj6/53O1CnOM4juP0PFu3XzRCP7v3GzR0aefj2gzjTzyp5nP31EsuMV/UO04KF+Icx3Ea&#10;o1Eh7qpfXPeszm+9lLfY/Obvwwu3/To8cN7EMHf8f4S7xw0Md3WKcB0MCHdVrt0zfnCYPerAcP85&#10;x4fnb54R3n3h6bB7Z+uEuL1J1uotrrjiiq53jVZ8f+Kggw6q9hNfrXinb7N8+fKutepz6LQhlc/o&#10;LRTiDhtz8qey4HYX4saPn9x1w8ew8p1wwsXhX/7l/9Skw8+4bqUH++47sJoOdc6YcX844IBhXXkR&#10;x3TTps2qXvvGN/6++vNpp10d/uEf/mf1Gr7iZ12mzF9vn1AuykG9TPftb/9zOPjgI8Plly8w8wCm&#10;R7sBxwXXKVYxDcrS+SXsJ/pgxWvQLpSJOmW7UQ7GF+2x8ukxRjlIzzLwFT9jnnReSSpfvUIc549z&#10;CkGL8wzQt5SwVnZMOBZlkWtOgzJRF+cTsP6UcMZ+cv5xP2ENsgx8L9e/pt714EKc0040IsQN+smh&#10;/y3znXDq4eYL+3aCktvHH79nxuM6AiQ47PqGEBOSXn9jSTUeIbbjHEQ5Sj4M+BnXIdRZeZ5a8Ztq&#10;Oh7XinooR+ErfmbalEAEuY/9tYQ9xFtti8mCgOWhjYD5cV1LYbp8tB3jW/YIUJSDueBufAwoOyUi&#10;cv6YBuXIMvC9HMsYqXwMrRDi5NjJ6+gPAnclRN2cF7SN44v1hbQoRx8DjLxFfWd+3XfUJ9cu6y4T&#10;kEfW1YwyJGgf7mHZdvY7tb712EKi5TpCwDjmzDXmAGtdjnvR+s+dV8B2MZ59S+1m6bQns2aN6fZS&#10;PVeIG3vCSPNFveM4juM4raMZQtzl11xtvqh3nBRjxgyv/j8lvlrxjuM4TpqvvtrxHfk87qBnhLh3&#10;nnokPHjhKWHekT8Ks0cfGO4YuX8nB3QBEW5uJW7uuIPC3SeNDI9dcW5Y8/gD4fNPPzHLbAatlrUg&#10;2qFsiHdW/N6AC3E9hwuecVauXNm1DvG9lUbuELc337NO29KzQtywMSeZL+zbhbLyGEQnCl8xIN7I&#10;PIT5IOxIyYcwnZRzIATJNEDKUCwTX3mtnj5J4coCclFM9mMa1CslJMB2sXzE6/wEohPzpaQnia7P&#10;whKc9BjHysE8xaQ4tDGWD9flmFr5Y1Ckw9hhrbAMTWydlR2TeoU4ueYkUgSMgX5ZebmeKbXpfCS2&#10;FpuxHqx4x+lLWELcfoOHbqqs38IweNhPuvKA/iDEUXiLyTQUWCALQZxhsOQ1HsGKPDoOspiUcayA&#10;fEin8+qd7HSQQk5MrEL7GdAO2X58L2UrK2CcZHmEAfIOZRwG2QaOsxV0W1NQEkqFWHnsI+Yp1d+U&#10;IJXKJ/uYI0lJWG6s7YBp9PpCXQiIt8aZUpQUuWIh1m6skdT6lWtKr4PcIOtrRhkEa7+oPIyddU/L&#10;seX9bYXY/QGwnlL1I86673Pn1fqdIIMu12lvyghxx58xpuZztwtxjuM4jtPz1CPEDRt7dM0fov3q&#10;+pnmi3rHcRzHcVpHo0LcRZf/7CWZd/CwUdYL+W58vHVT+P29c8M9p4wOc0cPCLNHHRBmCxGuS4ir&#10;MGfUgWH26IFhzviDwv3nHBfeWDw/7Pwo71jWemi1rMWyUY8VvzfgQlzPsTeNdVnk7m/43krjOG1O&#10;a4W4Q46YsEsW3O5CHMkVYqTYBSmHshR2ppIikLWDlxZ88DOkKiDTy7YA1IV4XId0JtvHMvGV10hu&#10;nyBWMR1EJPQF19E3LYtZO2wxjnAXMOSluJQju7Ed2M3LirdA25APZUpxTbYbUpvMA+TYAM4n4lCO&#10;nEtLPEMalo+vHF+dl+j8KXR+tJ/lY26kaMc2S+odE8By5XrUpNYc6mAZiJfrBe2RIih3gZOwbIK+&#10;cj1iDGR+XpfU23e5HjjWjtN3WXFdvULc/gcP/X9lvlPOan8hTsokWkrBDkwMkGXkz5Y0RXkO4oy8&#10;LmUiyC+QuijfoEyKLwgoQ4s5UohDQBnIg+soi2IMoDSFr7yGflHI0TIcoCiFNOhXrG34XuYDOkDc&#10;QXtQDscI9TNYfecOWDkgP8YIX1Eur6MsKXxZu51xbBiQHvkQhzZL4YvXJXIs0E/2Q+dFsMYqhTVv&#10;EtTFoMdLtgsB44OxR7sQx74gH8pHnOyfbr9eH0COnZxDmRfXrTyxPgHZdiu+0TKwRrj2MS5yXSBO&#10;rhk9rkCPLfqKPiNOrzmudwnqYEBa/Mw4tIVjhzbqcc+dV/YPa5LXUBbSIo8s02l/GhHijj99jPmi&#10;3nEcx3Gc1rFlx7QJ+w0a8ox8JrsQ5ziO4zh9n0aFuLMv/OkbMu+wccdZL+S72LNrd/h465bw/u9X&#10;hudv+WW4c8Kw6vGoc0d1l+EIRbk5ow8Mdx4/LLw076bw6fatZvnNwIW41uNCXM/hQlwcF+KcvYBN&#10;lhC334Ch36+s+8bDfxx21Bey4COPP894Wd9+5Agxciet2NGLlJkg3+g4KftYMhGRbQEpQYdlWuXl&#10;9EmmiUlQst+WHMa4VBmAQhIkp1R8bPewskixTMfJfqNeaz45tpagJ8u2xhbX2B+g41PIsiFvSbEL&#10;SBnPmo8UqTEBjEvNY2zNyXZZ65FpeIyqNa4sG1h9k/NmyYApcteDNZ+O07dYcd1+g4ZeJ5/FuUKc&#10;zAPOmtr+QpwUjbTQg58RIK3wGgUWvSMURBQGLWNJsYUyjYZ1IWixBnlkiJUBtEAEASclwyGeAd/L&#10;OML2oxwdJwPS6XjA/HIcWwH6xr5abeHYIOj5A3Kc9RzIsi05C/EokyE2FjH0vGk4hgi6bTIObdRz&#10;nIPsu15fWM8M+h4B7LtuV1GfgGy7Fd9oGcyfGhcptUlREMiyrfsHP3NdWGuKZVuyHZD59djmzKuc&#10;t1j/nH7GrWMn5O4yM+7EkTV/iHbG+UeaL+odx3Ecx2kd9Qhxg4eNrPlDtFmzZ5kv6h3HcRzHaR1/&#10;+cu278vnMag806d3Pq4Lw6Szpr4j8x458TTrhXwXuz7fGT5YtyaseeLB8MQvLglzj/pxWDhuYPVY&#10;VC3CSSDF3Tl2QJg7/j/CszdcE7a9szrs3vW5WUejuBDXelyI6zlciIvjQpyzF9BaIe7AoaO/kgXv&#10;TUIcj6+MyT5AlqMlK8o+EIG05CSRZVi7aElYptWmnD5BOmKaVJtkOh3H6zHRjXD8gK4LO3oxLiYb&#10;liXVfxmHumUcSQlU3KnM2m2MyP5a8TFkvbE5Sc17iqI1wbh6hDi5O1xsTIFMp9vAslPjyrypNlqk&#10;+l40Lo7Tt2ieEDd12kj7hX2bQclNSzeUWeSObzw2EYKKTAsZyLoOsEsTQpEQxnS6HVJ6sYQkiRSI&#10;IPdQtrFkHsD+6Dolsn4tzTHEhB8gZb+YdNcsZP9jcal5YICMJK9LKUwLjwTjy6DzFxFrN8ZLHtVp&#10;tV2KU42ML4NuO0U/a22nSM0FkW234hspQ0qqetdGiUyn+y7LjglnsTbK9aAlQwnz63tI1h2bV1xn&#10;KPrd4PQTSghxw48aUfOHaBdMP9p8Ue84juM4TuuoR4iTacHCe+ebL+odx3Ecx2kdjQpxR086Y4PM&#10;WyTEff7pp2HzqlfD7++ZEx65fHKYN/5H4c6xxULcHSP3rwpxc8YMCo//7Pzw9hPLwofvrq2WZ9XT&#10;CEUC0T777FONW7lyZdi8eXM1/Xe/+92uPCNHjqzGyTz4mfExLCFn9erVYeLEiTXl43tcQ5xOD2bO&#10;7HiPh3bgZ7SPbf7BD35Qk6+evkjQZrSF0hdBPVOnTq2WaeWrV9JC21Eu6mPbAcck1laOP/LgZ44r&#10;y8BX/BxrL5g9e3Z1PNA31gvQFoy5lQdYQhzKwTWUJdNq0Cak41wSjDuuyfbjZ7mGWEcM2Z4iWI+1&#10;Tjh2cl2xfawL/Vy8eHFNmRa6X8yL+lJzA8rk5T1SFmueU2MD0KbUPQQwNkXzhXp0PqxJri9Q9LvB&#10;2SvpWSHuuJMuNV7Wtx85QgxlnVx0OTGRSFNGzkmVWaZPRW2CmMeytLDG60WCktxpTu/uReEuJUKV&#10;JdX/nLGRaXQcr6f6LMU2Kz5GTj6mKZo3TVG/GZfqV2zN5PZXrgMtfOasR6ZJtdEi1feicXGcvsWT&#10;c+oR4nB2uswD+osQFxNqKJNJAUqKUVJSoTRkiWEMWrbRUMDT4pEU0lJiDaBcA3EK8PsimSc36PoZ&#10;Un2TYh6+Qh6MtadRYnJSURxhGt2f2BrRMBTNtYb1pgLSWOOW27YiGHTbuY5S42bBPqXyFbW9kTLK&#10;3DdcnykpTV6XMI1uo6w/J+j8OXUDzg8C8uhd7px+Rgkh7sdHDK/53O1CnOM4juP0PFu2T5tcRoj7&#10;3oDh+8i04MFHl5gv6h3HcRzHaR0dQtyQmp3XGxHiJp011Xoh38Xnn30aNr3+cnj17tnh4cvODvOO&#10;+lGYP3pAmD2yYIe4UQeEO8cMDLMraZdddGp4ZeGtYf3LL4TPdmw362mEIlmLcZBjpPgigbwiJRgK&#10;WSmkzAQgu0i5R6PrIGw/RBkKVRJZD6+V6QvJ6RPyWiJT0RjHSI0H0eMIcI3xqXGFQGW1N0egiglm&#10;FJZkvCzPGluAdjANJEBeR/t53YLpigSrWHstmAftjo0d51rOrQZxVvkAfbTykNjc1JM3Zz4trPYz&#10;rp57CBS1naAMmc+6t0mZuXX6Pa0V4v7vj4d/LQvem4Q4HvWYA46OvPzyBTX5c2QfUEbOSZWZUw7j&#10;i47eTJXF6zmCEndW0+3lUZtFO+JZYJyxGxvHwkK3OWdsZBodx+upPucKYpqcfEwTW0v1jAlgXKpf&#10;LFPXzevWUaiaWD2xsiVME2tjq9aD4/QdmifEXXxZ/xDi5C5LlN/kNZ2eQe7IxN3d9LGRUorRcZpm&#10;iD0UiNgeBAgzVlog0xUFSENatmFA2+V1DcaT0hEDJMKi/sTAWEJeirXfEqg4NlYcYRrdn1w5iaFo&#10;PDSsVweMGfqZWju5bQMQ6rBuUZ+eDwbddobULmsWOeNd1PZGypDXiySxWD05Y8s0Oi/mrEzQ45tT&#10;N8CcSikOAW0p+n3jtCe33Dpmcq4Q96PDh/9JprviFxPMF/WO4ziO47SOskKc9bn76eceNV/UO47j&#10;OI7TOhoV4kYec+IHMu+Uiy6zXsh3gWNOt7+3Lryz4tHw5C8vC/OOOjgsHDMozBlVLMQtGDOg8vXA&#10;sOScCeGFW68La59dHj7Z/oFZTyMUyVqMI0hP2UbKVpBjdF4g81nxQMpmeocp7CYFwQdxlJBkXtl+&#10;gHagXZDCECd3j5LpQJm+oE2Ih9AjJTTkl22QMheR8TouBeqDCIQxkP2WbcXYyDxACnEAaZEHcbq9&#10;KF/np+yEr3IuMJZSPLN2QbOEONTJPNb4ALSPaeScsZ9yJzCUh/TWPNU71hLmJ1wnQIpZcg64JjBe&#10;XK8AeXT5UlBD2bpfLNcSvRrJK9eFXMMaWX4sTqZhH2X91tzI+uV84ivXFfLrMZO/H9B/xiMf6kde&#10;md7Zq9m174CDB8rnNGiaEKcLnnT6lcbL+vYjR4ihtJWSdVLkyD6gjJyTKjOnHMb3lBAnd5qjMCiP&#10;S9USYRHyWNIUus05YyPT6DheT/UZcbH8KXLyMY017/WOCWBcql+xNcfrvSnEtXI9OE7foT4hDv8Q&#10;kHlAfxHiAOUgSik85tMScbiTG+OkPKfFm94S4ijEMMRkJvbb6mcODGi7FS+hjKUltjJHPWKscyQ+&#10;qz9ybHQcYRrdn1w5iSFnPCQ5bYuR2zash5gEJ4NuO0Mr+lTU9kbKkNd7Q4jj7xCEesTPnLolmF/2&#10;g0HveOe0PxDicl+qHzjk0L/KdL+88QTzRf3ewDUzhlT/nf7Nb/6dGe/0X5av+Nt/QON7HTdg0D+F&#10;YcP/Nax85fSaOMdxnGZRVoizPne7ENfeXHTh2eHHPx4UbrppRre4MWOGV59R+Krj+grPPftg+Na3&#10;vllt57KHFpppHMdx+iNff71jYCNC3E/GHvOJzHvpVddaL+S72L17d9j12c7w4Xtrw0vzbw4LjvtJ&#10;uHvcoDB31ABThCNdQtzoAWHJlOPCc5XnzR9WPBY++WCLWU8jQCipdK2KFc84AOFFx8v8FFwkjLPk&#10;GkIZJia2QIChaAMhRsbJ+i2ZRsJ0oJ6+pLBEMFI0xvWQKlOKRxgTKbURttcSl1LIubDmNDYOUniS&#10;13W8FPxkP1LzKmnGWDM/sNYJxozxaK9um2y3lT+2lonMr+eukbwyDt/LOAnTWPPLOFD2HuLucLE1&#10;F+sby7TkT8dR9KwQN+X83xgv69uPHCEmR9ZJkZu/jJyTKjOnnNiObRpLZCO8npKoyIwZ93el525w&#10;PC51330HdkufQvYP7YdYF4vX/c8ZG5lGx/F6qs+Ii+VPkZOPafS8yTaXHRPAuFS/UC7Ll9eljCav&#10;a1JH58bKljCNbmMjfS8aF8fpW9QnxFn/OJh+1SjzhX07wiNPuZsapTdIKTqtFF0oeSFYO7EhnsEq&#10;S8I6IXzJ6/UKcfiZ/UKwhDydviwMRX3ToB9yV6tcYYjthdiFOrXolOpPTl+ZRvcHPzPI6xqGsuOR&#10;07YYOW3DOqQMh/WFtYBrMg2DbjsFxLJty+lTUdsbKUMeb1y0vjg2uF/k9ZyxZRrdxjL3rUVO3Ra4&#10;J/i7BAHlWOmc9qSMECfTgJvnTDJf1O8NTLt0cNe/1a14p/9y/4PHds09vpdxcl3gexnnOI7TLJoh&#10;xL362rPmi3qnPahMaxc6DqIcruOrjusrXHPNpV3tx/dWGsdxnP5Io0Lc4GGja/L+/LobrBfy3dj5&#10;0UfhjSV3hrsmHVE9CnXe6AOru7/NNmS4Dg4MCyrp8PWBCyaFl+ffEta/+FzY2YtHpsZ29iqSbBhn&#10;yTUAMlEqP6FopaU52X5L/JIwXb19SZEax6IxrodUW2WctYsbaKRNMektFYd2sD7dJrkGpAyldwaT&#10;eWI0Y6yZP7ZOZB0xUY/xSCuvy3GQ1zVMI/vdSF6Qu76ZRrddxtVzD6XWjYzX9aIfLLPoHnf2elon&#10;xFnbvu9NQhzFLQCxy0qTIkf2AWXknFSZOeVAQkM8dr+z4gnTWbt/sY6URCVhWZDxMI7ceU/LUUVQ&#10;wIq1PdX/nLGRaXQcj89NzWWuIKZpRIhrZEwA4+oR4qQ0CelNxklScmWsbAnT6Da2ej04Tt+heULc&#10;r2eOMV/YtyNyNzUIJRRkLJEF8QyQbiifFO3CVrRbU0zKKSPWaIEI0hPFM5SPHdZkeinMaUEqB4Z6&#10;pJsysiCQ6WO7yqUEqlQcYRrdHrk+YnNQtj+SnLbFQF0MVjyQcpheA4RBt53rG+tHXi8ip09FbW+k&#10;DPSTIbULoUynpdGcsWUa3Ub5e6LscbMgp+4UvO9TY+e0H7lC3PcGDN9HpgHz7z3VfFG/N9AqIQ47&#10;i6FMfLXi92b6yq58KSFu3sKxXW3UcY7jOM2irBBnfe5eu+5V80W90xq4G5q1o1s97Lvv96rlWbvA&#10;9bYQhz6ifvTZigfcIQ7geyuN4zhOf6S3hLjdu3aFNY/eH5ZMPibcMXL/MHfUgVUpLnZ06uyRB1Z3&#10;krvjiAPDY1ecG95+Yll1l7ldn31qlt8IRQIR4yw5hjCNJdkU5ZcCTQ5apilqv4Tp6u1LilQ7yrQx&#10;l5R4lIqz0ljxKVJiUyqOO4DpY1qx0xjbogUzefwoxrFo575mjLWsz4rPqSNWhsybg8zfSF6Qsy5A&#10;LH9RHGEaXQePm7V2esO8x3aIw5wzDl+xXmIiorPX07NC3AUX32K8rG8/5K5VemcpIo/2zJW/JDmy&#10;Dygj56TKzOkTJDSm4Y5tGlmO1e9UnIUcRymNlZUMU5IekOJVPQKUTKPjpBxpyV9yXK38KTCORfmY&#10;Rs97I2MCKCdiXnQcia05yG0sG+2QcQRznJIJY2VLmEavt1avB8fpK9xww5NL6xHiKmkmyDygPwlx&#10;UmaCvMJgpQXcNQtpU/IckNIZ5BsrTep4xUaEOIA62UZIMlJ8k6IUBBxez4WhnryAISc/+sFg7XaH&#10;fqV2M7PGRsM0uj1SbrLERtQtd7wrOx45bYuBuhiseCDXF/qi4+XY6rZLGTAmlmGN6ziKdBgXeV1S&#10;1PZGy+B6wFe57iVS+NNpcsaWaay545qwyi4ip+4Ujawpp++SK8RZn7uXPLz3HgnZKiEOx22iTHy1&#10;4vdm+squfCkhznEcpyewhbghz1R+L5nhh4OHjJBpwQfb3jZf1DutoTINVXpiN7TeFuLk7m9WvOM4&#10;zt5Mo0Lc/ocM/0rmveHW7kcGxlj3wlNh+c/OD3dPOjzMHX9QuP2IDvnt9iP2r9Ihwv2N+WMGVtL9&#10;KDz726vDljdfCzs//jjs2bXLLLsRpGRjxTOuHgFGxsXySxkqB70zVVH7JUxXb18ArkPskaKWRucp&#10;00YNZCD0maKZhW4rfo7FWWmseIC5wY588ohQSVkhDv1AHKQmKTTxuFS9+x9AOj3WKNs6rhM0MtaE&#10;+WPrJKeOWBmUwnKRu+k1khfkrAvANFb/U3GEaXQdsn70hXIjvnINAEt6xM5wlOJkGal+OHslrRPi&#10;rG3f+4sQBypdrMKdy4DetYxHjAJIUVKGghCE9BB2LCEoR/YBZeScojJZTm6fIBlx1y6mpSQF0QjX&#10;ZF4g8+q4GCyTYCytdCmk4IS62TbMCeUoUo8AJdPoOCl/YfxYBq5TVpPo/ClkfiseMI2e90bGBHA9&#10;YX64tiEwck3INNaak4Ij6pP3B8qRa03GkVTZhGnQP3m91evBcfoKzRTirr9xrPnCvl2R8gpCSiSR&#10;khsC8ljpgNxxDl8hGFGOQZwUXyzZqlEhDkipSdchRS70C3IU49A+5EV5VtsY0AcdR5AX5UK+4zWU&#10;myMKajiOaDPHAmOJNjIOwZq72NhImMbqj2wv4jmH6JccQ4TUeFjktC2GXD9WPMD4MmAeKcXp9Yeg&#10;245+UizDGEN8Y98xB7Exk+VifnAN7ZBruKjtjZYhhU/MkVyDKIcyHIIl+xW1DzCNNXeyfowh+sCx&#10;A+gHpVq0R+bNrRv1ynLxVQqQMYnRaU9yhTjrc7cLcR3/Vrfi68WFuDguxDmO43SwZcdF08sIcdbn&#10;bhfiepbKNFRxIc5xHGfvplEhTuYDcxcusl7Im2xbuyasWnpXWPGry8KSyceFeUf+KMwedUBYMGZA&#10;uLMCdoy7c+zAcNe4QR27x40dHO47+5jwysLbwkebN5plNoMiuYdx9QgwMi6WXx6HWI/cUtR+CdPV&#10;0xeIWSkpTSLzgTJtlFAgK0K3FT/H4qw0Og7yUUyCk5QV4uQRqBTaMK76mgXi9PhbAl29Yy1h/tg6&#10;yakjVoYUv+T1HBrJC3LWBWAaq/+pOMI0ug7MddG6Sq0B5MfvC12G3lHO2btpmRBnFXzp9DnmC/t2&#10;RMo8EpkGko2UemJYgleO7APKyDlFZeb0CcJQUZ8gw1kCE2AaLSil0O2K7WCXomguZFw9ApRMY8Xr&#10;XeAkqFsKWlb+GJTdUvmYRs97I2MC5O59Epk2teZQv5bPNJDttJRJitYzYBq93lq9Hhynr1CvEPfD&#10;wYdMlnmA9bK+nZECCgJ+ttIBKbogWLKYBOmlsGUFiC1SliGQZhikCGRBOcmSc+TOd1KSQZ1a6LIC&#10;hDBZHmBIjRXbFAtljpOE+JMK7IfV/9TYEKax+lM0TpST+L3OnyKnbTFQF4MVT6TQpwPWJqU3q+2Q&#10;tVLrF+Oi1y5kOyuPLL+o7c0oQ8bHQmwNFpUNmCY2d0VrloGSIilTdyxgXqx8Tvsya9ZY46V6nhD3&#10;2NNnmS/q9wZciOt5XIhzHMfpoKwQZ33u3rXrffNFvdMaKtNQxYU4x3GcvZtGhLjvDRi+j8wH7ntg&#10;mflC3uLzTz4K2999J6xZ/mBY8evpYfHZR4cFRx8sjk/FrnADwsKxA8Ps0QPDvaePD0/84qfhnace&#10;aclRqaRI7mFcPQKMjIvlz5V0YhS1X8J09fRF1oOdqSB3xeLl9aK4GHJcIIKV2e0rFWel0XEUz7Aj&#10;F9qud+xKSW+pOMDd3iizQYBiXTqthd5NTM9lPWOtiZVNcuqIldFI+xrtW866AExj9T8VR5hG10HB&#10;E/cP4I5v+Io5TbVJg7Ry58AyeZ3+TY8KcdfOWGK+sG9XINnwSEeIO5B7rHTcCQ7pCIQbpI/JPhSF&#10;YmUSiGcsMyahkZwyc/oEmQgCl+4TfsZ1xOs8hLu9IZ0VbyH7iPxWmhzQLtk/gHngHLBtehxzxphp&#10;Uu2DPMU5AGgH2oN2cRe5sv2jSJfKxzSxuaxnTIjeyQ1rQO4Ql7PmUBfiWRdAmRAhZVmanLKZxlpv&#10;rVwPjtNXqHuHuMoHfpkHWC/r2xkp/eArfrbSAcg/FIgQ5M5TMSC8QLyRUhXqgUzH3a8s0A6GVJsA&#10;d7yKCXqsG/XqOLSBYhYD0qfax/FK7UKV6nfOuGkgBbKfCCgLshfq4c5YVv+Zx4ojTBPrD+YdEpKc&#10;e+ShqEjprOyuXDlti8E+W3OqwTzKeUA/0B/0q6jvGF/0T/YdZSG9luEI1ivLRUB6Oec5bW9GGZgf&#10;3XZ8j2spyTSnbKZJzZ01digT9xvuDcTrPDl1Y9yRTt+3+BnXrTxOe5MrxFmfu59/+RzzRX1/YeUr&#10;p4djJuwbvvnNv6v+mxxf8fPqteck5SzEXzNjSFVq+8fvfKsrHfIPG/6vYd7Csd3ysI4YqI9p6yk/&#10;F5b9v7/3P7rKxfeoH3Ey7fIVfzsuQ16XoCy2zYqHUIY2s//sgxTN8DPrsYjJgxgHWTZAX848+9+r&#10;c2vlIZxjOb4oC31OCXFyTPC9jAM33nJ4tRw5vgB9wFjp9IRjwDQoR89R0bwjD+phHvQN67loLBzH&#10;6XvYQlz3ZzeDJcRZL+nbjeeefTCccvKE8K1vfbP6ew1fx4wZXr1upQfLHlpYTcM8YN99vxcuuvDs&#10;8N57r5h5ANO/8fqK8PFHa6vS1//6p+90lYEyESfz4GfGx5BtZXrUhZ/RVtaBr/iZaVEfruMrrxEt&#10;xCEf+ohrAN8vvPOWbvkI+xobR9kv2We2qSx63CQ33TSjqz8EP+M65sHKo8cR86rXCX6O5c+hzNpj&#10;Wt0PrrtUO5AX5ebUQ9hfuT7xPa6l1ng9dTmOU56v/7x9RL1C3L8NOPg7Mh947MkV5gt5iz1/3BN2&#10;ffZJ2PrOW2H1I0vCC7N+FZ64dlpYdvFpYfHZx4R7Th0TFp08Ktx35pFh2aWnh2dvvDaseujesPXt&#10;N8Pu3c0/KpUUSTaMq0eAkXGx/BCcmEYfh5pDUfslTFdPX7TIpUm1o0wbiTxe1IpH+1imbmsqzkoj&#10;r8sd22I7bzUixMkdAeWuexCkrPQxOB+6nnrGWsP8sXWSU0esDAqAQEuORTSSF+SsC8A0Vv9TcYRp&#10;dB0U4FJ1l0Gu1VR7nL2Llglx1rbv/U2Ic3oGiEuUkyBJWWkcx3Gc7tQvxNXmGTzsJ+bLesdxHMdx&#10;WkOuEPfDwUNGyDTgjTXnmS/q+wOQi6RIJaG0xZ91XhkXQwpuIFYXkenrKT8HSGBa1JIgTkpxUgyT&#10;5UjQjlgaCFqMs2C6ov5qIQ5tLMqD8Ub9Mh+BICZFOA0kMn6vhbiULEc5MEVM7qPIBplPSm2aWJ9k&#10;mzWxOh3H6buUFeLwol2mPeiwUeZL+nYCQlela1G08AXpCHKPlZZAAIqJYkwDEUuKRhLkl3KXFMdi&#10;SNkI3/O61T+5u5yW3iQyDhKULEOCOJ0XMD4mQsl2yjRF4xvDqgdjJyU+C8yDJdPpcaTgpUH59Uhx&#10;ZdZezhpA+6x2FNWj0zNPrL9Ar1GZz0pPdHrHceqnESHO3LW9hBBXZfee8Pknn4RPtm4KW/+wOqx/&#10;+fmw5vEHwksLbg5PXXdFePo3V4WX598c3lx2X9j4+5Vhx6aNYdenrdsdDhTJPYyrR4ABlGBSshvl&#10;JqSF5GKliVHUfgnTNSLzxMSt1HGWZdpIWB6Oh7TiU0fN4udYnJVGXreONZVgfnhkZT1CnJSY5JGw&#10;ZQWvWD1auJNxuTB/bJ3kzGesDNn/2BjFaCQvkHObGm+msfqfiiNMk7qH6p0bTU57nL2LHhXirpv5&#10;iPnC3nFSYMeuypKqktoxzHEcx6ml7iNTBw2ZI/O4EOc4juM4PQuEuB8OHrJKPo+tl+rW5+7+KsRB&#10;qKKghq8Um7hrGK5LdH7IWJCMICfJ3bdQjhTOpFxGKDulJKVGyk/BugHkLeaX5cpdzHCd6XlNkxLi&#10;OMZylzLUiX5BSNPpU2VJpPwld4Nj2VI+tHZx0+PA6zov4Nogckx0HMpCv/BV1ov2SYHP2ulNtgkg&#10;Pfsl5wfINQHkrnVyXpEOY4qyZHrHcfo+5YW42s/qw8cfa76kbxek8ASpiYIPpCIe1wnxR+aRYpjc&#10;DQ55tERkCUOMI6iHEpPMD0lL5wUynxUPZL8AykR6XIeIJ8WxHCGOQFRjn9BvKa6hXJ2fcbI+iWyn&#10;lYZzAHQcSZWBcaUMhzGQu8Gh/bJ8jDfjiCybZWCOWLbMH5MCY8iyc9Ye4vEz1pzsp24H4hlHkA9x&#10;cmc35ENfrHWGulienHMgdwlEuXrMytblOE79NFuIe37lS+YL+Vw+/+zT8NGmDWH9y8+FVcvuDW89&#10;siRsqHy//d0/hM8//aQm7Z49e2p+bhZFcg/j6hFgAMUlyDA8ZhQyjjyGEz+zDMhWELGkMINyIU/J&#10;MkhR+yVMV09fKKihDVIUQ9vl0Y1A5gNl2kik2IX8HA/0X8p3QLcVP8firDQ6juIS+sX8qB/9Zhyw&#10;pCzOd0rY0u2PSX/oN8qR6wFf5djge5lH9ovyItZaGeGO+WPrJGc+U2VIERD9k21D//AzjxSV+UAj&#10;eQHzYm6RHmjxkWmstqfiCNPotSfbrkFfAOYTbZL5cB19kn3FnOIa8+vfC87eS8uEOGvbd+tlveMU&#10;wSMtcZylFe84juPYQIjTclvmDnFLZZ4hI4eZL+sdx3Ecx2kNlhCHZ3rno7orWJ+712280HxR3+5I&#10;8UpLTQDXpBil41OkhClA8QlfdVwOReXHgITFfFICI5CoIJpBCuM1WZdMK4lJbDIvBa0icoQ4WS7S&#10;W2mkIIY+ybii/JDIpHymx1jm13EpMAZcU1a9UojTbQayXjlHgOOGdsvrjuO0L6WPTFWf1Y+adIr5&#10;kr5doNhjyVAA4hHSyJ+RHkBCkmmJlIksSYpxgHKVRMpNFIokjIvVD7TIJQUqTa4QZ/UFY4axQ7wl&#10;OzFvrH7ZTiuNHAsdR1JlyPyxNkCSYxo9H7JsiF5SDCMco7KyV9m1V0RsHmUfrHosKDriqxWPcii+&#10;SRGynrocx6mfDiHub89kkCvEWS/Z33jzb1JXvUCK+3jrpvDB2tXhg3VrwsdbNoVdn37cLV27CnGQ&#10;WBgv0Wkh5VjpNFKkA0XtlzBdPX2BcCNlMI2U4mQ+UKaNBFKQFu0kMk63FT/H4qw0Oq5oLlg3RCWd&#10;F9dicUSvCYhSVjo5bhZoh5XPGrdUezTME1snOfNZVIaUuWLERMFG8sakNJmG16y2p+II0+i1hzWd&#10;uocI0sj7nGsqRmz9OHsn1gkrOPK8slYaC/jHgi7YelnvOCnOOedvRjd2irPSOI7jODaWEIeX69UH&#10;dSJoIW74OBfiHMdxHKcnaUSIs17S9wcoPKUEIuw8hjTAik/BfCnxqV4hDqTKj8Fd1SBlWfEWUsKy&#10;4gFlLJ1G71om42LEypLI3eFSop1MJ6/LeY3ll/Jgs4Q4kJp7xqXWJOvV847xZZy1I57jOO0HhDj9&#10;7C7YIa7mc3c7C3GQzSpdqmLtbmYBKYx5UsKPTKfjeN3ayQtIqQjf63jG5QpxRX2LiVQyLiVmpQQ+&#10;Xrf6AYr62qgQR1mvSCxjupRMhp3RZBzJaaOmnrVXRKwdUtDMqQvrmumtOSFcG1KaK1uX4ziNYQlx&#10;+KxduQcLg/WSff2GjeYL+XqA8NYq6S0Fd9uK7ShFgUXvxCVhmtguTRCgpKQEwUWLbYC7PvFIToCy&#10;kR7Si5WnqP2SRvvC9jENwG5nEH+QPtaOMm2UQCCCeCTHA+PIHb1ibWVbrDidJtYm9Enu5IZ06DvG&#10;gP1BvM7HPFachG0HsTai/6hLC1H4OTWHyCfnCeOXErg0zBerI2c+i8oAHGM5Fmgr+4d+WPlAI3nl&#10;mkJ+PVeptuf0i2n0vPJ3AL7q9iEtymRe2SasOdz/8ncI2y13jXMc0EIhrnbb98HDxpsv6x0nxcEH&#10;H1n9JYZd4mbMuN9M4ziO49jUL8TV/lX76GOHmy/rHcdxHMdpDblCnP5DtEHDhpkv6fsDle5WSQll&#10;OXJWjFT5vSXEUQIsU28jQhxgnQDp9FGfmpwxzx2/mCSWkz8lvbVaiEu1i2n0vGNcufscvmIHudxd&#10;+RzH6ZtYQpz17GbQQtzJk6eYL+nbAQhOlS5VSYk/kpQ8JoEMxLL1rmK8nhLamMZqV05+KXIV9S3V&#10;p5z+puqKXSdF7WxUiOP11FgB7oiGXc/k9aL26TRWvEU9a6+I1FhxNzqAdNbOg0T2Jwe9NsrU5ThO&#10;YzQixO03eOgEnbeZQpzj7E1QcoPkZMU7/Qu5K2BK1uMOdlgfVrzjFNEyIU6/gHchznEcx3F6lnqF&#10;OP2f+Eef6EKc4ziO4/Qk+UJc7R+iHTp2hPmSvj9Q6W6VlFBWJGdBOIJ0BUlJHq8qscrPEZ9AveXH&#10;YB7skGbFWzQqxKEPUooD6I8+8pMUjTlgvHWsqCQmruWMf0p6S8UR9G/Y8H8N//idb3WllVh157SL&#10;aax5h/Sn1wnGKNZGx3H6NuWFuNo/RJt6ySXmS/p2QApEucc7Mr11fKgkJVLxekrSiuWVcan8qfo1&#10;/VWIk9eto2klsXqK2qfTWPEW9aw9gvqw/qR4ptF5UIdOjzm1xgXXZLoi9E6HZepyHKcxGtshrvuu&#10;7R/u+Mh8Ie84Thzs+FW5papwtzunf4Nd6TjnVjyhKOlCnFMvLRPi9F+5HXLEcebLesdxHMdxWkPd&#10;O8QNHrpJ5nEhznEcx3F6Fghx+nlsvVTXz/mxJ4w0X9L3ByrdrZISylJyFoSnmKQmscrPEZ8aKT9G&#10;PXmk/GXFg9Q4EfSH/SYQxnS6nLIY3xeFOEhpMQlOYtWd0y6mic0hJUrdBlyz0juO03cpK8TptJdf&#10;c7X5kr4dyJGtNEzvQtzfyOlrrA1F7cyZo1gZ8npfFuKseAuIZpyPIqz8AOOgy5BHngK5u2Gszznk&#10;1OU4TmM0W4izXsY7jpMGx5lWbqkqqd3CnP6D3CEOR53iyFcZr4/odVHSqZceE+KGjTnJfFnvOI7j&#10;OE5raJYQd8Kph5sv6x3HcRzHaQ25Qpz+3O1CnC1nQTqirAbxCLIXrsk0qfKLxKdGy49BSSolXGmk&#10;/GXFg9g4WeBoT4hwTK/bn1NW7tGv8shUeVRr0fiDeoU4lo35Q1/0EbGpunPaxTQ58462yd35dFsd&#10;x+nblN4hTj3nf3X9TPMlfTsgd8LKFX+481VKEANSKtJHRvK6C3HF7WxEiINAxuupsQI8MvV//dN3&#10;aq4XtU+nseIt6ll7ciwgZOqjeHPGimBNss9Ajk9On8uQqstxnMZYu/aVo+QzuYPMI1MHDak8//+W&#10;b/CwUebLeMdx4kCA22effarPN4hxVhqnfyJFyBQ4NtXK7zg5VD57dzvevElCXO2276OOPst8We84&#10;juM4TmuAEKdflOcIcZU0u2SeU85yIc5xHMdxepJbbh0zWb8ox/GonY/qrqCf88efPsZ8Sd8fyJHD&#10;cLQo0gB5fd7CsV3XsSOYjCOMt8SlIvGp0fJjUESDrGXFW6TkLxIbpxQxqS1HiMvtB9NhruV17CxX&#10;VIecA93v2JhAWuT12I5sqbkvWheAaXLnXbapzFpxHKf3gRCXI7Mz9CchDkJRpUtVILBZaTQUe771&#10;rW+a8SQmWAHWmRKDmMYSknLyl5GacoQ4iIA6juDITNalj//k9Vhblz20sCuN1U7kY7yOI6m+Yp5w&#10;HfMhr2uYTu/8lzOOMo0Vb1HP2qOMGetLzlhpLMETAhvL0cehNkKuTOo4Tj5vrln5E/lMBnh5XrnX&#10;CoP+Y/Rh444zX8Y7jhOHO4VBitO7hDn9H+z8hp3gvvvd73b92wn84Ac/qApzK1euNPM5Ti4tE+L0&#10;X8Qdefx55st6x3Ecx3FagyXEQVjvfFRHg0wPzprqQpzjOI7j9CT5QlztH6Kdcf6R5kv6/oCUoizp&#10;DLuyMR7IuNjOYwTlMd6SkChqQQrTcaDR8mPIPsWELYyLjEP9qboghHE3O6DjY8TkL9l3vSseyelH&#10;aoyK8iOv7FOuECfrRB0yD0B/UiJmbEwkTFNm3tmmMnkcx+l9ygpxNekqzJo9y3xJ3y5AWKt0q/pV&#10;y1wA4pKU2uTOXjGRScpOlgiWiiNMY0lYlLdSslKOyEVyhDhgHROLMWN7rPwcXysO4hUlKWC1U+60&#10;Z80PSPUVbWac3lGNyDp0/lTZVhorPkbZtReT9ojchc2Kt4jNPecFdcbGvSyxuhzHqZ9mCnFHTjzN&#10;fBnvOI7jOE6vsMsS4r43YPg+nY/y+oP+DwAX4hzHcRynp3lyTlkhDv8IkOnB1GkjzZf1juM4juO0&#10;hlwhTv8h2gXTjzZf0vcHpOgFMY1iE65DHGIckXml+AS5jdKaldeSkGQailMok21otPwYUsiC8AUZ&#10;jNIZ6o7JVvLYTQpkyKfbAmQ+xKNM9JH14KuU3rSQJmUzyHm4hn5jxzaZTrYJ9XCMUD7qo9CG/rJu&#10;iRwHzoHOS6T0BmQbdRzzyjVllWtJbxx/K47E5gjXMV5ynDAmReKn4zh9ly3bp2U9uxlkOvDgo0vM&#10;l/TtgpShIOpQmoIEBGGNEpLMIyUupOGRqMgDYY55YqKTzKvjCNNYEhbFItTD9mKnNbYD5IhcJCUq&#10;MY5AumI9qLtIaJO7x0Hk4njIcUrll/2gCIb60V8rjS4DaVkPvqJetgFxmAPmtXZeS5VtpbHiY5Rd&#10;exTe2A9ex1jIeZB5AMpC+bLv+Crrx/cyj9y5D+tY5gXoM+YWbWG7QT11OY5TP40Icfr/3ied5cf6&#10;OY7jOE4foueEuONOutR4Ue80g2984++rH4LGj59sxjeTadNmdX3owvdWmlbSaP0YI+TFmFnxjuM4&#10;/YvyQhy2iZXpwcWXuRDXTJ5a8Zuwe/eOsHPnlvDQsulmmnp5+53Hq2V//PF7Znx/Y9v2NdX+rl//&#10;ghnfW2BuEfBVx/XVNjuO07fI3iFOpbniFxPMl/T9BUhKlW6bQGiS4pbOK0UjDcQnCldaXAIQlbR0&#10;pdM2Un4KSFFW3QT91gJZKg/aERsntE2m1aAumZ5I2Y1oSQxtstJJ0LaYBJbqE67Xc2QqSK0pwDZb&#10;0htlNyuOMI0lxLEOCxxrK9M7jtP3KSPEWZ+7212IA3IXMQspHwEtgllAIpKikIRp6hXipKwkkWml&#10;pGWVIaH0hq+xOMhPqT7HdquDDBXLR7GLP8faaeWXbS3qK8aLclkMlCeFL5IzjjKNFZ+izNrDekr1&#10;Q46TrENKfxbIJ9MTOTcppIhZb12O49THskeXjNPPZbw8r9xvhcGFOMdxHMfp0+z64eBDJstnNWiK&#10;EPfDwUMqhYt/BJx+pfGi3mkGleGuMmLEJDO+mZxzzsyu+vC9laaVNFo/xoj5rXjHcZz+BYS42qPU&#10;8CG98jswGvYbMPT7Mj1wIa65bN78WlWWQsD3Vpp6gWjF8OKLc800/QkZrPjegvOArzpOBh3nOI5D&#10;IMTpz9SVZ/r0zsd1V9Bp+rsQByA08QhTAIkKshGkMIhruAZBysoL+UlKWTIvy9Q7oBEIWbJelKN3&#10;QWuk/BTcOQzlyfpRlpbhiG6vbAvicE2PE+JQppa18HOq3ciH9lFYY11WulT5sb4QjgPrwVf8jOuI&#10;5/hoqY79teKAXlOyXLQL1xCv8zGPFUeYRo8fyob0JtcL6kV6va4cx2kPGhXinn7uUfMlfbsB+Yfy&#10;F4B4BFkpJkFx1yuZB+BnXLfkKkKpKbVTFtPEpDq9KxjqlWIS8jEuVgbhzmPWDmmMo5gF4QmyH8tG&#10;PNqi80kwFhhL9oljy/YW9VXnR/1SJszpK+rSUh/KQ/uldKbJKZtpUJ4VX0SZtYd+yLEA6APSxtpR&#10;tFZlWg3rk3OO8pEX4ynXHGikLsdxymMJcZXP2iMq911h0P/3PuWiy6yX8Y7jOI7j9A6mENf5GG8s&#10;6ELPmHKt8aJ+72DffQdWP7DgqxXfKCgbuBBXjAtxjuPsXTRHiJt+1SjzZX27gR25EL7++s9mfE/x&#10;+htLutrRbGkNu48hfPXnL8Jdd59hpulPfPnlzmp/rZ3YepOUENdX2+w4Th/j1rHdtnK3hbjaNL+8&#10;8QTzJb3jOI7jOK1ly45plWd3scyOYH3u7i9CnOM4juO0GwsXzRuqn8vZQpyS4S+96lrrZbzjOI7j&#10;OL1D5TndAiEOW8zpQqec/xvjRf3ewb/8y/+pClj4asU3CsoGLsQV40Kc4zh7Fyuuq3x4X1XzTB40&#10;ZE7ld2A07Dvg4IE16StcM2O0/bK+zZA7s1nxjtMsUkKc4zhOFoYQhw/vnY/rrqDTzL/3VPMlveM4&#10;juM4raWMEGd97n71tWfNl/SO4ziO47SWX/72urH6uVyvEPfz626wXsY7juM4jtM7bMLncvmsBp2P&#10;8fqDte37BRffYryo3ztwIa55uBDnOI5ThvJCHD7s16Sv8OuZY+yX9W2GC3FOT+FCnOM4DZMhxFmf&#10;u12IcxzHcZzeoUOIq30uWzI7giXEfbDtbfMlveM4juM4rcUS4vCs7nxsJ4OW4V2IcxzHcZw+hSHE&#10;DdnV+RivP1jbvrsQ50JcM3AhznEcpwwrrtN/pVYkxFXSd/tPfBfiHKccLsQ5jtMoP7t21FH6eYxn&#10;dOfjuhosIW7Jw6ebL+kdx3Ecx2ktZYQ463O3C3GO4ziO0zucMuXccfq5nC/E1ea74dbZ1st4x3Ec&#10;x3F6h1X7DRp6nXxW471552O8/mAJcZdOn2O8qG9fTjjh4i7RDfzDP/zPcMABw8Llly/oSvONb/x9&#10;V7yFFNhmzLg/jB8/uVomymIalLHvvgPDaadd3ZVWY5VHDj74yK74adNm1cShTuT59rf/uSsN64vJ&#10;ZlpIQxnoN/uKr/gZ1638EvaX5QH8jOux/DlCHOYg1qYcIY755TxY8yvB2LIu/Iz5Yn58lfNnlY9+&#10;Y00xjeM4TjO4/vonp2shDg/+yu+daLDOUr/+xrHmy/p2YefOLVU5KRa0tMT069e/EO66+4zw8cfv&#10;VX9GQBzTPbRseti2fU01/9df/7kzRQhf/fmLap6nVvymplyC6ww6DepEYD0vvji3pv0oG2KfzCNh&#10;frQnFldv2QDtRd9kf62g+xWDbWK9yIc2sXyOJeZB5wVsP/tkxaGf+Pn1N5Z0iWoIX365s7C/gOMk&#10;+8y8sXalhLicNmNc8PPb7zxerYsB36MfOp8G+WRfEfAzrlvpHcfpe+QIcdbnbhfiHMdxHKd3+N2L&#10;5xQ+uxlciHMcx3GcvoMlxOHzdudjOxl0vrkLF1kv4x3HcRzH6R1aI8RZ275fefXd5sv6dgQyU6Wb&#10;JhCbmI5CVgwpsEFCs9JILOENxOKlDIc2yzgIXFLIsrAELSmkQVyL9RGSXUxqQ91SwrNA27TAB4qE&#10;OIhnsTbhuhxnnRegz6l5Q1xRu1CGzAM4N8ibKj8m+TmO49RDs4Q460V9O0HJKBa0tESRCLKblJEY&#10;mK5ICkOgjCXBNQYdD8kKAW1A/bEASUzm0/kRYnH1lg0RKzfkCnFsE75SjrMCxDhLPuNc6TmUcWg3&#10;+hQLlphGUuOEgPVRb7tScRQtYyEmtqEtqXwIsfl1HKdvMe3SI07Sz+McIe6xp88yX9I7juM4jtNa&#10;yghx1udu6wW94ziO4zitp14h7nsDhu+j8933wDLrZbzjOI7jOL3DKpycJp/VTRHifjh4yAhZKLh2&#10;xhLzZX27AaGp0sUqcicz7PoF6QnClc7DXdCkLKdBPu4SJnchgyAl5TFLMmOcFOKklKVlOJRBGQ5l&#10;y93L0D8pjWlBS4pfAHIXxTm9A5uul2nYH+S1xpD50UbdX1m/bhvSUjbDV8brdhGZF8i5xRhI8Q1j&#10;JNudahfToE5cRx/ZFo4tytLlY/51nxzHcRrh+uufmIyz0OXzuEiI02epH3DIoeaL+nYkJYtJtFCE&#10;nyFVAZTBdBDiIBfhupSiICtRloMwxeskR4hjQH6mwY50Uu6zpKhUHxspG/2TfaLwhuuyXN2fIphX&#10;lo3xRJwuG/Og83OuUnEsG/1ju3V/UY/OLwU9xCMPrqNdco7rbVcqjgFtZL0YW4wPA69L2Ce0DW3k&#10;ukRaOZZWfx3H6Vuce9Hh3f5DHp+zOx/X1WD9IdrzL59jvqR3HMdxHKe1LLz3lO4v012IcxzHcZw+&#10;z2Hjj+4mtf/bgIO/0/nYjgak0fkee3KF9TLecRzHcZxeYM+ePc9oIe6Hg4es6nyU1x/wYb+20P4j&#10;xFGsgtBkxVvkCHEppGxlCVOMQ9vwc0qGAxC0EGcJZ4Rt1oKfbAukLyl1EeZF+TpOimkx+YvtA5Tt&#10;SGosisrGNQpzQMdTVtN9JlK4QxtlnGwXsOoHjJcSouM4Tqu44YblleexFuKGTK/8HooGvXXs4GE/&#10;MV/UtyNSCLLiiZSSLGkph1RdEJsYtEAm80F+otBE8DNFLGunr1S9jZQNSY0hJWLhq45LUdQmIMU1&#10;XXeuXGaNFerCznMI+KrjORY8vlQj55GiHclpVz1tlnVqaRFtYNDtIRxv9M2Kdxyn73DWlOFD5fO4&#10;g1ohDj/rNG+sOc98Se84juM4TmuxhDj97GbQf4h20GGjzBf0juM4juO0HuuzdY4QZ+7a7kKc4ziO&#10;4/QZelSIu27mI+bL+nZDylqWDGbRqBAHWCelt1gcRCv+bMlwgDudWWURymUQwOR1KX7FpC4ppuk4&#10;uTOdjpMwnR4zWb+WztivVNnyGFl5HbJbrFxJjiioZTkJhbqYdOc4jtNMOoS42udxkRCn/2GwNwtx&#10;sWM6c0hJb6k42cZY3SmhKtXHRsouGjvGW21KkdOmlASWGgvGQbTTcUTWL2U7KQDK9BoGLc3ltKve&#10;NjOg7fI6j3e1yiVyLGPSnOM4fYMTTx0+Vj6PO6h9qW597nYhznEcx3F6h9tmn1goszPoP0QbPv5Y&#10;8wW94ziO4zitx/psXa8Q9/zKl8wX8o7jOI7j9Dx79uxZWvn8vbT2ed0EIc7a9t16Ud+O4FhPSk34&#10;ih3MYruskZ4S4iBZsW0xGQ4wfS4yb0pIs9LoOF5PyXiAu7WlhDxdf07ZMVlPlptDGVFPIoU89DFX&#10;qnQcx6mTbn/dhmd05XdQNGghbsjIYeaL+nakSOoiKWEpl5T0lorLaSPTWO1L5W+kbIhoDJa4xjFr&#10;ZIc4K54wIL28npqrVByJzYVsV05oVrtScYRpYnXmBr32HMfpW4w5pvsOcTgitfNxXQ3W5+51Gy80&#10;X9I7juM4jtNaplwyPluI05+7j5p0ivmC3nEcx3Gc1vL1X3fssoS47w0Yvk/nYzsa8Bld53vjzdXm&#10;C3nHcRzHcXqFOVqI22/QkGc6H+X1h/4sxAFITBTPCAS0mAiVK8RBrMPuYkinyycpIY67qgGIVzod&#10;gNDHNDno3dZyxC+ZJnZdH4WqyRHXdP28Xo8QJ4+ZzUGPb6pdGqwVWRbmDfNeJFY6juOU5cqfLTpK&#10;P4/xAb/yuyca9D8Mho9zIS4FdhXDzlwpGUmLRzEJC+S0kWms9qXyN1I2JDgeIYrdy7i7GK7LcvUO&#10;bkXktAkwIL28npqrVByJzQWOKy0TsKOcLLfedqXiCNPoseDxrzkBc2kdfes4Tt/hsDGHdjt2DX99&#10;3vm4rgbrc7f1gt5xHMdxnNZjCXFaZmfQn7tdiHMcx3Gc3uHrrz/aZH227nxkJwPEd51v/YaN1st4&#10;x3Ecx3F6hzkQ4OSzuilCHI5jk4Xuf/Dh5ov6dobympTQgHVcZo4QByErJsFJUkIc4qRsZR1pCplP&#10;ptfxReSIXzJN7HpfE+Iwb7we61eKVLsskEaLcZAPISxa6R3Hcerhwmm3nCSfx8CFuI5gxZMcKQnw&#10;iMqi0B+EOIDd31IBEpnOU0ROmwAD0svrqblKxZHYXMi+yvS51NuuVBxhGj0WFBZTeR3HaR8OGjbk&#10;J/J5DPSRLfpzN7Be0DuO4ziO03pOOGtUoczOoD93nzx5ivmS3nEcx3Gc1tKIEGftLNcUIW7P7rBr&#10;586w69NPK3wSdn/2Wdj9+c7K9T12esdxHMdxYlzXXYgburTzUV5/qBRynSx08LDx5ov6/gLkJshM&#10;la5X0UJUkRAHuY4yHAQ76xhWlm3JXjIO+dgWlGkdyZkqq4gc8UumkdfRNl4vqptHpmI85PVU/Tll&#10;I47p5PWcfqWoNz/GRLYpJU06juOUZcq5M7v9h3zsyBYG/Q+D0ccON1/UtyO58lWOlCRFKqTTO4Sl&#10;pLdUXE4bmcZqXyp/I2WjfwjYHQ5p5G5kSFt2ZziS0ybAgPTyOupGsMYiFUdic5Hbrhj1tisVR5im&#10;zFg4jtN+WP+x3l2Iq/3cfejYEeYLesdxHMdxWs+hYw7rtkO7fnYz6M/dLsQ5juM4Tm+xY1X3PzYb&#10;sqvzkZ0M1uf2D3d8ZL2ML8WuTz8OH2/ZFHZsfC9sX78ufLR5Y9i5fXvY9dmn3dLucUnOcRzHcVJc&#10;V3mur6p5Xg8aMqfzUV5/QCGy0EOOOM58Ud+fSMleRUIcdnJjXktgA7GyrTh5pCvkOC3XcVc7fRxq&#10;Djnil0yj49guCG86TsJ02EVNXk/Vz36lpDIcdcr88ro8SjZ23GyKnHFJEWuX4zhOI0w46eKx8nnc&#10;QVqI0/8wOPpEF+IsuDscduWy4lPSWyoup41MY7Uvlb+RsrljGuLl9UaRbcLxq1YayngI9RxNColP&#10;xxG5y5+sH4Ifg64zh5x2lY0jTKPnQh7zGhtLx3HahxwhTn/udiHOcRzHcXqPnGc3g/7cffk1Vxsv&#10;6B3HcRzHaT0Q4mr/2KzyTN/U+chOBmtnOeNFfCF7du0Ku3Z+Gj7ZtiVsf++dsGnVq2HDi8+Gdc8+&#10;Ht55+tGw9rnlYcPLz4cta1aFjz/YUt09zirHcRzHcZxa9uzZMx3PdfmsxnO/81Fef8A2c7LQvUGI&#10;A5WuV9HSGnc7iwlo8rhO68jMomNOrTjsMsfrWiqT8lVZeStH/JJpdJw8JjQm/6WOL03VX1S2HBOg&#10;4+XOeloiLCLVrhwwd7F2OY7j1MuYY6YMlc9jsO+AgwdWftdEg/6HQX8S4tavf6FTF0oLQzlSEgUx&#10;7JRmxcu6+pMQB7nsoWXTa+IaQbYJZVvzwvmAfKjjU3PFOATrOFeUFTtmFHEMVtlF5LSrbBxhGoyd&#10;vC7FQR3nOE7bYR7Z8r0Bw/fpfFxXgxbixp4w0nxB7ziO4zhOi9kxbZclxOlnN4MLcY7jOI7TR/jr&#10;R8/oz9Y9KcTt2vlZ+GTb1rDp9ZfDa/fNDc/eeE146teXh6d++dPw5LXTwvJrLgpPVHjy2kvC87f8&#10;Mrz9xENh6x9Wh892bAt79uw2y3Qcx3Ecp4M9e/ZM6BEhbtiYk8wX9e0Idh+DeIVd3XgNEltKxpKy&#10;E6QsXEMailNSeIM8RykOX2VekCvEAdkmSGa8jnK5Axu+Ip8U8dAepMeOazIfyBG/ZBodp+uWx8Pq&#10;/lq7yKXqR37GQW5jvC6XyLxA7tRnHV2L8iATot16jlPtkmk4pnK8US/HpGjnPMdxnDIcNmZStyNT&#10;9xsw9PuV3zfRoP9hcMKph1sv6tsSKaJRkILcVWbXMSKFN8hHFLWeWvGbLnmMoT8IcVK20gEiG9Jj&#10;t7WyspxsEwLK4pigLLnrGdLq/Km5YhwD5oXtwzyhLgY9D0DuHoey5DrBfONntM/aJTCnXWXjCNNY&#10;4yH7hLahn4xD37HzHfJjLGQ+x3H6HKYQ1/mo7gr6c7cLcY7jOI7Ta2Q9uxn05+5fXT/TfknvOI7j&#10;OE5r+a8dS7UQB3G985GdDPqo1cHDRpkv41N8un1b2PzWa+H398wOS6ZMCLNHHxhuH3lAmDvuoDBn&#10;7ODq19mjB4TZow4Md088PDz9myvD208sC9vWvRN2ff65WabjOI7jOB1AiKs813fJ5zWe352P8vpD&#10;fxfiKl2MYh23KSUwiRTYpLymQV4eB6qlN8B0Vhx3PQNS4sL3Vps0FPhIrvjFNFa8FMBiYJytXdqK&#10;6te7wEkwFnL3OZ23KL9ECm2g7LhYYEx0uY7jOI1QeciPkM9jEDuyhUH/w6A/CXFACkMMWj7KkZIg&#10;RFllMaRkq3YU4gDHpShowTCFbJOU33SIzQXblGov5iI1V2iDzktSbWKwdgnMaVfZOMI0VruL1iUD&#10;+qXzOo7Td5h129hV+j/W8XzufFR3Bf25+/jTx1gv6B3HcRzHaTFbd1y8yoU4x3Ecx2k/vv76ozn6&#10;s3Xl8/gznY/sZKjkqzlqddi448yX8Sm2rXs7vP7AXdWd4OYfc3C498jB4d7xg8Jd48DAKveMHxyW&#10;HHVQuP2I/cND004NLy+4Jbz/2kvV3eWsMvsSmzdvDiNHjgwHHXRQWL58uZlmb2bq1KnVsZk5c6YZ&#10;75Rnn332qb5zb+WYrly5suvdPr630vQ2aBfWFu6/1atXm2n6I/idM3HixK51gK+4z6y0FlZ+rqXF&#10;ixd3XeuNeUc7WL+Omz17dnW+0XYd5/yx23tyfHavjGVjAf9YkIWOOvos80V9OwJhCdKbFM0gMmFn&#10;L7lrnAYCGo9OBciv00PGkuVCgoPkBjGMefWObYBymRUnZTy9+xjKRfmyTsBd8CyxC/1gOr1Lmk6D&#10;eq14kBpHLeFJcupHu+VYy3FEvazLyguQBv2nhMj0GBe0GfE6T067APqGtnFOAMYA5VoCoOM4TiPs&#10;ZxzZUlaIO+Ws/iXEQRjirl4IkJm0WMQd3op20UJZyIsyGCAjYRcuxLMOuUsXwM8MOo47z1m7jhGm&#10;sdqXyt9I2dwtDXl1m7nLHschVb5GCnH4GeVIoUuOp0VqrrRcpucKeayd4TRIg7ToFwPKQbkYL6wD&#10;nSfVrnrjCNOgbisecCc4GTCWyJsaT8dx+gazbh33jP6Pdbw473xUdwX9uduFOMdxHMfpHbZ+NK3y&#10;7C6W2Rn05+5Zs2eZL+kdx3Ecx2kt//31juvqFeL0znKHjjnmv40X8UnWv/xceGLGxeHuk0eFOWMG&#10;hXmjD6wyd9TfmD96QLhz7MDqjnH3nXlkeOpXl4V3nn40fP7pp2aZzYDihwVkDEpcRaINJDjmQx4r&#10;zd6MHFcr3ikPx/OKK64w45uBXNd9VfRE/3tiLPoaP/jBD7r6LbHSWlj5+burt8dU1q/j0EbGuXxc&#10;y8pXXvuJfFYDvDuvjFVjofKhfpUs9MjjzzNf1DuO4ziO0xpuuOHJTZYQ970Bw/fpfFybQac/a2r/&#10;EuKc8kD4Ykjt/oY4BiveQgtxzUQLcY7jOO0ChDj9H+s5QtwZ5x9pvqR3HMdxHKe1dAhxxTI7g0wH&#10;XIhzHMdxnN6hQ4ir/WwNQa7zkZ0M+nP7uBNO+S/rZXyM3Ts/C289sjgsPvvYcMcR+4c7Rh4QZneC&#10;78nsUQdUxbg5YweFO08YVt0l7s0HF4Wdn3xsltsMpHhRRGr3JQhz3GnJd0HrDuUb7OJlxTvl4bps&#10;pbDUDkKc3M1sbxGkpMjL3zfY8Q3XdVqLWH6Kv3JMe2OHuJQQh9/DuP7d73632mYdvzcze97CofJZ&#10;DVyIcxzHcZz+QakjWxh0ehfinNQRr5J65DYX4hzHcboz67Zxc/R/rOMzduejuivoz90XTD/afEnf&#10;FHZcHLZ+cFHYvOWCyu/uC8KmTReGLZWft2yfZqd3HMdxnL2LrGc3Q226oWHhvfPNl/SO4ziO47SW&#10;v/51+2T92RrP9M5HdjLoZ/+YCSf9xXoZr9mze3fY9dmn4YN1b4eX5t0U7pp4eJg/ZkCYM/LAGhGu&#10;S4gDow7sYPSAcM+pY8Krd98RPtux3Sy/GaTEC4ggOJ4P4gXTQOzS6RynN+Ca3NuFuL0R/t6yjhTN&#10;odH8rSb1e9mJ88uZN+wvn9UdDBlRGcfGAv4CThZ63EmXWi/qHcdxHMdpHaWFOOwep9NPnTbSfFnv&#10;7D3IHeJw7CZ2gpPHhOIIVSm24UhamT+FC3GO4zjdue22sVlHtujP3a0U4iDCbVw7Nby7+pyw7s3J&#10;Yd3qKWHDunPDpvfPdynOcRzHcT66eI5+dseEOOtz94OPLjFf0juO4ziO01r+8pcdE/Rna+z62vnY&#10;Tgb97J9w6tlfWS/jNbt2fh4+en99ePeFp8Izv70qLDhmSLgTQtyo7jKcZsHoAWHe0QeH3912XaWM&#10;DWb5zSBHvMAuRBMnTuxKl9opznF6Cq5HF+L2PrhLWr3HMzeav9W4EFcf511yRbcd4lyIcxzHcZz+&#10;wTP7DRoyXT6P8XzufFSb4d8GHPwdmR64EOeAt995vCqXFQXIZ1KWK8KFOMdxnO50CHH6yJZiIe6K&#10;X0ywXtDXxdbtF4dNmy8I7/3h3PDOq2eFN589Lbz22Mnh1YcmhpfvPyG8/OCJ4dVHTg5vPX1qWLdq&#10;cnj//QvCBx/aZTmO4zhOf2fbjouzZHYE63O3C3GO4ziO0zt8/eftI5olxB1z0plfWC/jNZ9/9mnY&#10;snpVePOhRWH5NReEeUf9KCwcOzDMHW3vEEewU1w13djB4alfXhY2vPpC+Gz7trD7811mPY1QRryA&#10;PMK0PFrQcXoLrkUX4vY++LuoXqGt0fytxoW4+hhx5PE/kc9qsO+AgwdWxrGx8MPBQ3bJQl2IcxzH&#10;cZye5YYbnlxa5sgWBOs/5i++zIU4pwMcl4rd37BLnAxf/fmLsHPnlurOcVa+FOvXv1At4+uv/2zG&#10;NwLahICvVrzjOE5fZdassdPxzK55JhtHtuj/tL/smuP+bL2kL8vW7ReFjRvPD2teOTP8buGE8Ni1&#10;R4SHLhseHvrp8PDAxYdVGFZl6UXDwrKrRoTn5x0bVr9wRnhv7dSwZdtFZpmO4ziO05/ZsuOi6Vpm&#10;jx23Zn3ufvq5R82X9I7jOI7jtBYIcfq5jD8y73xsJ4N+9p865cLd1st4za6dn4WNv38pvHr37PDw&#10;ZWeHuUf+KCwYMyDMHZUW4u4YuX813ZzRA6r53rj/rrD5rdfCzk8+NutphDLihZSDrF3icPwg4mbO&#10;nNktDrvMoS4cucoy8D2uIU6nB5DuUI88shUCC45x1WlRJ+N1HBk5cmQ1Db5a8egf4tgPfMXPMREK&#10;7aBYA9BO7KRnyYJFdYPFixfX1A8wRhiDlIDI9DjiluMsxwxlIs7KWwT6iPxy3gD6bc0zYX+ZBuXo&#10;uUd/dT5NKh+vob86X4oya1ELcYjHHMs1gp9jaxg0YwxZL/Mijukwt7yu55lxaCd+xjoq237E6fvQ&#10;ItWXGMgj7yHAcbHaxHbHKFrnRfkt9L3XjDEFqXxYi6xf58PYyPqtOK4P/k5jWZjDovul3vlmf2Q+&#10;zCXWv0zXSrAbnHxWA3wmr7SlsaALnXT6lebLesdxHMdxWsWT2Ue2MOw3YOj3a9O7EOc4juM4Pc0t&#10;t46ZnPMX6voP0a79zfFfWS/py7J50wXhD6+dHV5afEJYOu0n1f94x3+64z/f8RfpYM6oA6t/mT5n&#10;9AFVMe6FhRPC6hfPDJsqea0yHcdxHKc/s2X7tG7P7pgQZ33udiHOcRzHcXqHN9es7LZzTOWZPqHz&#10;sZ0M+g/Zpl58+U7rZbxm186dYcuaN8Lr998VHrvqvDD3qIMrn7krn69HFuwQNwqfzQdWvh4YHjh/&#10;Unhx7o3h3ZVPh8+2f2DW0wgp8cKCsgPkHh3HcrRwAcFCy0ASS9CAdEJRxALihUzPfkDAkNclFG+s&#10;NJA2ZPkanR71W+mAVX6qboyPlFYsMBYxsYRpIKjEJBbkL5KFNJRrUlj9AewvxBp+b5GSZVL55PgX&#10;CT6SsmtRCnEYj9iaRJkoW+YFzRpDq81Mp6U9WYaMw1iXbT8kp9R9KNGCVAqsxdQ8AKxlvWaL2lK0&#10;xnP7Imn2mAJInbF8uC5/H+i8/F2XisPawbphOo3+/Unqne+i39d6DFvELjzT5bMatESIO+3sa/7T&#10;flnvOI7jOE5rWJF9ZAuD9R/z068aZb6sdxzHcRynRdw6tvJBvVZ2s4W42md2s4S4DeumhlceODE8&#10;NmNkuPPEg8Jd4waG+44cHBaOHVD9HiLcXeMGhcVHHVT9z/hFp/04PDFzTHjt0ZPCxg3nmWU6juM4&#10;Tn9my45pE3JkdgTrc/errz1rvqR3HMdxHKe1LFw0b6h+LmM3mc7HdjJoIW7yhZfuMF7Gd2PP7t3h&#10;k61bqrvEPXPjjLDgmCHhrrGDwtxR+EM0W4YDHULcgKoQd/+UCeG5m38R1j79ePhk21aznkZIyRUW&#10;UlLScbyupSJKQRAm5K5gkCggZuj0kEgoV+g8UkCR8osUQXhNw7ZbaVgm2gMpBNfQDtQHMUemRb1I&#10;C9A3Si/Ih3bI3btIqm4pd0Fi0fWzbcASfhhH0Aa2SebX/SgCfUMefJX1on1S2LF2emN/CdKzX5Bj&#10;pAzF6xLOJ8D4sD86L9DrJ0XZtSjlJ+bDmCIObdLtlHlBM8cQPyMdkO2UbdTiUaPtZxv0eMl1VWb8&#10;AerlHKIMjA3nF+Mi24SxY5yE7cJXHZdDUf5WjinScOzwleXrvETnl2lScQDjzPL1mmObJfXON8tF&#10;fXKdowyUqcewRVQ+ox8yWT6rQaVdjQddqAtxjuM4jtPTrLhOfyiP/YU6A85Nr0lf4ZoZo+2X9Y7j&#10;OI7jtIRZs8Z028odH947H9ddQae54fYT/9N6SV+WP7x+dnjiujHhrlN+HOaMG1DdEW7uKP4H/IFV&#10;sEPc/OqucQeEhSccFB64ZFj43V3HhfXrzjXLdNqXa2YMqf4H1je/+Xdh5Sunm2n6I8tXTAzDhv9r&#10;te/gH7/zrXDjLYebafsScr6s+CJS+c88+9/DgEH/VE2j4+oBdaCuZpXXH0iNMdcjvuq4esE6R5kA&#10;31tpUjS63voTEOL0czl23JoLcY7jOI7Td7jwsivqFuK0DJ8rxJFPtm6uHpu68IThYeGYgcVHph5x&#10;QJg/GkLcgHD/OceH3912XVj37BN9QohLped1LUxQsoDsJa/HkDsbWQIYxA6IF1KkYrtiggtgO3Qa&#10;KbhY8o2GdaENVrxFTt163AjGgGkswYZxwJJc5JzJMWsEKfVY7WZ/gdVm2W/dZlm2Hi/Go0zmj42b&#10;BduVuxZlO9Emaz2yzLLCYZkxtMaByDbi+1hc2fajfcxrrSspF+q4FHI96vYSlh2rm21OjUuKovyt&#10;GlNQ1H9c47oAOl7mT8Xh9xPmUMbLNafvy0bmm/mkRNcLrMLncvmsBpV2NRa+N2D4PrrQs6de9yf7&#10;Zb3jOI7jOK3g+uufnJ77F+oMLsQ5juM4Tu8z7dIjTtLPY+vIFp3mt7Mm7rRe0pdh646Lw5srTg0P&#10;XnJYmDOmQ3zDf7xDitP/GV+NG3VAmHfkgLDo9B+HFbeMD++9fY5ZbrMoI9C0Qh7ZG4Gcg3EE9z94&#10;rJmmvwHxj2tNgrGw0vclpl06uKu9VnwRqfy8Xm/ZGpaFOq34vZHUGPNebOY6xD3N+uq5vxtdb/2J&#10;3714zlH6uWw9uxGsz90uxDmO4zhO73DKlHPH6ecy5PXOx3Yy6P97n3bFNR8YL+Oj7Prss/DmQ/eE&#10;e04dGxaMHhDmjj6wKsXxc3h3DgwLxw6qfv/wpaeHN+6/M2x+87Ww8+OPzPIbISVXWKTS8zrSyOvc&#10;PSi225MG6ZAe+ax4C7YrJcjEJBgpnEH6kHEWUtaxZBiLWN1S7EqNjUyn43g9Jnml5J5GiPVJxqWk&#10;QbZJrxdINYyLCTZS3tH5U5Rdi3LsYm1J3RNF5IxhUVtT89tI+1Pl6ngdl4L3d5FQynSpsbHicijK&#10;n+q7jKtnTaDfuJ7qv5SCdVyqbBkXWzOxvqf6rON1HCW7Mr+zW8AqbBQjn9V4dlfa1VhwIc5xHMdx&#10;eh8X4hzHcRynPTll8uET9fNY/4W69bn79jtP/tR6SZ/Llq0XhnfXnBNevHdCuG/ykDBv1IFh3uj4&#10;X6jjuJY7Ru5fZd4xg8Jjvxgd1q2abJbdLCpdr5Ij0LRCHulv5EiD3AEKO6StXtta4bGvgF260GdI&#10;cZSEIMm1gxDYSiHuf3/vf1SvN0syZT0uxP2N1Bi7ENe3Wfzgqd1k9tjuMtbn7rXrXjVf0juO4ziO&#10;01oOGTX+NP1c/rcBB3+n87GdDI0KceCdJ5eFBy6YFOaNP6j6ORtSXEyImz3ywHD3uEHhjiMODE/O&#10;uCRsePHZ8OkHW8Kuz3eaZTdCWZknJWrwOsqU16XgBAkkJpGAekUn9iMlyKQkGEoqrDe1kxriKIDg&#10;K3ZTKpKrYnWn2iRJSXi8nhovprFEl3pJtT2nX0yj2825BPK6hmlS/daUWYugSBLSaaz4FI2OIUi1&#10;sZH2Y53zujVOnCdrx7AULLNo3igvWuXnjk2MovytGlPA66n+p+6BeuMI0+i+NzLf8rmAecsVhZvJ&#10;nj17ntFCHE5Wq7SpsYB/KNQW6kKc4ziO4/Q011//RLdz0a3j1mTAf9jrPL+eOcZ8We84juM4Tmuw&#10;hDi8PO98XFdDK4S4DeumhreeOy08M+uosOiUH4c7xwwMCzqPRY2zfyXNwMrXA8NDlw8Pq393hll2&#10;s6h0vYoLcc3Bx8iG49KOuwu2UohrNqzHhbg8WnG/uhDXPH5904mFMjuDC3GO4ziO03fobSHu/dde&#10;Cs/ddG148PxJ4a6Jw8Psyudr7NA+d1QH1e9H44/VBoQ5lc/d4O4TRlSPS/1g7Zqw+/Od4Quj3EbJ&#10;ESgkFEms9LyOMnUcpDHGA0gVkCi0eCZFkiJZSRKTPCQpCQZCm5TimM46OhBA+EAfZHrs4hYTZGJ1&#10;y7zyuiYl4fC6Ne4kljcHjAEkF+7YpbHGM9ZfCdPodueuSaZJ9dsidy2C1Lhbaax40KoxBKk2Ntp+&#10;tgFjJO9H9Ifrv2jtSmRdsXuLpNZB7tjEKMqfGrdUnJVGx/F6at2m+l5vHGEaq+8cl3rmW+5iCbDW&#10;IfIWycLNAkLcfoOGLpXP6v0GDXmm0pbGgiXETb3who+tl/WO4ziO47SGiy+dNVU/jysf0s0jWxhc&#10;iHMcx3Gc3mf8hJ90e6muj2xphRD37uop4dVlE8Pjvxod7jzxP6oy3PwsIa7jaJcl5x8aXnlgYnhv&#10;zTlh89YLzToapdL1Ki7ENQcfIxvu0tWOolajglJPCk6spx3HuTdoxf3qQlzzOGfa+MJnN4P1uduF&#10;OMdxHMfpHfAH5Pq53PnILgyVZ/oume/qX/5mk/VCPsXHmzeG9StXhJcW3BIevvTMsPCEw8Idow4I&#10;d44dGO6qML/yWXth5eui8YOqu7jfedyhYdklZ4RVD9wdPt221SyzGeQIFBJKEZZMwXJQpo4DEI4g&#10;HrEMgO+lVJIjm1ikJA9C2SOVBuIH05HYMYAQPSB8aMnJOnY1Vjfz9EUhDtJfTOCSWOMZ66+EaXS7&#10;c9ck06T6HSNnLYLUuFtpdFyrxxCk2tho++XOhBaQSMsIT7IuF+Li6zbV93rjCNNYfW90vtFvLcYh&#10;jyWbNps9e/YshQAnn9UQ5CptaCy4EOc4juM4vY8lxMX+Qp3BhTjHcRzH6X1+fPhPuj3D9V+oW5+7&#10;GxXi1r4xOay89/jw8DUjw50nHhTmjx5Q/St0W4Qj+1f/gx5/uX7PmYeEFbPGh1VPnxY2rDvXrKNR&#10;Kl2vkiPQuOxVjI+RTZl11tdoVFDqScGJ9bTjOPcGrbhfXYhrHsedOuqn+rkc213G+tz9wba3zZf0&#10;juM4juO0lv0GDZkun8nY9a3zkV0YtBB3xbW/Xmu9kE+x+/PPqmLbey89F16cc314+KdnhftOHxcW&#10;HDc0zD3yP8LccQeFOWMHhTljBoaFJx4Wll18RnjhtplhfSV9K45KJTkCBYHAwrSW9MU4lKnjNHLH&#10;IXylZAFxokw5JCV5kCIJRoJ28MjGnLZABJE7zGlRJlY38xS1SYoqWi7h9VQbmSYm8FiwzZgflK3r&#10;jfWpKI4wjW435xLI6xqmKZqbImJrEUixKTZ2Mo2OYx9bNYYg1cZG2o+2ot0A60+ub3yP/pSR4QDS&#10;s4yieeP9B6FQx+WOTYyi/K0aU8Drqf4jLpa/3jjCNLrvzZxvpJNtqXeeSjJH7+aKI1Qr9TcWXIhz&#10;HMdxnN7njMm/mKKfx/q4NR2wg5zO40Kc4ziO4/Qs/3HY0Cv08xg7wnU+rqvB+ty9aOlpH1sv6XN5&#10;9+1zwmuPnRye+M24sHDif3QIcaOKhLgDqrvIzRt9YLjrlB+F5b8e07FLXKUsq45GqXS9So5Ak5JH&#10;Vq89J1wzY0g17h+/862ucr/5zb+rHpM5b+HYbnkI0iDt8hUTq7AeXGe7mObMs/+9W34J01n9gZyC&#10;tjANwM5lSIv26/TkxlsO72oTQP+OmbBvWPnK6V1pZJm5II+sB6D/Mg51oC6Wj6/4OdVexGGc5DxY&#10;YL6s/Ck4x7Ic/Izruk3sSwyr/xYsB/XgZ9SDMWD/UA7mFel0XoC2yfwWyI801pGuWlBCPUwP0I7U&#10;GtL5Jal6Cdafrk+vP8I0cv0zL9a6TKtBmUiXaosE/S1zz8v1kPp9INNJoYzjwN0GCdefLEPC/lv9&#10;Ql6WoeMwvriPEMf7D3D8Y+tNC3FcrywDX2PzB1LrhfD3ghz31LpoVw4bd1i3Z7cLcY7jOI7Tt/n6&#10;rzt24cW4fCaXE+Jqn+f1CHEAYtvHWzaFDa+uDGseWxpevfv28NxNM8Lyay4ID007NTx48alh+dXn&#10;h2dv+nl4Y+ld4b2Xnw873t9gltUscgQKAMFB7nSlxR7AOJSp4yxwJB/zSLEEQgauxXZms8jpR658&#10;JimTJyX7IL9VDqUf9Fle16TkoFidEqaJCTwa2RdLfgSxPhXFEabR7ZbiZay9qbGuh9halGJTrC0y&#10;jbzeE2MIUm1spP2UMIvqL0vu/c101u6JuWMToyh/q8YU8Pdoqu3YvTCWP/W7LhVHmEbX34r5TvWj&#10;BXQT4vYbNPS6St2NBWwHLwsFLsQ5juM4Ts8y+tgpv9XP49h/yDNYQtz1N441X9Y7juM4jtMaBgwd&#10;OrP2eTxkV+ejuiu0QojbvOWisO7Nc8LKRceFu0/7cfVYlgVjBpoSnARCHI5MvevkH4VHfz4yvHjf&#10;8dXjV606GqXS9SpSoImRkkconaSI1cF4SC1SPAGsi+UjXucnkGyYTws3EFsYZwHJxhKaIJhY6YEc&#10;B93uXGRdQMo0EIBi5cbaCxkmty0piUgD+UeLSBoIOVISkmKTRWouJRwTjDe+j/UP1xGv81MwstYt&#10;QVwsjRSUMCf8XhObk5TglKoXpNYf+qulLMbJe41CIIhJXGg30xRJp6See55zZ8lpRN6rHE/Zhxix&#10;MUyNcSouts4k1nqT97D1O41Y8wdS6wWkfi+AWLntiCXEVfpoButztwtxjuM4jtPzfP31R5twdJp8&#10;JuNotc5HdmGQ+UC9QtwX+LpnT4XdYddnn4SPNm0Mm954Nax+7P7w8vybw8sLbglrHl0S1r/0fPjo&#10;/fVh967PzXKaSY5AAflN7hYUE5CK4jUxsUQeuYcjJ2UeANEI7ZFxRRIVZQ9QRvhA2jJ5WIceg1g5&#10;RbvuAfQzVi5IxRGmiQk8Glkn2qjjMQcpsSdn3JhGtxvrjXVb0hTnn2ly11uK2FqMXZfINPJ6T4wh&#10;SLWxkfbznoGYFstbD0X3N5D3q1V37tjEKMqfGrdUnJVGxxX1X/5OsPJjvdcTR5hG970V853TniZy&#10;nX5WY2fYSt2NBUuIu+iS23ZYL+sdx3Ecx2kNw8aceIN+HrsQ5ziO4zh9n//7o6ELa5/HQ1Z1Pqq7&#10;gvW5u1EhDmzZdlH4/aMnhcXnDK3uDgfZzZLgJDhWdc6oA8Pdp/xHWP7r0dUd4t5dbe8+1SiVrleB&#10;eAORIwWFKEsegeCC65A15A5FMh+whCHGEbYFZQGkScluhPIQxCx5Xco0kE3YPrRFyiW6X1LoQhls&#10;O/KjHEvqSQk2JCW8oN+MA2gbxwD1y7zor87P+pFPjpPsJ8qQeYpAvZxDlGGNBduEsWechPFl6wYc&#10;E7afY8J6ZN/wVdfP9qXmJDVvsn8AY8GxRV0y3loTMl7H5daLuea6xVfKaLo+pkdeXkMbeT0mu2EM&#10;mYb1FFHPPW/JbhrueibXN9YcruOrlL3kWADrd0NqjFNxWEtoA8qUbZXrDf2UeUDsHmYZMr91v6TW&#10;i/ydhH7LsUA75X0aG992Yv+DD615dqd2l3EhznEcx3H6BhDi8Hm75rlc4ii1mnwVfn3DzauNl/F1&#10;sfOjD8OWt98M7/1uRXjvxWfC1jVvhk8+2Bx2795dmxYinfy5SUhhARKEBGKGlDeAtVsTYRqUKa9D&#10;sMBOQVL+wPeUmhAv00uRCMIQdu9iHNpEiUhKG3I3Lil0QK7i7mpEiyBoL66hbJTD8qSUI2U1pMU4&#10;yHahnpTogjxW3UDLXdx9D21Am9AfxKHfbJ9E5tVxhGnkmBXBetE+5tNtAlafUv0lTGO1W44l4tlv&#10;jLkcr1j+GGh3mbWIfrOe2NjJNDqu1WMIUm1MxVlp5HWsQ9lGCdYi2oV5ipUbQ5aLr/K+Qxzmk/XE&#10;dpHLHZsYRflT45aKs9LoOPSRcXJd6L4TnV+mKRNHmEb3vd75xs+Ix+9IlMHruFdZXtFugM3gtTdW&#10;3aGf1dixvVJ/Y8GFOMdxHMfpfQ4+/Li5+nnc+aiOhh8OPmSyzuNCnOM4juP0LP+/gw59WD6Lrb9Q&#10;tz53P7T8zB3WS/qyvPXcaWHpxcPCHUfsXz0KFbu/QXizZDhw55iBVe4585Dw3Jyjw+oXTg8b159n&#10;lt0ola6XxpJHUkhBBN/reFm2FHk0lEgsEUzGa+mH1yHTyOtEtk8KJhRTLOklRkqwISnhRbYF7Zbt&#10;IaxDi38QYJgX0o2MA+g/y9VxKWR7rfkDLDtWN+NS8xsjZ0xS9bP9qTlJzZvsP9aCJRpJKUsLZan5&#10;jtUr51JLbwR91vcC8+hxZvtic8/4Mms9hZwzuWak0GWtExlvyW0WGCve49b6Ss1tKi5Fak6btV6B&#10;vA44T7E1IccCdVhp2on/+6OfFD67GSwhbteu980X9Y7jtJbFZ4zt+jftE9dMMdO0mg/ffjbcPWl4&#10;tQ3zj/5xeP2eG810juO0gh2rILHLZ3KZo9RkPtBMIW7357vC559+HD7d/kH47MNt1e9379xppm0F&#10;loARA2mtMkgsnSzDQoplBJKMlZZAzCiTBzIHj+/TIkjRGEBakemR30pHUI9ML/PouoEUsmJAONGS&#10;HWGa1PwwTUzgsSiaA7bZ6lOqv4RprHZDkEqNCfKk8sfQ5Wj0WpRiU2zsZBod1+oxBKk2Ntr+onuD&#10;WGs+hZSlYqDfFOU0uWMToyh/K8cUpNYF1oSUcXVeOSdl4gjTWH2vZ75lXy0wz1KUaxVPrHj2Tv2s&#10;booQt++Agwfqgl2IcxzHcZyeZeDQUQ/WPo+77y6jgyXEWS/qHcdxHMdpHTl/od5KIe6dV88Mj157&#10;RFhw/EFh9pgDwuxRBxQKcfNHDwhLL/hJ+P3DJ4X1684Nm7deaJbdKJWul6asPAKY1xJWGBeTPAjk&#10;H6SzpB7IMyxHCijyukyvYRopkUhpxZJaLHIEm1yZJiYExfLHJCQrXsel4I5dRbIU01l9Z73W/BeR&#10;MyaAabQkxvFKzUlq3uR4WzIckG0sIzjF6kUZzJO79gDz6HGW94EeQynfNVOiYpm6LVwn1v3OHeRi&#10;4l6M1PzVG5cida81a70CeV3Ok65Twj4V/T5tB8rsLuNCnNNfeWbmxd3+nbhm2WwzbV9BtvWB8yaY&#10;aVrNK3N/0Sfa4Th7Jztqn98Vco9S+96A4fvovLfOvfN164V8OwIxpdJNE+4KBDkjJqZIKLjI3dQA&#10;hAkIbChPlo1rMckLIB92FpLiDH6GTGKlB+iPFKnwPdNTMtG7FaFviKMkQ9h3mRZA7oAQIutBG1Gu&#10;JfcBxCGdrpsUtSE1/rFxlzBNarwtOAdsD8rBvGEMUB+uWX0q6i9gmli70WcIOnLdIA/ahHi0I5Xf&#10;ouxaxDWmi40d02BsrPhWjiFItbGR9svfDfqew9ygX3K9xsqPkbqPUvc44NwXjU2MovypcUvF6TSx&#10;NQH0usA6xHrH2GJsYvm5ZsrGkdiaa2S+kR7loV7GY14xv6nfXc3k2pk3PqCf1UUnqWUFF+Icx3Ec&#10;p/c54JCRT8tnceov1BlciHMcx3Gc3ifnL9RbKcS99/a5YeWi48IjVx0e7jn9kDDvqIFh9siO3eLm&#10;Y8e4UR3HpC4YM6B6bc7IA8OCYweFR39+RHj7d2eELdtaI8OBSteraGnFol55BKTqyW1DSjShLKel&#10;LSmX5CDbgJ2+uNsSvkJSiglRJGeMZJt0XEq0sdLI62gvr1siDustKxuxzKL54e5VVvm5ZVjkjAmI&#10;jT37nZqT1Lyl5kvCNLqPqfyxeuXRovJ6EcxjjTPXshawpHxXtL7LEGuLHA9dH2W52NGuMVLzV29c&#10;itSabNZ6BfK6LDeHsn3qi5TZXcb63O1CnNPu7Nr+Vo3U1S5yV19oqwtxjtN7vP/+qnf0Mxnieucj&#10;OxksIe63t9y+3noh7ziO01+gqJba/Q2yE9IACFNWGqc9aPf5vuxnMx7Xz+qWCXEX//SOL6yX9Y7j&#10;OI7jtIb//4+Gr6t5Hif+Qp3BhTjHcRzH6V1m3Tp2l34WW3+h3kohbtPmC8Iffn92eOXBE8PjvxwV&#10;Fp364zB3XIf8tnDswLCg8hUy3KLxgzqkuKMHhiXnHRqen3NMeHf1uWaZzaLS9SqWQKOJCRwEcgt2&#10;mEI85RuNVU8qThPbXYr16R2uKMrlokUy7M6l+4IyY6JL0RiBmPACcmQamUbHsX60WfYF0lNMiEoh&#10;69I7n2lS/eL1nDnW5IwJiI0925Wak1hekOqXhGl0H1P5Y/XyetkjTFmPNc5y9zUpolFkrGdHsXru&#10;eSluyvsV9xqvx3bFwxpEO/l7QGPNX2yMi+IA2opxYzoLvSabtV6BvC7FxRzKSoV9Ef1MTu0u4zvE&#10;Of0RHPMppS4JjgS18vQFZDt7S0TzI1Mdp/d4bdXzv9fP5Nyj1FyIcxxnb6Ty668Kdi2z4gGkKKZz&#10;Ia69aff5vnD6VUv1s7rSzsaD9R/zLsQ5juM4Ts/ybwf95AP5LE79hTqDC3GO4ziO07v88tej9+hn&#10;sfUX6q0U4j7YMS1s3nxhWPvG5PDivSeEx64dGe4/f2hYdMqPwoIJB4V5xwwK848eFOYeNTAsPOGg&#10;sPTCn4QnbxwXXn/85LBx4/l2mU2i0vUqlkCjSckjUrhKYdWTitPInbMo9UD84jUILDI9ZR8gr5eB&#10;0o+WcLR8B1JjRGLCC8iRaWQaHYc2Mc4CgpWUoYqQdbkQl15DTKP7mMofqzfVnhSsxxpnKZxxLrEW&#10;9LVcGrnnsQ4RJ4U/3tu4z2RagLbHJDiJNV6psUzFyd81KfSabNZ6BfK6vLdT5fYXXntratazm8GF&#10;OKc/ApmMYtniM8Z2fQ+wA5qVpy8g2+k7sznO3sfTzz3a7cjU3J1jXIhzHGdvhDuG4RhMHImJYzwZ&#10;h+9xjUdk4rhPmddpP9p9vo856cxXap/VQ1ZV2tp46GtC3A03PGledxzHcZz+jH4Wp/5CncES4q6/&#10;caz5wt5xHMdxnOZz9c9H/1E/i62/UG+pEFdh64cXh03vXxDWvTklvPnMaeHlB04Mz80/Jjzxm7Hh&#10;octHhAcvPSw8/LMjwlM3jQsr7zs+vPXC6eG9P5wbtm6bZpbXLCpdr2JJK5qYwAGphmIMpBWIMlq6&#10;StWTitPI3aUo8HAXOGuHq5hcUi8QUSjzAC2mxMZIkmpTjkwj08jrGBvMA4A8I9uJ71FvGRkOSGGq&#10;aH4oH1pCU24ZFjljAmJjz/FOzUlq3lLzJWEa3cdU/li9cmdDeb0I5omNM9cE7xXcQ/gZa0anTdHo&#10;Pc96ASVWCm8p0RR1ojwtvqbmr544ueYQp3eOTK3JZq1XIK/nlttfePbFyVnPbgYX4pz+BnY4k2LZ&#10;ppceru50xp8hyFn5+gKy3S7EOc7ex4JF89bqZ7ILcY7jOHFWrlzZJUClgByFtFYZTvvQ7vM96thJ&#10;q+Vzer9BQ56ptLfx0Coh7oYbngo33wyeqHLLrOVVZnXC6zfdBOwyHMdxHGdv4NoZS2qewyD1F+oM&#10;rRHixofbbh9XYXy4Y3Z3br+j42tHGiu/4ziO4+w9XHjJyI/1s9j6D3nrc/cjT575hfWivhlAjlv7&#10;1pSwasWp4YW7jq3Kca8+MDGsfuGM8O7b54YtH7ZWhCOVrleJCTSSmMAhd2iLHXWYqicVZ6GlHoo5&#10;FOQkUrzRUku9pCSx2BhJYsILyJFeZBp5nTtIpequB46vJRxKmM46kpXtzZ1jiexvbA7lnOijIlPj&#10;TbimrLGT+bX0ReQ9oNuYqj+2XuRuYLF7yoJ5YuMsy0VfWH+ZY3RBo/e8nC+0Se5ep2U3nVbGkdg4&#10;1hvH3eGwpuV1krpPW7VepQys8/RHIKTrZzKe05X+m8GFOKe/gR3gKJXh6E9ce+KaKTWyWerYVLmj&#10;HGS6XdvfCr+7+cqa6/h+zbLZZn6w7ql7wjMzL67ZqQ6gPY/89JRqvJVPppVCnK5b5pHwqFOA+mUc&#10;xkW2B5IgftZHosojU4F1ZCrGBWMq06FduNaXj6R1nL7Ob2/5bc2LctD5uM4KOq8LcY7j7A1gZ7Cp&#10;U6eGgw46qOtzH4A4hWvYNWzz5s1mXqf9aOf5/tGIsVtqntWDhsyptL3xYP3H/KXT55gv7HOB4Dbr&#10;luVh9pyHw113LwkPPHRXWP7kvPDMc7Mr3FH5fm54cNld4b4l94WFdy0Nc+c+Em6upK8tx3eKcxzH&#10;cfYO8NzVz+LUX6gzWP8x35AQd/u4cMecI8OdC48OS+4/Pjz6+KSw4pnTwnO/OyM8+8Lp4amnTg0P&#10;PzYpLHnwhHD3vceG+XceFW6fPd4uy3Ecx3H2Ak6fPGKnfhb3BSEObNl2YXhv7dSw5qUzw5oXzghr&#10;3zg7bFh3XthauS7Tbd1Rm6+ZVLpeJSbQSGLyiJRstMwCpOxi1ZOKs5D1SeHNkpWkeGIJMfXCMnWb&#10;uUsaBCt5XRITXkBKtLHSyOscF0g8sbz1IHcri8lPck6suhmXO8cS2V/0zWqDHFNdv1wjVttk2601&#10;IsvGvFrrjPcG2qfjU/Mdu6ek/BQTEdEvHcc8sXHWIha/j4lbMRq954G8V9gW676RZVnSK/rE3eWs&#10;+YuNcSqObbN2OwSp9d7oek2tF4qb1jrrb/x21sSsZzeDC3FOf0PKY5TCIK/xGoDgpvMRmQ4SmZS+&#10;NFY5uGal1ViimYyXQhwkOhlnCXW6jzwaFkKfHBMLWR6+l3G6j2i3jNfIdjuOU47JF15Y+6K85FFq&#10;tXmHhhtvm73NeiHvOI7jOE7Pc+DQIz6Vz+n9Bg29rvMR3lhohRB3883Lw7y5D4cl998Xnnp6dnj9&#10;zd+Edzf+PGz98IrwwY7Lw3uV73HthRdnhSeemhuWPnBPmDvvYbMsx3Ecx+nvTDn/NzXPYZCz3Xuz&#10;hTjIcHctOjY8uGxiVYJ7852pYcOmaZVn9yUVLg3vbrig8vyeEla+dGZYvuLk8MCDJ1alOKssx3Ec&#10;x9kbGD/hsC/kc7jybN7U+ZiuCb0hxG39cFr1SNRNWy4MmzZX2Hph5eeLWirAaSpdrxKTViQxeUQK&#10;KxBJKMjgq5Q7gFVPKs5CykIUYVI7XEnxB22X8g+kEvyM/JBMZD6kxXWZHnWnBDHZX8o7SCOlF5mG&#10;14iUabQoY6WR19E29IFxEowT+xMrN4YsF1/RL8o4eo5j8hbjc+dYIvsL2AbEoR1FQhvSyLzsP9pO&#10;8SmVX/YPQEqSZcj1YPUvNd+oD9etemXbsIZRF67LOnU+pk+Ns+5zTPpK0eg9DzCHTMP72BLeANef&#10;HHvMK9IzDljjmBrjWJxcU2g/1zv6rcdP30+NrtfUesHvIsZhzFAu2wZQN9YK6tS/m9qNi68+dk/t&#10;M3nIrkq/o6GVQtz7Lz4UnvvtpY5TBevBWifNRB+XKndxk8emQnKT+SQyfw56RzS5C1sROq+Mk2KZ&#10;ltCwE5vMB2K74OUIerlCHOQ6OY4W7SjEfbLhJXPNOk6j7P5wjbnmYkw88+wP5fO47FFqMi9wIc5x&#10;HMdx+gbrN2yseUYDfBbvfIQ3FlohxN0x+9GwbNnCsPLlm8KaP/wqbNj0s/DBR9PD7j9dHb746pqw&#10;7aPLqtfeee8X4c01M8OLr9wSHn18QVh0z9Iw+45HqkepWuW2K+PHT67+h9I3vvH33eKmTZsV/uVf&#10;/k/Yd9+B4fLLF3SLr4eDDz6yWibqteKLQDvR3nrzt4LUGLYzmHf069vf/mczvp3hOhwxYpIZ7zjO&#10;3zhjyrU1z2FQ+d1QGJotxN151zFh+ZMnh9+/fnZ4593zw8Yt08L2j39aeXZfHfZUnuGQ4tZvujD8&#10;4d3zKs/vcyrP+TPDo8tPCvcuPi7MW3BUuP0Ou1zHcZxW89SK3wQGfG+l6au8+OLc8PXXf662/fU3&#10;lphpnHw4luvXv2DGN5sjjjrsT7XPYvsv1K3P3Use7r7zUX+j0vUqKYGGpMQSKQVpIGdQeLHqYbqc&#10;NhAtpRTtcJVqH9FiEPsbA+KJTA8gBElBh8i+pYQXKdNo0cZKo+Nk2SmstqfA+Fr9kmC8pJwjYZoy&#10;c0xkf1PziPmjmKWR8pUG7aY0aa1tjiniUvVbu5vJ/EDHcY1Z9WIsuSOYhSU9MS41zlKqAmXXAmnk&#10;nid6TcXWT2r+AMfJGsfUGMfiisZexun7VK7XVLvRd2u9ptYLKBoLErsX2oWTp4zLenYztFKIW/3g&#10;HaYw4+ydYD1Y66SZYEc41gdxS8bpXdZw7KeMJzINQDncbQ2Smd5tjXEEAhmEO7RFimaQybS0pneJ&#10;k3FaLJMimu4b0MeX8roU9DAGaAeu4yvqR75cIU7HyXw8RrUdhbhtb62o6ZfjNAvIltaai3HwyNpn&#10;eNmdY2ReMGvO/J3WS3nHcRzHcXqWN95cXfOM7qD4JLWs0AohbuHdS8NLr95Y3RHuk88vD9s/nl59&#10;of7hp5eFHRW2f3xZ2PbR9C7e33pVWLX6uvDMc7eFJfffE26//XGz3HrpbZkKQhDqB6m4ZolDLM+q&#10;L4dmt6cZpMawnWGf+lu/QH/um+M0myOPP6/mOZy73Xszhbjbbh8blj54YnjjrXMrz+afho934hn9&#10;07D9k8rz+5OO5/eHle+r13ZUqHx9f8u0avpnnjutesTqHS08PvWhZdOrcsPu3TuqogMDfsb1u+4+&#10;w8xHEM/8lCUYcG3b9jWFEs2XX+7szBGq31tpNPXk0aBtOuRIMzt3bulMbYfcsZO8/c7j1XK/+vMX&#10;naV0BPTt44/fK2yXFH9ioZ52yXFGQB1YMzIN5rfewLagfzKwv4iX/cqda4wZA/Lzes44MaAMWaaF&#10;vH/03OEa5tXK1ypkvzdvfs1MUxaMGQO+t9L0VTAGDM0aj70Zhp4ay4GHHvqXmmfxoCFzOh/TNQE7&#10;v9akq7A3CHEUUrBrkRUv69+aPwAA//RJREFUoYSGr1Y8RA0pikCIgdwBuYR5rXrKtIFIqQd1Wmk0&#10;EFXQDinhoI2QYVC3lnEglEAWkn1CXpSREvD0LlLIL9NzhyiUJfMBufNWbIcnptH55ZhgLmQc+ob+&#10;UwBKlR8jNR66Pg3lqDJzTKRghO/1+Mp1ZuUnGB/ZdnzPdnNOUK7OxzgIYPjZKifVr9R8sx9WvQB9&#10;Qt9kfegv5sESnlAH0hSNM9OBsutAUu89TygigiIxj/cv06MPmBOMA8fYGsfUGKfiOPZcu0CuGY6h&#10;Hj/en8jHn1kPr6OvsfWaWi8EfUbfZduQHvd3bG20G0NGjfi65pkceXYzuBDn9BQ9IcRJKUzvoqZ3&#10;WeNxqhqZBmhxrszxq5qUbAZknBbLpOwH5O53aKOMk5KeFOIgylGIi1FGiNNCX7viQpzTKsoKcfp5&#10;vN+gIdM7H9dZQed3Ic5xHMdx+gb3PbCs5hkNck5SywrNFOJumfV4mDvvofDQw3eG1Wt/Fb78yzXh&#10;v8Ivws49V4aPPpve+TL9sur3n+66orrbzFdf/7z6M45RfeW1G8OyRxaGO+541Cy/XnpbpkrVf9pp&#10;V1evQ9Y755yZ3eLrAbuNoUzsPmbFF8G2uhDXGDk77XGHuHrnqlU0QyJtdB06zt7EsDEn1TyHc7d7&#10;b4YQN+vWcWHO3CPD3fccE558+tTw7sYLwl/+e0b46/87o/qsxjOaQtzHOy8Pn+6+Ivzxq5+F//zr&#10;z6tS3Lr1F1Se32dXnt8nVsppzfGpkBqK5CBIPjGhLSc/A2SvmIilg5VGo4OVJgXaYgVITFZ6SW7A&#10;2MTGjkD80iJVLEAGS81FbshpF9CSGoOWYaQwVTZQsNLtl3Xo8Slqu55brD3GlRmnorWAduQEzFts&#10;7TcT3W/Ms5WuLH1ViIOIiJDqJ9qLeNCX2t6uMOjfAa1CP4djf6G+twpxTv+BYlJKLIKEgzQAgpGV&#10;pq+hhTgrjVMOipFYM1a84/Q2A4Ye+l/yeVy0u4wLcU5P0WohTkthUhgDEMFkfOzYVJkmttuZTGOJ&#10;dagLUhryS0lPU0aI0/2Twp+W5eRRrHpXOuwuh2tydzdJSohDuTIOQLJDX4tEu76MC3FOqygjxK1d&#10;92rNs7iDcjvH6PwuxDmO4zhO32DuwkU1z2jQ+fhuPFj/MV+vEDdv/rKw7JE7w8qXbw7vbvx5l/SG&#10;XWYow/Gl+o5PO6S4XV9cVd0lDkLc71+/Pjz66IJw+14kxPVF2FYX4hqjL45jLu043o7TzgweNr7m&#10;OZy73XszhLjbbh8XFt1zXHj8qZPDq69PDhs3Twuf//HKsPvLq2pk9o7n9/Tqtc92X1FJc1XY+uGl&#10;4d0NF4ZX35gSHn5sUpg9p/k7xMmdpIqCJQaVyc8QE4N00PEWOlhpUmDnrljQO6BpygSIODEZKtWG&#10;WEB5lhBWRvRCSLWLxOYYgppMlyuGWYFtSAlxeic//Mw4Cz2ucpe2MuNUtEOcFMWKQlFZzYCCmAxF&#10;Owvm0FeFODmXVrzTfBjk/dkqrpkxuuYZ3IH9H/IuxDntTmUZV8GuVlY8aEe5zIW45oLdwzieRTv7&#10;OU5v8PzL59Q8iwE+V1fWbDTg2a7zfLDtbfNlfVnef/GhsPScYx2nyrqnFpnrpFlIKcw6UhToY1Mt&#10;KUzG5whxlrgmjzdNUUaIA/q4VkpoUrrT+ZBG5yP6uFSQEuKA3mlPgjloRzEO0pK1Zh2nUcoIcQ8+&#10;uqTmWQzK7hyj87sQ5ziO4zh9gykXXVbzjM49SS0rWP8xf8HFt5gv7ItYdM/94YUXZ4V31v0ibN52&#10;ZfUlOqQ3vkzvOHat4+g1wJ3icKTqxs0/C2+9/euw/Mm5Yc7sR8zy66W35Z52k4vY1r4kcrWjoNUX&#10;xzGXdhxvx2lXrp3R/cN80X/IM1j/Mf/rmWPMl/ZRbh8XHnjwxPDK61PCug0Xhi3bL62K7DjyvON5&#10;zWf338BOcYjf9uGlYcPmi8Kba84Njz9xcpg9t7lCnCXOYBctKVpBpIEIh6CFOEsqgvAj8+N7S6iy&#10;ZCYddLyFDlaaFOwbgj4WFONj5SEy6LHBuEE2k8E6NtOSqVCWFJgg5mGsdXnWsaF6TqSwAukMbdDl&#10;pPqJPDK9HiM51zF0sNKQVPtRlwxayNPoI22l+JeqpyyYQ4wR1rQUxdBePV5IJ/O2AtaJ/nPumiHi&#10;uRDnEIZG7ptcLr5sZM0zGOw74OCBnY/pmvC9AcP30Wnn33uq+bLecfoi3CEORydCdJLHJuJ7XOMx&#10;jzzOsR1wIa654KhNjmfs2E7H6U0ee/qsmmcxiD27GazP3dilxnpZ7zh9mVwJTaKPVQUyvqwQBxms&#10;TDvKCnHYiU2mgZymd46zjjFFu1BXrG1yN70iIY5p0D6ZjkC+0+kdxylm4b3za57FoPNRnR0qz/Rd&#10;Mv/Mm279ynop7ziO4zhOzzJs3HE1z/j9Bg1d2vn4bjxY/zE/5fzfmC/ti1j6wD1hzR9+GbZDdtvJ&#10;I9Y6vuIF+kefdUhwFOQQh5fu+P6DHdPD+vd/Hp574fYwd97DZvn10ttyT7vJRWxrXxK52lHQ6ovj&#10;mEs7jrfjtCvYlVU/h/Ef7pX7rzBY/zGP3Wqsl/Yxbrt9fHjsiZPDuxsvrD6X+Zy2nt/8mem2f/zT&#10;6i5x6zZcFFY8e1rl+d28I1O16ISQkhsgTckjJ638lvBFLPlOCkpABxkXQwcrTQyIZjJAYJJ9soQz&#10;iQxaiAO6z9b4SiEPISUuoX066J2/pByEYNWpd05LzbtMi7HRbSjapQ3oYKUhRe3PPTYVa0sGuXZB&#10;zjg1A73GEKx0zULOD6Q1KaPq+60sLsQ5hKFV943krKmH1zyDQewv1K3P3TfPmWS+rHecvsjyFRO7&#10;hLcUkOGQ1iqjL+JCXPOAAMc1AjHOSuM4vQ2evfp5XLS7DIQ5nceFOKfdgNBlyVlFWDvJyfiyQpxu&#10;B3akg7DG+CLZTMZZdUNsk2lQPsqQ14p2aEMbtcwmj4/NEeIIjlC1RDtLynMcJ83USy6peRb/sI6d&#10;Y7QQ9/PrbjBfyjuO4ziO07MYQlzWSWpZwfqP+TOmXGu+tC/iwWV3hXc3zAhffvWz6lGoHS/OO9j+&#10;8WVh20dgehVcwwv1Djp2ktv64RVh5cu39LgQ941v/H01btq0WWHGjPur6f/hH/5nV5599x1YjbPy&#10;kssvXxAOOGBYV1n4ip9ZHsvS+VAu42QdLOfgg4+sSa9hOildob24hq8yreSEEy4O3/72P3fVje9P&#10;O+3qahyvyTIJy7biCNs0fvzkbnHnnDOzOi7/8i//p6segPrRV4yXzgNSY5iC7UW9+Bl9lHWj3lRf&#10;MK9oF/KwXwDrA/3Q60LOZxlSc4W2I17Wz3bHxgtjL8tlGcyP9qfmNwbGQeeJwbLYBguMF8ZR3m8c&#10;W86ZBcuudx0yDvUDrglcl2VyPnEdP6fuc+axYD6rn4iTaeUa4j1pgXxMhzxWGqc9wDNXP4dzt3u3&#10;/mO+rBB3+x3jw5MrTg2btl4c/vSXa8LOPVeq5/dPq2z7qAMKcRTmPt19Rdi87ZLw/O/ODPPmN0+I&#10;01JU0W5bGi17WUKYRstMemcyHWRcDB2sNDFkH9h/vZtd6thUGaz+S4EIQcsjUl5CgHBWJC3p9tUj&#10;ehW1SyJ3WaOsJ+cxZ93oYKUhRe3Xx6bqNUQgCsqgZc2ccWoWOuh4rDGKmDmCYQqOD+dFjkNKWCVY&#10;fxgLOcdYA1irRUIcykdavSse7o3YPAGuMZaJNktRFOVZ8yPXZpmAvuiyOP6IS42BzidBH3XfdUA5&#10;Vl4LjAfuOS3Nog7Mc+x3BX+vsS6UI8cK/cpZ75hP2R98TwGXoZX3DTn6xOE1z+D9Bg/d1PmINoNM&#10;C1yIc9oN7AR35tn/HgYM+qeuzyIAEhSuYZe4dtsVDPIe+9FOIl9fZN7CsV3rweVCp69ywfSja57F&#10;Rc9uBOtz96uvPWu+rHecvgp2epNCVhnk7mhAxpUV4rScBrlM5mtUiAP62Fd5XCrirDwWuhxeLyPE&#10;Eb1LXU4ex3FqGT7+2JpncT07x+C5L8u49KprzZfyTgebN28OI0eODAcddFBYvny5mSaHffbZp/o5&#10;YebMmWa84ziOs3ezfsPGmmc8yD1JLTvoCuoV4pbcf294463fVI9L3f5Rh/CGI9Wwi8zWDy8PGzdf&#10;FdZv/HnY9MFV1Zfr2B0OaRD/xZ+vCR9+Mj288vubwvz5D5nl1wsEl0o3q1jxjIM4I4UVCcSXmHQC&#10;aYWCjJVPSkY6L6QfxkkBiHmQX6aXoF7mleIM5Z6YvMR4Cwg6/N6SjZg3JSLF8kvRJwb6a8lFRXMY&#10;g+3F+Mi+aWLSVmxeJXLecvpoEZsryHhWegIxLjVeKDdVBsZE5pNr1SLWTguOfSyPnNMYMSGUZdez&#10;DmUc7nk9x7K98v6ERBpbD7F5AKl8AHH6dwvTx9YlkPNaJOQ5fZsjjz+v5hmMv1SrzGtW2G/A0O/X&#10;5h0apl81ynxpH+O228eFRx4/Kby99oKw5cNLqgI7nst4fuMZ/cGOS8PGLdPChs3Twtbtl1SFuI7n&#10;92XVo1O/rDy/IcqtfKm5QpyWSVLCioWWNHJkG8gTMlCwIjrIuBg6WGliSNmDIpIWqVLChwyWEKfl&#10;LcokpGg8LKSUhKCFNF2m1X6dJjb3EG5kYPt1vyw5SqKDlYYUtR9SkgyYQxlPtDio5aGccWoGej1Z&#10;60TOqRVfBkpcXM/yWlHZEPOkBKaDHFM955SwUiFWP64jYKz0vMmgZTL9Oyw3WOuVAf2IjQF3SNR5&#10;gfxdkgq6DzH0OrdCTKDl2sa46ntVhtTvG86JFeQcteq+kYw+Vglxg4Y80/mINoNMC3554wnmy3rH&#10;cRzHcVrDGecfWfMsLnp2I1ifu12Ic9oNuUNZTCQj+thRfWyqjCsrxGFnNBmHsrljG+KkvAbqEeJS&#10;u+FZO7OhTrRDin/Y2Q3ly7yMSwlx7APGEGXI67E8juPkYQhxpXeOwa5ysgwX4tJAgqsMWxVIcVaa&#10;HFjGFVdcYcY3QhnZDnIf0uKrFQ/QZ8SzXPDd73632v+cOpB/4sSJ1TzM/4Mf/CBMnTo1rFy50swj&#10;gYSIelCfbgPKXbx4sZnPcRynnXl+5Us1z/gO8k5Syw56m9hJp19pvrQv4u5FS8Mzz98aVv/hV+H9&#10;LR07xO3cc0WnEHdFeHfDteHttb8IGzb/LGz/+G8v2/FSHS/U8fWV12/sNSGOID0FEymzQJbTeZGO&#10;8fhKOQrXLeFH548JcTHZTULBS7crJSLJNiE/+4m6IfUwDlgiUSMiEqQfjBFEHtlXPVaWBCXjdVwK&#10;tlcKRpSPsMOWFMCsPiEfxglzwLECcl1g3GQekiqXpOaKu7yxDO4khnbI+ovmGaCNHHPdb5SVyq/j&#10;ckn1DXWyfMRLIQxjLdeitcMby06NLfNbaRhHMMcYH7RLjgeuyXQYc8brdavlQiAFSbn2gOwnypXr&#10;K0d2o7xr1eu0F6OOPks84KsP+ezt3pshxIH7HzghvPjK2eEP711Q3e0Nz208v/Fcxs/r1l8Y/vDu&#10;+eH9rR1CHJ/fEOOwq9y2HRTijjbLrwfuiMQQEz1i1JNfy1xakNFBxsXQwUpjoY+ylLKa7JsWziQy&#10;6L5AEJTlWOJWvVKiDjIuJXpx5ysZ0MbYLnjogwyUbzDXMqTEGqCDlYak2k+0sGS1X469JSHl1NMI&#10;GCu9BhAsGatZO8RJ+U6OiZSiYnMNpAQl12JOPyiS4av8XYD65DqX9xlhvawD6VmGzm/Nk5xLHUfk&#10;756UEMeAMrneZf+t3weyfvSf+VAPRTn9+6EI9B91Yu5ke/U9bK0XGY+ANrAMPZ7oWyo/7m2rPwxI&#10;q/M3m8HDflLzDC76D3n9uduFOMdxHMfpWQ4dO6LUsxsBO7jLPODp5x41X9Y7Tl9Ey1iQtax0BCKX&#10;TA+ZTh4zKuPKCnG67CLqEeKAPqKUWMelWuk0UgpMCXH4XsbFkLKc4zjFfLDt7ZrnMKhn5xgtxE25&#10;6DLzxbzTwerVq5PCGa4hDml0nARpQCuEuDJlQzJD2pjcB+GM5cWw8gGIbCw/BcQ4Kz/AeEoJLgbk&#10;uBy5znEcp12Yu3BRzTMe5J6klh2aJcTNn78sPPLogvDSKzeG9e/j2LXKA+g/r66+MP9gR8cOcRs2&#10;XRM2fXBldQca7CyDl+7cSW7r9qvC7168Ocybt8wsv16K5B7GgSI5SB9vKOOk5EVwjeISsOJj+Zkv&#10;JrwwXgtkMREJYg3zWJIS4lEX4oElEjUqIqWItRvIcdZxKVgmsMYRfaZYZAmPKYraxLjUOKT6zLmy&#10;hDAg144UrYBsG6QrLVXJtWCNS73jLYn1rWgdMk1qXlh2amwRH0vDuKIy5BijzXqcAdtitZPiIb7q&#10;OCDHQs6zFOms+ZfxMWHWaR8GDxtf85D/4aAhcypzmxWs/5i/+LKR5kv7GNgh7p77jgtPPHVKeP3N&#10;KeH9D6aF3V9eWXl+X1UV4j7Yfmnl+d2xQ9yWrh3i+PzueJbjuNVnnz89zG3iDnE6WGlS6GCl0UCo&#10;kKE3hTgpCUE8kXFSGEGgnKPJDegnpRKJFJAQpPiSQgcZp2WYomAJMUTKLxgTGScFKT1+Gh2sNES3&#10;3xJu5NwhaJFQ78pWJP2kQpHsJ4ntLIaAOEsGaybcuUvLl1i/DHqsiLw3rTGHSCXXQ+5aBVj7XC9W&#10;2fI+sMYb+Tm2RUKajiOyf1bbZShaL1oq5LhYbZdjj+91fL1wzPTvUCDbirbp3z1yPnSbZZxVNuK5&#10;zhCs+Wwmv545pub5C4r+Q15/7r7iFxPMl/WO4ziO4zSfdRsvrHlud3DI5M7HdDR8b8DwfXS+Bx9d&#10;Yr6wd5y+iD76M0fGWnzG2Jo8cmc1eb2sEAe0oKeRddcrxD0z8+KatCB2XKrelU6D9kiRrmiHOBln&#10;IcfScZw8sDOrfhZXPl+X3jkGO8PKMlyIawxIaJVhrWLFE6bpy0Lc7Nmzu8rCDnGQARmHXd8gssXE&#10;P8hw2AWO+SGsQW5DPsAd3xiPa7oMLePhZ7SJZeB7maZIQnQcx2knsGOrfD7jiPPK77rmBn1u+nEn&#10;XWq+tC/i9jseC4vuWRKefGpOWLP2F9WX5ru+6Hihjt3iAEQ4gO95JBt2i9u8/Yrwh3d/EZ56enaY&#10;PecRs/x6KZJ7GGftTAZS0hp3eMJXeV0id3vScamyKadBmJHXASQY5tOSTkxEknliEg0EHaaxRKFG&#10;RaQUqXkqmsMYbG9qfmTZWnhMkZo7wLjUOOTMlbyuYRotTck+YU5lHInVDeodb0msfLk7XErmkun0&#10;+LLs1Ngyr5WGcTFRjcg5jrU1NlbyXrLWB2FfdFtSv1v4O8X63eC0H/L5C8ps9279x/zUaeWEOLBg&#10;wdHVXeKee+H08O6GC8LHn08Pn39xZfU5DnDMeQd4fnccmQoRbttHl4b3P7gkrPnDeeGJFaeEufNc&#10;iNPoYKWxkPKSlkIgxMhg7cIEcgPqKhKBEHIlIx1knJRhUkHuwmUB6UcGLQlJKQYhJXvpYKUhuv3W&#10;uKHdMmgBTLdNC0Egd5wsKShGLEAwQpvKSGRlkSKTJb1R2rKEMiAlQ2u8gBQNy/aFa90aT8bpeZTI&#10;+dJCmoyT1yXyd4/VdobYvZ7Kz2CtVRlfdsxSpPos42JzGZsPOcexexplMsT63CyumTG65vnbQfo/&#10;5PXn7gumH22+sHccx3Ecp/k8//I54plNil+muxDntDsQxyhjxaQwTWpXOSms6eNUiZTMIKfpeBxP&#10;KkU97OiGsja99HDNka16N7ucugGkP71LXExEQ50oS0uAGDfUr3eV02XrcpEHeWUaHssKmU6mdRwn&#10;j4X3zq95DoN6do7RQtyks+K7dTnF9CchjkIbvuq4IqTsBmnNSgNw3ClENi3EQbZjftQvZTwN5DuK&#10;cVa84zhOOwJBXT6fK5/Ts09Syw4oVFZy5PHnmS/ti7hl1hNhzuxHwn2L7wvPPn97WP3Or6tHp+74&#10;5LLwx//8Wdj9p6vD53+8Mny258rw6a4rwu4vrw7/+fXPw/aPLgtvr/1lJc9tYcnSReG22x4zy6+X&#10;IrmHcTlyjRZbcvKm6pfCjS47JeNQlrNkmZiIVDQOhGmsPjUqIqVItS+37ZrYWEhSc5CiKB/jUuOQ&#10;M1c56DpyxotprLHJyV9ETt/kdU1qlzSWrfstYV4rTSpOkrM2ZJrY9Rz0OKHPjNOiJnfPi0m8Tvtw&#10;5dV3iwc8yf/rNus/5s+aerj54j7GrFvHhdlzjgx3Ljw6PLRsYlj58pnh7XfPD5u3XVyV3v74VeX5&#10;/eVVHc/v3VdUn9/Y/fU///rz8MGHl1ae9VPDMy+cFu6//4Rwx+zxZh31oIOVJoUOVhqNlEoQtIyh&#10;g4yLoYOVRqOFKi1+SOEDISYRlQ1avKOUwpArzOgg46QMkwrWzlESSFUy6LRSnEHQfZPoYKUhuv0x&#10;4UYKjQiyfTJO72xHcscp1S+NbpMVypRXBilxWvMq5xPrX8fHBClJSgorIlV+o3XLuZTXJUVtZ4it&#10;N8Cg83PeLZlO1muNe72k+pwzHkyjxzwnL2BIjVczgICun8FF/yGvP3e7EOc4juM4Pcf8e0+teW6D&#10;nJfp1uduvJi3Xtg7jtN3kFIe5DTruFTHcdqDy6+5uuY5XO/OMfsNGrpUlnPkxNPMF/NOHv1JiKu3&#10;jZDbmBc7y1lpJJDdILXxZxx9yvyQ4WRcipQ05ziO024MG3dczXO+zElq2UH/x/yoo88yX9zncNNN&#10;T4bbbns03HXX0vDwo3eG1974bdj20fTwdfhF+PLPOEb1yg7+eGX1ZXoIvwrbdkwPv3vxlnD3oqXh&#10;ttsfq5ZhlV0vRQIO43LkGi3F5ORN1V8k3FB80btHWccskkZFJKax+tSoiATQTwh93AHLQufJbbsm&#10;NhaSojmAjATxiGVZWPkYlxqrWPsoPOaihcmc8WIaa2zqHW9JrG+8bh0xqmEb9BiyjNTYxvIWxUmK&#10;1oZOI6/LHe5y0HJbbLdGKQrq3SGd9uOCi2+pfchXKPvXbTp/WSGO3H7H+DB/wVFh8f0TwhNPnRxW&#10;v3Nu+Ghnx/MbUjuf3xDj/vLf11af31u2XRye+90Z4e57jw1z5h5pllsvOuhdl4rQISe/lqi0jKGD&#10;jIuhg5VGI3fDwq5aVhp9bGpKokHQfcF4QELirl0MshyKQAzWUY0aLeshyHgptCBQWEF7dJ9SAhJ3&#10;FEOISWWyb/g+JtjpYKUhsfZr5BwicOwgHckQ2+Uqt55GQN16jhFaURfnNjZXct1YUh7bmVoTUu6y&#10;7geAeUAbYnKgVX6jdcu5lNclRW1nSM0NQ6p+3PO8D5CuaGe+IlAG5kvejzroPDnjwTR6zHPyAobU&#10;eDUDPG/1M7jz0RwN+nP3Gecfab6wdxzHcRyn+dw8Z1LNcxt0PqILg87nQpzj9G2wAx1lOJDaTc5x&#10;nL7P1EsuqXkO47N15yO6VMALdlkOXsBbL+bbCSlUWUdxAoprqWM2KYvpHc6QB9dx7CevQfxinRZa&#10;OON1ymb4imNFeR3loR8yTy667BQ5QpwVl0KORT2SmjwGtd4xcBzHaWc+3PGReL53UOYkteygt4lt&#10;RIgjt9zyeJi/4KHwxFNzqru/bdp6Zdj8wVVhE9h6VXi/kw1brg5vrrkuLHvk7jDr1uVmWY0CmaTS&#10;zSpWPONy5BotxeTkTdVfJNzI41Z59KU8TtM64jMmIhWNA2Eaq0+NiEhoP/MXIfOB3LZrYmMhSc2B&#10;HP8U1twxLjVWsfZBgGR+eT2XnPFiGmts6h1vSaxvvN7fhTi5w1ssbxFcB3KsuCZzxs/p+5wxpfZc&#10;dIC/Pq/McXb44eAhu2T+U86qT4gj2C3unvuOqx6fuva9C8LmbZdUxbdNW8EllWd3x/cbN08Lb7x1&#10;bnjw4Ynh9tnNleGAFixyZCyJzh8TjyRaYtIyhQ4yLoYOVhqNltRygiURyRCTeeTOXQiyHD0e1g5T&#10;miKpUAotCHKMIepoUcmSg7RUlhtia0gHKw1JtV+i20gRLEd2BLn1NAMKXwy4d6x09QLZsUywxoVt&#10;jK1jgLXCoNcN5iNnhzyr/EbrlnMpr0tS+QFDah0wWH1PBYw30sg8ReBe5bgUBZ03ZzyYRo95Tl7A&#10;kBqvZjD62OE1z++c/5DXn7uPP32M+cJ+b+KaGUOq/7b95jf/zoxvZ6ZdOjj843e+1fWZYNjwfw2r&#10;155jpu3PzFs4Nvzv7/2PrnHA9xwHXj9mwr7d8rUbmF/OsxXvOE7vAxFdPofLvEzXn7tnzZ5lvrB3&#10;HKdvII9jBRDkrHSO47QHw8cfK57fFercOQYv2GU5g4eNMl/OtxuU1mLHdfI4UGBJc9iVjPGzZ8+u&#10;ieN1KZzVK8ThaFDZFgn6UI8QxvyNCnGyT3oMUnDs6zlqFbDOsiKe4zhOf+GNN1fXPuOr5J+klh20&#10;FX/IEceZL+7Lcuuty8Pdi+4Pjz0+Lzz3wqzwyu9vCK+/9dvw+qrfhFdfvzG8sHJWJW5+WLzknjB3&#10;3iPhxpvschqlSO5hXI5co8WWnLyp+ouEGwhvjMeOU7jG3cP0rnEkJiIVjQNhGqtPjYhIsn70Qe9u&#10;lWpfKi5FbCwksTmQ15Ff78JWNHeMS41VrH319pfk5Gcaa2warR/E+iYlQ3ldI3dC49onLDs1tsxr&#10;pUnFSYrmWKeJXY/lLULKr7xfuGuktTuk037giHL5/K1nu3f8J74s4+gTh5sv7sswZ+5RYcnS48NT&#10;z5waVr58VnjtjSlh1VvnVAW4V18/Jzy/8ozw+JMnh/sfOCHMW3B09dhVq5xG0DJWSkaxgNglgyWM&#10;abQwoyURHWRcDB2sNBItlOUGSyKSITZ+UsRBkOm0LJezi5Qed+xIJeOl0IKghRVdp9VuvTZyQ2x3&#10;Mh2sNKSo/RK9nrTwl1qTZeppFF0XgpWuXvTxtjlBC6xYBwip3wMpqYz5cZ+gv3rHyFT5jdYtx1de&#10;l6TyA4bUOmDQ+SkHIy936kPAWsQazNk9UyP7hDL078pUn3PGg2n0mOfkBQxIb8U3i+HjhtU+wwcN&#10;eabz0RwN+j/fDx07wnxhvzcBaawyNFWs+HblzLP/vatfkvsfPNZM31+BDJcaB3lN5203Bgz6p2o/&#10;8NWKdxyn99FCXM6zm0F/7sZONdYLe8dxep8P3362RobDcalWOsdx2gctxNW7c0zl2T9dlgOsl/Pt&#10;BncZs3aAw65liCOQ0nQaCGCM17uc8bolnOEa43WchGkI8vFoUNRNqQy7xum8RbBMjAFkvxSU8Sz5&#10;TO60xzTIo9NJZB5rXItA+cwvd+BzHMfZm3h+5Us1z2Ww74CDB1Z+NzY36P+Y3//gw80X9/Vw222P&#10;hwV3PhTuve/e8PAjC8LyJ+eGx5+YEx59fEFYvOS+MGfOw+Hmm5t7RKqmSO5hXI5co8UWyimWVERS&#10;AlCONMOjRSnA8bhULQmRmIgkj3CM1RU7ppHEyiap/LofmtQ8Fc1hDLYXdVvxwNqFT17HeMv0pGju&#10;GJdaVzlzpUW8HHLGi2msuax3vCWxvsmd01JHfsp0eifEWNmkaB2n4iQ596dMI69LmRVrScaVgfc7&#10;ypB1WbtDOu0HdmSVz98yf6HOoHebwY411ov7ssydf2RYdM9x4YFlJ1ae3aeEp54+tcpjy08O9y89&#10;Icybf1S47XY7bzOAYKFDapc4xMmdraRgwqClDYkWuSz5Swcdb6GDlUai21EmaIlIhpjMowU0uQsc&#10;BC4IRDJowU2iy0LQso0UWhAsYUXXqcvQolmZwOMiJTroeElO+4kW9/TPqV0Ly9TTKFKSQmj2DnEU&#10;smJCIsHcMOi08r6Q1yVSJpVSmCw3tn5T0hvjUuMi51avMTmX8rqkVUKc/D0q0zZK0Zym+pwzHkyj&#10;50P+jrHGCcj5To1XMxg87Cfi+V0h4y/U9efuQcOGmS/s9yZaJcT15m5d2P2MfcLOZ9wNDXLY3rZD&#10;HHeAw9eVr5xevbZ8xcRu8f1hh7hWCXHYPRHlYjdFK95xnHwgosvncJndZfTnbhfiHKfv8vo9N9bI&#10;cK/M/YWZznGc9uCDbW/XPr8r7Dd46ITOR3SpgHy6LBzVZr2gbycWL15c/cwAtMQlZTdgSWfcHc3a&#10;5Yz5miXEWbuvyXLKHjsqy84lthublPNk2pgYJ4U2a3yKkHNTJN85juP0V+57YFnNcxn824CDv1P5&#10;3djcoK34ZgpxN9/0RJg16/Fwxx2PhLnzloX5Cx4MC+58MMyb/1CYfcej4eZbnjDzNZMiuYdxKTmG&#10;abQUw93agCX3SLEJ6Pgc4UaKQbI8KW9JYrKQFHQsKQ3lUVoD1niwv5B0dP34WY6Hzk+xB2nkdcLj&#10;IYGOK5rDGBwLYNWLNrNderzYntjRlEVHYkqRSceR2FyhXSxbx+WQM15MY5Uv+6bnOZdY34rWIUCd&#10;Kdm0kXUIUnGSnPtTptFxvJ+sduYixUz2KyV4Ou3FsDEn1Tzky/yFOsN+g4YulWVgxxrrxX1Zbr9j&#10;XJgz58jKc/vocNeiY8Pd91RYdFxYeNexYd4CyHDjzXzNRIs6CHo3IkgRMp3MT5GFwdodCmVZ9aSk&#10;FAYdb6GDlUYiZTBLzpHonbcwNjJeBl0WpBHIJVo+05KWlFcY9BxgPK10loyi01lpLJGMcahXBiu/&#10;RM8t+qzT6KDjJTntJ7qtcqzxvZWHlKmnCIwB5h99l2sf3+uxRmikLo0cA2vsNXK+pFgmRShLakM9&#10;cnxjUpjVBtRDydK65+TvEX2PAeRn3VZ+eZ/KPknQXobU757U3DDE+p6SWcvC/lrjAWK/k4Fc2zqO&#10;MI0eT6xZBtQh4wDGl7IeQjPXsoV89oKcv1C3/hrdemG/N9EqIa43d+vC7mfsk5S/9kY4DnuDzNWq&#10;NccxxL1ixTuOk49+BpfZXUafrnLUpFPMl/aO4ziO4zSXteterXl+d1DfUWrIp8vCUW3WC/p2Qh55&#10;qncqo+wmjwTV0hklMGuXMuZphhAX20VNimVlxTDmK0PqeFKMDXfc03n0uDUqxMnxs/qN+WC8pt4j&#10;Wh3Hcfoacxcuqnkug8rvueYHy4q/buYj5sv7dqRIDmJcSo5hGi3FSLkHkgrjcV3WS2RekCPcyDoo&#10;CcWkMhATkYAWhSjpYBcyKcMxXueXRzgiPdqG62h7UX4KZhB75O52Vt0yH5BjqeNScCwI2sA2Q2CU&#10;9erxl1KYHCvkk/KelRewbvSXsiT6yvplGmuuKEIxXu4Uh7bgZ8wnypf5QM54MY1Vt1yXXGtot2xD&#10;Ebl9w1hKmVSvB0s0RRrGl12HIBUnkeNgzbFOo+NkO3HvYt1LMQ55MRZyjWhwnWUQef847c3gYeNr&#10;nr1l/kOeQe82c8Ahh5ov7tsRLTcUBb2rG+QJKcnkhpi4kxtk/tyAPFL6QSgSWKQcgoC+SuGmbLBk&#10;HlBmDhhiooyUYRAsYSXVL5QrA4QfnV+ix9Tqow46XpLTfklsN7vY+BBdTypYYpBECl1FAe3V0pa8&#10;j6ScmENq5zQLucubvg85lmgL41Amvtf3uZbKGI+1zDgrr7U+9PhhvDEmiMP6k/eHJbPhGgPnHfml&#10;fCrTWGUwpNYbg84fu3/Rb/QN/dFjXQSFNzkXAH3S9cl8QK5tHUeYxpoP+TsA6biurLpT49Uov545&#10;pub5DXL+Qt36z/d1Gy80X9rvLfRHIU4eE2rF7y3InfL2hqNiXYhznL7NG2vOq3n+gjK7y+jP3Qcd&#10;Nsp8ae84juM4TnN59bVna57fYL8BQ7/f+YguFZBPl4Wj2qwX9O0GhTe9AxxlNxzvaYlvcnc5a3c2&#10;xjVDiEtJY0xTrxCXI6RBakPalBBHKMbJHePwPcaRaRoV4qTwVlaIAzq94zhOO3LpVdfWPJcrn9M3&#10;VX7HNT9Y/zF/5dV3my/v25EiOYhxKTmGaSwpRu8CJ4GcI8UqnTdHuAFawEqJSSkRCTKOFoYkGAPm&#10;j42HlOo0kHti+SH2QPzReYhsl8wHiuYwBtuCsov6rfMWjZWMs+ZOylASmTY1VyA11sTawS5nvJgm&#10;VrfV91hai1TfMLZ6TWu0OKmpdx0CprPiJDn3p0xjxad+P0ikKKnRcyGlOqe90c/e+oS42t1m+pMQ&#10;ByA75Ag9EDMsOUoLK6mAMvQOaZLcICWM3IA8lEwYKN2k0H2TckqZgLpjwhKu67alQkpCQZwMsbR6&#10;ztkvKS9pAdICbddBj6sOMk6T235i7cCGkFpnQNeTCpY0JIm1QQesJWvNSVmrqC4N5wvrx4q3YB60&#10;R17HvSznXwbeuwxaCsP6SQXeR1b/uBaRRt9vMqTWgpVP1tVKIU6WnQp6vFOk5gJB9lfnlWtbxxGm&#10;seYD93TRPHDOUuPVKNfMGF3z/O6g+C/Urc/dz7+8dx2hqemPQlyr+tRuyJ3yXIirH46hC3GO0xh4&#10;3upncM6zm0F/7nYhznEcx3F6hgcfXSKe3R3Ue5Ta9wYM30eXhaParBf07YY8fpNiG+Qt/AyRCz9z&#10;5zMphGHXNlyzjlIFLHNvE+IIxlLurifzNirEyfzW7nwWuWPuOI7TLky56LKa53Llc/qqyu+45od9&#10;Bxw8sLaioeHS6XPMl/ftCIU0ayctQEkL6ax4wDSxXZwgxUjBB5ISZBuIKxBdYvXL3Z9iZQO9I5aV&#10;hrAd+GrFo01oG3ebY1oKPxSNUuORys/6rfwYC5TP8ZR5ORbWOBXNYQwtZaXabWGNFcafolbRusC8&#10;SZkJ7ZDiE8cKX2U+CdeWHDO0B2VhXCw5Kme8mCZWN8qVc4U6MRZWWgs99hYYR903jBeEtpQgRupd&#10;h6zPipPk3J+pdUu47mVbkR5jk9NXzhWIzZfTflw7o/uH+TJ/oc7ww8GHTNblXH/jWPMFfjsDqQM7&#10;A2kRAuIDZJeYzEUgy1j5IVVB1skpI1cKk1JamTyUOBByBSIt+shd5YrqxlhgTCwBxwISDOQq2U4E&#10;iDG4hrqLJD4pLSHExDCdDmVjfqSEk3sEpNxRCgH9kPFyFzf0Q8ZpcttPMB6yfASMu5VWgjlJCUcy&#10;5KwVtDO2/nE91Q/0gW0ps0McxpmhaJwkUuDTcWgL2sv24Ct+5rrjWOs5BhhTeU/IvFhLCNZYcr1z&#10;bUCyknOKPEX3ENaubDfyS1lLjpXVduZLrXmmkfnl3KF+mR6g3XK8c+8poOcCgWOBNiAgTufjWFtx&#10;JDUfAOOZmge0C6FMf8oy/apRNc9dkPMf8tZfoz/29Fnmi/v+xMpXTg/HTNg3fPObf1f99yy+4mfs&#10;IJaSxxCPozYhGP3jd77VlQ75hw3/1+pObDoP64ghpaJ6yk+BPLIujTw2lGlxDe3AeDAd4mS5AEev&#10;Io1sJ77HtZRsJuvBzzfecnj439/7HzV1yfx6rlBHWRELdbH8XFCnzo82oD2ybImsR8exH9Z4pcos&#10;AmMl51mOT0qIK7vWMN9ME0POW7PXMrHGEXVgHVnpAdpy5tn/XrPO2I5UPs6nNX6EY4+vOo75GYd5&#10;4TpGW/S8Y/zkWmcbU/cT5595WDbqQr+tPEDny6nLaT543upncJndZazTVXbtet98ce84juM4TvNY&#10;eO/8mucv6Hw8lw6WEIej2qwX9O0GxK1KF6tQrqI8BaELP0tpDses4hpEOPwcO86U6S3hK1fOSpVB&#10;mKavCXEER5SyLgqH8qjaesqUc8Y5KiJ3zB3HcdqFIyeeVvNc/uGgIXMqv+OaH/Cf9zUVVbjg4lvM&#10;F/iO007kSFlOa/Cxbx6Q/DCWILU7pNNeYCdW/ewt8xfqDNZuM/1RiHMcx+kNtBDXTlB2K5IwKUq2&#10;cke1/sbUaSNrnrsgR4iz/vN9/r2nmi/u+wsQcaQ8IqEUwp91XhkXQ8tasbqITF9P+SmKyoOww7SQ&#10;fnBNi0NElos26HgNypF5SFE9BGJOaq5SkpKGYlIZZPlSBpNjpmF/8FVeh3SVWgeIQx0yTw6peUAb&#10;2B5rrMqutbJCXLPXMkAbUuNoyVypNUQwPpY8xvFNrTXExdLI/BDdWB+R7cUa0fESS9zDPWSlJZh/&#10;q19Fden0TuvA81Y/g8vsLmN97l677lXzxb3jOI7jOM3j8muurnn+NnqUWuWZvkuWd8Ots80X9O0I&#10;pS18lT9DhMPPUuDCNe4gB+RRoBLG7+1CnOyrbKMU5SgZlsES7VLkjrnjOE67MGzccbXP+TpOUssK&#10;1n/MnzHlWvMFvuO0Ey5l9R7cGQ87o1nxTj7ctRE7zFnxTnuCnVj1sxc7tuK5XCZYu7ziKDfrBb7j&#10;OI5TjnYW4nLaLndedCEun7OmHl7z3AWdj+VksD533zxnkvnivj8AOYRyDL5SSMF1Sy7S+SH5QG6B&#10;UCJ3d0I5lI+AJaGkxBnSSPkpZN+seMD2EfwMmQhIcUnKNEgjRS6kle205DFdD/rMvkpxTc4TZSDu&#10;DsY0qE+WXQTGkXmljCRh+/BVXme/8FVeJ2gby2Z7gRTJ0NfYeKGfZeZV9gVlcAzxVctoui+gkbXG&#10;OLkuNK1Yy+wX8utxRF16TqVAhx3l5HpBnBwnfC/zAim06TiCuFga/TsFbcB4oJ2I47jouWTfMDYs&#10;A/2QZct7RZaFPKiD/bbaxTi5OyHzoY06vdM68LzVz+DK3GQH63P3q689a764dxzHcRyneWghrtGj&#10;1LQQd+lV15ov6NsR7AxX6WIVufuYFK0ohWFHMqaPHZcKWIYlnOXKWakyCNO0gxAnx1Nej+2yJ4E0&#10;J8U5uWsf5LgiqS53zB3HcdqFwcNqT2JpmRCHoP8RMOn0K80X+I7TTrgQ1zvII36LjiV10uA4VY4l&#10;jle10jjtiSXElTmyhcHa5RVHuVkv8B3HcZxytLMQJ49Dhewmj1OFCIejbOUxujx61immXiEOQX/u&#10;/uWNJ5gv7vsDUlDR8gzANcoiQMenkFKLVXZKnMmhqPwUst9WPGD7QKyNkGZSog3T8DhLS66R9UDI&#10;0fFSeENdUnwCsg1W/hQ5Y8j26f5JAUkKXlY82sjrlK4s4QrI/lgCYQy2E3llfUS2JzZXMYrGiXFY&#10;Vzouh5x5sGCeXBGyaIyAlOL0vPK+SY0f67DSyPsu1QYKgrhfrDQYI6SR14rWjBxjeQ/J67H2OD1H&#10;o0Kc9bn76eceNV/cO47jOI7TPKZecknN83e/QUOe6Xw81xUg1Mnyplx0mfmCvh2REhzlLy27UYLb&#10;Z599unYnmzhxYk0aCcuzhDMp4KVErlQZhGl6Q4hDP3Attkse+obxQl49njIOoCwZL0HfkFanYbsA&#10;5iS1U5wLcY7j9DfkMxlUnvPTK7/jWhP0f8wfefx55gt8x2knXIjrWbgrHPnGN/4+zJhxv5nWyWPE&#10;iEld4wk5zkrjtCdTzv9NzUMelDmyhcHabQYv6q0X+I7jOE452lmIg/QmhbdYwA5xb7/zuFmGY3PK&#10;WbVCXJkjW/R/vl8w/WjzxX1/gOKJlksk8hhCKz4F81miUEqcySVVfgop5ljxgO2LSTkAO0ixnJSU&#10;JNNp4Yn1xOZACjuxOuodS1m2bheJlQ1ZinktCYlrS4pvGEfmidUHWGdMmtPIcmNH0wK2qew4AZZv&#10;rbVUXC71lEEJLGec5Hylxkim023hfZMav9h6AcwPtNhJitaVBe4L5rHiiVUu2mFdd3oHCOjy+Vv2&#10;uDXrc/fCe+ebL+4dx3Ecx2kezRbikF+WN+ms4l292gkIW5VudqF3LZPHpJLFixfXpJEwjSWcQfBi&#10;PKU6yFy6vFQZhGl6Q4iTkhl2zsOubWgHwPhJ4c0aKzkOAFIbpDeWQeGO8TzClkCqk0enAoynbAe+&#10;xzXZFlmG4zhOuyKfyaDyWX1C5Xdca4L+j/lRR59lvsB3nHZi330HVv9hgK9WvNNceLQnx3zatFlm&#10;OicfSoa+hvsfzRLi/j/23jTYqirN834/vlERHWVG1JfuD1VWdURHVH8os8LW7OpSLqApg5KgzDgh&#10;iumUpihOmKY4lSlmllqOODDjPKOgqTjPAypqgiAyixOCppnpUP2u9/wP54/PeXjW2muf4XLPvc+K&#10;+MW5d6952Gd52T/XRtDluBDnOI7TGrZuXV+VxvBpxfd0IMWtXv1cVejjq1EZcA0nx/nJcOU54tjh&#10;dftumYfq+h/fTzlrgvngvjdQ6W6VlIQjJRYrPkWq/JQ4k0uq/BQ5fcppX+7YpKSbonqakdaKaLZs&#10;xmmZT0pNUuKT9eWQ25+cfoBUX4pg+dZaS8Xl0kgZUlaFFBeTzEDuGIGYaMf1nhq/1Bjn3C9Sbitq&#10;J5Hl5qDHmKIk47B+ZbzTfUBAl/tvWSEOQf/P5DNnzTQf3DuO4ziO0zp+ftqUuj183wFDZte25oYC&#10;XsUmyxs27mjzAX2nAoGr0s2dWAKXlOYgWOl4CdPFhDMtcgEtnPF6TxXiIPFpkdBCi2wStFvKajFi&#10;r1WFFKfnLgXEPascx3GcTmL1B2vq9/gKbRXi9D/MDxtzvPkA33Ecx3Gc5jllyuV1mzyobcmlg/6H&#10;eZxcYz3AdxzHcRynebQQh/+5rLYlF4Z9Bgy9X+YdO2mk+eC+N1DpbhUtiEiKJBaczgXJCwIMRRqN&#10;VX5KnJE0Wn6Koj6BnPYxjfUqVA3r020tqidHZMppq0WzZcuT76SMhfnCNcxXLH0OqZPMJDn9AEXj&#10;1OhaS8VJ2rGW5St1AdYi6kBdMp1c80XCV2ycWEZs/EAsL5Bt0HFEptF9iKHHoAh90iLqkVIcQPux&#10;XmU6p/1oIa7M3s2g/+7+3TVXmQ/uHcdxHMdpHcPHHyX27wotFuIGDhtlPqTvVHACHMUsfFqvMpUn&#10;osUELcKyYq8CRfny5DKIZVpOKyoDME3staUxcsomkMiQNiaTQXhDHMsEEP4wRqnXmBKMhT4NrmwZ&#10;SIO0ugy0CddQfk45juM4nYAlxFX+7h5R+d5rT9j1PwLGmw/wHcdxHMdpnhYLcXWnvI4+arj5AN9x&#10;HMdxnObBPiv33TKvbNF/dw8YNsx8cN8bqHS3SkrCSUksEEZiYo/EKj8lzpBmyk+R6hPJaR/T9FUh&#10;DiIR80t5jXIRRCWZnqIcSIlrZcnpB0j1pZm1looj7VrLAH3WUhjmQIpvcs13ihBnxVvgJLuyeSww&#10;R2w/yX1tr9MacCKr3H8bed2a/rsbr3CzHtw7juM4jtM6tBCHv6lrW3NDofLfANNlecB6SO84juM4&#10;TntZ9tbyuv14B90oxO036FDzAb7jOI7jOM0z+eSLxQY/NPzkgEM21rbk0kGf8upCnOM4juO0j+aE&#10;uPp/fHchzhZUIENR8IEQBplEn+iUKj8lzoBmy0+RI90UtQ/IV1Za8US+MhX9kHFF9eTIXjlttWhF&#10;2RSxKAXK16XqV3jm1NcIueXG+tLsWkvFgXauZQnKlGtb9rPMq0jZVi00suzYWgCxMQaybTqOYGyY&#10;JneN5JRbBqxhKdk1MydOOVohxOm/u/EKN+vBveM4juM4raPVQhwetMvywEdbPjYf1DuO4ziO0z6e&#10;feGluv0Y7N01qH9ty2590P8wD6wH+I7jOI7jNM/Rx59ft+c2I8ThqHhZ1pCRw8wH+I7jOI7jNM/w&#10;ccPq9vB9Bgy9v7YlF4Z9Bw4+TeYFK9ecYz6873Qg51S6nBRcYtKXFGy0+EQYbwklKXEGNFt+ihyB&#10;pqh9QJ54FmsjkOn06VxF9eTIXjlttWhF2Xqe2FcKchIpy+W+DjUHWW5qLfDkOt2XZtdaKg60cy1b&#10;WPcs6uU1zJFML5HptLyZc9/Exhjk5M9tp0RKdBhrK00jpPritIdjTh5Tt/eW2bsZ9P9Mjgf01oN7&#10;x3Ecx3Fah9x7AZ5l17bmhoIlxOGEGutBveM4juM47cMS4vbpGvrj2pbd+mD9R8CVVz1iPsR3HMdx&#10;HKc5JhxzZt2e+y8/PeS92pZcOuh/mN9/8MHmA3zHcRzHcZoH4rncdyGm17bkwmD93f3sy/WnOfUW&#10;5GsWLVFHiiZAxqUkLyDFFkvy4QlMkE50HGi2/BQ5Yk6RCAakiBV7tSJO7UqJh0X19HQhDvBEMYhY&#10;lIhiwhvjkUefktYMHGN8WuXKta770uxak/3XcaCda9kitr6LxgjwvrTmp+j0NtlPa73k3HegqJ0Y&#10;L8Txd6RJ1dsoOWvfaS1jJ42s23vL7N0M+u/uA342ynxw7ziO4zhO65B77w4Gn1bbmhsKeNCuy8QD&#10;eetBveM4juM47WPJ40vr9mPwk65Be9a27NYH6x/mL770dvMhvuM4juM4zTHqiFPr9tzmhLj6U15d&#10;iHMcx3Gc9jFw2CF1ezgekNe25MKAY99lXtBbhTgpdEFUouSC61JeITKvlHgg0VD0sfJako9Mw5Oo&#10;UCbb0Gz5KWR+Kx7kyjDyNC60E+1mHE6rogAGZBwpqqdV0ppFq8qWr01leZwvjTwtDekx91J6Qjsw&#10;phCyrPGKIWUtuV5QBiUvovvS7FrjGMk2o5+yDczfqrWMccL4QUJjeQD1UtBDXTKPHHusS/zOOD1O&#10;KFfmBVI8Qx1cM6i/aIxBzn0HtFjHMUX9KIP9k3nkfYg8sm/Ih9+xTpFX5kN5SC/XIT5lG6yxcNrD&#10;wWNH1O29ZfZuBuvtKtaDe8dxHMdxWsPGTe/W7btgn4FDJ9a25oYCHrTrMu9+YJH5oN5xHMdxnPaB&#10;/VfvyW0V4qx/mHchznEcx3Hagxbi/vWgEa/VtuTSwfqHeesBvuM4juM4zdNqIW7Jk6eaD+97A1Ik&#10;0kCakWKIzitP3dJAPKEgZUk+kGgotkhk2mbKT4H0LMeKB5ScLLFHAnlGy0AatJXSn6aonlZJaxat&#10;KlsKXwDrxkpHUmtOIkWvHFLrBXNEacrqSzNrTYpmEjmmrV7Lcu4sUKY1fnLtx4iddAdSc4dxTY1x&#10;zn1HUuMFrPupKA/AOMs8ReNRtJad1tIKIc567bn18N5xHMdxnNZgCXE43KW2NTcU9uoavocu04U4&#10;x3Ecx+l+5iy8o24/BrXtuj3BOib2/OmzzYf4juM4juM0x7Axx9ftufsPHvlkbUsuHax/mL/murHm&#10;Q3zHcRzHcZpD77kQ02tbcmGw/u7uzUIcgFwjpS5IIxBFIHtBqsE1CDZWXogp8hQ0mZdlxk5Y0qdS&#10;6VOrQDPlx6DUE+sTYNn4tOI1KBNpUSbbinZDEEqJXUX1SNmMJ2VpyraVcG5bUbacIz2HFqgbAhNF&#10;MICxo1SVGrMUer3gZ1xjHK7F+qLzlllr6LPMi37oPjRTvgXKQz5rzaFMKw/A/a7HHj/jWkyMlOi+&#10;4meOMQVaa4wZl7rvJCgT48h6kK+ojfwuk2OCvqEc1K/HBb/juqwHML1M67QfvfeW2bsZcCKNLmfb&#10;tg/NB/hFfP/tR+Hbv2wK3/15Y/j2zxvCN5XP7/6yOfznd1vM9I7jOI7TF1mx8tW6fXcHrRfi8EDe&#10;elDvOI7jOE77cCGuhQwaNCH84z/+rzB+/GlmfF/Hx8dxHKf7GXzY0XV7bv+hox6sbcmlg/UP8y7E&#10;leOJpVcHBvys47Zv3xK2bl0fHlo0vS4uh9Wrn6uW+/3335jx7UTW3Ujbne4D64wBP1tpeiqbNr9T&#10;vUew3qz4IrA+ERrNvzvJucduu/2U8Mknq3b2E58YMyut0xnoPRdiem1LLgzW61nufbgxOcdxHMdx&#10;nDz03ltm72bAA3hdTqNC3Ddfrw9//GxF+HLLu2H7R++ELz95L/xp25rw7Z837pL2e5fkHMdxnD7K&#10;q68/XbfvApy6XtuaGw66TBfiHMdxHKf7ufamWXX78X6Dh/+ltlW3J1j/MH/2eTeaD/E7jUr3dmLF&#10;93V8fBzHcbqfgcPG1+25Aw4Zt6DyPdxQsP5h/t+vGmM+xHdsXnxxTlVUQcDPMm7dutdrMaH6s4zL&#10;Qea34tsJJCUG3S+nZ5Fagz0dGaz4Ihgaub92Nzn32Ndfb62lqA9WWqfnA+Fc77kQ02tbcmGw/m/0&#10;eXedaD68dxzHcRyneVauOadu3wVl9m4G6+9unFxjPcDXQGrDiXB//nJNVYL7/IOXw0dvLw0bXl8S&#10;1r2yOKx//dHw8XvPhK3r3ghff7G6kv4jsxzHcRzH6UtYQhwOd6ltzQ2Hfz3oZ3+SZeKBvPWg3nEc&#10;x3Gc9vGbK6+t2+MHDhu9rbZVtydY/zA/5ayrzYf4ncbf/u3/qMpee+/d34xvBpTZrrK7i3aOj+M4&#10;jmOjhbgDhx95N/bjRoL1D/OXzRhtPsh3bFIy0hvL7q1ex6lOjYhK7RLicGIdAj6teMDTq/7yzR+r&#10;p1RZafoC8hQvK74nkFqDRfDksd11whqFr9RaTMHQ04S4Vtxj/P5A4PwgHa7rtE5n0A4h7obZk80H&#10;+I7jOI7jNI8lxP300OEn1bbm7IATaXQ5OULct3/eFP607YPwycoXworHFoTX5v97eOmWfwvPX39x&#10;eO7aC8Kz1/w6PHfNBeG56y8Kb9z2H2HtS4vCFxuXhb98+aGfDuc4juP0aZ58ZnHdvgtaIcTtN+hn&#10;f5ZluhDnOI7jON1PjxDiTplyufkQ3/kBvGq0MnzVTyvecRzHcSxaKcRZ/zDvQlw5mpGRimiXEMeT&#10;qfBpxTs/sDtP6culmTXI0IknrAGGntb+VtxjXHs9WcZ0ymEJcf2GDi31UF3ndyHOcRzHcdpHO4U4&#10;nFxjPcCXQIb77IOXwvKHZ4eHz5sc5h3+0zB3/AFh3pGDw/wjBlWZN+HAMGfcgHDniSPD8zdcEj54&#10;7oHwxYZl4btvNptlOo7jOE5foF0nxPU/ZORWWSYeyFsP6h3HcRzHaR9aiDtg+Jgva1t1+4KsELgQ&#10;V4wLcY7jOE4jaCFu4CHjl+zYjcsH6x/mp18yynyQ79i4ENe7cSGuZ8PQG4W4TZvfaboMp2fRDiHu&#10;t9dNMh/gO47jOI7TPK0S4vAAXpeTI8Rt3bAsrFx6R3jq6l+FBROHhLsmDKxy27gBFfpXuXP8wHDv&#10;4QeEW0fuHx759Ylh2d03hC3vPV19zapVptP5PPP0g+FHP/rr6nOFRQ8tNNP0Zpa9sTSMGTO82n/w&#10;3/9hz7BwwY1mWicfjunee+9lxu9uPvl4RXWu0cZzz/mlmaanYa1V3L+IQx94TefrDtgufOo4tO2g&#10;gwaE66+fsUtcJ9EuIW7IqMO3yDLPv+Ry80G94ziO4zjto0cIcZNPvth8iO/8gAtxjuM4TiMMPuzo&#10;uj23GSHO+od5F+LK4UJc78aFuJ4NQ28U4vw+7X1YQlzXkCHn1rbkrNBvyMHfyfwuxDmO4zhO+7CE&#10;uAOGHVxq70b4SdegPXU5eJWb9QBfsvHNJ8LT/3F+uOcX48Kc8QPD/DFdYd7ofmGuANcWjusfZo3p&#10;H+497fDqa1Q/fOHB8O2fNppltgJIHpVuVcHPVhqnfVx22fk7xx8/W2l6K6tWvbJTBpRA3rHSO/nI&#10;8bTidzcQyTppvmNrlfcs+sBrlOS6E9ZvjSXbBXRcJ9EuIe6QsUd+Ksuccu4F5oN6x3Ecx3Hahxbi&#10;9h8y4pvaVt2+8H8OGv69rLS3CHF7792/+h9++IzFjR9/WvX3SZPOC3/7t/9j538s4ueTTrp0l3x/&#10;9Vf/ZWcaixEjJu+SZ8aM+6rXZfkoB204/fSrdkkPpk2buTMdfkdb/uZv/lv1Gj7xO9MAq61EppP1&#10;pcaHID3iZb/RD/QH/ZJpMZaIR1odRygSxupEPtaFOZFxui34xO+xMXQcx+mJaCHuoOGHL618pzUU&#10;rH+YP++CkeaD/E5g69b1VYHk66+3mvGE6aRo8tCi6dUTmXANryhk+Ms3fwyffLIqPLH06roySEpG&#10;Qh6GWH7Ui/JZJz7x+223n5KUsRC/evVz1faijQzIj/69sezeXfLIfuUG5NHlsF+MS/VB5yWIw3jL&#10;tlsBfbTyW7z73qPVvmP+ZcAYlSkHcI3EQkxSwrgjrxxrtAd9xThZeSScUxnY/th4lhXiOH+pYJXD&#10;OZPji36ivxh7nT4HjjM+rXiAsmWd+JnrmyElxCG/NaapNrNdXDepNkjkvOcG5ClTBuaP7UM7ZF4N&#10;7kOE1Pg63UdLhLihh9T93X3RFRPNB/iO4ziO4zSPJcT9bNzPLqpty9nB+rv7wcX3mg/wyXffbAor&#10;l94Z7j/jqDBrdFf1BLhZo3aAnwl+nzOqX5g9tn+4/dhhYfEFJ4U/PDo//OWP68xyW4EUU9ohcqRO&#10;Lurt4EQm9B0ijRUPMOaIB7tDpNmd8FQt2XeIR31tHMpCMSt14lfqvmu3BJtTvjwhrhNOLoutVfRD&#10;xu+uE+JSQhxOCURcp38Ht0uIGzPx+LoT4lyIcxzHcZzuZxchbvDwb2tbdfvCvx40/D9lpb1FiEud&#10;4sa4QYMm7PzZQktZUgyz0EIcZDSKbDF0HQCSl4yX6QHrYXtSUhv6yHxSVEuND5D5LCDGyfKkeGf1&#10;CWllfh0PIPYx/sIL5++8bo2BRJbhOI7Tk3EhLg7kFQZII1YaSD0MkHt4PUdksSShlIyUigMQamL1&#10;4jqlFwSdV8bFgpaEcvpoBVkGkP2CKBQrF7KOJXFBDMttS67IJuc+FmISm0XR+Oqy0M+iPOhzTMLC&#10;epXClRUgD1rrumidaVBGUdDlpNYqA8YkJu3FoKgWmxvGW4GyF4IlxKEtqfwIKEPnA8xHSTYW9Hy2&#10;4h4rKgPz18x3nbN70XvugT8bWuqh+qCRw7+V+V2IcxzHcZz2Ivdd0HYh7rst4ds/bwxbNy4Lb9x5&#10;bbjj+BFh3piuMHtUvzoRbqcQVwFxs2pS3D2njAlv3Tcz/Hn7B3b5LQByR6VbVdohIqVEjd6OPP3N&#10;iu/rcG30RVmyGbimGj1RsN33fLvL3x309LXaF75nLSFu765B/Sv9biq4EOc4juM4u59rb5pVt8d3&#10;lxD3f2WlfUmIIxDKKGBBRpOnuUkxS+ePyWQAAhhlOH3iHOQx1Mk69ClnUogDEN8gweE6TmJj+pjs&#10;JmEb9t9/WN31VB942htAvRwD1AE5jSKezsu6LEFPS23WqXZoI+JQjrzO+hCv26LTOo7j9GS0EDfo&#10;0KOeq3y/NRTGHTX4n2RZoJOFuBwBBAILgzyxCxIK5BiIP1LqkcKXdRpTSkZKxaEOlotPxuO6PBmO&#10;QeYFkK8g6qB9sh8oR4pVsi+Egg8+dRxJnU4n+4WA9lMM0u23hCPWj3zylC051pbglAKCEIQxfEpB&#10;CGMjRTXrVK8UqXGQSDkLa49zgvGQ/ULQAhPScM6QDn3gvKEc2Qb0Uc9pap0VwZAab7SX7Uf9cgwR&#10;J8cXP8u8RaTWol5H7Lde4whW+9kutB1zEBtTKy/bxYCyOKe6fl638lv9IrINVnyqDPSFoex3nbN7&#10;0XtuWSFuyKgRfkKc4ziO43Qjct8FjQhx195y7d/pcmJC3Ld/3hS+3PJeWP/qkvDCDReHhROHhAVV&#10;IW5XGY5AigPzRneF+UcNDq/O+W346uP3zPJbQbvllb4gasRwIS4NT67qa6+KbRauKRfiuo+evlb7&#10;wvfsipWv1u27oBVC3LhJJ34my3QhznEcx3G6nx4hxB19/PnmQ/xOIyV8MQ5oUQxIIc067SxVNqFU&#10;BmErJquxHC2QaSGOApym6FQ2Ga8FtFQfKKDxlbIa2T7UwetS0JPpAWU3Yo0760U5vCbrio2j4zhO&#10;p6CFuAN/NuGNyvdbQ+H4k0bsJ8sCnSzEAUowEHdS8ZbcFiMlrqRkpFScLFPHAVyTEpWOT5GqFzQr&#10;68jy0UZIUToN69DzIEUeSnQSnnyFcnVco6BOjqUlP6UokpaAHI9Y+RgjBi0JFq0FIE8E0+NWNN8p&#10;GFLjwrnEGFIq0/C+QigjX8XWopwza50iXkqIuv1yvPGzjCMcd2utsV0IltQpx9xax7F+SeS8W/FF&#10;ZUjhLxVf5rvOaT96zx1y2MFX1LbkrOBCnOM4juN0L3LfBeOOOazU3o3w4OIHd/kf0WJC3Hd/2RQ+&#10;++DlsOLx28LjM6aGuUf8NCwc2z/MGW2fEEcgxFXTjR0QnvmP88NH7z4Vvvnyw/D9N5vNepqh3fKK&#10;C3E7xtaK7+twbFyIK0ez49bue77d5e8O2B8X4nYfLsQ5juM4Tu9FC3H9hoz4rrZVty/sN2jE/ycr&#10;7UtCHE5u03EE8UC/BhWkyiY8Zc7KTxCHNBDB5HUpgcWkNJI6lY2Cmi4fxPogX1sqr2uYRrZP5tUC&#10;HmU3noynT3aT8p6U7OT1orFwHMfp6bRSiDt1yvChsizQ6UKcPBVJizBSxoJgJONSpISjRuN4wlRK&#10;VsHJTwxWfAoGS3RqVtaR/YqduBbLnxoTHa/jmiGnzxZF0hKQYlZMGAMynbwOaRChSFxiOt2HojFN&#10;wWCtEwC5jSH12k2ZLlaWRWxesK4YYmtM3s+6Tt47qfmW46a/K9iu1JwwWP2N9UtStLaKykiNUaPf&#10;dU770XuuC3GO4ziO07OR+y5otxD3zZ82hM3Lnwpv3jMzLLnoF2He4QeF+WO6wpzIK1N/YL8dJ8mN&#10;6R8evfgX4Q+PLgifrn4p/PmrtWY9zVAkr/zoR39djVv2xtLwyccrqkLIf/+HPXfmwSsEERfLF8MS&#10;S1ateiWc8POJdeXjZ1xDnE5P0K5zz/llXT6L66+fsTMP2oxraCd+X/TQwp358YnfmXbhghur/eQp&#10;UQTyiSyTIK1Ml4s1jgT1UHohrB/9t/LoPnJ8OTf4xO+x/Dlw7OXYoFyMAcZNp2ebYrCtuWDNyvHG&#10;3HFtoX5cQ7zOh3FDXEogYrlWfowl+o38HE/WjzGNzWWjc1I0bjFk29nnFLJOjC3aotcd5hp9123M&#10;Kd8C+XQZGIfUPS/r0nEcU/l9wHlJlalpZMxRjy6HbeVcpNZsilQ+zpG1nplHrgUdxznAPSPvZfws&#10;vwstME5yDcfQ9wT7I9c+fsd1mY60S4ibcNxJ22SZk0+daj6odxzHcRynfewWIW7gsPF1lfYlIc6K&#10;I0zTqBCH+DLIvFKIi50ORyjVAX2CGmU5eeIaifVBlpeDHh+Kb/IEOEptiIuJb5T3rFegylfYoj7r&#10;NbaO4zidwLAxx9ftuT/92ZHLK99tDQVLiJs6rbOFOIggPFlKCzxSlkuJS5qUcNRoHENKHioSZlIw&#10;tEPWSfXLSiOvS3HKEp1Yb+zUq0bJ6bNFzhzkli1PeZMCFoM1V5LYiWA58xGDIVZ3mbJ536GdVrxF&#10;bOxyxh0w6Paz3Nyg+5Yzp0xjjV1O/qI+5pTBMden2DX6Xee0H73nHvizg2+sbclZYejo+pPZXYhz&#10;HMdxnPYi910wYsKIUns3wvMvP7G/LicuxG0MH698Prz90Kzw+3+bEuYfOTjMH90/zBpZcELcqP3D&#10;/DH9w62j+oWHzjk2vL7g6rDxjcfCn7auNutpBsgHlW5VsUQExkGYkIKJBCKDlh2K5AgtgEDESOWx&#10;6gAQXIrqIpQ+gOw3xSkJ2yfFmxhaQqFkUhZr/NFnLeJpMC/W2Og+xsYJ5TcixUGUKRp7jI0sG+20&#10;0hGUJ+tIkZobSlv42ZKEML+xOIK4WJqcNWfNZ6NzUjRuMWTbc9ZymfrQdtnGnPIt5HeBrFferxre&#10;E/iU1xv9HrFodMx1OXKtcU1aQCrTeQnLsMAYcDystZpax4yj3MkyNRhXnRfgO8BKbyHH3frOlcg6&#10;SLuEuCOP/8UfZZkuxDmO4zhO96OFOFDbqtsXXIirjyNM04gQB2EL8bnok+rKCHGyLnmCWkw8I7E+&#10;6FebFqFPgmN+KbahXbjGU+wo6smxpfRmvUoVop+U4gDabb0m1nEcpyfTSiHujHMPHSfLAp0uxAGe&#10;xKXFIQpFMWEHshYkOoooVtDiTEoYSsUxxEQkUCTMQHSBZIX2UozRoR2yTqpfVhodx/rRZinFQeKJ&#10;CT65oAzML09T0yHVZ4uiOQAMRW22xk1eQ9t1HkmsLVa5uTBY6wTIOotehZqzrjSxPDnjDhh0+2Pz&#10;bwWsOd23nL4wjTV2OfmL+phTBk/CQx+k+Fb0XefsPvYffHDdnjvksEPm1LbkrHDw2BF1+V2IcxzH&#10;cZz2MmDYsLq9d+ykw0rt3QhlhLjvvtkctm95N2x84/fhhZmXhAVHDQ63jR0Q5ozqMkU4skOI66p8&#10;9gv3n35UePHmy8Ka5x8If/z8fbOeZpCCjiXwMI5AzKAEI+UT62QkkJIxiBRPIJNJcQLCBWUPLeAA&#10;lo84faob2yaFGyL7zfxIh+sQcTgW+Bl9w6dsF0Q8Kb5ZpyhJiUXHkdT4o6+y72gD+4/6Zfloox4b&#10;q48UW5BW5k/JOBYYC44v6pb9R5wcG/ws8xLGW/NThOwbxognf+l5AdbaY99T6zK1dtF3jBn6Lcdd&#10;rju0S+YBrZgTxqfGLdX21JojnF+IUjKNbiPiZT6QUz5gGt0Prnlr/ADmmHk5dgBt5vWy3yNFsNzY&#10;mMsxScUBtIPjoter7A+R44m8Zdd6ai0wjqA8lo96OWaA1wnGUK51jrdeI9YaYD6scZaLfOh/bC+x&#10;hLifjT/i8Eo5TYVTpk77kyzThTjHcRzH6X7mLLyjbo8Hta26PeHKK5/aw4W4+jjCNI0IcVJGs/IX&#10;UUaIA5TFpFiXOnENxPrAV5oCeT0XSGrMTxGPdVHYozTH9kqpTwt2EpTNsoj1qljHcZyeSiuFuIsu&#10;H3uILAv0BiHOepUgZBEGSzyiWFIUtHCUkpFScQyWTENSwoyUx1KhHbJOql9WGh0nT0qzAl5TWfZU&#10;K5y4liNBpfpsUSQtAQYX4orXlSaWJ2fcAYNuP++NsvNNcvrCNNbY5eQv6mNOGVj3DFw/Rd91zu6l&#10;1ULc2dOPMB/eO47jOI7TGlohxL31zgu7/N0dE+KqfLclfPXxH8Kb99wYFh77szwhrkJViBvdFe4/&#10;46jw8q2/CWtfeHC3C3GWrCHFBy1MgJSMQSh14NOKl+KFPDUK11m31TakRRzy6jjZb2D1vQjZLkuU&#10;SUkyJDX+RVIJYB+BHgNZNtopBSHC+YlJKDGYD+ViHKw0Utax1gbjrLEroqh+OS7W2uPYptYl60il&#10;sUjNeyvmhPlT45Zqe2rN5dKK8plG90POnbVuZLyc+0a/R3JgfbExT825jIM4pterbJclQXKsG13r&#10;qbliHLDqlnOpv18gGTLOmqfYfMgyrf7E2Ljp3bp9F7gQ5ziO4zi9g24X4m64YcmeLsTVxxGmaUSI&#10;A4iP5S+irBAnJTS+TpSnsMlT4ySxPqC9LEtezwWnuTE/pDz5O9sG6U1e4wlyeKWqLs8CeaS418gY&#10;O47j7A5aKcT92+WjDpdlgd4gxAHKUZSUIIYgQJTRaaVQBPlEv8ozJRw1GsdgyTQkJsxAeKHwg36i&#10;b1ogY2iHrJPql5VGXodUhbYDiHGQ3xjwM+otK8MB9gnlooxGTvyySI0DYR+KypYiINsn5SVrriQ8&#10;9QtzLq/nzEcMhljdUi4tKptrsszpfrF5yRl3wKDb3+h8k5z8TGONXU7+oj7mlAG4/ngaXOq7ztn9&#10;NCPErV17wR4uxDmO4zhO97JbhLgK33y9Iby3eH64++TRVdFt7uh+YfaoftUT4Cwh7taR/cLCsQPC&#10;rYftHx4+b3JYfv/N4eP3ngl/3r7GLL8ZiuQVxlknQYGi/CkZA0CISOUnLEfKFUV1y/hUXFk5RpLq&#10;X0qSIak+QIjCdUg08rqG6XQbZNnWCXYgp40ayC/ME1sXQKazRKJUXAq5ZlL183Sr1NxYcSQ1tylS&#10;c9qKOWFcatxSbU+1L5dUG3PLZxrdD7lurHuT8yq/C5r5HsmBZcfGPDUeMi4mgMXmqxVrPVa2jEt9&#10;x7B+3fdUn2W8rlee5Ffmu9eFOMdxHMfpvbgQ10JS0loqjjBNo0IchTR5alsuZYU4KZ1BLpMn1FFC&#10;08T6IOW61GltKSiroe+U3/RJdawD7WV663WpKXgyXmoeHMdxehJaiDtg2IS1le+xhkJvFuLkqwTx&#10;O2UiS9bRaTUp4ajROAp7KdlFnlonr0tJCSdEyTjC0A5ZJ9UvK428TimsSPIpg5TKUL6VJqfPFkXS&#10;EuDaKhKQYkIbRTIKTTGYTq/hnPmIwWCtEyBPIIuNLZDpypxKFpsXSl0IsT6lZEKMEUMzgmVqvTBN&#10;O+4xkFMGkKIl+sp8ZcREp/vQQtywMQffUduSC8PaLWfvOXbSyLr8LsQ5juM4TnvRQtxRJ4zK3rsZ&#10;Vqx4ZZe/uxfeNc98gC9Z/dTdYdHZk8LsMf3D7JH7hzk1Kc4S4maN7BduH7dDiFt6xZlh3SuPhK8+&#10;eS98+5dNZtnNUCSvME7LEJJU/pSMAWT9OchypDhjyUUUMnCyko4r6ncuqf4VCSMg1Q5eT4094ElM&#10;up85fZRprHiLnHIJT76yBCSWUdQ/TW79OXNjxZFU/hSp9uW0Xaax4hmXGrdU23PaUERqbeeWzzRW&#10;P9h+LWrF7nlZZw5l55T5YmOeGo9UHGEa3a7csUzNd6NxhGl033FiHK4DS/RjPuvep8DHcjGvOo2m&#10;XULcqWf96jtZpgtxjuM4jtP9dLsQd+21j/3Yhbj6OMI0lhAnhS8dR/jKUpAjtUnKCnFAtol1p9oX&#10;GwMp16XGJ4WU6liPlt3YXsYD5JNpioj1wXEcp6cy6ohT6/bcZoS4y68Yc5IsC/QWIU4LOgz69DcQ&#10;E5WIFE60nJOSkVJxUthBW2UckG1GkHGyPdZrLGXfLVmH/cXJUjqOpGSdVL+sNPI62w65K5a3LLK/&#10;lowFSShHQLTQspGVRs4V0ltpUnNStBZAo2uwCEp2kC+teMCxw2dsDKQUWEZAi0lfWNcMliiIOuTp&#10;gnpMpTRq3QNFxNolYZp23GMgpw0AY8EgJVrru87Z/bgQ5ziO4zidxa4nxI16qLY1ZwdLiCs6IQ5s&#10;fuvx8Nz108MDZxwVbjvmkKoYN2vU/lU5DuA1qRDkdohy+1dfq7pw4sHhpZsvC5+teSV8++eN4fvv&#10;tphlN0ORcME4LUNIUvmLhAspVeSgT0li+RCvpCCDciljFb0KMCWaEJQHsYOnsWms/uWIMLF2yOv6&#10;VYWaWD05fZRprHgLWV+RyJKaf5aRWlsWOf0CqbrZByuOpPID9B3rkeksdPty2i7TWPGMS41bqu05&#10;bSCIx/0jBSaNlYdxqfKZxuqH/F6Qr5Xl60G1/Nns90gRzBcbc64nUCaOMI2er9yxTM13o3GEaXTf&#10;IcHxOxbrg/OE67LP1vcX0ug1hXpS33WWEDd64uSplbxNhSnnXlBXpgtxjuM4jtP9WELcXl3D96ht&#10;160PLsQ1JsTJ14pS4sKpbFJew8lseAUo0uATeeRpbUiP09Fwcpp+rWkjQpyU0Hg6XUowS42BlPkQ&#10;L0+KgzCH3yG4xV5xin4yP9GnzfE1qRKULdMAjBvagL4wHp8yvx4/x3GcnsqEY86s23P7HzxmS+V7&#10;rKFwwYUjp8qyQG8R4oAUefhppZOyESQVCj2Qkyi2MJSRkVJxUviBNMN4XJeiDIPMi3YxoH2U4qy8&#10;lqwj01AgQ5myjTINr5FUv6w08jraSAlLB8wP5B8IYrFyY7BMOZaYR/RP1lckF2lkP3jiFvqgZSMt&#10;Z3FOdBssqUyOCT6Rnmn0nFpymGxj2XGjdIV6sQZwDX1j+/k7A/op+4488h6JCYExUtKXFAUxBhwT&#10;1C/HGwHxOr9Mg7LYP4D+YZxRrzWmqXYRprHqlnPWyD0GctpA9PdU7LtOgzZx7ZVdO05jDBx2SN2e&#10;e9Dwg5fWtuTCsGnTtB939ytTN2yxrzuO4zhOX0HvvWMmHvZcbWvODqvWvL3L/4iWI8Rt/2h5WPPC&#10;g+G1+b+rvgb1tmMOrp4Gt2Bs/3BbhXmj8ZrU/uGO8QOqr1Sdd8SgsGja5LD8oVnhj5+tNMtsBUXC&#10;BeO0DCFJ5S8SLii4xPIXIfNbQLqwTi8q6jeB5BGT4CRW/3JEmFg75HUX4urJ6RdI1c0+WHEklR9C&#10;FduQQrcvp+0yjRXPuNS4pdqe0wbcMyyjCJ03p3zANFY/UD/jpbxGiUpLrs1+jxTBsmNjzvUEysQR&#10;ptHzlTuWqfluNI4wjdV3nk4Zw5KRJfhuY/nEOlEObNv2Yd2+C0ZMOOqiSp6mggtxjuM4jrP7ufuB&#10;RXX7MXAhrkFSwlcqjjCNJcRJ2U2i00J6s9JptLjWiBAHdF2WYEaKxgDCmyzLQr8GVcLXmRLdFi3N&#10;4cQ4GU+kfGiROgXPcRynp6GFuP2HHPZl5busoXDhxYddJMsC513Qe4Q4KbohxE7BgmijBRsZZJyW&#10;RlIyUioOQJSJBdQp26/zSllIBwgulAAtWUcKWDLItClZp6hfOo2Ok2WnQurUMk1qLBE4hzlykcZa&#10;G7ociEWpNYSAOUE6mY9A8rLmRAbUqWU6kDMfMaTsJoMuJ2fOyswXSUlfRfcl2sT8cu3m5meg6ChJ&#10;tYuk6m72HgM5bSB6HnPnQsvAVhqntQwZWX/KzJDDDs5+qG4JcRddMdF8eN8M6z+aFtatPyesXXt2&#10;WLPmrLD2w7Mr6+PcsGHzNDO94ziO4/Rm9Omsw8ePeKO2NWeHRoW4b/60MXz58Xth3auLw8u3XF6V&#10;4u78+Ygwb8KBYdaofmHW6K7a61L3D/OOGhQeOufY6ulwa19+JHz359a/KpUUCReMi4kgIJW/SLjI&#10;FT4sIGPhhCIAIUaeOISf0WZLhgO59bL9qAPlaQEs1T9KLkDHkVg7pBCUGntAKQXinrye00eZxoq3&#10;wEl8ReUSniBliTEso6h/mpx+gZy5seJILL+sH3H6db2p9uW0Xaax4hmXGrdY20FOG+TaxdzJU9p0&#10;vLwOcsoHTBPrB+pFPNc17j3m0e3JrbNRWHasranxSMURpkmttVS/UvPdaBxhGt13fg/wu1aKw8hT&#10;JPJKMLdSrtN1Eb33Hn7c8VdU0jcVXIhzHMdxnN3PkseX1u3H4Cddg/asbdetD9dc83j//QYdWldh&#10;bxHi+EpOS7RKxRGmiZ0+BtmNaQDELH0KGoAIBqlLC2IQ0SCdWcIbymY6/KzjY8iT3fCzlYbkjAHa&#10;hngp2kGCQ9sxLinhTp5YF5PuKOUBa+wAT4OTaVmmnwznOE6ngT1W7rn/cuDPvql8pzUUersQJ6UU&#10;fMpTrzSQZyCEUCRDgEzD051Yjhaa8DtDmTgC8Uie7oT60Q60B+1FQN1WXrRNCj8yL8uMndiF9sh6&#10;UY48+YuijFU38jLgZx0v0+j8Utzh2BK0G+NBEQghVr6FHkvUDdkJ48j+IN7KmwLtQjlcAxxnKx3q&#10;ke1HwO+4jnidR4J2QmSSc4o60WY9VhKONUKZ8SKYE1kn2mvdKxhfjIO8R/AzrmmBLhfOV2xeMGb6&#10;vkRa1oe6EWLrHGDs9Jygv6lxLWoXYJpY3ZgLpkEoc48B9i3VBgnXJ0LuOsDYMsi2Oe1j+Lh6Ie7A&#10;nx2c/VC9u4Q4iHCr3pkSVi47Lbz76qnhvdd/Gd5ffnpYs/rMsH7zuWYex3Ecx+mtHHPymLq9txEh&#10;7tXXntzl7+4cIQ58++dNYfuWd8P615aEdx6eE16b97vwzH+cHx69+BfhobOPCQ9WWDL95PD0f5wX&#10;lt19Q1j38uLwxca32vKqVFIkXDAuJiiAVP4i4UJKLmVfY8hToVIyR4wc0URKaajLSpPqHyUXoONI&#10;qh2UyWInJpGYdJbTR5nGireAjMQ8sXEBMp0lxzAutbYs5JpJ5aUg2ejcxPLzdDiMu7xOUuPeijlh&#10;XKrvqXWZ0wb2Pbb2UuOXUz5gmlg/pHiJtcT7XYufoJnvkRxYdqytqfFIxRGm0fPVirWeWgupOMI0&#10;un4KbKl2lSXVD6D33pFHHnNjJX3DYdu2bXtAgJNlQpCzHtQ7juM4jtM+LCFun66hP65t2a0PlhA3&#10;+eSLzYf4juM4juM0B/ZYuef+n58O+7a2JZcOvV2Ic3oeFK9SJ1hBgmJoVLRynL4GpT/cY1a8Be5D&#10;BMh0RcKm0xq0EDfwkINX17bkwrBxy3n9Wy3E4ZWoGzafGz5cc1ZYsey08ObTJ4XXFx8fXrlvUnjh&#10;zmPC87cdHZ6/Y2J46e5J4bVHjg/vvPSLsGbVWWHDpnNDpT1mmY7jOI7Tm9BC3MFjRmTv3QyWEPfk&#10;M4vNh/e78N2W8P03m8I3f94Qvv5idfh8w7Kw8a0nwntL5oVX5l4RXp33u/De4rlVYe7zdcvCX/64&#10;vprHLKtFFMkrjEtJD6n8lCYgOug4QgkCglHsRDcLCjLIlxJvLIr6DYqELrSVpyJZAgfbBxo5qY4n&#10;ZAF9IhaRdej8OX2Uaaz4GOw3PmN949zH5pX1NiLUFNUvx86aG8wn462xkeOq87NfqFteJ+2eEwqQ&#10;KfGLEpPVd7mu9el2hHVoyZJwDICOyykfME1q/mVf+T0R63ej3yM5FLUV15mmTBxhGmu+ml3rqbWQ&#10;iiNMo/suv9sh7sm4RilqzwE/G1W397oQ5ziO4zi9g2dfeKluPwZ7dw3qX9uyWx9ciHMcx3Gc7kML&#10;caC2JZcOZ0477ApdlgtxTjthsE5YI5DgGFyIc5xieJokQuo0QQ1PlUvdj05rGX3U8Lo9t6wQN2BY&#10;vVDXrBC3btO54YNVZ4Z3Xjg5PHXL4eGBX/0s3HvGkHDv1KHhntOHhrtOGxLunjIk3FP5vP/cYWHp&#10;DRPCsidOCKvePaOa1yrTcRzHcXoTp5w1oW7vPejQn22qbc3ZoSkhToGT3/70xerwyfsvhg9ffDCs&#10;fWlR+GTlC9VXq377jXpNapvEuCJBh3ExEQSk8ksZhFIZhBmZVp4EBekD6aT4gbSQYCC6SDEMEgaF&#10;GQ3KgVQBWcRqF64xrRVPWD6kD6ZD29BGWbclcMg6KBahzVISSrVD9g+fclwQJ8cWcorMC1JlW2ms&#10;+BhyzjA2sk+YIylMQRCTeQnjU2srhhTaUBeFHF03sOYG48h4jC3HB+UU5ZfCG9rOObHq1uPeijlB&#10;exCHdvN+wPhzDGQaq++A5WPu0H6uacazH1x3vI56KJ4RxkkYFytfpknNP2UvSmFA9lMi12SZ75Ec&#10;WG6srfJeLBNHmMaar2bXemotpOII0+i+y/HWYN6RD+Ot5wvlIE7ODz7lfRX7zhg+/qi6vXfMxGPv&#10;rqRvOGzbtm1PF+Icx3EcZ/ez7K3ldfsxaLsQpyt0Ic5xHMdx2sMpUy6v23PBXl3D96hty6XCtPNH&#10;3qjLmn7JKPMhvuO0Ap4QBxEH4o58NSd+xjVKOnhNpszrOI4NX6+KkHvSG+41hDInyjnNc8Sx9UJc&#10;19Ch2Q/VLSHut9dNMh/e5/Lhh2eHd146JTy38Ohw95lDwtzR/cLt4wZUP+eO7qoyf0xXuHP8gDB7&#10;1P7hnrMOCc/OOzq8/fwp1VerWmU67WHuwrHhn/b6rzsf+uDnx5YeZ6btifz1X/+/1XZfNmNI3fXl&#10;K04Pw4b/z9A14B/CfQ8eVRfXqWBeOE+dNEeO49icPf2Iur2365BhWyv3d6nQSiEOfPeXjeFP2z8I&#10;f/z0D+GrCn/e9kH49s8bzLTtoEjQYZyWISSp/JAhIKAwDdHlSekjhSVXWOk0+lSpon6TonZRDooJ&#10;JVoe0mmL2gHpxBo/CcqT4g/J6aNMY8WnyBn72GlegGlSayuFPBlLgziMC36OzU1qbpEHbefPMh/G&#10;2ppXIuP0uLdiTmIikiyvqO/sm4bxkK1S6072UZZLisoHvJaaf7RD5ke9VjrS6PdIEcwXa6u8F8rE&#10;EaaJzVdqrUOKi61VkFoLqTjCNFbfGVcE1izzyPGwSM3x4ZNPqNt7R0w4akklT8MBQtyE406qK/P8&#10;Sy43H9Q7juM4jtM+Vn+wpm4/3sGQEbUtu/XhuuueGKErxMN6/QDfcRzHcZzmmXLW1XV7LnAhzukU&#10;nlh69U7hLRUgwyGtVYbjOD8AAY73FMQ4K40F7jEEP4Wxe5l0Yv3J6vsNPnhbbUsuDO0Q4latmBpe&#10;vGtiWHTRiDB/0sCwcGz/qvy2YExX9ecFFW4b1z/cPWFgmDe6K9x24kHh0d+ODq88NDl8sHqqWWar&#10;iAlUMf5uzx/tfCiSK1aVqQPSFtLi04qXspoEdUD2uu7GQ818OUCGs8qedv5AM31PJNZmzBXjME4y&#10;rlORfeotkp/j9GVwGqvce/910MF/qdzfpcLjSx/Z5e/uZoS43Y0UTqxTkyjFxE7sAUxj5Qe4Lk8y&#10;gvAgBQkCSQXihzwNCmVDuoDwoSUWKQZBhJFxkJYgCElhQ7avqN8SlCPbjzahnWgPTzVCvJUX7UBa&#10;jhH6JsWSnHagHvRfSkgoD3XqfktyymYalGfFF4Gx0XOGn3FNCloWzJNaW0Wg/3Jc8DPHhHOPT52P&#10;YA3F8qfmFvOKeZT9lnk533rcWzUnut3oo7w/uF5j6xLI9nM9yXjej+wLy8O85rSxqHyWWzT/sp/W&#10;94aG7ZZzg7pi3yM5FK1VrhVrPFJxJLXWSGqt4zOWH9caiSNMo/tOCQ/90msZY4y5kvPPONw7KEt+&#10;NwP8ruvQaCFu+NijXq7kbTi4EOc4juM4PYOPtnxctx+DfQYOnVjbslsfrnMhznEcx3G6jbPPu7Fu&#10;zwU/6Rq0Z21bLhVciHN2BzgJbtPmd8L27VuqQg4DpB5cw8lVuadcOU5f541l9+68f3LlNr6WGPeh&#10;Fe+0Dy3E/ctPh2Y/VN+w+dxd/u5uVoh779VTw5IrRoUFxx4QZo3eP9x62H5h1kjxWWHWqP2rJ8Xh&#10;c8GkA8L95x4Snl9wVFi14gyzzFZR6XKVHOlLC2MxaU1Tpg7IWkgbk7ZYVgpIczgRzcqfgrIdPl94&#10;5eTqNZw81kmnj3EM9FijP2Xlx55Ou4Q4P3mu91Ak2Do9i3YJca++/rT58N5pL5RDIGZY8QDyBdKA&#10;IkHL6V1QuMGnFe84TmPI79WUpIg4prPiy/Lz06bU7b0uxDmO4zhO78AS4vYdOPi02pbd+nCdC3GO&#10;4ziO021YQtw+XUN/XNuWS4UpZx46R5flQpzjOI7jtIcTTm2tEHfD7Mnmw/sc1m86Nyx7/IRw/zmH&#10;hFtG7hfmjOq3Q4CriXCS2ZU4CHFzxvcLt5/w0/DE9ePC+8vLi11lqHS5So6sRrlEkiOeMW0rhThd&#10;FsQl2T5IbTI+B+btZGGMfcgZ606nXUJcu8p1up+i7xOnZwH5XO+/lfkrFVyI6zlUpqOKPHFNAwmO&#10;6VyI61u4EOc47SH3exXfzUxnxZdl6q9+Vbf3Dh457p1K2Q0HCHHDxh1dV6YLcY7jOI6ze5D7Mdhn&#10;wJDptS279eHif7vjcF0hXudmPcR3HMdxHKc5zp8+u27PBXt3Depf25ZLhannHHa3LuuyGaPNh/iO&#10;4ziO4zTHqVPrhThQ25ILQyuFuLVrzworl50WXrjjmHDXqYPD3NH9wrxRXbuIcAQy3K0j9wuzcVrc&#10;hK7w6OUjw4o3fmmW3SoqXa5SJFBBfGPaIyfuvfPnnFeUMm07hTgipTicaGelsZD962QJin1wIa5x&#10;XIjrPbgQ11lgr9X7b2X+SgUX4noOPCEOr+PDKwPlqxDxM64hDmnw6j6Z1+n9uBDnOO1BnhCH72Gc&#10;BIdrjMcrVKUMh1fYyvyNcuFll9btvQcdOmZ9pfyGgyXE/ebKa82H9I7jOI7jtJeBw0bV7cldBx/2&#10;m9qW3frgQpzjOI7jdB8XX3p73Z4LXIhzHMdxnJ7P1Gkj6/ZcsFfX8D1q23IyPP/i6bv83T3vrhPN&#10;h/dFfLByanjzyZPC0hvGh4U/PzAsGNs/zB8TF+J2sF8lTf8wa1S/8NAFI8LyZ08KGzaea5bfCipd&#10;rlIkUOHUNKTDazchj/3dnj+q/p5zEltuHaBZIQ6vBmWaX/zyX800Fr1FgmIfXIhrnN6yFhwX4joN&#10;7LV6/83duxnuuv/2XU5mX7HyVfPhvdNeIF1QeEsBGQ5prTKc3osLcY7TPiAc6+9aC9x/UpZrht9d&#10;c1Xd3tv/4MM+q9TRcNi2bduPXYhznJ7JXSeP2/nvV0sumWqmaTcfvvFyuO24EdU2zD38oPDygpvM&#10;dI7jtAa9J/cbOvL62pbd+nDOtBuPl5UBvM7NeojvOI7jOE5zXD7j3ro9dwdDRtS25VLh1KmHPqTL&#10;+verxpgP8R3HcRzHaY7zLthViPtJ16A9a9tyMrRSiMPrTl954Liw5IrRYeGkA6sy3LwsIa6r+mrV&#10;e6YODS/efUxY+eaUsHbt2WYdzVLpcpUigQriG9LhdDj8DtmMeSGh6fSS3DpAs0IcYJocCYaiXwyc&#10;OKfTpsrlCXUyn47jK1lxuh7HFeDnnFPtUvl4zRofyIyIs14Jyzi8ehbCI/JTegRoO+J0PgnawD7G&#10;QD1W3hipthSJa7iG9co1RTBeWL8oW6YvWgtApi9bfg5yjSC/PI0RcTo97j2kkeODn3Gt6L5E++V8&#10;IR/XDdZYrM5m7wPC+rn2AMYObUiNHdomx9zqryzTQt8fXGf6vipqi9Na7n345Lq9F+Tu3QwuxPUs&#10;cBLcuef8cqf8RCDK4RqkjVbJGE5nMWbM8OpawKcV7zhOc+B1qTj9jad1EkjIuO9wcpyVr1G0ELff&#10;oGF/rtTXcIAQp0+jcSHO6Y08/ttfq38P2j8su2+BmbanINt63xmTzDTt5vlbruoR7XCcvsKE406q&#10;25P3HzxiYW3Lbn1wIc5xHMdxuo8rr3qkbs8F+wwcOrG2LZcKk0859DFdlgtxjuM4jtMeLCFun66h&#10;P65ty8lwz4Mn7vJ3Nx7SWw/vi1jx5mnhxbsmhUcuOywsmHRAmDe6K8ytIP/hblf2q75aFa9NvfPk&#10;QeHJG8aHZY+fWD1tzqqjWSpdrqIFEYk8dY3ilbyWygty0wGKLjHZJqcspoEkY8VLiiQoKfSgTlxL&#10;iUCp9jMOshR/tki9hjaVT8pT1vjkxGE8pFwlgWQUk+KkIJmijBCHNRZrC5D91UIc2inTWqAtUnYq&#10;I8Q1Un4Oco1IOYvItFgnKfErNV+pvlLow8/WOm72PgBF6wVtsMZOzrlG1pUaFyDvAdRjjTWx7hen&#10;PVhCXO7ezXDLvFvu0GVs3PSu+fDecRzHcZzWMHPWzLq9tx1C3LU3zTIf0jtOp7JlzSrj34N6vtzV&#10;E9rqQpzjdC9aiOsaethjtS279eGU066YIisDLsQ5juM4TnuwhLh9Bw4+rbYtlwqWEHfNdWPNh/iO&#10;4ziO4zTH9Evq//Ec7A4hbvWKM8KyJ04IT1w3Ltx2/IFh/uj+GULc/tVT5OaM7hcW/vyn4bHfjQ6v&#10;PHBsWLn8DLOOZql0uVD6oLwCOUlep0Sir2tYB2QWiEspWGZMpGFZsfZC2GMaSD9WGgvUzXz42UrT&#10;rAjEOALZjqdayb4DedoVYf0AY0lhSOcF1vjkxMk0LF+KV9Zcy7FDu9h2fPKksGbkMCDn0hLB9JxB&#10;BEMarF0ZhzbIcUS8zAdkf3S5pJnyU+g1gt+xpoGcNynkYYyl+Ia0XA/WuMv+IZ01X8Rax+yfFUfY&#10;DyuNlPFQFutHO+Xc6ryyzyiD/UJ+lCPlVZJqB2F7UC+FX4D6sJ7luDvtZcmTp9btvWDvrkH9K/OT&#10;Ha687qoHdBkuxDmO4zhOe1l417y6vRfUtuaGAoQ4Xd6chXeYD+kdp1PBaz6tfw8CeCWolacnINu5&#10;u0Q0f2Wq43Qvk0+dWrcnd7sQd/702eZDfMdxHMdxmkfvu/sMGDK9ti2XChN//rOndVkuxDlOc2zd&#10;uj4g4NOK76ts2vxO2L59S1i9+jkz3nH6ApfNGF2354Lch+ozb528y9/djQpx6zeeE1b/YWr1tad3&#10;njI4LBw7IMwf07/uHxAtKMTdNvmnYcmMkeGle48NK9+eYtbRLJUuV0lJHzylS8s9UmyRQo6GacoQ&#10;E1gYH2svBRhA0SaHHAkKdSI+JdekBBzZNog2Ol62QZ8SB/knJgoxHmUyvzU+OXFA1w3Yd6DHFesC&#10;12NiJNstpbYi5FhY7UUbpAQYm7MYqXnKWQtFpMpPwXxFeSmuWRIYkOtFjzvrQDylMom8r602NHsf&#10;FK0HOf7ye4X1Yt5l+hSpdhCmKSsvOq3n2ZdPr9t7QSuEuG3bPjQf3juO4ziO0xoeXHxv3d4L9uoa&#10;vkdtey4dtm3btqcuz4U4p7cBmYz/BnTXyePq/k0IJ6BZeXoCsp1+Mpvj9A2mnHtB3Z7c/+DDXqtt&#10;2a0Pk0644FeyMnDxpbebD/Adx3Ecx2me/QYdWrfvtlKIsx7gO46TD6QvBHxa8X0VGax4x+kL4LXk&#10;et/dd+CQEbVtORksIQ6n1lgP73PYsGlaWPb7n4d7pw6tng6H16bOGrl/FfkPiRKkmzOqK9x+wkHh&#10;95W+vP7w5LDq3d1zQlxMTgGQaRhnCV6EacoQE1gYr9uLdlJsAWXllhwJqlkRiHEpoYdt0P2TJ9/J&#10;U6wkcj6s+cyJi41banxSfZbxVr0xKNkBS9oCckxicxaDcwl0XM5aKCJVfgqOFeTCWL/lPKfax7Kk&#10;NCfzpu4RyobWnLJvsfkGrFunkXMmr2uYRkpzUtRLCbiSWDsklAtTY+50DyvXnFO394J9Bg6dWJmf&#10;7HDx5f/2qC7DhTjHcRzHaS9PPrO4bu8FP+katGdtey4d7n5w8T/p8u5+YJH5kN5xOhGccCb/DWjl&#10;M49XTzrj7xDkrHw9AdluF+Icp29w/iWX1+3J/zpo+Obalt364EKc4ziO43Qvgw87um7f3XfAkNm1&#10;bblUGHOUC3GO02pciLP5+uut1XGxTs57YunV1TgE/KzjHae3gFNY9b6b+9rzy648ape/u3FqjfXw&#10;Ppe3nzs5PPCrYWHWqJrsNrpfmDOqX1SKWzi2f1gwpn+469TB4YUFR4V3X/pFWLPmTLPsZql0uUpM&#10;VuKpYzGJizIJTn2y4kFRHZIigYVlpWjkpKccCaoZEagojjCNHivWDeR1DdNYY91oHGEaPT6pNQLB&#10;qJET4nLGKmfOYqTGs5lySe58acr2OwdZVm7fUu1g31JtjOWX45KDXI84FZBrCZ84ybBIYEv1g0hJ&#10;D2s4Jpw67ccS4nL3bgZLiLMe3DuO4ziO0zpeff3pur0X7NM19Me17bl0+O1V1+6ny3MhzulN4AQ4&#10;/vsPXv2Ja0sumVr370Kx16biOuU5fPIa8vM1omDRr06uinY6P8FrRpFHn06H33E9Vr9MK4U4WU5K&#10;6JNtfPy3v66Lw7jIk/PQP/yuX4mKtslyrFemou96TIr65jiOzW+uvLZuT/7fBx78VW3Lbn044riz&#10;LpOVgctn3Gs+wHccx3Ecp3m0ELfPgKH317blUkELcfsPPth8gO84Tj4uxJXnxRfnVMcMAT9baRyn&#10;tyD33R3sPiHuvddODY/+dmS4bfKBYfa4fuGWw/aryXD7CXb8Ax1+XoBXpo7sF+4/d1h4Y/HxYc2q&#10;M8P6TeeaZTdLpctVpHgiKZKZpExivWoTFNUhKRJYWJYGpztBzGpUYMoRhZoRgYriCNPosWLdQF7X&#10;MI011o3GEabR4yPHDnPAV6rik8Ik0K9aTZEzVjlzhutoE088s7DyMC5WLmmk/BQ5/cZ9putIIQXR&#10;3L6l2sG1mGpjLD/lyVy0nIaT4fidRFL3faofEj2mqAPjVmbNOq1B779lhbizf/3rXf5HNOvBveM4&#10;juM4rWPFylfr9l5Q9rXnMlhC3JLHl5oP6cm8Iwc7TltZvvg+c+01gpTHKIUtu2+B+Heh/cPT1162&#10;Sz6wfMn9dekgg8nT5TRIr8uQ0lkMlGkJdTKNFOIg4Mk4q17dR74adsuaVXVjYiHL02OgxwpjIuM1&#10;st09iUcvPctce44TY+vHW8y11GquvWlW3Z78Lz895I+1Lbv1YfRRU/5DVgZciHMcx3Gc9jFszPF1&#10;+26jQtxhE372kixn4LBDzIf3juPk40JceVyIc/oSkM/l3pv72vMzzp+wixC37J3mTmdb9d4Z4eX7&#10;JoVHfzsq3D0F/2gxsCrF4bS4+WO6Kp/9wrzK54Kx/cO8ys/4B7r5Ew8Ij/5uTHjv5V+E9ZunmeW2&#10;gkqXq1giVFnxRr6aUcL4lGxFigSWMmWVIUcUakYEKoojTKP7x7qBvK5hGmt8Go0jTKPHB6d0QUhk&#10;vEVMloyRM1apOUObWEYRMh/IWQvNlJ8ip9/y1aGx9sXI6RtItYNrMdXGWH4pSMrrZcDYYwz0mrOk&#10;3VQ/NJDfIMFJ4Q4/lx1jpzkGDBtWt//m7t0MWog74GejzAf3juM4juO0jo2b3q3bv3cwZERtey4d&#10;zvzVRUN1eUVCnBZeHKfVvHHPfHPtlQWnk8lyIYkxToptPDlOo2WwIqxyrHQWRXmlWKYlNJzEJvMB&#10;XJNpeFIbhDZ53SJXiINclxIEQU8W4qz2Ok6M7hLi5iy8o25PBrUtu/XBEuKuvOoR8wG+4ziO4zjN&#10;M+qIU+v23cof82/WtuVSYdiYYW/KclyIc5zmcSGuPC7EOX2JXYW4oVfWtuVkOPH0cb+R+UCzQtyH&#10;688O7y+fEl5fcnz4/VVjwl2/HBzmHN4/zB61f1gwtqsqwUGIu33cgB2S3NEHVE+He3b+0WHVO2eY&#10;ZbaKSperWCKUlFdysV5hyLiUbEWKBJYyZZUhRxRqRgQqiiNMo/vHuoG8rmEaa3wajSNMo8cHEhGu&#10;46QuQKEIn1hDjQhFOWOVmjM5XmgTThaLxcvrIFUuaab8FM32u4jcvKl2sG+pNsbyNzouMdAHeTqf&#10;7lOqHykgcMp1bH2vOe3h4LEj6vbf3L2b4ZQzz677H9GGjz/KfHDvOI7jOE7r2Lbtw7r9ewflTnmV&#10;4fDjTtlfl/fsCy+ZD+mJJQo4TitplRCHE+FYJsQtGadPWbNOaLOEOIhrFMbwqYUwXQ6EMJzIhhPa&#10;ZBwENX1Sm369qIzTYpmsV/cN6NeX8jrK4XWMAaQ2XMcnRDvZP5AS4nSczMfXqLoQ5/QWukuIw2vL&#10;9b68V9fwPWrbdmvDsDHHXqsrcyHOcRzHcdrH0cefX7fv7jNw6NratlwqaCFuyMhh5sP7TuP777+p&#10;ijVPLL063Hb7KWHdutfDX775Y/Ua4j75ZFV4aNH0nekh4Gzdur4aj/D111vDG8vurSvTgvlYHwLy&#10;oj7Ua+VBvZs2v1OVpWQ+tA/tQputfAB5kYZ9QUA577736C5pUQ6DjiOrVz9XjUc7YnHoH35Hn9he&#10;9FGOH+A4I44B6ZG/HYJTo+PIcWGfOaYsA5/4PTZ/RK8Z1Iv+I65RIY7lYezxO+ZVjqceS9122YYU&#10;6BvGzporay0RvSZSY2DBtMwPWGYqyDII5lHfC5z71HrjWCE/4Fzhes7YOU4rwF4r997cU14tIW7l&#10;mnPMB/fZbDkvrN94bljx9pTwyoPHhsevqXy3TB8e7pkyNNxx0kFh/rEHhAWTBoYFxx4Y7jj5oGrc&#10;07ccEZYtPTF8+OFZdpktotLlKhBV5HUIIIyLvS6VyNemWmkZp+uwKBJYypRVhhxRKEfmoZxjtT9H&#10;zmEa3T95Wl+sfXLOrPFpNI4wja6f4lCsXY0AyYz1WfFArjtdN+chdmphai5RVqxc0kz5KXLWCE4y&#10;Y9nydag5yLypuU6t45y+xfLLdaxfh9ooqXWfM54xUuvLaR9jJ42s23/LntB+9AknvSLzuxDnOI7j&#10;ON2D3H930LgQN2LCMYfo8pa9tdx8SE8sUcBxWkmrhDgphelT1PQpa3ydqkQLXyiPAhmR0h2QUlgR&#10;+rQ2nVfGabFM1ytPv4OMJuP4ulQghTiIcro/Gj0GKSEOYyrz9mRciHPK0l1CHE5p1fvyPl1Df1zb&#10;tlsbLCHOenjvOI7jOE5r0ELcTwYO3V7blkuFg0YcslyW01uEOAbINhRgdMB1SlyxkBJkIBSlAmQj&#10;S6qKtUcGS+iBvJPKq/PgdwZ5XSL7HouDMATJSAdZH9omxSQrpESrRmh0HOW4oE2xcmLzB1JrBvko&#10;mpUV4ihnaVlNB/QBwmas7al6U/kYkN/qu1wTqfWP9aLzAvZPtq8RIS41/gxon84HGKzvhtS4OU4r&#10;GT6uMSFu3DGHXSHzAeuhfVk2fDQtrF13dlj1h6nhvVdODW88cUJ4+b5jw5M3TQhLLh8ZHr7k0PDY&#10;laPDs3OODK89cnx479VTwwerzgwbNp9rltcqKl02RRL5WkZINDLOglIURBgdF6vDokhgKVNWGXIk&#10;qCIpTY6Z1f4cOYdpdP+kyGRJWJCCKCFZ+UGjcYRpdN8595DYWnWSlhxrS7LEiWyst6hN8jqRpx/q&#10;OJTNuJi01Uz5KXLWCOBcox1lx5yvGsWnlVfKiFY7mrkPpLxW1McysEy9fjkP1vdSEegby7X66bSH&#10;Y04eU7f/NivEHT75BPOhvePsDn70o7+ufqdcf/0MM74ngraizWi7FZ/DsjeW7vw+xc9WGsfpbfTF&#10;dY/XlMs9uOxrz2VoRIh7ad4NjtNW1r/7prn2yqClMCmMAYhgMh6ym4wHKRkslkbXA3DyGwQ2yGip&#10;V4yWEeJ0/6Twp2U5efKcfpUq2oNrum6SGgOUK+MAT8MrEu12Nyuefsxce44Tw1pH7QCntOp9uW1C&#10;3KBDj54jK9pv0KHmw3vHcRzHcVrD5JMvrtvkWyXE4SG99fC+09ABAg0EHyDlLgoxkI8oT0HukjKS&#10;JQZJiQdl87Q0pJWSlSXYIA5tgJgky5b5UL/MA3i6FuLQRl5HOahHy19S/JLXJVIsSsUhQHhDG1Gu&#10;7jNlOLRNnqyHdsoTxHQbm6HRcZTjgoC0yIM4lCP7bYldMj/K5zjgU/YVoaxghfQyoDyWL9cc+yfb&#10;jnRybct5IJgP5sWcpeYKP8u8QK8J9J9zqvvPdknYP2tc5Lim1gnKZUA5aDfj0B+0iQFjJvMCHTBm&#10;qA/lWm12nHYw+qjhdXv4PgOGPFXblpOhXUKcZv2mc8P7K84Ibz13cnjpnknh+duODq8tmRzefeUX&#10;4YP32/uaVEmly1W0SELhJlck4WszgRboYnVYFAlBZcoqQ478ImUeiEhMh/5KAQpY7S/qG2Aaq39S&#10;VEI8ZSZIW1KGi+VvNI4wjR4fOfca9AdAkmpU3MJYQ8LCNZSBnymkEd0mzofMC6yxkvkI45AWdbJe&#10;xjdbfoycNQJQD8vHOKENcnwxHpgXtE+/zhVpmRf94P2KdDnrGPUwHuWXvQ/kekG8lA5RNn7HWkfZ&#10;Mh/S4rpMjzrlfZF6dS3nCWnkekE9aJPMi585j7odTns55awJdftv7t7NcNgRx7wh8//8tCnmQ3un&#10;ecaMGV69R/BpxYPLLjt/5z2ohZC9995rZ1yKhQturMsn+eTjFVVh66CDBtTl+e//sGe1Xam8uwO2&#10;D+NixfdE5Bxa8Tk88/SDO8vAz1Yax+lt9MV1v6sQV+615zL89NDxJ8mywOoP1pgP6R2nk5BSmPVK&#10;UaBfm6qlsJQMlptGn0SXQtcv46xXj+pXrlJCkyfj6XxIo/MR/bpU0Ez/MAc9XYxznJ4GpHS9L+/d&#10;Nah/bdtubRhwyLgFsqKBw8abD+8dx3Ecx2kNp0y5vG6TB7VtuVQYcPDQFbIMPKS3Ht53GjJYkos8&#10;zQwCjRSqgJRzrPyUiizhBsj8UtgpIiWoMViik4VsgxUPUvXJOPRXjxGhqIUxjaWhCGVJVu0g1S85&#10;LuiXNT9sL/oUi4uNiRTXLPErBctGsGQ8KbxZbUd7uDat/EVtB1Jqo4xH5Lha901u/da4yHnBzzoe&#10;yPJjY4s0vL+t+ZMB/dHxjtMdHHFsvRC378Ahb9a25WQYMWHEjTLfgGHDzIf2rWDDpnPDB++fGd59&#10;7Zfh3ZdPDSvfnhI+WH1m5fq0+nRb6vO1kkqXq0gRCjIIr1unc1nIPJBLZByvp2QrAukFaS2RBpQp&#10;qwwQZFi2lqskUibSoM2Ufaz2F/UNMI3VP8hCWraSIE8qv0xXJo4wjR4ftAvSEONjII2WJVNgTcXK&#10;xXUphek2pfICOY4yH5HSloTxzZYfI2eNkNRalFhjLiUyDeKK2tHMfQBS9ROIfjIP2xRDf+8A9N2a&#10;J7nOdZxGCnhO+zl7+hFi3x4a9hk4dG1lHrKDC3HdByU0fFrxkNEQDyxpjnFFxKQ2iHA8cS0F5Lie&#10;cjoT29SbhLicU+96sxjUF08Bc/Loi0IcTmWVe/C+A4bMrvS/oVDZ/yfWlVXBhTinN5A6iS2Gfq1q&#10;s0KcjitCy2gyzhLicBKbTAM5TZ8cZ73GFJIa2hkbI3nKXe4YoH0yHYF8p9M7jhMHe7Del/cdOGRE&#10;bdtubeg/dNSDsqJmhbjrr/99mDnz9+GWW5eEOXMfDvPmPxAW3nZ/hQfC/AUPVa4tCrNmPxJuvnlx&#10;Jd2j4brrHzfLcRzHcZzeypSzrhYb/A726hq+R21rzg79hgxdL8vAQ3rr4X2nwRB7baIUe2JiEIOW&#10;ZiCkMcjrGoaYNGeRkoIoAuVKZbIsKx6kxDEZZ0ljhCdypeQiloU+WPGtJjWOMi4mF8bGBWuFIba2&#10;AMckJm3FoDCG/FZ8Tttj0hnkNoZU22U6PadyXGL3Taz+orjUnBF5OlxKDJXpdFkM3SVnOo7FpBMP&#10;rdu/K3+ob6tty8lw4KHDb5X5Dh47wnxo3woguuFVqus3n1t9NSpEuA1bgJ2+HVAWkeIbX3mIuDIC&#10;EyUgLcFYdcTgCVP4tOLLlFUG9BPlAshOVhoCQUYKT/iZp09x7Kz2F/UNME2sf5DPIPPw9DSWRyGM&#10;opGVPzV2OePKNHp8OBb4RPtkHNKiTOZN9d0C84I+MT8+8TvXJcfBmjOdl/VjrJCe5el8RI4z0um2&#10;N1u+BfKzHCtewzbI9YA6KaVxnCywZmPrmPJZTGgDjd4HBOOEeDl+6AfqRH69ltAX9EnWyXlJSWuY&#10;C44rQH6ZHu3QY4ifcc1aV057ueiKiWLfzt+7GQaPHPeOzD/1V78yH9o7zZMS4iAGUZTCSXA4yU2n&#10;QRxoRA4795xf7swPTvj5xLDooYVV6QRAzpIn0KEtPUFWYnt6kxCX06feLAb15r45zdEX1wYkdLkH&#10;l33tuQz7Dhx8miwLfLTlY/MhveN0ChC6LDmrCH2SXK4MFkujX12KOPn6Uvwu48sKcRDbZBqceKfL&#10;LDqhDWOlZTb5+ticMSDoG+K1aGdJeY7j2GAP1vsy9uratt3asP+gw+6WFQ0+7Gjz4X0O11//RLjp&#10;piVh/oIHwwMP3hGWPn1LeOm168Jb71xV4crw8mvXhiefmRUeWTw/3PfAnWHhbQ+GmTc9pspxQc5x&#10;HMfp3Zx93o1ig99BI+9G/z8HDf1EltHbhLiYpBUTniQMKSkoJ8TaYJGSgiAxMUDmSUlqQJZlxYPU&#10;OOSMESgbrDJaTWocU3FWmtj1WF6QEr9SFOXLqT9WRm7bQUy+zFkTTGP1IdW/nPblrkncGwxaSGVA&#10;WfK643QnJ5zamBB3wLBhdX93j5000nxo7zhO/as7tcAkKToxzOlZ5AhxjtMOfnvdJLFv5+/dDAcM&#10;H/WhzH/hZZeaD+2d5okJcZDfcCob4iCiWTIcQDwoK4dBfGNeSG+rVr1ipgMQ42RaK013wra4EGen&#10;60T6ovTk5NEX18auQly5157LYAlx1gN6x+kkcNKbFLLK0MjpaLE0WjST+YCW18oKcUC/9lW+LhVx&#10;Vh4LXQ6vlxHiiD6lLieP4zg/oPfltglx//uAYQ/LioaNOd58eJ/DTTMfCwtvuy88/Mj88MJLN4Z3&#10;VlwR1m66JHy67cLwxVeXhPWVn99d8bvw2rJrwjPP3xQWPzov3Hb7fVWJ7no/Kc5xHMfpI5w/fbbY&#10;4HfQCiEOp9ZYD+87DYaY9JIj1jDoMuRrK3OCdZIVTuGC4EZByAqWFKTrxishIfxYp3VJwUjHkdQ4&#10;5IyRPE0sJ8ROPmuURsYxR7yKjV1OXpASv1IU5cupP1aGnE+Mm4zT5JQhr0uYxupDrFxQpm/Wq1A1&#10;DGhPznXH6U52FeLyXnv+f356SN3f3S7EOU4cnKJWuW2qWPHEBavOwufL2V3cMHty3b4NKmsxO/Qb&#10;OqLu7+7fXXOV+dDeaZ6YEMfrRaeyIQ0oK4dJ2S4lwxG8rpV1xV6/2l002ufdiQtxafqi9OTk0RfX&#10;BiR0uQfvO3DIm5X+NxT2GTBkuixr4LBR5sN5x+kk5AllMZGM6NeOytemNivEaTEPdeF67JWljQhx&#10;qdPwrJPZIMyhXVL8w8luMXkv1T+Uj/LQL3nyHa7H8jiOUwz2Yrk3Y6+ubdutDfsOPPg5WVEzQtyc&#10;OYvCE0/ODu/84Xdh9dp/C+s3XxI2f3JB2PrlxWHbHy8Omyo/r9t0Sfhg7WXh/Q9+Uz017unnbwqL&#10;Ft1efa3qTTc9apbrOI7jOL2Jiy+9vW6TB3t3Depf25qzw/8+YOjXsgw8pLce3ncaDDHpJUfsYdBl&#10;4NQsBnk9F3nSWyrEpCBc12IcRDMtOUnBSF6XpMYhZ4zkSVyxsW4XjY6jHJfUGDPErsfygpT4laIo&#10;X079sTLkfLoQ50Kcs3uZOm1k3f4Ncl57roW4Y04eYz60dxyn/oQ4vJaSr24lfC0m0/CVmk7PxoU4&#10;Z3cx764T6/ZtkLN3M+w3ePgWmbe3CHE4ZQ2vCdWvAYXslZK8KIPhpDT8jrSyDPyME9d0vhwsIU6+&#10;yrRIPmO6MnIYBDvmQ11WGg2kOebBeFhpIKsgDmOKdBzbVkssbAf7jE8KfmxfzqtdMbYcf4LfU2OO&#10;vuDVsjof1gDGMnaSnyXEyXmIIccOP8vrqAttkeON32NtyKHRe4SnCMp1rEEZSINPXpOnD8aQZQC0&#10;Ub/OFz9jjGN9b7ZfbDPGnf1gvTI/6pHrMXdOmM9qn1wDGtyXKF+u/6I1bIH60VfklWWxDanvN6RB&#10;Wqxn3X+A/EX3YyqfXvdW/t4G9ly5B+8zcOjaSv8bCvsMGHqlLGvYuKPNh/OO0yloGYsSWgyIXDI9&#10;JDW+ZrRZIU63pYhGhDigxTpivS7VSqfJlQLxs4yLIWU5x3GK2VWIG3plbdtubdBC3IRjzjQf3hdx&#10;48zfh7vuuSe88fbV4fPtF4W/fP+b8OkXF4Ytn10QPvp0B/h5y+fTq/Hbv740bPr4wvCH92eEF1+e&#10;GR546PZwyy1LzLI7lb337l/9j1N8lonriZx++lXhr/7qv1TbfNJJl5ppnDw493/7t//DjO/pYP7R&#10;dvSB/Zg2baaZthPptHvT6Uwun3Fv3Sa/gyEjKmuvVNBluBD3Awy6jJy8MaT0A7lHnx6XIwURnAon&#10;26IlI1mWvC5J9SW3nwx6nNpJM+OYirPSxK7H8gKKW3pOiijKl1N/rAyMEUOq7YCvTIV4Ka/nrAmm&#10;sfqQ6l9O36QEacUTKWq++96jdXEM3bleHUdz3gW7CnE/6Rq0Z21rjga82kXmOeWsCeZDe8dxdnDk&#10;xL13/s2ZAq9NtfI7PQ8X4pzdxb0Pn1y3b4OcvZvhfx948Fcy78xZM82H9p0EhA6KGzEgg1jiCuUn&#10;CDX82aKshAJYHj7xO8pgeRBUdHoN00ImseItkJb5csQxQlkH46jjZLstdPpmYJlacJKgjbG+YY5T&#10;8wggGel8KM9KK0G91hqSY85rOeVJAUiKQVgbsfWMMbHaUEQz9wj7x3Vsodc6oHCWQpaBumNzDqy+&#10;t6pfWBM6H0E6zGdqPcbmBPmkCGZhfbcgX6pfZeQxKfnFQB+tvIzHXMb6gXaivVZ+SH2p/stx76tC&#10;XNnXnsuw74Ahs2VZE447yXw47zidgn71Z46MddfJ4+ry8GS1ZoU4kHp9K0Q2+YrTRoW4x3/767q0&#10;IPa6VFmfBcZCinSp/uUIfxxLx3HywV4s92bs1bVtu7UBRr2sqBEh7pZbl4Tb77gnPPbErPDeqhnh&#10;qz//W/j2/15eFd8+/nz6TikOP0OS2/b1JeFP315Wvbb6w9+EV9+4Njy8eEGYdetis/xWMWnSeZX/&#10;EO+/U+wC//iP/yuMH39auPDC+WaeZkDZrKNMXE9kxIjJO8cMP1tpejJ/8zf/bWf7IfdZaboLtgNY&#10;8T0ZyHCy/aSnrokZM+6r3t+83wDuf3wP4PsA8TpPp92bTmdy5VWP1G/yVcq/G12XgVNrrIf3nQZD&#10;THrJEXsYdBkQbBis16GmoNAD4ciKz5GCNDFJqFnBKGeMAE7rQmj161BTNDOOOeMi08jr8hWxKaEK&#10;Y4FgiV8pUsIYyGl7rAwpieE1uzJOkpLJctYE01h9SPUvp29oNwPaaaUBMp0+DY8hNX+O024sIS7n&#10;ted4tYvMc/b0I8yH9o7j/ABOfsNJcH+35492/j0H/mmv/1oV5h5bepyZz+mZ8FQ/fFrxjtMuljx5&#10;at2+DXL2bgadd+Fd88yH9p2CFEcgXsjTjhAnZRD8LPMCijwyDV8zCkFDSjA5rx+VSElIttMSsixY&#10;b0xWsZD9teJjSDFFx8l2cwwgAEHkwZjr9M3ANhD0nbIR6pNzrfMC9h/pkJ550W4KUCxX5uP8QMST&#10;Yg7yy3yIl/mAjNdxgHG6TokU4gDbjzjdhtz1Q5q9R1g31rGOI3Kt6zjZt5T0xDIABCzOnbwPpUja&#10;qn4R1MH24ZNlA/6MPGgXkMKftS6QBu1CPMpOtU+PC+OQD2l5HWVgnFLjqEFZyIP1JL/D5LgCjreE&#10;cYT9R1zO/ajnlNdlXlKmT50MJHS9D1f631DYZ8DQ+2U5LsQ5nY589WdMCtPETpWDTCdPX7PkrpXP&#10;PF6XRr6KlKA8Kd1BSoPEBvFMCnwoS+aTeeSpbRrdThAT0VAHytISIMYN7dSnyhWNAfIgr0zD17Jq&#10;wc9xnDwmnzq1bo/HXl3btlsbtBB39PHnmw/vU8xf8GB47PHZ4dU3rwkfrLssbPlsevU1qfjk6XCS&#10;T7ZeWJXlNn08Paz+8LLweiXf4kfnh1tvfcQsv1lwepUUoiwgyUCQsfI3Skqs6UnSDYQhjoEVD3hC&#10;HNjdQllZtMTVzpO/MD6oA2NqxYNOPoGMJ8PhkxIp7q+eeEIc7mfORwx8L+i296R70+ndyL13B+WE&#10;OPwf7boMF+J+gEGXgZPZGCyxJwVftxp75aMUeWJSkCbWlyJ5C+XzJDAEHZ8zRkBKdbltbpZmxhG/&#10;M8TaK9PoOAqA+MRa0PHydbZl10dKGAM5bU+VUdR2wLHF2tBpctYE01j1p9omRbyYaCrXNNpppUGb&#10;2U+rHgbrnnCc7mL6JfVHuYOc157rv7tdiHMcx3Gc7uHZl0+v27dBzt6NgFer6rwPLr7XfGjfKVC4&#10;gFxhCR1AiidaapPChiUaQdJgPAWlXFg2pBMpxlhpLVhvCinZADke8noRUg6SAo7sf2x8WwnrAtZ4&#10;y3bquUS7GSf7IGH+suPDccWnjpNt0nGAcUhnxQM5zmib1X62ISYfxZBropF7hP2z+k5S4yP7FpOe&#10;sI6ZRopTBO3G/SnXRKv6BXBf6jJQF+OBtR7ZBmtOKMwhLtY+5kc75XXWqe/vVlM0N4wDZe9HWba1&#10;9pFeCnmxtdHbgISu9+Eyrz2XQQtxeAhvPZx3HKdnI09+g5xmvS7VcZzOYFchbshTtW27taEVQtxd&#10;d98dXl12TVi97tKwccuO16RCeqMAV31VavWUuF9Xf+dJcZs/mR7WbbokvLfyd+HxpbeGW2c/bJbf&#10;DJBdpBQDyQWiDKQugJOtpCxnldEoKbGmJ0k38vQ3K77ToYAmsU4GawUsvxNP0cuB/UsJfz0B3ONs&#10;K9h//2FVMRL3PD4HDZqw83tB34M96d50ejf7DTpUb/TTK2svO1hCHE6tsR7edxoMMeklR+xhsMqQ&#10;EhikGynwQMjB7xCj9AlmUtRCuRSOIANRRGKQwhN+huSD/PLEK9RDqc0ShHhSGQLy4hrqlP1n0Hlz&#10;xgigPWwDPpFPthF9Q91sv8wLeOKeJWDFaHQcQY5UJtPoOHlCIOpiX626LSErRUoYAzltT5WB9cKA&#10;tSHXrW6/NVc5a4JprPqL+seAtmFOgT6lTt57aC/azTj0R655GUcY0E4d5zjdxWUzRtftvaARIe6i&#10;KyaaD+0dx3Ecx2kty945s27fBrlCnPV3dycLcRAqKt2qYp3QRGQ6LWZQSEmJarG8RciyKcSl5B0N&#10;602hJRXWiU95vQgptkgxRUpmlqjUalhXbD5TAg/y4Hqq7zJ/TJqzkONTJg4wLrV+ZLtiElRRPRat&#10;uEdYb2pcU+suNWeEJxTmioqt7BeI3ZOMj9WRmhPKXrpeCfPrfuN3XNeiXDtg+612Mq6Z+xHExleK&#10;kLG10dvAnqv34caFuCFPyXJciHOczgOn0lGGA6nT5BzH6flMOfeCuj0eb1ipbdutDfWVVP4j4OSL&#10;zQf3KR586PawYtWMsP3rS8MXf7x4pwgHNn/y66oM9/HnP1zb8TtPj5se1m68JDz7wswwZ+5DZvmN&#10;AulJynCpE+AohVlxjZISa3qSdNObhTisAfYNUhR/bvVpgITl90YhTo5lTz4lEG1jO3H/x06vQ38g&#10;S+p7sCfdm07vplkhDq94kfmBC3E/wBArQ54EFguQwGQeCD5S2NFBxknhSYpQVoBMJiU0AiGIspoO&#10;FNQYdN6cMSKpemTQchOQElZM8tI0Oo5AjmWsPpnGik/NPfpDaSsmfsUoEsZy2l5UhpzXWED7i/Ja&#10;8YBprPqL2iZlNxlkGsy9Fg91wFq01hpgiN3XjtMd/PtVY+r2XrDPwKETa9tzNFT+oN8m87gQ5ziO&#10;4zjdw8o159Tt2yBn70aw/u5+8pnF5kP7TiBHtCExwSQl8hCmSYktFrJsKZal5DsJ05epl3XmikWE&#10;Yg7Q8oo8xQnpIBnJ+FYi67HiAdPoOWffcykj4MjxKRMHGJfqU85almmseIuccknsHmH/ML7yukSu&#10;dR2X0wausVQdklb2C8jrEsbH5i5VBq/nIvNKmQztLiNvloX1WH1MxRGm0fOQWhOkzDz2FrDn6n24&#10;zGvPZcBDdlnO+Zdcbj6cdxyn5yJfuwqs17Y6jtM5YC+WezP+h/Latt3aICsBp0y53Hxwn+KBh+4I&#10;f3j/ivDZ9ovC59t3CHEQ3vDK1M2fXBg2fHRRWLfpourpcTuEuB1xEOO2fX1J2PTxheGlV68Pc1ss&#10;xEnRK+dEq1a/9jEl1vQk6aY3C3HydbAQoHgaIF75aaVvFo5jbxTipGjWk4U43lsg5572V6Y6u4uB&#10;w8bX7b/7Dhgyu7L2sgP+j/a6/BXwGjfr4X2nQTnLOuUKUARDOiseFJUBICVBzpEyGEQzCD/IB3lH&#10;58E1yDhIxwCBiwIPy4JkJvMhXteFfJCIrHoIypECEepF/ciDOARrHHLGSMJ+aVENYwGBrEjgQkj1&#10;Q9PoOLLPCDpOp0n1HfXIvsq68YmAcdf5UnCeYvnYLgT8bKUpKgNgLjAncuzwc2qeQM6aYBqr/py2&#10;yTlFPbG0qfvBkkMJ06fua8dpN9dcN7Zu791B8WvPdZ4bZk82H9o7juM4jtNaLCEuZ+9GsIS4V19/&#10;2nxo3wlIGaVI0orJGTnSBtOkpBALXTZfoQhSp1oRpi1TL+sEVnwMSDexfBDkpBQHUI/1CsVmYfmN&#10;CDg8hS8HSFLWmkGZOK1M91ei88h1qOMA41J9yhGDZBor3kK2rdF7hGXo65JYXpDTN8bn3Beglf0C&#10;8rqE8bG5i5WBNvF6DpYky1PzCNY3vkNyT5iUIA/yYgwoCGqsPqbiCNPouU2tCZKzNnob2HP1Ptyo&#10;EKdPbXchznE6iw/feLlOhsPrUq10juN0Dr+58tq6PR7/Q3lt225dsI59n3LW1eaD+xR33n1PePm1&#10;68PqD38T1n+EV6ZOD59vv6j62lTIcKvW/CasXD0jrFl/adj8yY7XqSINTo3707eXVX9/9Y3rwrz5&#10;i8zyG4Wnw0GCsuJzgUiFVyxCokJ5AGXjdKnUSWMpsSZHuoF0hDrkKXdoA2QrtMnKQ9Au+apQjAFO&#10;SLvwwvk701ivEs1BCkQso0gwYzqrv830swjOGfqO3zGPrEOORQykQR75Wl30Qc47xoNxZUCfZV2S&#10;RtccBUCWzbFlGehHWVmPZcaw+oE8XOMEv+N6bE45jugnfserTTnu+MTvOo9GzgXnvCxsN9cq6pXz&#10;gJ9TbeGaQX65pnkPagGP6P6jHKRnGfjE76l7gutGrlcLzIPOy/pkXrY5515xyjP4sKPr9t99Bgy9&#10;vzLu2cES4vAaN+vhveO0C0plsVPDHMdxeiN6/y16qI5Xuug88+460Xxo7ziO4zhO69H7cK4QZ/3d&#10;vWLlq+ZD+05AyiidIMQBKZ7FXo1JmK5MvXJMypwqRZnMEnMIBDj2iehTt5qF5TYi4FD0Sc1lDAhD&#10;um8xdF455joOMC7VpxwxSKax4i1k2zpBiEuNkaSV/QLyuoTxsXbFypAnQub2yQLjpcU43KNFfZbg&#10;vo1JcBKrnak4wjR6blNrguSsjd4G9ly9D+e+9lwHLcThIbz1cN5xnJ7JywtuqpPhnr/lKjOd4zid&#10;w7U3zarb47tNiDv7vBvNB/cp5i98IDzx5K3hjbeuDmvWXVo9HW7bHy8OH2+dHjZ+dHF4/4PfhD+8&#10;f3lYs/bfqkLcp19cuPOVqV9+fUn1FLmXX7uhpUKcFGMgiFhpcoD4IqUWC4gvlqSixZrcOIA2yzo0&#10;kHJiYgwEFisPQF8o5EhRqgzydDApS8VEH7STafRcNNPPIiDxsBwKTPJakRiG/qTmHuPMdFZ8EbG5&#10;b2bNoU+MT40t255DGSEOYyHlMQtIVtZawbpiGkh/Mg/IEflkW1PSWgp5b6bupZiYWDR3QN5DRPc/&#10;Vk7snsDazqkbaCEuVR9AXOz+dhpn2Jjj6/bfskIcXvEi8wO8xs16cO847UCeeJY6mcxxHKe3sf/g&#10;g+v236LXnlt/d7sQ5ziO4zjdx4Bhw+r24aK9m2HfgUNGyHxg46Z3zYf2nQCEskq3qhTJFBRCIJfI&#10;6znSBtOUFVussiFeUT6LnVJGkKZsvXJMcCKUlUYj5Z2cE7rQZin2NSP8aHLKZJpGBJwYqI/lYo1o&#10;mVDGy+tFcYBxqT7liEEyjRVv0Yp7hP1LjWtq7HP6xnsid+5a2S8gr0sYH5u7VBlFecuA7w1ZV+44&#10;IR/7jzGGHIdrMk2qnak4wjR6HlJrguSsjd4G9ly9D2NvroxB6YCH7LIcPIS3Hs47juM4jtM97CrE&#10;DcV/57Q2WMe+NyLEzZq9qPra1Geen1k9DW7rVxeFP/7l0vDJ1ulh08fTq69LXb/pkrBh845XpkKG&#10;QxzkuM2V39es+7fw3As3hblzWyfEtUKMkUIUJB5ZDuKkUGadkiXFmjJxsu2QgHg6EyQYKa5YeSlE&#10;AXmyEz7ZXt1WmUdel0hZR8o8KdmNSLmJ7QHN9DMHCmGYO3mdwpa+LkEbWD8+5dzLtmlJCNdASt5K&#10;zX2za07OJUBfOV9yDQD0Q+dPEVsDBGPGsUUfML+4hjjULduGvjGOyPJZBvLgOsqy6tTI/unyc+H8&#10;EJTJtYk2SOFPrmeCduPew9zJNsh1gzJkHmD1n3OEcuT4WUIj2418sfVqrUusK5aLvso1jXLknDY6&#10;po7NrkLckKcqY50dLCEOr3GzHtw7TjvAKzoR8JpLK95xHKe3UlaIs/7uvvfhk80H9o7jOI7jtJ5d&#10;hbihV9a26WSw/u7uZCFOilwp+Uum06/5zJE2mKas2BIrW0ogqRPZmKZMvVKAwaeWXyzYTlDm5Cm+&#10;VjQ1dmVhOxoRcORJWjn9lrAvsRPv0B6WXSYOMC7VpxwxSKax4i1acY8U9Q+k1kJO3yhYYs1a8Zru&#10;6hfjY3OXKiPn1MWyQFiN1WchxUGMhZWG8VYfU3GEafTcyvtRXpeUERt7C9u2fVi3BwPszZUxKB10&#10;OXMW3mE+nHccx3Ecp3u4+4FFdXszwJtWalt3a4J17Pv502ebD+5T3HTzkrBg4f1h8ZL5YdnbV4f1&#10;my8Kmz/9dZ38hk+8JnXLZztemYpXqm7+ZHr4YO1l4c3lV4ZHfz833DrrEbP8RpDySI5IYyEFk5gI&#10;IgUcLcekxKdUHOUVSEA6DkhxRsoraCOvo10yD0GZWqaRYyWvS2Sdejw5BjHBjPFaAmq0n7mgPcir&#10;RT3UV1SuPF3NSoO5Rn/0nDOPJR6RnHXR6JqTc4n26TLwO8fdkqpSpNYAyLnn5NhrIU+WnyojBccP&#10;WPE5yDKsMZLtLCsVpu41WS7myFp3bJu+1+S9b7WJ445ydRzXU+w7Q66Z2L3qNMaEY86s23/3HTjk&#10;zco4Zwe84qU+/9BdHtg7Trt4aNH0qgz3/fffhNtuP8VM4ziO01sZOOyQuv133wFDZte2ZzNYQtyS&#10;J081H9g7juM4jtN6xk4aWbcPF+3dDNbf3Xg4bz207xQoneAzJkFJ2UaniUlrEqZJSSEWqbKlSBM7&#10;lY3xZeuVZUPGSclhUlrRJ2gVkTN2ZWFbGhFwpFxTdswoEcbGQJ6Ip+PkeOs4wLJTp+/lSGMyjRUf&#10;o9l7BCIZ67XaBiGN8dZakFIa5kjHA1lHTHDD3Mi4ZvtVNG+A8bH1lCpDymuxOS1LTpslcm4s2VXO&#10;jdXHVBxhGt3HojlF3bw3rPy9FUuIy33tuQx4uK7LwUN46+G84ziO4zjdw5LHl9btzaBbhLjLZ9xr&#10;PrhPcf31vw+Q4hbe9mB4ZMnC8OLLN4YVq2aELZ/+Onz7fy8PX397Wdj+9SVh2x8vCV98dXH4U+X3&#10;/y/8Nnz06fTwxttXhcWPzg8Lb78/zLzpMbP8RsiRc1JANGL+2MlnQKbTEhTlFXzK66k4nMjE8uR1&#10;DdNIQQUiDK+XEchSkg6Rso4ez1S9UtSRbW2mnznI9qbaFJPCKNPFJKEYLFevBUls7lux5uRcop8y&#10;jsTqLyK1BgDHzDr9TMJ0un5ZfqPiFfsGrPgcWEaqH6wjNc8WqTGUcfKEN0nsXk2Vq+PldXkvWPkI&#10;x6Ts/eCkOfr48+v2330GDl1bGefsgNNoZH5gPbR3nHawbt3rVSHujWX3mvGO4zi9mSEjdzllJvna&#10;c+vv7mdfPt18YO84juM4TuvRQlzR3s1gCXHWA/tOQkpQkL+kcAPhQopMlpSRI3UxTUoKsSgqm/HA&#10;EoUYV7ZeiD88sQtAOoGcgzognQCUSaGIaSypCOnQTsgtjMenFG2scaVoF+t7DJbZiIADZL/RBnkq&#10;FoQg9ANtwrqQ+aQ4hTS8jjGTZQKZD6CtsTjAeUbZbA/KlYIS+sIyYmKQTGPFx0BdzNfIPYL5Zjz6&#10;wPbpV+eC2HwzHvWjPCDHGb9zPaIOtAPXEIf6OIZyXTTbr6J5A4yPrcdUGRgf9AVx+ERaOedoI9qF&#10;fsv2ob+8JtOjfyxPr98YqIPtQx6Wh0/ZdmD1MRVHmMZat3JOOd+ce/Yllb+3ovfhRoS4n3QN2lOX&#10;g4fw1sN5x3Ecx3G6B0uIw/9YXtu+WxOsY98bEeLIDTf8Psye/Ui45967wwsv3RDWbbw4/PEv/xa2&#10;fnlx9WQ4Ainuz9/9JqzdcHF48plbw+y5D1f+g9Uus1GkOJISPWIUCSYSnp6kZRFKJFr8ScXJducg&#10;hRx5qpkss4iYZCNJjYc8QUqLXFKWk4JWM/3MAaIb8sWkJp6KZZ2YJSWhsvXm5IvNfSvWXM5cMo21&#10;LlMUtY9xRWMWG/sy/Y/BsQVWfA6x+ZEwTdn1kepjTv9lGnldSpKWTMc5T415DmXXjJNGC3H7Dhyy&#10;rTLO2QGveJH5cVqN9dDecRzHcZzWMnxcOSGussePkOnBsnfONB/YO47jOI7Teo45eUzdPpwrxOn/&#10;Ee2An40yH9Z3GlrssIidzkXRJibyAEvGyaGobIghUpiR8gvA9Rws2Qdls/5crNPRisYWIpLOA6Ts&#10;YsXHYJ5GBRz0WwtsFrqvEIe0oCORZcp8QI6RjgNS3JLI9uNn67pEprHiUzRzjwAITFYegHXG09Bi&#10;a12eliaRaXLmgJIcaaZfRfMGGB9bj0VlFPWJSDlQzrOF9V2RgnKqBcqitGb1keli/QdMY63bVP9x&#10;Xd4bsXXfG8HeK/di7M2VMSgVzFPbXYhzHMdxnN3Ksy+8VLc3g24R4q68qrnXll5/3ePVV58+tGhh&#10;ePnV68M7K34b/rBqRli5+vLw/geXhxWrrgjL3/ttWPbW1eHZ52eGu++9uyrSWWU1gxSDYnJJCpkf&#10;somVhsQEmtj1VBxFrlyk/MIyi07o0si+WvGgSNZhu7VwQ/lJi1vN9DMHCmOxk8bkCXX6FZOyr2Xr&#10;Zb6UKBWb+1asuZy5ZBqdt4jUGpBx1is7JbE2psrPheOiyy5DbGwlTBObZ8wf5FDZHk1qDGP9l2l0&#10;HOvC2pfrFvPB+0GfiCiF1RxSJxc65Zl88sV1+29ZIQ6veJH5XYhzHMdxnO5hVyFuyFO17dkM1t/d&#10;LsQ5juM4TvdxylkT6vbhor2bQf/dPXz8UebD+k4EMgXED8odAD/jWkq04ClSqROXmMYSz1LklI22&#10;URjR5eeIXSDVLo6LLgu/QxSCWCOFGfwspSP8jPK1XIffU/UyHeqx4mPExkLCNJBtrHgAwUi3GW3B&#10;XEj5SMKxkAIP0mMMURd+R5zOh7bG4gjEHzkHaJuUmlg+iPUr1YYcGr1HiO4DfuZYcgxSax1SFetG&#10;H6y0nAPZRtSD8rUMRxrtV868IQ5pYusxpwy0G32XYwewBmJtxLhifFg/QH7cs7FxSIHyZP0YH7QJ&#10;ZaEeXLP6WNR/wDSxdavvK3zid65/zlssf29kVyFu6JWVMSgVLCEOD+Gth/OO4ziO43QPy95aXrc3&#10;A7xppbZ9tyZYx75bD+3LAsFt3tyHw7333RUWPzY/PP3MTeGFl2+oMDM889zNYcljc8Ndd98T5sx5&#10;OMy86dFKnsd3KaNZpPAUk1ZSSGmnO4U4CmRAXs8hVV+KmKAkKZJ15HhTxpEnrWlJqpl+FlFW8tGy&#10;Xo6YFIP5UmsuNk+tWHM5c8k0ZddJalxk3O4U4uQpiY2WERtbCdNY8yzbkCI1hrG2yzQ6DvIn4ywg&#10;yspTGnWeRsfLaZxdhbihmIvsgP+jXebF69ush/aO4ziO47SWI44dXrd/7ztwyJu17dkM1t/dK9ec&#10;Yz6wdxzHcRyn9Zw9/Yi6fbho72bQQtzhk08wH9Y7fQ/IMZUlUgWCSo4gFQOSDctKnSzlOI7TF8He&#10;K/di7M2V78tSAQ/X68qogIfw1sN5x3Ecx3G6h9UfrKnbm3cwZERt+25N0Me+7zfoUPOhfSPccOPv&#10;w6zZD4eFC++vinEPPHh7eHDRHeG+B+4Kt93+QLj5Fohwdt5WIGWssiemASl4FYkisdOXUmJNLC5H&#10;aIohT12z4mPk1Jkj6/zN3/y3ajzHgWKaPjUONNPPIqRsl4sUhSCj8bolPKXIyReb+1asuZxxZRpr&#10;XaZIrYEyr5nl/GC9yOs5a6wIOYaNnmYWmx8J0+i+yj4gDeVQK173Maf/Mo28jjWLNQEgueE7j+nw&#10;M9qpZTiQU6fTPqacdbXY4HewV9fwPSrzkRW0EIfTaqyH9o7jOI7jtJZJJx5at3/vM3Do2tr2bAZL&#10;iLMe1juO4ziO0x4uumJi3T5ctHcz6L+7f37aFPNhvdM3gQQnT9lKnQqVQp6a1chpVo7jOL0ZLcTl&#10;vvZcBjxcl2UAPIS3Hs47juM4jtM9fLTl47q9GeBNK7XtuzUBR8vKCgYOG28+tG+Mxyt/zD0ebrrp&#10;9+Hmm5eEm28Bi8NNNz9aufZYNc7O1zoorQAtpljIU7mmTZu5M2/stZtAptMnY6XEmlicPN0sp80S&#10;edoT2mWlsciRqHLEGZ6MRQGO4pOWtkAz/UwhxazUvAEpT+m0FM706XFFsLyUFBab+1asuZy5ZBpr&#10;XaYoWgO5Y8Z0el3krLEiMP8sH59FJ+0BnSY2PxKm0fOs7wFNqo85/Zdp5HXe+2XnVMqfjQqETuOc&#10;fd6NdZs8KCfEDXlK5h191PBdHtg7juM4jtN6tBBX9Npz/T+iHTx2hPmw3nEcx3Gc9qCFuKK9m8GF&#10;OKcIvt4RYlyjQhylOrxi04p3HMfpy2DvlXtxI0IcHq7LMoALcY7jOI6ze7GEOPyP5bXtuzVBH/s+&#10;+LCjzYf2nYqURyCoxCQTQKFEimQ88Qyf1ulKgNIXytdpUmJNLE4KXc3ILTEpCQKVjmPfQayfObKO&#10;FrX4syW8NdPPFLIvOTIU5Sl9iqA8bc+SC9F+5NFxLC8lF8XmHjS75nanEFc0ZkDOjy4jZ43lIMcA&#10;cxRbBxg7tBnjKK+n5ocwjRbiODf69DvSbP9lGnmd5aIvZceOp8lZ68lpL5YQt0/X0B9X5iMr4BUv&#10;Mi9e32Y9tHccx3Ecp7WccGo5IU7/3e1CnOM4juN0L7+9bpLYt4v3bgb9P6JdeNml5sN6x2mUhQtu&#10;rP673EEHDTDjHcdx+jpTf/UrsX9DiBvy1I5dOj9Yp7ZbD+Ydx3Ecx+le9P7cciFO/19uvU2IA1KO&#10;ARBWIGtBGgGIp4QEpDwjTxCDNCLFLgg/lF8AhBTGkZRYk4rjKVOMl/VCWMHvlsgDZJtQDvuDTwpL&#10;uk4p2SAN08t6ZZqUcCOFLn5a6UAz/YxBuQefVrxGtkHOvZT70AfZNqwf9k+PBecVbaYUhryybKbR&#10;8wCQlvU2subketdxhGms+lMUrQH0Ef1GPD4xThSsECfbhn7o/LlrLAeOMUBbsI4wligXn5h3tlWv&#10;0dT8EKZBn+R1Kbwhjv3Xcwd0H3P6L9PI63LsNegf2osxsMqVaw5p5bwB5OF4cU07reH86bPFBr+D&#10;MkIcXvEi8+K0Guuhfadx2+2nhK1b14ft27eEF1+cY6bpaaC9CF9/vdWM7ylgbP/yzR+rbd20+R0z&#10;TSeyevVz1T59//03Znwn8e57j1bX/iefrDLjO4Xe0g/HibGrEDcU/y0VDVqIGztppPmwvhVs2HJe&#10;WL95Wli/6dywbuM5YcPmcytMq1yfZqZ3HMdxnL7ADbMn1+3boLZNJ4P+u9uFOKfVQITDq1JXrXrF&#10;jHccx+nrYO+VezH+J/HaNp0dXIhzHMdxnJ7JwGGj6vZnvGmltn23JmghbtiY482H9p2OlFRiUODR&#10;eaXEEwOyiM4HUmJNKg5QXkuhRR4AkYVSmEVMarHyyLblyDpAj3VsbEij/bRAv5jHksUsZB7dVqwH&#10;xlmg7TI9kHKRRI5Z0dw3s+ZkXiseME2s/hg5awD9j4lZBPVK4YrkrrEcUH7u2tL3Q9H8AKbBWMrr&#10;RfefjNN9zOm/TKPjctYNsNZO0VonUux0mseFOBtIcAwQaqw0PQ0ZrPieQieObQ7r1r1e61XPHv8c&#10;MC8MnSKEWuyufkD0jAW0CWsFYqiVF0CqRIBkacVLKMLiU8c9tGj6zrIQIAjqNJInll5dTdcbpM6+&#10;wqlTywlx+u/uY04eYz6sbwUbPpoW1n54Vvhg5dSw+g8VVp4RPlxzVli38VwzveM4juP0BVolxP3u&#10;mqvMh/WO4ziO47SHVghxeLguyxg27mjzobzjOI7jON1LNwhx9ce+jzriVPOhfW8AIgdEEC2rQGyB&#10;PGUJOgQSCuQayDPMh59xLSauAJ4IZZ2GlYojKBvxUjBCvUVtxnXIMbKvyIf+x4QWCkSsC+ml7CPF&#10;MUuoI/KkKnzmCDSN9lNDGS+3XsJxsgQoq2343ZInCaQwOfYoV7YH+VmOzCdpdM3JMbDiAdOk6rdA&#10;H9iWojWg7zW0p2jcctdYGaxxLGpLzvwwDcZSx/H+k3ViLFgf15LuY07/mUbPrxQxdb/QHowD1mGq&#10;fMybNVbIl/rucBrn4ktvr9vkwd5dg/pXxj4r6Lw4rcZ6aN9pSJEkR0ppNzltSYkxFF0Q8LOObxU5&#10;9cgT4nrC2LaK3iTEUejCPKXErZ7O7uqHFPFiAfd07B5hwJqy4iWsC586TsqnDPhu0+mITG/FOz0P&#10;S4jbq2v4HrUtepeg/+5utRC3fvO5Yd2Gc8KaD84K7789Jbzz4i/C28+cFN5cemJ486mTwjsv/CKs&#10;fPO0sOb9s6qnx1llOI7jOE5vZt5dJ9bt2yC1dzPg1aoyjwtxjuM4jtO9aCEOsnptm84O+tR2F+Ic&#10;x3Ecp2fQdiEOJr2sYMIxZ5oP7R3HcZyeC+VD6/Q3AjEOaUBKqnS6j1YLcXg4bz20d5qDIUeQsZCi&#10;SztPyuquenoivUmIc5ojJqlBRpPrBFKcJagxtFKIo1Sben2sTG/FOz2PqdNG1u3BIPVQXf/dffb0&#10;I8yH9WXZsPm8sHbdOWHl21PC60uOD8/MPSIsvX58eOLaceH3V40Oj/376PDolZXPCk/OHB9efWhy&#10;WPHGL6viHCQ6q0zHcRzH6Y00LsTV55k5a6b5sN5xHMdxnPYAGV3uxa0Q4iYcd5L5UN5xHMdxnO4F&#10;krrco/cZMPTK2vbdmqCPfT/6+PPNh/aO4zhOz6XydV5Fv8JVAgmO6VyI6xk0I8T9pGvQnjovHs5b&#10;D+2d5mBwIa7n4kKcQ1KSGsDJiAw4xU7HM7RSiJPrM3ZvyvRWvNPzKCvE6b+7WyXErVt/Tlj5zunh&#10;1cXHh0WXHhrmHzMwzBnfFeYdOSDMPbJ/mHdE/zCnwuyxXWHBMQeEhy8+NLx8/7Hhvdd+GT5cf7ZZ&#10;puM4juP0RhoR4hCv8zy4+F7zYb3jOI7jOO2hFULcPgOG3i/LmHzqVPOhvOM4juM43YsLcY7jOE4h&#10;PCEOrzjFK1Pl603xM67xVa14JarM6+w+Lp9xb90mv4MhI6obdEGwhLjzLnAhrh0wuBDXc3EhziFF&#10;Qhzga4O//nrrLnEMrRTi3lh2785T4mLtkumteKfn0awQd9EVE82H9WX5YPXU8MbjJ4Qnbhwf7jjp&#10;oHDbuP7hngkDw8Kx/as/4/P2cQPCvYcfEOaP6Qp3nTo4PHnD+PDm0hPCmjVnmWU6nctlM4ZU/3v/&#10;r//6/w0vvHKymaY38tjS48Kw4f9z5//883d7/ihcd+OhZlonzdyFY8M/7fVfd44lfsb4Wml7Ilj7&#10;aDfuBR33i1/+a+ga8A9mXCeCeeE8ddIc7U7uffjkun0b4O/qyhhGg/V3twtxjuM4jtO9aCEOrzOv&#10;bdXZYZ8BQ56SZbRKiNu+bVvY9tlnFT4JX1TY9tmnYdvnn4cvt2830zuO4ziOUw9ObZV7NE51rW3f&#10;rQl1hVeYfPLF5kN7x3Ecp+cybdrMncJbCshwSGuV4XQ/zQhx+3QN/bHO25uEOMojOM0pFvfE0qvD&#10;bbefUhVXKLggbN26vhqn8xHmgQzDgJ9xDXFIg/yNBNTNeuRJVLHAtDJ9SuRB+Qhl67GCNbYE/cfr&#10;HeW44mdcS8l2bB/Lfve9R3cZZ8hBOh9B2aiDohED8uE0L86PplEhTrYXZaNuBjnGeLUm6ke7uP4Q&#10;OCYYL1muhvnleKIsjI9Oy/lEPToOYIzQNrYDn/jdmheWxb4wLwPGVbZB308oG/2LjXuKVD/YhkbX&#10;SQqundR9JNeXjmPAOOg4TaoujDUDfpZr1OqbTK/jCMZJtp3rz3r1q9N+sOfqfTj1UB3/YC/T/va6&#10;SebD+rKsfPv08ORNh4e7Tx9aPRFu7uh+YcGYrjBnVL/Kz11V5lV+hxw3u3Jt4eQDq6fEvXT3pLBm&#10;1VSzzFaRElM0lJnwacU7eUD2wTiC+x48ykzT24D4x7UmwVhY6TVl1imAbMc6cse4lfeClNUkqAN9&#10;bkYEhAxnlT3t/IFm+p5Iqs2yTzquE8H6Y3/6yv3eLI0Icdbf3U8+s9h8WO84juM4TnvA68rr9+Py&#10;Qlwlz5uyjPMvudx8KF+WrVs2h0/WfhA+WrUibFzxTthc+fx0w7rwxacfhy+//NLM4ziO4zjOD3S7&#10;EDflrKvNh/aO4zhOzwYnwQ0aNCH84z/+r7p/7Icoh2s4JW7GjPvMvM7u4cqrHqnbg8E+A4dOxP5c&#10;FPBqVZ13+iWjzIf2nQiDJaUwQKaRgpEMkHAsSQlijxRvdGB9yNtIkGIMhaBUYFpAYcaSa4gl4OTU&#10;Y4WY8CPFnViwXjUJ2D7KY7FgiWA5Y455teQs2WYdl0K211oXTId6i4IlpAH0K5UfQpNMn+oLxi0V&#10;dHq5pqTspwPSoZ2xeyM27ilS/WhmnRTB8vBpxQOmwfeHjmNA+3WcJlWXFuIwfvy+suotEuJS85fq&#10;q9M+ygtx9WlvmD3ZfFhfluXPnxIWXXRomDuhf7j1sP3CrSP3D7NG7V/9JLMqzBndL9xauY5Xqd49&#10;ZUh4+tYJYfV77RXiKt2ukiPTUOTKlZj6IjnSIIQrpIG0tXzF6Waa3gZO/UKfIYRRCoIklysIIS/I&#10;WadaGMsVOMvUUXQvsKwUkOYamX/KdvjkCYM4eayTTh/jGFhjzf7lzltPp11CXG8+ec4S4iC8Vfoa&#10;DZYQ9+rrT5sP653O5ZOPV4QTfj4x/OhHf11d+/g895xfmml7IsveWLrzvsXPOu6ggwaEMWOGh1Wr&#10;XqmLcxzH6RRaIcTpU9sbEeIguG3f9kX4/KNN4aMPVoZ1b78eVr/wVPjDEw+Hd5bcF95efE9457EH&#10;wh+efDR8+NqL4aM1q8K2zz/z0+Icx3EcJ0FbhTjr2HcX4hzHcRyne2i1EPfvV40xH9p3IgyWlKID&#10;0lDWgUBD+ciSTuSpVfKUJshAEE5S9aUEmTJijI4nKB8hJbe0oh4Gqz9SuEIdGBfGYbykMMXTvSRs&#10;HwNOAuPpVWiTzK9PtUJdmBdIUrL9mFuODYIl48l4HZdCtxe/o59Ajg/ahfWB61IMk+sNfeN1grSM&#10;12tO5pXjnOoL06MtHD/UgbKs9S7LQkAbObb4ZHkI/Bl5UCaQsqU17ilS/WhmnRTBsvFpxaNfDDw5&#10;T8KAMUZbUrCdVl2IZ8DPuCbvL33/yPTyOsD6YEA+9AHXMTYYZ6sfTvuxhLjYQ3W8SlWnnXfXiebD&#10;+lzWbz43rFl1ZnjlgWPDPWccXD39bV4FCnBSiAOIhyg3CyfIHXNA+P1VY8P7b7dXmKp0vYoLca3B&#10;x8iG49Ko5FRmnVJKlOSIZ0zbSiFOlwVxSbYP8peMz4F5O/mVouxDzlh3Ou0S4tpVbk9gyZOn1u3F&#10;oEiIs/7uXrHyVfNhfSeREqgskEbKYhDIrHSSsnWw/Ouvn7FLHEQuxmv++z/sWZW9nnn6wV3y5bL3&#10;3nuZZVtpeyLoO9usx+Gyy87fGYefZZzjOE6nsKsQNxTfa6WCFuJ+c+W15kP5FF9s/SxsWbcmrH75&#10;2fDCrGvDY785Jyy+6PSw+MIp4eFfnxoePv8XYdGvflH9+Yl/vyC89dCdYf3yZeGzTRvC9u3bzDId&#10;x3Ecp6+jhbh9Bgy9v7Z9Nx8sIe7s8240H9o7juM4jtNamhHikE7n7YtCHAQTHS9FHC3TUJYpI/cw&#10;WG0hKQnHEmMs2O6YyANaUQ+D7g8kG0pRsTYgTeqUK7YPAUKRjpdttOYuRarvcs51XArZ3lifi0jV&#10;jXXGIKU3gvUJqUqu01h5cuwoRBUhy0I9Op8UtBCsOeEYWfOdIjUucty7c50A2S6r7EaCVVfsfqRE&#10;h3tNzodMz2uEbUZeHefsPnAqq96HYw/Vrb+7cUqN9bA+lw/XnBXeeenU8PSsI8IdJx0U5o3GK1J3&#10;CHEWOyS5/cLcMf3CrLH9wuJLDw3vvfoLs+xWUel6FRfiWoOPkQ1P/WpUgMpdpxDfmPbIiXvv/Dnn&#10;FaVM24p7oagsKcXhRDsrjYXsXydLUOxDo+uhk3AhrjyNCHH7DhwyQufZuOld82F9J5ESqCxwWhrT&#10;A0ta05Stg2ktaUuWlQKnvOm8RSx6aOHO/OwXhD9c12l7KqmxZv8gFObMg+M4Tk9k4V3z6vZiUPlu&#10;KxVwqpzMf+1Ns8yH8ik+3bQhfPj6i+Gl+TeGe049ovo3OP4W/+Fv7v2r1xaM7R/mH31wePyK88Py&#10;xfeFjSuWV0+Ws8p0fmDkyJHVPeuf//mfzfgyrFu3rlreAQccEB577DEzTV/noosuCn//93+/878h&#10;MF4YNyttT+Gqq66qtnWPPfYoFdfTeOGFF3aOO3620pRl6tSp1fWOcbDiHacZcF9hvbZrfU0+dWrd&#10;Ht9SIc469t2FOMdxHMfpHiwhbt+Bg0+rbdPJYAlx11w31nxo34kwQASJxcWktpiIAnCSEgLknlyp&#10;iMFqC0lJOKn2SCi9xEQe0Ip6GHR/pBwlTzLTyHS6HrYvJe4wpMbTguODUCYuBdtbZj1oUuNOebDM&#10;CV6xvuhTwmRcDFlWrH8Msfup0bFN5WvnOondIxg/KSjG6m4k6LpAbF3I67Jv8jqvEXlSH/qh453d&#10;Qxkhzvq7u1khDq87fePRn4fH/2NcWHjsgTv+wX1M104Bzma/Spr+1dPiHpg2LCx77OdVsW795mlm&#10;Hc1S6XqVVkhAjo9RjDLrzCI3P19Hi1ezQh7Da2nxe85JbLl1gKJ5LioLrzplGrxO1kpj0VskKPah&#10;0fXQSbRrznrLWrCwhDicAFfpazRYf3f3RSFOn86GE9WsdJKydTBtkRCny4LwJU94K/uqU56ghj5a&#10;8Z1A2bF2HMfpNFojxNXnn7PwDvOhfIoN774dXrtzdnhk+pQw9/CfhjsnDAx3jh8QbhvXPywElb/L&#10;76j8fs/hB4RbD9s/PHD25PDSnOvCmlefD9s+32qW2QruueeenfuABnLZcccdF5YvX27m7UnIdlvx&#10;ZYAEx7IgCVlp+jKQp+R4k54uD0LiY1vLxPU05Pps1ZizvE7ov9N5cG3hPrPim6WtQpx17Pv502eb&#10;D+0dx3Ecx2k9eh/OFeKQTue1Hth3KgyWDMOQEmUYtKAE0YsBQkxK/CIMqfpiEg6IiTEalI9glUFa&#10;UQ+D7g/rR5DXNRByGLSYlWofYZrUeFqk2pfbdk1Oe4uIjTsENIYyfU31BWuWAemKXieaMy4MsTbm&#10;lGGRytfOdcJ8qYA0RYJgTr2pfqTuR9lGzqFML9MCpOHpjfiElNqowOm0DkuIiz1Ut4Q4PJS3Htbn&#10;svKtKeGleyaFR34zKsyfdGCYN6YrzB2dIcSN7hfmjOoX7vrlkPDM3CPD8udPCWvWnGnW0SyVrldp&#10;VgKCfAQZCXGUkADEJJyGlToFC2mQFq+TBKwH19kupimSh5jO6g+kEbSFaQBEKaRNvVITp4uxTQD9&#10;w+ljkJqYRpaZC/LIegD6L+NQB+pi+fjE76n2Ig7jJOfBopFXbnKOZTn4Hdd1m9iXGFb/YzBP0Trl&#10;SXQYI/yOcWBeOV8WuXUAjgE+rficspgmVoaEol8MrGudNlUuT6iT+XQc1wfWP8cV4OecU+1S+XjN&#10;Gp9U23gfYG1hvSG/XOfIgzidT4I2sI4YZdYmSLWlSFzDNaxXrimC8cL61fdV0VoAMn3Z8nsCz758&#10;et1eDIqEOOvv7m3bPjQf1ncSZQQqeYIaTmDjz3iNqZWelJW0mLasEAdwohtenco0Oa90JTz97qCD&#10;BpjxnUDZsXYcx+k0Hlx8b91eDPbqGr5H5XsvKyCtzn/3A4vMh/IpVj2/NCy5ZGpYeOzwMKv6P5vt&#10;X2VW5W9sMgenxlX+Pp8zdmC48+Rx4fEZ54X3nng4bPvsM7PMViBFoBSzZpU/Fa9V5JwuxBPi8GnF&#10;lwECYLtPNNodtOIUNJwChzIAZEmeCgexsqefEOdCXBzIryivFfeP03Nox2mCjcA2dJ8QN+SpSn2t&#10;CZYQd/Glt5sP7B3HcRzHaT16H3YhbgcMlpTCkBJWGLSIAuQJZwgQTHByVEwuYkjV16gYI0H5CFYZ&#10;pBX1MOj+sOycV2MyxMrI6UNsPNF2vEZTyl866DwcOwQdlyKnvQTrA+uEeawgx13OR454SVJ9gQSl&#10;xwXtsV79CXLGhSE2H42ObSpfzrgzTaxdMWLzg/scJ/XFxoow5NSb6kfqfsRaYuArY2V6mZZARKUU&#10;x4C8umyn+7hsxui6PRjEHqpbf3fjobz1sD6XFW+fHl5+4Liw5IpRYeFxB1ZluDmjioS4/cMOca5f&#10;uP3EQeHx/xgbXn9kclj13hlmHc1S6XqVZiWgIsEExOpgPEQPCi+EdbH8lKgC0YX5tLAjxSgLyCGW&#10;GAKRxEoP5Djoduci6wJSnoFQFCs31l5IX7ltofCUA8Qe1GmVQyADSRkJP1vpSGouNcyTWqfy1DXO&#10;v7xWtMZz04HUvQByymIaynspiiQo3B9MizpxLdY2kGo/43DP8GeL1GtoU/nkPWWNT6ptzIfxiAmf&#10;WFcxKa7oe4CUWZtYYyn5VPZXC3FF9whAW+S9XkaIa6T8nkCrhDjrQX2nUUagGjNmeDUdhDFIcMxX&#10;dBJbWUmLaRsR4sDCBTfuTFPmdafoF/K4EOc4jtNzaVaI+0nXoD11/jvufeBP1kP5GF989kl468E7&#10;w92/ODzMHrVf9e9rvCaVr0ols6qSXL8we8yAMP+ooeH+M48Ly+67LXzxycdmua0gJgJBboIERzEM&#10;QHqSaboL1t8umaKv0ArpS8pYu1OwaYRU/1sxNt1FO4Q4p3fSU9YK29Cu7/Ap515Qt0e3VIizjn2/&#10;fMa95gP73sDf/M1/q07WtGkzzfi+zKRJO/4B8B//8X+Z8Y7jOE572G/QoXX7cGWjn17dpAsC0sl8&#10;/+egoZ9YD+w7FQZLSmFICSsMMVmEcpMUTPCzlZ4hVV+jYowE5SNYZZBW1MOg+8Oyd5cQB9mLcUVB&#10;5gMcOwQdlyKnvUC+ajMV5Ljnzocmpy+QuvRYWa9lzSmLQc8HaXRsU/lyxp1pYu2KkVN2CoacelN1&#10;Fc0/ZDYGfB/J9DotwT2CUxn5Kl6G3FfoOq2ljBC378AhI3TaZe80dyrbhx+cFd59+dTw7Jwjw+0n&#10;/jQsGNM/zBvdv+4f4i2q/6f66H7htp8fGBZfPjK8dM8x4f23p5h1NEul61UgbUDWSEEhyhJVIOTg&#10;OiQZeRKXzAcs8YJxhG1BWZRuUrIboXgCOUVelwIJBBy2D22R0pnul5RJUAbbjvwoR0pIJCXzEApL&#10;QMeh34wDaBvHAPXLvOivzs/6kU+Ok+ynJSGlQL2cQ5RhjQXbhLFnnITxZesmOfkpO+n5Z9v1dQ3r&#10;aPZekGXF2ivXM8bTSmOBupkPP1tpOB+pNZhap4wjWOe8Z2TfgbzXiVwPGEuuB50XWOOTapvMy/ws&#10;X65xa67l2KFdbDs+pXBrrd8UcrzkXMr2ED1n+I5BGqxdGYc2yHFEvMwHZH90uaSZ8ncn2Hv1fow9&#10;utLWaNB/d//LTw/5o/WgvtPIFahw0hrTQTjDNb6eFCey6fSSspIW0zYqxMk0Vhka/RpYzbI3lu6S&#10;NlY30lr5CPMjDmOK9skT7SAdWvkkqXyp8Um1jXF8XSyER5wCyPbiE78Xnbh3/fUz6l5ba4G2Wnkd&#10;x3FyaFaIs05tf/jRx7+2Hsprvtz+Zfj8ky1hwzvLwouzrw23HTei8nc1TofrZ/7NXZXkRtV+r3ze&#10;/vNR4eUFM8PWjz8yy28FRSKQPGEIp0hZadoN62+XTNFXaIX0JV+xa8X3ZFL9b8XYdBcuxDm5uBDX&#10;gtCXhDgKX5DirPi+zowZ94W/+qv/Uh2j00+/ykzT22H/x48/zYxvBXvv3b9aBz6teMdx+h6NCnH7&#10;DhgyW+b73z8dutl6YN+pMFhSCkNKWGHIEZEgF1GMw6d+FSFDqr5mxBiC8hFSIk8r6mHQ/ZHSl7yu&#10;ka9M1adtpdpHmEbXz/4jQBZCPbF4eb0oLkVOe+W4Ip0+7S027vIUMN3XFGX6gjogwjHoenLKYoi1&#10;sUx7JKl8OePONLF2xcgpOwVDTr2puoruR3zP8HsH+WV6ndYC6eVpgVYdTnv596vG1O3fO7Afqlt/&#10;d7/+9tQvrYf1ZVj74dnh1UXHhbtOG1IV4uZX0P8Yr6EQt/D4A8OSGaPCy/dOCquWt/eEuDJYokqK&#10;InFDlm0JMoRyiSWCyXgtd/B6TDyS7YNAwusURiDxyPQpUjIPkSKKjpNtQbtlewjr0NIPJBfmpUQn&#10;Qf9Zro5LIdtrzR9g2bG6GZea3xQ5+TEeSKPnX7bNGk/CNGWIzTPjY+3lHAJLKotRdC8BzldqDbJ+&#10;K41sm3WvyTboucYa5P1mlY14lMn81vik2sZ8wFpn7DvQ44p1gesxMbLoe8JCjoXVF7RBSoCxOYuR&#10;GouctVBEqvzdSWNC3NArZfp/+emwjdaD+k4jJVBJ5KlrlKLktVTe3DoI07ZCiKO8l4LSVwwpj/Fa&#10;Tt1WGsZBHJNCmwTt0cIagagWywfkq2x1/am2yTiMWWxMILvFpLgiEY64EOc4TjM8+cxisXfvAKe+&#10;Vb5fsoIlxD3+5DOrrYfymu3bvggff/h+WPn0Y2HpVReHeUcOCQvH9q/+XW39zU0gxi0Y2xXmHv7T&#10;8OyNvw1b1qwyy28FOSIQXo3JNLvjtZisu10yRV+hFdJXJ4ljmlTbO6lfLsQ5ufQVIe78Sy6v26Mr&#10;f6e/WamvNcE69v3fr3x4u/XAvtPh6XA5shPkOQhLFKQATk5D3gsvnG/m0bA+0IxgdtJJl9a1A79b&#10;6TQQ3NBetJt5UQ76hf4hXufZf/9h1XT41HF9AY7TiBGTzfhWwPnwk/gcxyGtEuL+5adD37Me2Hcq&#10;DJaUwpASVhhyJRFITgw6D0OqvmbEGILyGax4QAGmmXoYdH9wyhSDltEkMh2ELBmXGgfCNLp+9s06&#10;6Qykxidn7Cxy2ktREPKSFZ8adwpPsT5ZNNKX2LrIKYtBzwdpdGxT+XLGnWli7YqRU3YKhpx6U3Xl&#10;3I9yjBoZZ0h1DGXHyWmeZoW4FavP2W49rC/L20+dGO4/+5Awe2S/MG90145Xs0T+T3UAaQ7p7jhp&#10;UHjqhvHhzaUnhDUrp5plN0ul66VpRJ5gXksaYZx14pqEIo0ldMkTt6T0JK/L9BqmkTJMrkglyRFM&#10;pLSj46TkEjsJL5a/SJCR8TouBUWzIjGQ6ay+s15r/nMoyi/7pudKioIxmRIwTRli88x43V60k2sE&#10;lD2Zq2iOAddHag2yDVYaxqXmm23Q/ZP3W2z9yvmw5jPVNuaLjVtqfFLlyvjYGrOgZAfQLyuNHJPY&#10;nMXgXAIdl7MWikiVvztpRIjb9e/uQ5ZbD+o7jZQkJaHsBOGK1yBGMa+8rpF1QATD7ymYtlEhDq9w&#10;ZZqYWGaR88rUorqL2sc4gj5KwZAiWuzUPbYRYCx53ZLYdP2ptsk4gLIoE6J9aCfjrLmW8WgX+4Ry&#10;uXY6+VW0juP0HJoV4nCau86/5PGlb1oP5TXbPv8srFv+Rlh2/8Kw5JKpYc74A7OFuIU4SW7sgPD7&#10;GeeFVS88GT5dvzZs/+ILs55myBGBZBopVSxfvjxMnTo1HHDAAXWvVv37v//7qkQXe6UmT51DHvyO&#10;U8eQh3nxuzyZrgwjR47cpT6CV8AinmnZTvRDp2V/rrrqqmgcf8f44PQ8lovxSL1eFmOIepGOeQDK&#10;wHjGpEO0BenYR5Sj+2MJJzKNBdqh82iKytDjhDFFHzmvIDXeklbk5RzhE79jTFNrXcdh/VljG5sb&#10;XMcYYCxlu1E/yil63TDzy3WEn606U5IT0nJdoW4Zl4J9xWcsjnOM+0i3s6h/oMz9RzimzAPwO67H&#10;5iLn+4Vp2R6OI+JkfZwDpo+BOmNrVs+RRI4t+oP0zC/nAmUgTo8F2md9Z6A8mc5CpieYI2u8cd1K&#10;L0mtC17LGctG6HYh7rrrnnhTP6zvdPCK1Ep3q1giGEE6KbJZQCqDUGblJ5DWZJ5GTwOTp7aRHFkL&#10;7dP5NOinfnVs7jj1Vth3F+Icx+lOdhXihl5Z+Z4oDJV098t8Pzlg6HLrgX2nwmBJHgwpAYQhJYZJ&#10;cqQmiFHyuiQlxkAuY9Cni0lw2hqD1W4pojVTD4MeP3miWUzggoDD1zVabUiNA2EaXT/HGafDyetE&#10;noSm41AWg45LkdNe1ht7laycFz1v8rWYmB8ZBzCekNlkXCN9ifUjpywGPR+k0bFN5csZd6aJtStG&#10;TtkpGHLqTdWV+k4h8n7i+kew0sZgKDtOTvNYQhzEt9o2XResv7s3bDnvTethfVmWv3BKePjiEWHu&#10;hK7qa1nwj/Kpf5hfOHZA9TS5e844OLx877HV16Wu23COWXazVLpeJUcCKRJKUqTqyW2DFEC0bENZ&#10;Tks8UvjIQbYBpzvx1Ch84kSqmPRCcsZItknH5UguMo28jvbyuiUjsV5LKEzBMovmR752UsfllhGj&#10;KH9s/kmqbaSoDknRPLOsFGVlOJCzPjjPqTWYan9R3wDT6LFi3UBe1zCNNdap+lP5CNPo8UmtEdzX&#10;vNfLnBCXM1Y5cxYjNZ7NlEty56u7sYS42N7N0JeFOJxKxjSLHlpYF4fTvnAdApW8LtGyVS6NCHEQ&#10;sYqkshjdLcRZp9dJsQzjLuNk2dbYIL08pU3Xn2qbjMP4WSIhx8caV0uYJHwdKygjKDqO41i0Q4h7&#10;9oWXnrQeymu2b/08rHn9pfDKbbeEhy/4ZfXEt/ljdvzPaNbf3D+wXzXdrNH9w0O/Ojm8cfe8sG7Z&#10;K+GLTz8262kGLQJZyDRSXqF0lMKSQXCN8ZAoZHqA+hoV4iBv6PqAFE006Afqk+kZZwkcjMNYSAFE&#10;Q4FIktMvtMeSfTgP6CMkGJ2PoK8yn5SQLGJjJikqQ/YVc5paG9Z4tyIv5JtYXlyXfdB55Rq31iTB&#10;fFtzUzQ+wFpLAOWl1pGuU94/+v6S5aAfMi4FJShrLTCO8ivL16TqK3v/4ffUmAAIZ9ZayPl+YVr2&#10;B2sn1UYpp2nk2omBsbPyyrG1+os06KO+rsEYyjVSVohD3tTcAv29IknlleMauweaRQtxlb/T11bq&#10;a03AKTSy8H0HDtl2XS8U4njyWUpCggwmJTKkhViG090AJCkpy1llEL4WU9KIYIY6kZcSFSiStdBm&#10;pgXoOwQ99AGfgwZN2NlPazwY187XhvZUOGYuxDmO0520SojDO9WtB/adCoMleTCkBBAGS26D2CYF&#10;JPzME7YQL9MDSi+IYz4IZ/J0tCIJhwH1QIIB+nWjuMaAuth2/VpMhGbqYbDGT742FXWyvwB95jgh&#10;yDhSNA6AaXT97CP6Ltus60WQ+QDKYtBxKXLaK4U31IMxxXX0X8+LXm9IwwDxSYqK6CNlKJkv1hdc&#10;RzuRj23Ap2wfftZ5GOR1CQPSWvE5ZVik8uWMO9PE2hUjp+wUDDn1purCnDLodSHBfOqg06B8yJVy&#10;/eB7oUi4dNpLqRPidvm7e2jY8PG0p6yH9WVZ+faU8PRNh4f7zhwaFkw6IMwe21X9x/fZNfB/peMf&#10;6iHJ4ee5o7rC7NFdYdGFI8JbT54Y1q47B3KeWXazVLpeJSWYkCL5A1IJZBLEUy7RWPWk4jQ8hUyf&#10;JheTWSjB5KJFMpw2pvuCMmMCSo4g06zkItPoONaPNsu+QOZjP9B+mSeFrMt6RaUk1S9ez5lji6L8&#10;sfkn8pSuWD+K6pAUzTPL0mD9ptZPETnrg/OQWoOp9hf1DTCNHivWDeR1DdNYY52qP5WPMI0eHzl2&#10;mAO+UhWfFCYBr+eQM1Y5c4braBNkPabVWHkYFyuXNFL+7qTBV6bu8nf3999t2WY9rO8kUpIUoaRl&#10;SW8Q5JjfEryArKMMZYQ4iHBoi3ydqJb3iuhOIQ6n2Ok4kMovT77jCWwaOR86f6psGRcbNynr6The&#10;t+ZMxut6HcdxytL0K1ONU9tfX/bmrdZDec22rZ+HDe+9Fd5++J7w2G/ODXMPP6h68jpOad9VgvsB&#10;/A9rVSGu8vf4fVOPDc/fcnV4/7knwuebN5v1NIOUOax4QFED0oW8jt8hO0AmkTKGlJqQV+YBUlhh&#10;uWgHrkPk0JIP06VkCgoZ+NRxso9oL6U+fFJk0sIL01t1Mo59RBqWibZLsUX3BXIL8kGAkXEYP9lO&#10;S6CR8QD1sAzZF2DJSTK/jsulqAwp76A9UljCOpFrSa6ZZvPid84HPjkuelyJzAussUWdVhl6rQBc&#10;w9rDuHMtAL0edLuBlImw/plG5pXCIa4zPfsJpHiUktMsUvePbB9AX2PrXfadyLHLuf/QfznXckyQ&#10;R5YHKU6PqRwfloE8uK6/X9g3rh20g+tOtg+gDOYjUrhDWbE1C+QcEj22+B35AOtDmWhfI98Zcixk&#10;Xg37iXrQp9h4W2Mg4zG/zIv6ZP9j+VtBW0+Iw0N3WThsu+uue+Ip/bC+0yl6Xao+iS11AhwlNSsO&#10;oCyWQxGvqEwLvJqVeSGz8eeUrCXToT/6BDiCNkLas6SsHHmwt5Izxs3iQpzjOJpGX5mKf4ivzzf0&#10;/pk3jd1mPbTvRBgsKYUhJawwaBGlKEjhhOCaFWTZRRKOFM1k0OksOYYBZbOcZuphsMYPgpWWvHTQ&#10;wpqkaBwA0+j6IfSg7FiQUpzMB1AWg45LkdNejIkW8mSQcZb4lJpTBH0iXqwv8roV0A6ZXufRcYRB&#10;zwdpdGxT+ZpZJ0XklJ2CIafeVF25QhwoEj5ZTyzgvtd5nPbTjBCHv7s3bjnvfuthfVnWrD6rKrY9&#10;M/eo8NCvR4SFxx4YZo3a8X+i3za2f/VzQeXzjvEDKp9dYfaYfuGOkweFJ2+YEFa88UuzzFZR6XqV&#10;lGBCUvKHFK5SWPWk4jTWKwql7KRlFim6yOtloOhHGY9Y8lWOIIN+sgwdlyO5yDQ6Dm1inAWEGI5b&#10;DrKunirEoV2Mz0HLlITxOW0smucyZZUhZ31wHlJrMNX+or4BptH9Y91AXtcwjTU+qfpT+QjT6PHB&#10;utf3sKZojWtyxio1Z2gTyyhC5gM5a6GZ8ncnjQlx+u/uviPEUTKLSVw8kQ2nxVnxOXVImLZIiIuB&#10;9sTkvBTdKcTFxDEQy5/TvlT9jcZZaXRcao3IfH5CnOM4zbI7hbjt27eHrVs+Cuvefj08d9PvwoKj&#10;hlb+1h4Q5oza8T+jxaAQd+uofuHe0yeGp6+7PLy39JHw6cYNZj3NIGUGK14KFZAdrDQWqXJlmSAl&#10;agCmS8kUFEvwKa9DzmB+Kd1IIKrovqXqZBywxCMpdpUZMxDrB5BjCtFEi0D4nWKPVW/RXOdQVAbF&#10;mthYyzZqQaiZvLJd1nrCNeYFOr5obAHbByh15SDXu24bxCfGWcIU2oG5lOvMKg9peK2sDAdS645x&#10;wFpXsj26brSfcbF51fdf0VwC5GEaXadsT6oMUNQ3tJ+vQcWnjuOassaNaWL5gaw/VkYRLMPKL8ci&#10;Ng7y+0oKfRLOCforrxeNAeLl2kQ5Ok0raO8rU9Wx7yj8uusen209sO9U5GtAIYxZaSi5gZyT0WKi&#10;GUB+lAMhDeIZZby//dv/YaaPwVPmIKjhd7YvJWtRtgKpNhIrjTxhrpFT7ToZ9tuFOMdxupNGhTjs&#10;2TIf9vSZN49903po34lQjNInXhXFEabRpyZBTIGAxJO5EPAzrum0En1KGQQVeUIcJTJ8ynwSCDby&#10;9YixtLou/EwBjaeBNVNPzvihPuRjWgS0A+KN7LcGeRBS7WMaq36eeiXrRXrMG+YHAXE6H8fFikuR&#10;014AKU6OK4KcF7Y3tobQftSh+2WJhbG+8DQ4LUfh99hc5owL29RMGRapfDnjzjSxdsXIKTtF0XhI&#10;UnVxvSLE1gVBPNcWPnU87gvce/J7Ae1EvZbE63QPl80YXbd/78B+qK7/7oYQt2nLeVdaD+vLsn7T&#10;ueGDD84K77zwi/DM7CPCA78aFm77+U/DHLxCdfT+Ffar/kM8/u91nB535ymDw+LfjAwv339sWLPq&#10;TLPMVlHpepWUYEJi8gekC8pwEE4glWjpKlVPKk4jXwtKeQUnH+F3S3RCmUyv4xoB4ok8ZUmLKLEx&#10;kqTalCO5yDTyOsYG8wAgxsl24mfUq+elCKRnGUXzQ/kQa0DH5ZYRI5VfSo+5WOPAuJw2Fs1zmbLK&#10;kLM+UGeqbSDV/qK+AabR/WPdQF7XMI01Pqn6U/kI0+jxoUyL7wvA7yx8Yg3FxjNFzlil5kyOF9qE&#10;Eylj8fI6SJVLmil/d/Lsy6eLPZukhTjr7+7//H7Lm9bD+k6iSITKed2lPLlMv+YTFNWhYdqyQhxe&#10;24m2WG3IwYW4eLt1Gh2H/jDu+utn7DzBDnn4OtWyr7B1HMexeHDxvWLv3kEZIW7fgYNP0/m//PLL&#10;6dZD+Rifb9oUXrtzTrj9uEPDwrH9w5yiV6Yetn+YNxrSXL9w/9Rjwwu3Xh1WPvN4+GzzRrP8ZpDy&#10;ibwO4QfSCWUHfLZKApJxlgSkYdqUTBGTQiDLMH9M9rBI1ck460QmwvZYEkyK2HzoOIgmOh7ExgGk&#10;ys4lVQbaxLiYfAPYRilINZMX8CQqfMrrEswX69BxOWMr121Z6Yz5UI+8TllIi0YpZDvws+xXIzIc&#10;SK0bxqXGlvXr/jVy/1EgS9UHmE63WY5P0fdLTt/k2pDfgbJvPE3QQqbTa5v1oy+xdVdE6p7Ua0XH&#10;A64fa+6JLEfOoxQ6Y2Mg7229PlrFlHMvqNuj8Xd4pb7WBH3sOwq/7rqlV1oP7DsVCmrAigc8HQ7y&#10;mhVfBohvKIsiG15Ryvpx6ptOb8GT3tAu5mEZMVlLin+suxFyBEKNlgCtNBTBIPpZ8cjHebBO00M8&#10;xpLjy/pQXur0PbaN9WL8WA/KknPCcq0xlvOoRUKME8pnuWyXNX5aiMNrbGWf8DOu6XwatAHzLF/j&#10;i59xLTVvaBfSMg3qYptYf0oIxDwgXrcZ1/qaQOk4raJ+H84X4vAwvS5vLxPiHMdxHKcnYwlxe3cN&#10;6l/bpuuC9T+itUqIAxs2nxvWrD4zLH/h5PDSPZPCk7dMCEuuGBUe+vXPwj1nDA13/3JwuOfsg8Oi&#10;iw8NT84cH15dNDm899ovw7qN55jltYpK16ukBBMSkz/kCW1auCCpelJxFhS9KMBRbLFOd5Knh+nX&#10;oTZKShLLEWRSEkqO5CLTyOs8HS5VdyNwfC3hUMJ0EG90HNubO8eaWH45F9aJfRK5Tq20jMtpY9E8&#10;lymrDGUlKCse8B6y2l/UN8A0un/yfou1r0iyTNWfykeYRtfP9RlrVyNgrbM+Kx7Idafr1t9lmtRc&#10;oqxYuaSZ8ncnjQhx1t/d//ndx09ZD+s7iSIR6oSfT9wZnwNkKF1GUR0api0S4nLKKoMLcfF26zQ6&#10;ToqTFji1z0+HcxynFVhC3F5dw/eofNdkhYgQN9F6KB9j+9at4a1Fd4U7Tx4X5o7qV2XO6H5hdkSM&#10;mzWyX/UkOXw+/KtTwlsP3BE2vLMsfPHZJ2b5zSBlihiQNcrIZCAlYuRIGhKmTckUFEu01JGSoFKk&#10;6kzFETmuVnyMVL6cMpnGklsabZMkVYac1xxkG5vJC3gd7ZPXJam2544N06TqsYjlo8hnzVcMOVby&#10;9K1GZTiA+mPtSMURptH9a+T+Y/qiMeaJfVomLPP9ktO3WHm5awbfnUynBb2c+otItSNnLNiGXBoZ&#10;A6YpmtNG0UIcTmav1NeaoIU4FH7NNY9Ptx7YdyoQhCpdrUo7VrwUwCA9WWlyka85pdQkr6VEIwll&#10;I5m+qAwp/uUIVSmK6tLIMYzJbIwHOh6gzYzX4iDiKJvFgNRlCVnoA+O5FiRSHuM13W8pw2nZUJ6o&#10;ZyHTAinEWe0hKcmPfUoRW8usH2Oaqp8CoQTjK0U4Te56cRynHrkP72DwaZV7qjDof5jHa9Bn3jTu&#10;KeuhveM4juM4raWMEGf93b1+y7nTrYf1DbEFJ8VNC+s3Twsffnh2eH/56eGd508JLz94XHjylsPD&#10;E9ePD88tOCq8unhyePflU8MHa86qnixnltVCKl2vkhJMSExUka/p1K8sBZDkUvWk4ixkfVLAsU79&#10;kvKNJdg0CsvUbYZ4gusQUeR1SUpCyZFcZBp5neMC8SeWtxGk9BMTHuWcWHUzLneONbH8RWtPQynK&#10;mp9YHRYpaQuUKasMOeujSEqTY2a1v6hvgGl0/+QJjpaEhfuRkpaVH6TqT+UjTKP7LoVN67uiEeRY&#10;Y1x1PO4X1lvUJnmd8PsE6Dj5vRqTfZspf3diCXGxvZvB+rv7P/9zy/3Ww/pOokiE4utQc8FpYLqM&#10;HNlKwrQuxNXn78lCHE+BQ7/w6lymw6lwkCobPbXPcRxH06wQh/8BvT7/kG1fffXVCP1Avoj3nlwc&#10;Fp13Yph3+E+rr0KFDFckxM0eMzA8ccWvw5pXnw+fb94Ytm39wiy7GaTQoIEoAYEjdXIRTkyC9JKS&#10;KrSIkSNpSJg2JVPExBJeLzptSpOqMxVH5Lha8eg3ZCYKURY6T1GZgGn0OMi4VP4iUmXIk7BywLpp&#10;RV7A62ifvC5JtT13bJjGqgf3Ce4XjD1PVtTofLyu+5NC3j88JQ2kTikrInb/FMURptH94/Xc+0/2&#10;rUjwi81Zme+XnL7FymNezIFMb8H8sfFJ1U9Qd9nvjJyxkGuoCH1SaGwONEyj+98q2izEDXlKF97b&#10;hDgpIFnxrRTJKE7pk+YoEeWcQEfBCmml4MU2xqQjnvwFmj2pi6eOWVJUjFQeLY1Z40w5S48RZDvK&#10;cIiTeREn+23VreUxlIH2QIRDXNEJcbLtWoYDbBviWBbGH/l0XwDXI0GbmQ9tksKZFgOBbA/Kwhgw&#10;DmMj82Nty7yA9bPdqJ9loD45nnqtyZMA9Tyg/7G16ThOGrkP7yBPiMMf7jIf/rCfefO42dZDe8dx&#10;HMdxWsv0S0aJvXsHpYS4zdNOsx7Wt4q1a88Of3jztLDs8RPC60uOD8ufP6Uqyq1dX38q3IYt9fla&#10;SaXrVZqRgKSYAcGCYhI+US7jgFVPKs5CSjd4PSc+Y8IH4KsSAdou5RGIMfgd+SGPyHxIi+syPerG&#10;NZanBTHZX8gyuIY0UoSRaXiNIB3jLJlJp5HX0TYp30gwTuxPrNwYslx8ol8UivQcWxIUYHzuHGti&#10;+SlXpQREiVwLaLuMi9VhEbsXSJmyypCzPqQEivliOvRXClDAan9R3wDTWP2T9wfiuVZwH0kZLpY/&#10;VX8qH2EaPT5y7jWoC0BqKyvL8TuI9wauoQz8rO9H3SbOh8wLrLGS+QjjkBZ1sl7GN1v+7qIRIW7X&#10;v7uHXvn99x/Pth7WdxIpEWrRQwt3xhWd7iVfm6rT5shWEqbtyUJcTGiTY2a1ryg/iOWXp/XJ65JU&#10;/amxS8VZaeR1eTqcvO44jtMOFt41r27/BpXvn+yA/VvmhfD+VQNC3Lq3Xg0vzromLPr1L8Ltx48M&#10;s8cODLNH7h/mju5XZfYo/NwV5o/pCnNGdVVfm3pHJd2Ls68NH61eEb7cvt0st1lyhQYLefpTCi1i&#10;5EgaEqZNyRQxsaSMcCJJ1ZmKI7FxhTTFNhUh84GcuWIaq785+YtIlQEZjHE58yppJi9gXrTPigep&#10;tueODdPoeiBvxSQ4ic4Xu55C3j+Q4ChIaVmpDKn7JBVHmEb3IyevRPbNhbgdNPOdkTMWXLepNsSI&#10;zYGGacqs8zJMPnVq3R7fUiEOr2qRhePY92uvfWyi9cC+U6H4EzsxSwpTqVdN5kApTNclpTspMGkg&#10;UrG9Whpj/ph0JEUrK74MLAufVryFPEVNx+mTyFJimR47KXDFRD8pcWmJTM5vqgzAdBzjIhkO64Xx&#10;uRKinKeiMlG/jJPrIzY3SMN1WCTkWfWn8jNv7F5yHKc8V171SN0mDyp/kE+s3GuFQeeDSHfzzWOv&#10;tB7aO47jOI7TWiwhbp+uoT+ubdN1Ydf/EW3o/Rs2nzvCeljfKjZsnhbWrjsnfLByali14ozw4Qdn&#10;hnXrzwnrP5pmpm8Hla5XyRF3UqKKlGA0kDEojVj1MF1OG4gWe6S0ZpFqH0EbZR72NwYEG5kexKQ0&#10;2Tf8zOsyL8gRnmQaHSfLTmG1PQXG1+qXBOMVk4mYpswcS6z8UsS0TueykHn0GPB6ThtT9wIoU1YZ&#10;ctYHgPzEdBq0mXKY1f6ivgGmsfqHNaBlKwnypPKn6pdl6DjCNHp80K6iNQyQRsuSKbCmYuXiOu4d&#10;/q7blMoL5DjKfCQm+TG+2fJ3F0uePLVu367uyZG9m2GX9AOGTP+/32+50npY30mkRCie9IVTvuR1&#10;CylFQY6TcTmylYRpe6IQh7GIpcEpaDwpLdY+xjUixC1ccOPOOOvVtJgDeaKfzp8au1SclUZel3Nv&#10;tctxHKeVNCvE4dl3ff4hb27btu3H1kP5FJ9uWh/Wvv5SeP2uueGRi04Ptx13WJg1uissGAv6h3mj&#10;+4WFlc87xg+onhx327EjwsPTp4S3H74nbN3ykVlmK8gVGjRStIBIoU+nSokYOZKGhGlTMkVMLJGv&#10;lJTXi0jVmYojsXGV19E2/SraWL6iOMI0ltySk7+IVBll51XSTF7AvGifFQ9Sbc8dG6aR9UBYolQE&#10;OQoilz5V0coHeDpXGRlJjxXWEOuHHKfrziF2/xTFEabR/St7/6HtTK/L0vCVqVpIK7OWcvoWK08K&#10;wTK9Rr4yVUt+OfXLtVn2OyNnLHLaECNVt4Rpiua0UXYV4obeX6mvNUEf+47/KLjuuidG6Af2nUyl&#10;m1ViIlmrhDgpMmnpDZIR4ywJibAtluzE/LF+SNHJii8Dy7LaEQMCH+vXMh8lLoprWrTCeDGvHDvI&#10;bbyekrBkOj0+cn5TMiKQZcj+xOZMtts6jc2CY4uT3Kx4wDJ1X6Sgp8dYItPpNZ1TvxwzKRjK+csV&#10;AB3HSdOoEIcj4a18LsQ5juM4TvdQRoiz/ke0dgtxPQHKEjlCESU0fFrxkHCkYAHBDOIKRBTmteop&#10;0wYiJRPUaaXRQEZBO6QgwpPTrJOhIMVAOJF9Ql6UkRLwIKGwvwD5ZXrUxbJkPiCFLfys42UanV+O&#10;iTwNCqBv6D9lo1T5MVLjoevTUIgsM8cSzpnML8exjMDE9mvhyqojBucXn1Z8mbLKgH6iXFA0f1gP&#10;cq7wM+eJY2e1v6hvgGli/cN6w73PeWd5FMIoqFr5U/XnjCvT6PHhWOBT3+tIizKZN9V3C8wL+sT8&#10;+MTvXJccB2vOdF7Wj7FCepan8xE5zkin295s+buDVghx+B/Rvv92y3TrYX0nEROhPvl4xc7rWnCL&#10;QRlMC3Q5spWEaXuiECdPwsOJbRgnXIespl8va7WPcY0IcYBCHupCnbiGNuTUnxq7VJyVRsdJEVCC&#10;NmE8IVeyvY7jOM3QghPi6k5trwlxe1oP5VNs3/5F+HzL5vDh6y+Fl+fPDI/+2znhvjOOCbdPPiws&#10;nHhwmH/kkDD38EFh3hGDwh0njg5LLj6jku7GsObVF8KX27aZZbaCXKFBQxkEIo4VnxIxciQNCdOm&#10;ZIqY1CFPHtMiSYpUnYxLveaSp3bpV0XyOmQeeZ2k5iNnrpjGklty8heRKgOnkzGuzCtAQTN5QY5Y&#10;lhKYZL9iQhmkT6aRAqi8HltjjEc98jqlrth9ZGHdPxCteA3SlM5TROz+KYojTKP718j9R7kvdo8Q&#10;ptP9LfP9wnbr+1Qi141cG7l9k+n0CX45Y9vMd0bOWEhpsaxMKdddrPwykmOjdKsQh2Njr3MhriEg&#10;TaGMmGhEmQhymBUvpS5L3GJcrB/tEOLKlkXxTQpklMYQJwUy2UeeLqdFOSkZFs2NlO7kdTm/8roF&#10;06EMqy8W8hWlqEufUKfh2OLTigdMo+c6ty8pUS+n/ti4S0kQ/U5JeY7j5HH5jHvrNvnqXpwhxP2k&#10;a9CeVr6ZM8dOtx7aO47jOI7TWs67YGTdPgywP9e26rpg/d29cct5/a2H9Y7TE6Hwo08+k0AEQhpA&#10;OclxejtSFtUynCR1cp7TfZQV4mL/I1pvFuJw0hev61egxpB58OpOXs+RrSRM2xOFOMhnKflLnuJm&#10;tY9xjQpx+hQ4Ca7vjlem6rgUGDud13EcpwwzZ82s24/xSvPK90t20EIcTnHftm3bHtZD+SKqUtzm&#10;jWHDO2+G9599PLz50J3h5Xk3hCevujAsvnBKeOSiKWHpv08PL865Jix/9IGw9q3Xwqcb15tltYqU&#10;TJEidjoTSb0CM0fSkFB8SYlSMbFEilYxoQRSh45jHkvgYBzQJz4B2T+dPybxEI4r0HE5c8U0lmAj&#10;56Ss+EKK2kB5B/0sW0czeaXUY8lJUtwBOl72C+2w6uca0+1LCU8A7WG8Xg+yXShHxhH0TcbF7h85&#10;Bta6TBG7f4riCNPo/jVy/xXNJWjV9wvbDax7EvPMe1b3P6dvyJ+SNVm/FUea+c6Qa0+f4kmk0Knn&#10;r4iiMUD/eV83Un4uE447SezxFQYMmV2przUB/9EgC8c/zF977WM/th7adyqVblaJiWRSMmpGiKNA&#10;FTspTMpE+lWYgMJcTMBi3lg/KDoBK74MjZZFKVCKbXxdLEU1xOF32Q9KZbrvcm4aFc1kGfK6BdOx&#10;jaDo9aA4KU1KcQBtsOYYxNopYRo917yuxUELtiVWRqr+lIgoT58DWPcYo6L5cRzHxhLiKnvziMr9&#10;lQyWEId8N9405jTrob3jOI7jOK2lWSFu06ZpP7Ye1jtOT6SyjKukXicJCY7pXIhz+gq4J7jurXjC&#10;ExRdiNu93PvwyXX7Nojt3Qixv7u//XbLROthfSchX3cpxTe+LrWMwIRXhlLWksJXrI4YLCP2WtAy&#10;ZZUBJ76hXPTdiieQ4pCW7cQnfkf/Ec/rVvtSfSOp/AD1pOrnKXI6f2rsUnE6DeqT1+W8ox0yDkCW&#10;kyfr+WtVHcdphuaFuCFPyfwQ5BoV4iTbt28Ln27aGDa8+1Z4d+nD4dXbbw2v3TU7/OGJh8O6N1+t&#10;vmLVytdqpAhkxceQQgrKoCAEAUMKGqAZYQVQGoEYQkEGEoeUj1JiiWwPpDrmwyflG52P6S2Bg3Ey&#10;DfuPdlFg0eIUYFsQJ6Ul5JPiCJD5QM5cMY01DnLcKddgDGKijEVRG6RcAxEIfZRjgDZgDuRctiKv&#10;FHMwjlxXuC7bTGReoNPoMqSkhbQyr5SOML9Iz3y6XJ0X/aMwhX7hvmKfUT/XtcyH6yyPbWRZcg3p&#10;MUqRun9SccRqJyl7/+E6xgLXeZ9wTPSYomzmI7HxsWC7ZXlsH8ZPjqdVFvoj88ox1/e0NR85Y8vx&#10;41jwes53BmAc0mIcgSwHyHIwJ7KtGA+kRxut8db3BufKap+1PlpBm4U4UXCFyn8UTL/hhiV7Wg/t&#10;O5VKN6toMYhIUS2WpggtCRWhTzGjgAS5KPYqSuaNtZGnrIFmxD6QI01ZyHHgCXAsi6IgpTmepCdP&#10;xtMnjqGvjOtOIQ552E6QcxIa+s42ED3PINZOCdPoueb13SnEAcwF1hslUICfm113jtMXaVSIw//F&#10;buW76aaxE62H9o7jOI7jtJap0/KFOPxjvUyHv7vXbjl7T+thveP0RHhCHF5/iFdj8nWNAD/jGl+b&#10;iFcsyryO05uRJ8TxdaEyHr/jOtMUvQLYaS9lhbjY393ff7N5hH5Q7zh9DcpuRfIkT9ZLnY7nOI5T&#10;RLNCXCX9m3X5aw/arYfyjbD100/CppXvhQ9ee776OlX8/Nnmjbum/fLLXa+1ACmXWPExtHyjkXFa&#10;JCkjrAApSklk3pRYUtRWS7BinCVwMA5yCMUdDa6j3Tov6onlAbKdOm/OXDFNTLCxxiEl42hy2gB5&#10;RpYfg+JRd+RFv6XEqfPKcZOCjwbl6LwglQfzTenNWk85a4KSEUjdPxgXloU6Zb4UqfsnFUeYxupf&#10;I/cf7p3UmADUafWvzPcL2432pdpo9QugfgprMdAPLaCRnLFt5jsDSGlPItMUzRHBOpf5cvJi7FLr&#10;oxUMG3e02ON/2KdbEuoKrjL4tCuvfGoP66F9p1LpZpXYSV8Q0JiGklZZeLpbGaT4JqWtXCAgyTZI&#10;sa/oVLMicqQpCzmWaIP8nUKbbCeu8QQ53R+dtki2opyVOmVOXrdgOuRB23nyG8qWr3hNgT7J9dCI&#10;kMY0Oq+UHuV1jXxlqj6pLqf+IiFOgvI59viU69pxnGIuvvR2tQ+DYiFu765B/XU+XJs5c8wI66G9&#10;4ziO4zitpZwQV58Of3evXXvBHtbDesfpiTy29LidwlsKyHBIa5XhOL2VIyfubd4PmtQrh53uYd5d&#10;J6r9uLwQh7+7XYhznPxXzfIUORfiHMdpht9dc1XdfoxT2KubdWbQp7YLIW6bfijfCF9u3x62ff55&#10;+OKTT6pyHH7evu0LM207oCQE4cKKTwERAoIDZR8AMYLyByUOLbvgd6bXcTH0aUMQLKQURSnFOsEI&#10;sK2yDLRbnlglYdsxPjqO+VEeyoUkwvT4xO9WmQRxMg9AuyHvcGwQp/PlzBXTpMZB1o0xKCOpUDpL&#10;tQGwj3JtIA/mLTbmpJm8GEMpKLF/6DfysSydj+OGevG7Xm/42VoLEoyNXl+sm22KlWH1mXUiv0xb&#10;dP9IgbSozYTts9ZNKo4U9Q99KHP/AVxHvMyDuUNdMcEMlPl+oaiFT/yONso5QF1FUh1Ae5AW7WNe&#10;tLtovXLc8GnFE64PWT7blvrOILJfHEMrHfrBMSHoB9KnxpzzGxs7tB3XctdjWbQQh7erVOprPljH&#10;vlf+o2BibxPiyghIIOc0MHlamZS+Yq9LJVLwkmkphZVBC2RohxSTZBtjxNLwlaHWCWdFUAaDTMb+&#10;6hPNcA2g30yvRTYgxa7U2KYEsEaFOPyOcjmm6E8Z2YsynV53ZdajFuLkOkkJejKdnmOWnZI/pXiX&#10;0+cy4qLjOPVYQhz+gb1yPyWDJcThH+tvuHlsf+uhveM4juM4rcUS4vbqGr5HbaveGXBNp8Pf3Yiz&#10;HtY7Tk8FJ8FB6OGrHwlEOVzDyVfLV5xu5nWc3g7WP06CgxQq7w+crghhzkXRnoElxFl7N0Ps7+7v&#10;v9/S33pY7zh9Cfk6VMhu8pWrEOEWPbQw8HQ4wFe7Oo7jNEKrhTg+aP/qq6/W6ofyTt+gMv1VIIBY&#10;8Y7jdAZaiHM6k24V4ngqjfXQvlOhcJV6zaQ8EQsCVErqoWxEISklH1lIwcqKj8E6tCQlkfIXyo+1&#10;B5ITBDS0xYrPqSuGfG0q5Sstu3FOGA+0yEYo5+EzJmexPPRHp5FjIq9bMJ3st+yPJe3FYN/wmXNd&#10;wjR6/DGfbAv6LOMI+s8xs+pg2cDqD/JzjabaKClzopzjOPU0KsRhv9b5sK/fdNPoH1sP7R3HcRzH&#10;aS2nTj20bh8G1kP12P+IhriNW6Ztsx7YO47jOI7TesoKcbG/u7/9dtOPrYf1jtOXgPQmhbcYOCFu&#10;4YIbzTIcx3FyufCyS+v247JCXGVP31aX/wch7k39UN7pG1Smv4oLcY7T2bgQ1ztomxBnHfv+gxD3&#10;+DbrwX0nkitEyXQAwhFkKAg+APEUjQBlM54Eliu4ydO3cgQ6wjxaktJI4QliE6QnnOCFPuAT9VN4&#10;siRBedoa0uv4IqS0FStHSoQkJrvJ08cwxrIstJUyHEC5Mi/InX/AdHqMMYaMk3UgHcYb64Ttx6fs&#10;n24T5yclmzGNNddy/aDv8qQ4jA3XI7BOkZPrg2VwHSK9zK/lNqwb1C/LlXkQL9M7jlPM+dNnq304&#10;T4jDg3SdD/8wf8MNY/e0Hto7juM4jtNaLCGutk3XhdT/iOZCnOM4juN0HzfMnqz247QQF/u7+y9/&#10;2bKn9bDecfoakOKuv35G9bWpfDUqwTWcHOcnwzmO0wq0EFf5m/pN7NW5oT4vHrQPmY7rX3755VPW&#10;g3mn91OZ/iouxDlOZ+NCXO9g4LBR5j7ddLCEOD6E701CHKSeSpeqaMFHY4laGkg/PM0MMhCvWzKW&#10;hcwDuchKY8E8RUIchCwpcMWADCfFJiJPRItJakVIqcoqR0tzsdPOiJTaYsTGUua14iVMZ42xJZoV&#10;tQt5dDnNCnEYSykBWsg1qmHZaJueJ4lVt5VO0ohA6Th9HUuIw/5cuaeSYd+Bg0/T+fAP+bNnD9/D&#10;emjvOI7jOE5ryRXiUn93b/z4vLX6Yb3jOI7jOO3BEuKqm3UkWEIc/u4OYe0e1sN6x3Ecx3HaQ8uF&#10;uNqp7S7E9V0q01/FhTjH6WxciOsdtE2Iwz/Cy4Krhdcewl933RNv6of2nQxPRLMkHw1kLchVWhaC&#10;SATpTcpdFOhQfpnT3lh2SorSsA+54h3kP4hx8lQ7lAGZKiZLAcp0lsyVi5TqYn2kmAVyRCqrP/gZ&#10;11Kio5wjK16SGmPML+Mp8GEtIK3sC+Ba0WUAymwpCZBpUnONMUY6tglgzrB2U2uRbeW84J6QY4oy&#10;Y+OZmgNLrnQcp5hWCnG47kKc4ziO43QPuUKc9Xc3hbgNW85703pg7ziO4zhO6ykrxMX+7nYhznEc&#10;x3G6l6m/+lXdflxGiLNObRdC3P3Wg3mn97PHHntUn3FeddVVZrzjOJ3ByJEjq/cyPq14pzPYZZ9u&#10;lRCH17TowvEfBoi7rpcJca2QvPoKKSnM6Xy0EOc4zu7l7PNurNuH5V6cCviPgfp8Q7bVov4f66G9&#10;4ziO4zit5YRTtRD3w14sQ+p/RNvw8bSnrAf2juM4juO0nt9eN6luPwbVzToSYkIcgvWw3nEcx3Gc&#10;9qCFuH0GDHmqtiUXBkuIw/NxxH311Vez9UN5x3Ecx3G6l1336cGnVTfxZkOBEPeUfmjfyeAEskq3&#10;qpQ5ya2v4ePU+3EhznF6FlPOurpuH5Z7cSq4EOc4juM4u5dJJ9YLcfsMHLq2thXXhdTf3S7EOY7j&#10;OE73oYW42N7NkPq7+/vvtmyzHtg7juM4jtN6fn7aFLEft1SIu1I/lHccx3Ecp/v4aMvHao+u/q1e&#10;Pcm16YCCdOG9VYgDfM2jn3wWhyfppV7n6XQ2LsQ5Ts/CEuL26hq+B/biVNhnwNArZR75D/kzbxq7&#10;zXpw7ziO4zhO6zji2OF1+3cjQtzGLefdbz2w700sX3F6OHLi3uGv//r/rf4dgs9f/PJfzbTOeeGx&#10;pceFrgH/EIYN/5/hhVdONtM4Tm/ishlDdn43WPE9FdyjaDc+rfgi+J2I/svr+M5EmfgeuO/Bo+ri&#10;nOY5e/oRdftxsRAX/7vbhTjHcRzH6T4On3xC3R6+74Ahs2tbcmHACe11eau4EOc4juM4PYHVH6xR&#10;e3SbhTg+hL/22sfvtx7cdzKTJp1X/ccmiHFWfF9nxoz7dr4u9fTTrzLTOJ2PC3GO07M4Zcrldfsw&#10;wD5cFPBHv8wj/2HehTjHcRzHaT9aiNt34JA3a1txXbD+7t4pxH183mz9sL638U97/dfq3x8aK61z&#10;Xph2/sCdY4SfrTSO05uQa96K76lAWEOb8WnFFxG7zyHBMa7Rsp04WoiL7d0MKSHuP7/f8qb1wN5x&#10;HMdxnNYzfPxRYv+u0KQQt3fXoP6I+/LLL6dbD+cdx3Ecx+keLCGO4nrTAe9e1YVTiLvuusdnWw/u&#10;O52//dv/seMfnKbNNOP7MhQGXZTq3eD0P8yznwLoOD2DVglx8h/yZ9489k3rwb3jOI7jOK1j9FHq&#10;hLjIK1tS/yPaxl4uxM1dOLb6twfgKUg4/QjXdVpnBxwznB5lnQ7V7KlUfYHYyVtOz8SFuHohDidD&#10;+hpuH6ecNaFuPy563Vrqf0RzIc5xHMdxug8txEFar23JhQHym8wLXIhzHMdxnJ7BsreW1+3Rcp9u&#10;OlhCXC2q1wpxjuM4jtOTmHzyxXX7sPwH9lRwIc5xHMdxdi/Dxw0T+3D8oXrq7+5NW8670npg31ug&#10;6NJpr0LsyTQr4fQFMD5Ai0ZOz8SFOF+n3UmzQpz8u9uFOMdxHMfpPg742SixHzcvxOHUOMR9+eWX&#10;p1kP5x3HcRzH6R6efeGluj0adJMQt/RK68G94ziO4zitY8IxZ9btw7lCXOWP/vvr8ol/yHchznEc&#10;x3Haz65C3ND7a1txXejLQtwvfvmvTQkjzq64EFcMxge4aNQZuBDn67Q7OebkMXX7cWzvZtB/d9cJ&#10;cd99/JT1wN5xHMdxnNZTvx9X/y18em1LLgx47ZrO/5OuQXsi7ssvv5xoPZx3HMdxHKd7sIQ4iutN&#10;B/wHQ33hQ7bVolyIcxzHcZxuQAtx8h/YUyEpxN007inrwb3jOI7jOK1jyMh6IQ6nyNS24rqw69/d&#10;Pwhx67ecO916YN9bcHmr9fiYFoPxAS4adQYuxPk67U7GThpZtx/H9m6G1N/dLsQ5juM4Tvch9+Md&#10;DD6ttiUXBhfiHMdxHKfnsuTxpXV7tNynmw76H+blqTTXXPP4dOvBveM4juM4rWPUEafWbfL5QtyQ&#10;p2Q+F+Icx3Ecp3sZOOwQsX9jL7Zf2bKrEPfD/4jWW4U4vCK10r0ojy09bpe0uAYomeC6JYrMXTg2&#10;DPoP7ZgAAP/0SURBVBv+P+vq+Ke9/mv1NLoXXjl5l/RE1rN8xenVsv9uzx/trOvIiXvX5b/vwaOq&#10;9cg6ULcsMxfWhzJkebiGOJkW7WMaa5xiWGOF/qBf7CfAz7qvuVw2Y0hdXWifnAuWrftEUCfmCXMs&#10;+8N8sr8Sjgny4HfMA/uET/wuxy0G5pRlsi9oP37X841yrTHVNDLGum7Uw/HAupD52C7G4xO/y77k&#10;0KqxZ39le/B7bM5JKh/6z/ZYeWM0ux4536l5ZlmoS8dpIQ7rUN/j19146C75CNNZ9afqBegT4nK+&#10;U5x6Dh47QuzH8b2bISnE/eeW+60H9o7jOI7jtJZt2z6s27+re/LAoRNrW3JhQFqdnw/av/rqqxH6&#10;wbzjOI7jON3H3Q8sqtuj5T7ddMAf/bJgF+Icx3Ecp3vRQpz8B/ZU2FWI++FVLzfdPPZ+68F9ETdX&#10;uOVWMD7MnjMhzJ13RJh/2xFh4W1HhgUV5i88snLt8DBn7uFh1uwJ4dZZ481yHMdxHKcvkC/Exf/u&#10;Xr952mnWA/tOhzJHDCnf8BrkDp2PogmA5EGBJQbyxwQUprHqIbiuBR1NSp6xQHlSWtHo8iA6MU5K&#10;T0VjqsvBOKTyIC4mQcXguOAT46jLJBCRLCmnqA/AEr3kmKBfMj1AeyhupZBlsy9YY3y1rwWEKtkW&#10;SaNjLOtG+Tof22n1VaLLTdGqsY+VgzUeE7EgisXy4bq8r638MZpdjxTakF/HEZZhpWH+2DyS2Bpi&#10;vFV2Kq7oOyU1F04jQlz87+7vv/94tvXQ3nEcx3Gc1rJx07t1+/cOhoyobcmFwRLi9uoavgfivuol&#10;QtzUqVPDAQccEK666iozvi/wwgsv7PxvYvxspXHywDrCOO6xxx5mfLvB/GE9jxw5MixfvtxM4zhO&#10;72HOwjvq9mi5TzcdcCy8LNiFOMdxHMfpXoaNOb5uk5f/wJ4KOElO5pOvemlYiLtlXJg99/Bw2+1H&#10;hocenhyefOak8NIrvwyvvzmlyvMvnRKeeOqE8PCS48O9DxxTTXfzrXZZjuM4jtPb2X/wwWoPHzK9&#10;thXXhb4oxBEpjFjxAPESyCOQcCDfAKaTwok8DQ7ihxZ1LAmJcQSiCfICWTbLgVRCQQjlSQGljGxC&#10;UQflyhPmUCbq1cKLFJAsQSlnTKUcBtlIjoc8xQptKtMXtJX58Ily2CeUw3hgtQ/50GfkkfXK+UOZ&#10;Mg+QYwKQFnXhOsZXjxPT6bGVyLYCOd9YW1LSkuuQNDPGum4IW6gD9SOOa5tjgjHT6x15ZJlFtHLs&#10;OR56zlG+zo80LB+fHGOdl+j8KZhftr/MeuS9hHQ6jjC/lYb5iVwHeg1hner8jLPKTsXJelEu5xNj&#10;y3Vn1efsYMCw+tedx/ZuBhfiHMdxHGf3s2Llq3X79w7yhTi8XlXn721CXKUrO7Hi+wKPPfbYzjHA&#10;z1YaJ4+LLrpot64nWT9+ttI4jtN7sIS4yv3fmqCFOPmatmuu+f1p1oN7x3Ecx3Fax+DDjhb7cAUh&#10;tqVCSoibefO42daD+yJwKtxd9xwdFj92fHjxlVPDuyvPCus2/Sp8svXC8PHn08MH688Ny/8wNbzy&#10;2i/DU8+eFBYtPi4svP2ocPMtflKc4ziO0/eo24erDD6tthXXhdT/iLZ+y7SJ1gP73gLFDUtGIYgn&#10;MTFFSjmxNFJQssQcxgFLcIJgxHhIJZRMiGyDlT8GxwASnxWvkfVQHpLkjClFHHxa8VJSKiPOYOzZ&#10;NmuMgJSAKHHlIMvWcXJMgDUuEqaLrRVQ1Bc5RtZ6amaMZd1IY42j7LMV30pyxx5tleIf4Zq0JD1Z&#10;tjVvuMZxAjo+RdEcgtR6ZLtRjrwuYV4rDfODmAzI7xVrbFJlx+Ig/DHOundRJ9pS5juqryH34+qe&#10;XCDEpf7udiHOcRzHcboHS4jbu2tQ/9qWXBgsIa4W9f9s27atv/VwvtP453/+5+p/I+JELSu+GXb3&#10;aWEAdaMNqRPwXIhrHbtbiLvnnnuqdWPefS4dp/dz7U2z6vboyt/h2yrfAa0JLsQ5juM4zu5l4LDx&#10;Yh+usBuFuNvuPCo89cxJYfl7Z4RVa84NazedFzZ/+uuw/U+XhG1fXxI2fXJ++HD9tLD6w3PCH1ad&#10;Fd546/Tw5NMnhgcfnFR9pSpOmLPKbQUPLZoeVq9+LmzfviXIgN9x/bbbTzHzEcQz//fff1PLvSPg&#10;2qbN74Qnll5t5iVff721liNUf7bSaBrJo0HbdHhj2b1mWsnWretrqe2QO3aSd997tFruX775Y62U&#10;HQF9++STVYXtevHFObuMvw6NtEuOMwLqwJqRaTC/jQa2Bf2Tgf1FvOxX7lxjzBiQn9dzxokBZcgy&#10;c0B79ZhhTnPWleM4O7jmurH1+3cFvIalthXXhdTf3S7E/SB+xMQiAMGD6VJykEyn43g9JqZJuSZW&#10;B+NTAo2GQg6EmFTbiRSQLIGoaExRRyo/YTmpcdfkjJFsfxkpJ9VvGZcj8DFtap5y+hIb62bHWNZt&#10;CWZACp7tPu0rd+x5+ppG9kfH8cQyfOo4Il9Za8XHaHY9cn5S64R5rTTMn+qbbKMW8lJlx+L4HQeJ&#10;UF538qnfj4EtszOk/u7+v99vudJ6aJ/D999+FL7704bwl68+DH/+8sPK59rw3V82he+++chM7ziO&#10;4zh9mVdff1rs3TtwIa772N1yFGD9qdPCXIhrHT1hzh3H6Tv85spr6/Zo+T+TNx1S/zB/7bWPTbQe&#10;3DuO4ziO0zq0EIfXqtW24mTAfxDIfM0KcbfOHh8eXHRcWP7emWHrl5U/LP98afjo01+bfPrFheGz&#10;7ReF9ZvOC+/84czw3AunhAcePDbMqpRhld0s69a9XigHQeaJCW05+Rkge8VELB2sNBodrDQp0BYr&#10;QBqz0ktyA8YmNnYEopSW4GIBolVqLnJDTruAltQYUJdMB8ms0fD/s/enwVpV5743/H48tatObVO1&#10;q956zoe9zT5V5619nqd2kvJoznl2kMadIBgEpRM1igbsg2iwQ4nYxUgacNsFFRagKCqIin3fBLvY&#10;BTsUEBAQsFuAveSc8d7/m/Un132ta4w55t2s9hpVv1przdFfY9xrupg/x0RdtKHHL/vQ8Skau15b&#10;7D3mlYlTzl7QSBFPJh0zx3Hi/GHOuJr7N3AhrjMxoUiCfJCSUnLaARCH2J4WjYr6keKKlQ+K2rCQ&#10;JzpBnIlJRSQlJ4GiWMj6ORTFVJITI8AyZeKUmndRTDQsm+o/Zy4so2PUaIxz40iZDKBOmRP3ytBo&#10;7GUZncfrja6FRW49ltFj4GcpNbZYXcD6qc9QKn6ptmN53BOpPp04q9edK+7Fe4jdu5laI8RtDV+2&#10;rw07PlgVPt34cvj4vRfDJ++/HHZtfyt8vWtD2P3tVqOO4ziO4/RfLCFu/4HDv99xSy5MLsQ1hgtx&#10;/Q8X4hzH6UpmXHpFzT3ahTjHcRzH6UM0S4iT9W64Yfxs6+F9jAWLjgp33DkxPP70qeHd984LX//1&#10;ivD1/74ifNR+cfVVqR98eGHY+tGF1Ven4tquL38dvvj2N2Hz9l+Fd9aeG154aWpYcd/kMH/+kWb7&#10;jRATd6xkiUFl6jNB6LKkOJ10voVOVpkUOJEtlvQJaJoyCfJZTARMjSGWYjJbGdELKTUuEltjCGqy&#10;HMZTb+IYUkKcPskPPzPPQscVPzOvTJzKnhCXioMLcY6TjyXEVf6eHtVxK65Jqb+7399y3ijroX1f&#10;IUcYQT7IkVKs1xJK6pVPAK6zjJUPitqIgZOpWBfgdCecimUJTqk5gKKY6r6KyH2VK8iJEWAZK06Y&#10;M/rkPCz0vItiomHZ1DrlzIVldKwbjXFuHHHqmZTiAMZS5uQ9SatiL8voPF5vdC0scuuxjB4D45Aa&#10;W6wuYH29PySp+KXajuXxepnPrfM3Xnn9LHEv3ntPNu/dTM0Q4iC4ffPl5vDFp2vCx++/Era++VTY&#10;+OIDYe2Ty8LqR5eEtx9eHN6ufF33zF1h82uPhk83vxa+/mxD2P31FrM9x3Ecx+lvPP7U/eLevYcf&#10;Dhy6b8ctuTDhFem6fkcWhLjvWw/nnb/hQlz/w4U4x3G6Ei3EyX87bzjtP3j48ljjLsQ5juM4Tuv5&#10;0dDDxH0YYtuwmR234mRqlhCH15zevnRieOypk8MrfzkzrNs4vSq9fbLzkqoEBxlOgxPiPt5xcdj0&#10;wYyqEPfiy1PDfQ+eEOYvaK4Qh9dm6oRTtCD0sAxOB4MIh6SFOEsqgjwk6+N7S6iyZCaddL6FTlaZ&#10;FJwbkn7FJeJj1SEy6dggbpDNZJJCFrFOVUNb8tWaEPMQa92e9dpQvSZSwIJ0hjHodlLzRB1ZXsdI&#10;rnUMnawyJDV+9CWTFvI0+pW2UvxL9dMock/pvd/Mfhynr3P5rLE19+89uBCnyRFGkA9ypJTeKsQB&#10;ykiQ4dgOvtfjTM0BFMVUnpJn1W+EnBgBltFxwvyZl6JsTDQsm1qnnLmwjI51ozHOjSOBAMd1J2Ve&#10;dQtaGXtZRufxeqNrYZFbj2X0GBjT1NhidUHRZxGk4pdqO5aXquMU8/TzZ4p78d57clKI03931yPE&#10;ff3l+2Hn9jfD+y8/FF686Q/hkSt+GR64+BfhwYunhPtnnhLuu7DCjJPC/ZWvT8yZHt68f1HY9vaf&#10;wmcfvRO+/calOMdxHMe5+/5l4t69Bxfiahk9enT1vxPxNZY3Z86c6s/z588PP/jBD/b+tyW+X7p0&#10;abRejIMOOqhTHYB+kKfL4vqGDRvMOhYrV66sacNCim9aiENfkyZNCvvss0/1Gr7i56IxIB9CmIwR&#10;6iIe9Yh2aI8x+e53v9upTSv2hGNHLDgu2QbqI8+qCzBezFmvB+Y2bdq0aCwsIU6uR2rMq1at2ltO&#10;jg3XMRY5fowL+1HWB7Iva36YF+Yu17be9XEcp/s547wLa+7RLRXiKv9R8ERHlgtxjuM4jtMFyPvw&#10;Hg6e2nErTqZmCnH33Ddpjwy34fyq5IZT4XAa3B4BDq9J3XNCHF+Zuv2TmVUpbvO2GWHd+9PDqjen&#10;hYceOTG0LTzK7KMetOiElJJ1IE3JV05a9S3hi1jynRSUgE4yL4ZOVpkYEM1kgnCl5S+rHpFJC3FA&#10;z9mKr5SnkFKnkWkhDEmKcyBH9NInp6XWXZZFbPQYik5pAzpZZUjR+HNfm4q9JZPcuyAnTvUgXy+L&#10;/aOFx2b14zj9AUuI22/g0EEdt+KalPof0VyIyxM8cl8TKEUlffpaUT+4zjJWPihqIxcIThTj8BUn&#10;gTGvSEAqimlR/UbIiRFgGRknOS6MXb86NjXusnNi2dQ65cyFZXSsy45HkxtHDfY0RDjWTc1PIsfb&#10;itjLMjqP1xtdC4vceiyjx8DPUmpssbqA9fX+kKTil2o7lvdP+36nej3VpxPHEuJi926m1N/du7/Z&#10;OtN6aK/5/ON3wgevPxFeXvIfYekvxodF4waGm8YODPPHDNjLwsrPi8cPCjcfc3B4/A/nhXceuS18&#10;/N6fw7dfbzbbdBzHcZz+xOLbF9Xcv8H3Bo7cp+OWXJg6C3HD2juy+owQR+EJX2N5EKC0GCXRYhIE&#10;I6sc0X1BXJISmQVkKEtwspBSVAwpQOF7XoeARllKgzHGRDD0KYUtC0vgSlEURxA7+Y75mE9sXJin&#10;FdOc+KGuFYvYCXGMKeYkr0uwz1iXbWMssfUAWmSTa6nzEH9ZVyPLOo7TO9BCnHTWGk4pIe6aax4d&#10;pR/aO47jOI7TPGbPua/mJl+9Fw8ZPrHjVpxMTRPi5k0IDz5yYvVkuB2fXxo+aqcIR34Vtn184d5X&#10;p+LnrR/N3PszXpv67nvTwxNPnRoWLGzeCXFaiio6bUujZS9LCNNomUmfTKaTzIuhk1UmhpwD569P&#10;9Eq9NlUma/5FMpSWyyCcaUlQo8dXj+hVRtKSp6xR1pPrmLNvdLLKkKLx69em6j1EpJiGpGXNnDjV&#10;g4wN4pwTa+wxipg5gqHj9BdmXjqm5v5dvRcPHP79jltxTXIhLi1vIB+kpBRKQJDHrHzCcpBGdF5R&#10;P7jOMlY+KGqjDJCS2J4UZVICDSiKKaQp1m/2axVljKTEJ5HzkuIVTyiLrWFq3kUx0bBsap1y1ptl&#10;dKwbjXFO3ylyBVHS6tjLMjovR+CSp9dZ+TEa2Y+g6LOENlnX2kusj/XQeUTOTY8x1XYsL/d3oWPz&#10;wONTxL14D10hxH209oXw6rK51VPhFh3943DbhMFVbjliUFWCA0sqPy896qAw7/AB4e5zfx5euml2&#10;eP/VR8I3X7gQ5ziO4ziWENdxO85KLsTVSnCQmXBaF/IgG0mJjdclMTlKAvGJ7UB8kqfBoU3ZBsSu&#10;mJAWg3Vj4hiQEhXAOCivoT85BpxUpuujDKUzzEWeggahS4ptWtJKgXpYA4xFxlfH3ooJ8wjmwHJo&#10;j5IZxq3rUkKDoCbHq2OBfFkPyHx53ZLdNIyhjDFjh/lKeQ8xRmx0POVa6jzOGe0znhgL4mHFwXGc&#10;ns/kKdPEPbrWWWs4uRDnOI7jON3HFbM6H/fe1ULcjfMmhIcfPTms2zA97PgCQtzFVdEN0ltVeNt2&#10;YXj/gxlh05YLqifCUYijFPfprkvDxi0zwtMrTwsLFjXvhDj9OsmYWBRDn2yWOh2OaAlJn4amk8yL&#10;oZNVJoZ8/SdFJC1SpUQpmSwhTstbRae5pU6HI1qw0kKabtMavy4TW3t9yhrHr+eFMem6Ep2sMqRo&#10;/FoijJ3ip8VBLRrmxKkssk3uhxwhTpbJEUsdp7/QiBAn/+52IS5PXsKJaiyHU+CsMg89NinZVioP&#10;4DrLWPmgqI0yxESjIgGJQkxKwqEwpU+faxQZI/Rhtc01132nZEWQeg1pUUw06BtlU7JaznqzjLV/&#10;G4lxTt8pcj5XklbHXpbReXjNMfPwGdX58rNt1U/RyH4EHJuVh5/l2NGXzAdsG1ivc0Yb3IvWWqXa&#10;juXl/C7EWGJ5/R1LiIvdu5maIcStf+G+8PDlZ4Rbfv7T0DZ2UGgbMyC0jcbJcAd2MCAsGHtgwMlx&#10;beMHhztOHRce+93ZYe1Ty8I3n79vtun0XL7znb+vfkavvXaWmd9KWt33uHEjq+3jq5Xv9B6wR7CW&#10;2DM675WXHws/+cng6jq/++4LnfKdfBBLxBnge6uMk0eLhbh9rYfzvY1cIc4SwaR8RIFMEpOjJLKM&#10;FpgIJDmWsfpJwXrox8oHch6QpqR4RRgLS5zi+JAXk71YP3VCWhlS4hdgHihaG0tmTJHaM7E1R0x5&#10;HfGSeTpfCoXWtRSxuMjrsTVyHKf3ceSkU8Q9uvp39/LK57w5yYU4x3Ecx+k+LCGu8gf5qI5bcTLh&#10;D3dZT/7D/Ny542daD+8t8MrUFfdPDq+9/suw/v0LwqZtM6qvRP14x8VV4Q2y25r3zgvvrDs3bNh8&#10;flWIw+tU8QpVfP3y28vD5m2/CiufnxIWNlGI0687hWhklYtRT30tB2n5RyeZF0Mnq4yFfl2qlNXk&#10;3FInoMmk5wJBULZjiVv1Sok6ybyU6AUpTOdjjLFT8PQpgpTKsNYyFYl8OlllSGr8RJ7ChmSNX8Ze&#10;n6IHcvopA2Ij++SYcoQ4PyHOcWzOv3C0uHfv4YcDh+7bcSuuSS7ENS7EAQpILMtXokI6ka8ghfSj&#10;5RZQ1A+us4yVD4rasMC4IGZJGQjfS6FKli8SkOQ4MW9cQ3uyrDwVC/FAORkTlMWY0LclKcWQfQPM&#10;gf1iPVICkZSukMfxoH8KW0TPGz/H8iykBMX5ISbcM0DOhdc0LGPt30ZinNs3+pXt4quMY6701OrY&#10;yzI6T56mp/eLjAPR9VPo+mX2I5BriLrcH2iDn89Ufe4zgliyDcRWtmHFjnlW27E8rB32G/Kwt7C2&#10;XE/0wTFZbTrnh2X3nlpz3waxezdTo0LcV7veC289cFNYdvqE0Ab5DSJcB/MEkOKQ3zZucLj52IPD&#10;Pef8PLx+X1v4cud7ZrutYPu2t6uSDEQYilXgv/7zvuGkEyeGFfcsNus5tTBul18+w8xvJa3uG3sD&#10;7eOrle/0HrBHuF9Sed2xj/sSTz15995Y4nurjJPH3Plza+7fUmjLSbh/x+r3JyEOp3PpPIJ8YAln&#10;MTlKwlPBUn0AlrPGmYL95wpxMfEqNRee1pbqg/Uh3Fn59cDxWP0yzzrFDcTEsRxSsciJk7XWPEFO&#10;x4enuuWKhLF5FQl5juP0TrQQd8DgYW2Vz3lzEv4hXjbuQpzjOI7jdB2XXHZr7U2+Sr1C3LCZHVml&#10;hDiwbPlx4ZnnfhFef3ta2LDp/PDhpxeFT3ddUpXe3t9yQVi99tzw9rvnhPfev6AqxCGfJ8R99tWv&#10;w6atM8KfnpsSFt3UPCFOJ6tMCp2sMpqeJMTJU84gI8k8LarFZL/chHnqE8oArsuE+OgyFjrJPC16&#10;FaXUyX7yBD0tlUn5S8dPo5NVhuSIavqEOi0SFr0uFeTGKefUPiBPpJNSW44Q5ziOzbTpLsTlQDnD&#10;EooI8kGRwKEFEwuIIlo+IiwT6wfXWcbKB0VtWLBODP0aR0gtzLMkGgg3EGFkG0CPCSKVLmNBgScH&#10;GSMpG2ms9Ya0k1q/lDxUFBONFJ0ksm7OerNMbP/WG+MyfcdAvKx6Fq2OvSxj5afihL6lsGfVj9HI&#10;fiSpehAa+TsMfem6zEO5VHyRr+sC5lttp/LwO876HUAwFkpyTi2Lbj+55r4NioS41P+IlhLiKnnh&#10;yx1rw/Y1z4U/3zQ73DLp0HATToAbc2CNCLdXiANj8D3yfxRuO+nw8PJtV4cv29ea7TcbiHBSgosB&#10;Oc5POUrDWPUmIS51WpjEhbi+Q0qIg/zK/eASV2O4ENc8fn/VnJr7N4T1SlyzkxbiZP3+JMSlJDSW&#10;saSslBxFmG/Vl/DVmWWFspz2c+QwWUbn8Xouun69sD1rbqk8wjKxOcdIrWsqT570p0+lo/CoBT75&#10;qlXsAev0PklqLSnkAYyz7Ml4juP0PEYccWztfV783d1w6izE/e34uWtciHMcx3GclmIJcfsNHDqo&#10;41acTM0U4m5dcmx44KETwosvnx7e2zg97PzisrDry8uqQhxkt/Wbzq+CV6fyhDjIcPh+S4W166eH&#10;p55p7itTdbLKpNDJKqPpSUKcPGVMS0/6ZLTYqV25CX1ZIlR3CnEQ3GKiH9An6GmpTL+SVL8OVqKT&#10;VYbo8Vtxw7hl0qfv6bFZMmJunPQetZDjgRwo+3MhznHqxxLivjdw5D4dt+KalBLiNm09f5D10L6v&#10;QNkEJydZ+YBiR85pV5A8UI4iCsHP8qQki6J+KOWgnJUPyoyVQBZCHHiqE8D3uGbJe7jGcjG5D9fl&#10;yV4QYLRYByBi6b4xB8QLkk4ZGQ5IAQk/o08pAuF7yE+6HsH6oA05HlmH8dXzzomJRo8Nc5bzzVlv&#10;lknt33pinNN30V636qRoZexZJjUffA7knsU4MB6MCzEqqm/R6H4kOi4YJ+U/jtmKOfPYh9WO9bkk&#10;jLnVdioPWPsO80X51O/B/o4lxMXu3Uypv7tTQty3X28O7Zv/Etb96a7w1JUzws3HHBwWjx9UfTWq&#10;JcQRiHE3jx8YFh394/DcDZeHTze/ZrbfTHD6W2U6e8HPi2/+Y1XeAPhelimSpvo7jFNvEuJScpTE&#10;hbi+Q+6aO43hQlzzuOjyy2ru3y7EdaY7hTgpLxW9CrWorRisY42PpCQqq4y8DqmK13MoOglPg9d7&#10;QiRDnHlamsaaWyqPsExqznhVrhTJNLpOap0wF+bJccnT2yzhDWNgPoA8h5hYrz5NrSXK67kgrmVf&#10;w+s4Ts/BhTjHcRzH6aPMmNlWc5MH3SHELbzpqLD0zuPC40+eEt585+ywZfue16Zu2f6r6klwe7gw&#10;fPDhHiDE4ZS4TVt/FdZtOC+8uuqXlT9MTgxtC440268HnawyKXSyymh6ihCnhSotc0Fokin22tSy&#10;SYt33SnEQSKzRDGCU9dk0mX1KWx6bhKdrDIkR4gD+rWpcnwyz3pdKsiNU2peRK6jHq8LcY5TP1Om&#10;HVZz/wYdt+FOqfPf3f1HiHP6FlpAcpzuxPejU5br2ibX3LdBZf8kU71C3NdfvB+2vbMyvHHfwvDw&#10;5WeERUf9OFuIWzxuUGirlH389+eEjX9+MOza/mb49svNZj+Nct65p+/9HO233/fCu+++YJYDeKUq&#10;xTgr39kD4+lCnNOTcSGua3AhrnloIa5yf361Etfs5EKcC3FWGXldylypPuoBMYlJcBKr31QeYRlL&#10;HOO6FiHrgaJ14kl/kNp4jafAyWsajFGLcZDb9ClvOWuJuOr55b6S1XGcnsWQEWPEPb7qrLkQ5ziO&#10;4zh9AUuI23/g8O933IqTqZlC3I3z9khxd941MTz+5Mnhlb+cEdZtnB4+ar8ofLX7N2HXl78O7Z9f&#10;Wn2N6ic7LwlffvubsDvMqp4e98pffhkefuykcNsdx4Yb508w268HnXAimFUuhk459bVE1V1CXOp1&#10;qUS/NtWS1WTSc0E8IJXJV4siyXa0EJd6fSnRsh6SzI8JZRiPnpMesyT1ulSiX5saE+x0ssqQ2Pg1&#10;+rWpjF2R7Ehy+ylC9meJky7EOU79uBDn9EdcQHJ6Er4fnbJ0qRD35aawZdUT4ZU7/hgeuPgXYdHP&#10;fpJ8Zerf+FG13Pyxg8J9M04Kq+6+MWx986nw1c51Zj+NgFefVqZRBTIchDernCYlzTkuxDm9Axfi&#10;ugYX4prHtAsuqLl/uxDXmZT0lsojLGOJV0VyVOzEMAtLpMohp/0ciUqW0Xm8XjSHMiA2lOEwZ0hc&#10;+kS0VL85Y2IZPWfUYR4kNH1qm8yX14vywNKlS/fms13MDz/j1DddXoMYyD703sxZSwKZjvsKpGLl&#10;OE7PRN6jq/dp8Xd3wyn1D/PXuBDnOI7jOC3lnPP/WHOTBz8cOHTfjltxMjVTiCNt8yeEW5YcE+69&#10;f1J45bUzwuZtv6oKcRDhcCocT4b7/OvLwzf/+4qqNPfI4yeHmxYfHW64sXkyHJDCE1KOjCXR9VOv&#10;zCRaYtJykE4yL4ZOVhmNltRyknVSmEwxuUy/flW2o+MRezWrpEgqTIleENb0yWqW6KelstwU20M6&#10;WWVIavwSPUZKezmyI8jtpwjdTm6CLGm15zjO3zhpihbihrV33IY7JfyPZ7Ks/Lv7/S3njbIe2jtO&#10;T8QFJKcn4fvRKcvvrjle3LfT926mzn93/+3/VE8Jcd98tTl8tPaF8PYjt4ZHf3t2uOlnQ8NNOPlt&#10;dMEJcWMG7BHixhwY7j77uPDCgt+F9c/fF75oX2v20wjyNaiQ46wyuVx77axqO+PGjaz+DNkGr1bF&#10;NevkOch3OJ0OeRwDyqM+XtEqy0rYT0rIQhtyLBI9TggqLA/+6z/vmyWTYYxy7Ph+xT2Lq3m8lmqH&#10;/TJGbAN1isTERvuWyLlb6DhrIQ79xsaSAnNgWwQ/p9aeYK9i72KtWBff41pKOGKsUR+wf1xnvFgG&#10;e1PXl7Bv7CcrPwbmp/cbxp2STBFPa69gjEVyKvLRPuviK37GHsOc2Z6uJ2VZ/buBeWgLP6f6kPUk&#10;/PzLNbQoE1/GVu5HgHVOtcP1YJnU5ysG4ynng3YRKxfimocW4uTf1DlJC3HyvwFciKstY8lERXIU&#10;oPRVdEIXy0HQsvJjsP+U7JQjUckyOo9CV9nXoaawxDEN8625pfIIy+g587WisTVJrWuZNcfJcDKu&#10;+rS3FDxVTveTs5Yazje1zx3H6ZnU3qPBwVMrn+fmpNQ/zF/jQpzjOI7jtJQzzr5S3OD30J1CHMBp&#10;cbcsOTY88vhJ4S9vTAvvrDsnrHnvvLBmfYXK19Vrzw2r15wT3nhrWlj5/JSwbPnxTZfhgJaxUqeF&#10;WUDskinn1ZJaxoLUJPN1knkxdLLKSLRQlpssuUqmWPz0CWGynJblrBPGNDruWqwqEr10n9a49d7I&#10;TbGT5HSyypAyopreT1r4S+3JMv2k0O3kpnr7c5z+xPEn1wpx8v8w18mFOKev4AKS05Pw/eiURQtx&#10;qXs3E8rU1MkU4r79Zkv4YsfasH31s1WpbfGxw8Mt4weHBWMGdpLgJBTi5o05MCz/5THh2et/Hdb9&#10;aXnY9eFqs59GqEyhCuWmRqBcg7Ygw7BtIkUQyCWUZ2KgHUuokf3oPIK8WBlZX74uVoM56LqE7VvI&#10;uaMvq36qXwABJyYTNdq3RspZFjqG7B9frXUmMbEN80rNAaRiz/VLEZPZmA/xSe8/zpPxoOxlgf3L&#10;ejnyH0nFC/1p8QyxKlof1IvFOvU5w3XZtq6bkrhkHvqO9RHbxxDoYnU0uUIcyln1JXovE+5H7JvU&#10;3ozFGfNJiX1y3V2Ia4wTp55Rew93Ia4TKektlUdYxhKvcOIX8oA+3YzI12DGxC/ZTq7kRKR8ZeWD&#10;HIlKltF5Us4qO74Ycs6WKFb0qtZUHmEZPeYi+VCeqqbzcoQ4xgv9cP3LyoSxfnLWUpOzzx3H6Xl8&#10;sHWbuD/vofJ3+MTK57k5yYU4x3Ecx+k+mivE/e0f5m+4Yfxs6+F9LvPmTwi33XZsuO+BE8ITT50a&#10;nnthSnjx5anhxZemhj89NyU8+vjJ4a67jw+33HpMmN/WfBkO6BO2kFKnxCEPp8LxZy16IWnBTaJF&#10;Lkv+0knnW+hklZHocZRJ+hQ8mWJCnBbQ5ClwELj0aXWpk8N0W0j6VbU5opfuU7ehRbMyyXptqk46&#10;X5IzfqLFPf1z6tTCMv2ksD4HOclPiHOcYlyIc/ojl88aVv0H5r//+/9k5jtOV+L70SnLxb+dmH3v&#10;ZqpXiCOff/xueO3OG8KSyaPC4vGDwsKiV6YePiAsGjswzB99YLj7nOPCnxf9Iax/7t7w+Sfvmu3X&#10;i5RacqWTFFpUgiACgQT9II8nWUH6oQyDMlIoQp6UdPA98wj7icktgFKLVUaPE9IOJRWMUfZvCTCy&#10;PkQXCj9oQ54qBVBW15fijowL2pFyUdHY6+k7hWzbyidaGEK8OAc9Dl6XML6YJ+bLOaCsHIM1fpRn&#10;PsYhBTLsI9m3taeZRxBDjBntcq1zZDcKTti/Vr6FXjvGBl8ZE73f2Q+ArMU6eq8AS6ZjPr5yj+O6&#10;HAuRdQHKM491rTzAtUSebh9zkHUB9xDqyRjLOVnrnwLrjfXAVxkLGV9grWmje1rWl/tOrxHQsXTK&#10;0VmIG768EtfshP+RXNZXQtz3rQf0vY2UDJQjCrGMJV5JOYlyFeQunH7GMviZAha+yleDIk+KT0Wn&#10;yFlwfGibwh36l5JZjkQly+g8PQeMWbaPfiG44SS5nNeCAim8Yd5sT8cEWLFP5RGW0XOm8Mb14HXE&#10;jaepEVkPyLHpPCLnRmQ/BONizGQ8MQ7GW++J2FpiXNgLcn/hqxQPc9fGcZyeQbcKcVdf/dBE6+G9&#10;4ziO4zjNwRLivjdw5D4dt+JkSv3DfKNCHGhrOzIsvuVnYemdE8O9900KDzx8YrjvoRPCPfdODrff&#10;MTG0LTjSrNdMcKKXThDGpNgG4UeWk/UhgckE0QpikRSs0JbVj/WqTp10voVOVhmJlMFiEhuBtCST&#10;PnFMJt0WxDAIbFo+05KWFrOQ9BognlY5S+LS5awylkjGPPQrk1VfotfWkip10vmSnPETPVYZa3xv&#10;1SFl+mkELcy1qh/H6Ysc/fORNffvMkLcAUOGvdqR5UKc4ziO43QR58w8WtyL0/dupkaFuG+/2hRW&#10;P3xLWPqLI8LCsQdWhbgFla9tETEOIhxOksPXBy48Lbz94M3h47XPha8+W2+2Xy+QNSpTqNIMSUNK&#10;MJBAKDpppAwTKyMFFi2gsB+0I69L2IdVRo4TooseA36mxKJlHplntY18KTFZUg/rW8IWkLKRFHua&#10;0XcKGRcrnzC2wJKd5PgpSRHMh3la4CIcB+YqrxfNn2V4Upclq7FvkIoP+9GCms6PnUSnwbjYb6xN&#10;7AcZTxnH2FhlPPVayPW0Pt+4xnkAKz9WX+ahDWstuU/0OshY6P0BEAe2q/PqRe4dK5aN7GmZZ7WN&#10;319SqNOxdMpx1OSTau7hBwwe1laJa3ZyIa4xIQ5ogcpqTwpOMVAndspcCrRttSdlqZhEJZFlrHxI&#10;XkVzAJb4FUOenqdBX3xVa7OFuKK5yDWV9UCOEAf0vrDWVsbcAmOUopyuI+clx2VR9oQ6x3G6nzVr&#10;14n78x5ciHMcx3GcPsJpZ1xRc5MHHbfhwtRqIQ6vQcXpb/MXHBkW3XRUWLT4Z9WvCxYd1bJT4TSQ&#10;tnDqW27Sp7pB1NLCV06ypCmQm2T93IQ6QKaiU7owP5kwV3kCWtkUE/DKrAGTlvNIjuiVmpc+QQ/S&#10;ma4v0TG15qiTzpeUFdVip9nF4kN0P6kUexVsDjlCnPwcSTnRcfo7WoiTkptO+Mf6WFkX4hzHcRyn&#10;a9BCXOrezdSoEAfWPbM8PHDhyeGmY4aG+WMHVmW4IiGubdzg8OTs88OW1x4LX366Jnz71Raz7Xop&#10;EmYoplhA8NDlZXsx2QlyCMukZCJZTksm7CcmRQEKLlYZOU6IMjofxOrnnB4mhR89dllfXtewjJTm&#10;Gu27CBkXK58wNtYeILExYM1x3VoXIgUjuY+kwBmbP0iJnrwek9IIxwn0HpHrENvnGjmm3DpSbozt&#10;UyDLyeuUsFLrJOep8+Q66DjKvNhaxPZTql2dr/MaIfaZlnmN7GkQWye5Z6w5O/m4EFcMTwOzTl9L&#10;5RGWiZ2uBdEJYhcFK0hclqQFsQmv0pSiFOqg/TISmYU+2QxynRSp5Ill+F7W1WUwJisfYK6Ym5a9&#10;0B9ioMWzHDB32R7jh75SsWe8U6eesYw1Z8RHrhtAf5hDKhY8cS0VJ8BybNcqAzB/5MtxIB7YK5ZE&#10;F1tLlEWfFDgJfk7FyHGcnoslxFXu06Mqn+3mpNT/qe5CnOM4juO0lp4sxPUUIELpk96sBGHHkqNw&#10;LVfoQhup11jmJikV5SbU0aeZQUSS/VvoudUj4yGhbynTSXDdOkUvllKSmBa9YmX1mnNeFLOQrNfa&#10;ajB2nXRcdZJ5mtzxE33aHVNqnwHdTyrFRMYccoQ4WaaRvhynrzH2GBfiHMdxHKc3cdrZR4p7ce39&#10;OJb0393yAXyuELd99Z/CSzfPCQ9cfFq44+TRYcERQ8L80QP2nBhXYcGYPa9JvWncwOr3Nx4+INx+&#10;0pjw55v+ED59/9Ww+5sPzHYbQQpvlqSREuKALp8jVBXJMBKe6KTlJfaTkqpS8kvOOGN95NQFLIPy&#10;8rqsn4Os32jfReS2n4otYRk9Bl7PRe6R3PFBOGM5KRQCXi+KjWxDnwhGAS0lT2lS4lmMnDgD+TmV&#10;sh2vpeaaimnqs5rzOZZl5HUpu1oyHcfUzBPiQCqeObFmGR3PnLo58XLyGDnhGHH/rv138JzUH4Q4&#10;x+kO5EluEBatMo7jOCleeW2VuD/vvU83T4hL/cO8C3GO4ziO01omn3qJuAdX78N7/xgvSql/mO9L&#10;QhyBlINTtbQABkEHslRM5iIQkKz6kKoge+W0kSuFSSmtTB0pgaGe7DsG6skkT5Ur6huxQEwQW9lm&#10;DMiFELy0rAZJDdfQd5HEh3WQKSaG6XJoG+sjhbiiE/RI0aly8hS3IuErd/wE8dCnxCHuVlkJ1kTO&#10;NZVy94oFYiH7sebjJ8Q5jo0W4uRp6zql/u7euHX6ROuhveM4juM4zUULcal7NxPu2bKO/Lv7f+/e&#10;Ott6aK/5/OPV4YM3ngyr7rkxPHL5mWHJCYeFBWMHh5vHD6wwKCwae2BYXPm6ZMLg0DZmQFg8aWR4&#10;8NLTw9sP3xK+3LnObLNRpKShxaEYKYEmlUdkGf0qVE1MNGEbKQElJamUGWes71RdwDIoL6/L07xy&#10;kMJQo30Xkdt+KraEZfQY+DrTHCBEyT3CNq1XoWrYhu4/dt2CJ6zpeVLUzP3MAI69jETHsVqv8JTE&#10;ZCteS801teYpiSuVZ5XReYwHYin3OORDxrdo3jHQBiTa2F7T6wk4HiuPsIyOZ07dnHg5eTRfiPvb&#10;/5TuQpzj1A9fB4sT76x8x3GcIiwhbr+BQwftuUs3IbkQ5ziO4zjdRyNCXOof5ufecESb9fDecRzH&#10;cZzm4EKc4ziO4/QuukuI+/arzeGL9rXhgzefCq/ecV147Ldnh7vPPq56Wtwtx48INx97cFh09E/C&#10;zccMDXecNq4qzb1829Vh818eD7u/bu6rUok8qanoFZIkJdCk8ogs0x+FOMQ5p75Fo30Xkdt+KraE&#10;ZfQYKDul6sZgm10lxMmT17hX5asvi/avJCdmGvbTF4U4GVsLiIOp18Ra4HS8HOHSWoOc9WEZHc+c&#10;ujnxcvI46NAx6h5eTog7YMjBU2V90JHlQpzj1Alex1r5CFXBq0+tMo7jOEU8vfK5mvsz6DIh7qqr&#10;Hp5qPbx3HMdxHKc5HHvCDHEPrvwxP2T4+o7bcGFyIc5xHMdxuo+RR4yovYcPHr684zbcKem/u+X9&#10;3oU4x3Ecx+kajjt1XPa9m6kZQhyA2Pb5x++Gj9Y+Hza+eH946+FbwstLrg7PXHNReOjyM8JDvz49&#10;PPUfM8JLt1wZ1jy5LGx/Z2X47ON3zLaaBU/BAjmCT0qgSeURKRQViSGxk6LYT468YpXJGWesj5y6&#10;gGVQXl7PrW/RaN9F5Lafii1hGT2GnLoxcl87mnrdKa/nxAZCFsvzNDie8JcrkBLWA1a+ReyEOo0l&#10;7gFeS801teYpiStH8JJl5HWMEZ9tgLHL30H4HmMqK8MB7i20izb077PU3kvlEZbR8cypmxMvJ4/O&#10;QtywmZW4ZqcCIW6Q9YDecZw0F1988d7fcZDjrDKO4zhFWELc/gOHf796k25GgkVf07j4h3kX4hzH&#10;cRyntTRTiJP/mO9CnOM4juO0lmGj84W41N/dLsQ5juM4TtfQDCFO1tm9e1ub9dC+iG+/+SB8/sm7&#10;4aP3Xgxrn14eXl02N7y2/Pqw7pnlYdvqZ8Kuj1eb9ZoNhKHKNKrknMqUEmhSeUTKSpSMLFJSU04/&#10;KZkopz7L6PoyXjGxRYpUaEfmyfryVZE5NNp3ETlxATkCEMvoMUgxrKz0JMUv7A+rDIgJYoDXc2PD&#10;E/342aCkqfdkEbljl7Bv9GnlE5bTJ+fxtLTUOqUkw5TElcqzysjrjEVqXGWR+z72eyW1b1N5hGVS&#10;e1pel5QRgZ008l68537cuBD3vYEj90GeC3GOUx8/+MEPqr/fRo8ebeY7juPk0OVCXOWP/L2vanMh&#10;znEcx3Fay5HHnSXuwbUPyIsSXu9SU9eFOMdxHMfpMrQQJ0+M0Sn1d/fGLdOnWg/tHcdxHMdpLuOP&#10;Hy3uxRUS926m1N/d9Qpx5Mud68Mn778Stqx6PHzw+pPhk42vhC8+XRN2f7u1tqz+uYlQ9AAQf1In&#10;xaWkqVyhiqIOvsakKCkD6TJFYpiUjyzBJWecLKPrIzasa50ShrFSxgNanpHiTkq+sWi07yJk3GLr&#10;ArhfUuNnGT0GKQaVHV/R/AHGnRLByvYtxyvlsVR8LHLGjn0t8+Q+j0leUhzVc5KiliXhyfaBzk9J&#10;b6k8q4y8zn2Gz3asbllSAi0o2heN7OmidcLYKFKCZs25vyLvxXs4eGolrtlp/yHDJ+o2XIhzHMdx&#10;nO7ngUceq7k/gx8OHLpv9QbejASLvrYDF+Icx3Ecp6vQQhz+7/OO23Bh6vwP88Oe6Mj6/1x/w/jl&#10;1sN7x3Ecx3GaQzkhLv53twtx/ZsRI/979QEZvlr5juM4TvOoT4gbvlzWkX93NyrE4TWqX3+5KXz1&#10;2Ybw1ecbq9/v/mZLZyGuhWiRCkCmgegBeQPge1yTYoduB6JILE8iJSP0K09KgzwCKYj5lmCC8TJf&#10;SjWQjmRdYAkuOeNkGau+FI1QjnIU5qHjqOUZIMUqtC/nj7bwM2Mt64FG+06BOLIu+sE1xFSOD1AM&#10;smJDWMYagxwn+pGyFvrDXkN9SxyTsUO+rKtjIPMI88rERu55wNiURe5NzANzxXV85brqmMr5YMys&#10;g3VHnDg2Sy5FWdZFO/JzgraYR2RdIPcD6+bkWWXkdfSvY0owD8QA8Yi1G4NtyrnqOAFr33K/WnmE&#10;Zay9Q9kO/aA/XLP6BmXn5dQi78V7KCfEVf4GH6Xb4MP2Xbt2jdIP5x3HcRzH6Rq6QYj723vTr7rq&#10;kZnWw3vHcRzHcZpDY0Jc/B/mXYhzHMdxnNYyZMRPxf27QuKhuvV6lo4sF+L6OQMH/3P1ARm+WvmO&#10;4zhO8zhk/Kiae3GOEIcyNXXE3+x//evW5dZD+94G5A0pGxVhyUpSstF5GkvI0WA8Vl0A0cSqAyCu&#10;cC6W4JIzTpax6iNWUlTSoG5KngEUoFJAstH1mtF3CqttHQO2b8WGpMZQNAdiiWeoq6VHjZSSNCxT&#10;Jjb6c6EFwVyK5o1xa4kPPxfFCvvEkv9A6nOCduWpgLquFNq0xJXKs8roPMSfeSlSvwM0qbkCxtHa&#10;t43uacRfi28E17Fn+HMsXk4x7e3vifvwHnDiWyWu2ckS4vg6tl0uxDmO4zhOt3HHXStq7s+gqUJc&#10;6r3pLsQ5juM4TmsZc/SUmntwGSEu9Q/zLsQ5juM4TmvRQhxei9pxG+6UUq9ncSGuf+NCnOM4Tteh&#10;hbjUvZsJZWrqDBm+viOrzwhxBKc3QUKh/EEgdeAaBBqeUqWRr0K08jUQQyA98XQlgO9zT4fSJ4Lh&#10;e4pQHIsl7uWMM1UfQG6CGCPHjrIcN4U3tKPrEpRFHSnSoD3GGX1Y9ZrRdwy0jfocE/rQAhD6Yp/y&#10;uoRlUmPAWul9hjVE3ZjQRpCPcjJ2qIu9G9ufgOXLxAayE/tI7ZkcuHZy3yLGqXGjDsarY1W0Twj3&#10;mewPY0A99Ilr1rzkvLVwl8rTZXTbUg7T64wxYbxyrrH2LfRc0Tf2M+aJWOEa8nU91rHyCMvE9g76&#10;kJ8d2Tfy+XktMx+nlmYIcfsNHDqoUxsuxDmO4zhOt2MJcfx386ak1D/MuxDnOD2PU065rPoHFPi7&#10;v/vPYfr0uWa5VjNq1OS94/iXf/kfYdasO81yjuOk0UKcPOWtKKX+YX7u9Uc8YT28dxzHcRynOZQR&#10;4qz/G32vELf1vJnWQ3unf+BCnOM4TtfRDCGuck/f+9rzvibEOY5TCyQtSk5lTixzbCgDpmKJmKMM&#10;oOjpOJs2vyHuw3soK8RBftNtQJJD3s6dOydaD+gdx3Ecx2k9LRfirH+Y5xF011zz2Gzr4b3j9BUu&#10;uuimqlRW2e57+cd//G9m2Z6CFNHAmWfOMcu1Gh237hqH4/R2minEyX+YdyHOcRzHcVpLo0Ic/+52&#10;Ia5/40Kc4zhO11GfEDdspqzjQpzj9B9wilnlo14ldoqbkw9jqU8elECCYzkX4hxiCXH4G7uyT7IT&#10;/v6OteFCnOM4juN0HwsWL1H35y4Q4nhMrAtxTl9n6NAj9/6BJenJcpcLcY7Ttxgx7oTae3ApIS7+&#10;D/Nzbxj/qvXw3nEcx3Gc5jDg4EPEPbh6D5/ZcRvulFJ/d2/eev5s66G90z9wIc5xHKfrGDxiRO29&#10;uFEh7tttT1gP7h3H6RvwVZc42czKd8rBE+Jw6h5kQykZ4ntc44l8iL2s6/RvmiHE4cG6boOnzO3c&#10;uXOq9YDecRzHcZzWYwlx1Zt3s1LqvenXXPNIm/Xw3nH6Cv/wD/+l+geWZsCAEWb5nkBPEeL8lamO&#10;0xw6C3HDl1c+V1mp8z/M/+0/ElyIcxzHcZzWUkaIs/7u5utZ+rIQ99Bjk6p/L/z93/+n6s8LF48P&#10;/7Tvd6rX8BU/y/Kr3j4zTJ8xJPzr9/6vvX9roO6Ikf893Hn3MTVlNah7+axhNXXxPdpDXqzOL07/&#10;N7O/a/54mFkHoB+URTn8jD5Qj32ufOHUmvIYO8qyD8wddZBXJMSxLtvPjYfjOI7Tmc5CXPzezXTA&#10;kIOnyjqgI8uFOMfpw8iTyiBqWWWccrzy8mN7hbcUkOFQ1mrD6Z+8vfrFmvvwHhoX4nCPR54LcY7j&#10;OI7TfbRciEu9N92FOKcvA5Gsss33glel8nucfmbV6Qn0FCHOcZzmoIW4/3nQiHsrn+2shP+LTdYF&#10;PEb2+huOWK8f3DuO4ziO0zz0PTj1UD31d/embee36Qf2fQVIW5UpVoFgxu8JpTAAeY6yXIyYpAax&#10;TUptGuRpKQ4yHiWzGJDULJkO42b+zybu16melNVY1gLj4rgtIc6KmUSXdxzHcdLUI8Sl/u7+6+6t&#10;r1oP7h3H6f2cd+7p1f/egpy1fdvbZhmnPDgJDrH9yU8G1/x3LUQ5XIN86PF2NC7EOY7jOE7fpeVC&#10;XOq96Vdf/chy6+G94/QFcApcZZtX2W+/QWHChKl7fwannHKZWa+7cSHOcfoWBx9+bM09+H8ddOji&#10;ymc7K+F+LesCF+Icx3Ecp2vQ92D+Y7qVrH985+tZNvUTIQ5AQIMghus4ZY3iGKQzynAQxOTJcRDl&#10;5OlqUjYjPGUNoF1KbChL4QzXWR5tUobTJ9Xp/vA984iW3NAG5DX0hzyeEIefWQbj4HV8lX0AS4jj&#10;GCHdsS7mhr7Qpy7vOI7jpNH34tS9myn1d7cLcY7jOI7Teiwhjv+DWZmk26AYv3PnzpnWA3rHcRzH&#10;cVrP1dfPr7k//9tPDv2ieuNuVkpZ8Y0Kcb/73V2Ok4W1f1oNToGrbPMqxx9/frjoopv2/gxSr00d&#10;OvTIveUg0uEa2sCrQ3kdr2OFvKbrEvSHfNSRY8H3uIb2rHoxIQ4Cn7weE/rQLsugL4yDeagDOVCO&#10;B2NBn/qVqHIcmKvMAyiPOMmT91AO7fcGic/ap07/wtoXrUALcQOGHn5H5fOSlax/mOdrz693Ia5b&#10;+OSTjQEJX618p7k8+tiV1Xgj4XuZd8utp1XXYceOreHZZxfU5PVUdu/+ujqXNWueMfN7IhgrEsZu&#10;5efQjDb6I71xv/Q19D24rBDH8pu2nr/cemjfF5BCGLBkNsBXkELysk5kA5TetKAGmY3tS+mNoD0I&#10;ZfJ0ObYF4SzWnxTW9CtQpRCXaqOoH84baCFOxi7WvuM4jlOO2L04lazXnvPv7t27t623Htw7juM4&#10;jtM8mifEDWuXbew/ePhsXHchznEcx3G6Dy3E/WjooV9Wb9zNTLIDQCu+USGu0oTjZDF48GhzD7UK&#10;LY9R9tKvTdUSGJHiG6Qv+bMGebq+fl1rDEvKiwlx06fPrblu9Qtir4aVJ+ZZoF/Zjp6zzMNYpFRn&#10;Icv3RLAnrXE7/QdrX7QCLcQNGj7m7kr/WSn1+rW5149vtx7e9zbKCmbdLYhAvkLCVyvfaS4Q3Zi0&#10;9Cbzest6MG3Y8JKZ3xPBWJms/Bya0UZ/hKk37Ze+xFXXjK+5/wKe+BZLnf/xfc/f3f1FiLNkNcJT&#10;3CCaWfmAEhrkMnmdryzV12NAbuOYfnH6v5llgCynxyWFOJwoJ/MIJDaWSfUTe2Uq2mX9VOwcx3Gc&#10;fOR9eA/FQpz1dhX+3e1CnOM4juO0nhdferLmPgwop5dJlb/JX61pY/Dw5bi+a9eu2frhvOM4juM4&#10;XcNvZl9dc48f9NPRn1Rv3M1MMSv+mmsefUI/uC9DpQnHyaKrhTgpf0EQ43X92tTYKW0pAc5Ct6Ol&#10;thRFdeVpaziBTebJ099A7BS8HEGvjBCXEx9ZvifiQpxj7YtWMGTEhNobfQkhLvX6tb4ixJUVzJi6&#10;SxDpbUJcbz+ZKyXE3bNiZq87QYuprwhxqRP8JC7E1QeTC3HdQzOEuAMGD2vD9f4ixMVOhwMsk4us&#10;GxPKYuSOCUCyQzl9Kp0U4uR1SW4/PEXOGj/nBtCnPqnOcRzHyWf1unNr7tug6N6NlDrl1YU4x3Ec&#10;x2k9zRLi9h887ImaNio/4/ouF+Icx3Ecp9vQQtyQEWPbqzfuZqaYFX+NC3FOF9GVQhxOfZN985Wn&#10;QJ+yhtd7yrrEEr5wUhzaBvq0Nd0OBDScoIZyOK1OnkSnpTxKayQlxOm6cm5Avi4V8LWqsk1Idfo1&#10;qphvGSFOXpf1+JpYeTJdT8WFOMfaF61AC3H/PvJn2a9MTf3DvPXwvjfiQlxr6e0iUkqI640w9SbB&#10;KbWHctent+/D7oKpN+2XvoQlxB04fPgp1Rt0JMX+7n5/2/QnrAf3fYEcKUyexJYDJDFZn9dTp7BJ&#10;pMxWJJjFZLWuEuJwypyU4lhOvv7VcRzHycMS4n582MjkvZtJ19srxH27td16cO84juM4TvNo2glx&#10;g4e11bQxZPh6XN+1a1ebfjhflp07d4YdO9or7NjLzp1gp1necRzHcZw9aCHuoJHjdlZv3M1Mna34&#10;vULcq/rBfRkqTThOFl0pxGkpTJ+ipk9Zs16bqmUwLZ5p6Q7lZX4RqbopIU73K0+/AxDzmCelNNkm&#10;rkMMlPUscoU4LfT1FlyIc6x90Qq0EDds9HH3VPrPTp1Ped3z+jXr4X1vxIW41tLbRSQX4rqf1B5y&#10;Ia61MPWm/dKXqEeIi/3f6P1diJOvBoVoZpVJUbZubxLiCAQ4liP61DrHcRwnjSXEHXbMYdMqv1ML&#10;U+zvbuuhveM4juM4zeXxp+6vuX9X78V1nRA3fHZtO8OqJ9DsaoYQ9+kn4ZNtH4SPtrwfPtr8fvj4&#10;g82h/aMPw45P283yjuM4juPsQQtxPx51xGfVG3czU8yKv/rqR9ZbD+9z+dnPznKcLKZO/b25h1qB&#10;lMK0MAZw0hvzgfXa1JQMZpWx+gFoG+NBvmxPUkaIA3J+gMKfluWkqKYlQYB2rLmTVAy0VIifEVct&#10;H/ZksCetver0H6x90Qq0EHfI2EkPVT432UmfNoN7elvbyH2sh/e9ERfiWktvF5FciOt+UnvIhbjW&#10;wtSb9ktf4g9zxtXcv8FPx//0Vx23ZzPpf3zn393vbz3/VevBfV8gVwpjmXqEuH/a9zvVuimhTLJw&#10;8fisMQG+MvVnE/erud7VQhyBwAcRju3WEy/HcZz+iiXEHXvymOS9myl2yqv10N5pLePGjazeA/HV&#10;ym81i2/+Y/jJTwaHk06caOY7juM4zccS4n44cOi+uBeXSRDadTu4vnPnzuXWA/ocdu5oD59+uC1s&#10;W78mbHrjtbDhlRfDey8/Fza89uew5Z03w/aN68OnH39s1nUcx3EcZ1eYcekVNffmnxw+4YvqjbuZ&#10;KWbFNyrEOU5PQ0th+mQ3oF+bqoU0UFaI02UwjpQEJykrxOEVpzIfIhqua+lN19OveSU4Mc6KU2p+&#10;iCHqyXyCer1JjHOcVqOFuEPHn/hk5bOSnTqfNjN8uQtxtiCyZs0z1bxPPtlY/RmCDr5n+urrz7LE&#10;klS9nPGy/u7dX1fLIn3++SfVNm659TSzDvvDHFBm+/Z3qz8jcT5Et4+v+FkKSWwvlvT433jzwWod&#10;jFMmlMOYZFkJ+2EZtCPbwPcvv7KsUz0J5ovYIM5MaPfRx66szolJzo8wBtYYmYd2Un3oehK0q2Oi&#10;E9qx6lowcT/VMybORY7L2gMa5GFfcQ8zoZ3NW16P7k30xcRriEtRSrWBOWK8TLmfTQu208geBIgP&#10;2uK+QUJdjCsWG9JI3dR4mWKxQV25nogj1vieFTPN8k45miHE8e/uTdvOX68f2vcVcqUwSm36dag5&#10;UBCDvGbla+SJdJfPGmaWAbKcfkVpjhAnXwWbEtf4StRcoQ/UU8dxHKe/88rrZ4l78B5yhTjr7+4Q&#10;1u9jPbR3WgtktMqSVL9a+a2G/YOnnrzbLOM4juM0l6YJcUOGT9TtfG/gyH3KCnGQ4D75cHv4YO3q&#10;8O6zT4RV9y0LL9+xKLyw+Ibw/KI/hucWXhOeq3z985J54bUVd4T1Lz8ftm/cENohxvkrVB3HcRyn&#10;hi4S4mwr3oU4p68BsauytUujBa5GhTidlwJlZd0iIQ5IGQ2ns+GaPDmO1zSQ5vTpboRiHSmKAWKW&#10;kuxcinOcPTQuxA1fLuvj/1y/7rrx+1oP73sjlDm0oBWDyRJEcA0JbUHwiSUII7ouYRtWgqhCcSU2&#10;3lS/SKhvCTKMA+pLOYaJ5SDApBLLSdnISnL8OXJTbL5y3PzeShi3VR/ijhTCdJJioCV7MVn7gQnz&#10;i/UBgSkmoFnrYCXE2qpvwRRbZ6TUmHA9FS8kK9aoV5TQr7U35WeC1xoR4lJ7OPXZjNHoHgT1fm4b&#10;rZsar9z71v6W+TqhXV3eKY8lxB1+1KG/6bg9myn2d/cmF+LCL07/t6xyFpDVWDcmuOGEN5lHAQ9f&#10;V719Zk1ZIkU7XSZHiANF/WBcbKeM3FbmVDnHcRxnD5YQd/KZRyTv3Uz67Sr4u9uFuO6hu4W48849&#10;vdr/f/3nfcP2bW+bZRzHcZzmYglx086b9q/Vm3SJVLl/j9Lt4NWrZYW4Tz/cHra8+1Z4/aG7wkOX&#10;nxvuOG1CuO2kseH2U8eH204eF5acODbcesLocMvkw8NdZ08Oz7ZdG9Y8+2TYtn5d2NHur1B1HMdx&#10;HIkW4g47+vjmvzI1ZsVfc80j7dbDe8fpreSeyqbRJ6Q1IsTpU+owJpzqJuvK/HqEOP3aV33qnZbb&#10;NChvyWxSYsuJAcB8LdFOvrLVcfozPxp6WM39d9SEU56rfEayk3XajAtxaSGOCSIKJSqIV1ISs+QY&#10;lGVCXZ6ypOsiWeOVkhDGwvqQYdAfT4+y6jIOTPgZp0QBOVe2ARlGtw9RiuWIjInOIxTG8BXiFK/r&#10;eVunbOlxozzHhXhK6YvXY/XRP6/LeDHVK8QxoQzFJNl+UdwwLtaTc7LWsQidyowJ5SjDYQxyPbBu&#10;cq10rJCPtiFvyTy0KeeKfFkPyHydh7aYrPUhsg2ksp/NFI3uwUY+t43UlTHB55n7QI8ZCWVlXawn&#10;k9yf6B9lEQNZ3qkPS4g74vhDL+i4PZvJ+sd3/N29yYW46mlqfD0pvkI4wzXm47Q2CG0Qy7T0BtGM&#10;4hnqIp/yGfqkPCZPaZOvTcVpa/iZeehLvpbUkuxyhTgp66FNzkn3AbTchj5wDW1wPviK8bCONTbH&#10;cRzHphEhzvq7+6uvtu5rPbR3Wkt3C3GO4zhO19MsIQ7ym25nv4FDB+3cufMJ6wF9DIhtbz3xYHjy&#10;2ivC4p+PCrdNGFzl5vGD9nLrEYPDHUcdFOaPHRTuv+jM8Mqdt4SNr78Sdnz6idmm4ziO4/RXtBA3&#10;+phJX3bcupuXYla89eDecXorkLkq270uIK3JthoR4iCwyesQ3GQ9IPPrEeK0AKdlNOTrOhb6RD3Z&#10;V64QRyDGyXHoeTlOf6VxIa7zaTPXXz/2+9bD+94IZZZcuYhJCyJACiYQSiiJEPxMQcU6iYpjQRld&#10;F0j5xRov20Y5nQekPAShReaxb6RYLGR9a3wWMiZWfhEyZlbM5bitmMoxa9FJ5lltQ+6RYhDK6zJM&#10;Vn2ZLMlKxkaLUuzXmpOUkfQ6FiFT2TFx/0GKi60/16OsEMV61t6TY9J5cg2t9SGyjXo+myka2YOg&#10;kc9tvXXlfK2YIx9zYdL7m/FELOV1p7lYQtwxk0de3nF7NpP1dzf+8X3T1unt1oP7vkCuEAcgiVGK&#10;S6FfX5pTF9KbPqFNSm0xcHKdrGPVtfIl8hQ4DaQ4no5nCXG6vKSe18s6juP0Zywh7uLfT/yPyu/U&#10;wmT93X33/Xf/q/XQ3mktLsQ5juP0Pywhbs7Vc3605y6dn/A/pOl2Dhhy8NRdu3a9qh/Op9jw6ovh&#10;mbm/D3f+8vjQdsSQcOv4QeGWCjeNG7iXxZWfIcnNG3NgWHbmceGpa2eF1X96LOz4pOcJcdOmTQsH&#10;HXRQmDNnjpnfavbZZ5/qvV33v2HDhjB69Ojq2B566KGaPKf1xNalr7Fy5cq9/86C760yraSv7PPU&#10;fuHvmIsvvrhTXn8EMUKsEDMrvzfS6Jy6RIiL/UeA9eDecXorKbnLQr52FJQ9HS1WRot5kO3YNsak&#10;62lxLEeIA7HT8KzXpeK0NvSDk9wgruEavuqT5nKEOMwFsUNdKd6hrgtxjtMZLcQdftSUVyqfkexk&#10;PVyfcsbI4dbD+95ISsSxYNKCCJDSTZEwpPtDeSbrlCxCUUrXx2ldTPK6hkkLNBxXSnaCUMMUE3A0&#10;MiZWfg6xmMm8lJjDpNdMvmoyNmcZV0u4YrL2A1NsPaWspNtmstqV+daYUjDVMybuvdiYANcbspWV&#10;H4P1kMrkpcYrkW2U/WwW0cgebORz26y6+F6WJ/J3kh432mKSop3TXCwh7uenjEo+VI/93d2XhTiI&#10;apWpV8H3VhkJpDWIYJC9WA9AFoNYVnTKHMrwtDiAduSJcRq0p+vg+6K+eEobJDwrXwOJT84J31Ps&#10;4ylykONkHZ4GxxPuCH72k+Ecx3HK04gQZ/3d/bv/mD1eP7B3Wo8LcY7jOP0PS4hbvGTh8D136XIJ&#10;p7zKdiC97yopxL3xyL3hrnNPDAsm/HuYP/bAMG/0j8K8wyuMHrCX+WMODAsqeQuOOKj66tT7Lz4z&#10;vP7A8tD+0Ydmm81g6dKlNX87xtDCisyT17sK9q1lGchBzINMI/Oc1hNbl76G3GfdIaT1lX3OOVj7&#10;hXlA5/VHEKO+Fo9G56SFuHETT/im0lZzk/UP8/iPAOvBveP0VqSMBWHLKiPRrwyVJ7nFZDBJqow+&#10;sS2FFsdyhTgtABLrdal6rBZapIvND+OR12NAvpPtOU5/RQtxE44769XKZyQ7WUe9/+yEEVOth/e9&#10;kbISDJMWREBK3CEso/vLFXti45V95yQ9/tw4UIpCQhv6FDFNTkyKSI0tZ9wsU8+ci9aFSbddlEeY&#10;dNt8NaklrskxlZWRmOoZU9kk6xaR2iepvKL1Iak2CMuk9oNFzj5iGR13Oa6cJOs3qy6vWTDJugCf&#10;e54wh684+S4mGjr1YwlxJ0wZOa/j9hxN1j++Ww/tHcdxHMdpLpYQN+s/jiu8dyP9cODQfXXd6Rdf&#10;OMl6aN+b2L7t7XDttbOqctl//ed99/6b3Xe+8/dh3LiRYcU9i816AGVQ9pWXH6u2c/nlM2raQH3k&#10;WXXB4pv/WC2z337f21sHYCwYk1UHWEIcyuMaxvTuuy/UlJegT5aT11HnpBMn1owf7aO8LAdkXzoP&#10;PPXk3dV5MT74ip9x3SrvOI7jFGMJcSvuX3ZE5fds6VT5m/xV2c7+g4cv37Vr13r9cN5i586dYfvG&#10;9eHPt7WFJSeNCQvHDAzzxwwI84UIt1eIq9A25sDQNnZQaJtwUFg69Wfh5aU3hU+2bTPbbgZSSEih&#10;hZUf/OAH1es4pUpe7ypi41q1alW/OaWsJxJbl75GdwtxfWWfp/ZLd/+OkWAM3T0W+bvayu+NNDon&#10;LcQdcfxJf6201fy0/5Dh62VH//OgEfdaD+4dpzeiXyEK2c0qJznllMtq6kghrFEhDuPRJ9BJ5Olu&#10;9QpxOOFNliPW61K1/KfBWHW92PxyXk2bE3/H6S9oIe7on5/zduVzkp0sqX3E+EOuth7e90ZyZBYJ&#10;kxZEQI5kwjK6v1yxJzZe+XrDnKRPhcqNA6QXKcUhoY71KkiQK94AtIFXbVIG08kaW864WUavWU7d&#10;onVhsvYDk5VHmHTbMm44jYuyEcox/oiTrJMDU9kxQYAqk2KnpaFN7FW9h2TSdWQsdB7aY9IxlKTa&#10;ICyT2g8WOfuIZXTcG/ncNlI3Jx6ASY8bQMakFMeEMaXWwSlHA0Jcp398tx7aO47jOI7TXBoR4qy/&#10;uydPOf1q66F9bwKiVmV6SSC6WXWZD0FMimQSyGCWFEepLIUU3iSWEIc+WC8l01G+w1deQ13KaxZa&#10;ZEM8mCevAwp3MXR5x3EcJ49mCnH7Dx72hGwHz8Z3ZQhxO9t3hO3vbwxrX/xTePqPvw23HH9ouGnc&#10;oLBgTGcZjlCUWzj2wLD4uBHhuYXXhI82v2+23wykkACxJwZe0WjV7y445r4uXvU2+su64DPBueJ7&#10;q4xTTG/ZLziFD+PsztP4GpXHeiKNzqnrhDj1HwH/68eHPmc9uHec3og8tQxyV0wi08ROlZOvEtUn&#10;pxEpmUFw0/kQzFBGinH77TeoKuJJgQ/XZD0p6lmimkS/8jQ2Vr4eVUtuGDeuy9fFklQMMEaMW8cP&#10;1/xkOMeppVEhDkmfNjNi3CFLrIf3vZEcmUXCZAkiOZIJy+j+csWe2HghkjHJ67mUjQPkNdZhwhh0&#10;uZyYQKyJSXAyWWPLGTfL6DXLqVu0LkzWfmCy8giTbhsxSSWISCgj6+TAVHZMcjypujEg9DHeRUnX&#10;RX9MOq9ofUiqDcIyqf1gkbOPWEbHrpHPbSN1c+IBmPS4CdYVwqb+/MrXszr1Ywlxp0wdtaTj1hxN&#10;nf/uPmSV9dDecRzHcZzmYglxc+YeX3jvZtJ/d4868pgHrIf2vQkIcTwJTZ6sBglMntyGE+BkPcA8&#10;AlGM5dAeJTPIcrouJTp8lcIcxiAlPeuEOkuIA5bsJkHbbFee/Mb+UE+OBX2jjzJCHOeM0+YYT8QE&#10;/VlxcBzHcfK4+/5lNfdv8Pjj955Q+Z1bOu0/ePjs2raGte/KEOLaP/0kbF79enjjobvCw7POD4uO&#10;+klYfMSg6mtRtQgngRR38/iB1derPnXV5WHTG6+FHZ9+avbRKL1VsuCY+7p41dvoL+viQlxz6C37&#10;xYW41tDonLQQd+SkU9BW85P+j4AfDhm+03pw7zhO7wHyWeXjvRf52lfHcXoGWog7ZvL09bgvl0n6&#10;tJl/P/SQl62H972RMlKJlIKsE9EakW5yxZ6YfJMruMSItVsETg6TMdTiTM642DckL5TXr2FNjS1n&#10;3Cyjx5ZTt2hdmHTbRXmESbfNE9RQV8YX4hFO4Sp6VW0MpnrGxJSqGwN1mDB+fJZi+fJ6UV7R+pBU&#10;G4RlUvvBImcfsQz6kNdzxhWjK+oy6XFbIP7y5L/Uejh51C/E1f7d/T8PGr7TemjvOI7jOE5zsYS4&#10;a+dNuqfjFl2YtNQ+cvwxz1sP7fsKEMEq065ive6TeUAKZkSKY1K2KwICGcUy63S6mBAnT50rOpVO&#10;Cn68lno9rCQmxMl4WQKh4ziOUz+WEPfMyoenVX7nlk77Dxk+Ube15YOtO6wH9JJPP/oorH/1hfDS&#10;7QvDvTPPCAsm/DjcPL5YiJs3+kdVIW7+2EHhwcvOCm88vCJsfufNantWP43QWyULjrmvi1e9jf6y&#10;Li7ENYfesl9ciGsNjc7JEuLa29v3qbTX3FT5o36m7AjMnnOf+fDecZzegXz1KrBOenMcp3vRQtzE&#10;Ey7YivtymaQfrv+vfx/2hfXwvjeCk4yYYq/9JFIisYSkHMmEZbQ8I19JmZJPKJzo+hg7k34dag45&#10;Uk+K2LiKYoITpphip0qlxpYzbpbRcZWvnJTXJYglkyX4MFlrxpRaTybZthQvZdlmwFR2TICngGGt&#10;5fUcuD8g91n5qX2SysMYmVICVqoNwjKpvWTRyB5s5HPbrLqxuMnPph53jHrqOHEunzW25v4Npkw7&#10;rPChuvWP76vXnWs+uHccx3Ecp3lYQtzcm054rOMWXZj0393/9pMRX1gP7fsSlWlXscQ05p137umd&#10;8kCRUJciJr2l8iChsT9rTDxBDifCyeuU7/T1GDEhLve1rY7jOE55LCFu/cZV51V+55ZOBwwZNkq3&#10;9fTK58wH9JJPP/4ovPfy8+HFJW3h3plTw8KjfhwWjR0Y5o8uOCFuzIBw87hBYX6l7N3nnBheWHxD&#10;WPv8M+HjrVvMfhqhXiFh9OjR1Tr4GsubM2dO9ef58+eHH/zgB3v7wfdLly7tVE+Tqsdrlkizzz77&#10;VPPYv5W3cuXKgNfAov53v/vdve1h7MjT9SQYA+cYA/3oepgPxRqAfidNmhRWrVrVqWwKtIP+ZWwA&#10;2rbmTLp7XVJAKkMsZHzY9rRp06prZdXDXFAOc8PPaEeuDWKcGgtij/bRL/cG62E8sb0QE+LYBtqU&#10;5TXcc3q9yuyR1D7n3tbrhGtlX39c734j9e4XriPX1spLrW0qPiAn1nJPWFj9oz7a4RqD1DpKWJf9&#10;4it+5nqyPatuDNRFDDBXOSa0jTimPvMcRyO/L1sxJ3LGeRfW3JdbJsRZ/xFwyWW3mg/vHcfp+cjX&#10;rgLrta2O43Q/zRHiaqX2viTESREt9RpKKSnFxJdGpRsKR/gKsUTnS4FL15ciSkrMiUFhp566IFZf&#10;CofWnGRcLSERdRgXa2w542aZlIxkyXgYG/YEkyUOMVnyD1NKDGKSbcuYNPvVk0xlxwQ2b3m9Iyct&#10;n1kwjtjDVn7qpEZ+ZpB0noxVSgpLtUFYJrWXLBrZg418bhupK3/vWZIi2panvaX2i4apTB3HxhLi&#10;Tj/78MKH6uY/vj9/pvng3nEcx3Gc5oH7rb4HlxPiOv/P5NZD+75EZdpVUkKclUdYpiuEOMDXn+rX&#10;k8rXpeqT4CDPMQ/1rdPlJDEhDsjXzKJcmZPxHMdxnDjNFOK+N3DkPrqtBYuXmA/oJTvaPw1b1qwO&#10;bz3+YHh89kVh0dEHh8XjB4e2McVC3E3jBla+HhiWnTkxPD33D+HtJx8KH27ZZPbTCPUKCRRJ8DWW&#10;R9GI7WsgpOi6JFUPMgW/t4SUnDwIIlLskEDYiEkemJNVR4M2ZD05Zo0VwxgYt9WGJNZed69LDMRa&#10;tmOBeFoiF/cvxpVaG4xN1wWUdFJYJ8DFhDiKWnr9JRCQWFfKSGX3CPN0rBEnLa9JyqxNI/sNNLJf&#10;WNdqn3mpuaTazo110f7QbeOzk6qDvNjvFuyFWF1c594CVv0Ysl6MWByZX+/vy1bNiUSEuH0r7TU3&#10;Wf8RcMbZV5oP7x3H6fkMGDCi5hfShAlTzXKO43QvWog7/qRfteO+XCZZD9fxKjfrAX5vRMoyEHcg&#10;/kCugfSDr1JES0lzsh0rH7CMJbBIQQuSCk+hQ39SGEKy6kthCflSEILgwrlgDrIeQHnW03kEY0c+&#10;xon2cA1fpfSmBS7EkIkyFOYlx0ZZCgIORSu0i36Yh2SNLWfcLGMJOpTt0A+FPKtvJEsCY7LaZrLy&#10;CJNuW8pIMmFMmA/2A8dbBqZ6xoR1Y0zwFW1wjwLsU6w/Yqr3AfevjDPAPtBzlfUA+mHSeYAJ7WDt&#10;uH6yTFEbgGVSe8mi0T3YyOe2kbry9xrGhfK4bq2JHjf6Qn3ZH/aCbBP7QdZxymMJcWeec9jzHbfm&#10;aLL+7r6ubbL54N5xHMdxnOZhnRA3f/GJhfduJuvv7rdXv2g+uO9N4GQ1nGgGwYynpWlaJcThVauQ&#10;0CCwsaykrBAH2Y11ZZ98XSrmJ8uTk06cuLcewHhQx3r1aUqIQ3kpxQGM03qlrOM4jpOPJcS9//6b&#10;v6n8nq0r6bauvj4uDUnaP/4ofLBmdXhu4XXhpmN/Gm49YnBYMGZgJwlOsleIGzswLDvj2PD0db8N&#10;bz/+YPho00azj0aACFGZXhUrP0aOrEIgPfBkJMhDUtaxTkySY4K4QhFK1wWWyJGTJ8uwfSmzQP7Q&#10;daUEhXFx7PgqRSgtbknhC2IJ81EP/aOuLJ+CYgq+SglFjgFYpz5197rEwDwQNwhtaIvX0b7sE/my&#10;HpD5AONgGzomluiHfjEXxEuum9wLaFPWAXIvyDGjHV631gBQxpJ7rJ49wvI61qiP6xi/HAP6QN9l&#10;1qaR/SbXpp79kvM7JjWXWNv1xDo1FiLbRRsyXogP52z9jsDP3G/4yj2F6zKORNYtAmPBuLGn5eda&#10;r4MeE5B9AoyF5Yp+X7ZyTiQixH2/0l5zk/UP86edcYX58N5xnJ7PP/zDf9n7ywenw82adadZznGc&#10;7kULcZNOueir6o25RNpv4NBBsg0w89Ix5gP83ooUS2IJUklK8miGdCOFEp0gFXGc9dRngrCk66E9&#10;pFi7QM7PSpBorHqW3CX7gbyUSqxvjS1n3CyjpR6A9cS6WgnXIfwwdaUQh59zUizmMZjqGRNIxUsm&#10;LaQV1ZN7RNYDct/pPBD77MoyRW0AlkntJYtG9yCo93PbSF0IcNZnkwljjY2b12MJayLLO/UB8Vzf&#10;e3OEOCRd73fXHG8+uHccx3Ecp3k0KsT9cODQfXX9F1960nxw31uAqBWT4CTNFuJwCltMgpOUFeIA&#10;5wPJjdcoqclrGoxRi3Gop095SwlxBHHlOEnuK1kdx3GczlhC3KuvPj2n8vu1rnTAkGGvyrbwIN56&#10;QG/x6fbt4dU7F4dbTxgdbh43MCwcc2D19DeIb5YQN2/0geGmcYOqX+8+54Tw4s3XhzXPPd2jXpma&#10;EkSYByDC6HyIEczXkpKUKKy2kU+hCGD8ukxOHrAEKRkPKY8AnkBmyR+A44ZkI6+zTUusaiYydtbc&#10;u3td6oXjtvqV64X4YhwyX47bmnMK2bbOk7Gi6EPYnyVWyXwp+NWzR9i/jjXjZQmEzSS135qxX1Lr&#10;zjyrHom1jZ9xvUysU2MhFARj6y5jEvsdAfR+ArjGukDn10tqHwPmgbK/L7tiTjMuvaLmHt8yIQ5p&#10;/yHD18vOxhw9xXx47ziO4zhOc2iGEGdJ7VOmHWY+wO/N8IQjLYlA/sCJVzxBKQZPSoP4Y+UDloHc&#10;ZuUDyERyDPieghHlsVR9iEzIlwIShJjUPHiCV6pd1EN9LcOwXasOQD3ElePBWLRgwzEzoSzqYE1S&#10;McsZN8vExsh15/hk38jHeJEgdem6rGO1ncojLCPbRr+8jnHI8gCxkhJYqn1NvWOSYD2xftbnBOO1&#10;RDqg44yEtUF59IWEPF0PY43lEYyH64Ryej/ktMEyqb1kwf2VqscyqbjX87kl9dblWjJ2SGiHa4j1&#10;QtLjxlpiD8o9wLjLU+OcxrCEuGnTD3+949acTPof3087+0jzwb3jOI7jOM3DEuIW3nZi1r0byfq7&#10;e/Hti8wH970BnGZGeQxyGiQufSIa8kCzhTjKYugf9bV0lpLeUnmAr0DlaXDydalFr0MFiIGU3nQ/&#10;OUIcQd98jStIxcpxHMeJ8/hT99fcf8Ebbzw3r/K7ta60/+Dhy2VbI4441nxAb7FjR3t4/YHl4c4z&#10;jg3zR/8otI0ZEBaOHRh9der80QdWT5Kbd/iB4YFLpoW3Hr2/esrcjk8+MttvBCktpND1cmSVlHDC&#10;dtG/vJ5zwhbEklh9kJMXk4VSgkiRFMN83S/kF7YpT41qBakxMq+71qVe0BbbTeWhf50PUjFJkdoL&#10;qTyKk0CPScZR7oV69gjL61hTzIK4GYtJs4jFthn7JbVuzEvts1jb9cQ6NRYg56L3g4TtaGkOn0lc&#10;T3025b6y8uuFbVqxZF49vy+7Yk4RIW5Qpb3mp/0HD3tCdnbw4ceaD+8dx3Ecx2kOzRDikA4YMqxd&#10;tnP8yX1PiHOcngBlN8hGVj6hjKTlQsdx+gaNCHH6H98PGT/KfHDvOI7jOE7zsIS4m5ee/F7H7Tkr&#10;6f+ZfNoFF5gP7nsD8vWiMVGM+ZbIlcojLCOFOAhnvI7XksrypBEhDnNh+5gjBTZIf1b5GBTrgLxe&#10;RogjPKEuNmbHcRwnTQuEuNmyrSEjxpgP6GO8u/Kx8PDl54QlJ4wOC4/8978JcIf/qMqNFeZDhhsD&#10;IW5AuGnswLDoyJ+Ex//jsrDxLy+H9o8+DDvb2822GwESRGV6SXCKj66XEkSK5BHAMlrCkOOR1zUs&#10;k5I4yuYRltGCB0+0sgQPCDGx059wchLz8BUnLbVKVOrJ61Ivqb5zxsUyqXlbpGSfVB4kK+bpU7Vi&#10;e6iePcI+dKyljIZ+YkJaM4jtqZx1ASyj5wBibcs8qx6JtV1PrFNjAXI/5KDb4fXUfHJjWpZU36k8&#10;wjL6c5BTt9E5dbEQV/sfAXhIbz28dxzHcRynOWgh7tgTqv+4WjppqX3sMSPNB/iO4zQGT+DDVysf&#10;4GQvngbmQpzj9E0sIe7s6YdnPVTXf3cPHjHCfHDvOI7jOE7zaIoQp/7uPnHqGeaD+94AZLTKlKro&#10;E9qAFMuaKcTJdnEqnSwPIMzxdar1CHGAAhpOZ2NbENyssjFi4ls9QlzOmB3HcZw4lhD31uoX76j8&#10;bq0rHTBk2Cjd3pq168yH9BabV78e/nLPbeHx2ReFZVOPCQuP+ske8W3cwD2vUR17YLh5/KBwyxGD&#10;95wed8RBYenUY8MLt9wYtq7P76cs9QoJKUGkSB4BLKNlidzxsIwlW9SbR1gmJUFBbOIrAvGVp3IB&#10;XpdAkqKEI9vQfeQCiQd94hQw2SbpietSBGKBmPBkKQtdJ2dcLBObN9YLJ1Vx7hapvWCtIeeg++Qe&#10;0NIkKLtHWMaKNfaHbAftYo7W3syh7H5rxn7heljrxjyrHkm1XTbWqbEAHe8i9IlrvJ6aT25MLSD8&#10;Yc9h/HrexOo7lUdYRscup24jcwKWEFe5PqrSXvOT9R8Bs+fcZz7AdxzHcRyncSwhbvbsJ/bpuDVn&#10;J/1wfcDBh5gP8B3HaQz5OlTIbvLVpRDh8EpK+apKvtrVcZy+hSXEnX7WYRs7bsvJZP3djYf01sN7&#10;x3Ecx3GagyXE3XjziR913J6zkv67+6BDx5gP7nsDUkyDOEYpDl+l9AWaKcQBvqoV4hrzIMJBkGMe&#10;qFeIk7IfsaQ/9A1hDuVlPk6W4zgQG1knJcphTPLVs/gqxxI7Ec9xHMdJYwlx76z580OV3611pf0G&#10;Dh2k23t65XOdHtDH+PTDbWHLu2+FNx5ZER77w0Vh2enHhEVHH1x9feqCsQeGttEDwqKxA6tSXNvY&#10;weGOXxwdHv39zPD24/dXT4ez2mwG9QoJKUGkSB4BLKNlidzxsIwlW9SbR1hGCx6QSmJCEIEYI+tI&#10;KKXoNiw5KgZEnqIxgJ64LjEQF/ZbhK6bMy6WseYtX9mYQu8F/BzLA1hT5lNCkye3xcS0MnuEebFY&#10;U/STAhS+t8Ybo9791oz9wj1hrRvzYnMHqbZBmVinxgLkepeJL2Hd1HxyY6rB76SYBCex+k7lEZbR&#10;886pW++ciCXE7dy5c2KlveYn6x/mZ8xsMx/gO47jOI7TOENGTKi579YvxA2bKdsBV10z3nyI7zhO&#10;/UB6k8JbLOGEuDfefNBsw3Gc3g/usfq+O/Wcw7Mequ8/cPj3dd0HHp9iPrx3HMdxHKc5rF53bs29&#10;F5QV4g4YcvBU3UZ7+3vmw/vewEknTtz74EIDIYynqzVbiIM0xjyL1CtGc4Q4+VpWtmeVw7hkOQ1i&#10;oEW6lBAn62piY3Acx3GKabYQ972BI/fR7S1YvMR8SG+xc+eO0P7xh2HTW6+H1x+8K/zpxivDI789&#10;P6y44LSw7MyJ4fZTjgi3nTIuLD39Z2HFjNPCk9fOCq/duzS8/8ZrYceO5r8qldQrJOTIKjF5BLCM&#10;liVyx8MylmxRbx5hGS14UJ7CSVKAkgm+4vSsMiIMysqT0HLrMm7oE3PQYlUq9qk8wjI6PvgZ14G8&#10;rmGZVHw1sm3EFRJWLF9eL8ojLKPnjZizLvL0q0Vlvl6fVB6AbMV8ClaYG37GXtHlLdBuao/wek6s&#10;pRSFrxifVU7D/VB2v+WsC2AZaw6xtmVeau6ptjVFsU6NBaB8rG4OrJsaa25MJVhnrjvEP+wDvfap&#10;vlN5hGXq2Z/1zEmihbgRRxzbOiHO+o+A0864wnyA7ziO4zhO4zRLiLOk9stnjTUf4juO0xiQ4tas&#10;eab62lS+GpUJ13BynJ8M5zh9G0uIO/Ocw7/ouC0nk/V393Vtk82H947jOI7jNAdLiGu75aSsezeT&#10;9Xf3iy89aT687y1ATqOABiDBQe6CVIbT0XDNOtmMJ6ilTj1jGZxGp/Mgo7F9gLIQ9CCg8VQ1fTob&#10;YB0rTyLbTo0R80dZjhUgHnjFKk96k3BsKC+v8zQ4CnsEP6f6dxzHcYqxhLgX/vzE45Xfs3Wnyj29&#10;Xbb3m9lXmw/pY+xobw/tH38Utr+/MWxe/WZY++KfwhsP3xOev3luePzKS8ITV10anl10XfjLfcvC&#10;+ldeCFs3vBc+rZS32moW9QoJObJKTB4BLKNlCfnqwZhYImUjS7aoN4+wjO6fYkk9wotF0Tw0srx1&#10;ihXoyesSgyJSTBRDW2y3TB5hGT1vCo5YV3mdYJ5sW885lUcwH+RjfogN9w9iaZW3SMU0dj2GPKEu&#10;NmZJI/utGfsl1nZRHqhnL6bqFPUHUZB19etQc+ApdbH2gTzN0Mq3kGuuRVPCfCtOqTzCMnqdWzUn&#10;Ce7B8p7cIcRNrbTXmqT/I2DyqZeYD/Adx3Ecx2kcS4i77roH9u24LWcn6+H6lGmHmQ/xHcdxHMdp&#10;jEaEOCT9d/c5M482H947juM4jtMcmiHEWX93L759kfnw3ule5IltltjmOI7j9B4sIe6lV5/+c/Xm&#10;XGfaf/CwJ2R7Z5x3ofmQPpf2Tz4J2zasC+8+93T4y71Lw+sPLg9rKt9/sGZ1JxFu586dNT83C4gO&#10;lamVFhJSgkgqj7CMFi2kWGIJUpBW5ElOZSWOVB5hGS14UGjCSV8Yh8yrl5zxEAgtLG9JVRhTSkLp&#10;7nWJIeNq5VMsAzoP/cTyCMvoebNdxExeJ6nXYOLnWB6RMpIUf8ruHdbTMY1dj5EzZkkj+60Z+yW1&#10;X3naHvaOjid+Zn6s7RixOtwrGLO8LuF8rDEVIcdriWtSMAQ6P4bcw/p0PyDX2IpTKo+wjN5TrZqT&#10;pDuEuFdlh2OOnmI+wHccx3Ecp3EsIe7qqx/6fsdtuVSS7YCTprgQ5ziO4zitoFEhTv/j+2lnH2k+&#10;vHccx3Ecpzk0Q4hD0lL73PlzzYf3TvfC173i1Dkr33Ecx+k94DRWee8FjQtxw2fL9oaMGGM+pC9D&#10;+6cfh20b36ueGLfl3bfC9vfXh08/3N6pXH8R4oCWWSiXQDCSEk2sfr15hGW04CGlJg3mAyCgaBkG&#10;1zEn+UpOyClFwogF5THEgeNDf5BLmMfx6LqMuZVHWKYV6xKDshHGL8Urq11ZD6CfWB5hGT1vKQvJ&#10;+WAtpIQH9F7Az7E8iVwTgBha5TC2snuE13Ws0Sf2qiyP76WwJcun4Pjr2W+N7hfuRatttMG6aIuy&#10;F8ZY1HY9sUYbzOMeRRm59nJMEAVRjnMGKIt1Qdx0++ifdWWscV32TWTdFOiHdbCnGSerXWsNUnmE&#10;ZWQsQKvmJOlyIa7zfwRMMB/gO47jOI7TOFqIO/K4s+oW4vYfMny9bGvsMSPNh/iO4ziO4zSGJcRN&#10;m179R7aspP/uHjxihPnw3nEcx3Gc5mAJcYtuPzn73s2k/2fyaRdcYD68d7oPvAa1slRVVtyz2Czj&#10;OI7j9B4sIe7VVStXV2/Mdab9Bw+bqdu0HtL3JqSYYOXHSMkqqTzCMpZoAYlESy0S1EnVl+XK5BGW&#10;0YIHxiUloBgoQ/EEcKwxIMnIflJAsrHaIIybFXuOw8ojqbg2ui4xIO2k4ir71HXRTyyPsIyed9F8&#10;ZJ7eC/g5lifREqWUsCSMWwxrjzBPx1rWs4iNwaKR/dbofmGe1TaQApsG8Yq1zesxrFjj82ztUd12&#10;UbyI/P2QUxdxlAKnrpsiFSfMiaf8WWvAclYeYRnrc9CqOZGIEDez0l5rkv6H+R8NPcx8gO84juM4&#10;TuMcfPixNTf6hoQ4ddrMyCNGmA/xHcdxHMdpDEuIw6vKO27Jhcn6x3fr4b3jOI7jOM3BEuKua5uc&#10;fe9m0n93HzX5JPPhvdN9/OQng6sPY3BKnJXvOI7j9C5aIcQdMGTYKN3mmrXrzAf1vQUKCRAjrPwY&#10;PEELX8vkEZZB/1Y+ZBpIGJQ12B6lC0oeVn2KK2XzCMvoU5wo9+ArxifzUBZtsq6cO+QXSDZSDkI5&#10;lCkjJxHEgPFjW4gH+sEYdP+Edaw8wjKx+DSyLikwdtRl/GS7POUKeboe52vlkVRMrPlgnSDyIJ/j&#10;0XuBY7LyJLJcaoz17BGOTccaMUMs5ZzwPa6lxhqj3v0GGtkvRUIcSLXNMeu26/08InZsE6C+VZ57&#10;WY4L7WMe6Bf5ug7RsUYbmCPiiHpsy6qbAvtZzle2G4sTiO0xCcvE9lar5gS6XogbMnyi7BDMnnOf&#10;+RDfcRzHcZzGsIS4q656ZFDHbblU0lL7gIMPMR/iO47jOI7TGI0KcdY/vuNBvfUA33Ecx3Gc5qDv&#10;vRDi1q+/cJ+O23NW0n93H3ToGPPhvdM9bN/29t6HNNdeO8ss4ziO4/QuLCHuT889srV6Y64z7Tdw&#10;6CDd5tMrnzMf1Dt9C4gvlS1QBSKHVQZAeEGZlMTj9B+wVygMYW9YZRybHCHO6d9oIQ6vMW+pEGf9&#10;w/wll91qPsR3HMdxHKcxtBA35ugpDQhxtafNuBDnOI7jOK1D3nMBhLi2tpFZD9Wtf3x/4PEp5sN7&#10;x3Ecx3Gag7731ifEdT7ltb39PfMBvuM4juM4jfP26hdr7rugUSHuewNH7qPbXLB4ifmg3ulb4ESj&#10;yhaoYuUTl3gciXxlZOpkMKczPNEMp61Z+Y5z9fXza+7HEOIq12dX9k1r0g8HDt1XdghmzGwzH+I7&#10;juM4jtMYI8adUHPPbUSIs6R2nGBjPcR3HMdxHKcx9D33pCn5Qpz1j++Lbj/ZfHjvOI7jOE5zGDxi&#10;RM2993fXHF9aiLP+7t60+Q3zAb7jOI7jOI3TCiEOSbeJB/L6Ib3T95AnxOH1f3wtI9GvBeQrN53+&#10;DV+bCbnLynds5Oct9bpOp3/T5UKc9Q/zp51xhfkQ33Ecx3GcxrCEuMr1UR235VLJ+of5y2eNNR/i&#10;O47jOI7TGDiJVd5zGxXicEqN9fDecRzHcZzmYApxW8/Zt+P2nJWsU17xKjfrAb7jOI7jOI0D8Vzf&#10;ex95fMXnHbfmutP+Q4avl23OuPSKTg/pnb4JTqqqbIFC/NWYDoAkyT3hgmQePBWO4HWzqVcUO/0b&#10;nNAq78egcr11QhzSAUOGtcsOJ596SacH+EVce+2j4brrHg7XX/9gmN+2Itx8y11hye1Lw9Jlt4dl&#10;d94Rbrt9WVh8y91h4aJ7QlvbfeH6Gx6o1HnYbMtxHMdx+ipaiMPPlet1CXHWw/Vp00d3eoDvOI7j&#10;OE7jNCLEIem/u8+ZebT58N5xHMdxnObQDCHO+rt78e2LzAf4juM4juM0TsuEuMHDnpBtnnHehZ0e&#10;0jt9F4hNOAmOJ38RiDwQ5lauXGnWc/ofECOxN7BXXOrKQ0qn+Jz558lJERHi2ir7p3XpgCHDXpUd&#10;dpxWU4prr30k3HDj/WHxLcvDivsWh6f+NDe89Jcrw5urfxfefndWeHXVleHplXPDw48uCHevuDXc&#10;uuTOSvkHVTuPqJ8dx3Ecp2+Be6y85zZbiJsy7TDzIb7jOI7jOI0xZMRPa+65x598WLjuuvHZD9X1&#10;392nnX2k+fDecRzHcZzmcMj4UTX37ot/O7G0EIck2wBz5881H+A7juM4jtM47e3v1dx3wbIVt33R&#10;cVuuO+0/ePhs2eaII47t9JDecRzHcZzWcsddK2ru8WDDxk2LO27XrUnaij/48GM7PcAvAnLb7Xcs&#10;Cw8+vCC88OdrwlvvXhE2brkktH92adj15WXh/S0XVcW4l1+bE/70/HXh4cfawtJly8K8efeF6657&#10;yGzTcRzHcfoaRx53Vs1NvuOeW5cQh6RPm8FpNdZDfMdxHMdxGqNhIW7wsDZZHw/prYf3juM4juM0&#10;By3E4XTWeoQ4/Yq1aRdcYD7AdxzHcRyncbpKiBsyYoz5oN5xHMdxnNbRTUJc7X8E/GjoYZ0e4Bex&#10;8KZ7wuNP3VCV3jZsvjS8/8HF4YMPLwwf77g4fLLzkrBl+4Xh/S2XhPXvXxrWbbgsvPnO78Kzz18X&#10;7n/gpnDrrXeG66/vvVLc3/3df64eATlhwlQz3+n97LffoOoa46uV32qOP/788C//8j/CgAEjzHyn&#10;68DnHHsBn3sr32k+fe13bAuEuJrTZsYeM9J8iO84juM4TmMMG1372rWjfz6ylBCn/+7Ga9ysh/eO&#10;4ziO4zSH8cePrrl31y3Eqf+Z3IU4x3Ecx2kdlhC38Ja2Lztuy3Wn/YcMn6jb/WDrNvNhveM4juM4&#10;reGBRx6ruReDV19bdUfH7bo1qfJH/UzdqX6AH+XaR8Lc6x8IS++8Pby6anbY8cVl4dv/Myt81H5x&#10;2PbxzKoUB7ZWvt/+yUXh088uDZ9/fXnY8uHMsHrNb8NzL1wbVtx7S5g37wG7/QaYNevOMGrU5PCP&#10;//jfqjIFoVg0ffpcs15Z2C76svKd3g/2DPeOld9q2D8488w5Zhmna8DnnGth5TvNh/HuK79jjz1h&#10;Rs39dsiICeHqqx+aWJljXel/HnTIvbK9kUeMMB/iO47jOI7TGI0LcZ3/7rYe3juO4ziO0xy0EIfX&#10;lW/ePP37Hbfm7KRPeT1q8knmA3zHcRzHcZqDvO+CZghxBwwZNkq3+8prq8yH9Y7jOI7jtIbuEeIM&#10;K372nPvMB/maefPvD3csvT089uSN4a01vw07Pr8sfLX7N52EOHz/4acXhU93XRo+++rX1Wvvrvt1&#10;ePGlq8N9990cbpyX118ukN14qlCMZskVzW7P6Xl0txA3dOiR1f7/4R/+S1X0tMo0A3xuuJ+bJYz2&#10;NXqbENcX1pTjdyHOTgOG/XSebG/AwYeYD/Edx3Ecx2kMLcThVNZSr0w1/vF99bpzzQf4juM4juM0&#10;znGnjqu579YrxB04/LBrZTsHHTrGfHjvOI7jOE5zkPdd0JQT4gYO/75u9+mVz5kP6x3HcRzHaQ2W&#10;EPfE0yvv7rhdtyZZ/zB/yWW3mg/yNYtvuSs8+vi88OqqK8PaDb8OWz+aWX1NKr5ShpNs/2RmVZbb&#10;vG1mWPPe5eGVv1wZ7n9gYVWss9qvF4hDlalVpTi8bpLXL7ropr2vn3Qhzsmlu4W4rgKnz3E/+0l0&#10;Nr1NiOsLa8rx91UhDq8pb0SIGzh8+BzZngtxjuM4jtMacAqrvOc2Q4h7+vkzzQf4juM4juM0TrOE&#10;uOFjjqz5uxtYD+8dx3Ecx2kOkM/lffea66/5quO2XHf63sCR+8g2wR13rTAf1juO4ziO0xogo+v7&#10;ccuFuP0GDh2kO50xs818kK9ZuuyO8PJr/xHWb7qkKrlBeuPJcFu2/yps/Qg//02IQx5enYqyG7dc&#10;Et5aMys8/uT8MH9B806IO+WUy/YKFPjeKtNM2JcLcX0XF+Ic4kJc18Px95XfsZNPvaTmftuoEPfv&#10;hw6/WLYHrrpmvPkgP8YNN04IbQuOCotuPjrcsuTYcNvtx4Q7lk6ssuT2Y8PiW4+p5i1YdFTlfn1k&#10;uP5Gux3HcRzH6cs0KsRZ/zf6A49PMR/gO47jOI7TOFqIw8/1CHFjJ06eJtsB7e3vmQ/wHcdxHMdp&#10;nK4S4hYsXmI+rO/rzJmz57nRPvvsY+Y7+YwePboaS3y18ruSDRs2VMdx0EEHhYceesgskwP2BeaE&#10;fWLlO/2bnrTny7J06dLwgx/8oDp+gO9Xrlxpli2Lf27y6RYhzvqPgDPOvtJ8kK+5+55bw+o1s6qv&#10;QW3//NK94ltnflX9ukeQ2yPM4RQ5iHQrn5sbFi68x2y/HrpaWGFfLsT1XVyIc4gLcV0Px+9CnJ1G&#10;H/3TM2R74A9zxpkP8i1unDchLFh4ZLjtjmPD/Q+eEJ559hfh5dfODG+8fVZY9da08OdXpoYnnzk1&#10;PPjICeGuFceHW2/7Wbhx/gSzLcdxHMfpy0CAk/dbCHJlhDjr7+7r2iabD/Adx3Ecx2kcnAgn77v1&#10;CnHHnnzqCbId8PbqF80H+I7jOI7jNI4W4q6Y/buvO27LDaWBww/7q2z36uvnmw/r+zoXX3zx3ucu&#10;Vr6TD+QzxBFfrfyuBBIc17WR8bAN7BMr3+nf9KQ9XwbIcNzbkmbt82a315d55bVVNfd4sHzF/Q9U&#10;4te6ZP3D/GlnXGE+yNfcuXxJeGP1H6rC24efXrRXeIPstmX7hWHD5kuq0tumLRdVf2Ye2PnFpZVr&#10;M8NzL14bFi5qjRBXrwCC16rut9+gve3gFawDBoyovnJVl2UZyhr4yle2ArQzffrcTvUks2bdWa33&#10;j//43/bWw+teUTc1B5RBWbTPNuTrYvWY0ZacF/pLnaKH8miDQpisN3TokdU+rXopUGfChKnVNmWc&#10;ON/UeFLzBUWx5rrKOAOMBWOy6gBLiEN5XMOYrH1B0CfLyeuog9jK8aN9+YpfIvvSeYDryvjgK37O&#10;3f9sP4VVD2sl+wXcG6mYxMDapfoDqViwPvMYYxkX/Fy0b1P1sOdwDVh1gbW2+B7XYnHhvBBP/Ix+&#10;2D9iKutZ7eu9U3ZN6/2s63Hr3zEYI+ai62kwdvm5xPf8XcBrOe30BnB/1ffcRoS4CRN/Okm3d/ms&#10;seaDfIuFC48Ky5YfFx557KTw4kunh7fXnhM2fnBB+PSzS8KnOy+u3MPPr8pxL71yRnjm2dPCAw+f&#10;GJbcfkxYgJPijPYcx3Ecp69y9M9rhbhho8sJcUiyPnAhznEcx3Faxzkzj665744/fnRdQtzv/mP2&#10;eNkOePGlJ80H+Cl2f7u1BquM4ziO4zjbwlGTT6q578649JJvOm7LDaXRx0z6srbdK8yH9X2dviLE&#10;9YSTqnqSHLRq1arkKVW5JwOiDHCxx7HorUIcT4bDV3xWcA2nwzXrhLhWfG4wNrbbrHH2BNasXVdz&#10;jwc3Lbnjsco8W5twQo3sFCfYWA/yNUtuXxqefeG68PaaK8LGzZdURbdPdl5SfS3q+x9cHN5Z+5vw&#10;1juzwtoNv64Kcbi+R4i7MHzxzeVh2yczw4svXxsW3bTCbL8epFQDqaJIftFACmF9DQQVLVwxD9KI&#10;FDokVj2C61JssbAkKcB8SCmUZzS4rkUejSWayDjGYNu6bgopy8SIiS/Mx3xjMYvFOkcQksKbhJKQ&#10;zJfxQduyvIR7Al95DXVj6wW0yCbXTl4HFO5i6PIWObGR5bHmReuI+cX2bQzMm/WtfJCKhayPvmMx&#10;Tv1egIQVq4frct5W/VS/AHnW/uS8sMes30HcE7l7p8yayr0cA31aMZPjxu9AXY9gTrou4efLQsYi&#10;9nuht4ETWOX9Flz669tPqcyxrvTL8w47Qrc389Ix5oN8C7wSFafCvf3uuWH9+9Mr9+4LqpL7p7su&#10;qdzPL66+/nzDpvPDuo3Tw5r3zg1/eXNaeGblqeG++yaHW5ccG+b5aXGO4zhdzhtvPhh27Ngatm9/&#10;18x3WsPxJ9f+zTxkxE9LC3GDR9S+dvV31xxvPsB3HMdxHKdxLv7txJr77iHjR9UlxP3p+UcHyHbA&#10;3fcvMx/gx9j9zQfh613rw5ft68IX7WvDlzvfC9988X7Y/fUWs7zjOI7j9Ge0EHfGeed923FbbiiN&#10;m3jCN7XtXmg+rO/r9BUhrieIOb1JDspdd5ZxIc6x6E17XsJ93apXmrbicyNPfWzkNcg9jQ+2bqu5&#10;x4Nrbmh7pjLP1qXZs5/Y5+DDj63p9MjjzjIf5GtuXnxPePjRBeGlV64Ma9f/Onz46czqq1O3fzJz&#10;jxC37vLw9prfhPc24DS4PUJc9ZWpH10Y2j/DtYvCsy9cGxYtap4QB6S0ApEDIkWOuCVlG4gYPJUJ&#10;X9kmvso6LE9kX1KOgcAl6wGUo9gFSUeejgZJRc5DS1KAeYR9AymScAzoQ4o1lLWAjg/FG0gusm+U&#10;k3FCvqxXBOYEAQaxkadeoY/UeADzSJlYU6LDV8yN1+XaAuuEOgo7+Cqvc7z4Kq8TtM12MT5eZ3+o&#10;J8eCvtGHXmsZb3kdcM5yvyIm6M+KQwr0y370GCRyb2H9db8cE5DzK0L2b+WDVCxkfYBxMO5632IO&#10;uj7KcOz4yhjoukTXx1yZhzXWa8v9grbRpqyr28faYewYA/IY47J7R8ZE5xG0gzHV81nX48a42Ib+&#10;bMnPgFUfa8K4oA3Gi6Csrt8bOef8P9bcb8Elv15yVGWOdaWLrxj/U93elGmHmQ/ya7h+fJi/cEK4&#10;9/7J4c13zq6++vzLb39TFdUhrfOV55DYcd+GILfzi8sq9/YZ4a3VZ4WVz/0i3HX38WF+W+uEuHtW&#10;zAxr1jxTlT5kws+4fsutp5n1CPJZf/furztq70m4tnnL6+HRx64065LPP/+ko0aofm+V0dRTR4Ox&#10;6fTyK8vMspJPPtnYUdpOubGTQLxBu199/VlHK3sS5gYZp2hczz67oFP8dapnXDLOSOgDe0aWwfrW&#10;mzgWzE8mzhf5cl65a42YMaE+r+fEiSlHgiraC0ytFKqwpkhynk5zwGeGCXvHKuM0Hy3EDTj4kNJC&#10;HE6mkW3gVW7WA3zHcRzHcRpHC3EQ0+sR4l57fWWnv7sX377IfIBvsfvrzeHzj1aHT99/JXy09rmw&#10;/Z2V4aN1L4QdH7wevvh0TfjWpTjHcRzHqeHEqWfU3HebJcSdNm36F7LdIyedYj6s7+u4ENc8epMc&#10;5EKc0wx6054nGzZs2LuvWyWWteJz05+EuFlzrn6hMs/WJUuIG3P0FPNBvmb+/PvCsjuXhCefvr56&#10;StzHOy8On311WfXh+eZtF4aNWy4KGzdfXPn+ouqDdVyHFPfBhzPDpm0zqxId6i5YcK/Zfr1AqqDE&#10;RCB8QKjQIoqsw7KQOKwykKm0SCP7KBI+KLUQnuIE+SU2Ls7DGhPbBVbfaJf5kEt0H1KWseqn4Ljw&#10;1cqvBzkeKeYQ5oGysU6BuFCEsqSb2FzlKVyW+CXzZex5zZLvLOS85HUZr9j+KUNR/HUZK1ZAimGW&#10;eBZDtm3lg1gsgKyP9bTWhGtpyYKybWv+uMZ9AnQ+5a/Y7w+5z7A3ZJ7sG2Vi68kyuXtHxsSaUw6p&#10;z7oct/U7Rs5Z7wWZZ7WNfNRh+7H91tuwhLjTpv72jMoc60rX3TB+kG7vpCnFQtzCm44Oy+8+Ljz1&#10;p9Mq9+LzqjLcV7t/U339eVVcr8pwe+7bH7ZfVJXhPv/68uqJcavXnRuef+n0sOK+SS0T4jZseKlQ&#10;DoKgFRPacuozQRyKiVg6WWU0OlllUmAsVoIAY5WX5CbEJhY7AvFLS3CxBBkstRa5KWdcQEtqTOhL&#10;loMoVG+iZKTHL/vQ8Skau15b7D3mlYlTzl6QwlQq5bRVL3JOVr5TP5RmsQdjv7+c5oP7q7zflhXi&#10;1q+/cJ/jTh1X04YLcY7jOI7TOnASq7zvQohbv/WcUjI70u7dWwcddOiYmrbmzp9rPsAHENy++fL9&#10;sHPbm2Hb6j+FDS/eH9Y8fnt464FFYdXd88Jf7r4hvL5ifnjrwZvDe8/eEz5e90L4cse6Sp1NZnuO&#10;4ziO09/QQtykX0zZ3XFbbihdfMUfdsp2h4wYYz6s7+u4ENc8epMc5EKc0wx6054nXSGWteJz01eF&#10;OCDvxaDlQtx11z2w74hxJ9R0ip+tB/ma669/INx08z3hnhU3hxdfuiqs3Xhp2LwND9Jnho/aL66C&#10;h+s8GQ7f45SZLdtnhnff+03488v/Ee5/4OYwf979ZvuNAmlKSmEAAoaWUViWZSyRJgbrxE5KSwkp&#10;PAEpJXpQOMG4dR7bjfUtZZUiwaasbCLbtvLrJTUe5tUT6yJS0k8sDzFlf9aYuL5akKIEFBOnNLFY&#10;S/HM2tNlyYmfFJRiewrIcla+hezfygepfSfrx4SxVH2uF77qPIJ1turLvZDae9xLeu3luFK/f8ru&#10;nZw1LSIVM5kX2w+xzw/WiHVj6yXjir6sMr2NGTPbau63oBEhbu7ccaPwQF62hxNsrAf55IYbjwh3&#10;3Hl8ePKZ08Jrb04L7206v3p//njHxVURzgL5uKdv2jojvLPu3PDnV84I999/Qpi/4Eizj0aQJ2gV&#10;JUvmKVOfCUKXJZXopPMtdLLKpMCJbLGkT0DTlEmQz2IiTWoMsRST2cqIXkipcZHYGkMOkuUwnnoT&#10;x5AS4vRJfviZeRY6rviZeWXilHOqW64Q18oT4lyIc/oaWogDZYW4c2YeXVMfJ8ZZD/Adx3Ecx2kc&#10;LcSBeoU4/eq2iy6/zHyAD776bEPYsXVVeG/l3eGZ6y4J90yfHO4+e2K455zjw13Tjg13/vKYcOeZ&#10;4GfhwUumhNeWzg1bVj0Rdm1/K3z7zQdmm47jOI7Tn5h2wQU1990JPz/hrx235YbSnGuv/0q22xeE&#10;OEgSo0ePDvvss8/eZyk/+MEPqlIGTkWy6uSIUatWrQqTJk0K3/3ud/eWxfe4hjxZFq8gRD7GoPMk&#10;LCf7xRhxHXKN7AttYV5Lly6taQPIuVpYQkqZ+WgYY1mPfZSVg1auXLm3nZjgwvXBPK18wH4xfnmd&#10;sZGvhZRjt9Bj53XOEV9l3NAe5iHrlAFrjjaxT9km19uKCec0bdq0TnkSluO4JfPnz98bM4KfcV2X&#10;JYwbYokxI9asizxZBnPR9SWsy3q5IB6oy7lZccr9/GGuLKfzcvohjKPeNxLUQ322B4p+L+WAfYdx&#10;Wp9ja6zyd45F2fVADOW+xff8HcVr1v7DumD/ImYyJhy7/jwVjRvI8mXb7wnIezGYcdkVr1bG3LoE&#10;Ie7YE2bUdDpkxATzQb7m2useDXPnPhQWLron3HXPreGpZ64Pb7z9+7Dlw1+F3WFW+OKby8OOzy+r&#10;vh4VfLn7NyGE31cfrv/51avC3StuCYtuuif88bqHzPabBWQ3yi5En1YUE12KYJ2UrMEyWkjh9Vxk&#10;XVk/1ndKZCFFbcTIabseUuNJ5RGWKSv/xKSdojyIScjTJ47hhDqORcs+cq+hfpGAmYq13NcoV+Zk&#10;PE2OPJWKhaTo9DwL2b+VD1KxyBl/qg9eT+2vWP+y3Rx0/FLzkpTdOzkxKSI1tpxxs0y9c2YZlLfy&#10;exuWEHf8SRdeUJljXen668dPHDZ6RE17Y48ZaT7IJxDiVjwwOfzljWlh/abzw+ZtMzpOcN1zMtwH&#10;lXs4Tofb8+rUX1XhCa84Ie69TReE198+Kzz8yMmhbcFRZh/1wlcsyoRTtKRohdPBKPtoIc6SiiD8&#10;yPr43hKqLJlJJ51voZNVJoUUmfRrQREfqw6RSccGcYNsJpMUsoh1qhra4qtCAcQ8xFq3Z702VK8J&#10;fmYepDOMQbeTmifqyPI6RnKtY+hklSGp8aMvmbSQp9GvMZXiX6qfepD7qNG26kXOycp3nN4GXkku&#10;77eglBC39Zx9rVe3WQ/wHcfpGhYuHr/3742///v/FB56bJJZrtVMnzFk7zgGDv7nsOrtM81yjuOU&#10;47q2yTX3XbDgjpP/tfJZK5V2f71llBbi8KDeeoAPILZteuWh8MLC34UlJx4ebjliULhl/KCwaOzA&#10;KgsrLK78fNuEIWHhhIPCI7/5ZXjrgZvCR2ufr75e1WrTaT6vvPxY+MlPBodx40aGd999oVNeZemr&#10;4HuZ15PA2DHG/fb7npnvNI/vfOfvq7G+9tpZZn6rOe/c06v7tbv67wl09xo4XQvEc3nfHTH+6P9d&#10;Wf+G040Lb/5StgusB/W9BQgQlWlFgaxhyScQNlhG5wFIH1Kq0CBPChb4nnlSxNJQJMFXXoOQwrox&#10;tGCSGhvQ5cvORyJjpcE8OKeUHKThWCCqWPlsE1iSD9aU+Vro4nUZg6IY67HzOvaXHIskFbMUqCNl&#10;Jgs9J44ffcrrEkhJrC8lSsQK82OeRWwdWC8WB5SR4lIsHnK90JZVxgJxYD0LxqmRzx/I7YcwLrE9&#10;X+/vpSJSn0Wi49tMIS61j7CH+L3+/QNSv3+I/KyXFeLKtt8TgJAu78UtF+Kuvvqh72sh7kdDDzMf&#10;5Md5JNx44wPhttvvDM+snBvWbbysetLM1o9mVk+D27JtZti0dc+Ddlxfu/7y8PDjC8K8+a05GS4G&#10;xDiesASkIELRJ3U6lAXbSskaVn9SmMrBGhfzYn3nCCdFbWDMkAe1UCix6qXAqU8QphBzuR4Sazyp&#10;PMIyMfkHewAikT45kFiiF/eGlSdPuZJ9UgizTvYD8gQ1gPGgjnXKVmodUV6vDcaJeeqyRWD8bCMW&#10;P+ZroVST05ZG1rHyQSoWOX2m+uD11P6K9S9PmMxBnyiYmpemzN7JiQlBftnPes64WUZ/fnLnzDIo&#10;b+X3Ni657Naa+y1oVIgbeUQ5Ie7GeRPCQ4+dFN57//zw2Ve/Nk6G6yzE4X6+51Wq+PnCsHbD9PDE&#10;U6eFtoXNOyFOi05IKZEH0pR85aRV3xK+iCXfSUEJ6CTzYuhklYkB0UwmCFda/rLqEZm0EAf0nK34&#10;SpEKKXWCmBbCkKQ4B6QUhWT1iXWSKbXusixio8dQdEob0MkqQ4rGn/vaVOwtmeTeBTlxKoMLcY7T&#10;fKZNH11zvwXTzhud/VAdQpz16jbrAb7j9EZWvnBqVSqrbPe9/Ov3/i+zbE9BimjgzruPMcu1Gh23&#10;7hqH4/Q1Ft1+cs19F9QrxOlXt+Fn6wE++PDd58JLt1wZ7vvVSWHhkf8ebpswOCw5YlBVgru5g1uP&#10;GBxuP3JImD9mQLjrrOPC822/DRv//GD45ouuE+KeevLucNKJE8N//ed99/7+gVgF8aYnS2DN4vLL&#10;Z+ydN76XeYgN8/C9zOtJcIzAyneaB+Os90pX4Wvd/WvgdC2/v2pOzX33p+OPasorU++4a0VNu+CD&#10;rdvMh/U9HSlMQMDgyVAQTSCwUJCwpBUplug8KddAFpGSD0QjSjVoX0otMdmGYHxsVwo26ANjxDV5&#10;uhXkDbYJLIGmSMwB9c4HYAysi3IcH75S0iKpMWgoz6BPnSfjBCyBSgpMMmaA1y0pJ7XuEpYhqMfY&#10;yL0FsU3XTYE2KMMhnlJcw7rImEp5Jya7SRhTPSa2iTFj7JwH4ibjYcWL+4vgZ/QPWB7tMT8mu6XW&#10;K4bee9y36I/jlvuH+xhfeU0i9xXGw+tl+wGpz10jv5dSyBiibuxzDCwpUM5T7q1cGAuAvcZ9hLZk&#10;34B7Q4J5ox7GyrpAxsRau9xx19t+dzLiiGNr7sVnnn/Rm5Vxti5BiJt86iU1nZYX4h4N11aYd+P9&#10;YfnyJeFPz84Nr/5lTnjjrd+FN1f/Nrz1zu/C62/+vnLtyvDcC9eGRx5rC0tuuzNce90jZlutRApM&#10;UupJSU8p2FZK1mAZKaTI113WK3oU1c8RTmJtQK5hTIqQ9YrQUmIMa06pPMIyWv5BvGMSnMRa/6K9&#10;wfnI/USpKCWOUUBi3wD19ClvOeuIuOr1yn2tJsF4WFfHjzA/NS+Q05ZG1rHyQSoWOX2m+uD11P6K&#10;9S9PxMudryRnjSXoI2fv5MSkkc96zrhZRn9+cufMMihv5fc2rpi1rOZ+C46edPbllTnWlSDEQYCT&#10;7UGQsx7kkxsgxD18Uljz3vTw8c5LwkefXlSV3yC84StOjNu45YIq738woyrBMQ9fd3x+afX6M89O&#10;CQsWNe+EOC1FFZ22pdGylyWEabTMpE8m00nmxdDJKhNDzoHz16fZpV6bKpM1f336mxaltFwG4UxL&#10;gho9vnpEr6JxSeQpa5T15Drm7BudrDKkaPz6tal6DxGIgjJpWTMnTmVophDHOWI/FL22VyLnpPO4&#10;19Amfka7WE8KoFhH1Jf7DzGTJwJiL6Ad5mvYFn9Ge7I+YqQFTgnrow/AmOK6FVO0hTGxHhL6Q/ys&#10;uLFckcTJcrJP/q5Aniwr8/hZxOdLfm4YW11PgvnK9YgllLPq91XOv7CzEHfEMQdnP1TfvHn6961X&#10;t1kP8B2nN/KL0/9t73+7S3qy3OVCnOP0bZbde2qn++4lv/vZjyqfs1Lpm2+2TtQn1eDEOOsBPlj/&#10;7Ipw/8xTw03HHBzmjx0U5o8eUGWeoG3MgdWT4haMHxxuP3lMeOSKX4Z3H789fP35RrPNZrJ929vV&#10;k6YqU0sCMc6q313gVCiMC6dEWfllWXHP4r3taemtJwhxOadh8YQ4fLXynebB/dBdMhZk1f6+1t29&#10;Bk7XooW4wT89vCknxD3wyGM17YJXXssTVHoalBws+QNIkULKI0DKHfI6oECErzoPQLaw+pYijCX9&#10;yHwpbKQokkFSYg6pdz6A7SPfGrOcUxnBB9IK6+l5SfEHWNIZ52QJLqxnSTmpdZewDMB4dL5sJ1fw&#10;AowX5hTbA4y5Xi+uEaQfeV3nSykN+x7XgP4MEM4F9XUexwJy9pjVhswvIyRRsorFCvtGtif3ojXX&#10;2OevbD+AcbFiwnXQnyUiP9OxNdFgXGw3tg4ogzmgjPWZkf3qz1wRRf0jn0ImsD57KVKfy0bGTXI/&#10;913NkZNOqbkXT54yrfVC3GlnXFHTKZg95z7zYX6Ka699tPLL8d5w++1Lwz0rbg6PPT4/PP2nueGZ&#10;ldeHx5+cF1bcvzjccsvyMG/eA+G66x4KV1/d9UIcqEy7ihQ0pFwiyxbBOilZg2W0kJJTN0VR/Rzh&#10;JNaGrIvY6Fcz5rStgXhDeQxyGiQufaoV27TmlMojLKNjTeEH/aO+FoeYr6WdojzA11jyNDh5+l/O&#10;60IRAxlP3U+ZWKNvvsYVpGKlyZGnKPrFYkGkIKZjHUP2b+WDVCxyxp/qg9dTMYv1n9N3ijJrLCna&#10;OznjkvXLftZzxs0y9e5rlkF5K7+3gXurvt+OOvKU31TmWFf64/Xjph7981ohbsiIn5oP8glemXrP&#10;vZPCy6+dWT3pbfO2X1Vfh/rxjkuqwtvGzTPCu+vOC6vXnBfWb7qgKsQhH0Icvn757W+qr05d+fyU&#10;sHDR0WYf9SCFDaSYWBRDCkBIWjiygBQiEwUropPMi6GTVSaGlHUoyWiRKiWyyGQJcVreKjrNTcfD&#10;QstsWkjTbVrj12Via69PWeP49bwwJl1XopNVhhSNH0KQTLFT/BBLmbRomBOnMjRTiJNtFcVWIuek&#10;8+S+0TKsTOgbsdK/H2SKjYkJMpr8bOkU229MyNdimPx8FY0PCfX17yTWsaQ2Ij//8vOaii3zMEb9&#10;2ZAp9vnWv3NSyYW44eGQ0YcM6LglFyYIcdZJNavXnWs+xHec3sY/7fudvf/tLvnZxP3M8j2BniLE&#10;+StTHac1WELc+Imjs+/dTBDi9IP5kROOMR/gf9m+Nrxx74Kw9NRxYcGYA0PbmD0ynBbicDIcpDgI&#10;c4t+NjTcddaxYdWKeeHLnevMdpsFZDiKNQCnw0G4gvQF8L2U5bpLBrOABMNxWfnNpCcIcezf5Z+e&#10;ga9H9+Nr0L+YO39uzX23WULc0yufq2kX9EYhTgpVVj5hGS2nxAQJiB28npIvKMRIaUmeQGXJMBRv&#10;tOhUBNu0JJOUmAMamY+sGzv5C3BesTFYpNqmPMWvQEtnKemIdax45YoxLBObd72SDmNljY1wjFou&#10;o3CkrwP5eZCSFcaPa6m1kXPRghb3RUrgA7J/fC/z5FrHJDFN0WfJomi/Wp+/evoBjIuOa6O/l2JI&#10;SVTHVyLL6X1Z754FqfUlMv6p/W2RGlsj4ybNaKMVaCHu6Mmnra2MsXXpqqseGXTO+X+s6RTUI8QB&#10;iG7z5t0fFi28O9x2+7KwdNkdYdmdt4fb71gWbrr57vDHuQ+a9bqSyrSryFOupMCTIzER1knJGiyj&#10;hRSeWAbJSF7PpajvHOEk1gbFp9gpYzlta+TpfLEYM9+aUyqPsIyMNaQhXsc6y/IEsg7yLdErlQcw&#10;F7aPOTI2WF+rfAyKdUBeryfWueKaJEeeomxH+S8Gy5WJQU7/sRiBnPqyjM7j5zEVs1j/UoLUr0PN&#10;oZ41lsTGlROTRj7rOeNmGR1X+ZrZ2NjkZxftWGV6G5YQN2Lcz6+uzLGuBCHu+JMPq2lvwMGHmA/y&#10;CYS4pXdODE/+6bTwlzenhfWbzg8ftV8c2j+7pCq9vb95RnjnvfPC2++eW82DEPdh9RQ5vDb1wrDz&#10;i0vDpuoJcb8IC5t4QpwWTsqKFvXU1zKXlFyATjIvhk5WGQtIOzJJ+UXOLXUCmkx6LpBxZDuWuFWv&#10;lKiTzJPiDpKUsyAS6XyMMXYKmRanKJVhrWUqEvl0ssqQ1PgJ1kSm1GlgSIizzs/ppwxY/1hKnVpm&#10;QakqtTYWck46T3/20DaFMfQhBTbGDnFj//h88HpMQmRiOYyH9dG/7MOS6nTCvkI5jFPKbVJ2lHHF&#10;/tSfO/l7KSa7Sdh2SjSV13UeEubJ+WFs8nMu5wEwZhlXjld/Vq149QdmXjqm5n4Lygpx1oP5p593&#10;8cXp/UAkq2zzveBVqfwep59ZdXoCPUWIcxynNTzw+JRO9916hLhvv90yVQtxBx06pvbh/Tdbwxef&#10;rgkfvPVUeGHBb8Pi40eEm8YNrEpvUoSTQIqbdzjEuAFhyeSR4aVb/yN8/sm7te02GSm74XWpVhmA&#10;09Osk9O6ExfinO7E16P78TXoXyy+fVHNfRdU1r+h1N7evg/kN90uJDnrYX1PRopNOWhBQ9aX16U4&#10;kYMWYijK6BOlpHiTElosWM+STGJiDmlkPrkSSdEYYlB406dZUXaDnGWJb1LO0aIcYJ4Vr9i6a1Jt&#10;EJYpI9iwTi6yrlwPvYcoy+l9x7XJRc+lzNpyrfQJdlLSSkl1ErnGZeIb21Oxz1+9/cTiIvdXDqn9&#10;Jcndt/jMsJyW7eT+KTNX0MzPjUVqbI2MmzSjjVYwecq0mntxtwlxl1x2q/kwv5hHwrXXPhKuu+7h&#10;8Mc/PhTmzt0Dvsd1nCJn12sOkFpS4oQUOCBk8LoUWmJiCMrrPNZJ9ckyWvqQEktMCEnBurG+5Vyt&#10;fBBrw3oNqITCU6ptTdGpYVIss+aUyiMsI+Mp25VrTiDdpGQoXIvlESkVsa2yYlRsvXLWUZMzZo0W&#10;+6wyUmKKyYVF6xhDfgatelhT7ktg5TMv9nmSZXSePCUSc9D5cu5Wfe4BjBF7SuenqGeNJbH6OWva&#10;yGc9Z9wso/di0e9cxJAxBdae6K3o+22jQtxJU8oJcdffMD7ccusx4f4HJofnXzw9rNtwXlVy++yr&#10;y8IHH10YNm3d88pUiHF8Zer2TyDDzQwfbMcrVX8V1rx3XnjiyVPCgoXNE+J0ssqk0Mkqo4HUIVN3&#10;CnHyJCcIKTJPi2pSqpHkJsyTMplES1S50otOMk/LOUVJCzoSKTBpqUxKRzp+Gp2sMkSPHz/rMvoU&#10;Li0S6hO3rDnmxqlI9iMpIY4JcUrFu1HknHSe/OxhHHpPQ9ySyZq3bJ8SmkQma57ok8lqXyZr3YGc&#10;R6xMqh/u29i6Mh97TF5PxVbm4TOjP+tSetP9yr1qxZS/i/Tnr79w+ayxNfdbsN/AoYM6bsmFadPW&#10;8wdZD+ZdiHP6AjgFrrLNq4wY+d8rn5dhe38GCxePN+t1Ny7EOU7fBvdYfd8dMX7UTyuf91IJQpw+&#10;qQbIB/fffr05fPr+K2Ht03eGJ6+8ICw6emhYPH5QWDA2LsQBnBx38/iBYeGRPw7Pzr0sfLrx5Zp2&#10;m4mUvHJeu/juuy9UT5Sz8roDF+Kc7sTXo/vxNehf3H3/sk733e8NHLlPZQ/UnSDEfbB1W6d277hr&#10;hfmwvicjX8+XgxaIYoKHfl1nEfokKllfnrYFOQXXrNO9AEQhlIFgQ7FIY0kmRcJSI/PJlUiKxhBD&#10;jo1iG4UexonrLNvmqWfWayEB27Ti1Uyxh2VyBRspZeWg5TaAOSNPnnIGLHEQsHwOaEMLhmXWluuC&#10;dqT4RklNjzmFXKdciQ7EBLfY56/efmJxafT3Ugz2F9vzErat927u59miWZ8b7C/sE87HQo+tzLjr&#10;ab870ULc6J/9fFNljK1LEOJmzGyr6RTgmvUgv6dTmVIVSEkQkiDAAMgslIQARAtdV4ofqEtpC18p&#10;y2ipg+VTsgbLaEkH7VJGwVe0wT4BZBZIR5iLJR8V9U0RBVj5INYGY4FxSYkMUo2UVICsl0LKOWhf&#10;xleOFVhzSuURltGxZpwxduZBuMHcmAcsgYz7xsojUvYjci0J+uZ6ynzElePQclBsHXEdY8IcKGDh&#10;qxyLtW9SsB7ihLYYI1lGS0qch44n5slx5SLb5tjRhowB0XURW+bp9bfK6DzMg3lyn1j7E+j6WEPm&#10;Ye5yXQDaw+8VxEcLd7E1lqB+2b0D2G5sTRv5rOeMm2Wsz4+UEFGO8bL6Rr6u31v50dBage3fDz3y&#10;j5U51pXmzh0/c8q02vaA9SBfgpPdbl86MTz62Elh1Ru/DBu3nB+2fPir8MGHe16Luoc9EhxOjcMJ&#10;cR/vuLgqy7373nnh5b+cEe574IQwv22C2X496GSVSaGTVUbTk4Q4ecqYllQg88ik5RiSm9CXJe90&#10;pxAHwQbikKwr0YKUFpwQM5liJ24BnawyRI/fipsUnpAgIcl8PTZLRsyNk96jMXKEOCZLfGoGck46&#10;T372YmvFOeh4EtmGtVeZYp8XwD6skxeZUvKXXFtrXYksZ12HoCavAymn6c9GKrYyLzYmzlvvp1S7&#10;Ml/X6y/8Yc64TvfbA4YMG9VxSy5MEOKsB/OQ5KyH+I7Tm8ApcJVtXuWaPx4WVr5was1/y6dem/qL&#10;0/9tbzmIdLiGNvDqUF7H61ghr+m6BP0hH3XkWPA9rqE9q15MiIPAJ6/HhD60yzLoC+NgHupADpTj&#10;wVjQp34lqhwH5irzAMojTvLkPZRD+y7xOU6cV14/q9N9t8y9mwlCnPVgvr39vb0P7r/54v2wffWf&#10;wqq754WHfn1GWHTUj8PNmUJcVZwbPzg8+ttp4b2Vd4X2LavCt19trhEDmgEkuMp0qkB2s8rkAEnu&#10;vHNPD/LVqzhNDu0vvvmPZh2A17GiLGU8iGZyTHh9qyW6yDIWOPXOKo/+MFachMey7Bu88vJje6/j&#10;e9mGFuLYDuaJa/iKn2NxlG1b+YDxQFu8JuuVQc5L09XrlQPihjFh7RhTtom46vUgjA9jhnasdYmJ&#10;nLjO1wKjL/bLeOBkRKseYFk5Z8YDsZVlNRgTyjGWhDGV48fPuC7LAfal2yBYS3kCJGNZ9rOOdtCH&#10;3C8AbSN2Vh3A8bEM2pFt4PtUfEmqHq+V3XdYd9TR7eJaaq/oOqn1IVxL7FW2Ifca6sf2N+CelnUQ&#10;+9Rntd6x9nQef+r+TvfdHw4cum9lfnWn9vb2fS0hbsHiJebD+p4MJRtg5RcREzwozoB6xAlINawv&#10;5TK+rlGfngUghlFoSmFJJjExhzQyn1wRpWgMMaQgRpGL60J5SkpzFJYoecn4Sljeilds3TWpNgjL&#10;5MZVnt6VajcFpTPAeEgJTAtt3Fdl14aUWVs5P6wbrsnPA6/lkLtOFpyz/KzFPn/19hOLS6O/l2Kw&#10;v94sxMm9m0KPLXfc9bbfncy49Iqae/GwMUdtrYyxdemaax4ddcWszn/U91YhTgoaMSiG6Lq4piUM&#10;iSWyMC8la7CMJemgPcosKbSUBJgX61vGwsoHsTaKxiXjJOsVIQUYDfqD8IPvrTmxXD2xRvyYZ8H5&#10;1CvEYe/o9qxyGJcsp0EMpOwEYusor1vExpBCnlookWWwN1KfE4B11J+VHFL7jjIYf9Z1ZWytz5ou&#10;Y+Wn9gnmnOq/qL4kd40l9ewdULSmjXzWc8bNMtbnp+h3Lury84fvdf3eihbiBv/0iJsrc6wrQYib&#10;Nn10TXvgqmvGmw/zyY3zJoQFC44Md9xxbHj4kRPCCy+dHt5979zw0Y6Lwjf/Z1b47Ktfhx2fXxra&#10;P7s0fFrh679eEf5P+F31xLgXX55aleFuWXJstR2r/XrQySqTQierjKanCHFaqNKCEKQWmSx5B5RN&#10;kHFkfUoyTF0pxFknWUlw6ppMuqyUh5D03CQ6WWWIHj9+tspJoRFJjk/mxeSq3Dil5iVB/3r9IL5Z&#10;/aSEsUaQfem8IpkNxKQtUtQGU2zNQGqMTKn6RWMkcv9KuU3OQX/uKctZQmBq3Kk8wjJ63FK+tT6P&#10;nG9/PSEO91Z9v91/yPCJHbfkwgQhznowj9eoWg/xNRde/OMwdvy/Ok4hZ0wbYO6hVqHlMcpe+rWp&#10;WgIjUnyD9CV/1iBP19eva41hSXkxIe6hx2r/z2arXxB7Naw8Mc8C/cp29JxlHsYipToLWb4n8uCj&#10;k8y96jhFvPnOL809lcvqded2uu8eMOTgqZXPTam0+5utM60H85s2v7H3wf3XX24KH7z+RHhl6R/D&#10;gxdPCQuP/nHhK1OrHP6jcNPYA8P8sYPCvRecEF6t1N/y+uPhyx1ra8SAZkBRA9KElZ8DX6WKdmJA&#10;3rAkEwgbzIcMpesRyCCyHkWbGGhPlsfPuK4lMMJyEEV4TUsjMg+CT2zOuG7JLbK+ziOMhyxD4ass&#10;OgakO9Yrh6IxAUvkkXGFIBRrB+tuzaloLwHMW9cDVj6lQRCTnDAOlkEceR3j53UL2QbgvrbWmsKd&#10;RWxvWMj5xIi1x/FRdNT1SErsStWTc4ytkQXib/0eIFZbWEsppFnE5sF8xDLWRuz3Bq6lPhvWZ6KR&#10;sfZ0rPvu/gOHf78yp7oThDg8hNft9kYhrhFhBsTq58oXKXhKFOUVKX7JU+MAhCEKPCgPaYiiE2Fd&#10;SzIpEpYamU9u3aIxpKCoxNPQ+HNMqJLSlY4lYb4Vr9x9k2qDsEyZuOa0m0LuJcaI+806ga2RtQFl&#10;63P9tNCoT2YrgvVA2X1LMYp9pj5/9fYTi0vu/iqLlL2sfGJJiST382zR6OdG9o2Y6ZPxUmPLGXcj&#10;7Xcnv5l9dc29eMiIse2VMbYuXXPNo6Nmz7mvplNwxtlXmg/yewOQQiCBSNECwgdOQrLEMgkEDYgX&#10;si5EHHlinIQiSeokLpaJCUJWnwAiCASymNxT1DflHZSz8kGqDcwX/bMMQAwxHsylqO0YWAMdX8wf&#10;ceBpVdZ4iuYLWMaKNcbN9gHKYn6YJ2OFfF2Pdaw8iWw7NUbMH2VlXBEP7DHEQJfn2HSsURZ5FIYI&#10;fk71XwTWgmIi+rTmXdS3NY9csHYylnJ/pPYd84C1/rKMVZ/ofSL7x14pqs/PDWPI8ohN7PdIbI01&#10;ZfcOKVrTej/rOeNmGd0nwbjl+GTfyMe4cA3t6Lq9lYMPP7bmfvtvPxn5UGWOdaUbbhg/+/wLOwtx&#10;eK2b9TBfM2/ehHDTzUeHu1b8PPz5lTOqwtvOLy6rng6HV6XixDjwya5LqtfxqtSHHzspLLzpaLO9&#10;RtCp7KlVOuXU1xKVlkN0knkxdLLKaOQrN62TogAEFJlSAhCSngviASmHr0pkku1QdmHKeZ0mpBmd&#10;ZL6Uc5AoF2E8ek56zBJIQUwxGUfODd9bQg/QySpDYuPXyDVEYuyKZEeS208z0H2l4t4Ish+dVySz&#10;Ae7H2PiK2mBKxTI1RqZUfaYiUTE1VgqTel9zP+tX8ILUuFN5hGV0bPGZYb/4zFHew3XZbs7vhr6I&#10;JcSVeaj+/pbzRlkP5q9rm2w+xNf8r//3n/b+t5LjpPi//5//r7mHWoWUvyCI8bp+bWrslLaUAGeh&#10;29FSW4qiuvK0NZzAJvPk6W8gdgpejqBXRojLiY8s3xO5sW2MOW7HKeK5P59m7qky6PtuM4W4t1e/&#10;uPfB/TdfbQ4frX8pvPvE0vDE7OnVV6bePG5QoRA3f8yAqjg3v1Lu7rMnhufbfhvWP3dv+OyTd2vE&#10;gEaBNFGZShUp5ZRByhoQMORpT8iTshG+l3UBBSsCSYWCB05FkvUtgUPW13kSLdXgZ4wVSPlFylVa&#10;NJF5APPGmChZ4XsZCy1fyfryuqRoPsyzhB3CueKrzuvu9UqBcUFwwphk7GRc0Z+sA2Lrgjy0I8ds&#10;iXoYM2KFOvLkNLQrpSm9noB5cj1Qjtdjnyv0xTKyT84T4+R1tIfyWC+WI7G1lp9tSFgcO9rEWK21&#10;jUGJC1/RLq/r9ZZ7iXB8BOU5Lx1fGQei147z0HWBXIMiKPkh3vozgH50W+gXMUAd9Jv63PDzIGEe&#10;Qfuci9zf1hqzbfQr448xIL66v0bH2tN58aUnO9139xs4dFBlPnWn9vb27+Mh/JARY2ravfr6/JOb&#10;egpSZMl97aAkJnhIeQYSiszLRZ7YBUGFp7RZpzvpsjofMN+SqGJiDmlkPrKu1TehBBUbQwp5gp3s&#10;D9+zDOcIySoVS8I2rDHH1l2TaoOwTBnBBuNGHQqA9aClMwqVWoAClOWAFi1zKNpfGrme6I/19cls&#10;RUixi6cH5iLr4vPFNbf2TL39xOLS6O+lGDKusd8TQJaTnyHQiBSWIw5KeVV/brSkqEmNLWfcjbTf&#10;nWgh7kdDD/2yMsbWpauvfmiiJcSddsYV5oN8x3FsIPVUPlJVGhHCHMfp24wYd0LN/bZRIW7mpbV/&#10;xINcIQ7ceOMR4eZbfhYefPiE8OeXp4Y33j4rvL3mnPDO2nPD6rXnhLfeOSf85c1p4aVXzwxPPHVK&#10;uH3pceH6G9Mn0NWDFJ6QygoXun5MPJJoiUmLLzrJvBg6WWU0WlLLSZaAI1NMIpInQCHJdnQ8ck4O&#10;K5IKpUSDJGMMyUafrGaJTVoqy02xPaSTVYakxi/RY6TclCM7gtx+moGUs5Bie6VR5Jx0XkoQIxgX&#10;Umx8RW0wpWKZGiNTqj5TI0Kc3COUOOXnypJ7U+NO5RGWsWKrRVWdiuba1xlw8CE199v9Bw+b2XFL&#10;LkwQ4qwH8y7EOc2mK4U4nPom++YrT4E+ZQ2v95R1iSV84aQ4tA30aWu6HQhoOEEN5XBanTyJTkt5&#10;lNZISojTdeXcgHxdKuBrVWWbkOr0a1Qx3zJCnLwu6/E1sfJkup6KC3FOvTRDiBs8YkTNfbfMvZsJ&#10;QhzkN9kOwMN6Prjf/c0H4evPNoSP1r0Y/nzz7HDTscPDrUcMDgvGDOwkwUkoxM0bc2BY/sufhWdv&#10;uDyse+au8PlHq2vEgEaBDFGZSpUyMomEwguEDgoeGilgaOlFCi+QN3Qb+FlKQjIPyPo6TyLFHC0P&#10;SWRMtCwi8zAmKacQijaAUhaR9eV1SdF8mJdaL87Vmmd3r1e9pOKSsy6ctyUcpUjtB8A8vR6MIcYj&#10;r+t8xJDXZF+xtdHE1prxku23Arne1p7k+IC1H+Sc9edFtq3nx3y0yfpW/zE4rlwRmJ9r7J/Y2rBN&#10;rK3O4xiBnieQ+1t/5njdEg4tGh1rTwensOr7bj2vPZeJQtyII2r/Z3W8tk0/qO/pSPkiV9aRpMQo&#10;CkeQK+qRiAAlJYgabM8S0lICC5DCjiVn8RWNKcGqkflQ4MJXq64UrupZBynBUTLS4hJjhPFzLinB&#10;iu1Z8ZLxTsUi1QZhmTKCDcWdsvUkcg5SVLLmI4XL1FxixMSvGBgD+5NzrUcOK9p7+GzovUK4T/D5&#10;YDvW5w/U008sLnL+uTHLQX5OKEJq0DfnYvXdiBRW1D/6ZsyB3mv8PaXjSOSe1mOTvwNj+6iR9rsT&#10;yOjyXgwqY2xdghCHB/S608mnXmI+yHccx4YnXOFEKyvfcRwHaCHuf/340Of23JHLp7k3HNEG+U22&#10;ByDJWQ/yY9w478hwy60/C3ev+Hl4+LGTw9MrTwvPPn96ePaFKdXv73/4xLB02XHV0+TmzT/SbKNR&#10;tIxVVtKBpCFTjrShZSxITTJfJ5kXQyerjEQLZbnJkqtkypGIkGQ5LcshPrKuhY67Ps1KyjlIWi7S&#10;fVrj1nsjN8VOktPJKkOKxi/R+0kLf6k9WaafRkntgWYi56TzUoIYwbiQcvay1QZTKpapMTKl6lPE&#10;LYqhfGWqFtzwMxMlTn6uYns4Ne5UHmEZPW7+PsK8UEbuX5SNSab9iUaEuI1bp0+0Hsz/7prjzQf4&#10;GhfinFy6UojTUpg+RU2fsma9NlXLYFo809Idysv8IlJ1U0Kc7leefgcg5jFPSmmyTVyHGCjrWeQK&#10;cVro6y24EOfUS2uEuOGzK22XSv9799bZ1oN5nBqnH+B/0b42vH5PW1hy4uHVE+IW4HWoYwaE+YYM&#10;V+XwAeGmsYMq3x8Y7jn3+PDSzXPC+39+IHz+6ZpObTeClFHKyCQE4gbrp8QSWU73I0WQInnDkmJk&#10;fZ0nYRspSQSkBCiZl5JTWEYLQLK+vC4pmg/zUusVi1dPWK96aXRdcveJBetZMY/lYRzM02NC3JgH&#10;eYnXIfJZ11PEYi3FTEsQbCap9WZeSszjOMvEkMhYWusTg0Ji0e8DgvEX9YE8lLEkSI4x9rlL7W9K&#10;gbnyWqNj7em0t7/X6b67/5DhEyvzqTtRiDty0ik17Z5x3oXmw/qejhRuIIBIWQKCBn6GOGWdGgRh&#10;g3V1npSIIFhAOpKiDIQK9I12Y6c1URSjoAKKhDdIHSyDr3KMwBKaZBmeEIY2pfTRyHykcCXHh3KU&#10;UEi9ApCMEdDikowRiYkxgGWseGGuzKdUhznp9lJtEJYpI9igL8QZ9fAV7TOmAHOFvIOY4KusS1Ce&#10;fTN2KUFQikooJ9cYbWGNsXZYT1kP4DrqlVlbvS8wRqtcEVJiQv8cN/Yu4sY46npA1iUyzrGyuf2k&#10;4tLI76UUsl3EWK4j2pTrLPOI3Ptl9izh7zSAuPB3iO6b+bKujLGsi3Hq/WKNjXnoB3UBf9+BRtvv&#10;Lu64a0XNvRh8b+DIfSrjbE266qqHp+IB/Y+GHlbTqQtxjpMPXmVZ+ThVOeWUy8wyjuM44Mjjzqq5&#10;3/7woENWVW/IdSQIcX+YM66mPYDXqFoP8lPMa5sQFt18dLjtjmPCXff8PNxz36Rwz72Tw/K7fx5u&#10;WXJs9fWqVr1moU/YQkrJF8iDtMGfteSDpAU3iRa5LPlLJ51voZNVRqLHUSbpU/Bkigk6WkCTp8DJ&#10;1yUyWa9rJLotJC37SDkHCT/LfKD71G1o0axM4olbEp10viRn/ESLe/pnvV6SMv00ih5XStRrBDkn&#10;ndeVQpzc4xoKbfJ3CWFKrQVPU0ud/gdYzvo9AzgOCnD8TMR+B6Zim8ojLKNjy3Gm5tzfGTa69qH6&#10;AYOHtXXckgtTTIi7+LcTzQf4mkknHFAVnRyniKHD/n/mHmoFUgrTwhjASW/MB9ZrU1MymFXG6geg&#10;bYwH+bI9SRkhDsj5AQp/WpaTopqWBAHaseZOUjHQUiF+Rly1fNiTuf3Oo8296jhFNEOIG3/86Jr7&#10;bpl7NxOEOOvB/N33L+v0AP/br7eEdx69NSydMiEsGDOgwoFVKS726tT5ow+sniSHrw9eNCW8++iS&#10;8MmGP4dvPt/Yqe1GkBJGGZmEpCQOTUzqoJgB5HUJy1jCTU59kJJ2JKk55c431pesL69LiubDvNR6&#10;5fSfGj9o1XrVS2rsOfOSZaz8FKxnxTyVxxhqMRInhLGelrEoM7FNfVqYJrbWqMf+8RV95ohf9RAb&#10;Q1EeYRkdQ+4jIK9rWMZagxhStkPMY8IdYdlcYvVTY2QZvYch0TEPn8ciwZFlc7Ha6MlY9916Xnsu&#10;U3t7+yA8hJ88ZVpNu71ViANS0ohhCTmQJpiv84AUwVLEJBuIGLIcRA6rHEjNAdIMpSctmQD0T2FH&#10;oss2Mp/U+CCbUNSx5KAcpOgDtJwGGANQJBKxnBUvoOUdoMfO67E2AMuUFWywN6w100jhR6MlHytm&#10;BHKQNWcN1lnXTYlfMTAW2a4WHMtQ9PmOxQhzluVSnz9Qtp+iuBS1B8qKgpiTXncN9lUsJo0KcUX7&#10;CJ8VxkV/borqyjxrbPp3BGF+o+13Fw888ljNvRi4EOc4PZx/+Zf/Uf1lglPirHzHcRxy7Akzau63&#10;BwwZ1r7njlw+NVOIAzfOOyLMmz8htC04MixYdGRoW3hU9XucCnfDjXadZkIZQybIOlJsg/giy8n6&#10;FGiYIJVA7JCCFdqy+kkJNUw630Inq4xEymAx8YfIU6aQtMgkk24LYhjkGi2faUlLyjRMeg0QT6uc&#10;JdHoclYZSyRjHvqVyaov0WtrCUU66XxJzviJHquMNb636pAy/RSBfYL1x9zl3o+tW0xIaxTZl84r&#10;ktkAP8+xz0VRGzJZ+0DWt+LNlFoLtMsUk0flvoi1JT/bsk1L6ASp2KbyCMvo2PLzA0FPi6nOHrQQ&#10;t//g4cs7bsmFiULcIeNH1bSRK8Q5Tk9DS2H6ZDegX5uqhTRQVojTZTCOlAQnKSvE4RWnMh8iGq5r&#10;6U3X0695JTgxzopTan6IIerJfIJ6vUmMc5zu4LhTa/9eLnPvZtq9e1tbrhAH3nv2nvDgpb8It076&#10;aVhYld06i3AEeThJbuERB4WnrpwRtr7xVPhy57qw++stZtv1IiWhMjIJkcJKveJOjvTCMpZUk1Mf&#10;xPrXpOSqVJ4k1pesL69LiubDPJSz8kGsf9l2d61XERgXBCD2b1HPuhTFHrIYTlVDvxTJNFbMU3kU&#10;mdCelNF4Opl14hfKSSkOYEzWazYB42TFGuKUngvkvFiMisAYMGacqibbJNYYUuMjLKNjmLPXAMtY&#10;a5BCiokAscKa6c8GfpblisD6yfqAeakxsoy1PvLVsABrgP2qJceyYyWx/dVT0ffdel57LlNfFOIA&#10;BAeIIlIygmwCOQMnB0GW0HV4olBKroIcBrFFy1hoF4JGTIYjUsJICUsAEossjz4hlUgJBmO26upT&#10;kNCO1V8j89Hjw/cUb/AV1zAGXS8HKYjhq7VeiAX7LhKs2FYsXmgfcWA5xlqWKWoDsAzGb+WnwBjQ&#10;p4wpwFpgbEXSjpTO0IZVRoN1orAk62LduJYa7quya8vYgHriI9HjRts5MZKfidQ6kjL95MSlnt9L&#10;OWCcul2sY9FnGHksX++acN/K3yEYC2OEeOGaFW+rrvw9wvnExibroqyOfaPtdweWELf/wOHfr4yz&#10;NYlC3JARE2o6xQN7/RDfcZzOzJp1595fMBMmTDXLOI7jEAjn8n7biBB3/Q3jl191zXjV3vAwbXp9&#10;Qlx3A/mDJyXlJH3aEgQOLXzlJEuWAblJ1s9NqCPFF6TUaWwA85MJc5XCTNkUE43KrAFT7JQxKecg&#10;WUJQal5oVybIRbq+RMfUmqNOOl+SM35J7DS7WHyI7ieVIC1ZbZAybaVOTyMUFrEuZSQpOQ6d19VC&#10;HBLGw30FEZS/K/TnSNcvWnP5eUFZxghtYj+yH+wNqx8gPwPcQ6k9k4ptKo+wjI4tX5lqJcwT5bEf&#10;yuyDvsbIIxoQ4rZMn4oH8/qkmnNmHm0+wHecng7ErsrWLo0WuBoV4nReCpSVdYuEOCBlNJzOhmvy&#10;5Dhe00Ca06e7EYp1pCgGiFlKsnMpznHidBbihj1R+eyUSjEhbvHti8wH+B+tfS785c7rw2O/PSss&#10;+8X4sHDCQaFt9IBw07iBFQ6snhqH7xePHxQW4pWqoweGpaeODy/d8h/h0y1/MdtsFMgUlalUSQkr&#10;MaSw0l2CVU59EOtfk5KrUnmSWF+yvrwuKZoP81DOygex/mXb3bVeKeRJWCnqWZdU7CEDxSQ4iRXz&#10;VJ58BSqFI/mZS0lIyOMaEEugi60TQX8Qp7TElvtKVoB5xCQ4iTWGovEBltExzNlrgGWsNSgCnwPs&#10;O7n++F7uI7mO9fQBcuqzTGoPazEO8p38LKfGShHTorcJcQcdOqbmvtssIQ4CnGwXgpx+UO84jlMv&#10;FMtyZb1WADkKYwD1ymeO00qeXvlczb0Y7Ddw6CDcr1uSKMQdfPixNZ3ilW76Ib7jOI7jOI3RWYgb&#10;jv8wrSvFhLgp0w4zH+T3BiCMUIRJJUgmlhyFa7lCF9pIvcYyN0lhJjehjj7NLEcy0XOrR8ZDQt8x&#10;OQfX9dhSSc5fI+UcpFhZveacF2UipNjrJiUYu046rjrJPE3u+Ik+7Y4ptc+A7ieVYoIY0ScJxlKO&#10;DAfk2sTkNQs5J53XlUIc9rLcRzKlfgcwFa15zu8c7F2Us+oT/ZlL7ZlUbFN5hGWs2Mr1TqWiPd1X&#10;OfrnI9U9d9irHbfkwhQT4k47+0jzAb7j9HRyT2XT6BPSGhHi9Cl1GBNOdZN1ZX49Qpx+7as+9U7L&#10;bRqUt2Q2KbHlxABgvpZoJ1/Z6jhOLRDP5X23zL2bCUIcHszXthMX4r5sXxs+XPt8WP3w4vD4788J&#10;S08bFxZMGBIWVYW4gWHhmAOrp8LhVak4Je72k0aHR2adFd597I7w5c73zDabgTyNSp82VIR87WBM&#10;4iAUTiB0yOs50gvLWFJNTn2QI+YAKU7pOaXyJLG+ZH15XVI0H+Zp2UUS678nrFcMGRvU06+wTMU+&#10;lWeVkdex5zlXSF8Qg/TngPWsmKfyAD9flNnQPn5Gn7qsBWQnKTLpfmJrbYEYyM97LFYa9oExo38t&#10;U6bGkDM+ltFzw8+4DuR1DcvE1iAXrA33Ar7KfdBoHzn1WaZoXTAuGRsdW15vNB49maMmn1R7763j&#10;tecy7dq1axQewmsh7shJp5gP6x3HccoiTyLj6VzdAU8Kw6llVr7jdDdr1q6ruReDFgtxj8zEA3oX&#10;4hzHcRyn9Zxx9pU191tQ77vRIcThAb1urzcLcQSCC05I0qIJZA3IUjGZi0DWsOpDTIF4ktNGrhQm&#10;pbQydaR4gnqy7xioJ5M8Va6ob8QCMYkJSBoIPJCmtCADiQjX0HeRxId1kCkm0ehyaBvrI0WmohP0&#10;COYokxaReAIXEuYh8zS54yeIh2wfCXG3ykqwJjFpS6ecvRL7/ODnsid8UfLD+MrUo5iHejoPa8Kk&#10;14dwP8fmW9QGE+Qv7CXEgzHGV/ycmg/L5uw7tI9y+rPCz0nR7xog91rRnknFNpVHWEbHVq61jili&#10;hTFyf6fa78scf/JhNffb/YcMX99xSy5MFOL0STUuxDm9EchclW1dF5DWZFuNCHEQ2OR1CG6yHpD5&#10;9QhxWoDTMhrydR0LfaKe7CtXiCMQ4+Q49Lwcx/kbeDW5vO+WuXcz/fWvW5fjwbxsB8ydP9d8gL/7&#10;mw/C15+tDx++uzKsWtEWnrn24vDgRb8Iy3/5s6r8duukkeGWSYeGJSeOCsvPmhiemHNBWHX3vLDt&#10;7WfCt98091WpEilW4KQkq4wEMgZFEXkaUerEKeukLCL7l9clLGNJNTn1QY6YA6Q4pcUUmaeFLYLY&#10;sIyOZ6ptIk9Js/KZl5JdYnPtCesVg/OOiWK56xKLqywjr0tJEPOWeYT5VsxTeQBxZhnsDa6NFg2L&#10;oMimYxpb6xhyf6b2EJHlY3smNYac8bGMHg/lQRBb17LzKSImjfKEPKyDLJ9LzhitflPEflc0Otbe&#10;gBbi6nntuUy7OoS4GZdeUdOuC3GO4zQLvjYTdNfJbBDxOIai1xU7TnfxwVbj1ehDhk+s7NvWJApx&#10;I8adUNPpmKOnmA/yHcdxHMepn3PO/2PN/Ra4EOc4jtNcmIpOeHP2AGmPKSV+SnHPyu/raCGuzGvP&#10;N249byYezLsQ5/QFUnKXhXztKCh7OlqsjBbzINuxbYxJ19PiWI4QB2Kn4VmvS8VpbegHJ7lBXMM1&#10;fNUnzeUIcZgLYoe6UrxDXRfiHCcPLcSVuXczUYjTr26LCXFg99dbwlc714VPt7wWtr71VHhv5V3h&#10;jfsWhOfbZoXH/3BueGL2ueG5Gy8Pq+6+MWx44f7wycZXwpc71pltNQsIJTwVCaREKYgaKCvLUL7A&#10;V7QlyxOecKVPXQIQRNi3vC5hGUuq0cKRzic5Yg6Q4pQWU2Qe5mIJVHI+uj5O1mKeJcYwviyj8wHz&#10;U/Jiaq7dvV4x2CfGZeXLdU6ti86zysjrsl198hmQcqC1Zqk8gPixjBSYYkJljNiaptY6BscQG7Mk&#10;JUcCzI97yhpDzvhYRo9Hfl54wp4EfcsT73LmU0RsL8m1i+2xFKybGmPZ9tEW68jrjY61N3Di1DNq&#10;7ruNCnE7d+6ciIfwv5l9dU27I4441nxY7ziOUwYIcPvss0/193J3nszGV7bilDgr33F6ApYQd8CQ&#10;g6dWb9itSNdc89hsPKB3Ic5xHMdxWo8lxO0/cPj3O27LpdLc6494Ag/oBxx8SE17J01xIc5xnP4N&#10;kwtxeeBUQabUKZI5r2Tty+D+Ku+39QhxEOBkGxDk9MN7x+npSBkLwpZVRqJfGSpPcovJYJJUGX1i&#10;WwotjuUKcVoAJNbrUvVYLbRIF5sfxiOvx4B8J9tzHOdv/O6a42vuu6DyuSmVYkLc76+aYz7At/jq&#10;sw3hk82vhg0v3BdeX9EW3rhvYfX7j9a90NLXpGqkBAIgmUAUwnWA7ymtACnGyBOVUE+KPpBp5Ose&#10;0Q7zSEzqkLCMJdXIsfPULYg0WjjKEXOAbA/fx/IAhDHGAnKOlKti/UiBh/FAXRkHousCzkMKeZir&#10;lLlSc+3u9YohY4f6iAmu6zGB1LroPKuMvC6FL/TDOOKrXhP8LOuCVB7R449Jf2gDMcOe4vz1vtJr&#10;Eltr/IzPg1xfzAnX2Bb3TxGUMLFfGF+MC+NknjUGEBufhGWsGMrxIp9xwbzkZylWPwbGDXFMxgDf&#10;s03ky/KIHeeKr+hLfuZQF2uDtbU+NzljZBm5h/E925T9Yf4cD/YXr4NGx9obmHbBBTX33f0HD3ui&#10;Mt+6kwtxjuO0EpzGVvlVU5XiHnroIbNMq4GUhzGAOXPmmGUcp6cg78V76AYhDj/rh/iO4ziO4zTG&#10;jJltNfdb4EKc4zhOc2FyIS4PeUIcXtmKk+Dkq17xClUpw+GVs7J+fwEnsMr7Lei4JRemmBA3/vjR&#10;5gN8x+mp6FeIQnazykkWLh5fU0cKYY0KcRiPPoFOIk93q1eIwwlvshyxXpeq5T8NxqrrxeaX82ra&#10;nPg7Tn/murbJNfddUPnslEp//XbbE3gwP3LCMTXtlBHiwNdfvB92bHk9fPjucxWerX7/5Y61ncrt&#10;/nZrp2vNBOIFJYoU1slkEC6sshKrnq5r5QOWiUk1WoyxyuaIOUCKU1JM0XmQgfi9BnGUAooEMkos&#10;zhRU+LNVXwptEjnWorl293pZQHSy1pHIvNS66DyrjM6T0pUGa4V1wfeYl67LclYe0WuWE1sLxEDX&#10;ia01r8eIjcEitdcB18Za79j4JCxjxbBoX6BOqn4M3Y5GioQk9dmVUJKVMC81RpaRe1juW4vY75pG&#10;xtobuOjyy2ruuwcMGfZqZT51p5gQN2TEGPNBveM4juM4rQP3X3k/3n/wsJkdt+zmJwpxOBFOdupC&#10;nOM4juM0n0suu7Xmfgv2Gzh0UMdtuVSae8P4V/GAfsiIn9a0h1e66Yf4juM4/QkmF+LyeePNBzui&#10;lk47dmytkeX6E9Omj66534Lc155v3nr+bDyYP2fm0TX1XYhzehvy1DLIXTGJTBM7VU6+SlSfnEak&#10;ZAbBTedDMEMZKcaNGPnfqyKeFPhwTdaTop4lqkn0K09jY+XrUbXkhnHjunxdLEnFAGPEuHX8cM1P&#10;hnOcYhbdfnLNfRfk3ruZKMQdNfmkmnbwoF4/vE/y7dbw7ddbwjdfbQ7fgsr3u7/9wC7bYngaFQUT&#10;AiEFAk1M8gIQNyAWUR4C+B7XYpISoAAGecPKByyjT0IiGDf6oQCCfrV4wlO6Ym0QiCQoB/C9lYf2&#10;+bM8/QvXESeeYhXDqofxoh77SMVDn46F9ZJrkzPX7lyvGJg/4iDHhHlS2uH6xtbFytNlYuNGHzKm&#10;ck0YT8xL1+OYrDwJy4HYGNEX2tGfP/wcaz+21tgP2ItyThgDylmyVxHYE+yLbWGvoJ/UesfGJ2GZ&#10;2BytfYE63KcYR6q+RWr/x9YHcCwyrgBrlPrs5OwTltH9Y29ivnIPof+i3zX1jrU3APFc3nf3HzJ8&#10;fWVudScKcVdfP7+m3SEuxDmO4zhOl4P7r7wft1iIe6QND+iPPO6smk4PPvxY80G+05m/+7v/XP2P&#10;zAkTppr5fZ3p0+eGf/mX/1H5j+5B4aKLbjLLdCVYB6wH1sXKbzWp/TB06JHVWPW1vYK1x5zx1crv&#10;yfSVz29373snnytmLau534JmC3FH/3yk+SDfcRynv7B799dVeWvNmmfMfMcGr0vF6W84JU6mr77+&#10;LHzyycbqyXFWvf5CM4S4i387sab+IeNHmQ/wHcfpWUA+q3yU9yJf++o4Ts9l2b2n1tx3QbOEOLzK&#10;TT+8dxynf0PJDXKSle84Tj5aiDtgyLD2PXfm+tLOnTun4gG8FuKAfkjvOI7jOE5rwSvL5b14/8HD&#10;Z3fcspufYkLckBETzAf5TmcqYawyatRkM7+vg3n3pBjI8Vj5rSYVC+Z119haBSQ/zAlfrfyeDNej&#10;t39+u3vfO/lYQlzlD/pRlbUrnSjEDRs9oqY9F+Icx3Ecp/mcf2FnIe6HA4fu23FbTqZN285vw4N5&#10;F+Icp3ciX70KrJPeHMfpeVhCXO69m+mvu7e+igfzJ049o6YdF+Icx5HgFLXKr4wqvfUVlY7Tk5g7&#10;f27NfbdZQtyCxUtUuy7EOY7jOE5Xc+SkU2rvx4OHtXXcspufKMQde8KMmk5diMunEsYqvV2oqZdT&#10;TrmsOn+cTHXmmXPMMl1JTxbi/vEf/1s1r7ecpIbT/zgffG+VAS7EdT8uxHUP9ZzMN3vOfTX3W7D/&#10;kOETK+2UTtffcMR6PKDXQtzYY1yIcxzHcZxmYwlx+w8c/v2O23IybYoIcYNHjDAf4DuO03OQr10F&#10;1mtbHcfpmTzw+JSa+y7IvXczuRDnOE4OfKUnSL3i0nGcPDoLccPx+ao7UYi7464Vndr9YOs282G9&#10;4ziO4zitQQtx+w8evrzjlt38dPXVjyzHA3otxP1o6GHmg3ynM5UwVumvQlxPoycLcb0NCI6cT0p2&#10;dCGu+3EhrnuoJ+6WEHfAkIOnVtoona7vEOJGHuFCnOM4juO0mpmXjqm534KyQtzvrjm+pr4LcY7T&#10;8/nZxP32/jc/uHzWMLOc4zg9D0uI22/g0EG4N+em3bu3rceDeQhwsh0IcvrhveM4/RMIcN/5zt9X&#10;/zsBYpxVxnGcciy+fVHNfRfsuTPXl3bu3DkTD+BdiHMcx3Gc7mfylGk19+IuEeImn3pJTacuxOVT&#10;CWOVviBA9QW6WwzqS/vBhbjeQ3fv+/5KvXGX99s9NFeIw8/yAb7jOI7jOI1z+ayxNfdbkPtQfVNE&#10;iAPywb3jOD2Pf9r3O3v/mx+nw616+0yznOM4PY+nnz+z033XhTjHcZrNinsWV/87AVLcU0/ebZZx&#10;HKccd9+/rOa+C743cOQ+e+7O5ROFuAceeaxTu2vWrjMf1juO4ziO0xrOOO/Cmnvx/oOHPdFxy25+&#10;ciGucSphrNIXBKi+QHeLQX1pP7gQ13vo7n3fX6k37rjHyntu5UY/s9JG6XR9hxCHE+Fkey7EOY7j&#10;OE7z+cOccTX3W5AtxG09fzkezF/XNrlTG/rhveM4juM4zeGV18/qdN89YMiwUR2356xEIe6iyy+r&#10;aeeoySeZD/Adx3Ecx2mcx5+6v+a+C1olxL3y2irzYb3jOI7jOK1hxqVXqPvxsFc7btnNTxTiTjtD&#10;dzrcfIjfk5kwYWpVSvi7v/vP4aKLbjLLAJYDvDZr1p3V6xB6/uEf/svefLS1336DwimnXFbThoRl&#10;LaEG9ZEXk4mmT5+7tz6+t8pgbGj7H//xv+0ty3GlJCWrHr7HNeRZdeohNQfmYbz4GesyYMCIvXHB&#10;V/xcNB7UGzr0yJq1wVodf/z5ncqmBBWufUrcQlxRBl+tfIB+dVy5R3jN2g+ptpmHMeLnVB8xkM92&#10;YnAtUsjPSAxZXgtxGEfZsQPsZ4yf+4N1G92z9a4XQX3OkcT2H+OPPnSehOWsvVhPHFL7nuDziM+b&#10;/Bzhe1xL/S7hWFkGsZPx4Nh0PcL6sb2NfNm//j2BMabaJ6xnzS92T+BexxjwM2Mv61t9yzIW1rpK&#10;miXEzb1+fDse0B/981ohbthoF+Icx3Ecp9lYQlzuQ3UKcYtuP7lTG6vXnWs+xHccx3EcpzFwj9X3&#10;3f2HDJ/YcXvOSjEhbuSEY8wH+I7jOI7jNI4lxO0/cPj3O27PpdOuXbtm4wH80yuf69SuC3GO4ziO&#10;07VoIa7yd/r6jlt289M11zz6BB7OW0Lc7Dn3mQ/yeypSzKJ4YUERQworRXIDiAkZqXzmxWQTXE+V&#10;wZyk3GFhSTmQZqRwosmRS3JJzUHmYZxS8JFgrDHRBzGI1QOQXWR5zI158rrMS8kqFH1iZaQIpMFY&#10;+L0V41TbzIP4l+rDWm+AelZ5DWJp1Zc0IsTJGGhiYwdF40/tkRSpWBatF/pL1Qd6/8nYYe/KPIJ2&#10;WQbzlnn1xiG173V+DD0WwhhAhEutL6WyWH20n/q9hN8X6CP2eUc7Vvsg9fsFIM9aD/k7IRV7vc6N&#10;CnFDRkyoud/uP3j47Eq90smFuL7JJ59sDEj4auU7reWWW0+rxn7Hjq3h2WcXmGUcx+mfXHXN+Jr7&#10;Lch9qF6vELflwxnhgw8v7BNs2T7DnKPjOI7T3Vxg/t7urWz58Fd752YJcQcMOXhqx+05K1GI+/1V&#10;c2racSHOcRzHcVrHiy89WXPfBS7EdS/77LNP9dnHnDlzaq6vXLly73MRfC/zeiqYA8aLOa1a5evf&#10;DEaPHl2NKb5a+X2J7p7r/Pnzw0EHHRQmTZpk5jtOb+A3s6+uuRd3iRB3xtlX1nQKepsQByhb4KuV&#10;j1OCkA+knAO5AQIDrsmThCBoSIHDElGYZwk1zNOiGJHCmC6DvijDYQzyhC2IHVLI0HUp5UAC0fUg&#10;dlhjrZfUHGQex8O4Y35S0tHCCctQctFzkQKMFF1km7ym81KyCvJiZfR4uR8wTy36WDFOtc08gvXl&#10;XtTt69OuZJwxLubjK/cJYmXt3xSyXXxvlQGNjB1IiQxxYxmMV66zFbcUja6XjB3GwfoYn2xb1kUZ&#10;Xo8JZmiLZWQ8GomDHI/Ok/2hrvy84DMlY4ExyLqA68v+ERe2gTEyTsCKY2p/yDmzfcYb+SiHtWMZ&#10;+TuAYCzMl2MDcn5ol2tIZNwAynKv67lxTLH6Oi/FwYcfW3vPHTysrdJG6UQh7viTa0+cGzLip+aD&#10;/J7O5i2vV0UwK0FO2rDhpaqsZNUFu3d/XS27Zs0zZr6kjHQGKWr79nfDV19/Vq2D9Pnnn1TH++hj&#10;V5p1GgFzRcJXK99pLVhvJl8Dx3EklhCX+1D9/W3Tn8CD+WX3ntqpDbzO7W9SQi0uxDmO4zitp+8K&#10;cUDfd0sLcd9ubceDeS3EHXToGPMBvuM4juM4jWMJcfsNHDqo4/ZcOu3qEOIgv+l2IcnJh/SOTSWM&#10;VS6++OKa6w899NDePHwv83oqkIl625h7Oowpvlr5fYnunqvvX6cvoIW4A4YMa6/s6dakazqEuHPO&#10;/6PqtHcKcVKuoHARy9diRIwiKYh5lgiSqgdSbXOskOJiY6VoAmnDuh4TcppJag4yDzKKFFUIx4p5&#10;6jx5YpNVF2sMgUWudUpQYR761HmE49FlsAYUdqz6yJfijrUfYm3LPIB2dL6MpRZzGCcrhoDjtmSn&#10;FKm1lTQydlA0Plnf2gcWja6XlKxifXI/oR95nRJVbD2Yj70rrzcSh9i+L4oDy1C+tcZctL6N1pfr&#10;gLHquck5WPUZT/17kMj6OrYyblgPlJX5RX3H4l6EFuL2Hzx8eaWN0okP6LUQN+DgQzo9xO8NUARL&#10;JUhvMQmNCeKclS/Jkc4g3+WMCWKcVb9ecsZWD37yXB73rJhZSq50uh7fy053Iu+3e2hciHv6+TNr&#10;HtxLXIhzHMdxWo8LcalEIW7u/Lk17bgQ5ziO4zit4+3VL9bcd0GDQlwbHsC7EFc/lTBW6elCXM7p&#10;XTwh7rvf/W7YsGGDWcYphwtxXce0adN8/zq9nquvn6/ux60V4l7Fw3lLiLti1jLzQX5PBmJUZVpV&#10;LKmEJwXFxIkYbFNLM7l5MZlICi66DMdqtUsoY0DYkNelkKMFj2aTmoPMs052AimhhJJNmfVKtce8&#10;mBgEKO/oMhg/243NBbFmGWvdYm3LPC1JSWJtp9qV+daYUqTWVtLI2GVc5XUNy+RKfY2uFyXDWEyB&#10;jI+UuOSJbJbcxTw5l0bjgPFb9eVYYnEAspxe65z1lf1rGbmofs7vCbah10PGM2eP6t8lctyx35Wx&#10;vkEs7kWMGHdCzf22USHupCl9S4jTIhgEJUhuTJCVcE2WAUzNEOIgw+EUOCacDgc5CqeHAXzPNpCa&#10;+WrNorHVS6vadZyuxvey053I+y3Yf/CwmR235WSiEPfA41M6teFCnOM4jtO99G0hbvCIETX33dx7&#10;NxMfzGshDsgH947jOI7jNA9LiDtgyLBRHbfn0mlXhxC3Zu26Tu0+8Mhj5sN6p5ZKGKv0dCGuP4lZ&#10;PYn+FHffY47TOJ2FuOH4XLUmXZMQ4i657FbzQX5Ph/KCli+kLJcSQyxYT0szuXkxUUOKILoMr+ci&#10;60q5BnEoO98ypOaQyrPKyOtFclmMlKDCPEtsITH5JdWuhGWsMcfaLsojLKPb5glblnCEOMZOxyoi&#10;Z/1AI2OXcc3BiquFbNfKJ7F2Od5cZHxkzPUpjVI8kwJWo3GIzTc3DhD3WE7vk5z1Te2Vovo5+yzW&#10;hqybg66fEx+WscafG1+NC3E2RZILJDQm61Q2pmYIccxHwutSrTLg5VeWVQU9F+Icp+vwvex0J/J+&#10;C7KFuK3nv4qH8mWFOEgKm7fN6CNcYMzPcRzH6QnYv7d7K7X3m2YJcYtvX1TTDpAP7h3HcRzHaR6t&#10;EuI+2LqtU7t33LXCfFjv1FIJYxUX4hyL/hR332OO0zjdIsTNmNnWqdPeKsTFTmeC5IFr+jQ1AjkF&#10;ZSA9UGbRQH7Q9XLyYpJHTASR8l4Olggl4wAwJ8g5+vSmRonNoSjPKhO7XkboSwkqKbGFIM8qkyu+&#10;sIy1H2JtF+URltFty1hBjuMa4ytPCwRl1z5n/UAjY5evy8whdy80ul48nTAHfLZ0bDkv/fuG66FP&#10;Kms0DrH5Mu7Wq0w1rK9jkbO+qb1SVD9nn8Xa0L/nitCCYs4+YRlr/Dn1LZotxE2ZVivEAfnwvreQ&#10;I7ngpDYknN6m85gaFeIgtzHlvJIRp9XhRDkrrx5y4lAPrWrXcboa38tOdwLpXN5vywpxkN9kfQBJ&#10;Tj64dxzHcRyneTRLiLv7/mU17YD29vc6PcB3HMdxHKdxNm1+o9N914W47qUSxiouxDkW/Snuvscc&#10;p3G6VIi7+upH1uPhfF8S4uTJYlJ+gDSGaxBPZHkAqSImwUm0KAJy8mKSR0wEkac1We3mAkkHMZBz&#10;w/ex8dRDbA5FeVaZ2PVYXYuUoMK8mJgDYuJNql0Jy1jrFmu7KI+wjG4be75I4MIel3VyyF2DRsYu&#10;hT15vVEaXS9+ZlJzSiFPaaS8Jn836fVoNA6x+TLufVWIo+icqpsiZ5+wjDX+nPoWzRDi2tpG7sOH&#10;8/1JiGMZJJ3H1KgQBwmOyXo1azOAdCf7gejHcafGBvGOr2ulHIiEU+rQHk6s03WQl0oyXvW0nwva&#10;Rl/yVbRsN3bC3qOPXbm3HH7GeuDEPs4JX/GzFhJ5miDyU2soTx2U19k+8uV1mYexAa4Xrlt7DzHD&#10;HFkPCTHAKYepscl+GDu5JmgTeVZdXEdCG/hZx437TcbtjTcfrFmbVPsS1GMMmPAzrlvlQb1zkzG0&#10;khV/x2k2LsQ5juM4Tu/Chbj6GTduZPXfO/DVyu9pfOc7f18d77XXzjLzLV55+bHwk58Mrs7x3Xdf&#10;MMs4juM4XU+zhbidO3cuxwP4vibEzZ8/P4wePXrvM4rvfve7YdKkSWHVqlVmebB06dJqnX322Wdv&#10;vR/84Adh2rRpyXosW48Qt2HDhmo99MOy6B/jKJLoMCaMDXNjXYhImLssJ+eTC+rINiQYM/q1xqz7&#10;lsyZs+d5F8rhZ8xPr5GOYS6MBeYv58t1X7lypVkP11GO80U7KM828BU/Y866riQ1l3olse6cEz8/&#10;co0BxoJ1tOoAa65cd/SLscjyEvTJcvI6x1+0z4HsS+cBrpOMBX4u+qw5TleyYPGSTvfjyn5tTeqL&#10;QhzgaUuUQCCG4WcgT40DkFQov6A8RBVck2VYV4siuXkxUSMlgvC61W49SOkPX/Uc6yU1h1SeVUZe&#10;l2tWJgYpQYV5MTEHxMSbVLsSlrHGHGu7KI+wjG4b0iOuY98Duc4QrWKxLyJn/UAjY8+Na1kaXa+c&#10;ORVBSZESLj6D+Bnross2GodYfe6NonalhKtlvZxYpPZKUf2cfRZrI6duipy4s4w1/nrXzYU4G0o1&#10;+GrlA5aBPKPzmHKkmFRflG6sU+iaAcYXS+iTUpI1NohCRUnPv4xEVE/7OUBuksKTlSyBSp7Wh/zY&#10;XBAzKXehPyZLaiOMtV5rJmuuTGhXj0euGcZTFE/Uj4ljTOgnFjvUx1x1XR23WMJ4i8YZkxVRj5+j&#10;WIq9bpip7Nxi689Uz950nLK4EOc4juM4vYtGhLgQ1u/DB/P9UYiDKIYw4KuV39PAWMHll88w8y1Q&#10;tp56juM4TmtxIa4YyDOVqZlAgNEiEcQgKTNZoF5M9mKZskIcxiElH4tYn6hLqccCMWDZVLkUsj8C&#10;abCoPchKlmyF+DAfopeuR+TYc8mZo7UGco0Q61g7EMNiAhnnZYF6lMqkJJZDd82JUlmK2FxwXedT&#10;0AMpmY5xwldeK9rnev5yLeR1gFjIuhpd3nG6CxfimoA8nQmiB08Rsk5J0mV1PmA+5Idm5QHZt5Y5&#10;KNNYr0Otl1R/9ZISUlJ5VhmdR7FLv14yRUpQyZFXeJKgll8oM4HYXOQJYNaax6SeojzCMrptxik2&#10;rnrJWT/QyNhlXHmSWjNodL0o1YJ65VHKaBTgeAocBTlJo3GI7W15glrs9xuQ5fTrX7l2qd9FUrzT&#10;8SraHzn7LNaGFGcxBpmXQyxuEpaxxp9T36IZQtx1143flw/n+4sQBwGHCQKPzmeChAOJJ0VMOoOA&#10;w4QTvGReM0DfTBgDTwjDVy0lWXFAGVyH5CRPF5NzQpJyGCmKL2ik/RgoS+kJbchT5hBvOW/0I+vK&#10;eCFJgQztQoBi0vIVx4uv8jrB/Ji0lMaUEuKYuN/QhmwH15nkaXAYN8pJuQtxYD2iE8bCuMv6lhya&#10;ihvGIdeS7WAdOEasEa/H4sd1Y9scG9qQ65ITwzJzAzl72XFaRb1C3KZt56/HQ3kX4hzHcRyna3Eh&#10;rn76gxC34p7F1To4Xe6pJ+82yziO4zhdjwtxaaQQA7GKJ1LhK6U3fJV1pEAHUYt1IAtpoUjLdIB5&#10;ZYQ4tE0ZDgIQRDPmoQ8p6Fl1OSZ8lXXlePVYLVlJkxKKpJyEsafGrGMMtDiGeXNucn0A5qHrp8C4&#10;sI4Yk5S8ZDykaEXkGgGUZd9oR++nVH20b+03koq7RXfNCdIa1hdf5R7Sc5LrT2J7DOPEdWu8AG2z&#10;Xbn27A/15FjQN/rQn43U/mXMMGeuE+KB/jBfXd5xugsX4poEJSFIEpScLGEiJYIAeXKSlmZAKo9S&#10;myVSoC+OC2gRRAomKRmpDDniSVlSbeb0J8voPCklWTIPxBvEUOalBJUiSUruhZR4Ywl6HAvLWPsh&#10;JvUU5RGW0W1zryNe9cpbFnLvpyStRsaO8bKPVP2yNLpeUh611jIHGb8i4a3ROGCMrC+vF8UBoO/U&#10;7yquHbBkPtTnHkzVj80r5/dEqg2uI8aAsej8FLG4SVjG6lv+zijTtwtxNkWSi5RsKPdI6km6LykS&#10;WSJPo3COEH4oAElwYhZTWdlHjh3f6/yi+BZR1H4MzglykzVnwLFBspLXZZ+ImSWOsa6Wp2QsKXrF&#10;8vW4mIpkrtgekeOOlcFcmKyT1GSy9rv8POj5FcUN5WWy+k+1L8eu2yasj/51nkxl5wYa3cuO0wgu&#10;xDmO4zhO78KFuPrpD0Kc4ziO0zNxIS4O5JbKlKpYQhaA5CMlICkPQaaRZf//7P1psFRVmu+Pv+3o&#10;iBtlRfSbe1/0tfpG3IjuF7es8GLH/9+lDHaVgkWBMquliOBcCBZOqCVO5VADVgsqqIAozog4I+JY&#10;zgNO5YTILDgiaJVT912//CbnSz355LPWXpm585yT5zw74hN5zl7zs1aeLbU+tTaBiMM8lkAUKy/r&#10;1uIOT+GCiCNlJwnlIj0WebqalIQIZB8pZ5GYrCRJCUUsD7Eo1mcpTOn2Zd3on64Dv0tpSaa1QmpM&#10;co7QthVPjtuSpopiwnkGqbg3SjvHlELOkV7vgPXqsco4WP2R6TKOvGfJdxaxuMiYWPPkOL2JbhXi&#10;5s5duR2b831RiKNMRdEDFAlvEEaYB59SlgCWGJNKk1KblJUgx1AgIVoEQfvMg0/UL/uPfkPGwPjw&#10;KcsiP9qWohh+luKIzE8YK2ssMVIyS47oIvPoNDk36JsUiRBD9lfWLeeM9wjizzTEgOUQV57eRSz5&#10;RQp6aIfziX5JuYrpunxK6kmlEebRdct1pkEZgDXSqCwEWA/Gh/IAsZd5Wuk7kP1HPjnPaA+/I/ax&#10;dRuj1fmSeVCX/D5hzSAO6G9MNANco/LTygdaiQP6z7I6TdaLvspx6FjINMK5k3Xwb5H8uwKs7znL&#10;41OnAfk3wCoPUnVgDCyP+GJeONcAdSIGiJseXypuhHmstmXfMTe4h9jIubNwIc4mJrlAuMEJW7xi&#10;J1Y1c+m2ckSmZoF0xSt1+hxP72pG9uFl9T0W30bg1UhsOJ5UGQpQWp6S8yFPlpOwLC55X0pfkN9k&#10;GmC/tIQHeFl95mWVI/J0uJgECGQ+ncYrtlZkbPBzLC0WN66H2PcpVT+/j6m1JMtraY5XM2MDZaxl&#10;x2kWF+Icx3Ecp7NoRYj76qute3Jj3oU4O09vAn0FLsQ5juN0Pm0Q4h7FBnxfEOJw0lNlSFUs6cYC&#10;4hXLpEQZmU+n8b4WhFJCHE/MsqQiQrkHApK8D4kJ92PSX4yYrCSJCUXyBC8IeTJNIvPpscm6Y7HO&#10;6WOjpOZBpsWkq1hMMAbeT8WEc90JY8ohNUextKJYMUZ6TVO+y13rsXHh7wHvQ76TaY7T23AhriQg&#10;PlSGuBtIG1Y+IMUZDSQKyiyWNMN8VhqkDC3eENQLcYO/WyIIxoB8spyFFpSsPBJL1pDxiokrFimZ&#10;JZVm5bHSZYwsKKGQIsElVR/GTXnIikFqPgHaRjn+rMszzao7lUZidaNfOesEeaRUmYOUqSQyTyt9&#10;J6nvIEnJZBatzldReaLXoESeIAYQTysfaTYO6D/TdRrGoYVPDf8e6bKAMUIsiuKZKh9bHzl/J4rq&#10;KPo7QfT6T8WNME+sbSsmsbzEhTgbSi6pC3lighGvHFkrJtRIESennkYoknxIrG858LL63kq9hFcj&#10;sWn0kmVzYibz6DSOWUtfUpazhDFeKSEuFYPcWMtT6mLSWKodXjo2OXEr6mOqDpbNvXR5Xs2MDeTG&#10;13HagQtxjuM4jtNZuBDXPC7EOY7jOD2FC3Fx5MlpVrpFSu6RpE644n0tgKWkJd7PheWkWKTbKyJn&#10;rDGhKDUWTUxiypGwmKdoPhoh1feccck8sfuxsiB3jTVCqu2cfsk8VnqK1HhSaTw9UJ9KJyVKLfDJ&#10;7zTKF4muqTVG6Q4gnz7B0HF6Cy7ElYgUFYpO7IFQIfNDOoEIIWUSfRIboIhkpQGUh+TCfPjE7xQz&#10;eF+fXERQHv3Q0gWEC9RjCSS4hzSKfAA/416sHSmlFEk7EinS6bpTaToP4mClA/QNc8BYAfxuCTwU&#10;kFL16VOx8DPrYnnUr8sBzoeMLfJyHhBj3LPWA9eRVXcqjTCPrptjwSf6J9MQX+Rn7FL1x5DjRT26&#10;jlb6LrHmGe1iraOcHlsOrcwXwdpAH1geINaox1qDEnzPOR585giJzcQB99mGTiPoq64X48D3PdUv&#10;jh2f+D0VTwukM5+VnvN3oqgOgDHov3sYK/odG2NO3Jgn1jbmA+0yrmgfMbLykjKEuPnzx+zFzfm+&#10;LsTh1DCcxmW9WlHCK0fWigk1UgLKqacRUoKRpEj2gRAIkQrpiI11WX0vqpc0W7+FfjVn0aXFtZyY&#10;yTw6DWuGlxTOKKJZr/MEvKxx8krFgJf1KlJJany8ctrRZVP1kqL1kKoDr6fNvRBj/dpTXs2MDeSu&#10;ZcdpB00LcVtnbsemfLuEuI1bK5+bZ4YNm88M6zacEdZvPLP688YP6vM6juM4Tn/ChbhaHn9seTju&#10;2Inh+9//XvV/w8Dn2LEjqvd1Xi3E3XP3krD33j+s3gP4Gfd0Oc2SG6/eXRfB77hv5ZcgD/rHcv/r&#10;n/as9v/dd5+ry8s8lhB35hkn705/+aVVu+/jZ+u+TEOM8Dva1LHD7x9ue6umnARpaBv9ZjsWV155&#10;mVlewz5xTlA/+sD6OZ96LATtIB/y4HfEiuPBfOq4sv9y3tlGzvw1st4I4yxjlpp3gjpRd25bel3m&#10;tOE4TvfhQlwcyjgQX6x0C+QHRa/oTElGvA/JRt6PlZECUA5yPLLO3NdIkpSsRGJCkbxfJBLF2knJ&#10;SoR5Un2MgX5BoGL7FnruYnMUyxO7HysLYvHIobvHJMGJi5DQeCKhxhpPaqxYrywr+0XZVJ+ESOTp&#10;jAD9QRnrlMHUGkN+KcUB9BPj1HkdpyfpZiFu1+Z8XxXinHzkawdTcovTu5DzlhLGeNIbpSbHyUUL&#10;cU7r1AtxQx+txLihqy8Lcc1KLrxyZK1YW/K1pmXLNjmSEkjFAYJXTFKTlxWDVL2klfotIKHxyi0j&#10;yYmZzKPT5HzK13PydakxYY2X1WdeqfHw6qtCHNdIai2l4NXM2EDOWnacdtFrhbjNZ4b33zs1vPvm&#10;r8KaN06pfr635tSwfsMZYbOR33Ecx3H6C60Icd98s3kvbsz3BSEOAlBlWFG04ERZCJ8QhXR+EhOj&#10;IFNJ4cgC9VplQapNyE5a+mKaFuKkDKfbgyzFNC1OyTSMkaKVBrKYJcVBrIqV0eQKcewT4oqfY/Xj&#10;vh4PQGyQHptTWQayY1H/UY81dtDoemOZVJtIs2S/orZ0/tTawph0fsdxup+yhbidO3euxgZ8XxLi&#10;LBknBvKD7hTi5OsbdZkiUv0oIic+MaFI3u+NQpw8SSyFjllOPGWe2P1YWZATd4ueGBPA+oxJcBJr&#10;PEVj5emB8vtGSS31HUR/tRiHcnot5qwxCHDsJ8l9JavjdAcuxDk9Ak9gcumls8BJVJg3YKUTl5qc&#10;ZvG1Uz4uxNm0KrnwyhGvUm1RlsIVez1rM+RISiDWN/SFIhJO6IK8pvvHy4pBasyg1fpj8GqkDMmJ&#10;mcxjpUNKw4Ux4Xd5ap08NU7Cy+ozr9R4uIZisSbylallnqKWE7ei9ZCqo6hsEbyaGRtotX3HaYUW&#10;Xpla3ZQvTYjbelbYsOXM8P77p4V335oR3nxpanj9yRPD6oePCy8/dGx4ufL56hMnhj8/PzWseXtG&#10;WL/pDLsex3Ecx+nj1Atxw2Z3PZ4Lr74kxEm5CwIXpSLITJSkIBvJMlpmw2lbPD0L9clTw6xTtZAf&#10;aagXwhLFKeRlm0ALbECmQ15i/fhkvfiUZaz6pCilZTgg46IFMpkGOA6kybgBq27GD+XkSXpS+rLG&#10;noJ9YnkdW1k3PrWsJvsMcCoayqBepDHOWB+sB3lk/5HGOQB6HoCMXe56Qx5ZJ8sAeTqhNS72Va4V&#10;5MHY0H+ZV7YDEZF1cV1a43Ecp/txIS6OFGasdAvKOEWyknxlqpZweB8yjryfEpNiZYpA282WLZKV&#10;QEwoip3uZWFJTyBHVmKeovmQyDijnD45LzUPqTQrT+x+rCzIibtG1t2dYwLsL+YR86HXe2o8qTRA&#10;yY+nwcn1XPQ6VIBT3uQ60u3krDGCtvkaV4CyVj7H6W5ciHO6HbxKsLIcqq/8y3mlo9N7kCfEQWrU&#10;p/vx9ZvMU/SKT8fRuBBXPmUIcVddM24QN+ddiNsFrxzxKtUWyvOSp4rFgDSmxTELKWI1I1O99PLS&#10;6n1czYhcRfFttf4YfL2mfh1qDjlil8xjpetxUUKjIGfByxonr1QM8IpfXBAMrXTCfFZfeKXa4aVj&#10;kxO3ovWQqoOSIa6cta/h1czYQFHfHaed9AYhbuOWmeH9908Pb62eFp5bPjmsmjchrJg9Njzw29Hh&#10;gctGhfsuOSTce/Eh4f5LRoWVV4wLT98+Kbzx3NTw3runho2bZ5p1Oo7jOE5fxYW4XVAmghykZSIA&#10;gQl55D0pxBXJZBCPZJqUjqTYJImJUegfy8bkJIhMuk8sg3rxO/rEe1b/gRwDfo6loY/WOBgjLV3J&#10;MejYAL66VI+9iJw+sW6rbcac5a21AKTMF8sjpThKaKSZ9cb6YnOOetAf5JEn6smYxPoqYQx0+47j&#10;9C5ciIsjpbUcuQZQiIm9rpEwH07O0mlsUws1KTGJJ3BByJP3c6Bw1uipVkWyEogJRfJUO8RZpklk&#10;Pv0qyhxZiXlSfdRoyUqTmodUmpVH3s+VE3OlS0lPjQnCGe/H5jm1jlJpQK4PSH6cb+t7lUKenifv&#10;56wxTTPz4zjtpNuEuNmzH92Dm/OWEId7cgPf6bvsu+/w6h9CnDZmpTu9G85fEXhtqlXecVK4EFc+&#10;ow+fWvO8dSFuF61KLrxyZK1UW/KkNFwQqHQeAlkHeVN5JJTD8GmJRFI00n1LnSYGIHvxsmJA+Som&#10;prVafwxIhbxiclaMlJRl5bHSAecTfaFwmJIdeVnj5JWKAU7X4xVbG0Xx5JVqh5eOTU7cir5vqTqk&#10;ZNjIWiC8mhkbKFrLjtNOeoMQt37jGeGtV6eH5++ZEu45f2RYdPjAcN2YfcP1EwaGhRUWgfEDw4Ix&#10;+4XrDx8U7j7v4PDMHZOqp8XhFapWnY7jOI7TV3EhbtfJV5XhVJEiURGUolLiEOulhEb4mlLUIe9L&#10;pMgkxS4pssVkOguWQV9wohh/j8lwQPYBP8fS5AlpEimYyfupenW6TkuR0yfAPHrssr+x2Mr1gnm0&#10;8gCZT85/M+sNIhvLWPEiXJNSmsM4GmlPCoONrC/HcbqXNghx67AB3xeEOCkoxWQxSFoyDb+zTEwA&#10;khKPJT7F0lJikhR6YtJSDHkSniX+QWqC5KPTKPWlJLyUUESJD59oQ6cDtgGRS+fJkZWYpxE5iW3G&#10;pCopSupYp+bIyqPTimIi56oTxpQSGgHGyDFb48G9WBqhgIYxsi58H6y8MWJrKWeNaXL67DjdiSXE&#10;/XDgiD0q67Tcy4U4h1SWQ/jHf/zfZprTGeDkN5wE9w//8D92Pwg5rxDmZs6cZ5ZznCJ4wiA+rXSn&#10;cfyEOJsiQacIXjmCTiMyEC6INxCbcB/gZ9aBCwKUVY9GilKQeiieQY6i5MNL900KVLIsPjFmeVkx&#10;kHnYX9RJ4ajV+mOgPIU0fKIs6wZoF/GEJKjlMTkP7KdG5rHSgXxtKi/ZBw0va5y8imJA8Q6XHDNE&#10;SMSfMYnJkbxS7fDSscmJWyPfAasOOT7EF/PINIwVY0TdWEuyHODVzNgAyvGy1rLjtJPeIMS9986M&#10;8OKDx4SHrqj8TTnu38PN4weFOw4dEm4aNyjcNH5whUGVe4PD0sP2DzeOHRhu/eWBYeXc8eHllceF&#10;tWtPM+t0HMdxnL5KK0Lcd99tHcSN+U4W4qQclpKNNJSPUlIb82ghjvdzkf2iTAdknUWwDGQpniSW&#10;kuGAFMx0bFJpVh55X0phlrhGMQ391GkpcvoEYnMXE/gkuW0AxlkKas2sN9lmDnpcPJEOYIyIv0yX&#10;II39xicEzJyT5RzH6V5ciEtDkQhAsuHrHvFJOUmLLxR0AIQaloH8AymIJ7LFpCdZVt5PiUlog/Xi&#10;U7YLICZBekKbWtST0hLS5es00V9KRrpNKQtRdkJdMl9KKJKvTUXMZLuoR8bekgtTdRPmaUROknIY&#10;ynOOdJ+Ajklqjqw8Ok0KlWiLc2i13Slj4rrEHLO8/i4Aazy4F0sjcmxErn2Ctrn+ZTrWHfuBWMgy&#10;sTWG++gTxsBY4lP2BT/LMo7TU/gJcY7jOI7Th6kX4oYt63o0Z18uxNXDq0hUAjltQa6htJS6cl6r&#10;KpGnwOkL8hBPVLP6liqLvlL4smIgxTR5ybyt1J8CslJOLCk3kSIpS+ex0gHal1fRyWK8rHHyKooB&#10;2pTSmHUhnshnleeVaoeXjk1O3Iq+A0V1QOIrGh8urCldllczYwM5a9lx2sWPDxj2/+TzNkeIW7fu&#10;3D24KV+GEPfWK9PDw1dNCLeefGBYdNigsGj0fmHxmP3CwtH7hkWVT3D9mIFhybhBYUHl3pLJ/149&#10;Se7pW48Ka9+ZYdbZX/nlyf8WBg7+p3DxZUPN9P7GilWTw/AR/7L7fyj9n3t+P8y9+mAzb18A4+VY&#10;8bNOw9pAPJ567sSatN4C1i36/r3v/V2v7SPohFj2JB6f9jPoZz9r+NnNq68IcVKCakT8iUlVEubR&#10;Qhxelck2i4CUJAUm1tnoKy1Zn2w7dcIZSMlfqTQrj07jODA+KcVBwKKQVSTsaXL6BGJzlyPEyTwp&#10;sQxY7TSz3uSpgDnoeUU7UooD6JN+ZSzByXCcA4K5SMXUcZzuxYW4NJBcpOCmgUgDqUiWwe+pMgBi&#10;ji5HmAfSjbxfJCahPikYxaC8JpEilgXkP11GSngS2e+YUGSlx4id9lVUN2CeRuSxojmXaXoeiuZI&#10;57HS5SlwGghbPA2wU8ZUtLbYtjUe3IulEYxN12flk320wFrWIl1sjRWt21gfHKcn6DYh7qqrHtiT&#10;m/MuxDmO4zhO91CGEDdv3tiR3JzvK0IcT0izTpTKgYJM7BWVkty2IP3o0+BwQQSCuJY6ZSwFxC8p&#10;E+FnymD4xBXrmy4LqQoiEPrKccViAPmKeXChHrz+UuZppf4UKI96ZN24EFtIU5b4hP7yws86XebB&#10;/FvpRLarx6xJraVG1lls/eB33Ee6VQ7ktMM8OjaMCS6dRjiXsXWWUwfAerG+H6iXa1rTytgI7het&#10;ZcdpB/92wLD/ks/bnhDiXnvypHD3r0fsei3qIfuG60btWxXf8EkWVIAod13l/vW/GBTumDY0PHrt&#10;YeHdN04x6yyL//PD/173P7gRCB8zzxkSXnurvX1oBNk/K70/AREHYpWMCcC8Wfn7AncuP2L3OPGz&#10;TMNaZRp+lmm9BcxNrP+9iU6IZU/i8Wk/Aw/6WcPPbl59UYiz0mPEpCoJ82ghjrJRqmyMnHYtUIZ9&#10;gdzE31OvFk0JZjnymcyj0+SrOS0gcDV6MllOn0AshjlrQeZpVYiTeVPIWKXGVQQEOPaJyNPrJIg9&#10;2tXyZs5rVx3HaT9tEOK2YwPeEuKwKS836TsFCDcQYKQ0BKFNnhhnlcEJURR6CH7HfaRb5QAlM33C&#10;FIQ31hOT6ay+ArQL0SomNAGkQbiSkht+twQ6gn7IE8bQrjzpjSdmoU5ZToJ20TeeRAfwc1F/c+pm&#10;Hn3yVxGMo+wTxsZYMEZ6HnLmiHlS/UY7cg5l2xTMOmlMXFusB/kwv/j+pOaIZYrGKuvW3xsJxoq8&#10;HCtADPBdtr6TsTWGvEiLfb9lXsfpaVyIcxzHcZw+jAtxjuM4jtOZ6OdtlhC39fQ9uSnfihC3YcuZ&#10;4b23Z4Rn75oUbp8+rHoi3PVj9qsR4SQLRu+3S5Qb/eNww5FDwkOzx4a3X51m1l0WleEWAulKn8bV&#10;U1Dgw8lMVnp/AqflcX4oV0GS682iVaukhLjrl4yri4eEJ+m1a+3k1M8T4nCSX28STTVFsWwVipyd&#10;etJju+PjnFX33G1IiPt6y0huzHeyECdP32pENopJVRLm0UJcTtkYUmaz0mOwDPoiTwyDnIcTwawy&#10;KcEslWblkff5Wk4AwUqeXoaf2UdZJoecPoFY/HNktUZeeUrxUZ5018x6yx1XLog/RDjWqdenBm3K&#10;OSqjD47jtMZbbz9f99x1Ic5xnE4Col/lz08VS2xznP7MnPkL6p7H1Qd22ZcLcY7jOI7T/Rx4yJG1&#10;z9zBQxd2PZqzr/nzx03k5rwLcY7jOI7TPejn7T5DDpzW9WiOXmUJcWvfOy289qeTwuPXHR5uOf6A&#10;6mtSk0Jc9fPH4fqx+4UFY/YN9154cHjjmV+adZdFZbhV9ClHEKvkKUgQP3qzwNMf4Wlj/UkOTAlx&#10;RTBe7TpBr9319yU4h366mhNDP3f7oxAHGawynCqNnH6VI7UxjxaOpNTWqPglTwuLiWwWLMO+yNdi&#10;xk5jS4lYqTQrj7zPMaRi1wyyvdjJdxgn8+hXi+YIcbnrReaTryZtZr1BYGOZotfcNgIlt5x5kHEr&#10;Eugcx2k/lhC398ADBlW+o01dO12Icxynm+Gpdzh1zkp3nP5MvRA3dPuuJ3bJ15w5K/bi5rwLcY7j&#10;OI7TPfx05BH/WfPMdSHOcRzHcToC/bztTiFuzRu/Ci/cd0xY8cdx4aaj/z3cOG5QWDx2YJ0IV8uP&#10;K/kGhkVj9gvLzvxZtfx7b80IGzafabbRKpXhVomJKVKKm3v1wWYep2fgaXn9SSpyIa5vwDl0Ic6J&#10;oZ+7Oc9uXt98s3UiN+Y7WYgDfC0kPi0xDBIT0uS9VoQ4ecpYo3KRlKNir7uEgKXTrPbkaWXyFDOS&#10;kt5SaVYeeZ9CHIS8WNlmkO2hbsybziOlN922TJP3NUXrBfAENvRD52lmvVFes+prlpw1LEFe0Oia&#10;dRynfNogxFU34F2IcxynO+ArZIF8Xa/jOLtwIc5xHMdx+jA/GfGLb2qeuS7EOY7jOE5HoJ+3OZvq&#10;mzfP3Iub8q0IcW+tnhaevn1SuO+SQ8KSo/evynDXjykW4nCS3KLR+4Xbpw0Njy/8RXj18RPDe++c&#10;arbRKpXhVomJKVJAcnmld9Ef58WFuL4B59D/pjgx9HO3vwpx8tQ1yEEUqSAeQf7hSWqyTI5MxDyW&#10;QCRfQQkZTcpbkN4gq6G8Jb3J113ixDDkZzmePqf7xfy6L/K0On1imRTMtDyWSrPyyPvoJ2OqgQiG&#10;vqNfsXpjyPYA2uDpbJhLPc+6fK4QJ4VGzKM8jQ7zKOfHOgWumfUm20SMMC4pxmHsWAsoK9cS6kMb&#10;Mr+OhewjYy/HJNcVkPU7jtMzuBDnOE4ns//++1f/mwKnxFnpjtPfcSHOcRzHcfowA4eNbVmIu3r+&#10;2GncnHchznEcx3HazxVzx9U9bwcMGTax69EcvcoS4t5+dXp4/u4p4cHfjw1LJu9fleEWjS4S4vbt&#10;Euf2C7ec8NPw0OVjw3P3TAlr/vwrs41WqQy3SitCHF6v+ouJe4f/uef3d+fFz7iHNJl3xarJu/Nc&#10;v2RcTZpE5pPiE14Pinup14TiJDvKSQS/WyfcXXzZ0Gp66pWwrCvWJsqhPPI0eooeyv7y5H/bfdob&#10;+4K2rLpkXCxQVpdJgdgypgDzxnlG+7hnjZtxS8lfrNcqj3WBcaM8Y8f2sW4wTl0GpIQ4GRtZXtZv&#10;Idc15gNjQ7/keuacWGu2qH4LOU+y3818J0gj676IWCxlGsfA7z/jgE/8rr9Pss4Y1ri4RmWc8X3B&#10;vMW+s1x7mEvkQX9YlutRfvf13ykJ8wHeS8WHoF300fpuW+Nkn2PfKdTHGKBPVh7Uy7bkmKy+FMWw&#10;p9HP3f4qxAEp/FhQrCIQh3DfEqsI81hCHKQkKcXFQL8aLaulKMA0qy+yLllOCmZaTkulWXl0mpTP&#10;UjTyilDZXmo+IZRRIpTIPuk0TU7/U31vdL0B3LPyauTYivqJuZdtcM3GKPOVrY7jNM/zLz5W99wd&#10;MHDYXpXvaVMXN+BdiHMcp92sX79+939XXH755WYex+nvXDJ7Ts2zeMCQYeuqD+yyryuuWDmIm/Mu&#10;xDmO4zhO96CFuAGDh83uejRnXy7EOY7jOE730tNC3Pvvnx7eeGFqeOKGI8Ktx/803Dh2UFg8ZpAp&#10;wUkgxOGVqTcd8+/h/stGhWdunxTefmW62UarVIZbRUpBEtxnHkv8gGwjRRUN0nQ55qeYYgFZinVI&#10;YYPCjyWNIJ8WgjQQY2QZKbZY4hDqlOV1OoDExPSUWKNBuVTsAMYjxy/7a4H6ZBsppOijgSzDObBi&#10;zXVhpRHOhZWnaNwgJkfF0mNpRW3JtU8pKYX+ruSMxcKqo5nvRDPrvojcOKe+/1hDjaxdoNuSY7bQ&#10;bRDGA+WlBEaQR/YnJpgBlscn76XiA1C3FCot9N8b+X20/o7IvzOx7x3jhbZ5D/GxYkBif/t7krfX&#10;nlH33M15dvP69tst07gx3xeEOADhSApBEMsgLlnCF08Bs05wI8xjnRJGdJsAkhLKWlIUgRQH2UnK&#10;bBC95IlxEp46ZvVFntgmxwM5jnVrwS6VpvOgbnlfnnamx4hxId4yJrH6NVKIw88oxzkAiA9ihjas&#10;8jw1Tfc3BtrA+kC9so3YmtE0st4IT2uTbaIc6rHmHmPFuPQaw++xtYB65LpC/YijPDXOcZyepUwh&#10;bvv27XtwA96FOMdxHMfpeVyIcxzHcZw+zH7Dxnwln7cuxDmO4zhO76dZIW7T1rMGcWO+FSEOrFt/&#10;RnjhvmPC7dOGhRvGDAw3jC0+Ie760QPDwtH7hZuO/Ul48Lejw3PLjg7vvta9J8RB6JAyiiXUSKEE&#10;Ig9+ZxrkDUoYEGaktBITeySUSXS7KcmKMhPag2zCuiGXUOACeqxsy5KRUA/LAesEL54+JSWUIhAr&#10;ikQoJ+tFmhSzYpIU05sRWqTQg3migINP2TawYs14xsQckJorjB1xw7jlGpCClRSQSEpEKpKUUv0h&#10;GDvS0Q8pJaE+KRVZ6zanfrkO5f1WvhOcr0bXfYrcOAO2izS0Ldu0/m4Apqf6JAUx5ON8oA25Tqx4&#10;cy4IfsdaA7JNzqm11gDaZB0cI0jFB/3jXKHe1HdblpVtWYIe/84Qa51Ya4RxRLx0X5CvkXXRXbgQ&#10;5/QUlK1Sp41B5EIekCOXAeRrtIzjOE4n4kKc4ziO4/RdXIjrJZxwwkXhH//xf+/+RyZ+njlznpm3&#10;NzBhwrRqP//+7/+bme70PS677M6w777Dq3POuT/ggEPNvE5n4d/nvk0ZQty8eeNmcYPehTjHcRzH&#10;aT9/uHxs3fO2u4U48MqjJ4RlZw4PC0fvWxXiILsBS4YDN4wdFG4YMyjcetIB4ZH5h4ZXHjk+rH37&#10;VLPuVqkMNwkkipgwQbEDn1Y6hA1KK1LwgIjB+qVkYqVLgQPEpCNZBj/LNIJxIB19kveljCTvAy2h&#10;WIIPx4h6dFoMjgNlLbEFSHFGylmEac0ILUXtSxlJxxowllYaYRupPBasG+i0lIiUSgPN9oeUUX9s&#10;bM1+J1pZ9ylSY5VpqNNql7GISaIsn1q7/F5ZchiQ/dB9YPsgNR9ynVvfMZkuvyep+LAMxh77brN/&#10;+m8nBT2rz5TdiF4nsTXCthr5+9TTuBDn9BSV5VMFp7VZ6aAZuc2FOMdx+gslC3F7cgPehTjHcRzH&#10;6XnOufDSmmdx24S4uXMfHsnNeRfiaoEMVwlRHSNHTjHzk/POu2G3nGTxz//8f6uii1W2VdA3tmOl&#10;O30PKWxKrLxOZ+Hf577NfkNH/0U+b12IcxzHcZzejyXE7TNk6MiuR3P0KluIe/3pX4b7Ljo4XH/4&#10;oHDd6B9XZbhFCSFuybjB1der3vmrYeH5u44O775+Sli/4Qyz7lapDDeJJecAiB7Mo4UQSUz8oNxh&#10;yXQU1CyBh/VpYYRlLJGExAQayCO8rwU8SjmU07TgIyUUSwyykCdBpSQVmc8Sh1JpKeTcpdpPyTmU&#10;rFLxjs1VESnZqNk00Gx/JKzfinlO/Ywb0GnNfCdaWfcpcuOsvy8kNU7AtNjald9JK50wj5bmOBcp&#10;KQ0UncrG74Cek1R8WCY2NsD4xOYTyH7LvzP8W6TlXIp4uk75tysVi97Ey6+fWvfcdSHO6Q54Qhxe&#10;xYnXhsrXfOJn3EMa8uDVoLJsChfiHMfpLzzy+P11z91/HXjAnpW/fw1fLsQ5juM4Tu9CC3H7DBm6&#10;uuuxXe41t0CIu+Cim+s28fsLFI3wCckN93A6XNEJcaeccvnuf5SmQL043cuqo1lcoPkblBLbJR/2&#10;BqS0yXFiTeG+zut0Hv597tv8/38y/Bv5vHUhznEcx3F6P80KcRu3nDmSG/NlCHFvvzo9PHbdYeGu&#10;M38Wbpr872HReMhwPw4LRu9bPTVuwSh87heuH4OT4/atynILxw8K911wSHjlsePD+g1nmvWWQWW4&#10;VaS8AfmCUgewpBcphOSghR0pzGhJg2KQJWvFpCPez0VLLBTfpGRCCQVpUkiRUhEFFi3KpUjJNBr2&#10;y5KkWEdKvLHIbT8Wa8D5s9JIqnyKVP+aTQPN9kfC+q2Y59Qv130qLfc7wTZzseJi0UqcdR4rnWmx&#10;tStjkYOup5G5Zl78zZP3pSyn/wamYsD7uciy8u+MlJEpu+HvQEx8499sLcpJuRB5YhJjb8IS4nKe&#10;3by++2brLG7MuxDnNMLLL63aLbylgAyHvFYdFi7EOY7TX+hOIe72u+6p26h3HMdxHKd9nHneb2r2&#10;ydsmxM2Zs2IiN+ddiKulEp4qjQpVUojDzzINMt3eew/anY5XXcr0VnGB5m8wDoiJld4X4Hz7KzX7&#10;Jv597tvUC3FDZ1XmuqHrmmvGzeYGvQtxjuM4jtN+yhDiIL/pOhoV4t5fe1pcvLjnAAD/9ElEQVR4&#10;7cmTwp+WHBnuvXBkuOmYn4QFY/arvj51ybhB1c8bK5+3TBhc+RwYFo4fGG47+cDw2PxDw9urp5l1&#10;lkVluFW0UAIhh4IFxAst6EDWYNkctMgTO5kpJp6RmOhCYSgHjAfty/J8NaoU26SEgt/ZhoxVTEJJ&#10;IWUf3Q9NbLyAdei5KyJHaAKptjkGK42kygOMHeuC+Sx0/1J9LxpXUX8I1jrmHvkoJGqsmOfUL+de&#10;pzXznWh13cdoJc46j5XOtNja5fcxFy155c41kH/LZHxj4hmIxUDOYQ5awgOcU/k3hae8oU+yDbaN&#10;Nct71qme+u81xoTvXu566G7KFOKW3La4ri65ce84GpwEd+YZJ4ef/nRwzfcGohzu4ZS4D7e9ZZaN&#10;AXmO9TQi0jmO43QaJQtxe3EDfs17a+vqdSHOcRzHcbqXHhHiTj/ratHgLi69bGndJn5/AKdsVcJT&#10;RUttRaSEOMLT58oWmVyg+RuMQ18W4g444NDqGPEaXivd6Wz8+9y3+f/9+8+/ls/bVoW446bWCnH7&#10;HnhQ3Sa+4ziO4zitcfFlY2qet7so3lTfsHXmRG7MW0IcTo2Tm/dFbNgysyrFvfHcL8OTN/wi3D1r&#10;ZLjlhJ+GxUcMqZ4Wt2DcvmHB2IFhwZh9w8IJkOGGhgd/NzY8d/eUsHbNaWadZVEZbhVLTJHShxR0&#10;AGURIIWQRqBMJqWQohPXYqILxaUcAcbCkmLYFsdOSYf9lWJKI6cuSSmqSEiJjRewjphUFCMm82hS&#10;bXMMVhpJlec8F6H7l+p70bhS/SFYBzEJTmLFPKd+OfdWeqPfiVbXfYxW4qzzWOlMi61dCmCx8kXk&#10;zAWRMhlizfucC0t2jcVAyouNfi8J/85IEY918m8TpTn2V/790vIywd8a5JfrGz/H5rAnaVWI+6/v&#10;ts7mxrwLcY7jOI7TfVgns7ZLiHtg5aq6jXrHcRzHcdrHSTNm/qX2eexCXLeSI7XFyCnbLtHFBZq/&#10;wTj0ZSEOIhzG6EJc38S/z30b/bxtRoibd834hdygdyHOcRzHcdqPJcTtPfCAQV2P5uhVthAHNmw5&#10;K6x977TwxjMnheeWTw5PLj4iPDxnfLj/ooPDnWf8LCw99aBw19nDwwOXjg6PXXd4ePHBY8Pbq6eH&#10;9Zva97pUUBlulZi8QfFCyzgxIaQRpMRBMYztaQGPxESXRgQYCy3FyN/ZN/nqQdyjFCjFlRxkPUWx&#10;o7xiSTmso1HxJnfuUjGl2JWKd6y8bB9pWiZM9a/ZNBDrD8GcM95Yh1ifWi5i/VbMi+oHjBuw0hv9&#10;TuS02QytxFnnsdKZFlu7RXEqotG4UELj3znEnu3rU/lAKga8HxtbEfLvA37m7/JvsJYkKRDyNMsi&#10;pPiJz5hE11NYryp3Ic5xHMdxej+WEPfDgSP26HpEN3S5EOc4juM4vQstxA0YPPTRrsd2udcVVzw0&#10;jZvz00/7Y81/AIBOF+LwilK8lvQf/uF/VP+HGYCfcc+S1fB6VOazwOtOdRlNjhDHk72AlY5y6COF&#10;J4KT5VAWJ9hZ5bRAo1/RirEjT6w886YkMpxqhzzWq2RZnmmTJp21+zQ8gJ9POOGimjLoI9N1muS8&#10;827YnQ9lrDyyrhhyTpifJ/Whfa4VfFr9wZj0vOB33Nd5Na2UlXAOYsj4MC/uAbaP+3Kem11z/M7w&#10;u4F65JpDeTk+1IN2GWf0A+3G6icsJ9cTyqIt63vGPmA8Og2gPsYm9lpk1Mu2sP50OtYH2mE9gPGy&#10;8hPmL5oT/Mx6ZXmAcowhY+90Fvp5u8+QA6dV5rOhSwpxk46vFeKGDP9Z3Sa+4ziO4zitUYYQt/Te&#10;E+vqwOk1cvM+h41bwcyw4YOZYf2GM8J7b88If37ul+GFe6eExxccHlZdPSH86eaJ4eWHjgtvvXRy&#10;WLfudLOesqkMt0qOmCLFECmMyFOVGkFKZ5B95OlKlIE0MdGFQgtoVu6gVIKToSwJBbAN9Jf5LVkt&#10;hRxnTPwDMh8EFp3OtEbFGzl3qbI8IcuSiuS60GkkVp4yT0wkTMlGzaaB2NohUkSyJCjAdCtuRfWD&#10;org1+p0oY91btBJnncdKZ1ps/UkxEPNi5UmRMxcSPfeIPX7W33+SigHK4L485a9RKKvhu8Lvi/w7&#10;I9tHf5nf+jsRQ445No89hSXE5Ty7eX333baF3Jift2BeTT37/3x03ea94ziO4zjlULIQN4gb8C+/&#10;8lpdvS7EOY7jOE73cvz0Mz6Xz2IX4ppAyiQxIK7IMt0lxKVEFoguLB8D4owlEMkxQ0KSZSSQdqzy&#10;FHOklKNhHVYelkdctVgl0QIYBaFUfFEny8fkqZzYyTmRc2XFS44RbabGBCB2Mb+klbIWUsCyQByY&#10;l/ewtnU59Al5ylhzqAtj0OUI8qEdKbRJYvUDlON3JoZeU/K7HJPZmM44aLjm0La8j35irbK8Bcaj&#10;+0SYJzUngLEFsjzGw3L4lPPtdA76eetCnOM4juP0fmZdOLrmeQuyhLgtM6dxY74sIc5i3fozwtuv&#10;nhJWP3JCVYR77emp4d03fhXWbzqjJh9kOvl7mVSGWyUmpkh5SotfFJ5aOWFISmgUP1IiSUx0kXJH&#10;bCxFSAmH7egxs79MB41IKITSDD5jsWNbsfiy/WbGW9S+FK0sqUjGypJpKBRZ5TkutC3vE1lW1y1F&#10;oEbSgFxrOg3Idi35TMppVsyL6gcoxzqsdCDrKfpOlLHuLVqJs85jpUvhy0rHmmR5a/0Vwe9nI2Vl&#10;nxDvVP9SMeCcWWm58PuH7wi/q/rvDPvLsYKYSGyRGkNPY53M6kKc4ziO4/R+rJNZux7PDV9FQtwT&#10;Tz1Tt1HvOI7jOE77+MUxv/xCPot7TIibffl9dZv4nYCUmyCYSGEEIoyUcqzToXKkthipsugHRZqY&#10;yIJ7SIOMI8tDwpGCjJb5gEwHGCdPOdPlLfkMsUIa8uk0wvJWHpYnaIMyEsYi4y4lpRzZjUJUrjjG&#10;+lJjkXMFEHfkx32sCxl/OW9YX+wnxiHjarXXStkUjLeUqDSsmyB+GBf6QWGr7DXHOvCJepnGn1EG&#10;dQMprln1Iw/nXq5nIL9PQPYdseV96zuu5T3OiSS25mRZ9JlrGXUgpnLM1necacSaEyBjy3tog98j&#10;tGPV7/R+8GzVz9sBQ4ZNrMxrQ9f8a8Yt4wb94UePqKnPhTjHcRzHKR9LiBswcNheXY/m6CWFuMW3&#10;HV9XR1lCHE6LW7fxjLD2vVPD2ndPDevePy1s3HRm9b6Vvx1UhlslJdNQuNBilpRxIG1A2JDpkCwg&#10;h6Bc7MQtKVbFxA9JSnShxAIglMg2IYqgXpSDcCTLyTwsTzBGmUdKU8QSyoqQsUO/ZTvoN6UogDZl&#10;WcL0ZkQoGXe0RZFGtw2sWEthCfNLoQb1FJWXMUTfGT+rbS3qpCSeVBqQMhrXGNpkXvzMdBkTfMqy&#10;wIp5Uf06D+9p5NzkfCdaXfcWqVim0qw8Vjr6gzT5twHfAcYcSLEM+eV3BGsGv2O8qIP3CevXay+F&#10;lNDYruyPJBUDlEGfkIZPzLmsB+PFdwDtxL7bcg0Q/XdGf1di0iT6gFjKdYGfuW6s+PU0lhCX8+zm&#10;JYW4319xeU09IyYcUbd57ziO4zhOObgQ5ziO4zh9l3ohbtiyrsd2udcVV6ycxQ36k6ZfWvMfAKAT&#10;hTgIIxRSYqKQlGz06U8AcgrSgJRscpBlY6DNRuslKQlKCjSQZizJRwpEUkoDrBv1yPsSlrXysDzQ&#10;EhGQsZHiD6Qe3rfkJZkuhagUzJ8ai56r2JzI9mMCEmOPtSfvt1K2iNRaIGwbpGKRItUO+w6sNYd5&#10;ZjqQ805Yv/VdpDCHNGs9A5bH2pb3KY5Z/eb3n+h+xdacXDOxeMqy1veAaak6gIwtfsf4XYbrG3SH&#10;EDd01PC6TXzHcRzHcVqjXULc22trT3DrZCrDrWIJPkTKGVrMscQNi5hYAiiPkJRglhJdUE7KQTEg&#10;vuiyRJfXfcE4ZHojkpFGylExYidUAeZJzV0KCkAWSCuSilJzjzIUmnT5onmSaVo2SolIqTQgRSWJ&#10;jF8qJihLWcqKeU79cs5lWU0j34ky1r2mlTjrPFa6FEIlur7UfBDMiSwDitauBSQxWS9iauUDRTFA&#10;XdZa0Oi/pwRzKvNZfdHfvyJxNoYUDXsLrQpx//mfW5dxY96FOMdxHMfpPsoU4nbu3DmSG/CQ33S9&#10;jQpxO3bsCDu2fxY+/+zTKvh5x/bt4fPPPzfzO47jOI5Ty6GTT9gun8U9JsTJDfxOQQo4KXlK5tMi&#10;lJReYpJUDFm2iGYEJS3JxNJi8pDsn5aAKBal+sWyVh6Wh7Sj00isPEUfqyxPkGtEGIu1I5GxsEQ8&#10;wvYtsYrIuqSo1ErZIhjvVN2sV8tijSDXVSottuaYbp0AB1L1c12k5pHl9fpg7IHsmxTWKIhqcY0i&#10;nq5Tng4XGy+Q+XQa7xfNiY6Ly3B9B7yOXD9vXYhzHMdxnN7PWeeOqnnegn8deMCeXY/m6LVh65mz&#10;uDHf14U4ShsxmQJAzmA+S6qBCIT78mQl5KcUlZLhgDwJKiWAAZ6KlBLRIIpQiCEQSlAmJqAQKZnE&#10;ZBpZd6syCWQaHTv8jHuWaCNhmdTcFYHxSpkKPzNGHGcsDgDjj5VHv3DPmiusKchhctyyLNebPNUK&#10;SGmpkTSZh2sIoE09hzom6CP6ij6zbCzmRfUzJhifLKdp5DtB0O9m170mFctUms6TGqdeO+i79bcC&#10;3wOMgWsCYE6QH/HEvOgynAN86rQUsj+p73ZODLjGZZ0A/c75fiMPy0ipksi/y/iM/Z1N/Y2J9b2n&#10;sV5VnvPs5iWFuPMuvqimnsOmHFe3ee84juM4TjnoV5XvM2To9q7Hc8PXzgIhDqfGMT0HSHCffrAl&#10;fLhxfdi2YV34eMumsP2jj6r3dV7Ic/qe4ziO4/R3Dj58Us0JcfsMHrqw67Fd7jV37qrZ3KDvK0Jc&#10;Sq6RSClGy1BSUMLPMq2IVFkINJD0KLaAlIhlkRpf7tiZB/nlfQpW+r4kVhbkCFqxNiggAX1yHU/z&#10;iglVFqwrNZbceWafc5F1tVK2iJx4s95UHIpAWdbTSBpheqwPqTp4PxdZVn7HpfzJtQYhLSa+8Tuq&#10;RbmcmAO5nrW8xvtFcyLjQsHOZbi+gSXEVf5BP7Iyxw1d8+aPf5Qb9GOOqBXiRox3Ic5xHMdxyqYM&#10;Ie6qhVPq6pAb947TV6FchU8r3XEcpx24EOc4juM4nUmZQtyOHTsmcgO+aSFux46w/bNPwifbtoSt&#10;a94JG159Mbz/wtNhzXNPhrUvPhM2vfFq2LbuvbD944/s8o7jOI7j7KZHhLgpJ15Q8x8APz7g4LpN&#10;/E6Awor1+kUN8gEtpuSKUhY5ZSHGUfKK9RNlIcFIeU6jy6TEIgnz6HEzdilRJ1YW5MhCsTYQE6tu&#10;KTU1IgJZdWly51m/XjMFhCUp9LVStoiceLPuVBxIu9Yc02N9iNWBWPB+Dui3LA8Yfym28VQ4SGuy&#10;Da4BuRb1KYq8r0U5TWpt8X7RnMi4cByNrhGnd3LBRTfXPG934UKc4ziO4/R2ZsxsTojbvPWs2dyY&#10;dyHO6a+4EOc4Tk9gnczakBD37bZHuTE/4+yza+pxIc5xHMdx2od+VfmAIcPWdT2eG76kEPfAylU1&#10;9YI1762t26gneB3qpx9uC5veeiO8+egD4aWlN4TnbpwXnl54RXjymtkV/lD9fGbRnLD6ziVhzbNP&#10;hm3r1lbFOD8dznEcx3FsDhx16Fc1z+P2CXErF3KD3oW4v91PySxF5JaVr3OUohdkHI6hCFkfiIlF&#10;GubR447JapJYWZAjaKXaoKgk545xyplPCcrE2iG5cwUJCXlS44rRStkicuLN8aXi0O41x/RYH2J1&#10;SBky1f8U8mQ13mOd/N5RNuMJhPJ1yogNy8my3S3Eoa9cS5b453QWpQlx14xbzQ16F+Icx3Ecp/1Y&#10;QtwPB47Yo+vRHL1ciHMcF+Icx+kZ2inEHTttet3mveM4juM45VCyEDeNG/C333VPTb0gJcR9VpXh&#10;Xg+v3HtbuO+8U8LNUw4ONx3983DT5JHh5smVnyufN00aEW448qCwdNoR4clrLw9vP7kqfLD23fD5&#10;9u1mnY7jOI7T3/npIRP+Ip/FAwYPm9312C73kkLckcecU/MfAEOGT6jbxO8EpGhmpRMp2+hToHJF&#10;KYvcslJ2kfnkfUg3UpbT6fJ+UZqEeZBf3qcUpe9LYmVBjqCVagOvk2X9WlbCaV46fwrWkxpL7lzl&#10;jCtGK2WLyKmb40vFAWnM1441x/RYH1J1FJUtQq4p/MzfU9IlxUx8Mg/h6XlF8ylfmapPdOP9ojHp&#10;uEhRr0jIc3o3lhC398ADBlXmtqFLCnEQ4GR9EOTkBr7jOI7jOK0zdcbBNc9bkCPEbdp21kJuzP9u&#10;7qSa8oOHD6/bvHecvogLcY7j9ASWEJfz7Ob1n99tXc2NeRfiHMdxHKf70K8q7ykhbuvad8MbK+8N&#10;j15xUbhh4s/CbYcOCbdNGByWjBu0m1sqv99x2P5hwZhB4d5ZJ4cX71gc1q1+IWz/7FOzTsdxHMfp&#10;77gQ1wJSRNFijyQlrOSKUha5ZaXsIvtJ4caScUBKHpJp+mQrogUhmVYkWMlXSVoyT46gxTxWecBT&#10;sCApyVg2+ppIlou1A3LniqeMgVhcY7RStoiceLPtVBzKWnM6jTA91odUHRQiWzkVTa4pym9SKJPr&#10;AN9F5teiLKAsJ0+cs2A+Kd4RtpWaE2DFRa4nq39OZ3DOrIU1z1vQjBA3/5rx67hB70Kc4ziO47Qf&#10;S4jreiwnr00uxDlOGD7iX6r/jsGnle44jtMOrJNZmxXiIMDJelyIcxzHcZz2oYW4fYYMXd31eG74&#10;KhLiPti6rW6jnqx76dnw+JWXhDunHxkWjIMINzDcOHZgWCy4cdygcPOEwWHBmIFh6fQjwmNzLgnv&#10;/OnhsP2TT8w6HZtRo0ZV/82ITyu9NzFjxoyw//77h8svv9xM76889dRTu/cw8bOVp52sX7++un4w&#10;NytWrDDzOH2LPfbYo7re9HexnWsRbaFetG2lO3nsN3Tkt/JZ3DYhbs6clcu4QX/oUafW/AdApwpx&#10;EKcqQ6sSE3wgJlG0sWSiXFHKIqesbF8LM5RxYidAUbQBOk0KNBCILAGLEhXa0emUbaw0/C5lHEvm&#10;yRG0mCcmA1FYQh/YXjMyFOOI+qx0kDvPUiIskpg0rZQtIifeOW2XteZ0GmF6rA+pOrgeQKPfRcJ1&#10;hO8av3daJmMMGFNgSZjylLbYqYWQ6pjHGnMqTWLFBd9DCozoc0r6dXovlhA3YOCwvSrz2tA1Xwhx&#10;Q0fVCnGHH50vxF23YEJYvPiwcOvtR4a7750SHlhxbFi56vjw0Kpjw30PTgnL7j463H7HkeGmW44I&#10;11fyXXPtBLMex3Ecx+nrlCHEnf/biTXlDxo3sm7z3nEcx3GccrCEuK7Hc9b13Xfb1nFjXgtxODFO&#10;btw7juM4jlMeJQtxs7gBv2jJLaretBD3xsp7wl2nTg6Lxg8J140eGBaM3rfKdaP+xoLR+4VFYypU&#10;8uCVqvfNmhZeve+OsP3jj8w6ywLyz/nnnx9+9KMf7d5LApCBJk+e3CNCUiug3+y/ld6bkPG20vsr&#10;kNAYl54Q0mT7nbCOnNbhfONvobzfzrWItli3le7kUS/EDZ1ViWn5V0qIO/CQI+s28TsFKdFA5pHS&#10;CAQlCiXAEkpyRSmLorK6fS3VUD6C7CKlHV0OyHJACjQA+dkHyD1FQpuUt1CWQhDq0G1b5XMELeaJ&#10;yUBSJiLNnITFdqQ0hPFJyaloriRy/IijXDeoE31Em5aE2UrZFBwjPq10wHZj8QZlrTmdRpge60Oq&#10;DsSHsho+kVfOIWKJ7xBEt5ighjGxfqKFT8aAYNwyXSJjIvuDOtEW+4s+6XaALKvTJLG4YMxFbTi9&#10;m94kxC1YMCHceNMvwl3Ljw6PPHZiePm1U8Lba84I6zefHdZvOiu8+c5p4bmXpoXH/3RiePChY8LS&#10;ZUeFRYsPM+tyOptPP90QcOHTSu8PbN7yevj8861h/foXzXTHcfL47ruvq39P1qx50kzvZI6b2qQQ&#10;t/WsZdyYdyHOcRzHcboPF+Icx3EcpzPRrypvpxAnN+jJjs+3hw/Xrw3P33xduPmYUWHxmP3CQiXC&#10;7RbiKiwcvV/1hLjrJ+wf7ph6eHjxtkXhsw/jol2rQHbjyUgxtCDSU+Se1NRJQhwlxE44za476Wkh&#10;7rXXXoueGOb0Tbje+oIQ10mnZJaBfha7ENcgEES04KLR8o+kEVFKI8sWYQkxUnaxkDKOLkuBBoKU&#10;lN80KdknVQ6iISUsq+85glaqPNESVjPCj5T7JHI+G5ln9EH3ywLxK7Nsipx4s+5UvMtYc1YaYXqs&#10;D0V1FPWPxL7PiL/MZ61/Lc3F5DqA/hTNJ0Q15LPKM09qTkAqLnJ9NypSOj3P6WddXfO8Bf868IA9&#10;K/PZ0DVv/rjt3KAfMvxnNfXlCnE33HB4uO+BY8JTz04Nr785I6zdMDNs+ejX4YuvfhN2/uWisHHL&#10;OeGdtadX015cPS088aeTwj33TQk333pEWLjo0HDNtXa9zQIhKXZ9+eWn4cMP3w133zPLLOu0BkQw&#10;XPi00vsD8rLSnfLoy8KU87fvUl+US+uFuKHbux7LyUsKcafPOrymDhfiHMdxHKd96FeV5z67eUkh&#10;7rApx9XUhZNr5MZ9km+3hm+/2hS++evmCrs+v/16c/W+md9xHMdx+jlaiBsweOijXY/nhq+dO3fO&#10;5gZ8jhD3+Wfbw0cb14U1zz4eHpt7abhx4kHhxnEDo0IcgBSHz+tH71fJ/7PwzMI5lTo21NVdFj/4&#10;wQ+q+0OQfxYsWLD7PoQg/A6prLcIcbliSicJcY5NOyUkx7HgeusLQlx/+xuon8X7DDlwWmX85V9z&#10;5z78KDfoRx8+tabR4WOPqdvE7zQguUAWkTINRBaIXfKUKQ3SmD8mtcSQJ1pZQJSB+FTUPvLIejAO&#10;SFvoD35Hmi4HiQdpFKv0CV/4OSX6EIg46CfLsW2kUTS06mEaPnUaSZUnHEdRXUXo8UMck3FnLEHu&#10;PGNNUUQjaAP9jAlZpJWyFphn1JGKEddQ0by3uuasNFLUh5w6ILVhXcr5BIgn+l0kNDJWwBLRUD/7&#10;ic/U9xMgP/qt5xO/4z7SrXKgKB6kKC7yJMxG/045PUt3CHGTjj+4bhO/jmvHhTuWHRVeXD09bNh8&#10;dtjy4Tlh87Zfhw8+Ojd8+OmssO2TWZV7vw6btp4dNn5wdtjwwTlhzftnhhcq+Vc9eny4/Y6jqq9b&#10;NetuEkpZRdcbf37QLO80jwtx46vSJa7ecErew6v+WO0LLvxs5elkeLVDmIJkhwvSnZXel+kt64aX&#10;C3F/u1JC3LhJo+o27x3HcRzHKYeWhbhvt27nxnwrQtw3f90Y/vLpmrDzwzfDjm1/Dl98/Hb46vP3&#10;wzdfba7LW2mz7p7jOI7j9DfaJcTNmb+gpt4hw0fXbdJ//tmnYdObr4fX7l8WVl52drj+0J+EJeMG&#10;VV+LqkU4CaS4ar7x+4fH/uOisPG1l8P2Tz4OO3fsqGujFe64447de0P42crTm8gVU1yI63zaKSE5&#10;jgXXmwtxnYd8Fu/ChTinHwG5qbI8q0Bqs/I4juN0KtNP+2PN8xY0I8TJDfpGhLh588eH6xYcGm64&#10;6RdhxcPHVV+R+s1/XRq+/X+XhY+3n18V4SDFbf14lxiHezv/+pvw128vqQpy76w5PTz7wtTqSXEL&#10;F5X7+tSYlHXTzSdVJTieKoXr6acX1eRxWsOFuN4F1jevvrjWebVDmEKdvKz0vkxvWTe8+qIQh+er&#10;fN4OGDJsXddjOXlt3DbzUW7Mn3TaoTV1uBDnOE6nMXDwP1X/95qLLxtqpjtOb0K/qjz32c1LCnEj&#10;JhxRU9fvr7i8bvNe8u3XW8JXX64PX37ydvhk3Qth6xuPhU2rHwobX34obH51Vfjw7afCZ5tfCX/d&#10;8b5Z3nEcx3H6M/pV5QMGD1vW9Xhu+Nq5c+dCbsDnCHGfffxxWPfyc+H5WxaE+2ZNC4sm/CTcCNFt&#10;dFqIu27Uj8MNYweGhZW8951/Snj9wbvC5rdeD5999FFdG63QLhmjXeSKKS7EdT7tlJAcx4LrzYW4&#10;zuKDrdtqnsWg8m/1iZXxl3/Nnfvwam7QuxDn9BZ4mhdOqbPSHcdxOhlLiPvhwBF77Hoy519yg37f&#10;Aw+qqS95Qty1EMyODA+sODY888LJ4b31Z4XPv7wo7PzrRVUZbuvHu4S4XVLcrpPiPt1xQSXPhdUT&#10;5N5674zw/EvTwj33TQ4LF7bnhLiYlCVlD7w+1crjNIcLcb0LF+Kax4W4XZcLce2hHULcUSeOrdu8&#10;dxzH6a089dyJu/+H3+uXjDPzOE5volUhTm7M5wpxEOH++vna8PF7z4Z3H7k1vHz73PDCDb8Pzy64&#10;LDw174Iqf5p3YXjm2kvCK3dcHTa+8GD4bMsr4a871/npcI7jOI7TRbuEuEtmz6mpd/j4I+s26j/7&#10;9JOw7uXnw4u3XR/uP++UsOjQn4TFYwaGBaMKTogbvW+4ceygcN3o/cJdpx8Tnrnh6vDuM4+HT7Zu&#10;qWujFaSMkSt6jBo1qpr/Rz/6kZlOJk+eXM2H/Lx3+eW7DjHhPbTJ+gBe36plFFkuhcyvZRCcfof+&#10;Mi9+zjkRj/3D62RlWfRx/fr1ZhnAV82yDMaFeOA1tDovxy/jRNAG2tJ9L2rfAn1CG7IugH4ivlYZ&#10;wP4xD+rR/UnFEmOeMWNGtR0ZR8bkqaeeMsvFJCTWgTplfg1fBSzH1mg82ZYVH4wL/Wc7AGOUrx3O&#10;Ae2ifpSVdaFtxL5onbJ8zpgQa9aN31E328Sn1RbuoR9y7lA/4m+tZ9JofHpDPJkXsZP3Y2sxF46N&#10;McQnfkdf0Rbr1uWaGYucJws5tlZi1ZvoMSEOApxsFIIc0xynu8CrKitLswpeCWnlcRzH6WS6Q4jD&#10;K91kuuau5ZOqMtyb75xefV3qh5+eVz0JbpcIh9em1oL0jz47L2zEa1PXnRlefvWUqlC3YNGhZv3N&#10;kiNl8XJxq1xciOtduBDXPC7E7bpciGsPhx89ouZ5my3EbT1rNTfmXYhrL788+d+qp1c1e3LV9773&#10;d9V/i3biyVfoM/qOMUBasvK89tYp4RcT9949TnwiZlbeTgLjGj7iX6pzf+fyI8w83cHcqw+u9gEx&#10;ttJzwDgwN//nh//dTO9p5Dqz0p3+yYpVk3evXfA/9/x+9ftg5e1u9KvKu0OI++uOteHj958Lf37g&#10;+nD/rBPDkqOGhRuPOCDcdNRBYcnEYbt/v/6wn4SlvxwXnrnmkvD+03dXT4uDTGfV6TiO4zj9Df2q&#10;8n0GD13Y9Xhu+NrZoBC3/dPPwtb33wvvPPFwePSPF4brDz8wLBk3OCwsOCEOQhxOiFtQyXfnKRPD&#10;E/N+H9565MHw0ZZNdW20AgUZAMlFCzQWEChYJiYzoR7mkeIS5Q8IGLjPPBrIIrI+2WYMmR/14x4+&#10;UZfOS1KyTap/IBavVHvoj84v+yrvo24pOWm0tJMiJ35W3wD7h3jwZ4tYLIsEHWBJRjEJCaIO7qFe&#10;mV8CkYdlKfU0E89YGtZ9alyNSFMcT4rYXBeNSa9RGVPMl8wLZDsoV9Q3xMCa90bj01viGUuXcWuk&#10;LwDrLzY23Jf91WWbGUsqjkDmbyVWvYk1762teRaDtglxc+asXMcNehfinN7AyJFTdn9hIcdZeRzH&#10;cTqZk6ZfWvO8BY0KcQsXjthDbtDr+lJC3DXXjg8PPHhseOvd08PmDyG87Xo96t9Ohvt12PbJubtf&#10;nbrr91lh26ezqq9M3bDl7OprVlc9ekJY1E2vTJXwSuXB61VZFy/8jvtWfoDXskLe+PLLT7tKhOrP&#10;uIc0qwxopi2IKjjhTpdDe5u3vB5tb82aJ6v5Pv10Q/V39I2vkUXZu++ZVZOf7TAPPlHWEmXYF3zi&#10;95deXloXC9zT5XJg+/xdxxltpupm+YdX/bEK+4r7lnCDujBOlsPF2OoYSVAGF+NrgdhZdRetE4A1&#10;wTZwffX1F9X5kX3iHKcuWWcOiBnaQXu82HZKmpJx5/dD1oGxIM0qWwQva/70OmfMeaEPVjmZx7q4&#10;tjXNfIcB11nqQgxlGebHGBFTzAEvjhdgTWC9oh9yrXHedNybXTetrmf5PcbP/B7zsuap09FC3D5D&#10;hq7uejQnLynEQYCTdbgQVy6VcO/GSi+CZWeeM8RM783wNZYgJoVBsmIeiZW3k8B4ORbEwcrTHeTM&#10;QREsD6z0noZrqBXpz+lbQMClZCvpye+iRAtxuc9uXCGs20NuzO//89E1dc1bMK9m455AbHv3kdvD&#10;41f8Otw4cWi47dAh4bYJg8NN4weFJWDcoHBL5felh+1f3TC//9wTwuql88K2N58I33y12azTcRzH&#10;cfobZQpxO3bsWMZN+HMurP3f5i0hDuzYvj1sXftuePaGeeHGo34ebh4/OCwaPdAU4chuIW7MwHDn&#10;9CPDE1f/Nrz16APh480bzTZaQUoRkCkgQEiJRoM05peym0TKNvIUKdTN+wDCDgUT5JN9sUSbXDFF&#10;i1uol/1AOSkRyf4RKZChz8yDsaNflE60RCYFQ9TBOKI86kE/ZH7Avuq62Ae0JU9qQhuQ7hoRVVAX&#10;ToDCJ8rzvo65dSJUq7FE/9Ff1C3XlYwj6pBlQGyuUQ/vW/0FlBIxZt5rJp5sR6cxZui3jCfqRbxS&#10;a1ODulAG8ZDx07G1vpNybuR6k2Vxn/llTAFigbHhPvLJfkuxE99z9k1/B4CMAWg0Pr0lnkzT842y&#10;TGukL2iDccIny+I+2mCdRJcvY23gU6eRVurvTVhCXOXf6iMrfS//kkLcgYccWdPooUedWreJ7zjt&#10;5h//8X9Xv6h77z3ITHccx+l0LCFu11M5/7rqqnF7yg16Xd/UGXEh7trrJoSVjxwf3t94Vvjrt5eE&#10;T3de0CW+kV9Xxbdd7PodshyFuQ8/Oy+s23R2ePxPJ4VF1x9uttEslFJi4grkDV4QQHQ6BA4ttugL&#10;MolVTood+rKkjmbbgshSdEFOsWQU9AMX2pUiDS8pN0FWSV1a9pGxt+rmVSQJWfCC5JOKszWnsjzS&#10;pbiDC/1lPsQsR1CKjUHGwEqHoJS6MDZr3kAqpugTBadmxaYYXDOpC+OyyvJCn6QIJy/Z90bgZX23&#10;5DpPxVx/v4rmXs9rs99hULQWeCE+shzbQ3nru8B8ep1bl/y+N7NuWlnPqbjJtW7Nb6fTrBC3adtZ&#10;67gxr4U4nBjHtL4ATwjCp5XebijrNNs+yoLeJsTlxJUnd+FkJpyYptPxekuOjyfgIV9feO2lFHJ6&#10;8nQ/nLaXmoOcPvb0dygFTgFD3wB+tvI4/Q+ue6xviqD4TvbkaY2SnhDiNr+6Kjwx97yw9ORDw6Lx&#10;Q8KNYwdWN8evH/M3bhg7KNw0fnBYMHpguHPaYeHJObPCuqfvCd/8ZZNZp9M8Y8eOqK5RfFrpTt/n&#10;4ovPCf/rn/bc/QzDWvhw21tmXgtd/rhjJ1bvv/vuc+H73/9e9d6SG6+uK+f0Ls484+Tw058ODlde&#10;eVldWif8nXj8seW719s9dy8x8/Q19Mms7RLiDp18Qt1GPfnsow/D6mVLws3Hjq4+zxeN3q96ShzE&#10;N0uIu27UftVXpl57yL7h7jOPC88vuTasfe5P4dNtH5j1twJkB8oThKJMTISgwIJ8qXRIFfK+lECQ&#10;puvH7xRIIOTINJArpsjxFNUDGUSnsw9SJpLI8lLg4fj0uFPExBXej0mHZSFjrkUg0GosU8j1oNNS&#10;c83+Yp3J+zpdxq6ZeLJ9HRfejwl5ZZGKAdpmmrVOMa+YLzknsj6rTiuftSYA1j3z6HXB+7nxaTR/&#10;s6TiCZimx1xULoZc31Y53ONaBTo9RVGfYn9XcimqvzfRY0LckOETahp1Ic5xHMdxyqdsIe6KuePq&#10;6psxc1TdJj6pnhC34tjwJk6I2/rrsOWjXafB4ZWokN42bT0nrN0wM7y//szqaXA8IQ6nyH346azw&#10;xVcXh00fnBP+9MzUcP3i7jkhDiKVlKFiogaFGOSD9MQ8KC/FIC1pUCZBOXlSGUQfyB2W1NFsW6gT&#10;ZSCjSKEF5WU5pMtyQKbjgqSEtlEP0tA28klxELFCm7gv20AfZN1acMH4ZH1S3uH9XHihTVy6r7Ju&#10;GRNdnhfmBPkwdim3SREH8WMbGDfysX1cjIkktv6AFI5k/3XdVlk5b+gjy+KT6wifsoycQysmOaBf&#10;vNAvOWascxl3jE+WBfrCOLjO5ZixDnXZInihTp0m44UL/WQMZMxwyfm3yus0SbPfYTk3sflEnaxP&#10;or9n+B1zAWQ7KI+6cV/WI+OOuPA+yV03Za5n9g/tyTWFS8euLzDmCPXK1MFDH+16NCevTUKIGzdp&#10;VE0d2KhnWl+AJ2T1lpOBGgV9B71NiCsjrhgT6vBXXfYcvXV95SKFPyvd6Z/w71NvlDiBflV5I0Lc&#10;V19t3VNuzNfWMywsuW1xzcZ9lW+3hnceuS0sP+2osGAMhLddm+Z64xz3F43ZLywcNyjcPGVEuH/W&#10;CeHNh5aEr79YV19nSUh5xwKiCISRl19aZZbvVDAujs9Kd/o2WNN6rQPIRVZ+Taw80lAHf/f11fvR&#10;8yfphL8TEDPZf/xs5elraCFuwOBhsyvjb+rasWPHo9yEn37muTX1poS4HZ9/Ht548K5w5ylHVp7r&#10;kOH2DddXP+1Xpy4YtV/1JLnrDtkvrLjotPD2ow+Gbe+vCds/+disvwwgzuBErcowdwNZw5JtpIyj&#10;JRaIOEzTZaUgomU4khI5ciUN1pES01iPll/k2OR9DfPIMeJn3tenZsWIjZdSIeYkFquySMW8lVgW&#10;kZrPVBqkNqbp2Mj5k3PQTDxZjx5XkZBXJrE+QELDffRF3k8hY2p9rwnrBqlYyXzyfqPx6Q3xTKWl&#10;1mIKfGdQJvXdkWvZSk/BctZYUt/pXFL19yZefuW1mmfxLtokxM2du3I7N+i1EHfkMefUbOA7juM4&#10;jtM6U068oOZ5W3nIb+96LGdfUoj7w+W1J82AIiHurruPDs++OK366tMNH5wTPvz0vPDZzguq4tuG&#10;zXgl6pnhzXdOr54iByFulyy3S4jDqXKbtv46/OnZqWHxDe05IS51SQFDAtmHlxR/JBQ5IHvI+2zX&#10;ktAsWmmrCPalSERBvVYcAKUUiEpWHoor8p6MPWIs04AUbSwJKYW8rLIynlbb8ooJNrJ/sTxF7aRi&#10;T0HIEseAbB/t8D7iz0tLbwR16v7I+vCzTMsB7aakJubhyW+W1CYva97keqRQlQsva65kvVineg3L&#10;sVnzKMvrNCLXgpwvCevR32GerBYTAVNrRX7PYvNSRGp8ueumlfWcWldIx5zwsua30ylDiDto3Mia&#10;OlyI612g76AvCnGUmTp1bvoCvXV95QIRDv3HWrLSnf4JT+bsretaC3G5z25cUojbvv39mnrA8vuX&#10;7t60/+7breHbrzeHz7a8GlbfcXW49bhDwuKujXN7w3zfXSfMjBlYleKW/nJ8eGXpvPDXHe/vrrNs&#10;pLxTBKSQRk7Q6s10gujSF8EpXIg7JEwrvTvAGuaaxqluXNM4XStnfcfKUxr1E+LaC2NrnejWDHvv&#10;/cNqfdYpcD39dyLn+8IT4kCu0NnpdJcQN2Vq+uSpNU8/Fh667Kxw2wnjwuJfHFB9du96nv94F4f8&#10;uCq6V5/rlfvXjx4YFh92YHhs7iVh4+svh+2ffFQV66y6ywRiHEUOok+AApRYdBrKs5yWaSBWME3e&#10;lzCPJXLkiik5MgjzaNlD9jEHWR6vHWRc8IlYFMlXsb5KsQvzocXDMknFK5VGmEfHsojUfKbS5Olk&#10;8gQ0QElLS0jNxJP59bikxASJK1d+bIZYH/gdTc2LJhVTSc6cg5gA2mh8ekM8U2m5cdPE6pMgjfms&#10;9BSp+nPnMEWq/t6EJcTtPfCAQZW+l3/JDfofH3BwTaMuxDmO4zhO+ZQhxM2fP2Yvbs5ffNkYVd+w&#10;cNa5aSHuttuPDKseOz68/OopVelt+xcXhh1/uagqvW3ack5Yu25meG/d306IgzC3FafEfXRu+Hj7&#10;+WH9prPDE0+d1LYT4mKXJb8QSiopySQmefBUp5hApmmlrSJSsotMi9UJMYlXTHaxYOytU6cIr0Yl&#10;F14p4ZDtp8SsmFAGpISTmkOZT6exD3pecUoXL3lfw0vGHSIZr0bWQa7YFEO2i/5beYDMp9vhFZu3&#10;VvrIy1pLcp3H5jI2VyD1HSKtfIdTbct0a2xMy/1bY5GKe86ctLKeZdnYusK4eDX6t6ITaFqI2zpz&#10;OzfmtRB3/m8n1m3edzIuxLWHMuLa6XPTF+it6ysH+cpdvA7TyuP0T3r7um5FiPvmm817cVN+0+Y3&#10;auoBNULc1x+EndveDBtfejD86eoLwpKJw6qvVosJcQCb5vjEK1RvnDg0vLD492Hnh2/urrNspBCn&#10;ZQqIPZCEKIUASBe4L/N1Ii7E9QzyNCsrvTuQa76Zkw9bLe+0BmPfHaeh9fTfid7wfemNlCnE7dy5&#10;czU34SHAyXohyDHN4oM1b4bXH1gWHr/y0rDs1KPDDb8YWn2G3zhuYFhSAQL8jTjxdfzgys8Dw/UT&#10;fhKW/WpSeP7WheGjDevMOtsJRCPKXUCLIJRYkEdKXxBacN867SlH/mAeS+QoU+hhHi17yFOvctBi&#10;FWQeGTeAOmP9TfVVyoUA9SLuEO903hxQH+ZFnwRIrD6k+keYJybOoL/oN/NZ6PgUzXVMCGPsrRPQ&#10;Go0n81nj0usEMUWbuafPSVAGZTEWvXaI7gPvo//yfoqimBLm0bKrJlVfo/Hp6XiCWFpu3DSx+iRI&#10;Yz4rvdmx8Lumvx+aZuvvTfSYEKcbxYa9THccx3Ecp3UgnMvn7YAhw9Z1PZazryIhbtaFo+s28SU3&#10;3Hh4WH73pPDkUyeFNe+fET7deX74/MsLwwcfnVtl87Zf72aXEDerKsVt+fDc6glyf377tPDwquPD&#10;okWHmvU3iyWaQPCSElNMzmHZ3EvKIlLygBCWEohAK20VkZJ5ckQfOZZG2rVir2GeRiUXXqlyqbHx&#10;SpXP6T+A3MNLC2qxOmTfci7ZT4pXuGSdReSITSlS8ZQgBry0QMkrFXdejfaRl1V3Tt+Zx5rvnPKc&#10;69xLjo9/jyx5FDJYzglxVr9zSa2NVBqR8cm55BzlxBbwkmX7CiPGD6953g4YPGxZ16M5ecmN+cHD&#10;a+v43dxJNRv3nQpew1kZahRLlHjtrVOqJ03xdCGAevDavblXH1yXPweURT2pV/ehbtkmfobsgzTe&#10;S4kddy4/olq/HDPqQBmMySrDfl182dDq76k+SIriaqFfiVpUx4pVk3f3D/2QZTW/mLh3NV8qvhLU&#10;jfyU8BAf1MGTxjjfyKfLAsRLtocYczzoqxSzeJ8xtkCMUZeMCerBOkxJXsyPfgLKhbgv1wr7i/u8&#10;xxg0SirGzaxBoMvhE7/jvpVfwrlPrRHWizGjH+iPnGvUIePM/iCddVvfA00z40e7mGfMnSyH/qFf&#10;sTUIUFauW4B6rL9Tcr51GrHWiU7D+PB7as0DxhlpbBf5i+a1kTFZFK1ra2zt/v7FOOrE2hPVmxXi&#10;3nr7+Zp6wCOP37970/7brzaHj9c+H9566Kaw6renhcW/+GlYMm5Q9bWoWoSTYEO9mm/8kPDEf1T+&#10;7f32k+HrL9aH7775YHfdZZES4iQ8qQjgRCUrTyfhQlzP0BsEH0ierfSh1fJOazD2LsT1X/b/+eia&#10;527lGT6rEqOmrp1CiMMrUmW951x4ad1GveSzTz4KW9e+G95cdX949D9+E5b96qiwZOJB1ZPiqq9E&#10;P+TH1ef94rEDK8/zfw9Lpx8ZHvnjheHtxx5q66tSU8hTtbQcA/GLaTylC3KFvicpkj8A81giR66Y&#10;kiODMI+WPSj0AXm/ESiZaPEM93Teor5SJpOyCn5uRMzBXMUkOInVh6L+AeaxxBn0XbYRQ4+naK4R&#10;S6ZTaJPrNSa5NRJPpseEIJTRIhdEvVjbFviexEQkie5D7H6KopgS5mlFiGN6I/FpNL9Fs/EEsbSi&#10;ccaI1SdBGvPptFbGkvO9baX+3sQTTz1T8ywGAwYO26vS9/IvuUGvG51+2h9rNvAdx3Ecx2mdMoS4&#10;q64ZN4ib85DfZH0gJcTNmz8+LFw4Idx0yy/CvQ9MCc+9eHJ4573Tw8YPzq6+MhViHF6f+umOC6qn&#10;weF1qThB7ouvflPJc054461Tw1NPTw3Llk8KC7tBiCNSirNED5y4lHtBWNGveJQnZeFCHshM1qsg&#10;W20LYAwYE6Sa2KXL5MgoMk8jJ1DliDrM06jkwitVLjU2XqnyvBBTK52khKFYDOTay7mkUMk6Uyfv&#10;WaT6mQPbtU7c0/DS8eWVE/dG+8jLqju1Fgjz6LmSabh0GmnlOyznBmuDafjkaZO4rO99bI1ZoDz+&#10;BrGMdem456ybVtZzTmwBL2t+O50yhDhZHvRXIQ5iRFEZSA8puceCogQ+U+kWFH5ATLKAuCHLaCB3&#10;WH1muxRydDmiZZSiGMVopA4IJpRw+LssTzAu5sE4rDwaCDnIjzHj51hfcN+SdzAPSEd5OT9EluE9&#10;a+7QdyleWaAPMRmIeRAnPQb0jfnYX8B7ReJQDFmvpNk1iLFZ+YnOr+G4EQMrHbAuK04E99E/GStN&#10;7PsHmh1/rD8Saw1i/lJldRn8zjR5X2KtE52Ws+bRNym0WcSkvUbGZFG0rlE/83bX9y9GvRCX9+zG&#10;VSTEPf/iY7s37b/+cmPY8sZjYfXSeeHBC38ZFh/20+ppMYtGp4U4vGoNJ8ktqPDABb8Mbz50U/hk&#10;7XPhqy/W7a67LHKFOCDljE5/FaQLcT1DbxB8Wu2DS0o9C2OPebDSy8SFuN5JyULcOm7CDx9/ZE29&#10;RULczh07wmeffBy2vPNm+PPD94Vnb7g6PHrFb8L9F/wq3HXa5LD05F+EOyrc+atJlf8GmBGeWnBF&#10;eOOhe8Lmt98In+9o/6tSY1SGXcUSK3hKF0+Dg2CB3yFZ6LwgJX8Q5rHayxVTcmQQ5tGyR04fGwH9&#10;ZJyA7ndOX4kUWPAJ8c7Kp2EbKIPxacEo1Yec/jGPjqWcL+TRp+ml5jOVBqR8SdGQMpV1OqFFUTxZ&#10;vx6XBuXkuknFSoJybB/CIvqT2wcKjrltgaKYEq7XorotKdGi0fj0RDxTablx08Tqk8hxyvutjgUx&#10;Q1osdq3W35voNiFu9uxH9+Dm/KWXLa1r1IU4x3EcxymfQ486teZ52w4h7g+Xj63bxJdAirvmuvHh&#10;xpt+URXbHnns+Kro9vFns8J/ht9W5TdIcJ/tvLD6+e3/uyyE8PuwfsvZ4cmnfxnuuPOosOj6w6qv&#10;X7Xqb5aULCJPXrJencm0HNEkBgUU1oULP2uxpJW2MI6U4CIvXbYRUQiXlR4jFXvCPI1KLrxS5VL9&#10;5pUqz6sdQpyUnOT9HHLiapHqZw5s14W42jTS6ne4SKiDYGuVzV0P8mTB1KXjnrNuWlnPObEFvKz5&#10;7XSGjipfiFt82/E1G/edDuSEypCTkoKUMSBzyBOhkCbFCfwsyxaRal9KKBBNKM1A/pCnKwFLyJHS&#10;GNJ5ohHqgcjBMVlts18E42J53b51UlJqXCQl2YBUHRgDy8ZkNylUpU5zklAOYmwovTD2Mm745H0i&#10;xwSwXlAG9co5AMxjzZ0UizC+2NwBrEFdnmkE9aEPKAuYr2gOmGb1kaTmqZU1yDT0XZdDXHV+CfKw&#10;XT1HEuYh6CPyAzkH7AvWPeKIsoi7/B5Y7bQ6fvQBf29k3bIc2pdlAP8eIU2uDdSDdth/wjUP5H1J&#10;ap3INBBb8xgDZTj0LfV3VPex0TEVwXbQPyu9u75/MVoR4r77busgbspDfpP1AEhyTP/6L5vCtjef&#10;DK8uvzasuOjksPjwA8LiMYPCglEFJ8SN3jfcMHZQuG70fmH5GUeHl276j7DxxQfDXz5ds7vusmhE&#10;iPtw21vVV6Yib+qUOMhyFEkIfrckurFjRxTWB5jPElPQb6Szb6wPMgn6rPODHNEFr8M87tiJ4X/9&#10;056768XPuJeKFfvKPPq1s+ybLkdYHqfy4XfEDWVYHumyfbzCFn3i+NHHHFmombjxpECUw++sg+Vj&#10;bcs8Fql5iIG4Wv0/84yTzdf6FvWB8Y5RVN5CrnmWRx9lvRrms2LCubbWZCuvMkY/5fhy6mw0/gDf&#10;KeRDGfzO8bAOfOJ3vf5YLoX8Tuh20FfGDJ/4nXk5bnzyHtF/J1BOfhfxs/V3jXBcsm8SOS78zPty&#10;LhpB1qHB+pZ/hwB+x/3Y913HMXe+2o1+7rZLiLtk9py6jXrNjh2fV097+3TrB2Hr+2vC+ldeCG89&#10;/lB44ZaF1VepPn7VZeGFWxeGN1beEza8vjp8tHlj2P7Zp2Zd3UVl2FWs06KkEAOZghJG7GSpmPwh&#10;YR5L5MgVU4pkEMA8WvaAGMI2tMDVLIgN69Tt5fRVIk9By5FzZNvWCXUg1Yec/jGPHhtPh4N4I++T&#10;1HzmzDVP84PAJQUfzKGV3yIVT97X44ohT8Oz0jWybZziZ+Vhuu4Dxx6LrUVOTEFu3cwHocpK1zQa&#10;n+6MZyotN26aHGkxNsZWx1L0vW21/t5EtwlxV131wJ7cnLeEuNPPurpmA99xHMdxnNbRQtw+Q4au&#10;7no0Z19SiJsxc5Sqr1iIkyxYNCHcvvSo8OQzvwzvrTujegrcxi1nV0+M21D5ef0W/H5O9VWpr/35&#10;1HDv/ceEaxdMMOtqlSJZRJ5spE9fyhVNcoHQQmkGn/K0tVbakkIJxqNf25kSTnJkFHnSXSOSUs6Y&#10;mKdRyYVXqlxqbLxS5XnSXtGcyFem5q6hnLjHkGvWSo+RIzalyH1Vq3xlqpa4eKXizqvRPvKy6s6J&#10;N/NY851TPjbXOTC2mFsg/05ANkvFIqddOffIp1/hnFobqTSSE58YuWV5Ib+V3sloIW6fwUMXdj2a&#10;o9e6defuwU35l1/X/w3QP4U45oEEYUkvQMoclCdyiLWPdlKyDNKltGGJHSwPKUenASnCaKmD/QJo&#10;R6YBWdYSPGLjkqQkG1BUB2OOcabSLWkohhwX6rVkFyk56bHLMaXWC2A+PXeyDzFhB/1iHmt+mJaq&#10;AxTNQU4dqXlqdg3K+6kYxuDc49NKJ2wDWOuYAhfAOtJ9KfoetPIdTJGaN96XwlkK2QcrHaTak2mp&#10;Nc/vDWIay8O1pOeN9eeOqQjWZ61rGY/Yui/r+xdj3CT17+WMZzcvKcTh9ag19VTYtPmN3Zv23369&#10;JezY+uew4YUHwhNXnh9u+MWB4aZxgwtPiNslxOGVa/uFZb86Ijxz7SVh7VPLwxefvLO77rKAqFEZ&#10;VpWYtCGB/MD8WoLA71q40KC8LEPBCsRkDtTLPJBtZBp+Z5oFhBVL1tCiiwZSl65Lo/tCWDfkGRkv&#10;jSXgyPKoX8o3GswX2qCcoomNDTQbN8YFdafq0PNcJPik+qpBv4rqQ0y0qFRUph1CnJQDW13rGE9s&#10;rgHSUkJUjNQatepsNv5A/r1JjUevP4pZKeTfL92OzAfkvPD7Zq1BmZaKk17vhOmxv62ynzJPM2sN&#10;WO0gdqm/IwCSoLV2dBxz56vd6OfuPkMOnFbpR1PXTiHEDRle+38unzM/X8Ihn3/+efhw4/qw9sWn&#10;wxsP3V0FP299752616Tu2LGj5vcygLCRkh2QVhl2FUsykrKVFDsgW+i8QNZnpQPmsUQOiBtFbYAi&#10;GQQwjx6/HFOqfKOwTt1eTl8ljco5MmaxOUyJOzn9Yx49tiJhSgqVeiw545RSj1x/GJOV3yLVDu/r&#10;ccXg2gVWuqbohDU5d7oPUtyMiY4QU2VaTkxBTt2pvsVoND7dGU8QS8uNm0a+/hVt63QZZyDTWh2L&#10;lEV1Gmi1/t7EAytX1TyLwb8OPGDPSt/LvaQQd8FFN9c16kKc4ziO45RPGULcvHljR3Jz3hLirpg7&#10;rm4TP8WixYeFu+6eFB574oTw/Isnh9Wv/yq8+ucZVQHu5Vd/FZ557uSw6vETwt33Tgk3LDm8esKc&#10;VU+rFMkiUvaA2CTTpHjUyKtCU0BE4SXlklbaorhlnXIHUsJJjowiBScdoxQ5og7zNCq58IJIZKUD&#10;xsV6tSivVLs89QpSkpVOmM86OS0WAykZajmpCCngYW6sPBY5YlOK3HZTgiCvVNx5NdpHXlbdOeuc&#10;eaz1mlO+le8wBbhm5iW2xiQU7mJrObU2UmmklfWcI9winrxSa6dTaUqI23r6ntyUt4S4pffmy16d&#10;QJF0BbkN6SB2EhmQ+RoRIGLtQ/xgfTEJBFJJrE1ZXt7XMI8WdtivlEzGstZ4i+IKUI51WOlFdaRi&#10;JGMTk5EspAwTiztgHi3DyDEVCU7Mp+MnRceYOARkPp3G+0VCWNEcMM2aYxKbp1bWoBSOGpk/IOe+&#10;6DQu5ot9t2V8YnPBdB2jVr+DKeQ6xc8yjRJe0dyTMoW41JrH3xLkSa0l1oUxyPuNjqkI9tfqS3d+&#10;/2K0JMR9vWUkN+WX31//fyaXQhz47psPqlLcy7dfGZZMGt4lxA00RTiyW4gbMzAsm7FLiHv/T3eF&#10;L3uBECdFMZ2fEgdlGAoSOFVIlpMySkoAIlJokSdPScEIdTINdUp5o0h00WmyPaRLUUSfEGVJVKyb&#10;7SMurAN9lLKLjIUuT5CfY5NjZv2MN9KRT4o78iQs0krc5DwCxILrQI+NfYqV12m5yPFhzcT6DyzJ&#10;p9U+5JRnOvLyXitrHePgfbmegFyTGDvaYVoRciyIK9uUc4lPWaaV+Mu/N0CuXZTX/ZFlCdNlbDVW&#10;O8iP+1j/8m8Xv2/Were+i7HvsvW3gGmyPYnsp5VHxkOnkVQdiKlcG+gj1wf6L+uHFKfXjqybdTQ6&#10;X+1AP3dbFOK2cxNe17toyS11G/U54AS4j7Zsqkpw295/N3yyeVP47OOP6vK1Q4irDKkKhCUIRZA9&#10;AEQNSk4gJlUAiheyLisfgFjBfFY6YJ6YgMXyPBUMaNGrFYkLSLkK+aR8h/bwO2QXfYIW8uK+zA/Z&#10;JCXGxPqKutEPmR8/83WWjZwMhrwog7IUehg3pll9ALH+SZhHx1JKN0ijqIZx6HWjRSP8HkuTyP4D&#10;xDqWr9F4sk45LvQFaxxjkyIR5px9wdh4PwXaZxsow/rwye8B0bFFLCkyol30h/FFH605yY0pYFxY&#10;B/um1w36wHZBo/HpLfEEsbRG4iZBuywnv3tWf4As2+pYZB7+fUSd7EOr9fcmekSIO2fWwrpGcU9u&#10;4DuO4ziO0zqjD5+qnrmNC3Hz54+byM35qTMOVvUNq9vALwKC2+IbDg+33T4x3HPf0WHlquPCY0+c&#10;GB57/KTw0MPHh2XLjw433Hh4uPa69pwMR3JkEb6qUAtNUl4rS8KIySWttEWZBkKOlZ56nWGO6ANk&#10;jCzZB4KUjl9O7Jmn0THLS59CBmScrbp5pdqVok5MBMS4eVl1xWIgBZ9UfCwgmfGKSZDou06TfW1U&#10;WgI57WJcXCvWuHil4s4rJkfF4GXVjXu8dBphHqvfUvKLyW5lfYdj9ceIrTFJStoEcnw67jnrpp3r&#10;GXVTbsXVaGw7gSHDf1bzvB0weNjsrkdz9JJC3BPPnlJTHvQ3IS4lnmiakTZi7acEFAnzaLFDls9B&#10;ly+KC2AeSyrJKV80xpw6GHMtpkGEYt0pqUWTO9+xvhWNScJ8zcQeQKBiHVpEitWtKepvTj05schB&#10;t0GBimm5Jy8yLlgbRXMfa5vIMVjpIFaHLJtDrA8WqXUKuY9p+FtUJGbKuqx0kIpDTowA8+QiyzY6&#10;piJYlxXz7vz+xTho3MjaZ2+JQtz27e/Xbd5//cWG8MZ914fbjx8dbhgzKFw/ZmBYOHq/6glwlhB3&#10;3aj9wo14Zeoh+4Z7zzo2vHLHvLDl1UfCXz9/r67uVikSMjSx/FLY0RIMoTwBqULep1QCIUPe1+kQ&#10;O+R91IP7logCZF91n2ISDCQP1msJMswjX7+o06VEY0kirZaXQhL6qscmx2CVbyVuUoDBfKAtmV7U&#10;do7gk0L2DXVZeeRabEcfcsozXfex2bXO+/iU94mMe2xeNSiD/Kl6UZeMYavxl+WttQu4/mMxYvlY&#10;+0C2A/C7lQ+wPev73up3mWVj7ct+Wnly1lqqDlk+1gfMMfNQdiOy7mbnq2zwjNXP3QFDhk2s9KGp&#10;a2eXEPfB1m119d5+1z3mZn1vRosPFhA5pPCigbgi80M6svIB2Z6VDpgnJmBJWU0i87QicREpscWA&#10;yCPLsM4YVmxifdVlNVK6KwJCjFUHofxkxSvWPwnz6Fhi3UixSiPTtGiUKyHp9RCLi8xjYZVjmhyX&#10;7JcFJC7KRTmk1hnqovRmrVNITZTGLPR3NzemAHWn5g6gb8gnyzUan94UT+bTaY3ETZP67iG+UhrV&#10;ZVsZC2JmrQ2Zt5X6exN49urncVuEuDlzVuzFzXlLiMOpcXID33Ecx3Gc1tFC3IDBQx/tejRnX2UL&#10;ceCaayeERQsnhBtv+kW49baJ4falR4bb7pgYbr7lyLAYMlwl3SpXJjmyiJRltAwiRQzIKpBDmAaR&#10;A+IR6tYiBwQXnMok8+Nn1med1NRsW5RdUKeUwyCvyDpxyXIgRxQCUphBH9g3yCqog0KPLJMTe+Zp&#10;VHLRF8pTJMK42R98WoIRr6J2tYiDecB91IlYs52YKJiKgXwFKdKlbIS68DvWAdqQ5QDnHBfqYb/w&#10;iTK4rDZ5YVxog+PQ+WLIPqMPco3q9SbTCK9U3Hn1JiFOCpaIL+4h1nLOQLPfYRlXfSE/wHew0TVG&#10;5PcX42Q96J9cS7isuPNKrZtW1jPXLC7ZP72mcFnz2+m0KsQ98IiW4odV78mN+06nSH6QskeRkJMr&#10;UkhiZRqVTLR4IU8vykGfhpYzFuZpViopGmNOHRRltPwEaQb3Gz2hqTcIcbyvJT9Nqq+8b82NpKi/&#10;OfXEYtHqGsR8SikOoI2iU99Ypih+gPXGxlcUHxCro9XxA/zNwRpnjC2sdarbxmtKIXBZgqBcRzqN&#10;pOKQEyN5gmYO1smUjYypCNZhzTvTitZPGd+/GFqIy3l28/rmm60TuTG/5LbFNfUAuXG/m28r/y34&#10;6O1h+WkTqxLcwtH7hkVj8GkLcQtG7RduHj84XHfIfmHlpTPC+mfuCTs+eD18+9dNdv0tkJIpLGL5&#10;cVIU7llSCZFlpVghT8XSwoWUdqTog1OxeF/m11hlQUyCkX2xTlcjMp+OG+vWUpNEiio8YYsUlZdx&#10;jPUxNr5W4yb7jbmRaSTWNsgRfFJASipqH8h8Oq3VPuSUZzryyvvNrHV5X681CeMek9s0qb7EaDX+&#10;OWu3KL5M07GVyHb0Gtak1ivTmv0u835s3mQ/rTw5ay1VB2W9VP8B8+kYyLqbna+yaYMQV92AX/Pe&#10;2rp6O1GIAxAnIBVJ+QUyBE4N4slCRUjxQgsyEsofyG+lA+ZJnQoFQYOyBvsq0/F7UR3Mg/asdAD5&#10;Bfnk+NAuBDCU06JgKpYxUSvWV7QNYYXjZNu4l4pxDI5F9gt1oc+pmMf6J2EeK5aIkZwvgPhwbTG2&#10;ekz4nflT45X5UJeVBzQTT/ZNjwt9x5iZDjAmzH1KHo2B+uSaQb8QM9SVii3A/OlxoS5rfebGlKA8&#10;6qHwSGLrnzQan94Sz9h8Nxo3jf7uyf5g/nAPbVtlW1kb6KtsF/Xov0Ot1N9bsIS4Hw4csUel7+Ve&#10;UojD61F1o5detrRuE99xHMdxnNYoW4g7bmqtEIfNerl53yztei1qihxZBKIKL8ouBGKGFjKsS5cr&#10;urRIA5ptC1ILxSzrknXKciBHFCJSWrEuLcjkxJ55GpVceEHmiY0d9604y/JF7SK2RXMCGQ75rPJF&#10;MSiKKS7rVK+itYKxW32KiVc6Xwy0qwUqfaHtmGTHKxV3Xr1JiANWvHXeZr/DKJf6DvNCHsqPpGiN&#10;gaJ+yTQr7rnrpl3rGXPDcabWTqfSjBC3efPMvbgpbwlxODVObtx3OjGZh0jZo5OEOAphReVj5IyF&#10;eSzpI6d80Rhz6sDJTKyDohQEGX0vl5TkIon1LXfeAPPp+PF+dwg5Rf3NqScWi1bXIMEcsg0SEx2l&#10;eGUJZhrmjY2vKD4gVker45enoqWIrVPc1xIZRDP9d0yuI3lfkopDTozk9zQW6xxyx1REqi9M6wtC&#10;3LwF82rqAXLjXrL55ZXh8f84J9w57dBw45FDq2LcglE/rgABDiLcj6uC3K6T4/YN14/Zr5JvWHhq&#10;3kXhk/eeDd/8ZWP47tutZt2tUCRkaKRQJfNTHMlFloVYw9Ot9KskpbQjBRwpYeSg5ZmYBJMrd0Ag&#10;Yr5c2U6SintR+VRZEquj1bjlxId5rP7nxjdGUWwI5oTtaNmr1T7klGc68sr7zax1Od85FMWGUGIF&#10;VrpFq/HPWbsyj5XONB1bSU47JDWmnPGm2ordJ0X9zFlrOe2nYgV4AiHWprxf1D+dx0ovG7yWXD93&#10;2yXE4bVtcpO+P0FhBmKFle447QLiDkUmCFRWHsdx+i7dJsRdccXKQdycn37aH+sadSHOcRzHccqn&#10;DCHu6vljp3Fz/vCjR9TUV5YQ1xNQ3tEnMmkoW8ReKciTneQFgQP1WvIPpBLIIaiPF37GvZg8RRpt&#10;C/BkMCnVID/6gfZwIU2X48lRVpqF7hvKoV1LosmJPfOgH1Z6DF6QYyDTyLGzT1ockjBvTruoH/n0&#10;nOB33Ee6VQ6wDD6tdIDYIQ7sEy6slaL6cR/jlyIRykFeSo0dZbgu0WZqfmJgHeg+ox9FbefEnXmK&#10;vieaVN24hwt5dBphnlg89DpDDGNyVqPfYc4hPvV8Iw7oG9vV/cPv1n0N1wvnHhfaY3+K4p67blpd&#10;z7J/qId/WxB7XNb8djr7HnhQzTO3USFu8W3H15QHL79+at3mfScTk3kIpBqkAy09aGKv70wRaz9H&#10;MgHMo8WL3PIxiuICmMeSPnLKF/Uxpw7AE8EoSfF1qZgPnbeIlOQiifWtkbgzn44fx1M0bvnKRi0E&#10;xerWFPU3p54yYpEDxiglM6tPbDN37lN1gZwxxOrIKRtDrkPEVct9uesUQBCVfdHzJOuS9yWpseSO&#10;k3l0nJqhaExFpPrSnd+/GIOHD6957jYixH377ZZp3JjXQtyICUfUbd6T7VteCWsfvzM8e92l4e4z&#10;Ju+S4kbtG24cNygsqbB4zH7Vz1smDK78PDBcf9hPwvLTJ4VX77om7PzoTbPOMsgRHiRS0JD5ecJQ&#10;DpAu9ElKPFFKCxmxV0XKE6hy0KcbxUQX3s95/R/r1rJJqxJNUfmcOYvV0WrccgQd5rH6n1M+Bcti&#10;HFY6ScWo1T7klGc68uq0Rte6FOVy0KJdDK6RotPDJGyj2fin5sXKY6UzzYotyWmHxL4rRWkk1Vbs&#10;PinqZ85ai9Uh72MNyTKaWDtF/dN5rPSysYS4fYYMHVlpv+Fr+/bte3AD/uVXXqurt78KcTzhCOC0&#10;ISuP47QLrDmuP6xFK4/jOH2XRUtuqXset12IO2n6pXWNys17x3Ecx3HKYfjYY2qet2ULcUNHDa/b&#10;wHecnoRXTEjqLeQIcU7/BqcY8orJYoCntPla6nvUC3FDZ3U9mqPXpq1nDeKmvAtxtScbQYCw8gDr&#10;pLIcYu1T6gIx4UWehKbFC1k+56QsTVFcAPNY0kdOeSm0WOk5dQAppiAmLNeImEikHBSLm4w7TvGS&#10;aUVjkjCfjh+lryKpi/nw6kidFqtbU9TfnHpi89TqGoyREpYQC6TpeYnB/sXGVxQfEKujlfHLVwFb&#10;6Y0IcUSeOCfv59QVKwtyYgQ4N5g/K70ZUv1KwTLWvHfn9y9GWULceRdfVFNPSoj7+suN4fOtb4T1&#10;z94bnpn/m6rsdvPkEWHR+MG7TokbM7D6ulScELf48J+Eu049KvzpqgvCukr+r/+y0ayzDHKEBwml&#10;HSDv89SrlDiSQp48RwkLp2TxnhY6Yv3IJSa68H5fFeJajVuOoMM8Vv9zyqdg2U4W4hpd6/K0tdh8&#10;N0PROrNgP1yI+xuptmL3SVE/c9ZarA5534U4+5JC3BNPPVNXL+7JTfr+Al7XWAlPFZzWZeVxnHbB&#10;V4X66YSO0z+xhDg8s0u/XIhzHMdxnO6nXogbtqzr0Zx9zZs3bhY358ccUSvEjRjvQpzTu+DV24U4&#10;nvyF062sdMfBGuZlpROXK/surQpxVy2cUlMeyE37vgClhpSkQZEDn5ChrDxSoojlsYjJRDhxCPcB&#10;6pZpAG1QDAJavJDSliUOFRHrl4R5UlJJKq5FIk1OH4AW1PhzMxKWlIMwlxAddR7Zby0QFY1Jwnw6&#10;flKkikmYRa+gTKVJivqLGCANcbXSQWyeWl2DMWLtyZhY82bB/LE4FcUHxOpoZfwp2QpICTRXiIuN&#10;Rf6tseKA+rkOdFmQEyMgv5u5fS4it20Ny1jj7c7vX4x6Ia742c0rJcQdNuW4us17gted4rWnn21+&#10;Jax75t6w+s554elrLw6rfnd6uO+c48KyGUeEO391RLj3rCnhkd+fFl685T/C2qfuCp9seKktr0ol&#10;OcIDwaluzKtPscoRR4rgKXOUbXgylj5JC+SIIili/c19jaR8ZaqWTXJikYp7UfmcOYvV0Wrccsoz&#10;j9X/VtvHaWaxuiVSItOnEXZHDJiOvFZ6I2s9Z76bAW2zXivdotX454xF5rHSmRaLLWgkZrHvSlEa&#10;SbUVu0+K+pmz1mJ1SMkyFStAUVaLwEX903ms9LIpWYjbkxvwlhCH16jKTfr+gHxdJcQ4K4/jtIsV&#10;K1bs/nvipxM6Tv+k24S4uXMfHsnN+SknXlDT4I8POLhuAz/FnDkrw9VXrQzXzH8wLLr+7nDrbXeG&#10;O+68Ndy1/Oaw/O6bwp3Lbg233HpnuOHGuyrp94Rrr3swXHXVQ2ZdjuM4jtOXcSHO6W/w6s1CnDz5&#10;qy++5tEpB7lO5CtCCV9Byst65arT2TQjxG3ccuZIbsr3ByFOChUQIXAPsoMUNiBWMQ8ELylaIS/l&#10;FZA6Rc4iJvcAnHDGetFPCDa4j/alDMd0XV4KKKhf9ht14Xe0YZ2ElOoXYR6r7Zy4yjy8J8npA5Fz&#10;AGIiURHon6wHsWH/ETMpIln9KhqThPms+GnZka9kRB/QHwpKMUkzVbckdw7QHiUzrBv5isjUPDW7&#10;BtEv5MdYOT4df/1dY1uNzD3risWpKD4gVUez45fjRL2Mgf57A+R3Cj9j/Cgv5wjtcM2gPO8Tud4Y&#10;V7Qpx0902ZwYAfSHfcAnysk+Ymxom/3n/WbHlIL9teYMdNf3L0YrQtx332ydxY35GWefXVPPsdOm&#10;123eS6pS3F83h692rg87P3orfPL+c2HDiw+E1+9ZEJ697pLw3KLLwmt3Xxfef3p5+Pj958NfPl8b&#10;vvl6i1lXWeQID0SeLqYlMCnXQMSQablQRqMUxPas06goEAH9Ws8cYqKLFHkgvck0SUq4Yt2pV1FK&#10;8U7Hq0jCyZmzWB2txi1H0GEeq/855VNwTVjimCQm+IBW+5BTnunIa6U3staliJr7OtQccte6pNX4&#10;56xdmcdKZ1ostiCnHZL6vjGt2e8y78f6Kk8LtPqZs9ZSY8U84T7mQ97XMJ9efzlxlHms9LJ56+3n&#10;a567u2hdiLv9rnvq6u2PQtwdd9xRnUtIcZCTrDyO0y5mzJhRXX84Jc5PJ3Sc/km3CXFz5qyYyM35&#10;I485p6bBIcMn1G3gp7jyyofCdQvuCzffcme474HF4ennrgyvvPGH8O7aSytcHF778+/D089eGVY9&#10;uiDcc9+ScOttS8O1191fUwekOvm74ziO4/RFyhDirrlm3GxuzkOAk/VBkJOb947T0/DqjUIcT4Xj&#10;9d13Xydfhek4OEEw58JrU63yTmcjn7egUSHud3Mn1ZQ/aNzIuo37TkdKGhItMuB3nUcD+UWWySEl&#10;E0G00OKbBH1i+Zh4IaW6GJZAlOoXSbWdE1cZU1mW5PSBQI5hXaCZuQBSiEvFDjGTcg4pGpOE+az4&#10;QQ5KzT1AHyipaZjHqltS1F8dVyIlrKJ5amYNyn5ZIDYyP+B6kzJVEawvFqei+ICiOpoZf9F3X6Zp&#10;IU7m0yBG1rrFOrK+rwB9Q0z5uy6bEyOSakdCCRU0O6YULBubs+76/sXoKSFOU6krfPHxO2HbW0+E&#10;NY/fGdb+aVnY9ubj1VerfvvVptr8bTolLkd4gOQhhTdLHJFiR0pUSaFPXePPlrglTz+y+lNETIJJ&#10;nYJH0DZP+LLaZt3AEpxQngJKqryVBnLmLFZHq3HLEXSYx6pfSljoi04vQq4L1GXlkevIWos5Y0iR&#10;U57pVvugkbUOeDIb1k0zcbPIWevom0xrNf45a1fmsdL53UnJgTntkNh3RaaBZr7Lqb8TiD/nFVj9&#10;zPm+pMYq/27HpEfZhi6fqtvKY6WXTclC3F7cgHchznEcx3F6njnzF9Q9j7se2+VeUog79KhTaxo8&#10;8JAj6zbwU1xzzYPhjqW3hYcfXRBeePk/wtvvXRo2fHBe+PwvF4YvvvpN2LTtvMq9S8Irr18enn3h&#10;yvDwI9eFpcturZ4WN2/+isp/jLkM5ziO4/QP8IyVz9xWhbiho2r/B/7Dj3YhzuldQDLD1RtPXpNy&#10;E072enjVH818jiPByW9YL199/UXX6tl1QbDEmvJ11HeRz9tdHDit69EcvTZsnTmRm/Ln/3ZiTfm+&#10;KMQBSA3y1CWIEBCBdD6IGZBbIEIwL37GPSmlNALbjZ1wxFOaZJvIy/Yo26QkIORFGSmioD4ITChn&#10;nXBU1C/APLG2i+JKyQb9kuUIx5bqg0SOLyaqFCHlG/ysx4C4YT6smIGiMUnY31j80AbSKJyR1LyR&#10;orpJTn8xZ1IOQvtSQGJ8UvPU6BosGrvMC6S414gcVRSnnPjkxLqZ7yDu6e8+5oGyGOvSax3pui2U&#10;gySaWjOptY403LPikBMjCccl1xRALGJ/S5sdUwzGNDVnqBfpsTWYapf9TNWfQj53QSNC3H99t3U2&#10;N+YhwMl6IMjJjfscvv1qc/jLZ++F7R+8HnZsfSN8+ema8M2XG8287UDKDBAj8DuBnAPphMIHgMAR&#10;EzOk3AERQwoYkD8g00AMSZ1WRIFEflr5gDyZCfVKmQh9xO/oB/ovywGKLpaoIutFX+U4UKccpyWZ&#10;sG5ZB8aPNOQvkmBSfQNyzqzyIHd8SG8kbjkyGPNYbcu+UzBCbGQfipDxQ1uMLfqONcb1irVjrdWc&#10;MaTIKc905LXSQSNrHfFhnciHccqxIa78rsbEJwusTdaL8owlPilT6XlsJf45a1fmsdK5tuVYER/2&#10;A+S0Q1iftV6ZRhr9LsvvGuLJeMg4pcrLccS+L6mxIi/bwadcN0iTa9n6u5yq28pjpZeNJcTtPfCA&#10;QZX2G76kEGedSCM36B3HcRzHaT/1QtzQ7V2P7XIvKcSNPnxqTaONCnGLb7g7PPHkNWHN+5eETVsv&#10;qHBe2PLRueGjz2aFj7afH7Z8eG7YuOX8sH7zhWHdpgvC22suDc+9MDesWLk43HLrHeGaa1aY9Tq9&#10;i7//+/9W/Q/eCROmmentpN1t9+TYnO6lp+f6gAMODf/8z//X11o/Rgtx+wweurCyJhu65l0zfiE3&#10;54cM/1lNfZOOP7huA99xHMdxnNaRz9tdNCbEnT7r8Jry4yaNqtu4d5zeAsUViDJWeg5aiLPyOL0P&#10;ypOtzL3j9Bbkc3cXxc9uXt99t20hN+YPm3JcTT3nXXxR3eZ9b0fKDEVAmNCCiwRpUhCJQbHDQp5W&#10;BCCUWPkIpZ0UlmiUkmAwDikKWVAu0WUB60YsUvGIyVKpvoEcSaWojmbjliODMU+sbSsmsbwWWkSy&#10;QN9jYljOGFLklGd6bI5Bo2sd603mjyHFsCKKvrNSOiOtxD9n7co8VrqUAyWyvpx2SOq7wjTMTWrM&#10;sblLxZd/Q/h7rJ9WednXorEiXpTiYqA+6297ThxlHiu9bFyIcxzHcZy+S7cJcVdc8dA0bs5rIQ6v&#10;c5Ob9zGuvOqh6qtP71x+S3jl9T+EnV/9JnwXfhs++fz8sO2TWeGDj86tgp8/+uy88PmXF4a/fHNx&#10;5d6s8M7aS8Izz10Zlt9zU7j22trXp5bNeefdsFtCqQx9N//4j/+7en/mzHlmOacWxm3kyClmejtp&#10;d9s9OTane+npuWb7wEp3+j4uxDmO4zhOZyKft7vIEOK2zJzGTfmTTju0prwLcU5vBaeCVZbvrn+z&#10;iNctNooLcZ0HTuoqY+4dp7cgn7u7aE6IGzHhiJp6fn/F5XWb970deYKQBvchSkD2aESygeRBkYRA&#10;6oBkFpPIiD7RKKddCBmoW44DQg76AOnIEj0ovOFTpxH0VdeLcRTFg2PHJ36HFIX+sA7UGZNLQFHf&#10;IBqxrpj0VVQHaCZulLhQRqcR5om1jXoh5LFdtJkSxyxQB9rR6yzVd0IJKTWGFDnlOTb0xUoHzax1&#10;5EHs5HpCWYy70e8pQawQfyleof5Ufc3GP2ftMk8qvpC8ZH/RruxrTjsk9V1hGv9uWd9leVqbBWIh&#10;1zs+8Tv7y/uxfury+vuSM1a0hfmUMUN96H/qb3JO3cyD+qz0silZiBsU24AfPv7Iuk16x3Ecx3Ha&#10;S48IcRDgZKMQ5OTmfYwFC+8Ld955S3j0iWuqp75t/2KX8Ab5bevHfxPi8POHn54XPt15Qdj5199U&#10;T497d+3F4fmX5oT77r+xKtVZ9bfKZZfdWRXeKsMtBLIc8lv1OLtgrDpJiMMpXCiHU8GsdNKTY3O6&#10;l56ea4i4aH/vvQeZ6WWRu/ad7qcMIW7+NeOWcXN+3wMPqqnvuKkuxDmO4zhOO5DP2120JsQddeLY&#10;uo17x+kN8IQw0MwrFIkLcZ0HJLgy5t5xegvyubuL/ivEOeVDSQifVrrjOI7THM+/+FjNcxeUIcSd&#10;c+GlNXW6EOc4juM43U83CnErZ8U25w896tS6DXyLm25eFlY9dm1Y/fofwtqNF1XFN5wOt/XjXSKc&#10;5sNPZ4WPt58fNm+bFda8/5vw0it/DA+uWByuW1C+EAe5jeIJgBQCOe6EEy4Kp5xyeRUII/LUuHYL&#10;Kp0O49RJQhzys6yVTpqt3+k8+stc5659p/sZMnxCzTO3VSGupq4KU2e4EOc4juM4ZXPF3HF1z9wB&#10;Q4ZN7Ho0Ry8pxEGAk+UhyMlNe8fpDUCC+t73/q767wiIcVaeXFyI6zwoQ/7y5H8z0x2n05DP3V3k&#10;C3H/+Z9bl3FjXtczb8G8us17p//hQpzjOE57sIS4AQOH7bXrCd3YtXPnzpHcgNdC3KGTT6jbpHcc&#10;x3Ecp71cMntOzfN4wJBh67oe2+VeUojTm/O5QtzSZbeF1a//MazfckH11DdIb397Veqvq2Icfqcg&#10;x5Pitnw4K2z84ILw5ruXhkcfvy4sWnivWX8rSBlu332HJ09/wytTIcYBK93ZBePZEyJRs23nSkHN&#10;1u90Hv1lrnPXvtP9lCnEWZvzM2aOMjfyHcdxHMdpnqaFuK1nzuKmPF6RKsufPuvwuo17x+lprl8y&#10;rvpvCEhxrUpsK1ZN3v1vEvxs5XEcx2kXb689o+a5C3Ke3bxSQtyS2xbXbd47/Q8X4hzHcdpDmULc&#10;jh07JnIDfvqZ59bU6UKc0wx77LFH9fl/+eWXm+lFnH/++eEHP/jB7n8rT548uXr/tdde2133ggUL&#10;6sq1m6eeemp3n/CzTFu/fn0YNWpU2H///cOKFStq0voSGCfmg/OAzxkzZph5ne4F84D11+z3zuld&#10;dJsQN3fuqtmxzfkjjzmnbgPfYvnym8I7711SfU3q519e2CXC1bLlw1/v/hliHF+luu2T88L6zReG&#10;Pz1zdVh0/d1m/c3CVwUCyHBWHovzzrvBvO/sgjHtCZGo2bZzpaBm63c6j/4y17lr3+l+9DN3wOBh&#10;syvz1NA1b/74R7E5/4fLa0+aAWed60Kc4ziO45RNGULcQeNG1pQ//7cT6zbvHcdxHMcph5aFuG+3&#10;PYpN+U2b36irZ/n9S80NfKd/4UKc4zhOe+guIW7KVBddnMapLKsqENus9BSQelhegjSIZvwd4o8u&#10;225k+1p66+m+dRc/+tGPdo9TYuV1uhefj75FjwhxskEw5cQL6jbwLe6869bw2pt/CJu2zdp9EhxO&#10;gMPPm7edG9ZtuiC8v/GisGHL+WHLhzwtbhc7/vKb8MFHs8JzL84N1y8uV4j7h3/4H9UvBD5TJ8Pl&#10;gNeooi5IdqgLgh1+B9YrVpEHr2bVr2tF3kmTzqrLTyjxpU6pY1+sdmU/8Tvakn3Az3hdrC6nSZXj&#10;vZRIhPLyNbQAv6fGTlptW8J4xNBx5n3Wj0+uI4D6cJKgLGPRyvgxVrSD9cKyiAHWU0rWZH70j6cd&#10;4nfc53iYB3Xp8hKOmeuoCPQLdaJN2W/Ug+9KLGa4zz7id9SD/KwDn6mTHXEffUS7cp5QDjFMrXXm&#10;lWuJ6wXxlnk1/P4jv7yPVzDLuWM/cF/mA2xL10H0GmIsc4Vd1h8DdVvlGE+dF/db/Tvq1FKmEHfx&#10;ZWNq6gIuxDmO4zhO+TQrxG3eetZsbswPHj68prwLcY7jOI7TPsoS4t56+/m6eh55/H5zA9/pX4wd&#10;O6L6v5/h00p3HMdxmqNdQhxOhJN14hWqcoPescGJTJVQVk/LstL7G4gFaFSIw+ljLItTyPA77vM0&#10;tp4+IS4lxMm+9dUTuu64447d4+cYMUe4r/M63Q9lRZxUaKU7nUU3CnErF3JzXjYIpp/2x7oNfItb&#10;br2zesLbm2t+GzZsvqAqun2644KqFLfxg/PDO2svDW++87uwdsNvqkLch5+d1yXEnRu+/ObisK2S&#10;79kX54QbbrjHrL8ZIKBUhlclV55KQUFES25E5oWEQyEmBuqz5BL0lek6jbAvVh7ZT/5skRKzUuUo&#10;AgErrhhTqjxAHbocaaVti0alIN6PzTPA3MYEr1bGj7JF/UXbsbljHohLev1xnKwf6bo8wfpluZRQ&#10;Jila78CSwuT3FOOK1YO5sL4vRfECsbVipSN2vJ+aY+aRYiH6z/sWsg7AdaLXIJBrXWPlt2h07WO8&#10;sTVPIOXF4uI0TilC3DXjVmNzftaFo2vqApDk9Ca+4ziO4zitYZ3KmrOpvmnbWQu5Ma/LX7VwSt3m&#10;veM4juM45dCyEPfd1tXYlLeEOGzU6817x3Ecx3HKAeK5fva2IMRN4wb88PFH1tTpQlweEL8qoaxi&#10;pfc3GItGhTgpnOlXkvYGUkJcf4Dr3MVPx2k/eP7K53HbhbhLL1ta0yA4/ayrzU18zQ033h0efOj6&#10;8PzLV4T31l0cPvrsvLDjLxeFDz+dFTZ+cF549/3fhLfXXBLWbbpolxDXdXrc1o9/HT7beUHYvPW8&#10;8MxzV4XrF5cnxFEsA2UIHJRXCH6HLASkUIO2KPVAHpFCEdKkpIKfmUbY75T0wr5YeXQ/0QZPlIJ8&#10;JIUX66QpGTdIOZSQdFkgx004PsQAghDLoy1Zt1W21bZTyLqtdCLbACjHfkhhC3Ory4JWxi8lKIhW&#10;nB/UoWUxa00zjaA+xA5lAfLkyG7sR2yMFugbyqFOjhnIfmMOZRkghTjAuCEN9ciYoX5dHvHGmkcZ&#10;uZ71mpF9IkyTc4F8vC9lNwnaYh7ZJseJfuq5s2IZ+x5jblm/PJWNa8j6u5FCxtBKB2iD8cI4rHZZ&#10;B8bCNKc1yhDi5l8zfh0253EanKwLYMNebuA7juM4jtM6lhC3z5ChI7sezdFrU5cQ9/Lrp9aVX3zb&#10;8eYGvuM4juM4rWM9e5sR4qxTaiDJ6c17x3Ecx3HKwRLi/nXgAXt2PaIbulJCHE6okRv0jo0LcbUw&#10;Fo0KcfIEMiu9p+nvQhxfZ9uXXwnrOL0FLcTtM2To6sr3r/xrzpyVy7Axf8FFN6sG84W46xbcF25f&#10;emt47InrwlvvXhY++fy88MVXF1Wlty0f7pLiAF6f+sFHu16ZCikOr0rd+MGs8O7aS8Kjj88PCxfd&#10;a9bfDJR6gJXeKFI00wKLhPkglcSkEUpTQAo1gOJJThtWHqYBSyCSAhLFI4L+Uuqx6ka6jKsUiYAU&#10;eSxhC3B8aEfeb7XtIqTQY6UT5gE6PkDWo+eulfHLeYmNTdZvzS3TUnUAxjkmVjE9JoQ1Sir2ctxo&#10;14ob13Qjgh6QdeNnnc40HSspNcr7Ol0KfrKt2Pdew3Hp9c54WQJhM6TiT2QeK1ZAnp5nfTecxvnx&#10;AQfXPHNbEeJmzHQhznEcx3G6g3YIcUvvPdHcwHccx3Ecp3WsZ2/Os5vXd99tW4dN+eX31/+fyTdt&#10;fsPcwHccx3Ecp3VKFuJmcQNe1zlnfve/lrITcSGuFsaiUSGut8exvwtxEOEwdhfiHKf9dLsQd86s&#10;harBYdV7egPfYt78B8PixcvD8rtvDs++cGV49/1LwoYPIMP9uvrq1E8+vyB8vP386slx2z6dVfn9&#10;/PD5lzgt7rzwznuXVMrMCffce2O49roHzPqbgbIJsNKllKaxRCAp5cSEFwhSqTqIzKdlHIopWpKR&#10;xEQamZaSaWJt55wehrHHymPMuJ/quxSHpPzUattFMK7ASifME5u/lGTVyvil7JcSqmQ+ncb7MdGN&#10;sJ9AtyXnISb1NUoqZjItNu+5c2fBctZ6iaWl1qJcgxDEeF/KivJ+itj3WIpnZcxBTvzwdw3pRRIe&#10;86XWuJNPvRA3dFYlvg1d87uEuKkzausCcvO+k7np5pPCmjVPhs8/3xp4fffd1+HTTzeEN/78YDXd&#10;Kuc4juM47aBpIW7rWcuwKf/Es6fUlXchznEcx3HaR1lC3JLbFtfVs337++YGvuM4juM4rdMOIe6D&#10;rdvq6rz9rnvMjfpOYcGCBbslHvCDH/wgTJ48Obz22mtmfgDRadSoUdXXQrLcj370o6qstX79+pq8&#10;yMc8FpY41EyfLNBPlJN1AfQVJ3npvpLLL9+194i+43eOl+XRnxyRDeNAW7JdnPCGNN7LFeKK4miB&#10;9nU9nDO8bhXjR/sYD8ugnaJXsabKFQlxbB8xlvdRFvf5qlHMNeaO+fGJ32NzRlCvjLkF55VwPHqu&#10;cK+oPcJ+xpAxZV7cA1yfuG+tB6wZ9Fm2gf5hDae+E7IdPWdI098pvc7les2F5VHWSifMJ7//6AvG&#10;hHtyrPz+yxhKcB/5UAa/o88cJz7lGNguPnlPg/rQnlzf7IO1pgnrtuaQcFx6/YMy1mF/o9uFOJwG&#10;V9vgsOprVPUGvsWVFa6etyIsXHRPuPPOW8Mjjy0Ir/3599XT4L4Lvw1/+faS8PmXF4btX+ziq+8u&#10;CSH8oSrMPffinLBs+S1h0fX3hquvesisvxmk8FaUrrFkj5i8IkmJP5rYKV2UV1LtpPqS00/m0SJQ&#10;jjgDmEeXZ725yBi12nYRZdbPPHqOWxl/zryBlCzF+0WxkfKWPumLwl1Zp5OB1PcilWblsdJTsJwV&#10;k1Qav5/6JD7Ei+W0TIiYyTr1CYKa2JyjHNvHJ9pMSZJFoC/sl5UOmF60dvh3M3Z6ntMYZQhx8+aP&#10;247N+eOm1ta174EHmZv4nQaEN8hvqeurr78ID6/6o1necRzHccqmVSHugUem1pWHJKc37/sDK1ZN&#10;3v3fofjZytOXee2tU8LwEf8SBg7+p3Dn8iPMPE7n09Pr3NeZ47RXiNMb947jOI7jlEeZQtzOnTtn&#10;Y/N9zXtr6+p8YOUqc6O+E4DgURmeiRRVJHwlZAwIHFLeoCQSQ7fTTJ8sKMmkgJxiiSYQUJCO9lLj&#10;RV91WYKyVhkgx5iSZyRFcbSw6mYahBwp/EgQl5h8BGkpVg7IsVnyENN036RIB5FPClESvb4kUiRK&#10;IWUo1JUqlzs/sf4SGU/ewxzocnKNo29F847ylvgImMdqh+A+2uGat8iNAUBbLBdbQ2iPefD94v2i&#10;GAJrTem1I/MD2X9+L2N/S1JxILLPEtadihfr0HnKWof9jW4T4ubOffhRbMxPP+2PqsF8Ie5vrAzX&#10;zH8g3HTzneGxJ+aHNe9fUpXiNm+bFTZ9cH7YtPW86ucHH86q3n9n7SXhwZWLwnUL7jfqag0pgeSe&#10;spSSklJpRLbZrAzDOlLtpPqSSiPMo+UX2X95X8M8ujxPj8oBQo2MUattF1Fm/cyjBa5Wxs/71qtQ&#10;JSmBjPdzYkN5S68Tili5p5xJMB6cPsf1ZaH7nBqPlcdKhyyG/qJd9l9jxSSVxlP0UJ+U0SiEaZEV&#10;IJ+U4gD6FHu9KOOk5wDgb5YeC9ZGLEYpita+jG/Rq1CL6nIao0wh7vCjR9TUNWT4z8xN/E4CMpy8&#10;Pvzw3fDSy0vD008vqn5u3vL6blkOp8dZdTiO4zhO2TQrxG3cNvNRbMovvu34uvLYqNeb9/0ByDmV&#10;0FTpj6KOHD9kJSuP0/n09Dr3deY4JQhx327djk35eQvm1dQxYsIR5ua94ziO4zjl0A4h7uVXXqur&#10;s1OFOCmMQWKBkIH7EJ4gX0hpiEjZBXl4uhTKSonJkk2Qn2V1GmmmTzFQF/oDeUVKNKhT9sWSW2Q6&#10;gKjCOtAXKSlZMpIsD0GM40AdWnpBXl0+hazbSgepupkm87B/cg4hvemygNIPwBzxvixLLHmJabpv&#10;UmoCqIux1XNmiYgyXa4dGXNrXXJNoz15khjWD9qxYpiC8bHaIuwnQTvoJ8Yr15OUC7FOY983YMln&#10;TCOcayDrZj1ynaM+uVYZzyKQj2Vi4hj6zjwcE0A/0C/Mg2xPjhV94n1irR2MFfcxvxwTSM2P7BfS&#10;ZUzRJxkPufYJ606tGZbXecpeh/2FbhfiTpquGxxmbuDncO01D4Q77rw1PPbENeGFl68Ir7z2h/D6&#10;m78Lb7z5h/DqG7PDiy/PCU/+6erwwIrFYclNy8LcK1ea9bSCPMmp1VcYFqURKYv0RyGOAk+q7Rit&#10;tl1EmfUzj5aTWhk/6+wuIU6eNMe1Kl8VWrR+NfI1rCl0n1PjsfLoNHzPYxKcxIpJKs06RQ/Cm75n&#10;gTR+x4gl0DFPbL1Q9NOiZaOyYtHal/FNjQsU1eU0RkmvTK1uzmshbuio4XUb+J0EpDdekN5iJ8Dh&#10;dal4daoLcY7jOE534UJcHjiRqjLs6qeVDnpaFOppnnruxPC97/1ddfwXXzbUzON0Pj29zn2dOU55&#10;Qtx5F19UU4cLcY7jOI7TXkoW4hZi8/2Jp56pqxOSnNyg7xQgWFSGZgomMSilWDIIkGKKFnTYHpD3&#10;Jc30qVlSYozsK/qiZSD8zlhAVomlWXUjXcpIjYouOXFM1c00IOUrIuuXshKQ82vVjfxSGpIiEomV&#10;l3UjfpbgxTmzZD22q+cDoC7WretlnTF5q1FS64qwL8CKIyiKNZDjssbNNGDNtTzpz1rnsg9W+RgU&#10;RmNSJdMb+Z7LdanTZD+Bte5IbH6KvrfMw5hZY2PdsfkCSLfysGxZ67C/0J1C3GpszJcpxIEFC+4P&#10;t9x6Z7jr7pvCQysXVuU4sHLVgnD3PTeFG2+8O1xzzYPhyivLe02qRMorEEqsPJqUoFIkrwApFMXk&#10;HkKJRwtQFE5S7bTaT+bRIlCu7MI8unxO2zFabbuIMutnHj3HrYw/dmKbxhLZCO/nxEZ+PyhYYS3i&#10;d0veSiGFKvQf34NYuo5ZKs3KI+9jDPwe4TsOmQv3ZB6Ws2KSSgOcE8YD9eN3tKnzWmB+eKKc1U4j&#10;6wUxkKfPxWJlgXZZzkqXa6Fo7XA8uX9TnTT1Qtyw2ZX4NnRxc37MEbVC3IjxnS3EQXDjlfM61Jw8&#10;juM4jlMGTQtxW89ajU35qxZOqSuvN+77AjiJqjLs5IlU/V2Ic/oHvs4dp+dpVYjjpvyMs8+uqeOw&#10;KcfVbdw7juM4jlMe7RDicBqcrhOvUZUb9J0CTyQClnykwalFzG+lE+bR0lxKaCGN9qkVUv2RaVoS&#10;IjGxRsZJnvQkQZ3Mk5JnLHLimKqbaTHxRspFWixCGabF4iLHb4lJTNN9k+3G4pYaO+/H4sl03Scp&#10;b8XG1AixdSFhX1InHkppMtUvmU+n8X5srmU8Y20wPRZXC3nSmv4ey7UfE2stUutSphXVGZsf2efY&#10;+gMyn+4H607FimV1nrLXYX+h24S4OXNWrsPG/JHHnFPT4JDhE8wN/Fwgul173QPh+uvvDjfdvDTc&#10;etvt4bY7loabb7mzem/evBVmuTKh4AOKTt4CKUElR16Rp0qlTnGyTp8iRfIKSMlTOf1kHi2/UPgB&#10;MeEmJc/IeGsxqYhW2y4iJ64gp37m0f1sZfwUjYpkq5SQxLZzY8O6sJ7QX8plek0WIV8vaqUjTuyb&#10;jlkqzcoj70sBNfZaZKZbMUmlASkfIj783uT8LZHEvq8531VJs+sfeVnOSgece6wJK50wX6MxcGxa&#10;FeIWLhyxBzfnIcDJuiDIyc37TgJyGy+8JtXKU8Td98yqvlIVYh1fq4rrq6+/qNYZE+jYNsrgd7ya&#10;FWVw4RO/6zJ4tasU+HDhd9zXeR3HcZzOp1Uh7ndzJ9WUHTx8uLl53+m4EOc4u/B17jg9jyXEDRgy&#10;bGLle5l1cVNeC3HHTptet3HvOI7jOE55lCnE7dixYxk232+/6566OjtViMNpXjwRCZ8QPVIihpRn&#10;ctDChywv70sa7VMrpPqT01fm0WJNTlnAPMhvpcfIqT9VdyqNME9M+NFjlqTEJcA03X5ROZ1Hp/Hk&#10;Lkv+kuW0oCUFPpxYlpKhcsiJEdtLzUFOPSAlkRa1g/vMY6WDojos8J3l91jPhxTKGvlup9ZHKk0T&#10;i2tOLABizHxavmPdqVixrM5T9jrsL3S7EHfoUbX/48CBhxxpbuA3wpVXPhyuumpl5XNl5fOhXT93&#10;/W7lLxsp+QBIHClRKSWo5MorfL0hPmNtSflJ5ykSw6Sk02w/mUdLNTjRinVbYgz6Kk+p0uWloNSI&#10;sANabbsILTdZeUBO/cyj56eV8ct5j8mUUqS06k+lWcj+yleepuJjwfUcOzVMxl7HTMpu1nrXeeR9&#10;Wa/1itdW44U4MI+Mjz4Br4jYdzLnu6phHxpZXzlrX8qcMbkwNY9Oc5QpxA0Z/rOauvAKVbl530ms&#10;WfNkl1YWTAEtBynBxS68llWXk69qhdCmr/XrX9ydF69r1SKcvpoV+hzHcZzeS7NC3KZtZ63Dpvzp&#10;sw6vKXvQuJHm5n2n40Kc4+zC17nj9DytCHEhrNuDm/I4EU7WgVeoyk17x3Ecx3HKpR1C3KIlt9TV&#10;qTfoOwnIHRRXCE6csqQSeRJVDlroaEQ4ye1TDiiH8nylpoUuk9NX5mlWrGEeLcYUkVN/qu5UGmEe&#10;HfOYTCRBmVh5wDTdflE5nUenybhAVKJshTKce+s1l0BKWgDrDyKXfmVsDjkxYjs5c4C1a6WTVNx4&#10;P9aOjJmVDorqiMG/F4ilvM+T0GKn4yHmiD3jaKHHmYqBJjY/vB9bIxK2pWPCOnLm1cpT5jrsL3S7&#10;EDf68Kk1DQ4fe4y5gd9pQO6QUhx+htwCqQVSB4DoQakHWIJKrrwiJSMIXFKeQV9kO2hXlgVSwkFf&#10;KZ7o1y+CZvvJPJZUI8UYpFOgwTikkBYrL/OgLinXYAwQv9C+Jb212nYKKVWhHdxDf+T8gJz6mceS&#10;gloZvyyL9il5IQ4ox3Ucky1lWZ0WQ343AGPTCFKUkvOm1zvQMZPzYsVT55H3UT/vox3GC5/oB9OA&#10;FZNUGtH9j0l/qAPzinni+PEpY6O/7/we4lPfxzzItYkxye+HXFdFyPjF1j5+51rApxyHjqe1dp3m&#10;wEms8rnbqBB31VXj9uTmvBbiJh1/cN0Gfqfw6acbunSyUJXOrDxFQIiDjAahTtYByY2y3JdfflpT&#10;BkghDhfyQoLDfYh6UqJjP5EH9bIdnE6HMrykROc4juN0PpYQl7OpvqlLiDvptENryo6bNMrcvO9U&#10;vve9v9v9340WM88ZsjuvFoVee+uU8IuJe++uA5/4HfdlGxqko97/88P/vrs+lB0+4l+aEpAuvmxo&#10;tQ72dcWqydW62K//uef3k/1ieZTB76iHZdHHp547cXde3kcZ3tNpaJ9jRNu4hzT0QdaFsaJNpLOt&#10;65eMq6lTgrK/PPnfqtIi2wIcH9q1yuE++4Df0Qb7hU/8zjygqA/MF2tPg3Gif5QuCcaL8eTOi44X&#10;+i7Xp6bZeKEd5pXrkXWgTplfw9jqNTL36oNrYsB+yDVB2Ja1zqzvD37GvVgsHafTeHvtGTXPXpAr&#10;xH311dY9uSk/YsIRNXX8/orL6zbuHcdxHMcpj3YIcXPmL6ipb/j4I81N+k4C4hAEIp6wRfTpRxRZ&#10;gLyfS458Q3L7lAJ1pKQaiS6b01fm0WJN7jiZxxJjUuTUn6o7lUaYR8tFjKces6RITmKabj9HapJ5&#10;dJo8ucsCcpE+QU1CEUvKmPg51pcYOTFi/Tlz0KlCnDzxjHIsvpO8B/lLl0H8mZ5CjzMVA01sfni/&#10;J4U4UNY67C9oIa7y7/R1lZiVf82du3I7NuYhwMkGIcjpzftOBUIH5ZMcLFEtJq9YaBnHAlKeVRZA&#10;RrHKALTP06qsvuT0k3ksEQgSjJbPJBR/+HOj5YklXrXadhFW3TpOvJ+qn3ksgauV8UNyKioLISsm&#10;QzFPI7GRJ58BLQjmUDRmmaZjJmUtK546j06TkpgGYhfihZ+tmDBfKl6IB/OB2PcWdch8GsRAl+Fa&#10;1muQ92Ok/nbEsOZHt4uxakFSgzKYb1nOaZ4yhThZDzhuaucKcfLUNSu9VaSsptO0ECcFOAlfrYoL&#10;P1t52A6EOSvdcRzH6UxaFeKOOrG2PH6Xm/adjhSFLKRwJEUhiDqxspBzYmIOJCQKQzEgDlllY6CP&#10;KIdPSlQWaNfqF8tDVoKgpMtJKYr3ZFx0Wio2uE+hyUoHVt2gaK6A7CuR84bYyvyA7bF+CmgWkMFY&#10;Lke+kqJdDMZEl5XzItvVYM50WVBGvGQ6ZTzUK/NLIBOyrBQLrXVFMD5ZB2CaXguIkxThNLG14zid&#10;RllC3P4/H11ThwtxjuM4jtNeLCFuwMBhe3U9phu6duzY8ai1+d4XhDgJpAt5kpqUMHLkmRTNlk/1&#10;KYVsD1KRlqFS/cnpK/NosSZ3nMyD/FZ6jJz6U3Wn0gjz6FjHZCIJysTKA6bp9ovK6Tw6jWsE9Up5&#10;E4IT5r+RU7Yga1FIwidPm8shJ0bsW2oOOJ5UPQCSKOvTYyxqB/eZx0oHRXWkoNBKqY8noCGmOq+c&#10;W4xZnzCZWh+pNE1sfqSMJ+9rpHippT7WnYoVy+bEs5V12F/odiFOb8zjFap6877TgVgDgUbLIZBm&#10;cOqRPBVJw5Oick9HYlsUctgO7sXEHwnkFNlP/Iz+IY2nTll9yekn81jiH0AMIPjIvqMM+00JKVYe&#10;oK9a7MEYUA/HYVFG2zFQN8pT+kEbWoZiWqp+5kmd0tXK+NG2LovfcT+2PkFO3zXylDWUt/LkYM2b&#10;XLOxmMn2Y/Fknlj/0Ib8rnBe0afUWs+NF/OBWB+L5s0qw77hU96HwAvpTY4JfUC+ZoRFgP4VrX2Q&#10;aju1bp3maFWImz9/zF6xjfkZM0eZm/idQLuFOCm9aeFNpuFEOJkm2bzl9Woe9NVKB7KumDTnOI7j&#10;dB5XzB1X99zNEuK2ztyOTXmcCCfL4hWqeuO+L8CTqyw5h0hRCEAMorymJS9LUkIeynCQeqQwBHFK&#10;nv5liUox2C4FKFm37pc1PpkO0EeMC31AmjzBi3lwX9Yh02QetA+kECX7yXFi/FJ0QhldP8qhHoxN&#10;pqOvsk5ZBljzhr7hPuQ99iFHduP8xSQ0DcaF9lA32wGoX8bdOnVNpgMZL8yJXC+WRFlGvGSfUQ/v&#10;y7Ur4TwjTrwnpUDEm33BGDBGS0BkfqTL+xQ+0X/ZB7SBtnV+x+lUyhLidB3L719at3HfSTz+2PJw&#10;3LETw/e//73q3wJ8jh07ono/lvenPx28+28K2HvvH4Yzzzg5fLjtrboyBGVRb047RJdhWxdffE6y&#10;rSU3Xl3Tx//1T3tW+/3uu8+Z+R3HcZzeTTuEuOlnnltT36GTTzA36TsZeYqTlDYoswAtq+SQI9/E&#10;iPUpBYWi2KsZU/3J6SvzaLFGxikm5zQzHpLTt1TdqTTCPLr/fA0mkPcl8mQwa/xM0+3nSE0yj7wv&#10;JSV5vxWKxhEjJlxJWG9qDij1WfKYhPmsk82K2sF95rHSQVEdKSiZcQzsq3Xqnc6rSa2PVJomNj9S&#10;LEydJJgSEIvmvpnvfbPrsL9wyew5Nc/kNgpx9sb8kcecU7d57zhO3wKiFCWpZk4e6w9QcoMkZqU7&#10;TrO0U4g761wX4mLkCnE6TSL7mHOl6nIcx3E6i1aFuIPGjawpe/5vJ5qb951Oo0IchBxIODoP65FC&#10;EKHMg7SYcMXyqVPKNFKcguBk1S3lKf2KSlke44r1DTCfJR4xDViCFmUyYPVTxtcqn0KOQafJeoGU&#10;vCRa3Eqlx4SwRkmtu6J5xe8U23IFPZIbLx0rthdbn0yXgh/bsuS7GGxfrzPGyxIIHacv0YoQ9803&#10;m/fChvymzW/U1dHJQhzEscrwoiCdeV9+aZWZRwJxzRLVitrR+QEEOysvgRhntQXxzcoPIMnp/I7j&#10;OE7vp0whbufOnaux+T5l6oya+vC73JzvK1SGXEVKG1LmSMk+MaRIgrqsPClYNlck4clKlnwD5Cli&#10;Oi1HFGIeHQtIMixryXgYuzzxLnc8JKdvqbpTaYR5tIAjZT/r9bUQiRh3qzxgmm4/R2qSeeR9KcRZ&#10;/WqGnP5YFElRgPWm5qAo1kCOu5m5xn3msdJBUR0pZP+KhNqU2Afk3w89H43MVWx+ir63AN9dnnpn&#10;zS+FUXwH9N84/C6F0tx4NrsO+wvdLsTJxsBJ0y+t27x3HKdvgVO/Kn8GquB0MCtPfwYxYXz8hDSn&#10;bMoS4i6+bExNPWDWhaPNTfxOoCwh7u57ZlVPckvJa80KcV99/UVXruILr0xFX6x6HMdxnM6jaSGu&#10;a1Nel/3d3El1G/d9gZSYRKQoFBOiUqIRhCDc15KPhOUhFlnpFrLNmMwm+65lM1nekvwkzGeNgWkx&#10;WSmnn0y36k+RkrhkmiW6SThHlryFcSGtkbkpQsYklRaLV866tciNl05jDIDukzxBTq4jiqD6fgrm&#10;1+uAYmdKKnWcvkAZQtxbbz9fVwc26fXGfSeA09cqQ6sCuQzCG+5DMsMJbLgPwY35kY7fIarJU91k&#10;foB0phGe8CZPaUM5iHI4vU3nv/LKy3bXh7p1GdanBTcp7aEOCnMoj3pw2pzM7ziO43QGz7/4WN3z&#10;t1UhDq9IlfXhdW1yc76TgNABQUPKKZBCpLShT0qSrxVEeVkWwgd+R3nrlCcpdiAP7qE9WUczfYpB&#10;wQZ9gYzD+6hbCmlAlgM5ohDzpMQYgHyUY6y2GxWNcvqWqjuVRpjHEnAoBMm4Ynz4WcpwsfJM0+3n&#10;iD8yj07TcSXoE+YI60GuA4J0rGu5rvAz60O6zF8E2kI5a10Q9q1o7rU4ie8C7ut4Y064xiRF7eA+&#10;81jpoKiOIrhe5KeVTwpvaIvjwVzwu0z0+shZOyQ1P/LvG9qUa0J/d62/Q8jDdOTlfKFPen3qeJa9&#10;DvsL3SrEXXrZ0prGwPTT/mhu4DuO03fgK0799DMbvqIX4DQ9K4/jNEurQtxV14wbhI15yG+yHoBT&#10;4/QGfqfA15HiavZkNVlH6mpWiIPkhiv1ylTHcRynb9KKEGdtyC++7Xhz877TaVSI06KQlUen8X4u&#10;unyMlFQlYR4tGeWWB7E6itJATjtFdcRIzU3OvBEpb+mT9HjCXZmnk6VikhMv5ukuIU6ekqfFSr4u&#10;VcuEiCNPjsMnyhXJbGxDrwMp3aGdsk7qc5zeRitC3HffbR0U25CHJKc37jsBSHCVoVWFNIpjEkhv&#10;yKPvx+ArSrWkJsU7qx0LCm+Q2qx0WSdFPkAxr5F+O47jOL2fkoW4ddh810IcNuPl5nwnQTEkBuQM&#10;q5yUvWLEpBcthQAppjTbJwvIJBSGLGRfdNkcUYh5LLEGMo81VoKyHKsWY4rI6Ztsp5E0wjyWXJSK&#10;K+5LKcgqzzTdfo7UJPOk0lJgXmQ5K48E45H5i+C8WuuCsO6iuZdCVAx816REJWGeWDu4zzxWOiiq&#10;owgpuoHYd7joOyPT9PrIWTskNT/og5bvNFjjllhJUn8fMfbY917n1TS6DvsL3SLEzZ796B7YlL/g&#10;optrGgOnn3W1uYHvOE7f4JRT/vYQ89PP6pGvk4UYZ+VxnFYoS4ibMXNUTT2gk4W4l15eWpXNcEFs&#10;s/KkkFIbhDXUF0tvVojjqXMuxDmO4/Q/mhHi1q07dw9syL/8+ql1ZZfeWysJ9RXaLcRBCuL9HKwT&#10;ymLkiFOAebRklFsexOooSgM57RTVgThCSON8Wei5yZk3AlGLeWUfpAiWe8qZBO1CGOMJdBa6TE68&#10;mCe2btsRL45Bt0npLfa6WaYTxCM2H8xjrQMIdbIe1IsxaoHRcTqZMoQ4vB5V14HXqOqN+94OTkyr&#10;DKtKTDprFHlKnLyvT22TaRb33L3ErEdj1YmfeV+Kco7jOE5n0w4hTtc3Z35cjOjt4PQiCBpSNIHs&#10;ASGkSL6AdIJ8UoyCmAPZAwKMdVoVwH0IIyyHMlIMaaVPFjxdTvYTdaH/kIhYvy5HicdKI8yD+qx0&#10;jBVjwxh120inOIN6dNkUkHGK+sbxWnWn0gjzxEQrHVd84neeiMUxW+Vj7XM+Uu3G5gztsl70Q6YB&#10;xBzrivXLtpGGMnKe8DPuxfqRAuVQR2xdgFgMLLCOkI8iFSn6roGidnAf6Tqekkb6aiHnBp9cIxbW&#10;dwZ/CyigsR49Lzlrh2BekC81P2gP6WwPoB9YQ6n+k9T3nu3reJa9DvsL3SLEXXXVA3tiU/6cWQtr&#10;GgO4pzfvHcfpOxxwwKHVP8g4Jc5PP6vnhBMuqsYHUhzkQSuP47RCq0LcvHljR2JjfuqMg2vqAXrz&#10;vpO46eaTdp/Alvu6UZmHp8OhrMxDyhDiPvzw3a5codpfK4/jOI7TN2lFiHvi2VPqyroQt+t/JIqJ&#10;PDKPvC+Fqpjs1Sw54hSItZ9bHsTqKEoDOe2k6pCv60yh5yZn3iTytZy8x7blvRwg2KVkNIkumxMv&#10;5rHWbbviZZ2iJ09ui4lpiAXK8qQ9Ygl0TIutJYp+UrLDzznz6zidQBlC3JLbFtfV0YlCnJTO5OtP&#10;WyEmxAGeRgfkK1AtZD05ID/Lol6eLodPvF4191Q6x3Ecp/dSthD3wdZtdfXdftc95ia94zjdB2U3&#10;SEtWOqFoqU/nchynM+lWIQ6nwcnGAF6jqjfvHcdxHMcpBy3E7TN46MKux3PWRSHuuKm1Qty+Bx5k&#10;buB3EuvXv9ilm4Xw5ZefRqU4yGiQ06T89umnG6rlvvr6i5q8ZM2aJ6vpuJoV4uQpduirlcdxHMfp&#10;mzQlxG09fU9syD/wyNS6spDk9MZ9X6DdQhzg/Zjk0yw54hSItZ9bHsTqKEoDOe3E6pBxxRzpV2Wm&#10;5iaVZiHlLp4GR4nLkrdSyDHjRDR9ulwqJjnxYh69btsZL3mKHuPB16VCJtT5LVCvPC1Pt8P7eh1Y&#10;4MQ4inH4LHodq+N0Ai0JcV9vGYkNeUuI05v2nYCUzhoVxiDQHXfsxBrJTaPLoA2dH69WhbCm86Ju&#10;ma8IyH2yPE6GoxRHUGdZ4p/jOI7T/ZQsxG1f897auvoeWLnK3KR3HKf74Olp+LTSAU4f44lfLsQ5&#10;Tt+gW4W46af9saYx4EKc4ziO47SPVoW4+fPHTcTG/OFHj6ipZ8jwn5kb+J0GX0uKC8IbxDeIaBDV&#10;8ImT4HiSnJTfpPAGWY0nuD286o+7ZTlezQpxAKIeL/QN9TMNAt8bf36wOga0Kcs5juM4nU0rQtzi&#10;246vK4vXqOqN+75AdwhxlKoaeR1qDlKcislAUvLSclSOeEWYzxKVUmkgp51YHTztDMKTvE9Sc5Mz&#10;bxoKVmhXlm/0tZyUvmKiWComOfFiHr1u2x0vnqKH8WHNMV6Q06z8FlKs0/Mdux9Dru9Ynx2nk7CE&#10;uH2GHDitssYLr2++2ToRG/LnXXxRTfkRE44wN+57O6nT3GJAaoPExnIprPIAApyuY+zYETV58HtR&#10;PUWgr3h96v/6pz1r2irr9bCO4zhO91KyEBdefuW1uvpciHOcnke+DhWym3zFJEQ4vG5XvoY357WX&#10;juP0frpFiJszZ8Ve2JQ/afqlNY0BvXHvOI7jOE55lCXEjTmiVogbOmq4uYHfafD0t6ILMpyU0VBO&#10;ymr6kmmtCHFF7fDCGKzyjuM4TmdiCXFFm+qbN8/cCxvyVy2cUldWb9r3FaTgY6WDHFFI5tFp8hWW&#10;ZUo7UpyioKTzUPizTtDKEa8I81miUioN5LQTq8N6jalEvsZTxzZn3jRSKOPpZ82IjBTFUIeVznEB&#10;nZYTL+bRQly74yUFNLmuY0JmDJbT8x27H6OZOXac3kwZQtyMs8+uKX/YlOPMjfveDsS0yrCq5J6c&#10;JiU6nLiGk9hi6fK+BV5tKsU3+drTZmS9FBifPJ3OT4pzHMfpPMoW4p546pm6+nBqnN6gdxyne4H0&#10;JoW3GDghbsGCBWYdjuN0HlqI22fI0O2V73q5F4W4Q486taYxbNLrjXvHcRzHccrjwEOOrHn2NirE&#10;XT1/7DRszI8YP7ymHvyuN+87GYhpkMogvvHCyXA4eQ2nsFllIKvhdDhZBvIa8/NkOSnSAfzOS6fF&#10;4Elw8kJbqf45juM4nUsrQtzv5k6qKXfQuJHmxn1fQMpHPOUKr7eUck2OdCPz6DScLkZBCp9oU544&#10;hvYgKkFiauTVnLLvAOIW+4f6KXQBSzCS5XWaJlVPKg3ktBOrQwpcSKN4hZhJqQzoucmZNw3qlXWC&#10;Rk4/I+wb5luWh1CGeZL1y3IgJ17Mo4W47ogX1zKJSX/oG9LkyYR6XaJfsgzv63WANiHgyfz4mbFE&#10;uszvOJ2MfP7uojUh7thp082N+94OZLbKsKrknppGqUyf6EaaEdlYJ06N4z0p6+nXoTYLToxjnVK+&#10;cxzHcToDS4jbe+ABgyp/1xu+sPF++1331NXnQpzj9A4gxV1++eXV16by1agE93BynJ8M5zh9i24R&#10;4q64YuUgbMqPPnxqTWPYpNcb947jOI7jlIcW4gYMHras6/GcdVGIwytSZT14harevHccx3Ecpzzk&#10;c3cXeULc6bMOryk3btIoc9O+LyBlNYkUcnJEIZnHSoe8Y7WjaUS+kuKUlIw0WpqyylvpEubTolJR&#10;GshpJ1YHhC4tkElkmp6bnHmz0O01evoZKJpv2YYumxMv5tFz2x3xkifDAf0qXoK+yXwa1KPLME2v&#10;A1nOItYHx+lE5PN3F3lC3LffbpmGDXm8IlWWxytU9aZ9p8DXieITwphOhzSHNP7+/e9/r5ofp8PJ&#10;fKSZV53y9alSiJPymrzfKqzThTjHcZzO4623n695/oJmhLjt27fvgY33RUtuqatPb847juM4jtM9&#10;zJm/QD2Xu1GIGz72GHPz3nEcx3GccsCzVj57yxLiJh1/sLl57ziO4zhOOex74EE1z94Bg4fO6no8&#10;m9emrWcNwmb8SacdWlPuqBPHmpv2fQXIS/L0LEhDUrBBOtPwsyyr86ROqoKsBNFHC0s8SasRaQto&#10;cUqfPoafU4IdTxPLOV2Lcpd1gl0qDeS0k6qDccMJesgD5NhYVs9NzrxZsL8A68LKkwNPQ2P/WB/m&#10;ObVecuLFPFb/2h0vmS/VR4wf0ptck8iPPscENvZNrwPEDLGUY8LPuJfqq+N0IoOH156sXvTs5hUT&#10;4n5/xeXmxn0ngJPhKkOrAvGMr0CFkAZpjAIc81N4w32c4sb7OMVNvpJUlgGoC/WjDMU7fMr29Sl1&#10;Z55x8u40lJUnxaEsfoeYh77IcsiL+zI/Xs+Ke6xPv+rVcRzH6f1s2vxGzfN3F0NHVv6uN3RRiNMn&#10;0Qwff6S5Qe84juM4TvupF+KG4d9u5V4U4vCKVNkQXqGqN+6d8pk5c97uf5TjZyuPUy4TJkyrxvvv&#10;//6/melOPliz//zP/zfsvfegcN55N5h5HMeJUy/EDX0Uz+bca968cbOwKS/rADNmjjI37x3HcRzH&#10;KYdmhTgIcLIcTozTG/ZOz6OFOKcc5ElpfvJYPRDuKK5Zp7w5jtMarQpxsiyYt2CeuXHfKUhRzEKK&#10;bxDJKMlZSClOtiFfpWqBcjI/KeobkCfYAQhxVj4C0U7mdxzHcTqDEoW4PbHxfs6Fl9bUdejkE8wN&#10;esdxHMdx2o91cmvXo7u8a+7ch0diU14LcUcec465ee+UyymnXL77H+b42crjlMvIkVN2x9xKd/KR&#10;scTPVh7HceLo01mbEeL+cHntxjo461wX4hzHcRynndQLccNmdz2ezYtC3EHjRtaUO/+3E81Ne6dn&#10;cSGuPfD1sziBzErv7+CkOa47nAJn5XEcp3n0M7jo2c3ru2+2zrI245ffv9TcuO8kIL1JkQzSG2S0&#10;xx9bXpeXp61JMQ4nxyEvhDmWl2V4GpyW1fC7PhlOg3pRv2wPEhzL8sQ5gv5BepNyHsqiDnlqnOM4&#10;jtNZbN/+ft0zeMCQYRMrf+cbuijETT/z3Jq6pkydYW7QO47jOI7Tfm6/656a5zL44cARe3Q9vsu5&#10;5nYJcbqhKSdeYG7eO+XSiUIcTlZDf3HSmpXe23EhrjxOOOGiahyxJlzodJzGwWmstc/foasr36ns&#10;65prxs2++LIxqg4X4hzHcRyn3ejXlRdtqm/ccuZIbMbr02lciOuduBBXPhC8GFM//cyGry3Fq1Ct&#10;dMdxWmPcpFE1z+B9Bg9dWPnOFV4Q4t56+/nashUeefx+c+PecRzHcZzysIS4fYYcOK3rMZ19bd++&#10;fS9svONEOFkXTozTm/OO4ziO43QP3SLEzZmzYuKlly2ta2j6aX80N++dculEIY797dQTwVyIcxyn&#10;t1CGEDfrwtGqjmEBkpy1ee84juM4TjkMHVUrthVtqm/YOnMiNuNrylRYfNvx5qa907O4EFc+MqZ+&#10;+lk98nWyOCnOyuM4Tms0K8T913dbZz//4mO1ZSvgnrVx7ziO4zhOuehncCtC3PDxR9bUdcnsOeYG&#10;veM4juM47eeBlatqnsvgXwcesGfX47ucC0LcBRfdXNfQ6WddbW7eO+XiQlz340Kc4zi9BbyeXD57&#10;BwwZtq7ytyn7mnfN+IUzZqr/Ub8CXqNqbd47juM4jlMOWogbMHjYsq7Hs3lBiHvi2VNqyoCl97oY&#10;1Bu5+LKh1X8vfu97f2emO42DU88Q0+Ej/sVM7+/g1DzEB6fEvfbWKWYex3FaQwtxRc9uXhDi8HpU&#10;WRbgNarWpr3jOI7jOOWin8GtCHG6rjnzF5gb9I7jOI7jtB9LiBswcNheXY/vcq4rrnho2jmzFtY1&#10;BEnO2rx3ysWFuO7HhTjHcXoLWojbZ8jQ7ZW/TdkXhLipMw5WdQwzN+4dx3EcxymPEeMbF+IeeGRq&#10;TRmAe9amveM4juM45XLUiWNrnsG5Qtx3321buOS2xTVlgbVh7ziO4zhO+ez/89o3pAwYPHRW12M6&#10;+9q+ffugNe+trakH4FVt1ga94ziO4zjt54mnnql7NrdFiMPrUXVDeI2qtXnfaey996BCeevv//6/&#10;VfNMmDCtLo3lmTZp0lnhH//xf+8WqvDzCSdcVFdOctlld1bb/4d/+B+7y6HemTPnZQtxaPef//n/&#10;7s4L8DvuW/kBx4V2AMvjvowH+6fHhXtIQx6UZ1oM2f/zzrshHHDAodU22Q+AGOy77/BqfcwrYTso&#10;g99RD/KzDnzid/YrRqocxsX+WGWLYN1yPjkupMm8WBvME5srlEM6Yi7vc+0xrqhLrgHOkSxj0cza&#10;keseMWMfAdKYT66L2Jxa6wvzgXpia77MdYB1KOeqaOyNzK8EY8GYZB9TY3QcUIYQd/jRI2rqGDL8&#10;Z+bGveM4juM45dGwELdl5jS8HlWWAS+/fqq5ae84juM4TrnUC3FDH+16TCcvCHHzFsyrKTtiwhHm&#10;hr3jOI7jOOVTlhD38iuv1dQDcDKNtUHvOI7jOE776TYh7qTpl9Y1ZG3cdyIUgVLiENJjeViechfz&#10;amKCDQQaKdZopGhkiTMQflLtAtShywGmQ2qipENQJ/KgfikqaRgTKT7FkP3X7VlY48U9piOmsXrQ&#10;55gMBXEsVo6SEn+3yqdI9QkgTYthjC/SdJ+lMKfjwXlHHrlONFJQk7SydlgO695aH8wn58uaT8Qi&#10;tf6B9d0pYx2g7dRcWWNvZn5ZzspPdH7HIVNOvEA9fxsT4uZfM27ZmCNqhTi8ws3auHccx3Ecpzz0&#10;87doUx1C3FULp9SUAW+vPcPctHccx3Ecp1xOOu3QmmdwI0LceRdfVFP2sCnHmRv2juM4juOUT70Q&#10;N2x212M6+4IQZ226Q5KzNuid9jJq1Kjq3hk+rfR2s2DBgrD//vuHyZMnm+mO4zhO92DJ6nsPPGDQ&#10;rqd3SReEuEOPOrWmkSHDJ5gb950IxZ5WhTgC+YinREHakbKQdXqULC9PoLPEG0sooryFvChD+Qdt&#10;ob8sa/WdaQQCENpAPQB50CekoX6IVywL6Qf5U/WmYor6UB51SmFJjhuxk2WAFKEAx4001CPHbAlN&#10;yMP68cmY6rJEl0+BmLAc5kWKURhnTHzT5XgfeSiLWVIb1w7HI9vE/HNtAGsumM4Ysk85a0eve/yO&#10;MQKZX86XXr9yfIiNXl+y/7ps2etAti3XoJxDPU8yLTW/gPWhL/w7gDxoCzGQeR1HUi/EDcNayr4g&#10;xOkTavC7tXHvOI7jOE55aCFunyFDV3c9ns0LQtzv5k6qKXPQuJHmhr3jOI7jOOVz+qzDa57DRc9u&#10;Xv/5n1uXzTj77Jqyx06bbm7YO47jOI5TPjiZVT6H9xk8dGHXYzr72rlz50i8HrWmngp4jarenHfa&#10;D2S0yrRUP630dsP2wYoVK8w8juM4TvvpJiFu5azRh0+taeTAQ440N+47EYo9lvRDkB7LI8UgS7yR&#10;4g6FHSvNqhvijBTqtBQkBR0p50goBkHI0WksC2Lj5/hwEpiVblFUZxHsM9BpMmYYkzVu9tkSjWTd&#10;Op4A9ygvAZ2eggIXPq10KWFJ+RFY/ULM8TvKaMEKFK09lKFwpmPR6tqRbeNnnU7kfOl4U7ZE36zx&#10;AbajYyrrbWYdMLbAKsvvHuU10Oz8yr7Gxuk4MawTWitrKfuCEIdXpMryeIWqtXHvOI7jOE556FeW&#10;FwpxW8+cpTfix00aZW7YO47jOI5TPq0IcXojHifGWRv2juM4juOUD05mlc/hZoW4RUtuqa2ngt6Y&#10;d7qHnhbiZsyYUW3/Bz/4QVi/fr2Zx3Ecx2k/ENP1s7nyb/WR1Yd3WReEuOFjj6lpBL9bG/edCKWZ&#10;lLyF9Fgeloc8o9NIrLyUcmKiDE6eYh4tFLF8rpCkxR/ejwk+gBJQSlrSsN5UTFPIPusxyzR5qpeE&#10;IhfQaRQMU/Ml58VKt0BsWEb3WRITvFBeymtSWNMiJclZezIWUu5qde2w7aJ1kZpLzkVqnbD/Wspr&#10;dR0w1qm1L2llfuVcahHScYqYftofa56/4IcDR+xRWU9Z17z54x/d98CDaspPOv5gc+PecRzHcZzy&#10;wPNWPn8HDBm2ruvxbF4Q4vSr2o46cay5Ye84juM4Tvmc/9uJNc/homc3L0uI+/0Vl5sb9o7jOI7j&#10;lI8W4gYMHras6zGdfe3YsWPiORfW/p/Th48/0tycd9pPTwtxjuM4Tu/gg63bap7NoPJv9Ym7nt4l&#10;XXPnrpqNV6TKRvAKVWvjvhOhwJKScpAey8PyKbEo1kZO2ZRQxPK56PK8nxq7FPIgMMXkI0lOvSlS&#10;Y06lWXl0Gu+n+oa0WPkYss0crDmXdfCksdTaaGX9tLp2ctoGsfYB7+ciy6bqtfLI+1Juy12jsq4c&#10;dFwo/wG0KeVEx0nRqhB32W/HPKPLz5g5yty4dxzHcRynPJoR4vCKVFkGJ9VYG/aO4ziO45SPFuL2&#10;GTJ0e9djOnn957fbHq0tNywsv3+puWHvOI7jOE754FXl8jncrBA3/cxza+o5dPIJ5ua8035ciHMc&#10;x3FAjwlxRx5zjrlx34lQ7EmJMUiP5ckRg2Jt5JRNiT885SoHCFZawmFakRSEE8p0XThhLCb15NaL&#10;8qiHcbDQY07Fw8qj03g/1TekxcrH0DEqAuO26uGJfCQlTrWyflpdOzltg1j7qI/3c9Cn4MXqjeWJ&#10;3c8RPEGr8wsJT0pxALGLnf7nOOT0s66uef6Cfx14wJ6VNZR1nXfRmBd0+bPOdSHOcRzHcdqNFuKK&#10;NtU3bz1rthbisDFvbdg7juM4jlM+v5s7qeY5nCvEvffey3X/R7RHHr/f3LB3HMdxHKd86oW4oY92&#10;PaazLwhxU6bOqKkHv1ub8077cSHOcRzHAZYQt8+QA6ftenqXdM2du3KhbgQn1lgb950IxZ6UIIX0&#10;WJ4cMSjWRk7ZlPiTc4pYCtabGjuhvMY2AX62ZKScelEX86XQ9afiYeXRabyf6hvSYuVj4FWYLBPr&#10;Vw5amkoJW62sn1bXTk7bINa+fI1ozvrTxOqN5Yndj5XVlDW/EOAYO5L72lanf2IJcQMGDtursnay&#10;rrNnHbJGl5914Whz495xHMdxnPI4bmrjQlxt/mHVjXlrw95xHMdxnPJpVoh75PH7V9eWGxaef/Ex&#10;c8PecRzHcZzymXH22TXP4SaFuGl4Raqs55LZc8zN+U7jtddeCzNmzKjKZXvsscfuvakf/OAHYfLk&#10;yeGpp54yy+E+8qEMfkc9yM868Inf169fX1eWLFiwIIwaNSr86Ec/2t0uQF8uv/xyswywhDjkZ7vo&#10;i8wvQZvMJ++z/xi37Afyy3xAtqXTwIoVK6rjkrHA77hv5Xccx3GaRz6bd1GyEHfBhUtu141gg97a&#10;uO9EKKekpBykx/LkiEGxNnLKpuSdnPIpWG+jQhKkHgpV+MTpVzK9qF45JvRdS1+pMafSrDw6jfdT&#10;Y0ZarHyMnH4VQekKMaUYZ8WXtLJ+Wl07ueVTceH9RtcfSNVr5ZH35el0uW3ntNcI6IM8DbCZGDj9&#10;g3NmLax5/oJGhLiTTz14gy7/h8vHmhv3juM4juOUR70QNwz/3Re9nnxuet2/uxffdry5Ye84juM4&#10;TvlctXBKzXMYdD2mk9cTf1pR939E27T5DXPD3nEcx3Gc8jnv4otqnsP7DBm6uusxnX31ZSGO0lYK&#10;S+TCPaZDGovVA9nNkuIolaWQwpvEEuIo6IGUTEf5Dp+8h7KpOOjxn3/++bvT5H1A4S6Gzu84juO0&#10;xpDho2uezwMGD51V+Xtb3jXznOuWywZAXxTiYmIPZCSkA0tayRGDmEeX33ff4bvrlvclkMWYR4s4&#10;snxMmkrBss3IOKl+FdXL0+Ege1npKfkolWbl0Wl8VWhqvuTpdVa6hZSs9Osyc0B5SoaImzxBLVYf&#10;15V+nahEjkWukVbXTs66B6n54lyk+h+j1XXAWOeeztbq/Mag+FgUR6f/csFFN9c8f8HeAw8YVFk3&#10;WZcLcY7jOI7TM0ydUS/E/XDgiD26HtF1170rp9b9u3vpvSeaG/aO4ziO45QPRHT9LE49u3ndfMeN&#10;df/udiHOcRzHcbqP319xec1zeMCQYeu6HtPZF4Q4WQdYtOQWc2O+04AIhpPR7rjjjhpxTUpuUh4j&#10;UogDyMvT1FCPlMZQvy4PaQ2nseFTnkKHk9pwmhrLol+yHLCEOGDJbhLUzXrlyW9sD+VkX9A22mhE&#10;iGPMMGaeVId4oD2MV+d3HMdxWqPtQtyMM658UjYAsEFvbdx3IhSDrJO48LsUh8oW4nDSGuvG6WAy&#10;DUCKorgDtPgjpbRmpLZWyqaEJPY5Jg7xZCwIUVZ66vWUqXatPDpNzifiq9PlnFjlU+Sc6haDa0TG&#10;RMps1lhZBmBcOh194Fzo9dnq2mHbul5Nar6KxpciVa+VR6cVrQPEDvMp01qZ3xi5cXT6L60KcSdO&#10;G/mpLm9t2juO4ziOUy4zZo6qef6C1Kb6kjuPf0Dnf+CRqeaGveM4juM45QMRXT+Lc4S4BTdcV/fv&#10;bmuz3nEcx3Gc9qCFuNzXnsvrT08/e35tHcPC7XfdY27M9yVS4pcU4iCBSZGMUFxrVASDQEaxDH3Q&#10;6TEhTp46Z/VHpkv5j/cs+c4iFhcZE1m/4ziO0z70Ca4DBg+bXfk7XN41dcYfnpUNgEsvW2pu3Hci&#10;UgyC8IKToHAfMg0FGFK2EAd4ShYkG8hYuAfZRr6WlFjij+wjJB8p8GAsqAftWydhsVxKiEIfIC7J&#10;evGzlINkfsDxIo3lEGfGVgpvaJtyEfLK10gCPWYpOVnx0Hl0mjzpC2NgHbiPvjCN6PIp5FrCvCL2&#10;UpxCW4iljAuQEp4cE8pyDVjyIONMEDvGWM4RsGLVytph2/jUaRI5F7oPaIPjwyfiz/4D9AdrBWPX&#10;wmiqXiuPTkPdTEP9mDumYdz8Xsq6m51fjAtxkvnxKb8HenyOQ/C81c/gyj/oR1bWTdY1+cSR22XZ&#10;IcN/Zm7aO47jOI5TLmedWy/E/evAA/bsekTXXbfedWLd/xHt5ddPNTfsHcdxHMcpH0uISz27ebkQ&#10;5ziO4zg9y7wF82qew80Icc8+98LltXUMCw+sXGVuzPclpOClT0mTaTGRLCXUFRGT3lJpkNDY3owZ&#10;M2rSAE+Qw4lw8j7lO30/RmxckPB4P/XaVsdxHKc8Dp18Qs3zeZ/BQxdW/g6Xdx039Tcv1TRQoS8J&#10;cUCeFqWB4EL5xxLHcsSgVHmIM5SCNLgvJRxL/IFYI8WmGNYJYkyz+kVkHRZSJCKyzxL2v6jPKZEL&#10;v8fSrDxWuhTQNGhbikpW+RSpuiUUvxALzr8lnslY6nniukKfU/GMzW8raydn3YOi+UqtfwniKsu1&#10;ex0Aa9yNzi9A/K08BHMg23AcyezL76t5/oIBQ4ZNrKydrGvCxJ9/Icu6EOc4juM43YMlxA0YOGyv&#10;rkd03fXH+ZPr/t3tQpzjOI7jdB84mVU/i1PPbl6/+f1lO2SZEROOMDfrHcdxHMdpD/VC3DDsvTR0&#10;3ffgyqt1HU889Yy5Md+XyBXidJqVx0pP0YwQB/j6U30qnXxdqhb4IM8xDeWt0+UkKdGP0h1APr42&#10;1XEcx2kPWogbMHjYssrf4PKuScf9+jXZALA27TsdSCs8FQpATqJow1PLrFOcmGbJTCRVHkCegXxD&#10;MQif+J1SDfslT53SQNShpEQg2qBtLRMRtpc6nQoxQF9kbPAz7qX6A5FLylbom5SEIGPpmCM/+8q+&#10;6TbwO/PH2mce1GGlA4yL8wLQD/QH/UI/i8qn4HzKsaEuxACCpYwDfme6vC+R82rdxyd+T63hFM2s&#10;HcYOn1Y6yZkvrgW5XgD6hDhaYyh7HSAP60uNGzQyvwDjw3dMxxi/p757jgMsIW6fIQdOq6yhrGvU&#10;YT//VpYdOmq4uWnvOI7jOE65zLpwtHh27yK1qf6b2UfV/bv77bVnmBv2juM4juOUjyXE7T3wgEFd&#10;j+roNfP8WTX/R7TDphxnbtY7juM4jtMelty2uOb5Dboe09nXktuWLtJ1vPxK3xGdIG1BCqNoZtEu&#10;IW7BggVVCQ0CG/NKGhXiILuxrOwXX5eK0+BkfjJ58uTd5QD6gzLWq09TQhzySykOoJ8Yp87rOI7j&#10;tM6UqTNqns+lC3FHTJm5Tjbw4wMONjftHcfpXihY4dNKdxynbyCfwbtoXogbMd6FOMdxHMfpDi6+&#10;bIx4du8italuCXHWZr3jOI7jOO3hiWdPqXkOgxwhbvqZZ9b8u/vYadPNzXrHcRzHcdrD8vuX1jy/&#10;wQ8Hjtij61GddV1+1TUrdB1r3ltrbsx3GvJ0tBRlC3E4hS0mwUkaFeIAX4EKyY33KKnJexr0V4tx&#10;KKdPect5FSwEOPaT5L6S1XEcx8ln+pnn1jyfBwwe+mjlb25516jDfrlVNjBk+ARzw95xnO7FhTjH&#10;6R9ARJfP4cqDftauJ3TxdcDBB/2nLHv40SPMTXvHcRzHccrlD5ePrXl+72LoyK5HdN116q8P3yTz&#10;HjRupLlZXwYbt54VNmw6M6xbd3pYt/a06uf6yu+btsw08zuO4zhOfwCvKpfP4l3En928Jv9y6ney&#10;zIyzzzY36x3HcRzHaQ+PPH6/eHbv4l8HHrBn16M667rwt7Mf03V8sHWbuTHfSUhhDfKWfpVoSnpL&#10;pVl5dBplMchr1qtFU9JbKg1Q8uNpcPJ1qUWvQwU45U1Kb7qdHCGOoG2+xhWgrJXPcRzHaY5zLry0&#10;5vlc+Xf66srf2/Kun4899mPZwIGHHGlu2DuO0724EOc4/YN6IW7Y7F1P6OJr8M8O+i9Z1oU4x3Ec&#10;x+kerpg7rub5DQYMGTax6xFdd5102oSa/yPauEmjzM36Mtiw7vSw5s1fhbdXTwtvvVRh9clhzZ9n&#10;hLXvnRY2bj7TLOM4juM4fR28qlw+i0Hq2c1r+LjDa/7dfd7FF5mb9bl8+/WW8M1fNoavdr4f/lrh&#10;6y/Wh2/+uil8980HZn7HcRzH6e9YQtyAgcP26npUZ12WEGdtyncaWhzTtEuIg3DG+3gtqUwjrQhx&#10;kN5YPyQ/Cmw4kc7KH0OenifvNyLEEZ5QF+uz4ziO0xyXzJ5T83yu/Dt9XeXvbXmXFuKGjz3G3LB3&#10;HKd7cSHOcfoHOJlVPof3GTx04a4ndPE1ZPjPaspOOv5gc9PecRzHcZxysYS41GvPjzppbM2/u486&#10;cay5Wd8wOA1uy8zw/vunhbdfnR5ee+qXYfXDx4UX7j46PHfnpPD07UeFp++YFJ5bPjm8/NBx4c0X&#10;p4X31pwWNmw+o3qSnFmn4ziO4/RBLCEu9ezmpYW4319xublZn8tXn78XPv/gtfDJ+pfCJ+teCJ9u&#10;fDl88dFb4aud68N33241yziO4zhOf+b5Fx8Tz+5dNCrEnXPRpatl+eHjjzQ35TsNnlwWE8UgqyEd&#10;lCnESWENrxaVaQDCHF+n2owQByigYYysC4KblTdGTHxrRojL6bPjOI7TOFqI22fI0O2Vv7flXUMP&#10;OeoL2cChR51qbtg7jtO97L33oOp/XOHTSnccp2+Ak1nlc3jA4GHLdj2hiy9ZDhw31YU4x3Ecx+ku&#10;9HM4tak+/uhR22XesoS4jVvODO+tOTW8/vRJ4YlFh4d7zj84LDvjoHDXmcPDnaf9LCw9dVhYevpB&#10;lc+DwvJf/zw8dt1h4ZXHTgjv/vlXflqc4ziO0++Qz+JdFAtx+/98dE2ZeQvmmZv1FhDcvv16c/jy&#10;szXhs82rw7a3/xQ2vvBAWPvEneGdh28Obz18U3jnkVvD2j8tD1tefSR8tuXV8NUX6/20OMdxHMcR&#10;vPX28zXPYrD3wAMGdT2qs67jTzl9jSx/6OQTzE35TkMKb5C8IKLhPoQ1+ZpPUKYQB3AqHe5DXGN5&#10;tA9BjmmgWSFOjo3o17ICtA1hDvllOk6WYz8QC1kmJcqhTxgDY4lP2Rf8LMs4juM4rTFn/oKaZ3zp&#10;QtzAYWO/kQ24EOc4juM43QdOZpXP4Vwh7ocDR+why4EZM0eZG/aO4ziO45SPfg4PGDx0Vtdjuu46&#10;YNSImn93nz7rcHOjvlHeX3taeOO5qeHp2yaGpaf/LCwcvV9YMm5Q5XPfsKjyM7h+zMBw8/jB4bpR&#10;Pw53nn5QePKGI6onya17/3Szzr7Oa2+dEn4xce/wve/9XfV/zMbnL0/+t5o8M88ZEv7nnt/f/T94&#10;Dx/xLzXp3QX7ePFlQ2vur1g1OQwc/E/Vfj313Ik1aa0Qa6+7yZkjpzPBmu3J71RvAN9fxADgZytP&#10;O8H3C/HH35A7lx9h5unLDB4+PPvZzUvmB8vvX2pu1lt89ZcNYedHb4aNLz0UXrjhD+Hhy2aEFRed&#10;HFZcODU8cN5J4YFZJ4Z7f31C9efH/nhO+PMDi8OH7z4dvvj4nfDtN1vMOh3HcRynv7Fp8xs1z2LQ&#10;qBB35HEnb5Dl+4oQB1mLJ6lZyDQtvUnZTadZeXQapDGmWaReMZojxGFsuj4rn+yjBaQ4LdLlnBxn&#10;EeuD4ziO0zz1Qtww/M0t79JC3JHHnFO3We84juM4TnuoF+KGPtr1iE5e/zrwgD1lOXDWuS7EOY7j&#10;OE53se+BB9U8hxsR4s7/7URzo75R3n3zV+GZOyaFey86JCw5+t+rMtxtEwaHJWMHVn8GN40fHP4/&#10;9v48WKoqzfvF//tFR93bUVX39v2j3z+qjb433hvVN6KtCBvt6hYO4IDnIIIyoyCiICIiIDKK4ohS&#10;g9brPDCDoogTCiLiPOGEosg8g2iphVZpaen79vrlN8958Ml1nrX23pk78+Q5fHfEJzLPXvOzVp7N&#10;yf1h7eVnn+QWF849cNEp7unf93dvPznS7dx+uVlnJWjRIwuQz6z6qsG/HvuPZh8kHTJcLF1EuVoI&#10;WtI2+qTP6z76aZVQjTrLIWmOSPsFEhbmEq9W+tEAJDRZ020hpOn2j8Z5yCrEWX93ZxHivv58q/v4&#10;w+fdOw/e6h4eN8gt7N/FLSowr2/nI+DcksL1esmw09zzv5/utqx90H2x++3iznJWnYQQQsjRhiXE&#10;dereNLzlcp3qGDB81CFdfuS4bI/erGcgjkHkkseKAohb8ihT2SUNu8bpcvqxp36anwd1WOmQ0fRO&#10;dMh3wQUXFAU02VXN350NSBkrTaPrju3MhrEir4wVIAZ4xKrs9KaRvvnjkt3gRNgT8DN3hiOEkOqw&#10;YOmykms8wKYwhd+/+Rx+5SMvvta8YU8IIYSQ/Ol3zriS63BaIa5n356ddTlAIY4QQgipHd17nV5y&#10;He7Urenmlst0q6Ohqef/1Hl/e/sI80Z9Vja9falb/bv+7v6Rp7j5AxqKu8DN79vZzT3rRDevX/ON&#10;duwat6h/Ia3fiW7JiO7usem93MtLz3Xbt1xm1lkJWrTIAnYAs+rLm4VLBx5pU6Qv7JaE85JHdiXD&#10;DkpIwzmRVmotkvh9FWQc6GueQk2ovbTksfuXniPZqc6fI9J+oRDX9kIcdpWU33NtvRtkW9BzYJ+S&#10;a/fx3RrnF2IRPDo1NP2qJH+B515cZd6st/hi15vuvUfvdmuuH+8Wnn2Ke3Bw9wLd3P2DurqlYGBX&#10;t6zw88Nnn1S4dnd2T0w737295Ba3/71n3d++6bhC3B13zCmuwZ///KeZ0srl3XfWHfnc4b2V52jg&#10;xRceL8YVcVj5xFIzDykfiS3WsJVebaZNvdSdemq3Nmu/EpYuuavY99EXDjfT01CN3x31zqefbHYD&#10;BvQuxg6fbytPR+Hw4V0l12KQVYjrNWjYF7r8zOtuMm/Kk/pC79hmiW2EEELaP8sfW1lyjQe5CXHW&#10;49YmTP5Dq5v1hBBCCKkOeFR56bW4cUPLZTp6nNSr8fTSck1u9pz+5g17QgghhORPY9/SXWZiN9VL&#10;8hVY9NBF5o36LOw9ON1teHa0e2xaL3cfRLh+Xdzclt1m8KoppuExqkMa3LKLTnXr7hjktn7QLHvl&#10;DQQPHzz+shCGIlZ6rR4bCNELfQgJeOiL7qeVpx52iKsWlbaXh+yUNEekfUMhru2FuKOdgSP6llyP&#10;k4Q4PI6tJH+BN99+wbxZb7H3rdVu7eyJ7v4Lern5A5sfaQ7mFa7LwgLsGjegwS0Y2M09PHaAe+53&#10;U9yOF1e4v329z6yzGkCkgIjyf//zMUfW53HHHVsUbKohkM2ePfNIO1nSygXjkzo7ujQSQ8cW7608&#10;pHzaOrbSPrDS6xkIXdL3cj+j1fjdUe/o322IoZWno2AJccd3P218Yeypj1PPGvyNLn/jzbeZN+VJ&#10;fSG73mHXOSudEEJI+2f12nXq+t4MdmtvvoJXeFjbvk+ZcZd5w54QQggh+YNHlevrcKfuTbtbLtPR&#10;o0tT0xhdDvz+lgHmDXtCCCGE5I8vxHXq1vRoy2W65LD+7q5UiNuzd6rb/N4E9+qD57mHxp3mFvRv&#10;cAuxC5whwwHsFofd4+b17eIWnN3NrZrTz21+91Kz7mogkhOw0msFJDb0ISTj1JuoIn05moS4pDki&#10;7Zs81kh7h0Jc23LexQNKrseha7ccfYcObfUf0fDYNutmvc+3f9ntNq1e6B6+dHBRTNePSfWv0Uif&#10;P6CbW3zuae6JKSPcB0/Nd99+tcusN0+wu5AWUUJAjLPKl0tMXKmG1HI0CHFpdsfC2JEOOmoc2hJZ&#10;Y20lxEFiRfvYMcxKr2fwOwZ9h5SL30s6Le0Oj0ejELdt2/o235mwlvjX46xCXJfGPt/r8hTi6h88&#10;BrUwdUUefvhhMw8hhJD2jyXEYbf24gW80sPa9p1CHCGEEFI7fCHu+O6Nh1su09GDQhwhhBDStvQe&#10;lE6Is/7uXvHkxeaN+rTs3Ha5e++FMe65u4e4B0af4pYM7OoWFx+ZWnqTvZQTC3m6FnejWTmrj/vg&#10;lbFu/yG7/rypFyEuScahEFdZe3nITnnUQeoXzi+FuLYmqxB3Wr/Brf7uThLifvjbIfftlzvdH7e/&#10;5t5ecrN7YGRvt6RwjZadXH2KklxRXEf6ie7B0X3dOw/e5v765Q6z/ryAdCICDYCIAqECohTA+zx2&#10;bbKgEJc/R6MMVG9I/NtKiOuopP388jPQ8TnpjH4l1+NO3RpnFeY79aHLggVLl5k35Un9cNJJJxU/&#10;09glzkonhBDSMXjp1ddLrtEgNyHO2vb92usfMG/YE0IIISR/Rl58bcl1OK0Q19DYOK20XJN5s54Q&#10;Qggh1aG1ENf4fMtluuSw/u5e/dw480Z9WrZunOjWPzbSrf5NP7f0/JOLMhwet2bdaP8RCHENbkG/&#10;BvfI5Cb3+orz3Zb3JxR3m7PayJM0QtzsOY3F9F69/6X4M8rgsZk496/H/qN7dX2zRLhx88RiXgg1&#10;8vhSgLwou3DpwJJ6gdSTJ+iD345w+11nFvsiedFPPDZWxpAWKe8LanjErKSFHjeL/iFuks9CYi3I&#10;eWkPrzrGyG+1lxRfv/8WSXVIuzJ25MfPmG/pI171/Ms8+HHA2onNn8yd5EE9ug6ka5EJ84r5lTGg&#10;H2nGLOV0jPE+tFak/lDdWrQKrQuUlXasdPlsST1A4oXPnlUmy5xI3XiVcwLiLGOMzY9PteYZ763f&#10;JwLmCDsaoh3pN5A5DM1BSIiTOpIexyyx9ceG/kt8gfQjtpas+GCesU78WOBcaA20J8ZOHlJyPQ5d&#10;u+U4pU+/Vn93WzfpNd9/d8AdPvC+2/Xq4+6l/3GlW3puo1s6sGvx0aj29bkZiHFLBhau5+ec4l6/&#10;d7b704H3zPrzQstueFyqlQesfGJp7juKUYjLH8pAbY/En0JcvlCII0IlQtyxDb1/psuC5Y+tNG/K&#10;k/pgz549Rz7Tt9xyi5mHEEJIx8AS4vB9evEiXulBIY4QQghpW8oV4k4+o+ma0nIU4gghhJBa0n9Y&#10;75LrcC2FuM0bJrjXlo9wq27s65aMOMktSnhkajMnFvJ1cQv6dXYPju3hnrtrsHt33UVu+5ZJZht5&#10;IhIOsNKB5IHQAYlD8gsijojEEgN16bq1rJIXfhuC1XcB/QhJMhZSzm8rJNQIvhgUArHU5eQ8hJxQ&#10;HdYYkuIbipUmqQ5pU48dApDOA6QtiD5+mo8lZQGRimJxAOgLhKlQ30P1Ay1/WVhxlrUP0UmfF+Rx&#10;syAUcxkP1qk+j7aS1g3atdZv2jkBEls/Noij5Ec/0opXec2zvLfAmKzySWsWWJ9PHS+dLvOLenV+&#10;jY6TlvViv3es8Uuav04Q99g6SPNZrnd8Ia7w9/eGwtiCRzlC3Hff7HOfbH3VffjUAvfM7AlFwS2t&#10;ELd0QFc3v5B33e+muL1vrXJ/+eNH7m9/PWC2UwlaMEnzeEU8ls9/jGElUIjLH8pAbY/En0JcvlCI&#10;I0LvwcNKrsedujXdXJjvVAeFOEIIIaR+efe9jSXXaEAhjhBCCOkgjJ1wU8l1GLRcpqMHhThC6oum&#10;ph8Fjf/r//rfzTzV5vobTi+2jT785Cf/Pzdy1H+Y+Qgh+XDO+aVCXOimuvV390tvVLbLzraPLnPv&#10;rLnQrb11sFsy8mS3qH/XFEJc5+Iucrghf//oU9zTv+vv1j9+gdv24WVmG3kCiaIQiiJWOtB5AOQb&#10;iCgQRpAmuxxBGoHggTS98xHyaZHDEmpEerEEERASVTSSbokhegx6Zya8iuziS2gxQm3F+qn7AFlI&#10;4qDjExq/lBNQl5TXAldIyEqKbxqyzBFAn9BPnMd4JR54j37iVUtcei6AtQOY9EFAfplLLWBJPPAq&#10;0hTyaTnJqh/9kXTUrfuH/DJPqFevY7Qh5SwxDeOVdNThp6Nvki79BVqCQpt63aCMXlNoQ/cJpJ0T&#10;YM0vxiKxRD/8+mNUa57RZ4kJkPMa9Blzjbr9edLj0WWAjpeODeqR81Z/gawt/RnU68maO4xL8gqS&#10;H+n6PMrjPPqv+4A20Lafvz0yZdY5Jdfjqghxf93vDm58wb27/E739LXj3KKhpxZ3aA09MvVHmndy&#10;nVe4pq+68iK38bH73KEPX3TffLXTbKcSIMEVhlcEspuVJw2Q5KZNvbTk0avYTQ71L11yl1kGlCvE&#10;oa9oD7vboR3Jh8e9Ype7d99Z16oM8IUa9Bv5pQ684uc0sfAfJQvwM86HpEH0S9rBz9h1D33GObzi&#10;Z8mLuCF+Oqa6Dckn6LnMgo6VxAGx1XX7SD5L+EJc0RfJAzAG5C1HpkR9mBM/1qgT/QzViRghH/qC&#10;n6VfUh7xtvovoF6ZY5kjgHGhHj1XPpJX1y9to986rw/GinzSbwHrQcdA1rq1VqUtvw6AcaFfel1l&#10;nR+pH/2x0lGPzL+1VoH+LOoxyLyhvH8uhuQFGIs+jzUufQZJcx9D6kGfME6ZL2DFG2NDHr2GQnOn&#10;xx77HaTjoc8nxRz46wjgZ+v3dDXnuVLOHjm65Hp8fLfG+YU2Uh0U4gghhJD6ZfuOnSXX6GYa+7Rc&#10;xis7KMQRQgghbYslxOGP9JZLdfBoaGq6xS9n3awnpD1yybguR748EyCcWXnrhf/v//vxpimw8lSb&#10;c875t5I+oE9WPkJIPrSlELd3/9TiY1Nfe3C4W3ZxD7d0YDe3eEBX78Z6a0SIWzrqFLd6Tj/3+sMj&#10;io9NtdrIEy3UWOlA54GMkUWKEUKiiWDJOJqk8kDSfTEE/ZU0S0ABkE0glVhpFqG2Yv0UicdqR4sz&#10;Wh4SJA1oYUrQc2QJQknxTUOWOQKheYqBuRJhyY8tkD4AK44iJQHU48dS12+VF1ErtE50eawZfV7a&#10;9fuN+ZA0wZ8jkZ0A6pLzel5D8dRl/bWRZU78+UXsZKxZZbgkdBzLmWc9LuvzEEPH1E/T9fqxkv6G&#10;1oak68eqSluWfBdC2vfjIjHR9Xc0rvnN8JLrcafuTbsLYw4e5Qhxf/v2gPtsx3q3+Zn73brfTHaL&#10;h/YoXqPn903YIa5f52Yhrl8X99jk89z6Bb91u994yn1zeIfZTiWIzJAk6cSQR6minhAQKizZxhdX&#10;0qYltQcgYvjltJwBgSNUD86HpDqc1zKRBYQXq7xuHwKKLgNE0tHCSwhfUtHCTxZ0nKQOjF/XrcF8&#10;S1lfCoOgJmkWiFta6QoghlY9GvQ1trYQp1i/ICb5ZUGaeIakKitdz2lobWEckkdLiVq68rFkJZyz&#10;0lB/bO2GxuOjx2JJTnqNWP0DMif4rOjzMm9AzqX5PITqsD5nQmjuY0hs0X8rljov2o79rvJ/z+j1&#10;jjHrujTSLl71eSlrzSPmXvoewo9HNee5UioR4k5o6HFMSdkCFOIIIYSQ+oBCHCGEENKBmTD5DyXX&#10;YUAhjhzt/NMx/8eRL9gE7Hh2881nmvnrAQpxhBx9jLjozJLrcOimejWEuCIHp7t3nh7lVlzWVHwU&#10;6uL+DcXHrQHrRjvALnIL+nVx9194slvz+/7uzScucNs+qL8d4ixZKy1Shy96AF/G8YmJKkKofggz&#10;klZJ/zWhtmL9DJXx063xSVpIhkmKT1J805BljrQslpVYO5IWEox0H0I7eYXq11KbFUNByvtilAiP&#10;ft9EWEM5kaZ8iSsk4snOcklCleTzx5RlTnRcIOxVS4YTdHuhtNi4kQ5Cn6cQOib+PMfS9GNv/Xjo&#10;HeT07xgtK6b93SP5/XHJGrF2AuwoZBXi+gwZ1mpndusmveb7vx10Xx/e4T7d8qp7Y95v3NLhTe7+&#10;gd0K19/4Tq4ixM0tXKcfvWyYe/Xu693OVx51X3++zWynXLR8oeWbLKAOET4gPGhBCmlaKsJ7XRZY&#10;8kuaNLQJeQPtaRlKCyi+LAK0kAaQF2WkDl0e49F1Ay0UIR+EEckDYUT32SpvtY8yOI+6RE7De5TH&#10;qxZm0IaOqS+kgVjcBN0PaRNowcWqG4ic5QsuWp5BH0SgQQx0XEPijIWsL6xP3U/UqcdprV+dDjBv&#10;UocfR/TPL4909BVpWgZCHbIGgD/HQNLQBzmHfHI+9HlDW5JH2tSfU2u9WZ8rEZ/8WMscIab+ZxXz&#10;qvsbA23rPvnpskYEK0ZYP0jzJSw9b/o8CK1bn0rnPobEVsDPiCXQ8dPzhvb05xh59e8RHR85j1c5&#10;p9Gx9/su5615lDGjPZTz15FVtprzXCkXjp9Qcj3u1K3p0UI7qQ4KcYQQQkj98vGhT0qu0aDwt/rw&#10;lst4ZQfMOr9yCnGEEEJI7Zgy466S6zAoR4jrfFpP82Y9Ie0NPPazsMRN6vkRoPUgxPGRqYTUFl+I&#10;K/x9fbjw+Wt1VE2IK/D+i2PdY1ecUbyJvgiyW/8uReHNutEOlgzoWuTBS3q4lxYNdR+8Otbt3HG5&#10;WXeeQLoohKKIlQ7S5EmD1GEJLDE5BsREFSFUvxZZ9PlKCLUV66dIS5bUpstZ4oykWbETJI8Vn6T4&#10;piGPOUpDrJ08+hCqQ5dNg19ey096BzgRmZBuiW9axPNFOTkfm3cg9UJi0+ezzInEBRIakPfVkq9C&#10;85CUJkiepNj4xGISS8PnUtL8eZKdCX2BT4uFeEW5pHhKG/64tHSHdkLCZ3vGF+JC1245yhHihK8/&#10;3+7ee/Ret2xkH7d0YFe3MOmRqWc1X8vn9u3iHp9ynntz4e/cntefdF9/ka8Qp+USS6BIg8ghvtSh&#10;0fIJBAudpkUMfT4pLUasnB4z+qwlFUGLXb5wousOCTmx8rr9WB0xEGf0HeWteUsTN90Pvw9Sd0hg&#10;kXRf6pLzljgDdJtW3MshJH4BHQfIRf761HHMKuvE4gckzZ8fLSXp8366lqFkHCFByiIUFzlfrgCr&#10;EXHLir1IUIL/OdCymC9extZvUtyFas69xBBYYxdkLvFqpes+6M+M/v3h/7700/1xyXl/3el4hz57&#10;EjN/bVZrnislbyFu9dp15k15QgghhNQWS4g7vvtp41su45UdlhB305wV5g17QgghhOSPJcThj/SW&#10;S3XwoBBHOip9+/74v679neI6dfqFWaYeqAchjhBSW0aPa3shbtP6S9zTv+3nlp5/kps/sEtxd7j5&#10;CUIcdol7dGov9/aqUW7n1svdvgPTzLrzBNJFIRRFrHSQJo8A2QPiD2QVEUF8LIElSYCJiSpCqH6p&#10;25dVKiHUVqyfOo6IkYgxyCcCEqQ5XUaQclbsBMljxScpvmnIY440kIMgcoko6GO1k0cfQnWgP1I2&#10;Db7YqB+NqoUp+RxAqNJtSLoWnbRIp8ei67PQa0ufzzInEhc9H3l8Zqoxz0DyhD4TiCXmSPJZ+DFJ&#10;ipd8Tv1+yRzjc63PA8y7/7sQAl1oPiSPNS5/jaJejFGvm/bMb28fUXI9ThLimvoNabUzu3WT3uL7&#10;vx5wm59Z6h6+ZGBRhgMQ10PX6Xl9uxR3ksPr6qvHuo9WL3af7XjNffvnXWb95aLlEl+gSIPePSgm&#10;2Oh8fjtaXNHnk9JixKQZnRYTNCSPL8uIAJIkJ0k+XyLR7YfEsTSIlGNJKmniFosRxozzlrSFmEk5&#10;Ldbo8zq/j+SpZOyatOvHF4eEWByTkLrRTto0HSd//aGPkhYSpEIyk09oXCJpYX2GYpIWfOalX7ou&#10;LUFJe/7nSMZkrbHYnMbWraaacy/lYjHUcxnrp9SlpbmkXdlEULNEOynnrzuZq9hYdWz1OqvWPFdK&#10;ayGu8flCW6kOCnGEEEJIfeNfpynEEUIIIR0ES4jr1ND0q5ZLdfCgEEc6KrLDGcAjQCHByc+gXh+b&#10;SiGOkKOPehDitm+6zL2+fLhbdeNZ7qFLG93Cc7oWpTjcdF/cslscBLglA7sWH6ta3H1mWHe3ek5f&#10;98FrY92+A9PNevMmJNJo0uQBkDVCEpzGEj2SBJgkUQWE6k+quxxCbcX6qXeYskDsrN3hgOSxYidI&#10;His+ecQgqY40cwQwxpAcpbHayaMPoTr0Dm+x/seQcckOcNIfzC1+1tKc7PAV2l1Mj6WWQhxetXhl&#10;7WiYhmrOM5A81mcCfdZthPBjkhQvvUZEQgsJjRoRhf14WAKdpIU+6yL66d+1eJ80v+2B1kJcE8YX&#10;PCoR4sDOVx5zT115oVsy9NTio1AhwyUJcfMHdHfP/366O/j+Ovf1F1vd998eNOsuFy1AWFJPEmnl&#10;FCA7IfkSR0x+iaXFiPUrbZ9DsoyUTYqXCCK+CJK2/SRC/QNp4hbrh07zpS2R5XwhULeZhqT4pSU2&#10;1jRxkDwxUSiE1G2NJZYmnwVfHsLuWlJOi0cQpKQMXpEvJGIJofWhhTzMoT+/WdBClN4ZTCQofAZC&#10;QpRIXX4MQGze0n5+qjn3odhqdD/T4NclbfifMy3LWXMnaf66k/rSomNbrXmulElXXFFyPaYQRwgh&#10;hHQc/Os0hThCCCGkgzBz1vyS6zCgEEeOVq688rQjX7oBPAIUj/3U52KPAdU7yqEuyHPYcU6fx/tL&#10;xnUxy4PJU05yTU3/0kpwg6gHOQ/pVrmQEOe3rctotAiI9nUaxEBdPx6Hip/9WOhHpgIrVohLQ9f/&#10;pyQf+oVzKO/nJ4SEaS3E2TfVrb+78xLidu+Z6rZsGO/efHKke/p3A9yDY3u4hWc3FEU4keAWD2hw&#10;Dwzq5hYVXhcN7eYemXy6e2HBULd1Yz59SENIpNGkyQPhQwQNSB8QavxHA0odluiRJMAkiSogVL8I&#10;R0Cfr4RQW7F+yu5SKCOPuASIF/oY2+VJ8lqxEySPFZ80glESecwRkHqwXjAef9yxdvLoQ6iOtP2P&#10;oUUsrH/5GfMreWQdyDn53PhyFMpLXbF5B7KesJb0+Sxj8uOiPzdJQp6F1FeNeQaSx4+NHjPy+I8W&#10;jcUkKV56TmS+JE4iQSaBemUNWO3I+aQ5B1pCxqv/O7e9cef8kSXXY1AYW/DwhbiTzuhn3qQP8emW&#10;l91bi39f3PHtodF93YJB3d38vp3dwsL1Gczvh/cNxWt18ZHnZ3V2D114lntz0e/dF3vfdT98/7FZ&#10;byVoacMSd5LQ0glEDSuPEJJIYuJKLA2gTexeFJM9fGlGj9lP01j91WX9RwP6hPqetn0B7UA48R9N&#10;KPjxBElxA0n9kPZ8gVHELAgw+ryIcmnJKmKhj2hDBBsLv0yaOEgeK44A4hnGinQZuw/q8MvF0mTH&#10;LdSnxTaRKP2YA0hJfvuIR2gNWetXwJrS9aBe9CnpM2wh60QLTzIOxE0LXNJXjFnOWZ+j2LwlrVsh&#10;j7kPEYut4Mc4CcQ/VF7v1hYSzwQp46+70O8PC9Ttr4VqzHOlXD37+pLrd+Hv7A2FtlIdFOIIIYSQ&#10;+qZ7r34l1+lO3RpntVzGKzsoxBFCCCFtiyXEYSeZlkt18ChXiJt5ZQ83ZsyJhKTilj+cZa6jagER&#10;rLC8i4g8BqlNzgGIYH45QeeDRKalLx+Icn55/bjWGJZoFhLi/B3uLKEOgp7Og77jPMauhToLXR/e&#10;6zR/jL5c6BOLbb1grVNCkph9Yy9zPVXKuEnlC3HvfnC5eaM+K/sOTXe79051W96f6N549Hy35ub+&#10;7rEZvdxDl/RwS88/2S0+r3txR7hFw7q5+0ef4h6feYZ77p6z3dvPjHa7dk0266wGkC4KoShipYM0&#10;efQuSeXscpYkwEAakfK+QCKE6te7OoX6lpVQW6F+ol05r/OnRcpasRMkjxWfpPimIY85soQin1g7&#10;efQhVAeELSlbya5oUgc+EyI+aaFMPk8QmHR+S4gU2SlJtpJ8WrwDaeIh+HHBXEn/pa9+mRDVnmcg&#10;efzPhEiI6LM+L8RikiZeIh8iNhinxD6LNKjj4/c/dD6E/t2bNMf1zqKHLiq5HoNjG3r/rDA286hU&#10;iPv6863u4w9fcBsfu8+tuWG8WzbqTLdgYDe3ZOCPu7cuLbwuG9ytuHPcAxf0dquvHec+WrPUfXN4&#10;p1lnpWhhIasUArR0kiTThCSSmLgSS9OP8YvhSzNphRqrv7pskuAR6nva9iHBpJFYrHmLxU1I6oeO&#10;r0hbencxf75FjgH6fKWgbZmLJPyyaeIgeaw4Yo59Cc0CdfhlY2nWjltp5CHkgXzkrwuc8/Na61eD&#10;+cMc6/HhfWxNWogIqQUtqU9ELumvSF8Yn+SRtaWJzVvaz0+lcx8jKbZAxDWQNaZArwctyyXtuCZl&#10;/HUn85x1rEI15rlSfCGuU/em3YW2Uh0U4gghhJD6ptvpff9LX6c7rBB3221rzfOEEEJIR+Xa6x8o&#10;uQ6Dagpxw8874ciXE4Qkcdmk7uY6qhahXdJ8qSy0k5nOkwa/Hl9qi5FUVs77Ehp2YtPlAM7pPFJ3&#10;GkEvrRAHuQ47y+l0n/YgxP2f/+f/ZvadkBgnn/z/muupUiZN71ty/QbWTfVqCnFg38fT3e49U9y2&#10;Dya6D14Z6958apR7ddlwt/aOQe7J6890T1zdx62a0889f+/Z7vXHzncbXxvrdmy5zO0tlLPqqwYi&#10;5wArHaTJo6UzS+zR4o8leiQJMGlElVD9WnQKiUWQWdLu8ARCbYX6qccfEoRiSFkrdoLkseKjJR4/&#10;LS15zJGOgyUQQRSSx0pa7eTRh1gdWgBDX/z0NOj+S1/0Z0LHQPL4O7sJepe2kJCmP3v+mNPEQ7Di&#10;gjZF+BIBTJcJUe15BpLH/0zIWg/FtNJ4aQHN3xHQyh9Cyvn9D50PkWWO651aC3Hff3vAfXN4hzv0&#10;4QvunQdvd+t+M9k9Nnl4cRe4pef1dIuHneYWD21m+cX9i9Lc2w/c6g6+/5z74bt8H5Wq0TtuZZUW&#10;tCCVJH2IkOGLHDFxJZSmpRgIHv5uYzFpJpamsaQXLan4womPCGKQRPT5rO0jbmjLF9Cs/gmxmApJ&#10;/dA7PomgJVKMtYNZmjbLQdeL9vVuWX66Pp+UJkgeP46Ya1mzmEPEwP98SN2oQ59PSgPyuZNYijyk&#10;haMYmDP92fXnMLY+fNC2jBWvWX4P6N8BeC8/63UvcqWck8+GtY5AbN6S1q1QydwnkSa2afsZQz5v&#10;Ejf9mfQ/B4Kk++suy3qwqMY8V8rvbr2l5PpNIY4QQgjpOPQcMPR/6et0p25NN7dcxis7qiXE3XHH&#10;Wnfnnc+4O+9a4+66e427596n3T33PO3uvXd1gcL7wrm7Cml33tWc7/bbKcIRQgg5OsF1178W4/rc&#10;cqkOHp0bT5+ry3Tvle5RhxTiSBZqKcT5u6Th0Z6Shh3TdJrsoOaj8wAIYJIXkpm/25pfDwQySHmQ&#10;8bRoBpnMl9b8XeJCQhzQIhre6zTgP75Uzus6IQWiHziPV7SPcmmFOD9Nl5PHqFKIIx2Vji7E+eze&#10;N9Vt+3Cie++FMe7Vh85zryw51731xEi38ZVL3LYtl5llqg2ki0IoiljpIE0eLcBASBEBCK+6PLBE&#10;jyQBJo30EatfJBkAiUX3T6SjmHzjE2or1k+RrXwgHKFt9DG0y5TktcYmSB4rPnoOpA3MWSiWFnnM&#10;EdCCleSDTIR+SVqonTz6EKtDy04QqtAnLTqhTqwf9DMkqGmJDVgSoh4nCO1Ih/UpefGq++N/trB+&#10;/PJp4iGE4oI2Y22EkH5XY56B5PE/E1p4Q5rEC/Olfw8APyZp4+XPn78zn4A+Ig3rSs7p3znAX0dy&#10;3h8X2sQ60fnxXn6vIF3nb4+sePLikusxwE3ywvjMo1IhDnz/3X73l8+2us+2veb2rH/KbXp6sXv7&#10;gf/hXrrtSrf62kvc09eNcy/84Qr31tKb3dbnHnKfbHmlkD//nXU0WhzROxGFgCwjwoze6crapUrQ&#10;+USuEmLiSihNxIuQPBSTUXQapA6dJmB8ksePiYhDSZKH5PMFwDSijG4/FNeY4BKLqZCmH760JWPy&#10;5xCI0AVCcS0Hvw8+5awfjeTx46gFoKzyUVIa0DuIYb5lPv31EkOvE7+d2Pqw0OMNrYcQsi7wWZHP&#10;ph6HXmuIZWwdgdi8pVm3IFaHIHnSxkhIE1str6X5vWrhr0FZM1pC85H8/noQuQ7I7++s5D3PleIL&#10;cYW/sw8X2kt1dGpo+lVpWQpxhBBCSD3Rc8DQH0qu1d0a57dcxis7OnVvGl5ScYFKhbjbbnvW3XPP&#10;M27+/Cfdgw897J5ctcQ9+8J899Kr97iXC6x7fm7x3IpHH3T3L1vhFix8oijHldZDQY4QQsjRAYU4&#10;Us/UUojTwhlEL50GmU33S0tjGp0HaKkO+NKd/0jRGDHZDMSEOP0oWIB+SBr6qNO0pKfrxJhFiAuR&#10;RYizHvvaHqAQR8qhWkLcjKtaC3HWTfVaC3Fg74FpbvuWSW7Tm5e6ja9d4ra+N97t3Ha523dwWkm+&#10;fYdKy1ULLdRY6SBNHuCLQBrIGrIjlC96gCQBJo2oIulW/ZBiQkIaQP9CgpOFlPPbivVTp8WwBCpJ&#10;s8YmSB4rPlqs0sTq88ljjoAWrCxknqx28uhDUh1J/RMQU6u8luqAJbv5n5XY2kN91txpMBYt7glp&#10;5wTE4oIxSD1pdzis5jwDyeOv4aTPuk7zY5I2XjoeQAtvGuljCGttSJo/Ll3OItSH9kRWIa7b6Wfd&#10;qPOWI8Rpfvjbx+4vn291n+1c73a8/Kjb8PBd7r0Vd7sdL65wn2x+qZC2xSyXN5AjRFwAMbENwgPy&#10;6jyQM1AOryHRQnYKQlk/T0xcCaVJfSExRMtGvjSjpQ30x5KddLt+eS2WhESptO37aQLqlTyWTIIY&#10;StwtKUe3H5qTNP3Q9WjhzaoT5yQ9q2AUQ9ZmSBSTtQD8tNjaEiSP32c9dn93PqDnCHX46bE0oOMl&#10;chHIKhNKOb+dNNKWJs16CCGfCaxJWZf+upV5lH4BK64gNm867rFYxeoQJE/W9Zo2tiJzWr/30iJx&#10;wxqR+mKCHdKBvx60XOenpSXvea6Uu+fdXXL9phBHCCGEdBwGDB/1t5JrdT0LcZDbFi5aWRTennvh&#10;Prfhgz+47btnuwOfzHIHP73K7dgz223YeIt75fU73drnFrjHnnigkP+Jwh8cdn2EEEJIR+bmW54q&#10;uQ4DXJ9bLtXBg0IcqQW1FOL0Lmr6camCv7ub/8hSoNNDu53pPFY7kM4gpaG83rnNJ4sQ50tv+rGp&#10;viynx+XvSocY4Zze3U0TE+J8qRAgphhrkmhXT1CII+VQSyEOX7QX2iw52kKI238IUtx0t+fANLd3&#10;f4GD09y+g7UT4HxkN6XY7kJp8giQYLRwAgkOYgckFdmdyRJqRBAK7UAFYUjqDMlDIg2FhB30AX3x&#10;+wcpJSQ3hQi1FeqnFtIwVl0GQL6JSUdJYwOSJxQfnNc7ZCEOWSSaPOZIwHh1X9B31I84YYyhdqRM&#10;JX1IqgOgH+iPSJwAfYTglGa96HKWWIVzko558NN90B7a1WsX/cEY8JmzyoAsc5IUF2kb7VrpFtWa&#10;ZyB5rM+EfNb1PKD/Eiv0A+f8mKSNl84Xi0ds3kKfPembPy7E0l+TeI9zSXPbXrCEOOvaLUeXpjPv&#10;0HkrFeKEv361232x9113cOM69/EHz7vP97zjvv5iW+u83x9qfS4ntAwDIF5ACMJ5gPdacNAShBYt&#10;UE5LKpBXtLCEeiRNiIkroTQtKyGPyCZ+e8CXe/yxQuCQ8aAeXbclvEDuEOlDykr7SNN9Rl/88rp9&#10;v28aaQMxlXxoB+1JGrD6qNsQkQx903OTph8oI3lEgAmJaUCLXeiXbg99x88oj/7rcjFkPiXWch51&#10;iSAk6HIgtrYEyePHUYtX6INIPf4cA/ysy4JYmuCvVcTYyoe+IW46nuiHCEoA/fXL4Lw/LsQR86Tz&#10;473EMsvcCJgX6YcgnwnBHyva0+mapHnTdaAd+VzoPEl1AMnjxyiJUGx9MF/SB8yt/l0B8LnDXCDm&#10;/vwJMsfy+QOyFi0kj7Xu9OcF9eo2USf6hzFZv7dA3vNcKXkLcS+9+rp5Q54QQgghtccX4jp1a3q0&#10;5TJe2VENIW7u3CfdU6uWuvVv3eY2bf2N27n3Bnfwj7Pcl19f5/781xvcgU9nuR17r3ebt89x7334&#10;e/fGW7e7NWsXuIeWP+zmz1vp7rqLu8OR+mHw4PHFf8j/5Cd/b6ZXyvTpdx/5YwHvrTzEZuLEW4rz&#10;gtiNGXO9medoptprNwms51/+8t8KfwR3dVdfvdjMQ5qptRAHZt/Yi5BU3PKHs8w1lDexx6UKELd0&#10;Hmt3N52eRojz86BdLebFyCLEAV/oEwlNS3d+f5DHLyf4j0sFMSEOYFc4na6BmNcexDisSWutEpKE&#10;tZ4qZdZ1/Uqu36BuhDhyVCKyW5L8JOKMvzsUIaR+gHAn4ho+21Yekp3Vz40ruR6DLEJc78HDzJv0&#10;WcFOcd9/e8B99+c97tu/7HF/+2a/+/67A2beagI5A2JGYahRrN2JtHwSIrSrUUxcCaVBwtByh49O&#10;82UvLYJZgoeAWITEE4guSbGCWOLLIkC37/dNE+sbkDGGpBwrPjpv2n74gouWsiy0pBUiJH5ZQNqJ&#10;xVqP0y8bW1uC5LHiGBsL+iSSEurwy0o+K03QwhQIfUbQN53PxyonZfxx+WV9kubXAutc14E58fP4&#10;69mSY4WkecN4dV1W3krnPkYothZJn2Mh9LsG61/ns2KrkXzWukv6vSlg3ftlpbzOV+k8V8rShxaV&#10;XL9Boc1UB4U4QgghpL4ZOuqSv+jrdFWFONyYt27Yp+KOZ90Dyx5x69++zR345Gr3xZ+vdR//8cri&#10;znCHPpt15P2BT64qvAdXuj37r3MfbLrZvfjyPe6RRx9y9973tF13TowYMaPwD7euR0QaAGkD8gil&#10;DeLTp8/II+vESq8USF1SP95beYiNnhu8t/IczVR77SbB+UmPJcQd3/208YXYRY9fn9JU8sV8FiGO&#10;kHqjU6dfHPmdkRb/sapAp2cV4iCDpZXhQFYhzhf6IKf5O8dZjzFFv9BWqG/68atJQpzk8fsqQL7z&#10;8xNCwqQV4qy/uynEkWqQ5hGQWrKhEEdI/aIfB5u0WyBJjyXEHdfQo2shzuZRLSGunoDwAIFBhA8B&#10;4gMklNjORJCqIFLonYzwHudiwpXsyAbBKEsa+grpQ7eHfkLIQLpIVP7OSyKYiJSFn7X0hfMYK+rX&#10;5XwQC+TTggnaRF3SBwstuPh980HcdN9QP+KJtiU2SLfKov/IK3HAuLQkk7YfWtqyBBgL6be0DdA+&#10;1hX6nRRbH4xXjwWgfrQj40CaXy62foSkOGIu9RxLHDEGmRvU4ZeTvlppGj2m0DzE1lpIYJO++eOK&#10;fU6T1mMMlJf6QjKWjBWvsd8laeZNf/YlFjo9j7kPEYptCFm/OuboFz4PSb9XgZ73JGER9SJfbN1h&#10;TVu/4zGe2O8ukOc8VwqFOEIIIaTj0i6EuLvvedotXPyYe3LVYvfBlt+6r/822/3gfuO++Opa98nn&#10;s9yhz5olOLz/7PA17qtvrnff/nBj8edtO2e79W/f7p586n43d+4qs/5KwW5F//AP/+3IP94sIMlB&#10;mLPKtxVtvctTGkQuRF+t9PZMJVJRmrhQiLNJs+5lhzjA2LWmrYU47Nonc1jN+ekouyz612IKceRo&#10;AsJXYUmXhb+TnE7LKsT5u9RB0tP1J8lmSUKcP07Ujzr0uaQd2tBHvx0tBqYR4gQ8QtUS7SwpjxBi&#10;Ywlx1k11CnGkVsgOcQCym37EIUQ4PD5RP1aRkg0h9Ys8tjRpx0eSjZfemFhyPQZHuxBHCKktIial&#10;lQ0JIc1YQtyxDb1/1nzFjh8U4gghhJD6prUQ1/h8y2W8siNPIW7hoifck08tca+tv8Nt3XWj++Of&#10;ri4+JlXLcADvsVsc0v/052vd/kOz3LbdN7m3N9xalOnmzstfiIMkIXISwI5wEN8gaQCII1qWs+po&#10;K9paakmD9K8j7gJVSfzTxAXrT/JR6vqR9rDu652jJYYd5TPkX4vTCHH/cUrTUl2GQhxpr8Qe45kE&#10;HvOp69JpWYU4X06DXKbLVSrEAX8nPP24VKRZZSz8euR8FiFO8HepS1OGENLM7Dn91bW7mbRC3Jad&#10;U80b9YRUAqQ3LbyFwA5x2H3KqoMQ0vY88viwI59XflbzhUIcIaQtwe5ZhV8tRZJ25iKElPL4qhUl&#10;129AIY4QQgjpGIwcd/ln+jpdl0LcsgdXuFffuMtt3naT273/mqL4BuntRxnuyuLrwU+bXyHKIf3g&#10;p7Pczn3Xu/c3/d498+x8N29eBY9sNZgz55ESGS62A5wIJFZaW9EepBbpX0z8aq9UEv80caEQZ9Me&#10;1n29c7TEsKMKcYUL/azCmKIHhTjSUQjJXRa+vOU/NlWnZRXifDGvoev/c2THNqRpeQ2UI8T5u9Bp&#10;rJ3Z0Cb6oR+Lip3dQm3FhDgZAx7dijr0+VAZQkgcCnGkHoEUN3tOY/GxqfJoVAHnsHMcd4YjpL6R&#10;3R6xSxw+01YeUh4U4gghbYl+/GTWx8gScrRTiRCHa71flkIcIYQQUj+0CyHu0ccedJu2/PaI6Na8&#10;G9ysIzLcJ583S3AiyCENP0OQO/DpVW777tnuhZfvdQsXPGnWXy5aCknzSM96e+Ree5BapH8x8au9&#10;Ukn808SFQpxNe1j39c7REsOO8hn69ck9v9HX4jRCHB+ZSjoCELMKy/kIaXZJ88U0vZObPp9ViPP7&#10;kkQ5QhzwH1EqWI9LtfL5QJiT/DEhDu91WggtyxFC4lCII4QQQtoXeGS5f00+vntjn5ZLdqujU7em&#10;m3VeCnGEkHKBAPfzn/+0+Hc3xDgrDyEkDHeII4QQQjouYydN31t6rW7c0HIZr+zAH/ylFZcvxD32&#10;xANu646b3J//eoM7/JfrWqS3Zvnt4KdXuQOfXOX2H7q6+CpCXDNXuS++uqaQdq179Y073IKF+Qpx&#10;sjscHolqpacFO8316DHE/eIX//3IDUPUfdxxXaO7ziEdeUXGQ15dB96PGXN9sFwIPPbVL4M+QoKx&#10;+hgSRSAASj78fPXVi13nzr2OxA2v+Bl1W+VipJVTUDfigzHpR9dK3634CNJP9EfGr+tA+STJMTbm&#10;rFJR1rj4Mg/aTBN/H+lrnnOPOKJO3ba/fpPii7ZRJ+ZWygDUgc+TPy7Up/OlJdQH1I+1pfuM9/64&#10;0oCxo3+6LoCxxWRbGVPW3wFC1hgK1trV6zPWJtaC5NOxRVv+OsN7K566LWt+ZL3pzyvGGPt9qkE8&#10;pVwIqxz64reL9zgX+qzUgjyEuM6n9TRv1hNSz2C3ssJyPoK1S5oPHpOqy2ghTJ/PKsQBf7c0n386&#10;5v848r5cIc7vPwiJgL7854P+aJEuaYc4nWaRJv6EkB/5/S0DjlyHf6T1TXXr727ckLdu1BNCCCGk&#10;elQqxJ10Rj/zJj0hhCSx8omlxb+7IcW9+MLjZh5CSJjnXlylrt3NnNDQ45jmK3b8oBBHCCGE1Dc1&#10;FeJumrPCvFmfxMMrlrt33vsfbs/+64uPQYXs9tnha4q7wEGE27n7Brdt52y3u5D+8R9nuU+/aM6D&#10;neO+/tvs4vv1b9/uFi16wqy/HLSQAXHEypMGiCMiCYWAyGGJKSKxoH1faNH4EkiSGIS6dH6MVQse&#10;FpZoAgFEp4fGCelFj0/HNkRauSSNBAXhxior6ZBjQuPHmCwhB8TmFud136zyPlnjouOPMaSNvyav&#10;udf5NbK2Y/NkzXWaWGC8elxp1oKF1T7q1eKWTyymPmnkK/8zKZT7OwCUE0PBEuKArDHEWp/XoK9S&#10;VupOiqf/GdXry58fjCu01oE1nz7lCHE6JiEquVZUQjlCHPLoMhTiSHtE71oG+cvaJc0Hj03Vu6xp&#10;mUwLa1qU02jJDHKan47Hk+rHuKIt1IV2tcCH97qcFt3Qhk7TYAc2f5e4kIiGNtG2HheAfIf2/Xj5&#10;dfv1ogzK6jzoK9rQO+0RQtJRiRCHR7ZZN+oJIYQQUj0sIQ47ubZcslsd/t/dFOIIIYSQtmHtcyu/&#10;1tdkkFaIQz6/7Oq168wb8oQQQgipPRdNnLK99FpdRSHu2usfMG/WJ7H0/kfcCy/d597/8Hct0lvz&#10;zm8Q4vZ9fI3bumOO+3Dzb9yOPTcUhTk8VvVQyyNU//LtDUUh7o23bncLF6006y8HLUzEdkOKocUN&#10;SEe6HqRpgccSTHwBBnmwMxLSIH1owUTOa0JSiwaiighRqC/WR1800dIKwFhFzEG9un3soKTLCpLu&#10;CzFpQf8QJ7SrY+DHx5J+JE1AHyQf6tNz55dFPknHq8TGH7fgl09CysXiUmn8kacac4950LGXOOn1&#10;q2VC5NV1A/nsQDDSbfvjsgQkne6nCbr//tiA/uzhdwHalXIyNpz3y1kgH+KMV4xLziMWOsbW75lK&#10;fgdUI4bIK+clJj6ypvSak9+n6I+/zpAP7ck5EJsfiRnGruOJehEvP3+MWDsarG3Jhzb8dvU8pF0X&#10;efLvJ51e8gc9/hd6oS/Rg0IcIe0XLeVBTksjAhJC6g9LiLNuquMxqn4+CnGEEEJI7cEjy/1rchYh&#10;Dlg36QkhhBBSXSwhDju/tVyyoweFOEIIIaS+mTjj6k36Ol34O313y2W8ssP6Yr5cIQ4i28qnlrrX&#10;3rjDbds9233+1TVF0Q07wWGHuN17r3M7dl/v9h68tvgIVZyHLIfd4vC698B17tXX73LzF+a3Q5wW&#10;QrIIFhqRWSCBhOQRLcT4QouWYSyhScscIiNp0ohBIqpAYgn1UfqBvurzun2MUUsigpS1pDIg5X0h&#10;Jg+SZBdJA0nx8+cmaX3gHGIiefz0JKRcLC6Vxr+ac494STqw1m8svklIv/Dqp+l6/TRB99+fPwhO&#10;kmbJTYgVxmOtmaygLlkn1lzLOEE5vwNilBNDzLOct2Kj07X4Jm1Z8p1FbH6s+ssl1o6g58iKleQR&#10;ETD0u66a/MepZ3yqr8XlCHHAullPCKkvsANd4SN8hNBOdoSQ+ufW2weWXIcBhThCCCGkfskqxB3f&#10;/bTxfn7rJj0hhBBCqsvqZx8v+f4cpBXijm3o/TO/7PLHVpo35AkhhBBSe9qFEDf3vlVu2bIVbs0z&#10;893GTb8rSm9f/Pna4g5w2C0O4Jy8hwSHXeKwW9zu/de5TVt+69aum+vmzXvSrL8ctBASEiViaCEo&#10;JoHofL4QIxKJtYOWECoLQlKLRnY2ssoLUg+kEH1eyyQhOSWpD5IWa78SYvVLWmh+YrKMxC02N3o3&#10;LSs9hpSLxaXS+Fd77pPWbyy+ScTGFUsTYm1DPMN5f8zVQuJkyVaV/g6IUW4MY2tf1rwfOxF/Y/Kl&#10;JjY/Iqf5kmY5xNoR9O5wMQlP5wvVVS3KEeKsL+atm/WEkPpCP44VQJCz8hFC6p+0Qhy+pPfzrX5u&#10;nHmjnhBCCCHVwxLi8Ld1yyW71WH93X348C7zRj0hhBBCqscrr6895F+TKcQRQgghHYNLp175rr5O&#10;5ybEWV/Mz5w137xZn8Sddz7j5s1b5R586GG37vm5bsPGm92OvdcXhbivv5vtvvrr9e7wX65zX3x1&#10;rfv8y2vcV99c7777nzcVJbkPPvqdW/fifW7FiuXunntWm/WXgxZCypEb0ogWQkjwiIkyguSxZJiY&#10;1CJIelp02TRj1HmsdEmz+p8HsfrTtC15/PGlKZsm/iHS1F9p/OV8WnTZNG0nrd80dYSIxTZN3GNt&#10;i/AV+9zlSSxOSTEEkie2VizKjaHsLAj8nf1klzRfMoVIJmUQ35hYBmLzo0VT/M60dkZMS6wdIc16&#10;Akm751WT/+zRp/TZ6N0a5xf6ET2sL+ZxY966YU8IqQ+uv+H0I79nAB6XauUjhLQPLCHOuqlOIY4Q&#10;QgipD7IKcRDd/fwU4gghhJDa89Ira0q/Py9QiRC3YOky84Y8IYQQQmqPL8Qd373xcMtlvLIjTyEO&#10;3Hbb2qLQtnjJ427lk0vdm+/e6g4cmuW+/685xcenQoQr8tW17pu/zXb/5X5XfJzqy6/e7Zbe/1ih&#10;7JpCPWtb1VsuWoIIiRIxdPmkx0GGpJdKZZgkkUPvTpcGf0eoNDKJzmOlS5rV/7RgxykIKIiFyIU+&#10;Vv2xNEHy+ONLUzYp/jHS1F9J/Gsx90nrN23/sWObSGoWfpk0cY+1LedDOweWC3YQg8Al0piPFaek&#10;GALJE1oreccQnzdJ021qIcyS1PQOagCfVcTY+v0Ymx8gu/gJiCl+B6TZfU6T1A6Q+KZ5FKrUFfvc&#10;VoNyhDjri3kKcYTUNyNH/ceR3zOQ4c4559/MfISQ9kFaIe6Ehh7H+PlWPHmxeaOeEEIIIdXFvyZT&#10;iCOEEELqH0uIw1PQWi7ZiYdflkIcIYQQUj9Mu/qG10uv1TkJcdYX81Nm3GXerM/CnXetcQsXPeHW&#10;rF3k3v+weae4XXuvK3CD27mvwJ7ZbvvuG9y2nTe6dzf8D/fEEw+4e+6GDGfXVy56R6Ny5AYtlNSr&#10;EKcFlnLGmEYm0XmsdEkrp30AySYkwWms+mNpguTxx5emLNIkn5UeI039lcS/FnOftH5jdUBskvJJ&#10;6HIgTdxjbcv5cuJigViHJDiNFaekGALJ4/e3mjHUj0CVc7JzW0wcw+9C5NOfWbz35yA2PzqPL8ZB&#10;+kv6fatJ047EsJ6FuF+f0ntLyfWYQhwhhBDSLvCvxRTiCCGEkPrGvybHhLjjuzf28fPvP/CheaOe&#10;EEIIIdVjw8ZXS78/L0AhjhBCCOkYXDZj1gul1+o6F+LAXXc945be/6hbuWqxe/7Fe93r6+9wb71z&#10;m3trw63u9TfvdC+8dJ9b+eRi99DyFW7uvKcKZfLbGU7QuyD5u2OlQQt1IdFCEDkEcoc+X4kMA5Kk&#10;FiDp5QgcaWQSncdKl7Ry2sccSewgq0CO83eIitWfpm3J448vTVmkST4rPUaa+iuNv5yPtREiTdtJ&#10;6zdWh44dPhf+jmOx2KaJe6xtkddin7ssSBywVtE3X9iKxSmWJkgefx6rGUP9+03qlbilfVyollnx&#10;qj+7sfnxQTnd31isfNK0ox/RaqULWjLF2Kw81cIX4jp1a3q00I/oYX0x//tbBpg36wkhhBBSHfxr&#10;sXVT3Xo8y6KHLjJv0hNCCCGkuvjX5E7dGme1XLJbHRTiCCGEkPrg7Q0vveVfk7MIcSf2OOOvuuxt&#10;98wzb8gTQgghpPZUTYizvpifMPkP5s36csAjUBctfMI9+NDDbuWTS9zTzyxyq9csck8+tdQtX/6w&#10;mzv3SXfHHfmLcBoRTQAEECuPRosuWo6ICSIxiaISGQYkSS1AJJZypL80MonOY6VLmtX/JCwpxydW&#10;fyxNkDz++NJIU2lFGgspF+tbpfGv9twnrd9YHfJ4T+xEps8LsbUdSxNibcvuZ5C09Ply0GJt6PdA&#10;LE5JMQSSx18r1Y6hyGxY5zqeWXZoC4nDsfkJUc7nLU07mDfJE/o9A3S+LDHIg1+fckbJVrAU4ggh&#10;hJD65+57Bh72r8XWTXUKcYQQQkidcGh64drdWHL9zirEbd7ypnmjntQ3776z7sh3Pnhv5enoDBjQ&#10;uzj+44471kzPyrSpl7pTT+3m7rhjjplOCCF5YglxuE7jep3m+M9Tz/hGl6UQRwghhNQP46Zc8bS+&#10;ToOWS3hlR7WFOOz6dtdda9x9c1e7BfNXuoULnyiyYMFKN/e+1e6OO58xyuSLliUgf8TEDJEhtDAh&#10;whFe/Z3LBC3f+HkqkWGAFjRC7WuJJK14IqSRSXQeK11LNVZ6jCQBRcuGVnxiaYLk8cenH9VoSTKQ&#10;GyUd+OlJpIlLpfGv9twnrd9YHTJ+f9dEQT43wE9Ls+5jbeu5Q106TUC/QmkavQatXcPQv5hcmRRD&#10;IHn8dVxJDNMIcbJ+0I58HrLKlaF5iM1PiDR99tHzE5Ke8btF8oTkwqR5rDZ5CXGz5/Q3b9gTQggh&#10;pCrsTnNT3fq7+875I+0b9YQQQgipHhmFOOw8o/MCCnHtkxdfePzId0N4b+Xp6Mj4gZWelbzrI4SQ&#10;GDt2vFvy/Xkz5QtxN958m3lDnhBCCCG157LpV92vr9Og5RJe2WF9MT92wk3mzfr2jJYsAIQIiC2Q&#10;NADSRYQAWszSux9BFNHCBUQMLaRYck0lMgzQUolIMeif7gd+FnEGr6hHjwH9RN8wRr+PaaQVncdK&#10;l/6jbRHL0D/dhxBaZkEspQxe/Xmz4hNLEySPPz60IWmYW0m32ga6bBrSxKXS+KOuas590vqN1SGf&#10;DfRLi2SIgex8JuhyQNcbWvextrXchPYxdhHrkDf2mbOQGOt1gvowLkkDVpySYghC/akkhnoN+2mC&#10;/vwJlvQH0AcIdLKWAd5LP5Cu84fmB+9lPeq1ijFJLDFuOZ8GaQd9wbzI3Og8Wh5F/Xocfjx1Wq0o&#10;R4izvpinEEcIIYTUlFRCHA6dB1CII4QQQtqE1NduHNbf3W++/YJ5o57UNx1diPv5z39aHFtstzbZ&#10;IQ6vVnpWsNNcnvXVA9xJkJD6Zev2t9b41+QsQlyXprM+1WUpxBFCCCH1Q9WEOBx+xR1RiAOQLwrD&#10;jeJLJ4IlR/mEdgGrRIYRfPHFqg8Ch8gkMfzxhaSVUB4rHTKJpGtC9fnIzlQWGJOITVZ8JF8odkDy&#10;WP1BPCTdB3HX68Yvm0SauOjYhuKl81jp1Zz7pPUbqyOpX3pd63JC0rpP6n+a9kWSSyK2ToD01YpT&#10;UgyB5PHXcSUx1L+3/DSNH+dQTHQeC6x3nT80P/q8BcarRbk0aNlNo/NgXCIYhkDb1jWgFhzfvefL&#10;+lpcrhA367p+1s16QgghhFSHuhXi9n48HbvgHGHfoRlFrLyEEELIUUQmIa5TQ9OvdF5AIa590tGF&#10;OBnb7NkzzXSSjo6+Tghpz3y05c3l/jU5ixDX/Yx+u3TZmdfdZN6QJ4QQQkjtoRCXE5AsIE74Aghk&#10;FL2DlAUkDohbImcBvMc5S8YRRMCI7XgkedAHKx39QjsixqBdSwBDPpy3xhfqJ4QbyYf3frrOg/at&#10;dODvsIQ2s0gtkFB0eRmjllis+EhMQrEDkic0PsRFizK6bYwB52Jjj5EUl7ziX625T1q/SXVgrHrt&#10;Sl3oT9K4ktZ9mv5L+ygreRGjpM+7hb9O0C/UjTZQH85ZcUqKIZA81jouN4bSp1B8Bckn9Vp5ANrz&#10;Y4n3OGfFPzY/+LyjLT0mzAt+P2edFwFrQ/qGekNjibWtP5u1phwhzvpinkIcIYQQUjvuvnfghrQ3&#10;1f/jlKaSx7P89vYR1k36fDh0hdu9Z6rbtfNyt3P7pMLrZLdn71S3/+B0Oz8hhBBylLDv0IzU124c&#10;FOI6DhTiSBooxBFSv1QqxHXtedZ2XZZCHCGEEFI/jJ00ba6+ToOWS3jlx69P7lnyxfzIi681b9YT&#10;QgjpeEB0K1wKivi7vJHa0alb4/P6WkwhjhBCCKl/sghxvz616Wudr1pC3N4D09zObZe7rRsnuE3r&#10;L3Efvl5g/Ti35b0Jbvvmy9yefVPNcoQQQsjRQFYh7oSGHsfovOC5F1eZN+pJfUMhjqSBQhwh9Uul&#10;Qlznxj5bdNkJ064yb8gTQgghpPZUVYj795NOL/linkIcIYQcPWCHt8KloLi7mpVOakM5Qpz1xfyM&#10;q/qaN+wJIYQQkj91IcQdmuH27J/mtm+e5D54/RL31qpR7vUVI9yrS891Ly0c6l6cd7Z7Yd457uXF&#10;w9zry0e491642G3dNLG4Y9w+7hhHCCHkKMMW4ppubrlctzo6qhB3xx1zSuSpd99Z5wYM6O1+/vOf&#10;Fs//3/98jBt94XD36SebW5UF27atd9OmXupOPbXbkTK6HOqzyuE88qEMfkY9yC914DXWroB09P24&#10;44490jbKYgwhialc0anSWOE86kCskFf6IP1d+cRSsxyQNtAmQB1SFv2ReGYF7VrtgaVL7iqmS14Z&#10;H+bKzyv5rPqk7/KzP18YS2zsmCO0K2MWUAfWXijeMl/SJ9Tjj0fm0ioXwy+DWOn+xWJFCKmcDz98&#10;vdWN8oxC3Ou6LIU4QgghpH6oqRB37qiZ5s16QgghHQs8IrRwGSiCR4ZaeUgtWHu4tRDX+HzxIh05&#10;KMQRQgghbcvd9wwqXL/TCXH/2eP0QzrfNb8Zbt6oz8qeA1Pd9i2T3IbnLnJrbxvklk9odA9cdIpb&#10;dnGPZi46tcAp7v5Rp7iHxp/m1vxhkHvn6Qvd5vcnFEU6q05CCCGko7Lvk+nGtTssxB3b0PtnOi94&#10;fNUK80Z9ewJCUGF4xdeYCATBxxKPRHaKYUlnWkqDTBSqB9JTSHiCBKbFMgvU7ZfTbVt9C1FprLSM&#10;FcIStICko10/VhCxyhXiUNZqDzKXlR+gfbSn84sMZtUn5SCHaRHOB2Pzy6YZF/pjxVvmC32COOeX&#10;EzBWXS6rEBeLVSi+hJDKqFSI+/UpvV7WZSnEEUIIIfXD+WMn3Kav06DlEl758e+nnH5QV0whjhBC&#10;jg769Bl55MsayHFWHlILyhPirC/mJ02nEEcIIYTUiixC3K9P7Vnyd/eUWeeYN+qzsnPHZPf+y2Pd&#10;iwuGuocmNLolAxvcg4O7ucUDGtySAV2Lr0sHdnXLh3R3C/t3cQ9f1tO9MG+oe+/Fi92uXZPNOgkh&#10;hJCOCoW4ZkQaEskKwpLs1gXJSNKBJfegHIQglNFSkpbcUKcuA7SUBpBX5DW/XV9Ykjwiw+k+A0hU&#10;Wj7zpbdKhbhyY4U+4TzGqXcOQx+0KKbjKEiagJigHOrypT/Jg/7o8xr0A3msfvqxl77iVeKKV10m&#10;Vp/UJXFD/VKnP3Z/PjCXKAehTaf58Ua6Lgd0OkA7UoceC/BjCJBX0v1+CVrYg0gnc4f60b4fJ0JI&#10;PlQqxP3nqb2f1GVHjptk3pAnhBBCSO2xhDj8Pd5yGa/s+PUpp2/SFQ8573LjZj0hhJCOxi9+8d+L&#10;X94cd1xXM53UhttuW7sbj0jV1+Jyhbhxk840b9gTQgghpBoMLFy/0wlx/3Fqz5K/u/MS4rZ9ONG9&#10;vGSYe2LmGW7RsG5u6YAGt2xQswi3uEWIWzKwq3twcHe3qH+Du//CU9zTN/V165+4wO3cfrlZ59HE&#10;7DmNxX8P//Snf2emp6FX738p1vGvx/5jMA2vftoll/6na+j2z8U++GmEVAuuu9qB3yv4/LdVrDnX&#10;NhDiOnVv2q2vyVmFuKUPLTJv1LcntDQEYciSsbQ4JCJTGnTdfpqWjSA8+TuOAZGsIL75abKLV2g3&#10;NiDlfSkpjehkUc1YJfVJ0gD64adr0uQLCWwYk5QPyVyIvS8phuoDUh+wxDMtlVnyY4xYu0nzhZ9F&#10;0rPaTbNOpA3Ub6UTQqrDhg0v3eJfkwvX9OGFz2Oqw//+fcgFY8wb8oQQQgipPYPPH/0bfZ0GuQlx&#10;J5zUc6OuuN8548wb9oQQQgjJn3KFOBy6DKAQRwghhNQSS4izb6r/+pTSv7vHTh5i3qjPyofrL3FP&#10;3dDXLT63u5vfv4ub2/dEReci8wosKKTN69+5kK+be2RyT/figmFu++bLzDrzAoJYYehF/umYn7s1&#10;6y4w84W4/a4zjwglAD9b+Sph+szuR+q30tMg5a06IKPgPF79tFg5QqoF113tkDjj94yVXm041wEO&#10;zXg0ixCHQ+cFHU2IC4llWgyyhKYQMaFIp+nd3TS6b34aBCScj0lfUh7Skz4f61eMasYKSDlrTJKW&#10;ZsexWD1CSCRDn6W8JSmGiIlpUp+1i5sg5S35MYaek1haaL5i/U6zTvTjVbPEixBSGZUKccd3a5yv&#10;y1KII4QQQuqHqgpxx3fvWfLcdApxhBBCSO2oRIg74aTGv+hyo8dRiCOEEEJqxd33DpqfVojDtV3n&#10;y0OI2713qnt79Sj3yJTTi+Lbgv4/CnAiwwnz+3Vx8/oVXgc1uKUjT3bP3jbIbdk4waw3LwrDLsGS&#10;wmJoGQ5Yu6xVSpIQl2aHp9gucDEhToTBaoyLkBBcd7UDcQZtJcRxrgOUIcT9+8k9/6zz3z3vbvNG&#10;fXsiJhRpJE9MsvKJCUVpZCOdx0+T82nRZdO0bVHNWIFYuSx1pskbEsEgrUl5fT6JmFgm9cX6g7Ry&#10;2o2VS1On5ClXiMMugLLLHF4hFIbkO0JIfrz51nPX6OsxyLhD3M26bK9B55o35AkhhBBSe/oPv3CS&#10;vk6D3IQ4/4v5XgNGmTfsCSGEEFIVNpQtxHVv+kqXoxBHCCGE1I5sQlzptf68iwfYN+pTsnvXZPfR&#10;25e6Vxaf65aN7eEW9u9SxBfhhGZJ7kS3oPC6YFCDW3VjX7flnfFm3XlRGHYR7A4n719df7GZ1we7&#10;wSE/hDSROrIKdWlIEuIkrVyhJSbEEUI6NpX+/iBVY35mIe6kniV/d//u1lvMG/XtibQikuRBfj8N&#10;UhBEKpGiLHyhKI1spPPo82hPzqfBf5xlmrYt8ogVZCnsKoZYiUjlY5WLpfmkyRsS2OR81keAhuoD&#10;afqDNMlnpWOe8FhT2RnQwi+TVCeQPFa/064T7AznzyX6mmVtEUKysXvvxmn6egwqEeK69+pn3pAn&#10;hBBCSO2pshBX+sU8hThCCCGkppQtxBXy7tXlRlxEIY4QQgipFRDi0t5U9x/PMnBEX+smfWrwuNN3&#10;nx3t1t4x2N1/4SluycCubvGAhlYiXCknFvJ0Le4W98TMM9x76y5ye/ZOMevPg8Kwi0AGkZ3WLrn0&#10;P828PiKSIX81pTIKcYSQalHp7w9SNTILcb8+5fSSx55fPft680Z9eyKNNAQkjy816R3FYvhyUBrZ&#10;SOfR5yEgyXm/P2lI07ZFpbHC7mEhCU5jjSmW5pMmb0hgi4ltMWLl0vQHaZJPn4dAKHUnocuBUJ0a&#10;yWP1O8s6EdERj3yVMgDnrPyEkMrYtvP9Mfp6DLIJcY2zdFkKcYQQQkj9UFUhzv9i/rSzzrVu1hNC&#10;CCGkOlQgxDVu0OXOOb+3ecM+E/cNdvcWmDdviJs7b7CbO3+Im1eg+L7AfXMB8g5uXZYQQgg5irj3&#10;3oE3p72pjvM6X8+Bfayb9KnZ8t5498Yj57un5/RzS0acXJThFqUQ4pBnQb8u7uGJTe61ZcPdR2+N&#10;c7t2TjbbqJTCsItABoHYhvcQ46y8GuwiJ2XxnkIcIaQ9UunvD1IdDhyakfraLYf/d/ekK64wb9S3&#10;J9JIQ0DyaKlJC0MQilY+sbSkTEwoSiMb6Tx+mpzX/UlLmrYtKokVhCmR4SBNWY/WtMqlSfNJkzck&#10;sGFnMymvzycRqg9IfbH+IM1qV59H3yBDhtL1+aQ0QfJY/S53nSCv3skuS1lCSDryFuKAdUOeEEII&#10;IbWn2jvEedvEDrZu1hNCCCGkOjyflxDXf1hlQty8BYPdkvuHukceGeFWrRnlnnthjHvxlbHupVfH&#10;umefu8g9tXqke+TxEe7B5ee6xUvPcXPnUoojhBBy9FKJENetVy/zRn1atrw3wb328PnuqRv7FoW4&#10;hf0guiUJcZ2bhbj+XYqPWX32jsHunacvdNs2TzLbqJTCsItABlmz7oIjP+NxqFZ+Yejw44r5RCKL&#10;SWWz5zQG04Revf+lmAevfpolxOm+ZsGqP9b3WL8kDePDz4iZPDoW4P3CpQNblfNBOemDgJ9jc/DI&#10;48OKc+CXQ5sQGzdunmiWk7mQ8SC2sjMgyqZ9XK6UwTwA6QfOW2IR+os2pZy0h7yhvgLUjXHqchbI&#10;J2WyjhHtIw/SpD7kR3n0W+fVoB70TT9uODZvfgxi8H/hYQAA//RJREFUbeA88sgYLCQ2un28x7lY&#10;v6XuStetBdrNY11KrKQ8xmWtKwH1og60q+MhMY6NR/Lq+qVt9Fvn9cFYkU/6LfifaZkX6/Mlbfl1&#10;AGtt4j3OxT43HYFyhDj8fa7zdzQhzhe0BIhukkdLb7I7HEQvnV+ICUWxNCuPnyY7cWV9tCdI07ZF&#10;JbHS532pS5B0tJMlzSdN3pDAhh3NpHyonxZphDisFz9NEIHMn085P2BA75Lzgp6TLGmC5MlTiANY&#10;H1I2zZwRQrJRqRB3fPfTxvvlPz70iXlTnhBCCCG15ZQzB7e6zldNiDuxx5nWzXpCCCGEVIeyhTj/&#10;i/lKhDjsBHf/smHuiSfPLwpw7304yW3fM90d+GSmO3Boptu6c6p7572J7pXXxrq16y5yjz4+wi1a&#10;MtSsixBCCDkayCbElf5v9EqFuO2bJ7n3nrvYrbtrsFt64SnFR6Eu6p9eiHugUAa7y61/5Hy3deNl&#10;ZhuVUhh2EZFBRLyAzOHnFSBiiNQj8o/IH1Y51J1UZ5ryQM5BBpJzWbDqj7WdJk0/MtYiJEghjrFy&#10;ABKNXy7N2DE/ljCj50JkHk1MpNJIfkhIshYEP1ay82AIrDmrr5CYrPwWWojLMkaU0wKVhTV/KOeP&#10;W+PHEXVY+QSdF8i68GMp6M9ECMTdKit1l7tuQ+S1LmPrxfo8AJHKYqANq6yVLoIe0GtLg3FIHh1r&#10;a80J1nzKHPhpqF+LcD6h8XQUKMQ1o6UhyEeW6CWyE8Q3nQ5JCechp+n8gparfKEojWyk8/hp+lGt&#10;WWWlNG1bVBIrHYtt29aXlAFJj4GNpfnITnQxAS0ksKFv0lZIQsPudn5aqD4g9QGU9dP1fPjjk7Fg&#10;dzh9XpA1CPw0PV9+miB5rH7rOdFyY1qkbJo5I4RkY/Pm9Wfr6zHIIsQhr1+eQhwhhBBSH1RZiCv9&#10;Yp5CHCGEEFJTchPieg/qZd6wT8PSB4a5Z5690L31znj30bYpbte+Ge7gH690f/72evfnb653+w/N&#10;dDt2T3MfbZ/s3v/wMvfa+kvc6mdGueUrhrtFi85peYwqIYQQcvRw990DZ7WVELd3/zS3c+vl7vVH&#10;zncPXtLolg7sWpTiLAlOA2kOQtz9o05xq2/q615/eITburE6uwEVhl1E5Aot7oR2CxNZBHKLnAtJ&#10;HUDLLn6akKY88NOApMUEkVj9laYJkHIkZhCitMwS2xkKcUTcRRRCXj1mf1wiY0HC0eIVyutylhCl&#10;0wFkMLSNepAWmnMfXQeABIQ6UJcWqbRYpOtHX5FPpDI/vkiXNMRRpCR/jL54BtKOEXWJDIc29C5i&#10;aE9LVn47kqb7BlAHxuLnl7EgTn4M0AedF8TWHcpIv5Dut6/XHeKvywKpW8i6bkPkuS7RB6kDfdBz&#10;odeXgHSMC2m6z/540BddDkga+iDnkE/OW/0Feh6kTcRAziH20h7SUT/6qesAobnWv2f9tYl1pPvb&#10;Edl7aFrqa7cc/t/rF46fYN6ob09oaQhA9BJJDHKUfoSmL/ZoyQtpIoBBJNKiEvDFszRSms7jp6Fv&#10;IkvhFe1r0Qx9QP8g6+FVl03TtkUlsdJyFWIjfcWrX69fFsTSfEROQ1zQLs5B6NLxiQlseu4g1em+&#10;yhj9crH6pC4BY5C1gn7pefQlQ+kL0rRMh3Kye5ygywEdVz9NkDxWv4GUFwES6H6gHGKihTkdJyBz&#10;QAjJj0qFuOO7N/bxy2/fsdO8KU8IIYSQ2mKJ61UT4oBxs56Q3BgxYob75S//zXXu3MtMbyt+8pO/&#10;L/7BOnjweDM9xpw5jxT+SO5aHNfEibeYecqhkj4lMX363Uf+SMd7K097AbHHOPBqpSfRp89I9w//&#10;8N+OxEPW5tVXLz4yB1i3frlqg3lH2+iDn4Y5w3rDmNFPP51Uj7w/O7fdtvbR8oW40nKNfcsT4u6d&#10;O8g98tgIt2HjZe7jT690f/zT1e5g4fXgp1e5j/94lTv02VXFnw980szBArv2TnPvbZzoXnhxjHvk&#10;0RFu7ry2f3zq/Q+MdV98sdd9+eUh99prC8w87R2M8dvv/uJwHDj4gZmnPbJ9+8vFMf3ww3dmekcC&#10;axQHXq30aoN1g88IYm6lE0LSk0WIsx7PYt2oz8K+j6e7d58d7VZMPr0ouS0e0MXN69e5iCXDAQhx&#10;eLzqstGnumdvHejeemqk27apNjvEQeAQeSckgohEpNNDUgcQ2cVKE9KUB34akLSYIBKrv9I0YO1c&#10;BRlH0n2JR4szWmjSyLgxH1Z6iFifdSxRryUIpUHqALG4y1qyxCygY6TjoHeHs6QsEaQswSjtGEU4&#10;wnoO5ZFY+u1I/VpUCqHHmDbeoTnUn09rfiWPfEZjsh3Ium4rITQmoOcMApsfJz1uq88x9Hjw3k+X&#10;NH8dyxpDu/q8n47+yjkZhz6XRCgucj70e7ijU44Qd3y3xvk6/9kjR5s36tsTWhrSEo+PJQxBDvKl&#10;JI1O88WzNFKazmOlQzQSmSqGvytZmrYtKokViJXBOOQxsGjHLyv5rDQfyFmSX6PHij7iXDnzir76&#10;klesPikHuS00XzivpTIhaY51P/2yer78NEHyhOZM70SokXQZd4jYLn2EkPKphhD37nsbzZvyhBBC&#10;CKktVRXirC/mb77lKfOmPSF5AImnsPSK5CmPVYr0CXKUlR4D45DyGJ+Vpxwq6VMSus/1NA/lIGuq&#10;nNj36DHkSBw0SKvWvKYF8677E0qrxvogYfL+7FQixPlfzGcV4u6+Z5CbP3+IW/bgMPfsc6Pd1h1T&#10;3d/+1xz3/X/NcZ8dvsZ98vmsI0Lcp19c7T778hr3529vcH/94caiFLdl+xS3/q1L3conz3fzF5xt&#10;tlEJT6yc5T79dNsRAQwHhCnIPJB6IIfp/JDg5EAendZR6Khj3LPn7ZZROTO9I4F5w9FW86cPK50Q&#10;kp677hkwPu1NdeuP+i07p5o367PwwStj3eMze7t5A7q4hf26FMU4MM+Q4cDSgd3ckgFd3UOXNrpX&#10;HjjXffTmOLd712Sz7kopDLuIlkEgnOCcJYJouUSLSmlkFytNSFMe+GlA0nyhRROrv9K0mPyCdOD3&#10;DZJLqF5BxzokzVnE4qXTstTpI3VYQpqgpTYrXZA8WppLmnNJt+KXdoyycxjyW+lA6vI/CyJnxcYv&#10;oA/Sn5AY6BNad3pXspiMp/P5Elgl67YS9LzE0kLSYCgmaZC6rfGE0vT69WONPkqanlORLEHaz1do&#10;XCLcxYTNjkyZO8TdrPP3HjzMvFHfnvClIX/nLby3HnMpQJ5CHSJz+WVEZvIFKvws+f00Pw/qsNKB&#10;tO8LXBCVIKBZwluati0qjRVAui6DuKFejEN2Q/N3tAMSRyvNwu8b4qF3iJO28KrLCVZc0Ve9Y5wm&#10;Vp+Ul3FiXmQ8eMXPVp2C7LgmZaQdzG1sjcgOhlaaIHlCcQDot6xv1KXzom+IiY6T5LEEP0JIPqxc&#10;tWKQvh6DLELccQ09uvrlKcQRQggh9UFVhTircgpxpJqIgIQdubCzmpWnLUCfQDlykd5JLM/d3Crp&#10;UxIU4pp39pMYYFc4WY+y61db7xAXE+LGjLm+eB79a+/z197I/7Ozdn65Qpz/xXz3XqebN+xD3Hvf&#10;ILfswXPdmmdHuzc3jHc79053f/rzte7Lr68rynAQ4SDEiRR36LNZ7vMvrynm2ffxzKJAt/6dCW7l&#10;qgvcvPn57hD34aanW5Sd8OHvAgeBDsIcDmv3q3rfhezZdX8o9g8H3lt59A5xHWmHLwpxtePrr78o&#10;tt9WO9QR0pGAEHd898bD+locuqlu/W/0PIS4j96+1K35wwC37KJT3YKzuzbvEAf57awT3X0F5vYF&#10;P57DDnH4+fErznAbnrnQ7dxxudt7cLpZd6UUhl1EyyBa4PF3iBJJwxeBYrKKyC4xkSVNeeCnAUmz&#10;ZBchVn810gTJ4/dNzqfF2tkqRCxeSbFMi9QRi7luKw26Li10WTKQxM8S0tKOUfKkRZcVoRGgD0ny&#10;k8h3AP2zdr3ThNZW2rHFJLxQ3RrJo+ekUmJ9TzMuyRPrdwip2xpPLC20K11ofWJepQxekS9JZgvN&#10;hxbysH5iAmRHpHDNSy2zy+H/3X3SGf3MG/XtCV/yImEYq/KQmCF+VjohhGSlUiGuU0PTr/zyL736&#10;unlTnhBCCCE15XBVhTjri/mb5qwwbtgT0rEpfByK1NNuW9XsE4W40hjU42NjY0IcaTvqWYjrfFpP&#10;84Z9kPsGucefON+tf2e827xzitt7cKb79ItZxUemNotwV7YCO8Uh/cDHM93OPdPchg8uc0+vvdDN&#10;X5CfEAexTQ7IO1p8gygGEQxSWNbHota7dKV3f8s6tvYOhThCSHukUiHupTcq35lnx+ZJbv3KC9za&#10;Wwe5FVNOd4vP7V6U3xb17+KWDmgovi4uvN4/qGvxFYLc/eef7J65ZYDb9OY4t//j6shwoDDsIr4M&#10;Io9c1JIGZA/J78sZIakDpBFZ0pQHfhqQNEtoEWL1VyNNkDyh+KYBYo0lUEGSg6ijZSsfv0xSLNMi&#10;dcRiLjsNpkWvKUhEIhZhfCKc4bwegy9sgjRj1Gs5DdZuav74MKeQzywBCuf8ecLasPoPQmtLzluP&#10;QvWRdvw5CtWtkTyx+Q1RrXUpeUL9RowRf6TL2vGxxhNLE/ER9el5DYnBAGvVbx/xCEmtsfnQ4h1A&#10;vehTklDZEShPiGucpfNTiDu6YKzKQ2JGIY4QkhdLly1s0tdjkEWIO6GhxzF++dVr11k35QkhhBBS&#10;Ww5bTzWtqhB37fUPGDfsCenYFD4ORSjEtT/KFeJklzVgpbc1FOLqk/oS4kq/mM8qxN1732C3Zu1o&#10;t23XtOKOcJ98/uNOcCLE4Zw8OhU/I6355yvd/uIucdPcuhfGuPkL83tkKh6HKof/WNRKoBBXv1CI&#10;I4S0S+4ZOLy1ENc4q+UyXXJYj2fJQ4jbs3+a27bpMvfus6PdujsGuYcva3KLhnZ38/qd6BYNaHAL&#10;+nV2C/s3uKUDu7r5/bq4pSNOdo9f2du9umy42/7RJLPOvCgMu4gvg+hH/4l8IUKKJePEpI4kkQWk&#10;KQ/8NCBpltAixOqvRpogefy+iTATKxsCYo7Um4RfNimWaZE6YjEXaajctnR5C0hGVrk0Y9Q7qMXG&#10;kITIX1IXgAgWEpYgOPlzZ0lVksdfH3K+HoW4aq9LyWP1G3ENSXAaazyxNL1ORF7EOP1zPiLn+eKr&#10;v1sfSJoPrCVIcHp8eJ9l18j2yN5D04dXKsQB60Z9e4KSV3oYq/KQmFGII4TkhSXE4f524XdNqsMS&#10;4pY/ttK6KU8IIYSQ2lL4G721ENdyCa/8sL6YpxBHjkYKH4ciFOLaH+UKcfUunFGIq0/y/+ysuxkC&#10;nL4OlyvEAfOGfYD75g52a9eNdrv2zXDf/G22++Kra4rimzwq9eCnV7oDn/yICHEizOHxqXsOzHQv&#10;vXKJW7goPyGuWsIQhbj6hUIcIaRdUqEQt/q5cebN+izsOzTD7T0wzW3fdJl7e/Uo99y9Q9zqG89y&#10;j00/3S0f3+geuOhUt3TUycVHqj48sck9VUh7ZfG57r0XL3a790wx68yLwrCL+DKIlj4gY+CcCBmW&#10;OBKTOmIii5CmPPDTgKRZ/RJi9VcjTZA8ft/SlA2h4wEZS3ZPs9L1+aS0LEgdsZhX0pY8LhJyGerR&#10;YhFiFhKRQNp2JU9sDGnB50W3mzSvkJy08Of3IbQ+9KNa9XkfS+QSQnVrJE+W2OjxV2NdSh6/34i9&#10;/G7COsF4cU7nkbqt8cTSgOx0J+Ii6sfPaNPPawFxTe+W54tsaeZDQNsyVrz64+xIQIhrfe2OC3HW&#10;F/OHD+8yb9a3Fyh5pYexKg+JGYU4QkheVCrEYZcZvzyFOEIIIaQuqK4QZz03feas+cYN+/bLiBEz&#10;jggz4B/+4b+5zp17uauvXtwq709+8vfFPCHJAY9VlHqsRyxKeaTNmfNIUWhBeziHNL9dtHPccV2P&#10;1PmLX/z34q5Vuk6N5B08eHzxZ4wNZaQ80nXf0RbalH6hLzG5Cvl79BhSjJeUkXKoJ/RYSYkLyuBn&#10;jEHGjVc9JvRd5/XJMl+CxFH3GXHBWDEPVhkfKSfx0XMHUH9o/EDalrnxwXk9VxZoQ5eR8+X2KQZi&#10;JvWE1rusYd1vjNNfZ4LEAGvIT9NIPhmXxp9/gJ9x3s8rSH68Wuk+6L+uPw1W+zIO6/MO0syP/xnF&#10;K36W+qQuv5x85oDfhqShLvwca0OX0yAN86jHY+Gvd2lLl0uaPwu0j7pRVteFviOusd+TMs5K5iVW&#10;Ls1nJxuWENf0aKH+xMN6pvqttw+0b9ob3HvfILfq6VHuw82Xu70Hr3AHP23eDe6zw9cUpbf9h2a6&#10;nbunux27pxXTizvGfQEh7qrio1O/+X52UZR79fXqCHE//PBd5h3iUAYHHqsq5774Ym/xXOjwxSSp&#10;IySl4bGtcuC9n45yn3667cg45MDjX7H7nT8m9LWcQ4/R5513VxTHLWPBIe3jkbRWGSD5MS70E6Ia&#10;Hk8rB+q0xixkHbtQrhCHsaBetKfHij6jH6G+4jwOlMHPqAf5pQ684ufY+vtw09PFeGBs+kBfYnMj&#10;scGrnJM1irp0Xh/0CQfy6/OIu55vvOJnaw1LW34dAsal509iGVs3hBy1ZBDirL+78xDiQFGK2z/N&#10;7dx+udvy3gT3wSuXuDdXjXIvLRrm1twywK2e08+tu3OQe/WB4e7ddaMLeSa6XTsnu71VfFwqKAy7&#10;iCWDyM5XEC9EAgHW7lcxqSON7CLCSDnlJS0ktIBY/6qRJkgev296V7GsUosv6PjE4pVmLtIgdcRi&#10;rteM/4jdJEQWi9UfIu0YRbJDPK30ckgrrAmhdR9aW3rnRl8401g7PAqhujWSJ0v8q70uJY/fb5En&#10;QSgmkm6NJ5YGdCzxWZXY4DNs5bdAuVA7aeZDo8fbkXeJK0eIs/7ubu9C3B13zCnO9c9//lMznfwI&#10;Y1UeiBfihvhZ6YQQkpVbbrvlRP96XKkQt2DpMuumPCGEEEJqS3WFOGub2I4kxEHMKAzTxJJnJC0k&#10;OSSJEJIGkUOkDB+cF9nCSgdI8+sGIv5AVInJVegbhJFQH0LiUCi/xhq3jgvEF50f6PHoces6QNb5&#10;AoiFlV9AnBBvq6xG8sdii/iERBrJY81dkggnQLjR5eR8uX2KkbSWUWeSDOVLTug/zqNP+rwG61LK&#10;a6kJcyTrOwTWh65LkHKhNeIj/cyCNa+Shs97KFax+Yl9RnFe99MvG5s///MYaiP02YDUFirjo4U4&#10;jDNWzlpnIdLMUej3pKSXOy8Yf2zt699TWcYUpu2EOPDIYyPca+vHu4+2TnZ7DlxRFOKwUxykN/y8&#10;ZcdUt3n7VLdzb7MQ98c/XV2U5T79YlZxV7n9h650rxSFuHPM+stBC2IQcaw8IeSAYCXnRAAKHVpM&#10;0nWEhDicl8PPI6JV7ICspEWrcoU4PUYB9SaNF+1DevLLAjnQJy3C6QPlMU6/bDljF8oV4lBf0mHN&#10;o55DxCJUDwQ1q79p5sxfV4IlxOn6rNgC9EMOSIByHv2PHboOYLUviHBnHaHxEHI0c/fdA/qkFeKs&#10;v7tXPGk/+rBS9hyc7nZuu9x98Nol7vXHznevrzjfvbN2tNv01ji3c+fkkryQ6fTPeVIYdhFLBtHi&#10;hRCSQGJShxajLIFDCydWeRFhgJ8GZMck2cnOIta/aqQJksePr45tSMQJIeMNzYXeecxPS4plWqSO&#10;WN+1BBSLkYWMAZJV6PGjIdKOUctreYlFWeMbWkOh84iF1B8SzxB3kf2suIfq1kieLGuz2utS8vj9&#10;jsl/QO+WZ40nlgb0OtZrJqvkKeX8dtLMhwZrVerqyELcvoPTUl+75cDNdp0f7D/woXmznhBCCCHV&#10;oVIhDodfnkIcIYQQUhdsqLkQN2XGXcYN+/YHZIfCEItAjBDxA7IDRApfPgKSPyQ5aNHEyiNpAtpB&#10;u0BLFCKNQEiRetBfLT1ZooovDGEMGA/SMEY5L/XjVaQl2blJ8lg7LCE/8iBNt6+lGvRRlwE6LgB5&#10;MXacR790rHBe8uk6ypkvPWbkkVigrO5zGlFK6tH1SR90XRBl/LJAl9Pn9Xj1uBATme9Q/6SckLVP&#10;MfSc6fkBaEOEIPRRrxXMk5aVdFnkk/PW+gKyBv0+S50YE8Ym45T5l3r9+IKsQpyg67XSQaxdSdN5&#10;0s4P8kk6XiWOOK/7JfjlY/On04DEFGl+/ZgPXRZIPFFOz6MekxUPmUOsGS2boQ7U6fczBupCGbQp&#10;n2uAOpJ+T0qakGVegIwf4DMr53VZIcuYQtx669pZ5Qpx1hfzv79lgHnT3gI7xC17aJh75tnR7u13&#10;x7vd+6a7L7++zv35r9cXhbjiDnF7Z7idaoc47AwHaa55l7hZxcetvvjKxW7Bwvx2iIP4o2UsvA8J&#10;XD5yWLJYWulKjnKFOMhVEJZ0Gsak29dCkxCrVyOHNUYtNKEN2dUL7fvilyVe+QfaECFMl8ec+GUr&#10;GXvaufFBexgzdsSTfgLdV2vXNR1rHMgra8zvryVlijCIVx1HxFsLieiXLgcsIQ1tymHFB6B/cujd&#10;2mSc6Kc/39Y8hYQ4jEMOjEviiToRj9COcoQczWQR4qz/jb7ooYvMm/V5sPfgdLcDO8a9P9FtLlzj&#10;t3800e3aNdntK5zX+dpKiAP6UZUgJGDEpA4tlECakTogr2hJJlReRBjgpwFpG3XLDlGQVbQcE+tf&#10;NdIEyWPFV3bUApCI9O5W6DtEQpT3xSeJGcaLPHIeY9Z1Al0OJMUyLVJHaN0IWiDCWLREhHWBnzF2&#10;jEWXw3kp54Mxoi7UbQlQaceIsiJx4RXldH2YD8hW+AzgVc5j/co5nR99lvr0nKFe9BdzhTHjHF61&#10;yKXrB7Ju8KrPAx1TtKPXjb8GdJoQq1uQPEnzq6n2upQ8fr8xRimLPsic4FXXC6zxxNIEGZuA+bfy&#10;oW9YzxiznEM/cE7K+nMSmg/EEXOt8+O9xBLpOn9HIy8hbvOWN82b9YQQQgipDvkIcaX/BrjtnnnW&#10;TXlCCCGE1JbqCnHWF/MTJv/BvGnf3hDpwxK4QiA/CEkOWjSx8kgaEAFFI5IRQL98mUPXb5XXooYl&#10;smjhDeKGllIA2hOhwyofQ0s0fpruNwjFD4TqKWe+ZCxaWtHofvmx8JF8wIq97rcWdARJQz59XuQd&#10;K97ok5Sz+idpoJw+xdCx8edLREOsV0s4ArIWfVExaX1JOna9k3NJcQAyVpT306QvePXTYuj4WelA&#10;0v151Wkg6/zoNOvzgnMSK2Clh8rrNNRhxVRi5kthmG8pa41J1oY1D1IuJEPmRWzsQNJA1nnRdVtz&#10;jvxayLPaz0reQtzsOf3Nm/YhFi0+2z3y2HnupVcudlt2TilKbn/687VF+Q3gMaoHP8X7q1qEOOwO&#10;d7U78MnMogyHx60+8+xFuQpxAHKOluJwpBHj5IDA46ella7kCElpacU1i5CMBNLWK4c/Rl3eGj/Q&#10;0pMleunDirWOoZay0hAbe9q5yUKsTh0rCGWIi59H+mtJZTEgkomkZs1DKA4i0qGsPu+na8FPj0ME&#10;tiRC7Uu8kh7bSgj5kUqFuDvnjzRv1udFUXZrAe+rKb9ZFIZdJCSDaKEkJIGAkNQh6F3ifFBGJB+r&#10;vO6DnwZC8pSW92L9q0aaIHms+EKK8kUhC3/HLUgxIl5Z6Dp1OZAUy7RIHaF1o9EyUAhrbUnsktDy&#10;EcgyxqRYClrwwrqy8gioT4tyuj8WmC/JK8TWFtaNL2j5oA+6z5pY3YLkSTO/QrXXpeSx+h1bY+gT&#10;1hfeW+ORfLGx+r9j8PvKyidxC2GVC82HX9bHX/cdjXKEuOMaenTV+QGFOEIIIaS2VEOIu/Hm26yb&#10;8oQQQgipLbUX4sZOuMm8ad/eEHEDhCQbH8kfkhzSihha9tFoESMkGkm6JWOIxBKSxnT/QlJKufJQ&#10;bOw6LSSnCToG+nzW+cL4rHp8JE9SvyRfaO5i4weS5s9b6LyfHquz3D7FiJUV4SfUZyDz6ItRImVa&#10;wpSeMz3HGB/Oxdak7q+/Pspd06G1qJF0KxaSVs78SIxDn2UgcQF+WqxunRb6PRAae6xeP91PE4HP&#10;lySrgfQh73nRMQ/9jtbr2IpRVioR4qwv5rMKcXPnDXFL7j/HPbHyfPfqG5cUBbc9+68oim9/+fYG&#10;9+XX1xcFuc+/utZ9dvga9+e/3uD++v2Nbv+hK9zGTZe7518a6x55dIS7b95gs/5KgOADSUfkIjkg&#10;KIWEMTksESkmSGnkCLWhJaRQnhCxPqStVw5/jHp3uJgcpfP5aXKEdimr1tjTzk0WYn3VadYubqCS&#10;PoWks1ga+iGH3yfMpxzYvU3Oa8FRn48Rah/l5bAEQUJIa+68d2Cr63Dsprqft9pCXFsjAou/Q5UA&#10;sScpDxBBJySKAAgcWorBe5F2ZLcs1OOXkzT0w08T/Lohl2gpSfpn1V+NNEHyxGKHGPgiDcaCsiGp&#10;SXad0gIS8kPWgpiEn614pYllGtKsCQ36hf7p/kJSwrhRh+ycJoggifwYj07D2DHfIjn5Y8k6RrQN&#10;GUqvH4C+IcZarBQwL/54UB799seCn9Enf45l7DqvIOsGr1Y6iPVBr32fNHVLnrTzK1RzXUqeUL8R&#10;Dz2HWB+YVy0QWuORviaNVY/JX5MCxo/4636gHNoPCWzSN39ciBliKesc4D3OhdrvSJQjxHVqaPqV&#10;zg/efPsF82Y9IYQQQqrD8NGjO/vX46xCXKfuTbt1+ZnX3WTdlCeEEEJIDfnqq6+er6oQh8OvvKMI&#10;cdjJRwQNvGKnoJDgICAvCEkOMZECSJolaYBKBZwk8Sepf6BceShWd5p2hVAMss6XricNoTkR0uST&#10;PNYYQ+VlV0BLztFxsyTAUJ0ayZMUd5/YnMn5tOiyul5fxhJZzpfAZE2mxe9vuWtaryErHUi6NQex&#10;NEHyhGIcKxvrX2z+YmlWHn0en0M5b8l00id8Rv00LZNBiksrIpeDtJP3vKRZS2nim4Vbb31mfLlC&#10;nPXF/Kzr+pk37WPg0amLFp/jHl4x3D2z7kL3/keTio9F/cH9pvj41C++uvYI3/2vm9x/ud+63Qdm&#10;uBdeudg98NC5bt6Cs4t1WHXngYhx/o5x1g5mcviyGEgrOMkREr5iolUSsT6krVcOf4wh0cknJj7J&#10;YcVPkCPPsaedmyzE4pkm1jqPlR4jNhexNP34U31ePy7Vlx2xo5sciGPSzn2h9lFO2scr2oyJlYSQ&#10;coS40hvwv719hHmznhBSHSAwFT6KRWK7YCFN8lnphOSJCI2Q3ax0kjOHZhSu3RTiCCGEkPZGHkJc&#10;If8GXZ5CHCGEENL21EiIK/0iYOTF15o37dsjEDJEshIg5YQkBskTSk8SISQtJGLEBBchVkeSrJHU&#10;P5BUB4QYiC2Sz8KvO027QiwGWeZL5Kq0hHbKEiRfORKNTvPL6/FilzqR/FCH7BLmP7ZSCNWpkTzS&#10;J8RQzvnodpBfzuvxaCEqDdYOZyIBhh6n6u/WJ/nTgDrQR10+aU2HiK1FQdKtOYilCZLHXzNpysb6&#10;F5q/pDQrj58m8USs9ecGkqrMIT5/uozgfy4xt3rdZwFlUBb98X8vCHnPS5q1lCa+WahEiDuhoccx&#10;uhyYcVVf86Z9GubOH+wefOhc98LLY9zmbVPcngMz3J79M9zuA9Pd7sLrzn3N7Ng9zb393gT3+MoL&#10;3H3zhph1VQMR4+SAtOMLO3JYQlda6UqONKJULA+kJi0r+YdVRo5QvUAOf4xyWI9C1cTakcOKnyBH&#10;qI84n3XsaefGAiIXdrQT0cs6/L7GYmDlsdIBpDE8ytSXNeWwpLeQkAYwDhz+2pbHpeJV5wfI58ca&#10;dVvCKIi1D0FSpDg5MJehGBFytEMhjpD2BXbGKnwUi1i7swnyCE1gpROSF9j5TdZaaNdGkjNlCHHW&#10;393PvbjKvFlPCCGEkOpgCepZhTj/O/gJ064yb8wTQgghpHZAiMPf5foaDVou3/kcHVmIAyJV+NKN&#10;L+UASUsjkVh5JC0kYsQEFyFWR5KskUbUiNWhd3iK4dedpl0hKQZp5wuyVayerEhd5Ug0Os0vHxPU&#10;AESf0E5akidLnyoV4nT5WLsxrMdO6sdM+kKbyE4xCSlG0uciRNJaBJJuxSKWJkgef82kKRvrX2j+&#10;ktKsPH4aPmuSZgEJMia4oW5fjEMZf95jaPkuRt7zkmYtpYlvFiDEFa7DJf87rRIhbtL08oU4MH/h&#10;EPfwI8Pd2udGu9feGOfeeneCe3fjRPfO+xPdm++Mdy+/OtatXjPKPfLYCLdw8TnuXqOOaiPSEA5f&#10;+pGjrYQ4yEkiHCUduhyI1auRo96EuErGXq4Qp9dC7PD7GouBlcdPgzgWkuD0YUlnSUKaHLK2EVc5&#10;QpIbQJoff0ugi7UP0B52EfTHl/aRrIQcVdzT3/hC/rTxLZfpVof/eJZrfjPcvllPCKkKeoc47MaF&#10;neD0Y0jxuEgtw+ERkro8IXmDNSbrTa9FUkWKQpy+bicLccc29P6ZX+bxVSvMm/WEEEIIqQ6WEHdc&#10;Q4+uLZfrVAeFOEIIIaT+qIkQ538xf+6omeZN+44A5AXZlQv4MkPovJAkQkhaSMSICS5CrI4kWSOp&#10;fyBUhy6LNH9HtVjdadoV0sRAQF2h+cpSTxqkrtDcAcljjTFUXvqP81rig5wGaSgmCYXq1EiepLj7&#10;IH+orJyPtRtD7zIHsQnnRJDyd40DSes6iXLLY3zSTysdSLoVi1iaIHnKiXGsf7H5i6VZefR5zB1E&#10;NAAxTn/+8B59islwGuTTY0g7PygnMhw+J9bjk6VOK36xNEHy+PFJs5bSxDcLt922ZrgvxB3frXF+&#10;of7Ew/pivlIhDixYOMQte3CYe/SJEe7ptaPcuucuchDkVq+50K14dIRbuOjsNhHhBC0qhaQwS+hK&#10;K13JkUaU8vPoNiCmQXAKpevzIFavRg5/jLJLWEh0EvQjU/3Ha8phxU+QI8+xx9JC6HhhzO+8uyKY&#10;7vc1lmbl8dNEKsNuaui7H8eYdBZLAzKPIrNBdMOBtvy8FuiL7CiHw5/LpPY1iIHefS4UK0KOWjIK&#10;cf71fsqsc+yb9YSQqoFduAofx0TwGEsKSqSaYH399Kd/V1xvlC9rx4ED01tdu8sR4pY+tMi8WU8I&#10;IYSQ6pCPENf0qC4/ctwk88Y8IYQQQmrHV1999WhrIa7xcMvlO5/D/2J+yHmXmzftOwoQKwrDLuIL&#10;E6Hzgt7lyhIhksrjvOSx0kGsjiRZI42oEapDdvWCiKLPC7G607QrpImBJjRfkGTkfNLjUNNgteEj&#10;eawxWuX1bms6b1qsOn0kT1LcfWJzJrvzQYDS57MgIpUIcCI4iSCn0buJ+eJTGpI+FyHSrEVJt+Yg&#10;liZInlCMY33WO+35abH5i6VZefR52R0uayxjxMZhoX/PlrN7YixNkDx+fPRa1Oc1SdeBrOQtxI2b&#10;dKZ90z4D980d7OYtGFwU35beP9Q9sGyYu7/AksL7BYVzSLfK1QotKlVzhzirDgDxSg5fEPJlJp9Y&#10;H/S4YuKRHH7/RIJKEqckH3YA89PkCI0dyJHn2GNpIfTjRa30WDzTxFrn0ef1jm2hXdNi0lmSkKaF&#10;Rb3rXtLOfz4hQTKpfR893ti6IOSopEIhbuzkIebNekJIdcHjUiEgYZe4wkfzCP90zM9dr97/Utw5&#10;zipHSJ5gnWHdQYqLPcKX5IslxMWu3XL4ZSjEEUIIIbUlDyEO37nr8kMuGGPemCeEEEJI7WgTIa7f&#10;OePMm/YdicKwi/jCRExSwc5JerckS4QI1SvgvOSx0kGsjiTxR0suIVEjVIfsXoYY6POCfoyiX3ea&#10;doU0MfCR/DomWpQLxSMLVhs+kscao1VeC3H+I1/TYNXpI3mS4u4TmzMtMGWtV9DrRcuLlvCmBaPY&#10;WEMkfS5CoC1p10oHsX7F0gTJ48dRi1eW9KVjBvz02PzF0qw8+rzMGwTGUNmspImzRq8dawfFpMf6&#10;xtIEyeOPUcfd+syibZE7rfLlUIkQh6OkXIE8hLi2BLuKQdTyd/vSiNCDI8sOZ75o5KcL8qhISxhC&#10;e7EdsyBn4QjJS3rnLj8NY5cjNn45/DHKTmI4QqKWbsOKkRwx8UmOPMeO9uTw00LExD6g59vvq5bd&#10;/DQrjz6vY2g9whRrK7aGkoQ0LaDpR8LG1oRFqJ2k9i3kiK0LQo5G7rxzYKtHl0cfmeo9noVCHCGE&#10;EFJbyhfiGg/rMnfPu9u8WU8IIYSQ/Pnh+0OHqyHE9Rp0rnljnhBCCCG1oyZCnP/FfEcR4iDHQDrR&#10;u4dBroiJKFoEQj6RdyBJaAkCWCKEpIVEjDRiSKyOJPFHSy4hUSNUh5ZQ0LaMHTHSj/oEft1p2hVC&#10;Mah0vlBel0X/8TPKh3a900g9obkDkscaY6i8lig16BP6jNhau6YByVtun2LE5kwem4k0vKJ9LSZh&#10;HrBeIE9a0hBAfqlfRFPMhZUX6Dghn55r1IUYSbx0OYDzKIdXPy1GaC1qJN2ag1iaIHmsGEsaxi7p&#10;OK/7JeiyIDZ/sTQrjz6P9v3fdQLmETHG/FhtynpAHXIen0Gpz5o7C8y9tIkyUp8Vm7znBch6Rb/l&#10;s4nfJ2mvA1mpXIgr/WJ+9Lj2LcRpCQniGaQmnAN4L6IRDshCfnk5LHFH1y3SFgQ3XzTSEhLyiTwH&#10;+UmkLzlQpy4rkhbyaVkKbWiRDocuJ8iBvGgXZNkFT7eBdBEGpR7pP+Io49LIEROf5Mhz7GhPDj8t&#10;hBbeUF7GA2FNy3c4/L7qteCnWXn8NIkjxiXl/RjjsKSzNEKa3/+Q9Idxox60K+PHq44N3usyofbx&#10;M9a7/jxg/eCcHIitLkPI0c6kaX3/VV+DQafuTcNbLtGtDv/v7vMuHmDerCeEEEJIddh9aEommV0O&#10;CnGEEEJI2wEhDvKbvhaDMh6ZerMuTyGOEEIIqQvm+9foqgtxvQaMMm/atzdEkgkBmcovA+khJjBB&#10;iJCfLRFC0kIihpY5rHQQqyNJ/EGfpHxI1AjVERs70Gl+3WnaFUIxKGe+gBbmQkBwscpqJG+5Ek2o&#10;vI5NDMRXlwOSVm6fYiTNGaSkkBilCcl8wBcptbDok7T+BEuqS/pchAitRY2kW3MQSxMkjxVj/fvE&#10;B7HQkqpfNjZ/SXPr5/HTdFxi6M+krs8Ca0mLcknEPteoS6S1asxLbO3jPNax/ByKb0b6dOretFtf&#10;h49mIQ6IsBM7QruQyRESunwxC4cvBkEosvLhENlLDl+mgjCkhSj/0PXqcoKW8fSh88hhjRHth/ou&#10;B+Qq5PPLAjlC8QNy5Dl2tCeHnxYiNk84dJrfVy27+WlWHj9NrwHrkLb9tQVkfVtpAqQ0fVjyJ9Bx&#10;sw70wy8Tal/Oh45QHwg5mskuxDU9qvNSiCOEEEJqy4LlF7W6dqcR4vy/2X936y3mDXtCCCGE5E9I&#10;iMOucS2X6lSHf7O9e69+1k15QgghhNSWVkIc/gZvuXznc/hfzJ921rnWDft2B+QLCBtasoHMAEkn&#10;ScyBjCFCBF7xs8gccl7vYCVIWmjXLBFckM9KB7E6RDAK7bSkd1ay+gdidWDskEhENgGIn0hPobGn&#10;aVcIxaDc+QKQUpBP+gcwBghSaA/jssppYnEXQuPXabo8xiTnLZEL/caYkW61XWmfYqSZM1kPvqiG&#10;uGI8STKQFodQh5XHB2vNlyNRFvMbku9iazqGCGmIoZUOYnOQx/zI2kUegHWLmCP2WD84Z/UvNn9p&#10;5lby+HXrOfPjjT6hv3p+dP3I738OMXdY42k+gz6oT689HRuJWbXmBbGPXQfkd2SofEZaCXG48Bfq&#10;T3X4ZUdc1P6FOAAZCdKb3hEO73EuJDABEbL8XbEESFSoQ/KhTkv+8vPhFT/Ljmty3hLLZFctyYMD&#10;O36h38iPA2l+OQH9kXEjH8rqdKk3Nkak+YITfsZ5pFvlQFLdQPLkOXa0F0qLgbHoeOGABCY71IX6&#10;Kn3B4af5eUJ9wpj0Tm7IJ2tExuPPHZAyVppG+o4j1MekubbKhNpHvyG9aZEQfUA+fxdFQkgzWYU4&#10;//EsA0f0NW/WE0IIIaQ6WEJc7Noth7+r+9Wzrzdv2BNCCCEkf3744ZPd+QhxpY9joxBHCCGE1AXV&#10;F+L8L+Y7ihBHSFsjsluSDCbST2xHK0JqgaxFrF0rHUBIQx6QJEWSVFQkxPlfzJ9zfm/zpj0hpH0h&#10;kpu1yxshpD4YNabPifoaDGI31f0/7HsO7GPerCeEEEJIdchLiJt0xRXmDXtCCCGE5E+1hDhg3JQn&#10;hBBCSG2pyQ5x3jaxg60b9oSQjMhOWni10gHkItmFikIcaWuwDpPWIiQ4yUchLhdyFeL6D6MQR0h7&#10;B7u1ySG73RFC6o9Bw07L+sjUkr+7u/XqZd6sJ4QQQkh1KFeI69St8XldhkIcIYQQUjsgxB3fvbGP&#10;vhaDrEIcHpPu1/HxoU+sG/OEEEIIqR03+xu4VV2IO7HHmdYNe0JIRvTjUCEY6ccrQoTD4yn1IyHl&#10;cYyEtBWyHiFp4pGlek3iPc6JwInHhuqypDxuvXVt10qEOP+LeQpxhLR/8OhVOWKPuCWEtC2WEIcv&#10;6Vsu0a0O/3+jU4gjhBBCastF4wblIsRdOH6CecOeEEIIIfkTEuJOaOhxTMulOtWBa75fB4U4Qggh&#10;pM1pJcRhM5iWy3c+h//FPIU4QvIB0psW3kKIfGTVQUgtgbQpwlsMyHBa8CTlAyGucGE/rK/DlQhx&#10;vQf1Mm/aE0LaBxDgfvjhu6IMBzHOykMIqQ8oxBFCCCHtC0uIi1275Sj8jf6oLkMhjhBCCKkdeQlx&#10;Vh3bd+y0bswTQgghpHbUXogD1k17Qkh2IMUNHjy++NhUXzTCOewcx53hSD2B9YjdDeWRvwLWL85B&#10;3sS6tsqS7NhCXOOsQsxTHf4X8xTiCGnfvPPuiqIMBynutdcWmHkIIfVBViHOejyLdbOeEEIIIdWh&#10;XCHO/3L+7JGjzRv2hBBCCKkGhzZYu7vlIcS9+95G68Y8IYQQQmpH9YU464t566Y9IYQQQvKlWYgr&#10;vQZnEeL8fyQ09qUQRwghhNSCTg1Nv9LX4GYiO8QZX+Bv2TnVvGFPCCGEkPwZOLxvZ/9anEaIwy7u&#10;ukzvwcOMm/WEEEIIqQ75CHHHNfRo9T08hThCCCGkzbnZ3/wldyHO+ofEzbc8Zd64J4QQQkh+VCrE&#10;+V/Md+91unnTnhBCCCH5Yglx+IK95RLd6qAQRwghhLQtWWV2Ofy/u086o59xs54QQggh1cEW4o5t&#10;6P2zlkt1qsP6d8BLr75u3ZgnhBBCSO1oJcR16tb4fMvlO58Df/jrBgCFOEIIIaT63HbbGuML+dPG&#10;t1yiEw//i/nOp/U0b9oTQgghJF+yCnHW393vfnC5ecOeEEIIIfmT9dotB/7Tmi5DIY4QQgipJRTi&#10;CCGEkI7KV199NatNhLhrr3/AvHFPCCGEkPyoXIgr/WKeQhwhhBBSG6zHrWQV4l56Y6J5w54QQggh&#10;+UMhjhBCCGmPHNqA78v1tRhkFeLwiFW/jtVr15k35wkhhBBSG5qFuMbn9fU5dyHO+iKfQhwhhBBS&#10;fabNnNfZvwbjf7y1XKITD/+LeWDdtCeEEEJIvlh/R+NGe8slutVh5acQRwghhNQO61qcRoizbsLb&#10;N+wJIYQQkj+2ENdymU59QKDz61j+2Erz5jwhhBBCaoMtxDU92nL5zuewvgyYOWu+eeOeEEIIIflR&#10;qRBnfRlg3bQnhBBCSL5kFeKsXWlWPzfOvGFfEYdmuL0Hp7o9+6YVwOtUt//ANLf34+l2fkIIIeQo&#10;Ieu1Ww7rMW2HD+8ybtgTQgghJH+qJ8QtWLrMvDlPCCGEkNpQEyHO+mKeQlxtmD79bvyjrQjeW3lI&#10;vgwePL4Y75/85O/N9Eqpdv3V5Ljjuhb7jlc/rUePIe6Xv/y34vj8NGHMmOvdL37x34+sabzX6xrv&#10;UTdig/R/+If/5vr0GVlSByG1YsSIGcU13blzLzO9VowZd1OTfw3OtEOc8cX8rbcPNG/cE0IIISQ/&#10;rEeg4hEsLZfoVof1eJYVT15s3rCvhH0Hp7ld2ye5bZsuc1s3Tiy8TnQ7t13udu+dUpTlrDKEEELI&#10;0QCFOEIIIaQd8v0nz1tPSWm5TGc6/DooxBFCCCFtC4S447s3btDX59yFOOuL+Skz7jJv3JN8mTjx&#10;liPyEN5beUi+QMCSmFvplVLt+qsJ5CD0G69+mowpNC7IcDqPIMLbnDmPHBHhNFZbpLrExEcLiGNZ&#10;5yuLGJokBkPGlHQf9AdrDOvLL5eErHfQlr9/KcQRQggh7ZN6EeL2YUe4A9Pczp2Ti/LbprfHufee&#10;v8i9+8yF7u2nR7l31lzo3n9+jPvwjXFu60eXuT37p5n1EEIIIR2drNduOaxy+w98aN+0J4QQQki+&#10;mEJc4+GWy3Smo7SOJnfbPfPMm/OEEEIIqQ2WEHd8t8b5LZfufA4KcW1HexTiRGqK7RRWz1QirKUZ&#10;e0cV4mTnt5BEJenY9e3qqxcXz0FuEsFJBCkgax35KILWntg8W+hd/4Alrflk+Rwk/R7U4loIfDbT&#10;9Esjoh3WbDlCXV5YQhy+bC/0LdVhfTH/+1sGmDfuCSGEEJIPd98z8LB1DY7dVLcez7LooYvMG/Zp&#10;2Xtwutu9a7LbvGG8e+PREe7ZOwe5Nb/r71bP6etWzT7LPXkDONM9VXhd84cB7rUHz3Ob1l9S3DEO&#10;Ep1VJyGEENJRyXrtlsMqt3nLm/ZNe0IIIYTkS65CXGPhb/kf66EQRwghhLQtNRHirC/mJ0z+g3nj&#10;nuRLkghSj0h/Zeev9kYlwlqasXdUIS4JGXNIFqykbpIvWeYCkpnMrQCRzMqrqYYQ5/cXQqVuB1Kc&#10;yJjtieGjZgz0r8H4sr0wplSH9cU8hThCCCGkukCIs3ZprbUQh8egbnlvvHvj8QvcE7POcAuGNLj7&#10;+nZ28wd0cfMGdnHzBzUUXgv06+wWnN3VPXFlb/fqQ+e5D98c5/bsnWrWSQghhHRIDk3PfO2Ww3rU&#10;KoU4QgghpEYUhbimm/V1uHBN391ymc50UIgjhBBC6gsIcbiu6+szhbgOBIW42lOJsJZm7JXU39Zk&#10;EaU02F1Lxhxax+XWTfIny1zoXdSkHN5beTVZPgflCnGC3n0wjaxXb1RDiJs9p795854QQggh+RAS&#10;4vC3dcslutVh/d195/yR9k37lOzYOsm9tWqUe+YPA90DF57iHhjU1T08pLu7f2BXd/+gbgW6Fs51&#10;cyvOPsktGdDgHhzbwz172yD37poLi49YteokhBBCOiQU4gghhJD2SRWFuBtvvs28OU8IIYSQ2vDV&#10;V1+N94U4XPdbLt35HNYX82Mn3GTeuCf5QiGu9lCIC5NFlNKkWcfl1k3yJ8tcyGOCsa5HjJhxZJ7H&#10;jLnezC9k+RwkrZ80/YWkhzx4vKuVXs8MGDqh1SNT8WV7YTypDuuLeQpxhBBCSHVpfmTqaeP9a3BM&#10;iMPh569UiNv83ni39o7BbtnYHm7hkAa3oF9nt6h/FzcfO8IVXhf06+IWFl6XDOxa3CVu6QUnuSeu&#10;6u1efXC427n1crPO9sSadRe4hm7/7Hr1/hf36vqLzTy15Pa7ziz2Z+jw48z0tgAxKiy9Inhv5SGE&#10;tKatPzsbN08s/m7D75RHHh9m5iEZCQhxSdduHNbf3W++/YJ9054QQggh+fL9J89jpxh9HS5XiPNv&#10;uFOII4QQQtoWCnEVctxxXYtfXsUEJhE+rEc9SnlJgxAC4QLnAN4niSHYPQvti7ABUC8eRZhGJAJo&#10;V6QQAT/jvJUfyLjQDpDyOK/jIf3zx4VzSEMe67GJPrr/eGwhdmpCm9IPgBh07tyrWJ/k1Ug7KIOf&#10;UQ/ySx14xc/SrxCxchiX9Mcq65N17H79KC/rCCAGOv4hZAx63Uj8KnksJPoa6o+sEbz65aQMXuWc&#10;3pmrXHQbQPoncwf89egjfUN/kAcxkrK6v0I5sZWxSn2xOMbAZ9YvlzSn5cQkRmyeNfjdJu2hf2hL&#10;fkafrTIC+iZ5rXQNxid58d5PT9NfyZOmPUHmFHG10v244xU/W32shDMGjBzkX4MpxBFCCCH1TUiI&#10;a7k8Bw8/f6VC3MaXL3aPXdnbzcMjUvt1dnP7dj7yqoEYNxeS3NCubvn4RvfcfWe7bR9ONOvMi389&#10;9h+P/PtM89Of/l1R8IA8ZpXLwvSZ3Y/Ui/dWnlqCcUl/6kVgQT/qrU+EtAfa+rOj28fvFisPycih&#10;6WXJ7Dg6NTT9yi9HIY4QQgipEYYQd3z3xg0tl+lMh3/DfdrVN/zNujlPCCGEkNoAIc7fwTV3IQ6H&#10;bgB0FCFOJImYqIL0UB4pL3KX5PUJiWmQSLR046PFHUuygIASaxeExBRJh/ShRRqAOpEH9WsRzkdi&#10;klUK89uzsMaLc5KOmIbqQZ9DIhAknlA5EVrkZ6u8TyVCHMag82liQlFs7ABp6JdVNobumw9iKmtB&#10;1odG1qFOy1uIk8dzhgjNu/QN5a31rPOWG1uJHdqK9TM2r/rz7hNqt9yYxLDm0kL6izb8c+hvrF29&#10;1qx0jf7cW78X0vRX8uD3rZVuEetj7LML/PyVYAlx+LK90E6qw/piftZ1/cyb94QQQgjJh7yEuN/e&#10;PsK+aZ/AvgPT3PbNk9wbj17gHhp/WnE3OOwE54twwrx+LcJc4XXxud3dMzf3L+4uZ9WdF4XhJgJp&#10;DrsgWeXTsHDpwGI9kOzqQfa65NL/LPbnn475eUXjypO2lnpIxwA7lWEN4dVK74i09WcHu17idxva&#10;nz2n0cxDMhIQ4goxTjwoxBFCCCFtSI5CHMrpeijEEUIIIW2LLcQ1zmq5dOd36AYAhbhmpLwAmUp2&#10;coK4oeUba4cnXR7ykJy3pBxLBBF5C3lRRgQUtKVlDqvvkiZAZEEbqAcgj94hSe90BzEH+WP1xmKK&#10;+lAedWppRo9bSzaCFmOAjBtpqEePGfX75ZFH6serxNQvK/jlk5BysbH77WCc0g/MmxbyZGwaLeAh&#10;r5akEE9Zcxifjm0SOraoQ9ar3ydgiUeylq00XbeM1SdWHmi5DjGU/mGMet3E+ibgZ8QK6LmqJLaV&#10;zqsuj7VrxR+vukwlMYkh8YqVQxvSth4P4mSd99HjRZxi6HHiZ7+upP7qvvoxjKH76KdJbPVcSdyz&#10;SHdpoBBHCCGEtD/KF+JK/7i/6Q/nfWvetE9g5/bL3cZXx7oX5p3tll3Uo/iY1KgQV3w90S0c0MXd&#10;V3h98roz3aY3LjHrzovCcIv4O7fh0YMi1wBIcTqd5AuFOJIHsvvh0bRTGT87HZAKhLgTGnoc45d7&#10;7sVV9k17QgghhOTL958836lb06Ol1+J8hLhJM67+wro5TwghhJDa0CzE6Wt81YS40i/mLxhz9bfW&#10;jfv2hogUEB+sdID0UB4pDywBC/KGpPtyiE6z6oZkIQIO8EUQLe9ocUcjQgfkDT9NyoLQ+GV82IXK&#10;SrdIqjMJ6TPw03TMMCZr3NJnS0rRdVtiDc6J6AL89CSkXGzsug+YX1+sws9attFpICRHCbq8liyT&#10;kLihrN8noKUk5PXTpbyVpufNijuIlQdJY9Jt+OtC6o7VDyqJbSXzijQpG2ob7fnlKolJjKS5APh9&#10;JnX7Y5V+hcYCdLyyYK2fpP7qtmKSno8up8/ruPpjrwY9+583Sl9/Ab5sL7Sf6qAQRwghhNQeCHH4&#10;w7z0Gtx4uOXyHDzyEuK2bpzo3lo9yj1zywC3dMTJbsnArm7RgIZWIlwpJxbyNRR3k3tk6unurSdH&#10;uR1bJrk9B6aZbVRKYbhFQo8y1VIcdnqz8pDKodRD8oBCHD87HYJD041rN4U4QgghpO4xhLjCNf35&#10;lst0psMX4kaOu/wz6+Y8IYQQQmqDJcThP7O1XLrzO/wv5keMvvKwdeO+vSEiBcQHKx0gPZRHykOA&#10;8dOEUHn9qMOQVKF3W/JFECkfk1ZiQoycj0krIghBLksrfki9sZjG0H32x6zTEBudJoQkFiCCYWy+&#10;9LxY6TGkXGzsun+hmIYEH+SXsn5sNFI+NrcaXW9MfpT4WWsu1GcQm1MhVl5/Dvw0jeTxBTGpO7aO&#10;K41tJfOq5bK04lqlMYkR6qcmFAegP0Oye5qPjlcWrLkJ9Rex1H2Jfe4tQr9LUK+czxLXcqlUiLO+&#10;mJ9xVV/z5n2Mu+8Z7O6dO8jNmz/ELV4y1D3w4DD30MPnuhWPjHAPP3Kee2j5cLf0gaFuydKhbsGi&#10;s928eYX8Rj2EEELI0UBeQtzUa4b+0bxpn8CW9ya415aPcKtuPMstPf+kogy3sH+yEIed5Bb06+KW&#10;X3qae2HuOe69F8a4HdsmmW1USmG4RUJCHB4HKHnwqFErD6kcSj0kDyjE8bPTITCFuORrNw4KcYQQ&#10;QkgbkqMQh3K6nhEXT/zYujlPCCGEkNrQZkLc8FFXHLJu3Lc3RKSICUxID+UJiRiaUBtpysZEIimf&#10;Fr+8nI+NXUs3kElCEpomTb0xYmOOpVl5/DQ5H+sb0kLlk8irfsnjrw09tjTE1pYmTVxBbM3G0tLU&#10;HyuvY5YGP/6xuoVKY1vJvJYjYVYakxhJ8YLkJvVavxPSCGNp4iUkrR/pbwzkCYmKIWJ9FDkUIF9I&#10;/MuDU888Z5K+/oK2EOLuvW+QW7jw7KL4turpUe6V1y9x77x/mftw82T3wUeT3dsbJrgXX7nYrXl2&#10;tHv8yQvcsgeHubnzBpt1EUIIIR2dZiGu6WZ9/e3UvWl3y+U5eCCPLlO2ELdxgntr5Si35vcD3NIL&#10;TirKcAv7JQlxnVvEuS5u2ZhT3TN/GFCsY/umy8w2KqUw3CIhIQ5IHl+ykd3jZs9pdBs3T3RDhx93&#10;JC/SJB8evyrn8V7XIWk//enfFX+GgId68LOcx8+oX5fzQTkIe/90zM+PtIX+3n7Xma3yor+6TStN&#10;4iGPjpX+oP5Yf6QfaFvK6HL++IVKpZ4s4xfQF/RJl5F+xvqg5x0/ow08UlfqQLou788p2oitN6lf&#10;6sDOhBiL1I+2YuWFao0P79Pslohyut8gaU7KbVuvNYs08RLQJvqh2wXou/TLotK45fnZQV45l9Sm&#10;5NP14/ONmPn9xznrsy/9teIj61+vw6R1cNRTgRB3bEPvn5WWa3KPr1ph37QnhBBCSL4UhbhSkS0v&#10;Ie7c0ZfutW7OE0IIIaQ2fLR1+zR9bQadujcNb7l053f4Qtyg4ZP2Wzfu2xsiUsRkEaSH8iSJIyDU&#10;RpqyMREEu11JWhJ4hKEvbEhabOxA714ldUHgCQkgaetFedQjcbDwx5wkxvh5/DQ5H+sb0kLlk8ir&#10;fsnjrw1/LpJAfHX5EGniCmJrNpaWpv5YeTwqVMqnwZe0YnULlca2knmV/mXZwazSmMRIihckN6Tj&#10;d4GVDkQYsx5dDNLES0haP9JfH/QPO9hleUyqJtZHyHVaigPoR7ltxbCEOHzZXmgz1WEJcROnnPWN&#10;dfM+xoKFQ9wjj53nnn3uIvfWOxPc5u1T3b6PZ7rDf7nW/enP17rdB65wm7ZMdu++N6Eoyz299kL3&#10;0MPnufkLzi7KdNhhzqqXEEII6YjkJcRdfuU5+82b9gns3jnZbXrrUvfiomHugYtOdUsGdHWL+nc1&#10;JTgNhDg8MvX+USe7VTf1da89PMJtLlzbrTYqpTDcIjFhRvJA6tDnRfaBxOLLM0DyWcKKlQZBJCT2&#10;oP6QhAaRJSYE+f3GWCVNn9dpeIXcIvl8ILfExJgYfgxALEZJZB0/0DEIgXn1y4GkeRcwDshIob6h&#10;nlj9KIu+++UECFhWeZDX+OS9RUhowrqIlQPWnIBy205ad4iHzh8ituYF9MsqW27fhbw/O1JfbJ2g&#10;r1JWPs94ja1rK5ahtKTPZtbP+lFDUYjLfu3GYQlxK1Y++I15054QQggh+WIKcU2PtlymMx1+PX2H&#10;nr/fujlPCCGEkNpQMyHO/2KeQlwzSeIICLWRpmxMBIHskVQ+htQbG7sg8pq0CfDeklPS1Iu6JF8M&#10;v/5YPKw8fpqcj/UNaaHySeRVv+Tx51ZEJBAafzmkiSuIrdlYWpr6Y+Xl0b3AT0tDrG6h0thWMq9p&#10;+udTaUxiJPUni4wLrMfApomXkLR+yolfGtL0EQKctC9Yj5GthKZ+I6/U11+QRYizvpgvR4h7cPm5&#10;7tXXLymKcLv3z3B7P57pPv7jVe6Lr651nxc4+OmVRSlux97pbvueaW7jpsvdy69d4p5aNdIte/Bc&#10;d99cu15CCCGkIwIh7vhujfP19TfNTfXjuzdu0GUumjhor3nTPgW790x1bz41yj08ockt7t/gFg9I&#10;3iEOu8jN79fFPTD6FPf0b/u5Nx49323/oG12iIOUJHn83Y986QU/Iz/Q9YWEFT8NQB4RYQZiCuqR&#10;NEsiQh4RTvCKtiVNC3Z69yddp5zz06QcxBip0++PJQahHPqJMiLYAN0X1KnLgFiMYpQzfpyXtjAG&#10;nYbyWgaydrzy5x3CEXbBQpoWqnS/ZE5ltyzJo/srSP1SHvVLH1FediIDep0J1Rwf5kaXl/Ma6Z+M&#10;W9YB8ur1Y/W90ralPF79tDQgHpA98arjhrZ03GPzJmTtO+KV52fHkt18ZNc2/btF1jDa1ONEPJDP&#10;mjdpx0+TmKHf/jpEvHR/ieLQ9LKu3Tisv7vnLZ77hXnTnhBCCCH58v0nz/t/S+Oa3nKZznT4j16l&#10;EEcIIYS0La+89sY1+toMaiLE9Rk0ert14769ISIDxAcrHSA9lCeNiBFqI03ZmAiSpnwMqTc2dgsI&#10;ICLG4dV/DGFSvXpM6Lu/c1VszLE0K4+fJudjY0ZaqHwSedUvefy5TTP+ckhbb2zNxdLS1B8rX8mc&#10;gFjdQtoYhKhkXvVub/p8jEpjEiMWL/041LRYOxVm6X/S3KSZ33LI0kdIw1pSRFkrXzk0nnXub/T1&#10;FxTaSH1YX8yPn3LWZ9bNe5N7Brn5Cwe7latGuo+2TnZffzfbffvDje7TL652hz6bVZTiAN7j3OG/&#10;XOf+/Nfr3f6Pr3CbCvlfe+MS9/gTI9y8+dwhjpAQX3yx1+HAq5VebQ4c/MB9+eUht337y2Y6ISQ7&#10;lhCHL+hbLs/Bw/8Sf8TFAzaZN+1T8t7zY9xj00538/pi97cuRdkNWDIcWDygaxE8MvX5+4a49wvl&#10;d2y93Ky7UgrDLWJJHkBLLr7EotNiAk5IWPHTIKBoaUSQdiCv+GlaerHKos+QUXTftZSk8/ppKGeJ&#10;NFoMssSeELF2YzGKkXX8WqALzRnyiChkxVzPuxaJBC28WXOq+2CVT6o/1r9ajE/PlYh+AsYqadZ8&#10;AFkH6KefVknbQMqHxl4JOrbW74tK+x6jnM+OngtLfNTpWnyTceCzpfPHkHr8uFj1kxQYQlyaa7cc&#10;peWa3L3z7z5g3rQnhBBCSL5UUYjrM+S83dbNeUIIIYTUBkuIK1z3+7RcuvM7/H9M9B44apN14769&#10;kSRSQPZCOrAEhzQihuTxy6eRYCCLSR5fBNHlfSktDVK2HHEj1q+kemV3OMh0VnpMfomlWXn8NNnZ&#10;KjZfevc6Kz2GlIvFFGlJ9Usev5+QbqSsJRmVi6431nd5RKQVP1nnVlqaeYuV148zzfLoTyFWt1Bp&#10;bCuZV707nbWbmkWlMYkRi1fS51cj68XKmyZeQtL6STO/5ZClj0LsM1Iu1RDiLrq0zwHr5r3FoiXn&#10;uEefGOFeenWs2757mvvmb7PdX7+/0f3xT1e7Tz7/UYjDe5z78uvri9IcdozbunOqW//2eLfyyZG5&#10;C3EQeELHt9/9pSgWfbjpaXf/A2PN8oTUE5DRcODVSq82+rDSCSHZaXlkaskX6Wluqvt/dw8+v98O&#10;86Z9Sj58/RK36voz3aJzurl5fU8synALIkLc0oHdikLcikk93frHznfbPpzo9u6bZtZdKYXhFvFF&#10;DoglWnCx5BBJh1QEWcZPF0LCip8WkkZiMoyITZDU/LQQsfp0WmhMus9ZxJ60cfDTYmQdP/or7cQk&#10;HZ3P74/Mu7VbF9BjCbUhdeA1lBaqH+h50lJiLcYHpKz/uRFB0RqXoOPjS3OVtA2kfKz9SojVX2nf&#10;Y+iY+fMVS0NfcN7qk8yVLyaK8Jr0e00j7fvjEoEwy+8nUiBnIe7O++7cbt60J4QQQki+4JGp3qYu&#10;5Qpx/r8Fepw1+IB1c54QQgghteGxlatb3SenEJcBkcqsnc7ws5bOLFEojYghefzyWmiBEKPTAMQY&#10;9Evy+CKIltKsviVRSdmYoCJ9DklFsosS5DQrPfboyli7Vh4/Tc+nJR7pObHKJ5E0dpBGspE81rrS&#10;klE5ImQIkQXxatWrY2f1K/ZZSDNvsfLoj5S30pOI1a2pJLaVzKuW8UKP28Ta1GmVxiRGLF6yxrEe&#10;/DQf/Vn2pb008RKS1k+sv5WQpY9CNfpSqRCHwy8/6pI+262b9z733jfILV9xnnvxlYvd+x9Ocrv2&#10;zyhKb59/ec0REc4H6Z8dvsbtPzSzKMS99e4E99TTo9y8BUPMNspFBKKk44cfviuKcVYdpP54dt0f&#10;WmbOFd9beToibS3Eff31F8X222qHOkI6IpYQ16lb4/Mtl+bggTy6TP/hfTebN+1TsvX9ie7F+We7&#10;x2b0cvePPtktHNzVzTsLYlxnt6DA/L547eIW9sejUgvv+xbeF/Ksuu5M9/6LY9zefVPNevOgMNxE&#10;QjslpZVvypVZrDz6PGQVOZ9FsEFeq76kNI3kydJupXHwKWf8accX210rad7TjCVWR1L9INRGLcYH&#10;JI8fdzmfFj8+lbSt02LlKyFWf5q2JU/a9SrE1lQsTR5/CvzdHEUm9X+/QaSUMhDpYmKlIPn9cYl0&#10;ByDF+QIkCVOOzC5HaTkKcYQQQkjNMIS4wjX95pZLdKbDF+JO6TNwr3VznhBCCCG14amn196lr83N&#10;1ECI69Fn2Gbrxn17Q0tlkGEgpuA8pAuRYwTIEX75NPKD5LHKi4QEyQTCC85BdMF7EU8ESwTRfYSg&#10;oiUvjAX1oH1LspFyVr8E9AFyl64X77U4pPMDGS/SpBziLLHVkgzaFvEIefUjB4E/5iQxxs/jp2nx&#10;CGOQOnBeyy+CXz6JpLED3Y6c85E81rrSaxbrB3Os5S2MCXOm+5AG1CP1Yh6kz9a8WP2SsVtpaeYt&#10;Vh7IzmSSRwtWGD9+xmcgtiZDdQuVxLbSedUxRhsSf7yKjOiXqyQmMULx0vHRbYVAHyS/L9CliZeQ&#10;tH5C/a2UUB9xHm3p9YFX/bvNkpzL5eQzhngX+sbDhTYyHaXlswlxT666wL2/aZLbvX+GO/jJzOJO&#10;cD/uDHelO/QZHpfa/B4gDY9OxQ5xEOg+3DzZPfPsaDd/wdlmG+USE4hee22B27Pn7aIMJwd2lPPz&#10;kfoDcycH3lt5OiJtLcQRQvKnXoS43bumuA9eGeteeWC4e/K6M939o05x8/o3uMUFlg7C41Eb3JKB&#10;Xd2ywd0Krw1uwaAGt/zSRvfcfee4LRvGm3XmRWG4JpBF8NhDXzDRpBFgQLkyi5UndD6NtCLEpKlY&#10;mkbyWGIPxBuIMBIfi3Li4FPO+KVPmF8rXSN1+2NMmvc0Y4nVkVQ/CLUhZas5PiB5/LIiWaUBu4f5&#10;klYlbeu0WPk0YAc9CFyh8Vj1p2lb8lh9B3l/dkLSqBYiLUlN7yAIMFfolz9fguSzxoXfo7ouxBSi&#10;Xtrd545Wyrl2y4G/1XXZG35302bzpj0hhBBC8qWKQlyXprM+tW7OE0IIIaQ2WELccQ09urZcuvM7&#10;/C/mO4oQB0Q2sYBwIrIFJAi/bBoRI1YeUg1kFWlPg/NaQLFEEEgYvrhn4csoQNKsfgm6DgtLitF9&#10;1kj/k/qs0/wxJ4kxfh4rXYtfPmhbSy1W+RhJYwchyUYjeULrKjYGjRbx0hD7LEDYEgHL6lfss5Bm&#10;3mLlhVj/BIhsfrk0dQvlxrbSeU36XFgSHig3JjFC8RJpL4tgp0U/kcdAmngJSesny/xmIdRHfd4C&#10;86jzV0o1hLhhI3tvtm7e+9w3d7B7Zt1ot2vvdPeX724wdoZrLcQd+qxZmDv0WfPPO/bMcC+8NNYt&#10;WHiO2Ua5pBGInlg568jOVzjeeXeFmY/UDxTiKMQR0pHw/4YuR4g7a+hZG60b9mnZe3C627Vrstu0&#10;fpx7Zcm5buU1fdyDl5zmFg3v7hYMaRbg5g/o4uYVWHB2V7d8fJN7+vf93ZsrR7md2yebdeZFYbhF&#10;QoJKjDQCDIgJK7E0K0/ofKisBcZq1ZeUppE8ftz0jlAx/P6WM5ZyysicUYgrf3xA8vhl5RGZsbIx&#10;Kmlbp5XbPuSwNFKfVX+atiWP1fdqfXb0I1DlnLQVWyci58mcAry32pB0a1wAZXwxDrvPhQQ7kq8Q&#10;d/WNN2wwb9oTQgghJF++/6Twd3TpdbhcIQ7ldD0U4gghhJC2ZelDKxboazOoiRB3yhlDN1o37tsr&#10;EBxktzYAiUPECxE6rB1/JA2vfpoQKw9kBygR4/CKn0W4kX7FdvuCxCNSiAApA20jzSoj7cV2MkIM&#10;0BcdG7zHuVh/IIZpuQd90wIRxBg/5sgvfZW++W3gZ8kfal/yxKQdjEvmBaAf6A/6hX4mlY+RNHYR&#10;7mL1S57YupJ1o2OIOtGe3mEsK5gD3X89L3gN9UviaaVJTEFo3mLlNTJ3skYAYoBxI25auhLS1i2U&#10;E9s85lU+Fzr+6EPSfJYTkxiheEn96I8+H0NLovI7FaSJl5D0uQ/1t1JCfUQ8kYb4Sr+AxFvnzYNu&#10;pw9aoq+/+N9uhfYyHf4XAuecf8YG68a9z71zB7un145223dNc599eY379E9XK+HtKnfgk5luz4Er&#10;iuARqbJDHNLw+uXX17t9H890L782zi1cVLsd4jT3PzD2yE5x3373FzMPqR8oxFGII6Qj0VqIa3q0&#10;5dIcPPwb8af1613RDnFg38fT3a6dU4pS3FtPjSyKcc/eMcg9Nfss98j0Xu7hyT3d4zPPcKt/09+9&#10;uGCoe2fNhW7zexPc3gPTzfryojDcIiGRI0YaAQbEhJVYmpVHn4dMIuez9B95rfqS0jSSR7er+4mY&#10;+Lu2xcYaSwtRzvi1dGSlC3oHLeyWpdOS5j3NWGJ1JNUPQm3UYnxA8vhxT1M2RiVt67RK24f4hfp9&#10;YStWf5q2JY/fdz2fyJPnZwd1SbrsBifSn/+43BBYIyLG4dXf3U3qT/ocohzySP5YrI52yrl2y+H/&#10;3T3z2mteN2/aE0IIISRnDm1oLcQ1zmq5RGc6fCHuxNP6HLJuzhNCCCGkNlhCXKeGpl+1XLrzO/wv&#10;BLo2DegwO8QRQggh9UrXpn6P6+tvHkLc4PPOeN26ce+DR6Y+8eQF7t33J7odu6e5/Z9cWXwc6hdf&#10;XVsU3vYemOm27pzqtmyf6nbvm1EU4pAOIe6Pf7ra/fX7G4uPTn31DQhxtd8hTsDjU+WI7RK3ffvL&#10;R+qVAz/jPMQ6q4yA3ejwWFZId3Kg7Iebnm6VF/VJup8mfPHF3mIevIbSUA9+Rht6Jzyka5kMffv0&#10;020lYiBiIukhpJweE97jHNKsMjI26Tf6If3FEWpbysUOv0wImQvEVz82V/r+7Lo/mOVwHgfK4Gc/&#10;bnjFz7G1gLnAePV84JB1ZJUBSJd8ck7ihrp0Xh/0CYfEXJDY6/7jZ0s0lLb8OgSMS/qII2kdEEKa&#10;KVx/N+jrLx690nJpDh6+EHdqnzM+sG7YZ2XfocJrgb37p7qd2ya5TW+Oc2+turAowD1/39nuteXn&#10;uXfWjnabN4x3u/dONevIm8JwU4kcFmkEGFCJzOLn8dNEUsEuUH5aCC2kxNJCjzTUgo0Wd0TGQp90&#10;fqHSOFhkHT8EIGnHelSkoPNlkaJAmrHE6pA07KDlpwlafNPzVIvxAcnjf270LmDlPBKzkrZ1Wqx8&#10;CPRX+h4SxWL1p2lb8vh9r/ZnRz4naEfn9+c+hv7c++3IeWtOLNKKm0czlQhx/qPaJkyf/q59054Q&#10;Qggh+QIh7sdrMMhLiPv3k3v+2b8xTwghhJDacefcBcv0tRmc0NDjmJZLd36H/8V8l8Z+H1g37gkh&#10;hBCSH74Qh5vrLZfm1IcvxPU7p/e71o17Hwhxy1ec5158ZazbuOlyt2f/Fe6zw9e4w3+5rii97T04&#10;023bOc1t2T7N7dp3RbMQp3aR+/Lr6wp5rnAvv3ZJm+0QByDtyAFRyk+HCOULTP4BAQj5/LJSXqQj&#10;64A4pPOLoBfre2x8koaxxPoN8QkCYKhvsfYhQMXGhDQrHnps6F/o8GOSpxAX67cclhSGc3LExo+Y&#10;W1JcmjGEYi5zqtN1fVasAfohh17b6H/s0HUAq31BhDvrCI2HENJMHkJctzNO32XdsK8USG9bNk50&#10;7z1/kXv32YvcB6+Pdds/uszt2VcqwxVFOvVznhSGm0nk0KQRYEBMWImlWXn8NC0gWQIUJB+IVToN&#10;Yw3Vp9NQzpKaZNyQbHS69WhGjZawyomDRdbx613lQhIdysgOWtbcJs17mrHE6pA0gPH56eifCE5+&#10;+VqMD0ge/3OjpalqfaZCbQNZgzGZMATWiPTd3zUPVDNu1f7saOFOPjNZYxRrR86nnXPkkzJWOplR&#10;1rVbDl+IG3v5FO4QRwghhNSE1kLc8d1PG99yic50QKTT9fz7ST2/sm7OE0IIIaQ2UIgjhBBCOjB5&#10;CHH+F/NnDUm3Qxy4f9lQ9+TqC9zrb17qtu+Z5r765jr3529vcB//8ariY1LxSFSIcXh8avMOcc0y&#10;3IFPr3QHCulbd011z70wxi1Y2HZCHJDDzw+hSKQyCFCQkER2gkind5eDFOeLUPhZxCm86h3otFSl&#10;haa8hDg5sKuX7NSlJSrdL/QF6bLrmRzWjnnoqxyoW/cd+XW8/HjoeOFAXpHP0LbsRIZD+qTRUpol&#10;raUB/cIY0VfdPz0f6JcuA3TbOHTcUI8emy/0AcQeawSvOmb+uK2YW/ONNuWwRE6A/skhawDIONFP&#10;OY/6kB99lHxCaL1hHHJYn43QjnKEkGb862+am+rIo8t07Xn6duuGfaXs+3hGUX7buXOy275tktu9&#10;a4rbu39a8fGqVv5qUBhuJpFDk0aAATGRJJZm5fHTtMQDmUbv2AapRwQeXXdMRtFpANKMlIVspQU0&#10;P2Za2kEaBCKcRx9F+BH8seox+mkxyhm/3p0K/RJZDqA8xizpOk1Imvc0Y4nVIWkC+ig7eaE/un9W&#10;/dUeH5A81udG14/1otvAODAvKI++6XKg0rb1+hWpDe2nXVMiGup1j3WMuiQNWP2rpO/V/uygHl0H&#10;kPj4YJxYQ3re8F7mFek6P5A69bjQF3z+MDZZvwBrUGJprQHSTCVCnF/2/LHjNtg37QkhhBCSJ59/&#10;vn2jvgaDwt/jw1su0ZkOCnGEEEJIfXHTLbc/pq/NoCpCnP/F/ImnnbnLunFPCCGEkPzo2jTgZX39&#10;xSNcWi7NqY9KhLgFC4e4h5af655ZN9q9/+Ekt/fAjOJjUCHE4bGoAI9JhQSHneE+O3y1+/zLa4qy&#10;HHaPe+fdCW7V0xe6efMHm/WXS0jgCRHKryWnkIClJTNf4tK7oGkJSoA4BPlKy0p5CnGWmKWFN4hR&#10;fr8gNWlhSqcBkbdCspMuj9joNB1PjFsEKiGp7TyEuBi6f36abtuKG5DYW1JZDD1u9MFPD823zAXK&#10;6vN+uhb89Dj8+IcItS/xsgRCQkgy/vUXj15puTQHj1oJcfVAYbitRI60pBFgQExYSSOz6DxWOsQW&#10;SbfwdxnT0pA+76dp+c3HGjMkHi1D+ei0cuIQIuv40U9fMvKBsBMShpLmPc1YYnVIGuIVi2dozVZ7&#10;fEDyWH1IWgeCPy+g0rYhXolspQnFyidpLcm4rP5V0vdafHb8+tGmlU/nsdDSqV9Gj0v3ywLzpEU5&#10;UsoJJzXt1dfhNNduOXwh7tzRY9ZbN+0JIYQQki/VFOKAdXOeEEIIIbXhljvvXeNfm49t6P2zlkt3&#10;fof/xfx/9uiz3bpxTwghhJD8yEOI87+Yb+p3+nrrxr3FfXMHF3d3e3D5uW7N2gvdG2+Oc1t3TnGf&#10;f3m1+/6/5ri/fHdD8dGoeIwq+O5/3eT+y/3W7Ts007359qVu5apRbukD5xbrseovl5DAEyKUH2IT&#10;jiThR/KFymfZKSsvIS7UZy1EWbuRgVD9EKjkiAlpUt4ftxbOQjJWqG2g+x5rv1xi9eu0UNxiQl0S&#10;sXGH0tAPOfw+6bnSYiJEPjl8YTFEqH0tg1qCICEkTuGam/mmuv93969P7XnQumHfERB5BrsYWekx&#10;RDpK2uVI786kd11KSvPzoK9WOoB8gn5oGQg/W9KT7EZl1QehRcrjZ39HMbwPiVQAkg3qkJ3Z/DLS&#10;v3LiECPL+AWk+WXQV+yOFRN1UEbqt9LTjCVWhy9W+fFEmZj4JFRrfEDyxD43aF/GottH2dC85NE2&#10;Yi55pE1L4goha0nKI36Q9xAz+exY/ZMyVpogeay+V/uzI30HsT5i/Biv7gfe41yofumbP67YGgwJ&#10;eaSZPIW4Iedf+LJ1054QQggh+bJr14ZN+hoMyhXi8KhVvy7r5jwhhBBCasN1v7n5Bf/aXBMh7ten&#10;9N5i3bgnhBBCSH6c2OOski/Vay3ECXPnDXGLl5zjHn/ifLf+nfFu38dXFEW4Tz6/yh389Kri41LB&#10;519dUxTjtu2a6p55drSbv/Acs75KCQk8ISCPWfnlsHbt0lg7dWkhKam8Ji8hLlQ+jVQWqkOXTXP4&#10;5dMIY7Hxp+l7JcTqT9O2zmOlxwjFPCkttKOeflyqLx/KeseBeOsdCi1C7aOctI9XtBkSHQkhrTmh&#10;e+OX+vqL/2necmkOHkeTEEdK8YU4Unt8IY6QPIDoJp/tLIIgaRtO6N7kXbspxBFCCCH1zu49G/fr&#10;a3AzjX1aLtGZDgpxhBBCSH1hCXEtl+18DwpxhBBCSO1pLcQ1PdpyaU59+F/MN57V82Xrxn0S9943&#10;2C25/xy3+ulRxd3fPvjocrd52xS3ZcdUt2X7FLdpy2T3/qbL3VvvTHDPvXCxe3D58EK5fHeGE2IC&#10;kYUcOr+Wm/xHofpYopcuH9pRzKKehTgtWaU58MhYXb5ehDiIXOibjNM6/PrTtK3zWOkAMYRAKbsH&#10;+oc17tB8AHksL4Q0LaOJpGntToh8WorDgbpD6zzWPnaGEylODsh5lcwPIUcLuQhxp/Tcb92wJx0P&#10;CnFtD4U4Ug2wwxvWFXZ7s9JJfdFaiEu+dsvh/909YNiIddZNe0IIIYTky8YPXz+or8HNUIgjhBBC&#10;OgJtKMSdvsm6cU8IIYSQ/DjxtDN36esvrsctl+bUR15CHIAUt/T+oe6xJ0a4Nc9e6F565WL36vpL&#10;3Cuvj3MvvHyxW/30hW75Q+e6RYvPdnPnVUeGAzGBxwdCjxyQseS8lpsqFeKyyEH1LMTpR2RmGZNQ&#10;D0KcCGRJh19/mrZ1Hj8N6ywkwenDGndoPoBev7JO9e6EsbWLNKlbDkugi7UP0B7Whj++tI9kJeRo&#10;RV97mzltfMulOXhQiDt6oRDX9lCII3mDx73K5xqPK7XykPpCX4MBhThCCCGk/rGEuOMaenRtuURn&#10;OgJC3GH/5jwhhBBCasPM628q+Vu78Lf34ZbLdr4HhThCCCGk9lRDiDu1d8911o37tEB0W7T4HLfs&#10;oWHuscdHuMefPL/ABe7Rx8939z9wrps7t3oinJAk8Giwm5UckIvkvJaKtChnIbtxQQiSc9iFTI6k&#10;8pp6FuLSlI3R1kKcLo/6/Z37YvWnaVvn8dMkpthNDWP0H1MainlSGpDd3kRmg+iGA235eS3QF1nD&#10;OPz1mtS+BjHQu8+FYkUIyUeIO+Gkpr3WDXvS8aAQ1/ZQiCN5oz/XkOOsPKS+0NfgZpKv3XJQiCOE&#10;EELaBgpxhBBCSMelzYS4E07qudG6cU8IIYSQ/PiPU8/4VF9/60GIu/e+5p3iIMbNnz/EzZs/uMDZ&#10;bm7hPbDK5E1agUfvrqVlNkEeBWntmqWRfJDrrPNJ5TVppDERjqzxJY09jdgVqkNLfv7jUNPQ1kKc&#10;fryolR6rP03bOo8+r+XK0K5psXmLpQG9cx/akvz+ekwitK6S2vfJIpMScrRy6+0Df7x2t9Cpe9Pw&#10;lktz8KAQd/Qye05jUZr56U//zkwn1adX738pzgFerXRCsvKvx/4j11Q7YsvOqSXXbZDm2i2H/3d3&#10;nyHDVls37QkhhBCSL6+vX/cXfQ0GnRqaftVyic50UIgjhBBC6ouJM67epK/Lhb/Td7dctvM9KMQR&#10;QgghtccX4jp1a7q55dKc+shbiKsH0gg8kJdEWMNhSU6h3eM0sceIJpWHOAQJSafJ7l44rD7p9qzx&#10;JY1dS1tW/SBWh0hTiB3676fHqFSIQ5zk8Hd3S4O1k58mNpdp4qbz6PO639YjTBFHedyoNe7YfAAt&#10;oOlHwmaNUaidpPYt5KAQR4jN728ZcOS6K6S5qY7rvC5DIY4QQgipDRTiCCGEkPZJDYS43f7NeUII&#10;IYTUhosmTtmur8sU4joQP/nJ3xf/J+ngwePNdIvp0+92v/zlv7njjuvqrr56sZmHEEJI++E/Tu3z&#10;mb7+5iHEdT+j52rr5n17QgQeyFuQlDSQniRdDktSAtgRTaQ5vCKfSGBI04KXtQucFqEgPGlBCXWJ&#10;BIV+yXktN6FNSfMfa4nDEpSS5CXUJ4duVxOrA2OQA/3XMQGoE1IW+o7x67KVCnFADswt2gWh+fPR&#10;whvakX6jn35s/dikiZvO46fJOpI1iXPSd0nDYY07Nh+C3/+Q9Idxox49b3jVscF7XSbUPn6G9KnX&#10;NdZpGpGUkKMdS4grXI/7tFyag4cvxOEPfOumPSGEEELy5d0PLlfX7CPX4bKFuKZ+gx+3btoTQggh&#10;JF/WPrfya30NBic09Dim5RKd6aAQRwghhNQXYydN31t6bW7c0HLZzvegEFd7CmEv0qfPSDPdAnnL&#10;KUcIIaQ++fXJPb/R199O3RpnFX7HZzo6shCXdEBEStpFC+laWLIOtCdykQ/Eo9hhPdYyVgZtyS5g&#10;vqAEZOxWGkgjdiXVkTQmOSBH6XJ5CHF6BzR9WHl9MEeyw5116DQ/NmnipvP4aUkxk7atcSfNB9Ci&#10;Ig7Eycqn58A60A+/TKh9OR86Qn0ghFCII4QQQtoblhCX5totB4U4QgghpG14fNUKde1uJmchboN/&#10;c54QQgghtaHNhDg0ZN24J/lRCHtmsW3MmOuLZbC73MSJt5h5CCGEtB9Kr735CHFdm5oet27etydC&#10;0hQOCD/YTQuCklXWAmIX6tTCFCS5tPVAlEJeLdYllYXgpNvDe8kvu3mhDr8czoXSAHbskiO0e1dS&#10;HUB2ApNd7nBgfJCkECtfhgPSb+Tz04TY2ARIXdKuzIOVzwJSnC6PQ8dW5siPDX6Ww0/z84TGJ+tA&#10;DuRDDBGrSuZUkL7jCPVRdoPzZTb8jPNWmVD7sc9FkmhKyNHO7Dn9S67fzZQpxB2afti6cU8IIYSQ&#10;/HjpjYnqmi2UL8Sd0qf/c9ZNe0IIIYTkC4U4QgghpOMy4uKJH+vrcqdujc+3XLbzPSjE1Z5C2LnT&#10;GyGEHOWUXnvBaeOLF+YMR0cU4gg5GhHJDYKalU4IqR8sIe64hh5dWy7NwYNCHCGEENI2WEJcmmu3&#10;HK3+7u551hrrpj0hhBBC8sUS4o5t6P2zlkt0poNCHCGEEFJfUIjrwBTCTiGOEEKOckqvvcUb48OL&#10;F+YMB4U4Qto/2K1Njiy7HxJC2oZZ1/UruX6DTg1Nv2q5NAcPCnGEEEJI27D6uXEl121AIY4QQgip&#10;f5Y+tKjk+g1aLs+ZDwpxhBBCSH0x5IIxh/V1ucZC3NrD1s17kg+FsFOII4SQo5ibb3lKXXeboRBH&#10;yNEJHr0qBx6LauUhhNQP5Qpx/t/dFOIIIYSQ2mAJcWmu3XL4f3ef3LvfcuumPSGEEELypdpC3Fdf&#10;ffW8dYOeEEIIIdWntRDX9GjLZTvfo6MKcccd17UonQ0ePL7484gRM9wvfvHfj8hoSJ848ZYj+a++&#10;erHr3LmX+8lP/r6Y/g//8N+iwtqcOY8U6/7lL/+tmFfqRXnUPWbM9WY5IHmt+nv0GHIkffr0u4+c&#10;x3vrvE5D2/jZHwte8TP6rMtpkIa29VgsJJ6EEELK56Y5rbd7L0eIw810XUfnHk3LrZv3hJD6BALc&#10;Dz98V5ThIMZZeQgh9cWMq/qWXL/BCQ09jmm5NAcP6+9uCnGEEEJI9bGEuDTXbjkoxBFCCCFtw93z&#10;7i65fheuyYdbLs+ZDwpxhBBCSH3Rd9gFfy25NndrnN9y2c73gGlX0lAHEeIgqhWGV5S8tAjnAykO&#10;8prIYz6ox6pfhLsYIaEulK5lOAhsOg39lDQt8vlpEP9CY0EcLCkOAl2ojA+FOEIIqRxLiCtcf/sU&#10;fs9mOloJcY2nz7Vu3hNC6pN33l1RlOEgxb322gIzDyGkvpg0PUch7pMZu/2b9oQQQgjJlxVPXqyu&#10;v81UIsR1Pu2MpdZNe0IIIYTkS55CXKdujbNK66IQRwghhLQljf3O+VvJtblWQhyezdqRhDgBAhvE&#10;L6RB6pLzehc1yGRIlx3WJI+12xvqQxsoI/UCyGlawLMENEnTQhzqkfO+DAfSCnFAjwXtox1Js+qW&#10;WKGcHquW60JyHyGEkOxce/0DP17gj0AhjhBCCKl3KMQRQggh7YtFD12krr/NZBHiWv3dTSGOEEII&#10;qQm/u/WWkus3rsktl+fMR2shrvEwhThCCCGk7eg5YOgP+trcqVvTzS2X7XyPo0GIsyQwLbxB+vIf&#10;QwqRTGQwq3yMmLwGJE0ksyQZDqQV4qyxAIkHHomqz2OcUlYkOo3Ig6jXTyOEEFIelhB3XEOProXf&#10;t5kOCnGEEEJIbbGEuGMbev+s5dIcPKyd2fdTiCOEEEKqjiXEpbl2y+H/3d2l6cw7rJv2hBBCCMmX&#10;q2dfX3L9phBHCCGEdBzaVIi77ba1u60b+O0JEcCwW5uVriUyawc4IHXg1UqPIXVbO6vpNLQtP8fE&#10;u7RCXGgsepc4fT5Wr5/upxFCCCmPmbPmH7nuCuUIcfjDXddBIY4QQgipLuMmnVly/QYtl+XoYf3d&#10;vZ9CHCGEEFJ17pw/suS6DSjEEUIIIfWPL8ThP5a1XJ4zHxTiCCGEkPqia8+z/pe+NldRiGt8vrSh&#10;jiXEhWS2JBEMVFuIw2NX0+5CF+tvmrHoPPo8Hvcq5y2ZTkQ67hBHCCH5YQlxnRqaflX4fZvp8IW4&#10;hqamW6yb94QQQgjJBwpxhBBCSPvCEuJaLs+pDgpxhBBCSNsw6YorSq7flQlxTTfrunB9/+qrrx61&#10;btATQgghpPp0O73vf5Vcm7s1zmq5bOd7tBbimh6lENdMUh143CgeKYp0Edt8YkIcHl8q73v0GNIq&#10;nybW3zRj0Xn8NBknxqClODxCNa2wRwghJD2WEHdCQ49jCr9vMx2+EHdij8YbrZv3hBBCCMmH0eN8&#10;Ia7xcMtlOXpYQty+QzPw2FTz5n05FOpz+z6eXsJ+nCtg5SeEEEKOBijEEUIIIe0TX4jD39Etl+fM&#10;B4U4QgghpL7Q1+VmThvfctnO96AQV54Qp2WxGDEhDmkQzeTn0ONOQay/acai8/hpkPokzQKPnYX8&#10;55cjhBBSHlNm3KUu8M1QiCOEEELqn/KFuNY7s+ctxIE9e6a43bumuJ07JrtdOye73YWf9x2YbuYl&#10;hBBCjgZ+e/sIdd1Of+2Ww/+7u9vpZ91o3bQnhBBCSL5QiCOEEEI6Lvq63AyFuExUU4iDHCYyHHZ5&#10;gxznC2NSd5IQh3IQzvAz6pw+/e5W+UGsv2nGovPo83hkKtoFEOOkLwDvpY+6DCGEkMqYMPkP6gLf&#10;THlCXGkdFOIIIYSQ6jLiolIhDl+it1yWo4f1d3euQtyh6UUBbuv7E91Hb13qPlw/zn341iVuS+Hn&#10;nVsvd7v3TbXLEUIIIR0cCnGEEEJI++TC8RPU9bsyIe74bo3zS+qiEEcIIYS0GR8f+qTkGt9ybR7e&#10;ctnO9yj8Ub+hpLHCPwooxDUTqgM7uUnZkMAm6UlCHH5GHSLYhXZji/U3zVh0Hn1edocLxYkQQkj+&#10;VEuIa2hsnGbdvCeEEEJIPtSLEIfHoe49MM3t3H652/TWJe6dZy506x+/wL324HD36tJh7qVFw9zL&#10;S4a5Vx44161/7AK38ZWxbsfmy92efdMKZe06CSGEkI7INb8ZXta1Ww4KcYQQQkjb0FqIa3q05fKc&#10;+fCFONwbpxBHCCGEtA0U4nKgmkKcfsQodljTaQCCm6SnEeIAdpmT83iMqs4PYv1NMxadR5+XsUDI&#10;C5UlhBCSL5YQd2xD758Vfh9nOvw6KMQRQggh1eWc83uXXHvbSoiDDLdjyyT3/ktj3Lo7h7gVk3u6&#10;hy7t4ZaPb3QPXnKae2jcaW7ZJT3cA2N6uBWXNbpnbx9UlOa2bbzM7d0/zayTEEII6YhMmXVOWddu&#10;OXRZQCGOEEIIqQ1njxxdcg2mEEcIIYR0DLbv2Kmuyc1QiMtINYU4Lbwdd1zXI1IcXiG5SRpIK8QB&#10;iHCSBlFNp8X6m2YsOo8+L49MlTQNHgeLsaNfoXoJIYRkZ+yEm0ou8oBCHCGEEFL/+EIc/p5uuSxH&#10;D+vv7kqEODwedeOrl7iXlpzrlk9sdIsHNLhlg7u5Rf27FN8vKrBkYFf30JDubkG/zu7hy5rciwuG&#10;uvdfutjt2jXZrJMQQgjpiPhCXNprtxylZZvcKX36TbNu2hNCCCEkX3whDn9Ht1yeMx8U4gghhJD6&#10;wRLiCtfmPi2X7XwP/K843VCnbk03U4hrJlaHltd8IJhBJsP7LEIcwCNTJV0/jjXW3zRj0Xn8NF/i&#10;C9Gjx5BWZQkhhGTHEuIKv2czHRDo/Dq6NDWNsW7eE0IIISQf6kWI27bpsuLjUJ+4qrdbMvwkt3Rg&#10;g1s2qFtRhoMIB5a2CHGL+ze4paNOcat/08+9+cQFbueO9iHE3X7Xma6h2z+7ocOPM9OPRtasu+DI&#10;3+d4b+WJgTKIaa/e/+JeXX+xmacWVDqOLGCsaAevVvrRyiWX/mdxLcye02imE9KRyFuIO63f4DHW&#10;TXtCCCGE5EvvwcNKrsGVCHHYXU7XhV3cKcQRQgghbcO7720svcYXoRCXCezcVhhe8dVK17u8afFM&#10;k1QHHnOqBTZIcJDL5sx55EhZf6c3IDuyWWl6xzbdbqy/acYieVC3Pj9mzPVHymI8Og3jgEgnYmCs&#10;fkIIIenJQ4g7oaHHMX4dJ51x2tnWzXtCCCGE5EP/Yd4jU7s1Pt9yaY4e1t/dlQhxH701zq266Sy3&#10;aHh3N69/F3ffWSe6eX07u7l9TyyA187FnxcW0ub17+wWn9fdPTL1dPfS4qFu2+bLzDrz4qc//bvi&#10;345pRJuYrARZB2ngkceHtUo/GkEcKonJ9Jndj5THeytPLah0HFmQdYRXK/1oReIPrHRCOhJjJw8p&#10;uXZnEeKs/4hGIY4QQgipDb4Qh7+jWy7RmQ8KcYQQQkj9UFMhrlDxYd1QRxHiSDpE6Ivt/gYxDnlA&#10;aAc6Qggh6Rl58bXqAl+8yB/GNTnLQSGOEEIIqT31IMTt2TfVvfP0KPfI5NOL4hseiSoCnMhwwvx+&#10;Xdy8QvqCwV3d/Ree4p69Y5DbunGiWW9eFIZbJI1wFZOVsIMV0v7pmJ+7jZur2+f2QqUi2cKlA4tl&#10;IS1WW0SLcbQKcfW0W92/HvuPddMXQqqNL8SlvXbjsP7uPmPwOWdbN+0JIYQQki/5CnGNz3t1PUoh&#10;jhBCCGkbLCHuuIYeXVsu2/kefkOFfxTMohB39FBYAkWsx7cKaR7JSgghJD15CHGdGpp+VVpHk+vZ&#10;v9co6+Y9IYQQQvKhXCHO+o9o+z+Zsdu/aZ/E7l1T3OZ3LnUv33+ue3DcacUd4Bb2b2glwgmya9z8&#10;ohTX4Fbf1M999M54s+68KAy3SKVCHGlNLUWyanK0CnFc74S0DRTiCCGEkPZJnkJc4W/yDbouPH6V&#10;QhwhhBDSNrz06usl13hQMyHu+O6njacQd/QgO8ThUap4ZCoe2SppeI9z8ghXPBJWlyWEEFIe546a&#10;WXLtxa4xxYtyhsMS4s4Y0HOQdfM+yj2D3dx5g9zCxWe7Bx481z3y2Plu5aoL3KrVIwuMciufvMCt&#10;eGSEW/bQuW7x0qFuwcIh7l6rHkIIIeQooPegXiXXXvyv8pZLc/TQZZrLNc7aX4YQt2PLJLdh3UVu&#10;3R2D3f0XnuyWDOzqFg8IC3HNnFjI07W4W9zjM3u7954f4/bun27WnweF4RahEJc/FOKyU09rjOud&#10;kLbhvIsH+Nfg1EKc+Xc3hThCCCGkJpx0Rr+SazD+jm65RGc+KMQRQggh9YMlxOHv75bLdn7HsQ29&#10;f9aqoe5NwynEHT1Mn373EeEtBmQ45LXqIIQQko08hDiY8roOMGBo7ybr5n2MufOGuCVLhroVj5zn&#10;1j1/kXtrwwT34dYpbuee6W7Hrmlu40eT3OtvXuqee/Eit2rNKLd8xXA3f+GQkjruVu8JIYSQjkxe&#10;Qhz+I9r+MoS4ze9PcOsfu8CtntPPLRlxUlGGW5RCiEOeBf26uIcnNblXHxxe3CUOu81ZbVRKYbhF&#10;KMTlD4W47NTTGuN6J6RtaC3Epbt247CEuL5Dh55u3bQnhBBCSL741+BKhDh8/15aV9PNFOIIIYSQ&#10;tqFmQpy17TuEuNtvX3vYuoFPOibYCa5HjyHul7/8tyNfSgOIcjiHXeLmzHnELEsIISQ7Q8673L/2&#10;tpkQh53hVj45svCPj7HuvQ8muW27p7mDn850f/72evfVN9e5PR/PdFt2THXvfTjJvfH2pe75l8a4&#10;x54Y4ZYsHermzRvi7r1voFkvIYQQ0hFp7FsqxOF/lbdcmoNH6D+i7S9DiNuyYbx7dfkIt+qmvm7J&#10;+Se5Rf0boo9MFYpCXP8ubtnYHu7ZOwa7d9Zc6LZvucxso1IKQy5SqRA3e05jMe2nP/27VmnCq+sv&#10;dkOHH+f+6ZifH2kX73EOaVYZqbdX738p/ox+og2c+9dj//FIuY2bJxbzom+6fuRF2YVLB5bUq5H6&#10;1qy7oIiME+f9uEg7aFvawHvkQ5rO64tkSMdYpT284me/nIC+SHm8t/Jg/Jdc+p8lY0b/b7/rzGBe&#10;pEsfgMxBqI1KhTiU8ceNObHqktjj1U9DGaTF1qq0gTmy0hEXaQNY60/HxsJqH+VRj54Hq25N2rUN&#10;ZOySVyNlMH9YS6hH9wNlQnMr4PMhbYRAO1ZZQvJm4Ii+pdfgDEKc9Xf38NGjO1s37QkhhBCSL/41&#10;GP+xrOUSnfkICHHPWzfpCSGEEFJdVq9dp67vzcBda7ls53dYQtzx3Rv7UIgjhBBCqocvxGHL9pZL&#10;c+oD1+vSOprcqDF9TrRu3sdY/shw9+bb492ufdPdvo9nFvn4j1e6P/7pavfpF7PcgU9mur0Hryiy&#10;Z/8Mt2X7VLf+rUvd2mdHu+UPn+fmzhts1kvqh2fX/cHJgfdWnmpR7barXT+pL3744bviXG/f/rKZ&#10;Xm0OHPzAffnloTZrn9QH5Qhxof+Itr8MIQ4SW/MjU4e4+0edXHwUahYh7oELT3Grf9PPvfHo+W7r&#10;xvoW4lBe6vLTAESkmGiENEvakXrRJuQiv5xIVUkyDwiNUdIhKPl91GOFbKRFOB+kablNi2RW3YJf&#10;zipvyWOIVyymiJfOH8srWO0k9SMG5l3X7+OLe7E1JmmxtSr1Wnms9SPo9pLi5Ndd7bUNYnGR/Fhj&#10;WoTThPoAIElaZXxQh1WekLzxhbg01245LCFu0rRJ/2rdtCeEEEJIvvjX4EqEuOO7Nx7WdWG3OQpx&#10;hBBCSNtQMyHO2vadQhwhhBBSXfIQ4nAjvbSObELc3LmD3aIl5xT+0TGqKLl99z9vcn/7rzlFEe6T&#10;z2e5j/94VRG8/+zwNe6rv17vvvnbbHfw0yvd5m1T3Ovrx7nHV55ffOSqVX9evPbaAvfpp9vc119/&#10;URRh5BAp5YmVs8xy5EcQQznw3spTLarddluOjdQeOfbsedtMrzb6sNLJ0UFeQhz+7t5fhhC39+A0&#10;t23zJPf68hHuwUtOc0sHdi1KcZYEp8FOchDi7h95ilt141mF8ue5rRvtXcQqpTDkIhByIODEEBnM&#10;knJE7gF+GkQcSfN3q8LOVFIvhBtfDNP1Agg/EJDQH6TJLlqoF/1Cmt5ZS/cbWOKZrh9ILFCXFrZE&#10;SgKQj6Qu3QbOS36cl/wA45P6UFaPzZfX/PJ4r9NQHvVJvXoHPLQhaTrWOId2kFfHQefHOOS8EOtH&#10;DF0O9Upf9NjRri4TE78kDWX9NEHa8/PoNajnDmsFebF+dH4Q64tQi7UNYn3RdQCUlbb03KJ+v6ye&#10;I6wNaROvIplafSekmlQixFn/Ee2W22450bppTwghhJB88a/BlQlxpXVRiCOEEPL/Z+9Ng62qzn39&#10;r7dO1a2YqvPlng853v+pulXnfkg8ZfB8uDE0yT24iUQSG8QWsYtoEI0dIIJdbNJgrhoFlQ2oYFTE&#10;DnslsdeoGHtFehCNki3Yi8n4r99iv/iud79jzDHXmmu3v7fqqb33Gn2z9mTt+TAm6Tv6VIjD/3yj&#10;EEcIIYS0j3YJcadN2//b3s17jxuXHB7uvveY8OSzU8KqtdPC9k9/GT767Jfhva3nhi3vNwpxeO1v&#10;2y8I2z65MGzcMjO8serM+qlyd99zbOjsbM8JcRDdIL3lBE5t8uogO+lLaayVtrduXV8vh69eOujL&#10;sZHeR6KvhDgRc1N7kgx+Ro3dt+Ham3NTPfYf0TY2IcSBDe/MCC88+LOw9LQfhYUHDK/LbvMP2LuO&#10;J8OBuhBXy7vkhP8KD1w2Pvz57mPDqlfae0JcGTwpR8s9Nk3EGk86ApBtRNrRQhnQ9TYr5hQJXZIG&#10;0J5NB5CbJI/tI0C/IBSJ8AZ0u+i7lqUEEZ2KZCXbb32ql1cvhCbIWFqqSpFav6L5iyEyGMbmrRvq&#10;sgJeSvyStNgaAemnzSPjs+2lSPVF6K29neqL1AH0/hN0O3Y/yD7y9h+I9Z2QdtKKEOd97qYQRwgh&#10;hPQO9hpcpRCHuijEEUIIIX3DLbffZa7LbRLivGPfKcQRQggh7aWaR6buM7WxjjFh3rwD9/Bu3nvc&#10;tuyo8MTTU8Irr58R1m06uy694SS4nSLcOT1A+l+7zg0b35kZ3lw9Lbzwl1PDPfcdF+a3QYjDoy/l&#10;0YiIzz7/qC7AQHgS8DNel+AjDOP0pTTWStsiROKrlw76cmyk95HoKyGOEFCVEIfP3RubFOLAXx47&#10;Kdxx9o9D50HfDwsP3Lt++tuCA74f5jsyHMBJcjccNCLccnJHeGLxkeHVZ6aENWvOcOtuldqQS+NJ&#10;OVq60a9D8pHXUzKVCD9WLNL1euJXLlIH6oulxaQmANkNeSAIeekeWiTTJ7hpYvMGUiIaBCa8nupz&#10;GVJtpdJiQLySMmVkqpT4JWneGgrSps2DPkha7j5K9QX05t5O9UXqgNxm00Bq/YrGKOmpOSekan40&#10;flzDNbhVIe6Oe+7gI1MJIYSQNtPVtabh+gtwXe6+RJeK7wzfbzevLgpxhBBCSN/Qp0Ic/ljv3bwn&#10;hBBCSDUccNiUhmtvbwtx11x7cFh+33HhtTfPCBu2nBM2vzerfirc149KPaf2/c7T4b7+GSfFza4/&#10;MnX95pnhtbfODA8+PDksWFCtEIeT4bQMVyS6Pf/C0l3CnJdOKMSRwYME3++kL7FC3LCRY+Z0X5qj&#10;EfuPaBu3TO/ybtzn8Oqfp4QH5hwYlvzsh2HBId0nxO2/d7j2p98L1+0v7HwN319/4PDQuf/3w+0z&#10;xobn7zs+rHn79LBh83S37lapDTlbeEnJM1ru0a9rGScHW3es3rJIHd44U2mCnHYWE4c8UiKSlyeV&#10;pstrEStn3XJI9TWVFkOfqJdbBqT2mKSlxixt2jwQ9OS0M3zFSWqpE9lAqi9Az0sOth70UdL06x6p&#10;vkgdOfNi10JET+/kPMwPT4gjfUErQpz3ufuzz7bs7t24J4QQQkh1VCnE4Qa7V9f27dtX2hv0hBBC&#10;CGk/nhAHgb370l1d4DEttiH8w8C7eU8IIYSQarBC3LCRHSu6L83ZUSszW9dRu6Z35Qpx1143ITz4&#10;yAlhzcbp4bMdF4e/bT+/W3wTep4QB2FOHqX67tbZYc2GGeGPj50YFiw8zG2jWeQxmYhXXr3PzWNZ&#10;vOSkOl4aoRBHBg8SFOJIX1KVEIf/iNaKELfq9dPCM3ccHR743UFh6WljwvWHjwzXHfC9sOjA74cb&#10;DhoeFta+Lqp9xclw19e+XvfT74UbJv0g3P+bg8IrT/88rG+TDAdqQ66TI1alpJyY3APxSF7PwZ5y&#10;VUYagsADcQf9E5HH4o0zlSZIntgpXB45IpnOk0rT5fXrsZPnYkAMwxhkLT1sX2P9SKHXrUg806T2&#10;mKTlrJOXB6ew2X0BISw2plRfQG/u7VRfpI6ceUmtLeZCHqmKrzjRTtLkdUJ6AyvE5Vy7JSjEEUII&#10;IX1Du4U43B/fTiGOEEII6RN6TYjDPx5sQxTiCCGEkPZShRCH/9XeUMeoMWvLnBB37/3HhzdWnRU2&#10;vTcrvPP+zhPi8FhUfN24ZWZYu2FGWL1+Rli/eUZdiMMJcVtq+fD1o88uDJu2nBMef+rnYeGiQ902&#10;mgGnw0lAjPPylEHkOpwyB2Huvffeqv+M8OrHo1qRRz+KFd/jtZRsJe2kJB059c478U7S0D76iXp0&#10;H1A/0mw5TapcrjQGAVEkNAn8XCQmVtG2Rp8Q6IWeZ1u/rLPUga/4Ga/rNiwyho8/3lovh0BZjCOn&#10;31hXb+5k73llMD8ItIOf5bRDBL7iZ8mDwM+2DkG/d1DGy2PBuDA3tt+Yg02bX472G2NCYG7wM+rB&#10;9xLou14jC+qV+dJ7RuY7NU4JXb+0jX7rvBaMFSH9Fuy+R5+QF3Oq8wFpy9YBvD2E7/FabC7JwKQZ&#10;IS72ubsVIW7d+rPCmy+fGl544Pjw4P8bH26Z2hEWHT4yzMdpcBDiDvh+WHTg8LD44BH1x6lef9So&#10;cPvMH4fHF08Mb712mltnVdSGXCcl0wgpKScm9+hHVebKVJpcaQhyUkyC03jjTKUJOXksWjaKjV3n&#10;SaXp8jn1ekDIknIpbJ3NtJe7bpbUHpO0VtZJpEl55KzgnYCW6gvorb0NUn2ROnLmxfYT82HnwoL3&#10;li5DSLtpRYiz/xENn7u/+GLTHt6Ne0IIIYRUR5VCHP5Dmq2LQhwhhBDSd/TiCXE9/5cbGvJu3hNC&#10;CCGkGtohxOGxq1ddM36Ed/PeAiHujruODs88f0p4a/VZYf07M+sy3NZt59eFt3Wbzg5vvH1WeP2t&#10;M8Pa9TuFuPf+BlluVvjr32aHT768KGx+b2Z44qkpYdGi6k6IgzgikSMhFSGSC+QeLalI6Ly67Vig&#10;Hl1GkHa0pGOR8PJIQBLSgpAOyEIx0QniTqwcQkQghDevkHWsFGUDddhyoNW2PTDWVOg5RJ0SmL9Y&#10;Wax/TErCvKbGgIhJgSjr7S0dqBv5bFndd9RvQ8YpY/IkLAF7UyJHvkJ/igLtenXJewV7RrdrI7Zn&#10;RCpLRey9JKHTRdBDePMMMA4J/T7W+9MGxqfrAPI+sWmoP7UPYuMhA5OqhDh87vZu2mezZUZYt3Fa&#10;eOvVU8Oflx8XHr5qQlh+/k/CbWf8KPzhxNHhxmN/EG48+oe1rz8MN0/dJyy/8Kfh0YWHhxf/eGJY&#10;u26aX2dF1IZcJyXTCCkpJyb3NCNTaXKkIf1oR8g93uMwpQ5vnKk0QaShmBzlkTN2nSeVpsvjtC55&#10;PWfdgK4LY7Any8XaKkqLoU9Pyy0DUntM0lJjljZz5gX9kkfhAtvPVF9AM/OiQR+lvJeuSfVF6siZ&#10;F9tPkSRxOhyQ9xG+4oS4ZsZFSKu0dEKc8x/RKMQRQggh7Wfjplcart/d1+GmhLjYqe3bt29fa2/Q&#10;E0IIIaT9LLjxpobrMug1IW7OnBUU4gghhJA2Us0jU8css3WUEeJuvnViWPHHE8PKl04NazbOqMtw&#10;H358YV16W795Zli1ZlpYtXZaWL/x7J1CXPfpceBv286rS3OPPlHtCXEim0DE8dLLIvVJ4GecPgW0&#10;oKJlJOTRUg3yatEF8o2kCdJOSnqR8PLYQB4RkdA3EaIgVtmyQI9T90+XlfCkNBGUkBdlpG3IbuiL&#10;hNf3VttOIXXjq5cOtFSGkDEgDePQ/fcELeQRGQ7rrE8nwz7Q8pbtv5ag0C7GH5s7tCFpgtd3lMHr&#10;qEvay5HdZAwxCc2CsaE91K3Hhfp1v7U8Juh0BOZA6sC49ZzJWmiQjjVFGvLL66hDv9e8sUqgD/Ia&#10;8kl4/QVoS0LaxBxIeGuHfuo6QGxPojwCc2r3ENZE95cMfPbe50fmGl58U9373I3XvZv2pYAUt+Gs&#10;sOr1X4RXnzu5Lrs9c+ex4Y/zDwv3/vqAsPyin4YHLz84PHb9EeH5+44Lr79wcli9+oyw4Z32PS4V&#10;1IZWJ0cgSkk5MblHy1tlHjcq5EhDkLskDx6L6eWRdG+cqTRBHh8JUchL98gRpnSeVJotL+IS+qVf&#10;jyHiU6z/qbZSaTGwDlLGO30tRmqPpdIAJEhpM2c/g1SZovZ6Y28Lqb5IHakxS57YPspdV0J6g9ZO&#10;iGv83I3/iEYhjhBCCGk/nhCHU926L9GlAuVsXTi1fTuFOEIIIaRP6DUhDn8A0I3gf7lRiCOEEELa&#10;y9iDjmu4yDcnxHWssHXkCnHghhsPD3fdfXR44qmfh7dWTwtdH10Qtn1yQXjnr7PCpnfPqT82dcM7&#10;M2vfz9r5yNSteKTq7HoaTpR7/a2zwsMrJocFCw5x628GkXpSAlQZRF5BxOqEBAOJpSiP9A1fbbq0&#10;k5JeJLw8OjyBCGUktEAEIBFJeHUjv5aMtPwEtBSE73WaIO1jnvTrrbZdhMxrbF2A7gP6541B6vHW&#10;TkQmpHkCFpDyVpDS6xIbm9SPsGur+46I1YExSaC+VLqWsVohNfd63FhfO2/6PZUr6Al6Trz5kLD7&#10;TSQ8u0dtOvorr8k49GtFxOZFXo8JeWRw0VOI65jdfWmOBvLoMnuN6ujC695N+1ZYv2l6ePvN08PL&#10;T54Unl52dHjqlqPC8/cdH17988lh9arT3TLtoDa0QplGSEk5KblHTuGCfGNPbisiRxrSj66EpGTT&#10;tZzljTOVJugTz2KCF07Y0mk5IpnOk0qz5dGWpHkSIOYZ8y5pIvThpDubF6Qe/5nqRwo5VQ9fvXVH&#10;32x/UntMxuztI/ys5yRnPwuxMjJnmEf9uqbde1tIzYvUkRqz5LHrJ0Ic5q5s/wlpFyPHjlXX4NaE&#10;OHzu3rFjywjvxj0hhBBCqqNKIc47tZ1CHCGEENJ3eEJc92W72vCOfb/qqnt3927eE0IIIaQaegpx&#10;Y5Z1X5qzA/8zXdeBa/rcuQeN827ee3QumBAW33REuOf+48LzL5wS3l47LWzaMrN+Qtzftp9fPzHu&#10;gw/PC3/927n10+HwGk6Q2/ju2eG1t84ITz57crjzrmPCdRUKcRKehANEsvHCE4FEUknJTvrkqJRM&#10;pPNZUUfa8aQwQcLLIxGTaVKSEMpIxMaIcUnEysfmHOj2IV/J6622XYTMa27fYuunBS6bJsJeau2k&#10;vJWtRJIsEqoknx2H7rsnummkn15bsg4xGawZUnOm02LrnrN2MSS8NZGwaXqf2X2APkroedayot7X&#10;KWLjEuEu9buGDB6aEeK8z91r185q7ZGpESDFQX57vXZtf7V2rX7z5VPCGudUuA1bGstVSW3IdXIE&#10;opSUk5J79AluEKDsI00h6eCELcg5Vu7KkYa08AaJSaQ4fNXlgTfOVJqA/orghX5CIJMxoP8yN7qO&#10;HJFM50ml2fJ6zOiXfgQq5lf6KuW08IY+St9Rj4hfgm0r1Y8Uuk3Mj6wt2kYfRMbSZVJ7TO8jiGiy&#10;zuiTiGmCXUvUB+lLzxPKp8RC1CFpmFO8hjx6Dtq9t4XUvEgddswayWPXT04O9EBbQO91QnqDnkJc&#10;8bVbAgJcY9kxyyjEEUIIIe2n2hPiep7ajlNotlOII4QQQvqEXhPi7P9yw811CnGEEEJIe6lCiMPN&#10;dFPHnDJC3DXXjA/XXTch3Ljk8HDHXUeHPz12YnjtzTPD+x+eF74Kvwoff35R/dQ44ct/XBpC+E3Y&#10;sPns8MQzJ4fblk0KC68/rP74Va/+ZhDhLSbRpIQ4T57JkXJS4o8GwoyElZekHa8PgkQZyUcjYaWy&#10;nDFq8SpWPjd0+VbbLqKq+nUem1Y2vLKpdQOx08vKzI2Wt+wpgSLcxYTKZki9L1JpguRJrV0MCW9e&#10;Jbw0+f1gT6XTMquW1TCPUgZfka9IZovtSS3kQVqMyZlkcFCFEIfP3e0S4iC6QX4D6zdPC+u7v2+n&#10;AGepDblOSqYRUlJOkdyjT1hLYU94y5WGtNhkgYwkgpg3TslXNAcQmkTi8oCUZWUoSbMikpcnleaV&#10;L5pTzInkRb+sNKbRabaton6kSK0LENFMSO0xkKoPcpeUt2spr8fwHnmKveitt6273XsbpOZF6kjt&#10;X8lj1w/7IrWnBeSx/SekXbQkxJnP3bimU4gjhBBC2k+7hTi8vn379i57g54QQggh7afPhDj8rzcK&#10;cYQQQkh7aZcQN2/e+InezfsU11w7PixaeEhdcHvy6Z+HNRum1x+buvm9nY9NrfPOzLD53Zn1E+Re&#10;feOMcM+9x4brOg9162sFkU2sOJRCwhNkYvKKRvJAKvLSNRK2LanD64MgUVbyESSsOJUzxpR4JTJV&#10;TmBdtIzVattFVFW/zqNfx1jKhD6dTddpH4VqwbpK6Ndz+i7oU870PtGiJr7XZXJAuxDI5AQ6L2yZ&#10;2Hg0kie2dhgPJD+ki5Rmw3s/SHhp+qQ8LbaJkIivOj/AnNn2MR+x9UjtSS3eIVAv+mQFRjLwae6R&#10;qT0/d6/dcubu3k37wYDIMDgFykvXyEli+GrT5DQw1GfTBDmRS+Q0yQ/JB0KSJ9zk1CtATNJiF9qB&#10;JATpR/rujbPMHHhjQJsoa0/RgkAneezpYDaPN76c8hCcMDYZA8DPVjQD6B/mw/Zd8kodtq2cfqRA&#10;/VpIQzuYQ0+uS+0xwY4BeaUuKW/XEuuGPab3B/qB/PrUOAvGK3UClPfyt3tvSx/w1abJuqX2r+Sx&#10;6yfzga/e/kWdUtZrm5B2UKUQh8/dOz7fPM67cU8IIYSQ6qj0kam1a7+uB9d3vL6dQhwhhBDSJ/Si&#10;ENfz2Pcrrrh/D+/mPSGEEEKqoZpHpn5dfmcdHbObEeLA3HkHh0XXHxruXH5MeOzJk8JzL54S/vLq&#10;aeGV106v8+LLp4VnX5gaHn3sxHDPvceFG5ccEeY69bQKRBSJXLlHwhNkUvKKIHmGqhAnMlCqfIxW&#10;2y6iqvp1Hv069phEau49dJ29IcQB/VhOeU0ksJz9q4EwJvNbFLZsbDwayeOtHeYrJsHp8NZEwkvT&#10;6ylrokXC2DqJnGflUHsSJCjak5DfsCZ6fPg+Z33JwKE5Ic5+7h7cQhwhZGiiH/dqZTgNhD7k8U6n&#10;I6QdtCLE7TWqo6uxLIU4QgghpDeo9IQ4c2q7EuLcm/SEEEIIaS+9J8Q5x75TiCOEEELaS08hrmNF&#10;96U5O3T5eh2jxkxsVojbyfj6I1BvvW1iWH7vseHhP54Q/vT4ieFPj50UHnrkhHDnXceEGxYfHuZ3&#10;HhKuvc4r3zr6sYP2sYcxJDxBpkheASIUIbx0wZNtBGnH64MgUVbyESSsWJMzxpR4lVM+RqttF1FV&#10;/TqPTZNIzb2HFq2KynoiGyg7N/r9gf2I10Ti8uStFOizBN5rUp+Xrl8vShMkj107zJvIYug73kt4&#10;TeeR8OZVwksDctKdnAaH+hFo0+b1wDro0/LsuuTsSQFty1jx1Y6TDFyaemTqqI6Vugw+d1OII4QM&#10;NnIf2Sqn+1GII71Fa0Kcun7X2WfqF19smejduCeEEEJIdVR7Qlzjqe34jI7XvRv0hBBCCGk/fSbE&#10;4X+5UYgjhBBC2kurQtx/Dh+9uy5fr2PUmIlXzztoqnfzPpdr5x8SFi48rC6+3bL0yLB02VHh1tuO&#10;CjffOrH22mHhmusmuOWqRJ/SFDvRSSPhCTI58gpEIgkrBWl0PvsIxKJ2iuQpiZjkAySsoKNP1dOv&#10;a7RIlSpfVthpte0ictYPdUrE6td5bJrsN/041FxEdvIexamRfFbyzOm7ReqCyKnLl30spxXHLNiL&#10;EmXSBMlj186T+iwSzbxX9PsU+1n2kJ37FKn3a86e1LSy/0n/pakT4pzP3Zs2Td/Du2lPCCEDFX1C&#10;HB6Hah9hK4/jlTzeY3gJaQfNCnGxz90U4gghhJD2004hTv4W792gJ4QQQkj76TUhrvaPhx7Hvl9+&#10;+YMjvJv3hBBCCKmGVoW4YcPH7KHL76RjXKtCHLjm2gk1Dg7XXvf1V/ney181WvJBFJ18JeEJMjny&#10;CkQiiZgcBEFGxCmvLhHDvFOg8LMWx5qRfICElWrkBCyEN1eQjkSiQtjyWthJte/RattFyMlqKVlN&#10;75dY/TqPTdMnBJbtn15XjNXLowUtW39O3y3SX8yrtN+KzBcTxWTuETYN+0TCpgmSx75f9Hx4Eh/m&#10;UaKZ94qW2fTaYp97+WNI2HZyfqdomllj0v+hEEcIIXEOn7jnLuEtBR6b6pUnpB30FOLGzKntw8Lw&#10;hDh87v7yy81TvRv3hBBCCKmOaoW4jhW6HghyXV1du3k36AkhhBDSfnpRiGtsBMe+U4gjhBBC2ks7&#10;hLg9h48eUYUQ1x/QohUCMhrEFAglAn7Wjzb0BJlceUWLMxCBtNwEkUa3o9N0HgnkFdEH/dRlEV4/&#10;Jbw0QcKTakTWg+Qkp+pBDML3WkhDeOV1HyFI6TFiLKgHc+gJg622nQLzISF1o2+6HnwvEatf57Fp&#10;GJ/0E1/Rpha10B4kLozTSn+2LPooQiTSdP+9ucvpuwX9sSFzUwYR3qTf8rrd7whdDuhx2TRB8tj3&#10;nu4/+iBzbecLgZ91WSDhpQkyNgmsnZcPfcN+17Ic+pESHWO/UzCP+D2i8+N7mUuk6/xkYNPcI1Mb&#10;r9kos3HLjBHeTXtCCBno4OQ3nAT3r7t/s0GC+/Z3/kddmLv/4WPccoS0i2aFuNh/RKMQRwghhLSf&#10;SoU485/U9hrZ0dnV1bW7d4OeEEIIIe2nV4S42LHvV1750Dh74z6Xq66qcfUD4Zpr7wmdC+4OCxbe&#10;Ea6/4fYad4RF199Vf+266+4J18y7L8yd90A9v1cPIYQQMphpVYiD/KbL1+sYPmaPuXPHz/Zu3g9E&#10;IAiJbFUUkE08oSgmr1ggMVmJxoYVhyxaorEBUUb60qzkI+GNE+IN+ucFXtfCnlce47cSlBfeaWKt&#10;tp1CC2c69DyhTolY/TqPl54agw5v/TG+orJYexHlNDl997Br5dVdRNGYdRu2LOZfwqYJksd776Xe&#10;K+iTvO+bfa/oPYfA+8/LJ+/JWHjlpIwdV1Fo6Y4MfCoR4mqfuynEEUIIIb1Ds0Kc97kbr1GII4QQ&#10;QtpPO4U4/FuAQhwhhBDSd/SZEId/TFxxxf2Q4twb+Cl+//sHw7x594brr78rLLtjSXhoxfzw5DO/&#10;Dy+8+P/Cyr9cFp6qff/IHzvD3cuvD0uX3hxuuPGOMHfefaaeB83PhBBCyODjgMOmNFx/S58QN2rM&#10;RF0e4Lp+zTXj53g37wcykJAgq1k5DsKOPd3JIpIbvnrpFmlLi0JoB2KMnGSVApKO7ifqEtFJ+uI9&#10;WlTa89IEyQORyUuXk60kH77iZ+m39CtWHmD8VhLC+NH3lAxYRdsxUEbmDoH+6DVHugS+12VtHvTL&#10;SweQyrB+WgRDYD4wlpSwhnFij+iyaKto3qRfCHzv5fHQjx1FG16eHOy6IVAfxip98+ZM2k/Np+SJ&#10;9Q/zoucLewTzr+XUZt8rQI8pNrepdYv9XpG+2XFhzjCX+v2P7/FarH0ycCkrxMX+I9qGzdPGeTft&#10;CSGEEFItzQpx+Du5LgdwXd/xxZbZ3o17QgghhFRHlUJcrVyXrqdbiNvDu0FPCCGEkPbjCXHfGb7f&#10;bt2X7moidux7s0Lc3Ln3hRsXLwt3Lb8xPP7k3PDS678JazZeEP76t3PD1m3nh7Ubzwsvvfbr8Ozz&#10;V4Q/Pn5NWH7v9WHxktvDvHn3u/WR5thzzxH1R1Hgq5dOBjeXXnpb2HvvseGf/um/1/cBvo4efYib&#10;N8a4cceGf/7nf6mXl72Eer28/Y3p0+fu6je+12kYA8by7//+3XDqqZc1pJHyyB6bMGGqm07StCrE&#10;4RHnujzAPxTmXnNwp3fznhAyeIB8JcGTx3xE7ITs5qUT0go9hbj0TfXY5+71W6ZP9G7aE0IIIaRa&#10;fjR+XMN1OFeIi/1HtL/v2DLHu3FPCCGEkOqoVoiz9ewzlUIcIYQQ0nf0ihAXe9za5Zc/MNW7eV/E&#10;goV3hwceWhD+8spvw9trLw5rN54fNr83O/zto/ND18cXhE3vnhPWbrogrFpzYXhj1SXhxZd/F1b8&#10;aV64/Y4l4YYbbg9zr37ArbdZJk++cJcYY4HIASkGIse5517vlh+oYFwYI7566WRw861v/a8e+x14&#10;eT0gz3nlB4pAhn7G+qzT+P5oHZlLCJReOknTDiEOr1OII2Twg1PHEDiBzEsf6uDkN4nUCX2ENEtZ&#10;IS72uDUKcYQQQkjv0KwQF/vcTSGOEEIIaT+eEAdZvX6RLhGxU9u7urpGeDfoCSGEENJ+eueEuMj/&#10;cmtGiLt67v3hpltuCc+t/F14v+u88OmXF4f3tp4b3vnrrAa2vD+7nt710QVh47vnhtfe/FV44qm5&#10;4fY7bwrXXnuvW3ezQNKoDTOLsido9WcoxPUNkCsx75AtvfTeQEugcmoXTkXD6zavB/JKeZwyJ6fC&#10;ofxAOSEuJcRBfuWpZtUh80whrjlafmTqyI7ZDeVHjVmL1+ddM36Zd/OeEDI40LIXHvfp5RnqiDCI&#10;wCNYvTyEtEIVQhw+d6/fPH2qd9OeEEIIIdXS9Alx5nM3wOs7drzb6d24J4QQQkh1VCXExU5tpxBH&#10;CCGE9B19LMQ9ONu7eR/jmmvvDYtvWhoeeKgzvPLmpeGjz34ZvvjHpeGDD88L734wO2x5f6cMh+/x&#10;+NQPP74gfPLFxfXX31p9UXjmuSvC8ntuCPPn3+PW3yxaiLNpeJTipEkzGh4LiZO1bL6BCIW4viG1&#10;33oL6UOzUp6WyezjRgcKKSGOVIvMM4W45mj5hLiRHZ0N5SnEETIkWLfuuW7VK9TlOC/PUAYC3I4d&#10;n9fnB2Kcl4eQVin9yNTI524KcYQQQkjv0LwQN2ZOQ7nuz91ffbVlmXfjnhBCCCHV0U4hDv9xbfv2&#10;7ePszXlCCCGE9A633H5Xw7UZVC7ExY59LyvEXX/9HeH+hzrDsy/8v/DW2l/Wxbet286vnwZnT4gD&#10;ODkOstymd2eHVWsuCs+tvDzcc9+icN11y936myVHUMKpVzgJS/INhpPiKMT1Df1BiJPHnTa79vqE&#10;OS99IEAhrveQeaYQ1xytnxA3Zpkuv9eojpV4fe68g1d4N+8JIYODjz/eWpe9tm5d76YPdZ5/YWl9&#10;fiDFPfnkAjcPIa1SVojzPnfjw/36LdNmezftCSGEEFItTT8y1fxHNPncTSGOEEIIaT9VCXHeqe2Q&#10;5LZt2zbRu0FPCCGEkPbTK0Jcz2PfO7rw+pVXPjzHu3kf45Zbl9ZPeVu19pdh45Zz6ye/2cel7jwl&#10;7pz693JS3Ob3Zoc1G88Pr77x6/Dgw/PD/AW9L8QJIpEBPFbRyzNQoBDXN/QHIa7Vte8PY2gVCnG9&#10;h8wzhbjmqFqIk/IU4gghhJD2MmrsvuYaXl6Iw+sU4gghhJDeoYUT4tzP3V99+e4K78Y9IYQQQqqj&#10;q2tNw/W7fi1u5oS4yKntVQpxxxxzzK77JZbddtst/OAHPwiXXXZZWLdunVseaV5ZAXXsv//+Yf78&#10;+W55cNpppzXkf+mllxrSb7311oY6wf/8n/8zWacG+VCvLu+146H7JqA/Xl4NxmzLadB/zP3999/f&#10;UA590vn+4z/+Izr3TzzxRMO40KaXz1K0Zugb6kqtewz0V9flzTP6rfOUwfbH2xtYM52nWbBvMA96&#10;jmVukGb7grW0+ywG1h5litYiBuZZtw3K9pcQ0jy9c0Jc5HFrV175YKd38z7G7XfeFF5/69Lw4UcX&#10;hK3bz28Q4SDBQYZ794OvX9v5c/fpce+dE9ZsuDA8+vi8sHDR3W79zVJG7tESTeqUODxmVctzAD/j&#10;dZsXj60sqg9IPk8qQb/23HPErjwAj3ZFXpxuZ/ODHCkKj8PEyXj6kbH4Hq+lJCL0BXklD04U0/Mh&#10;fbPlBBkH2kf/kVf6gDS0r4VEGb+uH23qOj2amTdpZ8KEqfWfsaYoU9S27p9Hah1ioB2v/9hLnrCp&#10;83kUPf60aAwyJzpvzjrrcjbN2wMA9Rf1N1UOay+veXs51jeUxetIx8+YZ+xHyY+v+Dm2fwTUq/eN&#10;B/rqlfXAPkR+Wyf2lTe/gqyT5Mndz5ZUOXkttRdInNaFuI4Vujyu6Xh97jXjV3o37wkhhBBSDWWF&#10;OKQ35O/+3L1py4w53k17QgghhFRL80Jc4+duCnGEEEJI79FOIQ433Ldt2zbVu0HfDLVmsoBkA6nG&#10;locw5+X3iMldtg4riaXaKJLa0J5XDpx33nluGSFWFv3x8mu8cjFEjhIgMel0SFM6XbAyYyyfpcya&#10;gaJ5Ejw5zSuP9fXy5WD3hhXwAPZqK/IXyubMkZ1vjNPL5yF7qEwZi7TbbH8JIc3TJ0KcHPt+xRUP&#10;LvNu3se4/Y6bwmtvXhq2fnhe/VGpEN0gvEF8w2NRN7xzXli/+bza152nxuFRqvXHqb5/Tuj66IJa&#10;nnPDk8/+PixadJdbf7NA0qgNp46XbhG5BsKHTYMEo8UvD8gyuowIKSLYeEAskfJWTpHHX8ZAPz05&#10;R/oZE7H0vMSISXxSN/qK8dpyQkz4kXRIOiIaWfC6CE9eOkgJOK3OG8qn1trKj7LOMWLr4IF+FdWH&#10;+bF9iM2lUKUQJ3OTWgMp5+XRdWqhTYPxxPoMUS1WDuh96Qlxkmb7pkU6zG9sTmP7ByDNK2OJvT8s&#10;mCOvvCa2v5rdz5pUOT3Pqb1A4rQsxI0as1aXFyFu3jUHr7U37gkhhBBSHaVPiIt87t747oxOe8Oe&#10;EEIIIdXT9CNTa9dsXU4+d3+1Y8tK78Y9IYQQQqqjKiEudmp7XwhxAk730uXLylUiAqXqKCPEFUk+&#10;SPfKgSLRCwKgVw4UiXhemRS6L1YsgyCn6wb2JLkyEljZNQNW2vOwgp5g+1/VCXF2DjSevJlL7vzY&#10;/VNGbqvyhLhm+0sIaZ5eemSqf+x7WSHu5ltuDc/8GY9MvShsfOe8uuz2wYfn1R+bChnuzdUXhddX&#10;XRJWr7sgbH5v5+NUkQenxn3yxcW1n2eHZ5+7Miy6vm+FOC1/2DQRhkRGEiEGco5uR4shKdlNEKkE&#10;go9+XYswqFNOBUO7WtbxZBgZh5eGslIv0rV0hD5qoUdLUILULe1jXqQO9FGLVZ4kI2k6D8YEtGAj&#10;9aM/IjWhHd0/T0qqYt4EjEXKow+6bXldg/Yk3abloucAIlOs/8ATxmQM3vhyyBmDtOGtryB1eHkk&#10;TeeRtdRjtO8JQa+T3qN2fkCzQhxAXagTaeifnhusky4LdDr6JWPSe6fsuqAezAO+6vW27zXv94ue&#10;J9DKfsZ4vfEIdi5JHlULcfIH/XkU4gghhJC20sQJcQ2fu3cJcVtmLPNu2hNCCCGkWpo+IS7yuXvH&#10;jnfXejfuCSGEEFIdlZ0QN7JjdmM9HV14fdu2bbO9G/TNUKuuAZ0GMcs+AhKPX9R5UjIbhCVPEiqS&#10;6oqEOH0qmPfoSI3NK9+DIkFIt2vLFol4Oi/QaRg/5lGnY551HjtmK3jZR7mWEcBS8w3hDOtu84DU&#10;o0hRTu8VO192zT10fuDl0ei9Zduz+zQXK+thTHp+kI61h+Rn94Dd680KaGhP14O18PKBVvpLCGme&#10;XhLi7LHvY5bh9SuvfGiFvXGf4oYbl4WHV8wPL/zld2H1ul/WZbeuj86vnxJXF+Levji8/uavwur1&#10;v6wLcX/927m7TpDb9glOiJsdnn729+H6Pj4hLpYfIoq87klIQMpCotGvi6DjCTQ63Z7IJq9r4Uej&#10;5R3bJxFhrHwDoUXqjYk5yCOnb3lCkpZsvDEVlZeyQGQjjZQFkG5EwhH0uL3yVcwb8MZW1HbZ/WbR&#10;9ccEI70XvT7G1j6XnDFIG7E+AqnDyyNpoGgerahVNEfIr2Ut5Ld5YuV13dhH3ntdxu7tbWnXWxe9&#10;bl69zaDfz95ctLKfi35XIB11SnmvfVJMq0KcLttdfjZenztvfJd3854QQggh1dCqECfXfApxhBBC&#10;SO/QwglxXV45CnGEEEJI+6nshDhzajuEd7y+ffv2OfbmfLPUqmvApls5x+ZJyVWCPTnM5imqw6ZD&#10;7NE/x05rs7KQLZcSluzpY6jLCl9eOUGXBV4e+2hUnWbnXbdn5TPvBLkUOWsGvBPyYnOt86Jvdu5T&#10;Mp2g8wMvj0bPH9bWSoa5J+ZpWpHa+kKIq6pNQkg5ekeIizxu7corH1ppb9yn6Fxwd7j9jiXh0Sfm&#10;hjffvihs3X5e+Oizi+onv21+b3bYsPn8sHbDBWHjlvPrQhxkuHdraXh86ju1n1evuzA89sS8sHBB&#10;/xTi5BGcKclIyyVaeBFpBHKJzg/0CXK6jH5d57dIHit/iQhj+wvpRcrETqwDOp8ViqRuyD/6dY2e&#10;Rys0yetWABR0WSvDCZJuJZyq5i01Nilr2wax/ZOLFoxiYwc6n02LrX0uOWOQNrw5EKQOL4+kxfaA&#10;fi/Z/SfvRRCbI70PbHkgabZvut3Y+yM1P/J6bF4k3etTs6TWW9Ka2c96DmNzgfmPlSd5VC7Edf8x&#10;wLtxTwghhJDqKP3I1Mjj1ja8O32Fd9O+FTZsmRHWvzM9bNg07Ws2136uve7lJ4QQQoYCzQtx6vpd&#10;Z5+peN27aU8IIYSQaqnuhDj/1Pbt27d32pvzzVKrroGyeXLkKivtFAlvRelWVovJVvoUNchTVjRK&#10;yUNanhPhzIp9MTkM6HzAy2PHVZQu82Lns+zjQXPWTLCSWWyudT55HKgW1nKkPckreHkEK9xhLazA&#10;V3ZegJ3bHJFPsGVT+yuF3adYLy8faKW/GsiDsl4QGnFKoJePELKTPhHi5I8BV1zx4Frv5n2Ma665&#10;N9y4+PZwz703hOdfvCxs2Hxe2PLBrPDOX8/ZKb91g5PjIMFBlHu/67y6LPf2ugvDypcuC/c/sCBc&#10;N/9ut/5mSckrHlq20a+LWJKLFl5Sko2ITVZY0f3OwcooMUkmdz70aVa5sp1Gj9nKP/J6TKDJ6WOs&#10;Dl02B1s+Z2ySx+t/Tt9T5LQPsCbSjj1tLLeOGDljSM2BIHV4eVJpguSx+ydnfKn9ByTNtl9Uzuax&#10;aXK6oSf66XJVnRAHUvORM1eSx84Ffpb+6tctkie1liROK0Lcfw4fvbsuWy8/aszEzs79dvNu3BNC&#10;CCGkOkqfEBf53L1hy4yV3k37VtjwzvSwbu1ZYfVbp4dVr/8ivP3WaWHtmjPrYpyXnxBCCBkKNCPE&#10;xT53I827aU8IIYSQammXECd/h9+2bdsy7wZ9M9Sqa8CmQ5RJ5cmRq2weyEypdFuHTcdr+hGZMdlK&#10;n6IGwc2KRilhSdcvkhEkodzyOh+w6faUN3xv89j+ymNAy4pmlpw1E2wfUNbmsXtEZCotJIJUO0Dn&#10;BV4eQdctp+fZfnh9LcI7FQ97x8tr6QshrpX+amJ7jRDi0ytCXOzY97JC3JW/fyBcM+++cOPiO8Ly&#10;e68PTz3z+/DG25eGd96fFT7/6pLw8ecXhQ8/viB0fXRB+Nv288MnX1wU/h5+XZfjXnhpTrj3/kVh&#10;8ZLbwty59/n1N0mu1CGIHGLz68d4FoGT4OypaFJ+zz1HNLwujyS00pk+ASwHK9rFRBh53Xvco0Xq&#10;tqJLrG5NSiyK1SvkrFmsjnbNm0byeP3P6XsKKYtxeOlCan5zxpAiZwypORCkDi9PKk2QPM2MLzU/&#10;QNJs+0XlbB6bpucO72k5wQ5l5HGqOe89D5zaiN8fsd9F3nzkzJXksXOhx6Jft0ie1FqSOK0IccOG&#10;j9lDl91Jx7irrhq/u3fjnhBCCCHVUZUQt/HdGWvtDftmWb95eli79szw1uu/CK89e3J45Ymfh788&#10;emJ46fETw6vP/jy89dIvwhqIcTwpjhBCyBCkKiEOn7s/+2zL7t5Ne0IIIYRUS3VCXMeKhjpGjlmG&#10;13tTiLPCjX1UaEquwqld9oQxWx4UCVo2Ha/pE9yALWPlNfTFSj8xYcmeQKdPy9ISW0pG0+WBTkM/&#10;tHAHYid72bHbcTdzClrRfFt0XmDT7R6BmIbX7SlucnJcDJ0XeHkELQXqubP7LXWKn4cVFQW0h3HK&#10;2Dz6Qohrpb8a2yaFOELS9JIQ19hA7R8Fs/H6lVc+2OXdvC/iqqvuD/M77w5Lb7s5PPn0VWHdpvPD&#10;x19cVJfgtnSfEIeT4iDGffbVJWHthvPDI3+6LixYdFf4/e8fDFdc8aBbb7PkSh2CCGpWIIm9nov3&#10;mEf9SEIr0EF8kTT9ei4xEUZeH6xCXLvmTSN5vP7n9D2FlKUQ93WeZsaXmh8gabb9onI2j03TJyt6&#10;4PdI2dPhkD8mwWm8+ciZK8lj5wI/S936dYvkSa0liXPIUac3XIPlqPac8IS4PYePHjFv3oF7eDfu&#10;CSGEEFIdVoiTR6DGoud/RNv5uXtji0JcXYJbf1ZY9dppYeXDPwtP3XxU+NOCw8Ifrz00PHzVweGh&#10;3+/kkasnhEcXHR6eu+/48MZfTg1r155VP0nOq5MQQggZjIyftH+pazci9h/RKMQRQgghvYMnxMnj&#10;y8sE/u7eUEf3vwO2bdu2wrtB3wy16hqQ1yHSQKixso2VfKxclQJ12dPhvDqsoGXT8Rr6p1+zspUW&#10;o0TCs9JPTFjSp4+hzzrNClfeeIDOUwT6FxOXbJ/1ejRzOhwoK8RZeS+VbkUq3V87lxbJJ3h5gJUd&#10;9RpYYbCZ09Ks4KfBGGL7xgpxMYrEQLvmKSEONNtfDfafSIYooyVQQkhP+kaI6zbrvRv3ufz+9w+F&#10;zs7l4c67bwzPPndlePXNX4XX37okvLn64vDm25fUvv9VePWNX4eVL18WHnvi6nDr0lvCVVc/4NbV&#10;KrlSB8AJTJK3mceEpoDwJnWjHbwmp5nZU+NAmX57xPobeySsRYs90l8hZy5SYpG8HhNocsYeq6Nd&#10;86aRPF7/W21fThFLtQ/0I1OtTJkzhhQ5Y0jNgSB1eHlSaYLksfsnZ3yp/QckzbZfVM7msWmyfqhX&#10;y5kQ2vB+t2uVg4wXMh3qLbPeOXMleexc4Ge8DvTrFsljy5M8WhHiIL81lq1dw4eP2YNCHCGEENJ+&#10;OvYf23ANLhbiVN46O/+A792wL8PaDWeFt179RXj+/p+Fe391QFjys/8brj9yVLjh6B/U+GGdRUf9&#10;ICw8fGRYcvz/Dfdeun/4853HhdeeP6Uu0nl1EkIIIYORZoQ473M3Xvvii017eDftCSGEEFItVQlx&#10;sVPbt2/fvtbenG+WWnXZeOJWjhAHwQYSUEz6akaIA1pO07KVleUgDOH1XCFOnz5m5SUrH8VOdtN5&#10;YqCdHFkpNscyrrIUzbclNv/AnqZn+4T50+kp0UrnA14eoOu0UqDtj8iQZUE/sad0XRrvvZArxGE+&#10;dTlLWSEONNNfQkjz3Pvgw+r6vhOc1F57v1UT3rHvEOKuuure3b0b92W46qoHwsJFd4alt/0h3Hf/&#10;wvCnR+eFJ5/+fXjqmavDo49fEx54cEFdhFu48M4wb9694crfV3synJArdeDUNn0Kk5VO9KM45YS3&#10;sogsIwKcnDpnhTOg5Tz7WM8cYiKMFqlSJ1XlCFcYj35d452IJ8jrMYEmZ81idbRr3jSSx+t/7n6L&#10;IRIV9oaXLkg+76S/nDGkyBlDURtYc6nDm6dUmiB5rJim34v6dY0+fbG3hDgtkerXW0HPo5V0hdRa&#10;FK0TkDx2LvR7KTYXRetMimlFiMP/Sm8su/MfCVddM36Ed+OeEEIIIdVRRojD/2pryFtD/iOad8O+&#10;DGvePiOsfGRyWHHtYeGmk0aHxQePCLccMircOH54jRF1Fh88Mtx66A/C9Qd9P9wytSM8Mu+QWpkT&#10;wpo1Z7h1DhXG7ve/6/+OxVcvvb9z0aUd9f5/4xv/zU0nQ4PUPr7y6p+E4SP/v3D4xD17pBEyFKlK&#10;iMN/RNuxY8sI76Y9IYQQQqrHXosHuhAHKccTaqwsFSN1KpatI1eIs3KayFj2lDDpd44QZx/zaQUu&#10;K9vFTmnTeVLkSG223yDWbg5F823RJ8ABnRabawHzp9NT+0DnA14eoMUvT0i0/S372FQBY8H4tCCp&#10;sbJdrhCXmgPQjBAHyvaXENI8fSLE4QZ7FUIcuPrq+8N18+8ON964rC7G3X7n4nDHXYvDsttvDouX&#10;LAvXXHuvW65KIGnUhlrHSwcQvkRWA57YoQWbZsUPLZlp2cQT7LRokpJZYsREGIxV6vVOpgNoW+RA&#10;r22pG3iP9kT51CNmpWxsHnPWLFZHu+ZNI3m8/us19ta1CL0vYgKUFq+8PuSMIUXO/IuUhnW248TP&#10;Wlrz+phKEySPlbGK5gjzI/vPKw8kzbavZbeYBKbz6Nf1usTWriy6TozbpmOuc96rqb0geexcFP2u&#10;QNtFvzdJMUceN7PhGowP5rX5zArcSNdlAa7r8+aNn+jduCeEEEJIdZQR4mKfu9duOXN374Z9Gd58&#10;6dTwx/mHhqVn7hsWHTEiXH/gThFu4YHfD4sOGl7n+hpLDh4ZFh7w/bDk+B+G5b/8SXj6tqPDmlWn&#10;u3VWBUSt2vDr4paX3tdAFEL/8NVL7+9Mnzlq17/FvXQyNEjtY0kDt91xRI90QoYaVogbNnLMstr7&#10;Ixmx/4hGIY4QQgjpPey1uMlHpnbpOoaN7JiN17dv395lb843S626KBBrIO+kTvWKyVX4asWk2Glo&#10;zQpxVk6Tx3XqdvUjPK1o5PUn9bhUwT421fYX6HQgr0OAsyd5eeUtdi5zRLoYZYU4ndfOSWyuNXq8&#10;+N5Kc4LkEbw8VrDzHllrJb3YvisD2vVEM/3esEJcs+3afZorxGly+ksIaR5PiMN/Qqu9z6oJVGYb&#10;wAf9K664fw/vxn1Zfv/7B8NVVz0Y5s69r34K3LXX1bj2nhr3hauvvq+W5perEkgataHWgciigWCi&#10;xR3gCV6Clj+QD7KKpEEeQX2QS2KimRZMRGJJtadPWUO9+sQzyCj4GeW908RSIoyuF33V40Cdepw6&#10;TZC6dR0YG9KQX5fHPNvykhYTaPSaeekgVUe75k2QPF7bGK+0LWuLudF9KMJKRjK36Dv2mMhe2EN4&#10;zZbPGUOKnPnHeCQP+it9xPh1/4E3T6k0QfJ4e0jeP5gLEcXs/KTKS5ptX6+fV87msWl27AL6hPXA&#10;e0X6m4uMB3VLn7yxeuudsxckj7cW2MNSP9Jlv9nfE7HypJiqhTicQEMhjhBCCGk/VohL3VSPfe7e&#10;tGn6Ht4N+zK8/NTPw93n/yQsOGxEuO6AvcN1++8d5h/w/fpXYX6NBQfWXqulLzpyZFh62pjwp/mH&#10;hbdePdWtsypqQ68DcctL72v6qxB3/8NfP7IE33t5AIW4vqW/CJ+pffzzk/9PPe1fd/9meOn19r7f&#10;CRkIHHXiQQ3X4hwhLvYf0b74YstE74Y9IYQQQqrHXotFZisTtg6R6ryb881Sq64BL0+KlFxlT1uL&#10;yVDNCnHAk9P0z1ocs2mesGRltRy8E79sHp1mha0c4alojspQpi4roOm+2vXNJSbz2XxeHrveOUAM&#10;8+oqC/aunTu9h/qTEAeK+ksIaZ62C3Hese947fLLHxzh3bgfiEDSqA01iyKhAzJITHjRpCQ3CDE6&#10;b5EopYWUGJCDbLmUCINx2H5YtGhkkboxF6n5iM1nUbpeMy8dFNXRjnkTJE+sbW9OUvVZrFTogb57&#10;siLIGUOKnPkHqTmGlJiaJ8kXm0MgeTwxDWO34puA17Ww55WXNNu+lt28cjZPKi0F1teWjYH3oVeH&#10;IHvFW++cvZBap6LfeSiTKk+KaUWIw4d2XRbg9avnHTTVu3FPCCGEkOrY7+DWhDh87m5FiNvwzvSw&#10;evUZ4dm7jwlLT/tRXYLDqXAiwGkhDnTW0ucfUEs7aHi4cdIPwwO/Gx/eeJFCHPrX34Q4nOQlc5c6&#10;1YtCXN8ic9/X+7u/7mNC+iPNCHHe5278R7Qvv9w81bthTwghhJDq+cGPD2i4FpcV4nDt1uXrdYwa&#10;M7Grq2t37+Z8s9SaasDLk6JIroIsptM9IaeoDpuu0yBX6bTUaWRWNLJ9sfJXLmhH1wNsHptuT+9K&#10;SWmgaI7KUKYuK6BB5pM0fZpeGWInydl8Nh1rafPk4p0k1wx2j+g9hO9jaWWw+xTr5eXLIdVfQkjz&#10;PPrEUw3X5/o1ut1CHP6X25VXPjTO3rQfqGgxxgKpCDIHHm8oJx/lAEFFJBAB0kjO6U/2ZC0vjwWS&#10;DerWAlBR30V4w1ebJqCvtl70CTKTnPjlIWPHV/wMEQb9kTpQZ0wmAtJe7LGSeB3pyOelg6I6QLvm&#10;TfLE2ka9kMWkXbRZVhZCHajf7rNU3wUR1VJjSCECVmr+hdTap+YpZ/0kT0z8wx7V84yv+Fn2rvTL&#10;Kx9rH3nxeqpdyYM69OtoV+pFP3QawLzo0wtTY7fIXpayeqyoB6956y1lvDQhtU4Aey21zrLfyoyH&#10;fI0V4nB0e20+swIf/L2yc+eOn+3duCeEEEJIdZQR4rzP3fhgv3HLjBHeDfsc1qw+I7z6zM/DnxYe&#10;EW46cfTOx6N2C3EeOyW579WlufkHfT/cfeFPa+WnuHVXRW3odSjElYNC3MBA5p5CHCEDh6qEOLxO&#10;IY4QQgjpPVoV4nDfW5ffSce4gSbE2VPEvNO6iuqw6TotJUnZk9usaGTlICvvlcE+itKm6zRgT4nz&#10;TpnTlJHYisity5MNtWDoPZIzF12PYPPYdNufMkDes/V5QNZL5bXSmxYE+0KIa6W/hJDmabsQFzv2&#10;/Yor7p/o3bgnBFghjhDy9aN6i0RXOXGNJ6oRcOyJ5zdcg8sJcWPm6LJyutzcaw7u9G7cE0IIIaQ6&#10;egpxHSvqF2gn8Id2nRfgc/f6LdMnejfsc3jrtV+EFx74WXjoioPDjcf+MNwwfkS4/qDhPUS4Rr5X&#10;yzOiflrcsrPHhucfPD6sWX1m/bQ5r41WqQ29DoW4clCIGxjI3FOII2Tg0FOIi1+7JWL/Ee3vO7bM&#10;8W7YE0IIIaR6WhXivFPbu4W4Pbyb881Sa6oBL0+KHLnqP/7jPxryWHmsqA6brtNATGSz7VjRyApL&#10;+nS5lIQEioQ2nQZ0GvBEPk8SE3LmOZdUXegD5s17NKmeLys6Fslftj7vsak6Hdh0W4dN1+SImB4y&#10;N8iPPr700kv11zEvWHO9R4CkAyufFc1JDLtPU3uxlf5qkF8ER5Sx7x1CSCOeEIf/XF57D1UTnhCH&#10;o2Mvv/yBqd6Ne0IAhThCepLzvsBpa3KKHIU4AloR4vYa2dGpy4oQN++a8cu8G/dFzJ2HrxPCtddN&#10;CPM7DwkLFh0SFl1/aI3DwqIbaiw6LHQuPCTMX1Cjln7ttRN61EEIIYQMFQ48Yj91/U7fVI/9R7T1&#10;m6dP9W7Y5/Dmi6eEp5YeHe65ZP9ww9E/7D4hLkeIGx4WHPj9cPPJHeHx648Mrzz187D67TPcNlql&#10;NvQ6njA0dr//XU+76NKO+s9XXv2T8O3v/I9dZfD9whvH9yhXFghl0hb4192/uas/OSLRE8+cGA6f&#10;uGe9nK4DryHNK4MxIZ+0c//Dx9T78I1v/LeG8i+93vjIWimXQue3Qpy0I6/psTYL1sXWGRu75NXr&#10;CDC/ss4xUFbWo6gdwZaRtvC6l78IrAfmy+5DvCZrhTnW7XloiVHWNLXHZH7x1UsHze5jaR97z6YJ&#10;UrfsT2DH7WHL4St+1uMnpL9x0hmHNFyLc4S42OfuHTve7fRu2BNCCCGkevabcIS5ho+ZU79QZ4Yn&#10;xOFme1dX1wjv5nyz1JpqwMuTIkfUsid7WcGnqA6brtMA5B2dDiD12HxWNNLCku1j0UlaEIt0frSn&#10;hTadBnRZwYp8KYEqZ55zsXXlYIU/2/eiR5IW7QGg04FOs/MNOU6ne9gT7HLmrMzc2PWyQlyKVP/t&#10;PvXmSmilvxrbZs78EjKUeeHFlxquz3KNrr1/qonYse+XX/7gbO/GPSGAQhwhPdGPQ4Xsph+5ChEO&#10;j0uW0+FA6rHEZOjQ4glxy0zZlXi9WSEOdC44JCy+6fBw+12TwkOPnBAef/Ln4Zk/Tw1P//nk8OgT&#10;J4UHHjw+3Ln8mHDrbUeFGxcfHq65jlIcIYSQoUkZIc773I3/iNaKEPfGX04JT992dLj30v3D4qN/&#10;GBYeMDwsqOGLcF8DcQ6PTb1p8ujw0P87OPz5nuPCqtdOc9toldrQ63hSlkg8Pz/5/+z63qNZuQmg&#10;Xa9OAOFHxKeYrIS2tSRkQRoEKVtO2sXXlOQGqUkLR60IceirzqeBWKbL5YJyXn3Ajj2n77F5TrXj&#10;lcGcpfYMKDtm1KlFOIvs4bJCnKxRbOxAxhLLo9fZUrSPdVmbBvD+k3QP1O1Jcan9Bmx+QvoLVQhx&#10;8rn7q6+2LPNu2BNCCCGkeloV4nBjXZev1zF8zB7btm2b6N2cb5ZaUw14eVJYIceTjiCKpU6qKqrD&#10;pus0wdbvPUbSSj9aELKnj8VO0tLYk+8gfUmafh3ocoLtT+oUs5x5zqWMRIV59eRAPd+pfgvYA7pe&#10;YOfYpus0eyKfnusY2AO6jJX6PCD22b3k4cllZYQ4rIEtL9h9kcrbSn81tk0KcYSkabsQh2NlbQN4&#10;/corH+z0btwTAijEEdITSG9aeIuBE+ImTZrh1kGGHj2FuJ3X4ZywQpz8MX/uNeNXejfui5jfOSH8&#10;4eYjw933HhueeObn4eXXzwhrNpwdtrw/O7zz3jlh1bpp4S+vnBaefnZKeORPk8Ndy48NNy45wq2L&#10;EEIIGey0KsTh9U1bZszxbtjn8PZbp4eXHv95eOTaQ8OSn40ONxw0IuOEuJ1CHE6IW3z8D8N9vzog&#10;PHPbpPDmX+KnQLVCbYh1RCbSWKEJJ0vJaWAQirSclDolLAbqkPKoS+rAV33SFvBEIi0+Ib+Wv3By&#10;nfQPYpgVhkRCEpkOeeW0O+TVkpLXtu576rQtK0qhHclvx1lWLNR165PadL34KvkhxEHww1c9V7Yf&#10;9tQ/Pc8oK3OJcuiDbkOQ+jC/GJctI/Xhe1s2hgh9qFP3Ef3D+L26ctqR/sRkNyDvhaK90Mw+1vNh&#10;07TEiHxSN+ZTy6BevZKm94aUwz6w+QnpL5w5+7CGa7HIbamI/Ue0r758d4V3w54QQggh1WOFOAjr&#10;9Qt1ZtSu3+MaytfAqe3btm2b6t2cbxYtdaXEmxhaOoKYExPJrJykTxQrqkOnx+QrLSOhDu/EMisP&#10;6cdCakksVwZKnSqn5xXf63IanQ998/KAnPHlYuUyC/qEOcD49Kl3ghUci07TE4pOldMnutm9qMeP&#10;fF6/LHa9c9cVdWNMek8AzAv2YmyPQyrT7aVI9cX2u0hma7a/GtQh84+2+chUQtJ4Qhyu27X3UDVh&#10;hTg59v2KKx5c5t24JwTsueeI+i9yfPXSCRmqQIqbMGFqXRaVR6MKeA0nx/FkOKI56ZRL1AV+J7X9&#10;khW48a7LyY34edccvNbetM9h8U1HhEdWTA4vvvyL8Nbqs8K6TWeHd/46K2z75MLQ9fGFYeO754Q1&#10;66fX0s4ML79+enj2hVPCgw//LCy7fVK4/sbDwzXX+vUS0p/YunV9QOCrl95uXnn1vvDhh1vCe++9&#10;5aYT0i4eevh39b2HvX/nXbPdPKQchx3dKMSlbqrbz921vPUTYTe+O6PT3qzPZcM708Oa1WeEZ24/&#10;pv74Uwhx19fwJDgNpLm6EHfcD8N9lxwQnr6174U47zQvLQKVlbmA1A9xR4QpjZaBPOFHZCNPyAKo&#10;U6Qg1KXTtIQEiclrX8tMIhQJzQhxXju6j2VOTEM5qTc2fow5t07dD7sXZAzov349hhbotHinkTrR&#10;ppfuIfsFJ6Z56R7SDzsmjfTF22OCtO3lkbRm97G0D2xabP8Keh/qudave30ipD9ThRAnn7t37Hh3&#10;rXfDnhBCCCHVc+ixP1PX7xolhbhho8ZMbChfox1CHCGEEELKsert1Q3X551UKsSNmaMrpxBHCCGE&#10;9B7VCnFjluH1ufPGd3k37lNcO39CWHbnpPDSa6eFv/5tdvjw4wvCO389J2x+75z6153fz6rz7gez&#10;w3tbzw3rNs0IL71yenjsiZPCsjsm1U+Y8+qugsVLTgqrVj1Wlzkkduz4vC52QDBCuleOEIvsIXz1&#10;0tuN3sNPPrnAzUNIO1i37rnunRfq33t5SDnKCXH+5+6NW2Ys827Yl+HFh08IS8/Yt/641OsPHB46&#10;D/h+mF/Dk+HAogNHhIW1fEtO+K/w0O8PDs/ff1xY9XrfPTI1JUKlyqfQQldKcELbyGNFIl0+JaTJ&#10;GKw0piWkmDCkpSIr/Om0VPs57UgfPVkqBvoj9caks7LE+qGFrpy25BGfqfHo+cvtvwiK9jG2KaSN&#10;1P6UNUr1NzY3re5joPeIfh2n4HmvWySPluYwp97rhAwEmhPi/M/dFOIIIYSQ3qMdQtx3hu+32/bt&#10;2+fYG/OEEEII6T3aLsThHw2m8vofAq688qGV9qY9IYQQQqrFE+LwYbx+kS4IXLMbynb/IcC7aZ9i&#10;wYJDw823HhUefnRyWLXmrPD5V5eEL/5+SXi/67y6/IZT4ra8P6suweG17Z/+Mnz65cV1We6N1WeG&#10;Z547Ody1/Ogwv/NQt/5WgfAG+S0Vn33+Uf30I698X9HXJ5EVgfmS6G9z1076WojbtPnlevvYs+0U&#10;OSGQIvDe8dLJ0OP5F5bu2hOUMauhjBBnP3eLELfh3ekrvBv2ZXj58ZPCneeOC50HDw8LDti7fvob&#10;mO/IcODG8SPrp8ndesqY8NQfjgpvvHhKWLfuTLfuVqkNsY4nDMUkII3kSQlHHrlCWawPunwOtnxM&#10;QrJIHju+3P7ntCN5UvNsEeksVW9ZYnON0/HkpDJ8hYyXEtKknlxS86fRghgEM/toVw/Jn9qfOfMf&#10;m5vcfRArD2J7RL+egx2jSHiSZk85JKS/YoU4uR6nIva527tZTwghhJD2YIU4EdRzY69R+0zV5QFe&#10;3759e6e9MU8IIYSQ3sMT4iCy1y/gVURMiLviigfXejfuCSGEEFIdp5zxO3UN3kmuEIc/3jeUrV3T&#10;r7pq/O7eTfsYeMzpH245Mjy04oTw/IunhrfXTQsffHhe+Nv28+sSHGQ4DV6DFIc8m7bMDG+8PS08&#10;+/zUsPze48L8BYe4bbQCZDgdeMwkpA7IHPgKuUhkub4SnGL0tXhVBOZQYijJMf19XapCnwbmpRNC&#10;WmfSCT9puH6nbqrHPndvfHfGWnuzviyvvXBy/aS3W6buE64/cmSYfxBkuO91C3HfC9f9tPb9AXvX&#10;T47Dz4sgy9V+vuuc/cLKh34W1q45I2x4x6+7VWpDdGUakJJ4BMmjy+sTxSzyCM9WRSJ9QloO9vQu&#10;LRvp1y2Sx85Pbv9z2pE8qXm2yLykTu+LgbnDaWs4aU36pvH6gRPHRIoTsJbe2GP1eqDOMqKWXXeU&#10;x9rG6pB8dv00OfMv823ztLqPQWyPYH7l9RysIAhpUUtxAO1jDnU+Qvob5/1qoroWNy/EffbZlt29&#10;m/WEEEIIaQ/tEuK2bdu2zLs5TwghhJDe4Z0t7zZcn0GlQhz+0dBQ+ciOFXjdu2lPCCGEkGqpUojD&#10;49jmzTtwD++mfZRrDw533nVMeG7lqWHVumlh45aZux6JulOCw+NSRYjb+ehUpP31b+fW8p4TVq+b&#10;Hv7y6mnh/geOC50Lqj0hTgtbkN5ip5jhlC2cwkYhrhwU4ijEEUJao4wQZz937xLitkzv8m7Yl2H1&#10;W6eHFx44PqyYd0i4/ex9ww1H/yDMP3DvsOig4WHx+BHh+gO/H66vfb/k4JH1r9fVfl7ys/8KD14+&#10;Prz23MlunVVRG2IdTxhKSTyC5NHle0OI022kyseISUgWyWPnJ7f/Oe1IntQ8W2LzkgJSW46sFqsT&#10;ghXm3dZhH8kp4lyZvpUB8hskOC3o4XtvHSTdrp8mZ/5j8527D2LlQWyPyCNi7etlgQAn7Qv2EcKE&#10;9CeaEeK8z91ffLFpD+9mPSGEEELaw/FTT2m8hpcU4oaN7Jity9c+k3fh9e3bt6+0N+YJIYQQ0nv0&#10;iRB31VX37u7dtCeEEEJItbQixOGDuy6HP8xfdc34Ed5N+xjXXDchPPDQCWHVmmnhb9vOr4tuchKc&#10;SHDvfjBr16NT8fOW92fXf9783qyw6b1zwlu1so/86cSwYGG1J8SJuITIeaRnTp7ehEJc/4RCHCGk&#10;KloR4uQ/onk368uyYdO0sPrN08NfHjsxrLj20HDbmfuGGyf9MMwfj1Phdj4mFafDQZC77oDvhcXH&#10;/Ve467yfhidumRTefuMXbp1VURtiHU8YSkk8guRJCUcerYpEueVjxCQki+Sx48ttP6cdyZOaZ4s+&#10;PcxL95C5hDyGNu2parG59sCY9eljeg7K1NMqkL1EjMNX+yhX6Z9dP03O/MfGlLsPUnMS2yOx15sF&#10;660lu9ScENKXWCFOboanwhPiduzYMsK7WU8IIYSQ9tC6EDdmTkP57s/v27dvX2tvzBNCCCGk9/CE&#10;OJzsWr+AVxH4Q7yuHP+IuOKK+/fwbtoTQgghpFrOnHG1usDv5D+Hj969+zKdjJ5CXMfsefPGT/Ru&#10;2se49roJ4cGHfhZWr58etn96Yfjgw/O7hbidAtymd88JG985O2zccnbt+5m7hDiR4vBo1XWbZoRH&#10;nzgpLFhU3QlxkNsk8JhUL08uqAt1fPb5R901hvr3eC0lguHUOcSqVY/Vf8bjWz/+eGv9NQS+x2Nb&#10;bTl5hGssICrZMnfeNTvaR6TZ/EDmCO3hZ6lD2sdX/IwT9HQ5jKcodP4UaBOPrYVcpsctfUcfvXLN&#10;9l2D9cAa6TVBoC+yZh6eECdzgnZj8w3kEb7SbwH7CH3R/cfP3v7Sbdk0gDakj4iifWCRfRsLPW4N&#10;9rIeAwJzi/XNbdsi66r3NdrHGG1emZdY/4CMDV9tmpSXNFkTCYxFt4u9hfei9A3jTu25dtcPUB51&#10;lt3T0g/kQf1oR0L6C+R9h8D3ug5B+q37kNrPQpm1HkxYIS51U90T4tZuOXN372Z9WTZsqbF5elj1&#10;+mlh5cMnhMduOLJ++tvyC34Slp75o/CHk/cJfzhpdLjl5I5w+9k/Dg/8bnx4aumk8NKTPw/rNpzl&#10;1lkVtaFH5ZiUxCNInrJyDeScVNuCSFe2D7q8fRxqDlo2shKVgEdQSh77OMpcEUq346UDyZOaZ4s+&#10;IQ8nv3l5NBij5Lcnugk5663Rdeo11LJebG6rRK+TXQt5PbXHctYoZx+m2oiVB7H29eNh7f5rhVRf&#10;COkP/PrKSeq6nb52S3j/Ee2LL7ZM9G7WE0IIIaQ99BTidv4ns9xICHHuzXlCCCGE9A5tF+JqH+pX&#10;NlQ+sqPz8ssfHOHdtCeEEEJItbQmxDWWwz8Qrp530FTvpn2Ma649ONx1z3HhL6+eHtZtPDtsfm/n&#10;I1Pf7zqvLr1t2DwzrFo7Pby1+qywtpYuj0zFCXL4+umXF9VFuSeenhIWVijEiXyC8KSzXPQpWbGA&#10;8OOVhcwh6fK9F1b40EKRF1aIQ/lUGaR58grkFIlUHRBbtISj5zYWup0URWNFeBJNs30XcsYQE6tk&#10;LXU65lciJR6JJISv8hr6nwpdHug9adO0yGQjNh6LlrS8sPVgfovKYH3sPi8Cc5raH3ZfyLykxumt&#10;naDLp+YR+dA3LXzpQJ+9Pdfu+qvY0/hd5bUr+fT7zntfot9aaPPC2wcoV2atBxM/m1JGiOv5H9E2&#10;bZq+h3ezvim2zAjrN0+r7cGzwqo3Tqs/CnXlI5PDE7ccFR66ckJ44LKD6qfHPX3HMeGlx04Kb71+&#10;Wu26flZdpnPrq4ja0Ot4Mk+OICV5UjJQDHn0Jr564pQWq7w+iNjjnQxWhJaQUI9XXsbm1Q8JTcqn&#10;ZKWY7KSRPKl5tmgRK/b4SwhVkqb7i9dtXoxP1qNMP6ROvf5aUGtmX5QlJSfK6XEpaVKLZ57cqOVD&#10;b25a3cexPYK6UuWaBXVVXSchVdKcEKfz12/Az/7yy81TvZv1hBBCCGkPp519tr0elxLicO9bl8e9&#10;8a6urt29G/OEEEII6V0ar9GgzULcFVfcP9G7aU8IIYSQavGEuGHDx+zRfZlORo9yo8ZMvOaa8XO8&#10;m/Ypblt2dHj86SnhldfPqEtv722dHbZuP78uva3bdHZ44+2zwutvnRXWbphRF+LwWFU5IW77Z78M&#10;G7ecEx5/6udhwaLD3PqbQQs6njySgxaVIIxA2pA0SHZaHPEkKJFMJNAnOSkLgocu752gJeVjEgtA&#10;nyRQf6yPnkSj5RYE8oisgrwi8CAg8OiytnyzwgraRN3oq+4f+iGCDMagy4BW+471griDr3rOsA56&#10;73gyZWxdZK69/gLULaGlIBkn+in7AGNAHvRR8gl6bPp1jEMC45L5RJ0og3Hp/EXE2rFouUufBidj&#10;kPEh9FwXIeuA+dTlsCaYe7vnpL+p90ts7YAeLwLtShv4qsch36MMxgm0kOZJsu2uv4o9LYGfkQ+g&#10;D5IP/ZSQvgvoo8hwGJtuB/3RfbBly671YKKMEOd97t64ZcYI72Z9Vaxde2Z49c8nh+fuOy48e+ex&#10;YeUfJ4c3Xpwa1q09oyFfO6W42tDreOJSjjgjeZoRn7SIBHELkhdeh7ylH+0IvD5o8QoyEurTQhLk&#10;JohQkKLsKWpaQgKQ4kSGQj+0xBQbmy6LdoGVzWKyk0bylBWU9BxhnDJ/uv+6TpHD9Filz5JmywD8&#10;jPq0+GfnyM6vyIoA+XQ6yqJN1BuT+TzQR4xT14XvpS2k6/wAbUialMM4ZK6AFs+QT++DnH3Y6j5O&#10;7RGMV5fVa4B+42fMrx076kR+/Z7AVy33xU4KJKSvqUKIwx/md3yxZbZ3s54QQggh7aFNQtwe3k15&#10;QgghhPQujddoUOUjU0eNWasrx7Gxl1/+wFTvpj0ZOpx66mXhn/7pv9f/kDl58oVuHtI8l156W9h7&#10;77G75hhfJ0yYWk/DfMtr06fPbSiHn5EGbFp/YdKkGeHf//279fF56QMNWSNZn1bBumF+9txzRDj3&#10;3OvdPAOZwbb+vcHM2Z3qAt99Lc4Q4r4zfL/depQbNWbivGvGL/Nu2sfACXFL/nBEuP/B48Ofn58a&#10;1qyfHj785ML641MhxG14Z2ZdkluzfkbYuGXnI1NxMhxkuC3vn1P/efW6GeGPj00OCxZWd0KcFjy8&#10;9CIgd4iU4skzkkcEEE9c0n0oEsq0ICVI+Vj7QEQSfPXS9Tggyug03T7yaBFFkD5449Pl2yGsaIHI&#10;prXa9xR6zrQMJMTWRQtLXn90OtrAa3oc8loRsXmR1yEV6debJTX/gu6/N1cAcyHhvQ9iSHgCl4f0&#10;N/V+ia0d0OPFHNr1wHtUR+o96+25dtefIndPI7y5EVLvednf6FtsL0s79veVRO5aDyZ6CnFj8O9G&#10;N+znbvwxfv3m6VO9m/VVUas/rFlzRnjr9V+EN186Nax+8/Swdt1Z9de9/O2gNvSdn10c6UtkIk/i&#10;ESSPVz4HLVVZIBOJEBTrg5aRUmgBCmgJKdWH1Ni1rKTReVKykyB5Um15QHDS4plFS2CgaK6kLtsP&#10;WeMYmAedHxT1TcDc27IxvPIaLYsJeM3La0+CS80Nxl+0D1vZx0V7JFW3ACFUl9F1emBtdH5C+hM9&#10;hbj4tRsR+9y9Y8e7nd7NekIIIYS0ByvEQWjrvlxnBU5p1+Uh1HV1dY3wbsoTQgghpHcZNfYAdY2v&#10;X6dnd1/CWw9fiHtwtnfTngwdxo07dtcfM/G9l4c0z7e+9b92za8AiQhpqbmHqChp+F6n9Rcwjv7e&#10;xzLIWKp6Hwz299ZgW//eoFkhDo9VteX2GtUxrqwQB/Co06W3TQqP/GlyePWN0+uS2/td59a/Qop7&#10;56+N4AQ5nBIHQW71+hnhL6+cFu574PjQufAQt/5m0IKHl16EllNSkobOZwUR6UNKUJJISSoxQQXS&#10;iYRtWxOTULTcEhujlnhsWkqOqYJU/a32vYjU3MfS9Hp4J3hhHyD0OmhZzAqLMWLjKhLyypIzf/p0&#10;uJgEBXQ+L91DBK6Y7GmR/nprJqTWVY83NhYJb31Bas7aXX8RqbFLWkpmA6n3pOxv9FG/rpH+Y231&#10;62XXejAx5bTmhTh87m63ENcfgDRVG757WpScboWvNk2QPK2cNgUZSctT+B6vSVpRHyC7QRqSR1cC&#10;jEtEJivDASshQZyK9SEF6pF20abtp5zIZU/w0kie1BhjQDxDH3Tf0Z/YuCGCyZpJvzB3yBvrB9JQ&#10;n25DxupJaBrMoRXqUA/K5syvBn2364zv8ZoW/yx2bdEfb25SeyBnjZA3Vh5fY+Vz9oisG/JI/Rg7&#10;xoLycgqcIKfB2bmX/DovIf2NqzqPbbhug9r+jYb3uRtC3FdfbVnm3awnhBBCSHs496ILG67HVQhx&#10;27Ztm+jdlCeEEDLw2Lhx4y5eeeWVXTz++OMuy5cvz8Irq+uXNr0+kXzaKsThaPjGysfMueKKB5d5&#10;N+3J4AAnXdWWvn7ylZcO5IQ4QKmlWuQEOCCnjuHEODktLHVCHNZCyvbXdRk9+pB6//75n/+lPi4v&#10;z0BC5rsqeU2v72B8bw229e8Nzr9wScNFHuw5fPSI2jwmIy7EHbzW3rAv4rr5E8L1NxwWbrt9UvjT&#10;YyeFlS+fGlavm1aX3j798uL6aXFdH10Q/rb9/LB12/nhky8uCl/+49Kw8Z2Z4YW/nBoeePiEcPMt&#10;E+v1ePU3gwgeCC+9iFzxJCU0pQQUQfJ4EklReS2n5IStJyW3eHlSabHyrZCqP6dtncdLT5Ga+1Qa&#10;hB6EPcFLPy7VCnwiEiGwD+SRozFiexPlRCzCV8iaKbmpiJz3QGouNM3IepDCJDCvReWkv6m+pPqb&#10;M14J5PXSU3W0u/4iUmNPpWlS77uyocuWXevBRKtC3MZ3Z3TaG/VkcFB0KhchhJC+YdHNJzRctwFO&#10;gatfrJ2Ife7esePdtd7NekIIIYS0ByvE4TN29+U6KyDANZQfOWbZtm3bpno35QkhhFSPiGoilUE2&#10;W7x4cbjqqqvCxRdfXGfatGlh8uTJ4dBDD62z7777hr333rvOt7/97Trf+ta36nzjG9+oU/sV36+Q&#10;fkk/pd8YA8YjyBgxXowbYA4wH1rGE+nOm9PBRC8LcR2zKcQNbvQJVV46aS8y/ykhMcZAEOIGGzLf&#10;g/E0N9I/aFaIwylythz+MD933vgu76Z9Dp0LJ4Sb/nBkuOe+48LKv5waNr83K3z+90vqMtxfu86t&#10;837XeXVJbke4tP541Uf+dGK4YfHh4ZrrqjsdDojggfDSi5DyOY8mlLASS45kInk8AaaovH3EYlHY&#10;U6dalcpyyucAkQt9k/F6YevPaVvn8dIB5hACDtbZC2/uU+sC2U1C90uEMHsyFoC0pqU4BOpG32xe&#10;kJKiIBKJFCeB09lic5QiR76SKHoUas56eeiT5RBYJ8ylJ/pJf711EVJrV2a83vsVpOpod/1C1Xta&#10;E1tHLXzmhHdqZpm1HkycNn1/cx2O31T3Pndv3DJjmXezngx8KMQRQkj/hEIcIYQQMjD5zeWXNVyP&#10;qxDitm/f3mlvyBNCCIkjp6FB1ILMpoU2iF1AJDaR1/qruDZQEdFOC3YQ60Sqw3pgXSDUDSSZbuzB&#10;RzZe50eOmVMbbzWhK95ZeV2IW+vdtCeDAwpxfYucoCWPSC0DhbjeR+abQhxpF1UKcT8+6EcHezfs&#10;y4BT3pbcdER4aMXk8PLrp4VVa88Kb6+bFlavmx7eXjstvLV6Wnhz9Vnh1TfODE89e3K47fajw7XX&#10;VncynKBPHGpGBhJBpD8LcfrUrWbGGJNbYnlSac20D/Q6pcLWn9O2zmPTII7FhCEd3twXrYsIaVoS&#10;E+EtJY5BZJK6JSA22XxFUhQEIuwNOz685uWPkSNfSbRLiAPIb2UpzKc9SU/6G1sXkFq7MuP13q8g&#10;VUe762/nnhZi64i2JWJ9zyF3rQcTLQtx785Ya2/Uk8EBhThCCOmflBXi3M/dEw471LtRTwghhJD2&#10;YYU4fMbuvlxnRS3/yobyIzs6t23bBinOvTFPCCnPRx991MDHH3+c5JNPPunBp59+2hReXcBrV5B+&#10;emMZKljBzcpt+mS2/iq1iXAniDAGpO8CxtMsti4g7UjbXv/6CzI3GIsn0cmpdJDovL3SbnpViNtr&#10;1D5TvRv2ZPBAIa5vgQiHuacQNzCQ+aYQR9rFJZcuNddh0DGutu+S4f1hfsLEfY/xbtiXZX7nIfVH&#10;oC6//7jwx8dPDE8/OyX8+fmp4dkaTz59cnh4xQnhzruPDjfddERYsOCQMO9av55W0Cd12ZPRctCi&#10;lpcuaBHEnuiVI5lIHk8iKSofk1NyySmv86TSWm0fY7SPEk3Vn9O2zmPTZG4hr2HurXCTmvtUGpC9&#10;I6fB6dOzsF9sfgvyQ4STsHsjJUVZMAf69LnYXHnktCN1x+ZC0PJms3ITRD/dJ9umpKX6klq7nPFK&#10;IK+Xnqqj3fXL2Nqxp4XU+04i1vcyFK31YGLGrJ5CHE6S6b5UN4TNRyFucEMhjhBC+idL7z6x4XoM&#10;YtduhPe5e/p5s47xbtQTQgghpH20Q4jbvn37SntDvjewohCkHQg9n332WZ3PP/+8zhdffOHy5Zdf&#10;lsKrQ0A70i6wYpEWh7yxDBZECgKQQQR5tKM8tjCGLq/x2upNRPjy9pvsOW+/yd7ZsWNH+Oqrr+r8&#10;/e9/78E//vGPXQyWkPHocWL8mAvgva/k/WPfN96a9BbYf9ibIrrpx5GK3CUiV+1XZNsRYUwkNZGy&#10;RMwSAQ/9lMeGyiln8uhQ/T7sL++xGNI/6S/6LmPBuEQ+FPT6YD4wLyLiiXTnzWu78QQ69FXWBmPz&#10;xt8MhxwzWV3jd16na32oJhoqrvHDHx98nnfDfiCz554j6os2YcLUcOmlt9UWbuyuhUSazX/uudfX&#10;8/zzP//Lrnz4Hq8hzeYHqBv5RJqZPn1uvW48FlOXR/u2rAblYm2nBKicMUqesqBPui38jNflkZ8y&#10;XzJWfM0ZK/r6rW/9r4a2LN76eEifRDKTOZB5RJ9Qlx2LYMc0efKFu8riK362ZdB/kdsE/CxrYPPL&#10;/JTB7rccIQ5tYx/quZXxp/aQt+8xnkmTZrj5Y8h7QeZSI3sQefAz6tb9xPfeXMvc4XQ9m6aRfJ68&#10;hjW248P3eC01L5JX1ynjQH91Xovk0/Kj7DVg96Pdh828t5CGedLj9JA1yKHM3oitv6wzvnr9x9hl&#10;nN4eGMx4QtywUWMm1uYiGThFzpY7ZvKPz/Zu2DdD58JDw41Ljgi33nZUWH7vseHeB44P99W4e/mx&#10;4ZalE8OCBdWfCqeBUCEndeFrjoSj82iBJyUxpUSfHMlE8ngSSVF5tCfRjPSXklu8PKm0WPkUVhyz&#10;pOrPaVvn0a9jb0jETk1LzX3RumC/SEDyE7En57RBTUw206KQfj2GHm8ZWSmnHRH3YmsoSL6yc+AR&#10;k1Vz+psS+HLKS8TmMVVHO+tv954WUu87OZ0Oc6xfb4VcMXkg04oQ9+ODf3yed6OeDA4uurSj/u/a&#10;b3zjv7nphBBC+gZPiIP0tvNq3TM8Ie7iOZdO9W7UE0IIIaR9zJ0/t+F6XFaIwyNWG8rvFOLW2hvy&#10;MXDjXwQSLQZcffXV4d577w2vvvpqg2AkUpEWiQabNBSThbQoJMKdFu1EFrKSnSeQiMyj5RERZkSg&#10;wVpYgQTICU6yboKIOb0lAsXQghAQSUjkE3DYYYfVOemkk8KMGTPq/OpXvwrXXHNNnVtvvTU89NBD&#10;4eGHHw7PP/98WL16ddi6desuqYvRP8K+V+R9Iu8PeV/o90MMeY/Ie0PeC3gPyL5v596WPYt2ZJ/K&#10;exF9wXtUZCkR2NBnbyykOewekN+PmH9cl+R3ouwHrJe3llWD9r3+5tI2IQ5HwjdUXGPcIZMv9m7Y&#10;D2REWoIkouUbQeeF4CFShgfSrMQCIMsgHV9FCPGAUBKTWaSOFDEhKGeMIueUxcpCWspKzVdMfAFe&#10;Hz3QZ6+8RfqEecD3sT7hdU9+smPSZYCWobD+Rf3HOtt9ktpXMWxfdT+9caDNIhHKk5i0jOThtRVD&#10;72ObpvepfO9h+yh7F33Ur2sgUUl5K1S18t6SdL0H9Hvc+30AsPclj647tYY6rZn3FsS13H2WK8SV&#10;3Rux9dfro+dSkPcU9oVNG+zMuWx5w3UYNCvEnT79p7/ybtg3wzXX7jwpbsHCQ8Oi6w8N1994WLj+&#10;hsPCohp43StTNVoegaQRk+Igk+AxfVrq0bKZ99hKgHIigTQrmUgeT4ARiSglmIjgg76jP16eGK1I&#10;ZcCKXza9iCJJSsuGtn+t9F33257qB6pYV1kXjFHqKistxtrJEassEjHRykPPf2xvYf4kYiKWnu8y&#10;7ceIjV/3xdsTejze2uXMq0RsHKk62ll/b+xpkHrfaXkt9p4sS86cDXQ8IS52U93mO/ion/7Ku1FP&#10;CCGEkPZRVojzPndff9PCK7wb9YQQQghpHz2FuDG4n5AdVoj7/pj9f+/dkI8B6aNWTSG77757GDdu&#10;XJg4cWKYNWtWWLFiRZ3BFl1dXXXWrl0bVq5cWR/jsmXL6nR2doY5c+bUmTp1ah3MB+ZlxIgRdfbY&#10;Y486mK/ddtutjjefpDUwr5hjzDXmHWsg+xPrgj2KdcKaYe1kv2JdAaN3Au8lvI8A1uG3v/1t+M1v&#10;fhOmTJkSjjjiiPD973+/baKbFdwgUmm5bTCLbXKCoj1FUSMir5yqKOKzICcsCloI1sjJgoJIxAJk&#10;SQ+RKasC0uwjjzwSbrvttjB//vz6XjvnnHPCkUceGfbbb78wfPjw+u8Mb68Ugb3kzXMuVogbNnLM&#10;slq9rYcnxE2YdPq13g37gYwVb/Az5AygxQyIH5IHAo4WXZBXhA3IIVZGEQlExBHkFSkHebUk4gkf&#10;WsJCeqxt4IksuWMEui/6dU2utAMwZhGY7FhxqpQuC3Q6xiJziXqblWKkTzL/0iepW8tF+GrXzxsT&#10;+onX0Ud8RT6U0/tA9x8ykh5bTH6UtYqNUfdF2s1JQ1siw+n9B7CftBBpy0oaytm9h37a/ClS+0vG&#10;LqBdzBvS0Ibe5/I6QD/kdT0uDfYa0jEH+vVW31uShnHJa5hreT0m0ul29VhSa6jTgOxjpKFNPbfe&#10;e0vmF+X0POn9r8eRQ9m9kVp/vQd1XZh37/WhQpVC3DnnH3CHd8N+ICOiBwLSGMQ3yFsQNvAVEgde&#10;R1gxSwseEJsgnUgayor0hNBpQo5kInk8AUbLICK5oB0tm6AfEug/8ml5CXlljLaPSJOICSw6j5cu&#10;gblAu8ATcjy0oISxSr/RT5HlJGz/Wu27rDn6LeWl75KG8NYuZ1312CQ8IRPjRj163fBVl7eiWUwS&#10;Qj2yv+U1tInXJOweSKHnD3XgNdSn6wf6fYC+yTjtfGJ/yhiLQNvIj7HreUPbUh/2iC6DuiWQR9YV&#10;5e1+8tYuNq8aCeT10lN1tLv+du9poPeEtCFgnqUdfEVf9dph72E9ZV3l9WbWejAx+4IDGq7DwLup&#10;7n3uPvPcw6/1btQTQgghpH3c+8iUhusxKCvEPfrYAzd4N+oJIYQQ0j5uvHlRw/UYdF+us8IKcWMP&#10;nniDd0M+BmSRWjUtI4ISEDlMBCUtKQFISlZUsoiElouW1dCGCGtF0hoYrOKajAv867/+a53vfOc7&#10;hci8WHR9Gq/tgQL6j7FhP3hSnd6vsjchd4lYB+FrsIdIolpsA1YOlfcY5rKdewNyEvYyfneNHTu2&#10;fsrgJZdcUgenWj755JNh8+bNwQpgWhIrwpZNIWKZlcuaEcw8saxIIpNTE3lyYrnA+1euNXh/y/sd&#10;73/sY/xe0PvOu37mcuyU0xqu8cOqEuLwOBddMTj82GmLvRv2Axkt4eB7Lw8QWQNfvXQIKSKVWHFG&#10;SyAQRzwRSssgWpDR9cb6hzwiO1nhB+SOEaSEFSFX2kG/PYFF+uP1VQQkT+hBXVJ3GTEmp09auhHJ&#10;SNDlgR2zoOculifVDpC5ia2T7ottI5Um7WLOvf0HpG27x6XOmGxWhtT+kvaBt/56fHbu5D3ildPp&#10;WlCr4r2F1wHGpV+X97NXRqdjv+vXc9e37HsL45Cy3r6T/YF6bVoKqTN3b6TW31sP/C6U1+wcDxU8&#10;IW6vUftMrc1JMvYa1THOlrvk1wfc792wH8hACNFCUCwgZFhZCGWtSGMDwkZMAMuRTCSPJ8BowUSH&#10;zYv2c0LLJiAlt3h5vHQtDerw8lowv1qmsqHTbP9a7XvRnEnb3trlrKuWsxCoz8unBScvvHIxKUr6&#10;FQuslc6fg7c+dtx433j5dHjvrxR67bzA+8LuZ5BaV/Rb9qu3drF51Uh471eQqqPd9bd7T4Oi9x3W&#10;2PudZUP/zmx2rQcLrQhxMy86crF3o54QQggh7cMT4iC9dV+ye4QnxD3z5xWPeDfqCSGEENI+PCEO&#10;n7W7L9mFgUes6rITJ59yv3dDPoYW4uRErZQUQMojcpCIVwBzawUskbBENMJaQNbQIpZGS1ma/hDS&#10;F+kj+ivjEKFKRDOMVWQUzIEnMGLu+vte1Gts11fWWMap11iQeZF5iiHr76UJUpedZzvXdr5lf2Ic&#10;7ZTaPNCWtI/+oG8yRxgTxtxf9jdjaITszVZPiOtVIW7Kab992rthP5DRAklMFNIyiZVUNFKXFYq0&#10;BBJrIyb74Ht5PSWd6Hy2jzljFFLCiqD7atvSabH+ptqQ12Pyi6TbdlPk9AlIHitV6fJWdtRgfpHH&#10;Sk4WySfSj0bWyksDui92DlJpIhqmpCJZFytFiZBk93UzpNZexp6aPylrx4E1w+ue0IU1l3JaIqvi&#10;vSWv2/7oMlZc079P7H7KXd+y761UvTbdpqUouzdS6w+sMFokFg4V7LW4WSHu1789cKN3w34wAOkC&#10;YhzEHAmIFhDetJzhgXTk06IH5BLINSlRQ2S61OlGkseeAiZAMJE8CLRrT+gC6Ic3PpGAvH6ibgl8&#10;b9N1HtTlpQNIOtKuzKmXzwPimC6PwBhlTWTObf+kXwibZvPE+o49oecW+TCHmCusB8Ibi5QpGqeu&#10;O7a+GD/SREiSwM+xMtI3Oy70G2ut5TRZD2/P5ID+YU5kHbBOnqxVNA6k2zJFpN53qfowVj0Hej/J&#10;3HlrF5tXjfQFeb30VB3trh+0e0/LewqB7708WBvsEb0GCOwF9MUT6Zpd68HARZce2HAdBt5Nde9z&#10;929/f/Rj3o16QgghhLSPR58+teF6DFJCnPe5e+26lzZ6N+oJIYQQ0j7uuGdpw/UYtCLETTnz7Pu8&#10;G/IxtBAH4SQWkJpEroFMA4kGAk1vCjPtRgQgT1wToUmkJi00icQkopKW1BjtCSvbaflLS18io2Ed&#10;RfgS2cvbA6Q65P0kgptIbiK66fcN3yuM/hb43SJ7GY/e9a6fuZwybVbDNX7YyI4VtXpbD+8P86ed&#10;dcV73s36gUyRgAS0LJKDratIAhEkj5ZrcstCupF8VrLJGaOQ015KrkmleXlsmshi3qMmdTnvdKwY&#10;OX0CsXnKLS959Pp5iOTjyVtFa5XqSypNXs9Fl8VayOvoe5m5t6T2V9HYgeSxc6zHbmUxkeWsaFfF&#10;e0tet/2B9CaymN3LWpazgmqz6+vl0a/jpDV53ZPpZC68PZmi7N7ImXNZY5k/EBvvUMFei3OEODxW&#10;1Zb77WUHuTfsCSHl0ad5DXaphxDSHK0IcQv/cPzL3o16QgghhLSPKoS4jZtecW/UE0IIIaR9tC7E&#10;NZadeeElK70b8jFyhbicEEkJ9ehTqqykBCFGTqUqiwhOFhFtgCesiXxDcY1hI7Znvf06FMU6K4nK&#10;+1C/1zBf+v3F9xRjoIcW4nCd9K6fubRNiMPjXHTFYKgKcVpgycEKMLnijeTRco30L+eEJK88yBmj&#10;kNPXlJiTSvPy2DTdPuQjEYZQRk45K3taVE6fQGyecsrrPNgvXh4hNcdFa5XqSyxNy1A5eCe0iVQm&#10;YA30+uTSytiB5LF7HIhMaU8rE7EqJoq28t6KvQ5ip9aJEGn7CZpZ31gemybjRX+0FIf9KnNkT0fM&#10;oczeSK2/oAVE0EyfBhvfG/2Thmtx7UI/uzY3yfCEuMuvHO/esCeElEdOvcOpWF46IYRARLfXYtw4&#10;775U7wrvc/dNyya/592oJ4QQQkj7eOHl0xuuxzvpee2W8D53U4gjhBBCep9H/nRPw/UY4D+fdV+y&#10;C8OW/X9XX7vKuyEfo0ohjsEYyiFCaEyw05KdiHYi2wla/tQCXhG2nCDimiBtW2FUy2wyBkptjKEc&#10;eC/ItbFVIW7mBZc0XKdrn9NX1uptPbw/zM+c3enerB/I5Eg4kDuQB8RElBQ5EgiQPFquqULayRmj&#10;kNPXlJiTSvPy2DQrw1gg7pQ9oSynTyA2T2XH1N+EOD2ndm+UAXVa+QnyHIQ7L79HK2MHkscbhz6t&#10;TGQsiF/ymu2n1NUuIU63LQIa+iWvefukmfWN5bFp+veYB9ayrOAooN2cvZFaf0HPm9Tj5RtKUIgj&#10;pH+BR0BKNPu4UkLI4KcVIW7p3Se6N+oJIYQQ0j6qEOK6uta4N+oJIYQQ0j6qFuLmdi7a6t2Qj0Eh&#10;jsFgMBiMxoAgKtfGvffe271+5kIhrkVyJJwcESVFjgQCJI+Wa7Tko/NatPRkRZucMQo5fU3NR85c&#10;6Tw2DfILXkc/5CQtAGkJwk0Z+UrI6ROIzVNOeS066fXzkHF5IlbRWqX6kkqT14v6lgPGqvdJzr4S&#10;UvuraOxA8njj0CfhyXtAJC3vNLYq3lvyemxescZIl1POUB4/21PjhGbX18ujX8fcoE0AMU7eZwDf&#10;o//NynCaor2RWn+A8jJnstYgNr9DhZ5C3Jg5tXlJBh6rqssACnGEVMOHH26p/4Mep8R56YQQAnDd&#10;tddi3DjvvlTvCu9z972PTHFv1BNCCCGkfbyx+qyG6zHwrt0SFOIIIYSQ/oEnxOGzdvcluzBs2QU3&#10;3uTekI9BIY7BYDAYjMbQQty+++7rXj9zuXjOFQ3X6dpn8bW1elsPCnFfo0Ub+zjUHLQEEpNOvNOk&#10;gD7VKXUyms5npbGcMQpFwgpol7SjxSP9eqvo9vTcarAukseucc6YgDx20pOvNJJPJClN0Vql+pJK&#10;E8moytO2coUyTWp/5exTyRMTpET0kjWQufZOY6vivSWvx/ojc4R+4GeRIb21B82ur5dHvy5jSM1t&#10;lcT2RtHvFz1feE/KfOFnO/dDiVFjJzRciynEEdJ3LF5yUvc/50NYteoxNw8hhAAKcYQQQsjAgkIc&#10;IYQQMjB59rk/NlyPAYU4BoPBYDD6LvAoYbk2Hnrooe71M5e2CXF7Dh89QlcMhqoQB0S0EVHDyxND&#10;SyCoxysv/bD1axkvJlohvz5VyabnjhFo+Sc2znZJO1qIQz90Wivo9jC/nvyk16iZMQE5jQzEBCs9&#10;v15dRWuV6ksqTQtKXrvNUCQ3eaTK5OxTyYN6vHQ9v3IaG/D2chXvLSkf64/e07o/MTGz2fX18ujX&#10;ZV6w/2NlqyS2zqn1130XgRFrhD7jtdS+GOzs89MjG67Fe43s6KzNSTI8Ic67WU8IIYSQ9uAJcbg+&#10;d1+qdwWFOEIIIaR/4Alx3rVbwvvcTSGOEEII6X1aEeK+M3y/3WzZW26/y70hH4NCHIPBYDAYjdHZ&#10;2bnr2li1ELfXqI6uWr2thyfEnX/hEvdm/UAmR8IB+gQ3CDIQNrRkA5kD0pEnXGkJBECKEykFwocW&#10;qTyxRstMEHd0/eiXyHrAE7Fyxwi0lCKnWKGPWuDReWQcOWleHpumx6LBvKL/GL932lcK3Z7UJXVg&#10;DbVE5c1RzpiAlnekDdkjSNP7ICZgFa1Vqi+pNNs39AWvSTr2DeYBextf5XXUI6/p/NgPUl9sLB4p&#10;Iapo7EDyeO8TgD5K/SKyxU5jA62+tyQt1h8g/dBfvXyg2fX18ujX9fpb0B/MK+YpVq8H8qJsmb2R&#10;Wn+ZH7v+ukzZ9/5ggUIcIYQQMjCx12IKcYQQQkj/xl6TKcQRQggh/Z/X33i24XoMcI+7+5KdDApx&#10;DAaDwWBUH3PmzNl1bZw8ebJ7/czlinnzG67TFOJKkiPhCJAxkLcILYcALXRo+c0S6wOkKoglXhkB&#10;AkpMFikzRuBJabpsSsxJpXl5Umkp0EdbNoauMzX/EHLs2tnysTEJWgaKgbnUMqWmaK1SfSnqJ4Su&#10;or4BvY90nR6oz5uzGCkhqmjsQPKkBDT7XtEyp6XV95bkSfVHC5cAEp6XD7SyvjaPTdNznyLVP41u&#10;y8PbG7H116974qH8TkKdsffOYMYKccNGjllWm49kUIgjhBBC+h57LfZuqnufuynEEUIIIX2DvSaX&#10;FeK8m/SEEEIIaS8U4hgMBoPB6F9BIa4fITKMPckoBgQPSFVymhGApAFRByKJJwdZCcSePIXvc04+&#10;Qh70E+3psrF2hbJjhHCCMUo7GKsWfiCsSPtWXkml2TyoX7+OMUibaF+nAQg4+kQvfZJZCisSoX2Z&#10;EyDji4k2OWPSYBzop15jjAttFq2zCHuxtUr1JaefGCPGqvsGsH/RNubHlkntu7Jykshhdu2BrEls&#10;7EDypNYe7y/dTy+Ppdn3luRP9Ufva3xN1dfq+koeO796TuwexBpi3UU2TNVvKbs3vPVHPimLcjq/&#10;oN/D+nfRUGHsQcc1XIspxBFCCCEDA3stHjayY3b3pXpXeJ+7H336VPcmPSGEEELay8ixYxuuyd61&#10;W4JCHCGEENI/2LjplYbr8U46xnVfspNBIY7BYDAYjOpj1qxZu66N06ZNc6+fufQU4sag3tZjqAhx&#10;vYEV4ogPZBjMUZHEhHTkyxVjrBDn5SFkMCPvmZhwBrSYxvdJ/6IZIQ5/tNdlgHejnhBCCCHtY+99&#10;ftRwLaYQRwghhPRvKMQRQgghAw8KcQwGg8Fg9K+YOvXrJ+hdfPHF7vUzlwU33tRwnQa1elsPCnHV&#10;QSEuDzmhCl+9dABpR06johBHSB6y/1PvGb5P+i89hbiOFbV1SgaFOEIIIaTvoRBHCCGEDCx6CnFj&#10;5nRfsnsEhThCCCGkf+AJccNGjZnYfclOxn8OH727LUshjsFgMBiM1mLixIm7ro1XXXWVe/3MxRPi&#10;ILTX6m4tYM/biinENQeFuDzkhDiAOdOPbYQIZx81m3r0pIaiDxnqyPsGMikec6rfO/ger4loikcI&#10;67Kk7zngsCkN1+JmhDjckPdu1BNCCCGkffQU4nreVKcQRwghhPQffjR+XMM1OSXEef8RzbtJTwgh&#10;hJD20tW1puF6DFoR4u598GH3hnwMCnEMBoPBYDRGlUIcRHV7rW6bEHfJpUvdm/UkDYW4PCC9aeEt&#10;hkg9Xh0eFOLIUAdyqQhvKSDDaRGV9A8oxBFCCCEDk1Fj9zXXcApxhBBCSH/GCnF7jezo7L5k9wj7&#10;ufsHPz7AvUlPCCGEkPbS10Lcd77znV33WCjExWPJkiVh9OjRYfz48d2vMBjNx9VXX11/z33zm9/s&#10;foXBYPSnoBA3xJgwYeczciGkeOnkayDFYb7w2FQr8OA1yIW5J8MJEHykDso+ZKiC9w1OYZRHEwt4&#10;n+E1SKZ4/3llSd9yyFGnN1yLa9fnlbW1SwaFOEIIIaTvsUKcd1OdQhwhhBDSfxg/af+GazKFOEII&#10;IaT/4wlxeLR59yU7GYNBiFu9enVdCpI+aP7t3/6tLqA99thj3bn7LiDDSb/6Q38YAzsuueSSXfuJ&#10;wWD0v6hSiMN12V6rcf2u1d1aUIgjhBBC+h4KcYQQQsjApGP/ser6XYNCHCGEENKvoRBHCCGEDEz0&#10;NXknQ0eIg1wm7ac44YQTukv0TUyfPr3eD0h6H3zwQferfRMvvvjirnnB94M5ButYKcQxGP07KMQR&#10;QgghJIsjj5vZcC0eNmrM2u5LdTQoxBFCCCF9jxXiho0cs6z7Ur0rKMQRQggh/QcrxHnXbgkKcYQQ&#10;Qkj/QV+TdzI0hTh78try5cvDd7/79VODIKUx0nM22GKwjpVCHIPRv6PdQtyw4WP2qNXdWlCII4QQ&#10;QvoeCnGEEELIwGS/gynEEUIIIQOJo048qOGaTCGOEEIIGRjgOqyvy7hOd1+ykzHYhTgETmPDqWyS&#10;p69PZ+sPMVglMS8G61gpxDEY/TuqFOIefeKphus0aJsQd/6FS9yb9YQQQghpD1aIq12fu7ov1dGg&#10;EEcIIYT0PRTiCCGEkIFFK0Ic8G7QE0IIIaT99KUQt8cee+y66d8fhTjEkiVLduXBqXFDPQarJObF&#10;YB0rhTgGo38HhThCCCGEZHHsiec3XIspxBFCCCEDAwpxhBBCyMCipxDXsaL7kt0jKMQRQggh/YeB&#10;JMRBSpLHmH7zm98MJ5xwQkuntuUITzoPRCId48ePr79+9dVX1/uB/khepNl48cUX63n0qXP4Hq+l&#10;hCvUj7wYcyxWr14drRtpqUDbyIf6pR30X/dJ+pAiN2TepH6IhqNHj95VD9bYzrWOds97s2PFONC+&#10;zCPAWPC43aI1wDjQrn5Mr8xDbI/jddSty8jaQeSMBYU4BqN/R7uFOPxNvVZ3a0EhjhBCCOl7KMQR&#10;QgghA5MDj9hPXb/9m+oU4gghhJD+w0lnHNJwTaYQRwghhAwM9ptwRMM1edjIMXO6L9nJ6G0hDuKS&#10;5NVABmo2dJ2eGIXQeaxkJBKXlZIEHVpCioF6vCgSmNAvLWFZkAYpzAt9Ap6HjLlKIU7mDQKZltks&#10;ntyGaPe8lx0rxDSR9GJgDWKSGsp74xCQZqU4zF1qzQHmyZPpKMQxGP07tBC3ePFi9/qZywsvvtRw&#10;nQYU4gghhJBBQk8hbgz+AZEMCnGEEEJI30MhjhBCCBlYWCFur1EdK7sv2T2CQhwhhBDSfxgoQlxK&#10;OIqJRkWRI8RBlpI8VirTp5oB/AxRCUA6ktDSGfLoepBXy1CQsWykBCbUJWmYo1jdkKesHKXHj3xS&#10;FvmkTZTTkTNnRSHzJkKX7jdOUtNrredRorfmPXesWurDfpHT4DCP6IMW13QfJPR40A9ZJ7QpfdT9&#10;Qx1SJ066w1gkkKbnD9/bSO0nBoPR90Ehrp/zz//8L7sW6NRTL3PzpECZvfce21DPt771v2oXg0Nq&#10;F5G5bhnNuedeX8+LMlIedaHOyZMvdMv80z/993q+CROmuumaPfccUc+Lr146wBiQLvVKH/7937+b&#10;1QYhhJBqOOmUSxquxaD2OzkZFOIIIYSQvuewoxuFOO+mOoU4QgghpP9w5uzDGq7JFOIIIYSQgcGh&#10;x/6s4Zq818iOzu5LdjJaFeI++uijUkKc5PPwpKmcKBKeICZp8ciGFpnwvRe6jlQeeZyn105KYBL5&#10;yROfELp9K32JbIU2RcLSIUKWjqI5ywk9b5DJbBTNR2/Ne85YdZ7YPoSkJnnseCGzSZon5aGPKKOl&#10;Txk/xuetG0JLcfZxrRTiGIz+HVUKcaveXt1wnd5Jx7ha3a3FUBXiIJzVhr+LlDRmufTS2+rCmC7v&#10;AdnNKw+Q5pXRoA20pctJ2rhxxza87iF9xFcvHeKd1BfDK0cIIaR6+pMQd938CWHBwkNqH1yOCLfc&#10;dlS4486jw13Lj61xTFh2x9Hh5lsnhsU3HRFuuPHw0FnL59VBCCGEDBUoxBFCCCEDCyvEDRs1Zm33&#10;JbtHUIgjhBBC+g9VCnG33H6Xe0Pe4+OPP+63J8RBMoKoJLIU0KdwSYiYhHwxMUmfUubVIaHzWfkq&#10;JjChzVgZHdJPLc1BkpKynogVi9iclQnpj5XtdOgxW6Grt+Y9Z6z6dLhYXxA6nw55HXJbTuh1iz1i&#10;F6HzWVGPQhyD0b+DQlw/Rk5P01j5zAN57IluOEkNJ60BfK9lOe/kOS2i4WQ2yHFSftKkGQ3pVnyL&#10;ve6REuLQjtSFucBpdZKGfqBP6JsuQwghpH2ccsbvGq7F4DvD99ut9ns6Gu0Q4q67bkJYdMNh4dal&#10;R4WHHjkhPPP8KeHl184Iq9aeFd5aPS385dXTwpPPTAkP/XFyuPveY8Ittx4Z5i841K2LEEIIGQpY&#10;Ic67qU4hjhBCCOk/nPeriQ3X5JQQt9eofabqvMC7QU8IIYSQ9mOFuGEjxyzrvmQno7eFOC0naVJS&#10;VVHE6tRAVIoJdyJm4WsscuUjfYqYFdRideT0X6P7qU8mi8leXug2y5TTkTNvqXZ6a95zxprTFwTq&#10;lrrQpoSc0ldUXiKnTxJyQp49PZBCHIPRv6NKIe6dLe82XKdB7bP6xFrdrYX3h/nBLsRBaqsNvY6W&#10;zyCJefk1WnZDWS8PwAl0EMqsEAeRTcpDrItJeHjkKtLbJcSJ1IevNo0QQkjvU4UQB7wb9WVYuOiw&#10;cOddR4c/PnZiWPmXX4S31kwLG7ecE7Z9emHY9vEFYf3mmeH1t84IL778i/D0cyeHh1ZMDrfdPiks&#10;uuHQcN11OC1ufI86CSGEkMHMpBN+0nAtphBHCCGE9G8oxBFCCCEDk+OnntJwTc4V4vB3dl0OlBHi&#10;Pvnkk1JCHAICkAhEkH1wulbqVK6i0HKRBe3gBC57OpmOHBlK8niP5LQhbUNY0hETmPTpZjnoE8V0&#10;nWXmsIyQFYuceUu101vznjNWScdeTEWsLnktddqbDr1uqb2JiM1TbD8xGIz+ERTi+ik4xa029Lqw&#10;BiENp7zh5yI5DHIb8oGcR6zi1DUtvOF7tInyaDMmwwlI1ye3AWm/VSGuTD2EEELaTzNCnPeHee9G&#10;fRluvvXI8PSfp4bV66aHDZvPDhvfmRk2vzcr/PVv59U4N2x695ywofba+lra2o0zwutvnRmefvbk&#10;cP+Dx4c/3HJk/XGrXr2Dna1b19f/8YevNu2VV+8LH364Jbz33ls90nJYvOSk8NnnH9Xr37T5ZTfP&#10;YOX5F5aGjz/eWh87At8/9PDv3Lykb9mx4/P6Gq1a9ZibngJrKmHXFz/j/YP31p13zW5Iawb0D4H+&#10;eulDkdQcI00C3+u0Vkj9zsyhlf3WDijEEUIIIQMLK8TtNaqjq/uS3SMoxBFCCCH9h74S4j799NPS&#10;QlzVkSM8paK3xKyYwKRPHSvb/2alqFbnDJEzb6l2emvec8Yq6a0KcbbtWOh1oxDHYAzOaLcQh8/j&#10;tbpbi6EoxMnpaHLCGx4Pip+BFdA0+jGrqXwxRMQDOafReUj5qoQ4L60IiIGYC5H78BU/29PwCCGE&#10;5HPmjKsbrsUAR7nXfs9Go0oh7tr5E8Ki6w8N99x/XHh91Znhsx0Xhy/+fkldgnv3g9nhnb/OqoPv&#10;8dq2Ty4MH39xUdj07szw2ltnhKeeOTnccffR4br5OCXOb6MKIGSICIGvkMW8fL0NZBIEvsbSEE8+&#10;uaBHehEoI+HVP1iBDOfFunXPufk1sbIISHWQE1NyVRlZp0iw0kJfjhQp+7tK+ag3kMhZH4ve4/Y9&#10;gvokmqnbouvz0ociqTlOrU0rpH5n5iBRxZ6oAivEeTfVvc/d9z4yxb1JTwghhJD28usrJzVckynE&#10;EUIIIQODnkJcx4ruS3YyWo15HH8AAP/0SURBVBXiPvvssyEhxOHkL2kjFfrRnfYRrTGBqZX+69Pl&#10;ypRtdc4QOfOWaqe35j1nrLmPPNXyohbZIOzllJco86hbeWSqlfUoxDEY/Tu0EHfVVVe519Ay2Gt1&#10;24S4mbM73Zv1gwGIbLVh18FjTe1rKdFMBLBmHzOqhbqi0+Fi5PRTSAlxui9l5DzklXIeXhlCCCHF&#10;9LUQd8Piw8Ndy48JTz4zJby9blr46LNfho8/vyi8t/XcsOX9RiEOr3V9dEHY/ukv6yfGvbHqrPDs&#10;cyeHu+85NnR2tveEOJyQpqO/nA6UkjukzzjlzQp8kJ4kYgKUPiGuv4y3NxCRDF9FXsMcxeZJowWf&#10;VOD0Pq98GVmnSLCyEWtTkKhSPuoNJJoRlFLSlciNEAWrmJOi9RqKpOY4tTatUOY95iHRX4S4n00p&#10;FuKGDR+zR2MeCnGEEEJIX9GqENfVtca9SU8IIYSQ9nLa2Wc3XJN7S4j7/PPPh4QQp0UoyFexiAlT&#10;iJjAhHzyeu4jNyW0CIa2c6PVOUPIvEEmi4UW2uwjXXtr3nPGOn78+Ho65LNUSD57Yl1ueYncdUuJ&#10;fhTiGIz+HVOnfn0gGIW4foKcBodHlurX5dQ4+7owffrcXYuJOrw8RbQq1AHpA063w4lsKWRMnhCn&#10;xyN5UMbms8gY0L6ckge5D6JcbO4IIYQU09dC3G3LJoXHnpoSXn7tjLBu04y69PZ+13ndItw5PZB0&#10;PD71rTXTwnMvnhruue+40LmgvSfEyelZEpClvHy9TbNyR7tkk8GARDMSYEx6glwIIU3vI8hAOg8o&#10;s565Qpy0CbnRyydIDLT9IFG1EFc1FOLK0a61afZ3piBBIY4QQgghzVBGiBs2aszExrwU4gghhJC+&#10;okohbsGNN7k34z2++OKLISHEaWkN8pMXEL5SJ4WlBCY5oQxClRXHikLaxFevLKQqK3Bp0QqnlTUT&#10;Mm/Ae9Qo+iKnm3nz0VvznjNWfdJeTFDT9WAtdeSUxxzptKJ1Q2jRzuahEMdg9O/QQtzFF1/sXkPL&#10;YK/VlQhx3h/mB7MQB2mrNuzaxaJRatOPM4UsptMAZDFJzzmdzUPKN/OYUkHqKEOsPUhsIrjpvDEx&#10;Ts9BsyfcEUII8fGEOFyja79zo+EJcZdfOd69WZ/immsPDvfce1x45c3Tw4bNM8Pm92bVT4X7+lGp&#10;54QtH+B0uJ2nxOFnOSlu83vnhPWbzg6vvnlGeODhE0LnwvYJcfoxmHj0pETq0Ze9RbNyR2+KQAMJ&#10;iGsSzcxLkfSEU+YkPKmyzHrmCnE6X0rikRho+0GiGUGpN98HRetFGmnX2jT7O1OQaGa/tQMKcYQQ&#10;QsjAgkIcIYQQMjChELez/XYJcQh92hlEJQhSEhCtRGoDOk0iJTDpR2hCkIJgpQUojAvtQ4yydevT&#10;0TAGSUd5tClSmg0pg34jL7CnkKVC5k3AnMjpbOiDng9vXXpr3hGSnhqrrgfzJmORvDKPnsCGn0Vw&#10;Qz6sieTB2GWsWqTTa462tayHcYgMBzzJjkIcg9G/g0JcP0MLXVZ6g+AlaTj9TKeBwSjEAZzyhvF6&#10;ZeQEOEGfKgeBUKcRQghpjWaEOO8P880IcddeNyE8+PAJYc2GGeGTLy8OW7fJyXBfC3AWCHPyKNUt&#10;788Kq9fPCH98/MSwYOFhbhtVsHXr+vo/sCBQQIKTwCNJvfy9SbNyR2+KQAOJVuclR3rSUqV9lG2Z&#10;9SxqSwL5pF6cFmfbtPkH2n6QaEZQ6s33Qc7eIF/TrrVp9nemINHMfmsHFOIIIYSQgUVPIW4M/t7p&#10;BoU4QgghpP/QrBCH0OVAGSHuyy+/HDJCHAQnLSl5QIaKSWVFAhPK6bpi2EeCInD6mJdX8PqkRTNN&#10;bsi8QebSMplFS2A6emveETljtRKfB6S3mHSH10Wa80DdVqTTeyIG+u4FhTgGo3/HrFmzdr1HKcT1&#10;A0T8ij2ydM89R9TTcWqaTetvQlxOH9BObnsixukT4/C9FQflMazSByvNEUIIaQ5ce+31uLeEOJwQ&#10;d+8Dx4c3Vp0VtvwVJ8HtlN1wAhy+bnxnZli78eywZuOMsHHLzLoQtzPPzrzbP72w9vo54fGnfh4W&#10;LjrUbaNV9IlheOQlXsPJXoiiR1DikZuIlHghsh2+eukAMojkQ6BdkTFScoe0DwnKvlY2vMeHSp8k&#10;DfMjc4PA995jQTVI12PzQvc/F5zEBvEMcyWB7/GaJ9cUzUtqfTQ50pPOY/tSRtYpaksC+bRcFBM5&#10;JcrKR7J+Ug5rKuNAYB/IfvWQR7rG2tWn6uF7my4hbeCrXnf0L1a3nhebp6hdAEEW86nbw9jld4XG&#10;Wy/dRuq9okXcWF8sGA/2u14LBNYDfbZipKwj0vXrFsmn96jMA16T9UTIey7WZ7wuYfOk1gZgjtEX&#10;/TsHgT54v68EmQ/pP+Zd14HvvfUTJFJ7GuWlHQn8nKq3WZoV4pbefaJ7k54QQggh7eWqzmMbrsmg&#10;+5LdIyjEEUIIIf0HK8TVPn+v7L5kF0ZjuXJC3I4dO8KIETvvIYO+EOIgIkn7MVkpFSJb4WtOQLxC&#10;Xi0/QXaCuOTJahI5AhPKQ26T08YA2oE0VlQ/+iWSmZRDXSlJEH3SJ5vlzgHCCm26LoC6Um331rxL&#10;5IwVwhpOY9PzCPCzPvUtFt76oY+pspgjWwbfF60d6kRejIXBYPS/0ELctGnT3GtoGey1etjIjtm1&#10;uluLoSTEiewVO91s8uQLdy0YHieq0wa7ECdAcBMx0CuLk/S0FCd57HwRQggpR18LcbffdUx49oVT&#10;wptrpoX1W2bWZbit286vC28bNp0d3nj7rPDGqjPDmg1n14W4nbLcrPDXv50bPv3yorDp3XPCE09P&#10;CYsWteeEOAgMEiKQ6Nc8UUMQAUbECw8rZ1i0RGMD4oaIHF55T8BpVojz5A/pu4gwsYhJICiXE2WF&#10;uNScSaBtXaavhDj72N2i/aApaktC1k5EJoRtV+dP7WkP6TPEIn36nY3YHErE2i0SoySwplaO0uHt&#10;w1TdRe1C4NLylw3Mhc4fWy+pI7XH9HsldsKfBn0rCrSr69LvAZTX9QlaENbvodQ8SHhz2Oz85/we&#10;i72H9HsstV/t+gkS8r7SYH6k/ljE6m2WnkJcz5vq/zl89O42D4U4QgghpG+gEEcIIYQMTM696MKG&#10;a/JQEuIGSgy2E72sEMdgMBiMr6NqIW7U2AMartWVCHHeH+bx2DbvZv1ABsJWbbjZQArT5fUjVZsV&#10;2rRI5qXnIOXbJcQJuq/eKXCYT6lfsHNGCCEkn2aEuNoH/nG2TLNC3C1LJ4ZHHj0xvPjSqWHNxunh&#10;gw/PC10fX1CX3tZvnhlWrZ0e3nx7Wli3SQtxO0+S+9v288P62uuPPnFS206IE8FGSwxaCknJDSLA&#10;xMQMoOUMm6aFEPRDJCZ81XITwiufEqZSsolGwpM/rPiBPkkfUaeWk6yApdvHHHpjs8JODlpWRP+0&#10;2GNPgvJOkcqdlxipORekDxifTZM5RR60nwLzJmHrARKydphbCU++kkDdNi2F9FmLXTLvej0R3j6S&#10;iLWL1yW8PDbQhuwn5NdrrveDpEvYulNp2JcyXnzVp7thD0qabi+2N3JkNzmBLlemQrvoA+rWfUf9&#10;uh9aatO/1/TrGv3+kjkGaAt9wzzoMei5wDrI60Kz84/3LuYEX/Uc2/2m10Xwfm9JHba89ztCwtvL&#10;UhZjxthlLlCvnnevbLNMOY1CHCGEEDKQKCPEeZ+7N256xb1JTwghhJD20poQ19Gly14xb757M97j&#10;73//O4W4zJDHduL0r8EQFOIYDAYjHnPmzNl1baQQ18foU89ygQSn69CSmE3LYfToQ3aVx2l0Xp4i&#10;pHy7hTjUL23hdDwvD7AnyjV7eh4hhAx1qhLifnvZQe7N+iJuWHx4uPPuY8KTT08Jb689K3R9dEHY&#10;9skF4Z2/zgqb35tVf1Qq2PzuzkemvrcVj1SdXfv5nLDxnbPDG6vPDA+tmBwWLDzErb8VIDFIWLFC&#10;iw/6dY0IEBAwvHQgcoaXR4tGniijT0nyymsBw6alZBONhCdwSP8Qnqij24AcotNEAoLUol8XRKLx&#10;hJQYmCMp582H5BG5yGs7d15ipOYc6Pq9OdNzWiZsPUBCr52Wr+z4JMqOu2gfFM25RKxdPWdeHh12&#10;nwHIThK2f6m6U2l6HkWm0uB3BwQwfJXXYntD98/b7zrdE7yaQdbMvk/k91rsfSnpntwWo9nfQ6m0&#10;FPr3QDO/t3L3q61brxO+12mCzEXqulGWHCHuO8P3283mWXTzCe5NekIIIYS0FwpxhBBCyMCEQlz/&#10;DjxKUx71mfuI0P4eFOIYDAYjHlqImzx5snsNLUNbhDjvD/OnnPE792b9QEWf7hZ7XKqgH5tq82pJ&#10;DHKbTvNAu1qc049dhVyn88awp7NJ+d4U4rwT4iwiCzbTFiGEEF+I23P46BG1363RqFKIg8h20x+O&#10;CPc/cFx44cVTw5r108PGd8+pnxD3wbbz6yfGvd91Xv1kODxGFY9ThTS3acvM+qNUn/rz1HDX3ceE&#10;zgXVC3EpeQFiioQn4QApb6UTTUxMgZQhETutCcjpV14b0j7CpuXKJhJW/gDS95QcI2HLx8Zt0712&#10;Y2AdJFLikM5XlYQjxOYcYhRkJxF18FXLUoKMu2zYeoCEnkMtC9m5lyg7bulzah/oebHjloi1W7Qm&#10;Eqn3ifTRCk6pulNpIkxBENOvp4jtDSDvY28ORb6rUqKK9UW/N6zUpX8nlRFVm53jVFoRst52j+u0&#10;Vverfl8BWSevTUGPKSbNlYVCHCGEEDKw8IQ4XKu7L9sN4X3ufv2NZ92b9IQQQghpLxTi+mfIqXCa&#10;xx77+j+RD+SgEMdgMBjx6Ozs3PV7n0JcHwKxrTbUOjly1z/903+v57XSGuQ2SQMpuQ7yG/LaPCKp&#10;gb33Hhs9aQ79RPv2MaRSthUhDn3Ca9Onz214XdDj/Od//hc3jyXWFiGEkDyqEuIuuvRA92Z9EXhs&#10;6vwFh4QlSw4Pd99zbHj0yZPC66vOCO9/eF7YEX4VPv78ovDhxxfUJTjwxT8urf1T5zdhw+azw1PP&#10;TAnL7jw6XH/D4fV6vPpbQaSXmGgjYlFMihGpIiVIxMSNXBkkVh6kBJzc+iWs/AFSbQuSx5bHyUwI&#10;T0rR0lYZ8SY1Xg1EFAlbf+68xNB9iAX2VUyGyZlToWi8EnbudTktc0qUHXdOn1PzKhFrN1UWSNhx&#10;amJzlao7lqbFsFSbllgfAPahhBWwin4PNUOsL/q9Z9vTshzy6bQUzcxxUVoRqT1Z1X61ay/15kbZ&#10;McWgEEcIIYQMLMoIcfhcbvNSiCOEEEL6BivEDRs1Zm33JbswrBB38Zwr3JvxHv/4xz8oxCViyZIl&#10;u+bmu9/9bli+fHl3ysAPnHSHcQ2WE+8YDAajytBC3KGHHupeQ8swct/9/6Gv1RTiMpHTy3JPZdOP&#10;NrUCnT7lTeqEYIbXgchmkj5p0oyG8laqg3CG9qQ88kOUk3R8r8vL660Icfr0Nwh3aFPaR190//Sj&#10;XVEOdSG/iHz4ijFLfisACqhH6m32cbGEEDKYOf/CJQ3XYlAkxHl/mG9WiBMgtC1ceGhYuuyo8PSz&#10;J4e1G2aELR/MCpu2nBM21tiER6Ti0anvnVN/lOprb54R7nng+DB/waFufa2ipamYvCQnAiG8075E&#10;OkmJFzE5I1cGiZUHKQEnt34JK3+AVNuC5LHldfuQ42T+8FUey4jw5jWGtGVPAfOQSPUrNS8x9Jzb&#10;QP8gPqVkopw5FVLrCyS8tRPJSs+VRNlx5/Q5Na8SsXZTZYGEN04hNlepumNp+vUyjzBNrVdMssv5&#10;PZQCfcX7S06g88KWEVnVnkgn78uYAIz3Kn4nyn7wIneOi9IESHroj+xnG96erGq/2v0W64MXmNsy&#10;v9tSeEKcvanufe7GzXjvJj0hhBBC2gukdHtdphBHCCGE9H9aEeKQV5ctI8QhKMQxGAwGg9EYy5Yt&#10;23VtrEKIG/Gjn/5dX6uHjRwzp1Z3a+H9Yf6kUy5xb9YPRHAKWm2YdWKylkWX8R6NCnFMS2MxYo9V&#10;ldPfvDIayGf2BDlJa0WIQ/sQ8aSuGFbm0yKdR0o41GVz+k4IIUON/iLEAUhxi64/LCxffmx44qkp&#10;4cWXTg0vv3ZaePWNM8Irr58e/vLKL8JzK08Jjz/183D/A8eHJX84Isy9ZoJbV6uIFJIb3klmIsCk&#10;xIuYnJEjg4CU3JEScHLrl7DyB0i1LUgeWx4CUJFAok8vy0Ha0pJXDAnbr9x5iZGa8xxy5lQoakvC&#10;Wzt92pfMs0TZcef0OTWvErF2U2WBhDdOITZXqbpjaakyKYrWS4QzvX9Fus3Z0xq8v2RdisKW1Y+D&#10;FuFPC3ve+1LLwanIneOiNMiBOQKatyer2q92v8nJeql628Fp0/dvuBYD76a6zUMhjhBCCOkbWhXi&#10;nn3uj+5NekIIIYS0l99cflnDNbkVIW7mBZe4N+MtH320828fFOIYDAaDwWiMqoW4Hx10+A59ra5E&#10;iEPoSsFgEuLk9DIIbDmPSxVEWLMymSAno4l0JqAcRLictiCc4YQ2e2IcToWDdOeVkbw5ch/qRl77&#10;2FXBaz/V/9iY8XNRf3AqnOTnCXGEENKTqoS42Rcc4N6sb4Ybbjw83Hb7UWH5/ceFFX+cHB574qTw&#10;2JM/Dw+vmBzuWn5sWLzk8NDZeUi49rr2yHBA5Ibc8B79KQJMSpCIyRkpIUMTKw9SAk5u/RJW/gCp&#10;tgXJY8uLQAPxEMh84yvEoFSfYmgpx0sXINNIWLknd15ipOY8h5w5FYrakvDWDkhbmHMtPJUdd06f&#10;U/MqEWs3VRZIxMYJYnOVqjuWhpO9JFJtWorWS4to2KN4TaSvMo8OBrotvL+kPi9dvy5IuyiLn0Wg&#10;xF6xefU8YQ/YU/OameOiNL13MRZ72lpqT6bShFTbEnbtc+ptBxTiCCGEkIFFGSFu2PAxe9i8FOII&#10;IYSQvqEVIW6vUR0rddlcIe7jjz+u/62BQhyDwWAwGI2hhbh9993XvY6WgUIcIYQQMkhpRojz/jBf&#10;pRB33fyDw8JFh4bFNx0Rblk6Mdx2+6Q6Ny89Ktyw+PBw3XWHuOWqwhNTYmgJq6x0AuRRhlaiyJVu&#10;YuVBqv2U8KGR8PqQI4BIHlteBLhU22WBNCSRWjedz4o0ufMSI2fNU+TMqVDUloS3dkCPVddVdtzS&#10;Z08KFfT7BPKdTpOI9VO/H72+SaANmybI+8T2MbXeqTTZv7HHh3rk7A2pF2PR7Zd9vKaMN9a/or7I&#10;eokAJ6fXiSCXymtpdo5jaVrejImCqfdRu/Yr5kbClmknzQpxv75yknuTnhBCCCHthUIcIYQQMjCh&#10;EMdgMBgMRv+JFStWVCrEdRxw2Bf6Wt02Ie7YE893b9YTQgghpD30RyFuXv0xqBPCdfMnhGuunVA/&#10;CU6+x2NVd6bbMtXhPbowBsQrCSvk6MdSWtkDaDHLEzfklCZ89QQLLWB45VPSi+63PdFJI+HJSinp&#10;RJA8tryIPxhDVfKIlghjIhDaknn1+p0SdHIoEo2KyJlToagtCW/tBNnrsh6IsuOWPiM8YQpzLvV7&#10;40qtB9ZU5C6E1zcd3uM89ZrauUitdypNv/fwXtJpAGNGv3Vazt7Qcpm0kRK3Yuj3l5cu647w0tFv&#10;Cf17zPtdUfT7Uv+eKzPHsTTbN10GFL3HW92vEnYvaXEz9Z6rmnwhrqNL56EQRwghhPQNnhD3n8NH&#10;7959yW4IvG7zPvKne9yb9IQQQghpL1UKcadMm+XejLdQiGMwGAwGww8txO29997udbQMbRTiGv8w&#10;TyGOEEII6V0uuXTpruvw13SM675Uu+H9YX7GrP3dm/UDDcgQElZwiyHCjhVCdF0QLETqgOSjhRSE&#10;J15oEQX55ZQoCCE55YsEHAn0H30FVjCR8AQPEUu8tgXJY8vrE5hsoAyASIM+6XJF6HoxR5grSYOw&#10;ouUqnSakBJ0ciua8iJw5FXLX11s7QUuEEmXHLX2WsHtVz7lXt14zCEqy5tiLIiZJeOVtYLxSB9Zc&#10;6sBXu59S651Kw7gk8L7Xohj6LUKWLpezN3S9Ep70VYT8fsCYdXn7HkDochoZg/7q5dPCm557jMX+&#10;niozx6k0WVOMRdLQrt0z3vuo1f0q4b2vdFnsZdQnaWgD/UP7aFOXawUKcYQQQsjAYundJzZctwGF&#10;OEIIIaT/Y4U4fM7uvmQXxrCRHSt02Vwh7pNPPqn/jUELcRAAGAwGg8EY6gFBXK6NVQhx++x/yGf6&#10;Wr3XyI7OWt2th/3D/JHHzXRv1hNCCCGkPVQlxOGmvHezfqCh5Q4tM6TQZbQYAyBAxAJihMhAnrgB&#10;5JQoLyBVpMoXCTgxKU3nkfDkDxFLYn0HkseWh7yixZVYII/IKjmgXivh2LCSkCYl4eRQNOdF5Myp&#10;UNSWhLd2GrsPyo5b+gwZyMpWOmL9wJrFyslaSaQEJbwPU3vKvjdBar1TaSD13kbY08dy94adCxHM&#10;yoDfXam50G145YH+vYbAPvHypdYPodPKzHEqrWjupU3vfST7FeNJ9Ts2XglvPxfNhYR3Ml2zeEKc&#10;d1Md/3Nd5znvVxPdm/SEEEIIaS9lhDhI7jbvHfcsdW/SE0IIIaS99IUQ9+mnn9b/jkAhjsFgMBiM&#10;xli7du2ua+O3v/1t9zpahp8cNukjfa2uTIizf5inEEcIIYT0Ls0Icd4f5geLECcyFaQGL90DwpbI&#10;J54kYU9lwvciZIl0kjoxCHlj5UUM8cpL3eibTRPQXzkBCvlsPTIu1KVfBzJXqb5LHltexoOvVviB&#10;zIP80naq/hiYF5STOhBoC5JLSrBDmgT64eVJkTPnKXLmVChqK7V2Gsy/SEIoU3bcUlbkI72nEBiL&#10;FZos6AMkIekzvuJnWSt53eubpCFvrJ7YmPC6hM2TShMwLrvP8LO8PzW5e0PyIXL2QQzMh54LhKyF&#10;jC3VF5SXsvgqa+GBebfrrn9PST12HqUfiDJpQOZeAm3InpE59OZPykjfvP3qyZOCjCX1vkLd8r6Q&#10;wHygbm9vtEKzQtyZsw9zb9ITQgghpL1QiCOEEEIGJq0JcWOW6bLHTjnNvRlv+eyzz+p/U6AQx2Aw&#10;GAxGY2gh7lvf+pZ7HS3Df/10wif6Wl3lCXENz00/5KjT3Zv1hBBCCGkP51+45OsL/C7KC3FTTvuJ&#10;e7OeEAtkEwkrw2nk5DIRrUj/xApxpDUgekmkxCxCQK4QZz93U4gjhBBC+oZFN5/QcN0GZYS4G29e&#10;5N6kJ4QQQkh7sUIc/uNZ9yW7MKwQd8gxk92b8ZbPP9/5n/IoxDEYDAaD0RhdXV2VCnH/d9zBDSfE&#10;1a7dc2p1tx4U4gghhJC+pRkhDmHLUIgjueBEJgkvXaBoNTDgOlULTjlD4NQyL50QjSfE4eZ596V6&#10;V9jP3SedcYh7k54QQggh7aWMEIeweSnEEUIIIX3DJXN+/bm+JpcR4nDKjC5LIY7BYDAYjNZCC3Hf&#10;+MY33OtoGXpNiDvgsCnuzXpCCCGEtAdPiNtz+OgR3ZfqaNgyFOJILvqEODxC0D5O0z4KsepHDJJq&#10;oRBXHXjcpwROSPTyEKLJFeKGjexYofNQiCOEEEL6Bk+I867dEnuN6ujSeefOn+vepCeEEEJIe/nl&#10;by7dpq/JJU+Im6PLjj34SPdmvOWLL76o/42IQhyDwWAwGD1Dro39Woizf5inEEcIIYT0Ls0LcY1/&#10;mP/ZFApxJB85BasoKAX1fyjEVYc+PRFynJeHEA1kdH0tBhTiCCGEkP4LhThCCCFkYDL9vNmNN8op&#10;xDEYDAaD0ach10bgXUfL8IP9DmoU39slxI096Dj3Zj0hhBBC2gOFONJX4OQ3nASHR0Pq+PjjrXVh&#10;7qGHf+eWI/0LOc0PX710kg/2PueSlMET4rov0w1R+wC/TOc56sSD3Jv0hBBCCGkvV3Ue23DdBmWE&#10;uN9cfpl7k54QQggh7cUKcbVr9Mruy3VhWCFu1NgD3Jvxli+//LL+dyIKcQwGg8Fg9IzddtutMiFu&#10;745xjY9Gr06Ia/zDPIU4QgghpHeZObtz13VYGDZ8zB7dl+po2D/MTzqBQhwhhBDSmzQrxI2ftL97&#10;k54QQggh7aWsEIfTZ3ReCnGEEEJI33DmOTO36mtyOSGuY7YuSyGOwWAwGIzWQwtxGzdudK+lufQU&#10;4jpm1+ptPfYa2dGpK97np0e6N+sJIYQQ0h6aFeLsH+YPO3o/92Y9IYQQQtpDrhBnP3dTiCOEEEL6&#10;Bk+I675cu4Gb7TrvuRdd6N6kJ4QQQkh7qVKIA97NeMuOHTvqN/wpxDEYDAaD0TN23333XdfHVoW4&#10;7+2z32f6Ok0hjhBCCBkktHBCXMMf5inEEUIIIb1LiRPiGh7P8qPx49yb9IQQQghpLxTiCCGEkIHJ&#10;L2bM2KKvyWWEuL1G7TO1sSyFOAaDwWAwWo099thj1/XxlVdeca+lubRNiOv53PQJ7s16QgghhLSH&#10;qoS4A4+gEEcIIYT0JsedNK7hgzrovkw3BIU4QgghpH9wxbVHf6qvyaD7cu3GsJEdK3Te084+271J&#10;TwghhJD28rOpv3hfX5NbFeLe2fKue0Ne89VXX9Vv+FOIYzAYDAajZ2gh7vHHH3evpbnY63TbhLjv&#10;jf6Je7OeEEIIIe3hzBlXN1zkwX8OH71796U6GvYP8xTiCCGEkN7lmBPHdelr8V6jOrq6L9MNYT93&#10;jxw71r1JTwghhJD2csnvjsqS2SUoxBFCCCH9AyvE4RrdfbkujGGjxkzUZQGFuOrjxRdf3DVP+H6g&#10;xwcffBDGjx8fRo8eHR577LHuVwdfDJVxMhiM6kNfH6sW4iCz1+ptPSjEEUIIIX0LhThCCCFkYJIv&#10;xHXM1vkoxBFCCCF9wy9/e1TWtVvCfu4+fuop7k16QgghhLSXY35+8jv6mlxGiKtd78fpsiBHiPv7&#10;3/9ev+E/bty4XTf8+4MQB2nphBNOCP/2b/+2q1/f/e53w/Tp0/tUREO/pD99JVZB7sLcSD9Wr17d&#10;nVI+9Hggiw3WGCrjZDAY1YcW4pYvX+5eS3Ox1+kKhbjGP8xTiCOEEEJ6l+aFuDHLdJn9Dh7r3qwf&#10;iCxeclLYunV9+PDDLeHJJxe4eVoFbbz33lthx47P6/9ww9dNm1928xIfzOFnn39Unz/OHSFkKNKs&#10;EAe8m/SEEEIIaS/lhbjGz90U4gghhJC+oWohbtXbq90b8pr+JsRB9oKwJH2JATGuL6KvhTjIGN/8&#10;5jcb5qKVfkCmk/quvvrq7leri3bWXSbaPU5GdcF1YvS3GJBCHPBu1hNCCCGkPVCI6wkkOAlIcV6e&#10;Vvn4463dLTSGl5f49MY6EUJIf+aI48Zt09fiYaPGrO2+TDcEPsDrfMC7SU8IIYSQ9lJWiNtrZEen&#10;zn/osT9zb9ITQgghpL2MP+qYLfqa3KoQ98KLL7k35DX9SYiDDIdT4KQfOB0OUgyEL4DvtSzXF0Ia&#10;2uyL9iF0xUTBvpiH3JA+XnLJJd2vMBjp4J5h9LfQ18dWhDic2mqv03jcea3e1sP7w7x3s54QQggh&#10;7eGUM37XcB0GOUKc/cN8x/6DR4i7867Zu05uW7XqMTdPKzz/wtJ63QipH6ed4XWbd6jy0MO/656h&#10;UP/ey6NPiGvHOhFCSH/nsGP2+6u+FpcR4t5YfZZ7o54QQggh7eOs8w7PunZL2M/d+004wr1JTwgh&#10;hJD20lOIG7Os+3JdGHsOHz1ClwUDTYjTwhceCRoLOSVtKAlxcmoWJMElS5bUZaG+6EfZkD5SbmLk&#10;BvcMo7/FxIkTd+3LxYsXu9fSHNoqxKEiW/mcy5a7N+wJIYQQUj2eEPed4fvt1n2pjkbtQ/8cXWbU&#10;2H3dm/WkJ+vWPVf/xxqkOy+dNJ7+1q7H1hJCyEAnV4jzPndTiCOEEEJ6n7JCnP3cTSGOEEII6Ruq&#10;FuIefeIp96a85h//+Ef9b6N9LcRp0Wz8+PHdr8YDJ6bhRLnejr4S4iDCaUGIQhxjsAb3DKO/hRbi&#10;rrrqKvdamgOFOEIIIWQQQyGu99m0+eX6P9b4mM84FOIIIaSY8Uf8eKu+FsduqruPZ3n5dPdGPSGE&#10;EELaR6tC3A9+fIB7k54QQggh7eXAIyZt1NfkMkLcsOFj9tBlQTuFOEhY8nhTnF6GE91aEdQgwUn7&#10;kN3KhJyeNn369O5X/IBUhnx49KoO9Buv6ce14nsIOXZMOUIcyqCsrg99xBirkteqFOJk/uy8vPji&#10;i7v6jsC6YJ0lP7566y7lUnh9xmuYI6kfxNZBQvYN+o486I+UtWJls+MUGVH3Aaf06fVFW6inmZB2&#10;UB7ISYl4He3aQNv28bn4Ga/HQtqQsPsT5XHyYlEgj7dGeO+l3rdFY8RrUl+Mqt47DEbZmDp16q59&#10;2G+FOO8P85dcutS9YU8IIYSQ6jnplEsarsOgGSFu731+5N6sJz2BCIegEBeHQhwhhBRzwOE/bvgf&#10;6rXP1yu7L9MN4X3ufvTpU90b9YQQQghpH1POOiRLZpcYNrJjts5PIY4QQgjpG8YefGiD1I7Hmndf&#10;rgvjP4eP3r2hbI17H3zYvSmvkSgjxEFMkbwaiDHNhggzzdQhUhTqiAVEHumnFn8gOWkxyII0LULp&#10;sXuCDsQeEe9ipMSl3IBEJPW1KgpJPVa+0mNFn7UEpbFz1IzcBKHKyyfYNiRErEJ5bx11yGtF45Tv&#10;LWgLfZD95tHMWkhZiHp2jtGmBNqW8caAyOeFpENaS+13KwtKFI0boO+xvS15YmOkEMfoz6GFuIsv&#10;vti9luaw6u3VDdfonXSMq9Xbenh/mD//wiXuDXtCCCGEVM/kky/61F6Luy/TybB/mB9sQhweZ4pY&#10;teqxaNpDD/8uLF5yUv0RqJ99/lH9NcTWrevrabFysbBl8PN7773VUDe+x2spSQztI9B39A/5JZCm&#10;86bGgjSUvfOu2bvyo12pH/Hxx1vD8y8sbahTg/yoQyRACZTDSXloU+dHn5sJb52EZuex2XUmhJDe&#10;Yr/xP35fX4tjQpz7eBYKcYQQQkivc9RJB2VduyXs527g3aQnhBBCSHv54bgDtzVck1sU4m65/S73&#10;prxGoowQlxJjmpG9tAxTdMqbFzHZTYecHAZZTYcWjOSUMQTkGxGHtCSk5Skr6KCsyHAoq/uCMep5&#10;a1Xu6W0hDmjhCWPVfSgSsWzdOjC/Op+cNIY2tIin5TAJK4jhZ8w7sG1KnjLjtAKZ9AVrKf1EW/I6&#10;8pYNqVvAXKJP6IN+P8n+kf7JXkU/9Fp4cy1p0k89z2hLj9HbT/L+Afo0OLtGAHvdhqQJsTEiJI83&#10;DgajL2LWrFm79mUrQtwLL77UcI3eSUVCnPeHeQpxhBBCSO9xzORzP2u8Fnd0dV+mk+H9Yd67WT9Q&#10;kYAEFUuDhKUFKR2QqawsVUaIQ7tFAaFM1y+IfIZ0iGc2dF4JjCXWP7wuQlgsvHnCeIpC6pYyzQpx&#10;XvuglXmUKLvOhBDSW1ghrnZtXtF9mW4I73P3vY9McW/UE0IIIaR9WCEudu2W2GvUPlN1fuDdpCeE&#10;EEJIe7FCHJ6e0n25Lgw8jUWXBe0S4iSfRzMSixaSmpVgtKjkhaRr4Q4ik7TrnYwF2QfijhZ2dF+t&#10;OCRiF6Q4kZVsiMAV62duYJ5i/SgbUo+dez1WzJ8nOsl4rGgoEatbh6yNtwYI3Q/bBy3E4ftUSL6y&#10;44T8JenAk//0eogslhu67tg8oU+Sx1sHhPQBY7AhZYEV0BC6fjs+PT85/fPmR9JSdUjk5mMweiu0&#10;EDdt2jT3WpoDHmNur9P4e3qt3tbDe276zNmd7g17QgghhFTPhImnfqGvw0WPbJHw/jB/+ZXj3Rv2&#10;AxEJT7SygTwidb3y6n27xDJIVLYsKHpkKuqQQB4tXOE0Ni25eSej2dPY8DPKATseGzIWoE+WkzGh&#10;bTlVDf3SfdFim6SjHIQzfRIb8mlRzRPSkF8idYqbhLdOrc6jjbLrTAgh7aZj/3279HV42Mgxy7ov&#10;0w3hfe6mEEcIIYT0PgcfvX/WtVui9vl8os4PurrWuDfqCSGEENI+9u7Y73N9PcZ/Fu++XBeGJ8Qt&#10;uPEm96a88NFHX//n3L48IS5HuCkK/chNK6Np8U3LRBB38JonEMVC9xXf65BTtlJjQFrZNr2Qerx+&#10;lA2px/ZbjxVz6IXuhxeSFpsTvTapkDxWmtNCXkxClJA6mhmntBM7AS61L4pCyqUkSdnfKelP98FK&#10;c/J66gRGPZc65H0CUnOs89mQ13NEUMkb2zMMRm/HnDlzdu3LqoU4/D29Vm/rQSGOEEII6VusEFf0&#10;yBYJ7w/zQ1GIgxhl07XspR83Koiwhq82DcKViFZeuuSRE8s8GUvqR8TqEHR4Y9Eno0Egs9KbFte8&#10;8ilS89CqEFfFPOpoZp0JIaTdfL/jR580XIsjj2zxHs+y9O4T3Rv1hBBCCGkf+x067qOGa3LB49Yo&#10;xBFCCCH9A3s9xn8W775cZ4Ut3y4hTos3mmYeF4nQ9TUrwegTqqyUJ6KO7Z8IbEUni+lIiU/yei6t&#10;hBbRbD/KhtSTEsVibeg8XkhabF31OHKw9YjElbOGsTpyxlnUTk4dsZBysTlCSPu52D7I66k29Fro&#10;yJ1j/ejbmJCXal+iTF4GozdCC3GTJ092r6c54NRWe53G39Nr9bYe3h/mz5xxtXvDnhBCCCHV85MJ&#10;kxtuphc9skUCz0/X5cBQE+Jij9oskrlSIhjEKwmcYmbTBZ3PtiH1Q/KyAptFIjYWLX3F6pLw5iqF&#10;rtumtSrEVTGPEs2uMyGEtBsrxMUe2eJ97l508wnujXpCCCGEtI//+5P9sq7dEt7n7o2bXnFv1BNC&#10;CCGkPeDaa6/HkNa7L9dZUbumN5wSe8W8+e5NeaFZIQ4B4UaEMpx2Bums6ISuWGiZqBUJJia4oX94&#10;3Z4uJm2mTs2yEROf7GM1i2hWHpTQ8pKVn8qG1GPnPjZWHTqPF5IWW1d9qlgO9gS3XFkLIXU0M86i&#10;dnLqiIWUS+19nNom+YrAfrePbZW0VBtIk3w65DWsVSpScyCvp9qXKJOXweiN6Ozs3LUv+60Q5x0T&#10;e8oZv3Nv2BNCCCGkeqoU4n572UHuDfuBiERKiEsJYBKeKJUS4lKSmAaP/5Swj/tM1W+RiI0lpz8S&#10;qfnwSNWdK5tJ2LZz+g1S8yiRGpcEhThCSF/wf/5rzJf6Ohy7qe597qYQRwghhPQ+VQhxr7/xrHuz&#10;nhBCCCHtwRPicI3uvlxnRVkh7uOPP+7+q2N5Ia7KgEgnbeeITbHQJ1SJEKQfydmMJGQjJv3oE+p6&#10;Q+TR8lJZActGrN8pwUlC5/FC0mJzoh+/20wMFSFOpM5m3x85bSBN8umQ1yjEMYZqaCHu0EMPda+n&#10;OeDUVn2NBrU6qwkKcYQQQkjf8n/3O7zxkakFj2yR8P4wf9GlB7o37AciEp4MJdGsKJUS1iTNe4Sn&#10;RcL2o78JcZiD9957q/7I1Vh4ZSSaEeKqmEeJ2LiABIU4QkhfYK/Dw0Z2zO6+TDeE97n7qs5j3Rv1&#10;hBBCCGkf9nocu3ZL7Dl89AhbhkIcIYQQ0rvg2muvx60KcRfPucK9KS/0FyEOIae7gWZPmtNinZwG&#10;JyeQQbyyIadulZGMqpJ+Wg0tL5UVsGzE+p0aq4TO44WkxeZEj6OZKBLVdMT6kjPOonZy6oiFlIvN&#10;EaLMOL3IaSO2FrmPFvaEVAl5PdW+RJm8DEZvxLJly3bty1aEOEjq+hoNanVWE94f5k865RL3hj0h&#10;hBBCqmfEj8bvaLgWZwpx3h/mKcT1zDOUhTg8YlX6UhS6HKAQRwghafCYcnsdTj2yxealEEcIIYT0&#10;PvZ6XPS4tWHDx+xhyzz73B/dm/WEEEIIaQ+49trrMf423n25zoq9RnWs1OVnXnCJe1Ne6E9CnJZx&#10;ch5hCvnNE+fkxDFIPEiXk7WWLFnSnePrkLzIkxsp8UkEu1Yfh5oTer7KClg2pB4rIOVIXjqPF5IW&#10;k5uwLpLHPg41J8qIYrG+5IyzqJ2cOmIh5WJzhNCPlm1GGJWyqfeWiG92/+a+TyQf3gc2pP3UGCXK&#10;5GUweiO0ELfvvvu619McIKnra3Ttc/raWp3Vha4cUIgjhBBCeg8rxBU9skXC+8P87AsOcG/aD0Qk&#10;PBlKollRKiWsbdr8cj0NYdM0+lGfr7x6X0Naqn6LRGwseF3CSwcStg5dFifEoc+xdP06aFWIq2Ie&#10;JWzdGgkKcYSQ3gaPKbfX4bQQ1/i/0X995ST3Rj0hhBBC2sMLL5/ecN0GFOIIIYSQ/o8nxP3n8NG7&#10;d1+us6IqIQ43/3s7tLwG5IQ3LyAcIa+XRz8iFfKPfO9JRFrGirUHEUmnpcQn3V5ZKapsQBaqqi2p&#10;pxlRTOfxQtY0JmJhXaR8jtRmY6gIcXpfNyOKSVngyaG6/7b+nPdJ0SODU2k2ivYMg9HbAUlc9nAr&#10;QhyuyfoajWt2rc7qwv5h/tgTz3dv2BNCCCGkev7Pf+33d30dLnpkiwQ+9OtygEJczzxlhbhVq77+&#10;UGYFMo3Od+ddsxvS+osQJ49I3bp1fcPrQqruVoW4KuZRIjY3QIJCHCGkt8GprPY6XPtsHX1kC4U4&#10;QgghpG/xhLjUtRvhfe5+5E/3uDfrCSGEENIe7rhnacO1GLQqxJ0ybZZ7U17oT0IcQks5ACdVQcDB&#10;6wDfi5gEPLEHocU6AKnNC8hYcqqbCHYizqE9aUtLPLqP+F4HHhMpbeMryulHR0IaQhtoMyYW5Qbq&#10;jvWjbEg9VlZKjVVC5/FC5hDzgfEjIHfpedEiIfLrk+KwHvgZa4g6bEj9+FoU0kYz4yxqJ6eOWEg5&#10;2y8bcoIbwHzIfCIwn3g/oH/e44GlnIC2ZK9jfvW+ldd16LZRVtYPedGulMfe9srrskUhc53aMwxG&#10;b4YW4vbee2/3epoDrsn6Go1rdq3O6sL+YZ5CHCGEENJ76GvwTvaZ2n2JTob3h/kZs/Z3b9oPRCQ8&#10;GUqiWVEqJaxBypKIiWR4FCkeBYrw6ugvQtyOHZ/XX8fpcPp1AeOTsGmQ2CSef2Fpj3RBwrZdxTxK&#10;NLvOhBDSTjwhLvXIFvu5+7xfTXRv1hNCCCGkPTz69KkN121Q9Li17wzfbzdbBjflvZv1hBBCCGkP&#10;nhCHa3T35Torho3sWKHLDzQhDgGZSOSaFKnTo7RgBbRgZQPCTao9iEBa8CkSn4rqE2IyXyxEEioC&#10;bZcNKduMKKbzeIG5l3SNrU8/EjSG9yjOIlFNh9TTzDiL2smpIxZSrkgWwz7UYloMTwCVNMhysf2J&#10;12PvFezroraxPlrS0yF5coS43D3DYPRWrFy5ctc+rFKIwzW7Vmd1gWew6gaOPG6me8OeEEIIIdUy&#10;57LlDRd5UPTIFgnvD/OnTacQJ0iUFeKAftwnZC59whnkMDl5DaHThP4ixInwBjFOP47UjgGhywkS&#10;yAt5DZR5rGmr8yjR7DoTQkg7wams9jqMx6p1X6Z7hP3cfebsw9yb9YQQQghpD/c+MqXhug1S124E&#10;hThCCCGk77nx5kUN12LQfanOjmEjxyzT5Y+dcpp7U17oj0IcAuKPPQ0OQMiB7FZ0UhSkHCmTI4ih&#10;PkhEclqctKVPjJPQdcfkH5SB+GMFIowH7TQj9ti5iNGMECeClD21LmeskifVLgQnPRcYi7eGmBcr&#10;bGFNkN9bCwTyI593KpqNVsZZ1E5OHbGI9SsWchKctAcwv+hbTLSUfNiXmEfsQ2kXX/Fz0fsq9r5M&#10;rY9E2THm7hkGozeiKiEO12R9jcY1u1ZndWGPiT3kqNPdm/aEEEIIqZZLLu35v9tq1+XkI1skvD/M&#10;TzntJ+5N+4GIhCdDSTQrShUJaxC/9OlpXljJTNNfhDhIZnJKnBdaSNPlBC206dB5JLz+tzqPEs2u&#10;MyGEtBOcymqvw6lHttjP3RTiCCGEkN5l6d0nNly3QdHj1rzP3bgp792sJ4QQQkh7mDt/bsO1GCew&#10;d1+qs8MKcYccM9m9KS/0VyGu1YCYIwJO6iQ5BmOohLy3c05oYzAYjaGFuG9/+9vu9TQHXJP1NXqv&#10;kR2dtTqrCwpxhBBCSN9w/oVLGi/ydfKEOIQtO5iEOBG5Vq16rFSaIHm8k8fwCFEEZC2bpoGohTxa&#10;KoNEBlEMjwT1ygCRwIrqB0VjwesI5PPSQaoO9BPj1WNAvyCQYW4Qqboho8ljTZHPjinVttDsPObU&#10;LXm8dSaEkHaCU1ntdbiMEHfSGYe4N+ur5PCJe+76o4TlG9/4b2H4yP8vXHRpR3jp9VPd8kjzygqo&#10;Y+x+/ztcefVP3PLg5yf/n4b8TzxzYkP6wht3/k9izb/u/s1knRrkQ726vNeOh+6bgP54eTXNzgv6&#10;pPN9+zv/Izr39z98TMO4UJ+Xz1LUN8wt6kqtewz0V9flzTP6rfOUwfYHddu1RR90nmbB2mAedP0y&#10;N0izfcHPSNd9iYF8KFPlXJTtLyHEZ9HNJzRct0GREIewZSjEEUIIIb3Lby6/rOFajBPYuy/T2YGb&#10;67qOoSrE4ZQsGQtPlWIwKMQxGK1EVULc2IOPbLzOjxwzp1ZndWH/MH/AYVPcm/aEEEIIqZaZszsb&#10;LvJgz+GjR3RfogvDlh1MQhwhhBDSn8E1116Huy/Pbgwb2bFC5+0NIa7WbBaQbKy8BSDMefk9YnKX&#10;reO2O45IpmuKpDa055UD02eOcssIsbLoj5df08q8WKkKYpquW7AyYyyfpUzfQNE8CZ646JXH+nr5&#10;crB7wxMWvXxlwFrkzJGd77LjaqaMRsbYbH8JIT5XdR7bcN0GOAGu9j5KBk6h0WVwSo13s54QQggh&#10;7eHciy5suH7jvnb3ZTo7cHNd14Gb795NeWGwCnHy6FM8cpHBYFCIYzBaibVr1+56D/VrIc7+Yb5K&#10;Ie7ddz/sno6esWPHV+HDDz8Jb765JSxa9Lhb/oMPdp5IEovPPvuy3sZjj73plgcfffT1aST43qb/&#10;+c9rulO/DtT70ksbe+T1QD6MRQd+vu2259z8Gt03RG65ZucFdetA+7G5v//+lxvGhTa9fJaivqFN&#10;9C13fjU584X91Ezk7o2NG7f2yNcMGD/mSs8x1g2vIc2uC9ZS500F5hdlqpoL9AV14f2qQ9YS86Tz&#10;E0Ly8YS4YcPH7NF9iS4M+4f5n02hEEcIIYT0Bq0KcUedeJB7s75Kas2WAida6fJl5Srk1+W9OqzM&#10;lGqjSPJBulcOFIleEAC9cqBIxGtlXqxYJqeJaexJchAWtVSXomzfAOQ7ry5N7LRB2/8qT0Wz8qCQ&#10;098YufPTiugnc1LFXDTbX0KIjyfE1d5DhUEhjhBCCOlbTjv77IbrN4W45uKxxx7bNQ6cFMdgMCjE&#10;MRitRFVCnL4+g2EjO2bX6qwu7B/mxx50nHvTvhlyA6KPJ0iVCZGAiuqw6Vby0VEkp0EUisXate+7&#10;ZQRPtkIUlQNlws4LpCsdEJ10uoByOmL5LGUC654rU+XOF35uNnQ9wAp4CPQ5JhHmgLKpPSdh57vM&#10;uFB/2TI2pF2IkXbPeIF8UoYQks8pZ/yu4SIPch7ZIkEhjhBCCOkbcM3V1+CiR7YMGzlmmc7fF0Kc&#10;ToOYZR9Hiccv6jxWxtEyG6QtSDg6HRRJdUVCnH4sZ9HjMW1e+R4UCUK6XVu2SMRrdV5seXs6nz0Z&#10;zTu9L0aqb5CssO42D0Cbuh4Nyum9YufLrrmHzg+8PBoroOk20RevTBFWUEM9en6QjrWH0Gb3gO0P&#10;5lCnl0HXA7w8oJX+EkJ8fn3lpIZrNz5P195fhWE/d+Oxbd7NekIIIYS0ByvE4b5292U6O6wQN2rs&#10;Ae5NeWEwCnHTp0+vjwGnxH3wwQfdrzIYQzu++c2d/xnv6quv7n6FwWDkhhbivvWtb7nX0xz09RkM&#10;GzVmYq3O6sL+Yb4vhDgJK9WUDU8ms2HTU3JSkQSG9Fh4fdFY4UwC8pGXX1M2dF+sWOa1Z0+SKyOB&#10;NRM5p8XlzldqTVJhT0Wzc6CjmdPthBwZDmH3Txm5TSTIVucCa557Kl3qlEZCSJyqhbhJJ1CII4QQ&#10;QnqDw47er+H6XVaIGz9pf/dmfZXUmm3AplvJx+ZJyVWCPTnM5imqw6ZD7NE/x05rs7KQLZcS4uwJ&#10;bKjLCl9eOaHVecH3Ok23Z+UzewJbETl9A94JebG51nnRNzv3KZlO0PmBl0ej5w+ipl1fiH1euRRW&#10;VCySJjV2zTDPXr4cdD3AywNa6S8hxOfM2YeVunZLIJ8uRyGOEEII6V2On3pKwzV8r5Ednd2X6ezA&#10;aTO6jqEoxDEYDAaDUWV0dXXtuj42K8Stent14zW+RuVCHP7hoBvY56dHujftm8GGToOYZWUb+1hO&#10;GzoN8px9PCfq03mADZtuBSV9KpiVpCw2r46UEGdFI1u26LQtGzotZ17smK3ghceC6igjgNnQaZDM&#10;UJd34ljqpLhW5wuylg45QS2FFtBse3af5oJ+6sCYtEiGdEhsmB8rY1ohLrW/UpSZCyvUYR70qYmo&#10;C3sF4yhaA0KIz0mnXNJwkQfdl+essH+Yx81576Y9IYQQQqrlwCMahbiiR7bYz939QYgrypMjV1lp&#10;x+YpqsOmW1ktJlvpU9QgjVlhKSUPablKhDMrsMXkMNDOebHlypwOB3L6JkA003ljc63zyeNKMW/y&#10;Wo60J3kFL49GS4GYA7svpB9lsHObI/IJdn9hnr18Oeh6gJcHtNJfDSRLWS/MazMyISGDBSvEFV27&#10;JZBPlzv3ogvdm/WEEEIIaQ/7TThCXb9rUIhjMBgMBqPPowoh7oUXX2q8xtfpGFers7roKyEOWDkH&#10;odNt6DTBylU23YZNt3KYlYBij021cpMtlxKWIIVJiEykA5KRV06w4eVJzYudd4hOkmblM3sCWxE2&#10;vDzAnviWaqfV+SojgQl6/rC2VjLMPTFP04rU1hdCnH1voKyXjxDSPMeeeL66wNcv8lmPbJGwf5in&#10;EEcIIYT0DlaIK3pki308y4/Gj3Nv1ldJrdkGbDpEmVSeHLnK5sHpYan0IjEMr+nHY8ZkKy1MQXCz&#10;wlJKiNP1i2QESSi3fBXzYvsrj6stK5pZcvom2D6grM1j94jIVFpIBKl2gM4LvDyCXQv0Aa/bx6bK&#10;67l4p+Jh73h5LTlzlYuuB3h5QCv91cT2GiFDkZPOOKTUtVvCfu7GY9u8m/WEEEIIaQ9WiMPn6+7L&#10;dHbsNWqfqboO4N2YFz766Ot7ghTiGAwGg8HoGVqI+8Y3vuFeT4vwhLg9h48eUauzuuj53PQJ7k37&#10;ZrBRNo8NnSZYacem27Dptrx9VGZMttKnqEGesqJRSljScpU83lILWEUSmg0vT9G8xGQnK16VOR0O&#10;2PDyAAhlesyI2Clxrc5XWSHOCndysp2OsvMC7NwWiXya/iDEpU7xS6HXGkJjs/UQMhg58riZDRf5&#10;3Ee2SNg/zOPmvHfTnhBCCCHVst/BYxuv4SPHLOu+PLvRH4U4K9zYR4Wm5Cqc2GVPGLPlQZGgZdPx&#10;mn08pi1jhSn0xUo/MaHNnjSmT8vSkl1KRqtiXoCtx4677OlwoGi+LTovsOl2j4iEZh+bWnRim84L&#10;vDyCPq1Pz12r84O+6zUWsNaoKyXY2f2Fefby5aDrAV4e0Ep/NbbvFOLIUOaoEw8y1+48IQ75dDkK&#10;cYQQQkjv8oMfH2Cv4bO7L9PZ4Qlx72x51705DyjEMRgMBoORjiqEuEefeKrh2gyGDR+zR63O6qIv&#10;hTiIMjZ0ug2dBuxpZvje5rFh0z1xTD8iMyZb6XZxgliuEGfHLHKQFuwQIqh52LDpOfNi+yuPAS0j&#10;mnnY8PIIOZJXFfNVRgIDum45Pc/2o6gODyvVIbB3vLyWvhDi7Cl+2EepeY4R22uEkIfCIUed3nCR&#10;h+DWfXnOCvuHeQpxhBBCSO/QsX+jEFf0yBb7uXvk2LHuzfoqqTXbgLwOkQZCjZVtrERm5aoUqMue&#10;gubVYQUtm47X0D/9mpWttHAmwpSVfmJCnD7ZDH3WaVZk88YDqpgXYPus16OZ0+FA0XxbMH86fyrd&#10;ilS6v3YuLZJP8PIAu/b6RDQr4TUjdlnBT4MxxPaNXasYOetmy3h5hGb7q8Gcol9SRkughAw18Lhy&#10;fS3OfdwahThCCCGkb9HX4Z3sM7X7Mp0dw0aNmWjroRDHYDAYDEbzUYUQd8vtdzVcm8F/Dh+9e63O&#10;6sL+Yf57o3/i3rRvBhs23QpC+tGdwIZOg2SjxTWEd+KWDZvuCXH28adWAoKUpQMniFnpJyYs2TFD&#10;tMLr9lQyOQnNw4ZOy50XYMdux93MKWg2vDyCnTNPzqpivnLa0WgpUM+dfWxq7HG6MayoKIH2ME4Z&#10;m0dfCHE2rwTKlDnlzdZDIY6QrzngsCkNF3kKcYQQQsjAYNTYfdX1u35CXPKRLfgf7Dp/XwhxKSA+&#10;2ROncsQvCDYQ1mzZWB05QhzQcpqWrawwBWEIr+cKcSIGASvaWflIHqdqqWJehFhdMq6yFM23JTb/&#10;wJ6mZ/ukT3IDKdFK5wNeHmDXAH3Q6Xr9QNH8eqCfWB9dj8Z7L+QKcUCX8yibv5n+EkJ8cDqrvhYX&#10;Xbsl7Ofu46ee4t6sJ4QQQkj1bNz0SsP1G0Bu675MZ8deozrG2XooxDEYDAaD0VrI9bGfC3GNf5jv&#10;DSEO4g8EICsHWcmnTEAC84QiGzbdSmF4DfXosLKVFqNE4rPST0xY0rKaFYOKTnUTykRsXoDts26/&#10;mdPhgA0vj2Dn2ZOzqpivMhKYlR0h3kmaFQZzT3fTWMFPB8YQ2zdWiItFSgwEZeYC2FPidGCP5Ihx&#10;WGeRDDHGMjIdIYMdK8ThD+3dl+essH+Yx+PbvJv2hBBCCKmWvff5kbmGlxPigHezvkpqzWYBKcoT&#10;anLEL2DFMk2RoBUTsqwYJTKWfWym9DtHiLMnjFmBC3Xp9NhpX1XMi+CJVjmnjMUomm9L6oS42FwL&#10;mD+dnhqvzge8PMA7/U+jT/gDzYqDGAvGZwU7wbadK8TlrJ0t4+WxlO0vIcSneSFuzDJdjkIcIYQQ&#10;0nt4Qhzktu7LdHZ4Qtyqt1e7N+cFCQpxDAaDwWD4IdfHZoW4BTfe1HBtBrX6qg3vD/PeTftmKBOe&#10;uJUTEG1Sp2XZsOmeEAe09KZlKytxySlqOUIcThTTIWUFKx/FxKGcKJoXwY5fwvYtFxteHo0OK2dV&#10;NV9lJDBdp5UCbX9EhiwL+qllPhveeyFXiCsS3MoKcaCo7SIJjxASZ5+fHtlw/c19ZIuE/cM8hThC&#10;CCGkd9DXX4DP1d2XZzfwSBdbxrtZXyW1ZqNArIHAlDrVKyZX4asVqWInsjUrxFk5TR6PqdvVj8y0&#10;wpLXn9TjUgUtZAHbX1DFvGhsmWYlL1BWiNN57ZzE5lqjTy7D91aaEySP4OWxa64flypYqRHjtXnK&#10;gveAJ5rp94bdX620q+sBXp4UOf0lhPjY63DRtVsCn9N1uUOP/Zl7w54QQggh1fP6G882XL93Uo0Q&#10;98KLL7k35wUJCnEMBoPBYPgh10fgXUuLuGLe/IZrM6jVVW14f5j3bto3Q25AyrECUJnyKXnLhk1H&#10;2zrkddSpQ9qwp4RJv3OEuFhZAaKUjpholBs5UpvtN8KKYGWw4eURrFxo5ayq5quMBKZFNe9Rs/rE&#10;OkTZx6YKGAvGJyen2bCyXa4QVySnNSPEAYwT8xET+WKP5SWEpBk1dkLD9besEGf/MN+xP4U4Qggh&#10;pN1cfuX4xut3jaJHtnifu99YfZZ7w74qas024OVJkZKrrJgUk6GKBC2brtM8OU3/rMUxm+aJaFre&#10;ysU79ayKedEUzVEZytQFgUrnRVlJs+PIJSbz2XxeHnsiXS72sarNgDWyc6f3kN1feq7KousBXp4i&#10;ivpLCPGx1+Hcx61RiCOEEEL6jmef+2PD9RsMGz5mj+7LdHbsOXz0CFtPkRD3j3/8o37/i0Icg8Fg&#10;MBh+7Lbbbruukd61tIiL51zRcG2ufU5fW6ur2sCHf90ImHPZcvfGfVlSAREI8k7sVC9gQ16H6GXF&#10;HIg+uqxgw6bHhDgra8njOrUQpR/hmSPExcpq9LjwvZXAgA15vcy8aKzklSPSxbDh5RHsnNk5qWq+&#10;ciUwK9jpx6UKVtLz1rksaNcT4/R7wwpxzbabOxcxROSz+wzhzT0hJI0V4nIf2SJh/zA/auy+7o17&#10;QgghhFTHby87qOH6vZP0/1D3PncPZCEOQBbT6Z6QU1SHTddpkKt0Wuo0Miss2b5Y+SsXtKPrAVXM&#10;i6aovjKUqcsKh/pENvto0lxiJ8nZfF4ee1JeLt5Jcs1g90h/FuJAqr+EkJ688PLpDddgkCvE4XO6&#10;LrffhCPcG/aEEEIIqZ5H/nRPw/Ub/Ofw0bt3X6azwxPiHn3iKffmvEAhjsFgMBiMdLQqxM284JKG&#10;a/NeozpW1uqqNnpTiPPypLCh06yYFBN7bNj0mBAHIGHpsDKRFsdsmhWWIFc1E56cZkOn5c6Lxs4B&#10;xuLly8GGl0fAqWI69JxVOV+5Ephd75xo5TQ9DWQyuw56PvqLECfgxLhm5EtCSCPfG/2Thutv7iNb&#10;JOwf5inEEUIIIe3noksPbLh+7yQtxHmPZxnoQpw9RQyPcdTpoKgOm67TILzpNI09uc0KS1YOspJa&#10;GeyjKKuYF01RfWXIrcuTDbVg6D2SMxddj2Dz2HSc8mbz5AKRztbnAVkPop+XBrBndL1atLP7C/Os&#10;y5ZB1wO8PKCV/hJCevLo06c2XIN3kve4Nfu5+wc/PsC9YU8IIYSQ6rnjnqXq2r2TZoQ4nCpn66EQ&#10;x2AwGAxGa9GqEHfKtFkN1+a2CHHeH+YHghAH7KlanpBjw6ZbCUmnQa7SkTqNzIpGVliy8ldueCej&#10;2bDpOfOi6QshDnNn+6lPZKtyvuzaeBIY+tNseCfJNYM9oa4/C3HArlEr+4aQoYq9/uJxat2X56yw&#10;f5jfe58fuTfuCSGEEFIdsy84QF27d4L/bd59eXbD+9yN02q8m/ZVUWu2AS9Pihy5yp7qVVYes+k6&#10;DcRENtuOFZasEKdPlyuSmeyjO618V8W8aHLqyyVVF0Q19MOeDAf0fFmhz86lxdbnPTZVpwObbue8&#10;aA70eoKcx6bK3ED2Qx+lDOYF7afqtPuraA+l0PUALw9opb8a5BfBEWVSe5GQwYwnxBVduyXwH9d0&#10;OQpxhBBCSO9x482LGq7f4DvD99ut+zKdHc0IcX//+9/r974oxDEYDAaD4UfVQlzt8/eKWl3VhveH&#10;+UsuXereuC+LDS9PChs23Z6Ghkew2jw2bHpKiEtJUrYtKxpZYcl7JGZuaPEO2NBpIGdeNH0hxKFP&#10;OqyYVeV85UhgVn4sExDDbH0ekPVSea30hnWMpfWGEIc18E7cE+y+qUoMJGSogGutvf7mPrJFwv5h&#10;nkIcIYQQ0n48Ia7of6h7n7txc967aV8VtWYb8PKkyBG17EljVhQqqsOm6zQAeUenA0g9Np8VlrTE&#10;ZftYdJIWxCKdH+3pU8+qmBdNTn252LpysMKflRAhyOl0S85YdTqw6fpEOm99LbaPRdIeKDM3tj67&#10;v1IU9d/m9/KAVvqrsX2PPdaWkMHOvY9MabgGA9wYr70vCoNCHCGEENJ3eEJc9yW6VOAzu63n3gcf&#10;dm/OCxTiGAwGg8FIR6tC3LFTTmu4Nu81sqOzVle14f1h/vwLl7g378tiw8uTwoZN94S1svKYlXps&#10;uhW3JHCal86XEuLs4z+LZCb76E4rJdnQaSBnXjR2DtolxOExmxjLRx993p36deg2q56vHAnM1mHT&#10;NbZ/EMe8fBaZZxHNMB94HWsD+c0+glTSQV8IcRLIg/0uewj9sqfDpeYA5URwxBjte4eQoYonxOGa&#10;3H15zgoKcYQQQkjvc9r0/dW1eydFQhxOobFlBoMQB1EMApDOp0+qKqrDpus0wdbvPUbSSj9aELIn&#10;mMVO0tLYE94gfUlaFfOiyakvF1tXCvTPkwN1vyGq2XQLxqrrBXasNl2n2RPprKDnYUXJnH6iHbsm&#10;Hp5cZvdXEba8JjdvK/3V2L5TiCNDlUU3n9BwDQa5j1uzn7uBd8OeEEIIIdUzd/7chmvwsFFj1nZf&#10;oktFM0LcV1/tvGdHIY7BYDAYDD9aFeLGHnxkw7WZQpyTxwprVhSyodOAlcFsun2MJQJSj82XEuJs&#10;H4tO0oIspcNKSzZ0mlA0Lxo7B1UKcTlhBbaq56tIAoPgpcN77KpFBC+JnDmz85wKu174OTdS/W9G&#10;iMuJ1PhtmznzS8hQANdae/2lEEcIIYT0fzwhruiRLX0hxGmpC6KUlycFxDMpDzEnJnTpfECfKFZU&#10;h06PSU0QfnQd3ollVh7Sj4XUkliuDJQ6Va6KedHkjC8X9FO3acGewBxgfPrUO8GKfEWn6QlFp8rp&#10;E+DsXtTCFtrOFQLLnioHMD6MyYqDmBesV2wtUU63l6KoL6m5sDTbX43uO/rGR6aSoUorQtxeo/aZ&#10;ast6N+wJIYQQUj3nXnRhwzW4SiHultv/f/b+Puyuqr7zx/+ba8aqxJ9ztZ1WITN+W6dTC+llQUQj&#10;gaqYkJgISFQQIwUqkWJQlAaLQdQBFI2MdgBrjfVrsWPF2GnVdtRGK60ztYrfFqd11KYdWrEtbVqf&#10;EFHv33nfOe+Tz/nksx72w3m67/frut7XnZy9ntfae+219vvs89vhw3lKhjghhBAiT9+GuBNP27R3&#10;kFa/RBvzi2SI82Yb/6Yqjz0GeZOSPw75N3dFP3vpy2ENTTZ+7k1aVPSGN/u2MI+NS5Xaxcq3Qc7c&#10;VFITUKYor77by7eFN4H5n5j1Br1I/g1pMPFF4axg7PNjKSIyLzYxxOVMbqW2sPJGwwjUp/TGN5+n&#10;DHGSdFjXXLtvbO6FMCcPp+cqom+qRw/uJUmSJEnqT5df+ayxuRcaTs1JZmGIkyRJkiTpsG7Zd/HY&#10;HAwNp+giMsRJkiRJ0uzkDXEnnb7xruEU3Qh8iW08nbIh7sEHH1x+piVDXB2f+9znRu2Efy869913&#10;39L27duXzjjjjKVPfvKTw09XHqulnkKIydDVEHf6lnPG5mY89x6k1S+TNMTZn8bMGW9SsvHx7ygM&#10;ZMPBoJM6FqVhjU0p85U1IyH96I1l3uxEkxDMWvZzmK983Ei5t6T10S5WNfWrlf/pUQ/GAeqWMlFN&#10;or1833jDma0/xgDKYI9H8mnWmryQNuqEdrCgrzAWrZHPCqYym1+OXFlKbeHFn0e1Ywmg/KhHTVsh&#10;DNoVIG/9ZKokHVZkiDvx1E3rhtNzFdHGfPTgXpIkSZKk/tSXIe7Dv395+NBekiRJkqR+JUOcJEmS&#10;JC2mZmmI+853Dj/XmjdDHExLl1566dJjHvOYUbl+5md+Zunqq6+eqREN5WJ5pm2s+uAHP7hs6nrE&#10;I468kRttcuuttw5DNMfWB2axlcpqqacQYjKsekOcJEmSJEmxZIiTJEmSpMXUiy5vbojDHO/jyBAn&#10;SZIkSdNR34a4Q4f+MnxoL0mSJElSv7ryl35pbA4+8bSNB4ZTdCPaGOIeeOCB5Yf982KIw5u8YFhi&#10;WVKCMW4WzMIQhzaB8c3W3wvHEa4pX/7yl0cGuy7GuhSTTLsJk66n6A/1k5hHuhri/Nw8NUMcHtJH&#10;D+8lSZIkSepHV73y1rG5F3rCqWesHU7PVcgQJ0mSJEnT19GGuI2HhlNzEhniJEmSJGl2uumXLxyb&#10;g2vmbnLi6Zt2jMeVIU6SJEmSpqVJGuLe+eu/ET6cp+bJEOeNX3g7HEwxMJ5B+Lc1y03LkGaZhSHu&#10;xhtvXM4PRiEYAdke+JzmIQhv1Js3WDaUVYgaNGbEPNK3IQ7PvQdp9Uu0MS9DnCRJkiRNVpMyxL3l&#10;l7eHD+8lSZIkSepHMsRJkiRJ0mJJhjhJkiRJWkzJEHcYa3bLmbvw06Ewgq0WQxyMgPipVLzlzIOf&#10;j2V5oHmD5ZK5SdSiMSPmERniJEmSJEkKdcUrbh6be6GmhrhoY16GOEmSJEmarC68dNwQN5iPDw6n&#10;5iQyxEmSJEnS7HTdG3aMzcEyxEmSJEnSYujnd10xNgefeNqm/cMpujE2HahkiLv//vuXH/bP2hBn&#10;jWYwf5WAOazNT4R2ZRaGuBLWSAiD3DzBcsncJGrRmBHzCMclFM2lOX3l3q+OzcsQ1t+DtPpFhjhJ&#10;kiRJmr5kiJMkSZKkxVQbQxzmeBsHuuN3Xhw+tJckSZIkqV95Q1zN3E1kiJMkSZKk2WmWhrhvfetb&#10;yw/7mxriYAbjz5vibW14o1sXgxpMcMw/ehNaDv5sKH5ONAd+ghXh8MY1C8qNz+zPteLfMOT4OtUY&#10;4hAHcW16KCPqOAkTXVdDHNvPtwvfPofjAP2CfmZ4/I363b+1LlLUDvgMbcT0oVQ/EI4blB1hUB7G&#10;9cbKtvXEuPFleM973jPWv8irrRmR+SA+xP7E55EpDHnbPofwf3yegnkQPz4RH29eLIEwUR/h3Mud&#10;t6U64jOml9Ikzh0harFjMZpLc5IhTpIkSZJWsCJDHF7dPpyeq5AhTpIkSZKmr/N/buvY3CtDnCRJ&#10;kiTNt7oY4k46feM2Gxe652/uDh/aS5IkSZLUr2ZpiPvmN7+5/LC/iSEOxhSGtYIxpi00zLRJg6Yo&#10;pJECRh6W0xp/YHKyxiAvHLNGKFv3yKADYw+NdynljEttsOaoNjCuN1/ZuqLM1gRl5duojbkJhqoo&#10;HOXzIKw74kf9aOFnpXry317IC2XgeIsUjYkSjAujnm9j5EmQt+3rSDDyRfA4TGu58e7NgqRUbwhl&#10;T41thknVUYY4Me9wHB5zzDHhXJrTF7/05bF5GZqIIS7amL/qlbeGD+8lSZIkSepHMsRJkiRJ0mLK&#10;G+JOOn3jXcOpOYkMcZIkSZI0O1117fljc7AMcZIkSZK0GDrv4heNzcEnnbZx33CKbsxYOgO99W3v&#10;CB/QU9/4xjeWH/Y3McTljDFtzF7WDFN6y1tEyuxm4ZvDYFazWIMR3zIGYL6hcciahKx5yht0EJdm&#10;OMS1ZUEdbbv1Ze5BnkwTebaB8XNGMcganpAvwvNYyYjl07agfW04vmkMeVgjnjWHEW8Qw//R7pDP&#10;k2Ga1NMbyFgW9CXLibz4eZs+YNoU2hJlQhns+cTxw/JxrKIcti+ituYxltO2M/KydYzGJs8fyL4N&#10;zvcRhLHu4TEqVUfAMFE9hJgVHJd9GeKw/h6k1y8yxEmSJEnS9HXZFTeOzb3QcGquJtqYf9Obzw0f&#10;3kuSJEmS1I/6MsS9672Xhg/tJUmSJEnqV94QVzN3ExniJEmSJGl26tcQt/GQTatkiPv617++/LC/&#10;iSGO4SK1MbFYQ1JbE4w1KkXwuDXcwcjEfKM3Y8HsA+OONezYsnrjEI1dMMXRrOShgStVzqagvVge&#10;byyqhfF929u6ov0ioxPr442GJJW2hX0T9QGw5fBlsIY4/DsHwzWtJ8xfPA5F5j/bDzSL1WLTTrUT&#10;ysQwUT8AlgF18DAuFI0Tm76vn22fmvJF7cNjuTRIbTghpsWhQ4dG41KGOEmSJEmSxiRDnCRJkiQt&#10;ptoY4vAW2PE4MsRJkiRJ0rTUtyHuz//ij8OH9pIkSZIk9autz71gbA6etSHuwIEDy5+lsG8682pj&#10;yqox3JSwP7npzWjW+GbNRDDu4LPIQJTClhX/tvAtW7k64FjTPFPAeEUzWckMloP18eW2dUUbRrA+&#10;UASPpdrE9k0OhvGmOWvIS5kQCdNoU0/mk3oDXG5clGC8nEmS4zvXz7YM3jTHz3NvYLRtaeF5AuXa&#10;2Ibz8PMaIyjDpsaMENPGGuKOPfbYcC7NaaaGOPyMW/TwXpIkSZKkfiRDnCRJkiQtpp59wbgh7sTT&#10;Nh4YTs1JZIiTJEmSpNnpslc8b2wOliFOkiRJkhZD3hB34mmb9g6n6MY0NcRB3//+9xsZ4qzxxqrN&#10;z0UCm15bE4x9Q5U35dGo48tHA1sTM1nO+MTPa9UFGJNYfpjimr6VzMLy5Ixivq7EhongsVS/4nOG&#10;qZFPhyaumj5MpVFTz1I+NWmkYLxUGwHmXytfBn6ey8P2haW2je1P36YMebn8SZOwQkyDroa4z37u&#10;T8fm+MOagCEu2piXIU6SJEmSJquLX/yasbkXC/Lh1FxNtDF//eufHT68lyRJkiSpH8kQJ0mSJEmL&#10;JW+Iq5m7yeNPPWODjQvJECdJkiRJ09EkDXE37H1r+IDe6nvf+14jQxyA4cYasmA6K72hK4U1E3Ux&#10;waQMbnyLmn+7GPPMvTXLkzI++Z/VLMmb85pi38aVeqtZLUzHt32qrhYbJoLHUv1q61EjX9dasxZg&#10;Gm3qWcqnJo0UjJcb+3hrG8OVFBkkeSyXB44xnIWfoa9y5NqAn+fyJ03CCjENDh48OBqXfRnisP4e&#10;pNcvMsRJkiRJ0vQlQ5wkSZIkLab6MsTdsu/i8KG9JEmSJEn9SoY4SZIkSVpM9WmIO/H0TQdtWpMy&#10;xPUJjHTMu8bYlMK+oYqGIPuTnG1MQp6U6ce+oW7SRh5rImvzE7WeVLlzBidiw0TwWKpN7M/vtmG1&#10;GOK6/jRuTR44xnAWfiZDnFityBAnSZIkSVJSfRjioo15GeIkSZIkabLa+pwtY3OvDHGSJEmSNN96&#10;4YvPHZuDZYiTJEmSpMXQzz7znLE5eDCHXzucohvTxhD34IMPztQQB/h2N6jtm+assY5vg6N5DMYr&#10;D9+61cRk1Jfppy19m+FAqty5uhIbJoLHUm2Cz3PxS5SMapZUWWrqWcqnJo0UjJcbN03qGVGTR6ov&#10;Um9e9ESGVMLPc/mTJmGFmAbWEHf88ceH82hOf/CHnxqb4yEZ4nrUTTd9YKTrrnv30u7dty1r1643&#10;LuuSS159lJ7//JeP6ZxzLj1KmzZdMKbTTjv7qM9SitKzsnmjPCwrxPKjLhDrFtVdkqTVpbe//eMj&#10;vetdd4703/7b/xrTBz7wmaP0oQ/9f40VpWPzsWVguaJyr3S94JJrxuZeLMiHU3M1MsRJkiRJ0vR1&#10;tCFu0/7h1JzFxoFkiJOko/X5L7xspE99+rJl/e5HLxrpve8/f1lv33fOSG+6ecuy9lz3tFa64sr1&#10;WdmwzAuyZWC5KFtm1gNCvaJ6S5I0WR1tiKubu4EMcZIkSZI0O83aEPfAAw/M3BBnzTg1P2EK81tk&#10;nOMbx2DiwXG+WSsyjzEswtSSMz7RYNf151BTTMIMB5imNyDVmLxsmAgeS5mbUA+GafPTr02MYqmy&#10;1NSzlE9NGikYL2cAs33fxjDKuLlzi8Y3P35rzxOGw3ngYf65OpImYYWYBnfddddoXPZliDvx1E3r&#10;Bun1y7wb4rxhzZrTaBSD6Qw6+eQzlk444UlLP/ZjJyzrUY96zLIe+cgfXta/+TcPXdag2qtSrD/b&#10;A22DdkKboe0ga87zxjsa7mS0k6TDovGUoiGV1yuK5xCvX9ALX/iLy7r44quXXvCCK5b1cz/3ssGx&#10;ly9dccV1S694xesGN2DXL11//S8vveENty7t3fsrS29/+39b+rVfe9/S7bfvX/q93/vESJ/97N3L&#10;uvvuv1i6556vLn31q/+w9O1vPzicjhYPlP1rX7t/Wf/wD19b+pu/+adl/eVf/v2y/vzPv7L0uc/9&#10;36U//uO/XNbHPvb5ZVnzHcx2UZ/Nk2SIkyRJkqTF1Dwb4mgiggnHmnW8YYhGn4suOWmkZ28/fumM&#10;jY9d1hNPOW4kfgYhDMQ4kWnIm4WsQQhli8otLaascQ39i362Y45jwo8xjKuffNwPLetRjz5m6eHH&#10;/OtlDU6TVSXUGfWH2B72nLPnmz/X0L7+3JLZTpLS6tsQ98d/8vHwob0kSZIkSf1KhrjDBjea1yC+&#10;4S0ChiOEjcLYn0iF+Yf/jkxE1oyVyg9GJHssZ3yy+TU1RZWYlBkOMN02RjEbJoJ9mjJioV8Yv8bU&#10;5lkthjg7rtsYxRgXisaPLb9Pv+Y8Kf1kcO6YpzRmhJg21hC3fv36cB7NaUUZ4mAUoTHEmtloZKOJ&#10;zRrYVrNxbZFEc5011tFUh36mEQgmoWhsTEP2rVh8QxWNM9HbrawYjrJvt1qtb7VaiaKZjdeoyGzL&#10;a9SjH/3/LD3kIQ9d+oEfeFh4Tsyb1qxZs7R27dplrVu3bmnDhg3LCzhox44dg/Nz19KePXuWtXfv&#10;3qV9+/Yta//+/cuLOwivPIUOHTo0nOIWCxrsaKqDoc6a6Xh+T9tE5w1x+slUSZIkSVoMzcoQB7ML&#10;jW40GcE0QyPNohmKaAayJiAagLzxh8Y6GX8mIxrb0L4cYzS00chmTWyr1cC2SKLRzhvsrLkOfSxj&#10;nbRaJEOcJEmSJC2mZm2Iu//++2duiAPWlAPhTVUw4OBzCP+mMQlKGcOssQ6CmSwCZiy+1Y0GOxrn&#10;kB/zsiYeW0b824KfiWTe+It49qcjYRpCHsgzZSyKQDrME3Vhe0RCHk1h2t6shPR4DP+OsGEi2IZo&#10;D5YN5i7bLtZIiPD2TXHoD/wf9UYaHqaPvyWYR5t6lvKpSSMF4/lyefgGNwjtYfsa7YnzAeWLfh6Y&#10;8SjkxbGO9rXjlp9bbN6Iy/5DWOTL+BjbUXwbtwTbOjdmhJgmmBM5hhfOEHfZFTeGD++9YCKx5jZr&#10;GoHm9Y1sLBfEN6VRNHZZ8e1pFE0yVjSBUTTURPJhc/L52HKwfCizbXea1Oa1/dnmtn1RV7QNTXQw&#10;JkUmOprbYEyDYe3OO78wuOj/32XB6ALDC94oBfPLNN+QZd9o5d9kZY03NNktyhusFl0043oj7pOe&#10;9Iyln/iJn15au/bHF8bYNm+KTHYw2FmTnTXY0Vx31113LYTBDudyyjzHcxfjy5opIb4JEOMNf/2Y&#10;tJIhTpIkSZIWU9MwxMGcQjPSIprdpilv/PGmutVm+kG9+MY2vq0NYykyt6Hd5mls4cs8lF1vUFh3&#10;2C/4+DUIxS/89C2mzzwpWx6WkWLZWR/ULar7vKpkrJNpVZqWaNrFWMMYi8LkJEOcJEmSJC2mZm2I&#10;+9a3vrV8Xz+IvqxZGeIAzEQ01+SUe3uUNVhB1mDlgeEmlx+MQNbgUzI+ldKjUma+CBqEatUUxmtj&#10;FLNhItD2PG7l07NvwEsp+inOklHNwnTa1LOUT00aKRivZBbDOLTGtJQiAyiPwSyXGp/4PHWuYFyX&#10;8kb/WJOehWFqDHG1Y0aIaWENcZs3bw7n0ZwWwhAHM9MgiYnJm9asWY0GMWukgvmAbySjOQGCWYHG&#10;hageq0newEHzhjUM0YxnjXc03NFsF/XXpPTwhx+z9OhHH7v0zGduHW14YzPavsUK5ppFBuYbGPlS&#10;Rjr7BqvV/mY6juE9e96+9OIXv3ZwA3PN8s+Nbtt2/mCsnjgYqz+x9CM/8qilhz3s4eF46lP+YU3q&#10;gQ1kH5LYhyf+wY39vw3HuDZNyD9ggViuqMzzLNuWtv18u7GtagVjXq0Q3rY/29y2c5P2xTU0GsfQ&#10;xS9+zdjcK0OcJEmSJC2GJm2Iw8P+QfBWwj0K71uieyh7H8X7H/uGYPuWYHyRgf/mMYjhId4/UfY+&#10;ivdS9n6K91JR2Wcpvq0Osm+sswY7+2YtmoBoBKoRDXk1YhzmQUMb8kY5rLGN5rZpv7WN98S8d/dj&#10;zo43jjM/vvglmUV9E3UfoO78whDahOedP9/sucZzjOcWxHVU1FezFM8tjNHIUAdZQx0kQ113/e3f&#10;vWZM9/7DTUfpq/e9NdTf/9Pbq3TfoXePFB3PyefJMn3hS69Z+uiBly796juft3TtazYuXXzJKcvX&#10;OIwhP66amuKONsRtPDBIqwpsyNu4kAxxkiRJkjQdzdoQ941vfGP5fnsQfVm4V58lMP74t8FBMOTA&#10;7FZ6UxRMOYwDk08JpAcTEd8Wx7zsG+OITTtl/kEcGH+8gQj1QT5NjT0wMdl0cqqpr4cGKf/Wupq6&#10;MkwuXxicbFugHaI+RLt4wxb6BOGjvgBsm+itaJ4u9SzlU5NGilS5UvBNcMwPQvuibCmjJcNhXKId&#10;MQ6ZL/7i/6XzKnVe5vqHNK1j7ZgRYhpg34pjsS9DHJ57D9Lrly6GuBpjFE1tfHsZ3wgGM5t9IxhN&#10;bDKvLZZorqOxzprqrJkOY2Vab6vjhrzdjOfGsd2E5wb8osK30nkjHd6WByMd3p5n30pn30w3a2Md&#10;8ubb/t7xjo8ua+/e25fe+tb3Ll1zzd6l66//5aXLL7966bzzfm5ZJ510ytJP/uRPLR1zzDHLivq9&#10;i/yDQz688Q9u7EObRcI+ZEE9+ICl9uEK2mVeH17Ou3Ddi84BSIY4SZIkSVpMHW2Iq3uobuNAKUMc&#10;jE+D4EeJ96y8X8U93CLfowJ7j4r7U96j2vtT3JtC8278WWRZYxvX0X5NtOhjbbXBNSD6zK//cmu/&#10;44571NIxa+brLerWVJd6Ux2NdRCNdX28rS5lKrNmLpq8rEHsn/7ljmUd+toHR/qXb3xsWV//5h+O&#10;6Rvf+syyvvXt/72sbz/wl2P6zoNfGenB7/7TSN/7/v1jmmcwHiGMR17rcW3BGOSeQ9P9BvR11Gcp&#10;yRAnSZIkSYupSRrirnntjUc9nPf6+te/vny/Moi+LNxbLzIw5tCAk3uTnBCrBZ7bNW9oE0KMg7U9&#10;z6HzzjsvnEdzWjhDHDbTUpuk/qfnYNShSYc/PSetHMHo5H/SFH3PnzLlxqzdlLUPO7gRO+2HHHwI&#10;gLyxIcwHLywbHwRAKDfKD6Eui/5QAOY6+7Ov6CsKPwGb0//+3wdH+r3f+8SgTe5c+rVfu33pLW+5&#10;Zem1r71h6YYb3rC0c+dlS89//gVLT3nKqaPNTrT1pA1W9qEh+pIPdNB/uE5Bi9xvs4TnMdqQ5zLP&#10;Z/sAM3rIwv6fxhiYpFB2XjdQJ147IIaRIU6SJEmSVp4mbYjDQ/5B8GXhvkL3rHnsfWl0T+rvR1fK&#10;vWhK9v4UdeY6yK5po30bISKidR/3RV6155VL17zqqqULXvC8pQsu2D5Y75+8rOOO+9FlReNz1lqz&#10;5uGDsj16WSec8JNLp5765KWtW89c1gt2PH9ZL9l12Wg9m9oHQnvwHOJ5tNLPJdYxGg9oJwjXGshe&#10;b/u6znL9zf/DPB7NoSld9ornjc3BMsRJkiRJ0mJo1oY4CPc1g+jLwj3QIoO3ZLEuequUEDLECdEF&#10;7AfwHGpjiPvs5/50bI6HJmKIAz6jWkMc3vg2iL4sbIZ0BUYcGGz0k5HzJ5rcrNGNZjf0Gc1uMFVN&#10;Amy42c02+2ADN6Pz9jCDDyEglA/ChiCFclPcMOSGq914tZuvEOqfkg1XEtOm2J4UysUNTAibmBTb&#10;elbtzbblAx62HerBjWluSIvFgxvsdpOd574d5xy3fYvnBPJAfszfjquasWXPj+iaCskQJ0mSJEmL&#10;qWdfsHVs7u3bEIefDhwEXxbud8V0iO5Dc/egXDdx7dS3ovVidK+KskJa/4h5hecVzymeTzyXONbt&#10;/sO87fG0EfdNuDfEfQyIdY3O+Sbi9aFGNp7Nl2Vh29v2p6L6TULIC/mjXCgzrncYNxg/AOOFYfFW&#10;wGgOTUmGOEmSJElaTB1tiNu0dzhFN6atIe7UU08d3YPg3mSR4U+f4icXhRAyxAnRBezt8BzauXNn&#10;OIfmtBCGOPwU5iD6smZxE1D6yUia6ayhbl5+MnKaQj0h1Nma2iC0DYxtaCu+yY0GN4hvDlsk+CDD&#10;brbywQU3AbnZtxI2WRddaH+7McyNYG5+ov/Ql3rIIxYJe11J/QT4pAxx1772nPDhvSRJkiRJ/UiG&#10;OCGEmC401WFfwBtVaazjfo81edGIpn2f2cru+/g9nyb7PQjPNGWIkyRJkqTVIRni+uOTn/zkqB54&#10;U5wQQoY4Ibpg1+gr1hB38slnjCqJzahFJvq5SP4kpDXbUTCPWeOdFd+e1lU2TeZH0xrEcrGcLDfr&#10;sYhmtlkTbbDSTJfaYOW3ZyGeD6tF2NSkuLmJNvEbnJA1tnGzUwY3sVLBucDzZPfu28I5VIY4SZIk&#10;SVpMTdoQ97sfvWh0H4F7ayGEEP3BL1Fy/4dfprQmu2gfKNoLsvtB3Bvh9Xslye/7QGgLu/eDtvJ7&#10;P2jjPvd90Ecs07O3Hx/OoSnJECdJkiRJi6mtz71gbA7uYog76fSNd9m0ag1xT3nKU0b3IItsiLv6&#10;6quX64C3xN13333DT4VY3TziEY9YPi9uvfXW4SdCiFqwB8D5cffu3eEcmtNCGOJOO+3sUSWx4SGE&#10;OILfYLWbrHajlZutFDddufFqN1/biGmkxE1LCuVB+VhmGtjsZqaMbELkwQMSzo+TNMRFG/MyxEmS&#10;JEnSZDVpQ9ynPn3Z6D4C5gMhhBCLC/dQ7B6R3Sfye0WU3TPqSz4PWwa77zOvez8oM+fHMzY+NpxD&#10;U5IhTpIkSZIWU/NmiMP9khBCCCGWlj0mnB9vuOGGcA7NaeEMcTDSCCGEEGJp+ZvynB937XpjOIfK&#10;ECdJkiRJi6m+DHE3/fKF4UP7z3/hZaP7CLyRRwghhBBLy8Y9zo9PPOW4cA5NSYY4SZIkSVpMyRAn&#10;hBBCzCd4MRPnx1tuuSWcQ3NaCEPcpk0XjCoJB6AQQgghlpbfvsj58fnPf3k4hx5tiNuE8I2QIU6S&#10;JEmSpq9JG+KgQfBlyRAnhBBCHAZvruP8+JOP+6Fw/kxJhjhJkiRJWkzNgyFu/fr1o3sQGeKEEEKI&#10;w1hD3O233x7OoTkthCEOD/kH0ZeFh/9CCCGEGDfEnXPOpeEcKkOcJEmSJC2mpmGIO+aYHxjdS8zb&#10;T9YJIYQQswDzIefGhx/zr8P5MyVviMMD8UE6VcgQJ0mSJEmzkwxxQgghxHxify1txRriLrnk1aNK&#10;osJCCCGEGP/ddLxNNZpDZYiTJEmSpMVUe0PcxkM2Xs4Q91M/9e9H9xIyxAkhhBAyxEmSJEnSapQM&#10;cUIIIcR8Yg1xH/zgB8M5NKfIEDeYq7cN0usfn1GtIW7XrjeOKilDnBBCCHGYvXv3jubH0047O5xD&#10;Mdf6+XcQvhEyxEmSJEnS9OUNcbUP1RsZ4o7/D6N7CW24CyGEEIfBT4lzfozmz5T6NsT9/ic+FD60&#10;lyRJkiSpX8kQJ4QQQswnGzZsGM2Pd955ZziH5rQQhrjdu28bVRIVFkIIIcTS0v79+0fz48knnxHO&#10;oTLESZIkSdJi6vyfm7wh7snrf2p0L6ENdyGEEOIw1hD3+S+8LJxDI1117flm3q6fu8ETTj1j7Xhc&#10;GeIkSZIkaVo67+IXjc3BJ522cd9wim6MDHFCCCFEf6xbt240P959993hHJrTF7/05fE5fllTMsTh&#10;Z9yih/de11337lElUWEhhBBCjBviTjjhSeEcGhniTjh165pBnGpkiJMkSZKk6WsahrgzNz9xdC9x&#10;4MCB4R2GEEIIsbqxG+6/+9GLwjk0kjfEnXj6poODNKqQIU6SJEmSZicZ4oQQQoj5ZO3ataP5ccUa&#10;4m666QOjSqLCQgghhFhafnDN+fGxj10XzqFXvOLmsbkXkiFOkiRJkuZfF176rLG5t/ahehND3Hnn&#10;nzG6l4DRXgghhBDjP8nSxBB33Rt2tJq7gQxxkiRJkjQ7eUPciadt2j+cohvjDXFX7N4TPqD3kiFO&#10;CCGEOBpriLvnnnvCOTSnr9z71bE5Hhqs1XcM0usfvzHfxhCHV9YLIYQQYml5Ycz5ce3aHw/nUBni&#10;JEmSJGkxNQ1D3M4Xnz26l9i3b9/wDkMIIYRY3VhD3Hvff344h0aSIU6SJEmSFlM/v+uKsTl4Foa4&#10;448/fnT/IUOcEEIIcRjOjVA0f5a0EIY4aBB9WTLECSGEEIc5dOjQaH78wR/8kXD+vOqVt45N8hA2&#10;2gdxqokMca/cc3b48F6SJEmSpH7kDXFYTw+n5ixtDXF79+4d3mEIIYQQq5sdO3aM5se37zsnnEMj&#10;eUNc7dwNZIiTJEmSpNmpT0PciadtPGDTamOIO3jw4PCuRAghhFjdcG485phjwvmzpMgQd9Lpz9g1&#10;SLN/uhjiYIQbJLEsMV987nOfWzrjjDOWtm/fvvTlL395+KkQh9H4EGJyWEPcQx/6sHD+lCFOkiRJ&#10;khZTL7p83BD3hNM3/vNwas7SxBC3++oLR/cSMsQ1B2sdth/+LcSs0FjMo/YRTdm1a9dozLzp5i3h&#10;HBoJc66dg59w+qaquRvIECdJkiRJs9PRhriNB4ZTdGNkiBNCCCH6AfMh58Zjjz02nD9rZOflw5pz&#10;QxwMANMERh7ki7/iaG688cZR3+DfQlg0PoSYLDy/HvrQh4fzZ2SIg8FtEKeaaGNehjhJkiRJmqz6&#10;MsThbTXRQ3vohhsvH91L7NmzZ3h3MT0e8YhHjPKvUcrI8p73vGf5Szg2LP6PzyfJJz/5yVF++LcQ&#10;s0JjMc8k2wdf/Mtdy3Atuvrqq6uMeB/84AfDNLxuvfXWYYyjufTSS0fhtAfTHmuI23Pd08I5NJIM&#10;cZIkSZK0mLryl35pbA6WIU4IIYSYPdYQh3kymj9rZOflw5pDQ9zatWtHlZ22IY4b6/jbNyvhW6rc&#10;sMMG4KJvvGJTkXUR/TDp8cGN59yGsBArGWsYj+bPa67dZyb4w5IhTpIkSZLmX0cZ4n5249eGU3OW&#10;Joa4W2975eg+Ag//pw3zrpVfT9x3331LP/MzPxOGpWAOmRSTMtloXSosNWveSY3FlcIk28emXRL2&#10;FXHdSmG/UJhTyuiGtG04XUPaA5M42/GKK9eHc2gkb4iDBmlUIUOcJEmSJM1O82CIw5tvBtGXJUOc&#10;EEIIsbR01113jebGPg1xg7n62kGa/dPWEPf2t398ad26daPKouLTZJKGOG1azhd281EsBuwvffNZ&#10;rFasIe6mmz5w1BwqQ5wkSZIkLaYuv3LcEAcNp+YsJ56+6aCNkzPEvec3rh/dR+zYsWN4dzE98KUw&#10;rINz4hvbIbyJycK1OoT1AI0mSNfGm9Sb4lA+5oF/94XWpcLCsZBb805qLK4UJtk+ubRxzcKXBO21&#10;CiY1fy0j9txHWimlTHU001ohf9Ec/Iw42/ClV54WzqGRbtl38di8DQ3SqEKGOEmSJEmanV59/evG&#10;5uCTTt9413CKbowMcUIIIUQ/HDhwYDQ3rl+/Ppw/a3T6lnPMHC9D3FHIELd60IOHxYP9lXs4IMRK&#10;xs6Pu3ffdtQcGhniHn/qGRsG4auRIU6SJEmSpq9pG+K2bds2vLuYL/h2LP+mN7uWTr056zGPeczy&#10;cfydBJNaz2tdKiwcCzLEtWeS7VObtjWr4c2WEV3Pfb4xE4bg1LVT1LFv375RX2x/7snhHBopMsSd&#10;cOrWNYN0ikTr7t/60B3hQ3tJkiRJkvqVN8Q98Wmb/3Q4RTemD0PctH8pTUyH3Nvg8cU++BBwL5/6&#10;Ao04TF9txTVT7m3sYvGw55nOpcXHGuI2b94czp81WghD3IYNG0aVlSFOTAo9eFg82F8yxInVip0f&#10;I0Pca173nrFJHlokQ9zdn//dYU1j/vmf7136m7/9s6X//tvXhvG/+MX83Prgg99e+sd//OvlfKL4&#10;ENInCO/zwv/xuQX/RzwbLqWPfuzmpfu//fVhzCN85rN3hOGtEMZTk2+XdrFlRTiU34ehfNgojFep&#10;bEgTZUO4299zWZhGSrYviW9n1KctvjzR2PjGN/5xLExb/dEfvXPp7/7u/xzVxjgn0DZ+nKJs0TiL&#10;QDjE6bMtMJbQb7Y92Jc41rQvJWk16Mqrzx6be6Gah+oryRCHN7uxfH69fPXVV4+OpbDxsWHaN5Na&#10;z2tdKiwcCzLEtWeS7dMkbXtuR2+u7HLu4xrHuCgHjHD8f+5nWkXM/v37R+238cyfDufQSO9676Vj&#10;8zZUa4hDOB9XhjhJkiRJmo7e+JY3j83BT/jZM/96OEU3ZiUZ4uw9pZ7BdSd3v2+Pqa3z9NVWau+V&#10;CX09UN/rfzF97JfVzjvvvHD+rNHRhrhNewdp9o83xL3gkmuOenAfyRvi4ARMgU0ebIzT1YtvR3b9&#10;eYCcIY4bTnRzw2mKGwTmj7/4v998st8MTSkCJ679pieEOuJindrg4k/FIE+EsTcwOGbDpL6lShjO&#10;toXddEs9ZEC+KCO/rQqhDkgvuhixfqlJCHFKeSIujte8DYD1Ssn3PcPn2hRgPGA8Ir7tM5QJcVJl&#10;bzuuLH6s4G+qvQmO+XxScWrbIDc+eIzty3T4Jgfmn4qXky9zm/YQYhGw8+OuXW88ag5ddEMczD21&#10;REawJvFhVIpMOT4NGJHs8b/6qz8ZHjmanNGOQr4RyDcKbxXFheGoZC7q0i4wYVlgaLJpU6i7JRXO&#10;q0nZANo/SscLdYjw7Yz+bYsfG5EBD/hwTZVK1+Lbu2m92sSxsI5o95o+hYnPlleSpOkY4j78u28b&#10;3UfUGOKwLuE6AIru1fuE64JonYo1BI75tZoF5WVZsW5pA9eyLAvEemMtwc+idQU+w/qGZaVQH6wT&#10;/XrOtm0kX1cYahDHrrMZrm19AdK1Zeb6Fe2ZAvsuKAvXWxDrmYvH8Kl1mV37RWON8XEMYrnxud9P&#10;QHujXWx74d8I5/uCsP9tnJq1ZBSvlJfF1jslmz/+bT9HHn5tj/+n8ka7IBzqBVBOxkW5oz5EHD+2&#10;OfZS+dh6pWBZkH8E0sa4sudkJKRDurZPDp92DqRv29WDdmdaTUGbIB7aBeCcZFqR+U7ksd9C33Tm&#10;48M5NJIMcZIkSZK0mPKGuCedseVvh1N0Y9oa4o455pjR/cc8GOJw78ryQKn7c1FP7n6f9+9o59K6&#10;YrVTaivurXB9m4J9gX4Ri0FN33JPAWvjNmt8MV9YQ9zOnTvD+bNGW57zgrF5fi4NcdicHySxrJwh&#10;zm/GUV1McUwTfz124wsbTNzY8sJGlz3peDLm5OHmVko+D8LyIz7C+HjAlifaZAb25gdpkdLmH9Ir&#10;bVT6zTle0LiR57FtkZqoWFdsapZgfin5vq9pU5AaD1ZRm7UdVwRxovBURCmO76PaNsiNDx5DWvh3&#10;qp7+pqbpw4E27SHEomDnx8gQd+Pr7xib5A9r47ZB+GoWxRAHvKmmaXxvjorS8GamnCGuZALLvYEr&#10;KosV3gCWomTE69Iu0VvP/NvIIP82sloTWNOyAZj0orSsvEHPYsvf51vRUm9kqylvSrnxZvHjp4m5&#10;rc83xNX2Z62xUZJWk6ZtiIPJPgfWHdH9Oj7LGZ7aUjJzcD3i12oeptFmgxP1yq1lsdbkv/1ap2bN&#10;graz67km69KaPYVS20TYOnlF6aH8pXKjnlEfAobx7UfweS4Mj6E9/Pi05UU5o3UrFa2t2+xlgFJe&#10;NWOx6ZrXtlPUFlRqD4EPZtBm0RiweaFsufpBaDeE89hypmBZojA4J1N180I7kK7tk8OmbdsphW1f&#10;n1eu7iU4Vu1+HT9rcy1Y7eDXSdgXT17/U+EcGumO33nx2LwNYT09SKeIDHGSJEmSNDt5Q9zJTz3z&#10;a8MpujHeEHfx5VeGD+e9rCFuHojWnF2etYtu9/uiHqx/0MaldRD7omaNLuaD2r4VK4e9e/eOztU+&#10;DXEnnbZx3yDN/vEb800McTt27BhVFq+tj8htGGITqC25k8tufEF2oxcbW3Zyi4xZtRtn9sYDafKB&#10;A/JAftzMi8rI8lP4P25aIF7kkQ6P280zC/JhGPvAI1cHpMsNOGws2psl9JfdOLdxbV7RJirThJCu&#10;B+Xj8WiDOkXtzUhNmwL0C/odn9uNTttnUfltm0JNxxXTxjE/VqJzweaH8rDNbV5I01LbBrnxwWMs&#10;L+vJtrLthL+2DQnTtnl6mEZtewixSNj58fnPf/lRc+ikDHF4SB89vO9b3kxjTVUw6/g3pMGoVRsf&#10;JqjIXIR0a9OAfBq+TN4kZWXf9OXjeUOTl83Xxy0Z8bq2iz/uDV7+p1ybGMByZUNbIm0fBkRvCLSy&#10;cXx71bydzBOFsUK5LTZPP06byJsRbdnRdzD+oa6lN8QhjD3eRJ4oDIQxY0HZbX/iOMoPA57eECdJ&#10;Rwvmcz//1jxUb2KI+6P/efvoPmLdunXDszUm2gynojVJV7jeSN2vl44TlhHhm2LXPNZcY9cplF/r&#10;YE2FMFhf22N2jQVF6297PAXKg7rjr10zY71j19lYn9WCdBgP6XL9hTRRJqTrQd8zDuri11u2naK1&#10;PY/59iNcM6bC8BiF8iAc8oaI70vWDWGxBubnBMfRvvi8yV4GQDr4HHX38VC+3No1gvnk4tl2Yt6s&#10;vx9z0flqj0OoO+IjXRyz/cr2Qh7ROLFp8Bix5Uxh0/CwH33b2rGG+J6u7ZPDpo1/l7B5+fC5uudA&#10;WzAe+wrgnIw+F2UOHjw4arufOv4/hHNoJBniJEmSJGkx5Q1xT3za5q8Pp+jGrBRDHO/7sfbhvXbT&#10;e2UxTtv7fdEMrhtL+0Dsi2gNKeaT2r4VKwdriNu9e3c4f9boeRftHJvn594Qh1fjRdiJJFJbcieX&#10;3fjCDUG0wcv40UZ97cYZbzbsBq3FpuPLwPyh3AWCG7pROQGP4ybIkqsDN4KjjVDC8tnNdYRlmn4i&#10;wiYej1F+Y4/5Qql8I2pvRmrbNEcuL9umTceVjVtbd97YpvoJafp+r22D3PioqaftS/tAg/BY6oal&#10;TXsIsUjs2rVrNMZf+MJfPGoO3fvmD45P8gMN5uMdg/DVzKshDoJByhuEbJhSfAhmLYsPU0rDm8Ng&#10;7LHk3tZmy+7jlQxL9u1jiAsDlCVnxOvaLlG72/x8+tEb5FKqKRsUvfEtlQ8+t8CIZcsPs1oUz8oT&#10;hbGy7Ye+8f0LY18ULye0haU0Rqy6xPXyRGEgf27g/1E4SZJiTcMQ9/k//+3RfUTJEGfv/73arolS&#10;YF3AtFP3+dbo4dcZFoZpWka7jojKgDUo11FQrgwRbM+oXLXr0hRY93APIdV+EczXr/1SlNoI2L6M&#10;Hp7wWKr9bB5RGB6DUmWwZqFoTwXthbLZ9WbbvQzAzyOzYxtY9lxf2nZqszfFvmf8VJ1tuFSf5dbw&#10;tpwpbB4WlImfR3sDzBfl93Rtnxw27VSbWHLhU3UvgfGLOP7ctedfNPZFGvxMGdvu2ON+OJxDI0WG&#10;uBNP3bRukE4RGeIkSZIkaXa67R23jc3Bpzx9yzeGU3RjVoIhzt5H4p6V95tQaq0gyrS93xfN4NoO&#10;f3OwL9AvYjGo7VuxctizZ8/oXL3hhhvC+bNG3hB34mmb9g/S7J8uhjj7wD9liLMTtFfTDS1L7uSy&#10;G1n226mW3ASX2wgjdvM2B8P4TS6WP7eRC7ChyDT85qDdePTp5+rABwS5yYTt4zctGddv6HGTE/VC&#10;HPzbb4bSvOc3pkvU3ozUtmmOXLvZY03HVdMNT2swbLJBWtsGXesJGCb3ACU1xrQBLFY6dn4877zL&#10;j5pD+zDERRvz82KIK4Wpie9NOz5MKY0ovjWrpcxW/i1q3rSVMyzB0GXhm8EsOSNeH+2SMjshnKXJ&#10;2+GgmrJR3gSYekucNaPx50C94a9k2vNEYays4Q594fu3abtAvm1rjHyUj5sbXyV5ojCQHyOlt/jl&#10;ZPuaY02SVroiQ1zNQ/W2hri1a9cOz7IYrsMiRffpXajZbLfrGKwL7XoCx7BGxFqFYaL1fA5ruEuV&#10;wa7V/VqnRG7tWbsuzcH1WpN62z72ewIRtQ9FbDgPP0+1X249CXgst/Zn/pFRKkWXvQzuR3TZL7Ag&#10;rVJZatbWtWMu1/c8p/w+jYfh/Piz5UyRKmdpLOTS7to+OUrl8uTC2zLkZMEY495YtOfBsYw+EfVY&#10;Q9wxxzwsnEMjffj3Lx+btyEZ4iRJkiRp/uUNcU96+pZvDqfoxuAhu02r1hA3iDrS97///eFdSRrc&#10;S/JeD/eDWPf0sf4AXA/zHtKufaMvp1h4b0pwj8tyQlgjpO7JQdf4BOXkutjGzZWfeWNNhLZE3lzb&#10;QFjrldbK2I9AXzAt2ze5NYd9lpnKA2mjb2yZSnVieWwc/Buf4VgKjC/U19YD/69Z8wBbn1QctgfS&#10;TsE+RHlJqq1Y1pSQn8V/3qa/U0Ttnuor7sXgeAruM+Cvh/FZD5TZ9h37O3V9YNrsJ5xfbHcI559v&#10;uwjkmxpruXHD/FEPlBHhGZ/1LfVtpGhccezwWO58TYFj/jyMFK3PRXPsM/AuhjjMxXZuftLTt/7O&#10;IM3+6csQh1fjpbAnqFXN5JiCaUYXIpzAzCN1Mtswnpr4uMgwTI38RSlXfgtOYJ7w/pvMuEAzfX8R&#10;yNWBn9fKwgs4ZCdle2Hkv3lBBCgf4+VuAiJsW+eobdMcuXbLHSM2jMfeHKJOuZsaeyObyiuitg1y&#10;dckds+TyYvzcZNykPYRYNKw7/pxzLjpqDo0McSed/oxdg/DVzLshzv/8pQ1TE9+Hgdksd9ynERnH&#10;7E+hgshsZQ0++Dc+s+QMS/6nVvEZ3tBmycXvo138W+Lwb3ze1GjmVVM2CscsqTrbMUJTljcklkxW&#10;nigM5dPm2/NsOdBe9q16NfKmOoD2rkmntq1q5InCQNFb/GBOjMKWZOFYk6SVrmtfe87Y3Au1McRd&#10;de354UN76G/v/fjoPqJkiLPrRSt81uf9NdJi2tiEymHXqSml1rglatY7teuZiNzas3ZdmqOm/B60&#10;PdsLf9G+fv1vqc3Dru39ZjI/T7VfqY15rGY92KQtmG6tLHaNjby77EcBppWrY81YtGE8tWOOYXJl&#10;AdyrwTiy5MpAUmWx14aoTRnP5wm6tk+OmrQtuT0YW/eUfP1y+3Ugd/6JNGOGuDUyxEmSJEnSStev&#10;v/ddY3MwNJyiG9OHIe573/ve8K4kxt6DWmH90Qc0eth1ND8rratYFty/22dzXimzCI+3jY97Yq5V&#10;U0rtNfA40k6ZXXA/nrqvxr0+jqficZ0EeUrrCuSZShuK6oS1Qi5Oqi6lvZZamHeqvW3/RnVOPe9P&#10;tVWurpBfx/JzjPPUWEu1UY5SX/m6ch2YO7c4pqMwjI+/dv3nhTEdrRmZNsYv+srHo6wXw1Ozlk3t&#10;yzH/VD+AUt+m5LFjJ3d+oBxRW9l9s5JS1yjRDOsRu+WWW8L5s0YryhCHwYkThoMRA7br5mPuIpO6&#10;6FpsGE9N/NzFJ5Kvb678HuaF9rNExjOSqoPdrKwR+spi49uJjn2LCcVOysRuLiKNJtgLdo4mbYoy&#10;YEwyTiTf9zXjwobx4Dzwkwbyt+1IbJ2ji3uK2jbI1aWmniCXF+OjHimatIcQi4b9/fTnPOeScB61&#10;c+9hrRxDXGQQsuagXHzE9W8Yi964VSpDZIiDeczizVYoo4Vvc7PkDEv2DXT2rVu+PikzWh/tAvm6&#10;+58FbfMWtFJ7e3n8cT9G7E+VWkMf3xyXkicKQ1lToG073z65t/il5NsHoB7oi1R/Q2hHS258leSJ&#10;wkAY57aNCdoadW9iCLTIECetFkWGuMefesaG4fScpK0hbs2aNcOzLA3WNnYDF/9uujFYAmsnpl+T&#10;NtYRKIfdkMImH9a2iM9N7Nx6IaJmvVOznsHnKItfj1h5atelAGsa1D+1WZ8rf0S0cYvyR/Wzx3Pk&#10;2in1OcnFBTyW61+GSW2+erruZQC7VwGhTZF/0z0KwDRydSy1E7BhPDVjzsYvraVT6eXKQHJl4XmJ&#10;9rR7XygPx200Hru2T46atC22fj58TT94eE3G3wjshzDN0rkqxmG7QdEcGukP/udLx+ZtqGbuBjLE&#10;SZIkSdLsFBniMDcPp+lGdDXE4adTS4Y43gNG6vrcK/WM1a7Vc+sahuH9Oe5xGR73v3ZtHN0/d43P&#10;tkF8tAWfeyINe7+Nf3t4zIZhfLvmwPrbg3A8jr8sGz63+VIehOcxXy+fdmotZPdQ8G+mhzaxxxCf&#10;7Yi4rCNhelg/sO0RBnlFdU+B+MzDg3RZPiharyM/Hmc5QK6tQM1+DmAaVJP+zsExiDb27Y4y+TJz&#10;fOTKm6sT47O8yJdjxI+/KD7TZnw7XtDu9nqDtDy2n5BWaqxBkUmM+ds0EA/y+TEs/qaw9fXYsQOh&#10;zig/8G0VrZ+ZP+KxjYEdL1Ebifbs2LFj1Cd9GuLWb9z2qUGa/dPFEGffgJMzxE2C3MlVuugCG8ZT&#10;E99eaNpQc3EgOHmZF09kXAD4GS8KllQd7GTb9uTnpj7aADAvXFSAnTBZXk6wuMA2JXeRtNS2qb1B&#10;zMn3fapNLTZMCvQXy0qxLUltnT21bZCrS009QS4vxq8ZYzXtIcSigZ8R53jetu38cB61c+9hrQxD&#10;HIxN9o1bwJt8IvNQCphs/FvQojS8QSsyxOFzWzZvtvLGKBqDLCnDkn/7mC2zTzf1Nq4+2gXyhidv&#10;fsoZtFIqtbeXHwP+uH2bnjdSeeNfqp6QJwoDebOj7QOkb+GbAZsIafh2tqTeGOcNcSlKxkDIE4Wh&#10;orfEEdTDm0VTsn1VG0eSFl3Xv/7ZY3MvVPNQ/aTTN95l4+QMcX/zld8b3UfUGOImDdae3EAqrTNq&#10;Yf3sRlUNuTUIya1nUBe/9kjJU7NGw3o7ZYKzatOOKHv0jXi/ccnPSyabXDulPie5uIDHcuvBmjCW&#10;PvYyAPYrsCfAMQ3h36m6pqgpS6mdgA3jqRlzNn60N2RJpZcrA8mVJfdtdwj7QBi/nq7tk6MmbUtu&#10;j6+mHyz+IVJJ3EsTdWBeZNt9/gsvC+dRr74NcXg4Hz20lyRJkiSpX8GE7ufhWRrivvvd7w7vSGIY&#10;NlJu3VBD6hmrXSfl3nzEMFC0brDpRGvJLvHtMfw7gvfc0b0x40JR3vZ+3Rq0gD0WrQvwmV0benLr&#10;CvusOaoXyoL+smXiuiP1DNTuv9j+tOWI1lZNsJ4DXye0L49BkemMdfBjMddWoGY/BzANqGl/52Cc&#10;2n0o5pMrb65OtpypNbFdh/q6MG0oOieRHveHfD/ZcZQqfy4+sPmn0iAMmwtn28Njxw7KHZ1PzCOq&#10;K+NG44X7FdG1RbTHGuJuv/32cP6s0RW794zN8RvOPOvTgzT7R4a4ZhMcyZ24NdRcHCy8KPGix0kp&#10;dQLn6sDPUYc22EkeFxr+316QcXG3n0UTeC21bV3TprZdEM5PfLl2yx0jNkwJTG52srP9YW86UnlF&#10;1I6rXF1yxyy5vBi/yRjLtYcQi8b+/ftHY/mMM7aF8+iTz3jW2ER/4mkbrx2Er2aeDHE5YK6BWahp&#10;fMTL/exkyaCVMsR5c5otmzVx2beoWZAvP7eybx/z5iX/NjT7djKrPtqF8vUntl5NVGpvLx/eH0cb&#10;EV8mb9ayb9vz8kRhIJ+mNwXa8oBS+0bCWPJGQEt0LtQa4oCNF8kThbGCiRNlSoG6tGkHSVrpWo2G&#10;OGt2aWpgi7Cbr1hPNqFmvZNbz9i1JdaqfpMtt/bMHSMsH9a/CJ/a0MyVvwbUi2tuyNaTn5fysP3q&#10;yxmla8m1MeCx3JqOexxN2qIm3SZg3c29CvxtMh5rylJqJ2DDeGrGnN38LbUL19t+AzlXBpIqC8YO&#10;2g7CmLLjEv9GvFS7dm2fHDVpE9SBYdFGnpp+sNhzq1Z9XFtXC20McZ/9s5ePzduHtXHbII0iMsRJ&#10;kiRJ0uw0a0PcPffcM7rvgCHuO9/5zvCOJMY+3/KKjBq14H6a65boGSvvwSNTC2E58Dw3BderUTpd&#10;4vMZcm7tZ+/f/Tqdn6fyzt37s23wNwXLB3lyaXNNG60hIuzazadlYTvadNEmjBuNgSbYcvg25Ri2&#10;Y9nvF6TGYq6tAOuVGweAabTp7xwsd21/cR2YK2+uTnYdWbMm9tcIpp0buzYP20/WY5Bba+a8CMwf&#10;4zxVfpJrB5JbV9t2SJU3Fb80Huxx0R/btm0btWvPhrgvDtLsn74Mcfj3NMmdXKXBD3InQE382otJ&#10;ipqLg4UTMi7YgJNR5AoGuTpwks5dRHPYiRd15w2FvVjzwoTy2vB+4qwhd5G01LSpb0dPrt1yx4gN&#10;Uwvbz5a77c1N7biqrWdqbOdumACPoe+aErWHEIuGNcStX//UcB5dDYY4mIy8AahJ/Jx5q2TQShni&#10;vDmNeaCcFvsTnhbky8+trLEoMnB5o1T0lrY+2oWCkSkyO7V5OxxUam8vX197LNfWEMpuyb0dzROF&#10;geybzCJDon1jHWjzs6kU4qb6En1i+6DWEJdrA8oThfFCW8Mk6g2BJGorSVrtetObzx2bew+r/FC9&#10;iSHu69/8w9F9xDwY4rh+9JvabeGapXYT0oL1L9smBdYwDOPXOlxrpPLOrT1L61K7Rkqt4WrXazXY&#10;/Oy6i3sFqTUvYbioX6N0Lbk2BqX4oLaclq57GRGluqRgnFwd7do6lbYN4ymNOYI2RJjSOcVwfh+p&#10;ppzcS4EsGOv4rM2Y7to+OWrSJhyLkH8IAWr7gZSuM8Sew6Ww4gjr1q0btdunPn1ZOI96yRAnSZIk&#10;SYup3//Eh8bmYOgJp56xdjhNN6KrIe7YY49deuCBB4Z3JDH2HtSq6/rFPo+OjCm8J4e8mYzweG79&#10;krvv7RKf6+Ba+ft3fp7Lu0vcXL1T64rUejxHanyk5NdYXGdAyLPN83bCNZDfD+CaEeOI/7b7G3b9&#10;7PNPtRWp3Q9hGm36O4dd06L+qXOFcFzkypurU25cWRjG17emvVJtXpt3zotQkz+pCZsrU2nsABvG&#10;gnHIzyNPA/NtsvckylhDHNo9mkNrdM1rbxyb46dmiHveC18ePrj3WsmGOHsBiE4eYCe7mouBp+bi&#10;YLFlqjHj5drAXvRT7VOCG9GsB2QnP1tehmn7AMXezEU3e6SmTVOTPLF5+bbJtSmxYWpJlZttjL9R&#10;vdHGvh41bQBydbHHMEEgH4+duKK24I1SZJYrUVsHIeaZAwcOjM6RU099ejiPekPcE5+29b8Owlcz&#10;r4Y4GH5gPoIpKPV2qZS5Cn+9kSr1M4wlg1bKEAfZPFBefJb7CU8L8rXHoNzPpVL+zXRRvfpoFytv&#10;8mr7djio1N5eFt+eubam/M+mpvLzRGG8wS76yVpv0ov6uamQpm83YA2TqJelS76eKExOGMeRMc4b&#10;FiVptSsyxA3W1DuG03OSRTXE2bWn3xxrg00vWkeUKJUHaxeuRaI8eCz1xTKuFyFPaV3q1+wexOEa&#10;r6+1DvOzG6c1fWbLauOSXDmx7rcb8VE/5tImNeVEP9ljfexleJBOmzRr1rw1adswHrvuzmGNotH6&#10;Hdjx68tiN5CjPkN4e15ZmC6Op+qYwtY9FdeGaUJN2jgnbdulzsvafgCl64DHXnNy+13iCNYQ97sf&#10;vSicR73+4su/ODZvQzVzN/FxZYiTJEmSpOlo1oa4u+++e3TfUWOIA7j35HoJ98i43+x6n8d7RvyN&#10;QPosZ2qty+O5NVruvrdLfK4va4Q280YrHsvlzTD+3r8mbq7eqXWF/Tz1nN5j18A18mtN9LNdi0NY&#10;w9SsOzy2LGxvrmXQB4BrJbtO4prcP5sGqbYiSMenF8E02vR3Cbv+g1APrGmjc5TjIlfeXJ1y48rC&#10;ML6+Ne2VanPGjfrJw/ht8ic1YXPtURo7wIbxMH+MXXs+YpzjMxxLXRtFOzZs2DDqjy6GuBv2vnVs&#10;jn/KprP+YZBm//iN+VpDHISfSR0ksayVZIgDPIbJBRdCyE8qdjMW5bAnGcLj/zjBOHlYcuVPwZsG&#10;+zdFrg0wufECgL+4CNkbDEx6mAA4EUT4SQPt5GEeVG6jOIetCy9YKK+/yahpU7sJjHpzkkOd7UYk&#10;5Nst16bEhrEgL5QLY4h54q8tj29rewxxubGNeEiP7WupaQOQq4s9BiEfjn1f5lQ+LAfistzoL46z&#10;Nu0hxCJhDXGPf/zJ4Rx6+pbnjk30i2yIK5mjvHLxvTEJhqnIWFcqQ84Q581pMPwgH+KNY5bIsOTN&#10;WzVEb/zqo12sfBvUmOhSatLn3iDo28y2dS0pM58nCuP7u5a2b9Pz8sZE2x5oR0s0vmrlicKUhDHl&#10;+7rLuJGklai3/PL2sbkXmqQhDpol9r6e9+05cL+PNRvu/W14rDHsegvrgbZwPezXKfg310iUX+uw&#10;DDYuQHn9xrLHrpNS61Lmj7SYd1S20nrNgrBsU8J2ZnpccxFbF7Q112G+LGjLqF/tXgfyYZiaNgY8&#10;lutnpGn7Eus/5oM0OfZsGqgH88dfWzeQ28tAeNTLthX+zbbC8SbYcyNa8wI7ZqJ2AjaMB/VLHbP4&#10;dkE/sS1xzKaTeohmxwzbDmnYuJTF5u2FfuD4jerftX1y2HioD/5PoZ8wFmy5UX+2mae2H4A9d1Lp&#10;WVAWhrfXJJHGbrzLECdJkiRJK1uRIe7EUzetG07RjfCGuOddtDN8OG9lDXHHH398lSGub3C/zTLU&#10;CPe4ETyOe9sUufveLvF5391kHWypyZthcL9vqYmbq7ddV9i0U5/nwLqkaZwIrBu4HqVS67wUdlxx&#10;/cd2YFrIh2G4tuEaPnreX2oTlrk0DphGm/6uAXHsfgqE9SDaxML2yJU3V6fcuLIwjK9vTXul2pxx&#10;0V8lGL9N/qQmbK49UvWw2DAee25Fyq33RTvsuvzOO+8M59AaeUPchs1n/+Mgzf6RIS6+ENlNLCuP&#10;v2hGii44NRcHjz+howmHlNoAG7apTUur1Iac3bSDorL4trEbz02xm7OUb7uaNsUFL0qLssd8u5Xa&#10;FNgwFnuhj4R8I0rjy/dP7bjK1cUey+WPce1vEIgfHxTzatseQiwKd911lxnPTwzn0Gec9YLxiX7T&#10;Ob81CF9NZIi7/MpnhQ/v+1YTc1SkUnyYnyyRIaeURs4Q53821Ru0fFoWb1jybx9rAkxuNq0+2sXK&#10;t0EXY1OTPvcGQftGNm+WqwV9ZPOgPFEY/3a9WqI3ybWRHyN2DKEdLX58NZEnClMj30ddxo0krURF&#10;hriTTn/GruH0nGQRDXF2XZBbe1psnJT8JltTcmtZfG7XIn6tU1oH2/VgRLSWtGsvu2EcifFL6zUL&#10;13gpRX2DekZltcJ6LrVGz62b0X62nr6NAY+V+rqmP/ymZSkO5dfKURgrjJsmlNa8wJ4PUTsBG8aT&#10;2zD2oDyldsFYSm0C59oVY8XuR3lK63vKj9Wu7ZPDxisJD3xym+NN+oFt2OSBFONgvIsyduP9ffsv&#10;DOdRr8gQVzN3Ex9XhjhJkiRJmo7++E8+PjYHQ6vNEFcyekSK1jY8lluj5e57u8TnmrbJOthSkzfD&#10;+HVFTdxcvVNrFmsoy6VtSaXVFpQB646m5SBc83Mdwv9zLY01EtPGZ1gz8v/RXkKpfrXjgGm06e8m&#10;oH627325eCxX3lydbNo5GMbXN5c2SbU51t78PIftU7+HUpM/qQmba4/S2AE2jAXnAdbUEK6XHMcQ&#10;/o18c+t90Q775vY+DXFPPuOZ3xqk2T+LaojjRT7aZCpdlAHD4ARJgZMEG38Ml9rQwkmIY9zEghAP&#10;Jz5OvuhEy5U/BU9qlidlRgI1bcCLvb04QCg3jFCpiw5h20BRWHtx4oTaFpQVZWL9kbefHGrblPW2&#10;5Uf5eLFnHr7datqUYZCGBXliLHBSoDhGcqBcNh7STvVPbRvk6mL7Df/GcaYLse2jcW3BTbcdW6gD&#10;x2yX9hBiETh48OBoXP/H//iT4RwqQ9wRfHz/NrSmb1ODcoY4KGWSivKyeMMSfhq2LfanM6E+2sVq&#10;FoY43x7+TXbe1NeE6Kc7Pf64Nz82AWPEpxcJxjm0T+qNfWgrCwyDqWN+fDWRJwoDIX8/9qz8uOnL&#10;GChJK0l+/p2EIQ4/lTqItqxZwQ200trTE93nY12A9JqkkwPp2PUh10hMn2u9aN3m40JY73Dtw/Qi&#10;atalSMeun2zZ0DbMrxbEQ9vZtRXSRBo5E1dpzVVaz/m62noAfh61MY/VrO3YH359nisjPm+6l4HP&#10;fD74Nz6L6lBDbs0LOJ6gVB65McfxEh2LyI0Vv7kdgbLYscvxjfZOlRNtwPA+D8RDu9sxaNuBafrP&#10;Lal8S6AtEIfpW+FzlKn2mlTbD7Y+uXPTw2stJMps27Zt1F61hjjIzsGHJUOcJEmSJM27IkPc4089&#10;Y8Nwim7ESadt3GfTqTHE4SH/IOqyYIi7//77h3ck04P39qU1JO69WdYoLI/h3jMF88JfT5f4WHMx&#10;fmqNl4Nx/drbwjB+Lcj1H+7/U+Tux5FeKm2uN0p9Q7D2YFq5dmwK2z1XxwiucyBbNrtG4loOdWR4&#10;tGlErq0A0yqVk2m06e82pPof+UefW3Jtb+Onxr1dT/s1JNsrOh+JLbvNw/Ztaq0N/Biw1PYXqAmb&#10;a8/S2AE2jIV1qCmn6A9riIN5PJpDa/TWt71jbI5/8jO23j9Is3/6MsTt2rVr2ARCiEWmZuIRQuSx&#10;hrhHPerR4Rx6tCHu3E8Owlezkg1xkDeseTNUKY2SIS5lZIuMQhZvWPJvQ7PHvEqGtj7axWpahjgY&#10;wVCO6KdjfZ72bXy+Lb38T51GP5vq8cd9GlGbWvm3Bdb8bCrbGXHxb/Qzj6Fd0M8WjD0eR3kspTbJ&#10;yROFgdiXKBfKwjqiH9FeTdrA9nmX8SVJiyY//566cePu4fScxK+7L3vF88IH9tC/fONjc2GIE0KI&#10;EnwAkHugYx/OaY9BdGXHjh2j8bTv13aE82gkOwdDP7vlzOLcTXxcGeIkSZIkaTr687/447E5GJqV&#10;IW79+vVTN8TZL1zUfMHFfrnFG3D4eSot+1wwMiJ1iW9NP1HaJWriMoxfb1gzXmQMQl14HPLYejVN&#10;G32A9ZI9xvUTzHQpk1RTmhiXLNYExzS82Y1mI5SXZUe9I3JtBTg+cwYvwDTa9HcbkA/Ts9ixEeVj&#10;zWRR29t0Ueeov9nu0XjgMShqc4SnKdPnb/s2ZdhE/JxhlPlHxzw1fZtqZ1AaO8CGsdgx2sd4EHXI&#10;ECeEWGhqJh4hRJ5Dhw6NzqOUIW7LuZeMTfSnb37u/xyEb4SND60kQ5w3rHmjUCkNmpSIP+5/xpJY&#10;MxNlseXwbx+zb/5KyZujbLn6aBcr3wZdDEu+bDV4A5sve+nNY759/dvmII89Btn2Rnx/3Kvpz9JC&#10;vp1z+P5CH9dSKr8nCgM16ctS/S017StJK0Xrn3Hm2Pz75DM23jCcmpPIECeEWInwOpV7WKE9BtEn&#10;1hB381vSb1v1Om3LlrG5+xlnb3nzII0qbDxIhjhJkiRJmo7u+Zu7x+bgw9q4bThFN6KNIc4auWCI&#10;+9a3vjW8I5kOqbc/pbDl9aY1fk7h/p1pIh6NNZExB3SNTzMVBHOPNYnBvIPywngTmXdsnikYxq83&#10;rDEIZeBxfG4NOpQnt5axhkUYi9AOBPWh2cjGs32E4whn2wth0e9oR9tGKCvax4bHX2vKwr+bwjJS&#10;/otOto6Uracl11bAtjfHJ9L3YRmmTX+nQDjUFW2Evid27Pqxh/ZlPgjDvBCfBjAqMo358eXHnzVU&#10;RnWlIY1Cniw72s2eU1E72OsH4trxhHrb+PYYYf5R3Tw1fWvDeBCOx6K6ABvGgjZhH3qhz1F+tHUq&#10;XdGOtWvXjtq5T0McNEizf7oY4t7whjeOKjvtn0wVQkyGmolHCJHHGuIe/vBjwjnUG+Ke+sznfWYQ&#10;vhE2PrSSDHEwPuXeVFVKw5uUojz8G81SP5FpsYYm//Yx++avlPAGOos1jfXRLla+DWrMXSn5suVA&#10;+SKzm2/v3JvHKP9GPN/GHnsM5kZL9IY5L7zRzeLf4hcJfeLLGYH6e0Mf+rgJNq6XJwoDoV38GIqo&#10;GS8WGeKk1SRviHvqM8+8dTg1J5EhTgixEuEmOjagsfFtHy7g3/iMm9PYjBaiK/hCNufHLoa4bc/b&#10;Vpy7iY0HyRAnSZIkSdPRPBniNm/ePHVDXMqok4NxcJ9uYT2QVso8gs9TZieGaRsf5iJrwEkpehMW&#10;j7U1SGFNwuNeKJM1lXlKz0tzaUNRfUpxKLu28uYqL9/ftVjTFBT1nzXNoY9TlNoqZVzy/Zr63MIw&#10;UT4RtmyRUC7b3iTXVzBasf0i05jtM2t+80oZzvA5jqNvc+dOqp1wzuF8jeJQqDfqGMH8U+Wz1PSt&#10;bQ9PaewAG8Zj087JGz5Fe/oyxL3z13/DzO+HNUizf2SIE0JYaiYeIUQea4g75pjYEHfO+ZePTfKn&#10;nfmcLw7CN8LGh6ZliLOmLhiGaoxNVjY+TDSp+N48BiNPdCxKwxqbcNzGtWGsMShlaLNvGUO+/Nwa&#10;zhDGm50ioRw2T/tWuT7axaq2fjXy5j8PDGGoC/JItYM11dl654T0LN5oZ/vGmhUhazZDO0QGw0g2&#10;TcSLwkRCWVEv2+ZIC0a8VN5oK5tfjlJZcm3hhXzRlt7oiH7E+Ko9p1Ff0sVwKUmLJm+IO33L5ncP&#10;p+YkJ5628YCNUzLEDaKMJIQQ8wq+9R1tfHvhIUr0rXMhmmINca953fZwHo3kDXGbt28rzt3ExoNu&#10;e8dt4UN7SZIkSZL61aFDfzk2B0Mnnr5px3CKbkQfhrhvfvObwzuSyYN7Z+adMplFWIOThZ/BOAKj&#10;DAw6vI/HX/w/MgSRrvEJzDc02lAw+8C4kzLmMJ/cG9AYJrXmwLNOaw7C+oR1QbnxGdLw2H4opc0y&#10;QLn6AOSJNvNmM7QN+tC3JcqJ+vu2w//bvBmOoE4sN/4iH481G+UMRTVthc9tP6Dv/fhmebr0dwT6&#10;w/cT8kedonoTlM8a0vBv9i3NlEjXY9sN5NKJYF/jL0B6drwgz5pn+Ll6585Z9lNUt4hS37KtUA5P&#10;7diJ4iMPxvXtiX5FG9nzpsmYEWmsIe6ee+4J59Aa/eYHfntsjodOOHXrmkG6/SJDnBDCUjPxCCHK&#10;8DyCojl0kQ1xkiRJkrSadfqWzWPz79O3bfnN4dScRIY4IcRKBZvo2Ez3D2ewUY3PsCmde8AgRBOw&#10;/8wx1sQQd+b2bWNz91nnn12cu4mNB8kQJ0mSJEnTUWSIe8Y5z905nKIb0cYQd/vtt4/uO84777yp&#10;GuL6hvWAqaYNXeMLsdrwhrimeEOciKHJMGfWxH4E+0IvAuqHhTfE4QF99OA+kgxxQgghRIz9qbNo&#10;DoUB3c6/G848995B2EbY+JAMcZIkSZI0eR1liNt65seGU3OSJoa4Q1878u1GSAghhBCHsYa4V1x1&#10;VjiPRtp+4dljc/dZ520rzt3ExoNkiJMkSZKk6SgyxG173gXXDafoRrQxxN1yyy2j+w4Y4r7xjW8M&#10;70gWD9ZDhjghpoMMcdOh5toEExzDyRDXD/b5dxdD3Ic/8rGxOR6aO0Pc7t2vHFVWhjghhBDiCPaG&#10;4KabPnDUHOoNcadt3v73g7CNsPEhGeIkSZIkafLaePb4z65tPOvMTw6n5iRtDXG4nxBCCCHEYfbu&#10;3TuaI6/6xXPDeTSSN8Sdu+Os4txNTjp94yEbV4Y4SZIkSZqe7BwMnXfRJW8YTtGNkCHucD1kiBNi&#10;OsgQNx34hji8oR5vp7c/A4t/4zP+XCx+clb0wyQNcU849Yy1g3T7RYY4IYQQon9KhrgXXHLN2CS/&#10;fuPZXx+EbYSND8kQJ0mSJEmTlzfEPX3b5j8dTs1Jmhji/ulf7hjdQ8gQJ4QQQhyhL0PcWc8/qzh3&#10;ExniJEmSJGl2snMwNCtD3M6dO2WI6xBfiNWGDHHT4XOf+9zI8JYTzHAIK/rBPv+O5s9aRYa4E0/d&#10;tG6Qbr/IECeEEEL0j/0N9RpD3FM2nvPNQdhG2PiQDHGSJEmSNHltfY4McUIIIcQssIa4S3duDefR&#10;SC988bljc/ezd5z954M0qpAhTpIkSZJmp5995jljc/j5l1z6zuEU3QhviNvynBeED+etbrjhhtF9&#10;x6Ib4mgYufXWW4efNKNrfCFWGzhXcM7g3GnD9u3bl+Pjr8iDN8FdffXVIxMhhbbHZ3hL3H333TcM&#10;LfqgL0PcH/zhp8bmeGgihji/Md/EEPfyl+8eVVaGOCGEEOII1hB33XXvPmoO9Ya4U572zO8MwjbC&#10;xodkiJMkSZKkycsb4p7xrC3Fh+oyxAkhhBDd2bdv32iOlCFOkiRJkla+vCHuol+4/DeGU3QjVrsh&#10;TgghhOiLVWuIwzf0hBBCCHGYdevWjebIyBB38YtfMzbJn/L0rQ8OwjbCxodedLkMcZIkSZI0aXlD&#10;3NO2nnnPcGpO0sQQ9+W/etvoHkKGOCGEEOII1hD3vPOeGs6jkTDv2nl42/nbinM3kSFOkiRJkmYn&#10;b4h74Ysv/73hFN2Iroa43bt3yxAnhBBCDOjLEPfZz/3p2BwPbXveCzcP0u0XGeKEEEKI/rGGuN27&#10;bztqDvWGOGgQthE+vgxxkiRJkjR5PfuCrWPz79O3bb53ODUnkSFOCCGE6M7+/ftHc+R5558RzqOR&#10;vCFu8/at/zhIowoZ4iRJkiRpdtr63AvG5vCf3/XSjw+n6EaceNqmvTadGkMcTHCDqMuSIU4IIYQ4&#10;zKoyxL30pVeNKitDnBBCCHEEa4jbs+ftR82hl11x49gkDw3CNsLHlyFOkiRJkiav839u3BD31Gee&#10;+c/DqTmJDHFCCCFEd9oa4q669vyxuXvLc7cV524iQ5wkSZIkzU7nXfyisTn85y67/K7hFN2IroY4&#10;vC3u61//+vCORAghhFi99GWI++KXvjw2x0OXvXz3FYN0+0WGOCGEEKJ/NmzYMJojaw1xJ5y6dc0g&#10;fDV+Y16GOEmSJEmavPowxL3wxeeGD+yhLx78L6N7iLVr1w7vLIQQQghhDXGbtzwpnEcjeUPc08/a&#10;ev8gjSpkiJMkSZKk2WmWhridO3eO7jtuueUWGeKEEEKIAavKEHfRRZeOKitDnBBCCHGEkiHuilfc&#10;PDbJQzLESdL86M03nzXS9TdsWdY1rzpjpJddefrExDyYL2XLFJVZkqTp6MJLnzU2fz/lzDOLD9Vl&#10;iBNCCCG6M26Ie0o4j0a67g07xubuM87e+sAgjSpkiJMkSZKk2ckb4l7w8zu/NJyiG9HGEHfeeeeN&#10;7jtkiBNCCCEO05ch7iv3fnVsjod2Xrn7hkG6/dLFEHfhhT8/qqwMcUIIIcQRrCFu9+63HDWHrgRD&#10;XMkstHPnk0fa8cInLOvc7T890pYtj1t66lMfuyz8m8IxhoeYRs4sJIPQ6pEddxwLdpxxfHFsnXLK&#10;v19a99OPWnrsY39wWY9+9CNGeuQjf2BZD3nIvxppcGotpFh+1gn1Y51RfwhtAdlzzp5v/lzj+RX1&#10;gyStZnlD3IYzzyw+VJchTgghhOjOgQMHRnNkF0PcqWdu/t4gjSpkiJMkSZKk2ennd10xNoe/cOdl&#10;fz2cohshQ5wQQgjRD5M0xL38muv+yyDdfunLELdv375hEwghhBCiZIi76pW3jk3y0NnPufT4Qfhq&#10;JmmIg+EIhhgajGgsoqFons1DNAR5I5A1AdH8I+PPbERTmzVPRmON482a1qI+l6YjGu5otrMmO2+w&#10;47lF8yr6OxoLkrSI8oa4J52xqfhQ/cTTNu23cXKGuE9/9tWj806GOCGEEOIIbQ1xN/3yhWNz94bN&#10;m78/SKMKGeIkSZIkaXbyhriLfuElXxlO0Y3oaoi7/fbbZYgTU+PSSw//Qt+tt946/EQIIeaHSRri&#10;Xnb1ntsH6fZLF0Pcs561fVRZGeKEEEKII2zbtm00R86rIc6a3mBksWa3QfKrWtb4E5nqaPqhqW41&#10;m35QZ9TdmtvQPpGRksa2qM3nRbiZp2BEodatW7csmF1TwnnfVj4t5gfZckAsX1T+RRDGAURTXcq0&#10;ao11Mq1K01RprGG+tfPvk8/YVHyo3tYQh2uAEEIIIQ5jDXHrn/L4cB6N1Kch7o1veXP4wF6SJEmS&#10;pP515S/90tgc/ryf+/l/GE7RjWhjiNu8efPovkOGuPnmPe95z9IZZ5yxbCTri8997nOj/se/p8WX&#10;v/zlUb74t+Xqq69erue8GOUe8YhHLJdzNRv35r0NJjmOZ3WOiCPMqg/ss6l77rknnENrZedm6Bev&#10;fe3+Qbr90pchbv/+/cMmEEIIIQQMLpwjaw1xOy555fZB+Gq6GOLwsB+GlEEyrWUNQ9a8441BO3bs&#10;WNauXbtG2rNnz/LPrVvhMwphGA9iWt4sZE1CURlnqX/7bx86MtV54483/9BgZ0121mgHwXjWh9D/&#10;9v9IG/lYQxvf2AbR2Aah/LM2t3Hc+fFmx5gdX/jSBh6cQXfddddIBw8eXNahQ4dGWnRYD9YN9US9&#10;cZ9OoT0ge87Z882fZ2jreTTf0bTKc4vnlQx1i6d3/tqFvShKOydc/3Ddw/UOYwbjyJrC8Tc1ZiZt&#10;iPvogZeOxjrOQyGEEEIcpi9DHDRIo4pZGOI++5mPLT3iEceM6ur1+MefsPSin9+x9ImP/1YYH5/n&#10;4kNPf/ppS//1v75+6e+++udhGr/93399LDz+78OgHDYMdO65W5NpWiEMyuDj7/7Fl4ThrXzZauN1&#10;aRe0tw336+++dey4lQ+L/ozCWZXKhmMo2/XXX7P0f/7P/wrTSAlt49OL+rPUNinVjA2k3bTckdBO&#10;aN/H/Icje0BsG/RblAfGpC1LTozfV1u0Ka8kSePyhrjzL7n00OBcakxXQ9wHP/hBGeLmGJjE2Fef&#10;/OQnh592A+n0nWYNfDvc9u3bh58cgeWB5gGW5cYbbxx+svqY9zaY5Die1TkijjCrPpikIe7yq37p&#10;dwfp9ksXQ9xppx2ZYGSIE0IIIY4AUwnnyMgQd821+8YmeWiahjgYRQZJJIUbGhhiaDKyxiKYbObZ&#10;PERDkDUD0QTkDUCLYPxZibKmNpodaWbzY43mtZVgWFsJ0GxnjXbWYMdzyxrr0NdQNBZmJRrqrGHV&#10;m+r8myBnbayz5q/3/MYvLOuO91810m//znXL+h//46aRPv6JW0b6o0/92kif+cz7lvVnf/ahMX3h&#10;Cx8f6eBffXqkr3zl8yPdd99fHaWvfe3vR3rggW+GmiY0h+L6gTF60003Lv3CL1y29JSnrF86/vjH&#10;LR1zTN0DLoyBqC8uv3LcEAcNwmdpa4jDOSSEEEKIw2Bu5xzZxBB3y76Lx+Zt6ODBPWsG6RSZhSEO&#10;pqdB1lWCscabt5rEhzknMmz5NPB/exxGH3vcCgYgGzZSZNKiovBWkREP9SgZ8bq0Cwxw/rhNm4LB&#10;qSacV5OyQU2Mh1F8jBsfNgpXIz82IsNiFK6pcmOGQrv4eFG4lDCum8axsnVsW15Jksb16utfNzZ/&#10;n/uCC781OH8a08YQt379+tH5KkPc0eCNWGgbvCFr1uDNaSjLYx7zmKX77rtv+Gk3ZmU04RvHMOY8&#10;P/MzP7N8LDLLzQK2z0o0xNWO73lvg0mO41mdI+IIs+qDPg1xp285Z2yef9krr/34IN1+kSFuZYLX&#10;IsIRj0nRv1JViK7M22t5hZhHrCHuyitff9QcGhniLn7xay8ahK+mL0McTEkwsiyC2W2alEx1fKPW&#10;PJt+pqEm5jYZ2wTAGMidX7t3v3zpRS+6cHAfu23p6U/fsHTyyY9f+omf+H+WfvRHf3jpYQ/r9mbL&#10;vvXQhz5k6d/9u3+79CM/8oNLj33s2qUTTzx+6fTTn7isrVuftnTWWc9YuuyyHct6ya6Ll6551UsH&#10;58Xrlt7xjv+y9L73vXPpt37rN5b18Y9/aOmzn71zsID84mAhOG4qW83Q2MbxAmG8QLi+8FpDAyau&#10;Q30am5sY4vbt25p9qN7EEPe+/ReOyiBDnFhE9LMZYtbgIRj2w7BvsSgb8/q5oTpwL8DriwxxR+RN&#10;NU3jR2Yyn4Y3M+UMcTUmMISJ4kJReMobzqxyb22DuraLN+JF+fm3w/l2S6lp2SCUp2SK80Y+K/92&#10;slyf5OTfiubbgMJb0my4Jqptn65Gv77eENelvJIkjcsb4ra/8KIHBudPY7oa4u68886lb3zjG8M7&#10;EgFgAGL7rERmYTTBT78uUpuyrCvREFc7vue9DSY5jmdxjohxZtUH9jlo34a43a/+z58apNsvfRni&#10;8DBrmmBjC/nOiwt63rAX6pU4EYnZwrEFCSFi2hjiLnzRnl8ahK+miyEObzwaJLEsmLpE/3gTB40/&#10;NP/wjVpU9GYtvrkuJ5g/2grxkQeE/Ghoo9kvZWyDaFQRYhbY8ys6r/z5xHMJ457XvkUQz1PKnq/2&#10;nLXnLc9de32B0DY8l5uKbVySjcP8KJaD1xX2D/uI/TStvkL6yAv5o1woP8YTysUwMI9Hc+hqM8TB&#10;WMKf7IBqv3CFjRis12nygPBtZqxP+/rGtphPtCkqZo0dgzDFLQIsr/bw8mCuZlt1NcS98zcvPX6Q&#10;TpF5MMRZUxUMO5HhyL7NLBcfBiqYpLzhBz/fyDClNCBviPNmsehnNCn/BjEfN4pD2XL5eKW3bXVt&#10;F19nb/BCGrnjOdW0d9TvaAMbzguGKxvWxvV9HsnGh/gGtZTQBrYNfZ41Px8bKdcvOCfQdyhrzRvi&#10;/PFaNWmLLuWVJGlc3hD33J+75LuD86oxbQxxxx9//Og8liHuaOxz6JXILNa1uZ9LnUfYPitxDVM7&#10;vue9DSY5jmdxjohxZtUH2Ltnvn0b4q553Y13DdLtF2+I23LuJUc9tE/p8Y8/eVRZbEhME/4e+CQ2&#10;tlbCt5nxKlWUHw8fdBESfTNvr+UVYh6xD9QjQ9xrXveesUke+vnLXnPDIHw1fRniYAYQQojVBA11&#10;UM6sSoOZNWxNw6wldRONhDS80dhLU2/OzIuwTKeJIe6aV5+9fhAnSVtD3KznaKwrraENqllf8qcl&#10;UsLPmKzUN4fp7WiT25BbLW07Tz89tKjAuLtob1zj2JYhLo81xB1//GPDeTTSu9576di8Df32h3dl&#10;525y4umbDtp4szbEUd6cY8PUxPdvDvNhSml4cxiOWxNQ7mdTYQJiOPzb1yWKQ8FkxnAwGdm0oNwb&#10;00p1gkrt4stqjX8+faRl4+ZUUzYIhjJvtkrlA+OVDefjlsx0UBMTGGTbD3khTxsfPyMaxcvJjzWU&#10;KQqXko0LRWFqVNsWXcsrSdK4vCFuy/bzvzc4txrT1RB39913yxDnkCGuf7iGWZQ1AdtnJa5hasf3&#10;vLfBJMfxLM4RMc6s+mCShrir9rzuS4N0+6WLIe7Hf/w/jSq7kgxxOoGFEEJ0pY0hbudLbnjrIHw1&#10;MsQJIcTssW+r8+Y6b7Djm9EgXHu90U5mu3GhLfgmN5rbILQfTW5oYxrd0A9d31xZY4i78uqzx+Zv&#10;qE9D3Nv3nXOkDIO6zgKYSbjm9iqtkfnlLAhfoOEb5fBWOGuUw5dsViLaT5hcG6yWtl3pD5ZEDPt8&#10;JT5M6pM+DXEf+YOXbh6kU2ReDXG5MDXxI0ObPV5KI4rv32AWmdP8W9RgoPJGIx+H8uYqvmnLfpYz&#10;oZXqBJXaJWV28m9Ga/rzoDVlo2AEtGFTxjYbjuXxfYQ29PGsak1glDUo0hRpTYxN2wXybV5j5LOy&#10;caEoTI3aGuKaltfKtmduTEjSShbmXTsPb33uBTgnGtPGEHfssceOzsFZGeK4hubLKbAOwr9ZLqyr&#10;8TObBOtu3E/iS2g4DoMV3jqWe0s74iNNvgiDwp5A9OUSm3+k6Lk9y2XzQNmQVmptxy9E8YtC2Gtg&#10;vfAX/ye5LxVhT+Lqq69eLhcNZ0wDbZP6slVp/Yl0EZ9lgpCH7Y8m2C+ApdqEbY+/Hh5jn6Ectr3x&#10;b9tmKTgeGI/txL0dC8O0WcP4/mV7so+QL9K1Y9fXCeWs+bIc4vk9rlRf2bpH8uObn7MN7PkH1ZYR&#10;fYOwdoyirhi7Udtb/Hlv8y2NY4JxE7URPk9dPyaZNkEY2+eRUFfAvkP4HBhnNl4JlJF1sG2MvkIa&#10;ufOK/Ym+yPVTjj76t2+sIQ7zYzSH1grzsZ2f584Q92M/9hOjyuLhwzThiYO/fTOrwSOEEGLlMO+G&#10;uJddefqofDLECSHEfAJzl32bHY13NN9ZA5414dGIZ814NOR50aDXl3z6Nn+WiWVEmVkP1oumtq7G&#10;tragDpwfmxjirrtxe/ahehND3Jtu3nKkDIPyzAK7AYkNQmy8sEylNTI3aFJrdZtWzWbsoqH9hMm1&#10;wWppW3uOiNUD+xz9L9LIEHdEeNNWKkxNfB/G/qRjdNyn4U0/OO5/CjUyp1mTFgxk+KzWEGfrTJOR&#10;N9jRoBapVKcojG8XyJcXRr0mxrxINWWjvPkOisKhjXicb2bzfZTLB2piiPN9wbfn+bGaSyOSf9Md&#10;BLMd8ovCe/m4UZga1bZF1/Ja2TR4vkjSalNkiFtaOrhmcF40oqshDm/AmYUhjmsDrK9p4oiEcDBH&#10;pIwjWONHxhOYPKLwVn5tT9NJSj48ymWNHJEiY5Jd/+G4DQ/Z++bcGsoajFKK1pe59SfqlEu3zXrV&#10;1jFlEkLb4ni038JjNP8xLa+orUlujKG+3rjDY23WMKX+pVAXtEdu3KXaG/FybQGhzpam45ufo91z&#10;559vO1KqG4T4qX6DWS53ftk+jdopd92gkH5UftuHfacNSnEptB+w17NcezMM+qyGUv9AqXOAx1G2&#10;VD/lxkfX/p0U+OI68+3bEHf1ddffM0i3X7oY4v7dv/vRUWVliBNCCCGOYB+o1xriLrvipncOwlcj&#10;Q5wQQgjRL/NmiIOpcBZgsyW1uZxbI8PgVgpnN5/8xuNKQPsJk2uD1dK2uYc5YuXCPm/zMGk10ach&#10;7s4/eul5g3SKzKshzr51C8r9dKeND1OOPw6jjX9TWKkMkSEOn1ujVmROsyYtvkHMG418HMrW2f70&#10;pv/Z1NRbz3J1qm0XyNcd9bD1avMWtFzZIpXMWd6UZceH7aNSWZsY4rwpkAYw/2Y/9nsT+XJAqAfa&#10;KdXflI8XhalRk7boUl4rHz8KI0krXZEh7v777107OC8a4Q1x+Im26MG81TwZ4igYRLgWwl9ryuK/&#10;EQfrbsgaRCLzB00a+GsNGTBhWBNI9GW2mnULykAzB8pu00F+Ng+/xrPrPwj1Q574HOW14XNlQTzs&#10;PSBvlIfAYMQ2Q9k8Nn9fNpYb8Wy7IQ/4Fnz4GmraM+eN4DEKZeSbxVAeay6K3jhm80d7MYwdC/hr&#10;YXjEbYptXwh9QdMX8rTlZT/ZOqGtc/0HWG6mzf5HGra+Uflr+gMwDIV4zMeOMZwHEdbQZN8GhzRs&#10;fCgyTdl+x3lBfFzIj0vkwXZGWMRPtRHKz2PE9mHfadvjNq4dy/48QBjGSZnd0C4Mw7YugXGEvBDX&#10;xrFlgXwdAI9RTcdHl/6dJNYQd+edd4ZzaK28IW7P9Tf9/SDdfuliiPvhH64zxKFjMfDYMRgc0eTZ&#10;BA4AP9gBLgg4hvwABicuKMwff/F/PzAxkHA8pwgMMJwMduChjnZQe3gR5klsL3g4ZsMgrRwMZ9uC&#10;bQBFF0iAfFFGe7KiDkgvOmlYP8SJQJxSnryApU7siKicufZlOVMnfq5teAxpAD92UG6fLy46tmxo&#10;v1T9AdNCGNYN6TJf5OcvqOxjCHnlzh/ExfmG8cC8IOSBtFNl83VHHiwX/to8WR78TdHmvABoT3uB&#10;Z7ltmwixCLQxxP38L7zuNwbhq+nLEIef6xNCCCFEe0PcjW84d+cgTpImhrg91z1tVIYaQxzuk+16&#10;Af/OrUfagHt4pp9aZwGsQxguB+/3ca/fBqwnsJauWSNynZMrE/cCuBbycF3I9RGEOmDtQtruJ2Cd&#10;Fa2b7EZoBMNPal1ZwucJcewhL34WjRd8hvLZdR/Eevs+bNq2TdOvpc1a1ceB/Nghtn8iIZ6FfYB6&#10;MQz+HZ0HOZrsBZAm9bKgXLXnLonqibKivaLxRXiOID/CzzAOcjAc8vUgz+icrWl3tI+vO9uXn0V5&#10;iiP0aYj71Gdflp27ybwZ4mAu8gYwGGXs26d8/JKit5nlygClDHH+bWDW/OONUTRpefMQw1v5N5sh&#10;LR7zPyEavdUN6qNdKFtmazArxUup1N5epbeu2ePeSOXHj21LryYmMGsKRB72mG2jNsYulNG3s1Xu&#10;DWxR+Eglo1qTtuhSXiv9ZKokxYa4Bx74m3WD86IRbQxxxxxz5DzG/2dtiMO9o7/fxP0lj0PR/Tjv&#10;23Fv3wTklbsvtmVLwbUc8k7dK7N8uMe24L6b6UO5e/+askTk4tn8fd78vMua2sP1IPo5BdsKfz08&#10;BmGd6rH18eMEfcNjvh8I+tKnyzjR+Chhy4Nx5vexsM7mcSiqk+0/vy63e0E+bcL4yN9TO6YYBorO&#10;v1wZbRuk2tDWw7dBKT7ys+tPP45t2fwxYvdjfP1s/n2nzXJH/Z7rW55HUZ+CmvOsCbk2ADwG9T0+&#10;Sv07SSZpiLvuxjf9yyDdfunLEJf7SRt7EbbqMlHkLvp2gGBw2U0qKwwSOwHbEy8lj93wj+TzICw/&#10;4tvBSgFbntTF2k5SdkOvdAIiPW5wpuRPTF4kUjdNti2iExOwrtEFLAL1i9qHivLhsdSJn2sbewz1&#10;57+90H8oG9skUip/Hkf/psYmPkf69kLolWrjVJpWUdlKdbf55c4/0Pa8wLiIwkOpvISYV0qGuBtf&#10;f8fYJA+9+Iob//sgfDVdDHHXvOrI3CxDnBBCCHEYO3/v3PnkcA6dJ0Mc7qmj+3985jdSumDXJal1&#10;DiitE4hdLzSltEb0aw27zklh6+fB2jm3xmJ7NN1PQBlz60kI+UYbZoBhJrWuzIGxldtPsOs6P17s&#10;xmVKLDdp0rZt0q+h6VoV6fN8SMnvi5TGg80H6TfdK0nRZC+gTb1IqczRPkGbvSvC47b8bGOMgRTY&#10;q2Rcv2/Zdq8D5NrNjq825+Rqoq0h7o7fefHYvA397kd/4bpBOkXmwRBXkjdg1caH2SZlhioZtFKG&#10;OKRnP7fmNGvSsm8mqzHEwUAUxYX829D4c6pefbQL5etPtXk7HFRqby8f3puzUA4e829k829ys2/b&#10;86o1gfk+8GPS9h9k31hXK/SJNd15wYAW9VsUNlLO4AY1McRBbcsrSdK4vCHuZ595ztQMcYNoI+H/&#10;szbEpe4zedw+I7bYNJrCe1i7FiE16fL+P3ePy3T8Pbpdp2BNmKNtHW0efu2aO4ay4nOsL/oi19Yk&#10;F4bH0OYpcBzy/WHXgViD1ZJKrwbbvim/SKlOuT7i2i3Xnja+r3ftmGKY1PmXK6NdB6bOb2DDWez6&#10;NBXfrm99/lxr58YMYDjflrm6dU2b6abGFo/7fHPrebQRj5WuKU1gmlFZeazN+Ojav5MEz5SZb9+G&#10;uN2v/s8PDNLtly6GuB/4gYeNKpsitxmJQd4WXgSjC5kdPBAmJm6QYcDYi1i0UZcbfBa7KYs0+cAB&#10;eSA/TohRGVl+Cv/HoIV4wtgTM3Wi2EnKPvDI1QHp2guRvSCgv+wmrI1bmhCZJhRd4FA+Hmd/lGAb&#10;oy19OdF3uYtLqu9ybWOPQXbsoPyolz2Gv2gvtj3KyM9TF3nGp1AH9AlkJzWbDsuJetsyII4H8ZAO&#10;ymKP2zEZlS2qO8qGz9EPtq1y51/b88JeK5AGy474SKfPG0shpkEbQ9wvvPT1HxuEr6YvQxzc/EII&#10;IYSoM8S9cs/RhrhXv+as7EP1toa4PXv2DEsWY++9vaK1bltwP8507brAw7VKtE6w2PSiNU0OrkUg&#10;u25AuZg/Pid2nZPClsfD9THStutgrLdQFt8eNr9cW9m1H9b7qXUTFK2/eYxCHRAX6mNdmcP3AfHl&#10;hnwbIG+EQZ3tMZTB9kO0B1LTtl3ST4E0Ga92rcpxg7KgXXwcpod/e+zxFDz3kX7tXkkK265ME/Hx&#10;OfKx7dilXk3PXRxvs3dFeMyWBWnwc5ueheeP37NkmzPN1DkbXf9s2yD9qO5U1HbiCDLEjQuGmuht&#10;ZLXxYdZJvaWqZNDyhjB73JqxrEHMvjHLmrBqDHGpuJQ3HkVv++qjXax8uaE2b4eDSu3tZc2FkDVn&#10;wWRlj3nzGepmj+dMfLUmMP+WPt9+/g1/3qTXRGjjqO0hjBPf91G4SH2+Ic6qaXklSRpXZIh78MF7&#10;NwzOoUZ0McThTXH4/6wNcSl4PHUfWZNGCt7Dl+5xU/B4rSy4V+bn0f2+pW0dc3nkjmE9yWNYl2B9&#10;0pVcW5NcmCbx/Vix9WkC46TGXo5c+5JSnXJpMG6tfPzaMcUwuTZgmFQZU/Ujdi1qx1pN/Fwb8fNS&#10;/9l9AMsk0+ZeQGlvKDr3uDbH2tuCdTvjcU3eB0wzqmvuGGEY34Zd+3eSWEMc9lb8/NlEz7to59g8&#10;P3eGuEH0kVKgg204r7bkBoHtfAz66GRgfL/BBWoHD08ou2Fnsen4MjB/KDeQeSGIygl4HBtollwd&#10;eOFEmqkTnuVD+gRhmaY/cbERyGMUNweJvWDXXmhYjiab1cwj1Xe5trHHorHj6+kvpsCOed8GwMbH&#10;xdfDizyEfvVtZcsYxc9hy+ax6UK+bSzsl2jstj0vWDY/loVYVNoY4i6/8k3/cxC+mi6GuOtv2DIq&#10;nwxxQgghxGG2bds2mh9nZYi74sr1ozKUDHG8L48U3au3xa4jcuuE2rxr0/NYM0u03sDaCWs0u06y&#10;648UuXUSP0+ZZzw2v1TdbBjkHYG1EsNE604eg6a5riyVHWtga/BJtUGK3FrT5t00XZJLPwXHR+1a&#10;1fad31MgTBPrZ09uPBLWo8leSQrbrlCqbbvUq82523bvijA/P065ZxGdV4DHfdu23etA2Rk3Gnes&#10;O+P68opx+jTEfeQTv/DmQTpF5tEQB3MNDEgpI03KXIXw/ucykZaPD5UMWjlDnDdrwaCV+8lTbxbi&#10;51QuLuUNWb68UKpOTdrFyper7dvhoFTZUvJtZtvEtj8MVzYe5eubMnf5fFLhrCERaUdhrKkR/64x&#10;HeaEOvvyQd4w6Y/bY01U2xYp1ZZXkqRx3faO28bm72kZ4u65557ReboaDHG4D8c9tV1HWkX3saV0&#10;o+fGOfn1VpP1X01ZcH/P9UMkn0cpf3sPD6HtsFZIrV1KsGxRW5NcmCbx/Vjh502fzyJOlF4NNf1b&#10;qlMujdRYjoT1mn+eX3PeAIbJtQHD+DLy89TalKTqWWofkIprPy/tCaXaYpJp28/teYW0ueeEPo7A&#10;uY7j6Fd7PtJTE+0flEA6KAfamut7r2gM5I4RhrFtCLr076Sx++d9G+Kuee1y3/eL35jv2xBnN8y8&#10;UgO1htwgsJ2f2rROnWCgZvDYzbwcDOM3zFh+tEFucsSFgmn4DUfES6WfqwMvFLmTj+2Dk9rCuH5S&#10;RP74HPXihcBf5NpcaBin1E4WhIdSfZdrG3ssNXbYd6kbg1z6gMdSG9d2bKbqzOO5PoyorbsfT57U&#10;+dflvOAYglKb60IsEtYQ95KXXH/UHCpDnBBCCDF/tDXEvea1Z2cfqrc1xO3du3dYshh7D+1V2lBr&#10;gl2jRGscwjB+neCpTc/DDWe/Ts1h1zkpbHk8XN/WrmNtfqm62Y3z3DrXhvPw82mvK7mxmEvXrgub&#10;9C/I9UVN25bIpZ+i6VqVbZQ7D2xdfJo1ZWyzV5LCliW3F9ClXm3O3S57V4Dl8PFzZbFj15a/y16H&#10;jYt/R6APGSZXX7F6DXElc5RXLj5MSPYNblBk7CmVIWeIg/HHHoPhxxqwvHHMm4TsMcibt2oUmdP6&#10;aBcr3waoRxSuRqX2tvJveIPscWs8q1XqjW01JjDf37Vq+zY9L2/A9P1gj0H2WBPVtEWNSuWVJGlc&#10;oSHu23+7bXD+NKKLIe7YY49d/uyb3/zm8I5ketSsDXg8dR+ZSwP3vFhT8HhK0RqgVDakzeNt7nGb&#10;rP9yZbFr2Jx8HjX543O7boewjolellICbYz4ufVWLkyT+L4/auJGIE6UXg017VsqVy4N7uU0rRMp&#10;jW/CMLk2YBhfRn6OMZQjVc+afkvFtZ/PoyHOXj8ioX/tmt1i4zJ/u+YulcmD8BxPOUVjIHeMMIxt&#10;Q9ClfyfNqjHE3XTTB0YVXbNmzbD6Mewwr9RGUA25QVDT+TaMpya+PUFr5Ad6zSAGOEF5kvmNbpyA&#10;TN9vgObqwM9rZbEbwXZC52YsjvPf9oFB2wuN3TjETUTNmGH4VN/l2iZ3jJT6rpQGj6UufnZspSil&#10;kSJXtlK5Lak26HJeYDxxrOMvxokf10IsEm0McVe84uY/G4Svpi9D3Nq1a4elFkIIIVY3mzdvHM2P&#10;L7vy9HAOjQxx//mGc351ECdJE0PcRZecNCrDvn37hiWLsetFK3zWZgM2hb3Pz60VGKa0zq1Nz0OD&#10;TCl9i13npLDl8djNc6xxUxtupGZdlVpPeXJGLH5u11SWXJ1IKY2ImrLXtEGKXLm7pEtq2sXTdK3K&#10;NqqVr0tNGdvslaSobdcu9Wpz7vr0SvLwcz++bX19u/FhFsprsX1SI5tn7ZiL4oqj6dMQ94k/2pWd&#10;u8lKM8RBMCLZ45Ehp5RGzhAHWXOZN2j5sN5oZI9F5q9a2bemQaU61bSL1awMcf5tePaNbP6tdbVK&#10;vUnO901kAvMGr1ql3iTXVH6M+H6wxyB7rIlq2qJGpfJKkjSuyBD3wAP37hicP41oaoi7++67R+fp&#10;SjbE8R4f6xyE8/sIPB7dx/dRthy16xSQKotNA3Xw9/+5PJrkj/WhLUOTdQ9hW/u1iCXXH7ljhGF8&#10;f1hTXxMYZ1L9W6pTLo2a9siRGlMehsm1AcP4Mtauk1PejJo6ptrI+jZK/We/kGeZZNpsG8RnGIbD&#10;eC3teTI+vSr01OBa1wS774q8o/0gli2qa+4YYRg/Prr076Sxz79vv/32o+bQJooMcYcOHVozSLs/&#10;2hrirrvu3aOKlh6kY2BgE5kDBoOwy2YdyA2Cms63YTw18b3juyRf35pBTJiXP0l5AeDJbEnVARcI&#10;fl4jP/Ha+NbYxr7FJj0vKhBB/flZ6SLlselByAvjKZUOw6X6Lte/uWOk1HelNHgsdfHD5wyTopQG&#10;2gZtxLJGalN3kmqDrucFxg/HEoU0S+URYh5pY4h78RVv+OtB+Gq6GOLefPNZo/LJECeEEEIcZtOm&#10;p4/mxyaGuOtff85vDuIkaWKIe/b240dlKBniAO797eYQ/l0ybTXFrlFy9+b8ZnlqrURq1jwRjOO/&#10;LJbDrnNSlMrj1zmoJzYk/SYYqFlX8TjSzZFLi5+n1oQ1bVxKIyK1FrTUtAE+R/25SRnJU5MuaZN+&#10;jiZrVZ4HNUKafm+j9vxouleSorZdu9SLn9eeu4hr0yvJ710BHovGN+vi99PYxzi/Lf4aUJLd66jt&#10;T4Zpcj6uRvo0xP3ORy7/rUE6RVaiIQ7yJjX/86ulNEqGuJxJyufljUb2mDepNRHKYNPqo12sZmGI&#10;g8nPl9Eas/CmN3usiWCms3lBNSYw/2a9JoI5zKfnBQMgypEK6/vBG+3sMcgea6KatoC6lleSpHFF&#10;hrjvfOdvdw3On0Z0McQdf/zxy5+tNEOcNa34+1+SW//VlI333dH9eonadQpIlQXrD3yG+/yIXB5N&#10;8ifMD2pKTXvm+iN3jDCMHyu5L+PlYByfXg017VuqUy4Nu4aL9m5K1PQHYJhcGzCMLyP38lLjkzAc&#10;zieLrWMK68/w+XP969fFHoZDfpZc+3dJG2OQ6bbFjmn0P8eSr0MJ236pc4PHozGQO0YYJjeGU+T6&#10;d5LY59+33HLLUXNoEy2MIW4WP7WWuwjmTkBiw3hq4vPiE8WvoXQRt9jBzE01e6NijWkkVQd7EWkz&#10;QQG/cci8eMG2G5csL0/aNjc9AGniRoIXRuYX9Q+Pp/ou1TYgd4yU+q6UBo+l2h+fM0yKXBr2hiun&#10;NnUnqTboel4AjG1MVH6zPXVDLsS8Yl8ZGxni9r75g2OTPDQrQ1zpTa9CCCHEauFJTzp5ND82McS9&#10;6jXnZB+qtzXE7d+/f1iy2WLXKLm1QmmtRGrWPBGMk1pLRdh1Toqa8iAduxkFYX3rzUc16yoeL23E&#10;5dLi56m2qKlTKY2Imj7OldtuRJbkyaVLuqRfonatyn2L0nmQoqbvSJO9khQ17Qq61Ivp1461Pvau&#10;cvHtvgn6Fdi9N39ed9nrqO1Phmlb39WCNcStX//T4Twa6cO/f/nYvA19+GMv+f1BOkVWqiHOG9aa&#10;mse8qccfh5HMHqce//gTxsJB3mhkj/mfS7XHvPxPd/qfTe2jXax8G6AeUbga1bS3Lxvk87RmuVJ5&#10;/Jvmop9N9X3jTWC+zaM2tfL9WfOzqWwb1A3/tm/+g4nPG/J8mvYYZI81UaktqK7ltbLtVWpbSVqp&#10;mpUh7s477xydfzTEfetb3xrekUyPmntJHk/dR6bSsPfc0XNm3Cdz7ROtAbzhJMLedzdZo4DadQpI&#10;1ZH38d5IRGwdfB5N8ic1/ZXClsWvRwjXulF/5I4RhvFjBfkxbz7792CM+GOMkxp7OWrat1SnXBp2&#10;fdemfDXjG9TkwTC+jPZLbn5fgeTWxqX4iGv3Cnz+do8LYSPaniNd0rZ1TrVLCfQZ07DXIfpWarFl&#10;jM7LXP+A3DHCML4Nu/bvJNm1a9co3xtuuOGoObSJvCHuit17YIhbO0i7P9oa4nbvvm1U0dVoiMPA&#10;TcWvoXQR9/CmgxvmPAkw0CNydeDnuZMvh9845P/tZj6/hc3PeEK2vXBZUHemh79+IsLnUKrvcm2T&#10;O0ZKfVdKg8dS7V8ztlJp2LxRPn9hz5WtVG5Lqg26nhcelINjqaZcQswTbQxxv/CyN/7DIHw1MsQJ&#10;IYQQ/XLKKSeO5scmhrhrX3tO9qF6E0PcGRsfOyrDohni7IZXjtKaKkVuMz6FXeekaLKOwfrThvdl&#10;sfml2oprnFI9chtv/NyvCUlNnUppRNT0Xa4NbLkwXvzGaK7cNW3bJf0mIP/UWrWmjXK0LWNpryRF&#10;TbuCLvVqc+6yTGiPNuTi2wc+aDfA61f0AKjLuKmNyzBt67takCGuTjXxvWEN5h37RqtSGiVDHATz&#10;mw0DwYTlw3mjET/3Zax5k5Y3G1nTUh/tYuXboGRAy8mXrUZoX1s2/za9qK2taupaMoH5N9JZ81ck&#10;X8aaNmvSNlF6UbiUcuUvtQXVtbxWNiz6JwojSStd3hAHPfjAvdcOzotGyBAXp8H1A9Y2XAtgHWHX&#10;FlB0H2/XEXwWjPts+1wS/7drFJTFrm2xXsO6F+sF//y4dp0CUnW0a2qE4RoJ+dovvUA+j1T++DfL&#10;a+uCerOuKVNZjlR+ltyaLHeMMEw0Vmx74Lk/64a/XCv5tBn+kY985CheLV3rC0pp2DW73x9AvTDO&#10;kXbUXzbt1PgGDBO1KWGYUhnt+eHPQ4y5aI3PtTbCcW0bncOQzx95MQzjMw8cs+dVqY36Ttu2ixXS&#10;Yp+xvinsmIbQVk3BmGF8pMf+8XWAojGQO0YYJhofXfp3kkzBELdukHZ/9GGI27Bhw7D60yN3Ecyd&#10;gMSG8dTEx0BjmKZuUpArfwRNZxjcgCcxL8KeXB148uBi0gZ78qPuvCjZCw8vAiivDc8LRVeQL9P0&#10;9ePnqYtLLm6u3Uip70pp8FiqfGw7KEUqDT9OPLmylcptSbVB1/MiAhd2pplqMyHmkTaGuJdcufeb&#10;g/DVyBC38sE1EHM+rrela7NYfWh8CNE/J5/8+NH8eM2rzgjn0Gtfe87Y/A1NyhB34MCBYclmi12j&#10;5K43drM5Fc7e3zfZLAVcB6fWOxEoR6lMXEdBtaTi1ORXWw+GizbtmMck1pU5uBGeSze35ub+AeoW&#10;kSt3Tdt2Sb8pqbWqbSOEaUqXMubaPkVNu4Iu9Wpz7nbdu2JZU+PbjxWUDf+3e1uky16HjZtq39RY&#10;EkcjQ1ydauN7g499U1UpjRpDnH8DGRSZy3w5+LmPn3uTFuXfombfetZHu1jN0hCHevq29G9fg+HN&#10;Ho/kTYu+rr4tvAkMJi0e82/ki4Qy2/SgUjkRJzJXeqH+0fiKwqaUMrlBpbagupbXyoaXIU5arfr1&#10;975rbP6Gpm2IW79+/fJn999///COZHrUrA14PHUfmUvD3qtG4j1z6nkoj1v5sHhGzHvtnPx9eO06&#10;BaTqiPvsqIyUPebzSOVvP4+EurZ9Fs40Un2JtsXxqD9yxwjDROmX2gr1soYy4MPk8vak2tdSqlMp&#10;jVKdqJTXomZ88/NUnwGGicqINi2VEWtj3/Ykd37h89IeAY6Xzk/UOdoDKLV/X2nnhLZLYesONd2D&#10;JHYvxAv1495FNAYYrsv46NK/k2LPnj2jfLsa4i6+/MqxOX6uDHG7dr1xVNGVZojD4OIxDKQInJwM&#10;E5WhRK78EbZMNRtxuTawG/ep9inBk5v1gOwEb8vLMNEmflty9bNl86CMdmLxcXPpklLfldLgsdTF&#10;D58zTIpUGrkHJiD3gKqm7iTVBl3PixRMMzdhCDFvWEPcy1/+5qPm0Rtff8fYJA9N0xAHDZJY1iwN&#10;cbwu4eZNHI29Nvd5XRUrA40PIfrnJ37i/xmdVylDXPSGuFe/7tmfHsRJ0sQQ98RTjhuVAQ/+5wG7&#10;RsmtFbDeYrgaQ1LTTWK7FsY9RAQ2quwxW6ZoPYH62M2lWmw9LDX7CTX1sOlE5c4dA6nyWUppRJTK&#10;jnLb9vTjhcdSG85c00Kemrbtkn4bmJZtQ7sh2aRtCe+PoWhjOIe9N8idq5baOF3q1ebc7bp3xbip&#10;stp2tuWL2rzLXkfpuoi07T5VmzGzmoBRnG3V1RD3ex9/SXbuJrMwxOFnFQdZLwsmGPw/CpeSjQ+l&#10;4vtw9o1ipTRgYrJmqMg0hjD2jW3RT3JC9i1jMBLxc2sSQzol8xCEN3zZctm3yvXRLla19asRzFW2&#10;3F7IB4YslCVlILOGrZq36UHoN5uPr6vtG5TB5o3+sGVOtZOXTRMqvVWOQllRL5snyoT0ckY2xLH5&#10;5ZQrS64tIrUtr5Ute8rAKUkrXdEb4r734L17B+dFI5oa4uy97ywNcbxnze2dcw2Uus8upYF7bbtO&#10;Qjjcm+M+lnFT63vcyyIsy4Bnk9H9LMLhc2/8wb014kf3+3b9h3/nyNWRefPZMYRyYA0AWHafRy5/&#10;xEWbMC7TxBoG+bWF/ZBac/B41B+5Y4RhUmMl6ie0G+oV7d+w/g95yEOW/zYxHNX0b6lONWkA9Bfa&#10;lGEh1BHpchxE1IxvHku1KUiNMYJ8EN+XEf/H56Uxhb6x5cRfnsOAYz+VP8Kh72y/I41S+9S0f5u0&#10;EYd1QT08uF4gTaZX0/ZQboyUQFn9eYGxgL7hOI3Kwfy7jI+u/TsJrCFu9+7dR82hTZR4Q9yGQdr9&#10;ceJpGw/YTNoY4vDQf9rwohBNCjgRWLbUppkNE8FjGNwYzJA/Me3JhnLYDVmEx/85QD258qfggLZ/&#10;U+TawF5I8BcnLE8agBMGJybST52gqBfTh9BOHuZBNZkICdJAPHsS49+86ERta/sF5eREgf7zZfJt&#10;k2s3Uuq7Uho85idNgs8ZJkUqDfSXPca6o814Qaba1J3k2qDteYGw+NyG50We6U3zYi5EVxbJEAfN&#10;ipprXhd43c/dcM4zds5e1DoQXMPZ17qe98Okx8dKGXtCNMEa4q6/YUs4f0aGuNe/4dmfGsRJ0sQQ&#10;95OP+6FRGQ4ePDgs2Wyx83VpreDXY1xr4q9Np836EOsJrodxjcL1iWselIvrFL9OsptWvKYhni0P&#10;ZUGaXBezHgBrFl4jsc7yMK3cfoItE8rB9BmW6SN/1tFi40bYuqUopZHC9gHr5ctN+fHCdamNC9Cm&#10;tk2gCB5LtW3X9CParFVtXghnjyMuyoZ0o/GDNrNxAeLY/FG/pnslKWx+vr88beuFfmp67iI9hGUc&#10;e54A5I10eI56WM7U+EZaDMOysb0j2u51AHzOuCgP6x6Ny6bn42qjrSHujt958di8DX3kD3b9xSCd&#10;IrMwxEmSJEmSdFjeEPezzzynF0Pclue8IHwwT+E+bRBtWZs3b17+7Nvf/vbwjkSIyYD1FMcd1wxC&#10;rDa49sZaOQfX0rk1NPcaSmmJZuzdu3d0rerbEHfNa2+cH0PcJZe8elTRHTt2DKs/PTiA8ddTs5ln&#10;w0TYjS4rj93USgkba55c+VNgg8+mm3uAUGoDbBxyYzEnu4FssTeDUFQW3zZ2o7QWGz+S3YAkuEnw&#10;G4oU6mxvKHzblNoNlPqulAaPpS7Q+JxhUqTSyNUdssfa1J2U2qDNecE0U8qNdyHmkTaGuKteuXyd&#10;r6arIe4hD/lXozIObjCGJZ8uNde8LjDt3E2xmA5N5hkxH+j8EauRH/mRI2a0Roa4N57z+UGcJE0M&#10;cY969JG3SMzKEFe6N6ci40dpTQJhvdCW0loWefuN41wcmmn4f4uduyIhTWvQITX7CShTqZ1QttQ6&#10;mmFS1+iae6xSGily7YnP7X6Bn/Nr+o//jii1bdf0I9qsVWvOAyh1LkRx7frbH/OK9kpSNLlH61Kv&#10;mr5pcu5aRXtXPJYb3zRQUqV2a7PXAUrthjJynDU9H1cb1hD35PUnhPNopMgQ978+89Ls3E1kiJMk&#10;SZKk2SkyxD344Ff3DafpamSIE4sA1g0cd6nn80KsdLg2tnsgHpwr3CtIraHtl+B0PvXLvn37Rm27&#10;c+fOo+bQJooMcYPPtw3S7o+2hrjnP//lo4rOwhDHTavo27TYMGPZ8O8IhsHJkgInEDayGC7KC2DD&#10;EMfsJh3i4US133q15Mqfwn87Ntp4JzVtgHKhjn5TDuXGJl9pI5RtA0Vh7aYq8mgD0kBZbF74Nz5L&#10;1Qugbghj2wv/Z5vxc59GTbuV+q6UBvOOvsEM+DAG4VLk0mC/2jZD+/Ni36XupGb8Nj0v0Dd4kGDH&#10;I+IijSab+ULMC/g5cY5lvFXVz6MyxB0G1yuWYRIw7dRNsZge9r4gum8Q84fOH7EakSHuMNx8Kim3&#10;ZsH6w6eDe/s+NqGwdvDrRKwjUutvgDUO1zEQ4uL6hvBcC0X1QXn9ugZ5Ye2SygvYNRnXNR7ER5l9&#10;O6XWTBaWJ1oTAnzOvFOU0sjBPmAa+GvX3Kx7tLb0cSG0D+4Pcn1BSm3bNX0P0mu7Vo3OA6SDuLlz&#10;AX1v68DxSlAXHGc7MAw+i9o8B9sEqo3btl7sG1vu0rmLz1F32/4Q8kdaqftKtl1ufNsHnUi/BuSH&#10;etrxhfqUzlvWw9ad4xKgLviszfm4mrCGuM1bnhTOo5EiQ9ynP/eyewbpFJEhTpIkSZJmp1kZ4m6/&#10;/fbRPcd55523/JkMcWIacF2AtYIQqxH7RUisoe0+BdbVWMfb/QHuQ3l4LkGpdbpox/79+0dtyzmy&#10;rRbGELdr165h9YUQQggBrCFu9+7bjppHU4a4vXsPrBnEqaKrIe6Rj/yBURlliBOTBg/72B+pB5di&#10;vtD5I1Yj1hD35pvPCufPK6+eniFuVvOzEEIIMY9YQ9yZm58YzqORZIiTJEmSpMUU5l07D8MQ993v&#10;3rt/OE1X09QQd8stt4zuOfiw/4EHHhjekQgxOWDu4dhLGX2EWMnAvOa/EBcJX1JLfSEPafBLbDDG&#10;iX6xhji+RbWtMB/b+RmGuH/5l3/ZMUi7P9oa4s4554irUoY4IYQQYpySIe41r3vP2CQPTdsQ9+hH&#10;H3mrQe0baPDGAr7VAH+7GmVKhjjetOJbIKm3Kvg3Wdi3XKQUGbKitz3gxht5pr5BgvAIx7dB2G+d&#10;8FtcOIb/I93cIpbhIAvLk3pbBNvFLhIQB/lH9WSZ8RaLCLtYSOVpzW2lhbmtV0qWmjYFyBffFkI9&#10;bJ9hfCBO6g0nHB+IA5AOwjMN/MX/U30OGMeORZQj90YUtJnPp9RHpTYATM/3FevJfmY6LDPz7+P8&#10;adMeQswrD3vYEbN4E0PcTW96dvahehND3MOP+dejMgghhBDiCHbj/XnnPTWcRyO9672Xjs3bkAxx&#10;kiRJkjT/8oa4rc+9QIY4seLhG7JSe/NCrHTwLAPj3z/7gfAZnoflnkvxbfCIGz1/Ed2YpCHuhr1v&#10;nU9D3J49e4bVF0IIIQRYt27daJ687rp3HzWPzpsh7q677hqWPI01r1lhgdYWm2YEj+Hm15ptrHBT&#10;a009bQw99jXMkWA2iwxSuPnGccSPvrUCbHlyi1jGx18L46KtPEg71S6UNyWhDDwWLRrsT0fRTOVh&#10;eyHvEja/lCw1bQr8QihStNjBZzyOtkmlk+pztHku7yhP5BOFpXwf1bYB4Gd+fLCeSAv/TpUZn9sy&#10;Nz1/2rSHEPOMNcRFcycUGeLe8tbtfz2Ik6SJIW4QfCQhhBBCHGHfvn2jOfJ5550WzqORZIiTJEmS&#10;pMXUPBjidu7cufyZDHFCCCHE+JvbV7QhbtOmC0YVlSFOCCGEGKeNIe6aa/dN1RD32Mf+4KiMNYa4&#10;nOkl922MHLWGOArhaVKyZqaUMcvGS2ENWwjHuiAfm0dkDqNxicL/YSiDbJ4psxtBnkzDm6P4ua8D&#10;ykczHNJFngQmJb5lDLKmJJtXZNCzbyODIlMY80XYWlAGppkzSdW2KfoF+eNzW0bbZ1F723JACMs2&#10;RzrIg8ei+rFdkTbamaAcKKuvm83PxrF5oQyW2jYADOM/Z75sC9aTbWXbCX+jfk6lbWnaHkLMOxz3&#10;UDR3QtMyxK1Zs2ZYKiGEEEKAPg1xf/7FX/znQTpFZIiTJEmSpNlpVoa4G264YXTPQUPcd77zneEd&#10;iRBCCLF6wfNkzpHr168/ag5tork2xJ122tmjiu7du3dYfSGEEEKAtWvXjubJJoa4W2758NpBnCr6&#10;NMTB0Z/Dm4i82pperPkowubhjWLAxo9MeTyWM/TQFJR6e5utuzX8AGtcwr9TlN7KZo97YxI/93Vg&#10;HJjTIjMTYPn8z2zCvITPozLT7Eb5dkcb8BhMT7XYdsyNl9o2zZEbV7Yc6Hvfp4BliIyWjFtbd7Z1&#10;qp9QHoSxNGkDhvPjo6aedtxF5xeP5c4fhmkyFoSYZzimH/KQfxXOndAkDXGf/8LLRmXAvYQQQggh&#10;jmANcZfu3BzOpZFkiJMkSZKkxdSrr3/d2PwtQ5wQQggxW6wh7vjjjz9qDm2imRjizjn/8qMe2key&#10;hjhsRgghhBDiCItgiFv3048albFkiAM0jkWKTF415IxLgMfw05ERJZMVj6UMPTDxMEwOhvGmOWuc&#10;SpnSQOmtbDRNeeMaYDxfB8bJmZXYvug7C3/yFLLltmY3vvnLvyWNJiqfZolSX5HaNs2Ry8seS5m4&#10;cuOS50HUV55Sv6do0gZM34+DmnoChonehsdjuTHWpD2EmHcOHTo0Gvc5Q9zlVz5rbP6G+jLEferT&#10;l43KIEOcEEIIMQ6+lM158kWXPiOcSyN1McT5dbcMcZIkSZI0PXlD3HkXv2jqhrjdu3cvf/bggw8O&#10;70iEEEKI1cvBgwdHc+Sxxx571BzaRKdvOWdsnp8rQ9zJJx95c4UMcUIIIcQ41hB3000fOGoehfnN&#10;zr/QtA1xp5zy70dl3L9//7DkaaxJyCplVqshZzwCPJYz5DBMZLIqxU/VKSWfDo1Lpbd4AYb1bwOz&#10;pqnIuMRjPm9+XiuLNb7ZN4PR7AZzU8r4RiNek59LBTmTmqVJm6bI5VVTDhvGY82EaKfozWvEGi5T&#10;eUU0aQOm78dHTT1BLq9U2pYm7SHEvGMNcY985A+EcycUGeIGnx8cxEvSxhCHn18XQgghxBHaGuJu&#10;2Xfx2LwNyRAnSZIkSfOv0BD3na8eGE7T1TQ1xMEEN4i2LBnihBBCiCPYPfS+DXFvfds75tMQV/MQ&#10;XQghhFhNrFmzZjRPRvNoZIjDW+NmZYirNbfDJIW3ViEO/uaMMjUgPssQwWO5fBgmMv2U4sPUxTA1&#10;8oa1JsYlGM+YjjUNld64xji2DtZEVyNvwgPsR2tsg6EJn6FMNg+2Ld5Wxs+in9jM0YdBy4MywpDF&#10;OJF8XjXlsGEi/LhBW6LN/Nvc7Phu8ra7Jm3A9P0Yr6knyOWVSttT2x5CzDv2222zMsT97kcvGpVB&#10;hjghhBBiHGuIe/lVzwzn0kiRIe6ee68+NEiniAxxkiRJkjQ7zeoNcdYQh7fF4bPvfve7wzsSIYQQ&#10;YvViDXHHHHPMUXNoE821Ie6EE540qqgMcUIIIcQ4i2CIe+pTHzsqIx4szAJrGIrgsZwhh2Ei008p&#10;Pg1gUBuaGJesmcy+Va/0xjXGsXWwb3grmZVS0MRkjXhMk4Y9muZYXmvqa2p26sOgZbFvJsvJ51VT&#10;DhsmBcJ4Ixj6EiY9UhrfKZqMK6bvx0FNPUEur1TaETXtIcS8Yw1xj370I8K5E5qWIW7Dhg3Dkgkh&#10;hBAC7NmzZzRPdjbEffWV2bmbyBAnSZIkSbPTrAxxO3fuHN1zyBAnxMqBLwHAMxF9mVuI9nCOXDWG&#10;uAMHDgyrLoQQQgjAORKK5tGUIW7v3gNrBnGqkCHuMAwTmX5K8Uv5l2hiXAI0DMFoBuxb2FI/Ncnj&#10;vg6pz2uxP+eJf/P/LBug6Yyf0UCIv03pw6BFbFoI59/cl8urphw2TAksnO04suW2BsJUXhE1bUCY&#10;vh8HNfUEubxSaefItYcQ885dd901GruzMsS99/3nj8ogQ5wQQggxjjXEXffas8O5NFKfhrjb3nFb&#10;+MBekiRJkqT+deUv/dLY/D0LQ9wtt9yy/Nn3vve94R2JmDbYb8R+NPYZm+yxNgF5YO8eRin0O/7a&#10;L7WLMmhD/wX7eYT74W2fqwghlpaNcJwn/RzaRHZuhubKEPdjP3bCqJIyxAkhhBDjcI58+MOPCefR&#10;eTDEbdnyuFE5V6shzhqWvKmqhpyZKMKa0GCA48+lWhOah+F9Hbi4jH4OtRYu8LFApfkNC39iTVUo&#10;L8M3/blU0IdBi7CsKE9ELq+actgwtbBMNo59kx/6upYm44rp+/Fh65Aa29ikYJhok4LHcudfiqg9&#10;hJh3rCHusY/9wXDuhDDf2vkXGnzeuyFu27Ztw5IJIYQQAuzatWs0T1732q3hXBpJhrjF1H3/8IVl&#10;felLn176zJ98dFkf++j7l+54376RfvVXb17WG9943Zhedc2Vy3rJ5ZeM9IILto+0devGkeznkI0D&#10;MS0v5IsyoEwQyonyRnWRJEmS2skb4n5+1xWryhBn9xZTX6b2cM8YSu19erjnW7N/mfvCNL78zbS8&#10;UC7EqS2Txe5z1u7DN4W/4uIl6plGP/UBnwnlnskIIfJYQ9w999xz1DxaKzs3Q+/89d+YT0McHhwI&#10;IYQQ4jD299Mf9rCHh/PoVa+8dWySh258/R2IU02fhjh8034WwGjDMkTwWM6QwzDRYtoaviKsIajN&#10;Iq2JcYnYMnGhnSofYPl8G1jDUZuNBGDfWMfNEm92Y3lZV6jNz2DaDZyc+bCmTbnxklq00mgI+bax&#10;C/NUu9kwtaTGMtsVfzHePGgXX48m44p5+vFh64A+jDbNbJmjtiidPzlS7SHEPIMvenHcNjHErX/G&#10;mUu3/cr2uwbxkvh1d8oQ9/Z954zKsGPHjmHJhBBCCAGsIe7Nb9kezqWRbvrlC8fmbuj/3vvK7NxN&#10;ZIjLy5rWaFyzpjVrVoOJjCYzmtJOPfWUpRNOeNyy1h736KU1a45Z1qDpF16oD+qFOlrjHQ11NNOh&#10;3aK2lSRJkmJD3IMPfnXf4DrbiKaGuPPOO290PZ+lIa5mH9Niv4wNRaa1CIb3+4sRuX1LW96c7Bey&#10;a7BGuyZfOq7FthvTxz5ubg97tVFjzrRviJtEP/UJx5P6WIh2HHfccaNrQt+GuMHn2wbp9kdbQ9yj&#10;HnXEYX7w4MFh1YUQQghhDXE/+qOPDufReTDEnbv9p0flXKmGOC7QrSEIixxr6LLGMoS3iyAufPm6&#10;dE9uAyCFNaEx35zBjGF8G9iNAPzFcZsO6ouFJ/JJLUDtG/Iob9qi+Yzq8kY6mwbygbwBr6ZNUR+m&#10;hXqzzKizL68fFzUbSTaMBZ+zPW1bY4ywL/xGky0r6sRxiDKj7IxnaTKumLYfH7YOEPJhWyNvX64I&#10;lgNxo/OnTXsIMc9YQ9y6n35UOHdCkzTEvenmLaMyyBAnhBBCjIO5kfPk3pvPCufSSN4Qd9qWLSve&#10;EEejGs1qfMNaZFirMa2tZOPavAjtifaleY5voUN/RX08Xf3dEX33H5b1ve/eZ/RPDXU4HtNa1nL6&#10;Ud7zp9L5Zc8xf675c87Lh/NieswHsvnTnIqyRWWXpEXTPBnivv/97w/vSKaH3d/Dv0v4fVGI+6Y5&#10;GNbvL0bk9i1z5cV+oX0LW5sv4E4K1Btlwn6miGk6FucdnivauxaiHccff/zomnD33XcfNY/Wys7N&#10;0FwZ4h75yB8eVVKGOCGEEOIImBc5R/7IjzwqnEeveMXNY5M8dMON7/uXQZxquhridrzwCaNy4pv2&#10;s4CLTSiCx3KLcYaJFmJYaPO4lQ9Lk1pOMP54chsAKWAssumWDGYMF7UB0qLxKCdvOiPYELHhorJ4&#10;0xzMT22x5kMrS02botx2A8XLHvN9XbN4t2Es9vNI6AtrDCOl8dXGFEiYhh8ftqy5/DGuozKD0vnT&#10;tj2EmFf2798/Gr+nnPLvw7kTuvDScUPc6Vs2L932tuccGMRL0sYQN6u5meBaS0M4yoO/87RhvVrQ&#10;Ju3qheZ1nHse3APiPgHjQnOtWE1YQxzeqhrNpZGue8OOsbn7zO3blv7vV6/Ozt1kEoY4mFas8Yzm&#10;MyuYoiga0qwpjcY0aqUZ1Fgf1o91RhuwXdhWth359rWUycgalLys6Yjy6TB99h/yt32Dskb16Uus&#10;P+sIM1T5DXOHjWxHjGuHlr73vX8Z6GtL3//eN4f61tL3v//tgR4Y6MFlLX3/u4OzDuaP6RtADjPI&#10;d1CGw+VBuVC+gVDWZX1jWajHcn1Qr6HZzhrsvHHNmtVsv3IM8fyz59uin2P2XOJ49ecQxzXHvjXb&#10;dTPYDY2UkDFA0hR5ZFwOxya1PEYp9PERse+PjF8zjq04ZkZj2+vwWLdaHveRRudCjZoSpWEUlWeg&#10;8bLbepl6j7UJ28meO8PzZ+wcMueROZdSSp1j9hqKsVW+VsWCAc7Ow/j/9x68d+9gbDfixA6GuNtv&#10;v335s1lg9964H5fC7vPavcDUvrCFYXN78CS3b1kqL8qIvUiGwf/nAe5Z1+zFrlaajMVFwD7zEEI0&#10;xxri7rzzzqPm0Rp95d6vjs3x0G9+4Lfx0pkNg3T7Q4Y4IYQQol+sIe6xj/3JcB6NDHHX3/jeewZx&#10;qvHxmxridu588qics3oLTe5BH+BD+JwJi2H4BiuP//YZFrbRg0Ms5PBQkelBWKAjPPKPFuhtH1Lb&#10;8qB8OUptgHJhs8IbxFBubH6UFqh2gyTa9ED6LAP+dn3oijy48YH0fNvVtinrbTdR0Abc5GGZ/biw&#10;hsTUmGEYpOFB+igb04eQLzZOcps4iIc+YRzET/VPbRsAlsOPD79JgToxXQjthvbLlRmUzp+27SHE&#10;PLJv377ROJ6VIW7PdU8blWHWhjg/r1CrEVzPcJ2113EI/+e8MymYJ/6K1QXmaY41jz2GfwuxWti2&#10;bdto7C+yIQ4Gm0HSK0LWuEbzkDWs0WREAxcEkwTMEt5w0810M3+iQYTmEBpEaDyima4vEx36YcOp&#10;6wfnyTOX9uy5ZqBXDe5v37H8FuS77rpr4Z7h4NcXIJQb5Uc98AUWCPfte/fuXf61A9wzY08L14cN&#10;GzYsrVu3bllr1qxZVtRWUjetXXvcstatO2HQ5qcO2n7roA9esCz0B/oFQj9B6DP0nx2LeqY4W/z5&#10;BfnzK32OnbCspucYrlHRtbIkb4jDG+NkiIvBmhXhsEeHNSz3TLG2L8E8atYWuTVqTXmxhmaY0r74&#10;tNC6u0yTsbgIYH973sahEIvE+vXrR+fQqjDE4cZJCCGEEIfBJgLnyB//8f8UzqORIe6Nb/qdvx7E&#10;qcbH72KIw6aGEGLlsNI2KYSYBtYQ99SnPjacO6Hzf27r2Py7bIj7ledkf7LFr7sve8Xzwgf282KI&#10;w2Ygy0HDLTbUV+MmIQzF1nwdCQbnSTGpjfkm5uvVhn2QNEtyhjieoyij5nmxmmhriLvq2vPH5m4Y&#10;4u6595X7B+kUmYQhbpDsREWTArR27dqRQQiCmQHtCMHgAOGegyYWmiAiEwuNLDRSLDP2pqLhm4lG&#10;byNKvcHLvH2o8Oah1aHDb8/6x/u+vPTlL3126f13vHvpHe/4r0uvetXupR0vOH/Z5Bb1c1txXGAs&#10;lMYDxTHBccGxwX9DPA5xHEFMg+lCzAv5WhMbysWxG5V9HsTysR0Pn2OHDUI0h1nt2HHBmHbt+oUG&#10;unykw/EPm86YNvuQsu0IReWfV4235/i1yo9POy7t2IQ4Nv21i9cvitexaT/btPlStlyQLXPqPLPn&#10;V+7c4rhAu3LcRu0/LbV5S9x5F79obA5/9fWvW3rwgXuvHaTXiKaGuM2bN4/KDUPc17/+9WEvTpcm&#10;+3v8UhvXp/aXOkpfcGa4aRjibJgmX+5JfSkY8BjW79i7QLp2HY91b/TFaMZLycfB/9G+Nm38O/Wl&#10;Z8L1N8qO8iE849s1OdLHZ1yLot8QluVEXqgb0iAwGNovNKbqSlBOpMl+pFJfcOb6uKmifiJYz6Kc&#10;tv2Zf26stu3nFEyvyTgUQhzGGuJwTkdzaUlf/NKXx+Z4aGiIWztItz/aGuL+zb956KiSuGkTQggh&#10;xGGwYcE58oQTTgzn0cuuuHFskoduetNv/+kgTjU+flND3MuuPH1UTmyUCCFWDjUbUEKIcfBAgedN&#10;E0PcxrO3TMQQh4cbswKbgSgDN2FXM3az3xoC8W+78TqpN8XlHjZ0YVLprgQ4/qFZMi/lEGKewIN9&#10;nhfvff/54VwayRvitl94Nj7Pzt2kb0Mc3ho2SHYka+SArPHBmjpSxg5rqlh8jvw04JjBbsxkd+Tn&#10;/sbMdiPDnTXdHTbeUaOf//MaGtKOUhDWpndYzGeYN8sy/CnCsZ9yXK4L6nT4Jw6X67r8k4j10BxD&#10;QxDOiUUzPk1bNFrRLGYNVjQRWWOVPff8ubbIoPw0W3EcQbz2cEzRVEVD1aIa7CYpGstqFMVfaUI9&#10;c+eYbYdoXiwpMsQ98MC9OwbpNeKk0zbus+k0NcR94xvfGJ5N06V2fy9625X9rGT4qQ0HcmvJmvLa&#10;ME3W0YwTlZHHYMKy63Qr7G94s5Q1ZEWy4e36LCUYuiLYZjhuzWsU8W1jw1ghPRjCaLSLFLU/6hOF&#10;tUKbWFNcW0Nc1E+lMkPIPzUuGKZpP6fIjWUhRJ4tW7aMzju+SbWpIkPchz/yMdy3zp8hTgghhBBH&#10;wMYS58gmhrjB51U/2UJ8/MuvbGaIu+ZVh2/4IWxyCSFWDjUbUEKIcawhbsuWx4VzJxQZ4n7lV7Zn&#10;f7Kl1hB3xZVHvl03S0Mcv0muTcHD3+ROfbPZXmsRbhJMaoNWG79p7IOOWTIv5RBinrCGuN/96EXh&#10;XBopMsT9zb2vrPq5tUka4mAgEKJPvGEOhhScN4tonCuZbLyRzZvYVo5RdP7ImevQHylzHWQNdqvF&#10;MDZvQrv78wt9w/OL5xj6sHSO1WDzjubFkrY+94KxOVyGuBiu4WESstB85T/3MA++6SwnphmtJXGc&#10;aeHfESwr1ORtXoyTM8TZMDR1wVxF41uqHUrrY2tOQxhbbhgQrckt2j9g+jYNxINsfWz7QdYcBoOj&#10;zYd1wl4E36qG9Pg5wnpQbhxHH9j+4dvWmDaOe2r6FjBM1E/2zXjIg+VG/rafoGhs8BjVtJ89LA/i&#10;CSGacf7554/OxVtuuSWcS0vKGOLWDNLtj8Gi/i6bSa0hbhB1JCGEEEIcAZsDnCOf+MTTw3k0NsR9&#10;pOob6sTH72KIw+aHEGLlULtJIYQ4Ajb8ed7kDHHPviB4Q9xt27M/2dLGEIcHD7OitBksjsD+mlRb&#10;Taov1Mdp7IOAWTIv5RBinsC6lefFpz59WTiXRsK8a+dhGOL++t7dVT+3JkOcWIlYM5M3NNHUZI1N&#10;1txEg5OVNdFYMS7Tg5iHN9hAMrGtXmiy49jk+CyNTY41jkE7PmnCoxGPoiGPpjwvXqP7VJSPLQdk&#10;ywjRpJY6z1LnFtrLn1s0sE37/EJ+bIO1xz06nBdL8oa4N77lzUsPfvtvtw3SbEQXQxxMRvNuiOPb&#10;sryRyb7dK2c+Y5gmitaSpfLCvNTUtESYbmS04jGIBjKLXVvRhGXJrY9tmVPrZ4RhH0T1Yvq5NIBt&#10;P+Tp+8y+9Q+CoctTqmuOXDvUjkWG8f1k40d9CFBfhonqxmNQm3722PBCiGZcdtllo/OnrSHus5/7&#10;07E5HoIhbpBmv3Q1xD384ccMqy2EEEIIgI0HzpNPe9rWcB69+MWvGZvkn3zGswaff6zqG+rExoea&#10;GuKuv+HIK22x8SKEWDnYDYTchpcQ4gh4oMDz5tztPx3OnZA3xG19zpalt71te/Yb6rWGuIsuOWlU&#10;BjzUmDbc5E3JXk8YFp9B3DjF59HmJh4i4JvLNg98Y9l+KzjC5oNNZqTNjWYcwyapjY9NVvsTHMgD&#10;eU8ClIf5dHlDnC8z6sc2zG1II3884MAxtgmEdkF6Ub1t+0eyfdcm/VrQZ+h7my7yiTa10fcMk4IP&#10;elC2CLYx68862I182weRoj4Abcc2wHGMYVsu/J9jnel5bJvg3x60I8pk3yAAoQ7RGwsI24BhkI5N&#10;o3Q+sdw+Dj7DMSG6gnUrx1YXQ9wLX3zu0l/fe3XV22X6NsR96UufHtVB63AhhFg50HA2bdPZPAMj&#10;3mjO69MQ9+C9GwZpNsIb4p530c7w4Ty1SIY4G8avDXAPzmORwYgwTBNF66NUeVEOtKNd/zVdTzKe&#10;XbMSHvOGQFJqR9QFx6I6YU3EuLky23A+D6aP+ufWRbacqbyYFtZZEaW65sitQWvTZRjfTxh/PJZr&#10;AxvOw8/b9rMnV18hRB5riLvhhhvCubSkyBD3sU988t5Bmv3SxhB3000fGFVQhjghhBBiHHwbj/Pk&#10;6advCefSeTDEvfnms0bl1Ea8EEKI1Q6+Zc95cccLnxDOnVBkiLvttnOz31BvY4jD/cS0sYaeSHZz&#10;nZ/BOOPj2U1kbHSWjEaIHxmhAMNE+VD4HPnYzUyvaNO8Kza/phvNJFdmbHDTWBRtzJfaFfL1LvWx&#10;Dd8m/RowjnLl8A9q7KZ2CtuOHvtgIhIp1df3QdexjQccuTFt0/bkNvppDswpGk+AD1fwgIH/jhTV&#10;Ce1hjXBebcaKEB5riPv8F14WzqWRIkPc//3b3VVvl5EhTgghhGgH3k7HOe+EEx4XzoslRYa4+++/&#10;d+0gzUY0NcStX3/k7e24b//mN785rNV0yd33ExqIUgYpriuwxkjBPGru2blOiNYUtrwp5dZIORg/&#10;KmPuGGGYqB1zdcqtNS32S0v+S0i59C01/V1KqyaNFLm61qbLML4vatvArme9wTOVtoVhaupu69u0&#10;rYRY7UzKEPeR3//EFwdp9os3xD3vhS8/6qG9lzXEPepRjx5WWwghhBAAb3ThPHnGGeeGc2lkiHvr&#10;W3+v6hvqxMaHuhji8Kp+IYQQYjWDn5/hvJgzxMEAZ+df/P+WX9me/YZ6rSHu2duPH5VhFoY4UrNR&#10;yXJS2ITHBiI2tu3mtv12r31jFswzCGcNQX6zE/AYhQ1LxIVs2kwHDwG4kYn0rEEHcfoA6dq88e82&#10;oJxMA+Vk2+CvN1pFfYEw+BztaN9EhnRL9a7p4y7pp0BY9hX+2m+92/Fgx4JtpxS5jXumiX7y4w/f&#10;0Pfk0rJ0Gdu+HThm8bnNn/LYNmFcggcIqBf+2nz9uIreOMBxQSE86+X73Y4JwAcXqI9Nm+cL6iVE&#10;V7Bu5RiM5tGUIkPcPfe+surtMjYe1KchDj+JJ4QQQqxUrCHu1FNPCefFkn72meeMzcMwxC0tHVwz&#10;SLMRXQ1x3/rWtw5Xasrk7vsJ1xXehEVQfqaBdUoEj9fcs+fWkra8XlhL2HVTU5hOVMbcMcIwUTvm&#10;6sRj0drRwzx8OXLpW2r6u5RWTRr4HGs0u77z8tSkCxjGtwE/L+2f5PLh52372YN0moQXQhzhla98&#10;5ej8aWuI+4M//NTYHA99+CMfu2uQZr/IECfEZMCmr91sxs1S6mZTCLGyqDHEveCSa8Ym+dO3PBef&#10;V31Dndj4UFNDHDRIZlkyxAkhhFjtWEPczp1PDudNyBvi8Ma4W27Znv2G+ko3xKU2I+1GZioM1k0M&#10;E22M8hgUraewzuJxbObCUGSxZWi7HrNltELekamoFrYzHmD4cgP7zehcX0TYekcbuzV9nKOUfgo8&#10;AGE8a9YieDiCfrQPSWxeKexGtsXGjdo4IpWWxabbZmzbPKL2w2d8sAV5bP5R/BTWiBeVm+MCis5H&#10;m68/nxgXfSzEpOD4g6J5NCUY4Ow8jP8fvPeqqrfL2HiQDHFCCCFEHQcOHBjNeVu3bgznxZK8IQ7z&#10;8CC9xnQxxN15551L999//7BW06V03497ch6vEZ5ZRvB4am1jya0l265TasiVMXeMMExUrlydeGwl&#10;GOKwHmT8kjw1ZQMM49uAn8+rIU4I0QxriNu9e3c4l5YUGeIO/MEf/tYgzX5pY4i77rp3jyo4S0Mc&#10;Nkhx4bQb4NjYw8UcG3C1m51C9A3Gpt28pko3OysZnI94oGNvttBGuAHHTXvN+YoHCmxX/J3EOY6+&#10;s9eUJpv5qAfqY/se9UW97QMdsfLZs2fPaAw885k7wrk0MsS95S0fqfqGOrHxoTaGuIc+9N+MyiqE&#10;EEKsZrZt2zaaE5sa4vbt25r9hnobQ9z+/fuHJZs+vGfPrV9YztSGOsB6neFy9+42nIefp+7L7QZm&#10;Kg8ez22a5kgZ4iDc+7dJF2VlGrk1B7+x3WYtyfSj8tX0cYlc+im41sqNG4/dEE9hx4HF9l3qjQme&#10;VFqWrmOb/Yq/KTAuorgg95CgRK7veSxXLubr+x19is/Rx5NYqwsBOP6OOeah4TyakjfEYR6elSHu&#10;M3/y0VE9ZIgTQgixksGXvDjnveCC7eG8WJI3xL3pl9987yC9xqxUQxzvwZsoulfnsZq1XW490WWd&#10;UiJXxtwxwjBRuXJ1yq3LLHbtmfryUJS+pab9Smnl0rBrXaxVUWaLPe6pKRtgGN8XtXsb9ouB/rlq&#10;Km0Lw+TKSHL1FULkef3rXz86f/o0xP2Pj3383YM0+2VRDXE1rveai90koBmmdrNVrDx4g4SxwHGI&#10;iXtWY3LW4Hy1JrFI2DT3N18ee+MJTeIc480kVbo5Ayi3NdFFQv39TbBYuVhD3DnnXBrOpZEh7pZb&#10;Ply1IU9sfKirIe7QoUPDGgghhBCrD2uIe9mVp4fzJuQNcWed98xvDuJk8evulWSIy21E1qQD7Ian&#10;XxOU8qnZwCyl0RSs7XBvb9cA2ExuAtaGjJtbJ9a2YQTTj+rdJV2SSz/CmgCb9IVtqxS5ccCNdwjh&#10;Sl9WyqVFatsvNbb5Wa4dcuWoHT8RubLX1IthfNntTzGhzbu8PVGICKxXOcaOPfaHwnk0pcgQN0in&#10;ChsP+vX3vit8YF8rGeKEEEKsFqwh7iWXXxLOiyV5Q9zrb37jwUF6jWlqiDv++CNrcxjivv3tbw9r&#10;NV1y9/12fVV6Vmbv1aOwPJZbn5DcmqHLOqVEroy5Y4RhonLl6pTbr7DYcH7NmUvfUtN+pbRyaXBt&#10;nPqCWh9rUIbxfUHzJp6V5rBftPKk0rYwTK6MhF9gK5VJCHE0b3jDG0bn286d+Tk1pcgQ99/e/99f&#10;NUizX7oa4v7Tf3rcsNrTAxMJ88fF217UMBlh0sGFsuZiNwlYttwFWaxseEOSuqlYTXjzKm4wcPON&#10;8xN/YXKjWa50M+hNdTj/+wRlQrrIhzeGpTLhmmPLhfCoM9KCcB2wD8rE6mDXrl2jPn/+8+N5FfOt&#10;nX9hiNu790D27TIeGx9qY4j7oR/6/43KKkOcEEKI1cyGDRtGc2LOELfx7HFD3LbnbfnnQZwstYa4&#10;MzY+dlSGlWCIY5iSWYz34RD+beHnqXzwOcOkKKXRFjyA4LoB8mXPkauzpdQXKAP2QHDcr5eoqN41&#10;fQzaph9h69zELGXjpciNA99PEOqT+sJSkzHVdmzzs1zb5cqRSteC+mFPIvXlrajva8YFw0Rl9+t/&#10;jBms+UsmRCFqOHjw4GhsHXvsD4bzaEreEHfR5duLczex8aA+DXG49xBCCCFWKnv37h3NeW0NcX4e&#10;fvUN//muQXqNWYmGuJwBK4Lruei5GtPJrU9Ibs1Qs05pS66MuWOEYaJy5epkPQmpZ75Yc3LdFaWR&#10;S99S036ltHJpcAyk1rE0o0EePAvlsdx6nmF8X9i1IsZuhM1jEv3sqe0XIcTRvO1tbxudb20NcR/+&#10;yMcursNoAAD/9ElEQVTG5njoXbf/5hWDNPulqyHuP/7HnxxWe3rYt0Rhkpk3WLbcBVmsbLjZvtrH&#10;gL3xwo1W6tsTOI9xo5W76bDfYKFrH+pzY503rOi3mhshlNs+FEo9UAFIE2HE6mDHjh2jcVFriNtw&#10;5vYHB+EbYeNDbQxxj3nMj4zKigcMQgghxGrFGuKuedUZ4bwJeUPcOc9/ZvEnW/y6+6przw8f2MsQ&#10;d/SmJT9P5cP7bChFKY0u2HVKk/Rzdbbk+gLrD7seSSkqV00fd0k/orbOHhsvRc04QH1Ybyp6oFGT&#10;Fo/PoyEO6+6UCc4q6vuaccEwqbJjjW6/+Abh376cQjTlrrvuGo2px/3UceE8mtL2C88em7sve8Vz&#10;q39uzcaDZIgTQggh6rC/ovKqa64M58WS/Dz8+r1v+PggvcZ0NcQ98MADw1pNl9x9P59DRga3CPts&#10;3T9X4+e59QnJrRly5e1Kroy5Y4RhonKV1kG27bCGtM86sSdgv4AVPQctpU9q2q+UVi4NGt6wPrPP&#10;M30doAgeQ1g8H4X8c1GGifrC5oHjHIdMh2tIrGfxmSeXNmGYVPtZmB/6VwjRDGuIO++888K5tKTI&#10;EPfeOz7wnEGa/dLGELd7922jCs7CEFc7ccwKtk3ugixWNhoDh+G5CqXMcJZcGN6oIU37jYy+blT4&#10;bRrcaIGa6wz6l+VIfaPBUtMGYmVgf3LtkkteHc6l3hD3tK3nf2sQvpoTTt26xsaHuhri8IBBCCGE&#10;WK3gZ8s4JzYxxD3rec/84iBOljaGuAMHDgxLNn1q7oVZztyah5uduXRA7pvtpXzsPXmKUhpdsJvN&#10;kbkqRW6T2pLqC/vlHKxhsHnsN4yZflTvUh93TT/CruOa9IVtqxQ144CgHFxfQr4sNWl1Hdv8LNcO&#10;uXLkxg/7Fv2HNPw5lev73DHCMLmyE/tQA3+jhxpC1GINcU968k+E82hK3hB38Uu2F+duYuNBMsQJ&#10;IYQQddgvjf/qr94czosl+Xn4Fdf80u2D9Bqz0gxxeNbEz2ueTQEbxz9X4+c19/i5NUNundKVXBlz&#10;xwjDROUqrYOwjrFryEhY73hzGCmlT2rar5RWLg2MAa7PIlnDWoQ1BlpZ+FnUF8jf5hEJ+w+pZ6kM&#10;07afLXZ/IvfGOyFEzHvf+97ROdSnIe6mN7/1yYM0+2UahjhMFLhI8iKLi12Xiwsv9k0205h3yTyD&#10;Cy3C2RsI5IGLq71I49/4jPnbG4mUoosvLrj4RjHzhfBvfOY3LQk3VLnZjnTtRIyy2UmX5WceaAuk&#10;X9t2lmnkjfhI07Y3hH7P3dixHGxnjDGOFYh9loJltfkyTk1blcYA6k4Ylp+hrGwj/I3OD3yGOnIs&#10;QygfxnRqrPh8ON6YBvLy9UP72zZAnqmbjxy2PZBnF1A+psXxxTKiDl1B+mwTtn3pphLYdhTC0sYQ&#10;d/qW51b/ZAvoyxD3Uz/170dllSFOCCHEasYa4q6/YUs4b0JH/WTqczZ/fhAny2o1xHGNxvVICoaL&#10;7qtL+eBzhklRSqMLWD+0Sd9uvubicd3j+8Lmm1qv5dIv9XHX9FNwDYU+rwVrfOYV7asAuzFfS6pt&#10;UZ9SWl3HNv4f5W3J1SnVJnbtnNo/yfV97hhhmNp+t2Mp1X9C1IB5kWPplCf9WDiPpuQNcRe++Nzi&#10;3E1sPKhPQxzuPYQQQoiVijXE3fG+feG8WJKfhy9/xZW/OkivMSeetmm/TaepIe473/nOsFbTxT5n&#10;s+syPqvFeiT1fDAitQbiOi33DJZwjROt6VLl7YNcGWvKzzBRufAME8dK61Q+v2ZaENo095wW5NrM&#10;UtN+pbRKafjnxEwLazXGxbEUWAdyPYtwvhxMN9UXWLPiGNeVFP6Pz+3zak8pbcAwqfYj6EvmnctT&#10;CBFjDXGbN28O59KSIkPcE049Y+0gzX458fRNB20mTQ1xJ510yrDaafxFjaLxpCm40DGNWqMNJ4jc&#10;Rdxu0rFsuAjyBiESNwDtBJOS3/jDxZYX5kg4Fl2wuTmLduUkHQnhED9VfqTf9CI/6bxt36aEvCM4&#10;ztB3ubJFNwm1/ZyjNAbs2LOb13bSpWx+KBvHb0pIm0YxSykfCm1XyqfpxrXty7bnOoluTOxnTcvm&#10;4YMGO7Y4nlLjzfY34gthsT+5tmvXG8O51BviTtu8/e8H4auJDHFXXn12+OA+J2uIm+WDdyGEEGLW&#10;rF27djQn5gxxp2/ZPDb/bjzrzE8O4mSpNcQ98ZTj5mJeLt0LA5Yzt1ay9+ypDUt7Xx2llTsG8DnD&#10;pCil0QW2FdR0XcJNZPyN1sd2Xev7wq63oo33Urty7Yd1cETX9FPYOiEND9fm9hjyz+WFdseamGFq&#10;SY1zW/eoX0DXsV1qB79+99i1vh13Nk+k4UF9cma8VJtYGKa231NlFaIp1hD3jE2PC+fRlLwh7twd&#10;ZxXnbmLjQTLECSGEEHXYL423McQdOvSXY3MwdN5Fl7xhkF5jFtUQJ4SYDNwTiTwDQogyfRjifvMD&#10;vz02x0MLaYizm3Fe2IRrg93AYzrRRp8lMrt5uCFpy8WNUGyu2nioF8JHG4DMJ7c5aNsFF1u7AYp8&#10;aM6KjGNIl3EhhOWmIv7ajWD+G3GQDmQ3d5saeSadN46j/fHXtgk2wK1ZK+pDbsoyX9uuPr7vmzb9&#10;nCOVD0FbMQzzRVh8jrKwTYHdKLffMkB7YtzbNrdtBqJ8eK4gHY4zHsNftBPzQFvwc4Rtgm1vlLUL&#10;LCfagiBNpm8/bwrqynRs+5UeBNixHI1Hsbqxb5jBnBnNpd4Qt+HMc+8dhK+mL0PcySf/xKis+/fv&#10;H9ZACCGEWH1YQ9ybbz4rnDchb4h7+tYzPzaIk2W1GuKAXXMgbGo9g3VgtG4o5YPPGSZFKY0UWB+g&#10;XFiHYW1ly4djds2Ta6sUqD/j23WYTztKH2GiuPhr2wSK6m3DcI2INLkW7Zp+Cpsu2taupVAOfIZj&#10;dk0M7DjCWgygP3xZIAuOo+2QNvsPf+16jukRu47mWhP19uu+LmMbYRkX6bC+UftCHltG31Z2Dc9j&#10;vkxQNGbxWeoYYRjf70gb5wr6mODfbCccF6IL+/btG43f7c85MZxHUzpz+7axufus87YV525i40Ey&#10;xAkhhBB12C+Nf+yj7w/nxZwiQ9yzd1x85SC9xnQ1xD344IPDWgkhFh2sj3l+cz9ECNGMj3zkI6Pz&#10;aEUa4vC2m0HUZZUMcdFGnlVbsKnGjVIK/89duLjxh83cCB63Ri1u9EXmrRQsj98ctHBzO1UWXIxZ&#10;Hr85a9sUG4t+YxVtwONQ1CasF9qsCbPM27ZJ1LZMF4oMUojPMePzbtPPOViO1Biwm9eQ38AmNlwq&#10;LftAwdfbxkfb2Y1pYDfho/jA9jk3+Guw/dEFW0b/AILnEerWllTf83P8jbDtkuo/sXqxD9Svu+7d&#10;4Vx6zvmXj03yT37Gs/5yEL6avgxxP/vUnx6VVYY4IYQQq5k1a9aM5sQmhrj1GzcXf7JlNRvirCEm&#10;JazP/FqFMEwqH3tfnqKURgq/XkoJ7eTXxrVgDRalCWG9g3UK/h31RS4u1khc/0b1Rt24vrayYbuk&#10;n8PvG3hF61KMj6i8EMphDW4WOz4iYWxGRGPW90HXsZ1rB6SbqhOwa32/Hi21L8scjSl8ljpGGMb3&#10;O9NPSV8kE12xhriLLjkpnEdT8oa4n92y5TcH6VRh40FdDXFf+tKnR/VYJEMc5jnMS7gGaB9svin1&#10;FedT/8xhnuAciLI22Y8WQswX9kvjmP+ieTGnyBB34umbdgzSa4w3xF18+ZXhw3lKhjghVi5cM+M+&#10;QwjRjkkZ4vDse5Bmv3hD3AsuuSZ8cG/VxBCHjT+G9cLGYBewuMMGnN8URbrRYo8byZDfrMbGHI/Z&#10;zUoabpBm7QY300ltCiMdhsltIHCTEWWw2A3dVJl4PGXwsmk0YZZ5A7YJ/np4LLWhDWzedjHdpp9z&#10;MA/kF4F+Z5jc5oN9AJErlw1nsfmkNp9L7WbTyI1XD9OFusA+i25M7HkbmS9LsG5I27dvbqwBO5aa&#10;tItYHbQxxD3xaVv/YhC+mr4McVu3PnFUVjxgEEIIIVYr1hAXzZmUN8SdeNqmvYM4WdoY4u66665h&#10;yaYP1xd+LWrhOrzmYSrutRHOrhEg/B+f59Y6pXzwOY5H6wXSpKwerBtZdqYDYe2I9unD5IO1jDVW&#10;4d9c33CjNtUXPi7KhbUK2pTr3FS9sffBMBDS8fXpkn4OrKEQ37Yp/s96R/jy2rJw78mPg9LYS4F4&#10;OA9YPublKaWP4znYDoxn60RDpq8TsHttdg+L+HSRBurD8YzPcNzDONExwjC+/ZAn8kAdmC/+jc+i&#10;MgrRlL17947GVldDXM3cDaJ190owxNk98pzsuYtznJ/jGifml1Jf8Vg0r80Ldl5FfYQQi4ndI190&#10;Q9x3v/vdYa2EEIsO7zPm+V5IiHlnVRniTj75ScNqp7ELGKs+No4BNgpx0bKbbpDfSLUbhv4YN/yx&#10;0WuxhptocziC4VMXUrsorZFfuCJdHkvB46ky1KQRMcu8AceSbxOQO0Zs29vFdJt+zsG0Um2QKoen&#10;pk6AG9pQarMqlU8pj9qyepgu1AWe1ymDJR9Q5DbsUzBtv5EPSu1ix3GTdhGrA/tAPZpHoaMNcc/8&#10;1CB8NZMwxOEBgxBCCLFa4XwIRXMmtRoMcUIIIcS8YQ1xV1y5PpxHU+rTEPdbH7ojfGhfq3kwxNk9&#10;u5zsfhcMtdyDi/bRRHvsM4s+DMSlvmJeqX3rSVNjvuZeN/ZuS+ZyIcT8Yg1x9/3DF8J5Mad5MsR9&#10;73vfG9ZKCLHI2C+e6R5DiPbIEOfABQVmFi7E+jAcRdAYx7JFFzN+s9mbXHKLRJjnmCbTRX1w0Yxg&#10;uNSi0qdXkjcC2Tqm4PFUGWrSiJhW3mgjLIq9yZGKTEolAxPImbua9nMOppFqg1w5LAwDw2aOVHo1&#10;+ZTarSaNCKYLtaVmQwh9xDBN+spurESU2sWO4ybtIlYHHBtQNI9C3hB34mkbDwzCV9OXIe65zztt&#10;VFYZ4oQQQqxmOB8+/OEPC+dMqo0hzq+7ZYgTQgghmrFnz57RHLnnuqeF82hK82qIg1FgFnDPC/vk&#10;2NNKSUwHtDXHxDTanXml9q0nTWnPVQixcuD1BormxJJkiBNCCCHmExniZow1yPg3wdEEA9E8Y98O&#10;ljLU4HOkS+MchH9Hi1QeTy0qbRnaLHJrDGU8nipDTRoRk84bpqeUCc4qWjDXLKZLGwxN+jkH46ba&#10;oFQOwjCLaIiz52GTeBa+ubFWkaE1AkZZ9nHbdrHXjVQ/i9XJoUOHRmPjB3/wR8J5FJoXQ9y52580&#10;Ki8eMKwWct9IxvUL537tNcXD60vb+PPMSq5b39/KnxaY0zCOMWbbzLeLWm/CcxkP81KgXgwH4V7T&#10;rxGEsPP3ox/9o+GcSckQJ4QQQkyfHTt2jObIN928JZxHU5IhbpzSnpeYLm33XtvCvGa1n6nxJ8Tq&#10;wK6x1x736HBOLOmev7l7bA6GpmWIW79+/aj8MsQJIYQQ47zvfe8bzZMyxM0Au4j0Czs8NOQxPsyl&#10;6SZ6KB6BB2h8IIy//i10TL+rGSoF0mX8FDyeKkNNGhGTzpsLYrQrwnmDYm7BXLOYbtL2pX7OwTxS&#10;bVBbjtQbDT0Yy0zPtllNPqV2qy2rxxrGYC5pA9u/VrmH4RZbpyayRgF7LanNV6wODh48OBob//bf&#10;/rtwHoW6GuKecOoZa218qI0h7oUX/uyovNM0xNnrVq0JB+cdrwtdDVm5ax/LBbWBcVNzwCKzkuvW&#10;dr6bNbbcpfuFiEWtN2HZoQjcF0X3E23aSqxs7Gb9scc+KpwzqT4Mcde9YUf4wF6GOCGEECLGGuLe&#10;vu+ccB5NaZ4McfjJuEHSy5IhToBpr8mY16zW9Rp/QqwO7B75CSc8LpwTS5IhTgghhJhPVpUh7ulP&#10;3zis9vxgF5HR2x/smyTsw/Umb4qwZh+/UOXnqUUlHswxTBujENJl/BQ8nipDTRoRk8zbGoxSRofc&#10;gpnHcuYk+9ayGoNbrp9zME6qDWo3OjhWMUZzMJz/+c+afEqbELVl9dhzC3+9uTHChrFtXzLL2H6t&#10;MdYgDMM3kU+bbQehvCVq2kAsPnh4zXFx7LE/Fs6j0LwY4i67bNOovLt27RrWYvLY87B2LsQ8zTg1&#10;53qO3LWPZuRao7yHZUzNAW2w7dW17l1oWzcaIEvz2SxpO98BznddjZptsIavNvl3qfekqakX74FS&#10;5yvvEZAW64c2m7e6itljN+uPO+64cM6k1j/jzLH5t09D3E8+7odG5ZAhTgghhDjCtm3bRnPkSjHE&#10;rVmzZli7NNhfwz0t742xXq3Zg8pR2gtMEd2f87PSup7horUk7s1xP88wEOqJsDX7tymwh8D1AoR9&#10;U3wxPrc/h7rZ/T4I/8fnqbJwvY7yA6SPfFgf/MX/fXykafOJZGF4rn3QPswD7WXrxc9tXxGmzb7A&#10;X/uLLUg/tV6yexMpWE62B2GZmsinYeG5wT0chkf5c895fDty/DENtEU0TpvQZOwxrK0HxHGXA3Ht&#10;eK0Z423PtzZ5idWN3SPv0xB30ukbtw3SbEwXQxzm3e9///vDmgkhhBCiD0PcO3/9N8z8flgyxA3A&#10;ogs327mFv70xj27IrdGGD8mgJgtsLBwYzy8QuZjIbQRwgYOwTfIFWJww7xQ8nlq81aQRMcm87YI6&#10;WrSindD3OI4+9th+x2LMg/jsmyh+RK6fczBOqg1q00U7MFxqAWzbzedXkw/bLdUmtWWNsH3tN2Ys&#10;6Bv0GfqHcNMAfV7CtkFpA66WUrsA2zYoe659uNmCsoqVjV3s/9iPnRDOo9AkDHGv3NPNEIdv3E8T&#10;XtNrznPA6wKuJ12pOcfbwvZMzQFt6HIt7pO2dbPzwbzSpY0Zr88+nxbzMrYi+mhXnuu4fgiRo5sh&#10;buO1g3hZZIgTQgghumENce99f/zT4ymdtmWLm7sXxxDH+1mvLqa4tuth5m3vz7lOt3t6HrsX78tt&#10;9+YjYf3fdO8cYJ8xSg9CWf3+HP7P/fqUsHcR7evZNRX2crn/7OXrwr3CnCxcV6PfovrZ9Rw/i9ZS&#10;PObNZF7R/rytawqW04dJtUtJERhHpfTQTtHYse2YG3/R84Uamoy9mjGQOk9z+aTitD3f2uQlxIED&#10;B0bj5NRTTwnnxJL6NcRtPGDTaWqIE0IIIcQR7rjjjtE8OfeGuMHNwyGbybwb4uyiCzfoWDTgMwj/&#10;5sN1KGeM8Qum1AIH4ZCOXajYBTKOe7AI4DHGww2TNQPZjQCUGQtMu9hAfZCvXySB1KLSwuPRohfU&#10;pBEx6bzZL2hftAFAu/jNhGihxXansCHDNrd9BjFtgrSb9nMO5pNqA+SfKovHlhvpsU6+XTCO/IK1&#10;Jh+2W2rx2qSsEbZfUFacaxj/SAt/Oc5xnKYY1INxcuexhe3ENLpSahdixzOEcYd+Qf0gHLfXpZQp&#10;UKwc7GI/Z4jbcu4lY5P8rAxxV1111qi80zbE2Y0/P9d57HUB8bpSe463geVMzQFt6Hot7ou2dbPX&#10;ynmlSxszXp99Pi3mZWxF9NGuvD9YxL4R08Ua4tatWxfOmZQMcUIIIcT02bBhw2iO/N2PXhTOoynN&#10;kyEOGiS9rJIhDutkhvXqsv/Vdj3MvO29td3jxr8jaKbxZbZ7AkgztefZtJxIi+kib6aLvzTw2S/M&#10;ID+7B4xycY8VcWx6qAOPEbumYhooP0BYXx5P7ZrMpgOhLNyDtO0HGAafe2waDMO4SMvuRfu9GlvW&#10;FLacETXjL5cGymT3ku24wzH2MWT7mdi0IdSX7W7HCMR+rMWmXTP2+DwLf21b+3L4c8teG6LxGtW7&#10;7fnWJi8hgN0j37p1YzgfljRLQxwe7g+iLSs1vwkhhBCrlfe///2jebJPQ9wgvf7paoh7xjPOHFZ7&#10;enDRlFO0uLTAZGPDp25obJhIUTx8FoX1C1osNKJwXlycELuwSsHjCBtRk0bEpPMutQkX5NGCmeMC&#10;YezC3SsqVxTOqukNL+Ol2sBuHvhx4cGiM1cfCAtnu2gmNfmw3aI2BU3KGoFFMje+crJ1sAv0qF4R&#10;Nk4fC5RSu1hs3inZzTCxstm/f/+o308++YxwHoXm0RCHb9xPE8xvzLtkfrXzg58X29DkHG8Ky5ma&#10;A9rQ9VrcF23rlpv754Uubcx4ffb5tJiXsRXRR7v2kYZYHXhD3Dt/7cJw3oRkiBNCCCGmz9q1a0dz&#10;5Kc+fVk4j6bU1hAXrbv7NMRBOew6KlJb2q6Hma+/t6aRJrUfz+N+3c/Psa8WYdcqtfuD2IdknJRR&#10;B/nZstp2Tq2J7N6f39+z5USdorKyzbH/6aldk9lyIh8akyIYLloH8RgU7VWi/Dzu+9SWNYUtZ0TN&#10;+Mulwfi5NrBmstyzFey5+zTwf47N0jMmS5uxl8OWw/cj64Dy18K0mp5vbfISAuzbt280pl5wwfZw&#10;Pixpkoa4K3bvCR/OU9YQ96EPfWhYKyGEEEKAhTbEXfzi14QP7q2sIe6JT3zysNrTBTfoWDxgEcmy&#10;4N/4LLdwJHZhh8VAilw+uYU4DDnWxISFWvQAH5/59FEehMcmQRSHC/BcuUsLnJo0IqaRN9rcLloR&#10;Dm2EtmDcaFHpF9NYrNl2RZzU2GjbzymYTqoN7PirSR8LYKTFOlL4Pz73C3dSkw/bOrVQb1rWFFEb&#10;o2+Rr998YZmaLLQxPjj2/CZBG0rt4kH+OGfteQ+V+kisPOxifxEMcddd99xReWsMcRjPPI/xt+v5&#10;xnMGaeVIXRdw/cCx1LmXgtdT/PXUnP/I1+aJf9OMy8+ituG1kPnb+LiG+GsF6mDDRYpA+Xwe+H+0&#10;2e1pW7cItmVKUfsD1Dsqf+31tE189A3Dpu4XLHZ+TClKB/FS9xw1+UaU7r1Q5+i+CGWprXebMcVy&#10;IZ9cGSw17RrJnq+lNFAuwPKVDLksc6p9xcrA/uQ5DHF3vP+qcN6EJmmIe+Ipx43KIUOcEEIIcYR+&#10;DXHluRtMyhC3Zs0xo7rkyN3X4h61Lf6+PhLCeHjMrwexlsHnvM+2YC3JePbe336eg2Fq78WxPmEc&#10;v9ZIwft9rH1zMJxvG7um4trZgzZjGE/tmsymUaobw/m+AjyWWwdxjPhxZsuaIldXwLSjMUZSaWD/&#10;lZ/nym/D+Tawaaf2B2rK6Gkz9kqkyoHzoUleXc63pnkJQewe+UsuvyScD0uaF0Pchz/84WGthBBC&#10;CAFkiFsAsNipfQgmFoM2C1UhhOibvXv3jubI0047O5xHoXk0xOEnaHLYTUOrLvOo3TBMbfxizmYY&#10;a76xm3IppeaE3JxRmk94PBIfBEB+0xUbhzZsJNyb2A3ZmjpaEDdXPghlTNG2bimaGuLQRtaMFwkb&#10;8qlN2C7xax9CkJr+9OmkziGrNucT40b9ggcBfHATyfZrVO8uY4rHMY5TZcCYt/1R066R7FgqpcEH&#10;dRyf0YM7Yh8cpB5uiZWBNcRhPpQhTgghhJgv8POinCM//4WXhfNoSn0a4n7/Ex8KH9o3kTXEHTp0&#10;aFjDmNS9eJd709L9PWS/cEJ4zK877FrKl4vrDW82q1kbWdWuQbGeYpxaavNIrR9q1pI2jKcmPrBt&#10;VoLhojrljpFUXrl6kFI5Of7sGs5Tk3+urQD6CeH8WC6VDzBMroyeNmOvRKqt7BfD8Rd7ZXYvyWPr&#10;XCOEJ03zEoLYPfJFNMSdd955o/Lb/WghhBBCLC294x3vGM2TmDOjubQkGeImjH0Aj5t6sfjULKaF&#10;EGLStDfEbdo/iFNNX4a4m974wlF5S4Y4boBFajuXYhONaaRMNXbOtptuNNngrzXUoCzWiBU9KMjN&#10;GbljdhMR5WV5sBHrjVh2AxGgjGhDbJLajVukYdONDFG1m752g95uUqJNbB6+bKBL3UrYtFMgP+aD&#10;8qNfU+VHv/MY6Rq/to0jGC/XLnYcY2zZMYsxatsYZW8C40X5czz7dFEef05H9e4ypnjMhmF8mz/6&#10;I8LGS5E7X0EuDbQ7j6ceKPIBXqqMYuXgDXG//TvXhfMm1MYQ59fdMsQJIYQQzeD8CEVzaE6LbIjD&#10;/TPWiLx3xrohde9aS+keOgXLHN1b434Zx7z5iOX2axzeZ9eqts6sG9qpBrsOxBolB+rNsJaataQN&#10;46mJD1L5RzBc1Fe5Y6SmrilK5awZf6k07OdYk+ZI5VMqH2CYXBk9zK927Fkw9nDu8DzyisrBPSYb&#10;DudVNIa6nm9N8hKC7NmzZzReXnXNleF8WNK8GOKa7tMJIYQQKx37JtidO3eGc2lJC2OIe9KT1g+r&#10;vVhwcdFmgSLmk9QiVwghpold7G/adEE4j0JdDXEnnrppnY0PdTXE4SfiUthNz0hdNsGs4SaCx/3G&#10;eg48NOBmHTYyPbk5I3XMphnFw3G7yRjlmyNXJtv+qbbGBiXDWLOVhZu6vq0nXTfmC6WwYVJ1xAYU&#10;w/iHFV3j17RxCsZLtUupfQHC8P60qfkqlb+tU1Q2PECwRjxf7y5jCjAuFD1csn0WPczgsVS7gtx5&#10;A0ppsF9S1xcej4yqYmVx4MCB0XiBIe7jn7glnDchGeKEEEKI6cP58eHH/OtwDs1p3gxxa4979Kg+&#10;JUPcJCjdQ6dgmaN7a/t2LKxtgP0Cir/f5zof6pOmdbNrJhnijlBT1xSlctb0USoN+/m8GuKaxME6&#10;O2WCs0qliXMN+xw+DW/e6eN8q81LCLJr167ROPnVX705nA9LmqUhDg/3B9GWhWuCEEIIIY5gXw6z&#10;Ig1xu3ffNqrgIhri7MKttNAVi0ObRacQQvSNXew///kvD+dRaNEMcYDGkEiljcgcmIuZjv8WKjbc&#10;eKzpnJ2bF9ocs5v5qW+n2/I23SzJbcrWbJDzAURUJ2LTsQanWdaNcFO19GUFhvP17Bq/po1TMF6q&#10;XXJj3GLDNSkD4/j8o4dSHtv3Ps8uYwrw85SZrNTmPJYbbygbwqTKWEoj10a2bVKGQLFy8Ia4P/rU&#10;r4XzJtSHIe6mX74wfGBvDXEokxBCCCGWlg4ePDiaHx/16GPCOTSneTbEoW7TpnQPnYJlju6tsSfA&#10;41y780tV0ZdPkAbD94n9IlcNTda5NBVhTWkprWuADeOpiQ+atBnDRXXKHSOpvHL1IKVy1oy/VBq5&#10;9auHe1gYE5ZS+QDDNDlHmo49wLZAWZGn31uraSuC9kh94a2mzk3I5SUE2bFjx2iMyBAnhBBCrCzs&#10;y2F2794dzqUlyRA3QfjgC4vX1MNBsXhwUyLaZBFCiGlhF/uLYIi75dYXjcpbMsTZDTSrlNmlFszF&#10;qY1KGoRwvOmcnds4bHOsdgORYZpuluTSx+Yij6U2GlnuWrXZHGWYPutGatPmfI8xYekav6aNU5Ty&#10;rqk/gOmK4Zp8y5pxfP65cU5y9e4ypgA/z/VJKi6oiV+qYykN2+bedMsHGiWTpVgZWEPctm3bZIgT&#10;Qggh5ghriPvJx/1QOIfmNG+GuBNOeNyoPivFEAdokOHeLNf5/j4b2C8D5b401BSso5hu7ZdaWM7S&#10;njLD+X2L3JqK2DCemvgA7Z5Kw8NwUV/xWG4vh33p10I1ZbVfOoqoGX+putaumXPrvJp2ZJgm50jT&#10;sWfNmKm6ND1XUwbPSZxvqbyEIFhXc4zc8b594XxYUp+GuEG8u2w6JUMcHu4PommMCyGEEAH25TC3&#10;3HJLOJeWNEVD3HgmTQ1x69c/ZVhtIYQQQtjF/iWXvDqcR6FJGOKufe054YP7nKwhbu3atcNapMEm&#10;Hd+whb99bQjQeOJNSjQv+Q1nCzb2EI7l8oo2DnObiqlj3BCFcjBMqm2waYz62G/TenlqNp1T9Y+E&#10;drbfPO6rbilK6dv6RQ9LLFFaXeODmjZOwXipduGYQh+VKKUVkYqTG+ckV+8uYwrwWK4uDBO1eU38&#10;Uh1r0uC56NPgA6/cgxaxcvCGuM985n3hvAnJECeEEEJMF/yMOOfHlWaIm8VPpNesEyJY5tS9tTUE&#10;WQNO9OU2a6ZpWo4c9k11KYMb9xAI9yOglJHJ1s2vXXJrKmLDeKx5K2dWQrun0vAwXNRXPAZF62db&#10;Vh/ftm+UNuJyHQVFcJ/Hm+0subpynYq/0dgCzANl8WFq2pFhmozNpmMvZ9oDKDfr2qQcTNP2z6TO&#10;tygvIYjdI//YR98fzoclTdIQd81rbwwfzlPWENf1y+BCCCHESsO+HEaGOCGEEGIVsWiGuHf9v0dc&#10;/DWGuElhf/aCG8B2wy7aFMbmYY1hJ9rsw2dNj9VsmgKG8RuCqA/TLslTs8HOTeeoTiW61q1EKX1b&#10;v2gj2BKl1TU+qGnjFIyXahf2O8ZriVJaEak4qbFsydW7y5gCTDdXl1TeoCZ+qY41adiHWzT12WuS&#10;N/qJlYk3xP3Zn30onDchGeKEEEKI6WLnacyV0RyaU1tDXLTu7sMQd+qpp4zqs5IMcdYQxLV67stt&#10;9k1iKItd92P9jP8jPtYlTaAZCkIevJ/HX5rfbN3xOdc++Is1JfLnMdSX6UVGp5q1pA0TwWMwiSFv&#10;yK9tbTlKMFzUVzxmw7C+aHPbFvzcYr/cxy8PIZwtHxVhw7GO2N+xbZerq12roSx23CAd2//Rl5ty&#10;aROGaXqONB17bGvUg/Vn3/OYjwPwf6Rn627zgNAWlrbnW5u8hAAbNmwYjZHP/MlHw/mwpFka4m64&#10;4YZR+WWIE0IIIcaxz8Jvv/32cC4taWaGuMuuuDF8cG9lDXHHH3/8sNpCCCGEsIv9XbveGM6jkAxx&#10;R8PNPmyqAWwA4v9+M45gU47HsVnJjUbC4/jraXOsZtMUMAzCW2x81NFvGObSr9lgz9WpRNe6lSil&#10;j83X2rS5wWzNZV3jg5o2TlHK224858CYYDj/8CMH4/j8a8ZErt5dxhRgurk+SeUNauKXyliThh0/&#10;fGDCzf3ogZdYmXhD3Be+8PFw3oQmaYg7Y+NjR+WQIU4IIYQ4jJ2nMVdGc2hO82yIm8V83/Y+n2XO&#10;3VtbQxBkTTQR1lSTUs0Xiyy4v7emLS/sIfj1OMrJPYmU0F5I21OzlrRhIuya0cqCdo8+j2C4qK94&#10;DGufXJ1TfYe2S8VDX9kvHEVg7yaKb8taqqs9nlLKwFLTjgzT9BxpOva475US0/Ll4DmcUqrubc63&#10;tnkJsW7dutE4+dKXPh3OhyXN0hCHt90Moi3r+c9//rBWQgghhAAr3hB33XXvHlXwhBNOGFZbCCGE&#10;EHaxj/kymkeheTTErVmzZliL2cANYGwQAm6k0yBniQwsHm7aRRuYbY7ZjcrUJrctl93MBdzITBls&#10;cpuyNRvsdmMz2qTP0bVuJWo2nLkhXjIgMZwfF13j17RxCsZLtYt9IOAfvFhsOG/wzME4Pn87JlLg&#10;IQfD+Hp3GVOAcXPjhWGiNq+JnzuXQU0agNcbnKeoK8dJE2OiWGzsg3aY2w/+1afDeRNqZ4gbn7Nl&#10;iBNCCCHq2bdv32h+fPb248M5NKc+DXF//CcfDx/aN9HWrRtnOt/z3re0dvLwHjm1Bgd2fYF76xqw&#10;FkBZmD4EUw7u8ZFXm7UI4mANYM1JSBP7Dqm1Fj7HcRsHZULZcusC+8Wm1HqPYZBeCpQXZbT5Wrhe&#10;zKVB2JZRX/EY6ot2wrqPn+Ev/p9btwIc5ziCUG6UH+nV1NXHR5tbA15NXTFuUFa2GYR/47Pcmr4m&#10;bYbxfVBD07HH8c+w7AOETZUjN1ZTRkbS9HzrkpdY3eCL1xwzi2iIw8P9QbRlbRncRwghhBDiCPbl&#10;MLgnjObSkmSIE0IIIRYQu9iXIa4Z3DSFuOkHRRuxNmy0MY0NPG6KRkaZnIkmdQybgMzTb0YC5Gk3&#10;CL0Bh5uN2NiMQJqM67H1TW044nOG8XmX6Fq3ErY//eYqQbswTNTnwKbjN7i7xsf/U8dKsG+xSRxR&#10;al9QGrM5mLbvF2t0RN09aCe7Ce7r3WVMgZq4DBO1ealdQe5cBky/VH5bV+THf6fGq1h5zKMhbv/+&#10;/cPSCSGEEKsba4i76JKTwjk0p3k2xGm+F0IIsRJZdEOc3SeSIW5lY/fdU3vKKxE+i0jtVUdgnxTh&#10;sQ/bdP9cCLGysC+Hufvuu8O5tKSFMcTN+ufVhBBCiHnCLvZvuukD4TwKdTXEPf7UMzbY+FAbQ9wd&#10;779qVN5ZG+IADUE0wuD/KRgGRi0uwLAogwnImnwio0zORJM7Zk1XMNjQLINNEmsY43ELF5komzXx&#10;RXEjeAxhkS/rarHpoKx2EQ9TFsKjXtFCt0vdSqB/GBf5AJQHaRP8n/3GNmIZcAx5Mo2o/F3j2zI2&#10;XdBzzCBftjnqhnyJNVkhf9s3vo2bbr4wXtQv9pzieOHYYXtRUb27jCnGy40XhonyrmlXhsHfCKZf&#10;M2Z9e3Cs1sB2rslHzCfeEPeVr3w+nDehPgxxt+y7OHxgj7feDIIvSw/IhRBCiMPs3bt3ND+uBEPc&#10;Cy448mUozfdCCCFWInaP/L5/+EI4H5Y0S0PcnXfeOSr/U57ylGGtpg/2w1iOpvuFoo4ue8KLTGlP&#10;NcK2VZN4QoiVh53nV6QhDg/4B1GXJUNcO/jALXpbR1/gwSTyiB5QCiGEmAwwlXGOjOZQSoa4GGsa&#10;gnJvhoIRx4b1opEnWpzlFny5YzASeXOYFcwwjO+NMdi08IYbK5tuhG+bKGypfFRk9OlStxqitH0b&#10;w+yUayMIcWh083SJ32XzA/naPKJ0kCfvzVJC2WlaawLjR/2SG3f43JY9qneXMcVjufHCMFHeNe3K&#10;MenHEmGcmjHrzzHkX4PdnEyVQ8w/3hB3331/Fc6b0LQMcXgbjuiXrg8TcvFpEG5ips2h9fzR5NqY&#10;b4HF3NYnnEPb7N10HW+TYlJtJcQksYa4K65cH86hOc2zIU7zvRBCiJWI3SOP5sIa9WmIO/H0TQdt&#10;OiVDHB7uD6It67jjjhvWavpgD4zliPbOuqJ1pwxxTfYy7RfSJ+lvEELMP9YQd88994RzaUlTMcSd&#10;cOrWNT6Tpoa4eXh4voiw/do8UK6lzWQmhBCiG7y+Q9EcSk3CEHf9658dPrjPyRrioFljF1X4a98E&#10;FYFFqjUZIQ4ekiIeH/ZFC/rcYj93DMAghPmbb4RiWC6YkT8+ixaFKBeOs442Lh+a4lgKmy/CpcrI&#10;B8bMA4KpCeFzhqsudSuBtG3dkUd0H4Q2gjHJmrBY1xqzWNv4XR9awzxl80T7R+MXZUBZ2A4Q4qHM&#10;UfgamFaqX/y4w1/8n/mxv3P1bjOmSuUCDJPKu9SuyB+f428E61YzZu0YQLlqwfnBeOhHsZjcdddd&#10;o36cpSEOb70ZBF/WLB+Q89zMKXXezTP2fOXc1oRcfHuNbJO2h+nhrzhMro1xT8FjfcI0o3uWErnx&#10;Mksm1VZCTJJdu3aNxu2e654WzqE5zZsh7iWXXzKqjwxxQgghViKc56DvPvh3R82FNZqlIQ4P9wfR&#10;lnXMMccMazV9Jr2m0Lpzftdtk0Z9L4ToAq+bUDSP1mhmhrgrXnFz+ODeSoa47rD92myq1qLJTAgh&#10;psuhQ4dG1/dHPvKHwzmUmkdDnOZ0IcRqBqZNmoCaGNtKb9kTi4E3xH3ta38fzpvQajDEsQw5LeI6&#10;s+tGdy4+rhv4HEZcXE+6ovX80eTaWIa4eibVViWTuhBd2LFjx2jcvunmLeEcmtM8G+Lw9jshhBBi&#10;pcF5DvvN82iIu2HvW496MO81iLYsGeJWNvO6bps06nshRBd43cQcGc2hNZprQxw0iL4sPTxvB9tP&#10;hjghhFg5HDx4cHR9lyFOCCEWC7zpjtfDJm/rowFA99yLzTwa4mb5gJxlwNsVsSEcqe1bLWcJys26&#10;4d9N6Rq/CVrPN0OGuHom1VYas2KSWEPc2/edE86hObU1xEXr7j4Mca+65spRfWSIE0IIsdKwXxrH&#10;T6otqiEOD/kHUZeFOs2CSa8pdA8vQ5zWb0KIpthn4ccee2w4h9ZIhrgVDttPhjghhFg52Ifpj3rU&#10;Y8L5k5IhTggh5gv+vCp+orUWGIIQB2+WW0RzkDiCDHHjsAwrbTO460b3NDfKtZ5vhgxx9cgQJxaR&#10;bdu2jcbtrA1xf/4Xfxw+tG8iGeKEEEKsZFaKIe74448f1QN7BjXgvh/7SoiDvaJLL7200xvES2sK&#10;fkkTX2YD+LIn84fwb/yygYe/kJBStP7Bvhfqw/0zCP/GZ6k9sc997nPL4ZAfQFkYH39t2drWhaAM&#10;eKs41iO2fiwjyhLRZt3G9FPrRJtmKl+uy1C+CLQD11gU/o/PU2OqSXvn1m9oe9aR/UFSnwMeQzlQ&#10;RtSR+UPo41R7EJSRYyEl1q8GlomgTHZcof65cYW+xPjxfYE0MN5SfYH2QTiOEdQb9WJ5OC5L1wfk&#10;b+Mxb6SbimvPJYRBPoyLYxafPv7i/7XnglidWEMc5spoDq3RwhjiINEcth0vhJMgN5kJIYTon0U0&#10;xL3r/901KrMMcUKI1YrdqMKmTy3cUJjkPb2YDv9/9v493LKqPvPF/8tpLx2qH84xJodLmcQm3SJV&#10;HBtQtKyLF6iiyiqhpFRuBVEChYGiLaNEoRBNRAUKWm00EUttJUaB0o63GKA0TWJahfJEPAm/qOR3&#10;TKuJtPWLHZMYhfVb79rrnfu7vvs7xhxz3dfa7+d53mdXrTnmuM8x5hjj3WvbOXz16tWtH//4R+G8&#10;CTU1xEXr7pQh7so9a6p8yBA3fOyz3k/ZBr2/CVrPNwPjMNtmmDDOfsb5cfaXJoyqrtRnxSixhriP&#10;3nVuOIfmNM2GuL1793ZLKYQQQswHSwxxP/1+OB/WadKGuDVrFtfnBw8e7JYujX3/t4J5pV/q1hR8&#10;B6cRjGG9/F6XNddE8usfa5CKhGuR0cnmH3HYeyCbTr9lIXVlgqI6rKvjCBqOUmY2lIFxptaSNGVh&#10;b9GCerSGrUhId1j1jZ8WmMMYHvnwpqsoLsJrMGJZI5xVqq8AW285IY5SeA8Mk7l6jQx+yGcU1gp5&#10;iYxpqB9cx0+a4yKhnlLGtrr6iNoH2GcpKjOJ+oiVECnsPvpcG+Ie97gnTuSB4KCRGmAAH3TvciW4&#10;jxNjNHHiuh8kEB7xpSZawLwxXQxyTAdxWYc8440mDDvA+UkBkxniZ7zMVzRJ+8kMk5gtE/6dcz0T&#10;5AETsp288G98lns5QL4QlmGQFvPE9KPyE7QDrvs847NU2wshxCTBwpjj1VOfuiqcP6lBDXFY/Nv7&#10;oUENcdigEEKI5Qjfv3ObEBG4B++nYvaxv9k2DkPcBz96aXhgbw1xpQfkWGdy7QXh36nNxVIYV269&#10;1y9cyxK/5sOaMbVOtZuRKeyegQfl4f34N553rGvt+hr/T/12u7/fkkuX4B6fXul6Htg0UnkE3NTM&#10;5cWDe5AX2xZMH+l6WAaMnzkYzq79WQ92fwBC2ogvNQ7n6hjxMx4P4sO9SM/uayAelDm3L8KwzD9+&#10;2jhS7QfwOcOlwiBv/hlgvlL3lID+EfVtpse0IvrtCymx7sAgbZEjqkf8G5/hWgrmhfdALGfqvkHH&#10;Id7Paygz6wI/fR2gLfFc2PpCHnP7k2x/ew/+jc9yY0d0X11a4wLf3so8ffbuV4RzaE7TZoi78cbr&#10;qvLIECeEEGLemBdD3K5du6py7N+/v1u6NHifZXivft+n6tYU/l0WeeD7HsLb9+PoPZD342cK+/6L&#10;+O1+A95dmQbeb/07tM0/w+AdHZ/jndmWadCyIG68yyJPNh+oe1zDfYjDY/No85MDcfIeWx/Evk9H&#10;aSL/vG77BvJt69OuS3CPXcshjWHUt217lMXWlY8fMG7E6+E1G4Zx2HZA3j0273bdgp98tnB/lKcc&#10;jJNpI0+MG2nafmXrB7A+sB6z15AH2xbRvgiv2/rkWs/fHz1/XFNCNs+419ZldK9/lvB/pA0hLsI4&#10;bH0z/qiNhCD2LBzm8WgOLdFYDHGnrD1tpU9k2g1xduK1kwTBg8rrqbzhged1PuAE1zgApISBA+l4&#10;OHjhOgYPf58dLPmZHXgABk1eQxwWlJfXInk44KXyQ0X1SOyAnFI00AOmjzrNpY+JzIP6tZOQl683&#10;IYSYBuxLwKpVzw7nT2oUhribbj47PLjPSYY4IYQQotcQh/lwVgxxWDdF61d85te6TWA8fjNwGDBu&#10;5C+35sPmnwf54fUUdg3rsfcj/tTaH59Hm9r2fl83uXRB3Xrer8vtep7Y/ZCofgjrFT9LsButKdl8&#10;ALshncLuveDfwJYhJcSZ23OBPLlrzGtOqT0GXse+R66/Rvsquf4CUBf2oCRSbr8mRW5fC5/b+vD0&#10;0xdSaVG2bgdpixT97B+h7nP3QGibunEgRa4/2vujccHmF+nn6tfvGwLEmbsH16Jy1aUV9eFxArM6&#10;8zJvhrjdu3d3SymEEELMB94Q9+hPHwnnwzpNkyGu5BvcGTZS03dcUrem4LoRit4N/bunJ1p3evgO&#10;j58Rdl/Cr1Nt+lDunXLQsuQofT/P5c+CMvMe37bY6+A1yu/P2HWXXfvafKbyYu/19WDLkosD+La3&#10;6wGslaI1OWDcUZ/mNShqI1s+Xyf0R6SMWKk+VgfTg6I8ody8HvW7HLnnx5Y1VZ92fezro668tq39&#10;+s4+S1HegL0/1dZCpLBn4Zs3bw7n0BLNlCEOLzfjhBuG0eSLwYz5grjpaqE5yw+qdrDHNXsvrtmB&#10;KUrbDm6MA/nBoIJrdjBjGDth2LxHgy7zhmuMC4MU7osmCDvgQcgz70Oe7OafH2iBzQ/isgMq6sbe&#10;Hw3ITJ/5RvqMA+nZ+rT1ADih417fDii/Dy+EENPAgQMHqnHtmc88LZw/qWkxxN367kuqPMsQJ4QQ&#10;YrliN+zxJ8QnZYjbe90LqnyUGOLsRqhX0408SxQfhDUgNimj9WMpjIvrRLtW9utU/N9iN+xSIL5U&#10;GHs/hDxg3cvNP/yb+cIa228K2vt93krTRfm4Lkb8vA/pWrie9puXrB/8jEBdMi2UpwT0I5QXP+26&#10;36/b7doc/44+t0R7L4gfZUU/snVo6wKKfvEuV8e5aygD6hH1Yfsu0rf9zbc34DUK6aT6q607YNvd&#10;lhUgLdQLriEOv+9h693fmwPxsg/jJ+/19Ut5+ukLJNVnLYO0RQqOgyivr8do/whxMy3cg/uZHvJk&#10;66luHEiR64/2fgh5QHh8jrzYNrNtactmxyrbTvg340Vd22u435bbl4vtizD+PrQZ8zUpsFZl2b74&#10;5VeFc2hO02aIu+22W6ryyBAnhBBi3vC/cDYNhrj2fYdtPCWGuNtvv70qx86dO7ulS2Pfl71K12Ye&#10;++4YvY/xHRzvcCl4v38vBnXv8Hhn5P2590HGgzqw2PzjXTfHoGXJkavH3LUcfLf2+eX6BOXhO7tv&#10;f/YVX192jZiD4Xy79VPf+Il1EPOKtP1awcL4ozbgtWg9D3J1bfMTwetN257ppfIEGDfqtQnIC+P3&#10;2Gup+rT1YfsI1mD8PAfD+La25UmlbdeOdX1FCA++NZX955xzzgnn0BJNzBD32te/Ozy495qkIQ6D&#10;FtP2cMOVig4BOKj7wY8DRLQxROwLjd28A3Zwy8UBGI4DNwY6fhbl2Q6KuXgtLE9JnH4yRhqsJ8QT&#10;gTCcdKNJoi793P28NzdBCSHEtGFfApob4jYebN9XjAxxQgghxPCYVUOcXXN5pdZxJUTxWWGt2O+G&#10;vo0nisNuyvl1pF3DpshtSNr7UQZr+iDcvIZ8/uz9+Lclly43ylObkYjLb3izbX072vzV5b907yCH&#10;3Rvg/gXh59F6H/B6k3V9qtwgV8e5azlybQp4DRqkv/q42U6pPgFYF/6QJIeth6g8+IztAjUh1xdA&#10;ru1KyNVXDqZb2s/q6giUjgMpcv3R3g+l8mD3PqNnHXuSGDfs3mTqYI3YNkQZLUzLGu+miUkZ4qJ1&#10;twxxQgghRJ5ZMMS983feFx7OW1lD3LZt27qlS+Pf86g6c1MOG2f03ljyDs4w/bzDp8qUko+nLv+W&#10;urwAhonKkiOXjyZ5tNg1Q/ROjuvR+zneyXmfX2vw87ryMV6821ualIV1if7JPQv8TK1PCeOP8pi7&#10;RhjG5w/raXwePS+5dUwdTC+XJ1xjuCbk7iuNk2Fs/uy9JbL3gpJnCbDdGYf3vQiRwp6FX3bZZeEc&#10;WqKpN8QdeeSTq4KO2xBnnbF+o4YDIicDb7Sym5V2QwkPOT/PbaLZcH6AsQNUtFllsXHY8qQ2km2+&#10;Swd7O5mlYJy+LJiEeS23GWbD+cmrJH1bZ9ELQ25zWAghpg37ErB+/Vnh/EnJECeEEEJMF5wPoWEa&#10;4qJ1d4khruSA3G7AeqXWliVg/ek3wrDeswYNqJ/NMt6bW3dzLenX83ZzN4VdY3rs/bl1LsM0MTil&#10;0rV7CE02blMbmHbzPKpDbmjaDfdBSeWFG9Z+Ex7YfY66/RFLrv36vVYH70McHl4btL/6/sJ2itIk&#10;LFNUvykYb24fxj7HTUn1BZC7VgrzlasXT9P9I4RD+FwdAYbz5bHtmiLXH+39uTGB6Zc+y3Zs8P3N&#10;wnby8dr91Gnk2JXHVOX7+kOvDufQnIZpiMPhfHRo30R33rG4d1DyjTNCCCHELLHUEPeDcD6s06QN&#10;cd/+9rercuAX50rAexjfyfF+hTXTIGec9t0xescreQdnmOgdu+5+ewZcIr9uqsu/ZdCyAKy/kQeG&#10;i+Tz0SSPFrvWt8Y2vldjHWzrj9i1st1Tsfmw8UWk1htNysI64roDqlsjAYaN2iB3jTCMz5/NO54b&#10;1g1+cs0H2Torgffl8pSqT4K8IU98tiN56uIkDGPzx72WUvn9rZJnCWBs8mXCPXX9Twj8GXH2mWVj&#10;iMPLzbjhhIJBgdA0hmvWQGY3X7nxhwHe0mSSSG0SlQ5ugOEQR1SWCDsoIa26Qb9kwGMYO9CC0rLY&#10;evYbeSXpp+rdvhCg3LnDCiGEmBbsS8AsGuJWr17dLYkQQgix/MAGN+fEv/3b74TzJjRKQ9xNt2yp&#10;8lBiiMPmFdeTVvis6SZhKdaEV7eGjeC9fg1qSa1H7foxRW4tW7ruT61lc/en0rVr21yantx6mpvB&#10;fl8Dbc60hrmGLqkPnx43cEs21C259uv3Wh28D3F4ctdIKu1cf+HnpSqF4fvJbwm5fpm7Vgrzlcu/&#10;p+n+UWkafM4wnlpsu6bI1XGuXxBrbiutCxtviXw7WaMkym73UqeBFSt+tspfNH/WaakhbtO+dly1&#10;yBAnhBBCNGdeDHHQEUccUZVl3F8OA+reHUvewRkmeq+su9+u/1Pvrjnq8m8ZtCz2fTYnn48mefT4&#10;X2JhXFxDRGv01FrZ5mOchjj8tMY9b2r0MFzUBrlrhGF8/rAGsua8SP0YtXhvLk+p+kSeWE918qTi&#10;9DCMzR/XonX3prBtWwLq1ZeTfVqICHsWjjEjmj9LNPWGuKOOWhyUJmGI44RhN4A5MfMh5cBpBxGa&#10;yvzGvR2Y+jWalQ5ugOHs4F43yTR16qbyaWEYW0eAn9v6TcG8pOLIpZ+bnO0EDOEFAnU0qoMdIYQY&#10;FPsSsGnT+eH8SQ1qiDtpw6ad9n5IhjghhBCif8ZpiLvzk5eFB/bWEFd6QI71kd0sw79HbWTgOrZk&#10;vehhPv360ZJaW9v1Y4rcujy3/rSk1rK5+1Pp2s+xpi8lt562BiCbD+6JeANPKViDo//YfQqrKC8M&#10;6zdLkQd87n9xjiDf2JfxexxWnlzb5q4B1D3ygjIwb16Iw5O7RlJpp/qLPRQpkT8oycF7+smvpZ++&#10;kOuzln7bIkfp/pFtk9ReGilp1xS5Ok71C4sNU2fwI74O6hTtQXKvlUL7o62ajF2jwuYrmj/rNM2G&#10;uJI/wSaEEELMEvNkiDvhhBOqshw6dKhbwvFR9+5Y8g7OMNE7dt39Je+uOZrcP0hZbDoI49+hc/lo&#10;kkcP3ql5L96Z+X/rQfC+hNRaGfczrrr1EPeA/J5Mk7L4+rZrgdxaiWGiPOauEYbx+bN1B7Ge8BPl&#10;bdo2hOnl8oRrDGexnyNPfq8tdR/IXbMwjM1f6b0pfNuW4vcXbZ6EsOCXuG0/iebPEkWGuFVrt65o&#10;xzs8Tlq7abVPZFYMcXajhwMQH3BOIhy8uXloNx39ZGgHF79h5kkNJE0GKIbDPXaSKdnoQtmZB8pv&#10;PoNUPi0M4wc1fu4n0wjmIRVHLv26yRltgUnQbpLi3/1OfEIIMUr27t1bjVV1hrjt517eM/9OyhB3&#10;y3/aVeV53bp13ZIIIYQQyw8YwzknPvjg/eG8CU2bIW4ScK0HNYX3+fWjJbW2tuvHFKl7Qd36k6TW&#10;srn7U+nm8pOjbj3NNTL2E4jfaC8Feyop45NVlBd/AACsYc/vryAMy1YnT64uc9ewh2L3FFJCHJ7c&#10;NZJKO9VfUN/8PBdvP5TEm8ovGKQv1PVZMEhb1FGyf2TbJHfIA0raNUWujlP9wlISxoO90Kb3ROBe&#10;u08JYWyp2ysdNczLzx7xr8L5s04yxAkhhBDjY6kh7nA4H9ZpuIa43nhKDXFr1qypynLw4MFuCcdH&#10;3XthyTs4w0Tv2HX34x2Q6eNduyl1+bcMUhauS/H+H5HLR5M8euzaDutgrsntWoNrA+TNho/er7mW&#10;ic78LQzn1/5NyuLrG2t15p95jWD8UX/KXSMM4/PHMjVtgzqYXq7/stz4aeHnqfZg20Iee417JR67&#10;d2L9Ieg/0eellDxLOVjufu8X8w/2rNlHsRcRzZ8lmilD3CRc8dYpjUHM/p+TiN+E5eYQBlWPDVs3&#10;2KYmmtzA52E43FM6yXhQppxTt2TAYxh/L18eoBx28vabiSXpN5mc7cYpfqYmECGEmBTWELd9+6Xh&#10;/EmNwhD3jnftCA/uc/rtt1xY5VmGOCGEEMsZa4i77757w3kTWmqIyx+qNzHEvXf/9ioPs2CIi9bW&#10;dbB8fg1qSa2t7foxRepeULr+TK1lc/en0rUbmbk0PXXrab/hbw8qSvcUiG1PlMNvzOfyYtPlngDN&#10;NNGmsa0nhPN5zbVfP9ewb8B9BBi9kEe/l8D7EIcnd42k0s71F36ei7cfSuJN5RcM0hdy18CgbdGE&#10;1P4Rfpamwf02/4uitl1T5Oo41y+Ifa5K66Ik3iagrmw5Uu06DvDnyZiPo44+Ipw/63TGjm0983Cp&#10;IS5adw/DEHfP3XdVZZIhTgghxLxh5+5pNcThED46nPfatWvxl8nx12HGTd07Xt07OGCY6L2S77ze&#10;CGSx59f+/b2OJu+og5Ql9e5Ocr880iSPEfyFIuYNsusoe47OMKl82l9MSa3rh1WWqL6RJtdRaPeo&#10;vRl/1J9y1wjD+PwxXdRB036Wg+lB3LOw2Drz+bZ5irAeDQ/i4rVUXbIN/LOFf/Ne2z6lRG3bhEHv&#10;F/OPNcThuYrmzxJNzBB39bX7w4N7r6c+dVVV0EkY4oCdqGlo85MI84gJguGjgctOSAibwobzA6cd&#10;3OpgOA6uJZNMCr6M+IGpZMBiGD/I2wk1NekCGy61UYr8pbDGu5IyNzEuCiHEuLFfE3veea8J509q&#10;Wgxxu3e/uMrzNB+8CyGEEKMGxnDOiZ///KfDeRMalyFuWg/IsW7j2hVr7KawfP38dm7J5m7ul7vs&#10;/anfsrUbjz6PufRT+wGlew2euvW8jRdlYfqpjfUUtryp/NXlhe3F/sD+EW02+7Ce3L5KP9fsHkJq&#10;b4PXEYeH14bdX3lo4u8ZFHsYkyL1jAzaF+r6yaBt0ZTU/lHp+MVwfg8x166kdBxK3Q+ajrPWRJfr&#10;r03JlWVc2G+ZkSFOCCGEmH6sIW7FihWtRx/9+3A+rNM0GOJuvfXWqiyT2Duve3esewcHDBO9Y9t1&#10;FNdveFe3adn3aqw3EM6e5yIs3hnx/urf8+vybxmkLPasGteYP+QH79O8Bvl8NMljhDWxQdEaj+/2&#10;VOp9He/0DIuftq5xzbZXtE4YRn0jzVwavBb1p9w1wjA+f3bd4YU8Qmhn2/dK8HHZ/oG+bevbx82+&#10;w7YguI/7AJTHthWE8Cwz2tL2m6i+bH2g7EiTIJ/4P+JA3jyptrUgTVy3fQw/7bOU2hcQAmtY9hP0&#10;oWj+LJEMcQXYQZkPt9+o4mDF65AdtCzcOMRPP+gRO/j5MHZwq4Ph7CBny+PLkSM1sKU+tzCMH2zt&#10;Rlo04QGUP7fZyrihqDy4nxNNLo+WJpO5EEKMG+uKnxVD3CteubHKMwx9QiwnuMCLFo7LGbyT4t2s&#10;yfuoEPOANcR94hMfCedNqKkhLlp3z7Ihzq57U2vrHLw3db9d8+XWqf4awL1cY0IeGzfCRaYcWz6/&#10;5rT3+2v2Pk/dXgPygWsWrqdza2VuwGLNzjRSG+spkDbug6L2qFv3A7thavc1orKyfVJzDPdcIE+u&#10;jlPXbN7Qfzy2/FGf4jWoaX/N9Re7ue2vDQLqlfFG/du2D2QZtC+w7VImv0Hboimp+q+rI2Dz6ttn&#10;mOOQj9tSl0+0B+raXuOYgPSj568fUs/WOLGGuKcd/3Ph/FmnYRriDh/+Vnho30QyxAkhhJhnRmmI&#10;w9zcjrcxPp5SQ9ztt98+0Tm77t2xZN3IMNG7K95t7bsr5cP6dURK/j2/9N0XDFIWvhszLS97zeej&#10;SR4jrGEQitbk9t0eSq1DgDVppYR6iN73h1Xfdr2KtZGFn0f9KXeNMIzPH8pTV24IYaL1ZAreh/Vq&#10;Kn58bg1nBO2Uy5PtVx7UAa/59rfK9ffcfZTfSwK5tiU2f5FQNiFSDMsQ97GP/0HP3AxNrSFuEn83&#10;HdhNKMoPWHYTi0ptCtlJCw+6jQuDnt2Y9RMAsINHHQznJwU7uNk0EA4DFzoV84+ftnw+TyUDHsP4&#10;fAA74aHsdoJG3diBPpq8GbeNg5MUwudeQDDBIH0br70H14UQYtqwLwEXX/zGcP6kBjXEnbzh9N32&#10;fmhQQxz+5KsQy4km727LCfsO189GkBCzip3H77jj/eG8CW3Ysrln/u3HEPeZey8PD+w/ete5VR4m&#10;dUCOzTSsxfD827Uz1mN2TZxbZ+bg/RTGYqaDdSY3G/EzWrvbdSTXwAhnx3TKgzLZ60iDxh+/vo7K&#10;Z+/342NuTvHxcp3LfLPMFo7FuXq28VJNNoYJ00fdslzIG+qG16BUXuzeDA1T2NuIYB+ydQ/8HgPk&#10;ydVx6hrqmp/bPQn89H0G//fY6wzDflnXX3P9BenbexGvbTvkG+2L+mQ/L8G2hW3PqLyQh3nqpy/Y&#10;+Nm2KAfjGbQtUiBfTfaPkB7Lgp/IK9vO5wX5jLB9le2DOErqONcvLLa+0A/sHiXyzGfNxoEw9h5b&#10;NoCwqCuU29YXPmdfY7sA28dTdTEO8IvYLJcMcUIIIcRswHlu1g1x3/72t3vKMm7sO6F9fyNcX+Xe&#10;1Rgmta5AvAwD4V3XvnsSvCdincf3UAjvilgb4B3TvkeSuvxbBi0L38dt/lAWrk34Xuvz0SSPKWya&#10;0Ts+PuN15KkO1CXq1K47kH+Un+WJGGZ9M22ka2E9Rm2Qu0ZS7cD08NOuYQDCIk7em+sjHoSH0DcQ&#10;L/ow48FP/D/qu4T9nvcwfbQp6xvXPHZtCPBM2fbEv3NtSZAO0rPpo7/huUOd+LoCdW0LcB/uRzyM&#10;F2K8QuSYKUPcM9aets4nMkuGOGAHD8g/+Bio7PW6QTLavPLCJBThB7ccDId7PLZMnBDq8oV7PBzE&#10;8DMFw0T5QF1y0EwJA3BqwGbcyJtvJ6so7SicVfQyJoQQk+ZFL9pajVOTMMRFh/Z1OvPMNVWe9+/f&#10;3y2JEMuDJu9uywm866JOsLiOFtVcgGtxLOYN+02v+/b9VjhvQvNuiLObbClhnRiNDyXYOFJp4fPU&#10;mg9r5NR9GLcwNvH/HrsJjXUs/+2F+KMNUXs//m2pm1Owgcrrkfy6umQ9jzawcUT7AiXk6gLiej6X&#10;F7930E/7QXbvwJOr49y1XN0jLzy8yO1NoF/l8h2VN9dfQF1dUKk9lxS59kT95p6RQfoCnpmoPLZe&#10;B2mLFD4er6ht8Fld3aOMqXFuWONQ1C8sde2B+vTU3UPZMc7mKRLKGo2J48Ia4p516rHh/FknGeJE&#10;E/CMYwzA3DbJvi+mE/UPIcrgPAc9+ugPw/mwTphz/TzcjyEOh+s+nlJDHNSOoqNJGOKEWA5gfcbn&#10;LLfXxD3r3N6Eh/E2WWMOg9wehRCzjjXEffrTnw7nzhJNzBD3pt/6vfDg3mtaDHF2oyc1AOJzhklt&#10;ylqwEYRNJW7EQfg3PsttVnHDCxtFdXDjDPd47CYiFlYAEwDC2rJA+H8UB+CGNOOIYJhUHAB1jHB2&#10;sw+boCnHP2Fe2S4Y/G2dIs5UfebaAItOIYSYRjZv3lKNWbt33xjOn9S0GOJe+MKTqjzLECeWG1qY&#10;9gfrbNwbCUKMGvzpcPbvq6/5j+G8Cc27IQ5rPDzfWMfZNWDJmrgExoc0sM5FnEwHP/H/usNFrAm5&#10;lmXeGB+uMS4PryE8/+/jwTo3Z4JhWPzbUrIfgLW1XdOzvFGdMl/4mcPmP7eurwN5sHHZtmDZcnmx&#10;G9jYL8iBOG27M27kIdd+uTquq3/UvTXb2T7Dckf1xzwiz6n+6vsCyfUXgjiRD5s3CP0k1TdK8O1p&#10;y4uy4LNUXQ3SF1BOey/K5ffh+m2LFMgv8od4bJy5tgEoD553mxeUFXlAHuvwZbXlYNtHdcxrUC5/&#10;hO2BuHhfXR75jNk6wf3oV6m9PMTn00Hd5MbEcYF9Z+Zp3Ia4aN09D4Y49l38FEvBs8z2wb+FsKh/&#10;CFEGzGN8VqbREIdD+OhwPtIRRxxRlQV/DlYIMVzs3JqD+yn4WQrjHfecXVomIWYRa4jDnk80d5ZI&#10;hjgx8/QzMQkhxCyzadPmam6cFUPcqaceX+X5wIED3ZIIsTzQwrQ/WGfa/BfzBv50OPv3q161M5w3&#10;oaaGuGjdPc2GuFHD8mkMGQ52Lpu0aUUIIUaBNcSdtvG4cP6s0zANcdGBfVNZQ9y6deu6JR0fo9yz&#10;bWr6nEZo8oZBtF9j8rRQZxgXzRll/5iH50cIYg1x//N/fjucD+s0LYa4E044oSoLvrlWCDFc7C/Y&#10;4Rc2/PzKXxJimJJfYCK8Z9x7UDp3EPOMDHFCdJEhTgix3Hj2sxf//OisGOJWr/63ms/FskUL0/5g&#10;ncnMIuYNfFMq+/fWrS8I501oGIa4P/6z/xge2MsQJ5rCb4DCt0EJIcQ8IkPc8Bnlni0OLFm2WTeT&#10;zQNa884Wen7EPLFy5cqqP8+6IW7NmsU9f+2fCzEasKfB5ywnfIN1E3jfuPeg9A4m5hmsYdm/ZYgT&#10;yxoZ4oQQy41nPes51dx41VXvCedPalBDXDv8tfb+NaefER7a1+nJTz6yyvPDDz/cLcn44G/28M8i&#10;+T+h5H8jiH/+h3/Kh3+aqI7ozwbh3/gs+pNBAN+ygnxhHvN/bgj5woteCtyLfNmy4N/4zH97i/0N&#10;4BS53+rm/byGfDG/+BnlE/XMeZrC/5v8dlUpqF8sVBE/2415Q/2nfuvZl8u3PX7i/3XfhpO7r9+F&#10;KdsD/QCgj9rfUkNb27pkWmyX0rwD9kHGDeH/+Dx1/6B1F/U3209TijbscR/Sss8Q2z63wW/HBuQT&#10;4Xk/612IYYNvSmU/27DhWeG8CckQNxgsX8n8LfJgrmF95t5LhBBilrHz80t2nBDOn3WSIa4Xri/w&#10;c9jgHZ9ly73vi/HQ75pXTAY9P2KesIa4b33z6+F8WKdhGeJOWXvaSh9PE0PcOeecU5VFf2FFiNGB&#10;PQ7s+9p9ZAh77dgbTp0j5OB+OPaYx0m0vy7EvDBThriTN2zc5hN569vuDA/uvU48cfHQX4Y4ETHK&#10;zRUhhJhGnva0p1dzY1NDXHtOPtS+r5h5McRxroBhyprHvLARiBcrLmC8cnMNFlKp+yBcixZT1uCU&#10;UnSYD/NOriz+HrvhmSK3iW3vtwfjlE0PeWOdp4TF5TDJ1T0VbfT6cqXiQV2njF25PoPPbRs3ge2B&#10;urRGLS+EQ99K9QfkIZX33H0UNgeivjto3UX9DenYeyP5drTxpJT6rb66sUGIUYA/fcI+hm9QjeZN&#10;SIa4wWD57Pwk+oNjJeYDIYSYV0ZhiDt5/cb97fhq8etuKDqwb6r7v3J3VSYZ4sQoidZ2YnrR8yPm&#10;idWrV1f9eRoNcZ/5o3vCw/lIu3btqsqyb9++bgmFEEKI5Yk1xN13333h3FmiqTfEPeMZ+opYkYeH&#10;zPoWDyHEcuHf//vjq7nxuus+FM6f1DQY4m6+5cwqvytWrOiWYrxwI57CnMFvbONv0UA09OAnDD6A&#10;33rFMNE3o1gTD+K25iGEp9EmMiYhPPKH9JgngE1Ja9Dx99nf/rF5QtrIrzcA2A3PFLlNbHs/hHQR&#10;Hp8jL3YTlXMz65F5R/lsGj6Pg4C0UG7Uha0ra9RCfXqicrHtEY/Nb2TiQxjGj5+sB38v1QR/P/LP&#10;+PGT6UL8N+5B2pDt25EhDGFs30R4fAZ8W8EEwWtk0Lqz1yN4DeFSID2Gw3OUevYglM/jxwb8H/dB&#10;uXSFGITDhw9XfQ6G8WjuhMZliJvEAfk44LgYPfuiHIzn7CuqSyHEPGP/pPmkDXHPe9H28MC+qZoY&#10;4jDeY83A+RPv0Xad2Q9818ZPD9fQSA9w3c308RP/92sQu8ZJKQLrhujdn+uXCK5ruU5Cfngvrtkw&#10;0VrTwnC2Luw+gl3HWFgv9htM8G98ZvcPCOsvtZaxa7hUmlynlRjhWa6UfNszf0gbYpvgc5tn5BNl&#10;9G2GekY/9f2CsH+wfRCPzSPKVLfO4z22L+L/+DwF+pFPp66N6uoA1xgf/m1hORke122emf4wnp9+&#10;6kOIcWINcQ/c/6fhfFinaTHEXXXVVVVZZIgTQgix3Fk2hriTTlpbFVSGOCGEEKLV+pVfeVo1N9YZ&#10;4l5+4Wt65t/mhrhN++z9/Rjirr5mcQMTmxSTwG6iYlPQg894HZt7frMRm4jc/Ivu58YnfkbY+7EB&#10;WQo2GJkvv9nIMqW++cpj40rBje8ojL0fSm1+5jZtCdNBnYyD0nJFbQ9Y19GBgI07qhN8xraHmmDj&#10;xsa/38y2ZjAoOswZJO/Abpj7+IdZdxG8hnAR9rlCOhEIg7QRJsoD85eLQ4hhYw1xT3zi48K5E2pq&#10;iIvW3Q987TXhgf1yMMQJIYQQTZhHQ1yTP5lq34utBjHFMc7oPduuJbDOsGsmK78Oamrowb2pslHR&#10;Gh/wvty3Sdv8pNa/yAPD2PW7rYNoPZarFyhag3FvIlr7AKTP+1PrLJY1VS8WppeSb3t+jnrzZWNY&#10;lMl+Hgn32n5BuMZEXLasXqmy+TW2V4TdT/KK2ojXcnUAcv2D5cTP3DOBfjDI89NPfQgxbuxh+b33&#10;fjacD+s0jYa4vXv3dksohBBCLE9GaYjDnN2Od3jgxcEnIkOcEEII0R//5/95dDU3jtsQh8P56NA+&#10;p50XnlLld+fOnd1SjBduZGNjN8JuNKY2/BmH3aAEdnM72sQmvD9lmkvBuP1mtd3ojjaCPbaMKbip&#10;GoWx92MTNQU3nX09WWxcqUODYWLT821kr6XaPlcvPCxI9S1gN+KbYNNNtTGv24MVSy7vNIrl8g4Y&#10;zrfpoHWXuwZ4DeEi7OZ87qDOhvPtz+ey9DkSYljgG1PZL6O5E/KGuLpDdRnihBBCiP6xhrhXXHxy&#10;OH/WacdFZ/XMw7NiiMsZkPCe3C98147WhnYtAcEYhPd2gPdyu1aIzEv2fv+Ob+G6mfHznd9/I3a0&#10;5mD+Kfwf6w6I4REfr6fWZHY9Yr8xLFcG2yYog103I32uQ70xzKYVrbW5toOidSDyx+tsjxJsXeZg&#10;GApti7IjLaaHfKNcqE9bL75fRPVtr0MoI+NA2ayBLyofDWrIF9sK6SJs9CzY9Ow9Ni38tDC8vc/X&#10;AcBnDGPrATBd5hfl5JrY11Pd8+fjtjStDyEmwbZt26r+fNddHwnnwzpFhriTN5y+ux1nI05au2m1&#10;j6eJIe7WW2+tyrJ79+5uCYUQQojlif0W2Lk2xJ1yyqLzT4Y4IYQQYvYMcWfvOLHK76QW87mNeFCy&#10;GZiKw95bolQeUvA+bGhasNnJa3bzM4XNZwq7aeopqSPAeipVLq5hkct7SblsGA8/9+1jydVrjpL7&#10;eD2Vfi6OunuJPUSyDFp3deXjtX7KZrGHSd7MmXquhRg11hCHPy0ezZ8yxAkhhBDjA3+ajHPj+A1x&#10;vevurS87Pzywb6pSQ5x9r47UL7l3bbtOwDojMm/x/sh4U7IWseuAKH7Asvu1DmD6UG69wPVSyiDE&#10;696AlitDykxFYEqiWcmucfA54/TrKBiaeI2iyYnYbxBDXKWUrs0YBvL5KyXXr2w+UN++DLbeYPKy&#10;2PYoKbut61Q7oT59OrwHytVBrn/UlROwD0G+nXNxk6b1IcSkwF4z++r73veecD6s0ygNcX/8J18M&#10;D+cj3X777VVZJvVL5UIIIcS0MCxDHMzpfn4eiyFu382fCg/uvZ71rA1VQWWIE0IIIVqtX/iFo6q5&#10;8YYbPh7On9Q0GOJWn7iY3wMHDnRLMV5yG6agZDMwFQd+M5b3lij6LWZsLmKjFHFzc9Yr2ij1aeNe&#10;xO83O4EtYwq7qeopqSNgf+O8TshvlNd+QVwoP9sqks97SblsGA8/z21k5+o1R8l9vJ5KPxWHLZP9&#10;LfSIkjj6qbu68vFaqmxs55LfTE/FlXquhRg1dkGPPy0ezZ8bz9pi5u+2ag7Vo3W3DHFCCCFEGfNu&#10;iMM36KSwxjGvQb4FKveubdcJqV/uyq0XStYiWBvieu5d38bjTXPMP+ogZwiy63IfhzVN+V/OSZXB&#10;3pMqG2D+vBkLBil87g14NLvhPu47+LVgnREvRd3ajjBM0/gtubTstVSbsd58v7DPgW+riFy75+A9&#10;dXWQ6h+gpJz2ft/OubhJ0/oQYlJYQ9xNN70tnA/rNI2GuNy8LYQQQiwH7P75gw8+GM6dJZp6Q9yz&#10;n/28qqAyxAkhhBCt1r/+1z9bzY2jNsRhA9/e348h7uijFw1ehw4d6pZivKQ2PEnJZmAqDm4q5+7N&#10;gY3JlAnOChueETSB2Tjwb58XW8YUuY3lkjoCzEeqrkcFDzvqlKuXVLlsGA8/T7UPyNVrjpL7eD2V&#10;fioOWya/Oe4piaOfuqsrH6+lysZnUoY4MYvAhMZ++eo9G8L5U4Y4IYQQYnxYQ9yVe9aE82edZtUQ&#10;B/he7FX3TeQ5cu/ag64lSu5PlSklH08u/xYYkrgOxrrUYk1T3riUKoP9vEQ+f3aPwv4CGs1uuB4Z&#10;36wRr26N6Klb2xGGSa3xSsilVZIPhonalWZCCOFyv8Bn9yCaYOPPkeofoKScgGF8Wrm4LU3qQ4hJ&#10;sXfv3qqfzrohzv41EBnihBBCLHdmyhCHFwefSKkh7sQTT64KKkOcEEII0WuIi+ZOq2Eb4nA4Hx3a&#10;53TkkU+o8vvwww93SzFe6jaySzYDU3GUbiRG2I1zmHqw6ew3yRl33WYpsOY6/LRx2XymyG2qlpaz&#10;rq5Hgc0b0vWHNrm8l5TLhvHw81z75Oo1R8l9vJ5KPxWHPezI5R3wsMQbzwatu7ry8Voqf6UHEPY3&#10;2/3BziT6qxAAf/6E/XLnhaeE8+cwDHF/+c3XhQf21hCnjXYhhBCi90B93IY4v+6ehCEO6wP7i1Yw&#10;wgxihgO5d+1B1xIl92P9wjB1Qrm92afJWgF/FpPxWCLjGUmVwZroSuRNeCgHr9n1D9sW6yObBrFG&#10;jKbGp7q1HWGYujUoQJ2gXq0py8tTkg+GidoVz4FPD+H8OhKwfyB8ExhvXR3k+vig9Z2L29KkPoSY&#10;FNbQvvea14fzYYnsPLyg5oa4Z6w9bZ2Pp19DnH5xTQghxHJnpv5kamSIiw7tI8kQJ4QQQvTCeRGK&#10;5k6rSRvi3nL9liqvK1eu7JZg/HCjMtrwBCWbgak47Gaz34iuw250pP7EBq/XbZYSG6ctS0kZcwaj&#10;kvsBDwIga8gbJcy3P3wgubyXlMuG8fCQJdW3QK5ec5RscvN6qn/k4uCBSHQ4Y2E4tK1l0LqrKx+v&#10;pcpmv/kg9ydqUt+QAOrGBiFGhf2zLmfvODGcQ2WIE0IIIcaHNcTtve4F4fxZp2EZ4s555SXhYX1T&#10;3XnH/onO97l37UHXEiX3cx3T77t+k7WCXYfj38D+ElJkIEqVYdBvoQdcp3Ktx7S4Zrb7GMwv1/JN&#10;DV6gZO0KGCa1xgOoN9Z9nTwl+WCYXLuivXwe/Lq5Sf+wML5cHYBU/wCD1ncu7oiS+hBiUhw4cKDq&#10;lzsvOC+cD0tk5+EFDccQ98BX/zw8nI+Ew/52NB3JECeEEGK5s2wMcc94xjOrgsoQJ4QQQixuaEHR&#10;3Gk1qCHupPWbDtj7mxri8Gfg2tF0NMmFfN1GZclmYC4O/sYsNpebmMByRh1gv9mqbrOUpMpiN7yj&#10;uBCWBwaQp6SOgD0IKM3zoGAjFun5bzAjuQOFknLZMB5rAIxMWdg45vXo/hwlm9y8nqrrXBx1eQej&#10;rLu68rE/poymtk+nNuPxPOZMi3VjgxCjwh66b9lyfDiHNjXERevu6LAeuuPARVX6MsQJIYQQrdY1&#10;e19fzY3zaIjDt9OOm9y79qBriZL7B33Xb3o/1x38RSKuBWlC86TKUFK2OuwvZWFNxP/bX3LiPgY/&#10;4/oLa8CmlKxdAcOk1q/AxoW8+bVqLq2SfDBMSbtizcn9Bsjm266nmxDFFZHrByXlBAzj0+q3j+Xq&#10;Q4hJYQ1x27ZuCefDEtl5eEGTNcTBBCCEEEIsZ5aNIe7kk0+tCnro0KFu8YUQQojlC+fFxz3uieHc&#10;aeUNcSdt2PRw+95ivCFu60ubGeLwrTftaDrCt+FMirqN7JLNwFwc1gSGTXBsfFtjHOLEBjQ2mO1m&#10;rjW8YVORpjj8tBuckN9oRFyI08dnzXke+6cuuMmNfPq0IE+TDVObjt/ARtn428WRickeGpSaC61p&#10;C2XhfUjXbtZCPu8l5bJhPCgPr6HcjCNqQ6gJ9v4UvO77B8nFgTzy0AM/bb/1+Y/aatC6qysfnznk&#10;jX0IzxryRuxBD/Jo+xrC2r5or5Hccy3EKNm/f/GA+tRTnxLOoaM0xO3/wOKfbJUhTgghhGi1rtj9&#10;qmpuHJYhDuvpdny1jMoQd9ttt1RlWo6GOGtYKl1bWpquFbg24Vqca1EazjypMtg1JuLsB6x9GIdd&#10;F2HNR7ge43qL4e16q5S6tR1hGIRPwbxGa1CQS6skHwzTZA3IPNl77D5EtNZMwXtydQByfdyWM9W3&#10;7T4V/m3JxV1CVB9CTAp8kQr787p1zw3nwxLZeXhBzQ1xJ2/YuM3HI0OcEEII0R/4khXOi1NviDtp&#10;/cZrbQLPOe3F4aF9JBnihBBCiF44L86CIe75zz+uyu++ffu6JRg/dRvZJZuBdXHQyFUnv7lsN+m9&#10;sDHN3zL3m6U+rJff8ATYpEWcUXikYzd0PU02TLEha41IKUUHA9bAVroxW5eevebjLCmXDRORa3uk&#10;navXHCWb+bye2kyviwP9JNUnKPT5aJN90LoryRuvW9m0kC/bZyKhfPbgx1L3XAsxKuxvsa8+8ahw&#10;Dh2pIe6DF1fpT8oQhzkJzx6e4X4OXjm24hmfNTB2cX7PHXRjHLRzGP7N8Zifpw7ZRwnnDbSBEELM&#10;C5M0xPl1twxxC+TWEt7wFWHXE6n1Uo6mawWbJ7tGTOUvVwec5zHnRmuxEviuwXJA9p3L5pdhcE8/&#10;2DVvLr8Mk2sPvmek3nHs+s9Tt8YEDFPariDqC9a4mDLvoR/4a7ynrk/m+octp30/tDDPUR8qeX5y&#10;RPUhxKR4+OGHq/68evWqcD4skZ2HFzQcQ9xffeOb4eF8pAcffNCURYY4IYQQy5tRGuJOWrtpdTve&#10;4TGIIe6Zz3x2VVAZ4oQQQohmhrgLLr66d5IfsyEOh/ztaDrC4f+k4IZpapPSbgbi3xF1cQBsiGLT&#10;lhvPEDYfsUmIA+/UgT82Se2BN+7HBic2LZmuP3TGhqhPC//GZ6kyAFxjnD4t1gPy7CmpIw/KxY1S&#10;CuVE+nUGJSi3ke5BWJTD1gfSYjrcVPd5LykXw0T1QtAeqXrlRnnu/ogSswfLlTIllMSB/KF/2j6I&#10;8Ll2AoPWXUnevBkE/SN6jpBP5Jf1AeG+3HMH2Gb4KcQ4sb/FftxxTwrnUG+IqztU9+tuKDqsh6bB&#10;EGcP8vDvptj7Zw17wJk6SLSH+FY8ELWfjRum20+7CSHEtDJNhrhf231leFjfVNYQN4lvbOfaLprr&#10;7FzIuc1jw0TwGt77se6C/PrFriX8WhnrBIRH/qL1QC7/KbgetT9T5OrAvgcgDuTTro8RHmsdrH9S&#10;azGUl3FAqAuPXT9BOaN+DlsWpAtQv95sxTC5dwiu0ZA3255+bQh5St4PGca3Kz7HZ7au8ZPrVsiv&#10;u5lXyK498ZP179Nh+Lr3qFz/sOWEUC8MY9OGUunYe6Pnp5/6EGISHD58uOqTK1asCOfDEtl5eEGT&#10;NcStXLmyW0IhhBBieSJDnBBCCLFM4bw4HkPcxoP2/qaGuCOPfEKVX/zGnhB1cIO7yaGDEELMGva3&#10;2DFXRnPooIa49Vu2hIf10Af+y2VV+pP4xhjAg14cdvpDvhLsQeA0UWIWxmEiD8pTB4mcD/GTh6s2&#10;Pl7nofM4YfnqDnKFEGKWsIa4m25Jz6E5XXjZ2Y3mbjIqQ9yNN15XlWkeDXEwIPG6lQVzLufMnKL5&#10;NJf/FNYsBOUMZnV1ACOSjSslvid4vLk+yos1TkGpd5cSonr2dcfPc+8QyIM36lnZdDwl74cM4/Nm&#10;742EdD11/SsyLPJa3XtUrn/YvPo2tMr13brnp5/6EGJSsF9O2hB30oZNO308MsQJIYQQ/WENcVjb&#10;RHNnicZkiNu0zyawYcvLwkP7SE972tOrgsoQJ4QQYrljf+ttEoa4l5y/NTy0T6kdRSUh6sBGMftL&#10;dCAghBDzgp3PH//4nwnn0FEa4j74oSur9CdliBsUe0g3TdQdbpfCOKbxmzeYt7qDXCGEmCUuv2LR&#10;VDJ+Q1zvunteDHG5b2O2a7+UCYthYCpKgbmIJnOEi9ICMJfR4EbB0IPw9luxLLn8p4A5jWYu/EyZ&#10;1UBJHfDbvlhGxouy2G8kS2Hvi95L7HvLoAYnmMOQV5Yfaft3BV6re79huRkeQjsgv7l+QUNidI0w&#10;jG9XfvuZ7yf4fy6/uA/ltMY4lD3VPqV1kOsf/j3Yf3se/p3q15bc89NvfQgxCWCEYx995PsPhXNi&#10;new8DGF93Y6vEZEh7jvf/V54OB9JhjghhBBikWEZ4v74T77YMzdDU2WIO+GEE6qC6ptlhBBCLHdm&#10;yRB39TWLm2arVp3QLYEQafibzbnfohdCiHnh8U/436p5MppH8a2sdg6uN8T1rrvP2LEtPKyH3vmf&#10;F78FR4a44TIMQxwOIAeNY5Qwb/6QWwghZplpMsTtecMbwsP6prKGuL1793ZLKoSYdab1PViISbF6&#10;9erqmbj/K3eHc2Kd7DwMTcIQ9+1vf7sqx3IzxOVMwDDh4vOc2bkfSg3K8wz2G1gPMJsIIcQ0MVOG&#10;uJPXb9xvE2hiiDvmmGOrgsoQJ4QQYrljDXFHHvnkcO60GtQQd/KGjYfs/ef+arkh7tV7NlR5xYuL&#10;EDnwm9PoK1iEwwgghBDzDr4ZjvPkzbecuWQeHaUh7l23Ln5D3CS+MWYYzLMhbhhxjBLmTYY4IcQ8&#10;cf4FL6/Gt3kxxF1z9Z6qTPv27euWVAgx68gQJ0Qv9sC8X0Pc81603c3hzQ1x+DOrNg5oVg1xWIf6&#10;byjFt0/il5i9YW0Y5NbAoxrzGOdyXtfautX6XggxbWzbtq0ao2bOEHf6mReEh/aRjj1WhjghhBCC&#10;zJIh7uwdJ1Z5ndXDdjE+uADXb6MJIZYLRx+9+Ceg8K2qfh6dd0Nc7jfAif9zWfiJ//NPU/H+FNGf&#10;sEIc/JNbEcwXwoFcHiz8rfWmsr+N3k8cyEsKlBFlZd4h1AXqpM58jj+z5f/0FudofqYNcyHEPDFJ&#10;Q5xfdw/LEHfF5RdXZdq/f3+3pEKIWafkPViI5YQ9ML/n7rvCObFOozLERQfzKU2DIQ7rRP+nkiMN&#10;+697yBA3fEq+WQ91jetQao9ETCfY60H7+j8BL8Q8sWwMcZj021F0BBOAEEIIsZyZJUPcqac+pcqr&#10;Nt+FEEKIRX74w79rHXfck6p5Et+q6ufRpoY4v+7OGeLe8tZdVdqTMsTlNrwBNjqskcsKn3PzD4qA&#10;sc3+NnskmL48Nl+4nsoDDGLWVNavIc5uvvcTBw4rInBAEYWnfP4tuQMQGPD4bxnihBDzxDQZ4t74&#10;lt8KD+ub6oLzF+dKrcmFmB9kiBOiF6xp+Uzgz4VHc2KdZIhbMMPZX4rCehprVKyRIfzbrhWjdXy/&#10;2HW4j1eGuP7QXDHf8FlM7QkJMQ9YQ9ztt98ezp0lkiFOCCGEmCEGNcSdvGHj4fa9xcBAZ+9vYohb&#10;feJRVV4PHDjQLYEQQgghHnnkr3uM4zsvPGXJPDqoIW7HRWeFh/XQ9W+9vEp7Gg1x2IinEc3+pjI+&#10;t5u6lAfhaIaz32wGYJSzZjqfts0XhPRpnPPpR9/OliuXhWGizfeSOHKbn9ZYh/jxLXcA+bcmv+he&#10;Xz7cA5APezgCRXkXQohZZd4NcVqTCzE/8F0P73RCiFZr79691XwnQ1z/cI0J5b6JnL+8llvvNiW3&#10;BrZr1GHCOOd1XTuqehPTQW5PSIh5YaYMcVj82wS2nH1xeGjv9cEP3tdasWJFVVAZ4oQQQix38OfD&#10;OS9OwhB30aUvXnJgn9KRRz6hyqv+7LkQQgixCAxxz3/+cdU8iT8z7ufRURri3vq2V1dp4/BgEpRu&#10;eEeb7PiMpi7Iw0NCmOJo6PJw89D/eQmbL6QR/TlX3ov4PblyWRgm2nwviSO3+cm6QT1E2Pht+VBX&#10;vDeKF9f1DXFCiHnFGuLeu397OH/WqV9DnF93D8sQt3XrxqpMMsQJIYSYV/AtqJzv8OfCozmxTsMw&#10;xOEeG8eGLdvDg/mUJmmIs2vEkj/BiF+6Sq21+yG3Bh6VsYtxzuu6dlT1JqaD3J6QEPPCzp07q3Fs&#10;2RjiJg0md/+VsNgsxssBfsu6dPK3f7Yltbldgv8TMva33nMMqxxCCCHGz6wa4mRqF0IIIRb5zne+&#10;3tqy5fhqnsS//Tza1BDn1904lI8O66HXv+GyKu1pNMTxm8jwM4X9k6Ae3p/b2ObmMNbCFpuv1Bo7&#10;t7GcK5eFYaI8lsSR2vxEnnlvDoaxpjl7b6rs2C9gmFz9CiHErHHBzvOq8W14hriNB9vx1eLX3Te+&#10;4+bwsL6pZIgTQgixHMAcx/kOc180J9ZpGgxxDz74YFWOOkMc1olc92JNa7/dux/st6jzG8b7xZ8/&#10;Q/g/Pk/lMbcGzq2/7Xm3PXvnmXfu3Jxhua7FTxsH7k+txy1IA2HteT3aBnsWubpkePySGsQ6w+d2&#10;rY1ze8TP9qZYpx7blk1kf1mOceT2ZADDIS8e1F1ULyhbP32VabEf2V/WwzVPP+kjboRj/aNObBzo&#10;HyXPGu5DONufeG+uT5WU0ZYnku07APHgM9t/BmkHIcbJKA1xz1h72rp2vMOjX0Pc7//+f68KCU0S&#10;+2dFUsJgZieMCLvBDEWDdAkYpHx+/CAXMaxyCLHc4XMUvXAKMUqaGuJeedmbeib5poY4hLf3NzHE&#10;tW+vJIQQQohFHnro851vheM8iW+L8/PoUkNc/lC9X0Pcvn37urkaL9gEZB78hiA/z61xcY3hPPy8&#10;VJZcvogN4ym5HzBMVMaSOLhZ7jeebb2UyKafq1NLdK8QQsw6wzDEveo3Xt5o7iajMsStXXtqVaaD&#10;Bw92SyqEEELMF5jjON9h7ovmxDoNxxC3aZ+NY8tLLwgP5lMqNcTZ9aJVnXkpB8+7BokD58rWdBMp&#10;df6cWwPn1qk0EOWUWrfyOoxruXzjXD0C5/R16aNeU/czDM4Y/bk91/k0aOXk9wRK6iSSrXebbsov&#10;gPIzDOrQYn+BMRLqu6kZi3sgqfay9Js++xp+5uoe/TiVf9tfU/L1RUrKWOfxsP0decz17dSzIcS0&#10;YA1xt956azh3lmhMhriNB20C28+9PDy09/r4x+/veTAnBSYrmw84cmFsw+SAnxiYOAD5iccTTURN&#10;B33AAZWDI1Q3cA2zHEIsd/gc6YVBjBtriDvqqF8K50+rYRviLrm8zBB38y1nVvl80s+t6OZeCCGE&#10;EACGuJ0XnlLNlaee+pQlc+koDXFveMMVVdrzZojDb2Dz8xJhc9CSyxexYTwl9wOGicpYEgf3Avza&#10;3f4GcYmwF0BSdephGK2FhBDzxNZtW6rxbdyGOL/uHpYhbtWqxW+jPXToULekQgghxHyBv0zC+W7l&#10;sUeHc2KdlhriNu1rx9eIYRriVq9e3S3dUnKGp5T5KgcMT7w/ZdSpwxpvcM4MMxHPvrFGt2vNyEyU&#10;WwPn1qmoC6yJUW77bWyIwxqBonN4XqOQDuPw90emMLv2Rr3xXqSF/FjjUnQ/r1GID+niXrYj6hH1&#10;hZ82DqRl+4Fd15OS9X2q3lEGfp7qE8gjw9i6t0YyW6e+Xpr6ELgHQuH/KDeEdMgg6bPOGAZ9gHWL&#10;+22dRvfbOsF122aIx/Yp5NNTWkbAsFE+COsC5WE5APKF/ubjFGLaGJYh7oGv/nnPHA9NpSEOfzp1&#10;EtjJAANGNGkBDISceFPYCcROlJzYSsHgzXtt/nID1zDLIYTQIZCYHOM3xNl7yw1xb7l+8TDhF3/x&#10;yd3cTw4s3DC3RQuNaYQLWiySpp1ZymspeE9i/029M80Ss9b/mzDPZRPzzde+9unWrl3PqcaayBD3&#10;kvO39szB9Ya43nU3DuWjw3ro8stfWaW9f//+bq7GS2rjFfDz3Ls2rjGcxY7h/byr5/JFbBhPyf2A&#10;YaI8lsSBsQ/X/drdboo3JVWnHobpp36FEGJamSZD3Hve957wsL6pYApoR98R9hKEEEKIecQa4las&#10;OCKcE+s0DEPcyes37rdxjMoQxzCRBl0D97vGs2vJ1BqW5hzIn4vn1sCl61RPLk7Aa1B0Tm/3FnCm&#10;b7Fxp+osdz/gtVwcOXCeT+NWdH9JveXqiHsLMORFpM4EmKfUXq1Ns8m+O/dAIL8PYhkkfVtnKBfq&#10;2GP3XKwR0LZHKn8Ig/pEmKheS8sIGDYXjmFSpkYhpp3du3dXz8TUG+Lai/pDNoGXX/ia8NDe6xOf&#10;+LOqkHV/L31U2MGnZGDOheFkjwHRDnpND5A52HICZf5yE+YwyyGE0CGQmByTNsRdvqfMEHf1NYvz&#10;zi/90i90cz85mBdoFpil/M5SXkvJbQbMIvPYRmRSZcNGgk3bCu/deD+INk1I3eaMhe/++OnBxgvj&#10;gup+0Qbv+AiHe8Rk8Ya41ScetWQuHaUh7vwLXl6lPW+GOFByf4qSOcCG8ZTcDxgmymNJHFzj46cl&#10;Vy91lN7LMP3UrxBCTCuTNcQt3gPJECeEEEI0A1+qwjnvke8/FM6LOW192fk9c/EwDHEvf8Wu8GA+&#10;pUl9Q5xdf/a7xis972Y4v47NrYEHWePyvqhcvJYzC3Hd7c1L9ktvcvt/NpyHn0f7faWk9gVASb3l&#10;6h19ide8ZwBl5jW7t4lvIePnOaJ767BtkarzQdO3dZZKw9aZfd5sfdlvY/PYcL7OS8pIcm1POFaU&#10;xCfENGINcddff304d5Zoqg1xH/7w56pClhji8DBj4uKhECbe3KBTBw+MoMi93RTkx8ZlD9KsizgH&#10;B1qUkfcwjtSLyrDL4UG9I22WD8K/8ZkfYG1eUljjoMcf4qEOUCa2OQZ1ny4mF5s3TAB+8rYwLoRh&#10;2RAv00V6tr3QJvYFtK7fITzi4GRl70Of8HVGWC98OUK+mFfcizzZusv1KU64CFeCr3eUj3WCn1F5&#10;kYYvI/6Pz1OwPMT3K9xf8kwjDOqJ8UGs31y9MDzKCzH/+Bx5YT3k5F9g2D8YN37i/z6cEKXMiiHu&#10;1Xs2VPlctSr+LaJxwrGEY+gk4XiQW/Ahn7n8lsQxDIaR11kEYzTKBM3DeD1N/X/YTKps/h0nEp4f&#10;vDtEMAzeL+pgWvjpsX2Vyr3r2PBistx//x09c+UwDHF+3f3aa88ND+sha4g7cOBAN1fjJTfWcq0R&#10;9Xti19Me3o8xoim5fJHcs1RyP2CYaBwoiSM1NtjN1ZK1k8Xem0oX61WGKRnDhBBiVpgmQ9yHP/rB&#10;8LC+qfAtOe3oOxJCCCHmGRjIOOfd/5W7w3kxp2kwxN13331VGXKGOLtetOpn/QtsfP2u8Urv5z4y&#10;9swsuTUw4uS1pvC+KF+5aySVdm6vzsIzW8jvEfLzujrLkctHSb3l6h1rf54NYP/FYvcO7Jm2TbNE&#10;TcpeUueDpl9SZyC6v/Ree87sz1xKykhKwmJPiGlhfGi6RyTEpFkWhriPfezeqpC5yZ/w4ffq9wG3&#10;E9WggwQOpnxc9jM/6KbgoZ8NXxfHMMvhwUTHPEXyebKTa4rcpGHvtxOuF/oC8saXq0h+cie8jnrj&#10;ZO+FzxG/zatX1B4lhirG7WFaKBsMdf4+lCc3kVrYZqUvyHX1bsuKvKeeRSplzOR1PBu5fpUqW12b&#10;Q6hflCGCYaK2R5lK2s/2q1wfhYToh3Ea4lat3bqi995NrT2/edaSA/tI9ltvXvjCk7q5F4D1Es0T&#10;pQwjjhLGlc60Yee91PuCWN7wXQc/LXiH4TsbhPeJyKDG6yXPViotYPsq311S71nAhheT5U+/+IGe&#10;b1M97rgnLZlLR2mIs4f+02iIs+sdv2kM/Hu2x5rlmo7juXwRG8Zj1wy59TfDRONASR5SYwPWRLw3&#10;Gjdy2D2KyGiMuO06bbm9Hwgh5pt5NMS1o64khBBCzDPr1q2r5rx77r4rnBdzGoYhrn3PARvHqAxx&#10;AOtErs2wH4Q1dHSuWIJdf/azxrP3p87eiN0zs+TWwKl7CMqNMz2sf/25HhWVK3eNpNLmZ7k9OJAr&#10;Fz/PpU9Qr1ij85f/vKK1f129gVz+APdmUK8WnsP6fQO7l1OiJp6F1B6IZdD0S+oMMIxtO+YPbVRH&#10;dD8oKSMpDev3z9CWdV8eI8S0sHfv3qrvTr0h7qQNmx62CVxw8dXhob3X/v0frwpZN/nnjColg0+E&#10;Ndb0+yJBuCHv88IXlpI8ctBCWJsf5jE1aQ6zHB68ZCBeDKB24kB7YOLxebKTa4rchGPvh5AuX7C8&#10;iYovPig/B3bkkZ8jbATvp5Af1BtkJ1MbD18UUG6bB1/fuI770B/sywXC2XJ7tz2w1yH0A5Qd8eAa&#10;y8j0U+Wzhxysuzqiekea+Bx9wJaF/Q1hED/rAOnaMuDfHhs/w7BcSMPWrU2T2PaxEzrygLwwXght&#10;4eE1CvEhHdzr64phonIQpod4fF76HZeEmBVD3M4LT6nyuf0lG7q5F4D1khs/6hhGHCWMK51pA2M/&#10;yx7NN0LUbTrwHRmK3ut4reTZyqVl+yri4r9T/daGF5Pl81+4tfWW6xcP3o8++t8smUsb/8lUt+7O&#10;GeK2bdtWpT2Nhji7ZrHrLb+moDwIx3dx/MQ9fB8HWAvgOcU7OX5acvkiNkwEryHveP/nGsDCMNE4&#10;UJKH3NjA/Qdet2t15AX/xxoFdeOxayrkDeEB7rHrMV4XQoh5YVKGuGjd/YlP3xke1jcR/lxcO/qO&#10;Sv7yihBCCDHL7Ny5s5r3brvtlnBuzGkUhrhXXr4nPJhPyRriYPAbF1jzMd1ofVmHXb/6da/Hruct&#10;uTVw6h6A9Oy5X0rR2jV3jaTS5mdYP+fIlYuf59LH3gX2LRg2pajdcvVGcvkD2Afgde4r2P7i29v6&#10;EYZNbg+EDJp+SZ0BhrFtx/yVnP1G94OSMpImYbEfhn0i+6zg31GbCzFNWEPcVVddFc6dJZpqQ9yH&#10;PvTJqpB1k78dpCL1AweTfu+3cMLyB2L2sCwy6BBMMByo7GY24P1+4CTDLIeHcUcHfRF2ck2Rm3Ds&#10;/agPX2f24ASKXkZs/PZQhNj7o5c3+/LBAw6LzWPdy58nN4HZfKPsPl1S16fs9VQcHlsmKDVJIj2G&#10;SfVnlgNl8PBeKKo7G79vW5vH1LOQux/wWi4OUhfO5qe0noUoYXBD3CbcW8Qpa09b6e8tNcSdvePE&#10;Kp8yxPXCeqkbZ3IMI44SxpXOtGHH8NScJ5Y3uXc2wndGvC962L9Knq1cWravYo3A9UIqXza8mCze&#10;EHfkkU9YMpcOaoi77u07w8P6//G3b+oxxB08eLCbq/FSN9ZiPcDrXniu7LomAu/+fCZy8uuOunyB&#10;umfJGtKsLPwsGgdK8lA3DlljW0rRRi3WLt74ZoX8Mu3l9n4ghJhv7Nw4LEMcvr21HV+WURnivvGN&#10;L1flkSFOCCHEvGP/rNqNN14Xzo05TYMhzpqPxmmIA3YN2PQ8C+F5b90akYYlvxbNrYERJ69ZkC7X&#10;/IgPa3ufd94X5St3jaTSZn2l1uPE7lv482h+nkufa2+UE+F8HLl9gVTeLSV7D9zf5Jkq92qiM96S&#10;NPslV1YyaPql9zMMwhO7D5TDnlP7/aiSMpImYS1Ik88NfjZ93oUYJ8vCEPfe9/5+Vci6yd8OIF7R&#10;Jm8JHEygQbATCvJpsS8KkUGHcBCOBjbebwdey7DKEWFfXkoGTVsXKXITjr3fGwMJyxsdPoK6CZ7X&#10;UiY/m79UmXk91SYpcmW313w/stg+FZWBL2pou1JsneEFLgUn/NwEbOPy5eDnqboHbF//XNsDn1xf&#10;tOE8/Lykbhg21cZ2TMrVmRBNmbQh7vV7ywxxW7YcX+XzVa96STf3k4PzVfR88xqfVSwK7CYA/p2a&#10;cwDGHIwF/h58xvEo956Sk81vSRx2XuOCOzcmR/UyjLx6ECfGXy6gIfwbn0VzMRm0bfjbT6gDLvRs&#10;2shXhJ2rcvmLYDqIG+K8hc/tnIGyoHy2PBDCl8wbvJ/3sUyR2Z/hojYq6b8WWz7ey3bFNZ8H1J/N&#10;Z12bNSVXNl7rt//kYLvmni+GgTz83PaJFLm0fF9FfPx/VDYbPqJpfxD987nP3dC6+ZYzq3p+/ON/&#10;ZslcOipD3He/f0PPn5M5dOhQN1fjBeMI85Abj+0YgvGG/RFjDT7D2JMi6tMQnqfUHFSSL4bJpY10&#10;7fjoxymOp9GYz7Ll8pAb/wjrj2lByBPKj3RTzzXrjflnOqwv1B0+K5mvhBBiVpiUIS5adw/DEHf/&#10;V+6uylP3l1eEEEKIWcceml9z9Z5wbsxpOIa4jQdtHLNkiMP6j2nnzucI1ox2Pck1Z259ChgOa0qL&#10;3a/y63SbN4utr9S6mdcRh4fXcuXlXgJ+WrgeR3lyMBzW1h6mH+UNoH4ZJrX2zu0ZpurNkqt3wnNf&#10;lpVl8m0IsPfK+Ia5/wtyZSWDpm/rLLVfYvudTQNtxM9T/RHYcH4fv6SMpElYjy1Dqt2FmAb27dtX&#10;9dVhG+Laa/Vt7XiHB/48m00Ah/PRob3XBz5wR1XIksmfD79Xv4OujW8QuFnsJ0xSN3HWbYbzWmrS&#10;HFY5IuygifLV1bWdXFPkJumSybluEqiLg9dS9VnyElEXR4pc3CXpktRLlu1LTZ6LknoHqWcwJR8X&#10;P8/VW6oe6tqd5F5K+HlJu5WEtQdvCOdfboToh6aGuFdd+VYzwS+ofW8RgxjiTj31KVU+X/e687u5&#10;nxy5MYLXaJxivr2woPJgYWSfdS+OERhvout1svkticOOqxwvozITlrdpOpFS6TAfOaU2Hpi/ftoG&#10;cJMlp2heK533Ingf5hufPuvIzkUppeoT8N0yEtL08xvrzsdZ2n8tvBaVj8LniDvX9lHc/ZAqG+C1&#10;fvtPjly6hGH62fSy5NLyfRX1TgNLlK4N7+mnP4j+6ccQV3eoXmqI+94j7+wcjLdv6WhShjghhBBi&#10;mhiGIQ5/rtzOxf0a4u79wqfDw/omuufuu6ryjPtQXQghhBg3Bw4cqOa9C87fEc6NOY3CEHflVXvD&#10;g/mU7Hkr3kvGCfaE7D4f9v1SYG8JYW0Yu1fp9yWJ3Q/1+61+f8ti9xctNr7o7M3ucUd7WrwGRXuD&#10;Nk/+fmu8StVVafqp/TZ7f+pcgnuA0Z6hrR+EjcjVO/H54L+jM2akw+u5PdN+yO2PkkHTt30Ne6RR&#10;vTEf3P8m9vwdZ/QRCJ9rs5IyEvoAkM+mlLS7ENOANcTt2rUrnDtLNNWGuHe/+wNVIUsmfwwkOPDi&#10;pI1BoInpx8OBBxoE5ic1KdqXnGhSy7mtAe9NTZrDKkcKOwFCKC/aIXoBsYNsCjvheEoG6boJoy4O&#10;XkvVZy5/pC4OpIv2zB06ekrSJbZP2TLyBQht1IS6OiOcyEuEPPg+wmupegOpeuBnqeeE5MrCz3Pp&#10;k5KwGJN8G6NfRs+5EKWM0xB30tpNq/29/Rji3vzmS7q5nxy5uYHXKMy7HJ8wTtjn2I9bdly17xxY&#10;KGI8isYIxpUbP3L5BSVx4FouDjCMdHJx2HcEXEe9ENSXrdvoPYlxU03aBqBd0A5Iyy5QkS9cw32I&#10;w5ObK+rgfRTSRxxIk+M/yoo5Ez9tnaAMfO+DbJ8ibFfGzXLbe/HTkmqjQfovhTCoWwj38HNbv6xD&#10;xGvbzLZJv6TKBgbtPzly6QKUzabr4TX2j5yYzygtXGdc+Dewz51/rmx4Tz/9QfTPH3zyus58yfYY&#10;hiHOr7tveNdF4WG9N8Th3UIIIYRY7syzIW7ch+pCCCHEuLGGuK1bN4ZzY07eEHfy+o3723E1YlBD&#10;3O23316VYefOnd2SjQ+7ZwRhPwp7Rfgcwr/tXhv3OQH21bgXiJ+4xn0/XLP7mdE+mU0b/7bYey3Y&#10;r+Lnds/PpwdFe1r2OsMwz9gXs+WJ9jDtviLuZfoIi/LzfuwBR/fbe1MwDqTFevHxQ3V7htjXA8ij&#10;3fPL1buFZ7/2Zwr4Axgn8mXTQ97xf+QH+W8C+15UVssg6ft+Y+sddYf7eC1qN5s2+qTd90e6ts/Y&#10;a6S0jMDmlc8i4rTtiDIiTzYt/Jv5aNoGQoyb/fv3V/18EEPcX33jm71zfEdDN8T1JlBqiHvb2/5T&#10;VchJTP524MpNBDkwCDGOEvkXAU5GGJSiCRPw3tSkOYxy1IGJAOkgn0wL//bpsTxQCjuIe+z9qbLU&#10;TRh1cfBaqj5z+SOpONCGzF+dPCXpWtgWfNEBnOTsZyWU1DtgmiWTdQTTSNU9SNUDP6srW64s/DyX&#10;PmkSFuOAb/fopV+IEiZtiLv2zduXHNhHmlVDXDSG2HGDiwvCezEHlsK4cuNHLr+gJA6Ol6k4wDDS&#10;ScWBOa9uXkCY3EKacUNN26YO1g/kyc0VdfA+KFdvKWy9+ftxjXGn5hFsTvm6SrURP++n/0JRnbM9&#10;Ibx3IM+WQdosIlU2wGvQsPtPLl1g+1cUN681UZRWqq/ajQ3bBja8h2Vq0h9E/9AQByMc28TPpef+&#10;6mgMcX/3g/e2Vq5cWaUrQ5wQQggxOUNctO4ehiHutttuqcoziX11IYQQYpzYPfNVq44P58achmGI&#10;w7xv47j6zW8ND+ZTmrQhDmDfiPuSOUV7RzD81N2LvSe/VwhS+1sgt4eL/T5e80JeuE8Z7dEyHPZS&#10;c/m2hiqLNRalhPQj4xNgmNz+MfYUbXxeTD+1Pxnlz4bN1buFv0RL1e0d5tqFis4CcnDfMlVWS7/p&#10;276WiyOVB/Rt7NlH91Doa6l96CZlhC8j6re2P/lrXqm+LcS0YA1x55xzTjh3lmgihjgczkeH9l43&#10;3fTOqpC7d+/uFn18YCBg+v0eDNUNfJHsy4AdfEuFAdAyjHI0AQM5B2H8LD2EI7bMnpLJuW7CqIuD&#10;11IvIbn8kVQc9l5Mpv5FKBd3SboWtDXCsj9gcuT9qRewFCX1DppM1hFMw9ebJVUPdS9+xL64oU4s&#10;/DyXPmkSliA9OyY0uVcIMouGuOvfenk395MjNz7xGsaRFCyLf275TGMBFS3mI1JxWXL5BSVx4Fou&#10;DjCMdFJx2AV7bnFlw/k5hnH30zZ15Oa20nkvgvelDGsllNRpk7k8Fd8g/Tf1Tsl+B6Xi5PWmbRaR&#10;KhvgtVH0n1S6aBe+g+XS5vUmisqY6qv2c1s2+7mnn/4g+ufOu17bmS+tIQ5/QtXOpc0NcTbsptat&#10;+18ZHtZ7Q9zhw4e7uRJCCCGWL9NkiPvSVz4fHtY3kTXETWJfXQghhBgnWNdy3lux4ohwbszpnFde&#10;0jMXT8IQd+utt1ZlmKSZHXtC/tvgIOxxYc/Ln6tZcA1hEJb34YwSe04pExDAfhrD+z1Pnun5s2+C&#10;eG162NfCXhjKwb0uxOHhOTbyjLA4s+Vn+Bmd4XpSdYX/4/Pc/hrTivJmwV4eywExb8g36wbXI3y5&#10;WDckV+8WpGXrJtcHCPPN+5h+Sd1EsA5SZfX0kz7qhmEBzjRs38K/c/2YIIxPu+T5aVpGtBnvYRr2&#10;HAZ1gPZHuRkG/y7p20JMAzNjiFu1dusKn8CVv3FLeGjv9eY3X18VchILdwyGTQd4Gwb3M/91E5o1&#10;rdmwnMyaCHm1DFqOfrDlwYBL8O/oc4s9RPSU3M8XD/yMqIuD11IHo35CjEjFwYkzNZnl4i5J12Jf&#10;ZNAevB+TXVNK6h1gEmW4pi8zgPeiD6RgHeKnhZO+7/8ehovqgen7dotoEtbDMqT6qBA5xmmIe8ba&#10;09b5e9/ytpf0HNantPrEo6p8zoohLvdMMox/5u185xccKRg+N37U5akkDlzLxQGGkU4qDqYP5bDz&#10;lX9fqssfYJhcHiNyc1vpvBfB+5rmx5Iqd+4dKUcqvlH035J2r4ujCamygdw1wjBN88L7ckKY1PsQ&#10;w5SkmytHrq/aPPLd3ob39NMfRP/QEHfkkU+o6n1chrgf/P2drRUrVlTpCiGEEGJyhrho3T0MQ9yN&#10;N15XlUeGOCGEEMsBznuTMsSdtGHTwzaO6/e9MzyYT8ka4jR3CzF+Sva1hRDjw/459Lk1xF1//dur&#10;Qk5q8reDHw6GUkYxHHbRZU2sma3EYEbTGtJpAtPIHagNUo5+SB3OIV1+HuUXYVkPkCcVryV3aAjq&#10;4uC1VH3aukyRioNlQx1HWCe3pyRdD9oa4REvHeA5s1mKknoH9iA1VX85eC8UuextPnz8CM9rKQOq&#10;NV1E+ctd87At+6nPuj4qRA4Z4voj99yVPJMME40PdvyBMD5gbEjNtQyXG2vq8lQSB67l4gDDSCcV&#10;Bz8vMWKn0qnLH2CYVB7RDmgPhovk57bSeS+C9+XqjPC3xThHe/lyswxN3xV5n48PDLv/4nOGSVEX&#10;RxNyZctdIwzTNC+8zwv1hzaN3mMsDF+Sbq4cub5q37v57mnDRzTtD6J/hm2Ii9bdH/zopeFhPQxx&#10;7VsqCSGEEGK6DHF/8ZdfCg/rm+iaq/dU5dm3b1+3lEIIIcT8AiMc575Hvv9QOD+mNA2GuOuvn+yX&#10;xAix3CnZ1xZCjA9riNu8eXM4d5Zo5Ia4U9aettInUGqIu+qq11eF3Lt3b7fo48ceeOFQCAdKMP7g&#10;QAk/cUiEz3HdHvrSjFR6aIl4mE6TQyfeU3eg1m85cvCQzH61Jv7NsuO6h9cgGpdgxLMTDeXJHfqR&#10;3KEhqIuD11L1WTIhpuKg4Q31Yg9KUf+2XiBPSbqe6BsG+znQLKl3YsuBPmb7BtJGudE2qAsP76NQ&#10;Zn6zCuqI/RM/o29csWnjXpYVYZEu70f/ju6399bBfoY4WUbkkWkiDoRBukwLP22bpIx7QuSwhrgj&#10;j3xyOH9aDWKIwwuBv/emm8/uOaxPyRri3vmuq7q5nxy5uSF3jTBManzAs2/nUQj/7meeAXV5KokD&#10;13JxgGGkk4qDn0/SEGffrXLy7dRk3vPwvlydYd5ImeCsUnWaq4+IuvuG2X/xOcOkqIujCbmy1ZUb&#10;MEzTvJTEnQP3lqabS6uur+JdjNfRzjZ8iib9QfRPZIh7y/VbeubSURniDv9w8ZdY8E1xQgghhGh1&#10;/jQZ58d5MMRdcP7iL93iT82IycM9Uf6yioV7xtF+6bSAfU2uY7FeELNNrs/l+qoQ08zq1SdUc9/9&#10;X7k7nB9TkiFOCFGyry2EGB8zbYh77evfHR7ae73hDVdXhZzkb7JhsWcPk1LCgpDGGPzk56WmF3tP&#10;k0Ul76k7UOunHHVE91vBIORB3PaAzQppW8OQp+7QD+QODUFdHLyWqs+SCTEVR67skDV0efqZiNHm&#10;vAdC/P1QUu8EaXpzX6RoQc1rWIin6gmfR/0KoH7r0s71b4ape5YA8mDjpVg/tr0i9dsWQgzDEIdD&#10;8/b9tcgQtwjDlIwP1oCLnxgXLfi8Lq66PJXEwXGopFyDpJOKw5rRcmBMZjjUnaUuf4BhfB7t3IUw&#10;fu7IzW25a3XwvpI6Q/9AOJqpSarc9j2uCan4Igbtv/icYVLUxdGEXNlKys0wTfNSEncO3Fuabi6t&#10;ur6K9mN74n4bvoS6/iD65/c+8uud+XJYhrho3Z0yxP31tz9apbly5cpujoQQQojlzSgMcTgYb8eX&#10;JVp3f/tvHgwP65vIGuJwkDBp8B6JPV++20J4v8QeIN45l8N7pi27f3fPvfNPC3YtMc35FGXk+hyv&#10;QdE6U4hpZe3aNVXfvefuu8L5MaVhGOLac/phG8c7f+d94cF8StYQN8kviRFiuVKyry2EGB8HDx6s&#10;nsm5NcTBAd+OoqNp+E02vPzjIJK/CQXZhbuFpi5c94ecOWjmabKo5CFVqfGuSTnqiOLCv/FZynQE&#10;cA3p2Xsw0WDzgwfjyJPHHpqn4me8+BlRF0ddfdq2TZGLA/0B9cMwEPKKusyVvSTdCFvPpX3EU1Lv&#10;HvQlu3iG0L+Rn1Q/Yzj2BVtP+In/1z1P0QYbhP/j89wGG9MqrSeYK6wBD2kwf3X5EKJfxmmIO2nD&#10;pp3+Xhniykwz1jTrNw/5eS6uujyVxIFrDJei7r2jJJ1UXjHW8f7c3GHDlRrDLAzj80hDXmreRLsw&#10;Xd9GuWt18L5UnWF+YJjUfDBonXpK6tEySP8t6Xd1cTQhV7aScjNM07yUxJ0D95amm0urpK/aNilp&#10;H0+uP4j+oSHu6KMX1wTDNsTd+cnLwsP6r339w1WaMsQJIYQQC8ybIW7r1o1VeSZtiMM+IPfcUsLe&#10;cJM1zjio22NuCteoKKvfnxx0fTEoJXu/yDPPALS3Ofvk+lyurwoxzVxwwTnVWHbbbbeE82NK02CI&#10;u+qqq6r8yxAnxPjh3nvqPEEIMV6sIW7NmjXh3FmiyBCH8+92vMPhpLWbVvsESg1xdiNCX+0uRH/Y&#10;g89pX8Ayn00PpYVYTjQ1xOHPlPt5eByGuOOOe1KVz+VoiMuZVHgQkPs22Lo8lcSBQ4dUHoA1Vw2S&#10;TiqvMLcx/tQBgt1Qj/KQitvCML5teHiB+CNs+X395NqvDt6X6iv2oCEyiOfqpKROEae/VlKPllz5&#10;+XmqfPicYVLUxdGEXNlKys0wTfNSEncO3Fuabi6tkr5q+5Q9iCylJA3RnEka4r7+/9xRpbl69epu&#10;joQQQojlzTAMcde9fWfPXFxiiIvW3cMwxK1de2pVnkOHDnVLOX7suhTCL7viFy7wXomfWGvyHbXf&#10;d+tRMeg7fxPGmVaE3vmXH5Puc0KMgiuu2FWNZTfeeF04P6Y0HEOcub+tQQxxk/yraUIIIcQ0gHUs&#10;58WZM8Rdfe3+8NDe6r3v/Xxr27ZtVSGn4avdhZhFeACKDadph8/7MA7IhZhXJm2Ie8e7dvQc1qe0&#10;XAxx2LjHBr79DWr8m9+8husexoVrvA8HAfbb0eryVBIHTDAIw3Dc1EYYmsWoQdLJ5RV1wzSQpq0n&#10;xGO/ZdNeI7m4CcP4trGGN1yjKRzp+PL7Df9BDgN4X24uQ30iDMrP+JE//80JUblt3lG/bAv8xFwf&#10;3ZeqR6TVtP8y7VT58DnDpKiLowmpsoHcNcIwTfNSEncO3Fuabi6t0r7qDyIhTz/9QfRPP4a43KF6&#10;tO5OGeL+9M9ur9KUIU4IIYRYYJoMcYcPfys8rG+iVauOr8qDfYRJYN9V8S5p3zMtWAthndPvu/Wo&#10;GPSdvwnjTCuidF0h5odJ9zkhRsE11ywayq65ek84P6bkDXEnrd90oB1PI+z90Ps//JHwYD6lXbsW&#10;DX0yxAkhhFjuzL0h7oMfvE+GOCEGxB5+wngw7TCvwzggF2JeGach7uQNp+/299qD+pysIe4DH3xT&#10;N/eTI7fRV7IJyDB+fGIZU4rGXnwWhbWbznV5KokDRCYYCnHTsDZIOrm88mDD32+FgxHkMyIXN2EY&#10;3zZI2xruvOw1X2/4f+paHbwvN5fl2gVi3lJ1mitXdNCUqkd/r1fUf3ktVT58zjAp6uJoQqpsIHeN&#10;MEzTvJTEnQP3lqabS6tJX/X9xmOvRYr6g+ifEkPcRZe+uGcObmqI+8y9l4eH9Z/57O9Uaa5bt66b&#10;IyGEEGJ5M2+GuJXHHl2VZ1KGOL7HQikznKUkzDgZ9J2/CeNMK2KQNbCYTSbd54QYBe97363VWHbF&#10;5ReH82NKozDEfezjfxAezKdkDXH6q2lCCCGWO9YQd8IJJ4RzZ4m+893v9czP0FANcc9Ye9o6n8Cb&#10;fuv3wkN7KxjisDnfjqIj/I1YIUQzuLBN/bm4aYPP+zAOyIWYVw4fPlw9KzLElUNTFn56ctcIw+Bb&#10;xyzYKMa3cvHbOCH8G5/lNvNhLLHmFIzX9lvXSvJUFwfx4fBvGtD4LWqDpFOSV6SH6zBrMR7Eab/h&#10;LKIkbobxbQNgHsOcYtvHlp/58W2F/zN800MZxhnlx4K+w7xDuA/9BvVR1y4sl20XlDFVn6l67Kf/&#10;1pWPeUe4FKV1VEKqbCB3jTBM07yUxJ2jSR3k0mrSV3GdbY2fnn7HM9EfkSHu6mtO65lLR2WI++zn&#10;3l+liV9CE0IIIcTkDHHRujs6qG+qFSuOqMpTAtYYWE/wPRVrjUF+IcK+p+J9chAQV+o9NWfeYllw&#10;f7Q2xPt19J7L+1Ky+5YsJ+4BqDOmgZ+2DnNrJe7h4ifIreMjuGbI7amyXHYNwjw1VW4dg7wjP7Ye&#10;kf+69T/DN22vUpA28mDjRH1H9cqwuG7LgXvr1ke41/fXVDokWuMjXZQ518fr8PsOyBP7iO9zllxf&#10;RV5xHffZMjK/deMG+wfvi+TTZXiki/RRvwyLa4RrWpaNYv/DvREsL+Py9eafP98/kV+km4of9NMv&#10;RHPuumvx29C3bt0Yzo8pDWqIw367vR9qaog755xzqvzLECeEEGK5Y78gZi4Ncb//+/+9xxAHB6AQ&#10;ohwswPj85DYppgksHmcpv0JMglkxxNkD/mkwxAkhhBDTxLANcdG6+4//7D+Gh/W//9F3VGni8F8I&#10;IYQQvYa4m27ZEs6hdZomQ1w76koleAMJVWduSUGDySBxAJhObH4iwegSwevIizWhWGEv0pubuD+Z&#10;Eg1FAMYZfg5jiw0H2bC2LB7WP35as48XrkXwfpueh3HYMLadmihKB3vRJUanlAGIYZq2Vwm4J9eu&#10;vl7r+gAUGdXq0kndkyov1Y9pyvY3Lxi8aL5D3/Hk+mpdG0OpfohnNQrvhTq0sH/jfmsapADq0X/u&#10;hXgj0xrLW/f8IRzSifIApeLvp1+I/rj33sW/dNHUEPdru6/smYubGuJOWXvaSns/NIghTn81TQgh&#10;xHLHGuKOOeaYcO4s0cgNcSdv2LjNJ/DWt90ZHtpbwRC3evXqqpCT+mp3IYQQYpoYpyHupPUbr7X3&#10;rTn9jJ6D+pym7RvihBBCiGlikoa43/3dt1VpyhAnhBBCLDBPhrhvfOPLVVlWrlzZLWGanJEERp1+&#10;sKaZ3Lcm5bAGMxhVkE8Ck501pUS/XMtrFMwszAvipkElVUaacCLDELGGOAhxIh18jjxZowtNN5CH&#10;aVGoP5YX3yxl6zMqK+9HGil4fxTGliNnzsnFYY1EMC4h3wB1busbsm1JeI1CGk3aKwXi4L34aQ2a&#10;Nl6bJ3yG8iCs7b82PPqfh+2Ea76/oo183SJumuFwj80b7rftnmsXj21PxMu28H0Jivp3rq/iftyD&#10;umC8AGnaZ9LWG7B5Qt1GeULd+vuAfz7wf9QVxL6I+sL96Hu2rhCfLU9koLXXIZSDceAn2xziv9k/&#10;IWssjeJv2i9E/3zzm1+r2mLVquPDOTKlURjiPvNH94QH8ylt3ry5yr8McUIIIZY79jx8Lg1xH//4&#10;/Z0FezuKjmSIE0IIIWSIE0IIIeYBGuLsfDmIIS5adz/wtdeEh/Vvv+ENVZq7d+/u5kgIIYRY3kzK&#10;EOfX3c970fbwoL6J7v/K3VVZ8AvndXgziFc/WANLP8BkQuMJ4opAGJqJIpMU04dg3vHYcltjD2EZ&#10;UukDa/KBcsYWm57H1pf/tjJQV1bejzRSMP4ojC1HrgypOOz9qTzACMQwURl5DeqnvVLAoMT7rBmJ&#10;IC5rGqvD5sPDz62xLQeNVGhTtHEE2xamqlJ4T8pgZg1cUf/OlTFHrh+xHaL+C/i85wyfUJTfEhhH&#10;XXnRF3ydoT/yOhT1T8afG4tK+4Xon//5P//fqr7xp8OjOTIlGeKEEEKI6cKehx9xxBHh3FmikRvi&#10;EJlPoB9DHAoshBBCLHfsC8DjHvfEcA61GswQt2mfvW/Dls09B/U52QP+d77rqm7uhRBCCAHuvOu1&#10;S+bLcRnibrjxjVWaMsQJIYQQC2BO5Pw4T4a4devWdUuYxhqVvFLmlTqsgaUfrAElZyKx4bwBh59H&#10;39gEcuYdkDPQEBtHZOSx5ExGTAtmnBQ5QxjvR5gUvDcKU1cXJBWH/Xa4lLEL2HAeft5ve6VAH8Y9&#10;TQxlOXL5oKmrNC20N8Ln2o3tjrhLQP0zf6m6BEw76t9ME2oK7/Nlqnuecn2Y13LGwTpyZbLXUvHz&#10;eqpOc/E37ReifyZpiDtp7abV9n5oEEPcwYMHu6USQgghlidzb4j79Kf/7/YLy4qqkEIIIYSYTUPc&#10;zbdc2c29EEIIIcCwDXHRujtliLv6mtdWae7du7ebIyGEEGJ5MzlDXO+6e+vLzg8P6pvonrvvqsqy&#10;bdu2bgnz0HDi1e83Gtn4+iFnLrFYM583pPHzyGBDGCYyWLEM+JmiiUkrV6ZB0+L9JWWNwpSWIxVH&#10;Sf6B/WYy/21tqbgtDFNX18Saw3LxNiFXV/wWNAjmp+gb6SwMW6oSStsy12aoqyZpWnifr2+aISPT&#10;J9qp5Bvi6vpXjlyZSsrL66l+lIujab8Q/fPoo3/fMcKxvqM5MqVRGOL++E++GB7Mp7RmzZoq74cO&#10;HeqWSgghhFi+cF6cOUPcvps/FR7aW91zz9erAkJCCCGEGI4hDl/h3r6/lpPXb9xv72tiiFt94lFV&#10;PmWIE0IIIXqhIe7ooxcOfqBJGOL27dvXzZEQQgixvBmFIe7kDRsPt+PLMgpD3G233VKVBX8KtgQY&#10;UmDaoCkFppVB/rwfDSxQP/D+km+oYzreqJL63MIwkXGoxIRTaj4COcPMoGnx/pKyRmFKy5GKg59H&#10;fwrVkkuHn/fbXhE2vab9Gd/Ch2eCdRspyof9FjwIfRgmL//NY4jfhqtT7tsDLbk6tuT6XK6vApQF&#10;ZcK9HDO8fDvafKGO+C2H+AmTGK/5bz8Eubx6kA7i5zfgRfLUlRfweqp/1sVR2i/EYHhD3CPffyic&#10;JyNNgyHuhBNOqPIuQ5wQQgix+A421Ya4kzecvtsn0NQQh2+KE0IIIURzQ9xrX//unjkY6tcQt/Gs&#10;LT0H9TlZQ9yb33xJN/dCCCGEAOMwxP3lN18XHtZffsXiYcz+/fu7ORJCCCGWN5MyxPl19zAMcTfe&#10;eF1Vlkn9eXT7jUg5U04KGmBkiFsklxbvLylrFKa0HKk4+Pk0G+JK7wG2/+aUihOfewMUDFrW7GW/&#10;3TBX5qaUljnX55AfxuHBnylOmeCsfJlg/MLzHIWlEHdEyfOB+BmuTp5ceQmvp9qqJI6SfiEGA4a4&#10;VauOr+r3G9/4cjhPRhrUEPeMtaets/dDgxjiHn744W6phBBCiOUL50UomjtLFBni4GFrxzkcIkNc&#10;dGDv9eEPf64q3MqVK7tFFkIIIQTnx2k2xJ166lOqfMoQJ4QQQvQSGeLecn3vPOsNcblD9WjdnTLE&#10;XbDzvCpNGeKmC3xzif02C/x7lv6kUu5PXfEbVqJrs0quvLMM+pz9phYcXqcOqJcz1sigP302H1hD&#10;3N7rXhDOoXUahiHunFdeEh7UN9E0GOIwpzEPmAOaYg1JOeyz6Mcqfp4ysACGiYxDJSacUvMRyBlm&#10;Bk2L95eUNQpTWo5UHHx/yeUfYM5kHN4ElIrbwjB1dU2QRkm8FlsXKI//ZrnSugIwaSFdG5+Fn5fm&#10;rYTS/LHPRG1m82xBefj+w/cD/w1nvM+Xic80DGEQ48FPvHf0m1di84z4/dycKhPIXSO87stFSuIg&#10;df1C9A8McWvXnlrV7f1fuTucJyONwhD3wFf/PDyYT+mYY46p8i5DnBBCCNHqfDMc58Zo7izR1Bri&#10;Pvaxe6vCrV69ultkIYQQQnB+HLUhDgt/e58McUIIIcRw+INPXteZL0dpiIsO6qGt27ZUaR44cKCb&#10;o8nQ1FBkv1EhdRjlobEHP+vgIS3yFWHNalYIj4OsQUxD1jhgVVrOaSCXZ1umeSFX3lkFxgE+l1Y6&#10;qF1KE0OEmA2GYYi74V0X9czFkzLEXXP1nqosk/rz6NY4g58l34Bkw1jjVM50OkqDVYkJp8lYgHww&#10;rIdp4V0jhTUJehNSXV4RnvdG9VFajlQcfN9KvUMRhou++S8Vt4Vh6urawn5Y8i4IWM+psjRpc5Iy&#10;ePIb03Lt3pRSE2DOxJjqq/Z9NfVc8rpPm+3QpO1IXf8GLE+qnVNlArlrhNdTdVoSh6fU+CvK8Ya4&#10;e+6+K5wnI02bIQ5/JUYIIYRY7lhD3Le//e1w/qzT1Bri9u//eFU4GeKEEEKIRTg/jtsQt/Wl/Rni&#10;Xve687s5F0IIIQSgIe7II59QzZfjMsRt27atSnPShjjmI3WwZLEHuVDdgSspOUAjdQdZvJYTDuP8&#10;IXUJPMTDTx7o46AxZwKYNlgHUXvWHVLOIrny9gvam/FOou2tCYAH1uiP/RxezzI0bOT6az+GCDHd&#10;TMoQ59fdwzDEXXD+4rc8TvLbYO28auc3D+ZNfmMUsaae1LOI+2goiuZ53p8bpxkmeo45FiDvKZqM&#10;Bbn3DL6vQKgLD8pKQ1FUVv7SAML49xDWL+OP6sPOP/4b0SypOPBLAbyW+kUHm0aUh9w1wjBNxl1b&#10;9mhuRf2gjXmN7R6Z9oA1YZbmI9X21hDVpEx18LnAT98fgK2TqD+l8pszoIJcG7P/Iu0oTzn4fER5&#10;JTb+CLYr5EmV18Lrqf5ZEoenn3tEHhjitm7dWNXrnXfsD+fJSEsNcRsPtuMopj3nb7P3Q3/1jW+G&#10;B/Mp2UN/GeKEEEKI4RjiID9HD9UQ135puNZG/pzTXhwe2Ht96EOfrAq3bt26bpGFEEIIwflxmg1x&#10;z3/+cVU+ZYgTQggheikxxF1y+WgMcVhft2/p6ODBg90cTQbmI3WwZLEHcFTuwJaUHKCRukMpXvP5&#10;xeGfPWTLHZyn4L2pQ+RZgGUoac95YBTlbWKsGAV8XlLmk+VCybgx6bYSw2daDHE4kI8O6pvImgEm&#10;bX7n8wTBsAKzCuZvPDf4CUMQjSzegGTNQhiXrJkJ99JsDUVGJ17LjdMMEz3H9r2A3wKLdGzYJmOB&#10;jc9j6wlCea1B3pY1Sgf1wesIy3sR1t4LperD3g/DEtTkz9DadHCdeWA8tp0jQ1QubsIwdXVtQf3x&#10;PqRt3x+RL5rHGKd950RemFfEY9/37D0A/0ZcuN+axZAey+7nV4TjNfy09QaQJuJjvKVYg6LvS74M&#10;0VyHfPC6xdaljRc/7T2Qb0f7PHshDxDKGPUNPh9RXgnLhXq0/daPFZAnVV4Lr/tykVQc/fQL0T8w&#10;xFlT+G233RLOk5GmzRAnhBBCiFbPt6fOnSHu1ltvrwonQ5wQQgixCOdHKJpDrWSIE0IIIaaPz33u&#10;hs58OSxDnF93r9+yJTyo/x9/+6YeQ9yhQ4e6OZoMzEfqYMnCgywcGPHwKPUNEJaSAzRSdxjGa6n8&#10;2gNGe9haBw7+eF+TA95pg2Uoac95YBTlRfsz3kn0BT5ny6UNU5SMG5NuKzF89u7dW7XpPBniJm1+&#10;xxxnv40qJRhGYLax4F47t0by5hcLw+TGNIaJnmOYV/jOYWXjazIW4D6G9XDcgWnIm3escD1Frp5x&#10;H9NI1UfKsGThZ1EcaL9c3qGonQnD9NteOaxBLJJ9p0S/y5XDXrP5sH0hEvqSNUQR1EfUz7xS/TxF&#10;rj/guWJ7R3Ndrq/m4kU50Mb4t29H1GtJOaN6KpmX6+rRtpsnV17C66n+mYqj334h+gOGuCsuv7iq&#10;3yaGuD1veIOZvydjiGtHU0kIIYQQvYa4Bx98MJw/S+Tn6CEb4jbts5H3Y4jDn3QRQgghxAKcH6Fo&#10;DrUazBC38aC97yXnb+05qM/JGuIuuWRrN+dCCCGEAJEh7uZbzuyZS0dliFu9enWV5sMPP9zN0WRg&#10;PlIHSwQHXAyLQyV7EIfDtRwlB2ik7jCM11L5xWEWw+QOrD32oMwerM4aLENde84LoyjvpPvCKMo0&#10;i5SMG/Py3IpF5skQt3btqVVZJm1+J3hOMH/TLAPBCAJjTp3RB9etIR6CuQVzbc5IwvC5b9ZimJRJ&#10;C59bUx7StaZ3+46SioMgHwiHND1Mg3WBcdjWFa6XmO2j+zhGMY1cfdj72T6WujrFexmucRyl8H98&#10;nntvG0Z75UA9oDyMA8L/o/6HfPq6RNszbCofub6aKzvTs6YtCPWG56bfeQb5sXHaMuAnPvNtDNAG&#10;uIZyRPh4UU/IP8qB+PCZb0eGx09fF6hHhGe9+TwxziivFowHqC/fxqg/PqtRmerKCxhnqn/m4ui3&#10;X4jmeEPcjTdeF86TkQY1xJ20YdNOez/UryFuxYoV3RIJIYQQy5sTTjihmh9nxhC3YcvLwgN7r337&#10;frcq3M6dO7tFFkIIIQTnRyiaQ61kiBNCCCGmj89/4dbOfDluQ9x3v39Da+XKlVWaTQxxOGDiYRSE&#10;f/dzGGlhXDhAy8FvsMBhG8CBMO/loV6KEmMLQT4YbwSv5fLLMCXp8eAsJXvox7C5eNk+9j7C+3mN&#10;h8JMiweZdfgDUPybB/T8LIonlzde4wFjLo0UuG7LEyl3yJmi3/KifnEgy/5n748OP+v6AmRpGn8O&#10;HhCnZOvNHyajLmgWwM+onVA2n0/8H5+n8unT8Qfc9uCd+LZCf2g6RjH+lGxbow34Of6NvNg84if+&#10;X9cWuI54bd5xL/KPeMX4mJwhrnfdPQxD3Mpjj67KMmnzuxBC4P2AY1JuXuQ7f+59V4gcMMRdc/We&#10;qr9N2hD3ne9+LzyUj4Q/A9eOpiOs2YUQQggx54a46667sSqcDHFCCCHEIvgtMc6R0RxqNSlD3JYt&#10;x1d5lCFOCCGE6IWGuMc//meq+XIwQ1zvuvuMHdvCg/p+DXE4uIqMIvgs980sdTCeyFBkoeEGh2SE&#10;n9UdmNGIU3KwhnwwTxG8lssvw8AIU0edCcqax5i3XDlyZbX387AxUi7fjD8S7uO/o/rJ5Y3XkK9c&#10;GinzY648VuivTei3vHUGMwh5sQfCTQxx/cSfoy4+W2/WBIb2sOEgWxeI15q8IuE5jkxrdelQaCOU&#10;M2eGbGIqQ1mjOChbPptHtF/qXtRBqi1Qdo5lKaX6vRg+02KIw4F8dFDfRDLECSGmCb6HQjn47oWf&#10;QvSDN8Th39E8GWnShjgc8rej6UiGOCGEEGIBa4i77777wjm0RH6OHqoh7uT1G/fbyEsNcb/92/uq&#10;wu3evbtbZCGEEEKMyxB38oaNh+x95/5qf4a48857YTfnQgghhAB/+sUPdOZLa4jzc+k4DHGHDx/u&#10;5ihPzqxTYvxKwTgiAxWx3yhhzXfWBJUz5fFgDaYUGFhysianCF5L5dfmFXVWCtLmffh3BA8ScweE&#10;uUNEexAJsT6A//a/yIBj70c90eCDOLzpKaqfXN54jUJe2KY+ft/Wtu6QL163ZWpiDiODlBcmJ6SJ&#10;Pso6BojDxovrHlsee69lkPjr4L1RGwKbPwj5QFh8jj7P/CAvrCeEwTXWIdrG5hOGMF4jUTrsl7jf&#10;tgGu4aftN3gW+TnCNiXXX0kuj74tonESYWiGQx7tt+uhje0zyXoVo8Ua4q7csyacR+s0LYa4FSuO&#10;qMoihBCTxr4jY37z8xr+b+c9mcFFv8AQh2+FY1/Cn0+N5slIgxricLBu74f6NcStXr26WyIhhBBi&#10;eTOThrjTz7wgPLD3uuqqN1aFkyFu+PBAAxt2Hmy8YdPPbiaK/kBdsh/j32K0cOHcz4a3qAebF/bg&#10;Af/mwQU/jzb62S74KYaDNcTdcMPHw3mUigxxJ63dtLp9by2DGOLO3nFilUcZ4oQQQoheJmmIs+8R&#10;pXjDklXOMFIH40iZbwDeLxHGv+PbtVbOfJbLe04RvJbKr02ryVraGmtSxheaa3L1zfSjMNacY9/j&#10;Cf5PA5F/p7fXorhxne0ERfWTyxuvQdF6wtaPPyClMRLGogjmu4lBcRjlzZGri5K+UEcu/jqYdqpM&#10;Nn9QXX/NheG+FOTb1aaDtvD7KXi+eB2K+o3NQ9O9rZI6rMsjYDxR/2T5I0Mg4f1aS4+HSRni/Lp7&#10;GIa4drSVhBBiGrDvTjn1Y+gXgsAQd9ttt1T96YLzd4TzZKRRGOKiA/mUcMjfjqYjGeKEEEKIVuux&#10;xx5rrVmzppofZYgbEdxcrdOsmZ3sxqDHXkttgooy7AZpahNYDA/WNSSGi/1NPiv2a/uZp+QwQTRj&#10;FgxxOy88pcrjmWeu6eZcCCGEEICGOM6VkJ9Lmxji/Lo7ZYj73iPv7EmzFGtc8YqMKKUwjtS60xqT&#10;IkMTfykjZYYCfBdtqghe8/nFO7FNp+lBXsm6kev03Dt17r3brvPrzDf+frsWsN9iZUGcDBO1Zy5v&#10;vOZNj5ZU3Ll4Aa9HeUoxjPLmsG3hKekLdeTir4P3pcpk85czGdpvPsvBcL79bDqpNqjrN4PUZV2/&#10;AiV5zLUFx69c/+H9GAfF6Nm3b/GvlUzSEPfGt/xWeFBfqke+/1BVDvzp1FbrsYUCCiHEhIEBHiZv&#10;zv8U5kSsKfSFAmJQYIi78479Vd+aVUPcunXruiUSQgghli9zb4i77LJXV4XDb+hNCm6C1anp5tqk&#10;yW3KcfMXG26zVq5pY5ANWNFL7iCM6JvIRgc36/GTv11vNyl4PToQLTlMEM2YBUPcrl3PqfL4whee&#10;1M25EEIIIcD999/RmS85V+Kb4vxcOmpDHN4nSrHGNCt8Nsi3ijOelCEEh2YME5m4rFEvdYDW5F00&#10;t04GvJZTP99qUbJuZN5y5ciVta5sIJVGyb2AYRDek8tb7hphGB83v20E6xGP7be5daRnGOXNkYt/&#10;GHsIpfmP4H2pMpXmry4ewjU82slSkk5dvynNa0RJnyyJ34bx8PNSidEzGkPcJsSXZdiGuG9848tV&#10;OWSIE0IIsZzwhritWzeGc2WkSRvi7C/lyBAnhBBCLDXEYa6M5tAS+Tl6KgxxV1zxmqpw2JCYFNwE&#10;w+YqNrJSmjUG2SAV5aBvsJ5nsZ9ME6zHug11MRpY/00OkkjJYYJoxsqVK6s2GaUh7qQNmx629/Vr&#10;iHvmM/9dN+dCCCGEADDE3XzLmdVceeSRT1gylw5iiNtx0VnhQf1D33x7lSbeJ5oA4xvNKxD+Pei3&#10;ODCu1Dt+3S+82G/pSn1TXZN30bp1Mq954VsukH6/a76SdSPzlitHrqwlewCpNEruBQyD8J5c3nLX&#10;CMP4uG3doQ1o0PT9tYlxcxjlBcgb8sRfHorkKekLpJ/46+B9uTIxTCp/Noz/U6ieVF2XpFPXb0ri&#10;SFHSJ0vit2Es6I/8vESR4VMMn3k0xK1adXzrscd+0i2hEEIIMd/AEHfP3XdV86AMcUIIIcTsMkpD&#10;XHuev7Yd53Do1xB30UW/VhVu//793WKPn5JNsFmkdINXDMYgG7CiF9ZjamNejA570NhPP57XcXSS&#10;NDHEXX3t/p5JHpIhbvzkDvTrDvv7AQYF1v9y/pMT/OagQb/BSAghhs3Xvvbp1luu31KN1WWGuPSh&#10;eqkh7ssPvLFKs6khbhQwL9E7flPDiP+GKdLkXbRuncxrw16TlKwbmbdcOXJlrSsbSKVRci9gmKh+&#10;cnnLXSMM4+PGWsX/2S2vOlOWZ9DyIk/Mb508JX1hkPjr4H1RG4KS/NkwMsQthrHYd/VUXYvxYw1x&#10;r7j45HAerdM0GOLu/8rdVTkWDHE/7pZQCCGEmG8e/enhuTDEbdu2rVsiIYQQYvkCQ9zmzZur+XFq&#10;DXEnrd90wEZeaojbvn3xz8fIEDd8Sjd4xWAMsgEremE9arN4/Azaj+d1HJ0kkzLEXXTpi5cc1qf0&#10;6j0bqjw+/elP6eZ8esDhHAxo/DNaEPooDFSjME7lnoNRPCOafxZg3S73ehBCTB8PPfT5iRviVq9e&#10;3c3N5GBeond8++dQS4WNEU+TebZuncxrw16TlMzbzFuuHLmy1pUNpNIouRcwTFQ/ubzlrhGG8XHj&#10;T9Tic3xTGsR3O/zEu14/8/+g5bX3I0/+lxNy8TfpC1DT+Ovgfb5MpCR/9heqUvEQ/mIITI2WknTq&#10;+k1JHClK+mRJ/DaMh5/X1ZEYH9h/Zrv0a4i7df8re+ZtqB1fllEa4tauPVWGOCGEEMuGSRricLBu&#10;74eiA/mUbr/99irfO3fu7JZICCGEWL4sK0PcgQMHusXOg003bIZyAxR/UiDaEG9CySZYBPOQ2hSr&#10;++YW3o9rKBc2yOxvPWPTMLrPggN9vyGM/zM+xuXJ5Y3XEBfIpZGC7VT3W9xN/jQjjQ3+T4Wg3XLx&#10;cPOVYRCPjaOkD+Xap2SDNMLXM/LA+PEzyhPyzv5K4f+538hmuxGUw5Yf95c8QwiDMjM+CPGgnXPG&#10;EoZHeSHmH58jL6yHpkJePMNoa+TH9veUEK4E5ol9A+nbNkSeUA8pbJnQD5E33hvVAfNv+yr+jc+i&#10;/ol4Ga5UiMvDMuFnCqSPPPs+hPLnxhPf71meURiapglriLvuug+F8yg1KUPc1dcstss0GeLwHNhn&#10;IBL6YW7s7Ifcc1DyjDSl3/lnluAYGI13hOMY2jw3lojpg/MB520h5g0Y4uxcefTR/2bJXDoKQ9zd&#10;n39dlea0G+L4rp4b5wHGd8YThW0yzyIfjCuC13Lv6P1QMm/X5Q2wzqKyltzPMP5+vBfx3lT+bDtE&#10;9ZNrh9w1wjA+bs4Xw3zfGbS8dX031xYlfWGQ+OvgfVEbgpL8AbZL3fPLcH4dWZJOXb8pzWtESZ8s&#10;id+G8XBNgvYU08GkDHF+3T2oIc4aATqGuEf/sVtCIYQQYr4ZpiEOhvV2HMV4Q9yGLdvDA/mUbr31&#10;1irfMsQJIYQQSw1xMI9Hc2iJMC/beXqkhrgtZ18cHth7vfCFG6vClRriuGHlVWLoSVGyCRbBtEs2&#10;xaIwvIZDwNTBPTYOU8YblJkbi9F92JTk/z25vNlr2CROpYENvejgGSaV1D1epQegJaadVPuxfWHc&#10;SvUfKGWMQHlyxgps6vLfUTun8PXMf1N2cxr1nMs7FJmUAK+jHNxUj5RqC6Rt+1IktHeq/hgG8ft+&#10;gTKhf9vPShW196BtjWcqCh+p1BDHfCBu21e8UocItkxR+1nsoUhKiMdS8mx55eo+ugaQro/HKjWe&#10;5Ooslda8gANslnVaDXH2W29+8Ref3M35ZMGzacca9BM88xhzITwndkwfJrnnIHetX+w80mT+mSVG&#10;UW9iemD/TR3ICzHrPPzXX56IIe7eL+yt0ly3bl03N5ODefHPul0HpN7PLXZN4t8bm8wX9p05gteG&#10;PTaVzNt2XRiFse/uUVnrygYYxt+P9SLvjdYmqHO7HonqJ9cOuWuEYXzcfLfD2iBaM/TDoOW1eYqw&#10;/dVj+35qL2uQ+OvgfVEbgtJ3TLtWS62PbZ/1cZWkU9dvSvMawTpEO6coid+G8dh1cNP8idEwLYa4&#10;G99xc3hQXypvBHjs0R91SyiEEELMN94QB2N4NFdGmiZD3O7du7slEkIIIZYvMMSdc8451fy47A1x&#10;dtPQC4fb/VKyMRvBtEs2xaIwvEZhM5Kbu9gI5wZoVDaE43X8ZPz4HPHYeCFPLm/2GoT4eUDh4482&#10;Z1mfuM9u7toypTZeU2ATFfWAn3ajFZvYdiM42kxmfiiEx30AZbWb3PzcYu9H+sSWh/J1mSOqZ9QL&#10;Pkc6Ni6WkW3BfoL82vaI6tXGzzCp8kf5t5vc2MzlvciDr4NoE5zXKMSHdHAvZGGYXP/IPa+DtLV9&#10;phCOZfF9PqqjHMwT40aeGDfyYPtvVG5fJvwf/Ryy4VGXNoxtC4S1Zbf9mKBcvJ4qI/OCn57cNaTH&#10;uG3/833I34sy8D7E4fs96m6emTVD3JOedEQ355PDPseQH2MsfK6HSb/PSL+UPLezzijqTUwP7L/R&#10;/CfEPOANcccd96Qlc+nle8oNcX7dnTLEHfivr6nSnGZDnDWK8D0vB95pGd7P8U3mC74DQBG8Nuyx&#10;qWTeRj0wDN5pGM6vG6CorHVlAwwT3W/XfgjHdvHrCV735Nohd40wjI8798s1uAey64VSBikv2wPt&#10;ZPtjdG8EryEs0oVsPIPGn4P3RW0ISt8x0S/57s18sg65ZmM80dqtJJ26flOa1wibP9Yx1qA2npL4&#10;bRiPryOkic8I0kPf5X6XGD3WEPeSHSeE82idpsEQd+cdi+W44Pwdrcce/YduCYUQQoj5ZhBDHL6h&#10;1c7H4zbEXX/99VW+ZYgTQgghlpkh7uDBg91ip7GbVZH6pW6DLQXTLdkUi8LwGmQ3OIktr90wA/Za&#10;FDc+46Yb5MnlzV5DHNZYQ1hn3qyHzU/eG5WJxhjEOyyQJsuKevEwr1Bk4LPl9Xm216K40S52M9rX&#10;ZQ4bd+5eawqK2gKwP0T1ynuhqE1s/L5+6soPcvcDXsvFQUrC5Z7XQdraHrD55w3wQCLayM9Rlyf0&#10;XzxHuB6ZX+39UZmBfQZyYXLp2LpJ9UXmJUojd415S23w27RtH2e/xjO2HJkFQ9zNt5xZ5XEaDHHs&#10;M1DJgVJqTO2Xfp+Rfil5bmedUdSbmB7Yf+veD4SYVb7zna+3Xr1nQ9XXh22Iu/Cys8OD+lkxxPEd&#10;scn7Ne/x74dN5gv7vhDBa8Mem0rnbaxTGM4L5aM5LCprXdkAw0T3Y83gzVZWuJd1HdUPr0Vx566R&#10;VNx2vZMTwkRruRSDlBfvkbk82XgjUiY/Mmj8OXhf1IagyTsm1tF1bYM6RF17StKp6zdN8upBX4ny&#10;buulJH4bJqKuLalov0YMn3kxxN122y1VOWSIE0IIsZyQIU4IIYSYH7whDt+mGs2hJZpKQ9wzn/ns&#10;qnAlhjhsIjG8V2TwKIUbbDlFm2+8VrIpFoXhNWyERuTu5+YnfqawG6yeXNz2GjY3I7BByDCWXLzA&#10;Xh8muU1SXsvVFfPkN4RtHUYbuMAaqaIyp7B1kTNu5A48iI3LGzz4eaqfAdaRf45g4OL9qfIDG87D&#10;z0sOuhg2tTEPRtXWqT5NeD3XDhElebJp+wMc3o+2SbWBPTRLPbPAhvN91fahVD9mXqI6SF2zz0cO&#10;hrHPAg20kO/XywFriLvqqveE8yg1DYa4Jzzhf+vmvBy0sTVq5p79EnjQNMg7AcCzhjGTcy2EuDGO&#10;5Q6q+nlGAJ57pIdr9rAM5cD4mur//rlFvhGeceAn/l9yMIy2YB4p/B+fp8YePqMc39F+TBt1x3Rx&#10;P+Nne0Os02jcsvVQKtxjYRy5+Q8wXNT/0N5RvfR7YMm00KYQ48bnw0ofdYpwHMtRvzYOtE3Js4b7&#10;EBfzzHtRn7k+VVdGfMb4UvLzENJDX7b9p64ehJgGvCFu9YlHLZlLR22I27ZtWzc3k4PjAuYCYseC&#10;3PurB2MQ77Nw7OOclIPzF/IVEeV3GGAsY95R/hyoE/segn9zzPPzr6WubCB3P8C8jfHajrkIy7GZ&#10;a7+ofnLtkLtGGMbHzbrAT/9egrpEeLZbLv6IQcrL+Ylp23vZx3NtYdNFOJ/3QeNPwTSjMgH7fNb1&#10;VYB89vPuXJIO4sB1XzekaV49uIdpQCiDHZNK4meYXFuwn9k6gvA+gzb27z5idOAvlLD+58UQd8Xl&#10;F7ceffTvuyUUQggh5hsY4u7/yt3VPDirhri9e/d2SySEEEIsX2SIC7AHelZNNtE9qTitos03Xktt&#10;XOHzXBhew6ZYitT9JffiGsN5cnmryzewYSx2kz9qE+apn03bHGxD/PTkrhGG8fVZcm9JfUWU3sc8&#10;lMrHxc/76Ssl5QfYSOf9fpOYn+fSJyVhc3kqyS/D+DSwUc/0/SEL4H2pjfgUJXnK9YWS+1Pt57Gb&#10;+f7wo6Q/5vKSumbzViLbLhhPePiDn2ijqG3mlXEZ4toL/8P2viaGOKgdRUdNDXGpvlFnXkph+3e/&#10;cQDMXex3KaGf58aJJs8IqEsPip5L+9zag2AvfJ47wPMHc144NI3uZxuiTDwstmKe7SFjSvbZByV1&#10;EsnCdBFXCrQ377XvLWhftllKKHNTeG/UXrZvDJI+70N5onahUvMZ0q5rM+Q9dcDNMKky2mc1Jdvf&#10;ET7XH1JzlhDTwCOP/HVr167nVP311FOfsmQeXQ6GOCEGwc7VubUAzZJ2PhVCCM/cGuJ+erhbQiGE&#10;EGK+mawhbtM+e39TQ9xVV11V5VuGOCGEEGLBELdr165qfpQhrg02QLHRyYMx/9ub/cCDw6Ybp8x7&#10;6iDOHlRHYXjNHwJbUveX3GvNBp5c3uryDWwYD+sTbWTbBgenbLd+DpEB4sAhrf3tbauoDUval2F8&#10;fZbcW1JfEaX3pcoaCfULE5GF1/rpK/ysrr1yZeHnufRJSdhcm5S0F8P4NDC22HGF5g98busnZQBI&#10;UZKnXP01KRP6Sh1Mx5c/lweSy0vqWs6MEcmP55ERAnGm8jhP4E+csczjNMRdcnkzQ9zjH/8zVT6b&#10;4NvVyo9jJVhjbr/vBba/4Xmy8eCaNQlFZqJ+nhGANNGvkZ496LXzJsYlj31uIYTFPYzD3o/y2LgB&#10;/k8zHMKhDhkGbWDHvuh+e51hkCbyhWtsR9QVyo1rtm0RzprxfPwgV2/E5sOC+uTnqT7BMcqPn2xr&#10;X6e+XvDvJvA+iuMZ0oDIIOmzztj2iItzGu5n3Kn77biNd262GfKAvDBeiPFaeI1KlREwTK4emV87&#10;NwO0KcqKuIWYVn74w79r7bzwlKqvj8sQd9cnrqjSlCFOzDp23stR8s4ghBDWEHfaxuPCebRO02mI&#10;+0G3hEIIIcR8M02GuC0vvWDJYXxO1hC3b9++bomEEEKI5csMGeI2HrSR92OIO3ToULfY46ffjVPm&#10;PXUQh89zYXgtdwiYur/k3tzGcS5vdfkGNozHmhIi4UAzOvTOgQNQHFZH8VlFbVjSvgzj67Pk3pL6&#10;iii9jwfPuTzkYBr99BV+hsPsHLmy8PNc+qQkbK5NStqLYaI0rEkgUl09RJTkKVd/TcrkDR0RTMeX&#10;P5cHkstL6pqt037BeIFxxY8B+GyemUVD3OHDZb+VbvtbpFQfzGHHsX7uB+zHGHdT85Tt09bcBfp5&#10;Ruqw5fLYekSeI3OSnZO9Gamkzkrvz9VZDluGKA8l9ZarI86hqfGb1+23CqIeGV9Up4Bp4v4mMF4I&#10;cUQMmj7rDIrKjXbieOrnDdseJfmL4ue1XBykJBzDpEyNQkwz3hD3/Ocft2QeHYUhbv8HL67SlCFO&#10;zDrW4I73MP++gP/b9zP/viKEEJZJGeL8unv4hrjmazEhhBBiFsGfCb/n7ruqeXCWDHH2wH///v3d&#10;EgkhhBDLF2+Iw58Xj+bQEo3VELf93MvDA3svGeIWrpUcAvr7S+7FNYbz5PJWl29gw1hgDsDhLIRD&#10;dPvNL/g38tTPgTnbCPEijmGbEBjG12fJvSX1FVF6X0kecjCNfvoK268ubWuY8G3Dz3Ppk5Kwufoo&#10;qSuG8WnwoIX91JqvcE+/Byslecr1hZL7+eeBoBzWxODLU9Ifc3lJXUv1rX5B3uy4ksrrPDArhrgj&#10;j3xClc9SQxzAeM77vPw4UoLta/30C6TJ+605ymPD+XGkn2ekjtyzaa/lzEIM481LHOfwTOVguNzz&#10;nTJulcA4fH2CknrLjTMoMz6PjGP2gN3mn2NqLk1b903KzntwcJ9i0PRZZ7l2tXVmnzfWF5R7X7Ph&#10;PPw8V0bCsFHbE44VJfEJMW38+Mc/ap2948Sqr8sQJ0R/2Hknp9w7nBBCgHkxxN1443VVOWCI++lP&#10;/rZbQiGEEGK+8Ya4rVs3LpknU5q0Ie6cc86p8i1DnBBCCLHAXBviTj751Kpws2yISx3i2YNWf4gN&#10;6u4HqftTh9OWnEnGHqT6uHPXiA1joTGqaV3mwIEs00L8Ebk2zF0jDOPbInfgS+raOUVJPYPSw+kU&#10;vDd3OECDkT8852/aR0YCC8P5b5oBTD/Xz0lJ2FG1NctQks8mML2cMcE+q76NS8pkDYk5Y0bOuFjS&#10;H3N5SV2D8Y7x5gw7TbBjwrDba5qwhrjdu28M51Fqkoa4o49eNLY1mcvRdrzPqt+DTBtfk7GYlI7J&#10;IGXQ6ecZqSOXr9I8p9LmvXXPUWousHU+CLl8lNRbLh+2jvwYxPnVj89Ms1S5uvfwnlydD5p+SZ2l&#10;+k7JvSA37/Dzun4FSsLaORJ9sYkBUYhJ4w1xW7Ycv2QebWaI6113yxAnlhNYV2AesL+4BGEex5yu&#10;+UEIUcLBgwer8WOShrj3vO894UF9qWSIE0IIsVyBIe7OO/ZX86AMcUIIIcRsI0PcGCg9/PPkTGkw&#10;m9BkBEWHpbyWOwRM3W9NUtHGrzWhQJ7UQSjIXSM2jIUHpDg0T93bFJSPaUXf0gVzTK4tStqXYXxb&#10;2HqMzHjIG40RUJMyl9QzsIa7ksNlD++Fovqz+WhafmDbJ8pf7pqHdZkzxOTac5C2puEDz603iw0C&#10;04Pw3HrQf1nufstkv7HKG3RI3XNS0h9zeUlds+a16L5+YZz9PBOzwrwb4gDGFfZL/BykPXEv85Eb&#10;U1PY++vGgFR/T30OctcA0sTYx3CRfLlKnlsQpW3vjeYGi60bS+rzCIwFaG/kwc6bVlH7R3n31OWD&#10;fcyPj8yHn98YvkSIo8mcwfuispJB0y+ps1Tf4WfRfGXJ9T1+nisjKQ1r33sh1BHaDf1KiGkHJjj2&#10;3UkY4nbu3NnNiRBCCCHm1xD3vW4JhRBCiPnGG+IuOH/HknkypWkyxOFba4UQQggx54a4X/mVp1WF&#10;m0VDnP3GChzU8VAOB8v+sNcfFgJeyx0Cpu63BhgYeHgdn9uDYcqTO8jMXSM2jAXppw66cXiJOkZd&#10;peJNwThtWVHfvq6jNixpX4aJ2oIH00iHpoEobahJuWwd1t1nzZWoP2uCRJ0jLyhDZIbifRTKyL4K&#10;sx3LgJ/RwbJNG/fy4N3XAeoput/eWwfbAXGyjMgj0wS59sxdIwzj82ONh16oA9yHZ97mpQSmR6GN&#10;GAfKaOs36gclZQK5b9BB2Ww69hop6Y+5vOSu2bzhOvJD0Gfwf/RrtLsFYfG5DY+6w2eMLyrLvIBv&#10;dGE5p9kQd9xxT6ryicOFSWGf4ZLxxoN7eH/dc57q76nPQe6afUZy8s9myXMLorTtvZzbUti6saQ+&#10;90TzZaSo3XL1RuryYevXzn/8zLc385pLs1+YZlRWMmj6JXWW6jv8DONsjlzf4+e5MpImYZGOHf8h&#10;zG1N52Uhxo01xOHb4vw8OpI/mfqBnVWaMsQJIYQQi1hD3LNOPTacR+s0vYa4xxYKKYQQQswxMMTd&#10;dtst1Tw4S4a4zZs3V/mWIU4IIYRYYK4NcccdN9uGOByqWpOJFQ4zcQDM//vDQsBruUPA3P02fi/k&#10;C9+cwf97cgeZuWvEhvHYg+mccEBdSq6sENshasOS9mWYqC1guEkd5ONze6ieqq+Iknomub5mFR1g&#10;8xpMUnXliPCmrUgww6WMSQxTctht69LK1k+uPQdta16rU6quIhgn6jBXj6n6KSkTQB9BG/t4rTgu&#10;RZT0x1xe6vLpTQyR0I8sjDOlJmPILDKoIe4Za09b1763lkENcatPPKrK5yQNcXgGmA88a01pMpZz&#10;LPVjbj/PiH32cM2PL7lnM3fNEqVt66tufObY4p9R3Mc4UiAd1hfuxxiEzyyMIzcu+3qz1OUDhile&#10;5xjIMQll85Sk2S/MR67OB02/5P5U3+E8VZe2fcf0hjR+XtevQJOwBP3Htnm/9STEuHjhaYtr3p0X&#10;nrJkHpUhTgghhBgf02KIu/EdN4cH9aUKDXGP/bRbSiGEEGJ+8YY4zoMlkiFOCCGEmD5m0hC35eyL&#10;wwN7r2kxxPGgNzoUrQOHcjhU5WEvfuL/PBzk55FZiNf8n+qy5O4HOMS0JhgcNuOQEPniATDi8CA+&#10;3uPjzl0jDOPjtoYCb7xBnpBfHtTm4o/wZUXarGsezEZtWNK+DJNqC6SRa2fUOz5vUp6SevagTm39&#10;QTi8Rv5TRieGY7/IlSMF7kPd+LTxf3yO6ymYVq6fW9CHrHEMadj85dozd40wjM8Pv0EI+fXtgfSR&#10;L7YzwpTCOsNPgHZgPBDyY80InpIyWdAPEJb1DqE+Ub5cO+Maw6f6Yy4vJfnkM2zzhrpI9SPkCfm2&#10;/QH3Ig5vGppHrCHu4ovfGM6j1CQNcaee+pQqn5NeyPN5g0r6iH0m7JicG69sOD/u+ufdkrpmx54I&#10;PDdMz48V9lqqvHiuGMabSPks5p5bwHCYLyzWlJQC+WKY1NjC64jPk6tTUpIPjiMsK8sUzZ0oJ+PL&#10;zW/9wHijspJB02edocwp2O98GqgffJbqj4ThMIZ7GG+ujKRJWI8tgxDTzHPWPLXqq+MyxN32/pcv&#10;pilDnBBCCFGB/WfOkcM0xK1au3VFO84k4zDEPfbYT7qlFEIIIeaXeTHETfIXy4UQQohp4rLLLqvm&#10;RxnixNTDA2d/6G6xh/M5I5AYDqzrfg6blwu2T+ZMNNbYUUqJmUOICBxgs79NsyHu+c8/rsrn/v37&#10;u7mfDNYgBkNPbo6B6Q3hrEmLZlX8TBmRrGHIh8k976lrOWMRYD6hnCEO+YkMZ9Ys5u+3xquUWS2X&#10;vo07hb0/MuVag2E0T7F+cuaupvmACY7/jtrZjvXDnjtL4h00ffY1yJsYAcpMQ6Dvj7ZuUGcRdW2W&#10;u+ZhPnLvjSkQP9MSYppZu/bfVX11167nLJlHR2GI23fLmVWaMsQJIYQQi8yLIS4yAjz22I+7pRRC&#10;CCHmFxjiImN4iWSIE0IIIaaPuTbE/dt/+++rwj388MPdIotZhu2ZOwS1B/j+cF0Mn5I2We6U9sl+&#10;Dt9TJhgh6phFQ9y+ffu6uZ8c9jmFYKiCyQfPNoTrNL5B1qRljUgwYFmDLExANGdBkVko97ynrlmj&#10;FvJGg5ZPD/Ljkx27IJiL+I1niMfGHeUJZachifcyfVyzdYm8eErGRGueQhysbx8/hP97bBiWDXHa&#10;uijJB9JjGLZ/ZBYjNPgzHNIkiAt5QZ1G9ZKDcUZltQySPvsaZesd8di4fZ8C9jryyXvRN5Au+0zK&#10;OGrvrYN5RZwsI547pon8IR30ZX4GEIb5aNoGQoybk09Z/IY4GeKEEEKIyWINcU87/ufCebRO02aI&#10;u+D8HZ3PZIgTQgixHPCGuGuu3rNknkxp2IY4HLxHB/IprVmzpsq3DHFCCCHEAjNiiOvdmJchbvnC&#10;Q1QerNvDS/zbH6SK0cNnrORgermCA33WE/owDtrtIT8O6a3hImei8PCwHz+FaII1xJ133mvCeZR6&#10;02/9Xs8kD43LELdly/FVPqfBEAesESwlzlMe+6ynlPo2q9zznrqGscYakLxy5iVriENZ+G8vlNXO&#10;xxZrLEoJeY6MT7aucmDMtPFZIW0a1KJ5CvmO8mfDluYDxikbhzU8eurahWoyHwDeF5XVMkj67Gu4&#10;PxdHKg/eNBcJbWZNehaGqSsjQBvYeCn2ddvHI+X6thDTwiQMcTfdsqVKcxYMcZy38UwLMW9gvuTz&#10;mJo7hRDjA/vPfCbHaYg7acOmh234QQ1xd96xvypHZYh79B+7pRRCCCHmFxjiYILjPAhznJ8nU5om&#10;Q5z+apoQQgixwOgMcZv2teMcDv0a4p761MU/HyND3HyADd66g3Uod5AqhgvrvORgejmTM5NYpYwh&#10;KVImGCHqmEVD3N69e7u5nzwwycC45o09eBZx8J57jmHCgdGIRi0I/8Zn3pRmoeEq+saq3DXkBWO0&#10;TQ/5pmGP86qfN3nAivv4f2v6wueog7oxK6orpIm4ItMgaWJgQDw2fuQNZUbemGfEF+HLhXisma00&#10;H9Z8hThKQL45jtt76+omBdsyVVZPP+n7ecf3Ldyb68cA7YI8+rTxf3ye61NNy4h2sX0DaViTG8qJ&#10;PDNeCOFL+rYQ08Azn7m45n31ng1L5tHIEJc6VJ9XQxzGKeZXiHnDmrvr5t8mcH60czzmSr4jLLc5&#10;Mnp3Wc71IdIMwxD3wY9e2jNvQ5M0xG3durHz2WOP/qhbSiGEEGJ+gSEOfyaV8yC+NdXPkynJECeE&#10;EEJMH3NtiPvlX/4VTf5zCA/W/SEqNiPxmTYjx0vTg+nlDE0w9mAewiEDNtJz3yaUAvchDvwUogm7&#10;d++u+uA4DXEXXdrMEHf2jhOrfCLPQojJwvcv/BRCTJ6nP/0p1Tx59TWnLZlHR2GIe+/+7VWaMsRN&#10;P1ovzHcdDNsQhzisCS4l7ANg72UWwd4Fy1ACysl9j5RQZ/qlzMGYl+d0Xgxx99x9V1UOGeKEEEIs&#10;J2CIw7ejch6ESdzPkyl5Qxzm53YcxeBPr9n7mxriTjjhhCrfOhMXQgghFoCviPPj3BniVq06SZO/&#10;EEIIETAuQ5zfmG9qiNt54SlVPmfh0F2IeUeGOCGmi1/6pV+o5slhG+J2XHRWeFBvDXHbtm3r5mR6&#10;We6GOI3b810HwzTEwfjFuFhfMI8hXgi/wIVNRGsOm0UTWJMxwdcJfsEN9RDVx3J+xobBvDyn1hB3&#10;1NFHhPNonabNELd27amdz2SIE0IIsRyAIQ5mcM6DMsQJIYQQs81cG+JOOGHxW5gOHjzYLbIQQggh&#10;rCFu+/ZLw3mUmqQhbteu51T5lCFOiMkzL4eVQswL1hD3luu3LJlHmxjiTl6/cb8NJ0PcfKBxW4a4&#10;EmDuYjwweNXFheeqJNw0Ujom2LpFWVPmP/yFAnyrmd6NBmNentPDhw9X/WaShjgcyEcH9aW6/yt3&#10;V+VYter4zmePPfoP3VIKIYQQ8wsMcTCDcx6ESdzPkylNkyEOJn0hhBBCzIghzm/Mn37mBeGBvdez&#10;nrWhKpwMcUIIIcQis2iIm4VDdyHmnXk2FQgxizz5yUdW8+S4DHEfvevcKs1169Z1czK9yBCncXue&#10;62AYhjgYuvhnUnPGL883v/nN7r9mi9Ixgf0GKqkT/cnUwZiX53RShriTN2w8ZMMPaoj7xje+XJVj&#10;5bFHdz579NEfdksphBBCzC8wxMEMznkQJnE/T6YkQ5wQQggxfcy1Ie6UU9ZVhTtw4EC3yEIIIYSY&#10;lCHu3F/duuSwPqdX71k0t8sQJ8TkwTeg4HnETyHE5Pn5n//fq3ny5lvOXDKPjsIQ99m7X1GlOS2G&#10;OBhz8KcM+acL8RP/h9GnxPzCcP/hPyx+yzziwFiXMhnB/IJwNG8gDqRpjUW4P2eSwZ9jRBibLuPE&#10;n6pMwbEYYZgu7+X4zLpICeUlLAvuAb4+USaER1oEebf5risrwX3WaATh//g8BfOB+NlWrGcolXaT&#10;OqhjGG0FfL3h3/h2thy5Mg/DEIc8MY5cWUrwfQllY77x05Z13HXK+1JCuoTlgPAsDALismMDhH/j&#10;s1ybDdp3+n1uPEi36TMLkCby7vPsx5JhPqfTgDXE/ewR/yqcR+s0DYa4R77/UFWOFSuO6HwmQ5wQ&#10;QojlAAxxMINzHoRJ3M+TKQ3bEAdFB/IpHXPMMVW+ZYgTQgghFphrQ9yaNZuqwskQJ4QQQiyyd+/e&#10;ao4cpSHOb8w3NcRdfc3i4cssfAuNEEIIMU6e+MTHV/PksA1xZ+zYFh7UW0Pc6tWruzmZHDCEpAwV&#10;+NyaYCJgCLEmkUiR8YNGJBhD8O9cHiLTC4wiUXgra9Cx0JyCDR1rNqFAE5MJywKhrDacFdKFkSVn&#10;LEoZfHAf851SynjE66izVFuhvN7c06QOcgyrrXLlT5mLYE7M9U/UGf+dqvs6mC/UlzUq9UNdX2Kd&#10;T6JOmxjibP5yprM6UF6bRiSUI6LfchJeb/rckEGeWdwbjU0UrrGvDes5nRbm2xD3991SCiGEEPOL&#10;N8RhTvTzZEqDGuJO3nD6bns/FB3IpyRDnBBCCLGU17/+9dX8OHeGuBe8YHtVuP3793eLLIQQQohZ&#10;McThz7+1o+lo1aoTurkXQgghBLCGuGgebWKIwyLehksZ4r745VdVaa5cubKbk8kAQwXNFPhJQxA+&#10;j4woHoSjUQQGDWt8gUnEGmi82YjGH5s+jCk0eeDf9ho/JzSp4Kc1pMAAZdONzDjepIL/IxzkzSMM&#10;i58prIkJYlkA8mONLSwT8ohrAOnyc4SNYJkYN+sDcdi2iswvvGbDRPWM+owoqYMcw2wrW2+od1u3&#10;/Nxi70f6xJab8n20FN6PvA1K1JfQXvgc+WceJ1mntr+lsHnwz24paCPGgTzbcqJcNp+2bcmg5bT3&#10;Qk2fG9ZBP8+s77e81+bbl5n34OcsMy+GOAhGuHbUHeH/MsQJIYRYDmC+4/zHObBUMsQJIYQQ08dM&#10;GuI2bHlZeGDvZQ1x+/bt6xZZCCGEENYQt2nT+eE8Sk2LIe7YY4/t5l4IIYQQgHMkFM2jozDEff2h&#10;V1dpTtoQZ00ZNNpY8Jk1DXlgyMDnMISkTC80acAcYkHcjBdpWLMLYfwQDCWlIC/Md53ZpM48UmIy&#10;qSsLDDC8DkXfCmXbwptzEB+vRfUEeD/S9/BeKKrHXNqgpA76pUlbRfVm696XzV6L4kZZrSkK4Zti&#10;2zZKoyk2z/3maZR1Cmx/SWHT6AdbhlS/QxiMPQgTmdIGLSevpa7behjmMwuzH++NjH4oN8rj88Ty&#10;puprlmD5J2mI2/OGN4QH9U1kDXH4dhwZ4oQQQiwH8CfCOf/hm+KiOTKlaTLEwaQvhBBCiBkxxPmN&#10;+VJD3Pr1Z1WFkyFOCCGEWGRShriXnN/MEIc//9aOpiNsyAshhBBiEc6Rj3/8z4Tz6KgNcStWrOjm&#10;ZDLQDISfKfDnBplfD+/PGYFSpg9rRom+xYowTGRoyZEzh/BazshHSkwmJWVhPKm6tnHg3xa2QWke&#10;vAGHn6f+tGQubVBSB4OQi5/Xcn2Ueff90PbdVDtb81FU9jps3UXPgTVGeeGZ8EYqG19khiplVHUK&#10;+ExDKZhGLkwOmL14f258sOF8+w1aTl7r57kZ5JnFWIfP/JhZB8ubS3NWYL2M0xB30vqNB234YRji&#10;Vq06virLN77xZRnihBBCLAu++c0Hq/lvGgxx3/nu98JD+UgyxAkhhBBLeUN7fcz5ce4McTjgb9/e&#10;EQ7+hRBCCLEAjOKcI0dpiPMb8zLECSGEEMPB/lm2I498QjiPDmKIW79lS3hQP02GOOYjMoOQnPmF&#10;n5fKkjOTWPo1eeTuaxJnSdiSstTFk4uD95bK38/Pc+2cuheU1MEg5OIvSZthfPlK7s3VewnW8BbV&#10;b84QB/k0B80PyZW9pF4YJipTbkwgvD8XJkdJGsDWbz9/QjRXTsYbXSMM49vKlr9E9n4ajXP5jigp&#10;76xg6yaaR+s0jYa4+79ytwxxQgghlgX3339fNf9hLozmyJQGNcS1w++090NNDHFHHLH47a4yxAkh&#10;hBALzKQh7jmnvTg8sPeSIU4IIYSImRVDHNSOppIQQgghFnj44Yer+XE4hriN19pwKUMc1A7e0Swb&#10;4uyfiiyR/5amUuNPnckD3xCFP8fKP53oFd3XxDhSErakLHXx5OJIlS1S9K1jvNaPsQeU1EEJo2or&#10;hvHlK7m3pO3q4P3+zwKnyKXZND/jrlOQGhMsvD8XJgfvR7nqYDr9tH+unKl4LQzj22qQZ5afp76Z&#10;LkVJeWcF1gEUzaF1GoYh7td2Xxke1DfR2rWnVuW45+67ZIgTQgixLLj33sVvYMZcGM2RKU2TIU4I&#10;IYQQC/z6r/96NT9OsSGud2O+1BC3ffvC1/RDu3fv7hZZCCGEENYQhz8xHs2j1DANcVtfuiU8sM8J&#10;fwauHVVHQgghhFjAGuKOPvrfhHPoqAxxRxzx+KmYm5mHnOEjZX6p+2asOkqNPymTB9IvMZ1E5pAm&#10;xpGSsCVlqYsnFwcMM7l762C8/Rh7QEkd5Bh1WzGML1/JvSVtVwfLVvonLnNpluZnUnUKUmOCxf65&#10;2n7qlemjjHUwnX7aP1fOVLwWhvFlHOSZLUk3oqS8swLM4qyHaA6tU3+GuE0HbPhhGOIuOH9HVY7b&#10;brtFhjghhBDLgve979Zq/sNcGM2RKQ3+J1M3brP3Q3/1jW+Gh/KRZIgTQgghlmINcbfeems4h5Zo&#10;Kg1x5533mqpwMsQJIYQQi+zfv7+aI0driOvdmB/UEKevexdCCCEWOHToUDU/jsIQB0UH9dARRzxu&#10;KuZm5iFnvMA1hvOU3J+i1PiTMnnwcxhPkL7/VrScOSR3zVMStqQsdfHk4ijJQw7Gm2unVNpg0PR5&#10;/6jaimF8+UruLWm7Oqz5C9/YVkcuzdL8sGzjrlOAz3ANSvGpTy1+M0jTbzoDtk5zWGOur/tBy8l4&#10;o2uEYXxblaSdgkbHpvcOkua0YQ1x+DPj0Tya07QY4q64/OKqHDfeeJ0McUIIIZYFN910fTX/YS6M&#10;5siUZIgTQgghpo9hGeK2vPSCnjl6pIY4KDqw97r44jdWhdu5c2e3yEIIIYSYJUMc/gxcO6qOZIgT&#10;QgghFigxxO35zbN65m8odah+8obTd/uw0UE9dPTRi4f9k5ybS4wXOWMK7/d/DrUEa/yBeSbikUce&#10;qcJYU439/N3vfnf3015y5pAmxpGSsCUmprp4cnFceunit/ej7E3hvf0Ye0BJHaQYR1sxjC+frbcU&#10;1riVars6YEZjHDCowaSVI9fWuWtkknUK8BnTT4E88lvS8NMb9iJsGJSLaeTq04ZrYgokuXIy3n6e&#10;m0GeWfwJXNyHemtCSXlnhUkY4k5ev3G/DX/OKy8JD+qb6Jqr91TlwL9liBNCCLEcuOaaq3rmv2iO&#10;TGkUhrgHvvrn4aF8JBnihBBCiKWcf/751fw4tYa4aGM+OrD3soa4bdu2dYsshBBCCGuIe+YzTwvn&#10;UWoQQ5zfmN94VnNDHA7521F1hMN/IYQQQrRaBw8erObH4457UjiHjsoQ97Tjf75KG3+6dVJY00Zk&#10;OsE3LvE65LFmuZR5J4U1/qRMRNZ4Y+PPfSsUgAElZ/ZrYhyhOSVn+rNlSdVDXZq5OKxpK2fOSVFy&#10;L8NE+S+pgxTjaCuG8eWz/TcyjiFvNG1BqbYrwfZVxJmLK9fWuWtkknUKrAktZ/aydYK+kzLFIQ6M&#10;RdYAZk2G6H8Roy4n04+uEYbxbTXIM1vXbwHqy18b5DmdNubFEIc/k9qOuiN8Q86jj/6wW0IhhBBi&#10;frnggnOq+Q9zYTRHpjRNhjj9UrkQQgixgDXE3X777eEcWqKpNMTt3n1jVbh169Z1iyyEEEIIGeKE&#10;EEKI2WbYhriTNmza6cP+5TdfFx7WP+vUY6dibramE5goaOrA59bMQnkQjoYi/MQ91vQC4w5MGzCt&#10;ePOGNf7wfpp7YHSxppvI0MJ0bb5xH+LgtdS9JUYZYuuB+UO5rAHGlsV+bqlLsy4OlJPXYYZBHgjq&#10;HHlD3JF5iPf1Y+wBJXWQY9RtxTBR+WiY8v3Lpw2VlieFNZhCyBf6MeKFYJKCiZR5itLE/1PXLJOs&#10;U5tHlBmgD0bf9Mh4IOQL4REOcbA+mF/Ui8UabtGvbZ/HvfaZsNfIoOVk3P0+N/0+s2hH22/Rh/AZ&#10;QDqpPOP/TI99vclzOk2sXLmyKsukDHFbX3Z+eFDfRHfesbhnsHXrRhnihBBCLAu2bt1czX+YC6M5&#10;MqVBDXHYb7f3QzLECSGEEIMxE4a4aGN+382fCg/trW644eNV4bAZIYQQQogFDhw4UM2R4zTEbdiy&#10;OTywzwmH/O2oOpIhTgghhFjAGuJWn3hUOIeOyhD3kh0nVGkjH5MExgnmxQuGDmtMi4DhwhpwUqJB&#10;g3hTjQ1rBWOINdmRXL4hmlEiMwwNJdE1D9KOymfNKLYsKfNJXZp1ccAQYw02KdGgZOG1fo09JXWQ&#10;Y9RtxTBRfnL9E5/DWMX/p9quCXheSp4HCH2bRidS1w/IJOsURH0xig/lyz3fFOrCm9pwL7/1LCXU&#10;tR9byKDlZBr9PjeDPLN14yri9X1n0Od0mpiEIQ4b8Tb8MAxx99x9V1UOGeKEEEIsF6whDnNhNEem&#10;NApD3B//yRfDQ/lIMsQJIYQQS9m6dWs1P861IQ5fVy+EEEKIBcZliPMb84Ma4iZ96C6EEEJMC3Yu&#10;H7ch7hUXn1ylvW/fvm6OJgfMHNZ4AnMKTBQwXMBkgc9gtEiBcAjvzR8wm8DsEZlFvPEHBpBUHlL4&#10;fCOPSA95ppHPf/sS4D3RtQifN5TTfhsWrvOaN/WQujRL4gAw/9DEQyE/iDdlDKJJBnWSgmFSaePz&#10;XB3UMcq2YphU+ZAG0mIZbdoAfQ2f5+q9CeizyAvaiWlS+AzffJarZ4aty88k6xRltHXK5zUF8orw&#10;rGsI9yKdVL8luI5wti7R/1CPbMOIQcvJ9FJ1ABgm11b9PLOA/dbWGe5DflLjIvLBMjF8k+d0WrCG&#10;uC9++VXhPJrTtBjivvGNL1flWLXq+NZjj/5Dt4RCCCHE/LJ69eIvf2EujObIlAY1xJ20dtNqez/U&#10;xBB3zDHHVHmXIU4IIYRYYCYMcdHfTS8xxEGPf/wTqwIKIYQQYgF7iL5q1bPDOZQapiFuzelnhAf2&#10;OeGQvx1VRzLECSGEEAvYufzUU58SzqFNDHHRuvuBr70mPKy/cs+aKu29e/d2c7S8gEGGdYB/CyGE&#10;EGD16tXV/DApQ9zzXrQ9PKhvoke+/1BVjhUrjmg99uiPuiUUQggh5peVK4+t5j8Z4oQQQojZxxri&#10;8Et30RxaorEb4t76tjvDQ3uvo45a/E1EvQAIIYQQC4zPELfxWnvfoIY45FsIIYQQrdb+/fur+TFl&#10;iLt8z4t75m+oiSHuj//sP4aH9TfdsqVKe/fu3d0cLS9kiBNCCBExGUNc77p7GIY4qB11pcce/cdu&#10;CYUQQoj5xc590dyY06CGuFPWnrbS3g995o/uCQ/lI8kQJ4QQQixl3bp11fw4U4Y4HM5Hh/Ze1hB3&#10;6NChbrGFEEKI5Q2+aY3z47Qb4nDI346qIxnihBBCiAWGbYjD3O7Dpgxx792/vUp727Zt3RwtL2SI&#10;E0IIEWENcZ+9+xXhPJrTMAxxUHRQ31T4Zrh29B394Aff65ZQCCGEmE8efvjhat5beezR4dyY0ygM&#10;cR/7+B+Eh/KRZIgTQgghlmINcffdd184h5Zow5btPXP0UA1x0cZ8qSEOh/ztKDrSn1kTQgghFpiU&#10;IQ6KDuxzsoY4HP4LIYQQotcQ9/znHxfOoaMyxH30rnOrtLGpsByRIU4IIUTEJAxxJ284fbe/Jzqo&#10;b6pVq46vyvLAA/+9W0IhhBBiPsGXqnDewxwYzY05DWqIw3xv74f6NcTB3CeEEEKIGTbEXX3t/vDQ&#10;3mv9+rOqAu7bt69bbCGEEGJ5Yw1xT33qqnAOpQYxxEUb89GBfU445G9H1ZEMcUIIIcQCwzbEnbR2&#10;02of9jP3Xh4e1n/9oVdXaa9cubKbo+XFV7/61aoO8G8hhBAC2M32sX1D3IZNO/09hw9/Kzysb6K1&#10;a0+tynLvvXd3SyiEEELMJ3a/HHNgNDfmNApD3Ps//JHwUD6SDHFCCCHEUuwvrU2tIS7amC81xG3a&#10;dH5VQBnihBBCiAXGZYiLNubf8a4d4aF9StYQp7lcCCGEWABzIufHSRriVqxY0c2REEIIIebJEHfF&#10;5RdXZdn/vtu6JRRCCCHmE/tLZxecvyOcG3Ma1BAH7P1QE0PcCSecUOVfhjix3MGfDYbwLED4BkgK&#10;Z2MHDhyohGd/VEL8SI9iHpgv/XljIUaPNcQ9+OCD4Rxaoqk1xG3ffmlVwL1793aLLYQQYhTwJdO/&#10;bHr5cGL84KWb86MMcUIIIcTsMWxD3ClrT1vpw975ycvCw3roZ4/4V1X6QgghhFjAGuLwJ8ajOTSn&#10;/v5k6sZt/p5hG+K0FhdCCDHv2DU25sBobsxJhjghmsHzQfRXGsWsSQ3PJLwdu3fv7mjnzp2dd20I&#10;BhcIf7UAwi9rQnwGZlUsB8vFcqLM27Zt6wj1gPpA3aCOrPGOZjsxmzz22GOVHn300Uo//elPO/rJ&#10;T35S6V/+5V86+vGPfzwUMT4I8TNNyOYFeZs18CzxGZtaQ1y0Mf/a1787PLT3uvjiN1YFxCAhhBBi&#10;6Yumf8m0L5gYO6OXzFG9YOZe+OxLH1/8ILz4UdFvXvAlUOa7RVAnrPOjjvqlcA6lBvuTqUs35m+6&#10;+ezw0D6lLVuOr/KqTXghhBBiAbtZj7kymkMHNcThUD46rIeedvzPVenrHUsIIYRYAPsWnB8naYj7&#10;9t88GB7WN9GNN15XlQX7LUIIIcQ8g7mO8941V+8J58achmOI23jYxvHO33lfeCgfSYY4MSmis0bs&#10;WfGskUY2nvWN6mxRWiqetaLe7bkqz1PRRjhP5Vmqxo7meAObNazRbPbP//zPHf3TP/1T60c/+lFH&#10;//AP/1Dpf/2v/9VRNLZPs2wZ/vEf/7EjlNGa7Gium6SZbiYMcVj028ihK3/jlvDQ3mv37hurAuIh&#10;F0KIeQUvnXjh5EunfeHE+McXTr1oLsi+CFqjHV4G+dsV9oVw3gx2s2qIQ5sIMctg3LCbBBDGFW4W&#10;0JhMoc+nTMpW3FCworGY4mZDnfx9kWw6Nh8cS+2YSrEcdozlOMuxluOtHXM57nLs5fg7y2OwEMMA&#10;zw/nx2EY4qJ1d84Q96xTj63Sx/MpxCxTMj/bOTqanyE7J1J2zoT8nBrNxVY+fE5Mw6Zv52XIzs12&#10;fs7Nzbn5mXOz5mchFsBzxvlxkoa4v/jLL4WH9U105x2LfzoO5RKzDcdoKzuGl8jfL8SswX6Pdxi8&#10;1/Cdh+9DfLeD+O4UvdPx3avk3c3eV/KOZt/L7PuYfQ+z72B6FocH6p/z3m233RLOjTlNkyEOfUSI&#10;fsG4gj5kx0qOkRwXORZi3GO/mxb58diPw6mxd5hivBDrjGLdUdNah8gn64jzEuYjzEOYf+aNyNRm&#10;DW2RmW0WTWzTIGui8wY6mueGCZ4z9u25NMRdd92HqgKisIPwz//8k3Zh/6n1/e//sKNvfevvWn/x&#10;F99pffWr/29HX/rSt1r33fdQR/fc8/XWpz/9f7c+/vH7K/3+7//3Sh/84H09eu97P79EPgzFOBgv&#10;0oGQJoT0kRcKeUM+kd+/+ZsfdIT8oywo06ThApqLES5IKAys3HiFuADgYsWKA3JO0cTkxcnP3sc0&#10;7AIEsosQyC5EoEmDNobYb9H+7Lu2/7Lv2v7r+zBk+7GV759evJ/xznKfnQToS+hf6HPs6+infHma&#10;9AsTXzAp+zJXoknnfxiyZY9ervny23RsseOLHWP8WNN0zMG9zPu4DXFvedtLwkP7lM7ecWKVV9TZ&#10;OPjxj3/U0Q9/+HcdPfLIX1f6zne+3nr4r79c6aGHPl/pa1/79BLdf/8dof70ix/IKrrHy6dl8wLZ&#10;fCLfFMvC8kEss8iD5wzPD8dkiO8l9j3CL3DnYZybdtlx2I/Fdjz2Y3LduFw3NqfGZCFGDfor+z/m&#10;ymgOHdQQd+v+V4aH9dBpGxf/pDmeiXHw6GP/VOknP/1B619+8p1K//zjb3X0j//8/1T6h3+8v9L/&#10;+tGfLNHf/8M9Q5dPw+YBsvljnimWBWWjWF6RJ5qfOZ5zrMf4z7lZ8/P4pPlZLDfQl9n/x2WIw/rc&#10;3zMMQ9w9d99VlQXPqxgdHKM4l2E84xiH8Y5jIMZDjpEQxkzOb9EcR7EdR6nUWO/HeI7rHMvt+I3y&#10;Tz/4Zou2Hvtp67HHfmL047b+eUGP/mNXP+rqHzp69NEfGv39gn562Kj97lfpkVA//en3+1YUX2+a&#10;Ni9tMY8d/bAqx4JQLpazrU7ZUQfQTzr101GnvkYPnh++B/KZ4TPCZ2Ncz8Ikxecw9fzZ9ys+g/Zd&#10;is/hcn1nQl2xLmEKj+bGnEZhiLt+3ztb0aF8JBniRA47TkIcJyGOk3x/YD8atZBWNG5xvIL4DmTH&#10;K5SD45Vd780LLA/Lx/Ki7JznII7nqC/UG+oPGnc7Ij22m51jkF/kfxJ4cxu/rY3f1AYjFo1ts/rt&#10;bPOkb3/72x3BrAbdd999Hf3pn/5p64tf/GLrs5/9bOsP//APWx/72Mdad9xxR+uee+5p3XvvvdX7&#10;ixfHB44L6KPsr0gnykOJxm6Ie9WVbw0P7b1uuOHjPQ+lfSB/93dva33qU3/YeuCBBzvGG2sMohEI&#10;Rh6YfGBQi+KfF9GAh/J++MOfb3eo+9o/P9cesD7e+tCHPtm69dbbW+985/ta7373B9ph/0vrHe+4&#10;tXX99W9vvBDnIEzZtlkOshM76oj9EfVmJwlOFBAnPGvItGZMa2KzhjUaK6P2nhfZfkuzHU12OXMd&#10;6nGaDKF8obEvoegXo3wBtX2R/ZF9EfIvmJxA7CTCiWQUMH72f6bNvCBfFPLJsYjjEcoC2XGIY1BU&#10;H8tdozTERRvzgxjiILal7cPPfe6ajjZv3tjatOmFrdNPf15r+/bNrTPPPL21desLWuedt621Y8dp&#10;rV/9VfT1M9r/f2HrFa/c2Lrwoue1XvWqTa1LLn1+6/LLn9fRq/dsqHT1Nad19Jbrt3R08y1ndhTl&#10;cx71/g9c1NHvfeTXK91512tbf/DJ6zr63OduqPT5L9zaUWTos2a9EoPeqMx5dmzhmOLHEY4hfJfh&#10;+LFc312k4Yj9h/OvH8M4X0F8R+TcTHGOhjjnQei7nLetOE9y7qTsfE7x2RCTx45RkB2jILQ/xyf0&#10;IfaxYRjigA+bM8S94uKTe/p51LfXrntuR1u3ntF60dbTWy960Qvbc/CLW+eet6V1zrmbWpe9akfr&#10;0l1bW6+96uWt177u7NZvvPbM9nvHjtZ1bz6rdcs7zm3d/I4drdve//KOYCqgPnv3Kzr64pdf1dHX&#10;H3p1R1E+51H/42/f1NF3v39DR9975J0d/d0P3tvRI4c/1NEP/v7OSod/+KnQuOeNejmD3qjMeX5+&#10;5vjFvm/nZ46Vdn62/VCSmmiY87Odm5vOzxzzIc3P04kdo9BmdoxiH7BjE/vYe/dvD8fxnPoxxJ20&#10;dtNqf8+XvvL58LC+iR75/kM9zwz7P/s5+zDqZrni5zDfP2wfSc1jmsticWzmGGz7HsdTjqH5PujN&#10;a9a0tmBY6zGpVca0BcNYx0z2k7/tKn5WpFK167DHnGdMeEtMd4uGux/84G9bDzzwpdZdd93R2nfT&#10;je3n6YpOf9D74Phk35Xse1L0ftT7XnRNp832v++2pA7cdWetDt57T/t5x8G319JzAopjMIS82LEY&#10;+bXjcdSX7v/K3UEfzssb4k7esPFQO65GwERn47j6zW9tRYfykawhDmWyYyfqZLnP2dMC/7xiJBp4&#10;UmK4H/wAX3zyrfbY+EB7bLyr0//tewf7eNS3RyGOEbbfIR/Mk5+ztc4ZL6n3VI7VdlxEO0ZtPAwh&#10;bs4dfmxC/nJ9wj4fqW9u07e2jVbWtEbD2u23397RrbfCN3R9R1dddVVr165drXPOOaejNWvWdIQ5&#10;CjrmmGNaRxxxRKWor4xSU2uIAzZyqNQQBz3ucU8MCxzpyCOf3DEGrFr17I6e+czTWps2nd/R9u2X&#10;ts477zUdXXzxG9uDOV6+b2w37Hs630TnBTNeP7JxIG6K6UFIn0J+kDcKeV2//qyOkH8IZXnqU1d1&#10;hPJRKC/qh4rqRJouoc0gtCX7qO2nvn+yL0bPhrQob66z32aX+yY7Gu4oGO8WDLZ/1friF7/a+sM/&#10;/ELHRHrttb/V0StecWnrWc96TutpT3t66+ijj2n97M8Ob7D/1//6Z9v94t+1J5bnd3T22Re0J53X&#10;dnTTTe9vvfOdH22/XHymY3il6XdYYl15se5sHfp6jOqS9UgTI8RvCRyWoZEblpBdPHPRzJdBLpTt&#10;SyFfDMexmBiHMB9EzwU1iCEu2pi/9s3bw0P7lHbtek6Y72nR4x//Mx0deeQTKh199L/p6LjjntTR&#10;6hOPqnTqqU+p9PznH9cR/tSdFYwN0M4LT6mEeoCsYc+a9rx5z5v4psXM5/MD+Tzb8qCMKDfMiq94&#10;xZqOefH889d0dPaOZ7c2b/4PHT3v+Sd29Mxn/rv2/Ih3uV9q/dIv/ULrl3/5qNaTn3xk64lPfFzY&#10;fuPUE5/4+I5+/uf/9/Z4fUxH/9f/9Sut5z73Ga3nrFnVOn3jszra/pINHcG8ecklWzvas2dHex7Z&#10;2frtt1zYo1v+067WDTde2KNb331J6z+944JK//nWc3sEk2OqLVLybUT5tmJ7Wdl+DLF/2z7PZ4HP&#10;Bp8XPkMQnys+Z3z2orqWhiPMcRTnPYgbxhDnRW5oWHH+hLj5DHGOteImGcX52IpztRfm8Tr90R99&#10;tkef+tSBHn3iEx/p0R13vL9H7/mdty/R22/Y23rLW15X6Td/81WVLr30nPZ7+bZKMGdDGzY8q3XS&#10;SSd0dNxxKzv6hV94Uvs97glhG5QKz5Yfb6FBDXE3vOui8LAeunLPmjAv06KfPeJfdXTU0UdUetrx&#10;P9cR/twrhG+5s3rJjhM6gtmPQjmpvde9oKObbtlSCWYHyBr2vHHPmvesaOSbtJnP5oPyebVlgVA+&#10;lBtmxX3teeK6N2+ttOc3NrUuvmR9Ry99+bNbG884sbXpjGe0nv2cf9fR8U8/tvX0pz+ldcwxT2od&#10;ccRgfX8YQh6gY475udbTT/jFjp6z5umtMzY/q62TWy8/Z31Hl+7a3BHMm2/+7XM7ese7Lm598ENX&#10;tj7wXy5rHfivr6l07xf2tu7+/Ot69OUH3tj60gO/Wekv/j+vX6KoLSL59rHy7USxr1K2H7Nv2/4O&#10;4RngcwHxWeEzBPG54nPGZy+qa2k4Gub83HSOjuZnKJqfoWhOtrr33j/s0d33/Nce/dHdd/Toc390&#10;e6WPfuzdrd//6DuW6N3vubbSW9/26krXv/Xy1lW/eVHHjE3BnL15y3M7WrPmxPbz/8sdHXPsk9vj&#10;whM7itqgVHjWonE3J5jR/Xw8LYa4OrEf2r7GfoR+wnY/dGi8BlDGbfeBmAcIeWKfZV9HnvFMoAwo&#10;C54lPl8oJ5/BqB6mUXbcgOzYwXaL5MNZMa4ovUlq5cpjWqtWHd9au/bU9vv3xtYF5+9oXXP1no7w&#10;JxAhfPsh9I1vfLnTz6P+L41HqH+0A8xH+EauG2+8rnXF5Rd32g/tuGLFcA9KEd/q1as62rbtRe3n&#10;/NdbN910Y0eVcWv/+9rjAQwmdy0ZtyA/bkHEfsZwlI3DmrqYFoxfNIkhP3v3Xt3R7t2Xt8ei8zv5&#10;XbfuuR0h/ytXHtvRsOtIWhD6ZdRncxqGIQ732Dj6NcTVCeM3xnk7X3OuZv+eRWgYs+YZK/wpPv4p&#10;RH5rFL85yorfIkWzDYRvlOK3Svk/m+jFb5wq+eYpmkyswYTmEppKaCahkSRq02EK/WPVqlXteXRr&#10;R1dccUV7XLqp845kx0WOd2L+4DyG92OMDXynx3iB92K8C0Z9Zxg69thjO31+y5YtrXPPPbd12WWX&#10;dUxWeCbwbHzqU5/qCMasQcxN8y6OLTSwoc4iAxvGGY41mzdvrsYbb16L2mrWhHJEdVWqMRjier8m&#10;9pWXvSk8tI8Ek1A7CmkKBRPe4x+/oP/j//j51pOe9AutX/zF41q//Mu/0tEznvHM9uLnha31609r&#10;Pe95p7de/OIdre3bX9oxFUG/9mu72oPg6yu94Q1YJMSbdjlxA88L12x8v/7rl3d0zjnndbRp0+aO&#10;YHB65jOf3fqVX3la67jjntb6hV84qvXzP39U64lP/Nm2/nVY9kmJps+UoY7GTxrqaPhczqY6mlVp&#10;TrVGVJpPreF02OZSGlYRN9oM6dl2Qp5kelw0NTYxNuZMeNaAB/NdiQHPbnYsbG4sLA64sZoaW3j4&#10;gJdJbrZyw9UqtymJRQpfTGC0hGCSrBuH0LfQl6I6pSZtiIMZB2aYdnTSiERj0SDyJiWrKM1ZFMtD&#10;YxYNjjRz0cQIE5g1K9JUFvVvabjyBr6cWc+b9HIGvTqTnjXqyawnjVvoi6kxJjLEte9J4tfdOUMc&#10;TDkwv7Rvk0YkGotGoSi9WRXLRGMWzY00NdLECGOKNSrSXBb1b2m48kY+b9iLjHqRSY9tWmrSs0Y9&#10;mfWkcQt9sZ8xph9D3ClrT1vp77n3C58OD+ubCiaidhITEQ1XkN3/sHsjfo/E3hPFOa1iGVke7gth&#10;j4h7RpDfz8Zekz2YhrgvNYlD6sV9sW+18/JA69AD97fuvffu1l13faytj7be9773tG666a2tvdf8&#10;ZuuKK3a1LrjgnNbWrZtba9c+p7V61dPbdXBMuy4m93658tijOyYsa6bLGepg4pKprlfe4GZNbtbo&#10;NkyzG+Jh27HdkBbSHV078VsDSxTdPxqx/tkGKD/bAX0XdcL+jDpiH0e7sG1Ql9ByNdqh3KiTqH7r&#10;NApD3JVX7e05jM8JZod2FEMVzhpgTnnuc5/bMaecd955Hb3+9a/v6Hd+53dan/vc5zp66KGHWt/7&#10;3vd6zGSRaDCzotmsX9NZVB/jlDeeWPOJNbdB1mwyLpMJz42QJgwvML4gL9ZghDyXGozYBmgfthna&#10;Ee1LUyHNhjAhQjQlwqwo5ge0J76tEN9UCN12222tq6++unX++ed3xg0YK8fRz5EGzFsQ+jmeMwj9&#10;nX2eQt+HwY4mOz4HEJ5ZPA8Un4tIfNZLZOP0siY1jhcQv2mNomGNpjVvXJtV8xrzbNuPYjltW+Zk&#10;68XWCdNBnUZjWqmm2hBHwdRDIwuMPzABwcACg1A7CaktGm/4LWQw4FjzFA1UNAFBNFHRoGO/nYwG&#10;In7jHY1F4zTv8E+HWrNMnew9UBRvP0K5UQ+oE9QP+yP7JIQ6Zd+kwWra+ij7B/No+wb7B8vDfuH7&#10;RtQ/crJ9J5IPz7htXbO+2V8hW+coA+sc4vMQ1cGwxOcN6SF95AX5Ql5ZNyhf1J+kyYljA8cM/qni&#10;1Lfm2W/Js8a8lHxYxsO4mR7HqyiPw9TV1+7vmeShUkNctDH/+r1nhYf2paozvFjTize86FuplrfQ&#10;bmhDtinbm/2AfQT9Bf2IfQv9LGU2kaQm8uOXHcPsOGaNeyVjWTSepca0aFyzY5vGt8mJ9c9xCm2F&#10;9kNb2jGK41PJ2DSoIe66t+8MD+u9vNml1PBSanop+VYqmV1mV2gztB/bNDK0Qegv1tCGftaP2USS&#10;vErGsNw4VjeW2fEsNabVjWsa2yYn1j/HKbYfxyk/Pg06NvVjiMN1f88nPn1neFjfr2CuoKmCZgoY&#10;T2CggHGinY1lqTojG34J0pvXDhnj2rgNazE4mPZ/VvTHbfHPik7mT4vS2ENDjzXz0MhDE8809UFr&#10;zkLe8JxANB4h73yGUB6a7Ph80WxHwdREQ5cV6qfE4MVwkXycTIt1busdQt5Z93z+oWEb3LwQL81u&#10;SJ/1xnpBWaKyS8OV7TNRX2F/YZ9hP2e/Yd+pE5+ZnOyzRfF+mx5knzf2HeQ1er4G7UtD+ZOp6zce&#10;tHE0McRRMGrQZAFzBQwAMFLAJABzQDuZsciaG7yhoc6YQoOIlTeRpJQzotj4vPmEYn68EcUaLWi2&#10;oJEjKv8oRfMI8sH6RD5ZBtYXyk+zXtRXJi1rcLTGOsh+Yx+MdfhGP5nrhkv0bYr22xNZ/zSy0qzK&#10;NmtqRs2NTdA4xyepuey4w3Hdjj9QNJZzLIJoJpzmcSmnpYa4jde262Z4+L+bfsHFV4eH9oOKZhpr&#10;VrJGJWucoXnGGmhoFLKiqSZSFB5ifJQ3HlE0H1E0IEGlJiQaiqL6kKZPNH+hDb3Jy5q7bN9En2o/&#10;RtIYheebzy+eVbQLn00+h3r2pFnRIIa4aGN+z28OZoibVnmjize4eJNLncElZ27JGVwio4s3u0Dt&#10;5hmrfPqQz6MvA80gNITQFAKhjlhvrEfUK+ua9U/DSJ1pRJKkWHx+7Pjmx7ncWJca7/yYR/EZp+wY&#10;aGXHQy8/PvarKG7K5sXnGeWw5ZzkGNXUEOfX3a+99tzwsH6W5I0uTUwupQYXmiMig4s1uXijCzUp&#10;w4tNl/J5s3mnUCZvCKFQR6w31iPqlXXN+qdhZBDTiCQtd/nxzY9zubEuNd5Rdtyj7LMOcQz0smNi&#10;JD9GliqKy8rmweeVZbBl5PgETdMYNSxD3Ic/+sHwsH6UoqGABgmYDmhEoMnBG2j4TUQQTC/DNtTY&#10;b4zjt8jRvAbh2/ijb2OLvoXt0MiMbF1DWteURi2a04xBjXJGtcce/YeOegxrPaa10RnXpk007dh+&#10;SHMODTm2H06TmW45yhoIMUagjdBeNCvJ7CbNkoZjiNt0wMbxysv3hIfywxBMCZExhWavdnakMcib&#10;2yCaS2gqoaGERpKoPaUfdgxaNGvxGwa90c5+ix3Fb7Oj8c6a77wJLyWay5oqisuLeWDeaFizpjWI&#10;38LoDWzWxEYj2zR8s2JK1jhnx6jIQKexKhbGlX4MbKh3b2DTmLOokRvi/NfEvvzC/J93kyQpFg11&#10;NH16Qx1kvy0NolGz/SguS9G8SnMqDW40uaH+aHKjyTSqe0maVQ3bEIfD+ejQXppOWTNMU0XxSZIk&#10;SeNTH98Q17PungdD3HIQTRsliu6XJEmSpkf9GOKAv2cShrhRCYYY+81EEL/Vx3+zDxXFsyiawdqC&#10;OSwhGsiaKIqnI5tmR1G+pEmL/cx+65U1dtJQZ82dNHS2H0OpLW9w4zd28Zu5aHTjMxu1gyTNqkZh&#10;iHv5K3aFh/LjFAwRMEakzCkwWCx3I13KeGLNJzK3SdJohecJzxXHLJq77NgF0QDGcYzmMDyrdkyj&#10;+FyXyt6bEscHO05wrKBRDbJmNQjliExrHE80poxWYzfEbT/38vDQXpKk0ct+S5011tFc5w12/NY6&#10;b7SD+C1qVjTg5ZT6pkUfFw1sEPNAMxvyxm9to6nNG9tkbpOkwQxxwN8rQ5wkSZIkjUeDGuJe9Rsv&#10;Dw/rJUmSJEkajWSIk6TZFk11EIxf3lxnv7HOmuxotKNouOM32VE04EH8VkX/zYr2cy97v5VNg3mg&#10;mQ1CXpFvGttQHprbZHCTpAUNwxB38vqN+20c02CI61dNzCnWmGJNKTlFJpOU/L3efJIyodCIQhOK&#10;NaDIfCJJkrS8NPo/mer+broMcZIkSZI0Hg3bEHfJ5TLESZIkSdI41PhPprp1twxxkiRJkjRe9W+I&#10;23jY3vOe970nPKyXJEmSJGk0GtI3xO2zcWx56QXhobwkSZIkSeOVDHGSJEmSNKca3BDXuzEvQ5wk&#10;SZIkjUfNDXG9f57lwsvODg/rJUmSJEkajSJDXHeaziJDnCRJkiRNVqMwxOHwPTqUlyRJkiRpvBqD&#10;Ia53Y37L2ReHh/aSJEmSJA1XkSHupLWbVnen6Fr8xvxFl8oQJ0mSJEnjUOM/mer+PMuOi84KD+sl&#10;SZIkSRqN+jXEnbRh08P2nhvfcXN4WC9JkiRJ0mg0HEPcxmttHDLESZIkSdJ0aOSGOL8xf/qZF4SH&#10;9pIkSZIkDVeDGuL8xvy5v7o1PLSXJEmSJGm4kiFOkiRJkmZLA3xD3CF7Dw7lo8N6SZIkSZJGo1EY&#10;4qDoUF6SJEmSpPFqHN8Q574m9mXhob0kSZIkScPVEL4hrmdjXoY4SZIkSRqPcqZJlgAAEohJREFU&#10;+viTqT3r7jN2bAsP6yVJkiRJGo2GZYjb84Y3hIf1kiRJkiSNRsMwxJ284fTdvXHIECdJkiRJ06Cx&#10;G+Kec9qLw0N7SZIkSZKGq4G/IW79xoP23pecL0OcJEmSJI1Dgxri1m/ZEh7WS5IkSZI0GvX9J1Pd&#10;uluGOEmSJEkar4byDXEbNu3sjWNT6zvf/V54MC9JkiRJ0vg0BkNc79fEyhAnSZIkSeORDHGSJEmS&#10;NJtqbojrXXfLECdJkiRJ41X/hrhNB+w9v7b7yvCwXpIkSZKk0Wg43xC3cVtvHDLESZIkSdI0SIY4&#10;SZIkSZpTDW6I692Y3/rSLeGhvSRJkiRJw9WghjgoOqyXJEmSJGk06vtPpq7fuN/ec84rLwkP6yVJ&#10;kiRJGo1GZYh74Kt/Hh7MS5IkSZI0Po3cEBf93fTo0F6SJEmSpOFqUEOc35jfeJYMcZIkSZI0DjU2&#10;xAV/nuUvv/m68MBekiRJkqTha1iGuK0vOz88rJckSZIkaTQahiHuGWtPW9cbhwxxkiRJkjQNGv03&#10;xAUb8/tu/lR4cC9JkiRJ0vA0hG+I22fv3bBlc3hoL0mSJEnScCVDnCRJkiTNlgb4k6k9624Z4iRJ&#10;kiRpvNrzhjf0zN/DMsT98Z98MTyYlyRJkiRpfBrDN8Qt/ZpYGeIkSZIkafQatiFuzelnhIf2kiRJ&#10;kiQNV5dc3swQF/55lq+9JjywlyRJkiRp+BqWIe55L9oeHtZLkiRJkjQaDcMQhz333jhkiJMkSZKk&#10;aZCfn8diiHvTb/1eeHAvSZIkSdLwNLghbuO19l4Z4iRJkiRpPBqGIe6P/+w/hgf2kiRJkiQNX/0b&#10;4nrX3TLESZIkSdJ4NQxD3ClrT1vZG8em1mf+6J7wYF6SJEmSpPHJz89DN8RFXxMrQ5wkSZIkjV7D&#10;NsRB0aG9JEmSJEnDVVNDXLTu/sy9l4cH9pIkSZIkDV/9GuJO3nD6bn9fdFgvSZIkSdJoNAxD3Kq1&#10;W1f0xrGp9bGP/0F4MC9JkiRJ0vjk5+ehG+Kir4nFAX10cC9J0miEP1Ncp7e+7c5awcw6akXp1ikq&#10;DxXVhyQtFw1qiIs25t/xrh3hwb0kSaMRnrk63XTz2bV6y9teMlJFaZYoKg8V1YckLRc1NcRF624Z&#10;4iRp/PrLb76uVvhzxnXCNzyOWlG6dYrKQ0X1IUnLSX1/Q9yGTTv9fYcPfys8sJckaTTCM1eib//N&#10;g7X6i7/80sgVpVunqDxUVCeStJzkDXEnrd94sDtNFxMZ4t7/4Y+EB/OSNAv6zne/V+mvvvHNSg98&#10;9c97hD8NTOFbEa1gCrXCMzFO+fRT8vmGbLm8fB1Ato4oW4dUVNeSJI1Wfn7G2Xd3+h4O0cb8BRdf&#10;3Xrt69/dOaiHrAlGBpb5lDcpQdbQRHlzFMW+QqH/RLryN25Zoldd+dZQr7zsTT1Cv4z08gtfs0Tb&#10;z7081JazLw51+pkXhNqw5WVLtH7zjkehZ79wK/VT6NQXbv3JqS940b8sasuPIf98SWV6zmkv7lHU&#10;FhDbyranb3fbN9hvfP9iv2O/ZJ9ln2Zf57PA5yR6niTJy46r7EvoX+h7vu83+oa4YGN+z2+e1br2&#10;zdsreWNLdKgvza68QYmy7U5FJinI9hfo9XvPCoW+ZXX5nheHgknE66JLY537q1uX6CXnx9r60i2h&#10;Np4Va8OWzUu0fvMZ7Tn8jEeffdqmBb1wY3sO39iewzf95Nkv3PQv1Kkv2NiewzdqDu9Dzzlt02P4&#10;881WUVtAbCvbnrbNfd9gv/H9C/3O9k30V9un2df5LPA5iZ4pSfKy4yr7EvoY+mRv/994uDs9h0R/&#10;nuW1157buvOTl3WMcZA1wMjAMp+y5iQra2iivDkKYl+xQh/y+uBHL10iGEEi3fCui5bourfvDIU+&#10;6/Wq33h5qAsvOzvUjovOCnXGjm1LtOklWx+F1p6xeUGbzvgp9NxNm3/y3I1n/AvVnmt+DPlnTCrT&#10;+i1behS1BWTbi+3p2932DfYb37/Y99g32W9tv0Z/t88DnpPomZKkSHZs5fiJPoZ+6ft/d5rOEv3Z&#10;8098+s7Wl77y+UrWACPzynzKG5Qga2aivDGKsv0FuvcLnw6FvuX14Y9+MNR73veeJbrxHTeHeuNb&#10;fmuJYDDx+rXdV4Y655WXJLX1Zecv0ZYd5z4Krd98ZkfrznjxT7v6ydpN2/6Feu7GrT9es3HrP/tn&#10;TKrXhi1nPYY/4WwVtQXEtrJt6tve9g32G9+/2PfYN9lv2a/Z3/k88FmJnilJimTHVo6d6GPos7b/&#10;92OIAzYO6Oo3v7XHQEOTTHRYL0lNRYMV+hRNWTRzweRFU9g7f+d9rev3vbMj9Enoyqv2tl55+Z6O&#10;Xv6KXR1teSnOrLd35PuyNFqx3q3QHl5sKyu2oxXaNyX2AS/2kZTQj0plTYnTrCjvdYrqJqeorlOK&#10;2itS1OYlivrPuBTlB4rKR0V1BEX1DEXtRS197oZsiIs25psoMqtYQ1HOpOKNKt6wkpI3soxaUR5y&#10;ispkFdUDZevLy9arla17K2smsoraUZKkwYXnyz6DeD75/PIZt2MBxgs71lhDHk151mjqTXk05kUG&#10;LKlc1qxmDWuocxojIbSJNezaMd+O33Zs7mfcbfYNcUs35psoMqtYQ1HKpJIyq0DW7BTJG1lGqSj9&#10;nKLyeEX1QNn68rL1amXr3opt4xW1oyRJgwvPl30G8Xzy+eUzbscCjBl2vLGmPJpIZcobrViHNKtZ&#10;wxrqnO3AdrGmXTvu2/Hbjs3Nx9y8IS76bfQmiowqkTklMqh4kwpljU6RvIlllIrSr1NUJquoHqxs&#10;nVnZevWy9W9lzURWUVtKkjS4+IzxGeQzimfYPuccDzhucMzp15QnY95gYh16sxqEOmc7sF3YTnae&#10;4Pjux2yOxVF/yak7TWcZdN0dGVWsmShnUPEmFW9WScmbWEapKP06RWWyiurBytaZla1XL1v/lDUS&#10;WUXtKEnScMTnjM8hnk8+w/Y553iAMcOOOdaQV2LKkzFvOGId0rDGeramNQhtQuMk5Md9O4ZzbO5n&#10;7O3fELfxcBRfStb0QsOANQH81g3/6Z9v/s+/80/QR+78+I8+9NE7v/+JT33mb+/5wn/7LvSlrxz6&#10;H9Bf/OVD34b+5jvf/f9CP/zhDx92OmwUmquk4Soyq0EwR9aZ1iC0P/oCTSPoH+gnNEtF/UmSJEkq&#10;1ZANcYNuzEuSJEnTIxqwvDGPomnLmvQisx4Ne5Q17nnRJDaoorghmw/K55VlsOWz5bb10Y9JbZwa&#10;pyFOkiRJmh7R+OqNeRRNW9akF5n1aNjzpr1INIkNqihuiPmw8nllGWz5bLltfbCOovqbvEZriJMk&#10;SZKmT96YZ815NOhR1qhnzXrWsGdNeynRJDaoorghmxfK5hViGWz5bLltfbCOovqbBnWn6SzPWHva&#10;uuheSZIkaXZlTXk05lE0bFGRUY+i4csb9yJZo9ggiuKGbF4on1+Ww5bPlp31QZNaU6PauDQuQ9zo&#10;hfxsPHzShk0PQ+1/H4JQvpPWbzoAPfuFWz+55vRtH37elu0fe8GLX3YbtOWlOz905rkXvfvlr9j1&#10;fuiiy678yKv2XHXbq39z7+3Q665984E3v/3m299687s+Dt186+/+4X/5yMfugX7vjrv+7DN/dM8h&#10;6o/u/cJfwbz3+f/2J/+L35Y3CtFkZmX/JCZlvx3KmtEiQxpNadaYRnMaRUMjjWoyq0mSJM2CZIiT&#10;JEmSpLlVE0OcNuYlSZIkaVqUN8SB+D5JkiRJkiaj+rkbYI0e3y9JkiRJ0iQ0gCHuUBSfJEmSJEnT&#10;pCEb4gA2AOLEJGmSWvjtCC/+toRV+/POb054LfwmhdfCb1ZEOnn9xv2R2tf25bXx2jrh4S1Ruzw7&#10;69Qu27ZpVpTnSGH5g7pbUG+dB21k2nKxvdv5WegLS/tMt09FfU+SJqGFPok/Zd6dnmtZ+LPn6sfS&#10;NIpjbK/8WNwdj5fM35Adyxdlx/pe+XmhOzf0zB2xojmnV9F8FaldnnC+s2qXLZw7p0VRniMtKXtQ&#10;bwtaWudBO3Xbsbe92/lZ6Au9/cX0qajvSdIktDC+dafnJAt9OLpfkiYtO7Yuyo6/VPvzJXM25Mfw&#10;BfXO1VZ+LujOB0vmjKWK5ppe+TkqpXZ5wjnOql22cL6cJkX59grLH9TdgnrrPGgn05aL7d3Oy2J/&#10;6O0z3T4V9T1JmpTK5m6w8Mvk6sPStGpx3ray4zDV/rxn7qbsWL4oO9Yvys8JVPtaz9wRK5pzehXN&#10;V5Ha5QnnO6t22cJ5c1oU5TnSkrIH9bagpXUetFO3LXvbu52fhb6wtM90+1TU9yRpUmqPce1+252m&#10;G7HQ36M4JWmSWpy72z/d/Lw4/2JcX9DifNm+x8wXi3MMvkjBCr/gYYVzJQrvunXqPkJDIYo/ks2j&#10;ly8P5csN2XqxsnW3WIf9zbl+vqXa16p3qEX1zsFW7XxV7U+189UzN3u1w1Tvf3lFfW+WFJWpXlGd&#10;pdQOv6T+U4raz+pZL9jy3/ANn2s3nfmH1PO37riX2njWOf/NasuOC/7M6sxzf/X+l150yX/zOu/i&#10;X//vwxbSsmIeTjvzZV973ovOPgStO+PML1PPPm3r16FnvWDzn0NVnQR1CrWvhW0TtzM1AkOcxQ4y&#10;HDzamVoyOCwdCJY+9HUPeDvO3s4TVJJVO0xQWZNRlD+vdrie8kWK6mVBtu56ZevYqn2tZwBelG2n&#10;BdkB3aqdbzf4L50k/GRC+YkHshMU5Sc1qtsFhZgo6Iu2v6Ifs4/b52DxGek+O9XztfDcmeey++wu&#10;PNvtexee/cVxoj2mRIO9NN1anAuqNjVjtx2T7fjaDleNoRwjhzkGsv9G/RbpL+TB99ml/ba37y72&#10;XyuWm0Jd5NQO0zOPTlJR/qzaYXrKllJULwuyddcrW8emrrvzdSTbTgtiG1q1890zf0PtPFZjFsV+&#10;YcU528uOhRT7q1W3+wkxUdgf2VfZj9nP+Qz0PiP5sbD97/Zzu/hst+9fePYXx4r2mBLNEdL0qncu&#10;QHtCC228OE5XfcGMse1wnTHUjpGDjIO+v/bbTxf7KrXYZymWk0LZc2qHqepp0ory59UO11O+SFG9&#10;LMrW36JsHVu1r3Xn6Ei2rcrX3VA7nz1zNsQxzIp90Iv9yYp91KrbBYWYOOiPtr+iH7Of2+dg8Rnp&#10;Pj89z5mft6HF57t9v5u3oWh+kKZXvfMB2hRaaOPF8Rp9AbLjbDvcUOduYvsu+y3SgpDuQtpxf+3k&#10;sdtne/ttb9+lWF6K9ZBSO0w1h05aUf682uF6yhcpqpcF2brrla1jq/Y1M2d72bYa3xzOvmTFfurV&#10;7YJCTBz0R9tn0ZfZz+1zsPiMdJ+fnucsPYe37114/hfHisOnbNj0/4vnCWl61TsfVO3qxuv2z84Y&#10;bMfZdriRzOEW9mP2X6QJIf2OXF9dyPNiH10sV1R2af6U78+97xnj789CCDEvaHwUQog5hwO93VDg&#10;oqxkU+HUF2y7Hlqzcftt6ze/9EPrNm3/xIbNL/sM9MKt59zT/vlnz3/Ry+9ft+nsv4DWn/HSv4Ke&#10;t+XlD6874+zvQs8+7czD///27WcnjSgMw7hXVaWBWmAozDnMn04tBmlJ26th2RvgIli5cs+GNQsW&#10;xnThshntAnb9Pk9PZ5wQa5AmjX1+yZPYhVFPJ3lzzNgIs9xXC+K19rITbcptvxg8vcO2vXWZm9+1&#10;TP6iZa+06qXD5y+k/hLiLyK+4kJy/1LiLybuLItfWvqz55ICAHiMp254vRtOjo352gj701bUlw03&#10;s1ZsZb+t7Leda0FsF01rlvLxyvfaWtlvV71nZcOt7LerFhjZcCMbHsp2u7Zt7746bIey33fJfkuy&#10;327DjWy4+WsbrmeqVTfc/1+w4QCAbcq7/dB2+912m+N2Wzu2/UnwNplqvSyZ9U/Tcy0bpRd2kM61&#10;ZJgueifJUj5eadEwvey+i699zSj63orj3Ffv2nWjZzflylu7z2pvzI9ax9xqR0F4c1fb5Jrcw680&#10;3W1N97rcrttdnCPbDQDYjd+IP+235nfHbU+x4c1+Nulmw6lmToaz9Gx8rg3GXy6S0/E8+/B5odnB&#10;aJkMP660bPTp0g7Orn1B+j73NcJkrb0Kk025bfu7j2qdvuy36yiwsuFS2+a1TvTtsG1lw93v0OUM&#10;7u239tCGF9u924b/z/tdfSarz6M/P3eGxbPoevwfeWjy79JL6NufkedV8fOWzmCHZ9qdd/mZls/n&#10;eQYAAAAAAAAAAAAAAACAf5V/kcvnX9Qrv7BXzr8Mtu+qX0erfi/V71X79WMAAAAAAAAAAAAAAAAA&#10;AAAAwHN1cPATKJQ3WoFlKxsAAAAASUVORK5CYIJQSwMECgAAAAAAAAAhALJyWF18BAIAfAQCABQA&#10;AABkcnMvbWVkaWEvaW1hZ2UyLnN2Zzxzdmcgd2lkdGg9IjExMjIiIGhlaWdodD0iNzgzIiB4bWxu&#10;cz0iaHR0cDovL3d3dy53My5vcmcvMjAwMC9zdmciIHhtbG5zOnhsaW5rPSJodHRwOi8vd3d3Lncz&#10;Lm9yZy8xOTk5L3hsaW5rIiB4bWw6c3BhY2U9InByZXNlcnZlIiBvdmVyZmxvdz0iaGlkZGVuIj48&#10;ZGVmcz48Y2xpcFBhdGggaWQ9ImNsaXAwIj48cmVjdCB4PSIwIiB5PSI1IiB3aWR0aD0iMTEyMiIg&#10;aGVpZ2h0PSI3ODMiLz48L2NsaXBQYXRoPjxjbGlwUGF0aCBpZD0iY2xpcDEiPjxyZWN0IHg9IjEx&#10;IiB5PSIyMTciIHdpZHRoPSIxMyIgaGVpZ2h0PSIxMyIvPjwvY2xpcFBhdGg+PGNsaXBQYXRoIGlk&#10;PSJjbGlwMiI+PHJlY3QgeD0iMTEiIHk9IjIxNyIgd2lkdGg9IjEzIiBoZWlnaHQ9IjEzIi8+PC9j&#10;bGlwUGF0aD48Y2xpcFBhdGggaWQ9ImNsaXAzIj48cmVjdCB4PSItMC45NjMzNTIiIHk9Ii0xLjUw&#10;NzczIiB3aWR0aD0iMTkuNTIwOCIgaGVpZ2h0PSIyMC41ODg2Ii8+PC9jbGlwUGF0aD48Y2xpcFBh&#10;dGggaWQ9ImNsaXA1Ij48cmVjdCB4PSIwIiB5PSIxLjMyMDU5ZS0wNSIgd2lkdGg9IjE4IiBoZWln&#10;aHQ9IjE5Ii8+PC9jbGlwUGF0aD48Y2xpcFBhdGggaWQ9ImNsaXA2Ij48cmVjdCB4PSIxMSIgeT0i&#10;MjgwIiB3aWR0aD0iMTMiIGhlaWdodD0iMTMiLz48L2NsaXBQYXRoPjxjbGlwUGF0aCBpZD0iY2xp&#10;cDciPjxyZWN0IHg9IjExIiB5PSIyODAiIHdpZHRoPSIxMyIgaGVpZ2h0PSIxMyIvPjwvY2xpcFBh&#10;dGg+PGNsaXBQYXRoIGlkPSJjbGlwOCI+PHJlY3QgeD0iLTAuOTYzMzUyIiB5PSItMC41MzIyNDki&#10;IHdpZHRoPSIxOS41MjA4IiBoZWlnaHQ9IjIwLjU4ODYiLz48L2NsaXBQYXRoPjxjbGlwUGF0aCBp&#10;ZD0iY2xpcDkiPjxyZWN0IHg9IjAiIHk9Ii05Ljg5Mjg5ZS0wNiIgd2lkdGg9IjE4IiBoZWlnaHQ9&#10;IjE5Ii8+PC9jbGlwUGF0aD48Y2xpcFBhdGggaWQ9ImNsaXAxMCI+PHJlY3QgeD0iMTEiIHk9IjM0&#10;MyIgd2lkdGg9IjEzIiBoZWlnaHQ9IjEzIi8+PC9jbGlwUGF0aD48Y2xpcFBhdGggaWQ9ImNsaXAx&#10;MSI+PHJlY3QgeD0iMTEiIHk9IjM0MyIgd2lkdGg9IjEzIiBoZWlnaHQ9IjEzIi8+PC9jbGlwUGF0&#10;aD48Y2xpcFBhdGggaWQ9ImNsaXAxMiI+PHJlY3QgeD0iLTAuOTYzMzUyIiB5PSItMC44MjM0Mzci&#10;IHdpZHRoPSIxOS41MjA4IiBoZWlnaHQ9IjIwLjU4ODYiLz48L2NsaXBQYXRoPjxjbGlwUGF0aCBp&#10;ZD0iY2xpcDEzIj48cmVjdCB4PSIwIiB5PSIzLjk0Nzg1ZS0wNSIgd2lkdGg9IjE4IiBoZWlnaHQ9&#10;IjE5Ii8+PC9jbGlwUGF0aD48Y2xpcFBhdGggaWQ9ImNsaXAxNCI+PHJlY3QgeD0iMTEiIHk9IjM3&#10;NyIgd2lkdGg9IjEzIiBoZWlnaHQ9IjEzIi8+PC9jbGlwUGF0aD48Y2xpcFBhdGggaWQ9ImNsaXAx&#10;NSI+PHJlY3QgeD0iMTEiIHk9IjM3NyIgd2lkdGg9IjEzIiBoZWlnaHQ9IjEzIi8+PC9jbGlwUGF0&#10;aD48Y2xpcFBhdGggaWQ9ImNsaXAxNiI+PHJlY3QgeD0iLTAuOTYzMzUyIiB5PSItMS40NDMwMiIg&#10;d2lkdGg9IjE5LjUyMDgiIGhlaWdodD0iMjAuNTg4NiIvPjwvY2xpcFBhdGg+PGNsaXBQYXRoIGlk&#10;PSJjbGlwMTciPjxyZWN0IHg9IjAiIHk9Ii0xLjk4MTg5ZS0wNSIgd2lkdGg9IjE4IiBoZWlnaHQ9&#10;IjE5Ii8+PC9jbGlwUGF0aD48Y2xpcFBhdGggaWQ9ImNsaXAxOCI+PHJlY3QgeD0iMTEiIHk9IjQz&#10;NyIgd2lkdGg9IjEzIiBoZWlnaHQ9IjEzIi8+PC9jbGlwUGF0aD48Y2xpcFBhdGggaWQ9ImNsaXAx&#10;OSI+PHJlY3QgeD0iMTEiIHk9IjQzNyIgd2lkdGg9IjEzIiBoZWlnaHQ9IjEzIi8+PC9jbGlwUGF0&#10;aD48Y2xpcFBhdGggaWQ9ImNsaXAyMCI+PHJlY3QgeD0iLTAuOTYzMzUyIiB5PSItMC4xNTIwODci&#10;IHdpZHRoPSIxOS41MjA4IiBoZWlnaHQ9IjIwLjU4ODYiLz48L2NsaXBQYXRoPjxjbGlwUGF0aCBp&#10;ZD0iY2xpcDIxIj48cmVjdCB4PSIwIiB5PSItMS4xMDQ4OWUtMDUiIHdpZHRoPSIxOCIgaGVpZ2h0&#10;PSIxOSIvPjwvY2xpcFBhdGg+PGNsaXBQYXRoIGlkPSJjbGlwMjIiPjxyZWN0IHg9IjExIiB5PSI0&#10;ODUiIHdpZHRoPSIxMyIgaGVpZ2h0PSIxMyIvPjwvY2xpcFBhdGg+PGNsaXBQYXRoIGlkPSJjbGlw&#10;MjMiPjxyZWN0IHg9IjExIiB5PSI0ODUiIHdpZHRoPSIxMyIgaGVpZ2h0PSIxMyIvPjwvY2xpcFBh&#10;dGg+PGNsaXBQYXRoIGlkPSJjbGlwMjQiPjxyZWN0IHg9Ii0wLjk2MzM1MiIgeT0iLTAuMTMyNjc1&#10;IiB3aWR0aD0iMTkuNTIwOCIgaGVpZ2h0PSIyMC41ODg2Ii8+PC9jbGlwUGF0aD48Y2xpcFBhdGgg&#10;aWQ9ImNsaXAyNSI+PHJlY3QgeD0iMCIgeT0iMy4wNzA3N2UtMDYiIHdpZHRoPSIxOCIgaGVpZ2h0&#10;PSIxOSIvPjwvY2xpcFBhdGg+PGNsaXBQYXRoIGlkPSJjbGlwMjYiPjxyZWN0IHg9IjExIiB5PSI1&#10;MTkiIHdpZHRoPSIxMyIgaGVpZ2h0PSIxMyIvPjwvY2xpcFBhdGg+PGNsaXBQYXRoIGlkPSJjbGlw&#10;MjciPjxyZWN0IHg9IjExIiB5PSI1MTkiIHdpZHRoPSIxMyIgaGVpZ2h0PSIxMyIvPjwvY2xpcFBh&#10;dGg+PGNsaXBQYXRoIGlkPSJjbGlwMjgiPjxyZWN0IHg9Ii0wLjk2MzM1MiIgeT0iLTAuNzUyMjU3&#10;IiB3aWR0aD0iMTkuNTIwOCIgaGVpZ2h0PSIyMC41ODg2Ii8+PC9jbGlwUGF0aD48Y2xpcFBhdGgg&#10;aWQ9ImNsaXAyOSI+PHJlY3QgeD0iMCIgeT0iMS43NTExOWUtMDUiIHdpZHRoPSIxOCIgaGVpZ2h0&#10;PSIxOSIvPjwvY2xpcFBhdGg+PGNsaXBQYXRoIGlkPSJjbGlwMzAiPjxyZWN0IHg9IjExIiB5PSI1&#10;ODIiIHdpZHRoPSIxMyIgaGVpZ2h0PSIxMyIvPjwvY2xpcFBhdGg+PGNsaXBQYXRoIGlkPSJjbGlw&#10;MzEiPjxyZWN0IHg9IjExIiB5PSI1ODIiIHdpZHRoPSIxMyIgaGVpZ2h0PSIxMyIvPjwvY2xpcFBh&#10;dGg+PGNsaXBQYXRoIGlkPSJjbGlwMzIiPjxyZWN0IHg9Ii0wLjk2MzM1MiIgeT0iLTEuMDQzNDQi&#10;IHdpZHRoPSIxOS41MjA4IiBoZWlnaHQ9IjIwLjU4ODYiLz48L2NsaXBQYXRoPjxjbGlwUGF0aCBp&#10;ZD0iY2xpcDMzIj48cmVjdCB4PSIwIiB5PSItNi44NTUyMmUtMDYiIHdpZHRoPSIxOCIgaGVpZ2h0&#10;PSIxOSIvPjwvY2xpcFBhdGg+PGNsaXBQYXRoIGlkPSJjbGlwMzQiPjxyZWN0IHg9IjIzNCIgeT0i&#10;MjE3IiB3aWR0aD0iMTMiIGhlaWdodD0iMTMiLz48L2NsaXBQYXRoPjxjbGlwUGF0aCBpZD0iY2xp&#10;cDM1Ij48cmVjdCB4PSIyMzQiIHk9IjIxNyIgd2lkdGg9IjEzIiBoZWlnaHQ9IjEzIi8+PC9jbGlw&#10;UGF0aD48Y2xpcFBhdGggaWQ9ImNsaXAzNiI+PHJlY3QgeD0iLTAuMjU1Nzk5IiB5PSItMS41MDc3&#10;MyIgd2lkdGg9IjE5LjUyMDgiIGhlaWdodD0iMjAuNTg4NiIvPjwvY2xpcFBhdGg+PGNsaXBQYXRo&#10;IGlkPSJjbGlwMzciPjxyZWN0IHg9IjcuNjI5MzllLTA2IiB5PSIxLjMyMDU5ZS0wNSIgd2lkdGg9&#10;IjE4IiBoZWlnaHQ9IjE5Ii8+PC9jbGlwUGF0aD48Y2xpcFBhdGggaWQ9ImNsaXAzOCI+PHJlY3Qg&#10;eD0iMjM0IiB5PSIyODAiIHdpZHRoPSIxMyIgaGVpZ2h0PSIxMyIvPjwvY2xpcFBhdGg+PGNsaXBQ&#10;YXRoIGlkPSJjbGlwMzkiPjxyZWN0IHg9IjIzNCIgeT0iMjgwIiB3aWR0aD0iMTMiIGhlaWdodD0i&#10;MTMiLz48L2NsaXBQYXRoPjxjbGlwUGF0aCBpZD0iY2xpcDQwIj48cmVjdCB4PSItMC4yNTU3OTki&#10;IHk9Ii0wLjUzMjI0OSIgd2lkdGg9IjE5LjUyMDgiIGhlaWdodD0iMjAuNTg4NiIvPjwvY2xpcFBh&#10;dGg+PGNsaXBQYXRoIGlkPSJjbGlwNDEiPjxyZWN0IHg9IjcuNjI5MzllLTA2IiB5PSItOS44OTI4&#10;OWUtMDYiIHdpZHRoPSIxOCIgaGVpZ2h0PSIxOSIvPjwvY2xpcFBhdGg+PGNsaXBQYXRoIGlkPSJj&#10;bGlwNDIiPjxyZWN0IHg9IjIzNCIgeT0iMzQzIiB3aWR0aD0iMTMiIGhlaWdodD0iMTMiLz48L2Ns&#10;aXBQYXRoPjxjbGlwUGF0aCBpZD0iY2xpcDQzIj48cmVjdCB4PSIyMzQiIHk9IjM0MyIgd2lkdGg9&#10;IjEzIiBoZWlnaHQ9IjEzIi8+PC9jbGlwUGF0aD48Y2xpcFBhdGggaWQ9ImNsaXA0NCI+PHJlY3Qg&#10;eD0iLTAuMjU1Nzk5IiB5PSItMC44MjM0MzciIHdpZHRoPSIxOS41MjA4IiBoZWlnaHQ9IjIwLjU4&#10;ODYiLz48L2NsaXBQYXRoPjxjbGlwUGF0aCBpZD0iY2xpcDQ1Ij48cmVjdCB4PSI3LjYyOTM5ZS0w&#10;NiIgeT0iMy45NDc4NWUtMDUiIHdpZHRoPSIxOCIgaGVpZ2h0PSIxOSIvPjwvY2xpcFBhdGg+PGNs&#10;aXBQYXRoIGlkPSJjbGlwNDYiPjxyZWN0IHg9IjIzNCIgeT0iNDA2IiB3aWR0aD0iMTMiIGhlaWdo&#10;dD0iMTMiLz48L2NsaXBQYXRoPjxjbGlwUGF0aCBpZD0iY2xpcDQ3Ij48cmVjdCB4PSIyMzQiIHk9&#10;IjQwNiIgd2lkdGg9IjEzIiBoZWlnaHQ9IjEzIi8+PC9jbGlwUGF0aD48Y2xpcFBhdGggaWQ9ImNs&#10;aXA0OCI+PHJlY3QgeD0iLTAuMjU1Nzk5IiB5PSItMS4xMTQ2MiIgd2lkdGg9IjE5LjUyMDgiIGhl&#10;aWdodD0iMjAuNTg4NiIvPjwvY2xpcFBhdGg+PGNsaXBQYXRoIGlkPSJjbGlwNDkiPjxyZWN0IHg9&#10;IjcuNjI5MzllLTA2IiB5PSIyLjc4MTQ3ZS0wNSIgd2lkdGg9IjE4IiBoZWlnaHQ9IjE5Ii8+PC9j&#10;bGlwUGF0aD48Y2xpcFBhdGggaWQ9ImNsaXA1MCI+PHJlY3QgeD0iMjM0IiB5PSI0NDAiIHdpZHRo&#10;PSIxMyIgaGVpZ2h0PSIxMyIvPjwvY2xpcFBhdGg+PGNsaXBQYXRoIGlkPSJjbGlwNTEiPjxyZWN0&#10;IHg9IjIzNCIgeT0iNDQwIiB3aWR0aD0iMTMiIGhlaWdodD0iMTMiLz48L2NsaXBQYXRoPjxjbGlw&#10;UGF0aCBpZD0iY2xpcDUyIj48cmVjdCB4PSItMC4yNTU3OTkiIHk9Ii0wLjQ2NzU0MSIgd2lkdGg9&#10;IjE5LjUyMDgiIGhlaWdodD0iMjAuNTg4NiIvPjwvY2xpcFBhdGg+PGNsaXBQYXRoIGlkPSJjbGlw&#10;NTMiPjxyZWN0IHg9IjcuNjI5MzllLTA2IiB5PSIxLjE3NjU4ZS0wNSIgd2lkdGg9IjE4IiBoZWln&#10;aHQ9IjE5Ii8+PC9jbGlwUGF0aD48Y2xpcFBhdGggaWQ9ImNsaXA1NCI+PHJlY3QgeD0iMjM0IiB5&#10;PSI0NzQiIHdpZHRoPSIxMyIgaGVpZ2h0PSIxMyIvPjwvY2xpcFBhdGg+PGNsaXBQYXRoIGlkPSJj&#10;bGlwNTUiPjxyZWN0IHg9IjIzNCIgeT0iNDc0IiB3aWR0aD0iMTMiIGhlaWdodD0iMTMiLz48L2Ns&#10;aXBQYXRoPjxjbGlwUGF0aCBpZD0iY2xpcDU2Ij48cmVjdCB4PSItMC4yNTU3OTkiIHk9Ii0xLjA4&#10;NzEyIiB3aWR0aD0iMTkuNTIwOCIgaGVpZ2h0PSIyMC41ODg2Ii8+PC9jbGlwUGF0aD48Y2xpcFBh&#10;dGggaWQ9ImNsaXA1NyI+PHJlY3QgeD0iNy42MjkzOWUtMDYiIHk9IjIuNjIwN2UtMDUiIHdpZHRo&#10;PSIxOCIgaGVpZ2h0PSIxOSIvPjwvY2xpcFBhdGg+PGNsaXBQYXRoIGlkPSJjbGlwNTgiPjxyZWN0&#10;IHg9IjIzNCIgeT0iNTMzIiB3aWR0aD0iMTMiIGhlaWdodD0iMTMiLz48L2NsaXBQYXRoPjxjbGlw&#10;UGF0aCBpZD0iY2xpcDU5Ij48cmVjdCB4PSIyMzQiIHk9IjUzMyIgd2lkdGg9IjEzIiBoZWlnaHQ9&#10;IjEzIi8+PC9jbGlwUGF0aD48Y2xpcFBhdGggaWQ9ImNsaXA2MCI+PHJlY3QgeD0iLTAuMjU1Nzk5&#10;IiB5PSItMS4zNzk5MyIgd2lkdGg9IjE5LjUyMDgiIGhlaWdodD0iMjAuNTg4NiIvPjwvY2xpcFBh&#10;dGg+PGNsaXBQYXRoIGlkPSJjbGlwNjEiPjxyZWN0IHg9IjcuNjI5MzllLTA2IiB5PSIyLjIyNzM3&#10;ZS0wNSIgd2lkdGg9IjE4IiBoZWlnaHQ9IjE5Ii8+PC9jbGlwUGF0aD48Y2xpcFBhdGggaWQ9ImNs&#10;aXA2MiI+PHJlY3QgeD0iMjM0IiB5PSI1NTMiIHdpZHRoPSIxMyIgaGVpZ2h0PSIxMyIvPjwvY2xp&#10;cFBhdGg+PGNsaXBQYXRoIGlkPSJjbGlwNjMiPjxyZWN0IHg9IjIzNCIgeT0iNTUzIiB3aWR0aD0i&#10;MTMiIGhlaWdodD0iMTMiLz48L2NsaXBQYXRoPjxjbGlwUGF0aCBpZD0iY2xpcDY0Ij48cmVjdCB4&#10;PSItMC4yNTU3OTkiIHk9Ii0xLjM3MTg0IiB3aWR0aD0iMTkuNTIwOCIgaGVpZ2h0PSIyMC41ODg2&#10;Ii8+PC9jbGlwUGF0aD48Y2xpcFBhdGggaWQ9ImNsaXA2NSI+PHJlY3QgeD0iNy42MjkzOWUtMDYi&#10;IHk9IjEuOTI0OTdlLTA1IiB3aWR0aD0iMTgiIGhlaWdodD0iMTkiLz48L2NsaXBQYXRoPjxjbGlw&#10;UGF0aCBpZD0iY2xpcDY2Ij48cmVjdCB4PSIyMzQiIHk9IjU3MyIgd2lkdGg9IjEzIiBoZWlnaHQ9&#10;IjEzIi8+PC9jbGlwUGF0aD48Y2xpcFBhdGggaWQ9ImNsaXA2NyI+PHJlY3QgeD0iMjM0IiB5PSI1&#10;NzMiIHdpZHRoPSIxMyIgaGVpZ2h0PSIxMyIvPjwvY2xpcFBhdGg+PGNsaXBQYXRoIGlkPSJjbGlw&#10;NjgiPjxyZWN0IHg9Ii0wLjI1NTc5OSIgeT0iLTAuMDk3MDg1MiIgd2lkdGg9IjE5LjUyMDgiIGhl&#10;aWdodD0iMjAuNTg4NiIvPjwvY2xpcFBhdGg+PGNsaXBQYXRoIGlkPSJjbGlwNjkiPjxyZWN0IHg9&#10;IjcuNjI5MzllLTA2IiB5PSItMS41NjA4NGUtMDYiIHdpZHRoPSIxOCIgaGVpZ2h0PSIxOSIvPjwv&#10;Y2xpcFBhdGg+PGNsaXBQYXRoIGlkPSJjbGlwNzAiPjxyZWN0IHg9IjIzNCIgeT0iNTkzIiB3aWR0&#10;aD0iMTMiIGhlaWdodD0iMTMiLz48L2NsaXBQYXRoPjxjbGlwUGF0aCBpZD0iY2xpcDcxIj48cmVj&#10;dCB4PSIyMzQiIHk9IjU5MyIgd2lkdGg9IjEzIiBoZWlnaHQ9IjEzIi8+PC9jbGlwUGF0aD48Y2xp&#10;cFBhdGggaWQ9ImNsaXA3MiI+PHJlY3QgeD0iLTAuMjU1Nzk5IiB5PSItMC4wODg5OTY2IiB3aWR0&#10;aD0iMTkuNTIwOCIgaGVpZ2h0PSIyMC41ODg2Ii8+PC9jbGlwUGF0aD48Y2xpcFBhdGggaWQ9ImNs&#10;aXA3MyI+PHJlY3QgeD0iNy42MjkzOWUtMDYiIHk9IjMuMTA0MzdlLTA1IiB3aWR0aD0iMTgiIGhl&#10;aWdodD0iMTkiLz48L2NsaXBQYXRoPjxjbGlwUGF0aCBpZD0iY2xpcDc0Ij48cmVjdCB4PSIyMzQi&#10;IHk9IjYxMyIgd2lkdGg9IjEzIiBoZWlnaHQ9IjEzIi8+PC9jbGlwUGF0aD48Y2xpcFBhdGggaWQ9&#10;ImNsaXA3NSI+PHJlY3QgeD0iMjM0IiB5PSI2MTMiIHdpZHRoPSIxMyIgaGVpZ2h0PSIxMyIvPjwv&#10;Y2xpcFBhdGg+PGNsaXBQYXRoIGlkPSJjbGlwNzYiPjxyZWN0IHg9Ii0wLjI1NTc5OSIgeT0iLTAu&#10;MDgwOTA4MSIgd2lkdGg9IjE5LjUyMDgiIGhlaWdodD0iMjAuNTg4NiIvPjwvY2xpcFBhdGg+PGNs&#10;aXBQYXRoIGlkPSJjbGlwNzciPjxyZWN0IHg9IjcuNjI5MzllLTA2IiB5PSIyLjgwMTk4ZS0wNSIg&#10;d2lkdGg9IjE4IiBoZWlnaHQ9IjE5Ii8+PC9jbGlwUGF0aD48Y2xpcFBhdGggaWQ9ImNsaXA3OCI+&#10;PHJlY3QgeD0iNDU3IiB5PSIyMTciIHdpZHRoPSIxMiIgaGVpZ2h0PSIxMyIvPjwvY2xpcFBhdGg+&#10;PGNsaXBQYXRoIGlkPSJjbGlwNzkiPjxyZWN0IHg9IjQ1NyIgeT0iMjE3IiB3aWR0aD0iMTIiIGhl&#10;aWdodD0iMTMiLz48L2NsaXBQYXRoPjxjbGlwUGF0aCBpZD0iY2xpcDgwIj48cmVjdCB4PSItMS40&#10;MzM4OSIgeT0iLTEuMzQ5MDIiIHdpZHRoPSIxOC40ODEzIiBoZWlnaHQ9IjE4LjQyMTQiLz48L2Ns&#10;aXBQYXRoPjxjbGlwUGF0aCBpZD0iY2xpcDgyIj48cmVjdCB4PSIzLjA1MTc2ZS0wNSIgeT0iMS44&#10;MjQzNGUtMDUiIHdpZHRoPSIxNiIgaGVpZ2h0PSIxNyIvPjwvY2xpcFBhdGg+PGNsaXBQYXRoIGlk&#10;PSJjbGlwODMiPjxyZWN0IHg9IjQ1NyIgeT0iMjM3IiB3aWR0aD0iMTIiIGhlaWdodD0iMTMiLz48&#10;L2NsaXBQYXRoPjxjbGlwUGF0aCBpZD0iY2xpcDg0Ij48cmVjdCB4PSI0NTciIHk9IjIzNyIgd2lk&#10;dGg9IjEyIiBoZWlnaHQ9IjEzIi8+PC9jbGlwUGF0aD48Y2xpcFBhdGggaWQ9ImNsaXA4NSI+PHJl&#10;Y3QgeD0iLTEuNDMzODkiIHk9Ii0wLjIwODQ0OSIgd2lkdGg9IjE4LjQ4MTMiIGhlaWdodD0iMTgu&#10;NDIxNCIvPjwvY2xpcFBhdGg+PGNsaXBQYXRoIGlkPSJjbGlwODYiPjxyZWN0IHg9IjMuMDUxNzZl&#10;LTA1IiB5PSItMi4zNzExMmUtMDUiIHdpZHRoPSIxNiIgaGVpZ2h0PSIxNyIvPjwvY2xpcFBhdGg+&#10;PGNsaXBQYXRoIGlkPSJjbGlwODciPjxyZWN0IHg9IjQ1NyIgeT0iMzAwIiB3aWR0aD0iMTIiIGhl&#10;aWdodD0iMTMiLz48L2NsaXBQYXRoPjxjbGlwUGF0aCBpZD0iY2xpcDg4Ij48cmVjdCB4PSI0NTci&#10;IHk9IjMwMCIgd2lkdGg9IjEyIiBoZWlnaHQ9IjEzIi8+PC9jbGlwUGF0aD48Y2xpcFBhdGggaWQ9&#10;ImNsaXA4OSI+PHJlY3QgeD0iLTEuNDMzODkiIHk9Ii0wLjQ2ODk4NiIgd2lkdGg9IjE4LjQ4MTMi&#10;IGhlaWdodD0iMTguNDIxNCIvPjwvY2xpcFBhdGg+PGNsaXBQYXRoIGlkPSJjbGlwOTAiPjxyZWN0&#10;IHg9IjMuMDUxNzZlLTA1IiB5PSItMi4zNDA5NGUtMDYiIHdpZHRoPSIxNiIgaGVpZ2h0PSIxNyIv&#10;PjwvY2xpcFBhdGg+PGNsaXBQYXRoIGlkPSJjbGlwOTEiPjxyZWN0IHg9IjQ1NyIgeT0iMzM0IiB3&#10;aWR0aD0iMTIiIGhlaWdodD0iMTMiLz48L2NsaXBQYXRoPjxjbGlwUGF0aCBpZD0iY2xpcDkyIj48&#10;cmVjdCB4PSI0NTciIHk9IjMzNCIgd2lkdGg9IjEyIiBoZWlnaHQ9IjEzIi8+PC9jbGlwUGF0aD48&#10;Y2xpcFBhdGggaWQ9ImNsaXA5MyI+PHJlY3QgeD0iLTEuNDMzODkiIHk9Ii0xLjAyMzM1IiB3aWR0&#10;aD0iMTguNDgxMyIgaGVpZ2h0PSIxOC40MjE0Ii8+PC9jbGlwUGF0aD48Y2xpcFBhdGggaWQ9ImNs&#10;aXA5NCI+PHJlY3QgeD0iMy4wNTE3NmUtMDUiIHk9Ii0yLjQ4NTA1ZS0wNSIgd2lkdGg9IjE2IiBo&#10;ZWlnaHQ9IjE3Ii8+PC9jbGlwUGF0aD48Y2xpcFBhdGggaWQ9ImNsaXA5NSI+PHJlY3QgeD0iNDU3&#10;IiB5PSIzNjgiIHdpZHRoPSIxMiIgaGVpZ2h0PSIxMyIvPjwvY2xpcFBhdGg+PGNsaXBQYXRoIGlk&#10;PSJjbGlwOTYiPjxyZWN0IHg9IjQ1NyIgeT0iMzY4IiB3aWR0aD0iMTIiIGhlaWdodD0iMTMiLz48&#10;L2NsaXBQYXRoPjxjbGlwUGF0aCBpZD0iY2xpcDk3Ij48cmVjdCB4PSItMS40MzM4OSIgeT0iLTAu&#10;NDQ0MzgiIHdpZHRoPSIxOC40ODEzIiBoZWlnaHQ9IjE4LjQyMTQiLz48L2NsaXBQYXRoPjxjbGlw&#10;UGF0aCBpZD0iY2xpcDk4Ij48cmVjdCB4PSIzLjA1MTc2ZS0wNSIgeT0iMS4xNzIyM2UtMDUiIHdp&#10;ZHRoPSIxNiIgaGVpZ2h0PSIxNyIvPjwvY2xpcFBhdGg+PGNsaXBQYXRoIGlkPSJjbGlwOTkiPjxy&#10;ZWN0IHg9IjQ1NyIgeT0iMzg4IiB3aWR0aD0iMTIiIGhlaWdodD0iMTMiLz48L2NsaXBQYXRoPjxj&#10;bGlwUGF0aCBpZD0iY2xpcDEwMCI+PHJlY3QgeD0iNDU3IiB5PSIzODgiIHdpZHRoPSIxMiIgaGVp&#10;Z2h0PSIxMyIvPjwvY2xpcFBhdGg+PGNsaXBQYXRoIGlkPSJjbGlwMTAxIj48cmVjdCB4PSItMS40&#10;MzM4OSIgeT0iLTAuNDM3MTQyIiB3aWR0aD0iMTguNDgxMyIgaGVpZ2h0PSIxOC40MjE0Ii8+PC9j&#10;bGlwUGF0aD48Y2xpcFBhdGggaWQ9ImNsaXAxMDIiPjxyZWN0IHg9IjMuMDUxNzZlLTA1IiB5PSIt&#10;MS41NTUyN2UtMDUiIHdpZHRoPSIxNiIgaGVpZ2h0PSIxNyIvPjwvY2xpcFBhdGg+PGNsaXBQYXRo&#10;IGlkPSJjbGlwMTAzIj48cmVjdCB4PSI0NTciIHk9IjQ2MSIgd2lkdGg9IjEyIiBoZWlnaHQ9IjEz&#10;Ii8+PC9jbGlwUGF0aD48Y2xpcFBhdGggaWQ9ImNsaXAxMDQiPjxyZWN0IHg9IjQ1NyIgeT0iNDYx&#10;IiB3aWR0aD0iMTIiIGhlaWdodD0iMTMiLz48L2NsaXBQYXRoPjxjbGlwUGF0aCBpZD0iY2xpcDEw&#10;NSI+PHJlY3QgeD0iLTEuNDMzODkiIHk9Ii0xLjI2MDczIiB3aWR0aD0iMTguNDgxMyIgaGVpZ2h0&#10;PSIxOC40MjE0Ii8+PC9jbGlwUGF0aD48Y2xpcFBhdGggaWQ9ImNsaXAxMDYiPjxyZWN0IHg9IjMu&#10;MDUxNzZlLTA1IiB5PSItMS41NzM5ZS0wNSIgd2lkdGg9IjE2IiBoZWlnaHQ9IjE3Ii8+PC9jbGlw&#10;UGF0aD48Y2xpcFBhdGggaWQ9ImNsaXAxMDciPjxyZWN0IHg9IjQ1NyIgeT0iNTEwIiB3aWR0aD0i&#10;MTIiIGhlaWdodD0iMTMiLz48L2NsaXBQYXRoPjxjbGlwUGF0aCBpZD0iY2xpcDEwOCI+PHJlY3Qg&#10;eD0iNDU3IiB5PSI1MTAiIHdpZHRoPSIxMiIgaGVpZ2h0PSIxMyIvPjwvY2xpcFBhdGg+PGNsaXBQ&#10;YXRoIGlkPSJjbGlwMTA5Ij48cmVjdCB4PSItMS40MzM4OSIgeT0iLTAuOTU5NjYzIiB3aWR0aD0i&#10;MTguNDgxMyIgaGVpZ2h0PSIxOC40MjE0Ii8+PC9jbGlwUGF0aD48Y2xpcFBhdGggaWQ9ImNsaXAx&#10;MTAiPjxyZWN0IHg9IjMuMDUxNzZlLTA1IiB5PSItNS4xMjc0ZS0wNSIgd2lkdGg9IjE2IiBoZWln&#10;aHQ9IjE3Ii8+PC9jbGlwUGF0aD48Y2xpcFBhdGggaWQ9ImNsaXAxMTEiPjxyZWN0IHg9IjQ1NyIg&#10;eT0iNTI5IiB3aWR0aD0iMTIiIGhlaWdodD0iMTMiLz48L2NsaXBQYXRoPjxjbGlwUGF0aCBpZD0i&#10;Y2xpcDExMiI+PHJlY3QgeD0iNDU3IiB5PSI1MjkiIHdpZHRoPSIxMiIgaGVpZ2h0PSIxMyIvPjwv&#10;Y2xpcFBhdGg+PGNsaXBQYXRoIGlkPSJjbGlwMTEzIj48cmVjdCB4PSItMS40MzM4OSIgeT0iLTEu&#10;MjM2MTIiIHdpZHRoPSIxOC40ODEzIiBoZWlnaHQ9IjE4LjQyMTQiLz48L2NsaXBQYXRoPjxjbGlw&#10;UGF0aCBpZD0iY2xpcDExNCI+PHJlY3QgeD0iMy4wNTE3NmUtMDUiIHk9Ii00LjQ5MmUtMDUiIHdp&#10;ZHRoPSIxNiIgaGVpZ2h0PSIxNyIvPjwvY2xpcFBhdGg+PGNsaXBQYXRoIGlkPSJjbGlwMTE1Ij48&#10;cmVjdCB4PSI0NTciIHk9IjU0OSIgd2lkdGg9IjEyIiBoZWlnaHQ9IjEzIi8+PC9jbGlwUGF0aD48&#10;Y2xpcFBhdGggaWQ9ImNsaXAxMTYiPjxyZWN0IHg9IjQ1NyIgeT0iNTQ5IiB3aWR0aD0iMTIiIGhl&#10;aWdodD0iMTMiLz48L2NsaXBQYXRoPjxjbGlwUGF0aCBpZD0iY2xpcDExNyI+PHJlY3QgeD0iLTEu&#10;NDMzODkiIHk9Ii0xLjIyODg4IiB3aWR0aD0iMTguNDgxMyIgaGVpZ2h0PSIxOC40MjE0Ii8+PC9j&#10;bGlwUGF0aD48Y2xpcFBhdGggaWQ9ImNsaXAxMTgiPjxyZWN0IHg9IjMuMDUxNzZlLTA1IiB5PSIt&#10;Mi44OTUwN2UtMDUiIHdpZHRoPSIxNiIgaGVpZ2h0PSIxNyIvPjwvY2xpcFBhdGg+PGNsaXBQYXRo&#10;IGlkPSJjbGlwMTE5Ij48cmVjdCB4PSI0NTciIHk9IjU2OSIgd2lkdGg9IjEyIiBoZWlnaHQ9IjEz&#10;Ii8+PC9jbGlwUGF0aD48Y2xpcFBhdGggaWQ9ImNsaXAxMjAiPjxyZWN0IHg9IjQ1NyIgeT0iNTY5&#10;IiB3aWR0aD0iMTIiIGhlaWdodD0iMTMiLz48L2NsaXBQYXRoPjxjbGlwUGF0aCBpZD0iY2xpcDEy&#10;MSI+PHJlY3QgeD0iLTEuNDMzODkiIHk9Ii0xLjIyMTY1IiB3aWR0aD0iMTguNDgxMyIgaGVpZ2h0&#10;PSIxOC40MjE0Ii8+PC9jbGlwUGF0aD48Y2xpcFBhdGggaWQ9ImNsaXAxMjIiPjxyZWN0IHg9IjMu&#10;MDUxNzZlLTA1IiB5PSIyLjI2MDAzZS0wNSIgd2lkdGg9IjE2IiBoZWlnaHQ9IjE3Ii8+PC9jbGlw&#10;UGF0aD48Y2xpcFBhdGggaWQ9ImNsaXAxMjMiPjxyZWN0IHg9IjQ1NyIgeT0iNTg5IiB3aWR0aD0i&#10;MTIiIGhlaWdodD0iMTMiLz48L2NsaXBQYXRoPjxjbGlwUGF0aCBpZD0iY2xpcDEyNCI+PHJlY3Qg&#10;eD0iNDU3IiB5PSI1ODkiIHdpZHRoPSIxMiIgaGVpZ2h0PSIxMyIvPjwvY2xpcFBhdGg+PGNsaXBQ&#10;YXRoIGlkPSJjbGlwMTI1Ij48cmVjdCB4PSItMS40MzM4OSIgeT0iLTAuMDgxMDc2IiB3aWR0aD0i&#10;MTguNDgxMyIgaGVpZ2h0PSIxOC40MjE0Ii8+PC9jbGlwUGF0aD48Y2xpcFBhdGggaWQ9ImNsaXAx&#10;MjYiPjxyZWN0IHg9IjMuMDUxNzZlLTA1IiB5PSItMy4yMDgwOWUtMDUiIHdpZHRoPSIxNiIgaGVp&#10;Z2h0PSIxNyIvPjwvY2xpcFBhdGg+PGNsaXBQYXRoIGlkPSJjbGlwMTI3Ij48cmVjdCB4PSI2Nzci&#10;IHk9IjIxOCIgd2lkdGg9IjEyIiBoZWlnaHQ9IjEzIi8+PC9jbGlwUGF0aD48Y2xpcFBhdGggaWQ9&#10;ImNsaXAxMjgiPjxyZWN0IHg9IjY3NyIgeT0iMjE4IiB3aWR0aD0iMTIiIGhlaWdodD0iMTMiLz48&#10;L2NsaXBQYXRoPjxjbGlwUGF0aCBpZD0iY2xpcDEyOSI+PHJlY3QgeD0iLTEuMTAyNjciIHk9Ii0w&#10;LjYyNzg1OCIgd2lkdGg9IjE4LjQ4MTMiIGhlaWdodD0iMTguNDIxNCIvPjwvY2xpcFBhdGg+PGNs&#10;aXBQYXRoIGlkPSJjbGlwMTMwIj48cmVjdCB4PSIyLjMzOTQ0ZS0wNSIgeT0iLTguODI3NzJlLTA2&#10;IiB3aWR0aD0iMTYiIGhlaWdodD0iMTciLz48L2NsaXBQYXRoPjxjbGlwUGF0aCBpZD0iY2xpcDEz&#10;MSI+PHJlY3QgeD0iNjc3IiB5PSIyNjYiIHdpZHRoPSIxMiIgaGVpZ2h0PSIxMyIvPjwvY2xpcFBh&#10;dGg+PGNsaXBQYXRoIGlkPSJjbGlwMTMyIj48cmVjdCB4PSI2NzciIHk9IjI2NiIgd2lkdGg9IjEy&#10;IiBoZWlnaHQ9IjEzIi8+PC9jbGlwUGF0aD48Y2xpcFBhdGggaWQ9ImNsaXAxMzMiPjxyZWN0IHg9&#10;Ii0xLjEwMjY3IiB5PSItMC42MTA0ODkiIHdpZHRoPSIxOC40ODEzIiBoZWlnaHQ9IjE4LjQyMTQi&#10;Lz48L2NsaXBQYXRoPjxjbGlwUGF0aCBpZD0iY2xpcDEzNCI+PHJlY3QgeD0iMi4zMzk0NGUtMDUi&#10;IHk9IjEuOTkyOTdlLTA2IiB3aWR0aD0iMTYiIGhlaWdodD0iMTciLz48L2NsaXBQYXRoPjxjbGlw&#10;UGF0aCBpZD0iY2xpcDEzNSI+PHJlY3QgeD0iNjc3IiB5PSIzMDAiIHdpZHRoPSIxMiIgaGVpZ2h0&#10;PSIxMyIvPjwvY2xpcFBhdGg+PGNsaXBQYXRoIGlkPSJjbGlwMTM2Ij48cmVjdCB4PSI2NzciIHk9&#10;IjMwMCIgd2lkdGg9IjEyIiBoZWlnaHQ9IjEzIi8+PC9jbGlwUGF0aD48Y2xpcFBhdGggaWQ9ImNs&#10;aXAxMzciPjxyZWN0IHg9Ii0xLjEwMjY3IiB5PSItMS4xNjQ4NSIgd2lkdGg9IjE4LjQ4MTMiIGhl&#10;aWdodD0iMTguNDIxNCIvPjwvY2xpcFBhdGg+PGNsaXBQYXRoIGlkPSJjbGlwMTM4Ij48cmVjdCB4&#10;PSIyLjMzOTQ0ZS0wNSIgeT0iLTcuNzg5ODdlLTA2IiB3aWR0aD0iMTYiIGhlaWdodD0iMTciLz48&#10;L2NsaXBQYXRoPjxjbGlwUGF0aCBpZD0iY2xpcDEzOSI+PHJlY3QgeD0iNjc3IiB5PSIzNjAiIHdp&#10;ZHRoPSIxMiIgaGVpZ2h0PSIxMyIvPjwvY2xpcFBhdGg+PGNsaXBQYXRoIGlkPSJjbGlwMTQwIj48&#10;cmVjdCB4PSI2NzciIHk9IjM2MCIgd2lkdGg9IjEyIiBoZWlnaHQ9IjEzIi8+PC9jbGlwUGF0aD48&#10;Y2xpcFBhdGggaWQ9ImNsaXAxNDEiPjxyZWN0IHg9Ii0xLjEwMjY3IiB5PSItMC4wMDk4MDc3NSIg&#10;d2lkdGg9IjE4LjQ4MTMiIGhlaWdodD0iMTguNDIxNCIvPjwvY2xpcFBhdGg+PGNsaXBQYXRoIGlk&#10;PSJjbGlwMTQyIj48cmVjdCB4PSIyLjMzOTQ0ZS0wNSIgeT0iLTIuNTQ2ODRlLTA1IiB3aWR0aD0i&#10;MTYiIGhlaWdodD0iMTciLz48L2NsaXBQYXRoPjxjbGlwUGF0aCBpZD0iY2xpcDE0MyI+PHJlY3Qg&#10;eD0iNjc3IiB5PSI0MDgiIHdpZHRoPSIxMiIgaGVpZ2h0PSIxMyIvPjwvY2xpcFBhdGg+PGNsaXBQ&#10;YXRoIGlkPSJjbGlwMTQ0Ij48cmVjdCB4PSI2NzciIHk9IjQwOCIgd2lkdGg9IjEyIiBoZWlnaHQ9&#10;IjEzIi8+PC9jbGlwUGF0aD48Y2xpcFBhdGggaWQ9ImNsaXAxNDUiPjxyZWN0IHg9Ii0xLjEwMjY3&#10;IiB5PSItMS4xMjU3NyIgd2lkdGg9IjE4LjQ4MTMiIGhlaWdodD0iMTguNDIxNCIvPjwvY2xpcFBh&#10;dGg+PGNsaXBQYXRoIGlkPSJjbGlwMTQ2Ij48cmVjdCB4PSIyLjMzOTQ0ZS0wNSIgeT0iMy4xODM5&#10;NmUtMDgiIHdpZHRoPSIxNiIgaGVpZ2h0PSIxNyIvPjwvY2xpcFBhdGg+PGNsaXBQYXRoIGlkPSJj&#10;bGlwMTQ3Ij48cmVjdCB4PSI2NzciIHk9IjQ0MiIgd2lkdGg9IjEyIiBoZWlnaHQ9IjEzIi8+PC9j&#10;bGlwUGF0aD48Y2xpcFBhdGggaWQ9ImNsaXAxNDgiPjxyZWN0IHg9IjY3NyIgeT0iNDQyIiB3aWR0&#10;aD0iMTIiIGhlaWdodD0iMTMiLz48L2NsaXBQYXRoPjxjbGlwUGF0aCBpZD0iY2xpcDE0OSI+PHJl&#10;Y3QgeD0iLTEuMTAyNjciIHk9Ii0wLjU0NjgwMiIgd2lkdGg9IjE4LjQ4MTMiIGhlaWdodD0iMTgu&#10;NDIxNCIvPjwvY2xpcFBhdGg+PGNsaXBQYXRoIGlkPSJjbGlwMTUwIj48cmVjdCB4PSIyLjMzOTQ0&#10;ZS0wNSIgeT0iLTYuNjM5NjNlLTA2IiB3aWR0aD0iMTYiIGhlaWdodD0iMTciLz48L2NsaXBQYXRo&#10;PjxjbGlwUGF0aCBpZD0iY2xpcDE1MSI+PHJlY3QgeD0iNjc3IiB5PSI0NzYiIHdpZHRoPSIxMiIg&#10;aGVpZ2h0PSIxMyIvPjwvY2xpcFBhdGg+PGNsaXBQYXRoIGlkPSJjbGlwMTUyIj48cmVjdCB4PSI2&#10;NzciIHk9IjQ3NiIgd2lkdGg9IjEyIiBoZWlnaHQ9IjEzIi8+PC9jbGlwUGF0aD48Y2xpcFBhdGgg&#10;aWQ9ImNsaXAxNTMiPjxyZWN0IHg9Ii0xLjEwMjY3IiB5PSItMS4xMDExNyIgd2lkdGg9IjE4LjQ4&#10;MTMiIGhlaWdodD0iMTguNDIxNCIvPjwvY2xpcFBhdGg+PGNsaXBQYXRoIGlkPSJjbGlwMTU0Ij48&#10;cmVjdCB4PSIyLjMzOTQ0ZS0wNSIgeT0iLTQuNjk0MDFlLTA1IiB3aWR0aD0iMTYiIGhlaWdodD0i&#10;MTciLz48L2NsaXBQYXRoPjxjbGlwUGF0aCBpZD0iY2xpcDE1NSI+PHJlY3QgeD0iNjc3IiB5PSI1&#10;MTEiIHdpZHRoPSIxMiIgaGVpZ2h0PSIxMyIvPjwvY2xpcFBhdGg+PGNsaXBQYXRoIGlkPSJjbGlw&#10;MTU2Ij48cmVjdCB4PSI2NzciIHk9IjUxMSIgd2lkdGg9IjEyIiBoZWlnaHQ9IjEzIi8+PC9jbGlw&#10;UGF0aD48Y2xpcFBhdGggaWQ9ImNsaXAxNTciPjxyZWN0IHg9Ii0xLjEwMjY3IiB5PSItMC4yMzg1&#10;MDEiIHdpZHRoPSIxOC40ODEzIiBoZWlnaHQ9IjE4LjQyMTQiLz48L2NsaXBQYXRoPjxjbGlwUGF0&#10;aCBpZD0iY2xpcDE1OCI+PHJlY3QgeD0iMi4zMzk0NGUtMDUiIHk9Ii04LjQxNDQ0ZS0wNiIgd2lk&#10;dGg9IjE2IiBoZWlnaHQ9IjE3Ii8+PC9jbGlwUGF0aD48Y2xpcFBhdGggaWQ9ImNsaXAxNTkiPjxy&#10;ZWN0IHg9IjkwMyIgeT0iMjE4IiB3aWR0aD0iMTEiIGhlaWdodD0iMTMiLz48L2NsaXBQYXRoPjxj&#10;bGlwUGF0aCBpZD0iY2xpcDE2MCI+PHJlY3QgeD0iOTAzIiB5PSIyMTgiIHdpZHRoPSIxMSIgaGVp&#10;Z2h0PSIxMyIvPjwvY2xpcFBhdGg+PGNsaXBQYXRoIGlkPSJjbGlwMTYxIj48cmVjdCB4PSItMC4w&#10;MTU3MzAyIiB5PSItMC42Mjc4NTgiIHdpZHRoPSIxNi45NDEyIiBoZWlnaHQ9IjE4LjQyMTQiLz48&#10;L2NsaXBQYXRoPjxjbGlwUGF0aCBpZD0iY2xpcDE2MiI+PHJlY3QgeD0iNy42MjkzOWUtMDYiIHk9&#10;Ii04LjgyNzcyZS0wNiIgd2lkdGg9IjE2IiBoZWlnaHQ9IjE3Ii8+PC9jbGlwUGF0aD48Y2xpcFBh&#10;dGggaWQ9ImNsaXAxNjMiPjxyZWN0IHg9IjkwMyIgeT0iMjM3IiB3aWR0aD0iMTEiIGhlaWdodD0i&#10;MTMiLz48L2NsaXBQYXRoPjxjbGlwUGF0aCBpZD0iY2xpcDE2NCI+PHJlY3QgeD0iOTAzIiB5PSIy&#10;MzciIHdpZHRoPSIxMSIgaGVpZ2h0PSIxMyIvPjwvY2xpcFBhdGg+PGNsaXBQYXRoIGlkPSJjbGlw&#10;MTY1Ij48cmVjdCB4PSItMC4wMTU3MzAyIiB5PSItMC45MDQzMTYiIHdpZHRoPSIxNi45NDEyIiBo&#10;ZWlnaHQ9IjE4LjQyMTQiLz48L2NsaXBQYXRoPjxjbGlwUGF0aCBpZD0iY2xpcDE2NiI+PHJlY3Qg&#10;eD0iNy42MjkzOWUtMDYiIHk9IjEuMDI1MjllLTA1IiB3aWR0aD0iMTYiIGhlaWdodD0iMTciLz48&#10;L2NsaXBQYXRoPjxjbGlwUGF0aCBpZD0iY2xpcDE2NyI+PHJlY3QgeD0iOTAzIiB5PSIyNzIiIHdp&#10;ZHRoPSIxMSIgaGVpZ2h0PSIxMyIvPjwvY2xpcFBhdGg+PGNsaXBQYXRoIGlkPSJjbGlwMTY4Ij48&#10;cmVjdCB4PSI5MDMiIHk9IjI3MiIgd2lkdGg9IjExIiBoZWlnaHQ9IjEzIi8+PC9jbGlwUGF0aD48&#10;Y2xpcFBhdGggaWQ9ImNsaXAxNjkiPjxyZWN0IHg9Ii0wLjAxNTczMDIiIHk9Ii0wLjA0MTY1MTEi&#10;IHdpZHRoPSIxNi45NDEyIiBoZWlnaHQ9IjE4LjQyMTQiLz48L2NsaXBQYXRoPjxjbGlwUGF0aCBp&#10;ZD0iY2xpcDE3MCI+PHJlY3QgeD0iNy42MjkzOWUtMDYiIHk9Ii0xLjIyNTY2ZS0wNSIgd2lkdGg9&#10;IjE2IiBoZWlnaHQ9IjE3Ii8+PC9jbGlwUGF0aD48Y2xpcFBhdGggaWQ9ImNsaXAxNzEiPjxyZWN0&#10;IHg9IjkwMyIgeT0iMjkyIiB3aWR0aD0iMTEiIGhlaWdodD0iMTMiLz48L2NsaXBQYXRoPjxjbGlw&#10;UGF0aCBpZD0iY2xpcDE3MiI+PHJlY3QgeD0iOTAzIiB5PSIyOTIiIHdpZHRoPSIxMSIgaGVpZ2h0&#10;PSIxMyIvPjwvY2xpcFBhdGg+PGNsaXBQYXRoIGlkPSJjbGlwMTczIj48cmVjdCB4PSItMC4wMTU3&#10;MzAyIiB5PSItMC4wMzQ0MTQiIHdpZHRoPSIxNi45NDEyIiBoZWlnaHQ9IjE4LjQyMTQiLz48L2Ns&#10;aXBQYXRoPjxjbGlwUGF0aCBpZD0iY2xpcDE3NCI+PHJlY3QgeD0iNy42MjkzOWUtMDYiIHk9Ii05&#10;LjAxNDA0ZS0wNiIgd2lkdGg9IjE2IiBoZWlnaHQ9IjE3Ii8+PC9jbGlwUGF0aD48Y2xpcFBhdGgg&#10;aWQ9ImNsaXAxNzUiPjxyZWN0IHg9IjkwMyIgeT0iMzExIiB3aWR0aD0iMTEiIGhlaWdodD0iMTMi&#10;Lz48L2NsaXBQYXRoPjxjbGlwUGF0aCBpZD0iY2xpcDE3NiI+PHJlY3QgeD0iOTAzIiB5PSIzMTEi&#10;IHdpZHRoPSIxMSIgaGVpZ2h0PSIxMyIvPjwvY2xpcFBhdGg+PGNsaXBQYXRoIGlkPSJjbGlwMTc3&#10;Ij48cmVjdCB4PSItMC4wMTU3MzAyIiB5PSItMC4zMTA4NzIiIHdpZHRoPSIxNi45NDEyIiBoZWln&#10;aHQ9IjE4LjQyMTQiLz48L2NsaXBQYXRoPjxjbGlwUGF0aCBpZD0iY2xpcDE3OCI+PHJlY3QgeD0i&#10;Ny42MjkzOWUtMDYiIHk9Ii0yLjA0NTFlLTA1IiB3aWR0aD0iMTYiIGhlaWdodD0iMTciLz48L2Ns&#10;aXBQYXRoPjxjbGlwUGF0aCBpZD0iY2xpcDE3OSI+PHJlY3QgeD0iOTAzIiB5PSIzMzEiIHdpZHRo&#10;PSIxMSIgaGVpZ2h0PSIxMyIvPjwvY2xpcFBhdGg+PGNsaXBQYXRoIGlkPSJjbGlwMTgwIj48cmVj&#10;dCB4PSI5MDMiIHk9IjMzMSIgd2lkdGg9IjExIiBoZWlnaHQ9IjEzIi8+PC9jbGlwUGF0aD48Y2xp&#10;cFBhdGggaWQ9ImNsaXAxODEiPjxyZWN0IHg9Ii0wLjAxNTczMDIiIHk9Ii0wLjMwMzYzNSIgd2lk&#10;dGg9IjE2Ljk0MTIiIGhlaWdodD0iMTguNDIxNCIvPjwvY2xpcFBhdGg+PGNsaXBQYXRoIGlkPSJj&#10;bGlwMTgyIj48cmVjdCB4PSI3LjYyOTM5ZS0wNiIgeT0iLTIuOTkzNTFlLTA1IiB3aWR0aD0iMTYi&#10;IGhlaWdodD0iMTciLz48L2NsaXBQYXRoPjxjbGlwUGF0aCBpZD0iY2xpcDE4MyI+PHJlY3QgeD0i&#10;OTAzIiB5PSIzOTAiIHdpZHRoPSIxMSIgaGVpZ2h0PSIxMyIvPjwvY2xpcFBhdGg+PGNsaXBQYXRo&#10;IGlkPSJjbGlwMTg0Ij48cmVjdCB4PSI5MDMiIHk9IjM5MCIgd2lkdGg9IjExIiBoZWlnaHQ9IjEz&#10;Ii8+PC9jbGlwUGF0aD48Y2xpcFBhdGggaWQ9ImNsaXAxODUiPjxyZWN0IHg9Ii0wLjAxNTczMDIi&#10;IHk9Ii0wLjU2NTYxOSIgd2lkdGg9IjE2Ljk0MTIiIGhlaWdodD0iMTguNDIxNCIvPjwvY2xpcFBh&#10;dGg+PGNsaXBQYXRoIGlkPSJjbGlwMTg2Ij48cmVjdCB4PSI3LjYyOTM5ZS0wNiIgeT0iLTQuMzY5&#10;M2UtMDYiIHdpZHRoPSIxNiIgaGVpZ2h0PSIxNyIvPjwvY2xpcFBhdGg+PGNsaXBQYXRoIGlkPSJj&#10;bGlwMTg3Ij48cmVjdCB4PSI5MDMiIHk9IjQyNCIgd2lkdGg9IjExIiBoZWlnaHQ9IjEzIi8+PC9j&#10;bGlwUGF0aD48Y2xpcFBhdGggaWQ9ImNsaXAxODgiPjxyZWN0IHg9IjkwMyIgeT0iNDI0IiB3aWR0&#10;aD0iMTEiIGhlaWdodD0iMTMiLz48L2NsaXBQYXRoPjxjbGlwUGF0aCBpZD0iY2xpcDE4OSI+PHJl&#10;Y3QgeD0iLTAuMDE1NzMwMiIgeT0iLTEuMTE5OTgiIHdpZHRoPSIxNi45NDEyIiBoZWlnaHQ9IjE4&#10;LjQyMTQiLz48L2NsaXBQYXRoPjxjbGlwUGF0aCBpZD0iY2xpcDE5MCI+PHJlY3QgeD0iNy42Mjkz&#10;OWUtMDYiIHk9Ii0yLjY4Nzg4ZS0wNSIgd2lkdGg9IjE2IiBoZWlnaHQ9IjE3Ii8+PC9jbGlwUGF0&#10;aD48Y2xpcFBhdGggaWQ9ImNsaXAxOTEiPjxyZWN0IHg9IjkwMyIgeT0iNDcyIiB3aWR0aD0iMTEi&#10;IGhlaWdodD0iMTMiLz48L2NsaXBQYXRoPjxjbGlwUGF0aCBpZD0iY2xpcDE5MiI+PHJlY3QgeD0i&#10;OTAzIiB5PSI0NzIiIHdpZHRoPSIxMSIgaGVpZ2h0PSIxMyIvPjwvY2xpcFBhdGg+PGNsaXBQYXRo&#10;IGlkPSJjbGlwMTkzIj48cmVjdCB4PSItMC4wMTU3MzAyIiB5PSItMS4xMDI2MSIgd2lkdGg9IjE2&#10;Ljk0MTIiIGhlaWdodD0iMTguNDIxNCIvPjwvY2xpcFBhdGg+PGNsaXBQYXRoIGlkPSJjbGlwMTk0&#10;Ij48cmVjdCB4PSI3LjYyOTM5ZS0wNiIgeT0iMS40NDU5NGUtMDUiIHdpZHRoPSIxNiIgaGVpZ2h0&#10;PSIxNyIvPjwvY2xpcFBhdGg+PHBhdHRlcm4gd2lkdGg9IjgiIGhlaWdodD0iOCIgcGF0dGVyblVu&#10;aXRzPSJ1c2VyU3BhY2VPblVzZSIgaWQ9InBhdHRlcm4xOTYiIG92ZXJmbG93PSJoaWRkZW4iIHBh&#10;dHRlcm5UcmFuc2Zvcm09Im1hdHJpeCgwLjk5ODkzMiAtMi4xMTUzMmUtMjMgMi4xMTUzMmUtMjMg&#10;MC45OTg5MzIgMCAxOTEuNzk1KSI+PHVzZSB3aWR0aD0iMTAwJSIgaGVpZ2h0PSIxMDAlIiB4bGlu&#10;azpocmVmPSIjaW1nMTk1Ij48L3VzZT48L3BhdHRlcm4+PHBhdHRlcm4gd2lkdGg9IjgiIGhlaWdo&#10;dD0iOCIgcGF0dGVyblVuaXRzPSJ1c2VyU3BhY2VPblVzZSIgaWQ9InBhdHRlcm4xOTgiIG92ZXJm&#10;bG93PSJoaWRkZW4iIHBhdHRlcm5UcmFuc2Zvcm09Im1hdHJpeCgwLjk5ODkzMiAtMi4xMTUzMmUt&#10;MjMgMi4xMTUzMmUtMjMgMC45OTg5MzIgMjIzLjc2MSAxOTEuNzk1KSI+PHVzZSB3aWR0aD0iMTAw&#10;JSIgaGVpZ2h0PSIxMDAlIiB4bGluazpocmVmPSIjaW1nMTk3Ij48L3VzZT48L3BhdHRlcm4+PHBh&#10;dHRlcm4gd2lkdGg9IjgiIGhlaWdodD0iOCIgcGF0dGVyblVuaXRzPSJ1c2VyU3BhY2VPblVzZSIg&#10;aWQ9InBhdHRlcm4yMDAiIG92ZXJmbG93PSJoaWRkZW4iIHBhdHRlcm5UcmFuc2Zvcm09Im1hdHJp&#10;eCgwLjk5ODkzMiAtMi4xMTUzMmUtMjMgMi4xMTUzMmUtMjMgMC45OTg5MzIgNDQ3LjUyMSAxOTEu&#10;Nzk1KSI+PHVzZSB3aWR0aD0iMTAwJSIgaGVpZ2h0PSIxMDAlIiB4bGluazpocmVmPSIjaW1nMTk5&#10;Ij48L3VzZT48L3BhdHRlcm4+PHBhdHRlcm4gd2lkdGg9IjgiIGhlaWdodD0iOCIgcGF0dGVyblVu&#10;aXRzPSJ1c2VyU3BhY2VPblVzZSIgaWQ9InBhdHRlcm4yMDIiIG92ZXJmbG93PSJoaWRkZW4iIHBh&#10;dHRlcm5UcmFuc2Zvcm09Im1hdHJpeCgwLjk5ODkzMiAtMi4xMTUzMmUtMjMgMi4xMTUzMmUtMjMg&#10;MC45OTg5MzIgNjcxLjI4MiAxOTEuNzk1KSI+PHVzZSB3aWR0aD0iMTAwJSIgaGVpZ2h0PSIxMDAl&#10;IiB4bGluazpocmVmPSIjaW1nMjAxIj48L3VzZT48L3BhdHRlcm4+PHBhdHRlcm4gd2lkdGg9Ijgi&#10;IGhlaWdodD0iOCIgcGF0dGVyblVuaXRzPSJ1c2VyU3BhY2VPblVzZSIgaWQ9InBhdHRlcm4yMDQi&#10;IG92ZXJmbG93PSJoaWRkZW4iIHBhdHRlcm5UcmFuc2Zvcm09Im1hdHJpeCgwLjk5ODkzMiAtMi4x&#10;MTUzMmUtMjMgMi4xMTUzMmUtMjMgMC45OTg5MzIgODk1LjA0MyAxOTEuNzk1KSI+PHVzZSB3aWR0&#10;aD0iMTAwJSIgaGVpZ2h0PSIxMDAlIiB4bGluazpocmVmPSIjaW1nMjAzIj48L3VzZT48L3BhdHRl&#10;cm4+PGNsaXBQYXRoIGlkPSJjbGlwMjA1Ij48cmVjdCB4PSI0MDgiIHk9IjE1NiIgd2lkdGg9IjE2&#10;IiBoZWlnaHQ9IjE5Ii8+PC9jbGlwUGF0aD48Y2xpcFBhdGggaWQ9ImNsaXAyMDYiPjxyZWN0IHg9&#10;IjQwOCIgeT0iMTU2IiB3aWR0aD0iMTYiIGhlaWdodD0iMTkiLz48L2NsaXBQYXRoPjxjbGlwUGF0&#10;aCBpZD0iY2xpcDIwNyI+PHJlY3QgeD0iNDA4IiB5PSIxNTYiIHdpZHRoPSIxNiIgaGVpZ2h0PSIx&#10;OSIvPjwvY2xpcFBhdGg+PGNsaXBQYXRoIGlkPSJjbGlwMjA4Ij48cmVjdCB4PSItMS4xOTYxNyIg&#10;eT0iLTAuNDM4NjQiIHdpZHRoPSI1Mi42ODc3IiBoZWlnaHQ9IjUxLjY0MzMiLz48L2NsaXBQYXRo&#10;PjxjbGlwUGF0aCBpZD0iY2xpcDIxMCI+PHJlY3QgeD0iMS40ODA5NWUtMDUiIHk9IjMuNTk4ODNl&#10;LTA1IiB3aWR0aD0iNTAiIGhlaWdodD0iNTAiLz48L2NsaXBQYXRoPjxjbGlwUGF0aCBpZD0iY2xp&#10;cDIxMSI+PHJlY3QgeD0iNTk2IiB5PSIxNTUiIHdpZHRoPSIxNiIgaGVpZ2h0PSIyMCIvPjwvY2xp&#10;cFBhdGg+PGNsaXBQYXRoIGlkPSJjbGlwMjEyIj48cmVjdCB4PSI1OTYiIHk9IjE1NSIgd2lkdGg9&#10;IjE2IiBoZWlnaHQ9IjIwIi8+PC9jbGlwUGF0aD48Y2xpcFBhdGggaWQ9ImNsaXAyMTMiPjxyZWN0&#10;IHg9IjU5NiIgeT0iMTU1IiB3aWR0aD0iMTYiIGhlaWdodD0iMjAiLz48L2NsaXBQYXRoPjxjbGlw&#10;UGF0aCBpZD0iY2xpcDIxNCI+PHJlY3QgeD0iLTMuMzQyMjgiIHk9Ii0wLjk0MTg5OCIgd2lkdGg9&#10;IjU1LjYxNDgiIGhlaWdodD0iNTIuMDk2NiIvPjwvY2xpcFBhdGg+PGNsaXBQYXRoIGlkPSJjbGlw&#10;MjE1Ij48cmVjdCB4PSItMC4wMDAxMDI5OTciIHk9Ii03LjgzNzM2ZS0wNiIgd2lkdGg9IjUwIiBo&#10;ZWlnaHQ9IjUwIi8+PC9jbGlwUGF0aD48Y2xpcFBhdGggaWQ9ImNsaXAyMTYiPjxyZWN0IHg9Ijgw&#10;MyIgeT0iMTU2IiB3aWR0aD0iMTciIGhlaWdodD0iMjAiLz48L2NsaXBQYXRoPjxjbGlwUGF0aCBp&#10;ZD0iY2xpcDIxNyI+PHJlY3QgeD0iODAzIiB5PSIxNTYiIHdpZHRoPSIxNyIgaGVpZ2h0PSIyMCIv&#10;PjwvY2xpcFBhdGg+PGNsaXBQYXRoIGlkPSJjbGlwMjE4Ij48cmVjdCB4PSI4MDMiIHk9IjE1NiIg&#10;d2lkdGg9IjE3IiBoZWlnaHQ9IjIwIi8+PC9jbGlwUGF0aD48Y2xpcFBhdGggaWQ9ImNsaXAyMTki&#10;PjxyZWN0IHg9Ii0zLjA5NTk3IiB5PSItMC40MjAzNjQiIHdpZHRoPSI1NS45ODA3IiBoZWlnaHQ9&#10;IjUyLjA5NjQiLz48L2NsaXBQYXRoPjxjbGlwUGF0aCBpZD0iY2xpcDIyMCI+PHBhdGggZD0iTS05&#10;LjMyNzY1ZS0wNSAxLjI0OTUzZS0wNSA0OS45OTk5IDEuMjQ5NTNlLTA1IDQ5Ljk5OTkgNTAtOS4x&#10;NTUyN2UtMDUgNTBaIiBmaWxsLXJ1bGU9ImV2ZW5vZGQiIGNsaXAtcnVsZT0iZXZlbm9kZCIvPjwv&#10;Y2xpcFBhdGg+PGNsaXBQYXRoIGlkPSJjbGlwMjIxIj48cmVjdCB4PSIxMDg0IiB5PSIxNTIiIHdp&#10;ZHRoPSIxNSIgaGVpZ2h0PSIxOSIvPjwvY2xpcFBhdGg+PGNsaXBQYXRoIGlkPSJjbGlwMjIyIj48&#10;cmVjdCB4PSIxMDg0IiB5PSIxNTIiIHdpZHRoPSIxNSIgaGVpZ2h0PSIxOSIvPjwvY2xpcFBhdGg+&#10;PGNsaXBQYXRoIGlkPSJjbGlwMjIzIj48cmVjdCB4PSIxMDg0IiB5PSIxNTIiIHdpZHRoPSIxNSIg&#10;aGVpZ2h0PSIxOSIvPjwvY2xpcFBhdGg+PGNsaXBQYXRoIGlkPSJjbGlwMjI0Ij48cmVjdCB4PSIt&#10;MS41MzAxMiIgeT0iLTAuNDQxNDUzIiB3aWR0aD0iNTIuMTM4OSIgaGVpZ2h0PSI1MS42NDM0Ii8+&#10;PC9jbGlwUGF0aD48Y2xpcFBhdGggaWQ9ImNsaXAyMjUiPjxwYXRoIGQ9Ik0tMC4wMDAxNDMzMDMg&#10;Mi4xNTU3M2UtMDUgNDkuOTk5OSAyLjE1NTczZS0wNSA0OS45OTk5IDUwLTAuMDAwMTQ0OTU4IDUw&#10;WiIgZmlsbC1ydWxlPSJldmVub2RkIiBjbGlwLXJ1bGU9ImV2ZW5vZGQiLz48L2NsaXBQYXRoPjxp&#10;bWFnZSB3aWR0aD0iMTgiIGhlaWdodD0iMTkiIHhsaW5rOmhyZWY9ImRhdGE6aW1hZ2UvcG5nO2Jh&#10;c2U2NCxpVkJPUncwS0dnb0FBQUFOU1VoRVVnQUFBQXNBQUFBTUNBTUFBQUNEZDdlc0FBQUFBWE5T&#10;UjBJQXJzNGM2UUFBQUFSblFVMUJBQUN4and2OFlRVUFBQUJJVUV4VVJRQUFBT3ZyZ09Qc2UrWHRo&#10;T2ZyZnVicGZ1ZnFmdWpzZnVmc2Z1YnFnT2JxZitmcmYrWHFmK2JxZ09icWYrYnFmK1hxZiticWdP&#10;YnFnT2JxZnVmcmdPYnFmK2JxZnVicWYybWxkaVlBQUFBWGRGSk9Vd0FhR3gxQlIwbFBYM2lIalp1&#10;c3JiL0Z5dXIyL1AzK1JncU1Dd0FBQUFsd1NGbHpBQUFPd3dBQURzTUJ4MitvWkFBQUFFTkpSRUZV&#10;R0ZkOXlra1NnQ0FVQTlHZ09LSGlDTG4vVGZFSGQxYlpxN2RvL05UdktZNlZEYTFaWHVRb1A4amtL&#10;YS9rUWQ3eWNObXp5ZkRtdGhwZG1OekxiMEFCQkxVRGVkZU9CWFFBQUFBQVNVVk9SSzVDWUlJPSIg&#10;cHJlc2VydmVBc3BlY3RSYXRpbz0ibm9uZSIgaWQ9ImltZzQiPjwvaW1hZ2U+PGltYWdlIHdpZHRo&#10;PSIxNiIgaGVpZ2h0PSIxNyIgeGxpbms6aHJlZj0iZGF0YTppbWFnZS9wbmc7YmFzZTY0LGlWQk9S&#10;dzBLR2dvQUFBQU5TVWhFVWdBQUFBb0FBQUFMQ0FNQUFBQnhzT3dxQUFBQUFYTlNSMElBcnM0YzZR&#10;QUFBQVJuUVUxQkFBQ3hqd3Y4WVFVQUFBQmFVRXhVUlFBQUFBQUFBS1JKTjU5Z1FKNVBQcDlUUUo5&#10;VlBwdFRQYUZUUGFKVFBKeFVQWjVUUEoxVlBwNVVQWjFTUHAxVFBwMVVQNTFVUFo1VFBaMVNQWjFU&#10;UFoxVFBaNVVQWjFUUFoxVFBaMVRQWjFUUFoxVFBaMVNQWjFUUGQ3WkJ3Y0FBQUFkZEZKT1V3QUJE&#10;aEFkS0MwdUxqZERSRTVQWTJ0NmZZR2V1YnpTM2ZYNy9QMys5TXpqVlFBQUFBbHdTRmx6QUFBT3d3&#10;QUFEc01CeDIrb1pBQUFBRWRKUkVGVUdGZFZ5amNDZ0RBTUJFRUJKcGxnaytQOS81dm9CQTFiVGJI&#10;eUw2dDkvcW85QWZUR1RZV1o2aWpzcVRJYUVaVHVObzQ4VnVxcXlHSTVnSW5TeXFGSlBqS1JCeVRi&#10;Qk9Bc2hIb0JBQUFBQUVsRlRrU3VRbUNDIiBwcmVzZXJ2ZUFzcGVjdFJhdGlvPSJub25lIiBpZD0i&#10;aW1nODEiPjwvaW1hZ2U+PGltYWdlIHdpZHRoPSI4IiBoZWlnaHQ9IjgiIHhsaW5rOmhyZWY9ImRh&#10;dGE6aW1hZ2UvanBlZztiYXNlNjQsLzlqLzRBQVFTa1pKUmdBQkFRRUFZQUJnQUFELzJ3QkRBQU1D&#10;QWdNQ0FnTURBd01FQXdNRUJRZ0ZCUVFFQlFvSEJ3WUlEQW9NREFzS0N3c05EaElRRFE0UkRnc0xF&#10;QllRRVJNVUZSVVZEQThYR0JZVUdCSVVGUlQvMndCREFRTUVCQVVFQlFrRkJRa1VEUXNORkJRVUZC&#10;UVVGQlFVRkJRVUZCUVVGQlFVRkJRVUZCUVVGQlFVRkJRVUZCUVVGQlFVRkJRVUZCUVVGQlFVRkJR&#10;VUZCVC93QUFSQ0FBSUFBZ0RBU0lBQWhFQkF4RUIvOFFBSHdBQUFRVUJBUUVCQVFFQUFBQUFBQUFB&#10;QUFFQ0F3UUZCZ2NJQ1FvTC84UUF0UkFBQWdFREF3SUVBd1VGQkFRQUFBRjlBUUlEQUFRUkJSSWhN&#10;VUVHRTFGaEJ5SnhGREtCa2FFSUkwS3h3UlZTMGZBa00ySnlnZ2tLRmhjWUdSb2xKaWNvS1NvME5U&#10;WTNPRGs2UTBSRlJrZElTVXBUVkZWV1YxaFpXbU5rWldabmFHbHFjM1IxZG5kNGVYcURoSVdHaDRp&#10;SmlwS1RsSldXbDVpWm1xS2pwS1dtcDZpcHFyS3p0TFcydDdpNXVzTER4TVhHeDhqSnl0TFQxTlhX&#10;MTlqWjJ1SGk0K1RsNXVmbzZlcng4dlAwOWZiMytQbjYvOFFBSHdFQUF3RUJBUUVCQVFFQkFRQUFB&#10;QUFBQUFFQ0F3UUZCZ2NJQ1FvTC84UUF0UkVBQWdFQ0JBUURCQWNGQkFRQUFRSjNBQUVDQXhFRUJT&#10;RXhCaEpCVVFkaGNSTWlNb0VJRkVLUm9iSEJDU016VXZBVlluTFJDaFlrTk9FbDhSY1lHUm9tSnln&#10;cEtqVTJOemc1T2tORVJVWkhTRWxLVTFSVlZsZFlXVnBqWkdWbVoyaHBhbk4wZFhaM2VIbDZnb09F&#10;aFlhSGlJbUtrcE9VbFphWG1KbWFvcU9rcGFhbnFLbXFzck8wdGJhM3VMbTZ3c1BFeGNiSHlNbksw&#10;dFBVMWRiWDJObmE0dVBrNWVibjZPbnE4dlAwOWZiMytQbjYvOW9BREFNQkFBSVJBeEVBUHdEblAr&#10;UXovd0JSNysxLysyWDl1YlB6OG5UNDkzdnYzZng3L3dCOFVVVjlYR0NtcnN3UC85az0iIHByZXNl&#10;cnZlQXNwZWN0UmF0aW89Im5vbmUiIGlkPSJpbWcxOTUiPjwvaW1hZ2U+PGltYWdlIHdpZHRoPSI4&#10;IiBoZWlnaHQ9IjgiIHhsaW5rOmhyZWY9ImRhdGE6aW1hZ2UvanBlZztiYXNlNjQsLzlqLzRBQVFT&#10;a1pKUmdBQkFRRUFZQUJnQUFELzJ3QkRBQU1DQWdNQ0FnTURBd01FQXdNRUJRZ0ZCUVFFQlFvSEJ3&#10;WUlEQW9NREFzS0N3c05EaElRRFE0UkRnc0xFQllRRVJNVUZSVVZEQThYR0JZVUdCSVVGUlQvMndC&#10;REFRTUVCQVVFQlFrRkJRa1VEUXNORkJRVUZCUVVGQlFVRkJRVUZCUVVGQlFVRkJRVUZCUVVGQlFV&#10;RkJRVUZCUVVGQlFVRkJRVUZCUVVGQlFVRkJRVUZCVC93QUFSQ0FBSUFBZ0RBU0lBQWhFQkF4RUIv&#10;OFFBSHdBQUFRVUJBUUVCQVFFQUFBQUFBQUFBQUFFQ0F3UUZCZ2NJQ1FvTC84UUF0UkFBQWdFREF3&#10;SUVBd1VGQkFRQUFBRjlBUUlEQUFRUkJSSWhNVUVHRTFGaEJ5SnhGREtCa2FFSUkwS3h3UlZTMGZB&#10;a00ySnlnZ2tLRmhjWUdSb2xKaWNvS1NvME5UWTNPRGs2UTBSRlJrZElTVXBUVkZWV1YxaFpXbU5r&#10;WldabmFHbHFjM1IxZG5kNGVYcURoSVdHaDRpSmlwS1RsSldXbDVpWm1xS2pwS1dtcDZpcHFyS3p0&#10;TFcydDdpNXVzTER4TVhHeDhqSnl0TFQxTlhXMTlqWjJ1SGk0K1RsNXVmbzZlcng4dlAwOWZiMytQ&#10;bjYvOFFBSHdFQUF3RUJBUUVCQVFFQkFRQUFBQUFBQUFFQ0F3UUZCZ2NJQ1FvTC84UUF0UkVBQWdF&#10;Q0JBUURCQWNGQkFRQUFRSjNBQUVDQXhFRUJTRXhCaEpCVVFkaGNSTWlNb0VJRkVLUm9iSEJDU016&#10;VXZBVlluTFJDaFlrTk9FbDhSY1lHUm9tSnlncEtqVTJOemc1T2tORVJVWkhTRWxLVTFSVlZsZFlX&#10;VnBqWkdWbVoyaHBhbk4wZFhaM2VIbDZnb09FaFlhSGlJbUtrcE9VbFphWG1KbWFvcU9rcGFhbnFL&#10;bXFzck8wdGJhM3VMbTZ3c1BFeGNiSHlNbkswdFBVMWRiWDJObmE0dVBrNWVibjZPbnE4dlAwOWZi&#10;MytQbjYvOW9BREFNQkFBSVJBeEVBUHdEa2YrUXgvd0JSMysxdisyWDl0N1B6OG5UNDkzdnYzZnhi&#10;L3dCNlVVVitjMWFzcVR0SDllOXVqWGIra2RTVnovL1oiIHByZXNlcnZlQXNwZWN0UmF0aW89Im5v&#10;bmUiIGlkPSJpbWcxOTciPjwvaW1hZ2U+PGltYWdlIHdpZHRoPSI4IiBoZWlnaHQ9IjgiIHhsaW5r&#10;OmhyZWY9ImRhdGE6aW1hZ2UvanBlZztiYXNlNjQsLzlqLzRBQVFTa1pKUmdBQkFRRUFZQUJnQUFE&#10;LzJ3QkRBQU1DQWdNQ0FnTURBd01FQXdNRUJRZ0ZCUVFFQlFvSEJ3WUlEQW9NREFzS0N3c05EaElR&#10;RFE0UkRnc0xFQllRRVJNVUZSVVZEQThYR0JZVUdCSVVGUlQvMndCREFRTUVCQVVFQlFrRkJRa1VE&#10;UXNORkJRVUZCUVVGQlFVRkJRVUZCUVVGQlFVRkJRVUZCUVVGQlFVRkJRVUZCUVVGQlFVRkJRVUZC&#10;UVVGQlFVRkJRVUZCVC93QUFSQ0FBSUFBZ0RBU0lBQWhFQkF4RUIvOFFBSHdBQUFRVUJBUUVCQVFF&#10;QUFBQUFBQUFBQUFFQ0F3UUZCZ2NJQ1FvTC84UUF0UkFBQWdFREF3SUVBd1VGQkFRQUFBRjlBUUlE&#10;QUFRUkJSSWhNVUVHRTFGaEJ5SnhGREtCa2FFSUkwS3h3UlZTMGZBa00ySnlnZ2tLRmhjWUdSb2xK&#10;aWNvS1NvME5UWTNPRGs2UTBSRlJrZElTVXBUVkZWV1YxaFpXbU5rWldabmFHbHFjM1IxZG5kNGVY&#10;cURoSVdHaDRpSmlwS1RsSldXbDVpWm1xS2pwS1dtcDZpcHFyS3p0TFcydDdpNXVzTER4TVhHeDhq&#10;Snl0TFQxTlhXMTlqWjJ1SGk0K1RsNXVmbzZlcng4dlAwOWZiMytQbjYvOFFBSHdFQUF3RUJBUUVC&#10;QVFFQkFRQUFBQUFBQUFFQ0F3UUZCZ2NJQ1FvTC84UUF0UkVBQWdFQ0JBUURCQWNGQkFRQUFRSjNB&#10;QUVDQXhFRUJTRXhCaEpCVVFkaGNSTWlNb0VJRkVLUm9iSEJDU016VXZBVlluTFJDaFlrTk9FbDhS&#10;Y1lHUm9tSnlncEtqVTJOemc1T2tORVJVWkhTRWxLVTFSVlZsZFlXVnBqWkdWbVoyaHBhbk4wZFha&#10;M2VIbDZnb09FaFlhSGlJbUtrcE9VbFphWG1KbWFvcU9rcGFhbnFLbXFzck8wdGJhM3VMbTZ3c1BF&#10;eGNiSHlNbkswdFBVMWRiWDJObmE0dVBrNWVibjZPbnE4dlAwOWZiMytQbjYvOW9BREFNQkFBSVJB&#10;eEVBUHdEMkQva1pQK3ByL3dDRWcvN1lmOEpQNWY4QTMxOW4waUhmL3RlYnYvNWFlWi9wQlJSWDRa&#10;aU1STER5NVllZlZyWnRkR3UzNkxTeVhhbGMvOWs9IiBwcmVzZXJ2ZUFzcGVjdFJhdGlvPSJub25l&#10;IiBpZD0iaW1nMTk5Ij48L2ltYWdlPjxpbWFnZSB3aWR0aD0iOCIgaGVpZ2h0PSI4IiB4bGluazpo&#10;cmVmPSJkYXRhOmltYWdlL2pwZWc7YmFzZTY0LC85ai80QUFRU2taSlJnQUJBUUVBWUFCZ0FBRC8y&#10;d0JEQUFNQ0FnTUNBZ01EQXdNRUF3TUVCUWdGQlFRRUJRb0hCd1lJREFvTURBc0tDd3NORGhJUURR&#10;NFJEZ3NMRUJZUUVSTVVGUlVWREE4WEdCWVVHQklVRlJULzJ3QkRBUU1FQkFVRUJRa0ZCUWtVRFFz&#10;TkZCUVVGQlFVRkJRVUZCUVVGQlFVRkJRVUZCUVVGQlFVRkJRVUZCUVVGQlFVRkJRVUZCUVVGQlFV&#10;RkJRVUZCUVVGQlQvd0FBUkNBQUlBQWdEQVNJQUFoRUJBeEVCLzhRQUh3QUFBUVVCQVFFQkFRRUFB&#10;QUFBQUFBQUFBRUNBd1FGQmdjSUNRb0wvOFFBdFJBQUFnRURBd0lFQXdVRkJBUUFBQUY5QVFJREFB&#10;UVJCUkloTVVFR0UxRmhCeUp4RkRLQmthRUlJMEt4d1JWUzBmQWtNMkp5Z2drS0ZoY1lHUm9sSmlj&#10;b0tTbzBOVFkzT0RrNlEwUkZSa2RJU1VwVFZGVldWMWhaV21Oa1pXWm5hR2xxYzNSMWRuZDRlWHFE&#10;aElXR2g0aUppcEtUbEpXV2w1aVptcUtqcEtXbXA2aXBxckt6dExXMnQ3aTV1c0xEeE1YR3g4akp5&#10;dExUMU5YVzE5aloydUhpNCtUbDV1Zm82ZXJ4OHZQMDlmYjMrUG42LzhRQUh3RUFBd0VCQVFFQkFR&#10;RUJBUUFBQUFBQUFBRUNBd1FGQmdjSUNRb0wvOFFBdFJFQUFnRUNCQVFEQkFjRkJBUUFBUUozQUFF&#10;Q0F4RUVCU0V4QmhKQlVRZGhjUk1pTW9FSUZFS1JvYkhCQ1NNelV2QVZZbkxSQ2hZa05PRWw4UmNZ&#10;R1JvbUp5Z3BLalUyTnpnNU9rTkVSVVpIU0VsS1UxUlZWbGRZV1ZwalpHVm1aMmhwYW5OMGRYWjNl&#10;SGw2Z29PRWhZYUhpSW1La3BPVWxaYVhtSm1hb3FPa3BhYW5xS21xc3JPMHRiYTN1TG02d3NQRXhj&#10;Ykh5TW5LMHRQVTFkYlgyTm5hNHVQazVlYm42T25xOHZQMDlmYjMrUG42LzlvQURBTUJBQUlSQXhF&#10;QVB3RDZjLzVHci9xY2YrRWxQL1h1ZkZ2bGY5OWZadEZnOHovYTgzZi9BTXRQTi8wa29vcnlwU2NY&#10;WkdoLy85az0iIHByZXNlcnZlQXNwZWN0UmF0aW89Im5vbmUiIGlkPSJpbWcyMDEiPjwvaW1hZ2U+&#10;PGltYWdlIHdpZHRoPSI4IiBoZWlnaHQ9IjgiIHhsaW5rOmhyZWY9ImRhdGE6aW1hZ2UvanBlZzti&#10;YXNlNjQsLzlqLzRBQVFTa1pKUmdBQkFRRUFZQUJnQUFELzJ3QkRBQU1DQWdNQ0FnTURBd01FQXdN&#10;RUJRZ0ZCUVFFQlFvSEJ3WUlEQW9NREFzS0N3c05EaElRRFE0UkRnc0xFQllRRVJNVUZSVVZEQThY&#10;R0JZVUdCSVVGUlQvMndCREFRTUVCQVVFQlFrRkJRa1VEUXNORkJRVUZCUVVGQlFVRkJRVUZCUVVG&#10;QlFVRkJRVUZCUVVGQlFVRkJRVUZCUVVGQlFVRkJRVUZCUVVGQlFVRkJRVUZCVC93QUFSQ0FBSUFB&#10;Z0RBU0lBQWhFQkF4RUIvOFFBSHdBQUFRVUJBUUVCQVFFQUFBQUFBQUFBQUFFQ0F3UUZCZ2NJQ1Fv&#10;TC84UUF0UkFBQWdFREF3SUVBd1VGQkFRQUFBRjlBUUlEQUFRUkJSSWhNVUVHRTFGaEJ5SnhGREtC&#10;a2FFSUkwS3h3UlZTMGZBa00ySnlnZ2tLRmhjWUdSb2xKaWNvS1NvME5UWTNPRGs2UTBSRlJrZElT&#10;VXBUVkZWV1YxaFpXbU5rWldabmFHbHFjM1IxZG5kNGVYcURoSVdHaDRpSmlwS1RsSldXbDVpWm1x&#10;S2pwS1dtcDZpcHFyS3p0TFcydDdpNXVzTER4TVhHeDhqSnl0TFQxTlhXMTlqWjJ1SGk0K1RsNXVm&#10;bzZlcng4dlAwOWZiMytQbjYvOFFBSHdFQUF3RUJBUUVCQVFFQkFRQUFBQUFBQUFFQ0F3UUZCZ2NJ&#10;Q1FvTC84UUF0UkVBQWdFQ0JBUURCQWNGQkFRQUFRSjNBQUVDQXhFRUJTRXhCaEpCVVFkaGNSTWlN&#10;b0VJRkVLUm9iSEJDU016VXZBVlluTFJDaFlrTk9FbDhSY1lHUm9tSnlncEtqVTJOemc1T2tORVJV&#10;WkhTRWxLVTFSVlZsZFlXVnBqWkdWbVoyaHBhbk4wZFhaM2VIbDZnb09FaFlhSGlJbUtrcE9VbFph&#10;WG1KbWFvcU9rcGFhbnFLbXFzck8wdGJhM3VMbTZ3c1BFeGNiSHlNbkswdFBVMWRiWDJObmE0dVBr&#10;NWVibjZPbnE4dlAwOWZiMytQbjYvOW9BREFNQkFBSVJBeEVBUHdENk8vNUduMThZL3dEQ1NIL3Iz&#10;UGl6eS84QXZyN05vc0htZjdYbTcvOEFscDV2K2tsRkZBSC8yUT09IiBwcmVzZXJ2ZUFzcGVjdFJh&#10;dGlvPSJub25lIiBpZD0iaW1nMjAzIj48L2ltYWdlPjxpbWFnZSB3aWR0aD0iNTAiIGhlaWdodD0i&#10;NTAiIHhsaW5rOmhyZWY9ImRhdGE6aW1hZ2UvcG5nO2Jhc2U2NCxpVkJPUncwS0dnb0FBQUFOU1Vo&#10;RVVnQUFBRElBQUFBeUNBTUFBQUFwNFhpREFBQUFBWE5TUjBJQXJzNGM2UUFBQUFSblFVMUJBQUN4&#10;and2OFlRVUFBQUZaVUV4VVJRQUFBUC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eVhTenUwQUFBQnlkRkpPVXdBQkF3UUZCd2dNRFE4UUVSSVRG&#10;UmthSEIwZklpTXBMQzB3TVRRMU9qcytRRUpFUlVkTFRVNVFVbE5VVlZ4ZFhsOWdZV0prWm01dmNY&#10;VjJlSGwvaFllS2tKYWVwcXFyckxDK3c4Zkl5Y3JNenMvUTA5WFcxOW5hM04zZzRlUGw1dWpwNnV6&#10;dDd1LzA5ZmIzK1BuNisvejkvcjBPV25jQUFBQUpjRWhaY3dBQUN4SUFBQXNTQWRMZGZ2d0FBQUZn&#10;U1VSQlZFaEw3WlBIVWdKUkVFVkhVUkV4RVl5QXFDZ0d6RG1MRWJOaXdvZzVZRUx1L3k5c2F1N0NC&#10;VXF6c054d1ZuMWV6YTJhOTdyYnlQT1grSmM3V0drSkFIR1dTcHczUUpTMURzY1JrS2lucVBCY0Fz&#10;a1FSY1ZRQW5qcHBtZ29XZ1J3NWFOcHNLOUxZck9hcHNFbEY4ZFNNVTFEWFJ4SVRWRlVlTzZBajE2&#10;S0N1K2pQRlZPYzlMd0FEd0hLQ3Bxcm9HblpvcUtpaE1aa2hhS0NvdjA0NzJkb21OQlhyZWZ0WTVC&#10;NmVBc2F4MytOMkMxZ0tLaTloNDRzRkpVT0M2QVd6ZEZSZVd4TkwySm9zSytKenZZUlZGaDI1SG5I&#10;YUdvc0czSjgwNVFWSlJ0UzJLYWtwSGgwMGxXSnVXN2twaWhaRVlXWXY1Ynh5cjNKWkZsQ1Zma2sw&#10;Z3B4YWc2bEp1UFUzNmlaRTB5c1VaVEhESGdjOVNzZjZFd25BSmV4OUkvNXpxVGZ2U1p4Ny9US2ZP&#10;RWlOVnduOHVDOVBBd0M4NE55VVI5TWxldlFSNWx4UktXakpCbzQ0R0dnWTkwb3BXbUk1VE1OV0VZ&#10;d1RrdnF6ei9pMkY4QVhjZ1VVcVZHLzJ0QUFBQUFFbEZUa1N1UW1DQyIgcHJlc2VydmVBc3BlY3RS&#10;YXRpbz0ibm9uZSIgaWQ9ImltZzIwOSI+PC9pbWFnZT48L2RlZnM+PGcgY2xpcC1wYXRoPSJ1cmwo&#10;I2NsaXAwKSIgdHJhbnNmb3JtPSJtYXRyaXgoMSAwIDAgMSAwIC01KSI+PHBhdGggZD0iTTcuNTkx&#10;ODggOTAuNzAzQzM2LjkzNzggODkuNjEzIDYxLjQ3OTQgOTMuNTA3MiA3Ny4zNTcyIDkwLjcwMyA5&#10;My4yMzQ3IDg3Ljg5ODggMTE4Ljc5NSA4Ny42MzU5IDE0Mi44MDcgOTAuNzAzIDE2Ni44MTkgOTMu&#10;NzcwMSAyMDIuMDQ5IDkxLjMzOTkgMjIzLjM2MSA5MC43MDMgMjI2LjE0NiAxMTIuNzUxIDIyNC4w&#10;MjMgMTI0LjgxNSAyMjMuMzYxIDE1Mi45ODggMjIyLjY5OSAxODEuMTYyIDIyNC4zNzYgMTg4Ljc5&#10;NiAyMjMuMzYxIDIwOC4zNTMgMjIyLjM0NiAyMjcuOTExIDIyNS4xNjcgMjQwLjI2IDIyMy4zNjEg&#10;MjYzLjcxOCAyMjEuNTU1IDI4Ny4xNzYgMjI0LjY5MyAzMTAuNjM5IDIyMy4zNjEgMzMyLjkyNCAy&#10;MjIuMDI5IDM1NS4yMDkgMjI0LjMzOCAzODIuODU5IDIyMy4zNjEgNDAyLjEzIDIyMi4zODQgNDIx&#10;LjQwMSAyMjUuMTk4IDQzMS40NTIgMjIzLjM2MSA0NTcuNDk1IDIyMS41MjUgNDgzLjUzNyAyMjMu&#10;OTg3IDQ4NS44NzQgMjIzLjM2MSA1MTIuODU5IDIyMi43MzUgNTM5Ljg0NSAyMjEuOTIyIDU1NC43&#10;MjEgMjIzLjM2MSA1ODIuMDY1IDIyNC44IDYwOS40MSAyMjEuNzA3IDYyMy45MjUgMjIzLjM2MSA2&#10;NTguMTkyIDIyNS4wMTUgNjkyLjQ1OSAyMjUuNDg2IDY5MS4wMzQgMjIzLjM2MSA3MDYuNjM2IDIy&#10;MS4yMzYgNzIyLjIzOSAyMjQuOTEzIDc0Ni40NSAyMjMuMzYxIDc4Mi43NjMgMTkyLjc5OCA3ODUu&#10;MDIyIDE3OS4yMDcgNzg1LjA4IDE1MS40MzggNzgyLjc2MyAxMjMuNjY5IDc4MC40NDYgOTkuMDk1&#10;NiA3ODEuOTA2IDc5LjUxNSA3ODIuNzYzIDU5LjkzNDQgNzgzLjYyIDI1Ljg2MjcgNzgzLjg3MSA3&#10;LjU5MTg4IDc4Mi43NjMgNi4zNDQwOSA3NjEuNTkyIDYuNTk3MDggNzQwLjk5NiA3LjU5MTg4IDcx&#10;My41NTcgOC41ODY2NiA2ODYuMTE3IDcuODA5NDggNjgyLjUwMyA3LjU5MTg4IDY1OC4xOTIgNy4z&#10;NzQyOCA2MzMuODgxIDUuNjA1MTEgNjE1LjI4NCA3LjU5MTg4IDYwMi44MjcgOS41Nzg2NCA1OTAu&#10;MzcxIDEwLjMxNjIgNTU2LjQxNCA3LjU5MTg4IDU0MC41NDIgNC44Njc2IDUyNC42NjkgNi44ODY2&#10;MiA0OTguMDE4IDcuNTkxODggNDU3LjQ5NSA4LjI5NzEzIDQxNi45NzIgOS43MzU1MSA0MTQuOTEg&#10;Ny41OTE4OCAzODguMjg5IDUuNDQ4MjUgMzYxLjY2OCA5LjIzMDYxIDM1Mi41MjcgNy41OTE4OCAz&#10;MjYuMDAzIDUuOTUzMTggMjk5LjQ4IDkuODEzMzQgMjk3LjQ0NCA3LjU5MTg4IDI3Ny41NTkgNS4z&#10;NzA0NSAyNTcuNjc0IDguNzYyNzEgMjQwLjkxNSA3LjU5MTg4IDIyOS4xMTUgNi40MjEwNSAyMTcu&#10;MzE1IDEwLjE4MDggMTc2LjM0NyA3LjU5MTg4IDE1Mi45ODggNS4wMDMgMTI5LjYzIDYuMjUyODgg&#10;MTA5LjA2MSA3LjU5MTg4IDkwLjcwM1oiIGZpbGw9IiM5NTk1QkMiIGZpbGwtcnVsZT0iZXZlbm9k&#10;ZCIgdHJhbnNmb3JtPSJtYXRyaXgoMSAwIDAgMS4wMDA4MSAtMC43OTkxNDUgMS44MDA4MikiLz48&#10;cGF0aCBkPSJNNy41OTE4OCA5MC43MDNDNDAuOTAxMyA5MS42MzA4IDYzLjE4MjUgOTEuNzY1MSA4&#10;My44MzAzIDkwLjcwMyAxMDQuNDc4IDg5LjY0MDkgMTI4LjQ0NiA5MS42MzA4IDE2MC4wNjkgOTAu&#10;NzAzIDE5MS42OTIgODkuNzc1MiAyMDQuODk1IDkzLjM3OTMgMjIzLjM2MSA5MC43MDMgMjI0LjYy&#10;NCAxMTcuMDg4IDIyMS42MjIgMTM5LjUzMiAyMjMuMzYxIDE2Ni44MyAyMjUuMSAxOTQuMTI3IDIy&#10;NS42OTkgMjA0Ljc5NyAyMjMuMzYxIDIxNS4yNzQgMjIxLjAyNCAyMjUuNzUxIDIyMi4xNzEgMjU4&#10;LjkgMjIzLjM2MSAyNzAuNjM5IDIyNC41NTEgMjgyLjM3NyAyMjYuNDcyIDMyOS4wODEgMjIzLjM2&#10;MSAzNDYuNzY1IDIyMC4yNSAzNjQuNDQ5IDIyNC40MTYgMzgwLjE1OSAyMjMuMzYxIDQwMi4xMyAy&#10;MjIuMzA2IDQyNC4xMDEgMjIyLjQxNSA0MzYuMzU2IDIyMy4zNjEgNDUwLjU3NCAyMjQuMzA3IDQ2&#10;NC43OTIgMjIyLjM1NyA0ODUuNzQ5IDIyMy4zNjEgNTA1LjkzOSAyMjQuMzY1IDUyNi4xMjggMjI0&#10;LjI4NyA1MzkuODM0IDIyMy4zNjEgNTY4LjIyNCAyMjIuNDM2IDU5Ni42MTUgMjI0Ljg5NSA2MTcu&#10;NzE3IDIyMy4zNjEgNjM3LjQzIDIyMS44MjcgNjU3LjE0NCAyMjMuOTI2IDY3My4yNzYgMjIzLjM2&#10;MSA2OTIuNzk1IDIyMi43OTYgNzEyLjMxNCAyMjMuNTg2IDczOC44NjEgMjIzLjM2MSA3ODIuNzYz&#10;IDE5MS4wNDQgNzg0LjQ2MSAxNzMuMDgzIDc4My4zNDUgMTUxLjQzOCA3ODIuNzYzIDEyOS43OTMg&#10;NzgyLjE4IDEwMy4xMTkgNzgyLjQ4MyA3OS41MTUgNzgyLjc2MyA1NS45MTEyIDc4My4wNDIgMjMu&#10;NTI1MSA3ODMuNTU2IDcuNTkxODggNzgyLjc2MyA2LjA1MzE5IDc1MC4zMzkgNy4yODQ2NSA3NDcu&#10;MzMgNy41OTE4OCA3MTMuNTU3IDcuODk5MTEgNjc5Ljc4NSA3LjY2MzMgNjcyLjEzNiA3LjU5MTg4&#10;IDY1MS4yNzEgNy41MjA0NiA2MzAuNDA3IDUuMzUzNjkgNjE0LjA2MiA3LjU5MTg4IDU4Mi4wNjUg&#10;OS44MzAwNSA1NTAuMDY5IDUuNDIyMjggNTI2Ljc0MiA3LjU5MTg4IDUwNS45MzkgOS43NjE0OCA0&#10;ODUuMTM2IDExLjIxMTQgNDUwLjUxNCA3LjU5MTg4IDQyOS44MTIgMy45NzIzOSA0MDkuMTEgOS44&#10;NjgzMyAzNzMuNTEzIDcuNTkxODggMzUzLjY4NiA1LjMxNTQ3IDMzMy44NTggMTEuMzMxMiAyOTcu&#10;NTEgNy41OTE4OCAyNzAuNjM5IDMuODUyNDkgMjQzLjc2NyA4LjM1Mjc1IDIyMS44NTkgNy41OTE4&#10;OCAyMDEuNDMzIDYuODMxMDEgMTgxLjAwNiA0LjQ1OTYzIDEzMi4yMDYgNy41OTE4OCA5MC43MDNa&#10;IiBzdHJva2U9IiMzNjQyNEEiIHN0cm9rZS13aWR0aD0iMS45OTc4NiIgc3Ryb2tlLW1pdGVybGlt&#10;aXQ9IjgiIGZpbGw9Im5vbmUiIGZpbGwtcnVsZT0iZXZlbm9kZCIgdHJhbnNmb3JtPSJtYXRyaXgo&#10;MSAwIDAgMS4wMDA4MSAtMC43OTkxNDUgMS44MDA4MikiLz48cGF0aCBkPSJNMjMwLjU1MyA5MC43&#10;MDNDMjU5LjkgODkuNjEzIDI4NC40NDEgOTMuNTA3MiAzMDAuMzE5IDkwLjcwMyAzMTYuMTk2IDg3&#10;Ljg5ODggMzQxLjc1NyA4Ny42MzU5IDM2NS43NjkgOTAuNzAzIDM4OS43ODEgOTMuNzcwMSA0MjUu&#10;MDExIDkxLjMzOTkgNDQ2LjMyMyA5MC43MDMgNDQ5LjEwOCAxMTIuNzUxIDQ0Ni45ODQgMTI0Ljgx&#10;NSA0NDYuMzIzIDE1Mi45ODggNDQ1LjY2MSAxODEuMTYyIDQ0Ny4zMzggMTg4Ljc5NiA0NDYuMzIz&#10;IDIwOC4zNTMgNDQ1LjMwOCAyMjcuOTExIDQ0OC4xMjkgMjQwLjI2IDQ0Ni4zMjMgMjYzLjcxOCA0&#10;NDQuNTE3IDI4Ny4xNzYgNDQ3LjY1NSAzMTAuNjM5IDQ0Ni4zMjMgMzMyLjkyNCA0NDQuOTkgMzU1&#10;LjIwOSA0NDcuMyAzODIuODU5IDQ0Ni4zMjMgNDAyLjEzIDQ0NS4zNDUgNDIxLjQwMSA0NDguMTU5&#10;IDQzMS40NTIgNDQ2LjMyMyA0NTcuNDk1IDQ0NC40ODYgNDgzLjUzNyA0NDYuOTQ4IDQ4NS44NzQg&#10;NDQ2LjMyMyA1MTIuODU5IDQ0NS42OTcgNTM5Ljg0NSA0NDQuODgzIDU1NC43MjEgNDQ2LjMyMyA1&#10;ODIuMDY1IDQ0Ny43NjIgNjA5LjQxIDQ0NC42NjggNjIzLjkyNSA0NDYuMzIzIDY1OC4xOTIgNDQ3&#10;Ljk3NyA2OTIuNDU5IDQ0OC40NDggNjkxLjAzNCA0NDYuMzIzIDcwNi42MzYgNDQ0LjE5OCA3MjIu&#10;MjM5IDQ0Ny44NzUgNzQ2LjQ1IDQ0Ni4zMjMgNzgyLjc2MyA0MTUuNzU5IDc4NS4wMjIgNDAyLjE2&#10;OCA3ODUuMDggMzc0LjQgNzgyLjc2MyAzNDYuNjMxIDc4MC40NDYgMzIyLjA1NyA3ODEuOTA2IDMw&#10;Mi40NzcgNzgyLjc2MyAyODIuODk2IDc4My42MiAyNDguODI0IDc4My44NzEgMjMwLjU1MyA3ODIu&#10;NzYzIDIyOS4zMDYgNzYxLjU5MiAyMjkuNTU4IDc0MC45OTYgMjMwLjU1MyA3MTMuNTU3IDIzMS41&#10;NDggNjg2LjExNyAyMzAuNzcxIDY4Mi41MDMgMjMwLjU1MyA2NTguMTkyIDIzMC4zMzYgNjMzLjg4&#10;MSAyMjguNTY3IDYxNS4yODQgMjMwLjU1MyA2MDIuODI3IDIzMi41NCA1OTAuMzcxIDIzMy4yNzgg&#10;NTU2LjQxNCAyMzAuNTUzIDU0MC41NDIgMjI3LjgyOSA1MjQuNjY5IDIyOS44NDggNDk4LjAxOCAy&#10;MzAuNTUzIDQ1Ny40OTUgMjMxLjI1OSA0MTYuOTcyIDIzMi42OTcgNDE0LjkxIDIzMC41NTMgMzg4&#10;LjI4OSAyMjguNDEgMzYxLjY2OCAyMzIuMTkyIDM1Mi41MjcgMjMwLjU1MyAzMjYuMDAzIDIyOC45&#10;MTQgMjk5LjQ4IDIzMi43NzUgMjk3LjQ0NCAyMzAuNTUzIDI3Ny41NTkgMjI4LjMzMiAyNTcuNjc0&#10;IDIzMS43MjQgMjQwLjkxNSAyMzAuNTUzIDIyOS4xMTUgMjI5LjM4MyAyMTcuMzE1IDIzMy4xNDMg&#10;MTc2LjM0NyAyMzAuNTUzIDE1Mi45ODggMjI3Ljk2NCAxMjkuNjMgMjI5LjIxNCAxMDkuMDYxIDIz&#10;MC41NTMgOTAuNzAzWiIgZmlsbD0iIzlBOUI1OCIgZmlsbC1ydWxlPSJldmVub2RkIiB0cmFuc2Zv&#10;cm09Im1hdHJpeCgxIDAgMCAxLjAwMDgxIC0wLjc5OTE0NSAxLjgwMDgyKSIvPjxwYXRoIGQ9Ik0y&#10;MzAuNTUzIDkwLjcwM0MyNjMuODYzIDkxLjYzMDggMjg2LjE0NCA5MS43NjUxIDMwNi43OTIgOTAu&#10;NzAzIDMyNy40MzkgODkuNjQwOSAzNTEuNDA3IDkxLjYzMDggMzgzLjAzIDkwLjcwMyA0MTQuNjUz&#10;IDg5Ljc3NTIgNDI3Ljg1NyA5My4zNzkzIDQ0Ni4zMjMgOTAuNzAzIDQ0Ny41ODUgMTE3LjA4OCA0&#10;NDQuNTg0IDEzOS41MzIgNDQ2LjMyMyAxNjYuODMgNDQ4LjA2MiAxOTQuMTI3IDQ0OC42NiAyMDQu&#10;Nzk3IDQ0Ni4zMjMgMjE1LjI3NCA0NDMuOTg1IDIyNS43NTEgNDQ1LjEzMyAyNTguOSA0NDYuMzIz&#10;IDI3MC42MzkgNDQ3LjUxMyAyODIuMzc3IDQ0OS40MzQgMzI5LjA4MSA0NDYuMzIzIDM0Ni43NjUg&#10;NDQzLjIxMiAzNjQuNDQ5IDQ0Ny4zNzggMzgwLjE1OSA0NDYuMzIzIDQwMi4xMyA0NDUuMjY4IDQy&#10;NC4xMDEgNDQ1LjM3NiA0MzYuMzU2IDQ0Ni4zMjMgNDUwLjU3NCA0NDcuMjY5IDQ2NC43OTIgNDQ1&#10;LjMxOSA0ODUuNzQ5IDQ0Ni4zMjMgNTA1LjkzOSA0NDcuMzI2IDUyNi4xMjggNDQ3LjI0OCA1Mzku&#10;ODM0IDQ0Ni4zMjMgNTY4LjIyNCA0NDUuMzk3IDU5Ni42MTUgNDQ3Ljg1NyA2MTcuNzE3IDQ0Ni4z&#10;MjMgNjM3LjQzIDQ0NC43ODggNjU3LjE0NCA0NDYuODg4IDY3My4yNzYgNDQ2LjMyMyA2OTIuNzk1&#10;IDQ0NS43NTggNzEyLjMxNCA0NDYuNTQ3IDczOC44NjEgNDQ2LjMyMyA3ODIuNzYzIDQxNC4wMDYg&#10;Nzg0LjQ2MSAzOTYuMDQ0IDc4My4zNDUgMzc0LjQgNzgyLjc2MyAzNTIuNzU1IDc4Mi4xOCAzMjYu&#10;MDggNzgyLjQ4MyAzMDIuNDc3IDc4Mi43NjMgMjc4Ljg3MyA3ODMuMDQyIDI0Ni40ODcgNzgzLjU1&#10;NiAyMzAuNTUzIDc4Mi43NjMgMjI5LjAxNSA3NTAuMzM5IDIzMC4yNDcgNzQ3LjMzIDIzMC41NTMg&#10;NzEzLjU1NyAyMzAuODYgNjc5Ljc4NSAyMzAuNjI1IDY3Mi4xMzYgMjMwLjU1MyA2NTEuMjcxIDIz&#10;MC40ODIgNjMwLjQwNyAyMjguMzE1IDYxNC4wNjIgMjMwLjU1MyA1ODIuMDY1IDIzMi43OTIgNTUw&#10;LjA2OSAyMjguMzg0IDUyNi43NDIgMjMwLjU1MyA1MDUuOTM5IDIzMi43MjMgNDg1LjEzNiAyMzQu&#10;MTczIDQ1MC41MTQgMjMwLjU1MyA0MjkuODEyIDIyNi45MzQgNDA5LjExIDIzMi44MyAzNzMuNTEz&#10;IDIzMC41NTMgMzUzLjY4NiAyMjguMjc3IDMzMy44NTggMjM0LjI5MyAyOTcuNTEgMjMwLjU1MyAy&#10;NzAuNjM5IDIyNi44MTQgMjQzLjc2NyAyMzEuMzE0IDIyMS44NTkgMjMwLjU1MyAyMDEuNDMzIDIy&#10;OS43OTMgMTgxLjAwNiAyMjcuNDIyIDEzMi4yMDYgMjMwLjU1MyA5MC43MDNaIiBzdHJva2U9IiMz&#10;NjQyNEEiIHN0cm9rZS13aWR0aD0iMS45OTc4NiIgc3Ryb2tlLW1pdGVybGltaXQ9IjgiIGZpbGw9&#10;Im5vbmUiIGZpbGwtcnVsZT0iZXZlbm9kZCIgdHJhbnNmb3JtPSJtYXRyaXgoMSAwIDAgMS4wMDA4&#10;MSAtMC43OTkxNDUgMS44MDA4MikiLz48cGF0aCBkPSJNNDUxLjkxNyA5MC43MDNDNDgxLjM3MiA4&#10;OS42MTMgNTA2LjAwNCA5My41MDcyIDUyMS45NCA5MC43MDMgNTM3Ljg3NyA4Ny44OTg4IDU2My41&#10;MzIgODcuNjM1OSA1ODcuNjMzIDkwLjcwMyA2MTEuNzM0IDkzLjc3MDEgNjQ3LjA5NCA5MS4zMzk5&#10;IDY2OC40ODUgOTAuNzAzIDY3MS4yOCAxMTIuNzUxIDY2OS4xNDkgMTI0LjgxNSA2NjguNDg1IDE1&#10;Mi45ODggNjY3LjgyMSAxODEuMTYyIDY2OS41MDMgMTg4Ljc5NiA2NjguNDg1IDIwOC4zNTMgNjY3&#10;LjQ2NyAyMjcuOTExIDY3MC4yOTggMjQwLjI2IDY2OC40ODUgMjYzLjcxOCA2NjYuNjcyIDI4Ny4x&#10;NzYgNjY5LjgyMiAzMTAuNjM5IDY2OC40ODUgMzMyLjkyNCA2NjcuMTQ4IDM1NS4yMDkgNjY5LjQ2&#10;NiAzODIuODU5IDY2OC40ODUgNDAyLjEzIDY2Ny41MDQgNDIxLjQwMSA2NzAuMzI5IDQzMS40NTIg&#10;NjY4LjQ4NSA0NTcuNDk1IDY2Ni42NDEgNDgzLjUzNyA2NjkuMTEzIDQ4NS44NzQgNjY4LjQ4NSA1&#10;MTIuODU5IDY2Ny44NTcgNTM5Ljg0NSA2NjcuMDQgNTU0LjcyMSA2NjguNDg1IDU4Mi4wNjUgNjY5&#10;LjkzIDYwOS40MSA2NjYuODI0IDYyMy45MjUgNjY4LjQ4NSA2NTguMTkyIDY3MC4xNDYgNjkyLjQ1&#10;OSA2NzAuNjE4IDY5MS4wMzQgNjY4LjQ4NSA3MDYuNjM2IDY2Ni4zNTIgNzIyLjIzOSA2NzAuMDQz&#10;IDc0Ni40NSA2NjguNDg1IDc4Mi43NjMgNjM3LjgwOCA3ODUuMDIyIDYyNC4xNjcgNzg1LjA4IDU5&#10;Ni4yOTYgNzgyLjc2MyA1NjguNDI0IDc4MC40NDYgNTQzLjc1OSA3ODEuOTA2IDUyNC4xMDYgNzgy&#10;Ljc2MyA1MDQuNDUzIDc4My42MiA0NzAuMjU1IDc4My44NzEgNDUxLjkxNyA3ODIuNzYzIDQ1MC42&#10;NjQgNzYxLjU5MiA0NTAuOTE5IDc0MC45OTYgNDUxLjkxNyA3MTMuNTU3IDQ1Mi45MTUgNjg2LjEx&#10;NyA0NTIuMTM1IDY4Mi41MDMgNDUxLjkxNyA2NTguMTkyIDQ1MS42OTggNjMzLjg4MSA0NDkuOTIz&#10;IDYxNS4yODQgNDUxLjkxNyA2MDIuODI3IDQ1My45MTEgNTkwLjM3MSA0NTQuNjUxIDU1Ni40MTQg&#10;NDUxLjkxNyA1NDAuNTQyIDQ0OS4xODIgNTI0LjY2OSA0NTEuMjA5IDQ5OC4wMTggNDUxLjkxNyA0&#10;NTcuNDk1IDQ1Mi42MjUgNDE2Ljk3MiA0NTQuMDY4IDQxNC45MSA0NTEuOTE3IDM4OC4yODkgNDQ5&#10;Ljc2NSAzNjEuNjY4IDQ1My41NjEgMzUyLjUyNyA0NTEuOTE3IDMyNi4wMDMgNDUwLjI3MiAyOTku&#10;NDggNDU0LjE0NiAyOTcuNDQ0IDQ1MS45MTcgMjc3LjU1OSA0NDkuNjg3IDI1Ny42NzQgNDUzLjA5&#10;MiAyNDAuOTE1IDQ1MS45MTcgMjI5LjExNSA0NTAuNzQxIDIxNy4zMTUgNDU0LjUxNiAxNzYuMzQ3&#10;IDQ1MS45MTcgMTUyLjk4OCA0NDkuMzE4IDEyOS42MyA0NTAuNTcyIDEwOS4wNjEgNDUxLjkxNyA5&#10;MC43MDNaIiBmaWxsPSIjRTNFODdCIiBmaWxsLXJ1bGU9ImV2ZW5vZGQiIHRyYW5zZm9ybT0ibWF0&#10;cml4KDEgMCAwIDEuMDAwODEgLTAuNzk5MTQ1IDEuODAwODIpIi8+PHBhdGggZD0iTTQ1MS45MTcg&#10;OTAuNzAzQzQ4NS4zNSA5MS42MzA4IDUwNy43MTMgOTEuNzY1MSA1MjguNDM3IDkwLjcwMyA1NDku&#10;MTYxIDg5LjY0MDkgNTczLjIxOCA5MS42MzA4IDYwNC45NTkgOTAuNzAzIDYzNi42OTggODkuNzc1&#10;MiA2NDkuOTUxIDkzLjM3OTMgNjY4LjQ4NSA5MC43MDMgNjY5Ljc1MiAxMTcuMDg4IDY2Ni43NCAx&#10;MzkuNTMyIDY2OC40ODUgMTY2LjgzIDY3MC4yMyAxOTQuMTI3IDY3MC44MzEgMjA0Ljc5NyA2Njgu&#10;NDg1IDIxNS4yNzQgNjY2LjEzOSAyMjUuNzUxIDY2Ny4yOSAyNTguOSA2NjguNDg1IDI3MC42Mzkg&#10;NjY5LjY4IDI4Mi4zNzcgNjcxLjYwOCAzMjkuMDgxIDY2OC40ODUgMzQ2Ljc2NSA2NjUuMzYyIDM2&#10;NC40NDkgNjY5LjU0NCAzODAuMTU5IDY2OC40ODUgNDAyLjEzIDY2Ny40MjYgNDI0LjEwMSA2Njcu&#10;NTM2IDQzNi4zNTYgNjY4LjQ4NSA0NTAuNTc0IDY2OS40MzQgNDY0Ljc5MiA2NjcuNDc4IDQ4NS43&#10;NDkgNjY4LjQ4NSA1MDUuOTM5IDY2OS40OTIgNTI2LjEyOCA2NjkuNDE0IDUzOS44MzQgNjY4LjQ4&#10;NSA1NjguMjI0IDY2Ny41NTYgNTk2LjYxNSA2NzAuMDI1IDYxNy43MTcgNjY4LjQ4NSA2MzcuNDMg&#10;NjY2Ljk0NSA2NTcuMTQ0IDY2OS4wNTIgNjczLjI3NiA2NjguNDg1IDY5Mi43OTUgNjY3LjkxOCA3&#10;MTIuMzE0IDY2OC43MSA3MzguODYxIDY2OC40ODUgNzgyLjc2MyA2MzYuMDQ5IDc4NC40NjEgNjE4&#10;LjAyMSA3ODMuMzQ1IDU5Ni4yOTYgNzgyLjc2MyA1NzQuNTcgNzgyLjE4IDU0Ny43OTcgNzgyLjQ4&#10;MyA1MjQuMTA2IDc4Mi43NjMgNTAwLjQxNSA3ODMuMDQyIDQ2Ny45MDkgNzgzLjU1NiA0NTEuOTE3&#10;IDc4Mi43NjMgNDUwLjM3MiA3NTAuMzM5IDQ1MS42MDggNzQ3LjMzIDQ1MS45MTcgNzEzLjU1NyA0&#10;NTIuMjI1IDY3OS43ODUgNDUxLjk4OSA2NzIuMTM2IDQ1MS45MTcgNjUxLjI3MSA0NTEuODQ1IDYz&#10;MC40MDcgNDQ5LjY3IDYxNC4wNjIgNDUxLjkxNyA1ODIuMDY1IDQ1NC4xNjMgNTUwLjA2OSA0NDku&#10;NzM5IDUyNi43NDIgNDUxLjkxNyA1MDUuOTM5IDQ1NC4wOTQgNDg1LjEzNiA0NTUuNTUgNDUwLjUx&#10;NCA0NTEuOTE3IDQyOS44MTIgNDQ4LjI4NCA0MDkuMTEgNDU0LjIwMSAzNzMuNTEzIDQ1MS45MTcg&#10;MzUzLjY4NiA0NDkuNjMyIDMzMy44NTggNDU1LjY3IDI5Ny41MSA0NTEuOTE3IDI3MC42MzkgNDQ4&#10;LjE2MyAyNDMuNzY3IDQ1Mi42ODEgMjIxLjg1OSA0NTEuOTE3IDIwMS40MzMgNDUxLjE1MyAxODEu&#10;MDA2IDQ0OC43NzMgMTMyLjIwNiA0NTEuOTE3IDkwLjcwM1oiIHN0cm9rZT0iIzM2NDI0QSIgc3Ry&#10;b2tlLXdpZHRoPSIxLjk5Nzg2IiBzdHJva2UtbWl0ZXJsaW1pdD0iOCIgZmlsbD0ibm9uZSIgZmls&#10;bC1ydWxlPSJldmVub2RkIiB0cmFuc2Zvcm09Im1hdHJpeCgxIDAgMCAxLjAwMDgxIC0wLjc5OTE0&#10;NSAxLjgwMDgyKSIvPjxwYXRoIGQ9Ik02NzQuODc4IDkwLjcwM0M3MDQuMzMzIDg5LjYxMyA3Mjgu&#10;OTY1IDkzLjUwNzIgNzQ0LjkwMiA5MC43MDMgNzYwLjgzOCA4Ny44OTg4IDc4Ni40OTMgODcuNjM1&#10;OSA4MTAuNTk3IDkwLjcwMyA4MzQuNjkxIDkzLjc3MDEgODcwLjA1MyA5MS4zMzk5IDg5MS40NDcg&#10;OTAuNzAzIDg5NC4yNDQgMTEyLjc1MSA4OTIuMTEgMTI0LjgxNSA4OTEuNDQ3IDE1Mi45ODggODkw&#10;Ljc4MyAxODEuMTYyIDg5Mi40NjEgMTg4Ljc5NiA4OTEuNDQ3IDIwOC4zNTMgODkwLjQzMiAyMjcu&#10;OTExIDg5My4yNjEgMjQwLjI2IDg5MS40NDcgMjYzLjcxOCA4ODkuNjMzIDI4Ny4xNzYgODkyLjc4&#10;MSAzMTAuNjM5IDg5MS40NDcgMzMyLjkyNCA4OTAuMTEyIDM1NS4yMDkgODkyLjQzIDM4Mi44NTkg&#10;ODkxLjQ0NyA0MDIuMTMgODkwLjQ2NCA0MjEuNDAxIDg5My4yOTMgNDMxLjQ1MiA4OTEuNDQ3IDQ1&#10;Ny40OTUgODg5LjYgNDgzLjUzNyA4OTIuMDc4IDQ4NS44NzQgODkxLjQ0NyA1MTIuODU5IDg5MC44&#10;MTUgNTM5Ljg0NSA4OTAgNTU0LjcyMSA4OTEuNDQ3IDU4Mi4wNjUgODkyLjg5MyA2MDkuNDEgODg5&#10;Ljc4NCA2MjMuOTI1IDg5MS40NDcgNjU4LjE5MiA4OTMuMTA5IDY5Mi40NTkgODkzLjU4IDY5MS4w&#10;MzQgODkxLjQ0NyA3MDYuNjM2IDg4OS4zMTMgNzIyLjIzOSA4OTMuMDA1IDc0Ni40NSA4OTEuNDQ3&#10;IDc4Mi43NjMgODYwLjc2NyA3ODUuMDIyIDg0Ny4xMjYgNzg1LjA4IDgxOS4yNiA3ODIuNzYzIDc5&#10;MS4zODYgNzgwLjQ0NiA3NjYuNzIxIDc4MS45MDYgNzQ3LjA2NyA3ODIuNzYzIDcyNy40MTUgNzgz&#10;LjYyIDY5My4yMTcgNzgzLjg3MSA2NzQuODc4IDc4Mi43NjMgNjczLjYyNiA3NjEuNTkyIDY3My44&#10;OCA3NDAuOTk2IDY3NC44NzggNzEzLjU1NyA2NzUuODc2IDY4Ni4xMTcgNjc1LjA5NiA2ODIuNTAz&#10;IDY3NC44NzggNjU4LjE5MiA2NzQuNjYgNjMzLjg4MSA2NzIuODg0IDYxNS4yODQgNjc0Ljg3OCA2&#10;MDIuODI3IDY3Ni44NzIgNTkwLjM3MSA2NzcuNjEzIDU1Ni40MTQgNjc0Ljg3OCA1NDAuNTQyIDY3&#10;Mi4xNDMgNTI0LjY2OSA2NzQuMTcgNDk4LjAxOCA2NzQuODc4IDQ1Ny40OTUgNjc1LjU4NiA0MTYu&#10;OTcyIDY3Ny4wMjkgNDE0LjkxIDY3NC44NzggMzg4LjI4OSA2NzIuNzI3IDM2MS42NjggNjc2LjUy&#10;MyAzNTIuNTI3IDY3NC44NzggMzI2LjAwMyA2NzMuMjM0IDI5OS40OCA2NzcuMTA4IDI5Ny40NDQg&#10;Njc0Ljg3OCAyNzcuNTU5IDY3Mi42NDkgMjU3LjY3NCA2NzYuMDU0IDI0MC45MTUgNjc0Ljg3OCAy&#10;MjkuMTE1IDY3My43MDMgMjE3LjMxNSA2NzcuNDc3IDE3Ni4zNDcgNjc0Ljg3OCAxNTIuOTg4IDY3&#10;Mi4yNzkgMTI5LjYzIDY3My41MzQgMTA5LjA2MSA2NzQuODc4IDkwLjcwM1oiIGZpbGw9IiNGQ0ZC&#10;RTgiIGZpbGwtcnVsZT0iZXZlbm9kZCIgdHJhbnNmb3JtPSJtYXRyaXgoMSAwIDAgMS4wMDA4MSAt&#10;MC43OTkxNDUgMS44MDA4MikiLz48cGF0aCBkPSJNNjc0Ljg3OCA5MC43MDNDNzA4LjMxMSA5MS42&#10;MzA4IDczMC42NzQgOTEuNzY1MSA3NTEuMzk5IDkwLjcwMyA3NzIuMTIzIDg5LjY0MDkgNzk2LjE4&#10;IDkxLjYzMDggODI3LjkyMiA5MC43MDMgODU5LjY1NyA4OS43NzUyIDg3Mi45MTQgOTMuMzc5MyA4&#10;OTEuNDQ3IDkwLjcwMyA4OTIuNzE3IDExNy4wODggODg5LjcwNCAxMzkuNTMyIDg5MS40NDcgMTY2&#10;LjgzIDg5My4xODkgMTk0LjEyNyA4OTMuNzk2IDIwNC43OTcgODkxLjQ0NyAyMTUuMjc0IDg4OS4w&#10;OTcgMjI1Ljc1MSA4OTAuMjU2IDI1OC45IDg5MS40NDcgMjcwLjYzOSA4OTIuNjM3IDI4Mi4zNzcg&#10;ODk0LjU3MSAzMjkuMDgxIDg5MS40NDcgMzQ2Ljc2NSA4ODguMzIyIDM2NC40NDkgODkyLjUwOSAz&#10;ODAuMTU5IDg5MS40NDcgNDAyLjEzIDg5MC4zODQgNDI0LjEwMSA4OTAuNDk2IDQzNi4zNTYgODkx&#10;LjQ0NyA0NTAuNTc0IDg5Mi4zOTggNDY0Ljc5MiA4OTAuNDQgNDg1Ljc0OSA4OTEuNDQ3IDUwNS45&#10;MzkgODkyLjQ1MyA1MjYuMTI4IDg5Mi4zNzQgNTM5LjgzNCA4OTEuNDQ3IDU2OC4yMjQgODkwLjUy&#10;IDU5Ni42MTUgODkyLjk4OSA2MTcuNzE3IDg5MS40NDcgNjM3LjQzIDg4OS45MDQgNjU3LjE0NCA4&#10;OTIuMDE0IDY3My4yNzYgODkxLjQ0NyA2OTIuNzk1IDg5MC44NzkgNzEyLjMxNCA4OTEuNjcgNzM4&#10;Ljg2MSA4OTEuNDQ3IDc4Mi43NjMgODU5LjAwOSA3ODQuNDYxIDg0MC45ODEgNzgzLjM0NSA4MTku&#10;MjYgNzgyLjc2MyA3OTcuNTMyIDc4Mi4xOCA3NzAuNzU5IDc4Mi40ODMgNzQ3LjA2NyA3ODIuNzYz&#10;IDcyMy4zNzcgNzgzLjA0MiA2OTAuODcxIDc4My41NTYgNjc0Ljg3OCA3ODIuNzYzIDY3My4zMzMg&#10;NzUwLjMzOSA2NzQuNTcgNzQ3LjMzIDY3NC44NzggNzEzLjU1NyA2NzUuMTg3IDY3OS43ODUgNjc0&#10;Ljk1IDY3Mi4xMzYgNjc0Ljg3OCA2NTEuMjcxIDY3NC44MDYgNjMwLjQwNyA2NzIuNjMyIDYxNC4w&#10;NjIgNjc0Ljg3OCA1ODIuMDY1IDY3Ny4xMjUgNTUwLjA2OSA2NzIuNzAxIDUyNi43NDIgNjc0Ljg3&#10;OCA1MDUuOTM5IDY3Ny4wNTYgNDg1LjEzNiA2NzguNTExIDQ1MC41MTQgNjc0Ljg3OCA0MjkuODEy&#10;IDY3MS4yNDUgNDA5LjExIDY3Ny4xNjMgMzczLjUxMyA2NzQuODc4IDM1My42ODYgNjcyLjU5MyAz&#10;MzMuODU4IDY3OC42MzIgMjk3LjUxIDY3NC44NzggMjcwLjYzOSA2NzEuMTI1IDI0My43NjcgNjc1&#10;LjY0MiAyMjEuODU5IDY3NC44NzggMjAxLjQzMyA2NzQuMTE0IDE4MS4wMDYgNjcxLjczNCAxMzIu&#10;MjA2IDY3NC44NzggOTAuNzAzWiIgc3Ryb2tlPSIjMzY0MjRBIiBzdHJva2Utd2lkdGg9IjEuOTk3&#10;ODYiIHN0cm9rZS1taXRlcmxpbWl0PSI4IiBmaWxsPSJub25lIiBmaWxsLXJ1bGU9ImV2ZW5vZGQi&#10;IHRyYW5zZm9ybT0ibWF0cml4KDEgMCAwIDEuMDAwODEgLTAuNzk5MTQ1IDEuODAwODIpIi8+PHBh&#10;dGggZD0iTTg5OS40MzggOTAuNzAzQzkyMC44MjMgOTIuMTMxOSA5MzguMDA1IDg5LjU0ODIgOTcw&#10;LjIzNCA5MC43MDMgMTAwMi40NyA5MS44NTc4IDEwMjIuMzEgODcuNzA5NCAxMDM2LjY2IDkwLjcw&#10;MyAxMDUxIDkzLjY5NjYgMTA3OS4wMyA5NC4yMDg4IDExMTguNCA5MC43MDMgMTEyMS4xOSAxMTIu&#10;NzUxIDExMTkuMDcgMTI0LjgxNSAxMTE4LjQgMTUyLjk4OCAxMTE3Ljc0IDE4MS4xNjIgMTExOS40&#10;MiAxODguNzk2IDExMTguNCAyMDguMzUzIDExMTcuMzkgMjI3LjkxMSAxMTIwLjIxIDI0MC4yNiAx&#10;MTE4LjQgMjYzLjcxOCAxMTE2LjYgMjg3LjE3NiAxMTE5Ljc0IDMxMC42MzkgMTExOC40IDMzMi45&#10;MjQgMTExNy4wNyAzNTUuMjA5IDExMTkuMzggMzgyLjg1OSAxMTE4LjQgNDAyLjEzIDExMTcuNDMg&#10;NDIxLjQwMSAxMTIwLjI0IDQzMS40NTIgMTExOC40IDQ1Ny40OTUgMTExNi41NyA0ODMuNTM3IDEx&#10;MTkuMDMgNDg1Ljg3NCAxMTE4LjQgNTEyLjg1OSAxMTE3Ljc4IDUzOS44NDUgMTExNi45NyA1NTQu&#10;NzIxIDExMTguNCA1ODIuMDY1IDExMTkuODQgNjA5LjQxIDExMTYuNzUgNjIzLjkyNSAxMTE4LjQg&#10;NjU4LjE5MiAxMTIwLjA2IDY5Mi40NTkgMTEyMC41MyA2OTEuMDM0IDExMTguNCA3MDYuNjM2IDEx&#10;MTYuMjggNzIyLjIzOSAxMTE5Ljk1IDc0Ni40NSAxMTE4LjQgNzgyLjc2MyAxMDk4LjA0IDc4NC42&#10;NDMgMTA2Ny44NyA3ODIuMzU1IDEwNDUuNDIgNzgyLjc2MyAxMDIyLjk2IDc4My4xNyA5OTEuNTg4&#10;IDc4MC4xNTYgOTcyLjQyNCA3ODIuNzYzIDk1My4yNjggNzg1LjM3IDkyMS45NSA3ODEuMDQ1IDg5&#10;OS40MzggNzgyLjc2MyA4OTguMTkxIDc2MS41OTIgODk4LjQzOSA3NDAuOTk2IDg5OS40MzggNzEz&#10;LjU1NyA5MDAuNDM3IDY4Ni4xMTcgODk5LjY1NCA2ODIuNTAzIDg5OS40MzggNjU4LjE5MiA4OTku&#10;MjIyIDYzMy44ODEgODk3LjQ0OCA2MTUuMjg0IDg5OS40MzggNjAyLjgyNyA5MDEuNDI4IDU5MC4z&#10;NzEgOTAyLjE2MyA1NTYuNDE0IDg5OS40MzggNTQwLjU0MiA4OTYuNzEzIDUyNC42NjkgODk4Ljcz&#10;NSA0OTguMDE4IDg5OS40MzggNDU3LjQ5NSA5MDAuMTQxIDQxNi45NzIgOTAxLjU4IDQxNC45MSA4&#10;OTkuNDM4IDM4OC4yODkgODk3LjI5NiAzNjEuNjY4IDkwMS4wNzYgMzUyLjUyNyA4OTkuNDM4IDMy&#10;Ni4wMDMgODk3LjggMjk5LjQ4IDkwMS42NiAyOTcuNDQ0IDg5OS40MzggMjc3LjU1OSA4OTcuMjE2&#10;IDI1Ny42NzQgOTAwLjYxMyAyNDAuOTE1IDg5OS40MzggMjI5LjExNSA4OTguMjYzIDIxNy4zMTUg&#10;OTAyLjAyNyAxNzYuMzQ3IDg5OS40MzggMTUyLjk4OCA4OTYuODQ5IDEyOS42MyA4OTguMDk1IDEw&#10;OS4wNjEgODk5LjQzOCA5MC43MDNaIiBmaWxsPSIjRjJGMkYyIiBmaWxsLXJ1bGU9ImV2ZW5vZGQi&#10;IHRyYW5zZm9ybT0ibWF0cml4KDEgMCAwIDEuMDAwODEgLTAuNzk5MTQ1IDEuODAwODIpIi8+PHBh&#10;dGggZD0iTTg5OS40MzggOTAuNzAzQzkzMC44OTIgOTAuMDA5MyA5NDIuODcyIDkyLjU5MyA5NzYu&#10;ODAzIDkwLjcwMyAxMDEwLjczIDg4LjgxMyAxMDIwLjE2IDg5LjQ4OTkgMTA1NC4xOCA5MC43MDMg&#10;MTA4OC4xOCA5MS45MTYxIDEwODguNzQgOTAuMzc2OSAxMTE4LjQgOTAuNzAzIDExMTkuNjcgMTE3&#10;LjA4OCAxMTE2LjY2IDEzOS41MzIgMTExOC40IDE2Ni44MyAxMTIwLjE1IDE5NC4xMjcgMTEyMC43&#10;NSAyMDQuNzk3IDExMTguNCAyMTUuMjc0IDExMTYuMDYgMjI1Ljc1MSAxMTE3LjIxIDI1OC45IDEx&#10;MTguNCAyNzAuNjM5IDExMTkuNTkgMjgyLjM3NyAxMTIxLjUyIDMyOS4wODEgMTExOC40IDM0Ni43&#10;NjUgMTExNS4yOSAzNjQuNDQ5IDExMTkuNDYgMzgwLjE1OSAxMTE4LjQgNDAyLjEzIDExMTcuMzUg&#10;NDI0LjEwMSAxMTE3LjQ1IDQzNi4zNTYgMTExOC40IDQ1MC41NzQgMTExOS4zNSA0NjQuNzkyIDEx&#10;MTcuNCA0ODUuNzQ5IDExMTguNCA1MDUuOTM5IDExMTkuNDEgNTI2LjEyOCAxMTE5LjMzIDUzOS44&#10;MzQgMTExOC40IDU2OC4yMjQgMTExNy40OCA1OTYuNjE1IDExMTkuOTQgNjE3LjcxNyAxMTE4LjQg&#10;NjM3LjQzIDExMTYuODcgNjU3LjE0NCAxMTE4Ljk3IDY3My4yNzYgMTExOC40IDY5Mi43OTUgMTEx&#10;Ny44NCA3MTIuMzE0IDExMTguNjMgNzM4Ljg2MSAxMTE4LjQgNzgyLjc2MyAxMDk1LjkzIDc4Mi4z&#10;MjggMTA3My41NiA3ODIuODQ0IDEwNDUuNDIgNzgyLjc2MyAxMDE3LjI2IDc4Mi42ODEgOTkyLjM0&#10;NyA3ODEuNzY0IDk3Mi40MjQgNzgyLjc2MyA5NTIuNTA5IDc4My43NjIgOTI4LjA1NSA3ODQuNDE2&#10;IDg5OS40MzggNzgyLjc2MyA4OTcuODk2IDc1MC4zMzkgODk5LjEzNCA3NDcuMzMgODk5LjQzOCA3&#10;MTMuNTU3IDg5OS43NDIgNjc5Ljc4NSA4OTkuNTEgNjcyLjEzNiA4OTkuNDM4IDY1MS4yNzEgODk5&#10;LjM2NiA2MzAuNDA3IDg5Ny4yIDYxNC4wNjIgODk5LjQzOCA1ODIuMDY1IDkwMS42NzYgNTUwLjA2&#10;OSA4OTcuMjY0IDUyNi43NDIgODk5LjQzOCA1MDUuOTM5IDkwMS42MTIgNDg1LjEzNiA5MDMuMDU4&#10;IDQ1MC41MTQgODk5LjQzOCA0MjkuODEyIDg5NS44MTggNDA5LjExIDkwMS43MTYgMzczLjUxMyA4&#10;OTkuNDM4IDM1My42ODYgODk3LjE2IDMzMy44NTggOTAzLjE3OCAyOTcuNTEgODk5LjQzOCAyNzAu&#10;NjM5IDg5NS42OTggMjQzLjc2NyA5MDAuMTk3IDIyMS44NTkgODk5LjQzOCAyMDEuNDMzIDg5OC42&#10;NzkgMTgxLjAwNiA4OTYuMzA1IDEzMi4yMDYgODk5LjQzOCA5MC43MDNaIiBzdHJva2U9IiMzNjQy&#10;NEEiIHN0cm9rZS13aWR0aD0iMS45OTc4NiIgc3Ryb2tlLW1pdGVybGltaXQ9IjgiIGZpbGw9Im5v&#10;bmUiIGZpbGwtcnVsZT0iZXZlbm9kZCIgdHJhbnNmb3JtPSJtYXRyaXgoMSAwIDAgMS4wMDA4MSAt&#10;MC43OTkxNDUgMS44MDA4MikiLz48dGV4dCBmb250LWZhbWlseT0iQ2FsaWJyaSxDYWxpYnJpX01T&#10;Rm9udFNlcnZpY2UsQXJpYWwiIGZvbnQtd2VpZ2h0PSI3MDAiIGZvbnQtc2l6ZT0iMTgiIHRyYW5z&#10;Zm9ybT0ibWF0cml4KDAuNzk5MTQ1IDAgMCAwLjc5OTc5NiA0OC4zNDQzIDY3KSI+WUFSTlM8L3Rl&#10;eHQ+PHRleHQgZm9udC1mYW1pbHk9IkNhbGlicmksQ2FsaWJyaV9NU0ZvbnRTZXJ2aWNlLEFyaWFs&#10;IiBmb250LXdlaWdodD0iNzAwIiBmb250LXNpemU9IjE4IiB0cmFuc2Zvcm09Im1hdHJpeCgwLjc5&#10;OTE0NSAwIDAgMC43OTk3OTYgODcuNTAyNCA2NykiPiwgPC90ZXh0Pjx0ZXh0IGZvbnQtZmFtaWx5&#10;PSJDYWxpYnJpLENhbGlicmlfTVNGb250U2VydmljZSxBcmlhbCIgZm9udC13ZWlnaHQ9IjcwMCIg&#10;Zm9udC1zaXplPSIxOCIgdHJhbnNmb3JtPSJtYXRyaXgoMC43OTkxNDUgMCAwIDAuNzk5Nzk2IDk0&#10;LjY5NDcgNjcpIj5JTlRFUlZJRVdTIDwvdGV4dD48dGV4dCBmb250LWZhbWlseT0iQ2FsaWJyaSxD&#10;YWxpYnJpX01TRm9udFNlcnZpY2UsQXJpYWwiIGZvbnQtd2VpZ2h0PSI3MDAiIGZvbnQtc2l6ZT0i&#10;MTgiIHRyYW5zZm9ybT0ibWF0cml4KDAuNzk5MTQ1IDAgMCAwLjc5OTc5NiA1Ni4yNTU4IDgyKSI+&#10;QU5EIFdPUktTSE9QUzwvdGV4dD48dGV4dCBmb250LWZhbWlseT0iQ2FsaWJyaSxDYWxpYnJpX01T&#10;Rm9udFNlcnZpY2UsQXJpYWwiIGZvbnQtd2VpZ2h0PSI3MDAiIGZvbnQtc2l6ZT0iMTgiIHRyYW5z&#10;Zm9ybT0ibWF0cml4KDAuNzk5MTQ1IDAgMCAwLjc5OTc5NiAyOTIuNDEzIDY3KSI+Q1JPU1MgQ1VU&#10;VElORyA8L3RleHQ+PHRleHQgZm9udC1mYW1pbHk9IkNhbGlicmksQ2FsaWJyaV9NU0ZvbnRTZXJ2&#10;aWNlLEFyaWFsIiBmb250LXdlaWdodD0iNzAwIiBmb250LXNpemU9IjE4IiB0cmFuc2Zvcm09Im1h&#10;dHJpeCgwLjc5OTE0NSAwIDAgMC43OTk3OTYgMjg3LjA4NiA4MikiPkNPTExBQk9SQVRJVkVTPC90&#10;ZXh0Pjx0ZXh0IGZvbnQtZmFtaWx5PSJDYWxpYnJpLENhbGlicmlfTVNGb250U2VydmljZSxBcmlh&#10;bCIgZm9udC13ZWlnaHQ9IjcwMCIgZm9udC1zaXplPSIxOCIgdHJhbnNmb3JtPSJtYXRyaXgoMC43&#10;OTkxNDUgMCAwIDAuNzk5Nzk2IDQ3Ny42ODEgNjcpIj5RVUFOVElUQVRJVkUgTUVUSE9EIDwvdGV4&#10;dD48dGV4dCBmb250LWZhbWlseT0iQ2FsaWJyaSxDYWxpYnJpX01TRm9udFNlcnZpY2UsQXJpYWwi&#10;IGZvbnQtd2VpZ2h0PSI3MDAiIGZvbnQtc2l6ZT0iMTgiIHRyYW5zZm9ybT0ibWF0cml4KDAuNzk5&#10;MTQ1IDAgMCAwLjc5OTc5NiA1MTAuNzI2IDgyKSI+QU5EIEFOQUxZU0lTPC90ZXh0Pjx0ZXh0IGZv&#10;bnQtZmFtaWx5PSJDYWxpYnJpLENhbGlicmlfTVNGb250U2VydmljZSxBcmlhbCIgZm9udC13ZWln&#10;aHQ9IjcwMCIgZm9udC1zaXplPSIxOCIgdHJhbnNmb3JtPSJtYXRyaXgoMC43OTkxNDUgMCAwIDAu&#10;Nzk5Nzk2IDcyNS43MjYgNjcpIj5DT05UUklCVVRJT04gPC90ZXh0Pjx0ZXh0IGZvbnQtZmFtaWx5&#10;PSJDYWxpYnJpLENhbGlicmlfTVNGb250U2VydmljZSxBcmlhbCIgZm9udC13ZWlnaHQ9IjcwMCIg&#10;Zm9udC1zaXplPSIxOCIgdHJhbnNmb3JtPSJtYXRyaXgoMC43OTkxNDUgMCAwIDAuNzk5Nzk2IDc0&#10;NS4yODUgODIpIj5BTkFMWVNJUzwvdGV4dD48dGV4dCBmb250LWZhbWlseT0iQ2FsaWJyaSxDYWxp&#10;YnJpX01TRm9udFNlcnZpY2UsQXJpYWwiIGZvbnQtd2VpZ2h0PSI3MDAiIGZvbnQtc2l6ZT0iMTgi&#10;IHRyYW5zZm9ybT0ibWF0cml4KDAuNzk5MTQ1IDAgMCAwLjc5OTc5NiA5MzEuODM1IDY3KSI+U0VO&#10;U0U8L3RleHQ+PHRleHQgZm9udC1mYW1pbHk9IkNhbGlicmksQ2FsaWJyaV9NU0ZvbnRTZXJ2aWNl&#10;LEFyaWFsIiBmb250LXdlaWdodD0iNzAwIiBmb250LXNpemU9IjE4IiB0cmFuc2Zvcm09Im1hdHJp&#10;eCgwLjc5OTE0NSAwIDAgMC43OTk3OTYgOTczLjEyNyA2NykiPi08L3RleHQ+PHRleHQgZm9udC1m&#10;YW1pbHk9IkNhbGlicmksQ2FsaWJyaV9NU0ZvbnRTZXJ2aWNlLEFyaWFsIiBmb250LXdlaWdodD0i&#10;NzAwIiBmb250LXNpemU9IjE4IiB0cmFuc2Zvcm09Im1hdHJpeCgwLjc5OTE0NSAwIDAgMC43OTk3&#10;OTYgOTc4LjI5IDY3KSI+TUFLSU5HIEFORCA8L3RleHQ+PHRleHQgZm9udC1mYW1pbHk9IkNhbGli&#10;cmksQ2FsaWJyaV9NU0ZvbnRTZXJ2aWNlLEFyaWFsIiBmb250LXdlaWdodD0iNzAwIiBmb250LXNp&#10;emU9IjE4IiB0cmFuc2Zvcm09Im1hdHJpeCgwLjc5OTE0NSAwIDAgMC43OTk3OTYgOTMzLjQxOCA4&#10;MikiPkRBVEEgSU5URUdSQVRJT048L3RleHQ+PGcgY2xpcC1wYXRoPSJ1cmwoI2NsaXAxKSI+PGcg&#10;Y2xpcC1wYXRoPSJ1cmwoI2NsaXAyKSI+PGcgY2xpcC1wYXRoPSJ1cmwoI2NsaXAzKSIgdHJhbnNm&#10;b3JtPSJtYXRyaXgoMC42NjU5NTUgMCAwIDAuNjMxNDE4IDExLjY0MTUgMjE3Ljk1MikiPjxnIGNs&#10;aXAtcGF0aD0idXJsKCNjbGlwNSkiPjx1c2Ugd2lkdGg9IjEwMCUiIGhlaWdodD0iMTAwJSIgeGxp&#10;bms6aHJlZj0iI2ltZzQiIHRyYW5zZm9ybT0idHJhbnNsYXRlKDkuMDAzMjFlLTA3IDEuMzIwNTll&#10;LTA1KSI+PC91c2U+PC9nPjwvZz48L2c+PC9nPjx0ZXh0IGZvbnQtZmFtaWx5PSJDYWxpYnJpLENh&#10;bGlicmlfTVNGb250U2VydmljZSxBcmlhbCIgZm9udC13ZWlnaHQ9IjQwMCIgZm9udC1zaXplPSIx&#10;NyIgdHJhbnNmb3JtPSJtYXRyaXgoMC43OTkxNDUgMCAwIDAuNzk5Nzk2IDI5LjYyMjMgMjMwKSI+&#10;WWFybmluZyB3b3Jrc2hvcHMgYW5kIGludGVydmlld3MgPC90ZXh0Pjx0ZXh0IGZvbnQtZmFtaWx5&#10;PSJDYWxpYnJpLENhbGlicmlfTVNGb250U2VydmljZSxBcmlhbCIgZm9udC13ZWlnaHQ9IjQwMCIg&#10;Zm9udC1zaXplPSIxNyIgdHJhbnNmb3JtPSJtYXRyaXgoMC43OTkxNDUgMCAwIDAuNzk5Nzk2IDI5&#10;LjYyMjMgMjQ0KSI+d2l0aCBjb21tdW5pdHkgbWVtYmVycyBhbmQgPC90ZXh0Pjx0ZXh0IGZvbnQt&#10;ZmFtaWx5PSJDYWxpYnJpLENhbGlicmlfTVNGb250U2VydmljZSxBcmlhbCIgZm9udC13ZWlnaHQ9&#10;IjQwMCIgZm9udC1zaXplPSIxNyIgdHJhbnNmb3JtPSJtYXRyaXgoMC43OTkxNDUgMCAwIDAuNzk5&#10;Nzk2IDI5LjYyMjMgMjU5KSI+QWJvcmlnaW5hbCBhbmQgVG9ycmVzIFN0cmFpdCA8L3RleHQ+PHRl&#10;eHQgZm9udC1mYW1pbHk9IkNhbGlicmksQ2FsaWJyaV9NU0ZvbnRTZXJ2aWNlLEFyaWFsIiBmb250&#10;LXdlaWdodD0iNDAwIiBmb250LXNpemU9IjE3IiB0cmFuc2Zvcm09Im1hdHJpeCgwLjc5OTE0NSAw&#10;IDAgMC43OTk3OTYgMjkuNjIyMyAyNzMpIj5Jc2xhbmRlciBoZWFsdGggc3RhZmYgPC90ZXh0Pjxn&#10;IGNsaXAtcGF0aD0idXJsKCNjbGlwNikiPjxnIGNsaXAtcGF0aD0idXJsKCNjbGlwNykiPjxnIGNs&#10;aXAtcGF0aD0idXJsKCNjbGlwOCkiIHRyYW5zZm9ybT0ibWF0cml4KDAuNjY1OTU1IDAgMCAwLjYz&#10;MTQxOCAxMS42NDE1IDI4MC4zMzYpIj48ZyBjbGlwLXBhdGg9InVybCgjY2xpcDkpIj48dXNlIHdp&#10;ZHRoPSIxMDAlIiBoZWlnaHQ9IjEwMCUiIHhsaW5rOmhyZWY9IiNpbWc0IiB0cmFuc2Zvcm09InRy&#10;YW5zbGF0ZSg5LjAwMzIxZS0wNyAtOS44OTI4OWUtMDYpIj48L3VzZT48L2c+PC9nPjwvZz48L2c+&#10;PHRleHQgZm9udC1mYW1pbHk9IkNhbGlicmksQ2FsaWJyaV9NU0ZvbnRTZXJ2aWNlLEFyaWFsIiBm&#10;b250LXdlaWdodD0iNDAwIiBmb250LXNpemU9IjE3IiB0cmFuc2Zvcm09Im1hdHJpeCgwLjc5OTE0&#10;NSAwIDAgMC43OTk3OTYgMjkuNjIyMyAyOTIpIj5TZW1pPC90ZXh0Pjx0ZXh0IGZvbnQtZmFtaWx5&#10;PSJDYWxpYnJpLENhbGlicmlfTVNGb250U2VydmljZSxBcmlhbCIgZm9udC13ZWlnaHQ9IjQwMCIg&#10;Zm9udC1zaXplPSIxNyIgdHJhbnNmb3JtPSJtYXRyaXgoMC43OTkxNDUgMCAwIDAuNzk5Nzk2IDU2&#10;LjA5NCAyOTIpIj4tPC90ZXh0Pjx0ZXh0IGZvbnQtZmFtaWx5PSJDYWxpYnJpLENhbGlicmlfTVNG&#10;b250U2VydmljZSxBcmlhbCIgZm9udC13ZWlnaHQ9IjQwMCIgZm9udC1zaXplPSIxNyIgdHJhbnNm&#10;b3JtPSJtYXRyaXgoMC43OTkxNDUgMCAwIDAuNzk5Nzk2IDYwLjA4OTcgMjkyKSI+c3RydWN0dXJl&#10;ZCBpbnRlcnZpZXdzIHdpdGggPC90ZXh0Pjx0ZXh0IGZvbnQtZmFtaWx5PSJDYWxpYnJpLENhbGli&#10;cmlfTVNGb250U2VydmljZSxBcmlhbCIgZm9udC13ZWlnaHQ9IjQwMCIgZm9udC1zaXplPSIxNyIg&#10;dHJhbnNmb3JtPSJtYXRyaXgoMC43OTkxNDUgMCAwIDAuNzk5Nzk2IDI5LjYyMjMgMzA3KSI+UEhO&#10;PC90ZXh0Pjx0ZXh0IGZvbnQtZmFtaWx5PSJDYWxpYnJpLENhbGlicmlfTVNGb250U2VydmljZSxB&#10;cmlhbCIgZm9udC13ZWlnaHQ9IjQwMCIgZm9udC1zaXplPSIxNyIgdHJhbnNmb3JtPSJtYXRyaXgo&#10;MC43OTkxNDUgMCAwIDAuNzk5Nzk2IDU0LjM5NTggMzA3KSI+LCA8L3RleHQ+PHRleHQgZm9udC1m&#10;YW1pbHk9IkNhbGlicmksQ2FsaWJyaV9NU0ZvbnRTZXJ2aWNlLEFyaWFsIiBmb250LXdlaWdodD0i&#10;NDAwIiBmb250LXNpemU9IjE3IiB0cmFuc2Zvcm09Im1hdHJpeCgwLjc5OTE0NSAwIDAgMC43OTk3&#10;OTYgNjAuNzg5IDMwNykiPkFDQ0hTIHN0YWZmIGFuZCBzdGF0ZTwvdGV4dD48dGV4dCBmb250LWZh&#10;bWlseT0iQ2FsaWJyaSxDYWxpYnJpX01TRm9udFNlcnZpY2UsQXJpYWwiIGZvbnQtd2VpZ2h0PSI0&#10;MDAiIGZvbnQtc2l6ZT0iMTciIHRyYW5zZm9ybT0ibWF0cml4KDAuNzk5MTQ1IDAgMCAwLjc5OTc5&#10;NiAxODEuNDYgMzA3KSI+LCA8L3RleHQ+PHRleHQgZm9udC1mYW1pbHk9IkNhbGlicmksQ2FsaWJy&#10;aV9NU0ZvbnRTZXJ2aWNlLEFyaWFsIiBmb250LXdlaWdodD0iNDAwIiBmb250LXNpemU9IjE3IiB0&#10;cmFuc2Zvcm09Im1hdHJpeCgwLjc5OTE0NSAwIDAgMC43OTk3OTYgMjkuNjIyMyAzMjEpIj50ZXJy&#10;aXRvcnkgYW5kIG5hdGlvbmFsIDwvdGV4dD48dGV4dCBmb250LWZhbWlseT0iQ2FsaWJyaSxDYWxp&#10;YnJpX01TRm9udFNlcnZpY2UsQXJpYWwiIGZvbnQtd2VpZ2h0PSI0MDAiIGZvbnQtc2l6ZT0iMTci&#10;IHRyYW5zZm9ybT0ibWF0cml4KDAuNzk5MTQ1IDAgMCAwLjc5OTc5NiAyOS42MjIzIDMzNSkiPnN0&#10;YWtlaG9sZGVyczwvdGV4dD48ZyBjbGlwLXBhdGg9InVybCgjY2xpcDEwKSI+PGcgY2xpcC1wYXRo&#10;PSJ1cmwoI2NsaXAxMSkiPjxnIGNsaXAtcGF0aD0idXJsKCNjbGlwMTIpIiB0cmFuc2Zvcm09Im1h&#10;dHJpeCgwLjY2NTk1NSAwIDAgMC42MzE0MTggMTEuNjQxNSAzNDMuNTIpIj48ZyBjbGlwLXBhdGg9&#10;InVybCgjY2xpcDEzKSI+PHVzZSB3aWR0aD0iMTAwJSIgaGVpZ2h0PSIxMDAlIiB4bGluazpocmVm&#10;PSIjaW1nNCIgdHJhbnNmb3JtPSJ0cmFuc2xhdGUoOS4wMDMyMWUtMDcgMy45NDc4NWUtMDUpIj48&#10;L3VzZT48L2c+PC9nPjwvZz48L2c+PHRleHQgZm9udC1mYW1pbHk9IkNhbGlicmksQ2FsaWJyaV9N&#10;U0ZvbnRTZXJ2aWNlLEFyaWFsIiBmb250LXdlaWdodD0iNDAwIiBmb250LXNpemU9IjE3IiB0cmFu&#10;c2Zvcm09Im1hdHJpeCgwLjc5OTE0NSAwIDAgMC43OTk3OTYgMjkuNjIyMyAzNTUpIj5JbmRpdmlk&#10;dWFsIHBhdGllbnQgam91cm5leSA8L3RleHQ+PHRleHQgZm9udC1mYW1pbHk9IkNhbGlicmksQ2Fs&#10;aWJyaV9NU0ZvbnRTZXJ2aWNlLEFyaWFsIiBmb250LXdlaWdodD0iNDAwIiBmb250LXNpemU9IjE3&#10;IiB0cmFuc2Zvcm09Im1hdHJpeCgwLjc5OTE0NSAwIDAgMC43OTk3OTYgMjkuNjIyMyAzNzApIj5p&#10;bnRlcnZpZXdzPC90ZXh0PjxnIGNsaXAtcGF0aD0idXJsKCNjbGlwMTQpIj48ZyBjbGlwLXBhdGg9&#10;InVybCgjY2xpcDE1KSI+PGcgY2xpcC1wYXRoPSJ1cmwoI2NsaXAxNikiIHRyYW5zZm9ybT0ibWF0&#10;cml4KDAuNjY1OTU1IDAgMCAwLjYzMTQxOCAxMS42NDE1IDM3Ny45MTEpIj48ZyBjbGlwLXBhdGg9&#10;InVybCgjY2xpcDE3KSI+PHVzZSB3aWR0aD0iMTAwJSIgaGVpZ2h0PSIxMDAlIiB4bGluazpocmVm&#10;PSIjaW1nNCIgdHJhbnNmb3JtPSJ0cmFuc2xhdGUoOS4wMDMyMWUtMDcgLTEuOTgxODllLTA1KSI+&#10;PC91c2U+PC9nPjwvZz48L2c+PC9nPjx0ZXh0IGZvbnQtZmFtaWx5PSJDYWxpYnJpLENhbGlicmlf&#10;TVNGb250U2VydmljZSxBcmlhbCIgZm9udC13ZWlnaHQ9IjQwMCIgZm9udC1zaXplPSIxNyIgdHJh&#10;bnNmb3JtPSJtYXRyaXgoMC43OTkxNDUgMCAwIDAuNzk5Nzk2IDI5LjYyMjMgMzkwKSI+Q29sbGVj&#10;dGl2ZSBBY3Rpb24gZm9yIENoYW5nZSA8L3RleHQ+PHRleHQgZm9udC1mYW1pbHk9IkNhbGlicmks&#10;Q2FsaWJyaV9NU0ZvbnRTZXJ2aWNlLEFyaWFsIiBmb250LXdlaWdodD0iNDAwIiBmb250LXNpemU9&#10;IjE3IiB0cmFuc2Zvcm09Im1hdHJpeCgwLjc5OTE0NSAwIDAgMC43OTk3OTYgMjkuNjIyMyA0MDQp&#10;Ij4oPC90ZXh0Pjx0ZXh0IGZvbnQtZmFtaWx5PSJDYWxpYnJpLENhbGlicmlfTVNGb250U2Vydmlj&#10;ZSxBcmlhbCIgZm9udC13ZWlnaHQ9IjQwMCIgZm9udC1zaXplPSIxNyIgdHJhbnNmb3JtPSJtYXRy&#10;aXgoMC43OTkxNDUgMCAwIDAuNzk5Nzk2IDMzLjYxOCA0MDQpIj5DQTwvdGV4dD48dGV4dCBmb250&#10;LWZhbWlseT0iQ2FsaWJyaSxDYWxpYnJpX01TRm9udFNlcnZpY2UsQXJpYWwiIGZvbnQtd2VpZ2h0&#10;PSI0MDAiIGZvbnQtc2l6ZT0iMTciIHRyYW5zZm9ybT0ibWF0cml4KDAuNzk5MTQ1IDAgMCAwLjc5&#10;OTc5NiA0OC44MDE4IDQwNCkiPjQ8L3RleHQ+PHRleHQgZm9udC1mYW1pbHk9IkNhbGlicmksQ2Fs&#10;aWJyaV9NU0ZvbnRTZXJ2aWNlLEFyaWFsIiBmb250LXdlaWdodD0iNDAwIiBmb250LXNpemU9IjE3&#10;IiB0cmFuc2Zvcm09Im1hdHJpeCgwLjc5OTE0NSAwIDAgMC43OTk3OTYgNTUuOTk0MSA0MDQpIj5D&#10;PC90ZXh0Pjx0ZXh0IGZvbnQtZmFtaWx5PSJDYWxpYnJpLENhbGlicmlfTVNGb250U2VydmljZSxB&#10;cmlhbCIgZm9udC13ZWlnaHQ9IjQwMCIgZm9udC1zaXplPSIxNyIgdHJhbnNmb3JtPSJtYXRyaXgo&#10;MC43OTkxNDUgMCAwIDAuNzk5Nzk2IDYzLjE4NjQgNDA0KSI+KSA8L3RleHQ+PHRleHQgZm9udC1m&#10;YW1pbHk9IkNhbGlicmksQ2FsaWJyaV9NU0ZvbnRTZXJ2aWNlLEFyaWFsIiBmb250LXdlaWdodD0i&#10;NDAwIiBmb250LXNpemU9IjE3IiB0cmFuc2Zvcm09Im1hdHJpeCgwLjc5OTE0NSAwIDAgMC43OTk3&#10;OTYgNzAuMzc4NyA0MDQpIj53b3Jrc2hvcHM8L3RleHQ+PGcgY2xpcC1wYXRoPSJ1cmwoI2NsaXAx&#10;OCkiPjxnIGNsaXAtcGF0aD0idXJsKCNjbGlwMTkpIj48ZyBjbGlwLXBhdGg9InVybCgjY2xpcDIw&#10;KSIgdHJhbnNmb3JtPSJtYXRyaXgoMC42NjU5NTUgMCAwIDAuNjMxNDE4IDExLjY0MTUgNDM3LjA5&#10;NikiPjxnIGNsaXAtcGF0aD0idXJsKCNjbGlwMjEpIj48dXNlIHdpZHRoPSIxMDAlIiBoZWlnaHQ9&#10;IjEwMCUiIHhsaW5rOmhyZWY9IiNpbWc0IiB0cmFuc2Zvcm09InRyYW5zbGF0ZSg5LjAwMzIxZS0w&#10;NyAtMS4xMDQ4OWUtMDUpIj48L3VzZT48L2c+PC9nPjwvZz48L2c+PHRleHQgZm9udC1mYW1pbHk9&#10;IkNhbGlicmksQ2FsaWJyaV9NU0ZvbnRTZXJ2aWNlLEFyaWFsIiBmb250LXdlaWdodD0iNDAwIiBm&#10;b250LXNpemU9IjE3IiB0cmFuc2Zvcm09Im1hdHJpeCgwLjc5OTE0NSAwIDAgMC43OTk3OTYgMjku&#10;NjIyMyA0NDkpIj5TY2hlbWEgYW5hbHlzaXMgdG8gdW5kZXJzdGFuZCA8L3RleHQ+PHRleHQgZm9u&#10;dC1mYW1pbHk9IkNhbGlicmksQ2FsaWJyaV9NU0ZvbnRTZXJ2aWNlLEFyaWFsIiBmb250LXdlaWdo&#10;dD0iNDAwIiBmb250LXNpemU9IjE3IiB0cmFuc2Zvcm09Im1hdHJpeCgwLjc5OTE0NSAwIDAgMC43&#10;OTk3OTYgMjkuNjIyMyA0NjMpIj52YWx1ZXM8L3RleHQ+PHRleHQgZm9udC1mYW1pbHk9IkNhbGli&#10;cmksQ2FsaWJyaV9NU0ZvbnRTZXJ2aWNlLEFyaWFsIiBmb250LXdlaWdodD0iNDAwIiBmb250LXNp&#10;emU9IjE3IiB0cmFuc2Zvcm09Im1hdHJpeCgwLjc5OTE0NSAwIDAgMC43OTk3OTYgNjQuNzg0NyA0&#10;NjMpIj4sIDwvdGV4dD48dGV4dCBmb250LWZhbWlseT0iQ2FsaWJyaSxDYWxpYnJpX01TRm9udFNl&#10;cnZpY2UsQXJpYWwiIGZvbnQtd2VpZ2h0PSI0MDAiIGZvbnQtc2l6ZT0iMTciIHRyYW5zZm9ybT0i&#10;bWF0cml4KDAuNzk5MTQ1IDAgMCAwLjc5OTc5NiA3MS4xNzc5IDQ2MykiPmluY2x1ZGluZyB0aGUg&#10;ZGV2ZWxvcG1lbnQgPC90ZXh0Pjx0ZXh0IGZvbnQtZmFtaWx5PSJDYWxpYnJpLENhbGlicmlfTVNG&#10;b250U2VydmljZSxBcmlhbCIgZm9udC13ZWlnaHQ9IjQwMCIgZm9udC1zaXplPSIxNyIgdHJhbnNm&#10;b3JtPSJtYXRyaXgoMC43OTkxNDUgMCAwIDAuNzk5Nzk2IDI5LjYyMjMgNDc4KSI+b2YgPC90ZXh0&#10;Pjx0ZXh0IGZvbnQtZmFtaWx5PSJDYWxpYnJpLENhbGlicmlfTVNGb250U2VydmljZSxBcmlhbCIg&#10;Zm9udC13ZWlnaHQ9IjQwMCIgZm9udC1zaXplPSIxNyIgdHJhbnNmb3JtPSJtYXRyaXgoMC43OTkx&#10;NDUgMCAwIDAuNzk5Nzk2IDQzLjYwNzQgNDc4KSI+QmFidW55PC90ZXh0Pjx0ZXh0IGZvbnQtZmFt&#10;aWx5PSJDYWxpYnJpLENhbGlicmlfTVNGb250U2VydmljZSxBcmlhbCIgZm9udC13ZWlnaHQ9IjQw&#10;MCIgZm9udC1zaXplPSIxNyIgdHJhbnNmb3JtPSJtYXRyaXgoMC43OTkxNDUgMCAwIDAuNzk5Nzk2&#10;IDg3LjIyNzUgNDc4KSI+dHJlZSBmcmFtZXdvcms8L3RleHQ+PGcgY2xpcC1wYXRoPSJ1cmwoI2Ns&#10;aXAyMikiPjxnIGNsaXAtcGF0aD0idXJsKCNjbGlwMjMpIj48ZyBjbGlwLXBhdGg9InVybCgjY2xp&#10;cDI0KSIgdHJhbnNmb3JtPSJtYXRyaXgoMC42NjU5NTUgMCAwIDAuNjMxNDE4IDExLjY0MTUgNDg1&#10;LjA4NCkiPjxnIGNsaXAtcGF0aD0idXJsKCNjbGlwMjUpIj48dXNlIHdpZHRoPSIxMDAlIiBoZWln&#10;aHQ9IjEwMCUiIHhsaW5rOmhyZWY9IiNpbWc0IiB0cmFuc2Zvcm09InRyYW5zbGF0ZSg5LjAwMzIx&#10;ZS0wNyAzLjA3MDc3ZS0wNikiPjwvdXNlPjwvZz48L2c+PC9nPjwvZz48dGV4dCBmb250LWZhbWls&#10;eT0iQ2FsaWJyaSxDYWxpYnJpX01TRm9udFNlcnZpY2UsQXJpYWwiIGZvbnQtd2VpZ2h0PSI0MDAi&#10;IGZvbnQtc2l6ZT0iMTciIHRyYW5zZm9ybT0ibWF0cml4KDAuNzk5MTQ1IDAgMCAwLjc5OTc5NiAy&#10;OS42MjIzIDQ5NykiPkdyb3VuZGVkIHRoZW9yeSBhbmFseXNpcyB0byA8L3RleHQ+PHRleHQgZm9u&#10;dC1mYW1pbHk9IkNhbGlicmksQ2FsaWJyaV9NU0ZvbnRTZXJ2aWNlLEFyaWFsIiBmb250LXdlaWdo&#10;dD0iNDAwIiBmb250LXNpemU9IjE3IiB0cmFuc2Zvcm09Im1hdHJpeCgwLjc5OTE0NSAwIDAgMC43&#10;OTk3OTYgMjkuNjIyMyA1MTEpIj51bmRlcnN0YW5kIGV4cGVyaWVuY2VzPC90ZXh0PjxnIGNsaXAt&#10;cGF0aD0idXJsKCNjbGlwMjYpIj48ZyBjbGlwLXBhdGg9InVybCgjY2xpcDI3KSI+PGcgY2xpcC1w&#10;YXRoPSJ1cmwoI2NsaXAyOCkiIHRyYW5zZm9ybT0ibWF0cml4KDAuNjY1OTU1IDAgMCAwLjYzMTQx&#10;OCAxMS42NDE1IDUxOS40NzUpIj48ZyBjbGlwLXBhdGg9InVybCgjY2xpcDI5KSI+PHVzZSB3aWR0&#10;aD0iMTAwJSIgaGVpZ2h0PSIxMDAlIiB4bGluazpocmVmPSIjaW1nNCIgdHJhbnNmb3JtPSJ0cmFu&#10;c2xhdGUoOS4wMDMyMWUtMDcgMS43NTExOWUtMDUpIj48L3VzZT48L2c+PC9nPjwvZz48L2c+PHRl&#10;eHQgZm9udC1mYW1pbHk9IkNhbGlicmksQ2FsaWJyaV9NU0ZvbnRTZXJ2aWNlLEFyaWFsIiBmb250&#10;LXdlaWdodD0iNDAwIiBmb250LXNpemU9IjE3IiB0cmFuc2Zvcm09Im1hdHJpeCgwLjc5OTE0NSAw&#10;IDAgMC43OTk3OTYgMjkuNjIyMyA1MzEpIj5Db250ZW50IGFuZCB0aGVtYXRpYyBhbmFseXNpcyB0&#10;byA8L3RleHQ+PHRleHQgZm9udC1mYW1pbHk9IkNhbGlicmksQ2FsaWJyaV9NU0ZvbnRTZXJ2aWNl&#10;LEFyaWFsIiBmb250LXdlaWdodD0iNDAwIiBmb250LXNpemU9IjE3IiB0cmFuc2Zvcm09Im1hdHJp&#10;eCgwLjc5OTE0NSAwIDAgMC43OTk3OTYgMjkuNjIyMyA1NDYpIj5zdW1tYXJpc2U8L3RleHQ+PHRl&#10;eHQgZm9udC1mYW1pbHk9IkNhbGlicmksQ2FsaWJyaV9NU0ZvbnRTZXJ2aWNlLEFyaWFsIiBmb250&#10;LXdlaWdodD0iNDAwIiBmb250LXNpemU9IjE3IiB0cmFuc2Zvcm09Im1hdHJpeCgwLjc5OTE0NSAw&#10;IDAgMC43OTk3OTYgOTEuODg4OSA1NDYpIj5oaWdoPC90ZXh0Pjx0ZXh0IGZvbnQtZmFtaWx5PSJD&#10;YWxpYnJpLENhbGlicmlfTVNGb250U2VydmljZSxBcmlhbCIgZm9udC13ZWlnaHQ9IjQwMCIgZm9u&#10;dC1zaXplPSIxNyIgdHJhbnNmb3JtPSJtYXRyaXgoMC43OTkxNDUgMCAwIDAuNzk5Nzk2IDExNS4x&#10;OTggNTQ2KSI+LTwvdGV4dD48dGV4dCBmb250LWZhbWlseT0iQ2FsaWJyaSxDYWxpYnJpX01TRm9u&#10;dFNlcnZpY2UsQXJpYWwiIGZvbnQtd2VpZ2h0PSI0MDAiIGZvbnQtc2l6ZT0iMTciIHRyYW5zZm9y&#10;bT0ibWF0cml4KDAuNzk5MTQ1IDAgMCAwLjc5OTc5NiAxMTkuMTkzIDU0NikiPmxldmVsIGZpbmRp&#10;bmdzIGFuZCA8L3RleHQ+PHRleHQgZm9udC1mYW1pbHk9IkNhbGlicmksQ2FsaWJyaV9NU0ZvbnRT&#10;ZXJ2aWNlLEFyaWFsIiBmb250LXdlaWdodD0iNDAwIiBmb250LXNpemU9IjE3IiB0cmFuc2Zvcm09&#10;Im1hdHJpeCgwLjc5OTE0NSAwIDAgMC43OTk3OTYgMjkuNjIyMyA1NjApIj51bmRlcnN0YW5kIHRo&#10;ZSBkaWZmZXJlbmNlIElBSFAgaXMgPC90ZXh0Pjx0ZXh0IGZvbnQtZmFtaWx5PSJDYWxpYnJpLENh&#10;bGlicmlfTVNGb250U2VydmljZSxBcmlhbCIgZm9udC13ZWlnaHQ9IjQwMCIgZm9udC1zaXplPSIx&#10;NyIgdHJhbnNmb3JtPSJtYXRyaXgoMC43OTkxNDUgMCAwIDAuNzk5Nzk2IDI5LjYyMjMgNTc0KSI+&#10;bWFraW5nPC90ZXh0PjxnIGNsaXAtcGF0aD0idXJsKCNjbGlwMzApIj48ZyBjbGlwLXBhdGg9InVy&#10;bCgjY2xpcDMxKSI+PGcgY2xpcC1wYXRoPSJ1cmwoI2NsaXAzMikiIHRyYW5zZm9ybT0ibWF0cml4&#10;KDAuNjY1OTU1IDAgMCAwLjYzMTQxOCAxMS42NDE1IDU4Mi42NTkpIj48ZyBjbGlwLXBhdGg9InVy&#10;bCgjY2xpcDMzKSI+PHVzZSB3aWR0aD0iMTAwJSIgaGVpZ2h0PSIxMDAlIiB4bGluazpocmVmPSIj&#10;aW1nNCIgdHJhbnNmb3JtPSJ0cmFuc2xhdGUoOS4wMDMyMWUtMDcgLTYuODU1MjJlLTA2KSI+PC91&#10;c2U+PC9nPjwvZz48L2c+PC9nPjx0ZXh0IGZvbnQtZmFtaWx5PSJDYWxpYnJpLENhbGlicmlfTVNG&#10;b250U2VydmljZSxBcmlhbCIgZm9udC13ZWlnaHQ9IjQwMCIgZm9udC1zaXplPSIxNyIgdHJhbnNm&#10;b3JtPSJtYXRyaXgoMC43OTkxNDUgMCAwIDAuNzk5Nzk2IDI5LjYyMjMgNTk0KSI+RGV2ZWxvcG1l&#10;bnQgb2YgZnVuZGluZyBhbmQgPC90ZXh0Pjx0ZXh0IGZvbnQtZmFtaWx5PSJDYWxpYnJpLENhbGli&#10;cmlfTVNGb250U2VydmljZSxBcmlhbCIgZm9udC13ZWlnaHQ9IjQwMCIgZm9udC1zaXplPSIxNyIg&#10;dHJhbnNmb3JtPSJtYXRyaXgoMC43OTkxNDUgMCAwIDAuNzk5Nzk2IDI5LjYyMjMgNjA5KSI+cmVw&#10;b3J0aW5nIHByb2ZpbGVzIGludm9sdmluZyBzaXggPC90ZXh0Pjx0ZXh0IGZvbnQtZmFtaWx5PSJD&#10;YWxpYnJpLENhbGlicmlfTVNGb250U2VydmljZSxBcmlhbCIgZm9udC13ZWlnaHQ9IjQwMCIgZm9u&#10;dC1zaXplPSIxNyIgdHJhbnNmb3JtPSJtYXRyaXgoMC43OTkxNDUgMCAwIDAuNzk5Nzk2IDI5LjYy&#10;MjMgNjIzKSI+QUNDSFNzPC90ZXh0Pjx0ZXh0IGZvbnQtZmFtaWx5PSJDYWxpYnJpLENhbGlicmlf&#10;TVNGb250U2VydmljZSxBcmlhbCIgZm9udC13ZWlnaHQ9IjQwMCIgZm9udC1zaXplPSIxNyIgdHJh&#10;bnNmb3JtPSJtYXRyaXgoMC43OTkxNDUgMCAwIDAuNzk5Nzk2IDcyLjc3NjIgNjIzKSI+LiA8L3Rl&#10;eHQ+PGcgY2xpcC1wYXRoPSJ1cmwoI2NsaXAzNCkiPjxnIGNsaXAtcGF0aD0idXJsKCNjbGlwMzUp&#10;Ij48ZyBjbGlwLXBhdGg9InVybCgjY2xpcDM2KSIgdHJhbnNmb3JtPSJtYXRyaXgoMC42NjU5NTUg&#10;MCAwIDAuNjMxNDE4IDIzNC4xNyAyMTcuOTUyKSI+PGcgY2xpcC1wYXRoPSJ1cmwoI2NsaXAzNyki&#10;Pjx1c2Ugd2lkdGg9IjEwMCUiIGhlaWdodD0iMTAwJSIgeGxpbms6aHJlZj0iI2ltZzQiIHRyYW5z&#10;Zm9ybT0idHJhbnNsYXRlKDcuOTY5NzNlLTA2IDEuMzIwNTllLTA1KSI+PC91c2U+PC9nPjwvZz48&#10;L2c+PC9nPjx0ZXh0IGZpbGw9IiNGRkZGRkYiIGZvbnQtZmFtaWx5PSJDYWxpYnJpLENhbGlicmlf&#10;TVNGb250U2VydmljZSxBcmlhbCIgZm9udC13ZWlnaHQ9IjcwMCIgZm9udC1zaXplPSIxNyIgdHJh&#10;bnNmb3JtPSJtYXRyaXgoMC43OTkxNDUgMCAwIDAuNzk5Nzk2IDI1Mi4xNTEgMjMwKSI+Q09MTEFC&#10;T1JBVElWRTwvdGV4dD48dGV4dCBmaWxsPSIjRkZGRkZGIiBmb250LWZhbWlseT0iQ2FsaWJyaSxD&#10;YWxpYnJpX01TRm9udFNlcnZpY2UsQXJpYWwiIGZvbnQtd2VpZ2h0PSI3MDAiIGZvbnQtc2l6ZT0i&#10;MTciIHRyYW5zZm9ybT0ibWF0cml4KDAuNzk5MTQ1IDAgMCAwLjc5OTc5NiAzNDYuODgzIDIzMCki&#10;PjE8L3RleHQ+PHRleHQgZmlsbD0iI0ZGRkZGRiIgZm9udC1mYW1pbHk9IkNhbGlicmksQ2FsaWJy&#10;aV9NU0ZvbnRTZXJ2aWNlLEFyaWFsIiBmb250LXdlaWdodD0iNDAwIiBmb250LXNpemU9IjE3IiB0&#10;cmFuc2Zvcm09Im1hdHJpeCgwLjc5OTE0NSAwIDAgMC43OTk3OTYgMzUzLjcwOSAyMzApIj46IDwv&#10;dGV4dD48dGV4dCBmaWxsPSIjRkZGRkZGIiBmb250LWZhbWlseT0iQ2FsaWJyaSxDYWxpYnJpX01T&#10;Rm9udFNlcnZpY2UsQXJpYWwiIGZvbnQtd2VpZ2h0PSI0MDAiIGZvbnQtc2l6ZT0iMTciIHRyYW5z&#10;Zm9ybT0ibWF0cml4KDAuNzk5MTQ1IDAgMCAwLjc5OTc5NiAzNjAuOTAxIDIzMCkiPkFib3JpZ2lu&#10;YWwgPC90ZXh0Pjx0ZXh0IGZpbGw9IiNGRkZGRkYiIGZvbnQtZmFtaWx5PSJDYWxpYnJpLENhbGli&#10;cmlfTVNGb250U2VydmljZSxBcmlhbCIgZm9udC13ZWlnaHQ9IjQwMCIgZm9udC1zaXplPSIxNyIg&#10;dHJhbnNmb3JtPSJtYXRyaXgoMC43OTkxNDUgMCAwIDAuNzk5Nzk2IDI1Mi4xNTEgMjQ0KSI+YW5k&#10;IFRvcnJlcyBTdHJhaXQgSXNsYW5kZXIgUEhDIDwvdGV4dD48dGV4dCBmaWxsPSIjRkZGRkZGIiBm&#10;b250LWZhbWlseT0iQ2FsaWJyaSxDYWxpYnJpX01TRm9udFNlcnZpY2UsQXJpYWwiIGZvbnQtd2Vp&#10;Z2h0PSI0MDAiIGZvbnQtc2l6ZT0iMTciIHRyYW5zZm9ybT0ibWF0cml4KDAuNzk5MTQ1IDAgMCAw&#10;Ljc5OTc5NiAyNTIuMTUxIDI1OSkiPnN5c3RlbTwvdGV4dD48dGV4dCBmaWxsPSIjRkZGRkZGIiBm&#10;b250LWZhbWlseT0iQ2FsaWJyaSxDYWxpYnJpX01TRm9udFNlcnZpY2UsQXJpYWwiIGZvbnQtd2Vp&#10;Z2h0PSI0MDAiIGZvbnQtc2l6ZT0iMTciIHRyYW5zZm9ybT0ibWF0cml4KDAuNzk5MTQ1IDAgMCAw&#10;Ljc5OTc5NiAyOTIuMTA4IDI1OSkiPuKAmTwvdGV4dD48dGV4dCBmaWxsPSIjRkZGRkZGIiBmb250&#10;LWZhbWlseT0iQ2FsaWJyaSxDYWxpYnJpX01TRm9udFNlcnZpY2UsQXJpYWwiIGZvbnQtd2VpZ2h0&#10;PSI0MDAiIGZvbnQtc2l6ZT0iMTciIHRyYW5zZm9ybT0ibWF0cml4KDAuNzk5MTQ1IDAgMCAwLjc5&#10;OTc5NiAyOTUuMzA1IDI1OSkiPnMgIGluaXRpYWwgIHJlc3BvbnNlICB0bzwvdGV4dD48dGV4dCBm&#10;aWxsPSIjRkZGRkZGIiBmb250LWZhbWlseT0iQ2FsaWJyaSxDYWxpYnJpX01TRm9udFNlcnZpY2Us&#10;QXJpYWwiIGZvbnQtd2VpZ2h0PSI0MDAiIGZvbnQtc2l6ZT0iMTciIHRyYW5zZm9ybT0ibWF0cml4&#10;KDAuNzk5MTQ1IDAgMCAwLjc5OTc5NiAyNTIuMTUxIDI3MykiPkNvdmlkPC90ZXh0Pjx0ZXh0IGZp&#10;bGw9IiNGRkZGRkYiIGZvbnQtZmFtaWx5PSJDYWxpYnJpLENhbGlicmlfTVNGb250U2VydmljZSxB&#10;cmlhbCIgZm9udC13ZWlnaHQ9IjQwMCIgZm9udC1zaXplPSIxNyIgdHJhbnNmb3JtPSJtYXRyaXgo&#10;MC43OTkxNDUgMCAwIDAuNzk5Nzk2IDI4Mi4yODUgMjczKSI+LTwvdGV4dD48dGV4dCBmaWxsPSIj&#10;RkZGRkZGIiBmb250LWZhbWlseT0iQ2FsaWJyaSxDYWxpYnJpX01TRm9udFNlcnZpY2UsQXJpYWwi&#10;IGZvbnQtd2VpZ2h0PSI0MDAiIGZvbnQtc2l6ZT0iMTciIHRyYW5zZm9ybT0ibWF0cml4KDAuNzk5&#10;MTQ1IDAgMCAwLjc5OTc5NiAyODYuMjgxIDI3MykiPjE5PC90ZXh0PjxnIGNsaXAtcGF0aD0idXJs&#10;KCNjbGlwMzgpIj48ZyBjbGlwLXBhdGg9InVybCgjY2xpcDM5KSI+PGcgY2xpcC1wYXRoPSJ1cmwo&#10;I2NsaXA0MCkiIHRyYW5zZm9ybT0ibWF0cml4KDAuNjY1OTU1IDAgMCAwLjYzMTQxOCAyMzQuMTcg&#10;MjgwLjMzNikiPjxnIGNsaXAtcGF0aD0idXJsKCNjbGlwNDEpIj48dXNlIHdpZHRoPSIxMDAlIiBo&#10;ZWlnaHQ9IjEwMCUiIHhsaW5rOmhyZWY9IiNpbWc0IiB0cmFuc2Zvcm09InRyYW5zbGF0ZSg3Ljk2&#10;OTczZS0wNiAtOS44OTI4OWUtMDYpIj48L3VzZT48L2c+PC9nPjwvZz48L2c+PHRleHQgZmlsbD0i&#10;I0ZGRkZGRiIgZm9udC1mYW1pbHk9IkNhbGlicmksQ2FsaWJyaV9NU0ZvbnRTZXJ2aWNlLEFyaWFs&#10;IiBmb250LXdlaWdodD0iNzAwIiBmb250LXNpemU9IjE3IiB0cmFuc2Zvcm09Im1hdHJpeCgwLjc5&#10;OTE0NSAwIDAgMC43OTk3OTYgMjUyLjE1MSAyOTIpIj5DT0xMQUJPUkFUSVZFPC90ZXh0Pjx0ZXh0&#10;IGZpbGw9IiNGRkZGRkYiIGZvbnQtZmFtaWx5PSJDYWxpYnJpLENhbGlicmlfTVNGb250U2Vydmlj&#10;ZSxBcmlhbCIgZm9udC13ZWlnaHQ9IjcwMCIgZm9udC1zaXplPSIxNyIgdHJhbnNmb3JtPSJtYXRy&#10;aXgoMC43OTkxNDUgMCAwIDAuNzk5Nzk2IDM0Ni44ODMgMjkyKSI+MjwvdGV4dD48dGV4dCBmaWxs&#10;PSIjRkZGRkZGIiBmb250LWZhbWlseT0iQ2FsaWJyaSxDYWxpYnJpX01TRm9udFNlcnZpY2UsQXJp&#10;YWwiIGZvbnQtd2VpZ2h0PSI0MDAiIGZvbnQtc2l6ZT0iMTciIHRyYW5zZm9ybT0ibWF0cml4KDAu&#10;Nzk5MTQ1IDAgMCAwLjc5OTc5NiAzNTMuNzA5IDI5MikiPjogPC90ZXh0Pjx0ZXh0IGZpbGw9IiNG&#10;RkZGRkYiIGZvbnQtZmFtaWx5PSJDYWxpYnJpLENhbGlicmlfTVNGb250U2VydmljZSxBcmlhbCIg&#10;Zm9udC13ZWlnaHQ9IjQwMCIgZm9udC1zaXplPSIxNyIgdHJhbnNmb3JtPSJtYXRyaXgoMC43OTkx&#10;NDUgMCAwIDAuNzk5Nzk2IDM2MC45MDEgMjkyKSI+QWJvcmlnaW5hbCA8L3RleHQ+PHRleHQgZmls&#10;bD0iI0ZGRkZGRiIgZm9udC1mYW1pbHk9IkNhbGlicmksQ2FsaWJyaV9NU0ZvbnRTZXJ2aWNlLEFy&#10;aWFsIiBmb250LXdlaWdodD0iNDAwIiBmb250LXNpemU9IjE3IiB0cmFuc2Zvcm09Im1hdHJpeCgw&#10;Ljc5OTE0NSAwIDAgMC43OTk3OTYgMjUyLjE1MSAzMDcpIj5hbmQgVG9ycmVzIFN0cmFpdCBJc2xh&#10;bmRlciBIZWFsdGggPC90ZXh0Pjx0ZXh0IGZpbGw9IiNGRkZGRkYiIGZvbnQtZmFtaWx5PSJDYWxp&#10;YnJpLENhbGlicmlfTVNGb250U2VydmljZSxBcmlhbCIgZm9udC13ZWlnaHQ9IjQwMCIgZm9udC1z&#10;aXplPSIxNyIgdHJhbnNmb3JtPSJtYXRyaXgoMC43OTkxNDUgMCAwIDAuNzk5Nzk2IDI1Mi4xNTEg&#10;MzIxKSI+V29ya2VycyBhbmQgUHJhY3RpdGlvbmVycyA8L3RleHQ+PHRleHQgZmlsbD0iI0ZGRkZG&#10;RiIgZm9udC1mYW1pbHk9IkNhbGlicmksQ2FsaWJyaV9NU0ZvbnRTZXJ2aWNlLEFyaWFsIiBmb250&#10;LXdlaWdodD0iNDAwIiBmb250LXNpemU9IjE3IiB0cmFuc2Zvcm09Im1hdHJpeCgwLjc5OTE0NSAw&#10;IDAgMC43OTk3OTYgMjUyLjE1MSAzMzUpIj50cmFpbmluZyBwaXBlbGluZTwvdGV4dD48ZyBjbGlw&#10;LXBhdGg9InVybCgjY2xpcDQyKSI+PGcgY2xpcC1wYXRoPSJ1cmwoI2NsaXA0MykiPjxnIGNsaXAt&#10;cGF0aD0idXJsKCNjbGlwNDQpIiB0cmFuc2Zvcm09Im1hdHJpeCgwLjY2NTk1NSAwIDAgMC42MzE0&#10;MTggMjM0LjE3IDM0My41MikiPjxnIGNsaXAtcGF0aD0idXJsKCNjbGlwNDUpIj48dXNlIHdpZHRo&#10;PSIxMDAlIiBoZWlnaHQ9IjEwMCUiIHhsaW5rOmhyZWY9IiNpbWc0IiB0cmFuc2Zvcm09InRyYW5z&#10;bGF0ZSg3Ljk2OTczZS0wNiAzLjk0Nzg1ZS0wNSkiPjwvdXNlPjwvZz48L2c+PC9nPjwvZz48dGV4&#10;dCBmaWxsPSIjRkZGRkZGIiBmb250LWZhbWlseT0iQ2FsaWJyaSxDYWxpYnJpX01TRm9udFNlcnZp&#10;Y2UsQXJpYWwiIGZvbnQtd2VpZ2h0PSI3MDAiIGZvbnQtc2l6ZT0iMTciIHRyYW5zZm9ybT0ibWF0&#10;cml4KDAuNzk5MTQ1IDAgMCAwLjc5OTc5NiAyNTIuMTUxIDM1NSkiPkNPTExBQk9SQVRJVkU8L3Rl&#10;eHQ+PHRleHQgZmlsbD0iI0ZGRkZGRiIgZm9udC1mYW1pbHk9IkNhbGlicmksQ2FsaWJyaV9NU0Zv&#10;bnRTZXJ2aWNlLEFyaWFsIiBmb250LXdlaWdodD0iNzAwIiBmb250LXNpemU9IjE3IiB0cmFuc2Zv&#10;cm09Im1hdHJpeCgwLjc5OTE0NSAwIDAgMC43OTk3OTYgMzQ2Ljg4MyAzNTUpIj4zPC90ZXh0Pjx0&#10;ZXh0IGZpbGw9IiNGRkZGRkYiIGZvbnQtZmFtaWx5PSJDYWxpYnJpLENhbGlicmlfTVNGb250U2Vy&#10;dmljZSxBcmlhbCIgZm9udC13ZWlnaHQ9IjQwMCIgZm9udC1zaXplPSIxNyIgdHJhbnNmb3JtPSJt&#10;YXRyaXgoMC43OTkxNDUgMCAwIDAuNzk5Nzk2IDM1My43MDkgMzU1KSI+OiA8L3RleHQ+PHRleHQg&#10;ZmlsbD0iI0ZGRkZGRiIgZm9udC1mYW1pbHk9IkNhbGlicmksQ2FsaWJyaV9NU0ZvbnRTZXJ2aWNl&#10;LEFyaWFsIiBmb250LXdlaWdodD0iNDAwIiBmb250LXNpemU9IjE3IiB0cmFuc2Zvcm09Im1hdHJp&#10;eCgwLjc5OTE0NSAwIDAgMC43OTk3OTYgMzYwLjkwMSAzNTUpIj5BZGFwdGluZyBhbmQgPC90ZXh0&#10;Pjx0ZXh0IGZpbGw9IiNGRkZGRkYiIGZvbnQtZmFtaWx5PSJDYWxpYnJpLENhbGlicmlfTVNGb250&#10;U2VydmljZSxBcmlhbCIgZm9udC13ZWlnaHQ9IjQwMCIgZm9udC1zaXplPSIxNyIgdHJhbnNmb3Jt&#10;PSJtYXRyaXgoMC43OTkxNDUgMCAwIDAuNzk5Nzk2IDI1Mi4xNTEgMzcwKSI+dmFsaWRhdGluZyBh&#10;IHRvb2wgdG8gaWRlbnRpZnk8L3RleHQ+PHRleHQgZmlsbD0iI0ZGRkZGRiIgZm9udC1mYW1pbHk9&#10;IkNhbGlicmksQ2FsaWJyaV9NU0ZvbnRTZXJ2aWNlLEFyaWFsIiBmb250LXdlaWdodD0iNDAwIiBm&#10;b250LXNpemU9IjE3IiB0cmFuc2Zvcm09Im1hdHJpeCgwLjc5OTE0NSAwIDAgMC43OTk3OTYgNDAw&#10;Ljc5MiAzNzApIj4sIDwvdGV4dD48dGV4dCBmaWxsPSIjRkZGRkZGIiBmb250LWZhbWlseT0iQ2Fs&#10;aWJyaSxDYWxpYnJpX01TRm9udFNlcnZpY2UsQXJpYWwiIGZvbnQtd2VpZ2h0PSI0MDAiIGZvbnQt&#10;c2l6ZT0iMTciIHRyYW5zZm9ybT0ibWF0cml4KDAuNzk5MTQ1IDAgMCAwLjc5OTc5NiAyNTIuMTUx&#10;IDM4NCkiPm1lYXN1cmU8L3RleHQ+PHRleHQgZmlsbD0iI0ZGRkZGRiIgZm9udC1mYW1pbHk9IkNh&#10;bGlicmksQ2FsaWJyaV9NU0ZvbnRTZXJ2aWNlLEFyaWFsIiBmb250LXdlaWdodD0iNDAwIiBmb250&#10;LXNpemU9IjE3IiB0cmFuc2Zvcm09Im1hdHJpeCgwLjc5OTE0NSAwIDAgMC43OTk3OTYgMzAwLjEg&#10;Mzg0KSI+LCA8L3RleHQ+PHRleHQgZmlsbD0iI0ZGRkZGRiIgZm9udC1mYW1pbHk9IkNhbGlicmks&#10;Q2FsaWJyaV9NU0ZvbnRTZXJ2aWNlLEFyaWFsIiBmb250LXdlaWdodD0iNDAwIiBmb250LXNpemU9&#10;IjE3IiB0cmFuc2Zvcm09Im1hdHJpeCgwLjc5OTE0NSAwIDAgMC43OTk3OTYgMzA2LjQ5MyAzODQp&#10;Ij5hbmQgbW9uaXRvciA8L3RleHQ+PHRleHQgZmlsbD0iI0ZGRkZGRiIgZm9udC1mYW1pbHk9IkNh&#10;bGlicmksQ2FsaWJyaV9NU0ZvbnRTZXJ2aWNlLEFyaWFsIiBmb250LXdlaWdodD0iNDAwIiBmb250&#10;LXNpemU9IjE3IiB0cmFuc2Zvcm09Im1hdHJpeCgwLjc5OTE0NSAwIDAgMC43OTk3OTYgMjUyLjE1&#10;MSAzOTgpIj5pbnN0aXR1dGlvbmFsIHJhY2lzbSBpbiBQSE5zPC90ZXh0PjxnIGNsaXAtcGF0aD0i&#10;dXJsKCNjbGlwNDYpIj48ZyBjbGlwLXBhdGg9InVybCgjY2xpcDQ3KSI+PGcgY2xpcC1wYXRoPSJ1&#10;cmwoI2NsaXA0OCkiIHRyYW5zZm9ybT0ibWF0cml4KDAuNjY1OTU1IDAgMCAwLjYzMTQxOCAyMzQu&#10;MTcgNDA2LjcwNCkiPjxnIGNsaXAtcGF0aD0idXJsKCNjbGlwNDkpIj48dXNlIHdpZHRoPSIxMDAl&#10;IiBoZWlnaHQ9IjEwMCUiIHhsaW5rOmhyZWY9IiNpbWc0IiB0cmFuc2Zvcm09InRyYW5zbGF0ZSg3&#10;Ljk2OTczZS0wNiAyLjc4MTQ3ZS0wNSkiPjwvdXNlPjwvZz48L2c+PC9nPjwvZz48dGV4dCBmaWxs&#10;PSIjRkZGRkZGIiBmb250LWZhbWlseT0iQ2FsaWJyaSxDYWxpYnJpX01TRm9udFNlcnZpY2UsQXJp&#10;YWwiIGZvbnQtd2VpZ2h0PSI3MDAiIGZvbnQtc2l6ZT0iMTciIHRyYW5zZm9ybT0ibWF0cml4KDAu&#10;Nzk5MTQ1IDAgMCAwLjc5OTc5NiAyNTIuMTUxIDQxOCkiPkNPTExBQk9SQVRJVkU8L3RleHQ+PHRl&#10;eHQgZmlsbD0iI0ZGRkZGRiIgZm9udC1mYW1pbHk9IkNhbGlicmksQ2FsaWJyaV9NU0ZvbnRTZXJ2&#10;aWNlLEFyaWFsIiBmb250LXdlaWdodD0iNzAwIiBmb250LXNpemU9IjE3IiB0cmFuc2Zvcm09Im1h&#10;dHJpeCgwLjc5OTE0NSAwIDAgMC43OTk3OTYgMzQ2Ljg4MyA0MTgpIj40PC90ZXh0Pjx0ZXh0IGZp&#10;bGw9IiNGRkZGRkYiIGZvbnQtZmFtaWx5PSJDYWxpYnJpLENhbGlicmlfTVNGb250U2VydmljZSxB&#10;cmlhbCIgZm9udC13ZWlnaHQ9IjQwMCIgZm9udC1zaXplPSIxNyIgdHJhbnNmb3JtPSJtYXRyaXgo&#10;MC43OTkxNDUgMCAwIDAuNzk5Nzk2IDM1My43MDkgNDE4KSI+OiA8L3RleHQ+PHRleHQgZmlsbD0i&#10;I0ZGRkZGRiIgZm9udC1mYW1pbHk9IkNhbGlicmksQ2FsaWJyaV9NU0ZvbnRTZXJ2aWNlLEFyaWFs&#10;IiBmb250LXdlaWdodD0iNDAwIiBmb250LXNpemU9IjE3IiB0cmFuc2Zvcm09Im1hdHJpeCgwLjc5&#10;OTE0NSAwIDAgMC43OTk3OTYgMjUyLjE1MSA0MzMpIj5VbmRlcnN0YW5kaW5nIGhlYWx0aCBuZWVk&#10;czwvdGV4dD48ZyBjbGlwLXBhdGg9InVybCgjY2xpcDUwKSI+PGcgY2xpcC1wYXRoPSJ1cmwoI2Ns&#10;aXA1MSkiPjxnIGNsaXAtcGF0aD0idXJsKCNjbGlwNTIpIiB0cmFuc2Zvcm09Im1hdHJpeCgwLjY2&#10;NTk1NSAwIDAgMC42MzE0MTggMjM0LjE3IDQ0MC4yOTUpIj48ZyBjbGlwLXBhdGg9InVybCgjY2xp&#10;cDUzKSI+PHVzZSB3aWR0aD0iMTAwJSIgaGVpZ2h0PSIxMDAlIiB4bGluazpocmVmPSIjaW1nNCIg&#10;dHJhbnNmb3JtPSJ0cmFuc2xhdGUoNy45Njk3M2UtMDYgMS4xNzY1OGUtMDUpIj48L3VzZT48L2c+&#10;PC9nPjwvZz48L2c+PHRleHQgZmlsbD0iI0ZGRkZGRiIgZm9udC1mYW1pbHk9IkNhbGlicmksQ2Fs&#10;aWJyaV9NU0ZvbnRTZXJ2aWNlLEFyaWFsIiBmb250LXdlaWdodD0iNzAwIiBmb250LXNpemU9IjE3&#10;IiB0cmFuc2Zvcm09Im1hdHJpeCgwLjc5OTE0NSAwIDAgMC43OTk3OTYgMjUyLjE1MSA0NTIpIj5D&#10;T0xMQUJPUkFUSVZFIDwvdGV4dD48dGV4dCBmaWxsPSIjRkZGRkZGIiBmb250LWZhbWlseT0iQ2Fs&#10;aWJyaSxDYWxpYnJpX01TRm9udFNlcnZpY2UsQXJpYWwiIGZvbnQtd2VpZ2h0PSI3MDAiIGZvbnQt&#10;c2l6ZT0iMTciIHRyYW5zZm9ybT0ibWF0cml4KDAuNzk5MTQ1IDAgMCAwLjc5OTc5NiAzNDYuODgz&#10;IDQ1MikiPjU8L3RleHQ+PHRleHQgZmlsbD0iI0ZGRkZGRiIgZm9udC1mYW1pbHk9IkNhbGlicmks&#10;Q2FsaWJyaV9NU0ZvbnRTZXJ2aWNlLEFyaWFsIiBmb250LXdlaWdodD0iNDAwIiBmb250LXNpemU9&#10;IjE3IiB0cmFuc2Zvcm09Im1hdHJpeCgwLjc5OTE0NSAwIDAgMC43OTk3OTYgMzU1LjIwNyA0NTIp&#10;Ij46IDwvdGV4dD48dGV4dCBmaWxsPSIjRkZGRkZGIiBmb250LWZhbWlseT0iQ2FsaWJyaSxDYWxp&#10;YnJpX01TRm9udFNlcnZpY2UsQXJpYWwiIGZvbnQtd2VpZ2h0PSI0MDAiIGZvbnQtc2l6ZT0iMTci&#10;IHRyYW5zZm9ybT0ibWF0cml4KDAuNzk5MTQ1IDAgMCAwLjc5OTc5NiAzNjEuNyA0NTIpIj5JbXBy&#10;b3ZpbmcgPC90ZXh0Pjx0ZXh0IGZpbGw9IiNGRkZGRkYiIGZvbnQtZmFtaWx5PSJDYWxpYnJpLENh&#10;bGlicmlfTVNGb250U2VydmljZSxBcmlhbCIgZm9udC13ZWlnaHQ9IjQwMCIgZm9udC1zaXplPSIx&#10;NyIgdHJhbnNmb3JtPSJtYXRyaXgoMC43OTkxNDUgMCAwIDAuNzk5Nzk2IDI1Mi4xNTEgNDY2KSI+&#10;UEhDIGRhdGEgZW52aXJvbm1lbnQ8L3RleHQ+PGcgY2xpcC1wYXRoPSJ1cmwoI2NsaXA1NCkiPjxn&#10;IGNsaXAtcGF0aD0idXJsKCNjbGlwNTUpIj48ZyBjbGlwLXBhdGg9InVybCgjY2xpcDU2KSIgdHJh&#10;bnNmb3JtPSJtYXRyaXgoMC42NjU5NTUgMCAwIDAuNjMxNDE4IDIzNC4xNyA0NzQuNjg2KSI+PGcg&#10;Y2xpcC1wYXRoPSJ1cmwoI2NsaXA1NykiPjx1c2Ugd2lkdGg9IjEwMCUiIGhlaWdodD0iMTAwJSIg&#10;eGxpbms6aHJlZj0iI2ltZzQiIHRyYW5zZm9ybT0idHJhbnNsYXRlKDcuOTY5NzNlLTA2IDIuNjIw&#10;N2UtMDUpIj48L3VzZT48L2c+PC9nPjwvZz48L2c+PHRleHQgZmlsbD0iI0ZGRkZGRiIgZm9udC1m&#10;YW1pbHk9IkNhbGlicmksQ2FsaWJyaV9NU0ZvbnRTZXJ2aWNlLEFyaWFsIiBmb250LXdlaWdodD0i&#10;NDAwIiBmb250LXNpemU9IjE3IiB0cmFuc2Zvcm09Im1hdHJpeCgwLjc5OTE0NSAwIDAgMC43OTk3&#10;OTYgMjUyLjE1MSA0ODYpIj5SZXNlYXJjaCBwcm9qZWN0IG9uIEludGVncmF0ZWQgPC90ZXh0Pjx0&#10;ZXh0IGZpbGw9IiNGRkZGRkYiIGZvbnQtZmFtaWx5PSJDYWxpYnJpLENhbGlicmlfTVNGb250U2Vy&#10;dmljZSxBcmlhbCIgZm9udC13ZWlnaHQ9IjQwMCIgZm9udC1zaXplPSIxNyIgdHJhbnNmb3JtPSJt&#10;YXRyaXgoMC43OTkxNDUgMCAwIDAuNzk5Nzk2IDI1Mi4xNTEgNTAxKSI+Q2FyZTwvdGV4dD48ZyBj&#10;bGlwLXBhdGg9InVybCgjY2xpcDU4KSI+PGcgY2xpcC1wYXRoPSJ1cmwoI2NsaXA1OSkiPjxnIGNs&#10;aXAtcGF0aD0idXJsKCNjbGlwNjApIiB0cmFuc2Zvcm09Im1hdHJpeCgwLjY2NTk1NSAwIDAgMC42&#10;MzE0MTggMjM0LjE3IDUzMy44NzEpIj48ZyBjbGlwLXBhdGg9InVybCgjY2xpcDYxKSI+PHVzZSB3&#10;aWR0aD0iMTAwJSIgaGVpZ2h0PSIxMDAlIiB4bGluazpocmVmPSIjaW1nNCIgdHJhbnNmb3JtPSJ0&#10;cmFuc2xhdGUoNy45Njk3M2UtMDYgMi4yMjczN2UtMDUpIj48L3VzZT48L2c+PC9nPjwvZz48L2c+&#10;PHRleHQgZmlsbD0iI0ZGRkZGRiIgZm9udC1mYW1pbHk9IkNhbGlicmksQ2FsaWJyaV9NU0ZvbnRT&#10;ZXJ2aWNlLEFyaWFsIiBmb250LXdlaWdodD0iNDAwIiBmb250LXNpemU9IjE3IiB0cmFuc2Zvcm09&#10;Im1hdHJpeCgwLjc5OTE0NSAwIDAgMC43OTk3OTYgMjUyLjE1MSA1NDYpIj5TaXR1YXRpb25hbCBh&#10;bmFseXNpczwvdGV4dD48ZyBjbGlwLXBhdGg9InVybCgjY2xpcDYyKSI+PGcgY2xpcC1wYXRoPSJ1&#10;cmwoI2NsaXA2MykiPjxnIGNsaXAtcGF0aD0idXJsKCNjbGlwNjQpIiB0cmFuc2Zvcm09Im1hdHJp&#10;eCgwLjY2NTk1NSAwIDAgMC42MzE0MTggMjM0LjE3IDU1My44NjYpIj48ZyBjbGlwLXBhdGg9InVy&#10;bCgjY2xpcDY1KSI+PHVzZSB3aWR0aD0iMTAwJSIgaGVpZ2h0PSIxMDAlIiB4bGluazpocmVmPSIj&#10;aW1nNCIgdHJhbnNmb3JtPSJ0cmFuc2xhdGUoNy45Njk3M2UtMDYgMS45MjQ5N2UtMDUpIj48L3Vz&#10;ZT48L2c+PC9nPjwvZz48L2c+PHRleHQgZmlsbD0iI0ZGRkZGRiIgZm9udC1mYW1pbHk9IkNhbGli&#10;cmksQ2FsaWJyaV9NU0ZvbnRTZXJ2aWNlLEFyaWFsIiBmb250LXdlaWdodD0iNDAwIiBmb250LXNp&#10;emU9IjE3IiB0cmFuc2Zvcm09Im1hdHJpeCgwLjc5OTE0NSAwIDAgMC43OTk3OTYgMjUyLjE1MSA1&#10;NjYpIj5Eb2N1bWVudCBhbmFseXNpczwvdGV4dD48ZyBjbGlwLXBhdGg9InVybCgjY2xpcDY2KSI+&#10;PGcgY2xpcC1wYXRoPSJ1cmwoI2NsaXA2NykiPjxnIGNsaXAtcGF0aD0idXJsKCNjbGlwNjgpIiB0&#10;cmFuc2Zvcm09Im1hdHJpeCgwLjY2NTk1NSAwIDAgMC42MzE0MTggMjM0LjE3IDU3My4wNjEpIj48&#10;ZyBjbGlwLXBhdGg9InVybCgjY2xpcDY5KSI+PHVzZSB3aWR0aD0iMTAwJSIgaGVpZ2h0PSIxMDAl&#10;IiB4bGluazpocmVmPSIjaW1nNCIgdHJhbnNmb3JtPSJ0cmFuc2xhdGUoNy45Njk3M2UtMDYgLTEu&#10;NTYwODRlLTA2KSI+PC91c2U+PC9nPjwvZz48L2c+PC9nPjx0ZXh0IGZpbGw9IiNGRkZGRkYiIGZv&#10;bnQtZmFtaWx5PSJDYWxpYnJpLENhbGlicmlfTVNGb250U2VydmljZSxBcmlhbCIgZm9udC13ZWln&#10;aHQ9IjQwMCIgZm9udC1zaXplPSIxNyIgdHJhbnNmb3JtPSJtYXRyaXgoMC43OTkxNDUgMCAwIDAu&#10;Nzk5Nzk2IDI1Mi4xNTEgNTg1KSI+R3JvdW5kZWQgdGhlb3J5IGFuYWx5c2lzPC90ZXh0PjxnIGNs&#10;aXAtcGF0aD0idXJsKCNjbGlwNzApIj48ZyBjbGlwLXBhdGg9InVybCgjY2xpcDcxKSI+PGcgY2xp&#10;cC1wYXRoPSJ1cmwoI2NsaXA3MikiIHRyYW5zZm9ybT0ibWF0cml4KDAuNjY1OTU1IDAgMCAwLjYz&#10;MTQxOCAyMzQuMTcgNTkzLjA1NikiPjxnIGNsaXAtcGF0aD0idXJsKCNjbGlwNzMpIj48dXNlIHdp&#10;ZHRoPSIxMDAlIiBoZWlnaHQ9IjEwMCUiIHhsaW5rOmhyZWY9IiNpbWc0IiB0cmFuc2Zvcm09InRy&#10;YW5zbGF0ZSg3Ljk2OTczZS0wNiAzLjEwNDM3ZS0wNSkiPjwvdXNlPjwvZz48L2c+PC9nPjwvZz48&#10;dGV4dCBmaWxsPSIjRkZGRkZGIiBmb250LWZhbWlseT0iQ2FsaWJyaSxDYWxpYnJpX01TRm9udFNl&#10;cnZpY2UsQXJpYWwiIGZvbnQtd2VpZ2h0PSI0MDAiIGZvbnQtc2l6ZT0iMTciIHRyYW5zZm9ybT0i&#10;bWF0cml4KDAuNzk5MTQ1IDAgMCAwLjc5OTc5NiAyNTIuMTUxIDYwNSkiPkNvbnRlbnQgYW5hbHlz&#10;aXMgdG8gc3VtbWFyaWVzPC90ZXh0PjxnIGNsaXAtcGF0aD0idXJsKCNjbGlwNzQpIj48ZyBjbGlw&#10;LXBhdGg9InVybCgjY2xpcDc1KSI+PGcgY2xpcC1wYXRoPSJ1cmwoI2NsaXA3NikiIHRyYW5zZm9y&#10;bT0ibWF0cml4KDAuNjY1OTU1IDAgMCAwLjYzMTQxOCAyMzQuMTcgNjEzLjA1MSkiPjxnIGNsaXAt&#10;cGF0aD0idXJsKCNjbGlwNzcpIj48dXNlIHdpZHRoPSIxMDAlIiBoZWlnaHQ9IjEwMCUiIHhsaW5r&#10;OmhyZWY9IiNpbWc0IiB0cmFuc2Zvcm09InRyYW5zbGF0ZSg3Ljk2OTczZS0wNiAyLjgwMTk4ZS0w&#10;NSkiPjwvdXNlPjwvZz48L2c+PC9nPjwvZz48dGV4dCBmaWxsPSIjRkZGRkZGIiBmb250LWZhbWls&#10;eT0iQ2FsaWJyaSxDYWxpYnJpX01TRm9udFNlcnZpY2UsQXJpYWwiIGZvbnQtd2VpZ2h0PSI0MDAi&#10;IGZvbnQtc2l6ZT0iMTciIHRyYW5zZm9ybT0ibWF0cml4KDAuNzk5MTQ1IDAgMCAwLjc5OTc5NiAy&#10;NTIuMTUxIDYyNSkiPkF1ZGl0aW5nIG9mIFBITiBwdWJsaWNseSBhdmFpbGFibGUgPC90ZXh0Pjx0&#10;ZXh0IGZpbGw9IiNGRkZGRkYiIGZvbnQtZmFtaWx5PSJDYWxpYnJpLENhbGlicmlfTVNGb250U2Vy&#10;dmljZSxBcmlhbCIgZm9udC13ZWlnaHQ9IjQwMCIgZm9udC1zaXplPSIxNyIgdHJhbnNmb3JtPSJt&#10;YXRyaXgoMC43OTkxNDUgMCAwIDAuNzk5Nzk2IDI1Mi4xNTEgNjM5KSI+aW5mb3JtYXRpb24gPC90&#10;ZXh0PjxnIGNsaXAtcGF0aD0idXJsKCNjbGlwNzgpIj48ZyBjbGlwLXBhdGg9InVybCgjY2xpcDc5&#10;KSI+PGcgY2xpcC1wYXRoPSJ1cmwoI2NsaXA4MCkiIHRyYW5zZm9ybT0ibWF0cml4KDAuNjQ5MzA1&#10;IDAgMCAwLjcwNTcwMiA0NTcuOTMxIDIxNy45NTIpIj48ZyBjbGlwLXBhdGg9InVybCgjY2xpcDgy&#10;KSI+PHVzZSB3aWR0aD0iMTAwJSIgaGVpZ2h0PSIxMDAlIiB4bGluazpocmVmPSIjaW1nODEiIHRy&#10;YW5zZm9ybT0idHJhbnNsYXRlKDMuMDg3NDllLTA1IDEuODI0MzRlLTA1KSI+PC91c2U+PC9nPjwv&#10;Zz48L2c+PC9nPjx0ZXh0IGZvbnQtZmFtaWx5PSJDYWxpYnJpLENhbGlicmlfTVNGb250U2Vydmlj&#10;ZSxBcmlhbCIgZm9udC13ZWlnaHQ9IjQwMCIgZm9udC1zaXplPSIxNyIgdHJhbnNmb3JtPSJtYXRy&#10;aXgoMC43OTkxNDUgMCAwIDAuNzk5Nzk2IDQ3NS45MTIgMjMwKSI+RGF0YSBGZWFzaWJpbGl0eSBB&#10;c3Nlc3NtZW50IDwvdGV4dD48dGV4dCBmb250LWZhbWlseT0iQ2FsaWJyaSxDYWxpYnJpX01TRm9u&#10;dFNlcnZpY2UsQXJpYWwiIGZvbnQtd2VpZ2h0PSI0MDAiIGZvbnQtc2l6ZT0iMTciIHRyYW5zZm9y&#10;bT0ibWF0cml4KDAuNzk5MTQ1IDAgMCAwLjc5OTc5NiA2MzMuMzQzIDIzMCkiPig8L3RleHQ+PHRl&#10;eHQgZm9udC1mYW1pbHk9IkNhbGlicmksQ2FsaWJyaV9NU0ZvbnRTZXJ2aWNlLEFyaWFsIiBmb250&#10;LXdlaWdodD0iNDAwIiBmb250LXNpemU9IjE3IiB0cmFuc2Zvcm09Im1hdHJpeCgwLjc5OTE0NSAw&#10;IDAgMC43OTk3OTYgNjM3LjMzOSAyMzApIj5ERkE8L3RleHQ+PHRleHQgZm9udC1mYW1pbHk9IkNh&#10;bGlicmksQ2FsaWJyaV9NU0ZvbnRTZXJ2aWNlLEFyaWFsIiBmb250LXdlaWdodD0iNDAwIiBmb250&#10;LXNpemU9IjE3IiB0cmFuc2Zvcm09Im1hdHJpeCgwLjc5OTE0NSAwIDAgMC43OTk3OTYgNjU4Ljkx&#10;NiAyMzApIj4pPC90ZXh0PjxnIGNsaXAtcGF0aD0idXJsKCNjbGlwODMpIj48ZyBjbGlwLXBhdGg9&#10;InVybCgjY2xpcDg0KSI+PGcgY2xpcC1wYXRoPSJ1cmwoI2NsaXA4NSkiIHRyYW5zZm9ybT0ibWF0&#10;cml4KDAuNjQ5MzA1IDAgMCAwLjcwNTcwMiA0NTcuOTMxIDIzNy4xNDcpIj48ZyBjbGlwLXBhdGg9&#10;InVybCgjY2xpcDg2KSI+PHVzZSB3aWR0aD0iMTAwJSIgaGVpZ2h0PSIxMDAlIiB4bGluazpocmVm&#10;PSIjaW1nODEiIHRyYW5zZm9ybT0idHJhbnNsYXRlKDMuMDg3NDllLTA1IC0yLjM3MTEyZS0wNSki&#10;PjwvdXNlPjwvZz48L2c+PC9nPjwvZz48dGV4dCBmb250LWZhbWlseT0iQ2FsaWJyaSxDYWxpYnJp&#10;X01TRm9udFNlcnZpY2UsQXJpYWwiIGZvbnQtd2VpZ2h0PSI0MDAiIGZvbnQtc2l6ZT0iMTciIHRy&#10;YW5zZm9ybT0ibWF0cml4KDAuNzk5MTQ1IDAgMCAwLjc5OTc5NiA0NzUuOTEyIDI0OSkiPkRhdGEg&#10;U2VsZWN0aW9uIGFuZCBFeHRyYWN0aW9uIDwvdGV4dD48dGV4dCBmb250LWZhbWlseT0iQ2FsaWJy&#10;aSxDYWxpYnJpX01TRm9udFNlcnZpY2UsQXJpYWwiIGZvbnQtd2VpZ2h0PSI0MDAiIGZvbnQtc2l6&#10;ZT0iMTciIHRyYW5zZm9ybT0ibWF0cml4KDAuNzk5MTQ1IDAgMCAwLjc5OTc5NiA0NzUuOTEyIDI2&#10;MykiPkFuYWx5c2lzIDwvdGV4dD48dGV4dCBmb250LWZhbWlseT0iQ2FsaWJyaSxDYWxpYnJpX01T&#10;Rm9udFNlcnZpY2UsQXJpYWwiIGZvbnQtd2VpZ2h0PSI0MDAiIGZvbnQtc2l6ZT0iMTciIHRyYW5z&#10;Zm9ybT0ibWF0cml4KDAuNzk5MTQ1IDAgMCAwLjc5OTc5NiA1MjQuNjYgMjYzKSI+KDwvdGV4dD48&#10;dGV4dCBmb250LWZhbWlseT0iQ2FsaWJyaSxDYWxpYnJpX01TRm9udFNlcnZpY2UsQXJpYWwiIGZv&#10;bnQtd2VpZ2h0PSI0MDAiIGZvbnQtc2l6ZT0iMTciIHRyYW5zZm9ybT0ibWF0cml4KDAuNzk5MTQ1&#10;IDAgMCAwLjc5OTc5NiA1MjguNjU1IDI2MykiPkRTRUE8L3RleHQ+PHRleHQgZm9udC1mYW1pbHk9&#10;IkNhbGlicmksQ2FsaWJyaV9NU0ZvbnRTZXJ2aWNlLEFyaWFsIiBmb250LXdlaWdodD0iNDAwIiBm&#10;b250LXNpemU9IjE3IiB0cmFuc2Zvcm09Im1hdHJpeCgwLjc5OTE0NSAwIDAgMC43OTk3OTYgNTU3&#10;LjQyNSAyNjMpIj4pPC90ZXh0Pjx0ZXh0IGZvbnQtZmFtaWx5PSJDYWxpYnJpLENhbGlicmlfTVNG&#10;b250U2VydmljZSxBcmlhbCIgZm9udC13ZWlnaHQ9IjQwMCIgZm9udC1zaXplPSIxNyIgdHJhbnNm&#10;b3JtPSJtYXRyaXgoMC43OTkxNDUgMCAwIDAuNzk5Nzk2IDU2MS40MiAyNjMpIj4sIDwvdGV4dD48&#10;dGV4dCBmb250LWZhbWlseT0iQ2FsaWJyaSxDYWxpYnJpX01TRm9udFNlcnZpY2UsQXJpYWwiIGZv&#10;bnQtd2VpZ2h0PSI0MDAiIGZvbnQtc2l6ZT0iMTciIHRyYW5zZm9ybT0ibWF0cml4KDAuNzk5MTQ1&#10;IDAgMCAwLjc5OTc5NiA1NjcuODE0IDI2MykiPmluY2w8L3RleHQ+PHRleHQgZm9udC1mYW1pbHk9&#10;IkNhbGlicmksQ2FsaWJyaV9NU0ZvbnRTZXJ2aWNlLEFyaWFsIiBmb250LXdlaWdodD0iNDAwIiBm&#10;b250LXNpemU9IjE3IiB0cmFuc2Zvcm09Im1hdHJpeCgwLjc5OTE0NSAwIDAgMC43OTk3OTYgNTg2&#10;Ljk5MyAyNjMpIj4uIDwvdGV4dD48dGV4dCBmb250LWZhbWlseT0iQ2FsaWJyaSxDYWxpYnJpX01T&#10;Rm9udFNlcnZpY2UsQXJpYWwiIGZvbnQtd2VpZ2h0PSI0MDAiIGZvbnQtc2l6ZT0iMTciIHRyYW5z&#10;Zm9ybT0ibWF0cml4KDAuNzk5MTQ1IDAgMCAwLjc5OTc5NiA1OTMuMzg2IDI2MykiPktFUSA8L3Rl&#10;eHQ+PHRleHQgZm9udC1mYW1pbHk9IkNhbGlicmksQ2FsaWJyaV9NU0ZvbnRTZXJ2aWNlLEFyaWFs&#10;IiBmb250LXdlaWdodD0iNDAwIiBmb250LXNpemU9IjE3IiB0cmFuc2Zvcm09Im1hdHJpeCgwLjc5&#10;OTE0NSAwIDAgMC43OTk3OTYgNDc1LjkxMiAyNzgpIj5tYXBwaW5nIGFuZCBkYXRhIGluZGljYXRv&#10;ciA8L3RleHQ+PHRleHQgZm9udC1mYW1pbHk9IkNhbGlicmksQ2FsaWJyaV9NU0ZvbnRTZXJ2aWNl&#10;LEFyaWFsIiBmb250LXdlaWdodD0iNDAwIiBmb250LXNpemU9IjE3IiB0cmFuc2Zvcm09Im1hdHJp&#10;eCgwLjc5OTE0NSAwIDAgMC43OTk3OTYgNDc1LjkxMiAyOTIpIj5pZGVudGlmaWNhdGlvbjwvdGV4&#10;dD48ZyBjbGlwLXBhdGg9InVybCgjY2xpcDg3KSI+PGcgY2xpcC1wYXRoPSJ1cmwoI2NsaXA4OCki&#10;PjxnIGNsaXAtcGF0aD0idXJsKCNjbGlwODkpIiB0cmFuc2Zvcm09Im1hdHJpeCgwLjY0OTMwNSAw&#10;IDAgMC43MDU3MDIgNDU3LjkzMSAzMDAuMzMxKSI+PGcgY2xpcC1wYXRoPSJ1cmwoI2NsaXA5MCki&#10;Pjx1c2Ugd2lkdGg9IjEwMCUiIGhlaWdodD0iMTAwJSIgeGxpbms6aHJlZj0iI2ltZzgxIiB0cmFu&#10;c2Zvcm09InRyYW5zbGF0ZSgzLjA4NzQ5ZS0wNSAtMi4zNDA5NGUtMDYpIj48L3VzZT48L2c+PC9n&#10;PjwvZz48L2c+PHRleHQgZm9udC1mYW1pbHk9IkNhbGlicmksQ2FsaWJyaV9NU0ZvbnRTZXJ2aWNl&#10;LEFyaWFsIiBmb250LXdlaWdodD0iNDAwIiBmb250LXNpemU9IjE3IiB0cmFuc2Zvcm09Im1hdHJp&#10;eCgwLjc5OTE0NSAwIDAgMC43OTk3OTYgNDc1LjkxMiAzMTIpIj5TdWJtaXNzaW9uIG9mIGRhdGEg&#10;cmVxdWVzdHMgdG8gPC90ZXh0Pjx0ZXh0IGZvbnQtZmFtaWx5PSJDYWxpYnJpLENhbGlicmlfTVNG&#10;b250U2VydmljZSxBcmlhbCIgZm9udC13ZWlnaHQ9IjQwMCIgZm9udC1zaXplPSIxNyIgdHJhbnNm&#10;b3JtPSJtYXRyaXgoMC43OTkxNDUgMCAwIDAuNzk5Nzk2IDQ3NS45MTIgMzI3KSI+ZGF0YSBjdXN0&#10;b2RpYW5zPC90ZXh0PjxnIGNsaXAtcGF0aD0idXJsKCNjbGlwOTEpIj48ZyBjbGlwLXBhdGg9InVy&#10;bCgjY2xpcDkyKSI+PGcgY2xpcC1wYXRoPSJ1cmwoI2NsaXA5MykiIHRyYW5zZm9ybT0ibWF0cml4&#10;KDAuNjQ5MzA1IDAgMCAwLjcwNTcwMiA0NTcuOTMxIDMzNC43MjIpIj48ZyBjbGlwLXBhdGg9InVy&#10;bCgjY2xpcDk0KSI+PHVzZSB3aWR0aD0iMTAwJSIgaGVpZ2h0PSIxMDAlIiB4bGluazpocmVmPSIj&#10;aW1nODEiIHRyYW5zZm9ybT0idHJhbnNsYXRlKDMuMDg3NDllLTA1IC0yLjQ4NTA1ZS0wNSkiPjwv&#10;dXNlPjwvZz48L2c+PC9nPjwvZz48dGV4dCBmb250LWZhbWlseT0iQ2FsaWJyaSxDYWxpYnJpX01T&#10;Rm9udFNlcnZpY2UsQXJpYWwiIGZvbnQtd2VpZ2h0PSI0MDAiIGZvbnQtc2l6ZT0iMTciIHRyYW5z&#10;Zm9ybT0ibWF0cml4KDAuNzk5MTQ1IDAgMCAwLjc5OTc5NiA0NzUuOTEyIDM0NykiPkhhcnZlc3Rp&#10;bmcgb2YgcHVibGljbHkgYXZhaWxhYmxlIDwvdGV4dD48dGV4dCBmb250LWZhbWlseT0iQ2FsaWJy&#10;aSxDYWxpYnJpX01TRm9udFNlcnZpY2UsQXJpYWwiIGZvbnQtd2VpZ2h0PSI0MDAiIGZvbnQtc2l6&#10;ZT0iMTciIHRyYW5zZm9ybT0ibWF0cml4KDAuNzk5MTQ1IDAgMCAwLjc5OTc5NiA0NzUuOTEyIDM2&#10;MSkiPmRhdGEgZnJvbSBmaXZlIGRhdGEgc291cmNlczwvdGV4dD48ZyBjbGlwLXBhdGg9InVybCgj&#10;Y2xpcDk1KSI+PGcgY2xpcC1wYXRoPSJ1cmwoI2NsaXA5NikiPjxnIGNsaXAtcGF0aD0idXJsKCNj&#10;bGlwOTcpIiB0cmFuc2Zvcm09Im1hdHJpeCgwLjY0OTMwNSAwIDAgMC43MDU3MDIgNDU3LjkzMSAz&#10;NjguMzE0KSI+PGcgY2xpcC1wYXRoPSJ1cmwoI2NsaXA5OCkiPjx1c2Ugd2lkdGg9IjEwMCUiIGhl&#10;aWdodD0iMTAwJSIgeGxpbms6aHJlZj0iI2ltZzgxIiB0cmFuc2Zvcm09InRyYW5zbGF0ZSgzLjA4&#10;NzQ5ZS0wNSAxLjE3MjIzZS0wNSkiPjwvdXNlPjwvZz48L2c+PC9nPjwvZz48dGV4dCBmb250LWZh&#10;bWlseT0iQ2FsaWJyaSxDYWxpYnJpX01TRm9udFNlcnZpY2UsQXJpYWwiIGZvbnQtd2VpZ2h0PSI0&#10;MDAiIGZvbnQtc2l6ZT0iMTciIHRyYW5zZm9ybT0ibWF0cml4KDAuNzk5MTQ1IDAgMCAwLjc5OTc5&#10;NiA0NzUuOTEyIDM4MCkiPklBSFAgZnVuZGluZyBkYXRhIHJlcXVlc3RzPC90ZXh0PjxnIGNsaXAt&#10;cGF0aD0idXJsKCNjbGlwOTkpIj48ZyBjbGlwLXBhdGg9InVybCgjY2xpcDEwMCkiPjxnIGNsaXAt&#10;cGF0aD0idXJsKCNjbGlwMTAxKSIgdHJhbnNmb3JtPSJtYXRyaXgoMC42NDkzMDUgMCAwIDAuNzA1&#10;NzAyIDQ1Ny45MzEgMzg4LjMwOSkiPjxnIGNsaXAtcGF0aD0idXJsKCNjbGlwMTAyKSI+PHVzZSB3&#10;aWR0aD0iMTAwJSIgaGVpZ2h0PSIxMDAlIiB4bGluazpocmVmPSIjaW1nODEiIHRyYW5zZm9ybT0i&#10;dHJhbnNsYXRlKDMuMDg3NDllLTA1IC0xLjU1NTI3ZS0wNSkiPjwvdXNlPjwvZz48L2c+PC9nPjwv&#10;Zz48dGV4dCBmb250LWZhbWlseT0iQ2FsaWJyaSxDYWxpYnJpX01TRm9udFNlcnZpY2UsQXJpYWwi&#10;IGZvbnQtd2VpZ2h0PSI0MDAiIGZvbnQtc2l6ZT0iMTciIHRyYW5zZm9ybT0ibWF0cml4KDAuNzk5&#10;MTQ1IDAgMCAwLjc5OTc5NiA0NzUuOTEyIDQwMCkiPkhhcnZlc3Rpbmcgb2YgSUFIUCBmdW5kaW5n&#10;IGRhdGEgPC90ZXh0Pjx0ZXh0IGZvbnQtZmFtaWx5PSJDYWxpYnJpLENhbGlicmlfTVNGb250U2Vy&#10;dmljZSxBcmlhbCIgZm9udC13ZWlnaHQ9IjQwMCIgZm9udC1zaXplPSIxNyIgdHJhbnNmb3JtPSJt&#10;YXRyaXgoMC43OTkxNDUgMCAwIDAuNzk5Nzk2IDQ3NS45MTIgNDE0KSI+ZnJvbSBzaXRlIHBhcnRu&#10;ZXJzIGFuZCBwdWJsaWMgPC90ZXh0Pjx0ZXh0IGZvbnQtZmFtaWx5PSJDYWxpYnJpLENhbGlicmlf&#10;TVNGb250U2VydmljZSxBcmlhbCIgZm9udC13ZWlnaHQ9IjQwMCIgZm9udC1zaXplPSIxNyIgdHJh&#10;bnNmb3JtPSJtYXRyaXgoMC43OTkxNDUgMCAwIDAuNzk5Nzk2IDQ3NS45MTIgNDI5KSI+cmVjb3Jk&#10;czwvdGV4dD48ZyBjbGlwLXBhdGg9InVybCgjY2xpcDEwMykiPjxnIGNsaXAtcGF0aD0idXJsKCNj&#10;bGlwMTA0KSI+PGcgY2xpcC1wYXRoPSJ1cmwoI2NsaXAxMDUpIiB0cmFuc2Zvcm09Im1hdHJpeCgw&#10;LjY0OTMwNSAwIDAgMC43MDU3MDIgNDU3LjkzMSA0NjEuODkpIj48ZyBjbGlwLXBhdGg9InVybCgj&#10;Y2xpcDEwNikiPjx1c2Ugd2lkdGg9IjEwMCUiIGhlaWdodD0iMTAwJSIgeGxpbms6aHJlZj0iI2lt&#10;ZzgxIiB0cmFuc2Zvcm09InRyYW5zbGF0ZSgzLjA4NzQ5ZS0wNSAtMS41NzM5ZS0wNSkiPjwvdXNl&#10;PjwvZz48L2c+PC9nPjwvZz48dGV4dCBmb250LWZhbWlseT0iQ2FsaWJyaSxDYWxpYnJpX01TRm9u&#10;dFNlcnZpY2UsQXJpYWwiIGZvbnQtd2VpZ2h0PSI0MDAiIGZvbnQtc2l6ZT0iMTciIHRyYW5zZm9y&#10;bT0ibWF0cml4KDAuNzk5MTQ1IDAgMCAwLjc5OTc5NiA0NzUuOTEyIDQ3NCkiPlJldmlldyBvZiBx&#10;dWFsaXRhdGl2ZSBpbnRlcnZpZXdzIDwvdGV4dD48dGV4dCBmb250LWZhbWlseT0iQ2FsaWJyaSxD&#10;YWxpYnJpX01TRm9udFNlcnZpY2UsQXJpYWwiIGZvbnQtd2VpZ2h0PSI0MDAiIGZvbnQtc2l6ZT0i&#10;MTciIHRyYW5zZm9ybT0ibWF0cml4KDAuNzk5MTQ1IDAgMCAwLjc5OTc5NiA0NzUuOTEyIDQ4OCki&#10;PnRvIGlkZW50aWZ5IHByaW9yaXRpZXM8L3RleHQ+PHRleHQgZm9udC1mYW1pbHk9IkNhbGlicmks&#10;Q2FsaWJyaV9NU0ZvbnRTZXJ2aWNlLEFyaWFsIiBmb250LXdlaWdodD0iNDAwIiBmb250LXNpemU9&#10;IjE3IiB0cmFuc2Zvcm09Im1hdHJpeCgwLjc5OTE0NSAwIDAgMC43OTk3OTYgNTg1LjM5NSA0ODgp&#10;Ij4vPC90ZXh0Pjx0ZXh0IGZvbnQtZmFtaWx5PSJDYWxpYnJpLENhbGlicmlfTVNGb250U2Vydmlj&#10;ZSxBcmlhbCIgZm9udC13ZWlnaHQ9IjQwMCIgZm9udC1zaXplPSIxNyIgdHJhbnNmb3JtPSJtYXRy&#10;aXgoMC43OTkxNDUgMCAwIDAuNzk5Nzk2IDU5MC45ODkgNDg4KSI+bWVhc3VyZXMgZm9yIDwvdGV4&#10;dD48dGV4dCBmb250LWZhbWlseT0iQ2FsaWJyaSxDYWxpYnJpX01TRm9udFNlcnZpY2UsQXJpYWwi&#10;IGZvbnQtd2VpZ2h0PSI0MDAiIGZvbnQtc2l6ZT0iMTciIHRyYW5zZm9ybT0ibWF0cml4KDAuNzk5&#10;MTQ1IDAgMCAwLjc5OTc5NiA0NzUuOTEyIDUwMikiPnRoZSBwcmltYXJ5IGFuYWx5c2lzPC90ZXh0&#10;PjxnIGNsaXAtcGF0aD0idXJsKCNjbGlwMTA3KSI+PGcgY2xpcC1wYXRoPSJ1cmwoI2NsaXAxMDgp&#10;Ij48ZyBjbGlwLXBhdGg9InVybCgjY2xpcDEwOSkiIHRyYW5zZm9ybT0ibWF0cml4KDAuNjQ5MzA1&#10;IDAgMCAwLjcwNTcwMiA0NTcuOTMxIDUxMC42NzcpIj48ZyBjbGlwLXBhdGg9InVybCgjY2xpcDEx&#10;MCkiPjx1c2Ugd2lkdGg9IjEwMCUiIGhlaWdodD0iMTAwJSIgeGxpbms6aHJlZj0iI2ltZzgxIiB0&#10;cmFuc2Zvcm09InRyYW5zbGF0ZSgzLjA4NzQ5ZS0wNSAtNS4xMjc0ZS0wNSkiPjwvdXNlPjwvZz48&#10;L2c+PC9nPjwvZz48dGV4dCBmb250LWZhbWlseT0iQ2FsaWJyaSxDYWxpYnJpX01TRm9udFNlcnZp&#10;Y2UsQXJpYWwiIGZvbnQtd2VpZ2h0PSI0MDAiIGZvbnQtc2l6ZT0iMTciIHRyYW5zZm9ybT0ibWF0&#10;cml4KDAuNzk5MTQ1IDAgMCAwLjc5OTc5NiA0NzUuOTEyIDUyMikiPlRyYWZmaWMgbGlnaHQgZnJh&#10;bWV3b3JrIGFuYWx5c2lzPC90ZXh0PjxnIGNsaXAtcGF0aD0idXJsKCNjbGlwMTExKSI+PGcgY2xp&#10;cC1wYXRoPSJ1cmwoI2NsaXAxMTIpIj48ZyBjbGlwLXBhdGg9InVybCgjY2xpcDExMykiIHRyYW5z&#10;Zm9ybT0ibWF0cml4KDAuNjQ5MzA1IDAgMCAwLjcwNTcwMiA0NTcuOTMxIDUyOS44NzIpIj48ZyBj&#10;bGlwLXBhdGg9InVybCgjY2xpcDExNCkiPjx1c2Ugd2lkdGg9IjEwMCUiIGhlaWdodD0iMTAwJSIg&#10;eGxpbms6aHJlZj0iI2ltZzgxIiB0cmFuc2Zvcm09InRyYW5zbGF0ZSgzLjA4NzQ5ZS0wNSAtNC40&#10;OTJlLTA1KSI+PC91c2U+PC9nPjwvZz48L2c+PC9nPjx0ZXh0IGZvbnQtZmFtaWx5PSJDYWxpYnJp&#10;LENhbGlicmlfTVNGb250U2VydmljZSxBcmlhbCIgZm9udC13ZWlnaHQ9IjQwMCIgZm9udC1zaXpl&#10;PSIxNyIgdHJhbnNmb3JtPSJtYXRyaXgoMC43OTkxNDUgMCAwIDAuNzk5Nzk2IDQ3NS45MTIgNTQy&#10;KSI+TXVsdGlsaW5lYXIgcmVncmVzc2lvbiBhbmFseXNpczwvdGV4dD48ZyBjbGlwLXBhdGg9InVy&#10;bCgjY2xpcDExNSkiPjxnIGNsaXAtcGF0aD0idXJsKCNjbGlwMTE2KSI+PGcgY2xpcC1wYXRoPSJ1&#10;cmwoI2NsaXAxMTcpIiB0cmFuc2Zvcm09Im1hdHJpeCgwLjY0OTMwNSAwIDAgMC43MDU3MDIgNDU3&#10;LjkzMSA1NDkuODY3KSI+PGcgY2xpcC1wYXRoPSJ1cmwoI2NsaXAxMTgpIj48dXNlIHdpZHRoPSIx&#10;MDAlIiBoZWlnaHQ9IjEwMCUiIHhsaW5rOmhyZWY9IiNpbWc4MSIgdHJhbnNmb3JtPSJ0cmFuc2xh&#10;dGUoMy4wODc0OWUtMDUgLTIuODk1MDdlLTA1KSI+PC91c2U+PC9nPjwvZz48L2c+PC9nPjx0ZXh0&#10;IGZvbnQtZmFtaWx5PSJDYWxpYnJpLENhbGlicmlfTVNGb250U2VydmljZSxBcmlhbCIgZm9udC13&#10;ZWlnaHQ9IjQwMCIgZm9udC1zaXplPSIxNyIgdHJhbnNmb3JtPSJtYXRyaXgoMC43OTkxNDUgMCAw&#10;IDAuNzk5Nzk2IDQ3NS45MTIgNTYyKSI+UHJpbmNpcGFsIGNvbXBvbmVudCBhbmFseXNpczwvdGV4&#10;dD48ZyBjbGlwLXBhdGg9InVybCgjY2xpcDExOSkiPjxnIGNsaXAtcGF0aD0idXJsKCNjbGlwMTIw&#10;KSI+PGcgY2xpcC1wYXRoPSJ1cmwoI2NsaXAxMjEpIiB0cmFuc2Zvcm09Im1hdHJpeCgwLjY0OTMw&#10;NSAwIDAgMC43MDU3MDIgNDU3LjkzMSA1NjkuODYyKSI+PGcgY2xpcC1wYXRoPSJ1cmwoI2NsaXAx&#10;MjIpIj48dXNlIHdpZHRoPSIxMDAlIiBoZWlnaHQ9IjEwMCUiIHhsaW5rOmhyZWY9IiNpbWc4MSIg&#10;dHJhbnNmb3JtPSJ0cmFuc2xhdGUoMy4wODc0OWUtMDUgMi4yNjAwM2UtMDUpIj48L3VzZT48L2c+&#10;PC9nPjwvZz48L2c+PHRleHQgZm9udC1mYW1pbHk9IkNhbGlicmksQ2FsaWJyaV9NU0ZvbnRTZXJ2&#10;aWNlLEFyaWFsIiBmb250LXdlaWdodD0iNDAwIiBmb250LXNpemU9IjE3IiB0cmFuc2Zvcm09Im1h&#10;dHJpeCgwLjc5OTE0NSAwIDAgMC43OTk3OTYgNDc1LjkxMiA1ODIpIj5IaWVyYXJjaGljYWwgY2x1&#10;c3RlcmluZzwvdGV4dD48ZyBjbGlwLXBhdGg9InVybCgjY2xpcDEyMykiPjxnIGNsaXAtcGF0aD0i&#10;dXJsKCNjbGlwMTI0KSI+PGcgY2xpcC1wYXRoPSJ1cmwoI2NsaXAxMjUpIiB0cmFuc2Zvcm09Im1h&#10;dHJpeCgwLjY0OTMwNSAwIDAgMC43MDU3MDIgNDU3LjkzMSA1ODkuMDU3KSI+PGcgY2xpcC1wYXRo&#10;PSJ1cmwoI2NsaXAxMjYpIj48dXNlIHdpZHRoPSIxMDAlIiBoZWlnaHQ9IjEwMCUiIHhsaW5rOmhy&#10;ZWY9IiNpbWc4MSIgdHJhbnNmb3JtPSJ0cmFuc2xhdGUoMy4wODc0OWUtMDUgLTMuMjA4MDllLTA1&#10;KSI+PC91c2U+PC9nPjwvZz48L2c+PC9nPjx0ZXh0IGZvbnQtZmFtaWx5PSJDYWxpYnJpLENhbGli&#10;cmlfTVNGb250U2VydmljZSxBcmlhbCIgZm9udC13ZWlnaHQ9IjQwMCIgZm9udC1zaXplPSIxNyIg&#10;dHJhbnNmb3JtPSJtYXRyaXgoMC43OTkxNDUgMCAwIDAuNzk5Nzk2IDQ3NS45MTIgNjAxKSI+SW48&#10;L3RleHQ+PHRleHQgZm9udC1mYW1pbHk9IkNhbGlicmksQ2FsaWJyaV9NU0ZvbnRTZXJ2aWNlLEFy&#10;aWFsIiBmb250LXdlaWdodD0iNDAwIiBmb250LXNpemU9IjE3IiB0cmFuc2Zvcm09Im1hdHJpeCgw&#10;Ljc5OTE0NSAwIDAgMC43OTk3OTYgNDg2LjIzNCA2MDEpIj4tPC90ZXh0Pjx0ZXh0IGZvbnQtZmFt&#10;aWx5PSJDYWxpYnJpLENhbGlicmlfTVNGb250U2VydmljZSxBcmlhbCIgZm9udC13ZWlnaHQ9IjQw&#10;MCIgZm9udC1zaXplPSIxNyIgdHJhbnNmb3JtPSJtYXRyaXgoMC43OTkxNDUgMCAwIDAuNzk5Nzk2&#10;IDQ5MC4yMjkgNjAxKSI+ZGVwdGggY2FzZSBzdHVkaWVzPC90ZXh0PjxnIGNsaXAtcGF0aD0idXJs&#10;KCNjbGlwMTI3KSI+PGcgY2xpcC1wYXRoPSJ1cmwoI2NsaXAxMjgpIj48ZyBjbGlwLXBhdGg9InVy&#10;bCgjY2xpcDEyOSkiIHRyYW5zZm9ybT0ibWF0cml4KDAuNjQ5MzA1IDAgMCAwLjcwNTcwMiA2Nzcu&#10;NzE2IDIxOC40NDMpIj48ZyBjbGlwLXBhdGg9InVybCgjY2xpcDEzMCkiPjx1c2Ugd2lkdGg9IjEw&#10;MCUiIGhlaWdodD0iMTAwJSIgeGxpbms6aHJlZj0iI2ltZzgxIiB0cmFuc2Zvcm09InRyYW5zbGF0&#10;ZSgyLjMzOTQ0ZS0wNSAtOC44Mjc3MmUtMDYpIj48L3VzZT48L2c+PC9nPjwvZz48L2c+PHRleHQg&#10;Zm9udC1mYW1pbHk9IkNhbGlicmksQ2FsaWJyaV9NU0ZvbnRTZXJ2aWNlLEFyaWFsIiBmb250LXdl&#10;aWdodD0iNDAwIiBmb250LXNpemU9IjE3IiB0cmFuc2Zvcm09Im1hdHJpeCgwLjc5OTE0NSAwIDAg&#10;MC43OTk3OTYgNjk1LjY5NyAyMzEpIj5SZTwvdGV4dD48dGV4dCBmb250LWZhbWlseT0iQ2FsaWJy&#10;aSxDYWxpYnJpX01TRm9udFNlcnZpY2UsQXJpYWwiIGZvbnQtd2VpZ2h0PSI0MDAiIGZvbnQtc2l6&#10;ZT0iMTciIHRyYW5zZm9ybT0ibWF0cml4KDAuNzk5MTQ1IDAgMCAwLjc5OTc5NiA3MDkuNTE2IDIz&#10;MSkiPi08L3RleHQ+PHRleHQgZm9udC1mYW1pbHk9IkNhbGlicmksQ2FsaWJyaV9NU0ZvbnRTZXJ2&#10;aWNlLEFyaWFsIiBmb250LXdlaWdodD0iNDAwIiBmb250LXNpemU9IjE3IiB0cmFuc2Zvcm09Im1h&#10;dHJpeCgwLjc5OTE0NSAwIDAgMC43OTk3OTYgNzEzLjUxMSAyMzEpIj5jb2Rpbmcgb2YgaGVhbHRo&#10;IHNlcnZpY2U8L3RleHQ+PHRleHQgZm9udC1mYW1pbHk9IkNhbGlicmksQ2FsaWJyaV9NU0ZvbnRT&#10;ZXJ2aWNlLEFyaWFsIiBmb250LXdlaWdodD0iNDAwIiBmb250LXNpemU9IjE3IiB0cmFuc2Zvcm09&#10;Im1hdHJpeCgwLjc5OTE0NSAwIDAgMC43OTk3OTYgODQ0LjU3MSAyMzEpIj4sIDwvdGV4dD48dGV4&#10;dCBmb250LWZhbWlseT0iQ2FsaWJyaSxDYWxpYnJpX01TRm9udFNlcnZpY2UsQXJpYWwiIGZvbnQt&#10;d2VpZ2h0PSI0MDAiIGZvbnQtc2l6ZT0iMTciIHRyYW5zZm9ybT0ibWF0cml4KDAuNzk5MTQ1IDAg&#10;MCAwLjc5OTc5NiA4NTAuOTY0IDIzMSkiPlBITjwvdGV4dD48dGV4dCBmb250LWZhbWlseT0iQ2Fs&#10;aWJyaSxDYWxpYnJpX01TRm9udFNlcnZpY2UsQXJpYWwiIGZvbnQtd2VpZ2h0PSI0MDAiIGZvbnQt&#10;c2l6ZT0iMTciIHRyYW5zZm9ybT0ibWF0cml4KDAuNzk5MTQ1IDAgMCAwLjc5OTc5NiA4NzUuNzM4&#10;IDIzMSkiPiwgPC90ZXh0Pjx0ZXh0IGZvbnQtZmFtaWx5PSJDYWxpYnJpLENhbGlicmlfTVNGb250&#10;U2VydmljZSxBcmlhbCIgZm9udC13ZWlnaHQ9IjQwMCIgZm9udC1zaXplPSIxNyIgdHJhbnNmb3Jt&#10;PSJtYXRyaXgoMC43OTkxNDUgMCAwIDAuNzk5Nzk2IDY5NS42OTcgMjQ1KSI+c3RhdGU8L3RleHQ+&#10;PHRleHQgZm9udC1mYW1pbHk9IkNhbGlicmksQ2FsaWJyaV9NU0ZvbnRTZXJ2aWNlLEFyaWFsIiBm&#10;b250LXdlaWdodD0iNDAwIiBmb250LXNpemU9IjE3IiB0cmFuc2Zvcm09Im1hdHJpeCgwLjc5OTE0&#10;NSAwIDAgMC43OTk3OTYgNzIzLjY2NyAyNDUpIj4sIDwvdGV4dD48dGV4dCBmb250LWZhbWlseT0i&#10;Q2FsaWJyaSxDYWxpYnJpX01TRm9udFNlcnZpY2UsQXJpYWwiIGZvbnQtd2VpZ2h0PSI0MDAiIGZv&#10;bnQtc2l6ZT0iMTciIHRyYW5zZm9ybT0ibWF0cml4KDAuNzk5MTQ1IDAgMCAwLjc5OTc5NiA3MzAu&#10;MDYgMjQ1KSI+dGVycml0b3J5IGFuZCBuYXRpb25hbCA8L3RleHQ+PHRleHQgZm9udC1mYW1pbHk9&#10;IkNhbGlicmksQ2FsaWJyaV9NU0ZvbnRTZXJ2aWNlLEFyaWFsIiBmb250LXdlaWdodD0iNDAwIiBm&#10;b250LXNpemU9IjE3IiB0cmFuc2Zvcm09Im1hdHJpeCgwLjc5OTE0NSAwIDAgMC43OTk3OTYgNjk1&#10;LjY5NyAyNTkpIj5lbmdhZ2VtZW50IGludGVydmlld3M8L3RleHQ+PGcgY2xpcC1wYXRoPSJ1cmwo&#10;I2NsaXAxMzEpIj48ZyBjbGlwLXBhdGg9InVybCgjY2xpcDEzMikiPjxnIGNsaXAtcGF0aD0idXJs&#10;KCNjbGlwMTMzKSIgdHJhbnNmb3JtPSJtYXRyaXgoMC42NDkzMDUgMCAwIDAuNzA1NzAyIDY3Ny43&#10;MTYgMjY2LjQzMSkiPjxnIGNsaXAtcGF0aD0idXJsKCNjbGlwMTM0KSI+PHVzZSB3aWR0aD0iMTAw&#10;JSIgaGVpZ2h0PSIxMDAlIiB4bGluazpocmVmPSIjaW1nODEiIHRyYW5zZm9ybT0idHJhbnNsYXRl&#10;KDIuMzM5NDRlLTA1IDEuOTkyOTdlLTA2KSI+PC91c2U+PC9nPjwvZz48L2c+PC9nPjx0ZXh0IGZv&#10;bnQtZmFtaWx5PSJDYWxpYnJpLENhbGlicmlfTVNGb250U2VydmljZSxBcmlhbCIgZm9udC13ZWln&#10;aHQ9IjQwMCIgZm9udC1zaXplPSIxNyIgdHJhbnNmb3JtPSJtYXRyaXgoMC43OTkxNDUgMCAwIDAu&#10;Nzk5Nzk2IDY5NS42OTcgMjc5KSI+U2VtaTwvdGV4dD48dGV4dCBmb250LWZhbWlseT0iQ2FsaWJy&#10;aSxDYWxpYnJpX01TRm9udFNlcnZpY2UsQXJpYWwiIGZvbnQtd2VpZ2h0PSI0MDAiIGZvbnQtc2l6&#10;ZT0iMTciIHRyYW5zZm9ybT0ibWF0cml4KDAuNzk5MTQ1IDAgMCAwLjc5OTc5NiA3MjIuMTY4IDI3&#10;OSkiPi08L3RleHQ+PHRleHQgZm9udC1mYW1pbHk9IkNhbGlicmksQ2FsaWJyaV9NU0ZvbnRTZXJ2&#10;aWNlLEFyaWFsIiBmb250LXdlaWdodD0iNDAwIiBmb250LXNpemU9IjE3IiB0cmFuc2Zvcm09Im1h&#10;dHJpeCgwLjc5OTE0NSAwIDAgMC43OTk3OTYgNzI2LjE2NCAyNzkpIj5zdHJ1Y3R1cmVkIGludGVy&#10;dmlld3MgdG8gPC90ZXh0Pjx0ZXh0IGZvbnQtZmFtaWx5PSJDYWxpYnJpLENhbGlicmlfTVNGb250&#10;U2VydmljZSxBcmlhbCIgZm9udC13ZWlnaHQ9IjQwMCIgZm9udC1zaXplPSIxNyIgdHJhbnNmb3Jt&#10;PSJtYXRyaXgoMC43OTkxNDUgMCAwIDAuNzk5Nzk2IDY5NS42OTcgMjkzKSI+ZGlzY3VzcyBjb250&#10;cmlidXRpb24gY2FzZXM8L3RleHQ+PGcgY2xpcC1wYXRoPSJ1cmwoI2NsaXAxMzUpIj48ZyBjbGlw&#10;LXBhdGg9InVybCgjY2xpcDEzNikiPjxnIGNsaXAtcGF0aD0idXJsKCNjbGlwMTM3KSIgdHJhbnNm&#10;b3JtPSJtYXRyaXgoMC42NDkzMDUgMCAwIDAuNzA1NzAyIDY3Ny43MTYgMzAwLjgyMikiPjxnIGNs&#10;aXAtcGF0aD0idXJsKCNjbGlwMTM4KSI+PHVzZSB3aWR0aD0iMTAwJSIgaGVpZ2h0PSIxMDAlIiB4&#10;bGluazpocmVmPSIjaW1nODEiIHRyYW5zZm9ybT0idHJhbnNsYXRlKDIuMzM5NDRlLTA1IC03Ljc4&#10;OTg3ZS0wNikiPjwvdXNlPjwvZz48L2c+PC9nPjwvZz48dGV4dCBmb250LWZhbWlseT0iQ2FsaWJy&#10;aSxDYWxpYnJpX01TRm9udFNlcnZpY2UsQXJpYWwiIGZvbnQtd2VpZ2h0PSI0MDAiIGZvbnQtc2l6&#10;ZT0iMTciIHRyYW5zZm9ybT0ibWF0cml4KDAuNzk5MTQ1IDAgMCAwLjc5OTc5NiA2OTUuNjk3IDMx&#10;MykiPlJldmlldyBwYW5lbCB0byBkaXNjdXNzIDwvdGV4dD48dGV4dCBmb250LWZhbWlseT0iQ2Fs&#10;aWJyaSxDYWxpYnJpX01TRm9udFNlcnZpY2UsQXJpYWwiIGZvbnQtd2VpZ2h0PSI0MDAiIGZvbnQt&#10;c2l6ZT0iMTciIHRyYW5zZm9ybT0ibWF0cml4KDAuNzk5MTQ1IDAgMCAwLjc5OTc5NiA2OTUuNjk3&#10;IDMyNykiPmNvbnRyaWJ1dGlvbiBjYXNlczwvdGV4dD48ZyBjbGlwLXBhdGg9InVybCgjY2xpcDEz&#10;OSkiPjxnIGNsaXAtcGF0aD0idXJsKCNjbGlwMTQwKSI+PGcgY2xpcC1wYXRoPSJ1cmwoI2NsaXAx&#10;NDEpIiB0cmFuc2Zvcm09Im1hdHJpeCgwLjY0OTMwNSAwIDAgMC43MDU3MDIgNjc3LjcxNiAzNjAu&#10;MDA3KSI+PGcgY2xpcC1wYXRoPSJ1cmwoI2NsaXAxNDIpIj48dXNlIHdpZHRoPSIxMDAlIiBoZWln&#10;aHQ9IjEwMCUiIHhsaW5rOmhyZWY9IiNpbWc4MSIgdHJhbnNmb3JtPSJ0cmFuc2xhdGUoMi4zMzk0&#10;NGUtMDUgLTIuNTQ2ODRlLTA1KSI+PC91c2U+PC9nPjwvZz48L2c+PC9nPjx0ZXh0IGZvbnQtZmFt&#10;aWx5PSJDYWxpYnJpLENhbGlicmlfTVNGb250U2VydmljZSxBcmlhbCIgZm9udC13ZWlnaHQ9IjQw&#10;MCIgZm9udC1zaXplPSIxNyIgdHJhbnNmb3JtPSJtYXRyaXgoMC43OTkxNDUgMCAwIDAuNzk5Nzk2&#10;IDY5NS42OTcgMzcyKSI+SW50ZWdyYXRpb24gb2YgcXVhbnRpdGF0aXZlIGZpbmRpbmdzIDwvdGV4&#10;dD48dGV4dCBmb250LWZhbWlseT0iQ2FsaWJyaSxDYWxpYnJpX01TRm9udFNlcnZpY2UsQXJpYWwi&#10;IGZvbnQtd2VpZ2h0PSI0MDAiIGZvbnQtc2l6ZT0iMTciIHRyYW5zZm9ybT0ibWF0cml4KDAuNzk5&#10;MTQ1IDAgMCAwLjc5OTc5NiA2OTUuNjk3IDM4NykiPm9uIEtFUXM8L3RleHQ+PHRleHQgZm9udC1m&#10;YW1pbHk9IkNhbGlicmksQ2FsaWJyaV9NU0ZvbnRTZXJ2aWNlLEFyaWFsIiBmb250LXdlaWdodD0i&#10;NDAwIiBmb250LXNpemU9IjE3IiB0cmFuc2Zvcm09Im1hdHJpeCgwLjc5OTE0NSAwIDAgMC43OTk3&#10;OTYgNzQxLjI0OCAzODcpIj4sIDwvdGV4dD48dGV4dCBmb250LWZhbWlseT0iQ2FsaWJyaSxDYWxp&#10;YnJpX01TRm9udFNlcnZpY2UsQXJpYWwiIGZvbnQtd2VpZ2h0PSI0MDAiIGZvbnQtc2l6ZT0iMTci&#10;IHRyYW5zZm9ybT0ibWF0cml4KDAuNzk5MTQ1IDAgMCAwLjc5OTc5NiA3NDcuNjQxIDM4NykiPmhl&#10;YWx0aCBvdXRjb21lcyBhbmQgPC90ZXh0Pjx0ZXh0IGZvbnQtZmFtaWx5PSJDYWxpYnJpLENhbGli&#10;cmlfTVNGb250U2VydmljZSxBcmlhbCIgZm9udC13ZWlnaHQ9IjQwMCIgZm9udC1zaXplPSIxNyIg&#10;dHJhbnNmb3JtPSJtYXRyaXgoMC43OTkxNDUgMCAwIDAuNzk5Nzk2IDY5NS42OTcgNDAxKSI+SUFI&#10;UCBmdW5kaW5nPC90ZXh0PjxnIGNsaXAtcGF0aD0idXJsKCNjbGlwMTQzKSI+PGcgY2xpcC1wYXRo&#10;PSJ1cmwoI2NsaXAxNDQpIj48ZyBjbGlwLXBhdGg9InVybCgjY2xpcDE0NSkiIHRyYW5zZm9ybT0i&#10;bWF0cml4KDAuNjQ5MzA1IDAgMCAwLjcwNTcwMiA2NzcuNzE2IDQwOC43OTQpIj48ZyBjbGlwLXBh&#10;dGg9InVybCgjY2xpcDE0NikiPjx1c2Ugd2lkdGg9IjEwMCUiIGhlaWdodD0iMTAwJSIgeGxpbms6&#10;aHJlZj0iI2ltZzgxIiB0cmFuc2Zvcm09InRyYW5zbGF0ZSgyLjMzOTQ0ZS0wNSAzLjE4Mzk2ZS0w&#10;OCkiPjwvdXNlPjwvZz48L2c+PC9nPjwvZz48dGV4dCBmb250LWZhbWlseT0iQ2FsaWJyaSxDYWxp&#10;YnJpX01TRm9udFNlcnZpY2UsQXJpYWwiIGZvbnQtd2VpZ2h0PSI0MDAiIGZvbnQtc2l6ZT0iMTci&#10;IHRyYW5zZm9ybT0ibWF0cml4KDAuNzk5MTQ1IDAgMCAwLjc5OTc5NiA2OTUuNjk3IDQyMSkiPkdy&#10;b3VuZGVkIHRoZW9yeSBjb2RpbmcgYW5kIDwvdGV4dD48dGV4dCBmb250LWZhbWlseT0iQ2FsaWJy&#10;aSxDYWxpYnJpX01TRm9udFNlcnZpY2UsQXJpYWwiIGZvbnQtd2VpZ2h0PSI0MDAiIGZvbnQtc2l6&#10;ZT0iMTciIHRyYW5zZm9ybT0ibWF0cml4KDAuNzk5MTQ1IDAgMCAwLjc5OTc5NiA2OTUuNjk3IDQz&#10;NSkiPmFuYWx5c2lzPC90ZXh0PjxnIGNsaXAtcGF0aD0idXJsKCNjbGlwMTQ3KSI+PGcgY2xpcC1w&#10;YXRoPSJ1cmwoI2NsaXAxNDgpIj48ZyBjbGlwLXBhdGg9InVybCgjY2xpcDE0OSkiIHRyYW5zZm9y&#10;bT0ibWF0cml4KDAuNjQ5MzA1IDAgMCAwLjcwNTcwMiA2NzcuNzE2IDQ0Mi4zODYpIj48ZyBjbGlw&#10;LXBhdGg9InVybCgjY2xpcDE1MCkiPjx1c2Ugd2lkdGg9IjEwMCUiIGhlaWdodD0iMTAwJSIgeGxp&#10;bms6aHJlZj0iI2ltZzgxIiB0cmFuc2Zvcm09InRyYW5zbGF0ZSgyLjMzOTQ0ZS0wNSAtNi42Mzk2&#10;M2UtMDYpIj48L3VzZT48L2c+PC9nPjwvZz48L2c+PHRleHQgZm9udC1mYW1pbHk9IkNhbGlicmks&#10;Q2FsaWJyaV9NU0ZvbnRTZXJ2aWNlLEFyaWFsIiBmb250LXdlaWdodD0iNDAwIiBmb250LXNpemU9&#10;IjE3IiB0cmFuc2Zvcm09Im1hdHJpeCgwLjc5OTE0NSAwIDAgMC43OTk3OTYgNjk1LjY5NyA0NTQp&#10;Ij5Db250cmlidXRpb24gYW5hbHlzaXMgYW5kIHNlbnNlPC90ZXh0Pjx0ZXh0IGZvbnQtZmFtaWx5&#10;PSJDYWxpYnJpLENhbGlicmlfTVNGb250U2VydmljZSxBcmlhbCIgZm9udC13ZWlnaHQ9IjQwMCIg&#10;Zm9udC1zaXplPSIxNyIgdHJhbnNmb3JtPSJtYXRyaXgoMC43OTkxNDUgMCAwIDAuNzk5Nzk2IDg2&#10;Ni4zNDUgNDU0KSI+LTwvdGV4dD48dGV4dCBmb250LWZhbWlseT0iQ2FsaWJyaSxDYWxpYnJpX01T&#10;Rm9udFNlcnZpY2UsQXJpYWwiIGZvbnQtd2VpZ2h0PSI0MDAiIGZvbnQtc2l6ZT0iMTciIHRyYW5z&#10;Zm9ybT0ibWF0cml4KDAuNzk5MTQ1IDAgMCAwLjc5OTc5NiA2OTUuNjk3IDQ2OSkiPmNoZWNraW5n&#10;IHByb2Nlc3M8L3RleHQ+PGcgY2xpcC1wYXRoPSJ1cmwoI2NsaXAxNTEpIj48ZyBjbGlwLXBhdGg9&#10;InVybCgjY2xpcDE1MikiPjxnIGNsaXAtcGF0aD0idXJsKCNjbGlwMTUzKSIgdHJhbnNmb3JtPSJt&#10;YXRyaXgoMC42NDkzMDUgMCAwIDAuNzA1NzAyIDY3Ny43MTYgNDc2Ljc3NykiPjxnIGNsaXAtcGF0&#10;aD0idXJsKCNjbGlwMTU0KSI+PHVzZSB3aWR0aD0iMTAwJSIgaGVpZ2h0PSIxMDAlIiB4bGluazpo&#10;cmVmPSIjaW1nODEiIHRyYW5zZm9ybT0idHJhbnNsYXRlKDIuMzM5NDRlLTA1IC00LjY5NDAxZS0w&#10;NSkiPjwvdXNlPjwvZz48L2c+PC9nPjwvZz48dGV4dCBmb250LWZhbWlseT0iQ2FsaWJyaSxDYWxp&#10;YnJpX01TRm9udFNlcnZpY2UsQXJpYWwiIGZvbnQtd2VpZ2h0PSI0MDAiIGZvbnQtc2l6ZT0iMTci&#10;IHRyYW5zZm9ybT0ibWF0cml4KDAuNzk5MTQ1IDAgMCAwLjc5OTc5NiA2OTUuNjk3IDQ4OSkiPkRl&#10;dmVsb3BtZW50IG9mIGZpdmUgY29udHJpYnV0aW9uIDwvdGV4dD48dGV4dCBmb250LWZhbWlseT0i&#10;Q2FsaWJyaSxDYWxpYnJpX01TRm9udFNlcnZpY2UsQXJpYWwiIGZvbnQtd2VpZ2h0PSI0MDAiIGZv&#10;bnQtc2l6ZT0iMTciIHRyYW5zZm9ybT0ibWF0cml4KDAuNzk5MTQ1IDAgMCAwLjc5OTc5NiA2OTUu&#10;Njk3IDUwMykiPmNhc2VzPC90ZXh0PjxnIGNsaXAtcGF0aD0idXJsKCNjbGlwMTU1KSI+PGcgY2xp&#10;cC1wYXRoPSJ1cmwoI2NsaXAxNTYpIj48ZyBjbGlwLXBhdGg9InVybCgjY2xpcDE1NykiIHRyYW5z&#10;Zm9ybT0ibWF0cml4KDAuNjQ5MzA1IDAgMCAwLjcwNTcwMiA2NzcuNzE2IDUxMS4xNjgpIj48ZyBj&#10;bGlwLXBhdGg9InVybCgjY2xpcDE1OCkiPjx1c2Ugd2lkdGg9IjEwMCUiIGhlaWdodD0iMTAwJSIg&#10;eGxpbms6aHJlZj0iI2ltZzgxIiB0cmFuc2Zvcm09InRyYW5zbGF0ZSgyLjMzOTQ0ZS0wNSAtOC40&#10;MTQ0NGUtMDYpIj48L3VzZT48L2c+PC9nPjwvZz48L2c+PHRleHQgZm9udC1mYW1pbHk9IkNhbGli&#10;cmksQ2FsaWJyaV9NU0ZvbnRTZXJ2aWNlLEFyaWFsIiBmb250LXdlaWdodD0iNDAwIiBmb250LXNp&#10;emU9IjE3IiB0cmFuc2Zvcm09Im1hdHJpeCgwLjc5OTE0NSAwIDAgMC43OTk3OTYgNjk1LjY5NyA1&#10;MjMpIj5Db2xsYWJvcmF0aXZlIGFuYWx5c2lzIHdpdGggcmV2aWV3IDwvdGV4dD48dGV4dCBmb250&#10;LWZhbWlseT0iQ2FsaWJyaSxDYWxpYnJpX01TRm9udFNlcnZpY2UsQXJpYWwiIGZvbnQtd2VpZ2h0&#10;PSI0MDAiIGZvbnQtc2l6ZT0iMTciIHRyYW5zZm9ybT0ibWF0cml4KDAuNzk5MTQ1IDAgMCAwLjc5&#10;OTc5NiA2OTUuNjk3IDUzOCkiPnBhbmVsIHBhcnRpY2lwYW50czwvdGV4dD48ZyBjbGlwLXBhdGg9&#10;InVybCgjY2xpcDE1OSkiPjxnIGNsaXAtcGF0aD0idXJsKCNjbGlwMTYwKSI+PGcgY2xpcC1wYXRo&#10;PSJ1cmwoI2NsaXAxNjEpIiB0cmFuc2Zvcm09Im1hdHJpeCgwLjY0OTMwNSAwIDAgMC43MDU3MDIg&#10;OTAzLjAxIDIxOC40NDMpIj48ZyBjbGlwLXBhdGg9InVybCgjY2xpcDE2MikiPjx1c2Ugd2lkdGg9&#10;IjEwMCUiIGhlaWdodD0iMTAwJSIgeGxpbms6aHJlZj0iI2ltZzgxIiB0cmFuc2Zvcm09InRyYW5z&#10;bGF0ZSg3Ljc5NzdlLTA2IC04LjgyNzcyZS0wNikiPjwvdXNlPjwvZz48L2c+PC9nPjwvZz48dGV4&#10;dCBmb250LWZhbWlseT0iQ2FsaWJyaSxDYWxpYnJpX01TRm9udFNlcnZpY2UsQXJpYWwiIGZvbnQt&#10;d2VpZ2h0PSI0MDAiIGZvbnQtc2l6ZT0iMTciIHRyYW5zZm9ybT0ibWF0cml4KDAuNzk5MTQ1IDAg&#10;MCAwLjc5OTc5NiA5MjAuOTkxIDIzMSkiPkVtZXJnaW5nIGZpbmRpbmdzIHdvcmtzaG9wczwvdGV4&#10;dD48ZyBjbGlwLXBhdGg9InVybCgjY2xpcDE2MykiPjxnIGNsaXAtcGF0aD0idXJsKCNjbGlwMTY0&#10;KSI+PGcgY2xpcC1wYXRoPSJ1cmwoI2NsaXAxNjUpIiB0cmFuc2Zvcm09Im1hdHJpeCgwLjY0OTMw&#10;NSAwIDAgMC43MDU3MDIgOTAzLjAxIDIzNy42MzgpIj48ZyBjbGlwLXBhdGg9InVybCgjY2xpcDE2&#10;NikiPjx1c2Ugd2lkdGg9IjEwMCUiIGhlaWdodD0iMTAwJSIgeGxpbms6aHJlZj0iI2ltZzgxIiB0&#10;cmFuc2Zvcm09InRyYW5zbGF0ZSg3Ljc5NzdlLTA2IDEuMDI1MjllLTA1KSI+PC91c2U+PC9nPjwv&#10;Zz48L2c+PC9nPjx0ZXh0IGZvbnQtZmFtaWx5PSJDYWxpYnJpLENhbGlicmlfTVNGb250U2Vydmlj&#10;ZSxBcmlhbCIgZm9udC13ZWlnaHQ9IjQwMCIgZm9udC1zaXplPSIxNyIgdHJhbnNmb3JtPSJtYXRy&#10;aXgoMC43OTkxNDUgMCAwIDAuNzk5Nzk2IDkyMC45OTEgMjUwKSI+UmVwb3J0aW5nIGFuZCBjb21t&#10;dW5pY2F0aW9uIG9mIDwvdGV4dD48dGV4dCBmb250LWZhbWlseT0iQ2FsaWJyaSxDYWxpYnJpX01T&#10;Rm9udFNlcnZpY2UsQXJpYWwiIGZvbnQtd2VpZ2h0PSI0MDAiIGZvbnQtc2l6ZT0iMTciIHRyYW5z&#10;Zm9ybT0ibWF0cml4KDAuNzk5MTQ1IDAgMCAwLjc5OTc5NiA5MjAuOTkxIDI2NCkiPmZpbmRpbmdz&#10;IGJhY2sgdG8gc2l0ZXM8L3RleHQ+PGcgY2xpcC1wYXRoPSJ1cmwoI2NsaXAxNjcpIj48ZyBjbGlw&#10;LXBhdGg9InVybCgjY2xpcDE2OCkiPjxnIGNsaXAtcGF0aD0idXJsKCNjbGlwMTY5KSIgdHJhbnNm&#10;b3JtPSJtYXRyaXgoMC42NDkzMDUgMCAwIDAuNzA1NzAyIDkwMy4wMSAyNzIuMDI5KSI+PGcgY2xp&#10;cC1wYXRoPSJ1cmwoI2NsaXAxNzApIj48dXNlIHdpZHRoPSIxMDAlIiBoZWlnaHQ9IjEwMCUiIHhs&#10;aW5rOmhyZWY9IiNpbWc4MSIgdHJhbnNmb3JtPSJ0cmFuc2xhdGUoNy43OTc3ZS0wNiAtMS4yMjU2&#10;NmUtMDUpIj48L3VzZT48L2c+PC9nPjwvZz48L2c+PHRleHQgZm9udC1mYW1pbHk9IkNhbGlicmks&#10;Q2FsaWJyaV9NU0ZvbnRTZXJ2aWNlLEFyaWFsIiBmb250LXdlaWdodD0iNDAwIiBmb250LXNpemU9&#10;IjE3IiB0cmFuc2Zvcm09Im1hdHJpeCgwLjc5OTE0NSAwIDAgMC43OTk3OTYgOTIwLjk5MSAyODQp&#10;Ij5OYXRpb25hbCBzaXRlIHBhcnRuZXIgd29ya3Nob3A8L3RleHQ+PGcgY2xpcC1wYXRoPSJ1cmwo&#10;I2NsaXAxNzEpIj48ZyBjbGlwLXBhdGg9InVybCgjY2xpcDE3MikiPjxnIGNsaXAtcGF0aD0idXJs&#10;KCNjbGlwMTczKSIgdHJhbnNmb3JtPSJtYXRyaXgoMC42NDkzMDUgMCAwIDAuNzA1NzAyIDkwMy4w&#10;MSAyOTIuMDI0KSI+PGcgY2xpcC1wYXRoPSJ1cmwoI2NsaXAxNzQpIj48dXNlIHdpZHRoPSIxMDAl&#10;IiBoZWlnaHQ9IjEwMCUiIHhsaW5rOmhyZWY9IiNpbWc4MSIgdHJhbnNmb3JtPSJ0cmFuc2xhdGUo&#10;Ny43OTc3ZS0wNiAtOS4wMTQwNGUtMDYpIj48L3VzZT48L2c+PC9nPjwvZz48L2c+PHRleHQgZm9u&#10;dC1mYW1pbHk9IkNhbGlicmksQ2FsaWJyaV9NU0ZvbnRTZXJ2aWNlLEFyaWFsIiBmb250LXdlaWdo&#10;dD0iNDAwIiBmb250LXNpemU9IjE3IiB0cmFuc2Zvcm09Im1hdHJpeCgwLjc5OTE0NSAwIDAgMC43&#10;OTk3OTYgOTIwLjk5MSAzMDQpIj5QYXJ0aWNpcGFudCBzdXJ2ZXk8L3RleHQ+PGcgY2xpcC1wYXRo&#10;PSJ1cmwoI2NsaXAxNzUpIj48ZyBjbGlwLXBhdGg9InVybCgjY2xpcDE3NikiPjxnIGNsaXAtcGF0&#10;aD0idXJsKCNjbGlwMTc3KSIgdHJhbnNmb3JtPSJtYXRyaXgoMC42NDkzMDUgMCAwIDAuNzA1NzAy&#10;IDkwMy4wMSAzMTEuMjE5KSI+PGcgY2xpcC1wYXRoPSJ1cmwoI2NsaXAxNzgpIj48dXNlIHdpZHRo&#10;PSIxMDAlIiBoZWlnaHQ9IjEwMCUiIHhsaW5rOmhyZWY9IiNpbWc4MSIgdHJhbnNmb3JtPSJ0cmFu&#10;c2xhdGUoNy43OTc3ZS0wNiAtMi4wNDUxZS0wNSkiPjwvdXNlPjwvZz48L2c+PC9nPjwvZz48dGV4&#10;dCBmb250LWZhbWlseT0iQ2FsaWJyaSxDYWxpYnJpX01TRm9udFNlcnZpY2UsQXJpYWwiIGZvbnQt&#10;d2VpZ2h0PSI0MDAiIGZvbnQtc2l6ZT0iMTciIHRyYW5zZm9ybT0ibWF0cml4KDAuNzk5MTQ1IDAg&#10;MCAwLjc5OTc5NiA5MjAuOTkxIDMyMykiPkludGVybmFsIGFuYWx5c3QgbWVldGluZ3M8L3RleHQ+&#10;PGcgY2xpcC1wYXRoPSJ1cmwoI2NsaXAxNzkpIj48ZyBjbGlwLXBhdGg9InVybCgjY2xpcDE4MCki&#10;PjxnIGNsaXAtcGF0aD0idXJsKCNjbGlwMTgxKSIgdHJhbnNmb3JtPSJtYXRyaXgoMC42NDkzMDUg&#10;MCAwIDAuNzA1NzAyIDkwMy4wMSAzMzEuMjE0KSI+PGcgY2xpcC1wYXRoPSJ1cmwoI2NsaXAxODIp&#10;Ij48dXNlIHdpZHRoPSIxMDAlIiBoZWlnaHQ9IjEwMCUiIHhsaW5rOmhyZWY9IiNpbWc4MSIgdHJh&#10;bnNmb3JtPSJ0cmFuc2xhdGUoNy43OTc3ZS0wNiAtMi45OTM1MWUtMDUpIj48L3VzZT48L2c+PC9n&#10;PjwvZz48L2c+PHRleHQgZm9udC1mYW1pbHk9IkNhbGlicmksQ2FsaWJyaV9NU0ZvbnRTZXJ2aWNl&#10;LEFyaWFsIiBmb250LXdlaWdodD0iNDAwIiBmb250LXNpemU9IjE3IiB0cmFuc2Zvcm09Im1hdHJp&#10;eCgwLjc5OTE0NSAwIDAgMC43OTk3OTYgOTIwLjk5MSAzNDMpIj5EaXNjdXNzaW9uIGFuZCBzaGFy&#10;aW5nIG9mIGZpbmRpbmdzIDwvdGV4dD48dGV4dCBmb250LWZhbWlseT0iQ2FsaWJyaSxDYWxpYnJp&#10;X01TRm9udFNlcnZpY2UsQXJpYWwiIGZvbnQtd2VpZ2h0PSI0MDAiIGZvbnQtc2l6ZT0iMTciIHRy&#10;YW5zZm9ybT0ibWF0cml4KDAuNzk5MTQ1IDAgMCAwLjc5OTc5NiA5MjAuOTkxIDM1OCkiPndpdGgg&#10;SFNDRzwvdGV4dD48ZyBjbGlwLXBhdGg9InVybCgjY2xpcDE4MykiPjxnIGNsaXAtcGF0aD0idXJs&#10;KCNjbGlwMTg0KSI+PGcgY2xpcC1wYXRoPSJ1cmwoI2NsaXAxODUpIiB0cmFuc2Zvcm09Im1hdHJp&#10;eCgwLjY0OTMwNSAwIDAgMC43MDU3MDIgOTAzLjAxIDM5MC4zOTkpIj48ZyBjbGlwLXBhdGg9InVy&#10;bCgjY2xpcDE4NikiPjx1c2Ugd2lkdGg9IjEwMCUiIGhlaWdodD0iMTAwJSIgeGxpbms6aHJlZj0i&#10;I2ltZzgxIiB0cmFuc2Zvcm09InRyYW5zbGF0ZSg3Ljc5NzdlLTA2IC00LjM2OTNlLTA2KSI+PC91&#10;c2U+PC9nPjwvZz48L2c+PC9nPjx0ZXh0IGZvbnQtZmFtaWx5PSJDYWxpYnJpLENhbGlicmlfTVNG&#10;b250U2VydmljZSxBcmlhbCIgZm9udC13ZWlnaHQ9IjQwMCIgZm9udC1zaXplPSIxNyIgdHJhbnNm&#10;b3JtPSJtYXRyaXgoMC43OTkxNDUgMCAwIDAuNzk5Nzk2IDkyMC45OTEgNDAyKSI+UGFydGljaXBh&#10;bnQgZmVlZGJhY2sgaW5jb3Jwb3JhdGVkIDwvdGV4dD48dGV4dCBmb250LWZhbWlseT0iQ2FsaWJy&#10;aSxDYWxpYnJpX01TRm9udFNlcnZpY2UsQXJpYWwiIGZvbnQtd2VpZ2h0PSI0MDAiIGZvbnQtc2l6&#10;ZT0iMTciIHRyYW5zZm9ybT0ibWF0cml4KDAuNzk5MTQ1IDAgMCAwLjc5OTc5NiA5MjAuOTkxIDQx&#10;NykiPmludG8gdGhlIGFuYWx5c2lzPC90ZXh0PjxnIGNsaXAtcGF0aD0idXJsKCNjbGlwMTg3KSI+&#10;PGcgY2xpcC1wYXRoPSJ1cmwoI2NsaXAxODgpIj48ZyBjbGlwLXBhdGg9InVybCgjY2xpcDE4OSki&#10;IHRyYW5zZm9ybT0ibWF0cml4KDAuNjQ5MzA1IDAgMCAwLjcwNTcwMiA5MDMuMDEgNDI0Ljc5KSI+&#10;PGcgY2xpcC1wYXRoPSJ1cmwoI2NsaXAxOTApIj48dXNlIHdpZHRoPSIxMDAlIiBoZWlnaHQ9IjEw&#10;MCUiIHhsaW5rOmhyZWY9IiNpbWc4MSIgdHJhbnNmb3JtPSJ0cmFuc2xhdGUoNy43OTc3ZS0wNiAt&#10;Mi42ODc4OGUtMDUpIj48L3VzZT48L2c+PC9nPjwvZz48L2c+PHRleHQgZm9udC1mYW1pbHk9IkNh&#10;bGlicmksQ2FsaWJyaV9NU0ZvbnRTZXJ2aWNlLEFyaWFsIiBmb250LXdlaWdodD0iNDAwIiBmb250&#10;LXNpemU9IjE3IiB0cmFuc2Zvcm09Im1hdHJpeCgwLjc5OTE0NSAwIDAgMC43OTk3OTYgOTIwLjk5&#10;MSA0MzcpIj5GaW5kaW5ncyBhbmQgYW5hbHlzaXMgYWRqdXN0ZWQgYW5kIDwvdGV4dD48dGV4dCBm&#10;b250LWZhbWlseT0iQ2FsaWJyaSxDYWxpYnJpX01TRm9udFNlcnZpY2UsQXJpYWwiIGZvbnQtd2Vp&#10;Z2h0PSI0MDAiIGZvbnQtc2l6ZT0iMTciIHRyYW5zZm9ybT0ibWF0cml4KDAuNzk5MTQ1IDAgMCAw&#10;Ljc5OTc5NiA5MjAuOTkxIDQ1MSkiPmVsZXZhdGVkIHdpdGggZXZlcnkgY3ljbGUgb2YgZGF0YSA8&#10;L3RleHQ+PHRleHQgZm9udC1mYW1pbHk9IkNhbGlicmksQ2FsaWJyaV9NU0ZvbnRTZXJ2aWNlLEFy&#10;aWFsIiBmb250LXdlaWdodD0iNDAwIiBmb250LXNpemU9IjE3IiB0cmFuc2Zvcm09Im1hdHJpeCgw&#10;Ljc5OTE0NSAwIDAgMC43OTk3OTYgOTIwLjk5MSA0NjYpIj5jb2xsZWN0aW9uIGFuZCBhbmFseXNp&#10;czwvdGV4dD48ZyBjbGlwLXBhdGg9InVybCgjY2xpcDE5MSkiPjxnIGNsaXAtcGF0aD0idXJsKCNj&#10;bGlwMTkyKSI+PGcgY2xpcC1wYXRoPSJ1cmwoI2NsaXAxOTMpIiB0cmFuc2Zvcm09Im1hdHJpeCgw&#10;LjY0OTMwNSAwIDAgMC43MDU3MDIgOTAzLjAxIDQ3Mi43NzgpIj48ZyBjbGlwLXBhdGg9InVybCgj&#10;Y2xpcDE5NCkiPjx1c2Ugd2lkdGg9IjEwMCUiIGhlaWdodD0iMTAwJSIgeGxpbms6aHJlZj0iI2lt&#10;ZzgxIiB0cmFuc2Zvcm09InRyYW5zbGF0ZSg3Ljc5NzdlLTA2IDEuNDQ1OTRlLTA1KSI+PC91c2U+&#10;PC9nPjwvZz48L2c+PC9nPjx0ZXh0IGZvbnQtZmFtaWx5PSJDYWxpYnJpLENhbGlicmlfTVNGb250&#10;U2VydmljZSxBcmlhbCIgZm9udC13ZWlnaHQ9IjQwMCIgZm9udC1zaXplPSIxNyIgdHJhbnNmb3Jt&#10;PSJtYXRyaXgoMC43OTkxNDUgMCAwIDAuNzk5Nzk2IDkyMC45OTEgNDg1KSI+U3ludGhlc2lzIGFu&#10;YWx5c2lzIGFjcm9zcyBhbGwgZGF0YSA8L3RleHQ+PHRleHQgZm9udC1mYW1pbHk9IkNhbGlicmks&#10;Q2FsaWJyaV9NU0ZvbnRTZXJ2aWNlLEFyaWFsIiBmb250LXdlaWdodD0iNDAwIiBmb250LXNpemU9&#10;IjE3IiB0cmFuc2Zvcm09Im1hdHJpeCgwLjc5OTE0NSAwIDAgMC43OTk3OTYgOTIwLjk5MSA0OTkp&#10;Ij5zZXRzIGFuZCBmaW5kaW5ncyBmcm9tIHZhcmlvdXMgPC90ZXh0Pjx0ZXh0IGZvbnQtZmFtaWx5&#10;PSJDYWxpYnJpLENhbGlicmlfTVNGb250U2VydmljZSxBcmlhbCIgZm9udC13ZWlnaHQ9IjQwMCIg&#10;Zm9udC1zaXplPSIxNyIgdHJhbnNmb3JtPSJtYXRyaXgoMC43OTkxNDUgMCAwIDAuNzk5Nzk2IDky&#10;MC45OTEgNTE0KSI+YW5hbHlzaXM8L3RleHQ+PHRleHQgZmlsbD0iI0ZGRkZGRiIgZm9udC1mYW1p&#10;bHk9IkNhbGlicmksQ2FsaWJyaV9NU0ZvbnRTZXJ2aWNlLEFyaWFsIiBmb250LXdlaWdodD0iNzAw&#10;IiBmb250LXNpemU9IjE3IiB0cmFuc2Zvcm09Im1hdHJpeCgwLjc5OTE0NSAwIDAgMC43OTk3OTYg&#10;MjQxLjU0MiA2NzQpIj5QUklNQVJZIERBVEEgU0VUUzwvdGV4dD48dGV4dCBmaWxsPSIjRkZGRkZG&#10;IiBmb250LWZhbWlseT0iQ2FsaWJyaSxDYWxpYnJpX01TRm9udFNlcnZpY2UsQXJpYWwiIGZvbnQt&#10;d2VpZ2h0PSI3MDAiIGZvbnQtc2l6ZT0iMTciIHRyYW5zZm9ybT0ibWF0cml4KDAuNzk5MTQ1IDAg&#10;MCAwLjc5OTc5NiAzNTcuNDE4IDY3NCkiPjo8L3RleHQ+PHRleHQgZm9udC1mYW1pbHk9IkNhbGli&#10;cmksQ2FsaWJyaV9NU0ZvbnRTZXJ2aWNlLEFyaWFsIiBmb250LXdlaWdodD0iNzAwIiBmb250LXNp&#10;emU9IjE3IiB0cmFuc2Zvcm09Im1hdHJpeCgwLjc5OTE0NSAwIDAgMC43OTk3OTYgNDYxLjg2OSA2&#10;NDcpIj5QUklNQVJZIERBVEEgU0VUUzwvdGV4dD48dGV4dCBmb250LWZhbWlseT0iQ2FsaWJyaSxD&#10;YWxpYnJpX01TRm9udFNlcnZpY2UsQXJpYWwiIGZvbnQtd2VpZ2h0PSI3MDAiIGZvbnQtc2l6ZT0i&#10;MTciIHRyYW5zZm9ybT0ibWF0cml4KDAuNzk5MTQ1IDAgMCAwLjc5OTc5NiA1NzcuNzQ1IDY0Nyki&#10;Pjo8L3RleHQ+PHRleHQgZm9udC1mYW1pbHk9IkNhbGlicmksQ2FsaWJyaV9NU0ZvbnRTZXJ2aWNl&#10;LEFyaWFsIiBmb250LXdlaWdodD0iNzAwIiBmb250LXNpemU9IjE3IiB0cmFuc2Zvcm09Im1hdHJp&#10;eCgwLjc5OTE0NSAwIDAgMC43OTk3OTYgNjg1LjQ5OSA2ODkpIj5QUklNQVJZIERBVEEgU0VUUzwv&#10;dGV4dD48dGV4dCBmb250LWZhbWlseT0iQ2FsaWJyaSxDYWxpYnJpX01TRm9udFNlcnZpY2UsQXJp&#10;YWwiIGZvbnQtd2VpZ2h0PSI3MDAiIGZvbnQtc2l6ZT0iMTciIHRyYW5zZm9ybT0ibWF0cml4KDAu&#10;Nzk5MTQ1IDAgMCAwLjc5OTc5NiA4MDEuMzc1IDY4OSkiPjo8L3RleHQ+PHBhdGggZD0iTTYuNzMw&#10;MjkgMTkxLjc5NUM2LjU0NDEgMTkxLjc5NSA2LjM5MzE2IDE5MS42NDQgNi4zOTMxNiAxOTEuNDU4&#10;TDYuMzkzMTYgMTY4Ljk1N0M2LjM5MzE2IDE2OC43NzEgNi41NDQxIDE2OC42MiA2LjczMDI5IDE2&#10;OC42MkwyMjEuMDI2IDE2OC42MkMyMjEuMjEyIDE2OC42MiAyMjEuMzYzIDE2OC43NzEgMjIxLjM2&#10;MyAxNjguOTU3TDIyMS4zNjMgMTkxLjQ1OEMyMjEuMzYzIDE5MS42NDQgMjIxLjIxMiAxOTEuNzk1&#10;IDIyMS4wMjYgMTkxLjc5NVoiIGZpbGw9InVybCgjcGF0dGVybjE5NikiIGZpbGwtcnVsZT0iZXZl&#10;bm9kZCIgdHJhbnNmb3JtPSJtYXRyaXgoMSAwIDAgMS4wMDA4MSAtMC43OTkxNDUgMS44MDA4Miki&#10;Lz48cGF0aCBkPSJNMjMxLjI5IDE5MS43OTVDMjMxLjEwNCAxOTEuNzk1IDIzMC45NTMgMTkxLjY0&#10;NCAyMzAuOTUzIDE5MS40NThMMjMwLjk1MyAxNjguOTU3QzIzMC45NTMgMTY4Ljc3MSAyMzEuMTA0&#10;IDE2OC42MiAyMzEuMjkgMTY4LjYyTDQ0NC43ODcgMTY4LjYyQzQ0NC45NzMgMTY4LjYyIDQ0NS4x&#10;MjQgMTY4Ljc3MSA0NDUuMTI0IDE2OC45NTdMNDQ1LjEyNCAxOTEuNDU4QzQ0NS4xMjQgMTkxLjY0&#10;NCA0NDQuOTczIDE5MS43OTUgNDQ0Ljc4NyAxOTEuNzk1WiIgZmlsbD0idXJsKCNwYXR0ZXJuMTk4&#10;KSIgZmlsbC1ydWxlPSJldmVub2RkIiB0cmFuc2Zvcm09Im1hdHJpeCgxIDAgMCAxLjAwMDgxIC0w&#10;Ljc5OTE0NSAxLjgwMDgyKSIvPjxwYXRoIGQ9Ik00NTMuNDUzIDE5MS43OTVDNDUzLjI2NiAxOTEu&#10;Nzk1IDQ1My4xMTUgMTkxLjY0NCA0NTMuMTE1IDE5MS40NThMNDUzLjExNSAxNjguOTU3QzQ1My4x&#10;MTUgMTY4Ljc3MSA0NTMuMjY2IDE2OC42MiA0NTMuNDUzIDE2OC42Mkw2NzAuOTQ1IDE2OC42MkM2&#10;NzEuMTMxIDE2OC42MiA2NzEuMjgyIDE2OC43NzEgNjcxLjI4MiAxNjguOTU3TDY3MS4yODIgMTkx&#10;LjQ1OEM2NzEuMjgyIDE5MS42NDQgNjcxLjEzMSAxOTEuNzk1IDY3MC45NDUgMTkxLjc5NVoiIGZp&#10;bGw9InVybCgjcGF0dGVybjIwMCkiIGZpbGwtcnVsZT0iZXZlbm9kZCIgdHJhbnNmb3JtPSJtYXRy&#10;aXgoMSAwIDAgMS4wMDA4MSAtMC43OTkxNDUgMS44MDA4MikiLz48cGF0aCBkPSJNNjc3LjIxMyAx&#10;OTEuNzk1QzY3Ny4wMjcgMTkxLjc5NSA2NzYuODc2IDE5MS42NDQgNjc2Ljg3NiAxOTEuNDU4TDY3&#10;Ni44NzYgMTY4Ljk1N0M2NzYuODc2IDE2OC43NzEgNjc3LjAyNyAxNjguNjIgNjc3LjIxMyAxNjgu&#10;NjJMODkwLjcxMSAxNjguNjJDODkwLjg5NSAxNjguNjIgODkxLjA0NyAxNjguNzcxIDg5MS4wNDcg&#10;MTY4Ljk1N0w4OTEuMDQ3IDE5MS40NThDODkxLjA0NyAxOTEuNjQ0IDg5MC44OTUgMTkxLjc5NSA4&#10;OTAuNzExIDE5MS43OTVaIiBmaWxsPSJ1cmwoI3BhdHRlcm4yMDIpIiBmaWxsLXJ1bGU9ImV2ZW5v&#10;ZGQiIHRyYW5zZm9ybT0ibWF0cml4KDEgMCAwIDEuMDAwODEgLTAuNzk5MTQ1IDEuODAwODIpIi8+&#10;PHBhdGggZD0iTTkwMi41NzEgMTkxLjc5NUM5MDIuMzg3IDE5MS43OTUgOTAyLjIzNSAxOTEuNjQ0&#10;IDkwMi4yMzUgMTkxLjQ1OEw5MDIuMjM1IDE2OC45NTdDOTAyLjIzNSAxNjguNzcxIDkwMi4zODcg&#10;MTY4LjYyIDkwMi41NzEgMTY4LjYyTDExMTUuMjcgMTY4LjYyQzExMTUuNDYgMTY4LjYyIDExMTUu&#10;NjEgMTY4Ljc3MSAxMTE1LjYxIDE2OC45NTdMMTExNS42MSAxOTEuNDU4QzExMTUuNjEgMTkxLjY0&#10;NCAxMTE1LjQ2IDE5MS43OTUgMTExNS4yNyAxOTEuNzk1WiIgZmlsbD0idXJsKCNwYXR0ZXJuMjA0&#10;KSIgZmlsbC1ydWxlPSJldmVub2RkIiB0cmFuc2Zvcm09Im1hdHJpeCgxIDAgMCAxLjAwMDgxIC0w&#10;Ljc5OTE0NSAxLjgwMDgyKSIvPjxwYXRoIGQ9Ik0wIDEuMjIwNkMtMC4wNzczOTY2IDAuNDk4NzQ1&#10;IDAuNDcwNDYyIDAuMDI4NjIyNSAxLjIyMDkzIDAgMTMuMDA3LTEuNjgzOCAyNS4wMDA0LTAuNDg4&#10;NDcgNDMuNTg0NiAwIDYyLjE2ODcgMC40ODg0NyA2My43NjE1IDAuMTUwMTM3IDgyLjY4OTIgMCA4&#10;My4zMDYxLTAuMDMxNTU4MiA4NC4wNTgxIDAuNjE2OTA0IDgzLjkxMDMgMS4yMjA2IDgzLjYxMjIg&#10;MTkuMzE3NSA4NC4zOTQ1IDI2LjM3MDYgODMuOTEwMyA0OC42NjYgODMuNDI2IDcwLjk2MTUgODIu&#10;Nzc3MSAxMTQuOTQ5IDgzLjkxMDMgMTQwLjc2NiA4NS4wNDM0IDE2Ni41ODMgODMuNjkyMSAxNzIu&#10;ODY2IDgzLjkxMDMgMTg4LjIxMiA4NC4xMjg0IDIwMy41NTYgODUuMDAyNyAyMzguMTggODMuOTEw&#10;MyAyODAuMzExIDgyLjgxNzggMzIyLjQ0MyA4NC42MjMxIDMwNC4zODEgODMuOTEwMyAzMTYuNTkz&#10;IDgzLjE5NzQgMzI4LjgwNSA4NC43MzEgMzYwLjc4NiA4My45MTAzIDM4Ni4zNjYgODMuMDg5NSA0&#10;MTEuOTQ1IDg0LjE0MzYgNDI5LjI1NiA4My45MTAzIDQ1Ni4xMzkgODMuNjc2OSA0ODMuMDIgODEu&#10;ODM4MSA0OTMuMTY5IDgzLjkxMDMgNTE0Ljc0NyA4NS45ODI0IDUzNi4zMjYgODMuNjk5MyA1NzEu&#10;ODY0IDgzLjkxMDMgNjA2Ljg0NyA4NC4xMjEyIDY0MS44MyA4Ny4zNTQ2IDY2Ni4yMDggODMuOTEw&#10;MyA2OTguOTQ3IDgwLjQ2NTkgNzMxLjY4NSA4NS4wNzIyIDczMC42NjcgODMuOTEwMyA3NDYuMzky&#10;IDgyLjc0ODMgNzYyLjExOCA4NS4yOTM2IDc5Ni4zMDkgODMuOTEwMyA4MTYuMTY3IDgyLjUyNjkg&#10;ODM2LjAxOCA4Ni44NjMxIDg2NS42MzQgODMuOTEwMyA5MDguMjY5IDgwLjk1NzQgOTUwLjg5NSA4&#10;Mi4wODM0IDk0Ni40NiA4My45MTAzIDk3OC4wMzQgODUuNzM3MSAxMDA5LjYyIDgzLjUyMzUgMTAw&#10;MS41NCA4My45MTAzIDEwMTQuMzIgODQuMjk3IDEwMjcuMSA4Ni4xNDU1IDEwNzcuMSA4My45MTAz&#10;IDExMTcuNTggODQuMDM1NyAxMTE4LjE4IDgzLjM0MjkgMTExOC44NCA4Mi42ODkyIDExMTguOCA2&#10;OS4yMjc2IDExMTguNyA2Mi4yMjMxIDExMTcuMjUgNDIuNzY5OCAxMTE4LjggMjMuMzE2NSAxMTIw&#10;LjM1IDEwLjY1MjggMTExNy4wNiAxLjIyMDkzIDExMTguOCAwLjQ0NTkyMSAxMTE4LjggMC4wOTU2&#10;NDQ5IDExMTguMzQgMCAxMTE3LjU4IDIuOTA4ODcgMTA4OC42NC0xLjA3NDEyIDEwNjYuNTUgMCAx&#10;MDQ3LjgxIDEuMDc0MTIgMTAyOS4wOC0wLjUyMDY5NyAxMDEyLjU4IDAgMTAwMC4zNiAwLjUyMDY5&#10;NyA5ODguMTUxIDMuMTE5MzUgOTUxLjkxOCAwIDkxOS40MjUtMy4xMTkzNSA4ODYuOTM5IDAuMzk2&#10;NTI2IDg4Mi42OTYgMCA4NzEuOTc5LTAuMzk2NTI2IDg2MS4yNzEtMi43NDUwNiA4MTUuOTI3IDAg&#10;NzkxLjA0NyAyLjc0NTA2IDc2Ni4xNjMtMC43OTEwNiA3NjcuNDE4IDAgNzU0Ljc2NSAwLjc5MTA2&#10;IDc0Mi4xMTEtMS45ODY1MiA2OTcuOTA5IDAgNjczLjgyOSAxLjk4NjUyIDY0OS43NDktMC4wNjIy&#10;OTQ4IDY0MC41MjEgMCA2MjYuMzg0IDAuMDYyMjk0OCA2MTIuMjQ2IDEuMzQ5NjEgNjA2LjQxMiAw&#10;IDU5MC4xMDItMS4zNDk2MSA1NzMuNzkxLTAuNzgwMzYzIDU1NC40MzMgMCA1NDIuNjU2IDAuNzgw&#10;MzYzIDUzMC44NzktMi4xNzc4IDQ4Mi4wMzUgMCA0NjEuNzIgMi4xNzc4IDQ0MS40MDUgMS4xNjQw&#10;OSA0MjguMTQgMCA0MTQuMjc1LTEuMTY0MDkgNDAwLjQwOS0wLjU1ODk3NSAzOTYuMDkxIDAgMzc3&#10;Ljk5MyAwLjU1ODk3NSAzNTkuODk1IDIuMzU0NTEgMzQyLjIwOSAwIDMzMC41NDctMi4zNTQ1MSAz&#10;MTguODg1IDEuMTM3MDQgMjkyLjA3MyAwIDI3MS45MzktMS4xMzcwNCAyNTEuODAzIDAuMDc2OTc3&#10;MSAyMjAuMTE1IDAgMjAyLjE2Ni0wLjA3Njk3NzEgMTg0LjIxNy0xLjIyMzQ1IDE3My4wMTYgMCAx&#10;NTQuNzIgMS4yMjM0NSAxMzYuNDI0LTEuNzc5NDkgMTA2LjE5OCAwIDYyLjYyMDUgMS43Nzk0OSAx&#10;OS4wNDM0LTEuOTc1NSAyMy4yMTY2IDAgMS4yMjA2WiIgZmlsbD0iIzUzNTQ1MSIgZmlsbC1ydWxl&#10;PSJldmVub2RkIiB0cmFuc2Zvcm09Im1hdHJpeCgxLjgzNjk3ZS0xNiAxLjAwMDgxIDEgLTEuODM4&#10;NDdlLTE2IDEuNTk4MjkgMTAwLjE3NikiLz48cGF0aCBkPSJNMCAxLjIyMDZDMC4wMzE2NzE3IDAu&#10;NjU3NzkzIDAuNTg1NjEzIDAuMDE2NDYwNiAxLjIyMDkzIDAgMTAuMzM2MyAwLjQ4NjQ3OCAyMS45&#10;MzQxIDAuNDU1OTY4IDQxLjk1NTEgMCA2MS45NzYxLTAuNDU1OTY4IDY3LjY2NjUgMS4wMzYzOSA4&#10;Mi42ODkyIDAgODMuMzY2OCAwLjEzMzA0NyA4My45NDYyIDAuNTE0MTU3IDgzLjkxMDMgMS4yMjA2&#10;IDgzLjQzMjQgMjAuMDIzMyA4NS4zMTI4IDQ0LjkxNzYgODMuOTEwMyA3MC45OTMzIDgyLjUwNzgg&#10;OTcuMDY5IDgzLjE1OTkgMTI5LjA0NSA4My45MTAzIDE2My4wOTMgODQuNjYwNyAxOTcuMTQxIDg1&#10;LjM3NTkgMjAzLjE5MyA4My45MTAzIDIzMi44NjYgODIuNDQ0NiAyNjIuNTM4IDgzLjQ4MDMgMjgx&#10;LjYyIDgzLjkxMDMgMzI0Ljk2NSA4NC4zNDAyIDM2OC4zMSA4MS4yOTA3IDM2Mi40MjkgODMuOTEw&#10;MyAzODMuNTc1IDg2LjUyOTkgNDA0LjcyIDgxLjg3MDggNDA3LjM5NSA4My45MTAzIDQzMS4wMiA4&#10;NS45NDk3IDQ1NC42NDUgODAuNTUzIDQ4NC40MDIgODMuOTEwMyA1MDAuNzkyIDg3LjI2NzUgNTE3&#10;LjE4MyA4MC4xNzExIDU1OC43ODYgODMuOTEwMyA1ODEuNzI5IDg3LjY0OTUgNjA0LjY3MSA4Ni44&#10;ODc5IDY1NS4xOTUgODMuOTEwMyA2NzMuODI5IDgwLjkzMjYgNjkyLjQ2MyA4MC45MTExIDcyMy40&#10;MTkgODMuOTEwMyA3NTQuNzY1IDg2LjkwOTQgNzg2LjExMSA4NS4xMzQ1IDgxMC4xOTcgODMuOTEw&#10;MyA4NDYuODYyIDgyLjY4NiA4ODMuNTM1IDg2LjU2NjYgOTA0LjEyOSA4My45MTAzIDkyNy44IDgx&#10;LjI1MzkgOTUxLjQ3IDg1Ljk3ODQgOTY0Ljg0OCA4My45MTAzIDk3NS4yNDUgODEuODQyMSA5ODUu&#10;NjQyIDgzLjQwMTIgMTAyNC4xIDgzLjkxMDMgMTA1Ni4xOCA4NC40MTkzIDEwODguMjYgODYuMTAz&#10;MSAxMDk5Ljk4IDgzLjkxMDMgMTExNy41OCA4My43NTEyIDExMTguMjkgODMuMzc0OCAxMTE4Ljg0&#10;IDgyLjY4OTIgMTExOC44IDY1LjQxOTcgMTExNy4xMyA1NC4xNDA2IDExMTkuNTUgNDIuNzY5OCAx&#10;MTE4LjggMzEuMzk5IDExMTguMDUgMTcuNTMyNCAxMTE2Ljg4IDEuMjIwOTMgMTExOC44IDAuNjY5&#10;NjE3IDExMTguNzIgMC4wNzgyMzU1IDExMTguMTkgMCAxMTE3LjU4LTAuMTg1NDE2IDEwODcuNzYt&#10;NC4xNzM3NSAxMDU2LjYxIDAgMTAyNS40OCA0LjE3Mzc1IDk5NC4zNDUtMy4yNzcwOSA5NjguMDM3&#10;IDAgOTMzLjM4NiAzLjI3NzA5IDg5OC43MzUgMS4zOTEwNCA4OTguOTc1IDAgODg1Ljk0LTEuMzkx&#10;MDQgODcyLjg5OC0zLjUyNzczIDgzOC43NTEgMCA3OTMuODM4IDMuNTI3NzMgNzQ4LjkyMiAwLjk3&#10;OTcyOCA3NjYuNTUzIDAgNzQ2LjM5Mi0wLjk3OTcyOCA3MjYuMjMxIDEuOTY4NjkgNjk4LjM3MyAw&#10;IDY2NS40NTYtMS45Njg2OSA2MzIuNTM5IDEuMjIxNjcgNjEzLjU1MyAwIDU3My4zNTYtMS4yMjE2&#10;NyA1MzMuMTYtMC44MzU2MzQgNTUyLjIzMyAwIDUzNy4wNzQgMC44MzU2MzQgNTIxLjkxNiAzLjQ3&#10;MDk5IDQ4MC44ODMgMCA0NDQuOTc0LTMuNDcwOTkgNDA5LjA2NiAzLjA1NjU0IDM4My45MTcgMCAz&#10;NTIuODc1LTMuMDU2NTQgMzIxLjgzMy0wLjkyNjEzOCAzMjcuMDcxIDAgMzE2LjU5MyAwLjkyNjEz&#10;OCAzMDYuMTE1LTEuNzYzNzYgMjYzLjUzMyAwIDI0Ni44MiAxLjc2Mzc2IDIzMC4xMDgtMS45MDc2&#10;NSAyMTAuODkxIDAgMTg4LjIxMiAxLjkwNzY1IDE2NS41MzItMC44NTcwMjcgMTQ2LjY0MyAwIDEy&#10;OS42MDIgMC44NTcwMjcgMTEyLjU2MSAwLjU3MDgyNiA4NC40MjQxIDAgNzAuOTkzMy0wLjU3MDgy&#10;NiA1Ny41NjIyLTEuNzQzMSAyMy4yNjY2IDAgMS4yMjA2WiIgc3Ryb2tlPSIjMzY0MjRBIiBzdHJv&#10;a2Utd2lkdGg9IjEuMzMxOTEiIHN0cm9rZS1taXRlcmxpbWl0PSI4IiBmaWxsPSJub25lIiBmaWxs&#10;LXJ1bGU9ImV2ZW5vZGQiIHRyYW5zZm9ybT0ibWF0cml4KDEuODM2OTdlLTE2IDEuMDAwODEgMSAt&#10;MS44Mzg0N2UtMTYgMS41OTgyOSAxMDAuMTc2KSIvPjx0ZXh0IGZpbGw9IiNGRkZGRkYiIGZvbnQt&#10;ZmFtaWx5PSJDYWxpYnJpLENhbGlicmlfTVNGb250U2VydmljZSxBcmlhbCIgZm9udC13ZWlnaHQ9&#10;IjQwMCIgZm9udC1zaXplPSIxNyIgdHJhbnNmb3JtPSJtYXRyaXgoMC43OTkxNDUgMCAwIDAuNzk5&#10;Nzk2IDE1LjMwMzQgMTQxKSI+R2F0aGVyaW5nPC90ZXh0Pjx0ZXh0IGZpbGw9IiNGRkZGRkYiIGZv&#10;bnQtZmFtaWx5PSJDYWxpYnJpLENhbGlicmlfTVNGb250U2VydmljZSxBcmlhbCIgZm9udC13ZWln&#10;aHQ9IjQwMCIgZm9udC1zaXplPSIxNyIgdHJhbnNmb3JtPSJtYXRyaXgoMC43OTkxNDUgMCAwIDAu&#10;Nzk5Nzk2IDcwLjQ0NDQgMTQxKSI+LCA8L3RleHQ+PHRleHQgZmlsbD0iI0ZGRkZGRiIgZm9udC1m&#10;YW1pbHk9IkNhbGlicmksQ2FsaWJyaV9NU0ZvbnRTZXJ2aWNlLEFyaWFsIiBmb250LXdlaWdodD0i&#10;NDAwIiBmb250LXNpemU9IjE3IiB0cmFuc2Zvcm09Im1hdHJpeCgwLjc5OTE0NSAwIDAgMC43OTk3&#10;OTYgNzYuODM3NiAxNDEpIj5jb2RpbmcgYW5kIHJldmlld2luZyBkb2N1bWVudHMgPC90ZXh0Pjx0&#10;ZXh0IGZpbGw9IiNGRkZGRkYiIGZvbnQtZmFtaWx5PSJDYWxpYnJpLENhbGlicmlfTVNGb250U2Vy&#10;dmljZSxBcmlhbCIgZm9udC13ZWlnaHQ9IjQwMCIgZm9udC1zaXplPSIxNyIgdHJhbnNmb3JtPSJt&#10;YXRyaXgoMC43OTkxNDUgMCAwIDAuNzk5Nzk2IDI2My4wMzggMTQxKSI+KDwvdGV4dD48dGV4dCBm&#10;aWxsPSIjRkZGRkZGIiBmb250LWZhbWlseT0iQ2FsaWJyaSxDYWxpYnJpX01TRm9udFNlcnZpY2Us&#10;QXJpYWwiIGZvbnQtd2VpZ2h0PSI0MDAiIGZvbnQtc2l6ZT0iMTciIHRyYW5zZm9ybT0ibWF0cml4&#10;KDAuNzk5MTQ1IDAgMCAwLjc5OTc5NiAyNjcuMDM0IDE0MSkiPmluY2x1ZGluZyA8L3RleHQ+PHRl&#10;eHQgZmlsbD0iI0ZGRkZGRiIgZm9udC1mYW1pbHk9IkNhbGlicmksQ2FsaWJyaV9NU0ZvbnRTZXJ2&#10;aWNlLEFyaWFsIiBmb250LXdlaWdodD0iNDAwIiBmb250LXNpemU9IjE3IiB0cmFuc2Zvcm09Im1h&#10;dHJpeCgwLjc5OTE0NSAwIDAgMC43OTk3OTYgMTUuMzAzNCAxNTcpIj5wb2xpY3kgcGFwZXJzPC90&#10;ZXh0Pjx0ZXh0IGZpbGw9IiNGRkZGRkYiIGZvbnQtZmFtaWx5PSJDYWxpYnJpLENhbGlicmlfTVNG&#10;b250U2VydmljZSxBcmlhbCIgZm9udC13ZWlnaHQ9IjQwMCIgZm9udC1zaXplPSIxNyIgdHJhbnNm&#10;b3JtPSJtYXRyaXgoMC43OTkxNDUgMCAwIDAuNzk5Nzk2IDg4LjgyNDggMTU3KSI+LCA8L3RleHQ+&#10;PHRleHQgZmlsbD0iI0ZGRkZGRiIgZm9udC1mYW1pbHk9IkNhbGlicmksQ2FsaWJyaV9NU0ZvbnRT&#10;ZXJ2aWNlLEFyaWFsIiBmb250LXdlaWdodD0iNDAwIiBmb250LXNpemU9IjE3IiB0cmFuc2Zvcm09&#10;Im1hdHJpeCgwLjc5OTE0NSAwIDAgMC43OTk3OTYgOTUuMjE3OSAxNTcpIj5zdHJhdGVnaWVzPC90&#10;ZXh0Pjx0ZXh0IGZpbGw9IiNGRkZGRkYiIGZvbnQtZmFtaWx5PSJDYWxpYnJpLENhbGlicmlfTVNG&#10;b250U2VydmljZSxBcmlhbCIgZm9udC13ZWlnaHQ9IjQwMCIgZm9udC1zaXplPSIxNyIgdHJhbnNm&#10;b3JtPSJtYXRyaXgoMC43OTkxNDUgMCAwIDAuNzk5Nzk2IDE0OS41NiAxNTcpIj4sIDwvdGV4dD48&#10;dGV4dCBmaWxsPSIjRkZGRkZGIiBmb250LWZhbWlseT0iQ2FsaWJyaSxDYWxpYnJpX01TRm9udFNl&#10;cnZpY2UsQXJpYWwiIGZvbnQtd2VpZ2h0PSI0MDAiIGZvbnQtc2l6ZT0iMTciIHRyYW5zZm9ybT0i&#10;bWF0cml4KDAuNzk5MTQ1IDAgMCAwLjc5OTc5NiAxNTUuOTUzIDE1NykiPnBsYW5zPC90ZXh0Pjx0&#10;ZXh0IGZpbGw9IiNGRkZGRkYiIGZvbnQtZmFtaWx5PSJDYWxpYnJpLENhbGlicmlfTVNGb250U2Vy&#10;dmljZSxBcmlhbCIgZm9udC13ZWlnaHQ9IjQwMCIgZm9udC1zaXplPSIxNyIgdHJhbnNmb3JtPSJt&#10;YXRyaXgoMC43OTkxNDUgMCAwIDAuNzk5Nzk2IDE4NS41MjEgMTU3KSI+LCA8L3RleHQ+PHRleHQg&#10;ZmlsbD0iI0ZGRkZGRiIgZm9udC1mYW1pbHk9IkNhbGlicmksQ2FsaWJyaV9NU0ZvbnRTZXJ2aWNl&#10;LEFyaWFsIiBmb250LXdlaWdodD0iNDAwIiBmb250LXNpemU9IjE3IiB0cmFuc2Zvcm09Im1hdHJp&#10;eCgwLjc5OTE0NSAwIDAgMC43OTk3OTYgMTkxLjkxNSAxNTcpIj5yZXBvcnRzPC90ZXh0Pjx0ZXh0&#10;IGZpbGw9IiNGRkZGRkYiIGZvbnQtZmFtaWx5PSJDYWxpYnJpLENhbGlicmlfTVNGb250U2Vydmlj&#10;ZSxBcmlhbCIgZm9udC13ZWlnaHQ9IjQwMCIgZm9udC1zaXplPSIxNyIgdHJhbnNmb3JtPSJtYXRy&#10;aXgoMC43OTkxNDUgMCAwIDAuNzk5Nzk2IDIzMi42NzEgMTU3KSI+LCA8L3RleHQ+PHRleHQgZmls&#10;bD0iI0ZGRkZGRiIgZm9udC1mYW1pbHk9IkNhbGlicmksQ2FsaWJyaV9NU0ZvbnRTZXJ2aWNlLEFy&#10;aWFsIiBmb250LXdlaWdodD0iNDAwIiBmb250LXNpemU9IjE3IiB0cmFuc2Zvcm09Im1hdHJpeCgw&#10;Ljc5OTE0NSAwIDAgMC43OTk3OTYgMjM5LjA2NCAxNTcpIj5qb3VybmFsIGFydGljbGVzPC90ZXh0&#10;Pjx0ZXh0IGZpbGw9IiNGRkZGRkYiIGZvbnQtZmFtaWx5PSJDYWxpYnJpLENhbGlicmlfTVNGb250&#10;U2VydmljZSxBcmlhbCIgZm9udC13ZWlnaHQ9IjQwMCIgZm9udC1zaXplPSIxNyIgdHJhbnNmb3Jt&#10;PSJtYXRyaXgoMC43OTkxNDUgMCAwIDAuNzk5Nzk2IDMyMC41NzcgMTU3KSI+LCA8L3RleHQ+PHRl&#10;eHQgZmlsbD0iI0ZGRkZGRiIgZm9udC1mYW1pbHk9IkNhbGlicmksQ2FsaWJyaV9NU0ZvbnRTZXJ2&#10;aWNlLEFyaWFsIiBmb250LXdlaWdodD0iNDAwIiBmb250LXNpemU9IjE3IiB0cmFuc2Zvcm09Im1h&#10;dHJpeCgwLjc5OTE0NSAwIDAgMC43OTk3OTYgMTUuMzAzNCAxNzMpIj5ib29rIGNoYXB0ZXJzIGFu&#10;ZCB3ZWIgY29udGVudDwvdGV4dD48dGV4dCBmaWxsPSIjRkZGRkZGIiBmb250LWZhbWlseT0iQ2Fs&#10;aWJyaSxDYWxpYnJpX01TRm9udFNlcnZpY2UsQXJpYWwiIGZvbnQtd2VpZ2h0PSI0MDAiIGZvbnQt&#10;c2l6ZT0iMTciIHRyYW5zZm9ybT0ibWF0cml4KDAuNzk5MTQ1IDAgMCAwLjc5OTc5NiAxOTEuMTE1&#10;IDE3MykiPik8L3RleHQ+PHRleHQgZmlsbD0iI0ZGRkZGRiIgZm9udC1mYW1pbHk9IkNhbGlicmks&#10;Q2FsaWJyaV9NU0ZvbnRTZXJ2aWNlLEFyaWFsIiBmb250LXdlaWdodD0iNDAwIiBmb250LXNpemU9&#10;IjE3IiB0cmFuc2Zvcm09Im1hdHJpeCgwLjc5OTE0NSAwIDAgMC43OTk3OTYgMTk1LjExMSAxNzMp&#10;Ij4sIDwvdGV4dD48dGV4dCBmaWxsPSIjRkZGRkZGIiBmb250LWZhbWlseT0iQ2FsaWJyaSxDYWxp&#10;YnJpX01TRm9udFNlcnZpY2UsQXJpYWwiIGZvbnQtd2VpZ2h0PSI0MDAiIGZvbnQtc2l6ZT0iMTci&#10;IHRyYW5zZm9ybT0ibWF0cml4KDAuNzk5MTQ1IDAgMCAwLjc5OTc5NiAyMDEuNTA0IDE3MykiPnRv&#10;PC90ZXh0Pjx0ZXh0IGZpbGw9IiNGRkZGRkYiIGZvbnQtZmFtaWx5PSJDYWxpYnJpLENhbGlicmlf&#10;TVNGb250U2VydmljZSxBcmlhbCIgZm9udC13ZWlnaHQ9IjQwMCIgZm9udC1zaXplPSIxNyIgdHJh&#10;bnNmb3JtPSJtYXRyaXgoMC43OTkxNDUgMCAwIDAuNzk5Nzk2IDIxMy40OTEgMTczKSI+Li4uIDwv&#10;dGV4dD48ZyBjbGlwLXBhdGg9InVybCgjY2xpcDIwNSkiPjxnIGNsaXAtcGF0aD0idXJsKCNjbGlw&#10;MjA2KSI+PGcgY2xpcC1wYXRoPSJ1cmwoI2NsaXAyMDcpIj48ZyBjbGlwLXBhdGg9InVybCgjY2xp&#10;cDIwOCkiIHRyYW5zZm9ybT0ibWF0cml4KDAuMzAzNjc2IDAgMCAwLjM2NzkwOCA0MDguMzYzIDE1&#10;Ni4xNjEpIj48ZyBjbGlwLXBhdGg9InVybCgjY2xpcDIxMCkiPjx1c2Ugd2lkdGg9IjEwMCUiIGhl&#10;aWdodD0iMTAwJSIgeGxpbms6aHJlZj0iI2ltZzIwOSIgdHJhbnNmb3JtPSJ0cmFuc2xhdGUoMS40&#10;ODA5NWUtMDUgMy41OTg4M2UtMDUpIj48L3VzZT48L2c+PC9nPjwvZz48L2c+PC9nPjxnIGNsaXAt&#10;cGF0aD0idXJsKCNjbGlwMjExKSI+PGcgY2xpcC1wYXRoPSJ1cmwoI2NsaXAyMTIpIj48ZyBjbGlw&#10;LXBhdGg9InVybCgjY2xpcDIxMykiPjxnIGNsaXAtcGF0aD0idXJsKCNjbGlwMjE0KSIgdHJhbnNm&#10;b3JtPSJtYXRyaXgoMC4yODc2OTMgMCAwIDAuMzgzOTAyIDU5Ni45NjIgMTU1LjM2MikiPjxnIGNs&#10;aXAtcGF0aD0idXJsKCNjbGlwMjE1KSI+PHVzZSB3aWR0aD0iMTAwJSIgaGVpZ2h0PSIxMDAlIiB4&#10;bGluazpocmVmPSIjaW1nMjA5IiB0cmFuc2Zvcm09InRyYW5zbGF0ZSgtMC4wMDAxMDI4MDEgLTcu&#10;ODM3MzZlLTA2KSI+PC91c2U+PC9nPjwvZz48L2c+PC9nPjwvZz48dGV4dCBmaWxsPSIjRkZGRkZG&#10;IiBmb250LWZhbWlseT0iQ2FsaWJyaSxDYWxpYnJpX01TRm9udFNlcnZpY2UsQXJpYWwiIGZvbnQt&#10;d2VpZ2h0PSI0MDAiIGZvbnQtc2l6ZT0iMTciIHRyYW5zZm9ybT0ibWF0cml4KDAuNzk5MTQ1IDAg&#10;MCAwLjc5OTc5NiA2NDMuMTU5IDEzOSkiPuKApjwvdGV4dD48dGV4dCBmaWxsPSIjRkZGRkZGIiBm&#10;b250LWZhbWlseT0iQ2FsaWJyaSxDYWxpYnJpX01TRm9udFNlcnZpY2UsQXJpYWwiIGZvbnQtd2Vp&#10;Z2h0PSI0MDAiIGZvbnQtc2l6ZT0iMTciIHRyYW5zZm9ybT0ibWF0cml4KDAuNzk5MTQ1IDAgMCAw&#10;Ljc5OTc5NiA2NTIuNzQ4IDEzOSkiPmlkZW50aWZ5IHJlbGV2YW50IHRoZW9yaWVzPC90ZXh0Pjx0&#10;ZXh0IGZpbGw9IiNGRkZGRkYiIGZvbnQtZmFtaWx5PSJDYWxpYnJpLENhbGlicmlfTVNGb250U2Vy&#10;dmljZSxBcmlhbCIgZm9udC13ZWlnaHQ9IjQwMCIgZm9udC1zaXplPSIxNyIgdHJhbnNmb3JtPSJt&#10;YXRyaXgoMC43OTkxNDUgMCAwIDAuNzk5Nzk2IDc5MS44IDEzOSkiPiw8L3RleHQ+PHRleHQgZmls&#10;bD0iI0ZGRkZGRiIgZm9udC1mYW1pbHk9IkNhbGlicmksQ2FsaWJyaV9NU0ZvbnRTZXJ2aWNlLEFy&#10;aWFsIiBmb250LXdlaWdodD0iNDAwIiBmb250LXNpemU9IjE3IiB0cmFuc2Zvcm09Im1hdHJpeCgw&#10;Ljc5OTE0NSAwIDAgMC43OTk3OTYgNjQzLjE1OSAxNTQpIj5tZXRob2RzPC90ZXh0Pjx0ZXh0IGZp&#10;bGw9IiNGRkZGRkYiIGZvbnQtZmFtaWx5PSJDYWxpYnJpLENhbGlicmlfTVNGb250U2VydmljZSxB&#10;cmlhbCIgZm9udC13ZWlnaHQ9IjQwMCIgZm9udC1zaXplPSIxNyIgdHJhbnNmb3JtPSJtYXRyaXgo&#10;MC43OTkxNDUgMCAwIDAuNzk5Nzk2IDY5Mi43MDYgMTU0KSI+LCA8L3RleHQ+PHRleHQgZmlsbD0i&#10;I0ZGRkZGRiIgZm9udC1mYW1pbHk9IkNhbGlicmksQ2FsaWJyaV9NU0ZvbnRTZXJ2aWNlLEFyaWFs&#10;IiBmb250LXdlaWdodD0iNDAwIiBmb250LXNpemU9IjE3IiB0cmFuc2Zvcm09Im1hdHJpeCgwLjc5&#10;OTE0NSAwIDAgMC43OTk3OTYgNjk5LjA5OSAxNTQpIj5hbmQgZXhpc3RpbmcgcmVzZWFyY2ggdG8g&#10;PC90ZXh0Pjx0ZXh0IGZpbGw9IiNGRkZGRkYiIGZvbnQtZmFtaWx5PSJDYWxpYnJpLENhbGlicmlf&#10;TVNGb250U2VydmljZSxBcmlhbCIgZm9udC13ZWlnaHQ9IjQwMCIgZm9udC1zaXplPSIxNyIgdHJh&#10;bnNmb3JtPSJtYXRyaXgoMC43OTkxNDUgMCAwIDAuNzk5Nzk2IDY0My4xNTkgMTY4KSI+YXBwbHkg&#10;b3IgZXhwbG9yZSBmdXJ0aGVyPC90ZXh0PjxnIGNsaXAtcGF0aD0idXJsKCNjbGlwMjE2KSI+PGcg&#10;Y2xpcC1wYXRoPSJ1cmwoI2NsaXAyMTcpIj48ZyBjbGlwLXBhdGg9InVybCgjY2xpcDIxOCkiPjxn&#10;IGNsaXAtcGF0aD0idXJsKCNjbGlwMjE5KSIgdHJhbnNmb3JtPSJtYXRyaXgoMC4zMDM2NzYgMCAw&#10;IDAuMzgzOTA0IDgwMy45NCAxNTYuMTYxKSI+PGcgY2xpcC1wYXRoPSJ1cmwoI2NsaXAyMjApIj48&#10;dXNlIHdpZHRoPSIxMDAlIiBoZWlnaHQ9IjEwMCUiIHhsaW5rOmhyZWY9IiNpbWcyMDkiIHRyYW5z&#10;Zm9ybT0idHJhbnNsYXRlKC05LjMyNzY1ZS0wNSAxLjI0OTUzZS0wNSkiPjwvdXNlPjwvZz48L2c+&#10;PC9nPjwvZz48L2c+PHRleHQgZmlsbD0iI0ZGRkZGRiIgZm9udC1mYW1pbHk9IkNhbGlicmksQ2Fs&#10;aWJyaV9NU0ZvbnRTZXJ2aWNlLEFyaWFsIiBmb250LXdlaWdodD0iNDAwIiBmb250LXNpemU9IjE3&#10;IiB0cmFuc2Zvcm09Im1hdHJpeCgwLjc5OTE0NSAwIDAgMC43OTk3OTYgODcwLjk3MiAxMzkpIj7i&#10;gKY8L3RleHQ+PHRleHQgZmlsbD0iI0ZGRkZGRiIgZm9udC1mYW1pbHk9IkNhbGlicmksQ2FsaWJy&#10;aV9NU0ZvbnRTZXJ2aWNlLEFyaWFsIiBmb250LXdlaWdodD0iNDAwIiBmb250LXNpemU9IjE3IiB0&#10;cmFuc2Zvcm09Im1hdHJpeCgwLjc5OTE0NSAwIDAgMC43OTk3OTYgODgwLjU2MiAxMzkpIj5hbmFs&#10;eXNlPC90ZXh0Pjx0ZXh0IGZpbGw9IiNGRkZGRkYiIGZvbnQtZmFtaWx5PSJDYWxpYnJpLENhbGli&#10;cmlfTVNGb250U2VydmljZSxBcmlhbCIgZm9udC13ZWlnaHQ9IjQwMCIgZm9udC1zaXplPSIxNyIg&#10;dHJhbnNmb3JtPSJtYXRyaXgoMC43OTkxNDUgMCAwIDAuNzk5Nzk2IDkyMi4xMTggMTM5KSI+LCA8&#10;L3RleHQ+PHRleHQgZmlsbD0iI0ZGRkZGRiIgZm9udC1mYW1pbHk9IkNhbGlicmksQ2FsaWJyaV9N&#10;U0ZvbnRTZXJ2aWNlLEFyaWFsIiBmb250LXdlaWdodD0iNDAwIiBmb250LXNpemU9IjE3IiB0cmFu&#10;c2Zvcm09Im1hdHJpeCgwLjc5OTE0NSAwIDAgMC43OTk3OTYgOTI4LjUxMSAxMzkpIj5zeW50aGVz&#10;aXplPC90ZXh0Pjx0ZXh0IGZpbGw9IiNGRkZGRkYiIGZvbnQtZmFtaWx5PSJDYWxpYnJpLENhbGli&#10;cmlfTVNGb250U2VydmljZSxBcmlhbCIgZm9udC13ZWlnaHQ9IjQwMCIgZm9udC1zaXplPSIxNyIg&#10;dHJhbnNmb3JtPSJtYXRyaXgoMC43OTkxNDUgMCAwIDAuNzk5Nzk2IDk4Ni44NDkgMTM5KSI+LCA8&#10;L3RleHQ+PHRleHQgZmlsbD0iI0ZGRkZGRiIgZm9udC1mYW1pbHk9IkNhbGlicmksQ2FsaWJyaV9N&#10;U0ZvbnRTZXJ2aWNlLEFyaWFsIiBmb250LXdlaWdodD0iNDAwIiBmb250LXNpemU9IjE3IiB0cmFu&#10;c2Zvcm09Im1hdHJpeCgwLjc5OTE0NSAwIDAgMC43OTk3OTYgOTkzLjI0MiAxMzkpIj5hbmQgY3Jp&#10;dGljYWxseSA8L3RleHQ+PHRleHQgZmlsbD0iI0ZGRkZGRiIgZm9udC1mYW1pbHk9IkNhbGlicmks&#10;Q2FsaWJyaV9NU0ZvbnRTZXJ2aWNlLEFyaWFsIiBmb250LXdlaWdodD0iNDAwIiBmb250LXNpemU9&#10;IjE3IiB0cmFuc2Zvcm09Im1hdHJpeCgwLjc5OTE0NSAwIDAgMC43OTk3OTYgODcwLjk3MiAxNTQp&#10;Ij5ldmFsdWF0ZSBob3cgZmluZGluZ3MgY29udHJpYnV0ZSB0bzwvdGV4dD48dGV4dCBmaWxsPSIj&#10;RkZGRkZGIiBmb250LWZhbWlseT0iQ2FsaWJyaSxDYWxpYnJpX01TRm9udFNlcnZpY2UsQXJpYWwi&#10;IGZvbnQtd2VpZ2h0PSI0MDAiIGZvbnQtc2l6ZT0iMTciIHRyYW5zZm9ybT0ibWF0cml4KDAuNzk5&#10;MTQ1IDAgMCAwLjc5OTc5NiA4NzAuOTcyIDE2OCkiPnRoZSBzdGF0ZSBvZiBrbm93bGVkZ2Ugb24g&#10;dGhlIHN1YmplY3Q8L3RleHQ+PGcgY2xpcC1wYXRoPSJ1cmwoI2NsaXAyMjEpIj48ZyBjbGlwLXBh&#10;dGg9InVybCgjY2xpcDIyMikiPjxnIGNsaXAtcGF0aD0idXJsKCNjbGlwMjIzKSI+PGcgY2xpcC1w&#10;YXRoPSJ1cmwoI2NsaXAyMjQpIiB0cmFuc2Zvcm09Im1hdHJpeCgwLjI4NzY5MyAwIDAgMC4zNjc5&#10;MDggMTA4NC40NCAxNTIuMTYyKSI+PGcgY2xpcC1wYXRoPSJ1cmwoI2NsaXAyMjUpIj48dXNlIHdp&#10;ZHRoPSIxMDAlIiBoZWlnaHQ9IjEwMCUiIHhsaW5rOmhyZWY9IiNpbWcyMDkiIHRyYW5zZm9ybT0i&#10;dHJhbnNsYXRlKC0wLjAwMDE0MzMwMyAyLjE1NTczZS0wNSkiPjwvdXNlPjwvZz48L2c+PC9nPjwv&#10;Zz48L2c+PHRleHQgZmlsbD0iI0ZGRkZGRiIgZm9udC1mYW1pbHk9IkNhbGlicmksQ2FsaWJyaV9N&#10;U0ZvbnRTZXJ2aWNlLEFyaWFsIiBmb250LXdlaWdodD0iNzAwIiBmb250LXNpemU9IjE4IiB0cmFu&#10;c2Zvcm09Im1hdHJpeCgwLjc5OTE0NSAwIDAgMC43OTk3OTYgNDI3LjA1OSAxMTkpIj5MSVRFUkFU&#10;VVJFIEFORCBET0NVTUVOVFMgUkVWSUVXPC90ZXh0Pjx0ZXh0IGZvbnQtZmFtaWx5PSJDYWxpYnJp&#10;LENhbGlicmlfTVNGb250U2VydmljZSxBcmlhbCIgZm9udC13ZWlnaHQ9IjcwMCIgZm9udC1zaXpl&#10;PSIxNyIgdHJhbnNmb3JtPSJtYXRyaXgoMC43OTkxNDUgMCAwIDAuNzk5Nzk2IDkwNy41MDEgNTk2&#10;KSI+UFJJTUFSWSBEQVRBIFNFVFM8L3RleHQ+PHRleHQgZm9udC1mYW1pbHk9IkNhbGlicmksQ2Fs&#10;aWJyaV9NU0ZvbnRTZXJ2aWNlLEFyaWFsIiBmb250LXdlaWdodD0iNzAwIiBmb250LXNpemU9IjE3&#10;IiB0cmFuc2Zvcm09Im1hdHJpeCgwLjc5OTE0NSAwIDAgMC43OTk3OTYgMTAyMy4zOCA1OTYpIj46&#10;PC90ZXh0Pjx0ZXh0IGZvbnQtZmFtaWx5PSJDYWxpYnJpLENhbGlicmlfTVNGb250U2VydmljZSxB&#10;cmlhbCIgZm9udC13ZWlnaHQ9IjcwMCIgZm9udC1zaXplPSIxNyIgdHJhbnNmb3JtPSJtYXRyaXgo&#10;MC43OTkxNDUgMCAwIDAuNzk5Nzk2IDg1LjM2MTUgMjEwKSI+TWV0aG9kczwvdGV4dD48cGF0aCBk&#10;PSJNMTU3LjgzMSAyMDMuMzgyIDIxNS41MiAyMDMuMzgyIiBzdHJva2U9IiMwMDAwMDAiIHN0cm9r&#10;ZS13aWR0aD0iMS45OTc4NiIgc3Ryb2tlLW1pdGVybGltaXQ9IjgiIGZpbGw9Im5vbmUiIGZpbGwt&#10;cnVsZT0iZXZlbm9kZCIgdHJhbnNmb3JtPSJtYXRyaXgoMSAwIDAgMS4wMDA4MSAtMC43OTkxNDUg&#10;MS44MDA4MikiLz48cGF0aCBkPSJNMTcuMTgxNiAyMDMuMzgyIDc2LjA0NDUgMjAzLjM4MiIgc3Ry&#10;b2tlPSIjMDAwMDAwIiBzdHJva2Utd2lkdGg9IjEuOTk3ODYiIHN0cm9rZS1taXRlcmxpbWl0PSI4&#10;IiBmaWxsPSJub25lIiBmaWxsLXJ1bGU9ImV2ZW5vZGQiIHRyYW5zZm9ybT0ibWF0cml4KDEgMCAw&#10;IDEuMDAwODEgLTAuNzk5MTQ1IDEuODAwODIpIi8+PHRleHQgZmlsbD0iIzlENTMzRCIgZm9udC1m&#10;YW1pbHk9IkNhbGlicmksQ2FsaWJyaV9NU0ZvbnRTZXJ2aWNlLEFyaWFsIiBmb250LXdlaWdodD0i&#10;NzAwIiBmb250LXNpemU9IjE3IiB0cmFuc2Zvcm09Im1hdHJpeCgwLjc5OTE0NSAwIDAgMC43OTk3&#10;OTYgNzU0LjQwNiAyMTApIj5NZXRob2RzPC90ZXh0PjxwYXRoIGQ9Ik04MjAuMzIzIDIwMy4zODIg&#10;ODg0LjY3OCAyMDMuMzgyIiBzdHJva2U9IiM5RDUzM0QiIHN0cm9rZS13aWR0aD0iMS45OTc4NiIg&#10;c3Ryb2tlLW1pdGVybGltaXQ9IjgiIGZpbGw9Im5vbmUiIGZpbGwtcnVsZT0iZXZlbm9kZCIgdHJh&#10;bnNmb3JtPSJtYXRyaXgoMSAwIDAgMS4wMDA4MSAtMC43OTkxNDUgMS44MDA4MikiLz48cGF0aCBk&#10;PSJNNjgwLjQ3MiAyMDMuMzgyIDc0Ny42NCAyMDMuMzgyIiBzdHJva2U9IiM5RDUzM0QiIHN0cm9r&#10;ZS13aWR0aD0iMS45OTc4NiIgc3Ryb2tlLW1pdGVybGltaXQ9IjgiIGZpbGw9Im5vbmUiIGZpbGwt&#10;cnVsZT0iZXZlbm9kZCIgdHJhbnNmb3JtPSJtYXRyaXgoMSAwIDAgMS4wMDA4MSAtMC43OTkxNDUg&#10;MS44MDA4MikiLz48dGV4dCBmaWxsPSIjOUQ1MzNEIiBmb250LWZhbWlseT0iQ2FsaWJyaSxDYWxp&#10;YnJpX01TRm9udFNlcnZpY2UsQXJpYWwiIGZvbnQtd2VpZ2h0PSI3MDAiIGZvbnQtc2l6ZT0iMTci&#10;IHRyYW5zZm9ybT0ibWF0cml4KDAuNzk5MTQ1IDAgMCAwLjc5OTc5NiA5NzcuMzcxIDIxMCkiPk1l&#10;dGhvZHM8L3RleHQ+PHBhdGggZD0iTTEwNDEuNjkgMjAzLjM4MiAxMTA3LjkxIDIwMy4zODIiIHN0&#10;cm9rZT0iIzlENTMzRCIgc3Ryb2tlLXdpZHRoPSIxLjk5Nzg2IiBzdHJva2UtbWl0ZXJsaW1pdD0i&#10;OCIgZmlsbD0ibm9uZSIgZmlsbC1ydWxlPSJldmVub2RkIiB0cmFuc2Zvcm09Im1hdHJpeCgxIDAg&#10;MCAxLjAwMDgxIC0wLjc5OTE0NSAxLjgwMDgyKSIvPjxwYXRoIGQ9Ik05MDYuNjMgMjAzLjM4MiA5&#10;NzEuNzY5IDIwMy4zODIiIHN0cm9rZT0iIzlENTMzRCIgc3Ryb2tlLXdpZHRoPSIxLjk5Nzg2IiBz&#10;dHJva2UtbWl0ZXJsaW1pdD0iOCIgZmlsbD0ibm9uZSIgZmlsbC1ydWxlPSJldmVub2RkIiB0cmFu&#10;c2Zvcm09Im1hdHJpeCgxIDAgMCAxLjAwMDgxIC0wLjc5OTE0NSAxLjgwMDgyKSIvPjx0ZXh0IGZv&#10;bnQtZmFtaWx5PSJDYWxpYnJpLENhbGlicmlfTVNGb250U2VydmljZSxBcmlhbCIgZm9udC13ZWln&#10;aHQ9IjcwMCIgZm9udC1zaXplPSIxNyIgdHJhbnNmb3JtPSJtYXRyaXgoMC43OTkxNDUgMCAwIDAu&#10;Nzk5Nzk2IDg4LjA2MSA0MzApIj5BbmFseXNpczwvdGV4dD48cGF0aCBkPSJNMTUyLjIzNyA0MjMu&#10;MTQ3IDIwOS45MjYgNDIzLjE0NyIgc3Ryb2tlPSIjMDAwMDAwIiBzdHJva2Utd2lkdGg9IjEuOTk3&#10;ODYiIHN0cm9rZS1taXRlcmxpbWl0PSI4IiBmaWxsPSJub25lIiBmaWxsLXJ1bGU9ImV2ZW5vZGQi&#10;IHRyYW5zZm9ybT0ibWF0cml4KDEgMCAwIDEuMDAwODEgLTAuNzk5MTQ1IDEuODAwODIpIi8+PHBh&#10;dGggZD0iTTE1LjU4MzMgNDIzLjE0NyA3OC4yMjUzIDQyMy4xNDciIHN0cm9rZT0iIzAwMDAwMCIg&#10;c3Ryb2tlLXdpZHRoPSIxLjk5Nzg2IiBzdHJva2UtbWl0ZXJsaW1pdD0iOCIgZmlsbD0ibm9uZSIg&#10;ZmlsbC1ydWxlPSJldmVub2RkIiB0cmFuc2Zvcm09Im1hdHJpeCgxIDAgMCAxLjAwMDgxIC0wLjc5&#10;OTE0NSAxLjgwMDgyKSIvPjxwYXRoIGQ9Ik02NDIuOTEyIDQ1NS45MTIgNjY2LjIyMSA0NTUuOTEy&#10;IiBzdHJva2U9IiNFNkVBN0YiIHN0cm9rZS13aWR0aD0iMS45OTc4NiIgc3Ryb2tlLW1pdGVybGlt&#10;aXQ9IjgiIGZpbGw9Im5vbmUiIGZpbGwtcnVsZT0iZXZlbm9kZCIgdHJhbnNmb3JtPSJtYXRyaXgo&#10;MSAwIDAgMS4wMDA4MSAtMC43OTkxNDUgMS44MDA4MikiLz48cGF0aCBkPSJNNDU4LjMxIDQ1NS45&#10;MTIgNDgxLjI4IDQ1NS45MTIiIHN0cm9rZT0iI0U2RUE3RiIgc3Ryb2tlLXdpZHRoPSIxLjk5Nzg2&#10;IiBzdHJva2UtbWl0ZXJsaW1pdD0iOCIgZmlsbD0ibm9uZSIgZmlsbC1ydWxlPSJldmVub2RkIiB0&#10;cmFuc2Zvcm09Im1hdHJpeCgxIDAgMCAxLjAwMDgxIC0wLjc5OTE0NSAxLjgwMDgyKSIvPjx0ZXh0&#10;IGZpbGw9IiM5RDUzM0QiIGZvbnQtZmFtaWx5PSJDYWxpYnJpLENhbGlicmlfTVNGb250U2Vydmlj&#10;ZSxBcmlhbCIgZm9udC13ZWlnaHQ9IjcwMCIgZm9udC1zaXplPSIxNyIgdHJhbnNmb3JtPSJtYXRy&#10;aXgoMC43OTkxNDUgMCAwIDAuNzk5Nzk2IDc1MS42NTcgMzUxKSI+QW5hbHlzaXM8L3RleHQ+PHBh&#10;dGggZD0iTTgxNy45MjUgMzQ0LjgzMSA4ODUuNDQ1IDM0NC44MzEiIHN0cm9rZT0iIzlENTMzRCIg&#10;c3Ryb2tlLXdpZHRoPSIxLjk5Nzg2IiBzdHJva2UtbWl0ZXJsaW1pdD0iOCIgZmlsbD0ibm9uZSIg&#10;ZmlsbC1ydWxlPSJldmVub2RkIiB0cmFuc2Zvcm09Im1hdHJpeCgxIDAgMCAxLjAwMDgxIC0wLjc5&#10;OTE0NSAxLjgwMDgyKSIvPjxwYXRoIGQ9Ik02ODMuNjY5IDM0NC44MzEgNzQyLjg0MiAzNDQuODMx&#10;IiBzdHJva2U9IiM5RDUzM0QiIHN0cm9rZS13aWR0aD0iMS45OTc4NiIgc3Ryb2tlLW1pdGVybGlt&#10;aXQ9IjgiIGZpbGw9Im5vbmUiIGZpbGwtcnVsZT0iZXZlbm9kZCIgdHJhbnNmb3JtPSJtYXRyaXgo&#10;MSAwIDAgMS4wMDA4MSAtMC43OTkxNDUgMS44MDA4MikiLz48dGV4dCBmaWxsPSIjOUQ1MzNEIiBm&#10;b250LWZhbWlseT0iQ2FsaWJyaSxDYWxpYnJpX01TRm9udFNlcnZpY2UsQXJpYWwiIGZvbnQtd2Vp&#10;Z2h0PSI3MDAiIGZvbnQtc2l6ZT0iMTciIHRyYW5zZm9ybT0ibWF0cml4KDAuNzk5MTQ1IDAgMCAw&#10;Ljc5OTc5NiA5NzguNzI5IDM4MikiPkFuYWx5c2lzIDwvdGV4dD48cGF0aCBkPSJNMTA0MS42OSAz&#10;NzUuMTk5IDExMDQuODYgMzc1LjE5OSIgc3Ryb2tlPSIjOUQ1MzNEIiBzdHJva2Utd2lkdGg9IjEu&#10;OTk3ODYiIHN0cm9rZS1taXRlcmxpbWl0PSI4IiBmaWxsPSJub25lIiBmaWxsLXJ1bGU9ImV2ZW5v&#10;ZGQiIHRyYW5zZm9ybT0ibWF0cml4KDEgMCAwIDEuMDAwODEgLTAuNzk5MTQ1IDEuODAwODIpIi8+&#10;PHBhdGggZD0iTTkwNC4yMzMgMzc1LjE5OSA5NzMuMDc5IDM3NS4xOTkiIHN0cm9rZT0iIzlENTMz&#10;RCIgc3Ryb2tlLXdpZHRoPSIxLjk5Nzg2IiBzdHJva2UtbWl0ZXJsaW1pdD0iOCIgZmlsbD0ibm9u&#10;ZSIgZmlsbC1ydWxlPSJldmVub2RkIiB0cmFuc2Zvcm09Im1hdHJpeCgxIDAgMCAxLjAwMDgxIC0w&#10;Ljc5OTE0NSAxLjgwMDgyKSIvPjxwYXRoIGQ9Ik03LjU5MTg4IDUuOTkzNTlDMzQuNTA3NiA1LjQy&#10;ODc5IDM4LjU2ODcgNi4yNzgyNyA2NS42OTk3IDUuOTkzNTkgOTIuODMwMyA1LjcwODkxIDg4LjA0&#10;MTggNi4zNTk5IDEwMS42NzEgNS45OTM1OSAxMTUuMzAxIDUuNjI3MjggMTQ4LjM4IDMuNjYwNTcg&#10;MTkyLjk4MyA1Ljk5MzU5IDIzNy41ODcgOC4zMjY2MSAyMzYuOTQ1IDguODMwNTYgMjUxLjA5MSA1&#10;Ljk5MzU5IDI2NS4yMzggMy4xNTY2NSAyOTAuMjI2IDcuNDE3NzIgMzA5LjIgNS45OTM1OSAzMjgu&#10;MTczIDQuNTY5NDYgMzYwLjc4MyA0LjA2MjEgNDAwLjUxMiA1Ljk5MzU5IDQ0MC4yNCA3LjkyNTA4&#10;IDQyOC4xODggNi42MjgxNyA0NDcuNTUyIDUuOTkzNTkgNDY2LjkxNSA1LjM1OSA1MDguMTI0IDQu&#10;MDQ2IDUzOC44NjQgNS45OTM1OSA1NjkuNjA0IDcuOTQxMTggNTg1LjEzNCAxMC40Mzk0IDYzMC4x&#10;NzYgNS45OTM1OSA2NzUuMjE4IDEuNTQ3NzQgNjcyLjk5IDYuMjI3MzggNjk5LjM1MiA1Ljk5MzU5&#10;IDcyNS43MTQgNS43NTk4IDc2OCAxLjg5ODI3IDc5MC42NjQgNS45OTM1OSA4MTMuMzMgMTAuMDg4&#10;OSA4MzQuMzMyIDYuNzkwNDEgODQ4Ljc3MiA1Ljk5MzU5IDg2My4yMTMgNS4xOTY3NyA4NzkuNzk1&#10;IDUuMDI1MTkgOTA2Ljg3OCA1Ljk5MzU5IDkzMy45NjEgNi45NjE5OSA5NTUuMTM4IDcuMTMyIDk4&#10;Ny4xMjggNS45OTM1OSAxMDE5LjExIDQuODU1MTggMTAyNC45NSA2LjUwODAxIDEwNDUuMjMgNS45&#10;OTM1OSAxMDY1LjUyIDUuNDc5MTcgMTA5OC4yOCA2Ljk2MTA1IDExMTQuNDEgNS45OTM1OSAxMTE0&#10;LjgyIDE0LjkwNDkgMTExMi44MyAyNS40MTcyIDExMTQuNDEgMzcuOTU5NCAxMDg0LjIzIDM2LjY3&#10;ODQgMTA2Ni42MSAzNy4zMDEzIDEwMzQuMTcgMzcuOTU5NCAxMDAxLjcxIDM4LjYxNzUgMTAxNC42&#10;MSAzNy4wMDczIDk5OC4xOTYgMzcuOTU5NCA5ODEuNzc0IDM4LjkxMTUgOTczLjk2NiAzNi44NjMx&#10;IDk1MS4xNTEgMzcuOTU5NCA5MjguMzQzIDM5LjA1NTcgODkxLjk4MiA0MS4wOTQ4IDg1OS44NCAz&#10;Ny45NTk0IDgyNy42OTkgMzQuODI0IDgwNy4yNTcgNDAuMDQ4MiA3OTAuNjY0IDM3Ljk1OTQgNzc0&#10;LjA3IDM1Ljg3MDYgNzYwLjEyMSAzOC4zNTI5IDc0My42MjUgMzcuOTU5NCA3MjcuMTI5IDM3LjU2&#10;NTkgNjk3LjQyOCAzNy4wNjM3IDY3NC40NDggMzcuOTU5NCA2NTEuNDY5IDM4Ljg1NTEgNjU0LjM2&#10;MSAzOC4wMDExIDYzOC40NzcgMzcuOTU5NCA2MjIuNTkzIDM3LjkxNzcgNjE3LjQyOSAzOS4wODk4&#10;IDYwMi41MDUgMzcuOTU5NCA1ODcuNTgyIDM2LjgyOSA1NjIuNzM0IDM2Ljg4MTUgNTMzLjMzIDM3&#10;Ljk1OTQgNTAzLjkyNSAzOS4wMzczIDUwNy4wMTEgMzguMjk2NCA0ODYuMjkgMzcuOTU5NCA0NjUu&#10;NTY4IDM3LjYyMjQgNDIzLjEyOCAzOC45MTc0IDQwNi4wNDYgMzcuOTU5NCAzODguOTYzIDM3LjAw&#10;MTQgMzcyLjk2OSAzOC4zOTUyIDM1OS4wMDYgMzcuOTU5NCAzNDUuMDQzIDM3LjUyMzYgMjk2LjAx&#10;OCAzOC4yODExIDI3OC43NjIgMzcuOTU5NCAyNjEuNTA2IDM3LjYzNzcgMjYwLjExNCAzOC41MzY4&#10;IDI0Mi43OSAzNy45NTk0IDIyNS40NjcgMzcuMzgyIDE4NC4xNjUgMzQuMTIgMTYyLjU0NiAzNy45&#10;NTk0IDE0MC45MjggNDEuNzk4OCAxMjUuNjI3IDM2LjQwMzQgMTE1LjUwNiAzNy45NTk0IDEwNS4z&#10;ODYgMzkuNTE1NCA5Ni44MjY4IDM4LjI4MzEgNzkuNTM0OSAzNy45NTk0IDYyLjI0MzMgMzcuNjM1&#10;NyAyMy41NDU3IDM1LjMxMjYgNy41OTE4OCAzNy45NTk0IDcuMDMwNTIgMjcuNTAxNCA2LjA2MjU0&#10;IDE1LjIwNjQgNy41OTE4OCA1Ljk5MzU5WiIgZmlsbD0iI0VCRUNFRCIgZmlsbC1ydWxlPSJldmVu&#10;b2RkIiB0cmFuc2Zvcm09Im1hdHJpeCgxIDAgMCAxLjAwMDgxIC0wLjc5OTE0NSAxLjgwMDgyKSIv&#10;PjxwYXRoIGQ9Ik03LjU5MTg4IDUuOTkzNTlDMjEuMjE0MSA3LjI5Nzc2IDQyLjYzNjIgNi44NjM2&#10;MyA1NC42MzE2IDUuOTkzNTkgNjYuNjI2OSA1LjEyMzU1IDk0LjA3NjIgOS4zNDk1MiAxMjMuODA4&#10;IDUuOTkzNTkgMTUzLjUzOSAyLjYzNzY2IDE3My4wNyA3LjczOTE3IDIwNC4wNTEgNS45OTM1OSAy&#10;MzUuMDMzIDQuMjQ4MDEgMjMxLjYxOSA2LjU4ODI5IDI0MC4wMjMgNS45OTM1OSAyNDguNDI2IDUu&#10;Mzk4ODkgMjYyLjUgNS41MTA2NCAyNzUuOTk0IDUuOTkzNTkgMjg5LjQ5IDYuNDc2NTQgMzI5Ljgz&#10;MSAyLjAxMTA3IDM2Ny4zMDcgNS45OTM1OSA0MDQuNzgzIDkuOTc2MTMgNDE2LjExIDkuNDE1OTMg&#10;NDM2LjQ4NCA1Ljk5MzU5IDQ1Ni44NTYgMi41NzEyOSA0NjEuNjU2IDYuNjYxNTIgNDcyLjQ1NSA1&#10;Ljk5MzU5IDQ4My4yNTQgNS4zMjU2NiA1MTkuNiA4LjE2OTI2IDU0MS42MzEgNS45OTM1OSA1NjMu&#10;NjYxIDMuODE3OTIgNjA3Ljc0NSA3LjMwNDYyIDYzMi45NDMgNS45OTM1OSA2NTguMTQxIDQuNjgy&#10;NTYgNjcwLjc0NiA2LjAwMTI4IDY5MS4wNSA1Ljk5MzU5IDcxMS4zNTYgNS45ODU5IDcyMi4yNDgg&#10;Ny4zNzg2NyA3NDkuMTU5IDUuOTkzNTkgNzc2LjA2OSA0LjYwODUxIDc5MC4wNDkgOC4xNjY1NSA4&#10;MTguMzMzIDUuOTkzNTkgODQ2LjYyMyAzLjgyMDYzIDg3My4yMjYgMi43ODE5MiA4OTguNTgzIDUu&#10;OTkzNTkgOTIzLjkzMiA5LjIwNTI3IDk1OC42MzkgOC43MDk4OCA5NzguODI1IDUuOTkzNTkgOTk5&#10;LjAwMyAzLjI3NzMzIDEwNzAuMDIgOS4zNTM0NCAxMTE0LjQxIDUuOTkzNTkgMTExNS40NiAxNi44&#10;MTEzIDExMTMuMjIgMjMuODg1NiAxMTE0LjQxIDM3Ljk1OTQgMTEwMy45MiAzOC4xMzI3IDEwNzcu&#10;NzggNDAuMTcgMTA2Ny4zNyAzNy45NTk0IDEwNTYuOTUgMzUuNzQ4OCAxMDExLjc1IDM5LjA4MzEg&#10;OTc2LjA2IDM3Ljk1OTQgOTQwLjM2MiAzNi44MzU3IDkzMy4zMyAzOC4wNDIgOTA2Ljg3OCAzNy45&#10;NTk0IDg4MC40MzQgMzcuODc2OSA4ODMuMzQzIDM3LjI4MTggODcwLjkwOSAzNy45NTk0IDg1OC40&#10;NzQgMzguNjM3IDgyMi40MjQgMzcuNjA5MyA4MDEuNzM0IDM3Ljk1OTQgNzgxLjA0IDM4LjMwOTUg&#10;NzU2LjE5MSAzNi4yMTIyIDc0My42MjUgMzcuOTU5NCA3MzEuMDU4IDM5LjcwNjYgNzEzLjczMyA0&#10;MC4wODYzIDY4NS41MTYgMzcuOTU5NCA2NTcuMyAzNS44MzI1IDY1NC4wOCAzOC44MzcxIDYyNy40&#10;MDkgMzcuOTU5NCA2MDAuNzM4IDM3LjA4MTcgNTg1Ljg5MSAzOS4xNzI2IDU2OS4zMDEgMzcuOTU5&#10;NCA1NTIuNzExIDM2Ljc0NjIgNTE3Ljc0NSA0MS4zNDEgNDg5LjA1NyAzNy45NTk0IDQ2MC4zNjgg&#10;MzQuNTc3OCA0NDkuODc4IDQwLjcxOTIgNDE5Ljg4MSAzNy45NTk0IDM4OS44ODQgMzUuMTk5NiAz&#10;OTQuNDg2IDM4LjgzMDUgMzgzLjkwOSAzNy45NTk0IDM3My4zMzMgMzcuMDg4MyAzNTQuMzQzIDM3&#10;Ljk2OTEgMzI1LjgwMiAzNy45NTk0IDI5Ny4yNiAzNy45NDk3IDI4MC42MjggMzguODMyMSAyNDUu&#10;NTU3IDM3Ljk1OTQgMjEwLjQ4NyAzNy4wODY3IDIxMC4zNTIgMzYuMDAwMiAxOTguNTE3IDM3Ljk1&#10;OTQgMTg2LjY4NCAzOS45MTg2IDE0OS4yNjggMzQuOTg3OCAxMDcuMjA1IDM3Ljk1OTQgNjUuMTQy&#10;NSA0MC45MzEgNTcuMzE1OCAzOS4zNDYyIDcuNTkxODggMzcuOTU5NCA5LjA4NjI4IDIzLjUwMDUg&#10;Ny4wOTA3NCAyMS41NjY5IDcuNTkxODggNS45OTM1OVoiIHN0cm9rZT0iI0FEQjFCNSIgc3Ryb2tl&#10;LXdpZHRoPSIwLjk5ODkzMiIgc3Ryb2tlLWxpbmVqb2luPSJyb3VuZCIgc3Ryb2tlLW1pdGVybGlt&#10;aXQ9IjEwIiBmaWxsPSJub25lIiBmaWxsLXJ1bGU9ImV2ZW5vZGQiIHRyYW5zZm9ybT0ibWF0cml4&#10;KDEgMCAwIDEuMDAwODEgLTAuNzk5MTQ1IDEuODAwODIpIi8+PHRleHQgZmlsbD0iI0VCRUNFRCIg&#10;Zm9udC1mYW1pbHk9IkNhbGlicmksQ2FsaWJyaV9NU0ZvbnRTZXJ2aWNlLEFyaWFsIiBmb250LXdl&#10;aWdodD0iNzAwIiBmb250LXNpemU9IjIzIiB0cmFuc2Zvcm09Im1hdHJpeCgwLjc5OTE0NSAwIDAg&#10;MC43OTk3OTYgMzYzLjU2OCAzMCkiPkZpZ3VyZSBDPC90ZXh0Pjx0ZXh0IGZpbGw9IiNFQkVDRUQi&#10;IGZvbnQtZmFtaWx5PSJDYWxpYnJpLENhbGlicmlfTVNGb250U2VydmljZSxBcmlhbCIgZm9udC13&#10;ZWlnaHQ9IjcwMCIgZm9udC1zaXplPSIyMyIgdHJhbnNmb3JtPSJtYXRyaXgoMC43OTkxNDUgMCAw&#10;IDAuNzk5Nzk2IDQyNS4yOTYgMzApIj4tPC90ZXh0Pjx0ZXh0IGZpbGw9IiNFQkVDRUQiIGZvbnQt&#10;ZmFtaWx5PSJDYWxpYnJpLENhbGlicmlfTVNGb250U2VydmljZSxBcmlhbCIgZm9udC13ZWlnaHQ9&#10;IjcwMCIgZm9udC1zaXplPSIyMyIgdHJhbnNmb3JtPSJtYXRyaXgoMC43OTkxNDUgMCAwIDAuNzk5&#10;Nzk2IDQzMC45NTYgMzApIj4xPC90ZXh0Pjx0ZXh0IGZpbGw9IiNFQkVDRUQiIGZvbnQtZmFtaWx5&#10;PSJDYWxpYnJpLENhbGlicmlfTVNGb250U2VydmljZSxBcmlhbCIgZm9udC13ZWlnaHQ9IjcwMCIg&#10;Zm9udC1zaXplPSIyMyIgdHJhbnNmb3JtPSJtYXRyaXgoMC43OTkxNDUgMCAwIDAuNzk5Nzk2IDQ0&#10;MC41NDYgMzApIj46IDwvdGV4dD48dGV4dCBmaWxsPSIjRUJFQ0VEIiBmb250LWZhbWlseT0iQ2Fs&#10;aWJyaSxDYWxpYnJpX01TRm9udFNlcnZpY2UsQXJpYWwiIGZvbnQtd2VpZ2h0PSI3MDAiIGZvbnQt&#10;c2l6ZT0iMjMiIHRyYW5zZm9ybT0ibWF0cml4KDAuNzk5MTQ1IDAgMCAwLjc5OTc5NiA0NDkuMzM2&#10;IDMwKSI+TWV0aG9kczwvdGV4dD48dGV4dCBmaWxsPSIjRUJFQ0VEIiBmb250LWZhbWlseT0iQ2Fs&#10;aWJyaSxDYWxpYnJpX01TRm9udFNlcnZpY2UsQXJpYWwiIGZvbnQtd2VpZ2h0PSI3MDAiIGZvbnQt&#10;c2l6ZT0iMjMiIHRyYW5zZm9ybT0ibWF0cml4KDAuNzk5MTQ1IDAgMCAwLjc5OTc5NiA1MTcuMjY0&#10;IDMwKSI+LCA8L3RleHQ+PHRleHQgZmlsbD0iI0VCRUNFRCIgZm9udC1mYW1pbHk9IkNhbGlicmks&#10;Q2FsaWJyaV9NU0ZvbnRTZXJ2aWNlLEFyaWFsIiBmb250LXdlaWdodD0iNzAwIiBmb250LXNpemU9&#10;IjIzIiB0cmFuc2Zvcm09Im1hdHJpeCgwLjc5OTE0NSAwIDAgMC43OTk3OTYgNTI2LjA1NCAzMCki&#10;PmFuYWx5c2lzIGFuZCBkYXRhIHNldCBkaWFncmFtPC90ZXh0PjxwYXRoIGQ9Ik0xMy41ODU1IDY1&#10;My43MDFDMjguNzcyNiA2NTUuNzIzIDU3LjYwMzggNjU2Ljk4NSA3OS43MzM0IDY1My43MDEgMTAx&#10;Ljg2MyA2NTAuNDE2IDExMi42MTIgNjU1Ljg2NyAxNDEuNzkgNjUzLjcwMSAxNzAuOTY3IDY1MS41&#10;MzQgMTk1LjM5MiA2NTAuNjQgMjE4LjE2NyA2NTMuNzAxIDIyMC41ODUgNjY5LjA2NCAyMjAuMzA5&#10;IDY5NC40MjMgMjE4LjE2NyA3MTIuMDQ2IDIxNi4wMjQgNzI5LjY3IDIxOC41NzcgNzU2LjQyMyAy&#10;MTguMTY3IDc3Mi43NzMgMjAzLjEwOCA3NzUuMDMzIDE4My42NDYgNzcxLjk5NyAxNTQuMDY1IDc3&#10;Mi43NzMgMTI0LjQ4MyA3NzMuNTQ5IDEyMC40ODQgNzcwLjAzNyA4OS45NjIyIDc3Mi43NzMgNTku&#10;NDQwNSA3NzUuNTEgNDMuOTYxMSA3NjkuMjg2IDEzLjU4NTUgNzcyLjc3MyAxMS4wNjAzIDc1OC40&#10;NTcgMTIuMzc2NyA3NDEuNTE0IDEzLjU4NTUgNzE2LjgwOSAxNC43OTQzIDY5Mi4xMDUgMTIuNTg5&#10;NyA2NzMuMzg3IDEzLjU4NTUgNjUzLjcwMVoiIGZpbGw9IiNGRkZGRkYiIGZpbGwtcnVsZT0iZXZl&#10;bm9kZCIgdHJhbnNmb3JtPSJtYXRyaXgoMSAwIDAgMS4wMDA4MSAtMC43OTkxNDUgMS44MDA4Miki&#10;Lz48cGF0aCBkPSJNMTMuNTg1NSA2NTMuNzAxQzMzLjQ3NDQgNjUxLjk5NyA1Ny42MjI2IDY1MS42&#10;NDIgNzkuNzMzNCA2NTMuNzAxIDEwMS44NDQgNjU1Ljc1OSAxMjIuODkxIDY1Ni41MjEgMTQ3Ljky&#10;NyA2NTMuNzAxIDE3Mi45NjQgNjUwLjg4MSAxOTMuNDExIDY1NS41OTMgMjE4LjE2NyA2NTMuNzAx&#10;IDIyMC4yMiA2ODEuNjQgMjE4Ljk2NyA2OTYuNTQyIDIxOC4xNjcgNzEzLjIzNyAyMTcuMzY3IDcy&#10;OS45MzIgMjE3Ljc3NCA3NDguNDk5IDIxOC4xNjcgNzcyLjc3MyAxODUuMjkyIDc3Mi43ODEgMTc3&#10;LjMwOCA3NjkuNTgzIDE0OS45NzMgNzcyLjc3MyAxMjIuNjM4IDc3NS45NjQgMTEwLjUzMSA3NzQu&#10;MTIxIDg1Ljg3MDYgNzcyLjc3MyA2MS4yMSA3NzEuNDI2IDMwLjE2NTQgNzc1LjI3MyAxMy41ODU1&#10;IDc3Mi43NzMgMTEuMzUwOSA3NTMuOTk2IDE0LjMyMDQgNzQwLjYxMiAxMy41ODU1IDcxNC40Mjgg&#10;MTIuODUwNiA2ODguMjQ0IDE1LjQ3MTEgNjc4LjM0NyAxMy41ODU1IDY1My43MDFaIiBzdHJva2U9&#10;IiMwMDAwMDAiIHN0cm9rZS13aWR0aD0iMS4zMzE5MSIgc3Ryb2tlLWxpbmVqb2luPSJyb3VuZCIg&#10;c3Ryb2tlLW1pdGVybGltaXQ9IjEwIiBmaWxsPSJub25lIiBmaWxsLXJ1bGU9ImV2ZW5vZGQiIHRy&#10;YW5zZm9ybT0ibWF0cml4KDEgMCAwIDEuMDAwODEgLTAuNzk5MTQ1IDEuODAwODIpIi8+PHRleHQg&#10;Zm9udC1mYW1pbHk9IkFyaWFsLEFyaWFsX01TRm9udFNlcnZpY2UsQXJpYWwiIGZvbnQtd2VpZ2h0&#10;PSI0MDAiIGZvbnQtc2l6ZT0iMTciIHRyYW5zZm9ybT0ibWF0cml4KDAuNzk5MTQ1IDAgMCAwLjc5&#10;OTc5NiAxNi4yMDAzIDY3MikiPuKAojwvdGV4dD48dGV4dCBmb250LWZhbWlseT0iQ2FsaWJyaSxD&#10;YWxpYnJpX01TRm9udFNlcnZpY2UsQXJpYWwiIGZvbnQtd2VpZ2h0PSI0MDAiIGZvbnQtc2l6ZT0i&#10;MTciIHRyYW5zZm9ybT0ibWF0cml4KDAuNzk5MTQ1IDAgMCAwLjc5OTc5NiAyNS41MjM3IDY3Miki&#10;PkludGVydmlldyB0cmFuc2NyaXB0czwvdGV4dD48dGV4dCBmb250LWZhbWlseT0iQXJpYWwsQXJp&#10;YWxfTVNGb250U2VydmljZSxBcmlhbCIgZm9udC13ZWlnaHQ9IjQwMCIgZm9udC1zaXplPSIxNyIg&#10;dHJhbnNmb3JtPSJtYXRyaXgoMC43OTkxNDUgMCAwIDAuNzk5Nzk2IDE2LjIwMDMgNjkwKSI+4oCi&#10;PC90ZXh0Pjx0ZXh0IGZvbnQtZmFtaWx5PSJDYWxpYnJpLENhbGlicmlfTVNGb250U2VydmljZSxB&#10;cmlhbCIgZm9udC13ZWlnaHQ9IjQwMCIgZm9udC1zaXplPSIxNyIgdHJhbnNmb3JtPSJtYXRyaXgo&#10;MC43OTkxNDUgMCAwIDAuNzk5Nzk2IDI1LjUyMzcgNjkwKSI+SW50ZXJ2aWV3IHN1bW1hcmllczwv&#10;dGV4dD48dGV4dCBmb250LWZhbWlseT0iQXJpYWwsQXJpYWxfTVNGb250U2VydmljZSxBcmlhbCIg&#10;Zm9udC13ZWlnaHQ9IjQwMCIgZm9udC1zaXplPSIxNyIgdHJhbnNmb3JtPSJtYXRyaXgoMC43OTkx&#10;NDUgMCAwIDAuNzk5Nzk2IDE2LjIwMDMgNzA5KSI+4oCiPC90ZXh0Pjx0ZXh0IGZvbnQtZmFtaWx5&#10;PSJDYWxpYnJpLENhbGlicmlfTVNGb250U2VydmljZSxBcmlhbCIgZm9udC13ZWlnaHQ9IjQwMCIg&#10;Zm9udC1zaXplPSIxNyIgdHJhbnNmb3JtPSJtYXRyaXgoMC43OTkxNDUgMCAwIDAuNzk5Nzk2IDI1&#10;LjUyMzcgNzA5KSI+U3lzdGVtIG1hcHMgZnJvbSBDQTwvdGV4dD48dGV4dCBmb250LWZhbWlseT0i&#10;Q2FsaWJyaSxDYWxpYnJpX01TRm9udFNlcnZpY2UsQXJpYWwiIGZvbnQtd2VpZ2h0PSI0MDAiIGZv&#10;bnQtc2l6ZT0iMTciIHRyYW5zZm9ybT0ibWF0cml4KDAuNzk5MTQ1IDAgMCAwLjc5OTc5NiAxNDgu&#10;NTkyIDcwOSkiPjQ8L3RleHQ+PHRleHQgZm9udC1mYW1pbHk9IkNhbGlicmksQ2FsaWJyaV9NU0Zv&#10;bnRTZXJ2aWNlLEFyaWFsIiBmb250LXdlaWdodD0iNDAwIiBmb250LXNpemU9IjE3IiB0cmFuc2Zv&#10;cm09Im1hdHJpeCgwLjc5OTE0NSAwIDAgMC43OTk3OTYgMTU1Ljc4NCA3MDkpIj5DIDwvdGV4dD48&#10;dGV4dCBmb250LWZhbWlseT0iQ2FsaWJyaSxDYWxpYnJpX01TRm9udFNlcnZpY2UsQXJpYWwiIGZv&#10;bnQtd2VpZ2h0PSI0MDAiIGZvbnQtc2l6ZT0iMTciIHRyYW5zZm9ybT0ibWF0cml4KDAuNzk5MTQ1&#10;IDAgMCAwLjc5OTc5NiAyNS41MjM3IDcyMykiPndvcmtzaG9wczwvdGV4dD48dGV4dCBmb250LWZh&#10;bWlseT0iQXJpYWwsQXJpYWxfTVNGb250U2VydmljZSxBcmlhbCIgZm9udC13ZWlnaHQ9IjQwMCIg&#10;Zm9udC1zaXplPSIxNyIgdHJhbnNmb3JtPSJtYXRyaXgoMC43OTkxNDUgMCAwIDAuNzk5Nzk2IDE2&#10;LjIwMDMgNzQyKSI+4oCiPC90ZXh0Pjx0ZXh0IGZvbnQtZmFtaWx5PSJDYWxpYnJpLENhbGlicmlf&#10;TVNGb250U2VydmljZSxBcmlhbCIgZm9udC13ZWlnaHQ9IjQwMCIgZm9udC1zaXplPSIxNyIgdHJh&#10;bnNmb3JtPSJtYXRyaXgoMC43OTkxNDUgMCAwIDAuNzk5Nzk2IDI1LjUyMzcgNzQyKSI+Q0E8L3Rl&#10;eHQ+PHRleHQgZm9udC1mYW1pbHk9IkNhbGlicmksQ2FsaWJyaV9NU0ZvbnRTZXJ2aWNlLEFyaWFs&#10;IiBmb250LXdlaWdodD0iNDAwIiBmb250LXNpemU9IjE3IiB0cmFuc2Zvcm09Im1hdHJpeCgwLjc5&#10;OTE0NSAwIDAgMC43OTk3OTYgNDAuNzA3NCA3NDIpIj40PC90ZXh0Pjx0ZXh0IGZvbnQtZmFtaWx5&#10;PSJDYWxpYnJpLENhbGlicmlfTVNGb250U2VydmljZSxBcmlhbCIgZm9udC13ZWlnaHQ9IjQwMCIg&#10;Zm9udC1zaXplPSIxNyIgdHJhbnNmb3JtPSJtYXRyaXgoMC43OTkxNDUgMCAwIDAuNzk5Nzk2IDQ3&#10;Ljg5OTcgNzQyKSI+QyBzdW1tYXJ5IHJlcG9ydHM8L3RleHQ+PHRleHQgZm9udC1mYW1pbHk9IkFy&#10;aWFsLEFyaWFsX01TRm9udFNlcnZpY2UsQXJpYWwiIGZvbnQtd2VpZ2h0PSI0MDAiIGZvbnQtc2l6&#10;ZT0iMTciIHRyYW5zZm9ybT0ibWF0cml4KDAuNzk5MTQ1IDAgMCAwLjc5OTc5NiAxNi4yMDAzIDc2&#10;MCkiPuKAojwvdGV4dD48dGV4dCBmb250LWZhbWlseT0iQ2FsaWJyaSxDYWxpYnJpX01TRm9udFNl&#10;cnZpY2UsQXJpYWwiIGZvbnQtd2VpZ2h0PSI0MDAiIGZvbnQtc2l6ZT0iMTciIHRyYW5zZm9ybT0i&#10;bWF0cml4KDAuNzk5MTQ1IDAgMCAwLjc5OTc5NiAyNS41MjM3IDc2MCkiPkZ1bmRpbmcgYW5kIHJl&#10;cG9ydGluZyBwcm9maWxlczwvdGV4dD48dGV4dCBmaWxsPSIjRkZGRkZGIiBmb250LWZhbWlseT0i&#10;Q2FsaWJyaSxDYWxpYnJpX01TRm9udFNlcnZpY2UsQXJpYWwiIGZvbnQtd2VpZ2h0PSI3MDAiIGZv&#10;bnQtc2l6ZT0iMTciIHRyYW5zZm9ybT0ibWF0cml4KDAuNzk5MTQ1IDAgMCAwLjc5OTc5NiAxNC43&#10;ODQyIDY0OCkiPlBSSU1BUlkgREFUQSBTRVRTPC90ZXh0Pjx0ZXh0IGZpbGw9IiNGRkZGRkYiIGZv&#10;bnQtZmFtaWx5PSJDYWxpYnJpLENhbGlicmlfTVNGb250U2VydmljZSxBcmlhbCIgZm9udC13ZWln&#10;aHQ9IjcwMCIgZm9udC1zaXplPSIxNyIgdHJhbnNmb3JtPSJtYXRyaXgoMC43OTkxNDUgMCAwIDAu&#10;Nzk5Nzk2IDEzMC42NiA2NDgpIj46PC90ZXh0PjxwYXRoIGQ9Ik0yMzcuMzQ2IDY3OC40NzRDMjYw&#10;Ljg0NSA2NzUuNjM2IDI4MS45MjYgNjgwLjA4OCAzMDMuNDk0IDY3OC40NzQgMzI1LjA2MiA2NzYu&#10;ODYxIDM1MS42NTIgNjc2LjcwNCAzNjUuNTUxIDY3OC40NzQgMzc5LjQ0OSA2ODAuMjQ0IDQxMy41&#10;MzggNjc3LjY0MSA0NDEuOTI3IDY3OC40NzQgNDM5Ljc4OSA2OTguMTU0IDQ0My42MzkgNzA3Ljc5&#10;NyA0NDEuOTI3IDcyNC42ODEgNDQwLjIxNiA3NDEuNTY1IDQ0MS43MTIgNzUxLjk1NSA0NDEuOTI3&#10;IDc3Mi43NzMgNDE0LjgxMyA3NzIuNjY2IDQwMS4wMzQgNzczLjgxNyAzNzcuODI2IDc3Mi43NzMg&#10;MzU0LjYxNyA3NzEuNzMgMzQxLjAzMiA3NzIuNjA0IDMxMy43MjMgNzcyLjc3MyAyODYuNDE0IDc3&#10;Mi45NDMgMjY1LjUzNiA3NzAuNjEgMjM3LjM0NiA3NzIuNzczIDIzNy40NDcgNzU4LjQ1NSAyMzYu&#10;NzY4IDczOC44MTUgMjM3LjM0NiA3MjguNDUzIDIzNy45MjUgNzE4LjA5MSAyMzcuNjM5IDY5OC42&#10;MyAyMzcuMzQ2IDY3OC40NzRaIiBmaWxsPSIjRkZGRkZGIiBmaWxsLXJ1bGU9ImV2ZW5vZGQiIHRy&#10;YW5zZm9ybT0ibWF0cml4KDEgMCAwIDEuMDAwODEgLTAuNzk5MTQ1IDEuODAwODIpIi8+PHBhdGgg&#10;ZD0iTTIzNy4zNDYgNjc4LjQ3NEMyNTYuNDUzIDY3NS4xODggMjc4LjI4OSA2ODAuNzI5IDMwMy40&#10;OTQgNjc4LjQ3NCAzMjguNjk5IDY3Ni4yMiAzNDkuMzU5IDY3Ny4wMDYgMzcxLjY4OCA2NzguNDc0&#10;IDM5NC4wMTYgNjc5Ljk0MiA0MjQuOTg1IDY4MS41MjYgNDQxLjkyNyA2NzguNDc0IDQ0MS44MzEg&#10;Njk4LjcwOSA0NDAuMjIzIDcwOS4yNTkgNDQxLjkyNyA3MjUuNjI0IDQ0My42MzIgNzQxLjk4OSA0&#10;NDIuMTE5IDc1Ni4zNTEgNDQxLjkyNyA3NzIuNzczIDQyNy42OTEgNzc0LjE4MiA0MDIuNjg3IDc3&#10;My4zODMgMzczLjczNCA3NzIuNzczIDM0NC43ODEgNzcyLjE2NCAzMzIuMjA1IDc3MS4xMTQgMzA5&#10;LjYzMSA3NzIuNzczIDI4Ny4wNTggNzc0LjQzMyAyNjcuNDggNzczLjUxNSAyMzcuMzQ2IDc3Mi43&#10;NzMgMjM3LjA2NCA3NTYuMzIgMjM1LjA2MyA3MzcuOTU5IDIzNy4zNDYgNzI2LjU2NyAyMzkuNjI5&#10;IDcxNS4xNzUgMjM3LjYyOCA3MDAuMjg2IDIzNy4zNDYgNjc4LjQ3NFoiIHN0cm9rZT0iIzAwMDAw&#10;MCIgc3Ryb2tlLXdpZHRoPSIxLjMzMTkxIiBzdHJva2UtbGluZWpvaW49InJvdW5kIiBzdHJva2Ut&#10;bWl0ZXJsaW1pdD0iMTAiIGZpbGw9Im5vbmUiIGZpbGwtcnVsZT0iZXZlbm9kZCIgdHJhbnNmb3Jt&#10;PSJtYXRyaXgoMSAwIDAgMS4wMDA4MSAtMC43OTkxNDUgMS44MDA4MikiLz48dGV4dCBmb250LWZh&#10;bWlseT0iQXJpYWwsQXJpYWxfTVNGb250U2VydmljZSxBcmlhbCIgZm9udC13ZWlnaHQ9IjQwMCIg&#10;Zm9udC1zaXplPSIxNyIgdHJhbnNmb3JtPSJtYXRyaXgoMC43OTkxNDUgMCAwIDAuNzk5Nzk2IDI0&#10;MC42NTggNjk3KSI+4oCiPC90ZXh0Pjx0ZXh0IGZvbnQtZmFtaWx5PSJDYWxpYnJpLENhbGlicmlf&#10;TVNGb250U2VydmljZSxBcmlhbCIgZm9udC13ZWlnaHQ9IjQwMCIgZm9udC1zaXplPSIxNyIgdHJh&#10;bnNmb3JtPSJtYXRyaXgoMC43OTkxNDUgMCAwIDAuNzk5Nzk2IDI0OS45ODEgNjk3KSI+SW50ZXJ2&#10;aWV3IHRyYW5zY3JpcHRzPC90ZXh0Pjx0ZXh0IGZvbnQtZmFtaWx5PSJBcmlhbCxBcmlhbF9NU0Zv&#10;bnRTZXJ2aWNlLEFyaWFsIiBmb250LXdlaWdodD0iNDAwIiBmb250LXNpemU9IjE3IiB0cmFuc2Zv&#10;cm09Im1hdHJpeCgwLjc5OTE0NSAwIDAgMC43OTk3OTYgMjQwLjY1OCA3MTUpIj7igKI8L3RleHQ+&#10;PHRleHQgZm9udC1mYW1pbHk9IkNhbGlicmksQ2FsaWJyaV9NU0ZvbnRTZXJ2aWNlLEFyaWFsIiBm&#10;b250LXdlaWdodD0iNDAwIiBmb250LXNpemU9IjE3IiB0cmFuc2Zvcm09Im1hdHJpeCgwLjc5OTE0&#10;NSAwIDAgMC43OTk3OTYgMjQ5Ljk4MSA3MTUpIj5WYWxpZGF0ZWQgdG9vbCB0byBpZGVudGlmeTwv&#10;dGV4dD48dGV4dCBmb250LWZhbWlseT0iQ2FsaWJyaSxDYWxpYnJpX01TRm9udFNlcnZpY2UsQXJp&#10;YWwiIGZvbnQtd2VpZ2h0PSI0MDAiIGZvbnQtc2l6ZT0iMTciIHRyYW5zZm9ybT0ibWF0cml4KDAu&#10;Nzk5MTQ1IDAgMCAwLjc5OTc5NiAzODcuNDM0IDcxNSkiPiwgPC90ZXh0Pjx0ZXh0IGZvbnQtZmFt&#10;aWx5PSJDYWxpYnJpLENhbGlicmlfTVNGb250U2VydmljZSxBcmlhbCIgZm9udC13ZWlnaHQ9IjQw&#10;MCIgZm9udC1zaXplPSIxNyIgdHJhbnNmb3JtPSJtYXRyaXgoMC43OTkxNDUgMCAwIDAuNzk5Nzk2&#10;IDI0OS45ODEgNzMwKSI+bWVhc3VyZTwvdGV4dD48dGV4dCBmb250LWZhbWlseT0iQ2FsaWJyaSxD&#10;YWxpYnJpX01TRm9udFNlcnZpY2UsQXJpYWwiIGZvbnQtd2VpZ2h0PSI0MDAiIGZvbnQtc2l6ZT0i&#10;MTciIHRyYW5zZm9ybT0ibWF0cml4KDAuNzk5MTQ1IDAgMCAwLjc5OTc5NiAyOTcuOTMgNzMwKSI+&#10;LCA8L3RleHQ+PHRleHQgZm9udC1mYW1pbHk9IkNhbGlicmksQ2FsaWJyaV9NU0ZvbnRTZXJ2aWNl&#10;LEFyaWFsIiBmb250LXdlaWdodD0iNDAwIiBmb250LXNpemU9IjE3IiB0cmFuc2Zvcm09Im1hdHJp&#10;eCgwLjc5OTE0NSAwIDAgMC43OTk3OTYgMzA0LjMyMyA3MzApIj5hbmQgbW9uaXRvciA8L3RleHQ+&#10;PHRleHQgZm9udC1mYW1pbHk9IkNhbGlicmksQ2FsaWJyaV9NU0ZvbnRTZXJ2aWNlLEFyaWFsIiBm&#10;b250LXdlaWdodD0iNDAwIiBmb250LXNpemU9IjE3IiB0cmFuc2Zvcm09Im1hdHJpeCgwLjc5OTE0&#10;NSAwIDAgMC43OTk3OTYgMjQ5Ljk4MSA3NDQpIj5pbnN0aXR1dGlvbmFsIDwvdGV4dD48dGV4dCBm&#10;b250LWZhbWlseT0iQ2FsaWJyaSxDYWxpYnJpX01TRm9udFNlcnZpY2UsQXJpYWwiIGZvbnQtd2Vp&#10;Z2h0PSI0MDAiIGZvbnQtc2l6ZT0iMTciIHRyYW5zZm9ybT0ibWF0cml4KDAuNzk5MTQ1IDAgMCAw&#10;Ljc5OTc5NiAzMTkuNDA3IDc0NCkiPnJhY2lzbSA8L3RleHQ+PHRleHQgZm9udC1mYW1pbHk9IkNh&#10;bGlicmksQ2FsaWJyaV9NU0ZvbnRTZXJ2aWNlLEFyaWFsIiBmb250LXdlaWdodD0iNDAwIiBmb250&#10;LXNpemU9IjE3IiB0cmFuc2Zvcm09Im1hdHJpeCgwLjc5OTE0NSAwIDAgMC43OTk3OTYgMzYwLjg2&#10;MyA3NDQpIj5pbiBQSE5zIDwvdGV4dD48dGV4dCBmb250LWZhbWlseT0iQXJpYWwsQXJpYWxfTVNG&#10;b250U2VydmljZSxBcmlhbCIgZm9udC13ZWlnaHQ9IjQwMCIgZm9udC1zaXplPSIxNyIgdHJhbnNm&#10;b3JtPSJtYXRyaXgoMC43OTkxNDUgMCAwIDAuNzk5Nzk2IDI0MC42NTggNzYyKSI+4oCiPC90ZXh0&#10;Pjx0ZXh0IGZvbnQtZmFtaWx5PSJDYWxpYnJpLENhbGlicmlfTVNGb250U2VydmljZSxBcmlhbCIg&#10;Zm9udC13ZWlnaHQ9IjQwMCIgZm9udC1zaXplPSIxNyIgdHJhbnNmb3JtPSJtYXRyaXgoMC43OTkx&#10;NDUgMCAwIDAuNzk5Nzk2IDI0OS45ODEgNzYyKSI+Q29sbGFib3JhdGl2ZSByZXBvcnRzPC90ZXh0&#10;PjxwYXRoIGQ9Ik00NTYuMzEyIDY1My43MDFDNDc5LjgxMSA2NTAuODc5IDUwMC44OTIgNjU1LjMw&#10;NSA1MjIuNDYgNjUzLjcwMSA1NDQuMDI4IDY1Mi4wOTcgNTcwLjYxOCA2NTEuOTQxIDU4NC41MTYg&#10;NjUzLjcwMSA1OTguNDE0IDY1NS40NjEgNjMyLjUwMyA2NTIuODcyIDY2MC44OTMgNjUzLjcwMSA2&#10;NjMuMzEzIDY2OS4wNjQgNjYzLjAzNyA2OTQuNDIzIDY2MC44OTMgNzEyLjA0NiA2NTguNzQ5IDcy&#10;OS42NyA2NjEuMzA0IDc1Ni40MjMgNjYwLjg5MyA3NzIuNzczIDYzMy43NzkgNzcyLjY2NiA2MjAg&#10;NzczLjgxMSA1OTYuNzkxIDc3Mi43NzMgNTczLjU4MyA3NzEuNzM2IDU1OS45OTggNzcyLjYwNSA1&#10;MzIuNjg5IDc3Mi43NzMgNTA1LjM4IDc3Mi45NDIgNDg0LjUwMiA3NzAuNjIzIDQ1Ni4zMTIgNzcy&#10;Ljc3MyA0NTMuNzg1IDc1OC40NTcgNDU1LjEwMiA3NDEuNTE0IDQ1Ni4zMTIgNzE2LjgwOSA0NTcu&#10;NTIyIDY5Mi4xMDUgNDU1LjMxNSA2NzMuMzg3IDQ1Ni4zMTIgNjUzLjcwMVoiIGZpbGw9IiNGRkZG&#10;RkYiIGZpbGwtcnVsZT0iZXZlbm9kZCIgdHJhbnNmb3JtPSJtYXRyaXgoMSAwIDAgMS4wMDA4MSAt&#10;MC43OTkxNDUgMS44MDA4MikiLz48cGF0aCBkPSJNNDU2LjMxMiA2NTMuNzAxQzQ3NS40MTkgNjUw&#10;LjQzNCA0OTcuMjU1IDY1NS45NDIgNTIyLjQ2IDY1My43MDEgNTQ3LjY2NSA2NTEuNDU5IDU2OC4z&#10;MjUgNjUyLjI0MiA1OTAuNjU0IDY1My43MDEgNjEyLjk4MiA2NTUuMTYgNjQzLjk1MSA2NTYuNzM1&#10;IDY2MC44OTMgNjUzLjcwMSA2NjIuOTQ5IDY4MS42NCA2NjEuNjk0IDY5Ni41NDIgNjYwLjg5MyA3&#10;MTMuMjM3IDY2MC4wOTIgNzI5LjkzMiA2NjAuNTAxIDc0OC40OTkgNjYwLjg5MyA3NzIuNzczIDY0&#10;Ni42NTYgNzc0LjE3MyA2MjEuNjUzIDc3My4zOCA1OTIuNyA3NzIuNzczIDU2My43NDcgNzcyLjE2&#10;NyA1NTEuMTcxIDc3MS4xMjMgNTI4LjU5NyA3NzIuNzczIDUwNi4wMjQgNzc0LjQyNCA0ODYuNDQ1&#10;IDc3My41MTEgNDU2LjMxMiA3NzIuNzczIDQ1NC4wNzUgNzUzLjk5NiA0NTcuMDQ3IDc0MC42MTIg&#10;NDU2LjMxMiA3MTQuNDI4IDQ1NS41NzcgNjg4LjI0NCA0NTguMiA2NzguMzQ3IDQ1Ni4zMTIgNjUz&#10;LjcwMVoiIHN0cm9rZT0iIzAwMDAwMCIgc3Ryb2tlLXdpZHRoPSIxLjMzMTkxIiBzdHJva2UtbGlu&#10;ZWpvaW49InJvdW5kIiBzdHJva2UtbWl0ZXJsaW1pdD0iMTAiIGZpbGw9Im5vbmUiIGZpbGwtcnVs&#10;ZT0iZXZlbm9kZCIgdHJhbnNmb3JtPSJtYXRyaXgoMSAwIDAgMS4wMDA4MSAtMC43OTkxNDUgMS44&#10;MDA4MikiLz48dGV4dCBmb250LWZhbWlseT0iQXJpYWwsQXJpYWxfTVNGb250U2VydmljZSxBcmlh&#10;bCIgZm9udC13ZWlnaHQ9IjQwMCIgZm9udC1zaXplPSIxNyIgdHJhbnNmb3JtPSJtYXRyaXgoMC43&#10;OTkxNDUgMCAwIDAuNzk5Nzk2IDQ1OS40NzIgNjcyKSI+4oCiPC90ZXh0Pjx0ZXh0IGZvbnQtZmFt&#10;aWx5PSJDYWxpYnJpLENhbGlicmlfTVNGb250U2VydmljZSxBcmlhbCIgZm9udC13ZWlnaHQ9IjQw&#10;MCIgZm9udC1zaXplPSIxNyIgdHJhbnNmb3JtPSJtYXRyaXgoMC43OTkxNDUgMCAwIDAuNzk5Nzk2&#10;IDQ2OC43OTUgNjcyKSI+NzkgPC90ZXh0Pjx0ZXh0IGZvbnQtZmFtaWx5PSJDYWxpYnJpLENhbGli&#10;cmlfTVNGb250U2VydmljZSxBcmlhbCIgZm9udC13ZWlnaHQ9IjQwMCIgZm9udC1zaXplPSIxNyIg&#10;dHJhbnNmb3JtPSJtYXRyaXgoMC43OTkxNDUgMCAwIDAuNzk5Nzk2IDQ4Ni4zNzYgNjcyKSI+ZGF0&#10;YSBzb3VyY2VzIHRocm91Z2ggREZBPC90ZXh0Pjx0ZXh0IGZvbnQtZmFtaWx5PSJBcmlhbCxBcmlh&#10;bF9NU0ZvbnRTZXJ2aWNlLEFyaWFsIiBmb250LXdlaWdodD0iNDAwIiBmb250LXNpemU9IjE3IiB0&#10;cmFuc2Zvcm09Im1hdHJpeCgwLjc5OTE0NSAwIDAgMC43OTk3OTYgNDU5LjQ3MiA2OTApIj7igKI8&#10;L3RleHQ+PHRleHQgZm9udC1mYW1pbHk9IkNhbGlicmksQ2FsaWJyaV9NU0ZvbnRTZXJ2aWNlLEFy&#10;aWFsIiBmb250LXdlaWdodD0iNDAwIiBmb250LXNpemU9IjE3IiB0cmFuc2Zvcm09Im1hdHJpeCgw&#10;Ljc5OTE0NSAwIDAgMC43OTk3OTYgNDY4Ljc5NSA2OTApIj4xMCA8L3RleHQ+PHRleHQgZm9udC1m&#10;YW1pbHk9IkNhbGlicmksQ2FsaWJyaV9NU0ZvbnRTZXJ2aWNlLEFyaWFsIiBmb250LXdlaWdodD0i&#10;NDAwIiBmb250LXNpemU9IjE3IiB0cmFuc2Zvcm09Im1hdHJpeCgwLjc5OTE0NSAwIDAgMC43OTk3&#10;OTYgNDg2LjM3NiA2OTApIj5jdXN0b20gZGF0YSBzZXRzIHJlY2VpdmVkIDwvdGV4dD48dGV4dCBm&#10;b250LWZhbWlseT0iQ2FsaWJyaSxDYWxpYnJpX01TRm9udFNlcnZpY2UsQXJpYWwiIGZvbnQtd2Vp&#10;Z2h0PSI0MDAiIGZvbnQtc2l6ZT0iMTciIHRyYW5zZm9ybT0ibWF0cml4KDAuNzk5MTQ1IDAgMCAw&#10;Ljc5OTc5NiA0NjguNzk1IDcwNSkiPmZyb20gPC90ZXh0Pjx0ZXh0IGZvbnQtZmFtaWx5PSJDYWxp&#10;YnJpLENhbGlicmlfTVNGb250U2VydmljZSxBcmlhbCIgZm9udC13ZWlnaHQ9IjQwMCIgZm9udC1z&#10;aXplPSIxNyIgdHJhbnNmb3JtPSJtYXRyaXgoMC43OTkxNDUgMCAwIDAuNzk5Nzk2IDQ5OS4xNjIg&#10;NzA1KSI+MyA8L3RleHQ+PHRleHQgZm9udC1mYW1pbHk9IkNhbGlicmksQ2FsaWJyaV9NU0ZvbnRT&#10;ZXJ2aWNlLEFyaWFsIiBmb250LXdlaWdodD0iNDAwIiBmb250LXNpemU9IjE3IiB0cmFuc2Zvcm09&#10;Im1hdHJpeCgwLjc5OTE0NSAwIDAgMC43OTk3OTYgNTA5LjU1MSA3MDUpIj5kYXRhIGN1c3RvZGlh&#10;bnMgPC90ZXh0Pjx0ZXh0IGZvbnQtZmFtaWx5PSJBcmlhbCxBcmlhbF9NU0ZvbnRTZXJ2aWNlLEFy&#10;aWFsIiBmb250LXdlaWdodD0iNDAwIiBmb250LXNpemU9IjE3IiB0cmFuc2Zvcm09Im1hdHJpeCgw&#10;Ljc5OTE0NSAwIDAgMC43OTk3OTYgNDU5LjQ3MiA3MjMpIj7igKI8L3RleHQ+PHRleHQgZm9udC1m&#10;YW1pbHk9IkNhbGlicmksQ2FsaWJyaV9NU0ZvbnRTZXJ2aWNlLEFyaWFsIiBmb250LXdlaWdodD0i&#10;NDAwIiBmb250LXNpemU9IjE3IiB0cmFuc2Zvcm09Im1hdHJpeCgwLjc5OTE0NSAwIDAgMC43OTk3&#10;OTYgNDY4Ljc5NSA3MjMpIj41IDwvdGV4dD48dGV4dCBmb250LWZhbWlseT0iQ2FsaWJyaSxDYWxp&#10;YnJpX01TRm9udFNlcnZpY2UsQXJpYWwiIGZvbnQtd2VpZ2h0PSI0MDAiIGZvbnQtc2l6ZT0iMTci&#10;IHRyYW5zZm9ybT0ibWF0cml4KDAuNzk5MTQ1IDAgMCAwLjc5OTc5NiA0NzkuMTg0IDcyMykiPnB1&#10;YmxpY2x5IGF2YWlsYWJsZSBkYXRhIHNvdXJjZXMgPC90ZXh0Pjx0ZXh0IGZvbnQtZmFtaWx5PSJD&#10;YWxpYnJpLENhbGlicmlfTVNGb250U2VydmljZSxBcmlhbCIgZm9udC13ZWlnaHQ9IjQwMCIgZm9u&#10;dC1zaXplPSIxNyIgdHJhbnNmb3JtPSJtYXRyaXgoMC43OTkxNDUgMCAwIDAuNzk5Nzk2IDQ2OC43&#10;OTUgNzM4KSI+aWRlbnRpZmllZDwvdGV4dD48dGV4dCBmb250LWZhbWlseT0iQXJpYWwsQXJpYWxf&#10;TVNGb250U2VydmljZSxBcmlhbCIgZm9udC13ZWlnaHQ9IjQwMCIgZm9udC1zaXplPSIxNyIgdHJh&#10;bnNmb3JtPSJtYXRyaXgoMC43OTkxNDUgMCAwIDAuNzk5Nzk2IDQ1OS40NzIgNzU2KSI+4oCiPC90&#10;ZXh0Pjx0ZXh0IGZvbnQtZmFtaWx5PSJDYWxpYnJpLENhbGlicmlfTVNGb250U2VydmljZSxBcmlh&#10;bCIgZm9udC13ZWlnaHQ9IjQwMCIgZm9udC1zaXplPSIxNyIgdHJhbnNmb3JtPSJtYXRyaXgoMC43&#10;OTkxNDUgMCAwIDAuNzk5Nzk2IDQ2OC43OTUgNzU2KSI+SUFIUCBmdW5kaW5nIGRhdGEgZnJvbSB0&#10;aGUgPC90ZXh0Pjx0ZXh0IGZvbnQtZmFtaWx5PSJDYWxpYnJpLENhbGlicmlfTVNGb250U2Vydmlj&#10;ZSxBcmlhbCIgZm9udC13ZWlnaHQ9IjQwMCIgZm9udC1zaXplPSIxNyIgdHJhbnNmb3JtPSJtYXRy&#10;aXgoMC43OTkxNDUgMCAwIDAuNzk5Nzk2IDQ2OC43OTUgNzcwKSI+ZGVwYXJ0bWVudCBhbmQgPC90&#10;ZXh0Pjx0ZXh0IGZvbnQtZmFtaWx5PSJDYWxpYnJpLENhbGlicmlfTVNGb250U2VydmljZSxBcmlh&#10;bCIgZm9udC13ZWlnaHQ9IjQwMCIgZm9udC1zaXplPSIxNyIgdHJhbnNmb3JtPSJtYXRyaXgoMC43&#10;OTkxNDUgMCAwIDAuNzk5Nzk2IDU2My4wMjcgNzcwKSI+R3JhbnRDb25uZWN0PC90ZXh0PjxwYXRo&#10;IGQ9Ik02ODQuMDY4IDY5NC40NTdDNzAxLjgyNyA2OTIuODkxIDcyMS41OSA2OTcuMDc3IDc0OC42&#10;NjYgNjk0LjQ1NyA3NzUuNzQyIDY5MS44MzggNzc5LjQyOSA2OTUuMzIyIDgwOS4yNyA2OTQuNDU3&#10;IDgzOS4xMTEgNjkzLjU5MyA4NjUuMjQzIDY5My4wNTIgODgzLjg1NSA2OTQuNDU3IDg4MyA3MDUu&#10;OSA4ODQuMDU0IDcxOS43MDYgODgzLjg1NSA3MzIuODMyIDg4My42NTUgNzQ1Ljk1OCA4ODMuNzE5&#10;IDc2NC43MTEgODgzLjg1NSA3NzIuNzczIDg1Ny44MDMgNzcxLjc5OCA4MzkuNzAyIDc3My42Mzcg&#10;ODIxLjI1OCA3NzIuNzczIDgwMi44MDUgNzcxLjkxIDc4OS42MzkgNzcwLjg1NiA3NTguNjU1IDc3&#10;Mi43NzMgNzI3LjY3MSA3NzQuNjkxIDcwMi4wMDMgNzc1LjIxOCA2ODQuMDY4IDc3Mi43NzMgNjg1&#10;Ljc5OSA3NTkuNDQ2IDY4Mi42MjkgNzQ4LjU1OCA2ODQuMDY4IDczNS45NjUgNjg1LjUwOCA3MjMu&#10;MzczIDY4My40MjMgNzEwLjIwMSA2ODQuMDY4IDY5NC40NTdaIiBmaWxsPSIjRkZGRkZGIiBmaWxs&#10;LXJ1bGU9ImV2ZW5vZGQiIHRyYW5zZm9ybT0ibWF0cml4KDEgMCAwIDEuMDAwODEgLTAuNzk5MTQ1&#10;IDEuODAwODIpIi8+PHBhdGggZD0iTTY4NC4wNjggNjk0LjQ1N0M3MTUuMDYxIDY5NC4xMiA3Mjcu&#10;OTUyIDY5MS40NTQgNzQ4LjY2NiA2OTQuNDU3IDc2OS4zOCA2OTcuNDYgNzg0Ljg4OCA2OTIuNjk4&#10;IDgxNS4yNjQgNjk0LjQ1NyA4NDUuNjMyIDY5Ni4yMTYgODYxLjM1OSA2OTUuODI0IDg4My44NTUg&#10;Njk0LjQ1NyA4ODMuMDE2IDcxMC42NjggODgyLjA0OSA3MTUuNTE4IDg4My44NTUgNzMzLjYxNSA4&#10;ODUuNjYxIDc1MS43MTMgODg1LjIyOSA3NTcuNDM4IDg4My44NTUgNzcyLjc3MyA4NTYuMzMyIDc3&#10;NC4yNjcgODM2LjczNyA3NzAuMTQ3IDgxNy4yNjIgNzcyLjc3MyA3OTcuNzc5IDc3NS4zOTkgNzgz&#10;LjI5NCA3NzQuOTE4IDc1NC42NTkgNzcyLjc3MyA3MjYuMDI0IDc3MC42MjkgNzA3LjY3NCA3NzUu&#10;ODE3IDY4NC4wNjggNzcyLjc3MyA2ODIuMjE1IDc1NC42MTIgNjgzLjA2OSA3NTIuNDg4IDY4NC4w&#10;NjggNzM0LjM5OCA2ODUuMDY4IDcxNi4zMDkgNjgzLjYzOCA3MDguMDAxIDY4NC4wNjggNjk0LjQ1&#10;N1oiIHN0cm9rZT0iIzAwMDAwMCIgc3Ryb2tlLXdpZHRoPSIxLjMzMTkxIiBzdHJva2UtbGluZWpv&#10;aW49InJvdW5kIiBzdHJva2UtbWl0ZXJsaW1pdD0iMTAiIGZpbGw9Im5vbmUiIGZpbGwtcnVsZT0i&#10;ZXZlbm9kZCIgdHJhbnNmb3JtPSJtYXRyaXgoMSAwIDAgMS4wMDA4MSAtMC43OTkxNDUgMS44MDA4&#10;MikiLz48dGV4dCBmb250LWZhbWlseT0iQXJpYWwsQXJpYWxfTVNGb250U2VydmljZSxBcmlhbCIg&#10;Zm9udC13ZWlnaHQ9IjQwMCIgZm9udC1zaXplPSIxNyIgdHJhbnNmb3JtPSJtYXRyaXgoMC43OTkx&#10;NDUgMCAwIDAuNzk5Nzk2IDY4Ni42NTcgNzEzKSI+4oCiPC90ZXh0Pjx0ZXh0IGZvbnQtZmFtaWx5&#10;PSJDYWxpYnJpLENhbGlicmlfTVNGb250U2VydmljZSxBcmlhbCIgZm9udC13ZWlnaHQ9IjQwMCIg&#10;Zm9udC1zaXplPSIxNyIgdHJhbnNmb3JtPSJtYXRyaXgoMC43OTkxNDUgMCAwIDAuNzk5Nzk2IDY5&#10;NS45OCA3MTMpIj5GaXZlIGNvbnRyaWJ1dGlvbiBjYXNlczwvdGV4dD48dGV4dCBmb250LWZhbWls&#10;eT0iQXJpYWwsQXJpYWxfTVNGb250U2VydmljZSxBcmlhbCIgZm9udC13ZWlnaHQ9IjQwMCIgZm9u&#10;dC1zaXplPSIxNyIgdHJhbnNmb3JtPSJtYXRyaXgoMC43OTkxNDUgMCAwIDAuNzk5Nzk2IDY4Ni42&#10;NTcgNzMxKSI+4oCiPC90ZXh0Pjx0ZXh0IGZvbnQtZmFtaWx5PSJDYWxpYnJpLENhbGlicmlfTVNG&#10;b250U2VydmljZSxBcmlhbCIgZm9udC13ZWlnaHQ9IjQwMCIgZm9udC1zaXplPSIxNyIgdHJhbnNm&#10;b3JtPSJtYXRyaXgoMC43OTkxNDUgMCAwIDAuNzk5Nzk2IDY5NS45OCA3MzEpIj5JbnRlcnZpZXcg&#10;dHJhbnNjcmlwdHM8L3RleHQ+PHRleHQgZm9udC1mYW1pbHk9IkFyaWFsLEFyaWFsX01TRm9udFNl&#10;cnZpY2UsQXJpYWwiIGZvbnQtd2VpZ2h0PSI0MDAiIGZvbnQtc2l6ZT0iMTciIHRyYW5zZm9ybT0i&#10;bWF0cml4KDAuNzk5MTQ1IDAgMCAwLjc5OTc5NiA2ODYuNjU3IDc1MCkiPuKAojwvdGV4dD48dGV4&#10;dCBmb250LWZhbWlseT0iQ2FsaWJyaSxDYWxpYnJpX01TRm9udFNlcnZpY2UsQXJpYWwiIGZvbnQt&#10;d2VpZ2h0PSI0MDAiIGZvbnQtc2l6ZT0iMTciIHRyYW5zZm9ybT0ibWF0cml4KDAuNzk5MTQ1IDAg&#10;MCAwLjc5OTc5NiA2OTUuOTggNzUwKSI+Q29udHJpYnV0aW9uIGNhc2UgZGlhZ3JhbXM8L3RleHQ+&#10;PHBhdGggZD0iTTkwNS40MzIgNjAwLjk1N0M5MjguOTM1IDU5OC4xMjMgOTUwLjAwOCA2MDIuNTY4&#10;IDk3MS41NzcgNjAwLjk1NyA5OTMuMTQ2IDU5OS4zNDYgMTAxOS43NCA1OTkuMTkgMTAzMy42NCA2&#10;MDAuOTU3IDEwNDcuNTQgNjAyLjcyNCAxMDgxLjYzIDYwMC4xMjUgMTExMC4wMSA2MDAuOTU3IDEx&#10;MDkuNDggNjI0LjgxNSAxMTEwLjM5IDY0My45MiAxMTEwLjAxIDY1Ni41MTEgMTEwOS42NCA2Njku&#10;MTAzIDExMDguODUgNjk3LjgwOCAxMTEwLjAxIDcxMC4zNDcgMTExMS4xNyA3MjIuODg2IDExMDcu&#10;OTIgNzQzLjM1NCAxMTEwLjAxIDc3Mi43NzMgMTA4Ny44OCA3NjkuNjIyIDEwNzQuODYgNzY5Ljkz&#10;MyAxMDQxLjgyIDc3Mi43NzMgMTAwOC43OSA3NzUuNjE0IDk5MC43ODggNzczLjgzMiA5NjkuNTMx&#10;IDc3Mi43NzMgOTQ4LjI3NCA3NzEuNzE1IDkyOC4wMjMgNzc0LjA4MyA5MDUuNDMyIDc3Mi43NzMg&#10;OTA2LjI3OSA3NDcuOTIgOTA1Ljc5MSA3MjcuOTYgOTA1LjQzMiA3MTUuNTAxIDkwNS4wNzIgNzAz&#10;LjA0MiA5MDcuODQ1IDY3NS45ODIgOTA1LjQzMiA2NTkuOTQ4IDkwMy4wMTggNjQzLjkxMyA5MDMu&#10;MjQyIDYzMC4wOTkgOTA1LjQzMiA2MDAuOTU3WiIgZmlsbD0iI0ZGRkZGRiIgZmlsbC1ydWxlPSJl&#10;dmVub2RkIiB0cmFuc2Zvcm09Im1hdHJpeCgxIDAgMCAxLjAwMDgxIC0wLjc5OTE0NSAxLjgwMDgy&#10;KSIvPjxwYXRoIGQ9Ik05MDUuNDMyIDYwMC45NTdDOTIyLjg1MyA2MDQuMTA1IDk0NC41OTggNjAw&#10;LjE2OSA5NzEuNTc3IDYwMC45NTcgOTk4LjU2NCA2MDEuNzQ1IDEwMDcuODQgNjA0LjMyMiAxMDM5&#10;Ljc4IDYwMC45NTcgMTA3MS43MSA1OTcuNTkyIDEwOTIuNDEgNTk5LjM0MyAxMTEwLjAxIDYwMC45&#10;NTcgMTEwOC43OCA2MTguMTM2IDExMTEuNDkgNjM0LjcwMiAxMTEwLjAxIDY1OS45NDggMTEwOC41&#10;MyA2ODUuMTk0IDExMTEuMjMgNjk2Ljk1OSAxMTEwLjAxIDcxMi4wNjUgMTEwOC44IDcyNy4xNyAx&#10;MTEwLjg1IDc0OS4wMzEgMTExMC4wMSA3NzIuNzczIDEwOTQuMTggNzcxLjc4NiAxMDY3LjA0IDc3&#10;Ni4xMiAxMDM3LjczIDc3Mi43NzMgMTAwOC40MSA3NjkuNDI3IDk4NS4zMzggNzcwLjg0MyA5NjUu&#10;NDM5IDc3Mi43NzMgOTQ1LjU0OSA3NzQuNzA0IDkyNS44MDIgNzc1LjM0OCA5MDUuNDMyIDc3Mi43&#10;NzMgOTA0Ljg4IDc1MS43MTEgOTA3LjQwNSA3MjguNjAxIDkwNS40MzIgNzE3LjIxOSA5MDMuNDU4&#10;IDcwNS44MzggOTA1LjI4IDY3OS44MzggOTA1LjQzMiA2NTkuOTQ4IDkwNS41ODMgNjQwLjA1NyA5&#10;MDUuMzg0IDYyMS44OTEgOTA1LjQzMiA2MDAuOTU3WiIgc3Ryb2tlPSIjMDAwMDAwIiBzdHJva2Ut&#10;d2lkdGg9IjEuMzMxOTEiIHN0cm9rZS1saW5lam9pbj0icm91bmQiIHN0cm9rZS1taXRlcmxpbWl0&#10;PSIxMCIgZmlsbD0ibm9uZSIgZmlsbC1ydWxlPSJldmVub2RkIiB0cmFuc2Zvcm09Im1hdHJpeCgx&#10;IDAgMCAxLjAwMDgxIC0wLjc5OTE0NSAxLjgwMDgyKSIvPjx0ZXh0IGZvbnQtZmFtaWx5PSJBcmlh&#10;bCxBcmlhbF9NU0ZvbnRTZXJ2aWNlLEFyaWFsIiBmb250LXdlaWdodD0iNDAwIiBmb250LXNpemU9&#10;IjE3IiB0cmFuc2Zvcm09Im1hdHJpeCgwLjc5OTE0NSAwIDAgMC43OTk3OTYgOTA4LjE1NyA2MTkp&#10;Ij7igKI8L3RleHQ+PHRleHQgZm9udC1mYW1pbHk9IkNhbGlicmksQ2FsaWJyaV9NU0ZvbnRTZXJ2&#10;aWNlLEFyaWFsIiBmb250LXdlaWdodD0iNDAwIiBmb250LXNpemU9IjE3IiB0cmFuc2Zvcm09Im1h&#10;dHJpeCgwLjc5OTE0NSAwIDAgMC43OTk3OTYgOTE3LjQ4MyA2MTkpIj5Qcm9qZWN0IHByb3RvY29s&#10;PC90ZXh0Pjx0ZXh0IGZvbnQtZmFtaWx5PSJBcmlhbCxBcmlhbF9NU0ZvbnRTZXJ2aWNlLEFyaWFs&#10;IiBmb250LXdlaWdodD0iNDAwIiBmb250LXNpemU9IjE3IiB0cmFuc2Zvcm09Im1hdHJpeCgwLjc5&#10;OTE0NSAwIDAgMC43OTk3OTYgOTA4LjE1NyA2MzgpIj7igKI8L3RleHQ+PHRleHQgZm9udC1mYW1p&#10;bHk9IkNhbGlicmksQ2FsaWJyaV9NU0ZvbnRTZXJ2aWNlLEFyaWFsIiBmb250LXdlaWdodD0iNDAw&#10;IiBmb250LXNpemU9IjE3IiB0cmFuc2Zvcm09Im1hdHJpeCgwLjc5OTE0NSAwIDAgMC43OTk3OTYg&#10;OTE3LjQ4MyA2MzgpIj5DeWNsZSA8L3RleHQ+PHRleHQgZm9udC1mYW1pbHk9IkNhbGlicmksQ2Fs&#10;aWJyaV9NU0ZvbnRTZXJ2aWNlLEFyaWFsIiBmb250LXdlaWdodD0iNDAwIiBmb250LXNpemU9IjE3&#10;IiB0cmFuc2Zvcm09Im1hdHJpeCgwLjc5OTE0NSAwIDAgMC43OTk3OTYgOTQ5LjQ0OSA2MzgpIj4x&#10;IDwvdGV4dD48dGV4dCBmb250LWZhbWlseT0iQ2FsaWJyaSxDYWxpYnJpX01TRm9udFNlcnZpY2Us&#10;QXJpYWwiIGZvbnQtd2VpZ2h0PSI0MDAiIGZvbnQtc2l6ZT0iMTciIHRyYW5zZm9ybT0ibWF0cml4&#10;KDAuNzk5MTQ1IDAgMCAwLjc5OTc5NiA5NTkuODM3IDYzOCkiPmludGVyaW0gcmVwb3J0PC90ZXh0&#10;Pjx0ZXh0IGZvbnQtZmFtaWx5PSJBcmlhbCxBcmlhbF9NU0ZvbnRTZXJ2aWNlLEFyaWFsIiBmb250&#10;LXdlaWdodD0iNDAwIiBmb250LXNpemU9IjE3IiB0cmFuc2Zvcm09Im1hdHJpeCgwLjc5OTE0NSAw&#10;IDAgMC43OTk3OTYgOTA4LjE1NyA2NTYpIj7igKI8L3RleHQ+PHRleHQgZm9udC1mYW1pbHk9IkNh&#10;bGlicmksQ2FsaWJyaV9NU0ZvbnRTZXJ2aWNlLEFyaWFsIiBmb250LXdlaWdodD0iNDAwIiBmb250&#10;LXNpemU9IjE3IiB0cmFuc2Zvcm09Im1hdHJpeCgwLjc5OTE0NSAwIDAgMC43OTk3OTYgOTE3LjQ4&#10;MyA2NTYpIj5DeWNsZSA8L3RleHQ+PHRleHQgZm9udC1mYW1pbHk9IkNhbGlicmksQ2FsaWJyaV9N&#10;U0ZvbnRTZXJ2aWNlLEFyaWFsIiBmb250LXdlaWdodD0iNDAwIiBmb250LXNpemU9IjE3IiB0cmFu&#10;c2Zvcm09Im1hdHJpeCgwLjc5OTE0NSAwIDAgMC43OTk3OTYgOTQ5LjQ0OSA2NTYpIj4yIDwvdGV4&#10;dD48dGV4dCBmb250LWZhbWlseT0iQ2FsaWJyaSxDYWxpYnJpX01TRm9udFNlcnZpY2UsQXJpYWwi&#10;IGZvbnQtd2VpZ2h0PSI0MDAiIGZvbnQtc2l6ZT0iMTciIHRyYW5zZm9ybT0ibWF0cml4KDAuNzk5&#10;MTQ1IDAgMCAwLjc5OTc5NiA5NTkuODM3IDY1NikiPmludGVyaW0gcmVwb3J0PC90ZXh0Pjx0ZXh0&#10;IGZvbnQtZmFtaWx5PSJBcmlhbCxBcmlhbF9NU0ZvbnRTZXJ2aWNlLEFyaWFsIiBmb250LXdlaWdo&#10;dD0iNDAwIiBmb250LXNpemU9IjE3IiB0cmFuc2Zvcm09Im1hdHJpeCgwLjc5OTE0NSAwIDAgMC43&#10;OTk3OTYgOTA4LjE1NyA2NzQpIj7igKI8L3RleHQ+PHRleHQgZm9udC1mYW1pbHk9IkNhbGlicmks&#10;Q2FsaWJyaV9NU0ZvbnRTZXJ2aWNlLEFyaWFsIiBmb250LXdlaWdodD0iNDAwIiBmb250LXNpemU9&#10;IjE3IiB0cmFuc2Zvcm09Im1hdHJpeCgwLjc5OTE0NSAwIDAgMC43OTk3OTYgOTE3LjQ4MyA2NzQp&#10;Ij5BcHBlbmRpY2VzIHdpdGggc3VwcG9ydGluZyA8L3RleHQ+PHRleHQgZm9udC1mYW1pbHk9IkNh&#10;bGlicmksQ2FsaWJyaV9NU0ZvbnRTZXJ2aWNlLEFyaWFsIiBmb250LXdlaWdodD0iNDAwIiBmb250&#10;LXNpemU9IjE3IiB0cmFuc2Zvcm09Im1hdHJpeCgwLjc5OTE0NSAwIDAgMC43OTk3OTYgOTE3LjQ4&#10;MyA2ODkpIj5tYXRlcmlhbHMgPC90ZXh0Pjx0ZXh0IGZvbnQtZmFtaWx5PSJDYWxpYnJpLENhbGli&#10;cmlfTVNGb250U2VydmljZSxBcmlhbCIgZm9udC13ZWlnaHQ9IjQwMCIgZm9udC1zaXplPSIxNyIg&#10;dHJhbnNmb3JtPSJtYXRyaXgoMC43OTkxNDUgMCAwIDAuNzk5Nzk2IDk3Mi42MjQgNjg5KSI+KDwv&#10;dGV4dD48dGV4dCBmb250LWZhbWlseT0iQ2FsaWJyaSxDYWxpYnJpX01TRm9udFNlcnZpY2UsQXJp&#10;YWwiIGZvbnQtd2VpZ2h0PSI0MDAiIGZvbnQtc2l6ZT0iMTciIHRyYW5zZm9ybT0ibWF0cml4KDAu&#10;Nzk5MTQ1IDAgMCAwLjc5OTc5NiA5NzYuNjIgNjg5KSI+aW5jbDwvdGV4dD48dGV4dCBmb250LWZh&#10;bWlseT0iQ2FsaWJyaSxDYWxpYnJpX01TRm9udFNlcnZpY2UsQXJpYWwiIGZvbnQtd2VpZ2h0PSI0&#10;MDAiIGZvbnQtc2l6ZT0iMTciIHRyYW5zZm9ybT0ibWF0cml4KDAuNzk5MTQ1IDAgMCAwLjc5OTc5&#10;NiA5OTMuNDAyIDY4OSkiPi4gPC90ZXh0Pjx0ZXh0IGZvbnQtZmFtaWx5PSJDYWxpYnJpLENhbGli&#10;cmlfTVNGb250U2VydmljZSxBcmlhbCIgZm9udC13ZWlnaHQ9IjQwMCIgZm9udC1zaXplPSIxNyIg&#10;dHJhbnNmb3JtPSJtYXRyaXgoMC43OTkxNDUgMCAwIDAuNzk5Nzk2IDk5OS43MzEgNjg5KSI+bWV0&#10;aG9kb2xvZ3kgYW5kIDwvdGV4dD48dGV4dCBmb250LWZhbWlseT0iQ2FsaWJyaSxDYWxpYnJpX01T&#10;Rm9udFNlcnZpY2UsQXJpYWwiIGZvbnQtd2VpZ2h0PSI0MDAiIGZvbnQtc2l6ZT0iMTciIHRyYW5z&#10;Zm9ybT0ibWF0cml4KDAuNzk5MTQ1IDAgMCAwLjc5OTc5NiA5MTcuNDgzIDcwMykiPklBSFAgaW5m&#10;b3JtYXRpb248L3RleHQ+PHRleHQgZm9udC1mYW1pbHk9IkNhbGlicmksQ2FsaWJyaV9NU0ZvbnRT&#10;ZXJ2aWNlLEFyaWFsIiBmb250LXdlaWdodD0iNDAwIiBmb250LXNpemU9IjE3IiB0cmFuc2Zvcm09&#10;Im1hdHJpeCgwLjc5OTE0NSAwIDAgMC43OTk3OTYgMTAxMy4zOCA3MDMpIj4pPC90ZXh0Pjx0ZXh0&#10;IGZvbnQtZmFtaWx5PSJBcmlhbCxBcmlhbF9NU0ZvbnRTZXJ2aWNlLEFyaWFsIiBmb250LXdlaWdo&#10;dD0iNDAwIiBmb250LXNpemU9IjE3IiB0cmFuc2Zvcm09Im1hdHJpeCgwLjc5OTE0NSAwIDAgMC43&#10;OTk3OTYgOTA4LjE1NyA3MjIpIj7igKI8L3RleHQ+PHRleHQgZm9udC1mYW1pbHk9IkNhbGlicmks&#10;Q2FsaWJyaV9NU0ZvbnRTZXJ2aWNlLEFyaWFsIiBmb250LXdlaWdodD0iNDAwIiBmb250LXNpemU9&#10;IjE3IiB0cmFuc2Zvcm09Im1hdHJpeCgwLjc5OTE0NSAwIDAgMC43OTk3OTYgOTE3LjQ4MyA3MjIp&#10;Ij5JbnRlcm5hbCB3b3JraW5nIHBhcGVyczwvdGV4dD48dGV4dCBmb250LWZhbWlseT0iQXJpYWws&#10;QXJpYWxfTVNGb250U2VydmljZSxBcmlhbCIgZm9udC13ZWlnaHQ9IjQwMCIgZm9udC1zaXplPSIx&#10;NyIgdHJhbnNmb3JtPSJtYXRyaXgoMC43OTkxNDUgMCAwIDAuNzk5Nzk2IDkwOC4xNTcgNzQwKSI+&#10;4oCiPC90ZXh0Pjx0ZXh0IGZvbnQtZmFtaWx5PSJDYWxpYnJpLENhbGlicmlfTVNGb250U2Vydmlj&#10;ZSxBcmlhbCIgZm9udC13ZWlnaHQ9IjQwMCIgZm9udC1zaXplPSIxNyIgdHJhbnNmb3JtPSJtYXRy&#10;aXgoMC43OTkxNDUgMCAwIDAuNzk5Nzk2IDkxNy40ODMgNzQwKSI+Q29sbGFib3JhdGl2ZSByZXBv&#10;cnRzPC90ZXh0Pjx0ZXh0IGZvbnQtZmFtaWx5PSJDYWxpYnJpLENhbGlicmlfTVNGb250U2Vydmlj&#10;ZSxBcmlhbCIgZm9udC13ZWlnaHQ9IjcwMCIgZm9udC1zaXplPSIxNyIgdHJhbnNmb3JtPSJtYXRy&#10;aXgoMC43OTkxNDUgMCAwIDAuNzk5Nzk2IDMwNS4xMjYgMjEwKSI+TWV0aG9kczwvdGV4dD48cGF0&#10;aCBkPSJNMzc3LjU5NiAyMDMuMzgyIDQzNS4yODUgMjAzLjM4MiIgc3Ryb2tlPSIjMDAwMDAwIiBz&#10;dHJva2Utd2lkdGg9IjEuOTk3ODYiIHN0cm9rZS1taXRlcmxpbWl0PSI4IiBmaWxsPSJub25lIiBm&#10;aWxsLXJ1bGU9ImV2ZW5vZGQiIHRyYW5zZm9ybT0ibWF0cml4KDEgMCAwIDEuMDAwODEgLTAuNzk5&#10;MTQ1IDEuODAwODIpIi8+PHBhdGggZD0iTTIzNi45NDcgMjAzLjM4MiAyOTUuODA5IDIwMy4zODIi&#10;IHN0cm9rZT0iIzAwMDAwMCIgc3Ryb2tlLXdpZHRoPSIxLjk5Nzg2IiBzdHJva2UtbWl0ZXJsaW1p&#10;dD0iOCIgZmlsbD0ibm9uZSIgZmlsbC1ydWxlPSJldmVub2RkIiB0cmFuc2Zvcm09Im1hdHJpeCgx&#10;IDAgMCAxLjAwMDgxIC0wLjc5OTE0NSAxLjgwMDgyKSIvPjx0ZXh0IGZvbnQtZmFtaWx5PSJDYWxp&#10;YnJpLENhbGlicmlfTVNGb250U2VydmljZSxBcmlhbCIgZm9udC13ZWlnaHQ9IjcwMCIgZm9udC1z&#10;aXplPSIxNyIgdHJhbnNmb3JtPSJtYXRyaXgoMC43OTkxNDUgMCAwIDAuNzk5Nzk2IDMwNy44MjYg&#10;NTI2KSI+QW5hbHlzaXM8L3RleHQ+PHBhdGggZD0iTTM3Mi4wMDIgNTE5LjA0NSA0MzUuOTM0IDUx&#10;OS4wNDUiIHN0cm9rZT0iIzAwMDAwMCIgc3Ryb2tlLXdpZHRoPSIxLjk5Nzg2IiBzdHJva2UtbWl0&#10;ZXJsaW1pdD0iOCIgZmlsbD0ibm9uZSIgZmlsbC1ydWxlPSJldmVub2RkIiB0cmFuc2Zvcm09Im1h&#10;dHJpeCgxIDAgMCAxLjAwMDgxIC0wLjc5OTE0NSAxLjgwMDgyKSIvPjxwYXRoIGQ9Ik0yMzUuMzQ4&#10;IDUxOS4wNDUgMjk3Ljk5IDUxOS4wNDUiIHN0cm9rZT0iIzAwMDAwMCIgc3Ryb2tlLXdpZHRoPSIx&#10;Ljk5Nzg2IiBzdHJva2UtbWl0ZXJsaW1pdD0iOCIgZmlsbD0ibm9uZSIgZmlsbC1ydWxlPSJldmVu&#10;b2RkIiB0cmFuc2Zvcm09Im1hdHJpeCgxIDAgMCAxLjAwMDgxIC0wLjc5OTE0NSAxLjgwMDgyKSIv&#10;Pjx0ZXh0IGZvbnQtZmFtaWx5PSJDYWxpYnJpLENhbGlicmlfTVNGb250U2VydmljZSxBcmlhbCIg&#10;Zm9udC13ZWlnaHQ9IjcwMCIgZm9udC1zaXplPSIxNyIgdHJhbnNmb3JtPSJtYXRyaXgoMC43OTkx&#10;NDUgMCAwIDAuNzk5Nzk2IDUyOS41NTMgMjEwKSI+TWV0aG9kczwvdGV4dD48cGF0aCBkPSJNNjAx&#10;LjM1NyAyMDMuMzgyIDY1OS4wNDYgMjAzLjM4MiIgc3Ryb2tlPSIjMDAwMDAwIiBzdHJva2Utd2lk&#10;dGg9IjEuOTk3ODYiIHN0cm9rZS1taXRlcmxpbWl0PSI4IiBmaWxsPSJub25lIiBmaWxsLXJ1bGU9&#10;ImV2ZW5vZGQiIHRyYW5zZm9ybT0ibWF0cml4KDEgMCAwIDEuMDAwODEgLTAuNzk5MTQ1IDEuODAw&#10;ODIpIi8+PHBhdGggZD0iTTQ2MS41MDYgMjAzLjM4MiA1MjAuMzY5IDIwMy4zODIiIHN0cm9rZT0i&#10;IzAwMDAwMCIgc3Ryb2tlLXdpZHRoPSIxLjk5Nzg2IiBzdHJva2UtbWl0ZXJsaW1pdD0iOCIgZmls&#10;bD0ibm9uZSIgZmlsbC1ydWxlPSJldmVub2RkIiB0cmFuc2Zvcm09Im1hdHJpeCgxIDAgMCAxLjAw&#10;MDgxIC0wLjc5OTE0NSAxLjgwMDgyKSIvPjx0ZXh0IGZvbnQtZmFtaWx5PSJDYWxpYnJpLENhbGli&#10;cmlfTVNGb250U2VydmljZSxBcmlhbCIgZm9udC13ZWlnaHQ9IjcwMCIgZm9udC1zaXplPSIxNyIg&#10;dHJhbnNmb3JtPSJtYXRyaXgoMC43OTkxNDUgMCAwIDAuNzk5Nzk2IDUzMS40NzQgNDU0KSI+QW5h&#10;bHlzaXM8L3RleHQ+PHBhdGggZD0iTTU5NS43NjMgNDQ3LjEyMiA2NTkuNjk0IDQ0Ny4xMjIiIHN0&#10;cm9rZT0iIzAwMDAwMCIgc3Ryb2tlLXdpZHRoPSIxLjk5Nzg2IiBzdHJva2UtbWl0ZXJsaW1pdD0i&#10;OCIgZmlsbD0ibm9uZSIgZmlsbC1ydWxlPSJldmVub2RkIiB0cmFuc2Zvcm09Im1hdHJpeCgxIDAg&#10;MCAxLjAwMDgxIC0wLjc5OTE0NSAxLjgwMDgyKSIvPjxwYXRoIGQ9Ik00NTkuMTA5IDQ0Ny4xMjIg&#10;NTIxLjc1MSA0NDcuMTIyIiBzdHJva2U9IiMwMDAwMDAiIHN0cm9rZS13aWR0aD0iMS45OTc4NiIg&#10;c3Ryb2tlLW1pdGVybGltaXQ9IjgiIGZpbGw9Im5vbmUiIGZpbGwtcnVsZT0iZXZlbm9kZCIgdHJh&#10;bnNmb3JtPSJtYXRyaXgoMSAwIDAgMS4wMDA4MSAtMC43OTkxNDUgMS44MDA4MikiLz48dGV4dCBm&#10;aWxsPSIjRkZGRkZGIiBmb250LWZhbWlseT0iQ2FsaWJyaSxDYWxpYnJpX01TRm9udFNlcnZpY2Us&#10;QXJpYWwiIGZvbnQtd2VpZ2h0PSI0MDAiIGZvbnQtc2l6ZT0iMTciIHRyYW5zZm9ybT0ibWF0cml4&#10;KDAuNzk5MTQ1IDAgMCAwLjc5OTc5NiAzNDQuOTQxIDEzOSkiPi4uLjwvdGV4dD48dGV4dCBmaWxs&#10;PSIjRkZGRkZGIiBmb250LWZhbWlseT0iQ2FsaWJyaSxDYWxpYnJpX01TRm9udFNlcnZpY2UsQXJp&#10;YWwiIGZvbnQtd2VpZ2h0PSI0MDAiIGZvbnQtc2l6ZT0iMTciIHRyYW5zZm9ybT0ibWF0cml4KDAu&#10;Nzk5MTQ1IDAgMCAwLjc5OTc5NiAzNTQuNTMgMTM5KSI+Z2F0aGVyIGluZm9ybWF0aW9uIDwvdGV4&#10;dD48dGV4dCBmaWxsPSIjRkZGRkZGIiBmb250LWZhbWlseT0iQ2FsaWJyaSxDYWxpYnJpX01TRm9u&#10;dFNlcnZpY2UsQXJpYWwiIGZvbnQtd2VpZ2h0PSI0MDAiIGZvbnQtc2l6ZT0iMTciIHRyYW5zZm9y&#10;bT0ibWF0cml4KDAuNzk5MTQ1IDAgMCAwLjc5OTc5NiAzNDQuOTQxIDE1MykiPm9uIGEgc3BlY2lm&#10;aWMgdG9waWMgb3IgPC90ZXh0Pjx0ZXh0IGZpbGw9IiNGRkZGRkYiIGZvbnQtZmFtaWx5PSJDYWxp&#10;YnJpLENhbGlicmlfTVNGb250U2VydmljZSxBcmlhbCIgZm9udC13ZWlnaHQ9IjQwMCIgZm9udC1z&#10;aXplPSIxNyIgdHJhbnNmb3JtPSJtYXRyaXgoMC43OTkxNDUgMCAwIDAuNzk5Nzk2IDM0NC45NDEg&#10;MTY3KSI+Y29uY2VwdDwvdGV4dD48dGV4dCBmaWxsPSIjRkZGRkZGIiBmb250LWZhbWlseT0iQ2Fs&#10;aWJyaSxDYWxpYnJpX01TRm9udFNlcnZpY2UsQXJpYWwiIGZvbnQtd2VpZ2h0PSI0MDAiIGZvbnQt&#10;c2l6ZT0iMTciIHRyYW5zZm9ybT0ibWF0cml4KDAuNzk5MTQ1IDAgMCAwLjc5OTc5NiA0ODkuNjgg&#10;MTM5KSI+4oCmPC90ZXh0Pjx0ZXh0IGZpbGw9IiNGRkZGRkYiIGZvbnQtZmFtaWx5PSJDYWxpYnJp&#10;LENhbGlicmlfTVNGb250U2VydmljZSxBcmlhbCIgZm9udC13ZWlnaHQ9IjQwMCIgZm9udC1zaXpl&#10;PSIxNyIgdHJhbnNmb3JtPSJtYXRyaXgoMC43OTkxNDUgMCAwIDAuNzk5Nzk2IDQ5OS4yNyAxMzkp&#10;Ij5wcm92aWRlIGFuIG92ZXJ2aWV3PC90ZXh0Pjx0ZXh0IGZpbGw9IiNGRkZGRkYiIGZvbnQtZmFt&#10;aWx5PSJDYWxpYnJpLENhbGlicmlfTVNGb250U2VydmljZSxBcmlhbCIgZm9udC13ZWlnaHQ9IjQw&#10;MCIgZm9udC1zaXplPSIxNyIgdHJhbnNmb3JtPSJtYXRyaXgoMC43OTkxNDUgMCAwIDAuNzk5Nzk2&#10;IDQ4OS42OCAxNTMpIj5vZiBjdXJyZW50IGtub3dsZWRnZSA8L3RleHQ+PHRleHQgZmlsbD0iI0ZG&#10;RkZGRiIgZm9udC1mYW1pbHk9IkNhbGlicmksQ2FsaWJyaV9NU0ZvbnRTZXJ2aWNlLEFyaWFsIiBm&#10;b250LXdlaWdodD0iNDAwIiBmb250LXNpemU9IjE3IiB0cmFuc2Zvcm09Im1hdHJpeCgwLjc5OTE0&#10;NSAwIDAgMC43OTk3OTYgNDg5LjY4IDE2NykiPmFuZCBsaXRlcmF0dXJlPC90ZXh0PjwvZz48L3N2&#10;Zz5QSwMEFAAGAAgAAAAhAHfofpbhAAAADQEAAA8AAABkcnMvZG93bnJldi54bWxMj8FOwzAMhu9I&#10;vENkJG5bmkEHlKbTNAGnaRIbEuLmtV5brUmqJmu7t8c9wdH+f33+nK5G04ieOl87q0HNIxBkc1fU&#10;ttTwdXifPYPwAW2BjbOk4UoeVtntTYpJ4Qb7Sf0+lIIh1ieooQqhTaT0eUUG/dy1ZDk7uc5g4LEr&#10;ZdHhwHDTyEUULaXB2vKFClvaVJSf9xej4WPAYf2g3vrt+bS5/hzi3fdWkdb3d+P6FUSgMfyVYdJn&#10;dcjY6egutvCi0TBTzOcuJ+oFxNSIo0UM4jhtHpdPILNU/v8i+wU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AvdsNFTAwAAvwcAAA4AAAAAAAAA&#10;AAAAAAAAQwIAAGRycy9lMm9Eb2MueG1sUEsBAi0ACgAAAAAAAAAhAP0BTYakEgwApBIMABQAAAAA&#10;AAAAAAAAAAAAwgUAAGRycy9tZWRpYS9pbWFnZTEucG5nUEsBAi0ACgAAAAAAAAAhALJyWF18BAIA&#10;fAQCABQAAAAAAAAAAAAAAAAAmBgMAGRycy9tZWRpYS9pbWFnZTIuc3ZnUEsBAi0AFAAGAAgAAAAh&#10;AHfofpbhAAAADQEAAA8AAAAAAAAAAAAAAAAARh0OAGRycy9kb3ducmV2LnhtbFBLAQItABQABgAI&#10;AAAAIQAiVg7uxwAAAKUBAAAZAAAAAAAAAAAAAAAAAFQeDgBkcnMvX3JlbHMvZTJvRG9jLnhtbC5y&#10;ZWxzUEsFBgAAAAAHAAcAvgEAAFIfDgAAAA==&#10;" o:allowoverlap="f">
                <v:shape id="Graphic 1" o:spid="_x0000_s1035" type="#_x0000_t75" style="position:absolute;left:-285;top:365;width:103028;height:7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DyxwAAAOMAAAAPAAAAZHJzL2Rvd25yZXYueG1sRE/NasJA&#10;EL4X+g7LFLyIbrSahJiNiLTQa63odciOSUx2NmRXTd++Wyj0ON//5NvRdOJOg2ssK1jMIxDEpdUN&#10;VwqOX++zFITzyBo7y6Tgmxxsi+enHDNtH/xJ94OvRAhhl6GC2vs+k9KVNRl0c9sTB+5iB4M+nEMl&#10;9YCPEG46uYyiWBpsODTU2NO+prI93IyCXbrncZm2pq2u07OZXt6S9emo1ORl3G1AeBr9v/jP/aHD&#10;/FW8WCVREr/C708BAFn8AAAA//8DAFBLAQItABQABgAIAAAAIQDb4fbL7gAAAIUBAAATAAAAAAAA&#10;AAAAAAAAAAAAAABbQ29udGVudF9UeXBlc10ueG1sUEsBAi0AFAAGAAgAAAAhAFr0LFu/AAAAFQEA&#10;AAsAAAAAAAAAAAAAAAAAHwEAAF9yZWxzLy5yZWxzUEsBAi0AFAAGAAgAAAAhAFFfMPLHAAAA4wAA&#10;AA8AAAAAAAAAAAAAAAAABwIAAGRycy9kb3ducmV2LnhtbFBLBQYAAAAAAwADALcAAAD7AgAAAAA=&#10;">
                  <v:imagedata r:id="rId55" o:title=""/>
                </v:shape>
                <v:shape id="Text Box 1" o:spid="_x0000_s1036" type="#_x0000_t202" style="position:absolute;left:1207;top:862;width:100582;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0bywAAAOMAAAAPAAAAZHJzL2Rvd25yZXYueG1sRI9BT8Mw&#10;DIXvSPyHyEjcWMIOLSvLpgmBhISE6MqBo2m8NlrjlCZs5d/jAxJH28/vvW+9ncOgTjQlH9nC7cKA&#10;Im6j89xZeG+ebu5ApYzscIhMFn4owXZzebHGysUz13Ta506JCacKLfQ5j5XWqe0pYFrEkVhuhzgF&#10;zDJOnXYTnsU8DHppTKEDepaEHkd66Kk97r+Dhd0H14/+6/XzrT7UvmlWhl+Ko7XXV/PuHlSmOf+L&#10;/76fndQvSrNalqYUCmGSBejNLwAAAP//AwBQSwECLQAUAAYACAAAACEA2+H2y+4AAACFAQAAEwAA&#10;AAAAAAAAAAAAAAAAAAAAW0NvbnRlbnRfVHlwZXNdLnhtbFBLAQItABQABgAIAAAAIQBa9CxbvwAA&#10;ABUBAAALAAAAAAAAAAAAAAAAAB8BAABfcmVscy8ucmVsc1BLAQItABQABgAIAAAAIQDUTO0bywAA&#10;AOMAAAAPAAAAAAAAAAAAAAAAAAcCAABkcnMvZG93bnJldi54bWxQSwUGAAAAAAMAAwC3AAAA/wIA&#10;AAAA&#10;" filled="f" stroked="f">
                  <v:textbox inset="0,0,0,0">
                    <w:txbxContent>
                      <w:p w14:paraId="03C85C32" w14:textId="3D7D2E57" w:rsidR="001973C4" w:rsidRPr="004851C1" w:rsidRDefault="001973C4" w:rsidP="001973C4">
                        <w:pPr>
                          <w:spacing w:after="0" w:line="240" w:lineRule="auto"/>
                          <w:jc w:val="center"/>
                          <w:rPr>
                            <w:b/>
                            <w:bCs/>
                            <w:sz w:val="24"/>
                            <w:szCs w:val="24"/>
                          </w:rPr>
                        </w:pPr>
                        <w:bookmarkStart w:id="18" w:name="_Ref137142571"/>
                        <w:bookmarkStart w:id="19" w:name="_Ref138850867"/>
                        <w:bookmarkStart w:id="20" w:name="_Toc138851306"/>
                        <w:r w:rsidRPr="004851C1">
                          <w:rPr>
                            <w:b/>
                            <w:bCs/>
                            <w:sz w:val="24"/>
                            <w:szCs w:val="24"/>
                          </w:rPr>
                          <w:t xml:space="preserve">Figure </w:t>
                        </w:r>
                        <w:bookmarkEnd w:id="18"/>
                        <w:r w:rsidR="009151E0">
                          <w:rPr>
                            <w:b/>
                            <w:bCs/>
                            <w:sz w:val="24"/>
                            <w:szCs w:val="24"/>
                          </w:rPr>
                          <w:t>0</w:t>
                        </w:r>
                        <w:r w:rsidR="005B4A4F">
                          <w:rPr>
                            <w:b/>
                            <w:bCs/>
                            <w:sz w:val="24"/>
                            <w:szCs w:val="24"/>
                          </w:rPr>
                          <w:noBreakHyphen/>
                        </w:r>
                        <w:r w:rsidR="005B4A4F">
                          <w:rPr>
                            <w:b/>
                            <w:bCs/>
                            <w:sz w:val="24"/>
                            <w:szCs w:val="24"/>
                          </w:rPr>
                          <w:fldChar w:fldCharType="begin"/>
                        </w:r>
                        <w:r w:rsidR="005B4A4F">
                          <w:rPr>
                            <w:b/>
                            <w:bCs/>
                            <w:sz w:val="24"/>
                            <w:szCs w:val="24"/>
                          </w:rPr>
                          <w:instrText xml:space="preserve"> SEQ Figure \* ARABIC \s 1 </w:instrText>
                        </w:r>
                        <w:r w:rsidR="005B4A4F">
                          <w:rPr>
                            <w:b/>
                            <w:bCs/>
                            <w:sz w:val="24"/>
                            <w:szCs w:val="24"/>
                          </w:rPr>
                          <w:fldChar w:fldCharType="separate"/>
                        </w:r>
                        <w:r w:rsidR="00165B17">
                          <w:rPr>
                            <w:b/>
                            <w:bCs/>
                            <w:noProof/>
                            <w:sz w:val="24"/>
                            <w:szCs w:val="24"/>
                          </w:rPr>
                          <w:t>1</w:t>
                        </w:r>
                        <w:r w:rsidR="005B4A4F">
                          <w:rPr>
                            <w:b/>
                            <w:bCs/>
                            <w:sz w:val="24"/>
                            <w:szCs w:val="24"/>
                          </w:rPr>
                          <w:fldChar w:fldCharType="end"/>
                        </w:r>
                        <w:bookmarkEnd w:id="19"/>
                        <w:r w:rsidR="00C522B0">
                          <w:rPr>
                            <w:b/>
                            <w:bCs/>
                            <w:sz w:val="24"/>
                            <w:szCs w:val="24"/>
                          </w:rPr>
                          <w:t>.</w:t>
                        </w:r>
                        <w:r w:rsidRPr="004851C1">
                          <w:rPr>
                            <w:b/>
                            <w:bCs/>
                            <w:sz w:val="24"/>
                            <w:szCs w:val="24"/>
                          </w:rPr>
                          <w:t xml:space="preserve"> Methods, analysis and data set diagram</w:t>
                        </w:r>
                        <w:bookmarkEnd w:id="20"/>
                      </w:p>
                    </w:txbxContent>
                  </v:textbox>
                </v:shape>
                <w10:wrap anchory="page"/>
                <w10:anchorlock/>
              </v:group>
            </w:pict>
          </mc:Fallback>
        </mc:AlternateContent>
      </w:r>
      <w:bookmarkEnd w:id="14"/>
    </w:p>
    <w:p w14:paraId="53D6D663" w14:textId="77777777" w:rsidR="00AA2AD5" w:rsidRDefault="00AA2AD5">
      <w:pPr>
        <w:jc w:val="left"/>
        <w:sectPr w:rsidR="00AA2AD5" w:rsidSect="00D01379">
          <w:pgSz w:w="16834" w:h="11909" w:orient="landscape" w:code="9"/>
          <w:pgMar w:top="1440" w:right="1440" w:bottom="1440" w:left="1440" w:header="720" w:footer="720" w:gutter="0"/>
          <w:cols w:space="720"/>
          <w:titlePg/>
          <w:docGrid w:linePitch="360"/>
        </w:sectPr>
      </w:pPr>
    </w:p>
    <w:p w14:paraId="4B84B3D4" w14:textId="25744B2D" w:rsidR="0039633D" w:rsidRPr="00884FAA" w:rsidRDefault="00D52D49" w:rsidP="0035030F">
      <w:pPr>
        <w:pStyle w:val="Heading2NotNumbered"/>
        <w:numPr>
          <w:ilvl w:val="0"/>
          <w:numId w:val="0"/>
        </w:numPr>
      </w:pPr>
      <w:bookmarkStart w:id="21" w:name="_Toc137208873"/>
      <w:r w:rsidRPr="00884FAA">
        <w:lastRenderedPageBreak/>
        <w:t>Summary of k</w:t>
      </w:r>
      <w:r w:rsidR="00EB664C" w:rsidRPr="00884FAA">
        <w:t xml:space="preserve">ey </w:t>
      </w:r>
      <w:r w:rsidRPr="00884FAA">
        <w:t>f</w:t>
      </w:r>
      <w:r w:rsidR="00EB664C" w:rsidRPr="00884FAA">
        <w:t>indings</w:t>
      </w:r>
      <w:bookmarkEnd w:id="21"/>
      <w:r w:rsidR="00A64B26" w:rsidRPr="00884FAA">
        <w:t xml:space="preserve"> </w:t>
      </w:r>
    </w:p>
    <w:p w14:paraId="4B03DE31" w14:textId="5D30ABD7" w:rsidR="00921B98" w:rsidRDefault="00F44B3A" w:rsidP="00F44B3A">
      <w:r w:rsidRPr="00884FAA">
        <w:t xml:space="preserve">For many people and organisations </w:t>
      </w:r>
      <w:r w:rsidR="004E4F03">
        <w:t xml:space="preserve">that </w:t>
      </w:r>
      <w:r w:rsidR="00E602D8" w:rsidRPr="00884FAA">
        <w:t>contribu</w:t>
      </w:r>
      <w:r w:rsidR="00D610DB" w:rsidRPr="00884FAA">
        <w:t>t</w:t>
      </w:r>
      <w:r w:rsidR="004E4F03">
        <w:t>ed</w:t>
      </w:r>
      <w:r w:rsidR="00D610DB" w:rsidRPr="00884FAA">
        <w:t xml:space="preserve"> to </w:t>
      </w:r>
      <w:r w:rsidR="0000230F">
        <w:t>the</w:t>
      </w:r>
      <w:r w:rsidR="0000230F" w:rsidRPr="00884FAA">
        <w:t xml:space="preserve"> </w:t>
      </w:r>
      <w:r w:rsidRPr="00884FAA">
        <w:t xml:space="preserve">evaluation, reflecting Aboriginal </w:t>
      </w:r>
      <w:r w:rsidR="006D5CED" w:rsidRPr="00884FAA">
        <w:t xml:space="preserve">and Torres Strait Islander </w:t>
      </w:r>
      <w:r w:rsidRPr="00884FAA">
        <w:t xml:space="preserve">ways of understanding health and wellbeing requires a </w:t>
      </w:r>
      <w:r w:rsidR="003279C5">
        <w:t>PHC</w:t>
      </w:r>
      <w:r w:rsidRPr="00884FAA">
        <w:t xml:space="preserve"> system that adopts a whole of person and whole of life course approach to health and wellbeing.</w:t>
      </w:r>
      <w:r w:rsidR="00DA44BB" w:rsidRPr="00884FAA">
        <w:t xml:space="preserve"> </w:t>
      </w:r>
    </w:p>
    <w:p w14:paraId="4A3E4DBB" w14:textId="19C649DD" w:rsidR="00212667" w:rsidRDefault="00212667" w:rsidP="00F44B3A">
      <w:r>
        <w:t xml:space="preserve">These findings are </w:t>
      </w:r>
      <w:r w:rsidR="00233C95">
        <w:t xml:space="preserve">built </w:t>
      </w:r>
      <w:r>
        <w:t>on the qualitative and quantitative data generated across</w:t>
      </w:r>
      <w:r w:rsidR="00233C95">
        <w:t xml:space="preserve"> the</w:t>
      </w:r>
      <w:r>
        <w:t xml:space="preserve"> </w:t>
      </w:r>
      <w:r w:rsidR="006D2482">
        <w:t xml:space="preserve">3 </w:t>
      </w:r>
      <w:r>
        <w:t xml:space="preserve">cycles </w:t>
      </w:r>
      <w:r w:rsidR="00233C95">
        <w:t xml:space="preserve">of the evaluation. </w:t>
      </w:r>
      <w:r w:rsidR="00957499">
        <w:t xml:space="preserve">The evidence base is shaped by direct experiences and </w:t>
      </w:r>
      <w:r w:rsidR="00DB37D7">
        <w:t xml:space="preserve">expertise of Aboriginal and Torres Strait Islander people. </w:t>
      </w:r>
    </w:p>
    <w:p w14:paraId="198B295F" w14:textId="6AF8E673" w:rsidR="00000D67" w:rsidRDefault="00000D67" w:rsidP="00F44B3A">
      <w:r>
        <w:t xml:space="preserve">The findings focus on the </w:t>
      </w:r>
      <w:r w:rsidR="000F7ACE">
        <w:t>PHC Program</w:t>
      </w:r>
      <w:r w:rsidR="002E5B59">
        <w:t xml:space="preserve"> of the IAHP, being the delivery of funding to ACCHSs and other organisations to deliver </w:t>
      </w:r>
      <w:r w:rsidR="005E0B4F">
        <w:t xml:space="preserve">comprehensive </w:t>
      </w:r>
      <w:r w:rsidR="002E5B59">
        <w:t>PHC to Aboriginal and Torres Strait Islander people.</w:t>
      </w:r>
      <w:r w:rsidR="00AA35E2">
        <w:t xml:space="preserve"> </w:t>
      </w:r>
      <w:r w:rsidR="002E5B59">
        <w:t xml:space="preserve">However, the evaluation locates this funding program </w:t>
      </w:r>
      <w:r w:rsidR="004F16C5">
        <w:t xml:space="preserve">within the </w:t>
      </w:r>
      <w:r w:rsidR="002E5B59">
        <w:t xml:space="preserve">IAHP </w:t>
      </w:r>
      <w:r w:rsidR="004F16C5">
        <w:t xml:space="preserve">as a whole and considers the </w:t>
      </w:r>
      <w:r w:rsidR="002E5B59">
        <w:t>interface between the IAHP and the broader</w:t>
      </w:r>
      <w:r w:rsidR="00F953EE">
        <w:t xml:space="preserve"> </w:t>
      </w:r>
      <w:r w:rsidR="002E5B59">
        <w:t>health system</w:t>
      </w:r>
      <w:r w:rsidR="004F16C5">
        <w:t xml:space="preserve"> </w:t>
      </w:r>
      <w:r w:rsidR="00252E36">
        <w:t xml:space="preserve">to </w:t>
      </w:r>
      <w:r w:rsidR="00576E9F">
        <w:t>identify</w:t>
      </w:r>
      <w:r w:rsidR="00252E36">
        <w:t xml:space="preserve"> </w:t>
      </w:r>
      <w:r w:rsidR="004F16C5">
        <w:t>findings and recommendations</w:t>
      </w:r>
      <w:r w:rsidR="00CE5C1F">
        <w:t xml:space="preserve"> </w:t>
      </w:r>
      <w:r w:rsidR="00252E36">
        <w:t xml:space="preserve">that advance </w:t>
      </w:r>
      <w:r w:rsidR="00CE5C1F">
        <w:t xml:space="preserve">the systems-level focus </w:t>
      </w:r>
      <w:r w:rsidR="00576E9F">
        <w:t>for</w:t>
      </w:r>
      <w:r w:rsidR="00CE5C1F">
        <w:t xml:space="preserve"> the evaluation</w:t>
      </w:r>
      <w:r w:rsidR="002E5B59">
        <w:t xml:space="preserve">. </w:t>
      </w:r>
    </w:p>
    <w:p w14:paraId="44846324" w14:textId="1405C65F" w:rsidR="003965B9" w:rsidRDefault="003965B9" w:rsidP="00F44B3A">
      <w:r w:rsidRPr="00884FAA">
        <w:t>A</w:t>
      </w:r>
      <w:r w:rsidR="00B2016F">
        <w:t xml:space="preserve">n overview of the </w:t>
      </w:r>
      <w:r w:rsidRPr="00884FAA">
        <w:t xml:space="preserve">key findings identified across the evaluation </w:t>
      </w:r>
      <w:r w:rsidR="00B2016F">
        <w:t xml:space="preserve">is included </w:t>
      </w:r>
      <w:r w:rsidRPr="00884FAA">
        <w:t xml:space="preserve">below. </w:t>
      </w:r>
      <w:r w:rsidR="00650B62">
        <w:t xml:space="preserve">Further detail on the evidence supporting these findings is included in the </w:t>
      </w:r>
      <w:r w:rsidR="008013DD">
        <w:t xml:space="preserve">main body </w:t>
      </w:r>
      <w:r w:rsidR="00650B62">
        <w:t>of the report.</w:t>
      </w:r>
    </w:p>
    <w:p w14:paraId="40731849" w14:textId="742CCB63" w:rsidR="006A0E7F" w:rsidRPr="00884FAA" w:rsidRDefault="006A0E7F" w:rsidP="00651D06">
      <w:pPr>
        <w:pStyle w:val="Heading3NotNumbered"/>
        <w:numPr>
          <w:ilvl w:val="0"/>
          <w:numId w:val="0"/>
        </w:numPr>
      </w:pPr>
      <w:r w:rsidRPr="001249C0">
        <w:t xml:space="preserve">The IAHP </w:t>
      </w:r>
      <w:r w:rsidR="0061225B" w:rsidRPr="001249C0">
        <w:t xml:space="preserve">provides </w:t>
      </w:r>
      <w:r w:rsidR="00870575" w:rsidRPr="001249C0">
        <w:t>critical investment in PHC for Aboriginal and Torres Strait Islander people</w:t>
      </w:r>
    </w:p>
    <w:p w14:paraId="145AC582" w14:textId="175263E2" w:rsidR="00D0563E" w:rsidRDefault="007B41C0" w:rsidP="007B41C0">
      <w:r>
        <w:t xml:space="preserve">The evaluation found that the IAHP </w:t>
      </w:r>
      <w:r w:rsidR="00D65C06">
        <w:t xml:space="preserve">is </w:t>
      </w:r>
      <w:r w:rsidR="00B21BDC">
        <w:t xml:space="preserve">valued for </w:t>
      </w:r>
      <w:r w:rsidR="00B31748">
        <w:t xml:space="preserve">providing </w:t>
      </w:r>
      <w:r>
        <w:t xml:space="preserve">essential support to ACCHSs to deliver health care that aligns with what Aboriginal and Torres Strait Islander people value in health care. </w:t>
      </w:r>
      <w:r w:rsidR="004A792F">
        <w:t xml:space="preserve">While there are opportunities to extend the impact of this investment, the evaluation found that without the IAHP, </w:t>
      </w:r>
      <w:r w:rsidR="00DB37D7">
        <w:t xml:space="preserve">access to </w:t>
      </w:r>
      <w:r w:rsidR="006949D6">
        <w:t xml:space="preserve">comprehensive </w:t>
      </w:r>
      <w:r w:rsidR="00DB37D7">
        <w:t xml:space="preserve">PHC for </w:t>
      </w:r>
      <w:r w:rsidR="004A792F">
        <w:t xml:space="preserve">Aboriginal and Torres Strait Islander people would </w:t>
      </w:r>
      <w:r w:rsidR="00DB37D7">
        <w:t xml:space="preserve">be </w:t>
      </w:r>
      <w:r w:rsidR="001658FC">
        <w:t xml:space="preserve">affected </w:t>
      </w:r>
      <w:r w:rsidR="00F57698">
        <w:t>as many ACCHSs would no longer be funded to deliver core services to their communities.</w:t>
      </w:r>
      <w:r w:rsidR="007520BE" w:rsidRPr="007520BE">
        <w:rPr>
          <w:noProof/>
        </w:rPr>
        <w:t xml:space="preserve"> </w:t>
      </w:r>
    </w:p>
    <w:p w14:paraId="4620196D" w14:textId="0E0AF530" w:rsidR="007B41C0" w:rsidRDefault="00D0563E" w:rsidP="007B41C0">
      <w:r w:rsidRPr="00884FAA">
        <w:t xml:space="preserve">The evaluation also found that </w:t>
      </w:r>
      <w:r w:rsidR="007A2C59">
        <w:t xml:space="preserve">the </w:t>
      </w:r>
      <w:r w:rsidRPr="00884FAA">
        <w:t>IAHP contributes to overall system access and navigation through specific interventions for people with chronic disease</w:t>
      </w:r>
      <w:r w:rsidR="00EC71DB">
        <w:t>.</w:t>
      </w:r>
      <w:r w:rsidR="00F57698">
        <w:t xml:space="preserve"> </w:t>
      </w:r>
    </w:p>
    <w:p w14:paraId="62EC5080" w14:textId="676048B8" w:rsidR="00010568" w:rsidRPr="00884FAA" w:rsidRDefault="00252C5B" w:rsidP="00651D06">
      <w:pPr>
        <w:pStyle w:val="Heading3NotNumbered"/>
        <w:numPr>
          <w:ilvl w:val="0"/>
          <w:numId w:val="0"/>
        </w:numPr>
      </w:pPr>
      <w:r w:rsidRPr="00884FAA">
        <w:t xml:space="preserve">People </w:t>
      </w:r>
      <w:r w:rsidR="00010568" w:rsidRPr="00884FAA">
        <w:t xml:space="preserve">value </w:t>
      </w:r>
      <w:r w:rsidR="00792988" w:rsidRPr="00884FAA">
        <w:t xml:space="preserve">comprehensive, </w:t>
      </w:r>
      <w:r w:rsidR="00245A79" w:rsidRPr="00884FAA">
        <w:t>holistic</w:t>
      </w:r>
      <w:r w:rsidR="00030FC7" w:rsidRPr="00884FAA">
        <w:t xml:space="preserve">, </w:t>
      </w:r>
      <w:r w:rsidR="00D555A5" w:rsidRPr="00884FAA">
        <w:t>high-quality</w:t>
      </w:r>
      <w:r w:rsidR="00245A79" w:rsidRPr="00884FAA">
        <w:t xml:space="preserve"> </w:t>
      </w:r>
      <w:r w:rsidR="00030FC7" w:rsidRPr="00884FAA">
        <w:t>health care</w:t>
      </w:r>
      <w:r w:rsidR="00FB154C" w:rsidRPr="00884FAA">
        <w:t xml:space="preserve"> </w:t>
      </w:r>
    </w:p>
    <w:p w14:paraId="2AD8F876" w14:textId="57E94F15" w:rsidR="00B30BD9" w:rsidRPr="00884FAA" w:rsidRDefault="00D52151" w:rsidP="00127816">
      <w:r>
        <w:rPr>
          <w:noProof/>
        </w:rPr>
        <mc:AlternateContent>
          <mc:Choice Requires="wpg">
            <w:drawing>
              <wp:anchor distT="0" distB="0" distL="114300" distR="114300" simplePos="0" relativeHeight="251658275" behindDoc="0" locked="0" layoutInCell="1" allowOverlap="1" wp14:anchorId="6D03E961" wp14:editId="7A6177B2">
                <wp:simplePos x="0" y="0"/>
                <wp:positionH relativeFrom="column">
                  <wp:posOffset>-914400</wp:posOffset>
                </wp:positionH>
                <wp:positionV relativeFrom="paragraph">
                  <wp:posOffset>40640</wp:posOffset>
                </wp:positionV>
                <wp:extent cx="1560830" cy="620395"/>
                <wp:effectExtent l="0" t="0" r="1270" b="8255"/>
                <wp:wrapSquare wrapText="bothSides"/>
                <wp:docPr id="1968774393" name="Group 1968774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620395"/>
                          <a:chOff x="0" y="0"/>
                          <a:chExt cx="1560830" cy="620395"/>
                        </a:xfrm>
                      </wpg:grpSpPr>
                      <pic:pic xmlns:pic="http://schemas.openxmlformats.org/drawingml/2006/picture">
                        <pic:nvPicPr>
                          <pic:cNvPr id="1702133404"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a:off x="0" y="0"/>
                            <a:ext cx="1560830" cy="620395"/>
                          </a:xfrm>
                          <a:prstGeom prst="rect">
                            <a:avLst/>
                          </a:prstGeom>
                          <a:ln>
                            <a:noFill/>
                          </a:ln>
                          <a:extLst>
                            <a:ext uri="{53640926-AAD7-44D8-BBD7-CCE9431645EC}">
                              <a14:shadowObscured xmlns:a14="http://schemas.microsoft.com/office/drawing/2010/main"/>
                            </a:ext>
                          </a:extLst>
                        </pic:spPr>
                      </pic:pic>
                      <wps:wsp>
                        <wps:cNvPr id="690" name="Text Box 690"/>
                        <wps:cNvSpPr txBox="1">
                          <a:spLocks noChangeArrowheads="1"/>
                        </wps:cNvSpPr>
                        <wps:spPr bwMode="auto">
                          <a:xfrm>
                            <a:off x="8626" y="51759"/>
                            <a:ext cx="1172845" cy="523875"/>
                          </a:xfrm>
                          <a:custGeom>
                            <a:avLst/>
                            <a:gdLst>
                              <a:gd name="connsiteX0" fmla="*/ 0 w 1172845"/>
                              <a:gd name="connsiteY0" fmla="*/ 0 h 523875"/>
                              <a:gd name="connsiteX1" fmla="*/ 562966 w 1172845"/>
                              <a:gd name="connsiteY1" fmla="*/ 0 h 523875"/>
                              <a:gd name="connsiteX2" fmla="*/ 1172845 w 1172845"/>
                              <a:gd name="connsiteY2" fmla="*/ 0 h 523875"/>
                              <a:gd name="connsiteX3" fmla="*/ 1172845 w 1172845"/>
                              <a:gd name="connsiteY3" fmla="*/ 523875 h 523875"/>
                              <a:gd name="connsiteX4" fmla="*/ 586423 w 1172845"/>
                              <a:gd name="connsiteY4" fmla="*/ 523875 h 523875"/>
                              <a:gd name="connsiteX5" fmla="*/ 0 w 1172845"/>
                              <a:gd name="connsiteY5" fmla="*/ 523875 h 523875"/>
                              <a:gd name="connsiteX6" fmla="*/ 0 w 1172845"/>
                              <a:gd name="connsiteY6"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5" extrusionOk="0">
                                <a:moveTo>
                                  <a:pt x="0" y="0"/>
                                </a:moveTo>
                                <a:cubicBezTo>
                                  <a:pt x="124818" y="-1993"/>
                                  <a:pt x="328375" y="12767"/>
                                  <a:pt x="562966" y="0"/>
                                </a:cubicBezTo>
                                <a:cubicBezTo>
                                  <a:pt x="797557" y="-12767"/>
                                  <a:pt x="958573" y="8099"/>
                                  <a:pt x="1172845" y="0"/>
                                </a:cubicBezTo>
                                <a:cubicBezTo>
                                  <a:pt x="1189176" y="110362"/>
                                  <a:pt x="1148623" y="341370"/>
                                  <a:pt x="1172845" y="523875"/>
                                </a:cubicBezTo>
                                <a:cubicBezTo>
                                  <a:pt x="880102" y="510358"/>
                                  <a:pt x="724568" y="513856"/>
                                  <a:pt x="586423" y="523875"/>
                                </a:cubicBezTo>
                                <a:cubicBezTo>
                                  <a:pt x="448278" y="533894"/>
                                  <a:pt x="211755" y="526220"/>
                                  <a:pt x="0" y="523875"/>
                                </a:cubicBezTo>
                                <a:cubicBezTo>
                                  <a:pt x="-21396" y="264056"/>
                                  <a:pt x="22627" y="23939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379C0C93" w14:textId="426095EA" w:rsidR="00D52151" w:rsidRPr="000326C6" w:rsidRDefault="00426FDB" w:rsidP="006836A2">
                              <w:pPr>
                                <w:pBdr>
                                  <w:left w:val="single" w:sz="12" w:space="9" w:color="357DBE" w:themeColor="accent1"/>
                                </w:pBdr>
                                <w:spacing w:after="0" w:line="240" w:lineRule="auto"/>
                                <w:jc w:val="center"/>
                                <w:rPr>
                                  <w:b/>
                                  <w:bCs/>
                                  <w:color w:val="000000"/>
                                  <w:sz w:val="20"/>
                                  <w:szCs w:val="20"/>
                                </w:rPr>
                              </w:pPr>
                              <w:r>
                                <w:rPr>
                                  <w:b/>
                                  <w:bCs/>
                                  <w:color w:val="000000"/>
                                  <w:sz w:val="20"/>
                                  <w:szCs w:val="20"/>
                                </w:rPr>
                                <w:t>F</w:t>
                              </w:r>
                              <w:r w:rsidR="006B192C">
                                <w:rPr>
                                  <w:b/>
                                  <w:bCs/>
                                  <w:color w:val="000000"/>
                                  <w:sz w:val="20"/>
                                  <w:szCs w:val="20"/>
                                </w:rPr>
                                <w:t>urther</w:t>
                              </w:r>
                              <w:r>
                                <w:rPr>
                                  <w:b/>
                                  <w:bCs/>
                                  <w:color w:val="000000"/>
                                  <w:sz w:val="20"/>
                                  <w:szCs w:val="20"/>
                                </w:rPr>
                                <w:t xml:space="preserve"> detail in</w:t>
                              </w:r>
                            </w:p>
                            <w:p w14:paraId="2D123274" w14:textId="413F61E9" w:rsidR="00B414E1" w:rsidRPr="00697AE5" w:rsidRDefault="00EE2A76" w:rsidP="006836A2">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Part B</w:t>
                              </w:r>
                              <w:r w:rsidR="00697AE5" w:rsidRPr="00697AE5">
                                <w:rPr>
                                  <w:b/>
                                  <w:bCs/>
                                  <w:color w:val="000000"/>
                                  <w:sz w:val="20"/>
                                  <w:szCs w:val="20"/>
                                </w:rPr>
                                <w:t xml:space="preserve"> - </w:t>
                              </w:r>
                              <w:r w:rsidR="00327A8C" w:rsidRPr="00697AE5">
                                <w:rPr>
                                  <w:b/>
                                  <w:bCs/>
                                  <w:color w:val="000000"/>
                                  <w:sz w:val="20"/>
                                  <w:szCs w:val="20"/>
                                </w:rPr>
                                <w:t xml:space="preserve">Section </w:t>
                              </w:r>
                              <w:r w:rsidR="002A5624" w:rsidRPr="00697AE5">
                                <w:rPr>
                                  <w:b/>
                                  <w:bCs/>
                                  <w:color w:val="000000"/>
                                  <w:sz w:val="20"/>
                                  <w:szCs w:val="20"/>
                                </w:rPr>
                                <w:t>4</w:t>
                              </w:r>
                            </w:p>
                          </w:txbxContent>
                        </wps:txbx>
                        <wps:bodyPr rot="0" vert="horz" wrap="square" lIns="0" tIns="45720" rIns="0" bIns="45720" anchor="t" anchorCtr="0" upright="1">
                          <a:noAutofit/>
                        </wps:bodyPr>
                      </wps:wsp>
                    </wpg:wgp>
                  </a:graphicData>
                </a:graphic>
              </wp:anchor>
            </w:drawing>
          </mc:Choice>
          <mc:Fallback>
            <w:pict>
              <v:group w14:anchorId="6D03E961" id="Group 1968774393" o:spid="_x0000_s1037" alt="&quot;&quot;" style="position:absolute;left:0;text-align:left;margin-left:-1in;margin-top:3.2pt;width:122.9pt;height:48.85pt;z-index:251658275;mso-position-horizontal-relative:text;mso-position-vertical-relative:text"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P6hHGFQUAABMPAAAOAAAAZHJzL2Uyb0RvYy54bWykV1tv&#10;2zYUfh+w/0DocUBq3S9GnKJt1qBAtwZrhnWPNEVbQiRRo+jI6a/fR1Ky5SSd7QxFHUrkuX3nO4dH&#10;l2+3dUUeuOxK0Swc743rEN4wkZfNeuH8effxInVIp2iT00o0fOE88s55e/XzT5d9O+e+KESVc0mg&#10;pOnmfbtwCqXa+WzWsYLXtHsjWt5gcyVkTRUe5XqWS9pDe13NfNeNZ72QeSsF412Ht9d207ky+lcr&#10;ztSX1arjilQLB74p8yvN71L/zq4u6XwtaVuUbHCDvsKLmpYNjO5UXVNFyUaWz1TVJZOiEyv1hol6&#10;JlarknETA6Lx3CfR3EixaU0s63m/bncwAdonOL1aLfv94Ua2X9tbCST6dg0szJOOZbuStf4LL8nW&#10;QPa4g4xvFWF46UWxmwZAlmEv9t0giyymrADwz8RY8et/C85Gs7MDZ9qSzfF/QACrZwgcZwqk1EZy&#10;Z1BSn6SjpvJ+014gWS1V5bKsSvVoiIe0aKeah9uS3Ur7ADBvJSlzwJK4vhcEoRs6pKE1iH8zcMzT&#10;8GhJfdiKUh3aZ8HuO2zNDvfM44GRZVW2H8uqIlKov0pVfC1oC/2eoZ/eHOIDyZ+Q5AWILAGvBdvU&#10;vFG2oiSvEKpouqJsO4fIOa+XHDHJT7lxns47yf5AZemaCsI0tQnvlOSKFWMIo5s22A4EI8v+N5HD&#10;VbpRwnj7Pwi24wnAk5264aImegE34ZnRTh8+d0q7sz+i2Vw1+rcRGkO7q98YnLWXwxJZ0PWAptSN&#10;gOLpGaRn1Z3JFFzTavdUiTNUj+XIna6q92JL9Dv4NhzU1UnUFhtjmrvW0IU04kNBmzV/J6XoC05z&#10;eGhyhOoxNrSo1XNSBtLYjx2CSo68JMpsXneV7iV+Gka20iM/SBNT6ZNEsI1NhMZ3BB8dMUca9Kt1&#10;PoTJRNN0peLfEPiqrtBvf5kRl/TEG0wg9BeO/314vCB7J144/c2bKI9iP4vj4xamMi45ZsGfWBhc&#10;P25iKnTcRPAaE1Mhi9HRUNCmdpmI0jj0g+ORHMgYPhw1A/bszJyQ8OnxEwMBfc+xcHh8mnDwesdc&#10;WthOQuds2wxsxoqg9PSFqNnaik5fdlNqo4zGR1DXthpI6dNHhEHDqbCtaCN1gjAINhX2z7IM6kyF&#10;g7OEQYipcHiWMHI9FR57y2mA2aa1QzueWkYioWTImr4c9LVVmVFQ4XbDheEQjIJLLYM8UqWTPS5J&#10;j4Y6Nr4CfdH2PYKmKDd65v1yPzKgFg/8ThhB9WTugQv7XbZZluw9/z496/lh6mFSBgIXXpYZ2OGL&#10;0RP4aYBWq/c8P4mTwU+zZ/ua2dsx7ED9S8aSLImiZDD2VGMWpVFiWZC62XAFWEd2OMCT0615Xpp5&#10;iU2Q57lBbAg5Bud5Ie4cay8IvSAxive7w5UDi/tmrxN6NMg0xThtSyGC1WgYUmwkiR9GsYU78oI0&#10;MnwZjdr2Z+A502YYpn4yqA2CNDMFMKr1AV9k0xj5se8fBIqb7fwQLzBhZhZYPw7dwyh82LA59oMM&#10;/6assdZ+kMJKdNz2Kl0Kdnoaa8Igv7/jdzPUD4eqHlOIHar0Sm2XWzMdG7z1m6XIHzHbYJLVlNLf&#10;kVgUQn53SI95eeF0/2yoHtmrTw1GGxxRZhFGCQAkcny7nL6lDYOKhYPqtssPCk84vmlluS5gwc7K&#10;jXiHQXRVmhlx7w1C1g+Y+8zKfHkZGIavRP1pN302p/bfslf/AgAA//8DAFBLAwQKAAAAAAAAACEA&#10;GMgcHv3hAAD94QAAFAAAAGRycy9tZWRpYS9pbWFnZTEucG5niVBORw0KGgoAAAANSUhEUgAACcQA&#10;AANFCAYAAABf720OAAAAAXNSR0IArs4c6QAAAARnQU1BAACxjwv8YQUAAAAJcEhZcwAAOpYAADqW&#10;ASOuVDwAAOGSSURBVHhe7N1viBz5nx/28t39fvdbn++274/vdPZJN+cjRBdLp4njnMjuCU9wBEJY&#10;eGxvZEGWeEykExyLPTrJ2WgGMoMeODEBTfTAwYE142A/CBuyg8EQJRYewz1Yh4UMxFmcJcGDRrP0&#10;EuPMxYnjhCSe1He6WxqVPvOvq7q7qvr1hhf7O2nn21Xd1VU1W+/7fjMREREREREREQnTOcbMMWaP&#10;MXeE+RMsHGHxBKuR3/W7ftfaMdaHsDFBmxO2NWHbExZt07hEn8e4RMfiOEXfw7OKvv+h6Dxyguh8&#10;dJTo3Hac6Bx5lOh8O1A8P0fn8+K5X0REREREREREREREREREpPUpPiwvih6wH1Z8IF8UPcQ/LCoA&#10;HBaVCQ6LygmHRUWHA1FpoiAqYAxEBY8kKp4MRIWYw6KyTrJ3gn0AKKF4XYmuRcVrVvEaF10To+vn&#10;W9fa6PqcK17Lo+t/dM+QFO8zBvcjh+9dBvc4IiIiIiIiIiIyJTn84GtUDv8HqDo4/LCuLor/8W6S&#10;ov+4OE7Rf/Qcl+J/gB236D8KT0K0bZMWfV7jFh2v4xR9X8clOm+NQ3QOH4foWkb8XtVFdPzUSfS9&#10;OovonHBW0XntrKLz81lF151TKz5QLSF6WHsW0QPgw4oPjIuKD5iLoofShxUfYkeih98AALwxuG86&#10;fJ81uB8b3Lcdvsc7fD94cF8Z3LMO7nsP30cP7skP3+MPflc4/HvN4HcvERERERERkTCDB3aDXyoH&#10;v3C+8xBm8Itr3+FfaAcO/8I7cPhBxsDhhxeHHf5leuDwQ4pxi7YnEu1LJHovpk30vpwkes+PEn2O&#10;J4n+Aw8AAAAAAM0y+G++h/+b8eC/Mw/+G/Xh5xeHn28o7omIiIiIiDQ06Zeyxf4vdukXv/TLYPRL&#10;IwAAAAAAANVT3BMREREREakgC/kvSOkXqegXLwAAAAAAADjsrMW9w+W9k4p7xfLe4QJfscR3uMh3&#10;VJlPoU9EREREZIrS6f8CEv0iAwAAAAAAAG00KPQVS32Hi32Hy31HlfyKDs/YFzkoA0aydwuCkcOl&#10;wbOIxnpHtF3HiPbvNKKxDkTblEvbPyhFpgLkoOwoIiIiIvJu8hvLdNMZ/RIAAAAAAAAAUGepwLie&#10;9UpzSnIiIiIiclCISzeJr28a8z86fAMJAAAAAAAA0BRbWW82ORERERGZ1uQ3hW8V4gAAAAAAAAAa&#10;TjFOREREZIqzGtwgAgAAAAAAADRaphQnIiIiMp3JbwbXijeHAAAAAAAAAE2XKcWJiIiITG1m8xvC&#10;f1a8QQQAAAAAAAComyzLwv8dyf9+Jj0QFREREZEpS34zuF28OQQAAAAAAACog+yE4tsx1ntPREVE&#10;RERkmjIT3BgeK/+Zbv5PJToAAAAAAACgzv633iNREREREZmmzAU3hifZ6P/sIGmq4WQuN9+X1uRP&#10;FnOrSf5za7n1vo3cZt9WLhXskr1c9JoAAAAAAAAAZ/U3M0unioiIiExVFoKbwpPs9X921OnkBmW7&#10;2VxUuBuU7l4X7wby7UwFvMMlvEER73AZb1DIGxgU8wblPAU9AAAAAAAAGLNs+GVSj5KWT1WMExER&#10;EZmCLAY3gyfKfy6V1aYxab8HBmW9QWFvUNo7XNw7qrz3VoEvf0+j8t7hAl9U5IsKfcVS3+Fin4If&#10;AAAArfF+571jnb/QOdaly+eO9cGHM0e6cfPiqdy+c+VU7t2/emoPHl070cqT66f29NmtU/ts/aOh&#10;ff7Fx6U8f3G3lC+/+oQWiD7bpoiO60mKvqdVis4hVSqey6JzYVI8hxbPv8XzdnTOT4rXiOI1JboO&#10;RdcuAGojrYalGCciIiLS4qQyVnQjeKz851L5a+hsb690XnWX515+u7S4211ee/Xd8vrOd0ubSf7n&#10;G+nPXnaXFtK/0/8RGW0OF/2KZb+BQenvcPEvKgBGRcBjC4FHyY+1QVHwKMUCYVGxUFgUFQyLioXD&#10;w4rlw0ixkHhW4XcQAACoVvQge6D40Hug+HD8sOhhelJ88H5Y8SH9QPFh/mHRw/+kWBQ4LCoWDESl&#10;hiQqUwxExY/DolLLYV9/8/BYr75bBoBWKF7jouti8To6uN4Wr82Hr9+Da3zxfmBwv1C8txjcexTv&#10;Uwb3MYfvdw7fE0X3UAANpxgnIiIi0sbkN3qpNBTdAB4r/9FUbjpTDgpw3cerO93lrVfdpb3oPwgc&#10;Jf1MKsnt7i6VKuKJTHGKpcdhFEuSwzpcrhxGsZA5jKjECQPFMm9Zh8vAVQhLxGXk1/aodFxGsaBc&#10;lajcPJQf/dHv/a3I97//w7992O/+3d//8jTef/8HX53GT/30j22d5Gd/9sf/flHnJ9/7h0U//dM/&#10;9vIoP/uzv2f3JOd+/se7R/n9v//9/+U4Fy50/nGSv9b/XvR7f+/v+aeRn/25H/9nxzn38z/xfx/l&#10;9/2+9/+fo/zCL7z//x3l8EMcRutwCWjSig/1TutwKemsig8YT+twqWkYxQeep3W4GHVWhx+8nlXx&#10;IW7R4YLVYcWHwodFD5EHig+cB6LfOQEAOJvD91eH78EO36sN7ueK932H7xEH95nFe9bBPe/h++fD&#10;9+DF+/nB7wOHf09R5gPOQDFOREREpE1JN3iFG75TmZv7A381zeD2eoa37vLGYIa3t3SXtwaiX5qH&#10;kcZKxbr0+jvfPp5PUtluIJXmku3upzOvba90DuvvvoiITEGK14C3HL5WHDK4lkQOX3MGBtejyMH1&#10;sii/foYOrm9vOyiEHyG/Lq6fWn6tPo3wen6UQ9f5k+TbsH0qqTQ/rOC+AQAAAOCwKst8pynyHS7z&#10;HVXkO6rMFz2fAUZKMU5ERESkDUk3doUbvVNJv7hFv0g22rsP1d96QP/Ow/1CKSAqFeQ/91YZISoz&#10;nCQqR5xaVLZom6hoEohKKofln9c7BZfjRCWZJCrWvCUq5OT6X0k5JtH7Fore94Los4tEn/1h0bEU&#10;iY7JUHSMR6Lve0F0PokUz1NHis5xBcXz4pGK59Mj5K/71nn4teL5eiA6twMAAABASxxX5ItKfMUC&#10;31ln44vKe4p7TIm1TDFOREREpLnJb+g2Czd4p9LKQhzUWVT+OauoWDRq0XZEon0GAAAAAKBxTlPc&#10;O2t577TFPeU9KpaKcSIiIiLStOQ3ctuFG7tTSb80RL/kAAAAAAAAQN0dV9wbdta9QXHvcHlvUNwr&#10;lvcU9xpjL8uyhd6TVRERERFpRPKbuKEKcUn6JSH6BQIAAAAAAACoxmlm3Ttc3DtLee80s+4dLvAd&#10;VeIbZZEvjf2DH3wv/Lsx2sqybL73hFVEREREap3gZu7U0k12dFMOAAAAAAAAMCjzFQt9xWJfZPBz&#10;g7FS8S96ZjlmG1mWzfSetIqIiIhIHdMJbuJOLd10Hr6hBQAAAAAAABiVVJRLM9NFzy7HbK3/vFVE&#10;REREapaZ4Obt1NLUytGNKAAAAAAAAMAopFnj0tKu0fPLccuybLH32FVERERE6pJShbgHj66FN6EA&#10;AAAAAAAAo5Qm74ieYU7AVpZlC73HryIiIiIy6ZQqxKX/z4vo5hMAAAAAAABg1NISqpcunwufZU5A&#10;KsbN9B7DioiIiMikUqoQl9bnj248AQAAAAAAAMalRrPFJevpOWzvcayIiIiIjDuzwQ3aqb3feS+8&#10;4QQAAAAAAAAYp5rNFpes9Z/JioiIiMgYU6oQl3z9zcPwhhMAAAAAAABg3Go2W1xaRnWh92hWRERE&#10;RMaR0oW4z7/4OLzRBAAAAAAAAJiEL7/6ZP/GzYvh880J2cwsoyoiIiIylpQuxP17S//6P45uMgEA&#10;AAAAAAAmqWazxSWWURUREREZcUoX4v7sv/OHt6ObSwAAAAAAAIBJ+/qbh/u371wJn3VOyF5mGVUR&#10;ERGRkWUuuAE7kyuzv+9/jm4sAQAAAAAAAOri6bNb++933gufeU7IVmYZVREREZHKU7oQ90t/4KfM&#10;EAcAAAAAAADUXg1ni0ssoyoiIiJSYUoX4r73/R/+P6KbSQAAAAAAAIA6SrPFnb/QCZ9/TohlVEVE&#10;REQqSulCXJL+PymiG0kAAAAAAACAuqrhbHGWURUREREpmdngJuvMnr+4G95AAgAAAAAAANRZetZZ&#10;s9niEsuoioiIiAyZSgpxf+1v/On/Kbp5BAAAAAAAAGiCB4+uhc9CJ8gyqiIiIiJDpJJC3L3f+LX/&#10;NrppBAAAAAAAAGiKNFvcpcvnwmeiE5SWUZ3tPd4VERERkZMyE9xQndnNW//i341uGAEAAAAAAACa&#10;ZuXJ9fC56IRZRlVERETkFKmkEHf+QufvRTeKAAAAAAAAAE305Vef7N+4eTF8PjpBllEVEREROSGV&#10;FOK+//0f+Ta6SQQAAAAAAABosqfPbu2/33kvfE46QWkZ1ZneI18REREROZxOcPN0Zj/0Qz/0O9HN&#10;IQAAAAAAAEDTff3Nw/3bd66Ez0onzDKqIiIiIoVUUohL/v4/+K2X0c0hAAAAAAAAQBs8f3F3//yF&#10;Tvi8dIK2M8uoioiIiLxOZYW4//Jv/ttfRTeFAAAAAAAAAG1y7/7V8JnphG1kllEVERERqa4Q9+f+&#10;/If/dXQzCAAAAAAAANA2aba4S5fPhc9OJynLstXeo2ARERGRKU10kzSMP/Gn/uBGdCMIAAAAAAAA&#10;0FYrT66Hz08nbCvLsvneE2ERERGRKUt+M7RXuDkayr/6a7/wn0c3gAAAAAAAAABtlmaLu3HzYvgc&#10;dcLWM8uoioiIyLQlvwmqpBD3oz/6vb8V3fwBAAAAAAAATIOazhaXllFd7D0dFhEREZmC5DdA28Ub&#10;oiFtvuou7UU3fgAAAAAAAADT4OtvHu7fvnMlep46aWkZ1dneU2IRERGRFifd+BRuhIa1t9Nd3opu&#10;+gAAAAAAAACmyedffLx//kIneq46aWv9R8UiIiIi7Ux+w1NVIS7d2K0Xb/QAAAAAAAAAptW9+1fD&#10;Z6uTlmXZQu+JsYiIiEjLkt/sVFaI+2rrz/0n0U0eAAAAAAAAwLR6/uJuXWeLS8uozvSeHIuIiIi0&#10;JPlNzmbhpmdoT55cfxDd4AEAAAAAAABMu5Un18PnrDVgGVURERFpT/Kbm8oKcX/0j/7yfxjd2AEA&#10;AAAAAADQmy3u0uVz4fPWCdvLLKMqIiIibUh+Y7NRuNEZWqfzg8fRTR0AAAAAAAAAb9R4tjjLqIqI&#10;iEizk9/QrBducIaWD7f6qru0F93QAQAAAAAAAPDG19883L9950r47LUGLKMqIiIizUy6kSnc2JSx&#10;sdNd3opu5gAAAAAAAAB4V1pG9fyFTvT8ddIsoyoiIiLNS34TU2UhbvNVd3kjuokDAAAAAAAA4GgP&#10;Hl2LnsHWwWZmGVURERFpSvKblyoLcXu73eW16OYNAAAAAAAAgOOl2eI++HAmehZbB5ZRFRERkUZk&#10;NbiRGdbey+7j1ejGDQAAAAAAAIDTWXlyff/9znvRM9lJ28osoyoiIiI1T5WFuP2//bfv/lvRDRsA&#10;AAAAAAAAp/f1Nw/3b9+5Ej6XrYH1zDKqIiIiUtMsBjcvQ/vjf/JXbkY3awAAAAAAAACcXVpG9fyF&#10;Tvh8dtKyLFvtPXYWERERqU8WohuXYf3SL/3MH4tu0gAAAAAAAAAYXlpGNXpGWwNpGdX53uNnERER&#10;kcmn0kJcPt7iq+7SXnSDBgAAAAAAAMDw0mxxllEVEREROT7zwY3K0PLxVne6y1vRzRkAAAAAAAAA&#10;5T19dqvOy6guHjyJFhEREZlQKi3E5TZ2vlvajG7KAAAAAAAAAKjOvftXo2e2dZCWUZ3tPZIWERER&#10;GW/mgpuTMjZ2u8tr0c0YAAAAAAAAANVKy6heunwuenZbB2tZlnV6j6ZFRERExpPZ4KakjK2X3cer&#10;0Y0YAAAAAAAAAKOx8uR69Py2FrIsW+g9nhYREREZfWaiG5IS9na+fTwf3YABAAAAAAAAMDpff/Nw&#10;//adK9Fz3DqwjKqIiIiMJZ3gRqQMhTgAAAAAAACACfps/aP98xc60fPcOkjLqIqIiIiMLFUX4vb/&#10;479861ejmy4AAAAAAAAAxufBo2vhM90a2MssoyoiIiKjSnDzUcrlyz9/LbrZAgAAAAAAAGC8nr+4&#10;u3/p8rnw2W4NpGVUZ3pPrkVEREQqSn6TsVe46SglH3LuVXdpL7rZAgAAAAAAAGD8Vp5cD5/v1oRl&#10;VEVERKS65DcXVRfi5ne6y1vRTRYAAAAAAAAAk/H1Nw/3b9+5Ej7nrQHLqIqIiEg1yW8stgo3GqXk&#10;Qy7ufLe0Gd1gAQAAAAAAADBZaRnV8xc64fPeGkjLqM4ePMwWERERGSbphqJwg1FKPuRqfhO1Xryp&#10;AgAAAAAAAKA+GrCMaufgobaIiIjIWZLfSGwWbizKWtvtLq9FN1QAAAAAAAAA1EeaLe7GzYvRc99a&#10;yLJssfdkW0REROSUyW8iqi7EbbzsPk6zxIU3VAAAAAAAAADUy9Nnt/bf77wXPf+tg7SM6kLvCbeI&#10;iIjICclvHtYLNxNlbe58+3g+uokCAAAAAAAAoL5u37kSPQOui/Usy2Z6T7pFREREjkh+07BWuIko&#10;a/tVd3kuunkCAAAAAAAAoN7SMqqXLp+LngXXxVr/cbeIiIjIu0k3C4Wbh7L2trdXOtGNEwAAAAAA&#10;AADNsPLkep2XUd3OLKMqIiIiR2Q1uHkoRSEOAAAAAAAAoB3u3b8aPheuia3MMqoiIiJSSOWFuHzM&#10;zqvu0l50swQAAAAAAABAs1hGVURERJqUxeBmoZR8zNmd7vJWdKMEAAAAAAAAQDPVfBnVvcwyqiIi&#10;IpJnIbhRKCUfc27nu6XN6AYJAAAAAAAAgGZrwDKqswdPw0VERGQqMx/cIJSSj7mw211ei26MAAAA&#10;AAAAAGi+hiyj2jl4Ki4iIiJTlbngxqCUfMzFl93Hq9FNEQAAAAAAAADt8fTZrf3zFzrhs+M6SM+v&#10;D56Mi4iIyNRkNropKCMfc/Vld2khuhkCAAAAAAAAoH0asIzq/METchEREWl9ZoKbgbLWd759PB/d&#10;BAEAAAAAAADQTmkZ1Q8+nImeIdfFenpG3ntULiIiIm1NJ7gJKGvjVXd5LroBAgAAAAAAAKDd6r6M&#10;am6t/7xcREREWphRFOI2t7dXOtGNDwAAAAAAAADToQHLqC70HpuLiIhIqxJc+MvaVogDAAAAAAAA&#10;IC2jeuPmxei5cl2kYpxlVEVERNqU/AK/V7jgl7WXxn3VXdqLbngAAAAAAAAAmC6WURUREZGxJb+w&#10;V12I20/j7nSXt6IbHQAAAAAAAACm04NH18JnzDWRJn+xjKqIiEjTk1/UtwsX+dLyYTs73y1tRjc4&#10;AAAAAAAAAEyvhiyjOnvwQF1ERESal3QxL1zcS8uHnc1vZNaLNzYAAAAAAAAAkDRkGdWZgwfrIiIi&#10;0pzkF/HNwkW9tHzYud3u8lp0UwMAAAAAAAAAAzVfRjVJxTgRERFpSvKL9ygKcQsvu49Xo5sZAAAA&#10;AAAAADgsLaN6+86V8PlzTWyn5+AHD9lFRESk3skv3BuFC3lp+bCLL7tLC9GNDAAAAAAAAABEGrCM&#10;6lZmGVUREZF6J79grxcu4KXlw67ufPt4PrqBAQAAAAAAAIDjNGQZVcU4ERGROiZdqAsX7iqs7+4u&#10;zUY3LgAAAAAAAABwkgYso3owWUzvybuIiIjUJvlFehSFuI3t7ZVOdNMCAAAAAAAAAKf12fpHTVhG&#10;daH3BF5ERETqkNXggl3WpkIcAAAAAAAAAFVZeXI9ejZdJ6kYZxlVERGRGmQxuFCXtZ0GftVd2otu&#10;VAAAAAAAAADgrL7+5mHtl1HNrWVZ1knPzEVERGQyWQgu0GXtpYF3ustb0U0KAAAAAAAAAAzr+Yu7&#10;+5cun4ueVddGlmWL6bm5iIiIjD/z0cW5rDTwzndLm9HNCQAAAAAAAACU9fTZrf3zFzrhM+uaSMuo&#10;LqTn5yIiIjK+jKoQ18lvQNaLNyQAAAAAAAAAUKWVJ9fD59Y1spll2czBE3oREREZeeaCi3Fp+biz&#10;u93ltehmBAAAAAAAAACqlJZRvX3nSvj8ukbWeo/pRUREZJSZDS7CpeXjzr3sPl6NbkQAAAAAAAAA&#10;YBRSMa7my6im5+mLB0/rRUREZCSZiS7AZeXjLux8+3g+ugEBAAAAAAAAgFFqwDKqW+m5+sFTexER&#10;Eak0neDCW1o+7qJCHAAAAAAAAACT1IBlVDeyLJs5eHovIiIilWRUhbjV3d2l2eiGAwAAAAAAAADG&#10;JS2j2oBi3FrvEb6IiIiUTnChrcL69vZKJ7rZAAAAAAAAAIBxe/rs1v75C53o+XZtZJZRFRERKZ/8&#10;orpXvMhWYEMhDgAAAAAAAIC6WXlyPXrGXSdbmWKciIjI8MkvptuFi2sVNtPYr7pLe9ENBgAAAAAA&#10;AABMytffPGzCMqobWZbNpGfvIiIicobkF9GtwkW1Cttp7J3u8lZ0cwEAAAAAAAAAk/b8xd39S5fP&#10;Rc+862Tt4OG+iIiInC75xXOzcDGtwl4ae+e7pc3opgIAAAAAAAAA6iIto3r+Qid69l0X6Rm8ZVRF&#10;REROk/zCOYpC3H4aO79xWC/eSAAAAAAAAABAHT14dC18/l0jW1mWzaXn8SIiInJE8gvmeuECWol8&#10;6M5ud3ktuokAAAAAAAAAgDpKy6jevnMlfA5eI+tZls0cPPQXERGRt5NfKNcKF85K5EPPvuw+Xo1u&#10;IAAAAAAAAACgzlIxrubLqCZrvSf/IiIi8jrpAlm4YFYiH3ruZXdpIbpxAAAAAAAAAIAmWHlyPXwm&#10;XiN7WZYtHBQARERE5CCrwQWztHzchZ1vH89HNwwAAAAAAAAA0CQNWEZ1K8uy2YMWgIiIyJRnMbhQ&#10;lpbG3d1dmo1uFAAAAAAAAACgadIyqjduXgyfkdfIepZlMwdtABERkSnNQnCBLC0fd3V7e6UT3SQA&#10;AAAAAAAAQFM9fXZr//yFTvisvEbWepUAERGR6ct8cGGswrpCHAAAAAAAAABttfLkevSsvE72sixb&#10;6FUDREREpidzwUWxChtp8Ffdpb3oxgAAAAAAAAAAmu7rbx7u375zJXpmXidbWZbNpmf4IiIi05DZ&#10;4GJYhc00+E53eSu6KQAAAAAAAACAtnj+4u7+pcvnomfndbKeZdlMepYvIiLS5swEF8EqbKfBd75b&#10;2oxuBgAAAAAAAACgbZ4+u7V//kIneoZeJ2sHbQEREZGWphNc/KqQ1iLP8gv+evEGAAAAAAAAAADa&#10;bOXJ9eg5ep2kSW4W0nN9ERGRtmVUhbj9NPhud3ktuvgDAAAAAAAAQJt9/c3D/dt3roTP02tkK7OM&#10;qoiItC3BBa8S+dCdl93Hq9GFHwAAAAAAAACmwfMXd/cvXT4XPlevkbSMqmKciIi0I/mFba9woatE&#10;PvTsy+7SQnTBBwAAAAAAAIBp8vTZrf3zFzrh8/W6yLJs9aBIICIi0uTkF7Xt4kWuCvnQczvfPp6P&#10;LvQAAAAAAAAAMI1WnlwPn7HXSFpGdeGgUCAiItLEpItZ4eJWiXzohd3dpdnoAg8AAAAAAAAA0+rL&#10;rz7Zv33nSvisvUZSMc4yqiIi0rzkF7HNwkWtEvnQi9vbK53o4g4AAAAAAAAA0+75i7u1X0Y1t5Zl&#10;WeegYCAiItKE5BcvhTgAAAAAAAAAmJC0jGrdi3FZlq0elAxERETqnvzCtV68kFUhH/rgYviqu7QX&#10;XdABAAAAAAAAgDcePLoWPn+vkbSM6kLqAoiIiNQ2+QVrrXABq8p6Gn+nu7wVXcgBAAAAAAAAgLel&#10;ZVRv37kSPYOvk1SMm0mdABERkdolv1CNqhC3kcbf+W5pM7qIAwAAAAAAAACxVIyr+zKqubWD4oGI&#10;iEjNshpctKpwUIh71V3eiC7eAAAAAAAAAMDxVp5c33+/8170TL42sixbTP0AERGRumQxumBVIE2R&#10;mu12l9eiizYAAAAAAAAAcDr37l+NnsvXSeoILKSegIiIyKSzEFyoqrCdBn/ZfbwaXawBAAAAAAAA&#10;gNNLy6jevnMlej5fJ5tZls2kvoCIiMikMh9coKqwlwZ/2V1aiC7UAAAAAAAAAMDZff7Fx/vnL3Si&#10;5/R1snbQSBAREZlARlWIS+uEZzvfPp6PLtAAAAAAAAAAwPBWnlwPn9XXSWYZVRERmUBmo4tSFfKx&#10;O6+6y3PRhRkAAAAAAAAAKK8By6huZYpxIiIyxswEF6NKpLG3u5/ORBdkAAAAAAAAAKAaz1/cbUIx&#10;biP1CA6aCiIiIiNMJ7gIVSIfe3Z7e6UTXYwBAAAAAAAAgGo9fXZr//yFTvgMv0bWenUFERGR0WSU&#10;hbi59AKvukt70YUYAAAAAAAAAKjeypPr4XP8OsksoyoiIqNKdOGpQj70fBpfIQ4AAAAAAAAAxuvr&#10;bx42YRnVrUwxTkREqk5+gdkrXHAqkQ+9mMbf6S5vRRdfAAAAAAAAAGC0nr+424RlVDeyLJtJHQMR&#10;EZHSyS8soy3Efbe0GV10AQAAAAAAAIDxaMIyqrm11DMQEREplfyCslW4wFQiH3o1jb/bXV6LLrYA&#10;AAAAAAAAwPg0ZBnVvcwyqiIiUib5xWSzcHGpynoaXyEOAAAAAAAAAOojLaN66fK56Dl/nWxlWTaf&#10;egciIiJnSn4RGVUhLq3xnb3sPl6NLrAAAAAAAAAAwOSkZVTPX+hEz/vrJE3GM5P6ByIiIqdKungU&#10;LiZVOSjE7Xz7eD66sAIAAAAAAAAAk3fv/tXomX/drB2UHERERE5KumgULiJVSdOXKsQBAAAAAAAA&#10;QM2lZVRv37kSPfuvk70syxZSF0FEROTI5BeMURXittP4u7tLs9HFFAAAAAAAAACol6fPbjVhGdU0&#10;Qc9c6iSIiIhEWQ0uHlVIzexse3ulE11EAQAAAAAAAIB6WnlyPeoB1M16lmUzqZsgIiJyOApxAAAA&#10;AAAAAMBbvv7mYROWUU3WDtoPIiIi/SwGF4tK9MfPXnWX9qKLJwAAAAAAAABQb89f3G3CMqpp0p6F&#10;XktBRESmPQvBhaIS+did9AI73eWt6KIJAAAAAAAAADRDQ5ZR3cqybDZ1FUREZHoz+kLcd0ub0cUS&#10;AAAAAAAAAGiOBi2jup5l2UzqLIiIyPRlPrgwVCIf++Di8qq7vBFdKAEAAAAAAACA5knLqF66fC7s&#10;CtTMWuotiIjIdGWUhbiDaUh3u8tr0QUSAAAAAAAAAGiutIzq+QudsDNQI2kZ1YXUXxARkenIXHAx&#10;qEQaO72AQhwAAAAAAAAAtNe9+1fD3kDNpGKcZVRFRKYgs8FFoBL52AeFuJfdx6vRBREAAAAAAAAA&#10;aIe0jOrtO1fC/kDNWEZVRKTlGWUhbj69wM63j+ejiyEAAAAAAAAA0C5Pn91qwjKqe5llVEVEWpuZ&#10;4MRfiXzsg4uHQhwAAAAAAAAATJeVJ9fDLkHNpGVUZ1O3QURE2pNOcMKvRD72YnqB3d2l2ejiBwAA&#10;AAAAAAC019ffPGzSMqqd1HEQEZHmZ+SFuO3tlU504QMAAAAAAAAA2u/5i7tNWEb1dc9BREQanugk&#10;X4V86NU0vkIcAAAAAAAAANCgZVTnU99BREQamuDkXpU0pehBXnWX9qKLHQAAAAAAAAAwPRq0jOp6&#10;lmUzvdaDiIg0KvlJfK9wUq9KujgcZKe7vBVd6AAAAAAAAACA6ZOWUb10+VzUNaib15MBiYhIQ5Kf&#10;vEdViNvov4RCHAAAAAAAAADwjrSM6vkLnahzUCfbWZYt9BoQIiJS+6QTd+FEXpU3hbjvljajCxsA&#10;AAAAAAAAwL37V6PeQd1sZZZRFRGpf9IJu3ACr8pm/yWy3e7yWnRBAwAAAAAAAABI0jKqt+9cifoH&#10;dWMZVRGROic/UY+qEJea0QdRiAMAAAAAAAAATuPps1tNWEZ1L7OMqohIPZOfpDcLJ+2qpDW0D/Ky&#10;+3g1uogBAAAAAAAAAERWnlyPugh1kyYLmu21I0REpBbJT86jKsSlNvRBXnaXFqKLFwAAAAAAAADA&#10;Ub7+5mGTllHt9FoSIiIy0eQn5Y3CSboqrwtxO98+no8uXAAAAAAAAAAAJ3n+4m4TllHdz7JssdeU&#10;EBGRiSU/Ia8XT9BV6b9E9qq7PBddsAAAAAAAAAAATqtBy6gu9BoTIiIy9uQn4rXCibky/ZfItruf&#10;zkQXKgAAAAAAAACAs2jQMqrrWZbN9JoTIiIytuQn4FEW4g7Wx97eXulEFykAAAAAAAAAgGGkZVQv&#10;XT4X9hVqZi11J0REZExJJ97Cibgy+fAHhbiU6OIEAAAAAAAAAFBGWkb1/IVO2Fuoke3MMqoiImPL&#10;anAirkQ+9ptCXHdpL7owAQAAAAAAAACUde/+1bC7UDNbmWVURURGnlEW4l6fxHe6y1vRBQkAAAAA&#10;AAAAoAppGdXbd66EHYaasYyqiMgIsxiceCuRj/2mEPfd0mZ0MQIAAAAAAAAAqNLTZ7easIzqXmYZ&#10;VRGRkWQhOOlWIh97tvcSacnU5Y3oIgQAAAAAAAAAMAorT66HfYaasYyqiEjFmQ9OtpXIx35diNvt&#10;Lq9FFx8AAAAAAAAAgFH5+puHllEVEZmyjLIQN9d7CYU4AAAAAAAAAGBynr+424RlVLczy6iKiJTO&#10;XHCCrUQau/cSWfay+3g1uuAAAAAAAAAAAIxLQ5ZR3cgsoyoiMnTGVIhbWoguNAAAAAAAAAAA42QZ&#10;VRGRdmc2OKFWIh97vvcSWbbz7eP56CIDAAAAAAAAADAJDVlGdSuzjKqIyJkyE5xMK5GP/fqE/Kq7&#10;PBddXAAAAAAAAAAAJqkhy6iuZ5ZRFRE5VcZSiNvufjoTXVQAAAAAAAAAACatKcuoZlm22mtiiIjI&#10;UelEJ9Aq5GMv9l4iy7a3VzrRBQUAAAAAAAAAoC4atIzqfK+RISIixYylEJcSXUgAAAAAAAAAAOrG&#10;MqoiIg1OcMKsRD7024W47tJedBEBAAAAAAAAAKibNFtcQ5ZRfaufISIy9clPjnvFk2UV8qHfWrd6&#10;p7u8FV1AAAAAAAAAAADq6umzW01ZRnW219AQEZny5CdFhTgAAAAAAAAAgGM8eHQt7EfUzFqWZZ1e&#10;U0NEZEqTnwzHU4j7bmkzumAAAAAAAAAAADRBWkb1xs2LYU+iTrIsW+i1NUREpjD5iXCreGKsSGod&#10;v05+YVgvXigAAAAAAAAAAJrGMqoiIjVOOgEWTohVeasQt9tdXosuEgAAAAAAAAAATXTv/tWoL1E3&#10;b/U3RERan/zEN6pC3Hr/JQ7ysvt4Nbo4AAAAAAAAAAA0VVpG9dLlc1Fvok72Msuoisi0JD/pbRZO&#10;glVRiAMAAAAAAAAApsLKk+v773fei/oTdZKWUZ3pNTlERFqa/GQ3qkLcRv8lDvKyu7QQXRAAAAAA&#10;AAAAANri9p0rUYeibiyjKiLtTX6SG0shbufbx/PRhQAAAAAAAAAAoE0soyoiMsHkJ7iNwgmvKm8V&#10;4l51l+eiiwAAAAAAAAAAQBulZVSDPkXdWEZVRNqV/MQ2lkLcdvfTmejkDwAAAAAAAADQVl9/89Ay&#10;qiIi40x+QlsvnOCqstl/iYNsb690ohM/AAAAAAAAAEDbpWVUz1/oRP2KOrGMqog0P/nJTCEOAAAA&#10;AAAAAGAMLKMqIjLi5CextcJJrSpvFeJSXnWX9qKTPQAAAAAAAADAtLCMqojICJNOXoWTWVUU4gAA&#10;AAAAAAAAjvD5Fx/XfhnVn/7pH3uZWUZVRJqU/OQ1qkJcmj7zrex0l7eiEzwAAAAAAAAAwLRqwjKq&#10;f/DSz/12ZhlVEWlIVqMTWQXeLcR9t7QZndgBAAAAAAAAAKbZ8xd3G7GM6i//8k/9lX4NRESkthlb&#10;Ie5Vd3kjOqkDAAAAAAAAALC8//TZrdovo/qLMz/1O1f+0M//Rr8OIiJSuyxGJ68KbPfHf53d7vJa&#10;dDIHAAAAAAAAAOCNe/evRl2MWvngw5mvf+M3r/56vxYiIlKbKMQBAAAAAAAAANRMWkb10uVzUSej&#10;Vv7Mwr/yd/vVEBGRWmQhOllV4J1C3Mvu49XoBA4AAAAAAAAAQGzlyfX99zvvRd2M2kjFvf/sb/zp&#10;v9GviIiITDSjKsTt9cd/nZffLi1GJ24AAAAAAAAAAI53+86VqJ9RK2mp15fdpYV+VUREZCIZWyFu&#10;59vH89EJGwAAAAAAAACAkzVlGdW/+Jdu/CPFOBGZVOajE1MFFOIAAAAAAAAAAEYgLaMadDVqJRX3&#10;Nv7Wn/kfFeNEZNwZWyHuVXd5LjpJAwAAAAAAAABwNl9/87Axy6judJe30kRK/QqJiMhIM6pC3H5/&#10;/NfZ7n46E52gAQAAAAAAAAAYTlpG9fyFTtjdqIv3O+/tP312a/9Vd3kj9Uf6VRIRkZFkLjoRVaE/&#10;/utsb690ohMzAAAAAAAAAADlNGUZ1S+/+iRt77pinIiMKgpxAAAAAAAAAAAtkGaLa8oyqml7d7vL&#10;a4pxIlJ1ZqMTTxXysTu9l3iT4okYAAAAAAAAAIBqpeVJG7OMar69qRjXr5aIiJTOTHTSqUI+9ruF&#10;uO7SXvEkDAAAAAAAAABA9R48uhZ2Ourkgw9nBsuoKsaJSCXpRCebKqSxey/xJjvd5a3iyRcAAAAA&#10;AAAAgNFIy6heunwu7HbUyWAZ1TTZ0svu0kK/aiIicuaMshD3zhrPCnEAAAAAAAAAAOO38uT6wTKl&#10;UcejLlJxb7CMauqYKMaJyDAZZSFutvcSb7Lz3dJm8YQLAAAAAAAAAMB43L5zJex51EnaxsEyqopx&#10;InLmRCeWKuRDv1OIe9Vd3iieaAEAAAAAAAAAGJ+mLKP64NG119ucJmHa7n76zmqFIiLvJD+B7BVP&#10;KFXIh57rvcKb7HaX1w6fYAEAAAAAAAAAmIy0jGrU+aiTw8uoHugubyjGicixyU8eCnEAAAAAAAAA&#10;AFPo628eNm4Z1SR1UBTjRCRMftLYLp5EqpAPPd97hTd52X28evikCgAAAAAAAADA5KVlVM9f6IQd&#10;kDq5d//qW9udinH9WoqISC/5yWKrePKoQj70u4W4b5cWD5+UAAAAAAAAAACoj0Yuo5pTjBOR18lP&#10;FKMqxC30XuFNdr59PH/4ZAQAAAAAAAAAQL2kpUmbuIzqq+7S3svu0jt9FRGZsuQniM3iCaMK+dAK&#10;cQAAAAAAAAAADZVmYWviMqo73eUtxTiRKU5+YtgoniiqkA+92HuFN3nVXZ47fAICAAAAAAAAAKDe&#10;mrqMairG7e4uzfZrKyIyLclPCmMrxKWTzOETDwAAAAAAAAAA9ff8xd1GLKN64+bFt5dR7Vnf7n46&#10;06+viEjbk58M1osnhyrkQ6/2XuFN0smlcMIBAAAAAAAAAKAhPlv/qJHLqCa73eW17e2VTr/GIiJt&#10;TX4SWCueFKqQD/1uIS4/qRRPNgAAAAAAAAAANEsTllFNxb3iMqpJKsb1qywi0sbkJ4CRFOJy75w8&#10;FOIAAAAAAAAAANrh628eNmIZ1UuXz727jGp3ae9ld2mhX2kRkZZlNToZVCBs0751cgEAAAAAAAAA&#10;oNGev7jb2GVUd7rLW4pxIu3LqApx6/3x30pq2BZPLgAAAAAAAAAANFsTllF9v/NeuIxqKsbt7i7N&#10;9ustItLwLEYngAps9Md/K/lJZLt4UgEAAAAAAAAAoPkavYxq0l3e2O5+OtOvuYhIQ7MQffErEBbi&#10;UqP2nZMJAAAAAAAAAACt0eRlVJPd7vKaYpxIczMffeErEBfivlvajE4kAAAAAAAAAAC0S5OXUU1S&#10;Ma5feRGRBmVUhbjN/vhvRSEOAAAAAAAAAGB6NH8Z1aW9l92lhX71RUQakLnoS16BsBCXnyjW3zlx&#10;AAAAAAAAAADQamkZ1VQ6CzomtXLUMqo73eUtxTiRZmQ2+nJXYKs//ltJU0lGJw0AAAAAAAAAANqv&#10;6cuopmLc7u7SbL8KIyI1TCf6Yldguz/+W1GIAwAAAAAAAACg0cuo9qxvdz+d6VdiRKRGGVUhbq8/&#10;/lt52X28GpwgAAAAAAAAAACYMk1fRjVJk0P1azEiUpdEX+QKKMQBAAAAAAAAAHCitIxqWqY06J/U&#10;xnHLqCaKcSI1Sv6l3St+iavQH/6tvOwuLUQnBQAAAAAAAAAApluaiS3qoNRJmtEuzWwXbf+r7tJe&#10;6sb0azIiMqnkX9at4pe3CvnQnd4rvMnOt4/nwxMCAAAAAAAAAABTL5XNbty8GHZR6uS4ZVR3ustb&#10;inEiE0z+JR1VIW6m9wpvohAHAAAAAAAAAMBJ0vKk5y90wk5KXZy0jOrOd0ub291P3+nPiMiIk39B&#10;N4tf2CrkQ8/2XuFNXnWX56ITAAAAAAAAAAAAFD14dC3spdTJscuo9qwrxomMMfkXc734Ra1CPvRc&#10;7xXeZHd3aTb40gMAAAAAAAAAQCiVzW7fuRL2U+okLaP69TcPw31IdrvLa/0KjYiMMvkXcq34Ba1C&#10;PvQ7hbjUdo2+8AAAAAAAAAAAcJwmLKOaHLeMavLy26XFfpVGREaR/Is4qkLcfO8V3mR7e6UTfdEB&#10;AAAAAAAAAOA0Vp5cD7sqdXKKZVS3X3aXFvqVGhGpOKvRF7OsfNx3vrQKcQAAAAAAAAAAlNWWZVR3&#10;ustbinEi1Wch+kKWlY8bTu8YfbkBAAAAAAAAAOCsPv/i40Yso5pmtYu2/7Xu8sZ299OZfr1GREpm&#10;PvoilpWPu9ob/u286i7thV9sAAAAAAAAAAAYQkuWUd3f7S6vKcaJlI9CHAAAAAAAAAAAjZaWJm3C&#10;MqppG7/86pNwHwZSMa5ftRGRITIbffkqEH4x8y/tdvFLDAAAAAAAAAAAVUizsLVjGdWlvZfdpYV+&#10;5UZEzpCZ6EtXgY3++G9lp7u8FX6JAQAAAAAAAACgIk1ZRvWz9Y/C7R9IXRvFOJGzpRN94SqgEAcA&#10;AAAAAAAAwES1ZRnV1LnZ7n4606/giMhxib5oFdjsD/9Wdr5b2oy+tAAAAAAAAAAAMAppGdU0G1vQ&#10;b6mVB4+uhdtfsK4YJ3JC8i/UXvELVoGt/vBvRSEOAAAAAAAAAIBJePrs1v75C52o51IbqbiXtjPa&#10;/sN2u8tr/TqOiBSTf5lGUYjb7g//Vl51lzeiLykAAAAAAAAAAIxDmokt6LrUymmWUU1efru02K/l&#10;iMgg+Zdoq/ilqsBef/i3kn8R14tfTAAAAAAAAAAAGKe0jGoqnQWdl1q5d/9quP2H7XSXt152lxb6&#10;9RwRyb88m8UvUwXCQlyarjH6YgIAAAAAAAAAwLi1aRnVVIzb3V2a7dd0RKY3+Rdno/hFqkJ/+Lei&#10;EAcAAAAAAAAAQN2sPLke9l/q5MbNi6daRjW3vt39dKZf1xGZvuRfmLXiF6gK+dCd3iu8ycvu49Xg&#10;SwgAAAAAAAAAABP19TcPW7OMapImrupXdkSmLqvRl6esfNx3pmBUiAMAAAAAAAAAoM6ev7jbmmVU&#10;k9TX6Vd3RKYmi9EXp6x83HcLcd8uLUZfPAAAAAAAAAAAqJMmLKP6wYczp11Gdftld2mhX+ERaX3m&#10;oy9MWfm4c73h3yR9sYIvHAAAAAAAAAAA1E7bllHd6S5v7e4uvTPJlUjbMhd9UcrKx32nVbrz7eP5&#10;6MsGAAAAAAAAAAB1lZZRTcuURh2ZukjLvJ52GdXc+nb305l+pUekdZmJviRl5eMu9oZ/E4U4AAAA&#10;AAAAAACaKi2j+n7nvbArUxdnWEZ1f7e7vNav9Yi0Kp3oy1FWPu5qb/g3edVdnou+XAAAAAAAAAAA&#10;0BRpidKoL1Mnp11GNXn57dI7E1+JNDrRl6KsfNh3CnFpDeLoSwUAAAAAAAAAAE2SllG9cfNi2Jup&#10;i7TM62mXUd3pLm+97C4t9Gs+Is1O/gXYK34hKrDeH/510trD0RcKAAAAAAAAAACaKBXOzl/oRN2Z&#10;2rh958qpl1FNxbjU8enXfUSamfzA3yp+ESqw0R/+dRTiAAAAAAAAAABoo5Un16P+TK08eHQt3PYj&#10;rCvGSWOTH/CbxS9ABTb7w7+OQhwAAAAAAAAAAG2VllFNs7EFPZraSMuofrb+Ubj9kd3u8lq/+iPS&#10;nOQH+0bx4K/AVn/419neXulEXxwAAAAAAAAAAGiLVDhr0zKqr7pLey+7Swv9CpBI/ZMf5GvFg74C&#10;e/3hX0chDgAAAAAAAACAadGEZVTTNkbbHtnpLm8pxklTshod8CUpxAEAAAAAAAAAMNXSLGxNWEY1&#10;LfcabX+ou7yx3f10pl8JEqllFqODvax83E5v+F4U4gAAAAAAAAAAmEaff/Fxu5ZRze12l9f6tSCR&#10;2mU+OsjLysd9qxCXEn05AAAAAAAAAABgGrRtGdXEMqpSx8xFB3dZ+bizveHfJPpSAAAAAAAAAADA&#10;tPj6m4etW0Z1p7u8pRgndcpMdGCXlY871xv+TaIvBAAAAAAAAAAATJtUOKv7Mqr37l89KPBF2x/q&#10;Lm9sdz+d6VeFRCaWTnRAl5WPO98b/k1edZf2wi8DAAAAAAAAAABMoSYso/r02a1w24+y211e69eF&#10;RCaT6EAuKx/2nWkQFeIAAAAAAAAAAOBtbVxGNbGMqkws+UG7VzyIy8qHXeyN/iYKcQAAAAAAAAAA&#10;EGvKMqrRth9lp7u8pRgnY09+sG4VD96y8mFXe6O/iUIcAAAAAAAAAAAcr+7LqL7fee/My6i+6i5v&#10;bHc/nenXiERGm/xA3SweuBV4Zy3g/ODefudgBwAAAAAAAAAA3tKUZVS//OqTcPuPsttdfqdTJFJ5&#10;8gN0vXjAVmCjP/zr5Ae1QhwAAAAAAAAAAJxSG5dRTSyjKiNNfmCuFQ/UCrxTiEtrAkcHOAAAAAAA&#10;AAAAcLQ2LqOaukSKcTKqrEYHaklb/bFfRyEOAAAAAAAAAACG09ZlVF91lze2u5/O9CtGIpVkITpA&#10;S9ruj/06CnEAAAAAAAAAAFBOWkY1Fc+Cvk5tDLOM6m53ea1fMxIpnfnowCxprz/26yjEAQAAAAAA&#10;AABANdq4jGpiGVWpIrPRQVlWf+zX2fluaTM6iAEAAAAAAAAAgOG0cRnVNPGWYpyUSSc6GMtK4/aG&#10;70UhDgAAAAAAAAAAqtfWZVRT32i7++lMv34kcuqMqhD31sGoEAcAAAAAAAAAAKOTllFNS5VGXZ46&#10;GHYZ1d3u8lq/giRyuuQH3F7xACwrH3a2N3ovr7rLG9EBCwAAAAAAAAAAVCfNxhb1eerigw9nzryM&#10;avLy26XFfhVJ5PjkB9pW8cArKx92rjd6LwpxAAAAAAAAAAAwHq1dRrW7vPWyu7TQrySJxMkPsM3i&#10;AVdWPuxbB55CHAAAAAAAAAAAjFdaovT8hU7Y76mDVNobZhnVVIzb7n46068mibyd/OBaLx5sZeXD&#10;vjVFoUIcAAAAAAAAAABMRt2XUb1958pQy6judpfXtrdXOv2Kkkgv+UG1VjzIysqHVYgDAAAAAAAA&#10;AICaSMuo3rh5Mez61MWDR9fCbT/Jy+7j1X5NSeQgq9EBVkYaszd0LwpxAAAAAAAAAAAweU1YRvWz&#10;9Y/CbT9OWkb1ZXdpoV9XkinPfHRwlbTeH/sgCnEAAAAAAAAAAFAfaTa2oPNTG8Muo7rz3dLmdvfT&#10;mX5tSaY0oyjEbfTHPohCHAAAAAAAAAAA1EtaRjUVz4LuT22sPLkebvtJdrvLa/3qkkxhZqODqaTN&#10;/tgHUYgDAAAAAAAAAIB6ausyqq+6S3uWUZ3OdKIDqaSt/tgHUYgDAAAAAAAAAIB6a+0yqt3lrd3d&#10;pdl+lUmmIdEBVNJef+iDKMQBAAAAAAAAAED9tXkZ1dz6dvfTmX6lSdqc/EDZKx44JSnEAQAAAAAA&#10;AABAQzVhGdVU3ou2/SQvu49X+7UmaWvyg2SreNCU1R/6IApxAAAAAAAAAADQPGk2tqgbVBf37l/d&#10;//qbh+G2Hycto/qyu7TQrzdJ25IfHJvFg6WsfNhOb3SFOAAAAAAAAAAAaKomLKOaZrSLtv0ULKPa&#10;xuQHxXrxICkrH3a2N7pCHAAAAAAAAAAANN3nX3zc2mVUd7vLa/2qk7Qh+QGxVjxAysqHVYgDAAAA&#10;AAAAAICWacIyqtF2n8Qyqu3KanRwlJGPOdcbWiEOAAAAAAAAAADa5OtvHtZ6GdX3O+9ZRnXKsxAd&#10;GGXkY873hlaIAwAAAAAAAACANkpLlNZ9GdUvv/ok3PaTvOw+Xu3Xn6SBmY8OiDLyMRd7Q2fZzndL&#10;m9FBAwAAAAAAAAAANF+bl1F91V1+vVKmNCdz0YFQRj6mQhwAAAAAAAAAAEyJ1i+jur3S6dehpAGZ&#10;iQ6CMvIxX08ZqBAHAAAAAAAAAADTobXLqHaX9l52lxb6lSipeTrRh1/SWn9shTgAAAAAAAAAAJgy&#10;rV1G9bulze3upzP9apTUNdGHXtJ6f2iFOAAAAAAAAAAAmEJtXkb15bdLi/16lNQx+Qe8V/zAS9ro&#10;D60QBwAAAAAAAAAAU6wJy6imbYy2/Tg73eUts8XVNPkHu1X8oEva7A+tEAcAAAAAAAAAALR2GdWX&#10;3cer/aqU1CX5B7pZ/IBL2uoPrRAHAAAAAAAAAAAcaOsyqmm2uN3dpdl+ZUomnfzDXC9+uCVt94dW&#10;iAMAAAAAAAAAAN7S1mVUd7vLa/3alEwy+Ye4VvxQS9rrD60QBwAAAAAAAAAAhNq4jGqaLe5Vd3mu&#10;X5+SCWU1+kDL6I+bHXzAwQcPAAAAAAAAAADQ1mVUzRY32SxEH2YZ+ZidNLBCHAAAAAAAAAAAcJI2&#10;LqOaulO7u0uzqUcl48189CGWkY+pEAcAAAAAAAAAAJxJG5dRfdl9vJq6VDK+zEUfXhn5mAfNRoU4&#10;AAAAAAAAAADgLOq+jGpy1mVUU49qu/vpTOpUyegzE31oZeRjzqWB8w9zu/jhAgAAAAAAAAAAnKSN&#10;y6i+/HZpMfWqZLTpRB9YGfmYCnEAAAAAAAAAAEBpLVxGdT11q2SEiT6oMvIhF9K4+YenEAcAAAAA&#10;AAAAAJTStmVU0xKqu7tLs6ljJSNI/oHsFT+gMvIhD6b2yz88hTgAAAAAAAAAAKASbVtG1RKqI0r+&#10;YWwVP5wy8iEV4gAAAAAAAAAAgJFowjKqaVa7aNvf0V3eSF0rqTD5h7BZ/FDKyIdcTeO+6i7thR8i&#10;AAAAAAAAAABACW1aRjUtobq9vdJJnSupIPmbv1H8MEpaT+MqxAEAAAAAAAAAAKPUmmVUu0t7u7tL&#10;sweFLimX/I1fK34QJR1M46cQBwAAAAAAAAAAjEPdl1FNs9l9+dUn4ba/pbs8d1DqkuGTv+GjKcRF&#10;HxgAAAAAAAAAAMAINGEZ1QeProXbftjL7tLCQbFLhs5q9OaXsJkGjT4sAAAAAAAAAACAUWrCMqpP&#10;n90Kt31AKa5cFqM3voTtNGj0QQEAAAAAAAAAAIxD05dRVYobPvPRG17CXho0+pAAAAAAAAAAAADG&#10;JRXO6r6M6r37V8NtT5Tihkvlhbjt7ZVO9AEBAAAAAAAAAACM2+dffFzrZVTTth21jOrOt4/n+z0v&#10;OWXmoje5DIU4AAAAAAAAAACgbuq+jOoHH86Ey6ju7i7N9rtecorMRG9uGb/5m//aLxY/FAAAAAAA&#10;AAAAgElrwjKqqbj31nZ3lw5W7ez3veSEdKI3tYzf+M2rv/7WBwIAAAAAAAAAAFAjdV9G9dLlc/vP&#10;X9x9vb073y1t9vteckIqL8T98T/5KzcPHzwAAAAAAAAAAAB19ODRtbADVRf37l99va273eW1fudL&#10;jkv0Rpbx63/kF+8cPmgAAAAAAAAAAADqKs3ElmZki7pQdfB+5739p89uHWzrzreP5/u1Lzkq+Zu2&#10;V3wTy7jyh37+N4oHDQAAAAAAAAAAQJ2tPLl+UD6LOlF1cPvOlf3/4R/81u/s7i7N9qtfEiV/s7aK&#10;b14Zv/Zrv/DvRwcMAAAAAAAAAABA3aXiWdSLqoNU2PuLf+nGP+pXvyRK/kZVWoi7dOnn/qPoQAEA&#10;AAAAAAAAAGiCtIzq+QudsB9VB//m7V991a9/STH5G7RZfMPK+OVf/qm/Eh0kAAAAAAAAAAAATZKW&#10;UY06UnXw0z/9Yy+zLJvptcDkdfI3Z6P4ZpVx6Vd/7q9FBwcAAAAAAAAAAEDTfP3Nw9ouo/ojP/JD&#10;/yTLsvleE0wOkr8xa8U3qowLMz/1X0UHBgAAAAAAAAAAQFM9fXartsuoZlm22muDSeWFuPxD/3vR&#10;AQEAAAAAAAAAANB09+5fDXtTk5Jl2eB/b/QaYbJ6+A0qSyEOAAAAAAAAAABos+cv7u5funwu7E9N&#10;UpZl/0GvEjbdWYzenGF1fvK9fxgdBAAAAAAAAAAAAG2y8uT6/vud98Ie1QT9F1mWzfSqYdOZ+eBN&#10;GdqP//iP/qPowwcAAAAAAAAAAGijui2jmqReWK8eNn2ptBD3/e//yD+NPnQAAAAAAAAAAIC2Ssuo&#10;3rh5MexUTUqWZau9ith0ZS56M4alEAcAAAAAAAAAAEyrp89u7Z+/0Am7VROy2e+JTU1mgzehlOiD&#10;BgAAAAAAAAAAmBYrT66H3apIlmXhn1doqkpxM8EbUMrX3zwMP2QAAAAAAAAAAIBpkZZRvX3nStix&#10;moCpKcV1gp0vRSEOAAAAAAAAAACgJxXjarKM6lq/M9bqVF6I+/KrT8IPFgAAAAAAAAAAYBo9fXZr&#10;/yd/8neHfatxyrJsoVcba3GiHS8jNRqjDxUAAAAAAAAAAGCafP7Fx/uXLp8Le1aTkmXZbK851tLk&#10;O7lX3OkyFOIAAAAAAAAAAIBp9vU3D/fv3b8a9qtqYLtfHWtn8h2stBCXWo3RhwwAAAAAAAAAANBm&#10;gyLc+533wm5VjWz062PtS75zW4WdLeWz9Y/CDxsAAAAAAAAAAKCt6rg86nGyLJvvNchalnznKi3E&#10;PX12K/zAAQAAAAAAAAAA2ub5i7v7N25eDLtUNbeXZdlMr0XWouQ7tlnY0VIU4gAAAAAAAAAAgLZr&#10;0PKox9ns18jak3ynNgo7WcrKk+vhAQAAAAAAAAAAANAGaXnU8xc6YX+qabIsW+g1yVqSfKfWiztZ&#10;hkIcAAAAAAAAAADQRg1eHvU47Vo6Nd+htcIOlvLg0bXwYAAAAAAAAAAAAGiiliyPepyNfp2s+cl3&#10;RiEOAAAAAAAAAAAg0KblUY+TZdl8r1HW/KxGOzis1ISMDgwAAAAAAAAAAICmaOnyqMdJS6e2IpUW&#10;4m7fuRIeIAAAAAAAAAAAAHU3BcujHme93ylrdBaCHRtaakVGBwoAAAAAAAAAAEBdpSLc02e3prUI&#10;91qWZbO9WllzMx/t2LAU4gAAAAAAAAAAgCb5/IuP9y9dPhf2oabQdr9X1thUWoj74MOZ8KABAAAA&#10;AAAAAACok+cv7h5MABb1oKZZlmULvWpZMzMX7dSwUlMyOngAAAAAAAAAAADqIC2Peu/+1alfHvUY&#10;e1mWdXr1suZlNtihoZ2/0AkPIgAAAAAAAAAAgElKRbinz241tgiXtnvlyfWDfYj+vmLr/X5Z4zIT&#10;7MzQFOIAAAAAAAAAAIC6+fyLjw9Wv4w6T3WXinC371w5KPQN9mcc+5Jl2WyvYtasdKKdGVZ68w8f&#10;SAAAAAAAAAAAAJPy/MXd/Rs3L4Zdpyb44MOZg30o7teXX30S/vsV2+x3zBoVhTgAAAAAAAAAAKBV&#10;0mxq9+5fbfzyqNG+DaT9i362SlmWzfdqZs1JpYW4JHrzAQAAAAAAAAAARi0V4R48utb4Itzh5VGP&#10;kv6d8xc64TgV2uv3zJqTYCdKOc2HAQAAAAAAAAAAUKXPv/h4/9Llc2GnqQmOWh71OGmfo7Eqttav&#10;mjUj+QbvFXagFIU4AAAAAAAAAABgXJpehEvb/tn6R+G+ncaNmxfDcauUZdlMr23WgOQbXGkh7suv&#10;PgnfeAAAAAAAAAAAgKqkntK9+1fDDlMTnGV51OOkn4/Gr9hmv25W/+Qbu13Y+FLOOm0fAAAAAAAA&#10;AADAaaUCWCrCpUJZ1F9qgtt3rlQ68diDR9fC16lSlmXzvcZZzZNv7FZx48tQiAMAAAAAAAAAAKqW&#10;inBPn91qdBGu7PKoR0nvzfkLnfA1K7Tdr5zVO/mGVlqIS2vyRm86AAAAAAAAAADAMFInKZXJor5S&#10;E1S1POpxUtEueu0qZVm20Gud1Tj5hm4WN7wMhTgAAAAAAAAAAKAKabXKGzcvhj2lpvjgw5lKl0c9&#10;zhhKg3tZlnV6zbOaJt/IjcJGlzKKKf0AAAAAAAAAAIDpkWZSu3f/quVRzygVCKNtqdh6v3pWz6QN&#10;LGxwKWmd3ujNBgAAAAAAAAAAOE4qwqX+UZOLcONYHvU4t+9cCberSlmWzfTaZzVMvoGVFuLShxm9&#10;0QAAAAAAAAAAAEf5/IuPx7Hk50iNc3nUo6QiXrRtFdvo18/ql3zj1gobW4pCHAAAAAAAAAAAcFpp&#10;mc8bNy+GXaSmSLPC1WllzQeProXbWaUsy+Z6DbSaJd+4Sgtx6c2M3mQAAAAAAAAAAICBNJPZvftX&#10;G708apKWKJ3U8qhHSdtz/kIn3N4KbfcraLXLarCxQ1OIAwAAAAAAAAAAjpLKWmk2taYX4dLyrmmZ&#10;12gf6+Cz9Y/C7a5SlmULvQpavVJpIS61NqM3GAAAAAAAAAAAmG6pQJaKZFHvqClSkW/lyfXazQoX&#10;GcN7vdfvoNUqi8GGDi1NARi9uQAAAAAAAAAAwHR6/uLu/o2bF8O+UZP82tULB/sS7WMdpQJitB9V&#10;yrJstVdDq08Wog0dVjpwozcXAAAAAAAAAACYLmkWtbTiZNOXRx1IM641YWa4w8ZQREyzxM30qmj1&#10;yHywkUNTiAMAAAAAAAAAgOmWSmNPn91qTRHusKaV4r786pNwPyq23u+i1SKVFuI++HAmfGMBAAAA&#10;AAAAAID2S8t0ptJY1C1qi6aV4saxXG1Wo1ni5qINHFb6sKM3FQAAAAAAAAAAaK/nL+7u375zJewU&#10;tVGTSnFpO6N9qNhGv4828cwGGzc0hTgAAAAAAAAAAJgeqWx17/7VVi6PepImleLGUVZMXbReJS2b&#10;6/9zIqm0EHf+Qid8QwEAAAAAAAAAgHZJy6OmvlDUI5oWTSnFjWmWuP8+t5bb7nfTJpKZQxtUWmp6&#10;Rm8oAAAAAAAAAADQDqkIl4pgUX+oSVLXaeXJ9f0/8acuhX9/Wk0pxaWZ/KLtH4GtfjdtIlGIAwAA&#10;AAAAAAAATtSm5VE/+HBm/8uvPnm9bzduXgz/vdNqQiluTLPEJZv9btpE0gk2aGgKcQAAAAAAAAAA&#10;0C6pSPXg0bVWFOFSce2z9Y/C/UwluehnTqsJpbj0OUbbXrHf7nfTJpJKC3FJ9EYCAAAAAAAAAADN&#10;07blUY8rrKW/K7uvdS/FpW07f6ETbnuF/q9+N20yCTaolOiNBAAAAAAAAAAAmuP5i7ullxGti+Ly&#10;qMepqhQXjV0XT5/dCre7SlmWrfbaaRNItEFl1LnhCAAAAAAAAAAAHC11f+7dv9r65VGPk8pzZfe/&#10;zqW4Mc0St5dl2UyvoTbmpBcvbEwpCnEAAAAAAAAAANA8aeawMRSlRu40y6OeJM2QF419Fmlmumjs&#10;OhjHLHG59X5FbbzJX7jSQtxppxcEAAAAAAAAAAAm7/MvPi69TGhdpBJaKrNF+3lW6X2JXuMs6lqK&#10;G9MscWnp1PHPEpe/cKWFuKoOKAAAAAAAAAAAYHQGy6NGHaCmSeWuNOtZtJ9lVFGKu3HzYjj2pLV2&#10;lrj8RbcLG1GKQhwAAAAAAAAAANTXoAiXlhaN+j9NUsXyqCepojiW3u9o7Elq7Sxx+YtuFTeiDIU4&#10;AAAAAAAAAACoJ8ujDufBo2vhNpxFGiMae5JaOUtc/oKVFuLSlyZ68wAAAAAAAAAAgMlIxbHbd66E&#10;fZ+mSbPCjWJ51JNUsbzsJLb7OOt//fb+9773w+G2Vikb5yxx+QtuFjegDIU4AAAAAAAAAACoB8uj&#10;VquKUmEdSnGpIHnj5sVw+0ZkfLPE5S9WaSHus/WPwjcRAAAAAAAAAAAYH8ujjkYVpbhJdawmWJDc&#10;69fVRp/8xSotxNVtWj8AAAAAAAAAAJgmE5j9a2QGs8JF+zlJVZTixr0SZ3q98xc64baMQ5Zli73G&#10;2oiTv9hG8cXLUIgDAAAAAAAAAIDxa9vyqGlfJrk86kmqKMWNY9a7GhUkxzNLXP5C64UXLqWOjUwA&#10;AAAAAAAAAGizSc/+VaU6LY96krKluFT8G9W+1rEgmWXZQq+1NsLkL6QQBwAAAAAAAAAADWR51Mmr&#10;ohRX9Ux4qSB56fK58PUmbLNfWxtd8hdZK7xoKQ8eXQvfZAAAAAAAAAAAoBptWx41FeHqvDzqSdKs&#10;dtG+nVYqr0XjntXguIheoy6yLJvpNddGlPxFFOIAAAAAAAAAAKAhLI9aT2VLcenno3FPIxXhnj67&#10;1YiCZJZli73m2oiSv4hCHAAAAAAAAAAA1FyblkdNM6J9tv5RuJ9NNolSXI2XRz3KyJdNXQ1edGhp&#10;yr3ojQcAAAAAAAAAAM6uTcuj/siP/PD+n/+tX2/08qgnKVuKu33nSjhuUZOPiyzLOr3q2mhSaSHu&#10;tB8IAAAAAAAAAABwvDYtj3rYypPr4f62RdlS3EmrdKbZ9Zp8XGRZNterro0mi9GLDkshDgAAAAAA&#10;AAAAymnT8qhHaftKlGVLcU+f3XpnzLYcF1mWrfaqa6PJQvSiw0pvePGDAAAAAAAAAAAATtam5VFP&#10;I5XG2rx86qXL58L9Pq00E1waZxLHRZZl4Z9X5ItedW00mQ9ecGgKcQAAAAAAAAAAcHZNXwZzWGmf&#10;08xn0XvSdKnIVrYUl5aXbeFx8Q/73bWRpNJCXGptRh8uAAAAAAAAAADwrs+/+Lh0aaoNBrOhtU0V&#10;pbhJyUY3S9z/2quujSYKcQAAAAAAAAAAMGZtWh71vfe+H/75WaXZ0KL3qumaXIobkZEW4uaCFxxa&#10;+uCiDxUAAAAAAAAAAOh5+uxWK5bBTGW+VGL7b/7OvcqKfQ8eXQvfs6ZTinvLP+9310aS2eAFh6YQ&#10;BwAAAAAAAAAAsbYsj5rKb7fvXNn/8qtPXu/b8xd3w393GGnsw+9bWyjFvfbf9btrI0mlhbjUXI0+&#10;TAAAAAAAAAAAmFZtWh71gw9nDspv0X6mwl/0M8NIrxO9RtMpxR34O/3u2kgyE7zg0NKXNvogAQAA&#10;AAAAAABg2qTyU1oetQ1FuLQPaXnUaD8Pq7IU19bVKtNx8Ut/4KfCfa6RvSzL/mrw51V42quujSad&#10;4AWHphAHAAAAAAAAAADtWh41FeFSiSvaz0jVpbizvHbdpX1JswX+xPs/CPe3Jray3sqjG4U/r0Q+&#10;9vxBc21EUYgDAAAAAAAAAICKDApPVc0Kl2VZ+OfjcNzyqCepshSX3stht6NO0nty/kIn3McaWUud&#10;stxi8HdVSDPPpfFHl+BFS4k+TAAAAAAAAAAAaLNUhGvL8qhpVrbP1j8K9/Ms0vsRjT+MJpfi0nbf&#10;uHkx3K8aSUW1wcxtM+n/Lvx9VTb6rzG6BC9aSvShAgAAAAAAAABAW03z8qgnqbIUl6T3OnqdOqp6&#10;tsAR2syybKbXJjsow20V/r4qqXQ323uZESa9UOGFS6nyCwEAAAAAAAAAAHU1KDxFHZomSYWt23eu&#10;7H/51SfhfpZV5fKpSRWz141aQ0qSqaC22GuRHWQu/Vnh36lSWo519MlfSCEOAAAAAAAAAABOKfVj&#10;0kxqbVge9YMPZ8ayFGnVpbg081z0OpPWoFnhtrK3Z2tbzP9slGW4VL7r9F5qxMlfbLvw4qWMqikK&#10;AAAAAAAAAACTVseZv7IsC//8OIPlUaN9HJVUvIu2ZVjj3v6TpGPj/IVOuK01MpgVblBO6+R/tlb4&#10;dyqXv8587+XGkPwFK13zdRyNUQAAAAAAAAAAGKcGzfx1rEERblKrQKZuUZXvYR1KcYNjI9q+mkmz&#10;wg2KaakQt5D/WaWTqR1hPEulDpK/oEIcAAAAAAAAAAAcoSEzf50oLY9ah9Ufqy7FPXh0LXydcajj&#10;sZHFMwamUtpgVri5/P+utDN2jPX89cazVOog+YtuFjaiFIU4AAAAAAAAAADaIPVgbty8GHZkmiQt&#10;8frZ+kfhPk5KmlWtyqVn0wxt0euMSoNmhdvO3swKl4pwlXbFTjD+MlxK/sKV7mRqPUYHAQAAAAAA&#10;AAAANEEblkfNsmziy6OepOpSXJoBL3qdqjVoxsBBIW0m/99rub1DfzdqkynDpeQvvlHYmFIU4gAA&#10;AAAAAAAAaKrUfamypDVJ/8b1fyHcxzppUikubevtO1fC162Zvaw3K1wn/9/jLsIlh5dnHX/yDVgv&#10;bFApdZteEQAAAAAAAAAATtKGWeEi45o1ray0ndH2D2MU+5yKkg05Nn47y7JfzP85iSJcKuItHJTS&#10;Jpl8QyotxD19dis8KAAAAAAAAAAAoI4atATmUNIMbHVdNvWwVEiMtn8YaZ+j1zir9L7duHkxfI26&#10;yLIs/fOf5P/8zfyfkyjCJVv568+mPtrEk29MehOijRyKQhwAAAAAAAAAAE3w/MXd2pedqpJmN0v7&#10;G70PdfLg0bVw+4dRtgiYelBNmRUu91dzkyjCJZvZJJdILSbfoEoLcStProcHCAAAAAAAAAAA1EFb&#10;l0c9SdrfNBte9J7USSqiRds/jGFKcV9+9UlTipK/k2XZ8/yfkyrCpSVSF3P1KcP1sxps7NAU4gAA&#10;AAAAAAAAqKtUCEslqaj3Mi2asAJk+pyibR9GWg73tLPjNWVWuCzLtvN/vir++RilWeFmDtpnNcxi&#10;sMFDS9MWRgcLAAAAAAAAAABMyrTOCneUJkx6lUpsVX1eaZzjSnENWj73/8z948KfjdNgVrhaZyHY&#10;8KEpxAEAAAAAAAAAUCdptrE0S1jUdWmKDz6c2f+TH10O/25YqSAYvV91kpYvrWpGv6gUl4qSqRzY&#10;kKLkPwv+bJxqPSvc4cwHGz+0JnxRAAAAAAAAAABovwbN+nWkVNRKha1U3Er7lLo50b83rFS0K75v&#10;dZP2vcpSXCpIpnEbdHz8v8GfjdNW6pj1qmbNSKWFuNt3rrxzUAIAAAAAAAAAwLi0ZXnU1MMZFOEO&#10;S38e/fvDSmWz6HXqJpX3ou0fxh+79SuNPz7GYLA8auegZdagKMQBAAAAAAAAANAKafavqmYTm5RU&#10;/Cou7Vk0raW4qve7xv558GfjspdbzxpYhBtkrrBDpaRpBKODEQAAAAAAAAAARqUNs8IVl0c9SdXl&#10;sPT6JxXx6qDqZWN5y2aWZbO9WllzMxvs2NAU4gAAAAAAAAAAGKc2zAqXOjdffvVJuH/HqXIZ0aQp&#10;pbgHj66F2z+MLMvCP58y2/n7sHDQJmtBZoIdHFr6kkUHIQAAAAAAAAAAVKkNs8KlIt9n6x+F+3da&#10;01qKS0XIaPs5k70syxZzjV0eNUon2NGhKcQBAAAAAAAAADBqqQx1/kIn7K80wVmXRz1J1aW4JL3H&#10;0WvViVJcKWl51JlehaxdqbQQl1qr0cEHAAAAAAAAAABlDWaFi3orTZHKa8Msj3qc9L6MYtnYsrPX&#10;jUOaza7JswROQCrCzfaqYy1NsNNDS83b6MADAAAAAAAAAIAy0mxg07486nFGVYp7+uxW+Hp1kgqG&#10;P/tzPx5uP6+1cnnUMMHOD00hDgAAAAAAAACAKqWi142bF8OuShNUvTzqcUZVikvbH71eHaR9bvqs&#10;gSM2PUW4QdJOF96EoaUvcHTgAQAAAAAAAADAWaXZyZo8K9wolkc9yahKcQ8eXQtfb5LSrIFpAq9o&#10;ezkowq3mpqcIN0ja+cKbMTSFOAAAAAAAAAAAynr+4m4rZoWL9m0c2l6KMyvciTazLJvttcOmMPkb&#10;sFV4Q0qJDkIAAAAAAAAAADjJoOjU5Fnhbt+5crAf0f6NW5qhLtrGMtLnE73WuNR1Vrgsy8I/H7Pp&#10;LsINkr8RCnEAAAAAAAAAAExUKjqNYlazcUnb/tn6R+G+TVJbSnGpZJjKhtH2HCWrR0ltHFIRbv6g&#10;DCYHhbjNwhtUSl0argAAAAAAAAAA1F/TZ4UbLI9a585M00txqSzZ5FkDR2gvy7LFXOegCCa95G+M&#10;QhwAAAAAAAAAAGPX9FnhUtHs+Yu74b7VzVlnVzuNUZfihpkVbkoowh2X/A3aKLxhpXz51SfhAQoA&#10;AAAAAAAAAIlZ4SajSaW4VJY8f6ETvuYUS0W41Zwi3HHJ36j1whtXSlNarwAAAAAAAAAAjF/Ti05p&#10;VrgmTxhV91LcoCwZvc4UGxThZg4KX3J88jdsrfAGlqIQBwAAAAAAAABAUV1mhcuyLPzzk6Ttfvrs&#10;VrhvTTOKwlkVpTizwr1jL7eWH7OKcGdJetMOvYmlpQMzOmABAAAAAAAAAJhOqU9y6fK5sGvSBGlW&#10;taYtj3qSB4+uhftaxrClOLPCvSMV4TYyRbihs1p4Q0tRiAMAAAAAAAAAIKnLrHDDSiW+Nndh6lCK&#10;MyvcW1IRbjPLstlerUuGTaWFuM/WPwoPXgAAAAAAAAAApkeTZ4VLBb6VJ9dbNytcJH1O0XtQxmlK&#10;cU0vS46AIlyFWQze4KEpxAEAAAAAAAAATK+mF50++HBm//mLu+G+tdW4S3FNLkuOgCLcCFJpIe7p&#10;s1vhgQwAAAAAAAAAQLs1uej0g/e+dzArXLRf0yCVAKsuMRZ7RGaFe4si3AizELzhQ5vmEwMAAAAA&#10;AAAAwDRqS9HpwaNr4f5Ni1SKO3+hE743wxqU4tLYZoU7oAg3hswHb/zQFOIAAAAAAAAAAKZH25a/&#10;vHHzYrif0yKVG6v+PP/YrV8xK5wi3FhTaSFu2puyAAAAAAAAAADToM3LX37w4Uy4z9MifbbpPYje&#10;G85MEW4CmQs+iKEpxAEAAAAAAAAAtFvbZoWLpP2L9n2aKMWVogg3wVRaiEvN3+gLAgAAAAAAAABA&#10;szV5Vri0zT/zMz8W/t1RUiku7XP0XkyL23euhO8NR1KEq0Fmgw9maApxAAAAAAAAAADt8/zF3cbO&#10;Cpe2+7P1jw7KbWfdh/MXOgf7Hr0n0yL1gaL3hrcowtUoM8EHNLTUCo2+GAAAAAAAAAAANE/TZ4Vb&#10;eXL9rVnevvzqkzPvS/r3p70UlwqF0XuDIlwdU2kh7sbNi+GXAgAAAAAAAACAZmn6rHBHldg+/+Lj&#10;8GeOk0px6eei8aZFej+bWIwcEUW4GqcTfGBDU4gDAAAAAAAAAGi242aFy7Is/N91kba5OCtcZJhS&#10;XDLtpbhhlp1tGUW4BkQhDgAAAAAAAACAA02eFe6DD2fOtLRpKs5F45zk6bNb4XjTIpUCv//9Hwnf&#10;mxZThGtSgg9waOnEEn0RAAAAAAAAAACor+Nmhau7084KF7l950o45knS60XjtVl6fw+/X1kNZwgc&#10;AUW4Jib4IIeWGsLRFwIAAAAAAAAAgHqaplnhImmMaOyTPHh0LRyvjdKscOcvdML3oaUU4Zqc/APc&#10;K3ygQ1OIAwAAAAAAAABohmmdFa4ojTFsIbDtqykOjpFo31tKEa4NyT/IygpxqQkafTkAAAAAAAAA&#10;AKiPNKvajZsXw/5H1bKKl9ZMJbQvv/ok3K9hKcW9a8pmhVOEa1PyD3S78AEPLbVvoy8IAAAAAAAA&#10;AACTl4pfaWa1aZ8VLpLGHfZ9SWW6UW3XuKX9GHbmwKzi8uMYKMK1MfkHu1X4oIemEAcAAAAAAAAA&#10;UE/jnBWuaqOYFS6SXmPYUlz6ufQeR+M2RZoVbtiZ8hpGEa7NyT9ghTgAAAAAAAAAgBZr+qxw0T6N&#10;Siq1TVsprsyscA2jCDcNSR904YMvJfrSAAAAAAAAAAAwfnWeFS47YXnNcc0KF0nvW7RNp5VmWovG&#10;raMpmRUuFeHmDspS0v6kD7xwAJTSlvWQAQAAAAAAAACazKxw5aSiWLR9p/X02a1w3LqYklnhUhFu&#10;vteSkqlJ/sFvFA6EUhTiAAAAAAAAAAAmZ5yzwmUnzPJ2VpOcFS5SthRXh2JfJB0jLZ8VThFumpMf&#10;AOuFA6KUOp2UAAAAAAAAAACmSZqVrKkzfv3Lf+j3h/s0aWVLcQ8eXQvHnYQpmBUuFeEWc52DYpRM&#10;Z/IDYa1wYJSSGqTRFwoAAAAAAAAAgNEY56xwo5SKWqmAFu3jJJUtxaWZ76Jxx6nls8JtZYpwMkh+&#10;QCjEAQAAAAAAAAA0VJNnhTtKmsUs2tdJamopruWzwinCybvJD4xKC3F1bOkCAAAAAAAAALRNKjq1&#10;YVa4o6TZzOo2MVPZUlzap/S5RWOPQt1nhcuy7LXo74+xnf+MIpwcmdXgoBmaQhwAAAAAAAAAwGi1&#10;cVa4o6w8uR6+B5NSthR3/kJn5EW/Fs8Kt5cpwskpUmkh7rP1j8IvGgAAAAAAAAAA5bR9VrijpOVG&#10;xzmz2knKluJSUW1Upbi6zwo3JEU4OVMWg4NoaKmBHH3ZAAAAAAAAAAAY3jTNChdJ+16nlQvLluKS&#10;KvenpbPC7eXWsyyb6dWcRE6XhcKBVErdpqkEAAAAAAAAAGiyJs8Kl2Yq+8v/6Z+odMayB4+uhe/T&#10;JFRRiqti8qmWzgq3mWXZbK/eJHK2zAcH1NAU4gAAAAAAAAAAqtHUWeHSNqcOyWCZ0/TPtOxp9O8O&#10;I5W/vvzqk3fer0lIZbRoG89i2L5NS2eFS0W4+V6tSWS4VFqIq1MLFwAAAAAAAACgiZo+K1wqiUX7&#10;lcpb0c8Mq4rZ1apQRSnurJ2bFs4Kt5dl2WKuc9BoEikRhTgAAAAAAAAAgJpoy6xwR0n/TvTzw0ol&#10;u+h1xi0V1Mp+bmkWvWjsw1o4K5winFSeueBAG1pdTjIAAAAAAAAAAE3S9FnhPlv/KNyvyOdffFxp&#10;oeu4WenGKX2GZWdtO64U17JZ4fZy61mWzfQqTCLVZbZwsJVy+86V8AsJAAAAAAAAAECsqbPCJWny&#10;pJNmhYt8+dUnlZe70uxz0WuNU3ovUqkt2r7TSu9LccyWzQq3mTpLveqSSPVRiAMAAAAAAAAAmIBp&#10;mhXuKFXvf126K2X3K72/6fho2axwqQg336ssiYwuM8HBN7T0ZY6+5AAAAAAAAAAAvNHkWeFS6WyY&#10;WeGOkmY/i15nWKlAVoclVMvu18/8zI/t/8T7Pwj/rmH2sixbzHUO2koiI04nOAiHphAHAAAAAAAA&#10;AHC0Js8Klwp8VcwKF0njRq9ZRh2WUH3w6Fq4bVNCEU4mkkoLcWkN5OjLDQAAAAAAAAAw7Zo8K1zq&#10;hFQ5K1wkzepW9fszju0+yedffBxuW4vt5dazLJvp1ZNExpzCAVlKmnIy+mIDAAAAAAAAAEyrps8K&#10;l4p80X6NQnqvUv8k2pZhpX1IpbTo9cYllf2ibWuhzSzLZnutJJEJJTgwh3b+Qif8UgMAAAAAAAAA&#10;TKM6zQqXZVn450dJs6t9+dUn4X6N2r37V8NtKiMtXxq91rikUlzq1kTb1gKpCDd3UEYSmXTyAzJN&#10;UxgdqGemEAcAAAAAAAAA0PxZ4VaeXA/3a5xSgS3avjLS7HOTKvklo5gBb8L2sixbzHUOikgidUg6&#10;MAsH6tDSCTH6MgMAAAAAAAAATIs6zQp3VpOcFS6SljqNtrOM9Nl8tv5R+HrjkEpxl3/158NtaxBF&#10;OKlv8gN0u3DADk0hDgAAAAAAAACYVm2YFS7tQ7RvkzSqpUbTsqzR641SKvg1fNnUNPHWepZlM73m&#10;kUgNkx+kW4cO2tKiLzMAAAAAAAAAQJs1fVa4VDqL9qsuUlEvbWe0/WWMawnVJpclD9nMsmy21zgS&#10;qXHyg7XSQlwdm8IAAAAAAAAAAKPQ9KLTe+99b/+v/fXb4b7VUZrVLdqPstLseNHrVaHJZcm+VISb&#10;6zWNRBqQdNAWDuJSFOIAAAAAAAAAgGnQgqLTa5+tfxTuYx2l8lq0D2XdvnMlfL1hpVn3Gj4rXCrC&#10;zfcaRiINSjp4CwdzKeOYRhIAAAAAAAAAYFJasvzlO0Y5S1rVUtlsFGXEtIRq2eVj0/GR3ssGlyW3&#10;syxbzHUOykUiTUt+EG8UDupS6r6mNAAAAAAAAADAsNo0K1zkwaNr4X7XUSqepQJbtB9lpc85es2T&#10;NHxWuL1MEU7akPxgXi8c3KUoxAEAAAAAAAAAbdPwotOZfPDhTPge1NWoPpd796+GrxdJ5bz07ze0&#10;LKkIJ+1KflCvFQ7yUj7/4uPwiw8AAAAAAAAA0DRNX/4ybfdf+PSPhH93nKaV4tLMdtF+lHWaJVTT&#10;349qproRS0W41ZwinLQr+cGtEAcAAAAAAAAAUNDgotOBVGpLhb60L6nPEf07x0n7Pvj5JhhmH08r&#10;WkK1wbPC7eXWsyyb6bWHRFqW/ACvtBD32fpH75wAAAAAAAAAAACaouHLXx5sd1TgSgW/s+5T+vdP&#10;miGtTtK2nr/QCfelrMNLqKby3aheZ8Q2syyb7bWGRNqb1eDgH1p0QgUAAAAAAAAAaIJUdGr6rHBf&#10;fvVJuG/JsKW4pq0YeOPmxXBfyvqVf+nn9v/Mn/3D4d+NWpZl4Z+fUirCzR80hUSmIIvBl2Boad3s&#10;6EQDAAAAAAAAAFBXbZgV7rSdjVSYG2Y/m7Zq4INH18L9mDJ7qRuU6xy0hESmJApxAAAAAAAAAMDU&#10;avuscJFUABxmn5vWC0mfbbQfU0ARTqY6C8GXYmgKcQAAAAAAAABAEwxmhYv6D01wllnhIsOW4tLM&#10;a9F4dZWWiR1V4TErt4zpKPxObi3frpmDVpDIlGa+8MUopWknPQAAAAAAAABg+qSZw85f6ITdhyYY&#10;Zla4yLCluPT60Xh11uTy4wn+fpZlv5GbzZkRTiRPpYW4dPKITioAAAAAAAAAAJM27bPCHSUV3KLX&#10;O04q0kVj1VnLllC1LKrIEZkLvjBDu33nSnhCAQAAAAAAAACYpFSGSoWyqO/QBFXNCneUYUtxo9ym&#10;URh2Vrya2cwsiypyZBTiAAAAAAAAAIDWSgWoGzcvhj2HJhjVrHCR1PuItuE4afuev7gbjldnDx5d&#10;C/en5gazwonIMZkNvjxDSxeQ6CQCAAAAAAAAADBuT5/dMivcGQ1biksz8EXj1dnDf/eP7P/wD/9Q&#10;uE81ZFY4kVNmJvgCDU0hDgAAAAAAAACYtDRjmVnhhnfv/tVwu06SCojReHVTPD6yLHtrP6pQ4Zhp&#10;Vrj5VPIRkdOlE3yRhpaaydGJBAAAAAAAAABg1NLyqGkpTLPClTdsKW6SRb6TpOMj7VeDjo/11O3p&#10;VXxE5LSptBB36fK58IQCAAAAAAAAADBKadav1FuI+gxNMOlZ4SKpXBht60nSz0XjTVJa0rVBx8dW&#10;ZlY4kaGjEAcAAAAAAAAANFYDZ/16R11mhYukkl60zSepyyqDDTs+0vKoi6nPc9DqEZHhEny5hnb+&#10;Qic8uQAAAAAAAAAAVK1hs37tZ1n21v9dx1nhIul9Przdp5U+m1RIi8YchwbOCjd7UOYRkXIJvmBD&#10;U4gDAAAAAAAAAEZtMOtX1F1oijrPChcpU4ob936aFU5kypO+WIUv2tDSiSQ60QAAAAAAAAAAVCEV&#10;s9KEPVFvoSl+/ud/Yv/5i7vh/tVZ2uZhSmbpZ8a1vw07PjYzs8KJVJ/8y6UQBwAAAAAAAADUWipU&#10;3bh5MewrNNVn6x+F+1pnaba3YQpnqVOSymrRmFWo26yBWWF53AKzwomMMulLVvjSDU0hDgAAAAAA&#10;AACoUio6PXh0baiZyZog7Vu033WWPpO0FGq0PycZRSluErPCZccX3o6TZoWbOSjtiMhokn/Rtgtf&#10;vFKiEw8AAAAAAAAAwFmlotOwxasm+eDDmXD/6yyV4tJ2R/tzkqfPboVjnlXahtt3roSvUUODWeFE&#10;ZNTJv3BbhS9gKelkE52EAAAAAAAAAABOI3UP0vKXTZoVLht+xrADqfiXliON3o86G3YZ25Un18Px&#10;TiuV6hp0fJgVTmScyb90CnEAAAAAAAAAQC1MYvnLukgFr1EsKTpqqbwY7c9Jhlku9vmLu0OX8CYg&#10;zQq30GvoiMjYkn/5FOIAAAAAAAAAgIlq2PKXoTTL21/49I+Ef3cWZWdPm4RUbov25STpM4/GizRs&#10;Vrj1LMs6vXaOiIw1+Rdws/CFLKWJ03cCAAAAAAAAAJPTsKLTO9K2pxLbYBKhNItZ2f1Js64V36e6&#10;+2z9o3BfTvLBhzPheAMNmxVuK8uy+V4rR0QmkvyLWGkhLp2EopMTAAAAAAAAAMBhDSs6hVKZK+pK&#10;pHJcmjEu+pnTSj/ftJX60pKv0b6cJCrFpX1PxcCGlCX3cmuZWeFEJp/8y6gQBwAAAAAAAACMTcOK&#10;TqHirHCR9Hep6BX9/Gml12laFyNt7/kLnXB/jnO4AJjGKFsoHKM0K9xsr4kjIhNP/qXcKHxJS1GI&#10;AwAAAAAAAACOkmYQa1DRKZRKbl9+9Um4f5EqZsFLy5FGY9dVKrYN8zn/wi+8v//nf+vXGzMrXJZl&#10;izmzwonUKfmXs9JCXLpwRSc6AAAAAAAAAGB6DWaFi7oGTTGYFS7av5NUse8PHl0Lx66zpi+Je4zN&#10;zKxwIvVM/gVdL3xhS1GIAwAAAAAAAAAOS12CYZbQrJOzzgoXSYW2aOyzSAWzaOw6a3oRssCscCJ1&#10;T/5FrbQQ17QpOgEAAAAAAACA0Xj+4m7jZwhLs8JV2YVI5cDodc4ilfOiseusijJgDaRZ4WZ6jRsR&#10;qW3yL+ta4ctbikIcAAAAAAAAAEy3tDxqKkClMlnULWiK23euHOxLtI9lpKJg2ffm0uVzpWesG7cq&#10;yoATkmaFm+81bUSk9sm/tJUW4p4+uxWe1AAAAAAAAACA9kulp1TWijoFTZG2f9QTAqWiXdn3KZXq&#10;UrkuGr+u0vb+xPs/CPenhvZy65nlUUWalfyLqxAHAAAAAAAAAJSSCl737l9t9KxwadtXnlwfyaxw&#10;R6liSdlUQozGrqO0rb/nx3803I+TZFkW/vmIpOVRZw/KNSLSuKwGX+qhpQtDdEIDAAAAAAAAANop&#10;lZzOX+iEPYKm+ODDmYnNtpaKhNE2nUXd+xqpZJiWoI22vWbS8qiLObPCiTQ4CnEAAAAAAAAAwJk1&#10;qOR0pEnMChdJ2xBt31k8eHQtHHvSGlSYTLPCzfTqNCLS5CwGX/ChKcQBAAAAAAAAQPs9fXar0cuj&#10;Jn/w0rn9L7/6JNy/SUjFsWg7zyItwRqNPQmDZXSj7TwsG+9SqJE0K9zCQYtGRFqRSgtxdW0bAwAA&#10;AAAAAADlpWVFU+kq6gw00WfrH4X7OSnp/S07m1pa/jUae5waNCvcemZ5VJHWRSEOAAAAAAAAADjW&#10;YLavps8KF0mz3UX7PCnpvb50+Vy4raeVfn4Ss9+ddla4GtjKsmy2V50Rkbal0kJcOqlFJzwAAAAA&#10;AAAAoJnSbF9lC1r/f3v3F3Jbet+HfXtkS7IjSwfb8Z9YMzl2/Ed2pMyp4/qP5MEyrmJVzjTHrpjM&#10;heNMiE0gVWBUFAIlYGEoJQ6eYQopvRA9DclVIVEIvXCLm3ORCwUEPZe9CFQXLZRS6ElvAr3pdP/O&#10;O89kzZrffvde63nW2s9a7+cLHyy/c96111p7/Xn+/N61evd7v/+5dNuvqfZJfFG8GE+cy5a9hI08&#10;FS5ej/r6kafCiew4CuIAAAAAAAAAgPfZ0NO+muixKK7F/o9CtWzZrWzo6YGPD4fD/ZtyGRHZc15L&#10;LgCzKYgDAAAAAAAAgO3byNO+bvXpz9x/+w/+8NfT/3bKl7/yUro/rikK9bJ1nWKpYr94Al3s5+wz&#10;O1KeCicidyRNC+JeefXF9AIIAAAAAAAAAPQvCpxqX9V5bfGksmEBWBT3Zf/ulB4fBjR1GzKti/3e&#10;eOvlLTwV7tHB61FF7lwUxAEAAAAAAADAHbeh117eKuoWYlvG2ze1oCyeejZexrVFsWLtU/ui2DFb&#10;9hSxf69RNHk4HJ7J/lviyfHfPozCGBG5e1EQBwAAAAAAAAB3WBSLffJTP5jWAWxFrP/XHn0x3b5i&#10;D0VxUYxW+13VbFfsw85fpVtej+qpcCJ3OE0L4lpUEgMAAAAAAAAAy9vDU+HK61Gzp8Jl9lAUF+J7&#10;y9b3UlFUly33lHKsZMvqyOPD4fDgphxGRO5yFMQBAAAAAAAAwB2zgSd9nRXFavEa0Wz7brOXorgv&#10;f+WldH0vFUVxlxQSxv7q/AmC5alwIiLP8jC5UMymIA4AAAAAAAAA+hUFUK+8+mI6578V5alw2fZd&#10;ampR3NQnqq1l6naM3VYUFz+PorvOnyD46OD1qCIyStOCuF6rogEAAAAAAADgrnvjrZc3/XrUEMV8&#10;lzzV7BJziuJafXZL8ZS8mie4ZdsVy4yHImX/vhNPoublpvRFROS9URAHAAAAAAAAADtWWzDVg1j/&#10;Oa9HPWcvRXGhpoAtXp9btqvzwsnyelRPhRORk1EQBwAAAAAAAAA7FAVOv/s3fn7TT4Urr0ddsght&#10;alFcFI9945tfSpd1bfF9Z+t8iY9+7MNv/4Vf+4n0v3Xi8eFweHBT7iIicjpNC+KiEjq74AIAAAAA&#10;AAAA64kiryjcyub2tyIeyrNW4dnUorgo1FviiXUtfO3RF9N13jBPhRORSVEQBwAAAAAAAAA7UZ4K&#10;l83p1zocDunPW4tis3htZ7Z9S9pTUVys19YLIt8RT4W7/6zCRUTkwjQtiIuLaXahBQAAAAAAAACW&#10;FUVkW3896iuvvrjo61HP2VNRXOzHeLBRtt4bUJ4KJyIyOQriAAAAAAAAAGDDoiArXi+azeNvRax/&#10;L4VleyqKC0s9MXBBngonIlX5bHJhmU1BHAAAAAAAAACso7wedetPhfu93//cVZ8Kl5laFBfid7Jl&#10;9SD2cbbOnfFUOBFpkqYFcXGjyi6sAAAAAAAAAEA7UXwVD63J5u63Ip4K941vfindvh7srSjuD/7w&#10;19/+wAeeS9e7A54KJyLNoiAOAAAAAAAAADaiPBUum7Pfik9+6gff/tqjL6bb15s5RXE9bls8Ia72&#10;SYKHwyH9eSVPhROR5lEQBwAAAAAAAAAb8MZbL1cXNV1TrHuPr0c9Z05RXHxX2bLWFvv681/4RLqO&#10;cxzaFsV5KpyILBIFcQAAAAAAAADQsT/6499pWtR0DfF61NiObPu2YItFcbHOnRZQeiqciCyapgVx&#10;IbvIAgAAAAAAAADTlNejbvmpcEW8JnVrT4Ybm1MUF0/Ey5a1pM5fq+upcCKyeB4kF58q2cUWAAAA&#10;AAAAALhcFF9FEVk2L79VUdi35afEhd6L4mL/dnrceCqciKyW5gVxW6/oBgAAAAAAAIBr6fzpXk1E&#10;UVm27VsRRWfZdt3my195KV1WS1F41+nTBD0VTkRWjYI4AAAAAAAAAOjAG2+9vIvXo14itjXbB1vR&#10;U1Fc1Gl8/gufSD9zqsPhkP58Jk+FE5Gr5H5yQaqiIA4AAAAAAAAALhfFVa0KmrZkjaemLSm+t6kF&#10;jK+8+mK6rLniaXvPv3Av/awr81Q4EblamhfEfeObX0ovwgAAAAAAAADAv1Nej7rlp8L92U/+YPrz&#10;S8X2Z/tmK+YUxX36M/fTZU3R8bHjqXAicvXcSy5OVRTEAQAAAAAAAMDt4slen/xUXTHZNUUh1u/9&#10;/ueeFWbNeX3oUIsCsWuKOompT2mr2eaWr0htzFPhRKSLNC+IixtddkEGAAAAAAAAgLuuPNkrm2/f&#10;injt5/hhOXOelDYUxYGxb4bL3JJY96kFjnOK4qKQsuOnwt17VokiInLlKIgDAAAAAAAAgBW88dbL&#10;PRYzXSwKvqIgK9u2UFsUF09Z23LNQRTFRZFbtm2nXFoU13Eh5ZPD4fDgpgRFRKSPKIgDAAAAAAAA&#10;gAXFPHqnr7i8yPD1qNn2DcWT42qK4uJ3t153MPW7jkLDbDlF7I+phXYreTPqTm7KT0REOkpywapy&#10;WzU4AAAAAAAAANwV5aleW34qXBRijV+Pek78+6mvDx372qMvpsveiqlPczv1ythOnyoYr0h97abq&#10;RESkwyQXrioK4gAAAAAAAAC462LuvLYo7Jpi3WuK0qK4q3b746l02bK34stfeSndrlOGRXGlmDL7&#10;d1f2+HA43L+pOBER6TTJxavK1qu0AQAAAAAAAGCujguZLjLl9ajntCiKi6KybNlbEU94y7brlOdf&#10;uPf2P/zHf7nHYsp4KtzrR16RKiL9Jy5ao4tYFQVxAAAAAAAAANxFnb7e8mJzXo96TouiuFivbNlb&#10;EU8LzLbrlOeeey79+RU9ORwOD26qTERENpDjhatpQVzc4LMLPAAAAAAAAADs0R/98e+8/fkvfCKd&#10;Q9+CeCrZkg+/URR3c4xstFjy0cFT4URkazlevBTEAQAAAAAAAMBE5fWoW30qXMvXo14iitqy9bhU&#10;FNWtta5LiKfvdfgq1FPiFamv3VSWiIhsLMeL2LdGF7UqCuIAAAAAAAAA2Lt4DeaGipveJ4rT4qll&#10;2bYtqfZJelHEd431biUK+moLA1fw+HA43L+pKhER2WCOF7KmBXFRPZ5d1AEAAAAAAABg68pT4bL5&#10;8i0oT4XLtm0tr7z6Yrpul4ptiILEbNlb8Rv/8SfTbbuyeCrc60dekSoi287xgqYgDgAAAAAAAADO&#10;iDembfX1qOEjH/nQ2//kn/2VdNvW1qKocKtvsItivudfuPf24XBIt+uUqf9+oifH5T+IOhIRkc0n&#10;Lmqji1wVBXEAAAAAAAAA7Em8orP2VZ+96OmVo1/+ykvpOk6xpRqF8nTBDosqHx08FU5E9pTjha1p&#10;QVzcsLILOwAAAAAAAABsSccFTNW+9uiL6TavrUVR3BbqFL7xzS/1WFQZr0h97aZ6RERkRzle4BTE&#10;AQAAAAAAAMBAvNbyk5/6wXRefC96ebpa7Ots/aaIYrNs2T2I7euwqPLx4XC4f1M5IiKys8RFbnTR&#10;qxLV8dkFHgAAAAAAAAB6V54Kl82H71EvD71pURT36c/cT5d9Lb0eS4fD4atHXpEqIvvN8WKnIA4A&#10;AAAAAACAO++Nt17e7OtR/8RHPpT+/BK9PF1tT0Vxf/THv9PjEwbjFakPb6pFRER2nOMF7+ujC2CV&#10;V159Mb3YAwAAAAAAAECPongpisKyOfAtiCKwb3zzS1UFZT0VktUWJUYhWjydLVv+GjotrPSKVBG5&#10;Ozle9B6NLoJVen4vNwAAAAAAAAAU5ZWWW30qXBR+fe3RF9+zTTVFcdcuJCu2WhQXnxcPEcrW54ri&#10;qXCvH3lFqojcnRwvfm+OLoZVFMQBAAAAAAAA0LsoHHv+hXvpvHfvoljs937/cycLvmqK4mKfREFa&#10;ttw1xRPval85GvtprW3p9HjyilQRuZs5XgCbFsT18hhVAAAAAAAAABjr9CleFyuvR822baimKG7N&#10;QrLbxHe1haK4KE6sfaLdArwiVUTudL6aXBhnUxAHAAAAAAAAQG+iuOqNt17usXDpItnrUc+JQrBs&#10;WZea+nlLaFUUFwWC2fJrxLrFW/Syz7yif3PwilQRkcPryQVytrgRZTcCAAAAAAAAALiGKIaqLaq6&#10;lijmuu31qOfUFsXFZ2fLXVs8nCdbvylaFsV1+orU//PgFakiIs/yWnKRnC0u+NnNAAAAAAAAAADW&#10;FEVkv/s3fn7yU+EOh0P687VFEViL133GMmqejPflr7yULndtLZ7GVlsUN/eYai05Rv/l8WeeCici&#10;8k4eji6SVeKin90UAAAAAAAAAGAtnT7B6yIx7x6vd822a67aorgoRsuWu7ZXXn0xXb8p5hbFdfqK&#10;1KeHm1ekiojIIAriAAAAAAAAANiFTouWLhLz7TWvRz3nG9/8UlVRXDyxLlvu2uIJbdn6TTG1KC7+&#10;fc2+W8iTqPm4Kf0QEZFhPptcNGdTEAcAAAAAAADA2qKILF7t2WHR0kVavR71nNhPn/zUD6brcIn4&#10;3aUK9qaI7zpbvykuKYqLbW1RgLeAxwevSBUROZkHyYWzSnaTAAAAAAAAAIAlRGFTTZHXNZWnwmXb&#10;tZTaorhY5zWK98752qMvpus3xW1FcbGNHR5XXpEqInJB7icX0Co9VIMDAAAAAAAAsG/l6V1bfCpc&#10;rHOs+7Xm11sUxU197egSYh2y9Zsi244oUuzwuIpXpD64KfUQEZHboiAOAAAAAAAAgE2JIqbnX7iX&#10;zln3bq3Xo55TWxQX4ilt2bLXFPuy9lgoRXGxTz7/hU+k/+bKvn7wilQRkYtzL7mQVvnGN7/0vhsQ&#10;AAAAAAAAANSK4qdOC5bOiieOrf161HOiACwK9LL1vVQP29SiuC+2o8MiS69IFRGZkeYFcT1UsgMA&#10;AAAAAACwH1HwtOXXo77y6ovPtiHbth7UFsV9+SsvpctdW+12dMYrUkVE5ia5qFZREAcAAAAAAABA&#10;K/E6y9qnf11LL69HvURtMVk8uS9b7tqicDJbv415dPCKVBGR+TleSJ+OLqxVyru1AQAAAAAAAGCu&#10;rT8VLl7B2fNT4TLxJLtsey4VRXXZctcWT6zL1m8DvCJVRKRFjhfUb40usFUUxAEAAAAAAABQ4423&#10;Xn77+RfupXPSPdvC61HPqS2Ki6f59bD9X3v0xXT9OuYVqSIirRIX1dFFtkrcVLKbDQAAAAAAAADc&#10;Jl4vGq/ezOait+C3fvtn0u3amhZFcd/45pfSZa8pHuiTrV+H3jx4RaqISLscL6xNC+KiUj+70QAA&#10;AAAAAABAZsuvRx2L7ci2cWtiO7Ltu1R8l1HgmC17TbEOP/XTP5CuYwfiFamv3VRviIhIsxwvsI9H&#10;F9wq8R707CYDAAAAAAAAAGPxFK94olg2/7xVn/7M/XRbt+bLX3kp3b5LRVFcfL/ZstcSn9/p63fj&#10;Fan3byo3RESkaY4X2Ueji24VBXEAAAAAAAAAnFOeCpfNO+9BFPnFNmbbviW1RXHha4++mC57SdlT&#10;Bw+Hw3vW64q8IlVEZMnEhXZ04a0SN8PsZgMAAAAAAAAA4Y23Xt7k61E/9KFvT39+SjyZrIfXhtaK&#10;B+Nk2zfFmg/XiX3e6VMHvSJVRGSlfDW5CM+2l/ehAwAAAAAAANBWvL4yXieazTX37vNf+MTb3/jm&#10;lyY/1S4K//ZQFBffXbZ9U6zxgJ0ovOu02PLxwStSRURWy+vJhXi2V159Mb3pAAAAAAAAAHA3Za+v&#10;3Ip40tj4lZ9zXvV6jdeGttaiKG6ph+zEMRZFi9lndsArUkVEVs7D5GI8W9xgspsPAAAAAAAAAHdP&#10;FFHFq0Oz+eWeRfFePG0sCq2y7YqnnWW/d5s1Xxu6lBZFca0ftBPr1GmxZbwi9eFNaYaIiKyZzyYX&#10;5dkUxAEAAAAAAAAQrwnt+Ildt4rXusbrUbPtGppTFLfGa0OXFt9tbQFa7ONs2VNEsWIU12XL74BX&#10;pIqIXDEPkgvzbC1uWgAAAAAAAABs095ej3pOPPUtW9ZtWj8h7RqiYDD2V7Z9l6qpL+j4qXDBK1JF&#10;RK6ce8nFeba44WU3IwAAAAAAAAD2ba+vRz1nzmtE9/CwmdhfaxfFdf5UOK9IFRHpJE0L4qJxk92U&#10;AAAAAAAAANinu/B61HPmFMVFMdncIryexD7Mtu9SlxbFdf5UuHhFqqfCiYj0kuOF+enoQj1b3Hyy&#10;GxMAAAAAAAAA+3LXXo96ztyiuBYFeddW+9S224riNvBUuNduqi9ERKSbHC/QT0YX7CrZDQoAAAAA&#10;AACA/Yjir9rXZV5D7etRz5lTFBfrFE/Zy5a3JVEcmW3fpeJ4Gi/zmk+FOxwO6c8H4qlw958VXoiI&#10;SF+Ji/Tool1lD490BQAAAAAAAOD9ylPhsrni3rV6Peo5UdyWff5tougrir+y5W3Jl7/yUrp9lypF&#10;cXGcdfwa3n9zOBxeP/KKVBGRXnO8WCuIAwAAAAAAAOCkmAd+462XvR71QlEUN2dfrb2eS5jzlLyh&#10;j3/8Yz0fZ08Oh8ODm2oLERHpNscL9pujC3iVPbzfHAAAAAAAAIAbXo86z9yiuFjnbHlbMucpeRvw&#10;5sFT4UREtpG4aI8u4lX28G5zAAAAAAAAgLuuvB51i0+FW+v1qOfEOswpJoxXj2bL25KoHXj+hXvp&#10;9m3M08Ph8PCmwkJERLaSryYX9Nn28F5zAAAAAAAAgLvM61HbicLCOUVxr7z6Yrq8LZm77R15fPBU&#10;OBGRTeZhclGfTUEcAAAAAAAAwDZ5Peoy5haGxZPusuVtTTxpMNu+jsVT4V6/KakQEZEtpmlBXPyl&#10;QHaDAwAAAAAAAKBPXo+6jljXbBtuE4V0vRb6TREFi9n2dSieCnf/ppxCRES2mgfJBX62uIllNzcA&#10;AAAAAAAA+hNPhXv+hXvp/G/PolCst9ejXiJehZptz21iW7dS9HdKFPX91m//zNvPPfdcuo0dKE+F&#10;84pUEZEd5F5yoZ9NQRwAAAAAAABA//7oj3/n7c9/4RPpvG/Pen896iXmFMXFdsd3li2vdxt4Fe+T&#10;w+Hw2ZsSChER2UOaFsR9+SsvpTc4AAAAAAAAAK7P61H7EN9Bto23ie8sisuy5fWoHGvZtnTkzaib&#10;uCmfEBGR3eR4gX86uuDPFjez7EYHAAAAAAAAwHVt9fWo4Zde+pF0m7YsHjiTbes5b7z1crq8XkQh&#10;XKzjuaLLw+GQ/nwl8VS4h8+KJkREZH85XuibFcTFI3WzGx4AAAAAAAAA17HV16OOxWs3t/ra0FOi&#10;cCzb1nN6fXvbBl6PGvURngonIrL3HC/2TwYX/yoK4gAAAAAAAAD6sOXXo97m937/c+n2blUUkWXb&#10;ec4rr76YLu8aNnKseSqciMhdyfGi/3h0E5gtKr2zmx8AAAAAAAAA69nAk7qq9FQM1sLcorhPf+Z+&#10;urw1fe3RF3t/Fe/Tw+Hw+pGnwomI3JUcL/5fH90MZoubXHYDBAAAAAAAAGB58aSuKBbL5nP3Zm+v&#10;UI1tmfOEtdgP3/jml9JlLmkjr+J9fDgcHtxUR4iIyJ3J8Qbw5uiGMFvcnLMbIQAAAAAAAADL2evr&#10;US+xp1eozi2Ki99ZqzhwI8eap8KJiNzlHG8EzQriQnZDBAAAAAAAAGAZW309aqzzJ37q+9P/NtWe&#10;XqEaT3ub+33GsZAts5VYfuevRw2eCiciIoevJjeI2aIaPLsxAgAAAAAAANBOeVJXNm/bs3iyWDzV&#10;rcwtt3rF655eoRr7Zm5R3BJPzNvI61E9FU5ERN7Na8mNYra9NDAAAAAAAAAAehTFUlH0tMXXo376&#10;M/efPQFtvE2tiuLCG2+9/L7lb1FNUdyXv/JSusypStHlBo61eCrc/ZsSCBERkcPhYXKzmG3pR7AC&#10;AAAAAAAA3FVbfj3q1x59Md2mouXT7mJZ2WdsURQRZtt4TvxetrxLbeT1qOWpcCIiIu9J04K4c40Y&#10;AAAAAAAAAKaZ8srKw+GQ/vwaxq9HPSeebJYtZ44owsueRrdFc4sFYx9cuu+L2GcbeD1q8FQ4ERE5&#10;mQfJjWO2Jd5HDgAAAAAAAHAXTX1l5aGjYrhTr0c9p2VRXOy3vTzUZe5+iae8RUFltsyhDb0e1VPh&#10;RETkbO4nN5DZFMQBAAAAAAAA1ItCrg28svJ9Lnk96jnx+9my54pisuxztmbufokit9uK4jb0Kl5P&#10;hRMRkYtyL7mJzLaXhgQAAAAAAADANWyoOOk9pr4e9ZzYD9nnzDXn9aE9qtkv40LF8lS47N92Jp4K&#10;99pNiYOIiMgFSW4ms8W7xIc3UAAAAAAAAADO29ArK99n7utRz4mnmmWfN1fs2ygoyz5rS2K/zH16&#10;YClafOOtl7dyrD06HA73bqobRERELszxBvJ0dEOZTUEcAAAAAAAAwOWiOCnexLXFQrgWr0c9J4q/&#10;Wu+bKArLPmtL4riZ+yTB7//+j6Q/78yTw+Hw8KaqQUREZGLiRjK6scwWN9zsZgwAAAAAAADAe3k9&#10;6mXi6XOt91M81S77rK2J7ci2b8Pi9aivH3kqnIiIzM/xhtKsIC4ey5rdhAEAAAAAAAC4EU89i7dv&#10;ZXOuvXvl1RcXeT3qOTVPRDsl5rfju8g+b0viVbvZ9m3Q48Ph8OCmkkFERKQicVMZ3WRmi78EyG7A&#10;AAAAAAAAAHddFHVF8dIWX48aTyK7dvFY7L8lnoi2h1eoxmt3s23biPJUOBERkTY53lwejW42VbKb&#10;LwAAAAAAAMBd9rVHX3z2RLJsjrVna78e9RJLPF1vD69QjVfwZtvWuUeHw+H+TfWCiIhIoxxvMG+O&#10;bjhVemoIAQAAAAAAAFxTFCm1ftXnGqIQLp5m1+v87xKvCY1t3vIrVOO7+s0vfurtb//2D6Tb15kn&#10;h8Ph4U3VgoiISPt8Nbn5zLaHd6wDAAAAAAAA1IjiJK9HXdYSRXFhi69Q3VDhZXk96r1n1QoiIiIL&#10;5fXkJjRb3GizGzAAAAAAAADA3m25EC78+I9/X7pdvfryV15Kt6PWVl6hGoWLr7z6YroNHXp8OBwe&#10;3JQpiIiILJuHyY1otjfeejm9EQMAAAAAAADs2VZfjzr2+S98It2+XsV+z7ajVs+vUN1Y4WV5KpyI&#10;iMhqaVoQt8XHxwIAAAAAAADMFUVTUUSWzZ/24HA4pD+/zdYehLJUUVzobQ48tvX5F+6l69qhR8fj&#10;z+tRRURk9TxIbkqzxSNps5syAAAAAAAAwJ5s/fWo53zt0RfT7e5VFCYu9V308ArV3gsvR54cDoeH&#10;NyUJIiIi6+decnOaLRp82c0ZAAAAAAAAYC/iCWobekrXbL2+MvSUWN+lvpdrvUJ1o69H9VQ4ERG5&#10;apoWxG3tffIAAAAAAAAAl4rXVX7yUz+YzpX2LIqpfu7nn0//223i977xzS+l+6JXUUC25He05itU&#10;4yl9Gyq8fHw4HO7flCGIiIhcOccb09PRjWq2Hh4VCwAAAAAAANDSll+PGnO45clm8b+zf3ObKMiK&#10;7R/vk54tXRS39INiNlZ4WZ4KJyIi0k+ON6gnoxvWbNEYym7YAAAAAAAAAFuz5UK4WOfx08xie7J/&#10;e85WH4wypwDwUlGw1voVqvE0vjjess/r1KOD16OKiEiPOd6kmhXERaMqu3EDAAAAAAAAbMmWX48a&#10;hXCnnuoWr+HMfu+cpZ+KtpRXXn0x3Z5WYn9mnzvFBgsvnxwOhwc3FQciIiId5nizejy6eVXJbuAA&#10;AAAAAAAAWxBP/Yrir2wutHfD16PeZu72jZ84txVLP3Utlp997iWioC7exJYtt0Pl9aieCiciIn3n&#10;eNN6c3QTq3LqLw0AAAAAAAAAerXl16PGk+ymPKkstnVuEVaLJ6Jdw5e/8lK6Pa3EdzBlrnyDTyB8&#10;fDgc7t9UGYiIiPSfryY3s9lavycdAAAAAAAAYElvvPXylp7S9a5zr0e9TRRkZcu8xFbnhON7zran&#10;lfg+zu2b+O9Lv8a1sXgq3Gs3pQUiIiLbycPkpjZbNJyyGzsAAAAAAABATzb4lK53xetRv/HNL6Xb&#10;dam5rxK9pPCrVzWFgJfKXi27wScQPj16dPB6VBER2Wg+O7qxVdnqI3IBAAAAAACAuyGKueYWg7Vy&#10;OBzSn58ThXAtH1IytyAwnqg358l0PYjvf+nCtM9/4RPPPiv20QafQBivR33wrJpARERko7mX3OBm&#10;y6rdAQAAAAAAAK6tt6d0HSYUxcU6z3096m1iednnXSKK87JlbkE8XW/ppwP+yI9+z9s/9uPfm/63&#10;TsXrUV+PGoIoJBAREdl0khvdbF/+yktpgwIAAAAAAADgGnorhJsi1vmVV19sXgg3FG8Byz77EuVJ&#10;aFsU+3Srr8xdQDwV7v5NBYGIiMgOcry5fWt0s5stGmNZYwIAAAAAAABgTVHwFE9V29jrKt8VT2CL&#10;13tm29ZaFLZl63CJeCVotsytqNn2HfjW4XB4eFM5ICIisqMcb3KPRze92bb8FwAAAAAAAADAPvx3&#10;//S3Vn3612HC60/PKa9HzbZrKVE8WFM4GE+Zy5a7FfEEwWy7Wmp5jDQQr0f96pHXo4qIyD5zvNm9&#10;Obr5zRaNpKwBAQAAAAAAALC0tQvhWvrO7/rgs0K4JV+PepvYd9l6XWqtp9kt5ctfeSndrh2K16M+&#10;uKkWEBER2WmON7xmBXHx1wpZ4wEAAAAAAABgCeXVqD/yo9/7vvnLQ19P5Trr2k9aq3lSWswVb70o&#10;rrYosHPxVLjXjzwVTkRE7kQeJjfD2a71FwsAAAAAAADA3fIP/uvfePujH/1wOm+5VdcuKqt5wl68&#10;UWzr88Wx/6O4L9u+DYunwt2/KQ8QERG5G2laELf1qn8AAAAAAACgb1F09Yuf/tPpfOXWRTHWN775&#10;pXS71xD7tqYgLArqsuVuSez/rb56d+RJ1APclAWIiIjcrdxLboyzxWNks0YDAAAAAAAAQI0o1orX&#10;en7kuz+UzlXuRTxpLdv+tdS+OvTTn7mfLndL4lj7qZ/+gXT7NsDrUUVERJIb5Gzxfv6swQAAAAAA&#10;AAAwRxQnvfHWy88KxWJO8nA4vG+ecm+uXVQWhYfZel3q81/4RLrcrfjaoy++e7xtjNejioiIRI43&#10;xW+NbpKzffkrL6UNBgAAAAAAAICp4mllO3l95WSvvPpiuk/WEkV52XpdKorqsuX2bMPHm9ejioiI&#10;DHO8OT4e3Sxn23qlPwAAAAAAAHB9Wy+E++6Pfjj9+VTxZLxs/6whnsz3sXvfma7Xpa65/lPE8RZz&#10;3dk2dM7rUUVERLIcb5Jvjm6as0WDKGtAAAAAAAAAAJwThUm1Tya7ppgv/b3f/9yzYrJ4u1b2b6aK&#10;fZLtqzXEZ2frNEW8fjRbdg/ie4on2dUW/l3J1w9ejyoiInIyX01unrNlDQkAAAAAAACAU7b+RLgQ&#10;hXzf+OaX3rNdLbYpirX+6I9/5z3LXVMUjGXrNcU1i/oyGy+Ee3w4HB7cTPWLiIjIqTxMbqKzXbMx&#10;BgAAAAAAAGzHXgrhTs2RRoFc9jtTPf/CvXT5a6l9at+1i/qKKISL17jG/szWs3NejyoiIjIhD5Kb&#10;6WzxCOCscQEAAAAAAAAQRUl7KIQbvh41284iXhma/f5UUZSWLX8NsY21T1OL3z+3r5a04WPu6dGj&#10;g0I4ERGRSbk3uqFWiXfhZw0MAAAAAAAA4O66a4VwQ5//wifSZU11zYeTxHeXrdMU8d2vXRQX6137&#10;hLsr8npUERGRuTneSKOqPLvBThaNuayhAQAAAAAAANw9UQAVT0nbeiFciMKqeA1qtp23iX1Q+4S1&#10;IvZl9hlr+N2/8fPpOk2xVlFcfE+xvq32+8q8HlVERKQ2xxvqk9ENdrZoUGQNDgAooqN7m+ik3uaP&#10;/vh3LhJ/9XWbGDQ4Jfv3c2Xrdols28f7Ktu/AAAAAAA9iDHMeLvU8y/cS+cVtyQK4WLcNtvOS8V4&#10;cbbsqWI+tnZdarR42tqSRXGx3A0XwoX/4aAQTkREpD7Hm+qj0U22igl6gOuJa3CI4qlSWDUszhoW&#10;fb3x1svPxCPWh2KAIkSHsXjl1RefiSeBFtHpLaLzWsTgRojO5lB2z2AZ431fvpOh4XcWht9nMfy+&#10;i3IsDA2PlVCOoaHxcVaOv6Hh8RmGx25RjutwqlgwOzcAAAAAgHXEOF6ME+5hXDjGUmM8M9vOOWKM&#10;NfucqWK9suWvIcZgW3y3MS7dcjw3lhXf1caPu3/8zhS+iIiINMhXk5vtbNHIzRohAHdZKdQZF6qV&#10;wp9SEFSKhaKAqBQXRcFRdJJLkVIpYCqFTaXoKbsmw11Xzo9QzplQzqNwqgAwK/o7Veh3qrCvFPIV&#10;ivkAAAAA2KMY24rxrxhvy8bptibGE2Pcr/WYXSwvxiezz5wqxjSzz1hDfNfZOk0Vx0uLfbyDY+/f&#10;xpz9zdS9iIiItMrD5KY7WzQOs4YIwBZExysMC9eGRWul+CUrVivFNaXgphThZNdKgHPKNSSU60oo&#10;15pSyDenmK9cy7JCvlK8V9xWxJddRwEAAAC4O2KMKMabNl6M9B6//Cs/uujYV4y5ZZ87xzXnZWPM&#10;MVunqeLYmbu/Y19u/Nj7t0f//eFwuH8zbS8iIiIt89nRjfeZ48/f97NLxCRs1iABWEIpyigFbNH5&#10;mVPApngNoM6lBXznCveC4j0AAACAvsW4S4zj7HVcPcaYsu1uJfZd9rlzxLhY9hlraFWMFuOIU8bw&#10;4vtpuQ/XEvPv78zB/+vj//3LR/eOREREZKHcG9+Ma0TDN2uYAAyVAoVSvHBbEdupArbsGgQA54wL&#10;904V7Y0L9saFeuMivduK8xTlAQAAAFsX4xsx7hHjJ3sfo4/tW3o8p1UxWaxrjD9ln7G0+Nxsnea4&#10;pCgu/nuM0234+HtyOBwe3kzRi4iIyOI53ny/NboZz3ZcnAk/2LE4v0N0cmKiPzq/pwrZooCgFBcM&#10;C9n23lEGgHPK/XDporxSkBe00QEAAIA5YowhxiJiDCMb59irGJvJ9kcrrYvJss9YQ4xJZes0R2xH&#10;NoYVP4tjcMPzS08Ph8PrR54IJyIismaON+FHo5tylR/50e951ogbN1aA6xkWsYXooNxWyBYdvVLI&#10;Nixmy855AGB71irKGxbmRXtEYR4AAAAsr8wJZP/tEvH70dePsYJsXOGuiLGObP+00rKYbOkCvtvE&#10;Z2frNMe4KC7GmOJn2b/diMeHw+H+zay8iIiIrJ0/Sm7OVWJyLSa/ho0hYJrSYVXEBgDs1bAoLwwL&#10;80pRXhgW5SnMAwAAgPeK/m/0l7O5gfj/o28dfejbiuSirxx96vi3W55bOBwO6c/niP1QU1h4idjf&#10;2WfPEeMi2WcsLY6dOPaydZojjtlH/+iVpsu8Aq9HFRERuXLuHW/I/9voBt1ENBIVxbF3ZUL1VOFa&#10;yIrXQnkCS5n4LZ3ULXc0AQC2KNpf0RYrom1W2mqlKC+cKsy7rSgvK8jL2pUAAAAwRfQvo086tWgo&#10;+rVl/i76qdGnjWWYm8jF2MB437cU32OMRWSfPUeMRWSfs7Q4lrL1uYO8HlVERKSTPExu1M1EA86E&#10;D2uLY64YFqqF6AicKliLjuOwaC0mPRWtAQCwpGExXmlz3laIV4rwxoV4pY07LMQrRXhBvwwAAGA/&#10;os9XW0T1Pd/zXenPeb/of2ffQyvRj88+d44YZ4hxgOxzlhbjEtk63SFfP3g9qoiISB+JG/PoRt3c&#10;0n85Qb+GRWlhWJR2aWHasDjtVIGaIjUAAJjmXCFeKcIbF+KVNvuwEK+078OwEE8RHgAAQHvR7zIf&#10;clrsm+i3/tzPv5D+97liv2ffRyvR/84+d47o42efsYYYU8jWaeceHw6Hz97MvouIiEgXOd6gvzW6&#10;YS8iJkmyRhHrGBamlaK0cFtRWhgWppXJsKwoLQyL0nTEAACAsegnXFKENyzAK0V4CvAAAABu5nui&#10;L5X1ue666HNGH7L0DaOfmP27uaIvO/4+Wor1js/IPnuO6Gdnn7O0O3aMej2qiIhIp3mQ3LgXEY3Q&#10;rFF0V0VjMJSJm0sK1C4tTisTTArTAACAu2xcgFf6TgrwAACALYg+R/RByrxR9FV+8dN/Ou3/tHA4&#10;HNKf9y76ftGvi37aeB9Gny/7nbnic8af0VJsQ/a5c0W/NvucpbXejg49PXp0PGcUwomIiHSaz45u&#10;3ouKhnrWKNqKUsBWiteGhWulaG1YsDYsVFOgBgAAsG81BXjhtiK8cSGeYjwAANie4TzTcH5pOK80&#10;nFPK+h28V+yz2J/Z/g6xz2N/Zr87V/TTss9qJfqJ2efOddv+WVIc49n67EC8HvXBzVS7iIiI9JpV&#10;C+Ki8Z41iNY27nCEYUHbsNMRdDoAAADoVfRZx8V4txXknSrKKwV5ivIAAOC04RzTcJ6pFLdF+9pc&#10;07I+8IHnzhbCDcX3ky1nrjXmO+OYyT57jljfa/Xfoi+ardNGeT2qiIjIhrJqQVyIDkHWIKo1LnLz&#10;FzUAAACwjuhrh9ZFeeG2wjzFeQAAd1tpC5a2YWkvhmg/ljZlKAVrRSlcK0o7NdqtpR1b2rVlfskc&#10;Uz/iO8yOiVPie8yWM1ccJ9nntBLHdfa5c8XxnH3O0v7V8bz8vu/7E+k6bUi8HvXNg0I4ERGRTeXe&#10;6Ia+uOg0ZA2i20SjLzov0WEZdlJKZ0QHBACAazi2p9OfA3Bd4wK9rEgvlEK9rFgvjAv2gqI9AOCu&#10;KG2YYti+CaXdU5T2UGkjhdJuKm2p4RxPkRWihdJ+C6VNpyiNoTjusmM3E8dstowacYxnn9VKLD/7&#10;3Lni/Ms+ZwlxzYjP28H56vWoIiIiW01yY19cNDqzhlE0XKNxF52h0tnRsQEAAAD2pkzmhtZFe+Fc&#10;4V4ok9fDie3hpPd47AYA7rrhfTKU+2e5pxbD+225Dw8N79NheA8vhvf4YfFYMWwXhGGbYdiWCKWN&#10;UZS2RzFsl4Ss7QI9iuM7O1dPiXMlW85ccb7ENSD7rFbinM4+e664LmWf01J8Rlxrss/fkCeHw+Hh&#10;zWy6iIiIbDJxQx/d4Bf3K7/6Y886dNFpi8ZqdLiyfwcAAADA9Q0nyYcT6GVifTjpPpyQH07UDyfx&#10;h5P8w8n/YXFAKRoYFhWEUmxQihBCKUzIJuQA6Nu5ArNy/T9VUDa8j5wqICv3onJ/Gt63yr2sKPe4&#10;4b0vuzcCfYjrQHZtycR1Js7vbDlzxXUk+6xWWq9zXNPiOpt9Vq24Vsd1NPvcDXl6OBxeP/J6VBER&#10;ka3neGN/c3SjBwAAAIDNGxYzlAKHUIoehgURcwv5hkUZISvkGxZ2lGKPUApAsglF4O4q14ax4fUj&#10;DK8tQ8PrTxgWkhXja1cYFpYVw+teGF4Th9fKc4Vm5fo7vC5n122AqeJ6EtfE7Hqaietdtpwacb3M&#10;PquVuJZnnztXXKOzz5kr7j1xX8g+a0OeHr15UAgnIiKyq9wb3fCBjTue1+nPAdgX13sAgH0qxSLD&#10;Ir4wLC4ZFp2EYUFfGBaqhGERy7jAZVj8Mi6QGRbQjItshgU440Kdoaywp8gmVXm/bN9NlX03pwy/&#10;21PGx8PY8Ni5zfiYGxsen7cZH9djw3PglPF5U4zPr/H5F4bnZzE+h0M5v4ey6wDAXRLX0T/4w19P&#10;/9sl4tqc3T9PiWt0tpwacW/MPquVuE9lnztX3Duzz5ki2hexXju4lz0+HA4PYtJcREREdpbjjf5b&#10;oxs/wC4dL3npz2ErHMMAAMBdMS4aGsoKjYpxUVLI/t0U2TpMlW0jAEy1l/HBuDdG0fGwkCwK27J/&#10;e4koxh4Wa90mir+zZdSI9kL2WS1Fmyb77Lmm7LOhKISLYvMdtG+iEO7hkYiIiOw1xxu+16YC0MRw&#10;sL8YTySMJyaGf1E9/IvrVn71cz/+9gc/+O3p+hY/9/PPv+8vwC81/Gvy1spfsv+Fz//E2x/+8Hek&#10;6/6pP/dD7/u9bD2Hsv1UDL+PzPj7K8bf81h2bBTZdgHA2LH7mv4cAACAbYhxxHg6WRRVZYVW2e9c&#10;IsYfx8u7TYyRZsupEeOy2We10rqQL8Zls885Jb6feLpr7OtseTWy/v6CYwBPj8t+/cjrUUVERO5A&#10;vDYVoCPDQqFSTDQsPCqFST/yo9+b/v7Yv/czP/zuK0TKK0fKq0mGrzMJw9efFMPXpoTo+A5lneOe&#10;xHZn+2Vo6oDJmmIfnysai+8y+90tuuT7Gvqn//y333eMhuExPD7Oy/E/NHwlTyjnTCiFiUPnihDP&#10;FRoOz+lQzvUPf2de+AgAAAAAWxRjmzEeFuN058aTawrVYswuW2bmkjHXOWLsMfu8VmIcM/vcuWJ/&#10;Z58zFtsVY5jZMjZEIZyIiMhdzLER8GTUKIBNOh7O6c9hjlKUFoZFadF5L0UupfilFMVEp7sU0ZTC&#10;muiklkKcYZFOKdwphWXnBgPG4rOy9R6L9Z+67D2J7yvbL2O97qM4lrL1HYrvOPvdLYrzKtvGU6YM&#10;dPUurgfZNt7mox/78LNjt1xPhobXm3INGhYBFsNCwDAuAsyK/rJCv3FxXyjX0Gzdb+N+zlKGx5bj&#10;DAAAAJYTY0IxthRjU9lYWCbGubJlXSrGxLLlZmJcLFtGjRgPyz6rpanjp+fc9v3spBAuxOtR7x+J&#10;iIjIHcxrSeOAzh2/t/f8X7hLSpHFuFDtB3/wo+m/z/zBH/76e4rUorMcHe4i6wD2JApXsu3KRIFL&#10;toy74NJinDgWst+/tksK4sJevuNLCxiL+H6z5WxRHIPZNt5mi9tfrrFZ8V7sg/Bzv/BCur2ZaxXt&#10;AQAAAPB+MQYTY5Vzx9hjrCdb7iXis7NlnhL/PltOjRiXyj6rldivLYvUsiK+GJ9rXXh3JVEI9yAm&#10;wkVEROQO59go+NaokQAwWykwGBeslQKF6BSWAobo4EYHOUSRV/xlVimKyIrVxp2zofi8bH0yWUdv&#10;S6b8BdsWi2ZaiGMn2x+ZXgvKLh0A2vrxXEw5h4u5g2u9iWMw275z9rL9Q1OOgzjPs2XUiH36P/6L&#10;300/b44o1s6K82I7C0V5AAAwzcEfCQN0I8Y1Ysy/xThNjMvMGSMsYtw8W24m5h2yZdRaYrxqqPV6&#10;xzxNWW787x2MU3k9qoiIiLwnnhIHd0B0ZEKZgJ9arFZbsLa0qR212J5sOVsQ+zrbplPi+8qWs2dT&#10;nqIXx362jGuL8zBb30ych9kytmTOYNdeju249mbbd87SA2zXkG3nKVMGOaeI/Zp93hxxb8o+4zbl&#10;nhrndSj323L/je0O5d4c4l4d9+0irh9xXBVZUV74nu/9rnS9AQAAgD4dOigKjvGOGF+I8YjW8wJT&#10;xnXHpo7DXPoHyVPEGGf2WS3F+FD22XP95hc/NXl+pUMK4URERCTPsaHgKXGwouhchHFx2rhArRSp&#10;hVKo9jf/1i+my7xN/H7WcdqTqR222NfZcrZiSvHQXfj+x2Kbs32RmTpQspYpAzIx+JQtY0vmDLrs&#10;YbtDXPez7Ttnb8WuUwvRlvr+Ww8q9vw9TblWDv21v/6z7ynKi+8inCrKK22aUpAX4j5c2kGlXZR9&#10;1lzHLk76cwAAAGC+v/67//7if6Q5Zex7LMYjsmWeEuMT2XJqxLhI9lkt1RQO7tDXD4fD/WcT3iIi&#10;IiJJdv2UuOP2pT/nbvqJn/yT7xaehWHxWSiTt0UpRAvRkSmTvqFMBGdPTgvl6S7laS9Zx2WOOZPG&#10;e3iC1G3u2j6J4zHbplP2/v2Pxbmc7YdTsmVcW1xvsnXNxPZmy9iSbLvO2cN2h7mDfHH/yZa3VVML&#10;0ZYaXGw9oLjGIOhcU6+VxRrn3vApeSHaVaWtdclT8n7mz/9wuu6Z5557rnlBHgAAAOzRGmMC0efP&#10;PvtSU8bCp45HXWqN8fiYv8o++w55fDgcHjyb5RYRERG5LceGg6fE3QHlCRxFeTJHiCKxoeFTPKKT&#10;M3SqYKwUjRXD4rFhAVkok5mhTHAWw6KyYWFZKMVlRbadt4l1zjoPWxLfT7Ztt4n9ny1rL+ZMZG/5&#10;WIhzKNumU/b+/Y9NLTBaY4BiqinfcRz/2TK2JNuuc/aw3WFuQdzezuup17Voc2TLqTV1Pc5ZY6B4&#10;rjntiSLaYNkyezF18Hx4HyhtzNL2vK0YL87DYds3jsvSRo7vftiejv1d2t1z2i0Alzj4g0AAABYW&#10;/eRhH3wJ0Y/OPvsS8bvZMk+JPny2nBpT12Gumv20YU+O/Z54PaqIiIjIxXmYNCpIxARWUSa1Qikk&#10;C9EIvaSALCscKxNsRUy6/dJLP5Kuy23+y3/wl7qfrGxh6mRufG89Fr9MEcdOtm23ie3OlrUXsX3Z&#10;dt9my/tkajHo3r//sWwf3CaKHLLlXFNNMcfWTD2ei70c19m2XWJvBXGxPdl2nhJtqmw5taaee+f0&#10;fJzWDJpGGzVbZi+mfo/XPp/GBXilCC+2I5R+QekvnCrAC3/+Zz/+9vPP33v7O7/zg+m2bsmxj5r+&#10;HAAAgOuJOZmsb9tS9I+zz75U9KWz5WaiTx5zfNlyaqwxdhLrPnWObMOeHm4K4e7FpLaIiIjIpBwb&#10;E49HjYuuxQRjGBekjQvRSvFZ/NtsOUP/8B//5XcnocqkVDQoi6zBuYZYn2x9bxPbG+ufLW9P5hSH&#10;bb2IICZAs+06Z8/Hw9xO35b3ydROeo9FX0uI7zTb/tv0eE3YWjFHjbi/Ztt0iWvem1uYc38v4l6Q&#10;LXOros2Wbecp0c7LllNr6rl3iV6P05qCuKUKEluZei+Ie2q2nK2Je8ElfZ6/+trPPjsuYz+F2wrw&#10;ThXfxfFTRDss9mHpn2WfCVzHQWEpAO9wTwBamlJwNtfUsaKh6JtmyzxlifGgteboon+/877406NH&#10;x/vY/ZjLFhEREZmb+6NGxuL+7Cd/4N2CtZhoiUmXEBMw0QCNiZmQFahlDb/bxHKzdRiKf5P9bg+m&#10;Fr+EmKDKlrUncaxk236bqZ2h3sztnPU+eV1j7qT+lgtKphaD7vn7H5pTYNTjcRD3vmxdT1mqOGgN&#10;cW/PtukSWy/0nPo9D8U1IFvmVsUxnG3nKUsd8zXfySm9HqdrDiyvLfoK2XrfZo1B6iVNHQBfo58Q&#10;61T6cOOiuzAuugvDwrtf/dyPp+sOAADAda3xh2Vz+vZDU8d8p45NXWKtMdvod++0KO7x4XB4cDOF&#10;LSIiIlKZY+Pi0aixsag1J9MuaTzH0w2y3+3B1OKXIiabsuXtxdxOUUzAZcvbgrlPFNp6IeBt5p4f&#10;W94ncwojtz7Zf4k5xSw9FgtOPc+3fCzHcZlt0yV6LmS/xJyi7mJvRa5TC/+XKuZZoiCu1+N07r2z&#10;6P2ekq3zbbbcNgxz2gVb2OZsvW/zmV+6/57Cu9jGMCy8GxbdxeREXE9CeeK4p90BAACct8bcU/Th&#10;ss++1JSxi9oCvFPW2E/hn/yzv5J+/qUOfT1J9MlxfR4+m7gWERERaZh7ScNjUWtOEl7yWsVeJ/fm&#10;NsbX+Euda5vz9Lwt75eajtnWJ3tPqZnU32qR2JzjYOvFQ5eIbcy2/TZr/aXeFHOKxLZ6LM/Z1mLq&#10;X3r2Zs7xWvR43NaYei9f6o8Y5had36bX4sXaQeXe7ylTj6mtn1NxnGXbdZstFFNf0n8bWmqbot0V&#10;4p4VTj3xblx8F7ICvJ/7+Rfefv75e29/5CMfevsDH3gu3Za9OHg9GwAAO3LN9m30d6KPFP2K8JOf&#10;+P70361ljTmW6IfNmf8ppv5BZc1Y3SlL971jH0W/cyd/1PX0eI69HnPVRyIiIiKL5KtJI2Qxa07E&#10;XNKY7blgaM5EV9hrEVQxd79stXgkzO0E7q2AoqjpqPY+oX+bqcfBmtfba5lzLPS4X+YUPMbEfLas&#10;3tUUxMX1P1vmVtQUJO3tep5t4222VBDX63dVO8jb+zEYg97Zep+y9XtkfB/Zdp3Tez9hzh899N7G&#10;j3Pv0omKP/WnPvb23/v7X3h2bRoX4ZUCvBDLHBbgZUV446fghUvXAwCAfTj4Y4WribZ3iHZ4aZdH&#10;Gz3a6yHa7qUtH+37EO3/6AdEHyfGCsd9i/jv2WetaY0+ZfR/ss++VPx+ttxT4rvJllNjiTHMOCZi&#10;/8+dK+rM06M3j9cohXAiIiKyeOIpcd8aNEQWt0ajOVxSYNDz5N7chv/WJ/jOieMn2+5ztlxIEeue&#10;bdMltlwIeEpNp7jnc/6cPU4S15qzT3q9RmbrepsYKMuW07uaAqQtn7+h5loeg3PZMrdoTlFkDPZl&#10;y6o1Z13O6fUaUzug3Hv78q7dI+cO2E/9a/m1zSkcXqtvOcfcfkvsh2x5rUV/Oc6DUArwsiK8MkFX&#10;ivBKIV7c18K1n1QBW3XYSZHCXrYDgH2IvmtR/jBkWJQWol8UT3H+2Mem/8HIf/K3Pv2srVzazuWP&#10;WUq7OtrYWTFbK9cuhlprbGBunzdMHUOK7y1bTq04LrLPmyOOtZp9UnTSbnt8XI8HRyIiIiKr5bWk&#10;UbKYNSfULukgLNlBqTW3g7PWJMo1XFLomInjLjo32TJ7F99ntk2X2GrRzG2iA5ht6yXWvP60NqeY&#10;YcuFoJeYW2DU47Ugjs1sXU/ZanFYTUHcls/fEN9Ztl2XmDqY17M5x8BS3/3cNsU52WddW21BXOi5&#10;zTynrbTlNlLNQHjP7eG9tXVqJqt6LvQbmntfH04Wxv8uYnllcjGOh+Jccd6wQC/ut6E8KS+Uyc/4&#10;TkLcV6a2vQAAtu4wKoYpbaKitJVK2ykM21SlnVWU9ldR2mVDw3ZbacsNlXZeMWwDlnZhiHZiUdqO&#10;pT05p68anz3cF1PEembLXEPs02yd1rTG9s/tZxRT13GJ/RrnT/ZZU8SxH8vJln9OnO/jc/7KohDu&#10;4ZGIiIjI+jk2Rnb5lLhLGrLX7MCcM7chHh3Y6BRmy9yDuZNL0dHNlte7GADItucSsa+yZW5ZDHJk&#10;23qp6FBny+3dnO2Oa0G2rL2IwbZsu8+JwYRsedcU31W2rqds9butGdDa+vEcg8fZdl1iT+fynGNg&#10;qe2vvZ+c0mMbLNYpW9cper5/zmkrxQROtqwtmDsgHnpuD++prdPinIvjOlt2T6Ivna37OdGGy5a3&#10;tikToX/iT3zw3cnZ2O4Qvx+GE73Rhw/DyeEyaTycUC6TzGXiOcTxHLLPB/p08IQ82KWac7vcz0O5&#10;x5f7flHaA6WNEEq7obQliqyY7G/+rU+nn32J/+BzP562i+6a+F6y/XOpa40tLjWOMUUc29m6tRbn&#10;Rfb5l5i6jrFfa4+JzNw+XRxfNdvfmafHa+rrR16PKiIiIlfNw6Shspi1Gs2XdBCiYZn9bg9qOjjR&#10;gc6WuQexbdk2n7PWcddabUd3j8WR2XZeKgaRsmVuQQyaZdt0m56LfmvNHRiIwcNsedcU16dsXU/Z&#10;6vWs9i8843qYLXcL5py/xVa/70wM6mXbeJultr/2/npKj0W3Lba1x2tnMacgbsvnVUyeZdt0id77&#10;CFPvh6HHe0OLcy72Re/t+LkFcaGHbZs66RWT0tlylhTH0t/80i+m63POd37ndzy7dpeJ9FAm18uk&#10;e4g2dSiT86FM2JeJ/BDH5Jxz9K46KJTaDd8l9Kncl0K5V5X7V7mflXtcKPe9U4Vmf+Nv/sLbH//4&#10;x9LPyvzd3/vVZ/fpIruPLyXWN1unS8V2Z8vtQbQRY+yo/CHCUv3rOF6yfXOpOO6u1Z6tXfcW1hhv&#10;ru1TTV3H+D6z5dSI4yT7rFPi2I/rU/xetryNUQgnIiIifeXYQHkyarAsaq2O17kOQjQu1+60ThGd&#10;92y9L9H7BMpcNRMvWy0OqukE9TyBPVdNx39qR7Qn0SHOtuk2MRCYLWsPYkAz2+Zzehz4m3NMb/Ea&#10;P6cYaqjnJ1SdUztgmS1zi+bcw5e8bmefV6vX+27tgGpcc7Pl9mBuse1W28oxkZdtzyV6bwdFuyVb&#10;79v0WIQaavpxRc/nXajpl/VwrczW6zbXOn/mFP0WS1/nShFAfE4R1+QQ52YoE9ohige+67s+mK7r&#10;OZ/+pZvChlLkUJTih2hrFfFd1d73AHi/cn0t19tyDQ5xTY7rdDEuQCtFaNEGKKItEcp9otw7yr0k&#10;lPtLuecsMY4fnz3nvhHbnC1vabEfs/WZIvZttuxriO80timOo2xdQxxTLcfzss+YKtY3W/bSatrg&#10;rcT5n61ba3GdyD7/EnFOZ8u8TYtzayy+r+yzhuIc2FEhXIjXoz64mXkWERER6Sf3k4bLYuY0SOe4&#10;pIDkkkbptdR0cGLQIVvm1kUHIdveS1xroKLWbQMC56x1rq0pvsdsWy8VA2nZcnsXA3TZ9pyz1e09&#10;Z+5xEINo2fKuac453msBwG1inbNtuVRPA7ZTxWBhtk2XWmLQ/xrmDGYueR9bYrCx5SB9S7XH4LUG&#10;+y8R97lsnc+J4zFbXu8u6d/cpufryZxt6/WcazWZ0nM7bm7bNFy7PTa3T3mN76NmP/d2ftScFy3u&#10;Q/G9h/gei2HRRSnEiH0+FOMyRSniiG0ZiutXKAUg2Tbc5rnnnnvWLimyfwNs1/D8DqWgLMT1bSjG&#10;Ooq4X37sY22uCVGQPLy2lWteUa6F5fpYrpkhu6buRWxfzXX3Gm2a+P6ydZkijr1s2WuLY29KXzW+&#10;q/idbFlTxLmWLX+qa/Qp45jN1mVta82pTTk+xqKNli3zNq2OjSKO2bimZp8V32W0H2uuQZ1RCCci&#10;IiJ959hgeTRqwCxqToN0qks6iD0WRxS1nfJTje2tq+kIbXGf1E587u04qN0fa3XYW5s74BH7K1ve&#10;1s0tiOtl0G9ozmDLFgs5YtAy25ZLtRj0vJbawa04/7Plbk20/bLtOydbVgtLDDr22q6ce80sYl9l&#10;y+3B3Ptjz32A29ROgPV8LY02WrbOt+n1e5x7XI71/EdOtdt4zT7K3HW/Rvsr9lO2Lpfo7dod52u2&#10;npfaSr927nd2rp8ax+1QfM7QsLgvxPV+qBTBDMVnDpWCv/Br/+FPpus5xS//yp95T3FPKEU/RfTP&#10;xuLYLbLlMs+h8vWv48LNkH1/xfi7HhsfG8Wf+uHLX1uZ+ZEf+Z5n4yCnlELWMDzmx+dDOU/G59L4&#10;XBueh+PzNDuXp4p1zrZzjtiu7DPushb7N46TbNlLiWMrW4+prn08xDkz9zpfu+61bZKh2I7sM5Y0&#10;p/i+tbjOZ+vWWlx3s8+/RBxfU7+fVufX0LhPF58R953Yh9m/36AnxzZGvB5VREREpPvcSxozi5nT&#10;IJ3jXMcq/nurQYol1HRwep5AqVEzWLHFfRIdpGxbLhX7K1vuVs0tqCi2OgEeYnA426bbxDUuW9bW&#10;zdkXocf9EZMB2breZovXsppBrLDlwftse6a4xgDrEua2abJltTDn3Dun12tuTXuy6Lm9nK3vOVu9&#10;P9ZeS6NdmS23B3O2refvscUER2zf3s694trHYrZO51zjeKudlOupDVF7341+YLbc3kSBTLb+5/TW&#10;vo+2d7aeU/S2TXE+XeI//y8+n27PFB/92Iff/lfH82+43Dgfr6F8/n/5D/5Suq5TrNEnqx3zCbG9&#10;2bK3qMX+KLY4jrC0uLdn+2qKa7QPtrreQ7XHdk0hYot7XBHjk9lnLGluW6O1tYpBawoY58yLxHZl&#10;y6pR7sfR511iLOpKnh5uCuHuPZtdFhEREdlCjo2YN0eNmkWt0RG/ZAKw50n22g5ONLaz5W5ZTafk&#10;2p39OWonPre4zbep7ZRueX/MHSzaciHRKTWDIb0Njs8p7ttiYeeeizhuE8dbtj1TRFsgW/bWzD1v&#10;s2W1MLew9pzss66txZMPej4O504IrTWA31LtNaXn+8fcbYv7S7a8a2tx3oWe23E1kznXPhbnXjeu&#10;0Y6cu66hp/ZT7eTfVvpxc9u8vW1fi8ngrXxnY60KJXrrv7Tol6xx7W5x7O1pDKTF/ii2ek4upWVR&#10;0drHXKuCmmueK7X98Tie5857tLgeDl3jet/D08XiOMzWrbWa72vucTJ3/OqUn/uFF/ZWCPfVI4Vw&#10;IiIissnEU+K+NWrgLGrpgq1LBg56nhgKNR2crfwV9RS1ndatDYy16KTvqTCytqgmbHV/zD0Wer/G&#10;zVEzMNHbxPmcQcAtDmTXDuRv9X4W15tse6ZQEJcvr1brAc6ix++rxZMlei5KjWtits7nbPUpGXO3&#10;N/R+/5jT7+n12Gw1gb3WRNMctdfRaNtmy13D3Ampa7QjaybPeuoHtChE30I/rqa/2tP2teh3hy0W&#10;JsU6Z9syVY/33Jo2RIjfX/ra3eLY29OT0FqMCQ7tpW/ZQqtzPax9vrf6w4trthNatAtiGdmyL9Gy&#10;oCy+/7Xv4S2P3xrR58nWr7WavtWce0Jce3soOuzM06OvHw6H+zdTySIiIiLbzWujhs6ilh6kuGTg&#10;oMdBqqGY5MnW+xK9b9tcNZ3mLQ6M1XbADAa+V8+T+ufMPRa2WgR4Ss0EbG/f/9xtWXoiorXawoCt&#10;XsdaFMT1VsQ519wJ/aWO9VaTCGM9fl8tCnN6Lkqde2xttZ1cUxwTer5/zDkveyr4GYtjLFvnqXpt&#10;x9UW216zUGZuf/Ia7ciavm9P17kWE99b6MfVFPP0tH0t+t1hi234VgXNobfrd4vzcOlrd4v+097G&#10;Qlu1J0K0tbLPuIvimpvto7nWPN/3cJ1qcT0Kc++drccDYnuyz1lKq/t0reibZuu3hLnHzNx7Qqs/&#10;DtiJx4fD4cHN9LGIiIjIDnJs4OzqKXGXNJavORh/Tm0HZwuDxlPVTr70Nih5Tu0gwd4GA7NtnGLL&#10;BYKx7tk2nbO368Dc/RB6K+qYWxC3tb/srh2w7bng4TYtXsMS+y5b9tbMLejdWkFcj9fbFhMmPZ+D&#10;NQViW2sThpp7YOj5/jGnjd9zO7f2uyp6bcfVXluu2Safew+4xrWw9n7Vyzk/t807tIX2YM3kaW/b&#10;16IIZ4tjES2LDHq7frdo/y5d9NFq/2+xjXdK7R9DDO1tfLBGnJ/ZPpprzXZNy+vUtcbIWvXH45ie&#10;c763GKsZW3vsplVfo9Zabc2a437uuNJS40YbEoVwD29mjUVERET2lYdJ42cxSw/6XfII6ZikzX63&#10;FzUdnD0OdtR2/LdWHFRbABj2UlARagcDt3xOzH0k/t6uAzXXxN4mmuZuS8+F3Jm5x26x9l/bttLi&#10;L0q39l2fEtehbPvOmTtweU6Le2umx8n6mCDI1nWKNf/ye6qaPxzYWpsw1A7K97zNcwusei3yq733&#10;Fb2242r7ZNfcrrn3gGusc+39qpdzvsWk7Rb6NDVtv962r1URzhYLk1q9Jq239lOLP5IIS7XPizgX&#10;ss+dYottvFNaF2TsqViwRhwj2f6Za+1reO0fTxfXuve07I9HGyP7jHNaXeuLtfdlL08wW3MMZM55&#10;W3svbtUe2pinh8Ph9aN7z2aLRURERPaYY6Pn8agRtKglO+OXDtT3PCBQO2i1l8n0oZpOa+8FkGMt&#10;Bi3nDg70qMWgz1YHAGsmHvc06FkzodbbpMTcwe2tDfDXFgX09r1dqsUA5V4mc7Jtu8RSE26tClXG&#10;eiyIqy1aCb1N0g/VtAu2eG2pbRf23Cace6z2ep1sce4VcT/JPuPaaosWrtU+rTmPlrovnVJ7zvdy&#10;X2pV0NF7n6a27dfT9rX6zrbYlo3zJtuWOXr6Tlvdl5YeY2xRfNBjm3yu1v2WvfQva8V+yPZPjTXb&#10;ay0LyqKtkX3GklqMdQ/Nuda2LjYNa8/BtC7qm2vNP1Caeo+oPb7j2MqWu1MK4URERORO5X7SIFrM&#10;0gMVl3QOei8YuksFYJeoKYgJvQ+kD+19InuqFgMWaw9QtDT3WrCnosiaY6C3c2Hutmzt+6wdxN/q&#10;fazF5MUeJixqBhCXul+3HoAver3fZus61dpFIJeqnbTeUpsw1BZb9F4EOKed0/Okd4tJ/dDrfb/2&#10;D1WudY+reU3W2sWJted8L/elVgUdvbeLar+vnvqprYottliY1LLQpLdjtmZssVj6ntTijyD3NAbW&#10;ssA+7HGMeI4lCuLi2pF91hJavvLzGu3M1sf1nG1ovQ4hrj1r9i9b3q9qrHmvj+/tkj5WfBet7sFL&#10;jR915OnRmweFcCIiInLXcmwEPRo0iha35F+SXFJw0PtgSW0R0NYm+86pHVCP/Zktt1ctBi33cgy0&#10;6IRurZhoaO61YE8DwrUDPj0Vdcz9Prc2sVR7zd7q8dti8nfNQfWl1AzWb60gLvR0jSniHMrWdYo1&#10;/+p7itqCuN6LK8ZqJ256v55GGy1b73N6PO9Cq0mqXr+32j7qtdozNefR2teM2nM+9NAPbHXf7b1d&#10;FPs6W+9L9bR9rb6zLbbjW7YTe+u31babwtLf6dy2wNiexkFbtOWH9rRv5mpVqD209vWuxVhxuNZ1&#10;utX6F3OO69brENYcc27RTmxl7etKtMmzAuoolos+Suvxixb3z049PhwOD25mhEVERETuXu4lDaTF&#10;RAM2a2y2cOlgVk9/jTtWO7C65QKgzN4nA8daDAhurQjwlBaD01v7/odqtr/na9wUtQOXPRV1zJ0o&#10;39oxXPvX11s9Z2u3O+yhIK7maSlLDarWFOmd02PhWIunVPV6D9lqQU6NuCZm23KpXosbw9z7Yq/H&#10;Z8tJqmgDZp9xTbXt8mve3+dOgF7jvlx7zvdQ+Nvqvtv7Nbv2nF9yXGyqltevrRXftC4wiOVln3MN&#10;c++zY0t+p7Vtu6KHa18rLZ6aN7SnfTNXi7HFzJrne6tzJVyjLd1y/cOcNlrt+OIpa973WhUR17rm&#10;3FPs7yL77y08+kevvP2hD317uu0bpRBORERE5J18NWksLWbJyZlLBpH3+AqhoTU7Y2uo3R+9Tpxl&#10;WgxabrWgZKzV4HRPg9JT1Gz/Fif9M7UDlz0N/tac29nyetWiMCxbbu9abPceiplrztml2i6t7iWZ&#10;HotWWvw1c68TZ7VtpC22j2oLHHueBJ17vej5j39aPXmix21scS29Vh917iTsNdrTted8D8dOq/vu&#10;Fq7Z2Xpfqqfta9lW6vm+c0rLpwb1NPbUqghoye+01TruZfwjtCpkLPa0b+aqfcX1KWu+Wr3VuRKu&#10;0VZouf5hzj10qXGBNc+x1vuxxt7mnkKc0y3GUzry5HA4vHYz9SsiIiIikXhK3LdGjabFLFmQFh27&#10;7DPHem641/7l1BYHIW9Tuz96njgba9W53UvHNAY5su2bYksFkWOXXs/GYr/FYE+2zC2pHbic81ej&#10;S4nrcraOl9jS+VyzncUWj90WExdbuledUnMPS/9Y4v/4z56+72czZJ/XQo/trRZ/fd/rsdjiPItj&#10;NFt2r2qfEtLzdWXupFTPRTItzr/Q6zbWtsuv1Safe+24xvdQewz1cuzUHitF723g2u3s6SmerYrC&#10;tlh80+raHXq677Yq/ljyO41zPPvMqXq59rWwRMHLHsaGarQ6F8bWHG9quQ3XOF+W+A7m9MXnjrGe&#10;s2Yfs2URd409jF8VcS+KtkCr9msHnh4Oh9djvvfZrK+IiIiIvCevJQ2oxSzVWbj0EdjR0M1+vwe1&#10;HcU9DQaF2gGh2B9bGQBqNUiwl6LIFq9+66koaqpLr2eZLRcCFrXnQ08TMjWFYmv+5XGtu1oQ12Jg&#10;dYsTiGM19+trPz14jh4HgVsUjfV6LLaYINzawP1eimNOmTuh02uRTKt2fOhxG2sLNK/VJq+5dmTL&#10;W1KLa3gP7agWfbiw1JhRK3t6imerorAtjkXV9LnHetv+FoUTS25Ty/tmTwWmNVruk+IaY0PRjol7&#10;WrQd4loZx1Ecj9HPWPvat8Q+DWv3meLzsvWY4xpjTK0LueZcm2r/6PaU2Lbs85bQsoi7Vq99skvF&#10;tUEhnIiIiMgdzLHh9GTUkFrMUk+Ju7Sj29tA1VhtR3EPxTBFi8GLLRWI9T5ouaYWHf0t74uaY38P&#10;xTW1535P333NRMuWrl8tCuK2OJmhIO5GrwVxtUUcp/T4nbUoGuv1vrnnbTulRXFMttxezL12Xquw&#10;6hKtJvuiDZwt/5pq2+XXumbWtCfXnuhrcZ3r4Q8pWt13ez7XQ+129tSOaHG/KbY2Qd5ivGmop+1v&#10;VTix5Da1um9uqc98Tqui4mLNPwiJ8ymubdHmztZlaM2i50vWZ6q1+xUti3ev8UdCLcZMxuYcQ62u&#10;OWNrzcO0vmfVuMZx1ELsw70Vwh19/XA43L+Z4RURERGRc3k4alAtaqnO76UDkz0XjdV2dPcwsT5U&#10;O9i8VAHmEloNEmz9L7VCq4H56Oxmy9+CmsHQPRwDtQMUvXz3Ndf03icDhxTEzRf3uWzZW1JznC/5&#10;vbeaDByLwfTs866pRTFFyJZ9bXGMZOs61ZbujXspjjllbjtv7QnIKVpdb3rcxtrj8ZrbNHfyc+3z&#10;p8V1roeikFbnQe9jGrXtv57O81bth9DzONsptX3OoZ4Ks1p9r0tuU6sC2j2Ngbbuu6x1rSnFcNk6&#10;nBLHaLas1loXGRZr9itaFkJd4/7T8j5TzBlDqZ1vOWXNfbpEceFcW+pbxzkU3/9SRZFX8vhwODy4&#10;mdYVERERkYtzbEit9pS4pSYSL+3c9Dz53KKju4dimKJFYdRW9kerIrA9/IVsqwGTnieDz6kpMNrD&#10;MVA7cNnLd19zLG9pcL/meC22eL4qiLvRa0HcEoPvocdi+2jrZOs6VY9tplaTQFu6N7b4Pnve3ppz&#10;s9d2fcvJyt62scW2Xavofe59eu3zp8U+7qHd2Ko/22Ph+VCLopVezvOW164t/TFP0aooK/TUd2v1&#10;vcY1NFt+C3suJJ9rib7LGteaOdf+tb63luf40NrthJaFPGvff1reZ4ambsdS6xHWuv8tuQ1TLXl/&#10;aCnGGZcqjL2SKIT77M1sroiIiIjMyYOkkbWY6OhnDdUaUzoGvU00DNVOsG9pwu+cFp29GGjLlt2b&#10;VoNfe/gL2Vad/C0Oyhc1+6DHYo2pagcue7kO1pzXW/oeY39n2zDFXS2I28M1u9eCuKUGjHssYmy1&#10;rb2ehzFplq3vFFuaMG3xffZ8banZvp77Oa0mK3vcxtpz8FrbNPf+dI0+RO0+7uEa16o/2/v1ek7x&#10;x9gS42Fztbp2bfGPPFo+kau347b2mhKW3KZW14uwxX7kKS2+t6E17r9zryFxj86W11Lrp+4VaxcD&#10;tdyOa4yRL1GQNOc7aDF+k4nzdq15pujjZeuwtjW3eY4dFsJ963A4vH5079ksroiIiIjMz7Fxtfmn&#10;xF3aMeh5MqV2YGjJQatrqB2g3cr+aDWZvZfvP9u2qbZeaFJz7Pc8MHGJ2gG/Xr77muv5ls7luKdm&#10;2zBFTxODl1IQd6PXgriwxKB3r99ZiwntNSam5mg1mL2le2PcA7JtuFTv95C5x+tSfcgWWk1W9vjd&#10;1f6hwrWum3P7V2tPdIcWT7G59jWuVX829Hy9blHI09MfbsX5ma3jVFsch2hZlBV6ake1uKaEOK+z&#10;5deKczz7vDm2/IeQY63Ox2LpQtWa6/4a99rW53ixdgFwy/PlGtfqFoXkY7EdU69PLffj2FrXoRav&#10;2W/lGu3lc2L/LDEGdEVPDwrhRERERJpn1afELTFYdOmk7F4niYqeB5CnajG51OsE71iLyeywh7+Q&#10;bTH5vcVB+aGaY7/not9L1A6Y9fLdx7mYrd+llpqAaO2uFsS1uD/1OIg4Vc33v3RB3KXtwinie88+&#10;69paTHz2eu9oNai9lfZgaNEO6rk/UHP97HW79lwMVHu/u2a7bE7/6hoFfC3aFNfuA7Y8B3ruz7Yo&#10;sOipuL5locLS7brWWh6zoad2favvdak+Wst939P5VKtFv3psyTGFmvGONdoGteMxp1yjXdNqvDis&#10;3c5sfa0t5vRdW+7HoTWPiaW2YarY5l76LHGMRVs61ilb1w2KQrivHimEExEREVkixwbXpp8SN6WT&#10;1fOkWO2A+B4m2IsWA85b2R8tJkLCWn+ZtqRW+6LnyZRzagaNtj4o3OK8z5a7ttq/3tzKpFKLgfst&#10;FaoULa5TCuKWP8ZbDxj3WrzZ4njstf3Qqk2wpfMt1jXbhil6LXAMNcWqPW9Xq+tNb9vYol12rQmz&#10;OdePJcYpzmmxj3s4bvZ6Dgy1mNi/RjHFKS2OvaLn7+2Ulu3EPX6vS7YNW+77OC+zz9iaFteXsSX7&#10;2bUFZ0u3DZbYn8Xa7ZpW/aFwjWt1y/O9mHPNremDnLNWX3rJbZjq2uMHcY7HubGjQrjw+HA4PLiZ&#10;qRURERGRpbLqU+KWmFS8dAKp54KR6Fhn63ypngbiWqjtOMf+2MIAWQxKZOs/1R6+/1b7YouD8kM1&#10;x/6WB4VbDFz2UExWWxC3lYLOFufrFgviYvAv25Yp9lAQVzMgu8R5GtePItpTf+/vfyH97Ln+7u/9&#10;6rNtDnHsnxPHySkxeHtOHCOnRFu2+NSf+6F0faf4yU98/3s+O1vnsWybh8q+OiX6AreJ6+Df/ju/&#10;nK7vVB/92IfTY6ZHsf+zbZgivp9s2T2ouc9H2yhbZg9afG+ht35qbd80xPUgW/bS4jqSrc9trtGX&#10;atH27eG4afWaxjiXsuX3osXE69rFFKe0OPaK3q5dl2h13S56+V5Di+N0ye+01fUibPkPIcdaFw5F&#10;nyH7nBbm3GOH1mirtjgPMmu3a2r39dA12jmtr7VF9Cezz7vNEsV5Yc39utQ2THWNYylE2yW++172&#10;QyMK4URERETWzLEB9vVRg2wx8TqgrGFbIxrE2WdlehqsGqtt1M/pFPaqRcf5WpMwU9T+deVQdA6z&#10;z9iKVvtii4PyQzXH/tavAbUDlz2c87UTyFu4boVYz2z9p9jKtg612O4lJyiWFPeYoqbg7Ld++2ee&#10;XeeKrNgrJstCtBmLaCOFuE4U2fLhUsNjqSjH2dDwOCzKMVqUY3dseHwXw+N/WGj4Hz386XQ9p/jM&#10;L91/VnQa4n40NDyHs3N8DbGPs/W+RGxDtsxri/2Zre9UsW+u+d2MtdiuON6zZS9t7rpfY//XnBMh&#10;fj9b7priWpat21RxzcyW34u41mfrPUVPfbXaY6/o4Ricasr44SV66tO0OE6X/E5bXS9Cz38EMFXc&#10;L7NtnGvJ77B23G6Na32L8yCz9jEX7ZJW1+qwdlu69o9FT4nvN/u827S+7g+tdQ9YchumWvtciOtO&#10;9MGzddmoJ4fD4eHNrKyIiIiIrJlVnxLX+ukgUwa9ex40qZ1o730QeYoWfwk3p5O8thaTTcXWi6Fa&#10;7YstDsoP1Rz7W78G1A5w9HB9rz2OtzKw36IwrKfJo0u1uDfFRFC27CniOCtiYLsUwMRAYaxjiHtC&#10;iP0c4tgqRTgx6RLXixD3ylAKfaIAKK6jRbYNd8mxjZz+HPZmeN6PiwJDuUaEct0oyvUklMK/UK45&#10;cf0JsZzssy/x+n/60rvXvey6eE012zXUW1u+drviWMqWu4Y4TrN1OiX+fbacpcX5k63PFNly19Si&#10;bRSuebxcIq5l2XpP0VM7v8WxV/RasHxK3Eey7ZjrWtePTBxj2TpOFX2KbPm1Wl0vQu/XjCla7pdi&#10;qfOytshpje+txfU6E+3c7POW1LJY8hrjL63ayGNTj++47i+1Lmtei5bahqnW2ua4F7Vsr3Tg6eFw&#10;eP3oXkzGioiIiMgVcmyUbfopcZd2EnseNGkxMLe1wchTYl/Ed5Vt4xRb2B+tOrRxDmTL35JW+2Lr&#10;58Hc/dDz9e0StQOX1xigHKu9jvewDZdoMWh/VwvifvlX/szJIrUQx0ApMon2UohrQpzfLe6LANdy&#10;7HKmP69Rro1xnSzKtbNcS+O6OlSut+X6Wwr2inKNLoXFce0PMSlTxIRwtDfDX33tZ9N1m6q3tnys&#10;T7aeU1yrTT51wv5axYi1bd8Q25otey1xPmTrNUe0o7PP6EGLNmBcf7JlX0OLY6/orZj3Eq3b1L2M&#10;P7QYUwxL9dNarV/R8zVjitb7JfT8HS59vrS4XmfiupF93pJabssSczHntLzXDM1pM0cbP1tWC2vd&#10;B+Nzss+/hqWuMSHatksdO1eiEE5ERESko2z6KXFTOok9D9jVTjxscTDylBaTMEt20Fpp1cm7xuBM&#10;a632xRa+99vU7IeYlMqWuQW1A1S9nAM1EywxkZ8tszctBmbj+86WvaQYwC8FDNEOCbEtIe6fIa4f&#10;Ic7DEPeiEJOYf/5nP55uC9DesW+S/hz26sMf/o5370HlnhT3p1OFeEsXArRol1+zTR77KtpV2XoV&#10;MTl8zf5zi/bUNfdxaFnI0XqMqKUWhX899ddbHHvFNdr0tVo/ceba5+HQueveJZYs3qzpK49d8/rd&#10;WovvbWip77DFNX/p86XlfWls6bbXWOttWboYcWyp72LO/XTJ42KtYsPYhtbXirmWaNPE9kX/o+V9&#10;4sqeHr15OBzuP5t5FREREZE+cmykPRk02hbVunMejeZLG8wx+JUtowe1A5M9/dVxrRaDtNf4C7ip&#10;Wg5Grz240Vqrv9ib89eCPYnJoGy7LrHFCYmixbkQ94Js2WuqGbxZYlBpCS0mBbNjNb6/MCxYi8+K&#10;YyMMC9bi94dFa3H/K08Dimt/iMHC2Kc7GlBjYcfmcPpzgN6V+13c+0LcB8t9Me6RoRR5l/tn3EtD&#10;ubcOC/H+9t/55fRzpuihbxrtiNjGsu0h/v9oY1y73Rifn+23KWJbsmWvqdXkbM/FLS2+q9BLf73V&#10;9oQtjkHF9S/blrl6GneKa1y2jlMs2SeNfZV95hyxrdlnbFHrY3LJ7zD7vCnW+N6W6v9HmyL7vCW1&#10;OKeLpYsRM0sVcM1pM0SbKVtWC2vd32O7s8+/hlbttmiTxDVwqfP2Sh4fDocHzyZcRURERKS7PEwa&#10;cItp3VmY0knsuXCoprMYnYdrD+y3srdB51NaDkb3PIlwiVbFgUsO/q1l7nVgixMSRYtz4RoDlGO1&#10;g/w9X8Nj3cI//ee/na77FN/3Jz/y7DgPcc7ubPALACY79sfTn2/VBz/47W//6ud+/Fk/PVxSiBdt&#10;uSKK1qIvF0obJGufbFlt+6eHtn8UXWbrNtU1JuqnaDGp30NfpWhVmLTFvnercYehXsadWhVLLLU9&#10;LQu/9jDuUyxxTMY9NPusWrX3rTW+t1b3pbFr3KdandPhGm2G1sWeRdyTs887p8W9PLNGoWeItvBS&#10;2zBV7bkc2xLXvl62pxGFcCIiIiJbyLHh9q1RQ24xrTsLUwYQ1uqozFH7F0tbL4oaiu8p28Ypeh9Y&#10;D606fz0f15eIznC2XXNsfcJs7qDR1geFa8+FHs732sHXOQPXcbwXMXkRyyhi4i3ujyHuD7GPQtxr&#10;ysR0XDticDTE+scEWYjvI8RxVTvwDcDyjt259OewN6VtUtoq0W6JNkwobZoQbZwQ7Z1LCvGi7bRm&#10;EV5tf7eHtn+rye74brLl96JFgUUPfZWi1fcW5vRfrq1136aX7zauWdn6TbVU8WbL4p7QSyFiC1s5&#10;JlsU02bLbanl9W0o2hXZ5y2p1TldLN2uGWu9/kNzzv8pc0dTrXU9qp03amnuHFTcY1oV5nciCuE+&#10;+2xyVUREREQ2kdeSRt1iWncWLi2m6GHg+JTazuI1OuhLaTFYFh2sbNk9aTVY0/NxfalLz+FzlhrA&#10;XUvNdWDL2157LlxrIi2+r+IvvvzT6bpd6pc/+6PP9sO4SG1cqBbne5EtBwDg2g47KtKMNtewAC8M&#10;C/Cy4rtwqvgu/NZv/0z6WVNE+zNrn66lpt8y1FOxWKZFn72nsZqWRQG9f3eZ2mLUsZ7GnVoU2i51&#10;XWl1vSjmFmP0qPUxudT1pkVx8NJFtEsVPV3rPG+xz4trnDOtj+0ilpt93jkt9+fQWvfC1tfRGlPP&#10;iWj7xrUpW9ZGPTn2dV5/NqMqIiIiItvKsTG32afETRmk7HngpKazGINX2TK3KDp5LYo9ev+r0TgW&#10;s/WeY+t/IdtqoGSLg/Jjc4sDr1UU1kLtufAXfu0nng1+xnJCHAdDsW/iPlHE8VaUycwYHCvKZGco&#10;E6BxTSqydQAAgLX8xZd/6j3Fd6G0hYcFeOXpwdFfDC0LXub2W4ZifbNl96JFgUXsp2zZ19ByQr2n&#10;Qr9LxfGWbUuNXsZiasbR4vfiWM+W20rLfnT047PP2KLWRVyxn7PPqdWiODjuU9myW1mqYGipfXpO&#10;y+vVNa7XS1xvQ3wfc9oyca3OlldrzeMj2nzZOlzDJQWu8T3FtaPl9f/Knh5uCuHuPZtMFREREZFN&#10;ZrNPiYuB3uwzMlHskC2jB1O2I9P7YPIULQZbet8fLQdrlh5YWlqrTv0WB+XH5g4aZdsex9hQmQgr&#10;E2NFmTCLwdgi1qMok2yhTLyFUmAWphSZjQvNPvqxD6fbtCXHe2j6c/bB90vvbjtGHb8AnBJt8VDa&#10;5qWtXtrwpV0fSlu/tP9/4dMvpMucYukinFot+uxrTpZfIr7nbD2n6m27LtHi+xzraSwmti/O0Ww9&#10;T4nzfI2ivvic7PPn2OKxd5vYnmw751ri+2wxZhfLyJbdUqvr29ga58hY6+vVNbZhqe9j7nV36vXx&#10;UjGemn1ea0vcw+aKfZmtY4j1jHZi62vbFSmEExEREdlTjg28zT4lbkon6xqdwEvVdBZb79NriiKd&#10;bBunWGOwpVarwYEtbOttWnzfYamB0ejMF3H9KM4VlV1SWFYmlIrf+M1Pptt2znPPPfds+3c04AAA&#10;sPuizr1vH8vY43FT+jLRRw6nivNi3KMofajStwqlvzXsh5W+WemzFaUvN+zjlX5f6Qu26LPHcof9&#10;y2uK/ZWt4xw9bdelWo3BFHFMZp9zTXH8xjkQ5814e+Mci5/HuRLHfvb7S2h53IUtHnunxLUs28a5&#10;4rvPPqdGXD+zz5pijXOl9XFWxPZnn7e0lterJY6Lc5b6PqJtkH3eOXFtbH0PCGvOxyy1T+cYX4fL&#10;vWdH49JPj948trnvH4mIiIjIjrLZp8RN6RBcoxN4qRiszdb5EtHhyJa5VdHBzbbzUnFMZMvtSauB&#10;rx4HYW9TJhlCXAdCtl1z/NW/9rPPvvsySVImTspESiiTK0UMiIQyCVNkywcAAIBLfeaX7j/ro4ZL&#10;i/fGBXyleO9cAd85LQpbiljf7DN6Fvs725a5tjION/U4aa3lcRe2eOyd0nrfLDE+GMdO9llTrHGu&#10;tN6XRVyvs89bWsvrVYyFZp+xpBbHzSlx/8s+85yljpG56zPVkvt0qmEhYLRTaudxOvP4cDg8uJku&#10;FREREZG95d6xwbfJp8RN6RD0PmBV89dKexoUis5Uto2Xanl8LSW+r2zdpyrHdJwHxXCQfDh4XgbU&#10;YxCgiPUIZUA+lEH6MnA/LDIL5wrNsiKzbN0B2LZj+9ETjgB4l3sCXF/pg5d+eYh++k/99Pen/36O&#10;n/uFF94dSyhjC2W8oWhRxNdSfG62LTViu7PP4t9pvd+vVaC0lDg/s+2cI8777DNqtPj+llivsSXO&#10;77BEkeElWm9PXH+zz1lS7LtsXWrFuHX2eZeI8etsmTVq1meqGJPP1mFtcU7HfX6p7/hKFMKJiIiI&#10;3JF8NWkMLiIazi07Y1Ma4NFgz5bRg5oiqS0UgU0RRVjZdl6i9b6IgYhQBnHPFZmFc4Vm8TSzbN2B&#10;yx3vW+nPaa92X9+178qxCW05pwBgn2J8MIwL+EL5A7wY8yvKH+qFGFsp4yxFjL2U8ZhQxmhi3CaW&#10;ma3DXHsbh1tKy6KJWFb2GVtVM/aZWaLwqUXR3hoFWa3P77BGMd8pLYsl1yzaKmLMPFuXWjXfyRKF&#10;k2seI0sVfs7x4e/8jvTnGxSFcJ89EhEREZE7klWfEhcDVVnjfo4Y5Mo+I9PzgFV0bOZ2eK/ZSV/K&#10;3L/c+sVP/+n3FKHFAFMR338ZSC2Dq2WwNcT+j31ZZMunT8drWPpzAAAAlqMvxl30wQ9++7vjS6eK&#10;9IYFeqUwrxg+Qa/8IWY2NrZ1U8Zsz9nb2GfrApfY19nn1IjjOvusKeJ4z5bdUpxv2WfXutZ5GdeO&#10;bH3miLHu7DOW1rKob6imwLLlfi2WOO9OaXE+8syTY9v19ZgQFREREZG7l1WfEpc17OeYUkjW++DJ&#10;3A58FHNly2upDNCVAbvhU9JOPRkttmduQdpHP/bhdFsBAAAAYI/KuFiMkYUYLytjaFkR3rAQr4zH&#10;lfG5c4V42fhfS/EZ2TbO0fuY7hzxnWbbOkd8/9ln1Jg7Tj0Ux2C27JZaHmdDaxTzZVpvT00R2Vxx&#10;/cnWpVZc97LPu1RcT7PlzhXX6OxzlrDUcX6HPD3cFMLdezYTKiIiIiJ3MvGUuKyxuIgYoMka93PE&#10;4E/2GZnokGXL6EF0bKZ2zKJw7O/9/S/MKlK7rUBtWJyWfS4AnogBAADAtmUFeFnx3bDwrow3Dovu&#10;soK7+N3sM+coy9yL2H/Zds4R31X2GTVaFOC0HP+/TRy72efXWGvdMy2351rbscR3UlsYG9eobLk1&#10;1iycbHk9vUMUwomIiIjIe7LJp8TFQEv2GZnoOGTLaCkGDMKcIrXf+M1Pvv3x55d5rDgAAMA1HPua&#10;6c8BAC7x6B+98m7R3V6K41oVDcWYcrb8WrV/KB1j3tlyW4vtzz6/xhpzCKfEfEG2TnMsUSx5iZYF&#10;n0O1BWiti8rW3L8tilTvkKdHbx77oPefzXqKiIiIiLyTVZ8SFx2jrHE/x6UDCPFEtXPFaqVQLZRC&#10;tRAdpujkeJrauo7HZfpzgK1zfQMAgH3S1of1xNhsmPKEu3NPt1tDrE+2PVPEeHRtkdApsS+zz7xU&#10;7Pdsua0tUSgU25591hpabk8cH2se00V8ZquCz6HaY2qJYyWuG9lnLaF1Qd9OPT62wR4ciYiIiIi8&#10;P8cG45ujBuRivuu7PvhsAGJchDZWBiyGSpFaiI7Ap/7cD6WfAQAAANCrg8IpgC5FMdGw0K4U291W&#10;aBdKoV04V2hXW3QWn5stt4XYruwzL7Xm07NaF1/Fd599zlpaFj7FMZl9xtLic7P1qdHie2m9XvFd&#10;ZZ+zhCUK+nZEIZyIiIiIXJRVnxIHAAAAAD05KFQEFlSK7cIP/dB3v/3hD39H+u9OiSK9P/jDX1/0&#10;6XbxFL3ssy+15lPWojgxW4carffnFC0Ln9Ys2BqL4zRbpxotnsjWuoCyxTpdaoljfeOeHNtsD5/N&#10;bIqIiIiIXJJjI/LRqFG5CcdVT38OAAAAAAB3wbDgbvyEu/KUu+ET7oZPuYtCuPDoH73y9vf/wHen&#10;y79ELDMr6FlCFCRl61Ajig2zz1pLfE/Zek11zafdxT7M1qlGi6cixtMbs2XPtebTED0l7l1PD4fD&#10;60f3Yk5TRERERGRK4ilxT0cNTIDVHK9Dk34OAAAAcBtjCrCOD3zgubd/7Me/Ny3GKwV5RVaYN3wF&#10;bSnSG76KNgqthk/HCx//+MfSdZkrPjcrSFpLy6KtNZ9gNtaqsK9oVXzWer3WLKCM8yRbhztCIZyI&#10;iIiINMnrSWNzEcfPSn8OAAAAAMC21Y7/Gj9mbZ/4qe9/X+FeMSzgK0ohX1bMVwyL+oaFfePivhBP&#10;AmtV5HfNgrjWTzRr9cS71usVxZ/Z5yzhDj8l7vHxXnD/SERERESkPscG5rdGDU4AgGeOTYX057Bx&#10;8ZTkc6KNfJsnF3h8xtcv8CiR/buh7LMy2TqPZds+lu2/sex7AAAAOnLXxgD2sr0f+ciHnhVrDZ/W&#10;lz21rxgWAWbFgJcUBI6LAn/t8z+Rrttcf/CHv/6+4sI5fuVXfyxd/lx/++/88rvLHhZCDg33SzHe&#10;d8V4Hw+/g5/58z+crsNORSHcgyMRERERkaZ5LWl8AgDAJYZFT6VAalhQVYqvhgVbpbDrzeLYJv3q&#10;O+K1GMVr73j4js8OxEBpiL8cLuJ1GoVsK8Pvbmj4/Rblux8bHh9FOXbGyrE1Njz+inJsvsfw+B0Y&#10;Fi4Ww2M/DIsSw/B8CcNiwzA8x0J2HgIAAMDWPDn2r6OPLiIiIiKyTKLROWqEAis4nn7p/wb2xfnN&#10;QkpxTCmaKcU0WfHZuwU7x+MxinmGxT6lEKgUCpVComGhUSlEGhYqiUg/GZ6bYVhAGIbncxgWDYZy&#10;/g8NCwXD+woEB9eWrAAwK/rLCv2y6xsAAMCdd+x3pT/fgafv9C+NL4mIiIjI4rmfNEgBALhMi+K0&#10;UnQShSilSKUUr5SillLsIiKy12RFfeNCvlOFey2L9hTrAQBwFcd2bPpz2AGFcCIiIiKyfo4N0Zgk&#10;yBqo1Y6LT38OAFvhXrZJwyK1swVqx+9YcZqIiJzKuFBvWKSXFeidK8zLCvJKMZ6CPAB26XhPTH8O&#10;wGk7unY+Pm5L9KVERERERNbPsUEag/JZQxUAoJVzhWqlWOBUoVopOhgWqZVCNUVqIiKyxwyL8UpB&#10;XinYHhfjvacg7537aVaINyzCU4AHd8DxmpD+PNz23wCAG+6Xs0QhXPRfRERERESum2PjNAbLs0Yr&#10;ALA/pThtXKB2SZFaVqhWJueHRWoK1URERLaVYQFeKb4rhXel+O7dorvwThtB4R27cTyuL/oZAACp&#10;J8e2U/QbRERERES6yutJ4xUAWM6wKG1YmDYsSiuFac+K0sLxnj0sShsWpilOExERkd5zW+FdtGlu&#10;K7wrbSOFdwAA0I+n77ThjT2KiIiISNeJwrgYTM4atQDQs1JgNiwyC6XQbFhwlhWdFe8Wn4XjvfG/&#10;Pf7f7PMy//r47//u0bAorRSmlaI0g0MiIiIiy6W0t0rR3dTCu1J8d6rwTvEdAMDGHdt/6c+ZJArh&#10;oi1trFNERERENpUYLI4B4jIw/D8d/S9H/9fx/88avgD0YVgUVgyLw8K4QCyUCb9iWCxWDIvGwnsK&#10;x0K5b7yjPMFsqExAFmViMsS9Z2hcUFaUSc61B1teO25j7IfYh8P9Hfvv68f/HutsAEhERETk7iTa&#10;fqWN2qr4LpR2e7Q1h219AADoweNjuzbaviIiIiIiu0sZ2I2B3BjAjYHbYYEAwCWGRVtDZQJoqEwO&#10;jZXJo6FhEddQmXQael9RV4jrW2Jc3FWUia6hMgk2NCz2GiqTZ0PDArChYTFYIdeL/S8iIiIiayTa&#10;naVPUPoM0ZcofY3SD4n+ybt9mHf6N6XvE32iYb8p+lOlvxX9sKzPBgDAlRzbc+nPryTai4+O6xTt&#10;UBERERGRO5kYnB0OyA4HYIcDrlmDGrZkWMBVlMmEoWHxVjGchAjjwq1QJi2G3lO0FeIcGxkXa4Uy&#10;OTJUztOhcaFWUSZcxsqEzNCwUGtIRERERERE+k/pw5U+Xun/lf5h6T8O+5el7/lu3/SdPuuwP1v6&#10;uqUfXPrHw/5z6VtnfXAAAK7g2Lb7+0fRLhQRERERkQkZD7KOB1ffN6haHBvi4+Kg4UDreMB1PPCa&#10;Gf/bJWTrOMV4m98j208jZX+eMhzQzpTv5jZlkHyOMtA+RzmOpiqD/eeIiIiIiIiIyLqJ/viwD1/G&#10;AMo4wnA8ooxdlDGOd8dD3hk3GY6vlHGa8diQQj0AgIFjWyraXiIiIiIiIiIiIiIiIiIisvOUP6C7&#10;rWDvVNHebYV7p4r3xgV8ivcAgKU9PbZRPDBARERERERERERERERERES6yiXFe8PCvdrivWHhnuI9&#10;ANiurx/v+yIiIiIiIiIiIiIiIiIiIjIjUwr3xgV7txXrnXrC3rhALysEAIA763hfjXuviIiIiIiI&#10;iIiIiIiIiIiIbDynivOyJ+qde5Le+Cl62ZPzPDEPgN68ebyXiYiIiIiIiIiIiIiIiIiIiFRnXJBX&#10;ivGyIrys+G5ceOdJeABM8eR4b4n7kIiIiIiIiIiIiIiIiIiIiMgmouAOgEwUw8W9QURERERERERE&#10;RERERERERETeydyCu2GxXVBsB7Cex8drsmI4ERERERERERERERERERERkRXT+ul2iu2Au+7/eefa&#10;KSIiIiIiIiIiIiIiIiIiIiI7Sym4K8V244K7S4rthgV3iu6AXn3znWuap8KJiIiIiIiIiIiIiIiI&#10;iIiIyKxkT7ib+5S7YeFdFN0pvIM77njNSH9+9P8e/e9H//Lovzr+u7j+iIiIiIiIiIiIiIiIiIiI&#10;iIhsIlF4Ny6+u60A7z1FeOHbbgrxxsV4tz0Jz9PwoL1S7BriHItzLsT5V87JOD/L+frmO+dwnM9x&#10;Xsf5Hud+XA9ERERERERERERERERERERERKQi5wrzhsV5Q8NCvVKsN/Ru4V7xbd/2bW8M/Dcj/3Tk&#10;XyT+55H/tbH/ewX/3wTZ79fKtrvG+Du5RPbdDo2Phcz4+BkeW2+Mjr3xsRnGx+/w2C7HfTkXQjk/&#10;yvmieE1EREREBjkc/n/yj0CfOv7L4QAAAABJRU5ErkJgglBLAwQKAAAAAAAAACEA537WYP8PAQD/&#10;DwEAFAAAAGRycy9tZWRpYS9pbWFnZTIuc3ZnPHN2ZyB2aWV3Qm94PSIwIDAgNjMwLjM0IDIxMS4x&#10;MSIgeG1sbnM9Imh0dHA6Ly93d3cudzMub3JnLzIwMDAvc3ZnIiB4bWxuczp4bGluaz0iaHR0cDov&#10;L3d3dy53My5vcmcvMTk5OS94bGluayIgaWQ9IkxheWVyXzEiIG92ZXJmbG93PSJoaWRkZW4iPjxk&#10;ZWZzPjwvZGVmcz48cGF0aCBkPSJNMTg2LjAxIDE5Ni4yN0MxODYuMDEgMTk2LjI3IDE4Ni4wMSAx&#10;OTYuMjcgMTg2LjAxIDE5Ni4yN0wxODYuMTUgMTk2LjI3QzE4Ni4xNSAxOTYuMjcgMTg2LjQyIDE5&#10;Ni4yNyAxODYuNDIgMTk2LjI3TDE4Ni42MSAxOTYuMjdDMTg2LjAyIDE5Ni4yNyAxODUuNDMgMTk2&#10;LjI5IDE4NC44NSAxOTYuMyAxODUuMjMgMTk2LjMgMTg1LjYyIDE5Ni4yOSAxODYgMTk2LjI4Wk00&#10;NjEuOTEgNC4zNkM0NjIuODIgNC40IDQ2My42NCA0LjQ4IDQ2NC40MiA0LjYxIDQ2NS45IDQuODYg&#10;NDY3LjE0IDUuMTMgNDY4LjMzIDUuNjEgNDY5Ljg5IDYuMjQgNDcxLjI3IDYuODkgNDcyLjU0IDcu&#10;NjEgNDczLjY3IDguMjUgNDc0Ljc3IDguOTUgNDc1Ljg0IDkuNjNMNDc2LjczIDEwLjE5QzQ3OC4y&#10;IDExLjExIDQ3OS42NyAxMi4wNCA0ODEuMTMgMTIuOTcgNDg0LjM3IDE1LjAzIDQ4Ny44NyAxNy4y&#10;MyA0OTEuNSAxOS4zNiA0OTMuNzEgMjAuNjYgNDk1Ljk0IDIxLjk0IDQ5OC4xNyAyMy4yMiA1MDAu&#10;NCAyNC41IDUwMi42MyAyNS43OCA1MDQuODUgMjcuMDggNTA4LjQ0IDI5LjE4IDUxMy4xOCAzMS45&#10;NCA1MTguMDUgMzQuNTYgNTIyLjIyIDM2LjgyIDUyNi4wNCAzOC44NSA1MjkuNzIgNDAuNzUgNTM0&#10;LjM1IDQzLjE1IDUzOS4wMiA0NS42MiA1NDMuNTMgNDguMDEgNTQ3LjY1IDUwLjE5IDU1MS43NiA1&#10;Mi4zNyA1NTUuOTEgNTQuNTMgNTYzLjUxIDU4LjQ4IDU3MS4wOSA2Mi42NCA1NzguNDIgNjYuNjZM&#10;NTgwLjE1IDY3LjYxQzU4NS43OCA3MC43IDU5MC4zMSA3My4yMyA1OTQuNDEgNzUuNTkgNTk1LjUz&#10;IDc2LjIzIDU5Ni42NSA3Ni44NyA1OTcuNzcgNzcuNTEgNTk5Ljg2IDc4LjcgNjAyLjAyIDc5Ljky&#10;IDYwNC4xMSA4MS4xNiA2MDYuMDggODIuMzMgNjA4LjQxIDgzLjczIDYxMC42OCA4NS4yNyA2MTIu&#10;NzIgODYuNjYgNjE0LjUzIDg3Ljk0IDYxNS45MyA4OS41NSA2MTguNTEgOTIuNDkgNjIwLjE1IDk1&#10;LjgzIDYyMS43MyA5OS4wN0w2MjEuNzkgOTkuMTlDNjIyLjE1IDk5LjkzIDYyMi41MyAxMDAuNjcg&#10;NjIyLjkgMTAxLjQxIDYyMy4zNyAxMDIuMzMgNjIzLjg0IDEwMy4yNiA2MjQuMjggMTA0LjE5IDYy&#10;NC41NCAxMDQuNzMgNjI0Ljc4IDEwNS4zMiA2MjUuMDggMTA2LjA5IDYyNS4yNCAxMDYuNTEgNjI1&#10;LjMyIDEwNi44NSA2MjUuMzUgMTA3LjE1IDYyNS40MiAxMDcuODYgNjI1LjQ1IDEwOC40NiA2MjUu&#10;MjUgMTA5LjA3IDYyNS4wNCAxMDkuNzQgNjI0LjgxIDExMC40IDYyNC40MSAxMTEuMDUgNjI0LjE5&#10;IDExMS40MiA2MjMuOTEgMTExLjc3IDYyMy42NCAxMTIuMTFMNjIzLjM4IDExMi40NCA2MjMuNjEg&#10;MTEyLjEyQzYyMy4wNiAxMTIuODMgNjIyLjQ0IDExMy41NSA2MjEuNjUgMTE0LjI0IDYyMC42MSAx&#10;MTUuMTMgNjE5LjQ1IDExNiA2MTguMjEgMTE2LjgxIDYxNS41MSAxMTguNTcgNjEyLjU3IDEyMC4w&#10;NSA2MDkuNzggMTIxLjQxIDYwOC44NyAxMjEuODYgNjA3Ljk1IDEyMi4zMSA2MDcuMDMgMTIyLjc1&#10;IDYwNC44MyAxMjMuODIgNjAyLjU2IDEyNC45MyA2MDAuMzcgMTI2LjA2IDU5Ni42NSAxMjcuOTkg&#10;NTkyLjg2IDEzMC4xOCA1ODkuMSAxMzIuNTggNTg1LjMyIDEzNC45OCA1ODEuNjEgMTM3LjUyIDU3&#10;OC4wMiAxMzkuOThMNTc2LjA5IDE0MS4zQzU3Mi43NiAxNDMuNTggNTY5LjMzIDE0NS44NiA1NjYu&#10;MDEgMTQ4LjA2TDU2NC42NiAxNDguOTZDNTYyLjk3IDE1MC4wOCA1NjEuMyAxNTEuMjEgNTU5LjYy&#10;IDE1Mi4zMyA1NTcuNDcgMTUzLjc3IDU1NS4zMiAxNTUuMjEgNTUzLjE2IDE1Ni42NCA1NDguNjQg&#10;MTU5LjYzIDU0NC4wMSAxNjIuNjEgNTM5LjM4IDE2NS41MSA1MzQuNTIgMTY4LjU1IDUyOS40NyAx&#10;NzEuNTQgNTI0LjU4IDE3NC40NEw1MjMuNzIgMTc0Ljk1QzUyMC42NyAxNzYuNzYgNTE3LjYgMTc4&#10;LjYyIDUxNC42MyAxODAuNDMgNTEzLjEyIDE4MS4zNSA1MTEuNjIgMTgyLjI2IDUxMC4xIDE4My4x&#10;OCA1MDYuMjggMTg1LjQ5IDUwMi40OCAxODcuNzMgNDk3Ljk3IDE5MC4zNyA0OTMuOTQgMTkyLjcz&#10;IDQ4OS45OCAxOTUuMDQgNDg1Ljk3IDE5Ny4yOSA0ODMuNDkgMTk4LjY4IDQ4MC42IDIwMC4yNyA0&#10;NzcuNTggMjAxLjY1IDQ3NS42NiAyMDIuNTMgNDc0LjA3IDIwMy4yMSA0NzIuNTYgMjAzLjc4IDQ3&#10;MC45OCAyMDQuMzggNDY5LjIxIDIwNC44OSA0NjYuOTkgMjA1LjM5IDQ2My41NiAyMDYuMTYgNDYw&#10;LjcyIDIwNi42NyA0NTguMDQgMjA3LjAxIDQ1NSAyMDcuMzkgNDUxLjk2IDIwNy41MSA0NDguMzQg&#10;MjA3LjU4IDQ0NS41MSAyMDcuNjMgNDQyLjYxIDIwNy41NSA0NDAuMDQgMjA3LjQ5IDQzNi44OCAy&#10;MDcuNCA0MzMuNzEgMjA3LjI5IDQzMC41NSAyMDcuMTggNDI5LjE1IDIwNy4xMyA0MjcuNzQgMjA3&#10;LjA3IDQyNi4zNCAyMDcuMDIgNDIwLjY3IDIwNi43OSA0MTQuOSAyMDYuNSA0MDkuMzMgMjA2LjIz&#10;IDQwNC4yNCAyMDUuOTggMzk4Ljk4IDIwNS43MiAzOTMuOCAyMDUuNUwzODguMDUgMjA1LjI2QzM4&#10;My41NiAyMDUuMDggMzc5LjA3IDIwNC44OSAzNzQuNTggMjA0LjY5IDM3MS4zMyAyMDQuNTQgMzY4&#10;LjA4IDIwNC40IDM2NC44NCAyMDQuMjcgMzYxLjg3IDIwNC4xNSAzNTguOTEgMjA0LjAzIDM1NS45&#10;NCAyMDMuOTMgMzUwLjI3IDIwMy43MyAzNDQuNSAyMDMuNTggMzM4LjkzIDIwMy40M0wzMzcuMjkg&#10;MjAzLjM5QzMzMS4zOCAyMDMuMjMgMzI1LjA3IDIwMy4wNyAzMTguNzMgMjAyLjk2IDMwNi42NCAy&#10;MDIuNzQgMjk0LjMzIDIwMi43OCAyODIuNDMgMjAyLjgyTDI3OS45MyAyMDIuODJDMjcyLjg4IDIw&#10;Mi44NSAyNjMuNTYgMjAyLjg2IDI1NC4wNCAyMDIuNyAyNDUuNTkgMjAyLjU2IDIzNi44NSAyMDIu&#10;NDIgMjI4LjEgMjAyLjU3IDIyMS4zOSAyMDIuNzEgMjE0LjU3IDIwMi45IDIwNy45NyAyMDMuMDkg&#10;MjAzLjIzIDIwMy4yMiAxOTguNDkgMjAzLjM2IDE5My43NCAyMDMuNDcgMTg3LjAyIDIwMy42MyAx&#10;ODAuMyAyMDMuNzMgMTc0LjYyIDIwMy44IDE3Mi4wNyAyMDMuODMgMTY5LjUxIDIwMy44NyAxNjYu&#10;OTYgMjAzLjkgMTYyLjk2IDIwMy45NiAxNTguOTYgMjA0LjAxIDE1NC45NyAyMDQuMDYgMTQyLjkg&#10;MjA0LjE5IDEzMC45NiAyMDQuMjMgMTE5LjQ4IDIwNC4xNiAxMTYuMzggMjA0LjE0IDExMy4yOCAy&#10;MDQuMTIgMTEwLjE3IDIwNC4xIDEwMi42NyAyMDQuMDQgOTQuOTEgMjAzLjk5IDg3LjI3IDIwNC4w&#10;MiA4My44NSAyMDQuMDMgODAuNDMgMjA0LjA3IDc3LjAyIDIwNC4xIDczLjAyIDIwNC4xNCA2OC44&#10;OCAyMDQuMTggNjQuODEgMjA0LjE5TDYxLjk1IDIwNC4xOUM1OC4yIDIwNC4xOSA1NC4zMyAyMDQu&#10;MTkgNTAuNTIgMjA0LjI1IDQ2LjQ2IDIwNC4zNSA0Mi4zOCAyMDQuNjYgMzguNDIgMjA0Ljk2TDM2&#10;LjQ3IDIwNS4xMUMzNS44NyAyMDUuMTUgMzUuMjggMjA1LjIgMzQuNjggMjA1LjI1IDMyLjg0IDIw&#10;NS40IDMwLjkzIDIwNS41NSAyOS4wNSAyMDUuNTlMMjguNTkgMjA1LjU5QzI4LjEgMjA1LjYyIDI3&#10;LjYgMjA1LjY0IDI3LjExIDIwNS42MSAyNi44OSAyMDUuNjEgMjYuNjYgMjA1LjU4IDI2LjQ0IDIw&#10;NS41NiAyNS44MSAyMDUuNDggMjUuMTkgMjA1LjM2IDI0LjU5IDIwNS4yMiAyNC4wOSAyMDUuMSAy&#10;My41NyAyMDQuODcgMjMuMTEgMjA0LjY3TDIyLjg0IDIwNC41NUMyMi4xOCAyMDQuMjcgMjEuNjQg&#10;MjAzLjg4IDIxLjExIDIwMy40OUwyMC44NiAyMDMuMzFDMjAuMTMgMjAyLjc5IDE5LjYxIDIwMi4w&#10;OCAxOS4xNiAyMDEuNDUgMTguNTMgMjAwLjU4IDE4LjE2IDE5OS42IDE3LjggMTk4LjY0TDE3LjY2&#10;IDE5OC4yN0MxNy4zNyAxOTcuNSAxNy4xMiAxOTYuNzIgMTYuOTIgMTk2LjA1IDE2LjMgMTk0IDE1&#10;Ljc5IDE5MS45NCAxNS4zOCAxOTAuMiAxNC43MiAxODcuNDEgMTQuMiAxODQuNjMgMTMuNjkgMTgx&#10;Ljc4IDEzLjA5IDE3OC40OCAxMi41OCAxNzUuMDUgMTIuMTcgMTcxLjU3IDExLjcgMTY3LjU5IDEx&#10;LjI1IDE2My42MSAxMC44MiAxNTkuNjMgMTAuMzUgMTU1LjI4IDEwLjAzIDE1MC41NyA5Ljg1IDE0&#10;NS4yNSA5LjUgMTM0LjgzIDkuMzUgMTI2LjM3IDkuMzggMTE4LjYzIDkuNCAxMTMuOSA5LjU1IDEw&#10;OS4xIDkuNjkgMTA0LjQ2IDkuNzYgMTAyLjE2IDkuODMgOTkuODcgOS44OSA5Ny41N0w5LjkxIDk2&#10;LjYyQzEwLjEgODguNzIgMTAuMyA4MC41NSAxMC4wNCA3Mi41MiA5LjQ5IDU3LjQ2IDguMjMgNDIu&#10;NzQgNy4yIDMxLjZMNi45MiAyOC40N0M2LjYxIDI1LjA3IDYuMyAyMS41NiA1LjkxIDE4LjEyIDUu&#10;NzUgMTYuNzEgNS41NiAxNS4xOCA1LjMgMTMuNDYgNS4xOCAxMi42MyA1LjA1IDExLjggNC45MSAx&#10;MC45N0w0Ljg0IDEwLjU1QzQuNzYgMTAuMDkgNC42OSA5LjYzIDQuNjIgOS4xNyA0LjU5IDguOTkg&#10;NC41OCA4LjggNC41NyA4LjYyIDQuMjggOC41NyAzLjk3IDguNTIgMy42OCA4LjQ1IDIuOTcgOC4y&#10;OSAyLjM1IDcuOTEgMi4wNiA3LjQ2IDEuODMgNy4xIDEuODIgNi43MSAyLjAzIDYuMzQgMi43NSA1&#10;LjA3IDQuOTkgNS4wOCA2LjYzIDUuMDlMNi45NyA1LjA5QzcuMDMgNS4wOSA3LjA4IDUuMDkgNy4x&#10;NCA1LjA5IDcuMzEgNS4wMiA3LjQ3IDQuOTYgNy42MSA0LjkxIDguMzYgNC42OCA5LjE2IDQuNTYg&#10;OS43NSA0LjU5IDkuODggNC41OSAxMCA0LjYxIDEwLjEyIDQuNjNMMTAuNDEgNC42OEMxMS4xNyA0&#10;LjggMTEuNjMgNC44OCAxMi4yOSA1LjE5TDEyLjkzIDUuMjFDMTMuNTcgNS4yMyAxNC4yMSA1LjI1&#10;IDE0Ljg1IDUuMjYgMjAuNjcgNS40IDI2LjU5IDUuNDEgMzIuMzEgNS40MyAzNC41NCA1LjQzIDM2&#10;Ljc2IDUuNDMgMzguOTggNS40MyA0My4wOCA1LjQzIDQ3LjMyIDUuNDMgNTEuNDkgNS40OEw1Mi4w&#10;MyA1LjQ4QzU3Ljk5IDUuNTQgNjQuMTQgNS42IDcwLjIgNS41NyA3Ni4zNSA1LjU0IDgyLjQ5IDUu&#10;NDkgODguNjQgNS40NSA5NC43OSA1LjQgMTAwLjkzIDUuMzYgMTA3LjA4IDUuMzMgMTExLjIxIDUu&#10;MzEgMTE1LjM0IDUuMjYgMTE5LjQ2IDUuMjEgMTIxLjQ0IDUuMTkgMTIzLjQxIDUuMTYgMTI1LjM5&#10;IDUuMTQgMTMwLjA0IDUuMDkgMTM0LjY5IDUuMDcgMTM5LjM0IDUuMDZMMTQ0LjE5IDUuMDRDMTUy&#10;Ljg0IDUgMTYxLjYzIDQuOTIgMTcwLjEzIDQuODVMMTgwLjE0IDQuNzZDMTgzLjg2IDQuNzMgMTg3&#10;LjU4IDQuNjggMTkxLjMgNC42MyAxOTQuMTMgNC41OSAxOTYuOTUgNC41NSAxOTkuNzggNC41MiAy&#10;MDQuMTIgNC40NyAyMDguNDUgNC40NSAyMTIuNzkgNC40NCAyMTQuODYgNC40NCAyMTYuOTMgNC40&#10;MiAyMTkuMDEgNC40MSAyMjEuMDIgNC40IDIyMy4wMyA0LjM4IDIyNS4wNCA0LjM2IDIyOC40NiA0&#10;LjMzIDIzMS44OCA0LjMgMjM1LjMgNC4zIDIzNy42NiA0LjMgMjQwLjAxIDQuMyAyNDIuMzcgNC4z&#10;IDI0NS41MiA0LjMgMjQ4LjY2IDQuMzEgMjUxLjgxIDQuMyAyNTUuMzkgNC4yOCAyNTkuMzQgNC4y&#10;NCAyNjQuMjIgNC4xNyAyNjQuNDUgNC4xNSAyNjQuNjcgNC4xNSAyNjQuODkgNC4xNkwyNjkuOTcg&#10;NC4wOEMyNzUuMTMgNCAyODAuNDcgMy45MSAyODUuNzIgMy44NyAyOTEuNTcgMy44MiAyOTcuNDEg&#10;My43NSAzMDMuMjYgMy42OEwzMDMuMzcgMy42OEMzMDUuMTcgMy42NiAzMDYuOTggMy42NCAzMDgu&#10;NzggMy42MiAzMTIuNTUgMy41OCAzMTYuMzIgMy41NCAzMjAuMDkgMy40N0wzMTkuNzQgMy40OSAz&#10;MjAuNzggMy40NkMzMjYuNTUgMy4zNSAzMzIuNTIgMy4yMyAzMzguNCAzLjE5IDM0Mi4xMiAzLjE2&#10;IDM0NS44NSAzLjE2IDM0OS41NyAzLjE1IDM1MS44IDMuMTUgMzU0LjAyIDMuMTUgMzU2LjI1IDMu&#10;MTQgMzYxLjQ1IDMuMTIgMzY2LjczIDMuMTUgMzcxLjg0IDMuMTlMMzc1Ljc1IDMuMjFDMzgxLjQz&#10;IDMuMjQgMzg3LjM0IDMuMzYgMzkzLjg0IDMuNTggMzk1LjkxIDMuNjUgMzk3Ljk4IDMuNzMgNDAw&#10;LjA1IDMuODFMNDA0LjQ1IDMuOTkgNDA1LjI3IDQuMDJDNDA2LjkyIDQuMDkgNDA4LjU1IDQuMTYg&#10;NDEwLjE4IDQuMjMgNDE0LjAzIDQuMzkgNDE2Ljk3IDQuNDkgNDE5Ljc0IDQuNTcgNDI0LjI5IDQu&#10;NyA0MjguODUgNC43NSA0MzMuMjkgNC43MyA0MzQuNjYgNC43MyA0MzYuMDQgNC43MyA0MzcuNDEg&#10;NC43MiA0NDAuMDMgNC43MiA0NDIuNzQgNC43MiA0NDUuNDEgNC42NyA0NDUuNDcgNC42NyA0NDUu&#10;NTQgNC42NyA0NDUuNiA0LjY3TDQ0NS43IDQuNjdDNDQ1LjcgNC42NyA0NDUuNyA0LjY3IDQ0NS43&#10;IDQuNjcgNDQ2LjI2IDQuNjYgNDQ2LjgxIDQuNjUgNDQ3LjM3IDQuNjRMNDQ3LjUxIDQuNjRDNDQ3&#10;LjUxIDQuNjQgNDQ3LjYzIDQuNjQgNDQ3LjYzIDQuNjRMNDQ4LjM1IDQuNjRDNDQ4LjM1IDQuNjQg&#10;NDQ4LjE1IDQuNjQgNDQ4LjE1IDQuNjQgNDQ5LjM4IDQuNiA0NTAuNjIgNC41NyA0NTEuODUgNC41&#10;NCA0NTMuODQgNC40OSA0NTUuODIgNC40NCA0NTcuODEgNC40MUw0NTguNzcgNC40MUM0NTkuODIg&#10;NC4zOCA0NjAuOSA0LjM2IDQ2MS45NiA0LjQxWiIgZmlsbD0iI0UzRTg3QiIvPjxwYXRoIGQ9Ik00&#10;MjkuOCAxLjM2QzQyOS45IDEuMzYgNDMwLjAxIDEuMzYgNDMwLjExIDEuMzYgNDMwLjAxIDEuMzYg&#10;NDI5LjkgMS4zNiA0MjkuOCAxLjM2Wk0zOTAuOTkgMC40NEMzOTAuOTMgMC40NCAzOTAuODYgMC40&#10;NCAzOTAuOCAwLjQ0IDM5MC45NCAwLjQ0IDM5MS4wOCAwLjQ0IDM5MS4yMSAwLjQ0IDM5MS4xNCAw&#10;LjQ0IDM5MS4wNiAwLjQ0IDM5MC45OSAwLjQ0Wk0zODkuODcgMC40MiAzODkuODcgMC40MkMzOTAg&#10;MC40MiAzOTAuMTIgMC40MiAzOTAuMjUgMC40MiAzOTAuMTMgMC40MiAzOTAgMC40MiAzODkuODgg&#10;MC40MlpNMjYuOSA0LjQ0QzI2Ljg0IDQuNDQgMjYuNzcgNC40NCAyNi43MSA0LjQ0IDI2Ljc3IDQu&#10;NDQgMjYuODQgNC40NCAyNi45IDQuNDRaTTQ2Ni45NyAxLjgyQzQ2OC4zMSAyLjAyIDQ2OS4zNyAy&#10;Ljc2IDQ2OS41MSAzLjc4IDQ2OS41OSA0LjM1IDQ2OS4zNiA0LjkzIDQ2OC44NyA1LjM4IDQ2OC4z&#10;NCA1Ljg3IDQ2Ny42MyA2LjEgNDY2LjgxIDYuMjEgNDY1LjM4IDYuMzkgNDYzLjkyIDYuMzQgNDYy&#10;LjQ4IDYuMzMgNDYwLjQzIDYuMzEgNDU4LjM5IDYuMjcgNDU2LjM0IDYuMjIgNDUyLjA5IDYuMTMg&#10;NDQ3Ljg0IDYuMDEgNDQzLjU4IDUuOTIgNDM0LjEzIDUuNzMgNDI0LjY4IDUuNDUgNDE1LjIzIDUu&#10;MjUgNDEzLjM3IDUuMjEgNDExLjUyIDUuMTcgNDA5LjY2IDUuMTQgNDA5LjkxIDUuMTQgNDEwLjE2&#10;IDUuMTQgNDEwLjQxIDUuMTUgNDAxLjU0IDQuOTggMzkyLjY3IDQuNzYgMzgzLjc5IDQuNTggMzgz&#10;Ljk3IDQuNTggMzg0LjE2IDQuNTggMzg0LjM0IDQuNTkgMzc5LjI2IDQuNSAzNzQuMTggNC40MiAz&#10;NjkuMSA0LjM4IDM2NC4wOCA0LjMzIDM1OS4wNiA0LjM0IDM1NC4wNCA0LjM0IDM0NC4wMSA0LjM0&#10;IDMzMy45OCA0LjMgMzIzLjk1IDQuMyAzMTQuMTYgNC4zIDMwNC4zNyA0LjMgMjk0LjU3IDQuMzcg&#10;Mjg0Ljc0IDQuNDMgMjc0LjkxIDQuNDcgMjY1LjA5IDQuNTggMjQ1LjIzIDQuNzkgMjI1LjM4IDQu&#10;OTkgMjA1LjUxIDQuOTkgMTk1Ljc1IDQuOTkgMTg1Ljk5IDUgMTc2LjIzIDUuMDEgMTY1Ljg1IDUu&#10;MDIgMTU1LjQ3IDQuOTkgMTQ1LjEgNC45NiAxMzUuMTMgNC45MyAxMjUuMTcgNC44OSAxMTUuMiA0&#10;Ljg3IDEwNS4zIDQuODUgOTUuMzkgNC44OCA4NS40OSA0Ljg3IDc1LjM1IDQuODUgNjUuMjEgNC44&#10;MyA1NS4wNyA0Ljc2IDQ1LjUzIDQuNjkgMzYgNC42NCAyNi40NiA0LjQ0IDI1LjkgNC40MyAyNS4z&#10;NCA0LjQyIDI0Ljc4IDQuNDEgMjQuOTkgNC40MSAyNS4yMSA0LjQxIDI1LjQyIDQuNDIgMjAuOTQg&#10;NC4zMyAxNi40NiA0LjI1IDExLjk4IDQuMTEgOS43MyA0LjA0IDcuNDcgMy45NiA1LjIyIDMuODIg&#10;NC4yNCAzLjc2IDMuMjQgMy42OSAyLjI3IDMuNTQgMS41NCAzLjQzIDAuNzIgMy4yOSAwLjI1IDIu&#10;ODItMC4wOSAyLjQ4LTAuMTEgMS45NSAwLjI4IDEuNjIgMC44MSAxLjE4IDEuNTkgMS4wNyAyLjM2&#10;IDAuOTkgMy40OCAwLjg4IDQuNjMgMC44NyA1Ljc2IDAuODUgNy45NiAwLjggMTAuMTUgMC43OCAx&#10;Mi4zNiAwLjc3IDE3LjA3IDAuNzQgMjEuNzggMC43OCAyNi40OSAwLjgxIDM2LjExIDAuODcgNDUu&#10;NzMgMC43NyA1NS4zNSAwLjczIDY1LjM1IDAuNjkgNzUuMzQgMC42NyA4NS4zNCAwLjY4IDk1LjIz&#10;IDAuNjggMTA1LjExIDAuNjMgMTE1LjAxIDAuNjIgMTM1LjM3IDAuNiAxNTUuNzMgMC43NSAxNzYu&#10;MSAwLjc0IDE5NS45MSAwLjc0IDIxNS43MiAwLjY2IDIzNS41MyAwLjU4IDI1NS4yMSAwLjUxIDI3&#10;NC44OSAwLjIgMjk0LjU2IDAuMDggMzE0LjQ0LTAuMDQgMzM0LjMxIDAuMDQgMzU0LjE4IDAuMDgg&#10;MzY1Ljk0IDAuMTEgMzc3LjY5IDAuMTkgMzg5LjQ0IDAuNDIgMzg5LjU4IDAuNDIgMzg5LjcyIDAu&#10;NDIgMzg5Ljg2IDAuNDIgMzg5Ljg2IDAuNDIgMzg5Ljg1IDAuNDIgMzg5Ljg0IDAuNDIgMzg5Ljg0&#10;IDAuNDIgMzg5Ljg2IDAuNDIgMzg5Ljg2IDAuNDIgMzg5Ljk3IDAuNDIgMzkwLjA4IDAuNDIgMzkw&#10;LjE5IDAuNDIgMzkwLjMzIDAuNDIgMzkwLjQ2IDAuNDIgMzkwLjU5IDAuNDIgMzkwLjQ3IDAuNDIg&#10;MzkwLjM1IDAuNDIgMzkwLjIzIDAuNDIgMzkwLjQyIDAuNDIgMzkwLjYgMC40MiAzOTAuNzkgMC40&#10;MyAzOTAuNzUgMC40MyAzOTAuNzEgMC40MyAzOTAuNjcgMC40MyAzOTAuNzcgMC40MyAzOTAuODgg&#10;MC40MyAzOTAuOTggMC40MyAzOTEuMTMgMC40MyAzOTEuMjcgMC40MyAzOTEuNDIgMC40NCAzOTEu&#10;MzUgMC40NCAzOTEuMjggMC40NCAzOTEuMiAwLjQ0IDQwNC4yNCAwLjcgNDE3LjI4IDEuMTEgNDMw&#10;LjMyIDEuMzdMNDMwLjA5IDEuMzdDNDMwLjc2IDEuMzcgNDMxLjQyIDEuMzkgNDMyLjA5IDEuNCA0&#10;MzEuODQgMS40IDQzMS41OSAxLjQgNDMxLjM0IDEuMzkgNDM3Ljg0IDEuNTEgNDQ0LjM1IDEuNjYg&#10;NDUwLjg2IDEuNjUgNDUzLjc3IDEuNjUgNDU2LjY3IDEuNjEgNDU5LjU4IDEuNiA0NjAuNzQgMS42&#10;IDQ2MS45IDEuNiA0NjMuMDYgMS42MSA0NjMuNzcgMS42MSA0NjQuNDggMS42MSA0NjUuMTkgMS42&#10;NCA0NjUuNzggMS42NiA0NjYuMzYgMS43MSA0NjYuOTQgMS43OVoiIGZpbGw9IiMwMTAxMDEiLz48&#10;cGF0aCBkPSJNNDY4LjEgMy4yOEM0NjguNTMgMy4zOSA0NjguOTIgMy41NSA0NjkuMyAzLjcyIDQ3&#10;MC4zMSA0LjE3IDQ3MS4yOCA0LjY2IDQ3Mi4yMyA1LjE2IDQ3My44OCA2LjAzIDQ3NS40OCA2Ljk1&#10;IDQ3Ny4wNyA3Ljg4IDQ4MC4yNyA5Ljc0IDQ4My40MSAxMS42OCA0ODYuNTYgMTMuNiA0ODkuNzIg&#10;MTUuNTMgNDkyLjg3IDE3LjQ2IDQ5Ni4wNSAxOS4zNiA0OTkuMjggMjEuMjggNTAyLjUyIDIzLjE5&#10;IDUwNS43OCAyNS4wOSA1MTIuMjQgMjguODUgNTE4LjczIDMyLjU5IDUyNS4yNyAzNi4yOCA1MzEu&#10;OTUgNDAuMDUgNTM4LjU2IDQzLjkgNTQ1LjExIDQ3LjggNTUxLjYyIDUxLjY4IDU1OC4wMyA1NS42&#10;NiA1NjQuNSA1OS41NiA1NzEgNjMuNDggNTc3LjU3IDY3LjMzIDU4NC4wNyA3MS4yNCA1OTAuNDUg&#10;NzUuMDcgNTk2Ljc4IDc4Ljk0IDYwMy4xNSA4Mi43OCA2MDUuNzIgODQuMzMgNjA4LjI3IDg1Ljg4&#10;IDYxMC44NiA4Ny40IDYxMi4wNiA4OC4xMSA2MTMuMjcgODguOCA2MTQuNDQgODkuNTIgNjE1LjA1&#10;IDg5Ljg5IDYxNS42NCA5MC4yOCA2MTYuMjUgOTAuNjYgNjE2LjU1IDkwLjg1IDYxNi44NCA5MS4w&#10;NCA2MTcuMTQgOTEuMjMgNjE3LjY3IDkxLjU2IDYxOC4xNCA5MS45NSA2MTguNTggOTIuMzUgNjE5&#10;LjQyIDkzLjEyIDYxOS4yOSA5NC4zNCA2MTguNSA5NS4wOCA2MTcuNzIgOTUuODMgNjE2LjE2IDk2&#10;LjIgNjE0Ljk4IDk1Ljc1IDYxNC4zMyA5NS40OSA2MTMuNzIgOTUuMjEgNjEzLjE0IDk0Ljg3IDYx&#10;Mi43NSA5NC42NCA2MTIuMzUgOTQuNDEgNjExLjk2IDk0LjE5IDYxMS4yMSA5My43NiA2MTAuNDgg&#10;OTMuMzMgNjA5Ljc1IDkyLjg5IDYwOC4yNCA5MS45NyA2MDYuNzYgOTEuMDMgNjA1LjI1IDkwLjEx&#10;IDYwMi4xNCA4OC4yMiA1OTkgODYuMzUgNTk1Ljg4IDg0LjQ3IDU4OS40MiA4MC41NyA1ODIuOTMg&#10;NzYuNzEgNTc2LjQyIDcyLjg2IDU2OS44OSA2OC45OSA1NjMuMzIgNjUuMTcgNTU2Ljg0IDYxLjI2&#10;IDU1MC4zNCA1Ny4zMyA1NDMuOTIgNTMuMzMgNTM3LjQgNDkuNDIgNTMxLjAyIDQ1LjU4IDUyNC41&#10;OCA0MS44IDUxOC4xIDM4LjA2IDUxMS41NyAzNC4zIDUwNS4wMSAzMC41NiA0OTguNTIgMjYuNzYg&#10;NDkyLjA2IDIyLjk3IDQ4NS42OSAxOS4wOCA0NzkuNDEgMTUuMTIgNDc2Ljc1IDEzLjQ0IDQ3NC4x&#10;MSAxMS43NSA0NzEuNDcgMTAuMDUgNDcwLjI1IDkuMjYgNDY5LjAzIDguNDkgNDY3Ljg0IDcuNjgg&#10;NDY3LjEgNy4xOCA0NjYuMzUgNi42OCA0NjUuNzIgNi4xIDQ2NS4zMyA1Ljc1IDQ2NS4wMyA1LjMz&#10;IDQ2NC45NSA0Ljg3IDQ2NC45MiA0LjcxIDQ2NC45MyA0LjU1IDQ2NC45NSA0LjQgNDY1LjA0IDMu&#10;ODUgNDY1LjU1IDMuNDcgNDY2LjE4IDMuMjMgNDY2LjQ2IDMuMTMgNDY2Ljc2IDMuMSA0NjcuMDYg&#10;My4xMSA0NjcuNDEgMy4xMiA0NjcuNzYgMy4yIDQ2OC4wOCAzLjI4WiIgZmlsbD0iIzAxMDEwMSIv&#10;PjxwYXRoIGQ9Ik0xNzEuOSAxODguNDlDMTcyIDE4OC40OSAxNzIuMDkgMTg4LjQ5IDE3Mi4xOSAx&#10;ODguNDkgMTcyLjA5IDE4OC40OSAxNzIgMTg4LjQ5IDE3MS45IDE4OC40OVpNMTcwLjIyIDE4OC40&#10;NkMxNzAuMDcgMTg4LjQ2IDE2OS45MiAxODguNDYgMTY5Ljc4IDE4OC40NiAxNjkuOCAxODguNDYg&#10;MTY5LjgzIDE4OC40NiAxNjkuODUgMTg4LjQ2IDE2OS45OCAxODguNDYgMTcwLjEyIDE4OC40NiAx&#10;NzAuMjUgMTg4LjQ2IDE3MC4yNSAxODguNDYgMTcwLjIzIDE4OC40NiAxNzAuMjIgMTg4LjQ2Wk0x&#10;NzEuMzMgMTg4LjQ4QzE3MS4yNCAxODguNDggMTcxLjE1IDE4OC40OCAxNzEuMDUgMTg4LjQ4IDE3&#10;MS4xNCAxODguNDggMTcxLjIzIDE4OC40OCAxNzEuMzMgMTg4LjQ4Wk02MTkuMTYgOTUuOTJDNjE5&#10;LjE2IDk1LjkyIDYxOS4xNiA5NS45NSA2MTkuMTYgOTUuOTYgNjE5LjE2IDk1Ljk1IDYxOS4xNiA5&#10;NS45NCA2MTkuMTYgOTUuOTMgNjE5LjE2IDk1LjkzIDYxOS4xNiA5NS45MyA2MTkuMTYgOTUuOTJa&#10;TTYxNy4zNyA5NC4wOEM2MTcuODcgOTQuMjMgNjE4LjMyIDk0LjQ5IDYxOC42MyA5NC44IDYxOC44&#10;OCA5NS4wNSA2MTkuMDIgOTUuMyA2MTkuMSA5NS41NyA2MTkuNDMgOTYuMTkgNjE5LjMxIDk3IDYx&#10;OC45NiA5Ny41OSA2MTguNjIgOTguMTYgNjE4LjAyIDk4LjU2IDYxNy4zNyA5OC45NSA2MTcuMDIg&#10;OTkuMTYgNjE2LjY3IDk5LjM3IDYxNi4zMSA5OS41OCA2MTUuNTcgMTAwLjAyIDYxNC44MiAxMDAu&#10;NDUgNjE0LjA3IDEwMC44OSA2MTIuMTQgMTAyLjAyIDYxMC4yOSAxMDMuMjEgNjA4LjQzIDEwNC4z&#10;OCA2MDUuNTEgMTA2LjIyIDYwMi41NCAxMDguMDEgNTk5LjUyIDEwOS43NiA1OTUuMzYgMTEyLjE4&#10;IDU5MS4xOCAxMTQuNTggNTg3LjA1IDExNy4wMyA1NzguNTQgMTIyLjA3IDU3MC4zOCAxMjcuNDIg&#10;NTYyLjM5IDEzMi44OSA1NTcuOTUgMTM1Ljk0IDU1My41MiAxMzguOTkgNTQ4Ljk3IDE0MS45NSA1&#10;NDQuNCAxNDQuOTIgNTM5Ljc2IDE0Ny44NSA1MzUuMDggMTUwLjczIDUzMC41OSAxNTMuNSA1MjYu&#10;MDggMTU2LjI0IDUyMS41NCAxNTguOTcgNTE3LjkgMTYxLjE3IDUxNC4yNyAxNjMuMzggNTEwLjYy&#10;IDE2NS41NyA1MDMuMDQgMTcwLjEgNDk1LjUxIDE3NC42OSA0ODcuODEgMTc5LjExIDQ4My43IDE4&#10;MS40OCA0NzkuNTggMTgzLjg0IDQ3NS4yNiAxODYgNDcyLjk5IDE4Ny4xNCA0NzAuNiAxODguMTcg&#10;NDY4LjE3IDE4OS4xMyA0NjYuODIgMTg5LjY2IDQ2NS40MSAxOTAuMTUgNDYzLjk4IDE5MC41NiA0&#10;NjEuNzkgMTkxLjE3IDQ1OS40OCAxOTEuNDMgNDU3LjE2IDE5MS41NiA0NTQuNTMgMTkxLjcxIDQ1&#10;MS45IDE5MS43NyA0NDkuMjYgMTkxLjg1IDQ0NC41NyAxOTIgNDM5Ljg4IDE5Mi4wNCA0MzUuMTkg&#10;MTkyLjEyIDQyOS42OCAxOTIuMiA0MjQuMTggMTkyLjM0IDQxOC42NyAxOTIuNSA0MDYuODIgMTky&#10;Ljg0IDM5NC45OCAxOTMuMjEgMzgzLjExIDE5My4zMyAzNzAuODggMTkzLjQ2IDM1OC42NCAxOTMu&#10;NTcgMzQ2LjQgMTkzLjQ1IDMzNC4xMyAxOTMuMzMgMzIxLjg3IDE5My4wNyAzMDkuNjEgMTkyLjc3&#10;IDI5Ny4yNyAxOTIuNDYgMjg0LjkzIDE5Mi4xOCAyNzIuNiAxOTEuNzkgMjYwLjU3IDE5MS40MSAy&#10;NDguNTUgMTkwLjkzIDIzNi41MyAxOTAuNDUgMjI1Ljc2IDE5MC4wMiAyMTQuOTcgMTg5LjcyIDIw&#10;NC4xOSAxODkuMzggMTkzLjUyIDE4OS4wNCAxODIuODYgMTg4LjczIDE3Mi4xOSAxODguNTEgMTcy&#10;LjMzIDE4OC41MSAxNzIuNDcgMTg4LjUxIDE3Mi42IDE4OC41MSAxNzIuMjUgMTg4LjUxIDE3MS45&#10;IDE4OC41IDE3MS41NSAxODguNDkgMTcxLjI5IDE4OC40OSAxNzEuMDMgMTg4LjQ5IDE3MC43NyAx&#10;ODguNDggMTcwLjg0IDE4OC40OCAxNzAuOTIgMTg4LjQ4IDE3MC45OSAxODguNDggMTcwLjkgMTg4&#10;LjQ4IDE3MC44IDE4OC40OCAxNzAuNzEgMTg4LjQ4IDE3MC40OCAxODguNDggMTcwLjI1IDE4OC40&#10;OCAxNzAuMDMgMTg4LjQ3IDE3MC4xIDE4OC40NyAxNzAuMTYgMTg4LjQ3IDE3MC4yMyAxODguNDcg&#10;MTcwLjI1IDE4OC40NyAxNzAuMjYgMTg4LjQ3IDE3MC4yOCAxODguNDcgMTcwLjI4IDE4OC40NyAx&#10;NzAuMjcgMTg4LjQ3IDE3MC4yNiAxODguNDcgMTcwLjI4IDE4OC40NyAxNzAuMjkgMTg4LjQ3IDE3&#10;MC4zMSAxODguNDcgMTcwLjM4IDE4OC40NyAxNzAuNDQgMTg4LjQ3IDE3MC41MSAxODguNDcgMTcw&#10;LjI5IDE4OC40NyAxNzAuMDggMTg4LjQ3IDE2OS44NiAxODguNDZMMTY5LjU0IDE4OC40NkMxNjku&#10;NjIgMTg4LjQ2IDE2OS43MSAxODguNDYgMTY5Ljc5IDE4OC40NiAxNTcuODYgMTg4LjIzIDE0NS45&#10;MiAxODguMDkgMTMzLjk4IDE4OC4wMyAxMjEuNzcgMTg3Ljk3IDEwOS41NiAxODguMDggOTcuMzUg&#10;MTg4LjQ2IDg1LjExIDE4OC44NSA3Mi44OSAxODkuNTQgNjAuNjUgMTg5LjgxIDU0LjcyIDE4OS45&#10;NCA0OC43OCAxOTAgNDIuODUgMTkwLjEzIDM3LjE1IDE5MC4yNSAzMS40MyAxOTAuMzIgMjUuNzMg&#10;MTkwLjUxIDIyLjYyIDE5MC42MSAxOS41MSAxOTAuNzggMTYuMzkgMTkwLjkxIDE1LjMgMTkwLjk2&#10;IDE0LjIgMTkwLjk5IDEzLjExIDE5MC45NCAxMS45OCAxOTAuODggMTAuNzUgMTkwLjMyIDEwLjkx&#10;IDE4OS4zOCAxMS4wNCAxODguNjcgMTEuODggMTg4LjI0IDEyLjY4IDE4Ny45NCAxMy40OSAxODcu&#10;NjUgMTQuMzQgMTg3LjQ0IDE1LjIxIDE4Ny4yOCAxNy45MSAxODYuNzYgMjAuNjkgMTg2LjQ1IDIz&#10;LjQ2IDE4Ni4yMSAyOS4xNiAxODUuNzEgMzQuODggMTg1LjUxIDQwLjYxIDE4NS4zNCA1Mi40NiAx&#10;ODUgNjQuMyAxODQuNiA3Ni4xMiAxODMuOTEgODguNjEgMTgzLjE4IDEwMS4wOSAxODIuNSAxMTMu&#10;NjIgMTgyLjM0IDEyNS43NiAxODIuMTggMTM3LjkgMTgyLjM0IDE1MC4wNCAxODIuNTUgMTU2LjI1&#10;IDE4Mi42NiAxNjIuNDUgMTgyLjggMTY4LjY2IDE4Mi45NSAxNzQuNjggMTgzLjA5IDE4MC43IDE4&#10;My4yMSAxODYuNzIgMTgzLjM3IDE5Mi45MyAxODMuNTMgMTk5LjE1IDE4My43NCAyMDUuMzYgMTgz&#10;Ljk0IDIxMS4zNyAxODQuMTMgMjE3LjM4IDE4NC4yOSAyMjMuMzkgMTg0LjQ3IDIzNS41NCAxODQu&#10;ODMgMjQ3LjY4IDE4NS4zMyAyNTkuODIgMTg1Ljc0IDI3Mi4xIDE4Ni4xNiAyODQuMzggMTg2LjQ3&#10;IDI5Ni42NyAxODYuNzUgMzA3LjA5IDE4Ni45OCAzMTcuNTEgMTg3LjIyIDMyNy45MiAxODcuNDMg&#10;MzI3LjU4IDE4Ny40MyAzMjcuMjUgMTg3LjQyIDMyNi45MSAxODcuNDEgMzI4IDE4Ny40MyAzMjku&#10;MSAxODcuNDUgMzMwLjE5IDE4Ny40NyAzMjkuODUgMTg3LjQ3IDMyOS41MSAxODcuNDYgMzI5LjE3&#10;IDE4Ny40NSAzMzUuMTkgMTg3LjU3IDM0MS4yMiAxODcuNjcgMzQ3LjI0IDE4Ny42OSAzNTMuMzcg&#10;MTg3LjcxIDM1OS40OSAxODcuNjcgMzY1LjYxIDE4Ny42MiAzNzcuNTYgMTg3LjUzIDM4OS41MSAx&#10;ODcuNDkgNDAxLjQ1IDE4Ny4yNiA0MDcuNTEgMTg3LjE0IDQxMy41NyAxODYuOTUgNDE5LjYyIDE4&#10;Ni44NCA0MjUuMTQgMTg2Ljc0IDQzMC42NiAxODYuNyA0MzYuMTggMTg2LjU3IDQzOC43OCAxODYu&#10;NSA0NDEuMzcgMTg2LjQyIDQ0My45NyAxODYuMzUgNDQ1Ljc5IDE4Ni4zIDQ0Ny42MSAxODYuMjYg&#10;NDQ5LjQzIDE4Ni4xOCA0NTEuOTQgMTg2LjA3IDQ1NC40NSAxODUuODggNDU2Ljk0IDE4NS42NCA0&#10;NTguMjcgMTg1LjUxIDQ1OS42MyAxODUuNDEgNDYwLjk1IDE4NS4yMiA0NjEuNzQgMTg1LjA3IDQ2&#10;Mi41MiAxODQuODggNDYzLjI5IDE4NC42NyA0NjQuNDUgMTg0LjM2IDQ2NS41NCAxODMuOTUgNDY2&#10;LjYzIDE4My41MiA0NzEuMDMgMTgxLjczIDQ3NS4wOCAxNzkuNTcgNDc5LjA2IDE3Ny4zMiA0ODMu&#10;MDMgMTc1LjA4IDQ4Ni45NSAxNzIuNzkgNDkwLjgzIDE3MC40NiA0OTguMiAxNjYuMDMgNTA1LjUg&#10;MTYxLjUyIDUxMi43NSAxNTYuOTggNTIxLjU0IDE1MS40OCA1MzAuMzQgMTQ1Ljk5IDUzOS4wNyAx&#10;NDAuNDMgNTQ4LjMgMTM0LjU1IDU1Ny4xNiAxMjguMzggNTY2LjI0IDEyMi4zOCA1NzMuODggMTE3&#10;LjMzIDU4MS44IDExMi41MiA1ODkuODYgMTA3LjgzIDU5My41OSAxMDUuNjYgNTk3LjMgMTAzLjQ4&#10;IDYwMS4wNyAxMDEuMzYgNjAzLjMyIDEwMC4wOSA2MDUuNiA5OC44NSA2MDcuODIgOTcuNTQgNjA4&#10;LjkyIDk2Ljg5IDYxMCA5Ni4yNCA2MTEuMDkgOTUuNTkgNjExLjU3IDk1LjMxIDYxMi4wNSA5NS4w&#10;MyA2MTIuNTMgOTQuNzUgNjEyLjc0IDk0LjYzIDYxMi45NiA5NC41IDYxMy4xNyA5NC4zOCA2MTMu&#10;ODkgOTMuOTUgNjE0Ljg3IDkzLjc1IDYxNS44MiA5My43OSA2MTYuMzcgOTMuODEgNjE2LjkgOTMu&#10;OTEgNjE3LjM4IDk0LjFaIiBmaWxsPSIjMDEwMTAxIi8+PHBhdGggZD0iTTkuNTIgMTg0LjQ5IDku&#10;NTQgMTg0LjU2QzkuNTQgMTg0LjU2IDkuNTQgMTg0LjU2IDkuNTQgMTg0LjU2IDkuNTggMTg0Ljcy&#10;IDkuNjEgMTg0Ljg3IDkuNjUgMTg1LjAzIDkuNjEgMTg0Ljg1IDkuNTcgMTg0LjY4IDkuNTMgMTg0&#10;LjVaTTMuMTMgMS43MUMzLjQ2IDEuOTcgMy42MiAyLjI2IDMuNzEgMi42MSAzLjgzIDMuMDkgMy45&#10;MiAzLjU3IDMuOTkgNC4wNiA0LjE0IDQuOTYgNC4yNSA1Ljg2IDQuMzcgNi43NiA0LjYxIDguNiA0&#10;Ljg3IDEwLjQ0IDUuMSAxMi4yOSA1LjU3IDE2IDUuODkgMTkuNzEgNi4xOCAyMy40MyA2LjQ4IDI3&#10;LjI3IDYuODQgMzEuMTEgNy4xNCAzNC45NSA3LjQ0IDM4Ljg2IDcuNjQgNDIuNzcgNy44IDQ2LjY4&#10;IDcuOTUgNTAuNTYgNy45OSA1NC40MyA4LjA3IDU4LjMxIDguMTUgNjIuMjcgOC4zMiA2Ni4yMiA4&#10;LjU2IDcwLjE3IDguNzkgNzMuOTkgOS4wNyA3Ny44MiA5LjM1IDgxLjY1IDkuNjMgODUuNjEgOS44&#10;NyA4OS41NyAxMC4wNiA5My41NCAxMC4yNCA5Ny4zNiAxMC40MSAxMDEuMTcgMTAuNTQgMTA0Ljk5&#10;IDEwLjY3IDEwOC44NCAxMC43NiAxMTIuNjggMTAuOTEgMTE2LjUzIDExLjA2IDEyMC41OSAxMS4y&#10;MSAxMjQuNjUgMTEuMzQgMTI4LjcxIDExLjQ3IDEzMi41OSAxMS42NSAxMzYuNDggMTEuOCAxNDAu&#10;MzYgMTIuMDcgMTQ3Ljg5IDEyLjA4IDE1NS40MSAxMi40NCAxNjIuOTMgMTIuNTMgMTY0LjgyIDEy&#10;LjYyIDE2Ni43MSAxMi43NCAxNjguNiAxMi44NCAxNzAuMzQgMTIuOTkgMTcyLjA4IDEzLjE0IDE3&#10;My44MSAxMy4zNyAxNzYuNjYgMTMuNTMgMTc5LjUzIDE0LjEgMTgyLjM2IDE0LjIxIDE4Mi45MSAx&#10;NC4zMiAxODMuNDYgMTQuNDMgMTg0IDE0LjQ5IDE4NC4yMSAxNC41NiAxODQuNDMgMTQuNTYgMTg0&#10;LjY0IDE0LjU4IDE4NC45NSAxNC40OCAxODUuMjUgMTQuMjggMTg1LjU0IDE0LjE2IDE4NS42NyAx&#10;NC4wNCAxODUuOCAxMy45MSAxODUuOTMgMTMuNiAxODYuMTggMTMuMjMgMTg2LjM1IDEyLjggMTg2&#10;LjQ1IDEyLjYgMTg2LjUxIDEyLjM4IDE4Ni41MyAxMi4xNyAxODYuNTMgMTEuNzQgMTg2LjUzIDEx&#10;LjMzIDE4Ni40NyAxMC45NCAxODYuMzMgMTAuMzMgMTg2LjEgOS45NCAxODUuNzEgOS43MSAxODUu&#10;MjUgOS42MiAxODUuMDggOS42IDE4NC44OSA5LjU3IDE4NC43IDkuNDggMTg0LjM1IDkuMzkgMTg0&#10;LjAxIDkuMzMgMTgzLjY2IDkuMjcgMTgzLjI3IDkuMjEgMTgyLjg5IDkuMTYgMTgyLjUgOS4wMSAx&#10;ODEuMzMgOC44NiAxODAuMTUgOC42OSAxNzguOTggOC4yIDE3NS41OCA4LjEyIDE3Mi4xNSA3Ljgz&#10;IDE2OC43NCA3LjY4IDE2Ni44NSA3LjUgMTY0Ljk2IDcuMzcgMTYzLjA4IDcuMjUgMTYxLjI0IDcu&#10;MTggMTU5LjQgNy4xMSAxNTcuNTYgNi45NyAxNTMuNzQgNi45OSAxNDkuOTEgNi45NCAxNDYuMDgg&#10;Ni44OSAxNDIuMjQgNi43MiAxMzguNDEgNi41NyAxMzQuNTcgNi40MSAxMzAuNjYgNi4yOSAxMjYu&#10;NzUgNi4xNCAxMjIuODQgNS45OCAxMTguODkgNS43OSAxMTQuOTQgNS42NyAxMTAuOTggNS41NSAx&#10;MDcuMTQgNS40NSAxMDMuMyA1LjI2IDk5LjQ2IDUuMDcgOTUuNTMgNC44OSA5MS42MSA0LjYgODcu&#10;NjggNC4zMiA4My44MSAzLjk0IDc5Ljk1IDMuNTkgNzYuMDggMy4yMyA3Mi4xIDIuOTEgNjguMTEg&#10;Mi43IDY0LjEyIDIuNDggNjAuMTkgMi40IDU2LjI3IDIuMzEgNTIuMzQgMi4xMiA0NC42NiAxLjcg&#10;MzYuOTggMS4yNCAyOS4zMSAxLjAxIDI1LjUyIDAuODMgMjEuNzIgMC42OCAxNy45MyAwLjYxIDE2&#10;LjEgMC41NCAxNC4yOCAwLjQ5IDEyLjQ1IDAuNDQgMTAuNiAwLjM5IDguNzUgMC40NyA2LjkgMC41&#10;MSA1Ljk5IDAuNTYgNS4wOSAwLjY1IDQuMTkgMC43IDMuNzMgMC43NiAzLjI3IDAuODQgMi44MSAw&#10;LjkxIDIuNDYgMS4wNCAyLjA5IDEuMzcgMS44MSAxLjYyIDEuNjEgMi4wMiAxLjQ5IDIuNDEgMS41&#10;MSAyLjY5IDEuNTIgMi45NSAxLjYgMy4xNCAxLjc1WiIgZmlsbD0iIzAxMDEwMSIvPjxwYXRoIGQ9&#10;Ik01MzcuNTMgMTcyLjI0QzUzNy41MyAxNzIuMjQgNTM3LjUzIDE3Mi4yNCA1MzcuNTMgMTcyLjI0&#10;IDUzNy41MyAxNzIuMjQgNTM3LjUyIDE3Mi4yNCA1MzcuNTEgMTcyLjI1IDUzNy41MSAxNzIuMjUg&#10;NTM3LjUxIDE3Mi4yNSA1MzcuNTEgMTcyLjI1IDUzNy41MSAxNzIuMjUgNTM3LjUzIDE3Mi4yNCA1&#10;MzcuNTMgMTcyLjIzWk01ODAuMjMgMTM2LjAyQzU4MC4xMSAxMzYuMDkgNTc5Ljk5IDEzNi4xNyA1&#10;NzkuODcgMTM2LjI1IDU3OS45OSAxMzYuMTcgNTgwLjEgMTM2LjEgNTgwLjIzIDEzNi4wMlpNNjI3&#10;LjU1IDExMC40OUM2MjcuNTEgMTEwLjc5IDYyNy40NiAxMTEuMDkgNjI3LjQyIDExMS40IDYyNC4x&#10;NiAxMTMuNzggNjIwLjc5IDExNi4wOSA2MTcuNCAxMTguMzggNjEzLjkgMTIwLjc1IDYxMC4zNCAx&#10;MjMuMDcgNjA2LjgzIDEyNS40MyA2MDMuMjEgMTI3Ljg2IDU5OS41OCAxMzAuMjkgNTk1Ljk0IDEz&#10;Mi43MSA1OTAuMDUgMTM2LjYyIDU4NC4xNyAxNDAuNTMgNTc4LjE3IDE0NC4zNSA1NzguNCAxNDQu&#10;MiA1NzguNjQgMTQ0LjA1IDU3OC44NyAxNDMuOSA1NzUuODMgMTQ1Ljg0IDU3Mi43NCAxNDcuNzUg&#10;NTY5LjY3IDE0OS42OCA1NjkuOSAxNDkuNTQgNTcwLjEyIDE0OS4zOSA1NzAuMzQgMTQ5LjI1IDU3&#10;MC4wMyAxNDkuNDUgNTY5LjczIDE0OS42NCA1NjkuNDIgMTQ5Ljg0IDU2OS40MyAxNDkuODQgNTY5&#10;LjQ0IDE0OS44MyA1NjkuNDUgMTQ5LjgyIDU2Mi4wNSAxNTQuNTQgNTU1LjM1IDE1OS43OCA1NDgu&#10;NDUgMTY0Ljg4IDU0NS4xNyAxNjcuMzEgNTQxLjcgMTY5LjU5IDUzOC4xOSAxNzEuODMgNTM4LjI2&#10;IDE3MS43OSA1MzguMzIgMTcxLjc1IDUzOC4zOCAxNzEuNzEgNTM4LjIgMTcxLjgyIDUzOC4wMSAx&#10;NzEuOTQgNTM3LjgzIDE3Mi4wNiA1MzcuODMgMTcyLjA2IDUzNy44MyAxNzIuMDYgNTM3LjgzIDE3&#10;Mi4wNiA1MzcuODMgMTcyLjA2IDUzNy44MiAxNzIuMDYgNTM3LjgxIDE3Mi4wNyA1MzcuODEgMTcy&#10;LjA3IDUzNy43OSAxNzIuMDggNTM3Ljc4IDE3Mi4wOSA1MzcuNzggMTcyLjA5IDUzNy43OCAxNzIu&#10;MDkgNTM3Ljc4IDE3Mi4wOSA1MzcuNzcgMTcyLjA5IDUzNy43NiAxNzIuMSA1MzcuNzUgMTcyLjEx&#10;IDUzNy43MyAxNzIuMTMgNTM3LjcgMTcyLjE0IDUzNy42OCAxNzIuMTYgNTM3LjY2IDE3Mi4xOCA1&#10;MzcuNjMgMTcyLjE5IDUzNy42MSAxNzIuMjEgNTM3LjYzIDE3Mi4yIDUzNy42NSAxNzIuMTggNTM3&#10;LjY4IDE3Mi4xNyA1MzcuNjUgMTcyLjE5IDUzNy42MSAxNzIuMjEgNTM3LjU4IDE3Mi4yMyA1Mzcu&#10;NTggMTcyLjIzIDUzNy41OSAxNzIuMjMgNTM3LjYgMTcyLjIyIDUzNy40NSAxNzIuMzEgNTM3LjMx&#10;IDE3Mi40MSA1MzcuMTYgMTcyLjUgNTM3LjI3IDE3Mi40MyA1MzcuMzcgMTcyLjM2IDUzNy40OCAx&#10;NzIuMjkgNTM3LjQ4IDE3Mi4yOSA1MzcuNDggMTcyLjI5IDUzNy40OCAxNzIuMjkgNTM3LjQ4IDE3&#10;Mi4yOSA1MzcuNDggMTcyLjI5IDUzNy40OCAxNzIuMjlMNTM3LjUgMTcyLjI5QzUzNy41IDE3Mi4y&#10;OSA1MzcuNSAxNzIuMjkgNTM3LjUgMTcyLjI5IDUzNy41IDE3Mi4yOSA1MzcuNSAxNzIuMjkgNTM3&#10;LjQ5IDE3Mi4yOSA1MzcuNDkgMTcyLjI5IDUzNy40OSAxNzIuMjkgNTM3LjQ5IDE3Mi4yOSA1Mzcu&#10;NDkgMTcyLjI5IDUzNy40OSAxNzIuMjkgNTM3LjQ5IDE3Mi4yOSA1MjkuODggMTc3LjE2IDUyMi4w&#10;OSAxODEuODYgNTE0LjE3IDE4Ni40NiA1MTAuMzQgMTg4LjY4IDUwNi40NiAxOTAuODUgNTAyLjU4&#10;IDE5My4wMyA0OTguODQgMTk1LjE0IDQ5NS4wNSAxOTcuMjEgNDkxLjI0IDE5OS4yNiA0ODguNTkg&#10;MjAwLjY5IDQ4NS45MiAyMDIuMSA0ODMuMjggMjAzLjU1IDQ4Mi4wMSAyMDQuMjUgNDgwLjc0IDIw&#10;NC45NiA0NzkuNDggMjA1LjY2IDQ3OC45MyAyMDUuOTcgNDc4LjM3IDIwNi4yOCA0NzcuODIgMjA2&#10;LjU5IDQ3Ni45NSAyMDcuMDggNDc2LjEzIDIwNy42MiA0NzUuMDYgMjA3Ljg1IDQ3My43NCAyMDgu&#10;MTMgNDcyLjM2IDIwNy45OCA0NzEuMzEgMjA3LjMgNDcwLjA5IDIwNi41MSA0NjkuNTggMjA1LjAz&#10;IDQ3MC40NCAyMDMuOTYgNDcwLjY4IDIwMy42NiA0NzAuOSAyMDMuMzUgNDcxLjI1IDIwMy4xMSA0&#10;NzEuNTcgMjAyLjkgNDcxLjkgMjAyLjY4IDQ3Mi4yNCAyMDIuNDggNDcyLjQ1IDIwMi4zNiA0NzIu&#10;NjYgMjAyLjI0IDQ3Mi44NiAyMDIuMTMgNDczLjIzIDIwMS45MiA0NzMuNiAyMDEuNzEgNDczLjk4&#10;IDIwMS41IDQ3NC44MSAyMDEuMDQgNDc1LjY0IDIwMC41OCA0NzYuNDcgMjAwLjEzIDQ3OC4zMSAx&#10;OTkuMTIgNDgwLjE1IDE5OC4xMiA0ODEuOTkgMTk3LjExIDQ4NS43OSAxOTUuMDMgNDg5LjYyIDE5&#10;Mi45NyA0OTMuNDggMTkwLjk0IDQ5Ny40MiAxODguODYgNTAxLjI5IDE4Ni43MyA1MDUuMTYgMTg0&#10;LjU4IDUwOC45OSAxODIuNDUgNTEyLjg0IDE4MC4zNSA1MTYuNjcgMTc4LjIyIDUxOS44NCAxNzYu&#10;NDYgNTIyLjk0IDE3NC42NCA1MjYuMDIgMTcyLjggNTI4Ljg2IDE3MS4xMSA1MzEuNjkgMTY5LjQx&#10;IDUzNC40NiAxNjcuNjcgNTM4LjAzIDE2NS4zOCA1NDEuNDggMTYyLjk4IDU0NC44NiAxNjAuNTQg&#10;NTQ4LjM0IDE1OC4wMyA1NTEuNzMgMTU1LjQ1IDU1NS4yIDE1Mi45NCA1NTguMTggMTUwLjc3IDU2&#10;MS4xNyAxNDguNjEgNTY0LjIzIDE0Ni41IDU2Ny40MyAxNDQuMjggNTcwLjcgMTQyLjEyIDU3NC4w&#10;MSAxNDBMNTc0LjAxIDE0MEM1NzQuMDEgMTQwIDU3NC4wMSAxNDAgNTc0LjAxIDE0MCA1NzQuMDgg&#10;MTM5Ljk2IDU3NC4xNSAxMzkuOTEgNTc0LjIxIDEzOS44NyA1NzQuMjEgMTM5Ljg3IDU3NC4xOSAx&#10;MzkuODggNTc0LjE4IDEzOS44OSA1NzQuMjIgMTM5Ljg2IDU3NC4yNyAxMzkuODMgNTc0LjMxIDEz&#10;OS44MSA1NzQuMjkgMTM5LjgyIDU3NC4yNyAxMzkuODQgNTc0LjI1IDEzOS44NSA1NzQuMyAxMzku&#10;ODEgNTc0LjM2IDEzOS43OCA1NzQuNDEgMTM5Ljc0IDU3NC41NSAxMzkuNjUgNTc0LjcgMTM5LjU2&#10;IDU3NC44NCAxMzkuNDcgNTc0LjgyIDEzOS40OCA1NzQuOCAxMzkuNDkgNTc0Ljc5IDEzOS41IDU3&#10;Ni4xNiAxMzguNjMgNTc3LjU0IDEzNy43NiA1NzguOTEgMTM2Ljg5IDU3OC45NCAxMzYuODcgNTc4&#10;Ljk2IDEzNi44NiA1NzguOTkgMTM2Ljg0IDU3OC45NiAxMzYuODYgNTc4Ljk0IDEzNi44NyA1Nzgu&#10;OTEgMTM2Ljg5IDU3OS4wNSAxMzYuOCA1NzkuMiAxMzYuNzEgNTc5LjM0IDEzNi42MiA1NzkuNDEg&#10;MTM2LjU4IDU3OS40NyAxMzYuNTMgNTc5LjU0IDEzNi40OUw1NzkuNTMgMTM2LjQ5QzU4My4zIDEz&#10;NC4wOCA1ODcgMTMxLjYxIDU5MC42OSAxMjkuMTMgNTk0LjI3IDEyNi43MyA1OTcuOCAxMjQuMjgg&#10;NjAxLjM4IDEyMS44NyA2MDQuOTggMTE5LjQ1IDYwOC42MiAxMTcuMDYgNjEyLjMxIDExNC43IDYx&#10;Mi41NCAxMTQuNTUgNjEyLjc3IDExNC40MSA2MTMgMTE0LjI2IDYxNy41NCAxMTEuMzYgNjIyLjMx&#10;IDEwOC42NiA2MjYuODggMTA1Ljc4IDYyNi45MiAxMDUuNzYgNjI2Ljk1IDEwNS43MyA2MjYuOTkg&#10;MTA1LjcxIDYyNi45OSAxMDUuNzEgNjI2Ljk4IDEwNS43MSA2MjYuOTcgMTA1LjcyIDYyNi45NyAx&#10;MDUuNzIgNjI2Ljk4IDEwNS43MiA2MjYuOTkgMTA1LjcxIDYyNy4zNSAxMDUuNDggNjI3LjcgMTA1&#10;LjI1IDYyOC4wNiAxMDUuMDIgNjI3LjkyIDEwNi44NSA2MjcuOCAxMDguNjkgNjI3LjU1IDExMC41&#10;MVoiIGZpbGw9IiMwMTAxMDEiLz48cGF0aCBkPSJNNDc0LjE4IDIwNS40NUM0NzQuOTggMjA1Ljk1&#10;IDQ3NS40OCAyMDYuNjcgNDc1LjU3IDIwNy40MyA0NzUuNjcgMjA4LjIyIDQ3NS4zMiAyMDkuMDIg&#10;NDc0LjYxIDIwOS42MiA0NzQuMzUgMjA5Ljc5IDQ3NC4xIDIwOS45NiA0NzMuODQgMjEwLjEzIDQ3&#10;My4yNSAyMTAuNDMgNDcyLjYgMjEwLjYgNDcxLjkgMjEwLjY0IDQ3MS4zNyAyMTAuNzIgNDcwLjgg&#10;MjEwLjcyIDQ3MC4yNiAyMTAuNzQgNDY5LjY1IDIxMC43NyA0NjkuMDMgMjEwLjc5IDQ2OC40MiAy&#10;MTAuODIgNDY3IDIxMC44NyA0NjUuNTggMjEwLjkgNDY0LjE2IDIxMC45MyA0NjAuMjMgMjExLjAy&#10;IDQ1Ni4zIDIxMS4wNCA0NTIuMzcgMjExLjA2IDQ0My44NSAyMTEuMDkgNDM1LjMzIDIxMS4xMyA0&#10;MjYuOCAyMTEuMDcgNDEzLjIzIDIxMC45OCAzOTkuNjkgMjEwLjM5IDM4Ni4xNSAyMDkuNzkgMzgx&#10;LjM0IDIwOS41OCAzNzYuNTMgMjA5LjM3IDM3MS43MiAyMDkuMTggMzY5Ljk4IDIwOS4xMSAzNjgu&#10;MjUgMjA5LjA1IDM2Ni41MSAyMDguOTkgMzQ4LjY0IDIwOC40IDMzMC43NSAyMDguMTcgMzEyLjg4&#10;IDIwNy42MSAzMDAuMDQgMjA3LjIxIDI4Ny4yMSAyMDYuNiAyNzQuMzggMjA2LjE1IDI3NC43NyAy&#10;MDYuMTYgMjc1LjE2IDIwNi4xOCAyNzUuNTUgMjA2LjE5IDI2Ni4xMyAyMDUuODcgMjU2LjcxIDIw&#10;NS41OCAyNDcuMjggMjA1LjQgMjM4LjMzIDIwNS4yMyAyMjkuMzcgMjA1LjE1IDIyMC40MSAyMDUu&#10;MDUgMjExLjQ5IDIwNC45NiAyMDIuNTcgMjA0LjkgMTkzLjY2IDIwNS4wNiAxODQuNCAyMDUuMjMg&#10;MTc1LjE0IDIwNS41NSAxNjUuODggMjA1Ljg5IDE1Ni42OSAyMDYuMjMgMTQ3LjUxIDIwNi42MyAx&#10;MzguMzEgMjA2Ljg3IDEyOS4zNSAyMDcuMSAxMjAuMzkgMjA3LjIyIDExMS40MyAyMDcuMzQgMTAy&#10;LjA5IDIwNy40NyA5Mi43NSAyMDcuNTMgODMuNCAyMDcuNjYgNzguOCAyMDcuNzIgNzQuMiAyMDcu&#10;NzkgNjkuNiAyMDcuODQgNjUuMDYgMjA3Ljg5IDYwLjUyIDIwNy44OCA1NS45OCAyMDcuOSA0OC44&#10;OSAyMDcuOTMgNDEuOCAyMDguMDUgMzQuNzIgMjA4LjAxIDMxLjI2IDIwNy45OSAyNy43OCAyMDcu&#10;OTcgMjQuMzUgMjA3LjYyIDIzLjIxIDIwNy41IDIyLjA1IDIwNy4zMyAyMC45OCAyMDcuMDEgMjAu&#10;MzcgMjA2LjgyIDE5Ljg1IDIwNi41NiAxOS40MyAyMDYuMTkgMTguNzMgMjA1LjU3IDE4Ljc0IDIw&#10;NC40NCAxOS43OCAyMDMuOTkgMjAuNzMgMjAzLjU4IDIxLjg1IDIwMy43MSAyMi45IDIwMy43MSAy&#10;NC43MSAyMDMuNzIgMjYuNTIgMjAzLjY5IDI4LjM0IDIwMy42NSAzMC4zOSAyMDMuNiAzMi40NSAy&#10;MDMuNSAzNC41IDIwMy40MSAzNi42OSAyMDMuMzIgMzguOSAyMDMuMjMgNDEuMDkgMjAzLjE1IDQ5&#10;Ljk4IDIwMi44MiA1OC44NyAyMDIuNDcgNjcuNzYgMjAyLjI0IDg2LjA2IDIwMS43NSAxMDQuMzYg&#10;MjAxLjQxIDEyMi42NyAyMDEgMTI3LjI2IDIwMC45IDEzMS44NSAyMDAuNzkgMTM2LjQ0IDIwMC42&#10;NiAxNDAuOTEgMjAwLjUzIDE0NS4zNyAyMDAuMzMgMTQ5Ljg0IDIwMC4xNSAxNTkuMjMgMTk5Ljc2&#10;IDE2OC42MyAxOTkuMzEgMTc4LjAzIDE5OS4wMiAxODcuMDMgMTk4Ljc0IDE5Ni4wNCAxOTguNTQg&#10;MjA1LjA1IDE5OC41NyAyMTMuOTggMTk4LjYgMjIyLjkxIDE5OC43MyAyMzEuODMgMTk4Ljg0IDI1&#10;MC44MiAxOTkuMDYgMjY5LjggMTk5LjY2IDI4OC43NyAyMDAuMzcgMjk0LjAxIDIwMC41NyAyOTku&#10;MjQgMjAwLjc2IDMwNC40OCAyMDAuOTQgMzA0LjE5IDIwMC45MyAzMDMuOSAyMDAuOTIgMzAzLjYx&#10;IDIwMC45MSAzMDQuNCAyMDAuOTQgMzA1LjE5IDIwMC45NiAzMDUuOTggMjAwLjk5IDMyMy45NyAy&#10;MDEuNTkgMzQxLjk4IDIwMS44MSAzNTkuOTggMjAyLjM0IDM2OC4wOSAyMDIuNTggMzc2LjIgMjAy&#10;Ljg5IDM4NC4zMSAyMDMuMjUgMzkxLjgzIDIwMy41OCAzOTkuMzUgMjAzLjk0IDQwNi44NyAyMDQu&#10;MjEgNDE1LjMzIDIwNC40OSA0MjMuOCAyMDQuNjcgNDMyLjI3IDIwNC43OSA0NDAuODEgMjA0Ljky&#10;IDQ0OS4zNiAyMDUuMDcgNDU3LjkxIDIwNSA0NjAuNTMgMjA0Ljk4IDQ2My4xNiAyMDQuOTYgNDY1&#10;Ljc4IDIwNC45MSA0NjYuNzYgMjA0Ljg5IDQ2Ny43MyAyMDQuODYgNDY4LjcgMjA0LjgzIDQ2OS4x&#10;MSAyMDQuODIgNDY5LjUxIDIwNC44MSA0NjkuOTIgMjA0Ljc5IDQ3MC4xMyAyMDQuNzkgNDcwLjM0&#10;IDIwNC43NyA0NzAuNTUgMjA0Ljc2IDQ3MS4wMSAyMDQuNzMgNDcxLjQ2IDIwNC43NiA0NzEuOTIg&#10;MjA0Ljc3IDQ3Mi4wMyAyMDQuNzcgNDcyLjE0IDIwNC43NyA0NzIuMjUgMjA0Ljc4IDQ3Mi45NyAy&#10;MDQuODggNDczLjYgMjA1LjEgNDc0LjE2IDIwNS40NVoiIGZpbGw9IiMwMTAxMDEiLz48cGF0aCBk&#10;PSJNNDY0LjU0IDE4NS43NEM0NjUuMjIgMTg2LjQ5IDQ2NS43MSAxODcuMzMgNDY2LjE5IDE4OC4x&#10;NSA0NjYuOTcgMTg5LjQ2IDQ2Ny42OCAxOTAuOCA0NjguMzUgMTkyLjE1IDQ2OS42NSAxOTQuNzcg&#10;NDcwLjkzIDE5Ny40IDQ3Mi4xNyAyMDAuMDMgNDcyLjc2IDIwMS4yOCA0NzMuMjggMjAyLjUzIDQ3&#10;My43NyAyMDMuOCA0NzQgMjA0LjM5IDQ3NC4yNSAyMDQuOTcgNDc0LjQ5IDIwNS41NiA0NzQuNjgg&#10;MjA2LjAzIDQ3NC44NiAyMDYuNTEgNDc0Ljk5IDIwNi45OSA0NzUuMTEgMjA3LjQ4IDQ3NS4wOCAy&#10;MDcuOTggNDc0Ljk3IDIwOC40NyA0NzQuNzUgMjA5LjM2IDQ3My44NCAyMTAuMTIgNDcyLjY1IDIx&#10;MC40MiA0NzIuMDQgMjEwLjU4IDQ3MS40MSAyMTAuNjEgNDcwLjc3IDIxMC41MyA0NzAuNDcgMjEw&#10;LjQ2IDQ3MC4xNiAyMTAuMzkgNDY5Ljg1IDIxMC4zMiA0NjkuMjggMjEwLjEyIDQ2OC44MSAyMDku&#10;ODQgNDY4LjQ1IDIwOS40NyA0NjcuNiAyMDguNzcgNDY3LjI1IDIwNy44NCA0NjYuODYgMjA2Ljk4&#10;IDQ2Ni41MSAyMDYuMjIgNDY2LjExIDIwNS40NyA0NjUuNzEgMjA0LjcyIDQ2NC45NiAyMDMuMzMg&#10;NDY0LjMgMjAxLjkxIDQ2My42MSAyMDAuNTEgNDYyLjk2IDE5OS4xOSA0NjIuMzIgMTk3Ljg4IDQ2&#10;MS43NSAxOTYuNTQgNDYxLjE2IDE5NS4xNSA0NjAuNjMgMTkzLjc1IDQ2MC4xMSAxOTIuMzUgNDU5&#10;LjcgMTkxLjI3IDQ1OS4zMyAxOTAuMTkgNDU4Ljk1IDE4OS4xMSA0NTguNDEgMTg3LjU2IDQ1Ny4z&#10;NyAxODQuOTkgNDYwLjIzIDE4NC4yMSA0NjAuNjIgMTg0LjExIDQ2MC45OSAxODQuMDcgNDYxLjM1&#10;IDE4NC4wOCA0NjIuNzEgMTg0LjEzIDQ2My44NCAxODQuOTUgNDY0LjU3IDE4NS43NloiIGZpbGw9&#10;IiMwMTAxMDEiLz48cGF0aCBkPSJNMTIuNTIgMTgzLjAxQzEzLjUzIDE4My4xIDE0LjI4IDE4My42&#10;OSAxNC44OCAxODQuMjEgMTUuMzUgMTg0LjYzIDE1LjY3IDE4NS4xMiAxNS45MyAxODUuNjIgMTYu&#10;MyAxODYuMzIgMTYuNTcgMTg3LjA3IDE2LjgxIDE4Ny44IDE3LjI4IDE4OS4yIDE3Ljg2IDE5MC41&#10;OCAxOC41NiAxOTEuOTMgMTkuNTggMTkzLjkxIDIwLjY1IDE5NS44OCAyMS42NCAxOTcuODcgMjIu&#10;MzcgMTk5LjMzIDIzLjA3IDIwMC44MSAyMy43NyAyMDIuMjggMjMuOTIgMjAyLjYgMjQuMDcgMjAy&#10;LjkzIDI0LjIzIDIwMy4yNiAyNC4zIDIwMy40MSAyNC4zNyAyMDMuNTUgMjQuNDUgMjAzLjcgMjQu&#10;NjEgMjA0LjA0IDI0Ljg2IDIwNC40NSAyNC44NCAyMDQuNzkgMjQuODkgMjA1LjIxIDI0Ljc4IDIw&#10;NS42IDI0LjU0IDIwNS45OCAyNC4yOSAyMDYuMzQgMjMuOTQgMjA2LjYzIDIzLjQ4IDIwNi44NiAy&#10;My4wMiAyMDcuMDggMjIuNTEgMjA3LjIxIDIxLjk1IDIwNy4yNSAyMS4xNyAyMDcuMyAyMC4xNiAy&#10;MDcuMTMgMTkuNiAyMDYuNzEgMTkuMDggMjA2LjMyIDE4Ljk0IDIwNi4yIDE4LjYzIDIwNS43MiAx&#10;OC41OSAyMDUuNjYgMTguNTYgMjA1LjYxIDE4LjUzIDIwNS41NiAxOC40OSAyMDUuNSAxOC40NSAy&#10;MDUuNDMgMTguNDEgMjA1LjM2IDE4LjMzIDIwNS4yMyAxOC4yNiAyMDUuMSAxOC4xOSAyMDQuOTYg&#10;MTguMDMgMjA0LjY3IDE3Ljg3IDIwNC4zOSAxNy43MiAyMDQuMSAxNy4zNiAyMDMuNDMgMTcuMDUg&#10;MjAyLjc0IDE2LjcyIDIwMi4wNSAxNS45MiAyMDAuMzYgMTUuMTMgMTk4LjY3IDE0LjI0IDE5NyAx&#10;My42NyAxOTUuOTUgMTMuMDYgMTk0LjkxIDEyLjQ5IDE5My44NyAxMi4wNiAxOTMuMDcgMTEuNjMg&#10;MTkyLjI4IDExLjE3IDE5MS40OCAxMC44MyAxOTAuODkgMTAuNTEgMTkwLjMgMTAuMTggMTg5Ljcx&#10;IDkuNyAxODguODUgOS4zNiAxODcuOTQgOS4xMiAxODcuMDMgOC42OSAxODUuMzkgOS4yMyAxODIu&#10;ODcgMTIuMjcgMTgyLjk5IDEyLjM1IDE4Mi45OSAxMi40MyAxODIuOTkgMTIuNTIgMTgzLjAxWiIg&#10;ZmlsbD0iIzAxMDEwMSIvPjxwYXRoIGQ9Ik02MTcuNTggOTIuMzNDNjE4LjA3IDkyLjM1IDYxOC41&#10;NSA5Mi41OCA2MTguOTQgOTIuNzggNjE5LjMxIDkyLjk2IDYxOS42IDkzLjIxIDYxOS45IDkzLjQ1&#10;IDYyMC4zNiA5My44MSA2MjAuNzIgOTQuMjMgNjIxLjA3IDk0LjY1IDYyMS45NCA5NS43MyA2MjIu&#10;NjQgOTYuODcgNjIzLjM0IDk4IDYyNC40OCA5OS44NSA2MjUuNTIgMTAxLjczIDYyNi41OCAxMDMu&#10;NiA2MjcuMSAxMDQuNTMgNjI3LjYxIDEwNS40NiA2MjguMTEgMTA2LjQgNjI4LjczIDEwNy41NCA2&#10;MjkuMzYgMTA4LjcgNjI5Ljc5IDEwOS44OSA2MzAgMTEwLjUgNjMwLjIyIDExMS4xMiA2MzAuMyAx&#10;MTEuNzUgNjMwLjM3IDExMi4zIDYzMC4zMyAxMTIuODYgNjMwLjIyIDExMy40MSA2MjkuOTkgMTE0&#10;LjQ2IDYyOS4zMiAxMTUuMzkgNjI4LjQyIDExNi4yMiA2MjcuNiAxMTYuOTggNjI2LjU2IDExNy42&#10;NSA2MjUuNTUgMTE4LjI4IDYyNC4zOCAxMTkuMDEgNjIzLjE1IDExOS42OSA2MjEuOTIgMTIwLjM4&#10;IDYyMC42OSAxMjEuMDYgNjE5LjQ3IDEyMS43NCA2MTguMjIgMTIyLjQgNjE2LjkgMTIzLjA5IDYx&#10;NS41NiAxMjMuNzYgNjE0LjIzIDEyNC40NCA2MTEuNTggMTI1Ljc5IDYwOC45MSAxMjcuMTIgNjA2&#10;LjIzIDEyOC40NSA2MDMuNDQgMTI5LjgyIDYwMC43MyAxMzEuMjYgNTk4LjEgMTMyLjc4IDU5Ni41&#10;OSAxMzMuNjUgNTk1LjA3IDEzNC41MiA1OTMuNSAxMzUuMzMgNTkxLjc4IDEzNi4yMyA1OTAuMDcg&#10;MTM3LjEyIDU4OC40MiAxMzguMDggNTg3LjcgMTM4LjUgNTg2LjU0IDEzOC4zIDU4Ni4wMyAxMzcu&#10;NzkgNTg1Ljc3IDEzNy41MiA1ODUuNjYgMTM3LjE5IDU4NS43NCAxMzYuODggNTg1LjgyIDEzNi41&#10;NCA1ODYuMDggMTM2LjMxIDU4Ni40NCAxMzYuMDkgNTg3LjU0IDEzNS40MiA1ODguNjMgMTM0Ljc1&#10;IDU4OS43IDEzNC4wNSA1ODkuNjcgMTM0LjA3IDU4OS42MyAxMzQuMDkgNTg5LjYgMTM0LjEyIDU5&#10;Mi4yNiAxMzIuMzkgNTk1LjA0IDEzMC43NSA1OTcuNzggMTI5LjA5IDYwMC4zMSAxMjcuNTYgNjAy&#10;Ljk2IDEyNi4xNCA2MDUuNiAxMjQuNyA2MDYuODkgMTI0IDYwOC4yMSAxMjMuMzEgNjA5LjUgMTIy&#10;LjYxIDYxMC44NCAxMjEuODggNjEyLjE2IDEyMS4xMiA2MTMuNDcgMTIwLjM2IDYxNC43MiAxMTku&#10;NjQgNjE1Ljk4IDExOC45MiA2MTcuMjcgMTE4LjIzIDYxOC41NiAxMTcuNTQgNjE5Ljg3IDExNi44&#10;OSA2MjEuMTggMTE2LjIyIDYyMS44NCAxMTUuODggNjIyLjQ4IDExNS41NCA2MjMuMDkgMTE1LjE2&#10;IDYyMy40NyAxMTQuOSA2MjMuODIgMTE0LjYyIDYyNC4xMyAxMTQuMzEgNjI0LjM0IDExNC4wNSA2&#10;MjQuNTIgMTEzLjc5IDYyNC42NyAxMTMuNTEgNjI0Ljc0IDExMy4zMSA2MjQuOCAxMTMuMSA2MjQu&#10;ODMgMTEyLjkgNjI0LjgyIDExMi42OCA2MjQuNzggMTEyLjQ1IDYyNC43MiAxMTIuMjMgNjI0LjU2&#10;IDExMS44MyA2MjQuMzYgMTExLjQ1IDYyNC4xNiAxMTEuMDYgNjIzLjg3IDExMC41MSA2MjMuNiAx&#10;MDkuOTUgNjIzLjMyIDEwOS4zOSA2MjIuNzkgMTA4LjMzIDYyMi4yOCAxMDcuMjcgNjIxLjczIDEw&#10;Ni4yMiA2MjAuNzIgMTA0LjI5IDYxOS43IDEwMi4zNiA2MTguNTUgMTAwLjQ3IDYxOC4yNSA5OS45&#10;NyA2MTcuOTQgOTkuNDggNjE3LjYyIDk4Ljk5IDYxNy4yMyA5OC4zOSA2MTYuODEgOTcuNzkgNjE2&#10;LjQyIDk3LjE5IDYxNi4wNSA5Ni42MiA2MTUuNjYgOTYuMDQgNjE1LjQxIDk1LjQ0IDYxNS4xMiA5&#10;NC43MyA2MTQuODcgOTMuODcgNjE1LjM0IDkzLjE3IDYxNS40OSA5Mi45NCA2MTUuNzIgOTIuNzUg&#10;NjE2LjAyIDkyLjU5IDYxNi4xOCA5Mi41MyA2MTYuMzMgOTIuNDggNjE2LjQ5IDkyLjQyIDYxNi43&#10;NiA5Mi4zNSA2MTcuMDQgOTIuMzIgNjE3LjMzIDkyLjMzIDYxNy40MSA5Mi4zMyA2MTcuNDkgOTIu&#10;MzMgNjE3LjU3IDkyLjM1WiIgZmlsbD0iIzAxMDEwMSIvPjxwYXRoIGQ9Ik0yNi42NSAxODkuMjVD&#10;MjYuNzEgMTg5LjM0IDI2LjczIDE4OS40NSAyNi43NSAxODkuNTQgMjYuNzkgMTg5LjcyIDI2Ljgz&#10;IDE4OS45IDI2Ljg4IDE5MC4wNyAyNy4wMSAxOTAuNTIgMjcuMTQgMTkwLjk4IDI3LjI4IDE5MS40&#10;NCAyNy41OCAxOTIuNDIgMjcuOTEgMTkzLjQgMjguMjUgMTk0LjM4IDI4LjIzIDE5NC4zMyAyOC4y&#10;MSAxOTQuMjcgMjguMTkgMTk0LjIyIDI4LjcgMTk1LjYyIDI5LjI1IDE5Ny4wMSAyOS44MyAxOTgu&#10;NCAzMC4zNyAxOTkuNzMgMzAuOTQgMjAxLjA2IDMxLjQyIDIwMi40IDMxLjc2IDIwMy4zMyAzMi4w&#10;MiAyMDQuMjYgMzIuMjkgMjA1LjE5IDMyLjM4IDIwNS40OSAzMS45NSAyMDUuNzkgMzEuNDcgMjA1&#10;Ljg5IDMxLjE2IDIwNS45NSAzMC44MiAyMDUuOTQgMzAuNTMgMjA1Ljg1IDMwLjI3IDIwNS43NyAz&#10;MCAyMDUuNjIgMjkuOTMgMjA1LjQ2IDI5LjYzIDIwNC43NSAyOS4yOSAyMDQuMDUgMjkuMDEgMjAz&#10;LjM0IDI4Ljc0IDIwMi42NiAyOC40OCAyMDEuOTcgMjguMjIgMjAxLjI4IDI3LjY4IDE5OS44NCAy&#10;Ny4xOCAxOTguNCAyNi43MyAxOTYuOTUgMjYuMTEgMTk0Ljk2IDI1LjYgMTkyLjk2IDI0LjkxIDE5&#10;MC45NyAyNC45MSAxOTAuOTcgMjQuOTEgMTkwLjk4IDI0LjkxIDE5MC45OSAyNC43OSAxOTAuNjcg&#10;MjQuNjggMTkwLjM0IDI0LjQ5IDE5MC4wMyAyNC40NCAxODkuOTQgMjQuMzYgMTg5Ljg1IDI0LjI5&#10;IDE4OS43NSAyNC4yIDE4OS42MiAyNC4xNSAxODkuNDUgMjQuMjIgMTg5LjMxIDI0LjM3IDE4OC45&#10;OSAyNC43NSAxODguNzggMjUuMzQgMTg4Ljc0IDI1LjQxIDE4OC43NCAyNS40NyAxODguNzQgMjUu&#10;NTMgMTg4Ljc0IDI2LjA1IDE4OC43NiAyNi40NSAxODguOTkgMjYuNjQgMTg5LjI2WiIgZmlsbD0i&#10;IzAxMDEwMSIvPjxwYXRoIGQ9Ik0zOC45MiAxOTYuMjlDMzguOTIgMTk2LjI5IDM4LjkyIDE5Ni4z&#10;IDM4LjkyIDE5Ni4zMSAzOC45IDE5Ni4yNiAzOC44OCAxOTYuMjEgMzguODYgMTk2LjE1TDM4Ljkx&#10;IDE5Ni4yOVpNMzguMyAxODguODNDMzguNjYgMTg4LjkxIDM4Ljk0IDE4OS4xMSAzOS4xNSAxODku&#10;MjkgMzkuMzYgMTg5LjQ4IDM5LjUxIDE4OS43IDM5LjY2IDE4OS45IDM5LjkgMTkwLjIzIDQwLjEy&#10;IDE5MC41NiA0MC4zMiAxOTAuODkgNDAuNzQgMTkxLjYgNDEuMTMgMTkyLjMxIDQxLjQ5IDE5My4w&#10;MiA0Mi4xOSAxOTQuNDEgNDIuNzggMTk1LjgxIDQzLjMzIDE5Ny4yMiA0My41OCAxOTcuODUgNDMu&#10;ODIgMTk4LjQ5IDQ0LjA1IDE5OS4xMyA0NC4wMiAxOTkuMDMgNDMuOTggMTk4Ljk0IDQzLjk1IDE5&#10;OC44NCA0NC4wMiAxOTkuMDUgNDQuMSAxOTkuMjYgNDQuMTcgMTk5LjQ3IDQ0LjE0IDE5OS4zNyA0&#10;NC4xIDE5OS4yOCA0NC4wNyAxOTkuMTggNDQuNDYgMjAwLjI1IDQ0LjgyIDIwMS4zMyA0NS4xMiAy&#10;MDIuNDIgNDUuMTQgMjAyLjYxIDQ1LjA4IDIwMi43OSA0NC45MyAyMDIuOTYgNDQuNzIgMjAzLjIg&#10;NDQuMzQgMjAzLjM5IDQzLjg4IDIwMy40NyA0Mi45OCAyMDMuNjQgNDEuODMgMjAzLjM3IDQxLjU1&#10;IDIwMi44MiA0MC41IDIwMC43MSAzOS43NCAxOTguNTYgMzguOTcgMTk2LjQxIDM4Ljk4IDE5Ni40&#10;NCAzOC45OSAxOTYuNDcgMzkgMTk2LjUxIDM4Ljk3IDE5Ni40NCAzOC45NSAxOTYuMzcgMzguOTMg&#10;MTk2LjNMMzguOTMgMTk2LjMzQzM4LjkzIDE5Ni4zMyAzOC45MyAxOTYuMyAzOC45MyAxOTYuMjgg&#10;MzguOSAxOTYuMiAzOC44OCAxOTYuMTIgMzguODUgMTk2LjA0IDM4Ljg2IDE5Ni4wNyAzOC44NyAx&#10;OTYuMTEgMzguODggMTk2LjE0IDM4LjgyIDE5NS45NyAzOC43NiAxOTUuOCAzOC43IDE5NS42NCAz&#10;OC43MiAxOTUuNjkgMzguNzQgMTk1Ljc0IDM4Ljc2IDE5NS44IDM4LjM2IDE5NC43MiAzNy45NiAx&#10;OTMuNjQgMzcuNTMgMTkyLjU2IDM3LjMyIDE5Mi4wNCAzNy4xMiAxOTEuNTMgMzYuOTIgMTkxLjAx&#10;IDM2Ljc5IDE5MC42OSAzNi42OCAxOTAuMzcgMzYuNTYgMTkwLjA1IDM2LjQ1IDE4OS43NCAzNi40&#10;MSAxODkuNDQgMzYuNjQgMTg5LjEzIDM2Ljc2IDE4OC45NyAzNy4wNiAxODguODQgMzcuMzUgMTg4&#10;Ljc4IDM3LjUgMTg4Ljc1IDM3LjY1IDE4OC43NCAzNy43OSAxODguNzUgMzcuOTYgMTg4Ljc1IDM4&#10;LjEzIDE4OC43OCAzOC4zMSAxODguODJaIiBmaWxsPSIjMDEwMTAxIi8+PHBhdGggZD0iTTU2LjU1&#10;IDE4OC41MUM1Ni44NyAxODguNjQgNTcuMDIgMTg4LjkgNTcuMTQgMTg5LjA5IDU3LjI2IDE4OS4y&#10;OSA1Ny4zNiAxODkuNDggNTcuNDYgMTg5LjY4IDU3LjY1IDE5MC4wOSA1Ny44NCAxOTAuNSA1OC4w&#10;MiAxOTAuOTEgNTguNCAxOTEuNzYgNTguNzYgMTkyLjYyIDU5LjEgMTkzLjQ4IDU5Ljc4IDE5NS4y&#10;MiA2MC40MSAxOTYuOTYgNjEuMDUgMTk4LjcgNjEuMDggMTk4Ljc5IDYxLjExIDE5OC44OCA2MS4x&#10;NSAxOTguOTcgNjEuMTMgMTk4LjkyIDYxLjEyIDE5OC44NyA2MS4xIDE5OC44MiA2MS4zNSAxOTku&#10;NTIgNjEuNiAyMDAuMjIgNjEuODEgMjAwLjkyIDYyIDIwMS41NSA2MS44NyAyMDIuMTggNjEuOTEg&#10;MjAyLjgyIDYxLjkzIDIwMy4yMiA2MS41NCAyMDMuNTkgNjAuODYgMjAzLjcyIDYwLjAzIDIwMy44&#10;OCA1OS4xOSAyMDMuNjIgNTguODggMjAzLjE3IDU4LjU5IDIwMi43NSA1OC4yNSAyMDIuMzUgNTcu&#10;OTQgMjAxLjkzIDU3LjggMjAxLjc0IDU3LjczIDIwMS41MyA1Ny42NSAyMDEuMzIgNTcuNTMgMjAx&#10;LjAzIDU3LjQzIDIwMC43MyA1Ny4zMiAyMDAuNDMgNTcuMDEgMTk5LjU1IDU2Ljc0IDE5OC42OCA1&#10;Ni40OCAxOTcuOCA1NS45NiAxOTYuMDYgNTUuNSAxOTQuMzIgNTUuMDUgMTkyLjU4IDU0Ljg4IDE5&#10;MS45MyA1NC43MSAxOTEuMjggNTQuNTYgMTkwLjYyIDU0LjQ5IDE5MC4zMSA1NC40MiAxODkuOTkg&#10;NTQuMzkgMTg5LjY4IDU0LjM1IDE4OS4zMSA1NC4yOSAxODguODcgNTQuNzcgMTg4LjU3IDU0Ljk5&#10;IDE4OC40MyA1NS4zMSAxODguMzQgNTUuNjQgMTg4LjMzIDU1LjY5IDE4OC4zMyA1NS43NSAxODgu&#10;MzMgNTUuNzkgMTg4LjMzIDU2LjA5IDE4OC4zMyA1Ni4zMiAxODguNDEgNTYuNTggMTg4LjUxWiIg&#10;ZmlsbD0iIzAxMDEwMSIvPjxwYXRoIGQ9Ik03MS41NyAxODcuNTdDNzIuMjggMTg3Ljc4IDcyLjQ3&#10;IDE4OC4yOSA3Mi42NyAxODguNjkgNzIuODUgMTg5LjA1IDcyLjk5IDE4OS40MSA3My4xMyAxODku&#10;NzggNzMuNDYgMTkwLjYyIDczLjc3IDE5MS40NiA3NC4wNyAxOTIuMzEgNzQuNjkgMTk0LjA0IDc1&#10;LjI4IDE5NS43OCA3NS44IDE5Ny41MiA3Ni4xNCAxOTguNjQgNzYuNDIgMTk5Ljc3IDc2LjY4IDIw&#10;MC45IDc2LjgxIDIwMS40NyA3Ni45NCAyMDIuMDQgNzcuMDQgMjAyLjYxIDc3LjA5IDIwMi44OCA3&#10;Ny4xMyAyMDMuMTUgNzcuMTUgMjAzLjQyIDc3LjE5IDIwMy44MSA3Ny4xIDIwNC4yIDc3LjA1IDIw&#10;NC41OSA3Ni45OCAyMDQuNzggNzYuODMgMjA0Ljk1IDc2LjYgMjA1LjEgNzYuMjcgMjA1LjMxIDc1&#10;LjggMjA1LjQ0IDc1LjMgMjA1LjQ2IDc0LjQzIDIwNS41IDczLjY0IDIwNS4xOSA3My4zNSAyMDQu&#10;NzMgNzMuMjIgMjA0LjUzIDczLjA5IDIwNC4zMiA3Mi45NyAyMDQuMTIgNzIuODEgMjAzLjg0IDcy&#10;Ljc0IDIwMy41NCA3Mi42NCAyMDMuMjQgNzIuNTEgMjAyLjg2IDcyLjQgMjAyLjQ3IDcyLjMgMjAy&#10;LjA4IDcyLjA4IDIwMS4yNCA3MS44NyAyMDAuMzkgNzEuNjggMTk5LjU1IDcxLjMgMTk3LjkgNzAu&#10;OTcgMTk2LjI0IDcwLjY3IDE5NC41OSA3MC40NiAxOTMuNCA3MC4yMyAxOTIuMjEgNzAuMDMgMTkx&#10;LjAyIDY5Ljk0IDE5MC40OCA2OS44NCAxODkuOTQgNjkuOCAxODkuNCA2OS43OCAxODkuMTMgNjku&#10;NzcgMTg4Ljg2IDY5Ljc4IDE4OC41OSA2OS44IDE4OC4yMyA2OS44OCAxODcuODMgNzAuNDYgMTg3&#10;LjYxIDcwLjY2IDE4Ny41MyA3MC44OSAxODcuNSA3MS4xMiAxODcuNTEgNzEuMjcgMTg3LjUxIDcx&#10;LjQxIDE4Ny41NCA3MS41NSAxODcuNTdaIiBmaWxsPSIjMDEwMTAxIi8+PHBhdGggZD0iTTg5Ljc4&#10;IDE4OC4zOEM4OS44MyAxODguNDQgODkuODggMTg4LjUgODkuOTIgMTg4LjU1IDkwLjA3IDE4OC43&#10;NSA5MC4xOCAxODguOTUgOTAuMjkgMTg5LjE2IDkwLjU2IDE4OS42OCA5MC43MSAxOTAuMjEgOTAu&#10;ODggMTkwLjc0IDkxLjE4IDE5MS42NyA5MS40MiAxOTIuNjEgOTEuNjcgMTkzLjU0IDkyLjE3IDE5&#10;NS40IDkyLjYyIDE5Ny4yOCA5My4wMyAxOTkuMTUgOTMuMTggMTk5LjgxIDkzLjMxIDIwMC40OCA5&#10;My40NSAyMDEuMTQgOTMuNTggMjAxLjgzIDkzLjc0IDIwMi41MyA5My43NiAyMDMuMjMgOTMuNzgg&#10;MjAzLjc3IDkzLjI2IDIwNC4yNyA5Mi4zMiAyMDQuNDYgOTEuNzggMjA0LjU2IDkxLjE4IDIwNC41&#10;NCA5MC42NyAyMDQuMzkgOTAuMjIgMjA0LjI2IDg5Ljc0IDIwNCA4OS42MiAyMDMuNyA4OS4yIDIw&#10;Mi43MSA4OSAyMDEuNjkgODguNzggMjAwLjY3IDg4LjU4IDE5OS43MyA4OC40MSAxOTguNzggODgu&#10;MjQgMTk3Ljg0IDg3LjkxIDE5NS45NiA4Ny42NiAxOTQuMDkgODcuNDQgMTkyLjIxIDg3LjM2IDE5&#10;MS41MiA4Ny4yOCAxOTAuODQgODcuMjQgMTkwLjE1IDg3LjIyIDE4OS44MSA4Ny4yMiAxODkuNDYg&#10;ODcuMjUgMTg5LjEyIDg3LjI4IDE4OC44NiA4Ny4zMiAxODguNjQgODcuNDggMTg4LjM5IDg3LjQz&#10;IDE4OC4wNCA4Ny45NiAxODcuNzMgODguNTUgMTg3LjcxIDg4LjYgMTg3LjcxIDg4LjY0IDE4Ny43&#10;MSA4OC42OSAxODcuNzEgODkuMyAxODcuNzMgODkuODIgMTg4LjAzIDg5Ljc5IDE4OC4zOFoiIGZp&#10;bGw9IiMwMTAxMDEiLz48cGF0aCBkPSJNMTAzLjg3IDE4Ny4zNUMxMDQuNDMgMTg3LjUxIDEwNC42&#10;MSAxODcuODkgMTA0Ljc1IDE4OC4yMSAxMDQuODggMTg4LjUxIDEwNSAxODguOCAxMDUuMTMgMTg5&#10;LjEgMTA1LjM5IDE4OS43MyAxMDUuNjMgMTkwLjM2IDEwNS44OCAxOTAuOTkgMTA2LjM4IDE5Mi4y&#10;NSAxMDYuODcgMTkzLjUyIDEwNy4zNSAxOTQuNzkgMTA3LjQ5IDE5NS4xNyAxMDcuNjMgMTk1LjU2&#10;IDEwNy43NyAxOTUuOTQgMTA3LjgyIDE5Ni4wNiAxMDcuODUgMTk2LjE4IDEwNy45IDE5Ni4zIDEw&#10;Ny44NyAxOTYuMjIgMTA3Ljg1IDE5Ni4xNSAxMDcuODIgMTk2LjA3IDEwNy44MiAxOTYuMDcgMTA3&#10;LjgyIDE5Ni4wNyAxMDcuODIgMTk2LjA3IDEwOC42NCAxOTguMzUgMTA5LjM5IDIwMC42NSAxMDku&#10;NjggMjAyLjk4IDEwOS43MyAyMDMuMzYgMTA5LjMxIDIwMy43MSAxMDguNjggMjAzLjgzIDEwNy45&#10;MyAyMDMuOTggMTA3LjA1IDIwMy43NCAxMDYuOCAyMDMuMzEgMTA2LjA2IDIwMi4wMiAxMDUuNiAy&#10;MDAuNjkgMTA1LjE1IDE5OS4zNyAxMDQuODIgMTk4LjQxIDEwNC41MiAxOTcuNDQgMTA0LjI0IDE5&#10;Ni40NyAxMDQuMjEgMTk2LjQxIDEwNC4xOSAxOTYuMzQgMTA0LjE4IDE5Ni4yOCAxMDQuMTEgMTk2&#10;LjAzIDEwNC4wMyAxOTUuNzggMTAzLjk2IDE5NS41MiAxMDMuNiAxOTQuMjMgMTAzLjI2IDE5Mi45&#10;NSAxMDIuOTMgMTkxLjY2IDEwMi43NyAxOTEuMDIgMTAyLjYgMTkwLjM4IDEwMi40NCAxODkuNzQg&#10;MTAyLjM3IDE4OS40NCAxMDIuMzEgMTg5LjEzIDEwMi4yNiAxODguODIgMTAyLjI0IDE4OC42OCAx&#10;MDIuMjIgMTg4LjU0IDEwMi4yMiAxODguNCAxMDIuMjIgMTg4LjIyIDEwMi4yMSAxODguMDQgMTAy&#10;LjI5IDE4Ny44NyAxMDIuMzkgMTg3LjY3IDEwMi41MSAxODcuNTEgMTAyLjgzIDE4Ny4zOCAxMDMu&#10;MDEgMTg3LjMxIDEwMy4yNCAxODcuMjggMTAzLjQ2IDE4Ny4yOCAxMDMuNjEgMTg3LjI4IDEwMy43&#10;NSAxODcuMzEgMTAzLjg4IDE4Ny4zNFoiIGZpbGw9IiMwMTAxMDEiLz48cGF0aCBkPSJNMTIyLjIy&#10;IDE4Ny4zNUMxMjIuOTkgMTg3LjQ4IDEyMy4xNSAxODcuOTggMTIzLjI3IDE4OC4zNyAxMjMuMzcg&#10;MTg4LjcxIDEyMy40NCAxODkuMDUgMTIzLjQ5IDE4OS40IDEyMy42IDE5MC4xMyAxMjMuNjggMTkw&#10;Ljg2IDEyMy43NiAxOTEuNTkgMTIzLjkzIDE5My4wNiAxMjQuMTIgMTk0LjU0IDEyNC4zNyAxOTYu&#10;MDEgMTI0LjUzIDE5Ni45NSAxMjQuNzEgMTk3Ljg5IDEyNC44OSAxOTguODMgMTI1LjA3IDE5OS44&#10;MSAxMjUuMjUgMjAwLjc4IDEyNS4yOCAyMDEuNzYgMTI1LjMgMjAyLjI1IDEyNC44NCAyMDIuNjkg&#10;MTI0IDIwMi44NSAxMjMuNTIgMjAyLjk0IDEyMi45OSAyMDIuOTIgMTIyLjUzIDIwMi43OSAxMjIu&#10;MTMgMjAyLjY4IDEyMS42OSAyMDIuNDQgMTIxLjU5IDIwMi4xOCAxMjEuMjYgMjAxLjM1IDEyMS4w&#10;NiAyMDAuNTEgMTIwLjkgMTk5LjY3IDEyMC43NiAxOTguOTUgMTIwLjY0IDE5OC4yMyAxMjAuNTYg&#10;MTk3LjUgMTIwLjM5IDE5Ni4wMyAxMjAuMjkgMTk0LjU2IDEyMC4zMiAxOTMuMDkgMTIwLjM0IDE5&#10;Mi4wMyAxMjAuNDEgMTkwLjk3IDEyMC41NSAxODkuOTIgMTIwLjYxIDE4OS40NyAxMjAuNyAxODku&#10;MDIgMTIwLjgxIDE4OC41NyAxMjAuODcgMTg4LjMyIDEyMC45NiAxODguMDcgMTIxLjEyIDE4Ny44&#10;MyAxMjEuMTkgMTg3LjcyIDEyMS4yOCAxODcuNjEgMTIxLjQyIDE4Ny41MyAxMjEuNTkgMTg3LjQz&#10;IDEyMS44NCAxODcuMzMgMTIyLjEgMTg3LjM0IDEyMi4xNCAxODcuMzQgMTIyLjE4IDE4Ny4zNCAx&#10;MjIuMjIgMTg3LjM1WiIgZmlsbD0iIzAxMDEwMSIvPjxwYXRoIGQ9Ik0xMzQuMzMgMTg3LjY4QzEz&#10;NC45NSAxODcuNzYgMTM1LjIyIDE4OC4xNiAxMzUuMzcgMTg4LjQ3IDEzNS41OSAxODguOSAxMzUu&#10;NyAxODkuMzUgMTM1LjgyIDE4OS43OSAxMzYuMDQgMTkwLjU1IDEzNi4xOSAxOTEuMzEgMTM2LjMy&#10;IDE5Mi4wNyAxMzYuNiAxOTMuNjYgMTM2Ljc5IDE5NS4yNSAxMzcgMTk2Ljg0IDEzNy4yIDE5OC4z&#10;NSAxMzcuNDEgMTk5Ljg3IDEzNy41OSAyMDEuMzkgMTM3LjY4IDIwMi4xNiAxMzcuNzQgMjAyLjky&#10;IDEzNy44MiAyMDMuNjkgMTM3LjkxIDIwNC41MiAxMzguMDIgMjA1LjM1IDEzOC4xNiAyMDYuMTgg&#10;MTM4LjI2IDIwNi43NyAxMzcuNCAyMDcuMyAxMzYuMzggMjA3LjM0IDEzNS4zMiAyMDcuMzggMTM0&#10;LjQ0IDIwNi45MiAxMzQuMzQgMjA2LjMzIDEzNC4wNiAyMDQuNzIgMTMzLjczIDIwMy4xMSAxMzMu&#10;NTMgMjAxLjUgMTMzLjMzIDE5OS45MyAxMzMuMzEgMTk4LjM1IDEzMy4yNyAxOTYuNzggMTMzLjIz&#10;IDE5NS4yMSAxMzMuMiAxOTMuNjQgMTMzLjEzIDE5Mi4wOCAxMzMuMDkgMTkxLjMxIDEzMy4wNSAx&#10;OTAuNTQgMTMzIDE4OS43NyAxMzIuOTggMTg5LjM0IDEzMi45NSAxODguOTEgMTMzLjAyIDE4OC40&#10;OSAxMzMuMDcgMTg4LjE3IDEzMy40OSAxODcuNjYgMTM0LjE3IDE4Ny42OCAxMzQuMjIgMTg3LjY4&#10;IDEzNC4yNiAxODcuNjggMTM0LjMxIDE4Ny42OVoiIGZpbGw9IiMwMTAxMDEiLz48cGF0aCBkPSJN&#10;MTUwLjM1IDE4Ny40OEMxNTAuNjcgMTg3LjYzIDE1MC44NCAxODcuODYgMTUwLjk2IDE4OC4wOCAx&#10;NTEuMSAxODguMzIgMTUxLjE3IDE4OC41NyAxNTEuMjQgMTg4LjgyIDE1MS4zNSAxODkuMjIgMTUx&#10;LjQyIDE4OS42MSAxNTEuNDkgMTkwLjAyIDE1MS42MiAxOTAuODEgMTUxLjcgMTkxLjYgMTUxLjc4&#10;IDE5Mi4zOCAxNTEuOTQgMTk0LjAxIDE1Mi4wMiAxOTUuNjUgMTUyLjA5IDE5Ny4yOSAxNTIuMTQg&#10;MTk4LjM1IDE1Mi4xOSAxOTkuNDEgMTUyLjE4IDIwMC40NyAxNTIuMTcgMjAxLjU4IDE1Mi4xMyAy&#10;MDIuNjggMTUyLjIgMjAzLjc5IDE1Mi4yNCAyMDQuMzkgMTUxLjQ4IDIwNC45MyAxNTAuMzkgMjA0&#10;Ljk3IDE0OS4zNSAyMDUuMDEgMTQ4LjM3IDIwNC41NSAxNDguMzEgMjAzLjk1IDE0OC4xNiAyMDIu&#10;MyAxNDcuOSAyMDAuNjYgMTQ3Ljg4IDE5OS4wMSAxNDcuODUgMTk3LjM3IDE0Ny45IDE5NS43NCAx&#10;NDcuOTIgMTk0LjExIDE0Ny45NCAxOTMuMDUgMTQ3Ljk1IDE5MS45OCAxNDcuOTcgMTkwLjkyIDE0&#10;Ny45OCAxOTAuNDIgMTQ3Ljk5IDE4OS45MiAxNDguMDEgMTg5LjQyIDE0OC4wMyAxODkuMDggMTQ4&#10;LjAzIDE4OC43NSAxNDguMSAxODguNDEgMTQ4LjEyIDE4OC4zIDE0OC4xNSAxODguMTkgMTQ4LjIg&#10;MTg4LjA4IDE0OC4yOCAxODcuOSAxNDguNCAxODcuNjggMTQ4LjY1IDE4Ny41NCAxNDguODkgMTg3&#10;LjQyIDE0OS4xMyAxODcuMzMgMTQ5LjQ2IDE4Ny4zMSAxNDkuNTEgMTg3LjMxIDE0OS41NiAxODcu&#10;MzEgMTQ5LjYgMTg3LjMxIDE0OS44OCAxODcuMzEgMTUwLjEzIDE4Ny4zOCAxNTAuMzQgMTg3LjQ4&#10;WiIgZmlsbD0iIzAxMDEwMSIvPjxwYXRoIGQ9Ik0xNjYuNjkgMTg3LjI0QzE2Ny4xMSAxODcuNDUg&#10;MTY3LjE5IDE4Ny43MyAxNjcuMjggMTg4LjAzIDE2Ny4zNCAxODguMjIgMTY3LjM2IDE4OC40MiAx&#10;NjcuMzkgMTg4LjYyIDE2Ny40NCAxODkuMDMgMTY3LjQ3IDE4OS40MyAxNjcuNSAxODkuODMgMTY3&#10;LjU2IDE5MC42MyAxNjcuNTkgMTkxLjQyIDE2Ny42MyAxOTIuMjIgMTY3LjcxIDE5My44MSAxNjcu&#10;ODEgMTk1LjM5IDE2Ny44NSAxOTYuOTcgMTY3Ljg3IDE5Ny43IDE2Ny44NyAxOTguNDIgMTY3Ljgx&#10;IDE5OS4xNSAxNjcuNzUgMTk5LjkyIDE2Ny42NiAyMDAuNjggMTY3LjY1IDIwMS40NSAxNjcuNjUg&#10;MjAxLjc1IDE2Ny41MyAyMDIuMDIgMTY3LjE3IDIwMi4yNiAxNjYuODQgMjAyLjQ3IDE2Ni4zNiAy&#10;MDIuNiAxNjUuODcgMjAyLjYyIDE2NC44NCAyMDIuNjYgMTYzLjg1IDIwMi4yIDE2My44MSAyMDEu&#10;NiAxNjMuNzUgMjAwLjc2IDE2My42MyAxOTkuOTIgMTYzLjUzIDE5OS4wOCAxNjMuNDUgMTk4LjMy&#10;IDE2My40NSAxOTcuNTYgMTYzLjQ3IDE5Ni44MSAxNjMuNTEgMTk1LjE4IDE2My42MSAxOTMuNTUg&#10;MTYzLjcxIDE5MS45MSAxNjMuNzYgMTkxLjA5IDE2My44NCAxOTAuMjcgMTYzLjk1IDE4OS40NSAx&#10;NjQgMTg5LjA5IDE2NC4wNiAxODguNzQgMTY0LjE0IDE4OC4zOCAxNjQuMTkgMTg4LjIgMTY0LjI1&#10;IDE4OC4wMyAxNjQuMzQgMTg3Ljg2IDE2NC40NSAxODcuNjUgMTY0LjU0IDE4Ny41MyAxNjQuNzYg&#10;MTg3LjM2IDE2NC45MyAxODcuMjMgMTY1LjE1IDE4Ny4xNiAxNjUuNDEgMTg3LjA5IDE2NS41NSAx&#10;ODcuMDUgMTY1LjcxIDE4Ny4wNCAxNjUuODYgMTg3LjA1IDE2Ni4xNiAxODcuMDUgMTY2LjQ2IDE4&#10;Ny4xMyAxNjYuNjcgMTg3LjI0WiIgZmlsbD0iIzAxMDEwMSIvPjxwYXRoIGQ9Ik0xODIuNCAxODcu&#10;MDhDMTgyLjYyIDE4Ny4xMSAxODIuNzggMTg3LjE3IDE4Mi45IDE4Ny4yNiAxODMuMDcgMTg3LjM2&#10;IDE4My4xOCAxODcuNDkgMTgzLjI2IDE4Ny42MyAxODMuMzMgMTg3Ljc0IDE4My4zNSAxODcuODcg&#10;MTgzLjM5IDE4Ny45OCAxODMuNDMgMTg4LjA5IDE4My40NiAxODguMTkgMTgzLjQ4IDE4OC4zIDE4&#10;My41NyAxODguNyAxODMuNjIgMTg5LjEgMTgzLjY2IDE4OS41IDE4My43NCAxOTAuMjkgMTgzLjc2&#10;IDE5MS4wOSAxODMuNzcgMTkxLjg5IDE4My44IDE5My41OCAxODMuODIgMTk1LjI4IDE4My44NSAx&#10;OTYuOTcgMTgzLjg4IDE5OC4yNiAxODMuODEgMTk5LjU1IDE4My44NSAyMDAuODQgMTgzLjg1IDIw&#10;MS4xMiAxODMuNzMgMjAxLjM3IDE4My40IDIwMS41OCAxODMuMDkgMjAxLjc4IDE4Mi42NiAyMDEu&#10;OSAxODIuMiAyMDEuOTEgMTgxLjI2IDIwMS45NSAxODAuMzQgMjAxLjUyIDE4MC4zMSAyMDAuOTgg&#10;MTgwLjI2IDIwMC4xMyAxODAuMTkgMTk5LjI3IDE4MC4xNiAxOTguNDIgMTgwLjEzIDE5Ny42MSAx&#10;ODAuMTYgMTk2Ljc5IDE4MC4yIDE5NS45NyAxODAuMjggMTk0LjMyIDE4MC40IDE5Mi42OCAxODAu&#10;NTYgMTkxLjAzIDE4MC42MyAxOTAuMzIgMTgwLjcxIDE4OS42MSAxODAuODEgMTg4LjkgMTgwLjg2&#10;IDE4OC42IDE4MC45MSAxODguMjkgMTgxIDE4OCAxODEuMDggMTg3Ljc0IDE4MS4xOSAxODcuNDQg&#10;MTgxLjU0IDE4Ny4yNiAxODEuNTQgMTg3LjI2IDE4MS41NCAxODcuMjYgMTgxLjU0IDE4Ny4yNiAx&#10;ODEuNzEgMTg3LjE0IDE4MiAxODcuMDggMTgyLjI3IDE4Ny4wOSAxODIuMzEgMTg3LjA5IDE4Mi4z&#10;NSAxODcuMDkgMTgyLjM5IDE4Ny4wOVoiIGZpbGw9IiMwMTAxMDEiLz48cGF0aCBkPSJNMTkwLjY4&#10;IDE4OC4zQzE5MC42OCAxODguMyAxOTAuNjggMTg4LjMgMTkwLjY5IDE4OC4zIDE5MC43IDE4OC4z&#10;IDE5MC43MiAxODguMyAxOTAuNzMgMTg4LjNMMTkwLjY4IDE4OC4zWk0xOTIuNiAxODYuODNDMTky&#10;LjYgMTg2LjgzIDE5Mi42IDE4Ni44MyAxOTIuNiAxODYuODMgMTkyLjYgMTg2LjgzIDE5Mi42IDE4&#10;Ni44MyAxOTIuNiAxODYuODNaTTE5Mi41NCAxODYuODFDMTkyLjU0IDE4Ni44MSAxOTIuNTkgMTg2&#10;LjgzIDE5Mi42MSAxODYuODQgMTkyLjYxIDE4Ni44NCAxOTIuNjEgMTg2Ljg0IDE5Mi42IDE4Ni44&#10;NCAxOTIuNTggMTg2Ljg0IDE5Mi41NiAxODYuODMgMTkyLjU0IDE4Ni44MlpNMTkyLjg2IDE4Ni45&#10;M0MxOTIuODYgMTg2LjkzIDE5Mi45NCAxODcgMTkyLjk3IDE4Ny4wNCAxOTMuMDQgMTg3LjA5IDE5&#10;My4xIDE4Ny4xNCAxOTMuMTUgMTg3LjIgMTkzLjM4IDE4Ny40NSAxOTMuNTUgMTg3LjcgMTkzLjY5&#10;IDE4Ny45NyAxOTMuOTcgMTg4LjUzIDE5NC4xMSAxODkuMTIgMTk0LjI1IDE4OS43IDE5NC40OCAx&#10;OTAuNjkgMTk0LjU5IDE5MS43IDE5NC43MyAxOTIuNyAxOTQuODYgMTkzLjcyIDE5NC45OSAxOTQu&#10;NzMgMTk1LjE4IDE5NS43NSAxOTUuMjcgMTk2LjIyIDE5NS4zMyAxOTYuNyAxOTUuMzcgMTk3LjE3&#10;IDE5NS40MSAxOTcuODEgMTk1LjI0IDE5OC40MyAxOTUuMDYgMTk5LjA2IDE5NC44OSAxOTkuNjMg&#10;MTkzLjk2IDIwMC4wNiAxOTIuOTYgMjAwLjEgMTkxLjkgMjAwLjE0IDE5MS4wMSAxOTkuNzYgMTkw&#10;LjY1IDE5OS4yMSAxOTAuNDkgMTk4Ljk3IDE5MC4zMyAxOTguNzIgMTkwLjE5IDE5OC40OCAxODku&#10;OTkgMTk4LjEzIDE4OS44OSAxOTcuNzcgMTg5Ljc5IDE5Ny40MSAxODkuNjUgMTk2Ljk0IDE4OS42&#10;IDE5Ni40NyAxODkuNTYgMTk2IDE4OS40NiAxOTQuOTkgMTg5LjQyIDE5My45OCAxODkuMzUgMTky&#10;Ljk3IDE4OS4yOCAxOTEuOTUgMTg5LjI1IDE5MC45MyAxODkuMjUgMTg5LjkxIDE4OS4yNSAxODku&#10;MzMgMTg5LjMgMTg4Ljc1IDE4OS4zOSAxODguMTcgMTg5LjQ0IDE4Ny44NSAxODkuNTYgMTg3LjQ2&#10;IDE4OS44NiAxODcuMTUgMTg5Ljk4IDE4Ni45NSAxOTAuMjEgMTg2Ljc3IDE5MC41NCAxODYuNjUg&#10;MTkwLjg1IDE4Ni41NCAxOTEuMiAxODYuNDkgMTkxLjU1IDE4Ni41IDE5Mi4wOCAxODYuNTIgMTky&#10;LjU5IDE4Ni42NyAxOTIuODkgMTg2LjkzWiIgZmlsbD0iIzAxMDEwMSIvPjxwYXRoIGQ9Ik0yMDYu&#10;NDkgMTg4LjY0QzIwNy4wMSAxODguODEgMjA3LjMzIDE4OS4wNSAyMDcuNTEgMTg5LjM4IDIwNy42&#10;NiAxODkuNjUgMjA3Ljc0IDE4OS45NCAyMDcuODIgMTkwLjIyIDIwNy45NiAxOTAuNjkgMjA4LjA4&#10;IDE5MS4xNSAyMDguMTggMTkxLjYyIDIwOC4zOSAxOTIuNTUgMjA4LjUzIDE5My40OSAyMDguNjUg&#10;MTk0LjQyIDIwOC43NyAxOTUuMzcgMjA4LjkxIDE5Ni4zMiAyMDkuMDQgMTk3LjI4IDIwOS4xIDE5&#10;Ny43MyAyMDkuMTYgMTk4LjE3IDIwOS4xNyAxOTguNjIgMjA5LjE4IDE5OS4wNSAyMDkuMTcgMTk5&#10;LjQ4IDIwOS4xNyAxOTkuOTEgMjA5LjE3IDE5OS45NyAyMDkuMTcgMjAwLjAzIDIwOS4xNyAyMDAu&#10;MSAyMDkuMTcgMjAwLjQgMjA5LjAzIDIwMC42OCAyMDguNjYgMjAwLjkyIDIwOC4zMiAyMDEuMTMg&#10;MjA3LjgzIDIwMS4yNiAyMDcuMzMgMjAxLjI4IDIwNi44IDIwMS4zIDIwNi4yOCAyMDEuMTkgMjA1&#10;Ljg5IDIwMC45OSAyMDUuNDkgMjAwLjc4IDIwNS4zMyAyMDAuNTMgMjA1LjI1IDIwMC4yMyAyMDUg&#10;MTk5LjMzIDIwNC44IDE5OC40MyAyMDQuNyAxOTcuNTIgMjA0LjYxIDE5Ni41OSAyMDQuNTIgMTk1&#10;LjY1IDIwNC40MiAxOTQuNzIgMjA0LjMxIDE5My43OCAyMDQuMjIgMTkyLjgzIDIwNC4xNCAxOTEu&#10;ODggMjA0LjEgMTkxLjQxIDIwNC4wNiAxOTAuOTQgMjA0LjAzIDE5MC40NyAyMDQuMDIgMTkwLjI2&#10;IDIwNC4wMSAxOTAuMDQgMjA0LjAyIDE4OS44MyAyMDQuMDMgMTg5LjQ3IDIwNC4wOSAxODkuMTIg&#10;MjA0LjU0IDE4OC44MyAyMDQuNTQgMTg4LjgzIDIwNC41NCAxODguODMgMjA0LjU1IDE4OC44MyAy&#10;MDQuODcgMTg4LjYzIDIwNS4zNyAxODguNTIgMjA1Ljg1IDE4OC41MyAyMDYuMDYgMTg4LjUzIDIw&#10;Ni4yNyAxODguNTcgMjA2LjQ2IDE4OC42M1oiIGZpbGw9IiMwMTAxMDEiLz48cGF0aCBkPSJNMjIy&#10;LjEgMTk0LjM4QzIyMi4xMiAxOTQuNDQgMjIyLjE0IDE5NC41MSAyMjIuMTYgMTk0LjU3IDIyMi4x&#10;NCAxOTQuNTEgMjIyLjEyIDE5NC40NCAyMjIuMSAxOTQuMzhaTTIyMC4xNSAxODguNzNDMjIwLjY1&#10;IDE4OC45OSAyMjAuNzMgMTg5LjQ4IDIyMC44NiAxODkuODMgMjIxLjA1IDE5MC4zNyAyMjEuMTkg&#10;MTkwLjkxIDIyMS4zMiAxOTEuNDUgMjIxLjU1IDE5Mi40MiAyMjEuNzkgMTkzLjQgMjIyLjEgMTk0&#10;LjM2IDIyMi40OSAxOTUuNDkgMjIyLjgzIDE5Ni42MiAyMjMuMTMgMTk3Ljc2IDIyMy40IDE5OC44&#10;IDIyMy43MSAxOTkuODQgMjIzLjg1IDIwMC45IDIyMy45MiAyMDEuNDYgMjIzLjI2IDIwMiAyMjIu&#10;MzIgMjAyLjE3IDIyMS43NyAyMDIuMjcgMjIxLjE1IDIwMi4yNSAyMjAuNjMgMjAyLjEgMjIwLjE1&#10;IDIwMS45NiAyMTkuNjUgMjAxLjY4IDIxOS41MyAyMDEuMzcgMjE4Ljc3IDE5OS40OSAyMTguNTMg&#10;MTk3LjU2IDIxOC40MyAxOTUuNjMgMjE4LjM4IDE5NC42MiAyMTguMzggMTkzLjYgMjE4LjI4IDE5&#10;Mi41OSAyMTguMTkgMTkxLjY2IDIxOC4wMiAxOTAuNzIgMjE3Ljk3IDE4OS43OCAyMTcuOTYgMTg5&#10;LjU0IDIxNy45MiAxODkuMjUgMjE4LjA2IDE4OS4wMSAyMTguMTMgMTg4Ljg0IDIxOC4zMiAxODgu&#10;NjggMjE4LjU4IDE4OC41OSAyMTguOCAxODguNTEgMjE5LjA1IDE4OC40OCAyMTkuMyAxODguNDgg&#10;MjE5LjYyIDE4OC40OSAyMTkuOTMgMTg4LjU3IDIyMC4xNSAxODguNzFaIiBmaWxsPSIjMDEwMTAx&#10;Ii8+PHBhdGggZD0iTTIzNS45MSAxOTAuMzVDMjM2LjA3IDE5MC40MyAyMzYuMTkgMTkwLjUzIDIz&#10;Ni4yNiAxOTAuNjMgMjM2LjUyIDE5MC44NCAyMzYuNjUgMTkxLjEgMjM2Ljc2IDE5MS4zNSAyMzYu&#10;OTggMTkxLjgzIDIzNy4xMiAxOTIuMzIgMjM3LjIyIDE5Mi44MSAyMzcuNDIgMTkzLjcyIDIzNy41&#10;OCAxOTQuNjIgMjM3Ljc0IDE5NS41MyAyMzguMDYgMTk3LjMyIDIzOC42NSAxOTkuMSAyMzguNjgg&#10;MjAwLjkgMjM4LjY4IDIwMS40MSAyMzguMiAyMDEuODcgMjM3LjMyIDIwMi4wMyAyMzYuMzUgMjAy&#10;LjIxIDIzNS4wOCAyMDEuOTEgMjM0LjgyIDIwMS4zMSAyMzQuMDIgMTk5LjQ3IDIzNCAxOTcuNTgg&#10;MjMzLjcyIDE5NS43IDIzMy41OSAxOTQuOCAyMzMuNDUgMTkzLjkgMjMzLjMzIDE5MyAyMzMuMjcg&#10;MTkyLjU3IDIzMy4yMiAxOTIuMTQgMjMzLjI2IDE5MS43MSAyMzMuMjkgMTkxLjQzIDIzMy4zMSAx&#10;OTEuMTcgMjMzLjQ0IDE5MC45MiAyMzMuNDQgMTkwLjg3IDIzMy40NSAxOTAuODMgMjMzLjQ3IDE5&#10;MC43OSAyMzMuNTcgMTkwLjUgMjMzLjk2IDE5MC4yNiAyMzQuNDUgMTkwLjE3IDIzNC42MiAxOTAu&#10;MTQgMjM0LjgxIDE5MC4xMiAyMzQuOTkgMTkwLjEzIDIzNS4zMiAxOTAuMTQgMjM1LjY1IDE5MC4y&#10;MSAyMzUuOSAxOTAuMzRaIiBmaWxsPSIjMDEwMTAxIi8+PHBhdGggZD0iTTI0OS4wOCAxODguMkMy&#10;NDkuMTQgMTg4LjI1IDI0OS4xOCAxODguMyAyNDkuMjIgMTg4LjM2IDI0OS40NCAxODguNjIgMjQ5&#10;LjUgMTg4LjkyIDI0OS41OCAxODkuMjEgMjQ5LjY5IDE4OS41OCAyNDkuNzggMTg5Ljk1IDI0OS44&#10;NiAxOTAuMzIgMjUwLjA0IDE5MS4wOSAyNTAuMjIgMTkxLjg3IDI1MC4zOSAxOTIuNjQgMjUwLjc0&#10;IDE5NC4xOSAyNTEuMTIgMTk1LjczIDI1MS42MiAxOTcuMjYgMjUxLjk1IDE5OC4yMiAyNTIuMjkg&#10;MTk5LjE4IDI1Mi41MyAyMDAuMTUgMjUyLjYzIDIwMC41OCAyNTIuNzIgMjAxLjAxIDI1Mi43OCAy&#10;MDEuNDUgMjUyLjgxIDIwMS42NyAyNTIuODQgMjAxLjg5IDI1Mi44NiAyMDIuMSAyNTIuODggMjAy&#10;LjM5IDI1Mi44NiAyMDIuNjggMjUyLjgzIDIwMi45NyAyNTIuODUgMjAzLjExIDI1Mi43OSAyMDMu&#10;MjUgMjUyLjY4IDIwMy4zOCAyNTIuNTEgMjAzLjU3IDI1Mi4yMSAyMDMuNzIgMjUxLjg1IDIwMy43&#10;OCAyNTEuMSAyMDMuOTIgMjUwLjMzIDIwMy42OCAyNTAuMDYgMjAzLjI3IDI0OS45IDIwMy4wMyAy&#10;NDkuNzMgMjAyLjc5IDI0OS42IDIwMi41NCAyNDkuNSAyMDIuMzQgMjQ5LjQyIDIwMi4xNCAyNDku&#10;MzMgMjAxLjk1IDI0OS4xMyAyMDEuNDcgMjQ4Ljk0IDIwMC45OSAyNDguNzkgMjAwLjUgMjQ4LjUx&#10;IDE5OS42IDI0OC4zMSAxOTguNyAyNDguMTIgMTk3Ljc5IDI0Ny43NSAxOTUuOTQgMjQ3LjM0IDE5&#10;NC4wOSAyNDcuMDMgMTkyLjI0IDI0Ni45MSAxOTEuNTYgMjQ2LjggMTkwLjg4IDI0Ni43IDE5MC4y&#10;MSAyNDYuNjUgMTg5Ljg4IDI0Ni42MSAxODkuNTUgMjQ2LjU5IDE4OS4yMyAyNDYuNTcgMTg4Ljk0&#10;IDI0Ni41NCAxODguNTkgMjQ2Ljc5IDE4OC4zMSAyNDYuOCAxODguMyAyNDYuODEgMTg4LjI4IDI0&#10;Ni44MiAxODguMjcgMjQ3LjAzIDE4OC4wNCAyNDcuNDUgMTg3Ljg4IDI0Ny45MSAxODcuODYgMjQ3&#10;Ljk2IDE4Ny44NiAyNDguMDEgMTg3Ljg2IDI0OC4wNiAxODcuODYgMjQ4LjQ3IDE4Ny44NyAyNDgu&#10;ODYgMTg4IDI0OS4wOCAxODguMloiIGZpbGw9IiMwMTAxMDEiLz48cGF0aCBkPSJNMjYyLjYgMTkx&#10;LjI3QzI2My40MiAxOTEuNDYgMjYzLjgzIDE5MiAyNjQuMTYgMTkyLjQzIDI2NC4zOSAxOTIuNzMg&#10;MjY0LjUzIDE5My4wNiAyNjQuNjcgMTkzLjM5IDI2NC45NiAxOTQuMDUgMjY1LjE5IDE5NC43MyAy&#10;NjUuNDIgMTk1LjQgMjY1Ljg4IDE5Ni43MiAyNjYuMjMgMTk4LjA2IDI2Ni42NiAxOTkuMzggMjY2&#10;Ljc3IDE5OS42NyAyNjYuODkgMTk5Ljk3IDI2Ni45MiAyMDAuMjcgMjY2Ljk0IDIwMC41NiAyNjYu&#10;OTQgMjAwLjg1IDI2Ni45MyAyMDEuMTQgMjY2LjkyIDIwMS42NCAyNjYuNDcgMjAyLjA5IDI2NS42&#10;IDIwMi4yNSAyNjUuMTEgMjAyLjM0IDI2NC41OCAyMDIuMzIgMjY0LjEyIDIwMi4xOCAyNjMuNjMg&#10;MjAyLjA0IDI2My4zNiAyMDEuODIgMjYzLjE1IDIwMS41NCAyNjIuOTMgMjAxLjI2IDI2Mi43MyAy&#10;MDAuOTggMjYyLjU2IDIwMC42OSAyNjIuMzUgMjAwLjM0IDI2Mi4yOCAxOTkuOTcgMjYyLjE3IDE5&#10;OS42MSAyNjEuNzQgMTk4LjM3IDI2MS4zMSAxOTcuMTMgMjYwLjkyIDE5NS44OCAyNjAuNzIgMTk1&#10;LjIzIDI2MC41MyAxOTQuNTggMjYwLjM0IDE5My45MyAyNjAuMjQgMTkzLjYxIDI2MC4xNSAxOTMu&#10;MjkgMjYwLjA1IDE5Mi45NiAyNTkuOTYgMTkyLjY2IDI1OS44MiAxOTIuMjggMjU5Ljk5IDE5MS45&#10;OCAyNjAuMTUgMTkxLjcgMjYwLjM0IDE5MS40OCAyNjAuNzkgMTkxLjMyIDI2MS4xMyAxOTEuMiAy&#10;NjEuNDggMTkxLjE1IDI2MS44NSAxOTEuMTYgMjYyLjEgMTkxLjE2IDI2Mi4zNiAxOTEuMiAyNjIu&#10;NjEgMTkxLjI2WiIgZmlsbD0iIzAxMDEwMSIvPjxwYXRoIGQ9Ik0yNzYuODMgMTkxLjI2QzI3Ny4z&#10;NyAxOTEuMzkgMjc3LjY2IDE5MS43MiAyNzcuODUgMTkyLjAxIDI3Ny45NyAxOTIuMTkgMjc4LjA1&#10;IDE5Mi4zNyAyNzguMTEgMTkyLjU1IDI3OC4yOSAxOTMuMDUgMjc4LjQ2IDE5My41NSAyNzguNjEg&#10;MTk0LjA1IDI3OC44NyAxOTQuODkgMjc5LjA1IDE5NS43MyAyNzkuMjQgMTk2LjU3IDI3OS40MyAx&#10;OTcuNCAyNzkuNTggMTk4LjIzIDI3OS44MSAxOTkuMDUgMjc5LjkyIDE5OS40NCAyODAuMDQgMTk5&#10;Ljg0IDI4MC4xNSAyMDAuMjMgMjgwLjIxIDIwMC40NCAyODAuMjYgMjAwLjY1IDI4MC4zMSAyMDAu&#10;ODYgMjgwLjMzIDIwMC45NCAyODAuMzYgMjAxLjAzIDI4MC4zNyAyMDEuMTIgMjgwLjQgMjAxLjM0&#10;IDI4MC4zNyAyMDEuNTUgMjgwLjMyIDIwMS43NyAyODAuMjQgMjAxLjk4IDI4MC4wNyAyMDIuMTcg&#10;Mjc5LjgxIDIwMi4zNCAyNzkuNDQgMjAyLjU3IDI3OC45MiAyMDIuNzEgMjc4LjM4IDIwMi43MyAy&#10;NzcuNCAyMDIuNzYgMjc2LjU5IDIwMi40MSAyNzYuMjUgMjAxLjkxIDI3NS45NCAyMDEuNDQgMjc1&#10;LjkgMjAwLjkxIDI3NS44MSAyMDAuNDIgMjc1Ljc0IDIwMC4wMiAyNzUuNjkgMTk5LjYyIDI3NS42&#10;NCAxOTkuMjMgMjc1LjUzIDE5OC40MSAyNzUuMzMgMTk3LjYgMjc1LjE3IDE5Ni43OSAyNzUgMTk1&#10;Ljk0IDI3NC44NCAxOTUuMDkgMjc0LjY4IDE5NC4yNCAyNzQuNjEgMTkzLjgzIDI3NC41MyAxOTMu&#10;NDIgMjc0LjQ4IDE5My4wMiAyNzQuNDYgMTkyLjgzIDI3NC40NSAxOTIuNjQgMjc0LjQ3IDE5Mi40&#10;NCAyNzQuNDkgMTkyLjI5IDI3NC40OCAxOTIuMTEgMjc0LjU3IDE5MS45NiAyNzQuNjYgMTkxLjgg&#10;Mjc0Ljc3IDE5MS41OCAyNzUuMDEgMTkxLjQ2IDI3NS4xOSAxOTEuMzUgMjc1LjQxIDE5MS4yNyAy&#10;NzUuNjYgMTkxLjIyIDI3NS44NCAxOTEuMTkgMjc2LjAyIDE5MS4xNyAyNzYuMTkgMTkxLjE4IDI3&#10;Ni40IDE5MS4xOCAyNzYuNjEgMTkxLjIyIDI3Ni44MiAxOTEuMjdaIiBmaWxsPSIjMDEwMTAxIi8+&#10;PHBhdGggZD0iTTI4OC42MiAxOTEuNzFDMjg5LjI1IDE5MS45MSAyODkuNDkgMTkyLjI3IDI4OS42&#10;MyAxOTIuNjQgMjg5Ljc2IDE5Mi45OCAyODkuODQgMTkzLjMzIDI4OS45MyAxOTMuNjggMjkwLjA3&#10;IDE5NC4yMyAyOTAuMTcgMTk0Ljc5IDI5MC4yNyAxOTUuMzQgMjkwLjQ4IDE5Ni41NCAyOTAuNjIg&#10;MTk3Ljc0IDI5MC43MiAxOTguOTUgMjkwLjc2IDE5OS40NSAyOTAuMDkgMTk5LjkgMjg5LjE5IDE5&#10;OS45MyAyODguNzUgMTk5Ljk1IDI4OC4zMSAxOTkuODYgMjg3Ljk5IDE5OS42OSAyODcuNjUgMTk5&#10;LjUxIDI4Ny41MyAxOTkuMzEgMjg3LjQ2IDE5OS4wNiAyODcuMTEgMTk3Ljg3IDI4Ni44NCAxOTYu&#10;NjggMjg2LjY0IDE5NS40OCAyODYuNTUgMTk0Ljk0IDI4Ni40NyAxOTQuMzkgMjg2LjQzIDE5My44&#10;NSAyODYuNDEgMTkzLjU3IDI4Ni4zOCAxOTMuMjggMjg2LjQgMTkzIDI4Ni40MyAxOTIuNTQgMjg2&#10;LjQ3IDE5Mi4wNSAyODcuMjMgMTkxLjc2IDI4Ny40NyAxOTEuNjcgMjg3Ljc4IDE5MS42MiAyODgu&#10;MDggMTkxLjYzIDI4OC4yNyAxOTEuNjMgMjg4LjQ2IDE5MS42NiAyODguNjMgMTkxLjcyWiIgZmls&#10;bD0iIzAxMDEwMSIvPjxwYXRoIGQ9Ik0yOTguODYgMTkwLjA3QzI5OS4yMyAxOTAuMTcgMjk5LjUg&#10;MTkwLjM1IDI5OS42OSAxOTAuNTUgMjk5LjkxIDE5MC43OCAzMDAuMDggMTkxLjAyIDMwMC4yMiAx&#10;OTEuMjcgMzAwLjQ1IDE5MS42OCAzMDAuNiAxOTIuMSAzMDAuNzUgMTkyLjUyIDMwMS4wNyAxOTMu&#10;NDMgMzAxLjMxIDE5NC4zNCAzMDEuNTIgMTk1LjI1IDMwMS45MyAxOTcuMDEgMzAyLjI4IDE5OC43&#10;NyAzMDIuNTYgMjAwLjUzIDMwMi42NyAyMDEuMjEgMzAyLjc4IDIwMS44OSAzMDIuODEgMjAyLjU4&#10;IDMwMi44MyAyMDMuMDcgMzAyLjM0IDIwMy41MSAzMDEuNTEgMjAzLjY3IDMwMS4wMyAyMDMuNzYg&#10;MzAwLjUxIDIwMy43NCAzMDAuMDYgMjAzLjYxIDI5OS42NSAyMDMuNDkgMjk5LjIyIDIwMy4yNSAy&#10;OTkuMTIgMjAyLjk4IDI5OC43NCAyMDIuMDUgMjk4LjUgMjAxLjA5IDI5OC4yOSAyMDAuMTQgMjk4&#10;LjEgMTk5LjI4IDI5Ny45MyAxOTguNDIgMjk3Ljc4IDE5Ny41NyAyOTcuNDkgMTk1LjgxIDI5Ny4y&#10;NiAxOTQuMDUgMjk3LjExIDE5Mi4yOSAyOTcuMDkgMTkxLjk4IDI5Ny4wNiAxOTEuNjcgMjk3LjA2&#10;IDE5MS4zNiAyOTcuMDYgMTkxLjA0IDI5Ny4wMyAxOTAuNjYgMjk3LjMxIDE5MC4zNyAyOTcuNTUg&#10;MTkwLjEzIDI5Ny45NyAxOTAgMjk4LjQxIDE5MC4wMSAyOTguNTYgMTkwLjAxIDI5OC43MSAxOTAu&#10;MDQgMjk4Ljg2IDE5MC4wOFoiIGZpbGw9IiMwMTAxMDEiLz48cGF0aCBkPSJNMzEzLjA1IDE5Mi4y&#10;NkMzMTMuNCAxOTIuNDIgMzEzLjYxIDE5Mi42NyAzMTMuNzYgMTkyLjkgMzEzLjg2IDE5My4wNSAz&#10;MTMuOTIgMTkzLjIxIDMxMy45OCAxOTMuMzcgMzE0LjE1IDE5My44MiAzMTQuMjggMTk0LjI2IDMx&#10;NC4zOCAxOTQuNzEgMzE0LjU1IDE5NS40NSAzMTQuNjkgMTk2LjE5IDMxNC44IDE5Ni45MyAzMTQu&#10;OTIgMTk3LjY1IDMxNS4wMiAxOTguMzcgMzE1LjEzIDE5OS4wOSAzMTUuMTggMTk5LjQ0IDMxNS4y&#10;NSAxOTkuNzkgMzE1LjI5IDIwMC4xNSAzMTUuMzQgMjAwLjY1IDMxNS4yMyAyMDEuMTYgMzE1LjEz&#10;IDIwMS42NiAzMTUuMDMgMjAyLjE1IDMxNC4xNCAyMDIuNTIgMzEzLjMyIDIwMi41NSAzMTIuNDUg&#10;MjAyLjU4IDMxMS42IDIwMi4yNiAzMTEuMzQgMjAxLjc5IDMxMS4wOCAyMDEuMzIgMzEwLjg1IDIw&#10;MC44NiAzMTAuNzQgMjAwLjM3IDMxMC42NyAyMDAuMDMgMzEwLjYyIDE5OS42OCAzMTAuNTYgMTk5&#10;LjM0IDMxMC40NSAxOTguNjEgMzEwLjMyIDE5Ny44OCAzMTAuMjIgMTk3LjE1IDMxMC4xMiAxOTYu&#10;NDEgMzEwLjAzIDE5NS42OCAzMDkuOTcgMTk0Ljk0IDMwOS45NCAxOTQuNTYgMzA5LjkgMTk0LjE4&#10;IDMwOS45MSAxOTMuOCAzMDkuOTEgMTkzLjMxIDMwOS45MSAxOTIuNjkgMzEwLjU3IDE5Mi4zMiAz&#10;MTAuOSAxOTIuMTQgMzExLjI4IDE5Mi4wMiAzMTEuNzUgMTkyIDMxMS44MiAxOTIgMzExLjg4IDE5&#10;MiAzMTEuOTQgMTkyIDMxMi4zNSAxOTIuMDEgMzEyLjY5IDE5Mi4xMSAzMTMuMDIgMTkyLjI1WiIg&#10;ZmlsbD0iIzAxMDEwMSIvPjxwYXRoIGQ9Ik0zMjYuOSAxOTEuODJDMzI3LjM4IDE5MS45MyAzMjcu&#10;NjYgMTkyLjI1IDMyNy43OSAxOTIuNTEgMzI3LjkzIDE5Mi43NyAzMjguMDEgMTkzLjA0IDMyOC4w&#10;OSAxOTMuMyAzMjguMjMgMTkzLjcyIDMyOC4zNCAxOTQuMTUgMzI4LjQ0IDE5NC41OCAzMjguNjQg&#10;MTk1LjQzIDMyOC44MSAxOTYuMjcgMzI5LjAxIDE5Ny4xMiAzMjkuMzkgMTk4Ljc5IDMyOS42OCAy&#10;MDAuNDYgMzI5Ljk1IDIwMi4xNCAzMzAuMTIgMjAzLjIxIDMzMC4zNiAyMDQuMjcgMzMwLjQ3IDIw&#10;NS4zNCAzMzAuNTIgMjA1LjgzIDMyOS45NyAyMDYuMyAzMjkuMTQgMjA2LjQ1IDMyOC42NiAyMDYu&#10;NTQgMzI4LjEyIDIwNi41MiAzMjcuNjYgMjA2LjM5IDMyNy4yNCAyMDYuMjcgMzI2LjggMjA2LjAy&#10;IDMyNi43IDIwNS43NSAzMjYuMzMgMjA0LjgzIDMyNi4xMyAyMDMuOSAzMjUuOTEgMjAyLjk2IDMy&#10;NS43MiAyMDIuMTYgMzI1LjUyIDIwMS4zNyAzMjUuMzUgMjAwLjU3IDMyNSAxOTguODUgMzI0Ljc2&#10;IDE5Ny4xMiAzMjQuNjkgMTk1LjM5IDMyNC42NyAxOTQuODIgMzI0LjY2IDE5NC4yNCAzMjQuNjkg&#10;MTkzLjY3IDMyNC43MSAxOTMuMzQgMzI0LjcyIDE5MyAzMjQuODIgMTkyLjY3IDMyNC44NiAxOTIu&#10;NTEgMzI0LjkzIDE5Mi4zMiAzMjUuMDggMTkyLjE4IDMyNS4yMSAxOTIuMDYgMzI1LjM1IDE5MS45&#10;MyAzMjUuNTkgMTkxLjg2IDMyNS44NyAxOTEuNzggMzI2LjEyIDE5MS43NCAzMjYuMzkgMTkxLjc1&#10;IDMyNi41NSAxOTEuNzUgMzI2LjcyIDE5MS43OCAzMjYuOSAxOTEuODJaIiBmaWxsPSIjMDEwMTAx&#10;Ii8+PHBhdGggZD0iTTM0MC4yOCAxOTIuMDFDMzQwLjcgMTkyLjE5IDM0MC45MiAxOTIuNSAzNDEu&#10;MTIgMTkyLjc2IDM0MS4yOCAxOTIuOTcgMzQxLjM4IDE5My4yIDM0MS40NyAxOTMuNDIgMzQxLjcx&#10;IDE5My45OCAzNDEuODggMTk0LjU2IDM0Mi4wMyAxOTUuMTQgMzQyLjMgMTk2LjE1IDM0Mi41MSAx&#10;OTcuMTcgMzQyLjcyIDE5OC4xOCAzNDIuOTQgMTk5LjE3IDM0My4xNCAyMDAuMTUgMzQzLjM2IDIw&#10;MS4xMyAzNDMuNTggMjAyLjEyIDM0My44NSAyMDMuMDkgMzQ0LjExIDIwNC4wOCAzNDQuMTkgMjA0&#10;LjM3IDM0NC4yNiAyMDQuNjYgMzQ0LjMyIDIwNC45NiAzNDQuNDQgMjA1LjUyIDM0My43IDIwNi4w&#10;NyAzNDIuNzkgMjA2LjI0IDM0Mi4yMyAyMDYuMzQgMzQxLjYxIDIwNi4zMiAzNDEuMDkgMjA2LjE3&#10;IDM0MC42MSAyMDYuMDMgMzQwLjEgMjA1Ljc1IDMzOS45OCAyMDUuNDQgMzM5LjE5IDIwMy40MiAz&#10;MzguNjUgMjAxLjM1IDMzOC4yMSAxOTkuMjkgMzM4IDE5OC4yOSAzMzcuODEgMTk3LjI4IDMzNy42&#10;MyAxOTYuMjggMzM3LjU0IDE5NS43OCAzMzcuNDcgMTk1LjI4IDMzNy4zOSAxOTQuNzggMzM3LjMx&#10;IDE5NC4zIDMzNy4yMyAxOTMuODIgMzM3LjIzIDE5My4zNCAzMzcuMjMgMTkzLjEzIDMzNy4yNSAx&#10;OTIuOTEgMzM3LjMxIDE5Mi43MSAzMzcuMzggMTkyLjQ3IDMzNy41OCAxOTIuMjkgMzM3Ljg0IDE5&#10;Mi4xIDMzOC4wOSAxOTEuOTEgMzM4LjYgMTkxLjggMzM5LjAxIDE5MS43OCAzMzkuMDggMTkxLjc4&#10;IDMzOS4xNCAxOTEuNzggMzM5LjIxIDE5MS43OCAzMzkuNjEgMTkxLjc5IDMzOS45NCAxOTEuODkg&#10;MzQwLjI4IDE5Mi4wM1oiIGZpbGw9IiMwMTAxMDEiLz48cGF0aCBkPSJNMzYwLjM5IDIwMi44OEMz&#10;NjAuNDEgMjAyLjk1IDM2MC40NCAyMDMuMDIgMzYwLjQ2IDIwMy4wOSAzNjAuNDQgMjAzLjAyIDM2&#10;MC40MSAyMDIuOTUgMzYwLjM5IDIwMi44OFpNMzU5LjIzIDE5OS4xM0MzNTkuMjMgMTk5LjEzIDM1&#10;OS4yNSAxOTkuMTggMzU5LjI2IDE5OS4yMSAzNTkuMjYgMTk5LjE4IDM1OS4yNCAxOTkuMTYgMzU5&#10;LjIzIDE5OS4xM1pNMzU1LjU4IDE5Mi4zQzM1Ny4wMyAxOTIuNDcgMzU3LjQ2IDE5My4yOCAzNTcu&#10;NzEgMTk0IDM1Ny45NCAxOTQuNjUgMzU4LjE0IDE5NS4zMSAzNTguMzMgMTk1Ljk3IDM1OC42NSAx&#10;OTcuMDYgMzU4LjkxIDE5OC4xNiAzNTkuMjcgMTk5LjI1IDM1OS40OSAxOTkuODkgMzU5LjcyIDIw&#10;MC41MiAzNTkuOTEgMjAxLjE2IDM2MC4wNyAyMDEuNzMgMzYwLjIgMjAyLjMgMzYwLjM5IDIwMi44&#10;NiAzNjAuNTEgMjAzLjIxIDM2MC42MyAyMDMuNTcgMzYwLjc0IDIwMy45MiAzNjAuNzYgMjA0LjE3&#10;IDM2MC42OCAyMDQuNDEgMzYwLjQ3IDIwNC42NCAzNjAuMTcgMjA0Ljk3IDM1OS42NSAyMDUuMjMg&#10;MzU5LjAzIDIwNS4zNCAzNTguNDEgMjA1LjQ2IDM1Ny43MiAyMDUuNDIgMzU3LjEzIDIwNS4yNiAz&#10;NTYuNTkgMjA1LjExIDM1Ni4wNCAyMDQuNzkgMzU1Ljg5IDIwNC40NCAzNTUuNDYgMjAzLjM5IDM1&#10;NS4wOSAyMDIuMzMgMzU0Ljc1IDIwMS4yOCAzNTQuNDMgMjAwLjMgMzU0LjI1IDE5OS4zMSAzNTQu&#10;MDIgMTk4LjMyIDM1My44IDE5Ny4zOSAzNTMuNTkgMTk2LjQ3IDM1My40IDE5NS41NCAzNTMuMzEg&#10;MTk1LjA3IDM1My4yMiAxOTQuNjEgMzUzLjE0IDE5NC4xNCAzNTMuMSAxOTMuODYgMzUzLjEgMTkz&#10;LjYxIDM1My4xNCAxOTMuMzMgMzUzLjIyIDE5Mi43MyAzNTQuMjYgMTkyLjI1IDM1NS4zIDE5Mi4y&#10;OCAzNTUuMzkgMTkyLjI4IDM1NS40OCAxOTIuMjggMzU1LjU3IDE5Mi4zWiIgZmlsbD0iIzAxMDEw&#10;MSIvPjxwYXRoIGQ9Ik0zNjkuNjEgMTkxLjg2QzM2OS45OSAxOTIuMDcgMzcwLjE1IDE5Mi4yNSAz&#10;NzAuMzggMTkyLjUyIDM3MC42NCAxOTIuODMgMzcwLjc5IDE5My4xNiAzNzAuOTMgMTkzLjQ4IDM3&#10;MS4yOSAxOTQuMjkgMzcxLjQ4IDE5NS4xMiAzNzEuNzEgMTk1Ljk0IDM3Mi4xIDE5Ny4zNyAzNzIu&#10;NDQgMTk4LjggMzcyLjcyIDIwMC4yMyAzNzIuODYgMjAwLjkxIDM3MS44MSAyMDEuNTEgMzcwLjY2&#10;IDIwMS41NSAzNzAuMDcgMjAxLjU3IDM2OS40OCAyMDEuNDUgMzY5LjA1IDIwMS4yMyAzNjguNTkg&#10;MjAwLjk5IDM2OC40NCAyMDAuNzIgMzY4LjMzIDIwMC4zOCAzNjcuOTEgMTk4Ljk2IDM2Ny42IDE5&#10;Ny41NCAzNjcuMjkgMTk2LjExIDM2Ny4xMyAxOTUuMzkgMzY2Ljk4IDE5NC42NyAzNjYuODQgMTkz&#10;Ljk1IDM2Ni43OCAxOTMuNjQgMzY2LjcyIDE5My4zMiAzNjYuNjcgMTkzLjAxIDM2Ni41OCAxOTIu&#10;NDYgMzY2Ljc3IDE5MS44MSAzNjcuODYgMTkxLjYyIDM2OC4wNiAxOTEuNTkgMzY4LjI3IDE5MS41&#10;NyAzNjguNDggMTkxLjU4IDM2OC45IDE5MS41OSAzNjkuMzIgMTkxLjY5IDM2OS42MSAxOTEuODVa&#10;IiBmaWxsPSIjMDEwMTAxIi8+PHBhdGggZD0iTTM3OS45NSAxODkuMzNDMzc5Ljk5IDE4OS4zOSAz&#10;ODAgMTg5LjQ2IDM4MC4wMSAxODkuNTIgMzgwLjA2IDE4OS41OCAzODAuMTEgMTg5LjY1IDM4MC4x&#10;NSAxODkuNzEgMzgwLjI5IDE4OS45NSAzODAuNCAxOTAuMiAzODAuNTEgMTkwLjQ1IDM4MC43NSAx&#10;OTEuMDEgMzgwLjkyIDE5MS41NyAzODEuMDkgMTkyLjE0IDM4MS40IDE5My4xOSAzODEuNjggMTk0&#10;LjI1IDM4MS45NiAxOTUuMzEgMzgyLjUxIDE5Ny4zOCAzODMuMDIgMTk5LjQ0IDM4My41NSAyMDEu&#10;NTEgMzgzLjY5IDIwMi4wNSAzODMuNzQgMjAyLjU4IDM4My43NyAyMDMuMTMgMzgzLjggMjAzLjY4&#10;IDM4My44OCAyMDQuMjMgMzgzLjg4IDIwNC43OSAzODMuODggMjA1LjI5IDM4My40MSAyMDUuNzQg&#10;MzgyLjU1IDIwNS45IDM4MS41NSAyMDYuMDkgMzgwLjQyIDIwNS43NyAzODAuMSAyMDUuMiAzNzku&#10;ODIgMjA0LjcgMzc5LjYxIDIwNC4xOSAzNzkuMzggMjAzLjY5IDM3OS4xMiAyMDMuMTEgMzc4Ljg3&#10;IDIwMi41NCAzNzguNyAyMDEuOTUgMzc4LjQyIDIwMC45MSAzNzguMjQgMTk5Ljg1IDM3OC4wNSAx&#10;OTguOCAzNzcuNjYgMTk2LjcgMzc3LjMzIDE5NC41OSAzNzcuMjIgMTkyLjQ4IDM3Ny4xOSAxOTEu&#10;OTMgMzc3LjIgMTkxLjM4IDM3Ny4yNSAxOTAuODQgMzc3LjI5IDE5MC41MiAzNzcuMzMgMTkwLjIg&#10;Mzc3LjQyIDE4OS44OSAzNzcuNDYgMTg5Ljc2IDM3Ny41MyAxODkuNjQgMzc3LjYxIDE4OS41MiAz&#10;NzcuNjEgMTg5LjQ4IDM3Ny42MSAxODkuNDQgMzc3LjYzIDE4OS40MSAzNzcuNzMgMTg5LjExIDM3&#10;OC4xOSAxODguODggMzc4LjczIDE4OC44NyAzNzguNzggMTg4Ljg3IDM3OC44MiAxODguODcgMzc4&#10;Ljg3IDE4OC44NyAzNzkuMzYgMTg4Ljg5IDM3OS43OSAxODkuMDcgMzc5Ljk1IDE4OS4zNFoiIGZp&#10;bGw9IiMwMTAxMDEiLz48cGF0aCBkPSJNMzk2Ljk2IDE5MC4xNEMzOTcuODcgMTkwLjQgMzk4LjIy&#10;IDE5MS4wMSAzOTguNSAxOTEuNTMgMzk4Ljc2IDE5Mi4wMSAzOTguOTIgMTkyLjUgMzk5LjEgMTky&#10;Ljk5IDM5OS40OSAxOTQuMTEgMzk5LjgyIDE5NS4yNSA0MDAuMTUgMTk2LjM4IDQwMC43NSAxOTgu&#10;NDEgNDAxLjM3IDIwMC40NSA0MDEuNzYgMjAyLjUgNDAxLjc5IDIwMi42NCA0MDEuODEgMjAyLjc4&#10;IDQwMS44MyAyMDIuOTIgNDAxLjkzIDIwMy41MiA0MDEuMTkgMjA0LjA5IDQwMC4yMSAyMDQuMjcg&#10;Mzk5LjA1IDIwNC40OSAzOTcuNTUgMjA0LjEyIDM5Ny4yMyAyMDMuNDIgMzk2LjI2IDIwMS4yNCAz&#10;OTUuNjggMTk5LjAxIDM5NS4xMyAxOTYuNzkgMzk0Ljg4IDE5NS43OSAzOTQuNjQgMTk0Ljc4IDM5&#10;NC40OSAxOTMuNzcgMzk0LjQxIDE5My4yNSAzOTQuMzMgMTkyLjczIDM5NC4zMyAxOTIuMjIgMzk0&#10;LjMzIDE5MS45IDM5NC4zNiAxOTEuNTkgMzk0LjQxIDE5MS4yNyAzOTQuNDYgMTkwLjk0IDM5NC42&#10;NCAxOTAuNjUgMzk0Ljk5IDE5MC4zOCAzOTUuMDEgMTkwLjM2IDM5NS4wMyAxOTAuMzUgMzk1LjA2&#10;IDE5MC4zNCAzOTUuMjUgMTkwLjIyIDM5NS40OCAxOTAuMTQgMzk1Ljc0IDE5MC4wOSAzOTUuOTMg&#10;MTkwLjA1IDM5Ni4xMyAxOTAuMDQgMzk2LjMzIDE5MC4wNSAzOTYuNTUgMTkwLjA1IDM5Ni43NiAx&#10;OTAuMDkgMzk2Ljk2IDE5MC4xNVoiIGZpbGw9IiMwMTAxMDEiLz48cGF0aCBkPSJNNDA5LjI0IDE5&#10;Ni41OEM0MDkuODkgMTk2Ljc2IDQxMC4xMyAxOTcuMTQgNDEwLjI3IDE5Ny41MSA0MTAuNCAxOTcu&#10;ODggNDEwLjUgMTk4LjI0IDQxMC42IDE5OC42MSA0MTAuNzUgMTk5LjE4IDQxMC44NyAxOTkuNzUg&#10;NDEwLjk3IDIwMC4zMiA0MTEuMTkgMjAxLjUyIDQxMS4zOCAyMDIuNzMgNDExLjQyIDIwMy45NCA0&#10;MTEuNDMgMjA0LjU2IDQxMC42NiAyMDUuMSA0MDkuNTQgMjA1LjE0IDQwOS4wMSAyMDUuMTYgNDA4&#10;LjQ3IDIwNS4wNSA0MDguMDcgMjA0Ljg1IDQwNy42NSAyMDQuNjMgNDA3LjUxIDIwNC4zOCA0MDcu&#10;NDIgMjA0LjA4IDQwNy4wNSAyMDIuODYgNDA2Ljg2IDIwMS42MSA0MDYuNzIgMjAwLjM3IDQwNi42&#10;NSAxOTkuNzYgNDA2LjYgMTk5LjE1IDQwNi42MSAxOTguNTMgNDA2LjYxIDE5OC4xNyA0MDYuNjMg&#10;MTk3LjggNDA2Ljc3IDE5Ny40NSA0MDYuODcgMTk3LjIxIDQwNy4wMyAxOTcgNDA3LjMgMTk2Ljgx&#10;IDQwNy42MiAxOTYuNTkgNDA4LjEzIDE5Ni40OCA0MDguNjIgMTk2LjQ5IDQwOC44MyAxOTYuNDkg&#10;NDA5LjA1IDE5Ni41MyA0MDkuMjQgMTk2LjU4WiIgZmlsbD0iIzAxMDEwMSIvPjxwYXRoIGQ9Ik00&#10;MTkuOTUgMTkyLjQ0QzQyMC40MiAxOTIuNjMgNDIwLjcgMTkzLjAxIDQyMC45IDE5My4zIDQyMS4w&#10;NCAxOTMuNTEgNDIxLjEzIDE5My43MyA0MjEuMjMgMTkzLjk0IDQyMS40OSAxOTQuNTMgNDIxLjY1&#10;IDE5NS4xMyA0MjEuODEgMTk1LjczIDQyMi4wOCAxOTYuNzYgNDIyLjI1IDE5Ny44IDQyMi40NSAx&#10;OTguODQgNDIyLjY1IDE5OS44OCA0MjIuODMgMjAwLjkxIDQyMy4wMSAyMDEuOTYgNDIzLjIgMjAz&#10;LjA0IDQyMy40NCAyMDQuMTIgNDIzLjUxIDIwNS4yMSA0MjMuNTUgMjA1LjgxIDQyMi45MiAyMDYu&#10;MzYgNDIxLjkxIDIwNi41NSA0MjAuNjkgMjA2Ljc4IDQxOS4zNyAyMDYuMzkgNDE4Ljk2IDIwNS43&#10;IDQxOC4yOCAyMDQuNTggNDE3Ljk3IDIwMy4zOSA0MTcuNjEgMjAyLjIyIDQxNy4yOSAyMDEuMTkg&#10;NDE3LjA3IDIwMC4xNSA0MTYuODggMTk5LjEgNDE2LjcgMTk4LjA3IDQxNi41MiAxOTcuMDQgNDE2&#10;LjQ1IDE5NiA0MTYuNDEgMTk1LjQ4IDQxNi4zNyAxOTQuOTUgNDE2LjQxIDE5NC40MyA0MTYuNDMg&#10;MTk0LjExIDQxNi40NCAxOTMuNzcgNDE2LjU1IDE5My40NSA0MTYuNjIgMTkzLjI2IDQxNi43MiAx&#10;OTMuMDYgNDE2Ljg3IDE5Mi44OSA0MTcuMDcgMTkyLjY0IDQxNy4zNCAxOTIuNTEgNDE3LjcgMTky&#10;LjM0IDQxNy45NyAxOTIuMjQgNDE4LjI3IDE5Mi4xOSA0MTguNTkgMTkyLjE3IDQxOC42NiAxOTIu&#10;MTcgNDE4LjczIDE5Mi4xNyA0MTguOCAxOTIuMTcgNDE5LjI0IDE5Mi4xOCA0MTkuNTggMTkyLjI5&#10;IDQxOS45NSAxOTIuNDRaIiBmaWxsPSIjMDEwMTAxIi8+PHBhdGggZD0iTTQzNSAyMDAuNTdDNDM1&#10;IDIwMC41NyA0MzUuMDMgMjAwLjY2IDQzNS4wNSAyMDAuNzEgNDM1LjA0IDIwMC42NiA0MzUuMDIg&#10;MjAwLjYyIDQzNSAyMDAuNTdaTTQzMC4xMiAxOTEuNDdDNDMxLjE5IDE5MS41NCA0MzEuNzEgMTky&#10;LjE3IDQzMi4xIDE5Mi42NCA0MzIuMzYgMTkyLjk2IDQzMi41MSAxOTMuMzIgNDMyLjY3IDE5My42&#10;NiA0MzMuMDYgMTk0LjUgNDMzLjMzIDE5NS4zNiA0MzMuNjEgMTk2LjIxIDQzNC4wOSAxOTcuNjQg&#10;NDM0LjUgMTk5LjA4IDQzNC45OCAyMDAuNTIgNDM1LjQyIDIwMS44MiA0MzUuOTIgMjAzLjEyIDQz&#10;Ni4yNSAyMDQuNDMgNDM2LjM5IDIwNSA0MzUuNiAyMDUuNTcgNDM0LjY4IDIwNS43NCA0MzMuNTEg&#10;MjA1Ljk2IDQzMi4xNSAyMDUuNTkgNDMxLjc5IDIwNC45MSA0MzEuMTkgMjAzLjc4IDQzMC44NCAy&#10;MDIuNjIgNDMwLjQ3IDIwMS40NyA0MzAuMTQgMjAwLjQ3IDQyOS44MyAxOTkuNDYgNDI5LjUxIDE5&#10;OC40NiA0MjkuMTggMTk3LjQxIDQyOC44NSAxOTYuMzYgNDI4LjU2IDE5NS4zMSA0MjguNDEgMTk0&#10;LjgxIDQyOC4yNyAxOTQuMzEgNDI4LjE3IDE5My44IDQyOC4xMiAxOTMuNTYgNDI4LjA3IDE5My4z&#10;MiA0MjguMDMgMTkzLjA4IDQyNy45OSAxOTIuODMgNDI3Ljk1IDE5Mi41MSA0MjguMDYgMTkyLjI3&#10;IDQyOC4xMSAxOTIuMTcgNDI4LjE2IDE5Mi4wNyA0MjguMjQgMTkxLjk4IDQyOC42IDE5MS42IDQy&#10;OS4yNCAxOTEuNDMgNDI5Ljk2IDE5MS40NSA0MzAuMDIgMTkxLjQ1IDQzMC4wNyAxOTEuNDUgNDMw&#10;LjEzIDE5MS40NVoiIGZpbGw9IiMwMTAxMDEiLz48cGF0aCBkPSJNNDQzLjc0IDE5Mi44N0M0NDQu&#10;MiAxOTMuMDYgNDQ0LjQ5IDE5My40MiA0NDQuNzEgMTkzLjcxIDQ0NC45IDE5My45NiA0NDUuMDYg&#10;MTk0LjIgNDQ1LjIxIDE5NC40NiA0NDUuNTMgMTk0Ljk5IDQ0NS43NiAxOTUuNTMgNDQ2LjAxIDE5&#10;Ni4wNyA0NDYuNSAxOTcuMTIgNDQ2Ljk0IDE5OC4xOSA0NDcuMzggMTk5LjI1IDQ0Ny44OCAyMDAu&#10;NDYgNDQ4LjM3IDIwMS42NiA0NDguNzggMjAyLjg4IDQ0OC45NiAyMDMuNDIgNDQ5LjEyIDIwMy45&#10;NSA0NDkuMjUgMjA0LjQ5IDQ0OS40IDIwNS4xIDQ0OS41MSAyMDUuNzEgNDQ5LjcgMjA2LjMyIDQ0&#10;OS43MiAyMDYuNTQgNDQ5LjY1IDIwNi43NCA0NDkuNDggMjA2Ljk0IDQ0OS4yMiAyMDcuMjIgNDQ4&#10;Ljc3IDIwNy40NCA0NDguMjQgMjA3LjU0IDQ0Ny4xNCAyMDcuNzQgNDQ1LjkgMjA3LjM5IDQ0NS41&#10;NSAyMDYuNzcgNDQ1LjIyIDIwNi4xOCA0NDQuODMgMjA1LjYxIDQ0NC40NSAyMDUuMDQgNDQ0LjEg&#10;MjA0LjUyIDQ0My44MSAyMDMuOTkgNDQzLjUzIDIwMy40NSA0NDIuOTcgMjAyLjM3IDQ0Mi41NCAy&#10;MDEuMjYgNDQyLjEyIDIwMC4xNSA0NDEuNjggMTk4Ljk4IDQ0MS4zMiAxOTcuOCA0NDEgMTk2LjYx&#10;IDQ0MC44NiAxOTYuMDcgNDQwLjc0IDE5NS41MyA0NDAuNjQgMTk0Ljk5IDQ0MC41OSAxOTQuNzQg&#10;NDQwLjU1IDE5NC40OCA0NDAuNTMgMTk0LjIyIDQ0MC41IDE5My44NyA0NDAuNTEgMTkzLjUgNDQw&#10;LjgxIDE5My4xOCA0NDEuMDQgMTkyLjkzIDQ0MS40MiAxOTIuNzQgNDQxLjkgMTkyLjY1IDQ0Mi4x&#10;MiAxOTIuNjEgNDQyLjM0IDE5Mi41OSA0NDIuNTUgMTkyLjYgNDQyLjk4IDE5Mi42MSA0NDMuMzcg&#10;MTkyLjcyIDQ0My43NSAxOTIuODdaIiBmaWxsPSIjMDEwMTAxIi8+PHBhdGggZD0iTTQ1MC40NyAx&#10;OTEuMThDNDUxLjggMTkxLjM3IDQ1Mi4zMSAxOTIuMTkgNDUyLjc5IDE5Mi44MyA0NTMuMTYgMTkz&#10;LjMzIDQ1My40NyAxOTMuODMgNDUzLjc4IDE5NC4zNCA0NTQuMzggMTk1LjMxIDQ1NC45MyAxOTYu&#10;MyA0NTUuNDUgMTk3LjI5IDQ1NS45OSAxOTguMzEgNDU2LjQ3IDE5OS4zNCA0NTYuODggMjAwLjM4&#10;IDQ1Ny4yOSAyMDEuNDIgNDU3LjY5IDIwMi40NiA0NTguMiAyMDMuNDkgNDU4LjQ5IDIwNC4wNyA0&#10;NTguNzkgMjA0LjY1IDQ1OS4xMSAyMDUuMjMgNDU5LjQ4IDIwNS45MyA0NTguODQgMjA2LjcgNDU3&#10;LjU5IDIwNi45MyA0NTYuMzcgMjA3LjE2IDQ1NC45NyAyMDYuNzcgNDU0LjU5IDIwNi4wNyA0NTMu&#10;OTkgMjA0Ljk4IDQ1My4zOSAyMDMuODggNDUyLjcxIDIwMi44IDQ1Mi4wNiAyMDEuNzcgNDUxLjM5&#10;IDIwMC43NiA0NTAuODUgMTk5LjcyIDQ1MC4zNCAxOTguNzMgNDQ5Ljk0IDE5Ny43MyA0NDkuNTMg&#10;MTk2LjcyIDQ0OS4zMyAxOTYuMjEgNDQ5LjEzIDE5NS43IDQ0OC45NSAxOTUuMTggNDQ4LjczIDE5&#10;NC41NiA0NDguNDkgMTkzLjk0IDQ0OC4zNiAxOTMuMzEgNDQ4LjI5IDE5Mi45NSA0NDguMjUgMTky&#10;LjU5IDQ0OC4zNCAxOTIuMjQgNDQ4LjM4IDE5Mi4wNSA0NDguNDcgMTkxLjg4IDQ0OC42MiAxOTEu&#10;NzEgNDQ4LjkyIDE5MS4zOSA0NDkuNTYgMTkxLjE0IDQ1MC4yMiAxOTEuMTYgNDUwLjMxIDE5MS4x&#10;NiA0NTAuMzkgMTkxLjE3IDQ1MC40OCAxOTEuMThaIiBmaWxsPSIjMDEwMTAxIi8+PHBhdGggZD0i&#10;TTQ3My4wMiAxODMuOTNDNDczLjY1IDE4NC4xNyA0NzQuMDIgMTg0LjY1IDQ3NC4zNCAxODUuMDgg&#10;NDc0LjY3IDE4NS41MyA0NzQuOTcgMTg1Ljk5IDQ3NS4yNyAxODYuNDUgNDc1Ljc5IDE4Ny4yNiA0&#10;NzYuMjkgMTg4LjA3IDQ3Ni43OCAxODguODkgNDc3Ljg0IDE5MC42MyA0NzguOSAxOTIuMzcgNDc5&#10;Ljc1IDE5NC4xNiA0ODAgMTk0LjY5IDQ3OS42OSAxOTUuMjggNDc5LjA1IDE5NS41OCA0NzguNjcg&#10;MTk1Ljc1IDQ3OC4yMSAxOTUuODIgNDc3Ljc3IDE5NS43NSA0NzcuMzcgMTk1LjY5IDQ3Ni44NSAx&#10;OTUuNDkgNDc2LjY2IDE5NS4yMSA0NzYuMDEgMTk0LjI2IDQ3NS40MyAxOTMuMyA0NzQuODYgMTky&#10;LjMyIDQ3NC4zOCAxOTEuNSA0NzMuOTIgMTkwLjY3IDQ3My40NiAxODkuODUgNDcyLjk5IDE4OSA0&#10;NzIuNTEgMTg4LjE0IDQ3Mi4wNiAxODcuMjkgNDcxLjg2IDE4Ni45MSA0NzEuNjcgMTg2LjUzIDQ3&#10;MS41IDE4Ni4xNSA0NzEuNDEgMTg1Ljk0IDQ3MS4zMyAxODUuNzMgNDcxLjI2IDE4NS41MiA0NzEu&#10;MTYgMTg1LjIzIDQ3MS4wNiAxODQuODYgNDcxLjE4IDE4NC41NyA0NzEuMjkgMTg0LjMyIDQ3MS40&#10;MyAxODQuMTIgNDcxLjc1IDE4My45OCA0NzEuOTggMTgzLjg3IDQ3Mi4yNiAxODMuODIgNDcyLjU0&#10;IDE4My44MyA0NzIuNzEgMTgzLjgzIDQ3Mi44OCAxODMuODcgNDczLjA0IDE4My45M1oiIGZpbGw9&#10;IiMwMTAxMDEiLz48cGF0aCBkPSJNNDg0Ljg3IDE4OC42QzQ4NC44NyAxODguNiA0ODQuODMgMTg4&#10;LjU0IDQ4NC44MSAxODguNTEgNDg0LjggMTg4LjQ5IDQ4NC43OSAxODguNDcgNDg0Ljc3IDE4OC40&#10;NiA0ODQuOCAxODguNTEgNDg0LjgzIDE4OC41NSA0ODQuODYgMTg4LjZaTTQ3OCAxNzkuMTlDNDc4&#10;LjQyIDE3OS40NiA0NzguNjEgMTc5LjgxIDQ3OC42MSAxODAuMTYgNDc5LjY4IDE4MS4yMSA0ODAu&#10;NTIgMTgyLjQgNDgxLjM2IDE4My41NSA0ODIuNTEgMTg1LjEzIDQ4My42MiAxODYuNzIgNDg0LjY5&#10;IDE4OC4zMiA0ODQuNiAxODguMTggNDg0LjUxIDE4OC4wNSA0ODQuNDIgMTg3LjkxIDQ4NC41NCAx&#10;ODguMDkgNDg0LjY2IDE4OC4yNyA0ODQuNzggMTg4LjQ2IDQ4NC43OCAxODguNDUgNDg0Ljc2IDE4&#10;OC40NCA0ODQuNzYgMTg4LjQzIDQ4NC43OCAxODguNDYgNDg0LjggMTg4LjQ5IDQ4NC44MiAxODgu&#10;NTJMNDg0LjkxIDE4OC42NUM0ODQuOTEgMTg4LjY1IDQ4NC44OSAxODguNjIgNDg0Ljg4IDE4OC42&#10;MSA0ODQuOSAxODguNjQgNDg0LjkzIDE4OC42OCA0ODQuOTUgMTg4LjcxIDQ4NC45OCAxODguNzUg&#10;NDg1LjAxIDE4OC44IDQ4NS4wNCAxODguODQgNDg1LjAzIDE4OC44MiA0ODUuMDEgMTg4LjggNDg1&#10;IDE4OC43OCA0ODUuNjUgMTg5Ljc2IDQ4Ni4yOSAxOTAuNzUgNDg2Ljg5IDE5MS43NSA0ODcuNTMg&#10;MTkyLjgyIDQ4OC4wNiAxOTMuOTEgNDg4LjY5IDE5NC45OCA0ODkuMDggMTk1LjYzIDQ4OC41OCAx&#10;OTYuNDQgNDg3Ljc5IDE5Ni44IDQ4Ny4zMSAxOTcuMDIgNDg2LjcxIDE5Ny4xIDQ4Ni4xNSAxOTcu&#10;MDIgNDg1LjYyIDE5Ni45NSA0ODQuOTggMTk2LjY5IDQ4NC43MiAxOTYuMzMgNDgzLjc0IDE5NC45&#10;MyA0ODIuNjcgMTkzLjU3IDQ4MS43NCAxOTIuMTUgNDgwLjg4IDE5MC44NiA0ODAuMDggMTg5LjU1&#10;IDQ3OS4yOCAxODguMjQgNDc4LjUgMTg2Ljk1IDQ3Ny43MiAxODUuNjcgNDc2Ljk4IDE4NC4zNyA0&#10;NzYuMzkgMTgzLjMzIDQ3NS44MSAxODIuMjkgNDc1LjQ0IDE4MS4yMSA0NzUuMiAxODEuMDYgNDc1&#10;LjAxIDE4MC44NiA0NzQuOTEgMTgwLjYzIDQ3NC42NCAxODAuMDUgNDc0Ljk3IDE3OS4zOSA0NzUu&#10;NjkgMTc5LjA2IDQ3Ni4wNCAxNzguOSA0NzYuNDQgMTc4LjgzIDQ3Ni44NCAxNzguODUgNDc3LjI3&#10;IDE3OC44NyA0NzcuNjkgMTc4Ljk5IDQ3OC4wMiAxNzkuMloiIGZpbGw9IiMwMTAxMDEiLz48cGF0&#10;aCBkPSJNNDg2Ljg3IDE3Ny4zQzQ4Ny4zIDE3Ny42OCA0ODcuNyAxNzguMDggNDg4LjA4IDE3OC40&#10;OSA0ODguOCAxNzkuMjcgNDg5LjQ2IDE4MC4wNyA0OTAuMTEgMTgwLjg4IDQ5MS40NiAxODIuNTUg&#10;NDkyLjc5IDE4NC4yMyA0OTQuMTEgMTg1LjkyIDQ5NC42IDE4Ni41NCA0OTUuMDggMTg3LjE2IDQ5&#10;NS41MyAxODcuOCA0OTYuMDggMTg4LjU5IDQ5Ni41OSAxODkuMzkgNDk3LjA5IDE5MC4yIDQ5Ny4y&#10;IDE5MC40NCA0OTcuMjIgMTkwLjY5IDQ5Ny4xNSAxOTAuOTMgNDk3LjA0IDE5MS4zMSA0OTYuNzIg&#10;MTkxLjY1IDQ5Ni4yNyAxOTEuODYgNDk1LjMzIDE5Mi4yOSA0OTQuMDkgMTkyLjA4IDQ5My40NyAx&#10;OTEuNDMgNDkyLjY4IDE5MC41OSA0OTEuOTIgMTg5Ljc0IDQ5MS4yNCAxODguODYgNDkwLjU5IDE4&#10;OC4wMyA0OTAuMDEgMTg3LjE3IDQ4OS40MSAxODYuMzIgNDg4LjE5IDE4NC42MSA0ODcgMTgyLjg5&#10;IDQ4NS44IDE4MS4xNyA0ODUuMyAxODAuNDQgNDg0LjggMTc5LjcyIDQ4NC4zMSAxNzguOTkgNDg0&#10;LjExIDE3OC42OSA0ODMuOTIgMTc4LjM4IDQ4My43NCAxNzguMDcgNDgzLjY2IDE3Ny45MyA0ODMu&#10;NiAxNzcuNzkgNDgzLjU1IDE3Ny42NSA0ODMuNTEgMTc3LjU1IDQ4My40NSAxNzcuMzYgNDgzLjQ1&#10;IDE3Ny4yMyA0ODMuNDUgMTc3LjAyIDQ4My41IDE3Ni44OCA0ODMuNiAxNzYuNjkgNDgzLjc1IDE3&#10;Ni40MiA0ODQuMjEgMTc2LjI0IDQ4NC42IDE3Ni4yMiA0ODQuNjYgMTc2LjIyIDQ4NC43MiAxNzYu&#10;MjIgNDg0Ljc3IDE3Ni4yMiA0ODUuNjcgMTc2LjI2IDQ4Ni4zNSAxNzYuODUgNDg2Ljg3IDE3Ny4z&#10;MVoiIGZpbGw9IiMwMTAxMDEiLz48cGF0aCBkPSJNNDkzLjM0IDE3MS4yMUM0OTMuNDMgMTcxLjI1&#10;IDQ5My41MiAxNzEuMjkgNDkzLjYyIDE3MS4zNSA0OTMuOTIgMTcxLjUzIDQ5NC4xNiAxNzEuNzcg&#10;NDk0LjQgMTcxLjk5IDQ5NC44NiAxNzIuNDIgNDk1LjI3IDE3Mi44NiA0OTUuNjYgMTczLjMxIDQ5&#10;Ni41MyAxNzQuMyA0OTcuMzggMTc1LjMxIDQ5OC4yNCAxNzYuMzEgNDk5LjggMTc4LjExIDUwMS4y&#10;OSAxNzkuOTQgNTAyLjk1IDE4MS42OSA1MDMuNTkgMTgyLjM2IDUwNC4yNSAxODMuMDEgNTA0Ljkz&#10;IDE4My42NiA1MDUuMjkgMTg0LjAxIDUwNS42NCAxODQuMzUgNTA1Ljk4IDE4NC43IDUwNi4xMyAx&#10;ODQuODYgNTA2LjI5IDE4NS4wMSA1MDYuNDMgMTg1LjE3IDUwNi42OCAxODUuNDYgNTA2Ljg1IDE4&#10;NS43OCA1MDcuMDEgMTg2LjEgNTA3LjMyIDE4Ni43NSA1MDYuOTQgMTg3LjQ5IDUwNi4xNCAxODcu&#10;ODYgNTA1LjM0IDE4OC4yMiA1MDQuMjMgMTg4LjE3IDUwMy41NCAxODcuNyA1MDMuMTcgMTg3LjQ1&#10;IDUwMi43OSAxODcuMTggNTAyLjUyIDE4Ni44NiA1MDIuMzMgMTg2LjYzIDUwMi4xNCAxODYuNCA1&#10;MDEuOTUgMTg2LjE3IDUwMS41NyAxODUuNjkgNTAxLjIyIDE4NS4yIDUwMC44NiAxODQuNzEgNTAw&#10;LjIxIDE4My44NCA0OTkuNTkgMTgyLjk2IDQ5OC45MyAxODIuMDkgNDk4LjIxIDE4MS4xNCA0OTcu&#10;NDggMTgwLjE5IDQ5Ni43OCAxNzkuMjMgNDk2LjA0IDE3OC4yNCA0OTUuMzUgMTc3LjI0IDQ5NC42&#10;NCAxNzYuMjQgNDk0LjAzIDE3NS4zOCA0OTMuNDMgMTc0LjUyIDQ5Mi44NiAxNzMuNjQgNDkyLjYy&#10;IDE3My4yNiA0OTIuMzggMTcyLjg4IDQ5Mi4xNiAxNzIuNDggNDkyLjA1IDE3Mi4yOCA0OTEuOTgg&#10;MTcyLjA4IDQ5MS45MiAxNzEuODYgNDkxLjkgMTcxLjc3IDQ5MS45MSAxNzEuNjkgNDkxLjk0IDE3&#10;MS42MSA0OTEuOTQgMTcxLjQxIDQ5Mi4wNiAxNzEuMjIgNDkyLjMxIDE3MS4xIDQ5Mi40NSAxNzEu&#10;MDQgNDkyLjYyIDE3MS4wMSA0OTIuNzkgMTcxLjAyIDQ5MyAxNzEuMDIgNDkzLjIgMTcxLjA5IDQ5&#10;My4zNSAxNzEuMThaIiBmaWxsPSIjMDEwMTAxIi8+PHBhdGggZD0iTTUwMS4xOSAxNjUuOEM1MDEu&#10;MTkgMTY1LjggNTAxLjI0IDE2NS44MiA1MDEuMjYgMTY1LjgzIDUwMS4zOSAxNjUuODkgNTAxLjUy&#10;IDE2NS45NCA1MDEuNjUgMTY1Ljk5IDUwMi4wNCAxNjYuMTUgNTAyLjQxIDE2Ni4zNiA1MDIuNzYg&#10;MTY2LjU2IDUwMy4zNyAxNjYuOTEgNTAzLjk1IDE2Ny4zIDUwNC41IDE2Ny43IDUwNS42NyAxNjgu&#10;NTYgNTA2LjgyIDE2OS40NCA1MDcuOTcgMTcwLjMxIDUxMC4xOSAxNzIgNTEyLjM4IDE3My43IDUx&#10;NC42NCAxNzUuMzYgNTE1LjY4IDE3Ni4xMyA1MTYuNjkgMTc2LjkxIDUxNy42NyAxNzcuNzIgNTE4&#10;LjMxIDE3OC4yNCA1MTguOTMgMTc4Ljc3IDUxOS41NCAxNzkuMyA1MjAuMDYgMTc5Ljc3IDUyMC41&#10;NCAxODAuMjYgNTIxLjA2IDE4MC43MyA1MjEuMjggMTgwLjk3IDUyMS40IDE4MS4yMyA1MjEuNDIg&#10;MTgxLjUyIDUyMS40NiAxODEuOTYgNTIxLjI0IDE4Mi40IDUyMC44MyAxODIuNzIgNTIwLjQzIDE4&#10;My4wMyA1MTkuODYgMTgzLjIzIDUxOS4yNyAxODMuMjUgNTE4LjcgMTgzLjI4IDUxNy45OSAxODMu&#10;MTMgNTE3LjU5IDE4Mi44MyA1MTYuOTkgMTgyLjM3IDUxNi4zNSAxODEuOTQgNTE1Ljc2IDE4MS40&#10;NyA1MTUuMiAxODEuMDMgNTE0LjY1IDE4MC41NyA1MTQuMTEgMTgwLjEyIDUxMi45NiAxNzkuMTUg&#10;NTExLjgzIDE3OC4xNyA1MTAuNzQgMTc3LjE3IDUwOC43NSAxNzUuMzMgNTA2LjcyIDE3My41MiA1&#10;MDQuNzQgMTcxLjY5IDUwMy43IDE3MC43MyA1MDIuNjYgMTY5Ljc3IDUwMS42NiAxNjguNzkgNTAx&#10;LjE5IDE2OC4zMyA1MDAuNzQgMTY3Ljg2IDUwMC4zMyAxNjcuMzggNTAwLjE2IDE2Ny4xNyA1MDAu&#10;MDEgMTY2Ljk1IDQ5OS44OSAxNjYuNzIgNDk5Ljg3IDE2Ni42OCA0OTkuODUgMTY2LjYzIDQ5OS44&#10;MyAxNjYuNTkgNDk5LjY2IDE2Ni4zNiA0OTkuNzIgMTY2LjA1IDQ5OS45NiAxNjUuODYgNTAwLjE0&#10;IDE2NS43MiA1MDAuNDMgMTY1LjY0IDUwMC43IDE2NS42NSA1MDAuODggMTY1LjY1IDUwMS4wNSAx&#10;NjUuNyA1MDEuMTggMTY1Ljc5WiIgZmlsbD0iIzAxMDEwMSIvPjxwYXRoIGQ9Ik01MTIuNiAxNTku&#10;NjlDNTEyLjc2IDE1OS43OSA1MTIuODcgMTU5LjkzIDUxMi45MiAxNjAuMDcgNTEzLjE2IDE2MC4z&#10;MyA1MTMuNDYgMTYwLjU3IDUxMy43MyAxNjAuODEgNTE0LjE1IDE2MS4xOCA1MTQuNTggMTYxLjU0&#10;IDUxNSAxNjEuOSA1MTUuODMgMTYyLjYyIDUxNi42NSAxNjMuMzUgNTE3LjQ2IDE2NC4wOCA1MTku&#10;MSAxNjUuNTcgNTIwLjc0IDE2Ny4wNyA1MjIuNDMgMTY4LjU0IDUyMy40OCAxNjkuNDYgNTI0LjU1&#10;IDE3MC4zOCA1MjUuNjEgMTcxLjMgNTI2LjY5IDE3Mi4yNCA1MjcuNzQgMTczLjE4IDUyOC44MyAx&#10;NzQuMTIgNTI4Ljk1IDE3NC4yNiA1MjkuMDIgMTc0LjQxIDUyOS4wNCAxNzQuNTcgNTI5LjA2IDE3&#10;NC44MiA1MjguOTQgMTc1LjA4IDUyOC43IDE3NS4yNiA1MjguNDcgMTc1LjQ0IDUyOC4xNCAxNzUu&#10;NTUgNTI3LjggMTc1LjU3IDUyNy40OCAxNzUuNTggNTI3LjA1IDE3NS41MSA1MjYuODMgMTc1LjMz&#10;IDUyNS45NCAxNzQuNjEgNTI1LjAyIDE3My45MiA1MjQuMTQgMTczLjIxIDUyMy4yMiAxNzIuNDYg&#10;NTIyLjM2IDE3MS42OCA1MjEuNSAxNzAuOSA1MTkuOTQgMTY5LjQ2IDUxOC4zNyAxNjguMDIgNTE2&#10;Ljg0IDE2Ni41NyA1MTUuNzcgMTY1LjU2IDUxNC43MiAxNjQuNTUgNTEzLjY2IDE2My41MyA1MTMu&#10;MTQgMTYzLjAzIDUxMi42MyAxNjIuNTIgNTEyLjEyIDE2Mi4wMSA1MTEuOSAxNjEuNzggNTExLjY4&#10;IDE2MS41NSA1MTEuNDcgMTYxLjMyIDUxMS4zMiAxNjEuMTYgNTExLjE3IDE2MC45OSA1MTEuMDQg&#10;MTYwLjgxIDUxMC45NCAxNjAuNzMgNTEwLjg2IDE2MC42MyA1MTAuODEgMTYwLjUzIDUxMC42NSAx&#10;NjAuMiA1MTAuODQgMTU5LjgyIDUxMS4yNiAxNTkuNjMgNTExLjQ2IDE1OS41NCA1MTEuNjkgMTU5&#10;LjUgNTExLjkyIDE1OS41MSA1MTIuMTcgMTU5LjUxIDUxMi40MSAxNTkuNTkgNTEyLjYgMTU5Ljcx&#10;WiIgZmlsbD0iIzAxMDEwMSIvPjxwYXRoIGQ9Ik01MzMuMDEgMTY2Ljg0QzUzMy4wMSAxNjYuODQg&#10;NTMzLjA5IDE2Ni45MSA1MzMuMTMgMTY2Ljk0IDUzMy4xMyAxNjYuOTQgNTMzLjEzIDE2Ni45NCA1&#10;MzMuMTQgMTY2Ljk1IDUzMy4xNCAxNjYuOTUgNTMzLjE1IDE2Ni45NiA1MzMuMTYgMTY2Ljk3TDUz&#10;My4xNiAxNjYuOTdDNTMzLjE2IDE2Ni45NyA1MzMuMjUgMTY3LjA1IDUzMy4zIDE2Ny4wOCA1MzMu&#10;MjUgMTY3LjA0IDUzMy4yIDE2NyA1MzMuMTUgMTY2Ljk2IDUzMy4wNyAxNjYuOSA1MzMgMTY2Ljgz&#10;IDUzMi45MiAxNjYuNzcgNTMyLjk1IDE2Ni44IDUzMi45OCAxNjYuODIgNTMzLjAxIDE2Ni44NVpN&#10;NTM1Ljc1IDE2OS4wN0M1MzUuNzUgMTY5LjA3IDUzNS43OSAxNjkuMSA1MzUuOCAxNjkuMTIgNTM1&#10;Ljc4IDE2OS4xIDUzNS43NiAxNjkuMDkgNTM1Ljc1IDE2OS4wN1pNNTMzLjAxIDE2Ni44NUM1MzMu&#10;MDEgMTY2Ljg1IDUzMy4wNyAxNjYuOSA1MzMuMSAxNjYuOTIgNTMzLjA3IDE2Ni45IDUzMy4wNCAx&#10;NjYuODcgNTMzLjAxIDE2Ni44NVpNNTIyLjc2IDE1NCA1MjIuNzYgMTU0QzUyMi45MiAxNTQuMSA1&#10;MjMuMDYgMTU0LjIxIDUyMy4xOCAxNTQuMzEgNTIzLjQ2IDE1NC41MyA1MjMuNzIgMTU0Ljc2IDUy&#10;My45OCAxNTQuOTkgNTI0LjQ4IDE1NS40MiA1MjQuOTggMTU1Ljg2IDUyNS40OCAxNTYuMyA1MjYu&#10;NDIgMTU3LjE0IDUyNy4zNiAxNTcuOTggNTI4LjMxIDE1OC44MiA1MzAuMjQgMTYwLjUzIDUzMi4x&#10;OSAxNjIuMjMgNTM0LjA2IDE2My45NiA1MzQuODQgMTY0LjY5IDUzNS42MiAxNjUuNDIgNTM2LjM0&#10;IDE2Ni4xNyA1MzcuMSAxNjYuOTYgNTM3Ljg0IDE2Ny43NSA1MzguNjYgMTY4LjUyIDUzOS4xMiAx&#10;NjguOTUgNTM4Ljg1IDE2OS42MSA1MzguMjUgMTY5Ljg4IDUzNy45NSAxNzAuMDIgNTM3LjU4IDE3&#10;MC4wNyA1MzcuMjMgMTcwLjAyIDUzNi44MyAxNjkuOTYgNTM2LjU5IDE2OS44IDUzNi4zNCAxNjku&#10;NTkgNTM2LjE3IDE2OS40NCA1MzYgMTY5LjI5IDUzNS44MyAxNjkuMTUgNTM0Ljk2IDE2OC40MyA1&#10;MzQuMDQgMTY3LjczIDUzMy4xOCAxNjcgNTMzLjI3IDE2Ny4wOCA1MzMuMzYgMTY3LjE1IDUzMy40&#10;NiAxNjcuMjMgNTMzLjM1IDE2Ny4xNCA1MzMuMjUgMTY3LjA1IDUzMy4xNCAxNjYuOTYgNTMzLjEg&#10;MTY2LjkyIDUzMy4wNSAxNjYuODkgNTMzLjAxIDE2Ni44NSA1MzIuOTcgMTY2LjgxIDUzMi45MyAx&#10;NjYuNzggNTMyLjg4IDE2Ni43NCA1MzIuODkgMTY2Ljc1IDUzMi45IDE2Ni43NiA1MzIuOTIgMTY2&#10;Ljc3IDUzMC45OSAxNjUuMTMgNTI5LjE5IDE2My40IDUyNy40MSAxNjEuNjggNTI1LjU2IDE1OS45&#10;IDUyMy42OCAxNTguMTIgNTIxLjkgMTU2LjMxIDUyMS42NyAxNTYuMDggNTIxLjQ2IDE1NS44NCA1&#10;MjEuMjUgMTU1LjYgNTIxLjA4IDE1NS40IDUyMC44OCAxNTUuMTggNTIwLjc5IDE1NC45NCA1MjAu&#10;NjUgMTU0LjY1IDUyMC43MyAxNTQuMzEgNTIxLjA0IDE1NC4wNyA1MjEuMyAxNTMuODcgNTIxLjY2&#10;IDE1My43NyA1MjIuMDIgMTUzLjc5IDUyMi4yOSAxNTMuOCA1MjIuNTYgMTUzLjg3IDUyMi43OCAx&#10;NTQuMDFaIiBmaWxsPSIjMDEwMTAxIi8+PHBhdGggZD0iTTUzNC4wNyAxNTIuNDVDNTM0IDE1Mi4z&#10;OSA1MzMuOTIgMTUyLjMzIDUzMy44NSAxNTIuMjcgNTMzLjkyIDE1Mi4zMyA1MzQgMTUyLjM5IDUz&#10;NC4wNyAxNTIuNDVaTTU0My42OCAxNjQuNzJDNTQzLjY4IDE2NC43MiA1NDMuNjggMTY0LjcyIDU0&#10;My42OCAxNjQuNzIgNTQzLjcyIDE2NC43NSA1NDMuNzYgMTY0Ljc5IDU0My44IDE2NC44MiA1NDMu&#10;NzQgMTY0Ljc3IDU0My42OSAxNjQuNzMgNTQzLjYzIDE2NC42OCA1NDMuNjQgMTY0LjY5IDU0My42&#10;NSAxNjQuNyA1NDMuNjcgMTY0LjcxWk01MzAuMjYgMTQ5Ljg4QzUzMC42OCAxNDkuOTMgNTMxLjA4&#10;IDE1MC4xNCA1MzEuMzkgMTUwLjM0IDUzMS42NSAxNTAuNTEgNTMxLjkxIDE1MC42OSA1MzIuMTUg&#10;MTUwLjg4IDUzMi43NCAxNTEuMzMgNTMzLjMgMTUxLjggNTMzLjg2IDE1Mi4yNyA1MzMuODQgMTUy&#10;LjI2IDUzMy44MyAxNTIuMjQgNTMzLjgxIDE1Mi4yMyA1MzUuNjEgMTUzLjc1IDUzNy4zNiAxNTUu&#10;MzEgNTM5LjA3IDE1Ni44OCA1NDAuNzIgMTU4LjQgNTQyLjM5IDE1OS45MSA1NDMuODggMTYxLjUg&#10;NTQ0Ljg4IDE2Mi41NyA1NDUuODYgMTYzLjY0IDU0Ni45MyAxNjQuNjcgNTQ3LjM1IDE2NS4wNyA1&#10;NDcuMTEgMTY1LjY4IDU0Ni41NSAxNjUuOTQgNTQ2LjI3IDE2Ni4wNyA1NDUuOTIgMTY2LjEyIDU0&#10;NS41OSAxNjYuMDcgNTQ1LjIyIDE2Ni4wMiA1NDQuOTggMTY1Ljg3IDU0NC43NiAxNjUuNjcgNTQ0&#10;LjQzIDE2NS4zNyA1NDQuMDggMTY1LjA3IDU0My43NCAxNjQuNzcgNTQzLjgxIDE2NC44MyA1NDMu&#10;ODkgMTY0Ljg5IDU0My45NiAxNjQuOTYgNTQzLjg3IDE2NC44OCA1NDMuNzggMTY0LjgxIDU0My42&#10;OSAxNjQuNzMgNTQzLjY5IDE2NC43MyA1NDMuNjkgMTY0LjczIDU0My42OSAxNjQuNzMgNTQzLjY2&#10;IDE2NC43IDU0My42MyAxNjQuNjggNTQzLjYgMTY0LjY1IDU0My42MiAxNjQuNjcgNTQzLjY0IDE2&#10;NC42OCA1NDMuNjYgMTY0LjcgNTQzLjU5IDE2NC42NCA1NDMuNTIgMTY0LjU4IDU0My40NSAxNjQu&#10;NTIgNTQzLjUyIDE2NC41OSA1NDMuNiAxNjQuNjUgNTQzLjY4IDE2NC43MSA1NDIuODEgMTYzLjk5&#10;IDU0MS45MiAxNjMuMjkgNTQxLjA1IDE2Mi41NyA1NDAuMTEgMTYxLjc4IDUzOS4yMSAxNjAuOTgg&#10;NTM4LjMxIDE2MC4xNyA1MzYuNjMgMTU4LjY0IDUzNC45OSAxNTcuMDkgNTMzLjM2IDE1NS41NCA1&#10;MzIuNTYgMTU0Ljc5IDUzMS43NyAxNTQuMDMgNTMwLjk5IDE1My4yNyA1MzAuNiAxNTIuODkgNTMw&#10;LjIxIDE1Mi41IDUyOS44MiAxNTIuMTEgNTI5LjQzIDE1MS43MiA1MjguOTIgMTUxLjI2IDUyOC44&#10;NyAxNTAuNzYgNTI4LjgyIDE1MC4yNCA1MjkuNDYgMTQ5Ljg1IDUzMC4xNCAxNDkuODggNTMwLjE4&#10;IDE0OS44OCA1MzAuMjMgMTQ5Ljg4IDUzMC4yNyAxNDkuODlaIiBmaWxsPSIjMDEwMTAxIi8+PHBh&#10;dGggZD0iTTU0MC4yIDE0NC4xQzU0MC41NCAxNDQuMTUgNTQwLjc3IDE0NC4zMiA1NDAuOTkgMTQ0&#10;LjQ5IDU0MS4yOCAxNDQuNzEgNTQxLjU1IDE0NC45NCA1NDEuODIgMTQ1LjE3IDU0Mi4xOSAxNDUu&#10;NDggNTQyLjU0IDE0NS44IDU0Mi44OSAxNDYuMTMgNTQzLjU4IDE0Ni43NiA1NDQuMjQgMTQ3LjQg&#10;NTQ0LjkxIDE0OC4wNCA1NDYuMyAxNDkuMzUgNTQ3LjY4IDE1MC42NyA1NDkuMDUgMTUyIDU1MC4x&#10;MyAxNTMuMDUgNTUxLjIxIDE1NC4xMSA1NTIuMzMgMTU1LjE0IDU1My40OSAxNTYuMiA1NTQuNjYg&#10;MTU3LjI2IDU1NS44NCAxNTguMzEgNTU2LjAxIDE1OC40NyA1NTYuMDUgMTU4LjcyIDU1NiAxNTgu&#10;OTEgNTU1Ljk0IDE1OS4xMyA1NTUuNzYgMTU5LjMyIDU1NS41IDE1OS40NCA1NTUuMjUgMTU5LjU1&#10;IDU1NC45NCAxNTkuNiA1NTQuNjUgMTU5LjU1IDU1NC4zMiAxNTkuNSA1NTQuMTIgMTU5LjM3IDU1&#10;My45MSAxNTkuMTkgNTUyLjQ2IDE1Ny45IDU1MC45NiAxNTYuNjQgNTQ5LjQ4IDE1NS4zNyA1NDgu&#10;MDMgMTU0LjEzIDU0Ni42OSAxNTIuODMgNTQ1LjM2IDE1MS41MyA1NDQuMjUgMTUwLjQzIDU0My4x&#10;NCAxNDkuMzQgNTQyLjA1IDE0OC4yMyA1NDEuNTMgMTQ3LjcgNTQxIDE0Ny4xNiA1NDAuNSAxNDYu&#10;NjIgNTQwLjIyIDE0Ni4zMyA1MzkuOTUgMTQ2LjA0IDUzOS42OCAxNDUuNzQgNTM5LjMzIDE0NS4z&#10;NiA1MzguOSAxNDQuOTIgNTM5LjE5IDE0NC40NSA1MzkuMzQgMTQ0LjIyIDUzOS43MSAxNDQuMDgg&#10;NTQwLjA3IDE0NC4wOSA1NDAuMTEgMTQ0LjA5IDU0MC4xNiAxNDQuMDkgNTQwLjIgMTQ0LjFaIiBm&#10;aWxsPSIjMDEwMTAxIi8+PHBhdGggZD0iTTU1My44OSAxNDMuOTRDNTUzLjg5IDE0My45NCA1NTMu&#10;ODYgMTQzLjkyIDU1My44NSAxNDMuOTEgNTUzLjg2IDE0My45MiA1NTMuODggMTQzLjkzIDU1My44&#10;OSAxNDMuOTRaTTU1NC4zOSAxNDguMDZDNTU0LjQ1IDE0OC4xMSA1NTQuNTEgMTQ4LjE2IDU1NC41&#10;OCAxNDguMjIgNTU0LjUxIDE0OC4xNiA1NTQuNDQgMTQ4LjEgNTU0LjM2IDE0OC4wNCA1NTQuMzcg&#10;MTQ4LjA0IDU1NC4zOCAxNDguMDYgNTU0LjM5IDE0OC4wN1pNNTQ4Ljk1IDEzOS45NUM1NDkuNDkg&#10;MTQwLjM2IDU1MC4wMiAxNDAuNzggNTUwLjU0IDE0MS4yMSA1NTEuNjEgMTQyLjA3IDU1Mi42OCAx&#10;NDIuOTMgNTUzLjczIDE0My44MSA1NTMuNzcgMTQzLjg0IDU1My44MSAxNDMuODggNTUzLjg1IDE0&#10;My45MSA1NTMuODQgMTQzLjkgNTUzLjgzIDE0My44OSA1NTMuODEgMTQzLjg4IDU1My44NSAxNDMu&#10;OTIgNTUzLjkgMTQzLjk1IDU1My45NCAxNDMuOTkgNTUzLjkyIDE0My45NyA1NTMuOSAxNDMuOTYg&#10;NTUzLjg4IDE0My45NCA1NTUuNDMgMTQ1LjI0IDU1Ni45NSAxNDYuNTYgNTU4LjQxIDE0Ny45MSA1&#10;NTkuMDkgMTQ4LjU1IDU1OS43NiAxNDkuMiA1NjAuNDIgMTQ5Ljg1IDU2MS4xMiAxNTAuNTMgNTYx&#10;Ljg1IDE1MS4yIDU2Mi41OSAxNTEuODYgNTYyLjc5IDE1Mi4wNCA1NjIuODQgMTUyLjM1IDU2Mi43&#10;OCAxNTIuNTcgNTYyLjcxIDE1Mi44MiA1NjIuNDkgMTUzLjA1IDU2Mi4xOSAxNTMuMTggNTYxLjkg&#10;MTUzLjMxIDU2MS41NCAxNTMuMzYgNTYxLjIgMTUzLjMxIDU2MC44MSAxNTMuMjYgNTYwLjU4IDE1&#10;My4xIDU2MC4zNCAxNTIuODkgNTYwLjEyIDE1Mi43IDU1OS45IDE1Mi41MiA1NTkuNjggMTUyLjMz&#10;IDU1OC44OCAxNTEuNjcgNTU4LjA2IDE1MS4wMiA1NTcuMjMgMTUwLjM4IDU1Ni4zMiAxNDkuNjcg&#10;NTU1LjQ0IDE0OC45NSA1NTQuNTcgMTQ4LjIxIDU1NC41OSAxNDguMjMgNTU0LjYxIDE0OC4yNCA1&#10;NTQuNjMgMTQ4LjI2IDU1NC41NSAxNDguMTkgNTU0LjQ3IDE0OC4xMyA1NTQuMzkgMTQ4LjA2IDU1&#10;NC4zOCAxNDguMDUgNTU0LjM2IDE0OC4wNCA1NTQuMzUgMTQ4LjAzIDU1NC4zNSAxNDguMDMgNTU0&#10;LjM1IDE0OC4wMyA1NTQuMzUgMTQ4LjAzIDU1Mi44MSAxNDYuNzQgNTUxLjI4IDE0NS40MyA1NDku&#10;NzcgMTQ0LjEyIDU0OC45OSAxNDMuNDQgNTQ4LjIxIDE0Mi43NiA1NDcuNDUgMTQyLjA2IDU0Ny4w&#10;OSAxNDEuNzMgNTQ2LjcyIDE0MS4zOSA1NDYuMzYgMTQxLjA1IDU0Ni4yMSAxNDAuOTEgNTQ2LjA2&#10;IDE0MC43NyA1NDUuOTEgMTQwLjYyIDU0NS42NyAxNDAuMzggNTQ1LjQ5IDE0MC4xNSA1NDUuNDMg&#10;MTM5Ljg0IDU0NS4zMyAxMzkuMzUgNTQ1Ljk4IDEzOC44OCA1NDYuNjUgMTM4Ljg2IDU0Ni42OSAx&#10;MzguODYgNTQ2Ljc0IDEzOC44NiA1NDYuNzggMTM4Ljg2IDU0Ny42OCAxMzguOSA1NDguMzUgMTM5&#10;LjQ5IDU0OC45MyAxMzkuOTNaIiBmaWxsPSIjMDEwMTAxIi8+PHBhdGggZD0iTTU2Ni4wMyAxNDQu&#10;NjhDNTY2LjAzIDE0NC42OCA1NjYuMDggMTQ0LjcyIDU2Ni4xIDE0NC43NCA1NjYuMDggMTQ0Ljcy&#10;IDU2Ni4wNSAxNDQuNyA1NjYuMDMgMTQ0LjY4Wk01NTYuMTUgMTMzLjEzQzU1Ni41MiAxMzMuMiA1&#10;NTYuNzcgMTMzLjM1IDU1Ny4wMiAxMzMuNTQgNTU3LjI1IDEzMy43MiA1NTcuNDcgMTMzLjkxIDU1&#10;Ny42OCAxMzQuMTEgNTU4LjA1IDEzNC40NCA1NTguNDEgMTM0Ljc2IDU1OC43OCAxMzUuMDkgNTU5&#10;LjUxIDEzNS43NSA1NjAuMjUgMTM2LjQgNTYwLjk5IDEzNy4wNiA1NjIuNTIgMTM4LjQxIDU2NC4w&#10;NSAxMzkuNzYgNTY1LjU3IDE0MS4xMiA1NjcuNDcgMTQyLjgyIDU2OS4yNyAxNDQuNTggNTcxLjE5&#10;IDE0Ni4yNyA1NzEuMzkgMTQ2LjQ1IDU3MS40MyAxNDYuNzQgNTcxLjM3IDE0Ni45NSA1NzEuMyAx&#10;NDcuMTkgNTcxLjEgMTQ3LjQxIDU3MC44IDE0Ny41NCA1NzAuNTIgMTQ3LjY3IDU3MC4xNyAxNDcu&#10;NzIgNTY5Ljg0IDE0Ny42NyA1NjkuNDcgMTQ3LjYyIDU2OS4yNCAxNDcuNDcgNTY5LjAxIDE0Ny4y&#10;NyA1NjcuOTcgMTQ2LjM2IDU2Ni45MiAxNDUuNDUgNTY1Ljg1IDE0NC41NSA1NjUuODggMTQ0LjU3&#10;IDU2NS45IDE0NC41OSA1NjUuOTMgMTQ0LjYxIDU2NC4zMyAxNDMuMjYgNTYyLjggMTQxLjg4IDU2&#10;MS4yOSAxNDAuNDkgNTU5Ljg1IDEzOS4xNiA1NTguNDIgMTM3LjgyIDU1Ny4wMyAxMzYuNDYgNTU2&#10;LjYyIDEzNi4wNiA1NTYuMjMgMTM1LjY2IDU1NS44NSAxMzUuMjUgNTU1LjY1IDEzNS4wNCA1NTUu&#10;NDYgMTM0LjgyIDU1NS4yOCAxMzQuNiA1NTUuMDUgMTM0LjMyIDU1NC44NSAxMzQuMDIgNTU0Ljk0&#10;IDEzMy42OCA1NTUuMDMgMTMzLjM0IDU1NS40OSAxMzMuMDggNTU1Ljk3IDEzMy4xIDU1Ni4wMiAx&#10;MzMuMSA1NTYuMDggMTMzLjEgNTU2LjEzIDEzMy4xMloiIGZpbGw9IiMwMTAxMDEiLz48cGF0aCBk&#10;PSJNNTYzLjk5IDEzMC40MkM1NjMuOTkgMTMwLjQyIDU2NC4wNSAxMzAuNDcgNTY0LjA3IDEzMC40&#10;OSA1NjQuMDQgMTMwLjQ3IDU2NC4wMSAxMzAuNDQgNTYzLjk5IDEzMC40MlpNNTYyLjkgMTI2LjYx&#10;QzU2My4yNyAxMjYuNzYgNTYzLjYyIDEyNi45NSA1NjMuOTUgMTI3LjE0IDU2NC41NyAxMjcuNTEg&#10;NTY1LjE3IDEyNy45IDU2NS43NiAxMjguMyA1NjYuOSAxMjkuMDcgNTY4LjAxIDEyOS44NiA1Njku&#10;MTIgMTMwLjY2IDU3MS4yOSAxMzIuMjIgNTczLjQzIDEzMy43OSA1NzUuNTUgMTM1LjM4IDU3Ni4z&#10;MSAxMzUuOTUgNTc3LjA4IDEzNi41MiA1NzcuODMgMTM3LjEgNTc4LjY2IDEzNy43NSA1NzkuNDIg&#10;MTM4LjQzIDU4MC4yIDEzOS4xIDU4MC4zOCAxMzkuMjUgNTgwLjU2IDEzOS4zOSA1ODAuNzQgMTM5&#10;LjUzIDU4MS4wNyAxMzkuNzkgNTgxLjMgMTQwLjA0IDU4MS4zMyAxNDAuNCA1ODEuMzYgMTQwLjc0&#10;IDU4MS4xOSAxNDEuMDkgNTgwLjg3IDE0MS4zNCA1ODAuMjMgMTQxLjg1IDU3OS4wMyAxNDEuOTIg&#10;NTc4LjMyIDE0MS40MyA1NzcuMTkgMTQwLjY1IDU3NS45NiAxMzkuOTYgNTc0Ljg1IDEzOS4xOCA1&#10;NzMuNzYgMTM4LjQyIDU3Mi43NCAxMzcuNjEgNTcxLjczIDEzNi43OSA1NjkuNyAxMzUuMTYgNTY3&#10;LjcyIDEzMy41MSA1NjUuNzMgMTMxLjg2IDU2NS4zNSAxMzEuNTQgNTY0Ljk2IDEzMS4yMiA1NjQu&#10;NTggMTMwLjkgNTY0LjM0IDEzMC43IDU2NC4wOSAxMzAuNDkgNTYzLjg1IDEzMC4yOSA1NjMuMjcg&#10;MTI5LjggNTYyLjY5IDEyOS4zIDU2Mi4xMiAxMjguOCA1NjEuODcgMTI4LjU4IDU2MS42MiAxMjgu&#10;MzYgNTYxLjM5IDEyOC4xNCA1NjEuMTQgMTI3Ljg5IDU2MC44MyAxMjcuNTggNTYwLjg1IDEyNy4y&#10;NiA1NjAuODcgMTI2LjkzIDU2MS4wOSAxMjYuNTUgNTYxLjYgMTI2LjQ2IDU2MS43OCAxMjYuNDMg&#10;NTYxLjk1IDEyNi40MiA1NjIuMTIgMTI2LjQyIDU2Mi4zOSAxMjYuNDMgNTYyLjY1IDEyNi40OSA1&#10;NjIuOTEgMTI2LjU5WiIgZmlsbD0iIzAxMDEwMSIvPjxwYXRoIGQ9Ik01ODQuMjMgMTM1Ljg5QzU4&#10;NC4zIDEzNS45NiA1ODQuMzggMTM2LjAyIDU4NC40NiAxMzYuMDggNTg0LjM5IDEzNi4wMiA1ODQu&#10;MzEgMTM1Ljk1IDU4NC4yMyAxMzUuODlaTTU3My4xNCAxMjIuNTdDNTczLjQyIDEyMi42OCA1NzMu&#10;NjIgMTIyLjg1IDU3My44MiAxMjMuMDIgNTc0LjA3IDEyMy4yMiA1NzQuMyAxMjMuNDIgNTc0LjU0&#10;IDEyMy42MiA1NzQuOTMgMTIzLjk2IDU3NS4zMSAxMjQuMyA1NzUuNyAxMjQuNjQgNTc2LjQ1IDEy&#10;NS4zMSA1NzcuMTggMTI1Ljk5IDU3Ny45MSAxMjYuNjcgNTc5LjQ0IDEyOC4wOCA1ODAuOTkgMTI5&#10;LjQ3IDU4Mi41NiAxMzAuODYgNTgzLjYgMTMxLjc4IDU4NC42MyAxMzIuNyA1ODUuNTggMTMzLjY3&#10;IDU4Ni41MyAxMzQuNjQgNTg3LjUxIDEzNS41OCA1ODguNTIgMTM2LjUxIDU4OC43NCAxMzYuNzEg&#10;NTg4Ljc5IDEzNy4wMiA1ODguNzIgMTM3LjI1IDU4OC42NSAxMzcuNTEgNTg4LjQyIDEzNy43NSA1&#10;ODguMSAxMzcuOSA1ODcuNzkgMTM4LjA0IDU4Ny40MiAxMzguMDkgNTg3LjA2IDEzOC4wNCA1ODYu&#10;NjYgMTM3Ljk4IDU4Ni40IDEzNy44MiA1ODYuMTYgMTM3LjYgNTg1LjYgMTM3LjA5IDU4NS4wMyAx&#10;MzYuNiA1ODQuNDUgMTM2LjEgNTgzLjY2IDEzNS40NSA1ODIuODQgMTM0LjgyIDU4Mi4wNSAxMzQu&#10;MTcgNTgxLjE4IDEzMy40NSA1ODAuMzUgMTMyLjcxIDU3OS41NCAxMzEuOTUgNTc4LjA0IDEzMC41&#10;NSA1NzYuNjEgMTI5LjExIDU3NS4yOCAxMjcuNjQgNTc0LjYxIDEyNi45IDU3My45NiAxMjYuMTcg&#10;NTczLjM0IDEyNS40MSA1NzMuMDYgMTI1LjA3IDU3Mi44IDEyNC43MyA1NzIuNTUgMTI0LjM4IDU3&#10;Mi4yMyAxMjMuOTIgNTcxLjc0IDEyMy4zNSA1NzIuMDUgMTIyLjgzIDU3Mi4xNyAxMjIuNjIgNTcy&#10;LjUxIDEyMi41MSA1NzIuODIgMTIyLjUyIDU3Mi45MyAxMjIuNTIgNTczLjAzIDEyMi41NCA1NzMu&#10;MTIgMTIyLjU4WiIgZmlsbD0iIzAxMDEwMSIvPjxwYXRoIGQ9Ik01ODQuNjIgMTEzLjg2QzU4NC43&#10;NiAxMTMuODggNTg0LjkxIDExMy45MyA1ODUuMDUgMTEzLjk3IDU4NS4yOSAxMTQuMDQgNTg1LjUg&#10;MTE0LjE4IDU4NS43IDExNC4zIDU4Ni4wMSAxMTQuNDcgNTg2LjI3IDExNC42OCA1ODYuNTQgMTE0&#10;Ljg4IDU4Ny4wNCAxMTUuMjUgNTg3LjUxIDExNS42NCA1ODcuOTggMTE2LjAzIDU4OS4wMiAxMTYu&#10;OSA1OTAuMDIgMTE3Ljc5IDU5MSAxMTguNjkgNTkyLjg0IDEyMC4zNyA1OTQuNjMgMTIyLjA4IDU5&#10;Ni4zMyAxMjMuODQgNTk3LjA1IDEyNC41OSA1OTcuNyAxMjUuMzcgNTk4LjM2IDEyNi4xNSA1OTku&#10;MDYgMTI2Ljk3IDU5OS44MiAxMjcuNzUgNjAwLjYxIDEyOC41MiA2MDEuMTMgMTI5LjAzIDYwMC44&#10;NCAxMjkuNzggNjAwLjEzIDEzMC4xMSA1OTkuNzggMTMwLjI3IDU5OS4zNSAxMzAuMzMgNTk4Ljk0&#10;IDEzMC4yNyA1OTguNDkgMTMwLjIxIDU5OC4xNyAxMzAuMDIgNTk3LjkgMTI5Ljc3IDU5Ny4zNCAx&#10;MjkuMjQgNTk2Ljc3IDEyOC43MiA1OTYuMTcgMTI4LjIgNTk1LjE3IDEyNy4zOCA1OTQuMTMgMTI2&#10;LjU5IDU5My4xNiAxMjUuNzUgNTkyLjIzIDEyNC45NSA1OTEuMzUgMTI0LjEyIDU5MC40NyAxMjMu&#10;MyA1ODguNjQgMTIxLjU5IDU4Ni44NiAxMTkuODUgNTg1LjIyIDExOC4wNSA1ODQuNzggMTE3LjU2&#10;IDU4NC4zMyAxMTcuMDYgNTgzLjk0IDExNi41NCA1ODMuNjcgMTE2LjE4IDU4My40MiAxMTUuODIg&#10;NTgzLjIxIDExNS40NSA1ODMuMDYgMTE1LjE5IDU4My4wMyAxMTQuODkgNTgzLjA4IDExNC42MiA1&#10;ODMuMTUgMTE0LjI0IDU4My42NiAxMTMuODQgNTg0LjIzIDExMy44NSA1ODQuMyAxMTMuODUgNTg0&#10;LjM4IDExMy44NSA1ODQuNDUgMTEzLjg1IDU4NC41IDExMy44NSA1ODQuNTYgMTEzLjg1IDU4NC42&#10;IDExMy44NloiIGZpbGw9IiMwMTAxMDEiLz48cGF0aCBkPSJNNTk1LjgyIDExMC4wMkM1OTYuMzIg&#10;MTEwLjA4IDU5Ni43MyAxMTAuMzIgNTk3LjExIDExMC41NCA1OTcuMzUgMTEwLjY4IDU5Ny41NyAx&#10;MTAuODUgNTk3Ljc5IDExMS4wMSA1OTguMzIgMTExLjM5IDU5OC43OSAxMTEuOCA1OTkuMjcgMTEy&#10;LjIxIDYwMC4xMiAxMTIuOTMgNjAwLjkyIDExMy42NyA2MDEuNzEgMTE0LjQzIDYwMy4yMSAxMTUu&#10;ODggNjA0Ljc0IDExNy4zMiA2MDYuMjggMTE4Ljc1IDYwNy4zMSAxMTkuNyA2MDguMzUgMTIwLjY1&#10;IDYwOS40IDEyMS42IDYwOS42OSAxMjEuODYgNjA5Ljc1IDEyMi4yOCA2MDkuNjYgMTIyLjU5IDYw&#10;OS41NiAxMjIuOTQgNjA5LjI2IDEyMy4yNiA2MDguODQgMTIzLjQ1IDYwOC40MyAxMjMuNjQgNjA3&#10;LjkyIDEyMy43MSA2MDcuNDUgMTIzLjY0IDYwNy4yOSAxMjMuNiA2MDcuMTMgMTIzLjU2IDYwNi45&#10;NyAxMjMuNTIgNjA2LjY2IDEyMy40MSA2MDYuNDIgMTIzLjI1IDYwNi4yNCAxMjMuMDUgNjA0LjYz&#10;IDEyMS41OSA2MDMuMDMgMTIwLjEyIDYwMS40MSAxMTguNjcgNTk5LjggMTE3LjIyIDU5OC4xMiAx&#10;MTUuODEgNTk2LjYyIDExNC4zIDU5Ni4xOCAxMTMuODUgNTk1Ljc0IDExMy40IDU5NS4zMSAxMTIu&#10;OTQgNTk1LjA4IDExMi42OSA1OTQuODYgMTEyLjQzIDU5NC42NCAxMTIuMTggNTk0LjUgMTEyIDU5&#10;NC4zNiAxMTEuODEgNTk0LjI0IDExMS42MSA1OTQuMSAxMTEuMzYgNTk0LjA3IDExMS4xIDU5NC4x&#10;MSAxMTAuODIgNTk0LjIxIDExMC4zIDU5NC45NSAxMDkuOTggNTk1LjY0IDExMC4wMSA1OTUuNjkg&#10;MTEwLjAxIDU5NS43NSAxMTAuMDEgNTk1LjggMTEwLjAyWiIgZmlsbD0iIzAxMDEwMSIvPjxwYXRo&#10;IGQ9Ik02MDQuNjcgMTAxLjc5QzYwNC42NyAxMDEuNzkgNjA0LjY1IDEwMS44MSA2MDQuNjQgMTAx&#10;LjgyTDYwNC42NCAxMDEuODJDNjA0LjY0IDEwMS44MiA2MDQuNjQgMTAxLjgyIDYwNC42NCAxMDEu&#10;ODIgNjA0LjY0IDEwMS44MSA2MDQuNjYgMTAxLjggNjA0LjY2IDEwMS43OVpNNjA2LjE3IDEwMS40&#10;NUM2MDYuMTcgMTAxLjQ1IDYwNi4yMSAxMDEuNDYgNjA2LjIzIDEwMS40NyA2MDYuMjIgMTAxLjQ3&#10;IDYwNi4yIDEwMS40NiA2MDYuMTkgMTAxLjQ1IDYwNi4xOSAxMDEuNDUgNjA2LjE4IDEwMS40NSA2&#10;MDYuMTcgMTAxLjQ1Wk02MDUuMzEgMTAxLjRDNjA1LjMxIDEwMS40IDYwNS4zMSAxMDEuNCA2MDUu&#10;MzEgMTAxLjQgNjA1LjMxIDEwMS40IDYwNS4zMSAxMDEuNCA2MDUuMzEgMTAxLjQgNjA1LjMxIDEw&#10;MS40IDYwNS4zMSAxMDEuNCA2MDUuMzEgMTAxLjRaTTYwNy42NCAxMDIuMzdDNjA4LjExIDEwMi43&#10;NyA2MDguNTQgMTAzLjIgNjA4Ljk3IDEwMy42MyA2MDkuOTEgMTA0LjU1IDYxMC44NCAxMDUuNDcg&#10;NjExLjc2IDEwNi40MSA2MTMuNTUgMTA4LjIyIDYxNS4xNiAxMTAuMTEgNjE2Ljg3IDExMS45NiA2&#10;MTcuODcgMTEzLjA1IDYxOC44OSAxMTQuMTIgNjE5LjkgMTE1LjIxIDYyMC40IDExNS43NCA2MjAu&#10;MTYgMTE2LjQ3IDYxOS40MiAxMTYuODIgNjE4LjY3IDExNy4xNyA2MTcuNjYgMTE3IDYxNy4xNiAx&#10;MTYuNDggNjE1LjQ1IDExNC42NiA2MTMuNzQgMTEyLjg0IDYxMS45NSAxMTEuMDYgNjEwLjA5IDEw&#10;OS4yMSA2MDguMjcgMTA3LjMzIDYwNi41OSAxMDUuMzkgNjA2LjE2IDEwNC44OSA2MDUuNzQgMTA0&#10;LjM3IDYwNS4zNyAxMDMuODUgNjA1LjE0IDEwMy41MiA2MDQuOSAxMDMuMTkgNjA0LjcgMTAyLjg1&#10;IDYwNC41NyAxMDIuNjIgNjA0LjQ4IDEwMi4zOCA2MDQuNSAxMDIuMTUgNjA0LjUxIDEwMS45NiA2&#10;MDQuNjEgMTAxLjc4IDYwNC43OSAxMDEuNjQgNjA0Ljk2IDEwMS41MSA2MDUuMTggMTAxLjQyIDYw&#10;NS40IDEwMS4zOSA2MDUuNTIgMTAxLjM3IDYwNS42NCAxMDEuMzYgNjA1Ljc1IDEwMS4zNyA2MDYu&#10;NTIgMTAxLjQgNjA3LjE0IDEwMS45OCA2MDcuNjIgMTAyLjM4WiIgZmlsbD0iIzAxMDEwMSIvPjwv&#10;c3ZnPlBLAwQUAAYACAAAACEALfIiS98AAAAKAQAADwAAAGRycy9kb3ducmV2LnhtbEyPwUrDQBCG&#10;74LvsIzgrd2sxiIxm1KKeiqCrSDeptlpEpqdDdltkr69m5PeZpiff74vX0+2FQP1vnGsQS0TEMSl&#10;Mw1XGr4Ob4tnED4gG2wdk4YreVgXtzc5ZsaN/EnDPlQilrDPUEMdQpdJ6cuaLPql64jj7eR6iyGu&#10;fSVNj2Mst618SJKVtNhw/FBjR9uayvP+YjW8jzhuHtXrsDufttefw9PH906R1vd30+YFRKAp/IVh&#10;xo/oUESmo7uw8aLVsFBpGmWChlUKYg4kKroc5yFVIItc/lcofgE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I/qEcYVBQAAEw8AAA4AAAAAAAAA&#10;AAAAAAAAQwIAAGRycy9lMm9Eb2MueG1sUEsBAi0ACgAAAAAAAAAhABjIHB794QAA/eEAABQAAAAA&#10;AAAAAAAAAAAAhAcAAGRycy9tZWRpYS9pbWFnZTEucG5nUEsBAi0ACgAAAAAAAAAhAOd+1mD/DwEA&#10;/w8BABQAAAAAAAAAAAAAAAAAs+kAAGRycy9tZWRpYS9pbWFnZTIuc3ZnUEsBAi0AFAAGAAgAAAAh&#10;AC3yIkvfAAAACgEAAA8AAAAAAAAAAAAAAAAA5PkBAGRycy9kb3ducmV2LnhtbFBLAQItABQABgAI&#10;AAAAIQAiVg7uxwAAAKUBAAAZAAAAAAAAAAAAAAAAAPD6AQBkcnMvX3JlbHMvZTJvRG9jLnhtbC5y&#10;ZWxzUEsFBgAAAAAHAAcAvgEAAO77AQAAAA==&#10;">
                <v:shape id="Graphic 1" o:spid="_x0000_s1038" type="#_x0000_t75" style="position:absolute;width:15608;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2JeyAAAAOMAAAAPAAAAZHJzL2Rvd25yZXYueG1sRE9La8JA&#10;EL4L/Q/LFHrT3aj4iK6ifYBQEIziecxOk9DsbMhuNf77bkHocb73LNedrcWVWl851pAMFAji3JmK&#10;Cw2n40d/BsIHZIO1Y9JwJw/r1VNvialxNz7QNQuFiCHsU9RQhtCkUvq8JIt+4BriyH251mKIZ1tI&#10;0+IthttaDpWaSIsVx4YSG3otKf/OfqwGSnbH8+d8Pjvdt/v3tyybHnx+0frludssQATqwr/44d6Z&#10;OH+qhsloNFZj+PspAiBXvwAAAP//AwBQSwECLQAUAAYACAAAACEA2+H2y+4AAACFAQAAEwAAAAAA&#10;AAAAAAAAAAAAAAAAW0NvbnRlbnRfVHlwZXNdLnhtbFBLAQItABQABgAIAAAAIQBa9CxbvwAAABUB&#10;AAALAAAAAAAAAAAAAAAAAB8BAABfcmVscy8ucmVsc1BLAQItABQABgAIAAAAIQBPt2JeyAAAAOMA&#10;AAAPAAAAAAAAAAAAAAAAAAcCAABkcnMvZG93bnJldi54bWxQSwUGAAAAAAMAAwC3AAAA/AIAAAAA&#10;">
                  <v:imagedata r:id="rId58" o:title="" cropleft="2286f"/>
                  <o:lock v:ext="edit" aspectratio="f"/>
                </v:shape>
                <v:shape id="Text Box 690" o:spid="_x0000_s1039" type="#_x0000_t202" style="position:absolute;left:86;top:51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bOEwQAAANwAAAAPAAAAZHJzL2Rvd25yZXYueG1sRE9Ni8Iw&#10;EL0v+B/CCN7WVA+yW40ipYKCLLQqeByasS02k9JEjf9+c1jY4+N9rzbBdOJJg2stK5hNExDEldUt&#10;1wrOp93nFwjnkTV2lknBmxxs1qOPFabavrigZ+lrEUPYpaig8b5PpXRVQwbd1PbEkbvZwaCPcKil&#10;HvAVw00n50mykAZbjg0N9pQ1VN3Lh1Fwned1Hn6K7YUPxyLc8+yUPUqlJuOwXYLwFPy/+M+91woW&#10;33F+PBOPgFz/AgAA//8DAFBLAQItABQABgAIAAAAIQDb4fbL7gAAAIUBAAATAAAAAAAAAAAAAAAA&#10;AAAAAABbQ29udGVudF9UeXBlc10ueG1sUEsBAi0AFAAGAAgAAAAhAFr0LFu/AAAAFQEAAAsAAAAA&#10;AAAAAAAAAAAAHwEAAF9yZWxzLy5yZWxzUEsBAi0AFAAGAAgAAAAhAN8Bs4TBAAAA3AAAAA8AAAAA&#10;AAAAAAAAAAAABwIAAGRycy9kb3ducmV2LnhtbFBLBQYAAAAAAwADALcAAAD1AgAAAAA=&#10;" filled="f" stroked="f">
                  <v:textbox inset="0,,0">
                    <w:txbxContent>
                      <w:p w14:paraId="379C0C93" w14:textId="426095EA" w:rsidR="00D52151" w:rsidRPr="000326C6" w:rsidRDefault="00426FDB" w:rsidP="006836A2">
                        <w:pPr>
                          <w:pBdr>
                            <w:left w:val="single" w:sz="12" w:space="9" w:color="357DBE" w:themeColor="accent1"/>
                          </w:pBdr>
                          <w:spacing w:after="0" w:line="240" w:lineRule="auto"/>
                          <w:jc w:val="center"/>
                          <w:rPr>
                            <w:b/>
                            <w:bCs/>
                            <w:color w:val="000000"/>
                            <w:sz w:val="20"/>
                            <w:szCs w:val="20"/>
                          </w:rPr>
                        </w:pPr>
                        <w:r>
                          <w:rPr>
                            <w:b/>
                            <w:bCs/>
                            <w:color w:val="000000"/>
                            <w:sz w:val="20"/>
                            <w:szCs w:val="20"/>
                          </w:rPr>
                          <w:t>F</w:t>
                        </w:r>
                        <w:r w:rsidR="006B192C">
                          <w:rPr>
                            <w:b/>
                            <w:bCs/>
                            <w:color w:val="000000"/>
                            <w:sz w:val="20"/>
                            <w:szCs w:val="20"/>
                          </w:rPr>
                          <w:t>urther</w:t>
                        </w:r>
                        <w:r>
                          <w:rPr>
                            <w:b/>
                            <w:bCs/>
                            <w:color w:val="000000"/>
                            <w:sz w:val="20"/>
                            <w:szCs w:val="20"/>
                          </w:rPr>
                          <w:t xml:space="preserve"> detail in</w:t>
                        </w:r>
                      </w:p>
                      <w:p w14:paraId="2D123274" w14:textId="413F61E9" w:rsidR="00B414E1" w:rsidRPr="00697AE5" w:rsidRDefault="00EE2A76" w:rsidP="006836A2">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Part B</w:t>
                        </w:r>
                        <w:r w:rsidR="00697AE5" w:rsidRPr="00697AE5">
                          <w:rPr>
                            <w:b/>
                            <w:bCs/>
                            <w:color w:val="000000"/>
                            <w:sz w:val="20"/>
                            <w:szCs w:val="20"/>
                          </w:rPr>
                          <w:t xml:space="preserve"> - </w:t>
                        </w:r>
                        <w:r w:rsidR="00327A8C" w:rsidRPr="00697AE5">
                          <w:rPr>
                            <w:b/>
                            <w:bCs/>
                            <w:color w:val="000000"/>
                            <w:sz w:val="20"/>
                            <w:szCs w:val="20"/>
                          </w:rPr>
                          <w:t xml:space="preserve">Section </w:t>
                        </w:r>
                        <w:r w:rsidR="002A5624" w:rsidRPr="00697AE5">
                          <w:rPr>
                            <w:b/>
                            <w:bCs/>
                            <w:color w:val="000000"/>
                            <w:sz w:val="20"/>
                            <w:szCs w:val="20"/>
                          </w:rPr>
                          <w:t>4</w:t>
                        </w:r>
                      </w:p>
                    </w:txbxContent>
                  </v:textbox>
                </v:shape>
                <w10:wrap type="square"/>
              </v:group>
            </w:pict>
          </mc:Fallback>
        </mc:AlternateContent>
      </w:r>
      <w:r w:rsidR="00B30BD9" w:rsidRPr="00884FAA">
        <w:t xml:space="preserve">Aboriginal and Torres Strait Islander people value </w:t>
      </w:r>
      <w:r w:rsidR="00B82235" w:rsidRPr="00884FAA">
        <w:t xml:space="preserve">holistic, high quality </w:t>
      </w:r>
      <w:r w:rsidR="00B30BD9" w:rsidRPr="00884FAA">
        <w:t xml:space="preserve">health </w:t>
      </w:r>
      <w:r w:rsidR="001542DF" w:rsidRPr="00884FAA">
        <w:t xml:space="preserve">care that is </w:t>
      </w:r>
      <w:r w:rsidR="00B30BD9" w:rsidRPr="00884FAA">
        <w:t>connected to the</w:t>
      </w:r>
      <w:r w:rsidR="001542DF" w:rsidRPr="00884FAA">
        <w:t>ir communities</w:t>
      </w:r>
      <w:r w:rsidR="00B30BD9" w:rsidRPr="00884FAA">
        <w:t>. Drawing on the resources available, a health service should provide spaces, programs, and services where individual and collective wellness is supported, creating stronger communities, and strengthening health determinants.</w:t>
      </w:r>
    </w:p>
    <w:p w14:paraId="60C0819C" w14:textId="7121AF69" w:rsidR="00B30BD9" w:rsidRPr="00884FAA" w:rsidRDefault="00B30BD9" w:rsidP="00B30BD9">
      <w:r w:rsidRPr="00884FAA">
        <w:t xml:space="preserve">Following Aboriginal and Torres Strait Islander ways of understanding holistic, connected health and wellbeing, </w:t>
      </w:r>
      <w:r w:rsidR="00E37071">
        <w:t>what people</w:t>
      </w:r>
      <w:r w:rsidR="00E37071" w:rsidRPr="00884FAA">
        <w:t xml:space="preserve"> </w:t>
      </w:r>
      <w:r w:rsidR="00127816" w:rsidRPr="00884FAA">
        <w:t>value</w:t>
      </w:r>
      <w:r w:rsidR="00E37071">
        <w:t xml:space="preserve"> in health care design and delivery</w:t>
      </w:r>
      <w:r w:rsidR="00127816" w:rsidRPr="00884FAA">
        <w:t xml:space="preserve"> </w:t>
      </w:r>
      <w:r w:rsidRPr="00884FAA">
        <w:t>extend</w:t>
      </w:r>
      <w:r w:rsidR="0076088C">
        <w:t>s</w:t>
      </w:r>
      <w:r w:rsidRPr="00884FAA">
        <w:t xml:space="preserve"> to </w:t>
      </w:r>
      <w:r w:rsidR="00995F56">
        <w:t xml:space="preserve">an expectation for the </w:t>
      </w:r>
      <w:r w:rsidRPr="00884FAA">
        <w:t xml:space="preserve">ways government systems and services </w:t>
      </w:r>
      <w:r w:rsidR="00995F56">
        <w:t>should</w:t>
      </w:r>
      <w:r w:rsidR="00995F56" w:rsidRPr="00884FAA">
        <w:t xml:space="preserve"> </w:t>
      </w:r>
      <w:r w:rsidRPr="00884FAA">
        <w:t xml:space="preserve">work to create the conditions for Aboriginal and Torres Strait Islander people to thrive. </w:t>
      </w:r>
    </w:p>
    <w:p w14:paraId="787B366B" w14:textId="5850FBA4" w:rsidR="00001893" w:rsidRDefault="0050335B" w:rsidP="00B30BD9">
      <w:r w:rsidRPr="00884FAA">
        <w:lastRenderedPageBreak/>
        <w:t xml:space="preserve">While people shared </w:t>
      </w:r>
      <w:r w:rsidR="00095BE2">
        <w:t>many different</w:t>
      </w:r>
      <w:r w:rsidR="00095BE2" w:rsidRPr="00884FAA">
        <w:t xml:space="preserve"> </w:t>
      </w:r>
      <w:r w:rsidRPr="00884FAA">
        <w:t xml:space="preserve">experiences, the </w:t>
      </w:r>
      <w:r w:rsidR="00001893" w:rsidRPr="00884FAA">
        <w:t xml:space="preserve">evaluation found that many Aboriginal and Torres Strait Islander people </w:t>
      </w:r>
      <w:r w:rsidR="002C53C2">
        <w:t xml:space="preserve">were more likely to </w:t>
      </w:r>
      <w:r w:rsidR="00001893" w:rsidRPr="00884FAA">
        <w:t xml:space="preserve">experience close alignment between </w:t>
      </w:r>
      <w:r w:rsidR="00CF7B62">
        <w:t xml:space="preserve">what they value </w:t>
      </w:r>
      <w:r w:rsidR="00001893" w:rsidRPr="00884FAA">
        <w:t xml:space="preserve">for health care </w:t>
      </w:r>
      <w:r w:rsidR="00076091">
        <w:t xml:space="preserve">design and delivery </w:t>
      </w:r>
      <w:r w:rsidR="00001893" w:rsidRPr="00884FAA">
        <w:t>and the model</w:t>
      </w:r>
      <w:r w:rsidR="00343A2F" w:rsidRPr="00884FAA">
        <w:t>s</w:t>
      </w:r>
      <w:r w:rsidR="00167ABD" w:rsidRPr="00884FAA">
        <w:t xml:space="preserve"> of care </w:t>
      </w:r>
      <w:r w:rsidR="00343A2F" w:rsidRPr="00884FAA">
        <w:t>associated with</w:t>
      </w:r>
      <w:r w:rsidR="007859A8" w:rsidRPr="00884FAA">
        <w:t xml:space="preserve"> </w:t>
      </w:r>
      <w:r w:rsidR="00001893" w:rsidRPr="00884FAA">
        <w:t xml:space="preserve">Aboriginal </w:t>
      </w:r>
      <w:r w:rsidR="00343A2F" w:rsidRPr="00884FAA">
        <w:t xml:space="preserve">and Torres Strait Islander </w:t>
      </w:r>
      <w:r w:rsidR="00001893" w:rsidRPr="00884FAA">
        <w:t>community-controlled health service</w:t>
      </w:r>
      <w:r w:rsidR="00343A2F" w:rsidRPr="00884FAA">
        <w:t xml:space="preserve"> delivery</w:t>
      </w:r>
      <w:r w:rsidR="00001893" w:rsidRPr="00884FAA">
        <w:t>.</w:t>
      </w:r>
      <w:r w:rsidR="000152CE" w:rsidRPr="00884FAA">
        <w:t xml:space="preserve"> </w:t>
      </w:r>
    </w:p>
    <w:p w14:paraId="0BF796AB" w14:textId="0DC2636A" w:rsidR="00CB50B5" w:rsidRPr="00884FAA" w:rsidRDefault="004A6F4C" w:rsidP="00651D06">
      <w:pPr>
        <w:pStyle w:val="Heading3NotNumbered"/>
        <w:numPr>
          <w:ilvl w:val="0"/>
          <w:numId w:val="0"/>
        </w:numPr>
      </w:pPr>
      <w:r w:rsidRPr="00884FAA">
        <w:t xml:space="preserve">People do not </w:t>
      </w:r>
      <w:r w:rsidR="00D03FDD" w:rsidRPr="00884FAA">
        <w:t xml:space="preserve">routinely </w:t>
      </w:r>
      <w:r w:rsidRPr="00884FAA">
        <w:t xml:space="preserve">experience health care that aligns with </w:t>
      </w:r>
      <w:r w:rsidR="00076091">
        <w:t xml:space="preserve">what </w:t>
      </w:r>
      <w:r w:rsidR="00DA674B">
        <w:t>they</w:t>
      </w:r>
      <w:r w:rsidR="00076091">
        <w:t xml:space="preserve"> </w:t>
      </w:r>
      <w:r w:rsidRPr="00884FAA">
        <w:t>value</w:t>
      </w:r>
      <w:r w:rsidR="00076091">
        <w:t xml:space="preserve"> in health care design and delivery</w:t>
      </w:r>
    </w:p>
    <w:p w14:paraId="06F5D699" w14:textId="69EFE119" w:rsidR="00252C5B" w:rsidRPr="00884FAA" w:rsidRDefault="00252C5B" w:rsidP="00F44B3A">
      <w:pPr>
        <w:rPr>
          <w:noProof/>
        </w:rPr>
      </w:pPr>
      <w:r w:rsidRPr="00884FAA">
        <w:rPr>
          <w:noProof/>
        </w:rPr>
        <w:t>Primary health</w:t>
      </w:r>
      <w:r w:rsidR="00684862" w:rsidRPr="00884FAA">
        <w:rPr>
          <w:noProof/>
        </w:rPr>
        <w:t xml:space="preserve"> </w:t>
      </w:r>
      <w:r w:rsidRPr="00884FAA">
        <w:rPr>
          <w:noProof/>
        </w:rPr>
        <w:t>care is delivered through a challenging, complex health system. For many Aborig</w:t>
      </w:r>
      <w:r w:rsidR="0039126F">
        <w:rPr>
          <w:noProof/>
        </w:rPr>
        <w:t>i</w:t>
      </w:r>
      <w:r w:rsidRPr="00884FAA">
        <w:rPr>
          <w:noProof/>
        </w:rPr>
        <w:t xml:space="preserve">nal and Torres Strait Islander people the disease burden is high and they experience complex care needs. As a result, accessing the care people need to manage their health means engaging in </w:t>
      </w:r>
      <w:r w:rsidR="00436C88" w:rsidRPr="00884FAA">
        <w:rPr>
          <w:noProof/>
        </w:rPr>
        <w:t xml:space="preserve">services across the </w:t>
      </w:r>
      <w:r w:rsidRPr="00884FAA">
        <w:rPr>
          <w:noProof/>
        </w:rPr>
        <w:t>primary, secondary, and tertiary care systems</w:t>
      </w:r>
      <w:r w:rsidR="00436C88" w:rsidRPr="00884FAA">
        <w:rPr>
          <w:noProof/>
        </w:rPr>
        <w:t xml:space="preserve">. Many of the services that Aboriginal </w:t>
      </w:r>
      <w:r w:rsidR="0055743B" w:rsidRPr="00884FAA">
        <w:rPr>
          <w:noProof/>
        </w:rPr>
        <w:t xml:space="preserve">and Torres Strait Islander people need require them to </w:t>
      </w:r>
      <w:r w:rsidRPr="00884FAA">
        <w:rPr>
          <w:noProof/>
        </w:rPr>
        <w:t>mov</w:t>
      </w:r>
      <w:r w:rsidR="0055743B" w:rsidRPr="00884FAA">
        <w:rPr>
          <w:noProof/>
        </w:rPr>
        <w:t>e</w:t>
      </w:r>
      <w:r w:rsidRPr="00884FAA">
        <w:rPr>
          <w:noProof/>
        </w:rPr>
        <w:t xml:space="preserve"> beyond the safety net of ACCHSs</w:t>
      </w:r>
      <w:r w:rsidR="005F5012" w:rsidRPr="00884FAA">
        <w:rPr>
          <w:noProof/>
        </w:rPr>
        <w:t>.</w:t>
      </w:r>
      <w:r w:rsidR="00727970" w:rsidRPr="00727970">
        <w:rPr>
          <w:noProof/>
        </w:rPr>
        <w:t xml:space="preserve"> </w:t>
      </w:r>
    </w:p>
    <w:p w14:paraId="37CAD055" w14:textId="7FC1633E" w:rsidR="005F5012" w:rsidRPr="00884FAA" w:rsidRDefault="00C50D1A" w:rsidP="00F44B3A">
      <w:pPr>
        <w:rPr>
          <w:noProof/>
        </w:rPr>
      </w:pPr>
      <w:r>
        <w:rPr>
          <w:noProof/>
        </w:rPr>
        <mc:AlternateContent>
          <mc:Choice Requires="wpg">
            <w:drawing>
              <wp:anchor distT="0" distB="0" distL="114300" distR="114300" simplePos="0" relativeHeight="251658276" behindDoc="0" locked="0" layoutInCell="1" allowOverlap="1" wp14:anchorId="60E68910" wp14:editId="0839E745">
                <wp:simplePos x="0" y="0"/>
                <wp:positionH relativeFrom="page">
                  <wp:posOffset>5981065</wp:posOffset>
                </wp:positionH>
                <wp:positionV relativeFrom="paragraph">
                  <wp:posOffset>12700</wp:posOffset>
                </wp:positionV>
                <wp:extent cx="1560830" cy="509270"/>
                <wp:effectExtent l="0" t="0" r="1270" b="5080"/>
                <wp:wrapSquare wrapText="bothSides"/>
                <wp:docPr id="537988684" name="Group 5379886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1652959888"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flipH="1">
                            <a:off x="0" y="0"/>
                            <a:ext cx="1560830" cy="620395"/>
                          </a:xfrm>
                          <a:prstGeom prst="rect">
                            <a:avLst/>
                          </a:prstGeom>
                          <a:ln>
                            <a:noFill/>
                          </a:ln>
                          <a:extLst>
                            <a:ext uri="{53640926-AAD7-44D8-BBD7-CCE9431645EC}">
                              <a14:shadowObscured xmlns:a14="http://schemas.microsoft.com/office/drawing/2010/main"/>
                            </a:ext>
                          </a:extLst>
                        </pic:spPr>
                      </pic:pic>
                      <wps:wsp>
                        <wps:cNvPr id="1517423650" name="Text Box 1517423650"/>
                        <wps:cNvSpPr txBox="1">
                          <a:spLocks noChangeArrowheads="1"/>
                        </wps:cNvSpPr>
                        <wps:spPr bwMode="auto">
                          <a:xfrm>
                            <a:off x="381000"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5C52D550" w14:textId="06AD50DF" w:rsidR="009E68BF" w:rsidRPr="000326C6" w:rsidRDefault="00AC00BC" w:rsidP="00C50D1A">
                              <w:pPr>
                                <w:spacing w:after="0" w:line="240" w:lineRule="auto"/>
                                <w:jc w:val="center"/>
                                <w:rPr>
                                  <w:b/>
                                  <w:bCs/>
                                  <w:color w:val="000000"/>
                                  <w:sz w:val="20"/>
                                  <w:szCs w:val="20"/>
                                </w:rPr>
                              </w:pPr>
                              <w:r>
                                <w:rPr>
                                  <w:b/>
                                  <w:bCs/>
                                  <w:color w:val="000000"/>
                                  <w:sz w:val="20"/>
                                  <w:szCs w:val="20"/>
                                </w:rPr>
                                <w:t>Further detail in</w:t>
                              </w:r>
                            </w:p>
                            <w:p w14:paraId="70CE4935" w14:textId="77777777" w:rsidR="009E68BF" w:rsidRPr="00697AE5" w:rsidRDefault="009E68BF" w:rsidP="00C50D1A">
                              <w:pPr>
                                <w:spacing w:after="0" w:line="240" w:lineRule="auto"/>
                                <w:jc w:val="center"/>
                                <w:rPr>
                                  <w:b/>
                                  <w:bCs/>
                                  <w:color w:val="000000"/>
                                  <w:sz w:val="20"/>
                                  <w:szCs w:val="20"/>
                                </w:rPr>
                              </w:pPr>
                              <w:r w:rsidRPr="00697AE5">
                                <w:rPr>
                                  <w:b/>
                                  <w:bCs/>
                                  <w:color w:val="000000"/>
                                  <w:sz w:val="20"/>
                                  <w:szCs w:val="20"/>
                                </w:rPr>
                                <w:t xml:space="preserve">Part B - Section </w:t>
                              </w:r>
                              <w:r>
                                <w:rPr>
                                  <w:b/>
                                  <w:bCs/>
                                  <w:color w:val="000000"/>
                                  <w:sz w:val="20"/>
                                  <w:szCs w:val="20"/>
                                </w:rPr>
                                <w:t>5</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0E68910" id="Group 537988684" o:spid="_x0000_s1040" alt="&quot;&quot;" style="position:absolute;left:0;text-align:left;margin-left:470.95pt;margin-top:1pt;width:122.9pt;height:40.1pt;z-index:251658276;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wtQ3XJAUAAC4PAAAOAAAAZHJzL2Uyb0RvYy54bWycV1tv&#10;2zYUfh+w/0DocUBiUbJuRpyibdasQLsGa4Z1j7REW0IkUaPoyOmv30dSsuXEge08xOHt3L7zHfLo&#10;6t2mKskjl20h6rlDL12H8DoVWVGv5s7f958uYoe0itUZK0XN584Tb51317/+ctU1M+6JXJQZlwRK&#10;6nbWNXMnV6qZTSZtmvOKtZei4TU2l0JWTGEqV5NMsg7aq3LiuW446YTMGilS3rZYvbGbzrXRv1zy&#10;VH1bLluuSDl34Jsyv9L8LvTv5PqKzVaSNXmR9m6wN3hRsaKG0a2qG6YYWcvihaqqSKVoxVJdpqKa&#10;iOWySLmJAdFQ91k0t1KsGxPLatatmi1MgPYZTm9Wm/75eCub782dBBJdswIWZqZj2Sxlpf/DS7Ix&#10;kD1tIeMbRVIs0iB0Yx/IptgL3MSLekzTHMC/EEvz3w8Jhp7rJ4FOxmQwO9lzpinSGf56BDB6gcBx&#10;pkBKrSV3eiXVSToqJh/WzQWS1TBVLIqyUE+GeEiLdqp+vCvSO2knAPNOkiIDLGHgJUESx6B/zSoQ&#10;/7bnGNVRakl92IoyHdoXkT60GoD9PTPdM7Ioi+ZTUZZECvVPofLvOWugnxr66c0+PpD8GUkOQGQJ&#10;eCPSdcVrZStK8hKhirrNi6Z1iJzxasERk/ycGefZrJXpX6gsXVP+FCHCbSwqyVWaDyEMbtpgWxCM&#10;LLqvIoOrbK2E8VYTjCzh8h+D/ydT7QBjAKNs1S0XFdEDOAwfjR32+KVV2rHdEe1xWevfWmg07a5e&#10;MYhrf/sh8qErA9dTO0CL2Qtwz6pAkzO4ptWOSBPQaOr5YYBysqS512X2QWwI3W3B015MVy1RG+wP&#10;8LWNoRGpxcec1Sv+XkrR5Zxl8NfkDlVlLGpRq+f1zIxK34+p68Ir1LgXRn5kM769A2jkxdOgvwM8&#10;P46me6XMZunaJkarHJKBuzJDWvTSKuvjTUVdt4XiP2BrWZW4iX+bEJd0hPYmEPyB4//uH89JsHXi&#10;wOkfdKQ8CL0kDI9bGMu45JgFb2Shd/24ibHQcRP+W0yMhSxGR0OZjuwEcQh+Ho9kT8ak4qgZsOec&#10;hI+PnxhIeJ6F/ePjhOMW2TKX5fZmAcU3dc9mjAiKTz+Vmq2NaPUzOKY2ymiYgrr26oGUPn1EGDQc&#10;C9uaNlInCINgY2HvLMugzljYP0sYhBgLD9fDaTEj12PhoU04TRhpHAuHY7eRSCjps6YfC/2glaZJ&#10;VHj38IA4BE3iQssgj0zpZA9D0uFKHS6+HL2PvXIILkW51t3wt4eBAZV45PfCCKpnHRFc2O2m60WR&#10;fuA/x2epN40pmggEcUGTxMAOX4we34v9yKJDvSjsb2W7Z+81I7dl2J76Q8aiJAqCqDf2XGMSxEFk&#10;WRC7SdKDYhzZ4gAvT7dGaRzEXmLMUer69tUYgqM0CWNqKYsmIwQINg0vLO4ue53Qo0HGMRptqzeA&#10;VcQ70ht50yC0cAfUjwNDtsEle/0Zf8+0OZ3GXtSr9f14P40e4IMhneLACz26B619dM80d+HBdwvs&#10;lKILNawforjw/MS3vqDXiIM9Sllzr+SwFC0HVkBZ18J2YIrCQL975LdN1atdVodGxHZZeqQ2i41p&#10;nE029MpCZE9ob9Dkak7pT0wMciF/OqRDKz132v/WTHfz5eca3Q2OKDOYBpGHiRxWF+NVVqdQMXdQ&#10;3nb4UWGG4+tGFqscFmwbXYv36FGXhWkad94gZD1BI2hG5qPMwNB/QOqvvvHcnNp95l7/DwAA//8D&#10;AFBLAwQKAAAAAAAAACEAGMgcHv3hAAD94QAAFAAAAGRycy9tZWRpYS9pbWFnZTEucG5niVBORw0K&#10;GgoAAAANSUhEUgAACcQAAANFCAYAAABf720OAAAAAXNSR0IArs4c6QAAAARnQU1BAACxjwv8YQUA&#10;AAAJcEhZcwAAOpYAADqWASOuVDwAAOGSSURBVHhe7N1viBz5nx/28t39fvdbn++274/vdPZJN+cj&#10;RBdLp4njnMjuCU9wBEJYeGxvZEGWeEykExyLPTrJ2WgGMoMeODEBTfTAwYE142A/CBuyg8EQJRYe&#10;wz1Yh4UMxFmcJcGDRrP0EuPMxYnjhCSe1He6WxqVPvOvq7q7qvr1hhf7O2nn21Xd1VU1W+/7fjMR&#10;EREREREREQnTOcbMMWaPMXeE+RMsHGHxBKuR3/W7ftfaMdaHsDFBmxO2NWHbExZt07hEn8e4RMfi&#10;OEXfw7OKvv+h6Dxyguh8dJTo3Hac6Bx5lOh8O1A8P0fn8+K5X0REREREREREREREREREpPUpPiwv&#10;ih6wH1Z8IF8UPcQ/LCoAHBaVCQ6LygmHRUWHA1FpoiAqYAxEBY8kKp4MRIWYw6KyTrJ3gn0AKKF4&#10;XYmuRcVrVvEaF10To+vnW9fa6PqcK17Lo+t/dM+QFO8zBvcjh+9dBvc4IiIiIiIiIiIyJTn84GtU&#10;Dv8HqDo4/LCuLor/8W6Sov+4OE7Rf/Qcl+J/gB236D8KT0K0bZMWfV7jFh2v4xR9X8clOm+NQ3QO&#10;H4foWkb8XtVFdPzUSfS9OovonHBW0XntrKLz81lF151TKz5QLSF6WHsW0QPgw4oPjIuKD5iLoofS&#10;hxUfYkeih98AALwxuG86fJ81uB8b3Lcdvsc7fD94cF8Z3LMO7nsP30cP7skP3+MPflc4/HvN4Hcv&#10;ERERERERkTCDB3aDXyoHv3C+8xBm8Itr3+FfaAcO/8I7cPhBxsDhhxeHHf5leuDwQ4pxi7YnEu1L&#10;JHovpk30vpwkes+PEn2OJ4n+Aw8AAAAAAM0y+G++h/+b8eC/Mw/+G/Xh5xeHn28o7omIiIiIiDQ0&#10;6Zeyxf4vdukXv/TLYPRLIwAAAAAAANVT3BMREREREakgC/kvSOkXqegXLwAAAAAAADjsrMW9w+W9&#10;k4p7xfLe4QJfscR3uMh3VJlPoU9EREREZIrS6f8CEv0iAwAAAAAAAG00KPQVS32Hi32Hy31HlfyK&#10;Ds/YFzkoA0aydwuCkcOlwbOIxnpHtF3HiPbvNKKxDkTblEvbPyhFpgLkoOwoIiIiIvJu8hvLdNMZ&#10;/RIAAAAAAAAAUGepwLie9UpzSnIiIiIiclCISzeJr28a8z86fAMJAAAAAAAA0BRbWW82ORERERGZ&#10;1uQ3hW8V4gAAAAAAAAAaTjFOREREZIqzGtwgAgAAAAAAADRaphQnIiIiMp3JbwbXijeHAAAAAAAA&#10;AE2XKcWJiIiITG1m8xvCf1a8QQQAAAAAAAComyzLwv8dyf9+Jj0QFREREZEpS34zuF28OQQAAAAA&#10;AACog+yE4tsx1ntPREVERERkmjIT3BgeK/+Zbv5PJToAAAAAAACgzv633iNREREREZmmzAU3hifZ&#10;6P/sIGmq4WQuN9+X1uRPFnOrSf5za7n1vo3cZt9WLhXskr1c9JoAAAAAAAAAZ/U3M0unioiIiExV&#10;FoKbwpPs9X921OnkBmW72VxUuBuU7l4X7wby7UwFvMMlvEER73AZb1DIGxgU8wblPAU9AAAAAAAA&#10;GLNs+GVSj5KWT1WMExEREZmCLAY3gyfKfy6V1aYxab8HBmW9QWFvUNo7XNw7qrz3VoEvf0+j8t7h&#10;Al9U5IsKfcVS3+Fin4IfAAAArfF+571jnb/QOdaly+eO9cGHM0e6cfPiqdy+c+VU7t2/emoPHl07&#10;0cqT66f29NmtU/ts/aOhff7Fx6U8f3G3lC+/+oQWiD7bpoiO60mKvqdVis4hVSqey6JzYVI8hxbP&#10;v8XzdnTOT4rXiOI1JboORdcuAGojrYalGCciIiLS4qQyVnQjeKz851L5a+hsb690XnWX515+u7S4&#10;211ee/Xd8vrOd0ubSf7nG+nPXnaXFtK/0/8RGW0OF/2KZb+BQenvcPEvKgBGRcBjC4FHyY+1QVHw&#10;KMUCYVGxUFgUFQyLioXDw4rlw0ixkHhW4XcQAACoVvQge6D40Hug+HD8sOhhelJ88H5Y8SH9QPFh&#10;/mHRw/+kWBQ4LCoWDESlhiQqUwxExY/DolLLYV9/8/BYr75bBoBWKF7jouti8To6uN4Wr82Hr9+D&#10;a3zxfmBwv1C8txjcexTvUwb3MYfvdw7fE0X3UAANpxgnIiIi0sbkN3qpNBTdAB4r/9FUbjpTDgpw&#10;3cerO93lrVfdpb3oPwgcJf1MKsnt7i6VKuKJTHGKpcdhFEuSwzpcrhxGsZA5jKjECQPFMm9Zh8vA&#10;VQhLxGXk1/aodFxGsaBclajcPJQf/dHv/a3I97//w7992O/+3d//8jTef/8HX53GT/30j22d5Gd/&#10;9sf/flHnJ9/7h0U//dM/9vIoP/uzv2f3JOd+/se7R/n9v//9/+U4Fy50/nGSv9b/XvR7f+/v+aeR&#10;n/25H/9nxzn38z/xfx/l9/2+9/+fo/zCL7z//x3l8EMcRutwCWjSig/1TutwKemsig8YT+twqWkY&#10;xQeep3W4GHVWhx+8nlXxIW7R4YLVYcWHwodFD5EHig+cB6LfOQEAOJvD91eH78EO36sN7ueK932H&#10;7xEH95nFe9bBPe/h++fD9+DF+/nB7wOHf09R5gPOQDFOREREpE1JN3iFG75TmZv7A381zeD2eoa3&#10;7vLGYIa3t3SXtwaiX5qHkcZKxbr0+jvfPp5PUtluIJXmku3upzOvba90DuvvvoiITEGK14C3HL5W&#10;HDK4lkQOX3MGBtejyMH1sii/foYOrm9vOyiEHyG/Lq6fWn6tPo3wen6UQ9f5k+TbsH0qqTQ/rOC+&#10;AQAAAOCwKst8pynyHS7zHVXkO6rMFz2fAUZKMU5ERESkDUk3doUbvVNJv7hFv0g22rsP1d96QP/O&#10;w/1CKSAqFeQ/91YZISoznCQqR5xaVLZom6hoEohKKofln9c7BZfjRCWZJCrWvCUq5OT6X0k5JtH7&#10;Fore94Los4tEn/1h0bEUiY7JUHSMR6Lve0F0PokUz1NHis5xBcXz4pGK59Mj5K/71nn4teL5eiA6&#10;twMAAABASxxX5ItKfMUC31ln44vKe4p7TIm1TDFOREREpLnJb+g2Czd4p9LKQhzUWVT+OauoWDRq&#10;0XZEon0GAAAAAKBxTlPcO2t577TFPeU9KpaKcSIiIiLStOQ3ctuFG7tTSb80RL/kAAAAAAAAQN0d&#10;V9wbdta9QXHvcHlvUNwrlvcU9xpjL8uyhd6TVRERERFpRPKbuKEKcUn6JSH6BQIAAAAAAACoxmlm&#10;3Ttc3DtLee80s+4dLvAdVeIbZZEvjf2DH3wv/Lsx2sqybL73hFVEREREap3gZu7U0k12dFMOAAAA&#10;AAAAMCjzFQt9xWJfZPBzg7FS8S96ZjlmG1mWzfSetIqIiIhIHdMJbuJOLd10Hr6hBQAAAAAAABiV&#10;VJRLM9NFzy7HbK3/vFVEREREapaZ4Obt1NLUytGNKAAAAAAAAMAopFnj0tKu0fPLccuybLH32FVE&#10;RERE6pJShbgHj66FN6EAAAAAAAAAo5Qm74ieYU7AVpZlC73HryIiIiIy6ZQqxKX/z4vo5hMAAAAA&#10;AABg1NISqpcunwufZU5AKsbN9B7DioiIiMikUqoQl9bnj248AQAAAAAAAMalRrPFJevpOWzvcayI&#10;iIiIjDuzwQ3aqb3feS+84QQAAAAAAAAYp5rNFpes9Z/JioiIiMgYU6oQl3z9zcPwhhMAAAAAAABg&#10;3Go2W1xaRnWh92hWRERERMaR0oW4z7/4OLzRBAAAAAAAAJiEL7/6ZP/GzYvh880J2cwsoyoiIiIy&#10;lpQuxP17S//6P45uMgEAAAAAAAAmqWazxSWWURUREREZcUoX4v7sv/OHt6ObSwAAAAAAAIBJ+/qb&#10;h/u371wJn3VOyF5mGVURERGRkWUuuAE7kyuzv+9/jm4sAQAAAAAAAOri6bNb++933gufeU7IVmYZ&#10;VREREZHKU7oQ90t/4KfMEAcAAAAAAADUXg1ni0ssoyoiIiJSYUoX4r73/R/+P6KbSQAAAAAAAIA6&#10;SrPFnb/QCZ9/TohlVEVEREQqSulCXJL+PymiG0kAAAAAAACAuqrhbHGWURUREREpmdngJuvMnr+4&#10;G95AAgAAAAAAANRZetZZs9niEsuoioiIiAyZSgpxf+1v/On/Kbp5BAAAAAAAAGiCB4+uhc9CJ8gy&#10;qiIiIiJDpJJC3L3f+LX/NrppBAAAAAAAAGiKNFvcpcvnwmeiE5SWUZ3tPd4VERERkZMyE9xQndnN&#10;W//i341uGAEAAAAAAACaZuXJ9fC56IRZRlVERETkFKmkEHf+QufvRTeKAAAAAAAAAE305Vef7N+4&#10;eTF8PjpBllEVEREROSGVFOK+//0f+Ta6SQQAAAAAAABosqfPbu2/33kvfE46QWkZ1ZneI18RERER&#10;OZxOcPN0Zj/0Qz/0O9HNIQAAAAAAAEDTff3Nw/3bd66Ez0onzDKqIiIiIoVUUohL/v4/+K2X0c0h&#10;AAAAAAAAQBs8f3F3//yFTvi8dIK2M8uoioiIiLxOZYW4//Jv/ttfRTeFAAAAAAAAAG1y7/7V8Jnp&#10;hG1kllEVERERqa4Q9+f+/If/dXQzCAAAAAAAANA2aba4S5fPhc9OJynLstXeo2ARERGRKU10kzSM&#10;P/Gn/uBGdCMIAAAAAAAA0FYrT66Hz08nbCvLsvneE2ERERGRKUt+M7RXuDkayr/6a7/wn0c3gAAA&#10;AAAAAABtlmaLu3HzYvgcdcLWM8uoioiIyLQlvwmqpBD3oz/6vb8V3fwBAAAAAAAATIOazhaXllFd&#10;7D0dFhEREZmC5DdA28UboiFtvuou7UU3fgAAAAAAAADT4OtvHu7fvnMlep46aWkZ1dneU2IRERGR&#10;Fifd+BRuhIa1t9Nd3opu+gAAAAAAAACmyedffLx//kIneq46aWv9R8UiIiIi7Ux+w1NVIS7d2K0X&#10;b/QAAAAAAAAAptW9+1fDZ6uTlmXZQu+JsYiIiEjLkt/sVFaI+2rrz/0n0U0eAAAAAAAAwLR6/uJu&#10;XWeLS8uozvSeHIuIiIi0JPlNzmbhpmdoT55cfxDd4AEAAAAAAABMu5Un18PnrDVgGVURERFpT/Kb&#10;m8oKcX/0j/7yfxjd2AEAAAAAAADQmy3u0uVz4fPWCdvLLKMqIiIibUh+Y7NRuNEZWqfzg8fRTR0A&#10;AAAAAAAAb9R4tjjLqIqIiEizk9/QrBducIaWD7f6qru0F93QAQAAAAAAAPDG19883L9950r47LUG&#10;LKMqIiIizUy6kSnc2JSxsdNd3opu5gAAAAAAAAB4V1pG9fyFTvT8ddIsoyoiIiLNS34TU2UhbvNV&#10;d3kjuokDAAAAAAAA4GgPHl2LnsHWwWZmGVURERFpSvKblyoLcXu73eW16OYNAAAAAAAAgOOl2eI+&#10;+HAmehZbB5ZRFRERkUZkNbiRGdbey+7j1ejGDQAAAAAAAIDTWXlyff/9znvRM9lJ28osoyoiIiI1&#10;T5WFuP2//bfv/lvRDRsAAAAAAAAAp/f1Nw/3b9+5Ej6XrYH1zDKqIiIiUtMsBjcvQ/vjf/JXbkY3&#10;awAAAAAAAACcXVpG9fyFTvh8dtKyLFvtPXYWERERqU8WohuXYf3SL/3MH4tu0gAAAAAAAAAYXlpG&#10;NXpGWwNpGdX53uNnERERkcmn0kJcPt7iq+7SXnSDBgAAAAAAAMDw0mxxllEVEREROT7zwY3K0PLx&#10;Vne6y1vRzRkAAAAAAAAA5T19dqvOy6guHjyJFhEREZlQKi3E5TZ2vlvajG7KAAAAAAAAAKjOvftX&#10;o2e2dZCWUZ3tPZIWERERGW/mgpuTMjZ2u8tr0c0YAAAAAAAAANVKy6heunwuenZbB2tZlnV6j6ZF&#10;RERExpPZ4KakjK2X3cer0Y0YAAAAAAAAAKOx8uR69Py2FrIsW+g9nhYREREZfWaiG5IS9na+fTwf&#10;3YABAAAAAAAAMDpff/Nw//adK9Fz3DqwjKqIiIiMJZ3gRqQMhTgAAAAAAACACfps/aP98xc60fPc&#10;OkjLqIqIiIiMLFUX4vb/479861ejmy4AAAAAAAAAxufBo2vhM90a2MssoyoiIiKjSnDzUcrlyz9/&#10;LbrZAgAAAAAAAGC8nr+4u3/p8rnw2W4NpGVUZ3pPrkVEREQqSn6TsVe46SglH3LuVXdpL7rZAgAA&#10;AAAAAGD8Vp5cD5/v1oRlVEVERKS65DcXVRfi5ne6y1vRTRYAAAAAAAAAk/H1Nw/3b9+5Ej7nrQHL&#10;qIqIiEg1yW8stgo3GqXkQy7ufLe0Gd1gAQAAAAAAADBZaRnV8xc64fPeGkjLqM4ePMwWERERGSbp&#10;hqJwg1FKPuRqfhO1XrypAgAAAAAAAKA+GrCMaufgobaIiIjIWZLfSGwWbizKWtvtLq9FN1QAAAAA&#10;AAAA1EeaLe7GzYvRc99ayLJssfdkW0REROSUyW8iqi7EbbzsPk6zxIU3VAAAAAAAAADUy9Nnt/bf&#10;77wXPf+tg7SM6kLvCbeIiIjICclvHtYLNxNlbe58+3g+uokCAAAAAAAAoL5u37kSPQOui/Usy2Z6&#10;T7pFREREjkh+07BWuIkoa/tVd3kuunkCAAAAAAAAoN7SMqqXLp+LngXXxVr/cbeIiIjIu0k3C4Wb&#10;h7L2trdXOtGNEwAAAAAAAADNsPLkep2XUd3OLKMqIiIiR2Q1uHkoRSEOAAAAAAAAoB3u3b8aPheu&#10;ia3MMqoiIiJSSOWFuHzMzqvu0l50swQAAAAAAABAs1hGVURERJqUxeBmoZR8zNmd7vJWdKMEAAAA&#10;AAAAQDPVfBnVvcwyqiIiIpJnIbhRKCUfc27nu6XN6AYJAAAAAAAAgGZrwDKqswdPw0VERGQqMx/c&#10;IJSSj7mw211ei26MAAAAAAAAAGi+hiyj2jl4Ki4iIiJTlbngxqCUfMzFl93Hq9FNEQAAAAAAAADt&#10;8fTZrf3zFzrhs+M6SM+vD56Mi4iIyNRkNropKCMfc/Vld2khuhkCAAAAAAAAoH0asIzq/METchER&#10;EWl9ZoKbgbLWd759PB/dBAEAAAAAAADQTmkZ1Q8+nImeIdfFenpG3ntULiIiIm1NJ7gJKGvjVXd5&#10;LroBAgAAAAAAAKDd6r6Mam6t/7xcREREWphRFOI2t7dXOtGNDwAAAAAAAADToQHLqC70HpuLiIhI&#10;qxJc+MvaVogDAAAAAAAAIC2jeuPmxei5cl2kYpxlVEVERNqU/AK/V7jgl7WXxn3VXdqLbngAAAAA&#10;AAAAmC6WURUREZGxJb+wV12I20/j7nSXt6IbHQAAAAAAAACm04NH18JnzDWRJn+xjKqIiEjTk1/U&#10;twsX+dLyYTs73y1tRjc4AAAAAAAAAEyvhiyjOnvwQF1ERESal3QxL1zcS8uHnc1vZNaLNzYAAAAA&#10;AAAAkDRkGdWZgwfrIiIi0pzkF/HNwkW9tHzYud3u8lp0UwMAAAAAAAAAAzVfRjVJxTgRERFpSvKL&#10;9ygKcQsvu49Xo5sZAAAAAAAAADgsLaN6+86V8PlzTWyn5+AHD9lFRESk3skv3BuFC3lp+bCLL7tL&#10;C9GNDAAAAAAAAABEGrCM6lZmGVUREZF6J79grxcu4KXlw67ufPt4PrqBAQAAAAAAAIDjNGQZVcU4&#10;ERGROiZdqAsX7iqs7+4uzUY3LgAAAAAAAABwkgYso3owWUzvybuIiIjUJvlFehSFuI3t7ZVOdNMC&#10;AAAAAAAAAKf12fpHTVhGdaH3BF5ERETqkNXggl3WpkIcAAAAAAAAAFVZeXI9ejZdJ6kYZxlVERGR&#10;GmQxuFCXtZ0GftVd2otuVAAAAAAAAADgrL7+5mHtl1HNrWVZ1knPzEVERGQyWQgu0GXtpYF3ustb&#10;0U0KAAAAAAAAAAzr+Yu7+5cun4ueVddGlmWL6bm5iIiIjD/z0cW5rDTwzndLm9HNCQAAAAAAAACU&#10;9fTZrf3zFzrhM+uaSMuoLqTn5yIiIjK+jKoQ18lvQNaLNyQAAAAAAAAAUKWVJ9fD59Y1spll2czB&#10;E3oREREZeeaCi3Fp+bizu93ltehmBAAAAAAAAACqlJZRvX3nSvj8ukbWeo/pRUREZJSZDS7CpeXj&#10;zr3sPl6NbkQAAAAAAAAAYBRSMa7my6im5+mLB0/rRUREZCSZiS7AZeXjLux8+3g+ugEBAAAAAAAA&#10;gFFqwDKqW+m5+sFTexEREak0neDCW1o+7qJCHAAAAAAAAACT1IBlVDeyLJs5eHovIiIilWRUhbjV&#10;3d2l2eiGAwAAAAAAAADGJS2j2oBi3FrvEb6IiIiUTnChrcL69vZKJ7rZAAAAAAAAAIBxe/rs1v75&#10;C53o+XZtZJZRFRERKZ/8orpXvMhWYEMhDgAAAAAAAIC6WXlyPXrGXSdbmWKciIjI8MkvptuFi2sV&#10;NtPYr7pLe9ENBgAAAAAAAABMytffPGzCMqobWZbNpGfvIiIicobkF9GtwkW1Cttp7J3u8lZ0cwEA&#10;AAAAAAAAk/b8xd39S5fPRc+862Tt4OG+iIiInC75xXOzcDGtwl4ae+e7pc3opgIAAAAAAAAA6iIt&#10;o3r+Qid69l0X6Rm8ZVRFREROk/zCOYpC3H4aO79xWC/eSAAAAAAAAABAHT14dC18/l0jW1mWzaXn&#10;8SIiInJE8gvmeuECWol86M5ud3ktuokAAAAAAAAAgDpKy6jevnMlfA5eI+tZls0cPPQXERGRt5Nf&#10;KNcKF85K5EPPvuw+Xo1uIAAAAAAAAACgzlIxrubLqCZrvSf/IiIi8jrpAlm4YFYiH3ruZXdpIbpx&#10;AAAAAAAAAIAmWHlyPXwmXiN7WZYtHBQARERE5CCrwQWztHzchZ1vH89HNwwAAAAAAAAA0CQNWEZ1&#10;K8uy2YMWgIiIyJRnMbhQlpbG3d1dmo1uFAAAAAAAAACgadIyqjduXgyfkdfIepZlMwdtABERkSnN&#10;QnCBLC0fd3V7e6UT3SQAAAAAAAAAQFM9fXZr//yFTvisvEbWepUAERGR6ct8cGGswrpCHAAAAAAA&#10;AABttfLkevSsvE72sixb6FUDREREpidzwUWxChtp8Ffdpb3oxgAAAAAAAAAAmu7rbx7u375zJXpm&#10;XidbWZbNpmf4IiIi05DZ4GJYhc00+E53eSu6KQAAAAAAAACAtnj+4u7+pcvnomfndbKeZdlMepYv&#10;IiLS5swEF8EqbKfBd75b2oxuBgAAAAAAAACgbZ4+u7V//kIneoZeJ2sHbQEREZGWphNc/KqQ1iLP&#10;8gv+evEGAAAAAAAAAADabOXJ9eg5ep2kSW4W0nN9ERGRtmVUhbj9NPhud3ktuvgDAAAAAAAAQJt9&#10;/c3D/dt3roTP02tkK7OMqoiItC3BBa8S+dCdl93Hq9GFHwAAAAAAAACmwfMXd/cvXT4XPlevkbSM&#10;qmKciIi0I/mFba9woatEPvTsy+7SQnTBBwAAAAAAAIBp8vTZrf3zFzrh8/W6yLJs9aBIICIi0uTk&#10;F7Xt4kWuCvnQczvfPp6PLvQAAAAAAAAAMI1WnlwPn7HXSFpGdeGgUCAiItLEpItZ4eJWiXzohd3d&#10;pdnoAg8AAAAAAAAA0+rLrz7Zv33nSvisvUZSMc4yqiIi0rzkF7HNwkWtEvnQi9vbK53o4g4AAAAA&#10;AAAA0+75i7u1X0Y1t5ZlWeegYCAiItKE5BcvhTgAAAAAAAAAmJC0jGrdi3FZlq0elAxERETqnvzC&#10;tV68kFUhH/rgYviqu7QXXdABAAAAAAAAgDcePLoWPn+vkbSM6kLqAoiIiNQ2+QVrrXABq8p6Gn+n&#10;u7wVXcgBAAAAAAAAgLelZVRv37kSPYOvk1SMm0mdABERkdolv1CNqhC3kcbf+W5pM7qIAwAAAAAA&#10;AACxVIyr+zKqubWD4oGIiEjNshpctKpwUIh71V3eiC7eAAAAAAAAAMDxVp5c33+/8170TL42sixb&#10;TP0AERGRumQxumBVIE2Rmu12l9eiizYAAAAAAAAAcDr37l+NnsvXSeoILKSegIiIyKSzEFyoqrCd&#10;Bn/ZfbwaXawBAAAAAAAAgNNLy6jevnMlej5fJ5tZls2kvoCIiMikMh9coKqwlwZ/2V1aiC7UAAAA&#10;AAAAAMDZff7Fx/vnL3Si5/R1snbQSBAREZlARlWIS+uEZzvfPp6PLtAAAAAAAAAAwPBWnlwPn9XX&#10;SWYZVRERmUBmo4tSFfKxO6+6y3PRhRkAAAAAAAAAKK8By6huZYpxIiIyxswEF6NKpLG3u5/ORBdk&#10;AAAAAAAAAKAaz1/cbUIxbiP1CA6aCiIiIiNMJ7gIVSIfe3Z7e6UTXYwBAAAAAAAAgGo9fXZr//yF&#10;TvgMv0bWenUFERGR0WSUhbi59AKvukt70YUYAAAAAAAAAKjeypPr4XP8OsksoyoiIqNKdOGpQj70&#10;fBpfIQ4AAAAAAAAAxuvrbx42YRnVrUwxTkREqk5+gdkrXHAqkQ+9mMbf6S5vRRdfAAAAAAAAAGC0&#10;nr+424RlVDeyLJtJHQMREZHSyS8soy3Efbe0GV10AQAAAAAAAIDxaMIyqrm11DMQEREplfyCslW4&#10;wFQiH3o1jb/bXV6LLrYAAAAAAAAAwPg0ZBnVvcwyqiIiUib5xWSzcHGpynoaXyEOAAAAAAAAAOoj&#10;LaN66fK56Dl/nWxlWTafegciIiJnSn4RGVUhLq3xnb3sPl6NLrAAAAAAAAAAwOSkZVTPX+hEz/vr&#10;JE3GM5P6ByIiIqdKungULiZVOSjE7Xz7eD66sAIAAAAAAAAAk3fv/tXomX/drB2UHERERE5KumgU&#10;LiJVSdOXKsQBAAAAAAAAQM2lZVRv37kSPfuvk70syxZSF0FEROTI5BeMURXittP4u7tLs9HFFAAA&#10;AAAAAACol6fPbjVhGdU0Qc9c6iSIiIhEWQ0uHlVIzexse3ulE11EAQAAAAAAAIB6WnlyPeoB1M16&#10;lmUzqZsgIiJyOApxAAAAAAAAAMBbvv7mYROWUU3WDtoPIiIi/SwGF4tK9MfPXnWX9qKLJwAAAAAA&#10;AABQb89f3G3CMqpp0p6FXktBRESmPQvBhaIS+did9AI73eWt6KIJAAAAAAAAADRDQ5ZR3cqybDZ1&#10;FUREZHoz+kLcd0ub0cUSAAAAAAAAAGiOBi2jup5l2UzqLIiIyPRlPrgwVCIf++Di8qq7vBFdKAEA&#10;AAAAAACA5knLqF66fC7sCtTMWuotiIjIdGWUhbiDaUh3u8tr0QUSAAAAAAAAAGiutIzq+QudsDNQ&#10;I2kZ1YXUXxARkenIXHAxqEQaO72AQhwAAAAAAAAAtNe9+1fD3kDNpGKcZVRFRKYgs8FFoBL52AeF&#10;uJfdx6vRBREAAAAAAAAAaIe0jOrtO1fC/kDNWEZVRKTlGWUhbj69wM63j+ejiyEAAAAAAAAA0C5P&#10;n91qwjKqe5llVEVEWpuZ4MRfiXzsg4uHQhwAAAAAAAAATJeVJ9fDLkHNpGVUZ1O3QURE2pNOcMKv&#10;RD72YnqB3d2l2ejiBwAAAAAAAAC019ffPGzSMqqd1HEQEZHmZ+SFuO3tlU504QMAAAAAAAAA2u/5&#10;i7tNWEb1dc9BREQanugkX4V86NU0vkIcAAAAAAAAANCgZVTnU99BREQamuDkXpU0pehBXnWX9qKL&#10;HQAAAAAAAAAwPRq0jOp6lmUzvdaDiIg0KvlJfK9wUq9KujgcZKe7vBVd6AAAAAAAAACA6ZOWUb10&#10;+VzUNaib15MBiYhIQ5KfvEdViNvov4RCHAAAAAAAAADwjrSM6vkLnahzUCfbWZYt9BoQIiJS+6QT&#10;d+FEXpU3hbjvljajCxsAAAAAAAAAwL37V6PeQd1sZZZRFRGpf9IJu3ACr8pm/yWy3e7yWnRBAwAA&#10;AAAAAABI0jKqt+9cifoHdWMZVRGROic/UY+qEJea0QdRiAMAAAAAAAAATuPps1tNWEZ1L7OMqohI&#10;PZOfpDcLJ+2qpDW0D/Ky+3g1uogBAAAAAAAAAERWnlyPugh1kyYLmu21I0REpBbJT86jKsSlNvRB&#10;XnaXFqKLFwAAAAAAAADAUb7+5mGTllHt9FoSIiIy0eQn5Y3CSboqrwtxO98+no8uXAAAAAAAAAAA&#10;J3n+4m4TllHdz7JssdeUEBGRiSU/Ia8XT9BV6b9E9qq7PBddsAAAAAAAAAAATqtBy6gu9BoTIiIy&#10;9uQn4rXCibky/ZfItrufzkQXKgAAAAAAAACAs2jQMqrrWZbN9JoTIiIytuQn4FEW4g7Wx97eXulE&#10;FykAAAAAAAAAgGGkZVQvXT4X9hVqZi11J0REZExJJ97Cibgy+fAHhbiU6OIEAAAAAAAAAFBGWkb1&#10;/IVO2Fuoke3MMqoiImPLanAirkQ+9ptCXHdpL7owAQAAAAAAAACUde/+1bC7UDNbmWVURURGnlEW&#10;4l6fxHe6y1vRBQkAAAAAAAAAoAppGdXbd66EHYaasYyqiMgIsxiceCuRj/2mEPfd0mZ0MQIAAAAA&#10;AAAAqNLTZ7easIzqXmYZVRGRkWQhOOlWIh97tvcSacnU5Y3oIgQAAAAAAAAAMAorT66HfYaasYyq&#10;iEjFmQ9OtpXIx35diNvtLq9FFx8AAAAAAAAAgFH5+puHllEVEZmyjLIQN9d7CYU4AAAAAAAAAGBy&#10;nr+424RlVLczy6iKiJTOXHCCrUQau/cSWfay+3g1uuAAAAAAAAAAAIxLQ5ZR3cgsoyoiMnTGVIhb&#10;WoguNAAAAAAAAAAA42QZVRGRdmc2OKFWIh97vvcSWbbz7eP56CIDAAAAAAAAADAJDVlGdSuzjKqI&#10;yJkyE5xMK5GP/fqE/Kq7PBddXAAAAAAAAAAAJqkhy6iuZ5ZRFRE5VcZSiNvufjoTXVQAAAAAAAAA&#10;ACatKcuoZlm22mtiiIjIUelEJ9Aq5GMv9l4iy7a3VzrRBQUAAAAAAAAAoC4atIzqfK+RISIixYyl&#10;EJcSXUgAAAAAAAAAAOrGMqoiIg1OcMKsRD7024W47tJedBEBAAAAAAAAAKibNFtcQ5ZRfaufISIy&#10;9clPjnvFk2UV8qHfWrd6p7u8FV1AAAAAAAAAAADq6umzW01ZRnW219AQEZny5CdFhTgAAAAAAAAA&#10;gGM8eHQt7EfUzFqWZZ1eU0NEZEqTnwzHU4j7bmkzumAAAAAAAAAAADRBWkb1xs2LYU+iTrIsW+i1&#10;NUREpjD5iXCreGKsSGodv05+YVgvXigAAAAAAAAAAJrGMqoiIjVOOgEWTohVeasQt9tdXosuEgAA&#10;AAAAAAAATXTv/tWoL1E3b/U3RERan/zEN6pC3Hr/JQ7ysvt4Nbo4AAAAAAAAAAA0VVpG9dLlc1Fv&#10;ok72Msuoisi0JD/pbRZOglVRiAMAAAAAAAAApsLKk+v773fei/oTdZKWUZ3pNTlERFqa/GQ3qkLc&#10;Rv8lDvKyu7QQXRAAAAAAAAAAANri9p0rUYeibiyjKiLtTX6SG0shbufbx/PRhQAAAAAAAAAAoE0s&#10;oyoiMsHkJ7iNwgmvKm8V4l51l+eiiwAAAAAAAAAAQBulZVSDPkXdWEZVRNqV/MQ2lkLcdvfTmejk&#10;DwAAAAAAAADQVl9/89AyqiIi40x+QlsvnOCqstl/iYNsb690ohM/AAAAAAAAAEDbpWVUz1/oRP2K&#10;OrGMqog0P/nJTCEOAAAAAAAAAGAMLKMqIjLi5CextcJJrSpvFeJSXnWX9qKTPQAAAAAAAADAtLCM&#10;qojICJNOXoWTWVUU4gAAAAAAAAAAjvD5Fx/XfhnVn/7pH3uZWUZVRJqU/OQ1qkJcmj7zrex0l7ei&#10;EzwAAAAAAAAAwLRqwjKqf/DSz/12ZhlVEWlIVqMTWQXeLcR9t7QZndgBAAAAAAAAAKbZ8xd3G7GM&#10;6i//8k/9lX4NRESkthlbIe5Vd3kjOqkDAAAAAAAAALC8//TZrdovo/qLMz/1O1f+0M//Rr8OIiJS&#10;uyxGJ68KbPfHf53d7vJadDIHAAAAAAAAAOCNe/evRl2MWvngw5mvf+M3r/56vxYiIlKbKMQBAAAA&#10;AAAAANRMWkb10uVzUSejVv7Mwr/yd/vVEBGRWmQhOllV4J1C3Mvu49XoBA4AAAAAAAAAQGzlyfX9&#10;9zvvRd2M2kjFvf/sb/zpv9GviIiITDSjKsTt9cd/nZffLi1GJ24AAAAAAAAAAI53+86VqJ9RK2mp&#10;15fdpYV+VUREZCIZWyFu59vH89EJGwAAAAAAAACAkzVlGdW/+Jdu/CPFOBGZVOajE1MFFOIAAAAA&#10;AAAAAEYgLaMadDVqJRX3Nv7Wn/kfFeNEZNwZWyHuVXd5LjpJAwAAAAAAAABwNl9/87Axy6judJe3&#10;0kRK/QqJiMhIM6pC3H5//NfZ7n46E52gAQAAAAAAAAAYTlpG9fyFTtjdqIv3O+/tP312a/9Vd3kj&#10;9Uf6VRIRkZFkLjoRVaE//utsb690ohMzAAAAAAAAAADlNGUZ1S+/+iRt77pinIiMKgpxAAAAAAAA&#10;AAAtkGaLa8oyqml7d7vLa4pxIlJ1ZqMTTxXysTu9l3iT4okYAAAAAAAAAIBqpeVJG7OMar69qRjX&#10;r5aIiJTOTHTSqUI+9ruFuO7SXvEkDAAAAAAAAABA9R48uhZ2Ourkgw9nBsuoKsaJSCXpRCebKqSx&#10;ey/xJjvd5a3iyRcAAAAAAAAAgNFIy6heunwu7HbUyWAZ1TTZ0svu0kK/aiIicuaMshD3zhrPCnEA&#10;AAAAAAAAAOO38uT6wTKlUcejLlJxb7CMauqYKMaJyDAZZSFutvcSb7Lz3dJm8YQLAAAAAAAAAMB4&#10;3L5zJex51EnaxsEyqopxInLmRCeWKuRDv1OIe9Vd3iieaAEAAAAAAAAAGJ+mLKP64NG119ucJmHa&#10;7n76zmqFIiLvJD+B7BVPKFXIh57rvcKb7HaX1w6fYAEAAAAAAAAAmIy0jGrU+aiTw8uoHugubyjG&#10;icixyU8eCnEAAAAAAAAAAFPo628eNm4Z1SR1UBTjRCRMftLYLp5EqpAPPd97hTd52X28evikCgAA&#10;AAAAAADA5KVlVM9f6IQdkDq5d//qW9udinH9WoqISC/5yWKrePKoQj70u4W4b5cWD5+UAAAAAAAA&#10;AACoj0Yuo5pTjBOR18lPFKMqxC30XuFNdr59PH/4ZAQAAAAAAAAAQL2kpUmbuIzqq+7S3svu0jt9&#10;FRGZsuQniM3iCaMK+dAKcQAAAAAAAAAADZVmYWviMqo73eUtxTiRKU5+YtgoniiqkA+92HuFN3nV&#10;XZ47fAICAAAAAAAAAKDemrqMairG7e4uzfZrKyIyLclPCmMrxKWTzOETDwAAAAAAAAAA9ff8xd1G&#10;LKN64+bFt5dR7Vnf7n4606+viEjbk58M1osnhyrkQ6/2XuFN0smlcMIBAAAAAAAAAKAhPlv/qJHL&#10;qCa73eW17e2VTr/GIiJtTX4SWCueFKqQD/1uIS4/qRRPNgAAAAAAAAAANEsTllFNxb3iMqpJKsb1&#10;qywi0sbkJ4CRFOJy75w8FOIAAAAAAAAAANrh628eNmIZ1UuXz727jGp3ae9ld2mhX2kRkZZlNToZ&#10;VCBs0751cgEAAAAAAAAAoNGev7jb2GVUd7rLW4pxIu3LqApx6/3x30pq2BZPLgAAAAAAAAAANFsT&#10;llF9v/NeuIxqKsbt7i7N9ustItLwLEYngAps9Md/K/lJZLt4UgEAAAAAAAAAoPkavYxq0l3e2O5+&#10;OtOvuYhIQ7MQffErEBbiUqP2nZMJAAAAAAAAAACt0eRlVJPd7vKaYpxIczMffeErEBfivlvajE4k&#10;AAAAAAAAAAC0S5OXUU1SMa5feRGRBmVUhbjN/vhvRSEOAAAAAAAAAGB6NH8Z1aW9l92lhX71RUQa&#10;kLnoS16BsBCXnyjW3zlxAAAAAAAAAADQamkZ1VQ6CzomtXLUMqo73eUtxTiRZmQ2+nJXYKs//ltJ&#10;U0lGJw0AAAAAAAAAANqv6cuopmLc7u7SbL8KIyI1TCf6Yldguz/+W1GIAwAAAAAAAACg0cuo9qxv&#10;dz+d6VdiRKRGGVUhbq8//lt52X28GpwgAAAAAAAAAACYMk1fRjVJk0P1azEiUpdEX+QKKMQBAAAA&#10;AAAAAHCitIxqWqY06J/UxnHLqCaKcSI1Sv6l3St+iavQH/6tvOwuLUQnBQAAAAAAAAAApluaiS3q&#10;oNRJmtEuzWwXbf+r7tJe6sb0azIiMqnkX9at4pe3CvnQnd4rvMnOt4/nwxMCAAAAAAAAAABTL5XN&#10;bty8GHZR6uS4ZVR3ustbinEiE0z+JR1VIW6m9wpvohAHAAAAAAAAAMBJ0vKk5y90wk5KXZy0jOrO&#10;d0ub291P3+nPiMiIk39BN4tf2CrkQ8/2XuFNXnWX56ITAAAAAAAAAAAAFD14dC3spdTJscuo9qwr&#10;xomMMfkXc734Ra1CPvRc7xXeZHd3aTb40gMAAAAAAAAAQCiVzW7fuRL2U+okLaP69TcPw31IdrvL&#10;a/0KjYiMMvkXcq34Ba1CPvQ7hbjUdo2+8AAAAAAAAAAAcJwmLKOaHLeMavLy26XFfpVGREaR/Is4&#10;qkLcfO8V3mR7e6UTfdEBAAAAAAAAAOA0Vp5cD7sqdXKKZVS3X3aXFvqVGhGpOKvRF7OsfNx3vrQK&#10;cQAAAAAAAAAAlNWWZVR3ustbinEi1Wch+kKWlY8bTu8YfbkBAAAAAAAAAOCsPv/i40Yso5pmtYu2&#10;/7Xu8sZ299OZfr1GREpmPvoilpWPu9ob/u286i7thV9sAAAAAAAAAAAYQkuWUd3f7S6vKcaJlI9C&#10;HAAAAAAAAAAAjZaWJm3CMqppG7/86pNwHwZSMa5ftRGRITIbffkqEH4x8y/tdvFLDAAAAAAAAAAA&#10;VUizsLVjGdWlvZfdpYV+5UZEzpCZ6EtXgY3++G9lp7u8FX6JAQAAAAAAAACgIk1ZRvWz9Y/C7R9I&#10;XRvFOJGzpRN94SqgEAcAAAAAAAAAwES1ZRnV1LnZ7n4606/giMhxib5oFdjsD/9Wdr5b2oy+tAAA&#10;AAAAAAAAMAppGdU0G1vQb6mVB4+uhdtfsK4YJ3JC8i/UXvELVoGt/vBvRSEOAAAAAAAAAIBJePrs&#10;1v75C52o51IbqbiXtjPa/sN2u8tr/TqOiBSTf5lGUYjb7g//Vl51lzeiLykAAAAAAAAAAIxDmokt&#10;6LrUymmWUU1efru02K/liMgg+Zdoq/ilqsBef/i3kn8R14tfTAAAAAAAAAAAGKe0jGoqnQWdl1q5&#10;d/9quP2H7XSXt152lxb69RwRyb88m8UvUwXCQlyarjH6YgIAAAAAAAAAwLi1aRnVVIzb3V2a7dd0&#10;RKY3+Rdno/hFqkJ/+LeiEAcAAAAAAAAAQN2sPLke9l/q5MbNi6daRjW3vt39dKZf1xGZvuRfmLXi&#10;F6gK+dCd3iu8ycvu49XgSwgAAAAAAAAAABP19TcPW7OMapImrupXdkSmLqvRl6esfNx3pmBUiAMA&#10;AAAAAAAAoM6ev7jbmmVUk9TX6Vd3RKYmi9EXp6x83HcLcd8uLUZfPAAAAAAAAAAAqJMmLKP6wYcz&#10;p11Gdftld2mhX+ERaX3moy9MWfm4c73h3yR9sYIvHAAAAAAAAAAA1E7bllHd6S5v7e4uvTPJlUjb&#10;Mhd9UcrKx32nVbrz7eP56MsGAAAAAAAAAAB1lZZRTcuURh2ZukjLvJ52GdXc+nb305l+pUekdZmJ&#10;viRl5eMu9oZ/E4U4AAAAAAAAAACaKi2j+n7nvbArUxdnWEZ1f7e7vNav9Yi0Kp3oy1FWPu5qb/g3&#10;edVdnou+XAAAAAAAAAAA0BRpidKoL1Mnp11GNXn57dI7E1+JNDrRl6KsfNh3CnFpDeLoSwUAAAAA&#10;AAAAAE2SllG9cfNi2Jupi7TM62mXUd3pLm+97C4t9Gs+Is1O/gXYK34hKrDeH/510trD0RcKAAAA&#10;AAAAAACaKBXOzl/oRN2Z2rh958qpl1FNxbjU8enXfUSamfzA3yp+ESqw0R/+dRTiAAAAAAAAAABo&#10;o5Un16P+TK08eHQt3PYjrCvGSWOTH/CbxS9ABTb7w7+OQhwAAAAAAAAAAG2VllFNs7EFPZraSMuo&#10;frb+Ubj9kd3u8lq/+iPSnOQH+0bx4K/AVn/419neXulEXxwAAAAAAAAAAGiLVDhr0zKqr7pLey+7&#10;Swv9CpBI/ZMf5GvFg74Ce/3hX0chDgAAAAAAAACAadGEZVTTNkbbHtnpLm8pxklTshod8CUpxAEA&#10;AAAAAAAAMNXSLGxNWEY1LfcabX+ou7yx3f10pl8JEqllFqODvax83E5v+F4U4gAAAAAAAAAAmEaf&#10;f/Fxu5ZRze12l9f6tSCR2mU+OsjLysd9qxCXEn05AAAAAAAAAABgGrRtGdXEMqpSx8xFB3dZ+biz&#10;veHfJPpSAAAAAAAAAADAtPj6m4etW0Z1p7u8pRgndcpMdGCXlY871xv+TaIvBAAAAAAAAAAATJtU&#10;OKv7Mqr37l89KPBF2x/qLm9sdz+d6VeFRCaWTnRAl5WPO98b/k1edZf2wi8DAAAAAAAAAABMoSYs&#10;o/r02a1w24+y211e69eFRCaT6EAuKx/2nWkQFeIAAAAAAAAAAOBtbVxGNbGMqkws+UG7VzyIy8qH&#10;XeyN/iYKcQAAAAAAAAAAEGvKMqrRth9lp7u8pRgnY09+sG4VD96y8mFXe6O/iUIcAAAAAAAAAAAc&#10;r+7LqL7fee/My6i+6i5vbHc/nenXiERGm/xA3SweuBV4Zy3g/ODefudgBwAAAAAAAAAA3tKUZVS/&#10;/OqTcPuPsttdfqdTJFJ58gN0vXjAVmCjP/zr5Ae1QhwAAAAAAAAAAJxSG5dRTSyjKiNNfmCuFQ/U&#10;CrxTiEtrAkcHOAAAAAAAAAAAcLQ2LqOaukSKcTKqrEYHaklb/bFfRyEOAAAAAAAAAACG09ZlVF91&#10;lze2u5/O9CtGIpVkITpAS9ruj/06CnEAAAAAAAAAAFBOWkY1Fc+Cvk5tDLOM6m53ea1fMxIpnfno&#10;wCxprz/26yjEAQAAAAAAAABANdq4jGpiGVWpIrPRQVlWf+zX2fluaTM6iAEAAAAAAAAAgOG0cRnV&#10;NPGWYpyUSSc6GMtK4/aG70UhDgAAAAAAAAAAqtfWZVRT32i7++lMv34kcuqMqhD31sGoEAcAAAAA&#10;AAAAAKOTllFNS5VGXZ46GHYZ1d3u8lq/giRyuuQH3F7xACwrH3a2N3ovr7rLG9EBCwAAAAAAAAAA&#10;VCfNxhb1eerigw9nzryMavLy26XFfhVJ5PjkB9pW8cArKx92rjd6LwpxAAAAAAAAAAAwHq1dRrW7&#10;vPWyu7TQrySJxMkPsM3iAVdWPuxbB55CHAAAAAAAAAAAjFdaovT8hU7Y76mDVNobZhnVVIzb7n46&#10;068mibyd/OBaLx5sZeXDvjVFoUIcAAAAAAAAAABMRt2XUb1958pQy6judpfXtrdXOv2Kkkgv+UG1&#10;VjzIysqHVYgDAAAAAAAAAICaSMuo3rh5Mez61MWDR9fCbT/Jy+7j1X5NSeQgq9EBVkYaszd0Lwpx&#10;AAAAAAAAAAAweU1YRvWz9Y/CbT9OWkb1ZXdpoV9XkinPfHRwlbTeH/sgCnEAAAAAAAAAAFAfaTa2&#10;oPNTG8Muo7rz3dLmdvfTmX5tSaY0oyjEbfTHPohCHAAAAAAAAAAA1EtaRjUVz4LuT22sPLkebvtJ&#10;drvLa/3qkkxhZqODqaTN/tgHUYgDAAAAAAAAAIB6ausyqq+6S3uWUZ3OdKIDqaSt/tgHUYgDAAAA&#10;AAAAAIB6a+0yqt3lrd3dpdl+lUmmIdEBVNJef+iDKMQBAAAAAAAAAED9tXkZ1dz6dvfTmX6lSdqc&#10;/EDZKx44JSnEAQAAAAAAAABAQzVhGdVU3ou2/SQvu49X+7UmaWvyg2SreNCU1R/6IApxAAAAAAAA&#10;AADQPGk2tqgbVBf37l/d//qbh+G2Hycto/qyu7TQrzdJ25IfHJvFg6WsfNhOb3SFOAAAAAAAAAAA&#10;aKomLKOaZrSLtv0ULKPaxuQHxXrxICkrH3a2N7pCHAAAAAAAAAAANN3nX3zc2mVUd7vLa/2qk7Qh&#10;+QGxVjxAysqHVYgDAAAAAAAAAICWacIyqtF2n8Qyqu3KanRwlJGPOdcbWiEOAAAAAAAAAADa5Otv&#10;HtZ6GdX3O+9ZRnXKsxAdGGXkY873hlaIAwAAAAAAAACANkpLlNZ9GdUvv/ok3PaTvOw+Xu3Xn6SB&#10;mY8OiDLyMRd7Q2fZzndLm9FBAwAAAAAAAAAANF+bl1F91V1+vVKmNCdz0YFQRj6mQhwAAAAAAAAA&#10;AEyJ1i+jur3S6dehpAGZiQ6CMvIxX08ZqBAHAAAAAAAAAADTobXLqHaX9l52lxb6lSipeTrRh1/S&#10;Wn9shTgAAAAAAAAAAJgyrV1G9bulze3upzP9apTUNdGHXtJ6f2iFOAAAAAAAAAAAmEJtXkb15bdL&#10;i/16lNQx+Qe8V/zAS9roD60QBwAAAAAAAAAAU6wJy6imbYy2/Tg73eUts8XVNPkHu1X8oEva7A+t&#10;EAcAAAAAAAAAALR2GdWX3cer/aqU1CX5B7pZ/IBL2uoPrRAHAAAAAAAAAAAcaOsyqmm2uN3dpdl+&#10;ZUomnfzDXC9+uCVt94dWiAMAAAAAAAAAAN7S1mVUd7vLa/3alEwy+Ye4VvxQS9rrD60QBwAAAAAA&#10;AAAAhNq4jGqaLe5Vd3muX5+SCWU1+kDL6I+bHXzAwQcPAAAAAAAAAADQ1mVUzRY32SxEH2YZ+Zid&#10;NLBCHAAAAAAAAAAAcJI2LqOaulO7u0uzqUcl48189CGWkY+pEAcAAAAAAAAAAJxJG5dRfdl9vJq6&#10;VDK+zEUfXhn5mAfNRoU4AAAAAAAAAADgLOq+jGpy1mVUU49qu/vpTOpUyegzE31oZeRjzqWB8w9z&#10;u/jhAgAAAAAAAAAAnKSNy6i+/HZpMfWqZLTpRB9YGfmYCnEAAAAAAAAAAEBpLVxGdT11q2SEiT6o&#10;MvIhF9K4+YenEAcAAAAAAAAAAJTStmVU0xKqu7tLs6ljJSNI/oHsFT+gMvIhD6b2yz88hTgAAAAA&#10;AAAAAKASbVtG1RKqI0r+YWwVP5wy8iEV4gAAAAAAAAAAgJFowjKqaVa7aNvf0V3eSF0rqTD5h7BZ&#10;/FDKyIdcTeO+6i7thR8iAAAAAAAAAABACW1aRjUtobq9vdJJnSupIPmbv1H8MEpaT+MqxAEAAAAA&#10;AAAAAKPUmmVUu0t7u7tLsweFLimX/I1fK34QJR1M46cQBwAAAAAAAAAAjEPdl1FNs9l9+dUn4ba/&#10;pbs8d1DqkuGTv+GjKcRFHxgAAAAAAAAAAMAINGEZ1QeProXbftjL7tLCQbFLhs5q9OaXsJkGjT4s&#10;AAAAAAAAAACAUWrCMqpPn90Kt31AKa5cFqM3voTtNGj0QQEAAAAAAAAAAIxD05dRVYobPvPRG17C&#10;Xho0+pAAAAAAAAAAAADGJRXO6r6M6r37V8NtT5Tihkvlhbjt7ZVO9AEBAAAAAAAAAACM2+dffFzr&#10;ZVTTth21jOrOt4/n+z0vOWXmoje5DIU4AAAAAAAAAACgbuq+jOoHH86Ey6ju7i7N9rtecorMRG9u&#10;Gb/5m//aLxY/FAAAAAAAAAAAgElrwjKqqbj31nZ3lw5W7ez3veSEdKI3tYzf+M2rv/7WBwIAAAAA&#10;AAAAAFAjdV9G9dLlc/vPX9x9vb073y1t9vteckIqL8T98T/5KzcPHzwAAAAAAAAAAAB19ODRtbAD&#10;VRf37l99va273eW1fudLjkv0Rpbx63/kF+8cPmgAAAAAAAAAAADqKs3ElmZki7pQdfB+5739p89u&#10;HWzrzreP5/u1Lzkq+Zu2V3wTy7jyh37+N4oHDQAAAAAAAAAAQJ2tPLl+UD6LOlF1cPvOlf3/4R/8&#10;1u/s7i7N9qtfEiV/s7aKb14Zv/Zrv/DvRwcMAAAAAAAAAABA3aXiWdSLqoNU2PuLf+nGP+pXvyRK&#10;/kZVWoi7dOnn/qPoQAEAAAAAAAAAAGiCtIzq+QudsB9VB//m7V991a9/STH5G7RZfMPK+OVf/qm/&#10;Eh0kAAAAAAAAAAAATZKWUY06UnXw0z/9Yy+zLJvptcDkdfI3Z6P4ZpVx6Vd/7q9FBwcAAAAAAAAA&#10;AEDTfP3Nw9ouo/ojP/JD/yTLsvleE0wOkr8xa8U3qowLMz/1X0UHBgAAAAAAAAAAQFM9fXartsuo&#10;Zlm22muDSeWFuPxD/3vRAQEAAAAAAAAAANB09+5fDXtTk5Jl2eB/b/QaYbJ6+A0qSyEOAAAAAAAA&#10;AABos+cv7u5funwu7E9NUpZl/0GvEjbdWYzenGF1fvK9fxgdBAAAAAAAAAAAAG2y8uT6/vud98Ie&#10;1QT9F1mWzfSqYdOZ+eBNGdqP//iP/qPowwcAAAAAAAAAAGijui2jmqReWK8eNn2ptBD3/e//yD+N&#10;PnQAAAAAAAAAAIC2Ssuo3rh5MexUTUqWZau9ith0ZS56M4alEAcAAAAAAAAAAEyrp89u7Z+/0Am7&#10;VROy2e+JTU1mgzehlOiDBgAAAAAAAAAAmBYrT66H3apIlmXhn1doqkpxM8EbUMrX3zwMP2QAAAAA&#10;AAAAAIBpkZZRvX3nStixmoCpKcV1gp0vRSEOAAAAAAAAAACgJxXjarKM6lq/M9bqVF6I+/KrT8IP&#10;FgAAAAAAAAAAYBo9fXZr/yd/8neHfatxyrJsoVcba3GiHS8jNRqjDxUAAAAAAAAAAGCafP7Fx/uX&#10;Lp8Le1aTkmXZbK851tLkO7lX3OkyFOIAAAAAAAAAAIBp9vU3D/fv3b8a9qtqYLtfHWtn8h2stBCX&#10;Wo3RhwwAAAAAAAAAANBmgyLc+533wm5VjWz062PtS75zW4WdLeWz9Y/CDxsAAAAAAAAAAKCt6rg8&#10;6nGyLJvvNchalnznKi3EPX12K/zAAQAAAAAAAAAA2ub5i7v7N25eDLtUNbeXZdlMr0XWouQ7tlnY&#10;0VIU4gAAAAAAAAAAgLZr0PKox9ns18jak3ynNgo7WcrKk+vhAQAAAAAAAAAAANAGaXnU8xc6YX+q&#10;abIsW+g1yVqSfKfWiztZhkIcAAAAAAAAAADQRg1eHvU47Vo6Nd+htcIOlvLg0bXwYAAAAAAAAAAA&#10;AGiiliyPepyNfp2s+cl3RiEOAAAAAAAAAAAg0KblUY+TZdl8r1HW/KxGOzis1ISMDgwAAAAAAAAA&#10;AICmaOnyqMdJS6e2IpUW4m7fuRIeIAAAAAAAAAAAAHU3BcujHme93ylrdBaCHRtaakVGBwoAAAAA&#10;AAAAAEBdpSLc02e3prUI91qWZbO9WllzMx/t2LAU4gAAAAAAAAAAgCb5/IuP9y9dPhf2oabQdr9X&#10;1thUWoj74MOZ8KABAAAAAAAAAACok+cv7h5MABb1oKZZlmULvWpZMzMX7dSwUlMyOngAAAAAAAAA&#10;AADqIC2Peu/+1alfHvUYe1mWdXr1suZlNtihoZ2/0AkPIgAAAAAAAAAAgElKRbinz241tgiXtnvl&#10;yfWDfYj+vmLr/X5Z4zIT7MzQFOIAAAAAAAAAAIC6+fyLjw9Wv4w6T3WXinC371w5KPQN9mcc+5Jl&#10;2WyvYtasdKKdGVZ68w8fSAAAAAAAAAAAAJPy/MXd/Rs3L4Zdpyb44MOZg30o7teXX30S/vsV2+x3&#10;zBoVhTgAAAAAAAAAAKBV0mxq9+5fbfzyqNG+DaT9i362SlmWzfdqZs1JpYW4JHrzAQAAAAAAAAAA&#10;Ri0V4R48utb4Itzh5VGPkv6d8xc64TgV2uv3zJqTYCdKOc2HAQAAAAAAAAAAUKXPv/h4/9Llc2Gn&#10;qQmOWh71OGmfo7EqttavmjUj+QbvFXagFIU4AAAAAAAAAABgXJpehEvb/tn6R+G+ncaNmxfDcauU&#10;ZdlMr23WgOQbXGkh7suvPgnfeAAAAAAAAAAAgKqkntK9+1fDDlMTnGV51OOkn4/Gr9hmv25W/+Qb&#10;u13Y+FLOOm0fAAAAAAAAAADAaaUCWCrCpUJZ1F9qgtt3rlQ68diDR9fC16lSlmXzvcZZzZNv7FZx&#10;48tQiAMAAAAAAAAAAKqWinBPn91qdBGu7PKoR0nvzfkLnfA1K7Tdr5zVO/mGVlqIS2vyRm86AAAA&#10;AAAAAADAMFInKZXJor5SE1S1POpxUtEueu0qZVm20Gud1Tj5hm4WN7wMhTgAAAAAAAAAAKAKabXK&#10;Gzcvhj2lpvjgw5lKl0c9zhhKg3tZlnV6zbOaJt/IjcJGlzKKKf0AAAAAAAAAAIDpkWZSu3f/quVR&#10;zygVCKNtqdh6v3pWz6QNLGxwKWmd3ujNBgAAAAAAAAAAOE4qwqX+UZOLcONYHvU4t+9cCberSlmW&#10;zfTaZzVMvoGVFuLShxm90QAAAAAAAAAAAEf5/IuPx7Hk50iNc3nUo6QiXrRtFdvo18/ql3zj1gob&#10;W4pCHAAAAAAAAAAAcFppmc8bNy+GXaSmSLPC1WllzQeProXbWaUsy+Z6DbSaJd+4Sgtx6c2M3mQA&#10;AAAAAAAAAICBNJPZvftXG708apKWKJ3U8qhHSdtz/kIn3N4KbfcraLXLarCxQ1OIAwAAAAAAAAAA&#10;jpLKWmk2taYX4dLyrmmZ12gf6+Cz9Y/C7a5SlmULvQpavVJpIS61NqM3GAAAAAAAAAAAmG6pQJaK&#10;ZFHvqClSkW/lyfXazQoXGcN7vdfvoNUqi8GGDi1NARi9uQAAAAAAAAAAwHR6/uLu/o2bF8O+UZP8&#10;2tULB/sS7WMdpQJitB9VyrJstVdDq08Wog0dVjpwozcXAAAAAAAAAACYLmkWtbTiZNOXRx1IM641&#10;YWa4w8ZQREyzxM30qmj1yHywkUNTiAMAAAAAAAAAgOmWSmNPn91qTRHusKaV4r786pNwPyq23u+i&#10;1SKVFuI++HAmfGMBAAAAAAAAAID2S8t0ptJY1C1qi6aV4saxXG1Wo1ni5qINHFb6sKM3FQAAAAAA&#10;AAAAaK/nL+7u375zJewUtVGTSnFpO6N9qNhGv4828cwGGzc0hTgAAAAAAAAAAJgeqWx17/7VVi6P&#10;epImleLGUVZMXbReJS2b6/9zIqm0EHf+Qid8QwEAAAAAAAAAgHZJy6OmvlDUI5oWTSnFjWmWuP8+&#10;t5bb7nfTJpKZQxtUWmp6Rm8oAAAAAAAAAADQDqkIl4pgUX+oSVLXaeXJ9f0/8acuhX9/Wk0pxaWZ&#10;/KLtH4GtfjdtIlGIAwAAAAAAAAAATtSm5VE/+HBm/8uvPnm9bzduXgz/vdNqQiluTLPEJZv9btpE&#10;0gk2aGgKcQAAAAAAAAAA0C6pSPXg0bVWFOFSce2z9Y/C/UwluehnTqsJpbj0OUbbXrHf7nfTJpJK&#10;C3FJ9EYCAAAAAAAAAADN07blUY8rrKW/K7uvdS/FpW07f6ETbnuF/q9+N20yCTaolOiNBAAAAAAA&#10;AAAAmuP5i7ullxGti+LyqMepqhQXjV0XT5/dCre7SlmWrfbaaRNItEFl1LnhCAAAAAAAAAAAHC11&#10;f+7dv9r65VGPk8pzZfe/zqW4Mc0St5dl2UyvoTbmpBcvbEwpCnEAAAAAAAAAANA8aeawMRSlRu40&#10;y6OeJM2QF419FmlmumjsOhjHLHG59X5FbbzJX7jSQtxppxcEAAAAAAAAAAAm7/MvPi69TGhdpBJa&#10;KrNF+3lW6X2JXuMs6lqKG9MscWnp1PHPEpe/cKWFuKoOKAAAAAAAAAAAYHQGy6NGHaCmSeWuNOtZ&#10;tJ9lVFGKu3HzYjj2pLV2lrj8RbcLG1GKQhwAAAAAAAAAANTXoAiXlhaN+j9NUsXyqCepojiW3u9o&#10;7Elq7Sxx+YtuFTeiDIU4AAAAAAAAAACoJ8ujDufBo2vhNpxFGiMae5JaOUtc/oKVFuLSlyZ68wAA&#10;AAAAAAAAgMlIxbHbd66EfZ+mSbPCjWJ51JNUsbzsJLb7OOt//fb+9773w+G2Vikb5yxx+QtuFjeg&#10;DIU4AAAAAAAAAACoB8ujVquKUmEdSnGpIHnj5sVw+0ZkfLPE5S9WaSHus/WPwjcRAAAAAAAAAAAY&#10;H8ujjkYVpbhJdawmWJDc69fVRp/8xSotxNVtWj8AAAAAAAAAAJgmE5j9a2QGs8JF+zlJVZTixr0S&#10;Z3q98xc64baMQ5Zli73G2oiTv9hG8cXLUIgDAAAAAAAAAIDxa9vyqGlfJrk86kmqKMWNY9a7GhUk&#10;xzNLXP5C64UXLqWOjUwAAAAAAAAAAGizSc/+VaU6LY96krKluFT8G9W+1rEgmWXZQq+1NsLkL6QQ&#10;BwAAAAAAAAAADWR51MmrohRX9Ux4qSB56fK58PUmbLNfWxtd8hdZK7xoKQ8eXQvfZAAAAAAAAAAA&#10;oBptWx41FeHqvDzqSdKsdtG+nVYqr0XjntXguIheoy6yLJvpNddGlPxFFOIAAAAAAAAAAKAhLI9a&#10;T2VLcenno3FPIxXhnj671YiCZJZli73m2oiSv4hCHAAAAAAAAAAA1FyblkdNM6J9tv5RuJ9NNolS&#10;XI2XRz3KyJdNXQ1edGhpyr3ojQcAAAAAAAAAAM6uTcuj/siP/PD+n/+tX2/08qgnKVuKu33nSjhu&#10;UZOPiyzLOr3q2mhSaSHutB8IAAAAAAAAAABwvDYtj3rYypPr4f62RdlS3EmrdKbZ9Zp8XGRZNter&#10;ro0mi9GLDkshDgAAAAAAAAAAymnT8qhHaftKlGVLcU+f3XpnzLYcF1mWrfaqa6PJQvSiw0pvePGD&#10;AAAAAAAAAAAATtam5VFPI5XG2rx86qXL58L9Pq00E1waZxLHRZZl4Z9X5ItedW00mQ9ecGgKcQAA&#10;AAAAAAAAcHZNXwZzWGmf08xn0XvSdKnIVrYUl5aXbeFx8Q/73bWRpNJCXGptRh8uAAAAAAAAAADw&#10;rs+/+Lh0aaoNBrOhtU0VpbhJyUY3S9z/2quujSYKcQAAAAAAAAAAMGZtWh71vfe+H/75WaXZ0KL3&#10;qumaXIobkZEW4uaCFxxa+uCiDxUAAAAAAAAAAOh5+uxWK5bBTGW+VGL7b/7OvcqKfQ8eXQvfs6ZT&#10;invLP+9310aS2eAFh6YQBwAAAAAAAAAAsbYsj5rKb7fvXNn/8qtPXu/b8xd3w393GGnsw+9bWyjF&#10;vfbf9btrI0mlhbjUXI0+TAAAAAAAAAAAmFZtWh71gw9nDspv0X6mwl/0M8NIrxO9RtMpxR34O/3u&#10;2kgyE7zg0NKXNvogAQAAAAAAAABg2qTyU1oetQ1FuLQPaXnUaD8Pq7IU19bVKtNx8Ut/4KfCfa6R&#10;vSzL/mrw51V42quujSad4AWHphAHAAAAAAAAAADtWh41FeFSiSvaz0jVpbizvHbdpX1JswX+xPs/&#10;CPe3Jray3sqjG4U/r0Q+9vxBc21EUYgDAAAAAAAAAICKDApPVc0Kl2VZ+OfjcNzyqCepshSX3sth&#10;t6NO0nty/kIn3McaWUudstxi8HdVSDPPpfFHl+BFS4k+TAAAAAAAAAAAaLNUhGvL8qhpVrbP1j8K&#10;9/Ms0vsRjT+MJpfi0nbfuHkx3K8aSUW1wcxtM+n/Lvx9VTb6rzG6BC9aSvShAgAAAAAAAABAW03z&#10;8qgnqbIUl6T3OnqdOqp6tsAR2syybKbXJjsow20V/r4qqXQ323uZESa9UOGFS6nyCwEAAAAAAAAA&#10;AHU1KDxFHZomSYWt23eu7H/51SfhfpZV5fKpSRWz141aQ0qSqaC22GuRHWQu/Vnh36lSWo519Mlf&#10;SCEOAAAAAAAAAABOKfVj0kxqbVge9YMPZ8ayFGnVpbg081z0OpPWoFnhtrK3Z2tbzP9slGW4VL7r&#10;9F5qxMlfbLvw4qWMqikKAAAAAAAAAACTVseZv7IsC//8OIPlUaN9HJVUvIu2ZVjj3v6TpGPj/IVO&#10;uK01MpgVblBO6+R/tlb4dyqXv8587+XGkPwFK13zdRyNUQAAAAAAAAAAGKcGzfx1rEERblKrQKZu&#10;UZXvYR1KcYNjI9q+mkmzwg2KaakQt5D/WaWTqR1hPEulDpK/oEIcAAAAAAAAAAAcoSEzf50oLY9a&#10;h9Ufqy7FPXh0LXydcajjsZHFMwamUtpgVri5/P+utDN2jPX89cazVOog+YtuFjaiFIU4AAAAAAAA&#10;AADaIPVgbty8GHZkmiQt8frZ+kfhPk5KmlWtyqVn0wxt0euMSoNmhdvO3swKl4pwlXbFTjD+MlxK&#10;/sKV7mRqPUYHAQAAAAAAAAAANEEblkfNsmziy6OepOpSXJoBL3qdqjVoxsBBIW0m/99rub1Dfzdq&#10;kynDpeQvvlHYmFIU4gAAAAAAAAAAaKrUfamypDVJ/8b1fyHcxzppUikubevtO1fC162Zvaw3K1wn&#10;/9/jLsIlh5dnHX/yDVgvbFApdZteEQAAAAAAAAAATtKGWeEi45o1ray0ndH2D2MU+5yKkg05Nn47&#10;y7JfzP85iSJcKuItHJTSJpl8QyotxD19dis8KAAAAAAAAAAAoI4atATmUNIMbHVdNvWwVEiMtn8Y&#10;aZ+j1zir9L7duHkxfI26yLIs/fOf5P/8zfyfkyjCJVv568+mPtrEk29MehOijRyKQhwAAAAAAAAA&#10;AE3w/MXd2pedqpJmN0v7G70PdfLg0bVw+4dRtgiYelBNmRUu91dzkyjCJZvZJJdILSbfoEoLcStP&#10;rocHCAAAAAAAAAAA1EFbl0c9SdrfNBte9J7USSqiRds/jGFKcV9+9UlTipK/k2XZ8/yfkyrCpSVS&#10;F3P1KcP1sxps7NAU4gAAAAAAAAAAqKtUCEslqaj3Mi2asAJk+pyibR9GWg73tLPjNWVWuCzLtvN/&#10;vir++RilWeFmDtpnNcxisMFDS9MWRgcLAAAAAAAAAABMyrTOCneUJkx6lUpsVX1eaZzjSnENWj73&#10;/8z948KfjdNgVrhaZyHY8KEpxAEAAAAAAAAAUCdptrE0S1jUdWmKDz6c2f+TH10O/25YqSAYvV91&#10;kpYvrWpGv6gUl4qSqRzYkKLkPwv+bJxqPSvc4cwHGz+0JnxRAAAAAAAAAABovwbN+nWkVNRKha1U&#10;3Er7lLo50b83rFS0K75vdZP2vcpSXCpIpnEbdHz8v8GfjdNW6pj1qmbNSKWFuNt3rrxzUAIAAAAA&#10;AAAAwLi0ZXnU1MMZFOEOS38e/fvDSmWz6HXqJpX3ou0fxh+79SuNPz7GYLA8auegZdagKMQBAAAA&#10;AAAAANAKafavqmYTm5RU/Cou7Vk0raW4qve7xv558GfjspdbzxpYhBtkrrBDpaRpBKODEQAAAAAA&#10;AAAARqUNs8IVl0c9SdXlsPT6JxXx6qDqZWN5y2aWZbO9WllzMxvs2NAU4gAAAAAAAAAAGKc2zAqX&#10;OjdffvVJuH/HqXIZ0aQppbgHj66F2z+MLMvCP58y2/n7sHDQJmtBZoIdHFr6kkUHIQAAAAAAAAAA&#10;VKkNs8KlIt9n6x+F+3da01qKS0XIaPs5k70syxZzjV0eNUon2NGhKcQBAAAAAAAAADBqqQx1/kIn&#10;7K80wVmXRz1J1aW4JL3H0WvViVJcKWl51JlehaxdqbQQl1qr0cEHAAAAAAAAAABlDWaFi3orTZHK&#10;a8Msj3qc9L6MYtnYsrPXjUOaza7JswROQCrCzfaqYy1NsNNDS83b6MADAAAAAAAAAIAy0mxg0748&#10;6nFGVYp7+uxW+Hp1kgqGP/tzPx5uP6+1cnnUMMHOD00hDgAAAAAAAACAKqWi142bF8OuShNUvTzq&#10;cUZVikvbH71eHaR9bvqsgSM2PUW4QdJOF96EoaUvcHTgAQAAAAAAAADAWaXZyZo8K9wolkc9yahK&#10;cQ8eXQtfb5LSrIFpAq9oezkowq3mpqcIN0ja+cKbMTSFOAAAAAAAAAAAynr+4m4rZoWL9m0c2l6K&#10;MyvciTazLJvttcOmMPkbsFV4Q0qJDkIAAAAAAAAAADjJoOjU5Fnhbt+5crAf0f6NW5qhLtrGMtLn&#10;E73WuNR1Vrgsy8I/H7PpLsINkr8RCnEAAAAAAAAAAExUKjqNYlazcUnb/tn6R+G+TVJbSnGpZJjK&#10;htH2HCWrR0ltHFIRbv6gDCYHhbjNwhtUSl0argAAAAAAAAAA1F/TZ4UbLI9a585M00txqSzZ5FkD&#10;R2gvy7LFXOegCCa95G+MQhwAAAAAAAAAAGPX9FnhUtHs+Yu74b7VzVlnVzuNUZfihpkVbkoowh2X&#10;/A3aKLxhpXz51SfhAQoAAAAAAAAAAIlZ4SajSaW4VJY8f6ETvuYUS0W41Zwi3HHJ36j1whtXSlNa&#10;rwAAAAAAAAAAjF/Ti05pVrgmTxhV91LcoCwZvc4UGxThZg4KX3J88jdsrfAGlqIQBwAAAAAAAABA&#10;UV1mhcuyLPzzk6TtfvrsVrhvTTOKwlkVpTizwr1jL7eWH7OKcGdJetMOvYmlpQMzOmABAAAAAAAA&#10;AJhOqU9y6fK5sGvSBGlWtaYtj3qSB4+uhftaxrClOLPCvSMV4TYyRbihs1p4Q0tRiAMAAAAAAAAA&#10;IKnLrHDDSiW+Nndh6lCKMyvcW1IRbjPLstlerUuGTaWFuM/WPwoPXgAAAAAAAAAApkeTZ4VLBb6V&#10;J9dbNytcJH1O0XtQxmlKcU0vS46AIlyFWQze4KEpxAEAAAAAAAAATK+mF50++HBm//mLu+G+tdW4&#10;S3FNLkuOgCLcCFJpIe7ps1vhgQwAAAAAAAAAQLs1uej0g/e+dzArXLRf0yCVAKsuMRZ7RGaFe4si&#10;3AizELzhQ5vmEwMAAAAAAAAAwDRqS9HpwaNr4f5Ni1SKO3+hE743wxqU4tLYZoU7oAg3hswHb/zQ&#10;FOIAAAAAAAAAAKZH25a/vHHzYrif0yKVG6v+PP/YrV8xK5wi3FhTaSFu2puyAAAAAAAAAADToM3L&#10;X37w4Uy4z9MifbbpPYjeG85MEW4CmQs+iKEpxAEAAAAAAAAAtFvbZoWLpP2L9n2aKMWVogg3wVRa&#10;iEvN3+gLAgAAAAAAAABAszV5Vri0zT/zMz8W/t1RUiku7XP0XkyL23euhO8NR1KEq0Fmgw9maApx&#10;AAAAAAAAAADt8/zF3cbOCpe2+7P1jw7KbWfdh/MXOgf7Hr0n0yL1gaL3hrcowtUoM8EHNLTUCo2+&#10;GAAAAAAAAAAANE/TZ4VbeXL9rVnevvzqkzPvS/r3p70UlwqF0XuDIlwdU2kh7sbNi+GXAgAAAAAA&#10;AACAZmn6rHBHldg+/+Lj8GeOk0px6eei8aZFej+bWIwcEUW4GqcTfGBDU4gDAAAAAAAAAGi242aF&#10;y7Is/N91kba5OCtcZJhSXDLtpbhhlp1tGUW4BkQhDgAAAAAAAACAA02eFe6DD2fOtLRpKs5F45zk&#10;6bNb4XjTIpUCv//9HwnfmxZThGtSgg9waOnEEn0RAAAAAAAAAACor+Nmhau7084KF7l950o45knS&#10;60XjtVl6fw+/X1kNZwgcAUW4Jib4IIeWGsLRFwIAAAAAAAAAgHqaplnhImmMaOyTPHh0LRyvjdKs&#10;cOcvdML3oaUU4Zqc/APcK3ygQ1OIAwAAAAAAAABohmmdFa4ojTFsIbDtqykOjpFo31tKEa4NyT/I&#10;ygpxqQkafTkAAAAAAAAAAKiPNKvajZsXw/5H1bKKl9ZMJbQvv/ok3K9hKcW9a8pmhVOEa1PyD3S7&#10;8AEPLbVvoy8IAAAAAAAAAACTl4pfaWa1aZ8VLpLGHfZ9SWW6UW3XuKX9GHbmwKzi8uMYKMK1MfkH&#10;u1X4oIemEAcAAAAAAAAAUE/jnBWuaqOYFS6SXmPYUlz6ufQeR+M2RZoVbtiZ8hpGEa7NyT9ghTgA&#10;AAAAAAAAgBZr+qxw0T6NSiq1TVsprsyscA2jCDcNSR904YMvJfrSAAAAAAAAAAAwfnWeFS47YXnN&#10;cc0KF0nvW7RNp5VmWovGraMpmRUuFeHmDspS0v6kD7xwAJTSlvWQAQAAAAAAAACazKxw5aSiWLR9&#10;p/X02a1w3LqYklnhUhFuvteSkqlJ/sFvFA6EUhTiAAAAAAAAAAAmZ5yzwmUnzPJ2VpOcFS5SthRX&#10;h2JfJB0jLZ8VThFumpMfAOuFA6KUOp2UAAAAAAAAAACmSZqVrKkzfv3Lf+j3h/s0aWVLcQ8eXQvH&#10;nYQpmBUuFeEWc52DYpRMZ/IDYa1wYJSSGqTRFwoAAAAAAAAAgNEY56xwo5SKWqmAFu3jJJUtxaWZ&#10;76Jxx6nls8JtZYpwMkh+QCjEAQAAAAAAAAA0VJNnhTtKmsUs2tdJamopruWzwinCybvJD4xKC3F1&#10;bOkCAAAAAAAAALRNKjq1YVa4o6TZzOo2MVPZUlzap/S5RWOPQt1nhcuy7LXo74+xnf+MIpwcmdXg&#10;oBmaQhwAAAAAAAAAwGi1cVa4o6w8uR6+B5NSthR3/kJn5EW/Fs8Kt5cpwskpUmkh7rP1j8IvGgAA&#10;AAAAAAAA5bR9VrijpOVGxzmz2knKluJSUW1Upbi6zwo3JEU4OVMWg4NoaKmBHH3ZAAAAAAAAAAAY&#10;3jTNChdJ+16nlQvLluKSKvenpbPC7eXWsyyb6dWcRE6XhcKBVErdpqkEAAAAAAAAAGiyJs8Kl2Yq&#10;+8v/6Z+odMayB4+uhe/TJFRRiqti8qmWzgq3mWXZbK/eJHK2zAcH1NAU4gAAAAAAAAAAqtHUWeHS&#10;NqcOyWCZ0/TPtOxp9O8OI5W/vvzqk3fer0lIZbRoG89i2L5NS2eFS0W4+V6tSWS4VFqIq1MLFwAA&#10;AAAAAACgiZo+K1wqiUX7lcpb0c8Mq4rZ1apQRSnurJ2bFs4Kt5dl2WKuc9BoEikRhTgAAAAAAAAA&#10;gJpoy6xwR0n/TvTzw0olu+h1xi0V1Mp+bmkWvWjsw1o4K5winFSeueBAG1pdTjIAAAAAAAAAAE3S&#10;9FnhPlv/KNyvyOdffFxpoeu4WenGKX2GZWdtO64U17JZ4fZy61mWzfQqTCLVZbZwsJVy+86V8AsJ&#10;AAAAAAAAAECsqbPCJWnypJNmhYt8+dUnlZe70uxz0WuNU3ovUqkt2r7TSu9LccyWzQq3mTpLveqS&#10;SPVRiAMAAAAAAAAAmIBpmhXuKFXvf126K2X3K72/6fho2axwqQg336ssiYwuM8HBN7T0ZY6+5AAA&#10;AAAAAAAAvNHkWeFS6WyYWeGOkmY/i15nWKlAVoclVMvu18/8zI/t/8T7Pwj/rmH2sixbzHUO2koi&#10;I04nOAiHphAHAAAAAAAAAHC0Js8Klwp8VcwKF0njRq9ZRh2WUH3w6Fq4bVNCEU4mkkoLcWkN5OjL&#10;DQAAAAAAAAAw7Zo8K1zqhFQ5K1wkzepW9fszju0+yedffBxuW4vt5dazLJvp1ZNExpzCAVlKmnIy&#10;+mIDAAAAAAAAAEyrps8Kl4p80X6NQnqvUv8k2pZhpX1IpbTo9cYllf2ibWuhzSzLZnutJJEJJTgw&#10;h3b+Qif8UgMAAAAAAAAATKM6zQqXZVn450dJs6t9+dUn4X6N2r37V8NtKiMtXxq91rikUlzq1kTb&#10;1gKpCDd3UEYSmXTyAzJNUxgdqGemEAcAAAAAAAAA0PxZ4VaeXA/3a5xSgS3avjLS7HOTKvklo5gB&#10;b8L2sixbzHUOikgidUg6MAsH6tDSCTH6MgMAAAAAAAAATIs6zQp3VpOcFS6SljqNtrOM9Nl8tv5R&#10;+HrjkEpxl3/158NtaxBFOKlv8gN0u3DADk0hDgAAAAAAAACYVm2YFS7tQ7RvkzSqpUbTsqzR641S&#10;Kvg1fNnUNPHWepZlM73mkUgNkx+kW4cO2tKiLzMAAAAAAAAAQJs1fVa4VDqL9qsuUlEvbWe0/WWM&#10;awnVJpclD9nMsmy21zgSqXHyg7XSQlwdm8IAAAAAAAAAAKPQ9KLTe+99b/+v/fXb4b7VUZrVLdqP&#10;stLseNHrVaHJZcm+VISb6zWNRBqQdNAWDuJSFOIAAAAAAAAAgGnQgqLTa5+tfxTuYx2l8lq0D2Xd&#10;vnMlfL1hpVn3Gj4rXCrCzfcaRiINSjp4CwdzKeOYRhIAAAAAAAAAYFJasvzlO0Y5S1rVUtlsFGXE&#10;tIRq2eVj0/GR3ssGlyW3syxbzHUOykUiTUt+EG8UDupS6r6mNAAAAAAAAADAsNo0K1zkwaNr4X7X&#10;USqepQJbtB9lpc85es2TNHxWuL1MEU7akPxgXi8c3KUoxAEAAAAAAAAAbdPwotOZfPDhTPge1NWo&#10;Ppd796+GrxdJ5bz07ze0LKkIJ+1KflCvFQ7yUj7/4uPwiw8AAAAAAAAA0DRNX/4ybfdf+PSPhH93&#10;nKaV4tLMdtF+lHWaJVTT349qproRS0W41ZwinLQr+cGtEAcAAAAAAAAAUNDgotOBVGpLhb60L6nP&#10;Ef07x0n7Pvj5JhhmH08rWkK1wbPC7eXWsyyb6bWHRFqW/ACvtBD32fpH75wAAAAAAAAAAACaouHL&#10;Xx5sd1TgSgW/s+5T+vdPmiGtTtK2nr/QCfelrMNLqKby3aheZ8Q2syyb7bWGRNqb1eDgH1p0QgUA&#10;AAAAAAAAaIJUdGr6rHBffvVJuG/JsKW4pq0YeOPmxXBfyvqVf+nn9v/Mn/3D4d+NWpZl4Z+fUirC&#10;zR80hUSmIIvBl2Boad3s6EQDAAAAAAAAAFBXbZgV7rSdjVSYG2Y/m7Zq4INH18L9mDJ7qRuU6xy0&#10;hESmJApxAAAAAAAAAMDUavuscJFUABxmn5vWC0mfbbQfU0ARTqY6C8GXYmgKcQAAAAAAAABAEwxm&#10;hYv6D01wllnhIsOW4tLMa9F4dZWWiR1V4TErt4zpKPxObi3frpmDVpDIlGa+8MUopWknPQAAAAAA&#10;AABg+qSZw85f6ITdhyYYZla4yLCluPT60Xh11uTy4wn+fpZlv5GbzZkRTiRPpYW4dPKITioAAAAA&#10;AAAAAJM27bPCHSUV3KLXO04q0kVj1VnLllC1LKrIEZkLvjBDu33nSnhCAQAAAAAAAACYpFSGSoWy&#10;qO/QBFXNCneUYUtxo9ymURh2Vrya2cwsiypyZBTiAAAAAAAAAIDWSgWoGzcvhj2HJhjVrHCR1PuI&#10;tuE4afuev7gbjldnDx5dC/en5gazwonIMZkNvjxDSxeQ6CQCAAAAAAAAADBuT5/dMivcGQ1biksz&#10;8EXj1dnDf/eP7P/wD/9QuE81ZFY4kVNmJvgCDU0hDgAAAAAAAACYtDRjmVnhhnfv/tVwu06SCojR&#10;eHVTPD6yLHtrP6pQ4ZhpVrj5VPIRkdOlE3yRhpaaydGJBAAAAAAAAABg1NLyqGkpTLPClTdsKW6S&#10;Rb6TpOMj7VeDjo/11O3pVXxE5LSptBB36fK58IQCAAAAAAAAADBKadav1FuI+gxNMOlZ4SKpXBht&#10;60nSz0XjTVJa0rVBx8dWZlY4kaGjEAcAAAAAAAAANFYDZ/16R11mhYukkl60zSepyyqDDTs+0vKo&#10;i6nPc9DqEZHhEny5hnb+Qic8uQAAAAAAAAAAVK1hs37tZ1n21v9dx1nhIul9Przdp5U+m1RIi8Yc&#10;hwbOCjd7UOYRkXIJvmBDU4gDAAAAAAAAAEZtMOtX1F1oijrPChcpU4ob936aFU5kypO+WIUv2tDS&#10;iSQ60QAAAAAAAAAAVCEVs9KEPVFvoSl+/ud/Yv/5i7vh/tVZ2uZhSmbpZ8a1vw07PjYzs8KJVJ/8&#10;y6UQBwAAAAAAAADUWipU3bh5MewrNNVn6x+F+1pnaba3YQpnqVOSymrRmFWo26yBWWF53AKzwomM&#10;MulLVvjSDU0hDgAAAAAAAACoUio6PXh0baiZyZog7Vu033WWPpO0FGq0PycZRSluErPCZccX3o6T&#10;ZoWbOSjtiMhokn/RtgtfvFKiEw8AAAAAAAAAwFmlotOwxasm+eDDmXD/6yyV4tJ2R/tzkqfPboVj&#10;nlXahtt3roSvUUODWeFEZNTJv3BbhS9gKelkE52EAAAAAAAAAABOI3UP0vKXTZoVLht+xrADqfiX&#10;liON3o86G3YZ25Un18PxTiuV6hp0fJgVTmScyb90CnEAAAAAAAAAQC1MYvnLukgFr1EsKTpqqbwY&#10;7c9Jhlku9vmLu0OX8CYgzQq30GvoiMjYkn/5FOIAAAAAAAAAgIlq2PKXoTTL21/49I+Ef3cWZWdP&#10;m4RUbov25STpM4/GizRsVrj1LMs6vXaOiIw1+Rdws/CFLKWJ03cCAAAAAAAAAJPTsKLTO9K2pxLb&#10;YBKhNItZ2f1Js64V36e6+2z9o3BfTvLBhzPheAMNmxVuK8uy+V4rR0QmkvyLWGkhLp2EopMTAAAA&#10;AAAAAMBhDSs6hVKZK+pKpHJcmjEu+pnTSj/ftJX60pKv0b6cJCrFpX1PxcCGlCX3cmuZWeFEJp/8&#10;y6gQBwAAAAAAAACMTcOKTqHirHCR9Hep6BX9/Gml12laFyNt7/kLnXB/jnO4AJjGKFsoHKM0K9xs&#10;r4kjIhNP/qXcKHxJS1GIAwAAAAAAAACOkmYQa1DRKZRKbl9+9Um4f5EqZsFLy5FGY9dVKrYN8zn/&#10;wi+8v//nf+vXGzMrXJZlizmzwonUKfmXs9JCXLpwRSc6AAAAAAAAAGB6DWaFi7oGTTGYFS7av5NU&#10;se8PHl0Lx66zpi+Je4zNzKxwIvVM/gVdL3xhS1GIAwAAAAAAAAAOS12CYZbQrJOzzgoXSYW2aOyz&#10;SAWzaOw6a3oRssCscCJ1T/5FrbQQ17QpOgEAAAAAAACA0Xj+4m7jZwhLs8JV2YVI5cDodc4ilfOi&#10;seusijJgDaRZ4WZ6jRsRqW3yL+ta4ctbikIcAAAAAAAAAEy3tDxqKkClMlnULWiK23euHOxLtI9l&#10;pKJg2ffm0uVzpWesG7cqyoATkmaFm+81bUSk9sm/tJUW4p4+uxWe1AAAAAAAAACA9kulp1TWijoF&#10;TZG2f9QTAqWiXdn3KZXqUrkuGr+u0vb+xPs/CPenhvZy65nlUUWalfyLqxAHAAAAAAAAAJSSCl73&#10;7l9t9KxwadtXnlwfyaxwR6liSdlUQozGrqO0rb/nx3803I+TZFkW/vmIpOVRZw/KNSLSuKwGX+qh&#10;pQtDdEIDAAAAAAAAANoplZzOX+iEPYKm+ODDmYnNtpaKhNE2nUXd+xqpZJiWoI22vWbS8qiLObPC&#10;iTQ4CnEAAAAAAAAAwJk1qOR0pEnMChdJ2xBt31k8eHQtHHvSGlSYTLPCzfTqNCLS5CwGX/ChKcQB&#10;AAAAAAAAQPs9fXar0cujJn/w0rn9L7/6JNy/SUjFsWg7zyItwRqNPQmDZXSj7TwsG+9SqJE0K9zC&#10;QYtGRFqRSgtxdW0bAwAAAAAAAADlpWVFU+kq6gw00WfrH4X7OSnp/S07m1pa/jUae5waNCvcemZ5&#10;VJHWRSEOAAAAAAAAADjWYLavps8KF0mz3UX7PCnpvb50+Vy4raeVfn4Ss9+ddla4GtjKsmy2V50R&#10;kbal0kJcOqlFJzwAAAAAAAAAoJnSbF9lC1r/f3v3F3Jbet+HfXtkS7IjSwfb8Z9YMzl2/Ed2pMyp&#10;4/qP5MEyrmJVzjTHrpjMheNMiE0gVWBUFAIlYGEoJQ6eYQopvRA9DclVIVEIvXCLm3ORCwUEPZe9&#10;CFQXLZRS6ElvAr3pdP/OO89kzZrffvde63nW2s9a7+cLHyy/c96111p7/Xn+/N61evd7v/+5dNuv&#10;qfZJfFG8GE+cy5a9hI08FS5ej/r6kafCiew4CuIAAAAAAAAAgPfZ0NO+muixKK7F/o9CtWzZrWzo&#10;6YGPD4fD/ZtyGRHZc15LLgCzKYgDAAAAAAAAgO3byNO+bvXpz9x/+w/+8NfT/3bKl7/yUro/rikK&#10;9bJ1nWKpYr94Al3s5+wzO1KeCicidyRNC+JeefXF9AIIAAAAAAAAAPQvCpxqX9V5bfGksmEBWBT3&#10;Zf/ulB4fBjR1GzKti/3eeOvlLTwV7tHB61FF7lwUxAEAAAAAAADAHbeh117eKuoWYlvG2ze1oCye&#10;ejZexrVFsWLtU/ui2DFb9hSxf69RNHk4HJ7J/lviyfHfPozCGBG5e1EQBwAAAAAAAAB3WBSLffJT&#10;P5jWAWxFrP/XHn0x3b5iD0VxUYxW+13VbFfsw85fpVtej+qpcCJ3OE0L4lpUEgMAAAAAAAAAy9vD&#10;U+HK61Gzp8Jl9lAUF+J7y9b3UlFUly33lHKsZMvqyOPD4fDgphxGRO5yFMQBAAAAAAAAwB2zgSd9&#10;nRXFavEa0Wz7brOXorgvf+WldH0vFUVxlxQSxv7q/AmC5alwIiLP8jC5UMymIA4AAAAAAAAA+hUF&#10;UK+8+mI6578V5alw2fZdampR3NQnqq1l6naM3VYUFz+PorvOnyD46OD1qCIyStOCuF6rogEAAAAA&#10;AADgrnvjrZc3/XrUEMV8lzzV7BJziuJafXZL8ZS8mie4ZdsVy4yHImX/vhNPoublpvRFROS9URAH&#10;AAAAAAAAADtWWzDVg1j/Oa9HPWcvRXGhpoAtXp9btqvzwsnyelRPhRORk1EQBwAAAAAAAAA7FAVO&#10;v/s3fn7TT4Urr0ddsghtalFcFI9945tfSpd1bfF9Z+t8iY9+7MNv/4Vf+4n0v3Xi8eFweHBT7iIi&#10;cjpNC+KiEjq74AIAAAAAAAAA64kiryjcyub2tyIeyrNW4dnUorgo1FviiXUtfO3RF9N13jBPhROR&#10;SVEQBwAAAAAAAAA7UZ4Kl83p1zocDunPW4tis3htZ7Z9S9pTUVys19YLIt8RT4W7/6zCRUTkwjQt&#10;iIuLaXahBQAAAAAAAACWFUVkW3896iuvvrjo61HP2VNRXOzHeLBRtt4bUJ4KJyIyOQriAAAAAAAA&#10;AGDDoiArXi+azeNvRax/L4VleyqKC0s9MXBBngonIlX5bHJhmU1BHAAAAAAAAACso7wedetPhfu9&#10;3//cVZ8Kl5laFBfid7Jl9SD2cbbOnfFUOBFpkqYFcXGjyi6sAAAAAAAAAEA7UXwVD63J5u63Ip4K&#10;941vfindvh7srSjuD/7w19/+wAeeS9e7A54KJyLNoiAOAAAAAAAAADaiPBUum7Pfik9+6gff/tqj&#10;L6bb15s5RXE9bls8Ia72SYKHwyH9eSVPhROR5lEQBwAAAAAAAAAb8MZbL1cXNV1TrHuPr0c9Z05R&#10;XHxX2bLWFvv681/4RLqOcxzaFsV5KpyILBIFcQAAAAAAAADQsT/6499pWtR0DfF61NiObPu2YItF&#10;cbHOnRZQeiqciCyapgVxIbvIAgAAAAAAAADTlNejbvmpcEW8JnVrT4Ybm1MUF0/Ey5a1pM5fq+up&#10;cCKyeB4kF58q2cUWAAAAAAAAALhcFF9FEVk2L79VUdi35afEhd6L4mL/dnrceCqciKyW5gVxW6/o&#10;BgAAAAAAAIBr6fzpXk1EUVm27VsRRWfZdt3my195KV1WS1F41+nTBD0VTkRWjYI4AAAAAAAAAOjA&#10;G2+9vIvXo14itjXbB1vRU1Fc1Gl8/gufSD9zqsPhkP58Jk+FE5Gr5H5yQaqiIA4AAAAAAAAALhfF&#10;Va0KmrZkjaemLSm+t6kFjK+8+mK6rLniaXvPv3Av/awr81Q4EblamhfEfeObX0ovwgAAAAAAAADA&#10;v1Nej7rlp8L92U/+YPrzS8X2Z/tmK+YUxX36M/fTZU3R8bHjqXAicvXcSy5OVRTEAQAAAAAAAMDt&#10;4slen/xUXTHZNUUh1u/9/ueeFWbNeX3oUIsCsWuKOompT2mr2eaWr0htzFPhRKSLNC+IixtddkEG&#10;AAAAAAAAgLuuPNkrm2/finjt5/hhOXOelDYUxYGxb4bL3JJY96kFjnOK4qKQsuOnwt17VokiInLl&#10;KIgDAAAAAAAAgBW88dbLPRYzXSwKvqIgK9u2UFsUF09Z23LNQRTFRZFbtm2nXFoU13Eh5ZPD4fDg&#10;pgRFRKSPKIgDAAAAAAAAgAXFPHqnr7i8yPD1qNn2DcWT42qK4uJ3t153MPW7jkLDbDlF7I+phXYr&#10;eTPqTm7KT0REOkpywapyWzU4AAAAAAAAANwV5aleW34qXBRijV+Pek78+6mvDx372qMvpsveiqlP&#10;czv1ythOnyoYr0h97abqRESkwyQXrioK4gAAAAAAAAC462LuvLYo7Jpi3WuK0qK4q3b746l02bK3&#10;4stfeSndrlOGRXGlmDL7d1f2+HA43L+pOBER6TTJxavK1qu0AQAAAAAAAGCujguZLjLl9ajntCiK&#10;i6KybNlbEU94y7brlOdfuPf2P/zHf7nHYsp4KtzrR16RKiL9Jy5ao4tYFQVxAAAAAAAAANxFnb7e&#10;8mJzXo96TouiuFivbNlbEU8LzLbrlOeeey79+RU9ORwOD26qTERENpDjhatpQVzc4LMLPAAAAAAA&#10;AADs0R/98e+8/fkvfCKdQ9+CeCrZkg+/URR3c4xstFjy0cFT4URkazlevBTEAQAAAAAAAMBE5fWo&#10;W30qXMvXo14iitqy9bhUFNWtta5LiKfvdfgq1FPiFamv3VSWiIhsLMeL2LdGF7UqCuIAAAAAAAAA&#10;2Lt4DeaGipveJ4rT4qll2bYtqfZJelHEd431biUK+moLA1fw+HA43L+pKhER2WCOF7KmBXFRPZ5d&#10;1AEAAAAAAABg68pT4bL58i0oT4XLtm0tr7z6Yrpul4ptiILEbNlb8Rv/8SfTbbuyeCrc60dekSoi&#10;287xgqYgDgAAAAAAAADOiDembfX1qOEjH/nQ2//kn/2VdNvW1qKocKtvsItivudfuPf24XBIt+uU&#10;qf9+oifH5T+IOhIRkc0nLmqji1wVBXEAAAAAAAAA7Em8orP2VZ+96OmVo1/+ykvpOk6xpRqF8nTB&#10;DosqHx08FU5E9pTjha1pQVzcsLILOwAAAAAAAABsSccFTNW+9uiL6TavrUVR3BbqFL7xzS/1WFQZ&#10;r0h97aZ6RERkRzle4BTEAQAAAAAAAMBAvNbyk5/6wXRefC96ebpa7Ots/aaIYrNs2T2I7euwqPLx&#10;4XC4f1M5IiKys8RFbnTRqxLV8dkFHgAAAAAAAAB6V54Kl82H71EvD71pURT36c/cT5d9Lb0eS4fD&#10;4atHXpEqIvvN8WKnIA4AAAAAAACAO++Nt17e7OtR/8RHPpT+/BK9PF1tT0Vxf/THv9PjEwbjFakP&#10;b6pFRER2nOMF7+ujC2CVV159Mb3YAwAAAAAAAECPongpisKyOfAtiCKwb3zzS1UFZT0VktUWJUYh&#10;WjydLVv+GjotrPSKVBG5Ozle9B6NLoJVen4vNwAAAAAAAAAU5ZWWW30qXBR+fe3RF9+zTTVFcdcu&#10;JCu2WhQXnxcPEcrW54riqXCvH3lFqojcnRwvfm+OLoZVFMQBAAAAAAAA0LsoHHv+hXvpvHfvoljs&#10;937/cycLvmqK4mKfREFattw1xRPval85GvtprW3p9HjyilQRuZs5XgCbFsT18hhVAAAAAAAAABjr&#10;9CleFyuvR822baimKG7NQrLbxHe1haK4KE6sfaLdArwiVUTudL6aXBhnUxAHAAAAAAAAQG+iuOqN&#10;t17usXDpItnrUc+JQrBsWZea+nlLaFUUFwWC2fJrxLrFW/Syz7yif3PwilQRkcPryQVytrgRZTcC&#10;AAAAAAAAALiGKIaqLaq6lijmuu31qOfUFsXFZ2fLXVs8nCdbvylaFsV1+orU//PgFakiIs/yWnKR&#10;nC0u+NnNAAAAAAAAAADWFEVkv/s3fn7yU+EOh0P687VFEViL133GMmqejPflr7yULndtLZ7GVlsU&#10;N/eYai05Rv/l8WeeCici8k4eji6SVeKin90UAAAAAAAAAGAtnT7B6yIx7x6vd822a67aorgoRsuW&#10;u7ZXXn0xXb8p5hbFdfqK1KeHm1ekiojIIAriAAAAAAAAANiFTouWLhLz7TWvRz3nG9/8UlVRXDyx&#10;Llvu2uIJbdn6TTG1KC7+fc2+W8iTqPm4Kf0QEZFhPptcNGdTEAcAAAAAAADA2qKILF7t2WHR0kVa&#10;vR71nNhPn/zUD6brcIn43aUK9qaI7zpbvykuKYqLbW1RgLeAxwevSBUROZkHyYWzSnaTAAAAAAAA&#10;AIAlRGFTTZHXNZWnwmXbtZTaorhY5zWK98752qMvpus3xW1FcbGNHR5XXpEqInJB7icX0Co9VIMD&#10;AAAAAAAAsG/l6V1bfCpcrHOs+7Xm11sUxU197egSYh2y9Zsi244oUuzwuIpXpD64KfUQEZHboiAO&#10;AAAAAAAAgE2JIqbnX7iXzln3bq3Xo55TWxQX4ilt2bLXFPuy9lgoRXGxTz7/hU+k/+bKvn7wilQR&#10;kYtzL7mQVvnGN7/0vhsQAAAAAAAAANSK4qdOC5bOiieOrf161HOiACwK9LL1vVQP29SiuC+2o8Mi&#10;S69IFRGZkeYFcT1UsgMAAAAAAACwH1HwtOXXo77y6ovPtiHbth7UFsV9+SsvpctdW+12dMYrUkVE&#10;5ia5qFZREAcAAAAAAABAK/E6y9qnf11LL69HvURtMVk8uS9b7tqicDJbv415dPCKVBGR+TleSJ+O&#10;LqxVyru1AQAAAAAAAGCurT8VLl7B2fNT4TLxJLtsey4VRXXZctcWT6zL1m8DvCJVRKRFjhfUb40u&#10;sFUUxAEAAAAAAABQ4423Xn77+RfupXPSPdvC61HPqS2Ki6f59bD9X3v0xXT9OuYVqSIirRIX1dFF&#10;tkrcVLKbDQAAAAAAAADcJl4vGq/ezOait+C3fvtn0u3amhZFcd/45pfSZa8pHuiTrV+H3jx4RaqI&#10;SLscL6xNC+KiUj+70QAAAAAAAABAZsuvRx2L7ci2cWtiO7Ltu1R8l1HgmC17TbEOP/XTP5CuYwfi&#10;Famv3VRviIhIsxwvsI9HF9wq8R707CYDAAAAAAAAAGPxFK94olg2/7xVn/7M/XRbt+bLX3kp3b5L&#10;RVFcfL/ZstcSn9/p63fjFan3byo3RESkaY4X2Ueji24VBXEAAAAAAAAAnFOeCpfNO+9BFPnFNmbb&#10;viW1RXHha4++mC57SdlTBw+Hw3vW64q8IlVEZMnEhXZ04a0SN8PsZgMAAAAAAAAA4Y23Xt7k61E/&#10;9KFvT39+SjyZrIfXhtaKB+Nk2zfFmg/XiX3e6VMHvSJVRGSlfDW5CM+2l/ehAwAAAAAAANBWvL4y&#10;XieazTX37vNf+MTb3/jmlyY/1S4K//ZQFBffXbZ9U6zxgJ0ovOu02PLxwStSRURWy+vJhXi2V159&#10;Mb3pAAAAAAAAAHA3Za+v3Ip40tj4lZ9zXvV6jdeGttaiKG6ph+zEMRZFi9lndsArUkVEVs7D5GI8&#10;W9xgspsPAAAAAAAAAHdPFFHFq0Oz+eWeRfFePG0sCq2y7YqnnWW/d5s1Xxu6lBZFca0ftBPr1Gmx&#10;Zbwi9eFNaYaIiKyZzyYX5dkUxAEAAAAAAAAQrwnt+Ildt4rXusbrUbPtGppTFLfGa0OXFt9tbQFa&#10;7ONs2VNEsWIU12XL74BXpIqIXDEPkgvzbC1uWgAAAAAAAABs095ej3pOPPUtW9ZtWj8h7RqiYDD2&#10;V7Z9l6qpL+j4qXDBK1JFRK6ce8nFeba44WU3IwAAAAAAAAD2ba+vRz1nzmtE9/CwmdhfaxfFdf5U&#10;OK9IFRHpJE0L4qJxk92UAAAAAAAAANinu/B61HPmFMVFMdncIryexD7Mtu9SlxbFdf5UuHhFqqfC&#10;iYj0kuOF+enoQj1b3HyyGxMAAAAAAAAA+3LXXo96ztyiuBYFeddW+9S224riNvBUuNduqi9ERKSb&#10;HC/QT0YX7CrZDQoAAAAAAACA/Yjir9rXZV5D7etRz5lTFBfrFE/Zy5a3JVEcmW3fpeJ4Gi/zmk+F&#10;OxwO6c8H4qlw958VXoiISF+Ji/Tool1lD490BQAAAAAAAOD9ylPhsrni3rV6Peo5UdyWff5tougr&#10;ir+y5W3Jl7/yUrp9lypFcXGcdfwa3n9zOBxeP/KKVBGRXnO8WCuIAwAAAAAAAOCkmAd+462XvR71&#10;QlEUN2dfrb2eS5jzlLyhj3/8Yz0fZ08Oh8ODm2oLERHpNscL9pujC3iVPbzfHAAAAAAAAIAbXo86&#10;z9yiuFjnbHlbMucpeRvw5sFT4UREtpG4aI8u4lX28G5zAAAAAAAAgLuuvB51i0+FW+v1qOfEOswp&#10;JoxXj2bL25KoHXj+hXvp9m3M08Ph8PCmwkJERLaSryYX9Nn28F5zAAAAAAAAgLvM61HbicLCOUVx&#10;r7z6Yrq8LZm77R15fPBUOBGRTeZhclGfTUEcAAAAAAAAwDZ5Peoy5haGxZPusuVtTTxpMNu+jsVT&#10;4V6/KakQEZEtpmlBXPylQHaDAwAAAAAAAKBPXo+6jljXbBtuE4V0vRb6TREFi9n2dSieCnf/ppxC&#10;RES2mgfJBX62uIllNzcAAAAAAAAA+hNPhXv+hXvp/G/PolCst9ejXiJehZptz21iW7dS9HdKFPX9&#10;1m//zNvPPfdcuo0dKE+F84pUEZEd5F5yoZ9NQRwAAAAAAABA//7oj3/n7c9/4RPpvG/Pen896iXm&#10;FMXFdsd3li2vdxt4Fe+Tw+Hw2ZsSChER2UOaFsR9+SsvpTc4AAAAAAAAAK7P61H7EN9Bto23ie8s&#10;isuy5fWoHGvZtnTkzaibuCmfEBGR3eR4gX86uuDPFjez7EYHAAAAAAAAwHVt9fWo4Zde+pF0m7Ys&#10;HjiTbes5b7z1crq8XkQhXKzjuaLLw+GQ/nwl8VS4h8+KJkREZH85XuibFcTFI3WzGx4AAAAAAAAA&#10;17HV16OOxWs3t/ra0FOicCzb1nN6fXvbBl6PGvURngonIrL3HC/2TwYX/yoK4gAAAAAAAAD6sOXX&#10;o97m937/c+n2blUUkWXbec4rr76YLu8aNnKseSqciMhdyfGi/3h0E5gtKr2zmx8AAAAAAAAA69nA&#10;k7qq9FQM1sLcorhPf+Z+urw1fe3RF3t/Fe/Tw+Hw+pGnwomI3JUcL/5fH90MZoubXHYDBAAAAAAA&#10;AGB58aSuKBbL5nP3Zm+vUI1tmfOEtdgP3/jml9JlLmkjr+J9fDgcHtxUR4iIyJ3J8Qbw5uiGMFvc&#10;nLMbIQAAAAAAAADL2evrUS+xp1eozi2Ki99ZqzhwI8eap8KJiNzlHG8EzQriQnZDBAAAAAAAAGAZ&#10;W309aqzzJ37q+9P/NtWeXqEaT3ub+33GsZAts5VYfuevRw2eCiciIoevJjeI2aIaPLsxAgAAAAAA&#10;ANBOeVJXNm/bs3iyWDzVrcwtt3rF655eoRr7Zm5R3BJPzNvI61E9FU5ERN7Na8mNYra9NDAAAAAA&#10;AAAAehTFUlH0tMXXo376M/efPQFtvE2tiuLCG2+9/L7lb1FNUdyXv/JSusypStHlBo61eCrc/ZsS&#10;CBERkcPhYXKzmG3pR7ACAAAAAAAA3FVbfj3q1x59Md2mouXT7mJZ2WdsURQRZtt4TvxetrxLbeT1&#10;qOWpcCIiIu9J04K4c40YAAAAAAAAAKaZ8srKw+GQ/vwaxq9HPSeebJYtZ44owsueRrdFc4sFYx9c&#10;uu+L2GcbeD1q8FQ4ERE5mQfJjWO2Jd5HDgAAAAAAAHAXTX1l5aGjYrhTr0c9p2VRXOy3vTzUZe5+&#10;iae8RUFltsyhDb0e1VPhRETkbO4nN5DZFMQBAAAAAAAA1ItCrg28svJ9Lnk96jnx+9my54pisuxz&#10;tmbufokit9uK4jb0Kl5PhRMRkYtyL7mJzLaXhgQAAAAAAADANWyoOOk9pr4e9ZzYD9nnzDXn9aE9&#10;qtkv40LF8lS47N92Jp4K99pNiYOIiMgFSW4ms8W7xIc3UAAAAAAAAADO29ArK99n7utRz4mnmmWf&#10;N1fs2ygoyz5rS2K/zH16YClafOOtl7dyrD06HA73bqobRERELszxBvJ0dEOZTUEcAAAAAAAAwOWi&#10;OCnexLXFQrgWr0c9J4q/Wu+bKArLPmtL4riZ+yTB7//+j6Q/78yTw+Hw8KaqQUREZGLiRjK6scwW&#10;N9zsZgwAAAAAAADAe3k96mXi6XOt91M81S77rK2J7ci2b8Pi9aivH3kqnIiIzM/xhtKsIC4ey5rd&#10;hAEAAAAAAAC4EU89i7dvZXOuvXvl1RcXeT3qOTVPRDsl5rfju8g+b0viVbvZ9m3Q48Ph8OCmkkFE&#10;RKQicVMZ3WRmi78EyG7AAAAAAAAAAHddFHVF8dIWX48aTyK7dvFY7L8lnoi2h1eoxmt3s23biPJU&#10;OBERkTY53lwejW42VbKbLwAAAAAAAMBd9rVHX3z2RLJsjrVna78e9RJLPF1vD69QjVfwZtvWuUeH&#10;w+H+TfWCiIhIoxxvMG+ObjhVemoIAQAAAAAAAFxTFCm1ftXnGqIQLp5m1+v87xKvCY1t3vIrVOO7&#10;+s0vfurtb//2D6Tb15knh8Ph4U3VgoiISPt8Nbn5zLaHd6wDAAAAAAAA1IjiJK9HXdYSRXFhi69Q&#10;3VDhZXk96r1n1QoiIiIL5fXkJjRb3GizGzAAAAAAAADA3m25EC78+I9/X7pdvfryV15Kt6PWVl6h&#10;GoWLr7z6YroNHXp8OBwe3JQpiIiILJuHyY1otjfeejm9EQMAAAAAAADs2VZfjzr2+S98It2+XsV+&#10;z7ajVs+vUN1Y4WV5KpyIiMhqaVoQt8XHxwIAAAAAAADMFUVTUUSWzZ/24HA4pD+/zdYehLJUUVzo&#10;bQ48tvX5F+6l69qhR8fjz+tRRURk9TxIbkqzxSNps5syAAAAAAAAwJ5s/fWo53zt0RfT7e5VFCYu&#10;9V308ArV3gsvR54cDoeHNyUJIiIi6+decnOaLRp82c0ZAAAAAAAAYC/iCWobekrXbL2+MvSUWN+l&#10;vpdrvUJ1o69H9VQ4ERG5apoWxG3tffIAAAAAAAAAl4rXVX7yUz+YzpX2LIqpfu7nn0//223i977x&#10;zS+l+6JXUUC25He05itU4yl9Gyq8fHw4HO7flCGIiIhcOccb09PRjWq2Hh4VCwAAAAAAANDSll+P&#10;GnO45clm8b+zf3ObKMiK7R/vk54tXRS39INiNlZ4WZ4KJyIi0k+ON6gnoxvWbNEYym7YAAAAAAAA&#10;AFuz5UK4WOfx08xie7J/e85WH4wypwDwUlGw1voVqvE0vjjess/r1KOD16OKiEiPOd6kmhXERaMq&#10;u3EDAAAAAAAAbMmWX48ahXCnnuoWr+HMfu+cpZ+KtpRXXn0x3Z5WYn9mnzvFBgsvnxwOhwc3FQci&#10;IiId5nizejy6eVXJbuAAAAAAAAAAWxBP/Yrir2wutHfD16PeZu72jZ84txVLP3Utlp997iWioC7e&#10;xJYtt0Pl9aieCiciIn3neNN6c3QTq3LqLw0AAAAAAAAAerXl16PGk+ymPKkstnVuEVaLJ6Jdw5e/&#10;8lK6Pa3EdzBlrnyDTyB8fDgc7t9UGYiIiPSfryY3s9lavycdAAAAAAAAYElvvPXylp7S9a5zr0e9&#10;TRRkZcu8xFbnhON7zranlfg+zu2b+O9Lv8a1sXgq3Gs3pQUiIiLbycPkpjZbNJyyGzsAAAAAAABA&#10;Tzb4lK53xetRv/HNL6Xbdam5rxK9pPCrVzWFgJfKXi27wScQPj16dPB6VBER2Wg+O7qxVdnqI3IB&#10;AAAAAACAuyGKueYWg7VyOBzSn58ThXAtH1IytyAwnqg358l0PYjvf+nCtM9/4RPPPiv20QafQBiv&#10;R33wrJpARERko7mX3OBmy6rdAQAAAAAAAK6tt6d0HSYUxcU6z3096m1iednnXSKK87JlbkE8XW/p&#10;pwP+yI9+z9s/9uPfm/63TsXrUV+PGoIoJBAREdl0khvdbF/+yktpgwIAAAAAAADgGnorhJsi1vmV&#10;V19sXgg3FG8Byz77EuVJaFsU+3Srr8xdQDwV7v5NBYGIiMgOcry5fWt0s5stGmNZYwIAAAAAAABg&#10;TVHwFE9V29jrKt8VT2CL13tm29ZaFLZl63CJeCVotsytqNn2HfjW4XB4eFM5ICIisqMcb3KPRze9&#10;2bb8FwAAAAAAAADAPvx3//S3Vn3612HC60/PKa9HzbZrKVE8WFM4GE+Zy5a7FfEEwWy7Wmp5jDQQ&#10;r0f96pHXo4qIyD5zvNm9Obr5zRaNpKwBAQAAAAAAALC0tQvhWvrO7/rgs0K4JV+PepvYd9l6XWqt&#10;p9kt5ctfeSndrh2K16M+uKkWEBER2WmON7xmBXHx1wpZ4wEAAAAAAABgCeXVqD/yo9/7vvnLQ19P&#10;5Trr2k9aq3lSWswVb70orrYosHPxVLjXjzwVTkRE7kQeJjfD2a71FwsAAAAAAADA3fIP/uvfePuj&#10;H/1wOm+5VdcuKqt5wl68UWzr88Wx/6O4L9u+DYunwt2/KQ8QERG5G2laELf1qn8AAAAAAACgb1F0&#10;9Yuf/tPpfOXWRTHWN775pXS71xD7tqYgLArqsuVuSez/rb56d+RJ1APclAWIiIjcrdxLboyzxWNk&#10;s0YDAAAAAAAAQI0o1orXen7kuz+UzlXuRTxpLdv+tdS+OvTTn7mfLndL4lj7qZ/+gXT7NsDrUUVE&#10;RJIb5Gzxfv6swQAAAAAAAAAwRxQnvfHWy88KxWJO8nA4vG+ecm+uXVQWhYfZel3q81/4RLrcrfja&#10;oy++e7xtjNejioiIRI43xW+NbpKzffkrL6UNBgAAAAAAAICp4mllO3l95WSvvPpiuk/WEkV52Xpd&#10;KorqsuX2bMPHm9ejioiIDHO8OT4e3Sxn23qlPwAAAAAAAHB9Wy+E++6Pfjj9+VTxZLxs/6whnsz3&#10;sXvfma7Xpa65/lPE8RZz3dk2dM7rUUVERLIcb5Jvjm6as0WDKGtAAAAAAAAAAJwThUm1Tya7ppgv&#10;/b3f/9yzYrJ4u1b2b6aKfZLtqzXEZ2frNEW8fjRbdg/ie4on2dUW/l3J1w9ejyoiInIyX01unrNl&#10;DQkAAAAAAACAU7b+RLgQhXzf+OaX3rNdLbYpirX+6I9/5z3LXVMUjGXrNcU1i/oyGy+Ee3w4HB7c&#10;TPWLiIjIqTxMbqKzXbMxBgAAAAAAAGzHXgrhTs2RRoFc9jtTPf/CvXT5a6l9at+1i/qKKISL17jG&#10;/szWs3NejyoiIjIhD5Kb6WzxCOCscQEAAAAAAAAQRUl7KIQbvh41284iXhma/f5UUZSWLX8NsY21&#10;T1OL3z+3r5a04WPu6dGjg0I4ERGRSbk3uqFWiXfhZw0MAAAAAAAA4O66a4VwQ5//wifSZU11zYeT&#10;xHeXrdMU8d2vXRQX6137hLsr8npUERGRuTneSKOqPLvBThaNuayhAQAAAAAAANw9UQAVT0nbeiFc&#10;iMKqeA1qtp23iX1Q+4S1IvZl9hlr+N2/8fPpOk2xVlFcfE+xvq32+8q8HlVERKQ2xxvqk9ENdrZo&#10;UGQNDgAooqN7m+ik3uaP/vh3LhJ/9XWbGDQ4Jfv3c2Xrdols28f7Ktu/AAAAAAA9iDHMeLvU8y/c&#10;S+cVtyQK4WLcNtvOS8V4cbbsqWI+tnZdarR42tqSRXGx3A0XwoX/4aAQTkREpD7Hm+qj0U22igl6&#10;gOuJa3CI4qlSWDUszhoWfb3x1svPxCPWh2KAIkSHsXjl1RefiSeBFtHpLaLzWsTgRojO5lB2z2AZ&#10;431fvpOh4XcWht9nMfy+i3IsDA2PlVCOoaHxcVaOv6Hh8RmGx25RjutwqlgwOzcAAAAAgHXEOF6M&#10;E+5hXDjGUmM8M9vOOWKMNfucqWK9suWvIcZgW3y3MS7dcjw3lhXf1caPu3/8zhS+iIiINMhXk5vt&#10;bNHIzRohAHdZKdQZF6qVwp9SEFSKhaKAqBQXRcFRdJJLkVIpYCqFTaXoKbsmw11Xzo9QzplQzqNw&#10;qgAwK/o7Veh3qrCvFPIVivkAAAAA2KMY24rxrxhvy8bptibGE2Pcr/WYXSwvxiezz5wqxjSzz1hD&#10;fNfZOk0Vx0uLfbyDY+/fxpz9zdS9iIiItMrD5KY7WzQOs4YIwBZExysMC9eGRWul+CUrVivFNaXg&#10;phThZNdKgHPKNSSU60oo15pSyDenmK9cy7JCvlK8V9xWxJddRwEAAAC4O2KMKMabNl6M9B6//Cs/&#10;uujYV4y5ZZ87xzXnZWPMMVunqeLYmbu/Y19u/Nj7t0f//eFwuH8zbS8iIiIt89nRjfeZ48/f97NL&#10;xCRs1iABWEIpyigFbNH5mVPApngNoM6lBXznCveC4j0AAACAvsW4S4zj7HVcPcaYsu1uJfZd9rlz&#10;xLhY9hlraFWMFuOIU8bw4vtpuQ/XEvPv78zB/+vj//3LR/eOREREZKHcG9+Ma0TDN2uYAAyVAoVS&#10;vHBbEdupArbsGgQA54wL904V7Y0L9saFeuMivduK8xTlAQAAAFsX4xsx7hHjJ3sfo4/tW3o8p1Ux&#10;WaxrjD9ln7G0+Nxsnea4pCgu/nuM0234+HtyOBwe3kzRi4iIyOI53ny/NboZz3ZcnAk/2LE4v0N0&#10;cmKiPzq/pwrZooCgFBcMC9n23lEGgHPK/XDporxSkBe00QEAAIA5YowhxiJiDCMb59irGJvJ9kcr&#10;rYvJss9YQ4xJZes0R2xHNoYVP4tjcMPzS08Ph8PrR54IJyIismaON+FHo5tylR/50e951ogbN1aA&#10;6xkWsYXooNxWyBYdvVLINixmy855AGB71irKGxbmRXtEYR4AAAAsr8wJZP/tEvH70dePsYJsXOGu&#10;iLGObP+00rKYbOkCvtvEZ2frNMe4KC7GmOJn2b/diMeHw+H+zay8iIiIrJ0/Sm7OVWJyLSa/ho0h&#10;YJrSYVXEBgDs1bAoLwwL80pRXhgW5SnMAwAAgPeK/m/0l7O5gfj/o28dfejbiuSirxx96vi3W55b&#10;OBwO6c/niP1QU1h4idjf2WfPEeMi2WcsLY6dOPaydZojjtlH/+iVpsu8Aq9HFRERuXLuHW/I/9vo&#10;Bt1ENBIVxbF3ZUL1VOFayIrXQnkCS5n4LZ3ULXc0AQC2KNpf0RYrom1W2mqlKC+cKsy7rSgvK8jL&#10;2pUAAAAwRfQvo086tWgo+rVl/i76qdGnjWWYm8jF2MB437cU32OMRWSfPUeMRWSfs7Q4lrL1uYO8&#10;HlVERKSTPExu1M1EA86ED2uLY64YFqqF6AicKliLjuOwaC0mPRWtAQCwpGExXmlz3laIV4rwxoV4&#10;pY07LMQrRXhBvwwAAGA/os9XW0T1Pd/zXenPeb/of2ffQyvRj88+d44YZ4hxgOxzlhbjEtk63SFf&#10;P3g9qoiISB+JG/PoRt3c0n85Qb+GRWlhWJR2aWHasDjtVIGaIjUAAJjmXCFeKcIbF+KVNvuwEK+0&#10;78OwEE8RHgAAQHvR7zIfclrsm+i3/tzPv5D+97liv2ffRyvR/84+d47o42efsYYYU8jWaeceHw6H&#10;z97MvouIiEgXOd6gvzW6YS8iJkmyRhHrGBamlaK0cFtRWhgWppXJsKwoLQyL0nTEAACAsegnXFKE&#10;NyzAK0V4CvAAAABu5nuiL5X1ue666HNGH7L0DaOfmP27uaIvO/4+Wor1js/IPnuO6Gdnn7O0O3aM&#10;ej2qiIhIp3mQ3LgXEY3QrFF0V0VjMJSJm0sK1C4tTisTTArTAACAu2xcgFf6TgrwAACALYg+R/RB&#10;yrxR9FV+8dN/Ou3/tHA4HNKf9y76ftGvi37aeB9Gny/7nbnic8af0VJsQ/a5c0W/NvucpbXejg49&#10;PXp0PGcUwomIiHSaz45u3ouKhnrWKNqKUsBWiteGhWulaG1YsDYsVFOgBgAAsG81BXjhtiK8cSGe&#10;YjwAANie4TzTcH5pOK80nFPK+h28V+yz2J/Z/g6xz2N/Zr87V/TTss9qJfqJ2efOddv+WVIc49n6&#10;7EC8HvXBzVS7iIiI9JpVC+Ki8Z41iNY27nCEYUHbsNMRdDoAAADoVfRZx8V4txXknSrKKwV5ivIA&#10;AOC04RzTcJ6pFLdF+9pc07I+8IHnzhbCDcX3ky1nrjXmO+OYyT57jljfa/Xfoi+ardNGeT2qiIjI&#10;hrJqQVyIDkHWIKo1LnLzFzUAAACwjuhrh9ZFeeG2wjzFeQAAd1tpC5a2YWkvhmg/ljZlKAVrRSlc&#10;K0o7NdqtpR1b2rVlfskcUz/iO8yOiVPie8yWM1ccJ9nntBLHdfa5c8XxnH3O0v7V8bz8vu/7E+k6&#10;bUi8HvXNg0I4ERGRTeXe6Ia+uOg0ZA2i20SjLzov0WEZdlJKZ0QHBACAazi2p9OfA3Bd4wK9rEgv&#10;lEK9rFgvjAv2gqI9AOCuKG2YYti+CaXdU5T2UGkjhdJuKm2p4RxPkRWihdJ+C6VNpyiNoTjusmM3&#10;E8dstowacYxnn9VKLD/73Lni/Ms+ZwlxzYjP28H56vWoIiIiW01yY19cNDqzhlE0XKNxF52h0tnR&#10;sQEAAAD2pkzmhtZFe+Fc4V4ok9fDie3hpPd47AYA7rrhfTKU+2e5pxbD+225Dw8N79NheA8vhvf4&#10;YfFYMWwXhGGbYdiWCKWNUZS2RzFsl4Ss7QI9iuM7O1dPiXMlW85ccb7ENSD7rFbinM4+e664LmWf&#10;01J8Rlxrss/fkCeHw+HhzWy6iIiIbDJxQx/d4Bf3K7/6Y886dNFpi8ZqdLiyfwcAAADA9Q0nyYcT&#10;6GVifTjpPpyQH07UDyfxh5P8w8n/YXFAKRoYFhWEUmxQihBCKUzIJuQA6Nu5ArNy/T9VUDa8j5wq&#10;ICv3onJ/Gt63yr2sKPe44b0vuzcCfYjrQHZtycR1Js7vbDlzxXUk+6xWWq9zXNPiOpt9Vq24Vsd1&#10;NPvcDXl6OBxeP/J6VBERka3neGN/c3SjBwAAAIDNGxYzlAKHUIoehgURcwv5hkUZISvkGxZ2lGKP&#10;UApAsglF4O4q14ax4fUjDK8tQ8PrTxgWkhXja1cYFpYVw+teGF4Th9fKc4Vm5fo7vC5n122AqeJ6&#10;EtfE7Hqaietdtpwacb3MPquVuJZnnztXXKOzz5kr7j1xX8g+a0OeHr15UAgnIiKyq9wb3fCBjTue&#10;1+nPAdgX13sAgH0qxSLDIr4wLC4ZFp2EYUFfGBaqhGERy7jAZVj8Mi6QGRbQjItshgU440Kdoayw&#10;p8gmVXm/bN9NlX03pwy/21PGx8PY8Ni5zfiYGxsen7cZH9djw3PglPF5U4zPr/H5F4bnZzE+h0M5&#10;v4ey6wDAXRLX0T/4w19P/9sl4tqc3T9PiWt0tpwacW/MPquVuE9lnztX3Duzz5ki2hexXju4lz0+&#10;HA4PYtJcREREdpbjjf5boxs/wC4dL3npz2ErHMMAAMBdMS4aGsoKjYpxUVLI/t0U2TpMlW0jAEy1&#10;l/HBuDdG0fGwkCwK27J/e4koxh4Wa90mir+zZdSI9kL2WS1Fmyb77Lmm7LOhKISLYvMdtG+iEO7h&#10;kYiIiOw1xxu+16YC0MRwsL8YTySMJyaGf1E9/IvrVn71cz/+9gc/+O3p+hY/9/PPv+8vwC81/Gvy&#10;1spfsv+Fz//E2x/+8Hek6/6pP/dD7/u9bD2Hsv1UDL+PzPj7K8bf81h2bBTZdgHA2LH7mv4cAACA&#10;bYhxxHg6WRRVZYVW2e9cIsYfx8u7TYyRZsupEeOy2We10rqQL8Zls885Jb6feLpr7OtseTWy/v6C&#10;YwBPj8t+/cjrUUVERO5AvDYVoCPDQqFSTDQsPCqFST/yo9+b/v7Yv/czP/zuK0TKK0fKq0mGrzMJ&#10;w9efFMPXpoTo+A5lneOexHZn+2Vo6oDJmmIfnysai+8y+90tuuT7Gvqn//y333eMhuExPD7Oy/E/&#10;NHwlTyjnTCiFiUPnihDPFRoOz+lQzvUPf2de+AgAAAAAWxRjmzEeFuN058aTawrVYswuW2bmkjHX&#10;OWLsMfu8VmIcM/vcuWJ/Z58zFtsVY5jZMjZEIZyIiMhdzLER8GTUKIBNOh7O6c9hjlKUFoZFadF5&#10;L0UupfilFMVEp7sU0ZTCmuiklkKcYZFOKdwphWXnBgPG4rOy9R6L9Z+67D2J7yvbL2O97qM4lrL1&#10;HYrvOPvdLYrzKtvGU6YMdPUurgfZNt7mox/78LNjt1xPhobXm3INGhYBFsNCwDAuAsyK/rJCv3Fx&#10;XyjX0Gzdb+N+zlKGx5bjDAAAAJYTY0IxthRjU9lYWCbGubJlXSrGxLLlZmJcLFtGjRgPyz6rpanj&#10;p+fc9v3spBAuxOtR7x+JiIjIHcxrSeOAzh2/t/f8X7hLSpHFuFDtB3/wo+m/z/zBH/76e4rUorMc&#10;He4i6wD2JApXsu3KRIFLtoy74NJinDgWst+/tksK4sJevuNLCxiL+H6z5WxRHIPZNt5mi9tfrrFZ&#10;8V7sg/Bzv/BCur2ZaxXtAQAAAPB+MQYTY5Vzx9hjrCdb7iXis7NlnhL/PltOjRiXyj6rldivLYvU&#10;siK+GJ9rXXh3JVEI9yAmwkVEROQO59go+NaokQAwWykwGBeslQKF6BSWAobo4EYHOUSRV/xlVimK&#10;yIrVxp2zofi8bH0yWUdvS6b8BdsWi2ZaiGMn2x+ZXgvKLh0A2vrxXEw5h4u5g2u9iWMw275z9rL9&#10;Q1OOgzjPs2XUiH36P/6L300/b44o1s6K82I7C0V5AAAwzcEfCQN0I8Y1Ysy/xThNjMvMGSMsYtw8&#10;W24m5h2yZdRaYrxqqPV6xzxNWW787x2MU3k9qoiIiLwnnhIHd0B0ZEKZgJ9arFZbsLa0qR212J5s&#10;OVsQ+zrbplPi+8qWs2dTnqIXx362jGuL8zBb30ych9kytmTOYNdeju249mbbd87SA2zXkG3nKVMG&#10;OaeI/Zp93hxxb8o+4zblnhrndSj323L/je0O5d4c4l4d9+0irh9xXBVZUV74nu/9rnS9AQAAgD4d&#10;OigKjvGOGF+I8YjW8wJTxnXHpo7DXPoHyVPEGGf2WS3F+FD22XP95hc/NXl+pUMK4URERCTPsaHg&#10;KXGwouhchHFx2rhArRSphVKo9jf/1i+my7xN/H7WcdqTqR222NfZcrZiSvHQXfj+x2Kbs32RmTpQ&#10;spYpAzIx+JQtY0vmDLrsYbtDXPez7Ttnb8WuUwvRlvr+Ww8q9vw9TblWDv21v/6z7ynKi+8inCrK&#10;K22aUpAX4j5c2kGlXZR91lzHLk76cwAAAGC+v/67//7if6Q5Zex7LMYjsmWeEuMT2XJqxLhI9lkt&#10;1RQO7tDXD4fD/WcT3iIiIiJJdv2UuOP2pT/nbvqJn/yT7xaehWHxWSiTt0UpRAvRkSmTvqFMBGdP&#10;Tgvl6S7laS9Zx2WOOZPGe3iC1G3u2j6J4zHbplP2/v2Pxbmc7YdTsmVcW1xvsnXNxPZmy9iSbLvO&#10;2cN2h7mDfHH/yZa3VVML0ZYaXGw9oLjGIOhcU6+VxRrn3vApeSHaVaWtdclT8n7mz/9wuu6Z5557&#10;rnlBHgAAAOzRGmMC0efPPvtSU8bCp45HXWqN8fiYv8o++w55fDgcHjyb5RYRERG5LceGg6fE3QHl&#10;CRxFeTJHiCKxoeFTPKKTM3SqYKwUjRXD4rFhAVkok5mhTHAWw6KyYWFZKMVlRbadt4l1zjoPWxLf&#10;T7Ztt4n9ny1rL+ZMZG/5WIhzKNumU/b+/Y9NLTBaY4BiqinfcRz/2TK2JNuuc/aw3WFuQdzezuup&#10;17Voc2TLqTV1Pc5ZY6B4rjntiSLaYNkyezF18Hx4HyhtzNL2vK0YL87DYds3jsvSRo7vftiejv1d&#10;2t1z2i0Alzj4g0AAABYW/eRhH3wJ0Y/OPvsS8bvZMk+JPny2nBpT12Gumv20YU+O/Z54PaqIiIjI&#10;xXmYNCpIxARWUSa1QikkC9EIvaSALCscKxNsRUy6/dJLP5Kuy23+y3/wl7qfrGxh6mRufG89Fr9M&#10;EcdOtm23ie3OlrUXsX3Zdt9my/tkajHo3r//sWwf3CaKHLLlXFNNMcfWTD2ei70c19m2XWJvBXGx&#10;Pdl2nhJtqmw5taaee+f0fJzWDJpGGzVbZi+mfo/XPp/GBXilCC+2I5R+QekvnCrAC3/+Zz/+9vPP&#10;33v7O7/zg+m2bsmxj5r+HAAAgOuJOZmsb9tS9I+zz75U9KWz5WaiTx5zfNlyaqwxdhLrPnWObMOe&#10;Hm4K4e7FpLaIiIjIpBwbE49HjYuuxQRjGBekjQvRSvFZ/NtsOUP/8B//5XcnocqkVDQoi6zBuYZY&#10;n2x9bxPbG+ufLW9P5hSHbb2IICZAs+06Z8/Hw9xO35b3ydROeo9FX0uI7zTb/tv0eE3YWjFHjbi/&#10;Ztt0iWvem1uYc38v4l6QLXOros2Wbecp0c7LllNr6rl3iV6P05qCuKUKEluZei+Ie2q2nK2Je8El&#10;fZ6/+trPPjsuYz+F2wrwThXfxfFTRDss9mHpn2WfCVzHQWEpAO9wTwBamlJwNtfUsaKh6Jtmyzxl&#10;ifGgteboon+/877406NHx/vY/ZjLFhEREZmb+6NGxuL+7Cd/4N2CtZhoiUmXEBMw0QCNiZmQFahl&#10;Db/bxHKzdRiKf5P9bg+mFr+EmKDKlrUncaxk236bqZ2h3sztnPU+eV1j7qT+lgtKphaD7vn7H5pT&#10;YNTjcRD3vmxdT1mqOGgNcW/PtukSWy/0nPo9D8U1IFvmVsUxnG3nKUsd8zXfySm9HqdrDiyvLfoK&#10;2XrfZo1B6iVNHQBfo58Q61T6cOOiuzAuugvDwrtf/dyPp+sOAADAda3xh2Vz+vZDU8d8p45NXWKt&#10;Mdvod++0KO7x4XB4cDOFLSIiIlKZY+Pi0aixsag1J9MuaTzH0w2y3+3B1OKXIiabsuXtxdxOUUzA&#10;ZcvbgrlPFNp6IeBt5p4fW94ncwojtz7Zf4k5xSw9FgtOPc+3fCzHcZlt0yV6LmS/xJyi7mJvRa5T&#10;C/+XKuZZoiCu1+N07r2z6P2ekq3zbbbcNgxz2gVb2OZsvW/zmV+6/57Cu9jGMCy8GxbdxeREXE9C&#10;eeK4p90BAACct8bcU/Thss++1JSxi9oCvFPW2E/hn/yzv5J+/qUOfT1J9MlxfR4+m7gWERERaZh7&#10;ScNjUWtOEl7yWsVeJ/fmNsbX+Euda5vz9Lwt75eajtnWJ3tPqZnU32qR2JzjYOvFQ5eIbcy2/TZr&#10;/aXeFHOKxLZ6LM/Z1mLqX3r2Zs7xWvR43NaYei9f6o8Y5had36bX4sXaQeXe7ylTj6mtn1NxnGXb&#10;dZstFFNf0n8bWmqbot0V4p4VTj3xblx8F7ICvJ/7+Rfefv75e29/5CMfevsDH3gu3Za9OHg9GwAA&#10;O3LN9m30d6KPFP2K8JOf+P70361ljTmW6IfNmf8ppv5BZc1Y3SlL971jH0W/cyd/1PX0eI69HnPV&#10;RyIiIiKL5KtJI2Qxa07EXNKY7blgaM5EV9hrEVQxd79stXgkzO0E7q2AoqjpqPY+oX+bqcfBmtfb&#10;a5lzLPS4X+YUPMbEfLas3tUUxMX1P1vmVtQUJO3tep5t4222VBDX63dVO8jb+zEYg97Zep+y9Xtk&#10;fB/Zdp3Tez9hzh899N7Gj3Pv0omKP/WnPvb23/v7X3h2bRoX4ZUCvBDLHBbgZUV446fghUvXAwCA&#10;fTj4Y4WribZ3iHZ4aZdHGz3a6yHa7qUtH+37EO3/6AdEHyfGCsd9i/jv2WetaY0+ZfR/ss++VPx+&#10;ttxT4rvJllNjiTHMOCZi/8+dK+rM06M3j9cohXAiIiKyeOIpcd8aNEQWt0ajOVxSYNDz5N7chv/W&#10;J/jOieMn2+5ztlxIEeuebdMltlwIeEpNp7jnc/6cPU4S15qzT3q9RmbrepsYKMuW07uaAqQtn7+h&#10;5loeg3PZMrdoTlFkDPZly6o1Z13O6fUaUzug3Hv78q7dI+cO2E/9a/m1zSkcXqtvOcfcfkvsh2x5&#10;rUV/Oc6DUArwsiK8MkFXivBKIV7c18K1n1QBW3XYSZHCXrYDgH2IvmtR/jBkWJQWol8UT3H+2Mem&#10;/8HIf/K3Pv2srVzazuWPWUq7OtrYWTFbK9cuhlprbGBunzdMHUOK7y1bTq04LrLPmyOOtZp9UnTS&#10;bnt8XI8HRyIiIiKr5bWkUbKYNSfULukgLNlBqTW3g7PWJMo1XFLomInjLjo32TJ7F99ntk2X2GrR&#10;zG2iA5ht6yXWvP60NqeYYcuFoJeYW2DU47Ugjs1sXU/ZanFYTUHcls/fEN9Ztl2XmDqY17M5x8BS&#10;3/3cNsU52WddW21BXOi5zTynrbTlNlLNQHjP7eG9tXVqJqt6LvQbmntfH04Wxv8uYnllcjGOh+Jc&#10;cd6wQC/ut6E8KS+Uyc/4TkLcV6a2vQAAtu4wKoYpbaKitJVK2ykM21SlnVWU9ldR2mVDw3ZbacsN&#10;lXZeMWwDlnZhiHZiUdqOpT05p68anz3cF1PEembLXEPs02yd1rTG9s/tZxRT13GJ/RrnT/ZZU8Sx&#10;H8vJln9OnO/jc/7KohDu4ZGIiIjI+jk2Rnb5lLhLGrLX7MCcM7chHh3Y6BRmy9yDuZNL0dHNlte7&#10;GADItucSsa+yZW5ZDHJk23qp6FBny+3dnO2Oa0G2rL2IwbZsu8+JwYRsedcU31W2rqds9butGdDa&#10;+vEcg8fZdl1iT+fynGNgqe2vvZ+c0mMbLNYpW9cper5/zmkrxQROtqwtmDsgHnpuD++prdPinIvj&#10;Olt2T6Ivna37OdGGy5a3tikToX/iT3zw3cnZ2O4Qvx+GE73Rhw/DyeEyaTycUC6TzGXiOcTxHLLP&#10;B/p08IQ82KWac7vcz0O5x5f7flHaA6WNEEq7obQliqyY7G/+rU+nn32J/+BzP562i+6a+F6y/XOp&#10;a40tLjWOMUUc29m6tRbnRfb5l5i6jrFfa4+JzNw+XRxfNdvfmafHa+rrR16PKiIiIlfNw6Shspi1&#10;Gs2XdBCiYZn9bg9qOjjRgc6WuQexbdk2n7PWcddabUd3j8WR2XZeKgaRsmVuQQyaZdt0m56LfmvN&#10;HRiIwcNsedcU16dsXU/Z6vWs9i8843qYLXcL5py/xVa/70wM6mXbeJultr/2/npKj0W3Lba1x2tn&#10;MacgbsvnVUyeZdt0id77CFPvh6HHe0OLcy72Re/t+LkFcaGHbZs66RWT0tlylhTH0t/80i+m63PO&#10;d37ndzy7dpeJ9FAm18uke4g2dSiT86FM2JeJ/BDH5Jxz9K46KJTaDd8l9Kncl0K5V5X7V7mflXtc&#10;KPe9U4Vmf+Nv/sLbH//4x9LPyvzd3/vVZ/fpIruPLyXWN1unS8V2Z8vtQbQRY+yo/CHCUv3rOF6y&#10;fXOpOO6u1Z6tXfcW1hhvru1TTV3H+D6z5dSI4yT7rFPi2I/rU/xetryNUQgnIiIifeXYQHkyarAs&#10;aq2O17kOQjQu1+60ThGd92y9L9H7BMpcNRMvWy0OqukE9TyBPVdNx39qR7Qn0SHOtuk2MRCYLWsP&#10;YkAz2+Zzehz4m3NMb/EaP6cYaqjnJ1SdUztgmS1zi+bcw5e8bmefV6vX+27tgGpcc7Pl9mBuse1W&#10;28oxkZdtzyV6bwdFuyVb79v0WIQaavpxRc/nXajpl/VwrczW6zbXOn/mFP0WS1/nShFAfE4R1+QQ&#10;52YoE9ohige+67s+mK7rOZ/+pZvChlLkUJTih2hrFfFd1d73AHi/cn0t19tyDQ5xTY7rdDEuQCtF&#10;aNEGKKItEcp9otw7yr0klPtLuecsMY4fnz3nvhHbnC1vabEfs/WZIvZttuxriO80timOo2xdQxxT&#10;Lcfzss+YKtY3W/bSatrgrcT5n61ba3GdyD7/EnFOZ8u8TYtzayy+r+yzhuIc2FEhXIjXoz64mXkW&#10;ERER6Sf3k4bLYuY0SOe4pIDkkkbptdR0cGLQIVvm1kUHIdveS1xroKLWbQMC56x1rq0pvsdsWy8V&#10;A2nZcnsXA3TZ9pyz1e09Z+5xEINo2fKuac453msBwG1inbNtuVRPA7ZTxWBhtk2XWmLQ/xrmDGYu&#10;eR9bYrCx5SB9S7XH4LUG+y8R97lsnc+J4zFbXu8u6d/cpufryZxt6/WcazWZ0nM7bm7bNFy7PTa3&#10;T3mN76NmP/d2ftScFy3uQ/G9h/gei2HRRSnEiH0+FOMyRSniiG0ZiutXKAUg2Tbc5rnnnnvWLimy&#10;fwNs1/D8DqWgLMT1bSjGOoq4X37sY22uCVGQPLy2lWteUa6F5fpYrpkhu6buRWxfzXX3Gm2a+P6y&#10;dZkijr1s2WuLY29KXzW+q/idbFlTxLmWLX+qa/Qp45jN1mVta82pTTk+xqKNli3zNq2OjSKO2bim&#10;Zp8V32W0H2uuQZ1RCCciIiJ959hgeTRqwCxqToN0qks6iD0WRxS1nfJTje2tq+kIbXGf1E587u04&#10;qN0fa3XYW5s74BH7K1ve1s0tiOtl0G9ozmDLFgs5YtAy25ZLtRj0vJbawa04/7Plbk20/bLtOydb&#10;VgtLDDr22q6ce80sYl9ly+3B3Ptjz32A29ROgPV8LY02WrbOt+n1e5x7XI71/EdOtdt4zT7K3HW/&#10;Rvsr9lO2Lpfo7dod52u2npfaSr927nd2rp8ax+1QfM7QsLgvxPV+qBTBDMVnDpWCv/Br/+FPpus5&#10;xS//yp95T3FPKEU/RfTPxuLYLbLlMs+h8vWv48LNkH1/xfi7HhsfG8Wf+uHLX1uZ+ZEf+Z5n4yCn&#10;lELWMDzmx+dDOU/G59L4XBueh+PzNDuXp4p1zrZzjtiu7DPushb7N46TbNlLiWMrW4+prn08xDkz&#10;9zpfu+61bZKh2I7sM5Y0p/i+tbjOZ+vWWlx3s8+/RBxfU7+fVufX0LhPF58R953Yh9m/36AnxzZG&#10;vB5VREREpPvcSxozi5nTIJ3jXMcq/nurQYol1HRwep5AqVEzWLHFfRIdpGxbLhX7K1vuVs0tqCi2&#10;OgEeYnA426bbxDUuW9bWzdkXocf9EZMB2breZovXsppBrLDlwftse6a4xgDrEua2abJltTDn3Dun&#10;12tuTXuy6Lm9nK3vOVu9P9ZeS6NdmS23B3O2refvscUER2zf3s694trHYrZO51zjeKudlOupDVF7&#10;341+YLbc3kSBTLb+5/TWvo+2d7aeU/S2TXE+XeI//y8+n27PFB/92Iff/lfH82+43Dgfr6F8/n/5&#10;D/5Suq5TrNEnqx3zCbG92bK3qMX+KLY4jrC0uLdn+2qKa7QPtrreQ7XHdk0hYot7XBHjk9lnLGlu&#10;W6O1tYpBawoY58yLxHZly6pR7sfR511iLOpKnh5uCuHuPZtdFhEREdlCjo2YN0eNmkWt0RG/ZAKw&#10;50n22g5ONLaz5W5ZTafk2p39OWonPre4zbep7ZRueX/MHSzaciHRKTWDIb0Njs8p7ttiYeeeizhu&#10;E8dbtj1TRFsgW/bWzD1vs2W1MLew9pzss66txZMPej4O504IrTWA31LtNaXn+8fcbYv7S7a8a2tx&#10;3oWe23E1kznXPhbnXjeu0Y6cu66hp/ZT7eTfVvpxc9u8vW1fi8ngrXxnY60KJXrrv7Tol6xx7W5x&#10;7O1pDKTF/ii2ek4upWVR0drHXKuCmmueK7X98Tie5857tLgeDl3jet/D08XiOMzWrbWa72vucTJ3&#10;/OqUn/uFF/ZWCPfVI4VwIiIissnEU+K+NWrgLGrpgq1LBg56nhgKNR2crfwV9RS1ndatDYy16KTv&#10;qTCytqgmbHV/zD0Wer/GzVEzMNHbxPmcQcAtDmTXDuRv9X4W15tse6ZQEJcvr1brAc6ix++rxZMl&#10;ei5KjWtits7nbPUpGXO3N/R+/5jT7+n12Gw1gb3WRNMctdfRaNtmy13D3Ampa7QjaybPeuoHtChE&#10;30I/rqa/2tP2teh3hy0WJsU6Z9syVY/33Jo2RIjfX/ra3eLY29OT0FqMCQ7tpW/ZQqtzPax9vrf6&#10;w4trthNatAtiGdmyL9GyoCy+/7Xv4S2P3xrR58nWr7WavtWce0Jce3soOuzM06OvHw6H+zdTySIi&#10;IiLbzWujhs6ilh6kuGTgoMdBqqGY5MnW+xK9b9tcNZ3mLQ6M1XbADAa+V8+T+ufMPRa2WgR4Ss0E&#10;bG/f/9xtWXoiorXawoCtXsdaFMT1VsQ519wJ/aWO9VaTCGM9fl8tCnN6Lkqde2xttZ1cUxwTer5/&#10;zDkveyr4GYtjLFvnqXptx9UW216zUGZuf/Ia7ciavm9P17kWE99b6MfVFPP0tH0t+t1hi234VgXN&#10;obfrd4vzcOlrd4v+097GQlu1J0K0tbLPuIvimpvto7nWPN/3cJ1qcT0Kc++drccDYnuyz1lKq/t0&#10;reibZuu3hLnHzNx7Qqs/DtiJx4fD4cHN9LGIiIjIDnJs4OzqKXGXNJavORh/Tm0HZwuDxlPVTr70&#10;Nih5Tu0gwd4GA7NtnGLLBYKx7tk2nbO368Dc/RB6K+qYWxC3tb/srh2w7bng4TYtXsMS+y5b9tbM&#10;LejdWkFcj9fbFhMmPZ+DNQViW2sThpp7YOj5/jGnjd9zO7f2uyp6bcfVXluu2Safew+4xrWw9n7V&#10;yzk/t807tIX2YM3kaW/b16IIZ4tjES2LDHq7frdo/y5d9NFq/2+xjXdK7R9DDO1tfLBGnJ/ZPppr&#10;zXZNy+vUtcbIWvXH45iec763GKsZW3vsplVfo9Zabc2a437uuNJS40YbEoVwD29mjUVERET2lYdJ&#10;42cxSw/6XfII6ZikzX63FzUdnD0OdtR2/LdWHFRbABj2UlARagcDt3xOzH0k/t6uAzXXxN4mmuZu&#10;S8+F3Jm5x26x9l/bttLiL0q39l2fEtehbPvOmTtweU6Le2umx8n6mCDI1nWKNf/ye6qaPxzYWpsw&#10;1A7K97zNcwusei3yq733Fb2242r7ZNfcrrn3gGusc+39qpdzvsWk7Rb6NDVtv962r1URzhYLk1q9&#10;Jq239lOLP5IIS7XPizgXss+dYottvFNaF2TsqViwRhwj2f6Za+1reO0fTxfXuve07I9HGyP7jHNa&#10;XeuLtfdlL08wW3MMZM55W3svbtUe2pinh8Ph9aN7z2aLRURERPaYY6Pn8agRtKglO+OXDtT3PCBQ&#10;O2i1l8n0oZpOa+8FkGMtBi3nDg70qMWgz1YHAGsmHvc06FkzodbbpMTcwe2tDfDXFgX09r1dqsUA&#10;5V4mc7Jtu8RSE26tClXGeiyIqy1aCb1N0g/VtAu2eG2pbRf23Cace6z2ep1sce4VcT/JPuPaaosW&#10;rtU+rTmPlrovnVJ7zvdyX2pV0NF7n6a27dfT9rX6zrbYlo3zJtuWOXr6Tlvdl5YeY2xRfNBjm3yu&#10;1v2WvfQva8V+yPZPjTXbay0LyqKtkX3GklqMdQ/Nuda2LjYNa8/BtC7qm2vNP1Caeo+oPb7j2MqW&#10;u1MK4URERORO5X7SIFrM0gMVl3QOei8YuksFYJeoKYgJvQ+kD+19InuqFgMWaw9QtDT3WrCnosia&#10;Y6C3c2Hutmzt+6wdxN/qfazF5MUeJixqBhCXul+3HoAver3fZus61dpFIJeqnbTeUpsw1BZb9F4E&#10;OKed0/Okd4tJ/dDrfb/2D1WudY+reU3W2sWJted8L/elVgUdvbeLar+vnvqprYottliY1LLQpLdj&#10;tmZssVj6ntTijyD3NAbWssA+7HGMeI4lCuLi2pF91hJavvLzGu3M1sf1nG1ovQ4hrj1r9i9b3q9q&#10;rHmvj+/tkj5WfBet7sFLjR915OnRmweFcCIiInLXcmwEPRo0iha35F+SXFJw0PtgSW0R0NYm+86p&#10;HVCP/Zktt1ctBi33cgy06IRurZhoaO61YE8DwrUDPj0Vdcz9Prc2sVR7zd7q8dti8nfNQfWl1AzW&#10;b60gLvR0jSniHMrWdYo1/+p7itqCuN6LK8ZqJ256v55GGy1b73N6PO9Cq0mqXr+32j7qtdozNefR&#10;2teM2nM+9NAPbHXf7b1dFPs6W+9L9bR9rb6zLbbjW7YTe+u31babwtLf6dy2wNiexkFbtOWH9rRv&#10;5mpVqD209vWuxVhxuNZ1utX6F3OO69brENYcc27RTmxl7etKtMmzAuoolos+Suvxixb3z049PhwO&#10;D25mhEVERETuXu4lDaTFRAM2a2y2cOlgVk9/jTtWO7C65QKgzN4nA8daDAhurQjwlBaD01v7/odq&#10;tr/na9wUtQOXPRV1zJ0o39oxXPvX11s9Z2u3O+yhIK7maSlLDarWFOmd02PhWIunVPV6D9lqQU6N&#10;uCZm23KpXosbw9z7Yq/HZ8tJqmgDZp9xTbXt8mve3+dOgF7jvlx7zvdQ+Nvqvtv7Nbv2nF9yXGyq&#10;ltevrRXftC4wiOVln3MNc++zY0t+p7Vtu6KHa18rLZ6aN7SnfTNXi7HFzJrne6tzJVyjLd1y/cOc&#10;Nlrt+OIpa973WhUR17rm3FPs7yL77y08+kevvP2hD317uu0bpRBORERE5J18NWksLWbJyZlLBpH3&#10;+AqhoTU7Y2uo3R+9TpxlWgxabrWgZKzV4HRPg9JT1Gz/Fif9M7UDlz0N/tac29nyetWiMCxbbu9a&#10;bPceiplrztml2i6t7iWZHotWWvw1c68TZ7VtpC22j2oLHHueBJ17vej5j39aPXmix21scS29Vh91&#10;7iTsNdrTted8D8dOq/vuFq7Z2Xpfqqfta9lW6vm+c0rLpwb1NPbUqghoye+01TruZfwjtCpkLPa0&#10;b+aqfcX1KWu+Wr3VuRKu0VZouf5hzj10qXGBNc+x1vuxxt7mnkKc0y3GUzry5HA4vHYz9SsiIiIi&#10;kXhK3LdGjabFLFmQFh277DPHem641/7l1BYHIW9Tuz96njgba9W53UvHNAY5su2bYksFkWOXXs/G&#10;Yr/FYE+2zC2pHbic81ejS4nrcraOl9jS+VyzncUWj90WExdbuledUnMPS/9Y4v/4z56+72czZJ/X&#10;Qo/trRZ/fd/rsdjiPItjNFt2r2qfEtLzdWXupFTPRTItzr/Q6zbWtsuv1Safe+24xvdQewz1cuzU&#10;HitF723g2u3s6SmerYrCtlh80+raHXq677Yq/ljyO41zPPvMqXq59rWwRMHLHsaGarQ6F8bWHG9q&#10;uQ3XOF+W+A7m9MXnjrGes2Yfs2URd409jF8VcS+KtkCr9msHnh4Oh9djvvfZrK+IiIiIvCevJQ2o&#10;xSzVWbj0EdjR0M1+vwe1HcU9DQaF2gGh2B9bGQBqNUiwl6LIFq9+66koaqpLr2eZLRcCFrXnQ08T&#10;MjWFYmv+5XGtu1oQ12JgdYsTiGM19+trPz14jh4HgVsUjfV6LLaYINzawP1eimNOmTuh02uRTKt2&#10;fOhxG2sLNK/VJq+5dmTLW1KLa3gP7agWfbiw1JhRK3t6imerorAtjkXV9LnHetv+FoUTS25Ty/tm&#10;TwWmNVruk+IaY0PRjol7WrQd4loZx1Ecj9HPWPvat8Q+DWv3meLzsvWY4xpjTK0LueZcm2r/6PaU&#10;2Lbs85bQsoi7Vq99skvFtUEhnIiIiMgdzLHh9GTUkFrMUk+Ju7Sj29tA1VhtR3EPxTBFi8GLLRWI&#10;9T5ouaYWHf0t74uaY38PxTW1535P333NRMuWrl8tCuK2OJmhIO5GrwVxtUUcp/T4nbUoGuv1vrnn&#10;bTulRXFMttxezL12Xquw6hKtJvuiDZwt/5pq2+XXumbWtCfXnuhrcZ3r4Q8pWt13ez7XQ+129tSO&#10;aHG/KbY2Qd5ivGmop+1vVTix5Da1um9uqc98Tqui4mLNPwiJ8ymubdHmztZlaM2i50vWZ6q1+xUt&#10;i3ev8UdCLcZMxuYcQ62uOWNrzcO0vmfVuMZx1ELsw70Vwh19/XA43L+Z4RURERGRc3k4alAtaqnO&#10;76UDkz0XjdV2dPcwsT5UO9i8VAHmEloNEmz9L7VCq4H56Oxmy9+CmsHQPRwDtQMUvXz3Ndf03icD&#10;hxTEzRf3uWzZW1JznC/5vbeaDByLwfTs866pRTFFyJZ9bXGMZOs61ZbujXspjjllbjtv7QnIKVpd&#10;b3rcxtrj8ZrbNHfyc+3zp8V1roeikFbnQe9jGrXtv57O81bth9DzONsptX3OoZ4Ks1p9r0tuU6sC&#10;2j2Ngbbuu6x1rSnFcNk6nBLHaLas1loXGRZr9itaFkJd4/7T8j5TzBlDqZ1vOWXNfbpEceFcW+pb&#10;xzkU3/9SRZFX8vhwODy4mdYVERERkYtzbEit9pS4pSYSL+3c9Dz53KKju4dimKJFYdRW9kerIrA9&#10;/IVsqwGTnieDz6kpMNrDMVA7cNnLd19zLG9pcL/meC22eL4qiLvRa0HcEoPvocdi+2jrZOs6VY9t&#10;plaTQFu6N7b4Pnve3ppzs9d2fcvJyt62scW2Xavofe59eu3zp8U+7qHd2Ko/22Ph+VCLopVezvOW&#10;164t/TFP0aooK/TUd2v1vcY1NFt+C3suJJ9rib7LGteaOdf+tb63luf40NrthJaFPGvff1reZ4am&#10;bsdS6xHWuv8tuQ1TLXl/aCnGGZcqjL2SKIT77M1sroiIiIjMyYOkkbWY6OhnDdUaUzoGvU00DNVO&#10;sG9pwu+cFp29GGjLlt2bVoNfe/gL2Vad/C0Oyhc1+6DHYo2pagcue7kO1pzXW/oeY39n2zDFXS2I&#10;28M1u9eCuKUGjHssYmy1rb2ehzFplq3vFFuaMG3xffZ8banZvp77Oa0mK3vcxtpz8FrbNPf+dI0+&#10;RO0+7uEa16o/2/v1ek7xx9gS42Fztbp2bfGPPFo+kau347b2mhKW3KZW14uwxX7kKS2+t6E17r9z&#10;ryFxj86W11Lrp+4VaxcDtdyOa4yRL1GQNOc7aDF+k4nzdq15pujjZeuwtjW3eY4dFsJ963A4vH50&#10;79ksroiIiIjMz7FxtfmnxF3aMeh5MqV2YGjJQatrqB2g3cr+aDWZvZfvP9u2qbZeaFJz7Pc8MHGJ&#10;2gG/Xr77muv5ls7luKdm2zBFTxODl1IQd6PXgriwxKB3r99ZiwntNSam5mg1mL2le2PcA7JtuFTv&#10;95C5x+tSfcgWWk1W9vjd1f6hwrWum3P7V2tPdIcWT7G59jWuVX829Hy9blHI09MfbsX5ma3jVFsc&#10;h2hZlBV6ake1uKaEOK+z5deKczz7vDm2/IeQY63Ox2LpQtWa6/4a99rW53ixdgFwy/PlGtfqFoXk&#10;Y7EdU69PLffj2FrXoRav2W/lGu3lc2L/LDEGdEVPDwrhRERERJpn1afELTFYdOmk7F4niYqeB5Cn&#10;ajG51OsE71iLyeywh7+QbTH5vcVB+aGaY7/not9L1A6Y9fLdx7mYrd+llpqAaO2uFsS1uD/1OIg4&#10;Vc33v3RB3KXtwinie88+69paTHz2eu9oNai9lfZgaNEO6rk/UHP97HW79lwMVHu/u2a7bE7/6hoF&#10;fC3aFNfuA7Y8B3ruz7YosOipuL5locLS7brWWh6zoad2favvdak+Wst939P5VKtFv3psyTGFmvGO&#10;NdoGteMxp1yjXdNqvDis3c5sfa0t5vRdW+7HoTWPiaW2YarY5l76LHGMRVs61ilb1w2KQrivHimE&#10;ExEREVkixwbXpp8SN6WT1fOkWO2A+B4m2IsWA85b2R8tJkLCWn+ZtqRW+6LnyZRzagaNtj4o3OK8&#10;z5a7ttq/3tzKpFKLgfstFaoULa5TCuKWP8ZbDxj3WrzZ4njstf3Qqk2wpfMt1jXbhil6LXAMNcWq&#10;PW9Xq+tNb9vYol12rQmzOdePJcYpzmmxj3s4bvZ6Dgy1mNi/RjHFKS2OvaLn7+2Ulu3EPX6vS7YN&#10;W+77OC+zz9iaFteXsSX72bUFZ0u3DZbYn8Xa7ZpW/aFwjWt1y/O9mHPNremDnLNWX3rJbZjq2uMH&#10;cY7HubGjQrjw+HA4PLiZqRURERGRpbLqU+KWmFS8dAKp54KR6Fhn63ypngbiWqjtOMf+2MIAWQxK&#10;ZOs/1R6+/1b7YouD8kM1x/6WB4VbDFz2UExWWxC3lYLOFufrFgviYvAv25Yp9lAQVzMgu8R5GteP&#10;ItpTf+/vfyH97Ln+7u/96rNtDnHsnxPHySkxeHtOHCOnRFu2+NSf+6F0faf4yU98/3s+O1vnsWyb&#10;h8q+OiX6AreJ6+Df/ju/nK7vVB/92IfTY6ZHsf+zbZgivp9s2T2ouc9H2yhbZg9afG+ht35qbd80&#10;xPUgW/bS4jqSrc9trtGXatH27eG4afWaxjiXsuX3osXE69rFFKe0OPaK3q5dl2h13S56+V5Di+N0&#10;ye+01fUibPkPIcdaFw5FnyH7nBbm3GOH1mirtjgPMmu3a2r39dA12jmtr7VF9Cezz7vNEsV5Yc39&#10;utQ2THWNYylE2yW++172QyMK4URERETWzLEB9vVRg2wx8TqgrGFbIxrE2WdlehqsGqtt1M/pFPaq&#10;Rcf5WpMwU9T+deVQdA6zz9iKVvtii4PyQzXH/tavAbUDlz2c87UTyFu4boVYz2z9p9jKtg612O4l&#10;JyiWFPeYoqbg7Ld++2eeXeeKrNgrJstCtBmLaCOFuE4U2fLhUsNjqSjH2dDwOCzKMVqUY3dseHwX&#10;w+N/WGj4Hz386XQ9p/jML91/VnQa4n40NDyHs3N8DbGPs/W+RGxDtsxri/2Zre9UsW+u+d2Mtdiu&#10;ON6zZS9t7rpfY//XnBMhfj9b7priWpat21RxzcyW34u41mfrPUVPfbXaY6/o4Ricasr44SV66tO0&#10;OE6X/E5bXS9Cz38EMFXcL7NtnGvJ77B23G6Na32L8yCz9jEX7ZJW1+qwdlu69o9FT4nvN/u827S+&#10;7g+tdQ9YchumWvtciOtO9MGzddmoJ4fD4eHNrKyIiIiIrJlVnxLX+ukgUwa9ex40qZ1o730QeYoW&#10;fwk3p5O8thaTTcXWi6Fa7YstDsoP1Rz7W78G1A5w9HB9rz2OtzKw36IwrKfJo0u1uDfFRFC27Cni&#10;OCtiYLsUwMRAYaxjiHtCiP0c4tgqRTgx6RLXixD3ylAKfaIAKK6jRbYNd8mxjZz+HPZmeN6PiwJD&#10;uUaEct0oyvUklMK/UK45cf0JsZzssy/x+n/60rvXvey6eE012zXUW1u+drviWMqWu4Y4TrN1OiX+&#10;fbacpcX5k63PFNly19SibRSuebxcIq5l2XpP0VM7v8WxV/RasHxK3Eey7ZjrWtePTBxj2TpOFX2K&#10;bPm1Wl0vQu/XjCla7pdiqfOytshpje+txfU6E+3c7POW1LJY8hrjL63ayGNTj++47i+1Lmtei5ba&#10;hqnW2ua4F7Vsr3Tg6eFweP3oXkzGioiIiMgVcmyUbfopcZd2EnseNGkxMLe1wchTYl/Ed5Vt4xRb&#10;2B+tOrRxDmTL35JW+2Lr58Hc/dDz9e0StQOX1xigHKu9jvewDZdoMWh/VwvifvlX/szJIrUQx0Ap&#10;Mon2UohrQpzfLe6LANdy7HKmP69Rro1xnSzKtbNcS+O6OlSut+X6Wwr2inKNLoXFce0PMSlTxIRw&#10;tDfDX33tZ9N1m6q3tnysT7aeU1yrTT51wv5axYi1bd8Q25otey1xPmTrNUe0o7PP6EGLNmBcf7Jl&#10;X0OLY6/orZj3Eq3b1L2MP7QYUwxL9dNarV/R8zVjitb7JfT8HS59vrS4XmfiupF93pJabssSczHn&#10;tLzXDM1pM0cbP1tWC2vdB+Nzss+/hqWuMSHatksdO1eiEE5ERESko2z6KXFTOok9D9jVTjxscTDy&#10;lBaTMEt20Fpp1cm7xuBMa632xRa+99vU7IeYlMqWuQW1A1S9nAM1EywxkZ8tszctBmbj+86WvaQY&#10;wC8FDNEOCbEtIe6fIa4fIc7DEPeiEJOYf/5nP55uC9DesW+S/hz26sMf/o5370HlnhT3p1OFeEsX&#10;ArRol1+zTR77KtpV2XoVMTl8zf5zi/bUNfdxaFnI0XqMqKUWhX899ddbHHvFNdr0tVo/ceba5+HQ&#10;ueveJZYs3qzpK49d8/rdWovvbWip77DFNX/p86XlfWls6bbXWOttWboYcWyp72LO/XTJ42KtYsPY&#10;htbXirmWaNPE9kX/o+V94sqeHr15OBzuP5t5FREREZE+cmykPRk02hbVunMejeZLG8wx+JUtowe1&#10;A5M9/dVxrRaDtNf4C7ipWg5Grz240Vqrv9ib89eCPYnJoGy7LrHFCYmixbkQ94Js2WuqGbxZYlBp&#10;CS0mBbNjNb6/MCxYi8+KYyMMC9bi94dFa3H/K08Dimt/iMHC2Kc7GlBjYcfmcPpzgN6V+13c+0Lc&#10;B8t9Me6RoRR5l/tn3EtDubcOC/H+9t/55fRzpuihbxrtiNjGsu0h/v9oY1y73Rifn+23KWJbsmWv&#10;qdXkbM/FLS2+q9BLf73V9oQtjkHF9S/blrl6GneKa1y2jlMs2SeNfZV95hyxrdlnbFHrY3LJ7zD7&#10;vCnW+N6W6v9HmyL7vCW1OKeLpYsRM0sVcM1pM0SbKVtWC2vd32O7s8+/hlbttmiTxDVwqfP2Sh4f&#10;DocHzyZcRURERKS7PEwacItp3VmY0knsuXCoprMYnYdrD+y3srdB51NaDkb3PIlwiVbFgUsO/q1l&#10;7nVgixMSRYtz4RoDlGO1g/w9X8Nj3cI//ee/na77FN/3Jz/y7DgPcc7ubPALACY79sfTn2/VBz/4&#10;7W//6ud+/Fk/PVxSiBdtuSKK1qIvF0obJGufbFlt+6eHtn8UXWbrNtU1JuqnaDGp30NfpWhVmLTF&#10;vnercYehXsadWhVLLLU9LQu/9jDuUyxxTMY9NPusWrX3rTW+t1b3pbFr3KdandPhGm2G1sWeRdyT&#10;s887p8W9PLNGoWeItvBS2zBV7bkc2xLXvl62pxGFcCIiIiJbyLHh9q1RQ24xrTsLUwYQ1uqozFH7&#10;F0tbL4oaiu8p28Ypeh9YD606fz0f15eIznC2XXNsfcJs7qDR1geFa8+FHs732sHXOQPXcbwXMXkR&#10;yyhi4i3ujyHuD7GPQtxrysR0XDticDTE+scEWYjvI8RxVTvwDcDyjt259OewN6VtUtoq0W6JNkwo&#10;bZoQbZwQ7Z1LCvGi7bRmEV5tf7eHtn+rye74brLl96JFgUUPfZWi1fcW5vRfrq1136aX7zauWdn6&#10;TbVU8WbL4p7QSyFiC1s5JlsU02bLbanl9W0o2hXZ5y2p1TldLN2uGWu9/kNzzv8pc0dTrXU9qp03&#10;amnuHFTcY1oV5nciCuE++2xyVUREREQ2kdeSRt1iWncWLi2m6GHg+JTazuI1OuhLaTFYFh2sbNk9&#10;aTVY0/NxfalLz+FzlhrAXUvNdWDL2157LlxrIi2+r+IvvvzT6bpd6pc/+6PP9sO4SG1cqBbne5Et&#10;BwDg2g47KtKMNtewAC8MC/Cy4rtwqvgu/NZv/0z6WVNE+zNrn66lpt8y1FOxWKZFn72nsZqWRQG9&#10;f3eZ2mLUsZ7GnVoU2i51XWl1vSjmFmP0qPUxudT1pkVx8NJFtEsVPV3rPG+xz4trnDOtj+0ilpt9&#10;3jkt9+fQWvfC1tfRGlPPiWj7xrUpW9ZGPTn2dV5/NqMqIiIiItvKsTG32afETRmk7HngpKazGINX&#10;2TK3KDp5LYo9ev+r0TgWs/WeY+t/IdtqoGSLg/Jjc4sDr1UU1kLtufAXfu0nng1+xnJCHAdDsW/i&#10;PlHE8VaUycwYHCvKZGcoE6BxTSqydQAAgLX8xZd/6j3Fd6G0hYcFeOXpwdFfDC0LXub2W4ZifbNl&#10;96JFgUXsp2zZ19ByQr2nQr9LxfGWbUuNXsZiasbR4vfiWM+W20rLfnT047PP2KLWRVyxn7PPqdWi&#10;ODjuU9myW1mqYGipfXpOy+vVNa7XS1xvQ3wfc9oyca3OlldrzeMj2nzZOlzDJQWu8T3FtaPl9f/K&#10;nh5uCuHuPZtMFREREZFNZrNPiYuB3uwzMlHskC2jB1O2I9P7YPIULQZbet8fLQdrlh5YWlqrTv0W&#10;B+XH5g4aZdsex9hQmQgrE2NFmTCLwdgi1qMok2yhTLyFUmAWphSZjQvNPvqxD6fbtCXHe2j6c/bB&#10;90vvbjtGHb8AnBJt8VDa5qWtXtrwpV0fSlu/tP9/4dMvpMucYukinFot+uxrTpZfIr7nbD2n6m27&#10;LtHi+xzraSwmti/O0Ww9T4nzfI2ivvic7PPn2OKxd5vYnmw751ri+2wxZhfLyJbdUqvr29ga58hY&#10;6+vVNbZhqe9j7nV36vXxUjGemn1ea0vcw+aKfZmtY4j1jHZi62vbFSmEExEREdlTjg28zT4lbkon&#10;6xqdwEvVdBZb79NriiKdbBunWGOwpVarwYEtbOttWnzfYamB0ejMF3H9KM4VlV1SWFYmlIrf+M1P&#10;ptt2znPPPfds+3c04AAAsPuizr1vH8vY43FT+jLRRw6nivNi3KMofajStwqlvzXsh5W+WemzFaUv&#10;N+zjlX5f6Qu26LPHcof9y2uK/ZWt4xw9bdelWo3BFHFMZp9zTXH8xjkQ5814e+Mci5/HuRLHfvb7&#10;S2h53IUtHnunxLUs28a54rvPPqdGXD+zz5pijXOl9XFWxPZnn7e0lterJY6Lc5b6PqJtkH3eOXFt&#10;bH0PCGvOxyy1T+cYX4fLvWdH49JPj948trnvH4mIiIjIjrLZp8RN6RBcoxN4qRiszdb5EtHhyJa5&#10;VdHBzbbzUnFMZMvtSauBrx4HYW9TJhlCXAdCtl1z/NW/9rPPvvsySVImTspESiiTK0UMiIQyCVNk&#10;ywcAAIBLfeaX7j/ro4ZLi/fGBXyleO9cAd85LQpbiljf7DN6Fvs725a5tjION/U4aa3lcRe2eOyd&#10;0nrfLDE+GMdO9llTrHGutN6XRVyvs89bWsvrVYyFZp+xpBbHzSlx/8s+85yljpG56zPVkvt0qmEh&#10;YLRTaudxOvP4cDg8uJkuFREREZG95d6xwbfJp8RN6RD0PmBV89dKexoUis5Uto2Xanl8LSW+r2zd&#10;pyrHdJwHxXCQfDh4XgbUYxCgiPUIZUA+lEH6MnA/LDIL5wrNsiKzbN0B2LZj+9ETjgB4l3sCXF/p&#10;g5d+eYh++k/99Pen/36On/uFF94dSyhjC2W8oWhRxNdSfG62LTViu7PP4t9pvd+vVaC0lDg/s+2c&#10;I8777DNqtPj+llivsSXO77BEkeElWm9PXH+zz1lS7LtsXWrFuHX2eZeI8etsmTVq1meqGJPP1mFt&#10;cU7HfX6p7/hKFMKJiIiI3JF8NWkMLiIazi07Y1Ma4NFgz5bRg5oiqS0UgU0RRVjZdl6i9b6IgYhQ&#10;BnHPFZmFc4Vm8TSzbN2Byx3vW+nPaa92X9+178qxCW05pwBgn2J8MIwL+EL5A7wY8yvKH+qFGFsp&#10;4yxFjL2U8ZhQxmhi3CaWma3DXHsbh1tKy6KJWFb2GVtVM/aZWaLwqUXR3hoFWa3P77BGMd8pLYsl&#10;1yzaKmLMPFuXWjXfyRKFk2seI0sVfs7x4e/8jvTnGxSFcJ89EhEREZE7klWfEhcDVVnjfo4Y5Mo+&#10;I9PzgFV0bOZ2eK/ZSV/K3L/c+sVP/+n3FKHFAFMR338ZSC2Dq2WwNcT+j31ZZMunT8drWPpzAAAA&#10;lqMvxl30wQ9++7vjS6eK9IYFeqUwrxg+Qa/8IWY2NrZ1U8Zsz9nb2GfrApfY19nn1IjjOvusKeJ4&#10;z5bdUpxv2WfXutZ5GdeObH3miLHu7DOW1rKob6imwLLlfi2WOO9OaXE+8syTY9v19ZgQFREREZG7&#10;l1WfEpc17OeYUkjW++DJ3A58FHNly2upDNCVAbvhU9JOPRkttmduQdpHP/bhdFsBAAAAYI/KuFiM&#10;kYUYLytjaFkR3rAQr4zHlfG5c4V42fhfS/EZ2TbO0fuY7hzxnWbbOkd8/9ln1Jg7Tj0Ux2C27JZa&#10;HmdDaxTzZVpvT00R2Vxx/cnWpVZc97LPu1RcT7PlzhXX6OxzlrDUcX6HPD3cFMLdezYTKiIiIiJ3&#10;MvGUuKyxuIgYoMka93PE4E/2GZnokGXL6EF0bKZ2zKJw7O/9/S/MKlK7rUBtWJyWfS4AnogBAADA&#10;tmUFeFnx3bDwrow3DovusoK7+N3sM+coy9yL2H/Zds4R31X2GTVaFOC0HP+/TRy72efXWGvdMy23&#10;51rbscR3UlsYG9eobLk11iycbHk9vUMUwomIiIjIe7LJp8TFQEv2GZnoOGTLaCkGDMKcIrXf+M1P&#10;vv3x55d5rDgAAMA1HPua6c8BAC7x6B+98m7R3V6K41oVDcWYcrb8WrV/KB1j3tlyW4vtzz6/xhpz&#10;CKfEfEG2TnMsUSx5iZYFn0O1BWiti8rW3L8tilTvkKdHbx77oPefzXqKiIiIiLyTVZ8SFx2jrHE/&#10;x6UDCPFEtXPFaqVQLZRCtRAdpujkeJrauo7HZfpzgK1zfQMAgH3S1of1xNhsmPKEu3NPt1tDrE+2&#10;PVPEeHRtkdApsS+zz7xU7Pdsua0tUSgU25591hpabk8cH2se00V8ZquCz6HaY2qJYyWuG9lnLaF1&#10;Qd9OPT62wR4ciYiIiIi8P8cG45ujBuRivuu7PvhsAGJchDZWBiyGSpFaiI7Ap/7cD6WfAQAAANCr&#10;g8IpgC5FMdGw0K4U291WaBdKoV04V2hXW3QWn5stt4XYruwzL7Xm07NaF1/Fd599zlpaFj7FMZl9&#10;xtLic7P1qdHie2m9XvFdZZ+zhCUK+nZEIZyIiIiIXJRVnxIHAAAAAD05KFQEFlSK7cIP/dB3v/3h&#10;D39H+u9OiSK9P/jDX1/06XbxFL3ssy+15lPWojgxW4carffnFC0Ln9Ys2BqL4zRbpxotnsjWuoCy&#10;xTpdaoljfeOeHNtsD5/NbIqIiIiIXJJjI/LRqFG5CcdVT38OAAAAAAB3wbDgbvyEu/KUu+ET7oZP&#10;uYtCuPDoH73y9vf/wHeny79ELDMr6FlCFCRl61Ajig2zz1pLfE/Zek11zafdxT7M1qlGi6cixtMb&#10;s2XPtebTED0l7l1PD4fD60f3Yk5TRERERGRK4ilxT0cNTIDVHK9Dk34OAAAAcBtjCrCOD3zgubd/&#10;7Me/Ny3GKwV5RVaYN3wFbSnSG76KNgqthk/HCx//+MfSdZkrPjcrSFpLy6KtNZ9gNtaqsK9oVXzW&#10;er3WLKCM8yRbhztCIZyIiIiINMnrSWNzEcfPSn8OAAAAAMC21Y7/Gj9mbZ/4qe9/X+FeMSzgK0oh&#10;X1bMVwyL+oaFfePivhBPAmtV5HfNgrjWTzRr9cS71usVxZ/Z5yzhDj8l7vHxXnD/SERERESkPscG&#10;5rdGDU4AgGeOTYX057Bx8ZTkc6KNfJsnF3h8xtcv8CiR/buh7LMy2TqPZds+lu2/sex7AAAAOnLX&#10;xgD2sr0f+ciHnhVrDZ/Wlz21rxgWAWbFgJcUBI6LAn/t8z+Rrttcf/CHv/6+4sI5fuVXfyxd/lx/&#10;++/88rvLHhZCDg33SzHed8V4Hw+/g5/58z+crsNORSHcgyMRERERkaZ5LWl8AgDAJYZFT6VAalhQ&#10;VYqvhgVbpbDrzeLYJv3qO+K1GMVr73j4js8OxEBpiL8cLuJ1GoVsK8Pvbmj4/Rblux8bHh9FOXbG&#10;yrE1Njz+inJsvsfw+B0YFi4Ww2M/DIsSw/B8CcNiwzA8x0J2HgIAAMDWPDn2r6OPLiIiIiKyTKLR&#10;OWqEAis4nn7p/wb2xfnNQkpxTCmaKcU0WfHZuwU7x+MxinmGxT6lEKgUCpVComGhUSlEGhYqiUg/&#10;GZ6bYVhAGIbncxgWDYZy/g8NCwXD+woEB9eWrAAwK/rLCv2y6xsAAMCdd+x3pT/fgafv9C+NL4mI&#10;iIjI4rmfNEgBALhMi+K0UnQShSilSKUUr5SillLsIiKy12RFfeNCvlOFey2L9hTrAQBwFcd2bPpz&#10;2AGFcCIiIiKyfo4N0ZgkyBqo1Y6LT38OAFvhXrZJwyK1swVqx+9YcZqIiJzKuFBvWKSXFeidK8zL&#10;CvJKMZ6CPAB26XhPTH8OwGk7unY+Pm5L9KVERERERNbPsUEag/JZQxUAoJVzhWqlWOBUoVopOhgW&#10;qZVCNUVqIiKyxwyL8UpBXinYHhfjvacg7537aVaINyzCU4AHd8DxmpD+PNz23wCAG+6Xs0QhXPRf&#10;RERERESum2PjNAbLs0YrALA/pThtXKB2SZFaVqhWJueHRWoK1URERLaVYQFeKb4rhXel+O7dorvw&#10;ThtB4R27cTyuL/oZAACpJ8e2U/QbRERERES6yutJ4xUAWM6wKG1YmDYsSiuFac+K0sLxnj0sShsW&#10;pilOExERkd5zW+FdtGluK7wrbSOFdwAA0I+n77ThjT2KiIiISNeJwrgYTM4atQDQs1JgNiwyC6XQ&#10;bFhwlhWdFe8Wn4XjvfG/Pf7f7PMy//r47//u0bAorRSmlaI0g0MiIiIiy6W0t0rR3dTCu1J8d6rw&#10;TvEdAMDGHdt/6c+ZJArhoi1trFNERERENpUYLI4B4jIw/D8d/S9H/9fx/88avgD0YVgUVgyLw8K4&#10;QCyUCb9iWCxWDIvGwnsKx0K5b7yjPMFsqExAFmViMsS9Z2hcUFaUSc61B1teO25j7IfYh8P9Hfvv&#10;68f/HutsAEhERETk7iTafqWN2qr4LpR2e7Q1h219AADoweNjuzbaviIiIiIiu0sZ2I2B3BjAjYHb&#10;YYEAwCWGRVtDZQJoqEwOjZXJo6FhEddQmXQael9RV4jrW2Jc3FWUia6hMgk2NCz2GiqTZ0PDArCh&#10;YTFYIdeL/S8iIiIiayTanaVPUPoM0ZcofY3SD4n+ybt9mHf6N6XvE32iYb8p+lOlvxX9sKzPBgDA&#10;lRzbc+nPryTai4+O6xTtUBERERGRO5kYnB0OyA4HYIcDrlmDGrZkWMBVlMmEoWHxVjGchAjjwq1Q&#10;Ji2G3lO0FeIcGxkXa4UyOTJUztOhcaFWUSZcxsqEzNCwUGtIRERERERE+k/pw5U+Xun/lf5h6T8O&#10;+5el7/lu3/SdPuuwP1v6uqUfXPrHw/5z6VtnfXAAAK7g2Lb7+0fRLhQRERERkQkZD7KOB1ffN6ha&#10;HBvi4+Kg4UDreMB1PPCaGf/bJWTrOMV4m98j208jZX+eMhzQzpTv5jZlkHyOMtA+RzmOpiqD/eeI&#10;iIiIiIiIyLqJ/viwD1/GAMo4wnA8ooxdlDGOd8dD3hk3GY6vlHGa8diQQj0AgIFjWyraXiIiIiIi&#10;IiIiIiIiIiIisvOUP6C7rWDvVNHebYV7p4r3xgV8ivcAgKU9PbZRPDBARERERERERERERERERES6&#10;yiXFe8PCvdrivWHhnuI9ANiurx/v+yIiIiIiIiIiIiIiIiIiIjIjUwr3xgV7txXrnXrC3rhALysE&#10;AIA763hfjXuviIiIiIiIiIiIiIiIiIiIbDynivOyJ+qde5Le+Cl62ZPzPDEPgN68ebyXiYiIiIiI&#10;iIiIiIiIiIiIiFRnXJBXivGyIrys+G5ceOdJeABM8eR4b4n7kIiIiIiIiIiIiIiIiIiIiMgmouAO&#10;gEwUw8W9QURERERERERERERERERERETeydyCu2GxXVBsB7Cex8drsmI4ERERERERERERERERERER&#10;kRXT+ul2iu2Au+7/eefaKSIiIiIiIiIiIiIiIiIiIiI7Sym4K8V244K7S4rthgV3iu6AXn3znWua&#10;p8KJiIiIiIiIiIiIiIiIiIiIyKxkT7ib+5S7YeFdFN0pvIM77njNSH9+9P8e/e9H//Lovzr+u7j+&#10;iIiIiIiIiIiIiIiIiIiIiIhsIlF4Ny6+u60A7z1FeOHbbgrxxsV4tz0Jz9PwoL1S7BriHItzLsT5&#10;V87JOD/L+frmO+dwnM9xXsf5Hud+XA9ERERERERERERERERERERERKQi5wrzhsV5Q8NCvVKsN/Ru&#10;4V7xbd/2bW8M/Dcj/3TkXyT+55H/tbH/ewX/3wTZ79fKtrvG+Du5RPbdDo2Phcz4+BkeW2+Mjr3x&#10;sRnGx+/w2C7HfTkXQjk/yvmieE1EREREBjkc/n/yj0CfOv7L4QAAAABJRU5ErkJgglBLAwQKAAAA&#10;AAAAACEA537WYP8PAQD/DwEAFAAAAGRycy9tZWRpYS9pbWFnZTIuc3ZnPHN2ZyB2aWV3Qm94PSIw&#10;IDAgNjMwLjM0IDIxMS4xMSIgeG1sbnM9Imh0dHA6Ly93d3cudzMub3JnLzIwMDAvc3ZnIiB4bWxu&#10;czp4bGluaz0iaHR0cDovL3d3dy53My5vcmcvMTk5OS94bGluayIgaWQ9IkxheWVyXzEiIG92ZXJm&#10;bG93PSJoaWRkZW4iPjxkZWZzPjwvZGVmcz48cGF0aCBkPSJNMTg2LjAxIDE5Ni4yN0MxODYuMDEg&#10;MTk2LjI3IDE4Ni4wMSAxOTYuMjcgMTg2LjAxIDE5Ni4yN0wxODYuMTUgMTk2LjI3QzE4Ni4xNSAx&#10;OTYuMjcgMTg2LjQyIDE5Ni4yNyAxODYuNDIgMTk2LjI3TDE4Ni42MSAxOTYuMjdDMTg2LjAyIDE5&#10;Ni4yNyAxODUuNDMgMTk2LjI5IDE4NC44NSAxOTYuMyAxODUuMjMgMTk2LjMgMTg1LjYyIDE5Ni4y&#10;OSAxODYgMTk2LjI4Wk00NjEuOTEgNC4zNkM0NjIuODIgNC40IDQ2My42NCA0LjQ4IDQ2NC40MiA0&#10;LjYxIDQ2NS45IDQuODYgNDY3LjE0IDUuMTMgNDY4LjMzIDUuNjEgNDY5Ljg5IDYuMjQgNDcxLjI3&#10;IDYuODkgNDcyLjU0IDcuNjEgNDczLjY3IDguMjUgNDc0Ljc3IDguOTUgNDc1Ljg0IDkuNjNMNDc2&#10;LjczIDEwLjE5QzQ3OC4yIDExLjExIDQ3OS42NyAxMi4wNCA0ODEuMTMgMTIuOTcgNDg0LjM3IDE1&#10;LjAzIDQ4Ny44NyAxNy4yMyA0OTEuNSAxOS4zNiA0OTMuNzEgMjAuNjYgNDk1Ljk0IDIxLjk0IDQ5&#10;OC4xNyAyMy4yMiA1MDAuNCAyNC41IDUwMi42MyAyNS43OCA1MDQuODUgMjcuMDggNTA4LjQ0IDI5&#10;LjE4IDUxMy4xOCAzMS45NCA1MTguMDUgMzQuNTYgNTIyLjIyIDM2LjgyIDUyNi4wNCAzOC44NSA1&#10;MjkuNzIgNDAuNzUgNTM0LjM1IDQzLjE1IDUzOS4wMiA0NS42MiA1NDMuNTMgNDguMDEgNTQ3LjY1&#10;IDUwLjE5IDU1MS43NiA1Mi4zNyA1NTUuOTEgNTQuNTMgNTYzLjUxIDU4LjQ4IDU3MS4wOSA2Mi42&#10;NCA1NzguNDIgNjYuNjZMNTgwLjE1IDY3LjYxQzU4NS43OCA3MC43IDU5MC4zMSA3My4yMyA1OTQu&#10;NDEgNzUuNTkgNTk1LjUzIDc2LjIzIDU5Ni42NSA3Ni44NyA1OTcuNzcgNzcuNTEgNTk5Ljg2IDc4&#10;LjcgNjAyLjAyIDc5LjkyIDYwNC4xMSA4MS4xNiA2MDYuMDggODIuMzMgNjA4LjQxIDgzLjczIDYx&#10;MC42OCA4NS4yNyA2MTIuNzIgODYuNjYgNjE0LjUzIDg3Ljk0IDYxNS45MyA4OS41NSA2MTguNTEg&#10;OTIuNDkgNjIwLjE1IDk1LjgzIDYyMS43MyA5OS4wN0w2MjEuNzkgOTkuMTlDNjIyLjE1IDk5Ljkz&#10;IDYyMi41MyAxMDAuNjcgNjIyLjkgMTAxLjQxIDYyMy4zNyAxMDIuMzMgNjIzLjg0IDEwMy4yNiA2&#10;MjQuMjggMTA0LjE5IDYyNC41NCAxMDQuNzMgNjI0Ljc4IDEwNS4zMiA2MjUuMDggMTA2LjA5IDYy&#10;NS4yNCAxMDYuNTEgNjI1LjMyIDEwNi44NSA2MjUuMzUgMTA3LjE1IDYyNS40MiAxMDcuODYgNjI1&#10;LjQ1IDEwOC40NiA2MjUuMjUgMTA5LjA3IDYyNS4wNCAxMDkuNzQgNjI0LjgxIDExMC40IDYyNC40&#10;MSAxMTEuMDUgNjI0LjE5IDExMS40MiA2MjMuOTEgMTExLjc3IDYyMy42NCAxMTIuMTFMNjIzLjM4&#10;IDExMi40NCA2MjMuNjEgMTEyLjEyQzYyMy4wNiAxMTIuODMgNjIyLjQ0IDExMy41NSA2MjEuNjUg&#10;MTE0LjI0IDYyMC42MSAxMTUuMTMgNjE5LjQ1IDExNiA2MTguMjEgMTE2LjgxIDYxNS41MSAxMTgu&#10;NTcgNjEyLjU3IDEyMC4wNSA2MDkuNzggMTIxLjQxIDYwOC44NyAxMjEuODYgNjA3Ljk1IDEyMi4z&#10;MSA2MDcuMDMgMTIyLjc1IDYwNC44MyAxMjMuODIgNjAyLjU2IDEyNC45MyA2MDAuMzcgMTI2LjA2&#10;IDU5Ni42NSAxMjcuOTkgNTkyLjg2IDEzMC4xOCA1ODkuMSAxMzIuNTggNTg1LjMyIDEzNC45OCA1&#10;ODEuNjEgMTM3LjUyIDU3OC4wMiAxMzkuOThMNTc2LjA5IDE0MS4zQzU3Mi43NiAxNDMuNTggNTY5&#10;LjMzIDE0NS44NiA1NjYuMDEgMTQ4LjA2TDU2NC42NiAxNDguOTZDNTYyLjk3IDE1MC4wOCA1NjEu&#10;MyAxNTEuMjEgNTU5LjYyIDE1Mi4zMyA1NTcuNDcgMTUzLjc3IDU1NS4zMiAxNTUuMjEgNTUzLjE2&#10;IDE1Ni42NCA1NDguNjQgMTU5LjYzIDU0NC4wMSAxNjIuNjEgNTM5LjM4IDE2NS41MSA1MzQuNTIg&#10;MTY4LjU1IDUyOS40NyAxNzEuNTQgNTI0LjU4IDE3NC40NEw1MjMuNzIgMTc0Ljk1QzUyMC42NyAx&#10;NzYuNzYgNTE3LjYgMTc4LjYyIDUxNC42MyAxODAuNDMgNTEzLjEyIDE4MS4zNSA1MTEuNjIgMTgy&#10;LjI2IDUxMC4xIDE4My4xOCA1MDYuMjggMTg1LjQ5IDUwMi40OCAxODcuNzMgNDk3Ljk3IDE5MC4z&#10;NyA0OTMuOTQgMTkyLjczIDQ4OS45OCAxOTUuMDQgNDg1Ljk3IDE5Ny4yOSA0ODMuNDkgMTk4LjY4&#10;IDQ4MC42IDIwMC4yNyA0NzcuNTggMjAxLjY1IDQ3NS42NiAyMDIuNTMgNDc0LjA3IDIwMy4yMSA0&#10;NzIuNTYgMjAzLjc4IDQ3MC45OCAyMDQuMzggNDY5LjIxIDIwNC44OSA0NjYuOTkgMjA1LjM5IDQ2&#10;My41NiAyMDYuMTYgNDYwLjcyIDIwNi42NyA0NTguMDQgMjA3LjAxIDQ1NSAyMDcuMzkgNDUxLjk2&#10;IDIwNy41MSA0NDguMzQgMjA3LjU4IDQ0NS41MSAyMDcuNjMgNDQyLjYxIDIwNy41NSA0NDAuMDQg&#10;MjA3LjQ5IDQzNi44OCAyMDcuNCA0MzMuNzEgMjA3LjI5IDQzMC41NSAyMDcuMTggNDI5LjE1IDIw&#10;Ny4xMyA0MjcuNzQgMjA3LjA3IDQyNi4zNCAyMDcuMDIgNDIwLjY3IDIwNi43OSA0MTQuOSAyMDYu&#10;NSA0MDkuMzMgMjA2LjIzIDQwNC4yNCAyMDUuOTggMzk4Ljk4IDIwNS43MiAzOTMuOCAyMDUuNUwz&#10;ODguMDUgMjA1LjI2QzM4My41NiAyMDUuMDggMzc5LjA3IDIwNC44OSAzNzQuNTggMjA0LjY5IDM3&#10;MS4zMyAyMDQuNTQgMzY4LjA4IDIwNC40IDM2NC44NCAyMDQuMjcgMzYxLjg3IDIwNC4xNSAzNTgu&#10;OTEgMjA0LjAzIDM1NS45NCAyMDMuOTMgMzUwLjI3IDIwMy43MyAzNDQuNSAyMDMuNTggMzM4Ljkz&#10;IDIwMy40M0wzMzcuMjkgMjAzLjM5QzMzMS4zOCAyMDMuMjMgMzI1LjA3IDIwMy4wNyAzMTguNzMg&#10;MjAyLjk2IDMwNi42NCAyMDIuNzQgMjk0LjMzIDIwMi43OCAyODIuNDMgMjAyLjgyTDI3OS45MyAy&#10;MDIuODJDMjcyLjg4IDIwMi44NSAyNjMuNTYgMjAyLjg2IDI1NC4wNCAyMDIuNyAyNDUuNTkgMjAy&#10;LjU2IDIzNi44NSAyMDIuNDIgMjI4LjEgMjAyLjU3IDIyMS4zOSAyMDIuNzEgMjE0LjU3IDIwMi45&#10;IDIwNy45NyAyMDMuMDkgMjAzLjIzIDIwMy4yMiAxOTguNDkgMjAzLjM2IDE5My43NCAyMDMuNDcg&#10;MTg3LjAyIDIwMy42MyAxODAuMyAyMDMuNzMgMTc0LjYyIDIwMy44IDE3Mi4wNyAyMDMuODMgMTY5&#10;LjUxIDIwMy44NyAxNjYuOTYgMjAzLjkgMTYyLjk2IDIwMy45NiAxNTguOTYgMjA0LjAxIDE1NC45&#10;NyAyMDQuMDYgMTQyLjkgMjA0LjE5IDEzMC45NiAyMDQuMjMgMTE5LjQ4IDIwNC4xNiAxMTYuMzgg&#10;MjA0LjE0IDExMy4yOCAyMDQuMTIgMTEwLjE3IDIwNC4xIDEwMi42NyAyMDQuMDQgOTQuOTEgMjAz&#10;Ljk5IDg3LjI3IDIwNC4wMiA4My44NSAyMDQuMDMgODAuNDMgMjA0LjA3IDc3LjAyIDIwNC4xIDcz&#10;LjAyIDIwNC4xNCA2OC44OCAyMDQuMTggNjQuODEgMjA0LjE5TDYxLjk1IDIwNC4xOUM1OC4yIDIw&#10;NC4xOSA1NC4zMyAyMDQuMTkgNTAuNTIgMjA0LjI1IDQ2LjQ2IDIwNC4zNSA0Mi4zOCAyMDQuNjYg&#10;MzguNDIgMjA0Ljk2TDM2LjQ3IDIwNS4xMUMzNS44NyAyMDUuMTUgMzUuMjggMjA1LjIgMzQuNjgg&#10;MjA1LjI1IDMyLjg0IDIwNS40IDMwLjkzIDIwNS41NSAyOS4wNSAyMDUuNTlMMjguNTkgMjA1LjU5&#10;QzI4LjEgMjA1LjYyIDI3LjYgMjA1LjY0IDI3LjExIDIwNS42MSAyNi44OSAyMDUuNjEgMjYuNjYg&#10;MjA1LjU4IDI2LjQ0IDIwNS41NiAyNS44MSAyMDUuNDggMjUuMTkgMjA1LjM2IDI0LjU5IDIwNS4y&#10;MiAyNC4wOSAyMDUuMSAyMy41NyAyMDQuODcgMjMuMTEgMjA0LjY3TDIyLjg0IDIwNC41NUMyMi4x&#10;OCAyMDQuMjcgMjEuNjQgMjAzLjg4IDIxLjExIDIwMy40OUwyMC44NiAyMDMuMzFDMjAuMTMgMjAy&#10;Ljc5IDE5LjYxIDIwMi4wOCAxOS4xNiAyMDEuNDUgMTguNTMgMjAwLjU4IDE4LjE2IDE5OS42IDE3&#10;LjggMTk4LjY0TDE3LjY2IDE5OC4yN0MxNy4zNyAxOTcuNSAxNy4xMiAxOTYuNzIgMTYuOTIgMTk2&#10;LjA1IDE2LjMgMTk0IDE1Ljc5IDE5MS45NCAxNS4zOCAxOTAuMiAxNC43MiAxODcuNDEgMTQuMiAx&#10;ODQuNjMgMTMuNjkgMTgxLjc4IDEzLjA5IDE3OC40OCAxMi41OCAxNzUuMDUgMTIuMTcgMTcxLjU3&#10;IDExLjcgMTY3LjU5IDExLjI1IDE2My42MSAxMC44MiAxNTkuNjMgMTAuMzUgMTU1LjI4IDEwLjAz&#10;IDE1MC41NyA5Ljg1IDE0NS4yNSA5LjUgMTM0LjgzIDkuMzUgMTI2LjM3IDkuMzggMTE4LjYzIDku&#10;NCAxMTMuOSA5LjU1IDEwOS4xIDkuNjkgMTA0LjQ2IDkuNzYgMTAyLjE2IDkuODMgOTkuODcgOS44&#10;OSA5Ny41N0w5LjkxIDk2LjYyQzEwLjEgODguNzIgMTAuMyA4MC41NSAxMC4wNCA3Mi41MiA5LjQ5&#10;IDU3LjQ2IDguMjMgNDIuNzQgNy4yIDMxLjZMNi45MiAyOC40N0M2LjYxIDI1LjA3IDYuMyAyMS41&#10;NiA1LjkxIDE4LjEyIDUuNzUgMTYuNzEgNS41NiAxNS4xOCA1LjMgMTMuNDYgNS4xOCAxMi42MyA1&#10;LjA1IDExLjggNC45MSAxMC45N0w0Ljg0IDEwLjU1QzQuNzYgMTAuMDkgNC42OSA5LjYzIDQuNjIg&#10;OS4xNyA0LjU5IDguOTkgNC41OCA4LjggNC41NyA4LjYyIDQuMjggOC41NyAzLjk3IDguNTIgMy42&#10;OCA4LjQ1IDIuOTcgOC4yOSAyLjM1IDcuOTEgMi4wNiA3LjQ2IDEuODMgNy4xIDEuODIgNi43MSAy&#10;LjAzIDYuMzQgMi43NSA1LjA3IDQuOTkgNS4wOCA2LjYzIDUuMDlMNi45NyA1LjA5QzcuMDMgNS4w&#10;OSA3LjA4IDUuMDkgNy4xNCA1LjA5IDcuMzEgNS4wMiA3LjQ3IDQuOTYgNy42MSA0LjkxIDguMzYg&#10;NC42OCA5LjE2IDQuNTYgOS43NSA0LjU5IDkuODggNC41OSAxMCA0LjYxIDEwLjEyIDQuNjNMMTAu&#10;NDEgNC42OEMxMS4xNyA0LjggMTEuNjMgNC44OCAxMi4yOSA1LjE5TDEyLjkzIDUuMjFDMTMuNTcg&#10;NS4yMyAxNC4yMSA1LjI1IDE0Ljg1IDUuMjYgMjAuNjcgNS40IDI2LjU5IDUuNDEgMzIuMzEgNS40&#10;MyAzNC41NCA1LjQzIDM2Ljc2IDUuNDMgMzguOTggNS40MyA0My4wOCA1LjQzIDQ3LjMyIDUuNDMg&#10;NTEuNDkgNS40OEw1Mi4wMyA1LjQ4QzU3Ljk5IDUuNTQgNjQuMTQgNS42IDcwLjIgNS41NyA3Ni4z&#10;NSA1LjU0IDgyLjQ5IDUuNDkgODguNjQgNS40NSA5NC43OSA1LjQgMTAwLjkzIDUuMzYgMTA3LjA4&#10;IDUuMzMgMTExLjIxIDUuMzEgMTE1LjM0IDUuMjYgMTE5LjQ2IDUuMjEgMTIxLjQ0IDUuMTkgMTIz&#10;LjQxIDUuMTYgMTI1LjM5IDUuMTQgMTMwLjA0IDUuMDkgMTM0LjY5IDUuMDcgMTM5LjM0IDUuMDZM&#10;MTQ0LjE5IDUuMDRDMTUyLjg0IDUgMTYxLjYzIDQuOTIgMTcwLjEzIDQuODVMMTgwLjE0IDQuNzZD&#10;MTgzLjg2IDQuNzMgMTg3LjU4IDQuNjggMTkxLjMgNC42MyAxOTQuMTMgNC41OSAxOTYuOTUgNC41&#10;NSAxOTkuNzggNC41MiAyMDQuMTIgNC40NyAyMDguNDUgNC40NSAyMTIuNzkgNC40NCAyMTQuODYg&#10;NC40NCAyMTYuOTMgNC40MiAyMTkuMDEgNC40MSAyMjEuMDIgNC40IDIyMy4wMyA0LjM4IDIyNS4w&#10;NCA0LjM2IDIyOC40NiA0LjMzIDIzMS44OCA0LjMgMjM1LjMgNC4zIDIzNy42NiA0LjMgMjQwLjAx&#10;IDQuMyAyNDIuMzcgNC4zIDI0NS41MiA0LjMgMjQ4LjY2IDQuMzEgMjUxLjgxIDQuMyAyNTUuMzkg&#10;NC4yOCAyNTkuMzQgNC4yNCAyNjQuMjIgNC4xNyAyNjQuNDUgNC4xNSAyNjQuNjcgNC4xNSAyNjQu&#10;ODkgNC4xNkwyNjkuOTcgNC4wOEMyNzUuMTMgNCAyODAuNDcgMy45MSAyODUuNzIgMy44NyAyOTEu&#10;NTcgMy44MiAyOTcuNDEgMy43NSAzMDMuMjYgMy42OEwzMDMuMzcgMy42OEMzMDUuMTcgMy42NiAz&#10;MDYuOTggMy42NCAzMDguNzggMy42MiAzMTIuNTUgMy41OCAzMTYuMzIgMy41NCAzMjAuMDkgMy40&#10;N0wzMTkuNzQgMy40OSAzMjAuNzggMy40NkMzMjYuNTUgMy4zNSAzMzIuNTIgMy4yMyAzMzguNCAz&#10;LjE5IDM0Mi4xMiAzLjE2IDM0NS44NSAzLjE2IDM0OS41NyAzLjE1IDM1MS44IDMuMTUgMzU0LjAy&#10;IDMuMTUgMzU2LjI1IDMuMTQgMzYxLjQ1IDMuMTIgMzY2LjczIDMuMTUgMzcxLjg0IDMuMTlMMzc1&#10;Ljc1IDMuMjFDMzgxLjQzIDMuMjQgMzg3LjM0IDMuMzYgMzkzLjg0IDMuNTggMzk1LjkxIDMuNjUg&#10;Mzk3Ljk4IDMuNzMgNDAwLjA1IDMuODFMNDA0LjQ1IDMuOTkgNDA1LjI3IDQuMDJDNDA2LjkyIDQu&#10;MDkgNDA4LjU1IDQuMTYgNDEwLjE4IDQuMjMgNDE0LjAzIDQuMzkgNDE2Ljk3IDQuNDkgNDE5Ljc0&#10;IDQuNTcgNDI0LjI5IDQuNyA0MjguODUgNC43NSA0MzMuMjkgNC43MyA0MzQuNjYgNC43MyA0MzYu&#10;MDQgNC43MyA0MzcuNDEgNC43MiA0NDAuMDMgNC43MiA0NDIuNzQgNC43MiA0NDUuNDEgNC42NyA0&#10;NDUuNDcgNC42NyA0NDUuNTQgNC42NyA0NDUuNiA0LjY3TDQ0NS43IDQuNjdDNDQ1LjcgNC42NyA0&#10;NDUuNyA0LjY3IDQ0NS43IDQuNjcgNDQ2LjI2IDQuNjYgNDQ2LjgxIDQuNjUgNDQ3LjM3IDQuNjRM&#10;NDQ3LjUxIDQuNjRDNDQ3LjUxIDQuNjQgNDQ3LjYzIDQuNjQgNDQ3LjYzIDQuNjRMNDQ4LjM1IDQu&#10;NjRDNDQ4LjM1IDQuNjQgNDQ4LjE1IDQuNjQgNDQ4LjE1IDQuNjQgNDQ5LjM4IDQuNiA0NTAuNjIg&#10;NC41NyA0NTEuODUgNC41NCA0NTMuODQgNC40OSA0NTUuODIgNC40NCA0NTcuODEgNC40MUw0NTgu&#10;NzcgNC40MUM0NTkuODIgNC4zOCA0NjAuOSA0LjM2IDQ2MS45NiA0LjQxWiIgZmlsbD0iI0UzRTg3&#10;QiIvPjxwYXRoIGQ9Ik00MjkuOCAxLjM2QzQyOS45IDEuMzYgNDMwLjAxIDEuMzYgNDMwLjExIDEu&#10;MzYgNDMwLjAxIDEuMzYgNDI5LjkgMS4zNiA0MjkuOCAxLjM2Wk0zOTAuOTkgMC40NEMzOTAuOTMg&#10;MC40NCAzOTAuODYgMC40NCAzOTAuOCAwLjQ0IDM5MC45NCAwLjQ0IDM5MS4wOCAwLjQ0IDM5MS4y&#10;MSAwLjQ0IDM5MS4xNCAwLjQ0IDM5MS4wNiAwLjQ0IDM5MC45OSAwLjQ0Wk0zODkuODcgMC40MiAz&#10;ODkuODcgMC40MkMzOTAgMC40MiAzOTAuMTIgMC40MiAzOTAuMjUgMC40MiAzOTAuMTMgMC40MiAz&#10;OTAgMC40MiAzODkuODggMC40MlpNMjYuOSA0LjQ0QzI2Ljg0IDQuNDQgMjYuNzcgNC40NCAyNi43&#10;MSA0LjQ0IDI2Ljc3IDQuNDQgMjYuODQgNC40NCAyNi45IDQuNDRaTTQ2Ni45NyAxLjgyQzQ2OC4z&#10;MSAyLjAyIDQ2OS4zNyAyLjc2IDQ2OS41MSAzLjc4IDQ2OS41OSA0LjM1IDQ2OS4zNiA0LjkzIDQ2&#10;OC44NyA1LjM4IDQ2OC4zNCA1Ljg3IDQ2Ny42MyA2LjEgNDY2LjgxIDYuMjEgNDY1LjM4IDYuMzkg&#10;NDYzLjkyIDYuMzQgNDYyLjQ4IDYuMzMgNDYwLjQzIDYuMzEgNDU4LjM5IDYuMjcgNDU2LjM0IDYu&#10;MjIgNDUyLjA5IDYuMTMgNDQ3Ljg0IDYuMDEgNDQzLjU4IDUuOTIgNDM0LjEzIDUuNzMgNDI0LjY4&#10;IDUuNDUgNDE1LjIzIDUuMjUgNDEzLjM3IDUuMjEgNDExLjUyIDUuMTcgNDA5LjY2IDUuMTQgNDA5&#10;LjkxIDUuMTQgNDEwLjE2IDUuMTQgNDEwLjQxIDUuMTUgNDAxLjU0IDQuOTggMzkyLjY3IDQuNzYg&#10;MzgzLjc5IDQuNTggMzgzLjk3IDQuNTggMzg0LjE2IDQuNTggMzg0LjM0IDQuNTkgMzc5LjI2IDQu&#10;NSAzNzQuMTggNC40MiAzNjkuMSA0LjM4IDM2NC4wOCA0LjMzIDM1OS4wNiA0LjM0IDM1NC4wNCA0&#10;LjM0IDM0NC4wMSA0LjM0IDMzMy45OCA0LjMgMzIzLjk1IDQuMyAzMTQuMTYgNC4zIDMwNC4zNyA0&#10;LjMgMjk0LjU3IDQuMzcgMjg0Ljc0IDQuNDMgMjc0LjkxIDQuNDcgMjY1LjA5IDQuNTggMjQ1LjIz&#10;IDQuNzkgMjI1LjM4IDQuOTkgMjA1LjUxIDQuOTkgMTk1Ljc1IDQuOTkgMTg1Ljk5IDUgMTc2LjIz&#10;IDUuMDEgMTY1Ljg1IDUuMDIgMTU1LjQ3IDQuOTkgMTQ1LjEgNC45NiAxMzUuMTMgNC45MyAxMjUu&#10;MTcgNC44OSAxMTUuMiA0Ljg3IDEwNS4zIDQuODUgOTUuMzkgNC44OCA4NS40OSA0Ljg3IDc1LjM1&#10;IDQuODUgNjUuMjEgNC44MyA1NS4wNyA0Ljc2IDQ1LjUzIDQuNjkgMzYgNC42NCAyNi40NiA0LjQ0&#10;IDI1LjkgNC40MyAyNS4zNCA0LjQyIDI0Ljc4IDQuNDEgMjQuOTkgNC40MSAyNS4yMSA0LjQxIDI1&#10;LjQyIDQuNDIgMjAuOTQgNC4zMyAxNi40NiA0LjI1IDExLjk4IDQuMTEgOS43MyA0LjA0IDcuNDcg&#10;My45NiA1LjIyIDMuODIgNC4yNCAzLjc2IDMuMjQgMy42OSAyLjI3IDMuNTQgMS41NCAzLjQzIDAu&#10;NzIgMy4yOSAwLjI1IDIuODItMC4wOSAyLjQ4LTAuMTEgMS45NSAwLjI4IDEuNjIgMC44MSAxLjE4&#10;IDEuNTkgMS4wNyAyLjM2IDAuOTkgMy40OCAwLjg4IDQuNjMgMC44NyA1Ljc2IDAuODUgNy45NiAw&#10;LjggMTAuMTUgMC43OCAxMi4zNiAwLjc3IDE3LjA3IDAuNzQgMjEuNzggMC43OCAyNi40OSAwLjgx&#10;IDM2LjExIDAuODcgNDUuNzMgMC43NyA1NS4zNSAwLjczIDY1LjM1IDAuNjkgNzUuMzQgMC42NyA4&#10;NS4zNCAwLjY4IDk1LjIzIDAuNjggMTA1LjExIDAuNjMgMTE1LjAxIDAuNjIgMTM1LjM3IDAuNiAx&#10;NTUuNzMgMC43NSAxNzYuMSAwLjc0IDE5NS45MSAwLjc0IDIxNS43MiAwLjY2IDIzNS41MyAwLjU4&#10;IDI1NS4yMSAwLjUxIDI3NC44OSAwLjIgMjk0LjU2IDAuMDggMzE0LjQ0LTAuMDQgMzM0LjMxIDAu&#10;MDQgMzU0LjE4IDAuMDggMzY1Ljk0IDAuMTEgMzc3LjY5IDAuMTkgMzg5LjQ0IDAuNDIgMzg5LjU4&#10;IDAuNDIgMzg5LjcyIDAuNDIgMzg5Ljg2IDAuNDIgMzg5Ljg2IDAuNDIgMzg5Ljg1IDAuNDIgMzg5&#10;Ljg0IDAuNDIgMzg5Ljg0IDAuNDIgMzg5Ljg2IDAuNDIgMzg5Ljg2IDAuNDIgMzg5Ljk3IDAuNDIg&#10;MzkwLjA4IDAuNDIgMzkwLjE5IDAuNDIgMzkwLjMzIDAuNDIgMzkwLjQ2IDAuNDIgMzkwLjU5IDAu&#10;NDIgMzkwLjQ3IDAuNDIgMzkwLjM1IDAuNDIgMzkwLjIzIDAuNDIgMzkwLjQyIDAuNDIgMzkwLjYg&#10;MC40MiAzOTAuNzkgMC40MyAzOTAuNzUgMC40MyAzOTAuNzEgMC40MyAzOTAuNjcgMC40MyAzOTAu&#10;NzcgMC40MyAzOTAuODggMC40MyAzOTAuOTggMC40MyAzOTEuMTMgMC40MyAzOTEuMjcgMC40MyAz&#10;OTEuNDIgMC40NCAzOTEuMzUgMC40NCAzOTEuMjggMC40NCAzOTEuMiAwLjQ0IDQwNC4yNCAwLjcg&#10;NDE3LjI4IDEuMTEgNDMwLjMyIDEuMzdMNDMwLjA5IDEuMzdDNDMwLjc2IDEuMzcgNDMxLjQyIDEu&#10;MzkgNDMyLjA5IDEuNCA0MzEuODQgMS40IDQzMS41OSAxLjQgNDMxLjM0IDEuMzkgNDM3Ljg0IDEu&#10;NTEgNDQ0LjM1IDEuNjYgNDUwLjg2IDEuNjUgNDUzLjc3IDEuNjUgNDU2LjY3IDEuNjEgNDU5LjU4&#10;IDEuNiA0NjAuNzQgMS42IDQ2MS45IDEuNiA0NjMuMDYgMS42MSA0NjMuNzcgMS42MSA0NjQuNDgg&#10;MS42MSA0NjUuMTkgMS42NCA0NjUuNzggMS42NiA0NjYuMzYgMS43MSA0NjYuOTQgMS43OVoiIGZp&#10;bGw9IiMwMTAxMDEiLz48cGF0aCBkPSJNNDY4LjEgMy4yOEM0NjguNTMgMy4zOSA0NjguOTIgMy41&#10;NSA0NjkuMyAzLjcyIDQ3MC4zMSA0LjE3IDQ3MS4yOCA0LjY2IDQ3Mi4yMyA1LjE2IDQ3My44OCA2&#10;LjAzIDQ3NS40OCA2Ljk1IDQ3Ny4wNyA3Ljg4IDQ4MC4yNyA5Ljc0IDQ4My40MSAxMS42OCA0ODYu&#10;NTYgMTMuNiA0ODkuNzIgMTUuNTMgNDkyLjg3IDE3LjQ2IDQ5Ni4wNSAxOS4zNiA0OTkuMjggMjEu&#10;MjggNTAyLjUyIDIzLjE5IDUwNS43OCAyNS4wOSA1MTIuMjQgMjguODUgNTE4LjczIDMyLjU5IDUy&#10;NS4yNyAzNi4yOCA1MzEuOTUgNDAuMDUgNTM4LjU2IDQzLjkgNTQ1LjExIDQ3LjggNTUxLjYyIDUx&#10;LjY4IDU1OC4wMyA1NS42NiA1NjQuNSA1OS41NiA1NzEgNjMuNDggNTc3LjU3IDY3LjMzIDU4NC4w&#10;NyA3MS4yNCA1OTAuNDUgNzUuMDcgNTk2Ljc4IDc4Ljk0IDYwMy4xNSA4Mi43OCA2MDUuNzIgODQu&#10;MzMgNjA4LjI3IDg1Ljg4IDYxMC44NiA4Ny40IDYxMi4wNiA4OC4xMSA2MTMuMjcgODguOCA2MTQu&#10;NDQgODkuNTIgNjE1LjA1IDg5Ljg5IDYxNS42NCA5MC4yOCA2MTYuMjUgOTAuNjYgNjE2LjU1IDkw&#10;Ljg1IDYxNi44NCA5MS4wNCA2MTcuMTQgOTEuMjMgNjE3LjY3IDkxLjU2IDYxOC4xNCA5MS45NSA2&#10;MTguNTggOTIuMzUgNjE5LjQyIDkzLjEyIDYxOS4yOSA5NC4zNCA2MTguNSA5NS4wOCA2MTcuNzIg&#10;OTUuODMgNjE2LjE2IDk2LjIgNjE0Ljk4IDk1Ljc1IDYxNC4zMyA5NS40OSA2MTMuNzIgOTUuMjEg&#10;NjEzLjE0IDk0Ljg3IDYxMi43NSA5NC42NCA2MTIuMzUgOTQuNDEgNjExLjk2IDk0LjE5IDYxMS4y&#10;MSA5My43NiA2MTAuNDggOTMuMzMgNjA5Ljc1IDkyLjg5IDYwOC4yNCA5MS45NyA2MDYuNzYgOTEu&#10;MDMgNjA1LjI1IDkwLjExIDYwMi4xNCA4OC4yMiA1OTkgODYuMzUgNTk1Ljg4IDg0LjQ3IDU4OS40&#10;MiA4MC41NyA1ODIuOTMgNzYuNzEgNTc2LjQyIDcyLjg2IDU2OS44OSA2OC45OSA1NjMuMzIgNjUu&#10;MTcgNTU2Ljg0IDYxLjI2IDU1MC4zNCA1Ny4zMyA1NDMuOTIgNTMuMzMgNTM3LjQgNDkuNDIgNTMx&#10;LjAyIDQ1LjU4IDUyNC41OCA0MS44IDUxOC4xIDM4LjA2IDUxMS41NyAzNC4zIDUwNS4wMSAzMC41&#10;NiA0OTguNTIgMjYuNzYgNDkyLjA2IDIyLjk3IDQ4NS42OSAxOS4wOCA0NzkuNDEgMTUuMTIgNDc2&#10;Ljc1IDEzLjQ0IDQ3NC4xMSAxMS43NSA0NzEuNDcgMTAuMDUgNDcwLjI1IDkuMjYgNDY5LjAzIDgu&#10;NDkgNDY3Ljg0IDcuNjggNDY3LjEgNy4xOCA0NjYuMzUgNi42OCA0NjUuNzIgNi4xIDQ2NS4zMyA1&#10;Ljc1IDQ2NS4wMyA1LjMzIDQ2NC45NSA0Ljg3IDQ2NC45MiA0LjcxIDQ2NC45MyA0LjU1IDQ2NC45&#10;NSA0LjQgNDY1LjA0IDMuODUgNDY1LjU1IDMuNDcgNDY2LjE4IDMuMjMgNDY2LjQ2IDMuMTMgNDY2&#10;Ljc2IDMuMSA0NjcuMDYgMy4xMSA0NjcuNDEgMy4xMiA0NjcuNzYgMy4yIDQ2OC4wOCAzLjI4WiIg&#10;ZmlsbD0iIzAxMDEwMSIvPjxwYXRoIGQ9Ik0xNzEuOSAxODguNDlDMTcyIDE4OC40OSAxNzIuMDkg&#10;MTg4LjQ5IDE3Mi4xOSAxODguNDkgMTcyLjA5IDE4OC40OSAxNzIgMTg4LjQ5IDE3MS45IDE4OC40&#10;OVpNMTcwLjIyIDE4OC40NkMxNzAuMDcgMTg4LjQ2IDE2OS45MiAxODguNDYgMTY5Ljc4IDE4OC40&#10;NiAxNjkuOCAxODguNDYgMTY5LjgzIDE4OC40NiAxNjkuODUgMTg4LjQ2IDE2OS45OCAxODguNDYg&#10;MTcwLjEyIDE4OC40NiAxNzAuMjUgMTg4LjQ2IDE3MC4yNSAxODguNDYgMTcwLjIzIDE4OC40NiAx&#10;NzAuMjIgMTg4LjQ2Wk0xNzEuMzMgMTg4LjQ4QzE3MS4yNCAxODguNDggMTcxLjE1IDE4OC40OCAx&#10;NzEuMDUgMTg4LjQ4IDE3MS4xNCAxODguNDggMTcxLjIzIDE4OC40OCAxNzEuMzMgMTg4LjQ4Wk02&#10;MTkuMTYgOTUuOTJDNjE5LjE2IDk1LjkyIDYxOS4xNiA5NS45NSA2MTkuMTYgOTUuOTYgNjE5LjE2&#10;IDk1Ljk1IDYxOS4xNiA5NS45NCA2MTkuMTYgOTUuOTMgNjE5LjE2IDk1LjkzIDYxOS4xNiA5NS45&#10;MyA2MTkuMTYgOTUuOTJaTTYxNy4zNyA5NC4wOEM2MTcuODcgOTQuMjMgNjE4LjMyIDk0LjQ5IDYx&#10;OC42MyA5NC44IDYxOC44OCA5NS4wNSA2MTkuMDIgOTUuMyA2MTkuMSA5NS41NyA2MTkuNDMgOTYu&#10;MTkgNjE5LjMxIDk3IDYxOC45NiA5Ny41OSA2MTguNjIgOTguMTYgNjE4LjAyIDk4LjU2IDYxNy4z&#10;NyA5OC45NSA2MTcuMDIgOTkuMTYgNjE2LjY3IDk5LjM3IDYxNi4zMSA5OS41OCA2MTUuNTcgMTAw&#10;LjAyIDYxNC44MiAxMDAuNDUgNjE0LjA3IDEwMC44OSA2MTIuMTQgMTAyLjAyIDYxMC4yOSAxMDMu&#10;MjEgNjA4LjQzIDEwNC4zOCA2MDUuNTEgMTA2LjIyIDYwMi41NCAxMDguMDEgNTk5LjUyIDEwOS43&#10;NiA1OTUuMzYgMTEyLjE4IDU5MS4xOCAxMTQuNTggNTg3LjA1IDExNy4wMyA1NzguNTQgMTIyLjA3&#10;IDU3MC4zOCAxMjcuNDIgNTYyLjM5IDEzMi44OSA1NTcuOTUgMTM1Ljk0IDU1My41MiAxMzguOTkg&#10;NTQ4Ljk3IDE0MS45NSA1NDQuNCAxNDQuOTIgNTM5Ljc2IDE0Ny44NSA1MzUuMDggMTUwLjczIDUz&#10;MC41OSAxNTMuNSA1MjYuMDggMTU2LjI0IDUyMS41NCAxNTguOTcgNTE3LjkgMTYxLjE3IDUxNC4y&#10;NyAxNjMuMzggNTEwLjYyIDE2NS41NyA1MDMuMDQgMTcwLjEgNDk1LjUxIDE3NC42OSA0ODcuODEg&#10;MTc5LjExIDQ4My43IDE4MS40OCA0NzkuNTggMTgzLjg0IDQ3NS4yNiAxODYgNDcyLjk5IDE4Ny4x&#10;NCA0NzAuNiAxODguMTcgNDY4LjE3IDE4OS4xMyA0NjYuODIgMTg5LjY2IDQ2NS40MSAxOTAuMTUg&#10;NDYzLjk4IDE5MC41NiA0NjEuNzkgMTkxLjE3IDQ1OS40OCAxOTEuNDMgNDU3LjE2IDE5MS41NiA0&#10;NTQuNTMgMTkxLjcxIDQ1MS45IDE5MS43NyA0NDkuMjYgMTkxLjg1IDQ0NC41NyAxOTIgNDM5Ljg4&#10;IDE5Mi4wNCA0MzUuMTkgMTkyLjEyIDQyOS42OCAxOTIuMiA0MjQuMTggMTkyLjM0IDQxOC42NyAx&#10;OTIuNSA0MDYuODIgMTkyLjg0IDM5NC45OCAxOTMuMjEgMzgzLjExIDE5My4zMyAzNzAuODggMTkz&#10;LjQ2IDM1OC42NCAxOTMuNTcgMzQ2LjQgMTkzLjQ1IDMzNC4xMyAxOTMuMzMgMzIxLjg3IDE5My4w&#10;NyAzMDkuNjEgMTkyLjc3IDI5Ny4yNyAxOTIuNDYgMjg0LjkzIDE5Mi4xOCAyNzIuNiAxOTEuNzkg&#10;MjYwLjU3IDE5MS40MSAyNDguNTUgMTkwLjkzIDIzNi41MyAxOTAuNDUgMjI1Ljc2IDE5MC4wMiAy&#10;MTQuOTcgMTg5LjcyIDIwNC4xOSAxODkuMzggMTkzLjUyIDE4OS4wNCAxODIuODYgMTg4LjczIDE3&#10;Mi4xOSAxODguNTEgMTcyLjMzIDE4OC41MSAxNzIuNDcgMTg4LjUxIDE3Mi42IDE4OC41MSAxNzIu&#10;MjUgMTg4LjUxIDE3MS45IDE4OC41IDE3MS41NSAxODguNDkgMTcxLjI5IDE4OC40OSAxNzEuMDMg&#10;MTg4LjQ5IDE3MC43NyAxODguNDggMTcwLjg0IDE4OC40OCAxNzAuOTIgMTg4LjQ4IDE3MC45OSAx&#10;ODguNDggMTcwLjkgMTg4LjQ4IDE3MC44IDE4OC40OCAxNzAuNzEgMTg4LjQ4IDE3MC40OCAxODgu&#10;NDggMTcwLjI1IDE4OC40OCAxNzAuMDMgMTg4LjQ3IDE3MC4xIDE4OC40NyAxNzAuMTYgMTg4LjQ3&#10;IDE3MC4yMyAxODguNDcgMTcwLjI1IDE4OC40NyAxNzAuMjYgMTg4LjQ3IDE3MC4yOCAxODguNDcg&#10;MTcwLjI4IDE4OC40NyAxNzAuMjcgMTg4LjQ3IDE3MC4yNiAxODguNDcgMTcwLjI4IDE4OC40NyAx&#10;NzAuMjkgMTg4LjQ3IDE3MC4zMSAxODguNDcgMTcwLjM4IDE4OC40NyAxNzAuNDQgMTg4LjQ3IDE3&#10;MC41MSAxODguNDcgMTcwLjI5IDE4OC40NyAxNzAuMDggMTg4LjQ3IDE2OS44NiAxODguNDZMMTY5&#10;LjU0IDE4OC40NkMxNjkuNjIgMTg4LjQ2IDE2OS43MSAxODguNDYgMTY5Ljc5IDE4OC40NiAxNTcu&#10;ODYgMTg4LjIzIDE0NS45MiAxODguMDkgMTMzLjk4IDE4OC4wMyAxMjEuNzcgMTg3Ljk3IDEwOS41&#10;NiAxODguMDggOTcuMzUgMTg4LjQ2IDg1LjExIDE4OC44NSA3Mi44OSAxODkuNTQgNjAuNjUgMTg5&#10;LjgxIDU0LjcyIDE4OS45NCA0OC43OCAxOTAgNDIuODUgMTkwLjEzIDM3LjE1IDE5MC4yNSAzMS40&#10;MyAxOTAuMzIgMjUuNzMgMTkwLjUxIDIyLjYyIDE5MC42MSAxOS41MSAxOTAuNzggMTYuMzkgMTkw&#10;LjkxIDE1LjMgMTkwLjk2IDE0LjIgMTkwLjk5IDEzLjExIDE5MC45NCAxMS45OCAxOTAuODggMTAu&#10;NzUgMTkwLjMyIDEwLjkxIDE4OS4zOCAxMS4wNCAxODguNjcgMTEuODggMTg4LjI0IDEyLjY4IDE4&#10;Ny45NCAxMy40OSAxODcuNjUgMTQuMzQgMTg3LjQ0IDE1LjIxIDE4Ny4yOCAxNy45MSAxODYuNzYg&#10;MjAuNjkgMTg2LjQ1IDIzLjQ2IDE4Ni4yMSAyOS4xNiAxODUuNzEgMzQuODggMTg1LjUxIDQwLjYx&#10;IDE4NS4zNCA1Mi40NiAxODUgNjQuMyAxODQuNiA3Ni4xMiAxODMuOTEgODguNjEgMTgzLjE4IDEw&#10;MS4wOSAxODIuNSAxMTMuNjIgMTgyLjM0IDEyNS43NiAxODIuMTggMTM3LjkgMTgyLjM0IDE1MC4w&#10;NCAxODIuNTUgMTU2LjI1IDE4Mi42NiAxNjIuNDUgMTgyLjggMTY4LjY2IDE4Mi45NSAxNzQuNjgg&#10;MTgzLjA5IDE4MC43IDE4My4yMSAxODYuNzIgMTgzLjM3IDE5Mi45MyAxODMuNTMgMTk5LjE1IDE4&#10;My43NCAyMDUuMzYgMTgzLjk0IDIxMS4zNyAxODQuMTMgMjE3LjM4IDE4NC4yOSAyMjMuMzkgMTg0&#10;LjQ3IDIzNS41NCAxODQuODMgMjQ3LjY4IDE4NS4zMyAyNTkuODIgMTg1Ljc0IDI3Mi4xIDE4Ni4x&#10;NiAyODQuMzggMTg2LjQ3IDI5Ni42NyAxODYuNzUgMzA3LjA5IDE4Ni45OCAzMTcuNTEgMTg3LjIy&#10;IDMyNy45MiAxODcuNDMgMzI3LjU4IDE4Ny40MyAzMjcuMjUgMTg3LjQyIDMyNi45MSAxODcuNDEg&#10;MzI4IDE4Ny40MyAzMjkuMSAxODcuNDUgMzMwLjE5IDE4Ny40NyAzMjkuODUgMTg3LjQ3IDMyOS41&#10;MSAxODcuNDYgMzI5LjE3IDE4Ny40NSAzMzUuMTkgMTg3LjU3IDM0MS4yMiAxODcuNjcgMzQ3LjI0&#10;IDE4Ny42OSAzNTMuMzcgMTg3LjcxIDM1OS40OSAxODcuNjcgMzY1LjYxIDE4Ny42MiAzNzcuNTYg&#10;MTg3LjUzIDM4OS41MSAxODcuNDkgNDAxLjQ1IDE4Ny4yNiA0MDcuNTEgMTg3LjE0IDQxMy41NyAx&#10;ODYuOTUgNDE5LjYyIDE4Ni44NCA0MjUuMTQgMTg2Ljc0IDQzMC42NiAxODYuNyA0MzYuMTggMTg2&#10;LjU3IDQzOC43OCAxODYuNSA0NDEuMzcgMTg2LjQyIDQ0My45NyAxODYuMzUgNDQ1Ljc5IDE4Ni4z&#10;IDQ0Ny42MSAxODYuMjYgNDQ5LjQzIDE4Ni4xOCA0NTEuOTQgMTg2LjA3IDQ1NC40NSAxODUuODgg&#10;NDU2Ljk0IDE4NS42NCA0NTguMjcgMTg1LjUxIDQ1OS42MyAxODUuNDEgNDYwLjk1IDE4NS4yMiA0&#10;NjEuNzQgMTg1LjA3IDQ2Mi41MiAxODQuODggNDYzLjI5IDE4NC42NyA0NjQuNDUgMTg0LjM2IDQ2&#10;NS41NCAxODMuOTUgNDY2LjYzIDE4My41MiA0NzEuMDMgMTgxLjczIDQ3NS4wOCAxNzkuNTcgNDc5&#10;LjA2IDE3Ny4zMiA0ODMuMDMgMTc1LjA4IDQ4Ni45NSAxNzIuNzkgNDkwLjgzIDE3MC40NiA0OTgu&#10;MiAxNjYuMDMgNTA1LjUgMTYxLjUyIDUxMi43NSAxNTYuOTggNTIxLjU0IDE1MS40OCA1MzAuMzQg&#10;MTQ1Ljk5IDUzOS4wNyAxNDAuNDMgNTQ4LjMgMTM0LjU1IDU1Ny4xNiAxMjguMzggNTY2LjI0IDEy&#10;Mi4zOCA1NzMuODggMTE3LjMzIDU4MS44IDExMi41MiA1ODkuODYgMTA3LjgzIDU5My41OSAxMDUu&#10;NjYgNTk3LjMgMTAzLjQ4IDYwMS4wNyAxMDEuMzYgNjAzLjMyIDEwMC4wOSA2MDUuNiA5OC44NSA2&#10;MDcuODIgOTcuNTQgNjA4LjkyIDk2Ljg5IDYxMCA5Ni4yNCA2MTEuMDkgOTUuNTkgNjExLjU3IDk1&#10;LjMxIDYxMi4wNSA5NS4wMyA2MTIuNTMgOTQuNzUgNjEyLjc0IDk0LjYzIDYxMi45NiA5NC41IDYx&#10;My4xNyA5NC4zOCA2MTMuODkgOTMuOTUgNjE0Ljg3IDkzLjc1IDYxNS44MiA5My43OSA2MTYuMzcg&#10;OTMuODEgNjE2LjkgOTMuOTEgNjE3LjM4IDk0LjFaIiBmaWxsPSIjMDEwMTAxIi8+PHBhdGggZD0i&#10;TTkuNTIgMTg0LjQ5IDkuNTQgMTg0LjU2QzkuNTQgMTg0LjU2IDkuNTQgMTg0LjU2IDkuNTQgMTg0&#10;LjU2IDkuNTggMTg0LjcyIDkuNjEgMTg0Ljg3IDkuNjUgMTg1LjAzIDkuNjEgMTg0Ljg1IDkuNTcg&#10;MTg0LjY4IDkuNTMgMTg0LjVaTTMuMTMgMS43MUMzLjQ2IDEuOTcgMy42MiAyLjI2IDMuNzEgMi42&#10;MSAzLjgzIDMuMDkgMy45MiAzLjU3IDMuOTkgNC4wNiA0LjE0IDQuOTYgNC4yNSA1Ljg2IDQuMzcg&#10;Ni43NiA0LjYxIDguNiA0Ljg3IDEwLjQ0IDUuMSAxMi4yOSA1LjU3IDE2IDUuODkgMTkuNzEgNi4x&#10;OCAyMy40MyA2LjQ4IDI3LjI3IDYuODQgMzEuMTEgNy4xNCAzNC45NSA3LjQ0IDM4Ljg2IDcuNjQg&#10;NDIuNzcgNy44IDQ2LjY4IDcuOTUgNTAuNTYgNy45OSA1NC40MyA4LjA3IDU4LjMxIDguMTUgNjIu&#10;MjcgOC4zMiA2Ni4yMiA4LjU2IDcwLjE3IDguNzkgNzMuOTkgOS4wNyA3Ny44MiA5LjM1IDgxLjY1&#10;IDkuNjMgODUuNjEgOS44NyA4OS41NyAxMC4wNiA5My41NCAxMC4yNCA5Ny4zNiAxMC40MSAxMDEu&#10;MTcgMTAuNTQgMTA0Ljk5IDEwLjY3IDEwOC44NCAxMC43NiAxMTIuNjggMTAuOTEgMTE2LjUzIDEx&#10;LjA2IDEyMC41OSAxMS4yMSAxMjQuNjUgMTEuMzQgMTI4LjcxIDExLjQ3IDEzMi41OSAxMS42NSAx&#10;MzYuNDggMTEuOCAxNDAuMzYgMTIuMDcgMTQ3Ljg5IDEyLjA4IDE1NS40MSAxMi40NCAxNjIuOTMg&#10;MTIuNTMgMTY0LjgyIDEyLjYyIDE2Ni43MSAxMi43NCAxNjguNiAxMi44NCAxNzAuMzQgMTIuOTkg&#10;MTcyLjA4IDEzLjE0IDE3My44MSAxMy4zNyAxNzYuNjYgMTMuNTMgMTc5LjUzIDE0LjEgMTgyLjM2&#10;IDE0LjIxIDE4Mi45MSAxNC4zMiAxODMuNDYgMTQuNDMgMTg0IDE0LjQ5IDE4NC4yMSAxNC41NiAx&#10;ODQuNDMgMTQuNTYgMTg0LjY0IDE0LjU4IDE4NC45NSAxNC40OCAxODUuMjUgMTQuMjggMTg1LjU0&#10;IDE0LjE2IDE4NS42NyAxNC4wNCAxODUuOCAxMy45MSAxODUuOTMgMTMuNiAxODYuMTggMTMuMjMg&#10;MTg2LjM1IDEyLjggMTg2LjQ1IDEyLjYgMTg2LjUxIDEyLjM4IDE4Ni41MyAxMi4xNyAxODYuNTMg&#10;MTEuNzQgMTg2LjUzIDExLjMzIDE4Ni40NyAxMC45NCAxODYuMzMgMTAuMzMgMTg2LjEgOS45NCAx&#10;ODUuNzEgOS43MSAxODUuMjUgOS42MiAxODUuMDggOS42IDE4NC44OSA5LjU3IDE4NC43IDkuNDgg&#10;MTg0LjM1IDkuMzkgMTg0LjAxIDkuMzMgMTgzLjY2IDkuMjcgMTgzLjI3IDkuMjEgMTgyLjg5IDku&#10;MTYgMTgyLjUgOS4wMSAxODEuMzMgOC44NiAxODAuMTUgOC42OSAxNzguOTggOC4yIDE3NS41OCA4&#10;LjEyIDE3Mi4xNSA3LjgzIDE2OC43NCA3LjY4IDE2Ni44NSA3LjUgMTY0Ljk2IDcuMzcgMTYzLjA4&#10;IDcuMjUgMTYxLjI0IDcuMTggMTU5LjQgNy4xMSAxNTcuNTYgNi45NyAxNTMuNzQgNi45OSAxNDku&#10;OTEgNi45NCAxNDYuMDggNi44OSAxNDIuMjQgNi43MiAxMzguNDEgNi41NyAxMzQuNTcgNi40MSAx&#10;MzAuNjYgNi4yOSAxMjYuNzUgNi4xNCAxMjIuODQgNS45OCAxMTguODkgNS43OSAxMTQuOTQgNS42&#10;NyAxMTAuOTggNS41NSAxMDcuMTQgNS40NSAxMDMuMyA1LjI2IDk5LjQ2IDUuMDcgOTUuNTMgNC44&#10;OSA5MS42MSA0LjYgODcuNjggNC4zMiA4My44MSAzLjk0IDc5Ljk1IDMuNTkgNzYuMDggMy4yMyA3&#10;Mi4xIDIuOTEgNjguMTEgMi43IDY0LjEyIDIuNDggNjAuMTkgMi40IDU2LjI3IDIuMzEgNTIuMzQg&#10;Mi4xMiA0NC42NiAxLjcgMzYuOTggMS4yNCAyOS4zMSAxLjAxIDI1LjUyIDAuODMgMjEuNzIgMC42&#10;OCAxNy45MyAwLjYxIDE2LjEgMC41NCAxNC4yOCAwLjQ5IDEyLjQ1IDAuNDQgMTAuNiAwLjM5IDgu&#10;NzUgMC40NyA2LjkgMC41MSA1Ljk5IDAuNTYgNS4wOSAwLjY1IDQuMTkgMC43IDMuNzMgMC43NiAz&#10;LjI3IDAuODQgMi44MSAwLjkxIDIuNDYgMS4wNCAyLjA5IDEuMzcgMS44MSAxLjYyIDEuNjEgMi4w&#10;MiAxLjQ5IDIuNDEgMS41MSAyLjY5IDEuNTIgMi45NSAxLjYgMy4xNCAxLjc1WiIgZmlsbD0iIzAx&#10;MDEwMSIvPjxwYXRoIGQ9Ik01MzcuNTMgMTcyLjI0QzUzNy41MyAxNzIuMjQgNTM3LjUzIDE3Mi4y&#10;NCA1MzcuNTMgMTcyLjI0IDUzNy41MyAxNzIuMjQgNTM3LjUyIDE3Mi4yNCA1MzcuNTEgMTcyLjI1&#10;IDUzNy41MSAxNzIuMjUgNTM3LjUxIDE3Mi4yNSA1MzcuNTEgMTcyLjI1IDUzNy41MSAxNzIuMjUg&#10;NTM3LjUzIDE3Mi4yNCA1MzcuNTMgMTcyLjIzWk01ODAuMjMgMTM2LjAyQzU4MC4xMSAxMzYuMDkg&#10;NTc5Ljk5IDEzNi4xNyA1NzkuODcgMTM2LjI1IDU3OS45OSAxMzYuMTcgNTgwLjEgMTM2LjEgNTgw&#10;LjIzIDEzNi4wMlpNNjI3LjU1IDExMC40OUM2MjcuNTEgMTEwLjc5IDYyNy40NiAxMTEuMDkgNjI3&#10;LjQyIDExMS40IDYyNC4xNiAxMTMuNzggNjIwLjc5IDExNi4wOSA2MTcuNCAxMTguMzggNjEzLjkg&#10;MTIwLjc1IDYxMC4zNCAxMjMuMDcgNjA2LjgzIDEyNS40MyA2MDMuMjEgMTI3Ljg2IDU5OS41OCAx&#10;MzAuMjkgNTk1Ljk0IDEzMi43MSA1OTAuMDUgMTM2LjYyIDU4NC4xNyAxNDAuNTMgNTc4LjE3IDE0&#10;NC4zNSA1NzguNCAxNDQuMiA1NzguNjQgMTQ0LjA1IDU3OC44NyAxNDMuOSA1NzUuODMgMTQ1Ljg0&#10;IDU3Mi43NCAxNDcuNzUgNTY5LjY3IDE0OS42OCA1NjkuOSAxNDkuNTQgNTcwLjEyIDE0OS4zOSA1&#10;NzAuMzQgMTQ5LjI1IDU3MC4wMyAxNDkuNDUgNTY5LjczIDE0OS42NCA1NjkuNDIgMTQ5Ljg0IDU2&#10;OS40MyAxNDkuODQgNTY5LjQ0IDE0OS44MyA1NjkuNDUgMTQ5LjgyIDU2Mi4wNSAxNTQuNTQgNTU1&#10;LjM1IDE1OS43OCA1NDguNDUgMTY0Ljg4IDU0NS4xNyAxNjcuMzEgNTQxLjcgMTY5LjU5IDUzOC4x&#10;OSAxNzEuODMgNTM4LjI2IDE3MS43OSA1MzguMzIgMTcxLjc1IDUzOC4zOCAxNzEuNzEgNTM4LjIg&#10;MTcxLjgyIDUzOC4wMSAxNzEuOTQgNTM3LjgzIDE3Mi4wNiA1MzcuODMgMTcyLjA2IDUzNy44MyAx&#10;NzIuMDYgNTM3LjgzIDE3Mi4wNiA1MzcuODMgMTcyLjA2IDUzNy44MiAxNzIuMDYgNTM3LjgxIDE3&#10;Mi4wNyA1MzcuODEgMTcyLjA3IDUzNy43OSAxNzIuMDggNTM3Ljc4IDE3Mi4wOSA1MzcuNzggMTcy&#10;LjA5IDUzNy43OCAxNzIuMDkgNTM3Ljc4IDE3Mi4wOSA1MzcuNzcgMTcyLjA5IDUzNy43NiAxNzIu&#10;MSA1MzcuNzUgMTcyLjExIDUzNy43MyAxNzIuMTMgNTM3LjcgMTcyLjE0IDUzNy42OCAxNzIuMTYg&#10;NTM3LjY2IDE3Mi4xOCA1MzcuNjMgMTcyLjE5IDUzNy42MSAxNzIuMjEgNTM3LjYzIDE3Mi4yIDUz&#10;Ny42NSAxNzIuMTggNTM3LjY4IDE3Mi4xNyA1MzcuNjUgMTcyLjE5IDUzNy42MSAxNzIuMjEgNTM3&#10;LjU4IDE3Mi4yMyA1MzcuNTggMTcyLjIzIDUzNy41OSAxNzIuMjMgNTM3LjYgMTcyLjIyIDUzNy40&#10;NSAxNzIuMzEgNTM3LjMxIDE3Mi40MSA1MzcuMTYgMTcyLjUgNTM3LjI3IDE3Mi40MyA1MzcuMzcg&#10;MTcyLjM2IDUzNy40OCAxNzIuMjkgNTM3LjQ4IDE3Mi4yOSA1MzcuNDggMTcyLjI5IDUzNy40OCAx&#10;NzIuMjkgNTM3LjQ4IDE3Mi4yOSA1MzcuNDggMTcyLjI5IDUzNy40OCAxNzIuMjlMNTM3LjUgMTcy&#10;LjI5QzUzNy41IDE3Mi4yOSA1MzcuNSAxNzIuMjkgNTM3LjUgMTcyLjI5IDUzNy41IDE3Mi4yOSA1&#10;MzcuNSAxNzIuMjkgNTM3LjQ5IDE3Mi4yOSA1MzcuNDkgMTcyLjI5IDUzNy40OSAxNzIuMjkgNTM3&#10;LjQ5IDE3Mi4yOSA1MzcuNDkgMTcyLjI5IDUzNy40OSAxNzIuMjkgNTM3LjQ5IDE3Mi4yOSA1Mjku&#10;ODggMTc3LjE2IDUyMi4wOSAxODEuODYgNTE0LjE3IDE4Ni40NiA1MTAuMzQgMTg4LjY4IDUwNi40&#10;NiAxOTAuODUgNTAyLjU4IDE5My4wMyA0OTguODQgMTk1LjE0IDQ5NS4wNSAxOTcuMjEgNDkxLjI0&#10;IDE5OS4yNiA0ODguNTkgMjAwLjY5IDQ4NS45MiAyMDIuMSA0ODMuMjggMjAzLjU1IDQ4Mi4wMSAy&#10;MDQuMjUgNDgwLjc0IDIwNC45NiA0NzkuNDggMjA1LjY2IDQ3OC45MyAyMDUuOTcgNDc4LjM3IDIw&#10;Ni4yOCA0NzcuODIgMjA2LjU5IDQ3Ni45NSAyMDcuMDggNDc2LjEzIDIwNy42MiA0NzUuMDYgMjA3&#10;Ljg1IDQ3My43NCAyMDguMTMgNDcyLjM2IDIwNy45OCA0NzEuMzEgMjA3LjMgNDcwLjA5IDIwNi41&#10;MSA0NjkuNTggMjA1LjAzIDQ3MC40NCAyMDMuOTYgNDcwLjY4IDIwMy42NiA0NzAuOSAyMDMuMzUg&#10;NDcxLjI1IDIwMy4xMSA0NzEuNTcgMjAyLjkgNDcxLjkgMjAyLjY4IDQ3Mi4yNCAyMDIuNDggNDcy&#10;LjQ1IDIwMi4zNiA0NzIuNjYgMjAyLjI0IDQ3Mi44NiAyMDIuMTMgNDczLjIzIDIwMS45MiA0NzMu&#10;NiAyMDEuNzEgNDczLjk4IDIwMS41IDQ3NC44MSAyMDEuMDQgNDc1LjY0IDIwMC41OCA0NzYuNDcg&#10;MjAwLjEzIDQ3OC4zMSAxOTkuMTIgNDgwLjE1IDE5OC4xMiA0ODEuOTkgMTk3LjExIDQ4NS43OSAx&#10;OTUuMDMgNDg5LjYyIDE5Mi45NyA0OTMuNDggMTkwLjk0IDQ5Ny40MiAxODguODYgNTAxLjI5IDE4&#10;Ni43MyA1MDUuMTYgMTg0LjU4IDUwOC45OSAxODIuNDUgNTEyLjg0IDE4MC4zNSA1MTYuNjcgMTc4&#10;LjIyIDUxOS44NCAxNzYuNDYgNTIyLjk0IDE3NC42NCA1MjYuMDIgMTcyLjggNTI4Ljg2IDE3MS4x&#10;MSA1MzEuNjkgMTY5LjQxIDUzNC40NiAxNjcuNjcgNTM4LjAzIDE2NS4zOCA1NDEuNDggMTYyLjk4&#10;IDU0NC44NiAxNjAuNTQgNTQ4LjM0IDE1OC4wMyA1NTEuNzMgMTU1LjQ1IDU1NS4yIDE1Mi45NCA1&#10;NTguMTggMTUwLjc3IDU2MS4xNyAxNDguNjEgNTY0LjIzIDE0Ni41IDU2Ny40MyAxNDQuMjggNTcw&#10;LjcgMTQyLjEyIDU3NC4wMSAxNDBMNTc0LjAxIDE0MEM1NzQuMDEgMTQwIDU3NC4wMSAxNDAgNTc0&#10;LjAxIDE0MCA1NzQuMDggMTM5Ljk2IDU3NC4xNSAxMzkuOTEgNTc0LjIxIDEzOS44NyA1NzQuMjEg&#10;MTM5Ljg3IDU3NC4xOSAxMzkuODggNTc0LjE4IDEzOS44OSA1NzQuMjIgMTM5Ljg2IDU3NC4yNyAx&#10;MzkuODMgNTc0LjMxIDEzOS44MSA1NzQuMjkgMTM5LjgyIDU3NC4yNyAxMzkuODQgNTc0LjI1IDEz&#10;OS44NSA1NzQuMyAxMzkuODEgNTc0LjM2IDEzOS43OCA1NzQuNDEgMTM5Ljc0IDU3NC41NSAxMzku&#10;NjUgNTc0LjcgMTM5LjU2IDU3NC44NCAxMzkuNDcgNTc0LjgyIDEzOS40OCA1NzQuOCAxMzkuNDkg&#10;NTc0Ljc5IDEzOS41IDU3Ni4xNiAxMzguNjMgNTc3LjU0IDEzNy43NiA1NzguOTEgMTM2Ljg5IDU3&#10;OC45NCAxMzYuODcgNTc4Ljk2IDEzNi44NiA1NzguOTkgMTM2Ljg0IDU3OC45NiAxMzYuODYgNTc4&#10;Ljk0IDEzNi44NyA1NzguOTEgMTM2Ljg5IDU3OS4wNSAxMzYuOCA1NzkuMiAxMzYuNzEgNTc5LjM0&#10;IDEzNi42MiA1NzkuNDEgMTM2LjU4IDU3OS40NyAxMzYuNTMgNTc5LjU0IDEzNi40OUw1NzkuNTMg&#10;MTM2LjQ5QzU4My4zIDEzNC4wOCA1ODcgMTMxLjYxIDU5MC42OSAxMjkuMTMgNTk0LjI3IDEyNi43&#10;MyA1OTcuOCAxMjQuMjggNjAxLjM4IDEyMS44NyA2MDQuOTggMTE5LjQ1IDYwOC42MiAxMTcuMDYg&#10;NjEyLjMxIDExNC43IDYxMi41NCAxMTQuNTUgNjEyLjc3IDExNC40MSA2MTMgMTE0LjI2IDYxNy41&#10;NCAxMTEuMzYgNjIyLjMxIDEwOC42NiA2MjYuODggMTA1Ljc4IDYyNi45MiAxMDUuNzYgNjI2Ljk1&#10;IDEwNS43MyA2MjYuOTkgMTA1LjcxIDYyNi45OSAxMDUuNzEgNjI2Ljk4IDEwNS43MSA2MjYuOTcg&#10;MTA1LjcyIDYyNi45NyAxMDUuNzIgNjI2Ljk4IDEwNS43MiA2MjYuOTkgMTA1LjcxIDYyNy4zNSAx&#10;MDUuNDggNjI3LjcgMTA1LjI1IDYyOC4wNiAxMDUuMDIgNjI3LjkyIDEwNi44NSA2MjcuOCAxMDgu&#10;NjkgNjI3LjU1IDExMC41MVoiIGZpbGw9IiMwMTAxMDEiLz48cGF0aCBkPSJNNDc0LjE4IDIwNS40&#10;NUM0NzQuOTggMjA1Ljk1IDQ3NS40OCAyMDYuNjcgNDc1LjU3IDIwNy40MyA0NzUuNjcgMjA4LjIy&#10;IDQ3NS4zMiAyMDkuMDIgNDc0LjYxIDIwOS42MiA0NzQuMzUgMjA5Ljc5IDQ3NC4xIDIwOS45NiA0&#10;NzMuODQgMjEwLjEzIDQ3My4yNSAyMTAuNDMgNDcyLjYgMjEwLjYgNDcxLjkgMjEwLjY0IDQ3MS4z&#10;NyAyMTAuNzIgNDcwLjggMjEwLjcyIDQ3MC4yNiAyMTAuNzQgNDY5LjY1IDIxMC43NyA0NjkuMDMg&#10;MjEwLjc5IDQ2OC40MiAyMTAuODIgNDY3IDIxMC44NyA0NjUuNTggMjEwLjkgNDY0LjE2IDIxMC45&#10;MyA0NjAuMjMgMjExLjAyIDQ1Ni4zIDIxMS4wNCA0NTIuMzcgMjExLjA2IDQ0My44NSAyMTEuMDkg&#10;NDM1LjMzIDIxMS4xMyA0MjYuOCAyMTEuMDcgNDEzLjIzIDIxMC45OCAzOTkuNjkgMjEwLjM5IDM4&#10;Ni4xNSAyMDkuNzkgMzgxLjM0IDIwOS41OCAzNzYuNTMgMjA5LjM3IDM3MS43MiAyMDkuMTggMzY5&#10;Ljk4IDIwOS4xMSAzNjguMjUgMjA5LjA1IDM2Ni41MSAyMDguOTkgMzQ4LjY0IDIwOC40IDMzMC43&#10;NSAyMDguMTcgMzEyLjg4IDIwNy42MSAzMDAuMDQgMjA3LjIxIDI4Ny4yMSAyMDYuNiAyNzQuMzgg&#10;MjA2LjE1IDI3NC43NyAyMDYuMTYgMjc1LjE2IDIwNi4xOCAyNzUuNTUgMjA2LjE5IDI2Ni4xMyAy&#10;MDUuODcgMjU2LjcxIDIwNS41OCAyNDcuMjggMjA1LjQgMjM4LjMzIDIwNS4yMyAyMjkuMzcgMjA1&#10;LjE1IDIyMC40MSAyMDUuMDUgMjExLjQ5IDIwNC45NiAyMDIuNTcgMjA0LjkgMTkzLjY2IDIwNS4w&#10;NiAxODQuNCAyMDUuMjMgMTc1LjE0IDIwNS41NSAxNjUuODggMjA1Ljg5IDE1Ni42OSAyMDYuMjMg&#10;MTQ3LjUxIDIwNi42MyAxMzguMzEgMjA2Ljg3IDEyOS4zNSAyMDcuMSAxMjAuMzkgMjA3LjIyIDEx&#10;MS40MyAyMDcuMzQgMTAyLjA5IDIwNy40NyA5Mi43NSAyMDcuNTMgODMuNCAyMDcuNjYgNzguOCAy&#10;MDcuNzIgNzQuMiAyMDcuNzkgNjkuNiAyMDcuODQgNjUuMDYgMjA3Ljg5IDYwLjUyIDIwNy44OCA1&#10;NS45OCAyMDcuOSA0OC44OSAyMDcuOTMgNDEuOCAyMDguMDUgMzQuNzIgMjA4LjAxIDMxLjI2IDIw&#10;Ny45OSAyNy43OCAyMDcuOTcgMjQuMzUgMjA3LjYyIDIzLjIxIDIwNy41IDIyLjA1IDIwNy4zMyAy&#10;MC45OCAyMDcuMDEgMjAuMzcgMjA2LjgyIDE5Ljg1IDIwNi41NiAxOS40MyAyMDYuMTkgMTguNzMg&#10;MjA1LjU3IDE4Ljc0IDIwNC40NCAxOS43OCAyMDMuOTkgMjAuNzMgMjAzLjU4IDIxLjg1IDIwMy43&#10;MSAyMi45IDIwMy43MSAyNC43MSAyMDMuNzIgMjYuNTIgMjAzLjY5IDI4LjM0IDIwMy42NSAzMC4z&#10;OSAyMDMuNiAzMi40NSAyMDMuNSAzNC41IDIwMy40MSAzNi42OSAyMDMuMzIgMzguOSAyMDMuMjMg&#10;NDEuMDkgMjAzLjE1IDQ5Ljk4IDIwMi44MiA1OC44NyAyMDIuNDcgNjcuNzYgMjAyLjI0IDg2LjA2&#10;IDIwMS43NSAxMDQuMzYgMjAxLjQxIDEyMi42NyAyMDEgMTI3LjI2IDIwMC45IDEzMS44NSAyMDAu&#10;NzkgMTM2LjQ0IDIwMC42NiAxNDAuOTEgMjAwLjUzIDE0NS4zNyAyMDAuMzMgMTQ5Ljg0IDIwMC4x&#10;NSAxNTkuMjMgMTk5Ljc2IDE2OC42MyAxOTkuMzEgMTc4LjAzIDE5OS4wMiAxODcuMDMgMTk4Ljc0&#10;IDE5Ni4wNCAxOTguNTQgMjA1LjA1IDE5OC41NyAyMTMuOTggMTk4LjYgMjIyLjkxIDE5OC43MyAy&#10;MzEuODMgMTk4Ljg0IDI1MC44MiAxOTkuMDYgMjY5LjggMTk5LjY2IDI4OC43NyAyMDAuMzcgMjk0&#10;LjAxIDIwMC41NyAyOTkuMjQgMjAwLjc2IDMwNC40OCAyMDAuOTQgMzA0LjE5IDIwMC45MyAzMDMu&#10;OSAyMDAuOTIgMzAzLjYxIDIwMC45MSAzMDQuNCAyMDAuOTQgMzA1LjE5IDIwMC45NiAzMDUuOTgg&#10;MjAwLjk5IDMyMy45NyAyMDEuNTkgMzQxLjk4IDIwMS44MSAzNTkuOTggMjAyLjM0IDM2OC4wOSAy&#10;MDIuNTggMzc2LjIgMjAyLjg5IDM4NC4zMSAyMDMuMjUgMzkxLjgzIDIwMy41OCAzOTkuMzUgMjAz&#10;Ljk0IDQwNi44NyAyMDQuMjEgNDE1LjMzIDIwNC40OSA0MjMuOCAyMDQuNjcgNDMyLjI3IDIwNC43&#10;OSA0NDAuODEgMjA0LjkyIDQ0OS4zNiAyMDUuMDcgNDU3LjkxIDIwNSA0NjAuNTMgMjA0Ljk4IDQ2&#10;My4xNiAyMDQuOTYgNDY1Ljc4IDIwNC45MSA0NjYuNzYgMjA0Ljg5IDQ2Ny43MyAyMDQuODYgNDY4&#10;LjcgMjA0LjgzIDQ2OS4xMSAyMDQuODIgNDY5LjUxIDIwNC44MSA0NjkuOTIgMjA0Ljc5IDQ3MC4x&#10;MyAyMDQuNzkgNDcwLjM0IDIwNC43NyA0NzAuNTUgMjA0Ljc2IDQ3MS4wMSAyMDQuNzMgNDcxLjQ2&#10;IDIwNC43NiA0NzEuOTIgMjA0Ljc3IDQ3Mi4wMyAyMDQuNzcgNDcyLjE0IDIwNC43NyA0NzIuMjUg&#10;MjA0Ljc4IDQ3Mi45NyAyMDQuODggNDczLjYgMjA1LjEgNDc0LjE2IDIwNS40NVoiIGZpbGw9IiMw&#10;MTAxMDEiLz48cGF0aCBkPSJNNDY0LjU0IDE4NS43NEM0NjUuMjIgMTg2LjQ5IDQ2NS43MSAxODcu&#10;MzMgNDY2LjE5IDE4OC4xNSA0NjYuOTcgMTg5LjQ2IDQ2Ny42OCAxOTAuOCA0NjguMzUgMTkyLjE1&#10;IDQ2OS42NSAxOTQuNzcgNDcwLjkzIDE5Ny40IDQ3Mi4xNyAyMDAuMDMgNDcyLjc2IDIwMS4yOCA0&#10;NzMuMjggMjAyLjUzIDQ3My43NyAyMDMuOCA0NzQgMjA0LjM5IDQ3NC4yNSAyMDQuOTcgNDc0LjQ5&#10;IDIwNS41NiA0NzQuNjggMjA2LjAzIDQ3NC44NiAyMDYuNTEgNDc0Ljk5IDIwNi45OSA0NzUuMTEg&#10;MjA3LjQ4IDQ3NS4wOCAyMDcuOTggNDc0Ljk3IDIwOC40NyA0NzQuNzUgMjA5LjM2IDQ3My44NCAy&#10;MTAuMTIgNDcyLjY1IDIxMC40MiA0NzIuMDQgMjEwLjU4IDQ3MS40MSAyMTAuNjEgNDcwLjc3IDIx&#10;MC41MyA0NzAuNDcgMjEwLjQ2IDQ3MC4xNiAyMTAuMzkgNDY5Ljg1IDIxMC4zMiA0NjkuMjggMjEw&#10;LjEyIDQ2OC44MSAyMDkuODQgNDY4LjQ1IDIwOS40NyA0NjcuNiAyMDguNzcgNDY3LjI1IDIwNy44&#10;NCA0NjYuODYgMjA2Ljk4IDQ2Ni41MSAyMDYuMjIgNDY2LjExIDIwNS40NyA0NjUuNzEgMjA0Ljcy&#10;IDQ2NC45NiAyMDMuMzMgNDY0LjMgMjAxLjkxIDQ2My42MSAyMDAuNTEgNDYyLjk2IDE5OS4xOSA0&#10;NjIuMzIgMTk3Ljg4IDQ2MS43NSAxOTYuNTQgNDYxLjE2IDE5NS4xNSA0NjAuNjMgMTkzLjc1IDQ2&#10;MC4xMSAxOTIuMzUgNDU5LjcgMTkxLjI3IDQ1OS4zMyAxOTAuMTkgNDU4Ljk1IDE4OS4xMSA0NTgu&#10;NDEgMTg3LjU2IDQ1Ny4zNyAxODQuOTkgNDYwLjIzIDE4NC4yMSA0NjAuNjIgMTg0LjExIDQ2MC45&#10;OSAxODQuMDcgNDYxLjM1IDE4NC4wOCA0NjIuNzEgMTg0LjEzIDQ2My44NCAxODQuOTUgNDY0LjU3&#10;IDE4NS43NloiIGZpbGw9IiMwMTAxMDEiLz48cGF0aCBkPSJNMTIuNTIgMTgzLjAxQzEzLjUzIDE4&#10;My4xIDE0LjI4IDE4My42OSAxNC44OCAxODQuMjEgMTUuMzUgMTg0LjYzIDE1LjY3IDE4NS4xMiAx&#10;NS45MyAxODUuNjIgMTYuMyAxODYuMzIgMTYuNTcgMTg3LjA3IDE2LjgxIDE4Ny44IDE3LjI4IDE4&#10;OS4yIDE3Ljg2IDE5MC41OCAxOC41NiAxOTEuOTMgMTkuNTggMTkzLjkxIDIwLjY1IDE5NS44OCAy&#10;MS42NCAxOTcuODcgMjIuMzcgMTk5LjMzIDIzLjA3IDIwMC44MSAyMy43NyAyMDIuMjggMjMuOTIg&#10;MjAyLjYgMjQuMDcgMjAyLjkzIDI0LjIzIDIwMy4yNiAyNC4zIDIwMy40MSAyNC4zNyAyMDMuNTUg&#10;MjQuNDUgMjAzLjcgMjQuNjEgMjA0LjA0IDI0Ljg2IDIwNC40NSAyNC44NCAyMDQuNzkgMjQuODkg&#10;MjA1LjIxIDI0Ljc4IDIwNS42IDI0LjU0IDIwNS45OCAyNC4yOSAyMDYuMzQgMjMuOTQgMjA2LjYz&#10;IDIzLjQ4IDIwNi44NiAyMy4wMiAyMDcuMDggMjIuNTEgMjA3LjIxIDIxLjk1IDIwNy4yNSAyMS4x&#10;NyAyMDcuMyAyMC4xNiAyMDcuMTMgMTkuNiAyMDYuNzEgMTkuMDggMjA2LjMyIDE4Ljk0IDIwNi4y&#10;IDE4LjYzIDIwNS43MiAxOC41OSAyMDUuNjYgMTguNTYgMjA1LjYxIDE4LjUzIDIwNS41NiAxOC40&#10;OSAyMDUuNSAxOC40NSAyMDUuNDMgMTguNDEgMjA1LjM2IDE4LjMzIDIwNS4yMyAxOC4yNiAyMDUu&#10;MSAxOC4xOSAyMDQuOTYgMTguMDMgMjA0LjY3IDE3Ljg3IDIwNC4zOSAxNy43MiAyMDQuMSAxNy4z&#10;NiAyMDMuNDMgMTcuMDUgMjAyLjc0IDE2LjcyIDIwMi4wNSAxNS45MiAyMDAuMzYgMTUuMTMgMTk4&#10;LjY3IDE0LjI0IDE5NyAxMy42NyAxOTUuOTUgMTMuMDYgMTk0LjkxIDEyLjQ5IDE5My44NyAxMi4w&#10;NiAxOTMuMDcgMTEuNjMgMTkyLjI4IDExLjE3IDE5MS40OCAxMC44MyAxOTAuODkgMTAuNTEgMTkw&#10;LjMgMTAuMTggMTg5LjcxIDkuNyAxODguODUgOS4zNiAxODcuOTQgOS4xMiAxODcuMDMgOC42OSAx&#10;ODUuMzkgOS4yMyAxODIuODcgMTIuMjcgMTgyLjk5IDEyLjM1IDE4Mi45OSAxMi40MyAxODIuOTkg&#10;MTIuNTIgMTgzLjAxWiIgZmlsbD0iIzAxMDEwMSIvPjxwYXRoIGQ9Ik02MTcuNTggOTIuMzNDNjE4&#10;LjA3IDkyLjM1IDYxOC41NSA5Mi41OCA2MTguOTQgOTIuNzggNjE5LjMxIDkyLjk2IDYxOS42IDkz&#10;LjIxIDYxOS45IDkzLjQ1IDYyMC4zNiA5My44MSA2MjAuNzIgOTQuMjMgNjIxLjA3IDk0LjY1IDYy&#10;MS45NCA5NS43MyA2MjIuNjQgOTYuODcgNjIzLjM0IDk4IDYyNC40OCA5OS44NSA2MjUuNTIgMTAx&#10;LjczIDYyNi41OCAxMDMuNiA2MjcuMSAxMDQuNTMgNjI3LjYxIDEwNS40NiA2MjguMTEgMTA2LjQg&#10;NjI4LjczIDEwNy41NCA2MjkuMzYgMTA4LjcgNjI5Ljc5IDEwOS44OSA2MzAgMTEwLjUgNjMwLjIy&#10;IDExMS4xMiA2MzAuMyAxMTEuNzUgNjMwLjM3IDExMi4zIDYzMC4zMyAxMTIuODYgNjMwLjIyIDEx&#10;My40MSA2MjkuOTkgMTE0LjQ2IDYyOS4zMiAxMTUuMzkgNjI4LjQyIDExNi4yMiA2MjcuNiAxMTYu&#10;OTggNjI2LjU2IDExNy42NSA2MjUuNTUgMTE4LjI4IDYyNC4zOCAxMTkuMDEgNjIzLjE1IDExOS42&#10;OSA2MjEuOTIgMTIwLjM4IDYyMC42OSAxMjEuMDYgNjE5LjQ3IDEyMS43NCA2MTguMjIgMTIyLjQg&#10;NjE2LjkgMTIzLjA5IDYxNS41NiAxMjMuNzYgNjE0LjIzIDEyNC40NCA2MTEuNTggMTI1Ljc5IDYw&#10;OC45MSAxMjcuMTIgNjA2LjIzIDEyOC40NSA2MDMuNDQgMTI5LjgyIDYwMC43MyAxMzEuMjYgNTk4&#10;LjEgMTMyLjc4IDU5Ni41OSAxMzMuNjUgNTk1LjA3IDEzNC41MiA1OTMuNSAxMzUuMzMgNTkxLjc4&#10;IDEzNi4yMyA1OTAuMDcgMTM3LjEyIDU4OC40MiAxMzguMDggNTg3LjcgMTM4LjUgNTg2LjU0IDEz&#10;OC4zIDU4Ni4wMyAxMzcuNzkgNTg1Ljc3IDEzNy41MiA1ODUuNjYgMTM3LjE5IDU4NS43NCAxMzYu&#10;ODggNTg1LjgyIDEzNi41NCA1ODYuMDggMTM2LjMxIDU4Ni40NCAxMzYuMDkgNTg3LjU0IDEzNS40&#10;MiA1ODguNjMgMTM0Ljc1IDU4OS43IDEzNC4wNSA1ODkuNjcgMTM0LjA3IDU4OS42MyAxMzQuMDkg&#10;NTg5LjYgMTM0LjEyIDU5Mi4yNiAxMzIuMzkgNTk1LjA0IDEzMC43NSA1OTcuNzggMTI5LjA5IDYw&#10;MC4zMSAxMjcuNTYgNjAyLjk2IDEyNi4xNCA2MDUuNiAxMjQuNyA2MDYuODkgMTI0IDYwOC4yMSAx&#10;MjMuMzEgNjA5LjUgMTIyLjYxIDYxMC44NCAxMjEuODggNjEyLjE2IDEyMS4xMiA2MTMuNDcgMTIw&#10;LjM2IDYxNC43MiAxMTkuNjQgNjE1Ljk4IDExOC45MiA2MTcuMjcgMTE4LjIzIDYxOC41NiAxMTcu&#10;NTQgNjE5Ljg3IDExNi44OSA2MjEuMTggMTE2LjIyIDYyMS44NCAxMTUuODggNjIyLjQ4IDExNS41&#10;NCA2MjMuMDkgMTE1LjE2IDYyMy40NyAxMTQuOSA2MjMuODIgMTE0LjYyIDYyNC4xMyAxMTQuMzEg&#10;NjI0LjM0IDExNC4wNSA2MjQuNTIgMTEzLjc5IDYyNC42NyAxMTMuNTEgNjI0Ljc0IDExMy4zMSA2&#10;MjQuOCAxMTMuMSA2MjQuODMgMTEyLjkgNjI0LjgyIDExMi42OCA2MjQuNzggMTEyLjQ1IDYyNC43&#10;MiAxMTIuMjMgNjI0LjU2IDExMS44MyA2MjQuMzYgMTExLjQ1IDYyNC4xNiAxMTEuMDYgNjIzLjg3&#10;IDExMC41MSA2MjMuNiAxMDkuOTUgNjIzLjMyIDEwOS4zOSA2MjIuNzkgMTA4LjMzIDYyMi4yOCAx&#10;MDcuMjcgNjIxLjczIDEwNi4yMiA2MjAuNzIgMTA0LjI5IDYxOS43IDEwMi4zNiA2MTguNTUgMTAw&#10;LjQ3IDYxOC4yNSA5OS45NyA2MTcuOTQgOTkuNDggNjE3LjYyIDk4Ljk5IDYxNy4yMyA5OC4zOSA2&#10;MTYuODEgOTcuNzkgNjE2LjQyIDk3LjE5IDYxNi4wNSA5Ni42MiA2MTUuNjYgOTYuMDQgNjE1LjQx&#10;IDk1LjQ0IDYxNS4xMiA5NC43MyA2MTQuODcgOTMuODcgNjE1LjM0IDkzLjE3IDYxNS40OSA5Mi45&#10;NCA2MTUuNzIgOTIuNzUgNjE2LjAyIDkyLjU5IDYxNi4xOCA5Mi41MyA2MTYuMzMgOTIuNDggNjE2&#10;LjQ5IDkyLjQyIDYxNi43NiA5Mi4zNSA2MTcuMDQgOTIuMzIgNjE3LjMzIDkyLjMzIDYxNy40MSA5&#10;Mi4zMyA2MTcuNDkgOTIuMzMgNjE3LjU3IDkyLjM1WiIgZmlsbD0iIzAxMDEwMSIvPjxwYXRoIGQ9&#10;Ik0yNi42NSAxODkuMjVDMjYuNzEgMTg5LjM0IDI2LjczIDE4OS40NSAyNi43NSAxODkuNTQgMjYu&#10;NzkgMTg5LjcyIDI2LjgzIDE4OS45IDI2Ljg4IDE5MC4wNyAyNy4wMSAxOTAuNTIgMjcuMTQgMTkw&#10;Ljk4IDI3LjI4IDE5MS40NCAyNy41OCAxOTIuNDIgMjcuOTEgMTkzLjQgMjguMjUgMTk0LjM4IDI4&#10;LjIzIDE5NC4zMyAyOC4yMSAxOTQuMjcgMjguMTkgMTk0LjIyIDI4LjcgMTk1LjYyIDI5LjI1IDE5&#10;Ny4wMSAyOS44MyAxOTguNCAzMC4zNyAxOTkuNzMgMzAuOTQgMjAxLjA2IDMxLjQyIDIwMi40IDMx&#10;Ljc2IDIwMy4zMyAzMi4wMiAyMDQuMjYgMzIuMjkgMjA1LjE5IDMyLjM4IDIwNS40OSAzMS45NSAy&#10;MDUuNzkgMzEuNDcgMjA1Ljg5IDMxLjE2IDIwNS45NSAzMC44MiAyMDUuOTQgMzAuNTMgMjA1Ljg1&#10;IDMwLjI3IDIwNS43NyAzMCAyMDUuNjIgMjkuOTMgMjA1LjQ2IDI5LjYzIDIwNC43NSAyOS4yOSAy&#10;MDQuMDUgMjkuMDEgMjAzLjM0IDI4Ljc0IDIwMi42NiAyOC40OCAyMDEuOTcgMjguMjIgMjAxLjI4&#10;IDI3LjY4IDE5OS44NCAyNy4xOCAxOTguNCAyNi43MyAxOTYuOTUgMjYuMTEgMTk0Ljk2IDI1LjYg&#10;MTkyLjk2IDI0LjkxIDE5MC45NyAyNC45MSAxOTAuOTcgMjQuOTEgMTkwLjk4IDI0LjkxIDE5MC45&#10;OSAyNC43OSAxOTAuNjcgMjQuNjggMTkwLjM0IDI0LjQ5IDE5MC4wMyAyNC40NCAxODkuOTQgMjQu&#10;MzYgMTg5Ljg1IDI0LjI5IDE4OS43NSAyNC4yIDE4OS42MiAyNC4xNSAxODkuNDUgMjQuMjIgMTg5&#10;LjMxIDI0LjM3IDE4OC45OSAyNC43NSAxODguNzggMjUuMzQgMTg4Ljc0IDI1LjQxIDE4OC43NCAy&#10;NS40NyAxODguNzQgMjUuNTMgMTg4Ljc0IDI2LjA1IDE4OC43NiAyNi40NSAxODguOTkgMjYuNjQg&#10;MTg5LjI2WiIgZmlsbD0iIzAxMDEwMSIvPjxwYXRoIGQ9Ik0zOC45MiAxOTYuMjlDMzguOTIgMTk2&#10;LjI5IDM4LjkyIDE5Ni4zIDM4LjkyIDE5Ni4zMSAzOC45IDE5Ni4yNiAzOC44OCAxOTYuMjEgMzgu&#10;ODYgMTk2LjE1TDM4LjkxIDE5Ni4yOVpNMzguMyAxODguODNDMzguNjYgMTg4LjkxIDM4Ljk0IDE4&#10;OS4xMSAzOS4xNSAxODkuMjkgMzkuMzYgMTg5LjQ4IDM5LjUxIDE4OS43IDM5LjY2IDE4OS45IDM5&#10;LjkgMTkwLjIzIDQwLjEyIDE5MC41NiA0MC4zMiAxOTAuODkgNDAuNzQgMTkxLjYgNDEuMTMgMTky&#10;LjMxIDQxLjQ5IDE5My4wMiA0Mi4xOSAxOTQuNDEgNDIuNzggMTk1LjgxIDQzLjMzIDE5Ny4yMiA0&#10;My41OCAxOTcuODUgNDMuODIgMTk4LjQ5IDQ0LjA1IDE5OS4xMyA0NC4wMiAxOTkuMDMgNDMuOTgg&#10;MTk4Ljk0IDQzLjk1IDE5OC44NCA0NC4wMiAxOTkuMDUgNDQuMSAxOTkuMjYgNDQuMTcgMTk5LjQ3&#10;IDQ0LjE0IDE5OS4zNyA0NC4xIDE5OS4yOCA0NC4wNyAxOTkuMTggNDQuNDYgMjAwLjI1IDQ0Ljgy&#10;IDIwMS4zMyA0NS4xMiAyMDIuNDIgNDUuMTQgMjAyLjYxIDQ1LjA4IDIwMi43OSA0NC45MyAyMDIu&#10;OTYgNDQuNzIgMjAzLjIgNDQuMzQgMjAzLjM5IDQzLjg4IDIwMy40NyA0Mi45OCAyMDMuNjQgNDEu&#10;ODMgMjAzLjM3IDQxLjU1IDIwMi44MiA0MC41IDIwMC43MSAzOS43NCAxOTguNTYgMzguOTcgMTk2&#10;LjQxIDM4Ljk4IDE5Ni40NCAzOC45OSAxOTYuNDcgMzkgMTk2LjUxIDM4Ljk3IDE5Ni40NCAzOC45&#10;NSAxOTYuMzcgMzguOTMgMTk2LjNMMzguOTMgMTk2LjMzQzM4LjkzIDE5Ni4zMyAzOC45MyAxOTYu&#10;MyAzOC45MyAxOTYuMjggMzguOSAxOTYuMiAzOC44OCAxOTYuMTIgMzguODUgMTk2LjA0IDM4Ljg2&#10;IDE5Ni4wNyAzOC44NyAxOTYuMTEgMzguODggMTk2LjE0IDM4LjgyIDE5NS45NyAzOC43NiAxOTUu&#10;OCAzOC43IDE5NS42NCAzOC43MiAxOTUuNjkgMzguNzQgMTk1Ljc0IDM4Ljc2IDE5NS44IDM4LjM2&#10;IDE5NC43MiAzNy45NiAxOTMuNjQgMzcuNTMgMTkyLjU2IDM3LjMyIDE5Mi4wNCAzNy4xMiAxOTEu&#10;NTMgMzYuOTIgMTkxLjAxIDM2Ljc5IDE5MC42OSAzNi42OCAxOTAuMzcgMzYuNTYgMTkwLjA1IDM2&#10;LjQ1IDE4OS43NCAzNi40MSAxODkuNDQgMzYuNjQgMTg5LjEzIDM2Ljc2IDE4OC45NyAzNy4wNiAx&#10;ODguODQgMzcuMzUgMTg4Ljc4IDM3LjUgMTg4Ljc1IDM3LjY1IDE4OC43NCAzNy43OSAxODguNzUg&#10;MzcuOTYgMTg4Ljc1IDM4LjEzIDE4OC43OCAzOC4zMSAxODguODJaIiBmaWxsPSIjMDEwMTAxIi8+&#10;PHBhdGggZD0iTTU2LjU1IDE4OC41MUM1Ni44NyAxODguNjQgNTcuMDIgMTg4LjkgNTcuMTQgMTg5&#10;LjA5IDU3LjI2IDE4OS4yOSA1Ny4zNiAxODkuNDggNTcuNDYgMTg5LjY4IDU3LjY1IDE5MC4wOSA1&#10;Ny44NCAxOTAuNSA1OC4wMiAxOTAuOTEgNTguNCAxOTEuNzYgNTguNzYgMTkyLjYyIDU5LjEgMTkz&#10;LjQ4IDU5Ljc4IDE5NS4yMiA2MC40MSAxOTYuOTYgNjEuMDUgMTk4LjcgNjEuMDggMTk4Ljc5IDYx&#10;LjExIDE5OC44OCA2MS4xNSAxOTguOTcgNjEuMTMgMTk4LjkyIDYxLjEyIDE5OC44NyA2MS4xIDE5&#10;OC44MiA2MS4zNSAxOTkuNTIgNjEuNiAyMDAuMjIgNjEuODEgMjAwLjkyIDYyIDIwMS41NSA2MS44&#10;NyAyMDIuMTggNjEuOTEgMjAyLjgyIDYxLjkzIDIwMy4yMiA2MS41NCAyMDMuNTkgNjAuODYgMjAz&#10;LjcyIDYwLjAzIDIwMy44OCA1OS4xOSAyMDMuNjIgNTguODggMjAzLjE3IDU4LjU5IDIwMi43NSA1&#10;OC4yNSAyMDIuMzUgNTcuOTQgMjAxLjkzIDU3LjggMjAxLjc0IDU3LjczIDIwMS41MyA1Ny42NSAy&#10;MDEuMzIgNTcuNTMgMjAxLjAzIDU3LjQzIDIwMC43MyA1Ny4zMiAyMDAuNDMgNTcuMDEgMTk5LjU1&#10;IDU2Ljc0IDE5OC42OCA1Ni40OCAxOTcuOCA1NS45NiAxOTYuMDYgNTUuNSAxOTQuMzIgNTUuMDUg&#10;MTkyLjU4IDU0Ljg4IDE5MS45MyA1NC43MSAxOTEuMjggNTQuNTYgMTkwLjYyIDU0LjQ5IDE5MC4z&#10;MSA1NC40MiAxODkuOTkgNTQuMzkgMTg5LjY4IDU0LjM1IDE4OS4zMSA1NC4yOSAxODguODcgNTQu&#10;NzcgMTg4LjU3IDU0Ljk5IDE4OC40MyA1NS4zMSAxODguMzQgNTUuNjQgMTg4LjMzIDU1LjY5IDE4&#10;OC4zMyA1NS43NSAxODguMzMgNTUuNzkgMTg4LjMzIDU2LjA5IDE4OC4zMyA1Ni4zMiAxODguNDEg&#10;NTYuNTggMTg4LjUxWiIgZmlsbD0iIzAxMDEwMSIvPjxwYXRoIGQ9Ik03MS41NyAxODcuNTdDNzIu&#10;MjggMTg3Ljc4IDcyLjQ3IDE4OC4yOSA3Mi42NyAxODguNjkgNzIuODUgMTg5LjA1IDcyLjk5IDE4&#10;OS40MSA3My4xMyAxODkuNzggNzMuNDYgMTkwLjYyIDczLjc3IDE5MS40NiA3NC4wNyAxOTIuMzEg&#10;NzQuNjkgMTk0LjA0IDc1LjI4IDE5NS43OCA3NS44IDE5Ny41MiA3Ni4xNCAxOTguNjQgNzYuNDIg&#10;MTk5Ljc3IDc2LjY4IDIwMC45IDc2LjgxIDIwMS40NyA3Ni45NCAyMDIuMDQgNzcuMDQgMjAyLjYx&#10;IDc3LjA5IDIwMi44OCA3Ny4xMyAyMDMuMTUgNzcuMTUgMjAzLjQyIDc3LjE5IDIwMy44MSA3Ny4x&#10;IDIwNC4yIDc3LjA1IDIwNC41OSA3Ni45OCAyMDQuNzggNzYuODMgMjA0Ljk1IDc2LjYgMjA1LjEg&#10;NzYuMjcgMjA1LjMxIDc1LjggMjA1LjQ0IDc1LjMgMjA1LjQ2IDc0LjQzIDIwNS41IDczLjY0IDIw&#10;NS4xOSA3My4zNSAyMDQuNzMgNzMuMjIgMjA0LjUzIDczLjA5IDIwNC4zMiA3Mi45NyAyMDQuMTIg&#10;NzIuODEgMjAzLjg0IDcyLjc0IDIwMy41NCA3Mi42NCAyMDMuMjQgNzIuNTEgMjAyLjg2IDcyLjQg&#10;MjAyLjQ3IDcyLjMgMjAyLjA4IDcyLjA4IDIwMS4yNCA3MS44NyAyMDAuMzkgNzEuNjggMTk5LjU1&#10;IDcxLjMgMTk3LjkgNzAuOTcgMTk2LjI0IDcwLjY3IDE5NC41OSA3MC40NiAxOTMuNCA3MC4yMyAx&#10;OTIuMjEgNzAuMDMgMTkxLjAyIDY5Ljk0IDE5MC40OCA2OS44NCAxODkuOTQgNjkuOCAxODkuNCA2&#10;OS43OCAxODkuMTMgNjkuNzcgMTg4Ljg2IDY5Ljc4IDE4OC41OSA2OS44IDE4OC4yMyA2OS44OCAx&#10;ODcuODMgNzAuNDYgMTg3LjYxIDcwLjY2IDE4Ny41MyA3MC44OSAxODcuNSA3MS4xMiAxODcuNTEg&#10;NzEuMjcgMTg3LjUxIDcxLjQxIDE4Ny41NCA3MS41NSAxODcuNTdaIiBmaWxsPSIjMDEwMTAxIi8+&#10;PHBhdGggZD0iTTg5Ljc4IDE4OC4zOEM4OS44MyAxODguNDQgODkuODggMTg4LjUgODkuOTIgMTg4&#10;LjU1IDkwLjA3IDE4OC43NSA5MC4xOCAxODguOTUgOTAuMjkgMTg5LjE2IDkwLjU2IDE4OS42OCA5&#10;MC43MSAxOTAuMjEgOTAuODggMTkwLjc0IDkxLjE4IDE5MS42NyA5MS40MiAxOTIuNjEgOTEuNjcg&#10;MTkzLjU0IDkyLjE3IDE5NS40IDkyLjYyIDE5Ny4yOCA5My4wMyAxOTkuMTUgOTMuMTggMTk5Ljgx&#10;IDkzLjMxIDIwMC40OCA5My40NSAyMDEuMTQgOTMuNTggMjAxLjgzIDkzLjc0IDIwMi41MyA5My43&#10;NiAyMDMuMjMgOTMuNzggMjAzLjc3IDkzLjI2IDIwNC4yNyA5Mi4zMiAyMDQuNDYgOTEuNzggMjA0&#10;LjU2IDkxLjE4IDIwNC41NCA5MC42NyAyMDQuMzkgOTAuMjIgMjA0LjI2IDg5Ljc0IDIwNCA4OS42&#10;MiAyMDMuNyA4OS4yIDIwMi43MSA4OSAyMDEuNjkgODguNzggMjAwLjY3IDg4LjU4IDE5OS43MyA4&#10;OC40MSAxOTguNzggODguMjQgMTk3Ljg0IDg3LjkxIDE5NS45NiA4Ny42NiAxOTQuMDkgODcuNDQg&#10;MTkyLjIxIDg3LjM2IDE5MS41MiA4Ny4yOCAxOTAuODQgODcuMjQgMTkwLjE1IDg3LjIyIDE4OS44&#10;MSA4Ny4yMiAxODkuNDYgODcuMjUgMTg5LjEyIDg3LjI4IDE4OC44NiA4Ny4zMiAxODguNjQgODcu&#10;NDggMTg4LjM5IDg3LjQzIDE4OC4wNCA4Ny45NiAxODcuNzMgODguNTUgMTg3LjcxIDg4LjYgMTg3&#10;LjcxIDg4LjY0IDE4Ny43MSA4OC42OSAxODcuNzEgODkuMyAxODcuNzMgODkuODIgMTg4LjAzIDg5&#10;Ljc5IDE4OC4zOFoiIGZpbGw9IiMwMTAxMDEiLz48cGF0aCBkPSJNMTAzLjg3IDE4Ny4zNUMxMDQu&#10;NDMgMTg3LjUxIDEwNC42MSAxODcuODkgMTA0Ljc1IDE4OC4yMSAxMDQuODggMTg4LjUxIDEwNSAx&#10;ODguOCAxMDUuMTMgMTg5LjEgMTA1LjM5IDE4OS43MyAxMDUuNjMgMTkwLjM2IDEwNS44OCAxOTAu&#10;OTkgMTA2LjM4IDE5Mi4yNSAxMDYuODcgMTkzLjUyIDEwNy4zNSAxOTQuNzkgMTA3LjQ5IDE5NS4x&#10;NyAxMDcuNjMgMTk1LjU2IDEwNy43NyAxOTUuOTQgMTA3LjgyIDE5Ni4wNiAxMDcuODUgMTk2LjE4&#10;IDEwNy45IDE5Ni4zIDEwNy44NyAxOTYuMjIgMTA3Ljg1IDE5Ni4xNSAxMDcuODIgMTk2LjA3IDEw&#10;Ny44MiAxOTYuMDcgMTA3LjgyIDE5Ni4wNyAxMDcuODIgMTk2LjA3IDEwOC42NCAxOTguMzUgMTA5&#10;LjM5IDIwMC42NSAxMDkuNjggMjAyLjk4IDEwOS43MyAyMDMuMzYgMTA5LjMxIDIwMy43MSAxMDgu&#10;NjggMjAzLjgzIDEwNy45MyAyMDMuOTggMTA3LjA1IDIwMy43NCAxMDYuOCAyMDMuMzEgMTA2LjA2&#10;IDIwMi4wMiAxMDUuNiAyMDAuNjkgMTA1LjE1IDE5OS4zNyAxMDQuODIgMTk4LjQxIDEwNC41MiAx&#10;OTcuNDQgMTA0LjI0IDE5Ni40NyAxMDQuMjEgMTk2LjQxIDEwNC4xOSAxOTYuMzQgMTA0LjE4IDE5&#10;Ni4yOCAxMDQuMTEgMTk2LjAzIDEwNC4wMyAxOTUuNzggMTAzLjk2IDE5NS41MiAxMDMuNiAxOTQu&#10;MjMgMTAzLjI2IDE5Mi45NSAxMDIuOTMgMTkxLjY2IDEwMi43NyAxOTEuMDIgMTAyLjYgMTkwLjM4&#10;IDEwMi40NCAxODkuNzQgMTAyLjM3IDE4OS40NCAxMDIuMzEgMTg5LjEzIDEwMi4yNiAxODguODIg&#10;MTAyLjI0IDE4OC42OCAxMDIuMjIgMTg4LjU0IDEwMi4yMiAxODguNCAxMDIuMjIgMTg4LjIyIDEw&#10;Mi4yMSAxODguMDQgMTAyLjI5IDE4Ny44NyAxMDIuMzkgMTg3LjY3IDEwMi41MSAxODcuNTEgMTAy&#10;LjgzIDE4Ny4zOCAxMDMuMDEgMTg3LjMxIDEwMy4yNCAxODcuMjggMTAzLjQ2IDE4Ny4yOCAxMDMu&#10;NjEgMTg3LjI4IDEwMy43NSAxODcuMzEgMTAzLjg4IDE4Ny4zNFoiIGZpbGw9IiMwMTAxMDEiLz48&#10;cGF0aCBkPSJNMTIyLjIyIDE4Ny4zNUMxMjIuOTkgMTg3LjQ4IDEyMy4xNSAxODcuOTggMTIzLjI3&#10;IDE4OC4zNyAxMjMuMzcgMTg4LjcxIDEyMy40NCAxODkuMDUgMTIzLjQ5IDE4OS40IDEyMy42IDE5&#10;MC4xMyAxMjMuNjggMTkwLjg2IDEyMy43NiAxOTEuNTkgMTIzLjkzIDE5My4wNiAxMjQuMTIgMTk0&#10;LjU0IDEyNC4zNyAxOTYuMDEgMTI0LjUzIDE5Ni45NSAxMjQuNzEgMTk3Ljg5IDEyNC44OSAxOTgu&#10;ODMgMTI1LjA3IDE5OS44MSAxMjUuMjUgMjAwLjc4IDEyNS4yOCAyMDEuNzYgMTI1LjMgMjAyLjI1&#10;IDEyNC44NCAyMDIuNjkgMTI0IDIwMi44NSAxMjMuNTIgMjAyLjk0IDEyMi45OSAyMDIuOTIgMTIy&#10;LjUzIDIwMi43OSAxMjIuMTMgMjAyLjY4IDEyMS42OSAyMDIuNDQgMTIxLjU5IDIwMi4xOCAxMjEu&#10;MjYgMjAxLjM1IDEyMS4wNiAyMDAuNTEgMTIwLjkgMTk5LjY3IDEyMC43NiAxOTguOTUgMTIwLjY0&#10;IDE5OC4yMyAxMjAuNTYgMTk3LjUgMTIwLjM5IDE5Ni4wMyAxMjAuMjkgMTk0LjU2IDEyMC4zMiAx&#10;OTMuMDkgMTIwLjM0IDE5Mi4wMyAxMjAuNDEgMTkwLjk3IDEyMC41NSAxODkuOTIgMTIwLjYxIDE4&#10;OS40NyAxMjAuNyAxODkuMDIgMTIwLjgxIDE4OC41NyAxMjAuODcgMTg4LjMyIDEyMC45NiAxODgu&#10;MDcgMTIxLjEyIDE4Ny44MyAxMjEuMTkgMTg3LjcyIDEyMS4yOCAxODcuNjEgMTIxLjQyIDE4Ny41&#10;MyAxMjEuNTkgMTg3LjQzIDEyMS44NCAxODcuMzMgMTIyLjEgMTg3LjM0IDEyMi4xNCAxODcuMzQg&#10;MTIyLjE4IDE4Ny4zNCAxMjIuMjIgMTg3LjM1WiIgZmlsbD0iIzAxMDEwMSIvPjxwYXRoIGQ9Ik0x&#10;MzQuMzMgMTg3LjY4QzEzNC45NSAxODcuNzYgMTM1LjIyIDE4OC4xNiAxMzUuMzcgMTg4LjQ3IDEz&#10;NS41OSAxODguOSAxMzUuNyAxODkuMzUgMTM1LjgyIDE4OS43OSAxMzYuMDQgMTkwLjU1IDEzNi4x&#10;OSAxOTEuMzEgMTM2LjMyIDE5Mi4wNyAxMzYuNiAxOTMuNjYgMTM2Ljc5IDE5NS4yNSAxMzcgMTk2&#10;Ljg0IDEzNy4yIDE5OC4zNSAxMzcuNDEgMTk5Ljg3IDEzNy41OSAyMDEuMzkgMTM3LjY4IDIwMi4x&#10;NiAxMzcuNzQgMjAyLjkyIDEzNy44MiAyMDMuNjkgMTM3LjkxIDIwNC41MiAxMzguMDIgMjA1LjM1&#10;IDEzOC4xNiAyMDYuMTggMTM4LjI2IDIwNi43NyAxMzcuNCAyMDcuMyAxMzYuMzggMjA3LjM0IDEz&#10;NS4zMiAyMDcuMzggMTM0LjQ0IDIwNi45MiAxMzQuMzQgMjA2LjMzIDEzNC4wNiAyMDQuNzIgMTMz&#10;LjczIDIwMy4xMSAxMzMuNTMgMjAxLjUgMTMzLjMzIDE5OS45MyAxMzMuMzEgMTk4LjM1IDEzMy4y&#10;NyAxOTYuNzggMTMzLjIzIDE5NS4yMSAxMzMuMiAxOTMuNjQgMTMzLjEzIDE5Mi4wOCAxMzMuMDkg&#10;MTkxLjMxIDEzMy4wNSAxOTAuNTQgMTMzIDE4OS43NyAxMzIuOTggMTg5LjM0IDEzMi45NSAxODgu&#10;OTEgMTMzLjAyIDE4OC40OSAxMzMuMDcgMTg4LjE3IDEzMy40OSAxODcuNjYgMTM0LjE3IDE4Ny42&#10;OCAxMzQuMjIgMTg3LjY4IDEzNC4yNiAxODcuNjggMTM0LjMxIDE4Ny42OVoiIGZpbGw9IiMwMTAx&#10;MDEiLz48cGF0aCBkPSJNMTUwLjM1IDE4Ny40OEMxNTAuNjcgMTg3LjYzIDE1MC44NCAxODcuODYg&#10;MTUwLjk2IDE4OC4wOCAxNTEuMSAxODguMzIgMTUxLjE3IDE4OC41NyAxNTEuMjQgMTg4LjgyIDE1&#10;MS4zNSAxODkuMjIgMTUxLjQyIDE4OS42MSAxNTEuNDkgMTkwLjAyIDE1MS42MiAxOTAuODEgMTUx&#10;LjcgMTkxLjYgMTUxLjc4IDE5Mi4zOCAxNTEuOTQgMTk0LjAxIDE1Mi4wMiAxOTUuNjUgMTUyLjA5&#10;IDE5Ny4yOSAxNTIuMTQgMTk4LjM1IDE1Mi4xOSAxOTkuNDEgMTUyLjE4IDIwMC40NyAxNTIuMTcg&#10;MjAxLjU4IDE1Mi4xMyAyMDIuNjggMTUyLjIgMjAzLjc5IDE1Mi4yNCAyMDQuMzkgMTUxLjQ4IDIw&#10;NC45MyAxNTAuMzkgMjA0Ljk3IDE0OS4zNSAyMDUuMDEgMTQ4LjM3IDIwNC41NSAxNDguMzEgMjAz&#10;Ljk1IDE0OC4xNiAyMDIuMyAxNDcuOSAyMDAuNjYgMTQ3Ljg4IDE5OS4wMSAxNDcuODUgMTk3LjM3&#10;IDE0Ny45IDE5NS43NCAxNDcuOTIgMTk0LjExIDE0Ny45NCAxOTMuMDUgMTQ3Ljk1IDE5MS45OCAx&#10;NDcuOTcgMTkwLjkyIDE0Ny45OCAxOTAuNDIgMTQ3Ljk5IDE4OS45MiAxNDguMDEgMTg5LjQyIDE0&#10;OC4wMyAxODkuMDggMTQ4LjAzIDE4OC43NSAxNDguMSAxODguNDEgMTQ4LjEyIDE4OC4zIDE0OC4x&#10;NSAxODguMTkgMTQ4LjIgMTg4LjA4IDE0OC4yOCAxODcuOSAxNDguNCAxODcuNjggMTQ4LjY1IDE4&#10;Ny41NCAxNDguODkgMTg3LjQyIDE0OS4xMyAxODcuMzMgMTQ5LjQ2IDE4Ny4zMSAxNDkuNTEgMTg3&#10;LjMxIDE0OS41NiAxODcuMzEgMTQ5LjYgMTg3LjMxIDE0OS44OCAxODcuMzEgMTUwLjEzIDE4Ny4z&#10;OCAxNTAuMzQgMTg3LjQ4WiIgZmlsbD0iIzAxMDEwMSIvPjxwYXRoIGQ9Ik0xNjYuNjkgMTg3LjI0&#10;QzE2Ny4xMSAxODcuNDUgMTY3LjE5IDE4Ny43MyAxNjcuMjggMTg4LjAzIDE2Ny4zNCAxODguMjIg&#10;MTY3LjM2IDE4OC40MiAxNjcuMzkgMTg4LjYyIDE2Ny40NCAxODkuMDMgMTY3LjQ3IDE4OS40MyAx&#10;NjcuNSAxODkuODMgMTY3LjU2IDE5MC42MyAxNjcuNTkgMTkxLjQyIDE2Ny42MyAxOTIuMjIgMTY3&#10;LjcxIDE5My44MSAxNjcuODEgMTk1LjM5IDE2Ny44NSAxOTYuOTcgMTY3Ljg3IDE5Ny43IDE2Ny44&#10;NyAxOTguNDIgMTY3LjgxIDE5OS4xNSAxNjcuNzUgMTk5LjkyIDE2Ny42NiAyMDAuNjggMTY3LjY1&#10;IDIwMS40NSAxNjcuNjUgMjAxLjc1IDE2Ny41MyAyMDIuMDIgMTY3LjE3IDIwMi4yNiAxNjYuODQg&#10;MjAyLjQ3IDE2Ni4zNiAyMDIuNiAxNjUuODcgMjAyLjYyIDE2NC44NCAyMDIuNjYgMTYzLjg1IDIw&#10;Mi4yIDE2My44MSAyMDEuNiAxNjMuNzUgMjAwLjc2IDE2My42MyAxOTkuOTIgMTYzLjUzIDE5OS4w&#10;OCAxNjMuNDUgMTk4LjMyIDE2My40NSAxOTcuNTYgMTYzLjQ3IDE5Ni44MSAxNjMuNTEgMTk1LjE4&#10;IDE2My42MSAxOTMuNTUgMTYzLjcxIDE5MS45MSAxNjMuNzYgMTkxLjA5IDE2My44NCAxOTAuMjcg&#10;MTYzLjk1IDE4OS40NSAxNjQgMTg5LjA5IDE2NC4wNiAxODguNzQgMTY0LjE0IDE4OC4zOCAxNjQu&#10;MTkgMTg4LjIgMTY0LjI1IDE4OC4wMyAxNjQuMzQgMTg3Ljg2IDE2NC40NSAxODcuNjUgMTY0LjU0&#10;IDE4Ny41MyAxNjQuNzYgMTg3LjM2IDE2NC45MyAxODcuMjMgMTY1LjE1IDE4Ny4xNiAxNjUuNDEg&#10;MTg3LjA5IDE2NS41NSAxODcuMDUgMTY1LjcxIDE4Ny4wNCAxNjUuODYgMTg3LjA1IDE2Ni4xNiAx&#10;ODcuMDUgMTY2LjQ2IDE4Ny4xMyAxNjYuNjcgMTg3LjI0WiIgZmlsbD0iIzAxMDEwMSIvPjxwYXRo&#10;IGQ9Ik0xODIuNCAxODcuMDhDMTgyLjYyIDE4Ny4xMSAxODIuNzggMTg3LjE3IDE4Mi45IDE4Ny4y&#10;NiAxODMuMDcgMTg3LjM2IDE4My4xOCAxODcuNDkgMTgzLjI2IDE4Ny42MyAxODMuMzMgMTg3Ljc0&#10;IDE4My4zNSAxODcuODcgMTgzLjM5IDE4Ny45OCAxODMuNDMgMTg4LjA5IDE4My40NiAxODguMTkg&#10;MTgzLjQ4IDE4OC4zIDE4My41NyAxODguNyAxODMuNjIgMTg5LjEgMTgzLjY2IDE4OS41IDE4My43&#10;NCAxOTAuMjkgMTgzLjc2IDE5MS4wOSAxODMuNzcgMTkxLjg5IDE4My44IDE5My41OCAxODMuODIg&#10;MTk1LjI4IDE4My44NSAxOTYuOTcgMTgzLjg4IDE5OC4yNiAxODMuODEgMTk5LjU1IDE4My44NSAy&#10;MDAuODQgMTgzLjg1IDIwMS4xMiAxODMuNzMgMjAxLjM3IDE4My40IDIwMS41OCAxODMuMDkgMjAx&#10;Ljc4IDE4Mi42NiAyMDEuOSAxODIuMiAyMDEuOTEgMTgxLjI2IDIwMS45NSAxODAuMzQgMjAxLjUy&#10;IDE4MC4zMSAyMDAuOTggMTgwLjI2IDIwMC4xMyAxODAuMTkgMTk5LjI3IDE4MC4xNiAxOTguNDIg&#10;MTgwLjEzIDE5Ny42MSAxODAuMTYgMTk2Ljc5IDE4MC4yIDE5NS45NyAxODAuMjggMTk0LjMyIDE4&#10;MC40IDE5Mi42OCAxODAuNTYgMTkxLjAzIDE4MC42MyAxOTAuMzIgMTgwLjcxIDE4OS42MSAxODAu&#10;ODEgMTg4LjkgMTgwLjg2IDE4OC42IDE4MC45MSAxODguMjkgMTgxIDE4OCAxODEuMDggMTg3Ljc0&#10;IDE4MS4xOSAxODcuNDQgMTgxLjU0IDE4Ny4yNiAxODEuNTQgMTg3LjI2IDE4MS41NCAxODcuMjYg&#10;MTgxLjU0IDE4Ny4yNiAxODEuNzEgMTg3LjE0IDE4MiAxODcuMDggMTgyLjI3IDE4Ny4wOSAxODIu&#10;MzEgMTg3LjA5IDE4Mi4zNSAxODcuMDkgMTgyLjM5IDE4Ny4wOVoiIGZpbGw9IiMwMTAxMDEiLz48&#10;cGF0aCBkPSJNMTkwLjY4IDE4OC4zQzE5MC42OCAxODguMyAxOTAuNjggMTg4LjMgMTkwLjY5IDE4&#10;OC4zIDE5MC43IDE4OC4zIDE5MC43MiAxODguMyAxOTAuNzMgMTg4LjNMMTkwLjY4IDE4OC4zWk0x&#10;OTIuNiAxODYuODNDMTkyLjYgMTg2LjgzIDE5Mi42IDE4Ni44MyAxOTIuNiAxODYuODMgMTkyLjYg&#10;MTg2LjgzIDE5Mi42IDE4Ni44MyAxOTIuNiAxODYuODNaTTE5Mi41NCAxODYuODFDMTkyLjU0IDE4&#10;Ni44MSAxOTIuNTkgMTg2LjgzIDE5Mi42MSAxODYuODQgMTkyLjYxIDE4Ni44NCAxOTIuNjEgMTg2&#10;Ljg0IDE5Mi42IDE4Ni44NCAxOTIuNTggMTg2Ljg0IDE5Mi41NiAxODYuODMgMTkyLjU0IDE4Ni44&#10;MlpNMTkyLjg2IDE4Ni45M0MxOTIuODYgMTg2LjkzIDE5Mi45NCAxODcgMTkyLjk3IDE4Ny4wNCAx&#10;OTMuMDQgMTg3LjA5IDE5My4xIDE4Ny4xNCAxOTMuMTUgMTg3LjIgMTkzLjM4IDE4Ny40NSAxOTMu&#10;NTUgMTg3LjcgMTkzLjY5IDE4Ny45NyAxOTMuOTcgMTg4LjUzIDE5NC4xMSAxODkuMTIgMTk0LjI1&#10;IDE4OS43IDE5NC40OCAxOTAuNjkgMTk0LjU5IDE5MS43IDE5NC43MyAxOTIuNyAxOTQuODYgMTkz&#10;LjcyIDE5NC45OSAxOTQuNzMgMTk1LjE4IDE5NS43NSAxOTUuMjcgMTk2LjIyIDE5NS4zMyAxOTYu&#10;NyAxOTUuMzcgMTk3LjE3IDE5NS40MSAxOTcuODEgMTk1LjI0IDE5OC40MyAxOTUuMDYgMTk5LjA2&#10;IDE5NC44OSAxOTkuNjMgMTkzLjk2IDIwMC4wNiAxOTIuOTYgMjAwLjEgMTkxLjkgMjAwLjE0IDE5&#10;MS4wMSAxOTkuNzYgMTkwLjY1IDE5OS4yMSAxOTAuNDkgMTk4Ljk3IDE5MC4zMyAxOTguNzIgMTkw&#10;LjE5IDE5OC40OCAxODkuOTkgMTk4LjEzIDE4OS44OSAxOTcuNzcgMTg5Ljc5IDE5Ny40MSAxODku&#10;NjUgMTk2Ljk0IDE4OS42IDE5Ni40NyAxODkuNTYgMTk2IDE4OS40NiAxOTQuOTkgMTg5LjQyIDE5&#10;My45OCAxODkuMzUgMTkyLjk3IDE4OS4yOCAxOTEuOTUgMTg5LjI1IDE5MC45MyAxODkuMjUgMTg5&#10;LjkxIDE4OS4yNSAxODkuMzMgMTg5LjMgMTg4Ljc1IDE4OS4zOSAxODguMTcgMTg5LjQ0IDE4Ny44&#10;NSAxODkuNTYgMTg3LjQ2IDE4OS44NiAxODcuMTUgMTg5Ljk4IDE4Ni45NSAxOTAuMjEgMTg2Ljc3&#10;IDE5MC41NCAxODYuNjUgMTkwLjg1IDE4Ni41NCAxOTEuMiAxODYuNDkgMTkxLjU1IDE4Ni41IDE5&#10;Mi4wOCAxODYuNTIgMTkyLjU5IDE4Ni42NyAxOTIuODkgMTg2LjkzWiIgZmlsbD0iIzAxMDEwMSIv&#10;PjxwYXRoIGQ9Ik0yMDYuNDkgMTg4LjY0QzIwNy4wMSAxODguODEgMjA3LjMzIDE4OS4wNSAyMDcu&#10;NTEgMTg5LjM4IDIwNy42NiAxODkuNjUgMjA3Ljc0IDE4OS45NCAyMDcuODIgMTkwLjIyIDIwNy45&#10;NiAxOTAuNjkgMjA4LjA4IDE5MS4xNSAyMDguMTggMTkxLjYyIDIwOC4zOSAxOTIuNTUgMjA4LjUz&#10;IDE5My40OSAyMDguNjUgMTk0LjQyIDIwOC43NyAxOTUuMzcgMjA4LjkxIDE5Ni4zMiAyMDkuMDQg&#10;MTk3LjI4IDIwOS4xIDE5Ny43MyAyMDkuMTYgMTk4LjE3IDIwOS4xNyAxOTguNjIgMjA5LjE4IDE5&#10;OS4wNSAyMDkuMTcgMTk5LjQ4IDIwOS4xNyAxOTkuOTEgMjA5LjE3IDE5OS45NyAyMDkuMTcgMjAw&#10;LjAzIDIwOS4xNyAyMDAuMSAyMDkuMTcgMjAwLjQgMjA5LjAzIDIwMC42OCAyMDguNjYgMjAwLjky&#10;IDIwOC4zMiAyMDEuMTMgMjA3LjgzIDIwMS4yNiAyMDcuMzMgMjAxLjI4IDIwNi44IDIwMS4zIDIw&#10;Ni4yOCAyMDEuMTkgMjA1Ljg5IDIwMC45OSAyMDUuNDkgMjAwLjc4IDIwNS4zMyAyMDAuNTMgMjA1&#10;LjI1IDIwMC4yMyAyMDUgMTk5LjMzIDIwNC44IDE5OC40MyAyMDQuNyAxOTcuNTIgMjA0LjYxIDE5&#10;Ni41OSAyMDQuNTIgMTk1LjY1IDIwNC40MiAxOTQuNzIgMjA0LjMxIDE5My43OCAyMDQuMjIgMTky&#10;LjgzIDIwNC4xNCAxOTEuODggMjA0LjEgMTkxLjQxIDIwNC4wNiAxOTAuOTQgMjA0LjAzIDE5MC40&#10;NyAyMDQuMDIgMTkwLjI2IDIwNC4wMSAxOTAuMDQgMjA0LjAyIDE4OS44MyAyMDQuMDMgMTg5LjQ3&#10;IDIwNC4wOSAxODkuMTIgMjA0LjU0IDE4OC44MyAyMDQuNTQgMTg4LjgzIDIwNC41NCAxODguODMg&#10;MjA0LjU1IDE4OC44MyAyMDQuODcgMTg4LjYzIDIwNS4zNyAxODguNTIgMjA1Ljg1IDE4OC41MyAy&#10;MDYuMDYgMTg4LjUzIDIwNi4yNyAxODguNTcgMjA2LjQ2IDE4OC42M1oiIGZpbGw9IiMwMTAxMDEi&#10;Lz48cGF0aCBkPSJNMjIyLjEgMTk0LjM4QzIyMi4xMiAxOTQuNDQgMjIyLjE0IDE5NC41MSAyMjIu&#10;MTYgMTk0LjU3IDIyMi4xNCAxOTQuNTEgMjIyLjEyIDE5NC40NCAyMjIuMSAxOTQuMzhaTTIyMC4x&#10;NSAxODguNzNDMjIwLjY1IDE4OC45OSAyMjAuNzMgMTg5LjQ4IDIyMC44NiAxODkuODMgMjIxLjA1&#10;IDE5MC4zNyAyMjEuMTkgMTkwLjkxIDIyMS4zMiAxOTEuNDUgMjIxLjU1IDE5Mi40MiAyMjEuNzkg&#10;MTkzLjQgMjIyLjEgMTk0LjM2IDIyMi40OSAxOTUuNDkgMjIyLjgzIDE5Ni42MiAyMjMuMTMgMTk3&#10;Ljc2IDIyMy40IDE5OC44IDIyMy43MSAxOTkuODQgMjIzLjg1IDIwMC45IDIyMy45MiAyMDEuNDYg&#10;MjIzLjI2IDIwMiAyMjIuMzIgMjAyLjE3IDIyMS43NyAyMDIuMjcgMjIxLjE1IDIwMi4yNSAyMjAu&#10;NjMgMjAyLjEgMjIwLjE1IDIwMS45NiAyMTkuNjUgMjAxLjY4IDIxOS41MyAyMDEuMzcgMjE4Ljc3&#10;IDE5OS40OSAyMTguNTMgMTk3LjU2IDIxOC40MyAxOTUuNjMgMjE4LjM4IDE5NC42MiAyMTguMzgg&#10;MTkzLjYgMjE4LjI4IDE5Mi41OSAyMTguMTkgMTkxLjY2IDIxOC4wMiAxOTAuNzIgMjE3Ljk3IDE4&#10;OS43OCAyMTcuOTYgMTg5LjU0IDIxNy45MiAxODkuMjUgMjE4LjA2IDE4OS4wMSAyMTguMTMgMTg4&#10;Ljg0IDIxOC4zMiAxODguNjggMjE4LjU4IDE4OC41OSAyMTguOCAxODguNTEgMjE5LjA1IDE4OC40&#10;OCAyMTkuMyAxODguNDggMjE5LjYyIDE4OC40OSAyMTkuOTMgMTg4LjU3IDIyMC4xNSAxODguNzFa&#10;IiBmaWxsPSIjMDEwMTAxIi8+PHBhdGggZD0iTTIzNS45MSAxOTAuMzVDMjM2LjA3IDE5MC40MyAy&#10;MzYuMTkgMTkwLjUzIDIzNi4yNiAxOTAuNjMgMjM2LjUyIDE5MC44NCAyMzYuNjUgMTkxLjEgMjM2&#10;Ljc2IDE5MS4zNSAyMzYuOTggMTkxLjgzIDIzNy4xMiAxOTIuMzIgMjM3LjIyIDE5Mi44MSAyMzcu&#10;NDIgMTkzLjcyIDIzNy41OCAxOTQuNjIgMjM3Ljc0IDE5NS41MyAyMzguMDYgMTk3LjMyIDIzOC42&#10;NSAxOTkuMSAyMzguNjggMjAwLjkgMjM4LjY4IDIwMS40MSAyMzguMiAyMDEuODcgMjM3LjMyIDIw&#10;Mi4wMyAyMzYuMzUgMjAyLjIxIDIzNS4wOCAyMDEuOTEgMjM0LjgyIDIwMS4zMSAyMzQuMDIgMTk5&#10;LjQ3IDIzNCAxOTcuNTggMjMzLjcyIDE5NS43IDIzMy41OSAxOTQuOCAyMzMuNDUgMTkzLjkgMjMz&#10;LjMzIDE5MyAyMzMuMjcgMTkyLjU3IDIzMy4yMiAxOTIuMTQgMjMzLjI2IDE5MS43MSAyMzMuMjkg&#10;MTkxLjQzIDIzMy4zMSAxOTEuMTcgMjMzLjQ0IDE5MC45MiAyMzMuNDQgMTkwLjg3IDIzMy40NSAx&#10;OTAuODMgMjMzLjQ3IDE5MC43OSAyMzMuNTcgMTkwLjUgMjMzLjk2IDE5MC4yNiAyMzQuNDUgMTkw&#10;LjE3IDIzNC42MiAxOTAuMTQgMjM0LjgxIDE5MC4xMiAyMzQuOTkgMTkwLjEzIDIzNS4zMiAxOTAu&#10;MTQgMjM1LjY1IDE5MC4yMSAyMzUuOSAxOTAuMzRaIiBmaWxsPSIjMDEwMTAxIi8+PHBhdGggZD0i&#10;TTI0OS4wOCAxODguMkMyNDkuMTQgMTg4LjI1IDI0OS4xOCAxODguMyAyNDkuMjIgMTg4LjM2IDI0&#10;OS40NCAxODguNjIgMjQ5LjUgMTg4LjkyIDI0OS41OCAxODkuMjEgMjQ5LjY5IDE4OS41OCAyNDku&#10;NzggMTg5Ljk1IDI0OS44NiAxOTAuMzIgMjUwLjA0IDE5MS4wOSAyNTAuMjIgMTkxLjg3IDI1MC4z&#10;OSAxOTIuNjQgMjUwLjc0IDE5NC4xOSAyNTEuMTIgMTk1LjczIDI1MS42MiAxOTcuMjYgMjUxLjk1&#10;IDE5OC4yMiAyNTIuMjkgMTk5LjE4IDI1Mi41MyAyMDAuMTUgMjUyLjYzIDIwMC41OCAyNTIuNzIg&#10;MjAxLjAxIDI1Mi43OCAyMDEuNDUgMjUyLjgxIDIwMS42NyAyNTIuODQgMjAxLjg5IDI1Mi44NiAy&#10;MDIuMSAyNTIuODggMjAyLjM5IDI1Mi44NiAyMDIuNjggMjUyLjgzIDIwMi45NyAyNTIuODUgMjAz&#10;LjExIDI1Mi43OSAyMDMuMjUgMjUyLjY4IDIwMy4zOCAyNTIuNTEgMjAzLjU3IDI1Mi4yMSAyMDMu&#10;NzIgMjUxLjg1IDIwMy43OCAyNTEuMSAyMDMuOTIgMjUwLjMzIDIwMy42OCAyNTAuMDYgMjAzLjI3&#10;IDI0OS45IDIwMy4wMyAyNDkuNzMgMjAyLjc5IDI0OS42IDIwMi41NCAyNDkuNSAyMDIuMzQgMjQ5&#10;LjQyIDIwMi4xNCAyNDkuMzMgMjAxLjk1IDI0OS4xMyAyMDEuNDcgMjQ4Ljk0IDIwMC45OSAyNDgu&#10;NzkgMjAwLjUgMjQ4LjUxIDE5OS42IDI0OC4zMSAxOTguNyAyNDguMTIgMTk3Ljc5IDI0Ny43NSAx&#10;OTUuOTQgMjQ3LjM0IDE5NC4wOSAyNDcuMDMgMTkyLjI0IDI0Ni45MSAxOTEuNTYgMjQ2LjggMTkw&#10;Ljg4IDI0Ni43IDE5MC4yMSAyNDYuNjUgMTg5Ljg4IDI0Ni42MSAxODkuNTUgMjQ2LjU5IDE4OS4y&#10;MyAyNDYuNTcgMTg4Ljk0IDI0Ni41NCAxODguNTkgMjQ2Ljc5IDE4OC4zMSAyNDYuOCAxODguMyAy&#10;NDYuODEgMTg4LjI4IDI0Ni44MiAxODguMjcgMjQ3LjAzIDE4OC4wNCAyNDcuNDUgMTg3Ljg4IDI0&#10;Ny45MSAxODcuODYgMjQ3Ljk2IDE4Ny44NiAyNDguMDEgMTg3Ljg2IDI0OC4wNiAxODcuODYgMjQ4&#10;LjQ3IDE4Ny44NyAyNDguODYgMTg4IDI0OS4wOCAxODguMloiIGZpbGw9IiMwMTAxMDEiLz48cGF0&#10;aCBkPSJNMjYyLjYgMTkxLjI3QzI2My40MiAxOTEuNDYgMjYzLjgzIDE5MiAyNjQuMTYgMTkyLjQz&#10;IDI2NC4zOSAxOTIuNzMgMjY0LjUzIDE5My4wNiAyNjQuNjcgMTkzLjM5IDI2NC45NiAxOTQuMDUg&#10;MjY1LjE5IDE5NC43MyAyNjUuNDIgMTk1LjQgMjY1Ljg4IDE5Ni43MiAyNjYuMjMgMTk4LjA2IDI2&#10;Ni42NiAxOTkuMzggMjY2Ljc3IDE5OS42NyAyNjYuODkgMTk5Ljk3IDI2Ni45MiAyMDAuMjcgMjY2&#10;Ljk0IDIwMC41NiAyNjYuOTQgMjAwLjg1IDI2Ni45MyAyMDEuMTQgMjY2LjkyIDIwMS42NCAyNjYu&#10;NDcgMjAyLjA5IDI2NS42IDIwMi4yNSAyNjUuMTEgMjAyLjM0IDI2NC41OCAyMDIuMzIgMjY0LjEy&#10;IDIwMi4xOCAyNjMuNjMgMjAyLjA0IDI2My4zNiAyMDEuODIgMjYzLjE1IDIwMS41NCAyNjIuOTMg&#10;MjAxLjI2IDI2Mi43MyAyMDAuOTggMjYyLjU2IDIwMC42OSAyNjIuMzUgMjAwLjM0IDI2Mi4yOCAx&#10;OTkuOTcgMjYyLjE3IDE5OS42MSAyNjEuNzQgMTk4LjM3IDI2MS4zMSAxOTcuMTMgMjYwLjkyIDE5&#10;NS44OCAyNjAuNzIgMTk1LjIzIDI2MC41MyAxOTQuNTggMjYwLjM0IDE5My45MyAyNjAuMjQgMTkz&#10;LjYxIDI2MC4xNSAxOTMuMjkgMjYwLjA1IDE5Mi45NiAyNTkuOTYgMTkyLjY2IDI1OS44MiAxOTIu&#10;MjggMjU5Ljk5IDE5MS45OCAyNjAuMTUgMTkxLjcgMjYwLjM0IDE5MS40OCAyNjAuNzkgMTkxLjMy&#10;IDI2MS4xMyAxOTEuMiAyNjEuNDggMTkxLjE1IDI2MS44NSAxOTEuMTYgMjYyLjEgMTkxLjE2IDI2&#10;Mi4zNiAxOTEuMiAyNjIuNjEgMTkxLjI2WiIgZmlsbD0iIzAxMDEwMSIvPjxwYXRoIGQ9Ik0yNzYu&#10;ODMgMTkxLjI2QzI3Ny4zNyAxOTEuMzkgMjc3LjY2IDE5MS43MiAyNzcuODUgMTkyLjAxIDI3Ny45&#10;NyAxOTIuMTkgMjc4LjA1IDE5Mi4zNyAyNzguMTEgMTkyLjU1IDI3OC4yOSAxOTMuMDUgMjc4LjQ2&#10;IDE5My41NSAyNzguNjEgMTk0LjA1IDI3OC44NyAxOTQuODkgMjc5LjA1IDE5NS43MyAyNzkuMjQg&#10;MTk2LjU3IDI3OS40MyAxOTcuNCAyNzkuNTggMTk4LjIzIDI3OS44MSAxOTkuMDUgMjc5LjkyIDE5&#10;OS40NCAyODAuMDQgMTk5Ljg0IDI4MC4xNSAyMDAuMjMgMjgwLjIxIDIwMC40NCAyODAuMjYgMjAw&#10;LjY1IDI4MC4zMSAyMDAuODYgMjgwLjMzIDIwMC45NCAyODAuMzYgMjAxLjAzIDI4MC4zNyAyMDEu&#10;MTIgMjgwLjQgMjAxLjM0IDI4MC4zNyAyMDEuNTUgMjgwLjMyIDIwMS43NyAyODAuMjQgMjAxLjk4&#10;IDI4MC4wNyAyMDIuMTcgMjc5LjgxIDIwMi4zNCAyNzkuNDQgMjAyLjU3IDI3OC45MiAyMDIuNzEg&#10;Mjc4LjM4IDIwMi43MyAyNzcuNCAyMDIuNzYgMjc2LjU5IDIwMi40MSAyNzYuMjUgMjAxLjkxIDI3&#10;NS45NCAyMDEuNDQgMjc1LjkgMjAwLjkxIDI3NS44MSAyMDAuNDIgMjc1Ljc0IDIwMC4wMiAyNzUu&#10;NjkgMTk5LjYyIDI3NS42NCAxOTkuMjMgMjc1LjUzIDE5OC40MSAyNzUuMzMgMTk3LjYgMjc1LjE3&#10;IDE5Ni43OSAyNzUgMTk1Ljk0IDI3NC44NCAxOTUuMDkgMjc0LjY4IDE5NC4yNCAyNzQuNjEgMTkz&#10;LjgzIDI3NC41MyAxOTMuNDIgMjc0LjQ4IDE5My4wMiAyNzQuNDYgMTkyLjgzIDI3NC40NSAxOTIu&#10;NjQgMjc0LjQ3IDE5Mi40NCAyNzQuNDkgMTkyLjI5IDI3NC40OCAxOTIuMTEgMjc0LjU3IDE5MS45&#10;NiAyNzQuNjYgMTkxLjggMjc0Ljc3IDE5MS41OCAyNzUuMDEgMTkxLjQ2IDI3NS4xOSAxOTEuMzUg&#10;Mjc1LjQxIDE5MS4yNyAyNzUuNjYgMTkxLjIyIDI3NS44NCAxOTEuMTkgMjc2LjAyIDE5MS4xNyAy&#10;NzYuMTkgMTkxLjE4IDI3Ni40IDE5MS4xOCAyNzYuNjEgMTkxLjIyIDI3Ni44MiAxOTEuMjdaIiBm&#10;aWxsPSIjMDEwMTAxIi8+PHBhdGggZD0iTTI4OC42MiAxOTEuNzFDMjg5LjI1IDE5MS45MSAyODku&#10;NDkgMTkyLjI3IDI4OS42MyAxOTIuNjQgMjg5Ljc2IDE5Mi45OCAyODkuODQgMTkzLjMzIDI4OS45&#10;MyAxOTMuNjggMjkwLjA3IDE5NC4yMyAyOTAuMTcgMTk0Ljc5IDI5MC4yNyAxOTUuMzQgMjkwLjQ4&#10;IDE5Ni41NCAyOTAuNjIgMTk3Ljc0IDI5MC43MiAxOTguOTUgMjkwLjc2IDE5OS40NSAyOTAuMDkg&#10;MTk5LjkgMjg5LjE5IDE5OS45MyAyODguNzUgMTk5Ljk1IDI4OC4zMSAxOTkuODYgMjg3Ljk5IDE5&#10;OS42OSAyODcuNjUgMTk5LjUxIDI4Ny41MyAxOTkuMzEgMjg3LjQ2IDE5OS4wNiAyODcuMTEgMTk3&#10;Ljg3IDI4Ni44NCAxOTYuNjggMjg2LjY0IDE5NS40OCAyODYuNTUgMTk0Ljk0IDI4Ni40NyAxOTQu&#10;MzkgMjg2LjQzIDE5My44NSAyODYuNDEgMTkzLjU3IDI4Ni4zOCAxOTMuMjggMjg2LjQgMTkzIDI4&#10;Ni40MyAxOTIuNTQgMjg2LjQ3IDE5Mi4wNSAyODcuMjMgMTkxLjc2IDI4Ny40NyAxOTEuNjcgMjg3&#10;Ljc4IDE5MS42MiAyODguMDggMTkxLjYzIDI4OC4yNyAxOTEuNjMgMjg4LjQ2IDE5MS42NiAyODgu&#10;NjMgMTkxLjcyWiIgZmlsbD0iIzAxMDEwMSIvPjxwYXRoIGQ9Ik0yOTguODYgMTkwLjA3QzI5OS4y&#10;MyAxOTAuMTcgMjk5LjUgMTkwLjM1IDI5OS42OSAxOTAuNTUgMjk5LjkxIDE5MC43OCAzMDAuMDgg&#10;MTkxLjAyIDMwMC4yMiAxOTEuMjcgMzAwLjQ1IDE5MS42OCAzMDAuNiAxOTIuMSAzMDAuNzUgMTky&#10;LjUyIDMwMS4wNyAxOTMuNDMgMzAxLjMxIDE5NC4zNCAzMDEuNTIgMTk1LjI1IDMwMS45MyAxOTcu&#10;MDEgMzAyLjI4IDE5OC43NyAzMDIuNTYgMjAwLjUzIDMwMi42NyAyMDEuMjEgMzAyLjc4IDIwMS44&#10;OSAzMDIuODEgMjAyLjU4IDMwMi44MyAyMDMuMDcgMzAyLjM0IDIwMy41MSAzMDEuNTEgMjAzLjY3&#10;IDMwMS4wMyAyMDMuNzYgMzAwLjUxIDIwMy43NCAzMDAuMDYgMjAzLjYxIDI5OS42NSAyMDMuNDkg&#10;Mjk5LjIyIDIwMy4yNSAyOTkuMTIgMjAyLjk4IDI5OC43NCAyMDIuMDUgMjk4LjUgMjAxLjA5IDI5&#10;OC4yOSAyMDAuMTQgMjk4LjEgMTk5LjI4IDI5Ny45MyAxOTguNDIgMjk3Ljc4IDE5Ny41NyAyOTcu&#10;NDkgMTk1LjgxIDI5Ny4yNiAxOTQuMDUgMjk3LjExIDE5Mi4yOSAyOTcuMDkgMTkxLjk4IDI5Ny4w&#10;NiAxOTEuNjcgMjk3LjA2IDE5MS4zNiAyOTcuMDYgMTkxLjA0IDI5Ny4wMyAxOTAuNjYgMjk3LjMx&#10;IDE5MC4zNyAyOTcuNTUgMTkwLjEzIDI5Ny45NyAxOTAgMjk4LjQxIDE5MC4wMSAyOTguNTYgMTkw&#10;LjAxIDI5OC43MSAxOTAuMDQgMjk4Ljg2IDE5MC4wOFoiIGZpbGw9IiMwMTAxMDEiLz48cGF0aCBk&#10;PSJNMzEzLjA1IDE5Mi4yNkMzMTMuNCAxOTIuNDIgMzEzLjYxIDE5Mi42NyAzMTMuNzYgMTkyLjkg&#10;MzEzLjg2IDE5My4wNSAzMTMuOTIgMTkzLjIxIDMxMy45OCAxOTMuMzcgMzE0LjE1IDE5My44MiAz&#10;MTQuMjggMTk0LjI2IDMxNC4zOCAxOTQuNzEgMzE0LjU1IDE5NS40NSAzMTQuNjkgMTk2LjE5IDMx&#10;NC44IDE5Ni45MyAzMTQuOTIgMTk3LjY1IDMxNS4wMiAxOTguMzcgMzE1LjEzIDE5OS4wOSAzMTUu&#10;MTggMTk5LjQ0IDMxNS4yNSAxOTkuNzkgMzE1LjI5IDIwMC4xNSAzMTUuMzQgMjAwLjY1IDMxNS4y&#10;MyAyMDEuMTYgMzE1LjEzIDIwMS42NiAzMTUuMDMgMjAyLjE1IDMxNC4xNCAyMDIuNTIgMzEzLjMy&#10;IDIwMi41NSAzMTIuNDUgMjAyLjU4IDMxMS42IDIwMi4yNiAzMTEuMzQgMjAxLjc5IDMxMS4wOCAy&#10;MDEuMzIgMzEwLjg1IDIwMC44NiAzMTAuNzQgMjAwLjM3IDMxMC42NyAyMDAuMDMgMzEwLjYyIDE5&#10;OS42OCAzMTAuNTYgMTk5LjM0IDMxMC40NSAxOTguNjEgMzEwLjMyIDE5Ny44OCAzMTAuMjIgMTk3&#10;LjE1IDMxMC4xMiAxOTYuNDEgMzEwLjAzIDE5NS42OCAzMDkuOTcgMTk0Ljk0IDMwOS45NCAxOTQu&#10;NTYgMzA5LjkgMTk0LjE4IDMwOS45MSAxOTMuOCAzMDkuOTEgMTkzLjMxIDMwOS45MSAxOTIuNjkg&#10;MzEwLjU3IDE5Mi4zMiAzMTAuOSAxOTIuMTQgMzExLjI4IDE5Mi4wMiAzMTEuNzUgMTkyIDMxMS44&#10;MiAxOTIgMzExLjg4IDE5MiAzMTEuOTQgMTkyIDMxMi4zNSAxOTIuMDEgMzEyLjY5IDE5Mi4xMSAz&#10;MTMuMDIgMTkyLjI1WiIgZmlsbD0iIzAxMDEwMSIvPjxwYXRoIGQ9Ik0zMjYuOSAxOTEuODJDMzI3&#10;LjM4IDE5MS45MyAzMjcuNjYgMTkyLjI1IDMyNy43OSAxOTIuNTEgMzI3LjkzIDE5Mi43NyAzMjgu&#10;MDEgMTkzLjA0IDMyOC4wOSAxOTMuMyAzMjguMjMgMTkzLjcyIDMyOC4zNCAxOTQuMTUgMzI4LjQ0&#10;IDE5NC41OCAzMjguNjQgMTk1LjQzIDMyOC44MSAxOTYuMjcgMzI5LjAxIDE5Ny4xMiAzMjkuMzkg&#10;MTk4Ljc5IDMyOS42OCAyMDAuNDYgMzI5Ljk1IDIwMi4xNCAzMzAuMTIgMjAzLjIxIDMzMC4zNiAy&#10;MDQuMjcgMzMwLjQ3IDIwNS4zNCAzMzAuNTIgMjA1LjgzIDMyOS45NyAyMDYuMyAzMjkuMTQgMjA2&#10;LjQ1IDMyOC42NiAyMDYuNTQgMzI4LjEyIDIwNi41MiAzMjcuNjYgMjA2LjM5IDMyNy4yNCAyMDYu&#10;MjcgMzI2LjggMjA2LjAyIDMyNi43IDIwNS43NSAzMjYuMzMgMjA0LjgzIDMyNi4xMyAyMDMuOSAz&#10;MjUuOTEgMjAyLjk2IDMyNS43MiAyMDIuMTYgMzI1LjUyIDIwMS4zNyAzMjUuMzUgMjAwLjU3IDMy&#10;NSAxOTguODUgMzI0Ljc2IDE5Ny4xMiAzMjQuNjkgMTk1LjM5IDMyNC42NyAxOTQuODIgMzI0LjY2&#10;IDE5NC4yNCAzMjQuNjkgMTkzLjY3IDMyNC43MSAxOTMuMzQgMzI0LjcyIDE5MyAzMjQuODIgMTky&#10;LjY3IDMyNC44NiAxOTIuNTEgMzI0LjkzIDE5Mi4zMiAzMjUuMDggMTkyLjE4IDMyNS4yMSAxOTIu&#10;MDYgMzI1LjM1IDE5MS45MyAzMjUuNTkgMTkxLjg2IDMyNS44NyAxOTEuNzggMzI2LjEyIDE5MS43&#10;NCAzMjYuMzkgMTkxLjc1IDMyNi41NSAxOTEuNzUgMzI2LjcyIDE5MS43OCAzMjYuOSAxOTEuODJa&#10;IiBmaWxsPSIjMDEwMTAxIi8+PHBhdGggZD0iTTM0MC4yOCAxOTIuMDFDMzQwLjcgMTkyLjE5IDM0&#10;MC45MiAxOTIuNSAzNDEuMTIgMTkyLjc2IDM0MS4yOCAxOTIuOTcgMzQxLjM4IDE5My4yIDM0MS40&#10;NyAxOTMuNDIgMzQxLjcxIDE5My45OCAzNDEuODggMTk0LjU2IDM0Mi4wMyAxOTUuMTQgMzQyLjMg&#10;MTk2LjE1IDM0Mi41MSAxOTcuMTcgMzQyLjcyIDE5OC4xOCAzNDIuOTQgMTk5LjE3IDM0My4xNCAy&#10;MDAuMTUgMzQzLjM2IDIwMS4xMyAzNDMuNTggMjAyLjEyIDM0My44NSAyMDMuMDkgMzQ0LjExIDIw&#10;NC4wOCAzNDQuMTkgMjA0LjM3IDM0NC4yNiAyMDQuNjYgMzQ0LjMyIDIwNC45NiAzNDQuNDQgMjA1&#10;LjUyIDM0My43IDIwNi4wNyAzNDIuNzkgMjA2LjI0IDM0Mi4yMyAyMDYuMzQgMzQxLjYxIDIwNi4z&#10;MiAzNDEuMDkgMjA2LjE3IDM0MC42MSAyMDYuMDMgMzQwLjEgMjA1Ljc1IDMzOS45OCAyMDUuNDQg&#10;MzM5LjE5IDIwMy40MiAzMzguNjUgMjAxLjM1IDMzOC4yMSAxOTkuMjkgMzM4IDE5OC4yOSAzMzcu&#10;ODEgMTk3LjI4IDMzNy42MyAxOTYuMjggMzM3LjU0IDE5NS43OCAzMzcuNDcgMTk1LjI4IDMzNy4z&#10;OSAxOTQuNzggMzM3LjMxIDE5NC4zIDMzNy4yMyAxOTMuODIgMzM3LjIzIDE5My4zNCAzMzcuMjMg&#10;MTkzLjEzIDMzNy4yNSAxOTIuOTEgMzM3LjMxIDE5Mi43MSAzMzcuMzggMTkyLjQ3IDMzNy41OCAx&#10;OTIuMjkgMzM3Ljg0IDE5Mi4xIDMzOC4wOSAxOTEuOTEgMzM4LjYgMTkxLjggMzM5LjAxIDE5MS43&#10;OCAzMzkuMDggMTkxLjc4IDMzOS4xNCAxOTEuNzggMzM5LjIxIDE5MS43OCAzMzkuNjEgMTkxLjc5&#10;IDMzOS45NCAxOTEuODkgMzQwLjI4IDE5Mi4wM1oiIGZpbGw9IiMwMTAxMDEiLz48cGF0aCBkPSJN&#10;MzYwLjM5IDIwMi44OEMzNjAuNDEgMjAyLjk1IDM2MC40NCAyMDMuMDIgMzYwLjQ2IDIwMy4wOSAz&#10;NjAuNDQgMjAzLjAyIDM2MC40MSAyMDIuOTUgMzYwLjM5IDIwMi44OFpNMzU5LjIzIDE5OS4xM0Mz&#10;NTkuMjMgMTk5LjEzIDM1OS4yNSAxOTkuMTggMzU5LjI2IDE5OS4yMSAzNTkuMjYgMTk5LjE4IDM1&#10;OS4yNCAxOTkuMTYgMzU5LjIzIDE5OS4xM1pNMzU1LjU4IDE5Mi4zQzM1Ny4wMyAxOTIuNDcgMzU3&#10;LjQ2IDE5My4yOCAzNTcuNzEgMTk0IDM1Ny45NCAxOTQuNjUgMzU4LjE0IDE5NS4zMSAzNTguMzMg&#10;MTk1Ljk3IDM1OC42NSAxOTcuMDYgMzU4LjkxIDE5OC4xNiAzNTkuMjcgMTk5LjI1IDM1OS40OSAx&#10;OTkuODkgMzU5LjcyIDIwMC41MiAzNTkuOTEgMjAxLjE2IDM2MC4wNyAyMDEuNzMgMzYwLjIgMjAy&#10;LjMgMzYwLjM5IDIwMi44NiAzNjAuNTEgMjAzLjIxIDM2MC42MyAyMDMuNTcgMzYwLjc0IDIwMy45&#10;MiAzNjAuNzYgMjA0LjE3IDM2MC42OCAyMDQuNDEgMzYwLjQ3IDIwNC42NCAzNjAuMTcgMjA0Ljk3&#10;IDM1OS42NSAyMDUuMjMgMzU5LjAzIDIwNS4zNCAzNTguNDEgMjA1LjQ2IDM1Ny43MiAyMDUuNDIg&#10;MzU3LjEzIDIwNS4yNiAzNTYuNTkgMjA1LjExIDM1Ni4wNCAyMDQuNzkgMzU1Ljg5IDIwNC40NCAz&#10;NTUuNDYgMjAzLjM5IDM1NS4wOSAyMDIuMzMgMzU0Ljc1IDIwMS4yOCAzNTQuNDMgMjAwLjMgMzU0&#10;LjI1IDE5OS4zMSAzNTQuMDIgMTk4LjMyIDM1My44IDE5Ny4zOSAzNTMuNTkgMTk2LjQ3IDM1My40&#10;IDE5NS41NCAzNTMuMzEgMTk1LjA3IDM1My4yMiAxOTQuNjEgMzUzLjE0IDE5NC4xNCAzNTMuMSAx&#10;OTMuODYgMzUzLjEgMTkzLjYxIDM1My4xNCAxOTMuMzMgMzUzLjIyIDE5Mi43MyAzNTQuMjYgMTky&#10;LjI1IDM1NS4zIDE5Mi4yOCAzNTUuMzkgMTkyLjI4IDM1NS40OCAxOTIuMjggMzU1LjU3IDE5Mi4z&#10;WiIgZmlsbD0iIzAxMDEwMSIvPjxwYXRoIGQ9Ik0zNjkuNjEgMTkxLjg2QzM2OS45OSAxOTIuMDcg&#10;MzcwLjE1IDE5Mi4yNSAzNzAuMzggMTkyLjUyIDM3MC42NCAxOTIuODMgMzcwLjc5IDE5My4xNiAz&#10;NzAuOTMgMTkzLjQ4IDM3MS4yOSAxOTQuMjkgMzcxLjQ4IDE5NS4xMiAzNzEuNzEgMTk1Ljk0IDM3&#10;Mi4xIDE5Ny4zNyAzNzIuNDQgMTk4LjggMzcyLjcyIDIwMC4yMyAzNzIuODYgMjAwLjkxIDM3MS44&#10;MSAyMDEuNTEgMzcwLjY2IDIwMS41NSAzNzAuMDcgMjAxLjU3IDM2OS40OCAyMDEuNDUgMzY5LjA1&#10;IDIwMS4yMyAzNjguNTkgMjAwLjk5IDM2OC40NCAyMDAuNzIgMzY4LjMzIDIwMC4zOCAzNjcuOTEg&#10;MTk4Ljk2IDM2Ny42IDE5Ny41NCAzNjcuMjkgMTk2LjExIDM2Ny4xMyAxOTUuMzkgMzY2Ljk4IDE5&#10;NC42NyAzNjYuODQgMTkzLjk1IDM2Ni43OCAxOTMuNjQgMzY2LjcyIDE5My4zMiAzNjYuNjcgMTkz&#10;LjAxIDM2Ni41OCAxOTIuNDYgMzY2Ljc3IDE5MS44MSAzNjcuODYgMTkxLjYyIDM2OC4wNiAxOTEu&#10;NTkgMzY4LjI3IDE5MS41NyAzNjguNDggMTkxLjU4IDM2OC45IDE5MS41OSAzNjkuMzIgMTkxLjY5&#10;IDM2OS42MSAxOTEuODVaIiBmaWxsPSIjMDEwMTAxIi8+PHBhdGggZD0iTTM3OS45NSAxODkuMzND&#10;Mzc5Ljk5IDE4OS4zOSAzODAgMTg5LjQ2IDM4MC4wMSAxODkuNTIgMzgwLjA2IDE4OS41OCAzODAu&#10;MTEgMTg5LjY1IDM4MC4xNSAxODkuNzEgMzgwLjI5IDE4OS45NSAzODAuNCAxOTAuMiAzODAuNTEg&#10;MTkwLjQ1IDM4MC43NSAxOTEuMDEgMzgwLjkyIDE5MS41NyAzODEuMDkgMTkyLjE0IDM4MS40IDE5&#10;My4xOSAzODEuNjggMTk0LjI1IDM4MS45NiAxOTUuMzEgMzgyLjUxIDE5Ny4zOCAzODMuMDIgMTk5&#10;LjQ0IDM4My41NSAyMDEuNTEgMzgzLjY5IDIwMi4wNSAzODMuNzQgMjAyLjU4IDM4My43NyAyMDMu&#10;MTMgMzgzLjggMjAzLjY4IDM4My44OCAyMDQuMjMgMzgzLjg4IDIwNC43OSAzODMuODggMjA1LjI5&#10;IDM4My40MSAyMDUuNzQgMzgyLjU1IDIwNS45IDM4MS41NSAyMDYuMDkgMzgwLjQyIDIwNS43NyAz&#10;ODAuMSAyMDUuMiAzNzkuODIgMjA0LjcgMzc5LjYxIDIwNC4xOSAzNzkuMzggMjAzLjY5IDM3OS4x&#10;MiAyMDMuMTEgMzc4Ljg3IDIwMi41NCAzNzguNyAyMDEuOTUgMzc4LjQyIDIwMC45MSAzNzguMjQg&#10;MTk5Ljg1IDM3OC4wNSAxOTguOCAzNzcuNjYgMTk2LjcgMzc3LjMzIDE5NC41OSAzNzcuMjIgMTky&#10;LjQ4IDM3Ny4xOSAxOTEuOTMgMzc3LjIgMTkxLjM4IDM3Ny4yNSAxOTAuODQgMzc3LjI5IDE5MC41&#10;MiAzNzcuMzMgMTkwLjIgMzc3LjQyIDE4OS44OSAzNzcuNDYgMTg5Ljc2IDM3Ny41MyAxODkuNjQg&#10;Mzc3LjYxIDE4OS41MiAzNzcuNjEgMTg5LjQ4IDM3Ny42MSAxODkuNDQgMzc3LjYzIDE4OS40MSAz&#10;NzcuNzMgMTg5LjExIDM3OC4xOSAxODguODggMzc4LjczIDE4OC44NyAzNzguNzggMTg4Ljg3IDM3&#10;OC44MiAxODguODcgMzc4Ljg3IDE4OC44NyAzNzkuMzYgMTg4Ljg5IDM3OS43OSAxODkuMDcgMzc5&#10;Ljk1IDE4OS4zNFoiIGZpbGw9IiMwMTAxMDEiLz48cGF0aCBkPSJNMzk2Ljk2IDE5MC4xNEMzOTcu&#10;ODcgMTkwLjQgMzk4LjIyIDE5MS4wMSAzOTguNSAxOTEuNTMgMzk4Ljc2IDE5Mi4wMSAzOTguOTIg&#10;MTkyLjUgMzk5LjEgMTkyLjk5IDM5OS40OSAxOTQuMTEgMzk5LjgyIDE5NS4yNSA0MDAuMTUgMTk2&#10;LjM4IDQwMC43NSAxOTguNDEgNDAxLjM3IDIwMC40NSA0MDEuNzYgMjAyLjUgNDAxLjc5IDIwMi42&#10;NCA0MDEuODEgMjAyLjc4IDQwMS44MyAyMDIuOTIgNDAxLjkzIDIwMy41MiA0MDEuMTkgMjA0LjA5&#10;IDQwMC4yMSAyMDQuMjcgMzk5LjA1IDIwNC40OSAzOTcuNTUgMjA0LjEyIDM5Ny4yMyAyMDMuNDIg&#10;Mzk2LjI2IDIwMS4yNCAzOTUuNjggMTk5LjAxIDM5NS4xMyAxOTYuNzkgMzk0Ljg4IDE5NS43OSAz&#10;OTQuNjQgMTk0Ljc4IDM5NC40OSAxOTMuNzcgMzk0LjQxIDE5My4yNSAzOTQuMzMgMTkyLjczIDM5&#10;NC4zMyAxOTIuMjIgMzk0LjMzIDE5MS45IDM5NC4zNiAxOTEuNTkgMzk0LjQxIDE5MS4yNyAzOTQu&#10;NDYgMTkwLjk0IDM5NC42NCAxOTAuNjUgMzk0Ljk5IDE5MC4zOCAzOTUuMDEgMTkwLjM2IDM5NS4w&#10;MyAxOTAuMzUgMzk1LjA2IDE5MC4zNCAzOTUuMjUgMTkwLjIyIDM5NS40OCAxOTAuMTQgMzk1Ljc0&#10;IDE5MC4wOSAzOTUuOTMgMTkwLjA1IDM5Ni4xMyAxOTAuMDQgMzk2LjMzIDE5MC4wNSAzOTYuNTUg&#10;MTkwLjA1IDM5Ni43NiAxOTAuMDkgMzk2Ljk2IDE5MC4xNVoiIGZpbGw9IiMwMTAxMDEiLz48cGF0&#10;aCBkPSJNNDA5LjI0IDE5Ni41OEM0MDkuODkgMTk2Ljc2IDQxMC4xMyAxOTcuMTQgNDEwLjI3IDE5&#10;Ny41MSA0MTAuNCAxOTcuODggNDEwLjUgMTk4LjI0IDQxMC42IDE5OC42MSA0MTAuNzUgMTk5LjE4&#10;IDQxMC44NyAxOTkuNzUgNDEwLjk3IDIwMC4zMiA0MTEuMTkgMjAxLjUyIDQxMS4zOCAyMDIuNzMg&#10;NDExLjQyIDIwMy45NCA0MTEuNDMgMjA0LjU2IDQxMC42NiAyMDUuMSA0MDkuNTQgMjA1LjE0IDQw&#10;OS4wMSAyMDUuMTYgNDA4LjQ3IDIwNS4wNSA0MDguMDcgMjA0Ljg1IDQwNy42NSAyMDQuNjMgNDA3&#10;LjUxIDIwNC4zOCA0MDcuNDIgMjA0LjA4IDQwNy4wNSAyMDIuODYgNDA2Ljg2IDIwMS42MSA0MDYu&#10;NzIgMjAwLjM3IDQwNi42NSAxOTkuNzYgNDA2LjYgMTk5LjE1IDQwNi42MSAxOTguNTMgNDA2LjYx&#10;IDE5OC4xNyA0MDYuNjMgMTk3LjggNDA2Ljc3IDE5Ny40NSA0MDYuODcgMTk3LjIxIDQwNy4wMyAx&#10;OTcgNDA3LjMgMTk2LjgxIDQwNy42MiAxOTYuNTkgNDA4LjEzIDE5Ni40OCA0MDguNjIgMTk2LjQ5&#10;IDQwOC44MyAxOTYuNDkgNDA5LjA1IDE5Ni41MyA0MDkuMjQgMTk2LjU4WiIgZmlsbD0iIzAxMDEw&#10;MSIvPjxwYXRoIGQ9Ik00MTkuOTUgMTkyLjQ0QzQyMC40MiAxOTIuNjMgNDIwLjcgMTkzLjAxIDQy&#10;MC45IDE5My4zIDQyMS4wNCAxOTMuNTEgNDIxLjEzIDE5My43MyA0MjEuMjMgMTkzLjk0IDQyMS40&#10;OSAxOTQuNTMgNDIxLjY1IDE5NS4xMyA0MjEuODEgMTk1LjczIDQyMi4wOCAxOTYuNzYgNDIyLjI1&#10;IDE5Ny44IDQyMi40NSAxOTguODQgNDIyLjY1IDE5OS44OCA0MjIuODMgMjAwLjkxIDQyMy4wMSAy&#10;MDEuOTYgNDIzLjIgMjAzLjA0IDQyMy40NCAyMDQuMTIgNDIzLjUxIDIwNS4yMSA0MjMuNTUgMjA1&#10;LjgxIDQyMi45MiAyMDYuMzYgNDIxLjkxIDIwNi41NSA0MjAuNjkgMjA2Ljc4IDQxOS4zNyAyMDYu&#10;MzkgNDE4Ljk2IDIwNS43IDQxOC4yOCAyMDQuNTggNDE3Ljk3IDIwMy4zOSA0MTcuNjEgMjAyLjIy&#10;IDQxNy4yOSAyMDEuMTkgNDE3LjA3IDIwMC4xNSA0MTYuODggMTk5LjEgNDE2LjcgMTk4LjA3IDQx&#10;Ni41MiAxOTcuMDQgNDE2LjQ1IDE5NiA0MTYuNDEgMTk1LjQ4IDQxNi4zNyAxOTQuOTUgNDE2LjQx&#10;IDE5NC40MyA0MTYuNDMgMTk0LjExIDQxNi40NCAxOTMuNzcgNDE2LjU1IDE5My40NSA0MTYuNjIg&#10;MTkzLjI2IDQxNi43MiAxOTMuMDYgNDE2Ljg3IDE5Mi44OSA0MTcuMDcgMTkyLjY0IDQxNy4zNCAx&#10;OTIuNTEgNDE3LjcgMTkyLjM0IDQxNy45NyAxOTIuMjQgNDE4LjI3IDE5Mi4xOSA0MTguNTkgMTky&#10;LjE3IDQxOC42NiAxOTIuMTcgNDE4LjczIDE5Mi4xNyA0MTguOCAxOTIuMTcgNDE5LjI0IDE5Mi4x&#10;OCA0MTkuNTggMTkyLjI5IDQxOS45NSAxOTIuNDRaIiBmaWxsPSIjMDEwMTAxIi8+PHBhdGggZD0i&#10;TTQzNSAyMDAuNTdDNDM1IDIwMC41NyA0MzUuMDMgMjAwLjY2IDQzNS4wNSAyMDAuNzEgNDM1LjA0&#10;IDIwMC42NiA0MzUuMDIgMjAwLjYyIDQzNSAyMDAuNTdaTTQzMC4xMiAxOTEuNDdDNDMxLjE5IDE5&#10;MS41NCA0MzEuNzEgMTkyLjE3IDQzMi4xIDE5Mi42NCA0MzIuMzYgMTkyLjk2IDQzMi41MSAxOTMu&#10;MzIgNDMyLjY3IDE5My42NiA0MzMuMDYgMTk0LjUgNDMzLjMzIDE5NS4zNiA0MzMuNjEgMTk2LjIx&#10;IDQzNC4wOSAxOTcuNjQgNDM0LjUgMTk5LjA4IDQzNC45OCAyMDAuNTIgNDM1LjQyIDIwMS44MiA0&#10;MzUuOTIgMjAzLjEyIDQzNi4yNSAyMDQuNDMgNDM2LjM5IDIwNSA0MzUuNiAyMDUuNTcgNDM0LjY4&#10;IDIwNS43NCA0MzMuNTEgMjA1Ljk2IDQzMi4xNSAyMDUuNTkgNDMxLjc5IDIwNC45MSA0MzEuMTkg&#10;MjAzLjc4IDQzMC44NCAyMDIuNjIgNDMwLjQ3IDIwMS40NyA0MzAuMTQgMjAwLjQ3IDQyOS44MyAx&#10;OTkuNDYgNDI5LjUxIDE5OC40NiA0MjkuMTggMTk3LjQxIDQyOC44NSAxOTYuMzYgNDI4LjU2IDE5&#10;NS4zMSA0MjguNDEgMTk0LjgxIDQyOC4yNyAxOTQuMzEgNDI4LjE3IDE5My44IDQyOC4xMiAxOTMu&#10;NTYgNDI4LjA3IDE5My4zMiA0MjguMDMgMTkzLjA4IDQyNy45OSAxOTIuODMgNDI3Ljk1IDE5Mi41&#10;MSA0MjguMDYgMTkyLjI3IDQyOC4xMSAxOTIuMTcgNDI4LjE2IDE5Mi4wNyA0MjguMjQgMTkxLjk4&#10;IDQyOC42IDE5MS42IDQyOS4yNCAxOTEuNDMgNDI5Ljk2IDE5MS40NSA0MzAuMDIgMTkxLjQ1IDQz&#10;MC4wNyAxOTEuNDUgNDMwLjEzIDE5MS40NVoiIGZpbGw9IiMwMTAxMDEiLz48cGF0aCBkPSJNNDQz&#10;Ljc0IDE5Mi44N0M0NDQuMiAxOTMuMDYgNDQ0LjQ5IDE5My40MiA0NDQuNzEgMTkzLjcxIDQ0NC45&#10;IDE5My45NiA0NDUuMDYgMTk0LjIgNDQ1LjIxIDE5NC40NiA0NDUuNTMgMTk0Ljk5IDQ0NS43NiAx&#10;OTUuNTMgNDQ2LjAxIDE5Ni4wNyA0NDYuNSAxOTcuMTIgNDQ2Ljk0IDE5OC4xOSA0NDcuMzggMTk5&#10;LjI1IDQ0Ny44OCAyMDAuNDYgNDQ4LjM3IDIwMS42NiA0NDguNzggMjAyLjg4IDQ0OC45NiAyMDMu&#10;NDIgNDQ5LjEyIDIwMy45NSA0NDkuMjUgMjA0LjQ5IDQ0OS40IDIwNS4xIDQ0OS41MSAyMDUuNzEg&#10;NDQ5LjcgMjA2LjMyIDQ0OS43MiAyMDYuNTQgNDQ5LjY1IDIwNi43NCA0NDkuNDggMjA2Ljk0IDQ0&#10;OS4yMiAyMDcuMjIgNDQ4Ljc3IDIwNy40NCA0NDguMjQgMjA3LjU0IDQ0Ny4xNCAyMDcuNzQgNDQ1&#10;LjkgMjA3LjM5IDQ0NS41NSAyMDYuNzcgNDQ1LjIyIDIwNi4xOCA0NDQuODMgMjA1LjYxIDQ0NC40&#10;NSAyMDUuMDQgNDQ0LjEgMjA0LjUyIDQ0My44MSAyMDMuOTkgNDQzLjUzIDIwMy40NSA0NDIuOTcg&#10;MjAyLjM3IDQ0Mi41NCAyMDEuMjYgNDQyLjEyIDIwMC4xNSA0NDEuNjggMTk4Ljk4IDQ0MS4zMiAx&#10;OTcuOCA0NDEgMTk2LjYxIDQ0MC44NiAxOTYuMDcgNDQwLjc0IDE5NS41MyA0NDAuNjQgMTk0Ljk5&#10;IDQ0MC41OSAxOTQuNzQgNDQwLjU1IDE5NC40OCA0NDAuNTMgMTk0LjIyIDQ0MC41IDE5My44NyA0&#10;NDAuNTEgMTkzLjUgNDQwLjgxIDE5My4xOCA0NDEuMDQgMTkyLjkzIDQ0MS40MiAxOTIuNzQgNDQx&#10;LjkgMTkyLjY1IDQ0Mi4xMiAxOTIuNjEgNDQyLjM0IDE5Mi41OSA0NDIuNTUgMTkyLjYgNDQyLjk4&#10;IDE5Mi42MSA0NDMuMzcgMTkyLjcyIDQ0My43NSAxOTIuODdaIiBmaWxsPSIjMDEwMTAxIi8+PHBh&#10;dGggZD0iTTQ1MC40NyAxOTEuMThDNDUxLjggMTkxLjM3IDQ1Mi4zMSAxOTIuMTkgNDUyLjc5IDE5&#10;Mi44MyA0NTMuMTYgMTkzLjMzIDQ1My40NyAxOTMuODMgNDUzLjc4IDE5NC4zNCA0NTQuMzggMTk1&#10;LjMxIDQ1NC45MyAxOTYuMyA0NTUuNDUgMTk3LjI5IDQ1NS45OSAxOTguMzEgNDU2LjQ3IDE5OS4z&#10;NCA0NTYuODggMjAwLjM4IDQ1Ny4yOSAyMDEuNDIgNDU3LjY5IDIwMi40NiA0NTguMiAyMDMuNDkg&#10;NDU4LjQ5IDIwNC4wNyA0NTguNzkgMjA0LjY1IDQ1OS4xMSAyMDUuMjMgNDU5LjQ4IDIwNS45MyA0&#10;NTguODQgMjA2LjcgNDU3LjU5IDIwNi45MyA0NTYuMzcgMjA3LjE2IDQ1NC45NyAyMDYuNzcgNDU0&#10;LjU5IDIwNi4wNyA0NTMuOTkgMjA0Ljk4IDQ1My4zOSAyMDMuODggNDUyLjcxIDIwMi44IDQ1Mi4w&#10;NiAyMDEuNzcgNDUxLjM5IDIwMC43NiA0NTAuODUgMTk5LjcyIDQ1MC4zNCAxOTguNzMgNDQ5Ljk0&#10;IDE5Ny43MyA0NDkuNTMgMTk2LjcyIDQ0OS4zMyAxOTYuMjEgNDQ5LjEzIDE5NS43IDQ0OC45NSAx&#10;OTUuMTggNDQ4LjczIDE5NC41NiA0NDguNDkgMTkzLjk0IDQ0OC4zNiAxOTMuMzEgNDQ4LjI5IDE5&#10;Mi45NSA0NDguMjUgMTkyLjU5IDQ0OC4zNCAxOTIuMjQgNDQ4LjM4IDE5Mi4wNSA0NDguNDcgMTkx&#10;Ljg4IDQ0OC42MiAxOTEuNzEgNDQ4LjkyIDE5MS4zOSA0NDkuNTYgMTkxLjE0IDQ1MC4yMiAxOTEu&#10;MTYgNDUwLjMxIDE5MS4xNiA0NTAuMzkgMTkxLjE3IDQ1MC40OCAxOTEuMThaIiBmaWxsPSIjMDEw&#10;MTAxIi8+PHBhdGggZD0iTTQ3My4wMiAxODMuOTNDNDczLjY1IDE4NC4xNyA0NzQuMDIgMTg0LjY1&#10;IDQ3NC4zNCAxODUuMDggNDc0LjY3IDE4NS41MyA0NzQuOTcgMTg1Ljk5IDQ3NS4yNyAxODYuNDUg&#10;NDc1Ljc5IDE4Ny4yNiA0NzYuMjkgMTg4LjA3IDQ3Ni43OCAxODguODkgNDc3Ljg0IDE5MC42MyA0&#10;NzguOSAxOTIuMzcgNDc5Ljc1IDE5NC4xNiA0ODAgMTk0LjY5IDQ3OS42OSAxOTUuMjggNDc5LjA1&#10;IDE5NS41OCA0NzguNjcgMTk1Ljc1IDQ3OC4yMSAxOTUuODIgNDc3Ljc3IDE5NS43NSA0NzcuMzcg&#10;MTk1LjY5IDQ3Ni44NSAxOTUuNDkgNDc2LjY2IDE5NS4yMSA0NzYuMDEgMTk0LjI2IDQ3NS40MyAx&#10;OTMuMyA0NzQuODYgMTkyLjMyIDQ3NC4zOCAxOTEuNSA0NzMuOTIgMTkwLjY3IDQ3My40NiAxODku&#10;ODUgNDcyLjk5IDE4OSA0NzIuNTEgMTg4LjE0IDQ3Mi4wNiAxODcuMjkgNDcxLjg2IDE4Ni45MSA0&#10;NzEuNjcgMTg2LjUzIDQ3MS41IDE4Ni4xNSA0NzEuNDEgMTg1Ljk0IDQ3MS4zMyAxODUuNzMgNDcx&#10;LjI2IDE4NS41MiA0NzEuMTYgMTg1LjIzIDQ3MS4wNiAxODQuODYgNDcxLjE4IDE4NC41NyA0NzEu&#10;MjkgMTg0LjMyIDQ3MS40MyAxODQuMTIgNDcxLjc1IDE4My45OCA0NzEuOTggMTgzLjg3IDQ3Mi4y&#10;NiAxODMuODIgNDcyLjU0IDE4My44MyA0NzIuNzEgMTgzLjgzIDQ3Mi44OCAxODMuODcgNDczLjA0&#10;IDE4My45M1oiIGZpbGw9IiMwMTAxMDEiLz48cGF0aCBkPSJNNDg0Ljg3IDE4OC42QzQ4NC44NyAx&#10;ODguNiA0ODQuODMgMTg4LjU0IDQ4NC44MSAxODguNTEgNDg0LjggMTg4LjQ5IDQ4NC43OSAxODgu&#10;NDcgNDg0Ljc3IDE4OC40NiA0ODQuOCAxODguNTEgNDg0LjgzIDE4OC41NSA0ODQuODYgMTg4LjZa&#10;TTQ3OCAxNzkuMTlDNDc4LjQyIDE3OS40NiA0NzguNjEgMTc5LjgxIDQ3OC42MSAxODAuMTYgNDc5&#10;LjY4IDE4MS4yMSA0ODAuNTIgMTgyLjQgNDgxLjM2IDE4My41NSA0ODIuNTEgMTg1LjEzIDQ4My42&#10;MiAxODYuNzIgNDg0LjY5IDE4OC4zMiA0ODQuNiAxODguMTggNDg0LjUxIDE4OC4wNSA0ODQuNDIg&#10;MTg3LjkxIDQ4NC41NCAxODguMDkgNDg0LjY2IDE4OC4yNyA0ODQuNzggMTg4LjQ2IDQ4NC43OCAx&#10;ODguNDUgNDg0Ljc2IDE4OC40NCA0ODQuNzYgMTg4LjQzIDQ4NC43OCAxODguNDYgNDg0LjggMTg4&#10;LjQ5IDQ4NC44MiAxODguNTJMNDg0LjkxIDE4OC42NUM0ODQuOTEgMTg4LjY1IDQ4NC44OSAxODgu&#10;NjIgNDg0Ljg4IDE4OC42MSA0ODQuOSAxODguNjQgNDg0LjkzIDE4OC42OCA0ODQuOTUgMTg4Ljcx&#10;IDQ4NC45OCAxODguNzUgNDg1LjAxIDE4OC44IDQ4NS4wNCAxODguODQgNDg1LjAzIDE4OC44MiA0&#10;ODUuMDEgMTg4LjggNDg1IDE4OC43OCA0ODUuNjUgMTg5Ljc2IDQ4Ni4yOSAxOTAuNzUgNDg2Ljg5&#10;IDE5MS43NSA0ODcuNTMgMTkyLjgyIDQ4OC4wNiAxOTMuOTEgNDg4LjY5IDE5NC45OCA0ODkuMDgg&#10;MTk1LjYzIDQ4OC41OCAxOTYuNDQgNDg3Ljc5IDE5Ni44IDQ4Ny4zMSAxOTcuMDIgNDg2LjcxIDE5&#10;Ny4xIDQ4Ni4xNSAxOTcuMDIgNDg1LjYyIDE5Ni45NSA0ODQuOTggMTk2LjY5IDQ4NC43MiAxOTYu&#10;MzMgNDgzLjc0IDE5NC45MyA0ODIuNjcgMTkzLjU3IDQ4MS43NCAxOTIuMTUgNDgwLjg4IDE5MC44&#10;NiA0ODAuMDggMTg5LjU1IDQ3OS4yOCAxODguMjQgNDc4LjUgMTg2Ljk1IDQ3Ny43MiAxODUuNjcg&#10;NDc2Ljk4IDE4NC4zNyA0NzYuMzkgMTgzLjMzIDQ3NS44MSAxODIuMjkgNDc1LjQ0IDE4MS4yMSA0&#10;NzUuMiAxODEuMDYgNDc1LjAxIDE4MC44NiA0NzQuOTEgMTgwLjYzIDQ3NC42NCAxODAuMDUgNDc0&#10;Ljk3IDE3OS4zOSA0NzUuNjkgMTc5LjA2IDQ3Ni4wNCAxNzguOSA0NzYuNDQgMTc4LjgzIDQ3Ni44&#10;NCAxNzguODUgNDc3LjI3IDE3OC44NyA0NzcuNjkgMTc4Ljk5IDQ3OC4wMiAxNzkuMloiIGZpbGw9&#10;IiMwMTAxMDEiLz48cGF0aCBkPSJNNDg2Ljg3IDE3Ny4zQzQ4Ny4zIDE3Ny42OCA0ODcuNyAxNzgu&#10;MDggNDg4LjA4IDE3OC40OSA0ODguOCAxNzkuMjcgNDg5LjQ2IDE4MC4wNyA0OTAuMTEgMTgwLjg4&#10;IDQ5MS40NiAxODIuNTUgNDkyLjc5IDE4NC4yMyA0OTQuMTEgMTg1LjkyIDQ5NC42IDE4Ni41NCA0&#10;OTUuMDggMTg3LjE2IDQ5NS41MyAxODcuOCA0OTYuMDggMTg4LjU5IDQ5Ni41OSAxODkuMzkgNDk3&#10;LjA5IDE5MC4yIDQ5Ny4yIDE5MC40NCA0OTcuMjIgMTkwLjY5IDQ5Ny4xNSAxOTAuOTMgNDk3LjA0&#10;IDE5MS4zMSA0OTYuNzIgMTkxLjY1IDQ5Ni4yNyAxOTEuODYgNDk1LjMzIDE5Mi4yOSA0OTQuMDkg&#10;MTkyLjA4IDQ5My40NyAxOTEuNDMgNDkyLjY4IDE5MC41OSA0OTEuOTIgMTg5Ljc0IDQ5MS4yNCAx&#10;ODguODYgNDkwLjU5IDE4OC4wMyA0OTAuMDEgMTg3LjE3IDQ4OS40MSAxODYuMzIgNDg4LjE5IDE4&#10;NC42MSA0ODcgMTgyLjg5IDQ4NS44IDE4MS4xNyA0ODUuMyAxODAuNDQgNDg0LjggMTc5LjcyIDQ4&#10;NC4zMSAxNzguOTkgNDg0LjExIDE3OC42OSA0ODMuOTIgMTc4LjM4IDQ4My43NCAxNzguMDcgNDgz&#10;LjY2IDE3Ny45MyA0ODMuNiAxNzcuNzkgNDgzLjU1IDE3Ny42NSA0ODMuNTEgMTc3LjU1IDQ4My40&#10;NSAxNzcuMzYgNDgzLjQ1IDE3Ny4yMyA0ODMuNDUgMTc3LjAyIDQ4My41IDE3Ni44OCA0ODMuNiAx&#10;NzYuNjkgNDgzLjc1IDE3Ni40MiA0ODQuMjEgMTc2LjI0IDQ4NC42IDE3Ni4yMiA0ODQuNjYgMTc2&#10;LjIyIDQ4NC43MiAxNzYuMjIgNDg0Ljc3IDE3Ni4yMiA0ODUuNjcgMTc2LjI2IDQ4Ni4zNSAxNzYu&#10;ODUgNDg2Ljg3IDE3Ny4zMVoiIGZpbGw9IiMwMTAxMDEiLz48cGF0aCBkPSJNNDkzLjM0IDE3MS4y&#10;MUM0OTMuNDMgMTcxLjI1IDQ5My41MiAxNzEuMjkgNDkzLjYyIDE3MS4zNSA0OTMuOTIgMTcxLjUz&#10;IDQ5NC4xNiAxNzEuNzcgNDk0LjQgMTcxLjk5IDQ5NC44NiAxNzIuNDIgNDk1LjI3IDE3Mi44NiA0&#10;OTUuNjYgMTczLjMxIDQ5Ni41MyAxNzQuMyA0OTcuMzggMTc1LjMxIDQ5OC4yNCAxNzYuMzEgNDk5&#10;LjggMTc4LjExIDUwMS4yOSAxNzkuOTQgNTAyLjk1IDE4MS42OSA1MDMuNTkgMTgyLjM2IDUwNC4y&#10;NSAxODMuMDEgNTA0LjkzIDE4My42NiA1MDUuMjkgMTg0LjAxIDUwNS42NCAxODQuMzUgNTA1Ljk4&#10;IDE4NC43IDUwNi4xMyAxODQuODYgNTA2LjI5IDE4NS4wMSA1MDYuNDMgMTg1LjE3IDUwNi42OCAx&#10;ODUuNDYgNTA2Ljg1IDE4NS43OCA1MDcuMDEgMTg2LjEgNTA3LjMyIDE4Ni43NSA1MDYuOTQgMTg3&#10;LjQ5IDUwNi4xNCAxODcuODYgNTA1LjM0IDE4OC4yMiA1MDQuMjMgMTg4LjE3IDUwMy41NCAxODcu&#10;NyA1MDMuMTcgMTg3LjQ1IDUwMi43OSAxODcuMTggNTAyLjUyIDE4Ni44NiA1MDIuMzMgMTg2LjYz&#10;IDUwMi4xNCAxODYuNCA1MDEuOTUgMTg2LjE3IDUwMS41NyAxODUuNjkgNTAxLjIyIDE4NS4yIDUw&#10;MC44NiAxODQuNzEgNTAwLjIxIDE4My44NCA0OTkuNTkgMTgyLjk2IDQ5OC45MyAxODIuMDkgNDk4&#10;LjIxIDE4MS4xNCA0OTcuNDggMTgwLjE5IDQ5Ni43OCAxNzkuMjMgNDk2LjA0IDE3OC4yNCA0OTUu&#10;MzUgMTc3LjI0IDQ5NC42NCAxNzYuMjQgNDk0LjAzIDE3NS4zOCA0OTMuNDMgMTc0LjUyIDQ5Mi44&#10;NiAxNzMuNjQgNDkyLjYyIDE3My4yNiA0OTIuMzggMTcyLjg4IDQ5Mi4xNiAxNzIuNDggNDkyLjA1&#10;IDE3Mi4yOCA0OTEuOTggMTcyLjA4IDQ5MS45MiAxNzEuODYgNDkxLjkgMTcxLjc3IDQ5MS45MSAx&#10;NzEuNjkgNDkxLjk0IDE3MS42MSA0OTEuOTQgMTcxLjQxIDQ5Mi4wNiAxNzEuMjIgNDkyLjMxIDE3&#10;MS4xIDQ5Mi40NSAxNzEuMDQgNDkyLjYyIDE3MS4wMSA0OTIuNzkgMTcxLjAyIDQ5MyAxNzEuMDIg&#10;NDkzLjIgMTcxLjA5IDQ5My4zNSAxNzEuMThaIiBmaWxsPSIjMDEwMTAxIi8+PHBhdGggZD0iTTUw&#10;MS4xOSAxNjUuOEM1MDEuMTkgMTY1LjggNTAxLjI0IDE2NS44MiA1MDEuMjYgMTY1LjgzIDUwMS4z&#10;OSAxNjUuODkgNTAxLjUyIDE2NS45NCA1MDEuNjUgMTY1Ljk5IDUwMi4wNCAxNjYuMTUgNTAyLjQx&#10;IDE2Ni4zNiA1MDIuNzYgMTY2LjU2IDUwMy4zNyAxNjYuOTEgNTAzLjk1IDE2Ny4zIDUwNC41IDE2&#10;Ny43IDUwNS42NyAxNjguNTYgNTA2LjgyIDE2OS40NCA1MDcuOTcgMTcwLjMxIDUxMC4xOSAxNzIg&#10;NTEyLjM4IDE3My43IDUxNC42NCAxNzUuMzYgNTE1LjY4IDE3Ni4xMyA1MTYuNjkgMTc2LjkxIDUx&#10;Ny42NyAxNzcuNzIgNTE4LjMxIDE3OC4yNCA1MTguOTMgMTc4Ljc3IDUxOS41NCAxNzkuMyA1MjAu&#10;MDYgMTc5Ljc3IDUyMC41NCAxODAuMjYgNTIxLjA2IDE4MC43MyA1MjEuMjggMTgwLjk3IDUyMS40&#10;IDE4MS4yMyA1MjEuNDIgMTgxLjUyIDUyMS40NiAxODEuOTYgNTIxLjI0IDE4Mi40IDUyMC44MyAx&#10;ODIuNzIgNTIwLjQzIDE4My4wMyA1MTkuODYgMTgzLjIzIDUxOS4yNyAxODMuMjUgNTE4LjcgMTgz&#10;LjI4IDUxNy45OSAxODMuMTMgNTE3LjU5IDE4Mi44MyA1MTYuOTkgMTgyLjM3IDUxNi4zNSAxODEu&#10;OTQgNTE1Ljc2IDE4MS40NyA1MTUuMiAxODEuMDMgNTE0LjY1IDE4MC41NyA1MTQuMTEgMTgwLjEy&#10;IDUxMi45NiAxNzkuMTUgNTExLjgzIDE3OC4xNyA1MTAuNzQgMTc3LjE3IDUwOC43NSAxNzUuMzMg&#10;NTA2LjcyIDE3My41MiA1MDQuNzQgMTcxLjY5IDUwMy43IDE3MC43MyA1MDIuNjYgMTY5Ljc3IDUw&#10;MS42NiAxNjguNzkgNTAxLjE5IDE2OC4zMyA1MDAuNzQgMTY3Ljg2IDUwMC4zMyAxNjcuMzggNTAw&#10;LjE2IDE2Ny4xNyA1MDAuMDEgMTY2Ljk1IDQ5OS44OSAxNjYuNzIgNDk5Ljg3IDE2Ni42OCA0OTku&#10;ODUgMTY2LjYzIDQ5OS44MyAxNjYuNTkgNDk5LjY2IDE2Ni4zNiA0OTkuNzIgMTY2LjA1IDQ5OS45&#10;NiAxNjUuODYgNTAwLjE0IDE2NS43MiA1MDAuNDMgMTY1LjY0IDUwMC43IDE2NS42NSA1MDAuODgg&#10;MTY1LjY1IDUwMS4wNSAxNjUuNyA1MDEuMTggMTY1Ljc5WiIgZmlsbD0iIzAxMDEwMSIvPjxwYXRo&#10;IGQ9Ik01MTIuNiAxNTkuNjlDNTEyLjc2IDE1OS43OSA1MTIuODcgMTU5LjkzIDUxMi45MiAxNjAu&#10;MDcgNTEzLjE2IDE2MC4zMyA1MTMuNDYgMTYwLjU3IDUxMy43MyAxNjAuODEgNTE0LjE1IDE2MS4x&#10;OCA1MTQuNTggMTYxLjU0IDUxNSAxNjEuOSA1MTUuODMgMTYyLjYyIDUxNi42NSAxNjMuMzUgNTE3&#10;LjQ2IDE2NC4wOCA1MTkuMSAxNjUuNTcgNTIwLjc0IDE2Ny4wNyA1MjIuNDMgMTY4LjU0IDUyMy40&#10;OCAxNjkuNDYgNTI0LjU1IDE3MC4zOCA1MjUuNjEgMTcxLjMgNTI2LjY5IDE3Mi4yNCA1MjcuNzQg&#10;MTczLjE4IDUyOC44MyAxNzQuMTIgNTI4Ljk1IDE3NC4yNiA1MjkuMDIgMTc0LjQxIDUyOS4wNCAx&#10;NzQuNTcgNTI5LjA2IDE3NC44MiA1MjguOTQgMTc1LjA4IDUyOC43IDE3NS4yNiA1MjguNDcgMTc1&#10;LjQ0IDUyOC4xNCAxNzUuNTUgNTI3LjggMTc1LjU3IDUyNy40OCAxNzUuNTggNTI3LjA1IDE3NS41&#10;MSA1MjYuODMgMTc1LjMzIDUyNS45NCAxNzQuNjEgNTI1LjAyIDE3My45MiA1MjQuMTQgMTczLjIx&#10;IDUyMy4yMiAxNzIuNDYgNTIyLjM2IDE3MS42OCA1MjEuNSAxNzAuOSA1MTkuOTQgMTY5LjQ2IDUx&#10;OC4zNyAxNjguMDIgNTE2Ljg0IDE2Ni41NyA1MTUuNzcgMTY1LjU2IDUxNC43MiAxNjQuNTUgNTEz&#10;LjY2IDE2My41MyA1MTMuMTQgMTYzLjAzIDUxMi42MyAxNjIuNTIgNTEyLjEyIDE2Mi4wMSA1MTEu&#10;OSAxNjEuNzggNTExLjY4IDE2MS41NSA1MTEuNDcgMTYxLjMyIDUxMS4zMiAxNjEuMTYgNTExLjE3&#10;IDE2MC45OSA1MTEuMDQgMTYwLjgxIDUxMC45NCAxNjAuNzMgNTEwLjg2IDE2MC42MyA1MTAuODEg&#10;MTYwLjUzIDUxMC42NSAxNjAuMiA1MTAuODQgMTU5LjgyIDUxMS4yNiAxNTkuNjMgNTExLjQ2IDE1&#10;OS41NCA1MTEuNjkgMTU5LjUgNTExLjkyIDE1OS41MSA1MTIuMTcgMTU5LjUxIDUxMi40MSAxNTku&#10;NTkgNTEyLjYgMTU5LjcxWiIgZmlsbD0iIzAxMDEwMSIvPjxwYXRoIGQ9Ik01MzMuMDEgMTY2Ljg0&#10;QzUzMy4wMSAxNjYuODQgNTMzLjA5IDE2Ni45MSA1MzMuMTMgMTY2Ljk0IDUzMy4xMyAxNjYuOTQg&#10;NTMzLjEzIDE2Ni45NCA1MzMuMTQgMTY2Ljk1IDUzMy4xNCAxNjYuOTUgNTMzLjE1IDE2Ni45NiA1&#10;MzMuMTYgMTY2Ljk3TDUzMy4xNiAxNjYuOTdDNTMzLjE2IDE2Ni45NyA1MzMuMjUgMTY3LjA1IDUz&#10;My4zIDE2Ny4wOCA1MzMuMjUgMTY3LjA0IDUzMy4yIDE2NyA1MzMuMTUgMTY2Ljk2IDUzMy4wNyAx&#10;NjYuOSA1MzMgMTY2LjgzIDUzMi45MiAxNjYuNzcgNTMyLjk1IDE2Ni44IDUzMi45OCAxNjYuODIg&#10;NTMzLjAxIDE2Ni44NVpNNTM1Ljc1IDE2OS4wN0M1MzUuNzUgMTY5LjA3IDUzNS43OSAxNjkuMSA1&#10;MzUuOCAxNjkuMTIgNTM1Ljc4IDE2OS4xIDUzNS43NiAxNjkuMDkgNTM1Ljc1IDE2OS4wN1pNNTMz&#10;LjAxIDE2Ni44NUM1MzMuMDEgMTY2Ljg1IDUzMy4wNyAxNjYuOSA1MzMuMSAxNjYuOTIgNTMzLjA3&#10;IDE2Ni45IDUzMy4wNCAxNjYuODcgNTMzLjAxIDE2Ni44NVpNNTIyLjc2IDE1NCA1MjIuNzYgMTU0&#10;QzUyMi45MiAxNTQuMSA1MjMuMDYgMTU0LjIxIDUyMy4xOCAxNTQuMzEgNTIzLjQ2IDE1NC41MyA1&#10;MjMuNzIgMTU0Ljc2IDUyMy45OCAxNTQuOTkgNTI0LjQ4IDE1NS40MiA1MjQuOTggMTU1Ljg2IDUy&#10;NS40OCAxNTYuMyA1MjYuNDIgMTU3LjE0IDUyNy4zNiAxNTcuOTggNTI4LjMxIDE1OC44MiA1MzAu&#10;MjQgMTYwLjUzIDUzMi4xOSAxNjIuMjMgNTM0LjA2IDE2My45NiA1MzQuODQgMTY0LjY5IDUzNS42&#10;MiAxNjUuNDIgNTM2LjM0IDE2Ni4xNyA1MzcuMSAxNjYuOTYgNTM3Ljg0IDE2Ny43NSA1MzguNjYg&#10;MTY4LjUyIDUzOS4xMiAxNjguOTUgNTM4Ljg1IDE2OS42MSA1MzguMjUgMTY5Ljg4IDUzNy45NSAx&#10;NzAuMDIgNTM3LjU4IDE3MC4wNyA1MzcuMjMgMTcwLjAyIDUzNi44MyAxNjkuOTYgNTM2LjU5IDE2&#10;OS44IDUzNi4zNCAxNjkuNTkgNTM2LjE3IDE2OS40NCA1MzYgMTY5LjI5IDUzNS44MyAxNjkuMTUg&#10;NTM0Ljk2IDE2OC40MyA1MzQuMDQgMTY3LjczIDUzMy4xOCAxNjcgNTMzLjI3IDE2Ny4wOCA1MzMu&#10;MzYgMTY3LjE1IDUzMy40NiAxNjcuMjMgNTMzLjM1IDE2Ny4xNCA1MzMuMjUgMTY3LjA1IDUzMy4x&#10;NCAxNjYuOTYgNTMzLjEgMTY2LjkyIDUzMy4wNSAxNjYuODkgNTMzLjAxIDE2Ni44NSA1MzIuOTcg&#10;MTY2LjgxIDUzMi45MyAxNjYuNzggNTMyLjg4IDE2Ni43NCA1MzIuODkgMTY2Ljc1IDUzMi45IDE2&#10;Ni43NiA1MzIuOTIgMTY2Ljc3IDUzMC45OSAxNjUuMTMgNTI5LjE5IDE2My40IDUyNy40MSAxNjEu&#10;NjggNTI1LjU2IDE1OS45IDUyMy42OCAxNTguMTIgNTIxLjkgMTU2LjMxIDUyMS42NyAxNTYuMDgg&#10;NTIxLjQ2IDE1NS44NCA1MjEuMjUgMTU1LjYgNTIxLjA4IDE1NS40IDUyMC44OCAxNTUuMTggNTIw&#10;Ljc5IDE1NC45NCA1MjAuNjUgMTU0LjY1IDUyMC43MyAxNTQuMzEgNTIxLjA0IDE1NC4wNyA1MjEu&#10;MyAxNTMuODcgNTIxLjY2IDE1My43NyA1MjIuMDIgMTUzLjc5IDUyMi4yOSAxNTMuOCA1MjIuNTYg&#10;MTUzLjg3IDUyMi43OCAxNTQuMDFaIiBmaWxsPSIjMDEwMTAxIi8+PHBhdGggZD0iTTUzNC4wNyAx&#10;NTIuNDVDNTM0IDE1Mi4zOSA1MzMuOTIgMTUyLjMzIDUzMy44NSAxNTIuMjcgNTMzLjkyIDE1Mi4z&#10;MyA1MzQgMTUyLjM5IDUzNC4wNyAxNTIuNDVaTTU0My42OCAxNjQuNzJDNTQzLjY4IDE2NC43MiA1&#10;NDMuNjggMTY0LjcyIDU0My42OCAxNjQuNzIgNTQzLjcyIDE2NC43NSA1NDMuNzYgMTY0Ljc5IDU0&#10;My44IDE2NC44MiA1NDMuNzQgMTY0Ljc3IDU0My42OSAxNjQuNzMgNTQzLjYzIDE2NC42OCA1NDMu&#10;NjQgMTY0LjY5IDU0My42NSAxNjQuNyA1NDMuNjcgMTY0LjcxWk01MzAuMjYgMTQ5Ljg4QzUzMC42&#10;OCAxNDkuOTMgNTMxLjA4IDE1MC4xNCA1MzEuMzkgMTUwLjM0IDUzMS42NSAxNTAuNTEgNTMxLjkx&#10;IDE1MC42OSA1MzIuMTUgMTUwLjg4IDUzMi43NCAxNTEuMzMgNTMzLjMgMTUxLjggNTMzLjg2IDE1&#10;Mi4yNyA1MzMuODQgMTUyLjI2IDUzMy44MyAxNTIuMjQgNTMzLjgxIDE1Mi4yMyA1MzUuNjEgMTUz&#10;Ljc1IDUzNy4zNiAxNTUuMzEgNTM5LjA3IDE1Ni44OCA1NDAuNzIgMTU4LjQgNTQyLjM5IDE1OS45&#10;MSA1NDMuODggMTYxLjUgNTQ0Ljg4IDE2Mi41NyA1NDUuODYgMTYzLjY0IDU0Ni45MyAxNjQuNjcg&#10;NTQ3LjM1IDE2NS4wNyA1NDcuMTEgMTY1LjY4IDU0Ni41NSAxNjUuOTQgNTQ2LjI3IDE2Ni4wNyA1&#10;NDUuOTIgMTY2LjEyIDU0NS41OSAxNjYuMDcgNTQ1LjIyIDE2Ni4wMiA1NDQuOTggMTY1Ljg3IDU0&#10;NC43NiAxNjUuNjcgNTQ0LjQzIDE2NS4zNyA1NDQuMDggMTY1LjA3IDU0My43NCAxNjQuNzcgNTQz&#10;LjgxIDE2NC44MyA1NDMuODkgMTY0Ljg5IDU0My45NiAxNjQuOTYgNTQzLjg3IDE2NC44OCA1NDMu&#10;NzggMTY0LjgxIDU0My42OSAxNjQuNzMgNTQzLjY5IDE2NC43MyA1NDMuNjkgMTY0LjczIDU0My42&#10;OSAxNjQuNzMgNTQzLjY2IDE2NC43IDU0My42MyAxNjQuNjggNTQzLjYgMTY0LjY1IDU0My42MiAx&#10;NjQuNjcgNTQzLjY0IDE2NC42OCA1NDMuNjYgMTY0LjcgNTQzLjU5IDE2NC42NCA1NDMuNTIgMTY0&#10;LjU4IDU0My40NSAxNjQuNTIgNTQzLjUyIDE2NC41OSA1NDMuNiAxNjQuNjUgNTQzLjY4IDE2NC43&#10;MSA1NDIuODEgMTYzLjk5IDU0MS45MiAxNjMuMjkgNTQxLjA1IDE2Mi41NyA1NDAuMTEgMTYxLjc4&#10;IDUzOS4yMSAxNjAuOTggNTM4LjMxIDE2MC4xNyA1MzYuNjMgMTU4LjY0IDUzNC45OSAxNTcuMDkg&#10;NTMzLjM2IDE1NS41NCA1MzIuNTYgMTU0Ljc5IDUzMS43NyAxNTQuMDMgNTMwLjk5IDE1My4yNyA1&#10;MzAuNiAxNTIuODkgNTMwLjIxIDE1Mi41IDUyOS44MiAxNTIuMTEgNTI5LjQzIDE1MS43MiA1Mjgu&#10;OTIgMTUxLjI2IDUyOC44NyAxNTAuNzYgNTI4LjgyIDE1MC4yNCA1MjkuNDYgMTQ5Ljg1IDUzMC4x&#10;NCAxNDkuODggNTMwLjE4IDE0OS44OCA1MzAuMjMgMTQ5Ljg4IDUzMC4yNyAxNDkuODlaIiBmaWxs&#10;PSIjMDEwMTAxIi8+PHBhdGggZD0iTTU0MC4yIDE0NC4xQzU0MC41NCAxNDQuMTUgNTQwLjc3IDE0&#10;NC4zMiA1NDAuOTkgMTQ0LjQ5IDU0MS4yOCAxNDQuNzEgNTQxLjU1IDE0NC45NCA1NDEuODIgMTQ1&#10;LjE3IDU0Mi4xOSAxNDUuNDggNTQyLjU0IDE0NS44IDU0Mi44OSAxNDYuMTMgNTQzLjU4IDE0Ni43&#10;NiA1NDQuMjQgMTQ3LjQgNTQ0LjkxIDE0OC4wNCA1NDYuMyAxNDkuMzUgNTQ3LjY4IDE1MC42NyA1&#10;NDkuMDUgMTUyIDU1MC4xMyAxNTMuMDUgNTUxLjIxIDE1NC4xMSA1NTIuMzMgMTU1LjE0IDU1My40&#10;OSAxNTYuMiA1NTQuNjYgMTU3LjI2IDU1NS44NCAxNTguMzEgNTU2LjAxIDE1OC40NyA1NTYuMDUg&#10;MTU4LjcyIDU1NiAxNTguOTEgNTU1Ljk0IDE1OS4xMyA1NTUuNzYgMTU5LjMyIDU1NS41IDE1OS40&#10;NCA1NTUuMjUgMTU5LjU1IDU1NC45NCAxNTkuNiA1NTQuNjUgMTU5LjU1IDU1NC4zMiAxNTkuNSA1&#10;NTQuMTIgMTU5LjM3IDU1My45MSAxNTkuMTkgNTUyLjQ2IDE1Ny45IDU1MC45NiAxNTYuNjQgNTQ5&#10;LjQ4IDE1NS4zNyA1NDguMDMgMTU0LjEzIDU0Ni42OSAxNTIuODMgNTQ1LjM2IDE1MS41MyA1NDQu&#10;MjUgMTUwLjQzIDU0My4xNCAxNDkuMzQgNTQyLjA1IDE0OC4yMyA1NDEuNTMgMTQ3LjcgNTQxIDE0&#10;Ny4xNiA1NDAuNSAxNDYuNjIgNTQwLjIyIDE0Ni4zMyA1MzkuOTUgMTQ2LjA0IDUzOS42OCAxNDUu&#10;NzQgNTM5LjMzIDE0NS4zNiA1MzguOSAxNDQuOTIgNTM5LjE5IDE0NC40NSA1MzkuMzQgMTQ0LjIy&#10;IDUzOS43MSAxNDQuMDggNTQwLjA3IDE0NC4wOSA1NDAuMTEgMTQ0LjA5IDU0MC4xNiAxNDQuMDkg&#10;NTQwLjIgMTQ0LjFaIiBmaWxsPSIjMDEwMTAxIi8+PHBhdGggZD0iTTU1My44OSAxNDMuOTRDNTUz&#10;Ljg5IDE0My45NCA1NTMuODYgMTQzLjkyIDU1My44NSAxNDMuOTEgNTUzLjg2IDE0My45MiA1NTMu&#10;ODggMTQzLjkzIDU1My44OSAxNDMuOTRaTTU1NC4zOSAxNDguMDZDNTU0LjQ1IDE0OC4xMSA1NTQu&#10;NTEgMTQ4LjE2IDU1NC41OCAxNDguMjIgNTU0LjUxIDE0OC4xNiA1NTQuNDQgMTQ4LjEgNTU0LjM2&#10;IDE0OC4wNCA1NTQuMzcgMTQ4LjA0IDU1NC4zOCAxNDguMDYgNTU0LjM5IDE0OC4wN1pNNTQ4Ljk1&#10;IDEzOS45NUM1NDkuNDkgMTQwLjM2IDU1MC4wMiAxNDAuNzggNTUwLjU0IDE0MS4yMSA1NTEuNjEg&#10;MTQyLjA3IDU1Mi42OCAxNDIuOTMgNTUzLjczIDE0My44MSA1NTMuNzcgMTQzLjg0IDU1My44MSAx&#10;NDMuODggNTUzLjg1IDE0My45MSA1NTMuODQgMTQzLjkgNTUzLjgzIDE0My44OSA1NTMuODEgMTQz&#10;Ljg4IDU1My44NSAxNDMuOTIgNTUzLjkgMTQzLjk1IDU1My45NCAxNDMuOTkgNTUzLjkyIDE0My45&#10;NyA1NTMuOSAxNDMuOTYgNTUzLjg4IDE0My45NCA1NTUuNDMgMTQ1LjI0IDU1Ni45NSAxNDYuNTYg&#10;NTU4LjQxIDE0Ny45MSA1NTkuMDkgMTQ4LjU1IDU1OS43NiAxNDkuMiA1NjAuNDIgMTQ5Ljg1IDU2&#10;MS4xMiAxNTAuNTMgNTYxLjg1IDE1MS4yIDU2Mi41OSAxNTEuODYgNTYyLjc5IDE1Mi4wNCA1NjIu&#10;ODQgMTUyLjM1IDU2Mi43OCAxNTIuNTcgNTYyLjcxIDE1Mi44MiA1NjIuNDkgMTUzLjA1IDU2Mi4x&#10;OSAxNTMuMTggNTYxLjkgMTUzLjMxIDU2MS41NCAxNTMuMzYgNTYxLjIgMTUzLjMxIDU2MC44MSAx&#10;NTMuMjYgNTYwLjU4IDE1My4xIDU2MC4zNCAxNTIuODkgNTYwLjEyIDE1Mi43IDU1OS45IDE1Mi41&#10;MiA1NTkuNjggMTUyLjMzIDU1OC44OCAxNTEuNjcgNTU4LjA2IDE1MS4wMiA1NTcuMjMgMTUwLjM4&#10;IDU1Ni4zMiAxNDkuNjcgNTU1LjQ0IDE0OC45NSA1NTQuNTcgMTQ4LjIxIDU1NC41OSAxNDguMjMg&#10;NTU0LjYxIDE0OC4yNCA1NTQuNjMgMTQ4LjI2IDU1NC41NSAxNDguMTkgNTU0LjQ3IDE0OC4xMyA1&#10;NTQuMzkgMTQ4LjA2IDU1NC4zOCAxNDguMDUgNTU0LjM2IDE0OC4wNCA1NTQuMzUgMTQ4LjAzIDU1&#10;NC4zNSAxNDguMDMgNTU0LjM1IDE0OC4wMyA1NTQuMzUgMTQ4LjAzIDU1Mi44MSAxNDYuNzQgNTUx&#10;LjI4IDE0NS40MyA1NDkuNzcgMTQ0LjEyIDU0OC45OSAxNDMuNDQgNTQ4LjIxIDE0Mi43NiA1NDcu&#10;NDUgMTQyLjA2IDU0Ny4wOSAxNDEuNzMgNTQ2LjcyIDE0MS4zOSA1NDYuMzYgMTQxLjA1IDU0Ni4y&#10;MSAxNDAuOTEgNTQ2LjA2IDE0MC43NyA1NDUuOTEgMTQwLjYyIDU0NS42NyAxNDAuMzggNTQ1LjQ5&#10;IDE0MC4xNSA1NDUuNDMgMTM5Ljg0IDU0NS4zMyAxMzkuMzUgNTQ1Ljk4IDEzOC44OCA1NDYuNjUg&#10;MTM4Ljg2IDU0Ni42OSAxMzguODYgNTQ2Ljc0IDEzOC44NiA1NDYuNzggMTM4Ljg2IDU0Ny42OCAx&#10;MzguOSA1NDguMzUgMTM5LjQ5IDU0OC45MyAxMzkuOTNaIiBmaWxsPSIjMDEwMTAxIi8+PHBhdGgg&#10;ZD0iTTU2Ni4wMyAxNDQuNjhDNTY2LjAzIDE0NC42OCA1NjYuMDggMTQ0LjcyIDU2Ni4xIDE0NC43&#10;NCA1NjYuMDggMTQ0LjcyIDU2Ni4wNSAxNDQuNyA1NjYuMDMgMTQ0LjY4Wk01NTYuMTUgMTMzLjEz&#10;QzU1Ni41MiAxMzMuMiA1NTYuNzcgMTMzLjM1IDU1Ny4wMiAxMzMuNTQgNTU3LjI1IDEzMy43MiA1&#10;NTcuNDcgMTMzLjkxIDU1Ny42OCAxMzQuMTEgNTU4LjA1IDEzNC40NCA1NTguNDEgMTM0Ljc2IDU1&#10;OC43OCAxMzUuMDkgNTU5LjUxIDEzNS43NSA1NjAuMjUgMTM2LjQgNTYwLjk5IDEzNy4wNiA1NjIu&#10;NTIgMTM4LjQxIDU2NC4wNSAxMzkuNzYgNTY1LjU3IDE0MS4xMiA1NjcuNDcgMTQyLjgyIDU2OS4y&#10;NyAxNDQuNTggNTcxLjE5IDE0Ni4yNyA1NzEuMzkgMTQ2LjQ1IDU3MS40MyAxNDYuNzQgNTcxLjM3&#10;IDE0Ni45NSA1NzEuMyAxNDcuMTkgNTcxLjEgMTQ3LjQxIDU3MC44IDE0Ny41NCA1NzAuNTIgMTQ3&#10;LjY3IDU3MC4xNyAxNDcuNzIgNTY5Ljg0IDE0Ny42NyA1NjkuNDcgMTQ3LjYyIDU2OS4yNCAxNDcu&#10;NDcgNTY5LjAxIDE0Ny4yNyA1NjcuOTcgMTQ2LjM2IDU2Ni45MiAxNDUuNDUgNTY1Ljg1IDE0NC41&#10;NSA1NjUuODggMTQ0LjU3IDU2NS45IDE0NC41OSA1NjUuOTMgMTQ0LjYxIDU2NC4zMyAxNDMuMjYg&#10;NTYyLjggMTQxLjg4IDU2MS4yOSAxNDAuNDkgNTU5Ljg1IDEzOS4xNiA1NTguNDIgMTM3LjgyIDU1&#10;Ny4wMyAxMzYuNDYgNTU2LjYyIDEzNi4wNiA1NTYuMjMgMTM1LjY2IDU1NS44NSAxMzUuMjUgNTU1&#10;LjY1IDEzNS4wNCA1NTUuNDYgMTM0LjgyIDU1NS4yOCAxMzQuNiA1NTUuMDUgMTM0LjMyIDU1NC44&#10;NSAxMzQuMDIgNTU0Ljk0IDEzMy42OCA1NTUuMDMgMTMzLjM0IDU1NS40OSAxMzMuMDggNTU1Ljk3&#10;IDEzMy4xIDU1Ni4wMiAxMzMuMSA1NTYuMDggMTMzLjEgNTU2LjEzIDEzMy4xMloiIGZpbGw9IiMw&#10;MTAxMDEiLz48cGF0aCBkPSJNNTYzLjk5IDEzMC40MkM1NjMuOTkgMTMwLjQyIDU2NC4wNSAxMzAu&#10;NDcgNTY0LjA3IDEzMC40OSA1NjQuMDQgMTMwLjQ3IDU2NC4wMSAxMzAuNDQgNTYzLjk5IDEzMC40&#10;MlpNNTYyLjkgMTI2LjYxQzU2My4yNyAxMjYuNzYgNTYzLjYyIDEyNi45NSA1NjMuOTUgMTI3LjE0&#10;IDU2NC41NyAxMjcuNTEgNTY1LjE3IDEyNy45IDU2NS43NiAxMjguMyA1NjYuOSAxMjkuMDcgNTY4&#10;LjAxIDEyOS44NiA1NjkuMTIgMTMwLjY2IDU3MS4yOSAxMzIuMjIgNTczLjQzIDEzMy43OSA1NzUu&#10;NTUgMTM1LjM4IDU3Ni4zMSAxMzUuOTUgNTc3LjA4IDEzNi41MiA1NzcuODMgMTM3LjEgNTc4LjY2&#10;IDEzNy43NSA1NzkuNDIgMTM4LjQzIDU4MC4yIDEzOS4xIDU4MC4zOCAxMzkuMjUgNTgwLjU2IDEz&#10;OS4zOSA1ODAuNzQgMTM5LjUzIDU4MS4wNyAxMzkuNzkgNTgxLjMgMTQwLjA0IDU4MS4zMyAxNDAu&#10;NCA1ODEuMzYgMTQwLjc0IDU4MS4xOSAxNDEuMDkgNTgwLjg3IDE0MS4zNCA1ODAuMjMgMTQxLjg1&#10;IDU3OS4wMyAxNDEuOTIgNTc4LjMyIDE0MS40MyA1NzcuMTkgMTQwLjY1IDU3NS45NiAxMzkuOTYg&#10;NTc0Ljg1IDEzOS4xOCA1NzMuNzYgMTM4LjQyIDU3Mi43NCAxMzcuNjEgNTcxLjczIDEzNi43OSA1&#10;NjkuNyAxMzUuMTYgNTY3LjcyIDEzMy41MSA1NjUuNzMgMTMxLjg2IDU2NS4zNSAxMzEuNTQgNTY0&#10;Ljk2IDEzMS4yMiA1NjQuNTggMTMwLjkgNTY0LjM0IDEzMC43IDU2NC4wOSAxMzAuNDkgNTYzLjg1&#10;IDEzMC4yOSA1NjMuMjcgMTI5LjggNTYyLjY5IDEyOS4zIDU2Mi4xMiAxMjguOCA1NjEuODcgMTI4&#10;LjU4IDU2MS42MiAxMjguMzYgNTYxLjM5IDEyOC4xNCA1NjEuMTQgMTI3Ljg5IDU2MC44MyAxMjcu&#10;NTggNTYwLjg1IDEyNy4yNiA1NjAuODcgMTI2LjkzIDU2MS4wOSAxMjYuNTUgNTYxLjYgMTI2LjQ2&#10;IDU2MS43OCAxMjYuNDMgNTYxLjk1IDEyNi40MiA1NjIuMTIgMTI2LjQyIDU2Mi4zOSAxMjYuNDMg&#10;NTYyLjY1IDEyNi40OSA1NjIuOTEgMTI2LjU5WiIgZmlsbD0iIzAxMDEwMSIvPjxwYXRoIGQ9Ik01&#10;ODQuMjMgMTM1Ljg5QzU4NC4zIDEzNS45NiA1ODQuMzggMTM2LjAyIDU4NC40NiAxMzYuMDggNTg0&#10;LjM5IDEzNi4wMiA1ODQuMzEgMTM1Ljk1IDU4NC4yMyAxMzUuODlaTTU3My4xNCAxMjIuNTdDNTcz&#10;LjQyIDEyMi42OCA1NzMuNjIgMTIyLjg1IDU3My44MiAxMjMuMDIgNTc0LjA3IDEyMy4yMiA1NzQu&#10;MyAxMjMuNDIgNTc0LjU0IDEyMy42MiA1NzQuOTMgMTIzLjk2IDU3NS4zMSAxMjQuMyA1NzUuNyAx&#10;MjQuNjQgNTc2LjQ1IDEyNS4zMSA1NzcuMTggMTI1Ljk5IDU3Ny45MSAxMjYuNjcgNTc5LjQ0IDEy&#10;OC4wOCA1ODAuOTkgMTI5LjQ3IDU4Mi41NiAxMzAuODYgNTgzLjYgMTMxLjc4IDU4NC42MyAxMzIu&#10;NyA1ODUuNTggMTMzLjY3IDU4Ni41MyAxMzQuNjQgNTg3LjUxIDEzNS41OCA1ODguNTIgMTM2LjUx&#10;IDU4OC43NCAxMzYuNzEgNTg4Ljc5IDEzNy4wMiA1ODguNzIgMTM3LjI1IDU4OC42NSAxMzcuNTEg&#10;NTg4LjQyIDEzNy43NSA1ODguMSAxMzcuOSA1ODcuNzkgMTM4LjA0IDU4Ny40MiAxMzguMDkgNTg3&#10;LjA2IDEzOC4wNCA1ODYuNjYgMTM3Ljk4IDU4Ni40IDEzNy44MiA1ODYuMTYgMTM3LjYgNTg1LjYg&#10;MTM3LjA5IDU4NS4wMyAxMzYuNiA1ODQuNDUgMTM2LjEgNTgzLjY2IDEzNS40NSA1ODIuODQgMTM0&#10;LjgyIDU4Mi4wNSAxMzQuMTcgNTgxLjE4IDEzMy40NSA1ODAuMzUgMTMyLjcxIDU3OS41NCAxMzEu&#10;OTUgNTc4LjA0IDEzMC41NSA1NzYuNjEgMTI5LjExIDU3NS4yOCAxMjcuNjQgNTc0LjYxIDEyNi45&#10;IDU3My45NiAxMjYuMTcgNTczLjM0IDEyNS40MSA1NzMuMDYgMTI1LjA3IDU3Mi44IDEyNC43MyA1&#10;NzIuNTUgMTI0LjM4IDU3Mi4yMyAxMjMuOTIgNTcxLjc0IDEyMy4zNSA1NzIuMDUgMTIyLjgzIDU3&#10;Mi4xNyAxMjIuNjIgNTcyLjUxIDEyMi41MSA1NzIuODIgMTIyLjUyIDU3Mi45MyAxMjIuNTIgNTcz&#10;LjAzIDEyMi41NCA1NzMuMTIgMTIyLjU4WiIgZmlsbD0iIzAxMDEwMSIvPjxwYXRoIGQ9Ik01ODQu&#10;NjIgMTEzLjg2QzU4NC43NiAxMTMuODggNTg0LjkxIDExMy45MyA1ODUuMDUgMTEzLjk3IDU4NS4y&#10;OSAxMTQuMDQgNTg1LjUgMTE0LjE4IDU4NS43IDExNC4zIDU4Ni4wMSAxMTQuNDcgNTg2LjI3IDEx&#10;NC42OCA1ODYuNTQgMTE0Ljg4IDU4Ny4wNCAxMTUuMjUgNTg3LjUxIDExNS42NCA1ODcuOTggMTE2&#10;LjAzIDU4OS4wMiAxMTYuOSA1OTAuMDIgMTE3Ljc5IDU5MSAxMTguNjkgNTkyLjg0IDEyMC4zNyA1&#10;OTQuNjMgMTIyLjA4IDU5Ni4zMyAxMjMuODQgNTk3LjA1IDEyNC41OSA1OTcuNyAxMjUuMzcgNTk4&#10;LjM2IDEyNi4xNSA1OTkuMDYgMTI2Ljk3IDU5OS44MiAxMjcuNzUgNjAwLjYxIDEyOC41MiA2MDEu&#10;MTMgMTI5LjAzIDYwMC44NCAxMjkuNzggNjAwLjEzIDEzMC4xMSA1OTkuNzggMTMwLjI3IDU5OS4z&#10;NSAxMzAuMzMgNTk4Ljk0IDEzMC4yNyA1OTguNDkgMTMwLjIxIDU5OC4xNyAxMzAuMDIgNTk3Ljkg&#10;MTI5Ljc3IDU5Ny4zNCAxMjkuMjQgNTk2Ljc3IDEyOC43MiA1OTYuMTcgMTI4LjIgNTk1LjE3IDEy&#10;Ny4zOCA1OTQuMTMgMTI2LjU5IDU5My4xNiAxMjUuNzUgNTkyLjIzIDEyNC45NSA1OTEuMzUgMTI0&#10;LjEyIDU5MC40NyAxMjMuMyA1ODguNjQgMTIxLjU5IDU4Ni44NiAxMTkuODUgNTg1LjIyIDExOC4w&#10;NSA1ODQuNzggMTE3LjU2IDU4NC4zMyAxMTcuMDYgNTgzLjk0IDExNi41NCA1ODMuNjcgMTE2LjE4&#10;IDU4My40MiAxMTUuODIgNTgzLjIxIDExNS40NSA1ODMuMDYgMTE1LjE5IDU4My4wMyAxMTQuODkg&#10;NTgzLjA4IDExNC42MiA1ODMuMTUgMTE0LjI0IDU4My42NiAxMTMuODQgNTg0LjIzIDExMy44NSA1&#10;ODQuMyAxMTMuODUgNTg0LjM4IDExMy44NSA1ODQuNDUgMTEzLjg1IDU4NC41IDExMy44NSA1ODQu&#10;NTYgMTEzLjg1IDU4NC42IDExMy44NloiIGZpbGw9IiMwMTAxMDEiLz48cGF0aCBkPSJNNTk1Ljgy&#10;IDExMC4wMkM1OTYuMzIgMTEwLjA4IDU5Ni43MyAxMTAuMzIgNTk3LjExIDExMC41NCA1OTcuMzUg&#10;MTEwLjY4IDU5Ny41NyAxMTAuODUgNTk3Ljc5IDExMS4wMSA1OTguMzIgMTExLjM5IDU5OC43OSAx&#10;MTEuOCA1OTkuMjcgMTEyLjIxIDYwMC4xMiAxMTIuOTMgNjAwLjkyIDExMy42NyA2MDEuNzEgMTE0&#10;LjQzIDYwMy4yMSAxMTUuODggNjA0Ljc0IDExNy4zMiA2MDYuMjggMTE4Ljc1IDYwNy4zMSAxMTku&#10;NyA2MDguMzUgMTIwLjY1IDYwOS40IDEyMS42IDYwOS42OSAxMjEuODYgNjA5Ljc1IDEyMi4yOCA2&#10;MDkuNjYgMTIyLjU5IDYwOS41NiAxMjIuOTQgNjA5LjI2IDEyMy4yNiA2MDguODQgMTIzLjQ1IDYw&#10;OC40MyAxMjMuNjQgNjA3LjkyIDEyMy43MSA2MDcuNDUgMTIzLjY0IDYwNy4yOSAxMjMuNiA2MDcu&#10;MTMgMTIzLjU2IDYwNi45NyAxMjMuNTIgNjA2LjY2IDEyMy40MSA2MDYuNDIgMTIzLjI1IDYwNi4y&#10;NCAxMjMuMDUgNjA0LjYzIDEyMS41OSA2MDMuMDMgMTIwLjEyIDYwMS40MSAxMTguNjcgNTk5Ljgg&#10;MTE3LjIyIDU5OC4xMiAxMTUuODEgNTk2LjYyIDExNC4zIDU5Ni4xOCAxMTMuODUgNTk1Ljc0IDEx&#10;My40IDU5NS4zMSAxMTIuOTQgNTk1LjA4IDExMi42OSA1OTQuODYgMTEyLjQzIDU5NC42NCAxMTIu&#10;MTggNTk0LjUgMTEyIDU5NC4zNiAxMTEuODEgNTk0LjI0IDExMS42MSA1OTQuMSAxMTEuMzYgNTk0&#10;LjA3IDExMS4xIDU5NC4xMSAxMTAuODIgNTk0LjIxIDExMC4zIDU5NC45NSAxMDkuOTggNTk1LjY0&#10;IDExMC4wMSA1OTUuNjkgMTEwLjAxIDU5NS43NSAxMTAuMDEgNTk1LjggMTEwLjAyWiIgZmlsbD0i&#10;IzAxMDEwMSIvPjxwYXRoIGQ9Ik02MDQuNjcgMTAxLjc5QzYwNC42NyAxMDEuNzkgNjA0LjY1IDEw&#10;MS44MSA2MDQuNjQgMTAxLjgyTDYwNC42NCAxMDEuODJDNjA0LjY0IDEwMS44MiA2MDQuNjQgMTAx&#10;LjgyIDYwNC42NCAxMDEuODIgNjA0LjY0IDEwMS44MSA2MDQuNjYgMTAxLjggNjA0LjY2IDEwMS43&#10;OVpNNjA2LjE3IDEwMS40NUM2MDYuMTcgMTAxLjQ1IDYwNi4yMSAxMDEuNDYgNjA2LjIzIDEwMS40&#10;NyA2MDYuMjIgMTAxLjQ3IDYwNi4yIDEwMS40NiA2MDYuMTkgMTAxLjQ1IDYwNi4xOSAxMDEuNDUg&#10;NjA2LjE4IDEwMS40NSA2MDYuMTcgMTAxLjQ1Wk02MDUuMzEgMTAxLjRDNjA1LjMxIDEwMS40IDYw&#10;NS4zMSAxMDEuNCA2MDUuMzEgMTAxLjQgNjA1LjMxIDEwMS40IDYwNS4zMSAxMDEuNCA2MDUuMzEg&#10;MTAxLjQgNjA1LjMxIDEwMS40IDYwNS4zMSAxMDEuNCA2MDUuMzEgMTAxLjRaTTYwNy42NCAxMDIu&#10;MzdDNjA4LjExIDEwMi43NyA2MDguNTQgMTAzLjIgNjA4Ljk3IDEwMy42MyA2MDkuOTEgMTA0LjU1&#10;IDYxMC44NCAxMDUuNDcgNjExLjc2IDEwNi40MSA2MTMuNTUgMTA4LjIyIDYxNS4xNiAxMTAuMTEg&#10;NjE2Ljg3IDExMS45NiA2MTcuODcgMTEzLjA1IDYxOC44OSAxMTQuMTIgNjE5LjkgMTE1LjIxIDYy&#10;MC40IDExNS43NCA2MjAuMTYgMTE2LjQ3IDYxOS40MiAxMTYuODIgNjE4LjY3IDExNy4xNyA2MTcu&#10;NjYgMTE3IDYxNy4xNiAxMTYuNDggNjE1LjQ1IDExNC42NiA2MTMuNzQgMTEyLjg0IDYxMS45NSAx&#10;MTEuMDYgNjEwLjA5IDEwOS4yMSA2MDguMjcgMTA3LjMzIDYwNi41OSAxMDUuMzkgNjA2LjE2IDEw&#10;NC44OSA2MDUuNzQgMTA0LjM3IDYwNS4zNyAxMDMuODUgNjA1LjE0IDEwMy41MiA2MDQuOSAxMDMu&#10;MTkgNjA0LjcgMTAyLjg1IDYwNC41NyAxMDIuNjIgNjA0LjQ4IDEwMi4zOCA2MDQuNSAxMDIuMTUg&#10;NjA0LjUxIDEwMS45NiA2MDQuNjEgMTAxLjc4IDYwNC43OSAxMDEuNjQgNjA0Ljk2IDEwMS41MSA2&#10;MDUuMTggMTAxLjQyIDYwNS40IDEwMS4zOSA2MDUuNTIgMTAxLjM3IDYwNS42NCAxMDEuMzYgNjA1&#10;Ljc1IDEwMS4zNyA2MDYuNTIgMTAxLjQgNjA3LjE0IDEwMS45OCA2MDcuNjIgMTAyLjM4WiIgZmls&#10;bD0iIzAxMDEwMSIvPjwvc3ZnPlBLAwQUAAYACAAAACEAY96Hw+AAAAAJAQAADwAAAGRycy9kb3du&#10;cmV2LnhtbEyPzWrDMBCE74W+g9hCb40s9yeO63UIoe0pBJoUSm8be2ObWJKxFNt5+yqn9jjMMPNN&#10;tpx0KwbuXWMNgppFINgUtmxMhfC1f39IQDhPpqTWGka4sINlfnuTUVra0XzysPOVCCXGpYRQe9+l&#10;UrqiZk1uZjs2wTvaXpMPsq9k2dMYynUr4yh6kZoaExZq6nhdc3HanTXCx0jj6lG9DZvTcX352T9v&#10;vzeKEe/vptUrCM+T/wvDFT+gQx6YDvZsSidahMWTWoQoQhwuXX2VzOcgDghJHIPMM/n/Qf4LAAD/&#10;/wMAUEsDBBQABgAIAAAAIQAiVg7uxwAAAKUBAAAZAAAAZHJzL19yZWxzL2Uyb0RvYy54bWwucmVs&#10;c7yQsWoDMQyG90LewWjv+e6GUkp8WUoha0gfQNg6n8lZNpYbmrePaZYGAt06SuL//g9td99xVWcq&#10;EhIbGLoeFLFNLrA38Hn8eH4FJRXZ4ZqYDFxIYDdtnrYHWrG2kCwhi2oUFgNLrflNa7ELRZQuZeJ2&#10;mVOJWNtYvM5oT+hJj33/ostvBkx3TLV3BsrejaCOl9ya/2aneQ6W3pP9isT1QYUOsXU3IBZP1UAk&#10;F/C2HDs5e9CPHYb/cRi6zD8O+u650xUAAP//AwBQSwECLQAUAAYACAAAACEAqNbHqBMBAABJAgAA&#10;EwAAAAAAAAAAAAAAAAAAAAAAW0NvbnRlbnRfVHlwZXNdLnhtbFBLAQItABQABgAIAAAAIQA4/SH/&#10;1gAAAJQBAAALAAAAAAAAAAAAAAAAAEQBAABfcmVscy8ucmVsc1BLAQItABQABgAIAAAAIQAwtQ3X&#10;JAUAAC4PAAAOAAAAAAAAAAAAAAAAAEMCAABkcnMvZTJvRG9jLnhtbFBLAQItAAoAAAAAAAAAIQAY&#10;yBwe/eEAAP3hAAAUAAAAAAAAAAAAAAAAAJMHAABkcnMvbWVkaWEvaW1hZ2UxLnBuZ1BLAQItAAoA&#10;AAAAAAAAIQDnftZg/w8BAP8PAQAUAAAAAAAAAAAAAAAAAMLpAABkcnMvbWVkaWEvaW1hZ2UyLnN2&#10;Z1BLAQItABQABgAIAAAAIQBj3ofD4AAAAAkBAAAPAAAAAAAAAAAAAAAAAPP5AQBkcnMvZG93bnJl&#10;di54bWxQSwECLQAUAAYACAAAACEAIlYO7scAAAClAQAAGQAAAAAAAAAAAAAAAAAA+wEAZHJzL19y&#10;ZWxzL2Uyb0RvYy54bWwucmVsc1BLBQYAAAAABwAHAL4BAAD++wEAAAA=&#10;">
                <v:shape id="Graphic 1" o:spid="_x0000_s1041" type="#_x0000_t75" style="position:absolute;width:15608;height:62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cpzQAAAOMAAAAPAAAAZHJzL2Rvd25yZXYueG1sRI9Ba8JA&#10;EIXvhf6HZQq9lLrRosTUVaRY2iIWql56m2an2WB2NmS3Gv+9cyh4nHlv3vtmtuh9o47UxTqwgeEg&#10;A0VcBltzZWC/e33MQcWEbLEJTAbOFGExv72ZYWHDib/ouE2VkhCOBRpwKbWF1rF05DEOQkss2m/o&#10;PCYZu0rbDk8S7hs9yrKJ9lizNDhs6cVRedj+eQP5x8/yYR1We6x2T8NPt9ocvt+SMfd3/fIZVKI+&#10;Xc3/1+9W8Cfj0XQ8zXOBlp9kAXp+AQAA//8DAFBLAQItABQABgAIAAAAIQDb4fbL7gAAAIUBAAAT&#10;AAAAAAAAAAAAAAAAAAAAAABbQ29udGVudF9UeXBlc10ueG1sUEsBAi0AFAAGAAgAAAAhAFr0LFu/&#10;AAAAFQEAAAsAAAAAAAAAAAAAAAAAHwEAAF9yZWxzLy5yZWxzUEsBAi0AFAAGAAgAAAAhAHBu9ynN&#10;AAAA4wAAAA8AAAAAAAAAAAAAAAAABwIAAGRycy9kb3ducmV2LnhtbFBLBQYAAAAAAwADALcAAAAB&#10;AwAAAAA=&#10;">
                  <v:imagedata r:id="rId59" o:title="" cropleft="2286f"/>
                  <o:lock v:ext="edit" aspectratio="f"/>
                </v:shape>
                <v:shape id="Text Box 1517423650" o:spid="_x0000_s1042" type="#_x0000_t202" style="position:absolute;left:3810;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B0zQAAAOMAAAAPAAAAZHJzL2Rvd25yZXYueG1sRI/NasMw&#10;EITvhbyD2EBvjRy3+cGNEoJxoYUSsNNCjou1tU2slbGURH376lDIcXdnZ+bb7ILpxZVG11lWMJ8l&#10;IIhrqztuFHwd357WIJxH1thbJgW/5GC3nTxsMNP2xiVdK9+IaMIuQwWt90MmpatbMuhmdiCOtx87&#10;GvRxHBupR7xFc9PLNEmW0mDHMaHFgfKW6nN1MQpOadEU4VDuv/njswznIj/ml0qpx2nYv4LwFPxd&#10;/P/9rmP9xXz1kj4vF5EiMsUFyO0fAAAA//8DAFBLAQItABQABgAIAAAAIQDb4fbL7gAAAIUBAAAT&#10;AAAAAAAAAAAAAAAAAAAAAABbQ29udGVudF9UeXBlc10ueG1sUEsBAi0AFAAGAAgAAAAhAFr0LFu/&#10;AAAAFQEAAAsAAAAAAAAAAAAAAAAAHwEAAF9yZWxzLy5yZWxzUEsBAi0AFAAGAAgAAAAhAPMtoHTN&#10;AAAA4wAAAA8AAAAAAAAAAAAAAAAABwIAAGRycy9kb3ducmV2LnhtbFBLBQYAAAAAAwADALcAAAAB&#10;AwAAAAA=&#10;" filled="f" stroked="f">
                  <v:textbox inset="0,,0">
                    <w:txbxContent>
                      <w:p w14:paraId="5C52D550" w14:textId="06AD50DF" w:rsidR="009E68BF" w:rsidRPr="000326C6" w:rsidRDefault="00AC00BC" w:rsidP="00C50D1A">
                        <w:pPr>
                          <w:spacing w:after="0" w:line="240" w:lineRule="auto"/>
                          <w:jc w:val="center"/>
                          <w:rPr>
                            <w:b/>
                            <w:bCs/>
                            <w:color w:val="000000"/>
                            <w:sz w:val="20"/>
                            <w:szCs w:val="20"/>
                          </w:rPr>
                        </w:pPr>
                        <w:r>
                          <w:rPr>
                            <w:b/>
                            <w:bCs/>
                            <w:color w:val="000000"/>
                            <w:sz w:val="20"/>
                            <w:szCs w:val="20"/>
                          </w:rPr>
                          <w:t>Further detail in</w:t>
                        </w:r>
                      </w:p>
                      <w:p w14:paraId="70CE4935" w14:textId="77777777" w:rsidR="009E68BF" w:rsidRPr="00697AE5" w:rsidRDefault="009E68BF" w:rsidP="00C50D1A">
                        <w:pPr>
                          <w:spacing w:after="0" w:line="240" w:lineRule="auto"/>
                          <w:jc w:val="center"/>
                          <w:rPr>
                            <w:b/>
                            <w:bCs/>
                            <w:color w:val="000000"/>
                            <w:sz w:val="20"/>
                            <w:szCs w:val="20"/>
                          </w:rPr>
                        </w:pPr>
                        <w:r w:rsidRPr="00697AE5">
                          <w:rPr>
                            <w:b/>
                            <w:bCs/>
                            <w:color w:val="000000"/>
                            <w:sz w:val="20"/>
                            <w:szCs w:val="20"/>
                          </w:rPr>
                          <w:t xml:space="preserve">Part B - Section </w:t>
                        </w:r>
                        <w:r>
                          <w:rPr>
                            <w:b/>
                            <w:bCs/>
                            <w:color w:val="000000"/>
                            <w:sz w:val="20"/>
                            <w:szCs w:val="20"/>
                          </w:rPr>
                          <w:t>5</w:t>
                        </w:r>
                      </w:p>
                    </w:txbxContent>
                  </v:textbox>
                </v:shape>
                <w10:wrap type="square" anchorx="page"/>
              </v:group>
            </w:pict>
          </mc:Fallback>
        </mc:AlternateContent>
      </w:r>
      <w:r w:rsidR="00922591" w:rsidRPr="00884FAA">
        <w:rPr>
          <w:noProof/>
        </w:rPr>
        <w:t xml:space="preserve">There were diverse experiences reported to the </w:t>
      </w:r>
      <w:r w:rsidR="00C46D67" w:rsidRPr="00884FAA">
        <w:rPr>
          <w:noProof/>
        </w:rPr>
        <w:t>evaluation</w:t>
      </w:r>
      <w:r w:rsidR="00922591" w:rsidRPr="00884FAA">
        <w:rPr>
          <w:noProof/>
        </w:rPr>
        <w:t xml:space="preserve">. </w:t>
      </w:r>
      <w:r w:rsidR="00120A41" w:rsidRPr="00884FAA">
        <w:rPr>
          <w:noProof/>
        </w:rPr>
        <w:t>T</w:t>
      </w:r>
      <w:r w:rsidR="002C067A" w:rsidRPr="00884FAA">
        <w:rPr>
          <w:noProof/>
        </w:rPr>
        <w:t xml:space="preserve">he </w:t>
      </w:r>
      <w:r w:rsidR="00C46D67" w:rsidRPr="00884FAA">
        <w:rPr>
          <w:noProof/>
        </w:rPr>
        <w:t>evaluation</w:t>
      </w:r>
      <w:r w:rsidR="002C067A" w:rsidRPr="00884FAA">
        <w:rPr>
          <w:noProof/>
        </w:rPr>
        <w:t xml:space="preserve"> found that people </w:t>
      </w:r>
      <w:r w:rsidR="00E31EAB" w:rsidRPr="00884FAA">
        <w:rPr>
          <w:noProof/>
        </w:rPr>
        <w:t xml:space="preserve">reported better quality </w:t>
      </w:r>
      <w:r w:rsidR="008E1554" w:rsidRPr="00884FAA">
        <w:rPr>
          <w:noProof/>
        </w:rPr>
        <w:t xml:space="preserve">and experiences </w:t>
      </w:r>
      <w:r w:rsidR="00E31EAB" w:rsidRPr="00884FAA">
        <w:rPr>
          <w:noProof/>
        </w:rPr>
        <w:t xml:space="preserve">of care in ACCHSs than in mainstream settings. While the </w:t>
      </w:r>
      <w:r w:rsidR="009E32D0">
        <w:t>evaluation</w:t>
      </w:r>
      <w:r w:rsidR="009E32D0" w:rsidRPr="00884FAA">
        <w:rPr>
          <w:noProof/>
        </w:rPr>
        <w:t xml:space="preserve"> </w:t>
      </w:r>
      <w:r w:rsidR="005F5012" w:rsidRPr="00884FAA">
        <w:rPr>
          <w:noProof/>
        </w:rPr>
        <w:t xml:space="preserve">found </w:t>
      </w:r>
      <w:r w:rsidR="00E31EAB" w:rsidRPr="00884FAA">
        <w:rPr>
          <w:noProof/>
        </w:rPr>
        <w:t xml:space="preserve">that negative experiences were concentrated in mainstream health </w:t>
      </w:r>
      <w:r w:rsidR="00A9071C" w:rsidRPr="00884FAA">
        <w:rPr>
          <w:noProof/>
        </w:rPr>
        <w:t>services,</w:t>
      </w:r>
      <w:r w:rsidR="00637B5E" w:rsidRPr="00884FAA">
        <w:rPr>
          <w:noProof/>
        </w:rPr>
        <w:t xml:space="preserve"> </w:t>
      </w:r>
      <w:r w:rsidR="00A9071C" w:rsidRPr="00884FAA">
        <w:rPr>
          <w:noProof/>
        </w:rPr>
        <w:t>p</w:t>
      </w:r>
      <w:r w:rsidR="005F5012" w:rsidRPr="00884FAA">
        <w:rPr>
          <w:noProof/>
        </w:rPr>
        <w:t xml:space="preserve">eople </w:t>
      </w:r>
      <w:r w:rsidR="00637B5E" w:rsidRPr="00884FAA">
        <w:rPr>
          <w:noProof/>
        </w:rPr>
        <w:t xml:space="preserve">receiving </w:t>
      </w:r>
      <w:r w:rsidR="005F5012" w:rsidRPr="00884FAA">
        <w:rPr>
          <w:noProof/>
        </w:rPr>
        <w:t xml:space="preserve">health care through ACCHSs also reported </w:t>
      </w:r>
      <w:r w:rsidR="00256DDF" w:rsidRPr="00884FAA">
        <w:rPr>
          <w:noProof/>
        </w:rPr>
        <w:t>experiences</w:t>
      </w:r>
      <w:r w:rsidR="00637B5E" w:rsidRPr="00884FAA">
        <w:rPr>
          <w:noProof/>
        </w:rPr>
        <w:t xml:space="preserve"> where the care did not align with </w:t>
      </w:r>
      <w:r w:rsidR="002B1CE5">
        <w:rPr>
          <w:noProof/>
        </w:rPr>
        <w:t>what people</w:t>
      </w:r>
      <w:r w:rsidR="00637B5E" w:rsidRPr="00884FAA">
        <w:rPr>
          <w:noProof/>
        </w:rPr>
        <w:t xml:space="preserve"> value</w:t>
      </w:r>
      <w:r w:rsidR="002B1CE5">
        <w:rPr>
          <w:noProof/>
        </w:rPr>
        <w:t xml:space="preserve"> in health care design and delivery</w:t>
      </w:r>
      <w:r w:rsidR="00F44F20" w:rsidRPr="00884FAA">
        <w:rPr>
          <w:noProof/>
        </w:rPr>
        <w:t xml:space="preserve">. </w:t>
      </w:r>
      <w:r w:rsidR="00727722" w:rsidRPr="00884FAA">
        <w:rPr>
          <w:noProof/>
        </w:rPr>
        <w:t xml:space="preserve">These </w:t>
      </w:r>
      <w:r w:rsidR="00A9071C" w:rsidRPr="00884FAA">
        <w:rPr>
          <w:noProof/>
        </w:rPr>
        <w:t xml:space="preserve">issues </w:t>
      </w:r>
      <w:r w:rsidR="00C93405" w:rsidRPr="00884FAA">
        <w:rPr>
          <w:noProof/>
        </w:rPr>
        <w:t>were</w:t>
      </w:r>
      <w:r w:rsidR="00A9071C" w:rsidRPr="00884FAA">
        <w:rPr>
          <w:noProof/>
        </w:rPr>
        <w:t xml:space="preserve"> </w:t>
      </w:r>
      <w:r w:rsidR="00727722" w:rsidRPr="00884FAA">
        <w:rPr>
          <w:noProof/>
        </w:rPr>
        <w:t xml:space="preserve">frequently </w:t>
      </w:r>
      <w:r w:rsidR="00A9071C" w:rsidRPr="00884FAA">
        <w:rPr>
          <w:noProof/>
        </w:rPr>
        <w:t xml:space="preserve">connected to </w:t>
      </w:r>
      <w:r w:rsidR="00EC03D3" w:rsidRPr="00884FAA">
        <w:rPr>
          <w:noProof/>
        </w:rPr>
        <w:t>time</w:t>
      </w:r>
      <w:r w:rsidR="00105BD2" w:rsidRPr="00884FAA">
        <w:rPr>
          <w:noProof/>
        </w:rPr>
        <w:t>l</w:t>
      </w:r>
      <w:r w:rsidR="00EC03D3" w:rsidRPr="00884FAA">
        <w:rPr>
          <w:noProof/>
        </w:rPr>
        <w:t>y access to appointments and services, especially specialist services</w:t>
      </w:r>
      <w:r w:rsidR="00A86FAA" w:rsidRPr="00884FAA">
        <w:rPr>
          <w:noProof/>
        </w:rPr>
        <w:t>,</w:t>
      </w:r>
      <w:r w:rsidR="00EC03D3" w:rsidRPr="00884FAA">
        <w:rPr>
          <w:noProof/>
        </w:rPr>
        <w:t xml:space="preserve"> and the </w:t>
      </w:r>
      <w:r w:rsidR="00C93405" w:rsidRPr="00884FAA">
        <w:rPr>
          <w:noProof/>
        </w:rPr>
        <w:t xml:space="preserve">impacts </w:t>
      </w:r>
      <w:r w:rsidR="00E12581" w:rsidRPr="00884FAA">
        <w:rPr>
          <w:noProof/>
        </w:rPr>
        <w:t xml:space="preserve">of </w:t>
      </w:r>
      <w:r w:rsidR="00EC03D3" w:rsidRPr="00884FAA">
        <w:rPr>
          <w:noProof/>
        </w:rPr>
        <w:t xml:space="preserve">workforce </w:t>
      </w:r>
      <w:r w:rsidR="00E12581" w:rsidRPr="00884FAA">
        <w:rPr>
          <w:noProof/>
        </w:rPr>
        <w:t>issues on</w:t>
      </w:r>
      <w:r w:rsidR="00F17579">
        <w:rPr>
          <w:noProof/>
        </w:rPr>
        <w:t xml:space="preserve"> cultural</w:t>
      </w:r>
      <w:r w:rsidR="00E12581" w:rsidRPr="00884FAA">
        <w:rPr>
          <w:noProof/>
        </w:rPr>
        <w:t xml:space="preserve"> safety, quality and continuity of care.</w:t>
      </w:r>
      <w:r w:rsidR="0008272C" w:rsidRPr="00884FAA">
        <w:rPr>
          <w:noProof/>
        </w:rPr>
        <w:t xml:space="preserve"> These issues are not confined to ACCHSs; </w:t>
      </w:r>
      <w:r w:rsidR="005013F6" w:rsidRPr="00884FAA">
        <w:rPr>
          <w:noProof/>
        </w:rPr>
        <w:t>people also experi</w:t>
      </w:r>
      <w:r w:rsidR="004477DF">
        <w:rPr>
          <w:noProof/>
        </w:rPr>
        <w:t>e</w:t>
      </w:r>
      <w:r w:rsidR="005013F6" w:rsidRPr="00884FAA">
        <w:rPr>
          <w:noProof/>
        </w:rPr>
        <w:t>nced these</w:t>
      </w:r>
      <w:r w:rsidR="000F3F17" w:rsidRPr="00884FAA">
        <w:rPr>
          <w:noProof/>
        </w:rPr>
        <w:t xml:space="preserve"> issues in mainstream health settings.</w:t>
      </w:r>
    </w:p>
    <w:p w14:paraId="13C79E36" w14:textId="3A92F43C" w:rsidR="0051688D" w:rsidRPr="00884FAA" w:rsidRDefault="0051688D" w:rsidP="00651D06">
      <w:pPr>
        <w:pStyle w:val="Heading3NotNumbered"/>
        <w:numPr>
          <w:ilvl w:val="0"/>
          <w:numId w:val="0"/>
        </w:numPr>
      </w:pPr>
      <w:r w:rsidRPr="00884FAA">
        <w:t>ACCHSs carry significant responsibility within their communities</w:t>
      </w:r>
    </w:p>
    <w:p w14:paraId="6C0D391C" w14:textId="0CB8BB0B" w:rsidR="0051688D" w:rsidRPr="00884FAA" w:rsidRDefault="007F3E38" w:rsidP="0051688D">
      <w:r>
        <w:rPr>
          <w:noProof/>
        </w:rPr>
        <mc:AlternateContent>
          <mc:Choice Requires="wpg">
            <w:drawing>
              <wp:anchor distT="0" distB="0" distL="114300" distR="114300" simplePos="0" relativeHeight="251658277" behindDoc="0" locked="0" layoutInCell="1" allowOverlap="1" wp14:anchorId="5CEAD7BA" wp14:editId="6DEC10EC">
                <wp:simplePos x="0" y="0"/>
                <wp:positionH relativeFrom="page">
                  <wp:align>left</wp:align>
                </wp:positionH>
                <wp:positionV relativeFrom="paragraph">
                  <wp:posOffset>73660</wp:posOffset>
                </wp:positionV>
                <wp:extent cx="1560830" cy="509270"/>
                <wp:effectExtent l="0" t="0" r="1270" b="5080"/>
                <wp:wrapSquare wrapText="bothSides"/>
                <wp:docPr id="169232112" name="Group 169232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1728041340"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a:off x="0" y="0"/>
                            <a:ext cx="1560830" cy="620395"/>
                          </a:xfrm>
                          <a:prstGeom prst="rect">
                            <a:avLst/>
                          </a:prstGeom>
                          <a:ln>
                            <a:noFill/>
                          </a:ln>
                          <a:extLst>
                            <a:ext uri="{53640926-AAD7-44D8-BBD7-CCE9431645EC}">
                              <a14:shadowObscured xmlns:a14="http://schemas.microsoft.com/office/drawing/2010/main"/>
                            </a:ext>
                          </a:extLst>
                        </pic:spPr>
                      </pic:pic>
                      <wps:wsp>
                        <wps:cNvPr id="1749884064" name="Text Box 1749884064"/>
                        <wps:cNvSpPr txBox="1">
                          <a:spLocks noChangeArrowheads="1"/>
                        </wps:cNvSpPr>
                        <wps:spPr bwMode="auto">
                          <a:xfrm>
                            <a:off x="21945"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793DDE34" w14:textId="0D8B660F" w:rsidR="007F3E38" w:rsidRPr="00711B8F" w:rsidRDefault="00AC00BC" w:rsidP="007F3E38">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5582682D" w14:textId="21CAFF56" w:rsidR="007F3E38" w:rsidRPr="00697AE5" w:rsidRDefault="007F3E38" w:rsidP="007F3E38">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sidR="009670AC">
                                <w:rPr>
                                  <w:b/>
                                  <w:bCs/>
                                  <w:color w:val="000000"/>
                                  <w:sz w:val="20"/>
                                  <w:szCs w:val="20"/>
                                </w:rPr>
                                <w:t>C</w:t>
                              </w:r>
                              <w:r w:rsidRPr="00697AE5">
                                <w:rPr>
                                  <w:b/>
                                  <w:bCs/>
                                  <w:color w:val="000000"/>
                                  <w:sz w:val="20"/>
                                  <w:szCs w:val="20"/>
                                </w:rPr>
                                <w:t xml:space="preserve"> - Section </w:t>
                              </w:r>
                              <w:r w:rsidR="009670AC">
                                <w:rPr>
                                  <w:b/>
                                  <w:bCs/>
                                  <w:color w:val="000000"/>
                                  <w:sz w:val="20"/>
                                  <w:szCs w:val="20"/>
                                </w:rPr>
                                <w:t>6</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CEAD7BA" id="Group 169232112" o:spid="_x0000_s1043" alt="&quot;&quot;" style="position:absolute;left:0;text-align:left;margin-left:0;margin-top:5.8pt;width:122.9pt;height:40.1pt;z-index:251658277;mso-position-horizontal:left;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QysHwUAACMPAAAOAAAAZHJzL2Uyb0RvYy54bWycV1tv&#10;2zYUfh+w/0DocUBi3S9GnKJt1qBAtwZrhnWPNE1bQiRRo+jI6a/fR1JS5MSF7TzE4e3cvvMd8ujq&#10;3a4qySOXbSHqheNdug7hNROrot4snL/vP12kDmkVrVe0FDVfOE+8dd5d//rLVdfMuS9yUa64JFBS&#10;t/OuWTi5Us18NmtZzivaXoqG19hcC1lRhanczFaSdtBelTPfdeNZJ+SqkYLxtsXqjd10ro3+9Zoz&#10;9XW9brki5cKBb8r8SvO71L+z6ys630ja5AXr3aBv8KKiRQ2jo6obqijZyuKVqqpgUrRirS6ZqGZi&#10;vS4YNzEgGs99Ec2tFNvGxLKZd5tmhAnQvsDpzWrZn4+3svnW3Ekg0TUbYGFmOpbdWlb6P7wkOwPZ&#10;0wgZ3ynCsOhFsZsGQJZhL3IzP+kxZTmAfyXG8t8PCca+G2SRTsZsMDvbc6Yp2Bx/PQIYvULgOFMg&#10;pbaSO72S6iQdFZUP2+YCyWqoKpZFWagnQzykRTtVP94V7E7aCcC8k6RYAZbET93QC0IgU9MKxL/t&#10;OebpKLWkPmxFqQ7ti2APrQZgf89M94wsy6L5VJQlkUL9U6j8W04b6PcM/fRmHx9I/oIkByCyBLwR&#10;bFvxWtmKkrxEqKJu86JpHSLnvFpyxCQ/r4zzdN5K9hcqS9dUEKapLaJWSa5YPoQwuGmDbUEwsuz+&#10;ECu4SrdKGG/PJtgBngA82apbLiqiB3ATnhnt9PFLqyylhiOazWWtf2uhMbS7esXgrL3sh8iCrgdc&#10;Su0AKGavID2r7kym4JpWO6VKmKVp6MbhQJV7XVwfxI54ybgFT3sxXatE7bA/JL1tDHlILT7mtN7w&#10;91KKLud0BX9NxlBLxqIWtXpOyofvZWHkEBS2HydBYtM8Fr6muN42he8HaRLu1S+ds63Ni4Z7yAUu&#10;yBWyopc2q74ymKjrtlD8O2plXZW4fn+bEZd0xOtNIPYDx//dP56TaHTiwOnv3kR5FPtZHB+3MJVx&#10;yTEL/sRC7/pxE1Oh4yaCt5iYClmMjoYCKo6ZiNI49IPjkezJmFQcNQP2jGZOSPj0+ImBxOdZ2D8+&#10;TTjepZG5NLcXCyi+q3s2Y0RQe/p91GxtRKvfvim1UUbDFNS1Nw+k9OkjwqDhVNiWtJE6QRgEmwr7&#10;Z1kGdabCwVnCIMRUeLgeTovZ3jsjYENvcJow0ji1HE/dRiKhpM+afiv0K1aazlDhscP74RB0hkst&#10;gzxSpZM9DEmHG3W4+HI0PPbKIbgU5Va3wF8fBgZU4pHfCyOoXrRBcOF5l22XBfvAf0zPen6Yemic&#10;EcSFl2UGdvhi9AR+GiQWHc9P4v5Wtnv2XjNyI8P21B8ylmRJFCW9sZcasyiNEsuC1M2yHhTjyIgD&#10;vDzdmuelUepnxpznuYF9NYbgPC+LU89SFp1FDBBsGl5ZfL7sdUKPBpmm6K6t3ghWEe9Eb+KHUWzh&#10;jrwgjQzZBpfs9Wf8PdNmGKZ+0qsNgnQ/jT7ggyGd4siP8dJOHcLLZtYnj+rxEC98+G6BDb0oSw3r&#10;hygu/CALrC9+EKfRHqWsuZ/ksBQtB1ZAWdfCODBFYaB/fuTHnuqnTVaHPsQ2WXqkdsud6ZZNlvXK&#10;Uqye0N2gs9Wc0t+VGORC/nBIh/554bT/balu4cvPNZobHFFmEEaJj4kcVpfTVVozqFg4KG87/Kgw&#10;w/FtI4tNDgu2d67FezSm68L0jM/eIGQ9QR9oRuZLzMDQfzXqT73p3Jx6/ra9/h8AAP//AwBQSwME&#10;CgAAAAAAAAAhABjIHB794QAA/eEAABQAAABkcnMvbWVkaWEvaW1hZ2UxLnBuZ4lQTkcNChoKAAAA&#10;DUlIRFIAAAnEAAADRQgGAAAAX+9tDgAAAAFzUkdCAK7OHOkAAAAEZ0FNQQAAsY8L/GEFAAAACXBI&#10;WXMAADqWAAA6lgEjrlQ8AADhkklEQVR4Xuzdb4gc+Z8f9vLd/X73W5/vtu+P73T2STfnI0QXS6eJ&#10;45zI7glPcARCWHhsb2RBlnhMpBMciz06ydloBjKDHjgxAU30wMGBNeNgPwgbsoPBECUWHsM9WIeF&#10;DMRZnCXBg0az9BLjzMWJ44QkntR3ulsalT7zr6u6u6r69YYX+ztp59tV3dVVNVvv+34zERERERER&#10;EREJ0znGzDFmjzF3hPkTLBxh8QSrkd/1u37X2jHWh7AxQZsTtjVh2xMWbdO4RJ/HuETH4jhF38Oz&#10;ir7/oeg8coLofHSU6Nx2nOgceZTofDtQPD9H5/PiuV9ERERERERERERERERERKT1KT4sL4oesB9W&#10;fCBfFD3EPywqABwWlQkOi8oJh0VFhwNRaaIgKmAMRAWPJCqeDESFmMOisk6yd4J9ACiheF2JrkXF&#10;a1bxGhddE6Pr51vX2uj6nCtey6Prf3TPkBTvMwb3I4fvXQb3OCIiIiIiIiIiMiU5/OBrVA7/B6g6&#10;OPywri6K//FukqL/uDhO0X/0HJfif4Adt+g/Ck9CtG2TFn1e4xYdr+MUfV/HJTpvjUN0Dh+H6FpG&#10;/F7VRXT81En0vTqL6JxwVtF57ayi8/NZRdedUys+UC0helh7FtED4MOKD4yLig+Yi6KH0ocVH2JH&#10;ooffAAC8MbhvOnyfNbgfG9y3Hb7HO3w/eHBfGdyzDu57D99HD+7JD9/jD35XOPx7zeB3LxERERER&#10;EZEwgwd2g18qB79wvvMQZvCLa9/hX2gHDv/CO3D4QcbA4YcXhx3+ZXrg8EOKcYu2JxLtSyR6L6ZN&#10;9L6cJHrPjxJ9jieJ/gMPAAAAAADNMvhvvof/m/HgvzMP/hv14ecXh59vKO6JiIiIiIg0NOmXssX+&#10;L3bpF7/0y2D0SyMAAAAAAADVU9wTERERERGpIAv5L0jpF6noFy8AAAAAAAA47KzFvcPlvZOKe8Xy&#10;3uECX7HEd7jId1SZT6FPRERERGSK0un/AhL9IgMAAAAAAABtNCj0FUt9h4t9h8t9R5X8ig7P2Bc5&#10;KANGsncLgpHDpcGziMZ6R7Rdx4j27zSisQ5E25RL2z8oRaYC5KDsKCIiIiLybvIby3TTGf0SAAAA&#10;AAAAAFBnqcC4nvVKc0pyIiIiInJQiEs3ia9vGvM/OnwDCQAAAAAAANAUW1lvNjkRERERmdbkN4Vv&#10;FeIAAAAAAAAAGk4xTkRERGSKsxrcIAIAAAAAAAA0WqYUJyIiIjKdyW8G14o3hwAAAAAAAABNlynF&#10;iYiIiExtZvMbwn9WvEEEAAAAAAAAqJssy8L/Hcn/fiY9EBURERGRKUt+M7hdvDkEAAAAAAAAqIPs&#10;hOLbMdZ7T0RFREREZJoyE9wYHiv/mW7+TyU6AAAAAAAAoM7+t94jURERERGZpswFN4Yn2ej/7CBp&#10;quFkLjffl9bkTxZzq0n+c2u59b6N3GbfVi4V7JK9XPSaAAAAAAAAAGf1NzNLp4qIiIhMVRaCm8KT&#10;7PV/dtTp5AZlu9lcVLgblO5eF+8G8u1MBbzDJbxBEe9wGW9QyBsYFPMG5TwFPQAAAAAAABizbPhl&#10;Uo+Slk9VjBMRERGZgiwGN4Mnyn8uldWmMWm/BwZlvUFhb1DaO1zcO6q891aBL39Po/Le4QJfVOSL&#10;Cn3FUt/hYp+CHwAAAK3xfue9Y52/0DnWpcvnjvXBhzNHunHz4qncvnPlVO7dv3pqDx5dO9HKk+un&#10;9vTZrVP7bP2joX3+xcelPH9xt5Qvv/qEFog+26aIjutJir6nVYrOIVUqnsuic2FSPIcWz7/F83Z0&#10;zk+K14jiNSW6DkXXLgBqI62GpRgnIiIi0uKkMlZ0I3is/OdS+WvobG+vdF51l+defru0uNtdXnv1&#10;3fL6zndLm0n+5xvpz152lxbSv9P/ERltDhf9imW/gUHp73DxLyoARkXAYwuBR8mPtUFR8CjFAmFR&#10;sVBYFBUMi4qFw8OK5cNIsZB4VuF3EAAAqFb0IHug+NB7oPhw/LDoYXpSfPB+WPEh/UDxYf5h0cP/&#10;pFgUOCwqFgxEpYYkKlMMRMWPw6JSy2Fff/PwWK++WwaAVihe46LrYvE6OrjeFq/Nh6/fg2t88X5g&#10;cL9QvLcY3HsU71MG9zGH73cO3xNF91AADacYJyIiItLG5Dd6qTQU3QAeK//RVG46Uw4KcN3Hqzvd&#10;5a1X3aW96D8IHCX9TCrJ7e4ulSriiUxxiqXHYRRLksM6XK4cRrGQOYyoxAkDxTJvWYfLwFUIS8Rl&#10;5Nf2qHRcRrGgXJWo3DyUH/3R7/2tyPe//8O/fdjv/t3f//I03n//B1+dxk/99I9tneRnf/bH/35R&#10;5yff+4dFP/3TP/byKD/7s79n9yTnfv7Hu0f5/b///f/lOBcudP5xkr/W/170e3/v7/mnkZ/9uR//&#10;Z8c59/M/8X8f5ff9vvf/n6P8wi+8//8d5fBDHEbrcAlo0ooP9U7rcCnprIoPGE/rcKlpGMUHnqd1&#10;uBh1VocfvJ5V8SFu0eGC1WHFh8KHRQ+RB4oPnAei3zkBADibw/dXh+/BDt+rDe7nivd9h+8RB/eZ&#10;xXvWwT3v4fvnw/fgxfv5we8Dh39PUeYDzkAxTkRERKRNSTd4hRu+U5mb+wN/Nc3g9nqGt+7yxmCG&#10;t7d0l7cGol+ah5HGSsW69Po73z6eT1LZbiCV5pLt7qczr22vdA7r776IiExBiteAtxy+VhwyuJZE&#10;Dl9zBgbXo8jB9bIov36GDq5vbzsohB8hvy6un1p+rT6N8Hp+lEPX+ZPk27B9Kqk0P6zgvgEAAADg&#10;sCrLfKcp8h0u8x1V5DuqzBc9nwFGSjFOREREpA1JN3aFG71TSb+4Rb9INtq7D9XfekD/zsP9Qikg&#10;KhXkP/dWGSEqM5wkKkecWlS2aJuoaBKISiqH5Z/XOwWX40QlmSQq1rwlKuTk+l9JOSbR+xaK3veC&#10;6LOLRJ/9YdGxFImOyVB0jEei73tBdD6JFM9TR4rOcQXF8+KRiufTI+Sv+9Z5+LXi+XogOrcDAAAA&#10;QEscV+SLSnzFAt9ZZ+OLynuKe0yJtUwxTkRERKS5yW/oNgs3eKfSykIc1FlU/jmrqFg0atF2RKJ9&#10;BgAAAACgcU5T3Dtree+0xT3lPSqWinEiIiIi0rTkN3LbhRu7U0m/NES/5AAAAAAAAEDdHVfcG3bW&#10;vUFx73B5b1DcK5b3FPcaYy/LsoXek1URERERaUTym7ihCnFJ+iUh+gUCAAAAAAAAqMZpZt07XNw7&#10;S3nvNLPuHS7wHVXiG2WRL439gx98L/y7MdrKsmy+94RVRERERGqd4Gbu1NJNdnRTDgAAAAAAADAo&#10;8xULfcViX2Twc4OxUvEvemY5ZhtZls30nrSKiIiISB3TCW7iTi3ddB6+oQUAAAAAAAAYlVSUSzPT&#10;Rc8ux2yt/7xVRERERGqWmeDm7dTS1MrRjSgAAAAAAADAKKRZ49LSrtHzy3HLsmyx99hVREREROqS&#10;UoW4B4+uhTehAAAAAAAAAKOUJu+InmFOwFaWZQu9x68iIiIiMumUKsSl/8+L6OYTAAAAAAAAYNTS&#10;EqqXLp8Ln2VOQCrGzfQew4qIiIjIpFKqEJfW549uPAEAAAAAAADGpUazxSXr6Tls73GsiIiIiIw7&#10;s8EN2qm933kvvOEEAAAAAAAAGKeazRaXrPWfyYqIiIjIGFOqEJd8/c3D8IYTAAAAAAAAYNxqNltc&#10;WkZ1ofdoVkRERETGkdKFuM+/+Di80QQAAAAAAACYhC+/+mT/xs2L4fPNCdnMLKMqIiIiMpaULsT9&#10;e0v/+j+ObjIBAAAAAAAAJqlms8UlllEVERERGXFKF+L+7L/zh7ejm0sAAAAAAACASfv6m4f7t+9c&#10;CZ91TsheZhlVERERkZFlLrgBO5Mrs7/vf45uLAEAAAAAAADq4umzW/vvd94Ln3lOyFZmGVURERGR&#10;ylO6EPdLf+CnzBAHAAAAAAAA1F4NZ4tLLKMqIiIiUmFKF+K+9/0f/j+im0kAAAAAAACAOkqzxZ2/&#10;0Amff06IZVRFREREKkrpQlyS/j8pohtJAAAAAAAAgLqq4WxxllEVERERKZnZ4CbrzJ6/uBveQAIA&#10;AAAAAADUWXrWWbPZ4hLLqIqIiIgMmUoKcX/tb/zp/ym6eQQAAAAAAABoggeProXPQifIMqoiIiIi&#10;Q6SSQty93/i1/za6aQQAAAAAAABoijRb3KXL58JnohOUllGd7T3eFREREZGTMhPcUJ3ZzVv/4t+N&#10;bhgBAAAAAAAAmmblyfXwueiEWUZVRERE5BSppBB3/kLn70U3igAAAAAAAABN9OVXn+zfuHkxfD46&#10;QZZRFRERETkhlRTivv/9H/k2ukkEAAAAAAAAaLKnz27tv995L3xOOkFpGdWZ3iNfERERETmcTnDz&#10;dGY/9EM/9DvRzSEAAAAAAABA0339zcP923euhM9KJ8wyqiIiIiKFVFKIS/7+P/itl9HNIQAAAAAA&#10;AEAbPH9xd//8hU74vHSCtjPLqIqIiIi8TmWFuP/yb/7bX0U3hQAAAAAAAABtcu/+1fCZ6YRtZJZR&#10;FREREamuEPfn/vyH/3V0MwgAAAAAAADQNmm2uEuXz4XPTicpy7LV3qNgERERkSlNdJM0jD/xp/7g&#10;RnQjCAAAAAAAANBWK0+uh89PJ2wry7L53hNhERERkSlLfjO0V7g5Gsq/+mu/8J9HN4AAAAAAAAAA&#10;bZZmi7tx82L4HHXC1jPLqIqIiMi0Jb8JqqQQ96M/+r2/Fd38AQAAAAAAAEyDms4Wl5ZRXew9HRYR&#10;ERGZguQ3QNvFG6Ihbb7qLu1FN34AAAAAAAAA0+Drbx7u375zJXqeOmlpGdXZ3lNiERERkRYn3fgU&#10;boSGtbfTXd6KbvoAAAAAAAAApsnnX3y8f/5CJ3quOmlr/UfFIiIiIu1MfsNTVSEu3ditF2/0AAAA&#10;AAAAAKbVvftXw2erk5Zl2ULvibGIiIhIy5Lf7FRWiPtq68/9J9FNHgAAAAAAAMC0ev7ibl1ni0vL&#10;qM70nhyLiIiItCT5Tc5m4aZnaE+eXH8Q3eABAAAAAAAATLuVJ9fD56w1YBlVERERaU/ym5vKCnF/&#10;9I/+8n8Y3dgBAAAAAAAA0Jst7tLlc+Hz1gnbyyyjKiIiIm1IfmOzUbjRGVqn84PH0U0dAAAAAAAA&#10;AG/UeLY4y6iKiIhIs5Pf0KwXbnCGlg+3+qq7tBfd0AEAAAAAAADwxtffPNy/fedK+Oy1BiyjKiIi&#10;Is1MupEp3NiUsbHTXd6KbuYAAAAAAAAAeFdaRvX8hU70/HXSLKMqIiIizUt+E1NlIW7zVXd5I7qJ&#10;AwAAAAAAAOBoDx5di57B1sFmZhlVERERaUrym5cqC3F7u93ltejmDQAAAAAAAIDjpdniPvhwJnoW&#10;WweWURUREZFGZDW4kRnW3svu49Xoxg0AAAAAAACA01l5cn3//c570TPZSdvKLKMqIiIiNU+Vhbj9&#10;v/237/5b0Q0bAAAAAAAAAKf39TcP92/fuRI+l62B9cwyqiIiIlLTLAY3L0P743/yV25GN2sAAAAA&#10;AAAAnF1aRvX8hU74fHbSsixb7T12FhEREalPFqIbl2H90i/9zB+LbtIAAAAAAAAAGF5aRjV6RlsD&#10;aRnV+d7jZxEREZHJp9JCXD7e4qvu0l50gwYAAAAAAADA8NJscZZRFRERETk+88GNytDy8VZ3ustb&#10;0c0ZAAAAAAAAAOU9fXarzsuoLh48iRYRERGZUCotxOU2dr5b2oxuygAAAAAAAACozr37V6NntnWQ&#10;llGd7T2SFhERERlv5oKbkzI2drvLa9HNGAAAAAAAAADVSsuoXrp8Lnp2WwdrWZZ1eo+mRURERMaT&#10;2eCmpIytl93Hq9GNGAAAAAAAAACjsfLkevT8thayLFvoPZ4WERERGX1mohuSEvZ2vn08H92AAQAA&#10;AAAAADA6X3/zcP/2nSvRc9w6sIyqiIiIjCWd4EakDIU4AAAAAAAAgAn6bP2j/fMXOtHz3DpIy6iK&#10;iIiIjCxVF+L2/+O/fOtXo5suAAAAAAAAAMbnwaNr4TPdGtjLLKMqIiIio0pw81HK5cs/fy262QIA&#10;AAAAAABgvJ6/uLt/6fK58NluDaRlVGd6T65FREREKkp+k7FXuOkoJR9y7lV3aS+62QIAAAAAAABg&#10;/FaeXA+f79aEZVRFRESkuuQ3F1UX4uZ3ustb0U0WAAAAAAAAAJPx9TcP92/fuRI+560By6iKiIhI&#10;NclvLLYKNxql5EMu7ny3tBndYAEAAAAAAAAwWWkZ1fMXOuHz3hpIy6jOHjzMFhERERkm6YaicINR&#10;Sj7kan4TtV68qQIAAAAAAACgPhqwjGrn4KG2iIiIyFmS30hsFm4sylrb7S6vRTdUAAAAAAAAANRH&#10;mi3uxs2L0XPfWsiybLH3ZFtERETklMlvIqouxG287D5Os8SFN1QAAAAAAAAA1MvTZ7f23++8Fz3/&#10;rYO0jOpC7wm3iIiIyAnJbx7WCzcTZW3ufPt4PrqJAgAAAAAAAKC+bt+5Ej0Drov1LMtmek+6RURE&#10;RI5IftOwVriJKGv7VXd5Lrp5AgAAAAAAAKDe0jKqly6fi54F18Va/3G3iIiIyLtJNwuFm4ey9ra3&#10;VzrRjRMAAAAAAAAAzbDy5Hqdl1HdziyjKiIiIkdkNbh5KEUhDgAAAAAAAKAd7t2/Gj4XromtzDKq&#10;IiIiUkjlhbh8zM6r7tJedLMEAAAAAAAAQLNYRlVERESalMXgZqGUfMzZne7yVnSjBAAAAAAAAEAz&#10;1XwZ1b3MMqoiIiKSZyG4USglH3Nu57ulzegGCQAAAAAAAIBma8AyqrMHT8NFRERkKjMf3CCUko+5&#10;sNtdXotujAAAAAAAAABovoYso9o5eCouIiIiU5W54MaglHzMxZfdx6vRTREAAAAAAAAA7fH02a39&#10;8xc64bPjOkjPrw+ejIuIiMjUZDa6KSgjH3P1ZXdpIboZAgAAAAAAAKB9GrCM6vzBE3IRERFpfWaC&#10;m4Gy1ne+fTwf3QQBAAAAAAAA0E5pGdUPPpyJniHXxXp6Rt57VC4iIiJtTSe4CShr41V3eS66AQIA&#10;AAAAAACg3eq+jGpurf+8XERERFqYURTiNre3VzrRjQ8AAAAAAAAA06EBy6gu9B6bi4iISKsSXPjL&#10;2laIAwAAAAAAACAto3rj5sXouXJdpGKcZVRFRETalPwCv1e44Je1l8Z91V3ai254AAAAAAAAAJgu&#10;llEVERGRsSW/sFddiNtP4+50l7eiGx0AAAAAAAAAptODR9fCZ8w1kSZ/sYyqiIhI05Nf1LcLF/nS&#10;8mE7O98tbUY3OAAAAAAAAABMr4Ysozp78EBdREREmpd0MS9c3EvLh53Nb2TWizc2AAAAAAAAAJA0&#10;ZBnVmYMH6yIiItKc5BfxzcJFvbR82Lnd7vJadFMDAAAAAAAAAAM1X0Y1ScU4ERERaUryi/coCnEL&#10;L7uPV6ObGQAAAAAAAAA4LC2jevvOlfD5c01sp+fgBw/ZRUREpN7JL9wbhQt5afmwiy+7SwvRjQwA&#10;AAAAAAAARBqwjOpWZhlVERGReie/YK8XLuCl5cOu7nz7eD66gQEAAAAAAACA4zRkGVXFOBERkTom&#10;XagLF+4qrO/uLs1GNy4AAAAAAAAAcJIGLKN6MFlM78m7iIiI1Cb5RXoUhbiN7e2VTnTTAgAAAAAA&#10;AACn9dn6R01YRnWh9wReRERE6pDV4IJd1qZCHAAAAAAAAABVWXlyPXo2XSepGGcZVRERkRpkMbhQ&#10;l7WdBn7VXdqLblQAAAAAAAAA4Ky+/uZh7ZdRza1lWdZJz8xFRERkMlkILtBl7aWBd7rLW9FNCgAA&#10;AAAAAAAM6/mLu/uXLp+LnlXXRpZli+m5uYiIiIw/89HFuaw08M53S5vRzQkAAAAAAAAAlPX02a39&#10;8xc64TPrmkjLqC6k5+ciIiIyvoyqENfJb0DWizckAAAAAAAAAFCllSfXw+fWNbKZZdnMwRN6ERER&#10;GXnmgotxafm4s7vd5bXoZgQAAAAAAAAAqpSWUb1950r4/LpG1nqP6UVERGSUmQ0uwqXl48697D5e&#10;jW5EAAAAAAAAAGAUUjGu5suopufpiwdP60VERGQkmYkuwGXl4y7sfPt4ProBAQAAAAAAAIBRasAy&#10;qlvpufrBU3sRERGpNJ3gwltaPu6iQhwAAAAAAAAAk9SAZVQ3siybOXh6LyIiIpVkVIW41d3dpdno&#10;hgMAAAAAAAAAxiUto9qAYtxa7xG+iIiIlE5woa3C+vb2Sie62QAAAAAAAACAcXv67Nb++Qud6Pl2&#10;bWSWURURESmf/KK6V7zIVmBDIQ4AAAAAAACAull5cj16xl0nW5linIiIyPDJL6bbhYtrFTbT2K+6&#10;S3vRDQYAAAAAAAAATMrX3zxswjKqG1mWzaRn7yIiInKG5BfRrcJFtQrbaeyd7vJWdHMBAAAAAAAA&#10;AJP2/MXd/UuXz0XPvOtk7eDhvoiIiJwu+cVzs3AxrcJeGnvnu6XN6KYCAAAAAAAAAOoiLaN6/kIn&#10;evZdF+kZvGVURURETpP8wjmKQtx+Gju/cVgv3kgAAAAAAAAAQB09eHQtfP5dI1tZls2l5/EiIiJy&#10;RPIL5nrhAlqJfOjObnd5LbqJAAAAAAAAAIA6Ssuo3r5zJXwOXiPrWZbNHDz0FxERkbeTXyjXChfO&#10;SuRDz77sPl6NbiAAAAAAAAAAoM5SMa7my6gma70n/yIiIvI66QJZuGBWIh967mV3aSG6cQAAAAAA&#10;AACAJlh5cj18Jl4je1mWLRwUAEREROQgq8EFs7R83IWdbx/PRzcMAAAAAAAAANAkDVhGdSvLstmD&#10;FoCIiMiUZzG4UJaWxt3dXZqNbhQAAAAAAAAAoGnSMqo3bl4Mn5HXyHqWZTMHbQAREZEpzUJwgSwt&#10;H3d1e3ulE90kAAAAAAAAAEBTPX12a//8hU74rLxG1nqVABERkenLfHBhrMK6QhwAAAAAAAAAbbXy&#10;5Hr0rLxO9rIsW+hVA0RERKYnc8FFsQobafBX3aW96MYAAAAAAAAAAJru628e7t++cyV6Zl4nW1mW&#10;zaZn+CIiItOQ2eBiWIXNNPhOd3kruikAAAAAAAAAgLZ4/uLu/qXL56Jn53WynmXZTHqWLyIi0ubM&#10;BBfBKmynwXe+W9qMbgYAAAAAAAAAoG2ePru1f/5CJ3qGXidrB20BERGRlqYTXPyqkNYiz/IL/nrx&#10;BgAAAAAAAAAA2mzlyfXoOXqdpEluFtJzfRERkbZlVIW4/TT4bnd5Lbr4AwAAAAAAAECbff3Nw/3b&#10;d66Ez9NrZCuzjKqIiLQtwQWvEvnQnZfdx6vRhR8AAAAAAAAApsHzF3f3L10+Fz5Xr5G0jKpinIiI&#10;tCP5hW2vcKGrRD707Mvu0kJ0wQcAAAAAAACAafL02a398xc64fP1usiybPWgSCAiItLk5Be17eJF&#10;rgr50HM73z6ejy70AAAAAAAAADCNVp5cD5+x10haRnXhoFAgIiLSxKSLWeHiVol86IXd3aXZ6AIP&#10;AAAAAAAAANPqy68+2b9950r4rL1GUjHOMqoiItK85BexzcJFrRL50Ivb2yud6OIOAAAAAAAAANPu&#10;+Yu7tV9GNbeWZVnnoGAgIiLShOQXL4U4AAAAAAAAAJiQtIxq3YtxWZatHpQMRERE6p78wrVevJBV&#10;IR/64GL4qru0F13QAQAAAAAAAIA3Hjy6Fj5/r5G0jOpC6gKIiIjUNvkFa61wAavKehp/p7u8FV3I&#10;AQAAAAAAAIC3pWVUb9+5Ej2Dr5NUjJtJnQAREZHaJb9QjaoQt5HG3/luaTO6iAMAAAAAAAAAsVSM&#10;q/syqrm1g+KBiIhIzbIaXLSqcFCIe9Vd3ogu3gAAAAAAAADA8VaeXN9/v/Ne9Ey+NrIsW0z9ABER&#10;kbpkMbpgVSBNkZrtdpfXoos2AAAAAAAAAHA69+5fjZ7L10nqCCyknoCIiMiksxBcqKqwnQZ/2X28&#10;Gl2sAQAAAAAAAIDTS8uo3r5zJXo+XyebWZbNpL6AiIjIpDIfXKCqsJcGf9ldWogu1AAAAAAAAADA&#10;2X3+xcf75y90ouf0dbJ20EgQERGZQEZViEvrhGc73z6ejy7QAAAAAAAAAMDwVp5cD5/V10lmGVUR&#10;EZlAZqOLUhXysTuvustz0YUZAAAAAAAAACivAcuobmWKcSIiMsbMBBejSqSxt7ufzkQXZAAAAAAA&#10;AACgGs9f3G1CMW4j9QgOmgoiIiIjTCe4CFUiH3t2e3ulE12MAQAAAAAAAIBqPX12a//8hU74DL9G&#10;1np1BRERkdFklIW4ufQCr7pLe9GFGAAAAAAAAACo3sqT6+Fz/DrJLKMqIiKjSnThqUI+9HwaXyEO&#10;AAAAAAAAAMbr628eNmEZ1a1MMU5ERKpOfoHZK1xwKpEPvZjG3+kub0UXXwAAAAAAAABgtJ6/uNuE&#10;ZVQ3siybSR0DERGR0skvLKMtxH23tBlddAEAAAAAAACA8WjCMqq5tdQzEBERKZX8grJVuMBUIh96&#10;NY2/211eiy62AAAAAAAAAMD4NGQZ1b3MMqoiIlIm+cVks3Bxqcp6Gl8hDgAAAAAAAADqIy2jeuny&#10;ueg5f51sZVk2n3oHIiIiZ0p+ERlVIS6t8Z297D5ejS6wAAAAAAAAAMDkpGVUz1/oRM/76yRNxjOT&#10;+gciIiKnSrp4FC4mVTkoxO18+3g+urACAAAAAAAAAJN37/7V6Jl/3awdlBxEREROSrpoFC4iVUnT&#10;lyrEAQAAAAAAAEDNpWVUb9+5Ej37r5O9LMsWUhdBRETkyOQXjFEV4rbT+Lu7S7PRxRQAAAAAAAAA&#10;qJenz241YRnVNEHPXOokiIiIRFkNLh5VSM3sbHt7pRNdRAEAAAAAAACAelp5cj3qAdTNepZlM6mb&#10;ICIicjgKcQAAAAAAAADAW77+5mETllFN1g7aDyIiIv0sBheLSvTHz151l/aiiycAAAAAAAAAUG/P&#10;X9xtwjKqadKehV5LQUREpj0LwYWiEvnYnfQCO93lreiiCQAAAAAAAAA0Q0OWUd3Ksmw2dRVERGR6&#10;M/pC3HdLm9HFEgAAAAAAAABojgYto7qeZdlM6iyIiMj0ZT64MFQiH/vg4vKqu7wRXSgBAAAAAAAA&#10;gOZJy6heunwu7ArUzFrqLYiIyHRllIW4g2lId7vLa9EFEgAAAAAAAABorrSM6vkLnbAzUCNpGdWF&#10;1F8QEZHpyFxwMahEGju9gEIcAAAAAAAAALTXvftXw95AzaRinGVURUSmILPBRaAS+dgHhbiX3cer&#10;0QURAAAAAAAAAGiHtIzq7TtXwv5AzVhGVUSk5RllIW4+vcDOt4/no4shAAAAAAAAANAuT5/dasIy&#10;qnuZZVRFRFqbmeDEX4l87IOLh0IcAAAAAAAAAEyXlSfXwy5BzaRlVGdTt0FERNqTTnDCr0Q+9mJ6&#10;gd3dpdno4gcAAAAAAAAAtNfX3zxs0jKqndRxEBGR5mfkhbjt7ZVOdOEDAAAAAAAAANrv+Yu7TVhG&#10;9XXPQUREGp7oJF+FfOjVNL5CHAAAAAAAAADQoGVU51PfQUREGprg5F6VNKXoQV51l/aiix0AAAAA&#10;AAAAMD0atIzqepZlM73Wg4iINCr5SXyvcFKvSro4HGSnu7wVXegAAAAAAAAAgOmTllG9dPlc1DWo&#10;m9eTAYmISEOSn7xHVYjb6L+EQhwAAAAAAAAA8I60jOr5C52oc1An21mWLfQaECIiUvukE3fhRF6V&#10;N4W475Y2owsbAAAAAAAAAMC9+1ej3kHdbGWWURURqX/SCbtwAq/KZv8lst3u8lp0QQMAAAAAAAAA&#10;SNIyqrfvXIn6B3VjGVURkTonP1GPqhCXmtEHUYgDAAAAAAAAAE7j6bNbTVhGdS+zjKqISD2Tn6Q3&#10;CyftqqQ1tA/ysvt4NbqIAQAAAAAAAABEVp5cj7oIdZMmC5rttSNERKQWyU/OoyrEpTb0QV52lxai&#10;ixcAAAAAAAAAwFG+/uZhk5ZR7fRaEiIiMtHkJ+WNwkm6Kq8LcTvfPp6PLlwAAAAAAAAAACd5/uJu&#10;E5ZR3c+ybLHXlBARkYklPyGvF0/QVem/RPaquzwXXbAAAAAAAAAAAE6rQcuoLvQaEyIiMvbkJ+K1&#10;wom5Mv2XyLa7n85EFyoAAAAAAAAAgLNo0DKq61mWzfSaEyIiMrbkJ+BRFuIO1sfe3l7pRBcpAAAA&#10;AAAAAIBhpGVUL10+F/YVamYtdSdERGRMSSfewom4MvnwB4W4lOjiBAAAAAAAAABQRlpG9fyFTthb&#10;qJHtzDKqIiJjy2pwIq5EPvabQlx3aS+6MAEAAAAAAAAAlHXv/tWwu1AzW5llVEVERp5RFuJen8R3&#10;ustb0QUJAAAAAAAAAKAKaRnV23euhB2GmrGMqojICLMYnHgrkY/9phD33dJmdDECAAAAAAAAAKjS&#10;02e3mrCM6l5mGVURkZFkITjpViIfe7b3EmnJ1OWN6CIEAAAAAAAAADAKK0+uh32GmrGMqohIxZkP&#10;TraVyMd+XYjb7S6vRRcfAAAAAAAAAIBR+fqbh5ZRFRGZsoyyEDfXewmFOAAAAAAAAABgcp6/uNuE&#10;ZVS3M8uoioiUzlxwgq1EGrv3Eln2svt4NbrgAAAAAAAAAACMS0OWUd3ILKMqIjJ0xlSIW1qILjQA&#10;AAAAAAAAAONkGVURkXZnNjihViIfe773Elm28+3j+egiAwAAAAAAAAAwCQ1ZRnUrs4yqiMiZMhOc&#10;TCuRj/36hPyquzwXXVwAAAAAAAAAACapIcuormeWURUROVXGUojb7n46E11UAAAAAAAAAAAmrSnL&#10;qGZZttprYoiIyFHpRCfQKuRjL/ZeIsu2t1c60QUFAAAAAAAAAKAuGrSM6nyvkSEiIsWMpRCXEl1I&#10;AAAAAAAAAADqxjKqIiINTnDCrEQ+9NuFuO7SXnQRAQAAAAAAAAComzRbXEOWUX2rnyEiMvXJT457&#10;xZNlFfKh31q3eqe7vBVdQAAAAAAAAAAA6urps1tNWUZ1ttfQEBGZ8uQnRYU4AAAAAAAAAIBjPHh0&#10;LexH1MxalmWdXlNDRGRKk58Mx1OI+25pM7pgAAAAAAAAAAA0QVpG9cbNi2FPok6yLFvotTVERKYw&#10;+Ylwq3hirEhqHb9OfmFYL14oAAAAAAAAAACaxjKqIiI1TjoBFk6IVXmrELfbXV6LLhIAAAAAAAAA&#10;AE107/7VqC9RN2/1N0REWp/8xDeqQtx6/yUO8rL7eDW6OAAAAAAAAAAANFVaRvXS5XNRb6JO9jLL&#10;qIrItCQ/6W0WToJVUYgDAAAAAAAAAKbCypPr++933ov6E3WSllGd6TU5RERamvxkN6pC3Eb/JQ7y&#10;sru0EF0QAAAAAAAAAADa4vadK1GHom4soyoi7U1+khtLIW7n28fz0YUAAAAAAAAAAKBNLKMqIjLB&#10;5Ce4jcIJrypvFeJedZfnoosAAAAAAAAAAEAbpWVUgz5F3VhGVUTalfzENpZC3Hb305no5A8AAAAA&#10;AAAA0FZff/PQMqoiIuNMfkJbL5zgqrLZf4mDbG+vdKITPwAAAAAAAABA26VlVM9f6ET9ijqxjKqI&#10;ND/5yUwhDgAAAAAAAABgDCyjKiIy4uQnsbXCSa0qbxXiUl51l/aikz0AAAAAAAAAwLSwjKqIyAiT&#10;Tl6Fk1lVFOIAAAAAAAAAAI7w+Rcf134Z1Z/+6R97mVlGVUSalPzkNapCXJo+863sdJe3ohM8AAAA&#10;AAAAAMC0asIyqn/w0s/9dmYZVRFpSFajE1kF3i3Efbe0GZ3YAQAAAAAAAACm2fMXdxuxjOov//JP&#10;/ZV+DUREpLYZWyHuVXd5IzqpAwAAAAAAAACwvP/02a3aL6P6izM/9TtX/tDP/0a/DiIiUrssRiev&#10;Cmz3x3+d3e7yWnQyBwAAAAAAAADgjXv3r0ZdjFr54MOZr3/jN6/+er8WIiJSmyjEAQAAAAAAAADU&#10;TFpG9dLlc1Eno1b+zMK/8nf71RARkVpkITpZVeCdQtzL7uPV6AQOAAAAAAAAAEBs5cn1/fc770Xd&#10;jNpIxb3/7G/86b/Rr4iIiEw0oyrE7fXHf52X3y4tRiduAAAAAAAAAACOd/vOlaifUStpqdeX3aWF&#10;flVERGQiGVshbufbx/PRCRsAAAAAAAAAgJM1ZRnVv/iXbvwjxTgRmVTmoxNTBRTiAAAAAAAAAABG&#10;IC2jGnQ1aiUV9zb+1p/5HxXjRGTcGVsh7lV3eS46SQMAAAAAAAAAcDZff/OwMcuo7nSXt9JESv0K&#10;iYjISDOqQtx+f/zX2e5+OhOdoAEAAAAAAAAAGE5aRvX8hU7Y3aiL9zvv7T99dmv/VXd5I/VH+lUS&#10;EZGRZC46EVWhP/7rbG+vdKITMwAAAAAAAAAA5TRlGdUvv/okbe+6YpyIjCoKcQAAAAAAAAAALZBm&#10;i2vKMqppe3e7y2uKcSJSdWajE08V8rE7vZd4k+KJGAAAAAAAAACAaqXlSRuzjGq+vakY16+WiIiU&#10;zkx00qlCPva7hbju0l7xJAwAAAAAAAAAQPUePLoWdjrq5IMPZwbLqCrGiUgl6UQnmyqksXsv8SY7&#10;3eWt4skXAAAAAAAAAIDRSMuoXrp8Lux21MlgGdU02dLL7tJCv2oiInLmjLIQ984azwpxAAAAAAAA&#10;AADjt/Lk+sEypVHHoy5ScW+wjGrqmCjGicgwGWUhbrb3Em+y893SZvGECwAAAAAAAADAeNy+cyXs&#10;edRJ2sbBMqqKcSJy5kQnlirkQ79TiHvVXd4onmgBAAAAAAAAABifpiyj+uDRtdfbnCZh2u5++s5q&#10;hSIi7yQ/gewVTyhVyIee673Cm+x2l9cOn2ABAAAAAAAAAJiMtIxq1Pmok8PLqB7oLm8oxonIsclP&#10;HgpxAAAAAAAAAABT6OtvHjZuGdUkdVAU40QkTH7S2C6eRKqQDz3fe4U3edl9vHr4pAoAAAAAAAAA&#10;wOSlZVTPX+iEHZA6uXf/6lvbnYpx/VqKiEgv+cliq3jyqEI+9LuFuG+XFg+flAAAAAAAAAAAqI9G&#10;LqOaU4wTkdfJTxSjKsQt9F7hTXa+fTx/+GQEAAAAAAAAAEC9pKVJm7iM6qvu0t7L7tI7fRURmbLk&#10;J4jN4gmjCvnQCnEAAAAAAAAAAA2VZmFr4jKqO93lLcU4kSlOfmLYKJ4oqpAPvdh7hTd51V2eO3wC&#10;AgAAAAAAAACg3pq6jGoqxu3uLs32aysiMi3JTwpjK8Slk8zhEw8AAAAAAAAAAPX3/MXdRiyjeuPm&#10;xbeXUe1Z3+5+OtOvr4hI25OfDNaLJ4cq5EOv9l7hTdLJpXDCAQAAAAAAAACgIT5b/6iRy6gmu93l&#10;te3tlU6/xiIibU1+ElgrnhSqkA/9biEuP6kUTzYAAAAAAAAAADRLE5ZRTcW94jKqSSrG9assItLG&#10;5CeAkRTicu+cPBTiAAAAAAAAAADa4etvHjZiGdVLl8+9u4xqd2nvZXdpoV9pEZGWZTU6GVQgbNO+&#10;dXIBAAAAAAAAAKDRnr+429hlVHe6y1uKcSLty6gKcev98d9KatgWTy4AAAAAAAAAADRbE5ZRfb/z&#10;XriMairG7e4uzfbrLSLS8CxGJ4AKbPTHfyv5SWS7eFIBAAAAAAAAAKD5Gr2MatJd3tjufjrTr7mI&#10;SEOzEH3xKxAW4lKj9p2TCQAAAAAAAAAArdHkZVST3e7ymmKcSHMzH33hKxAX4r5b2oxOJAAAAAAA&#10;AAAAtEuTl1FNUjGuX3kRkQZlVIW4zf74b0UhDgAAAAAAAABgejR/GdWlvZfdpYV+9UVEGpC56Ete&#10;gbAQl58o1t85cQAAAAAAAAAA0GppGdVUOgs6JrVy1DKqO93lLcU4kWZkNvpyV2CrP/5bSVNJRicN&#10;AAAAAAAAAADar+nLqKZi3O7u0my/CiMiNUwn+mJXYLs//ltRiAMAAAAAAAAAoNHLqPasb3c/nelX&#10;YkSkRhlVIW6vP/5bedl9vBqcIAAAAAAAAAAAmDJNX0Y1SZND9WsxIlKXRF/kCijEAQAAAAAAAABw&#10;orSMalqmNOif1MZxy6gminEiNUr+pd0rfomr0B/+rbzsLi1EJwUAAAAAAAAAAKZbmokt6qDUSZrR&#10;Ls1sF23/q+7SXurG9GsyIjKp5F/WreKXtwr50J3eK7zJzreP58MTAgAAAAAAAAAAUy+VzW7cvBh2&#10;UerkuGVUd7rLW4pxIhNM/iUdVSFupvcKb6IQBwAAAAAAAADASdLypOcvdMJOSl2ctIzqzndLm9vd&#10;T9/pz4jIiJN/QTeLX9gq5EPP9l7hTV51l+eiEwAAAAAAAAAAABQ9eHQt7KXUybHLqPasK8aJjDH5&#10;F3O9+EWtQj70XO8V3mR3d2k2+NIDAAAAAAAAAEAolc1u37kS9lPqJC2j+vU3D8N9SHa7y2v9Co2I&#10;jDL5F3Kt+AWtQj70O4W41HaNvvAAAAAAAAAAAHCcJiyjmhy3jGry8tulxX6VRkRGkfyLOKpC3Hzv&#10;Fd5ke3ulE33RAQAAAAAAAADgNFaeXA+7KnVyimVUt192lxb6lRoRqTir0RezrHzcd760CnEAAAAA&#10;AAAAAJTVlmVUd7rLW4pxItVnIfpClpWPG07vGH25AQAAAAAAAADgrD7/4uNGLKOaZrWLtv+17vLG&#10;dvfTmX69RkRKZj76IpaVj7vaG/7tvOou7YVfbAAAAAAAAAAAGEJLllHd3+0urynGiZSPQhwAAAAA&#10;AAAAAI2WliZtwjKqaRu//OqTcB8GUjGuX7URkSEyG335KhB+MfMv7XbxSwwAAAAAAAAAAFVIs7C1&#10;YxnVpb2X3aWFfuVGRM6QmehLV4GN/vhvZae7vBV+iQEAAAAAAAAAoCJNWUb1s/WPwu0fSF0bxTiR&#10;s6UTfeEqoBAHAAAAAAAAAMBEtWUZ1dS52e5+OtOv4IjIcYm+aBXY7A//Vna+W9qMvrQAAAAAAAAA&#10;ADAKaRnVNBtb0G+plQeProXbX7CuGCdyQvIv1F7xC1aBrf7wb0UhDgAAAAAAAACASXj67Nb++Qud&#10;qOdSG6m4l7Yz2v7DdrvLa/06jogUk3+ZRlGI2+4P/1ZedZc3oi8pAAAAAAAAAACMQ5qJLei61Mpp&#10;llFNXn67tNiv5YjIIPmXaKv4parAXn/4t5J/EdeLX0wAAAAAAAAAABintIxqKp0FnZdauXf/arj9&#10;h+10l7dedpcW+vUcEcm/PJvFL1MFwkJcmq4x+mICAAAAAAAAAMC4tWkZ1VSM291dmu3XdESmN/kX&#10;Z6P4RapCf/i3ohAHAAAAAAAAAEDdrDy5HvZf6uTGzYunWkY1t77d/XSmX9cRmb7kX5i14heoCvnQ&#10;nd4rvMnL7uPV4EsIAAAAAAAAAAAT9fU3D1uzjGqSJq7qV3ZEpi6r0ZenrHzcd6ZgVIgDAAAAAAAA&#10;AKDOnr+425plVJPU1+lXd0SmJovRF6esfNx3C3HfLi1GXzwAAAAAAAAAAKiTJiyj+sGHM6ddRnX7&#10;ZXdpoV/hEWl95qMvTFn5uHO94d8kfbGCLxwAAAAAAAAAANRO25ZR3ekub+3uLr0zyZVI2zIXfVHK&#10;ysd9p1W68+3j+ejLBgAAAAAAAAAAdZWWUU3LlEYdmbpIy7yedhnV3Pp299OZfqVHpHWZib4kZeXj&#10;LvaGfxOFOAAAAAAAAAAAmioto/p+572wK1MXZ1hGdX+3u7zWr/WItCqd6MtRVj7uam/4N3nVXZ6L&#10;vlwAAAAAAAAAANAUaYnSqC9TJ6ddRjV5+e3SOxNfiTQ60ZeirHzYdwpxaQ3i6EsFAAAAAAAAAABN&#10;kpZRvXHzYtibqYu0zOtpl1Hd6S5vvewuLfRrPiLNTv4F2Ct+ISqw3h/+ddLaw9EXCgAAAAAAAAAA&#10;migVzs5f6ETdmdq4fefKqZdRTcW41PHp131Empn8wN8qfhEqsNEf/nUU4gAAAAAAAAAAaKOVJ9ej&#10;/kytPHh0Ldz2I6wrxkljkx/wm8UvQAU2+8O/jkIcAAAAAAAAAABtlZZRTbOxBT2a2kjLqH62/lG4&#10;/ZHd7vJav/oj0pzkB/tG8eCvwFZ/+NfZ3l7pRF8cAAAAAAAAAABoi1Q4a9Myqq+6S3svu0sL/QqQ&#10;SP2TH+RrxYO+Anv94V9HIQ4AAAAAAAAAgGnRhGVU0zZG2x7Z6S5vKcZJU7IaHfAlKcQBAAAAAAAA&#10;ADDV0ixsTVhGNS33Gm1/qLu8sd39dKZfCRKpZRajg72sfNxOb/heFOIAAAAAAAAAAJhGn3/xcbuW&#10;Uc3tdpfX+rUgkdplPjrIy8rHfasQlxJ9OQAAAAAAAAAAYBq0bRnVxDKqUsfMRQd3Wfm4s73h3yT6&#10;UgAAAAAAAAAAwLT4+puHrVtGdae7vKUYJ3XKTHRgl5WPO9cb/k2iLwQAAAAAAAAAAEybVDir+zKq&#10;9+5fPSjwRdsf6i5vbHc/nelXhUQmlk50QJeVjzvfG/5NXnWX9sIvAwAAAAAAAAAATKEmLKP69Nmt&#10;cNuPsttdXuvXhUQmk+hALisf9p1pEBXiAAAAAAAAAADgbW1cRjWxjKpMLPlBu1c8iMvKh13sjf4m&#10;CnEAAAAAAAAAABBryjKq0bYfZae7vKUYJ2NPfrBuFQ/esvJhV3ujv4lCHAAAAAAAAAAAHK/uy6i+&#10;33nvzMuovuoub2x3P53p14hERpv8QN0sHrgVeGct4Pzg3n7nYAcAAAAAAAAAAN7SlGVUv/zqk3D7&#10;j7LbXX6nUyRSefIDdL14wFZgoz/86+QHtUIcAAAAAAAAAACcUhuXUU0soyojTX5grhUP1Aq8U4hL&#10;awJHBzgAAAAAAAAAAHC0Ni6jmrpEinEyqqxGB2pJW/2xX0chDgAAAAAAAAAAhtPWZVRfdZc3truf&#10;zvQrRiKVZCE6QEva7o/9OgpxAAAAAAAAAABQTlpGNRXPgr5ObQyzjOpud3mtXzMSKZ356MAsaa8/&#10;9usoxAEAAAAAAAAAQDXauIxqYhlVqSKz0UFZVn/s19n5bmkzOogBAAAAAAAAAIDhtHEZ1TTxlmKc&#10;lEknOhjLSuP2hu9FIQ4AAAAAAAAAAKrX1mVUU99ou/vpTL9+JHLqjKoQ99bBqBAHAAAAAAAAAACj&#10;k5ZRTUuVRl2eOhh2GdXd7vJav4IkcrrkB9xe8QAsKx92tjd6L6+6yxvRAQsAAAAAAAAAAFQnzcYW&#10;9Xnq4oMPZ868jGry8tulxX4VSeT45AfaVvHAKysfdq43ei8KcQAAAAAAAAAAMB6tXUa1u7z1sru0&#10;0K8kicTJD7DN4gFXVj7sWweeQhwAAAAAAAAAAIxXWqL0/IVO2O+pg1TaG2YZ1VSM2+5+OtOvJom8&#10;nfzgWi8ebGXlw741RaFCHAAAAAAAAAAATEbdl1G9fefKUMuo7naX17a3Vzr9ipJIL/lBtVY8yMrK&#10;h1WIAwAAAAAAAACAmkjLqN64eTHs+tTFg0fXwm0/ycvu49V+TUnkIKvRAVZGGrM3dC8KcQAAAAAA&#10;AAAAMHlNWEb1s/WPwm0/TlpG9WV3aaFfV5Ipz3x0cJW03h/7IApxAAAAAAAAAABQH2k2tqDzUxvD&#10;LqO6893S5nb305l+bUmmNKMoxG30xz6IQhwAAAAAAAAAANRLWkY1Fc+C7k9trDy5Hm77SXa7y2v9&#10;6pJMYWajg6mkzf7YB1GIAwAAAAAAAACAemrrMqqvukt7llGdznSiA6mkrf7YB1GIAwAAAAAAAACA&#10;emvtMqrd5a3d3aXZfpVJpiHRAVTSXn/ogyjEAQAAAAAAAABA/bV5GdXc+nb305l+pUnanPxA2Sse&#10;OCUpxAEAAAAAAAAAQEM1YRnVVN6Ltv0kL7uPV/u1Jmlr8oNkq3jQlNUf+iAKcQAAAAAAAAAA0Dxp&#10;NraoG1QX9+5f3f/6m4fhth8nLaP6sru00K83SduSHxybxYOlrHzYTm90hTgAAAAAAAAAAGiqJiyj&#10;mma0i7b9FCyj2sbkB8V68SApKx92tje6QhwAAAAAAAAAADTd51983NplVHe7y2v9qpO0IfkBsVY8&#10;QMrKh1WIAwAAAAAAAACAlmnCMqrRdp/EMqrtymp0cJSRjznXG1ohDgAAAAAAAAAA2uTrbx7WehnV&#10;9zvvWUZ1yrMQHRhl5GPO94ZWiAMAAAAAAAAAgDZKS5TWfRnVL7/6JNz2k7zsPl7t15+kgZmPDogy&#10;8jEXe0Nn2c53S5vRQQMAAAAAAAAAADRfm5dRfdVdfr1SpjQnc9GBUEY+pkIcAAAAAAAAAABMidYv&#10;o7q90unXoaQBmYkOgjLyMV9PGagQBwAAAAAAAAAA06G1y6h2l/ZedpcW+pUoqXk60Ydf0lp/bIU4&#10;AAAAAAAAAACYMq1dRvW7pc3t7qcz/WqU1DXRh17Sen9ohTgAAAAAAAAAAJhCbV5G9eW3S4v9epTU&#10;MfkHvFf8wEva6A+tEAcAAAAAAAAAAFOsCcuopm2Mtv04O93lLbPF1TT5B7tV/KBL2uwPrRAHAAAA&#10;AAAAAAC0dhnVl93Hq/2qlNQl+Qe6WfyAS9rqD60QBwAAAAAAAAAAHGjrMqpptrjd3aXZfmVKJp38&#10;w1wvfrglbfeHVogDAAAAAAAAAADe0tZlVHe7y2v92pRMMvmHuFb8UEva6w+tEAcAAAAAAAAAAITa&#10;uIxqmi3uVXd5rl+fkgllNfpAy+iPmx18wMEHDwAAAAAAAAAA0NZlVM0WN9ksRB9mGfmYnTSwQhwA&#10;AAAAAAAAAHCSNi6jmrpTu7tLs6lHJePNfPQhlpGPqRAHAAAAAAAAAACcSRuXUX3ZfbyaulQyvsxF&#10;H14Z+ZgHzUaFOAAAAAAAAAAA4CzqvoxqctZlVFOParv76UzqVMnoMxN9aGXkY86lgfMPc7v44QIA&#10;AAAAAAAAAJykjcuovvx2aTH1qmS06UQfWBn5mApxAAAAAAAAAABAaS1cRnU9datkhIk+qDLyIRfS&#10;uPmHpxAHAAAAAAAAAACU0rZlVNMSqru7S7OpYyUjSP6B7BU/oDLyIQ+m9ss/PIU4AAAAAAAAAACg&#10;Em1bRtUSqiNK/mFsFT+cMvIhFeIAAAAAAAAAAICRaMIyqmlWu2jb39Fd3khdK6kw+YewWfxQysiH&#10;XE3jvuou7YUfIgAAAAAAAAAAQAltWkY1LaG6vb3SSZ0rqSD5m79R/DBKWk/jKsQBAAAAAAAAAACj&#10;1JplVLtLe7u7S7MHhS4pl/yNXyt+ECUdTOOnEAcAAAAAAAAAAIxD3ZdRTbPZffnVJ+G2v6W7PHdQ&#10;6pLhk7/hoynERR8YAAAAAAAAAADACDRhGdUHj66F237Yy+7SwkGxS4bOavTml7CZBo0+LAAAAAAA&#10;AAAAgFFqwjKqT5/dCrd9QCmuXBajN76E7TRo9EEBAAAAAAAAAACMQ9OXUVWKGz7z0Rtewl4aNPqQ&#10;AAAAAAAAAAAAxiUVzuq+jOq9+1fDbU+U4oZL5YW47e2VTvQBAQAAAAAAAAAAjNvnX3xc62VU07Yd&#10;tYzqzreP5/s9Lzll5qI3uQyFOAAAAAAAAAAAoG7qvozqBx/OhMuo7u4uzfa7XnKKzERvbhm/+Zv/&#10;2i8WPxQAAAAAAAAAAIBJa8Iyqqm499Z2d5cOVu3s973khHSiN7WM3/jNq7/+1gcCAAAAAAAAAABQ&#10;I3VfRvXS5XP7z1/cfb29O98tbfb7XnJCKi/E/fE/+Ss3Dx88AAAAAAAAAAAAdfTg0bWwA1UX9+5f&#10;fb2tu93ltX7nS45L9EaW8et/5BfvHD5oAAAAAAAAAAAA6irNxJZmZIu6UHXwfue9/afPbh1s6863&#10;j+f7tS85Kvmbtld8E8u48od+/jeKBw0AAAAAAAAAAECdrTy5flA+izpRdXD7zpX9/+Ef/Nbv7O4u&#10;zfarXxIlf7O2im9eGb/2a7/w70cHDAAAAAAAAAAAQN2l4lnUi6qDVNj7i3/pxj/qV78kSv5GVVqI&#10;u3Tp5/6j6EABAAAAAAAAAABogrSM6vkLnbAfVQf/5u1ffdWvf0kx+Ru0WXzDyvjlX/6pvxIdJAAA&#10;AAAAAAAAAE2SllGNOlJ18NM//WMvsyyb6bXA5HXyN2ej+GaVcelXf+6vRQcHAAAAAAAAAABA03z9&#10;zcPaLqP6Iz/yQ/8ky7L5XhNMDpK/MWvFN6qMCzM/9V9FBwYAAAAAAAAAAEBTPX12q7bLqGZZttpr&#10;g0nlhbj8Q/970QEBAAAAAAAAAADQdPfuXw17U5OSZdngf2/0GmGyevgNKkshDgAAAAAAAAAAaLPn&#10;L+7uX7p8LuxPTVKWZf9BrxI23VmM3pxhdX7yvX8YHQQAAAAAAAAAAABtsvLk+v77nffCHtUE/RdZ&#10;ls30qmHTmfngTRnaj//4j/6j6MMHAAAAAAAAAABoo7oto5qkXlivHjZ9qbQQ9/3v/8g/jT50AAAA&#10;AAAAAACAtkrLqN64eTHsVE1KlmWrvYrYdGUuejOGpRAHAAAAAAAAAABMq6fPbu2fv9AJu1UTstnv&#10;iU1NZoM3oZTogwYAAAAAAAAAAJgWK0+uh92qSJZl4Z9XaKpKcTPBG1DK1988DD9kAAAAAAAAAACA&#10;aZGWUb1950rYsZqAqSnFdYKdL0UhDgAAAAAAAAAAoCcV42qyjOpavzPW6lReiPvyq0/CDxYAAAAA&#10;AAAAAGAaPX12a/8nf/J3h32rccqybKFXG2txoh0vIzUaow8VAAAAAAAAAABgmnz+xcf7ly6fC3tW&#10;k5Jl2WyvOdbS5Du5V9zpMhTiAAAAAAAAAACAafb1Nw/3792/GvaramC7Xx1rZ/IdrLQQl1qN0YcM&#10;AAAAAAAAAADQZoMi3Pud98JuVY1s9Otj7Uu+c1uFnS3ls/WPwg8bAAAAAAAAAACgreq4POpxsiyb&#10;7zXIWpZ85yotxD19div8wAEAAAAAAAAAANrm+Yu7+zduXgy7VDW3l2XZTK9F1qLkO7ZZ2NFSFOIA&#10;AAAAAAAAAIC2a9DyqMfZ7NfI2pN8pzYKO1nKypPr4QEAAAAAAAAAAADQBml51PMXOmF/qmmyLFvo&#10;Nclaknyn1os7WYZCHAAAAAAAAAAA0EYNXh71OO1aOjXfobXCDpby4NG18GAAAAAAAAAAAABoopYs&#10;j3qcjX6drPnJd0YhDgAAAAAAAAAAINCm5VGPk2XZfK9R1vysRjs4rNSEjA4MAAAAAAAAAACApmjp&#10;8qjHSUuntiKVFuJu37kSHiAAAAAAAAAAAAB1NwXLox5nvd8pa3QWgh0bWmpFRgcKAAAAAAAAAABA&#10;XaUi3NNnt6a1CPdalmWzvVpZczMf7diwFOIAAAAAAAAAAIAm+fyLj/cvXT4X9qGm0Ha/V9bYVFqI&#10;++DDmfCgAQAAAAAAAAAAqJPnL+4eTAAW9aCmWZZlC71qWTMzF+3UsFJTMjp4AAAAAAAAAAAA6iAt&#10;j3rv/tWpXx71GHtZlnV69bLmZTbYoaGdv9AJDyIAAAAAAAAAAIBJSkW4p89uNbYIl7Z75cn1g32I&#10;/r5i6/1+WeMyE+zM0BTiAAAAAAAAAACAuvn8i48PVr+MOk91l4pwt+9cOSj0DfZnHPuSZdlsr2LW&#10;rHSinRlWevMPH0gAAAAAAAAAAACT8vzF3f0bNy+GXacm+ODDmYN9KO7Xl199Ev77Fdvsd8waFYU4&#10;AAAAAAAAAACgVdJsavfuX2388qjRvg2k/Yt+tkpZls33ambNSaWFuCR68wEAAAAAAAAAAEYtFeEe&#10;PLrW+CLc4eVRj5L+nfMXOuE4Fdrr98yak2AnSjnNhwEAAAAAAAAAAFClz7/4eP/S5XNhp6kJjloe&#10;9Thpn6OxKrbWr5o1I/kG7xV2oBSFOAAAAAAAAAAAYFyaXoRL2/7Z+kfhvp3GjZsXw3GrlGXZTK9t&#10;1oDkG1xpIe7Lrz4J33gAAAAAAAAAAICqpJ7SvftXww5TE5xledTjpJ+Pxq/YZr9uVv/kG7td2PhS&#10;zjptHwAAAAAAAAAAwGmlAlgqwqVCWdRfaoLbd65UOvHYg0fXwtepUpZl873GWc2Tb+xWcePLUIgD&#10;AAAAAAAAAACqlopwT5/danQRruzyqEdJ7835C53wNSu03a+c1Tv5hlZaiEtr8kZvOgAAAAAAAAAA&#10;wDBSJymVyaK+UhNUtTzqcVLRLnrtKmVZttBrndU4+YZuFje8DIU4AAAAAAAAAACgCmm1yhs3L4Y9&#10;pab44MOZSpdHPc4YSoN7WZZ1es2zmibfyI3CRpcyiin9AAAAAAAAAACA6ZFmUrt3/6rlUc8oFQij&#10;banYer96Vs+kDSxscClpnd7ozQYAAAAAAAAAADhOKsKl/lGTi3DjWB71OLfvXAm3q0pZls302mc1&#10;TL6BlRbi0ocZvdEAAAAAAAAAAABH+fyLj8ex5OdIjXN51KOkIl60bRXb6NfP6pd849YKG1uKQhwA&#10;AAAAAAAAAHBaaZnPGzcvhl2kpkizwtVpZc0Hj66F21mlLMvmeg20miXfuEoLcenNjN5kAAAAAAAA&#10;AACAgTST2b37Vxu9PGqSliid1PKoR0nbc/5CJ9zeCm33K2i1y2qwsUNTiAMAAAAAAAAAAI6Sylpp&#10;NrWmF+HS8q5pmddoH+vgs/WPwu2uUpZlC70KWr1SaSEutTajNxgAAAAAAAAAAJhuqUCWimRR76gp&#10;UpFv5cn12s0KFxnDe73X76DVKovBhg4tTQEYvbkAAAAAAAAAAMB0ev7i7v6NmxfDvlGT/NrVCwf7&#10;Eu1jHaUCYrQfVcqybLVXQ6tPFqINHVY6cKM3FwAAAAAAAAAAmC5pFrW04mTTl0cdSDOuNWFmuMPG&#10;UERMs8TN9Kpo9ch8sJFDU4gDAAAAAAAAAIDplkpjT5/dak0R7rCmleK+/OqTcD8qtt7votUilRbi&#10;PvhwJnxjAQAAAAAAAACA9kvLdKbSWNQtaoumleLGsVxtVqNZ4uaiDRxW+rCjNxUAAAAAAAAAAGiv&#10;5y/u7t++cyXsFLVRk0pxaTujfajYRr+PNvHMBhs3NIU4AAAAAAAAAACYHqlsde/+1VYuj3qSJpXi&#10;xlFWTF20XiUtm+v/cyKptBB3/kInfEMBAAAAAAAAAIB2Scujpr5Q1COaFk0pxY1plrj/PreW2+53&#10;0yaSmUMbVFpqekZvKAAAAAAAAAAA0A6pCJeKYFF/qElS12nlyfX9P/GnLoV/f1pNKcWlmfyi7R+B&#10;rX43bSJRiAMAAAAAAAAAAE7UpuVRP/hwZv/Lrz55vW83bl4M/73TakIpbkyzxCWb/W7aRNIJNmho&#10;CnEAAAAAAAAAANAuqUj14NG1VhThUnHts/WPwv1MJbnoZ06rCaW49DlG216x3+530yaSSgtxSfRG&#10;AgAAAAAAAAAAzdO25VGPK6ylvyu7r3UvxaVtO3+hE257hf6vfjdtMgk2qJTojQQAAAAAAAAAAJrj&#10;+Yu7pZcRrYvi8qjHqaoUF41dF0+f3Qq3u0pZlq322mkTSLRBZdS54QgAAAAAAAAAABwtdX/u3b/a&#10;+uVRj5PKc2X3v86luDHNEreXZdlMr6E25qQXL2xMKQpxAAAAAAAAAADQPGnmsDEUpUbuNMujniTN&#10;kBeNfRZpZrpo7DoYxyxxufV+RW28yV+40kLcaacXBAAAAAAAAAAAJu/zLz4uvUxoXaQSWiqzRft5&#10;Vul9iV7jLOpaihvTLHFp6dTxzxKXv3ClhbiqDigAAAAAAAAAAGB0BsujRh2gpknlrjTrWbSfZVRR&#10;irtx82I49qS1dpa4/EW3CxtRikIcAAAAAAAAAADU16AIl5YWjfo/TVLF8qgnqaI4lt7vaOxJau0s&#10;cfmLbhU3ogyFOAAAAAAAAAAAqCfLow7nwaNr4TacRRojGnuSWjlLXP6ClRbi0pcmevMAAAAAAAAA&#10;AIDJSMWx23euhH2fpkmzwo1iedSTVLG87CS2+zjrf/32/ve+98PhtlYpG+cscfkLbhY3oAyFOAAA&#10;AAAAAAAAqAfLo1arilJhHUpxqSB54+bFcPtGZHyzxOUvVmkh7rP1j8I3EQAAAAAAAAAAGB/Lo45G&#10;FaW4SXWsJliQ3OvX1Uaf/MUqLcTVbVo/AAAAAAAAAACYJhOY/WtkBrPCRfs5SVWU4sa9Emd6vfMX&#10;OuG2jEOWZYu9xtqIk7/YRvHFy1CIAwAAAAAAAACA8Wvb8qhpXya5POpJqijFjWPWuxoVJMczS1z+&#10;QuuFFy6ljo1MAAAAAAAAAABos0nP/lWlOi2PepKypbhU/BvVvtaxIJll2UKvtTbC5C+kEAcAAAAA&#10;AAAAAA1kedTJq6IUV/VMeKkgeenyufD1JmyzX1sbXfIXWSu8aCkPHl0L32QAAAAAAAAAAKAabVse&#10;NRXh6rw86knSrHbRvp1WKq9F457V4LiIXqMusiyb6TXXRpT8RRTiAAAAAAAAAACgISyPWk9lS3Hp&#10;56NxTyMV4Z4+u9WIgmSWZYu95tqIkr+IQhwAAAAAAAAAANRcm5ZHTTOifbb+UbifTTaJUlyNl0c9&#10;ysiXTV0NXnRoacq96I0HAAAAAAAAAADOrk3Lo/7Ij/zw/p//rV9v9PKoJylbirt950o4blGTj4ss&#10;yzq96tpoUmkh7rQfCAAAAAAAAAAAcLw2LY962MqT6+H+tkXZUtxJq3Sm2fWafFxkWTbXq66NJovR&#10;iw5LIQ4AAAAAAAAAAMpp0/KoR2n7SpRlS3FPn916Z8y2HBdZlq32qmujyUL0osNKb3jxgwAAAAAA&#10;AAAAAE7WpuVRTyOVxtq8fOqly+fC/T6tNBNcGmcSx0WWZeGfV+SLXnVtNJkPXnBoCnEAAAAAAAAA&#10;AHB2TV8Gc1hpn9PMZ9F70nSpyFa2FJeWl23hcfEP+921kaTSQlxqbUYfLgAAAAAAAAAA8K7Pv/i4&#10;dGmqDQazobVNFaW4SclGN0vc/9qrro0mCnEAAAAAAAAAADBmbVoe9b33vh/++Vml2dCi96rpmlyK&#10;G5GRFuLmghccWvrgog8VAAAAAAAAAADoefrsViuWwUxlvlRi+2/+zr3Kin0PHl0L37OmU4p7yz/v&#10;d9dGktngBYemEAcAAAAAAAAAALG2LI+aym+371zZ//KrT17v2/MXd8N/dxhp7MPvW1soxb323/W7&#10;ayNJpYW41FyNPkwAAAAAAAAAAJhWbVoe9YMPZw7Kb9F+psJf9DPDSK8TvUbTKcUd+Dv97tpIMhO8&#10;4NDSlzb6IAEAAAAAAAAAYNqk8lNaHrUNRbi0D2l51Gg/D6uyFNfW1SrTcfFLf+Cnwn2ukb0sy/5q&#10;8OdVeNqrro0mneAFh6YQBwAAAAAAAAAA7VoeNRXhUokr2s9I1aW4s7x23aV9SbMF/sT7Pwj3tya2&#10;st7KoxuFP69EPvb8QXNtRFGIAwAAAAAAAACAigwKT1XNCpdlWfjn43Dc8qgnqbIUl97LYbejTtJ7&#10;cv5CJ9zHGllLnbLcYvB3VUgzz6XxR5fgRUuJPkwAAAAAAAAAAGizVIRry/KoaVa2z9Y/CvfzLNL7&#10;EY0/jCaX4tJ237h5MdyvGklFtcHMbTPp/y78fVU2+q8xugQvWkr0oQIAAAAAAAAAQFtN8/KoJ6my&#10;FJek9zp6nTqqerbAEdrMsmym1yY7KMNtFf6+Kql0N9t7mREmvVDhhUup8gsBAAAAAAAAAAB1NSg8&#10;RR2aJkmFrdt3rux/+dUn4X6WVeXyqUkVs9eNWkNKkqmgtthrkR1kLv1Z4d+pUlqOdfTJX0ghDgAA&#10;AAAAAAAATin1Y9JMam1YHvWDD2fGshRp1aW4NPNc9DqT1qBZ4bayt2drW8z/bJRluFS+6/ReasTJ&#10;X2y78OKljKopCgAAAAAAAAAAk1bHmb+yLAv//DiD5VGjfRyVVLyLtmVY497+k6Rj4/yFTritNTKY&#10;FW5QTuvkf7ZW+Hcql7/OfO/lxpD8BStd83UcjVEAAAAAAAAAABinBs38daxBEW5Sq0CmblGV72Ed&#10;SnGDYyPavppJs8INimmpELeQ/1mlk6kdYTxLpQ6Sv6BCHAAAAAAAAAAAHKEhM3+dKC2PWofVH6su&#10;xT14dC18nXGo47GRxTMGplLaYFa4ufz/rrQzdoz1/PXGs1TqIPmLbhY2ohSFOAAAAAAAAAAA2iD1&#10;YG7cvBh2ZJokLfH62fpH4T5OSppVrcqlZ9MMbdHrjEqDZoXbzt7MCpeKcJV2xU4w/jJcSv7Cle5k&#10;aj1GBwEAAAAAAAAAADRBG5ZHzbJs4sujnqTqUlyaAS96nao1aMbAQSFtJv/fa7m9Q383apMpw6Xk&#10;L75R2JhSFOIAAAAAAAAAAGiq1H2psqQ1Sf/G9X8h3Mc6aVIpLm3r7TtXwtetmb2sNytcJ//f4y7C&#10;JYeXZx1/8g1YL2xQKXWbXhEAAAAAAAAAAE7ShlnhIuOaNa2stJ3R9g9jFPucipINOTZ+O8uyX8z/&#10;OYkiXCriLRyU0iaZfEMqLcQ9fXYrPCgAAAAAAAAAAKCOGrQE5lDSDGx1XTb1sFRIjLZ/GGmfo9c4&#10;q/S+3bh5MXyNusiyLP3zn+T//M38n5MowiVb+evPpj7axJNvTHoToo0cikIcAAAAAAAAAABN8PzF&#10;3dqXnaqSZjdL+xu9D3Xy4NG1cPuHUbYImHpQTZkVLvdXc5MowiWb2SSXSC0m36BKC3ErT66HBwgA&#10;AAAAAAAAANRBW5dHPUna3zQbXvSe1EkqokXbP4xhSnFffvVJU4qSv5Nl2fP8n5MqwqUlUhdz9SnD&#10;9bMabOzQFOIAAAAAAAAAAKirVAhLJamo9zItmrACZPqcom0fRloO97Sz4zVlVrgsy7bzf74q/vkY&#10;pVnhZg7aZzXMYrDBQ0vTFkYHCwAAAAAAAAAATMq0zgp3lCZMepVKbFV9Xmmc40pxDVo+9//M/ePC&#10;n43TYFa4Wmch2PChKcQBAAAAAAAAAFAnabaxNEtY1HVpig8+nNn/kx9dDv9uWKkgGL1fdZKWL61q&#10;Rr+oFJeKkqkc2JCi5D8L/mycaj0r3OHMBxs/tCZ8UQAAAAAAAAAAaL8Gzfp1pFTUSoWtVNxK+5S6&#10;OdG/N6xUtCu+b3WT9r3KUlwqSKZxG3R8/L/Bn43TVuqY9apmzUilhbjbd668c1ACAAAAAAAAAMC4&#10;tGV51NTDGRThDkt/Hv37w0pls+h16iaV96LtH8Yfu/UrjT8+xmCwPGrnoGXWoCjEAQAAAAAAAADQ&#10;Cmn2r6pmE5uUVPwqLu1ZNK2luKr3u8b+efBn47KXW88aWIQbZK6wQ6WkaQSjgxEAAAAAAAAAAEal&#10;DbPCFZdHPUnV5bD0+icV8eqg6mVjectmlmWzvVpZczMb7NjQFOIAAAAAAAAAABinNswKlzo3X371&#10;Sbh/x6lyGdGkKaW4B4+uhds/jCzLwj+fMtv5+7Bw0CZrQWaCHRxa+pJFByEAAAAAAAAAAFSpDbPC&#10;pSLfZ+sfhft3WtNaiktFyGj7OZO9LMsWc41dHjVKJ9jRoSnEAQAAAAAAAAAwaqkMdf5CJ+yvNMFZ&#10;l0c9SdWluCS9x9Fr1YlSXClpedSZXoWsXam0EJdaq9HBBwAAAAAAAAAAZQ1mhYt6K02RymvDLI96&#10;nPS+jGLZ2LKz141Dms2uybMETkAqws32qmMtTbDTQ0vN2+jAAwAAAAAAAACAMtJsYNO+POpxRlWK&#10;e/rsVvh6dZIKhj/7cz8ebj+vtXJ51DDBzg9NIQ4AAAAAAAAAgCqloteNmxfDrkoTVL086nFGVYpL&#10;2x+9Xh2kfW76rIEjNj1FuEHSThfehKGlL3B04AEAAAAAAAAAwFml2cmaPCvcKJZHPcmoSnEPHl0L&#10;X2+S0qyBaQKvaHs5KMKt5qanCDdI2vnCmzE0hTgAAAAAAAAAAMp6/uJuK2aFi/ZtHNpeijMr3Ik2&#10;syyb7bXDpjD5G7BVeENKiQ5CAAAAAAAAAAA4yaDo1ORZ4W7fuXKwH9H+jVuaoS7axjLS5xO91rjU&#10;dVa4LMvCPx+z6S7CDZK/EQpxAAAAAAAAAABMVCo6jWJWs3FJ2/7Z+kfhvk1SW0pxqWSYyobR9hwl&#10;q0dJbRxSEW7+oAwmB4W4zcIbVEpdGq4AAAAAAAAAANRf02eFGyyPWufOTNNLcaks2eRZA0doL8uy&#10;xVznoAgmveRvjEIcAAAAAAAAAABj1/RZ4VLR7PmLu+G+1c1ZZ1c7jVGX4oaZFW5KKMIdl/wN2ii8&#10;YaV8+dUn4QEKAAAAAAAAAACJWeEmo0mluFSWPH+hE77mFEtFuNWcItxxyd+o9cIbV0pTWq8AAAAA&#10;AAAAAIxf04tOaVa4Jk8YVfdS3KAsGb3OFBsU4WYOCl9yfPI3bK3wBpaiEAcAAAAAAAAAQFFdZoXL&#10;siz885Ok7X767Fa4b00zisJZFaU4s8K9Yy+3lh+zinBnSXrTDr2JpaUDMzpgAQAAAAAAAACYTqlP&#10;cunyubBr0gRpVrWmLY96kgeProX7WsawpTizwr0jFeE2MkW4obNaeENLUYgDAAAAAAAAACCpy6xw&#10;w0olvjZ3YepQijMr3FtSEW4zy7LZXq1Lhk2lhbjP1j8KD14AAAAAAAAAAKZHk2eFSwW+lSfXWzcr&#10;XCR9TtF7UMZpSnFNL0uOgCJchVkM3uChKcQBAAAAAAAAAEyvphedPvhwZv/5i7vhvrXVuEtxTS5L&#10;joAi3AhSaSHu6bNb4YEMAAAAAAAAAEC7Nbno9IP3vncwK1y0X9MglQCrLjEWe0RmhXuLItwIsxC8&#10;4UOb5hMDAAAAAAAAAMA0akvR6cGja+H+TYtUijt/oRO+N8MalOLS2GaFO6AIN4bMB2/80BTiAAAA&#10;AAAAAACmR9uWv7xx82K4n9MilRur/jz/2K1fMSucItxYU2khbtqbsgAAAAAAAAAA06DNy19+8OFM&#10;uM/TIn226T2I3hvOTBFuApkLPoihKcQBAAAAAAAAALRb22aFi6T9i/Z9mijFlaIIN8FUWohLzd/o&#10;CwIAAAAAAAAAQLM1eVa4tM0/8zM/Fv7dUVIpLu1z9F5Mi9t3roTvDUdShKtBZoMPZmgKcQAAAAAA&#10;AAAA7fP8xd3GzgqXtvuz9Y8Oym1n3YfzFzoH+x69J9Mi9YGi94a3KMLVKDPBBzS01AqNvhgAAAAA&#10;AAAAADRP02eFW3ly/a1Z3r786pMz70v696e9FJcKhdF7gyJcHVNpIe7GzYvhlwIAAAAAAAAAgGZp&#10;+qxwR5XYPv/i4/BnjpNKcennovGmRXo/m1iMHBFFuBqnE3xgQ1OIAwAAAAAAAABotuNmhcuyLPzf&#10;dZG2uTgrXGSYUlwy7aW4YZadbRlFuAZEIQ4AAAAAAAAAgANNnhXugw9nzrS0aSrOReOc5OmzW+F4&#10;0yKVAr///R8J35sWU4RrUoIPcGjpxBJ9EQAAAAAAAAAAqK/jZoWru9POChe5fedKOOZJ0utF47VZ&#10;en8Pv19ZDWcIHAFFuCYm+CCHlhrC0RcCAAAAAAAAAIB6mqZZ4SJpjGjskzx4dC0cr43SrHDnL3TC&#10;96GlFOGanPwD3Ct8oENTiAMAAAAAAAAAaIZpnRWuKI0xbCGw7aspDo6RaN9bShGuDck/yMoKcakJ&#10;Gn05AAAAAAAAAACojzSr2o2bF8P+R9WyipfWTCW0L7/6JNyvYSnFvWvKZoVThGtT8g90u/ABDy21&#10;b6MvCAAAAAAAAAAAk5eKX2lmtWmfFS6Sxh32fUllulFt17il/Rh25sCs4vLjGCjCtTH5B7tV+KCH&#10;phAHAAAAAAAAAFBP45wVrmqjmBUukl5j2FJc+rn0HkfjNkWaFW7YmfIaRhGuzck/YIU4AAAAAAAA&#10;AIAWa/qscNE+jUoqtU1bKa7MrHANowg3DUkfdOGDLyX60gAAAAAAAAAAMH51nhUuO2F5zXHNChdJ&#10;71u0TaeVZlqLxq2jKZkVLhXh5g7KUtL+pA+8cACU0pb1kAEAAAAAAAAAmsyscOWkoli0faf19Nmt&#10;cNy6mJJZ4VIRbr7XkpKpSf7BbxQOhFIU4gAAAAAAAAAAJmecs8JlJ8zydlaTnBUuUrYUV4diXyQd&#10;Iy2fFU4RbpqTHwDrhQOilDqdlAAAAAAAAAAApkmalaypM379y3/o94f7NGllS3EPHl0Lx52EKZgV&#10;LhXhFnOdg2KUTGfyA2GtcGCUkhqk0RcKAAAAAAAAAIDRGOescKOUilqpgBbt4ySVLcWlme+iccep&#10;5bPCbWWKcDJIfkAoxAEAAAAAAAAANFSTZ4U7SprFLNrXSWpqKa7ls8Ipwsm7yQ+MSgtxdWzpAgAA&#10;AAAAAAC0TSo6tWFWuKOk2czqNjFT2VJc2qf0uUVjj0LdZ4XLsuy16O+PsZ3/jCKcHJnV4KAZmkIc&#10;AAAAAAAAAMBotXFWuKOsPLkevgeTUrYUd/5CZ+RFvxbPCreXKcLJKVJpIe6z9Y/CLxoAAAAAAAAA&#10;AOW0fVa4o6TlRsc5s9pJypbiUlFtVKW4us8KNyRFODlTFoODaGipgRx92QAAAAAAAAAAGN40zQoX&#10;Sftep5ULy5bikir3p6Wzwu3l1rMsm+nVnEROl4XCgVRK3aapBAAAAAAAAABosibPCpdmKvvL/+mf&#10;qHTGsgeProXv0yRUUYqrYvKpls4Kt5ll2Wyv3iRytswHB9TQFOIAAAAAAAAAAKrR1Fnh0janDslg&#10;mdP0z7TsafTvDiOVv7786pN33q9JSGW0aBvPYti+TUtnhUtFuPlerUlkuFRaiKtTCxcAAAAAAAAA&#10;oImaPitcKolF+5XKW9HPDKuK2dWqUEUp7qydmxbOCreXZdlirnPQaBIpEYU4AAAAAAAAAICaaMus&#10;cEdJ/07088NKJbvodcYtFdTKfm5pFr1o7MNaOCucIpxUnrngQBtaXU4yAAAAAAAAAABN0vRZ4T5b&#10;/yjcr8jnX3xcaaHruFnpxil9hmVnbTuuFNeyWeH2cutZls30Kkwi1WW2cLCVcvvOlfALCQAAAAAA&#10;AABArKmzwiVp8qSTZoWLfPnVJ5WXu9Lsc9FrjVN6L1KpLdq+00rvS3HMls0Kt5k6S73qkkj1UYgD&#10;AAAAAAAAAJiAaZoV7ihV739duitl9yu9v+n4aNmscKkIN9+rLImMLjPBwTe09GWOvuQAAAAAAAAA&#10;ALzR5FnhUulsmFnhjpJmP4teZ1ipQFaHJVTL7tfP/MyP7f/E+z8I/65h9rIsW8x1DtpKIiNOJzgI&#10;h6YQBwAAAAAAAABwtCbPCpcKfFXMChdJ40avWUYdllB98OhauG1TQhFOJpJKC3FpDeToyw0AAAAA&#10;AAAAMO2aPCtc6oRUOStcJM3qVvX7M47tPsnnX3wcbluL7eXWsyyb6dWTRMacwgFZSppyMvpiAwAA&#10;AAAAAABMq6bPCpeKfNF+jUJ6r1L/JNqWYaV9SKW06PXGJZX9om1roc0sy2Z7rSSRCSU4MId2/kIn&#10;/FIDAAAAAAAAAEyjOs0Kl2VZ+OdHSbOrffnVJ+F+jdq9+1fDbSojLV8avda4pFJc6tZE29YCqQg3&#10;d1BGEpl08gMyTVMYHahnphAHAAAAAAAAAND8WeFWnlwP92ucUoEt2r4y0uxzkyr5JaOYAW/C9rIs&#10;W8x1DopIInVIOjALB+rQ0gkx+jIDAAAAAAAAAEyLOs0Kd1aTnBUukpY6jbazjPTZfLb+Ufh645BK&#10;cZd/9efDbWsQRTipb/IDdLtwwA5NIQ4AAAAAAAAAmFZtmBUu7UO0b5M0qqVG07Ks0euNUir4NXzZ&#10;1DTx1nqWZTO95pFIDZMfpFuHDtrSoi8zAAAAAAAAAECbNX1WuFQ6i/arLlJRL21ntP1ljGsJ1SaX&#10;JQ/ZzLJsttc4Eqlx8oO10kJcHZvCAAAAAAAAAACj0PSi03vvfW//r/312+G+1VGa1S3aj7LS7HjR&#10;61WhyWXJvlSEm+s1jUQakHTQFg7iUhTiAAAAAAAAAIBp0IKi02ufrX8U7mMdpfJatA9l3b5zJXy9&#10;YaVZ9xo+K1wqws33GkYiDUo6eAsHcynjmEYSAAAAAAAAAGBSWrL85TtGOUta1VLZbBRlxLSEatnl&#10;Y9Pxkd7LBpclt7MsW8x1DspFIk1LfhBvFA7qUuq+pjQAAAAAAAAAwLDaNCtc5MGja+F+11EqnqUC&#10;W7QfZaXPOXrNkzR8Vri9TBFO2pD8YF4vHNylKMQBAAAAAAAAAG3T8KLTmXzw4Uz4HtTVqD6Xe/ev&#10;hq8XSeW89O83tCypCCftSn5QrxUO8lI+/+Lj8IsPAAAAAAAAANA0TV/+Mm33X/j0j4R/d5ymleLS&#10;zHbRfpR1miVU09+Paqa6EUtFuNWcIpy0K/nBrRAHAAAAAAAAAFDQ4KLTgVRqS4W+tC+pzxH9O8dJ&#10;+z74+SYYZh9PK1pCtcGzwu3l1rMsm+m1h0RalvwAr7QQ99n6R++cAAAAAAAAAAAAmqLhy18ebHdU&#10;4EoFv7PuU/r3T5ohrU7Stp6/0An3pazDS6im8t2oXmfENrMsm+21hkTam9Xg4B9adEIFAAAAAAAA&#10;AGiCVHRq+qxwX371SbhvybCluKatGHjj5sVwX8r6lX/p5/b/zJ/9w+HfjVqWZeGfn1Iqws0fNIVE&#10;piCLwZdgaGnd7OhEAwAAAAAAAABQV22YFe60nY1UmBtmP5u2auCDR9fC/Zgye6kblOsctIREpiQK&#10;cQAAAAAAAADA1Gr7rHCRVAAcZp+b1gtJn220H1NAEU6mOgvBl2JoCnEAAAAAAAAAQBMMZoWL+g9N&#10;cJZZ4SLDluLSzGvReHWVlokdVeExK7eM6Sj8Tm4t366Zg1aQyJRmvvDFKKVpJz0AAAAAAAAAYPqk&#10;mcPOX+iE3YcmGGZWuMiwpbj0+tF4ddbk8uMJ/n6WZb+Rm82ZEU4kT6WFuHTyiE4qAAAAAAAAAACT&#10;Nu2zwh0lFdyi1ztOKtJFY9VZy5ZQtSyqyBGZC74wQ7t950p4QgEAAAAAAAAAmKRUhkqFsqjv0ARV&#10;zQp3lGFLcaPcplEYdla8mtnMLIsqcmQU4gAAAAAAAACA1koFqBs3L4Y9hyYY1axwkdT7iLbhOGn7&#10;nr+4G45XZw8eXQv3p+YGs8KJyDGZDb48Q0sXkOgkAgAAAAAAAAAwbk+f3TIr3BkNW4pLM/BF49XZ&#10;w3/3j+z/8A//ULhPNWRWOJFTZib4Ag1NIQ4AAAAAAAAAmLQ0Y5lZ4YZ37/7VcLtOkgqI0Xh1Uzw+&#10;six7az+qUOGYaVa4+VTyEZHTpRN8kYaWmsnRiQQAAAAAAAAAYNTS8qhpKUyzwpU3bClukkW+k6Tj&#10;I+1Xg46P9dTt6VV8ROS0qbQQd+nyufCEAgAAAAAAAAAwSmnWr9RbiPoMTTDpWeEiqVwYbetJ0s9F&#10;401SWtK1QcfHVmZWOJGhoxAHAAAAAAAAADRWA2f9ekddZoWLpJJetM0nqcsqgw07PtLyqIupz3PQ&#10;6hGR4RJ8uYZ2/kInPLkAAAAAAAAAAFStYbN+7WdZ9tb/XcdZ4SLpfT683aeVPptUSIvGHIcGzgo3&#10;e1DmEZFyCb5gQ1OIAwAAAAAAAABGbTDrV9RdaIo6zwoXKVOKG/d+mhVOZMqTvliFL9rQ0okkOtEA&#10;AAAAAAAAAFQhFbPShD1Rb6Epfv7nf2L/+Yu74f7VWdrmYUpm6WfGtb8NOz42M7PCiVSf/MulEAcA&#10;AAAAAAAA1FoqVN24eTHsKzTVZ+sfhftaZ2m2t2EKZ6lTkspq0ZhVqNusgVlhedwCs8KJjDLpS1b4&#10;0g1NIQ4AAAAAAAAAqFIqOj14dG2omcmaIO1btN91lj6TtBRqtD8nGUUpbhKzwmXHF96Ok2aFmzko&#10;7YjIaJJ/0bYLX7xSohMPAAAAAAAAAMBZpaLTsMWrJvngw5lw/+ssleLSdkf7c5Knz26FY55V2obb&#10;d66Er1FDg1nhRGTUyb9wW4UvYCnpZBOdhAAAAAAAAAAATiN1D9Lyl02aFS4bfsawA6n4l5Yjjd6P&#10;Oht2GduVJ9fD8U4rleoadHyYFU5knMm/dApxAAAAAAAAAEAtTGL5y7pIBa9RLCk6aqm8GO3PSYZZ&#10;Lvb5i7tDl/AmIM0Kt9Br6IjI2JJ/+RTiAAAAAAAAAICJatjyl6E0y9tf+PSPhH93FmVnT5uEVG6L&#10;9uUk6TOPxos0bFa49SzLOr12joiMNfkXcLPwhSylidN3AgAAAAAAAACT07Ci0zvStqcS22ASoTSL&#10;Wdn9SbOuFd+nuvts/aNwX07ywYcz4XgDDZsVbivLsvleK0dEJpL8i1hpIS6dhKKTEwAAAAAAAADA&#10;YQ0rOoVSmSvqSqRyXJoxLvqZ00o/37SV+tKSr9G+nCQqxaV9T8XAhpQl93JrmVnhRCaf/MuoEAcA&#10;AAAAAAAAjE3Dik6h4qxwkfR3qegV/fxppddpWhcjbe/5C51wf45zuACYxihbKByjNCvcbK+JIyIT&#10;T/6l3Ch8SUtRiAMAAAAAAAAAjpJmEGtQ0SmUSm5ffvVJuH+RKmbBS8uRRmPXVSq2DfM5/8IvvL//&#10;53/r1xszK1yWZYs5s8KJ1Cn5l7PSQly6cEUnOgAAAAAAAABgeg1mhYu6Bk0xmBUu2r+TVLHvDx5d&#10;C8eus6YviXuMzcyscCL1TP4FXS98YUtRiAMAAAAAAAAADktdgmGW0KyTs84KF0mFtmjss0gFs2js&#10;Omt6EbLArHAidU/+Ra20ENe0KToBAAAAAAAAgNF4/uJu42cIS7PCVdmFSOXA6HXOIpXzorHrrIoy&#10;YA2kWeFmeo0bEalt8i/rWuHLW4pCHAAAAAAAAABMt7Q8aipApTJZ1C1oitt3rhzsS7SPZaSiYNn3&#10;5tLlc6VnrBu3KsqAE5JmhZvvNW1EpPbJv7SVFuKePrsVntQAAAAAAAAAgPZLpadU1oo6BU2Rtn/U&#10;EwKlol3Z9ymV6lK5Lhq/rtL2/sT7Pwj3p4b2cuuZ5VFFmpX8i6sQBwAAAAAAAACUkgpe9+5fbfSs&#10;cGnbV55cH8mscEepYknZVEKMxq6jtK2/58d/NNyPk2RZFv75iKTlUWcPyjUi0risBl/qoaULQ3RC&#10;AwAAAAAAAADaKZWczl/ohD2Cpvjgw5mJzbaWioTRNp1F3fsaqWSYlqCNtr1m0vKoizmzwok0OApx&#10;AAAAAAAAAMCZNajkdKRJzAoXSdsQbd9ZPHh0LRx70hpUmEyzws306jQi0uQsBl/woSnEAQAAAAAA&#10;AED7PX12q9HLoyZ/8NK5/S+/+iTcv0lIxbFoO88iLcEajT0Jg2V0o+08LBvvUqiRNCvcwkGLRkRa&#10;kUoLcXVtGwMAAAAAAAAA5aVlRVPpKuoMNNFn6x+F+zkp6f0tO5taWv41GnucGjQr3HpmeVSR1kUh&#10;DgAAAAAAAAA41mC2r6bPChdJs91F+zwp6b2+dPlcuK2nlX5+ErPfnXZWuBrYyrJstledEZG2pdJC&#10;XDqpRSc8AAAAAAAAAKCZ0mxfZQta/3979xdyW3rfh317ZEuyI0sH2/GfWDM5dvxHdqTMqeP6j+TB&#10;Mq5iVc40x66YzIXjTIhNIFVgVBQCJWBhKCUOnmEKKb0QPQ3JVSFRCL1wi5tzkQsFBD2XvQhUFy2U&#10;UuhJbwK96XT/zjvPZM2a3373Xut51trPWu/nCx8sv3Petddae/15/vzetXr3e7//uXTbr6n2SXxR&#10;vBhPnMuWvYSNPBUuXo/6+pGnwonsOAriAAAAAAAAAID32dDTvprosSiuxf6PQrVs2a1s6OmBjw+H&#10;w/2bchkR2XNeSy4AsymIAwAAAAAAAIDt28jTvm716c/cf/sP/vDX0/92ype/8lK6P64pCvWydZ1i&#10;qWK/eAJd7OfsMztSngonInckTQviXnn1xfQCCAAAAAAAAAD0Lwqcal/VeW3xpLJhAVgU92X/7pQe&#10;HwY0dRsyrYv93njr5S08Fe7RwetRRe5cFMQBAAAAAAAAwB23odde3irqFmJbxts3taAsnno2Xsa1&#10;RbFi7VP7otgxW/YUsX+vUTR5OByeyf5b4snx3z6MwhgRuXtREAcAAAAAAAAAd1gUi33yUz+Y1gFs&#10;Raz/1x59Md2+Yg9FcVGMVvtd1WxX7MPOX6VbXo/qqXAidzhNC+JaVBIDAAAAAAAAAMvbw1PhyutR&#10;s6fCZfZQFBfie8vW91JRVJct95RyrGTL6sjjw+Hw4KYcRkTuchTEAQAAAAAAAMAds4EnfZ0VxWrx&#10;GtFs+26zl6K4L3/lpXR9LxVFcZcUEsb+6vwJguWpcCIiz/IwuVDMpiAOAAAAAAAAAPoVBVCvvPpi&#10;Oue/FeWpcNn2XWpqUdzUJ6qtZep2jN1WFBc/j6K7zp8g+Ojg9agiMkrTgrheq6IBAAAAAAAA4K57&#10;462XN/161BDFfJc81ewSc4riWn12S/GUvJonuGXbFcuMhyJl/74TT6Lm5ab0RUTkvVEQBwAAAAAA&#10;AAA7Vlsw1YNY/zmvRz1nL0VxoaaALV6fW7ar88LJ8npUT4UTkZNREAcAAAAAAAAAOxQFTr/7N35+&#10;00+FK69HXbIIbWpRXBSPfeObX0qXdW3xfWfrfImPfuzDb/+FX/uJ9L914vHhcHhwU+4iInI6TQvi&#10;ohI6u+ACAAAAAAAAAOuJIq8o3Mrm9rciHsqzVuHZ1KK4KNRb4ol1LXzt0RfTdd4wT4UTkUlREAcA&#10;AAAAAAAAO1GeCpfN6dc6HA7pz1uLYrN4bWe2fUvaU1FcrNfWCyLfEU+Fu/+swkVE5MI0LYiLi2l2&#10;oQUAAAAAAAAAlhVFZFt/Peorr7646OtRz9lTUVzsx3iwUbbeG1CeCiciMjkK4gAAAAAAAABgw6Ig&#10;K14vms3jb0Wsfy+FZXsqigtLPTFwQZ4KJyJV+WxyYZlNQRwAAAAAAAAArKO8HnXrT4X7vd//3FWf&#10;CpeZWhQX4neyZfUg9nG2zp3xVDgRaZKmBXFxo8ourAAAAAAAAABAO1F8FQ+tyebutyKeCveNb34p&#10;3b4e7K0o7g/+8Nff/sAHnkvXuwOeCicizaIgDgAAAAAAAAA2ojwVLpuz34pPfuoH3/7aoy+m29eb&#10;OUVxPW5bPCGu9kmCh8Mh/XklT4UTkeZREAcAAAAAAAAAG/DGWy9XFzVdU6x7j69HPWdOUVx8V9my&#10;1hb7+vNf+ES6jnMc2hbFeSqciCwSBXEAAAAAAAAA0LE/+uPfaVrUdA3xetTYjmz7tmCLRXGxzp0W&#10;UHoqnIgsmqYFcSG7yAIAAAAAAAAA05TXo275qXBFvCZ1a0+GG5tTFBdPxMuWtaTOX6vrqXAisnge&#10;JBefKtnFFgAAAAAAAAC4XBRfRRFZNi+/VVHYt+WnxIXei+Ji/3Z63HgqnIisluYFcVuv6AYAAAAA&#10;AACAa+n86V5NRFFZtu1bEUVn2Xbd5stfeSldVktReNfp0wQ9FU5EVo2COAAAAAAAAADowBtvvbyL&#10;16NeIrY12wdb0VNRXNRpfP4Ln0g/c6rD4ZD+fCZPhRORq+R+ckGqoiAOAAAAAAAAAC4XxVWtCpq2&#10;ZI2npi0pvrepBYyvvPpiuqy54ml7z79wL/2sK/NUOBG5WpoXxH3jm19KL8IAAAAAAAAAwL9TXo+6&#10;5afC/dlP/mD680vF9mf7ZivmFMV9+jP302VN0fGx46lwInL13EsuTlUUxAEAAAAAAADA7eLJXp/8&#10;VF0x2TVFIdbv/f7nnhVmzXl96FCLArFrijqJqU9pq9nmlq9IbcxT4USkizQviIsbXXZBBgAAAAAA&#10;AIC7rjzZK5tv34p47ef4YTlznpQ2FMWBsW+Gy9ySWPepBY5ziuKikLLjp8Lde1aJIiJy5SiIAwAA&#10;AAAAAIAVvPHWyz0WM10sCr6iICvbtlBbFBdPWdtyzUEUxUWRW7Ztp1xaFNdxIeWTw+Hw4KYERUSk&#10;jyiIAwAAAAAAAIAFxTx6p6+4vMjw9ajZ9g3Fk+NqiuLid7dedzD1u45Cw2w5ReyPqYV2K3kz6k5u&#10;yk9ERDpKcsGqcls1OAAAAAAAAADcFeWpXlt+KlwUYo1fj3pO/Puprw8d+9qjL6bL3oqpT3M79crY&#10;Tp8qGK9Ife2m6kREpMMkF64qCuIAAAAAAAAAuOti7ry2KOyaYt1ritKiuKt2++OpdNmyt+LLX3kp&#10;3a5ThkVxpZgy+3dX9vhwONy/qTgREek0ycWrytartAEAAAAAAABgro4LmS4y5fWo57QoiouismzZ&#10;WxFPeMu265TnX7j39j/8x3+5x2LKeCrc60dekSoi/ScuWqOLWBUFcQAAAAAAAADcRZ2+3vJic16P&#10;ek6LorhYr2zZWxFPC8y265Tnnnsu/fkVPTkcDg9uqkxERDaQ44WraUFc3OCzCzwAAAAAAAAA7NEf&#10;/fHvvP35L3winUPfgngq2ZIPv1EUd3OMbLRY8tHBU+FEZGs5XrwUxAEAAAAAAADAROX1qFt9KlzL&#10;16NeIorasvW4VBTVrbWuS4in73X4KtRT4hWpr91UloiIbCzHi9i3Rhe1KgriAAAAAAAAANi7eA3m&#10;hoqb3ieK0+KpZdm2Lan2SXpRxHeN9W4lCvpqCwNX8PhwONy/qSoREdlgjheypgVxUT2eXdQBAAAA&#10;AAAAYOvKU+Gy+fItKE+Fy7ZtLa+8+mK6bpeKbYiCxGzZW/Eb//En0227sngq3OtHXpEqItvO8YKm&#10;IA4AAAAAAAAAzog3pm319ajhIx/50Nv/5J/9lXTb1taiqHCrb7CLYr7nX7j39uFwSLfrlKn/fqIn&#10;x+U/iDoSEZHNJy5qo4tcFQVxAAAAAAAAAOxJvKKz9lWfvejplaNf/spL6TpOsaUahfJ0wQ6LKh8d&#10;PBVORPaU44WtaUFc3LCyCzsAAAAAAAAAbEnHBUzVvvboi+k2r61FUdwW6hS+8c0v9VhUGa9Ife2m&#10;ekREZEc5XuAUxAEAAAAAAADAQLzW8pOf+sF0Xnwvenm6WuzrbP2miGKzbNk9iO3rsKjy8eFwuH9T&#10;OSIisrPERW500asS1fHZBR4AAAAAAAAAeleeCpfNh+9RLw+9aVEU9+nP3E+XfS29HkuHw+GrR16R&#10;KiL7zfFipyAOAAAAAAAAgDvvjbde3uzrUf/ERz6U/vwSvTxdbU9FcX/0x7/T4xMG4xWpD2+qRURE&#10;dpzjBe/rowtglVdefTG92AMAAAAAAABAj6J4KYrCsjnwLYgisG9880tVBWU9FZLVFiVGIVo8nS1b&#10;/ho6Laz0ilQRuTs5XvQejS6CVXp+LzcAAAAAAAAAFOWVllt9KlwUfn3t0Rffs001RXHXLiQrtloU&#10;F58XDxHK1ueK4qlwrx95RaqI3J0cL35vji6GVRTEAQAAAAAAANC7KBx7/oV76bx376JY7Pd+/3Mn&#10;C75qiuJin0RBWrbcNcUT72pfORr7aa1t6fR48opUEbmbOV4AmxbE9fIYVQAAAAAAAAAY6/QpXhcr&#10;r0fNtm2opihuzUKy28R3tYWiuChOrH2i3QK8IlVE7nS+mlwYZ1MQBwAAAAAAAEBvorjqjbde7rFw&#10;6SLZ61HPiUKwbFmXmvp5S2hVFBcFgtnya8S6xVv0ss+8on9z8IpUEZHD68kFcra4EWU3AgAAAAAA&#10;AAC4hiiGqi2qupYo5rrt9ajn1BbFxWdny11bPJwnW78pWhbFdfqK1P/z4BWpIiLP8lpykZwtLvjZ&#10;zQAAAAAAAAAA1hRFZL/7N35+8lPhDodD+vO1RRFYi9d9xjJqnoz35a+8lC53bS2exlZbFDf3mGot&#10;OUb/5fFnngonIvJOHo4uklXiop/dFAAAAAAAAABgLZ0+wesiMe8er3fNtmuu2qK4KEbLlru2V159&#10;MV2/KeYWxXX6itSnh5tXpIqIyCAK4gAAAAAAAADYhU6Lli4S8+01r0c95xvf/FJVUVw8sS5b7tri&#10;CW3Z+k0xtSgu/n3NvlvIk6j5uCn9EBGRYT6bXDRnUxAHAAAAAAAAwNqiiCxe7dlh0dJFWr0e9ZzY&#10;T5/81A+m63CJ+N2lCvamiO86W78pLimKi21tUYC3gMcHr0gVETmZB8mFs0p2kwAAAAAAAACAJURh&#10;U02R1zWVp8Jl27WU2qK4WOc1ivfO+dqjL6brN8VtRXGxjR0eV16RKiJyQe4nF9AqPVSDAwAAAAAA&#10;ALBv5eldW3wqXKxzrPu15tdbFMVNfe3oEmIdsvWbItuOKFLs8LiKV6Q+uCn1EBGR26IgDgAAAAAA&#10;AIBNiSKm51+4l85Z926t16OeU1sUF+Ipbdmy1xT7svZYKEVxsU8+/4VPpP/myr5+8IpUEZGLcy+5&#10;kFb5xje/9L4bEAAAAAAAAADUiuKnTguWzoonjq39etRzogAsCvSy9b1UD9vUorgvtqPDIkuvSBUR&#10;mZHmBXE9VLIDAAAAAAAAsB9R8LTl16O+8uqLz7Yh27Ye1BbFffkrL6XLXVvtdnTGK1JFROYmuahW&#10;URAHAAAAAAAAQCvxOsvap39dSy+vR71EbTFZPLkvW+7aonAyW7+NeXTwilQRkfk5Xkifji6sVcq7&#10;tQEAAAAAAABgrq0/FS5ewdnzU+Ey8SS7bHsuFUV12XLXFk+sy9ZvA7wiVUSkRY4X1G+NLrBVFMQB&#10;AAAAAAAAUOONt15++/kX7qVz0j3bwutRz6ktioun+fWw/V979MV0/TrmFakiIq0SF9XRRbZK3FSy&#10;mw0AAAAAAAAA3CZeLxqv3szmorfgt377Z9Lt2poWRXHf+OaX0mWvKR7ok61fh948eEWqiEi7HC+s&#10;TQviolI/u9EAAAAAAAAAQGbLr0cdi+3ItnFrYjuy7btUfJdR4Jgte02xDj/10z+QrmMH4hWpr91U&#10;b4iISLMcL7CPRxfcKvEe9OwmAwAAAAAAAABj8RSveKJYNv+8VZ/+zP10W7fmy195Kd2+S0VRXHy/&#10;2bLXEp/f6et34xWp928qN0REpGmOF9lHo4tuFQVxAAAAAAAAAJxTngqXzTvvQRT5xTZm274ltUVx&#10;4WuPvpgue0nZUwcPh8N71uuKvCJVRGTJxIV2dOGtEjfD7GYDAAAAAAAAAOGNt17e5OtRP/Shb09/&#10;fko8mayH14bWigfjZNs3xZoP14l93ulTB70iVURkpXw1uQjPtpf3oQMAAAAAAADQVry+Ml4nms01&#10;9+7zX/jE29/45pcmP9UuCv/2UBQX3122fVOs8YCdKLzrtNjy8cErUkVEVsvryYV4tldefTG96QAA&#10;AAAAAABwN2Wvr9yKeNLY+JWfc171eo3XhrbWoihuqYfsxDEWRYvZZ3bAK1JFRFbOw+RiPFvcYLKb&#10;DwAAAAAAAAB3TxRRxatDs/nlnkXxXjxtLAqtsu2Kp51lv3ebNV8bupQWRXGtH7QT69RpsWW8IvXh&#10;TWmGiIismc8mF+XZFMQBAAAAAAAAEK8J7fiJXbeK17rG61Gz7RqaUxS3xmtDlxbfbW0BWuzjbNlT&#10;RLFiFNdly++AV6SKiFwxD5IL82wtbloAAAAAAAAAbNPeXo96Tjz1LVvWbVo/Ie0aomAw9le2fZeq&#10;qS/o+KlwwStSRUSunHvJxXm2uOFlNyMAAAAAAAAA9m2vr0c9Z85rRPfwsJnYX2sXxXX+VDivSBUR&#10;6SRNC+KicZPdlAAAAAAAAADYp7vwetRz5hTFRTHZ3CK8nsQ+zLbvUpcWxXX+VLh4RaqnwomI9JLj&#10;hfnp6EI9W9x8shsTAAAAAAAAAPty116Pes7corgWBXnXVvvUttuK4jbwVLjXbqovRESkmxwv0E9G&#10;F+wq2Q0KAAAAAAAAgP2I4q/a12VeQ+3rUc+ZUxQX6xRP2cuWtyVRHJlt36XieBov85pPhTscDunP&#10;B+KpcPefFV6IiEhfiYv06KJdZQ+PdAUAAAAAAADg/cpT4bK54t61ej3qOVHcln3+baLoK4q/suVt&#10;yZe/8lK6fZcqRXFxnHX8Gt5/czgcXj/yilQRkV5zvFgriAMAAAAAAADgpJgHfuOtl70e9UJRFDdn&#10;X629nkuY85S8oY9//GM9H2dPDofDg5tqCxER6TbHC/abowt4lT283xwAAAAAAACAG16POs/corhY&#10;52x5WzLnKXkb8ObBU+FERLaRuGiPLuJV9vBucwAAAAAAAIC7rrwedYtPhVvr9ajnxDrMKSaMV49m&#10;y9uSqB14/oV76fZtzNPD4fDwpsJCRES2kq8mF/TZ9vBecwAAAAAAAIC7zOtR24nCwjlFca+8+mK6&#10;vC2Zu+0deXzwVDgRkU3mYXJRn01BHAAAAAAAAMA2eT3qMuYWhsWT7rLlbU08aTDbvo7FU+Fevymp&#10;EBGRLaZpQVz8pUB2gwMAAAAAAACgT16Puo5Y12wbbhOFdL0W+k0RBYvZ9nUongp3/6acQkREtpoH&#10;yQV+triJZTc3AAAAAAAAAPoTT4V7/oV76fxvz6JQrLfXo14iXoWabc9tYlu3UvR3ShT1/dZv/8zb&#10;zz33XLqNHShPhfOKVBGRHeRecqGfTUEcAAAAAAAAQP/+6I9/5+3Pf+ET6bxvz3p/Peol5hTFxXbH&#10;d5Ytr3cbeBXvk8Ph8NmbEgoREdlDmhbEffkrL6U3OAAAAAAAAACuz+tR+xDfQbaNt4nvLIrLsuX1&#10;qBxr2bZ05M2om7gpnxARkd3keIF/OrrgzxY3s+xGBwAAAAAAAMB1bfX1qOGXXvqRdJu2LB44k23r&#10;OW+89XK6vF5EIVys47miy8PhkP58JfFUuIfPiiZERGR/OV7omxXExSN1sxseAAAAAAAAANex1dej&#10;jsVrN7f62tBTonAs29Zzen172wZejxr1EZ4KJyKy9xwv9k8GF/8qCuIAAAAAAAAA+rDl16Pe5vd+&#10;/3Pp9m5VFJFl23nOK6++mC7vGjZyrHkqnIjIXcnxov94dBOYLSq9s5sfAAAAAAAAAOvZwJO6qvRU&#10;DNbC3KK4T3/mfrq8NX3t0Rd7fxXv08Ph8PqRp8KJiNyVHC/+Xx/dDGaLm1x2AwQAAAAAAABgefGk&#10;rigWy+Zz92Zvr1CNbZnzhLXYD9/45pfSZS5pI6/ifXw4HB7cVEeIiMidyfEG8ObohjBb3JyzGyEA&#10;AAAAAAAAy9nr61EvsadXqM4tiovfWas4cCPHmqfCiYjc5RxvBM0K4kJ2QwQAAAAAAABgGVt9PWqs&#10;8yd+6vvT/zbVnl6hGk97m/t9xrGQLbOVWH7nr0cNngonIiKHryY3iNmiGjy7MQIAAAAAAADQTnlS&#10;VzZv27N4slg81a3MLbd6xeueXqEa+2ZuUdwST8zbyOtRPRVORETezWvJjWK2vTQwAAAAAAAAAHoU&#10;xVJR9LTF16N++jP3nz0BbbxNrYriwhtvvfy+5W9RTVHcl7/yUrrMqUrR5QaOtXgq3P2bEggREZHD&#10;4WFys5ht6UewAgAAAAAAANxVW3496tcefTHdpqLl0+5iWdlnbFEUEWbbeE78Xra8S23k9ajlqXAi&#10;IiLvSdOCuHONGAAAAAAAAACmmfLKysPhkP78GsavRz0nnmyWLWeOKMLLnka3RXOLBWMfXLrvi9hn&#10;G3g9avBUOBEROZkHyY1jtiXeRw4AAAAAAABwF019ZeWho2K4U69HPadlUVzst7081GXufomnvEVB&#10;ZbbMoQ29HtVT4URE5GzuJzeQ2RTEAQAAAAAAANSLQq4NvLLyfS55Peo58fvZsueKYrLsc7Zm7n6J&#10;IrfbiuI29CpeT4UTEZGLci+5icy2l4YEAAAAAAAAwDVsqDjpPaa+HvWc2A/Z58w15/WhParZL+NC&#10;xfJUuOzfdiaeCvfaTYmDiIjIBUluJrPFu8SHN1AAAAAAAAAAztvQKyvfZ+7rUc+Jp5plnzdX7Nso&#10;KMs+a0tiv8x9emApWnzjrZe3cqw9OhwO926qG0RERC7M8QbydHRDmU1BHAAAAAAAAMDlojgp3sS1&#10;xUK4Fq9HPSeKv1rvmygKyz5rS+K4mfskwe///o+kP+/Mk8Ph8PCmqkFERGRi4kYyurHMFjfc7GYM&#10;AAAAAAAAwHt5Pepl4ulzrfdTPNUu+6ytie3Itm/D4vWorx95KpyIiMzP8YbSrCAuHsua3YQBAAAA&#10;AAAAuBFPPYu3b2Vzrr175dUXF3k96jk1T0Q7Jea347vIPm9L4lW72fZt0OPD4fDgppJBRESkInFT&#10;Gd1kZou/BMhuwAAAAAAAAAB3XRR1RfHSFl+PGk8iu3bxWOy/JZ6ItodXqMZrd7Nt24jyVDgREZE2&#10;Od5cHo1uNlWymy8AAAAAAADAXfa1R1989kSybI61Z2u/HvUSSzxdbw+vUI1X8Gbb1rlHh8Ph/k31&#10;goiISKMcbzBvjm44VXpqCAEAAAAAAABcUxQptX7V5xqiEC6eZtfr/O8SrwmNbd7yK1Tju/rNL37q&#10;7W//9g+k29eZJ4fD4eFN1YKIiEj7fDW5+cy2h3esAwAAAAAAANSI4iSvR13WEkVxYYuvUN1Q4WV5&#10;Peq9Z9UKIiIiC+X15CY0W9xosxswAAAAAAAAwN5tuRAu/PiPf1+6Xb368ldeSrej1lZeoRqFi6+8&#10;+mK6DR16fDgcHtyUKYiIiCybh8mNaLY33no5vREDAAAAAAAA7NlWX4869vkvfCLdvl7Ffs+2o1bP&#10;r1DdWOFleSqciIjIamlaELfFx8cCAAAAAAAAzBVFU1FEls2f9uBwOKQ/v83WHoSyVFFc6G0OPLb1&#10;+RfupevaoUfH48/rUUVEZPU8SG5Ks8UjabObMgAAAAAAAMCebP31qOd87dEX0+3uVRQmLvVd9PAK&#10;1d4LL0eeHA6HhzclCSIiIuvnXnJzmi0afNnNGQAAAAAAAGAv4glqG3pK12y9vjL0lFjfpb6Xa71C&#10;daOvR/VUOBERuWqaFsRt7X3yAAAAAAAAAJeK11V+8lM/mM6V9iyKqX7u559P/9tt4ve+8c0vpfui&#10;V1FAtuR3tOYrVOMpfRsqvHx8OBzu35QhiIiIXDnHG9PT0Y1qth4eFQsAAAAAAADQ0pZfjxpzuOXJ&#10;ZvG/s39zmyjIiu0f75OeLV0Ut/SDYjZWeFmeCiciItJPjjeoJ6Mb1mzRGMpu2AAAAAAAAABbs+VC&#10;uFjn8dPMYnuyf3vOVh+MMqcA8FJRsNb6FarxNL443rLP69Sjg9ejiohIjznepJoVxEWjKrtxAwAA&#10;AAAAAGzJll+PGoVwp57qFq/hzH7vnKWfiraUV159Md2eVmJ/Zp87xQYLL58cDocHNxUHIiIiHeZ4&#10;s3o8unlVyW7gAAAAAAAAAFsQT/2K4q9sLrR3w9ej3mbu9o2fOLcVSz91LZaffe4loqAu3sSWLbdD&#10;5fWongonIiJ953jTenN0E6ty6i8NAAAAAAAAAHq15dejxpPspjypLLZ1bhFWiyeiXcOXv/JSuj2t&#10;xHcwZa58g08gfHw4HO7fVBmIiIj0n68mN7PZWr8nHQAAAAAAAGBJb7z18pae0vWuc69HvU0UZGXL&#10;vMRW54Tje862p5X4Ps7tm/jvS7/GtbF4KtxrN6UFIiIi28nD5KY2WzScshs7AAAAAAAAQE82+JSu&#10;d8XrUb/xzS+l23Wpua8SvaTwq1c1hYCXyl4tu8EnED49enTwelQREdloPju6sVXZ6iNyAQAAAAAA&#10;gLshirnmFoO1cjgc0p+fE4VwLR9SMrcgMJ6oN+fJdD2I73/pwrTPf+ETzz4r9tEGn0AYr0d98Kya&#10;QEREZKO5l9zgZsuq3QEAAAAAAACurbendB0mFMXFOs99PeptYnnZ510iivOyZW5BPF1v6acD/siP&#10;fs/bP/bj35v+t07F61FfjxqCKCQQERHZdJIb3Wxf/spLaYMCAAAAAAAA4Bp6K4SbItb5lVdfbF4I&#10;NxRvAcs++xLlSWhbFPt0q6/MXUA8Fe7+TQWBiIjIDnK8uX1rdLObLRpjWWMCAAAAAAAAYE1R8BRP&#10;VdvY6yrfFU9gi9d7ZtvWWhS2ZetwiXglaLbMrajZ9h341uFweHhTOSAiIrKjHG9yj0c3vdm2/BcA&#10;AAAAAAAAwD78d//0t1Z9+tdhwutPzymvR822aylRPFhTOBhPmcuWuxXxBMFsu1pqeYw0EK9H/eqR&#10;16OKiMg+c7zZvTm6+c0WjaSsAQEAAAAAAACwtLUL4Vr6zu/64LNCuCVfj3qb2HfZel1qrafZLeXL&#10;X3kp3a4ditejPripFhAREdlpjje8ZgVx8dcKWeMBAAAAAAAAYAnl1ag/8qPf+775y0NfT+U669pP&#10;Wqt5UlrMFW+9KK62KLBz8VS41488FU5ERO5EHiY3w9mu9RcLAAAAAAAAwN3yD/7r33j7ox/9cDpv&#10;uVXXLiqrecJevFFs6/PFsf+juC/bvg2Lp8LdvykPEBERuRtpWhC39ap/AAAAAAAAoG9RdPWLn/7T&#10;6Xzl1kUx1je++aV0u9cQ+7amICwK6rLlbkns/62+enfkSdQD3JQFiIiI3K3cS26Ms8VjZLNGAwAA&#10;AAAAAECNKNaK13p+5Ls/lM5V7kU8aS3b/rXUvjr005+5ny53S+JY+6mf/oF0+zbA61FFRESSG+Rs&#10;8X7+rMEAAAAAAAAAMEcUJ73x1svPCsViTvJwOLxvnnJvrl1UFoWH2Xpd6vNf+ES63K342qMvvnu8&#10;bYzXo4qIiESON8VvjW6Ss335Ky+lDQYAAAAAAACAqeJpZTt5feVkr7z6YrpP1hJFedl6XSqK6rLl&#10;9mzDx5vXo4qIiAxzvDk+Ht0sZ9t6pT8AAAAAAABwfVsvhPvuj344/flU8WS8bP+sIZ7M97F735mu&#10;16Wuuf5TxPEWc93ZNnTO61FFRESyHG+Sb45umrNFgyhrQAAAAAAAAACcE4VJtU8mu6aYL/293//c&#10;s2KyeLtW9m+min2S7as1xGdn6zRFvH40W3YP4nuKJ9nVFv5dydcPXo8qIiJyMl9Nbp6zZQ0JAAAA&#10;AAAAgFO2/kS4EIV83/jml96zXS22KYq1/uiPf+c9y11TFIxl6zXFNYv6MhsvhHt8OBwe3Ez1i4iI&#10;yKk8TG6is12zMQYAAAAAAABsx14K4U7NkUaBXPY7Uz3/wr10+WupfWrftYv6iiiEi9e4xv7M1rNz&#10;Xo8qIiIyIQ+Sm+ls8QjgrHEBAAAAAAAAEEVJeyiEG74eNdvOIl4Zmv3+VFGUli1/DbGNtU9Ti98/&#10;t6+WtOFj7unRo4NCOBERkUm5N7qhVol34WcNDAAAAAAAAODuumuFcEOf/8In0mVNdc2Hk8R3l63T&#10;FPHdr10UF+td+4S7K/J6VBERkbk53kijqjy7wU4WjbmsoQEAAAAAAADcPVEAFU9J23ohXIjCqngN&#10;aradt4l9UPuEtSL2ZfYZa/jdv/Hz6TpNsVZRXHxPsb6t9vvKvB5VRESkNscb6pPRDXa2aFBkDQ4A&#10;KKKje5vopN7mj/74dy4Sf/V1mxg0OCX793Nl63aJbNvH+yrbvwAAAAAAPYgxzHi71PMv3EvnFbck&#10;CuFi3DbbzkvFeHG27KliPrZ2XWq0eNrakkVxsdwNF8KF/+GgEE5ERKQ+x5vqo9FNtooJeoDriWtw&#10;iOKpUlg1LM4aFn298dbLz8Qj1odigCJEh7F45dUXn4kngRbR6S2i81rE4EaIzuZQds9gGeN9X76T&#10;oeF3FobfZzH8votyLAwNj5VQjqGh8XFWjr+h4fEZhsduUY7rcKpYMDs3AAAAAIB1xDhejBPuYVw4&#10;xlJjPDPbzjlijDX7nKlivbLlryHGYFt8tzEu3XI8N5YV39XGj7t//M4UvoiIiDTIV5Ob7WzRyM0a&#10;IQB3WSnUGReqlcKfUhBUioWigKgUF0XBUXSSS5FSKWAqhU2l6Cm7JsNdV86PUM6ZUM6jcKoAMCv6&#10;O1Xod6qwrxTyFYr5AAAAANijGNuK8a8Yb8vG6bYmxhNj3K/1mF0sL8Yns8+cKsY0s89YQ3zX2TpN&#10;FcdLi328g2Pv38ac/c3UvYiIiLTKw+SmO1s0DrOGCMAWRMcrDAvXhkVrpfglK1YrxTWl4KYU4WTX&#10;SoBzyjUklOtKKNeaUsg3p5ivXMuyQr5SvFfcVsSXXUcBAAAAuDtijCjGmzZejPQev/wrP7ro2FeM&#10;uWWfO8c152VjzDFbp6ni2Jm7v2NfbvzY+7dH//3hcLh/M20vIiIiLfPZ0Y33mePP3/ezS8QkbNYg&#10;AVhCKcooBWzR+ZlTwKZ4DaDOpQV85wr3guI9AAAAgL7FuEuM4+x1XD3GmLLtbiX2Xfa5c8S4WPYZ&#10;a2hVjBbjiFPG8OL7abkP1xLz7+/Mwf/r4//9y0f3jkRERGSh3BvfjGtEwzdrmAAMlQKFUrxwWxHb&#10;qQK27BoEAOeMC/dOFe2NC/bGhXrjIr3bivMU5QEAAABbF+MbMe4R4yd7H6OP7Vt6PKdVMVmsa4w/&#10;ZZ+xtPjcbJ3muKQoLv57jNNt+Ph7cjgcHt5M0YuIiMjiOd58vzW6Gc92XJwJP9ixOL9DdHJioj86&#10;v6cK2aKAoBQXDAvZ9t5RBoBzyv1w6aK8UpAXtNEBAACAOWKMIcYiYgwjG+fYqxibyfZHK62LybLP&#10;WEOMSWXrNEdsRzaGFT+LY3DD80tPD4fD60eeCCciIrJmjjfhR6ObcpUf+dHvedaIGzdWgOsZFrGF&#10;6KDcVsgWHb1SyDYsZsvOeQBge9YqyhsW5kV7RGEeAAAALK/MCWT/7RLx+9HXj7GCbFzhroixjmz/&#10;tNKymGzpAr7bxGdn6zTHuCguxpjiZ9m/3YjHh8Ph/s2svIiIiKydP0puzlVici0mv4aNIWCa0mFV&#10;xAYA7NWwKC8MC/NKUV4YFuUpzAMAAID3iv5v9JezuYH4/6NvHX3o24rkoq8cfer4t1ueWzgcDunP&#10;54j9UFNYeInY39lnzxHjItlnLC2OnTj2snWaI47ZR//olabLvAKvRxUREbly7h1vyP/b6AbdRDQS&#10;FcWxd2VC9VThWsiK10J5AkuZ+C2d1C13NAEAtijaX9EWK6JtVtpqpSgvnCrMu60oLyvIy9qVAAAA&#10;MEX0L6NPOrVoKPq1Zf4u+qnRp41lmJvIxdjAeN+3FN9jjEVknz1HjEVkn7O0OJay9bmDvB5VRESk&#10;kzxMbtTNRAPOhA9ri2OuGBaqhegInCpYi47jsGgtJj0VrQEAsKRhMV5pc95WiFeK8MaFeKWNOyzE&#10;K0V4Qb8MAABgP6LPV1tE9T3f813pz3m/6H9n30Mr0Y/PPneOGGeIcYDsc5YW4xLZOt0hXz94PaqI&#10;iEgfiRvz6Ebd3NJ/OUG/hkVpYViUdmlh2rA47VSBmiI1AACY5lwhXinCGxfilTb7sBCvtO/DsBBP&#10;ER4AAEB70e8yH3Ja7Jvot/7cz7+Q/ve5Yr9n30cr0f/OPneO6ONnn7GGGFPI1mnnHh8Oh8/ezL6L&#10;iIhIFzneoL81umEvIiZJskYR6xgWppWitHBbUVoYFqaVybCsKC0Mi9J0xAAAgLHoJ1xShDcswCtF&#10;eArwAAAAbuZ7oi+V9bnuuuhzRh+y9A2jn5j9u7miLzv+PlqK9Y7PyD57juhnZ5+ztDt2jHo9qoiI&#10;SKd5kNy4FxGN0KxRdFdFYzCUiZtLCtQuLU4rE0wK0wAAgLtsXIBX+k4K8AAAgC2IPkf0Qcq8UfRV&#10;fvHTfzrt/7RwOBzSn/cu+n7Rr4t+2ngfRp8v+5254nPGn9FSbEP2uXNFvzb7nKW13o4OPT16dDxn&#10;FMKJiIh0ms+Obt6LioZ61ijailLAVorXhoVrpWhtWLA2LFRToAYAALBvNQV44bYivHEhnmI8AADY&#10;nuE803B+aTivNJxTyvodvFfss9if2f4Osc9jf2a/O1f007LPaiX6idnnznXb/llSHOPZ+uxAvB71&#10;wc1Uu4iIiPSaVQviovGeNYjWNu5whGFB27DTEXQ6AAAA6FX0WcfFeLcV5J0qyisFeYryAADgtOEc&#10;03CeqRS3RfvaXNOyPvCB584Wwg3F95MtZ6415jvjmMk+e45Y32v136Ivmq3TRnk9qoiIyIayakFc&#10;iA5B1iCqNS5y8xc1AAAAsI7oa4fWRXnhtsI8xXkAAHdbaQuWtmFpL4ZoP5Y2ZSgFa0UpXCtKOzXa&#10;raUdW9q1ZX7JHFM/4jvMjolT4nvMljNXHCfZ57QSx3X2uXPF8Zx9ztL+1fG8/L7v+xPpOm1IvB71&#10;zYNCOBERkU3l3uiGvrjoNGQNottEoy86L9FhGXZSSmdEBwQAgGs4tqfTnwNwXeMCvaxIL5RCvaxY&#10;L4wL9oKiPQDgrihtmGLYvgml3VOU9lBpI4XSbiptqeEcT5EVooXSfgulTacojaE47rJjNxPHbLaM&#10;GnGMZ5/VSiw/+9y54vzLPmcJcc2Iz9vB+er1qCIiIltNcmNfXDQ6s4ZRNFyjcRedodLZ0bEBAAAA&#10;9qZM5obWRXvhXOFeKJPXw4nt4aT3eOwGAO664X0ylPtnuacWw/ttuQ8PDe/TYXgPL4b3+GHxWDFs&#10;F4Rhm2HYlgiljVGUtkcxbJeErO0CPYrjOztXT4lzJVvOXHG+xDUg+6xW4pzOPnuuuC5ln9NSfEZc&#10;a7LP35Anh8Ph4c1suoiIiGwycUMf3eAX9yu/+mPPOnTRaYvGanS4sn8HAAAAwPUNJ8mHE+hlYn04&#10;6T6ckB9O1A8n8YeT/MPJ/2FxQCkaGBYVhFJsUIoQQilMyCbkAOjbuQKzcv0/VVA2vI+cKiAr96Jy&#10;fxret8q9rCj3uOG9L7s3An2I60B2bcnEdSbO72w5c8V1JPusVlqvc1zT4jqbfVatuFbHdTT73A15&#10;ejgcXj/yelQREZGt53hjf3N0owcAAACAzRsWM5QCh1CKHoYFEXML+YZFGSEr5BsWdpRij1AKQLIJ&#10;ReDuKteGseH1IwyvLUPD608YFpIV42tXGBaWFcPrXhheE4fXynOFZuX6O7wuZ9dtgKniehLXxOx6&#10;monrXbacGnG9zD6rlbiWZ587V1yjs8+ZK+49cV/IPmtDnh69eVAIJyIisqvcG93wgY07ntfpzwHY&#10;F9d7AIB9KsUiwyK+MCwuGRadhGFBXxgWqoRhEcu4wGVY/DIukBkW0IyLbIYFOONCnaGssKfIJlV5&#10;v2zfTZV9N6cMv9tTxsfD2PDYuc34mBsbHp+3GR/XY8Nz4JTxeVOMz6/x+ReG52cxPodDOb+HsusA&#10;wF0S19E/+MNfT//bJeLanN0/T4lrdLacGnFvzD6rlbhPZZ87V9w7s8+ZItoXsV47uJc9PhwOD2LS&#10;XERERHaW443+W6MbP8AuHS956c9hKxzDAADAXTEuGhrKCo2KcVFSyP7dFNk6TJVtIwBMtZfxwbg3&#10;RtHxsJAsCtuyf3uJKMYeFmvdJoq/s2XUiPZC9lktRZsm++y5puyzoSiEi2LzHbRvohDu4ZGIiIjs&#10;NccbvtemAtDEcLC/GE8kjCcmhn9RPfyL61Z+9XM//vYHP/jt6foWP/fzz7/vL8AvNfxr8tbKX7L/&#10;hc//xNsf/vB3pOv+qT/3Q+/7vWw9h7L9VAy/j8z4+yvG3/NYdmwU2XYBwNix+5r+HAAAgG2IccR4&#10;OlkUVWWFVtnvXCLGH8fLu02MkWbLqRHjstlntdK6kC/GZbPPOSW+n3i6a+zrbHk1sv7+gmMAT4/L&#10;fv3I61FFRETuQLw2FaAjw0KhUkw0LDwqhUk/8qPfm/7+2L/3Mz/87itEyitHyqtJhq8zCcPXnxTD&#10;16aE6PgOZZ3jnsR2Z/tlaOqAyZpiH58rGovvMvvdLbrk+xr6p//8t993jIbhMTw+zsvxPzR8JU8o&#10;50wohYlD54oQzxUaDs/pUM71D39nXvgIAAAAAFsUY5sxHhbjdOfGk2sK1WLMLltm5pIx1zli7DH7&#10;vFZiHDP73Llif2efMxbbFWOY2TI2RCGciIjIXcyxEfBk1CiATToezunPYY5SlBaGRWnReS9FLqX4&#10;pRTFRKe7FNGUwpropJZCnGGRTincKYVl5wYDxuKzsvUei/Wfuuw9ie8r2y9jve6jOJay9R2K7zj7&#10;3S2K8yrbxlOmDHT1Lq4H2Tbe5qMf+/CzY7dcT4aG15tyDRoWARbDQsAwLgLMiv6yQr9xcV8o19Bs&#10;3W/jfs5ShseW4wwAAACWE2NCMbYUY1PZWFgmxrmyZV0qxsSy5WZiXCxbRo0YD8s+q6Wp46fn3Pb9&#10;7KQQLsTrUe8fiYiIyB3Ma0njgM4dv7f3/F+4S0qRxbhQ7Qd/8KPpv8/8wR/++nuK1KKzHB3uIusA&#10;9iQKV7LtykSBS7aMu+DSYpw4FrLfv7ZLCuLCXr7jSwsYi/h+s+VsURyD2TbeZovbX66xWfFe7IPw&#10;c7/wQrq9mWsV7QEAAADwfjEGE2OVc8fYY6wnW+4l4rOzZZ4S/z5bTo0Yl8o+q5XYry2L1LIivhif&#10;a114dyVRCPcgJsJFRETkDufYKPjWqJEAMFspMBgXrJUChegUlgKG6OBGBzlEkVf8ZVYpisiK1cad&#10;s6H4vGx9MllHb0um/AXbFotmWohjJ9sfmV4Lyi4dANr68VxMOYeLuYNrvYljMNu+c/ay/UNTjoM4&#10;z7Nl1Ih9+j/+i99NP2+OKNbOivNiOwtFeQAAMM3BHwkDdCPGNWLMv8U4TYzLzBkjLGLcPFtuJuYd&#10;smXUWmK8aqj1esc8TVlu/O8djFN5PaqIiIi8J54SB3dAdGRCmYCfWqxWW7C2tKkdtdiebDlbEPs6&#10;26ZT4vvKlrNnU56iF8d+toxri/MwW99MnIfZMrZkzmDXXo7tuPZm23fO0gNs15Bt5ylTBjmniP2a&#10;fd4ccW/KPuM25Z4a53Uo99ty/43tDuXeHOJeHfftIq4fcVwVWVFe+J7v/a50vQEAAIA+HTooCo7x&#10;jhhfiPGI1vMCU8Z1x6aOw1z6B8lTxBhn9lktxfhQ9tlz/eYXPzV5fqVDCuFEREQkz7Gh4ClxsKLo&#10;XIRxcdq4QK0UqYVSqPY3/9Yvpsu8Tfx+1nHak6kdttjX2XK2Ykrx0F34/sdim7N9kZk6ULKWKQMy&#10;MfiULWNL5gy67GG7Q1z3s+07Z2/FrlML0Zb6/lsPKvb8PU25Vg79tb/+s+8pyovvIpwqyittmlKQ&#10;F+I+XNpBpV2UfdZcxy5O+nMAAABgvr/+u//+4n+kOWXseyzGI7JlnhLjE9lyasS4SPZZLdUUDu7Q&#10;1w+Hw/1nE94iIiIiSXb9lLjj9qU/5276iZ/8k+8WnoVh8Vkok7dFKUQL0ZEpk76hTARnT04L5eku&#10;5WkvWcdljjmTxnt4gtRt7to+ieMx26ZT9v79j8W5nO2HU7JlXFtcb7J1zcT2ZsvYkmy7ztnDdoe5&#10;g3xx/8mWt1VTC9GWGlxsPaC4xiDoXFOvlcUa597wKXkh2lWlrXXJU/J+5s//cLrumeeee655QR4A&#10;AADs0RpjAtHnzz77UlPGwqeOR11qjfH4mL/KPvsOeXw4HB48m+UWERERuS3HhoOnxN0B5QkcRXky&#10;R4gisaHhUzyikzN0qmCsFI0Vw+KxYQFZKJOZoUxwFsOismFhWSjFZUW2nbeJdc46D1sS30+2bbeJ&#10;/Z8tay/mTGRv+ViIcyjbplP2/v2PTS0wWmOAYqop33Ec/9kytiTbrnP2sN1hbkHc3s7rqde1aHNk&#10;y6k1dT3OWWOgeK457Yki2mDZMnsxdfB8eB8obczS9rytGC/Ow2HbN47L0kaO737Yno79Xdrdc9ot&#10;AJc4+INAAAAWFv3kYR98CdGPzj77EvG72TJPiT58tpwaU9dhrpr9tGFPjv2eeD2qiIiIyMV5mDQq&#10;SMQEVlEmtUIpJAvRCL2kgCwrHCsTbEVMuv3SSz+Srstt/st/8Je6n6xsYepkbnxvPRa/TBHHTrZt&#10;t4ntzpa1F7F92XbfZsv7ZGox6N6//7FsH9wmihyy5VxTTTHH1kw9nou9HNfZtl1ibwVxsT3Zdp4S&#10;bapsObWmnnvn9Hyc1gyaRhs1W2Yvpn6P1z6fxgV4pQgvtiOUfkHpL5wqwAt//mc//vbzz997+zu/&#10;84Pptm7JsY+a/hwAAIDriTmZrG/bUvSPs8++VPSls+Vmok8ec3zZcmqsMXYS6z51jmzDnh5uCuHu&#10;xaS2iIiIyKQcGxOPR42LrsUEYxgXpI0L0UrxWfzbbDlD//Af/+V3J6HKpFQ0KIuswbmGWJ9sfW8T&#10;2xvrny1vT+YUh229iCAmQLPtOmfPx8PcTt+W98nUTnqPRV9LiO802/7b9HhN2FoxR424v2bbdIlr&#10;3ptbmHN/L+JekC1zq6LNlm3nKdHOy5ZTa+q5d4lej9OagrilChJbmXoviHtqtpytiXvBJX2ev/ra&#10;zz47LmM/hdsK8E4V38XxU0Q7LPZh6Z9lnwlcx0FhKQDvcE8AWppScDbX1LGioeibZss8ZYnxoLXm&#10;6KJ/v/O++NOjR8f72P2YyxYRERGZm/ujRsbi/uwnf+DdgrWYaIlJlxATMNEAjYmZkBWoZQ2/28Ry&#10;s3UYin+T/W4Ppha/hJigypa1J3GsZNt+m6mdod7M7Zz1PnldY+6k/pYLSqYWg+75+x+aU2DU43EQ&#10;975sXU9ZqjhoDXFvz7bpElsv9Jz6PQ/FNSBb5lbFMZxt5ylLHfM138kpvR6naw4sry36Ctl632aN&#10;QeolTR0AX6OfEOtU+nDjorswLroLw8K7X/3cj6frDgAAwHWt8Ydlc/r2Q1PHfKeOTV1irTHb6Hfv&#10;tCju8eFweHAzhS0iIiJSmWPj4tGosbGoNSfTLmk8x9MNst/twdTilyImm7Ll7cXcTlFMwGXL24K5&#10;TxTaeiHgbeaeH1veJ3MKI7c+2X+JOcUsPRYLTj3Pt3wsx3GZbdMlei5kv8Scou5ib0WuUwv/lyrm&#10;WaIgrtfjdO69s+j9npKt82223DYMc9oFW9jmbL1v85lfuv+ewrvYxjAsvBsW3cXkRFxPQnniuKfd&#10;AQAAnLfG3FP04bLPvtSUsYvaArxT1thP4Z/8s7+Sfv6lDn09SfTJcX0ePpu4FhEREWmYe0nDY1Fr&#10;ThJe8lrFXif35jbG1/hLnWub8/S8Le+Xmo7Z1id7T6mZ1N9qkdic42DrxUOXiG3Mtv02a/2l3hRz&#10;isS2eizP2dZi6l969mbO8Vr0eNzWmHovX+qPGOYWnd+m1+LF2kHl3u8pU4+prZ9TcZxl23WbLRRT&#10;X9J/G1pqm6LdFeKeFU498W5cfBeyAryf+/kX3n7++Xtvf+QjH3r7Ax94Lt2WvTh4PRsAADtyzfZt&#10;9HeijxT9ivCTn/j+9N+tZY05luiHzZn/Kab+QWXNWN0pS/e9Yx9Fv3Mnf9T19HiOvR5z1UciIiIi&#10;i+SrSSNkMWtOxFzSmO25YGjORFfYaxFUMXe/bLV4JMztBO6tgKKo6aj2PqF/m6nHwZrX22uZcyz0&#10;uF/mFDzGxHy2rN7VFMTF9T9b5lbUFCTt7XqebeNttlQQ1+t3VTvI2/sxGIPe2XqfsvV7ZHwf2Xad&#10;03s/Yc4fPfTexo9z79KJij/1pz729t/7+194dm0aF+GVArwQyxwW4GVFeOOn4IVL1wMAgH04+GOF&#10;q4m2d4h2eGmXRxs92ush2u6lLR/t+xDt/+gHRB8nxgrHfYv479lnrWmNPmX0f7LPvlT8frbcU+K7&#10;yZZTY4kxzDgmYv/PnSvqzNOjN4/XKIVwIiIisnjiKXHfGjREFrdGozlcUmDQ8+Te3Ib/1if4zonj&#10;J9vuc7ZcSBHrnm3TJbZcCHhKTae453P+nD1OEteas096vUZm63qbGCjLltO7mgKkLZ+/oeZaHoNz&#10;2TK3aE5RZAz2ZcuqNWddzun1GlM7oNx7+/Ku3SPnDthP/Wv5tc0pHF6rbznH3H5L7Idsea1FfznO&#10;g1AK8LIivDJBV4rwSiFe3NfCtZ9UAVt12EmRwl62A4B9iL5rUf4wZFiUFqJfFE9x/tjHpv/ByH/y&#10;tz79rK1c2s7lj1lKuzra2FkxWyvXLoZaa2xgbp83TB1Diu8tW06tOC6yz5sjjrWafVJ00m57fFyP&#10;B0ciIiIiq+W1pFGymDUn1C7pICzZQak1t4Oz1iTKNVxS6JiJ4y46N9kyexffZ7ZNl9hq0cxtogOY&#10;besl1rz+tDanmGHLhaCXmFtg1OO1II7NbF1P2WpxWE1B3JbP3xDfWbZdl5g6mNezOcfAUt/93DbF&#10;OdlnXVttQVzouc08p6205TZSzUB4z+3hvbV1aiarei70G5p7Xx9OFsb/LmJ5ZXIxjofiXHHesEAv&#10;7rehPCkvlMnP+E5C3Femtr0AALbuMCqGKW2iorSVStspDNtUpZ1VlPZXUdplQ8N2W2nLDZV2XjFs&#10;A5Z2YYh2YlHajqU9OaevGp893BdTxHpmy1xD7NNsnda0xvbP7WcUU9dxif0a50/2WVPEsR/LyZZ/&#10;Tpzv43P+yqIQ7uGRiIiIyPo5NkZ2+ZS4Sxqy1+zAnDO3IR4d2OgUZsvcg7mTS9HRzZbXuxgAyLbn&#10;ErGvsmVuWQxyZNt6qehQZ8vt3ZztjmtBtqy9iMG2bLvPicGEbHnXFN9Vtq6nbPW7rRnQ2vrxHIPH&#10;2XZdYk/n8pxjYKntr72fnNJjGyzWKVvXKXq+f85pK8UETrasLZg7IB56bg/vqa3T4pyL4zpbdk+i&#10;L52t+znRhsuWt7YpE6F/4k988N3J2djuEL8fhhO90YcPw8nhMmk8nFAuk8xl4jnE8Ryyzwf6dPCE&#10;PNilmnO73M9DuceX+35R2gOljRBKu6G0JYqsmOxv/q1Pp599if/gcz+etovumvhesv1zqWuNLS41&#10;jjFFHNvZurUW50X2+ZeYuo6xX2uPiczcPl0cXzXb35mnx2vq60dejyoiIiJXzcOkobKYtRrNl3QQ&#10;omGZ/W4Pajo40YHOlrkHsW3ZNp+z1nHXWm1Hd4/Fkdl2XioGkbJlbkEMmmXbdJuei35rzR0YiMHD&#10;bHnXFNenbF1P2er1rPYvPON6mC13C+acv8VWv+9MDOpl23ibpba/9v56So9Fty22tcdrZzGnIG7L&#10;51VMnmXbdIne+whT74ehx3tDi3Mu9kXv7fi5BXGhh22bOukVk9LZcpYUx9Lf/NIvputzznd+53c8&#10;u3aXifRQJtfLpHuINnUok/OhTNiXifwQx+Scc/SuOiiU2g3fJfSp3JdCuVeV+1e5n5V7XCj3vVOF&#10;Zn/jb/7C2x//+MfSz8r83d/71Wf36SK7jy8l1jdbp0vFdmfL7UG0EWPsqPwhwlL96zhesn1zqTju&#10;rtWerV33FtYYb67tU01dx/g+s+XUiOMk+6xT4tiP61P8Xra8jVEIJyIiIn3l2EB5MmqwLGqtjte5&#10;DkI0LtfutE4RnfdsvS/R+wTKXDUTL1stDqrpBPU8gT1XTcd/ake0J9EhzrbpNjEQmC1rD2JAM9vm&#10;c3oc+JtzTG/xGj+nGGqo5ydUnVM7YJktc4vm3MOXvG5nn1er1/tu7YBqXHOz5fZgbrHtVtvKMZGX&#10;bc8lem8HRbslW+/b9FiEGmr6cUXP512o6Zf1cK3M1us21zp/5hT9Fktf50oRQHxOEdfkEOdmKBPa&#10;IYoHvuu7Ppiu6zmf/qWbwoZS5FCU4odoaxXxXdXe9wB4v3J9Ldfbcg0OcU2O63QxLkArRWjRBiii&#10;LRHKfaLcO8q9JJT7S7nnLDGOH589574R25wtb2mxH7P1mSL2bbbsa4jvNLYpjqNsXUMcUy3H87LP&#10;mCrWN1v20mra4K3E+Z+tW2txncg+/xJxTmfLvE2Lc2ssvq/ss4biHNhRIVyI16M+uJl5FhEREekn&#10;95OGy2LmNEjnuKSA5JJG6bXUdHBi0CFb5tZFByHb3ktca6Ci1m0DAuesda6tKb7HbFsvFQNp2XJ7&#10;FwN02facs9XtPWfucRCDaNnyrmnOOd5rAcBtYp2zbblUTwO2U8VgYbZNl1pi0P8a5gxmLnkfW2Kw&#10;seUgfUu1x+C1BvsvEfe5bJ3PieMxW17vLunf3Kbn68mcbev1nGs1mdJzO25u2zRcuz02t095je+j&#10;Zj/3dn7UnBct7kPxvYf4Hoth0UUpxIh9PhTjMkUp4ohtGYrrVygFINk23Oa555571i4psn8DbNfw&#10;/A6loCzE9W0oxjqKuF9+7GNtrglRkDy8tpVrXlGuheX6WK6ZIbum7kVsX8119xptmvj+snWZIo69&#10;bNlri2NvSl81vqv4nWxZU8S5li1/qmv0KeOYzdZlbWvNqU05PsaijZYt8zatjo0ijtm4pmafFd9l&#10;tB9rrkGdUQgnIiIifefYYHk0asAsak6DdKpLOog9FkcUtZ3yU43travpCG1xn9ROfO7tOKjdH2t1&#10;2FubO+AR+ytb3tbNLYjrZdBvaM5gyxYLOWLQMtuWS7UY9LyW2sGtOP+z5W5NtP2y7TsnW1YLSww6&#10;9tqunHvNLGJfZcvtwdz7Y899gNvUToD1fC2NNlq2zrfp9Xuce1yO9fxHTrXbeM0+ytx1v0b7K/ZT&#10;ti6X6O3aHedrtp6X2kq/du53dq6fGsftUHzO0LC4L8T1fqgUwQzFZw6Vgr/wa//hT6brOcUv/8qf&#10;eU9xTyhFP0X0z8bi2C2y5TLPofL1r+PCzZB9f8X4ux4bHxvFn/rhy19bmfmRH/meZ+Mgp5RC1jA8&#10;5sfnQzlPxufS+Fwbnofj8zQ7l6eKdc62c47Yruwz7rIW+zeOk2zZS4ljK1uPqa59PMQ5M/c6X7vu&#10;tW2SodiO7DOWNKf4vrW4zmfr1lpcd7PPv0QcX1O/n1bn19C4TxefEfed2IfZv9+gJ8c2RrweVURE&#10;RKT73EsaM4uZ0yCd41zHKv57q0GKJdR0cHqeQKlRM1ixxX0SHaRsWy4V+ytb7lbNLagotjoBHmJw&#10;ONum28Q1LlvW1s3ZF6HH/RGTAdm63maL17KaQayw5cH7bHumuMYA6xLmtmmyZbUw59w7p9drbk17&#10;sui5vZyt7zlbvT/WXkujXZkttwdztq3n77HFBEds397OveLax2K2Tudc43irnZTrqQ1Re9+NfmC2&#10;3N5EgUy2/uf01r6Ptne2nlP0tk1xPl3iP/8vPp9uzxQf/diH3/5Xx/NvuNw4H6+hfP5/+Q/+Urqu&#10;U6zRJ6sd8wmxvdmyt6jF/ii2OI6wtLi3Z/tqimu0D7a63kO1x3ZNIWKLe1wR45PZZyxpblujtbWK&#10;QWsKGOfMi8R2ZcuqUe7H0eddYizqSp4ebgrh7j2bXRYRERHZQo6NmDdHjZpFrdERv2QCsOdJ9toO&#10;TjS2s+VuWU2n5Nqd/TlqJz63uM23qe2Ubnl/zB0s2nIh0Sk1gyG9DY7PKe7bYmHnnos4bhPHW7Y9&#10;U0RbIFv21sw9b7NltTC3sPac7LOurcWTD3o+DudOCK01gN9S7TWl5/vH3G2L+0u2vGtrcd6Fnttx&#10;NZM51z4W5143rtGOnLuuoaf2U+3k31b6cXPbvL1tX4vJ4K18Z2OtCiV667+06Jesce1uceztaQyk&#10;xf4otnpOLqVlUdHax1yrgpprniu1/fE4nufOe7S4Hg5d43rfw9PF4jjM1q21mu9r7nEyd/zqlJ/7&#10;hRf2Vgj31SOFcCIiIrLJxFPivjVq4Cxq6YKtSwYOep4YCjUdnK38FfUUtZ3WrQ2Mteik76kwsrao&#10;Jmx1f8w9Fnq/xs1RMzDR28T5nEHALQ5k1w7kb/V+FtebbHumUBCXL69W6wHOosfvq8WTJXouSo1r&#10;YrbO52z1KRlztzf0fv+Y0+/p9dhsNYG91kTTHLXX0WjbZstdw9wJqWu0I2smz3rqB7QoRN9CP66m&#10;v9rT9rXod4ctFibFOmfbMlWP99yaNkSI31/62t3i2NvTk9BajAkO7aVv2UKrcz2sfb63+sOLa7YT&#10;WrQLYhnZsi/RsqAsvv+17+Etj98a0efJ1q+1mr7VnHtCXHt7KDrszNOjrx8Oh/s3U8kiIiIi281r&#10;o4bOopYepLhk4KDHQaqhmOTJ1vsSvW/bXDWd5i0OjNV2wAwGvlfPk/rnzD0WtloEeErNBGxv3//c&#10;bVl6IqK12sKArV7HWhTE9VbEOdfcCf2ljvVWkwhjPX5fLQpzei5KnXtsbbWdXFMcE3q+f8w5L3sq&#10;+BmLYyxb56l6bcfVFttes1Bmbn/yGu3Imr5vT9e5FhPfW+jH1RTz9LR9LfrdYYtt+FYFzaG363eL&#10;83Dpa3eL/tPexkJbtSdCtLWyz7iL4pqb7aO51jzf93CdanE9CnPvna3HA2J7ss9ZSqv7dK3om2br&#10;t4S5x8zce0KrPw7YiceHw+HBzfSxiIiIyA5ybODs6ilxlzSWrzkYf05tB2cLg8ZT1U6+9DYoeU7t&#10;IMHeBgOzbZxiywWCse7ZNp2zt+vA3P0QeivqmFsQt7W/7K4dsO254OE2LV7DEvsuW/bWzC3o3VpB&#10;XI/X2xYTJj2fgzUFYltrE4aae2Do+f4xp43fczu39rsqem3H1V5brtkmn3sPuMa1sPZ+1cs5P7fN&#10;O7SF9mDN5Glv29eiCGeLYxEtiwx6u363aP8uXfTRav9vsY13Su0fQwztbXywRpyf2T6aa812Tcvr&#10;1LXGyFr1x+OYnnO+txirGVt77KZVX6PWWm3NmuN+7rjSUuNGGxKFcA9vZo1FRERE9pWHSeNnMUsP&#10;+l3yCOmYpM1+txc1HZw9DnbUdvy3VhxUWwAY9lJQEWoHA7d8Tsx9JP7ergM118TeJprmbkvPhdyZ&#10;ucdusfZf27bS4i9Kt/ZdnxLXoWz7zpk7cHlOi3trpsfJ+pggyNZ1ijX/8nuqmj8c2FqbMNQOyve8&#10;zXMLrHot8qu99xW9tuNq+2TX3K6594BrrHPt/aqXc77FpO0W+jQ1bb/etq9VEc4WC5NavSatt/ZT&#10;iz+SCEu1z4s4F7LPnWKLbbxTWhdk7KlYsEYcI9n+mWvta3jtH08X17r3tOyPRxsj+4xzWl3ri7X3&#10;ZS9PMFtzDGTOeVt7L27VHtqYp4fD4fWje89mi0VERET2mGOj5/GoEbSoJTvjlw7U9zwgUDtotZfJ&#10;9KGaTmvvBZBjLQYt5w4O9KjFoM9WBwBrJh73NOhZM6HW26TE3MHtrQ3w1xYF9Pa9XarFAOVeJnOy&#10;bbvEUhNurQpVxnosiKstWgm9TdIP1bQLtnhtqW0X9twmnHus9nqdbHHuFXE/yT7j2mqLFq7VPq05&#10;j5a6L51Se873cl9qVdDRe5+mtu3X0/a1+s622JaN8ybbljl6+k5b3ZeWHmNsUXzQY5t8rtb9lr30&#10;L2vFfsj2T40122stC8qirZF9xpJajHUPzbnWti42DWvPwbQu6ptrzT9QmnqPqD2+49jKlrtTCuFE&#10;RETkTuV+0iBazNIDFZd0DnovGLpLBWCXqCmICb0PpA/tfSJ7qhYDFmsPULQ091qwp6LImmOgt3Nh&#10;7rZs7fusHcTf6n2sxeTFHiYsagYQl7pftx6AL3q932brOtXaRSCXqp203lKbMNQWW/ReBDinndPz&#10;pHeLSf3Q632/9g9VrnWPq3lN1trFibXnfC/3pVYFHb23i2q/r576qa2KLbZYmNSy0KS3Y7ZmbLFY&#10;+p7U4o8g9zQG1rLAPuxxjHiOJQri4tqRfdYSWr7y8xrtzNbH9ZxtaL0OIa49a/YvW96vaqx5r4/v&#10;7ZI+VnwXre7BS40fdeTp0ZsHhXAiIiJy13JsBD0aNIoWt+RfklxScND7YEltEdDWJvvOqR1Qj/2Z&#10;LbdXLQYt93IMtOiEbq2YaGjutWBPA8K1Az49FXXM/T63NrFUe83e6vHbYvJ3zUH1pdQM1m+tIC70&#10;dI0p4hzK1nWKNf/qe4ragrjeiyvGaiduer+eRhstW+9zejzvQqtJql6/t9o+6rXaMzXn0drXjNpz&#10;PvTQD2x13+29XRT7OlvvS/W0fa2+sy2241u2E3vrt9W2m8LS3+nctsDYnsZBW7Tlh/a0b+ZqVag9&#10;tPb1rsVYcbjWdbrV+hdzjuvW6xDWHHNu0U5sZe3rSrTJswLqKJaLPkrr8YsW989OPT4cDg9uZoRF&#10;RERE7l7uJQ2kxUQDNmtstnDpYFZPf407VjuwuuUCoMzeJwPHWgwIbq0I8JQWg9Nb+/6Hara/52vc&#10;FLUDlz0VdcydKN/aMVz719dbPWdrtzvsoSCu5mkpSw2q1hTpndNj4ViLp1T1eg/ZakFOjbgmZtty&#10;qV6LG8Pc+2Kvx2fLSapoA2afcU217fJr3t/nToBe475ce873UPjb6r7b+zW79pxfclxsqpbXr60V&#10;37QuMIjlZZ9zDXPvs2NLfqe1bbuih2tfKy2emje0p30zV4uxxcya53urcyVcoy3dcv3DnDZa7fji&#10;KWve91oVEde65txT7O8i++8tPPpHr7z9oQ99e7rtG6UQTkREROSdfDVpLC1mycmZSwaR9/gKoaE1&#10;O2NrqN0fvU6cZVoMWm61oGSs1eB0T4PSU9Rs/xYn/TO1A5c9Df7WnNvZ8nrVojAsW27vWmz3HoqZ&#10;a87Zpdoure4lmR6LVlr8NXOvE2e1baQtto9qCxx7ngSde73o+Y9/Wj15osdtbHEtvVYfde4k7DXa&#10;07XnfA/HTqv77hau2dl6X6qn7WvZVur5vnNKy6cG9TT21KoIaMnvtNU67mX8I7QqZCz2tG/mqn3F&#10;9Slrvlq91bkSrtFWaLn+Yc49dKlxgTXPsdb7scbe5p5CnNMtxlM68uRwOLx2M/UrIiIiIpF4Sty3&#10;Ro2mxSxZkBYdu+wzx3puuNf+5dQWByFvU7s/ep44G2vVud1LxzQGObLtm2JLBZFjl17PxmK/xWBP&#10;tswtqR24nPNXo0uJ63K2jpfY0vlcs53FFo/dFhMXW7pXnVJzD0v/WOL/+M+evu9nM2Sf10KP7a0W&#10;f33f67HY4jyLYzRbdq9qnxLS83Vl7qRUz0UyLc6/0Os21rbLr9Umn3vtuMb3UHsM9XLs1B4rRe9t&#10;4Nrt7Okpnq2KwrZYfNPq2h16uu+2Kv5Y8juNczz7zKl6ufa1sETByx7Ghmq0OhfG1hxvarkN1zhf&#10;lvgO5vTF546xnrNmH7NlEXeNPYxfFXEvirZAq/ZrB54eDofXY7732ayviIiIiLwnryUNqMUs1Vm4&#10;9BHY0dDNfr8HtR3FPQ0GhdoBodgfWxkAajVIsJeiyBavfuupKGqqS69nmS0XAha150NPEzI1hWJr&#10;/uVxrbtaENdiYHWLE4hjNffraz89eI4eB4FbFI31eiy2mCDc2sD9XopjTpk7odNrkUyrdnzocRtr&#10;CzSv1SavuXZky1tSi2t4D+2oFn24sNSYUSt7eopnq6KwLY5F1fS5x3rb/haFE0tuU8v7Zk8FpjVa&#10;7pPiGmND0Y6Je1q0HeJaGcdRHI/Rz1j72rfEPg1r95ni87L1mOMaY0ytC7nmXJtq/+j2lNi27POW&#10;0LKIu1avfbJLxbVBIZyIiIjIHcyx4fRk1JBazFJPibu0o9vbQNVYbUdxD8UwRYvBiy0ViPU+aLmm&#10;Fh39Le+LmmN/D8U1ted+T999zUTLlq5fLQritjiZoSDuRq8FcbVFHKf0+J21KBrr9b655207pUVx&#10;TLbcXsy9dl6rsOoSrSb7og2cLf+aatvl17pm1rQn157oa3Gd6+EPKVrdd3s+10PtdvbUjmhxvym2&#10;NkHeYrxpqKftb1U4seQ2tbpvbqnPfE6rouJizT8IifMprm3R5s7WZWjNoudL1meqtfsVLYt3r/FH&#10;Qi3GTMbmHEOtrjlja83DtL5n1bjGcdRC7MO9FcIdff1wONy/meEVERERkXN5OGpQLWqpzu+lA5M9&#10;F43VdnT3MLE+VDvYvFQB5hJaDRJs/S+1QquB+ejsZsvfgprB0D0cA7UDFL189zXX9N4nA4cUxM0X&#10;97ls2VtSc5wv+b23mgwci8H07POuqUUxRciWfW1xjGTrOtWW7o17KY45ZW47b+0JyClaXW963Mba&#10;4/Ga2zR38nPt86fFda6HopBW50HvYxq17b+ezvNW7YfQ8zjbKbV9zqGeCrNafa9LblOrAto9jYG2&#10;7rusda0pxXDZOpwSx2i2rNZaFxkWa/YrWhZCXeP+0/I+U8wZQ6mdbzllzX26RHHhXFvqW8c5FN//&#10;UkWRV/L4cDg8uJnWFREREZGLc2xIrfaUuKUmEi/t3PQ8+dyio7uHYpiiRWHUVvZHqyKwPfyFbKsB&#10;k54ng8+pKTDawzFQO3DZy3dfcyxvaXC/5ngttni+Koi70WtB3BKD76HHYvto62TrOlWPbaZWk0Bb&#10;uje2+D573t6ac7PXdn3LycretrHFtl2r6H3ufXrt86fFPu6h3diqP9tj4flQi6KVXs7zlteuLf0x&#10;T9GqKCv01Hdr9b3GNTRbfgt7LiSfa4m+yxrXmjnX/rW+t5bn+NDa7YSWhTxr339a3meGpm7HUusR&#10;1rr/LbkNUy15f2gpxhmXKoy9kiiE++zNbK6IiIiIzMmDpJG1mOjoZw3VGlM6Br1NNAzVTrBvacLv&#10;nBadvRhoy5bdm1aDX3v4C9lWnfwtDsoXNfugx2KNqWoHLnu5Dtac11v6HmN/Z9swxV0tiNvDNbvX&#10;grilBox7LGJsta29nocxaZat7xRbmjBt8X32fG2p2b6e+zmtJit73Mbac/Ba2zT3/nSNPkTtPu7h&#10;GteqP9v79XpO8cfYEuNhc7W6dm3xjzxaPpGrt+O29poSltymVteLsMV+5CktvrehNe6/c68hcY/O&#10;ltdS66fuFWsXA7XcjmuMkS9RkDTnO2gxfpOJ83ateabo42XrsLY1t3mOHRbCfetwOLx+dO/ZLK6I&#10;iIiIzM+xcbX5p8Rd2jHoeTKldmBoyUGra6gdoN3K/mg1mb2X7z/btqm2XmhSc+z3PDBxidoBv16+&#10;+5rr+ZbO5binZtswRU8Tg5dSEHej14K4sMSgd6/fWYsJ7TUmpuZoNZi9pXtj3AOybbhU7/eQucfr&#10;Un3IFlpNVvb43dX+ocK1rptz+1drT3SHFk+xufY1rlV/NvR8vW5RyNPTH27F+Zmt41RbHIdoWZQV&#10;empHtbimhDivs+XXinM8+7w5tvyHkGOtzsdi6ULVmuv+Gvfa1ud4sXYBcMvz5RrX6haF5GOxHVOv&#10;Ty3349ha16EWr9lv5Rrt5XNi/ywxBnRFTw8K4URERESaZ9WnxC0xWHTppOxeJ4mKngeQp2oxudTr&#10;BO9Yi8nssIe/kG0x+b3FQfmhmmO/56LfS9QOmPXy3ce5mK3fpZaagGjtrhbEtbg/9TiIOFXN9790&#10;Qdyl7cIp4nvPPuvaWkx89nrvaDWovZX2YGjRDuq5P1Bz/ex1u/ZcDFR7v7tmu2xO/+oaBXwt2hTX&#10;7gO2PAd67s+2KLDoqbi+ZaHC0u261loes6Gndn2r73WpPlrLfd/T+VSrRb96bMkxhZrxjjXaBrXj&#10;Madco13Tarw4rN3ObH2tLeb0XVvux6E1j4mltmGq2OZe+ixxjEVbOtYpW9cNikK4rx4phBMRERFZ&#10;IscG16afEjelk9XzpFjtgPgeJtiLFgPOW9kfLSZCwlp/mbakVvui58mUc2oGjbY+KNzivM+Wu7ba&#10;v97cyqRSi4H7LRWqFC2uUwrilj/GWw8Y91q82eJ47LX90KpNsKXzLdY124Ypei1wDDXFqj1vV6vr&#10;TW/b2KJddq0JsznXjyXGKc5psY97OG72eg4MtZjYv0YxxSktjr2i5+/tlJbtxD1+r0u2DVvu+zgv&#10;s8/YmhbXl7El+9m1BWdLtw2W2J/F2u2aVv2hcI1rdcvzvZhzza3pg5yzVl96yW2Y6trjB3GOx7mx&#10;o0K48PhwODy4makVERERkaWy6lPilphUvHQCqeeCkehYZ+t8qZ4G4lqo7TjH/tjCAFkMSmTrP9Ue&#10;vv9W+2KLg/JDNcf+lgeFWwxc9lBMVlsQt5WCzhbn6xYL4mLwL9uWKfZQEFczILvEeRrXjyLaU3/v&#10;738h/ey5/u7v/eqzbQ5x7J8Tx8kpMXh7Thwjp0RbtvjUn/uhdH2n+MlPfP97Pjtb57Fsm4fKvjol&#10;+gK3ievg3/47v5yu71Qf/diH02OmR7H/s22YIr6fbNk9qLnPR9soW2YPWnxvobd+am3fNMT1IFv2&#10;0uI6kq3Pba7Rl2rR9u3huGn1msY4l7Ll96LFxOvaxRSntDj2it6uXZdodd0uevleQ4vjdMnvtNX1&#10;Imz5DyHHWhcORZ8h+5wW5txjh9Zoq7Y4DzJrt2tq9/XQNdo5ra+1RfQns8+7zRLFeWHN/brUNkx1&#10;jWMpRNslvvte9kMjCuFERERE1syxAfb1UYNsMfE6oKxhWyMaxNlnZXoarBqrbdTP6RT2qkXH+VqT&#10;MFPU/nXlUHQOs8/Yilb7YouD8kM1x/7WrwG1A5c9nPO1E8hbuG6FWM9s/afYyrYOtdjuJScolhT3&#10;mKKm4Oy3fvtnnl3niqzYKybLQrQZi2gjhbhOFNny4VLDY6kox9nQ8DgsyjFalGN3bHh8F8Pjf1ho&#10;+B89/Ol0Paf4zC/df1Z0GuJ+NDQ8h7NzfA2xj7P1vkRsQ7bMa4v9ma3vVLFvrvndjLXYrjjes2Uv&#10;be66X2P/15wTIX4/W+6a4lqWrdtUcc3Mlt+LuNZn6z1FT3212mOv6OEYnGrK+OEleurTtDhOl/xO&#10;W10vQs9/BDBV3C+zbZxrye+wdtxujWt9i/Mgs/YxF+2SVtfqsHZbuvaPRU+J7zf7vNu0vu4PrXUP&#10;WHIbplr7XIjrTvTBs3XZqCeHw+HhzaysiIiIiKyZVZ8S1/rpIFMGvXseNKmdaO99EHmKFn8JN6eT&#10;vLYWk03F1ouhWu2LLQ7KD9Uc+1u/BtQOcPRwfa89jrcysN+iMKynyaNLtbg3xURQtuwp4jgrYmC7&#10;FMDEQGGsY4h7Qoj9HOLYKkU4MekS14sQ98pQCn2iACiuo0W2DXfJsY2c/hz2Znjej4sCQ7lGhHLd&#10;KMr1JJTCv1CuOXH9CbGc7LMv8fp/+tK7173sunhNNds11Ftbvna74ljKlruGOE6zdTol/n22nKXF&#10;+ZOtzxTZctfUom0Urnm8XCKuZdl6T9FTO7/FsVf0WrB8StxHsu2Y61rXj0wcY9k6ThV9imz5tVpd&#10;L0Lv14wpWu6XYqnzsrbIaY3vrcX1OhPt3OzzltSyWPIa4y+t2shjU4/vuO4vtS5rXouW2oap1trm&#10;uBe1bK904OnhcHj96F5MxoqIiIjIFXJslG36KXGXdhJ7HjRpMTC3tcHIU2JfxHeVbeMUW9gfrTq0&#10;cQ5ky9+SVvti6+fB3P3Q8/XtErUDl9cYoByrvY73sA2XaDFof1cL4n75V/7MySK1EMdAKTKJ9lKI&#10;a0Kc3y3uiwDXcuxypj+vUa6NcZ0syrWzXEvjujpUrrfl+lsK9opyjS6FxXHtDzEpU8SEcLQ3w199&#10;7WfTdZuqt7Z8rE+2nlNcq00+dcL+WsWItW3fENuaLXstcT5k6zVHtKOzz+hBizZgXH+yZV9Di2Ov&#10;6K2Y9xKt29S9jD+0GFMMS/XTWq1f0fM1Y4rW+yX0/B0ufb60uF5n4rqRfd6SWm7LEnMx57S81wzN&#10;aTNHGz9bVgtr3Qfjc7LPv4alrjEh2rZLHTtXohBOREREpKNs+ilxUzqJPQ/Y1U48bHEw8pQWkzBL&#10;dtBaadXJu8bgTGut9sUWvvfb1OyHmJTKlrkFtQNUvZwDNRMsMZGfLbM3LQZm4/vOlr2kGMAvBQzR&#10;DgmxLSHunyGuHyHOwxD3ohCTmH/+Zz+ebgvQ3rFvkv4c9urDH/6Od+9B5Z4U96dThXhLFwK0aJdf&#10;s00e+yraVdl6FTE5fM3+c4v21DX3cWhZyNF6jKilFoV/PfXXWxx7xTXa9LVaP3Hm2ufh0Lnr3iWW&#10;LN6s6SuPXfP63VqL721oqe+wxTV/6fOl5X1pbOm211jrbVm6GHFsqe9izv10yeNirWLD2IbW14q5&#10;lmjTxPZF/6PlfeLKnh69eTgc7j+beRURERGRPnJspD0ZNNoW1bpzHo3mSxvMMfiVLaMHtQOTPf3V&#10;ca0Wg7TX+Au4qVoORq89uNFaq7/Ym/PXgj2JyaBsuy6xxQmJosW5EPeCbNlrqhm8WWJQaQktJgWz&#10;YzW+vzAsWIvPimMjDAvW4veHRWtx/ytPA4prf4jBwtinOxpQY2HH5nD6c4Delftd3PtC3AfLfTHu&#10;kaEUeZf7Z9xLQ7m3Dgvx/vbf+eX0c6booW8a7YjYxrLtIf7/aGNcu90Yn5/ttyliW7Jlr6nV5GzP&#10;xS0tvqvQS3+91faELY5BxfUv25a5ehp3imtcto5TLNknjX2VfeYcsa3ZZ2xR62Nyye8w+7wp1vje&#10;lur/R5si+7wltTini6WLETNLFXDNaTNEmylbVgtr3d9ju7PPv4ZW7bZok8Q1cKnz9koeHw6HB88m&#10;XEVERESkuzxMGnCLad1ZmNJJ7LlwqKazGJ2Haw/st7K3QedTWg5G9zyJcIlWxYFLDv6tZe51YIsT&#10;EkWLc+EaA5RjtYP8PV/DY93CP/3nv52u+xTf9yc/8uw4D3HO7mzwCwAmO/bH059v1Qc/+O1v/+rn&#10;fvxZPz1cUogXbbkiitaiLxdKGyRrn2xZbfunh7Z/FF1m6zbVNSbqp2gxqd9DX6VoVZi0xb53q3GH&#10;oV7GnVoVSyy1PS0Lv/Yw7lMscUzGPTT7rFq19601vrdW96Wxa9ynWp3T4RpthtbFnkXck7PPO6fF&#10;vTyzRqFniLbwUtswVe25HNsS175etqcRhXAiIiIiW8ix4fatUUNuMa07C1MGENbqqMxR+xdLWy+K&#10;GorvKdvGKXofWA+tOn89H9eXiM5wtl1zbH3CbO6g0dYHhWvPhR7O99rB1zkD13G8FzF5EcsoYuIt&#10;7o8h7g+xj0Lca8rEdFw7YnA0xPrHBFmI7yPEcVU78A3A8o7dufTnsDelbVLaKtFuiTZMKG2aEG2c&#10;EO2dSwrxou20ZhFebX+3h7Z/q8nu+G6y5feiRYFFD32VotX3Fub0X66tdd+ml+82rlnZ+k21VPFm&#10;y+Ke0EshYgtbOSZbFNNmy22p5fVtKNoV2ectqdU5XSzdrhlrvf5Dc87/KXNHU611PaqdN2pp7hxU&#10;3GNaFeZ3IgrhPvtsclVERERENpHXkkbdYlp3Fi4tpuhh4PiU2s7iNTroS2kxWBYdrGzZPWk1WNPz&#10;cX2pS8/hc5YawF1LzXVgy9teey5cayItvq/iL7780+m6XeqXP/ujz/bDuEhtXKgW53uRLQcA4NoO&#10;OyrSjDbXsAAvDAvwsuK7cKr4LvzWb/9M+llTRPsza5+upabfMtRTsVimRZ+9p7GalkUBvX93mdpi&#10;1LGexp1aFNoudV1pdb0o5hZj9Kj1MbnU9aZFcfDSRbRLFT1d6zxvsc+La5wzrY/tIpabfd45Lffn&#10;0Fr3wtbX0RpTz4lo+8a1KVvWRj059nVefzajKiIiIiLbyrExt9mnxE0ZpOx54KSmsxiDV9kytyg6&#10;eS2KPXr/q9E4FrP1nmPrfyHbaqBki4PyY3OLA69VFNZC7bnwF37tJ54NfsZyQhwHQ7Fv4j5RxPFW&#10;lMnMGBwrymRnKBOgcU0qsnUAAIC1/MWXf+o9xXehtIWHBXjl6cHRXwwtC17m9luGYn2zZfeiRYFF&#10;7Kds2dfQckK9p0K/S8Xxlm1LjV7GYmrG0eL34ljPlttKy3509OOzz9ii1kVcsZ+zz6nVojg47lPZ&#10;sltZqmBoqX16Tsvr1TWu10tcb0N8H3PaMnGtzpZXa83jI9p82TpcwyUFrvE9xbWj5fX/yp4ebgrh&#10;7j2bTBURERGRTWazT4mLgd7sMzJR7JAtowdTtiPT+2DyFC0GW3rfHy0Ha5YeWFpaq079Fgflx+YO&#10;GmXbHsfYUJkIKxNjRZkwi8HYItajKJNsoUy8hVJgFqYUmY0LzT76sQ+n27Qlx3to+nP2wfdL7247&#10;Rh2/AJwSbfFQ2ualrV7a8KVdH0pbv7T/f+HTL6TLnGLpIpxaLfrsa06WXyK+52w9p+ptuy7R4vsc&#10;62ksJrYvztFsPU+J83yNor74nOzz59jisXeb2J5sO+da4vtsMWYXy8iW3VKr69vYGufIWOvr1TW2&#10;YanvY+51d+r18VIxnpp9XmtL3MPmin2ZrWOI9Yx2Yutr2xUphBMRERHZU44NvM0+JW5KJ+sancBL&#10;1XQWW+/Ta4oinWwbp1hjsKVWq8GBLWzrbVp832GpgdHozBdx/SjOFZVdUlhWJpSK3/jNT6bbds5z&#10;zz33bPt3NOAAALD7os69bx/L2ONxU/oy0UcOp4rzYtyjKH2o0rcKpb817IeVvlnpsxWlLzfs45V+&#10;X+kLtuizx3KH/ctriv2VreMcPW3XpVqNwRRxTGafc01x/MY5EOfNeHvjHIufx7kSx372+0toedyF&#10;LR57p8S1LNvGueK7zz6nRlw/s8+aYo1zpfVxVsT2Z5+3tJbXqyWOi3OW+j6ibZB93jlxbWx9Dwhr&#10;zscstU/nGF+Hy71nR+PST4/ePLa57x+JiIiIyI6y2afETekQXKMTeKkYrM3W+RLR4ciWuVXRwc22&#10;81JxTGTL7Umrga8eB2FvUyYZQlwHQrZdc/zVv/azz777MklSJk7KREookytFDIiEMglTZMsHAACA&#10;S33ml+4/66OGS4v3xgV8pXjvXAHfOS0KW4pY3+wzehb7O9uWubYyDjf1OGmt5XEXtnjsndJ63ywx&#10;PhjHTvZZU6xxrrTel0Vcr7PPW1rL61WMhWafsaQWx80pcf/LPvOcpY6Ruesz1ZL7dKphIWC0U2rn&#10;cTrz+HA4PLiZLhURERGRveXescG3yafETekQ9D5gVfPXSnsaFIrOVLaNl2p5fC0lvq9s3acqx3Sc&#10;B8VwkHw4eF4G1GMQoIj1CGVAPpRB+jJwPywyC+cKzbIis2zdAdi2Y/vRE44AeJd7Alxf6YOXfnmI&#10;fvpP/fT3p/9+jp/7hRfeHUsoYwtlvKFoUcTXUnxuti01Yruzz+Lfab3fr1WgtJQ4P7PtnCPO++wz&#10;arT4/pZYr7Elzu+wRJHhJVpvT1x/s89ZUuy7bF1qxbh19nmXiPHrbJk1atZnqhiTz9ZhbXFOx31+&#10;qe/4ShTCiYiIiNyRfDVpDC4iGs4tO2NTGuDRYM+W0YOaIqktFIFNEUVY2XZeovW+iIGIUAZxzxWZ&#10;hXOFZvE0s2zdgcsd71vpz2mvdl/fte/KsQltOacAYJ9ifDCMC/hC+QO8GPMryh/qhRhbKeMsRYy9&#10;lPGYUMZoYtwmlpmtw1x7G4dbSsuiiVhW9hlbVTP2mVmi8KlF0d4aBVmtz++wRjHfKS2LJdcs2ipi&#10;zDxbl1o138kShZNrHiNLFX7O8eHv/I705xsUhXCfPRIRERGRO5JVnxIXA1VZ436OGOTKPiPT84BV&#10;dGzmdniv2Ulfyty/3PrFT//p9xShxQBTEd9/GUgtg6tlsDXE/o99WWTLp0/Ha1j6cwAAAJajL8Zd&#10;9MEPfvu740univSGBXqlMK8YPkGv/CFmNja2dVPGbM/Z29hn6wKX2NfZ59SI4zr7rCnieM+W3VKc&#10;b9ln17rWeRnXjmx95oix7uwzltayqG+opsCy5X4tljjvTmlxPvLMk2Pb9fWYEBURERGRu5dVnxKX&#10;NeznmFJI1vvgydwOfBRzZctrqQzQlQG74VPSTj0ZLbZnbkHaRz/24XRbAQAAAGCPyrhYjJGFGC8r&#10;Y2hZEd6wEK+Mx5XxuXOFeNn4X0vxGdk2ztH7mO4c8Z1m2zpHfP/ZZ9SYO049FMdgtuyWWh5nQ2sU&#10;82Vab09NEdlccf3J1qVWXPeyz7tUXE+z5c4V1+jsc5aw1HF+hzw93BTC3Xs2EyoiIiIidzLxlLis&#10;sbiIGKDJGvdzxOBP9hmZ6JBly+hBdGymdsyicOzv/f0vzCpSu61AbVicln0uAJ6IAQAAwLZlBXhZ&#10;8d2w8K6MNw6L7rKCu/jd7DPnKMvci9h/2XbOEd9V9hk1WhTgtBz/v00cu9nn11hr3TMtt+da27HE&#10;d1JbGBvXqGy5NdYsnGx5Pb1DFMKJiIiIyHuyyafExUBL9hmZ6Dhky2gpBgzCnCK13/jNT7798eeX&#10;eaw4AADANRz7munPAQAu8egfvfJu0d1eiuNaFQ3FmHK2/Fq1fygdY97ZcluL7c8+v8YacwinxHxB&#10;tk5zLFEseYmWBZ9DtQVorYvK1ty/LYpU75CnR28e+6D3n816ioiIiIi8k1WfEhcdo6xxP8elAwjx&#10;RLVzxWqlUC2UQrUQHabo5Hia2rqOx2X6c4Ctc30DAIB90taH9cTYbJjyhLtzT7dbQ6xPtj1TxHh0&#10;bZHQKbEvs8+8VOz3bLmtLVEoFNuefdYaWm5PHB9rHtNFfGargs+h2mNqiWMlrhvZZy2hdUHfTj0+&#10;tsEeHImIiIiIvD/HBuObowbkYr7ruz74bABiXIQ2VgYshkqRWoiOwKf+3A+lnwEAAADQq4PCKYAu&#10;RTHRsNCuFNvdVmgXSqFdOFdoV1t0Fp+bLbeF2K7sMy+15tOzWhdfxXeffc5aWhY+xTGZfcbS4nOz&#10;9anR4ntpvV7xXWWfs4QlCvp2RCGciIiIiFyUVZ8SBwAAAAA9OShUBBZUiu3CD/3Qd7/94Q9/R/rv&#10;TokivT/4w19f9Ol28RS97LMvteZT1qI4MVuHGq335xQtC5/WLNgai+M0W6caLZ7I1rqAssU6XWqJ&#10;Y33jnhzbbA+fzWyKiIiIiFySYyPy0ahRuQnHVU9/DgAAAAAAd8Gw4G78hLvylLvhE+6GT7mLQrjw&#10;6B+98vb3/8B3p8u/RCwzK+hZQhQkZetQI4oNs89aS3xP2XpNdc2n3cU+zNapRounIsbTG7Nlz7Xm&#10;0xA9Je5dTw+Hw+tH92JOU0RERERkSuIpcU9HDUyA1RyvQ5N+DgAAAHAbYwqwjg984Lm3f+zHvzct&#10;xisFeUVWmDd8BW0p0hu+ijYKrYZPxwsf//jH0nWZKz43K0haS8uirTWfYDbWqrCvaFV81nq91iyg&#10;jPMkW4c7QiGciIiIiDTJ60ljcxHHz0p/DgAAAADAttWO/xo/Zm2f+Knvf1/hXjEs4CtKIV9WzFcM&#10;i/qGhX3j4r4QTwJrVeR3zYK41k80a/XEu9brFcWf2ecs4Q4/Je7x8V5w/0hEREREpD7HBua3Rg1O&#10;AIBnjk2F9OewcfGU5HOijXybJxd4fMbXL/Aokf27oeyzMtk6j2XbPpbtv7HsewAAADpy18YA9rK9&#10;H/nIh54Vaw2f1pc9ta8YFgFmxYCXFASOiwJ/7fM/ka7bXH/wh7/+vuLCOX7lV38sXf5cf/vv/PK7&#10;yx4WQg4N90sx3nfFeB8Pv4Of+fM/nK7DTkUh3IMjEREREZGmeS1pfAIAwCWGRU+lQGpYUFWKr4YF&#10;W6Ww683i2Cb96jvitRjFa+94+I7PDsRAaYi/HC7idRqFbCvD725o+P0W5bsfGx4fRTl2xsqxNTY8&#10;/opybL7H8PgdGBYuFsNjPwyLEsPwfAnDYsMwPMdCdh4CAADA1jw59q+jjy4iIiIiskyi0TlqhAIr&#10;OJ5+6f8G9sX5zUJKcUwpminFNFnx2bsFO8fjMYp5hsU+pRCoFAqVQqJhoVEpRBoWKolIPxmem2FY&#10;QBiG53MYFg2Gcv4PDQsFw/sKBAfXlqwAMCv6ywr9susbAADAnXfsd6U/34Gn7/QvjS+JiIiIyOK5&#10;nzRIAQC4TIvitFJ0EoUopUilFK+UopZS7CIistdkRX3jQr5ThXsti/YU6wEAcBXHdmz6c9gBhXAi&#10;IiIisn6ODdGYJMgaqNWOi09/DgBb4V62ScMitbMFasfvWHGaiIicyrhQb1iklxXonSvMywrySjGe&#10;gjwAdul4T0x/DsBpO7p2Pj5uS/SlRERERETWz7FBGoPyWUMVAKCVc4VqpVjgVKFaKToYFqmVQjVF&#10;aiIisscMi/FKQV4p2B4X472nIO+d+2lWiDcswlOAB3fA8ZqQ/jzc9t8AgBvul7NEIVz0X0RERERE&#10;rptj4zQGy7NGKwCwP6U4bVygdkmRWlaoVibnh0VqCtVERES2lWEBXim+K4V3pfju3aK78E4bQeEd&#10;u3E8ri/6GQAAqSfHtlP0G0REREREusrrSeMVAFjOsChtWJg2LEorhWnPitLC8Z49LEobFqYpThMR&#10;EZHec1vhXbRpbiu8K20jhXcAANCPp++04Y09ioiIiEjXicK4GEzOGrUA0LNSYDYsMgul0GxYcJYV&#10;nRXvFp+F473xvz3+3+zzMv/6+O//7tGwKK0UppWiNINDIiIiIsultLdK0d3UwrtSfHeq8E7xHQDA&#10;xh3bf+nPmSQK4aItbaxTRERERDaVGCyOAeIyMPw/Hf0vR//X8f/PGr4A9GFYFFYMi8PCuEAslAm/&#10;YlgsVgyLxsJ7CsdCuW+8ozzBbKhMQBZlYjLEvWdoXFBWlEnOtQdbXjtuY+yH2IfD/R377+vH/x7r&#10;bABIRERE5O4k2n6ljdqq+C6Udnu0NYdtfQAA6MHjY7s22r4iIiIiIrtLGdiNgdwYwI2B22GBAMAl&#10;hkVbQ2UCaKhMDo2VyaOhYRHXUJl0GnpfUVeI61tiXNxVlImuoTIJNjQs9hoqk2dDwwKwoWExWCHX&#10;i/0vIiIiImsk2p2lT1D6DNGXKH2N0g+J/sm7fZh3+jel7xN9omG/KfpTpb8V/bCszwYAwJUc23Pp&#10;z68k2ouPjusU7VARERERkTuZGJwdDsgOB2CHA65Zgxq2ZFjAVZTJhKFh8VYxnIQI48KtUCYtht5T&#10;tBXiHBsZF2uFMjkyVM7ToXGhVlEmXMbKhMzQsFBrSERERERERPpP6cOVPl7p/5X+Yek/DvuXpe/5&#10;bt/0nT7rsD9b+rqlH1z6x8P+c+lbZ31wAACu4Ni2+/tH0S4UEREREZEJGQ+yjgdX3zeoWhwb4uPi&#10;oOFA63jAdTzwmhn/2yVk6zjFeJvfI9tPI2V/njIc0M6U7+Y2ZZB8jjLQPkc5jqYqg/3niIiIiIiI&#10;iMi6if74sA9fxgDKOMJwPKKMXZQxjnfHQ94ZNxmOr5RxmvHYkEI9AICBY1sq2l4iIiIiIiIiIiIi&#10;IiIiIrLzlD+gu61g71TR3m2Fe6eK98YFfIr3AIClPT22UTwwQEREREREREREREREREREusolxXvD&#10;wr3a4r1h4Z7iPQDYrq8f7/siIiIiIiIiIiIiIiIiIiIyI1MK98YFe7cV6516wt64QC8rBACAO+t4&#10;X417r4iIiIiIiIiIiIiIiIiIiGw8p4rzsifqnXuS3vgpetmT8zwxD4DevHm8l4mIiIiIiIiIiIiI&#10;iIiIiIhUZ1yQV4rxsiK8rPhuXHjnSXgATPHkeG+J+5CIiIiIiIiIiIiIiIiIiIjIJqLgDoBMFMPF&#10;vUFERERERERERERERERERERE3sncgrthsV1QbAewnsfHa7JiOBEREREREREREREREREREZEV0/rp&#10;dortgLvu/3nn2ikiIiIiIiIiIiIiIiIiIiIiO0spuCvFduOCu0uK7YYFd4rugF59851rmqfCiYiI&#10;iIiIiIiIiIiIiIiIiMisZE+4m/uUu2HhXRTdKbyDO+54zUh/fvT/Hv3vR//y6L86/ru4/oiIiIiI&#10;iIiIiIiIiIiIiIiIbCJReDcuvrutAO89RXjh224K8cbFeLc9Cc/T8KC9Uuwa4hyLcy7E+VfOyTg/&#10;y/n65jvncJzPcV7H+R7nflwPRERERERERERERERERERERESkIucK84bFeUPDQr1SrDf0buFe8W3f&#10;9m1vDPw3I/905F8k/ueR/7Wx/3sF/98E2e/Xyra7xvg7uUT23Q6Nj4XM+PgZHltvjI698bEZxsfv&#10;8Ngux305F0I5P8r5onhNRERERAY5HP5/8o9Anzr+y+EAAAAASUVORK5CYIJQSwMECgAAAAAAAAAh&#10;AOd+1mD/DwEA/w8BABQAAABkcnMvbWVkaWEvaW1hZ2UyLnN2Zzxzdmcgdmlld0JveD0iMCAwIDYz&#10;MC4zNCAyMTEuMTEiIHhtbG5zPSJodHRwOi8vd3d3LnczLm9yZy8yMDAwL3N2ZyIgeG1sbnM6eGxp&#10;bms9Imh0dHA6Ly93d3cudzMub3JnLzE5OTkveGxpbmsiIGlkPSJMYXllcl8xIiBvdmVyZmxvdz0i&#10;aGlkZGVuIj48ZGVmcz48L2RlZnM+PHBhdGggZD0iTTE4Ni4wMSAxOTYuMjdDMTg2LjAxIDE5Ni4y&#10;NyAxODYuMDEgMTk2LjI3IDE4Ni4wMSAxOTYuMjdMMTg2LjE1IDE5Ni4yN0MxODYuMTUgMTk2LjI3&#10;IDE4Ni40MiAxOTYuMjcgMTg2LjQyIDE5Ni4yN0wxODYuNjEgMTk2LjI3QzE4Ni4wMiAxOTYuMjcg&#10;MTg1LjQzIDE5Ni4yOSAxODQuODUgMTk2LjMgMTg1LjIzIDE5Ni4zIDE4NS42MiAxOTYuMjkgMTg2&#10;IDE5Ni4yOFpNNDYxLjkxIDQuMzZDNDYyLjgyIDQuNCA0NjMuNjQgNC40OCA0NjQuNDIgNC42MSA0&#10;NjUuOSA0Ljg2IDQ2Ny4xNCA1LjEzIDQ2OC4zMyA1LjYxIDQ2OS44OSA2LjI0IDQ3MS4yNyA2Ljg5&#10;IDQ3Mi41NCA3LjYxIDQ3My42NyA4LjI1IDQ3NC43NyA4Ljk1IDQ3NS44NCA5LjYzTDQ3Ni43MyAx&#10;MC4xOUM0NzguMiAxMS4xMSA0NzkuNjcgMTIuMDQgNDgxLjEzIDEyLjk3IDQ4NC4zNyAxNS4wMyA0&#10;ODcuODcgMTcuMjMgNDkxLjUgMTkuMzYgNDkzLjcxIDIwLjY2IDQ5NS45NCAyMS45NCA0OTguMTcg&#10;MjMuMjIgNTAwLjQgMjQuNSA1MDIuNjMgMjUuNzggNTA0Ljg1IDI3LjA4IDUwOC40NCAyOS4xOCA1&#10;MTMuMTggMzEuOTQgNTE4LjA1IDM0LjU2IDUyMi4yMiAzNi44MiA1MjYuMDQgMzguODUgNTI5Ljcy&#10;IDQwLjc1IDUzNC4zNSA0My4xNSA1MzkuMDIgNDUuNjIgNTQzLjUzIDQ4LjAxIDU0Ny42NSA1MC4x&#10;OSA1NTEuNzYgNTIuMzcgNTU1LjkxIDU0LjUzIDU2My41MSA1OC40OCA1NzEuMDkgNjIuNjQgNTc4&#10;LjQyIDY2LjY2TDU4MC4xNSA2Ny42MUM1ODUuNzggNzAuNyA1OTAuMzEgNzMuMjMgNTk0LjQxIDc1&#10;LjU5IDU5NS41MyA3Ni4yMyA1OTYuNjUgNzYuODcgNTk3Ljc3IDc3LjUxIDU5OS44NiA3OC43IDYw&#10;Mi4wMiA3OS45MiA2MDQuMTEgODEuMTYgNjA2LjA4IDgyLjMzIDYwOC40MSA4My43MyA2MTAuNjgg&#10;ODUuMjcgNjEyLjcyIDg2LjY2IDYxNC41MyA4Ny45NCA2MTUuOTMgODkuNTUgNjE4LjUxIDkyLjQ5&#10;IDYyMC4xNSA5NS44MyA2MjEuNzMgOTkuMDdMNjIxLjc5IDk5LjE5QzYyMi4xNSA5OS45MyA2MjIu&#10;NTMgMTAwLjY3IDYyMi45IDEwMS40MSA2MjMuMzcgMTAyLjMzIDYyMy44NCAxMDMuMjYgNjI0LjI4&#10;IDEwNC4xOSA2MjQuNTQgMTA0LjczIDYyNC43OCAxMDUuMzIgNjI1LjA4IDEwNi4wOSA2MjUuMjQg&#10;MTA2LjUxIDYyNS4zMiAxMDYuODUgNjI1LjM1IDEwNy4xNSA2MjUuNDIgMTA3Ljg2IDYyNS40NSAx&#10;MDguNDYgNjI1LjI1IDEwOS4wNyA2MjUuMDQgMTA5Ljc0IDYyNC44MSAxMTAuNCA2MjQuNDEgMTEx&#10;LjA1IDYyNC4xOSAxMTEuNDIgNjIzLjkxIDExMS43NyA2MjMuNjQgMTEyLjExTDYyMy4zOCAxMTIu&#10;NDQgNjIzLjYxIDExMi4xMkM2MjMuMDYgMTEyLjgzIDYyMi40NCAxMTMuNTUgNjIxLjY1IDExNC4y&#10;NCA2MjAuNjEgMTE1LjEzIDYxOS40NSAxMTYgNjE4LjIxIDExNi44MSA2MTUuNTEgMTE4LjU3IDYx&#10;Mi41NyAxMjAuMDUgNjA5Ljc4IDEyMS40MSA2MDguODcgMTIxLjg2IDYwNy45NSAxMjIuMzEgNjA3&#10;LjAzIDEyMi43NSA2MDQuODMgMTIzLjgyIDYwMi41NiAxMjQuOTMgNjAwLjM3IDEyNi4wNiA1OTYu&#10;NjUgMTI3Ljk5IDU5Mi44NiAxMzAuMTggNTg5LjEgMTMyLjU4IDU4NS4zMiAxMzQuOTggNTgxLjYx&#10;IDEzNy41MiA1NzguMDIgMTM5Ljk4TDU3Ni4wOSAxNDEuM0M1NzIuNzYgMTQzLjU4IDU2OS4zMyAx&#10;NDUuODYgNTY2LjAxIDE0OC4wNkw1NjQuNjYgMTQ4Ljk2QzU2Mi45NyAxNTAuMDggNTYxLjMgMTUx&#10;LjIxIDU1OS42MiAxNTIuMzMgNTU3LjQ3IDE1My43NyA1NTUuMzIgMTU1LjIxIDU1My4xNiAxNTYu&#10;NjQgNTQ4LjY0IDE1OS42MyA1NDQuMDEgMTYyLjYxIDUzOS4zOCAxNjUuNTEgNTM0LjUyIDE2OC41&#10;NSA1MjkuNDcgMTcxLjU0IDUyNC41OCAxNzQuNDRMNTIzLjcyIDE3NC45NUM1MjAuNjcgMTc2Ljc2&#10;IDUxNy42IDE3OC42MiA1MTQuNjMgMTgwLjQzIDUxMy4xMiAxODEuMzUgNTExLjYyIDE4Mi4yNiA1&#10;MTAuMSAxODMuMTggNTA2LjI4IDE4NS40OSA1MDIuNDggMTg3LjczIDQ5Ny45NyAxOTAuMzcgNDkz&#10;Ljk0IDE5Mi43MyA0ODkuOTggMTk1LjA0IDQ4NS45NyAxOTcuMjkgNDgzLjQ5IDE5OC42OCA0ODAu&#10;NiAyMDAuMjcgNDc3LjU4IDIwMS42NSA0NzUuNjYgMjAyLjUzIDQ3NC4wNyAyMDMuMjEgNDcyLjU2&#10;IDIwMy43OCA0NzAuOTggMjA0LjM4IDQ2OS4yMSAyMDQuODkgNDY2Ljk5IDIwNS4zOSA0NjMuNTYg&#10;MjA2LjE2IDQ2MC43MiAyMDYuNjcgNDU4LjA0IDIwNy4wMSA0NTUgMjA3LjM5IDQ1MS45NiAyMDcu&#10;NTEgNDQ4LjM0IDIwNy41OCA0NDUuNTEgMjA3LjYzIDQ0Mi42MSAyMDcuNTUgNDQwLjA0IDIwNy40&#10;OSA0MzYuODggMjA3LjQgNDMzLjcxIDIwNy4yOSA0MzAuNTUgMjA3LjE4IDQyOS4xNSAyMDcuMTMg&#10;NDI3Ljc0IDIwNy4wNyA0MjYuMzQgMjA3LjAyIDQyMC42NyAyMDYuNzkgNDE0LjkgMjA2LjUgNDA5&#10;LjMzIDIwNi4yMyA0MDQuMjQgMjA1Ljk4IDM5OC45OCAyMDUuNzIgMzkzLjggMjA1LjVMMzg4LjA1&#10;IDIwNS4yNkMzODMuNTYgMjA1LjA4IDM3OS4wNyAyMDQuODkgMzc0LjU4IDIwNC42OSAzNzEuMzMg&#10;MjA0LjU0IDM2OC4wOCAyMDQuNCAzNjQuODQgMjA0LjI3IDM2MS44NyAyMDQuMTUgMzU4LjkxIDIw&#10;NC4wMyAzNTUuOTQgMjAzLjkzIDM1MC4yNyAyMDMuNzMgMzQ0LjUgMjAzLjU4IDMzOC45MyAyMDMu&#10;NDNMMzM3LjI5IDIwMy4zOUMzMzEuMzggMjAzLjIzIDMyNS4wNyAyMDMuMDcgMzE4LjczIDIwMi45&#10;NiAzMDYuNjQgMjAyLjc0IDI5NC4zMyAyMDIuNzggMjgyLjQzIDIwMi44MkwyNzkuOTMgMjAyLjgy&#10;QzI3Mi44OCAyMDIuODUgMjYzLjU2IDIwMi44NiAyNTQuMDQgMjAyLjcgMjQ1LjU5IDIwMi41NiAy&#10;MzYuODUgMjAyLjQyIDIyOC4xIDIwMi41NyAyMjEuMzkgMjAyLjcxIDIxNC41NyAyMDIuOSAyMDcu&#10;OTcgMjAzLjA5IDIwMy4yMyAyMDMuMjIgMTk4LjQ5IDIwMy4zNiAxOTMuNzQgMjAzLjQ3IDE4Ny4w&#10;MiAyMDMuNjMgMTgwLjMgMjAzLjczIDE3NC42MiAyMDMuOCAxNzIuMDcgMjAzLjgzIDE2OS41MSAy&#10;MDMuODcgMTY2Ljk2IDIwMy45IDE2Mi45NiAyMDMuOTYgMTU4Ljk2IDIwNC4wMSAxNTQuOTcgMjA0&#10;LjA2IDE0Mi45IDIwNC4xOSAxMzAuOTYgMjA0LjIzIDExOS40OCAyMDQuMTYgMTE2LjM4IDIwNC4x&#10;NCAxMTMuMjggMjA0LjEyIDExMC4xNyAyMDQuMSAxMDIuNjcgMjA0LjA0IDk0LjkxIDIwMy45OSA4&#10;Ny4yNyAyMDQuMDIgODMuODUgMjA0LjAzIDgwLjQzIDIwNC4wNyA3Ny4wMiAyMDQuMSA3My4wMiAy&#10;MDQuMTQgNjguODggMjA0LjE4IDY0LjgxIDIwNC4xOUw2MS45NSAyMDQuMTlDNTguMiAyMDQuMTkg&#10;NTQuMzMgMjA0LjE5IDUwLjUyIDIwNC4yNSA0Ni40NiAyMDQuMzUgNDIuMzggMjA0LjY2IDM4LjQy&#10;IDIwNC45NkwzNi40NyAyMDUuMTFDMzUuODcgMjA1LjE1IDM1LjI4IDIwNS4yIDM0LjY4IDIwNS4y&#10;NSAzMi44NCAyMDUuNCAzMC45MyAyMDUuNTUgMjkuMDUgMjA1LjU5TDI4LjU5IDIwNS41OUMyOC4x&#10;IDIwNS42MiAyNy42IDIwNS42NCAyNy4xMSAyMDUuNjEgMjYuODkgMjA1LjYxIDI2LjY2IDIwNS41&#10;OCAyNi40NCAyMDUuNTYgMjUuODEgMjA1LjQ4IDI1LjE5IDIwNS4zNiAyNC41OSAyMDUuMjIgMjQu&#10;MDkgMjA1LjEgMjMuNTcgMjA0Ljg3IDIzLjExIDIwNC42N0wyMi44NCAyMDQuNTVDMjIuMTggMjA0&#10;LjI3IDIxLjY0IDIwMy44OCAyMS4xMSAyMDMuNDlMMjAuODYgMjAzLjMxQzIwLjEzIDIwMi43OSAx&#10;OS42MSAyMDIuMDggMTkuMTYgMjAxLjQ1IDE4LjUzIDIwMC41OCAxOC4xNiAxOTkuNiAxNy44IDE5&#10;OC42NEwxNy42NiAxOTguMjdDMTcuMzcgMTk3LjUgMTcuMTIgMTk2LjcyIDE2LjkyIDE5Ni4wNSAx&#10;Ni4zIDE5NCAxNS43OSAxOTEuOTQgMTUuMzggMTkwLjIgMTQuNzIgMTg3LjQxIDE0LjIgMTg0LjYz&#10;IDEzLjY5IDE4MS43OCAxMy4wOSAxNzguNDggMTIuNTggMTc1LjA1IDEyLjE3IDE3MS41NyAxMS43&#10;IDE2Ny41OSAxMS4yNSAxNjMuNjEgMTAuODIgMTU5LjYzIDEwLjM1IDE1NS4yOCAxMC4wMyAxNTAu&#10;NTcgOS44NSAxNDUuMjUgOS41IDEzNC44MyA5LjM1IDEyNi4zNyA5LjM4IDExOC42MyA5LjQgMTEz&#10;LjkgOS41NSAxMDkuMSA5LjY5IDEwNC40NiA5Ljc2IDEwMi4xNiA5LjgzIDk5Ljg3IDkuODkgOTcu&#10;NTdMOS45MSA5Ni42MkMxMC4xIDg4LjcyIDEwLjMgODAuNTUgMTAuMDQgNzIuNTIgOS40OSA1Ny40&#10;NiA4LjIzIDQyLjc0IDcuMiAzMS42TDYuOTIgMjguNDdDNi42MSAyNS4wNyA2LjMgMjEuNTYgNS45&#10;MSAxOC4xMiA1Ljc1IDE2LjcxIDUuNTYgMTUuMTggNS4zIDEzLjQ2IDUuMTggMTIuNjMgNS4wNSAx&#10;MS44IDQuOTEgMTAuOTdMNC44NCAxMC41NUM0Ljc2IDEwLjA5IDQuNjkgOS42MyA0LjYyIDkuMTcg&#10;NC41OSA4Ljk5IDQuNTggOC44IDQuNTcgOC42MiA0LjI4IDguNTcgMy45NyA4LjUyIDMuNjggOC40&#10;NSAyLjk3IDguMjkgMi4zNSA3LjkxIDIuMDYgNy40NiAxLjgzIDcuMSAxLjgyIDYuNzEgMi4wMyA2&#10;LjM0IDIuNzUgNS4wNyA0Ljk5IDUuMDggNi42MyA1LjA5TDYuOTcgNS4wOUM3LjAzIDUuMDkgNy4w&#10;OCA1LjA5IDcuMTQgNS4wOSA3LjMxIDUuMDIgNy40NyA0Ljk2IDcuNjEgNC45MSA4LjM2IDQuNjgg&#10;OS4xNiA0LjU2IDkuNzUgNC41OSA5Ljg4IDQuNTkgMTAgNC42MSAxMC4xMiA0LjYzTDEwLjQxIDQu&#10;NjhDMTEuMTcgNC44IDExLjYzIDQuODggMTIuMjkgNS4xOUwxMi45MyA1LjIxQzEzLjU3IDUuMjMg&#10;MTQuMjEgNS4yNSAxNC44NSA1LjI2IDIwLjY3IDUuNCAyNi41OSA1LjQxIDMyLjMxIDUuNDMgMzQu&#10;NTQgNS40MyAzNi43NiA1LjQzIDM4Ljk4IDUuNDMgNDMuMDggNS40MyA0Ny4zMiA1LjQzIDUxLjQ5&#10;IDUuNDhMNTIuMDMgNS40OEM1Ny45OSA1LjU0IDY0LjE0IDUuNiA3MC4yIDUuNTcgNzYuMzUgNS41&#10;NCA4Mi40OSA1LjQ5IDg4LjY0IDUuNDUgOTQuNzkgNS40IDEwMC45MyA1LjM2IDEwNy4wOCA1LjMz&#10;IDExMS4yMSA1LjMxIDExNS4zNCA1LjI2IDExOS40NiA1LjIxIDEyMS40NCA1LjE5IDEyMy40MSA1&#10;LjE2IDEyNS4zOSA1LjE0IDEzMC4wNCA1LjA5IDEzNC42OSA1LjA3IDEzOS4zNCA1LjA2TDE0NC4x&#10;OSA1LjA0QzE1Mi44NCA1IDE2MS42MyA0LjkyIDE3MC4xMyA0Ljg1TDE4MC4xNCA0Ljc2QzE4My44&#10;NiA0LjczIDE4Ny41OCA0LjY4IDE5MS4zIDQuNjMgMTk0LjEzIDQuNTkgMTk2Ljk1IDQuNTUgMTk5&#10;Ljc4IDQuNTIgMjA0LjEyIDQuNDcgMjA4LjQ1IDQuNDUgMjEyLjc5IDQuNDQgMjE0Ljg2IDQuNDQg&#10;MjE2LjkzIDQuNDIgMjE5LjAxIDQuNDEgMjIxLjAyIDQuNCAyMjMuMDMgNC4zOCAyMjUuMDQgNC4z&#10;NiAyMjguNDYgNC4zMyAyMzEuODggNC4zIDIzNS4zIDQuMyAyMzcuNjYgNC4zIDI0MC4wMSA0LjMg&#10;MjQyLjM3IDQuMyAyNDUuNTIgNC4zIDI0OC42NiA0LjMxIDI1MS44MSA0LjMgMjU1LjM5IDQuMjgg&#10;MjU5LjM0IDQuMjQgMjY0LjIyIDQuMTcgMjY0LjQ1IDQuMTUgMjY0LjY3IDQuMTUgMjY0Ljg5IDQu&#10;MTZMMjY5Ljk3IDQuMDhDMjc1LjEzIDQgMjgwLjQ3IDMuOTEgMjg1LjcyIDMuODcgMjkxLjU3IDMu&#10;ODIgMjk3LjQxIDMuNzUgMzAzLjI2IDMuNjhMMzAzLjM3IDMuNjhDMzA1LjE3IDMuNjYgMzA2Ljk4&#10;IDMuNjQgMzA4Ljc4IDMuNjIgMzEyLjU1IDMuNTggMzE2LjMyIDMuNTQgMzIwLjA5IDMuNDdMMzE5&#10;Ljc0IDMuNDkgMzIwLjc4IDMuNDZDMzI2LjU1IDMuMzUgMzMyLjUyIDMuMjMgMzM4LjQgMy4xOSAz&#10;NDIuMTIgMy4xNiAzNDUuODUgMy4xNiAzNDkuNTcgMy4xNSAzNTEuOCAzLjE1IDM1NC4wMiAzLjE1&#10;IDM1Ni4yNSAzLjE0IDM2MS40NSAzLjEyIDM2Ni43MyAzLjE1IDM3MS44NCAzLjE5TDM3NS43NSAz&#10;LjIxQzM4MS40MyAzLjI0IDM4Ny4zNCAzLjM2IDM5My44NCAzLjU4IDM5NS45MSAzLjY1IDM5Ny45&#10;OCAzLjczIDQwMC4wNSAzLjgxTDQwNC40NSAzLjk5IDQwNS4yNyA0LjAyQzQwNi45MiA0LjA5IDQw&#10;OC41NSA0LjE2IDQxMC4xOCA0LjIzIDQxNC4wMyA0LjM5IDQxNi45NyA0LjQ5IDQxOS43NCA0LjU3&#10;IDQyNC4yOSA0LjcgNDI4Ljg1IDQuNzUgNDMzLjI5IDQuNzMgNDM0LjY2IDQuNzMgNDM2LjA0IDQu&#10;NzMgNDM3LjQxIDQuNzIgNDQwLjAzIDQuNzIgNDQyLjc0IDQuNzIgNDQ1LjQxIDQuNjcgNDQ1LjQ3&#10;IDQuNjcgNDQ1LjU0IDQuNjcgNDQ1LjYgNC42N0w0NDUuNyA0LjY3QzQ0NS43IDQuNjcgNDQ1Ljcg&#10;NC42NyA0NDUuNyA0LjY3IDQ0Ni4yNiA0LjY2IDQ0Ni44MSA0LjY1IDQ0Ny4zNyA0LjY0TDQ0Ny41&#10;MSA0LjY0QzQ0Ny41MSA0LjY0IDQ0Ny42MyA0LjY0IDQ0Ny42MyA0LjY0TDQ0OC4zNSA0LjY0QzQ0&#10;OC4zNSA0LjY0IDQ0OC4xNSA0LjY0IDQ0OC4xNSA0LjY0IDQ0OS4zOCA0LjYgNDUwLjYyIDQuNTcg&#10;NDUxLjg1IDQuNTQgNDUzLjg0IDQuNDkgNDU1LjgyIDQuNDQgNDU3LjgxIDQuNDFMNDU4Ljc3IDQu&#10;NDFDNDU5LjgyIDQuMzggNDYwLjkgNC4zNiA0NjEuOTYgNC40MVoiIGZpbGw9IiNFM0U4N0IiLz48&#10;cGF0aCBkPSJNNDI5LjggMS4zNkM0MjkuOSAxLjM2IDQzMC4wMSAxLjM2IDQzMC4xMSAxLjM2IDQz&#10;MC4wMSAxLjM2IDQyOS45IDEuMzYgNDI5LjggMS4zNlpNMzkwLjk5IDAuNDRDMzkwLjkzIDAuNDQg&#10;MzkwLjg2IDAuNDQgMzkwLjggMC40NCAzOTAuOTQgMC40NCAzOTEuMDggMC40NCAzOTEuMjEgMC40&#10;NCAzOTEuMTQgMC40NCAzOTEuMDYgMC40NCAzOTAuOTkgMC40NFpNMzg5Ljg3IDAuNDIgMzg5Ljg3&#10;IDAuNDJDMzkwIDAuNDIgMzkwLjEyIDAuNDIgMzkwLjI1IDAuNDIgMzkwLjEzIDAuNDIgMzkwIDAu&#10;NDIgMzg5Ljg4IDAuNDJaTTI2LjkgNC40NEMyNi44NCA0LjQ0IDI2Ljc3IDQuNDQgMjYuNzEgNC40&#10;NCAyNi43NyA0LjQ0IDI2Ljg0IDQuNDQgMjYuOSA0LjQ0Wk00NjYuOTcgMS44MkM0NjguMzEgMi4w&#10;MiA0NjkuMzcgMi43NiA0NjkuNTEgMy43OCA0NjkuNTkgNC4zNSA0NjkuMzYgNC45MyA0NjguODcg&#10;NS4zOCA0NjguMzQgNS44NyA0NjcuNjMgNi4xIDQ2Ni44MSA2LjIxIDQ2NS4zOCA2LjM5IDQ2My45&#10;MiA2LjM0IDQ2Mi40OCA2LjMzIDQ2MC40MyA2LjMxIDQ1OC4zOSA2LjI3IDQ1Ni4zNCA2LjIyIDQ1&#10;Mi4wOSA2LjEzIDQ0Ny44NCA2LjAxIDQ0My41OCA1LjkyIDQzNC4xMyA1LjczIDQyNC42OCA1LjQ1&#10;IDQxNS4yMyA1LjI1IDQxMy4zNyA1LjIxIDQxMS41MiA1LjE3IDQwOS42NiA1LjE0IDQwOS45MSA1&#10;LjE0IDQxMC4xNiA1LjE0IDQxMC40MSA1LjE1IDQwMS41NCA0Ljk4IDM5Mi42NyA0Ljc2IDM4My43&#10;OSA0LjU4IDM4My45NyA0LjU4IDM4NC4xNiA0LjU4IDM4NC4zNCA0LjU5IDM3OS4yNiA0LjUgMzc0&#10;LjE4IDQuNDIgMzY5LjEgNC4zOCAzNjQuMDggNC4zMyAzNTkuMDYgNC4zNCAzNTQuMDQgNC4zNCAz&#10;NDQuMDEgNC4zNCAzMzMuOTggNC4zIDMyMy45NSA0LjMgMzE0LjE2IDQuMyAzMDQuMzcgNC4zIDI5&#10;NC41NyA0LjM3IDI4NC43NCA0LjQzIDI3NC45MSA0LjQ3IDI2NS4wOSA0LjU4IDI0NS4yMyA0Ljc5&#10;IDIyNS4zOCA0Ljk5IDIwNS41MSA0Ljk5IDE5NS43NSA0Ljk5IDE4NS45OSA1IDE3Ni4yMyA1LjAx&#10;IDE2NS44NSA1LjAyIDE1NS40NyA0Ljk5IDE0NS4xIDQuOTYgMTM1LjEzIDQuOTMgMTI1LjE3IDQu&#10;ODkgMTE1LjIgNC44NyAxMDUuMyA0Ljg1IDk1LjM5IDQuODggODUuNDkgNC44NyA3NS4zNSA0Ljg1&#10;IDY1LjIxIDQuODMgNTUuMDcgNC43NiA0NS41MyA0LjY5IDM2IDQuNjQgMjYuNDYgNC40NCAyNS45&#10;IDQuNDMgMjUuMzQgNC40MiAyNC43OCA0LjQxIDI0Ljk5IDQuNDEgMjUuMjEgNC40MSAyNS40MiA0&#10;LjQyIDIwLjk0IDQuMzMgMTYuNDYgNC4yNSAxMS45OCA0LjExIDkuNzMgNC4wNCA3LjQ3IDMuOTYg&#10;NS4yMiAzLjgyIDQuMjQgMy43NiAzLjI0IDMuNjkgMi4yNyAzLjU0IDEuNTQgMy40MyAwLjcyIDMu&#10;MjkgMC4yNSAyLjgyLTAuMDkgMi40OC0wLjExIDEuOTUgMC4yOCAxLjYyIDAuODEgMS4xOCAxLjU5&#10;IDEuMDcgMi4zNiAwLjk5IDMuNDggMC44OCA0LjYzIDAuODcgNS43NiAwLjg1IDcuOTYgMC44IDEw&#10;LjE1IDAuNzggMTIuMzYgMC43NyAxNy4wNyAwLjc0IDIxLjc4IDAuNzggMjYuNDkgMC44MSAzNi4x&#10;MSAwLjg3IDQ1LjczIDAuNzcgNTUuMzUgMC43MyA2NS4zNSAwLjY5IDc1LjM0IDAuNjcgODUuMzQg&#10;MC42OCA5NS4yMyAwLjY4IDEwNS4xMSAwLjYzIDExNS4wMSAwLjYyIDEzNS4zNyAwLjYgMTU1Ljcz&#10;IDAuNzUgMTc2LjEgMC43NCAxOTUuOTEgMC43NCAyMTUuNzIgMC42NiAyMzUuNTMgMC41OCAyNTUu&#10;MjEgMC41MSAyNzQuODkgMC4yIDI5NC41NiAwLjA4IDMxNC40NC0wLjA0IDMzNC4zMSAwLjA0IDM1&#10;NC4xOCAwLjA4IDM2NS45NCAwLjExIDM3Ny42OSAwLjE5IDM4OS40NCAwLjQyIDM4OS41OCAwLjQy&#10;IDM4OS43MiAwLjQyIDM4OS44NiAwLjQyIDM4OS44NiAwLjQyIDM4OS44NSAwLjQyIDM4OS44NCAw&#10;LjQyIDM4OS44NCAwLjQyIDM4OS44NiAwLjQyIDM4OS44NiAwLjQyIDM4OS45NyAwLjQyIDM5MC4w&#10;OCAwLjQyIDM5MC4xOSAwLjQyIDM5MC4zMyAwLjQyIDM5MC40NiAwLjQyIDM5MC41OSAwLjQyIDM5&#10;MC40NyAwLjQyIDM5MC4zNSAwLjQyIDM5MC4yMyAwLjQyIDM5MC40MiAwLjQyIDM5MC42IDAuNDIg&#10;MzkwLjc5IDAuNDMgMzkwLjc1IDAuNDMgMzkwLjcxIDAuNDMgMzkwLjY3IDAuNDMgMzkwLjc3IDAu&#10;NDMgMzkwLjg4IDAuNDMgMzkwLjk4IDAuNDMgMzkxLjEzIDAuNDMgMzkxLjI3IDAuNDMgMzkxLjQy&#10;IDAuNDQgMzkxLjM1IDAuNDQgMzkxLjI4IDAuNDQgMzkxLjIgMC40NCA0MDQuMjQgMC43IDQxNy4y&#10;OCAxLjExIDQzMC4zMiAxLjM3TDQzMC4wOSAxLjM3QzQzMC43NiAxLjM3IDQzMS40MiAxLjM5IDQz&#10;Mi4wOSAxLjQgNDMxLjg0IDEuNCA0MzEuNTkgMS40IDQzMS4zNCAxLjM5IDQzNy44NCAxLjUxIDQ0&#10;NC4zNSAxLjY2IDQ1MC44NiAxLjY1IDQ1My43NyAxLjY1IDQ1Ni42NyAxLjYxIDQ1OS41OCAxLjYg&#10;NDYwLjc0IDEuNiA0NjEuOSAxLjYgNDYzLjA2IDEuNjEgNDYzLjc3IDEuNjEgNDY0LjQ4IDEuNjEg&#10;NDY1LjE5IDEuNjQgNDY1Ljc4IDEuNjYgNDY2LjM2IDEuNzEgNDY2Ljk0IDEuNzlaIiBmaWxsPSIj&#10;MDEwMTAxIi8+PHBhdGggZD0iTTQ2OC4xIDMuMjhDNDY4LjUzIDMuMzkgNDY4LjkyIDMuNTUgNDY5&#10;LjMgMy43MiA0NzAuMzEgNC4xNyA0NzEuMjggNC42NiA0NzIuMjMgNS4xNiA0NzMuODggNi4wMyA0&#10;NzUuNDggNi45NSA0NzcuMDcgNy44OCA0ODAuMjcgOS43NCA0ODMuNDEgMTEuNjggNDg2LjU2IDEz&#10;LjYgNDg5LjcyIDE1LjUzIDQ5Mi44NyAxNy40NiA0OTYuMDUgMTkuMzYgNDk5LjI4IDIxLjI4IDUw&#10;Mi41MiAyMy4xOSA1MDUuNzggMjUuMDkgNTEyLjI0IDI4Ljg1IDUxOC43MyAzMi41OSA1MjUuMjcg&#10;MzYuMjggNTMxLjk1IDQwLjA1IDUzOC41NiA0My45IDU0NS4xMSA0Ny44IDU1MS42MiA1MS42OCA1&#10;NTguMDMgNTUuNjYgNTY0LjUgNTkuNTYgNTcxIDYzLjQ4IDU3Ny41NyA2Ny4zMyA1ODQuMDcgNzEu&#10;MjQgNTkwLjQ1IDc1LjA3IDU5Ni43OCA3OC45NCA2MDMuMTUgODIuNzggNjA1LjcyIDg0LjMzIDYw&#10;OC4yNyA4NS44OCA2MTAuODYgODcuNCA2MTIuMDYgODguMTEgNjEzLjI3IDg4LjggNjE0LjQ0IDg5&#10;LjUyIDYxNS4wNSA4OS44OSA2MTUuNjQgOTAuMjggNjE2LjI1IDkwLjY2IDYxNi41NSA5MC44NSA2&#10;MTYuODQgOTEuMDQgNjE3LjE0IDkxLjIzIDYxNy42NyA5MS41NiA2MTguMTQgOTEuOTUgNjE4LjU4&#10;IDkyLjM1IDYxOS40MiA5My4xMiA2MTkuMjkgOTQuMzQgNjE4LjUgOTUuMDggNjE3LjcyIDk1Ljgz&#10;IDYxNi4xNiA5Ni4yIDYxNC45OCA5NS43NSA2MTQuMzMgOTUuNDkgNjEzLjcyIDk1LjIxIDYxMy4x&#10;NCA5NC44NyA2MTIuNzUgOTQuNjQgNjEyLjM1IDk0LjQxIDYxMS45NiA5NC4xOSA2MTEuMjEgOTMu&#10;NzYgNjEwLjQ4IDkzLjMzIDYwOS43NSA5Mi44OSA2MDguMjQgOTEuOTcgNjA2Ljc2IDkxLjAzIDYw&#10;NS4yNSA5MC4xMSA2MDIuMTQgODguMjIgNTk5IDg2LjM1IDU5NS44OCA4NC40NyA1ODkuNDIgODAu&#10;NTcgNTgyLjkzIDc2LjcxIDU3Ni40MiA3Mi44NiA1NjkuODkgNjguOTkgNTYzLjMyIDY1LjE3IDU1&#10;Ni44NCA2MS4yNiA1NTAuMzQgNTcuMzMgNTQzLjkyIDUzLjMzIDUzNy40IDQ5LjQyIDUzMS4wMiA0&#10;NS41OCA1MjQuNTggNDEuOCA1MTguMSAzOC4wNiA1MTEuNTcgMzQuMyA1MDUuMDEgMzAuNTYgNDk4&#10;LjUyIDI2Ljc2IDQ5Mi4wNiAyMi45NyA0ODUuNjkgMTkuMDggNDc5LjQxIDE1LjEyIDQ3Ni43NSAx&#10;My40NCA0NzQuMTEgMTEuNzUgNDcxLjQ3IDEwLjA1IDQ3MC4yNSA5LjI2IDQ2OS4wMyA4LjQ5IDQ2&#10;Ny44NCA3LjY4IDQ2Ny4xIDcuMTggNDY2LjM1IDYuNjggNDY1LjcyIDYuMSA0NjUuMzMgNS43NSA0&#10;NjUuMDMgNS4zMyA0NjQuOTUgNC44NyA0NjQuOTIgNC43MSA0NjQuOTMgNC41NSA0NjQuOTUgNC40&#10;IDQ2NS4wNCAzLjg1IDQ2NS41NSAzLjQ3IDQ2Ni4xOCAzLjIzIDQ2Ni40NiAzLjEzIDQ2Ni43NiAz&#10;LjEgNDY3LjA2IDMuMTEgNDY3LjQxIDMuMTIgNDY3Ljc2IDMuMiA0NjguMDggMy4yOFoiIGZpbGw9&#10;IiMwMTAxMDEiLz48cGF0aCBkPSJNMTcxLjkgMTg4LjQ5QzE3MiAxODguNDkgMTcyLjA5IDE4OC40&#10;OSAxNzIuMTkgMTg4LjQ5IDE3Mi4wOSAxODguNDkgMTcyIDE4OC40OSAxNzEuOSAxODguNDlaTTE3&#10;MC4yMiAxODguNDZDMTcwLjA3IDE4OC40NiAxNjkuOTIgMTg4LjQ2IDE2OS43OCAxODguNDYgMTY5&#10;LjggMTg4LjQ2IDE2OS44MyAxODguNDYgMTY5Ljg1IDE4OC40NiAxNjkuOTggMTg4LjQ2IDE3MC4x&#10;MiAxODguNDYgMTcwLjI1IDE4OC40NiAxNzAuMjUgMTg4LjQ2IDE3MC4yMyAxODguNDYgMTcwLjIy&#10;IDE4OC40NlpNMTcxLjMzIDE4OC40OEMxNzEuMjQgMTg4LjQ4IDE3MS4xNSAxODguNDggMTcxLjA1&#10;IDE4OC40OCAxNzEuMTQgMTg4LjQ4IDE3MS4yMyAxODguNDggMTcxLjMzIDE4OC40OFpNNjE5LjE2&#10;IDk1LjkyQzYxOS4xNiA5NS45MiA2MTkuMTYgOTUuOTUgNjE5LjE2IDk1Ljk2IDYxOS4xNiA5NS45&#10;NSA2MTkuMTYgOTUuOTQgNjE5LjE2IDk1LjkzIDYxOS4xNiA5NS45MyA2MTkuMTYgOTUuOTMgNjE5&#10;LjE2IDk1LjkyWk02MTcuMzcgOTQuMDhDNjE3Ljg3IDk0LjIzIDYxOC4zMiA5NC40OSA2MTguNjMg&#10;OTQuOCA2MTguODggOTUuMDUgNjE5LjAyIDk1LjMgNjE5LjEgOTUuNTcgNjE5LjQzIDk2LjE5IDYx&#10;OS4zMSA5NyA2MTguOTYgOTcuNTkgNjE4LjYyIDk4LjE2IDYxOC4wMiA5OC41NiA2MTcuMzcgOTgu&#10;OTUgNjE3LjAyIDk5LjE2IDYxNi42NyA5OS4zNyA2MTYuMzEgOTkuNTggNjE1LjU3IDEwMC4wMiA2&#10;MTQuODIgMTAwLjQ1IDYxNC4wNyAxMDAuODkgNjEyLjE0IDEwMi4wMiA2MTAuMjkgMTAzLjIxIDYw&#10;OC40MyAxMDQuMzggNjA1LjUxIDEwNi4yMiA2MDIuNTQgMTA4LjAxIDU5OS41MiAxMDkuNzYgNTk1&#10;LjM2IDExMi4xOCA1OTEuMTggMTE0LjU4IDU4Ny4wNSAxMTcuMDMgNTc4LjU0IDEyMi4wNyA1NzAu&#10;MzggMTI3LjQyIDU2Mi4zOSAxMzIuODkgNTU3Ljk1IDEzNS45NCA1NTMuNTIgMTM4Ljk5IDU0OC45&#10;NyAxNDEuOTUgNTQ0LjQgMTQ0LjkyIDUzOS43NiAxNDcuODUgNTM1LjA4IDE1MC43MyA1MzAuNTkg&#10;MTUzLjUgNTI2LjA4IDE1Ni4yNCA1MjEuNTQgMTU4Ljk3IDUxNy45IDE2MS4xNyA1MTQuMjcgMTYz&#10;LjM4IDUxMC42MiAxNjUuNTcgNTAzLjA0IDE3MC4xIDQ5NS41MSAxNzQuNjkgNDg3LjgxIDE3OS4x&#10;MSA0ODMuNyAxODEuNDggNDc5LjU4IDE4My44NCA0NzUuMjYgMTg2IDQ3Mi45OSAxODcuMTQgNDcw&#10;LjYgMTg4LjE3IDQ2OC4xNyAxODkuMTMgNDY2LjgyIDE4OS42NiA0NjUuNDEgMTkwLjE1IDQ2My45&#10;OCAxOTAuNTYgNDYxLjc5IDE5MS4xNyA0NTkuNDggMTkxLjQzIDQ1Ny4xNiAxOTEuNTYgNDU0LjUz&#10;IDE5MS43MSA0NTEuOSAxOTEuNzcgNDQ5LjI2IDE5MS44NSA0NDQuNTcgMTkyIDQzOS44OCAxOTIu&#10;MDQgNDM1LjE5IDE5Mi4xMiA0MjkuNjggMTkyLjIgNDI0LjE4IDE5Mi4zNCA0MTguNjcgMTkyLjUg&#10;NDA2LjgyIDE5Mi44NCAzOTQuOTggMTkzLjIxIDM4My4xMSAxOTMuMzMgMzcwLjg4IDE5My40NiAz&#10;NTguNjQgMTkzLjU3IDM0Ni40IDE5My40NSAzMzQuMTMgMTkzLjMzIDMyMS44NyAxOTMuMDcgMzA5&#10;LjYxIDE5Mi43NyAyOTcuMjcgMTkyLjQ2IDI4NC45MyAxOTIuMTggMjcyLjYgMTkxLjc5IDI2MC41&#10;NyAxOTEuNDEgMjQ4LjU1IDE5MC45MyAyMzYuNTMgMTkwLjQ1IDIyNS43NiAxOTAuMDIgMjE0Ljk3&#10;IDE4OS43MiAyMDQuMTkgMTg5LjM4IDE5My41MiAxODkuMDQgMTgyLjg2IDE4OC43MyAxNzIuMTkg&#10;MTg4LjUxIDE3Mi4zMyAxODguNTEgMTcyLjQ3IDE4OC41MSAxNzIuNiAxODguNTEgMTcyLjI1IDE4&#10;OC41MSAxNzEuOSAxODguNSAxNzEuNTUgMTg4LjQ5IDE3MS4yOSAxODguNDkgMTcxLjAzIDE4OC40&#10;OSAxNzAuNzcgMTg4LjQ4IDE3MC44NCAxODguNDggMTcwLjkyIDE4OC40OCAxNzAuOTkgMTg4LjQ4&#10;IDE3MC45IDE4OC40OCAxNzAuOCAxODguNDggMTcwLjcxIDE4OC40OCAxNzAuNDggMTg4LjQ4IDE3&#10;MC4yNSAxODguNDggMTcwLjAzIDE4OC40NyAxNzAuMSAxODguNDcgMTcwLjE2IDE4OC40NyAxNzAu&#10;MjMgMTg4LjQ3IDE3MC4yNSAxODguNDcgMTcwLjI2IDE4OC40NyAxNzAuMjggMTg4LjQ3IDE3MC4y&#10;OCAxODguNDcgMTcwLjI3IDE4OC40NyAxNzAuMjYgMTg4LjQ3IDE3MC4yOCAxODguNDcgMTcwLjI5&#10;IDE4OC40NyAxNzAuMzEgMTg4LjQ3IDE3MC4zOCAxODguNDcgMTcwLjQ0IDE4OC40NyAxNzAuNTEg&#10;MTg4LjQ3IDE3MC4yOSAxODguNDcgMTcwLjA4IDE4OC40NyAxNjkuODYgMTg4LjQ2TDE2OS41NCAx&#10;ODguNDZDMTY5LjYyIDE4OC40NiAxNjkuNzEgMTg4LjQ2IDE2OS43OSAxODguNDYgMTU3Ljg2IDE4&#10;OC4yMyAxNDUuOTIgMTg4LjA5IDEzMy45OCAxODguMDMgMTIxLjc3IDE4Ny45NyAxMDkuNTYgMTg4&#10;LjA4IDk3LjM1IDE4OC40NiA4NS4xMSAxODguODUgNzIuODkgMTg5LjU0IDYwLjY1IDE4OS44MSA1&#10;NC43MiAxODkuOTQgNDguNzggMTkwIDQyLjg1IDE5MC4xMyAzNy4xNSAxOTAuMjUgMzEuNDMgMTkw&#10;LjMyIDI1LjczIDE5MC41MSAyMi42MiAxOTAuNjEgMTkuNTEgMTkwLjc4IDE2LjM5IDE5MC45MSAx&#10;NS4zIDE5MC45NiAxNC4yIDE5MC45OSAxMy4xMSAxOTAuOTQgMTEuOTggMTkwLjg4IDEwLjc1IDE5&#10;MC4zMiAxMC45MSAxODkuMzggMTEuMDQgMTg4LjY3IDExLjg4IDE4OC4yNCAxMi42OCAxODcuOTQg&#10;MTMuNDkgMTg3LjY1IDE0LjM0IDE4Ny40NCAxNS4yMSAxODcuMjggMTcuOTEgMTg2Ljc2IDIwLjY5&#10;IDE4Ni40NSAyMy40NiAxODYuMjEgMjkuMTYgMTg1LjcxIDM0Ljg4IDE4NS41MSA0MC42MSAxODUu&#10;MzQgNTIuNDYgMTg1IDY0LjMgMTg0LjYgNzYuMTIgMTgzLjkxIDg4LjYxIDE4My4xOCAxMDEuMDkg&#10;MTgyLjUgMTEzLjYyIDE4Mi4zNCAxMjUuNzYgMTgyLjE4IDEzNy45IDE4Mi4zNCAxNTAuMDQgMTgy&#10;LjU1IDE1Ni4yNSAxODIuNjYgMTYyLjQ1IDE4Mi44IDE2OC42NiAxODIuOTUgMTc0LjY4IDE4My4w&#10;OSAxODAuNyAxODMuMjEgMTg2LjcyIDE4My4zNyAxOTIuOTMgMTgzLjUzIDE5OS4xNSAxODMuNzQg&#10;MjA1LjM2IDE4My45NCAyMTEuMzcgMTg0LjEzIDIxNy4zOCAxODQuMjkgMjIzLjM5IDE4NC40NyAy&#10;MzUuNTQgMTg0LjgzIDI0Ny42OCAxODUuMzMgMjU5LjgyIDE4NS43NCAyNzIuMSAxODYuMTYgMjg0&#10;LjM4IDE4Ni40NyAyOTYuNjcgMTg2Ljc1IDMwNy4wOSAxODYuOTggMzE3LjUxIDE4Ny4yMiAzMjcu&#10;OTIgMTg3LjQzIDMyNy41OCAxODcuNDMgMzI3LjI1IDE4Ny40MiAzMjYuOTEgMTg3LjQxIDMyOCAx&#10;ODcuNDMgMzI5LjEgMTg3LjQ1IDMzMC4xOSAxODcuNDcgMzI5Ljg1IDE4Ny40NyAzMjkuNTEgMTg3&#10;LjQ2IDMyOS4xNyAxODcuNDUgMzM1LjE5IDE4Ny41NyAzNDEuMjIgMTg3LjY3IDM0Ny4yNCAxODcu&#10;NjkgMzUzLjM3IDE4Ny43MSAzNTkuNDkgMTg3LjY3IDM2NS42MSAxODcuNjIgMzc3LjU2IDE4Ny41&#10;MyAzODkuNTEgMTg3LjQ5IDQwMS40NSAxODcuMjYgNDA3LjUxIDE4Ny4xNCA0MTMuNTcgMTg2Ljk1&#10;IDQxOS42MiAxODYuODQgNDI1LjE0IDE4Ni43NCA0MzAuNjYgMTg2LjcgNDM2LjE4IDE4Ni41NyA0&#10;MzguNzggMTg2LjUgNDQxLjM3IDE4Ni40MiA0NDMuOTcgMTg2LjM1IDQ0NS43OSAxODYuMyA0NDcu&#10;NjEgMTg2LjI2IDQ0OS40MyAxODYuMTggNDUxLjk0IDE4Ni4wNyA0NTQuNDUgMTg1Ljg4IDQ1Ni45&#10;NCAxODUuNjQgNDU4LjI3IDE4NS41MSA0NTkuNjMgMTg1LjQxIDQ2MC45NSAxODUuMjIgNDYxLjc0&#10;IDE4NS4wNyA0NjIuNTIgMTg0Ljg4IDQ2My4yOSAxODQuNjcgNDY0LjQ1IDE4NC4zNiA0NjUuNTQg&#10;MTgzLjk1IDQ2Ni42MyAxODMuNTIgNDcxLjAzIDE4MS43MyA0NzUuMDggMTc5LjU3IDQ3OS4wNiAx&#10;NzcuMzIgNDgzLjAzIDE3NS4wOCA0ODYuOTUgMTcyLjc5IDQ5MC44MyAxNzAuNDYgNDk4LjIgMTY2&#10;LjAzIDUwNS41IDE2MS41MiA1MTIuNzUgMTU2Ljk4IDUyMS41NCAxNTEuNDggNTMwLjM0IDE0NS45&#10;OSA1MzkuMDcgMTQwLjQzIDU0OC4zIDEzNC41NSA1NTcuMTYgMTI4LjM4IDU2Ni4yNCAxMjIuMzgg&#10;NTczLjg4IDExNy4zMyA1ODEuOCAxMTIuNTIgNTg5Ljg2IDEwNy44MyA1OTMuNTkgMTA1LjY2IDU5&#10;Ny4zIDEwMy40OCA2MDEuMDcgMTAxLjM2IDYwMy4zMiAxMDAuMDkgNjA1LjYgOTguODUgNjA3Ljgy&#10;IDk3LjU0IDYwOC45MiA5Ni44OSA2MTAgOTYuMjQgNjExLjA5IDk1LjU5IDYxMS41NyA5NS4zMSA2&#10;MTIuMDUgOTUuMDMgNjEyLjUzIDk0Ljc1IDYxMi43NCA5NC42MyA2MTIuOTYgOTQuNSA2MTMuMTcg&#10;OTQuMzggNjEzLjg5IDkzLjk1IDYxNC44NyA5My43NSA2MTUuODIgOTMuNzkgNjE2LjM3IDkzLjgx&#10;IDYxNi45IDkzLjkxIDYxNy4zOCA5NC4xWiIgZmlsbD0iIzAxMDEwMSIvPjxwYXRoIGQ9Ik05LjUy&#10;IDE4NC40OSA5LjU0IDE4NC41NkM5LjU0IDE4NC41NiA5LjU0IDE4NC41NiA5LjU0IDE4NC41NiA5&#10;LjU4IDE4NC43MiA5LjYxIDE4NC44NyA5LjY1IDE4NS4wMyA5LjYxIDE4NC44NSA5LjU3IDE4NC42&#10;OCA5LjUzIDE4NC41Wk0zLjEzIDEuNzFDMy40NiAxLjk3IDMuNjIgMi4yNiAzLjcxIDIuNjEgMy44&#10;MyAzLjA5IDMuOTIgMy41NyAzLjk5IDQuMDYgNC4xNCA0Ljk2IDQuMjUgNS44NiA0LjM3IDYuNzYg&#10;NC42MSA4LjYgNC44NyAxMC40NCA1LjEgMTIuMjkgNS41NyAxNiA1Ljg5IDE5LjcxIDYuMTggMjMu&#10;NDMgNi40OCAyNy4yNyA2Ljg0IDMxLjExIDcuMTQgMzQuOTUgNy40NCAzOC44NiA3LjY0IDQyLjc3&#10;IDcuOCA0Ni42OCA3Ljk1IDUwLjU2IDcuOTkgNTQuNDMgOC4wNyA1OC4zMSA4LjE1IDYyLjI3IDgu&#10;MzIgNjYuMjIgOC41NiA3MC4xNyA4Ljc5IDczLjk5IDkuMDcgNzcuODIgOS4zNSA4MS42NSA5LjYz&#10;IDg1LjYxIDkuODcgODkuNTcgMTAuMDYgOTMuNTQgMTAuMjQgOTcuMzYgMTAuNDEgMTAxLjE3IDEw&#10;LjU0IDEwNC45OSAxMC42NyAxMDguODQgMTAuNzYgMTEyLjY4IDEwLjkxIDExNi41MyAxMS4wNiAx&#10;MjAuNTkgMTEuMjEgMTI0LjY1IDExLjM0IDEyOC43MSAxMS40NyAxMzIuNTkgMTEuNjUgMTM2LjQ4&#10;IDExLjggMTQwLjM2IDEyLjA3IDE0Ny44OSAxMi4wOCAxNTUuNDEgMTIuNDQgMTYyLjkzIDEyLjUz&#10;IDE2NC44MiAxMi42MiAxNjYuNzEgMTIuNzQgMTY4LjYgMTIuODQgMTcwLjM0IDEyLjk5IDE3Mi4w&#10;OCAxMy4xNCAxNzMuODEgMTMuMzcgMTc2LjY2IDEzLjUzIDE3OS41MyAxNC4xIDE4Mi4zNiAxNC4y&#10;MSAxODIuOTEgMTQuMzIgMTgzLjQ2IDE0LjQzIDE4NCAxNC40OSAxODQuMjEgMTQuNTYgMTg0LjQz&#10;IDE0LjU2IDE4NC42NCAxNC41OCAxODQuOTUgMTQuNDggMTg1LjI1IDE0LjI4IDE4NS41NCAxNC4x&#10;NiAxODUuNjcgMTQuMDQgMTg1LjggMTMuOTEgMTg1LjkzIDEzLjYgMTg2LjE4IDEzLjIzIDE4Ni4z&#10;NSAxMi44IDE4Ni40NSAxMi42IDE4Ni41MSAxMi4zOCAxODYuNTMgMTIuMTcgMTg2LjUzIDExLjc0&#10;IDE4Ni41MyAxMS4zMyAxODYuNDcgMTAuOTQgMTg2LjMzIDEwLjMzIDE4Ni4xIDkuOTQgMTg1Ljcx&#10;IDkuNzEgMTg1LjI1IDkuNjIgMTg1LjA4IDkuNiAxODQuODkgOS41NyAxODQuNyA5LjQ4IDE4NC4z&#10;NSA5LjM5IDE4NC4wMSA5LjMzIDE4My42NiA5LjI3IDE4My4yNyA5LjIxIDE4Mi44OSA5LjE2IDE4&#10;Mi41IDkuMDEgMTgxLjMzIDguODYgMTgwLjE1IDguNjkgMTc4Ljk4IDguMiAxNzUuNTggOC4xMiAx&#10;NzIuMTUgNy44MyAxNjguNzQgNy42OCAxNjYuODUgNy41IDE2NC45NiA3LjM3IDE2My4wOCA3LjI1&#10;IDE2MS4yNCA3LjE4IDE1OS40IDcuMTEgMTU3LjU2IDYuOTcgMTUzLjc0IDYuOTkgMTQ5LjkxIDYu&#10;OTQgMTQ2LjA4IDYuODkgMTQyLjI0IDYuNzIgMTM4LjQxIDYuNTcgMTM0LjU3IDYuNDEgMTMwLjY2&#10;IDYuMjkgMTI2Ljc1IDYuMTQgMTIyLjg0IDUuOTggMTE4Ljg5IDUuNzkgMTE0Ljk0IDUuNjcgMTEw&#10;Ljk4IDUuNTUgMTA3LjE0IDUuNDUgMTAzLjMgNS4yNiA5OS40NiA1LjA3IDk1LjUzIDQuODkgOTEu&#10;NjEgNC42IDg3LjY4IDQuMzIgODMuODEgMy45NCA3OS45NSAzLjU5IDc2LjA4IDMuMjMgNzIuMSAy&#10;LjkxIDY4LjExIDIuNyA2NC4xMiAyLjQ4IDYwLjE5IDIuNCA1Ni4yNyAyLjMxIDUyLjM0IDIuMTIg&#10;NDQuNjYgMS43IDM2Ljk4IDEuMjQgMjkuMzEgMS4wMSAyNS41MiAwLjgzIDIxLjcyIDAuNjggMTcu&#10;OTMgMC42MSAxNi4xIDAuNTQgMTQuMjggMC40OSAxMi40NSAwLjQ0IDEwLjYgMC4zOSA4Ljc1IDAu&#10;NDcgNi45IDAuNTEgNS45OSAwLjU2IDUuMDkgMC42NSA0LjE5IDAuNyAzLjczIDAuNzYgMy4yNyAw&#10;Ljg0IDIuODEgMC45MSAyLjQ2IDEuMDQgMi4wOSAxLjM3IDEuODEgMS42MiAxLjYxIDIuMDIgMS40&#10;OSAyLjQxIDEuNTEgMi42OSAxLjUyIDIuOTUgMS42IDMuMTQgMS43NVoiIGZpbGw9IiMwMTAxMDEi&#10;Lz48cGF0aCBkPSJNNTM3LjUzIDE3Mi4yNEM1MzcuNTMgMTcyLjI0IDUzNy41MyAxNzIuMjQgNTM3&#10;LjUzIDE3Mi4yNCA1MzcuNTMgMTcyLjI0IDUzNy41MiAxNzIuMjQgNTM3LjUxIDE3Mi4yNSA1Mzcu&#10;NTEgMTcyLjI1IDUzNy41MSAxNzIuMjUgNTM3LjUxIDE3Mi4yNSA1MzcuNTEgMTcyLjI1IDUzNy41&#10;MyAxNzIuMjQgNTM3LjUzIDE3Mi4yM1pNNTgwLjIzIDEzNi4wMkM1ODAuMTEgMTM2LjA5IDU3OS45&#10;OSAxMzYuMTcgNTc5Ljg3IDEzNi4yNSA1NzkuOTkgMTM2LjE3IDU4MC4xIDEzNi4xIDU4MC4yMyAx&#10;MzYuMDJaTTYyNy41NSAxMTAuNDlDNjI3LjUxIDExMC43OSA2MjcuNDYgMTExLjA5IDYyNy40MiAx&#10;MTEuNCA2MjQuMTYgMTEzLjc4IDYyMC43OSAxMTYuMDkgNjE3LjQgMTE4LjM4IDYxMy45IDEyMC43&#10;NSA2MTAuMzQgMTIzLjA3IDYwNi44MyAxMjUuNDMgNjAzLjIxIDEyNy44NiA1OTkuNTggMTMwLjI5&#10;IDU5NS45NCAxMzIuNzEgNTkwLjA1IDEzNi42MiA1ODQuMTcgMTQwLjUzIDU3OC4xNyAxNDQuMzUg&#10;NTc4LjQgMTQ0LjIgNTc4LjY0IDE0NC4wNSA1NzguODcgMTQzLjkgNTc1LjgzIDE0NS44NCA1NzIu&#10;NzQgMTQ3Ljc1IDU2OS42NyAxNDkuNjggNTY5LjkgMTQ5LjU0IDU3MC4xMiAxNDkuMzkgNTcwLjM0&#10;IDE0OS4yNSA1NzAuMDMgMTQ5LjQ1IDU2OS43MyAxNDkuNjQgNTY5LjQyIDE0OS44NCA1NjkuNDMg&#10;MTQ5Ljg0IDU2OS40NCAxNDkuODMgNTY5LjQ1IDE0OS44MiA1NjIuMDUgMTU0LjU0IDU1NS4zNSAx&#10;NTkuNzggNTQ4LjQ1IDE2NC44OCA1NDUuMTcgMTY3LjMxIDU0MS43IDE2OS41OSA1MzguMTkgMTcx&#10;LjgzIDUzOC4yNiAxNzEuNzkgNTM4LjMyIDE3MS43NSA1MzguMzggMTcxLjcxIDUzOC4yIDE3MS44&#10;MiA1MzguMDEgMTcxLjk0IDUzNy44MyAxNzIuMDYgNTM3LjgzIDE3Mi4wNiA1MzcuODMgMTcyLjA2&#10;IDUzNy44MyAxNzIuMDYgNTM3LjgzIDE3Mi4wNiA1MzcuODIgMTcyLjA2IDUzNy44MSAxNzIuMDcg&#10;NTM3LjgxIDE3Mi4wNyA1MzcuNzkgMTcyLjA4IDUzNy43OCAxNzIuMDkgNTM3Ljc4IDE3Mi4wOSA1&#10;MzcuNzggMTcyLjA5IDUzNy43OCAxNzIuMDkgNTM3Ljc3IDE3Mi4wOSA1MzcuNzYgMTcyLjEgNTM3&#10;Ljc1IDE3Mi4xMSA1MzcuNzMgMTcyLjEzIDUzNy43IDE3Mi4xNCA1MzcuNjggMTcyLjE2IDUzNy42&#10;NiAxNzIuMTggNTM3LjYzIDE3Mi4xOSA1MzcuNjEgMTcyLjIxIDUzNy42MyAxNzIuMiA1MzcuNjUg&#10;MTcyLjE4IDUzNy42OCAxNzIuMTcgNTM3LjY1IDE3Mi4xOSA1MzcuNjEgMTcyLjIxIDUzNy41OCAx&#10;NzIuMjMgNTM3LjU4IDE3Mi4yMyA1MzcuNTkgMTcyLjIzIDUzNy42IDE3Mi4yMiA1MzcuNDUgMTcy&#10;LjMxIDUzNy4zMSAxNzIuNDEgNTM3LjE2IDE3Mi41IDUzNy4yNyAxNzIuNDMgNTM3LjM3IDE3Mi4z&#10;NiA1MzcuNDggMTcyLjI5IDUzNy40OCAxNzIuMjkgNTM3LjQ4IDE3Mi4yOSA1MzcuNDggMTcyLjI5&#10;IDUzNy40OCAxNzIuMjkgNTM3LjQ4IDE3Mi4yOSA1MzcuNDggMTcyLjI5TDUzNy41IDE3Mi4yOUM1&#10;MzcuNSAxNzIuMjkgNTM3LjUgMTcyLjI5IDUzNy41IDE3Mi4yOSA1MzcuNSAxNzIuMjkgNTM3LjUg&#10;MTcyLjI5IDUzNy40OSAxNzIuMjkgNTM3LjQ5IDE3Mi4yOSA1MzcuNDkgMTcyLjI5IDUzNy40OSAx&#10;NzIuMjkgNTM3LjQ5IDE3Mi4yOSA1MzcuNDkgMTcyLjI5IDUzNy40OSAxNzIuMjkgNTI5Ljg4IDE3&#10;Ny4xNiA1MjIuMDkgMTgxLjg2IDUxNC4xNyAxODYuNDYgNTEwLjM0IDE4OC42OCA1MDYuNDYgMTkw&#10;Ljg1IDUwMi41OCAxOTMuMDMgNDk4Ljg0IDE5NS4xNCA0OTUuMDUgMTk3LjIxIDQ5MS4yNCAxOTku&#10;MjYgNDg4LjU5IDIwMC42OSA0ODUuOTIgMjAyLjEgNDgzLjI4IDIwMy41NSA0ODIuMDEgMjA0LjI1&#10;IDQ4MC43NCAyMDQuOTYgNDc5LjQ4IDIwNS42NiA0NzguOTMgMjA1Ljk3IDQ3OC4zNyAyMDYuMjgg&#10;NDc3LjgyIDIwNi41OSA0NzYuOTUgMjA3LjA4IDQ3Ni4xMyAyMDcuNjIgNDc1LjA2IDIwNy44NSA0&#10;NzMuNzQgMjA4LjEzIDQ3Mi4zNiAyMDcuOTggNDcxLjMxIDIwNy4zIDQ3MC4wOSAyMDYuNTEgNDY5&#10;LjU4IDIwNS4wMyA0NzAuNDQgMjAzLjk2IDQ3MC42OCAyMDMuNjYgNDcwLjkgMjAzLjM1IDQ3MS4y&#10;NSAyMDMuMTEgNDcxLjU3IDIwMi45IDQ3MS45IDIwMi42OCA0NzIuMjQgMjAyLjQ4IDQ3Mi40NSAy&#10;MDIuMzYgNDcyLjY2IDIwMi4yNCA0NzIuODYgMjAyLjEzIDQ3My4yMyAyMDEuOTIgNDczLjYgMjAx&#10;LjcxIDQ3My45OCAyMDEuNSA0NzQuODEgMjAxLjA0IDQ3NS42NCAyMDAuNTggNDc2LjQ3IDIwMC4x&#10;MyA0NzguMzEgMTk5LjEyIDQ4MC4xNSAxOTguMTIgNDgxLjk5IDE5Ny4xMSA0ODUuNzkgMTk1LjAz&#10;IDQ4OS42MiAxOTIuOTcgNDkzLjQ4IDE5MC45NCA0OTcuNDIgMTg4Ljg2IDUwMS4yOSAxODYuNzMg&#10;NTA1LjE2IDE4NC41OCA1MDguOTkgMTgyLjQ1IDUxMi44NCAxODAuMzUgNTE2LjY3IDE3OC4yMiA1&#10;MTkuODQgMTc2LjQ2IDUyMi45NCAxNzQuNjQgNTI2LjAyIDE3Mi44IDUyOC44NiAxNzEuMTEgNTMx&#10;LjY5IDE2OS40MSA1MzQuNDYgMTY3LjY3IDUzOC4wMyAxNjUuMzggNTQxLjQ4IDE2Mi45OCA1NDQu&#10;ODYgMTYwLjU0IDU0OC4zNCAxNTguMDMgNTUxLjczIDE1NS40NSA1NTUuMiAxNTIuOTQgNTU4LjE4&#10;IDE1MC43NyA1NjEuMTcgMTQ4LjYxIDU2NC4yMyAxNDYuNSA1NjcuNDMgMTQ0LjI4IDU3MC43IDE0&#10;Mi4xMiA1NzQuMDEgMTQwTDU3NC4wMSAxNDBDNTc0LjAxIDE0MCA1NzQuMDEgMTQwIDU3NC4wMSAx&#10;NDAgNTc0LjA4IDEzOS45NiA1NzQuMTUgMTM5LjkxIDU3NC4yMSAxMzkuODcgNTc0LjIxIDEzOS44&#10;NyA1NzQuMTkgMTM5Ljg4IDU3NC4xOCAxMzkuODkgNTc0LjIyIDEzOS44NiA1NzQuMjcgMTM5Ljgz&#10;IDU3NC4zMSAxMzkuODEgNTc0LjI5IDEzOS44MiA1NzQuMjcgMTM5Ljg0IDU3NC4yNSAxMzkuODUg&#10;NTc0LjMgMTM5LjgxIDU3NC4zNiAxMzkuNzggNTc0LjQxIDEzOS43NCA1NzQuNTUgMTM5LjY1IDU3&#10;NC43IDEzOS41NiA1NzQuODQgMTM5LjQ3IDU3NC44MiAxMzkuNDggNTc0LjggMTM5LjQ5IDU3NC43&#10;OSAxMzkuNSA1NzYuMTYgMTM4LjYzIDU3Ny41NCAxMzcuNzYgNTc4LjkxIDEzNi44OSA1NzguOTQg&#10;MTM2Ljg3IDU3OC45NiAxMzYuODYgNTc4Ljk5IDEzNi44NCA1NzguOTYgMTM2Ljg2IDU3OC45NCAx&#10;MzYuODcgNTc4LjkxIDEzNi44OSA1NzkuMDUgMTM2LjggNTc5LjIgMTM2LjcxIDU3OS4zNCAxMzYu&#10;NjIgNTc5LjQxIDEzNi41OCA1NzkuNDcgMTM2LjUzIDU3OS41NCAxMzYuNDlMNTc5LjUzIDEzNi40&#10;OUM1ODMuMyAxMzQuMDggNTg3IDEzMS42MSA1OTAuNjkgMTI5LjEzIDU5NC4yNyAxMjYuNzMgNTk3&#10;LjggMTI0LjI4IDYwMS4zOCAxMjEuODcgNjA0Ljk4IDExOS40NSA2MDguNjIgMTE3LjA2IDYxMi4z&#10;MSAxMTQuNyA2MTIuNTQgMTE0LjU1IDYxMi43NyAxMTQuNDEgNjEzIDExNC4yNiA2MTcuNTQgMTEx&#10;LjM2IDYyMi4zMSAxMDguNjYgNjI2Ljg4IDEwNS43OCA2MjYuOTIgMTA1Ljc2IDYyNi45NSAxMDUu&#10;NzMgNjI2Ljk5IDEwNS43MSA2MjYuOTkgMTA1LjcxIDYyNi45OCAxMDUuNzEgNjI2Ljk3IDEwNS43&#10;MiA2MjYuOTcgMTA1LjcyIDYyNi45OCAxMDUuNzIgNjI2Ljk5IDEwNS43MSA2MjcuMzUgMTA1LjQ4&#10;IDYyNy43IDEwNS4yNSA2MjguMDYgMTA1LjAyIDYyNy45MiAxMDYuODUgNjI3LjggMTA4LjY5IDYy&#10;Ny41NSAxMTAuNTFaIiBmaWxsPSIjMDEwMTAxIi8+PHBhdGggZD0iTTQ3NC4xOCAyMDUuNDVDNDc0&#10;Ljk4IDIwNS45NSA0NzUuNDggMjA2LjY3IDQ3NS41NyAyMDcuNDMgNDc1LjY3IDIwOC4yMiA0NzUu&#10;MzIgMjA5LjAyIDQ3NC42MSAyMDkuNjIgNDc0LjM1IDIwOS43OSA0NzQuMSAyMDkuOTYgNDczLjg0&#10;IDIxMC4xMyA0NzMuMjUgMjEwLjQzIDQ3Mi42IDIxMC42IDQ3MS45IDIxMC42NCA0NzEuMzcgMjEw&#10;LjcyIDQ3MC44IDIxMC43MiA0NzAuMjYgMjEwLjc0IDQ2OS42NSAyMTAuNzcgNDY5LjAzIDIxMC43&#10;OSA0NjguNDIgMjEwLjgyIDQ2NyAyMTAuODcgNDY1LjU4IDIxMC45IDQ2NC4xNiAyMTAuOTMgNDYw&#10;LjIzIDIxMS4wMiA0NTYuMyAyMTEuMDQgNDUyLjM3IDIxMS4wNiA0NDMuODUgMjExLjA5IDQzNS4z&#10;MyAyMTEuMTMgNDI2LjggMjExLjA3IDQxMy4yMyAyMTAuOTggMzk5LjY5IDIxMC4zOSAzODYuMTUg&#10;MjA5Ljc5IDM4MS4zNCAyMDkuNTggMzc2LjUzIDIwOS4zNyAzNzEuNzIgMjA5LjE4IDM2OS45OCAy&#10;MDkuMTEgMzY4LjI1IDIwOS4wNSAzNjYuNTEgMjA4Ljk5IDM0OC42NCAyMDguNCAzMzAuNzUgMjA4&#10;LjE3IDMxMi44OCAyMDcuNjEgMzAwLjA0IDIwNy4yMSAyODcuMjEgMjA2LjYgMjc0LjM4IDIwNi4x&#10;NSAyNzQuNzcgMjA2LjE2IDI3NS4xNiAyMDYuMTggMjc1LjU1IDIwNi4xOSAyNjYuMTMgMjA1Ljg3&#10;IDI1Ni43MSAyMDUuNTggMjQ3LjI4IDIwNS40IDIzOC4zMyAyMDUuMjMgMjI5LjM3IDIwNS4xNSAy&#10;MjAuNDEgMjA1LjA1IDIxMS40OSAyMDQuOTYgMjAyLjU3IDIwNC45IDE5My42NiAyMDUuMDYgMTg0&#10;LjQgMjA1LjIzIDE3NS4xNCAyMDUuNTUgMTY1Ljg4IDIwNS44OSAxNTYuNjkgMjA2LjIzIDE0Ny41&#10;MSAyMDYuNjMgMTM4LjMxIDIwNi44NyAxMjkuMzUgMjA3LjEgMTIwLjM5IDIwNy4yMiAxMTEuNDMg&#10;MjA3LjM0IDEwMi4wOSAyMDcuNDcgOTIuNzUgMjA3LjUzIDgzLjQgMjA3LjY2IDc4LjggMjA3Ljcy&#10;IDc0LjIgMjA3Ljc5IDY5LjYgMjA3Ljg0IDY1LjA2IDIwNy44OSA2MC41MiAyMDcuODggNTUuOTgg&#10;MjA3LjkgNDguODkgMjA3LjkzIDQxLjggMjA4LjA1IDM0LjcyIDIwOC4wMSAzMS4yNiAyMDcuOTkg&#10;MjcuNzggMjA3Ljk3IDI0LjM1IDIwNy42MiAyMy4yMSAyMDcuNSAyMi4wNSAyMDcuMzMgMjAuOTgg&#10;MjA3LjAxIDIwLjM3IDIwNi44MiAxOS44NSAyMDYuNTYgMTkuNDMgMjA2LjE5IDE4LjczIDIwNS41&#10;NyAxOC43NCAyMDQuNDQgMTkuNzggMjAzLjk5IDIwLjczIDIwMy41OCAyMS44NSAyMDMuNzEgMjIu&#10;OSAyMDMuNzEgMjQuNzEgMjAzLjcyIDI2LjUyIDIwMy42OSAyOC4zNCAyMDMuNjUgMzAuMzkgMjAz&#10;LjYgMzIuNDUgMjAzLjUgMzQuNSAyMDMuNDEgMzYuNjkgMjAzLjMyIDM4LjkgMjAzLjIzIDQxLjA5&#10;IDIwMy4xNSA0OS45OCAyMDIuODIgNTguODcgMjAyLjQ3IDY3Ljc2IDIwMi4yNCA4Ni4wNiAyMDEu&#10;NzUgMTA0LjM2IDIwMS40MSAxMjIuNjcgMjAxIDEyNy4yNiAyMDAuOSAxMzEuODUgMjAwLjc5IDEz&#10;Ni40NCAyMDAuNjYgMTQwLjkxIDIwMC41MyAxNDUuMzcgMjAwLjMzIDE0OS44NCAyMDAuMTUgMTU5&#10;LjIzIDE5OS43NiAxNjguNjMgMTk5LjMxIDE3OC4wMyAxOTkuMDIgMTg3LjAzIDE5OC43NCAxOTYu&#10;MDQgMTk4LjU0IDIwNS4wNSAxOTguNTcgMjEzLjk4IDE5OC42IDIyMi45MSAxOTguNzMgMjMxLjgz&#10;IDE5OC44NCAyNTAuODIgMTk5LjA2IDI2OS44IDE5OS42NiAyODguNzcgMjAwLjM3IDI5NC4wMSAy&#10;MDAuNTcgMjk5LjI0IDIwMC43NiAzMDQuNDggMjAwLjk0IDMwNC4xOSAyMDAuOTMgMzAzLjkgMjAw&#10;LjkyIDMwMy42MSAyMDAuOTEgMzA0LjQgMjAwLjk0IDMwNS4xOSAyMDAuOTYgMzA1Ljk4IDIwMC45&#10;OSAzMjMuOTcgMjAxLjU5IDM0MS45OCAyMDEuODEgMzU5Ljk4IDIwMi4zNCAzNjguMDkgMjAyLjU4&#10;IDM3Ni4yIDIwMi44OSAzODQuMzEgMjAzLjI1IDM5MS44MyAyMDMuNTggMzk5LjM1IDIwMy45NCA0&#10;MDYuODcgMjA0LjIxIDQxNS4zMyAyMDQuNDkgNDIzLjggMjA0LjY3IDQzMi4yNyAyMDQuNzkgNDQw&#10;LjgxIDIwNC45MiA0NDkuMzYgMjA1LjA3IDQ1Ny45MSAyMDUgNDYwLjUzIDIwNC45OCA0NjMuMTYg&#10;MjA0Ljk2IDQ2NS43OCAyMDQuOTEgNDY2Ljc2IDIwNC44OSA0NjcuNzMgMjA0Ljg2IDQ2OC43IDIw&#10;NC44MyA0NjkuMTEgMjA0LjgyIDQ2OS41MSAyMDQuODEgNDY5LjkyIDIwNC43OSA0NzAuMTMgMjA0&#10;Ljc5IDQ3MC4zNCAyMDQuNzcgNDcwLjU1IDIwNC43NiA0NzEuMDEgMjA0LjczIDQ3MS40NiAyMDQu&#10;NzYgNDcxLjkyIDIwNC43NyA0NzIuMDMgMjA0Ljc3IDQ3Mi4xNCAyMDQuNzcgNDcyLjI1IDIwNC43&#10;OCA0NzIuOTcgMjA0Ljg4IDQ3My42IDIwNS4xIDQ3NC4xNiAyMDUuNDVaIiBmaWxsPSIjMDEwMTAx&#10;Ii8+PHBhdGggZD0iTTQ2NC41NCAxODUuNzRDNDY1LjIyIDE4Ni40OSA0NjUuNzEgMTg3LjMzIDQ2&#10;Ni4xOSAxODguMTUgNDY2Ljk3IDE4OS40NiA0NjcuNjggMTkwLjggNDY4LjM1IDE5Mi4xNSA0Njku&#10;NjUgMTk0Ljc3IDQ3MC45MyAxOTcuNCA0NzIuMTcgMjAwLjAzIDQ3Mi43NiAyMDEuMjggNDczLjI4&#10;IDIwMi41MyA0NzMuNzcgMjAzLjggNDc0IDIwNC4zOSA0NzQuMjUgMjA0Ljk3IDQ3NC40OSAyMDUu&#10;NTYgNDc0LjY4IDIwNi4wMyA0NzQuODYgMjA2LjUxIDQ3NC45OSAyMDYuOTkgNDc1LjExIDIwNy40&#10;OCA0NzUuMDggMjA3Ljk4IDQ3NC45NyAyMDguNDcgNDc0Ljc1IDIwOS4zNiA0NzMuODQgMjEwLjEy&#10;IDQ3Mi42NSAyMTAuNDIgNDcyLjA0IDIxMC41OCA0NzEuNDEgMjEwLjYxIDQ3MC43NyAyMTAuNTMg&#10;NDcwLjQ3IDIxMC40NiA0NzAuMTYgMjEwLjM5IDQ2OS44NSAyMTAuMzIgNDY5LjI4IDIxMC4xMiA0&#10;NjguODEgMjA5Ljg0IDQ2OC40NSAyMDkuNDcgNDY3LjYgMjA4Ljc3IDQ2Ny4yNSAyMDcuODQgNDY2&#10;Ljg2IDIwNi45OCA0NjYuNTEgMjA2LjIyIDQ2Ni4xMSAyMDUuNDcgNDY1LjcxIDIwNC43MiA0NjQu&#10;OTYgMjAzLjMzIDQ2NC4zIDIwMS45MSA0NjMuNjEgMjAwLjUxIDQ2Mi45NiAxOTkuMTkgNDYyLjMy&#10;IDE5Ny44OCA0NjEuNzUgMTk2LjU0IDQ2MS4xNiAxOTUuMTUgNDYwLjYzIDE5My43NSA0NjAuMTEg&#10;MTkyLjM1IDQ1OS43IDE5MS4yNyA0NTkuMzMgMTkwLjE5IDQ1OC45NSAxODkuMTEgNDU4LjQxIDE4&#10;Ny41NiA0NTcuMzcgMTg0Ljk5IDQ2MC4yMyAxODQuMjEgNDYwLjYyIDE4NC4xMSA0NjAuOTkgMTg0&#10;LjA3IDQ2MS4zNSAxODQuMDggNDYyLjcxIDE4NC4xMyA0NjMuODQgMTg0Ljk1IDQ2NC41NyAxODUu&#10;NzZaIiBmaWxsPSIjMDEwMTAxIi8+PHBhdGggZD0iTTEyLjUyIDE4My4wMUMxMy41MyAxODMuMSAx&#10;NC4yOCAxODMuNjkgMTQuODggMTg0LjIxIDE1LjM1IDE4NC42MyAxNS42NyAxODUuMTIgMTUuOTMg&#10;MTg1LjYyIDE2LjMgMTg2LjMyIDE2LjU3IDE4Ny4wNyAxNi44MSAxODcuOCAxNy4yOCAxODkuMiAx&#10;Ny44NiAxOTAuNTggMTguNTYgMTkxLjkzIDE5LjU4IDE5My45MSAyMC42NSAxOTUuODggMjEuNjQg&#10;MTk3Ljg3IDIyLjM3IDE5OS4zMyAyMy4wNyAyMDAuODEgMjMuNzcgMjAyLjI4IDIzLjkyIDIwMi42&#10;IDI0LjA3IDIwMi45MyAyNC4yMyAyMDMuMjYgMjQuMyAyMDMuNDEgMjQuMzcgMjAzLjU1IDI0LjQ1&#10;IDIwMy43IDI0LjYxIDIwNC4wNCAyNC44NiAyMDQuNDUgMjQuODQgMjA0Ljc5IDI0Ljg5IDIwNS4y&#10;MSAyNC43OCAyMDUuNiAyNC41NCAyMDUuOTggMjQuMjkgMjA2LjM0IDIzLjk0IDIwNi42MyAyMy40&#10;OCAyMDYuODYgMjMuMDIgMjA3LjA4IDIyLjUxIDIwNy4yMSAyMS45NSAyMDcuMjUgMjEuMTcgMjA3&#10;LjMgMjAuMTYgMjA3LjEzIDE5LjYgMjA2LjcxIDE5LjA4IDIwNi4zMiAxOC45NCAyMDYuMiAxOC42&#10;MyAyMDUuNzIgMTguNTkgMjA1LjY2IDE4LjU2IDIwNS42MSAxOC41MyAyMDUuNTYgMTguNDkgMjA1&#10;LjUgMTguNDUgMjA1LjQzIDE4LjQxIDIwNS4zNiAxOC4zMyAyMDUuMjMgMTguMjYgMjA1LjEgMTgu&#10;MTkgMjA0Ljk2IDE4LjAzIDIwNC42NyAxNy44NyAyMDQuMzkgMTcuNzIgMjA0LjEgMTcuMzYgMjAz&#10;LjQzIDE3LjA1IDIwMi43NCAxNi43MiAyMDIuMDUgMTUuOTIgMjAwLjM2IDE1LjEzIDE5OC42NyAx&#10;NC4yNCAxOTcgMTMuNjcgMTk1Ljk1IDEzLjA2IDE5NC45MSAxMi40OSAxOTMuODcgMTIuMDYgMTkz&#10;LjA3IDExLjYzIDE5Mi4yOCAxMS4xNyAxOTEuNDggMTAuODMgMTkwLjg5IDEwLjUxIDE5MC4zIDEw&#10;LjE4IDE4OS43MSA5LjcgMTg4Ljg1IDkuMzYgMTg3Ljk0IDkuMTIgMTg3LjAzIDguNjkgMTg1LjM5&#10;IDkuMjMgMTgyLjg3IDEyLjI3IDE4Mi45OSAxMi4zNSAxODIuOTkgMTIuNDMgMTgyLjk5IDEyLjUy&#10;IDE4My4wMVoiIGZpbGw9IiMwMTAxMDEiLz48cGF0aCBkPSJNNjE3LjU4IDkyLjMzQzYxOC4wNyA5&#10;Mi4zNSA2MTguNTUgOTIuNTggNjE4Ljk0IDkyLjc4IDYxOS4zMSA5Mi45NiA2MTkuNiA5My4yMSA2&#10;MTkuOSA5My40NSA2MjAuMzYgOTMuODEgNjIwLjcyIDk0LjIzIDYyMS4wNyA5NC42NSA2MjEuOTQg&#10;OTUuNzMgNjIyLjY0IDk2Ljg3IDYyMy4zNCA5OCA2MjQuNDggOTkuODUgNjI1LjUyIDEwMS43MyA2&#10;MjYuNTggMTAzLjYgNjI3LjEgMTA0LjUzIDYyNy42MSAxMDUuNDYgNjI4LjExIDEwNi40IDYyOC43&#10;MyAxMDcuNTQgNjI5LjM2IDEwOC43IDYyOS43OSAxMDkuODkgNjMwIDExMC41IDYzMC4yMiAxMTEu&#10;MTIgNjMwLjMgMTExLjc1IDYzMC4zNyAxMTIuMyA2MzAuMzMgMTEyLjg2IDYzMC4yMiAxMTMuNDEg&#10;NjI5Ljk5IDExNC40NiA2MjkuMzIgMTE1LjM5IDYyOC40MiAxMTYuMjIgNjI3LjYgMTE2Ljk4IDYy&#10;Ni41NiAxMTcuNjUgNjI1LjU1IDExOC4yOCA2MjQuMzggMTE5LjAxIDYyMy4xNSAxMTkuNjkgNjIx&#10;LjkyIDEyMC4zOCA2MjAuNjkgMTIxLjA2IDYxOS40NyAxMjEuNzQgNjE4LjIyIDEyMi40IDYxNi45&#10;IDEyMy4wOSA2MTUuNTYgMTIzLjc2IDYxNC4yMyAxMjQuNDQgNjExLjU4IDEyNS43OSA2MDguOTEg&#10;MTI3LjEyIDYwNi4yMyAxMjguNDUgNjAzLjQ0IDEyOS44MiA2MDAuNzMgMTMxLjI2IDU5OC4xIDEz&#10;Mi43OCA1OTYuNTkgMTMzLjY1IDU5NS4wNyAxMzQuNTIgNTkzLjUgMTM1LjMzIDU5MS43OCAxMzYu&#10;MjMgNTkwLjA3IDEzNy4xMiA1ODguNDIgMTM4LjA4IDU4Ny43IDEzOC41IDU4Ni41NCAxMzguMyA1&#10;ODYuMDMgMTM3Ljc5IDU4NS43NyAxMzcuNTIgNTg1LjY2IDEzNy4xOSA1ODUuNzQgMTM2Ljg4IDU4&#10;NS44MiAxMzYuNTQgNTg2LjA4IDEzNi4zMSA1ODYuNDQgMTM2LjA5IDU4Ny41NCAxMzUuNDIgNTg4&#10;LjYzIDEzNC43NSA1ODkuNyAxMzQuMDUgNTg5LjY3IDEzNC4wNyA1ODkuNjMgMTM0LjA5IDU4OS42&#10;IDEzNC4xMiA1OTIuMjYgMTMyLjM5IDU5NS4wNCAxMzAuNzUgNTk3Ljc4IDEyOS4wOSA2MDAuMzEg&#10;MTI3LjU2IDYwMi45NiAxMjYuMTQgNjA1LjYgMTI0LjcgNjA2Ljg5IDEyNCA2MDguMjEgMTIzLjMx&#10;IDYwOS41IDEyMi42MSA2MTAuODQgMTIxLjg4IDYxMi4xNiAxMjEuMTIgNjEzLjQ3IDEyMC4zNiA2&#10;MTQuNzIgMTE5LjY0IDYxNS45OCAxMTguOTIgNjE3LjI3IDExOC4yMyA2MTguNTYgMTE3LjU0IDYx&#10;OS44NyAxMTYuODkgNjIxLjE4IDExNi4yMiA2MjEuODQgMTE1Ljg4IDYyMi40OCAxMTUuNTQgNjIz&#10;LjA5IDExNS4xNiA2MjMuNDcgMTE0LjkgNjIzLjgyIDExNC42MiA2MjQuMTMgMTE0LjMxIDYyNC4z&#10;NCAxMTQuMDUgNjI0LjUyIDExMy43OSA2MjQuNjcgMTEzLjUxIDYyNC43NCAxMTMuMzEgNjI0Ljgg&#10;MTEzLjEgNjI0LjgzIDExMi45IDYyNC44MiAxMTIuNjggNjI0Ljc4IDExMi40NSA2MjQuNzIgMTEy&#10;LjIzIDYyNC41NiAxMTEuODMgNjI0LjM2IDExMS40NSA2MjQuMTYgMTExLjA2IDYyMy44NyAxMTAu&#10;NTEgNjIzLjYgMTA5Ljk1IDYyMy4zMiAxMDkuMzkgNjIyLjc5IDEwOC4zMyA2MjIuMjggMTA3LjI3&#10;IDYyMS43MyAxMDYuMjIgNjIwLjcyIDEwNC4yOSA2MTkuNyAxMDIuMzYgNjE4LjU1IDEwMC40NyA2&#10;MTguMjUgOTkuOTcgNjE3Ljk0IDk5LjQ4IDYxNy42MiA5OC45OSA2MTcuMjMgOTguMzkgNjE2Ljgx&#10;IDk3Ljc5IDYxNi40MiA5Ny4xOSA2MTYuMDUgOTYuNjIgNjE1LjY2IDk2LjA0IDYxNS40MSA5NS40&#10;NCA2MTUuMTIgOTQuNzMgNjE0Ljg3IDkzLjg3IDYxNS4zNCA5My4xNyA2MTUuNDkgOTIuOTQgNjE1&#10;LjcyIDkyLjc1IDYxNi4wMiA5Mi41OSA2MTYuMTggOTIuNTMgNjE2LjMzIDkyLjQ4IDYxNi40OSA5&#10;Mi40MiA2MTYuNzYgOTIuMzUgNjE3LjA0IDkyLjMyIDYxNy4zMyA5Mi4zMyA2MTcuNDEgOTIuMzMg&#10;NjE3LjQ5IDkyLjMzIDYxNy41NyA5Mi4zNVoiIGZpbGw9IiMwMTAxMDEiLz48cGF0aCBkPSJNMjYu&#10;NjUgMTg5LjI1QzI2LjcxIDE4OS4zNCAyNi43MyAxODkuNDUgMjYuNzUgMTg5LjU0IDI2Ljc5IDE4&#10;OS43MiAyNi44MyAxODkuOSAyNi44OCAxOTAuMDcgMjcuMDEgMTkwLjUyIDI3LjE0IDE5MC45OCAy&#10;Ny4yOCAxOTEuNDQgMjcuNTggMTkyLjQyIDI3LjkxIDE5My40IDI4LjI1IDE5NC4zOCAyOC4yMyAx&#10;OTQuMzMgMjguMjEgMTk0LjI3IDI4LjE5IDE5NC4yMiAyOC43IDE5NS42MiAyOS4yNSAxOTcuMDEg&#10;MjkuODMgMTk4LjQgMzAuMzcgMTk5LjczIDMwLjk0IDIwMS4wNiAzMS40MiAyMDIuNCAzMS43NiAy&#10;MDMuMzMgMzIuMDIgMjA0LjI2IDMyLjI5IDIwNS4xOSAzMi4zOCAyMDUuNDkgMzEuOTUgMjA1Ljc5&#10;IDMxLjQ3IDIwNS44OSAzMS4xNiAyMDUuOTUgMzAuODIgMjA1Ljk0IDMwLjUzIDIwNS44NSAzMC4y&#10;NyAyMDUuNzcgMzAgMjA1LjYyIDI5LjkzIDIwNS40NiAyOS42MyAyMDQuNzUgMjkuMjkgMjA0LjA1&#10;IDI5LjAxIDIwMy4zNCAyOC43NCAyMDIuNjYgMjguNDggMjAxLjk3IDI4LjIyIDIwMS4yOCAyNy42&#10;OCAxOTkuODQgMjcuMTggMTk4LjQgMjYuNzMgMTk2Ljk1IDI2LjExIDE5NC45NiAyNS42IDE5Mi45&#10;NiAyNC45MSAxOTAuOTcgMjQuOTEgMTkwLjk3IDI0LjkxIDE5MC45OCAyNC45MSAxOTAuOTkgMjQu&#10;NzkgMTkwLjY3IDI0LjY4IDE5MC4zNCAyNC40OSAxOTAuMDMgMjQuNDQgMTg5Ljk0IDI0LjM2IDE4&#10;OS44NSAyNC4yOSAxODkuNzUgMjQuMiAxODkuNjIgMjQuMTUgMTg5LjQ1IDI0LjIyIDE4OS4zMSAy&#10;NC4zNyAxODguOTkgMjQuNzUgMTg4Ljc4IDI1LjM0IDE4OC43NCAyNS40MSAxODguNzQgMjUuNDcg&#10;MTg4Ljc0IDI1LjUzIDE4OC43NCAyNi4wNSAxODguNzYgMjYuNDUgMTg4Ljk5IDI2LjY0IDE4OS4y&#10;NloiIGZpbGw9IiMwMTAxMDEiLz48cGF0aCBkPSJNMzguOTIgMTk2LjI5QzM4LjkyIDE5Ni4yOSAz&#10;OC45MiAxOTYuMyAzOC45MiAxOTYuMzEgMzguOSAxOTYuMjYgMzguODggMTk2LjIxIDM4Ljg2IDE5&#10;Ni4xNUwzOC45MSAxOTYuMjlaTTM4LjMgMTg4LjgzQzM4LjY2IDE4OC45MSAzOC45NCAxODkuMTEg&#10;MzkuMTUgMTg5LjI5IDM5LjM2IDE4OS40OCAzOS41MSAxODkuNyAzOS42NiAxODkuOSAzOS45IDE5&#10;MC4yMyA0MC4xMiAxOTAuNTYgNDAuMzIgMTkwLjg5IDQwLjc0IDE5MS42IDQxLjEzIDE5Mi4zMSA0&#10;MS40OSAxOTMuMDIgNDIuMTkgMTk0LjQxIDQyLjc4IDE5NS44MSA0My4zMyAxOTcuMjIgNDMuNTgg&#10;MTk3Ljg1IDQzLjgyIDE5OC40OSA0NC4wNSAxOTkuMTMgNDQuMDIgMTk5LjAzIDQzLjk4IDE5OC45&#10;NCA0My45NSAxOTguODQgNDQuMDIgMTk5LjA1IDQ0LjEgMTk5LjI2IDQ0LjE3IDE5OS40NyA0NC4x&#10;NCAxOTkuMzcgNDQuMSAxOTkuMjggNDQuMDcgMTk5LjE4IDQ0LjQ2IDIwMC4yNSA0NC44MiAyMDEu&#10;MzMgNDUuMTIgMjAyLjQyIDQ1LjE0IDIwMi42MSA0NS4wOCAyMDIuNzkgNDQuOTMgMjAyLjk2IDQ0&#10;LjcyIDIwMy4yIDQ0LjM0IDIwMy4zOSA0My44OCAyMDMuNDcgNDIuOTggMjAzLjY0IDQxLjgzIDIw&#10;My4zNyA0MS41NSAyMDIuODIgNDAuNSAyMDAuNzEgMzkuNzQgMTk4LjU2IDM4Ljk3IDE5Ni40MSAz&#10;OC45OCAxOTYuNDQgMzguOTkgMTk2LjQ3IDM5IDE5Ni41MSAzOC45NyAxOTYuNDQgMzguOTUgMTk2&#10;LjM3IDM4LjkzIDE5Ni4zTDM4LjkzIDE5Ni4zM0MzOC45MyAxOTYuMzMgMzguOTMgMTk2LjMgMzgu&#10;OTMgMTk2LjI4IDM4LjkgMTk2LjIgMzguODggMTk2LjEyIDM4Ljg1IDE5Ni4wNCAzOC44NiAxOTYu&#10;MDcgMzguODcgMTk2LjExIDM4Ljg4IDE5Ni4xNCAzOC44MiAxOTUuOTcgMzguNzYgMTk1LjggMzgu&#10;NyAxOTUuNjQgMzguNzIgMTk1LjY5IDM4Ljc0IDE5NS43NCAzOC43NiAxOTUuOCAzOC4zNiAxOTQu&#10;NzIgMzcuOTYgMTkzLjY0IDM3LjUzIDE5Mi41NiAzNy4zMiAxOTIuMDQgMzcuMTIgMTkxLjUzIDM2&#10;LjkyIDE5MS4wMSAzNi43OSAxOTAuNjkgMzYuNjggMTkwLjM3IDM2LjU2IDE5MC4wNSAzNi40NSAx&#10;ODkuNzQgMzYuNDEgMTg5LjQ0IDM2LjY0IDE4OS4xMyAzNi43NiAxODguOTcgMzcuMDYgMTg4Ljg0&#10;IDM3LjM1IDE4OC43OCAzNy41IDE4OC43NSAzNy42NSAxODguNzQgMzcuNzkgMTg4Ljc1IDM3Ljk2&#10;IDE4OC43NSAzOC4xMyAxODguNzggMzguMzEgMTg4LjgyWiIgZmlsbD0iIzAxMDEwMSIvPjxwYXRo&#10;IGQ9Ik01Ni41NSAxODguNTFDNTYuODcgMTg4LjY0IDU3LjAyIDE4OC45IDU3LjE0IDE4OS4wOSA1&#10;Ny4yNiAxODkuMjkgNTcuMzYgMTg5LjQ4IDU3LjQ2IDE4OS42OCA1Ny42NSAxOTAuMDkgNTcuODQg&#10;MTkwLjUgNTguMDIgMTkwLjkxIDU4LjQgMTkxLjc2IDU4Ljc2IDE5Mi42MiA1OS4xIDE5My40OCA1&#10;OS43OCAxOTUuMjIgNjAuNDEgMTk2Ljk2IDYxLjA1IDE5OC43IDYxLjA4IDE5OC43OSA2MS4xMSAx&#10;OTguODggNjEuMTUgMTk4Ljk3IDYxLjEzIDE5OC45MiA2MS4xMiAxOTguODcgNjEuMSAxOTguODIg&#10;NjEuMzUgMTk5LjUyIDYxLjYgMjAwLjIyIDYxLjgxIDIwMC45MiA2MiAyMDEuNTUgNjEuODcgMjAy&#10;LjE4IDYxLjkxIDIwMi44MiA2MS45MyAyMDMuMjIgNjEuNTQgMjAzLjU5IDYwLjg2IDIwMy43MiA2&#10;MC4wMyAyMDMuODggNTkuMTkgMjAzLjYyIDU4Ljg4IDIwMy4xNyA1OC41OSAyMDIuNzUgNTguMjUg&#10;MjAyLjM1IDU3Ljk0IDIwMS45MyA1Ny44IDIwMS43NCA1Ny43MyAyMDEuNTMgNTcuNjUgMjAxLjMy&#10;IDU3LjUzIDIwMS4wMyA1Ny40MyAyMDAuNzMgNTcuMzIgMjAwLjQzIDU3LjAxIDE5OS41NSA1Ni43&#10;NCAxOTguNjggNTYuNDggMTk3LjggNTUuOTYgMTk2LjA2IDU1LjUgMTk0LjMyIDU1LjA1IDE5Mi41&#10;OCA1NC44OCAxOTEuOTMgNTQuNzEgMTkxLjI4IDU0LjU2IDE5MC42MiA1NC40OSAxOTAuMzEgNTQu&#10;NDIgMTg5Ljk5IDU0LjM5IDE4OS42OCA1NC4zNSAxODkuMzEgNTQuMjkgMTg4Ljg3IDU0Ljc3IDE4&#10;OC41NyA1NC45OSAxODguNDMgNTUuMzEgMTg4LjM0IDU1LjY0IDE4OC4zMyA1NS42OSAxODguMzMg&#10;NTUuNzUgMTg4LjMzIDU1Ljc5IDE4OC4zMyA1Ni4wOSAxODguMzMgNTYuMzIgMTg4LjQxIDU2LjU4&#10;IDE4OC41MVoiIGZpbGw9IiMwMTAxMDEiLz48cGF0aCBkPSJNNzEuNTcgMTg3LjU3QzcyLjI4IDE4&#10;Ny43OCA3Mi40NyAxODguMjkgNzIuNjcgMTg4LjY5IDcyLjg1IDE4OS4wNSA3Mi45OSAxODkuNDEg&#10;NzMuMTMgMTg5Ljc4IDczLjQ2IDE5MC42MiA3My43NyAxOTEuNDYgNzQuMDcgMTkyLjMxIDc0LjY5&#10;IDE5NC4wNCA3NS4yOCAxOTUuNzggNzUuOCAxOTcuNTIgNzYuMTQgMTk4LjY0IDc2LjQyIDE5OS43&#10;NyA3Ni42OCAyMDAuOSA3Ni44MSAyMDEuNDcgNzYuOTQgMjAyLjA0IDc3LjA0IDIwMi42MSA3Ny4w&#10;OSAyMDIuODggNzcuMTMgMjAzLjE1IDc3LjE1IDIwMy40MiA3Ny4xOSAyMDMuODEgNzcuMSAyMDQu&#10;MiA3Ny4wNSAyMDQuNTkgNzYuOTggMjA0Ljc4IDc2LjgzIDIwNC45NSA3Ni42IDIwNS4xIDc2LjI3&#10;IDIwNS4zMSA3NS44IDIwNS40NCA3NS4zIDIwNS40NiA3NC40MyAyMDUuNSA3My42NCAyMDUuMTkg&#10;NzMuMzUgMjA0LjczIDczLjIyIDIwNC41MyA3My4wOSAyMDQuMzIgNzIuOTcgMjA0LjEyIDcyLjgx&#10;IDIwMy44NCA3Mi43NCAyMDMuNTQgNzIuNjQgMjAzLjI0IDcyLjUxIDIwMi44NiA3Mi40IDIwMi40&#10;NyA3Mi4zIDIwMi4wOCA3Mi4wOCAyMDEuMjQgNzEuODcgMjAwLjM5IDcxLjY4IDE5OS41NSA3MS4z&#10;IDE5Ny45IDcwLjk3IDE5Ni4yNCA3MC42NyAxOTQuNTkgNzAuNDYgMTkzLjQgNzAuMjMgMTkyLjIx&#10;IDcwLjAzIDE5MS4wMiA2OS45NCAxOTAuNDggNjkuODQgMTg5Ljk0IDY5LjggMTg5LjQgNjkuNzgg&#10;MTg5LjEzIDY5Ljc3IDE4OC44NiA2OS43OCAxODguNTkgNjkuOCAxODguMjMgNjkuODggMTg3Ljgz&#10;IDcwLjQ2IDE4Ny42MSA3MC42NiAxODcuNTMgNzAuODkgMTg3LjUgNzEuMTIgMTg3LjUxIDcxLjI3&#10;IDE4Ny41MSA3MS40MSAxODcuNTQgNzEuNTUgMTg3LjU3WiIgZmlsbD0iIzAxMDEwMSIvPjxwYXRo&#10;IGQ9Ik04OS43OCAxODguMzhDODkuODMgMTg4LjQ0IDg5Ljg4IDE4OC41IDg5LjkyIDE4OC41NSA5&#10;MC4wNyAxODguNzUgOTAuMTggMTg4Ljk1IDkwLjI5IDE4OS4xNiA5MC41NiAxODkuNjggOTAuNzEg&#10;MTkwLjIxIDkwLjg4IDE5MC43NCA5MS4xOCAxOTEuNjcgOTEuNDIgMTkyLjYxIDkxLjY3IDE5My41&#10;NCA5Mi4xNyAxOTUuNCA5Mi42MiAxOTcuMjggOTMuMDMgMTk5LjE1IDkzLjE4IDE5OS44MSA5My4z&#10;MSAyMDAuNDggOTMuNDUgMjAxLjE0IDkzLjU4IDIwMS44MyA5My43NCAyMDIuNTMgOTMuNzYgMjAz&#10;LjIzIDkzLjc4IDIwMy43NyA5My4yNiAyMDQuMjcgOTIuMzIgMjA0LjQ2IDkxLjc4IDIwNC41NiA5&#10;MS4xOCAyMDQuNTQgOTAuNjcgMjA0LjM5IDkwLjIyIDIwNC4yNiA4OS43NCAyMDQgODkuNjIgMjAz&#10;LjcgODkuMiAyMDIuNzEgODkgMjAxLjY5IDg4Ljc4IDIwMC42NyA4OC41OCAxOTkuNzMgODguNDEg&#10;MTk4Ljc4IDg4LjI0IDE5Ny44NCA4Ny45MSAxOTUuOTYgODcuNjYgMTk0LjA5IDg3LjQ0IDE5Mi4y&#10;MSA4Ny4zNiAxOTEuNTIgODcuMjggMTkwLjg0IDg3LjI0IDE5MC4xNSA4Ny4yMiAxODkuODEgODcu&#10;MjIgMTg5LjQ2IDg3LjI1IDE4OS4xMiA4Ny4yOCAxODguODYgODcuMzIgMTg4LjY0IDg3LjQ4IDE4&#10;OC4zOSA4Ny40MyAxODguMDQgODcuOTYgMTg3LjczIDg4LjU1IDE4Ny43MSA4OC42IDE4Ny43MSA4&#10;OC42NCAxODcuNzEgODguNjkgMTg3LjcxIDg5LjMgMTg3LjczIDg5LjgyIDE4OC4wMyA4OS43OSAx&#10;ODguMzhaIiBmaWxsPSIjMDEwMTAxIi8+PHBhdGggZD0iTTEwMy44NyAxODcuMzVDMTA0LjQzIDE4&#10;Ny41MSAxMDQuNjEgMTg3Ljg5IDEwNC43NSAxODguMjEgMTA0Ljg4IDE4OC41MSAxMDUgMTg4Ljgg&#10;MTA1LjEzIDE4OS4xIDEwNS4zOSAxODkuNzMgMTA1LjYzIDE5MC4zNiAxMDUuODggMTkwLjk5IDEw&#10;Ni4zOCAxOTIuMjUgMTA2Ljg3IDE5My41MiAxMDcuMzUgMTk0Ljc5IDEwNy40OSAxOTUuMTcgMTA3&#10;LjYzIDE5NS41NiAxMDcuNzcgMTk1Ljk0IDEwNy44MiAxOTYuMDYgMTA3Ljg1IDE5Ni4xOCAxMDcu&#10;OSAxOTYuMyAxMDcuODcgMTk2LjIyIDEwNy44NSAxOTYuMTUgMTA3LjgyIDE5Ni4wNyAxMDcuODIg&#10;MTk2LjA3IDEwNy44MiAxOTYuMDcgMTA3LjgyIDE5Ni4wNyAxMDguNjQgMTk4LjM1IDEwOS4zOSAy&#10;MDAuNjUgMTA5LjY4IDIwMi45OCAxMDkuNzMgMjAzLjM2IDEwOS4zMSAyMDMuNzEgMTA4LjY4IDIw&#10;My44MyAxMDcuOTMgMjAzLjk4IDEwNy4wNSAyMDMuNzQgMTA2LjggMjAzLjMxIDEwNi4wNiAyMDIu&#10;MDIgMTA1LjYgMjAwLjY5IDEwNS4xNSAxOTkuMzcgMTA0LjgyIDE5OC40MSAxMDQuNTIgMTk3LjQ0&#10;IDEwNC4yNCAxOTYuNDcgMTA0LjIxIDE5Ni40MSAxMDQuMTkgMTk2LjM0IDEwNC4xOCAxOTYuMjgg&#10;MTA0LjExIDE5Ni4wMyAxMDQuMDMgMTk1Ljc4IDEwMy45NiAxOTUuNTIgMTAzLjYgMTk0LjIzIDEw&#10;My4yNiAxOTIuOTUgMTAyLjkzIDE5MS42NiAxMDIuNzcgMTkxLjAyIDEwMi42IDE5MC4zOCAxMDIu&#10;NDQgMTg5Ljc0IDEwMi4zNyAxODkuNDQgMTAyLjMxIDE4OS4xMyAxMDIuMjYgMTg4LjgyIDEwMi4y&#10;NCAxODguNjggMTAyLjIyIDE4OC41NCAxMDIuMjIgMTg4LjQgMTAyLjIyIDE4OC4yMiAxMDIuMjEg&#10;MTg4LjA0IDEwMi4yOSAxODcuODcgMTAyLjM5IDE4Ny42NyAxMDIuNTEgMTg3LjUxIDEwMi44MyAx&#10;ODcuMzggMTAzLjAxIDE4Ny4zMSAxMDMuMjQgMTg3LjI4IDEwMy40NiAxODcuMjggMTAzLjYxIDE4&#10;Ny4yOCAxMDMuNzUgMTg3LjMxIDEwMy44OCAxODcuMzRaIiBmaWxsPSIjMDEwMTAxIi8+PHBhdGgg&#10;ZD0iTTEyMi4yMiAxODcuMzVDMTIyLjk5IDE4Ny40OCAxMjMuMTUgMTg3Ljk4IDEyMy4yNyAxODgu&#10;MzcgMTIzLjM3IDE4OC43MSAxMjMuNDQgMTg5LjA1IDEyMy40OSAxODkuNCAxMjMuNiAxOTAuMTMg&#10;MTIzLjY4IDE5MC44NiAxMjMuNzYgMTkxLjU5IDEyMy45MyAxOTMuMDYgMTI0LjEyIDE5NC41NCAx&#10;MjQuMzcgMTk2LjAxIDEyNC41MyAxOTYuOTUgMTI0LjcxIDE5Ny44OSAxMjQuODkgMTk4LjgzIDEy&#10;NS4wNyAxOTkuODEgMTI1LjI1IDIwMC43OCAxMjUuMjggMjAxLjc2IDEyNS4zIDIwMi4yNSAxMjQu&#10;ODQgMjAyLjY5IDEyNCAyMDIuODUgMTIzLjUyIDIwMi45NCAxMjIuOTkgMjAyLjkyIDEyMi41MyAy&#10;MDIuNzkgMTIyLjEzIDIwMi42OCAxMjEuNjkgMjAyLjQ0IDEyMS41OSAyMDIuMTggMTIxLjI2IDIw&#10;MS4zNSAxMjEuMDYgMjAwLjUxIDEyMC45IDE5OS42NyAxMjAuNzYgMTk4Ljk1IDEyMC42NCAxOTgu&#10;MjMgMTIwLjU2IDE5Ny41IDEyMC4zOSAxOTYuMDMgMTIwLjI5IDE5NC41NiAxMjAuMzIgMTkzLjA5&#10;IDEyMC4zNCAxOTIuMDMgMTIwLjQxIDE5MC45NyAxMjAuNTUgMTg5LjkyIDEyMC42MSAxODkuNDcg&#10;MTIwLjcgMTg5LjAyIDEyMC44MSAxODguNTcgMTIwLjg3IDE4OC4zMiAxMjAuOTYgMTg4LjA3IDEy&#10;MS4xMiAxODcuODMgMTIxLjE5IDE4Ny43MiAxMjEuMjggMTg3LjYxIDEyMS40MiAxODcuNTMgMTIx&#10;LjU5IDE4Ny40MyAxMjEuODQgMTg3LjMzIDEyMi4xIDE4Ny4zNCAxMjIuMTQgMTg3LjM0IDEyMi4x&#10;OCAxODcuMzQgMTIyLjIyIDE4Ny4zNVoiIGZpbGw9IiMwMTAxMDEiLz48cGF0aCBkPSJNMTM0LjMz&#10;IDE4Ny42OEMxMzQuOTUgMTg3Ljc2IDEzNS4yMiAxODguMTYgMTM1LjM3IDE4OC40NyAxMzUuNTkg&#10;MTg4LjkgMTM1LjcgMTg5LjM1IDEzNS44MiAxODkuNzkgMTM2LjA0IDE5MC41NSAxMzYuMTkgMTkx&#10;LjMxIDEzNi4zMiAxOTIuMDcgMTM2LjYgMTkzLjY2IDEzNi43OSAxOTUuMjUgMTM3IDE5Ni44NCAx&#10;MzcuMiAxOTguMzUgMTM3LjQxIDE5OS44NyAxMzcuNTkgMjAxLjM5IDEzNy42OCAyMDIuMTYgMTM3&#10;Ljc0IDIwMi45MiAxMzcuODIgMjAzLjY5IDEzNy45MSAyMDQuNTIgMTM4LjAyIDIwNS4zNSAxMzgu&#10;MTYgMjA2LjE4IDEzOC4yNiAyMDYuNzcgMTM3LjQgMjA3LjMgMTM2LjM4IDIwNy4zNCAxMzUuMzIg&#10;MjA3LjM4IDEzNC40NCAyMDYuOTIgMTM0LjM0IDIwNi4zMyAxMzQuMDYgMjA0LjcyIDEzMy43MyAy&#10;MDMuMTEgMTMzLjUzIDIwMS41IDEzMy4zMyAxOTkuOTMgMTMzLjMxIDE5OC4zNSAxMzMuMjcgMTk2&#10;Ljc4IDEzMy4yMyAxOTUuMjEgMTMzLjIgMTkzLjY0IDEzMy4xMyAxOTIuMDggMTMzLjA5IDE5MS4z&#10;MSAxMzMuMDUgMTkwLjU0IDEzMyAxODkuNzcgMTMyLjk4IDE4OS4zNCAxMzIuOTUgMTg4LjkxIDEz&#10;My4wMiAxODguNDkgMTMzLjA3IDE4OC4xNyAxMzMuNDkgMTg3LjY2IDEzNC4xNyAxODcuNjggMTM0&#10;LjIyIDE4Ny42OCAxMzQuMjYgMTg3LjY4IDEzNC4zMSAxODcuNjlaIiBmaWxsPSIjMDEwMTAxIi8+&#10;PHBhdGggZD0iTTE1MC4zNSAxODcuNDhDMTUwLjY3IDE4Ny42MyAxNTAuODQgMTg3Ljg2IDE1MC45&#10;NiAxODguMDggMTUxLjEgMTg4LjMyIDE1MS4xNyAxODguNTcgMTUxLjI0IDE4OC44MiAxNTEuMzUg&#10;MTg5LjIyIDE1MS40MiAxODkuNjEgMTUxLjQ5IDE5MC4wMiAxNTEuNjIgMTkwLjgxIDE1MS43IDE5&#10;MS42IDE1MS43OCAxOTIuMzggMTUxLjk0IDE5NC4wMSAxNTIuMDIgMTk1LjY1IDE1Mi4wOSAxOTcu&#10;MjkgMTUyLjE0IDE5OC4zNSAxNTIuMTkgMTk5LjQxIDE1Mi4xOCAyMDAuNDcgMTUyLjE3IDIwMS41&#10;OCAxNTIuMTMgMjAyLjY4IDE1Mi4yIDIwMy43OSAxNTIuMjQgMjA0LjM5IDE1MS40OCAyMDQuOTMg&#10;MTUwLjM5IDIwNC45NyAxNDkuMzUgMjA1LjAxIDE0OC4zNyAyMDQuNTUgMTQ4LjMxIDIwMy45NSAx&#10;NDguMTYgMjAyLjMgMTQ3LjkgMjAwLjY2IDE0Ny44OCAxOTkuMDEgMTQ3Ljg1IDE5Ny4zNyAxNDcu&#10;OSAxOTUuNzQgMTQ3LjkyIDE5NC4xMSAxNDcuOTQgMTkzLjA1IDE0Ny45NSAxOTEuOTggMTQ3Ljk3&#10;IDE5MC45MiAxNDcuOTggMTkwLjQyIDE0Ny45OSAxODkuOTIgMTQ4LjAxIDE4OS40MiAxNDguMDMg&#10;MTg5LjA4IDE0OC4wMyAxODguNzUgMTQ4LjEgMTg4LjQxIDE0OC4xMiAxODguMyAxNDguMTUgMTg4&#10;LjE5IDE0OC4yIDE4OC4wOCAxNDguMjggMTg3LjkgMTQ4LjQgMTg3LjY4IDE0OC42NSAxODcuNTQg&#10;MTQ4Ljg5IDE4Ny40MiAxNDkuMTMgMTg3LjMzIDE0OS40NiAxODcuMzEgMTQ5LjUxIDE4Ny4zMSAx&#10;NDkuNTYgMTg3LjMxIDE0OS42IDE4Ny4zMSAxNDkuODggMTg3LjMxIDE1MC4xMyAxODcuMzggMTUw&#10;LjM0IDE4Ny40OFoiIGZpbGw9IiMwMTAxMDEiLz48cGF0aCBkPSJNMTY2LjY5IDE4Ny4yNEMxNjcu&#10;MTEgMTg3LjQ1IDE2Ny4xOSAxODcuNzMgMTY3LjI4IDE4OC4wMyAxNjcuMzQgMTg4LjIyIDE2Ny4z&#10;NiAxODguNDIgMTY3LjM5IDE4OC42MiAxNjcuNDQgMTg5LjAzIDE2Ny40NyAxODkuNDMgMTY3LjUg&#10;MTg5LjgzIDE2Ny41NiAxOTAuNjMgMTY3LjU5IDE5MS40MiAxNjcuNjMgMTkyLjIyIDE2Ny43MSAx&#10;OTMuODEgMTY3LjgxIDE5NS4zOSAxNjcuODUgMTk2Ljk3IDE2Ny44NyAxOTcuNyAxNjcuODcgMTk4&#10;LjQyIDE2Ny44MSAxOTkuMTUgMTY3Ljc1IDE5OS45MiAxNjcuNjYgMjAwLjY4IDE2Ny42NSAyMDEu&#10;NDUgMTY3LjY1IDIwMS43NSAxNjcuNTMgMjAyLjAyIDE2Ny4xNyAyMDIuMjYgMTY2Ljg0IDIwMi40&#10;NyAxNjYuMzYgMjAyLjYgMTY1Ljg3IDIwMi42MiAxNjQuODQgMjAyLjY2IDE2My44NSAyMDIuMiAx&#10;NjMuODEgMjAxLjYgMTYzLjc1IDIwMC43NiAxNjMuNjMgMTk5LjkyIDE2My41MyAxOTkuMDggMTYz&#10;LjQ1IDE5OC4zMiAxNjMuNDUgMTk3LjU2IDE2My40NyAxOTYuODEgMTYzLjUxIDE5NS4xOCAxNjMu&#10;NjEgMTkzLjU1IDE2My43MSAxOTEuOTEgMTYzLjc2IDE5MS4wOSAxNjMuODQgMTkwLjI3IDE2My45&#10;NSAxODkuNDUgMTY0IDE4OS4wOSAxNjQuMDYgMTg4Ljc0IDE2NC4xNCAxODguMzggMTY0LjE5IDE4&#10;OC4yIDE2NC4yNSAxODguMDMgMTY0LjM0IDE4Ny44NiAxNjQuNDUgMTg3LjY1IDE2NC41NCAxODcu&#10;NTMgMTY0Ljc2IDE4Ny4zNiAxNjQuOTMgMTg3LjIzIDE2NS4xNSAxODcuMTYgMTY1LjQxIDE4Ny4w&#10;OSAxNjUuNTUgMTg3LjA1IDE2NS43MSAxODcuMDQgMTY1Ljg2IDE4Ny4wNSAxNjYuMTYgMTg3LjA1&#10;IDE2Ni40NiAxODcuMTMgMTY2LjY3IDE4Ny4yNFoiIGZpbGw9IiMwMTAxMDEiLz48cGF0aCBkPSJN&#10;MTgyLjQgMTg3LjA4QzE4Mi42MiAxODcuMTEgMTgyLjc4IDE4Ny4xNyAxODIuOSAxODcuMjYgMTgz&#10;LjA3IDE4Ny4zNiAxODMuMTggMTg3LjQ5IDE4My4yNiAxODcuNjMgMTgzLjMzIDE4Ny43NCAxODMu&#10;MzUgMTg3Ljg3IDE4My4zOSAxODcuOTggMTgzLjQzIDE4OC4wOSAxODMuNDYgMTg4LjE5IDE4My40&#10;OCAxODguMyAxODMuNTcgMTg4LjcgMTgzLjYyIDE4OS4xIDE4My42NiAxODkuNSAxODMuNzQgMTkw&#10;LjI5IDE4My43NiAxOTEuMDkgMTgzLjc3IDE5MS44OSAxODMuOCAxOTMuNTggMTgzLjgyIDE5NS4y&#10;OCAxODMuODUgMTk2Ljk3IDE4My44OCAxOTguMjYgMTgzLjgxIDE5OS41NSAxODMuODUgMjAwLjg0&#10;IDE4My44NSAyMDEuMTIgMTgzLjczIDIwMS4zNyAxODMuNCAyMDEuNTggMTgzLjA5IDIwMS43OCAx&#10;ODIuNjYgMjAxLjkgMTgyLjIgMjAxLjkxIDE4MS4yNiAyMDEuOTUgMTgwLjM0IDIwMS41MiAxODAu&#10;MzEgMjAwLjk4IDE4MC4yNiAyMDAuMTMgMTgwLjE5IDE5OS4yNyAxODAuMTYgMTk4LjQyIDE4MC4x&#10;MyAxOTcuNjEgMTgwLjE2IDE5Ni43OSAxODAuMiAxOTUuOTcgMTgwLjI4IDE5NC4zMiAxODAuNCAx&#10;OTIuNjggMTgwLjU2IDE5MS4wMyAxODAuNjMgMTkwLjMyIDE4MC43MSAxODkuNjEgMTgwLjgxIDE4&#10;OC45IDE4MC44NiAxODguNiAxODAuOTEgMTg4LjI5IDE4MSAxODggMTgxLjA4IDE4Ny43NCAxODEu&#10;MTkgMTg3LjQ0IDE4MS41NCAxODcuMjYgMTgxLjU0IDE4Ny4yNiAxODEuNTQgMTg3LjI2IDE4MS41&#10;NCAxODcuMjYgMTgxLjcxIDE4Ny4xNCAxODIgMTg3LjA4IDE4Mi4yNyAxODcuMDkgMTgyLjMxIDE4&#10;Ny4wOSAxODIuMzUgMTg3LjA5IDE4Mi4zOSAxODcuMDlaIiBmaWxsPSIjMDEwMTAxIi8+PHBhdGgg&#10;ZD0iTTE5MC42OCAxODguM0MxOTAuNjggMTg4LjMgMTkwLjY4IDE4OC4zIDE5MC42OSAxODguMyAx&#10;OTAuNyAxODguMyAxOTAuNzIgMTg4LjMgMTkwLjczIDE4OC4zTDE5MC42OCAxODguM1pNMTkyLjYg&#10;MTg2LjgzQzE5Mi42IDE4Ni44MyAxOTIuNiAxODYuODMgMTkyLjYgMTg2LjgzIDE5Mi42IDE4Ni44&#10;MyAxOTIuNiAxODYuODMgMTkyLjYgMTg2LjgzWk0xOTIuNTQgMTg2LjgxQzE5Mi41NCAxODYuODEg&#10;MTkyLjU5IDE4Ni44MyAxOTIuNjEgMTg2Ljg0IDE5Mi42MSAxODYuODQgMTkyLjYxIDE4Ni44NCAx&#10;OTIuNiAxODYuODQgMTkyLjU4IDE4Ni44NCAxOTIuNTYgMTg2LjgzIDE5Mi41NCAxODYuODJaTTE5&#10;Mi44NiAxODYuOTNDMTkyLjg2IDE4Ni45MyAxOTIuOTQgMTg3IDE5Mi45NyAxODcuMDQgMTkzLjA0&#10;IDE4Ny4wOSAxOTMuMSAxODcuMTQgMTkzLjE1IDE4Ny4yIDE5My4zOCAxODcuNDUgMTkzLjU1IDE4&#10;Ny43IDE5My42OSAxODcuOTcgMTkzLjk3IDE4OC41MyAxOTQuMTEgMTg5LjEyIDE5NC4yNSAxODku&#10;NyAxOTQuNDggMTkwLjY5IDE5NC41OSAxOTEuNyAxOTQuNzMgMTkyLjcgMTk0Ljg2IDE5My43MiAx&#10;OTQuOTkgMTk0LjczIDE5NS4xOCAxOTUuNzUgMTk1LjI3IDE5Ni4yMiAxOTUuMzMgMTk2LjcgMTk1&#10;LjM3IDE5Ny4xNyAxOTUuNDEgMTk3LjgxIDE5NS4yNCAxOTguNDMgMTk1LjA2IDE5OS4wNiAxOTQu&#10;ODkgMTk5LjYzIDE5My45NiAyMDAuMDYgMTkyLjk2IDIwMC4xIDE5MS45IDIwMC4xNCAxOTEuMDEg&#10;MTk5Ljc2IDE5MC42NSAxOTkuMjEgMTkwLjQ5IDE5OC45NyAxOTAuMzMgMTk4LjcyIDE5MC4xOSAx&#10;OTguNDggMTg5Ljk5IDE5OC4xMyAxODkuODkgMTk3Ljc3IDE4OS43OSAxOTcuNDEgMTg5LjY1IDE5&#10;Ni45NCAxODkuNiAxOTYuNDcgMTg5LjU2IDE5NiAxODkuNDYgMTk0Ljk5IDE4OS40MiAxOTMuOTgg&#10;MTg5LjM1IDE5Mi45NyAxODkuMjggMTkxLjk1IDE4OS4yNSAxOTAuOTMgMTg5LjI1IDE4OS45MSAx&#10;ODkuMjUgMTg5LjMzIDE4OS4zIDE4OC43NSAxODkuMzkgMTg4LjE3IDE4OS40NCAxODcuODUgMTg5&#10;LjU2IDE4Ny40NiAxODkuODYgMTg3LjE1IDE4OS45OCAxODYuOTUgMTkwLjIxIDE4Ni43NyAxOTAu&#10;NTQgMTg2LjY1IDE5MC44NSAxODYuNTQgMTkxLjIgMTg2LjQ5IDE5MS41NSAxODYuNSAxOTIuMDgg&#10;MTg2LjUyIDE5Mi41OSAxODYuNjcgMTkyLjg5IDE4Ni45M1oiIGZpbGw9IiMwMTAxMDEiLz48cGF0&#10;aCBkPSJNMjA2LjQ5IDE4OC42NEMyMDcuMDEgMTg4LjgxIDIwNy4zMyAxODkuMDUgMjA3LjUxIDE4&#10;OS4zOCAyMDcuNjYgMTg5LjY1IDIwNy43NCAxODkuOTQgMjA3LjgyIDE5MC4yMiAyMDcuOTYgMTkw&#10;LjY5IDIwOC4wOCAxOTEuMTUgMjA4LjE4IDE5MS42MiAyMDguMzkgMTkyLjU1IDIwOC41MyAxOTMu&#10;NDkgMjA4LjY1IDE5NC40MiAyMDguNzcgMTk1LjM3IDIwOC45MSAxOTYuMzIgMjA5LjA0IDE5Ny4y&#10;OCAyMDkuMSAxOTcuNzMgMjA5LjE2IDE5OC4xNyAyMDkuMTcgMTk4LjYyIDIwOS4xOCAxOTkuMDUg&#10;MjA5LjE3IDE5OS40OCAyMDkuMTcgMTk5LjkxIDIwOS4xNyAxOTkuOTcgMjA5LjE3IDIwMC4wMyAy&#10;MDkuMTcgMjAwLjEgMjA5LjE3IDIwMC40IDIwOS4wMyAyMDAuNjggMjA4LjY2IDIwMC45MiAyMDgu&#10;MzIgMjAxLjEzIDIwNy44MyAyMDEuMjYgMjA3LjMzIDIwMS4yOCAyMDYuOCAyMDEuMyAyMDYuMjgg&#10;MjAxLjE5IDIwNS44OSAyMDAuOTkgMjA1LjQ5IDIwMC43OCAyMDUuMzMgMjAwLjUzIDIwNS4yNSAy&#10;MDAuMjMgMjA1IDE5OS4zMyAyMDQuOCAxOTguNDMgMjA0LjcgMTk3LjUyIDIwNC42MSAxOTYuNTkg&#10;MjA0LjUyIDE5NS42NSAyMDQuNDIgMTk0LjcyIDIwNC4zMSAxOTMuNzggMjA0LjIyIDE5Mi44MyAy&#10;MDQuMTQgMTkxLjg4IDIwNC4xIDE5MS40MSAyMDQuMDYgMTkwLjk0IDIwNC4wMyAxOTAuNDcgMjA0&#10;LjAyIDE5MC4yNiAyMDQuMDEgMTkwLjA0IDIwNC4wMiAxODkuODMgMjA0LjAzIDE4OS40NyAyMDQu&#10;MDkgMTg5LjEyIDIwNC41NCAxODguODMgMjA0LjU0IDE4OC44MyAyMDQuNTQgMTg4LjgzIDIwNC41&#10;NSAxODguODMgMjA0Ljg3IDE4OC42MyAyMDUuMzcgMTg4LjUyIDIwNS44NSAxODguNTMgMjA2LjA2&#10;IDE4OC41MyAyMDYuMjcgMTg4LjU3IDIwNi40NiAxODguNjNaIiBmaWxsPSIjMDEwMTAxIi8+PHBh&#10;dGggZD0iTTIyMi4xIDE5NC4zOEMyMjIuMTIgMTk0LjQ0IDIyMi4xNCAxOTQuNTEgMjIyLjE2IDE5&#10;NC41NyAyMjIuMTQgMTk0LjUxIDIyMi4xMiAxOTQuNDQgMjIyLjEgMTk0LjM4Wk0yMjAuMTUgMTg4&#10;LjczQzIyMC42NSAxODguOTkgMjIwLjczIDE4OS40OCAyMjAuODYgMTg5LjgzIDIyMS4wNSAxOTAu&#10;MzcgMjIxLjE5IDE5MC45MSAyMjEuMzIgMTkxLjQ1IDIyMS41NSAxOTIuNDIgMjIxLjc5IDE5My40&#10;IDIyMi4xIDE5NC4zNiAyMjIuNDkgMTk1LjQ5IDIyMi44MyAxOTYuNjIgMjIzLjEzIDE5Ny43NiAy&#10;MjMuNCAxOTguOCAyMjMuNzEgMTk5Ljg0IDIyMy44NSAyMDAuOSAyMjMuOTIgMjAxLjQ2IDIyMy4y&#10;NiAyMDIgMjIyLjMyIDIwMi4xNyAyMjEuNzcgMjAyLjI3IDIyMS4xNSAyMDIuMjUgMjIwLjYzIDIw&#10;Mi4xIDIyMC4xNSAyMDEuOTYgMjE5LjY1IDIwMS42OCAyMTkuNTMgMjAxLjM3IDIxOC43NyAxOTku&#10;NDkgMjE4LjUzIDE5Ny41NiAyMTguNDMgMTk1LjYzIDIxOC4zOCAxOTQuNjIgMjE4LjM4IDE5My42&#10;IDIxOC4yOCAxOTIuNTkgMjE4LjE5IDE5MS42NiAyMTguMDIgMTkwLjcyIDIxNy45NyAxODkuNzgg&#10;MjE3Ljk2IDE4OS41NCAyMTcuOTIgMTg5LjI1IDIxOC4wNiAxODkuMDEgMjE4LjEzIDE4OC44NCAy&#10;MTguMzIgMTg4LjY4IDIxOC41OCAxODguNTkgMjE4LjggMTg4LjUxIDIxOS4wNSAxODguNDggMjE5&#10;LjMgMTg4LjQ4IDIxOS42MiAxODguNDkgMjE5LjkzIDE4OC41NyAyMjAuMTUgMTg4LjcxWiIgZmls&#10;bD0iIzAxMDEwMSIvPjxwYXRoIGQ9Ik0yMzUuOTEgMTkwLjM1QzIzNi4wNyAxOTAuNDMgMjM2LjE5&#10;IDE5MC41MyAyMzYuMjYgMTkwLjYzIDIzNi41MiAxOTAuODQgMjM2LjY1IDE5MS4xIDIzNi43NiAx&#10;OTEuMzUgMjM2Ljk4IDE5MS44MyAyMzcuMTIgMTkyLjMyIDIzNy4yMiAxOTIuODEgMjM3LjQyIDE5&#10;My43MiAyMzcuNTggMTk0LjYyIDIzNy43NCAxOTUuNTMgMjM4LjA2IDE5Ny4zMiAyMzguNjUgMTk5&#10;LjEgMjM4LjY4IDIwMC45IDIzOC42OCAyMDEuNDEgMjM4LjIgMjAxLjg3IDIzNy4zMiAyMDIuMDMg&#10;MjM2LjM1IDIwMi4yMSAyMzUuMDggMjAxLjkxIDIzNC44MiAyMDEuMzEgMjM0LjAyIDE5OS40NyAy&#10;MzQgMTk3LjU4IDIzMy43MiAxOTUuNyAyMzMuNTkgMTk0LjggMjMzLjQ1IDE5My45IDIzMy4zMyAx&#10;OTMgMjMzLjI3IDE5Mi41NyAyMzMuMjIgMTkyLjE0IDIzMy4yNiAxOTEuNzEgMjMzLjI5IDE5MS40&#10;MyAyMzMuMzEgMTkxLjE3IDIzMy40NCAxOTAuOTIgMjMzLjQ0IDE5MC44NyAyMzMuNDUgMTkwLjgz&#10;IDIzMy40NyAxOTAuNzkgMjMzLjU3IDE5MC41IDIzMy45NiAxOTAuMjYgMjM0LjQ1IDE5MC4xNyAy&#10;MzQuNjIgMTkwLjE0IDIzNC44MSAxOTAuMTIgMjM0Ljk5IDE5MC4xMyAyMzUuMzIgMTkwLjE0IDIz&#10;NS42NSAxOTAuMjEgMjM1LjkgMTkwLjM0WiIgZmlsbD0iIzAxMDEwMSIvPjxwYXRoIGQ9Ik0yNDku&#10;MDggMTg4LjJDMjQ5LjE0IDE4OC4yNSAyNDkuMTggMTg4LjMgMjQ5LjIyIDE4OC4zNiAyNDkuNDQg&#10;MTg4LjYyIDI0OS41IDE4OC45MiAyNDkuNTggMTg5LjIxIDI0OS42OSAxODkuNTggMjQ5Ljc4IDE4&#10;OS45NSAyNDkuODYgMTkwLjMyIDI1MC4wNCAxOTEuMDkgMjUwLjIyIDE5MS44NyAyNTAuMzkgMTky&#10;LjY0IDI1MC43NCAxOTQuMTkgMjUxLjEyIDE5NS43MyAyNTEuNjIgMTk3LjI2IDI1MS45NSAxOTgu&#10;MjIgMjUyLjI5IDE5OS4xOCAyNTIuNTMgMjAwLjE1IDI1Mi42MyAyMDAuNTggMjUyLjcyIDIwMS4w&#10;MSAyNTIuNzggMjAxLjQ1IDI1Mi44MSAyMDEuNjcgMjUyLjg0IDIwMS44OSAyNTIuODYgMjAyLjEg&#10;MjUyLjg4IDIwMi4zOSAyNTIuODYgMjAyLjY4IDI1Mi44MyAyMDIuOTcgMjUyLjg1IDIwMy4xMSAy&#10;NTIuNzkgMjAzLjI1IDI1Mi42OCAyMDMuMzggMjUyLjUxIDIwMy41NyAyNTIuMjEgMjAzLjcyIDI1&#10;MS44NSAyMDMuNzggMjUxLjEgMjAzLjkyIDI1MC4zMyAyMDMuNjggMjUwLjA2IDIwMy4yNyAyNDku&#10;OSAyMDMuMDMgMjQ5LjczIDIwMi43OSAyNDkuNiAyMDIuNTQgMjQ5LjUgMjAyLjM0IDI0OS40MiAy&#10;MDIuMTQgMjQ5LjMzIDIwMS45NSAyNDkuMTMgMjAxLjQ3IDI0OC45NCAyMDAuOTkgMjQ4Ljc5IDIw&#10;MC41IDI0OC41MSAxOTkuNiAyNDguMzEgMTk4LjcgMjQ4LjEyIDE5Ny43OSAyNDcuNzUgMTk1Ljk0&#10;IDI0Ny4zNCAxOTQuMDkgMjQ3LjAzIDE5Mi4yNCAyNDYuOTEgMTkxLjU2IDI0Ni44IDE5MC44OCAy&#10;NDYuNyAxOTAuMjEgMjQ2LjY1IDE4OS44OCAyNDYuNjEgMTg5LjU1IDI0Ni41OSAxODkuMjMgMjQ2&#10;LjU3IDE4OC45NCAyNDYuNTQgMTg4LjU5IDI0Ni43OSAxODguMzEgMjQ2LjggMTg4LjMgMjQ2Ljgx&#10;IDE4OC4yOCAyNDYuODIgMTg4LjI3IDI0Ny4wMyAxODguMDQgMjQ3LjQ1IDE4Ny44OCAyNDcuOTEg&#10;MTg3Ljg2IDI0Ny45NiAxODcuODYgMjQ4LjAxIDE4Ny44NiAyNDguMDYgMTg3Ljg2IDI0OC40NyAx&#10;ODcuODcgMjQ4Ljg2IDE4OCAyNDkuMDggMTg4LjJaIiBmaWxsPSIjMDEwMTAxIi8+PHBhdGggZD0i&#10;TTI2Mi42IDE5MS4yN0MyNjMuNDIgMTkxLjQ2IDI2My44MyAxOTIgMjY0LjE2IDE5Mi40MyAyNjQu&#10;MzkgMTkyLjczIDI2NC41MyAxOTMuMDYgMjY0LjY3IDE5My4zOSAyNjQuOTYgMTk0LjA1IDI2NS4x&#10;OSAxOTQuNzMgMjY1LjQyIDE5NS40IDI2NS44OCAxOTYuNzIgMjY2LjIzIDE5OC4wNiAyNjYuNjYg&#10;MTk5LjM4IDI2Ni43NyAxOTkuNjcgMjY2Ljg5IDE5OS45NyAyNjYuOTIgMjAwLjI3IDI2Ni45NCAy&#10;MDAuNTYgMjY2Ljk0IDIwMC44NSAyNjYuOTMgMjAxLjE0IDI2Ni45MiAyMDEuNjQgMjY2LjQ3IDIw&#10;Mi4wOSAyNjUuNiAyMDIuMjUgMjY1LjExIDIwMi4zNCAyNjQuNTggMjAyLjMyIDI2NC4xMiAyMDIu&#10;MTggMjYzLjYzIDIwMi4wNCAyNjMuMzYgMjAxLjgyIDI2My4xNSAyMDEuNTQgMjYyLjkzIDIwMS4y&#10;NiAyNjIuNzMgMjAwLjk4IDI2Mi41NiAyMDAuNjkgMjYyLjM1IDIwMC4zNCAyNjIuMjggMTk5Ljk3&#10;IDI2Mi4xNyAxOTkuNjEgMjYxLjc0IDE5OC4zNyAyNjEuMzEgMTk3LjEzIDI2MC45MiAxOTUuODgg&#10;MjYwLjcyIDE5NS4yMyAyNjAuNTMgMTk0LjU4IDI2MC4zNCAxOTMuOTMgMjYwLjI0IDE5My42MSAy&#10;NjAuMTUgMTkzLjI5IDI2MC4wNSAxOTIuOTYgMjU5Ljk2IDE5Mi42NiAyNTkuODIgMTkyLjI4IDI1&#10;OS45OSAxOTEuOTggMjYwLjE1IDE5MS43IDI2MC4zNCAxOTEuNDggMjYwLjc5IDE5MS4zMiAyNjEu&#10;MTMgMTkxLjIgMjYxLjQ4IDE5MS4xNSAyNjEuODUgMTkxLjE2IDI2Mi4xIDE5MS4xNiAyNjIuMzYg&#10;MTkxLjIgMjYyLjYxIDE5MS4yNloiIGZpbGw9IiMwMTAxMDEiLz48cGF0aCBkPSJNMjc2LjgzIDE5&#10;MS4yNkMyNzcuMzcgMTkxLjM5IDI3Ny42NiAxOTEuNzIgMjc3Ljg1IDE5Mi4wMSAyNzcuOTcgMTky&#10;LjE5IDI3OC4wNSAxOTIuMzcgMjc4LjExIDE5Mi41NSAyNzguMjkgMTkzLjA1IDI3OC40NiAxOTMu&#10;NTUgMjc4LjYxIDE5NC4wNSAyNzguODcgMTk0Ljg5IDI3OS4wNSAxOTUuNzMgMjc5LjI0IDE5Ni41&#10;NyAyNzkuNDMgMTk3LjQgMjc5LjU4IDE5OC4yMyAyNzkuODEgMTk5LjA1IDI3OS45MiAxOTkuNDQg&#10;MjgwLjA0IDE5OS44NCAyODAuMTUgMjAwLjIzIDI4MC4yMSAyMDAuNDQgMjgwLjI2IDIwMC42NSAy&#10;ODAuMzEgMjAwLjg2IDI4MC4zMyAyMDAuOTQgMjgwLjM2IDIwMS4wMyAyODAuMzcgMjAxLjEyIDI4&#10;MC40IDIwMS4zNCAyODAuMzcgMjAxLjU1IDI4MC4zMiAyMDEuNzcgMjgwLjI0IDIwMS45OCAyODAu&#10;MDcgMjAyLjE3IDI3OS44MSAyMDIuMzQgMjc5LjQ0IDIwMi41NyAyNzguOTIgMjAyLjcxIDI3OC4z&#10;OCAyMDIuNzMgMjc3LjQgMjAyLjc2IDI3Ni41OSAyMDIuNDEgMjc2LjI1IDIwMS45MSAyNzUuOTQg&#10;MjAxLjQ0IDI3NS45IDIwMC45MSAyNzUuODEgMjAwLjQyIDI3NS43NCAyMDAuMDIgMjc1LjY5IDE5&#10;OS42MiAyNzUuNjQgMTk5LjIzIDI3NS41MyAxOTguNDEgMjc1LjMzIDE5Ny42IDI3NS4xNyAxOTYu&#10;NzkgMjc1IDE5NS45NCAyNzQuODQgMTk1LjA5IDI3NC42OCAxOTQuMjQgMjc0LjYxIDE5My44MyAy&#10;NzQuNTMgMTkzLjQyIDI3NC40OCAxOTMuMDIgMjc0LjQ2IDE5Mi44MyAyNzQuNDUgMTkyLjY0IDI3&#10;NC40NyAxOTIuNDQgMjc0LjQ5IDE5Mi4yOSAyNzQuNDggMTkyLjExIDI3NC41NyAxOTEuOTYgMjc0&#10;LjY2IDE5MS44IDI3NC43NyAxOTEuNTggMjc1LjAxIDE5MS40NiAyNzUuMTkgMTkxLjM1IDI3NS40&#10;MSAxOTEuMjcgMjc1LjY2IDE5MS4yMiAyNzUuODQgMTkxLjE5IDI3Ni4wMiAxOTEuMTcgMjc2LjE5&#10;IDE5MS4xOCAyNzYuNCAxOTEuMTggMjc2LjYxIDE5MS4yMiAyNzYuODIgMTkxLjI3WiIgZmlsbD0i&#10;IzAxMDEwMSIvPjxwYXRoIGQ9Ik0yODguNjIgMTkxLjcxQzI4OS4yNSAxOTEuOTEgMjg5LjQ5IDE5&#10;Mi4yNyAyODkuNjMgMTkyLjY0IDI4OS43NiAxOTIuOTggMjg5Ljg0IDE5My4zMyAyODkuOTMgMTkz&#10;LjY4IDI5MC4wNyAxOTQuMjMgMjkwLjE3IDE5NC43OSAyOTAuMjcgMTk1LjM0IDI5MC40OCAxOTYu&#10;NTQgMjkwLjYyIDE5Ny43NCAyOTAuNzIgMTk4Ljk1IDI5MC43NiAxOTkuNDUgMjkwLjA5IDE5OS45&#10;IDI4OS4xOSAxOTkuOTMgMjg4Ljc1IDE5OS45NSAyODguMzEgMTk5Ljg2IDI4Ny45OSAxOTkuNjkg&#10;Mjg3LjY1IDE5OS41MSAyODcuNTMgMTk5LjMxIDI4Ny40NiAxOTkuMDYgMjg3LjExIDE5Ny44NyAy&#10;ODYuODQgMTk2LjY4IDI4Ni42NCAxOTUuNDggMjg2LjU1IDE5NC45NCAyODYuNDcgMTk0LjM5IDI4&#10;Ni40MyAxOTMuODUgMjg2LjQxIDE5My41NyAyODYuMzggMTkzLjI4IDI4Ni40IDE5MyAyODYuNDMg&#10;MTkyLjU0IDI4Ni40NyAxOTIuMDUgMjg3LjIzIDE5MS43NiAyODcuNDcgMTkxLjY3IDI4Ny43OCAx&#10;OTEuNjIgMjg4LjA4IDE5MS42MyAyODguMjcgMTkxLjYzIDI4OC40NiAxOTEuNjYgMjg4LjYzIDE5&#10;MS43MloiIGZpbGw9IiMwMTAxMDEiLz48cGF0aCBkPSJNMjk4Ljg2IDE5MC4wN0MyOTkuMjMgMTkw&#10;LjE3IDI5OS41IDE5MC4zNSAyOTkuNjkgMTkwLjU1IDI5OS45MSAxOTAuNzggMzAwLjA4IDE5MS4w&#10;MiAzMDAuMjIgMTkxLjI3IDMwMC40NSAxOTEuNjggMzAwLjYgMTkyLjEgMzAwLjc1IDE5Mi41MiAz&#10;MDEuMDcgMTkzLjQzIDMwMS4zMSAxOTQuMzQgMzAxLjUyIDE5NS4yNSAzMDEuOTMgMTk3LjAxIDMw&#10;Mi4yOCAxOTguNzcgMzAyLjU2IDIwMC41MyAzMDIuNjcgMjAxLjIxIDMwMi43OCAyMDEuODkgMzAy&#10;LjgxIDIwMi41OCAzMDIuODMgMjAzLjA3IDMwMi4zNCAyMDMuNTEgMzAxLjUxIDIwMy42NyAzMDEu&#10;MDMgMjAzLjc2IDMwMC41MSAyMDMuNzQgMzAwLjA2IDIwMy42MSAyOTkuNjUgMjAzLjQ5IDI5OS4y&#10;MiAyMDMuMjUgMjk5LjEyIDIwMi45OCAyOTguNzQgMjAyLjA1IDI5OC41IDIwMS4wOSAyOTguMjkg&#10;MjAwLjE0IDI5OC4xIDE5OS4yOCAyOTcuOTMgMTk4LjQyIDI5Ny43OCAxOTcuNTcgMjk3LjQ5IDE5&#10;NS44MSAyOTcuMjYgMTk0LjA1IDI5Ny4xMSAxOTIuMjkgMjk3LjA5IDE5MS45OCAyOTcuMDYgMTkx&#10;LjY3IDI5Ny4wNiAxOTEuMzYgMjk3LjA2IDE5MS4wNCAyOTcuMDMgMTkwLjY2IDI5Ny4zMSAxOTAu&#10;MzcgMjk3LjU1IDE5MC4xMyAyOTcuOTcgMTkwIDI5OC40MSAxOTAuMDEgMjk4LjU2IDE5MC4wMSAy&#10;OTguNzEgMTkwLjA0IDI5OC44NiAxOTAuMDhaIiBmaWxsPSIjMDEwMTAxIi8+PHBhdGggZD0iTTMx&#10;My4wNSAxOTIuMjZDMzEzLjQgMTkyLjQyIDMxMy42MSAxOTIuNjcgMzEzLjc2IDE5Mi45IDMxMy44&#10;NiAxOTMuMDUgMzEzLjkyIDE5My4yMSAzMTMuOTggMTkzLjM3IDMxNC4xNSAxOTMuODIgMzE0LjI4&#10;IDE5NC4yNiAzMTQuMzggMTk0LjcxIDMxNC41NSAxOTUuNDUgMzE0LjY5IDE5Ni4xOSAzMTQuOCAx&#10;OTYuOTMgMzE0LjkyIDE5Ny42NSAzMTUuMDIgMTk4LjM3IDMxNS4xMyAxOTkuMDkgMzE1LjE4IDE5&#10;OS40NCAzMTUuMjUgMTk5Ljc5IDMxNS4yOSAyMDAuMTUgMzE1LjM0IDIwMC42NSAzMTUuMjMgMjAx&#10;LjE2IDMxNS4xMyAyMDEuNjYgMzE1LjAzIDIwMi4xNSAzMTQuMTQgMjAyLjUyIDMxMy4zMiAyMDIu&#10;NTUgMzEyLjQ1IDIwMi41OCAzMTEuNiAyMDIuMjYgMzExLjM0IDIwMS43OSAzMTEuMDggMjAxLjMy&#10;IDMxMC44NSAyMDAuODYgMzEwLjc0IDIwMC4zNyAzMTAuNjcgMjAwLjAzIDMxMC42MiAxOTkuNjgg&#10;MzEwLjU2IDE5OS4zNCAzMTAuNDUgMTk4LjYxIDMxMC4zMiAxOTcuODggMzEwLjIyIDE5Ny4xNSAz&#10;MTAuMTIgMTk2LjQxIDMxMC4wMyAxOTUuNjggMzA5Ljk3IDE5NC45NCAzMDkuOTQgMTk0LjU2IDMw&#10;OS45IDE5NC4xOCAzMDkuOTEgMTkzLjggMzA5LjkxIDE5My4zMSAzMDkuOTEgMTkyLjY5IDMxMC41&#10;NyAxOTIuMzIgMzEwLjkgMTkyLjE0IDMxMS4yOCAxOTIuMDIgMzExLjc1IDE5MiAzMTEuODIgMTky&#10;IDMxMS44OCAxOTIgMzExLjk0IDE5MiAzMTIuMzUgMTkyLjAxIDMxMi42OSAxOTIuMTEgMzEzLjAy&#10;IDE5Mi4yNVoiIGZpbGw9IiMwMTAxMDEiLz48cGF0aCBkPSJNMzI2LjkgMTkxLjgyQzMyNy4zOCAx&#10;OTEuOTMgMzI3LjY2IDE5Mi4yNSAzMjcuNzkgMTkyLjUxIDMyNy45MyAxOTIuNzcgMzI4LjAxIDE5&#10;My4wNCAzMjguMDkgMTkzLjMgMzI4LjIzIDE5My43MiAzMjguMzQgMTk0LjE1IDMyOC40NCAxOTQu&#10;NTggMzI4LjY0IDE5NS40MyAzMjguODEgMTk2LjI3IDMyOS4wMSAxOTcuMTIgMzI5LjM5IDE5OC43&#10;OSAzMjkuNjggMjAwLjQ2IDMyOS45NSAyMDIuMTQgMzMwLjEyIDIwMy4yMSAzMzAuMzYgMjA0LjI3&#10;IDMzMC40NyAyMDUuMzQgMzMwLjUyIDIwNS44MyAzMjkuOTcgMjA2LjMgMzI5LjE0IDIwNi40NSAz&#10;MjguNjYgMjA2LjU0IDMyOC4xMiAyMDYuNTIgMzI3LjY2IDIwNi4zOSAzMjcuMjQgMjA2LjI3IDMy&#10;Ni44IDIwNi4wMiAzMjYuNyAyMDUuNzUgMzI2LjMzIDIwNC44MyAzMjYuMTMgMjAzLjkgMzI1Ljkx&#10;IDIwMi45NiAzMjUuNzIgMjAyLjE2IDMyNS41MiAyMDEuMzcgMzI1LjM1IDIwMC41NyAzMjUgMTk4&#10;Ljg1IDMyNC43NiAxOTcuMTIgMzI0LjY5IDE5NS4zOSAzMjQuNjcgMTk0LjgyIDMyNC42NiAxOTQu&#10;MjQgMzI0LjY5IDE5My42NyAzMjQuNzEgMTkzLjM0IDMyNC43MiAxOTMgMzI0LjgyIDE5Mi42NyAz&#10;MjQuODYgMTkyLjUxIDMyNC45MyAxOTIuMzIgMzI1LjA4IDE5Mi4xOCAzMjUuMjEgMTkyLjA2IDMy&#10;NS4zNSAxOTEuOTMgMzI1LjU5IDE5MS44NiAzMjUuODcgMTkxLjc4IDMyNi4xMiAxOTEuNzQgMzI2&#10;LjM5IDE5MS43NSAzMjYuNTUgMTkxLjc1IDMyNi43MiAxOTEuNzggMzI2LjkgMTkxLjgyWiIgZmls&#10;bD0iIzAxMDEwMSIvPjxwYXRoIGQ9Ik0zNDAuMjggMTkyLjAxQzM0MC43IDE5Mi4xOSAzNDAuOTIg&#10;MTkyLjUgMzQxLjEyIDE5Mi43NiAzNDEuMjggMTkyLjk3IDM0MS4zOCAxOTMuMiAzNDEuNDcgMTkz&#10;LjQyIDM0MS43MSAxOTMuOTggMzQxLjg4IDE5NC41NiAzNDIuMDMgMTk1LjE0IDM0Mi4zIDE5Ni4x&#10;NSAzNDIuNTEgMTk3LjE3IDM0Mi43MiAxOTguMTggMzQyLjk0IDE5OS4xNyAzNDMuMTQgMjAwLjE1&#10;IDM0My4zNiAyMDEuMTMgMzQzLjU4IDIwMi4xMiAzNDMuODUgMjAzLjA5IDM0NC4xMSAyMDQuMDgg&#10;MzQ0LjE5IDIwNC4zNyAzNDQuMjYgMjA0LjY2IDM0NC4zMiAyMDQuOTYgMzQ0LjQ0IDIwNS41MiAz&#10;NDMuNyAyMDYuMDcgMzQyLjc5IDIwNi4yNCAzNDIuMjMgMjA2LjM0IDM0MS42MSAyMDYuMzIgMzQx&#10;LjA5IDIwNi4xNyAzNDAuNjEgMjA2LjAzIDM0MC4xIDIwNS43NSAzMzkuOTggMjA1LjQ0IDMzOS4x&#10;OSAyMDMuNDIgMzM4LjY1IDIwMS4zNSAzMzguMjEgMTk5LjI5IDMzOCAxOTguMjkgMzM3LjgxIDE5&#10;Ny4yOCAzMzcuNjMgMTk2LjI4IDMzNy41NCAxOTUuNzggMzM3LjQ3IDE5NS4yOCAzMzcuMzkgMTk0&#10;Ljc4IDMzNy4zMSAxOTQuMyAzMzcuMjMgMTkzLjgyIDMzNy4yMyAxOTMuMzQgMzM3LjIzIDE5My4x&#10;MyAzMzcuMjUgMTkyLjkxIDMzNy4zMSAxOTIuNzEgMzM3LjM4IDE5Mi40NyAzMzcuNTggMTkyLjI5&#10;IDMzNy44NCAxOTIuMSAzMzguMDkgMTkxLjkxIDMzOC42IDE5MS44IDMzOS4wMSAxOTEuNzggMzM5&#10;LjA4IDE5MS43OCAzMzkuMTQgMTkxLjc4IDMzOS4yMSAxOTEuNzggMzM5LjYxIDE5MS43OSAzMzku&#10;OTQgMTkxLjg5IDM0MC4yOCAxOTIuMDNaIiBmaWxsPSIjMDEwMTAxIi8+PHBhdGggZD0iTTM2MC4z&#10;OSAyMDIuODhDMzYwLjQxIDIwMi45NSAzNjAuNDQgMjAzLjAyIDM2MC40NiAyMDMuMDkgMzYwLjQ0&#10;IDIwMy4wMiAzNjAuNDEgMjAyLjk1IDM2MC4zOSAyMDIuODhaTTM1OS4yMyAxOTkuMTNDMzU5LjIz&#10;IDE5OS4xMyAzNTkuMjUgMTk5LjE4IDM1OS4yNiAxOTkuMjEgMzU5LjI2IDE5OS4xOCAzNTkuMjQg&#10;MTk5LjE2IDM1OS4yMyAxOTkuMTNaTTM1NS41OCAxOTIuM0MzNTcuMDMgMTkyLjQ3IDM1Ny40NiAx&#10;OTMuMjggMzU3LjcxIDE5NCAzNTcuOTQgMTk0LjY1IDM1OC4xNCAxOTUuMzEgMzU4LjMzIDE5NS45&#10;NyAzNTguNjUgMTk3LjA2IDM1OC45MSAxOTguMTYgMzU5LjI3IDE5OS4yNSAzNTkuNDkgMTk5Ljg5&#10;IDM1OS43MiAyMDAuNTIgMzU5LjkxIDIwMS4xNiAzNjAuMDcgMjAxLjczIDM2MC4yIDIwMi4zIDM2&#10;MC4zOSAyMDIuODYgMzYwLjUxIDIwMy4yMSAzNjAuNjMgMjAzLjU3IDM2MC43NCAyMDMuOTIgMzYw&#10;Ljc2IDIwNC4xNyAzNjAuNjggMjA0LjQxIDM2MC40NyAyMDQuNjQgMzYwLjE3IDIwNC45NyAzNTku&#10;NjUgMjA1LjIzIDM1OS4wMyAyMDUuMzQgMzU4LjQxIDIwNS40NiAzNTcuNzIgMjA1LjQyIDM1Ny4x&#10;MyAyMDUuMjYgMzU2LjU5IDIwNS4xMSAzNTYuMDQgMjA0Ljc5IDM1NS44OSAyMDQuNDQgMzU1LjQ2&#10;IDIwMy4zOSAzNTUuMDkgMjAyLjMzIDM1NC43NSAyMDEuMjggMzU0LjQzIDIwMC4zIDM1NC4yNSAx&#10;OTkuMzEgMzU0LjAyIDE5OC4zMiAzNTMuOCAxOTcuMzkgMzUzLjU5IDE5Ni40NyAzNTMuNCAxOTUu&#10;NTQgMzUzLjMxIDE5NS4wNyAzNTMuMjIgMTk0LjYxIDM1My4xNCAxOTQuMTQgMzUzLjEgMTkzLjg2&#10;IDM1My4xIDE5My42MSAzNTMuMTQgMTkzLjMzIDM1My4yMiAxOTIuNzMgMzU0LjI2IDE5Mi4yNSAz&#10;NTUuMyAxOTIuMjggMzU1LjM5IDE5Mi4yOCAzNTUuNDggMTkyLjI4IDM1NS41NyAxOTIuM1oiIGZp&#10;bGw9IiMwMTAxMDEiLz48cGF0aCBkPSJNMzY5LjYxIDE5MS44NkMzNjkuOTkgMTkyLjA3IDM3MC4x&#10;NSAxOTIuMjUgMzcwLjM4IDE5Mi41MiAzNzAuNjQgMTkyLjgzIDM3MC43OSAxOTMuMTYgMzcwLjkz&#10;IDE5My40OCAzNzEuMjkgMTk0LjI5IDM3MS40OCAxOTUuMTIgMzcxLjcxIDE5NS45NCAzNzIuMSAx&#10;OTcuMzcgMzcyLjQ0IDE5OC44IDM3Mi43MiAyMDAuMjMgMzcyLjg2IDIwMC45MSAzNzEuODEgMjAx&#10;LjUxIDM3MC42NiAyMDEuNTUgMzcwLjA3IDIwMS41NyAzNjkuNDggMjAxLjQ1IDM2OS4wNSAyMDEu&#10;MjMgMzY4LjU5IDIwMC45OSAzNjguNDQgMjAwLjcyIDM2OC4zMyAyMDAuMzggMzY3LjkxIDE5OC45&#10;NiAzNjcuNiAxOTcuNTQgMzY3LjI5IDE5Ni4xMSAzNjcuMTMgMTk1LjM5IDM2Ni45OCAxOTQuNjcg&#10;MzY2Ljg0IDE5My45NSAzNjYuNzggMTkzLjY0IDM2Ni43MiAxOTMuMzIgMzY2LjY3IDE5My4wMSAz&#10;NjYuNTggMTkyLjQ2IDM2Ni43NyAxOTEuODEgMzY3Ljg2IDE5MS42MiAzNjguMDYgMTkxLjU5IDM2&#10;OC4yNyAxOTEuNTcgMzY4LjQ4IDE5MS41OCAzNjguOSAxOTEuNTkgMzY5LjMyIDE5MS42OSAzNjku&#10;NjEgMTkxLjg1WiIgZmlsbD0iIzAxMDEwMSIvPjxwYXRoIGQ9Ik0zNzkuOTUgMTg5LjMzQzM3OS45&#10;OSAxODkuMzkgMzgwIDE4OS40NiAzODAuMDEgMTg5LjUyIDM4MC4wNiAxODkuNTggMzgwLjExIDE4&#10;OS42NSAzODAuMTUgMTg5LjcxIDM4MC4yOSAxODkuOTUgMzgwLjQgMTkwLjIgMzgwLjUxIDE5MC40&#10;NSAzODAuNzUgMTkxLjAxIDM4MC45MiAxOTEuNTcgMzgxLjA5IDE5Mi4xNCAzODEuNCAxOTMuMTkg&#10;MzgxLjY4IDE5NC4yNSAzODEuOTYgMTk1LjMxIDM4Mi41MSAxOTcuMzggMzgzLjAyIDE5OS40NCAz&#10;ODMuNTUgMjAxLjUxIDM4My42OSAyMDIuMDUgMzgzLjc0IDIwMi41OCAzODMuNzcgMjAzLjEzIDM4&#10;My44IDIwMy42OCAzODMuODggMjA0LjIzIDM4My44OCAyMDQuNzkgMzgzLjg4IDIwNS4yOSAzODMu&#10;NDEgMjA1Ljc0IDM4Mi41NSAyMDUuOSAzODEuNTUgMjA2LjA5IDM4MC40MiAyMDUuNzcgMzgwLjEg&#10;MjA1LjIgMzc5LjgyIDIwNC43IDM3OS42MSAyMDQuMTkgMzc5LjM4IDIwMy42OSAzNzkuMTIgMjAz&#10;LjExIDM3OC44NyAyMDIuNTQgMzc4LjcgMjAxLjk1IDM3OC40MiAyMDAuOTEgMzc4LjI0IDE5OS44&#10;NSAzNzguMDUgMTk4LjggMzc3LjY2IDE5Ni43IDM3Ny4zMyAxOTQuNTkgMzc3LjIyIDE5Mi40OCAz&#10;NzcuMTkgMTkxLjkzIDM3Ny4yIDE5MS4zOCAzNzcuMjUgMTkwLjg0IDM3Ny4yOSAxOTAuNTIgMzc3&#10;LjMzIDE5MC4yIDM3Ny40MiAxODkuODkgMzc3LjQ2IDE4OS43NiAzNzcuNTMgMTg5LjY0IDM3Ny42&#10;MSAxODkuNTIgMzc3LjYxIDE4OS40OCAzNzcuNjEgMTg5LjQ0IDM3Ny42MyAxODkuNDEgMzc3Ljcz&#10;IDE4OS4xMSAzNzguMTkgMTg4Ljg4IDM3OC43MyAxODguODcgMzc4Ljc4IDE4OC44NyAzNzguODIg&#10;MTg4Ljg3IDM3OC44NyAxODguODcgMzc5LjM2IDE4OC44OSAzNzkuNzkgMTg5LjA3IDM3OS45NSAx&#10;ODkuMzRaIiBmaWxsPSIjMDEwMTAxIi8+PHBhdGggZD0iTTM5Ni45NiAxOTAuMTRDMzk3Ljg3IDE5&#10;MC40IDM5OC4yMiAxOTEuMDEgMzk4LjUgMTkxLjUzIDM5OC43NiAxOTIuMDEgMzk4LjkyIDE5Mi41&#10;IDM5OS4xIDE5Mi45OSAzOTkuNDkgMTk0LjExIDM5OS44MiAxOTUuMjUgNDAwLjE1IDE5Ni4zOCA0&#10;MDAuNzUgMTk4LjQxIDQwMS4zNyAyMDAuNDUgNDAxLjc2IDIwMi41IDQwMS43OSAyMDIuNjQgNDAx&#10;LjgxIDIwMi43OCA0MDEuODMgMjAyLjkyIDQwMS45MyAyMDMuNTIgNDAxLjE5IDIwNC4wOSA0MDAu&#10;MjEgMjA0LjI3IDM5OS4wNSAyMDQuNDkgMzk3LjU1IDIwNC4xMiAzOTcuMjMgMjAzLjQyIDM5Ni4y&#10;NiAyMDEuMjQgMzk1LjY4IDE5OS4wMSAzOTUuMTMgMTk2Ljc5IDM5NC44OCAxOTUuNzkgMzk0LjY0&#10;IDE5NC43OCAzOTQuNDkgMTkzLjc3IDM5NC40MSAxOTMuMjUgMzk0LjMzIDE5Mi43MyAzOTQuMzMg&#10;MTkyLjIyIDM5NC4zMyAxOTEuOSAzOTQuMzYgMTkxLjU5IDM5NC40MSAxOTEuMjcgMzk0LjQ2IDE5&#10;MC45NCAzOTQuNjQgMTkwLjY1IDM5NC45OSAxOTAuMzggMzk1LjAxIDE5MC4zNiAzOTUuMDMgMTkw&#10;LjM1IDM5NS4wNiAxOTAuMzQgMzk1LjI1IDE5MC4yMiAzOTUuNDggMTkwLjE0IDM5NS43NCAxOTAu&#10;MDkgMzk1LjkzIDE5MC4wNSAzOTYuMTMgMTkwLjA0IDM5Ni4zMyAxOTAuMDUgMzk2LjU1IDE5MC4w&#10;NSAzOTYuNzYgMTkwLjA5IDM5Ni45NiAxOTAuMTVaIiBmaWxsPSIjMDEwMTAxIi8+PHBhdGggZD0i&#10;TTQwOS4yNCAxOTYuNThDNDA5Ljg5IDE5Ni43NiA0MTAuMTMgMTk3LjE0IDQxMC4yNyAxOTcuNTEg&#10;NDEwLjQgMTk3Ljg4IDQxMC41IDE5OC4yNCA0MTAuNiAxOTguNjEgNDEwLjc1IDE5OS4xOCA0MTAu&#10;ODcgMTk5Ljc1IDQxMC45NyAyMDAuMzIgNDExLjE5IDIwMS41MiA0MTEuMzggMjAyLjczIDQxMS40&#10;MiAyMDMuOTQgNDExLjQzIDIwNC41NiA0MTAuNjYgMjA1LjEgNDA5LjU0IDIwNS4xNCA0MDkuMDEg&#10;MjA1LjE2IDQwOC40NyAyMDUuMDUgNDA4LjA3IDIwNC44NSA0MDcuNjUgMjA0LjYzIDQwNy41MSAy&#10;MDQuMzggNDA3LjQyIDIwNC4wOCA0MDcuMDUgMjAyLjg2IDQwNi44NiAyMDEuNjEgNDA2LjcyIDIw&#10;MC4zNyA0MDYuNjUgMTk5Ljc2IDQwNi42IDE5OS4xNSA0MDYuNjEgMTk4LjUzIDQwNi42MSAxOTgu&#10;MTcgNDA2LjYzIDE5Ny44IDQwNi43NyAxOTcuNDUgNDA2Ljg3IDE5Ny4yMSA0MDcuMDMgMTk3IDQw&#10;Ny4zIDE5Ni44MSA0MDcuNjIgMTk2LjU5IDQwOC4xMyAxOTYuNDggNDA4LjYyIDE5Ni40OSA0MDgu&#10;ODMgMTk2LjQ5IDQwOS4wNSAxOTYuNTMgNDA5LjI0IDE5Ni41OFoiIGZpbGw9IiMwMTAxMDEiLz48&#10;cGF0aCBkPSJNNDE5Ljk1IDE5Mi40NEM0MjAuNDIgMTkyLjYzIDQyMC43IDE5My4wMSA0MjAuOSAx&#10;OTMuMyA0MjEuMDQgMTkzLjUxIDQyMS4xMyAxOTMuNzMgNDIxLjIzIDE5My45NCA0MjEuNDkgMTk0&#10;LjUzIDQyMS42NSAxOTUuMTMgNDIxLjgxIDE5NS43MyA0MjIuMDggMTk2Ljc2IDQyMi4yNSAxOTcu&#10;OCA0MjIuNDUgMTk4Ljg0IDQyMi42NSAxOTkuODggNDIyLjgzIDIwMC45MSA0MjMuMDEgMjAxLjk2&#10;IDQyMy4yIDIwMy4wNCA0MjMuNDQgMjA0LjEyIDQyMy41MSAyMDUuMjEgNDIzLjU1IDIwNS44MSA0&#10;MjIuOTIgMjA2LjM2IDQyMS45MSAyMDYuNTUgNDIwLjY5IDIwNi43OCA0MTkuMzcgMjA2LjM5IDQx&#10;OC45NiAyMDUuNyA0MTguMjggMjA0LjU4IDQxNy45NyAyMDMuMzkgNDE3LjYxIDIwMi4yMiA0MTcu&#10;MjkgMjAxLjE5IDQxNy4wNyAyMDAuMTUgNDE2Ljg4IDE5OS4xIDQxNi43IDE5OC4wNyA0MTYuNTIg&#10;MTk3LjA0IDQxNi40NSAxOTYgNDE2LjQxIDE5NS40OCA0MTYuMzcgMTk0Ljk1IDQxNi40MSAxOTQu&#10;NDMgNDE2LjQzIDE5NC4xMSA0MTYuNDQgMTkzLjc3IDQxNi41NSAxOTMuNDUgNDE2LjYyIDE5My4y&#10;NiA0MTYuNzIgMTkzLjA2IDQxNi44NyAxOTIuODkgNDE3LjA3IDE5Mi42NCA0MTcuMzQgMTkyLjUx&#10;IDQxNy43IDE5Mi4zNCA0MTcuOTcgMTkyLjI0IDQxOC4yNyAxOTIuMTkgNDE4LjU5IDE5Mi4xNyA0&#10;MTguNjYgMTkyLjE3IDQxOC43MyAxOTIuMTcgNDE4LjggMTkyLjE3IDQxOS4yNCAxOTIuMTggNDE5&#10;LjU4IDE5Mi4yOSA0MTkuOTUgMTkyLjQ0WiIgZmlsbD0iIzAxMDEwMSIvPjxwYXRoIGQ9Ik00MzUg&#10;MjAwLjU3QzQzNSAyMDAuNTcgNDM1LjAzIDIwMC42NiA0MzUuMDUgMjAwLjcxIDQzNS4wNCAyMDAu&#10;NjYgNDM1LjAyIDIwMC42MiA0MzUgMjAwLjU3Wk00MzAuMTIgMTkxLjQ3QzQzMS4xOSAxOTEuNTQg&#10;NDMxLjcxIDE5Mi4xNyA0MzIuMSAxOTIuNjQgNDMyLjM2IDE5Mi45NiA0MzIuNTEgMTkzLjMyIDQz&#10;Mi42NyAxOTMuNjYgNDMzLjA2IDE5NC41IDQzMy4zMyAxOTUuMzYgNDMzLjYxIDE5Ni4yMSA0MzQu&#10;MDkgMTk3LjY0IDQzNC41IDE5OS4wOCA0MzQuOTggMjAwLjUyIDQzNS40MiAyMDEuODIgNDM1Ljky&#10;IDIwMy4xMiA0MzYuMjUgMjA0LjQzIDQzNi4zOSAyMDUgNDM1LjYgMjA1LjU3IDQzNC42OCAyMDUu&#10;NzQgNDMzLjUxIDIwNS45NiA0MzIuMTUgMjA1LjU5IDQzMS43OSAyMDQuOTEgNDMxLjE5IDIwMy43&#10;OCA0MzAuODQgMjAyLjYyIDQzMC40NyAyMDEuNDcgNDMwLjE0IDIwMC40NyA0MjkuODMgMTk5LjQ2&#10;IDQyOS41MSAxOTguNDYgNDI5LjE4IDE5Ny40MSA0MjguODUgMTk2LjM2IDQyOC41NiAxOTUuMzEg&#10;NDI4LjQxIDE5NC44MSA0MjguMjcgMTk0LjMxIDQyOC4xNyAxOTMuOCA0MjguMTIgMTkzLjU2IDQy&#10;OC4wNyAxOTMuMzIgNDI4LjAzIDE5My4wOCA0MjcuOTkgMTkyLjgzIDQyNy45NSAxOTIuNTEgNDI4&#10;LjA2IDE5Mi4yNyA0MjguMTEgMTkyLjE3IDQyOC4xNiAxOTIuMDcgNDI4LjI0IDE5MS45OCA0Mjgu&#10;NiAxOTEuNiA0MjkuMjQgMTkxLjQzIDQyOS45NiAxOTEuNDUgNDMwLjAyIDE5MS40NSA0MzAuMDcg&#10;MTkxLjQ1IDQzMC4xMyAxOTEuNDVaIiBmaWxsPSIjMDEwMTAxIi8+PHBhdGggZD0iTTQ0My43NCAx&#10;OTIuODdDNDQ0LjIgMTkzLjA2IDQ0NC40OSAxOTMuNDIgNDQ0LjcxIDE5My43MSA0NDQuOSAxOTMu&#10;OTYgNDQ1LjA2IDE5NC4yIDQ0NS4yMSAxOTQuNDYgNDQ1LjUzIDE5NC45OSA0NDUuNzYgMTk1LjUz&#10;IDQ0Ni4wMSAxOTYuMDcgNDQ2LjUgMTk3LjEyIDQ0Ni45NCAxOTguMTkgNDQ3LjM4IDE5OS4yNSA0&#10;NDcuODggMjAwLjQ2IDQ0OC4zNyAyMDEuNjYgNDQ4Ljc4IDIwMi44OCA0NDguOTYgMjAzLjQyIDQ0&#10;OS4xMiAyMDMuOTUgNDQ5LjI1IDIwNC40OSA0NDkuNCAyMDUuMSA0NDkuNTEgMjA1LjcxIDQ0OS43&#10;IDIwNi4zMiA0NDkuNzIgMjA2LjU0IDQ0OS42NSAyMDYuNzQgNDQ5LjQ4IDIwNi45NCA0NDkuMjIg&#10;MjA3LjIyIDQ0OC43NyAyMDcuNDQgNDQ4LjI0IDIwNy41NCA0NDcuMTQgMjA3Ljc0IDQ0NS45IDIw&#10;Ny4zOSA0NDUuNTUgMjA2Ljc3IDQ0NS4yMiAyMDYuMTggNDQ0LjgzIDIwNS42MSA0NDQuNDUgMjA1&#10;LjA0IDQ0NC4xIDIwNC41MiA0NDMuODEgMjAzLjk5IDQ0My41MyAyMDMuNDUgNDQyLjk3IDIwMi4z&#10;NyA0NDIuNTQgMjAxLjI2IDQ0Mi4xMiAyMDAuMTUgNDQxLjY4IDE5OC45OCA0NDEuMzIgMTk3Ljgg&#10;NDQxIDE5Ni42MSA0NDAuODYgMTk2LjA3IDQ0MC43NCAxOTUuNTMgNDQwLjY0IDE5NC45OSA0NDAu&#10;NTkgMTk0Ljc0IDQ0MC41NSAxOTQuNDggNDQwLjUzIDE5NC4yMiA0NDAuNSAxOTMuODcgNDQwLjUx&#10;IDE5My41IDQ0MC44MSAxOTMuMTggNDQxLjA0IDE5Mi45MyA0NDEuNDIgMTkyLjc0IDQ0MS45IDE5&#10;Mi42NSA0NDIuMTIgMTkyLjYxIDQ0Mi4zNCAxOTIuNTkgNDQyLjU1IDE5Mi42IDQ0Mi45OCAxOTIu&#10;NjEgNDQzLjM3IDE5Mi43MiA0NDMuNzUgMTkyLjg3WiIgZmlsbD0iIzAxMDEwMSIvPjxwYXRoIGQ9&#10;Ik00NTAuNDcgMTkxLjE4QzQ1MS44IDE5MS4zNyA0NTIuMzEgMTkyLjE5IDQ1Mi43OSAxOTIuODMg&#10;NDUzLjE2IDE5My4zMyA0NTMuNDcgMTkzLjgzIDQ1My43OCAxOTQuMzQgNDU0LjM4IDE5NS4zMSA0&#10;NTQuOTMgMTk2LjMgNDU1LjQ1IDE5Ny4yOSA0NTUuOTkgMTk4LjMxIDQ1Ni40NyAxOTkuMzQgNDU2&#10;Ljg4IDIwMC4zOCA0NTcuMjkgMjAxLjQyIDQ1Ny42OSAyMDIuNDYgNDU4LjIgMjAzLjQ5IDQ1OC40&#10;OSAyMDQuMDcgNDU4Ljc5IDIwNC42NSA0NTkuMTEgMjA1LjIzIDQ1OS40OCAyMDUuOTMgNDU4Ljg0&#10;IDIwNi43IDQ1Ny41OSAyMDYuOTMgNDU2LjM3IDIwNy4xNiA0NTQuOTcgMjA2Ljc3IDQ1NC41OSAy&#10;MDYuMDcgNDUzLjk5IDIwNC45OCA0NTMuMzkgMjAzLjg4IDQ1Mi43MSAyMDIuOCA0NTIuMDYgMjAx&#10;Ljc3IDQ1MS4zOSAyMDAuNzYgNDUwLjg1IDE5OS43MiA0NTAuMzQgMTk4LjczIDQ0OS45NCAxOTcu&#10;NzMgNDQ5LjUzIDE5Ni43MiA0NDkuMzMgMTk2LjIxIDQ0OS4xMyAxOTUuNyA0NDguOTUgMTk1LjE4&#10;IDQ0OC43MyAxOTQuNTYgNDQ4LjQ5IDE5My45NCA0NDguMzYgMTkzLjMxIDQ0OC4yOSAxOTIuOTUg&#10;NDQ4LjI1IDE5Mi41OSA0NDguMzQgMTkyLjI0IDQ0OC4zOCAxOTIuMDUgNDQ4LjQ3IDE5MS44OCA0&#10;NDguNjIgMTkxLjcxIDQ0OC45MiAxOTEuMzkgNDQ5LjU2IDE5MS4xNCA0NTAuMjIgMTkxLjE2IDQ1&#10;MC4zMSAxOTEuMTYgNDUwLjM5IDE5MS4xNyA0NTAuNDggMTkxLjE4WiIgZmlsbD0iIzAxMDEwMSIv&#10;PjxwYXRoIGQ9Ik00NzMuMDIgMTgzLjkzQzQ3My42NSAxODQuMTcgNDc0LjAyIDE4NC42NSA0NzQu&#10;MzQgMTg1LjA4IDQ3NC42NyAxODUuNTMgNDc0Ljk3IDE4NS45OSA0NzUuMjcgMTg2LjQ1IDQ3NS43&#10;OSAxODcuMjYgNDc2LjI5IDE4OC4wNyA0NzYuNzggMTg4Ljg5IDQ3Ny44NCAxOTAuNjMgNDc4Ljkg&#10;MTkyLjM3IDQ3OS43NSAxOTQuMTYgNDgwIDE5NC42OSA0NzkuNjkgMTk1LjI4IDQ3OS4wNSAxOTUu&#10;NTggNDc4LjY3IDE5NS43NSA0NzguMjEgMTk1LjgyIDQ3Ny43NyAxOTUuNzUgNDc3LjM3IDE5NS42&#10;OSA0NzYuODUgMTk1LjQ5IDQ3Ni42NiAxOTUuMjEgNDc2LjAxIDE5NC4yNiA0NzUuNDMgMTkzLjMg&#10;NDc0Ljg2IDE5Mi4zMiA0NzQuMzggMTkxLjUgNDczLjkyIDE5MC42NyA0NzMuNDYgMTg5Ljg1IDQ3&#10;Mi45OSAxODkgNDcyLjUxIDE4OC4xNCA0NzIuMDYgMTg3LjI5IDQ3MS44NiAxODYuOTEgNDcxLjY3&#10;IDE4Ni41MyA0NzEuNSAxODYuMTUgNDcxLjQxIDE4NS45NCA0NzEuMzMgMTg1LjczIDQ3MS4yNiAx&#10;ODUuNTIgNDcxLjE2IDE4NS4yMyA0NzEuMDYgMTg0Ljg2IDQ3MS4xOCAxODQuNTcgNDcxLjI5IDE4&#10;NC4zMiA0NzEuNDMgMTg0LjEyIDQ3MS43NSAxODMuOTggNDcxLjk4IDE4My44NyA0NzIuMjYgMTgz&#10;LjgyIDQ3Mi41NCAxODMuODMgNDcyLjcxIDE4My44MyA0NzIuODggMTgzLjg3IDQ3My4wNCAxODMu&#10;OTNaIiBmaWxsPSIjMDEwMTAxIi8+PHBhdGggZD0iTTQ4NC44NyAxODguNkM0ODQuODcgMTg4LjYg&#10;NDg0LjgzIDE4OC41NCA0ODQuODEgMTg4LjUxIDQ4NC44IDE4OC40OSA0ODQuNzkgMTg4LjQ3IDQ4&#10;NC43NyAxODguNDYgNDg0LjggMTg4LjUxIDQ4NC44MyAxODguNTUgNDg0Ljg2IDE4OC42Wk00Nzgg&#10;MTc5LjE5QzQ3OC40MiAxNzkuNDYgNDc4LjYxIDE3OS44MSA0NzguNjEgMTgwLjE2IDQ3OS42OCAx&#10;ODEuMjEgNDgwLjUyIDE4Mi40IDQ4MS4zNiAxODMuNTUgNDgyLjUxIDE4NS4xMyA0ODMuNjIgMTg2&#10;LjcyIDQ4NC42OSAxODguMzIgNDg0LjYgMTg4LjE4IDQ4NC41MSAxODguMDUgNDg0LjQyIDE4Ny45&#10;MSA0ODQuNTQgMTg4LjA5IDQ4NC42NiAxODguMjcgNDg0Ljc4IDE4OC40NiA0ODQuNzggMTg4LjQ1&#10;IDQ4NC43NiAxODguNDQgNDg0Ljc2IDE4OC40MyA0ODQuNzggMTg4LjQ2IDQ4NC44IDE4OC40OSA0&#10;ODQuODIgMTg4LjUyTDQ4NC45MSAxODguNjVDNDg0LjkxIDE4OC42NSA0ODQuODkgMTg4LjYyIDQ4&#10;NC44OCAxODguNjEgNDg0LjkgMTg4LjY0IDQ4NC45MyAxODguNjggNDg0Ljk1IDE4OC43MSA0ODQu&#10;OTggMTg4Ljc1IDQ4NS4wMSAxODguOCA0ODUuMDQgMTg4Ljg0IDQ4NS4wMyAxODguODIgNDg1LjAx&#10;IDE4OC44IDQ4NSAxODguNzggNDg1LjY1IDE4OS43NiA0ODYuMjkgMTkwLjc1IDQ4Ni44OSAxOTEu&#10;NzUgNDg3LjUzIDE5Mi44MiA0ODguMDYgMTkzLjkxIDQ4OC42OSAxOTQuOTggNDg5LjA4IDE5NS42&#10;MyA0ODguNTggMTk2LjQ0IDQ4Ny43OSAxOTYuOCA0ODcuMzEgMTk3LjAyIDQ4Ni43MSAxOTcuMSA0&#10;ODYuMTUgMTk3LjAyIDQ4NS42MiAxOTYuOTUgNDg0Ljk4IDE5Ni42OSA0ODQuNzIgMTk2LjMzIDQ4&#10;My43NCAxOTQuOTMgNDgyLjY3IDE5My41NyA0ODEuNzQgMTkyLjE1IDQ4MC44OCAxOTAuODYgNDgw&#10;LjA4IDE4OS41NSA0NzkuMjggMTg4LjI0IDQ3OC41IDE4Ni45NSA0NzcuNzIgMTg1LjY3IDQ3Ni45&#10;OCAxODQuMzcgNDc2LjM5IDE4My4zMyA0NzUuODEgMTgyLjI5IDQ3NS40NCAxODEuMjEgNDc1LjIg&#10;MTgxLjA2IDQ3NS4wMSAxODAuODYgNDc0LjkxIDE4MC42MyA0NzQuNjQgMTgwLjA1IDQ3NC45NyAx&#10;NzkuMzkgNDc1LjY5IDE3OS4wNiA0NzYuMDQgMTc4LjkgNDc2LjQ0IDE3OC44MyA0NzYuODQgMTc4&#10;Ljg1IDQ3Ny4yNyAxNzguODcgNDc3LjY5IDE3OC45OSA0NzguMDIgMTc5LjJaIiBmaWxsPSIjMDEw&#10;MTAxIi8+PHBhdGggZD0iTTQ4Ni44NyAxNzcuM0M0ODcuMyAxNzcuNjggNDg3LjcgMTc4LjA4IDQ4&#10;OC4wOCAxNzguNDkgNDg4LjggMTc5LjI3IDQ4OS40NiAxODAuMDcgNDkwLjExIDE4MC44OCA0OTEu&#10;NDYgMTgyLjU1IDQ5Mi43OSAxODQuMjMgNDk0LjExIDE4NS45MiA0OTQuNiAxODYuNTQgNDk1LjA4&#10;IDE4Ny4xNiA0OTUuNTMgMTg3LjggNDk2LjA4IDE4OC41OSA0OTYuNTkgMTg5LjM5IDQ5Ny4wOSAx&#10;OTAuMiA0OTcuMiAxOTAuNDQgNDk3LjIyIDE5MC42OSA0OTcuMTUgMTkwLjkzIDQ5Ny4wNCAxOTEu&#10;MzEgNDk2LjcyIDE5MS42NSA0OTYuMjcgMTkxLjg2IDQ5NS4zMyAxOTIuMjkgNDk0LjA5IDE5Mi4w&#10;OCA0OTMuNDcgMTkxLjQzIDQ5Mi42OCAxOTAuNTkgNDkxLjkyIDE4OS43NCA0OTEuMjQgMTg4Ljg2&#10;IDQ5MC41OSAxODguMDMgNDkwLjAxIDE4Ny4xNyA0ODkuNDEgMTg2LjMyIDQ4OC4xOSAxODQuNjEg&#10;NDg3IDE4Mi44OSA0ODUuOCAxODEuMTcgNDg1LjMgMTgwLjQ0IDQ4NC44IDE3OS43MiA0ODQuMzEg&#10;MTc4Ljk5IDQ4NC4xMSAxNzguNjkgNDgzLjkyIDE3OC4zOCA0ODMuNzQgMTc4LjA3IDQ4My42NiAx&#10;NzcuOTMgNDgzLjYgMTc3Ljc5IDQ4My41NSAxNzcuNjUgNDgzLjUxIDE3Ny41NSA0ODMuNDUgMTc3&#10;LjM2IDQ4My40NSAxNzcuMjMgNDgzLjQ1IDE3Ny4wMiA0ODMuNSAxNzYuODggNDgzLjYgMTc2LjY5&#10;IDQ4My43NSAxNzYuNDIgNDg0LjIxIDE3Ni4yNCA0ODQuNiAxNzYuMjIgNDg0LjY2IDE3Ni4yMiA0&#10;ODQuNzIgMTc2LjIyIDQ4NC43NyAxNzYuMjIgNDg1LjY3IDE3Ni4yNiA0ODYuMzUgMTc2Ljg1IDQ4&#10;Ni44NyAxNzcuMzFaIiBmaWxsPSIjMDEwMTAxIi8+PHBhdGggZD0iTTQ5My4zNCAxNzEuMjFDNDkz&#10;LjQzIDE3MS4yNSA0OTMuNTIgMTcxLjI5IDQ5My42MiAxNzEuMzUgNDkzLjkyIDE3MS41MyA0OTQu&#10;MTYgMTcxLjc3IDQ5NC40IDE3MS45OSA0OTQuODYgMTcyLjQyIDQ5NS4yNyAxNzIuODYgNDk1LjY2&#10;IDE3My4zMSA0OTYuNTMgMTc0LjMgNDk3LjM4IDE3NS4zMSA0OTguMjQgMTc2LjMxIDQ5OS44IDE3&#10;OC4xMSA1MDEuMjkgMTc5Ljk0IDUwMi45NSAxODEuNjkgNTAzLjU5IDE4Mi4zNiA1MDQuMjUgMTgz&#10;LjAxIDUwNC45MyAxODMuNjYgNTA1LjI5IDE4NC4wMSA1MDUuNjQgMTg0LjM1IDUwNS45OCAxODQu&#10;NyA1MDYuMTMgMTg0Ljg2IDUwNi4yOSAxODUuMDEgNTA2LjQzIDE4NS4xNyA1MDYuNjggMTg1LjQ2&#10;IDUwNi44NSAxODUuNzggNTA3LjAxIDE4Ni4xIDUwNy4zMiAxODYuNzUgNTA2Ljk0IDE4Ny40OSA1&#10;MDYuMTQgMTg3Ljg2IDUwNS4zNCAxODguMjIgNTA0LjIzIDE4OC4xNyA1MDMuNTQgMTg3LjcgNTAz&#10;LjE3IDE4Ny40NSA1MDIuNzkgMTg3LjE4IDUwMi41MiAxODYuODYgNTAyLjMzIDE4Ni42MyA1MDIu&#10;MTQgMTg2LjQgNTAxLjk1IDE4Ni4xNyA1MDEuNTcgMTg1LjY5IDUwMS4yMiAxODUuMiA1MDAuODYg&#10;MTg0LjcxIDUwMC4yMSAxODMuODQgNDk5LjU5IDE4Mi45NiA0OTguOTMgMTgyLjA5IDQ5OC4yMSAx&#10;ODEuMTQgNDk3LjQ4IDE4MC4xOSA0OTYuNzggMTc5LjIzIDQ5Ni4wNCAxNzguMjQgNDk1LjM1IDE3&#10;Ny4yNCA0OTQuNjQgMTc2LjI0IDQ5NC4wMyAxNzUuMzggNDkzLjQzIDE3NC41MiA0OTIuODYgMTcz&#10;LjY0IDQ5Mi42MiAxNzMuMjYgNDkyLjM4IDE3Mi44OCA0OTIuMTYgMTcyLjQ4IDQ5Mi4wNSAxNzIu&#10;MjggNDkxLjk4IDE3Mi4wOCA0OTEuOTIgMTcxLjg2IDQ5MS45IDE3MS43NyA0OTEuOTEgMTcxLjY5&#10;IDQ5MS45NCAxNzEuNjEgNDkxLjk0IDE3MS40MSA0OTIuMDYgMTcxLjIyIDQ5Mi4zMSAxNzEuMSA0&#10;OTIuNDUgMTcxLjA0IDQ5Mi42MiAxNzEuMDEgNDkyLjc5IDE3MS4wMiA0OTMgMTcxLjAyIDQ5My4y&#10;IDE3MS4wOSA0OTMuMzUgMTcxLjE4WiIgZmlsbD0iIzAxMDEwMSIvPjxwYXRoIGQ9Ik01MDEuMTkg&#10;MTY1LjhDNTAxLjE5IDE2NS44IDUwMS4yNCAxNjUuODIgNTAxLjI2IDE2NS44MyA1MDEuMzkgMTY1&#10;Ljg5IDUwMS41MiAxNjUuOTQgNTAxLjY1IDE2NS45OSA1MDIuMDQgMTY2LjE1IDUwMi40MSAxNjYu&#10;MzYgNTAyLjc2IDE2Ni41NiA1MDMuMzcgMTY2LjkxIDUwMy45NSAxNjcuMyA1MDQuNSAxNjcuNyA1&#10;MDUuNjcgMTY4LjU2IDUwNi44MiAxNjkuNDQgNTA3Ljk3IDE3MC4zMSA1MTAuMTkgMTcyIDUxMi4z&#10;OCAxNzMuNyA1MTQuNjQgMTc1LjM2IDUxNS42OCAxNzYuMTMgNTE2LjY5IDE3Ni45MSA1MTcuNjcg&#10;MTc3LjcyIDUxOC4zMSAxNzguMjQgNTE4LjkzIDE3OC43NyA1MTkuNTQgMTc5LjMgNTIwLjA2IDE3&#10;OS43NyA1MjAuNTQgMTgwLjI2IDUyMS4wNiAxODAuNzMgNTIxLjI4IDE4MC45NyA1MjEuNCAxODEu&#10;MjMgNTIxLjQyIDE4MS41MiA1MjEuNDYgMTgxLjk2IDUyMS4yNCAxODIuNCA1MjAuODMgMTgyLjcy&#10;IDUyMC40MyAxODMuMDMgNTE5Ljg2IDE4My4yMyA1MTkuMjcgMTgzLjI1IDUxOC43IDE4My4yOCA1&#10;MTcuOTkgMTgzLjEzIDUxNy41OSAxODIuODMgNTE2Ljk5IDE4Mi4zNyA1MTYuMzUgMTgxLjk0IDUx&#10;NS43NiAxODEuNDcgNTE1LjIgMTgxLjAzIDUxNC42NSAxODAuNTcgNTE0LjExIDE4MC4xMiA1MTIu&#10;OTYgMTc5LjE1IDUxMS44MyAxNzguMTcgNTEwLjc0IDE3Ny4xNyA1MDguNzUgMTc1LjMzIDUwNi43&#10;MiAxNzMuNTIgNTA0Ljc0IDE3MS42OSA1MDMuNyAxNzAuNzMgNTAyLjY2IDE2OS43NyA1MDEuNjYg&#10;MTY4Ljc5IDUwMS4xOSAxNjguMzMgNTAwLjc0IDE2Ny44NiA1MDAuMzMgMTY3LjM4IDUwMC4xNiAx&#10;NjcuMTcgNTAwLjAxIDE2Ni45NSA0OTkuODkgMTY2LjcyIDQ5OS44NyAxNjYuNjggNDk5Ljg1IDE2&#10;Ni42MyA0OTkuODMgMTY2LjU5IDQ5OS42NiAxNjYuMzYgNDk5LjcyIDE2Ni4wNSA0OTkuOTYgMTY1&#10;Ljg2IDUwMC4xNCAxNjUuNzIgNTAwLjQzIDE2NS42NCA1MDAuNyAxNjUuNjUgNTAwLjg4IDE2NS42&#10;NSA1MDEuMDUgMTY1LjcgNTAxLjE4IDE2NS43OVoiIGZpbGw9IiMwMTAxMDEiLz48cGF0aCBkPSJN&#10;NTEyLjYgMTU5LjY5QzUxMi43NiAxNTkuNzkgNTEyLjg3IDE1OS45MyA1MTIuOTIgMTYwLjA3IDUx&#10;My4xNiAxNjAuMzMgNTEzLjQ2IDE2MC41NyA1MTMuNzMgMTYwLjgxIDUxNC4xNSAxNjEuMTggNTE0&#10;LjU4IDE2MS41NCA1MTUgMTYxLjkgNTE1LjgzIDE2Mi42MiA1MTYuNjUgMTYzLjM1IDUxNy40NiAx&#10;NjQuMDggNTE5LjEgMTY1LjU3IDUyMC43NCAxNjcuMDcgNTIyLjQzIDE2OC41NCA1MjMuNDggMTY5&#10;LjQ2IDUyNC41NSAxNzAuMzggNTI1LjYxIDE3MS4zIDUyNi42OSAxNzIuMjQgNTI3Ljc0IDE3My4x&#10;OCA1MjguODMgMTc0LjEyIDUyOC45NSAxNzQuMjYgNTI5LjAyIDE3NC40MSA1MjkuMDQgMTc0LjU3&#10;IDUyOS4wNiAxNzQuODIgNTI4Ljk0IDE3NS4wOCA1MjguNyAxNzUuMjYgNTI4LjQ3IDE3NS40NCA1&#10;MjguMTQgMTc1LjU1IDUyNy44IDE3NS41NyA1MjcuNDggMTc1LjU4IDUyNy4wNSAxNzUuNTEgNTI2&#10;LjgzIDE3NS4zMyA1MjUuOTQgMTc0LjYxIDUyNS4wMiAxNzMuOTIgNTI0LjE0IDE3My4yMSA1MjMu&#10;MjIgMTcyLjQ2IDUyMi4zNiAxNzEuNjggNTIxLjUgMTcwLjkgNTE5Ljk0IDE2OS40NiA1MTguMzcg&#10;MTY4LjAyIDUxNi44NCAxNjYuNTcgNTE1Ljc3IDE2NS41NiA1MTQuNzIgMTY0LjU1IDUxMy42NiAx&#10;NjMuNTMgNTEzLjE0IDE2My4wMyA1MTIuNjMgMTYyLjUyIDUxMi4xMiAxNjIuMDEgNTExLjkgMTYx&#10;Ljc4IDUxMS42OCAxNjEuNTUgNTExLjQ3IDE2MS4zMiA1MTEuMzIgMTYxLjE2IDUxMS4xNyAxNjAu&#10;OTkgNTExLjA0IDE2MC44MSA1MTAuOTQgMTYwLjczIDUxMC44NiAxNjAuNjMgNTEwLjgxIDE2MC41&#10;MyA1MTAuNjUgMTYwLjIgNTEwLjg0IDE1OS44MiA1MTEuMjYgMTU5LjYzIDUxMS40NiAxNTkuNTQg&#10;NTExLjY5IDE1OS41IDUxMS45MiAxNTkuNTEgNTEyLjE3IDE1OS41MSA1MTIuNDEgMTU5LjU5IDUx&#10;Mi42IDE1OS43MVoiIGZpbGw9IiMwMTAxMDEiLz48cGF0aCBkPSJNNTMzLjAxIDE2Ni44NEM1MzMu&#10;MDEgMTY2Ljg0IDUzMy4wOSAxNjYuOTEgNTMzLjEzIDE2Ni45NCA1MzMuMTMgMTY2Ljk0IDUzMy4x&#10;MyAxNjYuOTQgNTMzLjE0IDE2Ni45NSA1MzMuMTQgMTY2Ljk1IDUzMy4xNSAxNjYuOTYgNTMzLjE2&#10;IDE2Ni45N0w1MzMuMTYgMTY2Ljk3QzUzMy4xNiAxNjYuOTcgNTMzLjI1IDE2Ny4wNSA1MzMuMyAx&#10;NjcuMDggNTMzLjI1IDE2Ny4wNCA1MzMuMiAxNjcgNTMzLjE1IDE2Ni45NiA1MzMuMDcgMTY2Ljkg&#10;NTMzIDE2Ni44MyA1MzIuOTIgMTY2Ljc3IDUzMi45NSAxNjYuOCA1MzIuOTggMTY2LjgyIDUzMy4w&#10;MSAxNjYuODVaTTUzNS43NSAxNjkuMDdDNTM1Ljc1IDE2OS4wNyA1MzUuNzkgMTY5LjEgNTM1Ljgg&#10;MTY5LjEyIDUzNS43OCAxNjkuMSA1MzUuNzYgMTY5LjA5IDUzNS43NSAxNjkuMDdaTTUzMy4wMSAx&#10;NjYuODVDNTMzLjAxIDE2Ni44NSA1MzMuMDcgMTY2LjkgNTMzLjEgMTY2LjkyIDUzMy4wNyAxNjYu&#10;OSA1MzMuMDQgMTY2Ljg3IDUzMy4wMSAxNjYuODVaTTUyMi43NiAxNTQgNTIyLjc2IDE1NEM1MjIu&#10;OTIgMTU0LjEgNTIzLjA2IDE1NC4yMSA1MjMuMTggMTU0LjMxIDUyMy40NiAxNTQuNTMgNTIzLjcy&#10;IDE1NC43NiA1MjMuOTggMTU0Ljk5IDUyNC40OCAxNTUuNDIgNTI0Ljk4IDE1NS44NiA1MjUuNDgg&#10;MTU2LjMgNTI2LjQyIDE1Ny4xNCA1MjcuMzYgMTU3Ljk4IDUyOC4zMSAxNTguODIgNTMwLjI0IDE2&#10;MC41MyA1MzIuMTkgMTYyLjIzIDUzNC4wNiAxNjMuOTYgNTM0Ljg0IDE2NC42OSA1MzUuNjIgMTY1&#10;LjQyIDUzNi4zNCAxNjYuMTcgNTM3LjEgMTY2Ljk2IDUzNy44NCAxNjcuNzUgNTM4LjY2IDE2OC41&#10;MiA1MzkuMTIgMTY4Ljk1IDUzOC44NSAxNjkuNjEgNTM4LjI1IDE2OS44OCA1MzcuOTUgMTcwLjAy&#10;IDUzNy41OCAxNzAuMDcgNTM3LjIzIDE3MC4wMiA1MzYuODMgMTY5Ljk2IDUzNi41OSAxNjkuOCA1&#10;MzYuMzQgMTY5LjU5IDUzNi4xNyAxNjkuNDQgNTM2IDE2OS4yOSA1MzUuODMgMTY5LjE1IDUzNC45&#10;NiAxNjguNDMgNTM0LjA0IDE2Ny43MyA1MzMuMTggMTY3IDUzMy4yNyAxNjcuMDggNTMzLjM2IDE2&#10;Ny4xNSA1MzMuNDYgMTY3LjIzIDUzMy4zNSAxNjcuMTQgNTMzLjI1IDE2Ny4wNSA1MzMuMTQgMTY2&#10;Ljk2IDUzMy4xIDE2Ni45MiA1MzMuMDUgMTY2Ljg5IDUzMy4wMSAxNjYuODUgNTMyLjk3IDE2Ni44&#10;MSA1MzIuOTMgMTY2Ljc4IDUzMi44OCAxNjYuNzQgNTMyLjg5IDE2Ni43NSA1MzIuOSAxNjYuNzYg&#10;NTMyLjkyIDE2Ni43NyA1MzAuOTkgMTY1LjEzIDUyOS4xOSAxNjMuNCA1MjcuNDEgMTYxLjY4IDUy&#10;NS41NiAxNTkuOSA1MjMuNjggMTU4LjEyIDUyMS45IDE1Ni4zMSA1MjEuNjcgMTU2LjA4IDUyMS40&#10;NiAxNTUuODQgNTIxLjI1IDE1NS42IDUyMS4wOCAxNTUuNCA1MjAuODggMTU1LjE4IDUyMC43OSAx&#10;NTQuOTQgNTIwLjY1IDE1NC42NSA1MjAuNzMgMTU0LjMxIDUyMS4wNCAxNTQuMDcgNTIxLjMgMTUz&#10;Ljg3IDUyMS42NiAxNTMuNzcgNTIyLjAyIDE1My43OSA1MjIuMjkgMTUzLjggNTIyLjU2IDE1My44&#10;NyA1MjIuNzggMTU0LjAxWiIgZmlsbD0iIzAxMDEwMSIvPjxwYXRoIGQ9Ik01MzQuMDcgMTUyLjQ1&#10;QzUzNCAxNTIuMzkgNTMzLjkyIDE1Mi4zMyA1MzMuODUgMTUyLjI3IDUzMy45MiAxNTIuMzMgNTM0&#10;IDE1Mi4zOSA1MzQuMDcgMTUyLjQ1Wk01NDMuNjggMTY0LjcyQzU0My42OCAxNjQuNzIgNTQzLjY4&#10;IDE2NC43MiA1NDMuNjggMTY0LjcyIDU0My43MiAxNjQuNzUgNTQzLjc2IDE2NC43OSA1NDMuOCAx&#10;NjQuODIgNTQzLjc0IDE2NC43NyA1NDMuNjkgMTY0LjczIDU0My42MyAxNjQuNjggNTQzLjY0IDE2&#10;NC42OSA1NDMuNjUgMTY0LjcgNTQzLjY3IDE2NC43MVpNNTMwLjI2IDE0OS44OEM1MzAuNjggMTQ5&#10;LjkzIDUzMS4wOCAxNTAuMTQgNTMxLjM5IDE1MC4zNCA1MzEuNjUgMTUwLjUxIDUzMS45MSAxNTAu&#10;NjkgNTMyLjE1IDE1MC44OCA1MzIuNzQgMTUxLjMzIDUzMy4zIDE1MS44IDUzMy44NiAxNTIuMjcg&#10;NTMzLjg0IDE1Mi4yNiA1MzMuODMgMTUyLjI0IDUzMy44MSAxNTIuMjMgNTM1LjYxIDE1My43NSA1&#10;MzcuMzYgMTU1LjMxIDUzOS4wNyAxNTYuODggNTQwLjcyIDE1OC40IDU0Mi4zOSAxNTkuOTEgNTQz&#10;Ljg4IDE2MS41IDU0NC44OCAxNjIuNTcgNTQ1Ljg2IDE2My42NCA1NDYuOTMgMTY0LjY3IDU0Ny4z&#10;NSAxNjUuMDcgNTQ3LjExIDE2NS42OCA1NDYuNTUgMTY1Ljk0IDU0Ni4yNyAxNjYuMDcgNTQ1Ljky&#10;IDE2Ni4xMiA1NDUuNTkgMTY2LjA3IDU0NS4yMiAxNjYuMDIgNTQ0Ljk4IDE2NS44NyA1NDQuNzYg&#10;MTY1LjY3IDU0NC40MyAxNjUuMzcgNTQ0LjA4IDE2NS4wNyA1NDMuNzQgMTY0Ljc3IDU0My44MSAx&#10;NjQuODMgNTQzLjg5IDE2NC44OSA1NDMuOTYgMTY0Ljk2IDU0My44NyAxNjQuODggNTQzLjc4IDE2&#10;NC44MSA1NDMuNjkgMTY0LjczIDU0My42OSAxNjQuNzMgNTQzLjY5IDE2NC43MyA1NDMuNjkgMTY0&#10;LjczIDU0My42NiAxNjQuNyA1NDMuNjMgMTY0LjY4IDU0My42IDE2NC42NSA1NDMuNjIgMTY0LjY3&#10;IDU0My42NCAxNjQuNjggNTQzLjY2IDE2NC43IDU0My41OSAxNjQuNjQgNTQzLjUyIDE2NC41OCA1&#10;NDMuNDUgMTY0LjUyIDU0My41MiAxNjQuNTkgNTQzLjYgMTY0LjY1IDU0My42OCAxNjQuNzEgNTQy&#10;LjgxIDE2My45OSA1NDEuOTIgMTYzLjI5IDU0MS4wNSAxNjIuNTcgNTQwLjExIDE2MS43OCA1Mzku&#10;MjEgMTYwLjk4IDUzOC4zMSAxNjAuMTcgNTM2LjYzIDE1OC42NCA1MzQuOTkgMTU3LjA5IDUzMy4z&#10;NiAxNTUuNTQgNTMyLjU2IDE1NC43OSA1MzEuNzcgMTU0LjAzIDUzMC45OSAxNTMuMjcgNTMwLjYg&#10;MTUyLjg5IDUzMC4yMSAxNTIuNSA1MjkuODIgMTUyLjExIDUyOS40MyAxNTEuNzIgNTI4LjkyIDE1&#10;MS4yNiA1MjguODcgMTUwLjc2IDUyOC44MiAxNTAuMjQgNTI5LjQ2IDE0OS44NSA1MzAuMTQgMTQ5&#10;Ljg4IDUzMC4xOCAxNDkuODggNTMwLjIzIDE0OS44OCA1MzAuMjcgMTQ5Ljg5WiIgZmlsbD0iIzAx&#10;MDEwMSIvPjxwYXRoIGQ9Ik01NDAuMiAxNDQuMUM1NDAuNTQgMTQ0LjE1IDU0MC43NyAxNDQuMzIg&#10;NTQwLjk5IDE0NC40OSA1NDEuMjggMTQ0LjcxIDU0MS41NSAxNDQuOTQgNTQxLjgyIDE0NS4xNyA1&#10;NDIuMTkgMTQ1LjQ4IDU0Mi41NCAxNDUuOCA1NDIuODkgMTQ2LjEzIDU0My41OCAxNDYuNzYgNTQ0&#10;LjI0IDE0Ny40IDU0NC45MSAxNDguMDQgNTQ2LjMgMTQ5LjM1IDU0Ny42OCAxNTAuNjcgNTQ5LjA1&#10;IDE1MiA1NTAuMTMgMTUzLjA1IDU1MS4yMSAxNTQuMTEgNTUyLjMzIDE1NS4xNCA1NTMuNDkgMTU2&#10;LjIgNTU0LjY2IDE1Ny4yNiA1NTUuODQgMTU4LjMxIDU1Ni4wMSAxNTguNDcgNTU2LjA1IDE1OC43&#10;MiA1NTYgMTU4LjkxIDU1NS45NCAxNTkuMTMgNTU1Ljc2IDE1OS4zMiA1NTUuNSAxNTkuNDQgNTU1&#10;LjI1IDE1OS41NSA1NTQuOTQgMTU5LjYgNTU0LjY1IDE1OS41NSA1NTQuMzIgMTU5LjUgNTU0LjEy&#10;IDE1OS4zNyA1NTMuOTEgMTU5LjE5IDU1Mi40NiAxNTcuOSA1NTAuOTYgMTU2LjY0IDU0OS40OCAx&#10;NTUuMzcgNTQ4LjAzIDE1NC4xMyA1NDYuNjkgMTUyLjgzIDU0NS4zNiAxNTEuNTMgNTQ0LjI1IDE1&#10;MC40MyA1NDMuMTQgMTQ5LjM0IDU0Mi4wNSAxNDguMjMgNTQxLjUzIDE0Ny43IDU0MSAxNDcuMTYg&#10;NTQwLjUgMTQ2LjYyIDU0MC4yMiAxNDYuMzMgNTM5Ljk1IDE0Ni4wNCA1MzkuNjggMTQ1Ljc0IDUz&#10;OS4zMyAxNDUuMzYgNTM4LjkgMTQ0LjkyIDUzOS4xOSAxNDQuNDUgNTM5LjM0IDE0NC4yMiA1Mzku&#10;NzEgMTQ0LjA4IDU0MC4wNyAxNDQuMDkgNTQwLjExIDE0NC4wOSA1NDAuMTYgMTQ0LjA5IDU0MC4y&#10;IDE0NC4xWiIgZmlsbD0iIzAxMDEwMSIvPjxwYXRoIGQ9Ik01NTMuODkgMTQzLjk0QzU1My44OSAx&#10;NDMuOTQgNTUzLjg2IDE0My45MiA1NTMuODUgMTQzLjkxIDU1My44NiAxNDMuOTIgNTUzLjg4IDE0&#10;My45MyA1NTMuODkgMTQzLjk0Wk01NTQuMzkgMTQ4LjA2QzU1NC40NSAxNDguMTEgNTU0LjUxIDE0&#10;OC4xNiA1NTQuNTggMTQ4LjIyIDU1NC41MSAxNDguMTYgNTU0LjQ0IDE0OC4xIDU1NC4zNiAxNDgu&#10;MDQgNTU0LjM3IDE0OC4wNCA1NTQuMzggMTQ4LjA2IDU1NC4zOSAxNDguMDdaTTU0OC45NSAxMzku&#10;OTVDNTQ5LjQ5IDE0MC4zNiA1NTAuMDIgMTQwLjc4IDU1MC41NCAxNDEuMjEgNTUxLjYxIDE0Mi4w&#10;NyA1NTIuNjggMTQyLjkzIDU1My43MyAxNDMuODEgNTUzLjc3IDE0My44NCA1NTMuODEgMTQzLjg4&#10;IDU1My44NSAxNDMuOTEgNTUzLjg0IDE0My45IDU1My44MyAxNDMuODkgNTUzLjgxIDE0My44OCA1&#10;NTMuODUgMTQzLjkyIDU1My45IDE0My45NSA1NTMuOTQgMTQzLjk5IDU1My45MiAxNDMuOTcgNTUz&#10;LjkgMTQzLjk2IDU1My44OCAxNDMuOTQgNTU1LjQzIDE0NS4yNCA1NTYuOTUgMTQ2LjU2IDU1OC40&#10;MSAxNDcuOTEgNTU5LjA5IDE0OC41NSA1NTkuNzYgMTQ5LjIgNTYwLjQyIDE0OS44NSA1NjEuMTIg&#10;MTUwLjUzIDU2MS44NSAxNTEuMiA1NjIuNTkgMTUxLjg2IDU2Mi43OSAxNTIuMDQgNTYyLjg0IDE1&#10;Mi4zNSA1NjIuNzggMTUyLjU3IDU2Mi43MSAxNTIuODIgNTYyLjQ5IDE1My4wNSA1NjIuMTkgMTUz&#10;LjE4IDU2MS45IDE1My4zMSA1NjEuNTQgMTUzLjM2IDU2MS4yIDE1My4zMSA1NjAuODEgMTUzLjI2&#10;IDU2MC41OCAxNTMuMSA1NjAuMzQgMTUyLjg5IDU2MC4xMiAxNTIuNyA1NTkuOSAxNTIuNTIgNTU5&#10;LjY4IDE1Mi4zMyA1NTguODggMTUxLjY3IDU1OC4wNiAxNTEuMDIgNTU3LjIzIDE1MC4zOCA1NTYu&#10;MzIgMTQ5LjY3IDU1NS40NCAxNDguOTUgNTU0LjU3IDE0OC4yMSA1NTQuNTkgMTQ4LjIzIDU1NC42&#10;MSAxNDguMjQgNTU0LjYzIDE0OC4yNiA1NTQuNTUgMTQ4LjE5IDU1NC40NyAxNDguMTMgNTU0LjM5&#10;IDE0OC4wNiA1NTQuMzggMTQ4LjA1IDU1NC4zNiAxNDguMDQgNTU0LjM1IDE0OC4wMyA1NTQuMzUg&#10;MTQ4LjAzIDU1NC4zNSAxNDguMDMgNTU0LjM1IDE0OC4wMyA1NTIuODEgMTQ2Ljc0IDU1MS4yOCAx&#10;NDUuNDMgNTQ5Ljc3IDE0NC4xMiA1NDguOTkgMTQzLjQ0IDU0OC4yMSAxNDIuNzYgNTQ3LjQ1IDE0&#10;Mi4wNiA1NDcuMDkgMTQxLjczIDU0Ni43MiAxNDEuMzkgNTQ2LjM2IDE0MS4wNSA1NDYuMjEgMTQw&#10;LjkxIDU0Ni4wNiAxNDAuNzcgNTQ1LjkxIDE0MC42MiA1NDUuNjcgMTQwLjM4IDU0NS40OSAxNDAu&#10;MTUgNTQ1LjQzIDEzOS44NCA1NDUuMzMgMTM5LjM1IDU0NS45OCAxMzguODggNTQ2LjY1IDEzOC44&#10;NiA1NDYuNjkgMTM4Ljg2IDU0Ni43NCAxMzguODYgNTQ2Ljc4IDEzOC44NiA1NDcuNjggMTM4Ljkg&#10;NTQ4LjM1IDEzOS40OSA1NDguOTMgMTM5LjkzWiIgZmlsbD0iIzAxMDEwMSIvPjxwYXRoIGQ9Ik01&#10;NjYuMDMgMTQ0LjY4QzU2Ni4wMyAxNDQuNjggNTY2LjA4IDE0NC43MiA1NjYuMSAxNDQuNzQgNTY2&#10;LjA4IDE0NC43MiA1NjYuMDUgMTQ0LjcgNTY2LjAzIDE0NC42OFpNNTU2LjE1IDEzMy4xM0M1NTYu&#10;NTIgMTMzLjIgNTU2Ljc3IDEzMy4zNSA1NTcuMDIgMTMzLjU0IDU1Ny4yNSAxMzMuNzIgNTU3LjQ3&#10;IDEzMy45MSA1NTcuNjggMTM0LjExIDU1OC4wNSAxMzQuNDQgNTU4LjQxIDEzNC43NiA1NTguNzgg&#10;MTM1LjA5IDU1OS41MSAxMzUuNzUgNTYwLjI1IDEzNi40IDU2MC45OSAxMzcuMDYgNTYyLjUyIDEz&#10;OC40MSA1NjQuMDUgMTM5Ljc2IDU2NS41NyAxNDEuMTIgNTY3LjQ3IDE0Mi44MiA1NjkuMjcgMTQ0&#10;LjU4IDU3MS4xOSAxNDYuMjcgNTcxLjM5IDE0Ni40NSA1NzEuNDMgMTQ2Ljc0IDU3MS4zNyAxNDYu&#10;OTUgNTcxLjMgMTQ3LjE5IDU3MS4xIDE0Ny40MSA1NzAuOCAxNDcuNTQgNTcwLjUyIDE0Ny42NyA1&#10;NzAuMTcgMTQ3LjcyIDU2OS44NCAxNDcuNjcgNTY5LjQ3IDE0Ny42MiA1NjkuMjQgMTQ3LjQ3IDU2&#10;OS4wMSAxNDcuMjcgNTY3Ljk3IDE0Ni4zNiA1NjYuOTIgMTQ1LjQ1IDU2NS44NSAxNDQuNTUgNTY1&#10;Ljg4IDE0NC41NyA1NjUuOSAxNDQuNTkgNTY1LjkzIDE0NC42MSA1NjQuMzMgMTQzLjI2IDU2Mi44&#10;IDE0MS44OCA1NjEuMjkgMTQwLjQ5IDU1OS44NSAxMzkuMTYgNTU4LjQyIDEzNy44MiA1NTcuMDMg&#10;MTM2LjQ2IDU1Ni42MiAxMzYuMDYgNTU2LjIzIDEzNS42NiA1NTUuODUgMTM1LjI1IDU1NS42NSAx&#10;MzUuMDQgNTU1LjQ2IDEzNC44MiA1NTUuMjggMTM0LjYgNTU1LjA1IDEzNC4zMiA1NTQuODUgMTM0&#10;LjAyIDU1NC45NCAxMzMuNjggNTU1LjAzIDEzMy4zNCA1NTUuNDkgMTMzLjA4IDU1NS45NyAxMzMu&#10;MSA1NTYuMDIgMTMzLjEgNTU2LjA4IDEzMy4xIDU1Ni4xMyAxMzMuMTJaIiBmaWxsPSIjMDEwMTAx&#10;Ii8+PHBhdGggZD0iTTU2My45OSAxMzAuNDJDNTYzLjk5IDEzMC40MiA1NjQuMDUgMTMwLjQ3IDU2&#10;NC4wNyAxMzAuNDkgNTY0LjA0IDEzMC40NyA1NjQuMDEgMTMwLjQ0IDU2My45OSAxMzAuNDJaTTU2&#10;Mi45IDEyNi42MUM1NjMuMjcgMTI2Ljc2IDU2My42MiAxMjYuOTUgNTYzLjk1IDEyNy4xNCA1NjQu&#10;NTcgMTI3LjUxIDU2NS4xNyAxMjcuOSA1NjUuNzYgMTI4LjMgNTY2LjkgMTI5LjA3IDU2OC4wMSAx&#10;MjkuODYgNTY5LjEyIDEzMC42NiA1NzEuMjkgMTMyLjIyIDU3My40MyAxMzMuNzkgNTc1LjU1IDEz&#10;NS4zOCA1NzYuMzEgMTM1Ljk1IDU3Ny4wOCAxMzYuNTIgNTc3LjgzIDEzNy4xIDU3OC42NiAxMzcu&#10;NzUgNTc5LjQyIDEzOC40MyA1ODAuMiAxMzkuMSA1ODAuMzggMTM5LjI1IDU4MC41NiAxMzkuMzkg&#10;NTgwLjc0IDEzOS41MyA1ODEuMDcgMTM5Ljc5IDU4MS4zIDE0MC4wNCA1ODEuMzMgMTQwLjQgNTgx&#10;LjM2IDE0MC43NCA1ODEuMTkgMTQxLjA5IDU4MC44NyAxNDEuMzQgNTgwLjIzIDE0MS44NSA1Nzku&#10;MDMgMTQxLjkyIDU3OC4zMiAxNDEuNDMgNTc3LjE5IDE0MC42NSA1NzUuOTYgMTM5Ljk2IDU3NC44&#10;NSAxMzkuMTggNTczLjc2IDEzOC40MiA1NzIuNzQgMTM3LjYxIDU3MS43MyAxMzYuNzkgNTY5Ljcg&#10;MTM1LjE2IDU2Ny43MiAxMzMuNTEgNTY1LjczIDEzMS44NiA1NjUuMzUgMTMxLjU0IDU2NC45NiAx&#10;MzEuMjIgNTY0LjU4IDEzMC45IDU2NC4zNCAxMzAuNyA1NjQuMDkgMTMwLjQ5IDU2My44NSAxMzAu&#10;MjkgNTYzLjI3IDEyOS44IDU2Mi42OSAxMjkuMyA1NjIuMTIgMTI4LjggNTYxLjg3IDEyOC41OCA1&#10;NjEuNjIgMTI4LjM2IDU2MS4zOSAxMjguMTQgNTYxLjE0IDEyNy44OSA1NjAuODMgMTI3LjU4IDU2&#10;MC44NSAxMjcuMjYgNTYwLjg3IDEyNi45MyA1NjEuMDkgMTI2LjU1IDU2MS42IDEyNi40NiA1NjEu&#10;NzggMTI2LjQzIDU2MS45NSAxMjYuNDIgNTYyLjEyIDEyNi40MiA1NjIuMzkgMTI2LjQzIDU2Mi42&#10;NSAxMjYuNDkgNTYyLjkxIDEyNi41OVoiIGZpbGw9IiMwMTAxMDEiLz48cGF0aCBkPSJNNTg0LjIz&#10;IDEzNS44OUM1ODQuMyAxMzUuOTYgNTg0LjM4IDEzNi4wMiA1ODQuNDYgMTM2LjA4IDU4NC4zOSAx&#10;MzYuMDIgNTg0LjMxIDEzNS45NSA1ODQuMjMgMTM1Ljg5Wk01NzMuMTQgMTIyLjU3QzU3My40MiAx&#10;MjIuNjggNTczLjYyIDEyMi44NSA1NzMuODIgMTIzLjAyIDU3NC4wNyAxMjMuMjIgNTc0LjMgMTIz&#10;LjQyIDU3NC41NCAxMjMuNjIgNTc0LjkzIDEyMy45NiA1NzUuMzEgMTI0LjMgNTc1LjcgMTI0LjY0&#10;IDU3Ni40NSAxMjUuMzEgNTc3LjE4IDEyNS45OSA1NzcuOTEgMTI2LjY3IDU3OS40NCAxMjguMDgg&#10;NTgwLjk5IDEyOS40NyA1ODIuNTYgMTMwLjg2IDU4My42IDEzMS43OCA1ODQuNjMgMTMyLjcgNTg1&#10;LjU4IDEzMy42NyA1ODYuNTMgMTM0LjY0IDU4Ny41MSAxMzUuNTggNTg4LjUyIDEzNi41MSA1ODgu&#10;NzQgMTM2LjcxIDU4OC43OSAxMzcuMDIgNTg4LjcyIDEzNy4yNSA1ODguNjUgMTM3LjUxIDU4OC40&#10;MiAxMzcuNzUgNTg4LjEgMTM3LjkgNTg3Ljc5IDEzOC4wNCA1ODcuNDIgMTM4LjA5IDU4Ny4wNiAx&#10;MzguMDQgNTg2LjY2IDEzNy45OCA1ODYuNCAxMzcuODIgNTg2LjE2IDEzNy42IDU4NS42IDEzNy4w&#10;OSA1ODUuMDMgMTM2LjYgNTg0LjQ1IDEzNi4xIDU4My42NiAxMzUuNDUgNTgyLjg0IDEzNC44MiA1&#10;ODIuMDUgMTM0LjE3IDU4MS4xOCAxMzMuNDUgNTgwLjM1IDEzMi43MSA1NzkuNTQgMTMxLjk1IDU3&#10;OC4wNCAxMzAuNTUgNTc2LjYxIDEyOS4xMSA1NzUuMjggMTI3LjY0IDU3NC42MSAxMjYuOSA1NzMu&#10;OTYgMTI2LjE3IDU3My4zNCAxMjUuNDEgNTczLjA2IDEyNS4wNyA1NzIuOCAxMjQuNzMgNTcyLjU1&#10;IDEyNC4zOCA1NzIuMjMgMTIzLjkyIDU3MS43NCAxMjMuMzUgNTcyLjA1IDEyMi44MyA1NzIuMTcg&#10;MTIyLjYyIDU3Mi41MSAxMjIuNTEgNTcyLjgyIDEyMi41MiA1NzIuOTMgMTIyLjUyIDU3My4wMyAx&#10;MjIuNTQgNTczLjEyIDEyMi41OFoiIGZpbGw9IiMwMTAxMDEiLz48cGF0aCBkPSJNNTg0LjYyIDEx&#10;My44NkM1ODQuNzYgMTEzLjg4IDU4NC45MSAxMTMuOTMgNTg1LjA1IDExMy45NyA1ODUuMjkgMTE0&#10;LjA0IDU4NS41IDExNC4xOCA1ODUuNyAxMTQuMyA1ODYuMDEgMTE0LjQ3IDU4Ni4yNyAxMTQuNjgg&#10;NTg2LjU0IDExNC44OCA1ODcuMDQgMTE1LjI1IDU4Ny41MSAxMTUuNjQgNTg3Ljk4IDExNi4wMyA1&#10;ODkuMDIgMTE2LjkgNTkwLjAyIDExNy43OSA1OTEgMTE4LjY5IDU5Mi44NCAxMjAuMzcgNTk0LjYz&#10;IDEyMi4wOCA1OTYuMzMgMTIzLjg0IDU5Ny4wNSAxMjQuNTkgNTk3LjcgMTI1LjM3IDU5OC4zNiAx&#10;MjYuMTUgNTk5LjA2IDEyNi45NyA1OTkuODIgMTI3Ljc1IDYwMC42MSAxMjguNTIgNjAxLjEzIDEy&#10;OS4wMyA2MDAuODQgMTI5Ljc4IDYwMC4xMyAxMzAuMTEgNTk5Ljc4IDEzMC4yNyA1OTkuMzUgMTMw&#10;LjMzIDU5OC45NCAxMzAuMjcgNTk4LjQ5IDEzMC4yMSA1OTguMTcgMTMwLjAyIDU5Ny45IDEyOS43&#10;NyA1OTcuMzQgMTI5LjI0IDU5Ni43NyAxMjguNzIgNTk2LjE3IDEyOC4yIDU5NS4xNyAxMjcuMzgg&#10;NTk0LjEzIDEyNi41OSA1OTMuMTYgMTI1Ljc1IDU5Mi4yMyAxMjQuOTUgNTkxLjM1IDEyNC4xMiA1&#10;OTAuNDcgMTIzLjMgNTg4LjY0IDEyMS41OSA1ODYuODYgMTE5Ljg1IDU4NS4yMiAxMTguMDUgNTg0&#10;Ljc4IDExNy41NiA1ODQuMzMgMTE3LjA2IDU4My45NCAxMTYuNTQgNTgzLjY3IDExNi4xOCA1ODMu&#10;NDIgMTE1LjgyIDU4My4yMSAxMTUuNDUgNTgzLjA2IDExNS4xOSA1ODMuMDMgMTE0Ljg5IDU4My4w&#10;OCAxMTQuNjIgNTgzLjE1IDExNC4yNCA1ODMuNjYgMTEzLjg0IDU4NC4yMyAxMTMuODUgNTg0LjMg&#10;MTEzLjg1IDU4NC4zOCAxMTMuODUgNTg0LjQ1IDExMy44NSA1ODQuNSAxMTMuODUgNTg0LjU2IDEx&#10;My44NSA1ODQuNiAxMTMuODZaIiBmaWxsPSIjMDEwMTAxIi8+PHBhdGggZD0iTTU5NS44MiAxMTAu&#10;MDJDNTk2LjMyIDExMC4wOCA1OTYuNzMgMTEwLjMyIDU5Ny4xMSAxMTAuNTQgNTk3LjM1IDExMC42&#10;OCA1OTcuNTcgMTEwLjg1IDU5Ny43OSAxMTEuMDEgNTk4LjMyIDExMS4zOSA1OTguNzkgMTExLjgg&#10;NTk5LjI3IDExMi4yMSA2MDAuMTIgMTEyLjkzIDYwMC45MiAxMTMuNjcgNjAxLjcxIDExNC40MyA2&#10;MDMuMjEgMTE1Ljg4IDYwNC43NCAxMTcuMzIgNjA2LjI4IDExOC43NSA2MDcuMzEgMTE5LjcgNjA4&#10;LjM1IDEyMC42NSA2MDkuNCAxMjEuNiA2MDkuNjkgMTIxLjg2IDYwOS43NSAxMjIuMjggNjA5LjY2&#10;IDEyMi41OSA2MDkuNTYgMTIyLjk0IDYwOS4yNiAxMjMuMjYgNjA4Ljg0IDEyMy40NSA2MDguNDMg&#10;MTIzLjY0IDYwNy45MiAxMjMuNzEgNjA3LjQ1IDEyMy42NCA2MDcuMjkgMTIzLjYgNjA3LjEzIDEy&#10;My41NiA2MDYuOTcgMTIzLjUyIDYwNi42NiAxMjMuNDEgNjA2LjQyIDEyMy4yNSA2MDYuMjQgMTIz&#10;LjA1IDYwNC42MyAxMjEuNTkgNjAzLjAzIDEyMC4xMiA2MDEuNDEgMTE4LjY3IDU5OS44IDExNy4y&#10;MiA1OTguMTIgMTE1LjgxIDU5Ni42MiAxMTQuMyA1OTYuMTggMTEzLjg1IDU5NS43NCAxMTMuNCA1&#10;OTUuMzEgMTEyLjk0IDU5NS4wOCAxMTIuNjkgNTk0Ljg2IDExMi40MyA1OTQuNjQgMTEyLjE4IDU5&#10;NC41IDExMiA1OTQuMzYgMTExLjgxIDU5NC4yNCAxMTEuNjEgNTk0LjEgMTExLjM2IDU5NC4wNyAx&#10;MTEuMSA1OTQuMTEgMTEwLjgyIDU5NC4yMSAxMTAuMyA1OTQuOTUgMTA5Ljk4IDU5NS42NCAxMTAu&#10;MDEgNTk1LjY5IDExMC4wMSA1OTUuNzUgMTEwLjAxIDU5NS44IDExMC4wMloiIGZpbGw9IiMwMTAx&#10;MDEiLz48cGF0aCBkPSJNNjA0LjY3IDEwMS43OUM2MDQuNjcgMTAxLjc5IDYwNC42NSAxMDEuODEg&#10;NjA0LjY0IDEwMS44Mkw2MDQuNjQgMTAxLjgyQzYwNC42NCAxMDEuODIgNjA0LjY0IDEwMS44MiA2&#10;MDQuNjQgMTAxLjgyIDYwNC42NCAxMDEuODEgNjA0LjY2IDEwMS44IDYwNC42NiAxMDEuNzlaTTYw&#10;Ni4xNyAxMDEuNDVDNjA2LjE3IDEwMS40NSA2MDYuMjEgMTAxLjQ2IDYwNi4yMyAxMDEuNDcgNjA2&#10;LjIyIDEwMS40NyA2MDYuMiAxMDEuNDYgNjA2LjE5IDEwMS40NSA2MDYuMTkgMTAxLjQ1IDYwNi4x&#10;OCAxMDEuNDUgNjA2LjE3IDEwMS40NVpNNjA1LjMxIDEwMS40QzYwNS4zMSAxMDEuNCA2MDUuMzEg&#10;MTAxLjQgNjA1LjMxIDEwMS40IDYwNS4zMSAxMDEuNCA2MDUuMzEgMTAxLjQgNjA1LjMxIDEwMS40&#10;IDYwNS4zMSAxMDEuNCA2MDUuMzEgMTAxLjQgNjA1LjMxIDEwMS40Wk02MDcuNjQgMTAyLjM3QzYw&#10;OC4xMSAxMDIuNzcgNjA4LjU0IDEwMy4yIDYwOC45NyAxMDMuNjMgNjA5LjkxIDEwNC41NSA2MTAu&#10;ODQgMTA1LjQ3IDYxMS43NiAxMDYuNDEgNjEzLjU1IDEwOC4yMiA2MTUuMTYgMTEwLjExIDYxNi44&#10;NyAxMTEuOTYgNjE3Ljg3IDExMy4wNSA2MTguODkgMTE0LjEyIDYxOS45IDExNS4yMSA2MjAuNCAx&#10;MTUuNzQgNjIwLjE2IDExNi40NyA2MTkuNDIgMTE2LjgyIDYxOC42NyAxMTcuMTcgNjE3LjY2IDEx&#10;NyA2MTcuMTYgMTE2LjQ4IDYxNS40NSAxMTQuNjYgNjEzLjc0IDExMi44NCA2MTEuOTUgMTExLjA2&#10;IDYxMC4wOSAxMDkuMjEgNjA4LjI3IDEwNy4zMyA2MDYuNTkgMTA1LjM5IDYwNi4xNiAxMDQuODkg&#10;NjA1Ljc0IDEwNC4zNyA2MDUuMzcgMTAzLjg1IDYwNS4xNCAxMDMuNTIgNjA0LjkgMTAzLjE5IDYw&#10;NC43IDEwMi44NSA2MDQuNTcgMTAyLjYyIDYwNC40OCAxMDIuMzggNjA0LjUgMTAyLjE1IDYwNC41&#10;MSAxMDEuOTYgNjA0LjYxIDEwMS43OCA2MDQuNzkgMTAxLjY0IDYwNC45NiAxMDEuNTEgNjA1LjE4&#10;IDEwMS40MiA2MDUuNCAxMDEuMzkgNjA1LjUyIDEwMS4zNyA2MDUuNjQgMTAxLjM2IDYwNS43NSAx&#10;MDEuMzcgNjA2LjUyIDEwMS40IDYwNy4xNCAxMDEuOTggNjA3LjYyIDEwMi4zOFoiIGZpbGw9IiMw&#10;MTAxMDEiLz48L3N2Zz5QSwMEFAAGAAgAAAAhABUhseHeAAAABgEAAA8AAABkcnMvZG93bnJldi54&#10;bWxMj8FuwjAQRO+V+g/WVuqtOKYFQYiDEGp7QpUKlarelnhJImI7ik0S/r7bUznOzmrmTbYebSN6&#10;6kLtnQY1SUCQK7ypXanh6/D2tAARIjqDjXek4UoB1vn9XYap8YP7pH4fS8EhLqSooYqxTaUMRUUW&#10;w8S35Ng7+c5iZNmV0nQ4cLht5DRJ5tJi7bihwpa2FRXn/cVqeB9w2Dyr1353Pm2vP4fZx/dOkdaP&#10;D+NmBSLSGP+f4Q+f0SFnpqO/OBNEo4GHRL6qOQh2py8zHnLUsFQLkHkmb/HzXwA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Mn9DKwfBQAAIw8A&#10;AA4AAAAAAAAAAAAAAAAAQwIAAGRycy9lMm9Eb2MueG1sUEsBAi0ACgAAAAAAAAAhABjIHB794QAA&#10;/eEAABQAAAAAAAAAAAAAAAAAjgcAAGRycy9tZWRpYS9pbWFnZTEucG5nUEsBAi0ACgAAAAAAAAAh&#10;AOd+1mD/DwEA/w8BABQAAAAAAAAAAAAAAAAAvekAAGRycy9tZWRpYS9pbWFnZTIuc3ZnUEsBAi0A&#10;FAAGAAgAAAAhABUhseHeAAAABgEAAA8AAAAAAAAAAAAAAAAA7vkBAGRycy9kb3ducmV2LnhtbFBL&#10;AQItABQABgAIAAAAIQAiVg7uxwAAAKUBAAAZAAAAAAAAAAAAAAAAAPn6AQBkcnMvX3JlbHMvZTJv&#10;RG9jLnhtbC5yZWxzUEsFBgAAAAAHAAcAvgEAAPf7AQAAAA==&#10;">
                <v:shape id="Graphic 1" o:spid="_x0000_s1044" type="#_x0000_t75" style="position:absolute;width:15608;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kzQAAAOMAAAAPAAAAZHJzL2Rvd25yZXYueG1sRI9BS8NA&#10;EIXvgv9hGcGL2N3EUkvstmirUOjJVgLehuyYxGZnQ3Zt03/vHASPM/PmvfctVqPv1ImG2Aa2kE0M&#10;KOIquJZrCx+Ht/s5qJiQHXaBycKFIqyW11cLLFw48zud9qlWYsKxQAtNSn2hdawa8hgnoSeW21cY&#10;PCYZh1q7Ac9i7judGzPTHluWhAZ7WjdUHfc/3oLpsu3x82696zflpSxfZ4fvl3xj7e3N+PwEKtGY&#10;/sV/31sn9R/zuZlmD1OhECZZgF7+AgAA//8DAFBLAQItABQABgAIAAAAIQDb4fbL7gAAAIUBAAAT&#10;AAAAAAAAAAAAAAAAAAAAAABbQ29udGVudF9UeXBlc10ueG1sUEsBAi0AFAAGAAgAAAAhAFr0LFu/&#10;AAAAFQEAAAsAAAAAAAAAAAAAAAAAHwEAAF9yZWxzLy5yZWxzUEsBAi0AFAAGAAgAAAAhAH//laTN&#10;AAAA4wAAAA8AAAAAAAAAAAAAAAAABwIAAGRycy9kb3ducmV2LnhtbFBLBQYAAAAAAwADALcAAAAB&#10;AwAAAAA=&#10;">
                  <v:imagedata r:id="rId59" o:title="" cropleft="2286f"/>
                  <o:lock v:ext="edit" aspectratio="f"/>
                </v:shape>
                <v:shape id="Text Box 1749884064" o:spid="_x0000_s1045" type="#_x0000_t202" style="position:absolute;left:219;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0lyAAAAOMAAAAPAAAAZHJzL2Rvd25yZXYueG1sRE9fS8Mw&#10;EH8X/A7hBN9c6iizq8vGKBUciNBugo9Hc7ZlzaU02ZZ9eyMIe7zf/1ttghnEmSbXW1bwPEtAEDdW&#10;99wqOOzfnjIQziNrHCyTgis52Kzv71aYa3vhis61b0UMYZejgs77MZfSNR0ZdDM7Ekfux04GfTyn&#10;VuoJLzHcDHKeJAtpsOfY0OFIRUfNsT4ZBd/zsi3DZ7X94t1HFY5lsS9OtVKPD2H7CsJT8Dfxv/td&#10;x/kv6TLL0mSRwt9PEQC5/gUAAP//AwBQSwECLQAUAAYACAAAACEA2+H2y+4AAACFAQAAEwAAAAAA&#10;AAAAAAAAAAAAAAAAW0NvbnRlbnRfVHlwZXNdLnhtbFBLAQItABQABgAIAAAAIQBa9CxbvwAAABUB&#10;AAALAAAAAAAAAAAAAAAAAB8BAABfcmVscy8ucmVsc1BLAQItABQABgAIAAAAIQAsBW0lyAAAAOMA&#10;AAAPAAAAAAAAAAAAAAAAAAcCAABkcnMvZG93bnJldi54bWxQSwUGAAAAAAMAAwC3AAAA/AIAAAAA&#10;" filled="f" stroked="f">
                  <v:textbox inset="0,,0">
                    <w:txbxContent>
                      <w:p w14:paraId="793DDE34" w14:textId="0D8B660F" w:rsidR="007F3E38" w:rsidRPr="00711B8F" w:rsidRDefault="00AC00BC" w:rsidP="007F3E38">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5582682D" w14:textId="21CAFF56" w:rsidR="007F3E38" w:rsidRPr="00697AE5" w:rsidRDefault="007F3E38" w:rsidP="007F3E38">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sidR="009670AC">
                          <w:rPr>
                            <w:b/>
                            <w:bCs/>
                            <w:color w:val="000000"/>
                            <w:sz w:val="20"/>
                            <w:szCs w:val="20"/>
                          </w:rPr>
                          <w:t>C</w:t>
                        </w:r>
                        <w:r w:rsidRPr="00697AE5">
                          <w:rPr>
                            <w:b/>
                            <w:bCs/>
                            <w:color w:val="000000"/>
                            <w:sz w:val="20"/>
                            <w:szCs w:val="20"/>
                          </w:rPr>
                          <w:t xml:space="preserve"> - Section </w:t>
                        </w:r>
                        <w:r w:rsidR="009670AC">
                          <w:rPr>
                            <w:b/>
                            <w:bCs/>
                            <w:color w:val="000000"/>
                            <w:sz w:val="20"/>
                            <w:szCs w:val="20"/>
                          </w:rPr>
                          <w:t>6</w:t>
                        </w:r>
                      </w:p>
                    </w:txbxContent>
                  </v:textbox>
                </v:shape>
                <w10:wrap type="square" anchorx="page"/>
              </v:group>
            </w:pict>
          </mc:Fallback>
        </mc:AlternateContent>
      </w:r>
      <w:r w:rsidR="0051688D" w:rsidRPr="00884FAA">
        <w:t>The</w:t>
      </w:r>
      <w:r w:rsidR="0051688D" w:rsidRPr="00884FAA" w:rsidDel="00D610DB">
        <w:t xml:space="preserve"> </w:t>
      </w:r>
      <w:r w:rsidR="0051688D" w:rsidRPr="00884FAA">
        <w:t xml:space="preserve">evaluation </w:t>
      </w:r>
      <w:r w:rsidR="00216DB0" w:rsidRPr="00884FAA">
        <w:t>found</w:t>
      </w:r>
      <w:r w:rsidR="0051688D" w:rsidRPr="00884FAA">
        <w:t xml:space="preserve"> that ACCHSs are relied upon to bring the community together and respond to community wellbeing needs in ways that extend beyond the delivery of services to support physical health. Many Aboriginal and Torres Strait Islander services identified the role that ACCHSs play in supporting health and wellbeing through non-clinical community supports and services. </w:t>
      </w:r>
      <w:r w:rsidR="00496C2D">
        <w:t xml:space="preserve">Examples include innovative and creative approaches </w:t>
      </w:r>
      <w:r w:rsidR="00B83A8A">
        <w:t xml:space="preserve">used by </w:t>
      </w:r>
      <w:r w:rsidR="0051688D" w:rsidRPr="00884FAA">
        <w:t>a number of services in the response to COVID-19</w:t>
      </w:r>
      <w:r w:rsidR="00B83A8A">
        <w:t xml:space="preserve">. </w:t>
      </w:r>
      <w:r w:rsidR="00153ABC">
        <w:t>There are also</w:t>
      </w:r>
      <w:r w:rsidR="0051688D" w:rsidRPr="00884FAA">
        <w:t xml:space="preserve"> many, everyday examples where this caring, creative and community connected approach to service delivery made the difference to health outcomes and the experience</w:t>
      </w:r>
      <w:r w:rsidR="004B64C5" w:rsidRPr="00884FAA">
        <w:t xml:space="preserve"> of people in their care</w:t>
      </w:r>
      <w:r w:rsidR="0051688D" w:rsidRPr="00884FAA">
        <w:t>.</w:t>
      </w:r>
    </w:p>
    <w:p w14:paraId="7C141C15" w14:textId="5E8DF6F7" w:rsidR="00AE1E61" w:rsidRPr="00884FAA" w:rsidRDefault="00AE1E61" w:rsidP="00F41E6B">
      <w:pPr>
        <w:spacing w:before="240"/>
      </w:pPr>
      <w:r w:rsidRPr="00884FAA">
        <w:t>The evaluation found that the critical role of ACCHSs in the community</w:t>
      </w:r>
      <w:r w:rsidR="00523AD4" w:rsidRPr="00884FAA">
        <w:t xml:space="preserve">, including health </w:t>
      </w:r>
      <w:r w:rsidR="00B202FE" w:rsidRPr="00884FAA">
        <w:t>promotion</w:t>
      </w:r>
      <w:r w:rsidR="00523AD4" w:rsidRPr="00884FAA">
        <w:t xml:space="preserve"> and prevention </w:t>
      </w:r>
      <w:r w:rsidR="00303B50">
        <w:t>programs</w:t>
      </w:r>
      <w:r w:rsidR="00523AD4" w:rsidRPr="00884FAA">
        <w:t>,</w:t>
      </w:r>
      <w:r w:rsidRPr="00884FAA">
        <w:t xml:space="preserve"> is not </w:t>
      </w:r>
      <w:r w:rsidR="00CE5F6D">
        <w:t xml:space="preserve">fully </w:t>
      </w:r>
      <w:r w:rsidRPr="00884FAA">
        <w:t xml:space="preserve">enabled </w:t>
      </w:r>
      <w:r w:rsidR="00CE5F6D">
        <w:t xml:space="preserve">in funding through </w:t>
      </w:r>
      <w:r w:rsidR="00156FA6" w:rsidRPr="00884FAA">
        <w:t>the</w:t>
      </w:r>
      <w:r w:rsidRPr="00884FAA">
        <w:t xml:space="preserve"> IAHP</w:t>
      </w:r>
      <w:r w:rsidR="00523AD4" w:rsidRPr="00884FAA">
        <w:t xml:space="preserve">. </w:t>
      </w:r>
      <w:r w:rsidR="008C0481">
        <w:t xml:space="preserve">While the IAHP </w:t>
      </w:r>
      <w:r w:rsidR="00157822">
        <w:t xml:space="preserve">allows services to use funding for health promotion and prevention programs, ACCHSs reported that they </w:t>
      </w:r>
      <w:r w:rsidR="00A443C0">
        <w:t xml:space="preserve">needed to prioritise clinical service delivery </w:t>
      </w:r>
      <w:r w:rsidR="007667CD">
        <w:t xml:space="preserve">within available funds. </w:t>
      </w:r>
      <w:r w:rsidR="00523AD4" w:rsidRPr="00884FAA">
        <w:t xml:space="preserve">The evaluation found that </w:t>
      </w:r>
      <w:r w:rsidR="007667CD">
        <w:t xml:space="preserve">the level of </w:t>
      </w:r>
      <w:r w:rsidR="00523AD4" w:rsidRPr="00884FAA">
        <w:t xml:space="preserve">funding provided through the IAHP </w:t>
      </w:r>
      <w:r w:rsidR="00BE46EE" w:rsidRPr="00884FAA">
        <w:t xml:space="preserve">does not </w:t>
      </w:r>
      <w:r w:rsidR="00B83A8A">
        <w:t xml:space="preserve">sufficiently </w:t>
      </w:r>
      <w:r w:rsidR="00BE46EE" w:rsidRPr="00884FAA">
        <w:t>support ACCH</w:t>
      </w:r>
      <w:r w:rsidR="00192772" w:rsidRPr="00884FAA">
        <w:t>S</w:t>
      </w:r>
      <w:r w:rsidR="00BE46EE" w:rsidRPr="00884FAA">
        <w:t>s to deliver the model of care that is valued by Aboriginal and Torres Strait Islander people</w:t>
      </w:r>
      <w:r w:rsidR="007667CD">
        <w:t xml:space="preserve">, which includes a focus on </w:t>
      </w:r>
      <w:r w:rsidR="006A0259">
        <w:t xml:space="preserve">prevention and </w:t>
      </w:r>
      <w:r w:rsidR="007667CD">
        <w:t xml:space="preserve">community </w:t>
      </w:r>
      <w:r w:rsidR="006A0259">
        <w:t>wellbeing</w:t>
      </w:r>
      <w:r w:rsidR="00C611DE" w:rsidRPr="00884FAA">
        <w:t xml:space="preserve">. </w:t>
      </w:r>
    </w:p>
    <w:p w14:paraId="5D3F37F0" w14:textId="09337A65" w:rsidR="005E4E3B" w:rsidRPr="00884FAA" w:rsidRDefault="005E4E3B" w:rsidP="00F41E6B">
      <w:pPr>
        <w:spacing w:before="240"/>
      </w:pPr>
      <w:r w:rsidRPr="00884FAA">
        <w:lastRenderedPageBreak/>
        <w:t xml:space="preserve">The evaluation found that people valued </w:t>
      </w:r>
      <w:r w:rsidR="00EA2014" w:rsidRPr="00884FAA">
        <w:t xml:space="preserve">access to care delivered by Aboriginal and Torres Strait Islander people, and that the roles of Aboriginal </w:t>
      </w:r>
      <w:r w:rsidR="000C76C9">
        <w:t xml:space="preserve">and Torres Strait Islander </w:t>
      </w:r>
      <w:r w:rsidR="00EA2014" w:rsidRPr="00884FAA">
        <w:t xml:space="preserve">Health Workers and Health Practitioners were particularly valued. </w:t>
      </w:r>
    </w:p>
    <w:p w14:paraId="08438414" w14:textId="77777777" w:rsidR="00DB442E" w:rsidRPr="00884FAA" w:rsidRDefault="00DB442E" w:rsidP="00651D06">
      <w:pPr>
        <w:pStyle w:val="Heading3NotNumbered"/>
        <w:numPr>
          <w:ilvl w:val="0"/>
          <w:numId w:val="0"/>
        </w:numPr>
      </w:pPr>
      <w:r w:rsidRPr="00884FAA">
        <w:t>Mainstream health settings cannot reproduce the experience of community-driven, place-based care</w:t>
      </w:r>
    </w:p>
    <w:p w14:paraId="212E9B94" w14:textId="453A7D87" w:rsidR="00DB442E" w:rsidRPr="00884FAA" w:rsidRDefault="00604A31" w:rsidP="00DB442E">
      <w:r>
        <w:rPr>
          <w:noProof/>
        </w:rPr>
        <mc:AlternateContent>
          <mc:Choice Requires="wpg">
            <w:drawing>
              <wp:anchor distT="0" distB="0" distL="114300" distR="114300" simplePos="0" relativeHeight="251658278" behindDoc="0" locked="0" layoutInCell="1" allowOverlap="1" wp14:anchorId="7C62A061" wp14:editId="14521B35">
                <wp:simplePos x="0" y="0"/>
                <wp:positionH relativeFrom="page">
                  <wp:align>right</wp:align>
                </wp:positionH>
                <wp:positionV relativeFrom="paragraph">
                  <wp:posOffset>149860</wp:posOffset>
                </wp:positionV>
                <wp:extent cx="1646555" cy="628650"/>
                <wp:effectExtent l="0" t="0" r="0" b="0"/>
                <wp:wrapSquare wrapText="bothSides"/>
                <wp:docPr id="1813455032" name="Group 1813455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46555" cy="628650"/>
                          <a:chOff x="0" y="0"/>
                          <a:chExt cx="1560830" cy="620395"/>
                        </a:xfrm>
                      </wpg:grpSpPr>
                      <pic:pic xmlns:pic="http://schemas.openxmlformats.org/drawingml/2006/picture">
                        <pic:nvPicPr>
                          <pic:cNvPr id="351570314"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flipH="1">
                            <a:off x="0" y="0"/>
                            <a:ext cx="1560830" cy="620395"/>
                          </a:xfrm>
                          <a:prstGeom prst="rect">
                            <a:avLst/>
                          </a:prstGeom>
                          <a:ln>
                            <a:noFill/>
                          </a:ln>
                          <a:extLst>
                            <a:ext uri="{53640926-AAD7-44D8-BBD7-CCE9431645EC}">
                              <a14:shadowObscured xmlns:a14="http://schemas.microsoft.com/office/drawing/2010/main"/>
                            </a:ext>
                          </a:extLst>
                        </pic:spPr>
                      </pic:pic>
                      <wps:wsp>
                        <wps:cNvPr id="1973279782" name="Text Box 1973279782"/>
                        <wps:cNvSpPr txBox="1">
                          <a:spLocks noChangeArrowheads="1"/>
                        </wps:cNvSpPr>
                        <wps:spPr bwMode="auto">
                          <a:xfrm>
                            <a:off x="238125" y="26737"/>
                            <a:ext cx="1314450" cy="523874"/>
                          </a:xfrm>
                          <a:custGeom>
                            <a:avLst/>
                            <a:gdLst>
                              <a:gd name="connsiteX0" fmla="*/ 0 w 1314450"/>
                              <a:gd name="connsiteY0" fmla="*/ 0 h 523874"/>
                              <a:gd name="connsiteX1" fmla="*/ 630936 w 1314450"/>
                              <a:gd name="connsiteY1" fmla="*/ 0 h 523874"/>
                              <a:gd name="connsiteX2" fmla="*/ 1314450 w 1314450"/>
                              <a:gd name="connsiteY2" fmla="*/ 0 h 523874"/>
                              <a:gd name="connsiteX3" fmla="*/ 1314450 w 1314450"/>
                              <a:gd name="connsiteY3" fmla="*/ 523874 h 523874"/>
                              <a:gd name="connsiteX4" fmla="*/ 657225 w 1314450"/>
                              <a:gd name="connsiteY4" fmla="*/ 523874 h 523874"/>
                              <a:gd name="connsiteX5" fmla="*/ 0 w 1314450"/>
                              <a:gd name="connsiteY5" fmla="*/ 523874 h 523874"/>
                              <a:gd name="connsiteX6" fmla="*/ 0 w 1314450"/>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14450" h="523874" extrusionOk="0">
                                <a:moveTo>
                                  <a:pt x="0" y="0"/>
                                </a:moveTo>
                                <a:cubicBezTo>
                                  <a:pt x="158069" y="-13449"/>
                                  <a:pt x="367895" y="-20008"/>
                                  <a:pt x="630936" y="0"/>
                                </a:cubicBezTo>
                                <a:cubicBezTo>
                                  <a:pt x="893977" y="20008"/>
                                  <a:pt x="1114803" y="-14663"/>
                                  <a:pt x="1314450" y="0"/>
                                </a:cubicBezTo>
                                <a:cubicBezTo>
                                  <a:pt x="1327434" y="110374"/>
                                  <a:pt x="1338417" y="348618"/>
                                  <a:pt x="1314450" y="523874"/>
                                </a:cubicBezTo>
                                <a:cubicBezTo>
                                  <a:pt x="1166554" y="546700"/>
                                  <a:pt x="824060" y="507673"/>
                                  <a:pt x="657225" y="523874"/>
                                </a:cubicBezTo>
                                <a:cubicBezTo>
                                  <a:pt x="490391" y="540075"/>
                                  <a:pt x="318409" y="501295"/>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0B655AD3" w14:textId="45036B0C" w:rsidR="00604A31" w:rsidRDefault="00AC00BC" w:rsidP="001757D2">
                              <w:pPr>
                                <w:spacing w:after="0" w:line="216" w:lineRule="auto"/>
                                <w:jc w:val="center"/>
                                <w:rPr>
                                  <w:b/>
                                  <w:bCs/>
                                  <w:color w:val="000000"/>
                                  <w:sz w:val="20"/>
                                  <w:szCs w:val="20"/>
                                </w:rPr>
                              </w:pPr>
                              <w:r>
                                <w:rPr>
                                  <w:b/>
                                  <w:bCs/>
                                  <w:color w:val="000000"/>
                                  <w:sz w:val="20"/>
                                  <w:szCs w:val="20"/>
                                </w:rPr>
                                <w:t>Further detail in</w:t>
                              </w:r>
                              <w:r w:rsidR="001757D2">
                                <w:rPr>
                                  <w:color w:val="000000"/>
                                  <w:sz w:val="20"/>
                                  <w:szCs w:val="20"/>
                                </w:rPr>
                                <w:br/>
                              </w:r>
                              <w:r w:rsidR="00604A31" w:rsidRPr="00697AE5">
                                <w:rPr>
                                  <w:b/>
                                  <w:bCs/>
                                  <w:color w:val="000000"/>
                                  <w:sz w:val="20"/>
                                  <w:szCs w:val="20"/>
                                </w:rPr>
                                <w:t xml:space="preserve">Part B - Section </w:t>
                              </w:r>
                              <w:r w:rsidR="00604A31">
                                <w:rPr>
                                  <w:b/>
                                  <w:bCs/>
                                  <w:color w:val="000000"/>
                                  <w:sz w:val="20"/>
                                  <w:szCs w:val="20"/>
                                </w:rPr>
                                <w:t>5</w:t>
                              </w:r>
                            </w:p>
                            <w:p w14:paraId="1D37EE73" w14:textId="32BA06D5" w:rsidR="00604A31" w:rsidRPr="00697AE5" w:rsidRDefault="001757D2" w:rsidP="001757D2">
                              <w:pPr>
                                <w:spacing w:after="0" w:line="216" w:lineRule="auto"/>
                                <w:jc w:val="center"/>
                                <w:rPr>
                                  <w:b/>
                                  <w:bCs/>
                                  <w:color w:val="000000"/>
                                  <w:sz w:val="20"/>
                                  <w:szCs w:val="20"/>
                                </w:rPr>
                              </w:pPr>
                              <w:r>
                                <w:rPr>
                                  <w:b/>
                                  <w:bCs/>
                                  <w:color w:val="000000"/>
                                  <w:sz w:val="20"/>
                                  <w:szCs w:val="20"/>
                                </w:rPr>
                                <w:t xml:space="preserve">Part C </w:t>
                              </w:r>
                              <w:r w:rsidR="00BC0BDB" w:rsidRPr="00697AE5">
                                <w:rPr>
                                  <w:b/>
                                  <w:bCs/>
                                  <w:color w:val="000000"/>
                                  <w:sz w:val="20"/>
                                  <w:szCs w:val="20"/>
                                </w:rPr>
                                <w:t>-</w:t>
                              </w:r>
                              <w:r>
                                <w:rPr>
                                  <w:b/>
                                  <w:bCs/>
                                  <w:color w:val="000000"/>
                                  <w:sz w:val="20"/>
                                  <w:szCs w:val="20"/>
                                </w:rPr>
                                <w:t xml:space="preserve"> Section 6</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62A061" id="Group 1813455032" o:spid="_x0000_s1046" alt="&quot;&quot;" style="position:absolute;left:0;text-align:left;margin-left:78.45pt;margin-top:11.8pt;width:129.65pt;height:49.5pt;z-index:251658278;mso-position-horizontal:right;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A4NHoOQUAADIPAAAOAAAAZHJzL2Uyb0RvYy54bWycV1tv&#10;2zYYfR+w/0DocYBjUXcbcYq2WbMC3RqsGdY90hJtCZFEjaIjp79+h6SkyLnMTh7i8Pbdz3fR+bt9&#10;VZI7LttC1CuHnrkO4XUqsqLerpy/bj7NEoe0itUZK0XNV849b513Fz//dN41S+6JXJQZlwRM6nbZ&#10;NSsnV6pZzudtmvOKtWei4TUuN0JWTGErt/NMsg7cq3LuuW4074TMGilS3rY4vbSXzoXhv9nwVH3d&#10;bFquSLlyoJsyv9L8rvXv/OKcLbeSNXmR9mqwN2hRsaKG0JHVJVOM7GTxhFVVpFK0YqPOUlHNxWZT&#10;pNzYAGuo+8iaKyl2jbFlu+y2zegmuPaRn97MNv3j7ko235prCU90zRa+MDtty34jK/0fWpK9cdn9&#10;6DK+VyTFIY2CKAxDh6S4i7wkCnufpjkc/4QszX8dCMPITXyExBK6/iLUwZgPYucHyjRFusRf7wGs&#10;nnjgOFJApXaSOz2T6iQeFZO3u2aGYDVMFeuiLNS9AR7CopWq766L9FraDZx5LUmRrRw/pGHs+jRw&#10;SM0q4P6qhxjVRmpC/dZSMm3ZF5Hettr+wzuzPZCxLovmU1GWRAr1d6HybzlrwJ8a9OnL3jxg/BFG&#10;nvGQxd+lSHcVr5VNKMlLWCrqNi+a1iFyyas1h0nyc2aUZ8tWpn8isXRK+UGS2BxqleQqzQcTBjWt&#10;sS3wRdbd7yKDqmynhNFW44tsoPJvg/7/i7QjgIEbZauuuKiIXkBh6GjksLsvrbLYGp5oWJe1/q2F&#10;9qa91SfG41rffol46MRAdWoH12L3xLmvSkATM6im2T5ghi5i34sXceINoLnRWfZB7MnkCpr2ZDpp&#10;idrjfnBf2xgYkVp8zFm95e+lFF3OWQZ9TeyQVEaiJrV8Xo7MJPM9P6Eechwp7kWxH9uIjyUAMA+Q&#10;9iaTQ7yNg4NMZst0ZwOjWQ7BQKnMEBZ9tM36JElFXbeF4t/BbFOVKMS/zIlLOkJ7ETD+mef/HD7P&#10;yYMSz7z+TifMI99d+NFxCVMalxyTgACO6veqHxcxJTouwn+LiCmR9dFRU1DARlOiMPa88LglU5oT&#10;xQBco5gTAj59fqKE6HUSDp9PA44ONSKX5bayAOL7ukczVgTJpzulRmsjWt0Fp9BGGg1bQNeWHlDp&#10;10eIAcMpsc1pQ3UCMQA2JfZeJRnQmRL7ryIGIKbEQ3k4zWZbd0aHDVPCacQI41RyNFUbgQSTPmq6&#10;WeiGVpoZUaHvoYE4BDPiWtMgjkzpYA9L0qGkDoUvXzl9ySEoinKnh+GvtwMCKnHHb4QhVI8GIqjw&#10;cJvu1kX6gf+YvqVh4kYLY8SM+kGw6JUxjPwoTjA1aQtnmIXdvhM35tJWNnM5YuxAwHPikoW/iGND&#10;9IQhpTRIXIuDGQ2iyGAAjjHiRl9AmdPlUTS8wLfwoNT1bed44OknAbXqYNCI6IGBU4m99/tUOmom&#10;pRGGVis2DKLY7WdWa0riBW6ElgJLQjdGv5v63NZAezltdYfePNxZtsECM65N4DBw3dgAeTDVp0ng&#10;2jiHLvXsLDxc9rq8TtzMo35iOQY0XCQG+gPHmecvfHyZwUTPj5LwwEQr7oUglqLl1s06Icy8PmaG&#10;TqhJpx8nqxdHrQ7TiB219Ert13szPBuQ65O1yO4x42DS1aDSn5lY5EL+cEiHeXrltP/umJ7oy881&#10;Rhw8UWYRoFFhI4fT9fSU1SlYrBzkuF1+VNjh+a6RxTaHBDtL1+I9BtVNYSbHB21gst5gGjQr82Fm&#10;3NB/ROovv+nevHr41L34DwAA//8DAFBLAwQKAAAAAAAAACEAGMgcHv3hAAD94QAAFAAAAGRycy9t&#10;ZWRpYS9pbWFnZTEucG5niVBORw0KGgoAAAANSUhEUgAACcQAAANFCAYAAABf720OAAAAAXNSR0IA&#10;rs4c6QAAAARnQU1BAACxjwv8YQUAAAAJcEhZcwAAOpYAADqWASOuVDwAAOGSSURBVHhe7N1viBz5&#10;nx/28t39fvdbn++274/vdPZJN+cjRBdLp4njnMjuCU9wBEJYeGxvZEGWeEykExyLPTrJ2WgGMoMe&#10;ODEBTfTAwYE142A/CBuyg8EQJRYewz1Yh4UMxFmcJcGDRrP0EuPMxYnjhCSe1He6WxqVPvOvq7q7&#10;qvr1hhf7O2nn21Xd1VU1W+/7fjMREREREREREQnTOcbMMWaPMXeE+RMsHGHxBKuR3/W7ftfaMdaH&#10;sDFBmxO2NWHbExZt07hEn8e4RMfiOEXfw7OKvv+h6Dxyguh8dJTo3Hac6Bx5lOh8O1A8P0fn8+K5&#10;X0REREREREREREREREREpPUpPiwvih6wH1Z8IF8UPcQ/LCoAHBaVCQ6LygmHRUWHA1FpoiAqYAxE&#10;BY8kKp4MRIWYw6KyTrJ3gn0AKKF4XYmuRcVrVvEaF10To+vnW9fa6PqcK17Lo+t/dM+QFO8zBvcj&#10;h+9dBvc4IiIiIiIiIiIyJTn84GtUDv8HqDo4/LCuLor/8W6Sov+4OE7Rf/Qcl+J/gB236D8KT0K0&#10;bZMWfV7jFh2v4xR9X8clOm+NQ3QOH4foWkb8XtVFdPzUSfS9OovonHBW0XntrKLz81lF151TKz5Q&#10;LSF6WHsW0QPgw4oPjIuKD5iLoofShxUfYkeih98AALwxuG86fJ81uB8b3Lcdvsc7fD94cF8Z3LMO&#10;7nsP30cP7skP3+MPflc4/HvN4HcvERERERERkTCDB3aDXyoHv3C+8xBm8Itr3+FfaAcO/8I7cPhB&#10;xsDhhxeHHf5leuDwQ4pxi7YnEu1LJHovpk30vpwkes+PEn2OJ4n+Aw8AAAAAAM0y+G++h/+b8eC/&#10;Mw/+G/Xh5xeHn28o7omIiIiIiDQ06Zeyxf4vdukXv/TLYPRLIwAAAAAAANVT3BMREREREakgC/kv&#10;SOkXqegXLwAAAAAAADjsrMW9w+W9k4p7xfLe4QJfscR3uMh3VJlPoU9EREREZIrS6f8CEv0iAwAA&#10;AAAAAG00KPQVS32Hi32Hy31HlfyKDs/YFzkoA0aydwuCkcOlwbOIxnpHtF3HiPbvNKKxDkTblEvb&#10;PyhFpgLkoOwoIiIiIvJu8hvLdNMZ/RIAAAAAAAAAUGepwLie9UpzSnIiIiIiclCISzeJr28a8z86&#10;fAMJAAAAAAAA0BRbWW82ORERERGZ1uQ3hW8V4gAAAAAAAAAaTjFOREREZIqzGtwgAgAAAAAAADRa&#10;phQnIiIiMp3JbwbXijeHAAAAAAAAAE2XKcWJiIiITG1m8xvCf1a8QQQAAAAAAAComyzLwv8dyf9+&#10;Jj0QFREREZEpS34zuF28OQQAAAAAAACog+yE4tsx1ntPREVERERkmjIT3BgeK/+Zbv5PJToAAAAA&#10;AACgzv633iNREREREZmmzAU3hifZ6P/sIGmq4WQuN9+X1uRPFnOrSf5za7n1vo3cZt9WLhXskr1c&#10;9JoAAAAAAAAAZ/U3M0unioiIiExVFoKbwpPs9X921OnkBmW72VxUuBuU7l4X7wby7UwFvMMlvEER&#10;73AZb1DIGxgU8wblPAU9AAAAAAAAGLNs+GVSj5KWT1WMExEREZmCLAY3gyfKfy6V1aYxab8HBmW9&#10;QWFvUNo7XNw7qrz3VoEvf0+j8t7hAl9U5IsKfcVS3+Fin4IfAAAArfF+571jnb/QOdaly+eO9cGH&#10;M0e6cfPiqdy+c+VU7t2/emoPHl070cqT66f29NmtU/ts/aOhff7Fx6U8f3G3lC+/+oQWiD7bpoiO&#10;60mKvqdVis4hVSqey6JzYVI8hxbPv8XzdnTOT4rXiOI1JboORdcuAGojrYalGCciIiLS4qQyVnQj&#10;eKz851L5a+hsb690XnWX515+u7S4211ee/Xd8vrOd0ubSf7nG+nPXnaXFtK/0/8RGW0OF/2KZb+B&#10;QenvcPEvKgBGRcBjC4FHyY+1QVHwKMUCYVGxUFgUFQyLioXDw4rlw0ixkHhW4XcQAACoVvQge6D4&#10;0Hug+HD8sOhhelJ88H5Y8SH9QPFh/mHRw/+kWBQ4LCoWDESlhiQqUwxExY/DolLLYV9/8/BYr75b&#10;BoBWKF7jouti8To6uN4Wr82Hr9+Da3zxfmBwv1C8txjcexTvUwb3MYfvdw7fE0X3UAANpxgnIiIi&#10;0sbkN3qpNBTdAB4r/9FUbjpTDgpw3cerO93lrVfdpb3oPwgcJf1MKsnt7i6VKuKJTHGKpcdhFEuS&#10;wzpcrhxGsZA5jKjECQPFMm9Zh8vAVQhLxGXk1/aodFxGsaBclajcPJQf/dHv/a3I97//w7992O/+&#10;3d//8jTef/8HX53GT/30j22d5Gd/9sf/flHnJ9/7h0U//dM/9vIoP/uzv2f3JOd+/se7R/n9v//9&#10;/+U4Fy50/nGSv9b/XvR7f+/v+aeRn/25H/9nxzn38z/xfx/l9/2+9/+fo/zCL7z//x3l8EMcRutw&#10;CWjSig/1TutwKemsig8YT+twqWkYxQeep3W4GHVWhx+8nlXxIW7R4YLVYcWHwodFD5EHig+cB6Lf&#10;OQEAOJvD91eH78EO36sN7ueK932H7xEH95nFe9bBPe/h++fD9+DF+/nB7wOHf09R5gPOQDFORERE&#10;pE1JN3iFG75TmZv7A381zeD2eoa37vLGYIa3t3SXtwaiX5qHkcZKxbr0+jvfPp5PUtluIJXmku3u&#10;pzOvba90DuvvvoiITEGK14C3HL5WHDK4lkQOX3MGBtejyMH1sii/foYOrm9vOyiEHyG/Lq6fWn6t&#10;Po3wen6UQ9f5k+TbsH0qqTQ/rOC+AQAAAOCwKst8pynyHS7zHVXkO6rMFz2fAUZKMU5ERESkDUk3&#10;doUbvVNJv7hFv0g22rsP1d96QP/Ow/1CKSAqFeQ/91YZISoznCQqR5xaVLZom6hoEohKKofln9c7&#10;BZfjRCWZJCrWvCUq5OT6X0k5JtH7Fore94Los4tEn/1h0bEUiY7JUHSMR6Lve0F0PokUz1NHis5x&#10;BcXz4pGK59Mj5K/71nn4teL5eiA6twMAAABASxxX5ItKfMUC31ln44vKe4p7TIm1TDFOREREpLnJ&#10;b+g2Czd4p9LKQhzUWVT+OauoWDRq0XZEon0GAAAAAKBxTlPcO2t577TFPeU9KpaKcSIiIiLStOQ3&#10;ctuFG7tTSb80RL/kAAAAAAAAQN0dV9wbdta9QXHvcHlvUNwrlvcU9xpjL8uyhd6TVRERERFpRPKb&#10;uKEKcUn6JSH6BQIAAAAAAACoxmlm3Ttc3DtLee80s+4dLvAdVeIbZZEvjf2DH3wv/Lsx2sqybL73&#10;hFVEREREap3gZu7U0k12dFMOAAAAAAAAMCjzFQt9xWJfZPBzg7FS8S96ZjlmG1mWzfSetIqIiIhI&#10;HdMJbuJOLd10Hr6hBQAAAAAAABiVVJRLM9NFzy7HbK3/vFVEREREapaZ4Obt1NLUytGNKAAAAAAA&#10;AMAopFnj0tKu0fPLccuybLH32FVERERE6pJShbgHj66FN6EAAAAAAAAAo5Qm74ieYU7AVpZlC73H&#10;ryIiIiIy6ZQqxKX/z4vo5hMAAAAAAABg1NISqpcunwufZU5AKsbN9B7DioiIiMikUqoQl9bnj248&#10;AQAAAAAAAMalRrPFJevpOWzvcayIiIiIjDuzwQ3aqb3feS+84QQAAAAAAAAYp5rNFpes9Z/JioiI&#10;iMgYU6oQl3z9zcPwhhMAAAAAAABg3Go2W1xaRnWh92hWRERERMaR0oW4z7/4OLzRBAAAAAAAAJiE&#10;L7/6ZP/GzYvh880J2cwsoyoiIiIylpQuxP17S//6P45uMgEAAAAAAAAmqWazxSWWURUREREZcUoX&#10;4v7sv/OHt6ObSwAAAAAAAIBJ+/qbh/u371wJn3VOyF5mGVURERGRkWUuuAE7kyuzv+9/jm4sAQAA&#10;AAAAAOri6bNb++933gufeU7IVmYZVREREZHKU7oQ90t/4KfMEAcAAAAAAADUXg1ni0ssoyoiIiJS&#10;YUoX4r73/R/+P6KbSQAAAAAAAIA6SrPFnb/QCZ9/TohlVEVEREQqSulCXJL+PymiG0kAAAAAAACA&#10;uqrhbHGWURUREREpmdngJuvMnr+4G95AAgAAAAAAANRZetZZs9niEsuoioiIiAyZSgpxf+1v/On/&#10;Kbp5BAAAAAAAAGiCB4+uhc9CJ8gyqiIiIiJDpJJC3L3f+LX/NrppBAAAAAAAAGiKNFvcpcvnwmei&#10;E5SWUZ3tPd4VERERkZMyE9xQndnNW//i341uGAEAAAAAAACaZuXJ9fC56IRZRlVERETkFKmkEHf+&#10;QufvRTeKAAAAAAAAAE305Vef7N+4eTF8PjpBllEVEREROSGVFOK+//0f+Ta6SQQAAAAAAABosqfP&#10;bu2/33kvfE46QWkZ1ZneI18REREROZxOcPN0Zj/0Qz/0O9HNIQAAAAAAAEDTff3Nw/3bd66Ez0on&#10;zDKqIiIiIoVUUohL/v4/+K2X0c0hAAAAAAAAQBs8f3F3//yFTvi8dIK2M8uoioiIiLxOZYW4//Jv&#10;/ttfRTeFAAAAAAAAAG1y7/7V8JnphG1kllEVERERqa4Q9+f+/If/dXQzCAAAAAAAANA2aba4S5fP&#10;hc9OJynLstXeo2ARERGRKU10kzSMP/Gn/uBGdCMIAAAAAAAA0FYrT66Hz08nbCvLsvneE2ERERGR&#10;KUt+M7RXuDkayr/6a7/wn0c3gAAAAAAAAABtlmaLu3HzYvgcdcLWM8uoioiIyLQlvwmqpBD3oz/6&#10;vb8V3fwBAAAAAAAATIOazhaXllFd7D0dFhEREZmC5DdA28UboiFtvuou7UU3fgAAAAAAAADT4Otv&#10;Hu7fvnMlep46aWkZ1dneU2IRERGRFifd+BRuhIa1t9Nd3opu+gAAAAAAAACmyedffLx//kIneq46&#10;aWv9R8UiIiIi7Ux+w1NVIS7d2K0Xb/QAAAAAAAAAptW9+1fDZ6uTlmXZQu+JsYiIiEjLkt/sVFaI&#10;+2rrz/0n0U0eAAAAAAAAwLR6/uJuXWeLS8uozvSeHIuIiIi0JPlNzmbhpmdoT55cfxDd4AEAAAAA&#10;AABMu5Un18PnrDVgGVURERFpT/Kbm8oKcX/0j/7yfxjd2AEAAAAAAADQmy3u0uVz4fPWCdvLLKMq&#10;IiIibUh+Y7NRuNEZWqfzg8fRTR0AAAAAAAAAb9R4tjjLqIqIiEizk9/QrBducIaWD7f6qru0F93Q&#10;AQAAAAAAAPDG19883L9950r47LUGLKMqIiIizUy6kSnc2JSxsdNd3opu5gAAAAAAAAB4V1pG9fyF&#10;TvT8ddIsoyoiIiLNS34TU2UhbvNVd3kjuokDAAAAAAAA4GgPHl2LnsHWwWZmGVURERFpSvKblyoL&#10;cXu73eW16OYNAAAAAAAAgOOl2eI++HAmehZbB5ZRFRERkUZkNbiRGdbey+7j1ejGDQAAAAAAAIDT&#10;WXlyff/9znvRM9lJ28osoyoiIiI1T5WFuP2//bfv/lvRDRsAAAAAAAAAp/f1Nw/3b9+5Ej6XrYH1&#10;zDKqIiIiUtMsBjcvQ/vjf/JXbkY3awAAAAAAAACcXVpG9fyFTvh8dtKyLFvtPXYWERERqU8WohuX&#10;Yf3SL/3MH4tu0gAAAAAAAAAYXlpGNXpGWwNpGdX53uNnERERkcmn0kJcPt7iq+7SXnSDBgAAAAAA&#10;AMDw0mxxllEVEREROT7zwY3K0PLxVne6y1vRzRkAAAAAAAAA5T19dqvOy6guHjyJFhEREZlQKi3E&#10;5TZ2vlvajG7KAAAAAAAAAKjOvftXo2e2dZCWUZ3tPZIWERERGW/mgpuTMjZ2u8tr0c0YAAAAAAAA&#10;ANVKy6heunwuenZbB2tZlnV6j6ZFRERExpPZ4KakjK2X3cer0Y0YAAAAAAAAAKOx8uR69Py2FrIs&#10;W+g9nhYREREZfWaiG5IS9na+fTwf3YABAAAAAAAAMDpff/Nw//adK9Fz3DqwjKqIiIiMJZ3gRqQM&#10;hTgAAAAAAACACfps/aP98xc60fPcOkjLqIqIiIiMLFUX4vb/479861ejmy4AAAAAAAAAxufBo2vh&#10;M90a2MssoyoiIiKjSnDzUcrlyz9/LbrZAgAAAAAAAGC8nr+4u3/p8rnw2W4NpGVUZ3pPrkVEREQq&#10;Sn6TsVe46SglH3LuVXdpL7rZAgAAAAAAAGD8Vp5cD5/v1oRlVEVERKS65DcXVRfi5ne6y1vRTRYA&#10;AAAAAAAAk/H1Nw/3b9+5Ej7nrQHLqIqIiEg1yW8stgo3GqXkQy7ufLe0Gd1gAQAAAAAAADBZaRnV&#10;8xc64fPeGkjLqM4ePMwWERERGSbphqJwg1FKPuRqfhO1XrypAgAAAAAAAKA+GrCMaufgobaIiIjI&#10;WZLfSGwWbizKWtvtLq9FN1QAAAAAAAAA1EeaLe7GzYvRc99ayLJssfdkW0REROSUyW8iqi7Ebbzs&#10;Pk6zxIU3VAAAAAAAAADUy9Nnt/bf77wXPf+tg7SM6kLvCbeIiIjICclvHtYLNxNlbe58+3g+uokC&#10;AAAAAAAAoL5u37kSPQOui/Usy2Z6T7pFREREjkh+07BWuIkoa/tVd3kuunkCAAAAAAAAoN7SMqqX&#10;Lp+LngXXxVr/cbeIiIjIu0k3C4Wbh7L2trdXOtGNEwAAAAAAAADNsPLkep2XUd3OLKMqIiIiR2Q1&#10;uHkoRSEOAAAAAAAAoB3u3b8aPheuia3MMqoiIiJSSOWFuHzMzqvu0l50swQAAAAAAABAs1hGVURE&#10;RJqUxeBmoZR8zNmd7vJWdKMEAAAAAAAAQDPVfBnVvcwyqiIiIpJnIbhRKCUfc27nu6XN6AYJAAAA&#10;AAAAgGZrwDKqswdPw0VERGQqMx/cIJSSj7mw211ei26MAAAAAAAAAGi+hiyj2jl4Ki4iIiJTlbng&#10;xqCUfMzFl93Hq9FNEQAAAAAAAADt8fTZrf3zFzrhs+M6SM+vD56Mi4iIyNRkNropKCMfc/Vld2kh&#10;uhkCAAAAAAAAoH0asIzq/METchEREWl9ZoKbgbLWd759PB/dBAEAAAAAAADQTmkZ1Q8+nImeIdfF&#10;enpG3ntULiIiIm1NJ7gJKGvjVXd5LroBAgAAAAAAAKDd6r6Mam6t/7xcREREWphRFOI2t7dXOtGN&#10;DwAAAAAAAADToQHLqC70HpuLiIhIqxJc+MvaVogDAAAAAAAAIC2jeuPmxei5cl2kYpxlVEVERNqU&#10;/AK/V7jgl7WXxn3VXdqLbngAAAAAAAAAmC6WURUREZGxJb+wV12I20/j7nSXt6IbHQAAAAAAAACm&#10;04NH18JnzDWRJn+xjKqIiEjTk1/UtwsX+dLyYTs73y1tRjc4AAAAAAAAAEyvhiyjOnvwQF1ERESa&#10;l3QxL1zcS8uHnc1vZNaLNzYAAAAAAAAAkDRkGdWZgwfrIiIi0pzkF/HNwkW9tHzYud3u8lp0UwMA&#10;AAAAAAAAAzVfRjVJxTgRERFpSvKL9ygKcQsvu49Xo5sZAAAAAAAAADgsLaN6+86V8PlzTWyn5+AH&#10;D9lFRESk3skv3BuFC3lp+bCLL7tLC9GNDAAAAAAAAABEGrCM6lZmGVUREZF6J79grxcu4KXlw67u&#10;fPt4PrqBAQAAAAAAAIDjNGQZVcU4ERGROiZdqAsX7iqs7+4uzUY3LgAAAAAAAABwkgYso3owWUzv&#10;ybuIiIjUJvlFehSFuI3t7ZVOdNMCAAAAAAAAAKf12fpHTVhGdaH3BF5ERETqkNXggl3WpkIcAAAA&#10;AAAAAFVZeXI9ejZdJ6kYZxlVERGRGmQxuFCXtZ0GftVd2otuVAAAAAAAAADgrL7+5mHtl1HNrWVZ&#10;1knPzEVERGQyWQgu0GXtpYF3ustb0U0KAAAAAAAAAAzr+Yu7+5cun4ueVddGlmWL6bm5iIiIjD/z&#10;0cW5rDTwzndLm9HNCQAAAAAAAACU9fTZrf3zFzrhM+uaSMuoLqTn5yIiIjK+jKoQ18lvQNaLNyQA&#10;AAAAAAAAUKWVJ9fD59Y1spll2czBE3oREREZeeaCi3Fp+bizu93ltehmBAAAAAAAAACqlJZRvX3n&#10;Svj8ukbWeo/pRUREZJSZDS7CpeXjzr3sPl6NbkQAAAAAAAAAYBRSMa7my6im5+mLB0/rRUREZCSZ&#10;iS7AZeXjLux8+3g+ugEBAAAAAAAAgFFqwDKqW+m5+sFTexEREak0neDCW1o+7qJCHAAAAAAAAACT&#10;1IBlVDeyLJs5eHovIiIilWRUhbjV3d2l2eiGAwAAAAAAAADGJS2j2oBi3FrvEb6IiIiUTnChrcL6&#10;9vZKJ7rZAAAAAAAAAIBxe/rs1v75C53o+XZtZJZRFRERKZ/8orpXvMhWYEMhDgAAAAAAAIC6WXly&#10;PXrGXSdbmWKciIjI8MkvptuFi2sVNtPYr7pLe9ENBgAAAAAAAABMytffPGzCMqobWZbNpGfvIiIi&#10;cobkF9GtwkW1Cttp7J3u8lZ0cwEAAAAAAAAAk/b8xd39S5fPRc+862Tt4OG+iIiInC75xXOzcDGt&#10;wl4ae+e7pc3opgIAAAAAAAAA6iIto3r+Qid69l0X6Rm8ZVRFREROk/zCOYpC3H4aO79xWC/eSAAA&#10;AAAAAABAHT14dC18/l0jW1mWzaXn8SIiInJE8gvmeuECWol86M5ud3ktuokAAAAAAAAAgDpKy6je&#10;vnMlfA5eI+tZls0cPPQXERGRt5NfKNcKF85K5EPPvuw+Xo1uIAAAAAAAAACgzlIxrubLqCZrvSf/&#10;IiIi8jrpAlm4YFYiH3ruZXdpIbpxAAAAAAAAAIAmWHlyPXwmXiN7WZYtHBQARERE5CCrwQWztHzc&#10;hZ1vH89HNwwAAAAAAAAA0CQNWEZ1K8uy2YMWgIiIyJRnMbhQlpbG3d1dmo1uFAAAAAAAAACgadIy&#10;qjduXgyfkdfIepZlMwdtABERkSnNQnCBLC0fd3V7e6UT3SQAAAAAAAAAQFM9fXZr//yFTvisvEbW&#10;epUAERGR6ct8cGGswrpCHAAAAAAAAABttfLkevSsvE72sixb6FUDREREpidzwUWxChtp8Ffdpb3o&#10;xgAAAAAAAAAAmu7rbx7u375zJXpmXidbWZbNpmf4IiIi05DZ4GJYhc00+E53eSu6KQAAAAAAAACA&#10;tnj+4u7+pcvnomfndbKeZdlMepYvIiLS5swEF8EqbKfBd75b2oxuBgAAAAAAAACgbZ4+u7V//kIn&#10;eoZeJ2sHbQEREZGWphNc/KqQ1iLP8gv+evEGAAAAAAAAAADabOXJ9eg5ep2kSW4W0nN9ERGRtmVU&#10;hbj9NPhud3ktuvgDAAAAAAAAQJt9/c3D/dt3roTP02tkK7OMqoiItC3BBa8S+dCdl93Hq9GFHwAA&#10;AAAAAACmwfMXd/cvXT4XPlevkbSMqmKciIi0I/mFba9woatEPvTsy+7SQnTBBwAAAAAAAIBp8vTZ&#10;rf3zFzrh8/W6yLJs9aBIICIi0uTkF7Xt4kWuCvnQczvfPp6PLvQAAAAAAAAAMI1WnlwPn7HXSFpG&#10;deGgUCAiItLEpItZ4eJWiXzohd3dpdnoAg8AAAAAAAAA0+rLrz7Zv33nSvisvUZSMc4yqiIi0rzk&#10;F7HNwkWtEvnQi9vbK53o4g4AAAAAAAAA0+75i7u1X0Y1t5ZlWeegYCAiItKE5BcvhTgAAAAAAAAA&#10;mJC0jGrdi3FZlq0elAxERETqnvzCtV68kFUhH/rgYviqu7QXXdABAAAAAAAAgDcePLoWPn+vkbSM&#10;6kLqAoiIiNQ2+QVrrXABq8p6Gn+nu7wVXcgBAAAAAAAAgLelZVRv37kSPYOvk1SMm0mdABERkdol&#10;v1CNqhC3kcbf+W5pM7qIAwAAAAAAAACxVIyr+zKqubWD4oGIiEjNshpctKpwUIh71V3eiC7eAAAA&#10;AAAAAMDxVp5c33+/8170TL42sixbTP0AERGRumQxumBVIE2Rmu12l9eiizYAAAAAAAAAcDr37l+N&#10;nsvXSeoILKSegIiIyKSzEFyoqrCdBn/ZfbwaXawBAAAAAAAAgNNLy6jevnMlej5fJ5tZls2kvoCI&#10;iMikMh9coKqwlwZ/2V1aiC7UAAAAAAAAAMDZff7Fx/vnL3Si5/R1snbQSBAREZlARlWIS+uEZzvf&#10;Pp6PLtAAAAAAAAAAwPBWnlwPn9XXSWYZVRERmUBmo4tSFfKxO6+6y3PRhRkAAAAAAAAAKK8By6hu&#10;ZYpxIiIyxswEF6NKpLG3u5/ORBdkAAAAAAAAAKAaz1/cbUIxbiP1CA6aCiIiIiNMJ7gIVSIfe3Z7&#10;e6UTXYwBAAAAAAAAgGo9fXZr//yFTvgMv0bWenUFERGR0WSUhbi59AKvukt70YUYAAAAAAAAAKje&#10;ypPr4XP8OsksoyoiIqNKdOGpQj70fBpfIQ4AAAAAAAAAxuvrbx42YRnVrUwxTkREqk5+gdkrXHAq&#10;kQ+9mMbf6S5vRRdfAAAAAAAAAGC0nr+424RlVDeyLJtJHQMREZHSyS8soy3Efbe0GV10AQAAAAAA&#10;AIDxaMIyqrm11DMQEREplfyCslW4wFQiH3o1jb/bXV6LLrYAAAAAAAAAwPg0ZBnVvcwyqiIiUib5&#10;xWSzcHGpynoaXyEOAAAAAAAAAOojLaN66fK56Dl/nWxlWTafegciIiJnSn4RGVUhLq3xnb3sPl6N&#10;LrAAAAAAAAAAwOSkZVTPX+hEz/vrJE3GM5P6ByIiIqdKungULiZVOSjE7Xz7eD66sAIAAAAAAAAA&#10;k3fv/tXomX/drB2UHERERE5KumgULiJVSdOXKsQBAAAAAAAAQM2lZVRv37kSPfuvk70syxZSF0FE&#10;ROTI5BeMURXittP4u7tLs9HFFAAAAAAAAACol6fPbjVhGdU0Qc9c6iSIiIhEWQ0uHlVIzexse3ul&#10;E11EAQAAAAAAAIB6WnlyPeoB1M16lmUzqZsgIiJyOApxAAAAAAAAAMBbvv7mYROWUU3WDtoPIiIi&#10;/SwGF4tK9MfPXnWX9qKLJwAAAAAAAABQb89f3G3CMqpp0p6FXktBRESmPQvBhaIS+did9AI73eWt&#10;6KIJAAAAAAAAADRDQ5ZR3cqybDZ1FUREZHoz+kLcd0ub0cUSAAAAAAAAAGiOBi2jup5l2UzqLIiI&#10;yPRlPrgwVCIf++Di8qq7vBFdKAEAAAAAAACA5knLqF66fC7sCtTMWuotiIjIdGWUhbiDaUh3u8tr&#10;0QUSAAAAAAAAAGiutIzq+QudsDNQI2kZ1YXUXxARkenIXHAxqEQaO72AQhwAAAAAAAAAtNe9+1fD&#10;3kDNpGKcZVRFRKYgs8FFoBL52AeFuJfdx6vRBREAAAAAAAAAaIe0jOrtO1fC/kDNWEZVRKTlGWUh&#10;bj69wM63j+ejiyEAAAAAAAAA0C5Pn91qwjKqe5llVEVEWpuZ4MRfiXzsg4uHQhwAAAAAAAAATJeV&#10;J9fDLkHNpGVUZ1O3QURE2pNOcMKvRD72YnqB3d2l2ejiBwAAAAAAAAC019ffPGzSMqqd1HEQEZHm&#10;Z+SFuO3tlU504QMAAAAAAAAA2u/5i7tNWEb1dc9BREQanugkX4V86NU0vkIcAAAAAAAAANCgZVTn&#10;U99BREQamuDkXpU0pehBXnWX9qKLHQAAAAAAAAAwPRq0jOp6lmUzvdaDiIg0KvlJfK9wUq9Kujgc&#10;ZKe7vBVd6AAAAAAAAACA6ZOWUb10+VzUNaib15MBiYhIQ5KfvEdViNvov4RCHAAAAAAAAADwjrSM&#10;6vkLnahzUCfbWZYt9BoQIiJS+6QTd+FEXpU3hbjvljajCxsAAAAAAAAAwL37V6PeQd1sZZZRFRGp&#10;f9IJu3ACr8pm/yWy3e7yWnRBAwAAAAAAAABI0jKqt+9cifoHdWMZVRGROic/UY+qEJea0QdRiAMA&#10;AAAAAAAATuPps1tNWEZ1L7OMqohIPZOfpDcLJ+2qpDW0D/Ky+3g1uogBAAAAAAAAAERWnlyPugh1&#10;kyYLmu21I0REpBbJT86jKsSlNvRBXnaXFqKLFwAAAAAAAADAUb7+5mGTllHt9FoSIiIy0eQn5Y3C&#10;SboqrwtxO98+no8uXAAAAAAAAAAAJ3n+4m4TllHdz7JssdeUEBGRiSU/Ia8XT9BV6b9E9qq7PBdd&#10;sAAAAAAAAAAATqtBy6gu9BoTIiIy9uQn4rXCibky/ZfItrufzkQXKgAAAAAAAACAs2jQMqrrWZbN&#10;9JoTIiIytuQn4FEW4g7Wx97eXulEFykAAAAAAAAAgGGkZVQvXT4X9hVqZi11J0REZExJJ97Cibgy&#10;+fAHhbiU6OIEAAAAAAAAAFBGWkb1/IVO2Fuoke3MMqoiImPLanAirkQ+9ptCXHdpL7owAQAAAAAA&#10;AACUde/+1bC7UDNbmWVURURGnlEW4l6fxHe6y1vRBQkAAAAAAAAAoAppGdXbd66EHYaasYyqiMgI&#10;sxiceCuRj/2mEPfd0mZ0MQIAAAAAAAAAqNLTZ7easIzqXmYZVRGRkWQhOOlWIh97tvcSacnU5Y3o&#10;IgQAAAAAAAAAMAorT66HfYaasYyqiEjFmQ9OtpXIx35diNvtLq9FFx8AAAAAAAAAgFH5+puHllEV&#10;EZmyjLIQN9d7CYU4AAAAAAAAAGBynr+424RlVLczy6iKiJTOXHCCrUQau/cSWfay+3g1uuAAAAAA&#10;AAAAAIxLQ5ZR3cgsoyoiMnTGVIhbWoguNAAAAAAAAAAA42QZVRGRdmc2OKFWIh97vvcSWbbz7eP5&#10;6CIDAAAAAAAAADAJDVlGdSuzjKqIyJkyE5xMK5GP/fqE/Kq7PBddXAAAAAAAAAAAJqkhy6iuZ5ZR&#10;FRE5VcZSiNvufjoTXVQAAAAAAAAAACatKcuoZlm22mtiiIjIUelEJ9Aq5GMv9l4iy7a3VzrRBQUA&#10;AAAAAAAAoC4atIzqfK+RISIixYylEJcSXUgAAAAAAAAAAOrGMqoiIg1OcMKsRD7024W47tJedBEB&#10;AAAAAAAAAKibNFtcQ5ZRfaufISIy9clPjnvFk2UV8qHfWrd6p7u8FV1AAAAAAAAAAADq6umzW01Z&#10;RnW219AQEZny5CdFhTgAAAAAAAAAgGM8eHQt7EfUzFqWZZ1eU0NEZEqTnwzHU4j7bmkzumAAAAAA&#10;AAAAADRBWkb1xs2LYU+iTrIsW+i1NUREpjD5iXCreGKsSGodv05+YVgvXigAAAAAAAAAAJrGMqoi&#10;IjVOOgEWTohVeasQt9tdXosuEgAAAAAAAAAATXTv/tWoL1E3b/U3RERan/zEN6pC3Hr/JQ7ysvt4&#10;Nbo4AAAAAAAAAAA0VVpG9dLlc1Fvok72Msuoisi0JD/pbRZOglVRiAMAAAAAAAAApsLKk+v773fe&#10;i/oTdZKWUZ3pNTlERFqa/GQ3qkLcRv8lDvKyu7QQXRAAAAAAAAAAANri9p0rUYeibiyjKiLtTX6S&#10;G0shbufbx/PRhQAAAAAAAAAAoE0soyoiMsHkJ7iNwgmvKm8V4l51l+eiiwAAAAAAAAAAQBulZVSD&#10;PkXdWEZVRNqV/MQ2lkLcdvfTmejkDwAAAAAAAADQVl9/89AyqiIi40x+QlsvnOCqstl/iYNsb690&#10;ohM/AAAAAAAAAEDbpWVUz1/oRP2KOrGMqog0P/nJTCEOAAAAAAAAAGAMLKMqIjLi5CextcJJrSpv&#10;FeJSXnWX9qKTPQAAAAAAAADAtLCMqojICJNOXoWTWVUU4gAAAAAAAAAAjvD5Fx/XfhnVn/7pH3uZ&#10;WUZVRJqU/OQ1qkJcmj7zrex0l7eiEzwAAAAAAAAAwLRqwjKqf/DSz/12ZhlVEWlIVqMTWQXeLcR9&#10;t7QZndgBAAAAAAAAAKbZ8xd3G7GM6i//8k/9lX4NRESkthlbIe5Vd3kjOqkDAAAAAAAAALC8//TZ&#10;rdovo/qLMz/1O1f+0M//Rr8OIiJSuyxGJ68KbPfHf53d7vJadDIHAAAAAAAAAOCNe/evRl2MWvng&#10;w5mvf+M3r/56vxYiIlKbKMQBAAAAAAAAANRMWkb10uVzUSejVv7Mwr/yd/vVEBGRWmQhOllV4J1C&#10;3Mvu49XoBA4AAAAAAAAAQGzlyfX99zvvRd2M2kjFvf/sb/zpv9GviIiITDSjKsTt9cd/nZffLi1G&#10;J24AAAAAAAAAAI53+86VqJ9RK2mp15fdpYV+VUREZCIZWyFu59vH89EJGwAAAAAAAACAkzVlGdW/&#10;+Jdu/CPFOBGZVOajE1MFFOIAAAAAAAAAAEYgLaMadDVqJRX3Nv7Wn/kfFeNEZNwZWyHuVXd5LjpJ&#10;AwAAAAAAAABwNl9/87Axy6judJe30kRK/QqJiMhIM6pC3H5//NfZ7n46E52gAQAAAAAAAAAYTlpG&#10;9fyFTtjdqIv3O+/tP312a/9Vd3kj9Uf6VRIRkZFkLjoRVaE//utsb690ohMzAAAAAAAAAADlNGUZ&#10;1S+/+iRt77pinIiMKgpxAAAAAAAAAAAtkGaLa8oyqml7d7vLa4pxIlJ1ZqMTTxXysTu9l3iT4okY&#10;AAAAAAAAAIBqpeVJG7OMar69qRjXr5aIiJTOTHTSqUI+9ruFuO7SXvEkDAAAAAAAAABA9R48uhZ2&#10;Ourkgw9nBsuoKsaJSCXpRCebKqSxey/xJjvd5a3iyRcAAAAAAAAAgNFIy6heunwu7HbUyWAZ1TTZ&#10;0svu0kK/aiIicuaMshD3zhrPCnEAAAAAAAAAAOO38uT6wTKlUcejLlJxb7CMauqYKMaJyDAZZSFu&#10;tvcSb7Lz3dJm8YQLAAAAAAAAAMB43L5zJex51EnaxsEyqopxInLmRCeWKuRDv1OIe9Vd3iieaAEA&#10;AAAAAAAAGJ+mLKP64NG119ucJmHa7n76zmqFIiLvJD+B7BVPKFXIh57rvcKb7HaX1w6fYAEAAAAA&#10;AAAAmIy0jGrU+aiTw8uoHugubyjGicixyU8eCnEAAAAAAAAAAFPo628eNm4Z1SR1UBTjRCRMftLY&#10;Lp5EqpAPPd97hTd52X28evikCgAAAAAAAADA5KVlVM9f6IQdkDq5d//qW9udinH9WoqISC/5yWKr&#10;ePKoQj70u4W4b5cWD5+UAAAAAAAAAACoj0Yuo5pTjBOR18lPFKMqxC30XuFNdr59PH/4ZAQAAAAA&#10;AAAAQL2kpUmbuIzqq+7S3svu0jt9FRGZsuQniM3iCaMK+dAKcQAAAAAAAAAADZVmYWviMqo73eUt&#10;xTiRKU5+YtgoniiqkA+92HuFN3nVXZ47fAICAAAAAAAAAKDemrqMairG7e4uzfZrKyIyLclPCmMr&#10;xKWTzOETDwAAAAAAAAAA9ff8xd1GLKN64+bFt5dR7Vnf7n4606+viEjbk58M1osnhyrkQ6/2XuFN&#10;0smlcMIBAAAAAAAAAKAhPlv/qJHLqCa73eW17e2VTr/GIiJtTX4SWCueFKqQD/1uIS4/qRRPNgAA&#10;AAAAAAAANEsTllFNxb3iMqpJKsb1qywi0sbkJ4CRFOJy75w8FOIAAAAAAAAAANrh628eNmIZ1UuX&#10;z727jGp3ae9ld2mhX2kRkZZlNToZVCBs0751cgEAAAAAAAAAoNGev7jb2GVUd7rLW4pxIu3LqApx&#10;6/3x30pq2BZPLgAAAAAAAAAANFsTllF9v/NeuIxqKsbt7i7N9ustItLwLEYngAps9Md/K/lJZLt4&#10;UgEAAAAAAAAAoPkavYxq0l3e2O5+OtOvuYhIQ7MQffErEBbiUqP2nZMJAAAAAAAAAACt0eRlVJPd&#10;7vKaYpxIczMffeErEBfivlvajE4kAAAAAAAAAAC0S5OXUU1SMa5feRGRBmVUhbjN/vhvRSEOAAAA&#10;AAAAAGB6NH8Z1aW9l92lhX71RUQakLnoS16BsBCXnyjW3zlxAAAAAAAAAADQamkZ1VQ6CzomtXLU&#10;Mqo73eUtxTiRZmQ2+nJXYKs//ltJU0lGJw0AAAAAAAAAANqv6cuopmLc7u7SbL8KIyI1TCf6Yldg&#10;uz/+W1GIAwAAAAAAAACg0cuo9qxvdz+d6VdiRKRGGVUhbq8//lt52X28GpwgAAAAAAAAAACYMk1f&#10;RjVJk0P1azEiUpdEX+QKKMQBAAAAAAAAAHCitIxqWqY06J/UxnHLqCaKcSI1Sv6l3St+iavQH/6t&#10;vOwuLUQnBQAAAAAAAAAApluaiS3qoNRJmtEuzWwXbf+r7tJe6sb0azIiMqnkX9at4pe3CvnQnd4r&#10;vMnOt4/nwxMCAAAAAAAAAABTL5XNbty8GHZR6uS4ZVR3ustbinEiE0z+JR1VIW6m9wpvohAHAAAA&#10;AAAAAMBJ0vKk5y90wk5KXZy0jOrOd0ub291P3+nPiMiIk39BN4tf2CrkQ8/2XuFNXnWX56ITAAAA&#10;AAAAAAAAFD14dC3spdTJscuo9qwrxomMMfkXc734Ra1CPvRc7xXeZHd3aTb40gMAAAAAAAAAQCiV&#10;zW7fuRL2U+okLaP69TcPw31IdrvLa/0KjYiMMvkXcq34Ba1CPvQ7hbjUdo2+8AAAAAAAAAAAcJwm&#10;LKOaHLeMavLy26XFfpVGREaR/Is4qkLcfO8V3mR7e6UTfdEBAAAAAAAAAOA0Vp5cD7sqdXKKZVS3&#10;X3aXFvqVGhGpOKvRF7OsfNx3vrQKcQAAAAAAAAAAlNWWZVR3ustbinEi1Wch+kKWlY8bTu8YfbkB&#10;AAAAAAAAAOCsPv/i40Yso5pmtYu2/7Xu8sZ299OZfr1GREpmPvoilpWPu9ob/u286i7thV9sAAAA&#10;AAAAAAAYQkuWUd3f7S6vKcaJlI9CHAAAAAAAAAAAjZaWJm3CMqppG7/86pNwHwZSMa5ftRGRITIb&#10;ffkqEH4x8y/tdvFLDAAAAAAAAAAAVUizsLVjGdWlvZfdpYV+5UZEzpCZ6EtXgY3++G9lp7u8FX6J&#10;AQAAAAAAAACgIk1ZRvWz9Y/C7R9IXRvFOJGzpRN94SqgEAcAAAAAAAAAwES1ZRnV1LnZ7n4606/g&#10;iMhxib5oFdjsD/9Wdr5b2oy+tAAAAAAAAAAAMAppGdU0G1vQb6mVB4+uhdtfsK4YJ3JC8i/UXvEL&#10;VoGt/vBvRSEOAAAAAAAAAIBJePrs1v75C52o51IbqbiXtjPa/sN2u8tr/TqOiBSTf5lGUYjb7g//&#10;Vl51lzeiLykAAAAAAAAAAIxDmokt6LrUymmWUU1efru02K/liMgg+Zdoq/ilqsBef/i3kn8R14tf&#10;TAAAAAAAAAAAGKe0jGoqnQWdl1q5d/9quP2H7XSXt152lxb69RwRyb88m8UvUwXCQlyarjH6YgIA&#10;AAAAAAAAwLi1aRnVVIzb3V2a7dd0RKY3+Rdno/hFqkJ/+LeiEAcAAAAAAAAAQN2sPLke9l/q5MbN&#10;i6daRjW3vt39dKZf1xGZvuRfmLXiF6gK+dCd3iu8ycvu49XgSwgAAAAAAAAAABP19TcPW7OMapIm&#10;rupXdkSmLqvRl6esfNx3pmBUiAMAAAAAAAAAoM6ev7jbmmVUk9TX6Vd3RKYmi9EXp6x83HcLcd8u&#10;LUZfPAAAAAAAAAAAqJMmLKP6wYczp11Gdftld2mhX+ERaX3moy9MWfm4c73h3yR9sYIvHAAAAAAA&#10;AAAA1E7bllHd6S5v7e4uvTPJlUjbMhd9UcrKx32nVbrz7eP56MsGAAAAAAAAAAB1lZZRTcuURh2Z&#10;ukjLvJ52GdXc+nb305l+pUekdZmJviRl5eMu9oZ/E4U4AAAAAAAAAACaKi2j+n7nvbArUxdnWEZ1&#10;f7e7vNav9Yi0Kp3oy1FWPu5qb/g3edVdnou+XAAAAAAAAAAA0BRpidKoL1Mnp11GNXn57dI7E1+J&#10;NDrRl6KsfNh3CnFpDeLoSwUAAAAAAAAAAE2SllG9cfNi2Jupi7TM62mXUd3pLm+97C4t9Gs+Is1O&#10;/gXYK34hKrDeH/510trD0RcKAAAAAAAAAACaKBXOzl/oRN2Z2rh958qpl1FNxbjU8enXfUSamfzA&#10;3yp+ESqw0R/+dRTiAAAAAAAAAABoo5Un16P+TK08eHQt3PYjrCvGSWOTH/CbxS9ABTb7w7+OQhwA&#10;AAAAAAAAAG2VllFNs7EFPZraSMuofrb+Ubj9kd3u8lq/+iPSnOQH+0bx4K/AVn/419neXulEXxwA&#10;AAAAAAAAAGiLVDhr0zKqr7pLey+7Swv9CpBI/ZMf5GvFg74Ce/3hX0chDgAAAAAAAACAadGEZVTT&#10;NkbbHtnpLm8pxklTshod8CUpxAEAAAAAAAAAMNXSLGxNWEY1LfcabX+ou7yx3f10pl8JEqllFqOD&#10;vax83E5v+F4U4gAAAAAAAAAAmEaff/Fxu5ZRze12l9f6tSCR2mU+OsjLysd9qxCXEn05AAAAAAAA&#10;AABgGrRtGdXEMqpSx8xFB3dZ+bizveHfJPpSAAAAAAAAAADAtPj6m4etW0Z1p7u8pRgndcpMdGCX&#10;lY871xv+TaIvBAAAAAAAAAAATJtUOKv7Mqr37l89KPBF2x/qLm9sdz+d6VeFRCaWTnRAl5WPO98b&#10;/k1edZf2wi8DAAAAAAAAAABMoSYso/r02a1w24+y211e69eFRCaT6EAuKx/2nWkQFeIAAAAAAAAA&#10;AOBtbVxGNbGMqkws+UG7VzyIy8qHXeyN/iYKcQAAAAAAAAAAEGvKMqrRth9lp7u8pRgnY09+sG4V&#10;D96y8mFXe6O/iUIcAAAAAAAAAAAcr+7LqL7fee/My6i+6i5vbHc/nenXiERGm/xA3SweuBV4Zy3g&#10;/ODefudgBwAAAAAAAAAA3tKUZVS//OqTcPuPsttdfqdTJFJ58gN0vXjAVmCjP/zr5Ae1QhwAAAAA&#10;AAAAAJxSG5dRTSyjKiNNfmCuFQ/UCrxTiEtrAkcHOAAAAAAAAAAAcLQ2LqOaukSKcTKqrEYHaklb&#10;/bFfRyEOAAAAAAAAAACG09ZlVF91lze2u5/O9CtGIpVkITpAS9ruj/06CnEAAAAAAAAAAFBOWkY1&#10;Fc+Cvk5tDLOM6m53ea1fMxIpnfnowCxprz/26yjEAQAAAAAAAABANdq4jGpiGVWpIrPRQVlWf+zX&#10;2fluaTM6iAEAAAAAAAAAgOG0cRnVNPGWYpyUSSc6GMtK4/aG70UhDgAAAAAAAAAAqtfWZVRT32i7&#10;++lMv34kcuqMqhD31sGoEAcAAAAAAAAAAKOTllFNS5VGXZ46GHYZ1d3u8lq/giRyuuQH3F7xACwr&#10;H3a2N3ovr7rLG9EBCwAAAAAAAAAAVCfNxhb1eerigw9nzryMavLy26XFfhVJ5PjkB9pW8cArKx92&#10;rjd6LwpxAAAAAAAAAAAwHq1dRrW7vPWyu7TQrySJxMkPsM3iAVdWPuxbB55CHAAAAAAAAAAAjFda&#10;ovT8hU7Y76mDVNobZhnVVIzb7n46068mibyd/OBaLx5sZeXDvjVFoUIcAAAAAAAAAABMRt2XUb19&#10;58pQy6judpfXtrdXOv2Kkkgv+UG1VjzIysqHVYgDAAAAAAAAAICaSMuo3rh5Mez61MWDR9fCbT/J&#10;y+7j1X5NSeQgq9EBVkYaszd0LwpxAAAAAAAAAAAweU1YRvWz9Y/CbT9OWkb1ZXdpoV9XkinPfHRw&#10;lbTeH/sgCnEAAAAAAAAAAFAfaTa2oPNTG8Muo7rz3dLmdvfTmX5tSaY0oyjEbfTHPohCHAAAAAAA&#10;AAAA1EtaRjUVz4LuT22sPLkebvtJdrvLa/3qkkxhZqODqaTN/tgHUYgDAAAAAAAAAIB6ausyqq+6&#10;S3uWUZ3OdKIDqaSt/tgHUYgDAAAAAAAAAIB6a+0yqt3lrd3dpdl+lUmmIdEBVNJef+iDKMQBAAAA&#10;AAAAAED9tXkZ1dz6dvfTmX6lSdqc/EDZKx44JSnEAQAAAAAAAABAQzVhGdVU3ou2/SQvu49X+7Um&#10;aWvyg2SreNCU1R/6IApxAAAAAAAAAADQPGk2tqgbVBf37l/d//qbh+G2Hycto/qyu7TQrzdJ25If&#10;HJvFg6WsfNhOb3SFOAAAAAAAAAAAaKomLKOaZrSLtv0ULKPaxuQHxXrxICkrH3a2N7pCHAAAAAAA&#10;AAAANN3nX3zc2mVUd7vLa/2qk7Qh+QGxVjxAysqHVYgDAAAAAAAAAICWacIyqtF2n8Qyqu3KanRw&#10;lJGPOdcbWiEOAAAAAAAAAADa5OtvHtZ6GdX3O+9ZRnXKsxAdGGXkY873hlaIAwAAAAAAAACANkpL&#10;lNZ9GdUvv/ok3PaTvOw+Xu3Xn6SBmY8OiDLyMRd7Q2fZzndLm9FBAwAAAAAAAAAANF+bl1F91V1+&#10;vVKmNCdz0YFQRj6mQhwAAAAAAAAAAEyJ1i+jur3S6dehpAGZiQ6CMvIxX08ZqBAHAAAAAAAAAADT&#10;obXLqHaX9l52lxb6lSipeTrRh1/SWn9shTgAAAAAAAAAAJgyrV1G9bulze3upzP9apTUNdGHXtJ6&#10;f2iFOAAAAAAAAAAAmEJtXkb15bdLi/16lNQx+Qe8V/zAS9roD60QBwAAAAAAAAAAU6wJy6imbYy2&#10;/Tg73eUts8XVNPkHu1X8oEva7A+tEAcAAAAAAAAAALR2GdWX3cer/aqU1CX5B7pZ/IBL2uoPrRAH&#10;AAAAAAAAAAAcaOsyqmm2uN3dpdl+ZUomnfzDXC9+uCVt94dWiAMAAAAAAAAAAN7S1mVUd7vLa/3a&#10;lEwy+Ye4VvxQS9rrD60QBwAAAAAAAAAAhNq4jGqaLe5Vd3muX5+SCWU1+kDL6I+bHXzAwQcPAAAA&#10;AAAAAADQ1mVUzRY32SxEH2YZ+ZidNLBCHAAAAAAAAAAAcJI2LqOaulO7u0uzqUcl48189CGWkY+p&#10;EAcAAAAAAAAAAJxJG5dRfdl9vJq6VDK+zEUfXhn5mAfNRoU4AAAAAAAAAADgLOq+jGpy1mVUU49q&#10;u/vpTOpUyegzE31oZeRjzqWB8w9zu/jhAgAAAAAAAAAAnKSNy6i+/HZpMfWqZLTpRB9YGfmYCnEA&#10;AAAAAAAAAEBpLVxGdT11q2SEiT6oMvIhF9K4+YenEAcAAAAAAAAAAJTStmVU0xKqu7tLs6ljJSNI&#10;/oHsFT+gMvIhD6b2yz88hTgAAAAAAAAAAKASbVtG1RKqI0r+YWwVP5wy8iEV4gAAAAAAAAAAgJFo&#10;wjKqaVa7aNvf0V3eSF0rqTD5h7BZ/FDKyIdcTeO+6i7thR8iAAAAAAAAAABACW1aRjUtobq9vdJJ&#10;nSupIPmbv1H8MEpaT+MqxAEAAAAAAAAAAKPUmmVUu0t7u7tLsweFLimX/I1fK34QJR1M46cQBwAA&#10;AAAAAAAAjEPdl1FNs9l9+dUn4ba/pbs8d1DqkuGTv+GjKcRFHxgAAAAAAAAAAMAINGEZ1QeProXb&#10;ftjL7tLCQbFLhs5q9OaXsJkGjT4sAAAAAAAAAACAUWrCMqpPn90Kt31AKa5cFqM3voTtNGj0QQEA&#10;AAAAAAAAAIxD05dRVYobPvPRG17CXho0+pAAAAAAAAAAAADGJRXO6r6M6r37V8NtT5Tihkvlhbjt&#10;7ZVO9AEBAAAAAAAAAACM2+dffFzrZVTTth21jOrOt4/n+z0vOWXmoje5DIU4AAAAAAAAAACgbuq+&#10;jOoHH86Ey6ju7i7N9rtecorMRG9uGb/5m//aLxY/FAAAAAAAAAAAgElrwjKqqbj31nZ3lw5W7ez3&#10;veSEdKI3tYzf+M2rv/7WBwIAAAAAAAAAAFAjdV9G9dLlc/vPX9x9vb073y1t9vteckIqL8T98T/5&#10;KzcPHzwAAAAAAAAAAAB19ODRtbADVRf37l99va273eW1fudLjkv0Rpbx63/kF+8cPmgAAAAAAAAA&#10;AADqKs3ElmZki7pQdfB+5739p89uHWzrzreP5/u1Lzkq+Zu2V3wTy7jyh37+N4oHDQAAAAAAAAAA&#10;QJ2tPLl+UD6LOlF1cPvOlf3/4R/81u/s7i7N9qtfEiV/s7aKb14Zv/Zrv/DvRwcMAAAAAAAAAABA&#10;3aXiWdSLqoNU2PuLf+nGP+pXvyRK/kZVWoi7dOnn/qPoQAEAAAAAAAAAAGiCtIzq+QudsB9VB//m&#10;7V991a9/STH5G7RZfMPK+OVf/qm/Eh0kAAAAAAAAAAAATZKWUY06UnXw0z/9Yy+zLJvptcDkdfI3&#10;Z6P4ZpVx6Vd/7q9FBwcAAAAAAAAAAEDTfP3Nw9ouo/ojP/JD/yTLsvleE0wOkr8xa8U3qowLMz/1&#10;X0UHBgAAAAAAAAAAQFM9fXartsuoZlm22muDSeWFuPxD/3vRAQEAAAAAAAAAANB09+5fDXtTk5Jl&#10;2eB/b/QaYbJ6+A0qSyEOAAAAAAAAAABos+cv7u5funwu7E9NUpZl/0GvEjbdWYzenGF1fvK9fxgd&#10;BAAAAAAAAAAAAG2y8uT6/vud98Ie1QT9F1mWzfSqYdOZ+eBNGdqP//iP/qPowwcAAAAAAAAAAGij&#10;ui2jmqReWK8eNn2ptBD3/e//yD+NPnQAAAAAAAAAAIC2Ssuo3rh5MexUTUqWZau9ith0ZS56M4al&#10;EAcAAAAAAAAAAEyrp89u7Z+/0Am7VROy2e+JTU1mgzehlOiDBgAAAAAAAAAAmBYrT66H3apIlmXh&#10;n1doqkpxM8EbUMrX3zwMP2QAAAAAAAAAAIBpkZZRvX3nStixmoCpKcV1gp0vRSEOAAAAAAAAAACg&#10;JxXjarKM6lq/M9bqVF6I+/KrT8IPFgAAAAAAAAAAYBo9fXZr/yd/8neHfatxyrJsoVcba3GiHS8j&#10;NRqjDxUAAAAAAAAAAGCafP7Fx/uXLp8Le1aTkmXZbK851tLkO7lX3OkyFOIAAAAAAAAAAIBp9vU3&#10;D/fv3b8a9qtqYLtfHWtn8h2stBCXWo3RhwwAAAAAAAAAANBmgyLc+533wm5VjWz062PtS75zW4Wd&#10;LeWz9Y/CDxsAAAAAAAAAAKCt6rg86nGyLJvvNchalnznKi3EPX12K/zAAQAAAAAAAAAA2ub5i7v7&#10;N25eDLtUNbeXZdlMr0XWouQ7tlnY0VIU4gAAAAAAAAAAgLZr0PKox9ns18jak3ynNgo7WcrKk+vh&#10;AQAAAAAAAAAAANAGaXnU8xc6YX+qabIsW+g1yVqSfKfWiztZhkIcAAAAAAAAAADQRg1eHvU47Vo6&#10;Nd+htcIOlvLg0bXwYAAAAAAAAAAAAGiiliyPepyNfp2s+cl3RiEOAAAAAAAAAAAg0KblUY+TZdl8&#10;r1HW/KxGOzis1ISMDgwAAAAAAAAAAICmaOnyqMdJS6e2IpUW4m7fuRIeIAAAAAAAAAAAAHU3Bcuj&#10;Hme93ylrdBaCHRtaakVGBwoAAAAAAAAAAEBdpSLc02e3prUI91qWZbO9WllzMx/t2LAU4gAAAAAA&#10;AAAAgCb5/IuP9y9dPhf2oabQdr9X1thUWoj74MOZ8KABAAAAAAAAAACok+cv7h5MABb1oKZZlmUL&#10;vWpZMzMX7dSwUlMyOngAAAAAAAAAAADqIC2Peu/+1alfHvUYe1mWdXr1suZlNtihoZ2/0AkPIgAA&#10;AAAAAAAAgElKRbinz241tgiXtnvlyfWDfYj+vmLr/X5Z4zIT7MzQFOIAAAAAAAAAAIC6+fyLjw9W&#10;v4w6T3WXinC371w5KPQN9mcc+5Jl2WyvYtasdKKdGVZ68w8fSAAAAAAAAAAAAJPy/MXd/Rs3L4Zd&#10;pyb44MOZg30o7teXX30S/vsV2+x3zBoVhTgAAAAAAAAAAKBV0mxq9+5fbfzyqNG+DaT9i362SlmW&#10;zfdqZs1JpYW4JHrzAQAAAAAAAAAARi0V4R48utb4Itzh5VGPkv6d8xc64TgV2uv3zJqTYCdKOc2H&#10;AQAAAAAAAAAAUKXPv/h4/9Llc2GnqQmOWh71OGmfo7EqttavmjUj+QbvFXagFIU4AAAAAAAAAABg&#10;XJpehEvb/tn6R+G+ncaNmxfDcauUZdlMr23WgOQbXGkh7suvPgnfeAAAAAAAAAAAgKqkntK9+1fD&#10;DlMTnGV51OOkn4/Gr9hmv25W/+Qbu13Y+FLOOm0fAAAAAAAAAADAaaUCWCrCpUJZ1F9qgtt3rlQ6&#10;8diDR9fC16lSlmXzvcZZzZNv7FZx48tQiAMAAAAAAAAAAKqWinBPn91qdBGu7PKoR0nvzfkLnfA1&#10;K7Tdr5zVO/mGVlqIS2vyRm86AAAAAAAAAADAMFInKZXJor5SE1S1POpxUtEueu0qZVm20Gud1Tj5&#10;hm4WN7wMhTgAAAAAAAAAAKAKabXKGzcvhj2lpvjgw5lKl0c9zhhKg3tZlnV6zbOaJt/IjcJGlzKK&#10;Kf0AAAAAAAAAAIDpkWZSu3f/quVRzygVCKNtqdh6v3pWz6QNLGxwKWmd3ujNBgAAAAAAAAAAOE4q&#10;wqX+UZOLcONYHvU4t+9cCberSlmWzfTaZzVMvoGVFuLShxm90QAAAAAAAAAAAEf5/IuPx7Hk50iN&#10;c3nUo6QiXrRtFdvo18/ql3zj1gobW4pCHAAAAAAAAAAAcFppmc8bNy+GXaSmSLPC1WllzQeProXb&#10;WaUsy+Z6DbSaJd+4Sgtx6c2M3mQAAAAAAAAAAICBNJPZvftXG708apKWKJ3U8qhHSdtz/kIn3N4K&#10;bfcraLXLarCxQ1OIAwAAAAAAAAAAjpLKWmk2taYX4dLyrmmZ12gf6+Cz9Y/C7a5SlmULvQpavVJp&#10;IS61NqM3GAAAAAAAAAAAmG6pQJaKZFHvqClSkW/lyfXazQoXGcN7vdfvoNUqi8GGDi1NARi9uQAA&#10;AAAAAAAAwHR6/uLu/o2bF8O+UZP82tULB/sS7WMdpQJitB9VyrJstVdDq08Wog0dVjpwozcXAAAA&#10;AAAAAACYLmkWtbTiZNOXRx1IM641YWa4w8ZQREyzxM30qmj1yHywkUNTiAMAAAAAAAAAgOmWSmNP&#10;n91qTRHusKaV4r786pNwPyq23u+i1SKVFuI++HAmfGMBAAAAAAAAAID2S8t0ptJY1C1qi6aV4sax&#10;XG1Wo1ni5qINHFb6sKM3FQAAAAAAAAAAaK/nL+7u375zJewUtVGTSnFpO6N9qNhGv4828cwGGzc0&#10;hTgAAAAAAAAAAJgeqWx17/7VVi6PepImleLGUVZMXbReJS2b6/9zIqm0EHf+Qid8QwEAAAAAAAAA&#10;gHZJy6OmvlDUI5oWTSnFjWmWuP8+t5bb7nfTJpKZQxtUWmp6Rm8oAAAAAAAAAADQDqkIl4pgUX+o&#10;SVLXaeXJ9f0/8acuhX9/Wk0pxaWZ/KLtH4GtfjdtIlGIAwAAAAAAAAAATtSm5VE/+HBm/8uvPnm9&#10;bzduXgz/vdNqQiluTLPEJZv9btpE0gk2aGgKcQAAAAAAAAAA0C6pSPXg0bVWFOFSce2z9Y/C/Uwl&#10;uehnTqsJpbj0OUbbXrHf7nfTJpJKC3FJ9EYCAAAAAAAAAADN07blUY8rrKW/K7uvdS/FpW07f6ET&#10;bnuF/q9+N20yCTaolOiNBAAAAAAAAAAAmuP5i7ullxGti+LyqMepqhQXjV0XT5/dCre7SlmWrfba&#10;aRNItEFl1LnhCAAAAAAAAAAAHC11f+7dv9r65VGPk8pzZfe/zqW4Mc0St5dl2UyvoTbmpBcvbEwp&#10;CnEAAAAAAAAAANA8aeawMRSlRu40y6OeJM2QF419FmlmumjsOhjHLHG59X5FbbzJX7jSQtxppxcE&#10;AAAAAAAAAAAm7/MvPi69TGhdpBJaKrNF+3lW6X2JXuMs6lqKG9MscWnp1PHPEpe/cKWFuKoOKAAA&#10;AAAAAAAAYHQGy6NGHaCmSeWuNOtZtJ9lVFGKu3HzYjj2pLV2lrj8RbcLG1GKQhwAAAAAAAAAANTX&#10;oAiXlhaN+j9NUsXyqCepojiW3u9o7Elq7Sxx+YtuFTeiDIU4AAAAAAAAAACoJ8ujDufBo2vhNpxF&#10;GiMae5JaOUtc/oKVFuLSlyZ68wAAAAAAAAAAgMlIxbHbd66EfZ+mSbPCjWJ51JNUsbzsJLb7OOt/&#10;/fb+9773w+G2Vikb5yxx+QtuFjegDIU4AAAAAAAAAACoB8ujVquKUmEdSnGpIHnj5sVw+0ZkfLPE&#10;5S9WaSHus/WPwjcRAAAAAAAAAAAYH8ujjkYVpbhJdawmWJDc69fVRp/8xSotxNVtWj8AAAAAAAAA&#10;AJgmE5j9a2QGs8JF+zlJVZTixr0SZ3q98xc64baMQ5Zli73G2oiTv9hG8cXLUIgDAAAAAAAAAIDx&#10;a9vyqGlfJrk86kmqKMWNY9a7GhUkxzNLXP5C64UXLqWOjUwAAAAAAAAAAGizSc/+VaU6LY96krKl&#10;uFT8G9W+1rEgmWXZQq+1NsLkL6QQBwAAAAAAAAAADWR51MmrohRX9Ux4qSB56fK58PUmbLNfWxtd&#10;8hdZK7xoKQ8eXQvfZAAAAAAAAAAAoBptWx41FeHqvDzqSdKsdtG+nVYqr0XjntXguIheoy6yLJvp&#10;NddGlPxFFOIAAAAAAAAAAKAhLI9aT2VLcenno3FPIxXhnj671YiCZJZli73m2oiSv4hCHAAAAAAA&#10;AAAA1FyblkdNM6J9tv5RuJ9NNolSXI2XRz3KyJdNXQ1edGhpyr3ojQcAAAAAAAAAAM6uTcuj/siP&#10;/PD+n/+tX2/08qgnKVuKu33nSjhuUZOPiyzLOr3q2mhSaSHutB8IAAAAAAAAAABwvDYtj3rYypPr&#10;4f62RdlS3EmrdKbZ9Zp8XGRZNterro0mi9GLDkshDgAAAAAAAAAAymnT8qhHaftKlGVLcU+f3Xpn&#10;zLYcF1mWrfaqa6PJQvSiw0pvePGDAAAAAAAAAAAATtam5VFPI5XG2rx86qXL58L9Pq00E1waZxLH&#10;RZZl4Z9X5ItedW00mQ9ecGgKcQAAAAAAAAAAcHZNXwZzWGmf08xn0XvSdKnIVrYUl5aXbeFx8Q/7&#10;3bWRpNJCXGptRh8uAAAAAAAAAADwrs+/+Lh0aaoNBrOhtU0VpbhJyUY3S9z/2quujSYKcQAAAAAA&#10;AAAAMGZtWh71vfe+H/75WaXZ0KL3qumaXIobkZEW4uaCFxxa+uCiDxUAAAAAAAAAAOh5+uxWK5bB&#10;TGW+VGL7b/7OvcqKfQ8eXQvfs6ZTinvLP+9310aS2eAFh6YQBwAAAAAAAAAAsbYsj5rKb7fvXNn/&#10;8qtPXu/b8xd3w393GGnsw+9bWyjFvfbf9btrI0mlhbjUXI0+TAAAAAAAAAAAmFZtWh71gw9nDspv&#10;0X6mwl/0M8NIrxO9RtMpxR34O/3u2kgyE7zg0NKXNvogAQAAAAAAAABg2qTyU1oetQ1FuLQPaXnU&#10;aD8Pq7IU19bVKtNx8Ut/4KfCfa6RvSzL/mrw51V42quujSad4AWHphAHAAAAAAAAAADtWh41FeFS&#10;iSvaz0jVpbizvHbdpX1JswX+xPs/CPe3Jray3sqjG4U/r0Q+9vxBc21EUYgDAAAAAAAAAICKDApP&#10;Vc0Kl2VZ+OfjcNzyqCepshSX3stht6NO0nty/kIn3McaWUudstxi8HdVSDPPpfFHl+BFS4k+TAAA&#10;AAAAAAAAaLNUhGvL8qhpVrbP1j8K9/Ms0vsRjT+MJpfi0nbfuHkx3K8aSUW1wcxtM+n/Lvx9VTb6&#10;rzG6BC9aSvShAgAAAAAAAABAW03z8qgnqbIUl6T3OnqdOqp6tsAR2syybKbXJjsow20V/r4qqXQ3&#10;23uZESa9UOGFS6nyCwEAAAAAAAAAAHU1KDxFHZomSYWt23eu7H/51SfhfpZV5fKpSRWz141aQ0qS&#10;qaC22GuRHWQu/Vnh36lSWo519MlfSCEOAAAAAAAAAABOKfVj0kxqbVge9YMPZ8ayFGnVpbg081z0&#10;OpPWoFnhtrK3Z2tbzP9slGW4VL7r9F5qxMlfbLvw4qWMqikKAAAAAAAAAACTVseZv7IsC//8OIPl&#10;UaN9HJVUvIu2ZVjj3v6TpGPj/IVOuK01MpgVblBO6+R/tlb4dyqXv8587+XGkPwFK13zdRyNUQAA&#10;AAAAAAAAGKcGzfx1rEERblKrQKZuUZXvYR1KcYNjI9q+mkmzwg2KaakQt5D/WaWTqR1hPEulDpK/&#10;oEIcAAAAAAAAAAAcoSEzf50oLY9ah9Ufqy7FPXh0LXydcajjsZHFMwamUtpgVri5/P+utDN2jPX8&#10;9cazVOog+YtuFjaiFIU4AAAAAAAAAADaIPVgbty8GHZkmiQt8frZ+kfhPk5KmlWtyqVn0wxt0euM&#10;SoNmhdvO3swKl4pwlXbFTjD+MlxK/sKV7mRqPUYHAQAAAAAAAAAANEEblkfNsmziy6OepOpSXJoB&#10;L3qdqjVoxsBBIW0m/99rub1DfzdqkynDpeQvvlHYmFIU4gAAAAAAAAAAaKrUfamypDVJ/8b1fyHc&#10;xzppUikubevtO1fC162Zvaw3K1wn/9/jLsIlh5dnHX/yDVgvbFApdZteEQAAAAAAAAAATtKGWeEi&#10;45o1ray0ndH2D2MU+5yKkg05Nn47y7JfzP85iSJcKuItHJTSJpl8QyotxD19dis8KAAAAAAAAAAA&#10;oI4atATmUNIMbHVdNvWwVEiMtn8YaZ+j1zir9L7duHkxfI26yLIs/fOf5P/8zfyfkyjCJVv568+m&#10;PtrEk29MehOijRyKQhwAAAAAAAAAAE3w/MXd2pedqpJmN0v7G70PdfLg0bVw+4dRtgiYelBNmRUu&#10;91dzkyjCJZvZJJdILSbfoEoLcStProcHCAAAAAAAAAAA1EFbl0c9SdrfNBte9J7USSqiRds/jGFK&#10;cV9+9UlTipK/k2XZ8/yfkyrCpSVSF3P1KcP1sxps7NAU4gAAAAAAAAAAqKtUCEslqaj3Mi2asAJk&#10;+pyibR9GWg73tLPjNWVWuCzLtvN/vir++RilWeFmDtpnNcxisMFDS9MWRgcLAAAAAAAAAABMyrTO&#10;CneUJkx6lUpsVX1eaZzjSnENWj73/8z948KfjdNgVrhaZyHY8KEpxAEAAAAAAAAAUCdptrE0S1jU&#10;dWmKDz6c2f+TH10O/25YqSAYvV91kpYvrWpGv6gUl4qSqRzYkKLkPwv+bJxqPSvc4cwHGz+0JnxR&#10;AAAAAAAAAABovwbN+nWkVNRKha1U3Er7lLo50b83rFS0K75vdZP2vcpSXCpIpnEbdHz8v8GfjdNW&#10;6pj1qmbNSKWFuNt3rrxzUAIAAAAAAAAAwLi0ZXnU1MMZFOEOS38e/fvDSmWz6HXqJpX3ou0fxh+7&#10;9SuNPz7GYLA8auegZdagKMQBAAAAAAAAANAKafavqmYTm5RU/Cou7Vk0raW4qve7xv558Gfjspdb&#10;zxpYhBtkrrBDpaRpBKODEQAAAAAAAAAARqUNs8IVl0c9SdXlsPT6JxXx6qDqZWN5y2aWZbO9Wllz&#10;Mxvs2NAU4gAAAAAAAAAAGKc2zAqXOjdffvVJuH/HqXIZ0aQppbgHj66F2z+MLMvCP58y2/n7sHDQ&#10;JmtBZoIdHFr6kkUHIQAAAAAAAAAAVKkNs8KlIt9n6x+F+3da01qKS0XIaPs5k70syxZzjV0eNUon&#10;2NGhKcQBAAAAAAAAADBqqQx1/kIn7K80wVmXRz1J1aW4JL3H0WvViVJcKWl51JlehaxdqbQQl1qr&#10;0cEHAAAAAAAAAABlDWaFi3orTZHKa8Msj3qc9L6MYtnYsrPXjUOaza7JswROQCrCzfaqYy1NsNND&#10;S83b6MADAAAAAAAAAIAy0mxg07486nFGVYp7+uxW+Hp1kgqGP/tzPx5uP6+1cnnUMMHOD00hDgAA&#10;AAAAAACAKqWi142bF8OuShNUvTzqcUZVikvbH71eHaR9bvqsgSM2PUW4QdJOF96EoaUvcHTgAQAA&#10;AAAAAADAWaXZyZo8K9wolkc9yahKcQ8eXQtfb5LSrIFpAq9oezkowq3mpqcIN0ja+cKbMTSFOAAA&#10;AAAAAAAAynr+4m4rZoWL9m0c2l6KMyvciTazLJvttcOmMPkbsFV4Q0qJDkIAAAAAAAAAADjJoOjU&#10;5Fnhbt+5crAf0f6NW5qhLtrGMtLnE73WuNR1Vrgsy8I/H7PpLsINkr8RCnEAAAAAAAAAAExUKjqN&#10;YlazcUnb/tn6R+G+TVJbSnGpZJjKhtH2HCWrR0ltHFIRbv6gDCYHhbjNwhtUSl0argAAAAAAAAAA&#10;1F/TZ4UbLI9a585M00txqSzZ5FkDR2gvy7LFXOegCCa95G+MQhwAAAAAAAAAAGPX9FnhUtHs+Yu7&#10;4b7VzVlnVzuNUZfihpkVbkoowh2X/A3aKLxhpXz51SfhAQoAAAAAAAAAAIlZ4SajSaW4VJY8f6ET&#10;vuYUS0W41Zwi3HHJ36j1whtXSlNarwAAAAAAAAAAjF/Ti05pVrgmTxhV91LcoCwZvc4UGxThZg4K&#10;X3J88jdsrfAGlqIQBwAAAAAAAABAUV1mhcuyLPzzk6TtfvrsVrhvTTOKwlkVpTizwr1jL7eWH7OK&#10;cGdJetMOvYmlpQMzOmABAAAAAAAAAJhOqU9y6fK5sGvSBGlWtaYtj3qSB4+uhftaxrClOLPCvSMV&#10;4TYyRbihs1p4Q0tRiAMAAAAAAAAAIKnLrHDDSiW+Nndh6lCKMyvcW1IRbjPLstlerUuGTaWFuM/W&#10;PwoPXgAAAAAAAAAApkeTZ4VLBb6VJ9dbNytcJH1O0XtQxmlKcU0vS46AIlyFWQze4KEpxAEAAAAA&#10;AAAATK+mF50++HBm//mLu+G+tdW4S3FNLkuOgCLcCFJpIe7ps1vhgQwAAAAAAAAAQLs1uej0g/e+&#10;dzArXLRf0yCVAKsuMRZ7RGaFe4si3AizELzhQ5vmEwMAAAAAAAAAwDRqS9HpwaNr4f5Ni1SKO3+h&#10;E743wxqU4tLYZoU7oAg3hswHb/zQFOIAAAAAAAAAAKZH25a/vHHzYrif0yKVG6v+PP/YrV8xK5wi&#10;3FhTaSFu2puyAAAAAAAAAADToM3LX37w4Uy4z9MifbbpPYjeG85MEW4CmQs+iKEpxAEAAAAAAAAA&#10;tFvbZoWLpP2L9n2aKMWVogg3wVRaiEvN3+gLAgAAAAAAAABAszV5Vri0zT/zMz8W/t1RUiku7XP0&#10;XkyL23euhO8NR1KEq0Fmgw9maApxAAAAAAAAAADt8/zF3cbOCpe2+7P1jw7KbWfdh/MXOgf7Hr0n&#10;0yL1gaL3hrcowtUoM8EHNLTUCo2+GAAAAAAAAAAANE/TZ4VbeXL9rVnevvzqkzPvS/r3p70UlwqF&#10;0XuDIlwdU2kh7sbNi+GXAgAAAAAAAACAZmn6rHBHldg+/+Lj8GeOk0px6eei8aZFej+bWIwcEUW4&#10;GqcTfGBDU4gDAAAAAAAAAGi242aFy7Is/N91kba5OCtcZJhSXDLtpbhhlp1tGUW4BkQhDgAAAAAA&#10;AACAA02eFe6DD2fOtLRpKs5F45zk6bNb4XjTIpUCv//9HwnfmxZThGtSgg9waOnEEn0RAAAAAAAA&#10;AACor+Nmhau7084KF7l950o45knS60XjtVl6fw+/X1kNZwgcAUW4Jib4IIeWGsLRFwIAAAAAAAAA&#10;gHqaplnhImmMaOyTPHh0LRyvjdKscOcvdML3oaUU4Zqc/APcK3ygQ1OIAwAAAAAAAABohmmdFa4o&#10;jTFsIbDtqykOjpFo31tKEa4NyT/IygpxqQkafTkAAAAAAAAAAKiPNKvajZsXw/5H1bKKl9ZMJbQv&#10;v/ok3K9hKcW9a8pmhVOEa1PyD3S78AEPLbVvoy8IAAAAAAAAAACTl4pfaWa1aZ8VLpLGHfZ9SWW6&#10;UW3XuKX9GHbmwKzi8uMYKMK1MfkHu1X4oIemEAcAAAAAAAAAUE/jnBWuaqOYFS6SXmPYUlz6ufQe&#10;R+M2RZoVbtiZ8hpGEa7NyT9ghTgAAAAAAAAAgBZr+qxw0T6NSiq1TVsprsyscA2jCDcNSR904YMv&#10;JfrSAAAAAAAAAAAwfnWeFS47YXnNcc0KF0nvW7RNp5VmWovGraMpmRUuFeHmDspS0v6kD7xwAJTS&#10;lvWQAQAAAAAAAACazKxw5aSiWLR9p/X02a1w3LqYklnhUhFuvteSkqlJ/sFvFA6EUhTiAAAAAAAA&#10;AAAmZ5yzwmUnzPJ2VpOcFS5SthRXh2JfJB0jLZ8VThFumpMfAOuFA6KUOp2UAAAAAAAAAACmSZqV&#10;rKkzfv3Lf+j3h/s0aWVLcQ8eXQvHnYQpmBUuFeEWc52DYpRMZ/IDYa1wYJSSGqTRFwoAAAAAAAAA&#10;gNEY56xwo5SKWqmAFu3jJJUtxaWZ76Jxx6nls8JtZYpwMkh+QCjEAQAAAAAAAAA0VJNnhTtKmsUs&#10;2tdJamopruWzwinCybvJD4xKC3F1bOkCAAAAAAAAALRNKjq1YVa4o6TZzOo2MVPZUlzap/S5RWOP&#10;Qt1nhcuy7LXo74+xnf+MIpwcmdXgoBmaQhwAAAAAAAAAwGi1cVa4o6w8uR6+B5NSthR3/kJn5EW/&#10;Fs8Kt5cpwskpUmkh7rP1j8IvGgAAAAAAAAAA5bR9VrijpOVGxzmz2knKluJSUW1Upbi6zwo3JEU4&#10;OVMWg4NoaKmBHH3ZAAAAAAAAAAAY3jTNChdJ+16nlQvLluKSKvenpbPC7eXWsyyb6dWcRE6XhcKB&#10;VErdpqkEAAAAAAAAAGiyJs8Kl2Yq+8v/6Z+odMayB4+uhe/TJFRRiqti8qmWzgq3mWXZbK/eJHK2&#10;zAcH1NAU4gAAAAAAAAAAqtHUWeHSNqcOyWCZ0/TPtOxp9O8OI5W/vvzqk3fer0lIZbRoG89i2L5N&#10;S2eFS0W4+V6tSWS4VFqIq1MLFwAAAAAAAACgiZo+K1wqiUX7lcpb0c8Mq4rZ1apQRSnurJ2bFs4K&#10;t5dl2WKuc9BoEikRhTgAAAAAAAAAgJpoy6xwR0n/TvTzw0olu+h1xi0V1Mp+bmkWvWjsw1o4K5wi&#10;nFSeueBAG1pdTjIAAAAAAAAAAE3S9FnhPlv/KNyvyOdffFxpoeu4WenGKX2GZWdtO64U17JZ4fZy&#10;61mWzfQqTCLVZbZwsJVy+86V8AsJAAAAAAAAAECsqbPCJWnypJNmhYt8+dUnlZe70uxz0WuNU3ov&#10;Uqkt2r7TSu9LccyWzQq3mTpLveqSSPVRiAMAAAAAAAAAmIBpmhXuKFXvf126K2X3K72/6fho2axw&#10;qQg336ssiYwuM8HBN7T0ZY6+5AAAAAAAAAAAvNHkWeFS6WyYWeGOkmY/i15nWKlAVoclVMvu18/8&#10;zI/t/8T7Pwj/rmH2sixbzHUO2koiI04nOAiHphAHAAAAAAAAAHC0Js8Klwp8VcwKF0njRq9ZRh2W&#10;UH3w6Fq4bVNCEU4mkkoLcWkN5OjLDQAAAAAAAAAw7Zo8K1zqhFQ5K1wkzepW9fszju0+yedffBxu&#10;W4vt5dazLJvp1ZNExpzCAVlKmnIy+mIDAAAAAAAAAEyrps8Kl4p80X6NQnqvUv8k2pZhpX1IpbTo&#10;9cYllf2ibWuhzSzLZnutJJEJJTgwh3b+Qif8UgMAAAAAAAAATKM6zQqXZVn450dJs6t9+dUn4X6N&#10;2r37V8NtKiMtXxq91rikUlzq1kTb1gKpCDd3UEYSmXTyAzJNUxgdqGemEAcAAAAAAAAA0PxZ4Vae&#10;XA/3a5xSgS3avjLS7HOTKvklo5gBb8L2sixbzHUOikgidUg6MAsH6tDSCTH6MgMAAAAAAAAATIs6&#10;zQp3VpOcFS6SljqNtrOM9Nl8tv5R+HrjkEpxl3/158NtaxBFOKlv8gN0u3DADk0hDgAAAAAAAACY&#10;Vm2YFS7tQ7RvkzSqpUbTsqzR641SKvg1fNnUNPHWepZlM73mkUgNkx+kW4cO2tKiLzMAAAAAAAAA&#10;QJs1fVa4VDqL9qsuUlEvbWe0/WWMawnVJpclD9nMsmy21zgSqXHyg7XSQlwdm8IAAAAAAAAAAKPQ&#10;9KLTe+99b/+v/fXb4b7VUZrVLdqPstLseNHrVaHJZcm+VISb6zWNRBqQdNAWDuJSFOIAAAAAAAAA&#10;gGnQgqLTa5+tfxTuYx2l8lq0D2XdvnMlfL1hpVn3Gj4rXCrCzfcaRiINSjp4CwdzKeOYRhIAAAAA&#10;AAAAYFJasvzlO0Y5S1rVUtlsFGXEtIRq2eVj0/GR3ssGlyW3syxbzHUOykUiTUt+EG8UDupS6r6m&#10;NAAAAAAAAADAsNo0K1zkwaNr4X7XUSqepQJbtB9lpc85es2TNHxWuL1MEU7akPxgXi8c3KUoxAEA&#10;AAAAAAAAbdPwotOZfPDhTPge1NWoPpd796+GrxdJ5bz07ze0LKkIJ+1KflCvFQ7yUj7/4uPwiw8A&#10;AAAAAAAA0DRNX/4ybfdf+PSPhH93nKaV4tLMdtF+lHWaJVTT349qproRS0W41ZwinLQr+cGtEAcA&#10;AAAAAAAAUNDgotOBVGpLhb60L6nPEf07x0n7Pvj5JhhmH08rWkK1wbPC7eXWsyyb6bWHRFqW/ACv&#10;tBD32fpH75wAAAAAAAAAAACaouHLXx5sd1TgSgW/s+5T+vdPmiGtTtK2nr/QCfelrMNLqKby3ahe&#10;Z8Q2syyb7bWGRNqb1eDgH1p0QgUAAAAAAAAAaIJUdGr6rHBffvVJuG/JsKW4pq0YeOPmxXBfyvqV&#10;f+nn9v/Mn/3D4d+NWpZl4Z+fUirCzR80hUSmIIvBl2Boad3s6EQDAAAAAAAAAFBXbZgV7rSdjVSY&#10;G2Y/m7Zq4INH18L9mDJ7qRuU6xy0hESmJApxAAAAAAAAAMDUavuscJFUABxmn5vWC0mfbbQfU0AR&#10;TqY6C8GXYmgKcQAAAAAAAABAEwxmhYv6D01wllnhIsOW4tLMa9F4dZWWiR1V4TErt4zpKPxObi3f&#10;rpmDVpDIlGa+8MUopWknPQAAAAAAAABg+qSZw85f6ITdhyYYZla4yLCluPT60Xh11uTy4wn+fpZl&#10;v5GbzZkRTiRPpYW4dPKITioAAAAAAAAAAJM27bPCHSUV3KLXO04q0kVj1VnLllC1LKrIEZkLvjBD&#10;u33nSnhCAQAAAAAAAACYpFSGSoWyqO/QBFXNCneUYUtxo9ymURh2Vrya2cwsiypyZBTiAAAAAAAA&#10;AIDWSgWoGzcvhj2HJhjVrHCR1PuItuE4afuev7gbjldnDx5dC/en5gazwonIMZkNvjxDSxeQ6CQC&#10;AAAAAAAAADBuT5/dMivcGQ1biksz8EXj1dnDf/eP7P/wD/9QuE81ZFY4kVNmJvgCDU0hDgAAAAAA&#10;AACYtDRjmVnhhnfv/tVwu06SCojReHVTPD6yLHtrP6pQ4ZhpVrj5VPIRkdOlE3yRhpaaydGJBAAA&#10;AAAAAABg1NLyqGkpTLPClTdsKW6SRb6TpOMj7VeDjo/11O3pVXxE5LSptBB36fK58IQCAAAAAAAA&#10;ADBKadav1FuI+gxNMOlZ4SKpXBht60nSz0XjTVJa0rVBx8dWZlY4kaGjEAcAAAAAAAAANFYDZ/16&#10;R11mhYukkl60zSepyyqDDTs+0vKoi6nPc9DqEZHhEny5hnb+Qic8uQAAAAAAAAAAVK1hs37tZ1n2&#10;1v9dx1nhIul9Przdp5U+m1RIi8YchwbOCjd7UOYRkXIJvmBDU4gDAAAAAAAAAEZtMOtX1F1oijrP&#10;ChcpU4ob936aFU5kypO+WIUv2tDSiSQ60QAAAAAAAAAAVCEVs9KEPVFvoSl+/ud/Yv/5i7vh/tVZ&#10;2uZhSmbpZ8a1vw07PjYzs8KJVJ/8y6UQBwAAAAAAAADUWipU3bh5MewrNNVn6x+F+1pnaba3YQpn&#10;qVOSymrRmFWo26yBWWF53AKzwomMMulLVvjSDU0hDgAAAAAAAACoUio6PXh0baiZyZog7Vu033WW&#10;PpO0FGq0PycZRSluErPCZccX3o6TZoWbOSjtiMhokn/RtgtfvFKiEw8AAAAAAAAAwFmlotOwxasm&#10;+eDDmXD/6yyV4tJ2R/tzkqfPboVjnlXahtt3roSvUUODWeFEZNTJv3BbhS9gKelkE52EAAAAAAAA&#10;AABOI3UP0vKXTZoVLht+xrADqfiXliON3o86G3YZ25Un18PxTiuV6hp0fJgVTmScyb90CnEAAAAA&#10;AAAAQC1MYvnLukgFr1EsKTpqqbwY7c9Jhlku9vmLu0OX8CYgzQq30GvoiMjYkn/5FOIAAAAAAAAA&#10;gIlq2PKXoTTL21/49I+Ef3cWZWdPm4RUbov25STpM4/GizRsVrj1LMs6vXaOiIw1+Rdws/CFLKWJ&#10;03cCAAAAAAAAAJPTsKLTO9K2pxLbYBKhNItZ2f1Js64V36e6+2z9o3BfTvLBhzPheAMNmxVuK8uy&#10;+V4rR0QmkvyLWGkhLp2EopMTAAAAAAAAAMBhDSs6hVKZK+pKpHJcmjEu+pnTSj/ftJX60pKv0b6c&#10;JCrFpX1PxcCGlCX3cmuZWeFEJp/8y6gQBwAAAAAAAACMTcOKTqHirHCR9Hep6BX9/Gml12laFyNt&#10;7/kLnXB/jnO4AJjGKFsoHKM0K9xsr4kjIhNP/qXcKHxJS1GIAwAAAAAAAACOkmYQa1DRKZRKbl9+&#10;9Um4f5EqZsFLy5FGY9dVKrYN8zn/wi+8v//nf+vXGzMrXJZlizmzwonUKfmXs9JCXLpwRSc6AAAA&#10;AAAAAGB6DWaFi7oGTTGYFS7av5NUse8PHl0Lx66zpi+Je4zNzKxwIvVM/gVdL3xhS1GIAwAAAAAA&#10;AAAOS12CYZbQrJOzzgoXSYW2aOyzSAWzaOw6a3oRssCscCJ1T/5FrbQQ17QpOgEAAAAAAACA0Xj+&#10;4m7jZwhLs8JV2YVI5cDodc4ilfOiseusijJgDaRZ4WZ6jRsRqW3yL+ta4ctbikIcAAAAAAAAAEy3&#10;tDxqKkClMlnULWiK23euHOxLtI9lpKJg2ffm0uVzpWesG7cqyoATkmaFm+81bUSk9sm/tJUW4p4+&#10;uxWe1AAAAAAAAACA9kulp1TWijoFTZG2f9QTAqWiXdn3KZXqUrkuGr+u0vb+xPs/CPenhvZy65nl&#10;UUWalfyLqxAHAAAAAAAAAJSSCl737l9t9KxwadtXnlwfyaxwR6liSdlUQozGrqO0rb/nx3803I+T&#10;ZFkW/vmIpOVRZw/KNSLSuKwGX+qhpQtDdEIDAAAAAAAAANoplZzOX+iEPYKm+ODDmYnNtpaKhNE2&#10;nUXd+xqpZJiWoI22vWbS8qiLObPCiTQ4CnEAAAAAAAAAwJk1qOR0pEnMChdJ2xBt31k8eHQtHHvS&#10;GlSYTLPCzfTqNCLS5CwGX/ChKcQBAAAAAAAAQPs9fXar0cujJn/w0rn9L7/6JNy/SUjFsWg7zyIt&#10;wRqNPQmDZXSj7TwsG+9SqJE0K9zCQYtGRFqRSgtxdW0bAwAAAAAAAADlpWVFU+kq6gw00WfrH4X7&#10;OSnp/S07m1pa/jUae5waNCvcemZ5VJHWRSEOAAAAAAAAADjWYLavps8KF0mz3UX7PCnpvb50+Vy4&#10;raeVfn4Ss9+ddla4GtjKsmy2V50Rkbal0kJcOqlFJzwAAAAAAAAAoJnSbF9lC1r/f3v3F3Jbet+H&#10;fXtkS7IjSwfb8Z9YMzl2/Ed2pMyp4/qP5MEyrmJVzjTHrpjMheNMiE0gVWBUFAIlYGEoJQ6eYQop&#10;vRA9DclVIVEIvXCLm3ORCwUEPZe9CFQXLZRS6ElvAr3pdP/OO89kzZrffvde63nW2s9a7+cLHyy/&#10;c96111p7/Xn+/N61evd7v/+5dNuvqfZJfFG8GE+cy5a9hI08FS5ej/r6kafCiew4CuIAAAAAAAAA&#10;gPfZ0NO+muixKK7F/o9CtWzZrWzo6YGPD4fD/ZtyGRHZc15LLgCzKYgDAAAAAAAAgO3byNO+bvXp&#10;z9x/+w/+8NfT/3bKl7/yUro/rikK9bJ1nWKpYr94Al3s5+wzO1KeCicidyRNC+JeefXF9AIIAAAA&#10;AAAAAPQvCpxqX9V5bfGksmEBWBT3Zf/ulB4fBjR1GzKti/3eeOvlLTwV7tHB61FF7lwUxAEAAAAA&#10;AADAHbeh117eKuoWYlvG2ze1oCyeejZexrVFsWLtU/ui2DFb9hSxf69RNHk4HJ7J/lviyfHfPozC&#10;GBG5e1EQBwAAAAAAAAB3WBSLffJTP5jWAWxFrP/XHn0x3b5iD0VxUYxW+13VbFfsw85fpVtej+qp&#10;cCJ3OE0L4lpUEgMAAAAAAAAAy9vDU+HK61Gzp8Jl9lAUF+J7y9b3UlFUly33lHKsZMvqyOPD4fDg&#10;phxGRO5yFMQBAAAAAAAAwB2zgSd9nRXFavEa0Wz7brOXorgvf+WldH0vFUVxlxQSxv7q/AmC5alw&#10;IiLP8jC5UMymIA4AAAAAAAAA+hUFUK+8+mI6578V5alw2fZdampR3NQnqq1l6naM3VYUFz+PorvO&#10;nyD46OD1qCIyStOCuF6rogEAAAAAAADgrnvjrZc3/XrUEMV8lzzV7BJziuJafXZL8ZS8mie4ZdsV&#10;y4yHImX/vhNPoublpvRFROS9URAHAAAAAAAAADtWWzDVg1j/Oa9HPWcvRXGhpoAtXp9btqvzwsny&#10;elRPhRORk1EQBwAAAAAAAAA7FAVOv/s3fn7TT4Urr0ddsghtalFcFI9945tfSpd1bfF9Z+t8iY9+&#10;7MNv/4Vf+4n0v3Xi8eFweHBT7iIicjpNC+KiEjq74AIAAAAAAAAA64kiryjcyub2tyIeyrNW4dnU&#10;orgo1FviiXUtfO3RF9N13jBPhRORSVEQBwAAAAAAAAA7UZ4Kl83p1zocDunPW4tis3htZ7Z9S9pT&#10;UVys19YLIt8RT4W7/6zCRUTkwjQtiIuLaXahBQAAAAAAAACWFUVkW3896iuvvrjo61HP2VNRXOzH&#10;eLBRtt4bUJ4KJyIyOQriAAAAAAAAAGDDoiArXi+azeNvRax/L4VleyqKC0s9MXBBngonIlX5bHJh&#10;mU1BHAAAAAAAAACso7wedetPhfu93//cVZ8Kl5laFBfid7Jl9SD2cbbOnfFUOBFpkqYFcXGjyi6s&#10;AAAAAAAAAEA7UXwVD63J5u63Ip4K941vfindvh7srSjuD/7w19/+wAeeS9e7A54KJyLNoiAOAAAA&#10;AAAAADaiPBUum7Pfik9+6gff/tqjL6bb15s5RXE9bls8Ia72SYKHwyH9eSVPhROR5lEQBwAAAAAA&#10;AAAb8MZbL1cXNV1TrHuPr0c9Z05RXHxX2bLWFvv681/4RLqOcxzaFsV5KpyILBIFcQAAAAAAAADQ&#10;sT/6499pWtR0DfF61NiObPu2YItFcbHOnRZQeiqciCyapgVxIbvIAgAAAAAAAADTlNejbvmpcEW8&#10;JnVrT4Ybm1MUF0/Ey5a1pM5fq+upcCKyeB4kF58q2cUWAAAAAAAAALhcFF9FEVk2L79VUdi35afE&#10;hd6L4mL/dnrceCqciKyW5gVxW6/oBgAAAAAAAIBr6fzpXk1EUVm27VsRRWfZdt3my195KV1WS1F4&#10;1+nTBD0VTkRWjYI4AAAAAAAAAOjAG2+9vIvXo14itjXbB1vRU1Fc1Gl8/gufSD9zqsPhkP58Jk+F&#10;E5Gr5H5yQaqiIA4AAAAAAAAALhfFVa0KmrZkjaemLSm+t6kFjK+8+mK6rLniaXvPv3Av/awr81Q4&#10;EblamhfEfeObX0ovwgAAAAAAAADAv1Nej7rlp8L92U/+YPrzS8X2Z/tmK+YUxX36M/fTZU3R8bHj&#10;qXAicvXcSy5OVRTEAQAAAAAAAMDt4slen/xUXTHZNUUh1u/9/ueeFWbNeX3oUIsCsWuKOompT2mr&#10;2eaWr0htzFPhRKSLNC+IixtddkEGAAAAAAAAgLuuPNkrm2/finjt5/hhOXOelDYUxYGxb4bL3JJY&#10;96kFjnOK4qKQsuOnwt17VokiInLlKIgDAAAAAAAAgBW88dbLPRYzXSwKvqIgK9u2UFsUF09Z23LN&#10;QRTFRZFbtm2nXFoU13Eh5ZPD4fDgpgRFRKSPKIgDAAAAAAAAgAXFPHqnr7i8yPD1qNn2DcWT42qK&#10;4uJ3t153MPW7jkLDbDlF7I+phXYreTPqTm7KT0REOkpywapyWzU4AAAAAAAAANwV5aleW34qXBRi&#10;jV+Pek78+6mvDx372qMvpsveiqlPczv1ythOnyoYr0h97abqRESkwyQXrioK4gAAAAAAAAC462Lu&#10;vLYo7Jpi3WuK0qK4q3b746l02bK34stfeSndrlOGRXGlmDL7d1f2+HA43L+pOBER6TTJxavK1qu0&#10;AQAAAAAAAGCujguZLjLl9ajntCiKi6KybNlbEU94y7brlOdfuPf2P/zHf7nHYsp4KtzrR16RKiL9&#10;Jy5ao4tYFQVxAAAAAAAAANxFnb7e8mJzXo96TouiuFivbNlbEU8LzLbrlOeeey79+RU9ORwOD26q&#10;TERENpDjhatpQVzc4LMLPAAAAAAAAADs0R/98e+8/fkvfCKdQ9+CeCrZkg+/URR3c4xstFjy0cFT&#10;4URkazlevBTEAQAAAAAAAMBE5fWoW30qXMvXo14iitqy9bhUFNWtta5LiKfvdfgq1FPiFamv3VSW&#10;iIhsLMeL2LdGF7UqCuIAAAAAAAAA2Lt4DeaGipveJ4rT4qll2bYtqfZJelHEd431biUK+moLA1fw&#10;+HA43L+pKhER2WCOF7KmBXFRPZ5d1AEAAAAAAABg68pT4bL58i0oT4XLtm0tr7z6Yrpul4ptiILE&#10;bNlb8Rv/8SfTbbuyeCrc60dekSoi287xgqYgDgAAAAAAAADOiDembfX1qOEjH/nQ2//kn/2VdNvW&#10;1qKocKtvsItivudfuPf24XBIt+uUqf9+oifH5T+IOhIRkc0nLmqji1wVBXEAAAAAAAAA7Em8orP2&#10;VZ+96OmVo1/+ykvpOk6xpRqF8nTBDosqHx08FU5E9pTjha1pQVzcsLILOwAAAAAAAABsSccFTNW+&#10;9uiL6TavrUVR3BbqFL7xzS/1WFQZr0h97aZ6RERkRzle4BTEAQAAAAAAAMBAvNbyk5/6wXRefC96&#10;ebpa7Ots/aaIYrNs2T2I7euwqPLx4XC4f1M5IiKys8RFbnTRqxLV8dkFHgAAAAAAAAB6V54Kl82H&#10;71EvD71pURT36c/cT5d9Lb0eS4fD4atHXpEqIvvN8WKnIA4AAAAAAACAO++Nt17e7OtR/8RHPpT+&#10;/BK9PF1tT0Vxf/THv9PjEwbjFakPb6pFRER2nOMF7+ujC2CVV159Mb3YAwAAAAAAAECPongpisKy&#10;OfAtiCKwb3zzS1UFZT0VktUWJUYhWjydLVv+GjotrPSKVBG5Ozle9B6NLoJVen4vNwAAAAAAAAAU&#10;5ZWWW30qXBR+fe3RF9+zTTVFcdcuJCu2WhQXnxcPEcrW54riqXCvH3lFqojcnRwvfm+OLoZVFMQB&#10;AAAAAAAA0LsoHHv+hXvpvHfvoljs937/cycLvmqK4mKfREFattw1xRPval85GvtprW3p9HjyilQR&#10;uZs5XgCbFsT18hhVAAAAAAAAABjr9CleFyuvR822baimKG7NQrLbxHe1haK4KE6sfaLdArwiVUTu&#10;dL6aXBhnUxAHAAAAAAAAQG+iuOqNt17usXDpItnrUc+JQrBsWZea+nlLaFUUFwWC2fJrxLrFW/Sy&#10;z7yif3PwilQRkcPryQVytrgRZTcCAAAAAAAAALiGKIaqLaq6lijmuu31qOfUFsXFZ2fLXVs8nCdb&#10;vylaFsV1+orU//PgFakiIs/yWnKRnC0u+NnNAAAAAAAAAADWFEVkv/s3fn7yU+EOh0P687VFEViL&#10;133GMmqejPflr7yULndtLZ7GVlsUN/eYai05Rv/l8WeeCici8k4eji6SVeKin90UAAAAAAAAAGAt&#10;nT7B6yIx7x6vd822a67aorgoRsuWu7ZXXn0xXb8p5hbFdfqK1KeHm1ekiojIIAriAAAAAAAAANiF&#10;TouWLhLz7TWvRz3nG9/8UlVRXDyxLlvu2uIJbdn6TTG1KC7+fc2+W8iTqPm4Kf0QEZFhPptcNGdT&#10;EAcAAAAAAADA2qKILF7t2WHR0kVavR71nNhPn/zUD6brcIn43aUK9qaI7zpbvykuKYqLbW1RgLeA&#10;xwevSBUROZkHyYWzSnaTAAAAAAAAAIAlRGFTTZHXNZWnwmXbtZTaorhY5zWK98752qMvpus3xW1F&#10;cbGNHR5XXpEqInJB7icX0Co9VIMDAAAAAAAAsG/l6V1bfCpcrHOs+7Xm11sUxU197egSYh2y9Zsi&#10;244oUuzwuIpXpD64KfUQEZHboiAOAAAAAAAAgE2JIqbnX7iXzln3bq3Xo55TWxQX4ilt2bLXFPuy&#10;9lgoRXGxTz7/hU+k/+bKvn7wilQRkYtzL7mQVvnGN7/0vhsQAAAAAAAAANSK4qdOC5bOiieOrf16&#10;1HOiACwK9LL1vVQP29SiuC+2o8MiS69IFRGZkeYFcT1UsgMAAAAAAACwH1HwtOXXo77y6ovPtiHb&#10;th7UFsV9+SsvpctdW+12dMYrUkVE5ia5qFZREAcAAAAAAABAK/E6y9qnf11LL69HvURtMVk8uS9b&#10;7tqicDJbv415dPCKVBGR+TleSJ+OLqxVyru1AQAAAAAAAGCurT8VLl7B2fNT4TLxJLtsey4VRXXZ&#10;ctcWT6zL1m8DvCJVRKRFjhfUb40usFUUxAEAAAAAAABQ4423Xn77+RfupXPSPdvC61HPqS2Ki6f5&#10;9bD9X3v0xXT9OuYVqSIirRIX1dFFtkrcVLKbDQAAAAAAAADcJl4vGq/ezOait+C3fvtn0u3amhZF&#10;cd/45pfSZa8pHuiTrV+H3jx4RaqISLscL6xNC+KiUj+70QAAAAAAAABAZsuvRx2L7ci2cWtiO7Lt&#10;u1R8l1HgmC17TbEOP/XTP5CuYwfiFamv3VRviIhIsxwvsI9HF9wq8R707CYDAAAAAAAAAGPxFK94&#10;olg2/7xVn/7M/XRbt+bLX3kp3b5LRVFcfL/ZstcSn9/p63fjFan3byo3RESkaY4X2Ueji24VBXEA&#10;AAAAAAAAnFOeCpfNO+9BFPnFNmbbviW1RXHha4++mC57SdlTBw+Hw3vW64q8IlVEZMnEhXZ04a0S&#10;N8PsZgMAAAAAAAAA4Y23Xt7k61E/9KFvT39+SjyZrIfXhtaKB+Nk2zfFmg/XiX3e6VMHvSJVRGSl&#10;fDW5CM+2l/ehAwAAAAAAANBWvL4yXieazTX37vNf+MTb3/jmlyY/1S4K//ZQFBffXbZ9U6zxgJ0o&#10;vOu02PLxwStSRURWy+vJhXi2V159Mb3pAAAAAAAAAHA3Za+v3Ip40tj4lZ9zXvV6jdeGttaiKG6p&#10;h+zEMRZFi9lndsArUkVEVs7D5GI8W9xgspsPAAAAAAAAAHdPFFHFq0Oz+eWeRfFePG0sCq2y7Yqn&#10;nWW/d5s1Xxu6lBZFca0ftBPr1GmxZbwi9eFNaYaIiKyZzyYX5dkUxAEAAAAAAAAQrwnt+Ildt4rX&#10;usbrUbPtGppTFLfGa0OXFt9tbQFa7ONs2VNEsWIU12XL74BXpIqIXDEPkgvzbC1uWgAAAAAAAABs&#10;095ej3pOPPUtW9ZtWj8h7RqiYDD2V7Z9l6qpL+j4qXDBK1JFRK6ce8nFeba44WU3IwAAAAAAAAD2&#10;ba+vRz1nzmtE9/CwmdhfaxfFdf5UOK9IFRHpJE0L4qJxk92UAAAAAAAAANinu/B61HPmFMVFMdnc&#10;IryexD7Mtu9SlxbFdf5UuHhFqqfCiYj0kuOF+enoQj1b3HyyGxMAAAAAAAAA+3LXXo96ztyiuBYF&#10;eddW+9S224riNvBUuNduqi9ERKSbHC/QT0YX7CrZDQoAAAAAAACA/Yjir9rXZV5D7etRz5lTFBfr&#10;FE/Zy5a3JVEcmW3fpeJ4Gi/zmk+FOxwO6c8H4qlw958VXoiISF+Ji/Tool1lD490BQAAAAAAAOD9&#10;ylPhsrni3rV6Peo5UdyWff5tougrir+y5W3Jl7/yUrp9lypFcXGcdfwa3n9zOBxeP/KKVBGRXnO8&#10;WCuIAwAAAAAAAOCkmAd+462XvR71QlEUN2dfrb2eS5jzlLyhj3/8Yz0fZ08Oh8ODm2oLERHpNscL&#10;9pujC3iVPbzfHAAAAAAAAIAbXo86z9yiuFjnbHlbMucpeRvw5sFT4UREtpG4aI8u4lX28G5zAAAA&#10;AAAAgLuuvB51i0+FW+v1qOfEOswpJoxXj2bL25KoHXj+hXvp9m3M08Ph8PCmwkJERLaSryYX9Nn2&#10;8F5zAAAAAAAAgLvM61HbicLCOUVxr7z6Yrq8LZm77R15fPBUOBGRTeZhclGfTUEcAAAAAAAAwDZ5&#10;Peoy5haGxZPusuVtTTxpMNu+jsVT4V6/KakQEZEtpmlBXPylQHaDAwAAAAAAAKBPXo+6jljXbBtu&#10;E4V0vRb6TREFi9n2dSieCnf/ppxCRES2mgfJBX62uIllNzcAAAAAAAAA+hNPhXv+hXvp/G/PolCs&#10;t9ejXiJehZptz21iW7dS9HdKFPX91m//zNvPPfdcuo0dKE+F84pUEZEd5F5yoZ9NQRwAAAAAAABA&#10;//7oj3/n7c9/4RPpvG/Pen896iXmFMXFdsd3li2vdxt4Fe+Tw+Hw2ZsSChER2UOaFsR9+SsvpTc4&#10;AAAAAAAAAK7P61H7EN9Bto23ie8sisuy5fWoHGvZtnTkzaibuCmfEBGR3eR4gX86uuDPFjez7EYH&#10;AAAAAAAAwHVt9fWo4Zde+pF0m7YsHjiTbes5b7z1crq8XkQhXKzjuaLLw+GQ/nwl8VS4h8+KJkRE&#10;ZH85XuibFcTFI3WzGx4AAAAAAAAA17HV16OOxWs3t/ra0FOicCzb1nN6fXvbBl6PGvURngonIrL3&#10;HC/2TwYX/yoK4gAAAAAAAAD6sOXXo97m937/c+n2blUUkWXbec4rr76YLu8aNnKseSqciMhdyfGi&#10;/3h0E5gtKr2zmx8AAAAAAAAA69nAk7qq9FQM1sLcorhPf+Z+urw1fe3RF3t/Fe/Tw+Hw+pGnwomI&#10;3JUcL/5fH90MZoubXHYDBAAAAAAAAGB58aSuKBbL5nP3Zm+vUI1tmfOEtdgP3/jml9JlLmkjr+J9&#10;fDgcHtxUR4iIyJ3J8Qbw5uiGMFvcnLMbIQAAAAAAAADL2evrUS+xp1eozi2Ki99ZqzhwI8eap8KJ&#10;iNzlHG8EzQriQnZDBAAAAAAAAGAZW309aqzzJ37q+9P/NtWeXqEaT3ub+33GsZAts5VYfuevRw2e&#10;CiciIoevJjeI2aIaPLsxAgAAAAAAANBOeVJXNm/bs3iyWDzVrcwtt3rF655eoRr7Zm5R3BJPzNvI&#10;61E9FU5ERN7Na8mNYra9NDAAAAAAAAAAehTFUlH0tMXXo376M/efPQFtvE2tiuLCG2+9/L7lb1FN&#10;UdyXv/JSusypStHlBo61eCrc/ZsSCBERkcPhYXKzmG3pR7ACAAAAAAAA3FVbfj3q1x59Md2mouXT&#10;7mJZ2WdsURQRZtt4TvxetrxLbeT1qOWpcCIiIu9J04K4c40YAAAAAAAAAKaZ8srKw+GQ/vwaxq9H&#10;PSeebJYtZ44owsueRrdFc4sFYx9cuu+L2GcbeD1q8FQ4ERE5mQfJjWO2Jd5HDgAAAAAAAHAXTX1l&#10;5aGjYrhTr0c9p2VRXOy3vTzUZe5+iae8RUFltsyhDb0e1VPhRETkbO4nN5DZFMQBAAAAAAAA1ItC&#10;rg28svJ9Lnk96jnx+9my54pisuxztmbufokit9uK4jb0Kl5PhRMRkYtyL7mJzLaXhgQAAAAAAADA&#10;NWyoOOk9pr4e9ZzYD9nnzDXn9aE9qtkv40LF8lS47N92Jp4K99pNiYOIiMgFSW4ms8W7xIc3UAAA&#10;AAAAAADO29ArK99n7utRz4mnmmWfN1fs2ygoyz5rS2K/zH16YClafOOtl7dyrD06HA73bqobRERE&#10;LszxBvJ0dEOZTUEcAAAAAAAAwOWiOCnexLXFQrgWr0c9J4q/Wu+bKArLPmtL4riZ+yTB7//+j6Q/&#10;78yTw+Hw8KaqQUREZGLiRjK6scwWN9zsZgwAAAAAAADAe3k96mXi6XOt91M81S77rK2J7ci2b8Pi&#10;9aivH3kqnIiIzM/xhtKsIC4ey5rdhAEAAAAAAAC4EU89i7dvZXOuvXvl1RcXeT3qOTVPRDsl5rfj&#10;u8g+b0viVbvZ9m3Q48Ph8OCmkkFERKQicVMZ3WRmi78EyG7AAAAAAAAAAHddFHVF8dIWX48aTyK7&#10;dvFY7L8lnoi2h1eoxmt3s23biPJUOBERkTY53lwejW42VbKbLwAAAAAAAMBd9rVHX3z2RLJsjrVn&#10;a78e9RJLPF1vD69QjVfwZtvWuUeHw+H+TfWCiIhIoxxvMG+ObjhVemoIAQAAAAAAAFxTFCm1ftXn&#10;GqIQLp5m1+v87xKvCY1t3vIrVOO7+s0vfurtb//2D6Tb15knh8Ph4U3VgoiISPt8Nbn5zLaHd6wD&#10;AAAAAAAA1IjiJK9HXdYSRXFhi69Q3VDhZXk96r1n1QoiIiIL5fXkJjRb3GizGzAAAAAAAADA3m25&#10;EC78+I9/X7pdvfryV15Kt6PWVl6hGoWLr7z6YroNHXp8OBwe3JQpiIiILJuHyY1otjfeejm9EQMA&#10;AAAAAADs2VZfjzr2+S98It2+XsV+z7ajVs+vUN1Y4WV5KpyIiMhqaVoQt8XHxwIAAAAAAADMFUVT&#10;UUSWzZ/24HA4pD+/zdYehLJUUVzobQ48tvX5F+6l69qhR8fjz+tRRURk9TxIbkqzxSNps5syAAAA&#10;AAAAwJ5s/fWo53zt0RfT7e5VFCYu9V308ArV3gsvR54cDoeHNyUJIiIi6+decnOaLRp82c0ZAAAA&#10;AAAAYC/iCWobekrXbL2+MvSUWN+lvpdrvUJ1o69H9VQ4ERG5apoWxG3tffIAAAAAAAAAl4rXVX7y&#10;Uz+YzpX2LIqpfu7nn0//223i977xzS+l+6JXUUC25He05itU4yl9Gyq8fHw4HO7flCGIiIhcOccb&#10;09PRjWq2Hh4VCwAAAAAAANDSll+PGnO45clm8b+zf3ObKMiK7R/vk54tXRS39INiNlZ4WZ4KJyIi&#10;0k+ON6gnoxvWbNEYym7YAAAAAAAAAFuz5UK4WOfx08xie7J/e85WH4wypwDwUlGw1voVqvE0vjje&#10;ss/r1KOD16OKiEiPOd6kmhXERaMqu3EDAAAAAAAAbMmWX48ahXCnnuoWr+HMfu+cpZ+KtpRXXn0x&#10;3Z5WYn9mnzvFBgsvnxwOhwc3FQciIiId5nizejy6eVXJbuAAAAAAAAAAWxBP/Yrir2wutHfD16Pe&#10;Zu72jZ84txVLP3Utlp997iWioC7exJYtt0Pl9aieCiciIn3neNN6c3QTq3LqLw0AAAAAAAAAerXl&#10;16PGk+ymPKkstnVuEVaLJ6Jdw5e/8lK6Pa3EdzBlrnyDTyB8fDgc7t9UGYiIiPSfryY3s9lavycd&#10;AAAAAAAAYElvvPXylp7S9a5zr0e9TRRkZcu8xFbnhON7zranlfg+zu2b+O9Lv8a1sXgq3Gs3pQUi&#10;IiLbycPkpjZbNJyyGzsAAAAAAABATzb4lK53xetRv/HNL6Xbdam5rxK9pPCrVzWFgJfKXi27wScQ&#10;Pj16dPB6VBER2Wg+O7qxVdnqI3IBAAAAAACAuyGKueYWg7VyOBzSn58ThXAtH1IytyAwnqg358l0&#10;PYjvf+nCtM9/4RPPPiv20QafQBivR33wrJpARERko7mX3OBmy6rdAQAAAAAAAK6tt6d0HSYUxcU6&#10;z3096m1iednnXSKK87JlbkE8XW/ppwP+yI9+z9s/9uPfm/63TsXrUV+PGoIoJBAREdl0khvdbF/+&#10;yktpgwIAAAAAAADgGnorhJsi1vmVV19sXgg3FG8Byz77EuVJaFsU+3Srr8xdQDwV7v5NBYGIiMgO&#10;cry5fWt0s5stGmNZYwIAAAAAAABgTVHwFE9V29jrKt8VT2CL13tm29ZaFLZl63CJeCVotsytqNn2&#10;HfjW4XB4eFM5ICIisqMcb3KPRze92bb8FwAAAAAAAADAPvx3//S3Vn3612HC60/PKa9HzbZrKVE8&#10;WFM4GE+Zy5a7FfEEwWy7Wmp5jDQQr0f96pHXo4qIyD5zvNm9Obr5zRaNpKwBAQAAAAAAALC0tQvh&#10;WvrO7/rgs0K4JV+PepvYd9l6XWqtp9kt5ctfeSndrh2K16M+uKkWEBER2WmON7xmBXHx1wpZ4wEA&#10;AAAAAABgCeXVqD/yo9/7vvnLQ19P5Trr2k9aq3lSWswVb70orrYosHPxVLjXjzwVTkRE7kQeJjfD&#10;2a71FwsAAAAAAADA3fIP/uvfePujH/1wOm+5VdcuKqt5wl68UWzr88Wx/6O4L9u+DYunwt2/KQ8Q&#10;ERG5G2laELf1qn8AAAAAAACgb1F09Yuf/tPpfOXWRTHWN775pXS71xD7tqYgLArqsuVuSez/rb56&#10;d+RJ1APclAWIiIjcrdxLboyzxWNks0YDAAAAAAAAQI0o1orXen7kuz+UzlXuRTxpLdv+tdS+OvTT&#10;n7mfLndL4lj7qZ/+gXT7NsDrUUVERJIb5Gzxfv6swQAAAAAAAAAwRxQnvfHWy88KxWJO8nA4vG+e&#10;cm+uXVQWhYfZel3q81/4RLrcrfjaoy++e7xtjNejioiIRI43xW+NbpKzffkrL6UNBgAAAAAAAICp&#10;4mllO3l95WSvvPpiuk/WEkV52XpdKorqsuX2bMPHm9ejioiIDHO8OT4e3Sxn23qlPwAAAAAAAHB9&#10;Wy+E++6Pfjj9+VTxZLxs/6whnsz3sXvfma7Xpa65/lPE8RZz3dk2dM7rUUVERLIcb5Jvjm6as0WD&#10;KGtAAAAAAAAAAJwThUm1Tya7ppgv/b3f/9yzYrJ4u1b2b6aKfZLtqzXEZ2frNEW8fjRbdg/ie4on&#10;2dUW/l3J1w9ejyoiInIyX01unrNlDQkAAAAAAACAU7b+RLgQhXzf+OaX3rNdLbYpirX+6I9/5z3L&#10;XVMUjGXrNcU1i/oyGy+Ee3w4HB7cTPWLiIjIqTxMbqKzXbMxBgAAAAAAAGzHXgrhTs2RRoFc9jtT&#10;Pf/CvXT5a6l9at+1i/qKKISL17jG/szWs3NejyoiIjIhD5Kb6WzxCOCscQEAAAAAAAAQRUl7KIQb&#10;vh41284iXhma/f5UUZSWLX8NsY21T1OL3z+3r5a04WPu6dGjg0I4ERGRSbk3uqFWiXfhZw0MAAAA&#10;AAAA4O66a4VwQ5//wifSZU11zYeTxHeXrdMU8d2vXRQX6137hLsr8npUERGRuTneSKOqPLvBThaN&#10;uayhAQAAAAAAANw9UQAVT0nbeiFciMKqeA1qtp23iX1Q+4S1IvZl9hlr+N2/8fPpOk2xVlFcfE+x&#10;vq32+8q8HlVERKQ2xxvqk9ENdrZoUGQNDgAooqN7m+ik3uaP/vh3LhJ/9XWbGDQ4Jfv3c2Xrdols&#10;28f7Ktu/AAAAAAA9iDHMeLvU8y/cS+cVtyQK4WLcNtvOS8V4cbbsqWI+tnZdarR42tqSRXGx3A0X&#10;woX/4aAQTkREpD7Hm+qj0U22igl6gOuJa3CI4qlSWDUszhoWfb3x1svPxCPWh2KAIkSHsXjl1Ref&#10;iSeBFtHpLaLzWsTgRojO5lB2z2AZ431fvpOh4XcWht9nMfy+i3IsDA2PlVCOoaHxcVaOv6Hh8RmG&#10;x25RjutwqlgwOzcAAAAAgHXEOF6ME+5hXDjGUmM8M9vOOWKMNfucqWK9suWvIcZgW3y3MS7dcjw3&#10;lhXf1caPu3/8zhS+iIiINMhXk5vtbNHIzRohAHdZKdQZF6qVwp9SEFSKhaKAqBQXRcFRdJJLkVIp&#10;YCqFTaXoKbsmw11Xzo9QzplQzqNwqgAwK/o7Veh3qrCvFPIVivkAAAAA2KMY24rxrxhvy8bptibG&#10;E2Pcr/WYXSwvxiezz5wqxjSzz1hDfNfZOk0Vx0uLfbyDY+/fxpz9zdS9iIiItMrD5KY7WzQOs4YI&#10;wBZExysMC9eGRWul+CUrVivFNaXgphThZNdKgHPKNSSU60oo15pSyDenmK9cy7JCvlK8V9xWxJdd&#10;RwEAAAC4O2KMKMabNl6M9B6//Cs/uujYV4y5ZZ87xzXnZWPMMVunqeLYmbu/Y19u/Nj7t0f//eFw&#10;uH8zbS8iIiIt89nRjfeZ48/f97NLxCRs1iABWEIpyigFbNH5mVPApngNoM6lBXznCveC4j0AAACA&#10;vsW4S4zj7HVcPcaYsu1uJfZd9rlzxLhY9hlraFWMFuOIU8bw4vtpuQ/XEvPv78zB/+vj//3LR/eO&#10;REREZKHcG9+Ma0TDN2uYAAyVAoVSvHBbEdupArbsGgQA54wL904V7Y0L9saFeuMivduK8xTlAQAA&#10;AFsX4xsx7hHjJ3sfo4/tW3o8p1UxWaxrjD9ln7G0+Nxsnea4pCgu/nuM0234+HtyOBwe3kzRi4iI&#10;yOI53ny/NboZz3ZcnAk/2LE4v0N0cmKiPzq/pwrZooCgFBcMC9n23lEGgHPK/XDporxSkBe00QEA&#10;AIA5YowhxiJiDCMb59irGJvJ9kcrrYvJss9YQ4xJZes0R2xHNoYVP4tjcMPzS08Ph8PrR54IJyIi&#10;smaON+FHo5tylR/50e951ogbN1aA6xkWsYXooNxWyBYdvVLINixmy855AGB71irKGxbmRXtEYR4A&#10;AAAsr8wJZP/tEvH70dePsYJsXOGuiLGObP+00rKYbOkCvtvEZ2frNMe4KC7GmOJn2b/diMeHw+H+&#10;zay8iIiIrJ0/Sm7OVWJyLSa/ho0hYJrSYVXEBgDs1bAoLwwL80pRXhgW5SnMAwAAgPeK/m/0l7O5&#10;gfj/o28dfejbiuSirxx96vi3W55bOBwO6c/niP1QU1h4idjf2WfPEeMi2WcsLY6dOPaydZojjtlH&#10;/+iVpsu8Aq9HFRERuXLuHW/I/9voBt1ENBIVxbF3ZUL1VOFayIrXQnkCS5n4LZ3ULXc0AQC2KNpf&#10;0RYrom1W2mqlKC+cKsy7rSgvK8jL2pUAAAAwRfQvo086tWgo+rVl/i76qdGnjWWYm8jF2MB437cU&#10;32OMRWSfPUeMRWSfs7Q4lrL1uYO8HlVERKSTPExu1M1EA86ED2uLY64YFqqF6AicKliLjuOwaC0m&#10;PRWtAQCwpGExXmlz3laIV4rwxoV4pY07LMQrRXhBvwwAAGA/os9XW0T1Pd/zXenPeb/of2ffQyvR&#10;j88+d44YZ4hxgOxzlhbjEtk63SFfP3g9qoiISB+JG/PoRt3c0n85Qb+GRWlhWJR2aWHasDjtVIGa&#10;IjUAAJjmXCFeKcIbF+KVNvuwEK+078OwEE8RHgAAQHvR7zIfclrsm+i3/tzPv5D+97liv2ffRyvR&#10;/84+d47o42efsYYYU8jWaeceHw6Hz97MvouIiEgXOd6gvzW6YS8iJkmyRhHrGBamlaK0cFtRWhgW&#10;ppXJsKwoLQyL0nTEAACAsegnXFKENyzAK0V4CvAAAABu5nuiL5X1ue666HNGH7L0DaOfmP27uaIv&#10;O/4+Wor1js/IPnuO6Gdnn7O0O3aMej2qiIhIp3mQ3LgXEY3QrFF0V0VjMJSJm0sK1C4tTisTTArT&#10;AACAu2xcgFf6TgrwAACALYg+R/RByrxR9FV+8dN/Ou3/tHA4HNKf9y76ftGvi37aeB9Gny/7nbni&#10;c8af0VJsQ/a5c0W/NvucpbXejg49PXp0PGcUwomIiHSaz45u3ouKhnrWKNqKUsBWiteGhWulaG1Y&#10;sDYsVFOgBgAAsG81BXjhtiK8cSGeYjwAANie4TzTcH5pOK80nFPK+h28V+yz2J/Z/g6xz2N/Zr87&#10;V/TTss9qJfqJ2efOddv+WVIc49n67EC8HvXBzVS7iIiI9JpVC+Ki8Z41iNY27nCEYUHbsNMRdDoA&#10;AADoVfRZx8V4txXknSrKKwV5ivIAAOC04RzTcJ6pFLdF+9pc07I+8IHnzhbCDcX3ky1nrjXmO+OY&#10;yT57jljfa/Xfoi+ardNGeT2qiIjIhrJqQVyIDkHWIKo1LnLzFzUAAACwjuhrh9ZFeeG2wjzFeQAA&#10;d1tpC5a2YWkvhmg/ljZlKAVrRSlcK0o7NdqtpR1b2rVlfskcUz/iO8yOiVPie8yWM1ccJ9nntBLH&#10;dfa5c8XxnH3O0v7V8bz8vu/7E+k6bUi8HvXNg0I4ERGRTeXe6Ia+uOg0ZA2i20SjLzov0WEZdlJK&#10;Z0QHBACAazi2p9OfA3Bd4wK9rEgvlEK9rFgvjAv2gqI9AOCuKG2YYti+CaXdU5T2UGkjhdJuKm2p&#10;4RxPkRWihdJ+C6VNpyiNoTjusmM3E8dstowacYxnn9VKLD/73Lni/Ms+ZwlxzYjP28H56vWoIiIi&#10;W01yY19cNDqzhlE0XKNxF52h0tnRsQEAAAD2pkzmhtZFe+Fc4V4ok9fDie3hpPd47AYA7rrhfTKU&#10;+2e5pxbD+225Dw8N79NheA8vhvf4YfFYMWwXhGGbYdiWCKWNUZS2RzFsl4Ss7QI9iuM7O1dPiXMl&#10;W85ccb7ENSD7rFbinM4+e664LmWf01J8Rlxrss/fkCeHw+HhzWy6iIiIbDJxQx/d4Bf3K7/6Y886&#10;dNFpi8ZqdLiyfwcAAADA9Q0nyYcT6GVifTjpPpyQH07UDyfxh5P8w8n/YXFAKRoYFhWEUmxQihBC&#10;KUzIJuQA6Nu5ArNy/T9VUDa8j5wqICv3onJ/Gt63yr2sKPe44b0vuzcCfYjrQHZtycR1Js7vbDlz&#10;xXUk+6xWWq9zXNPiOpt9Vq24Vsd1NPvcDXl6OBxeP/J6VBERka3neGN/c3SjBwAAAIDNGxYzlAKH&#10;UIoehgURcwv5hkUZISvkGxZ2lGKPUApAsglF4O4q14ax4fUjDK8tQ8PrTxgWkhXja1cYFpYVw+te&#10;GF4Th9fKc4Vm5fo7vC5n122AqeJ6EtfE7Hqaietdtpwacb3MPquVuJZnnztXXKOzz5kr7j1xX8g+&#10;a0OeHr15UAgnIiKyq9wb3fCBjTue1+nPAdgX13sAgH0qxSLDIr4wLC4ZFp2EYUFfGBaqhGERy7jA&#10;ZVj8Mi6QGRbQjItshgU440Kdoaywp8gmVXm/bN9NlX03pwy/21PGx8PY8Ni5zfiYGxsen7cZH9dj&#10;w3PglPF5U4zPr/H5F4bnZzE+h0M5v4ey6wDAXRLX0T/4w19P/9sl4tqc3T9PiWt0tpwacW/MPquV&#10;uE9lnztX3Duzz5ki2hexXju4lz0+HA4PYtJcREREdpbjjf5boxs/wC4dL3npz2ErHMMAAMBdMS4a&#10;GsoKjYpxUVLI/t0U2TpMlW0jAEy1l/HBuDdG0fGwkCwK27J/e4koxh4Wa90mir+zZdSI9kL2WS1F&#10;myb77Lmm7LOhKISLYvMdtG+iEO7hkYiIiOw1xxu+16YC0MRwsL8YTySMJyaGf1E9/IvrVn71cz/+&#10;9gc/+O3p+hY/9/PPv+8vwC81/Gvy1spfsv+Fz//E2x/+8Hek6/6pP/dD7/u9bD2Hsv1UDL+PzPj7&#10;K8bf81h2bBTZdgHA2LH7mv4cAACAbYhxxHg6WRRVZYVW2e9cIsYfx8u7TYyRZsupEeOy2We10rqQ&#10;L8Zls885Jb6feLpr7OtseTWy/v6CYwBPj8t+/cjrUUVERO5AvDYVoCPDQqFSTDQsPCqFST/yo9+b&#10;/v7Yv/czP/zuK0TKK0fKq0mGrzMJw9efFMPXpoTo+A5lneOexHZn+2Vo6oDJmmIfnysai+8y+90t&#10;uuT7Gvqn//y333eMhuExPD7Oy/E/NHwlTyjnTCiFiUPnihDPFRoOz+lQzvUPf2de+AgAAAAAWxRj&#10;mzEeFuN058aTawrVYswuW2bmkjHXOWLsMfu8VmIcM/vcuWJ/Z58zFtsVY5jZMjZEIZyIiMhdzLER&#10;8GTUKIBNOh7O6c9hjlKUFoZFadF5L0UupfilFMVEp7sU0ZTCmuiklkKcYZFOKdwphWXnBgPG4rOy&#10;9R6L9Z+67D2J7yvbL2O97qM4lrL1HYrvOPvdLYrzKtvGU6YMdPUurgfZNt7mox/78LNjt1xPhobX&#10;m3INGhYBFsNCwDAuAsyK/rJCv3FxXyjX0Gzdb+N+zlKGx5bjDAAAAJYTY0IxthRjU9lYWCbGubJl&#10;XSrGxLLlZmJcLFtGjRgPyz6rpanjp+fc9v3spBAuxOtR7x+JiIjIHcxrSeOAzh2/t/f8X7hLSpHF&#10;uFDtB3/wo+m/z/zBH/76e4rUorMcHe4i6wD2JApXsu3KRIFLtoy74NJinDgWst+/tksK4sJevuNL&#10;CxiL+H6z5WxRHIPZNt5mi9tfrrFZ8V7sg/Bzv/BCur2ZaxXtAQAAAPB+MQYTY5Vzx9hjrCdb7iXi&#10;s7NlnhL/PltOjRiXyj6rldivLYvUsiK+GJ9rXXh3JVEI9yAmwkVEROQO59go+NaokQAwWykwGBes&#10;lQKF6BSWAobo4EYHOUSRV/xlVimKyIrVxp2zofi8bH0yWUdvS6b8BdsWi2ZaiGMn2x+ZXgvKLh0A&#10;2vrxXEw5h4u5g2u9iWMw275z9rL9Q1OOgzjPs2XUiH36P/6L300/b44o1s6K82I7C0V5AAAwzcEf&#10;CQN0I8Y1Ysy/xThNjMvMGSMsYtw8W24m5h2yZdRaYrxqqPV6xzxNWW787x2MU3k9qoiIiLwnnhIH&#10;d0B0ZEKZgJ9arFZbsLa0qR212J5sOVsQ+zrbplPi+8qWs2dTnqIXx362jGuL8zBb30ych9kytmTO&#10;YNdeju249mbbd87SA2zXkG3nKVMGOaeI/Zp93hxxb8o+4zblnhrndSj323L/je0O5d4c4l4d9+0i&#10;rh9xXBVZUV74nu/9rnS9AQAAgD4dOigKjvGOGF+I8YjW8wJTxnXHpo7DXPoHyVPEGGf2WS3F+FD2&#10;2XP95hc/NXl+pUMK4URERCTPsaHgKXGwouhchHFx2rhArRSphVKo9jf/1i+my7xN/H7WcdqTqR22&#10;2NfZcrZiSvHQXfj+x2Kbs32RmTpQspYpAzIx+JQtY0vmDLrsYbtDXPez7Ttnb8WuUwvRlvr+Ww8q&#10;9vw9TblWDv21v/6z7ynKi+8inCrKK22aUpAX4j5c2kGlXZR91lzHLk76cwAAAGC+v/67//7if6Q5&#10;Zex7LMYjsmWeEuMT2XJqxLhI9lkt1RQO7tDXD4fD/WcT3iIiIiJJdv2UuOP2pT/nbvqJn/yT7xae&#10;hWHxWSiTt0UpRAvRkSmTvqFMBGdPTgvl6S7laS9Zx2WOOZPGe3iC1G3u2j6J4zHbplP2/v2Pxbmc&#10;7YdTsmVcW1xvsnXNxPZmy9iSbLvO2cN2h7mDfHH/yZa3VVML0ZYaXGw9oLjGIOhcU6+VxRrn3vAp&#10;eSHaVaWtdclT8n7mz/9wuu6Z5557rnlBHgAAAOzRGmMC0efPPvtSU8bCp45HXWqN8fiYv8o++w55&#10;fDgcHjyb5RYRERG5LceGg6fE3QHlCRxFeTJHiCKxoeFTPKKTM3SqYKwUjRXD4rFhAVkok5mhTHAW&#10;w6KyYWFZKMVlRbadt4l1zjoPWxLfT7Ztt4n9ny1rL+ZMZG/5WIhzKNumU/b+/Y9NLTBaY4Biqinf&#10;cRz/2TK2JNuuc/aw3WFuQdzezuup17Voc2TLqTV1Pc5ZY6B4rjntiSLaYNkyezF18Hx4HyhtzNL2&#10;vK0YL87DYds3jsvSRo7vftiejv1d2t1z2i0Alzj4g0AAABYW/eRhH3wJ0Y/OPvsS8bvZMk+JPny2&#10;nBpT12Gumv20YU+O/Z54PaqIiIjIxXmYNCpIxARWUSa1QikkC9EIvaSALCscKxNsRUy6/dJLP5Ku&#10;y23+y3/wl7qfrGxh6mRufG89Fr9MEcdOtm23ie3OlrUXsX3Zdt9my/tkajHo3r//sWwf3CaKHLLl&#10;XFNNMcfWTD2ei70c19m2XWJvBXGxPdl2nhJtqmw5taaee+f0fJzWDJpGGzVbZi+mfo/XPp/GBXil&#10;CC+2I5R+QekvnCrAC3/+Zz/+9vPP33v7O7/zg+m2bsmxj5r+HAAAgOuJOZmsb9tS9I+zz75U9KWz&#10;5WaiTx5zfNlyaqwxdhLrPnWObMOeHm4K4e7FpLaIiIjIpBwbE49HjYuuxQRjGBekjQvRSvFZ/Nts&#10;OUP/8B//5XcnocqkVDQoi6zBuYZYn2x9bxPbG+ufLW9P5hSHbb2IICZAs+06Z8/Hw9xO35b3ydRO&#10;eo9FX0uI7zTb/tv0eE3YWjFHjbi/Ztt0iWvem1uYc38v4l6QLXOros2Wbecp0c7LllNr6rl3iV6P&#10;05qCuKUKEluZei+Ie2q2nK2Je8ElfZ6/+trPPjsuYz+F2wrwThXfxfFTRDss9mHpn2WfCVzHQWEp&#10;AO9wTwBamlJwNtfUsaKh6JtmyzxlifGgteboon+/877406NHx/vY/ZjLFhEREZmb+6NGxuL+7Cd/&#10;4N2CtZhoiUmXEBMw0QCNiZmQFahlDb/bxHKzdRiKf5P9bg+mFr+EmKDKlrUncaxk236bqZ2h3szt&#10;nPU+eV1j7qT+lgtKphaD7vn7H5pTYNTjcRD3vmxdT1mqOGgNcW/PtukSWy/0nPo9D8U1IFvmVsUx&#10;nG3nKUsd8zXfySm9HqdrDiyvLfoK2XrfZo1B6iVNHQBfo58Q61T6cOOiuzAuugvDwrtf/dyPp+sO&#10;AADAda3xh2Vz+vZDU8d8p45NXWKtMdvod++0KO7x4XB4cDOFLSIiIlKZY+Pi0aixsag1J9MuaTzH&#10;0w2y3+3B1OKXIiabsuXtxdxOUUzAZcvbgrlPFNp6IeBt5p4fW94ncwojtz7Zf4k5xSw9FgtOPc+3&#10;fCzHcZlt0yV6LmS/xJyi7mJvRa5TC/+XKuZZoiCu1+N07r2z6P2ekq3zbbbcNgxz2gVb2OZsvW/z&#10;mV+6/57Cu9jGMCy8GxbdxeREXE9CeeK4p90BAACct8bcU/Thss++1JSxi9oCvFPW2E/hn/yzv5J+&#10;/qUOfT1J9MlxfR4+m7gWERERaZh7ScNjUWtOEl7yWsVeJ/fmNsbX+Euda5vz9Lwt75eajtnWJ3tP&#10;qZnU32qR2JzjYOvFQ5eIbcy2/TZr/aXeFHOKxLZ6LM/Z1mLqX3r2Zs7xWvR43NaYei9f6o8Y5had&#10;36bX4sXaQeXe7ylTj6mtn1NxnGXbdZstFFNf0n8bWmqbot0V4p4VTj3xblx8F7ICvJ/7+Rfefv75&#10;e29/5CMfevsDH3gu3Za9OHg9GwAAO3LN9m30d6KPFP2K8JOf+P70361ljTmW6IfNmf8ppv5BZc1Y&#10;3SlL971jH0W/cyd/1PX0eI69HnPVRyIiIiKL5KtJI2Qxa07EXNKY7blgaM5EV9hrEVQxd79stXgk&#10;zO0E7q2AoqjpqPY+oX+bqcfBmtfba5lzLPS4X+YUPMbEfLas3tUUxMX1P1vmVtQUJO3tep5t4222&#10;VBDX63dVO8jb+zEYg97Zep+y9XtkfB/Zdp3Tez9hzh899N7Gj3Pv0omKP/WnPvb23/v7X3h2bRoX&#10;4ZUCvBDLHBbgZUV446fghUvXAwCAfTj4Y4WribZ3iHZ4aZdHGz3a6yHa7qUtH+37EO3/6AdEHyfG&#10;Csd9i/jv2WetaY0+ZfR/ss++VPx+ttxT4rvJllNjiTHMOCZi/8+dK+rM06M3j9cohXAiIiKyeOIp&#10;cd8aNEQWt0ajOVxSYNDz5N7chv/WJ/jOieMn2+5ztlxIEeuebdMltlwIeEpNp7jnc/6cPU4S15qz&#10;T3q9RmbrepsYKMuW07uaAqQtn7+h5loeg3PZMrdoTlFkDPZly6o1Z13O6fUaUzug3Hv78q7dI+cO&#10;2E/9a/m1zSkcXqtvOcfcfkvsh2x5rUV/Oc6DUArwsiK8MkFXivBKIV7c18K1n1QBW3XYSZHCXrYD&#10;gH2IvmtR/jBkWJQWol8UT3H+2Mem/8HIf/K3Pv2srVzazuWPWUq7OtrYWTFbK9cuhlprbGBunzdM&#10;HUOK7y1bTq04LrLPmyOOtZp9UnTSbnt8XI8HRyIiIiKr5bWkUbKYNSfULukgLNlBqTW3g7PWJMo1&#10;XFLomInjLjo32TJ7F99ntk2X2GrRzG2iA5ht6yXWvP60NqeYYcuFoJeYW2DU47Ugjs1sXU/ZanFY&#10;TUHcls/fEN9Ztl2XmDqY17M5x8BS3/3cNsU52WddW21BXOi5zTynrbTlNlLNQHjP7eG9tXVqJqt6&#10;LvQbmntfH04Wxv8uYnllcjGOh+Jccd6wQC/ut6E8KS+Uyc/4TkLcV6a2vQAAtu4wKoYpbaKitJVK&#10;2ykM21SlnVWU9ldR2mVDw3ZbacsNlXZeMWwDlnZhiHZiUdqOpT05p68anz3cF1PEembLXEPs02yd&#10;1rTG9s/tZxRT13GJ/RrnT/ZZU8SxH8vJln9OnO/jc/7KohDu4ZGIiIjI+jk2Rnb5lLhLGrLX7MCc&#10;M7chHh3Y6BRmy9yDuZNL0dHNlte7GADItucSsa+yZW5ZDHJk23qp6FBny+3dnO2Oa0G2rL2IwbZs&#10;u8+JwYRsedcU31W2rqds9butGdDa+vEcg8fZdl1iT+fynGNgqe2vvZ+c0mMbLNYpW9cper5/zmkr&#10;xQROtqwtmDsgHnpuD++prdPinIvjOlt2T6Ivna37OdGGy5a3tikToX/iT3zw3cnZ2O4Qvx+GE73R&#10;hw/DyeEyaTycUC6TzGXiOcTxHLLPB/p08IQ82KWac7vcz0O5x5f7flHaA6WNEEq7obQliqyY7G/+&#10;rU+nn32J/+BzP562i+6a+F6y/XOpa40tLjWOMUUc29m6tRbnRfb5l5i6jrFfa4+JzNw+XRxfNdvf&#10;mafHa+rrR16PKiIiIlfNw6Shspi1Gs2XdBCiYZn9bg9qOjjRgc6WuQexbdk2n7PWcddabUd3j8WR&#10;2XZeKgaRsmVuQQyaZdt0m56LfmvNHRiIwcNsedcU16dsXU/Z6vWs9i8843qYLXcL5py/xVa/70wM&#10;6mXbeJultr/2/npKj0W3Lba1x2tnMacgbsvnVUyeZdt0id77CFPvh6HHe0OLcy72Re/t+LkFcaGH&#10;bZs66RWT0tlylhTH0t/80i+m63POd37ndzy7dpeJ9FAm18uke4g2dSiT86FM2JeJ/BDH5Jxz9K46&#10;KJTaDd8l9Kncl0K5V5X7V7mflXtcKPe9U4Vmf+Nv/sLbH//4x9LPyvzd3/vVZ/fpIruPLyXWN1un&#10;S8V2Z8vtQbQRY+yo/CHCUv3rOF6yfXOpOO6u1Z6tXfcW1hhvru1TTV3H+D6z5dSI4yT7rFPi2I/r&#10;U/xetryNUQgnIiIifeXYQHkyarAsaq2O17kOQjQu1+60ThGd92y9L9H7BMpcNRMvWy0OqukE9TyB&#10;PVdNx39qR7Qn0SHOtuk2MRCYLWsPYkAz2+Zzehz4m3NMb/EaP6cYaqjnJ1SdUztgmS1zi+bcw5e8&#10;bmefV6vX+27tgGpcc7Pl9mBuse1W28oxkZdtzyV6bwdFuyVb79v0WIQaavpxRc/nXajpl/VwrczW&#10;6zbXOn/mFP0WS1/nShFAfE4R1+QQ52YoE9ohige+67s+mK7rOZ/+pZvChlLkUJTih2hrFfFd1d73&#10;AHi/cn0t19tyDQ5xTY7rdDEuQCtFaNEGKKItEcp9otw7yr0klPtLuecsMY4fnz3nvhHbnC1vabEf&#10;s/WZIvZttuxriO80timOo2xdQxxTLcfzss+YKtY3W/bSatrgrcT5n61ba3GdyD7/EnFOZ8u8TYtz&#10;ayy+r+yzhuIc2FEhXIjXoz64mXkWERER6Sf3k4bLYuY0SOe4pIDkkkbptdR0cGLQIVvm1kUHIdve&#10;S1xroKLWbQMC56x1rq0pvsdsWy8VA2nZcnsXA3TZ9pyz1e09Z+5xEINo2fKuac453msBwG1inbNt&#10;uVRPA7ZTxWBhtk2XWmLQ/xrmDGYueR9bYrCx5SB9S7XH4LUG+y8R97lsnc+J4zFbXu8u6d/cpufr&#10;yZxt6/WcazWZ0nM7bm7bNFy7PTa3T3mN76NmP/d2ftScFy3uQ/G9h/gei2HRRSnEiH0+FOMyRSni&#10;iG0ZiutXKAUg2Tbc5rnnnnvWLimyfwNs1/D8DqWgLMT1bSjGOoq4X37sY22uCVGQPLy2lWteUa6F&#10;5fpYrpkhu6buRWxfzXX3Gm2a+P6ydZkijr1s2WuLY29KXzW+q/idbFlTxLmWLX+qa/Qp45jN1mVt&#10;a82pTTk+xqKNli3zNq2OjSKO2bimZp8V32W0H2uuQZ1RCCciIiJ959hgeTRqwCxqToN0qks6iD0W&#10;RxS1nfJTje2tq+kIbXGf1E587u04qN0fa3XYW5s74BH7K1ve1s0tiOtl0G9ozmDLFgs5YtAy25ZL&#10;tRj0vJbawa04/7Plbk20/bLtOydbVgtLDDr22q6ce80sYl9ly+3B3Ptjz32A29ROgPV8LY02WrbO&#10;t+n1e5x7XI71/EdOtdt4zT7K3HW/Rvsr9lO2Lpfo7dod52u2npfaSr927nd2rp8ax+1QfM7QsLgv&#10;xPV+qBTBDMVnDpWCv/Br/+FPpus5xS//yp95T3FPKEU/RfTPxuLYLbLlMs+h8vWv48LNkH1/xfi7&#10;HhsfG8Wf+uHLX1uZ+ZEf+Z5n4yCnlELWMDzmx+dDOU/G59L4XBueh+PzNDuXp4p1zrZzjtiu7DPu&#10;shb7N46TbNlLiWMrW4+prn08xDkz9zpfu+61bZKh2I7sM5Y0p/i+tbjOZ+vWWlx3s8+/RBxfU7+f&#10;VufX0LhPF58R953Yh9m/36AnxzZGvB5VREREpPvcSxozi5nTIJ3jXMcq/nurQYol1HRwep5AqVEz&#10;WLHFfRIdpGxbLhX7K1vuVs0tqCi2OgEeYnA426bbxDUuW9bWzdkXocf9EZMB2breZovXsppBrLDl&#10;wftse6a4xgDrEua2abJltTDn3Dun12tuTXuy6Lm9nK3vOVu9P9ZeS6NdmS23B3O2refvscUER2zf&#10;3s694trHYrZO51zjeKudlOupDVF7341+YLbc3kSBTLb+5/TWvo+2d7aeU/S2TXE+XeI//y8+n27P&#10;FB/92Iff/lfH82+43Dgfr6F8/n/5D/5Suq5TrNEnqx3zCbG92bK3qMX+KLY4jrC0uLdn+2qKa7QP&#10;trreQ7XHdk0hYot7XBHjk9lnLGluW6O1tYpBawoY58yLxHZly6pR7sfR511iLOpKnh5uCuHuPZtd&#10;FhEREdlCjo2YN0eNmkWt0RG/ZAKw50n22g5ONLaz5W5ZTafk2p39OWonPre4zbep7ZRueX/MHSza&#10;ciHRKTWDIb0Njs8p7ttiYeeeizhuE8dbtj1TRFsgW/bWzD1vs2W1MLew9pzss66txZMPej4O504I&#10;rTWA31LtNaXn+8fcbYv7S7a8a2tx3oWe23E1kznXPhbnXjeu0Y6cu66hp/ZT7eTfVvpxc9u8vW1f&#10;i8ngrXxnY60KJXrrv7Tol6xx7W5x7O1pDKTF/ii2ek4upWVR0drHXKuCmmueK7X98Tie5857tLge&#10;Dl3jet/D08XiOMzWrbWa72vucTJ3/OqUn/uFF/ZWCPfVI4VwIiIissnEU+K+NWrgLGrpgq1LBg56&#10;nhgKNR2crfwV9RS1ndatDYy16KTvqTCytqgmbHV/zD0Wer/GzVEzMNHbxPmcQcAtDmTXDuRv9X4W&#10;15tse6ZQEJcvr1brAc6ix++rxZMlei5KjWtits7nbPUpGXO3N/R+/5jT7+n12Gw1gb3WRNMctdfR&#10;aNtmy13D3Ampa7QjaybPeuoHtChE30I/rqa/2tP2teh3hy0WJsU6Z9syVY/33Jo2RIjfX/ra3eLY&#10;29OT0FqMCQ7tpW/ZQqtzPax9vrf6w4trthNatAtiGdmyL9GyoCy+/7Xv4S2P3xrR58nWr7WavtWc&#10;e0Jce3soOuzM06OvHw6H+zdTySIiIiLbzWujhs6ilh6kuGTgoMdBqqGY5MnW+xK9b9tcNZ3mLQ6M&#10;1XbADAa+V8+T+ufMPRa2WgR4Ss0EbG/f/9xtWXoiorXawoCtXsdaFMT1VsQ519wJ/aWO9VaTCGM9&#10;fl8tCnN6Lkqde2xttZ1cUxwTer5/zDkveyr4GYtjLFvnqXptx9UW216zUGZuf/Ia7ciavm9P17kW&#10;E99b6MfVFPP0tH0t+t1hi234VgXNobfrd4vzcOlrd4v+097GQlu1J0K0tbLPuIvimpvto7nWPN/3&#10;cJ1qcT0Kc++drccDYnuyz1lKq/t0reibZuu3hLnHzNx7Qqs/DtiJx4fD4cHN9LGIiIjIDnJs4Ozq&#10;KXGXNJavORh/Tm0HZwuDxlPVTr70Nih5Tu0gwd4GA7NtnGLLBYKx7tk2nbO368Dc/RB6K+qYWxC3&#10;tb/srh2w7bng4TYtXsMS+y5b9tbMLejdWkFcj9fbFhMmPZ+DNQViW2sThpp7YOj5/jGnjd9zO7f2&#10;uyp6bcfVXluu2Safew+4xrWw9n7Vyzk/t807tIX2YM3kaW/b16IIZ4tjES2LDHq7frdo/y5d9NFq&#10;/2+xjXdK7R9DDO1tfLBGnJ/ZPpprzXZNy+vUtcbIWvXH45iec763GKsZW3vsplVfo9Zabc2a437u&#10;uNJS40YbEoVwD29mjUVERET2lYdJ42cxSw/6XfII6ZikzX63FzUdnD0OdtR2/LdWHFRbABj2UlAR&#10;agcDt3xOzH0k/t6uAzXXxN4mmuZuS8+F3Jm5x26x9l/bttLiL0q39l2fEtehbPvOmTtweU6Le2um&#10;x8n6mCDI1nWKNf/ye6qaPxzYWpsw1A7K97zNcwusei3yq733Fb2242r7ZNfcrrn3gGusc+39qpdz&#10;vsWk7Rb6NDVtv962r1URzhYLk1q9Jq239lOLP5IIS7XPizgXss+dYottvFNaF2TsqViwRhwj2f6Z&#10;a+1reO0fTxfXuve07I9HGyP7jHNaXeuLtfdlL08wW3MMZM55W3svbtUe2pinh8Ph9aN7z2aLRURE&#10;RPaYY6Pn8agRtKglO+OXDtT3PCBQO2i1l8n0oZpOa+8FkGMtBi3nDg70qMWgz1YHAGsmHvc06Fkz&#10;odbbpMTcwe2tDfDXFgX09r1dqsUA5V4mc7Jtu8RSE26tClXGeiyIqy1aCb1N0g/VtAu2eG2pbRf2&#10;3Cace6z2ep1sce4VcT/JPuPaaosWrtU+rTmPlrovnVJ7zvdyX2pV0NF7n6a27dfT9rX6zrbYlo3z&#10;JtuWOXr6Tlvdl5YeY2xRfNBjm3yu1v2WvfQva8V+yPZPjTXbay0LyqKtkX3GklqMdQ/Nuda2LjYN&#10;a8/BtC7qm2vNP1Caeo+oPb7j2MqWu1MK4URERORO5X7SIFrM0gMVl3QOei8YuksFYJeoKYgJvQ+k&#10;D+19InuqFgMWaw9QtDT3WrCnosiaY6C3c2Hutmzt+6wdxN/qfazF5MUeJixqBhCXul+3HoAver3f&#10;Zus61dpFIJeqnbTeUpsw1BZb9F4EOKed0/Okd4tJ/dDrfb/2D1WudY+reU3W2sWJted8L/elVgUd&#10;vbeLar+vnvqprYottliY1LLQpLdjtmZssVj6ntTijyD3NAbWssA+7HGMeI4lCuLi2pF91hJavvLz&#10;Gu3M1sf1nG1ovQ4hrj1r9i9b3q9qrHmvj+/tkj5WfBet7sFLjR915OnRmweFcCIiInLXcmwEPRo0&#10;iha35F+SXFJw0PtgSW0R0NYm+86pHVCP/Zktt1ctBi33cgy06IRurZhoaO61YE8DwrUDPj0Vdcz9&#10;Prc2sVR7zd7q8dti8nfNQfWl1AzWb60gLvR0jSniHMrWdYo1/+p7itqCuN6LK8ZqJ256v55GGy1b&#10;73N6PO9Cq0mqXr+32j7qtdozNefR2teM2nM+9NAPbHXf7b1dFPs6W+9L9bR9rb6zLbbjW7YTe+u3&#10;1babwtLf6dy2wNiexkFbtOWH9rRv5mpVqD209vWuxVhxuNZ1utX6F3OO69brENYcc27RTmxl7etK&#10;tMmzAuoolos+Suvxixb3z049PhwOD25mhEVERETuXu4lDaTFRAM2a2y2cOlgVk9/jTtWO7C65QKg&#10;zN4nA8daDAhurQjwlBaD01v7/odqtr/na9wUtQOXPRV1zJ0o39oxXPvX11s9Z2u3O+yhIK7maSlL&#10;DarWFOmd02PhWIunVPV6D9lqQU6NuCZm23KpXosbw9z7Yq/HZ8tJqmgDZp9xTbXt8mve3+dOgF7j&#10;vlx7zvdQ+Nvqvtv7Nbv2nF9yXGyqltevrRXftC4wiOVln3MNc++zY0t+p7Vtu6KHa18rLZ6aN7Sn&#10;fTNXi7HFzJrne6tzJVyjLd1y/cOcNlrt+OIpa973WhUR17rm3FPs7yL77y08+kevvP2hD317uu0b&#10;pRBORERE5J18NWksLWbJyZlLBpH3+AqhoTU7Y2uo3R+9TpxlWgxabrWgZKzV4HRPg9JT1Gz/Fif9&#10;M7UDlz0N/tac29nyetWiMCxbbu9abPceiplrztml2i6t7iWZHotWWvw1c68TZ7VtpC22j2oLHHue&#10;BJ17vej5j39aPXmix21scS29Vh917iTsNdrTted8D8dOq/vuFq7Z2Xpfqqfta9lW6vm+c0rLpwb1&#10;NPbUqghoye+01TruZfwjtCpkLPa0b+aqfcX1KWu+Wr3VuRKu0VZouf5hzj10qXGBNc+x1vuxxt7m&#10;nkKc0y3GUzry5HA4vHYz9SsiIiIikXhK3LdGjabFLFmQFh277DPHem641/7l1BYHIW9Tuz96njgb&#10;a9W53UvHNAY5su2bYksFkWOXXs/GYr/FYE+2zC2pHbic81ejS4nrcraOl9jS+VyzncUWj90WExdb&#10;uledUnMPS/9Y4v/4z56+72czZJ/XQo/trRZ/fd/rsdjiPItjNFt2r2qfEtLzdWXupFTPRTItzr/Q&#10;6zbWtsuv1Safe+24xvdQewz1cuzUHitF723g2u3s6SmerYrCtlh80+raHXq677Yq/ljyO41zPPvM&#10;qXq59rWwRMHLHsaGarQ6F8bWHG9quQ3XOF+W+A7m9MXnjrGes2Yfs2URd409jF8VcS+KtkCr9msH&#10;nh4Oh9djvvfZrK+IiIiIvCevJQ2oxSzVWbj0EdjR0M1+vwe1HcU9DQaF2gGh2B9bGQBqNUiwl6LI&#10;Fq9+66koaqpLr2eZLRcCFrXnQ08TMjWFYmv+5XGtu1oQ12JgdYsTiGM19+trPz14jh4HgVsUjfV6&#10;LLaYINzawP1eimNOmTuh02uRTKt2fOhxG2sLNK/VJq+5dmTLW1KLa3gP7agWfbiw1JhRK3t6imer&#10;orAtjkXV9LnHetv+FoUTS25Ty/tmTwWmNVruk+IaY0PRjol7WrQd4loZx1Ecj9HPWPvat8Q+DWv3&#10;meLzsvWY4xpjTK0LueZcm2r/6PaU2Lbs85bQsoi7Vq99skvFtUEhnIiIiMgdzLHh9GTUkFrMUk+J&#10;u7Sj29tA1VhtR3EPxTBFi8GLLRWI9T5ouaYWHf0t74uaY38PxTW1535P333NRMuWrl8tCuK2OJmh&#10;IO5GrwVxtUUcp/T4nbUoGuv1vrnnbTulRXFMttxezL12Xquw6hKtJvuiDZwt/5pq2+XXumbWtCfX&#10;nuhrcZ3r4Q8pWt13ez7XQ+129tSOaHG/KbY2Qd5ivGmop+1vVTix5Da1um9uqc98Tqui4mLNPwiJ&#10;8ymubdHmztZlaM2i50vWZ6q1+xUti3ev8UdCLcZMxuYcQ62uOWNrzcO0vmfVuMZx1ELsw70Vwh19&#10;/XA43L+Z4RURERGRc3k4alAtaqnO76UDkz0XjdV2dPcwsT5UO9i8VAHmEloNEmz9L7VCq4H56Oxm&#10;y9+CmsHQPRwDtQMUvXz3Ndf03icDhxTEzRf3uWzZW1JznC/5vbeaDByLwfTs866pRTFFyJZ9bXGM&#10;ZOs61ZbujXspjjllbjtv7QnIKVpdb3rcxtrj8ZrbNHfyc+3zp8V1roeikFbnQe9jGrXtv57O81bt&#10;h9DzONsptX3OoZ4Ks1p9r0tuU6sC2j2Ngbbuu6x1rSnFcNk6nBLHaLas1loXGRZr9itaFkJd4/7T&#10;8j5TzBlDqZ1vOWXNfbpEceFcW+pbxzkU3/9SRZFX8vhwODy4mdYVERERkYtzbEit9pS4pSYSL+3c&#10;9Dz53KKju4dimKJFYdRW9kerIrA9/IVsqwGTnieDz6kpMNrDMVA7cNnLd19zLG9pcL/meC22eL4q&#10;iLvRa0HcEoPvocdi+2jrZOs6VY9tplaTQFu6N7b4Pnve3ppzs9d2fcvJyt62scW2Xavofe59eu3z&#10;p8U+7qHd2Ko/22Ph+VCLopVezvOW164t/TFP0aooK/TUd2v1vcY1NFt+C3suJJ9rib7LGteaOdf+&#10;tb63luf40NrthJaFPGvff1reZ4ambsdS6xHWuv8tuQ1TLXl/aCnGGZcqjL2SKIT77M1sroiIiIjM&#10;yYOkkbWY6OhnDdUaUzoGvU00DNVOsG9pwu+cFp29GGjLlt2bVoNfe/gL2Vad/C0Oyhc1+6DHYo2p&#10;agcue7kO1pzXW/oeY39n2zDFXS2I28M1u9eCuKUGjHssYmy1rb2ehzFplq3vFFuaMG3xffZ8banZ&#10;vp77Oa0mK3vcxtpz8FrbNPf+dI0+RO0+7uEa16o/2/v1ek7xx9gS42Fztbp2bfGPPFo+kau347b2&#10;mhKW3KZW14uwxX7kKS2+t6E17r9zryFxj86W11Lrp+4VaxcDtdyOa4yRL1GQNOc7aDF+k4nzdq15&#10;pujjZeuwtjW3eY4dFsJ963A4vH5079ksroiIiIjMz7FxtfmnxF3aMeh5MqV2YGjJQatrqB2g3cr+&#10;aDWZvZfvP9u2qbZeaFJz7Pc8MHGJ2gG/Xr77muv5ls7luKdm2zBFTxODl1IQd6PXgriwxKB3r99Z&#10;iwntNSam5mg1mL2le2PcA7JtuFTv95C5x+tSfcgWWk1W9vjd1f6hwrWum3P7V2tPdIcWT7G59jWu&#10;VX829Hy9blHI09MfbsX5ma3jVFsch2hZlBV6ake1uKaEOK+z5deKczz7vDm2/IeQY63Ox2LpQtWa&#10;6/4a99rW53ixdgFwy/PlGtfqFoXkY7EdU69PLffj2FrXoRav2W/lGu3lc2L/LDEGdEVPDwrhRERE&#10;RJpn1afELTFYdOmk7F4niYqeB5CnajG51OsE71iLyeywh7+QbTH5vcVB+aGaY7/not9L1A6Y9fLd&#10;x7mYrd+llpqAaO2uFsS1uD/1OIg4Vc33v3RB3KXtwinie88+69paTHz2eu9oNai9lfZgaNEO6rk/&#10;UHP97HW79lwMVHu/u2a7bE7/6hoFfC3aFNfuA7Y8B3ruz7YosOipuL5locLS7brWWh6zoad2favv&#10;dak+Wst939P5VKtFv3psyTGFmvGONdoGteMxp1yjXdNqvDis3c5sfa0t5vRdW+7HoTWPiaW2YarY&#10;5l76LHGMRVs61ilb1w2KQrivHimEExEREVkixwbXpp8SN6WT1fOkWO2A+B4m2IsWA85b2R8tJkLC&#10;Wn+ZtqRW+6LnyZRzagaNtj4o3OK8z5a7ttq/3tzKpFKLgfstFaoULa5TCuKWP8ZbDxj3WrzZ4njs&#10;tf3Qqk2wpfMt1jXbhil6LXAMNcWqPW9Xq+tNb9vYol12rQmzOdePJcYpzmmxj3s4bvZ6Dgy1mNi/&#10;RjHFKS2OvaLn7+2Ulu3EPX6vS7YNW+77OC+zz9iaFteXsSX72bUFZ0u3DZbYn8Xa7ZpW/aFwjWt1&#10;y/O9mHPNremDnLNWX3rJbZjq2uMHcY7HubGjQrjw+HA4PLiZqRURERGRpbLqU+KWmFS8dAKp54KR&#10;6Fhn63ypngbiWqjtOMf+2MIAWQxKZOs/1R6+/1b7YouD8kM1x/6WB4VbDFz2UExWWxC3lYLOFufr&#10;FgviYvAv25Yp9lAQVzMgu8R5GtePItpTf+/vfyH97Ln+7u/96rNtDnHsnxPHySkxeHtOHCOnRFu2&#10;+NSf+6F0faf4yU98/3s+O1vnsWybh8q+OiX6AreJ6+Df/ju/nK7vVB/92IfTY6ZHsf+zbZgivp9s&#10;2T2ouc9H2yhbZg9afG+ht35qbd80xPUgW/bS4jqSrc9trtGXatH27eG4afWaxjiXsuX3osXE69rF&#10;FKe0OPaK3q5dl2h13S56+V5Di+N0ye+01fUibPkPIcdaFw5FnyH7nBbm3GOH1mirtjgPMmu3a2r3&#10;9dA12jmtr7VF9Cezz7vNEsV5Yc39utQ2THWNYylE2yW++172QyMK4URERETWzLEB9vVRg2wx8Tqg&#10;rGFbIxrE2WdlehqsGqtt1M/pFPaqRcf5WpMwU9T+deVQdA6zz9iKVvtii4PyQzXH/tavAbUDlz2c&#10;87UTyFu4boVYz2z9p9jKtg612O4lJyiWFPeYoqbg7Ld++2eeXeeKrNgrJstCtBmLaCOFuE4U2fLh&#10;UsNjqSjH2dDwOCzKMVqUY3dseHwXw+N/WGj4Hz386XQ9p/jML91/VnQa4n40NDyHs3N8DbGPs/W+&#10;RGxDtsxri/2Zre9UsW+u+d2MtdiuON6zZS9t7rpfY//XnBMhfj9b7priWpat21RxzcyW34u41mfr&#10;PUVPfbXaY6/o4Ricasr44SV66tO0OE6X/E5bXS9Cz38EMFXcL7NtnGvJ77B23G6Na32L8yCz9jEX&#10;7ZJW1+qwdlu69o9FT4nvN/u827S+7g+tdQ9YchumWvtciOtO9MGzddmoJ4fD4eHNrKyIiIiIrJlV&#10;nxLX+ukgUwa9ex40qZ1o730QeYoWfwk3p5O8thaTTcXWi6Fa7YstDsoP1Rz7W78G1A5w9HB9rz2O&#10;tzKw36IwrKfJo0u1uDfFRFC27CniOCtiYLsUwMRAYaxjiHtCiP0c4tgqRTgx6RLXixD3ylAKfaIA&#10;KK6jRbYNd8mxjZz+HPZmeN6PiwJDuUaEct0oyvUklMK/UK45cf0JsZzssy/x+n/60rvXvey6eE01&#10;2zXUW1u+drviWMqWu4Y4TrN1OiX+fbacpcX5k63PFNly19SibRSuebxcIq5l2XpP0VM7v8WxV/Ra&#10;sHxK3Eey7ZjrWtePTBxj2TpOFX2KbPm1Wl0vQu/XjCla7pdiqfOytshpje+txfU6E+3c7POW1LJY&#10;8hrjL63ayGNTj++47i+1Lmtei5bahqnW2ua4F7Vsr3Tg6eFweP3oXkzGioiIiMgVcmyUbfopcZd2&#10;EnseNGkxMLe1wchTYl/Ed5Vt4xRb2B+tOrRxDmTL35JW+2Lr58Hc/dDz9e0StQOX1xigHKu9jvew&#10;DZdoMWh/VwvifvlX/szJIrUQx0ApMon2UohrQpzfLe6LANdy7HKmP69Rro1xnSzKtbNcS+O6OlSu&#10;t+X6Wwr2inKNLoXFce0PMSlTxIRwtDfDX33tZ9N1m6q3tnysT7aeU1yrTT51wv5axYi1bd8Q25ot&#10;ey1xPmTrNUe0o7PP6EGLNmBcf7JlX0OLY6/orZj3Eq3b1L2MP7QYUwxL9dNarV/R8zVjitb7JfT8&#10;HS59vrS4XmfiupF93pJabssSczHntLzXDM1pM0cbP1tWC2vdB+Nzss+/hqWuMSHatksdO1eiEE5E&#10;RESko2z6KXFTOok9D9jVTjxscTDylBaTMEt20Fpp1cm7xuBMa632xRa+99vU7IeYlMqWuQW1A1S9&#10;nAM1EywxkZ8tszctBmbj+86WvaQYwC8FDNEOCbEtIe6fIa4fIc7DEPeiEJOYf/5nP55uC9DesW+S&#10;/hz26sMf/o5370HlnhT3p1OFeEsXArRol1+zTR77KtpV2XoVMTl8zf5zi/bUNfdxaFnI0XqMqKUW&#10;hX899ddbHHvFNdr0tVo/ceba5+HQueveJZYs3qzpK49d8/rdWovvbWip77DFNX/p86XlfWls6bbX&#10;WOttWboYcWyp72LO/XTJ42KtYsPYhtbXirmWaNPE9kX/o+V94sqeHr15OBzuP5t5FREREZE+cmyk&#10;PRk02hbVunMejeZLG8wx+JUtowe1A5M9/dVxrRaDtNf4C7ipWg5Grz240Vqrv9ib89eCPYnJoGy7&#10;LrHFCYmixbkQ94Js2WuqGbxZYlBpCS0mBbNjNb6/MCxYi8+KYyMMC9bi94dFa3H/K08Dimt/iMHC&#10;2Kc7GlBjYcfmcPpzgN6V+13c+0LcB8t9Me6RoRR5l/tn3EtDubcOC/H+9t/55fRzpuihbxrtiNjG&#10;su0h/v9oY1y73Rifn+23KWJbsmWvqdXkbM/FLS2+q9BLf73V9oQtjkHF9S/blrl6GneKa1y2jlMs&#10;2SeNfZV95hyxrdlnbFHrY3LJ7zD7vCnW+N6W6v9HmyL7vCW1OKeLpYsRM0sVcM1pM0SbKVtWC2vd&#10;32O7s8+/hlbttmiTxDVwqfP2Sh4fDocHzyZcRURERKS7PEwacItp3VmY0knsuXCoprMYnYdrD+y3&#10;srdB51NaDkb3PIlwiVbFgUsO/q1l7nVgixMSRYtz4RoDlGO1g/w9X8Nj3cI//ee/na77FN/3Jz/y&#10;7DgPcc7ubPALACY79sfTn2/VBz/47W//6ud+/Fk/PVxSiBdtuSKK1qIvF0obJGufbFlt+6eHtn8U&#10;XWbrNtU1JuqnaDGp30NfpWhVmLTFvnercYehXsadWhVLLLU9LQu/9jDuUyxxTMY9NPusWrX3rTW+&#10;t1b3pbFr3KdandPhGm2G1sWeRdyTs887p8W9PLNGoWeItvBS2zBV7bkc2xLXvl62pxGFcCIiIiJb&#10;yLHh9q1RQ24xrTsLUwYQ1uqozFH7F0tbL4oaiu8p28Ypeh9YD606fz0f15eIznC2XXNsfcJs7qDR&#10;1geFa8+FHs732sHXOQPXcbwXMXkRyyhi4i3ujyHuD7GPQtxrysR0XDticDTE+scEWYjvI8RxVTvw&#10;DcDyjt259OewN6VtUtoq0W6JNkwobZoQbZwQ7Z1LCvGi7bRmEV5tf7eHtn+rye74brLl96JFgUUP&#10;fZWi1fcW5vRfrq1136aX7zauWdn6TbVU8WbL4p7QSyFiC1s5JlsU02bLbanl9W0o2hXZ5y2p1Tld&#10;LN2uGWu9/kNzzv8pc0dTrXU9qp03amnuHFTcY1oV5nciCuE++2xyVUREREQ2kdeSRt1iWncWLi2m&#10;6GHg+JTazuI1OuhLaTFYFh2sbNk9aTVY0/NxfalLz+FzlhrAXUvNdWDL2157LlxrIi2+r+IvvvzT&#10;6bpd6pc/+6PP9sO4SG1cqBbne5EtBwDg2g47KtKMNtewAC8MC/Cy4rtwqvgu/NZv/0z6WVNE+zNr&#10;n66lpt8y1FOxWKZFn72nsZqWRQG9f3eZ2mLUsZ7GnVoU2i51XWl1vSjmFmP0qPUxudT1pkVx8NJF&#10;tEsVPV3rPG+xz4trnDOtj+0ilpt93jkt9+fQWvfC1tfRGlPPiWj7xrUpW9ZGPTn2dV5/NqMqIiIi&#10;ItvKsTG32afETRmk7HngpKazGINX2TK3KDp5LYo9ev+r0TgWs/WeY+t/IdtqoGSLg/Jjc4sDr1UU&#10;1kLtufAXfu0nng1+xnJCHAdDsW/iPlHE8VaUycwYHCvKZGcoE6BxTSqydQAAgLX8xZd/6j3Fd6G0&#10;hYcFeOXpwdFfDC0LXub2W4ZifbNl96JFgUXsp2zZ19ByQr2nQr9LxfGWbUuNXsZiasbR4vfiWM+W&#10;20rLfnT047PP2KLWRVyxn7PPqdWiODjuU9myW1mqYGipfXpOy+vVNa7XS1xvQ3wfc9oyca3Olldr&#10;zeMj2nzZOlzDJQWu8T3FtaPl9f/Knh5uCuHuPZtMFREREZFNZrNPiYuB3uwzMlHskC2jB1O2I9P7&#10;YPIULQZbet8fLQdrlh5YWlqrTv0WB+XH5g4aZdsex9hQmQgrE2NFmTCLwdgi1qMok2yhTLyFUmAW&#10;phSZjQvNPvqxD6fbtCXHe2j6c/bB90vvbjtGHb8AnBJt8VDa5qWtXtrwpV0fSlu/tP9/4dMvpMuc&#10;YukinFot+uxrTpZfIr7nbD2n6m27LtHi+xzraSwmti/O0Ww9T4nzfI2ivvic7PPn2OKxd5vYnmw7&#10;51ri+2wxZhfLyJbdUqvr29ga58hY6+vVNbZhqe9j7nV36vXxUjGemn1ea0vcw+aKfZmtY4j1jHZi&#10;62vbFSmEExEREdlTjg28zT4lbkon6xqdwEvVdBZb79NriiKdbBunWGOwpVarwYEtbOttWnzfYamB&#10;0ejMF3H9KM4VlV1SWFYmlIrf+M1Pptt2znPPPfds+3c04AAAsPuizr1vH8vY43FT+jLRRw6nivNi&#10;3KMofajStwqlvzXsh5W+WemzFaUvN+zjlX5f6Qu26LPHcof9y2uK/ZWt4xw9bdelWo3BFHFMZp9z&#10;TXH8xjkQ5814e+Mci5/HuRLHfvb7S2h53IUtHnunxLUs28a54rvPPqdGXD+zz5pijXOl9XFWxPZn&#10;n7e0lterJY6Lc5b6PqJtkH3eOXFtbH0PCGvOxyy1T+cYX4fLvWdH49JPj948trnvH4mIiIjIjrLZ&#10;p8RN6RBcoxN4qRiszdb5EtHhyJa5VdHBzbbzUnFMZMvtSauBrx4HYW9TJhlCXAdCtl1z/NW/9rPP&#10;vvsySVImTspESiiTK0UMiIQyCVNkywcAAIBLfeaX7j/ro4ZLi/fGBXyleO9cAd85LQpbiljf7DN6&#10;Fvs725a5tjION/U4aa3lcRe2eOyd0nrfLDE+GMdO9llTrHGutN6XRVyvs89bWsvrVYyFZp+xpBbH&#10;zSlx/8s+85yljpG56zPVkvt0qmEhYLRTaudxOvP4cDg8uJkuFREREZG95d6xwbfJp8RN6RD0PmBV&#10;89dKexoUis5Uto2Xanl8LSW+r2zdpyrHdJwHxXCQfDh4XgbUYxCgiPUIZUA+lEH6MnA/LDIL5wrN&#10;siKzbN0B2LZj+9ETjgB4l3sCXF/pg5d+eYh++k/99Pen/36On/uFF94dSyhjC2W8oWhRxNdSfG62&#10;LTViu7PP4t9pvd+vVaC0lDg/s+2cI8777DNqtPj+llivsSXO77BEkeElWm9PXH+zz1lS7LtsXWrF&#10;uHX2eZeI8etsmTVq1meqGJPP1mFtcU7HfX6p7/hKFMKJiIiI3JF8NWkMLiIazi07Y1Ma4NFgz5bR&#10;g5oiqS0UgU0RRVjZdl6i9b6IgYhQBnHPFZmFc4Vm8TSzbN2Byx3vW+nPaa92X9+178qxCW05pwBg&#10;n2J8MIwL+EL5A7wY8yvKH+qFGFsp4yxFjL2U8ZhQxmhi3CaWma3DXHsbh1tKy6KJWFb2GVtVM/aZ&#10;WaLwqUXR3hoFWa3P77BGMd8pLYsl1yzaKmLMPFuXWjXfyRKFk2seI0sVfs7x4e/8jvTnGxSFcJ89&#10;EhEREZE7klWfEhcDVVnjfo4Y5Mo+I9PzgFV0bOZ2eK/ZSV/K3L/c+sVP/+n3FKHFAFMR338ZSC2D&#10;q2WwNcT+j31ZZMunT8drWPpzAAAAlqMvxl30wQ9++7vjS6eK9IYFeqUwrxg+Qa/8IWY2NrZ1U8Zs&#10;z9nb2GfrApfY19nn1IjjOvusKeJ4z5bdUpxv2WfXutZ5GdeObH3miLHu7DOW1rKob6imwLLlfi2W&#10;OO9OaXE+8syTY9v19ZgQFREREZG7l1WfEpc17OeYUkjW++DJ3A58FHNly2upDNCVAbvhU9JOPRkt&#10;tmduQdpHP/bhdFsBAAAAYI/KuFiMkYUYLytjaFkR3rAQr4zHlfG5c4V42fhfS/EZ2TbO0fuY7hzx&#10;nWbbOkd8/9ln1Jg7Tj0Ux2C27JZaHmdDaxTzZVpvT00R2Vxx/cnWpVZc97LPu1RcT7PlzhXX6Oxz&#10;lrDUcX6HPD3cFMLdezYTKiIiIiJ3MvGUuKyxuIgYoMka93PE4E/2GZnokGXL6EF0bKZ2zKJw7O/9&#10;/S/MKlK7rUBtWJyWfS4AnogBAADAtmUFeFnx3bDwrow3DovusoK7+N3sM+coy9yL2H/Zds4R31X2&#10;GTVaFOC0HP+/TRy72efXWGvdMy2351rbscR3UlsYG9eobLk11iycbHk9vUMUwomIiIjIe7LJp8TF&#10;QEv2GZnoOGTLaCkGDMKcIrXf+M1Pvv3x55d5rDgAAMA1HPua6c8BAC7x6B+98m7R3V6K41oVDcWY&#10;crb8WrV/KB1j3tlyW4vtzz6/xhpzCKfEfEG2TnMsUSx5iZYFn0O1BWiti8rW3L8tilTvkKdHbx77&#10;oPefzXqKiIiIiLyTVZ8SFx2jrHE/x6UDCPFEtXPFaqVQLZRCtRAdpujkeJrauo7HZfpzgK1zfQMA&#10;gH3S1of1xNhsmPKEu3NPt1tDrE+2PVPEeHRtkdApsS+zz7xU7Pdsua0tUSgU25591hpabk8cH2se&#10;00V8ZquCz6HaY2qJYyWuG9lnLaF1Qd9OPT62wR4ciYiIiIi8P8cG45ujBuRivuu7PvhsAGJchDZW&#10;BiyGSpFaiI7Ap/7cD6WfAQAAANCrg8IpgC5FMdGw0K4U291WaBdKoV04V2hXW3QWn5stt4XYruwz&#10;L7Xm07NaF1/Fd599zlpaFj7FMZl9xtLic7P1qdHie2m9XvFdZZ+zhCUK+nZEIZyIiIiIXJRVnxIH&#10;AAAAAD05KFQEFlSK7cIP/dB3v/3hD39H+u9OiSK9P/jDX1/06XbxFL3ssy+15lPWojgxW4carffn&#10;FC0Ln9Ys2BqL4zRbpxotnsjWuoCyxTpdaoljfeOeHNtsD5/NbIqIiIiIXJJjI/LRqFG5CcdVT38O&#10;AAAAAAB3wbDgbvyEu/KUu+ET7oZPuYtCuPDoH73y9vf/wHeny79ELDMr6FlCFCRl61Ajig2zz1pL&#10;fE/Zek11zafdxT7M1qlGi6cixtMbs2XPtebTED0l7l1PD4fD60f3Yk5TRERERGRK4ilxT0cNTIDV&#10;HK9Dk34OAAAAcBtjCrCOD3zgubd/7Me/Ny3GKwV5RVaYN3wFbSnSG76KNgqthk/HCx//+MfSdZkr&#10;PjcrSFpLy6KtNZ9gNtaqsK9oVXzWer3WLKCM8yRbhztCIZyIiIiINMnrSWNzEcfPSn8OAAAAAMC2&#10;1Y7/Gj9mbZ/4qe9/X+FeMSzgK0ohX1bMVwyL+oaFfePivhBPAmtV5HfNgrjWTzRr9cS71usVxZ/Z&#10;5yzhDj8l7vHxXnD/SERERESkPscG5rdGDU4AgGeOTYX057Bx8ZTkc6KNfJsnF3h8xtcv8CiR/buh&#10;7LMy2TqPZds+lu2/sex7AAAAOnLXxgD2sr0f+ciHnhVrDZ/Wlz21rxgWAWbFgJcUBI6LAn/t8z+R&#10;rttcf/CHv/6+4sI5fuVXfyxd/lx/++/88rvLHhZCDg33SzHed8V4Hw+/g5/58z+crsNORSHcgyMR&#10;ERERkaZ5LWl8AgDAJYZFT6VAalhQVYqvhgVbpbDrzeLYJv3qO+K1GMVr73j4js8OxEBpiL8cLuJ1&#10;GoVsK8Pvbmj4/Rblux8bHh9FOXbGyrE1Njz+inJsvsfw+B0YFi4Ww2M/DIsSw/B8CcNiwzA8x0J2&#10;HgIAAMDWPDn2r6OPLiIiIiKyTKLROWqEAis4nn7p/wb2xfnNQkpxTCmaKcU0WfHZuwU7x+MxinmG&#10;xT6lEKgUCpVComGhUSlEGhYqiUg/GZ6bYVhAGIbncxgWDYZy/g8NCwXD+woEB9eWrAAwK/rLCv2y&#10;6xsAAMCdd+x3pT/fgafv9C+NL4mIiIjI4rmfNEgBALhMi+K0UnQShSilSKUUr5SillLsIiKy12RF&#10;feNCvlOFey2L9hTrAQBwFcd2bPpz2AGFcCIiIiKyfo4N0ZgkyBqo1Y6LT38OAFvhXrZJwyK1swVq&#10;x+9YcZqIiJzKuFBvWKSXFeidK8zLCvJKMZ6CPAB26XhPTH8OwGk7unY+Pm5L9KVERERERNbPsUEa&#10;g/JZQxUAoJVzhWqlWOBUoVopOhgWqZVCNUVqIiKyxwyL8UpBXinYHhfjvacg7537aVaINyzCU4AH&#10;d8DxmpD+PNz23wCAG+6Xs0QhXPRfRERERESum2PjNAbLs0YrALA/pThtXKB2SZFaVqhWJueHRWoK&#10;1URERLaVYQFeKb4rhXel+O7dorvwThtB4R27cTyuL/oZAACpJ8e2U/QbRERERES6yutJ4xUAWM6w&#10;KG1YmDYsSiuFac+K0sLxnj0sShsWpilOExERkd5zW+FdtGluK7wrbSOFdwAA0I+n77ThjT2KiIiI&#10;SNeJwrgYTM4atQDQs1JgNiwyC6XQbFhwlhWdFe8Wn4XjvfG/Pf7f7PMy//r47//u0bAorRSmlaI0&#10;g0MiIiIiy6W0t0rR3dTCu1J8d6rwTvEdAMDGHdt/6c+ZJArhoi1trFNERERENpUYLI4B4jIw/D8d&#10;/S9H/9fx/88avgD0YVgUVgyLw8K4QCyUCb9iWCxWDIvGwnsKx0K5b7yjPMFsqExAFmViMsS9Z2hc&#10;UFaUSc61B1teO25j7IfYh8P9Hfvv68f/HutsAEhERETk7iTafqWN2qr4LpR2e7Q1h219AADoweNj&#10;uzbaviIiIiIiu0sZ2I2B3BjAjYHbYYEAwCWGRVtDZQJoqEwOjZXJo6FhEddQmXQael9RV4jrW2Jc&#10;3FWUia6hMgk2NCz2GiqTZ0PDArChYTFYIdeL/S8iIiIiayTanaVPUPoM0ZcofY3SD4n+ybt9mHf6&#10;N6XvE32iYb8p+lOlvxX9sKzPBgDAlRzbc+nPryTai4+O6xTtUBERERGRO5kYnB0OyA4HYIcDrlmD&#10;GrZkWMBVlMmEoWHxVjGchAjjwq1QJi2G3lO0FeIcGxkXa4UyOTJUztOhcaFWUSZcxsqEzNCwUGtI&#10;RERERERE+k/pw5U+Xun/lf5h6T8O+5el7/lu3/SdPuuwP1v6uqUfXPrHw/5z6VtnfXAAAK7g2Lb7&#10;+0fRLhQRERERkQkZD7KOB1ffN6haHBvi4+Kg4UDreMB1PPCaGf/bJWTrOMV4m98j208jZX+eMhzQ&#10;zpTv5jZlkHyOMtA+RzmOpiqD/eeIiIiIiIiIyLqJ/viwD1/GAMo4wnA8ooxdlDGOd8dD3hk3GY6v&#10;lHGa8diQQj0AgIFjWyraXiIiIiIiIiIiIiIiIiIisvOUP6C7rWDvVNHebYV7p4r3xgV8ivcAgKU9&#10;PbZRPDBARERERERERERERERERES6yiXFe8PCvdrivWHhnuI9ANiurx/v+yIiIiIiIiIiIiIiIiIi&#10;IjIjUwr3xgV7txXrnXrC3rhALysEAIA763hfjXuviIiIiIiIiIiIiIiIiIiIbDynivOyJ+qde5Le&#10;+Cl62ZPzPDEPgN68ebyXiYiIiIiIiIiIiIiIiIiIiFRnXJBXivGyIrys+G5ceOdJeABM8eR4b4n7&#10;kIiIiIiIiIiIiIiIiIiIiMgmouAOgEwUw8W9QURERERERERERERERERERETeydyCu2GxXVBsB7Ce&#10;x8drsmI4ERERERERERERERERERERkRXT+ul2iu2Au+7/eefaKSIiIiIiIiIiIiIiIiIiIiI7Sym4&#10;K8V244K7S4rthgV3iu6AXn3znWuap8KJiIiIiIiIiIiIiIiIiIiIyKxkT7ib+5S7YeFdFN0pvIM7&#10;7njNSH9+9P8e/e9H//Lovzr+u7j+iIiIiIiIiIiIiIiIiIiIiIhsIlF4Ny6+u60A7z1FeOHbbgrx&#10;xsV4tz0Jz9PwoL1S7BriHItzLsT5V87JOD/L+frmO+dwnM9xXsf5Hud+XA9ERERERERERERERERE&#10;RERERKQi5wrzhsV5Q8NCvVKsN/Ru4V7xbd/2bW8M/Dcj/3TkXyT+55H/tbH/ewX/3wTZ79fKtrvG&#10;+Du5RPbdDo2Phcz4+BkeW2+Mjr3xsRnGx+/w2C7HfTkXQjk/yvmieE1EREREBjkc/n/yj0CfOv7L&#10;4QAAAABJRU5ErkJgglBLAwQKAAAAAAAAACEA537WYP8PAQD/DwEAFAAAAGRycy9tZWRpYS9pbWFn&#10;ZTIuc3ZnPHN2ZyB2aWV3Qm94PSIwIDAgNjMwLjM0IDIxMS4xMSIgeG1sbnM9Imh0dHA6Ly93d3cu&#10;dzMub3JnLzIwMDAvc3ZnIiB4bWxuczp4bGluaz0iaHR0cDovL3d3dy53My5vcmcvMTk5OS94bGlu&#10;ayIgaWQ9IkxheWVyXzEiIG92ZXJmbG93PSJoaWRkZW4iPjxkZWZzPjwvZGVmcz48cGF0aCBkPSJN&#10;MTg2LjAxIDE5Ni4yN0MxODYuMDEgMTk2LjI3IDE4Ni4wMSAxOTYuMjcgMTg2LjAxIDE5Ni4yN0wx&#10;ODYuMTUgMTk2LjI3QzE4Ni4xNSAxOTYuMjcgMTg2LjQyIDE5Ni4yNyAxODYuNDIgMTk2LjI3TDE4&#10;Ni42MSAxOTYuMjdDMTg2LjAyIDE5Ni4yNyAxODUuNDMgMTk2LjI5IDE4NC44NSAxOTYuMyAxODUu&#10;MjMgMTk2LjMgMTg1LjYyIDE5Ni4yOSAxODYgMTk2LjI4Wk00NjEuOTEgNC4zNkM0NjIuODIgNC40&#10;IDQ2My42NCA0LjQ4IDQ2NC40MiA0LjYxIDQ2NS45IDQuODYgNDY3LjE0IDUuMTMgNDY4LjMzIDUu&#10;NjEgNDY5Ljg5IDYuMjQgNDcxLjI3IDYuODkgNDcyLjU0IDcuNjEgNDczLjY3IDguMjUgNDc0Ljc3&#10;IDguOTUgNDc1Ljg0IDkuNjNMNDc2LjczIDEwLjE5QzQ3OC4yIDExLjExIDQ3OS42NyAxMi4wNCA0&#10;ODEuMTMgMTIuOTcgNDg0LjM3IDE1LjAzIDQ4Ny44NyAxNy4yMyA0OTEuNSAxOS4zNiA0OTMuNzEg&#10;MjAuNjYgNDk1Ljk0IDIxLjk0IDQ5OC4xNyAyMy4yMiA1MDAuNCAyNC41IDUwMi42MyAyNS43OCA1&#10;MDQuODUgMjcuMDggNTA4LjQ0IDI5LjE4IDUxMy4xOCAzMS45NCA1MTguMDUgMzQuNTYgNTIyLjIy&#10;IDM2LjgyIDUyNi4wNCAzOC44NSA1MjkuNzIgNDAuNzUgNTM0LjM1IDQzLjE1IDUzOS4wMiA0NS42&#10;MiA1NDMuNTMgNDguMDEgNTQ3LjY1IDUwLjE5IDU1MS43NiA1Mi4zNyA1NTUuOTEgNTQuNTMgNTYz&#10;LjUxIDU4LjQ4IDU3MS4wOSA2Mi42NCA1NzguNDIgNjYuNjZMNTgwLjE1IDY3LjYxQzU4NS43OCA3&#10;MC43IDU5MC4zMSA3My4yMyA1OTQuNDEgNzUuNTkgNTk1LjUzIDc2LjIzIDU5Ni42NSA3Ni44NyA1&#10;OTcuNzcgNzcuNTEgNTk5Ljg2IDc4LjcgNjAyLjAyIDc5LjkyIDYwNC4xMSA4MS4xNiA2MDYuMDgg&#10;ODIuMzMgNjA4LjQxIDgzLjczIDYxMC42OCA4NS4yNyA2MTIuNzIgODYuNjYgNjE0LjUzIDg3Ljk0&#10;IDYxNS45MyA4OS41NSA2MTguNTEgOTIuNDkgNjIwLjE1IDk1LjgzIDYyMS43MyA5OS4wN0w2MjEu&#10;NzkgOTkuMTlDNjIyLjE1IDk5LjkzIDYyMi41MyAxMDAuNjcgNjIyLjkgMTAxLjQxIDYyMy4zNyAx&#10;MDIuMzMgNjIzLjg0IDEwMy4yNiA2MjQuMjggMTA0LjE5IDYyNC41NCAxMDQuNzMgNjI0Ljc4IDEw&#10;NS4zMiA2MjUuMDggMTA2LjA5IDYyNS4yNCAxMDYuNTEgNjI1LjMyIDEwNi44NSA2MjUuMzUgMTA3&#10;LjE1IDYyNS40MiAxMDcuODYgNjI1LjQ1IDEwOC40NiA2MjUuMjUgMTA5LjA3IDYyNS4wNCAxMDku&#10;NzQgNjI0LjgxIDExMC40IDYyNC40MSAxMTEuMDUgNjI0LjE5IDExMS40MiA2MjMuOTEgMTExLjc3&#10;IDYyMy42NCAxMTIuMTFMNjIzLjM4IDExMi40NCA2MjMuNjEgMTEyLjEyQzYyMy4wNiAxMTIuODMg&#10;NjIyLjQ0IDExMy41NSA2MjEuNjUgMTE0LjI0IDYyMC42MSAxMTUuMTMgNjE5LjQ1IDExNiA2MTgu&#10;MjEgMTE2LjgxIDYxNS41MSAxMTguNTcgNjEyLjU3IDEyMC4wNSA2MDkuNzggMTIxLjQxIDYwOC44&#10;NyAxMjEuODYgNjA3Ljk1IDEyMi4zMSA2MDcuMDMgMTIyLjc1IDYwNC44MyAxMjMuODIgNjAyLjU2&#10;IDEyNC45MyA2MDAuMzcgMTI2LjA2IDU5Ni42NSAxMjcuOTkgNTkyLjg2IDEzMC4xOCA1ODkuMSAx&#10;MzIuNTggNTg1LjMyIDEzNC45OCA1ODEuNjEgMTM3LjUyIDU3OC4wMiAxMzkuOThMNTc2LjA5IDE0&#10;MS4zQzU3Mi43NiAxNDMuNTggNTY5LjMzIDE0NS44NiA1NjYuMDEgMTQ4LjA2TDU2NC42NiAxNDgu&#10;OTZDNTYyLjk3IDE1MC4wOCA1NjEuMyAxNTEuMjEgNTU5LjYyIDE1Mi4zMyA1NTcuNDcgMTUzLjc3&#10;IDU1NS4zMiAxNTUuMjEgNTUzLjE2IDE1Ni42NCA1NDguNjQgMTU5LjYzIDU0NC4wMSAxNjIuNjEg&#10;NTM5LjM4IDE2NS41MSA1MzQuNTIgMTY4LjU1IDUyOS40NyAxNzEuNTQgNTI0LjU4IDE3NC40NEw1&#10;MjMuNzIgMTc0Ljk1QzUyMC42NyAxNzYuNzYgNTE3LjYgMTc4LjYyIDUxNC42MyAxODAuNDMgNTEz&#10;LjEyIDE4MS4zNSA1MTEuNjIgMTgyLjI2IDUxMC4xIDE4My4xOCA1MDYuMjggMTg1LjQ5IDUwMi40&#10;OCAxODcuNzMgNDk3Ljk3IDE5MC4zNyA0OTMuOTQgMTkyLjczIDQ4OS45OCAxOTUuMDQgNDg1Ljk3&#10;IDE5Ny4yOSA0ODMuNDkgMTk4LjY4IDQ4MC42IDIwMC4yNyA0NzcuNTggMjAxLjY1IDQ3NS42NiAy&#10;MDIuNTMgNDc0LjA3IDIwMy4yMSA0NzIuNTYgMjAzLjc4IDQ3MC45OCAyMDQuMzggNDY5LjIxIDIw&#10;NC44OSA0NjYuOTkgMjA1LjM5IDQ2My41NiAyMDYuMTYgNDYwLjcyIDIwNi42NyA0NTguMDQgMjA3&#10;LjAxIDQ1NSAyMDcuMzkgNDUxLjk2IDIwNy41MSA0NDguMzQgMjA3LjU4IDQ0NS41MSAyMDcuNjMg&#10;NDQyLjYxIDIwNy41NSA0NDAuMDQgMjA3LjQ5IDQzNi44OCAyMDcuNCA0MzMuNzEgMjA3LjI5IDQz&#10;MC41NSAyMDcuMTggNDI5LjE1IDIwNy4xMyA0MjcuNzQgMjA3LjA3IDQyNi4zNCAyMDcuMDIgNDIw&#10;LjY3IDIwNi43OSA0MTQuOSAyMDYuNSA0MDkuMzMgMjA2LjIzIDQwNC4yNCAyMDUuOTggMzk4Ljk4&#10;IDIwNS43MiAzOTMuOCAyMDUuNUwzODguMDUgMjA1LjI2QzM4My41NiAyMDUuMDggMzc5LjA3IDIw&#10;NC44OSAzNzQuNTggMjA0LjY5IDM3MS4zMyAyMDQuNTQgMzY4LjA4IDIwNC40IDM2NC44NCAyMDQu&#10;MjcgMzYxLjg3IDIwNC4xNSAzNTguOTEgMjA0LjAzIDM1NS45NCAyMDMuOTMgMzUwLjI3IDIwMy43&#10;MyAzNDQuNSAyMDMuNTggMzM4LjkzIDIwMy40M0wzMzcuMjkgMjAzLjM5QzMzMS4zOCAyMDMuMjMg&#10;MzI1LjA3IDIwMy4wNyAzMTguNzMgMjAyLjk2IDMwNi42NCAyMDIuNzQgMjk0LjMzIDIwMi43OCAy&#10;ODIuNDMgMjAyLjgyTDI3OS45MyAyMDIuODJDMjcyLjg4IDIwMi44NSAyNjMuNTYgMjAyLjg2IDI1&#10;NC4wNCAyMDIuNyAyNDUuNTkgMjAyLjU2IDIzNi44NSAyMDIuNDIgMjI4LjEgMjAyLjU3IDIyMS4z&#10;OSAyMDIuNzEgMjE0LjU3IDIwMi45IDIwNy45NyAyMDMuMDkgMjAzLjIzIDIwMy4yMiAxOTguNDkg&#10;MjAzLjM2IDE5My43NCAyMDMuNDcgMTg3LjAyIDIwMy42MyAxODAuMyAyMDMuNzMgMTc0LjYyIDIw&#10;My44IDE3Mi4wNyAyMDMuODMgMTY5LjUxIDIwMy44NyAxNjYuOTYgMjAzLjkgMTYyLjk2IDIwMy45&#10;NiAxNTguOTYgMjA0LjAxIDE1NC45NyAyMDQuMDYgMTQyLjkgMjA0LjE5IDEzMC45NiAyMDQuMjMg&#10;MTE5LjQ4IDIwNC4xNiAxMTYuMzggMjA0LjE0IDExMy4yOCAyMDQuMTIgMTEwLjE3IDIwNC4xIDEw&#10;Mi42NyAyMDQuMDQgOTQuOTEgMjAzLjk5IDg3LjI3IDIwNC4wMiA4My44NSAyMDQuMDMgODAuNDMg&#10;MjA0LjA3IDc3LjAyIDIwNC4xIDczLjAyIDIwNC4xNCA2OC44OCAyMDQuMTggNjQuODEgMjA0LjE5&#10;TDYxLjk1IDIwNC4xOUM1OC4yIDIwNC4xOSA1NC4zMyAyMDQuMTkgNTAuNTIgMjA0LjI1IDQ2LjQ2&#10;IDIwNC4zNSA0Mi4zOCAyMDQuNjYgMzguNDIgMjA0Ljk2TDM2LjQ3IDIwNS4xMUMzNS44NyAyMDUu&#10;MTUgMzUuMjggMjA1LjIgMzQuNjggMjA1LjI1IDMyLjg0IDIwNS40IDMwLjkzIDIwNS41NSAyOS4w&#10;NSAyMDUuNTlMMjguNTkgMjA1LjU5QzI4LjEgMjA1LjYyIDI3LjYgMjA1LjY0IDI3LjExIDIwNS42&#10;MSAyNi44OSAyMDUuNjEgMjYuNjYgMjA1LjU4IDI2LjQ0IDIwNS41NiAyNS44MSAyMDUuNDggMjUu&#10;MTkgMjA1LjM2IDI0LjU5IDIwNS4yMiAyNC4wOSAyMDUuMSAyMy41NyAyMDQuODcgMjMuMTEgMjA0&#10;LjY3TDIyLjg0IDIwNC41NUMyMi4xOCAyMDQuMjcgMjEuNjQgMjAzLjg4IDIxLjExIDIwMy40OUwy&#10;MC44NiAyMDMuMzFDMjAuMTMgMjAyLjc5IDE5LjYxIDIwMi4wOCAxOS4xNiAyMDEuNDUgMTguNTMg&#10;MjAwLjU4IDE4LjE2IDE5OS42IDE3LjggMTk4LjY0TDE3LjY2IDE5OC4yN0MxNy4zNyAxOTcuNSAx&#10;Ny4xMiAxOTYuNzIgMTYuOTIgMTk2LjA1IDE2LjMgMTk0IDE1Ljc5IDE5MS45NCAxNS4zOCAxOTAu&#10;MiAxNC43MiAxODcuNDEgMTQuMiAxODQuNjMgMTMuNjkgMTgxLjc4IDEzLjA5IDE3OC40OCAxMi41&#10;OCAxNzUuMDUgMTIuMTcgMTcxLjU3IDExLjcgMTY3LjU5IDExLjI1IDE2My42MSAxMC44MiAxNTku&#10;NjMgMTAuMzUgMTU1LjI4IDEwLjAzIDE1MC41NyA5Ljg1IDE0NS4yNSA5LjUgMTM0LjgzIDkuMzUg&#10;MTI2LjM3IDkuMzggMTE4LjYzIDkuNCAxMTMuOSA5LjU1IDEwOS4xIDkuNjkgMTA0LjQ2IDkuNzYg&#10;MTAyLjE2IDkuODMgOTkuODcgOS44OSA5Ny41N0w5LjkxIDk2LjYyQzEwLjEgODguNzIgMTAuMyA4&#10;MC41NSAxMC4wNCA3Mi41MiA5LjQ5IDU3LjQ2IDguMjMgNDIuNzQgNy4yIDMxLjZMNi45MiAyOC40&#10;N0M2LjYxIDI1LjA3IDYuMyAyMS41NiA1LjkxIDE4LjEyIDUuNzUgMTYuNzEgNS41NiAxNS4xOCA1&#10;LjMgMTMuNDYgNS4xOCAxMi42MyA1LjA1IDExLjggNC45MSAxMC45N0w0Ljg0IDEwLjU1QzQuNzYg&#10;MTAuMDkgNC42OSA5LjYzIDQuNjIgOS4xNyA0LjU5IDguOTkgNC41OCA4LjggNC41NyA4LjYyIDQu&#10;MjggOC41NyAzLjk3IDguNTIgMy42OCA4LjQ1IDIuOTcgOC4yOSAyLjM1IDcuOTEgMi4wNiA3LjQ2&#10;IDEuODMgNy4xIDEuODIgNi43MSAyLjAzIDYuMzQgMi43NSA1LjA3IDQuOTkgNS4wOCA2LjYzIDUu&#10;MDlMNi45NyA1LjA5QzcuMDMgNS4wOSA3LjA4IDUuMDkgNy4xNCA1LjA5IDcuMzEgNS4wMiA3LjQ3&#10;IDQuOTYgNy42MSA0LjkxIDguMzYgNC42OCA5LjE2IDQuNTYgOS43NSA0LjU5IDkuODggNC41OSAx&#10;MCA0LjYxIDEwLjEyIDQuNjNMMTAuNDEgNC42OEMxMS4xNyA0LjggMTEuNjMgNC44OCAxMi4yOSA1&#10;LjE5TDEyLjkzIDUuMjFDMTMuNTcgNS4yMyAxNC4yMSA1LjI1IDE0Ljg1IDUuMjYgMjAuNjcgNS40&#10;IDI2LjU5IDUuNDEgMzIuMzEgNS40MyAzNC41NCA1LjQzIDM2Ljc2IDUuNDMgMzguOTggNS40MyA0&#10;My4wOCA1LjQzIDQ3LjMyIDUuNDMgNTEuNDkgNS40OEw1Mi4wMyA1LjQ4QzU3Ljk5IDUuNTQgNjQu&#10;MTQgNS42IDcwLjIgNS41NyA3Ni4zNSA1LjU0IDgyLjQ5IDUuNDkgODguNjQgNS40NSA5NC43OSA1&#10;LjQgMTAwLjkzIDUuMzYgMTA3LjA4IDUuMzMgMTExLjIxIDUuMzEgMTE1LjM0IDUuMjYgMTE5LjQ2&#10;IDUuMjEgMTIxLjQ0IDUuMTkgMTIzLjQxIDUuMTYgMTI1LjM5IDUuMTQgMTMwLjA0IDUuMDkgMTM0&#10;LjY5IDUuMDcgMTM5LjM0IDUuMDZMMTQ0LjE5IDUuMDRDMTUyLjg0IDUgMTYxLjYzIDQuOTIgMTcw&#10;LjEzIDQuODVMMTgwLjE0IDQuNzZDMTgzLjg2IDQuNzMgMTg3LjU4IDQuNjggMTkxLjMgNC42MyAx&#10;OTQuMTMgNC41OSAxOTYuOTUgNC41NSAxOTkuNzggNC41MiAyMDQuMTIgNC40NyAyMDguNDUgNC40&#10;NSAyMTIuNzkgNC40NCAyMTQuODYgNC40NCAyMTYuOTMgNC40MiAyMTkuMDEgNC40MSAyMjEuMDIg&#10;NC40IDIyMy4wMyA0LjM4IDIyNS4wNCA0LjM2IDIyOC40NiA0LjMzIDIzMS44OCA0LjMgMjM1LjMg&#10;NC4zIDIzNy42NiA0LjMgMjQwLjAxIDQuMyAyNDIuMzcgNC4zIDI0NS41MiA0LjMgMjQ4LjY2IDQu&#10;MzEgMjUxLjgxIDQuMyAyNTUuMzkgNC4yOCAyNTkuMzQgNC4yNCAyNjQuMjIgNC4xNyAyNjQuNDUg&#10;NC4xNSAyNjQuNjcgNC4xNSAyNjQuODkgNC4xNkwyNjkuOTcgNC4wOEMyNzUuMTMgNCAyODAuNDcg&#10;My45MSAyODUuNzIgMy44NyAyOTEuNTcgMy44MiAyOTcuNDEgMy43NSAzMDMuMjYgMy42OEwzMDMu&#10;MzcgMy42OEMzMDUuMTcgMy42NiAzMDYuOTggMy42NCAzMDguNzggMy42MiAzMTIuNTUgMy41OCAz&#10;MTYuMzIgMy41NCAzMjAuMDkgMy40N0wzMTkuNzQgMy40OSAzMjAuNzggMy40NkMzMjYuNTUgMy4z&#10;NSAzMzIuNTIgMy4yMyAzMzguNCAzLjE5IDM0Mi4xMiAzLjE2IDM0NS44NSAzLjE2IDM0OS41NyAz&#10;LjE1IDM1MS44IDMuMTUgMzU0LjAyIDMuMTUgMzU2LjI1IDMuMTQgMzYxLjQ1IDMuMTIgMzY2Ljcz&#10;IDMuMTUgMzcxLjg0IDMuMTlMMzc1Ljc1IDMuMjFDMzgxLjQzIDMuMjQgMzg3LjM0IDMuMzYgMzkz&#10;Ljg0IDMuNTggMzk1LjkxIDMuNjUgMzk3Ljk4IDMuNzMgNDAwLjA1IDMuODFMNDA0LjQ1IDMuOTkg&#10;NDA1LjI3IDQuMDJDNDA2LjkyIDQuMDkgNDA4LjU1IDQuMTYgNDEwLjE4IDQuMjMgNDE0LjAzIDQu&#10;MzkgNDE2Ljk3IDQuNDkgNDE5Ljc0IDQuNTcgNDI0LjI5IDQuNyA0MjguODUgNC43NSA0MzMuMjkg&#10;NC43MyA0MzQuNjYgNC43MyA0MzYuMDQgNC43MyA0MzcuNDEgNC43MiA0NDAuMDMgNC43MiA0NDIu&#10;NzQgNC43MiA0NDUuNDEgNC42NyA0NDUuNDcgNC42NyA0NDUuNTQgNC42NyA0NDUuNiA0LjY3TDQ0&#10;NS43IDQuNjdDNDQ1LjcgNC42NyA0NDUuNyA0LjY3IDQ0NS43IDQuNjcgNDQ2LjI2IDQuNjYgNDQ2&#10;LjgxIDQuNjUgNDQ3LjM3IDQuNjRMNDQ3LjUxIDQuNjRDNDQ3LjUxIDQuNjQgNDQ3LjYzIDQuNjQg&#10;NDQ3LjYzIDQuNjRMNDQ4LjM1IDQuNjRDNDQ4LjM1IDQuNjQgNDQ4LjE1IDQuNjQgNDQ4LjE1IDQu&#10;NjQgNDQ5LjM4IDQuNiA0NTAuNjIgNC41NyA0NTEuODUgNC41NCA0NTMuODQgNC40OSA0NTUuODIg&#10;NC40NCA0NTcuODEgNC40MUw0NTguNzcgNC40MUM0NTkuODIgNC4zOCA0NjAuOSA0LjM2IDQ2MS45&#10;NiA0LjQxWiIgZmlsbD0iI0UzRTg3QiIvPjxwYXRoIGQ9Ik00MjkuOCAxLjM2QzQyOS45IDEuMzYg&#10;NDMwLjAxIDEuMzYgNDMwLjExIDEuMzYgNDMwLjAxIDEuMzYgNDI5LjkgMS4zNiA0MjkuOCAxLjM2&#10;Wk0zOTAuOTkgMC40NEMzOTAuOTMgMC40NCAzOTAuODYgMC40NCAzOTAuOCAwLjQ0IDM5MC45NCAw&#10;LjQ0IDM5MS4wOCAwLjQ0IDM5MS4yMSAwLjQ0IDM5MS4xNCAwLjQ0IDM5MS4wNiAwLjQ0IDM5MC45&#10;OSAwLjQ0Wk0zODkuODcgMC40MiAzODkuODcgMC40MkMzOTAgMC40MiAzOTAuMTIgMC40MiAzOTAu&#10;MjUgMC40MiAzOTAuMTMgMC40MiAzOTAgMC40MiAzODkuODggMC40MlpNMjYuOSA0LjQ0QzI2Ljg0&#10;IDQuNDQgMjYuNzcgNC40NCAyNi43MSA0LjQ0IDI2Ljc3IDQuNDQgMjYuODQgNC40NCAyNi45IDQu&#10;NDRaTTQ2Ni45NyAxLjgyQzQ2OC4zMSAyLjAyIDQ2OS4zNyAyLjc2IDQ2OS41MSAzLjc4IDQ2OS41&#10;OSA0LjM1IDQ2OS4zNiA0LjkzIDQ2OC44NyA1LjM4IDQ2OC4zNCA1Ljg3IDQ2Ny42MyA2LjEgNDY2&#10;LjgxIDYuMjEgNDY1LjM4IDYuMzkgNDYzLjkyIDYuMzQgNDYyLjQ4IDYuMzMgNDYwLjQzIDYuMzEg&#10;NDU4LjM5IDYuMjcgNDU2LjM0IDYuMjIgNDUyLjA5IDYuMTMgNDQ3Ljg0IDYuMDEgNDQzLjU4IDUu&#10;OTIgNDM0LjEzIDUuNzMgNDI0LjY4IDUuNDUgNDE1LjIzIDUuMjUgNDEzLjM3IDUuMjEgNDExLjUy&#10;IDUuMTcgNDA5LjY2IDUuMTQgNDA5LjkxIDUuMTQgNDEwLjE2IDUuMTQgNDEwLjQxIDUuMTUgNDAx&#10;LjU0IDQuOTggMzkyLjY3IDQuNzYgMzgzLjc5IDQuNTggMzgzLjk3IDQuNTggMzg0LjE2IDQuNTgg&#10;Mzg0LjM0IDQuNTkgMzc5LjI2IDQuNSAzNzQuMTggNC40MiAzNjkuMSA0LjM4IDM2NC4wOCA0LjMz&#10;IDM1OS4wNiA0LjM0IDM1NC4wNCA0LjM0IDM0NC4wMSA0LjM0IDMzMy45OCA0LjMgMzIzLjk1IDQu&#10;MyAzMTQuMTYgNC4zIDMwNC4zNyA0LjMgMjk0LjU3IDQuMzcgMjg0Ljc0IDQuNDMgMjc0LjkxIDQu&#10;NDcgMjY1LjA5IDQuNTggMjQ1LjIzIDQuNzkgMjI1LjM4IDQuOTkgMjA1LjUxIDQuOTkgMTk1Ljc1&#10;IDQuOTkgMTg1Ljk5IDUgMTc2LjIzIDUuMDEgMTY1Ljg1IDUuMDIgMTU1LjQ3IDQuOTkgMTQ1LjEg&#10;NC45NiAxMzUuMTMgNC45MyAxMjUuMTcgNC44OSAxMTUuMiA0Ljg3IDEwNS4zIDQuODUgOTUuMzkg&#10;NC44OCA4NS40OSA0Ljg3IDc1LjM1IDQuODUgNjUuMjEgNC44MyA1NS4wNyA0Ljc2IDQ1LjUzIDQu&#10;NjkgMzYgNC42NCAyNi40NiA0LjQ0IDI1LjkgNC40MyAyNS4zNCA0LjQyIDI0Ljc4IDQuNDEgMjQu&#10;OTkgNC40MSAyNS4yMSA0LjQxIDI1LjQyIDQuNDIgMjAuOTQgNC4zMyAxNi40NiA0LjI1IDExLjk4&#10;IDQuMTEgOS43MyA0LjA0IDcuNDcgMy45NiA1LjIyIDMuODIgNC4yNCAzLjc2IDMuMjQgMy42OSAy&#10;LjI3IDMuNTQgMS41NCAzLjQzIDAuNzIgMy4yOSAwLjI1IDIuODItMC4wOSAyLjQ4LTAuMTEgMS45&#10;NSAwLjI4IDEuNjIgMC44MSAxLjE4IDEuNTkgMS4wNyAyLjM2IDAuOTkgMy40OCAwLjg4IDQuNjMg&#10;MC44NyA1Ljc2IDAuODUgNy45NiAwLjggMTAuMTUgMC43OCAxMi4zNiAwLjc3IDE3LjA3IDAuNzQg&#10;MjEuNzggMC43OCAyNi40OSAwLjgxIDM2LjExIDAuODcgNDUuNzMgMC43NyA1NS4zNSAwLjczIDY1&#10;LjM1IDAuNjkgNzUuMzQgMC42NyA4NS4zNCAwLjY4IDk1LjIzIDAuNjggMTA1LjExIDAuNjMgMTE1&#10;LjAxIDAuNjIgMTM1LjM3IDAuNiAxNTUuNzMgMC43NSAxNzYuMSAwLjc0IDE5NS45MSAwLjc0IDIx&#10;NS43MiAwLjY2IDIzNS41MyAwLjU4IDI1NS4yMSAwLjUxIDI3NC44OSAwLjIgMjk0LjU2IDAuMDgg&#10;MzE0LjQ0LTAuMDQgMzM0LjMxIDAuMDQgMzU0LjE4IDAuMDggMzY1Ljk0IDAuMTEgMzc3LjY5IDAu&#10;MTkgMzg5LjQ0IDAuNDIgMzg5LjU4IDAuNDIgMzg5LjcyIDAuNDIgMzg5Ljg2IDAuNDIgMzg5Ljg2&#10;IDAuNDIgMzg5Ljg1IDAuNDIgMzg5Ljg0IDAuNDIgMzg5Ljg0IDAuNDIgMzg5Ljg2IDAuNDIgMzg5&#10;Ljg2IDAuNDIgMzg5Ljk3IDAuNDIgMzkwLjA4IDAuNDIgMzkwLjE5IDAuNDIgMzkwLjMzIDAuNDIg&#10;MzkwLjQ2IDAuNDIgMzkwLjU5IDAuNDIgMzkwLjQ3IDAuNDIgMzkwLjM1IDAuNDIgMzkwLjIzIDAu&#10;NDIgMzkwLjQyIDAuNDIgMzkwLjYgMC40MiAzOTAuNzkgMC40MyAzOTAuNzUgMC40MyAzOTAuNzEg&#10;MC40MyAzOTAuNjcgMC40MyAzOTAuNzcgMC40MyAzOTAuODggMC40MyAzOTAuOTggMC40MyAzOTEu&#10;MTMgMC40MyAzOTEuMjcgMC40MyAzOTEuNDIgMC40NCAzOTEuMzUgMC40NCAzOTEuMjggMC40NCAz&#10;OTEuMiAwLjQ0IDQwNC4yNCAwLjcgNDE3LjI4IDEuMTEgNDMwLjMyIDEuMzdMNDMwLjA5IDEuMzdD&#10;NDMwLjc2IDEuMzcgNDMxLjQyIDEuMzkgNDMyLjA5IDEuNCA0MzEuODQgMS40IDQzMS41OSAxLjQg&#10;NDMxLjM0IDEuMzkgNDM3Ljg0IDEuNTEgNDQ0LjM1IDEuNjYgNDUwLjg2IDEuNjUgNDUzLjc3IDEu&#10;NjUgNDU2LjY3IDEuNjEgNDU5LjU4IDEuNiA0NjAuNzQgMS42IDQ2MS45IDEuNiA0NjMuMDYgMS42&#10;MSA0NjMuNzcgMS42MSA0NjQuNDggMS42MSA0NjUuMTkgMS42NCA0NjUuNzggMS42NiA0NjYuMzYg&#10;MS43MSA0NjYuOTQgMS43OVoiIGZpbGw9IiMwMTAxMDEiLz48cGF0aCBkPSJNNDY4LjEgMy4yOEM0&#10;NjguNTMgMy4zOSA0NjguOTIgMy41NSA0NjkuMyAzLjcyIDQ3MC4zMSA0LjE3IDQ3MS4yOCA0LjY2&#10;IDQ3Mi4yMyA1LjE2IDQ3My44OCA2LjAzIDQ3NS40OCA2Ljk1IDQ3Ny4wNyA3Ljg4IDQ4MC4yNyA5&#10;Ljc0IDQ4My40MSAxMS42OCA0ODYuNTYgMTMuNiA0ODkuNzIgMTUuNTMgNDkyLjg3IDE3LjQ2IDQ5&#10;Ni4wNSAxOS4zNiA0OTkuMjggMjEuMjggNTAyLjUyIDIzLjE5IDUwNS43OCAyNS4wOSA1MTIuMjQg&#10;MjguODUgNTE4LjczIDMyLjU5IDUyNS4yNyAzNi4yOCA1MzEuOTUgNDAuMDUgNTM4LjU2IDQzLjkg&#10;NTQ1LjExIDQ3LjggNTUxLjYyIDUxLjY4IDU1OC4wMyA1NS42NiA1NjQuNSA1OS41NiA1NzEgNjMu&#10;NDggNTc3LjU3IDY3LjMzIDU4NC4wNyA3MS4yNCA1OTAuNDUgNzUuMDcgNTk2Ljc4IDc4Ljk0IDYw&#10;My4xNSA4Mi43OCA2MDUuNzIgODQuMzMgNjA4LjI3IDg1Ljg4IDYxMC44NiA4Ny40IDYxMi4wNiA4&#10;OC4xMSA2MTMuMjcgODguOCA2MTQuNDQgODkuNTIgNjE1LjA1IDg5Ljg5IDYxNS42NCA5MC4yOCA2&#10;MTYuMjUgOTAuNjYgNjE2LjU1IDkwLjg1IDYxNi44NCA5MS4wNCA2MTcuMTQgOTEuMjMgNjE3LjY3&#10;IDkxLjU2IDYxOC4xNCA5MS45NSA2MTguNTggOTIuMzUgNjE5LjQyIDkzLjEyIDYxOS4yOSA5NC4z&#10;NCA2MTguNSA5NS4wOCA2MTcuNzIgOTUuODMgNjE2LjE2IDk2LjIgNjE0Ljk4IDk1Ljc1IDYxNC4z&#10;MyA5NS40OSA2MTMuNzIgOTUuMjEgNjEzLjE0IDk0Ljg3IDYxMi43NSA5NC42NCA2MTIuMzUgOTQu&#10;NDEgNjExLjk2IDk0LjE5IDYxMS4yMSA5My43NiA2MTAuNDggOTMuMzMgNjA5Ljc1IDkyLjg5IDYw&#10;OC4yNCA5MS45NyA2MDYuNzYgOTEuMDMgNjA1LjI1IDkwLjExIDYwMi4xNCA4OC4yMiA1OTkgODYu&#10;MzUgNTk1Ljg4IDg0LjQ3IDU4OS40MiA4MC41NyA1ODIuOTMgNzYuNzEgNTc2LjQyIDcyLjg2IDU2&#10;OS44OSA2OC45OSA1NjMuMzIgNjUuMTcgNTU2Ljg0IDYxLjI2IDU1MC4zNCA1Ny4zMyA1NDMuOTIg&#10;NTMuMzMgNTM3LjQgNDkuNDIgNTMxLjAyIDQ1LjU4IDUyNC41OCA0MS44IDUxOC4xIDM4LjA2IDUx&#10;MS41NyAzNC4zIDUwNS4wMSAzMC41NiA0OTguNTIgMjYuNzYgNDkyLjA2IDIyLjk3IDQ4NS42OSAx&#10;OS4wOCA0NzkuNDEgMTUuMTIgNDc2Ljc1IDEzLjQ0IDQ3NC4xMSAxMS43NSA0NzEuNDcgMTAuMDUg&#10;NDcwLjI1IDkuMjYgNDY5LjAzIDguNDkgNDY3Ljg0IDcuNjggNDY3LjEgNy4xOCA0NjYuMzUgNi42&#10;OCA0NjUuNzIgNi4xIDQ2NS4zMyA1Ljc1IDQ2NS4wMyA1LjMzIDQ2NC45NSA0Ljg3IDQ2NC45MiA0&#10;LjcxIDQ2NC45MyA0LjU1IDQ2NC45NSA0LjQgNDY1LjA0IDMuODUgNDY1LjU1IDMuNDcgNDY2LjE4&#10;IDMuMjMgNDY2LjQ2IDMuMTMgNDY2Ljc2IDMuMSA0NjcuMDYgMy4xMSA0NjcuNDEgMy4xMiA0Njcu&#10;NzYgMy4yIDQ2OC4wOCAzLjI4WiIgZmlsbD0iIzAxMDEwMSIvPjxwYXRoIGQ9Ik0xNzEuOSAxODgu&#10;NDlDMTcyIDE4OC40OSAxNzIuMDkgMTg4LjQ5IDE3Mi4xOSAxODguNDkgMTcyLjA5IDE4OC40OSAx&#10;NzIgMTg4LjQ5IDE3MS45IDE4OC40OVpNMTcwLjIyIDE4OC40NkMxNzAuMDcgMTg4LjQ2IDE2OS45&#10;MiAxODguNDYgMTY5Ljc4IDE4OC40NiAxNjkuOCAxODguNDYgMTY5LjgzIDE4OC40NiAxNjkuODUg&#10;MTg4LjQ2IDE2OS45OCAxODguNDYgMTcwLjEyIDE4OC40NiAxNzAuMjUgMTg4LjQ2IDE3MC4yNSAx&#10;ODguNDYgMTcwLjIzIDE4OC40NiAxNzAuMjIgMTg4LjQ2Wk0xNzEuMzMgMTg4LjQ4QzE3MS4yNCAx&#10;ODguNDggMTcxLjE1IDE4OC40OCAxNzEuMDUgMTg4LjQ4IDE3MS4xNCAxODguNDggMTcxLjIzIDE4&#10;OC40OCAxNzEuMzMgMTg4LjQ4Wk02MTkuMTYgOTUuOTJDNjE5LjE2IDk1LjkyIDYxOS4xNiA5NS45&#10;NSA2MTkuMTYgOTUuOTYgNjE5LjE2IDk1Ljk1IDYxOS4xNiA5NS45NCA2MTkuMTYgOTUuOTMgNjE5&#10;LjE2IDk1LjkzIDYxOS4xNiA5NS45MyA2MTkuMTYgOTUuOTJaTTYxNy4zNyA5NC4wOEM2MTcuODcg&#10;OTQuMjMgNjE4LjMyIDk0LjQ5IDYxOC42MyA5NC44IDYxOC44OCA5NS4wNSA2MTkuMDIgOTUuMyA2&#10;MTkuMSA5NS41NyA2MTkuNDMgOTYuMTkgNjE5LjMxIDk3IDYxOC45NiA5Ny41OSA2MTguNjIgOTgu&#10;MTYgNjE4LjAyIDk4LjU2IDYxNy4zNyA5OC45NSA2MTcuMDIgOTkuMTYgNjE2LjY3IDk5LjM3IDYx&#10;Ni4zMSA5OS41OCA2MTUuNTcgMTAwLjAyIDYxNC44MiAxMDAuNDUgNjE0LjA3IDEwMC44OSA2MTIu&#10;MTQgMTAyLjAyIDYxMC4yOSAxMDMuMjEgNjA4LjQzIDEwNC4zOCA2MDUuNTEgMTA2LjIyIDYwMi41&#10;NCAxMDguMDEgNTk5LjUyIDEwOS43NiA1OTUuMzYgMTEyLjE4IDU5MS4xOCAxMTQuNTggNTg3LjA1&#10;IDExNy4wMyA1NzguNTQgMTIyLjA3IDU3MC4zOCAxMjcuNDIgNTYyLjM5IDEzMi44OSA1NTcuOTUg&#10;MTM1Ljk0IDU1My41MiAxMzguOTkgNTQ4Ljk3IDE0MS45NSA1NDQuNCAxNDQuOTIgNTM5Ljc2IDE0&#10;Ny44NSA1MzUuMDggMTUwLjczIDUzMC41OSAxNTMuNSA1MjYuMDggMTU2LjI0IDUyMS41NCAxNTgu&#10;OTcgNTE3LjkgMTYxLjE3IDUxNC4yNyAxNjMuMzggNTEwLjYyIDE2NS41NyA1MDMuMDQgMTcwLjEg&#10;NDk1LjUxIDE3NC42OSA0ODcuODEgMTc5LjExIDQ4My43IDE4MS40OCA0NzkuNTggMTgzLjg0IDQ3&#10;NS4yNiAxODYgNDcyLjk5IDE4Ny4xNCA0NzAuNiAxODguMTcgNDY4LjE3IDE4OS4xMyA0NjYuODIg&#10;MTg5LjY2IDQ2NS40MSAxOTAuMTUgNDYzLjk4IDE5MC41NiA0NjEuNzkgMTkxLjE3IDQ1OS40OCAx&#10;OTEuNDMgNDU3LjE2IDE5MS41NiA0NTQuNTMgMTkxLjcxIDQ1MS45IDE5MS43NyA0NDkuMjYgMTkx&#10;Ljg1IDQ0NC41NyAxOTIgNDM5Ljg4IDE5Mi4wNCA0MzUuMTkgMTkyLjEyIDQyOS42OCAxOTIuMiA0&#10;MjQuMTggMTkyLjM0IDQxOC42NyAxOTIuNSA0MDYuODIgMTkyLjg0IDM5NC45OCAxOTMuMjEgMzgz&#10;LjExIDE5My4zMyAzNzAuODggMTkzLjQ2IDM1OC42NCAxOTMuNTcgMzQ2LjQgMTkzLjQ1IDMzNC4x&#10;MyAxOTMuMzMgMzIxLjg3IDE5My4wNyAzMDkuNjEgMTkyLjc3IDI5Ny4yNyAxOTIuNDYgMjg0Ljkz&#10;IDE5Mi4xOCAyNzIuNiAxOTEuNzkgMjYwLjU3IDE5MS40MSAyNDguNTUgMTkwLjkzIDIzNi41MyAx&#10;OTAuNDUgMjI1Ljc2IDE5MC4wMiAyMTQuOTcgMTg5LjcyIDIwNC4xOSAxODkuMzggMTkzLjUyIDE4&#10;OS4wNCAxODIuODYgMTg4LjczIDE3Mi4xOSAxODguNTEgMTcyLjMzIDE4OC41MSAxNzIuNDcgMTg4&#10;LjUxIDE3Mi42IDE4OC41MSAxNzIuMjUgMTg4LjUxIDE3MS45IDE4OC41IDE3MS41NSAxODguNDkg&#10;MTcxLjI5IDE4OC40OSAxNzEuMDMgMTg4LjQ5IDE3MC43NyAxODguNDggMTcwLjg0IDE4OC40OCAx&#10;NzAuOTIgMTg4LjQ4IDE3MC45OSAxODguNDggMTcwLjkgMTg4LjQ4IDE3MC44IDE4OC40OCAxNzAu&#10;NzEgMTg4LjQ4IDE3MC40OCAxODguNDggMTcwLjI1IDE4OC40OCAxNzAuMDMgMTg4LjQ3IDE3MC4x&#10;IDE4OC40NyAxNzAuMTYgMTg4LjQ3IDE3MC4yMyAxODguNDcgMTcwLjI1IDE4OC40NyAxNzAuMjYg&#10;MTg4LjQ3IDE3MC4yOCAxODguNDcgMTcwLjI4IDE4OC40NyAxNzAuMjcgMTg4LjQ3IDE3MC4yNiAx&#10;ODguNDcgMTcwLjI4IDE4OC40NyAxNzAuMjkgMTg4LjQ3IDE3MC4zMSAxODguNDcgMTcwLjM4IDE4&#10;OC40NyAxNzAuNDQgMTg4LjQ3IDE3MC41MSAxODguNDcgMTcwLjI5IDE4OC40NyAxNzAuMDggMTg4&#10;LjQ3IDE2OS44NiAxODguNDZMMTY5LjU0IDE4OC40NkMxNjkuNjIgMTg4LjQ2IDE2OS43MSAxODgu&#10;NDYgMTY5Ljc5IDE4OC40NiAxNTcuODYgMTg4LjIzIDE0NS45MiAxODguMDkgMTMzLjk4IDE4OC4w&#10;MyAxMjEuNzcgMTg3Ljk3IDEwOS41NiAxODguMDggOTcuMzUgMTg4LjQ2IDg1LjExIDE4OC44NSA3&#10;Mi44OSAxODkuNTQgNjAuNjUgMTg5LjgxIDU0LjcyIDE4OS45NCA0OC43OCAxOTAgNDIuODUgMTkw&#10;LjEzIDM3LjE1IDE5MC4yNSAzMS40MyAxOTAuMzIgMjUuNzMgMTkwLjUxIDIyLjYyIDE5MC42MSAx&#10;OS41MSAxOTAuNzggMTYuMzkgMTkwLjkxIDE1LjMgMTkwLjk2IDE0LjIgMTkwLjk5IDEzLjExIDE5&#10;MC45NCAxMS45OCAxOTAuODggMTAuNzUgMTkwLjMyIDEwLjkxIDE4OS4zOCAxMS4wNCAxODguNjcg&#10;MTEuODggMTg4LjI0IDEyLjY4IDE4Ny45NCAxMy40OSAxODcuNjUgMTQuMzQgMTg3LjQ0IDE1LjIx&#10;IDE4Ny4yOCAxNy45MSAxODYuNzYgMjAuNjkgMTg2LjQ1IDIzLjQ2IDE4Ni4yMSAyOS4xNiAxODUu&#10;NzEgMzQuODggMTg1LjUxIDQwLjYxIDE4NS4zNCA1Mi40NiAxODUgNjQuMyAxODQuNiA3Ni4xMiAx&#10;ODMuOTEgODguNjEgMTgzLjE4IDEwMS4wOSAxODIuNSAxMTMuNjIgMTgyLjM0IDEyNS43NiAxODIu&#10;MTggMTM3LjkgMTgyLjM0IDE1MC4wNCAxODIuNTUgMTU2LjI1IDE4Mi42NiAxNjIuNDUgMTgyLjgg&#10;MTY4LjY2IDE4Mi45NSAxNzQuNjggMTgzLjA5IDE4MC43IDE4My4yMSAxODYuNzIgMTgzLjM3IDE5&#10;Mi45MyAxODMuNTMgMTk5LjE1IDE4My43NCAyMDUuMzYgMTgzLjk0IDIxMS4zNyAxODQuMTMgMjE3&#10;LjM4IDE4NC4yOSAyMjMuMzkgMTg0LjQ3IDIzNS41NCAxODQuODMgMjQ3LjY4IDE4NS4zMyAyNTku&#10;ODIgMTg1Ljc0IDI3Mi4xIDE4Ni4xNiAyODQuMzggMTg2LjQ3IDI5Ni42NyAxODYuNzUgMzA3LjA5&#10;IDE4Ni45OCAzMTcuNTEgMTg3LjIyIDMyNy45MiAxODcuNDMgMzI3LjU4IDE4Ny40MyAzMjcuMjUg&#10;MTg3LjQyIDMyNi45MSAxODcuNDEgMzI4IDE4Ny40MyAzMjkuMSAxODcuNDUgMzMwLjE5IDE4Ny40&#10;NyAzMjkuODUgMTg3LjQ3IDMyOS41MSAxODcuNDYgMzI5LjE3IDE4Ny40NSAzMzUuMTkgMTg3LjU3&#10;IDM0MS4yMiAxODcuNjcgMzQ3LjI0IDE4Ny42OSAzNTMuMzcgMTg3LjcxIDM1OS40OSAxODcuNjcg&#10;MzY1LjYxIDE4Ny42MiAzNzcuNTYgMTg3LjUzIDM4OS41MSAxODcuNDkgNDAxLjQ1IDE4Ny4yNiA0&#10;MDcuNTEgMTg3LjE0IDQxMy41NyAxODYuOTUgNDE5LjYyIDE4Ni44NCA0MjUuMTQgMTg2Ljc0IDQz&#10;MC42NiAxODYuNyA0MzYuMTggMTg2LjU3IDQzOC43OCAxODYuNSA0NDEuMzcgMTg2LjQyIDQ0My45&#10;NyAxODYuMzUgNDQ1Ljc5IDE4Ni4zIDQ0Ny42MSAxODYuMjYgNDQ5LjQzIDE4Ni4xOCA0NTEuOTQg&#10;MTg2LjA3IDQ1NC40NSAxODUuODggNDU2Ljk0IDE4NS42NCA0NTguMjcgMTg1LjUxIDQ1OS42MyAx&#10;ODUuNDEgNDYwLjk1IDE4NS4yMiA0NjEuNzQgMTg1LjA3IDQ2Mi41MiAxODQuODggNDYzLjI5IDE4&#10;NC42NyA0NjQuNDUgMTg0LjM2IDQ2NS41NCAxODMuOTUgNDY2LjYzIDE4My41MiA0NzEuMDMgMTgx&#10;LjczIDQ3NS4wOCAxNzkuNTcgNDc5LjA2IDE3Ny4zMiA0ODMuMDMgMTc1LjA4IDQ4Ni45NSAxNzIu&#10;NzkgNDkwLjgzIDE3MC40NiA0OTguMiAxNjYuMDMgNTA1LjUgMTYxLjUyIDUxMi43NSAxNTYuOTgg&#10;NTIxLjU0IDE1MS40OCA1MzAuMzQgMTQ1Ljk5IDUzOS4wNyAxNDAuNDMgNTQ4LjMgMTM0LjU1IDU1&#10;Ny4xNiAxMjguMzggNTY2LjI0IDEyMi4zOCA1NzMuODggMTE3LjMzIDU4MS44IDExMi41MiA1ODku&#10;ODYgMTA3LjgzIDU5My41OSAxMDUuNjYgNTk3LjMgMTAzLjQ4IDYwMS4wNyAxMDEuMzYgNjAzLjMy&#10;IDEwMC4wOSA2MDUuNiA5OC44NSA2MDcuODIgOTcuNTQgNjA4LjkyIDk2Ljg5IDYxMCA5Ni4yNCA2&#10;MTEuMDkgOTUuNTkgNjExLjU3IDk1LjMxIDYxMi4wNSA5NS4wMyA2MTIuNTMgOTQuNzUgNjEyLjc0&#10;IDk0LjYzIDYxMi45NiA5NC41IDYxMy4xNyA5NC4zOCA2MTMuODkgOTMuOTUgNjE0Ljg3IDkzLjc1&#10;IDYxNS44MiA5My43OSA2MTYuMzcgOTMuODEgNjE2LjkgOTMuOTEgNjE3LjM4IDk0LjFaIiBmaWxs&#10;PSIjMDEwMTAxIi8+PHBhdGggZD0iTTkuNTIgMTg0LjQ5IDkuNTQgMTg0LjU2QzkuNTQgMTg0LjU2&#10;IDkuNTQgMTg0LjU2IDkuNTQgMTg0LjU2IDkuNTggMTg0LjcyIDkuNjEgMTg0Ljg3IDkuNjUgMTg1&#10;LjAzIDkuNjEgMTg0Ljg1IDkuNTcgMTg0LjY4IDkuNTMgMTg0LjVaTTMuMTMgMS43MUMzLjQ2IDEu&#10;OTcgMy42MiAyLjI2IDMuNzEgMi42MSAzLjgzIDMuMDkgMy45MiAzLjU3IDMuOTkgNC4wNiA0LjE0&#10;IDQuOTYgNC4yNSA1Ljg2IDQuMzcgNi43NiA0LjYxIDguNiA0Ljg3IDEwLjQ0IDUuMSAxMi4yOSA1&#10;LjU3IDE2IDUuODkgMTkuNzEgNi4xOCAyMy40MyA2LjQ4IDI3LjI3IDYuODQgMzEuMTEgNy4xNCAz&#10;NC45NSA3LjQ0IDM4Ljg2IDcuNjQgNDIuNzcgNy44IDQ2LjY4IDcuOTUgNTAuNTYgNy45OSA1NC40&#10;MyA4LjA3IDU4LjMxIDguMTUgNjIuMjcgOC4zMiA2Ni4yMiA4LjU2IDcwLjE3IDguNzkgNzMuOTkg&#10;OS4wNyA3Ny44MiA5LjM1IDgxLjY1IDkuNjMgODUuNjEgOS44NyA4OS41NyAxMC4wNiA5My41NCAx&#10;MC4yNCA5Ny4zNiAxMC40MSAxMDEuMTcgMTAuNTQgMTA0Ljk5IDEwLjY3IDEwOC44NCAxMC43NiAx&#10;MTIuNjggMTAuOTEgMTE2LjUzIDExLjA2IDEyMC41OSAxMS4yMSAxMjQuNjUgMTEuMzQgMTI4Ljcx&#10;IDExLjQ3IDEzMi41OSAxMS42NSAxMzYuNDggMTEuOCAxNDAuMzYgMTIuMDcgMTQ3Ljg5IDEyLjA4&#10;IDE1NS40MSAxMi40NCAxNjIuOTMgMTIuNTMgMTY0LjgyIDEyLjYyIDE2Ni43MSAxMi43NCAxNjgu&#10;NiAxMi44NCAxNzAuMzQgMTIuOTkgMTcyLjA4IDEzLjE0IDE3My44MSAxMy4zNyAxNzYuNjYgMTMu&#10;NTMgMTc5LjUzIDE0LjEgMTgyLjM2IDE0LjIxIDE4Mi45MSAxNC4zMiAxODMuNDYgMTQuNDMgMTg0&#10;IDE0LjQ5IDE4NC4yMSAxNC41NiAxODQuNDMgMTQuNTYgMTg0LjY0IDE0LjU4IDE4NC45NSAxNC40&#10;OCAxODUuMjUgMTQuMjggMTg1LjU0IDE0LjE2IDE4NS42NyAxNC4wNCAxODUuOCAxMy45MSAxODUu&#10;OTMgMTMuNiAxODYuMTggMTMuMjMgMTg2LjM1IDEyLjggMTg2LjQ1IDEyLjYgMTg2LjUxIDEyLjM4&#10;IDE4Ni41MyAxMi4xNyAxODYuNTMgMTEuNzQgMTg2LjUzIDExLjMzIDE4Ni40NyAxMC45NCAxODYu&#10;MzMgMTAuMzMgMTg2LjEgOS45NCAxODUuNzEgOS43MSAxODUuMjUgOS42MiAxODUuMDggOS42IDE4&#10;NC44OSA5LjU3IDE4NC43IDkuNDggMTg0LjM1IDkuMzkgMTg0LjAxIDkuMzMgMTgzLjY2IDkuMjcg&#10;MTgzLjI3IDkuMjEgMTgyLjg5IDkuMTYgMTgyLjUgOS4wMSAxODEuMzMgOC44NiAxODAuMTUgOC42&#10;OSAxNzguOTggOC4yIDE3NS41OCA4LjEyIDE3Mi4xNSA3LjgzIDE2OC43NCA3LjY4IDE2Ni44NSA3&#10;LjUgMTY0Ljk2IDcuMzcgMTYzLjA4IDcuMjUgMTYxLjI0IDcuMTggMTU5LjQgNy4xMSAxNTcuNTYg&#10;Ni45NyAxNTMuNzQgNi45OSAxNDkuOTEgNi45NCAxNDYuMDggNi44OSAxNDIuMjQgNi43MiAxMzgu&#10;NDEgNi41NyAxMzQuNTcgNi40MSAxMzAuNjYgNi4yOSAxMjYuNzUgNi4xNCAxMjIuODQgNS45OCAx&#10;MTguODkgNS43OSAxMTQuOTQgNS42NyAxMTAuOTggNS41NSAxMDcuMTQgNS40NSAxMDMuMyA1LjI2&#10;IDk5LjQ2IDUuMDcgOTUuNTMgNC44OSA5MS42MSA0LjYgODcuNjggNC4zMiA4My44MSAzLjk0IDc5&#10;Ljk1IDMuNTkgNzYuMDggMy4yMyA3Mi4xIDIuOTEgNjguMTEgMi43IDY0LjEyIDIuNDggNjAuMTkg&#10;Mi40IDU2LjI3IDIuMzEgNTIuMzQgMi4xMiA0NC42NiAxLjcgMzYuOTggMS4yNCAyOS4zMSAxLjAx&#10;IDI1LjUyIDAuODMgMjEuNzIgMC42OCAxNy45MyAwLjYxIDE2LjEgMC41NCAxNC4yOCAwLjQ5IDEy&#10;LjQ1IDAuNDQgMTAuNiAwLjM5IDguNzUgMC40NyA2LjkgMC41MSA1Ljk5IDAuNTYgNS4wOSAwLjY1&#10;IDQuMTkgMC43IDMuNzMgMC43NiAzLjI3IDAuODQgMi44MSAwLjkxIDIuNDYgMS4wNCAyLjA5IDEu&#10;MzcgMS44MSAxLjYyIDEuNjEgMi4wMiAxLjQ5IDIuNDEgMS41MSAyLjY5IDEuNTIgMi45NSAxLjYg&#10;My4xNCAxLjc1WiIgZmlsbD0iIzAxMDEwMSIvPjxwYXRoIGQ9Ik01MzcuNTMgMTcyLjI0QzUzNy41&#10;MyAxNzIuMjQgNTM3LjUzIDE3Mi4yNCA1MzcuNTMgMTcyLjI0IDUzNy41MyAxNzIuMjQgNTM3LjUy&#10;IDE3Mi4yNCA1MzcuNTEgMTcyLjI1IDUzNy41MSAxNzIuMjUgNTM3LjUxIDE3Mi4yNSA1MzcuNTEg&#10;MTcyLjI1IDUzNy41MSAxNzIuMjUgNTM3LjUzIDE3Mi4yNCA1MzcuNTMgMTcyLjIzWk01ODAuMjMg&#10;MTM2LjAyQzU4MC4xMSAxMzYuMDkgNTc5Ljk5IDEzNi4xNyA1NzkuODcgMTM2LjI1IDU3OS45OSAx&#10;MzYuMTcgNTgwLjEgMTM2LjEgNTgwLjIzIDEzNi4wMlpNNjI3LjU1IDExMC40OUM2MjcuNTEgMTEw&#10;Ljc5IDYyNy40NiAxMTEuMDkgNjI3LjQyIDExMS40IDYyNC4xNiAxMTMuNzggNjIwLjc5IDExNi4w&#10;OSA2MTcuNCAxMTguMzggNjEzLjkgMTIwLjc1IDYxMC4zNCAxMjMuMDcgNjA2LjgzIDEyNS40MyA2&#10;MDMuMjEgMTI3Ljg2IDU5OS41OCAxMzAuMjkgNTk1Ljk0IDEzMi43MSA1OTAuMDUgMTM2LjYyIDU4&#10;NC4xNyAxNDAuNTMgNTc4LjE3IDE0NC4zNSA1NzguNCAxNDQuMiA1NzguNjQgMTQ0LjA1IDU3OC44&#10;NyAxNDMuOSA1NzUuODMgMTQ1Ljg0IDU3Mi43NCAxNDcuNzUgNTY5LjY3IDE0OS42OCA1NjkuOSAx&#10;NDkuNTQgNTcwLjEyIDE0OS4zOSA1NzAuMzQgMTQ5LjI1IDU3MC4wMyAxNDkuNDUgNTY5LjczIDE0&#10;OS42NCA1NjkuNDIgMTQ5Ljg0IDU2OS40MyAxNDkuODQgNTY5LjQ0IDE0OS44MyA1NjkuNDUgMTQ5&#10;LjgyIDU2Mi4wNSAxNTQuNTQgNTU1LjM1IDE1OS43OCA1NDguNDUgMTY0Ljg4IDU0NS4xNyAxNjcu&#10;MzEgNTQxLjcgMTY5LjU5IDUzOC4xOSAxNzEuODMgNTM4LjI2IDE3MS43OSA1MzguMzIgMTcxLjc1&#10;IDUzOC4zOCAxNzEuNzEgNTM4LjIgMTcxLjgyIDUzOC4wMSAxNzEuOTQgNTM3LjgzIDE3Mi4wNiA1&#10;MzcuODMgMTcyLjA2IDUzNy44MyAxNzIuMDYgNTM3LjgzIDE3Mi4wNiA1MzcuODMgMTcyLjA2IDUz&#10;Ny44MiAxNzIuMDYgNTM3LjgxIDE3Mi4wNyA1MzcuODEgMTcyLjA3IDUzNy43OSAxNzIuMDggNTM3&#10;Ljc4IDE3Mi4wOSA1MzcuNzggMTcyLjA5IDUzNy43OCAxNzIuMDkgNTM3Ljc4IDE3Mi4wOSA1Mzcu&#10;NzcgMTcyLjA5IDUzNy43NiAxNzIuMSA1MzcuNzUgMTcyLjExIDUzNy43MyAxNzIuMTMgNTM3Ljcg&#10;MTcyLjE0IDUzNy42OCAxNzIuMTYgNTM3LjY2IDE3Mi4xOCA1MzcuNjMgMTcyLjE5IDUzNy42MSAx&#10;NzIuMjEgNTM3LjYzIDE3Mi4yIDUzNy42NSAxNzIuMTggNTM3LjY4IDE3Mi4xNyA1MzcuNjUgMTcy&#10;LjE5IDUzNy42MSAxNzIuMjEgNTM3LjU4IDE3Mi4yMyA1MzcuNTggMTcyLjIzIDUzNy41OSAxNzIu&#10;MjMgNTM3LjYgMTcyLjIyIDUzNy40NSAxNzIuMzEgNTM3LjMxIDE3Mi40MSA1MzcuMTYgMTcyLjUg&#10;NTM3LjI3IDE3Mi40MyA1MzcuMzcgMTcyLjM2IDUzNy40OCAxNzIuMjkgNTM3LjQ4IDE3Mi4yOSA1&#10;MzcuNDggMTcyLjI5IDUzNy40OCAxNzIuMjkgNTM3LjQ4IDE3Mi4yOSA1MzcuNDggMTcyLjI5IDUz&#10;Ny40OCAxNzIuMjlMNTM3LjUgMTcyLjI5QzUzNy41IDE3Mi4yOSA1MzcuNSAxNzIuMjkgNTM3LjUg&#10;MTcyLjI5IDUzNy41IDE3Mi4yOSA1MzcuNSAxNzIuMjkgNTM3LjQ5IDE3Mi4yOSA1MzcuNDkgMTcy&#10;LjI5IDUzNy40OSAxNzIuMjkgNTM3LjQ5IDE3Mi4yOSA1MzcuNDkgMTcyLjI5IDUzNy40OSAxNzIu&#10;MjkgNTM3LjQ5IDE3Mi4yOSA1MjkuODggMTc3LjE2IDUyMi4wOSAxODEuODYgNTE0LjE3IDE4Ni40&#10;NiA1MTAuMzQgMTg4LjY4IDUwNi40NiAxOTAuODUgNTAyLjU4IDE5My4wMyA0OTguODQgMTk1LjE0&#10;IDQ5NS4wNSAxOTcuMjEgNDkxLjI0IDE5OS4yNiA0ODguNTkgMjAwLjY5IDQ4NS45MiAyMDIuMSA0&#10;ODMuMjggMjAzLjU1IDQ4Mi4wMSAyMDQuMjUgNDgwLjc0IDIwNC45NiA0NzkuNDggMjA1LjY2IDQ3&#10;OC45MyAyMDUuOTcgNDc4LjM3IDIwNi4yOCA0NzcuODIgMjA2LjU5IDQ3Ni45NSAyMDcuMDggNDc2&#10;LjEzIDIwNy42MiA0NzUuMDYgMjA3Ljg1IDQ3My43NCAyMDguMTMgNDcyLjM2IDIwNy45OCA0NzEu&#10;MzEgMjA3LjMgNDcwLjA5IDIwNi41MSA0NjkuNTggMjA1LjAzIDQ3MC40NCAyMDMuOTYgNDcwLjY4&#10;IDIwMy42NiA0NzAuOSAyMDMuMzUgNDcxLjI1IDIwMy4xMSA0NzEuNTcgMjAyLjkgNDcxLjkgMjAy&#10;LjY4IDQ3Mi4yNCAyMDIuNDggNDcyLjQ1IDIwMi4zNiA0NzIuNjYgMjAyLjI0IDQ3Mi44NiAyMDIu&#10;MTMgNDczLjIzIDIwMS45MiA0NzMuNiAyMDEuNzEgNDczLjk4IDIwMS41IDQ3NC44MSAyMDEuMDQg&#10;NDc1LjY0IDIwMC41OCA0NzYuNDcgMjAwLjEzIDQ3OC4zMSAxOTkuMTIgNDgwLjE1IDE5OC4xMiA0&#10;ODEuOTkgMTk3LjExIDQ4NS43OSAxOTUuMDMgNDg5LjYyIDE5Mi45NyA0OTMuNDggMTkwLjk0IDQ5&#10;Ny40MiAxODguODYgNTAxLjI5IDE4Ni43MyA1MDUuMTYgMTg0LjU4IDUwOC45OSAxODIuNDUgNTEy&#10;Ljg0IDE4MC4zNSA1MTYuNjcgMTc4LjIyIDUxOS44NCAxNzYuNDYgNTIyLjk0IDE3NC42NCA1MjYu&#10;MDIgMTcyLjggNTI4Ljg2IDE3MS4xMSA1MzEuNjkgMTY5LjQxIDUzNC40NiAxNjcuNjcgNTM4LjAz&#10;IDE2NS4zOCA1NDEuNDggMTYyLjk4IDU0NC44NiAxNjAuNTQgNTQ4LjM0IDE1OC4wMyA1NTEuNzMg&#10;MTU1LjQ1IDU1NS4yIDE1Mi45NCA1NTguMTggMTUwLjc3IDU2MS4xNyAxNDguNjEgNTY0LjIzIDE0&#10;Ni41IDU2Ny40MyAxNDQuMjggNTcwLjcgMTQyLjEyIDU3NC4wMSAxNDBMNTc0LjAxIDE0MEM1NzQu&#10;MDEgMTQwIDU3NC4wMSAxNDAgNTc0LjAxIDE0MCA1NzQuMDggMTM5Ljk2IDU3NC4xNSAxMzkuOTEg&#10;NTc0LjIxIDEzOS44NyA1NzQuMjEgMTM5Ljg3IDU3NC4xOSAxMzkuODggNTc0LjE4IDEzOS44OSA1&#10;NzQuMjIgMTM5Ljg2IDU3NC4yNyAxMzkuODMgNTc0LjMxIDEzOS44MSA1NzQuMjkgMTM5LjgyIDU3&#10;NC4yNyAxMzkuODQgNTc0LjI1IDEzOS44NSA1NzQuMyAxMzkuODEgNTc0LjM2IDEzOS43OCA1NzQu&#10;NDEgMTM5Ljc0IDU3NC41NSAxMzkuNjUgNTc0LjcgMTM5LjU2IDU3NC44NCAxMzkuNDcgNTc0Ljgy&#10;IDEzOS40OCA1NzQuOCAxMzkuNDkgNTc0Ljc5IDEzOS41IDU3Ni4xNiAxMzguNjMgNTc3LjU0IDEz&#10;Ny43NiA1NzguOTEgMTM2Ljg5IDU3OC45NCAxMzYuODcgNTc4Ljk2IDEzNi44NiA1NzguOTkgMTM2&#10;Ljg0IDU3OC45NiAxMzYuODYgNTc4Ljk0IDEzNi44NyA1NzguOTEgMTM2Ljg5IDU3OS4wNSAxMzYu&#10;OCA1NzkuMiAxMzYuNzEgNTc5LjM0IDEzNi42MiA1NzkuNDEgMTM2LjU4IDU3OS40NyAxMzYuNTMg&#10;NTc5LjU0IDEzNi40OUw1NzkuNTMgMTM2LjQ5QzU4My4zIDEzNC4wOCA1ODcgMTMxLjYxIDU5MC42&#10;OSAxMjkuMTMgNTk0LjI3IDEyNi43MyA1OTcuOCAxMjQuMjggNjAxLjM4IDEyMS44NyA2MDQuOTgg&#10;MTE5LjQ1IDYwOC42MiAxMTcuMDYgNjEyLjMxIDExNC43IDYxMi41NCAxMTQuNTUgNjEyLjc3IDEx&#10;NC40MSA2MTMgMTE0LjI2IDYxNy41NCAxMTEuMzYgNjIyLjMxIDEwOC42NiA2MjYuODggMTA1Ljc4&#10;IDYyNi45MiAxMDUuNzYgNjI2Ljk1IDEwNS43MyA2MjYuOTkgMTA1LjcxIDYyNi45OSAxMDUuNzEg&#10;NjI2Ljk4IDEwNS43MSA2MjYuOTcgMTA1LjcyIDYyNi45NyAxMDUuNzIgNjI2Ljk4IDEwNS43MiA2&#10;MjYuOTkgMTA1LjcxIDYyNy4zNSAxMDUuNDggNjI3LjcgMTA1LjI1IDYyOC4wNiAxMDUuMDIgNjI3&#10;LjkyIDEwNi44NSA2MjcuOCAxMDguNjkgNjI3LjU1IDExMC41MVoiIGZpbGw9IiMwMTAxMDEiLz48&#10;cGF0aCBkPSJNNDc0LjE4IDIwNS40NUM0NzQuOTggMjA1Ljk1IDQ3NS40OCAyMDYuNjcgNDc1LjU3&#10;IDIwNy40MyA0NzUuNjcgMjA4LjIyIDQ3NS4zMiAyMDkuMDIgNDc0LjYxIDIwOS42MiA0NzQuMzUg&#10;MjA5Ljc5IDQ3NC4xIDIwOS45NiA0NzMuODQgMjEwLjEzIDQ3My4yNSAyMTAuNDMgNDcyLjYgMjEw&#10;LjYgNDcxLjkgMjEwLjY0IDQ3MS4zNyAyMTAuNzIgNDcwLjggMjEwLjcyIDQ3MC4yNiAyMTAuNzQg&#10;NDY5LjY1IDIxMC43NyA0NjkuMDMgMjEwLjc5IDQ2OC40MiAyMTAuODIgNDY3IDIxMC44NyA0NjUu&#10;NTggMjEwLjkgNDY0LjE2IDIxMC45MyA0NjAuMjMgMjExLjAyIDQ1Ni4zIDIxMS4wNCA0NTIuMzcg&#10;MjExLjA2IDQ0My44NSAyMTEuMDkgNDM1LjMzIDIxMS4xMyA0MjYuOCAyMTEuMDcgNDEzLjIzIDIx&#10;MC45OCAzOTkuNjkgMjEwLjM5IDM4Ni4xNSAyMDkuNzkgMzgxLjM0IDIwOS41OCAzNzYuNTMgMjA5&#10;LjM3IDM3MS43MiAyMDkuMTggMzY5Ljk4IDIwOS4xMSAzNjguMjUgMjA5LjA1IDM2Ni41MSAyMDgu&#10;OTkgMzQ4LjY0IDIwOC40IDMzMC43NSAyMDguMTcgMzEyLjg4IDIwNy42MSAzMDAuMDQgMjA3LjIx&#10;IDI4Ny4yMSAyMDYuNiAyNzQuMzggMjA2LjE1IDI3NC43NyAyMDYuMTYgMjc1LjE2IDIwNi4xOCAy&#10;NzUuNTUgMjA2LjE5IDI2Ni4xMyAyMDUuODcgMjU2LjcxIDIwNS41OCAyNDcuMjggMjA1LjQgMjM4&#10;LjMzIDIwNS4yMyAyMjkuMzcgMjA1LjE1IDIyMC40MSAyMDUuMDUgMjExLjQ5IDIwNC45NiAyMDIu&#10;NTcgMjA0LjkgMTkzLjY2IDIwNS4wNiAxODQuNCAyMDUuMjMgMTc1LjE0IDIwNS41NSAxNjUuODgg&#10;MjA1Ljg5IDE1Ni42OSAyMDYuMjMgMTQ3LjUxIDIwNi42MyAxMzguMzEgMjA2Ljg3IDEyOS4zNSAy&#10;MDcuMSAxMjAuMzkgMjA3LjIyIDExMS40MyAyMDcuMzQgMTAyLjA5IDIwNy40NyA5Mi43NSAyMDcu&#10;NTMgODMuNCAyMDcuNjYgNzguOCAyMDcuNzIgNzQuMiAyMDcuNzkgNjkuNiAyMDcuODQgNjUuMDYg&#10;MjA3Ljg5IDYwLjUyIDIwNy44OCA1NS45OCAyMDcuOSA0OC44OSAyMDcuOTMgNDEuOCAyMDguMDUg&#10;MzQuNzIgMjA4LjAxIDMxLjI2IDIwNy45OSAyNy43OCAyMDcuOTcgMjQuMzUgMjA3LjYyIDIzLjIx&#10;IDIwNy41IDIyLjA1IDIwNy4zMyAyMC45OCAyMDcuMDEgMjAuMzcgMjA2LjgyIDE5Ljg1IDIwNi41&#10;NiAxOS40MyAyMDYuMTkgMTguNzMgMjA1LjU3IDE4Ljc0IDIwNC40NCAxOS43OCAyMDMuOTkgMjAu&#10;NzMgMjAzLjU4IDIxLjg1IDIwMy43MSAyMi45IDIwMy43MSAyNC43MSAyMDMuNzIgMjYuNTIgMjAz&#10;LjY5IDI4LjM0IDIwMy42NSAzMC4zOSAyMDMuNiAzMi40NSAyMDMuNSAzNC41IDIwMy40MSAzNi42&#10;OSAyMDMuMzIgMzguOSAyMDMuMjMgNDEuMDkgMjAzLjE1IDQ5Ljk4IDIwMi44MiA1OC44NyAyMDIu&#10;NDcgNjcuNzYgMjAyLjI0IDg2LjA2IDIwMS43NSAxMDQuMzYgMjAxLjQxIDEyMi42NyAyMDEgMTI3&#10;LjI2IDIwMC45IDEzMS44NSAyMDAuNzkgMTM2LjQ0IDIwMC42NiAxNDAuOTEgMjAwLjUzIDE0NS4z&#10;NyAyMDAuMzMgMTQ5Ljg0IDIwMC4xNSAxNTkuMjMgMTk5Ljc2IDE2OC42MyAxOTkuMzEgMTc4LjAz&#10;IDE5OS4wMiAxODcuMDMgMTk4Ljc0IDE5Ni4wNCAxOTguNTQgMjA1LjA1IDE5OC41NyAyMTMuOTgg&#10;MTk4LjYgMjIyLjkxIDE5OC43MyAyMzEuODMgMTk4Ljg0IDI1MC44MiAxOTkuMDYgMjY5LjggMTk5&#10;LjY2IDI4OC43NyAyMDAuMzcgMjk0LjAxIDIwMC41NyAyOTkuMjQgMjAwLjc2IDMwNC40OCAyMDAu&#10;OTQgMzA0LjE5IDIwMC45MyAzMDMuOSAyMDAuOTIgMzAzLjYxIDIwMC45MSAzMDQuNCAyMDAuOTQg&#10;MzA1LjE5IDIwMC45NiAzMDUuOTggMjAwLjk5IDMyMy45NyAyMDEuNTkgMzQxLjk4IDIwMS44MSAz&#10;NTkuOTggMjAyLjM0IDM2OC4wOSAyMDIuNTggMzc2LjIgMjAyLjg5IDM4NC4zMSAyMDMuMjUgMzkx&#10;LjgzIDIwMy41OCAzOTkuMzUgMjAzLjk0IDQwNi44NyAyMDQuMjEgNDE1LjMzIDIwNC40OSA0MjMu&#10;OCAyMDQuNjcgNDMyLjI3IDIwNC43OSA0NDAuODEgMjA0LjkyIDQ0OS4zNiAyMDUuMDcgNDU3Ljkx&#10;IDIwNSA0NjAuNTMgMjA0Ljk4IDQ2My4xNiAyMDQuOTYgNDY1Ljc4IDIwNC45MSA0NjYuNzYgMjA0&#10;Ljg5IDQ2Ny43MyAyMDQuODYgNDY4LjcgMjA0LjgzIDQ2OS4xMSAyMDQuODIgNDY5LjUxIDIwNC44&#10;MSA0NjkuOTIgMjA0Ljc5IDQ3MC4xMyAyMDQuNzkgNDcwLjM0IDIwNC43NyA0NzAuNTUgMjA0Ljc2&#10;IDQ3MS4wMSAyMDQuNzMgNDcxLjQ2IDIwNC43NiA0NzEuOTIgMjA0Ljc3IDQ3Mi4wMyAyMDQuNzcg&#10;NDcyLjE0IDIwNC43NyA0NzIuMjUgMjA0Ljc4IDQ3Mi45NyAyMDQuODggNDczLjYgMjA1LjEgNDc0&#10;LjE2IDIwNS40NVoiIGZpbGw9IiMwMTAxMDEiLz48cGF0aCBkPSJNNDY0LjU0IDE4NS43NEM0NjUu&#10;MjIgMTg2LjQ5IDQ2NS43MSAxODcuMzMgNDY2LjE5IDE4OC4xNSA0NjYuOTcgMTg5LjQ2IDQ2Ny42&#10;OCAxOTAuOCA0NjguMzUgMTkyLjE1IDQ2OS42NSAxOTQuNzcgNDcwLjkzIDE5Ny40IDQ3Mi4xNyAy&#10;MDAuMDMgNDcyLjc2IDIwMS4yOCA0NzMuMjggMjAyLjUzIDQ3My43NyAyMDMuOCA0NzQgMjA0LjM5&#10;IDQ3NC4yNSAyMDQuOTcgNDc0LjQ5IDIwNS41NiA0NzQuNjggMjA2LjAzIDQ3NC44NiAyMDYuNTEg&#10;NDc0Ljk5IDIwNi45OSA0NzUuMTEgMjA3LjQ4IDQ3NS4wOCAyMDcuOTggNDc0Ljk3IDIwOC40NyA0&#10;NzQuNzUgMjA5LjM2IDQ3My44NCAyMTAuMTIgNDcyLjY1IDIxMC40MiA0NzIuMDQgMjEwLjU4IDQ3&#10;MS40MSAyMTAuNjEgNDcwLjc3IDIxMC41MyA0NzAuNDcgMjEwLjQ2IDQ3MC4xNiAyMTAuMzkgNDY5&#10;Ljg1IDIxMC4zMiA0NjkuMjggMjEwLjEyIDQ2OC44MSAyMDkuODQgNDY4LjQ1IDIwOS40NyA0Njcu&#10;NiAyMDguNzcgNDY3LjI1IDIwNy44NCA0NjYuODYgMjA2Ljk4IDQ2Ni41MSAyMDYuMjIgNDY2LjEx&#10;IDIwNS40NyA0NjUuNzEgMjA0LjcyIDQ2NC45NiAyMDMuMzMgNDY0LjMgMjAxLjkxIDQ2My42MSAy&#10;MDAuNTEgNDYyLjk2IDE5OS4xOSA0NjIuMzIgMTk3Ljg4IDQ2MS43NSAxOTYuNTQgNDYxLjE2IDE5&#10;NS4xNSA0NjAuNjMgMTkzLjc1IDQ2MC4xMSAxOTIuMzUgNDU5LjcgMTkxLjI3IDQ1OS4zMyAxOTAu&#10;MTkgNDU4Ljk1IDE4OS4xMSA0NTguNDEgMTg3LjU2IDQ1Ny4zNyAxODQuOTkgNDYwLjIzIDE4NC4y&#10;MSA0NjAuNjIgMTg0LjExIDQ2MC45OSAxODQuMDcgNDYxLjM1IDE4NC4wOCA0NjIuNzEgMTg0LjEz&#10;IDQ2My44NCAxODQuOTUgNDY0LjU3IDE4NS43NloiIGZpbGw9IiMwMTAxMDEiLz48cGF0aCBkPSJN&#10;MTIuNTIgMTgzLjAxQzEzLjUzIDE4My4xIDE0LjI4IDE4My42OSAxNC44OCAxODQuMjEgMTUuMzUg&#10;MTg0LjYzIDE1LjY3IDE4NS4xMiAxNS45MyAxODUuNjIgMTYuMyAxODYuMzIgMTYuNTcgMTg3LjA3&#10;IDE2LjgxIDE4Ny44IDE3LjI4IDE4OS4yIDE3Ljg2IDE5MC41OCAxOC41NiAxOTEuOTMgMTkuNTgg&#10;MTkzLjkxIDIwLjY1IDE5NS44OCAyMS42NCAxOTcuODcgMjIuMzcgMTk5LjMzIDIzLjA3IDIwMC44&#10;MSAyMy43NyAyMDIuMjggMjMuOTIgMjAyLjYgMjQuMDcgMjAyLjkzIDI0LjIzIDIwMy4yNiAyNC4z&#10;IDIwMy40MSAyNC4zNyAyMDMuNTUgMjQuNDUgMjAzLjcgMjQuNjEgMjA0LjA0IDI0Ljg2IDIwNC40&#10;NSAyNC44NCAyMDQuNzkgMjQuODkgMjA1LjIxIDI0Ljc4IDIwNS42IDI0LjU0IDIwNS45OCAyNC4y&#10;OSAyMDYuMzQgMjMuOTQgMjA2LjYzIDIzLjQ4IDIwNi44NiAyMy4wMiAyMDcuMDggMjIuNTEgMjA3&#10;LjIxIDIxLjk1IDIwNy4yNSAyMS4xNyAyMDcuMyAyMC4xNiAyMDcuMTMgMTkuNiAyMDYuNzEgMTku&#10;MDggMjA2LjMyIDE4Ljk0IDIwNi4yIDE4LjYzIDIwNS43MiAxOC41OSAyMDUuNjYgMTguNTYgMjA1&#10;LjYxIDE4LjUzIDIwNS41NiAxOC40OSAyMDUuNSAxOC40NSAyMDUuNDMgMTguNDEgMjA1LjM2IDE4&#10;LjMzIDIwNS4yMyAxOC4yNiAyMDUuMSAxOC4xOSAyMDQuOTYgMTguMDMgMjA0LjY3IDE3Ljg3IDIw&#10;NC4zOSAxNy43MiAyMDQuMSAxNy4zNiAyMDMuNDMgMTcuMDUgMjAyLjc0IDE2LjcyIDIwMi4wNSAx&#10;NS45MiAyMDAuMzYgMTUuMTMgMTk4LjY3IDE0LjI0IDE5NyAxMy42NyAxOTUuOTUgMTMuMDYgMTk0&#10;LjkxIDEyLjQ5IDE5My44NyAxMi4wNiAxOTMuMDcgMTEuNjMgMTkyLjI4IDExLjE3IDE5MS40OCAx&#10;MC44MyAxOTAuODkgMTAuNTEgMTkwLjMgMTAuMTggMTg5LjcxIDkuNyAxODguODUgOS4zNiAxODcu&#10;OTQgOS4xMiAxODcuMDMgOC42OSAxODUuMzkgOS4yMyAxODIuODcgMTIuMjcgMTgyLjk5IDEyLjM1&#10;IDE4Mi45OSAxMi40MyAxODIuOTkgMTIuNTIgMTgzLjAxWiIgZmlsbD0iIzAxMDEwMSIvPjxwYXRo&#10;IGQ9Ik02MTcuNTggOTIuMzNDNjE4LjA3IDkyLjM1IDYxOC41NSA5Mi41OCA2MTguOTQgOTIuNzgg&#10;NjE5LjMxIDkyLjk2IDYxOS42IDkzLjIxIDYxOS45IDkzLjQ1IDYyMC4zNiA5My44MSA2MjAuNzIg&#10;OTQuMjMgNjIxLjA3IDk0LjY1IDYyMS45NCA5NS43MyA2MjIuNjQgOTYuODcgNjIzLjM0IDk4IDYy&#10;NC40OCA5OS44NSA2MjUuNTIgMTAxLjczIDYyNi41OCAxMDMuNiA2MjcuMSAxMDQuNTMgNjI3LjYx&#10;IDEwNS40NiA2MjguMTEgMTA2LjQgNjI4LjczIDEwNy41NCA2MjkuMzYgMTA4LjcgNjI5Ljc5IDEw&#10;OS44OSA2MzAgMTEwLjUgNjMwLjIyIDExMS4xMiA2MzAuMyAxMTEuNzUgNjMwLjM3IDExMi4zIDYz&#10;MC4zMyAxMTIuODYgNjMwLjIyIDExMy40MSA2MjkuOTkgMTE0LjQ2IDYyOS4zMiAxMTUuMzkgNjI4&#10;LjQyIDExNi4yMiA2MjcuNiAxMTYuOTggNjI2LjU2IDExNy42NSA2MjUuNTUgMTE4LjI4IDYyNC4z&#10;OCAxMTkuMDEgNjIzLjE1IDExOS42OSA2MjEuOTIgMTIwLjM4IDYyMC42OSAxMjEuMDYgNjE5LjQ3&#10;IDEyMS43NCA2MTguMjIgMTIyLjQgNjE2LjkgMTIzLjA5IDYxNS41NiAxMjMuNzYgNjE0LjIzIDEy&#10;NC40NCA2MTEuNTggMTI1Ljc5IDYwOC45MSAxMjcuMTIgNjA2LjIzIDEyOC40NSA2MDMuNDQgMTI5&#10;LjgyIDYwMC43MyAxMzEuMjYgNTk4LjEgMTMyLjc4IDU5Ni41OSAxMzMuNjUgNTk1LjA3IDEzNC41&#10;MiA1OTMuNSAxMzUuMzMgNTkxLjc4IDEzNi4yMyA1OTAuMDcgMTM3LjEyIDU4OC40MiAxMzguMDgg&#10;NTg3LjcgMTM4LjUgNTg2LjU0IDEzOC4zIDU4Ni4wMyAxMzcuNzkgNTg1Ljc3IDEzNy41MiA1ODUu&#10;NjYgMTM3LjE5IDU4NS43NCAxMzYuODggNTg1LjgyIDEzNi41NCA1ODYuMDggMTM2LjMxIDU4Ni40&#10;NCAxMzYuMDkgNTg3LjU0IDEzNS40MiA1ODguNjMgMTM0Ljc1IDU4OS43IDEzNC4wNSA1ODkuNjcg&#10;MTM0LjA3IDU4OS42MyAxMzQuMDkgNTg5LjYgMTM0LjEyIDU5Mi4yNiAxMzIuMzkgNTk1LjA0IDEz&#10;MC43NSA1OTcuNzggMTI5LjA5IDYwMC4zMSAxMjcuNTYgNjAyLjk2IDEyNi4xNCA2MDUuNiAxMjQu&#10;NyA2MDYuODkgMTI0IDYwOC4yMSAxMjMuMzEgNjA5LjUgMTIyLjYxIDYxMC44NCAxMjEuODggNjEy&#10;LjE2IDEyMS4xMiA2MTMuNDcgMTIwLjM2IDYxNC43MiAxMTkuNjQgNjE1Ljk4IDExOC45MiA2MTcu&#10;MjcgMTE4LjIzIDYxOC41NiAxMTcuNTQgNjE5Ljg3IDExNi44OSA2MjEuMTggMTE2LjIyIDYyMS44&#10;NCAxMTUuODggNjIyLjQ4IDExNS41NCA2MjMuMDkgMTE1LjE2IDYyMy40NyAxMTQuOSA2MjMuODIg&#10;MTE0LjYyIDYyNC4xMyAxMTQuMzEgNjI0LjM0IDExNC4wNSA2MjQuNTIgMTEzLjc5IDYyNC42NyAx&#10;MTMuNTEgNjI0Ljc0IDExMy4zMSA2MjQuOCAxMTMuMSA2MjQuODMgMTEyLjkgNjI0LjgyIDExMi42&#10;OCA2MjQuNzggMTEyLjQ1IDYyNC43MiAxMTIuMjMgNjI0LjU2IDExMS44MyA2MjQuMzYgMTExLjQ1&#10;IDYyNC4xNiAxMTEuMDYgNjIzLjg3IDExMC41MSA2MjMuNiAxMDkuOTUgNjIzLjMyIDEwOS4zOSA2&#10;MjIuNzkgMTA4LjMzIDYyMi4yOCAxMDcuMjcgNjIxLjczIDEwNi4yMiA2MjAuNzIgMTA0LjI5IDYx&#10;OS43IDEwMi4zNiA2MTguNTUgMTAwLjQ3IDYxOC4yNSA5OS45NyA2MTcuOTQgOTkuNDggNjE3LjYy&#10;IDk4Ljk5IDYxNy4yMyA5OC4zOSA2MTYuODEgOTcuNzkgNjE2LjQyIDk3LjE5IDYxNi4wNSA5Ni42&#10;MiA2MTUuNjYgOTYuMDQgNjE1LjQxIDk1LjQ0IDYxNS4xMiA5NC43MyA2MTQuODcgOTMuODcgNjE1&#10;LjM0IDkzLjE3IDYxNS40OSA5Mi45NCA2MTUuNzIgOTIuNzUgNjE2LjAyIDkyLjU5IDYxNi4xOCA5&#10;Mi41MyA2MTYuMzMgOTIuNDggNjE2LjQ5IDkyLjQyIDYxNi43NiA5Mi4zNSA2MTcuMDQgOTIuMzIg&#10;NjE3LjMzIDkyLjMzIDYxNy40MSA5Mi4zMyA2MTcuNDkgOTIuMzMgNjE3LjU3IDkyLjM1WiIgZmls&#10;bD0iIzAxMDEwMSIvPjxwYXRoIGQ9Ik0yNi42NSAxODkuMjVDMjYuNzEgMTg5LjM0IDI2LjczIDE4&#10;OS40NSAyNi43NSAxODkuNTQgMjYuNzkgMTg5LjcyIDI2LjgzIDE4OS45IDI2Ljg4IDE5MC4wNyAy&#10;Ny4wMSAxOTAuNTIgMjcuMTQgMTkwLjk4IDI3LjI4IDE5MS40NCAyNy41OCAxOTIuNDIgMjcuOTEg&#10;MTkzLjQgMjguMjUgMTk0LjM4IDI4LjIzIDE5NC4zMyAyOC4yMSAxOTQuMjcgMjguMTkgMTk0LjIy&#10;IDI4LjcgMTk1LjYyIDI5LjI1IDE5Ny4wMSAyOS44MyAxOTguNCAzMC4zNyAxOTkuNzMgMzAuOTQg&#10;MjAxLjA2IDMxLjQyIDIwMi40IDMxLjc2IDIwMy4zMyAzMi4wMiAyMDQuMjYgMzIuMjkgMjA1LjE5&#10;IDMyLjM4IDIwNS40OSAzMS45NSAyMDUuNzkgMzEuNDcgMjA1Ljg5IDMxLjE2IDIwNS45NSAzMC44&#10;MiAyMDUuOTQgMzAuNTMgMjA1Ljg1IDMwLjI3IDIwNS43NyAzMCAyMDUuNjIgMjkuOTMgMjA1LjQ2&#10;IDI5LjYzIDIwNC43NSAyOS4yOSAyMDQuMDUgMjkuMDEgMjAzLjM0IDI4Ljc0IDIwMi42NiAyOC40&#10;OCAyMDEuOTcgMjguMjIgMjAxLjI4IDI3LjY4IDE5OS44NCAyNy4xOCAxOTguNCAyNi43MyAxOTYu&#10;OTUgMjYuMTEgMTk0Ljk2IDI1LjYgMTkyLjk2IDI0LjkxIDE5MC45NyAyNC45MSAxOTAuOTcgMjQu&#10;OTEgMTkwLjk4IDI0LjkxIDE5MC45OSAyNC43OSAxOTAuNjcgMjQuNjggMTkwLjM0IDI0LjQ5IDE5&#10;MC4wMyAyNC40NCAxODkuOTQgMjQuMzYgMTg5Ljg1IDI0LjI5IDE4OS43NSAyNC4yIDE4OS42MiAy&#10;NC4xNSAxODkuNDUgMjQuMjIgMTg5LjMxIDI0LjM3IDE4OC45OSAyNC43NSAxODguNzggMjUuMzQg&#10;MTg4Ljc0IDI1LjQxIDE4OC43NCAyNS40NyAxODguNzQgMjUuNTMgMTg4Ljc0IDI2LjA1IDE4OC43&#10;NiAyNi40NSAxODguOTkgMjYuNjQgMTg5LjI2WiIgZmlsbD0iIzAxMDEwMSIvPjxwYXRoIGQ9Ik0z&#10;OC45MiAxOTYuMjlDMzguOTIgMTk2LjI5IDM4LjkyIDE5Ni4zIDM4LjkyIDE5Ni4zMSAzOC45IDE5&#10;Ni4yNiAzOC44OCAxOTYuMjEgMzguODYgMTk2LjE1TDM4LjkxIDE5Ni4yOVpNMzguMyAxODguODND&#10;MzguNjYgMTg4LjkxIDM4Ljk0IDE4OS4xMSAzOS4xNSAxODkuMjkgMzkuMzYgMTg5LjQ4IDM5LjUx&#10;IDE4OS43IDM5LjY2IDE4OS45IDM5LjkgMTkwLjIzIDQwLjEyIDE5MC41NiA0MC4zMiAxOTAuODkg&#10;NDAuNzQgMTkxLjYgNDEuMTMgMTkyLjMxIDQxLjQ5IDE5My4wMiA0Mi4xOSAxOTQuNDEgNDIuNzgg&#10;MTk1LjgxIDQzLjMzIDE5Ny4yMiA0My41OCAxOTcuODUgNDMuODIgMTk4LjQ5IDQ0LjA1IDE5OS4x&#10;MyA0NC4wMiAxOTkuMDMgNDMuOTggMTk4Ljk0IDQzLjk1IDE5OC44NCA0NC4wMiAxOTkuMDUgNDQu&#10;MSAxOTkuMjYgNDQuMTcgMTk5LjQ3IDQ0LjE0IDE5OS4zNyA0NC4xIDE5OS4yOCA0NC4wNyAxOTku&#10;MTggNDQuNDYgMjAwLjI1IDQ0LjgyIDIwMS4zMyA0NS4xMiAyMDIuNDIgNDUuMTQgMjAyLjYxIDQ1&#10;LjA4IDIwMi43OSA0NC45MyAyMDIuOTYgNDQuNzIgMjAzLjIgNDQuMzQgMjAzLjM5IDQzLjg4IDIw&#10;My40NyA0Mi45OCAyMDMuNjQgNDEuODMgMjAzLjM3IDQxLjU1IDIwMi44MiA0MC41IDIwMC43MSAz&#10;OS43NCAxOTguNTYgMzguOTcgMTk2LjQxIDM4Ljk4IDE5Ni40NCAzOC45OSAxOTYuNDcgMzkgMTk2&#10;LjUxIDM4Ljk3IDE5Ni40NCAzOC45NSAxOTYuMzcgMzguOTMgMTk2LjNMMzguOTMgMTk2LjMzQzM4&#10;LjkzIDE5Ni4zMyAzOC45MyAxOTYuMyAzOC45MyAxOTYuMjggMzguOSAxOTYuMiAzOC44OCAxOTYu&#10;MTIgMzguODUgMTk2LjA0IDM4Ljg2IDE5Ni4wNyAzOC44NyAxOTYuMTEgMzguODggMTk2LjE0IDM4&#10;LjgyIDE5NS45NyAzOC43NiAxOTUuOCAzOC43IDE5NS42NCAzOC43MiAxOTUuNjkgMzguNzQgMTk1&#10;Ljc0IDM4Ljc2IDE5NS44IDM4LjM2IDE5NC43MiAzNy45NiAxOTMuNjQgMzcuNTMgMTkyLjU2IDM3&#10;LjMyIDE5Mi4wNCAzNy4xMiAxOTEuNTMgMzYuOTIgMTkxLjAxIDM2Ljc5IDE5MC42OSAzNi42OCAx&#10;OTAuMzcgMzYuNTYgMTkwLjA1IDM2LjQ1IDE4OS43NCAzNi40MSAxODkuNDQgMzYuNjQgMTg5LjEz&#10;IDM2Ljc2IDE4OC45NyAzNy4wNiAxODguODQgMzcuMzUgMTg4Ljc4IDM3LjUgMTg4Ljc1IDM3LjY1&#10;IDE4OC43NCAzNy43OSAxODguNzUgMzcuOTYgMTg4Ljc1IDM4LjEzIDE4OC43OCAzOC4zMSAxODgu&#10;ODJaIiBmaWxsPSIjMDEwMTAxIi8+PHBhdGggZD0iTTU2LjU1IDE4OC41MUM1Ni44NyAxODguNjQg&#10;NTcuMDIgMTg4LjkgNTcuMTQgMTg5LjA5IDU3LjI2IDE4OS4yOSA1Ny4zNiAxODkuNDggNTcuNDYg&#10;MTg5LjY4IDU3LjY1IDE5MC4wOSA1Ny44NCAxOTAuNSA1OC4wMiAxOTAuOTEgNTguNCAxOTEuNzYg&#10;NTguNzYgMTkyLjYyIDU5LjEgMTkzLjQ4IDU5Ljc4IDE5NS4yMiA2MC40MSAxOTYuOTYgNjEuMDUg&#10;MTk4LjcgNjEuMDggMTk4Ljc5IDYxLjExIDE5OC44OCA2MS4xNSAxOTguOTcgNjEuMTMgMTk4Ljky&#10;IDYxLjEyIDE5OC44NyA2MS4xIDE5OC44MiA2MS4zNSAxOTkuNTIgNjEuNiAyMDAuMjIgNjEuODEg&#10;MjAwLjkyIDYyIDIwMS41NSA2MS44NyAyMDIuMTggNjEuOTEgMjAyLjgyIDYxLjkzIDIwMy4yMiA2&#10;MS41NCAyMDMuNTkgNjAuODYgMjAzLjcyIDYwLjAzIDIwMy44OCA1OS4xOSAyMDMuNjIgNTguODgg&#10;MjAzLjE3IDU4LjU5IDIwMi43NSA1OC4yNSAyMDIuMzUgNTcuOTQgMjAxLjkzIDU3LjggMjAxLjc0&#10;IDU3LjczIDIwMS41MyA1Ny42NSAyMDEuMzIgNTcuNTMgMjAxLjAzIDU3LjQzIDIwMC43MyA1Ny4z&#10;MiAyMDAuNDMgNTcuMDEgMTk5LjU1IDU2Ljc0IDE5OC42OCA1Ni40OCAxOTcuOCA1NS45NiAxOTYu&#10;MDYgNTUuNSAxOTQuMzIgNTUuMDUgMTkyLjU4IDU0Ljg4IDE5MS45MyA1NC43MSAxOTEuMjggNTQu&#10;NTYgMTkwLjYyIDU0LjQ5IDE5MC4zMSA1NC40MiAxODkuOTkgNTQuMzkgMTg5LjY4IDU0LjM1IDE4&#10;OS4zMSA1NC4yOSAxODguODcgNTQuNzcgMTg4LjU3IDU0Ljk5IDE4OC40MyA1NS4zMSAxODguMzQg&#10;NTUuNjQgMTg4LjMzIDU1LjY5IDE4OC4zMyA1NS43NSAxODguMzMgNTUuNzkgMTg4LjMzIDU2LjA5&#10;IDE4OC4zMyA1Ni4zMiAxODguNDEgNTYuNTggMTg4LjUxWiIgZmlsbD0iIzAxMDEwMSIvPjxwYXRo&#10;IGQ9Ik03MS41NyAxODcuNTdDNzIuMjggMTg3Ljc4IDcyLjQ3IDE4OC4yOSA3Mi42NyAxODguNjkg&#10;NzIuODUgMTg5LjA1IDcyLjk5IDE4OS40MSA3My4xMyAxODkuNzggNzMuNDYgMTkwLjYyIDczLjc3&#10;IDE5MS40NiA3NC4wNyAxOTIuMzEgNzQuNjkgMTk0LjA0IDc1LjI4IDE5NS43OCA3NS44IDE5Ny41&#10;MiA3Ni4xNCAxOTguNjQgNzYuNDIgMTk5Ljc3IDc2LjY4IDIwMC45IDc2LjgxIDIwMS40NyA3Ni45&#10;NCAyMDIuMDQgNzcuMDQgMjAyLjYxIDc3LjA5IDIwMi44OCA3Ny4xMyAyMDMuMTUgNzcuMTUgMjAz&#10;LjQyIDc3LjE5IDIwMy44MSA3Ny4xIDIwNC4yIDc3LjA1IDIwNC41OSA3Ni45OCAyMDQuNzggNzYu&#10;ODMgMjA0Ljk1IDc2LjYgMjA1LjEgNzYuMjcgMjA1LjMxIDc1LjggMjA1LjQ0IDc1LjMgMjA1LjQ2&#10;IDc0LjQzIDIwNS41IDczLjY0IDIwNS4xOSA3My4zNSAyMDQuNzMgNzMuMjIgMjA0LjUzIDczLjA5&#10;IDIwNC4zMiA3Mi45NyAyMDQuMTIgNzIuODEgMjAzLjg0IDcyLjc0IDIwMy41NCA3Mi42NCAyMDMu&#10;MjQgNzIuNTEgMjAyLjg2IDcyLjQgMjAyLjQ3IDcyLjMgMjAyLjA4IDcyLjA4IDIwMS4yNCA3MS44&#10;NyAyMDAuMzkgNzEuNjggMTk5LjU1IDcxLjMgMTk3LjkgNzAuOTcgMTk2LjI0IDcwLjY3IDE5NC41&#10;OSA3MC40NiAxOTMuNCA3MC4yMyAxOTIuMjEgNzAuMDMgMTkxLjAyIDY5Ljk0IDE5MC40OCA2OS44&#10;NCAxODkuOTQgNjkuOCAxODkuNCA2OS43OCAxODkuMTMgNjkuNzcgMTg4Ljg2IDY5Ljc4IDE4OC41&#10;OSA2OS44IDE4OC4yMyA2OS44OCAxODcuODMgNzAuNDYgMTg3LjYxIDcwLjY2IDE4Ny41MyA3MC44&#10;OSAxODcuNSA3MS4xMiAxODcuNTEgNzEuMjcgMTg3LjUxIDcxLjQxIDE4Ny41NCA3MS41NSAxODcu&#10;NTdaIiBmaWxsPSIjMDEwMTAxIi8+PHBhdGggZD0iTTg5Ljc4IDE4OC4zOEM4OS44MyAxODguNDQg&#10;ODkuODggMTg4LjUgODkuOTIgMTg4LjU1IDkwLjA3IDE4OC43NSA5MC4xOCAxODguOTUgOTAuMjkg&#10;MTg5LjE2IDkwLjU2IDE4OS42OCA5MC43MSAxOTAuMjEgOTAuODggMTkwLjc0IDkxLjE4IDE5MS42&#10;NyA5MS40MiAxOTIuNjEgOTEuNjcgMTkzLjU0IDkyLjE3IDE5NS40IDkyLjYyIDE5Ny4yOCA5My4w&#10;MyAxOTkuMTUgOTMuMTggMTk5LjgxIDkzLjMxIDIwMC40OCA5My40NSAyMDEuMTQgOTMuNTggMjAx&#10;LjgzIDkzLjc0IDIwMi41MyA5My43NiAyMDMuMjMgOTMuNzggMjAzLjc3IDkzLjI2IDIwNC4yNyA5&#10;Mi4zMiAyMDQuNDYgOTEuNzggMjA0LjU2IDkxLjE4IDIwNC41NCA5MC42NyAyMDQuMzkgOTAuMjIg&#10;MjA0LjI2IDg5Ljc0IDIwNCA4OS42MiAyMDMuNyA4OS4yIDIwMi43MSA4OSAyMDEuNjkgODguNzgg&#10;MjAwLjY3IDg4LjU4IDE5OS43MyA4OC40MSAxOTguNzggODguMjQgMTk3Ljg0IDg3LjkxIDE5NS45&#10;NiA4Ny42NiAxOTQuMDkgODcuNDQgMTkyLjIxIDg3LjM2IDE5MS41MiA4Ny4yOCAxOTAuODQgODcu&#10;MjQgMTkwLjE1IDg3LjIyIDE4OS44MSA4Ny4yMiAxODkuNDYgODcuMjUgMTg5LjEyIDg3LjI4IDE4&#10;OC44NiA4Ny4zMiAxODguNjQgODcuNDggMTg4LjM5IDg3LjQzIDE4OC4wNCA4Ny45NiAxODcuNzMg&#10;ODguNTUgMTg3LjcxIDg4LjYgMTg3LjcxIDg4LjY0IDE4Ny43MSA4OC42OSAxODcuNzEgODkuMyAx&#10;ODcuNzMgODkuODIgMTg4LjAzIDg5Ljc5IDE4OC4zOFoiIGZpbGw9IiMwMTAxMDEiLz48cGF0aCBk&#10;PSJNMTAzLjg3IDE4Ny4zNUMxMDQuNDMgMTg3LjUxIDEwNC42MSAxODcuODkgMTA0Ljc1IDE4OC4y&#10;MSAxMDQuODggMTg4LjUxIDEwNSAxODguOCAxMDUuMTMgMTg5LjEgMTA1LjM5IDE4OS43MyAxMDUu&#10;NjMgMTkwLjM2IDEwNS44OCAxOTAuOTkgMTA2LjM4IDE5Mi4yNSAxMDYuODcgMTkzLjUyIDEwNy4z&#10;NSAxOTQuNzkgMTA3LjQ5IDE5NS4xNyAxMDcuNjMgMTk1LjU2IDEwNy43NyAxOTUuOTQgMTA3Ljgy&#10;IDE5Ni4wNiAxMDcuODUgMTk2LjE4IDEwNy45IDE5Ni4zIDEwNy44NyAxOTYuMjIgMTA3Ljg1IDE5&#10;Ni4xNSAxMDcuODIgMTk2LjA3IDEwNy44MiAxOTYuMDcgMTA3LjgyIDE5Ni4wNyAxMDcuODIgMTk2&#10;LjA3IDEwOC42NCAxOTguMzUgMTA5LjM5IDIwMC42NSAxMDkuNjggMjAyLjk4IDEwOS43MyAyMDMu&#10;MzYgMTA5LjMxIDIwMy43MSAxMDguNjggMjAzLjgzIDEwNy45MyAyMDMuOTggMTA3LjA1IDIwMy43&#10;NCAxMDYuOCAyMDMuMzEgMTA2LjA2IDIwMi4wMiAxMDUuNiAyMDAuNjkgMTA1LjE1IDE5OS4zNyAx&#10;MDQuODIgMTk4LjQxIDEwNC41MiAxOTcuNDQgMTA0LjI0IDE5Ni40NyAxMDQuMjEgMTk2LjQxIDEw&#10;NC4xOSAxOTYuMzQgMTA0LjE4IDE5Ni4yOCAxMDQuMTEgMTk2LjAzIDEwNC4wMyAxOTUuNzggMTAz&#10;Ljk2IDE5NS41MiAxMDMuNiAxOTQuMjMgMTAzLjI2IDE5Mi45NSAxMDIuOTMgMTkxLjY2IDEwMi43&#10;NyAxOTEuMDIgMTAyLjYgMTkwLjM4IDEwMi40NCAxODkuNzQgMTAyLjM3IDE4OS40NCAxMDIuMzEg&#10;MTg5LjEzIDEwMi4yNiAxODguODIgMTAyLjI0IDE4OC42OCAxMDIuMjIgMTg4LjU0IDEwMi4yMiAx&#10;ODguNCAxMDIuMjIgMTg4LjIyIDEwMi4yMSAxODguMDQgMTAyLjI5IDE4Ny44NyAxMDIuMzkgMTg3&#10;LjY3IDEwMi41MSAxODcuNTEgMTAyLjgzIDE4Ny4zOCAxMDMuMDEgMTg3LjMxIDEwMy4yNCAxODcu&#10;MjggMTAzLjQ2IDE4Ny4yOCAxMDMuNjEgMTg3LjI4IDEwMy43NSAxODcuMzEgMTAzLjg4IDE4Ny4z&#10;NFoiIGZpbGw9IiMwMTAxMDEiLz48cGF0aCBkPSJNMTIyLjIyIDE4Ny4zNUMxMjIuOTkgMTg3LjQ4&#10;IDEyMy4xNSAxODcuOTggMTIzLjI3IDE4OC4zNyAxMjMuMzcgMTg4LjcxIDEyMy40NCAxODkuMDUg&#10;MTIzLjQ5IDE4OS40IDEyMy42IDE5MC4xMyAxMjMuNjggMTkwLjg2IDEyMy43NiAxOTEuNTkgMTIz&#10;LjkzIDE5My4wNiAxMjQuMTIgMTk0LjU0IDEyNC4zNyAxOTYuMDEgMTI0LjUzIDE5Ni45NSAxMjQu&#10;NzEgMTk3Ljg5IDEyNC44OSAxOTguODMgMTI1LjA3IDE5OS44MSAxMjUuMjUgMjAwLjc4IDEyNS4y&#10;OCAyMDEuNzYgMTI1LjMgMjAyLjI1IDEyNC44NCAyMDIuNjkgMTI0IDIwMi44NSAxMjMuNTIgMjAy&#10;Ljk0IDEyMi45OSAyMDIuOTIgMTIyLjUzIDIwMi43OSAxMjIuMTMgMjAyLjY4IDEyMS42OSAyMDIu&#10;NDQgMTIxLjU5IDIwMi4xOCAxMjEuMjYgMjAxLjM1IDEyMS4wNiAyMDAuNTEgMTIwLjkgMTk5LjY3&#10;IDEyMC43NiAxOTguOTUgMTIwLjY0IDE5OC4yMyAxMjAuNTYgMTk3LjUgMTIwLjM5IDE5Ni4wMyAx&#10;MjAuMjkgMTk0LjU2IDEyMC4zMiAxOTMuMDkgMTIwLjM0IDE5Mi4wMyAxMjAuNDEgMTkwLjk3IDEy&#10;MC41NSAxODkuOTIgMTIwLjYxIDE4OS40NyAxMjAuNyAxODkuMDIgMTIwLjgxIDE4OC41NyAxMjAu&#10;ODcgMTg4LjMyIDEyMC45NiAxODguMDcgMTIxLjEyIDE4Ny44MyAxMjEuMTkgMTg3LjcyIDEyMS4y&#10;OCAxODcuNjEgMTIxLjQyIDE4Ny41MyAxMjEuNTkgMTg3LjQzIDEyMS44NCAxODcuMzMgMTIyLjEg&#10;MTg3LjM0IDEyMi4xNCAxODcuMzQgMTIyLjE4IDE4Ny4zNCAxMjIuMjIgMTg3LjM1WiIgZmlsbD0i&#10;IzAxMDEwMSIvPjxwYXRoIGQ9Ik0xMzQuMzMgMTg3LjY4QzEzNC45NSAxODcuNzYgMTM1LjIyIDE4&#10;OC4xNiAxMzUuMzcgMTg4LjQ3IDEzNS41OSAxODguOSAxMzUuNyAxODkuMzUgMTM1LjgyIDE4OS43&#10;OSAxMzYuMDQgMTkwLjU1IDEzNi4xOSAxOTEuMzEgMTM2LjMyIDE5Mi4wNyAxMzYuNiAxOTMuNjYg&#10;MTM2Ljc5IDE5NS4yNSAxMzcgMTk2Ljg0IDEzNy4yIDE5OC4zNSAxMzcuNDEgMTk5Ljg3IDEzNy41&#10;OSAyMDEuMzkgMTM3LjY4IDIwMi4xNiAxMzcuNzQgMjAyLjkyIDEzNy44MiAyMDMuNjkgMTM3Ljkx&#10;IDIwNC41MiAxMzguMDIgMjA1LjM1IDEzOC4xNiAyMDYuMTggMTM4LjI2IDIwNi43NyAxMzcuNCAy&#10;MDcuMyAxMzYuMzggMjA3LjM0IDEzNS4zMiAyMDcuMzggMTM0LjQ0IDIwNi45MiAxMzQuMzQgMjA2&#10;LjMzIDEzNC4wNiAyMDQuNzIgMTMzLjczIDIwMy4xMSAxMzMuNTMgMjAxLjUgMTMzLjMzIDE5OS45&#10;MyAxMzMuMzEgMTk4LjM1IDEzMy4yNyAxOTYuNzggMTMzLjIzIDE5NS4yMSAxMzMuMiAxOTMuNjQg&#10;MTMzLjEzIDE5Mi4wOCAxMzMuMDkgMTkxLjMxIDEzMy4wNSAxOTAuNTQgMTMzIDE4OS43NyAxMzIu&#10;OTggMTg5LjM0IDEzMi45NSAxODguOTEgMTMzLjAyIDE4OC40OSAxMzMuMDcgMTg4LjE3IDEzMy40&#10;OSAxODcuNjYgMTM0LjE3IDE4Ny42OCAxMzQuMjIgMTg3LjY4IDEzNC4yNiAxODcuNjggMTM0LjMx&#10;IDE4Ny42OVoiIGZpbGw9IiMwMTAxMDEiLz48cGF0aCBkPSJNMTUwLjM1IDE4Ny40OEMxNTAuNjcg&#10;MTg3LjYzIDE1MC44NCAxODcuODYgMTUwLjk2IDE4OC4wOCAxNTEuMSAxODguMzIgMTUxLjE3IDE4&#10;OC41NyAxNTEuMjQgMTg4LjgyIDE1MS4zNSAxODkuMjIgMTUxLjQyIDE4OS42MSAxNTEuNDkgMTkw&#10;LjAyIDE1MS42MiAxOTAuODEgMTUxLjcgMTkxLjYgMTUxLjc4IDE5Mi4zOCAxNTEuOTQgMTk0LjAx&#10;IDE1Mi4wMiAxOTUuNjUgMTUyLjA5IDE5Ny4yOSAxNTIuMTQgMTk4LjM1IDE1Mi4xOSAxOTkuNDEg&#10;MTUyLjE4IDIwMC40NyAxNTIuMTcgMjAxLjU4IDE1Mi4xMyAyMDIuNjggMTUyLjIgMjAzLjc5IDE1&#10;Mi4yNCAyMDQuMzkgMTUxLjQ4IDIwNC45MyAxNTAuMzkgMjA0Ljk3IDE0OS4zNSAyMDUuMDEgMTQ4&#10;LjM3IDIwNC41NSAxNDguMzEgMjAzLjk1IDE0OC4xNiAyMDIuMyAxNDcuOSAyMDAuNjYgMTQ3Ljg4&#10;IDE5OS4wMSAxNDcuODUgMTk3LjM3IDE0Ny45IDE5NS43NCAxNDcuOTIgMTk0LjExIDE0Ny45NCAx&#10;OTMuMDUgMTQ3Ljk1IDE5MS45OCAxNDcuOTcgMTkwLjkyIDE0Ny45OCAxOTAuNDIgMTQ3Ljk5IDE4&#10;OS45MiAxNDguMDEgMTg5LjQyIDE0OC4wMyAxODkuMDggMTQ4LjAzIDE4OC43NSAxNDguMSAxODgu&#10;NDEgMTQ4LjEyIDE4OC4zIDE0OC4xNSAxODguMTkgMTQ4LjIgMTg4LjA4IDE0OC4yOCAxODcuOSAx&#10;NDguNCAxODcuNjggMTQ4LjY1IDE4Ny41NCAxNDguODkgMTg3LjQyIDE0OS4xMyAxODcuMzMgMTQ5&#10;LjQ2IDE4Ny4zMSAxNDkuNTEgMTg3LjMxIDE0OS41NiAxODcuMzEgMTQ5LjYgMTg3LjMxIDE0OS44&#10;OCAxODcuMzEgMTUwLjEzIDE4Ny4zOCAxNTAuMzQgMTg3LjQ4WiIgZmlsbD0iIzAxMDEwMSIvPjxw&#10;YXRoIGQ9Ik0xNjYuNjkgMTg3LjI0QzE2Ny4xMSAxODcuNDUgMTY3LjE5IDE4Ny43MyAxNjcuMjgg&#10;MTg4LjAzIDE2Ny4zNCAxODguMjIgMTY3LjM2IDE4OC40MiAxNjcuMzkgMTg4LjYyIDE2Ny40NCAx&#10;ODkuMDMgMTY3LjQ3IDE4OS40MyAxNjcuNSAxODkuODMgMTY3LjU2IDE5MC42MyAxNjcuNTkgMTkx&#10;LjQyIDE2Ny42MyAxOTIuMjIgMTY3LjcxIDE5My44MSAxNjcuODEgMTk1LjM5IDE2Ny44NSAxOTYu&#10;OTcgMTY3Ljg3IDE5Ny43IDE2Ny44NyAxOTguNDIgMTY3LjgxIDE5OS4xNSAxNjcuNzUgMTk5Ljky&#10;IDE2Ny42NiAyMDAuNjggMTY3LjY1IDIwMS40NSAxNjcuNjUgMjAxLjc1IDE2Ny41MyAyMDIuMDIg&#10;MTY3LjE3IDIwMi4yNiAxNjYuODQgMjAyLjQ3IDE2Ni4zNiAyMDIuNiAxNjUuODcgMjAyLjYyIDE2&#10;NC44NCAyMDIuNjYgMTYzLjg1IDIwMi4yIDE2My44MSAyMDEuNiAxNjMuNzUgMjAwLjc2IDE2My42&#10;MyAxOTkuOTIgMTYzLjUzIDE5OS4wOCAxNjMuNDUgMTk4LjMyIDE2My40NSAxOTcuNTYgMTYzLjQ3&#10;IDE5Ni44MSAxNjMuNTEgMTk1LjE4IDE2My42MSAxOTMuNTUgMTYzLjcxIDE5MS45MSAxNjMuNzYg&#10;MTkxLjA5IDE2My44NCAxOTAuMjcgMTYzLjk1IDE4OS40NSAxNjQgMTg5LjA5IDE2NC4wNiAxODgu&#10;NzQgMTY0LjE0IDE4OC4zOCAxNjQuMTkgMTg4LjIgMTY0LjI1IDE4OC4wMyAxNjQuMzQgMTg3Ljg2&#10;IDE2NC40NSAxODcuNjUgMTY0LjU0IDE4Ny41MyAxNjQuNzYgMTg3LjM2IDE2NC45MyAxODcuMjMg&#10;MTY1LjE1IDE4Ny4xNiAxNjUuNDEgMTg3LjA5IDE2NS41NSAxODcuMDUgMTY1LjcxIDE4Ny4wNCAx&#10;NjUuODYgMTg3LjA1IDE2Ni4xNiAxODcuMDUgMTY2LjQ2IDE4Ny4xMyAxNjYuNjcgMTg3LjI0WiIg&#10;ZmlsbD0iIzAxMDEwMSIvPjxwYXRoIGQ9Ik0xODIuNCAxODcuMDhDMTgyLjYyIDE4Ny4xMSAxODIu&#10;NzggMTg3LjE3IDE4Mi45IDE4Ny4yNiAxODMuMDcgMTg3LjM2IDE4My4xOCAxODcuNDkgMTgzLjI2&#10;IDE4Ny42MyAxODMuMzMgMTg3Ljc0IDE4My4zNSAxODcuODcgMTgzLjM5IDE4Ny45OCAxODMuNDMg&#10;MTg4LjA5IDE4My40NiAxODguMTkgMTgzLjQ4IDE4OC4zIDE4My41NyAxODguNyAxODMuNjIgMTg5&#10;LjEgMTgzLjY2IDE4OS41IDE4My43NCAxOTAuMjkgMTgzLjc2IDE5MS4wOSAxODMuNzcgMTkxLjg5&#10;IDE4My44IDE5My41OCAxODMuODIgMTk1LjI4IDE4My44NSAxOTYuOTcgMTgzLjg4IDE5OC4yNiAx&#10;ODMuODEgMTk5LjU1IDE4My44NSAyMDAuODQgMTgzLjg1IDIwMS4xMiAxODMuNzMgMjAxLjM3IDE4&#10;My40IDIwMS41OCAxODMuMDkgMjAxLjc4IDE4Mi42NiAyMDEuOSAxODIuMiAyMDEuOTEgMTgxLjI2&#10;IDIwMS45NSAxODAuMzQgMjAxLjUyIDE4MC4zMSAyMDAuOTggMTgwLjI2IDIwMC4xMyAxODAuMTkg&#10;MTk5LjI3IDE4MC4xNiAxOTguNDIgMTgwLjEzIDE5Ny42MSAxODAuMTYgMTk2Ljc5IDE4MC4yIDE5&#10;NS45NyAxODAuMjggMTk0LjMyIDE4MC40IDE5Mi42OCAxODAuNTYgMTkxLjAzIDE4MC42MyAxOTAu&#10;MzIgMTgwLjcxIDE4OS42MSAxODAuODEgMTg4LjkgMTgwLjg2IDE4OC42IDE4MC45MSAxODguMjkg&#10;MTgxIDE4OCAxODEuMDggMTg3Ljc0IDE4MS4xOSAxODcuNDQgMTgxLjU0IDE4Ny4yNiAxODEuNTQg&#10;MTg3LjI2IDE4MS41NCAxODcuMjYgMTgxLjU0IDE4Ny4yNiAxODEuNzEgMTg3LjE0IDE4MiAxODcu&#10;MDggMTgyLjI3IDE4Ny4wOSAxODIuMzEgMTg3LjA5IDE4Mi4zNSAxODcuMDkgMTgyLjM5IDE4Ny4w&#10;OVoiIGZpbGw9IiMwMTAxMDEiLz48cGF0aCBkPSJNMTkwLjY4IDE4OC4zQzE5MC42OCAxODguMyAx&#10;OTAuNjggMTg4LjMgMTkwLjY5IDE4OC4zIDE5MC43IDE4OC4zIDE5MC43MiAxODguMyAxOTAuNzMg&#10;MTg4LjNMMTkwLjY4IDE4OC4zWk0xOTIuNiAxODYuODNDMTkyLjYgMTg2LjgzIDE5Mi42IDE4Ni44&#10;MyAxOTIuNiAxODYuODMgMTkyLjYgMTg2LjgzIDE5Mi42IDE4Ni44MyAxOTIuNiAxODYuODNaTTE5&#10;Mi41NCAxODYuODFDMTkyLjU0IDE4Ni44MSAxOTIuNTkgMTg2LjgzIDE5Mi42MSAxODYuODQgMTky&#10;LjYxIDE4Ni44NCAxOTIuNjEgMTg2Ljg0IDE5Mi42IDE4Ni44NCAxOTIuNTggMTg2Ljg0IDE5Mi41&#10;NiAxODYuODMgMTkyLjU0IDE4Ni44MlpNMTkyLjg2IDE4Ni45M0MxOTIuODYgMTg2LjkzIDE5Mi45&#10;NCAxODcgMTkyLjk3IDE4Ny4wNCAxOTMuMDQgMTg3LjA5IDE5My4xIDE4Ny4xNCAxOTMuMTUgMTg3&#10;LjIgMTkzLjM4IDE4Ny40NSAxOTMuNTUgMTg3LjcgMTkzLjY5IDE4Ny45NyAxOTMuOTcgMTg4LjUz&#10;IDE5NC4xMSAxODkuMTIgMTk0LjI1IDE4OS43IDE5NC40OCAxOTAuNjkgMTk0LjU5IDE5MS43IDE5&#10;NC43MyAxOTIuNyAxOTQuODYgMTkzLjcyIDE5NC45OSAxOTQuNzMgMTk1LjE4IDE5NS43NSAxOTUu&#10;MjcgMTk2LjIyIDE5NS4zMyAxOTYuNyAxOTUuMzcgMTk3LjE3IDE5NS40MSAxOTcuODEgMTk1LjI0&#10;IDE5OC40MyAxOTUuMDYgMTk5LjA2IDE5NC44OSAxOTkuNjMgMTkzLjk2IDIwMC4wNiAxOTIuOTYg&#10;MjAwLjEgMTkxLjkgMjAwLjE0IDE5MS4wMSAxOTkuNzYgMTkwLjY1IDE5OS4yMSAxOTAuNDkgMTk4&#10;Ljk3IDE5MC4zMyAxOTguNzIgMTkwLjE5IDE5OC40OCAxODkuOTkgMTk4LjEzIDE4OS44OSAxOTcu&#10;NzcgMTg5Ljc5IDE5Ny40MSAxODkuNjUgMTk2Ljk0IDE4OS42IDE5Ni40NyAxODkuNTYgMTk2IDE4&#10;OS40NiAxOTQuOTkgMTg5LjQyIDE5My45OCAxODkuMzUgMTkyLjk3IDE4OS4yOCAxOTEuOTUgMTg5&#10;LjI1IDE5MC45MyAxODkuMjUgMTg5LjkxIDE4OS4yNSAxODkuMzMgMTg5LjMgMTg4Ljc1IDE4OS4z&#10;OSAxODguMTcgMTg5LjQ0IDE4Ny44NSAxODkuNTYgMTg3LjQ2IDE4OS44NiAxODcuMTUgMTg5Ljk4&#10;IDE4Ni45NSAxOTAuMjEgMTg2Ljc3IDE5MC41NCAxODYuNjUgMTkwLjg1IDE4Ni41NCAxOTEuMiAx&#10;ODYuNDkgMTkxLjU1IDE4Ni41IDE5Mi4wOCAxODYuNTIgMTkyLjU5IDE4Ni42NyAxOTIuODkgMTg2&#10;LjkzWiIgZmlsbD0iIzAxMDEwMSIvPjxwYXRoIGQ9Ik0yMDYuNDkgMTg4LjY0QzIwNy4wMSAxODgu&#10;ODEgMjA3LjMzIDE4OS4wNSAyMDcuNTEgMTg5LjM4IDIwNy42NiAxODkuNjUgMjA3Ljc0IDE4OS45&#10;NCAyMDcuODIgMTkwLjIyIDIwNy45NiAxOTAuNjkgMjA4LjA4IDE5MS4xNSAyMDguMTggMTkxLjYy&#10;IDIwOC4zOSAxOTIuNTUgMjA4LjUzIDE5My40OSAyMDguNjUgMTk0LjQyIDIwOC43NyAxOTUuMzcg&#10;MjA4LjkxIDE5Ni4zMiAyMDkuMDQgMTk3LjI4IDIwOS4xIDE5Ny43MyAyMDkuMTYgMTk4LjE3IDIw&#10;OS4xNyAxOTguNjIgMjA5LjE4IDE5OS4wNSAyMDkuMTcgMTk5LjQ4IDIwOS4xNyAxOTkuOTEgMjA5&#10;LjE3IDE5OS45NyAyMDkuMTcgMjAwLjAzIDIwOS4xNyAyMDAuMSAyMDkuMTcgMjAwLjQgMjA5LjAz&#10;IDIwMC42OCAyMDguNjYgMjAwLjkyIDIwOC4zMiAyMDEuMTMgMjA3LjgzIDIwMS4yNiAyMDcuMzMg&#10;MjAxLjI4IDIwNi44IDIwMS4zIDIwNi4yOCAyMDEuMTkgMjA1Ljg5IDIwMC45OSAyMDUuNDkgMjAw&#10;Ljc4IDIwNS4zMyAyMDAuNTMgMjA1LjI1IDIwMC4yMyAyMDUgMTk5LjMzIDIwNC44IDE5OC40MyAy&#10;MDQuNyAxOTcuNTIgMjA0LjYxIDE5Ni41OSAyMDQuNTIgMTk1LjY1IDIwNC40MiAxOTQuNzIgMjA0&#10;LjMxIDE5My43OCAyMDQuMjIgMTkyLjgzIDIwNC4xNCAxOTEuODggMjA0LjEgMTkxLjQxIDIwNC4w&#10;NiAxOTAuOTQgMjA0LjAzIDE5MC40NyAyMDQuMDIgMTkwLjI2IDIwNC4wMSAxOTAuMDQgMjA0LjAy&#10;IDE4OS44MyAyMDQuMDMgMTg5LjQ3IDIwNC4wOSAxODkuMTIgMjA0LjU0IDE4OC44MyAyMDQuNTQg&#10;MTg4LjgzIDIwNC41NCAxODguODMgMjA0LjU1IDE4OC44MyAyMDQuODcgMTg4LjYzIDIwNS4zNyAx&#10;ODguNTIgMjA1Ljg1IDE4OC41MyAyMDYuMDYgMTg4LjUzIDIwNi4yNyAxODguNTcgMjA2LjQ2IDE4&#10;OC42M1oiIGZpbGw9IiMwMTAxMDEiLz48cGF0aCBkPSJNMjIyLjEgMTk0LjM4QzIyMi4xMiAxOTQu&#10;NDQgMjIyLjE0IDE5NC41MSAyMjIuMTYgMTk0LjU3IDIyMi4xNCAxOTQuNTEgMjIyLjEyIDE5NC40&#10;NCAyMjIuMSAxOTQuMzhaTTIyMC4xNSAxODguNzNDMjIwLjY1IDE4OC45OSAyMjAuNzMgMTg5LjQ4&#10;IDIyMC44NiAxODkuODMgMjIxLjA1IDE5MC4zNyAyMjEuMTkgMTkwLjkxIDIyMS4zMiAxOTEuNDUg&#10;MjIxLjU1IDE5Mi40MiAyMjEuNzkgMTkzLjQgMjIyLjEgMTk0LjM2IDIyMi40OSAxOTUuNDkgMjIy&#10;LjgzIDE5Ni42MiAyMjMuMTMgMTk3Ljc2IDIyMy40IDE5OC44IDIyMy43MSAxOTkuODQgMjIzLjg1&#10;IDIwMC45IDIyMy45MiAyMDEuNDYgMjIzLjI2IDIwMiAyMjIuMzIgMjAyLjE3IDIyMS43NyAyMDIu&#10;MjcgMjIxLjE1IDIwMi4yNSAyMjAuNjMgMjAyLjEgMjIwLjE1IDIwMS45NiAyMTkuNjUgMjAxLjY4&#10;IDIxOS41MyAyMDEuMzcgMjE4Ljc3IDE5OS40OSAyMTguNTMgMTk3LjU2IDIxOC40MyAxOTUuNjMg&#10;MjE4LjM4IDE5NC42MiAyMTguMzggMTkzLjYgMjE4LjI4IDE5Mi41OSAyMTguMTkgMTkxLjY2IDIx&#10;OC4wMiAxOTAuNzIgMjE3Ljk3IDE4OS43OCAyMTcuOTYgMTg5LjU0IDIxNy45MiAxODkuMjUgMjE4&#10;LjA2IDE4OS4wMSAyMTguMTMgMTg4Ljg0IDIxOC4zMiAxODguNjggMjE4LjU4IDE4OC41OSAyMTgu&#10;OCAxODguNTEgMjE5LjA1IDE4OC40OCAyMTkuMyAxODguNDggMjE5LjYyIDE4OC40OSAyMTkuOTMg&#10;MTg4LjU3IDIyMC4xNSAxODguNzFaIiBmaWxsPSIjMDEwMTAxIi8+PHBhdGggZD0iTTIzNS45MSAx&#10;OTAuMzVDMjM2LjA3IDE5MC40MyAyMzYuMTkgMTkwLjUzIDIzNi4yNiAxOTAuNjMgMjM2LjUyIDE5&#10;MC44NCAyMzYuNjUgMTkxLjEgMjM2Ljc2IDE5MS4zNSAyMzYuOTggMTkxLjgzIDIzNy4xMiAxOTIu&#10;MzIgMjM3LjIyIDE5Mi44MSAyMzcuNDIgMTkzLjcyIDIzNy41OCAxOTQuNjIgMjM3Ljc0IDE5NS41&#10;MyAyMzguMDYgMTk3LjMyIDIzOC42NSAxOTkuMSAyMzguNjggMjAwLjkgMjM4LjY4IDIwMS40MSAy&#10;MzguMiAyMDEuODcgMjM3LjMyIDIwMi4wMyAyMzYuMzUgMjAyLjIxIDIzNS4wOCAyMDEuOTEgMjM0&#10;LjgyIDIwMS4zMSAyMzQuMDIgMTk5LjQ3IDIzNCAxOTcuNTggMjMzLjcyIDE5NS43IDIzMy41OSAx&#10;OTQuOCAyMzMuNDUgMTkzLjkgMjMzLjMzIDE5MyAyMzMuMjcgMTkyLjU3IDIzMy4yMiAxOTIuMTQg&#10;MjMzLjI2IDE5MS43MSAyMzMuMjkgMTkxLjQzIDIzMy4zMSAxOTEuMTcgMjMzLjQ0IDE5MC45MiAy&#10;MzMuNDQgMTkwLjg3IDIzMy40NSAxOTAuODMgMjMzLjQ3IDE5MC43OSAyMzMuNTcgMTkwLjUgMjMz&#10;Ljk2IDE5MC4yNiAyMzQuNDUgMTkwLjE3IDIzNC42MiAxOTAuMTQgMjM0LjgxIDE5MC4xMiAyMzQu&#10;OTkgMTkwLjEzIDIzNS4zMiAxOTAuMTQgMjM1LjY1IDE5MC4yMSAyMzUuOSAxOTAuMzRaIiBmaWxs&#10;PSIjMDEwMTAxIi8+PHBhdGggZD0iTTI0OS4wOCAxODguMkMyNDkuMTQgMTg4LjI1IDI0OS4xOCAx&#10;ODguMyAyNDkuMjIgMTg4LjM2IDI0OS40NCAxODguNjIgMjQ5LjUgMTg4LjkyIDI0OS41OCAxODku&#10;MjEgMjQ5LjY5IDE4OS41OCAyNDkuNzggMTg5Ljk1IDI0OS44NiAxOTAuMzIgMjUwLjA0IDE5MS4w&#10;OSAyNTAuMjIgMTkxLjg3IDI1MC4zOSAxOTIuNjQgMjUwLjc0IDE5NC4xOSAyNTEuMTIgMTk1Ljcz&#10;IDI1MS42MiAxOTcuMjYgMjUxLjk1IDE5OC4yMiAyNTIuMjkgMTk5LjE4IDI1Mi41MyAyMDAuMTUg&#10;MjUyLjYzIDIwMC41OCAyNTIuNzIgMjAxLjAxIDI1Mi43OCAyMDEuNDUgMjUyLjgxIDIwMS42NyAy&#10;NTIuODQgMjAxLjg5IDI1Mi44NiAyMDIuMSAyNTIuODggMjAyLjM5IDI1Mi44NiAyMDIuNjggMjUy&#10;LjgzIDIwMi45NyAyNTIuODUgMjAzLjExIDI1Mi43OSAyMDMuMjUgMjUyLjY4IDIwMy4zOCAyNTIu&#10;NTEgMjAzLjU3IDI1Mi4yMSAyMDMuNzIgMjUxLjg1IDIwMy43OCAyNTEuMSAyMDMuOTIgMjUwLjMz&#10;IDIwMy42OCAyNTAuMDYgMjAzLjI3IDI0OS45IDIwMy4wMyAyNDkuNzMgMjAyLjc5IDI0OS42IDIw&#10;Mi41NCAyNDkuNSAyMDIuMzQgMjQ5LjQyIDIwMi4xNCAyNDkuMzMgMjAxLjk1IDI0OS4xMyAyMDEu&#10;NDcgMjQ4Ljk0IDIwMC45OSAyNDguNzkgMjAwLjUgMjQ4LjUxIDE5OS42IDI0OC4zMSAxOTguNyAy&#10;NDguMTIgMTk3Ljc5IDI0Ny43NSAxOTUuOTQgMjQ3LjM0IDE5NC4wOSAyNDcuMDMgMTkyLjI0IDI0&#10;Ni45MSAxOTEuNTYgMjQ2LjggMTkwLjg4IDI0Ni43IDE5MC4yMSAyNDYuNjUgMTg5Ljg4IDI0Ni42&#10;MSAxODkuNTUgMjQ2LjU5IDE4OS4yMyAyNDYuNTcgMTg4Ljk0IDI0Ni41NCAxODguNTkgMjQ2Ljc5&#10;IDE4OC4zMSAyNDYuOCAxODguMyAyNDYuODEgMTg4LjI4IDI0Ni44MiAxODguMjcgMjQ3LjAzIDE4&#10;OC4wNCAyNDcuNDUgMTg3Ljg4IDI0Ny45MSAxODcuODYgMjQ3Ljk2IDE4Ny44NiAyNDguMDEgMTg3&#10;Ljg2IDI0OC4wNiAxODcuODYgMjQ4LjQ3IDE4Ny44NyAyNDguODYgMTg4IDI0OS4wOCAxODguMloi&#10;IGZpbGw9IiMwMTAxMDEiLz48cGF0aCBkPSJNMjYyLjYgMTkxLjI3QzI2My40MiAxOTEuNDYgMjYz&#10;LjgzIDE5MiAyNjQuMTYgMTkyLjQzIDI2NC4zOSAxOTIuNzMgMjY0LjUzIDE5My4wNiAyNjQuNjcg&#10;MTkzLjM5IDI2NC45NiAxOTQuMDUgMjY1LjE5IDE5NC43MyAyNjUuNDIgMTk1LjQgMjY1Ljg4IDE5&#10;Ni43MiAyNjYuMjMgMTk4LjA2IDI2Ni42NiAxOTkuMzggMjY2Ljc3IDE5OS42NyAyNjYuODkgMTk5&#10;Ljk3IDI2Ni45MiAyMDAuMjcgMjY2Ljk0IDIwMC41NiAyNjYuOTQgMjAwLjg1IDI2Ni45MyAyMDEu&#10;MTQgMjY2LjkyIDIwMS42NCAyNjYuNDcgMjAyLjA5IDI2NS42IDIwMi4yNSAyNjUuMTEgMjAyLjM0&#10;IDI2NC41OCAyMDIuMzIgMjY0LjEyIDIwMi4xOCAyNjMuNjMgMjAyLjA0IDI2My4zNiAyMDEuODIg&#10;MjYzLjE1IDIwMS41NCAyNjIuOTMgMjAxLjI2IDI2Mi43MyAyMDAuOTggMjYyLjU2IDIwMC42OSAy&#10;NjIuMzUgMjAwLjM0IDI2Mi4yOCAxOTkuOTcgMjYyLjE3IDE5OS42MSAyNjEuNzQgMTk4LjM3IDI2&#10;MS4zMSAxOTcuMTMgMjYwLjkyIDE5NS44OCAyNjAuNzIgMTk1LjIzIDI2MC41MyAxOTQuNTggMjYw&#10;LjM0IDE5My45MyAyNjAuMjQgMTkzLjYxIDI2MC4xNSAxOTMuMjkgMjYwLjA1IDE5Mi45NiAyNTku&#10;OTYgMTkyLjY2IDI1OS44MiAxOTIuMjggMjU5Ljk5IDE5MS45OCAyNjAuMTUgMTkxLjcgMjYwLjM0&#10;IDE5MS40OCAyNjAuNzkgMTkxLjMyIDI2MS4xMyAxOTEuMiAyNjEuNDggMTkxLjE1IDI2MS44NSAx&#10;OTEuMTYgMjYyLjEgMTkxLjE2IDI2Mi4zNiAxOTEuMiAyNjIuNjEgMTkxLjI2WiIgZmlsbD0iIzAx&#10;MDEwMSIvPjxwYXRoIGQ9Ik0yNzYuODMgMTkxLjI2QzI3Ny4zNyAxOTEuMzkgMjc3LjY2IDE5MS43&#10;MiAyNzcuODUgMTkyLjAxIDI3Ny45NyAxOTIuMTkgMjc4LjA1IDE5Mi4zNyAyNzguMTEgMTkyLjU1&#10;IDI3OC4yOSAxOTMuMDUgMjc4LjQ2IDE5My41NSAyNzguNjEgMTk0LjA1IDI3OC44NyAxOTQuODkg&#10;Mjc5LjA1IDE5NS43MyAyNzkuMjQgMTk2LjU3IDI3OS40MyAxOTcuNCAyNzkuNTggMTk4LjIzIDI3&#10;OS44MSAxOTkuMDUgMjc5LjkyIDE5OS40NCAyODAuMDQgMTk5Ljg0IDI4MC4xNSAyMDAuMjMgMjgw&#10;LjIxIDIwMC40NCAyODAuMjYgMjAwLjY1IDI4MC4zMSAyMDAuODYgMjgwLjMzIDIwMC45NCAyODAu&#10;MzYgMjAxLjAzIDI4MC4zNyAyMDEuMTIgMjgwLjQgMjAxLjM0IDI4MC4zNyAyMDEuNTUgMjgwLjMy&#10;IDIwMS43NyAyODAuMjQgMjAxLjk4IDI4MC4wNyAyMDIuMTcgMjc5LjgxIDIwMi4zNCAyNzkuNDQg&#10;MjAyLjU3IDI3OC45MiAyMDIuNzEgMjc4LjM4IDIwMi43MyAyNzcuNCAyMDIuNzYgMjc2LjU5IDIw&#10;Mi40MSAyNzYuMjUgMjAxLjkxIDI3NS45NCAyMDEuNDQgMjc1LjkgMjAwLjkxIDI3NS44MSAyMDAu&#10;NDIgMjc1Ljc0IDIwMC4wMiAyNzUuNjkgMTk5LjYyIDI3NS42NCAxOTkuMjMgMjc1LjUzIDE5OC40&#10;MSAyNzUuMzMgMTk3LjYgMjc1LjE3IDE5Ni43OSAyNzUgMTk1Ljk0IDI3NC44NCAxOTUuMDkgMjc0&#10;LjY4IDE5NC4yNCAyNzQuNjEgMTkzLjgzIDI3NC41MyAxOTMuNDIgMjc0LjQ4IDE5My4wMiAyNzQu&#10;NDYgMTkyLjgzIDI3NC40NSAxOTIuNjQgMjc0LjQ3IDE5Mi40NCAyNzQuNDkgMTkyLjI5IDI3NC40&#10;OCAxOTIuMTEgMjc0LjU3IDE5MS45NiAyNzQuNjYgMTkxLjggMjc0Ljc3IDE5MS41OCAyNzUuMDEg&#10;MTkxLjQ2IDI3NS4xOSAxOTEuMzUgMjc1LjQxIDE5MS4yNyAyNzUuNjYgMTkxLjIyIDI3NS44NCAx&#10;OTEuMTkgMjc2LjAyIDE5MS4xNyAyNzYuMTkgMTkxLjE4IDI3Ni40IDE5MS4xOCAyNzYuNjEgMTkx&#10;LjIyIDI3Ni44MiAxOTEuMjdaIiBmaWxsPSIjMDEwMTAxIi8+PHBhdGggZD0iTTI4OC42MiAxOTEu&#10;NzFDMjg5LjI1IDE5MS45MSAyODkuNDkgMTkyLjI3IDI4OS42MyAxOTIuNjQgMjg5Ljc2IDE5Mi45&#10;OCAyODkuODQgMTkzLjMzIDI4OS45MyAxOTMuNjggMjkwLjA3IDE5NC4yMyAyOTAuMTcgMTk0Ljc5&#10;IDI5MC4yNyAxOTUuMzQgMjkwLjQ4IDE5Ni41NCAyOTAuNjIgMTk3Ljc0IDI5MC43MiAxOTguOTUg&#10;MjkwLjc2IDE5OS40NSAyOTAuMDkgMTk5LjkgMjg5LjE5IDE5OS45MyAyODguNzUgMTk5Ljk1IDI4&#10;OC4zMSAxOTkuODYgMjg3Ljk5IDE5OS42OSAyODcuNjUgMTk5LjUxIDI4Ny41MyAxOTkuMzEgMjg3&#10;LjQ2IDE5OS4wNiAyODcuMTEgMTk3Ljg3IDI4Ni44NCAxOTYuNjggMjg2LjY0IDE5NS40OCAyODYu&#10;NTUgMTk0Ljk0IDI4Ni40NyAxOTQuMzkgMjg2LjQzIDE5My44NSAyODYuNDEgMTkzLjU3IDI4Ni4z&#10;OCAxOTMuMjggMjg2LjQgMTkzIDI4Ni40MyAxOTIuNTQgMjg2LjQ3IDE5Mi4wNSAyODcuMjMgMTkx&#10;Ljc2IDI4Ny40NyAxOTEuNjcgMjg3Ljc4IDE5MS42MiAyODguMDggMTkxLjYzIDI4OC4yNyAxOTEu&#10;NjMgMjg4LjQ2IDE5MS42NiAyODguNjMgMTkxLjcyWiIgZmlsbD0iIzAxMDEwMSIvPjxwYXRoIGQ9&#10;Ik0yOTguODYgMTkwLjA3QzI5OS4yMyAxOTAuMTcgMjk5LjUgMTkwLjM1IDI5OS42OSAxOTAuNTUg&#10;Mjk5LjkxIDE5MC43OCAzMDAuMDggMTkxLjAyIDMwMC4yMiAxOTEuMjcgMzAwLjQ1IDE5MS42OCAz&#10;MDAuNiAxOTIuMSAzMDAuNzUgMTkyLjUyIDMwMS4wNyAxOTMuNDMgMzAxLjMxIDE5NC4zNCAzMDEu&#10;NTIgMTk1LjI1IDMwMS45MyAxOTcuMDEgMzAyLjI4IDE5OC43NyAzMDIuNTYgMjAwLjUzIDMwMi42&#10;NyAyMDEuMjEgMzAyLjc4IDIwMS44OSAzMDIuODEgMjAyLjU4IDMwMi44MyAyMDMuMDcgMzAyLjM0&#10;IDIwMy41MSAzMDEuNTEgMjAzLjY3IDMwMS4wMyAyMDMuNzYgMzAwLjUxIDIwMy43NCAzMDAuMDYg&#10;MjAzLjYxIDI5OS42NSAyMDMuNDkgMjk5LjIyIDIwMy4yNSAyOTkuMTIgMjAyLjk4IDI5OC43NCAy&#10;MDIuMDUgMjk4LjUgMjAxLjA5IDI5OC4yOSAyMDAuMTQgMjk4LjEgMTk5LjI4IDI5Ny45MyAxOTgu&#10;NDIgMjk3Ljc4IDE5Ny41NyAyOTcuNDkgMTk1LjgxIDI5Ny4yNiAxOTQuMDUgMjk3LjExIDE5Mi4y&#10;OSAyOTcuMDkgMTkxLjk4IDI5Ny4wNiAxOTEuNjcgMjk3LjA2IDE5MS4zNiAyOTcuMDYgMTkxLjA0&#10;IDI5Ny4wMyAxOTAuNjYgMjk3LjMxIDE5MC4zNyAyOTcuNTUgMTkwLjEzIDI5Ny45NyAxOTAgMjk4&#10;LjQxIDE5MC4wMSAyOTguNTYgMTkwLjAxIDI5OC43MSAxOTAuMDQgMjk4Ljg2IDE5MC4wOFoiIGZp&#10;bGw9IiMwMTAxMDEiLz48cGF0aCBkPSJNMzEzLjA1IDE5Mi4yNkMzMTMuNCAxOTIuNDIgMzEzLjYx&#10;IDE5Mi42NyAzMTMuNzYgMTkyLjkgMzEzLjg2IDE5My4wNSAzMTMuOTIgMTkzLjIxIDMxMy45OCAx&#10;OTMuMzcgMzE0LjE1IDE5My44MiAzMTQuMjggMTk0LjI2IDMxNC4zOCAxOTQuNzEgMzE0LjU1IDE5&#10;NS40NSAzMTQuNjkgMTk2LjE5IDMxNC44IDE5Ni45MyAzMTQuOTIgMTk3LjY1IDMxNS4wMiAxOTgu&#10;MzcgMzE1LjEzIDE5OS4wOSAzMTUuMTggMTk5LjQ0IDMxNS4yNSAxOTkuNzkgMzE1LjI5IDIwMC4x&#10;NSAzMTUuMzQgMjAwLjY1IDMxNS4yMyAyMDEuMTYgMzE1LjEzIDIwMS42NiAzMTUuMDMgMjAyLjE1&#10;IDMxNC4xNCAyMDIuNTIgMzEzLjMyIDIwMi41NSAzMTIuNDUgMjAyLjU4IDMxMS42IDIwMi4yNiAz&#10;MTEuMzQgMjAxLjc5IDMxMS4wOCAyMDEuMzIgMzEwLjg1IDIwMC44NiAzMTAuNzQgMjAwLjM3IDMx&#10;MC42NyAyMDAuMDMgMzEwLjYyIDE5OS42OCAzMTAuNTYgMTk5LjM0IDMxMC40NSAxOTguNjEgMzEw&#10;LjMyIDE5Ny44OCAzMTAuMjIgMTk3LjE1IDMxMC4xMiAxOTYuNDEgMzEwLjAzIDE5NS42OCAzMDku&#10;OTcgMTk0Ljk0IDMwOS45NCAxOTQuNTYgMzA5LjkgMTk0LjE4IDMwOS45MSAxOTMuOCAzMDkuOTEg&#10;MTkzLjMxIDMwOS45MSAxOTIuNjkgMzEwLjU3IDE5Mi4zMiAzMTAuOSAxOTIuMTQgMzExLjI4IDE5&#10;Mi4wMiAzMTEuNzUgMTkyIDMxMS44MiAxOTIgMzExLjg4IDE5MiAzMTEuOTQgMTkyIDMxMi4zNSAx&#10;OTIuMDEgMzEyLjY5IDE5Mi4xMSAzMTMuMDIgMTkyLjI1WiIgZmlsbD0iIzAxMDEwMSIvPjxwYXRo&#10;IGQ9Ik0zMjYuOSAxOTEuODJDMzI3LjM4IDE5MS45MyAzMjcuNjYgMTkyLjI1IDMyNy43OSAxOTIu&#10;NTEgMzI3LjkzIDE5Mi43NyAzMjguMDEgMTkzLjA0IDMyOC4wOSAxOTMuMyAzMjguMjMgMTkzLjcy&#10;IDMyOC4zNCAxOTQuMTUgMzI4LjQ0IDE5NC41OCAzMjguNjQgMTk1LjQzIDMyOC44MSAxOTYuMjcg&#10;MzI5LjAxIDE5Ny4xMiAzMjkuMzkgMTk4Ljc5IDMyOS42OCAyMDAuNDYgMzI5Ljk1IDIwMi4xNCAz&#10;MzAuMTIgMjAzLjIxIDMzMC4zNiAyMDQuMjcgMzMwLjQ3IDIwNS4zNCAzMzAuNTIgMjA1LjgzIDMy&#10;OS45NyAyMDYuMyAzMjkuMTQgMjA2LjQ1IDMyOC42NiAyMDYuNTQgMzI4LjEyIDIwNi41MiAzMjcu&#10;NjYgMjA2LjM5IDMyNy4yNCAyMDYuMjcgMzI2LjggMjA2LjAyIDMyNi43IDIwNS43NSAzMjYuMzMg&#10;MjA0LjgzIDMyNi4xMyAyMDMuOSAzMjUuOTEgMjAyLjk2IDMyNS43MiAyMDIuMTYgMzI1LjUyIDIw&#10;MS4zNyAzMjUuMzUgMjAwLjU3IDMyNSAxOTguODUgMzI0Ljc2IDE5Ny4xMiAzMjQuNjkgMTk1LjM5&#10;IDMyNC42NyAxOTQuODIgMzI0LjY2IDE5NC4yNCAzMjQuNjkgMTkzLjY3IDMyNC43MSAxOTMuMzQg&#10;MzI0LjcyIDE5MyAzMjQuODIgMTkyLjY3IDMyNC44NiAxOTIuNTEgMzI0LjkzIDE5Mi4zMiAzMjUu&#10;MDggMTkyLjE4IDMyNS4yMSAxOTIuMDYgMzI1LjM1IDE5MS45MyAzMjUuNTkgMTkxLjg2IDMyNS44&#10;NyAxOTEuNzggMzI2LjEyIDE5MS43NCAzMjYuMzkgMTkxLjc1IDMyNi41NSAxOTEuNzUgMzI2Ljcy&#10;IDE5MS43OCAzMjYuOSAxOTEuODJaIiBmaWxsPSIjMDEwMTAxIi8+PHBhdGggZD0iTTM0MC4yOCAx&#10;OTIuMDFDMzQwLjcgMTkyLjE5IDM0MC45MiAxOTIuNSAzNDEuMTIgMTkyLjc2IDM0MS4yOCAxOTIu&#10;OTcgMzQxLjM4IDE5My4yIDM0MS40NyAxOTMuNDIgMzQxLjcxIDE5My45OCAzNDEuODggMTk0LjU2&#10;IDM0Mi4wMyAxOTUuMTQgMzQyLjMgMTk2LjE1IDM0Mi41MSAxOTcuMTcgMzQyLjcyIDE5OC4xOCAz&#10;NDIuOTQgMTk5LjE3IDM0My4xNCAyMDAuMTUgMzQzLjM2IDIwMS4xMyAzNDMuNTggMjAyLjEyIDM0&#10;My44NSAyMDMuMDkgMzQ0LjExIDIwNC4wOCAzNDQuMTkgMjA0LjM3IDM0NC4yNiAyMDQuNjYgMzQ0&#10;LjMyIDIwNC45NiAzNDQuNDQgMjA1LjUyIDM0My43IDIwNi4wNyAzNDIuNzkgMjA2LjI0IDM0Mi4y&#10;MyAyMDYuMzQgMzQxLjYxIDIwNi4zMiAzNDEuMDkgMjA2LjE3IDM0MC42MSAyMDYuMDMgMzQwLjEg&#10;MjA1Ljc1IDMzOS45OCAyMDUuNDQgMzM5LjE5IDIwMy40MiAzMzguNjUgMjAxLjM1IDMzOC4yMSAx&#10;OTkuMjkgMzM4IDE5OC4yOSAzMzcuODEgMTk3LjI4IDMzNy42MyAxOTYuMjggMzM3LjU0IDE5NS43&#10;OCAzMzcuNDcgMTk1LjI4IDMzNy4zOSAxOTQuNzggMzM3LjMxIDE5NC4zIDMzNy4yMyAxOTMuODIg&#10;MzM3LjIzIDE5My4zNCAzMzcuMjMgMTkzLjEzIDMzNy4yNSAxOTIuOTEgMzM3LjMxIDE5Mi43MSAz&#10;MzcuMzggMTkyLjQ3IDMzNy41OCAxOTIuMjkgMzM3Ljg0IDE5Mi4xIDMzOC4wOSAxOTEuOTEgMzM4&#10;LjYgMTkxLjggMzM5LjAxIDE5MS43OCAzMzkuMDggMTkxLjc4IDMzOS4xNCAxOTEuNzggMzM5LjIx&#10;IDE5MS43OCAzMzkuNjEgMTkxLjc5IDMzOS45NCAxOTEuODkgMzQwLjI4IDE5Mi4wM1oiIGZpbGw9&#10;IiMwMTAxMDEiLz48cGF0aCBkPSJNMzYwLjM5IDIwMi44OEMzNjAuNDEgMjAyLjk1IDM2MC40NCAy&#10;MDMuMDIgMzYwLjQ2IDIwMy4wOSAzNjAuNDQgMjAzLjAyIDM2MC40MSAyMDIuOTUgMzYwLjM5IDIw&#10;Mi44OFpNMzU5LjIzIDE5OS4xM0MzNTkuMjMgMTk5LjEzIDM1OS4yNSAxOTkuMTggMzU5LjI2IDE5&#10;OS4yMSAzNTkuMjYgMTk5LjE4IDM1OS4yNCAxOTkuMTYgMzU5LjIzIDE5OS4xM1pNMzU1LjU4IDE5&#10;Mi4zQzM1Ny4wMyAxOTIuNDcgMzU3LjQ2IDE5My4yOCAzNTcuNzEgMTk0IDM1Ny45NCAxOTQuNjUg&#10;MzU4LjE0IDE5NS4zMSAzNTguMzMgMTk1Ljk3IDM1OC42NSAxOTcuMDYgMzU4LjkxIDE5OC4xNiAz&#10;NTkuMjcgMTk5LjI1IDM1OS40OSAxOTkuODkgMzU5LjcyIDIwMC41MiAzNTkuOTEgMjAxLjE2IDM2&#10;MC4wNyAyMDEuNzMgMzYwLjIgMjAyLjMgMzYwLjM5IDIwMi44NiAzNjAuNTEgMjAzLjIxIDM2MC42&#10;MyAyMDMuNTcgMzYwLjc0IDIwMy45MiAzNjAuNzYgMjA0LjE3IDM2MC42OCAyMDQuNDEgMzYwLjQ3&#10;IDIwNC42NCAzNjAuMTcgMjA0Ljk3IDM1OS42NSAyMDUuMjMgMzU5LjAzIDIwNS4zNCAzNTguNDEg&#10;MjA1LjQ2IDM1Ny43MiAyMDUuNDIgMzU3LjEzIDIwNS4yNiAzNTYuNTkgMjA1LjExIDM1Ni4wNCAy&#10;MDQuNzkgMzU1Ljg5IDIwNC40NCAzNTUuNDYgMjAzLjM5IDM1NS4wOSAyMDIuMzMgMzU0Ljc1IDIw&#10;MS4yOCAzNTQuNDMgMjAwLjMgMzU0LjI1IDE5OS4zMSAzNTQuMDIgMTk4LjMyIDM1My44IDE5Ny4z&#10;OSAzNTMuNTkgMTk2LjQ3IDM1My40IDE5NS41NCAzNTMuMzEgMTk1LjA3IDM1My4yMiAxOTQuNjEg&#10;MzUzLjE0IDE5NC4xNCAzNTMuMSAxOTMuODYgMzUzLjEgMTkzLjYxIDM1My4xNCAxOTMuMzMgMzUz&#10;LjIyIDE5Mi43MyAzNTQuMjYgMTkyLjI1IDM1NS4zIDE5Mi4yOCAzNTUuMzkgMTkyLjI4IDM1NS40&#10;OCAxOTIuMjggMzU1LjU3IDE5Mi4zWiIgZmlsbD0iIzAxMDEwMSIvPjxwYXRoIGQ9Ik0zNjkuNjEg&#10;MTkxLjg2QzM2OS45OSAxOTIuMDcgMzcwLjE1IDE5Mi4yNSAzNzAuMzggMTkyLjUyIDM3MC42NCAx&#10;OTIuODMgMzcwLjc5IDE5My4xNiAzNzAuOTMgMTkzLjQ4IDM3MS4yOSAxOTQuMjkgMzcxLjQ4IDE5&#10;NS4xMiAzNzEuNzEgMTk1Ljk0IDM3Mi4xIDE5Ny4zNyAzNzIuNDQgMTk4LjggMzcyLjcyIDIwMC4y&#10;MyAzNzIuODYgMjAwLjkxIDM3MS44MSAyMDEuNTEgMzcwLjY2IDIwMS41NSAzNzAuMDcgMjAxLjU3&#10;IDM2OS40OCAyMDEuNDUgMzY5LjA1IDIwMS4yMyAzNjguNTkgMjAwLjk5IDM2OC40NCAyMDAuNzIg&#10;MzY4LjMzIDIwMC4zOCAzNjcuOTEgMTk4Ljk2IDM2Ny42IDE5Ny41NCAzNjcuMjkgMTk2LjExIDM2&#10;Ny4xMyAxOTUuMzkgMzY2Ljk4IDE5NC42NyAzNjYuODQgMTkzLjk1IDM2Ni43OCAxOTMuNjQgMzY2&#10;LjcyIDE5My4zMiAzNjYuNjcgMTkzLjAxIDM2Ni41OCAxOTIuNDYgMzY2Ljc3IDE5MS44MSAzNjcu&#10;ODYgMTkxLjYyIDM2OC4wNiAxOTEuNTkgMzY4LjI3IDE5MS41NyAzNjguNDggMTkxLjU4IDM2OC45&#10;IDE5MS41OSAzNjkuMzIgMTkxLjY5IDM2OS42MSAxOTEuODVaIiBmaWxsPSIjMDEwMTAxIi8+PHBh&#10;dGggZD0iTTM3OS45NSAxODkuMzNDMzc5Ljk5IDE4OS4zOSAzODAgMTg5LjQ2IDM4MC4wMSAxODku&#10;NTIgMzgwLjA2IDE4OS41OCAzODAuMTEgMTg5LjY1IDM4MC4xNSAxODkuNzEgMzgwLjI5IDE4OS45&#10;NSAzODAuNCAxOTAuMiAzODAuNTEgMTkwLjQ1IDM4MC43NSAxOTEuMDEgMzgwLjkyIDE5MS41NyAz&#10;ODEuMDkgMTkyLjE0IDM4MS40IDE5My4xOSAzODEuNjggMTk0LjI1IDM4MS45NiAxOTUuMzEgMzgy&#10;LjUxIDE5Ny4zOCAzODMuMDIgMTk5LjQ0IDM4My41NSAyMDEuNTEgMzgzLjY5IDIwMi4wNSAzODMu&#10;NzQgMjAyLjU4IDM4My43NyAyMDMuMTMgMzgzLjggMjAzLjY4IDM4My44OCAyMDQuMjMgMzgzLjg4&#10;IDIwNC43OSAzODMuODggMjA1LjI5IDM4My40MSAyMDUuNzQgMzgyLjU1IDIwNS45IDM4MS41NSAy&#10;MDYuMDkgMzgwLjQyIDIwNS43NyAzODAuMSAyMDUuMiAzNzkuODIgMjA0LjcgMzc5LjYxIDIwNC4x&#10;OSAzNzkuMzggMjAzLjY5IDM3OS4xMiAyMDMuMTEgMzc4Ljg3IDIwMi41NCAzNzguNyAyMDEuOTUg&#10;Mzc4LjQyIDIwMC45MSAzNzguMjQgMTk5Ljg1IDM3OC4wNSAxOTguOCAzNzcuNjYgMTk2LjcgMzc3&#10;LjMzIDE5NC41OSAzNzcuMjIgMTkyLjQ4IDM3Ny4xOSAxOTEuOTMgMzc3LjIgMTkxLjM4IDM3Ny4y&#10;NSAxOTAuODQgMzc3LjI5IDE5MC41MiAzNzcuMzMgMTkwLjIgMzc3LjQyIDE4OS44OSAzNzcuNDYg&#10;MTg5Ljc2IDM3Ny41MyAxODkuNjQgMzc3LjYxIDE4OS41MiAzNzcuNjEgMTg5LjQ4IDM3Ny42MSAx&#10;ODkuNDQgMzc3LjYzIDE4OS40MSAzNzcuNzMgMTg5LjExIDM3OC4xOSAxODguODggMzc4LjczIDE4&#10;OC44NyAzNzguNzggMTg4Ljg3IDM3OC44MiAxODguODcgMzc4Ljg3IDE4OC44NyAzNzkuMzYgMTg4&#10;Ljg5IDM3OS43OSAxODkuMDcgMzc5Ljk1IDE4OS4zNFoiIGZpbGw9IiMwMTAxMDEiLz48cGF0aCBk&#10;PSJNMzk2Ljk2IDE5MC4xNEMzOTcuODcgMTkwLjQgMzk4LjIyIDE5MS4wMSAzOTguNSAxOTEuNTMg&#10;Mzk4Ljc2IDE5Mi4wMSAzOTguOTIgMTkyLjUgMzk5LjEgMTkyLjk5IDM5OS40OSAxOTQuMTEgMzk5&#10;LjgyIDE5NS4yNSA0MDAuMTUgMTk2LjM4IDQwMC43NSAxOTguNDEgNDAxLjM3IDIwMC40NSA0MDEu&#10;NzYgMjAyLjUgNDAxLjc5IDIwMi42NCA0MDEuODEgMjAyLjc4IDQwMS44MyAyMDIuOTIgNDAxLjkz&#10;IDIwMy41MiA0MDEuMTkgMjA0LjA5IDQwMC4yMSAyMDQuMjcgMzk5LjA1IDIwNC40OSAzOTcuNTUg&#10;MjA0LjEyIDM5Ny4yMyAyMDMuNDIgMzk2LjI2IDIwMS4yNCAzOTUuNjggMTk5LjAxIDM5NS4xMyAx&#10;OTYuNzkgMzk0Ljg4IDE5NS43OSAzOTQuNjQgMTk0Ljc4IDM5NC40OSAxOTMuNzcgMzk0LjQxIDE5&#10;My4yNSAzOTQuMzMgMTkyLjczIDM5NC4zMyAxOTIuMjIgMzk0LjMzIDE5MS45IDM5NC4zNiAxOTEu&#10;NTkgMzk0LjQxIDE5MS4yNyAzOTQuNDYgMTkwLjk0IDM5NC42NCAxOTAuNjUgMzk0Ljk5IDE5MC4z&#10;OCAzOTUuMDEgMTkwLjM2IDM5NS4wMyAxOTAuMzUgMzk1LjA2IDE5MC4zNCAzOTUuMjUgMTkwLjIy&#10;IDM5NS40OCAxOTAuMTQgMzk1Ljc0IDE5MC4wOSAzOTUuOTMgMTkwLjA1IDM5Ni4xMyAxOTAuMDQg&#10;Mzk2LjMzIDE5MC4wNSAzOTYuNTUgMTkwLjA1IDM5Ni43NiAxOTAuMDkgMzk2Ljk2IDE5MC4xNVoi&#10;IGZpbGw9IiMwMTAxMDEiLz48cGF0aCBkPSJNNDA5LjI0IDE5Ni41OEM0MDkuODkgMTk2Ljc2IDQx&#10;MC4xMyAxOTcuMTQgNDEwLjI3IDE5Ny41MSA0MTAuNCAxOTcuODggNDEwLjUgMTk4LjI0IDQxMC42&#10;IDE5OC42MSA0MTAuNzUgMTk5LjE4IDQxMC44NyAxOTkuNzUgNDEwLjk3IDIwMC4zMiA0MTEuMTkg&#10;MjAxLjUyIDQxMS4zOCAyMDIuNzMgNDExLjQyIDIwMy45NCA0MTEuNDMgMjA0LjU2IDQxMC42NiAy&#10;MDUuMSA0MDkuNTQgMjA1LjE0IDQwOS4wMSAyMDUuMTYgNDA4LjQ3IDIwNS4wNSA0MDguMDcgMjA0&#10;Ljg1IDQwNy42NSAyMDQuNjMgNDA3LjUxIDIwNC4zOCA0MDcuNDIgMjA0LjA4IDQwNy4wNSAyMDIu&#10;ODYgNDA2Ljg2IDIwMS42MSA0MDYuNzIgMjAwLjM3IDQwNi42NSAxOTkuNzYgNDA2LjYgMTk5LjE1&#10;IDQwNi42MSAxOTguNTMgNDA2LjYxIDE5OC4xNyA0MDYuNjMgMTk3LjggNDA2Ljc3IDE5Ny40NSA0&#10;MDYuODcgMTk3LjIxIDQwNy4wMyAxOTcgNDA3LjMgMTk2LjgxIDQwNy42MiAxOTYuNTkgNDA4LjEz&#10;IDE5Ni40OCA0MDguNjIgMTk2LjQ5IDQwOC44MyAxOTYuNDkgNDA5LjA1IDE5Ni41MyA0MDkuMjQg&#10;MTk2LjU4WiIgZmlsbD0iIzAxMDEwMSIvPjxwYXRoIGQ9Ik00MTkuOTUgMTkyLjQ0QzQyMC40MiAx&#10;OTIuNjMgNDIwLjcgMTkzLjAxIDQyMC45IDE5My4zIDQyMS4wNCAxOTMuNTEgNDIxLjEzIDE5My43&#10;MyA0MjEuMjMgMTkzLjk0IDQyMS40OSAxOTQuNTMgNDIxLjY1IDE5NS4xMyA0MjEuODEgMTk1Ljcz&#10;IDQyMi4wOCAxOTYuNzYgNDIyLjI1IDE5Ny44IDQyMi40NSAxOTguODQgNDIyLjY1IDE5OS44OCA0&#10;MjIuODMgMjAwLjkxIDQyMy4wMSAyMDEuOTYgNDIzLjIgMjAzLjA0IDQyMy40NCAyMDQuMTIgNDIz&#10;LjUxIDIwNS4yMSA0MjMuNTUgMjA1LjgxIDQyMi45MiAyMDYuMzYgNDIxLjkxIDIwNi41NSA0MjAu&#10;NjkgMjA2Ljc4IDQxOS4zNyAyMDYuMzkgNDE4Ljk2IDIwNS43IDQxOC4yOCAyMDQuNTggNDE3Ljk3&#10;IDIwMy4zOSA0MTcuNjEgMjAyLjIyIDQxNy4yOSAyMDEuMTkgNDE3LjA3IDIwMC4xNSA0MTYuODgg&#10;MTk5LjEgNDE2LjcgMTk4LjA3IDQxNi41MiAxOTcuMDQgNDE2LjQ1IDE5NiA0MTYuNDEgMTk1LjQ4&#10;IDQxNi4zNyAxOTQuOTUgNDE2LjQxIDE5NC40MyA0MTYuNDMgMTk0LjExIDQxNi40NCAxOTMuNzcg&#10;NDE2LjU1IDE5My40NSA0MTYuNjIgMTkzLjI2IDQxNi43MiAxOTMuMDYgNDE2Ljg3IDE5Mi44OSA0&#10;MTcuMDcgMTkyLjY0IDQxNy4zNCAxOTIuNTEgNDE3LjcgMTkyLjM0IDQxNy45NyAxOTIuMjQgNDE4&#10;LjI3IDE5Mi4xOSA0MTguNTkgMTkyLjE3IDQxOC42NiAxOTIuMTcgNDE4LjczIDE5Mi4xNyA0MTgu&#10;OCAxOTIuMTcgNDE5LjI0IDE5Mi4xOCA0MTkuNTggMTkyLjI5IDQxOS45NSAxOTIuNDRaIiBmaWxs&#10;PSIjMDEwMTAxIi8+PHBhdGggZD0iTTQzNSAyMDAuNTdDNDM1IDIwMC41NyA0MzUuMDMgMjAwLjY2&#10;IDQzNS4wNSAyMDAuNzEgNDM1LjA0IDIwMC42NiA0MzUuMDIgMjAwLjYyIDQzNSAyMDAuNTdaTTQz&#10;MC4xMiAxOTEuNDdDNDMxLjE5IDE5MS41NCA0MzEuNzEgMTkyLjE3IDQzMi4xIDE5Mi42NCA0MzIu&#10;MzYgMTkyLjk2IDQzMi41MSAxOTMuMzIgNDMyLjY3IDE5My42NiA0MzMuMDYgMTk0LjUgNDMzLjMz&#10;IDE5NS4zNiA0MzMuNjEgMTk2LjIxIDQzNC4wOSAxOTcuNjQgNDM0LjUgMTk5LjA4IDQzNC45OCAy&#10;MDAuNTIgNDM1LjQyIDIwMS44MiA0MzUuOTIgMjAzLjEyIDQzNi4yNSAyMDQuNDMgNDM2LjM5IDIw&#10;NSA0MzUuNiAyMDUuNTcgNDM0LjY4IDIwNS43NCA0MzMuNTEgMjA1Ljk2IDQzMi4xNSAyMDUuNTkg&#10;NDMxLjc5IDIwNC45MSA0MzEuMTkgMjAzLjc4IDQzMC44NCAyMDIuNjIgNDMwLjQ3IDIwMS40NyA0&#10;MzAuMTQgMjAwLjQ3IDQyOS44MyAxOTkuNDYgNDI5LjUxIDE5OC40NiA0MjkuMTggMTk3LjQxIDQy&#10;OC44NSAxOTYuMzYgNDI4LjU2IDE5NS4zMSA0MjguNDEgMTk0LjgxIDQyOC4yNyAxOTQuMzEgNDI4&#10;LjE3IDE5My44IDQyOC4xMiAxOTMuNTYgNDI4LjA3IDE5My4zMiA0MjguMDMgMTkzLjA4IDQyNy45&#10;OSAxOTIuODMgNDI3Ljk1IDE5Mi41MSA0MjguMDYgMTkyLjI3IDQyOC4xMSAxOTIuMTcgNDI4LjE2&#10;IDE5Mi4wNyA0MjguMjQgMTkxLjk4IDQyOC42IDE5MS42IDQyOS4yNCAxOTEuNDMgNDI5Ljk2IDE5&#10;MS40NSA0MzAuMDIgMTkxLjQ1IDQzMC4wNyAxOTEuNDUgNDMwLjEzIDE5MS40NVoiIGZpbGw9IiMw&#10;MTAxMDEiLz48cGF0aCBkPSJNNDQzLjc0IDE5Mi44N0M0NDQuMiAxOTMuMDYgNDQ0LjQ5IDE5My40&#10;MiA0NDQuNzEgMTkzLjcxIDQ0NC45IDE5My45NiA0NDUuMDYgMTk0LjIgNDQ1LjIxIDE5NC40NiA0&#10;NDUuNTMgMTk0Ljk5IDQ0NS43NiAxOTUuNTMgNDQ2LjAxIDE5Ni4wNyA0NDYuNSAxOTcuMTIgNDQ2&#10;Ljk0IDE5OC4xOSA0NDcuMzggMTk5LjI1IDQ0Ny44OCAyMDAuNDYgNDQ4LjM3IDIwMS42NiA0NDgu&#10;NzggMjAyLjg4IDQ0OC45NiAyMDMuNDIgNDQ5LjEyIDIwMy45NSA0NDkuMjUgMjA0LjQ5IDQ0OS40&#10;IDIwNS4xIDQ0OS41MSAyMDUuNzEgNDQ5LjcgMjA2LjMyIDQ0OS43MiAyMDYuNTQgNDQ5LjY1IDIw&#10;Ni43NCA0NDkuNDggMjA2Ljk0IDQ0OS4yMiAyMDcuMjIgNDQ4Ljc3IDIwNy40NCA0NDguMjQgMjA3&#10;LjU0IDQ0Ny4xNCAyMDcuNzQgNDQ1LjkgMjA3LjM5IDQ0NS41NSAyMDYuNzcgNDQ1LjIyIDIwNi4x&#10;OCA0NDQuODMgMjA1LjYxIDQ0NC40NSAyMDUuMDQgNDQ0LjEgMjA0LjUyIDQ0My44MSAyMDMuOTkg&#10;NDQzLjUzIDIwMy40NSA0NDIuOTcgMjAyLjM3IDQ0Mi41NCAyMDEuMjYgNDQyLjEyIDIwMC4xNSA0&#10;NDEuNjggMTk4Ljk4IDQ0MS4zMiAxOTcuOCA0NDEgMTk2LjYxIDQ0MC44NiAxOTYuMDcgNDQwLjc0&#10;IDE5NS41MyA0NDAuNjQgMTk0Ljk5IDQ0MC41OSAxOTQuNzQgNDQwLjU1IDE5NC40OCA0NDAuNTMg&#10;MTk0LjIyIDQ0MC41IDE5My44NyA0NDAuNTEgMTkzLjUgNDQwLjgxIDE5My4xOCA0NDEuMDQgMTky&#10;LjkzIDQ0MS40MiAxOTIuNzQgNDQxLjkgMTkyLjY1IDQ0Mi4xMiAxOTIuNjEgNDQyLjM0IDE5Mi41&#10;OSA0NDIuNTUgMTkyLjYgNDQyLjk4IDE5Mi42MSA0NDMuMzcgMTkyLjcyIDQ0My43NSAxOTIuODda&#10;IiBmaWxsPSIjMDEwMTAxIi8+PHBhdGggZD0iTTQ1MC40NyAxOTEuMThDNDUxLjggMTkxLjM3IDQ1&#10;Mi4zMSAxOTIuMTkgNDUyLjc5IDE5Mi44MyA0NTMuMTYgMTkzLjMzIDQ1My40NyAxOTMuODMgNDUz&#10;Ljc4IDE5NC4zNCA0NTQuMzggMTk1LjMxIDQ1NC45MyAxOTYuMyA0NTUuNDUgMTk3LjI5IDQ1NS45&#10;OSAxOTguMzEgNDU2LjQ3IDE5OS4zNCA0NTYuODggMjAwLjM4IDQ1Ny4yOSAyMDEuNDIgNDU3LjY5&#10;IDIwMi40NiA0NTguMiAyMDMuNDkgNDU4LjQ5IDIwNC4wNyA0NTguNzkgMjA0LjY1IDQ1OS4xMSAy&#10;MDUuMjMgNDU5LjQ4IDIwNS45MyA0NTguODQgMjA2LjcgNDU3LjU5IDIwNi45MyA0NTYuMzcgMjA3&#10;LjE2IDQ1NC45NyAyMDYuNzcgNDU0LjU5IDIwNi4wNyA0NTMuOTkgMjA0Ljk4IDQ1My4zOSAyMDMu&#10;ODggNDUyLjcxIDIwMi44IDQ1Mi4wNiAyMDEuNzcgNDUxLjM5IDIwMC43NiA0NTAuODUgMTk5Ljcy&#10;IDQ1MC4zNCAxOTguNzMgNDQ5Ljk0IDE5Ny43MyA0NDkuNTMgMTk2LjcyIDQ0OS4zMyAxOTYuMjEg&#10;NDQ5LjEzIDE5NS43IDQ0OC45NSAxOTUuMTggNDQ4LjczIDE5NC41NiA0NDguNDkgMTkzLjk0IDQ0&#10;OC4zNiAxOTMuMzEgNDQ4LjI5IDE5Mi45NSA0NDguMjUgMTkyLjU5IDQ0OC4zNCAxOTIuMjQgNDQ4&#10;LjM4IDE5Mi4wNSA0NDguNDcgMTkxLjg4IDQ0OC42MiAxOTEuNzEgNDQ4LjkyIDE5MS4zOSA0NDku&#10;NTYgMTkxLjE0IDQ1MC4yMiAxOTEuMTYgNDUwLjMxIDE5MS4xNiA0NTAuMzkgMTkxLjE3IDQ1MC40&#10;OCAxOTEuMThaIiBmaWxsPSIjMDEwMTAxIi8+PHBhdGggZD0iTTQ3My4wMiAxODMuOTNDNDczLjY1&#10;IDE4NC4xNyA0NzQuMDIgMTg0LjY1IDQ3NC4zNCAxODUuMDggNDc0LjY3IDE4NS41MyA0NzQuOTcg&#10;MTg1Ljk5IDQ3NS4yNyAxODYuNDUgNDc1Ljc5IDE4Ny4yNiA0NzYuMjkgMTg4LjA3IDQ3Ni43OCAx&#10;ODguODkgNDc3Ljg0IDE5MC42MyA0NzguOSAxOTIuMzcgNDc5Ljc1IDE5NC4xNiA0ODAgMTk0LjY5&#10;IDQ3OS42OSAxOTUuMjggNDc5LjA1IDE5NS41OCA0NzguNjcgMTk1Ljc1IDQ3OC4yMSAxOTUuODIg&#10;NDc3Ljc3IDE5NS43NSA0NzcuMzcgMTk1LjY5IDQ3Ni44NSAxOTUuNDkgNDc2LjY2IDE5NS4yMSA0&#10;NzYuMDEgMTk0LjI2IDQ3NS40MyAxOTMuMyA0NzQuODYgMTkyLjMyIDQ3NC4zOCAxOTEuNSA0NzMu&#10;OTIgMTkwLjY3IDQ3My40NiAxODkuODUgNDcyLjk5IDE4OSA0NzIuNTEgMTg4LjE0IDQ3Mi4wNiAx&#10;ODcuMjkgNDcxLjg2IDE4Ni45MSA0NzEuNjcgMTg2LjUzIDQ3MS41IDE4Ni4xNSA0NzEuNDEgMTg1&#10;Ljk0IDQ3MS4zMyAxODUuNzMgNDcxLjI2IDE4NS41MiA0NzEuMTYgMTg1LjIzIDQ3MS4wNiAxODQu&#10;ODYgNDcxLjE4IDE4NC41NyA0NzEuMjkgMTg0LjMyIDQ3MS40MyAxODQuMTIgNDcxLjc1IDE4My45&#10;OCA0NzEuOTggMTgzLjg3IDQ3Mi4yNiAxODMuODIgNDcyLjU0IDE4My44MyA0NzIuNzEgMTgzLjgz&#10;IDQ3Mi44OCAxODMuODcgNDczLjA0IDE4My45M1oiIGZpbGw9IiMwMTAxMDEiLz48cGF0aCBkPSJN&#10;NDg0Ljg3IDE4OC42QzQ4NC44NyAxODguNiA0ODQuODMgMTg4LjU0IDQ4NC44MSAxODguNTEgNDg0&#10;LjggMTg4LjQ5IDQ4NC43OSAxODguNDcgNDg0Ljc3IDE4OC40NiA0ODQuOCAxODguNTEgNDg0Ljgz&#10;IDE4OC41NSA0ODQuODYgMTg4LjZaTTQ3OCAxNzkuMTlDNDc4LjQyIDE3OS40NiA0NzguNjEgMTc5&#10;LjgxIDQ3OC42MSAxODAuMTYgNDc5LjY4IDE4MS4yMSA0ODAuNTIgMTgyLjQgNDgxLjM2IDE4My41&#10;NSA0ODIuNTEgMTg1LjEzIDQ4My42MiAxODYuNzIgNDg0LjY5IDE4OC4zMiA0ODQuNiAxODguMTgg&#10;NDg0LjUxIDE4OC4wNSA0ODQuNDIgMTg3LjkxIDQ4NC41NCAxODguMDkgNDg0LjY2IDE4OC4yNyA0&#10;ODQuNzggMTg4LjQ2IDQ4NC43OCAxODguNDUgNDg0Ljc2IDE4OC40NCA0ODQuNzYgMTg4LjQzIDQ4&#10;NC43OCAxODguNDYgNDg0LjggMTg4LjQ5IDQ4NC44MiAxODguNTJMNDg0LjkxIDE4OC42NUM0ODQu&#10;OTEgMTg4LjY1IDQ4NC44OSAxODguNjIgNDg0Ljg4IDE4OC42MSA0ODQuOSAxODguNjQgNDg0Ljkz&#10;IDE4OC42OCA0ODQuOTUgMTg4LjcxIDQ4NC45OCAxODguNzUgNDg1LjAxIDE4OC44IDQ4NS4wNCAx&#10;ODguODQgNDg1LjAzIDE4OC44MiA0ODUuMDEgMTg4LjggNDg1IDE4OC43OCA0ODUuNjUgMTg5Ljc2&#10;IDQ4Ni4yOSAxOTAuNzUgNDg2Ljg5IDE5MS43NSA0ODcuNTMgMTkyLjgyIDQ4OC4wNiAxOTMuOTEg&#10;NDg4LjY5IDE5NC45OCA0ODkuMDggMTk1LjYzIDQ4OC41OCAxOTYuNDQgNDg3Ljc5IDE5Ni44IDQ4&#10;Ny4zMSAxOTcuMDIgNDg2LjcxIDE5Ny4xIDQ4Ni4xNSAxOTcuMDIgNDg1LjYyIDE5Ni45NSA0ODQu&#10;OTggMTk2LjY5IDQ4NC43MiAxOTYuMzMgNDgzLjc0IDE5NC45MyA0ODIuNjcgMTkzLjU3IDQ4MS43&#10;NCAxOTIuMTUgNDgwLjg4IDE5MC44NiA0ODAuMDggMTg5LjU1IDQ3OS4yOCAxODguMjQgNDc4LjUg&#10;MTg2Ljk1IDQ3Ny43MiAxODUuNjcgNDc2Ljk4IDE4NC4zNyA0NzYuMzkgMTgzLjMzIDQ3NS44MSAx&#10;ODIuMjkgNDc1LjQ0IDE4MS4yMSA0NzUuMiAxODEuMDYgNDc1LjAxIDE4MC44NiA0NzQuOTEgMTgw&#10;LjYzIDQ3NC42NCAxODAuMDUgNDc0Ljk3IDE3OS4zOSA0NzUuNjkgMTc5LjA2IDQ3Ni4wNCAxNzgu&#10;OSA0NzYuNDQgMTc4LjgzIDQ3Ni44NCAxNzguODUgNDc3LjI3IDE3OC44NyA0NzcuNjkgMTc4Ljk5&#10;IDQ3OC4wMiAxNzkuMloiIGZpbGw9IiMwMTAxMDEiLz48cGF0aCBkPSJNNDg2Ljg3IDE3Ny4zQzQ4&#10;Ny4zIDE3Ny42OCA0ODcuNyAxNzguMDggNDg4LjA4IDE3OC40OSA0ODguOCAxNzkuMjcgNDg5LjQ2&#10;IDE4MC4wNyA0OTAuMTEgMTgwLjg4IDQ5MS40NiAxODIuNTUgNDkyLjc5IDE4NC4yMyA0OTQuMTEg&#10;MTg1LjkyIDQ5NC42IDE4Ni41NCA0OTUuMDggMTg3LjE2IDQ5NS41MyAxODcuOCA0OTYuMDggMTg4&#10;LjU5IDQ5Ni41OSAxODkuMzkgNDk3LjA5IDE5MC4yIDQ5Ny4yIDE5MC40NCA0OTcuMjIgMTkwLjY5&#10;IDQ5Ny4xNSAxOTAuOTMgNDk3LjA0IDE5MS4zMSA0OTYuNzIgMTkxLjY1IDQ5Ni4yNyAxOTEuODYg&#10;NDk1LjMzIDE5Mi4yOSA0OTQuMDkgMTkyLjA4IDQ5My40NyAxOTEuNDMgNDkyLjY4IDE5MC41OSA0&#10;OTEuOTIgMTg5Ljc0IDQ5MS4yNCAxODguODYgNDkwLjU5IDE4OC4wMyA0OTAuMDEgMTg3LjE3IDQ4&#10;OS40MSAxODYuMzIgNDg4LjE5IDE4NC42MSA0ODcgMTgyLjg5IDQ4NS44IDE4MS4xNyA0ODUuMyAx&#10;ODAuNDQgNDg0LjggMTc5LjcyIDQ4NC4zMSAxNzguOTkgNDg0LjExIDE3OC42OSA0ODMuOTIgMTc4&#10;LjM4IDQ4My43NCAxNzguMDcgNDgzLjY2IDE3Ny45MyA0ODMuNiAxNzcuNzkgNDgzLjU1IDE3Ny42&#10;NSA0ODMuNTEgMTc3LjU1IDQ4My40NSAxNzcuMzYgNDgzLjQ1IDE3Ny4yMyA0ODMuNDUgMTc3LjAy&#10;IDQ4My41IDE3Ni44OCA0ODMuNiAxNzYuNjkgNDgzLjc1IDE3Ni40MiA0ODQuMjEgMTc2LjI0IDQ4&#10;NC42IDE3Ni4yMiA0ODQuNjYgMTc2LjIyIDQ4NC43MiAxNzYuMjIgNDg0Ljc3IDE3Ni4yMiA0ODUu&#10;NjcgMTc2LjI2IDQ4Ni4zNSAxNzYuODUgNDg2Ljg3IDE3Ny4zMVoiIGZpbGw9IiMwMTAxMDEiLz48&#10;cGF0aCBkPSJNNDkzLjM0IDE3MS4yMUM0OTMuNDMgMTcxLjI1IDQ5My41MiAxNzEuMjkgNDkzLjYy&#10;IDE3MS4zNSA0OTMuOTIgMTcxLjUzIDQ5NC4xNiAxNzEuNzcgNDk0LjQgMTcxLjk5IDQ5NC44NiAx&#10;NzIuNDIgNDk1LjI3IDE3Mi44NiA0OTUuNjYgMTczLjMxIDQ5Ni41MyAxNzQuMyA0OTcuMzggMTc1&#10;LjMxIDQ5OC4yNCAxNzYuMzEgNDk5LjggMTc4LjExIDUwMS4yOSAxNzkuOTQgNTAyLjk1IDE4MS42&#10;OSA1MDMuNTkgMTgyLjM2IDUwNC4yNSAxODMuMDEgNTA0LjkzIDE4My42NiA1MDUuMjkgMTg0LjAx&#10;IDUwNS42NCAxODQuMzUgNTA1Ljk4IDE4NC43IDUwNi4xMyAxODQuODYgNTA2LjI5IDE4NS4wMSA1&#10;MDYuNDMgMTg1LjE3IDUwNi42OCAxODUuNDYgNTA2Ljg1IDE4NS43OCA1MDcuMDEgMTg2LjEgNTA3&#10;LjMyIDE4Ni43NSA1MDYuOTQgMTg3LjQ5IDUwNi4xNCAxODcuODYgNTA1LjM0IDE4OC4yMiA1MDQu&#10;MjMgMTg4LjE3IDUwMy41NCAxODcuNyA1MDMuMTcgMTg3LjQ1IDUwMi43OSAxODcuMTggNTAyLjUy&#10;IDE4Ni44NiA1MDIuMzMgMTg2LjYzIDUwMi4xNCAxODYuNCA1MDEuOTUgMTg2LjE3IDUwMS41NyAx&#10;ODUuNjkgNTAxLjIyIDE4NS4yIDUwMC44NiAxODQuNzEgNTAwLjIxIDE4My44NCA0OTkuNTkgMTgy&#10;Ljk2IDQ5OC45MyAxODIuMDkgNDk4LjIxIDE4MS4xNCA0OTcuNDggMTgwLjE5IDQ5Ni43OCAxNzku&#10;MjMgNDk2LjA0IDE3OC4yNCA0OTUuMzUgMTc3LjI0IDQ5NC42NCAxNzYuMjQgNDk0LjAzIDE3NS4z&#10;OCA0OTMuNDMgMTc0LjUyIDQ5Mi44NiAxNzMuNjQgNDkyLjYyIDE3My4yNiA0OTIuMzggMTcyLjg4&#10;IDQ5Mi4xNiAxNzIuNDggNDkyLjA1IDE3Mi4yOCA0OTEuOTggMTcyLjA4IDQ5MS45MiAxNzEuODYg&#10;NDkxLjkgMTcxLjc3IDQ5MS45MSAxNzEuNjkgNDkxLjk0IDE3MS42MSA0OTEuOTQgMTcxLjQxIDQ5&#10;Mi4wNiAxNzEuMjIgNDkyLjMxIDE3MS4xIDQ5Mi40NSAxNzEuMDQgNDkyLjYyIDE3MS4wMSA0OTIu&#10;NzkgMTcxLjAyIDQ5MyAxNzEuMDIgNDkzLjIgMTcxLjA5IDQ5My4zNSAxNzEuMThaIiBmaWxsPSIj&#10;MDEwMTAxIi8+PHBhdGggZD0iTTUwMS4xOSAxNjUuOEM1MDEuMTkgMTY1LjggNTAxLjI0IDE2NS44&#10;MiA1MDEuMjYgMTY1LjgzIDUwMS4zOSAxNjUuODkgNTAxLjUyIDE2NS45NCA1MDEuNjUgMTY1Ljk5&#10;IDUwMi4wNCAxNjYuMTUgNTAyLjQxIDE2Ni4zNiA1MDIuNzYgMTY2LjU2IDUwMy4zNyAxNjYuOTEg&#10;NTAzLjk1IDE2Ny4zIDUwNC41IDE2Ny43IDUwNS42NyAxNjguNTYgNTA2LjgyIDE2OS40NCA1MDcu&#10;OTcgMTcwLjMxIDUxMC4xOSAxNzIgNTEyLjM4IDE3My43IDUxNC42NCAxNzUuMzYgNTE1LjY4IDE3&#10;Ni4xMyA1MTYuNjkgMTc2LjkxIDUxNy42NyAxNzcuNzIgNTE4LjMxIDE3OC4yNCA1MTguOTMgMTc4&#10;Ljc3IDUxOS41NCAxNzkuMyA1MjAuMDYgMTc5Ljc3IDUyMC41NCAxODAuMjYgNTIxLjA2IDE4MC43&#10;MyA1MjEuMjggMTgwLjk3IDUyMS40IDE4MS4yMyA1MjEuNDIgMTgxLjUyIDUyMS40NiAxODEuOTYg&#10;NTIxLjI0IDE4Mi40IDUyMC44MyAxODIuNzIgNTIwLjQzIDE4My4wMyA1MTkuODYgMTgzLjIzIDUx&#10;OS4yNyAxODMuMjUgNTE4LjcgMTgzLjI4IDUxNy45OSAxODMuMTMgNTE3LjU5IDE4Mi44MyA1MTYu&#10;OTkgMTgyLjM3IDUxNi4zNSAxODEuOTQgNTE1Ljc2IDE4MS40NyA1MTUuMiAxODEuMDMgNTE0LjY1&#10;IDE4MC41NyA1MTQuMTEgMTgwLjEyIDUxMi45NiAxNzkuMTUgNTExLjgzIDE3OC4xNyA1MTAuNzQg&#10;MTc3LjE3IDUwOC43NSAxNzUuMzMgNTA2LjcyIDE3My41MiA1MDQuNzQgMTcxLjY5IDUwMy43IDE3&#10;MC43MyA1MDIuNjYgMTY5Ljc3IDUwMS42NiAxNjguNzkgNTAxLjE5IDE2OC4zMyA1MDAuNzQgMTY3&#10;Ljg2IDUwMC4zMyAxNjcuMzggNTAwLjE2IDE2Ny4xNyA1MDAuMDEgMTY2Ljk1IDQ5OS44OSAxNjYu&#10;NzIgNDk5Ljg3IDE2Ni42OCA0OTkuODUgMTY2LjYzIDQ5OS44MyAxNjYuNTkgNDk5LjY2IDE2Ni4z&#10;NiA0OTkuNzIgMTY2LjA1IDQ5OS45NiAxNjUuODYgNTAwLjE0IDE2NS43MiA1MDAuNDMgMTY1LjY0&#10;IDUwMC43IDE2NS42NSA1MDAuODggMTY1LjY1IDUwMS4wNSAxNjUuNyA1MDEuMTggMTY1Ljc5WiIg&#10;ZmlsbD0iIzAxMDEwMSIvPjxwYXRoIGQ9Ik01MTIuNiAxNTkuNjlDNTEyLjc2IDE1OS43OSA1MTIu&#10;ODcgMTU5LjkzIDUxMi45MiAxNjAuMDcgNTEzLjE2IDE2MC4zMyA1MTMuNDYgMTYwLjU3IDUxMy43&#10;MyAxNjAuODEgNTE0LjE1IDE2MS4xOCA1MTQuNTggMTYxLjU0IDUxNSAxNjEuOSA1MTUuODMgMTYy&#10;LjYyIDUxNi42NSAxNjMuMzUgNTE3LjQ2IDE2NC4wOCA1MTkuMSAxNjUuNTcgNTIwLjc0IDE2Ny4w&#10;NyA1MjIuNDMgMTY4LjU0IDUyMy40OCAxNjkuNDYgNTI0LjU1IDE3MC4zOCA1MjUuNjEgMTcxLjMg&#10;NTI2LjY5IDE3Mi4yNCA1MjcuNzQgMTczLjE4IDUyOC44MyAxNzQuMTIgNTI4Ljk1IDE3NC4yNiA1&#10;MjkuMDIgMTc0LjQxIDUyOS4wNCAxNzQuNTcgNTI5LjA2IDE3NC44MiA1MjguOTQgMTc1LjA4IDUy&#10;OC43IDE3NS4yNiA1MjguNDcgMTc1LjQ0IDUyOC4xNCAxNzUuNTUgNTI3LjggMTc1LjU3IDUyNy40&#10;OCAxNzUuNTggNTI3LjA1IDE3NS41MSA1MjYuODMgMTc1LjMzIDUyNS45NCAxNzQuNjEgNTI1LjAy&#10;IDE3My45MiA1MjQuMTQgMTczLjIxIDUyMy4yMiAxNzIuNDYgNTIyLjM2IDE3MS42OCA1MjEuNSAx&#10;NzAuOSA1MTkuOTQgMTY5LjQ2IDUxOC4zNyAxNjguMDIgNTE2Ljg0IDE2Ni41NyA1MTUuNzcgMTY1&#10;LjU2IDUxNC43MiAxNjQuNTUgNTEzLjY2IDE2My41MyA1MTMuMTQgMTYzLjAzIDUxMi42MyAxNjIu&#10;NTIgNTEyLjEyIDE2Mi4wMSA1MTEuOSAxNjEuNzggNTExLjY4IDE2MS41NSA1MTEuNDcgMTYxLjMy&#10;IDUxMS4zMiAxNjEuMTYgNTExLjE3IDE2MC45OSA1MTEuMDQgMTYwLjgxIDUxMC45NCAxNjAuNzMg&#10;NTEwLjg2IDE2MC42MyA1MTAuODEgMTYwLjUzIDUxMC42NSAxNjAuMiA1MTAuODQgMTU5LjgyIDUx&#10;MS4yNiAxNTkuNjMgNTExLjQ2IDE1OS41NCA1MTEuNjkgMTU5LjUgNTExLjkyIDE1OS41MSA1MTIu&#10;MTcgMTU5LjUxIDUxMi40MSAxNTkuNTkgNTEyLjYgMTU5LjcxWiIgZmlsbD0iIzAxMDEwMSIvPjxw&#10;YXRoIGQ9Ik01MzMuMDEgMTY2Ljg0QzUzMy4wMSAxNjYuODQgNTMzLjA5IDE2Ni45MSA1MzMuMTMg&#10;MTY2Ljk0IDUzMy4xMyAxNjYuOTQgNTMzLjEzIDE2Ni45NCA1MzMuMTQgMTY2Ljk1IDUzMy4xNCAx&#10;NjYuOTUgNTMzLjE1IDE2Ni45NiA1MzMuMTYgMTY2Ljk3TDUzMy4xNiAxNjYuOTdDNTMzLjE2IDE2&#10;Ni45NyA1MzMuMjUgMTY3LjA1IDUzMy4zIDE2Ny4wOCA1MzMuMjUgMTY3LjA0IDUzMy4yIDE2NyA1&#10;MzMuMTUgMTY2Ljk2IDUzMy4wNyAxNjYuOSA1MzMgMTY2LjgzIDUzMi45MiAxNjYuNzcgNTMyLjk1&#10;IDE2Ni44IDUzMi45OCAxNjYuODIgNTMzLjAxIDE2Ni44NVpNNTM1Ljc1IDE2OS4wN0M1MzUuNzUg&#10;MTY5LjA3IDUzNS43OSAxNjkuMSA1MzUuOCAxNjkuMTIgNTM1Ljc4IDE2OS4xIDUzNS43NiAxNjku&#10;MDkgNTM1Ljc1IDE2OS4wN1pNNTMzLjAxIDE2Ni44NUM1MzMuMDEgMTY2Ljg1IDUzMy4wNyAxNjYu&#10;OSA1MzMuMSAxNjYuOTIgNTMzLjA3IDE2Ni45IDUzMy4wNCAxNjYuODcgNTMzLjAxIDE2Ni44NVpN&#10;NTIyLjc2IDE1NCA1MjIuNzYgMTU0QzUyMi45MiAxNTQuMSA1MjMuMDYgMTU0LjIxIDUyMy4xOCAx&#10;NTQuMzEgNTIzLjQ2IDE1NC41MyA1MjMuNzIgMTU0Ljc2IDUyMy45OCAxNTQuOTkgNTI0LjQ4IDE1&#10;NS40MiA1MjQuOTggMTU1Ljg2IDUyNS40OCAxNTYuMyA1MjYuNDIgMTU3LjE0IDUyNy4zNiAxNTcu&#10;OTggNTI4LjMxIDE1OC44MiA1MzAuMjQgMTYwLjUzIDUzMi4xOSAxNjIuMjMgNTM0LjA2IDE2My45&#10;NiA1MzQuODQgMTY0LjY5IDUzNS42MiAxNjUuNDIgNTM2LjM0IDE2Ni4xNyA1MzcuMSAxNjYuOTYg&#10;NTM3Ljg0IDE2Ny43NSA1MzguNjYgMTY4LjUyIDUzOS4xMiAxNjguOTUgNTM4Ljg1IDE2OS42MSA1&#10;MzguMjUgMTY5Ljg4IDUzNy45NSAxNzAuMDIgNTM3LjU4IDE3MC4wNyA1MzcuMjMgMTcwLjAyIDUz&#10;Ni44MyAxNjkuOTYgNTM2LjU5IDE2OS44IDUzNi4zNCAxNjkuNTkgNTM2LjE3IDE2OS40NCA1MzYg&#10;MTY5LjI5IDUzNS44MyAxNjkuMTUgNTM0Ljk2IDE2OC40MyA1MzQuMDQgMTY3LjczIDUzMy4xOCAx&#10;NjcgNTMzLjI3IDE2Ny4wOCA1MzMuMzYgMTY3LjE1IDUzMy40NiAxNjcuMjMgNTMzLjM1IDE2Ny4x&#10;NCA1MzMuMjUgMTY3LjA1IDUzMy4xNCAxNjYuOTYgNTMzLjEgMTY2LjkyIDUzMy4wNSAxNjYuODkg&#10;NTMzLjAxIDE2Ni44NSA1MzIuOTcgMTY2LjgxIDUzMi45MyAxNjYuNzggNTMyLjg4IDE2Ni43NCA1&#10;MzIuODkgMTY2Ljc1IDUzMi45IDE2Ni43NiA1MzIuOTIgMTY2Ljc3IDUzMC45OSAxNjUuMTMgNTI5&#10;LjE5IDE2My40IDUyNy40MSAxNjEuNjggNTI1LjU2IDE1OS45IDUyMy42OCAxNTguMTIgNTIxLjkg&#10;MTU2LjMxIDUyMS42NyAxNTYuMDggNTIxLjQ2IDE1NS44NCA1MjEuMjUgMTU1LjYgNTIxLjA4IDE1&#10;NS40IDUyMC44OCAxNTUuMTggNTIwLjc5IDE1NC45NCA1MjAuNjUgMTU0LjY1IDUyMC43MyAxNTQu&#10;MzEgNTIxLjA0IDE1NC4wNyA1MjEuMyAxNTMuODcgNTIxLjY2IDE1My43NyA1MjIuMDIgMTUzLjc5&#10;IDUyMi4yOSAxNTMuOCA1MjIuNTYgMTUzLjg3IDUyMi43OCAxNTQuMDFaIiBmaWxsPSIjMDEwMTAx&#10;Ii8+PHBhdGggZD0iTTUzNC4wNyAxNTIuNDVDNTM0IDE1Mi4zOSA1MzMuOTIgMTUyLjMzIDUzMy44&#10;NSAxNTIuMjcgNTMzLjkyIDE1Mi4zMyA1MzQgMTUyLjM5IDUzNC4wNyAxNTIuNDVaTTU0My42OCAx&#10;NjQuNzJDNTQzLjY4IDE2NC43MiA1NDMuNjggMTY0LjcyIDU0My42OCAxNjQuNzIgNTQzLjcyIDE2&#10;NC43NSA1NDMuNzYgMTY0Ljc5IDU0My44IDE2NC44MiA1NDMuNzQgMTY0Ljc3IDU0My42OSAxNjQu&#10;NzMgNTQzLjYzIDE2NC42OCA1NDMuNjQgMTY0LjY5IDU0My42NSAxNjQuNyA1NDMuNjcgMTY0Ljcx&#10;Wk01MzAuMjYgMTQ5Ljg4QzUzMC42OCAxNDkuOTMgNTMxLjA4IDE1MC4xNCA1MzEuMzkgMTUwLjM0&#10;IDUzMS42NSAxNTAuNTEgNTMxLjkxIDE1MC42OSA1MzIuMTUgMTUwLjg4IDUzMi43NCAxNTEuMzMg&#10;NTMzLjMgMTUxLjggNTMzLjg2IDE1Mi4yNyA1MzMuODQgMTUyLjI2IDUzMy44MyAxNTIuMjQgNTMz&#10;LjgxIDE1Mi4yMyA1MzUuNjEgMTUzLjc1IDUzNy4zNiAxNTUuMzEgNTM5LjA3IDE1Ni44OCA1NDAu&#10;NzIgMTU4LjQgNTQyLjM5IDE1OS45MSA1NDMuODggMTYxLjUgNTQ0Ljg4IDE2Mi41NyA1NDUuODYg&#10;MTYzLjY0IDU0Ni45MyAxNjQuNjcgNTQ3LjM1IDE2NS4wNyA1NDcuMTEgMTY1LjY4IDU0Ni41NSAx&#10;NjUuOTQgNTQ2LjI3IDE2Ni4wNyA1NDUuOTIgMTY2LjEyIDU0NS41OSAxNjYuMDcgNTQ1LjIyIDE2&#10;Ni4wMiA1NDQuOTggMTY1Ljg3IDU0NC43NiAxNjUuNjcgNTQ0LjQzIDE2NS4zNyA1NDQuMDggMTY1&#10;LjA3IDU0My43NCAxNjQuNzcgNTQzLjgxIDE2NC44MyA1NDMuODkgMTY0Ljg5IDU0My45NiAxNjQu&#10;OTYgNTQzLjg3IDE2NC44OCA1NDMuNzggMTY0LjgxIDU0My42OSAxNjQuNzMgNTQzLjY5IDE2NC43&#10;MyA1NDMuNjkgMTY0LjczIDU0My42OSAxNjQuNzMgNTQzLjY2IDE2NC43IDU0My42MyAxNjQuNjgg&#10;NTQzLjYgMTY0LjY1IDU0My42MiAxNjQuNjcgNTQzLjY0IDE2NC42OCA1NDMuNjYgMTY0LjcgNTQz&#10;LjU5IDE2NC42NCA1NDMuNTIgMTY0LjU4IDU0My40NSAxNjQuNTIgNTQzLjUyIDE2NC41OSA1NDMu&#10;NiAxNjQuNjUgNTQzLjY4IDE2NC43MSA1NDIuODEgMTYzLjk5IDU0MS45MiAxNjMuMjkgNTQxLjA1&#10;IDE2Mi41NyA1NDAuMTEgMTYxLjc4IDUzOS4yMSAxNjAuOTggNTM4LjMxIDE2MC4xNyA1MzYuNjMg&#10;MTU4LjY0IDUzNC45OSAxNTcuMDkgNTMzLjM2IDE1NS41NCA1MzIuNTYgMTU0Ljc5IDUzMS43NyAx&#10;NTQuMDMgNTMwLjk5IDE1My4yNyA1MzAuNiAxNTIuODkgNTMwLjIxIDE1Mi41IDUyOS44MiAxNTIu&#10;MTEgNTI5LjQzIDE1MS43MiA1MjguOTIgMTUxLjI2IDUyOC44NyAxNTAuNzYgNTI4LjgyIDE1MC4y&#10;NCA1MjkuNDYgMTQ5Ljg1IDUzMC4xNCAxNDkuODggNTMwLjE4IDE0OS44OCA1MzAuMjMgMTQ5Ljg4&#10;IDUzMC4yNyAxNDkuODlaIiBmaWxsPSIjMDEwMTAxIi8+PHBhdGggZD0iTTU0MC4yIDE0NC4xQzU0&#10;MC41NCAxNDQuMTUgNTQwLjc3IDE0NC4zMiA1NDAuOTkgMTQ0LjQ5IDU0MS4yOCAxNDQuNzEgNTQx&#10;LjU1IDE0NC45NCA1NDEuODIgMTQ1LjE3IDU0Mi4xOSAxNDUuNDggNTQyLjU0IDE0NS44IDU0Mi44&#10;OSAxNDYuMTMgNTQzLjU4IDE0Ni43NiA1NDQuMjQgMTQ3LjQgNTQ0LjkxIDE0OC4wNCA1NDYuMyAx&#10;NDkuMzUgNTQ3LjY4IDE1MC42NyA1NDkuMDUgMTUyIDU1MC4xMyAxNTMuMDUgNTUxLjIxIDE1NC4x&#10;MSA1NTIuMzMgMTU1LjE0IDU1My40OSAxNTYuMiA1NTQuNjYgMTU3LjI2IDU1NS44NCAxNTguMzEg&#10;NTU2LjAxIDE1OC40NyA1NTYuMDUgMTU4LjcyIDU1NiAxNTguOTEgNTU1Ljk0IDE1OS4xMyA1NTUu&#10;NzYgMTU5LjMyIDU1NS41IDE1OS40NCA1NTUuMjUgMTU5LjU1IDU1NC45NCAxNTkuNiA1NTQuNjUg&#10;MTU5LjU1IDU1NC4zMiAxNTkuNSA1NTQuMTIgMTU5LjM3IDU1My45MSAxNTkuMTkgNTUyLjQ2IDE1&#10;Ny45IDU1MC45NiAxNTYuNjQgNTQ5LjQ4IDE1NS4zNyA1NDguMDMgMTU0LjEzIDU0Ni42OSAxNTIu&#10;ODMgNTQ1LjM2IDE1MS41MyA1NDQuMjUgMTUwLjQzIDU0My4xNCAxNDkuMzQgNTQyLjA1IDE0OC4y&#10;MyA1NDEuNTMgMTQ3LjcgNTQxIDE0Ny4xNiA1NDAuNSAxNDYuNjIgNTQwLjIyIDE0Ni4zMyA1Mzku&#10;OTUgMTQ2LjA0IDUzOS42OCAxNDUuNzQgNTM5LjMzIDE0NS4zNiA1MzguOSAxNDQuOTIgNTM5LjE5&#10;IDE0NC40NSA1MzkuMzQgMTQ0LjIyIDUzOS43MSAxNDQuMDggNTQwLjA3IDE0NC4wOSA1NDAuMTEg&#10;MTQ0LjA5IDU0MC4xNiAxNDQuMDkgNTQwLjIgMTQ0LjFaIiBmaWxsPSIjMDEwMTAxIi8+PHBhdGgg&#10;ZD0iTTU1My44OSAxNDMuOTRDNTUzLjg5IDE0My45NCA1NTMuODYgMTQzLjkyIDU1My44NSAxNDMu&#10;OTEgNTUzLjg2IDE0My45MiA1NTMuODggMTQzLjkzIDU1My44OSAxNDMuOTRaTTU1NC4zOSAxNDgu&#10;MDZDNTU0LjQ1IDE0OC4xMSA1NTQuNTEgMTQ4LjE2IDU1NC41OCAxNDguMjIgNTU0LjUxIDE0OC4x&#10;NiA1NTQuNDQgMTQ4LjEgNTU0LjM2IDE0OC4wNCA1NTQuMzcgMTQ4LjA0IDU1NC4zOCAxNDguMDYg&#10;NTU0LjM5IDE0OC4wN1pNNTQ4Ljk1IDEzOS45NUM1NDkuNDkgMTQwLjM2IDU1MC4wMiAxNDAuNzgg&#10;NTUwLjU0IDE0MS4yMSA1NTEuNjEgMTQyLjA3IDU1Mi42OCAxNDIuOTMgNTUzLjczIDE0My44MSA1&#10;NTMuNzcgMTQzLjg0IDU1My44MSAxNDMuODggNTUzLjg1IDE0My45MSA1NTMuODQgMTQzLjkgNTUz&#10;LjgzIDE0My44OSA1NTMuODEgMTQzLjg4IDU1My44NSAxNDMuOTIgNTUzLjkgMTQzLjk1IDU1My45&#10;NCAxNDMuOTkgNTUzLjkyIDE0My45NyA1NTMuOSAxNDMuOTYgNTUzLjg4IDE0My45NCA1NTUuNDMg&#10;MTQ1LjI0IDU1Ni45NSAxNDYuNTYgNTU4LjQxIDE0Ny45MSA1NTkuMDkgMTQ4LjU1IDU1OS43NiAx&#10;NDkuMiA1NjAuNDIgMTQ5Ljg1IDU2MS4xMiAxNTAuNTMgNTYxLjg1IDE1MS4yIDU2Mi41OSAxNTEu&#10;ODYgNTYyLjc5IDE1Mi4wNCA1NjIuODQgMTUyLjM1IDU2Mi43OCAxNTIuNTcgNTYyLjcxIDE1Mi44&#10;MiA1NjIuNDkgMTUzLjA1IDU2Mi4xOSAxNTMuMTggNTYxLjkgMTUzLjMxIDU2MS41NCAxNTMuMzYg&#10;NTYxLjIgMTUzLjMxIDU2MC44MSAxNTMuMjYgNTYwLjU4IDE1My4xIDU2MC4zNCAxNTIuODkgNTYw&#10;LjEyIDE1Mi43IDU1OS45IDE1Mi41MiA1NTkuNjggMTUyLjMzIDU1OC44OCAxNTEuNjcgNTU4LjA2&#10;IDE1MS4wMiA1NTcuMjMgMTUwLjM4IDU1Ni4zMiAxNDkuNjcgNTU1LjQ0IDE0OC45NSA1NTQuNTcg&#10;MTQ4LjIxIDU1NC41OSAxNDguMjMgNTU0LjYxIDE0OC4yNCA1NTQuNjMgMTQ4LjI2IDU1NC41NSAx&#10;NDguMTkgNTU0LjQ3IDE0OC4xMyA1NTQuMzkgMTQ4LjA2IDU1NC4zOCAxNDguMDUgNTU0LjM2IDE0&#10;OC4wNCA1NTQuMzUgMTQ4LjAzIDU1NC4zNSAxNDguMDMgNTU0LjM1IDE0OC4wMyA1NTQuMzUgMTQ4&#10;LjAzIDU1Mi44MSAxNDYuNzQgNTUxLjI4IDE0NS40MyA1NDkuNzcgMTQ0LjEyIDU0OC45OSAxNDMu&#10;NDQgNTQ4LjIxIDE0Mi43NiA1NDcuNDUgMTQyLjA2IDU0Ny4wOSAxNDEuNzMgNTQ2LjcyIDE0MS4z&#10;OSA1NDYuMzYgMTQxLjA1IDU0Ni4yMSAxNDAuOTEgNTQ2LjA2IDE0MC43NyA1NDUuOTEgMTQwLjYy&#10;IDU0NS42NyAxNDAuMzggNTQ1LjQ5IDE0MC4xNSA1NDUuNDMgMTM5Ljg0IDU0NS4zMyAxMzkuMzUg&#10;NTQ1Ljk4IDEzOC44OCA1NDYuNjUgMTM4Ljg2IDU0Ni42OSAxMzguODYgNTQ2Ljc0IDEzOC44NiA1&#10;NDYuNzggMTM4Ljg2IDU0Ny42OCAxMzguOSA1NDguMzUgMTM5LjQ5IDU0OC45MyAxMzkuOTNaIiBm&#10;aWxsPSIjMDEwMTAxIi8+PHBhdGggZD0iTTU2Ni4wMyAxNDQuNjhDNTY2LjAzIDE0NC42OCA1NjYu&#10;MDggMTQ0LjcyIDU2Ni4xIDE0NC43NCA1NjYuMDggMTQ0LjcyIDU2Ni4wNSAxNDQuNyA1NjYuMDMg&#10;MTQ0LjY4Wk01NTYuMTUgMTMzLjEzQzU1Ni41MiAxMzMuMiA1NTYuNzcgMTMzLjM1IDU1Ny4wMiAx&#10;MzMuNTQgNTU3LjI1IDEzMy43MiA1NTcuNDcgMTMzLjkxIDU1Ny42OCAxMzQuMTEgNTU4LjA1IDEz&#10;NC40NCA1NTguNDEgMTM0Ljc2IDU1OC43OCAxMzUuMDkgNTU5LjUxIDEzNS43NSA1NjAuMjUgMTM2&#10;LjQgNTYwLjk5IDEzNy4wNiA1NjIuNTIgMTM4LjQxIDU2NC4wNSAxMzkuNzYgNTY1LjU3IDE0MS4x&#10;MiA1NjcuNDcgMTQyLjgyIDU2OS4yNyAxNDQuNTggNTcxLjE5IDE0Ni4yNyA1NzEuMzkgMTQ2LjQ1&#10;IDU3MS40MyAxNDYuNzQgNTcxLjM3IDE0Ni45NSA1NzEuMyAxNDcuMTkgNTcxLjEgMTQ3LjQxIDU3&#10;MC44IDE0Ny41NCA1NzAuNTIgMTQ3LjY3IDU3MC4xNyAxNDcuNzIgNTY5Ljg0IDE0Ny42NyA1Njku&#10;NDcgMTQ3LjYyIDU2OS4yNCAxNDcuNDcgNTY5LjAxIDE0Ny4yNyA1NjcuOTcgMTQ2LjM2IDU2Ni45&#10;MiAxNDUuNDUgNTY1Ljg1IDE0NC41NSA1NjUuODggMTQ0LjU3IDU2NS45IDE0NC41OSA1NjUuOTMg&#10;MTQ0LjYxIDU2NC4zMyAxNDMuMjYgNTYyLjggMTQxLjg4IDU2MS4yOSAxNDAuNDkgNTU5Ljg1IDEz&#10;OS4xNiA1NTguNDIgMTM3LjgyIDU1Ny4wMyAxMzYuNDYgNTU2LjYyIDEzNi4wNiA1NTYuMjMgMTM1&#10;LjY2IDU1NS44NSAxMzUuMjUgNTU1LjY1IDEzNS4wNCA1NTUuNDYgMTM0LjgyIDU1NS4yOCAxMzQu&#10;NiA1NTUuMDUgMTM0LjMyIDU1NC44NSAxMzQuMDIgNTU0Ljk0IDEzMy42OCA1NTUuMDMgMTMzLjM0&#10;IDU1NS40OSAxMzMuMDggNTU1Ljk3IDEzMy4xIDU1Ni4wMiAxMzMuMSA1NTYuMDggMTMzLjEgNTU2&#10;LjEzIDEzMy4xMloiIGZpbGw9IiMwMTAxMDEiLz48cGF0aCBkPSJNNTYzLjk5IDEzMC40MkM1NjMu&#10;OTkgMTMwLjQyIDU2NC4wNSAxMzAuNDcgNTY0LjA3IDEzMC40OSA1NjQuMDQgMTMwLjQ3IDU2NC4w&#10;MSAxMzAuNDQgNTYzLjk5IDEzMC40MlpNNTYyLjkgMTI2LjYxQzU2My4yNyAxMjYuNzYgNTYzLjYy&#10;IDEyNi45NSA1NjMuOTUgMTI3LjE0IDU2NC41NyAxMjcuNTEgNTY1LjE3IDEyNy45IDU2NS43NiAx&#10;MjguMyA1NjYuOSAxMjkuMDcgNTY4LjAxIDEyOS44NiA1NjkuMTIgMTMwLjY2IDU3MS4yOSAxMzIu&#10;MjIgNTczLjQzIDEzMy43OSA1NzUuNTUgMTM1LjM4IDU3Ni4zMSAxMzUuOTUgNTc3LjA4IDEzNi41&#10;MiA1NzcuODMgMTM3LjEgNTc4LjY2IDEzNy43NSA1NzkuNDIgMTM4LjQzIDU4MC4yIDEzOS4xIDU4&#10;MC4zOCAxMzkuMjUgNTgwLjU2IDEzOS4zOSA1ODAuNzQgMTM5LjUzIDU4MS4wNyAxMzkuNzkgNTgx&#10;LjMgMTQwLjA0IDU4MS4zMyAxNDAuNCA1ODEuMzYgMTQwLjc0IDU4MS4xOSAxNDEuMDkgNTgwLjg3&#10;IDE0MS4zNCA1ODAuMjMgMTQxLjg1IDU3OS4wMyAxNDEuOTIgNTc4LjMyIDE0MS40MyA1NzcuMTkg&#10;MTQwLjY1IDU3NS45NiAxMzkuOTYgNTc0Ljg1IDEzOS4xOCA1NzMuNzYgMTM4LjQyIDU3Mi43NCAx&#10;MzcuNjEgNTcxLjczIDEzNi43OSA1NjkuNyAxMzUuMTYgNTY3LjcyIDEzMy41MSA1NjUuNzMgMTMx&#10;Ljg2IDU2NS4zNSAxMzEuNTQgNTY0Ljk2IDEzMS4yMiA1NjQuNTggMTMwLjkgNTY0LjM0IDEzMC43&#10;IDU2NC4wOSAxMzAuNDkgNTYzLjg1IDEzMC4yOSA1NjMuMjcgMTI5LjggNTYyLjY5IDEyOS4zIDU2&#10;Mi4xMiAxMjguOCA1NjEuODcgMTI4LjU4IDU2MS42MiAxMjguMzYgNTYxLjM5IDEyOC4xNCA1NjEu&#10;MTQgMTI3Ljg5IDU2MC44MyAxMjcuNTggNTYwLjg1IDEyNy4yNiA1NjAuODcgMTI2LjkzIDU2MS4w&#10;OSAxMjYuNTUgNTYxLjYgMTI2LjQ2IDU2MS43OCAxMjYuNDMgNTYxLjk1IDEyNi40MiA1NjIuMTIg&#10;MTI2LjQyIDU2Mi4zOSAxMjYuNDMgNTYyLjY1IDEyNi40OSA1NjIuOTEgMTI2LjU5WiIgZmlsbD0i&#10;IzAxMDEwMSIvPjxwYXRoIGQ9Ik01ODQuMjMgMTM1Ljg5QzU4NC4zIDEzNS45NiA1ODQuMzggMTM2&#10;LjAyIDU4NC40NiAxMzYuMDggNTg0LjM5IDEzNi4wMiA1ODQuMzEgMTM1Ljk1IDU4NC4yMyAxMzUu&#10;ODlaTTU3My4xNCAxMjIuNTdDNTczLjQyIDEyMi42OCA1NzMuNjIgMTIyLjg1IDU3My44MiAxMjMu&#10;MDIgNTc0LjA3IDEyMy4yMiA1NzQuMyAxMjMuNDIgNTc0LjU0IDEyMy42MiA1NzQuOTMgMTIzLjk2&#10;IDU3NS4zMSAxMjQuMyA1NzUuNyAxMjQuNjQgNTc2LjQ1IDEyNS4zMSA1NzcuMTggMTI1Ljk5IDU3&#10;Ny45MSAxMjYuNjcgNTc5LjQ0IDEyOC4wOCA1ODAuOTkgMTI5LjQ3IDU4Mi41NiAxMzAuODYgNTgz&#10;LjYgMTMxLjc4IDU4NC42MyAxMzIuNyA1ODUuNTggMTMzLjY3IDU4Ni41MyAxMzQuNjQgNTg3LjUx&#10;IDEzNS41OCA1ODguNTIgMTM2LjUxIDU4OC43NCAxMzYuNzEgNTg4Ljc5IDEzNy4wMiA1ODguNzIg&#10;MTM3LjI1IDU4OC42NSAxMzcuNTEgNTg4LjQyIDEzNy43NSA1ODguMSAxMzcuOSA1ODcuNzkgMTM4&#10;LjA0IDU4Ny40MiAxMzguMDkgNTg3LjA2IDEzOC4wNCA1ODYuNjYgMTM3Ljk4IDU4Ni40IDEzNy44&#10;MiA1ODYuMTYgMTM3LjYgNTg1LjYgMTM3LjA5IDU4NS4wMyAxMzYuNiA1ODQuNDUgMTM2LjEgNTgz&#10;LjY2IDEzNS40NSA1ODIuODQgMTM0LjgyIDU4Mi4wNSAxMzQuMTcgNTgxLjE4IDEzMy40NSA1ODAu&#10;MzUgMTMyLjcxIDU3OS41NCAxMzEuOTUgNTc4LjA0IDEzMC41NSA1NzYuNjEgMTI5LjExIDU3NS4y&#10;OCAxMjcuNjQgNTc0LjYxIDEyNi45IDU3My45NiAxMjYuMTcgNTczLjM0IDEyNS40MSA1NzMuMDYg&#10;MTI1LjA3IDU3Mi44IDEyNC43MyA1NzIuNTUgMTI0LjM4IDU3Mi4yMyAxMjMuOTIgNTcxLjc0IDEy&#10;My4zNSA1NzIuMDUgMTIyLjgzIDU3Mi4xNyAxMjIuNjIgNTcyLjUxIDEyMi41MSA1NzIuODIgMTIy&#10;LjUyIDU3Mi45MyAxMjIuNTIgNTczLjAzIDEyMi41NCA1NzMuMTIgMTIyLjU4WiIgZmlsbD0iIzAx&#10;MDEwMSIvPjxwYXRoIGQ9Ik01ODQuNjIgMTEzLjg2QzU4NC43NiAxMTMuODggNTg0LjkxIDExMy45&#10;MyA1ODUuMDUgMTEzLjk3IDU4NS4yOSAxMTQuMDQgNTg1LjUgMTE0LjE4IDU4NS43IDExNC4zIDU4&#10;Ni4wMSAxMTQuNDcgNTg2LjI3IDExNC42OCA1ODYuNTQgMTE0Ljg4IDU4Ny4wNCAxMTUuMjUgNTg3&#10;LjUxIDExNS42NCA1ODcuOTggMTE2LjAzIDU4OS4wMiAxMTYuOSA1OTAuMDIgMTE3Ljc5IDU5MSAx&#10;MTguNjkgNTkyLjg0IDEyMC4zNyA1OTQuNjMgMTIyLjA4IDU5Ni4zMyAxMjMuODQgNTk3LjA1IDEy&#10;NC41OSA1OTcuNyAxMjUuMzcgNTk4LjM2IDEyNi4xNSA1OTkuMDYgMTI2Ljk3IDU5OS44MiAxMjcu&#10;NzUgNjAwLjYxIDEyOC41MiA2MDEuMTMgMTI5LjAzIDYwMC44NCAxMjkuNzggNjAwLjEzIDEzMC4x&#10;MSA1OTkuNzggMTMwLjI3IDU5OS4zNSAxMzAuMzMgNTk4Ljk0IDEzMC4yNyA1OTguNDkgMTMwLjIx&#10;IDU5OC4xNyAxMzAuMDIgNTk3LjkgMTI5Ljc3IDU5Ny4zNCAxMjkuMjQgNTk2Ljc3IDEyOC43MiA1&#10;OTYuMTcgMTI4LjIgNTk1LjE3IDEyNy4zOCA1OTQuMTMgMTI2LjU5IDU5My4xNiAxMjUuNzUgNTky&#10;LjIzIDEyNC45NSA1OTEuMzUgMTI0LjEyIDU5MC40NyAxMjMuMyA1ODguNjQgMTIxLjU5IDU4Ni44&#10;NiAxMTkuODUgNTg1LjIyIDExOC4wNSA1ODQuNzggMTE3LjU2IDU4NC4zMyAxMTcuMDYgNTgzLjk0&#10;IDExNi41NCA1ODMuNjcgMTE2LjE4IDU4My40MiAxMTUuODIgNTgzLjIxIDExNS40NSA1ODMuMDYg&#10;MTE1LjE5IDU4My4wMyAxMTQuODkgNTgzLjA4IDExNC42MiA1ODMuMTUgMTE0LjI0IDU4My42NiAx&#10;MTMuODQgNTg0LjIzIDExMy44NSA1ODQuMyAxMTMuODUgNTg0LjM4IDExMy44NSA1ODQuNDUgMTEz&#10;Ljg1IDU4NC41IDExMy44NSA1ODQuNTYgMTEzLjg1IDU4NC42IDExMy44NloiIGZpbGw9IiMwMTAx&#10;MDEiLz48cGF0aCBkPSJNNTk1LjgyIDExMC4wMkM1OTYuMzIgMTEwLjA4IDU5Ni43MyAxMTAuMzIg&#10;NTk3LjExIDExMC41NCA1OTcuMzUgMTEwLjY4IDU5Ny41NyAxMTAuODUgNTk3Ljc5IDExMS4wMSA1&#10;OTguMzIgMTExLjM5IDU5OC43OSAxMTEuOCA1OTkuMjcgMTEyLjIxIDYwMC4xMiAxMTIuOTMgNjAw&#10;LjkyIDExMy42NyA2MDEuNzEgMTE0LjQzIDYwMy4yMSAxMTUuODggNjA0Ljc0IDExNy4zMiA2MDYu&#10;MjggMTE4Ljc1IDYwNy4zMSAxMTkuNyA2MDguMzUgMTIwLjY1IDYwOS40IDEyMS42IDYwOS42OSAx&#10;MjEuODYgNjA5Ljc1IDEyMi4yOCA2MDkuNjYgMTIyLjU5IDYwOS41NiAxMjIuOTQgNjA5LjI2IDEy&#10;My4yNiA2MDguODQgMTIzLjQ1IDYwOC40MyAxMjMuNjQgNjA3LjkyIDEyMy43MSA2MDcuNDUgMTIz&#10;LjY0IDYwNy4yOSAxMjMuNiA2MDcuMTMgMTIzLjU2IDYwNi45NyAxMjMuNTIgNjA2LjY2IDEyMy40&#10;MSA2MDYuNDIgMTIzLjI1IDYwNi4yNCAxMjMuMDUgNjA0LjYzIDEyMS41OSA2MDMuMDMgMTIwLjEy&#10;IDYwMS40MSAxMTguNjcgNTk5LjggMTE3LjIyIDU5OC4xMiAxMTUuODEgNTk2LjYyIDExNC4zIDU5&#10;Ni4xOCAxMTMuODUgNTk1Ljc0IDExMy40IDU5NS4zMSAxMTIuOTQgNTk1LjA4IDExMi42OSA1OTQu&#10;ODYgMTEyLjQzIDU5NC42NCAxMTIuMTggNTk0LjUgMTEyIDU5NC4zNiAxMTEuODEgNTk0LjI0IDEx&#10;MS42MSA1OTQuMSAxMTEuMzYgNTk0LjA3IDExMS4xIDU5NC4xMSAxMTAuODIgNTk0LjIxIDExMC4z&#10;IDU5NC45NSAxMDkuOTggNTk1LjY0IDExMC4wMSA1OTUuNjkgMTEwLjAxIDU5NS43NSAxMTAuMDEg&#10;NTk1LjggMTEwLjAyWiIgZmlsbD0iIzAxMDEwMSIvPjxwYXRoIGQ9Ik02MDQuNjcgMTAxLjc5QzYw&#10;NC42NyAxMDEuNzkgNjA0LjY1IDEwMS44MSA2MDQuNjQgMTAxLjgyTDYwNC42NCAxMDEuODJDNjA0&#10;LjY0IDEwMS44MiA2MDQuNjQgMTAxLjgyIDYwNC42NCAxMDEuODIgNjA0LjY0IDEwMS44MSA2MDQu&#10;NjYgMTAxLjggNjA0LjY2IDEwMS43OVpNNjA2LjE3IDEwMS40NUM2MDYuMTcgMTAxLjQ1IDYwNi4y&#10;MSAxMDEuNDYgNjA2LjIzIDEwMS40NyA2MDYuMjIgMTAxLjQ3IDYwNi4yIDEwMS40NiA2MDYuMTkg&#10;MTAxLjQ1IDYwNi4xOSAxMDEuNDUgNjA2LjE4IDEwMS40NSA2MDYuMTcgMTAxLjQ1Wk02MDUuMzEg&#10;MTAxLjRDNjA1LjMxIDEwMS40IDYwNS4zMSAxMDEuNCA2MDUuMzEgMTAxLjQgNjA1LjMxIDEwMS40&#10;IDYwNS4zMSAxMDEuNCA2MDUuMzEgMTAxLjQgNjA1LjMxIDEwMS40IDYwNS4zMSAxMDEuNCA2MDUu&#10;MzEgMTAxLjRaTTYwNy42NCAxMDIuMzdDNjA4LjExIDEwMi43NyA2MDguNTQgMTAzLjIgNjA4Ljk3&#10;IDEwMy42MyA2MDkuOTEgMTA0LjU1IDYxMC44NCAxMDUuNDcgNjExLjc2IDEwNi40MSA2MTMuNTUg&#10;MTA4LjIyIDYxNS4xNiAxMTAuMTEgNjE2Ljg3IDExMS45NiA2MTcuODcgMTEzLjA1IDYxOC44OSAx&#10;MTQuMTIgNjE5LjkgMTE1LjIxIDYyMC40IDExNS43NCA2MjAuMTYgMTE2LjQ3IDYxOS40MiAxMTYu&#10;ODIgNjE4LjY3IDExNy4xNyA2MTcuNjYgMTE3IDYxNy4xNiAxMTYuNDggNjE1LjQ1IDExNC42NiA2&#10;MTMuNzQgMTEyLjg0IDYxMS45NSAxMTEuMDYgNjEwLjA5IDEwOS4yMSA2MDguMjcgMTA3LjMzIDYw&#10;Ni41OSAxMDUuMzkgNjA2LjE2IDEwNC44OSA2MDUuNzQgMTA0LjM3IDYwNS4zNyAxMDMuODUgNjA1&#10;LjE0IDEwMy41MiA2MDQuOSAxMDMuMTkgNjA0LjcgMTAyLjg1IDYwNC41NyAxMDIuNjIgNjA0LjQ4&#10;IDEwMi4zOCA2MDQuNSAxMDIuMTUgNjA0LjUxIDEwMS45NiA2MDQuNjEgMTAxLjc4IDYwNC43OSAx&#10;MDEuNjQgNjA0Ljk2IDEwMS41MSA2MDUuMTggMTAxLjQyIDYwNS40IDEwMS4zOSA2MDUuNTIgMTAx&#10;LjM3IDYwNS42NCAxMDEuMzYgNjA1Ljc1IDEwMS4zNyA2MDYuNTIgMTAxLjQgNjA3LjE0IDEwMS45&#10;OCA2MDcuNjIgMTAyLjM4WiIgZmlsbD0iIzAxMDEwMSIvPjwvc3ZnPlBLAwQUAAYACAAAACEATOKv&#10;pN4AAAAHAQAADwAAAGRycy9kb3ducmV2LnhtbEyPT0vDQBTE74LfYXmCN7v5Q4ON2ZRS1FMRbAXp&#10;7TX7moRm34bsNkm/vetJj8MMM78p1rPpxEiDay0riBcRCOLK6pZrBV+Ht6dnEM4ja+wsk4IbOViX&#10;93cF5tpO/Enj3tcilLDLUUHjfZ9L6aqGDLqF7YmDd7aDQR/kUEs94BTKTSeTKMqkwZbDQoM9bRuq&#10;LvurUfA+4bRJ49dxdzlvb8fD8uN7F5NSjw/z5gWEp9n/heEXP6BDGZhO9sraiU5BOOIVJGkGIrjJ&#10;cpWCOIVYkmQgy0L+5y9/AA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gODR6DkFAAAyDwAADgAAAAAAAAAAAAAAAABDAgAAZHJzL2Uyb0RvYy54&#10;bWxQSwECLQAKAAAAAAAAACEAGMgcHv3hAAD94QAAFAAAAAAAAAAAAAAAAACoBwAAZHJzL21lZGlh&#10;L2ltYWdlMS5wbmdQSwECLQAKAAAAAAAAACEA537WYP8PAQD/DwEAFAAAAAAAAAAAAAAAAADX6QAA&#10;ZHJzL21lZGlhL2ltYWdlMi5zdmdQSwECLQAUAAYACAAAACEATOKvpN4AAAAHAQAADwAAAAAAAAAA&#10;AAAAAAAI+gEAZHJzL2Rvd25yZXYueG1sUEsBAi0AFAAGAAgAAAAhACJWDu7HAAAApQEAABkAAAAA&#10;AAAAAAAAAAAAE/sBAGRycy9fcmVscy9lMm9Eb2MueG1sLnJlbHNQSwUGAAAAAAcABwC+AQAAEfwB&#10;AAAA&#10;">
                <v:shape id="Graphic 1" o:spid="_x0000_s1047" type="#_x0000_t75" style="position:absolute;width:15608;height:62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QemzAAAAOIAAAAPAAAAZHJzL2Rvd25yZXYueG1sRI9BS8NA&#10;FITvBf/D8gQv0mxibC0xm1KkokUUbHvx9sw+s6HZtyG7tvHfu4LQ4zAz3zDlcrSdONLgW8cKsiQF&#10;QVw73XKjYL97nC5A+ICssXNMCn7Iw7K6mJRYaHfidzpuQyMihH2BCkwIfSGlrw1Z9InriaP35QaL&#10;IcqhkXrAU4TbTt6k6VxabDkuGOzpwVB92H5bBYvN5+r6xa332Ozy7M2sXw8fT0Gpq8txdQ8i0BjO&#10;4f/2s1aQz7LZXZpnt/B3Kd4BWf0CAAD//wMAUEsBAi0AFAAGAAgAAAAhANvh9svuAAAAhQEAABMA&#10;AAAAAAAAAAAAAAAAAAAAAFtDb250ZW50X1R5cGVzXS54bWxQSwECLQAUAAYACAAAACEAWvQsW78A&#10;AAAVAQAACwAAAAAAAAAAAAAAAAAfAQAAX3JlbHMvLnJlbHNQSwECLQAUAAYACAAAACEA0PUHpswA&#10;AADiAAAADwAAAAAAAAAAAAAAAAAHAgAAZHJzL2Rvd25yZXYueG1sUEsFBgAAAAADAAMAtwAAAAAD&#10;AAAAAA==&#10;">
                  <v:imagedata r:id="rId59" o:title="" cropleft="2286f"/>
                  <o:lock v:ext="edit" aspectratio="f"/>
                </v:shape>
                <v:shape id="Text Box 1973279782" o:spid="_x0000_s1048" type="#_x0000_t202" style="position:absolute;left:2381;top:267;width:13144;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Ji9yAAAAOMAAAAPAAAAZHJzL2Rvd25yZXYueG1sRE9fS8Mw&#10;EH8X/A7hBN9cagd2q8vGKB0oiNBuAx+P5mzLmktpsi1+eyMIe7zf/1ttghnEhSbXW1bwPEtAEDdW&#10;99wqOOx3TwsQziNrHCyTgh9ysFnf360w1/bKFV1q34oYwi5HBZ33Yy6lazoy6GZ2JI7ct50M+nhO&#10;rdQTXmO4GWSaJC/SYM+xocORio6aU302Cr7Ssi3DZ7U98vtHFU5lsS/OtVKPD2H7CsJT8Dfxv/tN&#10;x/nLbJ5my2yRwt9PEQC5/gUAAP//AwBQSwECLQAUAAYACAAAACEA2+H2y+4AAACFAQAAEwAAAAAA&#10;AAAAAAAAAAAAAAAAW0NvbnRlbnRfVHlwZXNdLnhtbFBLAQItABQABgAIAAAAIQBa9CxbvwAAABUB&#10;AAALAAAAAAAAAAAAAAAAAB8BAABfcmVscy8ucmVsc1BLAQItABQABgAIAAAAIQCSxJi9yAAAAOMA&#10;AAAPAAAAAAAAAAAAAAAAAAcCAABkcnMvZG93bnJldi54bWxQSwUGAAAAAAMAAwC3AAAA/AIAAAAA&#10;" filled="f" stroked="f">
                  <v:textbox inset="0,,0">
                    <w:txbxContent>
                      <w:p w14:paraId="0B655AD3" w14:textId="45036B0C" w:rsidR="00604A31" w:rsidRDefault="00AC00BC" w:rsidP="001757D2">
                        <w:pPr>
                          <w:spacing w:after="0" w:line="216" w:lineRule="auto"/>
                          <w:jc w:val="center"/>
                          <w:rPr>
                            <w:b/>
                            <w:bCs/>
                            <w:color w:val="000000"/>
                            <w:sz w:val="20"/>
                            <w:szCs w:val="20"/>
                          </w:rPr>
                        </w:pPr>
                        <w:r>
                          <w:rPr>
                            <w:b/>
                            <w:bCs/>
                            <w:color w:val="000000"/>
                            <w:sz w:val="20"/>
                            <w:szCs w:val="20"/>
                          </w:rPr>
                          <w:t>Further detail in</w:t>
                        </w:r>
                        <w:r w:rsidR="001757D2">
                          <w:rPr>
                            <w:color w:val="000000"/>
                            <w:sz w:val="20"/>
                            <w:szCs w:val="20"/>
                          </w:rPr>
                          <w:br/>
                        </w:r>
                        <w:r w:rsidR="00604A31" w:rsidRPr="00697AE5">
                          <w:rPr>
                            <w:b/>
                            <w:bCs/>
                            <w:color w:val="000000"/>
                            <w:sz w:val="20"/>
                            <w:szCs w:val="20"/>
                          </w:rPr>
                          <w:t xml:space="preserve">Part B - Section </w:t>
                        </w:r>
                        <w:r w:rsidR="00604A31">
                          <w:rPr>
                            <w:b/>
                            <w:bCs/>
                            <w:color w:val="000000"/>
                            <w:sz w:val="20"/>
                            <w:szCs w:val="20"/>
                          </w:rPr>
                          <w:t>5</w:t>
                        </w:r>
                      </w:p>
                      <w:p w14:paraId="1D37EE73" w14:textId="32BA06D5" w:rsidR="00604A31" w:rsidRPr="00697AE5" w:rsidRDefault="001757D2" w:rsidP="001757D2">
                        <w:pPr>
                          <w:spacing w:after="0" w:line="216" w:lineRule="auto"/>
                          <w:jc w:val="center"/>
                          <w:rPr>
                            <w:b/>
                            <w:bCs/>
                            <w:color w:val="000000"/>
                            <w:sz w:val="20"/>
                            <w:szCs w:val="20"/>
                          </w:rPr>
                        </w:pPr>
                        <w:r>
                          <w:rPr>
                            <w:b/>
                            <w:bCs/>
                            <w:color w:val="000000"/>
                            <w:sz w:val="20"/>
                            <w:szCs w:val="20"/>
                          </w:rPr>
                          <w:t xml:space="preserve">Part C </w:t>
                        </w:r>
                        <w:r w:rsidR="00BC0BDB" w:rsidRPr="00697AE5">
                          <w:rPr>
                            <w:b/>
                            <w:bCs/>
                            <w:color w:val="000000"/>
                            <w:sz w:val="20"/>
                            <w:szCs w:val="20"/>
                          </w:rPr>
                          <w:t>-</w:t>
                        </w:r>
                        <w:r>
                          <w:rPr>
                            <w:b/>
                            <w:bCs/>
                            <w:color w:val="000000"/>
                            <w:sz w:val="20"/>
                            <w:szCs w:val="20"/>
                          </w:rPr>
                          <w:t xml:space="preserve"> Section 6</w:t>
                        </w:r>
                      </w:p>
                    </w:txbxContent>
                  </v:textbox>
                </v:shape>
                <w10:wrap type="square" anchorx="page"/>
              </v:group>
            </w:pict>
          </mc:Fallback>
        </mc:AlternateContent>
      </w:r>
      <w:r w:rsidR="00DB442E" w:rsidRPr="00884FAA">
        <w:t xml:space="preserve">Aboriginal and Torres Strait Islander people value holistic </w:t>
      </w:r>
      <w:r w:rsidR="003279C5">
        <w:t>PHC</w:t>
      </w:r>
      <w:r w:rsidR="00DB442E" w:rsidRPr="00884FAA">
        <w:t xml:space="preserve"> delivered in culturally safe ways. In primary care, Aboriginal and Torres Strait Islander people often experience selective </w:t>
      </w:r>
      <w:r w:rsidR="003279C5">
        <w:t>PHC</w:t>
      </w:r>
      <w:r w:rsidR="00DB442E" w:rsidRPr="00884FAA">
        <w:t xml:space="preserve"> driven by a biomedical model. In the broader health system, Aboriginal and Torres Strait Islander people </w:t>
      </w:r>
      <w:r w:rsidR="00475DE7">
        <w:t xml:space="preserve">frequently </w:t>
      </w:r>
      <w:r w:rsidR="00DB442E" w:rsidRPr="00884FAA">
        <w:t xml:space="preserve">experience a fragmented, under-resourced, culturally insensitive and racist health system. </w:t>
      </w:r>
    </w:p>
    <w:p w14:paraId="14134BF8" w14:textId="5D235129" w:rsidR="00DB442E" w:rsidRPr="00884FAA" w:rsidRDefault="00DB442E" w:rsidP="00DB442E">
      <w:r w:rsidRPr="00884FAA">
        <w:t xml:space="preserve">The supplementary care provided through </w:t>
      </w:r>
      <w:r w:rsidR="000874A9">
        <w:t xml:space="preserve">the </w:t>
      </w:r>
      <w:r w:rsidRPr="00884FAA">
        <w:t>Integrated Team Care program for people experiencing chronic disease assists to overcome barriers to accessing health services and contributes to reducing system fragmentation. The evaluation identified a clear opportunity to extend the benefits of this program to reach more Aboriginal and Torres Strait Islander people to assist in preventing the progression of chronic health conditions.</w:t>
      </w:r>
    </w:p>
    <w:p w14:paraId="7F994299" w14:textId="130A5E43" w:rsidR="00D150AC" w:rsidRPr="00884FAA" w:rsidRDefault="00FB154C" w:rsidP="00651D06">
      <w:pPr>
        <w:pStyle w:val="Heading3NotNumbered"/>
        <w:numPr>
          <w:ilvl w:val="0"/>
          <w:numId w:val="0"/>
        </w:numPr>
      </w:pPr>
      <w:r w:rsidRPr="00884FAA">
        <w:t>IAHP f</w:t>
      </w:r>
      <w:r w:rsidR="00D150AC" w:rsidRPr="00884FAA">
        <w:t xml:space="preserve">unding is too low </w:t>
      </w:r>
      <w:r w:rsidR="00270B37" w:rsidRPr="00884FAA">
        <w:t xml:space="preserve">for services to </w:t>
      </w:r>
      <w:r w:rsidR="006165FA" w:rsidRPr="00884FAA">
        <w:t xml:space="preserve">consistently </w:t>
      </w:r>
      <w:r w:rsidR="00C93200" w:rsidRPr="00884FAA">
        <w:t>deliver values-aligned care</w:t>
      </w:r>
      <w:r w:rsidR="003348B3" w:rsidRPr="00884FAA">
        <w:t xml:space="preserve"> </w:t>
      </w:r>
    </w:p>
    <w:p w14:paraId="6738D9F8" w14:textId="3320693E" w:rsidR="006423FA" w:rsidRDefault="00A06E9B" w:rsidP="00F44B3A">
      <w:r>
        <w:t xml:space="preserve">The evaluation </w:t>
      </w:r>
      <w:r w:rsidR="00275E0C">
        <w:t>evidence suggests</w:t>
      </w:r>
      <w:r>
        <w:t xml:space="preserve"> that</w:t>
      </w:r>
      <w:r w:rsidR="00A76B3C" w:rsidRPr="00884FAA">
        <w:t xml:space="preserve"> </w:t>
      </w:r>
      <w:r w:rsidR="00812A91">
        <w:t xml:space="preserve">many </w:t>
      </w:r>
      <w:r w:rsidR="00CD3E2C" w:rsidRPr="00884FAA">
        <w:t>f</w:t>
      </w:r>
      <w:r w:rsidR="00861882" w:rsidRPr="00884FAA">
        <w:t xml:space="preserve">unded services do not </w:t>
      </w:r>
      <w:r w:rsidR="00554FCF" w:rsidRPr="00884FAA">
        <w:t xml:space="preserve">receive </w:t>
      </w:r>
      <w:r w:rsidR="005E4E8D" w:rsidRPr="00884FAA">
        <w:t>sufficient</w:t>
      </w:r>
      <w:r w:rsidR="00554FCF" w:rsidRPr="00884FAA">
        <w:t xml:space="preserve"> resourcing to move beyond selective </w:t>
      </w:r>
      <w:r w:rsidR="003279C5">
        <w:t>PHC</w:t>
      </w:r>
      <w:r w:rsidR="00554FCF" w:rsidRPr="00884FAA">
        <w:t xml:space="preserve">. </w:t>
      </w:r>
      <w:r w:rsidR="00CD3E2C" w:rsidRPr="00884FAA">
        <w:t>While the investment in</w:t>
      </w:r>
      <w:r w:rsidR="00383848">
        <w:t xml:space="preserve"> the</w:t>
      </w:r>
      <w:r w:rsidR="00CD3E2C" w:rsidRPr="00884FAA">
        <w:t xml:space="preserve"> IAHP has grown, </w:t>
      </w:r>
      <w:r w:rsidR="00192BA1">
        <w:t>based on the experiences of ACCH</w:t>
      </w:r>
      <w:r w:rsidR="00812A91">
        <w:t>S</w:t>
      </w:r>
      <w:r w:rsidR="00777F20">
        <w:t>s</w:t>
      </w:r>
      <w:r w:rsidR="003235CA">
        <w:t>,</w:t>
      </w:r>
      <w:r w:rsidR="00192BA1">
        <w:t xml:space="preserve"> </w:t>
      </w:r>
      <w:r w:rsidR="00CD3E2C" w:rsidRPr="00884FAA">
        <w:t xml:space="preserve">the evaluation found that this </w:t>
      </w:r>
      <w:r w:rsidR="003E72F3">
        <w:t xml:space="preserve">investment </w:t>
      </w:r>
      <w:r w:rsidR="00CD3E2C" w:rsidRPr="00884FAA">
        <w:t>is still not</w:t>
      </w:r>
      <w:r w:rsidR="00FA65D3" w:rsidRPr="00884FAA">
        <w:t xml:space="preserve"> enough to meet the demand for services or deliver the </w:t>
      </w:r>
      <w:r>
        <w:t xml:space="preserve">comprehensive, holistic </w:t>
      </w:r>
      <w:r w:rsidR="003279C5">
        <w:t>PHC</w:t>
      </w:r>
      <w:r>
        <w:t xml:space="preserve"> </w:t>
      </w:r>
      <w:r w:rsidR="00585344" w:rsidRPr="00884FAA">
        <w:t>through ACCHSs</w:t>
      </w:r>
      <w:r w:rsidR="002C673F">
        <w:t xml:space="preserve"> that aligns</w:t>
      </w:r>
      <w:r w:rsidR="00CF4823">
        <w:t xml:space="preserve"> with what Aboriginal and Torres Strait Islander people</w:t>
      </w:r>
      <w:r w:rsidR="006348D6">
        <w:t xml:space="preserve"> value</w:t>
      </w:r>
      <w:r w:rsidR="00FA65D3" w:rsidRPr="00884FAA">
        <w:t xml:space="preserve">. </w:t>
      </w:r>
    </w:p>
    <w:p w14:paraId="088943EC" w14:textId="6674C882" w:rsidR="00B71C8D" w:rsidRPr="00884FAA" w:rsidRDefault="00D245F7" w:rsidP="00F44B3A">
      <w:r>
        <w:rPr>
          <w:noProof/>
        </w:rPr>
        <mc:AlternateContent>
          <mc:Choice Requires="wpg">
            <w:drawing>
              <wp:anchor distT="0" distB="0" distL="114300" distR="114300" simplePos="0" relativeHeight="251658279" behindDoc="0" locked="0" layoutInCell="1" allowOverlap="1" wp14:anchorId="3EECF2A5" wp14:editId="3AECD69E">
                <wp:simplePos x="0" y="0"/>
                <wp:positionH relativeFrom="page">
                  <wp:align>left</wp:align>
                </wp:positionH>
                <wp:positionV relativeFrom="paragraph">
                  <wp:posOffset>90805</wp:posOffset>
                </wp:positionV>
                <wp:extent cx="1560830" cy="619125"/>
                <wp:effectExtent l="0" t="0" r="1270" b="9525"/>
                <wp:wrapSquare wrapText="bothSides"/>
                <wp:docPr id="1630633658" name="Group 16306336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619125"/>
                          <a:chOff x="0" y="0"/>
                          <a:chExt cx="1560830" cy="620395"/>
                        </a:xfrm>
                      </wpg:grpSpPr>
                      <pic:pic xmlns:pic="http://schemas.openxmlformats.org/drawingml/2006/picture">
                        <pic:nvPicPr>
                          <pic:cNvPr id="1007346958"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a:off x="0" y="0"/>
                            <a:ext cx="1560830" cy="620395"/>
                          </a:xfrm>
                          <a:prstGeom prst="rect">
                            <a:avLst/>
                          </a:prstGeom>
                          <a:ln>
                            <a:noFill/>
                          </a:ln>
                          <a:extLst>
                            <a:ext uri="{53640926-AAD7-44D8-BBD7-CCE9431645EC}">
                              <a14:shadowObscured xmlns:a14="http://schemas.microsoft.com/office/drawing/2010/main"/>
                            </a:ext>
                          </a:extLst>
                        </pic:spPr>
                      </pic:pic>
                      <wps:wsp>
                        <wps:cNvPr id="1675899161" name="Text Box 1675899161"/>
                        <wps:cNvSpPr txBox="1">
                          <a:spLocks noChangeArrowheads="1"/>
                        </wps:cNvSpPr>
                        <wps:spPr bwMode="auto">
                          <a:xfrm>
                            <a:off x="21945"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70861F97" w14:textId="061DC1B0" w:rsidR="009670AC" w:rsidRPr="00697AE5" w:rsidRDefault="00AC00BC" w:rsidP="009670AC">
                              <w:pPr>
                                <w:pBdr>
                                  <w:left w:val="single" w:sz="12" w:space="9" w:color="357DBE" w:themeColor="accent1"/>
                                </w:pBdr>
                                <w:spacing w:after="0" w:line="240" w:lineRule="auto"/>
                                <w:jc w:val="center"/>
                                <w:rPr>
                                  <w:b/>
                                  <w:bCs/>
                                  <w:color w:val="000000"/>
                                  <w:sz w:val="20"/>
                                  <w:szCs w:val="20"/>
                                </w:rPr>
                              </w:pPr>
                              <w:r>
                                <w:rPr>
                                  <w:b/>
                                  <w:bCs/>
                                  <w:color w:val="000000"/>
                                  <w:sz w:val="20"/>
                                  <w:szCs w:val="20"/>
                                </w:rPr>
                                <w:t xml:space="preserve">Further detail in </w:t>
                              </w:r>
                              <w:r w:rsidR="009670AC" w:rsidRPr="000326C6">
                                <w:rPr>
                                  <w:b/>
                                  <w:bCs/>
                                  <w:color w:val="000000"/>
                                  <w:sz w:val="20"/>
                                  <w:szCs w:val="20"/>
                                </w:rPr>
                                <w:t>Part C -</w:t>
                              </w:r>
                              <w:r w:rsidR="009670AC" w:rsidRPr="00697AE5">
                                <w:rPr>
                                  <w:b/>
                                  <w:bCs/>
                                  <w:color w:val="000000"/>
                                  <w:sz w:val="20"/>
                                  <w:szCs w:val="20"/>
                                </w:rPr>
                                <w:t xml:space="preserve"> Section</w:t>
                              </w:r>
                              <w:r w:rsidR="00BC0BDB">
                                <w:rPr>
                                  <w:b/>
                                  <w:bCs/>
                                  <w:color w:val="000000"/>
                                  <w:sz w:val="20"/>
                                  <w:szCs w:val="20"/>
                                </w:rPr>
                                <w:t>s</w:t>
                              </w:r>
                              <w:r w:rsidR="009670AC" w:rsidRPr="00697AE5">
                                <w:rPr>
                                  <w:b/>
                                  <w:bCs/>
                                  <w:color w:val="000000"/>
                                  <w:sz w:val="20"/>
                                  <w:szCs w:val="20"/>
                                </w:rPr>
                                <w:t xml:space="preserve"> </w:t>
                              </w:r>
                              <w:r w:rsidR="009670AC">
                                <w:rPr>
                                  <w:b/>
                                  <w:bCs/>
                                  <w:color w:val="000000"/>
                                  <w:sz w:val="20"/>
                                  <w:szCs w:val="20"/>
                                </w:rPr>
                                <w:t>6</w:t>
                              </w:r>
                              <w:r w:rsidR="00D245F7">
                                <w:rPr>
                                  <w:b/>
                                  <w:bCs/>
                                  <w:color w:val="000000"/>
                                  <w:sz w:val="20"/>
                                  <w:szCs w:val="20"/>
                                </w:rPr>
                                <w:t xml:space="preserve"> and 7</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ECF2A5" id="Group 1630633658" o:spid="_x0000_s1049" alt="&quot;&quot;" style="position:absolute;left:0;text-align:left;margin-left:0;margin-top:7.15pt;width:122.9pt;height:48.75pt;z-index:251658279;mso-position-horizontal:left;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Yf0mbIAUAACQPAAAOAAAAZHJzL2Uyb0RvYy54bWycV1tv&#10;2zYUfh+w/0DocUBiUbJuRpyibdagQLcGa4Z1j7REW0IkUaPoyOmv30dSkuU4hZ08xOHt3L7zHfLo&#10;6t2uKskjl20h6qVDL12H8DoVWVFvls7f958uYoe0itUZK0XNl84Tb51317/+ctU1C+6JXJQZlwRK&#10;6nbRNUsnV6pZzGZtmvOKtZei4TU210JWTGEqN7NMsg7aq3LmuW4464TMGilS3rZYvbGbzrXRv17z&#10;VH1dr1uuSLl04Jsyv9L8rvTv7PqKLTaSNXmR9m6wN3hRsaKG0VHVDVOMbGVxpKoqUilasVaXqahm&#10;Yr0uUm5iQDTUfRbNrRTbxsSyWXSbZoQJ0D7D6c1q0z8fb2XzrbmTQKJrNsDCzHQsu7Ws9H94SXYG&#10;sqcRMr5TJMUiDUI39oFsir2QJtQLLKZpDuCPxNL89xcFPddPjOBsMDs7cKYp0gX+egQwOkLgNFMg&#10;pbaSO72S6iwdFZMP2+YCyWqYKlZFWagnQzykRTtVP94V6Z20E4B5J0mRARbXjfx5mASgf80qEP+2&#10;5xjV8GhJfdiKMh3aF5E+tNiaHe6Z6YGRVVk0n4qyJFKofwqVf8tZA/3U0E9v9vGB5M9I8gJEloA3&#10;It1WvFa2oiQvEaqo27xoWofIBa9WHDHJz5lxni1amf6FytI15c/j2Ca8VZKrNB9CGNy0wbYgGFl1&#10;f4gMrrKtEsbb1xPsmCcAT7bqlouK6AHchGdGO3v80irtzv6IZnNZ699aaAztrl4xOGsv+yGyoOsB&#10;l1I7AIrZEaSvqjuTKbim1U6oEkZBnCQ0pANV7nVxfRA7Qvdb8LQX07VK1A77Q9LbxpCH1OJjzuoN&#10;fy+l6HLOMvhrMoZaMha1qNVzVj48mswDh6CwvTDyI5vmsfBp5MV6Wxd+4PlxNNcHxvpli3Rr86Lh&#10;HnKBCzJDVvTSJusrIxV13RaKf8ctsq5KXL+/zYhLOkJ7E1D7wvF/D4/nZO/EC6e/A91ReRB6SRie&#10;tjCVcckpC97EQu/6aRNTodMm/LeYmApZjE6GMp/YCeJw7vmnIzmQMXw4aQbsGXNyRsKnx88MJHyd&#10;hcPj04SD1yNzWW4vFlB8V/dsxoig9vT7qNnaiFa/fVNqo0yGKahrSwVS+vQJYdBwKmxL2kidIQyC&#10;TYW9V1kGdabC/quEQYip8HA9nBezvXdGwIbe4DxhpHFqOZy6jURCSZ81/VboV6w0naHCY4f3wyHo&#10;DFdaBnlkSid7GJION+pw8eXjvUdwKcqtboG/PgwMqMQjvxdGUD1rg+DCfjfdror0A/8xPUu9eUzR&#10;OSCIC5okBnb4YvT4XuxHFh3qRWF/K9s9e68ZuZFhB+pfMhYlURBEvbHnGtHABJFlQewmSQ+KcWTE&#10;AV6eb43SOIi9xJij1PXtqzEER2kSxtRSFp1FCBBsGo4s7i97ndCTQcYxumurN4BVxDvRG3nzILRw&#10;B9SPg76D7TE115/x95U25/PYi3q1vh8fptEDfDCkUxx4IV7aqUN42cz65FE9HeKFB98tsHMaJLFh&#10;/QDshecnvvXF88M4OKCUNfeTHJai5cAKKOtaGAemKAz0+0d+7Kl+2mR16ENsk6VHarfa9d2yjl4v&#10;rUT2hPYGra0mlf6wxCAX8odDOjTQS6f9b8t0D19+rtHd4Igyg3kQeZjIYXU1XWV1ChVLB/Vthx8V&#10;Zji+bWSxyWHBNs+1eI/OdF2YpnHvDWLWEzSCZmQ+xQwO/Wej/tabzs2p/cft9f8AAAD//wMAUEsD&#10;BAoAAAAAAAAAIQAYyBwe/eEAAP3hAAAUAAAAZHJzL21lZGlhL2ltYWdlMS5wbmeJUE5HDQoaCgAA&#10;AA1JSERSAAAJxAAAA0UIBgAAAF/vbQ4AAAABc1JHQgCuzhzpAAAABGdBTUEAALGPC/xhBQAAAAlw&#10;SFlzAAA6lgAAOpYBI65UPAAA4ZJJREFUeF7s3W+IHPmfH/by3f1+91uf77bvj+909kk35yNEF0un&#10;ieOcyO4JT3AEQlh4bG9kQZZ4TKQTHIs9OsnZaAYygx44MQFN9MDBgTXjYD8IG7KDwRAlFh7DPViH&#10;hQzEWZwlwYNGs/QS48zFieOEJJ7Ud7pbGpU+86+ruruq+vWGF/s7aefbVd3VVTVb7/t+MxERERER&#10;ERERCdM5xswxZo8xd4T5EywcYfEEq5Hf9bt+19ox1oewMUGbE7Y1YdsTFm3TuESfx7hEx+I4Rd/D&#10;s4q+/6HoPHKC6Hx0lOjcdpzoHHmU6Hw7UDw/R+fz4rlfRERERERERERERERERESk9Sk+LC+KHrAf&#10;VnwgXxQ9xD8sKgAcFpUJDovKCYdFRYcDUWmiICpgDEQFjyQqngxEhZjDorJOsneCfQAooXhdia5F&#10;xWtW8RoXXROj6+db19ro+pwrXsuj6390z5AU7zMG9yOH710G9zgiIiIiIiIiIjIlOfzga1QO/weo&#10;Ojj8sK4uiv/xbpKi/7g4TtF/9ByX4n+AHbfoPwpPQrRtkxZ9XuMWHa/jFH1fxyU6b41DdA4fh+ha&#10;Rvxe1UV0/NRJ9L06i+iccFbRee2sovPzWUXXnVMrPlAtIXpYexbRA+DDig+Mi4oPmIuih9KHFR9i&#10;R6KH3wAAvDG4bzp8nzW4Hxvctx2+xzt8P3hwXxncsw7uew/fRw/uyQ/f4w9+Vzj8e83gdy8RERER&#10;ERGRMIMHdoNfKge/cL7zEGbwi2vf4V9oBw7/wjtw+EHGwOGHF4cd/mV64PBDinGLticS7Uskei+m&#10;TfS+nCR6z48SfY4nif4DDwAAAAAAzTL4b76H/5vx4L8zD/4b9eHnF4efbyjuiYiIiIiINDTpl7LF&#10;/i926Re/9Mtg9EsjAAAAAAAA1VPcExERERERqSAL+S9I6Rep6BcvAAAAAAAAOOysxb3D5b2TinvF&#10;8t7hAl+xxHe4yHdUmU+hT0RERERkitLp/wIS/SIDAAAAAAAAbTQo9BVLfYeLfYfLfUeV/IoOz9gX&#10;OSgDRrJ3C4KRw6XBs4jGeke0XceI9u80orEORNuUS9s/KEWmAuSg7CgiIiIi8m7yG8t00xn9EgAA&#10;AAAAAABQZ6nAuJ71SnNKciIiIiJyUIhLN4mvbxrzPzp8AwkAAAAAAADQFFtZbzY5EREREZnW5DeF&#10;bxXiAAAAAAAAABpOMU5ERERkirMa3CACAAAAAAAANFqmFCciIiIynclvBteKN4cAAAAAAAAATZcp&#10;xYmIiIhMbWbzG8J/VrxBBAAAAAAAAKibLMvC/x3J/34mPRAVERERkSlLfjO4Xbw5BAAAAAAAAKiD&#10;7ITi2zHWe09ERURERGSaMhPcGB4r/5lu/k8lOgAAAAAAAKDO/rfeI1ERERERmabMBTeGJ9no/+wg&#10;aarhZC4335fW5E8Wc6tJ/nNrufW+jdxm31YuFeySvVz0mgAAAAAAAABn9TczS6eKiIiITFUWgpvC&#10;k+z1f3bU6eQGZbvZXFS4G5TuXhfvBvLtTAW8wyW8QRHvcBlvUMgbGBTzBuU8BT0AAAAAAAAYs2z4&#10;ZVKPkpZPVYwTERERmYIsBjeDJ8p/LpXVpjFpvwcGZb1BYW9Q2jtc3DuqvPdWgS9/T6Py3uECX1Tk&#10;iwp9xVLf4WKfgh8AAACt8X7nvWOdv9A51qXL5471wYczR7px8+Kp3L5z5VTu3b96ag8eXTvRypPr&#10;p/b02a1T+2z9o6F9/sXHpTx/cbeUL7/6hBaIPtumiI7rSYq+p1WKziFVKp7LonNhUjyHFs+/xfN2&#10;dM5PiteI4jUlug5F1y4AaiOthqUYJyIiItLipDJWdCN4rPznUvlr6Gxvr3RedZfnXn67tLjbXV57&#10;9d3y+s53S5tJ/ucb6c9edpcW0r/T/xEZbQ4X/Yplv4FB6e9w8S8qAEZFwGMLgUfJj7VBUfAoxQJh&#10;UbFQWBQVDIuKhcPDiuXDSLGQeFbhdxAAAKhW9CB7oPjQe6D4cPyw6GF6UnzwfljxIf1A8WH+YdHD&#10;/6RYFDgsKhYMRKWGJCpTDETFj8OiUsthX3/z8FivvlsGgFYoXuOi62LxOjq43havzYev34NrfPF+&#10;YHC/ULy3GNx7FO9TBvcxh+93Dt8TRfdQAA2nGCciIiLSxuQ3eqk0FN0AHiv/0VRuOlMOCnDdx6s7&#10;3eWtV92lveg/CBwl/Uwqye3uLpUq4olMcYqlx2EUS5LDOlyuHEaxkDmMqMQJA8Uyb1mHy8BVCEvE&#10;ZeTX9qh0XEaxoFyVqNw8lB/90e/9rcj3v//Dv33Y7/7d3//yNN5//wdfncZP/fSPbZ3kZ3/2x/9+&#10;Uecn3/uHRT/90z/28ig/+7O/Z/ck537+x7tH+f2///3/5TgXLnT+cZK/1v9e9Ht/7+/5p5Gf/bkf&#10;/2fHOffzP/F/H+X3/b73/5+j/MIvvP//HeXwQxxG63AJaNKKD/VO63Ap6ayKDxhP63CpaRjFB56n&#10;dbgYdVaHH7yeVfEhbtHhgtVhxYfCh0UPkQeKD5wHot85AQA4m8P3V4fvwQ7fqw3u54r3fYfvEQf3&#10;mcV71sE97+H758P34MX7+cHvA4d/T1HmA85AMU5ERESkTUk3eIUbvlOZm/sDfzXN4PZ6hrfu8sZg&#10;hre3dJe3BqJfmoeRxkrFuvT6O98+nk9S2W4gleaS7e6nM69tr3QO6+++iIhMQYrXgLccvlYcMriW&#10;RA5fcwYG16PIwfWyKL9+hg6ub287KIQfIb8urp9afq0+jfB6fpRD1/mT5NuwfSqpND+s4L4BAAAA&#10;4LAqy3ynKfIdLvMdVeQ7qswXPZ8BRkoxTkRERKQNSTd2hRu9U0m/uEW/SDbauw/V33pA/87D/UIp&#10;ICoV5D/3VhkhKjOcJCpHnFpUtmibqGgSiEoqh+Wf1zsFl+NEJZkkKta8JSrk5PpfSTkm0fsWit73&#10;guizi0Sf/WHRsRSJjslQdIxHou97QXQ+iRTPU0eKznEFxfPikYrn0yPkr/vWefi14vl6IDq3AwAA&#10;AEBLHFfki0p8xQLfWWfji8p7intMibVMMU5ERESkuclv6DYLN3in0spCHNRZVP45q6hYNGrRdkSi&#10;fQYAAAAAoHFOU9w7a3nvtMU95T0qlopxIiIiItK05Ddy24Ubu1NJvzREv+QAAAAAAABA3R1X3Bt2&#10;1r1Bce9weW9Q3CuW9xT3GmMvy7KF3pNVEREREWlE8pu4oQpxSfolIfoFAgAAAAAAAKjGaWbdO1zc&#10;O0t57zSz7h0u8B1V4htlkS+N/YMffC/8uzHayrJsvveEVURERERqneBm7tTSTXZ0Uw4AAAAAAAAw&#10;KPMVC33FYl9k8HODsVLxL3pmOWYbWZbN9J60ioiIiEgd0wlu4k4t3XQevqEFAAAAAAAAGJVUlEsz&#10;00XPLsdsrf+8VURERERqlpng5u3U0tTK0Y0oAAAAAAAAwCikWePS0q7R88txy7JssffYVURERETq&#10;klKFuAeProU3oQAAAAAAAACjlCbviJ5hTsBWlmULvcevIiIiIjLplCrEpf/Pi+jmEwAAAAAAAGDU&#10;0hKqly6fC59lTkAqxs30HsOKiIiIyKRSqhCX1uePbjwBAAAAAAAAxqVGs8Ul6+k5bO9xrIiIiIiM&#10;O7PBDdqpvd95L7zhBAAAAAAAABinms0Wl6z1n8mKiIiIyBhTqhCXfP3Nw/CGEwAAAAAAAGDcajZb&#10;XFpGdaH3aFZERERExpHShbjPv/g4vNEEAAAAAAAAmIQvv/pk/8bNi+HzzQnZzCyjKiIiIjKWlC7E&#10;/XtL//o/jm4yAQAAAAAAACapZrPFJZZRFRERERlxShfi/uy/84e3o5tLAAAAAAAAgEn7+puH+7fv&#10;XAmfdU7IXmYZVREREZGRZS64ATuTK7O/73+ObiwBAAAAAAAA6uLps1v773feC595TshWZhlVERER&#10;kcpTuhD3S3/gp8wQBwAAAAAAANReDWeLSyyjKiIiIlJhShfivvf9H/4/optJAAAAAAAAgDpKs8Wd&#10;v9AJn39OiGVURURERCpK6UJckv4/KaIbSQAAAAAAAIC6quFscZZRFRERESmZ2eAm68yev7gb3kAC&#10;AAAAAAAA1Fl61lmz2eISy6iKiIiIDJlKCnF/7W/86f8punkEAAAAAAAAaIIHj66Fz0InyDKqIiIi&#10;IkOkkkLcvd/4tf82umkEAAAAAAAAaIo0W9yly+fCZ6ITlJZRne093hURERGRkzIT3FCd2c1b/+Lf&#10;jW4YAQAAAAAAAJpm5cn18LnohFlGVUREROQUqaQQd/5C5+9FN4oAAAAAAAAATfTlV5/s37h5MXw+&#10;OkGWURURERE5IZUU4r7//R/5NrpJBAAAAAAAAGiyp89u7b/feS98TjpBaRnVmd4jXxERERE5nE5w&#10;83RmP/RDP/Q70c0hAAAAAAAAQNN9/c3D/dt3roTPSifMMqoiIiIihVRSiEv+/j/4rZfRzSEAAAAA&#10;AABAGzx/cXf//IVO+Lx0grYzy6iKiIiIvE5lhbj/8m/+219FN4UAAAAAAAAAbXLv/tXwmemEbWSW&#10;URURERGprhD35/78h/91dDMIAAAAAAAA0DZptrhLl8+Fz04nKcuy1d6jYBEREZEpTXSTNIw/8af+&#10;4EZ0IwgAAAAAAADQVitProfPTydsK8uy+d4TYREREZEpS34ztFe4ORrKv/prv/CfRzeAAAAAAAAA&#10;AG2WZou7cfNi+Bx1wtYzy6iKiIjItCW/CaqkEPejP/q9vxXd/AEAAAAAAABMg5rOFpeWUV3sPR0W&#10;ERERmYLkN0DbxRuiIW2+6i7tRTd+AAAAAAAAANPg628e7t++cyV6njppaRnV2d5TYhEREZEWJ934&#10;FG6EhrW3013eim76AAAAAAAAAKbJ5198vH/+Qid6rjppa/1HxSIiIiLtTH7DU1UhLt3YrRdv9AAA&#10;AAAAAACm1b37V8Nnq5OWZdlC74mxiIiISMuS3+xUVoj7auvP/SfRTR4AAAAAAADAtHr+4m5dZ4tL&#10;y6jO9J4ci4iIiLQk+U3OZuGmZ2hPnlx/EN3gAQAAAAAAAEy7lSfXw+esNWAZVREREWlP8pubygpx&#10;f/SP/vJ/GN3YAQAAAAAAANCbLe7S5XPh89YJ28ssoyoiIiJtSH5js1G40Rlap/ODx9FNHQAAAAAA&#10;AABv1Hi2OMuoioiISLOT39CsF25whpYPt/qqu7QX3dABAAAAAAAA8MbX3zzcv33nSvjstQYsoyoi&#10;IiLNTLqRKdzYlLGx013eim7mAAAAAAAAAHhXWkb1/IVO9Px10iyjKiIiIs1LfhNTZSFu81V3eSO6&#10;iQMAAAAAAADgaA8eXYuewdbBZmYZVREREWlK8puXKgtxe7vd5bXo5g0AAAAAAACA46XZ4j74cCZ6&#10;FlsHllEVERGRRmQ1uJEZ1t7L7uPV6MYNAAAAAAAAgNNZeXJ9//3Oe9Ez2UnbyiyjKiIiIjVPlYW4&#10;/b/9t+/+W9ENGwAAAAAAAACn9/U3D/dv37kSPpetgfXMMqoiIiJS0ywGNy9D++N/8lduRjdrAAAA&#10;AAAAAJxdWkb1/IVO+Hx20rIsW+09dhYRERGpTxaiG5dh/dIv/cwfi27SAAAAAAAAABheWkY1ekZb&#10;A2kZ1fne42cRERGRyafSQlw+3uKr7tJedIMGAAAAAAAAwPDSbHGWURURERE5PvPBjcrQ8vFWd7rL&#10;W9HNGQAAAAAAAADlPX12q87LqC4ePIkWERERmVAqLcTlNna+W9qMbsoAAAAAAAAAqM69+1ejZ7Z1&#10;kJZRne09khYREREZb+aCm5MyNna7y2vRzRgAAAAAAAAA1UrLqF66fC56dlsHa1mWdXqPpkVERETG&#10;k9ngpqSMrZfdx6vRjRgAAAAAAAAAo7Hy5Hr0/LYWsixb6D2eFhERERl9ZqIbkhL2dr59PB/dgAEA&#10;AAAAAAAwOl9/83D/9p0r0XPcOrCMqoiIiIwlneBGpAyFOAAAAAAAAIAJ+mz9o/3zFzrR89w6SMuo&#10;ioiIiIwsVRfi9v/jv3zrV6ObLgAAAAAAAADG58Gja+Ez3RrYyyyjKiIiIqNKcPNRyuXLP38tutkC&#10;AAAAAAAAYLyev7i7f+nyufDZbg2kZVRnek+uRURERCpKfpOxV7jpKCUfcu5Vd2kvutkCAAAAAAAA&#10;YPxWnlwPn+/WhGVURUREpLrkNxdVF+Lmd7rLW9FNFgAAAAAAAACT8fU3D/dv37kSPuetAcuoioiI&#10;SDXJbyy2CjcapeRDLu58t7QZ3WABAAAAAAAAMFlpGdXzFzrh894aSMuozh48zBYREREZJumGonCD&#10;UUo+5Gp+E7VevKkCAAAAAAAAoD4asIxq5+ChtoiIiMhZkt9IbBZuLMpa2+0ur0U3VAAAAAAAAADU&#10;R5ot7sbNi9Fz31rIsmyx92RbRERE5JTJbyKqLsRtvOw+TrPEhTdUAAAAAAAAANTL02e39t/vvBc9&#10;/62DtIzqQu8Jt4iIiMgJyW8e1gs3E2Vt7nz7eD66iQIAAAAAAACgvm7fuRI9A66L9SzLZnpPukVE&#10;RESOSH7TsFa4iShr+1V3eS66eQIAAAAAAACg3tIyqpcun4ueBdfFWv9xt4iIiMi7STcLhZuHsva2&#10;t1c60Y0TAAAAAAAAAM2w8uR6nZdR3c4soyoiIiJHZDW4eShFIQ4AAAAAAACgHe7dvxo+F66Jrcwy&#10;qiIiIlJI5YW4fMzOq+7SXnSzBAAAAAAAAECzWEZVREREmpTF4GahlHzM2Z3u8lZ0owQAAAAAAABA&#10;M9V8GdW9zDKqIiIikmchuFEoJR9zbue7pc3oBgkAAAAAAACAZmvAMqqzB0/DRUREZCozH9wglJKP&#10;ubDbXV6LbowAAAAAAAAAaL6GLKPaOXgqLiIiIlOVueDGoJR8zMWX3cer0U0RAAAAAAAAAO3x9Nmt&#10;/fMXOuGz4zpIz68PnoyLiIjI1GQ2uikoIx9z9WV3aSG6GQIAAAAAAACgfRqwjOr8wRNyERERaX1m&#10;gpuBstZ3vn08H90EAQAAAAAAANBOaRnVDz6ciZ4h18V6ekbee1QuIiIibU0nuAkoa+NVd3kuugEC&#10;AAAAAAAAoN3qvoxqbq3/vFxERERamFEU4ja3t1c60Y0PAAAAAAAAANOhAcuoLvQem4uIiEirElz4&#10;y9pWiAMAAAAAAAAgLaN64+bF6LlyXaRinGVURURE2pT8Ar9XuOCXtZfGfdVd2otueAAAAAAAAACY&#10;LpZRFRERkbElv7BXXYjbT+PudJe3ohsdAAAAAAAAAKbTg0fXwmfMNZEmf7GMqoiISNOTX9S3Cxf5&#10;0vJhOzvfLW1GNzgAAAAAAAAATK+GLKM6e/BAXURERJqXdDEvXNxLy4edzW9k1os3NgAAAAAAAACQ&#10;NGQZ1ZmDB+siIiLSnOQX8c3CRb20fNi53e7yWnRTAwAAAAAAAAADNV9GNUnFOBEREWlK8ov3KApx&#10;Cy+7j1ejmxkAAAAAAAAAOCwto3r7zpXw+XNNbKfn4AcP2UVERKTeyS/cG4ULeWn5sIsvu0sL0Y0M&#10;AAAAAAAAAEQasIzqVmYZVRERkXonv2CvFy7gpeXDru58+3g+uoEBAAAAAAAAgOM0ZBlVxTgREZE6&#10;Jl2oCxfuKqzv7i7NRjcuAAAAAAAAAHCSBiyjejBZTO/Ju4iIiNQm+UV6FIW4je3tlU500wIAAAAA&#10;AAAAp/XZ+kdNWEZ1ofcEXkREROqQ1eCCXdamQhwAAAAAAAAAVVl5cj16Nl0nqRhnGVUREZEaZDG4&#10;UJe1nQZ+1V3ai25UAAAAAAAAAOCsvv7mYe2XUc2tZVnWSc/MRUREZDJZCC7QZe2lgXe6y1vRTQoA&#10;AAAAAAAADOv5i7v7ly6fi55V10aWZYvpubmIiIiMP/PRxbmsNPDOd0ub0c0JAAAAAAAAAJT19Nmt&#10;/fMXOuEz65pIy6gupOfnIiIiMr6MqhDXyW9A1os3JAAAAAAAAABQpZUn18Pn1jWymWXZzMETehER&#10;ERl55oKLcWn5uLO73eW16GYEAAAAAAAAAKqUllG9fedK+Py6RtZ6j+lFRERklJkNLsKl5ePOvew+&#10;Xo1uRAAAAAAAAABgFFIxrubLqKbn6YsHT+tFRERkJJmJLsBl5eMu7Hz7eD66AQEAAAAAAACAUWrA&#10;Mqpb6bn6wVN7ERERqTSd4MJbWj7uokIcAAAAAAAAAJPUgGVUN7Ismzl4ei8iIiKVZFSFuNXd3aXZ&#10;6IYDAAAAAAAAAMYlLaPagGLcWu8RvoiIiJROcKGtwvr29konutkAAAAAAAAAgHF7+uzW/vkLnej5&#10;dm1kllEVEREpn/yiule8yFZgQyEOAAAAAAAAgLpZeXI9esZdJ1uZYpyIiMjwyS+m24WLaxU209iv&#10;ukt70Q0GAAAAAAAAAEzK1988bMIyqhtZls2kZ+8iIiJyhuQX0a3CRbUK22nsne7yVnRzAQAAAAAA&#10;AACT9vzF3f1Ll89Fz7zrZO3g4b6IiIicLvnFc7NwMa3CXhp757ulzeimAgAAAAAAAADqIi2jev5C&#10;J3r2XRfpGbxlVEVERE6T/MI5ikLcfho7v3FYL95IAAAAAAAAAEAdPXh0LXz+XSNbWZbNpefxIiIi&#10;ckTyC+Z64QJaiXzozm53eS26iQAAAAAAAACAOkrLqN6+cyV8Dl4j61mWzRw89BcREZG3k18o1woX&#10;zkrkQ8++7D5ejW4gAAAAAAAAAKDOUjGu5suoJmu9J/8iIiLyOukCWbhgViIfeu5ld2khunEAAAAA&#10;AAAAgCZYeXI9fCZeI3tZli0cFABERETkIKvBBbO0fNyFnW8fz0c3DAAAAAAAAADQJA1YRnUry7LZ&#10;gxaAiIjIlGcxuFCWlsbd3V2ajW4UAAAAAAAAAKBp0jKqN25eDJ+R18h6lmUzB20AERGRKc1CcIEs&#10;LR93dXt7pRPdJAAAAAAAAABAUz19dmv//IVO+Ky8RtZ6lQAREZHpy3xwYazCukIcAAAAAAAAAG21&#10;8uR69Ky8TvayLFvoVQNERESmJ3PBRbEKG2nwV92lvejGAAAAAAAAAACa7utvHu7fvnMlemZeJ1tZ&#10;ls2mZ/giIiLTkNngYliFzTT4Tnd5K7opAAAAAAAAAIC2eP7i7v6ly+eiZ+d1sp5l2Ux6li8iItLm&#10;zAQXwSpsp8F3vlvajG4GAAAAAAAAAKBtnj67tX/+Qid6hl4nawdtARERkZamE1z8qpDWIs/yC/56&#10;8QYAAAAAAAAAANps5cn16Dl6naRJbhbSc30REZG2ZVSFuP00+G53eS26+AMAAAAAAABAm339zcP9&#10;23euhM/Ta2Qrs4yqiIi0LcEFrxL50J2X3cer0YUfAAAAAAAAAKbB8xd39y9dPhc+V6+RtIyqYpyI&#10;iLQj+YVtr3Chq0Q+9OzL7tJCdMEHAAAAAAAAgGny9Nmt/fMXOuHz9brIsmz1oEggIiLS5OQXte3i&#10;Ra4K+dBzO98+no8u9AAAAAAAAAAwjVaeXA+fsddIWkZ14aBQICIi0sSki1nh4laJfOiF3d2l2egC&#10;DwAAAAAAAADT6suvPtm/fedK+Ky9RlIxzjKqIiLSvOQXsc3CRa0S+dCL29srnejiDgAAAAAAAADT&#10;7vmLu7VfRjW3lmVZ56BgICIi0oTkFy+FOAAAAAAAAACYkLSMat2LcVmWrR6UDEREROqe/MK1XryQ&#10;VSEf+uBi+Kq7tBdd0AEAAAAAAACANx48uhY+f6+RtIzqQuoCiIiI1Db5BWutcAGrynoaf6e7vBVd&#10;yAEAAAAAAACAt6VlVG/fuRI9g6+TVIybSZ0AERGR2iW/UI2qELeRxt/5bmkzuogDAAAAAAAAALFU&#10;jKv7Mqq5tYPigYiISM2yGly0qnBQiHvVXd6ILt4AAAAAAAAAwPFWnlzff7/zXvRMvjayLFtM/QAR&#10;EZG6ZDG6YFUgTZGa7XaX16KLNgAAAAAAAABwOvfuX42ey9dJ6ggspJ6AiIjIpLMQXKiqsJ0Gf9l9&#10;vBpdrAEAAAAAAACA00vLqN6+cyV6Pl8nm1mWzaS+gIiIyKQyH1ygqrCXBn/ZXVqILtQAAAAAAAAA&#10;wNl9/sXH++cvdKLn9HWydtBIEBERmUBGVYhL64RnO98+no8u0AAAAAAAAADA8FaeXA+f1ddJZhlV&#10;ERGZQGaji1IV8rE7r7rLc9GFGQAAAAAAAAAorwHLqG5linEiIjLGzAQXo0qksbe7n85EF2QAAAAA&#10;AAAAoBrPX9xtQjFuI/UIDpoKIiIiI0wnuAhVIh97dnt7pRNdjAEAAAAAAACAaj19dmv//IVO+Ay/&#10;RtZ6dQUREZHRZJSFuLn0Aq+6S3vRhRgAAAAAAAAAqN7Kk+vhc/w6ySyjKiIio0p04alCPvR8Gl8h&#10;DgAAAAAAAADG6+tvHjZhGdWtTDFORESqTn6B2StccCqRD72Yxt/pLm9FF18AAAAAAAAAYLSev7jb&#10;hGVUN7Ism0kdAxERkdLJLyyjLcR9t7QZXXQBAAAAAAAAgPFowjKqubXUMxARESmV/IKyVbjAVCIf&#10;ejWNv9tdXosutgAAAAAAAADA+DRkGdW9zDKqIiJSJvnFZLNwcanKehpfIQ4AAAAAAAAA6iMto3rp&#10;8rnoOX+dbGVZNp96ByIiImdKfhEZVSEurfGdvew+Xo0usAAAAAAAAADA5KRlVM9f6ETP++skTcYz&#10;k/oHIiIip0q6eBQuJlU5KMTtfPt4PrqwAgAAAAAAAACTd+/+1eiZf92sHZQcRERETkq6aBQuIlVJ&#10;05cqxAEAAAAAAABAzaVlVG/fuRI9+6+TvSzLFlIXQURE5MjkF4xRFeK20/i7u0uz0cUUAAAAAAAA&#10;AKiXp89uNWEZ1TRBz1zqJIiIiERZDS4eVUjN7Gx7e6UTXUQBAAAAAAAAgHpaeXI96gHUzXqWZTOp&#10;myAiInI4CnEAAAAAAAAAwFu+/uZhE5ZRTdYO2g8iIiL9LAYXi0r0x89edZf2oosnAAAAAAAAAFBv&#10;z1/cbcIyqmnSnoVeS0FERKY9C8GFohL52J30Ajvd5a3oogkAAAAAAAAANENDllHdyrJsNnUVRERk&#10;ejP6Qtx3S5vRxRIAAAAAAAAAaI4GLaO6nmXZTOosiIjI9GU+uDBUIh/74OLyqru8EV0oAQAAAAAA&#10;AIDmScuoXrp8LuwK1Mxa6i2IiMh0ZZSFuINpSHe7y2vRBRIAAAAAAAAAaK60jOr5C52wM1AjaRnV&#10;hdRfEBGR6chccDGoRBo7vYBCHAAAAAAAAAC01737V8PeQM2kYpxlVEVEpiCzwUWgEvnYB4W4l93H&#10;q9EFEQAAAAAAAABoh7SM6u07V8L+QM1YRlVEpOUZZSFuPr3AzreP56OLIQAAAAAAAADQLk+f3WrC&#10;Mqp7mWVURURam5ngxF+JfOyDi4dCHAAAAAAAAABMl5Un18MuQc2kZVRnU7dBRETak05wwq9EPvZi&#10;eoHd3aXZ6OIHAAAAAAAAALTX1988bNIyqp3UcRARkeZn5IW47e2VTnThAwAAAAAAAADa7/mLu01Y&#10;RvV1z0FERBqe6CRfhXzo1TS+QhwAAAAAAAAA0KBlVOdT30FERBqa4ORelTSl6EFedZf2oosdAAAA&#10;AAAAADA9GrSM6nqWZTO91oOIiDQq+Ul8r3BSr0q6OBxkp7u8FV3oAAAAAAAAAIDpk5ZRvXT5XNQ1&#10;qJvXkwGJiEhDkp+8R1WI2+i/hEIcAAAAAAAAAPCOtIzq+QudqHNQJ9tZli30GhAiIlL7pBN34URe&#10;lTeFuO+WNqMLGwAAAAAAAADAvftXo95B3WxlllEVEal/0gm7cAKvymb/JbLd7vJadEEDAAAAAAAA&#10;AEjSMqq371yJ+gd1YxlVEZE6Jz9Rj6oQl5rRB1GIAwAAAAAAAABO4+mzW01YRnUvs4yqiEg9k5+k&#10;Nwsn7aqkNbQP8rL7eDW6iAEAAAAAAAAARFaeXI+6CHWTJgua7bUjRESkFslPzqMqxKU29EFedpcW&#10;oosXAAAAAAAAAMBRvv7mYZOWUe30WhIiIjLR5CfljcJJuiqvC3E73z6ejy5cAAAAAAAAAAAnef7i&#10;bhOWUd3Psmyx15QQEZGJJT8hrxdP0FXpv0T2qrs8F12wAAAAAAAAAABOq0HLqC70GhMiIjL25Cfi&#10;tcKJuTL9l8i2u5/ORBcqAAAAAAAAAICzaNAyqutZls30mhMiIjK25CfgURbiDtbH3t5e6UQXKQAA&#10;AAAAAACAYaRlVC9dPhf2FWpmLXUnRERkTEkn3sKJuDL58AeFuJTo4gQAAAAAAAAAUEZaRvX8hU7Y&#10;W6iR7cwyqiIiY8tqcCKuRD72m0Jcd2kvujABAAAAAAAAAJR17/7VsLtQM1uZZVRFREaeURbiXp/E&#10;d7rLW9EFCQAAAAAAAACgCmkZ1dt3roQdhpqxjKqIyAizGJx4K5GP/aYQ993SZnQxAgAAAAAAAACo&#10;0tNnt5qwjOpeZhlVEZGRZCE46VYiH3u29xJpydTljegiBAAAAAAAAAAwCitProd9hpqxjKqISMWZ&#10;D062lcjHfl2I2+0ur0UXHwAAAAAAAACAUfn6m4eWURURmbKMshA313sJhTgAAAAAAAAAYHKev7jb&#10;hGVUtzPLqIqIlM5ccIKtRBq79xJZ9rL7eDW64AAAAAAAAAAAjEtDllHdyCyjKiIydMZUiFtaiC40&#10;AAAAAAAAAADjZBlVEZF2ZzY4oVYiH3u+9xJZtvPt4/noIgMAAAAAAAAAMAkNWUZ1K7OMqojImTIT&#10;nEwrkY/9+oT8qrs8F11cAAAAAAAAAAAmqSHLqK5nllEVETlVxlKI2+5+OhNdVAAAAAAAAAAAJq0p&#10;y6hmWbbaa2KIiMhR6UQn0CrkYy/2XiLLtrdXOtEFBQAAAAAAAACgLhq0jOp8r5EhIiLFjKUQlxJd&#10;SAAAAAAAAAAA6sYyqiIiDU5wwqxEPvTbhbju0l50EQEAAAAAAAAAqJs0W1xDllF9q58hIjL1yU+O&#10;e8WTZRXyod9at3qnu7wVXUAAAAAAAAAAAOrq6bNbTVlGdbbX0BARmfLkJ0WFOAAAAAAAAACAYzx4&#10;dC3sR9TMWpZlnV5TQ0RkSpOfDMdTiPtuaTO6YAAAAAAAAAAANEFaRvXGzYthT6JOsixb6LU1RESm&#10;MPmJcKt4YqxIah2/Tn5hWC9eKAAAAAAAAAAAmsYyqiIiNU46ARZOiFV5qxC3211eiy4SAAAAAAAA&#10;AABNdO/+1agvUTdv9TdERFqf/MQ3qkLcev8lDvKy+3g1ujgAAAAAAAAAADRVWkb10uVzUW+iTvYy&#10;y6iKyLQkP+ltFk6CVVGIAwAAAAAAAACmwsqT6/vvd96L+hN1kpZRnek1OUREWpr8ZDeqQtxG/yUO&#10;8rK7tBBdEAAAAAAAAAAA2uL2nStRh6JuLKMqIu1NfpIbSyFu59vH89GFAAAAAAAAAACgTSyjKiIy&#10;weQnuI3CCa8qbxXiXnWX56KLAAAAAAAAAABAG6VlVIM+Rd1YRlVE2pX8xDaWQtx299OZ6OQPAAAA&#10;AAAAANBWX3/z0DKqIiLjTH5CWy+c4Kqy2X+Jg2xvr3SiEz8AAAAAAAAAQNulZVTPX+hE/Yo6sYyq&#10;iDQ/+clMIQ4AAAAAAAAAYAwsoyoiMuLkJ7G1wkmtKm8V4lJedZf2opM9AAAAAAAAAMC0sIyqiMgI&#10;k05ehZNZVRTiAAAAAAAAAACO8PkXH9d+GdWf/ukfe5lZRlVEmpT85DWqQlyaPvOt7HSXt6ITPAAA&#10;AAAAAADAtGrCMqp/8NLP/XZmGVURaUhWoxNZBd4txH23tBmd2AEAAAAAAAAAptnzF3cbsYzqL//y&#10;T/2Vfg1ERKS2GVsh7lV3eSM6qQMAAAAAAAAAsLz/9Nmt2i+j+oszP/U7V/7Qz/9Gvw4iIlK7LEYn&#10;rwps98d/nd3u8lp0MgcAAAAAAAAA4I17969GXYxa+eDDma9/4zev/nq/FiIiUpsoxAEAAAAAAAAA&#10;1ExaRvXS5XNRJ6NW/szCv/J3+9UQEZFaZCE6WVXgnULcy+7j1egEDgAAAAAAAABAbOXJ9f33O+9F&#10;3YzaSMW9/+xv/Om/0a+IiIhMNKMqxO31x3+dl98uLUYnbgAAAAAAAAAAjnf7zpWon1EraanXl92l&#10;hX5VRERkIhlbIW7n28fz0QkbAAAAAAAAAICTNWUZ1b/4l278I8U4EZlU5qMTUwUU4gAAAAAAAAAA&#10;RiAtoxp0NWolFfc2/taf+R8V40Rk3BlbIe5Vd3kuOkkDAAAAAAAAAHA2X3/zsDHLqO50l7fSREr9&#10;ComIyEgzqkLcfn/819nufjoTnaABAAAAAAAAABhOWkb1/IVO2N2oi/c77+0/fXZr/1V3eSP1R/pV&#10;EhGRkWQuOhFVoT/+62xvr3SiEzMAAAAAAAAAAOU0ZRnVL7/6JG3vumKciIwqCnEAAAAAAAAAAC2Q&#10;ZotryjKqaXt3u8trinEiUnVmoxNPFfKxO72XeJPiiRgAAAAAAAAAgGql5Ukbs4xqvr2pGNevloiI&#10;lM5MdNKpQj72u4W47tJe8SQMAAAAAAAAAED1Hjy6FnY66uSDD2cGy6gqxolIJelEJ5sqpLF7L/Em&#10;O93lreLJFwAAAAAAAACA0UjLqF66fC7sdtTJYBnVNNnSy+7SQr9qIiJy5oyyEPfOGs8KcQAAAAAA&#10;AAAA47fy5PrBMqVRx6MuUnFvsIxq6pgoxonIMBllIW629xJvsvPd0mbxhAsAAAAAAAAAwHjcvnMl&#10;7HnUSdrGwTKqinEicuZEJ5Yq5EO/U4h71V3eKJ5oAQAAAAAAAAAYn6Yso/rg0bXX25wmYdrufvrO&#10;aoUiIu8kP4HsFU8oVciHnuu9wpvsdpfXDp9gAQAAAAAAAACYjLSMatT5qJPDy6ge6C5vKMaJyLHJ&#10;Tx4KcQAAAAAAAAAAU+jrbx42bhnVJHVQFONEJEx+0tgunkSqkA8933uFN3nZfbx6+KQKAAAAAAAA&#10;AMDkpWVUz1/ohB2QOrl3/+pb252Kcf1aiohIL/nJYqt48qhCPvS7hbhvlxYPn5QAAAAAAAAAAKiP&#10;Ri6jmlOME5HXyU8UoyrELfRe4U12vn08f/hkBAAAAAAAAABAvaSlSZu4jOqr7tLey+7SO30VEZmy&#10;5CeIzeIJowr50ApxAAAAAAAAAAANlWZha+Iyqjvd5S3FOJEpTn5i2CieKKqQD73Ye4U3edVdnjt8&#10;AgIAAAAAAAAAoN6auoxqKsbt7i7N9msrIjItyU8KYyvEpZPM4RMPAAAAAAAAAAD19/zF3UYso3rj&#10;5sW3l1HtWd/ufjrTr6+ISNuTnwzWiyeHKuRDr/Ze4U3SyaVwwgEAAAAAAAAAoCE+W/+okcuoJrvd&#10;5bXt7ZVOv8YiIm1NfhJYK54UqpAP/W4hLj+pFE82AAAAAAAAAAA0SxOWUU3FveIyqkkqxvWrLCLS&#10;xuQngJEU4nLvnDwU4gAAAAAAAAAA2uHrbx42YhnVS5fPvbuMandp72V3aaFfaRGRlmU1OhlUIGzT&#10;vnVyAQAAAAAAAACg0Z6/uNvYZVR3ustbinEi7cuoCnHr/fHfSmrYFk8uAAAAAAAAAAA0WxOWUX2/&#10;8164jGoqxu3uLs326y0i0vAsRieACmz0x38r+Ulku3hSAQAAAAAAAACg+Rq9jGrSXd7Y7n4606+5&#10;iEhDsxB98SsQFuJSo/adkwkAAAAAAAAAAK3R5GVUk93u8ppinEhzMx994SsQF+K+W9qMTiQAAAAA&#10;AAAAALRLk5dRTVIxrl95EZEGZVSFuM3++G9FIQ4AAAAAAAAAYHo0fxnVpb2X3aWFfvVFRBqQuehL&#10;XoGwEJefKNbfOXEAAAAAAAAAANBqaRnVVDoLOia1ctQyqjvd5S3FOJFmZDb6cldgqz/+W0lTSUYn&#10;DQAAAAAAAAAA2q/py6imYtzu7tJsvwojIjVMJ/piV2C7P/5bUYgDAAAAAAAAAKDRy6j2rG93P53p&#10;V2JEpEYZVSFurz/+W3nZfbwanCAAAAAAAAAAAJgyTV9GNUmTQ/VrMSJSl0Rf5AooxAEAAAAAAAAA&#10;cKK0jGpapjTon9TGccuoJopxIjVK/qXdK36Jq9Af/q287C4tRCcFAAAAAAAAAACmW5qJLeqg1Ema&#10;0S7NbBdt/6vu0l7qxvRrMiIyqeRf1q3il7cK+dCd3iu8yc63j+fDEwIAAAAAAAAAAFMvlc1u3LwY&#10;dlHq5LhlVHe6y1uKcSITTP4lHVUhbqb3Cm+iEAcAAAAAAAAAwEnS8qTnL3TCTkpdnLSM6s53S5vb&#10;3U/f6c+IyIiTf0E3i1/YKuRDz/Ze4U1edZfnohMAAAAAAAAAAAAUPXh0Leyl1Mmxy6j2rCvGiYwx&#10;+RdzvfhFrUI+9FzvFd5kd3dpNvjSAwAAAAAAAABAKJXNbt+5EvZT6iQto/r1Nw/DfUh2u8tr/QqN&#10;iIwy+RdyrfgFrUI+9DuFuNR2jb7wAAAAAAAAAABwnCYso5oct4xq8vLbpcV+lUZERpH8iziqQtx8&#10;7xXeZHt7pRN90QEAAAAAAAAA4DRWnlwPuyp1coplVLdfdpcW+pUaEak4q9EXs6x83He+tApxAAAA&#10;AAAAAACU1ZZlVHe6y1uKcSLVZyH6QpaVjxtO7xh9uQEAAAAAAAAA4Kw+/+LjRiyjmma1i7b/te7y&#10;xnb305l+vUZESmY++iKWlY+72hv+7bzqLu2FX2wAAAAAAAAAABhCS5ZR3d/tLq8pxomUj0IcAAAA&#10;AAAAAACNlpYmbcIyqmkbv/zqk3AfBlIxrl+1EZEhMht9+SoQfjHzL+128UsMAAAAAAAAAABVSLOw&#10;tWMZ1aW9l92lhX7lRkTOkJnoS1eBjf74b2Wnu7wVfokBAAAAAAAAAKAiTVlG9bP1j8LtH0hdG8U4&#10;kbOlE33hKqAQBwAAAAAAAADARLVlGdXUudnufjrTr+CIyHGJvmgV2OwP/1Z2vlvajL60AAAAAAAA&#10;AAAwCmkZ1TQbW9BvqZUHj66F21+wrhgnckLyL9Re8QtWga3+8G9FIQ4AAAAAAAAAgEl4+uzW/vkL&#10;najnUhupuJe2M9r+w3a7y2v9Oo6IFJN/mUZRiNvuD/9WXnWXN6IvKQAAAAAAAAAAjEOaiS3outTK&#10;aZZRTV5+u7TYr+WIyCD5l2ir+KWqwF5/+LeSfxHXi19MAAAAAAAAAAAYp7SMaiqdBZ2XWrl3/2q4&#10;/YftdJe3XnaXFvr1HBHJvzybxS9TBcJCXJquMfpiAgAAAAAAAADAuLVpGdVUjNvdXZrt13REpjf5&#10;F2ej+EWqQn/4t6IQBwAAAAAAAABA3aw8uR72X+rkxs2Lp1pGNbe+3f10pl/XEZm+5F+YteIXqAr5&#10;0J3eK7zJy+7j1eBLCAAAAAAAAAAAE/X1Nw9bs4xqkiau6ld2RKYuq9GXp6x83HemYFSIAwAAAAAA&#10;AACgzp6/uNuaZVST1NfpV3dEpiaL0RenrHzcdwtx3y4tRl88AAAAAAAAAACokyYso/rBhzOnXUZ1&#10;+2V3aaFf4RFpfeajL0xZ+bhzveHfJH2xgi8cAAAAAAAAAADUTtuWUd3pLm/t7i69M8mVSNsyF31R&#10;ysrHfadVuvPt4/noywYAAAAAAAAAAHWVllFNy5RGHZm6SMu8nnYZ1dz6dvfTmX6lR6R1mYm+JGXl&#10;4y72hn8ThTgAAAAAAAAAAJoqLaP6fue9sCtTF2dYRnV/t7u81q/1iLQqnejLUVY+7mpv+Dd51V2e&#10;i75cAAAAAAAAAADQFGmJ0qgvUyenXUY1efnt0jsTX4k0OtGXoqx82HcKcWkN4uhLBQAAAAAAAAAA&#10;TZKWUb1x82LYm6mLtMzraZdR3ekub73sLi30az4izU7+BdgrfiEqsN4f/nXS2sPRFwoAAAAAAAAA&#10;AJooFc7OX+hE3ZnauH3nyqmXUU3FuNTx6dd9RJqZ/MDfKn4RKrDRH/51FOIAAAAAAAAAAGijlSfX&#10;o/5MrTx4dC3c9iOsK8ZJY5Mf8JvFL0AFNvvDv45CHAAAAAAAAAAAbZWWUU2zsQU9mtpIy6h+tv5R&#10;uP2R3e7yWr/6I9Kc5Af7RvHgr8BWf/jX2d5e6URfHAAAAAAAAAAAaItUOGvTMqqvukt7L7tLC/0K&#10;kEj9kx/ka8WDvgJ7/eFfRyEOAAAAAAAAAIBp0YRlVNM2Rtse2ekubynGSVOyGh3wJSnEAQAAAAAA&#10;AAAw1dIsbE1YRjUt9xptf6i7vLHd/XSmXwkSqWUWo4O9rHzcTm/4XhTiAAAAAAAAAACYRp9/8XG7&#10;llHN7XaX1/q1IJHaZT46yMvKx32rEJcSfTkAAAAAAAAAAGAatG0Z1cQyqlLHzEUHd1n5uLO94d8k&#10;+lIAAAAAAAAAAMC0+Pqbh61bRnWnu7ylGCd1ykx0YJeVjzvXG/5Noi8EAAAAAAAAAABMm1Q4q/sy&#10;qvfuXz0o8EXbH+oub2x3P53pV4VEJpZOdECXlY873xv+TV51l/bCLwMAAAAAAAAAAEyhJiyj+vTZ&#10;rXDbj7LbXV7r14VEJpPoQC4rH/adaRAV4gAAAAAAAAAA4G1tXEY1sYyqTCz5QbtXPIjLyodd7I3+&#10;JgpxAAAAAAAAAAAQa8oyqtG2H2Wnu7ylGCdjT36wbhUP3rLyYVd7o7+JQhwAAAAAAAAAAByv7suo&#10;vt9578zLqL7qLm9sdz+d6deIREab/EDdLB64FXhnLeD84N5+52AHAAAAAAAAAADe0pRlVL/86pNw&#10;+4+y211+p1MkUnnyA3S9eMBWYKM//OvkB7VCHAAAAAAAAAAAnFIbl1FNLKMqI01+YK4VD9QKvFOI&#10;S2sCRwc4AAAAAAAAAABwtDYuo5q6RIpxMqqsRgdqSVv9sV9HIQ4AAAAAAAAAAIbT1mVUX3WXN7a7&#10;n870K0YilWQhOkBL2u6P/ToKcQAAAAAAAAAAUE5aRjUVz4K+Tm0Ms4zqbnd5rV8zEimd+ejALGmv&#10;P/brKMQBAAAAAAAAAEA12riMamIZVakis9FBWVZ/7NfZ+W5pMzqIAQAAAAAAAACA4bRxGdU08ZZi&#10;nJRJJzoYy0rj9obvRSEOAAAAAAAAAACq19ZlVFPfaLv76Uy/fiRy6oyqEPfWwagQBwAAAAAAAAAA&#10;o5OWUU1LlUZdnjoYdhnV3e7yWr+CJHK65AfcXvEALCsfdrY3ei+vussb0QELAAAAAAAAAABUJ83G&#10;FvV56uKDD2fOvIxq8vLbpcV+FUnk+OQH2lbxwCsrH3auN3ovCnEAAAAAAAAAADAerV1Gtbu89bK7&#10;tNCvJInEyQ+wzeIBV1Y+7FsHnkIcAAAAAAAAAACMV1qi9PyFTtjvqYNU2htmGdVUjNvufjrTryaJ&#10;vJ384FovHmxl5cO+NUWhQhwAAAAAAAAAAExG3ZdRvX3nylDLqO52l9e2t1c6/YqSSC/5QbVWPMjK&#10;yodViAMAAAAAAAAAgJpIy6jeuHkx7PrUxYNH18JtP8nL7uPVfk1J5CCr0QFWRhqzN3QvCnEAAAAA&#10;AAAAADB5TVhG9bP1j8JtP05aRvVld2mhX1eSKc98dHCVtN4f+yAKcQAAAAAAAAAAUB9pNrag81Mb&#10;wy6juvPd0uZ299OZfm1JpjSjKMRt9Mc+iEIcAAAAAAAAAADUS1pGNRXPgu5Pbaw8uR5u+0l2u8tr&#10;/eqSTGFmo4OppM3+2AdRiAMAAAAAAAAAgHpq6zKqr7pLe5ZRnc50ogOppK3+2AdRiAMAAAAAAAAA&#10;gHpr7TKq3eWt3d2l2X6VSaYh0QFU0l5/6IMoxAEAAAAAAAAAQP21eRnV3Pp299OZfqVJ2pz8QNkr&#10;HjglKcQBAAAAAAAAAEBDNWEZ1VTei7b9JC+7j1f7tSZpa/KDZKt40JTVH/ogCnEAAAAAAAAAANA8&#10;aTa2qBtUF/fuX93/+puH4bYfJy2j+rK7tNCvN0nbkh8cm8WDpax82E5vdIU4AAAAAAAAAABoqiYs&#10;o5pmtIu2/RQso9rG5AfFevEgKSsfdrY3ukIcAAAAAAAAAAA03edffNzaZVR3u8tr/aqTtCH5AbFW&#10;PEDKyodViAMAAAAAAAAAgJZpwjKq0XafxDKq7cpqdHCUkY851xtaIQ4AAAAAAAAAANrk628e1noZ&#10;1fc771lGdcqzEB0YZeRjzveGVogDAAAAAAAAAIA2SkuU1n0Z1S+/+iTc9pO87D5e7defpIGZjw6I&#10;MvIxF3tDZ9nOd0ub0UEDAAAAAAAAAAA0X5uXUX3VXX69UqY0J3PRgVBGPqZCHAAAAAAAAAAATInW&#10;L6O6vdLp16GkAZmJDoIy8jFfTxmoEAcAAAAAAAAAANOhtcuodpf2XnaXFvqVKKl5OtGHX9Jaf2yF&#10;OAAAAAAAAAAAmDKtXUb1u6XN7e6nM/1qlNQ10Yde0np/aIU4AAAAAAAAAACYQm1eRvXlt0uL/XqU&#10;1DH5B7xX/MBL2ugPrRAHAAAAAAAAAABTrAnLqKZtjLb9ODvd5S2zxdU0+Qe7VfygS9rsD60QBwAA&#10;AAAAAAAAtHYZ1Zfdx6v9qpTUJfkHuln8gEva6g+tEAcAAAAAAAAAABxo6zKqaba43d2l2X5lSiad&#10;/MNcL364JW33h1aIAwAAAAAAAAAA3tLWZVR3u8tr/dqUTDL5h7hW/FBL2usPrRAHAAAAAAAAAACE&#10;2riMapot7lV3ea5fn5IJZTX6QMvoj5sdfMDBBw8AAAAAAAAAANDWZVTNFjfZLEQfZhn5mJ00sEIc&#10;AAAAAAAAAABwkjYuo5q6U7u7S7OpRyXjzXz0IZaRj6kQBwAAAAAAAAAAnEkbl1F92X28mrpUMr7M&#10;RR9eGfmYB81GhTgAAAAAAAAAAOAs6r6ManLWZVRTj2q7++lM6lTJ6DMTfWhl5GPOpYHzD3O7+OEC&#10;AAAAAAAAAACcpI3LqL78dmkx9apktOlEH1gZ+ZgKcQAAAAAAAAAAQGktXEZ1PXWrZISJPqgy8iEX&#10;0rj5h6cQBwAAAAAAAAAAlNK2ZVTTEqq7u0uzqWMlI0j+gewVP6Ay8iEPpvbLPzyFOAAAAAAAAAAA&#10;oBJtW0bVEqojSv5hbBU/nDLyIRXiAAAAAAAAAACAkWjCMqppVrto29/RXd5IXSupMPmHsFn8UMrI&#10;h1xN477qLu2FHyIAAAAAAAAAAEAJbVpGNS2hur290kmdK6kg+Zu/UfwwSlpP4yrEAQAAAAAAAAAA&#10;o9SaZVS7S3u7u0uzB4UuKZf8jV8rfhAlHUzjpxAHAAAAAAAAAACMQ92XUU2z2X351Sfhtr+luzx3&#10;UOqS4ZO/4aMpxEUfGAAAAAAAAAAAwAg0YRnVB4+uhdt+2Mvu0sJBsUuGzmr05pewmQaNPiwAAAAA&#10;AAAAAIBRasIyqk+f3Qq3fUAprlwWoze+hO00aPRBAQAAAAAAAAAAjEPTl1FVihs+89EbXsJeGjT6&#10;kAAAAAAAAAAAAMYlFc7qvozqvftXw21PlOKGS+WFuO3tlU70AQEAAAAAAAAAAIzb5198XOtlVNO2&#10;HbWM6s63j+f7PS85ZeaiN7kMhTgAAAAAAAAAAKBu6r6M6gcfzoTLqO7uLs32u15yisxEb24Zv/mb&#10;/9ovFj8UAAAAAAAAAACASWvCMqqpuPfWdneXDlbt7Pe95IR0oje1jN/4zau//tYHAgAAAAAAAAAA&#10;UCN1X0b10uVz+89f3H29vTvfLW32+15yQiovxP3xP/krNw8fPAAAAAAAAAAAAHX04NG1sANVF/fu&#10;X329rbvd5bV+50uOS/RGlvHrf+QX7xw+aAAAAAAAAAAAAOoqzcSWZmSLulB18H7nvf2nz24dbOvO&#10;t4/n+7UvOSr5m7ZXfBPLuPKHfv43igcNAAAAAAAAAABAna08uX5QPos6UXVw+86V/f/hH/zW7+zu&#10;Ls32q18SJX+ztopvXhm/9mu/8O9HBwwAAAAAAAAAAEDdpeJZ1Iuqg1TY+4t/6cY/6le/JEr+RlVa&#10;iLt06ef+o+hAAQAAAAAAAAAAaIK0jOr5C52wH1UH/+btX33Vr39JMfkbtFl8w8r45V/+qb8SHSQA&#10;AAAAAAAAAABNkpZRjTpSdfDTP/1jL7Msm+m1wOR18jdno/hmlXHpV3/ur0UHBwAAAAAAAAAAQNN8&#10;/c3D2i6j+iM/8kP/JMuy+V4TTA6SvzFrxTeqjAszP/VfRQcGAAAAAAAAAABAUz19dqu2y6hmWbba&#10;a4NJ5YW4/EP/e9EBAQAAAAAAAAAA0HT37l8Ne1OTkmXZ4H9v9Bphsnr4DSpLIQ4AAAAAAAAAAGiz&#10;5y/u7l+6fC7sT01SlmX/Qa8SNt1ZjN6cYXV+8r1/GB0EAAAAAAAAAAAAbbLy5Pr++533wh7VBP0X&#10;WZbN9Kph05n54E0Z2o//+I/+o+jDBwAAAAAAAAAAaKO6LaOapF5Yrx42fam0EPf97//IP40+dAAA&#10;AAAAAAAAgLZKy6jeuHkx7FRNSpZlq72K2HRlLnozhqUQBwAAAAAAAAAATKunz27tn7/QCbtVE7LZ&#10;74lNTWaDN6GU6IMGAAAAAAAAAACYFitProfdqkiWZeGfV2iqSnEzwRtQytffPAw/ZAAAAAAAAAAA&#10;gGmRllG9fedK2LGagKkpxXWCnS9FIQ4AAAAAAAAAAKAnFeNqsozqWr8z1upUXoj78qtPwg8WAAAA&#10;AAAAAABgGj19dmv/J3/yd4d9q3HKsmyhVxtrcaIdLyM1GqMPFQAAAAAAAAAAYJp8/sXH+5cunwt7&#10;VpOSZdlsrznW0uQ7uVfc6TIU4gAAAAAAAAAAgGn29TcP9+/dvxr2q2pgu18da2fyHay0EJdajdGH&#10;DAAAAAAAAAAA0GaDItz7nffCblWNbPTrY+1LvnNbhZ0t5bP1j8IPGwAAAAAAAAAAoK3quDzqcbIs&#10;m+81yFqWfOcqLcQ9fXYr/MABAAAAAAAAAADa5vmLu/s3bl4Mu1Q1t5dl2UyvRdai5Du2WdjRUhTi&#10;AAAAAAAAAACAtmvQ8qjH2ezXyNqTfKc2CjtZysqT6+EBAAAAAAAAAAAA0AZpedTzFzphf6ppsixb&#10;6DXJWpJ8p9aLO1mGQhwAAAAAAAAAANBGDV4e9TjtWjo136G1wg6W8uDRtfBgAAAAAAAAAAAAaKKW&#10;LI96nI1+naz5yXdGIQ4AAAAAAAAAACDQpuVRj5Nl2XyvUdb8rEY7OKzUhIwODAAAAAAAAAAAgKZo&#10;6fKox0lLp7YilRbibt+5Eh4gAAAAAAAAAAAAdTcFy6MeZ73fKWt0FoIdG1pqRUYHCgAAAAAAAAAA&#10;QF2lItzTZ7emtQj3WpZls71aWXMzH+3YsBTiAAAAAAAAAACAJvn8i4/3L10+F/ahptB2v1fW2FRa&#10;iPvgw5nwoAEAAAAAAAAAAKiT5y/uHkwAFvWgplmWZQu9alkzMxft1LBSUzI6eAAAAAAAAAAAAOog&#10;LY967/7VqV8e9Rh7WZZ1evWy5mU22KGhnb/QCQ8iAAAAAAAAAACASUpFuKfPbjW2CJe2e+XJ9YN9&#10;iP6+Yuv9flnjMhPszNAU4gAAAAAAAAAAgLr5/IuPD1a/jDpPdZeKcLfvXDko9A32Zxz7kmXZbK9i&#10;1qx0op0ZVnrzDx9IAAAAAAAAAAAAk/L8xd39Gzcvhl2nJvjgw5mDfSju15dffRL++xXb7HfMGhWF&#10;OAAAAAAAAAAAoFXSbGr37l9t/PKo0b4NpP2LfrZKWZbN92pmzUmlhbgkevMBAAAAAAAAAABGLRXh&#10;Hjy61vgi3OHlUY+S/p3zFzrhOBXa6/fMmpNgJ0o5zYcBAAAAAAAAAABQpc+/+Hj/0uVzYaepCY5a&#10;HvU4aZ+jsSq21q+aNSP5Bu8VdqAUhTgAAAAAAAAAAGBcml6ES9v+2fpH4b6dxo2bF8Nxq5Rl2Uyv&#10;bdaA5BtcaSHuy68+Cd94AAAAAAAAAACAqqSe0r37V8MOUxOcZXnU46Sfj8av2Ga/blb/5Bu7Xdj4&#10;Us46bR8AAAAAAAAAAMBppQJYKsKlQlnUX2qC23euVDrx2INH18LXqVKWZfO9xlnNk2/sVnHjy1CI&#10;AwAAAAAAAAAAqpaKcE+f3Wp0Ea7s8qhHSe/N+Qud8DUrtN2vnNU7+YZWWohLa/JGbzoAAAAAAAAA&#10;AMAwUicplcmivlITVLU86nFS0S567SplWbbQa53VOPmGbhY3vAyFOAAAAAAAAAAAoApptcobNy+G&#10;PaWm+ODDmUqXRz3OGEqDe1mWdXrNs5om38iNwkaXMoop/QAAAAAAAAAAgOmRZlK7d/+q5VHPKBUI&#10;o22p2Hq/elbPpA0sbHApaZ3e6M0GAAAAAAAAAAA4TirCpf5Rk4tw41ge9Ti371wJt6tKWZbN9Npn&#10;NUy+gZUW4tKHGb3RAAAAAAAAAAAAR/n8i4/HseTnSI1zedSjpCJetG0V2+jXz+qXfOPWChtbikIc&#10;AAAAAAAAAABwWmmZzxs3L4ZdpKZIs8LVaWXNB4+uhdtZpSzL5noNtJol37hKC3HpzYzeZAAAAAAA&#10;AAAAgIE0k9m9+1cbvTxqkpYondTyqEdJ23P+Qifc3gpt9ytotctqsLFDU4gDAAAAAAAAAACOkspa&#10;aTa1phfh0vKuaZnXaB/r4LP1j8LtrlKWZQu9Clq9UmkhLrU2ozcYAAAAAAAAAACYbqlAlopkUe+o&#10;KVKRb+XJ9drNChcZw3u91++g1SqLwYYOLU0BGL25AAAAAAAAAADAdHr+4u7+jZsXw75Rk/za1QsH&#10;+xLtYx2lAmK0H1XKsmy1V0OrTxaiDR1WOnCjNxcAAAAAAAAAAJguaRa1tOJk05dHHUgzrjVhZrjD&#10;xlBETLPEzfSqaPXIfLCRQ1OIAwAAAAAAAACA6ZZKY0+f3WpNEe6wppXivvzqk3A/Krbe76LVIpUW&#10;4j74cCZ8YwEAAAAAAAAAgPZLy3Sm0ljULWqLppXixrFcbVajWeLmog0cVvqwozcVAAAAAAAAAABo&#10;r+cv7u7fvnMl7BS1UZNKcWk7o32o2Ea/jzbxzAYbNzSFOAAAAAAAAAAAmB6pbHXv/tVWLo96kiaV&#10;4sZRVkxdtF4lLZvr/3MiqbQQd/5CJ3xDAQAAAAAAAACAdknLo6a+UNQjmhZNKcWNaZa4/z63ltvu&#10;d9MmkplDG1RaanpGbygAAAAAAAAAANAOqQiXimBRf6hJUtdp5cn1/T/xpy6Ff39aTSnFpZn8ou0f&#10;ga1+N20iUYgDAAAAAAAAAABO1KblUT/4cGb/y68+eb1vN25eDP+902pCKW5Ms8Qlm/1u2kTSCTZo&#10;aApxAAAAAAAAAADQLqlI9eDRtVYU4VJx7bP1j8L9TCW56GdOqwmluPQ5Rttesd/ud9MmkkoLcUn0&#10;RgIAAAAAAAAAAM3TtuVRjyuspb8ru691L8WlbTt/oRNue4X+r343bTIJNqiU6I0EAAAAAAAAAACa&#10;4/mLu6WXEa2L4vKox6mqFBeNXRdPn90Kt7tKWZat9tppE0i0QWXUueEIAAAAAAAAAAAcLXV/7t2/&#10;2vrlUY+TynNl97/OpbgxzRK3l2XZTK+hNuakFy9sTCkKcQAAAAAAAAAA0Dxp5rAxFKVG7jTLo54k&#10;zZAXjX0WaWa6aOw6GMcscbn1fkVtvMlfuNJC3GmnFwQAAAAAAAAAACbv8y8+Lr1MaF2kEloqs0X7&#10;eVbpfYle4yzqWoob0yxxaenU8c8Sl79wpYW4qg4oAAAAAAAAAABgdAbLo0YdoKZJ5a4061m0n2VU&#10;UYq7cfNiOPaktXaWuPxFtwsbUYpCHAAAAAAAAAAA1NegCJeWFo36P01SxfKoJ6miOJbe72jsSWrt&#10;LHH5i24VN6IMhTgAAAAAAAAAAKgny6MO58Gja+E2nEUaIxp7klo5S1z+gpUW4tKXJnrzAAAAAAAA&#10;AACAyUjFsdt3roR9n6ZJs8KNYnnUk1SxvOwktvs463/99v73vvfD4bZWKRvnLHH5C24WN6AMhTgA&#10;AAAAAAAAAKgHy6NWq4pSYR1KcakgeePmxXD7RmR8s8TlL1ZpIe6z9Y/CNxEAAAAAAAAAABgfy6OO&#10;RhWluEl1rCZYkNzr19VGn/zFKi3E1W1aPwAAAAAAAAAAmCYTmP1rZAazwkX7OUlVlOLGvRJner3z&#10;FzrhtoxDlmWLvcbaiJO/2EbxxctQiAMAAAAAAAAAgPFr2/KoaV8muTzqSaooxY1j1rsaFSTHM0tc&#10;/kLrhRcupY6NTAAAAAAAAAAAaLNJz/5VpTotj3qSsqW4VPwb1b7WsSCZZdlCr7U2wuQvpBAHAAAA&#10;AAAAAAANZHnUyauiFFf1THipIHnp8rnw9SZss19bG13yF1krvGgpDx5dC99kAAAAAAAAAACgGm1b&#10;HjUV4eq8POpJ0qx20b6dViqvReOe1eC4iF6jLrIsm+k110aU/EUU4gAAAAAAAAAAoCEsj1pPZUtx&#10;6eejcU8jFeGePrvViIJklmWLvebaiJK/iEIcAAAAAAAAAADUXJuWR00zon22/lG4n002iVJcjZdH&#10;PcrIl01dDV50aGnKveiNBwAAAAAAAAAAzq5Ny6P+yI/88P6f/61fb/TyqCcpW4q7fedKOG5Rk4+L&#10;LMs6veraaFJpIe60HwgAAAAAAAAAAHC8Ni2PetjKk+vh/rZF2VLcSat0ptn1mnxcZFk216uujSaL&#10;0YsOSyEOAAAAAAAAAADKadPyqEdp+0qUZUtxT5/demfMthwXWZat9qpro8lC9KLDSm948YMAAAAA&#10;AAAAAABO1qblUU8jlcbavHzqpcvnwv0+rTQTXBpnEsdFlmXhn1fki151bTSZD15waApxAAAAAAAA&#10;AABwdk1fBnNYaZ/TzGfRe9J0qchWthSXlpdt4XHxD/vdtZGk0kJcam1GHy4AAAAAAAAAAPCuz7/4&#10;uHRpqg0Gs6G1TRWluEnJRjdL3P/aq66NJgpxAAAAAAAAAAAwZm1aHvW9974f/vlZpdnQoveq6Zpc&#10;ihuRkRbi5oIXHFr64KIPFQAAAAAAAAAA6Hn67FYrlsFMZb5UYvtv/s69yop9Dx5dC9+zplOKe8s/&#10;73fXRpLZ4AWHphAHAAAAAAAAAACxtiyPmspvt+9c2f/yq09e79vzF3fDf3cYaezD71tbKMW99t/1&#10;u2sjSaWFuNRcjT5MAAAAAAAAAACYVm1aHvWDD2cOym/RfqbCX/Qzw0ivE71G0ynFHfg7/e7aSDIT&#10;vODQ0pc2+iABAAAAAAAAAGDapPJTWh61DUW4tA9pedRoPw+rshTX1tUq03HxS3/gp8J9rpG9LMv+&#10;avDnVXjaq66NJp3gBYemEAcAAAAAAAAAAO1aHjUV4VKJK9rPSNWluLO8dt2lfUmzBf7E+z8I97cm&#10;trLeyqMbhT+vRD72/EFzbURRiAMAAAAAAAAAgIoMCk9VzQqXZVn45+Nw3PKoJ6myFJfey2G3o07S&#10;e3L+QifcxxpZS52y3GLwd1VIM8+l8UeX4EVLiT5MAAAAAAAAAABos1SEa8vyqGlWts/WPwr38yzS&#10;+xGNP4wml+LSdt+4eTHcrxpJRbXBzG0z6f8u/H1VNvqvMboEL1pK9KECAAAAAAAAAEBbTfPyqCep&#10;shSXpPc6ep06qnq2wBHazLJsptcmOyjDbRX+viqpdDfbe5kRJr1Q4YVLqfILAQAAAAAAAAAAdTUo&#10;PEUdmiZJha3bd67sf/nVJ+F+llXl8qlJFbPXjVpDSpKpoLbYa5EdZC79WeHfqVJajnX0yV9IIQ4A&#10;AAAAAAAAAE4p9WPSTGptWB71gw9nxrIUadWluDTzXPQ6k9agWeG2srdna1vM/2yUZbhUvuv0XmrE&#10;yV9su/DipYyqKQoAAAAAAAAAAJNWx5m/siwL//w4g+VRo30clVS8i7ZlWOPe/pOkY+P8hU64rTUy&#10;mBVuUE7r5H+2Vvh3Kpe/znzv5caQ/AUrXfN1HI1RAAAAAAAAAAAYpwbN/HWsQRFuUqtApm5Rle9h&#10;HUpxg2Mj2r6aSbPCDYppqRC3kP9ZpZOpHWE8S6UOkr+gQhwAAAAAAAAAAByhITN/nSgtj1qH1R+r&#10;LsU9eHQtfJ1xqOOxkcUzBqZS2mBWuLn8/660M3aM9fz1xrNU6iD5i24WNqIUhTgAAAAAAAAAANog&#10;9WBu3LwYdmSaJC3x+tn6R+E+TkqaVa3KpWfTDG3R64xKg2aF287ezAqXinCVdsVOMP4yXEr+wpXu&#10;ZGo9RgcBAAAAAAAAAAA0QRuWR82ybOLLo56k6lJcmgEvep2qNWjGwEEhbSb/32u5vUN/N2qTKcOl&#10;5C++UdiYUhTiAAAAAAAAAABoqtR9qbKkNUn/xvV/IdzHOmlSKS5t6+07V8LXrZm9rDcrXCf/3+Mu&#10;wiWHl2cdf/INWC9sUCl1m14RAAAAAAAAAABO0oZZ4SLjmjWtrLSd0fYPYxT7nIqSDTk2fjvLsl/M&#10;/zmJIlwq4i0clNImmXxDKi3EPX12KzwoAAAAAAAAAACgjhq0BOZQ0gxsdV029bBUSIy2fxhpn6PX&#10;OKv0vt24eTF8jbrIsiz985/k//zN/J+TKMIlW/nrz6Y+2sSTb0x6E6KNHIpCHAAAAAAAAAAATfD8&#10;xd3al52qkmY3S/sbvQ918uDRtXD7h1G2CJh6UE2ZFS73V3OTKMIlm9kkl0gtJt+gSgtxK0+uhwcI&#10;AAAAAAAAAADUQVuXRz1J2t80G170ntRJKqJF2z+MYUpxX371SVOKkr+TZdnz/J+TKsKlJVIXc/Up&#10;w/WzGmzs0BTiAAAAAAAAAACoq1QISyWpqPcyLZqwAmT6nKJtH0ZaDve0s+M1ZVa4LMu283++Kv75&#10;GKVZ4WYO2mc1zGKwwUNL0xZGBwsAAAAAAAAAAEzKtM4Kd5QmTHqVSmxVfV5pnONKcQ1aPvf/zP3j&#10;wp+N02BWuFpnIdjwoSnEAQAAAAAAAABQJ2m2sTRLWNR1aYoPPpzZ/5MfXQ7/blipIBi9X3WSli+t&#10;aka/qBSXipKpHNiQouQ/C/5snGo9K9zhzAcbP7QmfFEAAAAAAAAAAGi/Bs36daRU1EqFrVTcSvuU&#10;ujnRvzesVLQrvm91k/a9ylJcKkimcRt0fPy/wZ+N01bqmPWqZs1IpYW423euvHNQAgAAAAAAAADA&#10;uLRledTUwxkU4Q5Lfx79+8NKZbPodeomlfei7R/GH7v1K40/PsZgsDxq56Bl1qAoxAEAAAAAAAAA&#10;0App9q+qZhOblFT8Ki7tWTStpbiq97vG/nnwZ+Oyl1vPGliEG2SusEOlpGkEo4MRAAAAAAAAAABG&#10;pQ2zwhWXRz1J1eWw9PonFfHqoOplY3nLZpZls71aWXMzG+zY0BTiAAAAAAAAAAAYpzbMCpc6N19+&#10;9Um4f8epchnRpCmluAeProXbP4wsy8I/nzLb+fuwcNAma0Fmgh0cWvqSRQchAAAAAAAAAABUqQ2z&#10;wqUi32frH4X7d1rTWopLRcho+zmTvSzLFnONXR41SifY0aEpxAEAAAAAAAAAMGqpDHX+QifsrzTB&#10;WZdHPUnVpbgkvcfRa9WJUlwpaXnUmV6FrF2ptBCXWqvRwQcAAAAAAAAAAGUNZoWLeitNkcprwyyP&#10;epz0voxi2diys9eNQ5rNrsmzBE5AKsLN9qpjLU2w00NLzdvowAMAAAAAAAAAgDLSbGDTvjzqcUZV&#10;inv67Fb4enWSCoY/+3M/Hm4/r7VyedQwwc4PTSEOAAAAAAAAAIAqpaLXjZsXw65KE1S9POpxRlWK&#10;S9sfvV4dpH1u+qyBIzY9RbhB0k4X3oShpS9wdOABAAAAAAAAAMBZpdnJmjwr3CiWRz3JqEpxDx5d&#10;C19vktKsgWkCr2h7OSjCreampwg3SNr5wpsxNIU4AAAAAAAAAADKev7ibitmhYv2bRzaXoozK9yJ&#10;NrMsm+21w6Yw+RuwVXhDSokOQgAAAAAAAAAAOMmg6NTkWeFu37lysB/R/o1bmqEu2sYy0ucTvda4&#10;1HVWuCzLwj8fs+kuwg2SvxEKcQAAAAAAAAAATFQqOo1iVrNxSdv+2fpH4b5NUltKcalkmMqG0fYc&#10;JatHSW0cUhFu/qAMJgeFuM3CG1RKXRquAAAAAAAAAADUX9NnhRssj1rnzkzTS3GpLNnkWQNHaC/L&#10;ssVc56AIJr3kb4xCHAAAAAAAAAAAY9f0WeFS0ez5i7vhvtXNWWdXO41Rl+KGmRVuSijCHZf8Ddoo&#10;vGGlfPnVJ+EBCgAAAAAAAAAAiVnhJqNJpbhUljx/oRO+5hRLRbjVnCLcccnfqPXCG1dKU1qvAAAA&#10;AAAAAACMX9OLTmlWuCZPGFX3UtygLBm9zhQbFOFmDgpfcnzyN2yt8AaWohAHAAAAAAAAAEBRXWaF&#10;y7Is/POTpO1++uxWuG9NM4rCWRWlOLPCvWMvt5Yfs4pwZ0l60w69iaWlAzM6YAEAAAAAAAAAmE6p&#10;T3Lp8rmwa9IEaVa1pi2PepIHj66F+1rGsKU4s8K9IxXhNjJFuKGzWnhDS1GIAwAAAAAAAAAgqcus&#10;cMNKJb42d2HqUIozK9xbUhFuM8uy2V6tS4ZNpYW4z9Y/Cg9eAAAAAAAAAACmR5NnhUsFvpUn11s3&#10;K1wkfU7Re1DGaUpxTS9LjoAiXIVZDN7goSnEAQAAAAAAAABMr6YXnT74cGb/+Yu74b611bhLcU0u&#10;S46AItwIUmkh7umzW+GBDAAAAAAAAABAuzW56PSD9753MCtctF/TIJUAqy4xFntEZoV7iyLcCLMQ&#10;vOFDm+YTAwAAAAAAAADANGpL0enBo2vh/k2LVIo7f6ETvjfDGpTi0thmhTugCDeGzAdv/NAU4gAA&#10;AAAAAAAApkfblr+8cfNiuJ/TIpUbq/48/9itXzErnCLcWFNpIW7am7IAAAAAAAAAANOgzctffvDh&#10;TLjP0yJ9tuk9iN4bzkwRbgKZCz6IoSnEAQAAAAAAAAC0W9tmhYuk/Yv2fZooxZWiCDfBVFqIS83f&#10;6AsCAAAAAAAAAECzNXlWuLTNP/MzPxb+3VFSKS7tc/ReTIvbd66E7w1HUoSrQWaDD2ZoCnEAAAAA&#10;AAAAAO3z/MXdxs4Kl7b7s/WPDsptZ92H8xc6B/sevSfTIvWBoveGtyjC1SgzwQc0tNQKjb4YAAAA&#10;AAAAAAA0T9NnhVt5cv2tWd6+/OqTM+9L+venvRSXCoXRe4MiXB1TaSHuxs2L4ZcCAAAAAAAAAIBm&#10;afqscEeV2D7/4uPwZ46TSnHp56LxpkV6P5tYjBwRRbgapxN8YENTiAMAAAAAAAAAaLbjZoXLsiz8&#10;33WRtrk4K1xkmFJcMu2luGGWnW0ZRbgGRCEOAAAAAAAAAIADTZ4V7oMPZ860tGkqzkXjnOTps1vh&#10;eNMilQK///0fCd+bFlOEa1KCD3Bo6cQSfREAAAAAAAAAAKiv42aFq7vTzgoXuX3nSjjmSdLrReO1&#10;WXp/D79fWQ1nCBwBRbgmJvggh5YawtEXAgAAAAAAAACAepqmWeEiaYxo7JM8eHQtHK+N0qxw5y90&#10;wvehpRThmpz8A9wrfKBDU4gDAAAAAAAAAGiGaZ0VriiNMWwhsO2rKQ6OkWjfW0oRrg3JP8jKCnGp&#10;CRp9OQAAAAAAAAAAqI80q9qNmxfD/kfVsoqX1kwltC+/+iTcr2Epxb1rymaFU4RrU/IPdLvwAQ8t&#10;tW+jLwgAAAAAAAAAAJOXil9pZrVpnxUuksYd9n1JZbpRbde4pf0YdubArOLy4xgowrUx+Qe7Vfig&#10;h6YQBwAAAAAAAABQT+OcFa5qo5gVLpJeY9hSXPq59B5H4zZFmhVu2JnyGkYRrs3JP2CFOAAAAAAA&#10;AACAFmv6rHDRPo1KKrVNWymuzKxwDaMINw1JH3Thgy8l+tIAAAAAAAAAADB+dZ4VLjthec1xzQoX&#10;Se9btE2nlWZai8atoymZFS4V4eYOylLS/qQPvHAAlNKW9ZABAAAAAAAAAJrMrHDlpKJYtH2n9fTZ&#10;rXDcupiSWeFSEW6+15KSqUn+wW8UDoRSFOIAAAAAAAAAACZnnLPCZSfM8nZWk5wVLlK2FFeHYl8k&#10;HSMtnxVOEW6akx8A64UDopQ6nZQAAAAAAAAAAKZJmpWsqTN+/ct/6PeH+zRpZUtxDx5dC8edhCmY&#10;FS4V4RZznYNilExn8gNhrXBglJIapNEXCgAAAAAAAACA0RjnrHCjlIpaqYAW7eMklS3FpZnvonHH&#10;qeWzwm1linAySH5AKMQBAAAAAAAAADRUk2eFO0qaxSza10lqaimu5bPCKcLJu8kPjEoLcXVs6QIA&#10;AAAAAAAAtE0qOrVhVrijpNnM6jYxU9lSXNqn9LlFY49C3WeFy7Lstejvj7Gd/4winByZ1eCgGZpC&#10;HAAAAAAAAADAaLVxVrijrDy5Hr4Hk1K2FHf+QmfkRb8Wzwq3lynCySlSaSHus/WPwi8aAAAAAAAA&#10;AADltH1WuKOk5UbHObPaScqW4lJRbVSluLrPCjckRTg5UxaDg2hoqYEcfdkAAAAAAAAAABjeNM0K&#10;F0n7XqeVC8uW4pIq96els8Lt5dazLJvp1ZxETpeFwoFUSt2mqQQAAAAAAAAAaLImzwqXZir7y//p&#10;n6h0xrIHj66F79MkVFGKq2LyqZbOCreZZdlsr94kcrbMBwfU0BTiAAAAAAAAAACq0dRZ4dI2pw7J&#10;YJnT9M+07Gn07w4jlb++/OqTd96vSUhltGgbz2LYvk1LZ4VLRbj5Xq1JZLhUWoirUwsXAAAAAAAA&#10;AKCJmj4rXCqJRfuVylvRzwyritnVqlBFKe6snZsWzgq3l2XZYq5z0GgSKRGFOAAAAAAAAACAmmjL&#10;rHBHSf9O9PPDSiW76HXGLRXUyn5uaRa9aOzDWjgrnCKcVJ654EAbWl1OMgAAAAAAAAAATdL0WeE+&#10;W/8o3K/I5198XGmh67hZ6cYpfYZlZ207rhTXslnh9nLrWZbN9CpMItVltnCwlXL7zpXwCwkAAAAA&#10;AAAAQKyps8IlafKkk2aFi3z51SeVl7vS7HPRa41Tei9SqS3avtNK70txzJbNCreZOku96pJI9VGI&#10;AwAAAAAAAACYgGmaFe4oVe9/XborZfcrvb/p+GjZrHCpCDffqyyJjC4zwcE3tPRljr7kAAAAAAAA&#10;AAC80eRZ4VLpbJhZ4Y6SZj+LXmdYqUBWhyVUy+7Xz/zMj+3/xPs/CP+uYfayLFvMdQ7aSiIjTic4&#10;CIemEAcAAAAAAAAAcLQmzwqXCnxVzAoXSeNGr1lGHZZQffDoWrhtU0IRTiaSSgtxaQ3k6MsNAAAA&#10;AAAAADDtmjwrXOqEVDkrXCTN6lb1+zOO7T7J5198HG5bi+3l1rMsm+nVk0TGnMIBWUqacjL6YgMA&#10;AAAAAAAATKumzwqXinzRfo1Ceq9S/yTalmGlfUiltOj1xiWV/aJta6HNLMtme60kkQklODCHdv5C&#10;J/xSAwAAAAAAAABMozrNCpdlWfjnR0mzq3351Sfhfo3avftXw20qIy1fGr3WuKRSXOrWRNvWAqkI&#10;N3dQRhKZdPIDMk1TGB2oZ6YQBwAAAAAAAADQ/FnhVp5cD/drnFKBLdq+MtLsc5Mq+SWjmAFvwvay&#10;LFvMdQ6KSCJ1SDowCwfq0NIJMfoyAwAAAAAAAABMizrNCndWk5wVLpKWOo22s4z02Xy2/lH4euOQ&#10;SnGXf/Xnw21rEEU4qW/yA3S7cMAOTSEOAAAAAAAAAJhWbZgVLu1DtG+TNKqlRtOyrNHrjVIq+DV8&#10;2dQ08dZ6lmUzveaRSA2TH6Rbhw7a0qIvMwAAAAAAAABAmzV9VrhUOov2qy5SUS9tZ7T9ZYxrCdUm&#10;lyUP2cyybLbXOBKpcfKDtdJCXB2bwgAAAAAAAAAAo9D0otN7731v/6/99dvhvtVRmtUt2o+y0ux4&#10;0etVocllyb5UhJvrNY1EGpB00BYO4lIU4gAAAAAAAACAadCCotNrn61/FO5jHaXyWrQPZd2+cyV8&#10;vWGlWfcaPitcKsLN9xpGIg1KOngLB3Mp45hGEgAAAAAAAABgUlqy/OU7RjlLWtVS2WwUZcS0hGrZ&#10;5WPT8ZHeywaXJbezLFvMdQ7KRSJNS34QbxQO6lLqvqY0AAAAAAAAAMCw2jQrXOTBo2vhftdRKp6l&#10;Alu0H2Wlzzl6zZM0fFa4vUwRTtqQ/GBeLxzcpSjEAQAAAAAAAABt0/Ci05l88OFM+B7U1ag+l3v3&#10;r4avF0nlvPTvN7QsqQgn7Up+UK8VDvJSPv/i4/CLDwAAAAAAAADQNE1f/jJt91/49I+Ef3ecppXi&#10;0sx20X6UdZolVNPfj2qmuhFLRbjVnCKctCv5wa0QBwAAAAAAAABQ0OCi04FUakuFvrQvqc8R/TvH&#10;Sfs++PkmGGYfTytaQrXBs8Lt5dazLJvptYdEWpb8AK+0EPfZ+kfvnAAAAAAAAAAAAJqi4ctfHmx3&#10;VOBKBb+z7lP690+aIa1O0raev9AJ96Wsw0uopvLdqF5nxDazLJvttYZE2pvV4OAfWnRCBQAAAAAA&#10;AABoglR0avqscF9+9Um4b8mwpbimrRh44+bFcF/K+pV/6ef2/8yf/cPh341almXhn59SKsLNHzSF&#10;RKYgi8GXYGhp3ezoRAMAAAAAAAAAUFdtmBXutJ2NVJgbZj+btmrgg0fXwv2YMnupG5TrHLSERKYk&#10;CnEAAAAAAAAAwNRq+6xwkVQAHGafm9YLSZ9ttB9TQBFOpjoLwZdiaApxAAAAAAAAAEATDGaFi/oP&#10;TXCWWeEiw5bi0sxr0Xh1lZaJHVXhMSu3jOko/E5uLd+umYNWkMiUZr7wxSilaSc9AAAAAAAAAGD6&#10;pJnDzl/ohN2HJhhmVrjIsKW49PrReHXW5PLjCf5+lmW/kZvNmRFOJE+lhbh08ohOKgAAAAAAAAAA&#10;kzbts8IdJRXcotc7TirSRWPVWcuWULUsqsgRmQu+MEO7fedKeEIBAAAAAAAAAJikVIZKhbKo79AE&#10;Vc0Kd5RhS3Gj3KZRGHZWvJrZzCyLKnJkFOIAAAAAAAAAgNZKBagbNy+GPYcmGNWscJHU+4i24Thp&#10;+56/uBuOV2cPHl0L96fmBrPCicgxmQ2+PENLF5DoJAIAAAAAAAAAMG5Pn90yK9wZDVuKSzPwRePV&#10;2cN/94/s//AP/1C4TzVkVjiRU2Ym+AINTSEOAAAAAAAAAJi0NGOZWeGGd+/+1XC7TpIKiNF4dVM8&#10;PrIse2s/qlDhmGlWuPlU8hGR06UTfJGGlprJ0YkEAAAAAAAAAGDU0vKoaSlMs8KVN2wpbpJFvpOk&#10;4yPtV4OOj/XU7elVfETktKm0EHfp8rnwhAIAAAAAAAAAMEpp1q/UW4j6DE0w6VnhIqlcGG3rSdLP&#10;ReNNUlrStUHHx1ZmVjiRoaMQBwAAAAAAAAA0VgNn/XpHXWaFi6SSXrTNJ6nLKoMNOz7S8qiLqc9z&#10;0OoRkeESfLmGdv5CJzy5AAAAAAAAAABUrWGzfu1nWfbW/13HWeEi6X0+vN2nlT6bVEiLxhyHBs4K&#10;N3tQ5hGRcgm+YENTiAMAAAAAAAAARm0w61fUXWiKOs8KFylTihv3fpoVTmTKk75YhS/a0NKJJDrR&#10;AAAAAAAAAABUIRWz0oQ9UW+hKX7+539i//mLu+H+1Vna5mFKZulnxrW/DTs+NjOzwolUn/zLpRAH&#10;AAAAAAAAANRaKlTduHkx7Cs01WfrH4X7WmdptrdhCmepU5LKatGYVajbrIFZYXncArPCiYwy6UtW&#10;+NINTSEOAAAAAAAAAKhSKjo9eHRtqJnJmiDtW7TfdZY+k7QUarQ/JxlFKW4Ss8JlxxfejpNmhZs5&#10;KO2IyGiSf9G2C1+8UqITDwAAAAAAAADAWaWi07DFqyb54MOZcP/rLJXi0nZH+3OSp89uhWOeVdqG&#10;23euhK9RQ4NZ4URk1Mm/cFuFL2Ap6WQTnYQAAAAAAAAAAE4jdQ/S8pdNmhUuG37GsAOp+JeWI43e&#10;jzobdhnblSfXw/FOK5XqGnR8mBVOZJzJv3QKcQAAAAAAAABALUxi+cu6SAWvUSwpOmqpvBjtz0mG&#10;WS72+Yu7Q5fwJiDNCrfQa+iIyNiSf/kU4gAAAAAAAACAiWrY8pehNMvbX/j0j4R/dxZlZ0+bhFRu&#10;i/blJOkzj8aLNGxWuPUsyzq9do6IjDX5F3Cz8IUspYnTdwIAAAAAAAAAk9OwotM70ranEttgEqE0&#10;i1nZ/UmzrhXfp7r7bP2jcF9O8sGHM+F4Aw2bFW4ry7L5XitHRCaS/ItYaSEunYSikxMAAAAAAAAA&#10;wGENKzqFUpkr6kqkclyaMS76mdNKP9+0lfrSkq/RvpwkKsWlfU/FwIaUJfdya5lZ4UQmn/zLqBAH&#10;AAAAAAAAAIxNw4pOoeKscJH0d6noFf38aaXXaVoXI23v+QudcH+Oc7gAmMYoWygcozQr3GyviSMi&#10;E0/+pdwofElLUYgDAAAAAAAAAI6SZhBrUNEplEpuX371Sbh/kSpmwUvLkUZj11Uqtg3zOf/CL7y/&#10;/+d/69cbMytclmWLObPCidQp+Zez0kJcunBFJzoAAAAAAAAAYHoNZoWLugZNMZgVLtq/k1Sx7w8e&#10;XQvHrrOmL4l7jM3MrHAi9Uz+BV0vfGFLUYgDAAAAAAAAAA5LXYJhltCsk7POChdJhbZo7LNIBbNo&#10;7DprehGywKxwInVP/kWttBDXtCk6AQAAAAAAAIDReP7ibuNnCEuzwlXZhUjlwOh1ziKV86Kx66yK&#10;MmANpFnhZnqNGxGpbfIv61rhy1uKQhwAAAAAAAAATLe0PGoqQKUyWdQtaIrbd64c7Eu0j2WkomDZ&#10;9+bS5XOlZ6wbtyrKgBOSZoWb7zVtRKT2yb+0lRbinj67FZ7UAAAAAAAAAID2S6WnVNaKOgVNkbZ/&#10;1BMCpaJd2fcplepSuS4av67S9v7E+z8I96eG9nLrmeVRRZqV/IurEAcAAAAAAAAAlJIKXvfuX230&#10;rHBp21eeXB/JrHBHqWJJ2VRCjMauo7Stv+fHfzTcj5NkWRb++Yik5VFnD8o1ItK4rAZf6qGlC0N0&#10;QgMAAAAAAAAA2imVnM5f6IQ9gqb44MOZic22loqE0TadRd37GqlkmJagjba9ZtLyqIs5s8KJNDgK&#10;cQAAAAAAAADAmTWo5HSkScwKF0nbEG3fWTx4dC0ce9IaVJhMs8LN9Oo0ItLkLAZf8KEpxAEAAAAA&#10;AABA+z19dqvRy6Mmf/DSuf0vv/ok3L9JSMWxaDvPIi3BGo09CYNldKPtPCwb71KokTQr3MJBi0ZE&#10;WpFKC3F1bRsDAAAAAAAAAOWlZUVT6SrqDDTRZ+sfhfs5Ken9LTubWlr+NRp7nBo0K9x6ZnlUkdZF&#10;IQ4AAAAAAAAAONZgtq+mzwoXSbPdRfs8Kem9vnT5XLitp5V+fhKz3512Vrga2MqybLZXnRGRtqXS&#10;Qlw6qUUnPAAAAAAAAACgmdJsX2ULWv9/e/cXclt634d9e2RLsiNLB9vxn1gzOXb8R3akzKnj+o/k&#10;wTKuYlXONMeumMyF40yITSBVYFQUAiVgYSglDp5hCim9ED0NyVUhUQi9cIubc5ELBQQ9l70IVBct&#10;lFLoSW8Cvel0/847z2TNmt9+917redbaz1rv5wsfLL9z3rXXWnv9ef783rV693u//7l026+p9kl8&#10;UbwYT5zLlr2EjTwVLl6P+vqRp8KJ7DgK4gAAAAAAAACA99nQ076a6LEorsX+j0K1bNmtbOjpgY8P&#10;h8P9m3IZEdlzXksuALMpiAMAAAAAAACA7dvI075u9enP3H/7D/7w19P/dsqXv/JSuj+uKQr1snWd&#10;Yqliv3gCXezn7DM7Up4KJyJ3JE0L4l559cX0AggAAAAAAAAA9C8KnGpf1Xlt8aSyYQFYFPdl/+6U&#10;Hh8GNHUbMq2L/d546+UtPBXu0cHrUUXuXBTEAQAAAAAAAMAdt6HXXt4q6hZiW8bbN7WgLJ56Nl7G&#10;tUWxYu1T+6LYMVv2FLF/r1E0eTgcnsn+W+LJ8d8+jMIYEbl7URAHAAAAAAAAAHdYFIt98lM/mNYB&#10;bEWs/9cefTHdvmIPRXFRjFb7XdVsV+zDzl+lW16P6qlwInc4TQviWlQSAwAAAAAAAADL28NT4crr&#10;UbOnwmX2UBQX4nvL1vdSUVSXLfeUcqxky+rI48Ph8OCmHEZE7nIUxAEAAAAAAADAHbOBJ32dFcVq&#10;8RrRbPtus5eiuC9/5aV0fS8VRXGXFBLG/ur8CYLlqXAiIs/yMLlQzKYgDgAAAAAAAAD6FQVQr7z6&#10;YjrnvxXlqXDZ9l1qalHc1CeqrWXqdozdVhQXP4+iu86fIPjo4PWoIjJK04K4XquiAQAAAAAAAOCu&#10;e+Otlzf9etQQxXyXPNXsEnOK4lp9dkvxlLyaJ7hl2xXLjIciZf++E0+i5uWm9EVE5L1REAcAAAAA&#10;AAAAO1ZbMNWDWP85r0c9Zy9FcaGmgC1en1u2q/PCyfJ6VE+FE5GTURAHAAAAAAAAADsUBU6/+zd+&#10;ftNPhSuvR12yCG1qUVwUj33jm19Kl3Vt8X1n63yJj37sw2//hV/7ifS/deLx4XB4cFPuIiJyOk0L&#10;4qISOrvgAgAAAAAAAADriSKvKNzK5va3Ih7Ks1bh2dSiuCjUW+KJdS187dEX03XeME+FE5FJURAH&#10;AAAAAAAAADtRngqXzenXOhwO6c9bi2KzeG1ntn1L2lNRXKzX1gsi3xFPhbv/rMJFROTCNC2Ii4tp&#10;dqEFAAAAAAAAAJYVRWRbfz3qK6++uOjrUc/ZU1Fc7Md4sFG23htQngonIjI5CuIAAAAAAAAAYMOi&#10;ICteL5rN429FrH8vhWV7KooLSz0xcEGeCiciVflscmGZTUEcAAAAAAAAAKyjvB5160+F+73f/9xV&#10;nwqXmVoUF+J3smX1IPZxts6d8VQ4EWmSpgVxcaPKLqwAAAAAAAAAQDtRfBUPrcnm7rcingr3jW9+&#10;Kd2+HuytKO4P/vDX3/7AB55L17sDngonIs2iIA4AAAAAAAAANqI8FS6bs9+KT37qB9/+2qMvptvX&#10;mzlFcT1uWzwhrvZJgofDIf15JU+FE5HmURAHAAAAAAAAABvwxlsvVxc1XVOse4+vRz1nTlFcfFfZ&#10;stYW+/rzX/hEuo5zHNoWxXkqnIgsEgVxAAAAAAAAANCxP/rj32la1HQN8XrU2I5s+7Zgi0Vxsc6d&#10;FlB6KpyILJqmBXEhu8gCAAAAAAAAANOU16Nu+alwRbwmdWtPhhubUxQXT8TLlrWkzl+r66lwIrJ4&#10;HiQXnyrZxRYAAAAAAAAAuFwUX0URWTYvv1VR2Lflp8SF3oviYv92etx4KpyIrJbmBXFbr+gGAAAA&#10;AAAAgGvp/OleTURRWbbtWxFFZ9l23ebLX3kpXVZLUXjX6dMEPRVORFaNgjgAAAAAAAAA6MAbb728&#10;i9ejXiK2NdsHW9FTUVzUaXz+C59IP3Oqw+GQ/nwmT4UTkavkfnJBqqIgDgAAAAAAAAAuF8VVrQqa&#10;tmSNp6YtKb63qQWMr7z6YrqsueJpe8+/cC/9rCvzVDgRuVqaF8R945tfSi/CAAAAAAAAAMC/U16P&#10;uuWnwv3ZT/5g+vNLxfZn+2Yr5hTFffoz99NlTdHxseOpcCJy9dxLLk5VFMQBAAAAAAAAwO3iyV6f&#10;/FRdMdk1RSHW7/3+554VZs15fehQiwKxa4o6ialPaavZ5pavSG3MU+FEpIs0L4iLG112QQYAAAAA&#10;AACAu6482Subb9+KeO3n+GE5c56UNhTFgbFvhsvcklj3qQWOc4riopCy46fC3XtWiSIicuUoiAMA&#10;AAAAAACAFbzx1ss9FjNdLAq+oiAr27ZQWxQXT1nbcs1BFMVFkVu2badcWhTXcSHlk8Ph8OCmBEVE&#10;pI8oiAMAAAAAAACABcU8eqevuLzI8PWo2fYNxZPjaori4ne3Xncw9buOQsNsOUXsj6mFdit5M+pO&#10;bspPREQ6SnLBqnJbNTgAAAAAAAAA3BXlqV5bfipcFGKNX496Tvz7qa8PHfvaoy+my96KqU9zO/XK&#10;2E6fKhivSH3tpupERKTDJBeuKgriAAAAAAAAALjrYu68tijsmmLda4rSorirdvvjqXTZsrfiy195&#10;Kd2uU4ZFcaWYMvt3V/b4cDjcv6k4ERHpNMnFq8rWq7QBAAAAAAAAYK6OC5kuMuX1qOe0KIqLorJs&#10;2VsRT3jLtuuU51+49/Y//Md/ucdiyngq3OtHXpEqIv0nLlqji1gVBXEAAAAAAAAA3EWdvt7yYnNe&#10;j3pOi6K4WK9s2VsRTwvMtuuU5557Lv35FT05HA4PbqpMREQ2kOOFq2lBXNzgsws8AAAAAAAAAOzR&#10;H/3x77z9+S98Ip1D34J4KtmSD79RFHdzjGy0WPLRwVPhRGRrOV68FMQBAAAAAAAAwETl9ahbfSpc&#10;y9ejXiKK2rL1uFQU1a21rkuIp+91+CrUU+IVqa/dVJaIiGwsx4vYt0YXtSoK4gAAAAAAAADYu3gN&#10;5oaKm94nitPiqWXZti2p9kl6UcR3jfVuJQr6agsDV/D4cDjcv6kqERHZYI4XsqYFcVE9nl3UAQAA&#10;AAAAAGDrylPhsvnyLShPhcu2bS2vvPpium6Xim2IgsRs2VvxG//xJ9Ntu7J4KtzrR16RKiLbzvGC&#10;piAOAAAAAAAAAM6IN6Zt9fWo4SMf+dDb/+Sf/ZV029bWoqhwq2+wi2K+51+49/bhcEi365Sp/36i&#10;J8flP4g6EhGRzScuaqOLXBUFcQAAAAAAAADsSbyis/ZVn73o6ZWjX/7KS+k6TrGlGoXydMEOiyof&#10;HTwVTkT2lOOFrWlBXNywsgs7AAAAAAAAAGxJxwVM1b726IvpNq+tRVHcFuoUvvHNL/VYVBmvSH3t&#10;pnpERGRHOV7gFMQBAAAAAAAAwEC81vKTn/rBdF58L3p5ulrs62z9pohis2zZPYjt67Co8vHhcLh/&#10;UzkiIrKzxEVudNGrEtXx2QUeAAAAAAAAAHpXngqXzYfvUS8PvWlRFPfpz9xPl30tvR5Lh8Phq0de&#10;kSoi+83xYqcgDgAAAAAAAIA77423Xt7s61H/xEc+lP78Er08XW1PRXF/9Me/0+MTBuMVqQ9vqkVE&#10;RHac4wXv66MLYJVXXn0xvdgDAAAAAAAAQI+ieCmKwrI58C2IIrBvfPNLVQVlPRWS1RYlRiFaPJ0t&#10;W/4aOi2s9IpUEbk7OV70Ho0uglV6fi83AAAAAAAAABTllZZbfSpcFH597dEX37NNNUVx1y4kK7Za&#10;FBefFw8RytbniuKpcK8feUWqiNydHC9+b44uhlUUxAEAAAAAAADQuygce/6Fe+m8d++iWOz3fv9z&#10;Jwu+aoriYp9EQVq23DXFE+9qXzka+2mtben0ePKKVBG5mzleAJsWxPXyGFUAAAAAAAAAGOv0KV4X&#10;K69HzbZtqKYobs1CstvEd7WForgoTqx9ot0CvCJVRO50vppcGGdTEAcAAAAAAABAb6K46o23Xu6x&#10;cOki2etRz4lCsGxZl5r6eUtoVRQXBYLZ8mvEusVb9LLPvKJ/c/CKVBGRw+vJBXK2uBFlNwIAAAAA&#10;AAAAuIYohqotqrqWKOa67fWo59QWxcVnZ8tdWzycJ1u/KVoWxXX6itT/8+AVqSIiz/JacpGcLS74&#10;2c0AAAAAAAAAANYURWS/+zd+fvJT4Q6HQ/rztUURWIvXfcYyap6M9+WvvJQud20tnsZWWxQ395hq&#10;LTlG/+XxZ54KJyLyTh6OLpJV4qKf3RQAAAAAAAAAYC2dPsHrIjHvHq93zbZrrtqiuChGy5a7tlde&#10;fTFdvynmFsV1+orUp4ebV6SKiMggCuIAAAAAAAAA2IVOi5YuEvPtNa9HPecb3/xSVVFcPLEuW+7a&#10;4glt2fpNMbUoLv59zb5byJOo+bgp/RARkWE+m1w0Z1MQBwAAAAAAAMDaoogsXu3ZYdHSRVq9HvWc&#10;2E+f/NQPputwifjdpQr2pojvOlu/KS4piottbVGAt4DHB69IFRE5mQfJhbNKdpMAAAAAAAAAgCVE&#10;YVNNkdc1lafCZdu1lNqiuFjnNYr3zvnaoy+m6zfFbUVxsY0dHldekSoickHuJxfQKj1UgwMAAAAA&#10;AACwb+XpXVt8Klysc6z7tebXWxTFTX3t6BJiHbL1myLbjihS7PC4ilekPrgp9RARkduiIA4AAAAA&#10;AACATYkipudfuJfOWfdurdejnlNbFBfiKW3ZstcU+7L2WChFcbFPPv+FT6T/5sq+fvCKVBGRi3Mv&#10;uZBW+cY3v/S+GxAAAAAAAAAA1Irip04Lls6KJ46t/XrUc6IALAr0svW9VA/b1KK4L7ajwyJLr0gV&#10;EZmR5gVxPVSyAwAAAAAAALAfUfC05dejvvLqi8+2Idu2HtQWxX35Ky+ly11b7XZ0xitSRUTmJrmo&#10;VlEQBwAAAAAAAEAr8TrL2qd/XUsvr0e9RG0xWTy5L1vu2qJwMlu/jXl08IpUEZH5OV5In44urFXK&#10;u7UBAAAAAAAAYK6tPxUuXsHZ81PhMvEku2x7LhVFddly1xZPrMvWbwO8IlVEpEWOF9RvjS6wVRTE&#10;AQAAAAAAAFDjjbdefvv5F+6lc9I928LrUc+pLYqLp/n1sP1fe/TFdP065hWpIiKtEhfV0UW2StxU&#10;spsNAAAAAAAAANwmXi8ar97M5qK34Ld++2fS7dqaFkVx3/jml9Jlryke6JOtX4fePHhFqohIuxwv&#10;rE0L4qJSP7vRAAAAAAAAAEBmy69HHYvtyLZxa2I7su27VHyXUeCYLXtNsQ4/9dM/kK5jB+IVqa/d&#10;VG+IiEizHC+wj0cX3CrxHvTsJgMAAAAAAAAAY/EUr3iiWDb/vFWf/sz9dFu35stfeSndvktFUVx8&#10;v9my1xKf3+nrd+MVqfdvKjdERKRpjhfZR6OLbhUFcQAAAAAAAACcU54Kl80770EU+cU2Ztu+JbVF&#10;ceFrj76YLntJ2VMHD4fDe9brirwiVURkycSFdnThrRI3w+xmAwAAAAAAAADhjbde3uTrUT/0oW9P&#10;f35KPJmsh9eG1ooH42TbN8WaD9eJfd7pUwe9IlVEZKV8NbkIz7aX96EDAAAAAAAA0Fa8vjJeJ5rN&#10;Nffu81/4xNvf+OaXJj/VLgr/9lAUF99dtn1TrPGAnSi867TY8vHBK1JFRFbL68mFeLZXXn0xvekA&#10;AAAAAAAAcDdlr6/cinjS2PiVn3Ne9XqN14a21qIobqmH7MQxFkWL2Wd2wCtSRURWzsPkYjxb3GCy&#10;mw8AAAAAAAAAd08UUcWrQ7P55Z5F8V48bSwKrbLtiqedZb93mzVfG7qUFkVxrR+0E+vUabFlvCL1&#10;4U1phoiIrJnPJhfl2RTEAQAAAAAAABCvCe34iV23ite6xutRs+0amlMUt8ZrQ5cW321tAVrs42zZ&#10;U0SxYhTXZcvvgFekiohcMQ+SC/NsLW5aAAAAAAAAAGzT3l6Pek489S1b1m1aPyHtGqJgMPZXtn2X&#10;qqkv6PipcMErUkVErpx7ycV5trjhZTcjAAAAAAAAAPZtr69HPWfOa0T38LCZ2F9rF8V1/lQ4r0gV&#10;EekkTQvionGT3ZQAAAAAAAAA2Ke78HrUc+YUxUUx2dwivJ7EPsy271KXFsV1/lS4eEWqp8KJiPSS&#10;44X56ehCPVvcfLIbEwAAAAAAAAD7ctdej3rO3KK4FgV511b71LbbiuI28FS4126qL0REpJscL9BP&#10;RhfsKtkNCgAAAAAAAID9iOKv2tdlXkPt61HPmVMUF+sUT9nLlrclURyZbd+l4ngaL/OaT4U7HA7p&#10;zwfiqXD3nxVeiIhIX4mL9OiiXWUPj3QFAAAAAAAA4P3KU+GyueLetXo96jlR3JZ9/m2i6CuKv7Ll&#10;bcmXv/JSun2XKkVxcZx1/Bref3M4HF4/8opUEZFec7xYK4gDAAAAAAAA4KSYB37jrZe9HvVCURQ3&#10;Z1+tvZ5LmPOUvKGPf/xjPR9nTw6Hw4ObagsREek2xwv2m6MLeJU9vN8cAAAAAAAAgBtejzrP3KK4&#10;WOdseVsy5yl5G/DmwVPhRES2kbhojy7iVfbwbnMAAAAAAACAu668HnWLT4Vb6/Wo58Q6zCkmjFeP&#10;ZsvbkqgdeP6Fe+n2bczTw+Hw8KbCQkREtpKvJhf02fbwXnMAAAAAAACAu8zrUduJwsI5RXGvvPpi&#10;urwtmbvtHXl88FQ4EZFN5mFyUZ9NQRwAAAAAAADANnk96jLmFobFk+6y5W1NPGkw276OxVPhXr8p&#10;qRARkS2maUFc/KVAdoMDAAAAAAAAoE9ej7qOWNdsG24ThXS9FvpNEQWL2fZ1KJ4Kd/+mnEJERLaa&#10;B8kFfra4iWU3NwAAAAAAAAD6E0+Fe/6Fe+n8b8+iUKy316NeIl6Fmm3PbWJbt1L0d0oU9f3Wb//M&#10;288991y6jR0oT4XzilQRkR3kXnKhn01BHAAAAAAAAED//uiPf+ftz3/hE+m8b896fz3qJeYUxcV2&#10;x3eWLa93G3gV75PD4fDZmxIKERHZQ5oWxH35Ky+lNzgAAAAAAAAArs/rUfsQ30G2jbeJ7yyKy7Ll&#10;9agca9m2dOTNqJu4KZ8QEZHd5HiBfzq64M8WN7PsRgcAAAAAAADAdW319ajhl176kXSbtiweOJNt&#10;6zlvvPVyurxeRCFcrOO5osvD4ZD+fCXxVLiHz4omRERkfzle6JsVxMUjdbMbHgAAAAAAAADXsdXX&#10;o47Faze3+trQU6JwLNvWc3p9e9sGXo8a9RGeCicisvccL/ZPBhf/KgriAAAAAAAAAPqw5dej3ub3&#10;fv9z6fZuVRSRZdt5ziuvvpgu7xo2cqx5KpyIyF3J8aL/eHQTmC0qvbObHwAAAAAAAADr2cCTuqr0&#10;VAzWwtyiuE9/5n66vDV97dEXe38V79PD4fD6kafCiYjclRwv/l8f3Qxmi5tcdgMEAAAAAAAAYHnx&#10;pK4oFsvmc/dmb69QjW2Z84S12A/f+OaX0mUuaSOv4n18OBwe3FRHiIjIncnxBvDm6IYwW9ycsxsh&#10;AAAAAAAAAMvZ6+tRL7GnV6jOLYqL31mrOHAjx5qnwomI3OUcbwTNCuJCdkMEAAAAAAAAYBlbfT1q&#10;rPMnfur70/821Z5eoRpPe5v7fcaxkC2zlVh+569HDZ4KJyIih68mN4jZoho8uzECAAAAAAAA0E55&#10;Ulc2b9uzeLJYPNWtzC23esXrnl6hGvtmblHcEk/M28jrUT0VTkRE3s1ryY1itr00MAAAAAAAAAB6&#10;FMVSUfS0xdejfvoz9589AW28Ta2K4sIbb738vuVvUU1R3Je/8lK6zKlK0eUGjrV4Ktz9mxIIERGR&#10;w+FhcrOYbelHsAIAAAAAAADcVVt+PerXHn0x3aai5dPuYlnZZ2xRFBFm23hO/F62vEtt5PWo5alw&#10;IiIi70nTgrhzjRgAAAAAAAAAppnyysrD4ZD+/BrGr0c9J55sli1njijCy55Gt0VziwVjH1y674vY&#10;Zxt4PWrwVDgRETmZB8mNY7Yl3kcOAAAAAAAAcBdNfWXloaNiuFOvRz2nZVFc7Le9PNRl7n6Jp7xF&#10;QWW2zKENvR7VU+FERORs7ic3kNkUxAEAAAAAAADUi0KuDbyy8n0ueT3qOfH72bLnimKy7HO2Zu5+&#10;iSK324riNvQqXk+FExGRi3IvuYnMtpeGBAAAAAAAAMA1bKg46T2mvh71nNgP2efMNef1oT2q2S/j&#10;QsXyVLjs33Ymngr32k2Jg4iIyAVJbiazxbvEhzdQAAAAAAAAAM7b0Csr32fu61HPiaeaZZ83V+zb&#10;KCjLPmtLYr/MfXpgKVp8462Xt3KsPTocDvduqhtEREQuzPEG8nR0Q5lNQRwAAAAAAADA5aI4Kd7E&#10;tcVCuBavRz0nir9a75soCss+a0viuJn7JMHv//6PpD/vzJPD4fDwpqpBRERkYuJGMrqxzBY33Oxm&#10;DAAAAAAAAMB7eT3qZeLpc633UzzVLvusrYntyLZvw+L1qK8feSqciIjMz/GG0qwgLh7Lmt2EAQAA&#10;AAAAALgRTz2Lt29lc669e+XVFxd5Peo5NU9EOyXmt+O7yD5vS+JVu9n2bdDjw+Hw4KaSQUREpCJx&#10;UxndZGaLvwTIbsAAAAAAAAAAd10UdUXx0hZfjxpPIrt28VjsvyWeiLaHV6jGa3ezbduI8lQ4ERGR&#10;NjneXB6NbjZVspsvAAAAAAAAwF32tUdffPZEsmyOtWdrvx71Eks8XW8Pr1CNV/Bm29a5R4fD4f5N&#10;9YKIiEijHG8wb45uOFV6aggBAAAAAAAAXFMUKbV+1ecaohAunmbX6/zvEq8JjW3e8itU47v6zS9+&#10;6u1v//YPpNvXmSeHw+HhTdWCiIhI+3w1ufnMtod3rAMAAAAAAADUiOIkr0dd1hJFcWGLr1DdUOFl&#10;eT3qvWfVCiIiIgvl9eQmNFvcaLMbMAAAAAAAAMDebbkQLvz4j39ful29+vJXXkq3o9ZWXqEahYuv&#10;vPpiug0denw4HB7clCmIiIgsm4fJjWi2N956Ob0RAwAAAAAAAOzZVl+POvb5L3wi3b5exX7PtqNW&#10;z69Q3VjhZXkqnIiIyGppWhC3xcfHAgAAAAAAAMwVRVNRRJbNn/bgcDikP7/N1h6EslRRXOhtDjy2&#10;9fkX7qXr2qFHx+PP61FFRGT1PEhuSrPFI2mzmzIAAAAAAADAnmz99ajnfO3RF9Pt7lUUJi71XfTw&#10;CtXeCy9HnhwOh4c3JQkiIiLr515yc5otGnzZzRkAAAAAAABgL+IJaht6Stdsvb4y9JRY36W+l2u9&#10;QnWjr0f1VDgREblqmhbEbe198gAAAAAAAACXitdVfvJTP5jOlfYsiql+7uefT//bbeL3vvHNL6X7&#10;oldRQLbkd7TmK1TjKX0bKrx8fDgc7t+UIYiIiFw5xxvT09GNarYeHhULAAAAAAAA0NKWX48ac7jl&#10;yWbxv7N/c5soyIrtH++Tni1dFLf0g2I2VnhZngonIiLST443qCejG9Zs0RjKbtgAAAAAAAAAW7Pl&#10;QrhY5/HTzGJ7sn97zlYfjDKnAPBSUbDW+hWq8TS+ON6yz+vUo4PXo4qISI853qSaFcRFoyq7cQMA&#10;AAAAAABsyZZfjxqFcKee6hav4cx+75yln4q2lFdefTHdnlZif2afO8UGCy+fHA6HBzcVByIiIh3m&#10;eLN6PLp5Vclu4AAAAAAAAABbEE/9iuKvbC60d8PXo95m7vaNnzi3FUs/dS2Wn33uJaKgLt7Eli23&#10;Q+X1qJ4KJyIifed403pzdBOrcuovDQAAAAAAAAB6teXXo8aT7KY8qSy2dW4RVosnol3Dl7/yUro9&#10;rcR3MGWufINPIHx8OBzu31QZiIiI9J+vJjez2Vq/Jx0AAAAAAABgSW+89fKWntL1rnOvR71NFGRl&#10;y7zEVueE43vOtqeV+D7O7Zv470u/xrWxeCrcazelBSIiItvJw+SmNls0nLIbOwAAAAAAAEBPNviU&#10;rnfF61G/8c0vpdt1qbmvEr2k8KtXNYWAl8peLbvBJxA+PXp08HpUERHZaD47urFV2eojcgEAAAAA&#10;AIC7IYq55haDtXI4HNKfnxOFcC0fUjK3IDCeqDfnyXQ9iO9/6cK0z3/hE88+K/bRBp9AGK9HffCs&#10;mkBERGSjuZfc4GbLqt0BAAAAAAAArq23p3QdJhTFxTrPfT3qbWJ52eddIorzsmVuQTxdb+mnA/7I&#10;j37P2z/249+b/rdOxetRX48agigkEBER2XSSG91sX/7KS2mDAgAAAAAAAOAaeiuEmyLW+ZVXX2xe&#10;CDcUbwHLPvsS5UloWxT7dKuvzF1APBXu/k0FgYiIyA5yvLl9a3Szmy0aY1ljAgAAAAAAAGBNUfAU&#10;T1Xb2Osq3xVPYIvXe2bb1loUtmXrcIl4JWi2zK2o2fYd+NbhcHh4UzkgIiKyoxxvco9HN73ZtvwX&#10;AAAAAAAAAMA+/Hf/9LdWffrXYcLrT88pr0fNtmspUTxYUzgYT5nLlrsV8QTBbLtaanmMNBCvR/3q&#10;kdejiojIPnO82b05uvnNFo2krAEBAAAAAAAAsLS1C+Fa+s7v+uCzQrglX496m9h32Xpdaq2n2S3l&#10;y195Kd2uHYrXoz64qRYQERHZaY43vGYFcfHXClnjAQAAAAAAAGAJ5dWoP/Kj3/u++ctDX0/lOuva&#10;T1qreVJazBVvvSiutiiwc/FUuNePPBVORETuRB4mN8PZrvUXCwAAAAAAAMDd8g/+6994+6Mf/XA6&#10;b7lV1y4qq3nCXrxRbOvzxbH/o7gv274Ni6fC3b8pDxAREbkbaVoQt/WqfwAAAAAAAKBvUXT1i5/+&#10;0+l85dZFMdY3vvmldLvXEPu2piAsCuqy5W5J7P+tvnp35EnUA9yUBYiIiNyt3EtujLPFY2SzRgMA&#10;AAAAAABAjSjWitd6fuS7P5TOVe5FPGkt2/611L469NOfuZ8ud0viWPupn/6BdPs2wOtRRUREkhvk&#10;bPF+/qzBAAAAAAAAADBHFCe98dbLzwrFYk7ycDi8b55yb65dVBaFh9l6XerzX/hEutyt+NqjL757&#10;vG2M16OKiIhEjjfFb41ukrN9+SsvpQ0GAAAAAAAAgKniaWU7eX3lZK+8+mK6T9YSRXnZel0qiuqy&#10;5fZsw8eb16OKiIgMc7w5Ph7dLGfbeqU/AAAAAAAAcH1bL4T77o9+OP35VPFkvGz/rCGezPexe9+Z&#10;rtelrrn+U8TxFnPd2TZ0zutRRUREshxvkm+ObpqzRYMoa0AAAAAAAAAAnBOFSbVPJrummC/9vd//&#10;3LNisni7VvZvpop9ku2rNcRnZ+s0Rbx+NFt2D+J7iifZ1Rb+XcnXD16PKiIicjJfTW6es2UNCQAA&#10;AAAAAIBTtv5EuBCFfN/45pfes10ttimKtf7oj3/nPctdUxSMZes1xTWL+jIbL4R7fDgcHtxM9YuI&#10;iMipPExuorNdszEGAAAAAAAAbMdeCuFOzZFGgVz2O1M9/8K9dPlrqX1q37WL+ooohIvXuMb+zNaz&#10;c16PKiIiMiEPkpvpbPEI4KxxAQAAAAAAABBFSXsohBu+HjXbziJeGZr9/lRRlJYtfw2xjbVPU4vf&#10;P7evlrThY+7p0aODQjgREZFJuTe6oVaJd+FnDQwAAAAAAADg7rprhXBDn//CJ9JlTXXNh5PEd5et&#10;0xTx3a9dFBfrXfuEuyvyelQREZG5Od5Io6o8u8FOFo25rKEBAAAAAAAA3D1RABVPSdt6IVyIwqp4&#10;DWq2nbeJfVD7hLUi9mX2GWv43b/x8+k6TbFWUVx8T7G+rfb7yrweVUREpDbHG+qT0Q12tmhQZA0O&#10;ACiio3ub6KTe5o/++HcuEn/1dZsYNDgl+/dzZet2iWzbx/sq278AAAAAAD2IMcx4u9TzL9xL5xW3&#10;JArhYtw2285LxXhxtuypYj62dl1qtHja2pJFcbHcDRfChf/hoBBORESkPseb6qPRTbaKCXqA64lr&#10;cIjiqVJYNSzOGhZ9vfHWy8/EI9aHYoAiRIexeOXVF5+JJ4EW0ektovNaxOBGiM7mUHbPYBnjfV++&#10;k6HhdxaG32cx/L6LciwMDY+VUI6hofFxVo6/oeHxGYbHblGO63CqWDA7NwAAAACAdcQ4XowT7mFc&#10;OMZSYzwz2845Yow1+5ypYr2y5a8hxmBbfLcxLt1yPDeWFd/Vxo+7f/zOFL6IiIg0yFeTm+1s0cjN&#10;GiEAd1kp1BkXqpXCn1IQVIqFooCoFBdFwVF0kkuRUilgKoVNpegpuybDXVfOj1DOmVDOo3CqADAr&#10;+jtV6HeqsK8U8hWK+QAAAADYoxjbivGvGG/Lxum2JsYTY9yv9ZhdLC/GJ7PPnCrGNLPPWEN819k6&#10;TRXHS4t9vINj79/GnP3N1L2IiIi0ysPkpjtbNA6zhgjAFkTHKwwL14ZFa6X4JStWK8U1peCmFOFk&#10;10qAc8o1JJTrSijXmlLIN6eYr1zLskK+UrxX3FbEl11HAQAAALg7Yowoxps2Xoz0Hr/8Kz+66NhX&#10;jLllnzvHNedlY8wxW6ep4tiZu79jX2782Pu3R//94XC4fzNtLyIiIi3z2dGN95njz9/3s0vEJGzW&#10;IAFYQinKKAVs0fmZU8CmeA2gzqUFfOcK94LiPQAAAIC+xbhLjOPsdVw9xpiy7W4l9l32uXPEuFj2&#10;GWtoVYwW44hTxvDi+2m5D9cS8+/vzMH/6+P//ctH945ERERkodwb34xrRMM3a5gADJUChVK8cFsR&#10;26kCtuwaBADnjAv3ThXtjQv2xoV64yK924rzFOUBAAAAWxfjGzHuEeMnex+jj+1bejynVTFZrGuM&#10;P2WfsbT43Gyd5rikKC7+e4zTbfj4e3I4HB7eTNGLiIjI4jnefL81uhnPdlycCT/YsTi/Q3RyYqI/&#10;Or+nCtmigKAUFwwL2fbeUQaAc8r9cOmivFKQF7TRAQAAgDlijCHGImIMIxvn2KsYm8n2Ryuti8my&#10;z1hDjEll6zRHbEc2hhU/i2Nww/NLTw+Hw+tHnggnIiKyZo434Uejm3KVH/nR73nWiBs3VoDrGRax&#10;heig3FbIFh29Usg2LGbLznkAYHvWKsobFuZFe0RhHgAAACyvzAlk/+0S8fvR14+xgmxc4a6IsY5s&#10;/7TSsphs6QK+28RnZ+s0x7goLsaY4mfZv92Ix4fD4f7NrLyIiIisnT9Kbs5VYnItJr+GjSFgmtJh&#10;VcQGAOzVsCgvDAvzSlFeGBblKcwDAACA94r+b/SXs7mB+P+jbx196NuK5KKvHH3q+Ldbnls4HA7p&#10;z+eI/VBTWHiJ2N/ZZ88R4yLZZywtjp049rJ1miOO2Uf/6JWmy7wCr0cVERG5cu4db8j/2+gG3UQ0&#10;EhXFsXdlQvVU4VrIitdCeQJLmfgtndQtdzQBALYo2l/RFiuibVbaaqUoL5wqzLutKC8ryMvalQAA&#10;ADBF9C+jTzq1aCj6tWX+Lvqp0aeNZZibyMXYwHjftxTfY4xFZJ89R4xFZJ+ztDiWsvW5g7weVURE&#10;pJM8TG7UzUQDzoQPa4tjrhgWqoXoCJwqWIuO47BoLSY9Fa0BALCkYTFeaXPeVohXivDGhXiljTss&#10;xCtFeEG/DAAAYD+iz1dbRPU93/Nd6c95v+h/Z99DK9GPzz53jhhniHGA7HOWFuMS2TrdIV8/eD2q&#10;iIhIH4kb8+hG3dzSfzlBv4ZFaWFYlHZpYdqwOO1UgZoiNQAAmOZcIV4pwhsX4pU2+7AQr7Tvw7AQ&#10;TxEeAABAe9HvMh9yWuyb6Lf+3M+/kP73uWK/Z99HK9H/zj53jujjZ5+xhhhTyNZp5x4fDofP3sy+&#10;i4iISBc53qC/NbphLyImSbJGEesYFqaVorRwW1FaGBamlcmwrCgtDIvSdMQAAICx6CdcUoQ3LMAr&#10;RXgK8AAAAG7me6IvlfW57rroc0YfsvQNo5+Y/bu5oi87/j5aivWOz8g+e47oZ2efs7Q7dox6PaqI&#10;iEineZDcuBcRjdCsUXRXRWMwlImbSwrULi1OKxNMCtMAAIC7bFyAV/pOCvAAAIAtiD5H9EHKvFH0&#10;VX7x03867f+0cDgc0p/3Lvp+0a+Lftp4H0afL/udueJzxp/RUmxD9rlzRb82+5yltd6ODj09enQ8&#10;ZxTCiYiIdJrPjm7ei4qGetYo2opSwFaK14aFa6VobViwNixUU6AGAACwbzUFeOG2IrxxIZ5iPAAA&#10;2J7hPNNwfmk4rzScU8r6HbxX7LPYn9n+DrHPY39mvztX9NOyz2ol+onZ58512/5ZUhzj2frsQLwe&#10;9cHNVLuIiIj0mlUL4qLxnjWI1jbucIRhQduw0xF0OgAAAOhV9FnHxXi3FeSdKsorBXmK8gAA4LTh&#10;HNNwnqkUt0X72lzTsj7wgefOFsINxfeTLWeuNeY745jJPnuOWN9r9d+iL5qt00Z5PaqIiMiGsmpB&#10;XIgOQdYgqjUucvMXNQAAALCO6GuH1kV54bbCPMV5AAB3W2kLlrZhaS+GaD+WNmUoBWtFKVwrSjs1&#10;2q2lHVvatWV+yRxTP+I7zI6JU+J7zJYzVxwn2ee0Esd19rlzxfGcfc7S/tXxvPy+7/sT6TptSLwe&#10;9c2DQjgREZFN5d7ohr646DRkDaLbRKMvOi/RYRl2UkpnRAcEAIBrOLan058DcF3jAr2sSC+UQr2s&#10;WC+MC/aCoj0A4K4obZhi2L4Jpd1TlPZQaSOF0m4qbanhHE+RFaKF0n4LpU2nKI2hOO6yYzcTx2y2&#10;jBpxjGef1UosP/vcueL8yz5nCXHNiM/bwfnq9agiIiJbTXJjX1w0OrOGUTRco3EXnaHS2dGxAQAA&#10;APamTOaG1kV74VzhXiiT18OJ7eGk93jsBgDuuuF9MpT7Z7mnFsP7bbkPDw3v02F4Dy+G9/hh8Vgx&#10;bBeEYZth2JYIpY1RlLZHMWyXhKztAj2K4zs7V0+JcyVbzlxxvsQ1IPusVuKczj57rrguZZ/TUnxG&#10;XGuyz9+QJ4fD4eHNbLqIiIhsMnFDH93gF/crv/pjzzp00WmLxmp0uLJ/BwAAAMD1DSfJhxPoZWJ9&#10;OOk+nJAfTtQPJ/GHk/zDyf9hcUApGhgWFYRSbFCKEEIpTMgm5ADo27kCs3L9P1VQNryPnCogK/ei&#10;cn8a3rfKvawo97jhvS+7NwJ9iOtAdm3JxHUmzu9sOXPFdST7rFZar3Nc0+I6m31WrbhWx3U0+9wN&#10;eXo4HF4/8npUERGRred4Y39zdKMHAAAAgM0bFjOUAodQih6GBRFzC/mGRRkhK+QbFnaUYo9QCkCy&#10;CUXg7irXhrHh9SMMry1Dw+tPGBaSFeNrVxgWlhXD614YXhOH18pzhWbl+ju8LmfXbYCp4noS18Ts&#10;epqJ6122nBpxvcw+q5W4lmefO1dco7PPmSvuPXFfyD5rQ54evXlQCCciIrKr3Bvd8IGNO57X6c8B&#10;2BfXewCAfSrFIsMivjAsLhkWnYRhQV8YFqqEYRHLuMBlWPwyLpAZFtCMi2yGBTjjQp2hrLCnyCZV&#10;eb9s302VfTenDL/bU8bHw9jw2LnN+JgbGx6ftxkf12PDc+CU8XlTjM+v8fkXhudnMT6HQzm/h7Lr&#10;AMBdEtfRP/jDX0//2yXi2pzdP0+Ja3S2nBpxb8w+q5W4T2WfO1fcO7PPmSLaF7FeO7iXPT4cDg9i&#10;0lxERER2luON/lujGz/ALh0veenPYSscwwAAwF0xLhoaygqNinFRUsj+3RTZOkyVbSMATLWX8cG4&#10;N0bR8bCQLArbsn97iSjGHhZr3SaKv7Nl1Ij2QvZZLUWbJvvsuabss6EohIti8x20b6IQ7uGRiIiI&#10;7DXHG77XpgLQxHCwvxhPJIwnJoZ/UT38i+tWfvVzP/72Bz/47en6Fj/388+/7y/ALzX8a/LWyl+y&#10;/4XP/8TbH/7wd6Tr/qk/90Pv+71sPYey/VQMv4/M+Psrxt/zWHZsFNl2AcDYsfua/hwAAIBtiHHE&#10;eDpZFFVlhVbZ71wixh/Hy7tNjJFmy6kR47LZZ7XSupAvxmWzzzklvp94umvs62x5NbL+/oJjAE+P&#10;y379yOtRRURE7kC8NhWgI8NCoVJMNCw8KoVJP/Kj35v+/ti/9zM//O4rRMorR8qrSYavMwnD158U&#10;w9emhOj4DmWd457Edmf7ZWjqgMmaYh+fKxqL7zL73S265Psa+qf//Lffd4yG4TE8Ps7L8T80fCVP&#10;KOdMKIWJQ+eKEM8VGg7P6VDO9Q9/Z174CAAAAABbFGObMR4W43TnxpNrCtVizC5bZuaSMdc5Yuwx&#10;+7xWYhwz+9y5Yn9nnzMW2xVjmNkyNkQhnIiIyF3MsRHwZNQogE06Hs7pz2GOUpQWhkVp0XkvRS6l&#10;+KUUxUSnuxTRlMKa6KSWQpxhkU4p3CmFZecGA8bis7L1Hov1n7rsPYnvK9svY73uoziWsvUdiu84&#10;+90tivMq28ZTpgx09S6uB9k23uajH/vws2O3XE+Ghtebcg0aFgEWw0LAMC4CzIr+skK/cXFfKNfQ&#10;bN1v437OUobHluMMAAAAlhNjQjG2FGNT2VhYJsa5smVdKsbEsuVmYlwsW0aNGA/LPqulqeOn59z2&#10;/eykEC7E61HvH4mIiMgdzGtJ44DOHb+39/xfuEtKkcW4UO0Hf/Cj6b/P/MEf/vp7itSisxwd7iLr&#10;APYkCley7cpEgUu2jLvg0mKcOBay37+2Swriwl6+40sLGIv4frPlbFEcg9k23maL21+usVnxXuyD&#10;8HO/8EK6vZlrFe0BAAAA8H4xBhNjlXPH2GOsJ1vuJeKzs2WeEv8+W06NGJfKPquV2K8ti9SyIr4Y&#10;n2tdeHclUQj3ICbCRURE5A7n2Cj41qiRADBbKTAYF6yVAoXoFJYChujgRgc5RJFX/GVWKYrIitXG&#10;nbOh+LxsfTJZR29LpvwF2xaLZlqIYyfbH5leC8ouHQDa+vFcTDmHi7mDa72JYzDbvnP2sv1DU46D&#10;OM+zZdSIffo//ovfTT9vjijWzorzYjsLRXkAADDNwR8JA3QjxjVizL/FOE2My8wZIyxi3Dxbbibm&#10;HbJl1FpivGqo9XrHPE1ZbvzvHYxTeT2qiIiIvCeeEgd3QHRkQpmAn1qsVluwtrSpHbXYnmw5WxD7&#10;OtumU+L7ypazZ1OeohfHfraMa4vzMFvfTJyH2TK2ZM5g116O7bj2Ztt3ztIDbNeQbecpUwY5p4j9&#10;mn3eHHFvyj7jNuWeGud1KPfbcv+N7Q7l3hziXh337SKuH3FcFVlRXvie7/2udL0BAACAPh06KAqO&#10;8Y4YX4jxiNbzAlPGdcemjsNc+gfJU8QYZ/ZZLcX4UPbZc/3mFz81eX6lQwrhREREJM+xoeApcbCi&#10;6FyEcXHauECtFKmFUqj2N//WL6bLvE38ftZx2pOpHbbY19lytmJK8dBd+P7HYpuzfZGZOlCylikD&#10;MjH4lC1jS+YMuuxhu0Nc97PtO2dvxa5TC9GW+v5bDyr2/D1NuVYO/bW//rPvKcqL7yKcKsorbZpS&#10;kBfiPlzaQaVdlH3WXMcuTvpzAAAAYL6//rv//uJ/pDll7HssxiOyZZ4S4xPZcmrEuEj2WS3VFA7u&#10;0NcPh8P9ZxPeIiIiIkl2/ZS44/alP+du+omf/JPvFp6FYfFZKJO3RSlEC9GRKZO+oUwEZ09OC+Xp&#10;LuVpL1nHZY45k8Z7eILUbe7aPonjMdumU/b+/Y/FuZzth1OyZVxbXG+ydc3E9mbL2JJsu87Zw3aH&#10;uYN8cf/JlrdVUwvRlhpcbD2guMYg6FxTr5XFGufe8Cl5IdpVpa11yVPyfubP/3C67pnnnnuueUEe&#10;AAAA7NEaYwLR588++1JTxsKnjkddao3x+Ji/yj77Dnl8OBwePJvlFhEREbktx4aDp8TdAeUJHEV5&#10;MkeIIrGh4VM8opMzdKpgrBSNFcPisWEBWSiTmaFMcBbDorJhYVkoxWVFtp23iXXOOg9bEt9Ptm23&#10;if2fLWsv5kxkb/lYiHMo26ZT9v79j00tMFpjgGKqKd9xHP/ZMrYk265z9rDdYW5B3N7O66nXtWhz&#10;ZMupNXU9zlljoHiuOe2JItpg2TJ7MXXwfHgfKG3M0va8rRgvzsNh2zeOy9JGju9+2J6O/V3a3XPa&#10;LQCXOPiDQAAAFhb95GEffAnRj84++xLxu9kyT4k+fLacGlPXYa6a/bRhT479nng9qoiIiMjFeZg0&#10;KkjEBFZRJrVCKSQL0Qi9pIAsKxwrE2xFTLr90ks/kq7Lbf7Lf/CXup+sbGHqZG58bz0Wv0wRx062&#10;bbeJ7c6WtRexfdl232bL+2RqMejev/+xbB/cJoocsuVcU00xx9ZMPZ6LvRzX2bZdYm8FcbE92Xae&#10;Em2qbDm1pp575/R8nNYMmkYbNVtmL6Z+j9c+n8YFeKUIL7YjlH5B6S+cKsALf/5nP/7288/fe/s7&#10;v/OD6bZuybGPmv4cAACA64k5maxv21L0j7PPvlT0pbPlZqJPHnN82XJqrDF2Eus+dY5sw54ebgrh&#10;7sWktoiIiMikHBsTj0eNi67FBGMYF6SNC9FK8Vn822w5Q//wH//ldyehyqRUNCiLrMG5hlifbH1v&#10;E9sb658tb0/mFIdtvYggJkCz7Tpnz8fD3E7flvfJ1E56j0VfS4jvNNv+2/R4TdhaMUeNuL9m23SJ&#10;a96bW5hzfy/iXpAtc6uizZZt5ynRzsuWU2vquXeJXo/TmoK4pQoSW5l6L4h7aracrYl7wSV9nr/6&#10;2s8+Oy5jP4XbCvBOFd/F8VNEOyz2YemfZZ8JXMdBYSkA73BPAFqaUnA219SxoqHom2bLPGWJ8aC1&#10;5uiif7/zvvjTo0fH+9j9mMsWERERmZv7o0bG4v7sJ3/g3YK1mGiJSZcQEzDRAI2JmZAVqGUNv9vE&#10;crN1GIp/k/1uD6YWv4SYoMqWtSdxrGTbfpupnaHezO2c9T55XWPupP6WC0qmFoPu+fsfmlNg1ONx&#10;EPe+bF1PWao4aA1xb8+26RJbL/Sc+j0PxTUgW+ZWxTGcbecpSx3zNd/JKb0ep2sOLK8t+grZet9m&#10;jUHqJU0dAF+jnxDrVPpw46K7MC66C8PCu1/93I+n6w4AAMB1rfGHZXP69kNTx3ynjk1dYq0x2+h3&#10;77Qo7vHhcHhwM4UtIiIiUplj4+LRqLGxqDUn0y5pPMfTDbLf7cHU4pciJpuy5e3F3E5RTMBly9uC&#10;uU8U2noh4G3mnh9b3idzCiO3Ptl/iTnFLD0WC049z7d8LMdxmW3TJXouZL/EnKLuYm9FrlML/5cq&#10;5lmiIK7X43TuvbPo/Z6SrfNtttw2DHPaBVvY5my9b/OZX7r/nsK72MYwLLwbFt3F5ERcT0J54rin&#10;3QEAAJy3xtxT9OGyz77UlLGL2gK8U9bYT+Gf/LO/kn7+pQ59PUn0yXF9Hj6buBYRERFpmHtJw2NR&#10;a04SXvJaxV4n9+Y2xtf4S51rm/P0vC3vl5qO2dYne0+pmdTfapHYnONg68VDl4htzLb9Nmv9pd4U&#10;c4rEtnosz9nWYupfevZmzvFa9Hjc1ph6L1/qjxjmFp3fptfixdpB5d7vKVOPqa2fU3GcZdt1my0U&#10;U1/Sfxtaapui3RXinhVOPfFuXHwXsgK8n/v5F95+/vl7b3/kIx96+wMfeC7dlr04eD0bAAA7cs32&#10;bfR3oo8U/Yrwk5/4/vTfrWWNOZboh82Z/ymm/kFlzVjdKUv3vWMfRb9zJ3/U9fR4jr0ec9VHIiIi&#10;Iovkq0kjZDFrTsRc0pjtuWBozkRX2GsRVDF3v2y1eCTM7QTurYCiqOmo9j6hf5upx8Ga19trmXMs&#10;9Lhf5hQ8xsR8tqze1RTExfU/W+ZW1BQk7e16nm3jbbZUENfrd1U7yNv7MRiD3tl6n7L1e2R8H9l2&#10;ndN7P2HOHz303saPc+/SiYo/9ac+9vbf+/tfeHZtGhfhlQK8EMscFuBlRXjjp+CFS9cDAIB9OPhj&#10;hauJtneIdnhpl0cbPdrrIdrupS0f7fsQ7f/oB0QfJ8YKx32L+O/ZZ61pjT5l9H+yz75U/H623FPi&#10;u8mWU2OJMcw4JmL/z50r6szTozeP1yiFcCIiIrJ44ilx3xo0RBa3RqM5XFJg0PPk3tyG/9Yn+M6J&#10;4yfb7nO2XEgR655t0yW2XAh4Sk2nuOdz/pw9ThLXmrNPer1GZut6mxgoy5bTu5oCpC2fv6HmWh6D&#10;c9kyt2hOUWQM9mXLqjVnXc7p9RpTO6Dce/vyrt0j5w7YT/1r+bXNKRxeq285x9x+S+yHbHmtRX85&#10;zoNQCvCyIrwyQVeK8EohXtzXwrWfVAFbddhJkcJetgOAfYi+a1H+MGRYlBaiXxRPcf7Yx6b/wch/&#10;8rc+/aytXNrO5Y9ZSrs62thZMVsr1y6GWmtsYG6fN0wdQ4rvLVtOrTguss+bI461mn1SdNJue3xc&#10;jwdHIiIiIqvltaRRspg1J9Qu6SAs2UGpNbeDs9YkyjVcUuiYieMuOjfZMnsX32e2TZfYatHMbaID&#10;mG3rJda8/rQ2p5hhy4Wgl5hbYNTjtSCOzWxdT9lqcVhNQdyWz98Q31m2XZeYOpjXsznHwFLf/dw2&#10;xTnZZ11bbUFc6LnNPKettOU2Us1AeM/t4b21dWomq3ou9Buae18fThbG/y5ieWVyMY6H4lxx3rBA&#10;L+63oTwpL5TJz/hOQtxXpra9AAC27jAqhiltoqK0lUrbKQzbVKWdVZT2V1HaZUPDdltpyw2Vdl4x&#10;bAOWdmGIdmJR2o6lPTmnrxqfPdwXU8R6ZstcQ+zTbJ3WtMb2z+1nFFPXcYn9GudP9llTxLEfy8mW&#10;f06c7+Nz/sqiEO7hkYiIiMj6OTZGdvmUuEsastfswJwztyEeHdjoFGbL3IO5k0vR0c2W17sYAMi2&#10;5xKxr7JlblkMcmTbeqnoUGfL7d2c7Y5rQbasvYjBtmy7z4nBhGx51xTfVbaup2z1u60Z0Nr68RyD&#10;x9l2XWJP5/KcY2Cp7a+9n5zSYxss1ilb1yl6vn/OaSvFBE62rC2YOyAeem4P76mt0+Kci+M6W3ZP&#10;oi+drfs50YbLlre2KROhf+JPfPDdydnY7hC/H4YTvdGHD8PJ4TJpPJxQLpPMZeI5xPEcss8H+nTw&#10;hDzYpZpzu9zPQ7nHl/t+UdoDpY0QSruhtCWKrJjsb/6tT6effYn/4HM/nraL7pr4XrL9c6lrjS0u&#10;NY4xRRzb2bq1FudF9vmXmLqOsV9rj4nM3D5dHF8129+Zp8dr6utHXo8qIiIiV83DpKGymLUazZd0&#10;EKJhmf1uD2o6ONGBzpa5B7Ft2Tafs9Zx11ptR3ePxZHZdl4qBpGyZW5BDJpl23Sbnot+a80dGIjB&#10;w2x51xTXp2xdT9nq9az2LzzjepgtdwvmnL/FVr/vTAzqZdt4m6W2v/b+ekqPRbcttrXHa2cxpyBu&#10;y+dVTJ5l23SJ3vsIU++Hocd7Q4tzLvZF7+34uQVxoYdtmzrpFZPS2XKWFMfS3/zSL6brc853fud3&#10;PLt2l4n0UCbXy6R7iDZ1KJPzoUzYl4n8EMfknHP0rjoolNoN3yX0qdyXQrlXlftXuZ+Ve1wo971T&#10;hWZ/42/+wtsf//jH0s/K/N3f+9Vn9+kiu48vJdY3W6dLxXZny+1BtBFj7Kj8IcJS/es4XrJ9c6k4&#10;7q7Vnq1d9xbWGG+u7VNNXcf4PrPl1IjjJPusU+LYj+tT/F62vI1RCCciIiJ95dhAeTJqsCxqrY7X&#10;uQ5CNC7X7rROEZ33bL0v0fsEylw1Ey9bLQ6q6QT1PIE9V03Hf2pHtCfRIc626TYxEJgtaw9iQDPb&#10;5nN6HPibc0xv8Ro/pxhqqOcnVJ1TO2CZLXOL5tzDl7xuZ59Xq9f7bu2Aalxzs+X2YG6x7VbbyjGR&#10;l23PJXpvB0W7JVvv2/RYhBpq+nFFz+ddqOmX9XCtzNbrNtc6f+YU/RZLX+dKEUB8ThHX5BDnZigT&#10;2iGKB77ruz6Yrus5n/6lm8KGUuRQlOKHaGsV8V3V3vcAeL9yfS3X23INDnFNjut0MS5AK0Vo0QYo&#10;oi0Ryn2i3DvKvSSU+0u55ywxjh+fPee+EducLW9psR+z9Zki9m227GuI7zS2KY6jbF1DHFMtx/Oy&#10;z5gq1jdb9tJq2uCtxPmfrVtrcZ3IPv8ScU5ny7xNi3NrLL6v7LOG4hzYUSFciNejPriZeRYRERHp&#10;J/eThsti5jRI57ikgOSSRum11HRwYtAhW+bWRQch295LXGugotZtAwLnrHWurSm+x2xbLxUDadly&#10;excDdNn2nLPV7T1n7nEQg2jZ8q5pzjneawHAbWKds225VE8DtlPFYGG2TZdaYtD/GuYMZi55H1ti&#10;sLHlIH1LtcfgtQb7LxH3uWydz4njMVte7y7p39ym5+vJnG3r9ZxrNZnScztubts0XLs9NrdPeY3v&#10;o2Y/93Z+1JwXLe5D8b2H+B6LYdFFKcSIfT4U4zJFKeKIbRmK61coBSDZNtzmueeee9YuKbJ/A2zX&#10;8PwOpaAsxPVtKMY6irhffuxjba4JUZA8vLaVa15RroXl+liumSG7pu5FbF/NdfcabZr4/rJ1mSKO&#10;vWzZa4tjb0pfNb6r+J1sWVPEuZYtf6pr9CnjmM3WZW1rzalNOT7Goo2WLfM2rY6NIo7ZuKZmnxXf&#10;ZbQfa65BnVEIJyIiIn3n2GB5NGrALGpOg3SqSzqIPRZHFLWd8lON7a2r6QhtcZ/UTnzu7Tio3R9r&#10;ddhbmzvgEfsrW97WzS2I62XQb2jOYMsWCzli0DLblku1GPS8ltrBrTj/s+VuTbT9su07J1tWC0sM&#10;Ovbarpx7zSxiX2XL7cHc+2PPfYDb1E6A9XwtjTZats636fV7nHtcjvX8R06123jNPsrcdb9G+yv2&#10;U7Yul+jt2h3na7ael9pKv3bud3aunxrH7VB8ztCwuC/E9X6oFMEMxWcOlYK/8Gv/4U+m6znFL//K&#10;n3lPcU8oRT9F9M/G4tgtsuUyz6Hy9a/jws2QfX/F+LseGx8bxZ/64ctfW5n5kR/5nmfjIKeUQtYw&#10;PObH50M5T8bn0vhcG56H4/M0O5eninXOtnOO2K7sM+6yFvs3jpNs2UuJYytbj6mufTzEOTP3Ol+7&#10;7rVtkqHYjuwzljSn+L61uM5n69ZaXHezz79EHF9Tv59W59fQuE8XnxH3ndiH2b/foCfHNka8HlVE&#10;RESk+9xLGjOLmdMgneNcxyr+e6tBiiXUdHB6nkCpUTNYscV9Eh2kbFsuFfsrW+5WzS2oKLY6AR5i&#10;cDjbptvENS5b1tbN2Rehx/0RkwHZut5mi9eymkGssOXB+2x7prjGAOsS5rZpsmW1MOfcO6fXa25N&#10;e7Loub2cre85W70/1l5Lo12ZLbcHc7at5++xxQRHbN/ezr3i2sditk7nXON4q52U66kNUXvfjX5g&#10;ttzeRIFMtv7n9Na+j7Z3tp5T9LZNcT5d4j//Lz6fbs8UH/3Yh9/+V8fzb7jcOB+voXz+f/kP/lK6&#10;rlOs0SerHfMJsb3Zsreoxf4otjiOsLS4t2f7aoprtA+2ut5Dtcd2TSFii3tcEeOT2WcsaW5bo7W1&#10;ikFrChjnzIvEdmXLqlHux9HnXWIs6kqeHm4K4e49m10WERER2UKOjZg3R42aRa3REb9kArDnSfba&#10;Dk40trPlbllNp+Tanf05aic+t7jNt6ntlG55f8wdLNpyIdEpNYMhvQ2Ozynu22Jh556LOG4Tx1u2&#10;PVNEWyBb9tbMPW+zZbUwt7D2nOyzrq3Fkw96Pg7nTgitNYDfUu01pef7x9xti/tLtrxra3HehZ7b&#10;cTWTOdc+FudeN67Rjpy7rqGn9lPt5N9W+nFz27y9bV+LyeCtfGdjrQoleuu/tOiXrHHtbnHs7WkM&#10;pMX+KLZ6Ti6lZVHR2sdcq4Kaa54rtf3xOJ7nznu0uB4OXeN638PTxeI4zNattZrva+5xMnf86pSf&#10;+4UX9lYI99UjhXAiIiKyycRT4r41auAsaumCrUsGDnqeGAo1HZyt/BX1FLWd1q0NjLXopO+pMLK2&#10;qCZsdX/MPRZ6v8bNUTMw0dvE+ZxBwC0OZNcO5G/1fhbXm2x7plAQly+vVusBzqLH76vFkyV6LkqN&#10;a2K2zuds9SkZc7c39H7/mNPv6fXYbDWBvdZE0xy119Fo22bLXcPcCalrtCNrJs966ge0KETfQj+u&#10;pr/a0/a16HeHLRYmxTpn2zJVj/fcmjZEiN9f+trd4tjb05PQWowJDu2lb9lCq3M9rH2+t/rDi2u2&#10;E1q0C2IZ2bIv0bKgLL7/te/hLY/fGtHnydavtZq+1Zx7Qlx7eyg67MzTo68fDof7N1PJIiIiItvN&#10;a6OGzqKWHqS4ZOCgx0GqoZjkydb7Er1v21w1neYtDozVdsAMBr5Xz5P658w9FrZaBHhKzQRsb9//&#10;3G1ZeiKitdrCgK1ex1oUxPVWxDnX3An9pY71VpMIYz1+Xy0Kc3ouSp17bG21nVxTHBN6vn/MOS97&#10;KvgZi2MsW+epem3H1RbbXrNQZm5/8hrtyJq+b0/XuRYT31vox9UU8/S0fS363WGLbfhWBc2ht+t3&#10;i/Nw6Wt3i/7T3sZCW7UnQrS1ss+4i+Kam+2judY83/dwnWpxPQpz752txwNie7LPWUqr+3St6Jtm&#10;67eEucfM3HtCqz8O2InHh8Phwc30sYiIiMgOcmzg7OopcZc0lq85GH9ObQdnC4PGU9VOvvQ2KHlO&#10;7SDB3gYDs22cYssFgrHu2Tads7frwNz9EHor6phbELe1v+yuHbDtueDhNi1ewxL7Llv21swt6N1a&#10;QVyP19sWEyY9n4M1BWJbaxOGmntg6Pn+MaeN33M7t/a7Knptx9VeW67ZJp97D7jGtbD2ftXLOT+3&#10;zTu0hfZgzeRpb9vXoghni2MRLYsMert+t2j/Ll300Wr/b7GNd0rtH0MM7W18sEacn9k+mmvNdk3L&#10;69S1xsha9cfjmJ5zvrcYqxlbe+ymVV+j1lptzZrjfu640lLjRhsShXAPb2aNRURERPaVh0njZzFL&#10;D/pd8gjpmKTNfrcXNR2cPQ521Hb8t1YcVFsAGPZSUBFqBwO3fE7MfST+3q4DNdfE3iaa5m5Lz4Xc&#10;mbnHbrH2X9u20uIvSrf2XZ8S16Fs+86ZO3B5Tot7a6bHyfqYIMjWdYo1//J7qpo/HNhamzDUDsr3&#10;vM1zC6x6LfKrvfcVvbbjavtk19yuufeAa6xz7f2ql3O+xaTtFvo0NW2/3ravVRHOFguTWr0mrbf2&#10;U4s/kghLtc+LOBeyz51ii228U1oXZOypWLBGHCPZ/plr7Wt47R9PF9e697Tsj0cbI/uMc1pd64u1&#10;92UvTzBbcwxkznlbey9u1R7amKeHw+H1o3vPZotFRERE9phjo+fxqBG0qCU745cO1Pc8IFA7aLWX&#10;yfShmk5r7wWQYy0GLecODvSoxaDPVgcAayYe9zToWTOh1tukxNzB7a0N8NcWBfT2vV2qxQDlXiZz&#10;sm27xFITbq0KVcZ6LIirLVoJvU3SD9W0C7Z4baltF/bcJpx7rPZ6nWxx7hVxP8k+49pqixau1T6t&#10;OY+Wui+dUnvO93JfalXQ0Xufprbt19P2tfrOttiWjfMm25Y5evpOW92Xlh5jbFF80GObfK7W/Za9&#10;9C9rxX7I9k+NNdtrLQvKoq2RfcaSWox1D8251rYuNg1rz8G0Luqba80/UJp6j6g9vuPYypa7Uwrh&#10;RERE5E7lftIgWszSAxWXdA56Lxi6SwVgl6gpiAm9D6QP7X0ie6oWAxZrD1C0NPdasKeiyJpjoLdz&#10;Ye62bO37rB3E3+p9rMXkxR4mLGoGEJe6X7cegC96vd9m6zrV2kUgl6qdtN5SmzDUFlv0XgQ4p53T&#10;86R3i0n90Ot9v/YPVa51j6t5TdbaxYm153wv96VWBR29t4tqv6+e+qmtii22WJjUstCkt2O2Zmyx&#10;WPqe1OKPIPc0BtaywD7scYx4jiUK4uLakX3WElq+8vMa7czWx/WcbWi9DiGuPWv2L1ver2qsea+P&#10;7+2SPlZ8F63uwUuNH3Xk6dGbB4VwIiIictdybAQ9GjSKFrfkX5JcUnDQ+2BJbRHQ1ib7zqkdUI/9&#10;mS23Vy0GLfdyDLTohG6tmGho7rVgTwPCtQM+PRV1zP0+tzaxVHvN3urx22Lyd81B9aXUDNZvrSAu&#10;9HSNKeIcytZ1ijX/6nuK2oK43osrxmonbnq/nkYbLVvvc3o870KrSapev7faPuq12jM159Ha14za&#10;cz700A9sdd/tvV0U+zpb70v1tH2tvrMttuNbthN767fVtpvC0t/p3LbA2J7GQVu05Yf2tG/malWo&#10;PbT29a7FWHG41nW61foXc47r1usQ1hxzbtFObGXt60q0ybMC6iiWiz5K6/GLFvfPTj0+HA4PbmaE&#10;RURERO5e7iUNpMVEAzZrbLZw6WBWT3+NO1Y7sLrlAqDM3icDx1oMCG6tCPCUFoPTW/v+h2q2v+dr&#10;3BS1A5c9FXXMnSjf2jFc+9fXWz1na7c77KEgruZpKUsNqtYU6Z3TY+FYi6dU9XoP2WpBTo24Jmbb&#10;cqleixvD3Ptir8dny0mqaANmn3FNte3ya97f506AXuO+XHvO91D42+q+2/s1u/acX3JcbKqW16+t&#10;Fd+0LjCI5WWfcw1z77NjS36ntW27oodrXystnpo3tKd9M1eLscXMmud7q3MlXKMt3XL9w5w2Wu34&#10;4ilr3vdaFRHXuubcU+zvIvvvLTz6R6+8/aEPfXu67RulEE5ERETknXw1aSwtZsnJmUsGkff4CqGh&#10;NTtja6jdH71OnGVaDFputaBkrNXgdE+D0lPUbP8WJ/0ztQOXPQ3+1pzb2fJ61aIwLFtu71ps9x6K&#10;mWvO2aXaLq3uJZkei1Za/DVzrxNntW2kLbaPagsce54EnXu96PmPf1o9eaLHbWxxLb1WH3XuJOw1&#10;2tO153wPx06r++4WrtnZel+qp+1r2Vbq+b5zSsunBvU09tSqCGjJ77TVOu5l/CO0KmQs9rRv5qp9&#10;xfUpa75avdW5Eq7RVmi5/mHOPXSpcYE1z7HW+7HG3uaeQpzTLcZTOvLkcDi8djP1KyIiIiKReErc&#10;t0aNpsUsWZAWHbvsM8d6brjX/uXUFgchb1O7P3qeOBtr1bndS8c0Bjmy7ZtiSwWRY5dez8Ziv8Vg&#10;T7bMLakduJzzV6NLietyto6X2NL5XLOdxRaP3RYTF1u6V51Scw9L/1ji//jPnr7vZzNkn9dCj+2t&#10;Fn993+ux2OI8i2M0W3avap8S0vN1Ze6kVM9FMi3Ov9DrNta2y6/VJp977bjG91B7DPVy7NQeK0Xv&#10;beDa7ezpKZ6tisK2WHzT6toderrvtir+WPI7jXM8+8ypern2tbBEwcsexoZqtDoXxtYcb2q5Ddc4&#10;X5b4Dub0xeeOsZ6zZh+zZRF3jT2MXxVxL4q2QKv2aweeHg6H12O+99msr4iIiIi8J68lDajFLNVZ&#10;uPQR2NHQzX6/B7UdxT0NBoXaAaHYH1sZAGo1SLCXosgWr37rqShqqkuvZ5ktFwIWtedDTxMyNYVi&#10;a/7lca27WhDXYmB1ixOIYzX362s/PXiOHgeBWxSN9Xostpgg3NrA/V6KY06ZO6HTa5FMq3Z86HEb&#10;aws0r9Umr7l2ZMtbUotreA/tqBZ9uLDUmFEre3qKZ6uisC2ORdX0ucd62/4WhRNLblPL+2ZPBaY1&#10;Wu6T4hpjQ9GOiXtatB3iWhnHURyP0c9Y+9q3xD4Na/eZ4vOy9ZjjGmNMrQu55lybav/o9pTYtuzz&#10;ltCyiLtWr32yS8W1QSGciIiIyB3MseH0ZNSQWsxST4m7tKPb20DVWG1HcQ/FMEWLwYstFYj1Pmi5&#10;phYd/S3vi5pjfw/FNbXnfk/ffc1Ey5auXy0K4rY4maEg7kavBXG1RRyn9PidtSga6/W+uedtO6VF&#10;cUy23F7MvXZeq7DqEq0m+6INnC3/mmrb5de6Zta0J9ee6GtxnevhDyla3Xd7PtdD7Xb21I5ocb8p&#10;tjZB3mK8aain7W9VOLHkNrW6b26pz3xOq6LiYs0/CInzKa5t0ebO1mVozaLnS9ZnqrX7FS2Ld6/x&#10;R0ItxkzG5hxDra45Y2vNw7S+Z9W4xnHUQuzDvRXCHX39cDjcv5nhFREREZFzeThqUC1qqc7vpQOT&#10;PReN1XZ09zCxPlQ72LxUAeYSWg0SbP0vtUKrgfno7GbL34KawdA9HAO1AxS9fPc11/TeJwOHFMTN&#10;F/e5bNlbUnOcL/m9t5oMHIvB9OzzrqlFMUXIln1tcYxk6zrVlu6NeymOOWVuO2/tCcgpWl1vetzG&#10;2uPxmts0d/Jz7fOnxXWuh6KQVudB72Mate2/ns7zVu2H0PM42ym1fc6hngqzWn2vS25TqwLaPY2B&#10;tu67rHWtKcVw2TqcEsdotqzWWhcZFmv2K1oWQl3j/tPyPlPMGUOpnW85Zc19ukRx4Vxb6lvHORTf&#10;/1JFkVfy+HA4PLiZ1hURERGRi3NsSK32lLilJhIv7dz0PPncoqO7h2KYokVh1Fb2R6sisD38hWyr&#10;AZOeJ4PPqSkw2sMxUDtw2ct3X3Msb2lwv+Z4LbZ4viqIu9FrQdwSg++hx2L7aOtk6zpVj22mVpNA&#10;W7o3tvg+e97emnOz13Z9y8nK3raxxbZdq+h97n167fOnxT7uod3Yqj/bY+H5UIuilV7O85bXri39&#10;MU/Rqigr9NR3a/W9xjU0W34Ley4kn2uJvssa15o51/61vreW5/jQ2u2EloU8a99/Wt5nhqZux1Lr&#10;Eda6/y25DVMteX9oKcYZlyqMvZIohPvszWyuiIiIiMzJg6SRtZjo6GcN1RpTOga9TTQM1U6wb2nC&#10;75wWnb0YaMuW3ZtWg197+AvZVp38LQ7KFzX7oMdijalqBy57uQ7WnNdb+h5jf2fbMMVdLYjbwzW7&#10;14K4pQaMeyxibLWtvZ6HMWmWre8UW5owbfF99nxtqdm+nvs5rSYre9zG2nPwWts09/50jT5E7T7u&#10;4RrXqj/b+/V6TvHH2BLjYXO1unZt8Y88Wj6Rq7fjtvaaEpbcplbXi7DFfuQpLb63oTXuv3OvIXGP&#10;zpbXUuun7hVrFwO13I5rjJEvUZA05ztoMX6TifN2rXmm6ONl67C2Nbd5jh0Wwn3rcDi8fnTv2Syu&#10;iIiIiMzPsXG1+afEXdox6HkypXZgaMlBq2uoHaDdyv5oNZm9l+8/27aptl5oUnPs9zwwcYnaAb9e&#10;vvua6/mWzuW4p2bbMEVPE4OXUhB3o9eCuLDEoHev31mLCe01JqbmaDWYvaV7Y9wDsm24VO/3kLnH&#10;61J9yBZaTVb2+N3V/qHCta6bc/tXa090hxZPsbn2Na5Vfzb0fL1uUcjT0x9uxfmZreNUWxyHaFmU&#10;FXpqR7W4poQ4r7Pl14pzPPu8Obb8h5Bjrc7HYulC1Zrr/hr32tbneLF2AXDL8+Ua1+oWheRjsR1T&#10;r08t9+PYWtehFq/Zb+Ua7eVzYv8sMQZ0RU8PCuFEREREmmfVp8QtMVh06aTsXieJip4HkKdqMbnU&#10;6wTvWIvJ7LCHv5BtMfm9xUH5oZpjv+ei30vUDpj18t3HuZit36WWmoBo7a4WxLW4P/U4iDhVzfe/&#10;dEHcpe3CKeJ7zz7r2lpMfPZ672g1qL2V9mBo0Q7quT9Qc/3sdbv2XAxUe7+7ZrtsTv/qGgV8LdoU&#10;1+4DtjwHeu7Ptiiw6Km4vmWhwtLtutZaHrOhp3Z9q+91qT5ay33f0/lUq0W/emzJMYWa8Y412ga1&#10;4zGnXKNd02q8OKzdzmx9rS3m9F1b7sehNY+JpbZhqtjmXvoscYxFWzrWKVvXDYpCuK8eKYQTERER&#10;WSLHBtemnxI3pZPV86RY7YD4HibYixYDzlvZHy0mQsJaf5m2pFb7oufJlHNqBo22Pijc4rzPlru2&#10;2r/e3MqkUouB+y0VqhQtrlMK4pY/xlsPGPdavNnieOy1/dCqTbCl8y3WNduGKXotcAw1xao9b1er&#10;601v29iiXXatCbM5148lxinOabGPezhu9noODLWY2L9GMcUpLY69oufv7ZSW7cQ9fq9Ltg1b7vs4&#10;L7PP2JoW15exJfvZtQVnS7cNltifxdrtmlb9oXCNa3XL872Yc82t6YOcs1ZfesltmOra4wdxjse5&#10;saNCuPD4cDg8uJmpFREREZGlsupT4paYVLx0AqnngpHoWGfrfKmeBuJaqO04x/7YwgBZDEpk6z/V&#10;Hr7/Vvtii4PyQzXH/pYHhVsMXPZQTFZbELeVgs4W5+sWC+Ji8C/blin2UBBXMyC7xHka148i2lN/&#10;7+9/If3suf7u7/3qs20OceyfE8fJKTF4e04cI6dEW7b41J/7oXR9p/jJT3z/ez47W+exbJuHyr46&#10;JfoCt4nr4N/+O7+cru9UH/3Yh9Njpkex/7NtmCK+n2zZPai5z0fbKFtmD1p8b6G3fmpt3zTE9SBb&#10;9tLiOpKtz22u0Zdq0fbt4bhp9ZrGOJey5feixcTr2sUUp7Q49orerl2XaHXdLnr5XkOL43TJ77TV&#10;9SJs+Q8hx1oXDkWfIfucFubcY4fWaKu2OA8ya7dravf10DXaOa2vtUX0J7PPu80SxXlhzf261DZM&#10;dY1jKUTbJb77XvZDIwrhRERERNbMsQH29VGDbDHxOqCsYVsjGsTZZ2V6Gqwaq23Uz+kU9qpFx/la&#10;kzBT1P515VB0DrPP2IpW+2KLg/JDNcf+1q8BtQOXPZzztRPIW7huhVjPbP2n2Mq2DrXY7iUnKJYU&#10;95iipuDst377Z55d54qs2Csmy0K0GYtoI4W4ThTZ8uFSw2OpKMfZ0PA4LMoxWpRjd2x4fBfD439Y&#10;aPgfPfzpdD2n+Mwv3X9WdBrifjQ0PIezc3wNsY+z9b5EbEO2zGuL/Zmt71Sxb6753Yy12K443rNl&#10;L23uul9j/9ecEyF+P1vumuJalq3bVHHNzJbfi7jWZ+s9RU99tdpjr+jhGJxqyvjhJXrq07Q4Tpf8&#10;TltdL0LPfwQwVdwvs22ca8nvsHbcbo1rfYvzILP2MRftklbX6rB2W7r2j0VPie83+7zbtL7uD611&#10;D1hyG6Za+1yI6070wbN12agnh8Ph4c2srIiIiIismVWfEtf66SBTBr17HjSpnWjvfRB5ihZ/CTen&#10;k7y2FpNNxdaLoVrtiy0Oyg/VHPtbvwbUDnD0cH2vPY63MrDfojCsp8mjS7W4N8VEULbsKeI4K2Jg&#10;uxTAxEBhrGOIe0KI/Rzi2CpFODHpEteLEPfKUAp9ogAorqNFtg13ybGNnP4c9mZ43o+LAkO5RoRy&#10;3SjK9SSUwr9Qrjlx/QmxnOyzL/H6f/rSu9e97Lp4TTXbNdRbW752u+JYypa7hjhOs3U6Jf59tpyl&#10;xfmTrc8U2XLX1KJtFK55vFwirmXZek/RUzu/xbFX9FqwfErcR7LtmOta149MHGPZOk4VfYps+bVa&#10;XS9C79eMKVrul2Kp87K2yGmN763F9ToT7dzs85bUsljyGuMvrdrIY1OP77juL7Uua16LltqGqdba&#10;5rgXtWyvdODp4XB4/eheTMaKiIiIyBVybJRt+ilxl3YSex40aTEwt7XByFNiX8R3lW3jFFvYH606&#10;tHEOZMvfklb7Yuvnwdz90PP17RK1A5fXGKAcq72O97ANl2gxaH9XC+J++Vf+zMkitRDHQCkyifZS&#10;iGtCnN8t7osA13LscqY/r1GujXGdLMq1s1xL47o6VK635fpbCvaKco0uhcVx7Q8xKVPEhHC0N8Nf&#10;fe1n03Wbqre2fKxPtp5TXKtNPnXC/lrFiLVt3xDbmi17LXE+ZOs1R7Sjs8/oQYs2YFx/smVfQ4tj&#10;r+itmPcSrdvUvYw/tBhTDEv101qtX9HzNWOK1vsl9PwdLn2+tLheZ+K6kX3eklpuyxJzMee0vNcM&#10;zWkzRxs/W1YLa90H43Oyz7+Gpa4xIdq2Sx07V6IQTkRERKSjbPopcVM6iT0P2NVOPGxxMPKUFpMw&#10;S3bQWmnVybvG4ExrrfbFFr7329Tsh5iUypa5BbUDVL2cAzUTLDGRny2zNy0GZuP7zpa9pBjALwUM&#10;0Q4JsS0h7p8hrh8hzsMQ96IQk5h//mc/nm4L0N6xb5L+HPbqwx/+jnfvQeWeFPenU4V4SxcCtGiX&#10;X7NNHvsq2lXZehUxOXzN/nOL9tQ193FoWcjReoyopRaFfz3111sce8U12vS1Wj9x5trn4dC5694l&#10;lizerOkrj13z+t1ai+9taKnvsMU1f+nzpeV9aWzpttdY621ZuhhxbKnvYs79dMnjYq1iw9iG1teK&#10;uZZo08T2Rf+j5X3iyp4evXk4HO4/m3kVERERkT5ybKQ9GTTaFtW6cx6N5ksbzDH4lS2jB7UDkz39&#10;1XGtFoO01/gLuKlaDkavPbjRWqu/2Jvz14I9icmgbLsuscUJiaLFuRD3gmzZa6oZvFliUGkJLSYF&#10;s2M1vr8wLFiLz4pjIwwL1uL3h0Vrcf8rTwOKa3+IwcLYpzsaUGNhx+Zw+nOA3pX7Xdz7QtwHy30x&#10;7pGhFHmX+2fcS0O5tw4L8f723/nl9HOm6KFvGu2I2May7SH+/2hjXLvdGJ+f7bcpYluyZa+p1eRs&#10;z8UtLb6r0Et/vdX2hC2OQcX1L9uWuXoad4prXLaOUyzZJ419lX3mHLGt2WdsUetjcsnvMPu8Kdb4&#10;3pbq/0ebIvu8JbU4p4ulixEzSxVwzWkzRJspW1YLa93fY7uzz7+GVu22aJPENXCp8/ZKHh8OhwfP&#10;JlxFREREpLs8TBpwi2ndWZjSSey5cKimsxidh2sP7Leyt0HnU1oORvc8iXCJVsWBSw7+rWXudWCL&#10;ExJFi3PhGgOUY7WD/D1fw2Pdwj/957+drvsU3/cnP/LsOA9xzu5s8AsAJjv2x9Ofb9UHP/jtb//q&#10;5378WT89XFKIF225IorWoi8XShska59sWW37p4e2fxRdZus21TUm6qdoManfQ1+laFWYtMW+d6tx&#10;h6Fexp1aFUsstT0tC7/2MO5TLHFMxj00+6xatfetNb63VvelsWvcp1qd0+EabYbWxZ5F3JOzzzun&#10;xb08s0ahZ4i28FLbMFXtuRzbEte+XranEYVwIiIiIlvIseH2rVFDbjGtOwtTBhDW6qjMUfsXS1sv&#10;ihqK7ynbxil6H1gPrTp/PR/Xl4jOcLZdc2x9wmzuoNHWB4Vrz4Uezvfawdc5A9dxvBcxeRHLKGLi&#10;Le6PIe4PsY9C3GvKxHRcO2JwNMT6xwRZiO8jxHFVO/ANwPKO3bn057A3pW1S2irRbok2TChtmhBt&#10;nBDtnUsK8aLttGYRXm1/t4e2f6vJ7vhusuX3okWBRQ99laLV9xbm9F+urXXfppfvNq5Z2fpNtVTx&#10;ZsvintBLIWILWzkmWxTTZsttqeX1bSjaFdnnLanVOV0s3a4Za73+Q3PO/ylzR1OtdT2qnTdqae4c&#10;VNxjWhXmdyIK4T77bHJVRERERDaR15JG3WJadxYuLaboYeD4lNrO4jU66EtpMVgWHaxs2T1pNVjT&#10;83F9qUvP4XOWGsBdS811YMvbXnsuXGsiLb6v4i++/NPpul3qlz/7o8/2w7hIbVyoFud7kS0HAODa&#10;Djsq0ow217AALwwL8LLiu3Cq+C781m//TPpZU0T7M2ufrqWm3zLUU7FYpkWfvaexmpZFAb1/d5na&#10;YtSxnsadWhTaLnVdaXW9KOYWY/So9TG51PWmRXHw0kW0SxU9Xes8b7HPi2ucM62P7SKWm33eOS33&#10;59Ba98LW19EaU8+JaPvGtSlb1kY9OfZ1Xn82oyoiIiIi28qxMbfZp8RNGaTseeCkprMYg1fZMrco&#10;Onktij16/6vROBaz9Z5j638h22qgZIuD8mNziwOvVRTWQu258Bd+7SeeDX7GckIcB0Oxb+I+UcTx&#10;VpTJzBgcK8pkZygToHFNKrJ1AACAtfzFl3/qPcV3obSFhwV45enB0V8MLQte5vZbhmJ9s2X3okWB&#10;ReynbNnX0HJCvadCv0vF8ZZtS41exmJqxtHi9+JYz5bbSst+dPTjs8/YotZFXLGfs8+p1aI4OO5T&#10;2bJbWapgaKl9ek7L69U1rtdLXG9DfB9z2jJxrc6WV2vN4yPafNk6XMMlBa7xPcW1o+X1/8qeHm4K&#10;4e49m0wVERERkU1ms0+Ji4He7DMyUeyQLaMHU7Yj0/tg8hQtBlt63x8tB2uWHlhaWqtO/RYH5cfm&#10;Dhpl2x7H2FCZCCsTY0WZMIvB2CLWoyiTbKFMvIVSYBamFJmNC80++rEPp9u0Jcd7aPpz9sH3S+9u&#10;O0YdvwCcEm3xUNrmpa1e2vClXR9KW7+0/3/h0y+ky5xi6SKcWi367GtOll8ivudsPafqbbsu0eL7&#10;HOtpLCa2L87RbD1PifN8jaK++Jzs8+fY4rF3m9iebDvnWuL7bDFmF8vIlt1Sq+vb2BrnyFjr69U1&#10;tmGp72PudXfq9fFSMZ6afV5rS9zD5op9ma1jiPWMdmLra9sVKYQTERER2VOODbzNPiVuSifrGp3A&#10;S9V0Flvv02uKIp1sG6dYY7ClVqvBgS1s621afN9hqYHR6MwXcf0ozhWVXVJYViaUit/4zU+m23bO&#10;c88992z7dzTgAACw+6LOvW8fy9jjcVP6MtFHDqeK82Lcoyh9qNK3CqW/NeyHlb5Z6bMVpS837OOV&#10;fl/pC7bos8dyh/3La4r9la3jHD1t16VajcEUcUxmn3NNcfzGORDnzXh74xyLn8e5Esd+9vtLaHnc&#10;hS0ee6fEtSzbxrniu88+p0ZcP7PPmmKNc6X1cVbE9meft7SW16sljotzlvo+om2Qfd45cW1sfQ8I&#10;a87HLLVP5xhfh8u9Z0fj0k+P3jy2ue8fiYiIiMiOstmnxE3pEFyjE3ipGKzN1vkS0eHIlrlV0cHN&#10;tvNScUxky+1Jq4GvHgdhb1MmGUJcB0K2XXP81b/2s8+++zJJUiZOykRKKJMrRQyIhDIJU2TLBwAA&#10;gEt95pfuP+ujhkuL98YFfKV471wB3zktCluKWN/sM3oW+zvblrm2Mg439ThpreVxF7Z47J3Set8s&#10;MT4Yx072WVOsca603pdFXK+zz1tay+tVjIVmn7GkFsfNKXH/yz7znKWOkbnrM9WS+3SqYSFgtFNq&#10;53E68/hwODy4mS4VERERkb3l3rHBt8mnxE3pEPQ+YFXz10p7GhSKzlS2jZdqeXwtJb6vbN2nKsd0&#10;nAfFcJB8OHheBtRjEKCI9QhlQD6UQfoycD8sMgvnCs2yIrNs3QHYtmP70ROOAHiXewJcX+mDl355&#10;iH76T/3096f/fo6f+4UX3h1LKGMLZbyhaFHE11J8brYtNWK7s8/i32m9369VoLSUOD+z7Zwjzvvs&#10;M2q0+P6WWK+xJc7vsESR4SVab09cf7PPWVLsu2xdasW4dfZ5l4jx62yZNWrWZ6oYk8/WYW1xTsd9&#10;fqnv+EoUwomIiIjckXw1aQwuIhrOLTtjUxrg0WDPltGDmiKpLRSBTRFFWNl2XqL1voiBiFAGcc8V&#10;mYVzhWbxNLNs3YHLHe9b6c9pr3Zf37XvyrEJbTmnAGCfYnwwjAv4QvkDvBjzK8of6oUYWynjLEWM&#10;vZTxmFDGaGLcJpaZrcNcexuHW0rLoolYVvYZW1Uz9plZovCpRdHeGgVZrc/vsEYx3yktiyXXLNoq&#10;Ysw8W5daNd/JEoWTax4jSxV+zvHh7/yO9OcbFIVwnz0SERERkTuSVZ8SFwNVWeN+jhjkyj4j0/OA&#10;VXRs5nZ4r9lJX8rcv9z6xU//6fcUocUAUxHffxlILYOrZbA1xP6PfVlky6dPx2tY+nMAAACWoy/G&#10;XfTBD377u+NLp4r0hgV6pTCvGD5Br/whZjY2tnVTxmzP2dvYZ+sCl9jX2efUiOM6+6wp4njPlt1S&#10;nG/ZZ9e61nkZ145sfeaIse7sM5bWsqhvqKbAsuV+LZY4705pcT7yzJNj2/X1mBAVERERkbuXVZ8S&#10;lzXs55hSSNb74MncDnwUc2XLa6kM0JUBu+FT0k49GS22Z25B2kc/9uF0WwEAAABgj8q4WIyRhRgv&#10;K2NoWRHesBCvjMeV8blzhXjZ+F9L8RnZNs7R+5juHPGdZts6R3z/2WfUmDtOPRTHYLbslloeZ0Nr&#10;FPNlWm9PTRHZXHH9ydalVlz3ss+7VFxPs+XOFdfo7HOWsNRxfoc8PdwUwt17NhMqIiIiIncy8ZS4&#10;rLG4iBigyRr3c8TgT/YZmeiQZcvoQXRspnbMonDs7/39L8wqUrutQG1YnJZ9LgCeiAEAAMC2ZQV4&#10;WfHdsPCujDcOi+6ygrv43ewz5yjL3IvYf9l2zhHfVfYZNVoU4LQc/79NHLvZ59dYa90zLbfnWtux&#10;xHdSWxgb16hsuTXWLJxseT29QxTCiYiIiMh7ssmnxMVAS/YZmeg4ZMtoKQYMwpwitd/4zU++/fHn&#10;l3msOAAAwDUc+5rpzwEALvHoH73ybtHdXorjWhUNxZhytvxatX8oHWPe2XJbi+3PPr/GGnMIp8R8&#10;QbZOcyxRLHmJlgWfQ7UFaK2Lytbcvy2KVO+Qp0dvHvug95/NeoqIiIiIvJNVnxIXHaOscT/HpQMI&#10;8US1c8VqpVAtlEK1EB2m6OR4mtq6jsdl+nOArXN9AwCAfdLWh/XE2GyY8oS7c0+3W0OsT7Y9U8R4&#10;dG2R0CmxL7PPvFTs92y5rS1RKBTbnn3WGlpuTxwfax7TRXxmq4LPodpjaoljJa4b2WctoXVB3049&#10;PrbBHhyJiIiIiLw/xwbjm6MG5GK+67s++GwAYlyENlYGLIZKkVqIjsCn/twPpZ8BAAAA0KuDwimA&#10;LkUx0bDQrhTb3VZoF0qhXThXaFdbdBafmy23hdiu7DMvtebTs1oXX8V3n33OWloWPsUxmX3G0uJz&#10;s/Wp0eJ7ab1e8V1ln7OEJQr6dkQhnIiIiIhclFWfEgcAAAAAPTkoVAQWVIrtwg/90He//eEPf0f6&#10;706JIr0/+MNfX/TpdvEUveyzL7XmU9aiODFbhxqt9+cULQuf1izYGovjNFunGi2eyNa6gLLFOl1q&#10;iWN9454c22wPn81sioiIiIhckmMj8tGoUbkJx1VPfw4AAAAAAHfBsOBu/IS78pS74RPuhk+5i0K4&#10;8OgfvfL29//Ad6fLv0QsMyvoWUIUJGXrUCOKDbPPWkt8T9l6TXXNp93FPszWqUaLpyLG0xuzZc+1&#10;5tMQPSXuXU8Ph8PrR/diTlNEREREZEriKXFPRw1MgNUcr0OTfg4AAABwG2MKsI4PfOC5t3/sx783&#10;LcYrBXlFVpg3fAVtKdIbvoo2Cq2GT8cLH//4x9J1mSs+NytIWkvLoq01n2A21qqwr2hVfNZ6vdYs&#10;oIzzJFuHO0IhnIiIiIg0yetJY3MRx89Kfw4AAAAAwLbVjv8aP2Ztn/ip739f4V4xLOArSiFfVsxX&#10;DIv6hoV94+K+EE8Ca1Xkd82CuNZPNGv1xLvW6xXFn9nnLOEOPyXu8fFecP9IRERERKQ+xwbmt0YN&#10;TgCAZ45NhfTnsHHxlORzoo18mycXeHzG1y/wKJH9u6HsszLZOo9l2z6W7b+x7HsAAAA6ctfGAPay&#10;vR/5yIeeFWsNn9aXPbWvGBYBZsWAlxQEjosCf+3zP5Gu21x/8Ie//r7iwjl+5Vd/LF3+XH/77/zy&#10;u8seFkIODfdLMd53xXgfD7+Dn/nzP5yuw05FIdyDIxERERGRpnktaXwCAMAlhkVPpUBqWFBViq+G&#10;BVulsOvN4tgm/eo74rUYxWvvePiOzw7EQGmIvxwu4nUahWwrw+9uaPj9FuW7HxseH0U5dsbKsTU2&#10;PP6Kcmy+x/D4HRgWLhbDYz8MixLD8HwJw2LDMDzHQnYeAgAAwNY8Ofavo48uIiIiIrJMotE5aoQC&#10;Kziefun/BvbF+c1CSnFMKZopxTRZ8dm7BTvH4zGKeYbFPqUQqBQKlUKiYaFRKUQaFiqJSD8Znpth&#10;WEAYhudzGBYNhnL+Dw0LBcP7CgQH15asADAr+ssK/bLrGwAAwJ137HelP9+Bp+/0L40viYiIiMji&#10;uZ80SAEAuEyL4rRSdBKFKKVIpRSvlKKWUuwiIrLXZEV940K+U4V7LYv2FOsBAHAVx3Zs+nPYAYVw&#10;IiIiIrJ+jg3RmCTIGqjVjotPfw4AW+FetknDIrWzBWrH71hxmoiInMq4UG9YpJcV6J0rzMsK8kox&#10;noI8AHbpeE9Mfw7AaTu6dj4+bkv0pURERERE1s+xQRqD8llDFQCglXOFaqVY4FShWik6GBaplUI1&#10;RWoiIrLHDIvxSkFeKdgeF+O9pyDvnftpVog3LMJTgAd3wPGakP483PbfAIAb7pezRCFc9F9ERERE&#10;RK6bY+M0BsuzRisAsD+lOG1coHZJkVpWqFYm54dFagrVREREtpVhAV4pviuFd6X47t2iu/BOG0Hh&#10;HbtxPK4v+hkAAKknx7ZT9BtERERERLrK60njFQBYzrAobViYNixKK4Vpz4rSwvGePSxKGxamKU4T&#10;ERGR3nNb4V20aW4rvCttI4V3AADQj6fvtOGNPYqIiIhI14nCuBhMzhq1ANCzUmA2LDILpdBsWHCW&#10;FZ0V7xafheO98b89/t/s8zL/+vjv/+7RsCitFKaVojSDQyIiIiLLpbS3StHd1MK7Unx3qvBO8R0A&#10;wMYd23/pz5kkCuGiLW2sU0REREQ2lRgsjgHiMjD8Px39L0f/1/H/zxq+APRhWBRWDIvDwrhALJQJ&#10;v2JYLFYMi8bCewrHQrlvvKM8wWyoTEAWZWIyxL1naFxQVpRJzrUHW147bmPsh9iHw/0d++/rx/8e&#10;62wASEREROTuJNp+pY3aqvgulHZ7tDWHbX0AAOjB42O7Ntq+IiIiIiK7SxnYjYHcGMCNgdthgQDA&#10;JYZFW0NlAmioTA6NlcmjoWER11CZdBp6X1FXiOtbYlzcVZSJrqEyCTY0LPYaKpNnQ8MCsKFhMVgh&#10;14v9LyIiIiJrJNqdpU9Q+gzRlyh9jdIPif7Ju32Yd/o3pe8TfaJhvyn6U6W/Ff2wrM8GAMCVHNtz&#10;6c+vJNqLj47rFO1QEREREZE7mRicHQ7IDgdghwOuWYMatmRYwFWUyYShYfFWMZyECOPCrVAmLYbe&#10;U7QV4hwbGRdrhTI5MlTO06FxoVZRJlzGyoTM0LBQa0hERERERET6T+nDlT5e6f+V/mHpPw77l6Xv&#10;+W7f9J0+67A/W/q6pR9c+sfD/nPpW2d9cAAAruDYtvv7R9EuFBERERGRCRkPso4HV983qFocG+Lj&#10;4qDhQOt4wHU88JoZ/9slZOs4xXib3yPbTyNlf54yHNDOlO/mNmWQfI4y0D5HOY6mKoP954iIiIiI&#10;iIjIuon++LAPX8YAyjjCcDyijF2UMY53x0PeGTcZjq+UcZrx2JBCPQCAgWNbKtpeIiIiIiIiIiIi&#10;IiIiIiKy85Q/oLutYO9U0d5thXunivfGBXyK9wCApT09tlE8MEBERERERERERERERERERLrKJcV7&#10;w8K92uK9YeGe4j0A2K6vH+/7IiIiIiIiIiIiIiIiIiIiMiNTCvfGBXu3FeudesLeuEAvKwQAgDvr&#10;eF+Ne6+IiIiIiIiIiIiIiIiIiIhsPKeK87In6p17kt74KXrZk/M8MQ+A3rx5vJeJiIiIiIiIiIiI&#10;iIiIiIiIVGdckFeK8bIivKz4blx450l4AEzx5HhvifuQiIiIiIiIiIiIiIiIiIiIyCai4A6ATBTD&#10;xb1BRERERERERERERERERERERN7J3IK7YbFdUGwHsJ7Hx2uyYjgRERERERERERERERERERGRFdP6&#10;6XaK7YC77v9559opIiIiIiIiIiIiIiIiIiIiIjtLKbgrxXbjgrtLiu2GBXeK7oBeffOda5qnwomI&#10;iIiIiIiIiIiIiIiIiIjIrGRPuJv7lLth4V0U3Sm8gzvueM1If370/x7970f/8ui/Ov67uP6IiIiI&#10;iIiIiIiIiIiIiIiIiGwiUXg3Lr67rQDvPUV44dtuCvHGxXi3PQnP0/CgvVLsGuIci3MuxPlXzsk4&#10;P8v5+uY753Ccz3Fex/ke535cD0REREREREREREREREREREREpCLnCvOGxXlDw0K9Uqw39G7hXvFt&#10;3/Ztbwz8NyP/dORfJP7nkf+1sf97Bf/fBNnv18q2u8b4O7lE9t0OjY+FzPj4GR5bb4yOvfGxGcbH&#10;7/DYLsd9ORdCOT/K+aJ4TUREREQGORz+f/KPQJ86/svhAAAAAElFTkSuQmCCUEsDBAoAAAAAAAAA&#10;IQDnftZg/w8BAP8PAQAUAAAAZHJzL21lZGlhL2ltYWdlMi5zdmc8c3ZnIHZpZXdCb3g9IjAgMCA2&#10;MzAuMzQgMjExLjExIiB4bWxucz0iaHR0cDovL3d3dy53My5vcmcvMjAwMC9zdmciIHhtbG5zOnhs&#10;aW5rPSJodHRwOi8vd3d3LnczLm9yZy8xOTk5L3hsaW5rIiBpZD0iTGF5ZXJfMSIgb3ZlcmZsb3c9&#10;ImhpZGRlbiI+PGRlZnM+PC9kZWZzPjxwYXRoIGQ9Ik0xODYuMDEgMTk2LjI3QzE4Ni4wMSAxOTYu&#10;MjcgMTg2LjAxIDE5Ni4yNyAxODYuMDEgMTk2LjI3TDE4Ni4xNSAxOTYuMjdDMTg2LjE1IDE5Ni4y&#10;NyAxODYuNDIgMTk2LjI3IDE4Ni40MiAxOTYuMjdMMTg2LjYxIDE5Ni4yN0MxODYuMDIgMTk2LjI3&#10;IDE4NS40MyAxOTYuMjkgMTg0Ljg1IDE5Ni4zIDE4NS4yMyAxOTYuMyAxODUuNjIgMTk2LjI5IDE4&#10;NiAxOTYuMjhaTTQ2MS45MSA0LjM2QzQ2Mi44MiA0LjQgNDYzLjY0IDQuNDggNDY0LjQyIDQuNjEg&#10;NDY1LjkgNC44NiA0NjcuMTQgNS4xMyA0NjguMzMgNS42MSA0NjkuODkgNi4yNCA0NzEuMjcgNi44&#10;OSA0NzIuNTQgNy42MSA0NzMuNjcgOC4yNSA0NzQuNzcgOC45NSA0NzUuODQgOS42M0w0NzYuNzMg&#10;MTAuMTlDNDc4LjIgMTEuMTEgNDc5LjY3IDEyLjA0IDQ4MS4xMyAxMi45NyA0ODQuMzcgMTUuMDMg&#10;NDg3Ljg3IDE3LjIzIDQ5MS41IDE5LjM2IDQ5My43MSAyMC42NiA0OTUuOTQgMjEuOTQgNDk4LjE3&#10;IDIzLjIyIDUwMC40IDI0LjUgNTAyLjYzIDI1Ljc4IDUwNC44NSAyNy4wOCA1MDguNDQgMjkuMTgg&#10;NTEzLjE4IDMxLjk0IDUxOC4wNSAzNC41NiA1MjIuMjIgMzYuODIgNTI2LjA0IDM4Ljg1IDUyOS43&#10;MiA0MC43NSA1MzQuMzUgNDMuMTUgNTM5LjAyIDQ1LjYyIDU0My41MyA0OC4wMSA1NDcuNjUgNTAu&#10;MTkgNTUxLjc2IDUyLjM3IDU1NS45MSA1NC41MyA1NjMuNTEgNTguNDggNTcxLjA5IDYyLjY0IDU3&#10;OC40MiA2Ni42Nkw1ODAuMTUgNjcuNjFDNTg1Ljc4IDcwLjcgNTkwLjMxIDczLjIzIDU5NC40MSA3&#10;NS41OSA1OTUuNTMgNzYuMjMgNTk2LjY1IDc2Ljg3IDU5Ny43NyA3Ny41MSA1OTkuODYgNzguNyA2&#10;MDIuMDIgNzkuOTIgNjA0LjExIDgxLjE2IDYwNi4wOCA4Mi4zMyA2MDguNDEgODMuNzMgNjEwLjY4&#10;IDg1LjI3IDYxMi43MiA4Ni42NiA2MTQuNTMgODcuOTQgNjE1LjkzIDg5LjU1IDYxOC41MSA5Mi40&#10;OSA2MjAuMTUgOTUuODMgNjIxLjczIDk5LjA3TDYyMS43OSA5OS4xOUM2MjIuMTUgOTkuOTMgNjIy&#10;LjUzIDEwMC42NyA2MjIuOSAxMDEuNDEgNjIzLjM3IDEwMi4zMyA2MjMuODQgMTAzLjI2IDYyNC4y&#10;OCAxMDQuMTkgNjI0LjU0IDEwNC43MyA2MjQuNzggMTA1LjMyIDYyNS4wOCAxMDYuMDkgNjI1LjI0&#10;IDEwNi41MSA2MjUuMzIgMTA2Ljg1IDYyNS4zNSAxMDcuMTUgNjI1LjQyIDEwNy44NiA2MjUuNDUg&#10;MTA4LjQ2IDYyNS4yNSAxMDkuMDcgNjI1LjA0IDEwOS43NCA2MjQuODEgMTEwLjQgNjI0LjQxIDEx&#10;MS4wNSA2MjQuMTkgMTExLjQyIDYyMy45MSAxMTEuNzcgNjIzLjY0IDExMi4xMUw2MjMuMzggMTEy&#10;LjQ0IDYyMy42MSAxMTIuMTJDNjIzLjA2IDExMi44MyA2MjIuNDQgMTEzLjU1IDYyMS42NSAxMTQu&#10;MjQgNjIwLjYxIDExNS4xMyA2MTkuNDUgMTE2IDYxOC4yMSAxMTYuODEgNjE1LjUxIDExOC41NyA2&#10;MTIuNTcgMTIwLjA1IDYwOS43OCAxMjEuNDEgNjA4Ljg3IDEyMS44NiA2MDcuOTUgMTIyLjMxIDYw&#10;Ny4wMyAxMjIuNzUgNjA0LjgzIDEyMy44MiA2MDIuNTYgMTI0LjkzIDYwMC4zNyAxMjYuMDYgNTk2&#10;LjY1IDEyNy45OSA1OTIuODYgMTMwLjE4IDU4OS4xIDEzMi41OCA1ODUuMzIgMTM0Ljk4IDU4MS42&#10;MSAxMzcuNTIgNTc4LjAyIDEzOS45OEw1NzYuMDkgMTQxLjNDNTcyLjc2IDE0My41OCA1NjkuMzMg&#10;MTQ1Ljg2IDU2Ni4wMSAxNDguMDZMNTY0LjY2IDE0OC45NkM1NjIuOTcgMTUwLjA4IDU2MS4zIDE1&#10;MS4yMSA1NTkuNjIgMTUyLjMzIDU1Ny40NyAxNTMuNzcgNTU1LjMyIDE1NS4yMSA1NTMuMTYgMTU2&#10;LjY0IDU0OC42NCAxNTkuNjMgNTQ0LjAxIDE2Mi42MSA1MzkuMzggMTY1LjUxIDUzNC41MiAxNjgu&#10;NTUgNTI5LjQ3IDE3MS41NCA1MjQuNTggMTc0LjQ0TDUyMy43MiAxNzQuOTVDNTIwLjY3IDE3Ni43&#10;NiA1MTcuNiAxNzguNjIgNTE0LjYzIDE4MC40MyA1MTMuMTIgMTgxLjM1IDUxMS42MiAxODIuMjYg&#10;NTEwLjEgMTgzLjE4IDUwNi4yOCAxODUuNDkgNTAyLjQ4IDE4Ny43MyA0OTcuOTcgMTkwLjM3IDQ5&#10;My45NCAxOTIuNzMgNDg5Ljk4IDE5NS4wNCA0ODUuOTcgMTk3LjI5IDQ4My40OSAxOTguNjggNDgw&#10;LjYgMjAwLjI3IDQ3Ny41OCAyMDEuNjUgNDc1LjY2IDIwMi41MyA0NzQuMDcgMjAzLjIxIDQ3Mi41&#10;NiAyMDMuNzggNDcwLjk4IDIwNC4zOCA0NjkuMjEgMjA0Ljg5IDQ2Ni45OSAyMDUuMzkgNDYzLjU2&#10;IDIwNi4xNiA0NjAuNzIgMjA2LjY3IDQ1OC4wNCAyMDcuMDEgNDU1IDIwNy4zOSA0NTEuOTYgMjA3&#10;LjUxIDQ0OC4zNCAyMDcuNTggNDQ1LjUxIDIwNy42MyA0NDIuNjEgMjA3LjU1IDQ0MC4wNCAyMDcu&#10;NDkgNDM2Ljg4IDIwNy40IDQzMy43MSAyMDcuMjkgNDMwLjU1IDIwNy4xOCA0MjkuMTUgMjA3LjEz&#10;IDQyNy43NCAyMDcuMDcgNDI2LjM0IDIwNy4wMiA0MjAuNjcgMjA2Ljc5IDQxNC45IDIwNi41IDQw&#10;OS4zMyAyMDYuMjMgNDA0LjI0IDIwNS45OCAzOTguOTggMjA1LjcyIDM5My44IDIwNS41TDM4OC4w&#10;NSAyMDUuMjZDMzgzLjU2IDIwNS4wOCAzNzkuMDcgMjA0Ljg5IDM3NC41OCAyMDQuNjkgMzcxLjMz&#10;IDIwNC41NCAzNjguMDggMjA0LjQgMzY0Ljg0IDIwNC4yNyAzNjEuODcgMjA0LjE1IDM1OC45MSAy&#10;MDQuMDMgMzU1Ljk0IDIwMy45MyAzNTAuMjcgMjAzLjczIDM0NC41IDIwMy41OCAzMzguOTMgMjAz&#10;LjQzTDMzNy4yOSAyMDMuMzlDMzMxLjM4IDIwMy4yMyAzMjUuMDcgMjAzLjA3IDMxOC43MyAyMDIu&#10;OTYgMzA2LjY0IDIwMi43NCAyOTQuMzMgMjAyLjc4IDI4Mi40MyAyMDIuODJMMjc5LjkzIDIwMi44&#10;MkMyNzIuODggMjAyLjg1IDI2My41NiAyMDIuODYgMjU0LjA0IDIwMi43IDI0NS41OSAyMDIuNTYg&#10;MjM2Ljg1IDIwMi40MiAyMjguMSAyMDIuNTcgMjIxLjM5IDIwMi43MSAyMTQuNTcgMjAyLjkgMjA3&#10;Ljk3IDIwMy4wOSAyMDMuMjMgMjAzLjIyIDE5OC40OSAyMDMuMzYgMTkzLjc0IDIwMy40NyAxODcu&#10;MDIgMjAzLjYzIDE4MC4zIDIwMy43MyAxNzQuNjIgMjAzLjggMTcyLjA3IDIwMy44MyAxNjkuNTEg&#10;MjAzLjg3IDE2Ni45NiAyMDMuOSAxNjIuOTYgMjAzLjk2IDE1OC45NiAyMDQuMDEgMTU0Ljk3IDIw&#10;NC4wNiAxNDIuOSAyMDQuMTkgMTMwLjk2IDIwNC4yMyAxMTkuNDggMjA0LjE2IDExNi4zOCAyMDQu&#10;MTQgMTEzLjI4IDIwNC4xMiAxMTAuMTcgMjA0LjEgMTAyLjY3IDIwNC4wNCA5NC45MSAyMDMuOTkg&#10;ODcuMjcgMjA0LjAyIDgzLjg1IDIwNC4wMyA4MC40MyAyMDQuMDcgNzcuMDIgMjA0LjEgNzMuMDIg&#10;MjA0LjE0IDY4Ljg4IDIwNC4xOCA2NC44MSAyMDQuMTlMNjEuOTUgMjA0LjE5QzU4LjIgMjA0LjE5&#10;IDU0LjMzIDIwNC4xOSA1MC41MiAyMDQuMjUgNDYuNDYgMjA0LjM1IDQyLjM4IDIwNC42NiAzOC40&#10;MiAyMDQuOTZMMzYuNDcgMjA1LjExQzM1Ljg3IDIwNS4xNSAzNS4yOCAyMDUuMiAzNC42OCAyMDUu&#10;MjUgMzIuODQgMjA1LjQgMzAuOTMgMjA1LjU1IDI5LjA1IDIwNS41OUwyOC41OSAyMDUuNTlDMjgu&#10;MSAyMDUuNjIgMjcuNiAyMDUuNjQgMjcuMTEgMjA1LjYxIDI2Ljg5IDIwNS42MSAyNi42NiAyMDUu&#10;NTggMjYuNDQgMjA1LjU2IDI1LjgxIDIwNS40OCAyNS4xOSAyMDUuMzYgMjQuNTkgMjA1LjIyIDI0&#10;LjA5IDIwNS4xIDIzLjU3IDIwNC44NyAyMy4xMSAyMDQuNjdMMjIuODQgMjA0LjU1QzIyLjE4IDIw&#10;NC4yNyAyMS42NCAyMDMuODggMjEuMTEgMjAzLjQ5TDIwLjg2IDIwMy4zMUMyMC4xMyAyMDIuNzkg&#10;MTkuNjEgMjAyLjA4IDE5LjE2IDIwMS40NSAxOC41MyAyMDAuNTggMTguMTYgMTk5LjYgMTcuOCAx&#10;OTguNjRMMTcuNjYgMTk4LjI3QzE3LjM3IDE5Ny41IDE3LjEyIDE5Ni43MiAxNi45MiAxOTYuMDUg&#10;MTYuMyAxOTQgMTUuNzkgMTkxLjk0IDE1LjM4IDE5MC4yIDE0LjcyIDE4Ny40MSAxNC4yIDE4NC42&#10;MyAxMy42OSAxODEuNzggMTMuMDkgMTc4LjQ4IDEyLjU4IDE3NS4wNSAxMi4xNyAxNzEuNTcgMTEu&#10;NyAxNjcuNTkgMTEuMjUgMTYzLjYxIDEwLjgyIDE1OS42MyAxMC4zNSAxNTUuMjggMTAuMDMgMTUw&#10;LjU3IDkuODUgMTQ1LjI1IDkuNSAxMzQuODMgOS4zNSAxMjYuMzcgOS4zOCAxMTguNjMgOS40IDEx&#10;My45IDkuNTUgMTA5LjEgOS42OSAxMDQuNDYgOS43NiAxMDIuMTYgOS44MyA5OS44NyA5Ljg5IDk3&#10;LjU3TDkuOTEgOTYuNjJDMTAuMSA4OC43MiAxMC4zIDgwLjU1IDEwLjA0IDcyLjUyIDkuNDkgNTcu&#10;NDYgOC4yMyA0Mi43NCA3LjIgMzEuNkw2LjkyIDI4LjQ3QzYuNjEgMjUuMDcgNi4zIDIxLjU2IDUu&#10;OTEgMTguMTIgNS43NSAxNi43MSA1LjU2IDE1LjE4IDUuMyAxMy40NiA1LjE4IDEyLjYzIDUuMDUg&#10;MTEuOCA0LjkxIDEwLjk3TDQuODQgMTAuNTVDNC43NiAxMC4wOSA0LjY5IDkuNjMgNC42MiA5LjE3&#10;IDQuNTkgOC45OSA0LjU4IDguOCA0LjU3IDguNjIgNC4yOCA4LjU3IDMuOTcgOC41MiAzLjY4IDgu&#10;NDUgMi45NyA4LjI5IDIuMzUgNy45MSAyLjA2IDcuNDYgMS44MyA3LjEgMS44MiA2LjcxIDIuMDMg&#10;Ni4zNCAyLjc1IDUuMDcgNC45OSA1LjA4IDYuNjMgNS4wOUw2Ljk3IDUuMDlDNy4wMyA1LjA5IDcu&#10;MDggNS4wOSA3LjE0IDUuMDkgNy4zMSA1LjAyIDcuNDcgNC45NiA3LjYxIDQuOTEgOC4zNiA0LjY4&#10;IDkuMTYgNC41NiA5Ljc1IDQuNTkgOS44OCA0LjU5IDEwIDQuNjEgMTAuMTIgNC42M0wxMC40MSA0&#10;LjY4QzExLjE3IDQuOCAxMS42MyA0Ljg4IDEyLjI5IDUuMTlMMTIuOTMgNS4yMUMxMy41NyA1LjIz&#10;IDE0LjIxIDUuMjUgMTQuODUgNS4yNiAyMC42NyA1LjQgMjYuNTkgNS40MSAzMi4zMSA1LjQzIDM0&#10;LjU0IDUuNDMgMzYuNzYgNS40MyAzOC45OCA1LjQzIDQzLjA4IDUuNDMgNDcuMzIgNS40MyA1MS40&#10;OSA1LjQ4TDUyLjAzIDUuNDhDNTcuOTkgNS41NCA2NC4xNCA1LjYgNzAuMiA1LjU3IDc2LjM1IDUu&#10;NTQgODIuNDkgNS40OSA4OC42NCA1LjQ1IDk0Ljc5IDUuNCAxMDAuOTMgNS4zNiAxMDcuMDggNS4z&#10;MyAxMTEuMjEgNS4zMSAxMTUuMzQgNS4yNiAxMTkuNDYgNS4yMSAxMjEuNDQgNS4xOSAxMjMuNDEg&#10;NS4xNiAxMjUuMzkgNS4xNCAxMzAuMDQgNS4wOSAxMzQuNjkgNS4wNyAxMzkuMzQgNS4wNkwxNDQu&#10;MTkgNS4wNEMxNTIuODQgNSAxNjEuNjMgNC45MiAxNzAuMTMgNC44NUwxODAuMTQgNC43NkMxODMu&#10;ODYgNC43MyAxODcuNTggNC42OCAxOTEuMyA0LjYzIDE5NC4xMyA0LjU5IDE5Ni45NSA0LjU1IDE5&#10;OS43OCA0LjUyIDIwNC4xMiA0LjQ3IDIwOC40NSA0LjQ1IDIxMi43OSA0LjQ0IDIxNC44NiA0LjQ0&#10;IDIxNi45MyA0LjQyIDIxOS4wMSA0LjQxIDIyMS4wMiA0LjQgMjIzLjAzIDQuMzggMjI1LjA0IDQu&#10;MzYgMjI4LjQ2IDQuMzMgMjMxLjg4IDQuMyAyMzUuMyA0LjMgMjM3LjY2IDQuMyAyNDAuMDEgNC4z&#10;IDI0Mi4zNyA0LjMgMjQ1LjUyIDQuMyAyNDguNjYgNC4zMSAyNTEuODEgNC4zIDI1NS4zOSA0LjI4&#10;IDI1OS4zNCA0LjI0IDI2NC4yMiA0LjE3IDI2NC40NSA0LjE1IDI2NC42NyA0LjE1IDI2NC44OSA0&#10;LjE2TDI2OS45NyA0LjA4QzI3NS4xMyA0IDI4MC40NyAzLjkxIDI4NS43MiAzLjg3IDI5MS41NyAz&#10;LjgyIDI5Ny40MSAzLjc1IDMwMy4yNiAzLjY4TDMwMy4zNyAzLjY4QzMwNS4xNyAzLjY2IDMwNi45&#10;OCAzLjY0IDMwOC43OCAzLjYyIDMxMi41NSAzLjU4IDMxNi4zMiAzLjU0IDMyMC4wOSAzLjQ3TDMx&#10;OS43NCAzLjQ5IDMyMC43OCAzLjQ2QzMyNi41NSAzLjM1IDMzMi41MiAzLjIzIDMzOC40IDMuMTkg&#10;MzQyLjEyIDMuMTYgMzQ1Ljg1IDMuMTYgMzQ5LjU3IDMuMTUgMzUxLjggMy4xNSAzNTQuMDIgMy4x&#10;NSAzNTYuMjUgMy4xNCAzNjEuNDUgMy4xMiAzNjYuNzMgMy4xNSAzNzEuODQgMy4xOUwzNzUuNzUg&#10;My4yMUMzODEuNDMgMy4yNCAzODcuMzQgMy4zNiAzOTMuODQgMy41OCAzOTUuOTEgMy42NSAzOTcu&#10;OTggMy43MyA0MDAuMDUgMy44MUw0MDQuNDUgMy45OSA0MDUuMjcgNC4wMkM0MDYuOTIgNC4wOSA0&#10;MDguNTUgNC4xNiA0MTAuMTggNC4yMyA0MTQuMDMgNC4zOSA0MTYuOTcgNC40OSA0MTkuNzQgNC41&#10;NyA0MjQuMjkgNC43IDQyOC44NSA0Ljc1IDQzMy4yOSA0LjczIDQzNC42NiA0LjczIDQzNi4wNCA0&#10;LjczIDQzNy40MSA0LjcyIDQ0MC4wMyA0LjcyIDQ0Mi43NCA0LjcyIDQ0NS40MSA0LjY3IDQ0NS40&#10;NyA0LjY3IDQ0NS41NCA0LjY3IDQ0NS42IDQuNjdMNDQ1LjcgNC42N0M0NDUuNyA0LjY3IDQ0NS43&#10;IDQuNjcgNDQ1LjcgNC42NyA0NDYuMjYgNC42NiA0NDYuODEgNC42NSA0NDcuMzcgNC42NEw0NDcu&#10;NTEgNC42NEM0NDcuNTEgNC42NCA0NDcuNjMgNC42NCA0NDcuNjMgNC42NEw0NDguMzUgNC42NEM0&#10;NDguMzUgNC42NCA0NDguMTUgNC42NCA0NDguMTUgNC42NCA0NDkuMzggNC42IDQ1MC42MiA0LjU3&#10;IDQ1MS44NSA0LjU0IDQ1My44NCA0LjQ5IDQ1NS44MiA0LjQ0IDQ1Ny44MSA0LjQxTDQ1OC43NyA0&#10;LjQxQzQ1OS44MiA0LjM4IDQ2MC45IDQuMzYgNDYxLjk2IDQuNDFaIiBmaWxsPSIjRTNFODdCIi8+&#10;PHBhdGggZD0iTTQyOS44IDEuMzZDNDI5LjkgMS4zNiA0MzAuMDEgMS4zNiA0MzAuMTEgMS4zNiA0&#10;MzAuMDEgMS4zNiA0MjkuOSAxLjM2IDQyOS44IDEuMzZaTTM5MC45OSAwLjQ0QzM5MC45MyAwLjQ0&#10;IDM5MC44NiAwLjQ0IDM5MC44IDAuNDQgMzkwLjk0IDAuNDQgMzkxLjA4IDAuNDQgMzkxLjIxIDAu&#10;NDQgMzkxLjE0IDAuNDQgMzkxLjA2IDAuNDQgMzkwLjk5IDAuNDRaTTM4OS44NyAwLjQyIDM4OS44&#10;NyAwLjQyQzM5MCAwLjQyIDM5MC4xMiAwLjQyIDM5MC4yNSAwLjQyIDM5MC4xMyAwLjQyIDM5MCAw&#10;LjQyIDM4OS44OCAwLjQyWk0yNi45IDQuNDRDMjYuODQgNC40NCAyNi43NyA0LjQ0IDI2LjcxIDQu&#10;NDQgMjYuNzcgNC40NCAyNi44NCA0LjQ0IDI2LjkgNC40NFpNNDY2Ljk3IDEuODJDNDY4LjMxIDIu&#10;MDIgNDY5LjM3IDIuNzYgNDY5LjUxIDMuNzggNDY5LjU5IDQuMzUgNDY5LjM2IDQuOTMgNDY4Ljg3&#10;IDUuMzggNDY4LjM0IDUuODcgNDY3LjYzIDYuMSA0NjYuODEgNi4yMSA0NjUuMzggNi4zOSA0NjMu&#10;OTIgNi4zNCA0NjIuNDggNi4zMyA0NjAuNDMgNi4zMSA0NTguMzkgNi4yNyA0NTYuMzQgNi4yMiA0&#10;NTIuMDkgNi4xMyA0NDcuODQgNi4wMSA0NDMuNTggNS45MiA0MzQuMTMgNS43MyA0MjQuNjggNS40&#10;NSA0MTUuMjMgNS4yNSA0MTMuMzcgNS4yMSA0MTEuNTIgNS4xNyA0MDkuNjYgNS4xNCA0MDkuOTEg&#10;NS4xNCA0MTAuMTYgNS4xNCA0MTAuNDEgNS4xNSA0MDEuNTQgNC45OCAzOTIuNjcgNC43NiAzODMu&#10;NzkgNC41OCAzODMuOTcgNC41OCAzODQuMTYgNC41OCAzODQuMzQgNC41OSAzNzkuMjYgNC41IDM3&#10;NC4xOCA0LjQyIDM2OS4xIDQuMzggMzY0LjA4IDQuMzMgMzU5LjA2IDQuMzQgMzU0LjA0IDQuMzQg&#10;MzQ0LjAxIDQuMzQgMzMzLjk4IDQuMyAzMjMuOTUgNC4zIDMxNC4xNiA0LjMgMzA0LjM3IDQuMyAy&#10;OTQuNTcgNC4zNyAyODQuNzQgNC40MyAyNzQuOTEgNC40NyAyNjUuMDkgNC41OCAyNDUuMjMgNC43&#10;OSAyMjUuMzggNC45OSAyMDUuNTEgNC45OSAxOTUuNzUgNC45OSAxODUuOTkgNSAxNzYuMjMgNS4w&#10;MSAxNjUuODUgNS4wMiAxNTUuNDcgNC45OSAxNDUuMSA0Ljk2IDEzNS4xMyA0LjkzIDEyNS4xNyA0&#10;Ljg5IDExNS4yIDQuODcgMTA1LjMgNC44NSA5NS4zOSA0Ljg4IDg1LjQ5IDQuODcgNzUuMzUgNC44&#10;NSA2NS4yMSA0LjgzIDU1LjA3IDQuNzYgNDUuNTMgNC42OSAzNiA0LjY0IDI2LjQ2IDQuNDQgMjUu&#10;OSA0LjQzIDI1LjM0IDQuNDIgMjQuNzggNC40MSAyNC45OSA0LjQxIDI1LjIxIDQuNDEgMjUuNDIg&#10;NC40MiAyMC45NCA0LjMzIDE2LjQ2IDQuMjUgMTEuOTggNC4xMSA5LjczIDQuMDQgNy40NyAzLjk2&#10;IDUuMjIgMy44MiA0LjI0IDMuNzYgMy4yNCAzLjY5IDIuMjcgMy41NCAxLjU0IDMuNDMgMC43MiAz&#10;LjI5IDAuMjUgMi44Mi0wLjA5IDIuNDgtMC4xMSAxLjk1IDAuMjggMS42MiAwLjgxIDEuMTggMS41&#10;OSAxLjA3IDIuMzYgMC45OSAzLjQ4IDAuODggNC42MyAwLjg3IDUuNzYgMC44NSA3Ljk2IDAuOCAx&#10;MC4xNSAwLjc4IDEyLjM2IDAuNzcgMTcuMDcgMC43NCAyMS43OCAwLjc4IDI2LjQ5IDAuODEgMzYu&#10;MTEgMC44NyA0NS43MyAwLjc3IDU1LjM1IDAuNzMgNjUuMzUgMC42OSA3NS4zNCAwLjY3IDg1LjM0&#10;IDAuNjggOTUuMjMgMC42OCAxMDUuMTEgMC42MyAxMTUuMDEgMC42MiAxMzUuMzcgMC42IDE1NS43&#10;MyAwLjc1IDE3Ni4xIDAuNzQgMTk1LjkxIDAuNzQgMjE1LjcyIDAuNjYgMjM1LjUzIDAuNTggMjU1&#10;LjIxIDAuNTEgMjc0Ljg5IDAuMiAyOTQuNTYgMC4wOCAzMTQuNDQtMC4wNCAzMzQuMzEgMC4wNCAz&#10;NTQuMTggMC4wOCAzNjUuOTQgMC4xMSAzNzcuNjkgMC4xOSAzODkuNDQgMC40MiAzODkuNTggMC40&#10;MiAzODkuNzIgMC40MiAzODkuODYgMC40MiAzODkuODYgMC40MiAzODkuODUgMC40MiAzODkuODQg&#10;MC40MiAzODkuODQgMC40MiAzODkuODYgMC40MiAzODkuODYgMC40MiAzODkuOTcgMC40MiAzOTAu&#10;MDggMC40MiAzOTAuMTkgMC40MiAzOTAuMzMgMC40MiAzOTAuNDYgMC40MiAzOTAuNTkgMC40MiAz&#10;OTAuNDcgMC40MiAzOTAuMzUgMC40MiAzOTAuMjMgMC40MiAzOTAuNDIgMC40MiAzOTAuNiAwLjQy&#10;IDM5MC43OSAwLjQzIDM5MC43NSAwLjQzIDM5MC43MSAwLjQzIDM5MC42NyAwLjQzIDM5MC43NyAw&#10;LjQzIDM5MC44OCAwLjQzIDM5MC45OCAwLjQzIDM5MS4xMyAwLjQzIDM5MS4yNyAwLjQzIDM5MS40&#10;MiAwLjQ0IDM5MS4zNSAwLjQ0IDM5MS4yOCAwLjQ0IDM5MS4yIDAuNDQgNDA0LjI0IDAuNyA0MTcu&#10;MjggMS4xMSA0MzAuMzIgMS4zN0w0MzAuMDkgMS4zN0M0MzAuNzYgMS4zNyA0MzEuNDIgMS4zOSA0&#10;MzIuMDkgMS40IDQzMS44NCAxLjQgNDMxLjU5IDEuNCA0MzEuMzQgMS4zOSA0MzcuODQgMS41MSA0&#10;NDQuMzUgMS42NiA0NTAuODYgMS42NSA0NTMuNzcgMS42NSA0NTYuNjcgMS42MSA0NTkuNTggMS42&#10;IDQ2MC43NCAxLjYgNDYxLjkgMS42IDQ2My4wNiAxLjYxIDQ2My43NyAxLjYxIDQ2NC40OCAxLjYx&#10;IDQ2NS4xOSAxLjY0IDQ2NS43OCAxLjY2IDQ2Ni4zNiAxLjcxIDQ2Ni45NCAxLjc5WiIgZmlsbD0i&#10;IzAxMDEwMSIvPjxwYXRoIGQ9Ik00NjguMSAzLjI4QzQ2OC41MyAzLjM5IDQ2OC45MiAzLjU1IDQ2&#10;OS4zIDMuNzIgNDcwLjMxIDQuMTcgNDcxLjI4IDQuNjYgNDcyLjIzIDUuMTYgNDczLjg4IDYuMDMg&#10;NDc1LjQ4IDYuOTUgNDc3LjA3IDcuODggNDgwLjI3IDkuNzQgNDgzLjQxIDExLjY4IDQ4Ni41NiAx&#10;My42IDQ4OS43MiAxNS41MyA0OTIuODcgMTcuNDYgNDk2LjA1IDE5LjM2IDQ5OS4yOCAyMS4yOCA1&#10;MDIuNTIgMjMuMTkgNTA1Ljc4IDI1LjA5IDUxMi4yNCAyOC44NSA1MTguNzMgMzIuNTkgNTI1LjI3&#10;IDM2LjI4IDUzMS45NSA0MC4wNSA1MzguNTYgNDMuOSA1NDUuMTEgNDcuOCA1NTEuNjIgNTEuNjgg&#10;NTU4LjAzIDU1LjY2IDU2NC41IDU5LjU2IDU3MSA2My40OCA1NzcuNTcgNjcuMzMgNTg0LjA3IDcx&#10;LjI0IDU5MC40NSA3NS4wNyA1OTYuNzggNzguOTQgNjAzLjE1IDgyLjc4IDYwNS43MiA4NC4zMyA2&#10;MDguMjcgODUuODggNjEwLjg2IDg3LjQgNjEyLjA2IDg4LjExIDYxMy4yNyA4OC44IDYxNC40NCA4&#10;OS41MiA2MTUuMDUgODkuODkgNjE1LjY0IDkwLjI4IDYxNi4yNSA5MC42NiA2MTYuNTUgOTAuODUg&#10;NjE2Ljg0IDkxLjA0IDYxNy4xNCA5MS4yMyA2MTcuNjcgOTEuNTYgNjE4LjE0IDkxLjk1IDYxOC41&#10;OCA5Mi4zNSA2MTkuNDIgOTMuMTIgNjE5LjI5IDk0LjM0IDYxOC41IDk1LjA4IDYxNy43MiA5NS44&#10;MyA2MTYuMTYgOTYuMiA2MTQuOTggOTUuNzUgNjE0LjMzIDk1LjQ5IDYxMy43MiA5NS4yMSA2MTMu&#10;MTQgOTQuODcgNjEyLjc1IDk0LjY0IDYxMi4zNSA5NC40MSA2MTEuOTYgOTQuMTkgNjExLjIxIDkz&#10;Ljc2IDYxMC40OCA5My4zMyA2MDkuNzUgOTIuODkgNjA4LjI0IDkxLjk3IDYwNi43NiA5MS4wMyA2&#10;MDUuMjUgOTAuMTEgNjAyLjE0IDg4LjIyIDU5OSA4Ni4zNSA1OTUuODggODQuNDcgNTg5LjQyIDgw&#10;LjU3IDU4Mi45MyA3Ni43MSA1NzYuNDIgNzIuODYgNTY5Ljg5IDY4Ljk5IDU2My4zMiA2NS4xNyA1&#10;NTYuODQgNjEuMjYgNTUwLjM0IDU3LjMzIDU0My45MiA1My4zMyA1MzcuNCA0OS40MiA1MzEuMDIg&#10;NDUuNTggNTI0LjU4IDQxLjggNTE4LjEgMzguMDYgNTExLjU3IDM0LjMgNTA1LjAxIDMwLjU2IDQ5&#10;OC41MiAyNi43NiA0OTIuMDYgMjIuOTcgNDg1LjY5IDE5LjA4IDQ3OS40MSAxNS4xMiA0NzYuNzUg&#10;MTMuNDQgNDc0LjExIDExLjc1IDQ3MS40NyAxMC4wNSA0NzAuMjUgOS4yNiA0NjkuMDMgOC40OSA0&#10;NjcuODQgNy42OCA0NjcuMSA3LjE4IDQ2Ni4zNSA2LjY4IDQ2NS43MiA2LjEgNDY1LjMzIDUuNzUg&#10;NDY1LjAzIDUuMzMgNDY0Ljk1IDQuODcgNDY0LjkyIDQuNzEgNDY0LjkzIDQuNTUgNDY0Ljk1IDQu&#10;NCA0NjUuMDQgMy44NSA0NjUuNTUgMy40NyA0NjYuMTggMy4yMyA0NjYuNDYgMy4xMyA0NjYuNzYg&#10;My4xIDQ2Ny4wNiAzLjExIDQ2Ny40MSAzLjEyIDQ2Ny43NiAzLjIgNDY4LjA4IDMuMjhaIiBmaWxs&#10;PSIjMDEwMTAxIi8+PHBhdGggZD0iTTE3MS45IDE4OC40OUMxNzIgMTg4LjQ5IDE3Mi4wOSAxODgu&#10;NDkgMTcyLjE5IDE4OC40OSAxNzIuMDkgMTg4LjQ5IDE3MiAxODguNDkgMTcxLjkgMTg4LjQ5Wk0x&#10;NzAuMjIgMTg4LjQ2QzE3MC4wNyAxODguNDYgMTY5LjkyIDE4OC40NiAxNjkuNzggMTg4LjQ2IDE2&#10;OS44IDE4OC40NiAxNjkuODMgMTg4LjQ2IDE2OS44NSAxODguNDYgMTY5Ljk4IDE4OC40NiAxNzAu&#10;MTIgMTg4LjQ2IDE3MC4yNSAxODguNDYgMTcwLjI1IDE4OC40NiAxNzAuMjMgMTg4LjQ2IDE3MC4y&#10;MiAxODguNDZaTTE3MS4zMyAxODguNDhDMTcxLjI0IDE4OC40OCAxNzEuMTUgMTg4LjQ4IDE3MS4w&#10;NSAxODguNDggMTcxLjE0IDE4OC40OCAxNzEuMjMgMTg4LjQ4IDE3MS4zMyAxODguNDhaTTYxOS4x&#10;NiA5NS45MkM2MTkuMTYgOTUuOTIgNjE5LjE2IDk1Ljk1IDYxOS4xNiA5NS45NiA2MTkuMTYgOTUu&#10;OTUgNjE5LjE2IDk1Ljk0IDYxOS4xNiA5NS45MyA2MTkuMTYgOTUuOTMgNjE5LjE2IDk1LjkzIDYx&#10;OS4xNiA5NS45MlpNNjE3LjM3IDk0LjA4QzYxNy44NyA5NC4yMyA2MTguMzIgOTQuNDkgNjE4LjYz&#10;IDk0LjggNjE4Ljg4IDk1LjA1IDYxOS4wMiA5NS4zIDYxOS4xIDk1LjU3IDYxOS40MyA5Ni4xOSA2&#10;MTkuMzEgOTcgNjE4Ljk2IDk3LjU5IDYxOC42MiA5OC4xNiA2MTguMDIgOTguNTYgNjE3LjM3IDk4&#10;Ljk1IDYxNy4wMiA5OS4xNiA2MTYuNjcgOTkuMzcgNjE2LjMxIDk5LjU4IDYxNS41NyAxMDAuMDIg&#10;NjE0LjgyIDEwMC40NSA2MTQuMDcgMTAwLjg5IDYxMi4xNCAxMDIuMDIgNjEwLjI5IDEwMy4yMSA2&#10;MDguNDMgMTA0LjM4IDYwNS41MSAxMDYuMjIgNjAyLjU0IDEwOC4wMSA1OTkuNTIgMTA5Ljc2IDU5&#10;NS4zNiAxMTIuMTggNTkxLjE4IDExNC41OCA1ODcuMDUgMTE3LjAzIDU3OC41NCAxMjIuMDcgNTcw&#10;LjM4IDEyNy40MiA1NjIuMzkgMTMyLjg5IDU1Ny45NSAxMzUuOTQgNTUzLjUyIDEzOC45OSA1NDgu&#10;OTcgMTQxLjk1IDU0NC40IDE0NC45MiA1MzkuNzYgMTQ3Ljg1IDUzNS4wOCAxNTAuNzMgNTMwLjU5&#10;IDE1My41IDUyNi4wOCAxNTYuMjQgNTIxLjU0IDE1OC45NyA1MTcuOSAxNjEuMTcgNTE0LjI3IDE2&#10;My4zOCA1MTAuNjIgMTY1LjU3IDUwMy4wNCAxNzAuMSA0OTUuNTEgMTc0LjY5IDQ4Ny44MSAxNzku&#10;MTEgNDgzLjcgMTgxLjQ4IDQ3OS41OCAxODMuODQgNDc1LjI2IDE4NiA0NzIuOTkgMTg3LjE0IDQ3&#10;MC42IDE4OC4xNyA0NjguMTcgMTg5LjEzIDQ2Ni44MiAxODkuNjYgNDY1LjQxIDE5MC4xNSA0NjMu&#10;OTggMTkwLjU2IDQ2MS43OSAxOTEuMTcgNDU5LjQ4IDE5MS40MyA0NTcuMTYgMTkxLjU2IDQ1NC41&#10;MyAxOTEuNzEgNDUxLjkgMTkxLjc3IDQ0OS4yNiAxOTEuODUgNDQ0LjU3IDE5MiA0MzkuODggMTky&#10;LjA0IDQzNS4xOSAxOTIuMTIgNDI5LjY4IDE5Mi4yIDQyNC4xOCAxOTIuMzQgNDE4LjY3IDE5Mi41&#10;IDQwNi44MiAxOTIuODQgMzk0Ljk4IDE5My4yMSAzODMuMTEgMTkzLjMzIDM3MC44OCAxOTMuNDYg&#10;MzU4LjY0IDE5My41NyAzNDYuNCAxOTMuNDUgMzM0LjEzIDE5My4zMyAzMjEuODcgMTkzLjA3IDMw&#10;OS42MSAxOTIuNzcgMjk3LjI3IDE5Mi40NiAyODQuOTMgMTkyLjE4IDI3Mi42IDE5MS43OSAyNjAu&#10;NTcgMTkxLjQxIDI0OC41NSAxOTAuOTMgMjM2LjUzIDE5MC40NSAyMjUuNzYgMTkwLjAyIDIxNC45&#10;NyAxODkuNzIgMjA0LjE5IDE4OS4zOCAxOTMuNTIgMTg5LjA0IDE4Mi44NiAxODguNzMgMTcyLjE5&#10;IDE4OC41MSAxNzIuMzMgMTg4LjUxIDE3Mi40NyAxODguNTEgMTcyLjYgMTg4LjUxIDE3Mi4yNSAx&#10;ODguNTEgMTcxLjkgMTg4LjUgMTcxLjU1IDE4OC40OSAxNzEuMjkgMTg4LjQ5IDE3MS4wMyAxODgu&#10;NDkgMTcwLjc3IDE4OC40OCAxNzAuODQgMTg4LjQ4IDE3MC45MiAxODguNDggMTcwLjk5IDE4OC40&#10;OCAxNzAuOSAxODguNDggMTcwLjggMTg4LjQ4IDE3MC43MSAxODguNDggMTcwLjQ4IDE4OC40OCAx&#10;NzAuMjUgMTg4LjQ4IDE3MC4wMyAxODguNDcgMTcwLjEgMTg4LjQ3IDE3MC4xNiAxODguNDcgMTcw&#10;LjIzIDE4OC40NyAxNzAuMjUgMTg4LjQ3IDE3MC4yNiAxODguNDcgMTcwLjI4IDE4OC40NyAxNzAu&#10;MjggMTg4LjQ3IDE3MC4yNyAxODguNDcgMTcwLjI2IDE4OC40NyAxNzAuMjggMTg4LjQ3IDE3MC4y&#10;OSAxODguNDcgMTcwLjMxIDE4OC40NyAxNzAuMzggMTg4LjQ3IDE3MC40NCAxODguNDcgMTcwLjUx&#10;IDE4OC40NyAxNzAuMjkgMTg4LjQ3IDE3MC4wOCAxODguNDcgMTY5Ljg2IDE4OC40NkwxNjkuNTQg&#10;MTg4LjQ2QzE2OS42MiAxODguNDYgMTY5LjcxIDE4OC40NiAxNjkuNzkgMTg4LjQ2IDE1Ny44NiAx&#10;ODguMjMgMTQ1LjkyIDE4OC4wOSAxMzMuOTggMTg4LjAzIDEyMS43NyAxODcuOTcgMTA5LjU2IDE4&#10;OC4wOCA5Ny4zNSAxODguNDYgODUuMTEgMTg4Ljg1IDcyLjg5IDE4OS41NCA2MC42NSAxODkuODEg&#10;NTQuNzIgMTg5Ljk0IDQ4Ljc4IDE5MCA0Mi44NSAxOTAuMTMgMzcuMTUgMTkwLjI1IDMxLjQzIDE5&#10;MC4zMiAyNS43MyAxOTAuNTEgMjIuNjIgMTkwLjYxIDE5LjUxIDE5MC43OCAxNi4zOSAxOTAuOTEg&#10;MTUuMyAxOTAuOTYgMTQuMiAxOTAuOTkgMTMuMTEgMTkwLjk0IDExLjk4IDE5MC44OCAxMC43NSAx&#10;OTAuMzIgMTAuOTEgMTg5LjM4IDExLjA0IDE4OC42NyAxMS44OCAxODguMjQgMTIuNjggMTg3Ljk0&#10;IDEzLjQ5IDE4Ny42NSAxNC4zNCAxODcuNDQgMTUuMjEgMTg3LjI4IDE3LjkxIDE4Ni43NiAyMC42&#10;OSAxODYuNDUgMjMuNDYgMTg2LjIxIDI5LjE2IDE4NS43MSAzNC44OCAxODUuNTEgNDAuNjEgMTg1&#10;LjM0IDUyLjQ2IDE4NSA2NC4zIDE4NC42IDc2LjEyIDE4My45MSA4OC42MSAxODMuMTggMTAxLjA5&#10;IDE4Mi41IDExMy42MiAxODIuMzQgMTI1Ljc2IDE4Mi4xOCAxMzcuOSAxODIuMzQgMTUwLjA0IDE4&#10;Mi41NSAxNTYuMjUgMTgyLjY2IDE2Mi40NSAxODIuOCAxNjguNjYgMTgyLjk1IDE3NC42OCAxODMu&#10;MDkgMTgwLjcgMTgzLjIxIDE4Ni43MiAxODMuMzcgMTkyLjkzIDE4My41MyAxOTkuMTUgMTgzLjc0&#10;IDIwNS4zNiAxODMuOTQgMjExLjM3IDE4NC4xMyAyMTcuMzggMTg0LjI5IDIyMy4zOSAxODQuNDcg&#10;MjM1LjU0IDE4NC44MyAyNDcuNjggMTg1LjMzIDI1OS44MiAxODUuNzQgMjcyLjEgMTg2LjE2IDI4&#10;NC4zOCAxODYuNDcgMjk2LjY3IDE4Ni43NSAzMDcuMDkgMTg2Ljk4IDMxNy41MSAxODcuMjIgMzI3&#10;LjkyIDE4Ny40MyAzMjcuNTggMTg3LjQzIDMyNy4yNSAxODcuNDIgMzI2LjkxIDE4Ny40MSAzMjgg&#10;MTg3LjQzIDMyOS4xIDE4Ny40NSAzMzAuMTkgMTg3LjQ3IDMyOS44NSAxODcuNDcgMzI5LjUxIDE4&#10;Ny40NiAzMjkuMTcgMTg3LjQ1IDMzNS4xOSAxODcuNTcgMzQxLjIyIDE4Ny42NyAzNDcuMjQgMTg3&#10;LjY5IDM1My4zNyAxODcuNzEgMzU5LjQ5IDE4Ny42NyAzNjUuNjEgMTg3LjYyIDM3Ny41NiAxODcu&#10;NTMgMzg5LjUxIDE4Ny40OSA0MDEuNDUgMTg3LjI2IDQwNy41MSAxODcuMTQgNDEzLjU3IDE4Ni45&#10;NSA0MTkuNjIgMTg2Ljg0IDQyNS4xNCAxODYuNzQgNDMwLjY2IDE4Ni43IDQzNi4xOCAxODYuNTcg&#10;NDM4Ljc4IDE4Ni41IDQ0MS4zNyAxODYuNDIgNDQzLjk3IDE4Ni4zNSA0NDUuNzkgMTg2LjMgNDQ3&#10;LjYxIDE4Ni4yNiA0NDkuNDMgMTg2LjE4IDQ1MS45NCAxODYuMDcgNDU0LjQ1IDE4NS44OCA0NTYu&#10;OTQgMTg1LjY0IDQ1OC4yNyAxODUuNTEgNDU5LjYzIDE4NS40MSA0NjAuOTUgMTg1LjIyIDQ2MS43&#10;NCAxODUuMDcgNDYyLjUyIDE4NC44OCA0NjMuMjkgMTg0LjY3IDQ2NC40NSAxODQuMzYgNDY1LjU0&#10;IDE4My45NSA0NjYuNjMgMTgzLjUyIDQ3MS4wMyAxODEuNzMgNDc1LjA4IDE3OS41NyA0NzkuMDYg&#10;MTc3LjMyIDQ4My4wMyAxNzUuMDggNDg2Ljk1IDE3Mi43OSA0OTAuODMgMTcwLjQ2IDQ5OC4yIDE2&#10;Ni4wMyA1MDUuNSAxNjEuNTIgNTEyLjc1IDE1Ni45OCA1MjEuNTQgMTUxLjQ4IDUzMC4zNCAxNDUu&#10;OTkgNTM5LjA3IDE0MC40MyA1NDguMyAxMzQuNTUgNTU3LjE2IDEyOC4zOCA1NjYuMjQgMTIyLjM4&#10;IDU3My44OCAxMTcuMzMgNTgxLjggMTEyLjUyIDU4OS44NiAxMDcuODMgNTkzLjU5IDEwNS42NiA1&#10;OTcuMyAxMDMuNDggNjAxLjA3IDEwMS4zNiA2MDMuMzIgMTAwLjA5IDYwNS42IDk4Ljg1IDYwNy44&#10;MiA5Ny41NCA2MDguOTIgOTYuODkgNjEwIDk2LjI0IDYxMS4wOSA5NS41OSA2MTEuNTcgOTUuMzEg&#10;NjEyLjA1IDk1LjAzIDYxMi41MyA5NC43NSA2MTIuNzQgOTQuNjMgNjEyLjk2IDk0LjUgNjEzLjE3&#10;IDk0LjM4IDYxMy44OSA5My45NSA2MTQuODcgOTMuNzUgNjE1LjgyIDkzLjc5IDYxNi4zNyA5My44&#10;MSA2MTYuOSA5My45MSA2MTcuMzggOTQuMVoiIGZpbGw9IiMwMTAxMDEiLz48cGF0aCBkPSJNOS41&#10;MiAxODQuNDkgOS41NCAxODQuNTZDOS41NCAxODQuNTYgOS41NCAxODQuNTYgOS41NCAxODQuNTYg&#10;OS41OCAxODQuNzIgOS42MSAxODQuODcgOS42NSAxODUuMDMgOS42MSAxODQuODUgOS41NyAxODQu&#10;NjggOS41MyAxODQuNVpNMy4xMyAxLjcxQzMuNDYgMS45NyAzLjYyIDIuMjYgMy43MSAyLjYxIDMu&#10;ODMgMy4wOSAzLjkyIDMuNTcgMy45OSA0LjA2IDQuMTQgNC45NiA0LjI1IDUuODYgNC4zNyA2Ljc2&#10;IDQuNjEgOC42IDQuODcgMTAuNDQgNS4xIDEyLjI5IDUuNTcgMTYgNS44OSAxOS43MSA2LjE4IDIz&#10;LjQzIDYuNDggMjcuMjcgNi44NCAzMS4xMSA3LjE0IDM0Ljk1IDcuNDQgMzguODYgNy42NCA0Mi43&#10;NyA3LjggNDYuNjggNy45NSA1MC41NiA3Ljk5IDU0LjQzIDguMDcgNTguMzEgOC4xNSA2Mi4yNyA4&#10;LjMyIDY2LjIyIDguNTYgNzAuMTcgOC43OSA3My45OSA5LjA3IDc3LjgyIDkuMzUgODEuNjUgOS42&#10;MyA4NS42MSA5Ljg3IDg5LjU3IDEwLjA2IDkzLjU0IDEwLjI0IDk3LjM2IDEwLjQxIDEwMS4xNyAx&#10;MC41NCAxMDQuOTkgMTAuNjcgMTA4Ljg0IDEwLjc2IDExMi42OCAxMC45MSAxMTYuNTMgMTEuMDYg&#10;MTIwLjU5IDExLjIxIDEyNC42NSAxMS4zNCAxMjguNzEgMTEuNDcgMTMyLjU5IDExLjY1IDEzNi40&#10;OCAxMS44IDE0MC4zNiAxMi4wNyAxNDcuODkgMTIuMDggMTU1LjQxIDEyLjQ0IDE2Mi45MyAxMi41&#10;MyAxNjQuODIgMTIuNjIgMTY2LjcxIDEyLjc0IDE2OC42IDEyLjg0IDE3MC4zNCAxMi45OSAxNzIu&#10;MDggMTMuMTQgMTczLjgxIDEzLjM3IDE3Ni42NiAxMy41MyAxNzkuNTMgMTQuMSAxODIuMzYgMTQu&#10;MjEgMTgyLjkxIDE0LjMyIDE4My40NiAxNC40MyAxODQgMTQuNDkgMTg0LjIxIDE0LjU2IDE4NC40&#10;MyAxNC41NiAxODQuNjQgMTQuNTggMTg0Ljk1IDE0LjQ4IDE4NS4yNSAxNC4yOCAxODUuNTQgMTQu&#10;MTYgMTg1LjY3IDE0LjA0IDE4NS44IDEzLjkxIDE4NS45MyAxMy42IDE4Ni4xOCAxMy4yMyAxODYu&#10;MzUgMTIuOCAxODYuNDUgMTIuNiAxODYuNTEgMTIuMzggMTg2LjUzIDEyLjE3IDE4Ni41MyAxMS43&#10;NCAxODYuNTMgMTEuMzMgMTg2LjQ3IDEwLjk0IDE4Ni4zMyAxMC4zMyAxODYuMSA5Ljk0IDE4NS43&#10;MSA5LjcxIDE4NS4yNSA5LjYyIDE4NS4wOCA5LjYgMTg0Ljg5IDkuNTcgMTg0LjcgOS40OCAxODQu&#10;MzUgOS4zOSAxODQuMDEgOS4zMyAxODMuNjYgOS4yNyAxODMuMjcgOS4yMSAxODIuODkgOS4xNiAx&#10;ODIuNSA5LjAxIDE4MS4zMyA4Ljg2IDE4MC4xNSA4LjY5IDE3OC45OCA4LjIgMTc1LjU4IDguMTIg&#10;MTcyLjE1IDcuODMgMTY4Ljc0IDcuNjggMTY2Ljg1IDcuNSAxNjQuOTYgNy4zNyAxNjMuMDggNy4y&#10;NSAxNjEuMjQgNy4xOCAxNTkuNCA3LjExIDE1Ny41NiA2Ljk3IDE1My43NCA2Ljk5IDE0OS45MSA2&#10;Ljk0IDE0Ni4wOCA2Ljg5IDE0Mi4yNCA2LjcyIDEzOC40MSA2LjU3IDEzNC41NyA2LjQxIDEzMC42&#10;NiA2LjI5IDEyNi43NSA2LjE0IDEyMi44NCA1Ljk4IDExOC44OSA1Ljc5IDExNC45NCA1LjY3IDEx&#10;MC45OCA1LjU1IDEwNy4xNCA1LjQ1IDEwMy4zIDUuMjYgOTkuNDYgNS4wNyA5NS41MyA0Ljg5IDkx&#10;LjYxIDQuNiA4Ny42OCA0LjMyIDgzLjgxIDMuOTQgNzkuOTUgMy41OSA3Ni4wOCAzLjIzIDcyLjEg&#10;Mi45MSA2OC4xMSAyLjcgNjQuMTIgMi40OCA2MC4xOSAyLjQgNTYuMjcgMi4zMSA1Mi4zNCAyLjEy&#10;IDQ0LjY2IDEuNyAzNi45OCAxLjI0IDI5LjMxIDEuMDEgMjUuNTIgMC44MyAyMS43MiAwLjY4IDE3&#10;LjkzIDAuNjEgMTYuMSAwLjU0IDE0LjI4IDAuNDkgMTIuNDUgMC40NCAxMC42IDAuMzkgOC43NSAw&#10;LjQ3IDYuOSAwLjUxIDUuOTkgMC41NiA1LjA5IDAuNjUgNC4xOSAwLjcgMy43MyAwLjc2IDMuMjcg&#10;MC44NCAyLjgxIDAuOTEgMi40NiAxLjA0IDIuMDkgMS4zNyAxLjgxIDEuNjIgMS42MSAyLjAyIDEu&#10;NDkgMi40MSAxLjUxIDIuNjkgMS41MiAyLjk1IDEuNiAzLjE0IDEuNzVaIiBmaWxsPSIjMDEwMTAx&#10;Ii8+PHBhdGggZD0iTTUzNy41MyAxNzIuMjRDNTM3LjUzIDE3Mi4yNCA1MzcuNTMgMTcyLjI0IDUz&#10;Ny41MyAxNzIuMjQgNTM3LjUzIDE3Mi4yNCA1MzcuNTIgMTcyLjI0IDUzNy41MSAxNzIuMjUgNTM3&#10;LjUxIDE3Mi4yNSA1MzcuNTEgMTcyLjI1IDUzNy41MSAxNzIuMjUgNTM3LjUxIDE3Mi4yNSA1Mzcu&#10;NTMgMTcyLjI0IDUzNy41MyAxNzIuMjNaTTU4MC4yMyAxMzYuMDJDNTgwLjExIDEzNi4wOSA1Nzku&#10;OTkgMTM2LjE3IDU3OS44NyAxMzYuMjUgNTc5Ljk5IDEzNi4xNyA1ODAuMSAxMzYuMSA1ODAuMjMg&#10;MTM2LjAyWk02MjcuNTUgMTEwLjQ5QzYyNy41MSAxMTAuNzkgNjI3LjQ2IDExMS4wOSA2MjcuNDIg&#10;MTExLjQgNjI0LjE2IDExMy43OCA2MjAuNzkgMTE2LjA5IDYxNy40IDExOC4zOCA2MTMuOSAxMjAu&#10;NzUgNjEwLjM0IDEyMy4wNyA2MDYuODMgMTI1LjQzIDYwMy4yMSAxMjcuODYgNTk5LjU4IDEzMC4y&#10;OSA1OTUuOTQgMTMyLjcxIDU5MC4wNSAxMzYuNjIgNTg0LjE3IDE0MC41MyA1NzguMTcgMTQ0LjM1&#10;IDU3OC40IDE0NC4yIDU3OC42NCAxNDQuMDUgNTc4Ljg3IDE0My45IDU3NS44MyAxNDUuODQgNTcy&#10;Ljc0IDE0Ny43NSA1NjkuNjcgMTQ5LjY4IDU2OS45IDE0OS41NCA1NzAuMTIgMTQ5LjM5IDU3MC4z&#10;NCAxNDkuMjUgNTcwLjAzIDE0OS40NSA1NjkuNzMgMTQ5LjY0IDU2OS40MiAxNDkuODQgNTY5LjQz&#10;IDE0OS44NCA1NjkuNDQgMTQ5LjgzIDU2OS40NSAxNDkuODIgNTYyLjA1IDE1NC41NCA1NTUuMzUg&#10;MTU5Ljc4IDU0OC40NSAxNjQuODggNTQ1LjE3IDE2Ny4zMSA1NDEuNyAxNjkuNTkgNTM4LjE5IDE3&#10;MS44MyA1MzguMjYgMTcxLjc5IDUzOC4zMiAxNzEuNzUgNTM4LjM4IDE3MS43MSA1MzguMiAxNzEu&#10;ODIgNTM4LjAxIDE3MS45NCA1MzcuODMgMTcyLjA2IDUzNy44MyAxNzIuMDYgNTM3LjgzIDE3Mi4w&#10;NiA1MzcuODMgMTcyLjA2IDUzNy44MyAxNzIuMDYgNTM3LjgyIDE3Mi4wNiA1MzcuODEgMTcyLjA3&#10;IDUzNy44MSAxNzIuMDcgNTM3Ljc5IDE3Mi4wOCA1MzcuNzggMTcyLjA5IDUzNy43OCAxNzIuMDkg&#10;NTM3Ljc4IDE3Mi4wOSA1MzcuNzggMTcyLjA5IDUzNy43NyAxNzIuMDkgNTM3Ljc2IDE3Mi4xIDUz&#10;Ny43NSAxNzIuMTEgNTM3LjczIDE3Mi4xMyA1MzcuNyAxNzIuMTQgNTM3LjY4IDE3Mi4xNiA1Mzcu&#10;NjYgMTcyLjE4IDUzNy42MyAxNzIuMTkgNTM3LjYxIDE3Mi4yMSA1MzcuNjMgMTcyLjIgNTM3LjY1&#10;IDE3Mi4xOCA1MzcuNjggMTcyLjE3IDUzNy42NSAxNzIuMTkgNTM3LjYxIDE3Mi4yMSA1MzcuNTgg&#10;MTcyLjIzIDUzNy41OCAxNzIuMjMgNTM3LjU5IDE3Mi4yMyA1MzcuNiAxNzIuMjIgNTM3LjQ1IDE3&#10;Mi4zMSA1MzcuMzEgMTcyLjQxIDUzNy4xNiAxNzIuNSA1MzcuMjcgMTcyLjQzIDUzNy4zNyAxNzIu&#10;MzYgNTM3LjQ4IDE3Mi4yOSA1MzcuNDggMTcyLjI5IDUzNy40OCAxNzIuMjkgNTM3LjQ4IDE3Mi4y&#10;OSA1MzcuNDggMTcyLjI5IDUzNy40OCAxNzIuMjkgNTM3LjQ4IDE3Mi4yOUw1MzcuNSAxNzIuMjlD&#10;NTM3LjUgMTcyLjI5IDUzNy41IDE3Mi4yOSA1MzcuNSAxNzIuMjkgNTM3LjUgMTcyLjI5IDUzNy41&#10;IDE3Mi4yOSA1MzcuNDkgMTcyLjI5IDUzNy40OSAxNzIuMjkgNTM3LjQ5IDE3Mi4yOSA1MzcuNDkg&#10;MTcyLjI5IDUzNy40OSAxNzIuMjkgNTM3LjQ5IDE3Mi4yOSA1MzcuNDkgMTcyLjI5IDUyOS44OCAx&#10;NzcuMTYgNTIyLjA5IDE4MS44NiA1MTQuMTcgMTg2LjQ2IDUxMC4zNCAxODguNjggNTA2LjQ2IDE5&#10;MC44NSA1MDIuNTggMTkzLjAzIDQ5OC44NCAxOTUuMTQgNDk1LjA1IDE5Ny4yMSA0OTEuMjQgMTk5&#10;LjI2IDQ4OC41OSAyMDAuNjkgNDg1LjkyIDIwMi4xIDQ4My4yOCAyMDMuNTUgNDgyLjAxIDIwNC4y&#10;NSA0ODAuNzQgMjA0Ljk2IDQ3OS40OCAyMDUuNjYgNDc4LjkzIDIwNS45NyA0NzguMzcgMjA2LjI4&#10;IDQ3Ny44MiAyMDYuNTkgNDc2Ljk1IDIwNy4wOCA0NzYuMTMgMjA3LjYyIDQ3NS4wNiAyMDcuODUg&#10;NDczLjc0IDIwOC4xMyA0NzIuMzYgMjA3Ljk4IDQ3MS4zMSAyMDcuMyA0NzAuMDkgMjA2LjUxIDQ2&#10;OS41OCAyMDUuMDMgNDcwLjQ0IDIwMy45NiA0NzAuNjggMjAzLjY2IDQ3MC45IDIwMy4zNSA0NzEu&#10;MjUgMjAzLjExIDQ3MS41NyAyMDIuOSA0NzEuOSAyMDIuNjggNDcyLjI0IDIwMi40OCA0NzIuNDUg&#10;MjAyLjM2IDQ3Mi42NiAyMDIuMjQgNDcyLjg2IDIwMi4xMyA0NzMuMjMgMjAxLjkyIDQ3My42IDIw&#10;MS43MSA0NzMuOTggMjAxLjUgNDc0LjgxIDIwMS4wNCA0NzUuNjQgMjAwLjU4IDQ3Ni40NyAyMDAu&#10;MTMgNDc4LjMxIDE5OS4xMiA0ODAuMTUgMTk4LjEyIDQ4MS45OSAxOTcuMTEgNDg1Ljc5IDE5NS4w&#10;MyA0ODkuNjIgMTkyLjk3IDQ5My40OCAxOTAuOTQgNDk3LjQyIDE4OC44NiA1MDEuMjkgMTg2Ljcz&#10;IDUwNS4xNiAxODQuNTggNTA4Ljk5IDE4Mi40NSA1MTIuODQgMTgwLjM1IDUxNi42NyAxNzguMjIg&#10;NTE5Ljg0IDE3Ni40NiA1MjIuOTQgMTc0LjY0IDUyNi4wMiAxNzIuOCA1MjguODYgMTcxLjExIDUz&#10;MS42OSAxNjkuNDEgNTM0LjQ2IDE2Ny42NyA1MzguMDMgMTY1LjM4IDU0MS40OCAxNjIuOTggNTQ0&#10;Ljg2IDE2MC41NCA1NDguMzQgMTU4LjAzIDU1MS43MyAxNTUuNDUgNTU1LjIgMTUyLjk0IDU1OC4x&#10;OCAxNTAuNzcgNTYxLjE3IDE0OC42MSA1NjQuMjMgMTQ2LjUgNTY3LjQzIDE0NC4yOCA1NzAuNyAx&#10;NDIuMTIgNTc0LjAxIDE0MEw1NzQuMDEgMTQwQzU3NC4wMSAxNDAgNTc0LjAxIDE0MCA1NzQuMDEg&#10;MTQwIDU3NC4wOCAxMzkuOTYgNTc0LjE1IDEzOS45MSA1NzQuMjEgMTM5Ljg3IDU3NC4yMSAxMzku&#10;ODcgNTc0LjE5IDEzOS44OCA1NzQuMTggMTM5Ljg5IDU3NC4yMiAxMzkuODYgNTc0LjI3IDEzOS44&#10;MyA1NzQuMzEgMTM5LjgxIDU3NC4yOSAxMzkuODIgNTc0LjI3IDEzOS44NCA1NzQuMjUgMTM5Ljg1&#10;IDU3NC4zIDEzOS44MSA1NzQuMzYgMTM5Ljc4IDU3NC40MSAxMzkuNzQgNTc0LjU1IDEzOS42NSA1&#10;NzQuNyAxMzkuNTYgNTc0Ljg0IDEzOS40NyA1NzQuODIgMTM5LjQ4IDU3NC44IDEzOS40OSA1NzQu&#10;NzkgMTM5LjUgNTc2LjE2IDEzOC42MyA1NzcuNTQgMTM3Ljc2IDU3OC45MSAxMzYuODkgNTc4Ljk0&#10;IDEzNi44NyA1NzguOTYgMTM2Ljg2IDU3OC45OSAxMzYuODQgNTc4Ljk2IDEzNi44NiA1NzguOTQg&#10;MTM2Ljg3IDU3OC45MSAxMzYuODkgNTc5LjA1IDEzNi44IDU3OS4yIDEzNi43MSA1NzkuMzQgMTM2&#10;LjYyIDU3OS40MSAxMzYuNTggNTc5LjQ3IDEzNi41MyA1NzkuNTQgMTM2LjQ5TDU3OS41MyAxMzYu&#10;NDlDNTgzLjMgMTM0LjA4IDU4NyAxMzEuNjEgNTkwLjY5IDEyOS4xMyA1OTQuMjcgMTI2LjczIDU5&#10;Ny44IDEyNC4yOCA2MDEuMzggMTIxLjg3IDYwNC45OCAxMTkuNDUgNjA4LjYyIDExNy4wNiA2MTIu&#10;MzEgMTE0LjcgNjEyLjU0IDExNC41NSA2MTIuNzcgMTE0LjQxIDYxMyAxMTQuMjYgNjE3LjU0IDEx&#10;MS4zNiA2MjIuMzEgMTA4LjY2IDYyNi44OCAxMDUuNzggNjI2LjkyIDEwNS43NiA2MjYuOTUgMTA1&#10;LjczIDYyNi45OSAxMDUuNzEgNjI2Ljk5IDEwNS43MSA2MjYuOTggMTA1LjcxIDYyNi45NyAxMDUu&#10;NzIgNjI2Ljk3IDEwNS43MiA2MjYuOTggMTA1LjcyIDYyNi45OSAxMDUuNzEgNjI3LjM1IDEwNS40&#10;OCA2MjcuNyAxMDUuMjUgNjI4LjA2IDEwNS4wMiA2MjcuOTIgMTA2Ljg1IDYyNy44IDEwOC42OSA2&#10;MjcuNTUgMTEwLjUxWiIgZmlsbD0iIzAxMDEwMSIvPjxwYXRoIGQ9Ik00NzQuMTggMjA1LjQ1QzQ3&#10;NC45OCAyMDUuOTUgNDc1LjQ4IDIwNi42NyA0NzUuNTcgMjA3LjQzIDQ3NS42NyAyMDguMjIgNDc1&#10;LjMyIDIwOS4wMiA0NzQuNjEgMjA5LjYyIDQ3NC4zNSAyMDkuNzkgNDc0LjEgMjA5Ljk2IDQ3My44&#10;NCAyMTAuMTMgNDczLjI1IDIxMC40MyA0NzIuNiAyMTAuNiA0NzEuOSAyMTAuNjQgNDcxLjM3IDIx&#10;MC43MiA0NzAuOCAyMTAuNzIgNDcwLjI2IDIxMC43NCA0NjkuNjUgMjEwLjc3IDQ2OS4wMyAyMTAu&#10;NzkgNDY4LjQyIDIxMC44MiA0NjcgMjEwLjg3IDQ2NS41OCAyMTAuOSA0NjQuMTYgMjEwLjkzIDQ2&#10;MC4yMyAyMTEuMDIgNDU2LjMgMjExLjA0IDQ1Mi4zNyAyMTEuMDYgNDQzLjg1IDIxMS4wOSA0MzUu&#10;MzMgMjExLjEzIDQyNi44IDIxMS4wNyA0MTMuMjMgMjEwLjk4IDM5OS42OSAyMTAuMzkgMzg2LjE1&#10;IDIwOS43OSAzODEuMzQgMjA5LjU4IDM3Ni41MyAyMDkuMzcgMzcxLjcyIDIwOS4xOCAzNjkuOTgg&#10;MjA5LjExIDM2OC4yNSAyMDkuMDUgMzY2LjUxIDIwOC45OSAzNDguNjQgMjA4LjQgMzMwLjc1IDIw&#10;OC4xNyAzMTIuODggMjA3LjYxIDMwMC4wNCAyMDcuMjEgMjg3LjIxIDIwNi42IDI3NC4zOCAyMDYu&#10;MTUgMjc0Ljc3IDIwNi4xNiAyNzUuMTYgMjA2LjE4IDI3NS41NSAyMDYuMTkgMjY2LjEzIDIwNS44&#10;NyAyNTYuNzEgMjA1LjU4IDI0Ny4yOCAyMDUuNCAyMzguMzMgMjA1LjIzIDIyOS4zNyAyMDUuMTUg&#10;MjIwLjQxIDIwNS4wNSAyMTEuNDkgMjA0Ljk2IDIwMi41NyAyMDQuOSAxOTMuNjYgMjA1LjA2IDE4&#10;NC40IDIwNS4yMyAxNzUuMTQgMjA1LjU1IDE2NS44OCAyMDUuODkgMTU2LjY5IDIwNi4yMyAxNDcu&#10;NTEgMjA2LjYzIDEzOC4zMSAyMDYuODcgMTI5LjM1IDIwNy4xIDEyMC4zOSAyMDcuMjIgMTExLjQz&#10;IDIwNy4zNCAxMDIuMDkgMjA3LjQ3IDkyLjc1IDIwNy41MyA4My40IDIwNy42NiA3OC44IDIwNy43&#10;MiA3NC4yIDIwNy43OSA2OS42IDIwNy44NCA2NS4wNiAyMDcuODkgNjAuNTIgMjA3Ljg4IDU1Ljk4&#10;IDIwNy45IDQ4Ljg5IDIwNy45MyA0MS44IDIwOC4wNSAzNC43MiAyMDguMDEgMzEuMjYgMjA3Ljk5&#10;IDI3Ljc4IDIwNy45NyAyNC4zNSAyMDcuNjIgMjMuMjEgMjA3LjUgMjIuMDUgMjA3LjMzIDIwLjk4&#10;IDIwNy4wMSAyMC4zNyAyMDYuODIgMTkuODUgMjA2LjU2IDE5LjQzIDIwNi4xOSAxOC43MyAyMDUu&#10;NTcgMTguNzQgMjA0LjQ0IDE5Ljc4IDIwMy45OSAyMC43MyAyMDMuNTggMjEuODUgMjAzLjcxIDIy&#10;LjkgMjAzLjcxIDI0LjcxIDIwMy43MiAyNi41MiAyMDMuNjkgMjguMzQgMjAzLjY1IDMwLjM5IDIw&#10;My42IDMyLjQ1IDIwMy41IDM0LjUgMjAzLjQxIDM2LjY5IDIwMy4zMiAzOC45IDIwMy4yMyA0MS4w&#10;OSAyMDMuMTUgNDkuOTggMjAyLjgyIDU4Ljg3IDIwMi40NyA2Ny43NiAyMDIuMjQgODYuMDYgMjAx&#10;Ljc1IDEwNC4zNiAyMDEuNDEgMTIyLjY3IDIwMSAxMjcuMjYgMjAwLjkgMTMxLjg1IDIwMC43OSAx&#10;MzYuNDQgMjAwLjY2IDE0MC45MSAyMDAuNTMgMTQ1LjM3IDIwMC4zMyAxNDkuODQgMjAwLjE1IDE1&#10;OS4yMyAxOTkuNzYgMTY4LjYzIDE5OS4zMSAxNzguMDMgMTk5LjAyIDE4Ny4wMyAxOTguNzQgMTk2&#10;LjA0IDE5OC41NCAyMDUuMDUgMTk4LjU3IDIxMy45OCAxOTguNiAyMjIuOTEgMTk4LjczIDIzMS44&#10;MyAxOTguODQgMjUwLjgyIDE5OS4wNiAyNjkuOCAxOTkuNjYgMjg4Ljc3IDIwMC4zNyAyOTQuMDEg&#10;MjAwLjU3IDI5OS4yNCAyMDAuNzYgMzA0LjQ4IDIwMC45NCAzMDQuMTkgMjAwLjkzIDMwMy45IDIw&#10;MC45MiAzMDMuNjEgMjAwLjkxIDMwNC40IDIwMC45NCAzMDUuMTkgMjAwLjk2IDMwNS45OCAyMDAu&#10;OTkgMzIzLjk3IDIwMS41OSAzNDEuOTggMjAxLjgxIDM1OS45OCAyMDIuMzQgMzY4LjA5IDIwMi41&#10;OCAzNzYuMiAyMDIuODkgMzg0LjMxIDIwMy4yNSAzOTEuODMgMjAzLjU4IDM5OS4zNSAyMDMuOTQg&#10;NDA2Ljg3IDIwNC4yMSA0MTUuMzMgMjA0LjQ5IDQyMy44IDIwNC42NyA0MzIuMjcgMjA0Ljc5IDQ0&#10;MC44MSAyMDQuOTIgNDQ5LjM2IDIwNS4wNyA0NTcuOTEgMjA1IDQ2MC41MyAyMDQuOTggNDYzLjE2&#10;IDIwNC45NiA0NjUuNzggMjA0LjkxIDQ2Ni43NiAyMDQuODkgNDY3LjczIDIwNC44NiA0NjguNyAy&#10;MDQuODMgNDY5LjExIDIwNC44MiA0NjkuNTEgMjA0LjgxIDQ2OS45MiAyMDQuNzkgNDcwLjEzIDIw&#10;NC43OSA0NzAuMzQgMjA0Ljc3IDQ3MC41NSAyMDQuNzYgNDcxLjAxIDIwNC43MyA0NzEuNDYgMjA0&#10;Ljc2IDQ3MS45MiAyMDQuNzcgNDcyLjAzIDIwNC43NyA0NzIuMTQgMjA0Ljc3IDQ3Mi4yNSAyMDQu&#10;NzggNDcyLjk3IDIwNC44OCA0NzMuNiAyMDUuMSA0NzQuMTYgMjA1LjQ1WiIgZmlsbD0iIzAxMDEw&#10;MSIvPjxwYXRoIGQ9Ik00NjQuNTQgMTg1Ljc0QzQ2NS4yMiAxODYuNDkgNDY1LjcxIDE4Ny4zMyA0&#10;NjYuMTkgMTg4LjE1IDQ2Ni45NyAxODkuNDYgNDY3LjY4IDE5MC44IDQ2OC4zNSAxOTIuMTUgNDY5&#10;LjY1IDE5NC43NyA0NzAuOTMgMTk3LjQgNDcyLjE3IDIwMC4wMyA0NzIuNzYgMjAxLjI4IDQ3My4y&#10;OCAyMDIuNTMgNDczLjc3IDIwMy44IDQ3NCAyMDQuMzkgNDc0LjI1IDIwNC45NyA0NzQuNDkgMjA1&#10;LjU2IDQ3NC42OCAyMDYuMDMgNDc0Ljg2IDIwNi41MSA0NzQuOTkgMjA2Ljk5IDQ3NS4xMSAyMDcu&#10;NDggNDc1LjA4IDIwNy45OCA0NzQuOTcgMjA4LjQ3IDQ3NC43NSAyMDkuMzYgNDczLjg0IDIxMC4x&#10;MiA0NzIuNjUgMjEwLjQyIDQ3Mi4wNCAyMTAuNTggNDcxLjQxIDIxMC42MSA0NzAuNzcgMjEwLjUz&#10;IDQ3MC40NyAyMTAuNDYgNDcwLjE2IDIxMC4zOSA0NjkuODUgMjEwLjMyIDQ2OS4yOCAyMTAuMTIg&#10;NDY4LjgxIDIwOS44NCA0NjguNDUgMjA5LjQ3IDQ2Ny42IDIwOC43NyA0NjcuMjUgMjA3Ljg0IDQ2&#10;Ni44NiAyMDYuOTggNDY2LjUxIDIwNi4yMiA0NjYuMTEgMjA1LjQ3IDQ2NS43MSAyMDQuNzIgNDY0&#10;Ljk2IDIwMy4zMyA0NjQuMyAyMDEuOTEgNDYzLjYxIDIwMC41MSA0NjIuOTYgMTk5LjE5IDQ2Mi4z&#10;MiAxOTcuODggNDYxLjc1IDE5Ni41NCA0NjEuMTYgMTk1LjE1IDQ2MC42MyAxOTMuNzUgNDYwLjEx&#10;IDE5Mi4zNSA0NTkuNyAxOTEuMjcgNDU5LjMzIDE5MC4xOSA0NTguOTUgMTg5LjExIDQ1OC40MSAx&#10;ODcuNTYgNDU3LjM3IDE4NC45OSA0NjAuMjMgMTg0LjIxIDQ2MC42MiAxODQuMTEgNDYwLjk5IDE4&#10;NC4wNyA0NjEuMzUgMTg0LjA4IDQ2Mi43MSAxODQuMTMgNDYzLjg0IDE4NC45NSA0NjQuNTcgMTg1&#10;Ljc2WiIgZmlsbD0iIzAxMDEwMSIvPjxwYXRoIGQ9Ik0xMi41MiAxODMuMDFDMTMuNTMgMTgzLjEg&#10;MTQuMjggMTgzLjY5IDE0Ljg4IDE4NC4yMSAxNS4zNSAxODQuNjMgMTUuNjcgMTg1LjEyIDE1Ljkz&#10;IDE4NS42MiAxNi4zIDE4Ni4zMiAxNi41NyAxODcuMDcgMTYuODEgMTg3LjggMTcuMjggMTg5LjIg&#10;MTcuODYgMTkwLjU4IDE4LjU2IDE5MS45MyAxOS41OCAxOTMuOTEgMjAuNjUgMTk1Ljg4IDIxLjY0&#10;IDE5Ny44NyAyMi4zNyAxOTkuMzMgMjMuMDcgMjAwLjgxIDIzLjc3IDIwMi4yOCAyMy45MiAyMDIu&#10;NiAyNC4wNyAyMDIuOTMgMjQuMjMgMjAzLjI2IDI0LjMgMjAzLjQxIDI0LjM3IDIwMy41NSAyNC40&#10;NSAyMDMuNyAyNC42MSAyMDQuMDQgMjQuODYgMjA0LjQ1IDI0Ljg0IDIwNC43OSAyNC44OSAyMDUu&#10;MjEgMjQuNzggMjA1LjYgMjQuNTQgMjA1Ljk4IDI0LjI5IDIwNi4zNCAyMy45NCAyMDYuNjMgMjMu&#10;NDggMjA2Ljg2IDIzLjAyIDIwNy4wOCAyMi41MSAyMDcuMjEgMjEuOTUgMjA3LjI1IDIxLjE3IDIw&#10;Ny4zIDIwLjE2IDIwNy4xMyAxOS42IDIwNi43MSAxOS4wOCAyMDYuMzIgMTguOTQgMjA2LjIgMTgu&#10;NjMgMjA1LjcyIDE4LjU5IDIwNS42NiAxOC41NiAyMDUuNjEgMTguNTMgMjA1LjU2IDE4LjQ5IDIw&#10;NS41IDE4LjQ1IDIwNS40MyAxOC40MSAyMDUuMzYgMTguMzMgMjA1LjIzIDE4LjI2IDIwNS4xIDE4&#10;LjE5IDIwNC45NiAxOC4wMyAyMDQuNjcgMTcuODcgMjA0LjM5IDE3LjcyIDIwNC4xIDE3LjM2IDIw&#10;My40MyAxNy4wNSAyMDIuNzQgMTYuNzIgMjAyLjA1IDE1LjkyIDIwMC4zNiAxNS4xMyAxOTguNjcg&#10;MTQuMjQgMTk3IDEzLjY3IDE5NS45NSAxMy4wNiAxOTQuOTEgMTIuNDkgMTkzLjg3IDEyLjA2IDE5&#10;My4wNyAxMS42MyAxOTIuMjggMTEuMTcgMTkxLjQ4IDEwLjgzIDE5MC44OSAxMC41MSAxOTAuMyAx&#10;MC4xOCAxODkuNzEgOS43IDE4OC44NSA5LjM2IDE4Ny45NCA5LjEyIDE4Ny4wMyA4LjY5IDE4NS4z&#10;OSA5LjIzIDE4Mi44NyAxMi4yNyAxODIuOTkgMTIuMzUgMTgyLjk5IDEyLjQzIDE4Mi45OSAxMi41&#10;MiAxODMuMDFaIiBmaWxsPSIjMDEwMTAxIi8+PHBhdGggZD0iTTYxNy41OCA5Mi4zM0M2MTguMDcg&#10;OTIuMzUgNjE4LjU1IDkyLjU4IDYxOC45NCA5Mi43OCA2MTkuMzEgOTIuOTYgNjE5LjYgOTMuMjEg&#10;NjE5LjkgOTMuNDUgNjIwLjM2IDkzLjgxIDYyMC43MiA5NC4yMyA2MjEuMDcgOTQuNjUgNjIxLjk0&#10;IDk1LjczIDYyMi42NCA5Ni44NyA2MjMuMzQgOTggNjI0LjQ4IDk5Ljg1IDYyNS41MiAxMDEuNzMg&#10;NjI2LjU4IDEwMy42IDYyNy4xIDEwNC41MyA2MjcuNjEgMTA1LjQ2IDYyOC4xMSAxMDYuNCA2Mjgu&#10;NzMgMTA3LjU0IDYyOS4zNiAxMDguNyA2MjkuNzkgMTA5Ljg5IDYzMCAxMTAuNSA2MzAuMjIgMTEx&#10;LjEyIDYzMC4zIDExMS43NSA2MzAuMzcgMTEyLjMgNjMwLjMzIDExMi44NiA2MzAuMjIgMTEzLjQx&#10;IDYyOS45OSAxMTQuNDYgNjI5LjMyIDExNS4zOSA2MjguNDIgMTE2LjIyIDYyNy42IDExNi45OCA2&#10;MjYuNTYgMTE3LjY1IDYyNS41NSAxMTguMjggNjI0LjM4IDExOS4wMSA2MjMuMTUgMTE5LjY5IDYy&#10;MS45MiAxMjAuMzggNjIwLjY5IDEyMS4wNiA2MTkuNDcgMTIxLjc0IDYxOC4yMiAxMjIuNCA2MTYu&#10;OSAxMjMuMDkgNjE1LjU2IDEyMy43NiA2MTQuMjMgMTI0LjQ0IDYxMS41OCAxMjUuNzkgNjA4Ljkx&#10;IDEyNy4xMiA2MDYuMjMgMTI4LjQ1IDYwMy40NCAxMjkuODIgNjAwLjczIDEzMS4yNiA1OTguMSAx&#10;MzIuNzggNTk2LjU5IDEzMy42NSA1OTUuMDcgMTM0LjUyIDU5My41IDEzNS4zMyA1OTEuNzggMTM2&#10;LjIzIDU5MC4wNyAxMzcuMTIgNTg4LjQyIDEzOC4wOCA1ODcuNyAxMzguNSA1ODYuNTQgMTM4LjMg&#10;NTg2LjAzIDEzNy43OSA1ODUuNzcgMTM3LjUyIDU4NS42NiAxMzcuMTkgNTg1Ljc0IDEzNi44OCA1&#10;ODUuODIgMTM2LjU0IDU4Ni4wOCAxMzYuMzEgNTg2LjQ0IDEzNi4wOSA1ODcuNTQgMTM1LjQyIDU4&#10;OC42MyAxMzQuNzUgNTg5LjcgMTM0LjA1IDU4OS42NyAxMzQuMDcgNTg5LjYzIDEzNC4wOSA1ODku&#10;NiAxMzQuMTIgNTkyLjI2IDEzMi4zOSA1OTUuMDQgMTMwLjc1IDU5Ny43OCAxMjkuMDkgNjAwLjMx&#10;IDEyNy41NiA2MDIuOTYgMTI2LjE0IDYwNS42IDEyNC43IDYwNi44OSAxMjQgNjA4LjIxIDEyMy4z&#10;MSA2MDkuNSAxMjIuNjEgNjEwLjg0IDEyMS44OCA2MTIuMTYgMTIxLjEyIDYxMy40NyAxMjAuMzYg&#10;NjE0LjcyIDExOS42NCA2MTUuOTggMTE4LjkyIDYxNy4yNyAxMTguMjMgNjE4LjU2IDExNy41NCA2&#10;MTkuODcgMTE2Ljg5IDYyMS4xOCAxMTYuMjIgNjIxLjg0IDExNS44OCA2MjIuNDggMTE1LjU0IDYy&#10;My4wOSAxMTUuMTYgNjIzLjQ3IDExNC45IDYyMy44MiAxMTQuNjIgNjI0LjEzIDExNC4zMSA2MjQu&#10;MzQgMTE0LjA1IDYyNC41MiAxMTMuNzkgNjI0LjY3IDExMy41MSA2MjQuNzQgMTEzLjMxIDYyNC44&#10;IDExMy4xIDYyNC44MyAxMTIuOSA2MjQuODIgMTEyLjY4IDYyNC43OCAxMTIuNDUgNjI0LjcyIDEx&#10;Mi4yMyA2MjQuNTYgMTExLjgzIDYyNC4zNiAxMTEuNDUgNjI0LjE2IDExMS4wNiA2MjMuODcgMTEw&#10;LjUxIDYyMy42IDEwOS45NSA2MjMuMzIgMTA5LjM5IDYyMi43OSAxMDguMzMgNjIyLjI4IDEwNy4y&#10;NyA2MjEuNzMgMTA2LjIyIDYyMC43MiAxMDQuMjkgNjE5LjcgMTAyLjM2IDYxOC41NSAxMDAuNDcg&#10;NjE4LjI1IDk5Ljk3IDYxNy45NCA5OS40OCA2MTcuNjIgOTguOTkgNjE3LjIzIDk4LjM5IDYxNi44&#10;MSA5Ny43OSA2MTYuNDIgOTcuMTkgNjE2LjA1IDk2LjYyIDYxNS42NiA5Ni4wNCA2MTUuNDEgOTUu&#10;NDQgNjE1LjEyIDk0LjczIDYxNC44NyA5My44NyA2MTUuMzQgOTMuMTcgNjE1LjQ5IDkyLjk0IDYx&#10;NS43MiA5Mi43NSA2MTYuMDIgOTIuNTkgNjE2LjE4IDkyLjUzIDYxNi4zMyA5Mi40OCA2MTYuNDkg&#10;OTIuNDIgNjE2Ljc2IDkyLjM1IDYxNy4wNCA5Mi4zMiA2MTcuMzMgOTIuMzMgNjE3LjQxIDkyLjMz&#10;IDYxNy40OSA5Mi4zMyA2MTcuNTcgOTIuMzVaIiBmaWxsPSIjMDEwMTAxIi8+PHBhdGggZD0iTTI2&#10;LjY1IDE4OS4yNUMyNi43MSAxODkuMzQgMjYuNzMgMTg5LjQ1IDI2Ljc1IDE4OS41NCAyNi43OSAx&#10;ODkuNzIgMjYuODMgMTg5LjkgMjYuODggMTkwLjA3IDI3LjAxIDE5MC41MiAyNy4xNCAxOTAuOTgg&#10;MjcuMjggMTkxLjQ0IDI3LjU4IDE5Mi40MiAyNy45MSAxOTMuNCAyOC4yNSAxOTQuMzggMjguMjMg&#10;MTk0LjMzIDI4LjIxIDE5NC4yNyAyOC4xOSAxOTQuMjIgMjguNyAxOTUuNjIgMjkuMjUgMTk3LjAx&#10;IDI5LjgzIDE5OC40IDMwLjM3IDE5OS43MyAzMC45NCAyMDEuMDYgMzEuNDIgMjAyLjQgMzEuNzYg&#10;MjAzLjMzIDMyLjAyIDIwNC4yNiAzMi4yOSAyMDUuMTkgMzIuMzggMjA1LjQ5IDMxLjk1IDIwNS43&#10;OSAzMS40NyAyMDUuODkgMzEuMTYgMjA1Ljk1IDMwLjgyIDIwNS45NCAzMC41MyAyMDUuODUgMzAu&#10;MjcgMjA1Ljc3IDMwIDIwNS42MiAyOS45MyAyMDUuNDYgMjkuNjMgMjA0Ljc1IDI5LjI5IDIwNC4w&#10;NSAyOS4wMSAyMDMuMzQgMjguNzQgMjAyLjY2IDI4LjQ4IDIwMS45NyAyOC4yMiAyMDEuMjggMjcu&#10;NjggMTk5Ljg0IDI3LjE4IDE5OC40IDI2LjczIDE5Ni45NSAyNi4xMSAxOTQuOTYgMjUuNiAxOTIu&#10;OTYgMjQuOTEgMTkwLjk3IDI0LjkxIDE5MC45NyAyNC45MSAxOTAuOTggMjQuOTEgMTkwLjk5IDI0&#10;Ljc5IDE5MC42NyAyNC42OCAxOTAuMzQgMjQuNDkgMTkwLjAzIDI0LjQ0IDE4OS45NCAyNC4zNiAx&#10;ODkuODUgMjQuMjkgMTg5Ljc1IDI0LjIgMTg5LjYyIDI0LjE1IDE4OS40NSAyNC4yMiAxODkuMzEg&#10;MjQuMzcgMTg4Ljk5IDI0Ljc1IDE4OC43OCAyNS4zNCAxODguNzQgMjUuNDEgMTg4Ljc0IDI1LjQ3&#10;IDE4OC43NCAyNS41MyAxODguNzQgMjYuMDUgMTg4Ljc2IDI2LjQ1IDE4OC45OSAyNi42NCAxODku&#10;MjZaIiBmaWxsPSIjMDEwMTAxIi8+PHBhdGggZD0iTTM4LjkyIDE5Ni4yOUMzOC45MiAxOTYuMjkg&#10;MzguOTIgMTk2LjMgMzguOTIgMTk2LjMxIDM4LjkgMTk2LjI2IDM4Ljg4IDE5Ni4yMSAzOC44NiAx&#10;OTYuMTVMMzguOTEgMTk2LjI5Wk0zOC4zIDE4OC44M0MzOC42NiAxODguOTEgMzguOTQgMTg5LjEx&#10;IDM5LjE1IDE4OS4yOSAzOS4zNiAxODkuNDggMzkuNTEgMTg5LjcgMzkuNjYgMTg5LjkgMzkuOSAx&#10;OTAuMjMgNDAuMTIgMTkwLjU2IDQwLjMyIDE5MC44OSA0MC43NCAxOTEuNiA0MS4xMyAxOTIuMzEg&#10;NDEuNDkgMTkzLjAyIDQyLjE5IDE5NC40MSA0Mi43OCAxOTUuODEgNDMuMzMgMTk3LjIyIDQzLjU4&#10;IDE5Ny44NSA0My44MiAxOTguNDkgNDQuMDUgMTk5LjEzIDQ0LjAyIDE5OS4wMyA0My45OCAxOTgu&#10;OTQgNDMuOTUgMTk4Ljg0IDQ0LjAyIDE5OS4wNSA0NC4xIDE5OS4yNiA0NC4xNyAxOTkuNDcgNDQu&#10;MTQgMTk5LjM3IDQ0LjEgMTk5LjI4IDQ0LjA3IDE5OS4xOCA0NC40NiAyMDAuMjUgNDQuODIgMjAx&#10;LjMzIDQ1LjEyIDIwMi40MiA0NS4xNCAyMDIuNjEgNDUuMDggMjAyLjc5IDQ0LjkzIDIwMi45NiA0&#10;NC43MiAyMDMuMiA0NC4zNCAyMDMuMzkgNDMuODggMjAzLjQ3IDQyLjk4IDIwMy42NCA0MS44MyAy&#10;MDMuMzcgNDEuNTUgMjAyLjgyIDQwLjUgMjAwLjcxIDM5Ljc0IDE5OC41NiAzOC45NyAxOTYuNDEg&#10;MzguOTggMTk2LjQ0IDM4Ljk5IDE5Ni40NyAzOSAxOTYuNTEgMzguOTcgMTk2LjQ0IDM4Ljk1IDE5&#10;Ni4zNyAzOC45MyAxOTYuM0wzOC45MyAxOTYuMzNDMzguOTMgMTk2LjMzIDM4LjkzIDE5Ni4zIDM4&#10;LjkzIDE5Ni4yOCAzOC45IDE5Ni4yIDM4Ljg4IDE5Ni4xMiAzOC44NSAxOTYuMDQgMzguODYgMTk2&#10;LjA3IDM4Ljg3IDE5Ni4xMSAzOC44OCAxOTYuMTQgMzguODIgMTk1Ljk3IDM4Ljc2IDE5NS44IDM4&#10;LjcgMTk1LjY0IDM4LjcyIDE5NS42OSAzOC43NCAxOTUuNzQgMzguNzYgMTk1LjggMzguMzYgMTk0&#10;LjcyIDM3Ljk2IDE5My42NCAzNy41MyAxOTIuNTYgMzcuMzIgMTkyLjA0IDM3LjEyIDE5MS41MyAz&#10;Ni45MiAxOTEuMDEgMzYuNzkgMTkwLjY5IDM2LjY4IDE5MC4zNyAzNi41NiAxOTAuMDUgMzYuNDUg&#10;MTg5Ljc0IDM2LjQxIDE4OS40NCAzNi42NCAxODkuMTMgMzYuNzYgMTg4Ljk3IDM3LjA2IDE4OC44&#10;NCAzNy4zNSAxODguNzggMzcuNSAxODguNzUgMzcuNjUgMTg4Ljc0IDM3Ljc5IDE4OC43NSAzNy45&#10;NiAxODguNzUgMzguMTMgMTg4Ljc4IDM4LjMxIDE4OC44MloiIGZpbGw9IiMwMTAxMDEiLz48cGF0&#10;aCBkPSJNNTYuNTUgMTg4LjUxQzU2Ljg3IDE4OC42NCA1Ny4wMiAxODguOSA1Ny4xNCAxODkuMDkg&#10;NTcuMjYgMTg5LjI5IDU3LjM2IDE4OS40OCA1Ny40NiAxODkuNjggNTcuNjUgMTkwLjA5IDU3Ljg0&#10;IDE5MC41IDU4LjAyIDE5MC45MSA1OC40IDE5MS43NiA1OC43NiAxOTIuNjIgNTkuMSAxOTMuNDgg&#10;NTkuNzggMTk1LjIyIDYwLjQxIDE5Ni45NiA2MS4wNSAxOTguNyA2MS4wOCAxOTguNzkgNjEuMTEg&#10;MTk4Ljg4IDYxLjE1IDE5OC45NyA2MS4xMyAxOTguOTIgNjEuMTIgMTk4Ljg3IDYxLjEgMTk4Ljgy&#10;IDYxLjM1IDE5OS41MiA2MS42IDIwMC4yMiA2MS44MSAyMDAuOTIgNjIgMjAxLjU1IDYxLjg3IDIw&#10;Mi4xOCA2MS45MSAyMDIuODIgNjEuOTMgMjAzLjIyIDYxLjU0IDIwMy41OSA2MC44NiAyMDMuNzIg&#10;NjAuMDMgMjAzLjg4IDU5LjE5IDIwMy42MiA1OC44OCAyMDMuMTcgNTguNTkgMjAyLjc1IDU4LjI1&#10;IDIwMi4zNSA1Ny45NCAyMDEuOTMgNTcuOCAyMDEuNzQgNTcuNzMgMjAxLjUzIDU3LjY1IDIwMS4z&#10;MiA1Ny41MyAyMDEuMDMgNTcuNDMgMjAwLjczIDU3LjMyIDIwMC40MyA1Ny4wMSAxOTkuNTUgNTYu&#10;NzQgMTk4LjY4IDU2LjQ4IDE5Ny44IDU1Ljk2IDE5Ni4wNiA1NS41IDE5NC4zMiA1NS4wNSAxOTIu&#10;NTggNTQuODggMTkxLjkzIDU0LjcxIDE5MS4yOCA1NC41NiAxOTAuNjIgNTQuNDkgMTkwLjMxIDU0&#10;LjQyIDE4OS45OSA1NC4zOSAxODkuNjggNTQuMzUgMTg5LjMxIDU0LjI5IDE4OC44NyA1NC43NyAx&#10;ODguNTcgNTQuOTkgMTg4LjQzIDU1LjMxIDE4OC4zNCA1NS42NCAxODguMzMgNTUuNjkgMTg4LjMz&#10;IDU1Ljc1IDE4OC4zMyA1NS43OSAxODguMzMgNTYuMDkgMTg4LjMzIDU2LjMyIDE4OC40MSA1Ni41&#10;OCAxODguNTFaIiBmaWxsPSIjMDEwMTAxIi8+PHBhdGggZD0iTTcxLjU3IDE4Ny41N0M3Mi4yOCAx&#10;ODcuNzggNzIuNDcgMTg4LjI5IDcyLjY3IDE4OC42OSA3Mi44NSAxODkuMDUgNzIuOTkgMTg5LjQx&#10;IDczLjEzIDE4OS43OCA3My40NiAxOTAuNjIgNzMuNzcgMTkxLjQ2IDc0LjA3IDE5Mi4zMSA3NC42&#10;OSAxOTQuMDQgNzUuMjggMTk1Ljc4IDc1LjggMTk3LjUyIDc2LjE0IDE5OC42NCA3Ni40MiAxOTku&#10;NzcgNzYuNjggMjAwLjkgNzYuODEgMjAxLjQ3IDc2Ljk0IDIwMi4wNCA3Ny4wNCAyMDIuNjEgNzcu&#10;MDkgMjAyLjg4IDc3LjEzIDIwMy4xNSA3Ny4xNSAyMDMuNDIgNzcuMTkgMjAzLjgxIDc3LjEgMjA0&#10;LjIgNzcuMDUgMjA0LjU5IDc2Ljk4IDIwNC43OCA3Ni44MyAyMDQuOTUgNzYuNiAyMDUuMSA3Ni4y&#10;NyAyMDUuMzEgNzUuOCAyMDUuNDQgNzUuMyAyMDUuNDYgNzQuNDMgMjA1LjUgNzMuNjQgMjA1LjE5&#10;IDczLjM1IDIwNC43MyA3My4yMiAyMDQuNTMgNzMuMDkgMjA0LjMyIDcyLjk3IDIwNC4xMiA3Mi44&#10;MSAyMDMuODQgNzIuNzQgMjAzLjU0IDcyLjY0IDIwMy4yNCA3Mi41MSAyMDIuODYgNzIuNCAyMDIu&#10;NDcgNzIuMyAyMDIuMDggNzIuMDggMjAxLjI0IDcxLjg3IDIwMC4zOSA3MS42OCAxOTkuNTUgNzEu&#10;MyAxOTcuOSA3MC45NyAxOTYuMjQgNzAuNjcgMTk0LjU5IDcwLjQ2IDE5My40IDcwLjIzIDE5Mi4y&#10;MSA3MC4wMyAxOTEuMDIgNjkuOTQgMTkwLjQ4IDY5Ljg0IDE4OS45NCA2OS44IDE4OS40IDY5Ljc4&#10;IDE4OS4xMyA2OS43NyAxODguODYgNjkuNzggMTg4LjU5IDY5LjggMTg4LjIzIDY5Ljg4IDE4Ny44&#10;MyA3MC40NiAxODcuNjEgNzAuNjYgMTg3LjUzIDcwLjg5IDE4Ny41IDcxLjEyIDE4Ny41MSA3MS4y&#10;NyAxODcuNTEgNzEuNDEgMTg3LjU0IDcxLjU1IDE4Ny41N1oiIGZpbGw9IiMwMTAxMDEiLz48cGF0&#10;aCBkPSJNODkuNzggMTg4LjM4Qzg5LjgzIDE4OC40NCA4OS44OCAxODguNSA4OS45MiAxODguNTUg&#10;OTAuMDcgMTg4Ljc1IDkwLjE4IDE4OC45NSA5MC4yOSAxODkuMTYgOTAuNTYgMTg5LjY4IDkwLjcx&#10;IDE5MC4yMSA5MC44OCAxOTAuNzQgOTEuMTggMTkxLjY3IDkxLjQyIDE5Mi42MSA5MS42NyAxOTMu&#10;NTQgOTIuMTcgMTk1LjQgOTIuNjIgMTk3LjI4IDkzLjAzIDE5OS4xNSA5My4xOCAxOTkuODEgOTMu&#10;MzEgMjAwLjQ4IDkzLjQ1IDIwMS4xNCA5My41OCAyMDEuODMgOTMuNzQgMjAyLjUzIDkzLjc2IDIw&#10;My4yMyA5My43OCAyMDMuNzcgOTMuMjYgMjA0LjI3IDkyLjMyIDIwNC40NiA5MS43OCAyMDQuNTYg&#10;OTEuMTggMjA0LjU0IDkwLjY3IDIwNC4zOSA5MC4yMiAyMDQuMjYgODkuNzQgMjA0IDg5LjYyIDIw&#10;My43IDg5LjIgMjAyLjcxIDg5IDIwMS42OSA4OC43OCAyMDAuNjcgODguNTggMTk5LjczIDg4LjQx&#10;IDE5OC43OCA4OC4yNCAxOTcuODQgODcuOTEgMTk1Ljk2IDg3LjY2IDE5NC4wOSA4Ny40NCAxOTIu&#10;MjEgODcuMzYgMTkxLjUyIDg3LjI4IDE5MC44NCA4Ny4yNCAxOTAuMTUgODcuMjIgMTg5LjgxIDg3&#10;LjIyIDE4OS40NiA4Ny4yNSAxODkuMTIgODcuMjggMTg4Ljg2IDg3LjMyIDE4OC42NCA4Ny40OCAx&#10;ODguMzkgODcuNDMgMTg4LjA0IDg3Ljk2IDE4Ny43MyA4OC41NSAxODcuNzEgODguNiAxODcuNzEg&#10;ODguNjQgMTg3LjcxIDg4LjY5IDE4Ny43MSA4OS4zIDE4Ny43MyA4OS44MiAxODguMDMgODkuNzkg&#10;MTg4LjM4WiIgZmlsbD0iIzAxMDEwMSIvPjxwYXRoIGQ9Ik0xMDMuODcgMTg3LjM1QzEwNC40MyAx&#10;ODcuNTEgMTA0LjYxIDE4Ny44OSAxMDQuNzUgMTg4LjIxIDEwNC44OCAxODguNTEgMTA1IDE4OC44&#10;IDEwNS4xMyAxODkuMSAxMDUuMzkgMTg5LjczIDEwNS42MyAxOTAuMzYgMTA1Ljg4IDE5MC45OSAx&#10;MDYuMzggMTkyLjI1IDEwNi44NyAxOTMuNTIgMTA3LjM1IDE5NC43OSAxMDcuNDkgMTk1LjE3IDEw&#10;Ny42MyAxOTUuNTYgMTA3Ljc3IDE5NS45NCAxMDcuODIgMTk2LjA2IDEwNy44NSAxOTYuMTggMTA3&#10;LjkgMTk2LjMgMTA3Ljg3IDE5Ni4yMiAxMDcuODUgMTk2LjE1IDEwNy44MiAxOTYuMDcgMTA3Ljgy&#10;IDE5Ni4wNyAxMDcuODIgMTk2LjA3IDEwNy44MiAxOTYuMDcgMTA4LjY0IDE5OC4zNSAxMDkuMzkg&#10;MjAwLjY1IDEwOS42OCAyMDIuOTggMTA5LjczIDIwMy4zNiAxMDkuMzEgMjAzLjcxIDEwOC42OCAy&#10;MDMuODMgMTA3LjkzIDIwMy45OCAxMDcuMDUgMjAzLjc0IDEwNi44IDIwMy4zMSAxMDYuMDYgMjAy&#10;LjAyIDEwNS42IDIwMC42OSAxMDUuMTUgMTk5LjM3IDEwNC44MiAxOTguNDEgMTA0LjUyIDE5Ny40&#10;NCAxMDQuMjQgMTk2LjQ3IDEwNC4yMSAxOTYuNDEgMTA0LjE5IDE5Ni4zNCAxMDQuMTggMTk2LjI4&#10;IDEwNC4xMSAxOTYuMDMgMTA0LjAzIDE5NS43OCAxMDMuOTYgMTk1LjUyIDEwMy42IDE5NC4yMyAx&#10;MDMuMjYgMTkyLjk1IDEwMi45MyAxOTEuNjYgMTAyLjc3IDE5MS4wMiAxMDIuNiAxOTAuMzggMTAy&#10;LjQ0IDE4OS43NCAxMDIuMzcgMTg5LjQ0IDEwMi4zMSAxODkuMTMgMTAyLjI2IDE4OC44MiAxMDIu&#10;MjQgMTg4LjY4IDEwMi4yMiAxODguNTQgMTAyLjIyIDE4OC40IDEwMi4yMiAxODguMjIgMTAyLjIx&#10;IDE4OC4wNCAxMDIuMjkgMTg3Ljg3IDEwMi4zOSAxODcuNjcgMTAyLjUxIDE4Ny41MSAxMDIuODMg&#10;MTg3LjM4IDEwMy4wMSAxODcuMzEgMTAzLjI0IDE4Ny4yOCAxMDMuNDYgMTg3LjI4IDEwMy42MSAx&#10;ODcuMjggMTAzLjc1IDE4Ny4zMSAxMDMuODggMTg3LjM0WiIgZmlsbD0iIzAxMDEwMSIvPjxwYXRo&#10;IGQ9Ik0xMjIuMjIgMTg3LjM1QzEyMi45OSAxODcuNDggMTIzLjE1IDE4Ny45OCAxMjMuMjcgMTg4&#10;LjM3IDEyMy4zNyAxODguNzEgMTIzLjQ0IDE4OS4wNSAxMjMuNDkgMTg5LjQgMTIzLjYgMTkwLjEz&#10;IDEyMy42OCAxOTAuODYgMTIzLjc2IDE5MS41OSAxMjMuOTMgMTkzLjA2IDEyNC4xMiAxOTQuNTQg&#10;MTI0LjM3IDE5Ni4wMSAxMjQuNTMgMTk2Ljk1IDEyNC43MSAxOTcuODkgMTI0Ljg5IDE5OC44MyAx&#10;MjUuMDcgMTk5LjgxIDEyNS4yNSAyMDAuNzggMTI1LjI4IDIwMS43NiAxMjUuMyAyMDIuMjUgMTI0&#10;Ljg0IDIwMi42OSAxMjQgMjAyLjg1IDEyMy41MiAyMDIuOTQgMTIyLjk5IDIwMi45MiAxMjIuNTMg&#10;MjAyLjc5IDEyMi4xMyAyMDIuNjggMTIxLjY5IDIwMi40NCAxMjEuNTkgMjAyLjE4IDEyMS4yNiAy&#10;MDEuMzUgMTIxLjA2IDIwMC41MSAxMjAuOSAxOTkuNjcgMTIwLjc2IDE5OC45NSAxMjAuNjQgMTk4&#10;LjIzIDEyMC41NiAxOTcuNSAxMjAuMzkgMTk2LjAzIDEyMC4yOSAxOTQuNTYgMTIwLjMyIDE5My4w&#10;OSAxMjAuMzQgMTkyLjAzIDEyMC40MSAxOTAuOTcgMTIwLjU1IDE4OS45MiAxMjAuNjEgMTg5LjQ3&#10;IDEyMC43IDE4OS4wMiAxMjAuODEgMTg4LjU3IDEyMC44NyAxODguMzIgMTIwLjk2IDE4OC4wNyAx&#10;MjEuMTIgMTg3LjgzIDEyMS4xOSAxODcuNzIgMTIxLjI4IDE4Ny42MSAxMjEuNDIgMTg3LjUzIDEy&#10;MS41OSAxODcuNDMgMTIxLjg0IDE4Ny4zMyAxMjIuMSAxODcuMzQgMTIyLjE0IDE4Ny4zNCAxMjIu&#10;MTggMTg3LjM0IDEyMi4yMiAxODcuMzVaIiBmaWxsPSIjMDEwMTAxIi8+PHBhdGggZD0iTTEzNC4z&#10;MyAxODcuNjhDMTM0Ljk1IDE4Ny43NiAxMzUuMjIgMTg4LjE2IDEzNS4zNyAxODguNDcgMTM1LjU5&#10;IDE4OC45IDEzNS43IDE4OS4zNSAxMzUuODIgMTg5Ljc5IDEzNi4wNCAxOTAuNTUgMTM2LjE5IDE5&#10;MS4zMSAxMzYuMzIgMTkyLjA3IDEzNi42IDE5My42NiAxMzYuNzkgMTk1LjI1IDEzNyAxOTYuODQg&#10;MTM3LjIgMTk4LjM1IDEzNy40MSAxOTkuODcgMTM3LjU5IDIwMS4zOSAxMzcuNjggMjAyLjE2IDEz&#10;Ny43NCAyMDIuOTIgMTM3LjgyIDIwMy42OSAxMzcuOTEgMjA0LjUyIDEzOC4wMiAyMDUuMzUgMTM4&#10;LjE2IDIwNi4xOCAxMzguMjYgMjA2Ljc3IDEzNy40IDIwNy4zIDEzNi4zOCAyMDcuMzQgMTM1LjMy&#10;IDIwNy4zOCAxMzQuNDQgMjA2LjkyIDEzNC4zNCAyMDYuMzMgMTM0LjA2IDIwNC43MiAxMzMuNzMg&#10;MjAzLjExIDEzMy41MyAyMDEuNSAxMzMuMzMgMTk5LjkzIDEzMy4zMSAxOTguMzUgMTMzLjI3IDE5&#10;Ni43OCAxMzMuMjMgMTk1LjIxIDEzMy4yIDE5My42NCAxMzMuMTMgMTkyLjA4IDEzMy4wOSAxOTEu&#10;MzEgMTMzLjA1IDE5MC41NCAxMzMgMTg5Ljc3IDEzMi45OCAxODkuMzQgMTMyLjk1IDE4OC45MSAx&#10;MzMuMDIgMTg4LjQ5IDEzMy4wNyAxODguMTcgMTMzLjQ5IDE4Ny42NiAxMzQuMTcgMTg3LjY4IDEz&#10;NC4yMiAxODcuNjggMTM0LjI2IDE4Ny42OCAxMzQuMzEgMTg3LjY5WiIgZmlsbD0iIzAxMDEwMSIv&#10;PjxwYXRoIGQ9Ik0xNTAuMzUgMTg3LjQ4QzE1MC42NyAxODcuNjMgMTUwLjg0IDE4Ny44NiAxNTAu&#10;OTYgMTg4LjA4IDE1MS4xIDE4OC4zMiAxNTEuMTcgMTg4LjU3IDE1MS4yNCAxODguODIgMTUxLjM1&#10;IDE4OS4yMiAxNTEuNDIgMTg5LjYxIDE1MS40OSAxOTAuMDIgMTUxLjYyIDE5MC44MSAxNTEuNyAx&#10;OTEuNiAxNTEuNzggMTkyLjM4IDE1MS45NCAxOTQuMDEgMTUyLjAyIDE5NS42NSAxNTIuMDkgMTk3&#10;LjI5IDE1Mi4xNCAxOTguMzUgMTUyLjE5IDE5OS40MSAxNTIuMTggMjAwLjQ3IDE1Mi4xNyAyMDEu&#10;NTggMTUyLjEzIDIwMi42OCAxNTIuMiAyMDMuNzkgMTUyLjI0IDIwNC4zOSAxNTEuNDggMjA0Ljkz&#10;IDE1MC4zOSAyMDQuOTcgMTQ5LjM1IDIwNS4wMSAxNDguMzcgMjA0LjU1IDE0OC4zMSAyMDMuOTUg&#10;MTQ4LjE2IDIwMi4zIDE0Ny45IDIwMC42NiAxNDcuODggMTk5LjAxIDE0Ny44NSAxOTcuMzcgMTQ3&#10;LjkgMTk1Ljc0IDE0Ny45MiAxOTQuMTEgMTQ3Ljk0IDE5My4wNSAxNDcuOTUgMTkxLjk4IDE0Ny45&#10;NyAxOTAuOTIgMTQ3Ljk4IDE5MC40MiAxNDcuOTkgMTg5LjkyIDE0OC4wMSAxODkuNDIgMTQ4LjAz&#10;IDE4OS4wOCAxNDguMDMgMTg4Ljc1IDE0OC4xIDE4OC40MSAxNDguMTIgMTg4LjMgMTQ4LjE1IDE4&#10;OC4xOSAxNDguMiAxODguMDggMTQ4LjI4IDE4Ny45IDE0OC40IDE4Ny42OCAxNDguNjUgMTg3LjU0&#10;IDE0OC44OSAxODcuNDIgMTQ5LjEzIDE4Ny4zMyAxNDkuNDYgMTg3LjMxIDE0OS41MSAxODcuMzEg&#10;MTQ5LjU2IDE4Ny4zMSAxNDkuNiAxODcuMzEgMTQ5Ljg4IDE4Ny4zMSAxNTAuMTMgMTg3LjM4IDE1&#10;MC4zNCAxODcuNDhaIiBmaWxsPSIjMDEwMTAxIi8+PHBhdGggZD0iTTE2Ni42OSAxODcuMjRDMTY3&#10;LjExIDE4Ny40NSAxNjcuMTkgMTg3LjczIDE2Ny4yOCAxODguMDMgMTY3LjM0IDE4OC4yMiAxNjcu&#10;MzYgMTg4LjQyIDE2Ny4zOSAxODguNjIgMTY3LjQ0IDE4OS4wMyAxNjcuNDcgMTg5LjQzIDE2Ny41&#10;IDE4OS44MyAxNjcuNTYgMTkwLjYzIDE2Ny41OSAxOTEuNDIgMTY3LjYzIDE5Mi4yMiAxNjcuNzEg&#10;MTkzLjgxIDE2Ny44MSAxOTUuMzkgMTY3Ljg1IDE5Ni45NyAxNjcuODcgMTk3LjcgMTY3Ljg3IDE5&#10;OC40MiAxNjcuODEgMTk5LjE1IDE2Ny43NSAxOTkuOTIgMTY3LjY2IDIwMC42OCAxNjcuNjUgMjAx&#10;LjQ1IDE2Ny42NSAyMDEuNzUgMTY3LjUzIDIwMi4wMiAxNjcuMTcgMjAyLjI2IDE2Ni44NCAyMDIu&#10;NDcgMTY2LjM2IDIwMi42IDE2NS44NyAyMDIuNjIgMTY0Ljg0IDIwMi42NiAxNjMuODUgMjAyLjIg&#10;MTYzLjgxIDIwMS42IDE2My43NSAyMDAuNzYgMTYzLjYzIDE5OS45MiAxNjMuNTMgMTk5LjA4IDE2&#10;My40NSAxOTguMzIgMTYzLjQ1IDE5Ny41NiAxNjMuNDcgMTk2LjgxIDE2My41MSAxOTUuMTggMTYz&#10;LjYxIDE5My41NSAxNjMuNzEgMTkxLjkxIDE2My43NiAxOTEuMDkgMTYzLjg0IDE5MC4yNyAxNjMu&#10;OTUgMTg5LjQ1IDE2NCAxODkuMDkgMTY0LjA2IDE4OC43NCAxNjQuMTQgMTg4LjM4IDE2NC4xOSAx&#10;ODguMiAxNjQuMjUgMTg4LjAzIDE2NC4zNCAxODcuODYgMTY0LjQ1IDE4Ny42NSAxNjQuNTQgMTg3&#10;LjUzIDE2NC43NiAxODcuMzYgMTY0LjkzIDE4Ny4yMyAxNjUuMTUgMTg3LjE2IDE2NS40MSAxODcu&#10;MDkgMTY1LjU1IDE4Ny4wNSAxNjUuNzEgMTg3LjA0IDE2NS44NiAxODcuMDUgMTY2LjE2IDE4Ny4w&#10;NSAxNjYuNDYgMTg3LjEzIDE2Ni42NyAxODcuMjRaIiBmaWxsPSIjMDEwMTAxIi8+PHBhdGggZD0i&#10;TTE4Mi40IDE4Ny4wOEMxODIuNjIgMTg3LjExIDE4Mi43OCAxODcuMTcgMTgyLjkgMTg3LjI2IDE4&#10;My4wNyAxODcuMzYgMTgzLjE4IDE4Ny40OSAxODMuMjYgMTg3LjYzIDE4My4zMyAxODcuNzQgMTgz&#10;LjM1IDE4Ny44NyAxODMuMzkgMTg3Ljk4IDE4My40MyAxODguMDkgMTgzLjQ2IDE4OC4xOSAxODMu&#10;NDggMTg4LjMgMTgzLjU3IDE4OC43IDE4My42MiAxODkuMSAxODMuNjYgMTg5LjUgMTgzLjc0IDE5&#10;MC4yOSAxODMuNzYgMTkxLjA5IDE4My43NyAxOTEuODkgMTgzLjggMTkzLjU4IDE4My44MiAxOTUu&#10;MjggMTgzLjg1IDE5Ni45NyAxODMuODggMTk4LjI2IDE4My44MSAxOTkuNTUgMTgzLjg1IDIwMC44&#10;NCAxODMuODUgMjAxLjEyIDE4My43MyAyMDEuMzcgMTgzLjQgMjAxLjU4IDE4My4wOSAyMDEuNzgg&#10;MTgyLjY2IDIwMS45IDE4Mi4yIDIwMS45MSAxODEuMjYgMjAxLjk1IDE4MC4zNCAyMDEuNTIgMTgw&#10;LjMxIDIwMC45OCAxODAuMjYgMjAwLjEzIDE4MC4xOSAxOTkuMjcgMTgwLjE2IDE5OC40MiAxODAu&#10;MTMgMTk3LjYxIDE4MC4xNiAxOTYuNzkgMTgwLjIgMTk1Ljk3IDE4MC4yOCAxOTQuMzIgMTgwLjQg&#10;MTkyLjY4IDE4MC41NiAxOTEuMDMgMTgwLjYzIDE5MC4zMiAxODAuNzEgMTg5LjYxIDE4MC44MSAx&#10;ODguOSAxODAuODYgMTg4LjYgMTgwLjkxIDE4OC4yOSAxODEgMTg4IDE4MS4wOCAxODcuNzQgMTgx&#10;LjE5IDE4Ny40NCAxODEuNTQgMTg3LjI2IDE4MS41NCAxODcuMjYgMTgxLjU0IDE4Ny4yNiAxODEu&#10;NTQgMTg3LjI2IDE4MS43MSAxODcuMTQgMTgyIDE4Ny4wOCAxODIuMjcgMTg3LjA5IDE4Mi4zMSAx&#10;ODcuMDkgMTgyLjM1IDE4Ny4wOSAxODIuMzkgMTg3LjA5WiIgZmlsbD0iIzAxMDEwMSIvPjxwYXRo&#10;IGQ9Ik0xOTAuNjggMTg4LjNDMTkwLjY4IDE4OC4zIDE5MC42OCAxODguMyAxOTAuNjkgMTg4LjMg&#10;MTkwLjcgMTg4LjMgMTkwLjcyIDE4OC4zIDE5MC43MyAxODguM0wxOTAuNjggMTg4LjNaTTE5Mi42&#10;IDE4Ni44M0MxOTIuNiAxODYuODMgMTkyLjYgMTg2LjgzIDE5Mi42IDE4Ni44MyAxOTIuNiAxODYu&#10;ODMgMTkyLjYgMTg2LjgzIDE5Mi42IDE4Ni44M1pNMTkyLjU0IDE4Ni44MUMxOTIuNTQgMTg2Ljgx&#10;IDE5Mi41OSAxODYuODMgMTkyLjYxIDE4Ni44NCAxOTIuNjEgMTg2Ljg0IDE5Mi42MSAxODYuODQg&#10;MTkyLjYgMTg2Ljg0IDE5Mi41OCAxODYuODQgMTkyLjU2IDE4Ni44MyAxOTIuNTQgMTg2LjgyWk0x&#10;OTIuODYgMTg2LjkzQzE5Mi44NiAxODYuOTMgMTkyLjk0IDE4NyAxOTIuOTcgMTg3LjA0IDE5My4w&#10;NCAxODcuMDkgMTkzLjEgMTg3LjE0IDE5My4xNSAxODcuMiAxOTMuMzggMTg3LjQ1IDE5My41NSAx&#10;ODcuNyAxOTMuNjkgMTg3Ljk3IDE5My45NyAxODguNTMgMTk0LjExIDE4OS4xMiAxOTQuMjUgMTg5&#10;LjcgMTk0LjQ4IDE5MC42OSAxOTQuNTkgMTkxLjcgMTk0LjczIDE5Mi43IDE5NC44NiAxOTMuNzIg&#10;MTk0Ljk5IDE5NC43MyAxOTUuMTggMTk1Ljc1IDE5NS4yNyAxOTYuMjIgMTk1LjMzIDE5Ni43IDE5&#10;NS4zNyAxOTcuMTcgMTk1LjQxIDE5Ny44MSAxOTUuMjQgMTk4LjQzIDE5NS4wNiAxOTkuMDYgMTk0&#10;Ljg5IDE5OS42MyAxOTMuOTYgMjAwLjA2IDE5Mi45NiAyMDAuMSAxOTEuOSAyMDAuMTQgMTkxLjAx&#10;IDE5OS43NiAxOTAuNjUgMTk5LjIxIDE5MC40OSAxOTguOTcgMTkwLjMzIDE5OC43MiAxOTAuMTkg&#10;MTk4LjQ4IDE4OS45OSAxOTguMTMgMTg5Ljg5IDE5Ny43NyAxODkuNzkgMTk3LjQxIDE4OS42NSAx&#10;OTYuOTQgMTg5LjYgMTk2LjQ3IDE4OS41NiAxOTYgMTg5LjQ2IDE5NC45OSAxODkuNDIgMTkzLjk4&#10;IDE4OS4zNSAxOTIuOTcgMTg5LjI4IDE5MS45NSAxODkuMjUgMTkwLjkzIDE4OS4yNSAxODkuOTEg&#10;MTg5LjI1IDE4OS4zMyAxODkuMyAxODguNzUgMTg5LjM5IDE4OC4xNyAxODkuNDQgMTg3Ljg1IDE4&#10;OS41NiAxODcuNDYgMTg5Ljg2IDE4Ny4xNSAxODkuOTggMTg2Ljk1IDE5MC4yMSAxODYuNzcgMTkw&#10;LjU0IDE4Ni42NSAxOTAuODUgMTg2LjU0IDE5MS4yIDE4Ni40OSAxOTEuNTUgMTg2LjUgMTkyLjA4&#10;IDE4Ni41MiAxOTIuNTkgMTg2LjY3IDE5Mi44OSAxODYuOTNaIiBmaWxsPSIjMDEwMTAxIi8+PHBh&#10;dGggZD0iTTIwNi40OSAxODguNjRDMjA3LjAxIDE4OC44MSAyMDcuMzMgMTg5LjA1IDIwNy41MSAx&#10;ODkuMzggMjA3LjY2IDE4OS42NSAyMDcuNzQgMTg5Ljk0IDIwNy44MiAxOTAuMjIgMjA3Ljk2IDE5&#10;MC42OSAyMDguMDggMTkxLjE1IDIwOC4xOCAxOTEuNjIgMjA4LjM5IDE5Mi41NSAyMDguNTMgMTkz&#10;LjQ5IDIwOC42NSAxOTQuNDIgMjA4Ljc3IDE5NS4zNyAyMDguOTEgMTk2LjMyIDIwOS4wNCAxOTcu&#10;MjggMjA5LjEgMTk3LjczIDIwOS4xNiAxOTguMTcgMjA5LjE3IDE5OC42MiAyMDkuMTggMTk5LjA1&#10;IDIwOS4xNyAxOTkuNDggMjA5LjE3IDE5OS45MSAyMDkuMTcgMTk5Ljk3IDIwOS4xNyAyMDAuMDMg&#10;MjA5LjE3IDIwMC4xIDIwOS4xNyAyMDAuNCAyMDkuMDMgMjAwLjY4IDIwOC42NiAyMDAuOTIgMjA4&#10;LjMyIDIwMS4xMyAyMDcuODMgMjAxLjI2IDIwNy4zMyAyMDEuMjggMjA2LjggMjAxLjMgMjA2LjI4&#10;IDIwMS4xOSAyMDUuODkgMjAwLjk5IDIwNS40OSAyMDAuNzggMjA1LjMzIDIwMC41MyAyMDUuMjUg&#10;MjAwLjIzIDIwNSAxOTkuMzMgMjA0LjggMTk4LjQzIDIwNC43IDE5Ny41MiAyMDQuNjEgMTk2LjU5&#10;IDIwNC41MiAxOTUuNjUgMjA0LjQyIDE5NC43MiAyMDQuMzEgMTkzLjc4IDIwNC4yMiAxOTIuODMg&#10;MjA0LjE0IDE5MS44OCAyMDQuMSAxOTEuNDEgMjA0LjA2IDE5MC45NCAyMDQuMDMgMTkwLjQ3IDIw&#10;NC4wMiAxOTAuMjYgMjA0LjAxIDE5MC4wNCAyMDQuMDIgMTg5LjgzIDIwNC4wMyAxODkuNDcgMjA0&#10;LjA5IDE4OS4xMiAyMDQuNTQgMTg4LjgzIDIwNC41NCAxODguODMgMjA0LjU0IDE4OC44MyAyMDQu&#10;NTUgMTg4LjgzIDIwNC44NyAxODguNjMgMjA1LjM3IDE4OC41MiAyMDUuODUgMTg4LjUzIDIwNi4w&#10;NiAxODguNTMgMjA2LjI3IDE4OC41NyAyMDYuNDYgMTg4LjYzWiIgZmlsbD0iIzAxMDEwMSIvPjxw&#10;YXRoIGQ9Ik0yMjIuMSAxOTQuMzhDMjIyLjEyIDE5NC40NCAyMjIuMTQgMTk0LjUxIDIyMi4xNiAx&#10;OTQuNTcgMjIyLjE0IDE5NC41MSAyMjIuMTIgMTk0LjQ0IDIyMi4xIDE5NC4zOFpNMjIwLjE1IDE4&#10;OC43M0MyMjAuNjUgMTg4Ljk5IDIyMC43MyAxODkuNDggMjIwLjg2IDE4OS44MyAyMjEuMDUgMTkw&#10;LjM3IDIyMS4xOSAxOTAuOTEgMjIxLjMyIDE5MS40NSAyMjEuNTUgMTkyLjQyIDIyMS43OSAxOTMu&#10;NCAyMjIuMSAxOTQuMzYgMjIyLjQ5IDE5NS40OSAyMjIuODMgMTk2LjYyIDIyMy4xMyAxOTcuNzYg&#10;MjIzLjQgMTk4LjggMjIzLjcxIDE5OS44NCAyMjMuODUgMjAwLjkgMjIzLjkyIDIwMS40NiAyMjMu&#10;MjYgMjAyIDIyMi4zMiAyMDIuMTcgMjIxLjc3IDIwMi4yNyAyMjEuMTUgMjAyLjI1IDIyMC42MyAy&#10;MDIuMSAyMjAuMTUgMjAxLjk2IDIxOS42NSAyMDEuNjggMjE5LjUzIDIwMS4zNyAyMTguNzcgMTk5&#10;LjQ5IDIxOC41MyAxOTcuNTYgMjE4LjQzIDE5NS42MyAyMTguMzggMTk0LjYyIDIxOC4zOCAxOTMu&#10;NiAyMTguMjggMTkyLjU5IDIxOC4xOSAxOTEuNjYgMjE4LjAyIDE5MC43MiAyMTcuOTcgMTg5Ljc4&#10;IDIxNy45NiAxODkuNTQgMjE3LjkyIDE4OS4yNSAyMTguMDYgMTg5LjAxIDIxOC4xMyAxODguODQg&#10;MjE4LjMyIDE4OC42OCAyMTguNTggMTg4LjU5IDIxOC44IDE4OC41MSAyMTkuMDUgMTg4LjQ4IDIx&#10;OS4zIDE4OC40OCAyMTkuNjIgMTg4LjQ5IDIxOS45MyAxODguNTcgMjIwLjE1IDE4OC43MVoiIGZp&#10;bGw9IiMwMTAxMDEiLz48cGF0aCBkPSJNMjM1LjkxIDE5MC4zNUMyMzYuMDcgMTkwLjQzIDIzNi4x&#10;OSAxOTAuNTMgMjM2LjI2IDE5MC42MyAyMzYuNTIgMTkwLjg0IDIzNi42NSAxOTEuMSAyMzYuNzYg&#10;MTkxLjM1IDIzNi45OCAxOTEuODMgMjM3LjEyIDE5Mi4zMiAyMzcuMjIgMTkyLjgxIDIzNy40MiAx&#10;OTMuNzIgMjM3LjU4IDE5NC42MiAyMzcuNzQgMTk1LjUzIDIzOC4wNiAxOTcuMzIgMjM4LjY1IDE5&#10;OS4xIDIzOC42OCAyMDAuOSAyMzguNjggMjAxLjQxIDIzOC4yIDIwMS44NyAyMzcuMzIgMjAyLjAz&#10;IDIzNi4zNSAyMDIuMjEgMjM1LjA4IDIwMS45MSAyMzQuODIgMjAxLjMxIDIzNC4wMiAxOTkuNDcg&#10;MjM0IDE5Ny41OCAyMzMuNzIgMTk1LjcgMjMzLjU5IDE5NC44IDIzMy40NSAxOTMuOSAyMzMuMzMg&#10;MTkzIDIzMy4yNyAxOTIuNTcgMjMzLjIyIDE5Mi4xNCAyMzMuMjYgMTkxLjcxIDIzMy4yOSAxOTEu&#10;NDMgMjMzLjMxIDE5MS4xNyAyMzMuNDQgMTkwLjkyIDIzMy40NCAxOTAuODcgMjMzLjQ1IDE5MC44&#10;MyAyMzMuNDcgMTkwLjc5IDIzMy41NyAxOTAuNSAyMzMuOTYgMTkwLjI2IDIzNC40NSAxOTAuMTcg&#10;MjM0LjYyIDE5MC4xNCAyMzQuODEgMTkwLjEyIDIzNC45OSAxOTAuMTMgMjM1LjMyIDE5MC4xNCAy&#10;MzUuNjUgMTkwLjIxIDIzNS45IDE5MC4zNFoiIGZpbGw9IiMwMTAxMDEiLz48cGF0aCBkPSJNMjQ5&#10;LjA4IDE4OC4yQzI0OS4xNCAxODguMjUgMjQ5LjE4IDE4OC4zIDI0OS4yMiAxODguMzYgMjQ5LjQ0&#10;IDE4OC42MiAyNDkuNSAxODguOTIgMjQ5LjU4IDE4OS4yMSAyNDkuNjkgMTg5LjU4IDI0OS43OCAx&#10;ODkuOTUgMjQ5Ljg2IDE5MC4zMiAyNTAuMDQgMTkxLjA5IDI1MC4yMiAxOTEuODcgMjUwLjM5IDE5&#10;Mi42NCAyNTAuNzQgMTk0LjE5IDI1MS4xMiAxOTUuNzMgMjUxLjYyIDE5Ny4yNiAyNTEuOTUgMTk4&#10;LjIyIDI1Mi4yOSAxOTkuMTggMjUyLjUzIDIwMC4xNSAyNTIuNjMgMjAwLjU4IDI1Mi43MiAyMDEu&#10;MDEgMjUyLjc4IDIwMS40NSAyNTIuODEgMjAxLjY3IDI1Mi44NCAyMDEuODkgMjUyLjg2IDIwMi4x&#10;IDI1Mi44OCAyMDIuMzkgMjUyLjg2IDIwMi42OCAyNTIuODMgMjAyLjk3IDI1Mi44NSAyMDMuMTEg&#10;MjUyLjc5IDIwMy4yNSAyNTIuNjggMjAzLjM4IDI1Mi41MSAyMDMuNTcgMjUyLjIxIDIwMy43MiAy&#10;NTEuODUgMjAzLjc4IDI1MS4xIDIwMy45MiAyNTAuMzMgMjAzLjY4IDI1MC4wNiAyMDMuMjcgMjQ5&#10;LjkgMjAzLjAzIDI0OS43MyAyMDIuNzkgMjQ5LjYgMjAyLjU0IDI0OS41IDIwMi4zNCAyNDkuNDIg&#10;MjAyLjE0IDI0OS4zMyAyMDEuOTUgMjQ5LjEzIDIwMS40NyAyNDguOTQgMjAwLjk5IDI0OC43OSAy&#10;MDAuNSAyNDguNTEgMTk5LjYgMjQ4LjMxIDE5OC43IDI0OC4xMiAxOTcuNzkgMjQ3Ljc1IDE5NS45&#10;NCAyNDcuMzQgMTk0LjA5IDI0Ny4wMyAxOTIuMjQgMjQ2LjkxIDE5MS41NiAyNDYuOCAxOTAuODgg&#10;MjQ2LjcgMTkwLjIxIDI0Ni42NSAxODkuODggMjQ2LjYxIDE4OS41NSAyNDYuNTkgMTg5LjIzIDI0&#10;Ni41NyAxODguOTQgMjQ2LjU0IDE4OC41OSAyNDYuNzkgMTg4LjMxIDI0Ni44IDE4OC4zIDI0Ni44&#10;MSAxODguMjggMjQ2LjgyIDE4OC4yNyAyNDcuMDMgMTg4LjA0IDI0Ny40NSAxODcuODggMjQ3Ljkx&#10;IDE4Ny44NiAyNDcuOTYgMTg3Ljg2IDI0OC4wMSAxODcuODYgMjQ4LjA2IDE4Ny44NiAyNDguNDcg&#10;MTg3Ljg3IDI0OC44NiAxODggMjQ5LjA4IDE4OC4yWiIgZmlsbD0iIzAxMDEwMSIvPjxwYXRoIGQ9&#10;Ik0yNjIuNiAxOTEuMjdDMjYzLjQyIDE5MS40NiAyNjMuODMgMTkyIDI2NC4xNiAxOTIuNDMgMjY0&#10;LjM5IDE5Mi43MyAyNjQuNTMgMTkzLjA2IDI2NC42NyAxOTMuMzkgMjY0Ljk2IDE5NC4wNSAyNjUu&#10;MTkgMTk0LjczIDI2NS40MiAxOTUuNCAyNjUuODggMTk2LjcyIDI2Ni4yMyAxOTguMDYgMjY2LjY2&#10;IDE5OS4zOCAyNjYuNzcgMTk5LjY3IDI2Ni44OSAxOTkuOTcgMjY2LjkyIDIwMC4yNyAyNjYuOTQg&#10;MjAwLjU2IDI2Ni45NCAyMDAuODUgMjY2LjkzIDIwMS4xNCAyNjYuOTIgMjAxLjY0IDI2Ni40NyAy&#10;MDIuMDkgMjY1LjYgMjAyLjI1IDI2NS4xMSAyMDIuMzQgMjY0LjU4IDIwMi4zMiAyNjQuMTIgMjAy&#10;LjE4IDI2My42MyAyMDIuMDQgMjYzLjM2IDIwMS44MiAyNjMuMTUgMjAxLjU0IDI2Mi45MyAyMDEu&#10;MjYgMjYyLjczIDIwMC45OCAyNjIuNTYgMjAwLjY5IDI2Mi4zNSAyMDAuMzQgMjYyLjI4IDE5OS45&#10;NyAyNjIuMTcgMTk5LjYxIDI2MS43NCAxOTguMzcgMjYxLjMxIDE5Ny4xMyAyNjAuOTIgMTk1Ljg4&#10;IDI2MC43MiAxOTUuMjMgMjYwLjUzIDE5NC41OCAyNjAuMzQgMTkzLjkzIDI2MC4yNCAxOTMuNjEg&#10;MjYwLjE1IDE5My4yOSAyNjAuMDUgMTkyLjk2IDI1OS45NiAxOTIuNjYgMjU5LjgyIDE5Mi4yOCAy&#10;NTkuOTkgMTkxLjk4IDI2MC4xNSAxOTEuNyAyNjAuMzQgMTkxLjQ4IDI2MC43OSAxOTEuMzIgMjYx&#10;LjEzIDE5MS4yIDI2MS40OCAxOTEuMTUgMjYxLjg1IDE5MS4xNiAyNjIuMSAxOTEuMTYgMjYyLjM2&#10;IDE5MS4yIDI2Mi42MSAxOTEuMjZaIiBmaWxsPSIjMDEwMTAxIi8+PHBhdGggZD0iTTI3Ni44MyAx&#10;OTEuMjZDMjc3LjM3IDE5MS4zOSAyNzcuNjYgMTkxLjcyIDI3Ny44NSAxOTIuMDEgMjc3Ljk3IDE5&#10;Mi4xOSAyNzguMDUgMTkyLjM3IDI3OC4xMSAxOTIuNTUgMjc4LjI5IDE5My4wNSAyNzguNDYgMTkz&#10;LjU1IDI3OC42MSAxOTQuMDUgMjc4Ljg3IDE5NC44OSAyNzkuMDUgMTk1LjczIDI3OS4yNCAxOTYu&#10;NTcgMjc5LjQzIDE5Ny40IDI3OS41OCAxOTguMjMgMjc5LjgxIDE5OS4wNSAyNzkuOTIgMTk5LjQ0&#10;IDI4MC4wNCAxOTkuODQgMjgwLjE1IDIwMC4yMyAyODAuMjEgMjAwLjQ0IDI4MC4yNiAyMDAuNjUg&#10;MjgwLjMxIDIwMC44NiAyODAuMzMgMjAwLjk0IDI4MC4zNiAyMDEuMDMgMjgwLjM3IDIwMS4xMiAy&#10;ODAuNCAyMDEuMzQgMjgwLjM3IDIwMS41NSAyODAuMzIgMjAxLjc3IDI4MC4yNCAyMDEuOTggMjgw&#10;LjA3IDIwMi4xNyAyNzkuODEgMjAyLjM0IDI3OS40NCAyMDIuNTcgMjc4LjkyIDIwMi43MSAyNzgu&#10;MzggMjAyLjczIDI3Ny40IDIwMi43NiAyNzYuNTkgMjAyLjQxIDI3Ni4yNSAyMDEuOTEgMjc1Ljk0&#10;IDIwMS40NCAyNzUuOSAyMDAuOTEgMjc1LjgxIDIwMC40MiAyNzUuNzQgMjAwLjAyIDI3NS42OSAx&#10;OTkuNjIgMjc1LjY0IDE5OS4yMyAyNzUuNTMgMTk4LjQxIDI3NS4zMyAxOTcuNiAyNzUuMTcgMTk2&#10;Ljc5IDI3NSAxOTUuOTQgMjc0Ljg0IDE5NS4wOSAyNzQuNjggMTk0LjI0IDI3NC42MSAxOTMuODMg&#10;Mjc0LjUzIDE5My40MiAyNzQuNDggMTkzLjAyIDI3NC40NiAxOTIuODMgMjc0LjQ1IDE5Mi42NCAy&#10;NzQuNDcgMTkyLjQ0IDI3NC40OSAxOTIuMjkgMjc0LjQ4IDE5Mi4xMSAyNzQuNTcgMTkxLjk2IDI3&#10;NC42NiAxOTEuOCAyNzQuNzcgMTkxLjU4IDI3NS4wMSAxOTEuNDYgMjc1LjE5IDE5MS4zNSAyNzUu&#10;NDEgMTkxLjI3IDI3NS42NiAxOTEuMjIgMjc1Ljg0IDE5MS4xOSAyNzYuMDIgMTkxLjE3IDI3Ni4x&#10;OSAxOTEuMTggMjc2LjQgMTkxLjE4IDI3Ni42MSAxOTEuMjIgMjc2LjgyIDE5MS4yN1oiIGZpbGw9&#10;IiMwMTAxMDEiLz48cGF0aCBkPSJNMjg4LjYyIDE5MS43MUMyODkuMjUgMTkxLjkxIDI4OS40OSAx&#10;OTIuMjcgMjg5LjYzIDE5Mi42NCAyODkuNzYgMTkyLjk4IDI4OS44NCAxOTMuMzMgMjg5LjkzIDE5&#10;My42OCAyOTAuMDcgMTk0LjIzIDI5MC4xNyAxOTQuNzkgMjkwLjI3IDE5NS4zNCAyOTAuNDggMTk2&#10;LjU0IDI5MC42MiAxOTcuNzQgMjkwLjcyIDE5OC45NSAyOTAuNzYgMTk5LjQ1IDI5MC4wOSAxOTku&#10;OSAyODkuMTkgMTk5LjkzIDI4OC43NSAxOTkuOTUgMjg4LjMxIDE5OS44NiAyODcuOTkgMTk5LjY5&#10;IDI4Ny42NSAxOTkuNTEgMjg3LjUzIDE5OS4zMSAyODcuNDYgMTk5LjA2IDI4Ny4xMSAxOTcuODcg&#10;Mjg2Ljg0IDE5Ni42OCAyODYuNjQgMTk1LjQ4IDI4Ni41NSAxOTQuOTQgMjg2LjQ3IDE5NC4zOSAy&#10;ODYuNDMgMTkzLjg1IDI4Ni40MSAxOTMuNTcgMjg2LjM4IDE5My4yOCAyODYuNCAxOTMgMjg2LjQz&#10;IDE5Mi41NCAyODYuNDcgMTkyLjA1IDI4Ny4yMyAxOTEuNzYgMjg3LjQ3IDE5MS42NyAyODcuNzgg&#10;MTkxLjYyIDI4OC4wOCAxOTEuNjMgMjg4LjI3IDE5MS42MyAyODguNDYgMTkxLjY2IDI4OC42MyAx&#10;OTEuNzJaIiBmaWxsPSIjMDEwMTAxIi8+PHBhdGggZD0iTTI5OC44NiAxOTAuMDdDMjk5LjIzIDE5&#10;MC4xNyAyOTkuNSAxOTAuMzUgMjk5LjY5IDE5MC41NSAyOTkuOTEgMTkwLjc4IDMwMC4wOCAxOTEu&#10;MDIgMzAwLjIyIDE5MS4yNyAzMDAuNDUgMTkxLjY4IDMwMC42IDE5Mi4xIDMwMC43NSAxOTIuNTIg&#10;MzAxLjA3IDE5My40MyAzMDEuMzEgMTk0LjM0IDMwMS41MiAxOTUuMjUgMzAxLjkzIDE5Ny4wMSAz&#10;MDIuMjggMTk4Ljc3IDMwMi41NiAyMDAuNTMgMzAyLjY3IDIwMS4yMSAzMDIuNzggMjAxLjg5IDMw&#10;Mi44MSAyMDIuNTggMzAyLjgzIDIwMy4wNyAzMDIuMzQgMjAzLjUxIDMwMS41MSAyMDMuNjcgMzAx&#10;LjAzIDIwMy43NiAzMDAuNTEgMjAzLjc0IDMwMC4wNiAyMDMuNjEgMjk5LjY1IDIwMy40OSAyOTku&#10;MjIgMjAzLjI1IDI5OS4xMiAyMDIuOTggMjk4Ljc0IDIwMi4wNSAyOTguNSAyMDEuMDkgMjk4LjI5&#10;IDIwMC4xNCAyOTguMSAxOTkuMjggMjk3LjkzIDE5OC40MiAyOTcuNzggMTk3LjU3IDI5Ny40OSAx&#10;OTUuODEgMjk3LjI2IDE5NC4wNSAyOTcuMTEgMTkyLjI5IDI5Ny4wOSAxOTEuOTggMjk3LjA2IDE5&#10;MS42NyAyOTcuMDYgMTkxLjM2IDI5Ny4wNiAxOTEuMDQgMjk3LjAzIDE5MC42NiAyOTcuMzEgMTkw&#10;LjM3IDI5Ny41NSAxOTAuMTMgMjk3Ljk3IDE5MCAyOTguNDEgMTkwLjAxIDI5OC41NiAxOTAuMDEg&#10;Mjk4LjcxIDE5MC4wNCAyOTguODYgMTkwLjA4WiIgZmlsbD0iIzAxMDEwMSIvPjxwYXRoIGQ9Ik0z&#10;MTMuMDUgMTkyLjI2QzMxMy40IDE5Mi40MiAzMTMuNjEgMTkyLjY3IDMxMy43NiAxOTIuOSAzMTMu&#10;ODYgMTkzLjA1IDMxMy45MiAxOTMuMjEgMzEzLjk4IDE5My4zNyAzMTQuMTUgMTkzLjgyIDMxNC4y&#10;OCAxOTQuMjYgMzE0LjM4IDE5NC43MSAzMTQuNTUgMTk1LjQ1IDMxNC42OSAxOTYuMTkgMzE0Ljgg&#10;MTk2LjkzIDMxNC45MiAxOTcuNjUgMzE1LjAyIDE5OC4zNyAzMTUuMTMgMTk5LjA5IDMxNS4xOCAx&#10;OTkuNDQgMzE1LjI1IDE5OS43OSAzMTUuMjkgMjAwLjE1IDMxNS4zNCAyMDAuNjUgMzE1LjIzIDIw&#10;MS4xNiAzMTUuMTMgMjAxLjY2IDMxNS4wMyAyMDIuMTUgMzE0LjE0IDIwMi41MiAzMTMuMzIgMjAy&#10;LjU1IDMxMi40NSAyMDIuNTggMzExLjYgMjAyLjI2IDMxMS4zNCAyMDEuNzkgMzExLjA4IDIwMS4z&#10;MiAzMTAuODUgMjAwLjg2IDMxMC43NCAyMDAuMzcgMzEwLjY3IDIwMC4wMyAzMTAuNjIgMTk5LjY4&#10;IDMxMC41NiAxOTkuMzQgMzEwLjQ1IDE5OC42MSAzMTAuMzIgMTk3Ljg4IDMxMC4yMiAxOTcuMTUg&#10;MzEwLjEyIDE5Ni40MSAzMTAuMDMgMTk1LjY4IDMwOS45NyAxOTQuOTQgMzA5Ljk0IDE5NC41NiAz&#10;MDkuOSAxOTQuMTggMzA5LjkxIDE5My44IDMwOS45MSAxOTMuMzEgMzA5LjkxIDE5Mi42OSAzMTAu&#10;NTcgMTkyLjMyIDMxMC45IDE5Mi4xNCAzMTEuMjggMTkyLjAyIDMxMS43NSAxOTIgMzExLjgyIDE5&#10;MiAzMTEuODggMTkyIDMxMS45NCAxOTIgMzEyLjM1IDE5Mi4wMSAzMTIuNjkgMTkyLjExIDMxMy4w&#10;MiAxOTIuMjVaIiBmaWxsPSIjMDEwMTAxIi8+PHBhdGggZD0iTTMyNi45IDE5MS44MkMzMjcuMzgg&#10;MTkxLjkzIDMyNy42NiAxOTIuMjUgMzI3Ljc5IDE5Mi41MSAzMjcuOTMgMTkyLjc3IDMyOC4wMSAx&#10;OTMuMDQgMzI4LjA5IDE5My4zIDMyOC4yMyAxOTMuNzIgMzI4LjM0IDE5NC4xNSAzMjguNDQgMTk0&#10;LjU4IDMyOC42NCAxOTUuNDMgMzI4LjgxIDE5Ni4yNyAzMjkuMDEgMTk3LjEyIDMyOS4zOSAxOTgu&#10;NzkgMzI5LjY4IDIwMC40NiAzMjkuOTUgMjAyLjE0IDMzMC4xMiAyMDMuMjEgMzMwLjM2IDIwNC4y&#10;NyAzMzAuNDcgMjA1LjM0IDMzMC41MiAyMDUuODMgMzI5Ljk3IDIwNi4zIDMyOS4xNCAyMDYuNDUg&#10;MzI4LjY2IDIwNi41NCAzMjguMTIgMjA2LjUyIDMyNy42NiAyMDYuMzkgMzI3LjI0IDIwNi4yNyAz&#10;MjYuOCAyMDYuMDIgMzI2LjcgMjA1Ljc1IDMyNi4zMyAyMDQuODMgMzI2LjEzIDIwMy45IDMyNS45&#10;MSAyMDIuOTYgMzI1LjcyIDIwMi4xNiAzMjUuNTIgMjAxLjM3IDMyNS4zNSAyMDAuNTcgMzI1IDE5&#10;OC44NSAzMjQuNzYgMTk3LjEyIDMyNC42OSAxOTUuMzkgMzI0LjY3IDE5NC44MiAzMjQuNjYgMTk0&#10;LjI0IDMyNC42OSAxOTMuNjcgMzI0LjcxIDE5My4zNCAzMjQuNzIgMTkzIDMyNC44MiAxOTIuNjcg&#10;MzI0Ljg2IDE5Mi41MSAzMjQuOTMgMTkyLjMyIDMyNS4wOCAxOTIuMTggMzI1LjIxIDE5Mi4wNiAz&#10;MjUuMzUgMTkxLjkzIDMyNS41OSAxOTEuODYgMzI1Ljg3IDE5MS43OCAzMjYuMTIgMTkxLjc0IDMy&#10;Ni4zOSAxOTEuNzUgMzI2LjU1IDE5MS43NSAzMjYuNzIgMTkxLjc4IDMyNi45IDE5MS44MloiIGZp&#10;bGw9IiMwMTAxMDEiLz48cGF0aCBkPSJNMzQwLjI4IDE5Mi4wMUMzNDAuNyAxOTIuMTkgMzQwLjky&#10;IDE5Mi41IDM0MS4xMiAxOTIuNzYgMzQxLjI4IDE5Mi45NyAzNDEuMzggMTkzLjIgMzQxLjQ3IDE5&#10;My40MiAzNDEuNzEgMTkzLjk4IDM0MS44OCAxOTQuNTYgMzQyLjAzIDE5NS4xNCAzNDIuMyAxOTYu&#10;MTUgMzQyLjUxIDE5Ny4xNyAzNDIuNzIgMTk4LjE4IDM0Mi45NCAxOTkuMTcgMzQzLjE0IDIwMC4x&#10;NSAzNDMuMzYgMjAxLjEzIDM0My41OCAyMDIuMTIgMzQzLjg1IDIwMy4wOSAzNDQuMTEgMjA0LjA4&#10;IDM0NC4xOSAyMDQuMzcgMzQ0LjI2IDIwNC42NiAzNDQuMzIgMjA0Ljk2IDM0NC40NCAyMDUuNTIg&#10;MzQzLjcgMjA2LjA3IDM0Mi43OSAyMDYuMjQgMzQyLjIzIDIwNi4zNCAzNDEuNjEgMjA2LjMyIDM0&#10;MS4wOSAyMDYuMTcgMzQwLjYxIDIwNi4wMyAzNDAuMSAyMDUuNzUgMzM5Ljk4IDIwNS40NCAzMzku&#10;MTkgMjAzLjQyIDMzOC42NSAyMDEuMzUgMzM4LjIxIDE5OS4yOSAzMzggMTk4LjI5IDMzNy44MSAx&#10;OTcuMjggMzM3LjYzIDE5Ni4yOCAzMzcuNTQgMTk1Ljc4IDMzNy40NyAxOTUuMjggMzM3LjM5IDE5&#10;NC43OCAzMzcuMzEgMTk0LjMgMzM3LjIzIDE5My44MiAzMzcuMjMgMTkzLjM0IDMzNy4yMyAxOTMu&#10;MTMgMzM3LjI1IDE5Mi45MSAzMzcuMzEgMTkyLjcxIDMzNy4zOCAxOTIuNDcgMzM3LjU4IDE5Mi4y&#10;OSAzMzcuODQgMTkyLjEgMzM4LjA5IDE5MS45MSAzMzguNiAxOTEuOCAzMzkuMDEgMTkxLjc4IDMz&#10;OS4wOCAxOTEuNzggMzM5LjE0IDE5MS43OCAzMzkuMjEgMTkxLjc4IDMzOS42MSAxOTEuNzkgMzM5&#10;Ljk0IDE5MS44OSAzNDAuMjggMTkyLjAzWiIgZmlsbD0iIzAxMDEwMSIvPjxwYXRoIGQ9Ik0zNjAu&#10;MzkgMjAyLjg4QzM2MC40MSAyMDIuOTUgMzYwLjQ0IDIwMy4wMiAzNjAuNDYgMjAzLjA5IDM2MC40&#10;NCAyMDMuMDIgMzYwLjQxIDIwMi45NSAzNjAuMzkgMjAyLjg4Wk0zNTkuMjMgMTk5LjEzQzM1OS4y&#10;MyAxOTkuMTMgMzU5LjI1IDE5OS4xOCAzNTkuMjYgMTk5LjIxIDM1OS4yNiAxOTkuMTggMzU5LjI0&#10;IDE5OS4xNiAzNTkuMjMgMTk5LjEzWk0zNTUuNTggMTkyLjNDMzU3LjAzIDE5Mi40NyAzNTcuNDYg&#10;MTkzLjI4IDM1Ny43MSAxOTQgMzU3Ljk0IDE5NC42NSAzNTguMTQgMTk1LjMxIDM1OC4zMyAxOTUu&#10;OTcgMzU4LjY1IDE5Ny4wNiAzNTguOTEgMTk4LjE2IDM1OS4yNyAxOTkuMjUgMzU5LjQ5IDE5OS44&#10;OSAzNTkuNzIgMjAwLjUyIDM1OS45MSAyMDEuMTYgMzYwLjA3IDIwMS43MyAzNjAuMiAyMDIuMyAz&#10;NjAuMzkgMjAyLjg2IDM2MC41MSAyMDMuMjEgMzYwLjYzIDIwMy41NyAzNjAuNzQgMjAzLjkyIDM2&#10;MC43NiAyMDQuMTcgMzYwLjY4IDIwNC40MSAzNjAuNDcgMjA0LjY0IDM2MC4xNyAyMDQuOTcgMzU5&#10;LjY1IDIwNS4yMyAzNTkuMDMgMjA1LjM0IDM1OC40MSAyMDUuNDYgMzU3LjcyIDIwNS40MiAzNTcu&#10;MTMgMjA1LjI2IDM1Ni41OSAyMDUuMTEgMzU2LjA0IDIwNC43OSAzNTUuODkgMjA0LjQ0IDM1NS40&#10;NiAyMDMuMzkgMzU1LjA5IDIwMi4zMyAzNTQuNzUgMjAxLjI4IDM1NC40MyAyMDAuMyAzNTQuMjUg&#10;MTk5LjMxIDM1NC4wMiAxOTguMzIgMzUzLjggMTk3LjM5IDM1My41OSAxOTYuNDcgMzUzLjQgMTk1&#10;LjU0IDM1My4zMSAxOTUuMDcgMzUzLjIyIDE5NC42MSAzNTMuMTQgMTk0LjE0IDM1My4xIDE5My44&#10;NiAzNTMuMSAxOTMuNjEgMzUzLjE0IDE5My4zMyAzNTMuMjIgMTkyLjczIDM1NC4yNiAxOTIuMjUg&#10;MzU1LjMgMTkyLjI4IDM1NS4zOSAxOTIuMjggMzU1LjQ4IDE5Mi4yOCAzNTUuNTcgMTkyLjNaIiBm&#10;aWxsPSIjMDEwMTAxIi8+PHBhdGggZD0iTTM2OS42MSAxOTEuODZDMzY5Ljk5IDE5Mi4wNyAzNzAu&#10;MTUgMTkyLjI1IDM3MC4zOCAxOTIuNTIgMzcwLjY0IDE5Mi44MyAzNzAuNzkgMTkzLjE2IDM3MC45&#10;MyAxOTMuNDggMzcxLjI5IDE5NC4yOSAzNzEuNDggMTk1LjEyIDM3MS43MSAxOTUuOTQgMzcyLjEg&#10;MTk3LjM3IDM3Mi40NCAxOTguOCAzNzIuNzIgMjAwLjIzIDM3Mi44NiAyMDAuOTEgMzcxLjgxIDIw&#10;MS41MSAzNzAuNjYgMjAxLjU1IDM3MC4wNyAyMDEuNTcgMzY5LjQ4IDIwMS40NSAzNjkuMDUgMjAx&#10;LjIzIDM2OC41OSAyMDAuOTkgMzY4LjQ0IDIwMC43MiAzNjguMzMgMjAwLjM4IDM2Ny45MSAxOTgu&#10;OTYgMzY3LjYgMTk3LjU0IDM2Ny4yOSAxOTYuMTEgMzY3LjEzIDE5NS4zOSAzNjYuOTggMTk0LjY3&#10;IDM2Ni44NCAxOTMuOTUgMzY2Ljc4IDE5My42NCAzNjYuNzIgMTkzLjMyIDM2Ni42NyAxOTMuMDEg&#10;MzY2LjU4IDE5Mi40NiAzNjYuNzcgMTkxLjgxIDM2Ny44NiAxOTEuNjIgMzY4LjA2IDE5MS41OSAz&#10;NjguMjcgMTkxLjU3IDM2OC40OCAxOTEuNTggMzY4LjkgMTkxLjU5IDM2OS4zMiAxOTEuNjkgMzY5&#10;LjYxIDE5MS44NVoiIGZpbGw9IiMwMTAxMDEiLz48cGF0aCBkPSJNMzc5Ljk1IDE4OS4zM0MzNzku&#10;OTkgMTg5LjM5IDM4MCAxODkuNDYgMzgwLjAxIDE4OS41MiAzODAuMDYgMTg5LjU4IDM4MC4xMSAx&#10;ODkuNjUgMzgwLjE1IDE4OS43MSAzODAuMjkgMTg5Ljk1IDM4MC40IDE5MC4yIDM4MC41MSAxOTAu&#10;NDUgMzgwLjc1IDE5MS4wMSAzODAuOTIgMTkxLjU3IDM4MS4wOSAxOTIuMTQgMzgxLjQgMTkzLjE5&#10;IDM4MS42OCAxOTQuMjUgMzgxLjk2IDE5NS4zMSAzODIuNTEgMTk3LjM4IDM4My4wMiAxOTkuNDQg&#10;MzgzLjU1IDIwMS41MSAzODMuNjkgMjAyLjA1IDM4My43NCAyMDIuNTggMzgzLjc3IDIwMy4xMyAz&#10;ODMuOCAyMDMuNjggMzgzLjg4IDIwNC4yMyAzODMuODggMjA0Ljc5IDM4My44OCAyMDUuMjkgMzgz&#10;LjQxIDIwNS43NCAzODIuNTUgMjA1LjkgMzgxLjU1IDIwNi4wOSAzODAuNDIgMjA1Ljc3IDM4MC4x&#10;IDIwNS4yIDM3OS44MiAyMDQuNyAzNzkuNjEgMjA0LjE5IDM3OS4zOCAyMDMuNjkgMzc5LjEyIDIw&#10;My4xMSAzNzguODcgMjAyLjU0IDM3OC43IDIwMS45NSAzNzguNDIgMjAwLjkxIDM3OC4yNCAxOTku&#10;ODUgMzc4LjA1IDE5OC44IDM3Ny42NiAxOTYuNyAzNzcuMzMgMTk0LjU5IDM3Ny4yMiAxOTIuNDgg&#10;Mzc3LjE5IDE5MS45MyAzNzcuMiAxOTEuMzggMzc3LjI1IDE5MC44NCAzNzcuMjkgMTkwLjUyIDM3&#10;Ny4zMyAxOTAuMiAzNzcuNDIgMTg5Ljg5IDM3Ny40NiAxODkuNzYgMzc3LjUzIDE4OS42NCAzNzcu&#10;NjEgMTg5LjUyIDM3Ny42MSAxODkuNDggMzc3LjYxIDE4OS40NCAzNzcuNjMgMTg5LjQxIDM3Ny43&#10;MyAxODkuMTEgMzc4LjE5IDE4OC44OCAzNzguNzMgMTg4Ljg3IDM3OC43OCAxODguODcgMzc4Ljgy&#10;IDE4OC44NyAzNzguODcgMTg4Ljg3IDM3OS4zNiAxODguODkgMzc5Ljc5IDE4OS4wNyAzNzkuOTUg&#10;MTg5LjM0WiIgZmlsbD0iIzAxMDEwMSIvPjxwYXRoIGQ9Ik0zOTYuOTYgMTkwLjE0QzM5Ny44NyAx&#10;OTAuNCAzOTguMjIgMTkxLjAxIDM5OC41IDE5MS41MyAzOTguNzYgMTkyLjAxIDM5OC45MiAxOTIu&#10;NSAzOTkuMSAxOTIuOTkgMzk5LjQ5IDE5NC4xMSAzOTkuODIgMTk1LjI1IDQwMC4xNSAxOTYuMzgg&#10;NDAwLjc1IDE5OC40MSA0MDEuMzcgMjAwLjQ1IDQwMS43NiAyMDIuNSA0MDEuNzkgMjAyLjY0IDQw&#10;MS44MSAyMDIuNzggNDAxLjgzIDIwMi45MiA0MDEuOTMgMjAzLjUyIDQwMS4xOSAyMDQuMDkgNDAw&#10;LjIxIDIwNC4yNyAzOTkuMDUgMjA0LjQ5IDM5Ny41NSAyMDQuMTIgMzk3LjIzIDIwMy40MiAzOTYu&#10;MjYgMjAxLjI0IDM5NS42OCAxOTkuMDEgMzk1LjEzIDE5Ni43OSAzOTQuODggMTk1Ljc5IDM5NC42&#10;NCAxOTQuNzggMzk0LjQ5IDE5My43NyAzOTQuNDEgMTkzLjI1IDM5NC4zMyAxOTIuNzMgMzk0LjMz&#10;IDE5Mi4yMiAzOTQuMzMgMTkxLjkgMzk0LjM2IDE5MS41OSAzOTQuNDEgMTkxLjI3IDM5NC40NiAx&#10;OTAuOTQgMzk0LjY0IDE5MC42NSAzOTQuOTkgMTkwLjM4IDM5NS4wMSAxOTAuMzYgMzk1LjAzIDE5&#10;MC4zNSAzOTUuMDYgMTkwLjM0IDM5NS4yNSAxOTAuMjIgMzk1LjQ4IDE5MC4xNCAzOTUuNzQgMTkw&#10;LjA5IDM5NS45MyAxOTAuMDUgMzk2LjEzIDE5MC4wNCAzOTYuMzMgMTkwLjA1IDM5Ni41NSAxOTAu&#10;MDUgMzk2Ljc2IDE5MC4wOSAzOTYuOTYgMTkwLjE1WiIgZmlsbD0iIzAxMDEwMSIvPjxwYXRoIGQ9&#10;Ik00MDkuMjQgMTk2LjU4QzQwOS44OSAxOTYuNzYgNDEwLjEzIDE5Ny4xNCA0MTAuMjcgMTk3LjUx&#10;IDQxMC40IDE5Ny44OCA0MTAuNSAxOTguMjQgNDEwLjYgMTk4LjYxIDQxMC43NSAxOTkuMTggNDEw&#10;Ljg3IDE5OS43NSA0MTAuOTcgMjAwLjMyIDQxMS4xOSAyMDEuNTIgNDExLjM4IDIwMi43MyA0MTEu&#10;NDIgMjAzLjk0IDQxMS40MyAyMDQuNTYgNDEwLjY2IDIwNS4xIDQwOS41NCAyMDUuMTQgNDA5LjAx&#10;IDIwNS4xNiA0MDguNDcgMjA1LjA1IDQwOC4wNyAyMDQuODUgNDA3LjY1IDIwNC42MyA0MDcuNTEg&#10;MjA0LjM4IDQwNy40MiAyMDQuMDggNDA3LjA1IDIwMi44NiA0MDYuODYgMjAxLjYxIDQwNi43MiAy&#10;MDAuMzcgNDA2LjY1IDE5OS43NiA0MDYuNiAxOTkuMTUgNDA2LjYxIDE5OC41MyA0MDYuNjEgMTk4&#10;LjE3IDQwNi42MyAxOTcuOCA0MDYuNzcgMTk3LjQ1IDQwNi44NyAxOTcuMjEgNDA3LjAzIDE5NyA0&#10;MDcuMyAxOTYuODEgNDA3LjYyIDE5Ni41OSA0MDguMTMgMTk2LjQ4IDQwOC42MiAxOTYuNDkgNDA4&#10;LjgzIDE5Ni40OSA0MDkuMDUgMTk2LjUzIDQwOS4yNCAxOTYuNThaIiBmaWxsPSIjMDEwMTAxIi8+&#10;PHBhdGggZD0iTTQxOS45NSAxOTIuNDRDNDIwLjQyIDE5Mi42MyA0MjAuNyAxOTMuMDEgNDIwLjkg&#10;MTkzLjMgNDIxLjA0IDE5My41MSA0MjEuMTMgMTkzLjczIDQyMS4yMyAxOTMuOTQgNDIxLjQ5IDE5&#10;NC41MyA0MjEuNjUgMTk1LjEzIDQyMS44MSAxOTUuNzMgNDIyLjA4IDE5Ni43NiA0MjIuMjUgMTk3&#10;LjggNDIyLjQ1IDE5OC44NCA0MjIuNjUgMTk5Ljg4IDQyMi44MyAyMDAuOTEgNDIzLjAxIDIwMS45&#10;NiA0MjMuMiAyMDMuMDQgNDIzLjQ0IDIwNC4xMiA0MjMuNTEgMjA1LjIxIDQyMy41NSAyMDUuODEg&#10;NDIyLjkyIDIwNi4zNiA0MjEuOTEgMjA2LjU1IDQyMC42OSAyMDYuNzggNDE5LjM3IDIwNi4zOSA0&#10;MTguOTYgMjA1LjcgNDE4LjI4IDIwNC41OCA0MTcuOTcgMjAzLjM5IDQxNy42MSAyMDIuMjIgNDE3&#10;LjI5IDIwMS4xOSA0MTcuMDcgMjAwLjE1IDQxNi44OCAxOTkuMSA0MTYuNyAxOTguMDcgNDE2LjUy&#10;IDE5Ny4wNCA0MTYuNDUgMTk2IDQxNi40MSAxOTUuNDggNDE2LjM3IDE5NC45NSA0MTYuNDEgMTk0&#10;LjQzIDQxNi40MyAxOTQuMTEgNDE2LjQ0IDE5My43NyA0MTYuNTUgMTkzLjQ1IDQxNi42MiAxOTMu&#10;MjYgNDE2LjcyIDE5My4wNiA0MTYuODcgMTkyLjg5IDQxNy4wNyAxOTIuNjQgNDE3LjM0IDE5Mi41&#10;MSA0MTcuNyAxOTIuMzQgNDE3Ljk3IDE5Mi4yNCA0MTguMjcgMTkyLjE5IDQxOC41OSAxOTIuMTcg&#10;NDE4LjY2IDE5Mi4xNyA0MTguNzMgMTkyLjE3IDQxOC44IDE5Mi4xNyA0MTkuMjQgMTkyLjE4IDQx&#10;OS41OCAxOTIuMjkgNDE5Ljk1IDE5Mi40NFoiIGZpbGw9IiMwMTAxMDEiLz48cGF0aCBkPSJNNDM1&#10;IDIwMC41N0M0MzUgMjAwLjU3IDQzNS4wMyAyMDAuNjYgNDM1LjA1IDIwMC43MSA0MzUuMDQgMjAw&#10;LjY2IDQzNS4wMiAyMDAuNjIgNDM1IDIwMC41N1pNNDMwLjEyIDE5MS40N0M0MzEuMTkgMTkxLjU0&#10;IDQzMS43MSAxOTIuMTcgNDMyLjEgMTkyLjY0IDQzMi4zNiAxOTIuOTYgNDMyLjUxIDE5My4zMiA0&#10;MzIuNjcgMTkzLjY2IDQzMy4wNiAxOTQuNSA0MzMuMzMgMTk1LjM2IDQzMy42MSAxOTYuMjEgNDM0&#10;LjA5IDE5Ny42NCA0MzQuNSAxOTkuMDggNDM0Ljk4IDIwMC41MiA0MzUuNDIgMjAxLjgyIDQzNS45&#10;MiAyMDMuMTIgNDM2LjI1IDIwNC40MyA0MzYuMzkgMjA1IDQzNS42IDIwNS41NyA0MzQuNjggMjA1&#10;Ljc0IDQzMy41MSAyMDUuOTYgNDMyLjE1IDIwNS41OSA0MzEuNzkgMjA0LjkxIDQzMS4xOSAyMDMu&#10;NzggNDMwLjg0IDIwMi42MiA0MzAuNDcgMjAxLjQ3IDQzMC4xNCAyMDAuNDcgNDI5LjgzIDE5OS40&#10;NiA0MjkuNTEgMTk4LjQ2IDQyOS4xOCAxOTcuNDEgNDI4Ljg1IDE5Ni4zNiA0MjguNTYgMTk1LjMx&#10;IDQyOC40MSAxOTQuODEgNDI4LjI3IDE5NC4zMSA0MjguMTcgMTkzLjggNDI4LjEyIDE5My41NiA0&#10;MjguMDcgMTkzLjMyIDQyOC4wMyAxOTMuMDggNDI3Ljk5IDE5Mi44MyA0MjcuOTUgMTkyLjUxIDQy&#10;OC4wNiAxOTIuMjcgNDI4LjExIDE5Mi4xNyA0MjguMTYgMTkyLjA3IDQyOC4yNCAxOTEuOTggNDI4&#10;LjYgMTkxLjYgNDI5LjI0IDE5MS40MyA0MjkuOTYgMTkxLjQ1IDQzMC4wMiAxOTEuNDUgNDMwLjA3&#10;IDE5MS40NSA0MzAuMTMgMTkxLjQ1WiIgZmlsbD0iIzAxMDEwMSIvPjxwYXRoIGQ9Ik00NDMuNzQg&#10;MTkyLjg3QzQ0NC4yIDE5My4wNiA0NDQuNDkgMTkzLjQyIDQ0NC43MSAxOTMuNzEgNDQ0LjkgMTkz&#10;Ljk2IDQ0NS4wNiAxOTQuMiA0NDUuMjEgMTk0LjQ2IDQ0NS41MyAxOTQuOTkgNDQ1Ljc2IDE5NS41&#10;MyA0NDYuMDEgMTk2LjA3IDQ0Ni41IDE5Ny4xMiA0NDYuOTQgMTk4LjE5IDQ0Ny4zOCAxOTkuMjUg&#10;NDQ3Ljg4IDIwMC40NiA0NDguMzcgMjAxLjY2IDQ0OC43OCAyMDIuODggNDQ4Ljk2IDIwMy40MiA0&#10;NDkuMTIgMjAzLjk1IDQ0OS4yNSAyMDQuNDkgNDQ5LjQgMjA1LjEgNDQ5LjUxIDIwNS43MSA0NDku&#10;NyAyMDYuMzIgNDQ5LjcyIDIwNi41NCA0NDkuNjUgMjA2Ljc0IDQ0OS40OCAyMDYuOTQgNDQ5LjIy&#10;IDIwNy4yMiA0NDguNzcgMjA3LjQ0IDQ0OC4yNCAyMDcuNTQgNDQ3LjE0IDIwNy43NCA0NDUuOSAy&#10;MDcuMzkgNDQ1LjU1IDIwNi43NyA0NDUuMjIgMjA2LjE4IDQ0NC44MyAyMDUuNjEgNDQ0LjQ1IDIw&#10;NS4wNCA0NDQuMSAyMDQuNTIgNDQzLjgxIDIwMy45OSA0NDMuNTMgMjAzLjQ1IDQ0Mi45NyAyMDIu&#10;MzcgNDQyLjU0IDIwMS4yNiA0NDIuMTIgMjAwLjE1IDQ0MS42OCAxOTguOTggNDQxLjMyIDE5Ny44&#10;IDQ0MSAxOTYuNjEgNDQwLjg2IDE5Ni4wNyA0NDAuNzQgMTk1LjUzIDQ0MC42NCAxOTQuOTkgNDQw&#10;LjU5IDE5NC43NCA0NDAuNTUgMTk0LjQ4IDQ0MC41MyAxOTQuMjIgNDQwLjUgMTkzLjg3IDQ0MC41&#10;MSAxOTMuNSA0NDAuODEgMTkzLjE4IDQ0MS4wNCAxOTIuOTMgNDQxLjQyIDE5Mi43NCA0NDEuOSAx&#10;OTIuNjUgNDQyLjEyIDE5Mi42MSA0NDIuMzQgMTkyLjU5IDQ0Mi41NSAxOTIuNiA0NDIuOTggMTky&#10;LjYxIDQ0My4zNyAxOTIuNzIgNDQzLjc1IDE5Mi44N1oiIGZpbGw9IiMwMTAxMDEiLz48cGF0aCBk&#10;PSJNNDUwLjQ3IDE5MS4xOEM0NTEuOCAxOTEuMzcgNDUyLjMxIDE5Mi4xOSA0NTIuNzkgMTkyLjgz&#10;IDQ1My4xNiAxOTMuMzMgNDUzLjQ3IDE5My44MyA0NTMuNzggMTk0LjM0IDQ1NC4zOCAxOTUuMzEg&#10;NDU0LjkzIDE5Ni4zIDQ1NS40NSAxOTcuMjkgNDU1Ljk5IDE5OC4zMSA0NTYuNDcgMTk5LjM0IDQ1&#10;Ni44OCAyMDAuMzggNDU3LjI5IDIwMS40MiA0NTcuNjkgMjAyLjQ2IDQ1OC4yIDIwMy40OSA0NTgu&#10;NDkgMjA0LjA3IDQ1OC43OSAyMDQuNjUgNDU5LjExIDIwNS4yMyA0NTkuNDggMjA1LjkzIDQ1OC44&#10;NCAyMDYuNyA0NTcuNTkgMjA2LjkzIDQ1Ni4zNyAyMDcuMTYgNDU0Ljk3IDIwNi43NyA0NTQuNTkg&#10;MjA2LjA3IDQ1My45OSAyMDQuOTggNDUzLjM5IDIwMy44OCA0NTIuNzEgMjAyLjggNDUyLjA2IDIw&#10;MS43NyA0NTEuMzkgMjAwLjc2IDQ1MC44NSAxOTkuNzIgNDUwLjM0IDE5OC43MyA0NDkuOTQgMTk3&#10;LjczIDQ0OS41MyAxOTYuNzIgNDQ5LjMzIDE5Ni4yMSA0NDkuMTMgMTk1LjcgNDQ4Ljk1IDE5NS4x&#10;OCA0NDguNzMgMTk0LjU2IDQ0OC40OSAxOTMuOTQgNDQ4LjM2IDE5My4zMSA0NDguMjkgMTkyLjk1&#10;IDQ0OC4yNSAxOTIuNTkgNDQ4LjM0IDE5Mi4yNCA0NDguMzggMTkyLjA1IDQ0OC40NyAxOTEuODgg&#10;NDQ4LjYyIDE5MS43MSA0NDguOTIgMTkxLjM5IDQ0OS41NiAxOTEuMTQgNDUwLjIyIDE5MS4xNiA0&#10;NTAuMzEgMTkxLjE2IDQ1MC4zOSAxOTEuMTcgNDUwLjQ4IDE5MS4xOFoiIGZpbGw9IiMwMTAxMDEi&#10;Lz48cGF0aCBkPSJNNDczLjAyIDE4My45M0M0NzMuNjUgMTg0LjE3IDQ3NC4wMiAxODQuNjUgNDc0&#10;LjM0IDE4NS4wOCA0NzQuNjcgMTg1LjUzIDQ3NC45NyAxODUuOTkgNDc1LjI3IDE4Ni40NSA0NzUu&#10;NzkgMTg3LjI2IDQ3Ni4yOSAxODguMDcgNDc2Ljc4IDE4OC44OSA0NzcuODQgMTkwLjYzIDQ3OC45&#10;IDE5Mi4zNyA0NzkuNzUgMTk0LjE2IDQ4MCAxOTQuNjkgNDc5LjY5IDE5NS4yOCA0NzkuMDUgMTk1&#10;LjU4IDQ3OC42NyAxOTUuNzUgNDc4LjIxIDE5NS44MiA0NzcuNzcgMTk1Ljc1IDQ3Ny4zNyAxOTUu&#10;NjkgNDc2Ljg1IDE5NS40OSA0NzYuNjYgMTk1LjIxIDQ3Ni4wMSAxOTQuMjYgNDc1LjQzIDE5My4z&#10;IDQ3NC44NiAxOTIuMzIgNDc0LjM4IDE5MS41IDQ3My45MiAxOTAuNjcgNDczLjQ2IDE4OS44NSA0&#10;NzIuOTkgMTg5IDQ3Mi41MSAxODguMTQgNDcyLjA2IDE4Ny4yOSA0NzEuODYgMTg2LjkxIDQ3MS42&#10;NyAxODYuNTMgNDcxLjUgMTg2LjE1IDQ3MS40MSAxODUuOTQgNDcxLjMzIDE4NS43MyA0NzEuMjYg&#10;MTg1LjUyIDQ3MS4xNiAxODUuMjMgNDcxLjA2IDE4NC44NiA0NzEuMTggMTg0LjU3IDQ3MS4yOSAx&#10;ODQuMzIgNDcxLjQzIDE4NC4xMiA0NzEuNzUgMTgzLjk4IDQ3MS45OCAxODMuODcgNDcyLjI2IDE4&#10;My44MiA0NzIuNTQgMTgzLjgzIDQ3Mi43MSAxODMuODMgNDcyLjg4IDE4My44NyA0NzMuMDQgMTgz&#10;LjkzWiIgZmlsbD0iIzAxMDEwMSIvPjxwYXRoIGQ9Ik00ODQuODcgMTg4LjZDNDg0Ljg3IDE4OC42&#10;IDQ4NC44MyAxODguNTQgNDg0LjgxIDE4OC41MSA0ODQuOCAxODguNDkgNDg0Ljc5IDE4OC40NyA0&#10;ODQuNzcgMTg4LjQ2IDQ4NC44IDE4OC41MSA0ODQuODMgMTg4LjU1IDQ4NC44NiAxODguNlpNNDc4&#10;IDE3OS4xOUM0NzguNDIgMTc5LjQ2IDQ3OC42MSAxNzkuODEgNDc4LjYxIDE4MC4xNiA0NzkuNjgg&#10;MTgxLjIxIDQ4MC41MiAxODIuNCA0ODEuMzYgMTgzLjU1IDQ4Mi41MSAxODUuMTMgNDgzLjYyIDE4&#10;Ni43MiA0ODQuNjkgMTg4LjMyIDQ4NC42IDE4OC4xOCA0ODQuNTEgMTg4LjA1IDQ4NC40MiAxODcu&#10;OTEgNDg0LjU0IDE4OC4wOSA0ODQuNjYgMTg4LjI3IDQ4NC43OCAxODguNDYgNDg0Ljc4IDE4OC40&#10;NSA0ODQuNzYgMTg4LjQ0IDQ4NC43NiAxODguNDMgNDg0Ljc4IDE4OC40NiA0ODQuOCAxODguNDkg&#10;NDg0LjgyIDE4OC41Mkw0ODQuOTEgMTg4LjY1QzQ4NC45MSAxODguNjUgNDg0Ljg5IDE4OC42MiA0&#10;ODQuODggMTg4LjYxIDQ4NC45IDE4OC42NCA0ODQuOTMgMTg4LjY4IDQ4NC45NSAxODguNzEgNDg0&#10;Ljk4IDE4OC43NSA0ODUuMDEgMTg4LjggNDg1LjA0IDE4OC44NCA0ODUuMDMgMTg4LjgyIDQ4NS4w&#10;MSAxODguOCA0ODUgMTg4Ljc4IDQ4NS42NSAxODkuNzYgNDg2LjI5IDE5MC43NSA0ODYuODkgMTkx&#10;Ljc1IDQ4Ny41MyAxOTIuODIgNDg4LjA2IDE5My45MSA0ODguNjkgMTk0Ljk4IDQ4OS4wOCAxOTUu&#10;NjMgNDg4LjU4IDE5Ni40NCA0ODcuNzkgMTk2LjggNDg3LjMxIDE5Ny4wMiA0ODYuNzEgMTk3LjEg&#10;NDg2LjE1IDE5Ny4wMiA0ODUuNjIgMTk2Ljk1IDQ4NC45OCAxOTYuNjkgNDg0LjcyIDE5Ni4zMyA0&#10;ODMuNzQgMTk0LjkzIDQ4Mi42NyAxOTMuNTcgNDgxLjc0IDE5Mi4xNSA0ODAuODggMTkwLjg2IDQ4&#10;MC4wOCAxODkuNTUgNDc5LjI4IDE4OC4yNCA0NzguNSAxODYuOTUgNDc3LjcyIDE4NS42NyA0NzYu&#10;OTggMTg0LjM3IDQ3Ni4zOSAxODMuMzMgNDc1LjgxIDE4Mi4yOSA0NzUuNDQgMTgxLjIxIDQ3NS4y&#10;IDE4MS4wNiA0NzUuMDEgMTgwLjg2IDQ3NC45MSAxODAuNjMgNDc0LjY0IDE4MC4wNSA0NzQuOTcg&#10;MTc5LjM5IDQ3NS42OSAxNzkuMDYgNDc2LjA0IDE3OC45IDQ3Ni40NCAxNzguODMgNDc2Ljg0IDE3&#10;OC44NSA0NzcuMjcgMTc4Ljg3IDQ3Ny42OSAxNzguOTkgNDc4LjAyIDE3OS4yWiIgZmlsbD0iIzAx&#10;MDEwMSIvPjxwYXRoIGQ9Ik00ODYuODcgMTc3LjNDNDg3LjMgMTc3LjY4IDQ4Ny43IDE3OC4wOCA0&#10;ODguMDggMTc4LjQ5IDQ4OC44IDE3OS4yNyA0ODkuNDYgMTgwLjA3IDQ5MC4xMSAxODAuODggNDkx&#10;LjQ2IDE4Mi41NSA0OTIuNzkgMTg0LjIzIDQ5NC4xMSAxODUuOTIgNDk0LjYgMTg2LjU0IDQ5NS4w&#10;OCAxODcuMTYgNDk1LjUzIDE4Ny44IDQ5Ni4wOCAxODguNTkgNDk2LjU5IDE4OS4zOSA0OTcuMDkg&#10;MTkwLjIgNDk3LjIgMTkwLjQ0IDQ5Ny4yMiAxOTAuNjkgNDk3LjE1IDE5MC45MyA0OTcuMDQgMTkx&#10;LjMxIDQ5Ni43MiAxOTEuNjUgNDk2LjI3IDE5MS44NiA0OTUuMzMgMTkyLjI5IDQ5NC4wOSAxOTIu&#10;MDggNDkzLjQ3IDE5MS40MyA0OTIuNjggMTkwLjU5IDQ5MS45MiAxODkuNzQgNDkxLjI0IDE4OC44&#10;NiA0OTAuNTkgMTg4LjAzIDQ5MC4wMSAxODcuMTcgNDg5LjQxIDE4Ni4zMiA0ODguMTkgMTg0LjYx&#10;IDQ4NyAxODIuODkgNDg1LjggMTgxLjE3IDQ4NS4zIDE4MC40NCA0ODQuOCAxNzkuNzIgNDg0LjMx&#10;IDE3OC45OSA0ODQuMTEgMTc4LjY5IDQ4My45MiAxNzguMzggNDgzLjc0IDE3OC4wNyA0ODMuNjYg&#10;MTc3LjkzIDQ4My42IDE3Ny43OSA0ODMuNTUgMTc3LjY1IDQ4My41MSAxNzcuNTUgNDgzLjQ1IDE3&#10;Ny4zNiA0ODMuNDUgMTc3LjIzIDQ4My40NSAxNzcuMDIgNDgzLjUgMTc2Ljg4IDQ4My42IDE3Ni42&#10;OSA0ODMuNzUgMTc2LjQyIDQ4NC4yMSAxNzYuMjQgNDg0LjYgMTc2LjIyIDQ4NC42NiAxNzYuMjIg&#10;NDg0LjcyIDE3Ni4yMiA0ODQuNzcgMTc2LjIyIDQ4NS42NyAxNzYuMjYgNDg2LjM1IDE3Ni44NSA0&#10;ODYuODcgMTc3LjMxWiIgZmlsbD0iIzAxMDEwMSIvPjxwYXRoIGQ9Ik00OTMuMzQgMTcxLjIxQzQ5&#10;My40MyAxNzEuMjUgNDkzLjUyIDE3MS4yOSA0OTMuNjIgMTcxLjM1IDQ5My45MiAxNzEuNTMgNDk0&#10;LjE2IDE3MS43NyA0OTQuNCAxNzEuOTkgNDk0Ljg2IDE3Mi40MiA0OTUuMjcgMTcyLjg2IDQ5NS42&#10;NiAxNzMuMzEgNDk2LjUzIDE3NC4zIDQ5Ny4zOCAxNzUuMzEgNDk4LjI0IDE3Ni4zMSA0OTkuOCAx&#10;NzguMTEgNTAxLjI5IDE3OS45NCA1MDIuOTUgMTgxLjY5IDUwMy41OSAxODIuMzYgNTA0LjI1IDE4&#10;My4wMSA1MDQuOTMgMTgzLjY2IDUwNS4yOSAxODQuMDEgNTA1LjY0IDE4NC4zNSA1MDUuOTggMTg0&#10;LjcgNTA2LjEzIDE4NC44NiA1MDYuMjkgMTg1LjAxIDUwNi40MyAxODUuMTcgNTA2LjY4IDE4NS40&#10;NiA1MDYuODUgMTg1Ljc4IDUwNy4wMSAxODYuMSA1MDcuMzIgMTg2Ljc1IDUwNi45NCAxODcuNDkg&#10;NTA2LjE0IDE4Ny44NiA1MDUuMzQgMTg4LjIyIDUwNC4yMyAxODguMTcgNTAzLjU0IDE4Ny43IDUw&#10;My4xNyAxODcuNDUgNTAyLjc5IDE4Ny4xOCA1MDIuNTIgMTg2Ljg2IDUwMi4zMyAxODYuNjMgNTAy&#10;LjE0IDE4Ni40IDUwMS45NSAxODYuMTcgNTAxLjU3IDE4NS42OSA1MDEuMjIgMTg1LjIgNTAwLjg2&#10;IDE4NC43MSA1MDAuMjEgMTgzLjg0IDQ5OS41OSAxODIuOTYgNDk4LjkzIDE4Mi4wOSA0OTguMjEg&#10;MTgxLjE0IDQ5Ny40OCAxODAuMTkgNDk2Ljc4IDE3OS4yMyA0OTYuMDQgMTc4LjI0IDQ5NS4zNSAx&#10;NzcuMjQgNDk0LjY0IDE3Ni4yNCA0OTQuMDMgMTc1LjM4IDQ5My40MyAxNzQuNTIgNDkyLjg2IDE3&#10;My42NCA0OTIuNjIgMTczLjI2IDQ5Mi4zOCAxNzIuODggNDkyLjE2IDE3Mi40OCA0OTIuMDUgMTcy&#10;LjI4IDQ5MS45OCAxNzIuMDggNDkxLjkyIDE3MS44NiA0OTEuOSAxNzEuNzcgNDkxLjkxIDE3MS42&#10;OSA0OTEuOTQgMTcxLjYxIDQ5MS45NCAxNzEuNDEgNDkyLjA2IDE3MS4yMiA0OTIuMzEgMTcxLjEg&#10;NDkyLjQ1IDE3MS4wNCA0OTIuNjIgMTcxLjAxIDQ5Mi43OSAxNzEuMDIgNDkzIDE3MS4wMiA0OTMu&#10;MiAxNzEuMDkgNDkzLjM1IDE3MS4xOFoiIGZpbGw9IiMwMTAxMDEiLz48cGF0aCBkPSJNNTAxLjE5&#10;IDE2NS44QzUwMS4xOSAxNjUuOCA1MDEuMjQgMTY1LjgyIDUwMS4yNiAxNjUuODMgNTAxLjM5IDE2&#10;NS44OSA1MDEuNTIgMTY1Ljk0IDUwMS42NSAxNjUuOTkgNTAyLjA0IDE2Ni4xNSA1MDIuNDEgMTY2&#10;LjM2IDUwMi43NiAxNjYuNTYgNTAzLjM3IDE2Ni45MSA1MDMuOTUgMTY3LjMgNTA0LjUgMTY3Ljcg&#10;NTA1LjY3IDE2OC41NiA1MDYuODIgMTY5LjQ0IDUwNy45NyAxNzAuMzEgNTEwLjE5IDE3MiA1MTIu&#10;MzggMTczLjcgNTE0LjY0IDE3NS4zNiA1MTUuNjggMTc2LjEzIDUxNi42OSAxNzYuOTEgNTE3LjY3&#10;IDE3Ny43MiA1MTguMzEgMTc4LjI0IDUxOC45MyAxNzguNzcgNTE5LjU0IDE3OS4zIDUyMC4wNiAx&#10;NzkuNzcgNTIwLjU0IDE4MC4yNiA1MjEuMDYgMTgwLjczIDUyMS4yOCAxODAuOTcgNTIxLjQgMTgx&#10;LjIzIDUyMS40MiAxODEuNTIgNTIxLjQ2IDE4MS45NiA1MjEuMjQgMTgyLjQgNTIwLjgzIDE4Mi43&#10;MiA1MjAuNDMgMTgzLjAzIDUxOS44NiAxODMuMjMgNTE5LjI3IDE4My4yNSA1MTguNyAxODMuMjgg&#10;NTE3Ljk5IDE4My4xMyA1MTcuNTkgMTgyLjgzIDUxNi45OSAxODIuMzcgNTE2LjM1IDE4MS45NCA1&#10;MTUuNzYgMTgxLjQ3IDUxNS4yIDE4MS4wMyA1MTQuNjUgMTgwLjU3IDUxNC4xMSAxODAuMTIgNTEy&#10;Ljk2IDE3OS4xNSA1MTEuODMgMTc4LjE3IDUxMC43NCAxNzcuMTcgNTA4Ljc1IDE3NS4zMyA1MDYu&#10;NzIgMTczLjUyIDUwNC43NCAxNzEuNjkgNTAzLjcgMTcwLjczIDUwMi42NiAxNjkuNzcgNTAxLjY2&#10;IDE2OC43OSA1MDEuMTkgMTY4LjMzIDUwMC43NCAxNjcuODYgNTAwLjMzIDE2Ny4zOCA1MDAuMTYg&#10;MTY3LjE3IDUwMC4wMSAxNjYuOTUgNDk5Ljg5IDE2Ni43MiA0OTkuODcgMTY2LjY4IDQ5OS44NSAx&#10;NjYuNjMgNDk5LjgzIDE2Ni41OSA0OTkuNjYgMTY2LjM2IDQ5OS43MiAxNjYuMDUgNDk5Ljk2IDE2&#10;NS44NiA1MDAuMTQgMTY1LjcyIDUwMC40MyAxNjUuNjQgNTAwLjcgMTY1LjY1IDUwMC44OCAxNjUu&#10;NjUgNTAxLjA1IDE2NS43IDUwMS4xOCAxNjUuNzlaIiBmaWxsPSIjMDEwMTAxIi8+PHBhdGggZD0i&#10;TTUxMi42IDE1OS42OUM1MTIuNzYgMTU5Ljc5IDUxMi44NyAxNTkuOTMgNTEyLjkyIDE2MC4wNyA1&#10;MTMuMTYgMTYwLjMzIDUxMy40NiAxNjAuNTcgNTEzLjczIDE2MC44MSA1MTQuMTUgMTYxLjE4IDUx&#10;NC41OCAxNjEuNTQgNTE1IDE2MS45IDUxNS44MyAxNjIuNjIgNTE2LjY1IDE2My4zNSA1MTcuNDYg&#10;MTY0LjA4IDUxOS4xIDE2NS41NyA1MjAuNzQgMTY3LjA3IDUyMi40MyAxNjguNTQgNTIzLjQ4IDE2&#10;OS40NiA1MjQuNTUgMTcwLjM4IDUyNS42MSAxNzEuMyA1MjYuNjkgMTcyLjI0IDUyNy43NCAxNzMu&#10;MTggNTI4LjgzIDE3NC4xMiA1MjguOTUgMTc0LjI2IDUyOS4wMiAxNzQuNDEgNTI5LjA0IDE3NC41&#10;NyA1MjkuMDYgMTc0LjgyIDUyOC45NCAxNzUuMDggNTI4LjcgMTc1LjI2IDUyOC40NyAxNzUuNDQg&#10;NTI4LjE0IDE3NS41NSA1MjcuOCAxNzUuNTcgNTI3LjQ4IDE3NS41OCA1MjcuMDUgMTc1LjUxIDUy&#10;Ni44MyAxNzUuMzMgNTI1Ljk0IDE3NC42MSA1MjUuMDIgMTczLjkyIDUyNC4xNCAxNzMuMjEgNTIz&#10;LjIyIDE3Mi40NiA1MjIuMzYgMTcxLjY4IDUyMS41IDE3MC45IDUxOS45NCAxNjkuNDYgNTE4LjM3&#10;IDE2OC4wMiA1MTYuODQgMTY2LjU3IDUxNS43NyAxNjUuNTYgNTE0LjcyIDE2NC41NSA1MTMuNjYg&#10;MTYzLjUzIDUxMy4xNCAxNjMuMDMgNTEyLjYzIDE2Mi41MiA1MTIuMTIgMTYyLjAxIDUxMS45IDE2&#10;MS43OCA1MTEuNjggMTYxLjU1IDUxMS40NyAxNjEuMzIgNTExLjMyIDE2MS4xNiA1MTEuMTcgMTYw&#10;Ljk5IDUxMS4wNCAxNjAuODEgNTEwLjk0IDE2MC43MyA1MTAuODYgMTYwLjYzIDUxMC44MSAxNjAu&#10;NTMgNTEwLjY1IDE2MC4yIDUxMC44NCAxNTkuODIgNTExLjI2IDE1OS42MyA1MTEuNDYgMTU5LjU0&#10;IDUxMS42OSAxNTkuNSA1MTEuOTIgMTU5LjUxIDUxMi4xNyAxNTkuNTEgNTEyLjQxIDE1OS41OSA1&#10;MTIuNiAxNTkuNzFaIiBmaWxsPSIjMDEwMTAxIi8+PHBhdGggZD0iTTUzMy4wMSAxNjYuODRDNTMz&#10;LjAxIDE2Ni44NCA1MzMuMDkgMTY2LjkxIDUzMy4xMyAxNjYuOTQgNTMzLjEzIDE2Ni45NCA1MzMu&#10;MTMgMTY2Ljk0IDUzMy4xNCAxNjYuOTUgNTMzLjE0IDE2Ni45NSA1MzMuMTUgMTY2Ljk2IDUzMy4x&#10;NiAxNjYuOTdMNTMzLjE2IDE2Ni45N0M1MzMuMTYgMTY2Ljk3IDUzMy4yNSAxNjcuMDUgNTMzLjMg&#10;MTY3LjA4IDUzMy4yNSAxNjcuMDQgNTMzLjIgMTY3IDUzMy4xNSAxNjYuOTYgNTMzLjA3IDE2Ni45&#10;IDUzMyAxNjYuODMgNTMyLjkyIDE2Ni43NyA1MzIuOTUgMTY2LjggNTMyLjk4IDE2Ni44MiA1MzMu&#10;MDEgMTY2Ljg1Wk01MzUuNzUgMTY5LjA3QzUzNS43NSAxNjkuMDcgNTM1Ljc5IDE2OS4xIDUzNS44&#10;IDE2OS4xMiA1MzUuNzggMTY5LjEgNTM1Ljc2IDE2OS4wOSA1MzUuNzUgMTY5LjA3Wk01MzMuMDEg&#10;MTY2Ljg1QzUzMy4wMSAxNjYuODUgNTMzLjA3IDE2Ni45IDUzMy4xIDE2Ni45MiA1MzMuMDcgMTY2&#10;LjkgNTMzLjA0IDE2Ni44NyA1MzMuMDEgMTY2Ljg1Wk01MjIuNzYgMTU0IDUyMi43NiAxNTRDNTIy&#10;LjkyIDE1NC4xIDUyMy4wNiAxNTQuMjEgNTIzLjE4IDE1NC4zMSA1MjMuNDYgMTU0LjUzIDUyMy43&#10;MiAxNTQuNzYgNTIzLjk4IDE1NC45OSA1MjQuNDggMTU1LjQyIDUyNC45OCAxNTUuODYgNTI1LjQ4&#10;IDE1Ni4zIDUyNi40MiAxNTcuMTQgNTI3LjM2IDE1Ny45OCA1MjguMzEgMTU4LjgyIDUzMC4yNCAx&#10;NjAuNTMgNTMyLjE5IDE2Mi4yMyA1MzQuMDYgMTYzLjk2IDUzNC44NCAxNjQuNjkgNTM1LjYyIDE2&#10;NS40MiA1MzYuMzQgMTY2LjE3IDUzNy4xIDE2Ni45NiA1MzcuODQgMTY3Ljc1IDUzOC42NiAxNjgu&#10;NTIgNTM5LjEyIDE2OC45NSA1MzguODUgMTY5LjYxIDUzOC4yNSAxNjkuODggNTM3Ljk1IDE3MC4w&#10;MiA1MzcuNTggMTcwLjA3IDUzNy4yMyAxNzAuMDIgNTM2LjgzIDE2OS45NiA1MzYuNTkgMTY5Ljgg&#10;NTM2LjM0IDE2OS41OSA1MzYuMTcgMTY5LjQ0IDUzNiAxNjkuMjkgNTM1LjgzIDE2OS4xNSA1MzQu&#10;OTYgMTY4LjQzIDUzNC4wNCAxNjcuNzMgNTMzLjE4IDE2NyA1MzMuMjcgMTY3LjA4IDUzMy4zNiAx&#10;NjcuMTUgNTMzLjQ2IDE2Ny4yMyA1MzMuMzUgMTY3LjE0IDUzMy4yNSAxNjcuMDUgNTMzLjE0IDE2&#10;Ni45NiA1MzMuMSAxNjYuOTIgNTMzLjA1IDE2Ni44OSA1MzMuMDEgMTY2Ljg1IDUzMi45NyAxNjYu&#10;ODEgNTMyLjkzIDE2Ni43OCA1MzIuODggMTY2Ljc0IDUzMi44OSAxNjYuNzUgNTMyLjkgMTY2Ljc2&#10;IDUzMi45MiAxNjYuNzcgNTMwLjk5IDE2NS4xMyA1MjkuMTkgMTYzLjQgNTI3LjQxIDE2MS42OCA1&#10;MjUuNTYgMTU5LjkgNTIzLjY4IDE1OC4xMiA1MjEuOSAxNTYuMzEgNTIxLjY3IDE1Ni4wOCA1MjEu&#10;NDYgMTU1Ljg0IDUyMS4yNSAxNTUuNiA1MjEuMDggMTU1LjQgNTIwLjg4IDE1NS4xOCA1MjAuNzkg&#10;MTU0Ljk0IDUyMC42NSAxNTQuNjUgNTIwLjczIDE1NC4zMSA1MjEuMDQgMTU0LjA3IDUyMS4zIDE1&#10;My44NyA1MjEuNjYgMTUzLjc3IDUyMi4wMiAxNTMuNzkgNTIyLjI5IDE1My44IDUyMi41NiAxNTMu&#10;ODcgNTIyLjc4IDE1NC4wMVoiIGZpbGw9IiMwMTAxMDEiLz48cGF0aCBkPSJNNTM0LjA3IDE1Mi40&#10;NUM1MzQgMTUyLjM5IDUzMy45MiAxNTIuMzMgNTMzLjg1IDE1Mi4yNyA1MzMuOTIgMTUyLjMzIDUz&#10;NCAxNTIuMzkgNTM0LjA3IDE1Mi40NVpNNTQzLjY4IDE2NC43MkM1NDMuNjggMTY0LjcyIDU0My42&#10;OCAxNjQuNzIgNTQzLjY4IDE2NC43MiA1NDMuNzIgMTY0Ljc1IDU0My43NiAxNjQuNzkgNTQzLjgg&#10;MTY0LjgyIDU0My43NCAxNjQuNzcgNTQzLjY5IDE2NC43MyA1NDMuNjMgMTY0LjY4IDU0My42NCAx&#10;NjQuNjkgNTQzLjY1IDE2NC43IDU0My42NyAxNjQuNzFaTTUzMC4yNiAxNDkuODhDNTMwLjY4IDE0&#10;OS45MyA1MzEuMDggMTUwLjE0IDUzMS4zOSAxNTAuMzQgNTMxLjY1IDE1MC41MSA1MzEuOTEgMTUw&#10;LjY5IDUzMi4xNSAxNTAuODggNTMyLjc0IDE1MS4zMyA1MzMuMyAxNTEuOCA1MzMuODYgMTUyLjI3&#10;IDUzMy44NCAxNTIuMjYgNTMzLjgzIDE1Mi4yNCA1MzMuODEgMTUyLjIzIDUzNS42MSAxNTMuNzUg&#10;NTM3LjM2IDE1NS4zMSA1MzkuMDcgMTU2Ljg4IDU0MC43MiAxNTguNCA1NDIuMzkgMTU5LjkxIDU0&#10;My44OCAxNjEuNSA1NDQuODggMTYyLjU3IDU0NS44NiAxNjMuNjQgNTQ2LjkzIDE2NC42NyA1NDcu&#10;MzUgMTY1LjA3IDU0Ny4xMSAxNjUuNjggNTQ2LjU1IDE2NS45NCA1NDYuMjcgMTY2LjA3IDU0NS45&#10;MiAxNjYuMTIgNTQ1LjU5IDE2Ni4wNyA1NDUuMjIgMTY2LjAyIDU0NC45OCAxNjUuODcgNTQ0Ljc2&#10;IDE2NS42NyA1NDQuNDMgMTY1LjM3IDU0NC4wOCAxNjUuMDcgNTQzLjc0IDE2NC43NyA1NDMuODEg&#10;MTY0LjgzIDU0My44OSAxNjQuODkgNTQzLjk2IDE2NC45NiA1NDMuODcgMTY0Ljg4IDU0My43OCAx&#10;NjQuODEgNTQzLjY5IDE2NC43MyA1NDMuNjkgMTY0LjczIDU0My42OSAxNjQuNzMgNTQzLjY5IDE2&#10;NC43MyA1NDMuNjYgMTY0LjcgNTQzLjYzIDE2NC42OCA1NDMuNiAxNjQuNjUgNTQzLjYyIDE2NC42&#10;NyA1NDMuNjQgMTY0LjY4IDU0My42NiAxNjQuNyA1NDMuNTkgMTY0LjY0IDU0My41MiAxNjQuNTgg&#10;NTQzLjQ1IDE2NC41MiA1NDMuNTIgMTY0LjU5IDU0My42IDE2NC42NSA1NDMuNjggMTY0LjcxIDU0&#10;Mi44MSAxNjMuOTkgNTQxLjkyIDE2My4yOSA1NDEuMDUgMTYyLjU3IDU0MC4xMSAxNjEuNzggNTM5&#10;LjIxIDE2MC45OCA1MzguMzEgMTYwLjE3IDUzNi42MyAxNTguNjQgNTM0Ljk5IDE1Ny4wOSA1MzMu&#10;MzYgMTU1LjU0IDUzMi41NiAxNTQuNzkgNTMxLjc3IDE1NC4wMyA1MzAuOTkgMTUzLjI3IDUzMC42&#10;IDE1Mi44OSA1MzAuMjEgMTUyLjUgNTI5LjgyIDE1Mi4xMSA1MjkuNDMgMTUxLjcyIDUyOC45MiAx&#10;NTEuMjYgNTI4Ljg3IDE1MC43NiA1MjguODIgMTUwLjI0IDUyOS40NiAxNDkuODUgNTMwLjE0IDE0&#10;OS44OCA1MzAuMTggMTQ5Ljg4IDUzMC4yMyAxNDkuODggNTMwLjI3IDE0OS44OVoiIGZpbGw9IiMw&#10;MTAxMDEiLz48cGF0aCBkPSJNNTQwLjIgMTQ0LjFDNTQwLjU0IDE0NC4xNSA1NDAuNzcgMTQ0LjMy&#10;IDU0MC45OSAxNDQuNDkgNTQxLjI4IDE0NC43MSA1NDEuNTUgMTQ0Ljk0IDU0MS44MiAxNDUuMTcg&#10;NTQyLjE5IDE0NS40OCA1NDIuNTQgMTQ1LjggNTQyLjg5IDE0Ni4xMyA1NDMuNTggMTQ2Ljc2IDU0&#10;NC4yNCAxNDcuNCA1NDQuOTEgMTQ4LjA0IDU0Ni4zIDE0OS4zNSA1NDcuNjggMTUwLjY3IDU0OS4w&#10;NSAxNTIgNTUwLjEzIDE1My4wNSA1NTEuMjEgMTU0LjExIDU1Mi4zMyAxNTUuMTQgNTUzLjQ5IDE1&#10;Ni4yIDU1NC42NiAxNTcuMjYgNTU1Ljg0IDE1OC4zMSA1NTYuMDEgMTU4LjQ3IDU1Ni4wNSAxNTgu&#10;NzIgNTU2IDE1OC45MSA1NTUuOTQgMTU5LjEzIDU1NS43NiAxNTkuMzIgNTU1LjUgMTU5LjQ0IDU1&#10;NS4yNSAxNTkuNTUgNTU0Ljk0IDE1OS42IDU1NC42NSAxNTkuNTUgNTU0LjMyIDE1OS41IDU1NC4x&#10;MiAxNTkuMzcgNTUzLjkxIDE1OS4xOSA1NTIuNDYgMTU3LjkgNTUwLjk2IDE1Ni42NCA1NDkuNDgg&#10;MTU1LjM3IDU0OC4wMyAxNTQuMTMgNTQ2LjY5IDE1Mi44MyA1NDUuMzYgMTUxLjUzIDU0NC4yNSAx&#10;NTAuNDMgNTQzLjE0IDE0OS4zNCA1NDIuMDUgMTQ4LjIzIDU0MS41MyAxNDcuNyA1NDEgMTQ3LjE2&#10;IDU0MC41IDE0Ni42MiA1NDAuMjIgMTQ2LjMzIDUzOS45NSAxNDYuMDQgNTM5LjY4IDE0NS43NCA1&#10;MzkuMzMgMTQ1LjM2IDUzOC45IDE0NC45MiA1MzkuMTkgMTQ0LjQ1IDUzOS4zNCAxNDQuMjIgNTM5&#10;LjcxIDE0NC4wOCA1NDAuMDcgMTQ0LjA5IDU0MC4xMSAxNDQuMDkgNTQwLjE2IDE0NC4wOSA1NDAu&#10;MiAxNDQuMVoiIGZpbGw9IiMwMTAxMDEiLz48cGF0aCBkPSJNNTUzLjg5IDE0My45NEM1NTMuODkg&#10;MTQzLjk0IDU1My44NiAxNDMuOTIgNTUzLjg1IDE0My45MSA1NTMuODYgMTQzLjkyIDU1My44OCAx&#10;NDMuOTMgNTUzLjg5IDE0My45NFpNNTU0LjM5IDE0OC4wNkM1NTQuNDUgMTQ4LjExIDU1NC41MSAx&#10;NDguMTYgNTU0LjU4IDE0OC4yMiA1NTQuNTEgMTQ4LjE2IDU1NC40NCAxNDguMSA1NTQuMzYgMTQ4&#10;LjA0IDU1NC4zNyAxNDguMDQgNTU0LjM4IDE0OC4wNiA1NTQuMzkgMTQ4LjA3Wk01NDguOTUgMTM5&#10;Ljk1QzU0OS40OSAxNDAuMzYgNTUwLjAyIDE0MC43OCA1NTAuNTQgMTQxLjIxIDU1MS42MSAxNDIu&#10;MDcgNTUyLjY4IDE0Mi45MyA1NTMuNzMgMTQzLjgxIDU1My43NyAxNDMuODQgNTUzLjgxIDE0My44&#10;OCA1NTMuODUgMTQzLjkxIDU1My44NCAxNDMuOSA1NTMuODMgMTQzLjg5IDU1My44MSAxNDMuODgg&#10;NTUzLjg1IDE0My45MiA1NTMuOSAxNDMuOTUgNTUzLjk0IDE0My45OSA1NTMuOTIgMTQzLjk3IDU1&#10;My45IDE0My45NiA1NTMuODggMTQzLjk0IDU1NS40MyAxNDUuMjQgNTU2Ljk1IDE0Ni41NiA1NTgu&#10;NDEgMTQ3LjkxIDU1OS4wOSAxNDguNTUgNTU5Ljc2IDE0OS4yIDU2MC40MiAxNDkuODUgNTYxLjEy&#10;IDE1MC41MyA1NjEuODUgMTUxLjIgNTYyLjU5IDE1MS44NiA1NjIuNzkgMTUyLjA0IDU2Mi44NCAx&#10;NTIuMzUgNTYyLjc4IDE1Mi41NyA1NjIuNzEgMTUyLjgyIDU2Mi40OSAxNTMuMDUgNTYyLjE5IDE1&#10;My4xOCA1NjEuOSAxNTMuMzEgNTYxLjU0IDE1My4zNiA1NjEuMiAxNTMuMzEgNTYwLjgxIDE1My4y&#10;NiA1NjAuNTggMTUzLjEgNTYwLjM0IDE1Mi44OSA1NjAuMTIgMTUyLjcgNTU5LjkgMTUyLjUyIDU1&#10;OS42OCAxNTIuMzMgNTU4Ljg4IDE1MS42NyA1NTguMDYgMTUxLjAyIDU1Ny4yMyAxNTAuMzggNTU2&#10;LjMyIDE0OS42NyA1NTUuNDQgMTQ4Ljk1IDU1NC41NyAxNDguMjEgNTU0LjU5IDE0OC4yMyA1NTQu&#10;NjEgMTQ4LjI0IDU1NC42MyAxNDguMjYgNTU0LjU1IDE0OC4xOSA1NTQuNDcgMTQ4LjEzIDU1NC4z&#10;OSAxNDguMDYgNTU0LjM4IDE0OC4wNSA1NTQuMzYgMTQ4LjA0IDU1NC4zNSAxNDguMDMgNTU0LjM1&#10;IDE0OC4wMyA1NTQuMzUgMTQ4LjAzIDU1NC4zNSAxNDguMDMgNTUyLjgxIDE0Ni43NCA1NTEuMjgg&#10;MTQ1LjQzIDU0OS43NyAxNDQuMTIgNTQ4Ljk5IDE0My40NCA1NDguMjEgMTQyLjc2IDU0Ny40NSAx&#10;NDIuMDYgNTQ3LjA5IDE0MS43MyA1NDYuNzIgMTQxLjM5IDU0Ni4zNiAxNDEuMDUgNTQ2LjIxIDE0&#10;MC45MSA1NDYuMDYgMTQwLjc3IDU0NS45MSAxNDAuNjIgNTQ1LjY3IDE0MC4zOCA1NDUuNDkgMTQw&#10;LjE1IDU0NS40MyAxMzkuODQgNTQ1LjMzIDEzOS4zNSA1NDUuOTggMTM4Ljg4IDU0Ni42NSAxMzgu&#10;ODYgNTQ2LjY5IDEzOC44NiA1NDYuNzQgMTM4Ljg2IDU0Ni43OCAxMzguODYgNTQ3LjY4IDEzOC45&#10;IDU0OC4zNSAxMzkuNDkgNTQ4LjkzIDEzOS45M1oiIGZpbGw9IiMwMTAxMDEiLz48cGF0aCBkPSJN&#10;NTY2LjAzIDE0NC42OEM1NjYuMDMgMTQ0LjY4IDU2Ni4wOCAxNDQuNzIgNTY2LjEgMTQ0Ljc0IDU2&#10;Ni4wOCAxNDQuNzIgNTY2LjA1IDE0NC43IDU2Ni4wMyAxNDQuNjhaTTU1Ni4xNSAxMzMuMTNDNTU2&#10;LjUyIDEzMy4yIDU1Ni43NyAxMzMuMzUgNTU3LjAyIDEzMy41NCA1NTcuMjUgMTMzLjcyIDU1Ny40&#10;NyAxMzMuOTEgNTU3LjY4IDEzNC4xMSA1NTguMDUgMTM0LjQ0IDU1OC40MSAxMzQuNzYgNTU4Ljc4&#10;IDEzNS4wOSA1NTkuNTEgMTM1Ljc1IDU2MC4yNSAxMzYuNCA1NjAuOTkgMTM3LjA2IDU2Mi41MiAx&#10;MzguNDEgNTY0LjA1IDEzOS43NiA1NjUuNTcgMTQxLjEyIDU2Ny40NyAxNDIuODIgNTY5LjI3IDE0&#10;NC41OCA1NzEuMTkgMTQ2LjI3IDU3MS4zOSAxNDYuNDUgNTcxLjQzIDE0Ni43NCA1NzEuMzcgMTQ2&#10;Ljk1IDU3MS4zIDE0Ny4xOSA1NzEuMSAxNDcuNDEgNTcwLjggMTQ3LjU0IDU3MC41MiAxNDcuNjcg&#10;NTcwLjE3IDE0Ny43MiA1NjkuODQgMTQ3LjY3IDU2OS40NyAxNDcuNjIgNTY5LjI0IDE0Ny40NyA1&#10;NjkuMDEgMTQ3LjI3IDU2Ny45NyAxNDYuMzYgNTY2LjkyIDE0NS40NSA1NjUuODUgMTQ0LjU1IDU2&#10;NS44OCAxNDQuNTcgNTY1LjkgMTQ0LjU5IDU2NS45MyAxNDQuNjEgNTY0LjMzIDE0My4yNiA1NjIu&#10;OCAxNDEuODggNTYxLjI5IDE0MC40OSA1NTkuODUgMTM5LjE2IDU1OC40MiAxMzcuODIgNTU3LjAz&#10;IDEzNi40NiA1NTYuNjIgMTM2LjA2IDU1Ni4yMyAxMzUuNjYgNTU1Ljg1IDEzNS4yNSA1NTUuNjUg&#10;MTM1LjA0IDU1NS40NiAxMzQuODIgNTU1LjI4IDEzNC42IDU1NS4wNSAxMzQuMzIgNTU0Ljg1IDEz&#10;NC4wMiA1NTQuOTQgMTMzLjY4IDU1NS4wMyAxMzMuMzQgNTU1LjQ5IDEzMy4wOCA1NTUuOTcgMTMz&#10;LjEgNTU2LjAyIDEzMy4xIDU1Ni4wOCAxMzMuMSA1NTYuMTMgMTMzLjEyWiIgZmlsbD0iIzAxMDEw&#10;MSIvPjxwYXRoIGQ9Ik01NjMuOTkgMTMwLjQyQzU2My45OSAxMzAuNDIgNTY0LjA1IDEzMC40NyA1&#10;NjQuMDcgMTMwLjQ5IDU2NC4wNCAxMzAuNDcgNTY0LjAxIDEzMC40NCA1NjMuOTkgMTMwLjQyWk01&#10;NjIuOSAxMjYuNjFDNTYzLjI3IDEyNi43NiA1NjMuNjIgMTI2Ljk1IDU2My45NSAxMjcuMTQgNTY0&#10;LjU3IDEyNy41MSA1NjUuMTcgMTI3LjkgNTY1Ljc2IDEyOC4zIDU2Ni45IDEyOS4wNyA1NjguMDEg&#10;MTI5Ljg2IDU2OS4xMiAxMzAuNjYgNTcxLjI5IDEzMi4yMiA1NzMuNDMgMTMzLjc5IDU3NS41NSAx&#10;MzUuMzggNTc2LjMxIDEzNS45NSA1NzcuMDggMTM2LjUyIDU3Ny44MyAxMzcuMSA1NzguNjYgMTM3&#10;Ljc1IDU3OS40MiAxMzguNDMgNTgwLjIgMTM5LjEgNTgwLjM4IDEzOS4yNSA1ODAuNTYgMTM5LjM5&#10;IDU4MC43NCAxMzkuNTMgNTgxLjA3IDEzOS43OSA1ODEuMyAxNDAuMDQgNTgxLjMzIDE0MC40IDU4&#10;MS4zNiAxNDAuNzQgNTgxLjE5IDE0MS4wOSA1ODAuODcgMTQxLjM0IDU4MC4yMyAxNDEuODUgNTc5&#10;LjAzIDE0MS45MiA1NzguMzIgMTQxLjQzIDU3Ny4xOSAxNDAuNjUgNTc1Ljk2IDEzOS45NiA1NzQu&#10;ODUgMTM5LjE4IDU3My43NiAxMzguNDIgNTcyLjc0IDEzNy42MSA1NzEuNzMgMTM2Ljc5IDU2OS43&#10;IDEzNS4xNiA1NjcuNzIgMTMzLjUxIDU2NS43MyAxMzEuODYgNTY1LjM1IDEzMS41NCA1NjQuOTYg&#10;MTMxLjIyIDU2NC41OCAxMzAuOSA1NjQuMzQgMTMwLjcgNTY0LjA5IDEzMC40OSA1NjMuODUgMTMw&#10;LjI5IDU2My4yNyAxMjkuOCA1NjIuNjkgMTI5LjMgNTYyLjEyIDEyOC44IDU2MS44NyAxMjguNTgg&#10;NTYxLjYyIDEyOC4zNiA1NjEuMzkgMTI4LjE0IDU2MS4xNCAxMjcuODkgNTYwLjgzIDEyNy41OCA1&#10;NjAuODUgMTI3LjI2IDU2MC44NyAxMjYuOTMgNTYxLjA5IDEyNi41NSA1NjEuNiAxMjYuNDYgNTYx&#10;Ljc4IDEyNi40MyA1NjEuOTUgMTI2LjQyIDU2Mi4xMiAxMjYuNDIgNTYyLjM5IDEyNi40MyA1NjIu&#10;NjUgMTI2LjQ5IDU2Mi45MSAxMjYuNTlaIiBmaWxsPSIjMDEwMTAxIi8+PHBhdGggZD0iTTU4NC4y&#10;MyAxMzUuODlDNTg0LjMgMTM1Ljk2IDU4NC4zOCAxMzYuMDIgNTg0LjQ2IDEzNi4wOCA1ODQuMzkg&#10;MTM2LjAyIDU4NC4zMSAxMzUuOTUgNTg0LjIzIDEzNS44OVpNNTczLjE0IDEyMi41N0M1NzMuNDIg&#10;MTIyLjY4IDU3My42MiAxMjIuODUgNTczLjgyIDEyMy4wMiA1NzQuMDcgMTIzLjIyIDU3NC4zIDEy&#10;My40MiA1NzQuNTQgMTIzLjYyIDU3NC45MyAxMjMuOTYgNTc1LjMxIDEyNC4zIDU3NS43IDEyNC42&#10;NCA1NzYuNDUgMTI1LjMxIDU3Ny4xOCAxMjUuOTkgNTc3LjkxIDEyNi42NyA1NzkuNDQgMTI4LjA4&#10;IDU4MC45OSAxMjkuNDcgNTgyLjU2IDEzMC44NiA1ODMuNiAxMzEuNzggNTg0LjYzIDEzMi43IDU4&#10;NS41OCAxMzMuNjcgNTg2LjUzIDEzNC42NCA1ODcuNTEgMTM1LjU4IDU4OC41MiAxMzYuNTEgNTg4&#10;Ljc0IDEzNi43MSA1ODguNzkgMTM3LjAyIDU4OC43MiAxMzcuMjUgNTg4LjY1IDEzNy41MSA1ODgu&#10;NDIgMTM3Ljc1IDU4OC4xIDEzNy45IDU4Ny43OSAxMzguMDQgNTg3LjQyIDEzOC4wOSA1ODcuMDYg&#10;MTM4LjA0IDU4Ni42NiAxMzcuOTggNTg2LjQgMTM3LjgyIDU4Ni4xNiAxMzcuNiA1ODUuNiAxMzcu&#10;MDkgNTg1LjAzIDEzNi42IDU4NC40NSAxMzYuMSA1ODMuNjYgMTM1LjQ1IDU4Mi44NCAxMzQuODIg&#10;NTgyLjA1IDEzNC4xNyA1ODEuMTggMTMzLjQ1IDU4MC4zNSAxMzIuNzEgNTc5LjU0IDEzMS45NSA1&#10;NzguMDQgMTMwLjU1IDU3Ni42MSAxMjkuMTEgNTc1LjI4IDEyNy42NCA1NzQuNjEgMTI2LjkgNTcz&#10;Ljk2IDEyNi4xNyA1NzMuMzQgMTI1LjQxIDU3My4wNiAxMjUuMDcgNTcyLjggMTI0LjczIDU3Mi41&#10;NSAxMjQuMzggNTcyLjIzIDEyMy45MiA1NzEuNzQgMTIzLjM1IDU3Mi4wNSAxMjIuODMgNTcyLjE3&#10;IDEyMi42MiA1NzIuNTEgMTIyLjUxIDU3Mi44MiAxMjIuNTIgNTcyLjkzIDEyMi41MiA1NzMuMDMg&#10;MTIyLjU0IDU3My4xMiAxMjIuNThaIiBmaWxsPSIjMDEwMTAxIi8+PHBhdGggZD0iTTU4NC42MiAx&#10;MTMuODZDNTg0Ljc2IDExMy44OCA1ODQuOTEgMTEzLjkzIDU4NS4wNSAxMTMuOTcgNTg1LjI5IDEx&#10;NC4wNCA1ODUuNSAxMTQuMTggNTg1LjcgMTE0LjMgNTg2LjAxIDExNC40NyA1ODYuMjcgMTE0LjY4&#10;IDU4Ni41NCAxMTQuODggNTg3LjA0IDExNS4yNSA1ODcuNTEgMTE1LjY0IDU4Ny45OCAxMTYuMDMg&#10;NTg5LjAyIDExNi45IDU5MC4wMiAxMTcuNzkgNTkxIDExOC42OSA1OTIuODQgMTIwLjM3IDU5NC42&#10;MyAxMjIuMDggNTk2LjMzIDEyMy44NCA1OTcuMDUgMTI0LjU5IDU5Ny43IDEyNS4zNyA1OTguMzYg&#10;MTI2LjE1IDU5OS4wNiAxMjYuOTcgNTk5LjgyIDEyNy43NSA2MDAuNjEgMTI4LjUyIDYwMS4xMyAx&#10;MjkuMDMgNjAwLjg0IDEyOS43OCA2MDAuMTMgMTMwLjExIDU5OS43OCAxMzAuMjcgNTk5LjM1IDEz&#10;MC4zMyA1OTguOTQgMTMwLjI3IDU5OC40OSAxMzAuMjEgNTk4LjE3IDEzMC4wMiA1OTcuOSAxMjku&#10;NzcgNTk3LjM0IDEyOS4yNCA1OTYuNzcgMTI4LjcyIDU5Ni4xNyAxMjguMiA1OTUuMTcgMTI3LjM4&#10;IDU5NC4xMyAxMjYuNTkgNTkzLjE2IDEyNS43NSA1OTIuMjMgMTI0Ljk1IDU5MS4zNSAxMjQuMTIg&#10;NTkwLjQ3IDEyMy4zIDU4OC42NCAxMjEuNTkgNTg2Ljg2IDExOS44NSA1ODUuMjIgMTE4LjA1IDU4&#10;NC43OCAxMTcuNTYgNTg0LjMzIDExNy4wNiA1ODMuOTQgMTE2LjU0IDU4My42NyAxMTYuMTggNTgz&#10;LjQyIDExNS44MiA1ODMuMjEgMTE1LjQ1IDU4My4wNiAxMTUuMTkgNTgzLjAzIDExNC44OSA1ODMu&#10;MDggMTE0LjYyIDU4My4xNSAxMTQuMjQgNTgzLjY2IDExMy44NCA1ODQuMjMgMTEzLjg1IDU4NC4z&#10;IDExMy44NSA1ODQuMzggMTEzLjg1IDU4NC40NSAxMTMuODUgNTg0LjUgMTEzLjg1IDU4NC41NiAx&#10;MTMuODUgNTg0LjYgMTEzLjg2WiIgZmlsbD0iIzAxMDEwMSIvPjxwYXRoIGQ9Ik01OTUuODIgMTEw&#10;LjAyQzU5Ni4zMiAxMTAuMDggNTk2LjczIDExMC4zMiA1OTcuMTEgMTEwLjU0IDU5Ny4zNSAxMTAu&#10;NjggNTk3LjU3IDExMC44NSA1OTcuNzkgMTExLjAxIDU5OC4zMiAxMTEuMzkgNTk4Ljc5IDExMS44&#10;IDU5OS4yNyAxMTIuMjEgNjAwLjEyIDExMi45MyA2MDAuOTIgMTEzLjY3IDYwMS43MSAxMTQuNDMg&#10;NjAzLjIxIDExNS44OCA2MDQuNzQgMTE3LjMyIDYwNi4yOCAxMTguNzUgNjA3LjMxIDExOS43IDYw&#10;OC4zNSAxMjAuNjUgNjA5LjQgMTIxLjYgNjA5LjY5IDEyMS44NiA2MDkuNzUgMTIyLjI4IDYwOS42&#10;NiAxMjIuNTkgNjA5LjU2IDEyMi45NCA2MDkuMjYgMTIzLjI2IDYwOC44NCAxMjMuNDUgNjA4LjQz&#10;IDEyMy42NCA2MDcuOTIgMTIzLjcxIDYwNy40NSAxMjMuNjQgNjA3LjI5IDEyMy42IDYwNy4xMyAx&#10;MjMuNTYgNjA2Ljk3IDEyMy41MiA2MDYuNjYgMTIzLjQxIDYwNi40MiAxMjMuMjUgNjA2LjI0IDEy&#10;My4wNSA2MDQuNjMgMTIxLjU5IDYwMy4wMyAxMjAuMTIgNjAxLjQxIDExOC42NyA1OTkuOCAxMTcu&#10;MjIgNTk4LjEyIDExNS44MSA1OTYuNjIgMTE0LjMgNTk2LjE4IDExMy44NSA1OTUuNzQgMTEzLjQg&#10;NTk1LjMxIDExMi45NCA1OTUuMDggMTEyLjY5IDU5NC44NiAxMTIuNDMgNTk0LjY0IDExMi4xOCA1&#10;OTQuNSAxMTIgNTk0LjM2IDExMS44MSA1OTQuMjQgMTExLjYxIDU5NC4xIDExMS4zNiA1OTQuMDcg&#10;MTExLjEgNTk0LjExIDExMC44MiA1OTQuMjEgMTEwLjMgNTk0Ljk1IDEwOS45OCA1OTUuNjQgMTEw&#10;LjAxIDU5NS42OSAxMTAuMDEgNTk1Ljc1IDExMC4wMSA1OTUuOCAxMTAuMDJaIiBmaWxsPSIjMDEw&#10;MTAxIi8+PHBhdGggZD0iTTYwNC42NyAxMDEuNzlDNjA0LjY3IDEwMS43OSA2MDQuNjUgMTAxLjgx&#10;IDYwNC42NCAxMDEuODJMNjA0LjY0IDEwMS44MkM2MDQuNjQgMTAxLjgyIDYwNC42NCAxMDEuODIg&#10;NjA0LjY0IDEwMS44MiA2MDQuNjQgMTAxLjgxIDYwNC42NiAxMDEuOCA2MDQuNjYgMTAxLjc5Wk02&#10;MDYuMTcgMTAxLjQ1QzYwNi4xNyAxMDEuNDUgNjA2LjIxIDEwMS40NiA2MDYuMjMgMTAxLjQ3IDYw&#10;Ni4yMiAxMDEuNDcgNjA2LjIgMTAxLjQ2IDYwNi4xOSAxMDEuNDUgNjA2LjE5IDEwMS40NSA2MDYu&#10;MTggMTAxLjQ1IDYwNi4xNyAxMDEuNDVaTTYwNS4zMSAxMDEuNEM2MDUuMzEgMTAxLjQgNjA1LjMx&#10;IDEwMS40IDYwNS4zMSAxMDEuNCA2MDUuMzEgMTAxLjQgNjA1LjMxIDEwMS40IDYwNS4zMSAxMDEu&#10;NCA2MDUuMzEgMTAxLjQgNjA1LjMxIDEwMS40IDYwNS4zMSAxMDEuNFpNNjA3LjY0IDEwMi4zN0M2&#10;MDguMTEgMTAyLjc3IDYwOC41NCAxMDMuMiA2MDguOTcgMTAzLjYzIDYwOS45MSAxMDQuNTUgNjEw&#10;Ljg0IDEwNS40NyA2MTEuNzYgMTA2LjQxIDYxMy41NSAxMDguMjIgNjE1LjE2IDExMC4xMSA2MTYu&#10;ODcgMTExLjk2IDYxNy44NyAxMTMuMDUgNjE4Ljg5IDExNC4xMiA2MTkuOSAxMTUuMjEgNjIwLjQg&#10;MTE1Ljc0IDYyMC4xNiAxMTYuNDcgNjE5LjQyIDExNi44MiA2MTguNjcgMTE3LjE3IDYxNy42NiAx&#10;MTcgNjE3LjE2IDExNi40OCA2MTUuNDUgMTE0LjY2IDYxMy43NCAxMTIuODQgNjExLjk1IDExMS4w&#10;NiA2MTAuMDkgMTA5LjIxIDYwOC4yNyAxMDcuMzMgNjA2LjU5IDEwNS4zOSA2MDYuMTYgMTA0Ljg5&#10;IDYwNS43NCAxMDQuMzcgNjA1LjM3IDEwMy44NSA2MDUuMTQgMTAzLjUyIDYwNC45IDEwMy4xOSA2&#10;MDQuNyAxMDIuODUgNjA0LjU3IDEwMi42MiA2MDQuNDggMTAyLjM4IDYwNC41IDEwMi4xNSA2MDQu&#10;NTEgMTAxLjk2IDYwNC42MSAxMDEuNzggNjA0Ljc5IDEwMS42NCA2MDQuOTYgMTAxLjUxIDYwNS4x&#10;OCAxMDEuNDIgNjA1LjQgMTAxLjM5IDYwNS41MiAxMDEuMzcgNjA1LjY0IDEwMS4zNiA2MDUuNzUg&#10;MTAxLjM3IDYwNi41MiAxMDEuNCA2MDcuMTQgMTAxLjk4IDYwNy42MiAxMDIuMzhaIiBmaWxsPSIj&#10;MDEwMTAxIi8+PC9zdmc+UEsDBBQABgAIAAAAIQAwMKYF3gAAAAcBAAAPAAAAZHJzL2Rvd25yZXYu&#10;eG1sTI/NasMwEITvhb6D2EBvjaz8lOBYDiG0PYVCk0LpbWNtbBNLMpZiO2/f7ak57sww+022GW0j&#10;eupC7Z0GNU1AkCu8qV2p4ev49rwCESI6g413pOFGATb540OGqfGD+6T+EEvBJS6kqKGKsU2lDEVF&#10;FsPUt+TYO/vOYuSzK6XpcOBy28hZkrxIi7XjDxW2tKuouByuVsP7gMN2rl77/eW8u/0clx/fe0Va&#10;P03G7RpEpDH+h+EPn9EhZ6aTvzoTRKOBh0RWF3MQ7M4WSx5yYkGpFcg8k/f8+S8AAAD//wMAUEsD&#10;BBQABgAIAAAAIQAiVg7uxwAAAKUBAAAZAAAAZHJzL19yZWxzL2Uyb0RvYy54bWwucmVsc7yQsWoD&#10;MQyG90LewWjv+e6GUkp8WUoha0gfQNg6n8lZNpYbmrePaZYGAt06SuL//g9td99xVWcqEhIbGLoe&#10;FLFNLrA38Hn8eH4FJRXZ4ZqYDFxIYDdtnrYHWrG2kCwhi2oUFgNLrflNa7ELRZQuZeJ2mVOJWNtY&#10;vM5oT+hJj33/ostvBkx3TLV3BsrejaCOl9ya/2aneQ6W3pP9isT1QYUOsXU3IBZP1UAkF/C2HDs5&#10;e9CPHYb/cRi6zD8O+u650xUAAP//AwBQSwECLQAUAAYACAAAACEAqNbHqBMBAABJAgAAEwAAAAAA&#10;AAAAAAAAAAAAAAAAW0NvbnRlbnRfVHlwZXNdLnhtbFBLAQItABQABgAIAAAAIQA4/SH/1gAAAJQB&#10;AAALAAAAAAAAAAAAAAAAAEQBAABfcmVscy8ucmVsc1BLAQItABQABgAIAAAAIQAYf0mbIAUAACQP&#10;AAAOAAAAAAAAAAAAAAAAAEMCAABkcnMvZTJvRG9jLnhtbFBLAQItAAoAAAAAAAAAIQAYyBwe/eEA&#10;AP3hAAAUAAAAAAAAAAAAAAAAAI8HAABkcnMvbWVkaWEvaW1hZ2UxLnBuZ1BLAQItAAoAAAAAAAAA&#10;IQDnftZg/w8BAP8PAQAUAAAAAAAAAAAAAAAAAL7pAABkcnMvbWVkaWEvaW1hZ2UyLnN2Z1BLAQIt&#10;ABQABgAIAAAAIQAwMKYF3gAAAAcBAAAPAAAAAAAAAAAAAAAAAO/5AQBkcnMvZG93bnJldi54bWxQ&#10;SwECLQAUAAYACAAAACEAIlYO7scAAAClAQAAGQAAAAAAAAAAAAAAAAD6+gEAZHJzL19yZWxzL2Uy&#10;b0RvYy54bWwucmVsc1BLBQYAAAAABwAHAL4BAAD4+wEAAAA=&#10;">
                <v:shape id="Graphic 1" o:spid="_x0000_s1050" type="#_x0000_t75" style="position:absolute;width:15608;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wGzQAAAOMAAAAPAAAAZHJzL2Rvd25yZXYueG1sRI9BT8Mw&#10;DIXvSPyHyEhc0JZsQAdl2QQbkyZxYkOVuFmNacsap2rC1v17fEDiaL/n9z7Pl4Nv1ZH62AS2MBkb&#10;UMRlcA1XFj72m9EDqJiQHbaBycKZIiwXlxdzzF048Tsdd6lSEsIxRwt1Sl2udSxr8hjHoSMW7Sv0&#10;HpOMfaVdjycJ962eGpNpjw1LQ40drWoqD7sfb8G0k+3h82b11q2Lc1G8Zvvvl+na2uur4fkJVKIh&#10;/Zv/rrdO8I2Z3d5lj/cCLT/JAvTiFwAA//8DAFBLAQItABQABgAIAAAAIQDb4fbL7gAAAIUBAAAT&#10;AAAAAAAAAAAAAAAAAAAAAABbQ29udGVudF9UeXBlc10ueG1sUEsBAi0AFAAGAAgAAAAhAFr0LFu/&#10;AAAAFQEAAAsAAAAAAAAAAAAAAAAAHwEAAF9yZWxzLy5yZWxzUEsBAi0AFAAGAAgAAAAhAAvaLAbN&#10;AAAA4wAAAA8AAAAAAAAAAAAAAAAABwIAAGRycy9kb3ducmV2LnhtbFBLBQYAAAAAAwADALcAAAAB&#10;AwAAAAA=&#10;">
                  <v:imagedata r:id="rId59" o:title="" cropleft="2286f"/>
                  <o:lock v:ext="edit" aspectratio="f"/>
                </v:shape>
                <v:shape id="Text Box 1675899161" o:spid="_x0000_s1051" type="#_x0000_t202" style="position:absolute;left:219;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oyAAAAOMAAAAPAAAAZHJzL2Rvd25yZXYueG1sRE9fS8Mw&#10;EH8X/A7hhL25tAPrVpeNUSpsIEI7BR+P5mzLmktpsi379kYQfLzf/1tvgxnEhSbXW1aQzhMQxI3V&#10;PbcKPo6vj0sQziNrHCyTghs52G7u79aYa3vlii61b0UMYZejgs77MZfSNR0ZdHM7Ekfu204GfTyn&#10;VuoJrzHcDHKRJJk02HNs6HCkoqPmVJ+Ngq9F2Zbhvdp98uGtCqeyOBbnWqnZQ9i9gPAU/L/4z73X&#10;cX72/LRcrdIshd+fIgBy8wMAAP//AwBQSwECLQAUAAYACAAAACEA2+H2y+4AAACFAQAAEwAAAAAA&#10;AAAAAAAAAAAAAAAAW0NvbnRlbnRfVHlwZXNdLnhtbFBLAQItABQABgAIAAAAIQBa9CxbvwAAABUB&#10;AAALAAAAAAAAAAAAAAAAAB8BAABfcmVscy8ucmVsc1BLAQItABQABgAIAAAAIQAytG+oyAAAAOMA&#10;AAAPAAAAAAAAAAAAAAAAAAcCAABkcnMvZG93bnJldi54bWxQSwUGAAAAAAMAAwC3AAAA/AIAAAAA&#10;" filled="f" stroked="f">
                  <v:textbox inset="0,,0">
                    <w:txbxContent>
                      <w:p w14:paraId="70861F97" w14:textId="061DC1B0" w:rsidR="009670AC" w:rsidRPr="00697AE5" w:rsidRDefault="00AC00BC" w:rsidP="009670AC">
                        <w:pPr>
                          <w:pBdr>
                            <w:left w:val="single" w:sz="12" w:space="9" w:color="357DBE" w:themeColor="accent1"/>
                          </w:pBdr>
                          <w:spacing w:after="0" w:line="240" w:lineRule="auto"/>
                          <w:jc w:val="center"/>
                          <w:rPr>
                            <w:b/>
                            <w:bCs/>
                            <w:color w:val="000000"/>
                            <w:sz w:val="20"/>
                            <w:szCs w:val="20"/>
                          </w:rPr>
                        </w:pPr>
                        <w:r>
                          <w:rPr>
                            <w:b/>
                            <w:bCs/>
                            <w:color w:val="000000"/>
                            <w:sz w:val="20"/>
                            <w:szCs w:val="20"/>
                          </w:rPr>
                          <w:t xml:space="preserve">Further detail in </w:t>
                        </w:r>
                        <w:r w:rsidR="009670AC" w:rsidRPr="000326C6">
                          <w:rPr>
                            <w:b/>
                            <w:bCs/>
                            <w:color w:val="000000"/>
                            <w:sz w:val="20"/>
                            <w:szCs w:val="20"/>
                          </w:rPr>
                          <w:t>Part C -</w:t>
                        </w:r>
                        <w:r w:rsidR="009670AC" w:rsidRPr="00697AE5">
                          <w:rPr>
                            <w:b/>
                            <w:bCs/>
                            <w:color w:val="000000"/>
                            <w:sz w:val="20"/>
                            <w:szCs w:val="20"/>
                          </w:rPr>
                          <w:t xml:space="preserve"> Section</w:t>
                        </w:r>
                        <w:r w:rsidR="00BC0BDB">
                          <w:rPr>
                            <w:b/>
                            <w:bCs/>
                            <w:color w:val="000000"/>
                            <w:sz w:val="20"/>
                            <w:szCs w:val="20"/>
                          </w:rPr>
                          <w:t>s</w:t>
                        </w:r>
                        <w:r w:rsidR="009670AC" w:rsidRPr="00697AE5">
                          <w:rPr>
                            <w:b/>
                            <w:bCs/>
                            <w:color w:val="000000"/>
                            <w:sz w:val="20"/>
                            <w:szCs w:val="20"/>
                          </w:rPr>
                          <w:t xml:space="preserve"> </w:t>
                        </w:r>
                        <w:r w:rsidR="009670AC">
                          <w:rPr>
                            <w:b/>
                            <w:bCs/>
                            <w:color w:val="000000"/>
                            <w:sz w:val="20"/>
                            <w:szCs w:val="20"/>
                          </w:rPr>
                          <w:t>6</w:t>
                        </w:r>
                        <w:r w:rsidR="00D245F7">
                          <w:rPr>
                            <w:b/>
                            <w:bCs/>
                            <w:color w:val="000000"/>
                            <w:sz w:val="20"/>
                            <w:szCs w:val="20"/>
                          </w:rPr>
                          <w:t xml:space="preserve"> and 7</w:t>
                        </w:r>
                      </w:p>
                    </w:txbxContent>
                  </v:textbox>
                </v:shape>
                <w10:wrap type="square" anchorx="page"/>
              </v:group>
            </w:pict>
          </mc:Fallback>
        </mc:AlternateContent>
      </w:r>
      <w:r w:rsidR="00B71C8D" w:rsidRPr="00884FAA">
        <w:t xml:space="preserve">The evaluation found that the current IAHP funding model for the </w:t>
      </w:r>
      <w:r w:rsidR="000F7ACE">
        <w:t>PHC Program</w:t>
      </w:r>
      <w:r w:rsidR="00B71C8D" w:rsidRPr="00884FAA">
        <w:t xml:space="preserve"> does not </w:t>
      </w:r>
      <w:r w:rsidR="009F0C7D">
        <w:t xml:space="preserve">sufficiently </w:t>
      </w:r>
      <w:r w:rsidR="00B71C8D" w:rsidRPr="00884FAA">
        <w:t xml:space="preserve">support </w:t>
      </w:r>
      <w:r w:rsidR="00B71C8D">
        <w:t xml:space="preserve">ACCHSs </w:t>
      </w:r>
      <w:r w:rsidR="00B71C8D" w:rsidRPr="00884FAA">
        <w:t>to deliver services in a way that aligns with the values of the community</w:t>
      </w:r>
      <w:r w:rsidR="00F57774">
        <w:t xml:space="preserve"> as </w:t>
      </w:r>
      <w:r w:rsidR="00B71C8D" w:rsidRPr="00884FAA">
        <w:t xml:space="preserve">limited funding </w:t>
      </w:r>
      <w:r w:rsidR="00F57774">
        <w:t xml:space="preserve">is </w:t>
      </w:r>
      <w:r w:rsidR="00313229">
        <w:t xml:space="preserve">usually </w:t>
      </w:r>
      <w:r w:rsidR="00B71C8D" w:rsidRPr="00884FAA">
        <w:t>directed towards clinical, episodic care rather than a more holistic approach that focuses on long term health outcomes</w:t>
      </w:r>
      <w:r w:rsidR="00313229">
        <w:t xml:space="preserve"> and preventative care</w:t>
      </w:r>
      <w:r w:rsidR="00B71C8D" w:rsidRPr="00884FAA">
        <w:t>.</w:t>
      </w:r>
    </w:p>
    <w:p w14:paraId="32359564" w14:textId="6FAEE253" w:rsidR="00270B81" w:rsidRPr="00884FAA" w:rsidRDefault="00B10D9D" w:rsidP="00F44B3A">
      <w:r>
        <w:t>Additionally</w:t>
      </w:r>
      <w:r w:rsidR="00712FAC" w:rsidRPr="00884FAA">
        <w:t xml:space="preserve">, </w:t>
      </w:r>
      <w:r w:rsidR="003C65AE">
        <w:t xml:space="preserve">despite the </w:t>
      </w:r>
      <w:r w:rsidR="00AE0CA0">
        <w:t xml:space="preserve">flexibility under the </w:t>
      </w:r>
      <w:r w:rsidR="000F7ACE">
        <w:t>PHC Program</w:t>
      </w:r>
      <w:r w:rsidR="00AE0CA0">
        <w:t xml:space="preserve">, </w:t>
      </w:r>
      <w:r w:rsidR="00006DB8" w:rsidRPr="00884FAA">
        <w:t>the</w:t>
      </w:r>
      <w:r w:rsidR="00AE0CA0">
        <w:t xml:space="preserve"> </w:t>
      </w:r>
      <w:r w:rsidR="007A5633" w:rsidRPr="00884FAA">
        <w:t xml:space="preserve">IAHP </w:t>
      </w:r>
      <w:r w:rsidR="000D707A">
        <w:t>grant making</w:t>
      </w:r>
      <w:r w:rsidR="00006DB8" w:rsidRPr="00884FAA">
        <w:t xml:space="preserve"> and reporting arrangements </w:t>
      </w:r>
      <w:r w:rsidR="00AE0CA0">
        <w:t xml:space="preserve">as a whole </w:t>
      </w:r>
      <w:r w:rsidR="00F44B3A" w:rsidRPr="00884FAA">
        <w:t xml:space="preserve">do not follow approaches to health and wellbeing </w:t>
      </w:r>
      <w:r w:rsidR="004F7F53" w:rsidRPr="00884FAA">
        <w:t xml:space="preserve">that are valued by </w:t>
      </w:r>
      <w:r w:rsidR="00F44B3A" w:rsidRPr="00884FAA">
        <w:t xml:space="preserve">Aboriginal and Torres Strait Islander people. Instead, the prioritisation of disease management and the splintering of funding into </w:t>
      </w:r>
      <w:r w:rsidR="00DE49BA">
        <w:t xml:space="preserve">clinical </w:t>
      </w:r>
      <w:r w:rsidR="00F44B3A" w:rsidRPr="00884FAA">
        <w:t xml:space="preserve">responses to specific body parts or physical health issues undermines the ability of </w:t>
      </w:r>
      <w:r w:rsidR="000F3B8E">
        <w:t>ACCHSs</w:t>
      </w:r>
      <w:r w:rsidR="00F44B3A" w:rsidRPr="00884FAA">
        <w:t xml:space="preserve"> to </w:t>
      </w:r>
      <w:r w:rsidR="00322500" w:rsidRPr="00884FAA">
        <w:t>deliver health care that aligns with the values of Aboriginal and Torres Strait Islander people</w:t>
      </w:r>
      <w:r w:rsidR="00DA2FEC" w:rsidRPr="00884FAA">
        <w:t>.</w:t>
      </w:r>
      <w:r w:rsidR="00322500" w:rsidRPr="00884FAA">
        <w:t xml:space="preserve"> </w:t>
      </w:r>
    </w:p>
    <w:p w14:paraId="1A62C8F9" w14:textId="3931A268" w:rsidR="00F418F3" w:rsidRPr="00884FAA" w:rsidRDefault="008F7EEC" w:rsidP="0088419E">
      <w:r>
        <w:t>T</w:t>
      </w:r>
      <w:r w:rsidR="00F418F3" w:rsidRPr="00884FAA">
        <w:t xml:space="preserve">he evaluation </w:t>
      </w:r>
      <w:r w:rsidR="00275E0C">
        <w:t>also identified</w:t>
      </w:r>
      <w:r w:rsidR="00F418F3" w:rsidRPr="00884FAA">
        <w:t xml:space="preserve"> that accessing funding through</w:t>
      </w:r>
      <w:r w:rsidR="006A7C8B">
        <w:t xml:space="preserve"> the </w:t>
      </w:r>
      <w:r w:rsidR="00F418F3" w:rsidRPr="00884FAA">
        <w:t xml:space="preserve">IAHP had enabled many services to </w:t>
      </w:r>
      <w:r w:rsidR="00652B77">
        <w:t>attract funding from other sources</w:t>
      </w:r>
      <w:r w:rsidR="00F418F3" w:rsidRPr="00884FAA">
        <w:t>. The evaluation found that services that had</w:t>
      </w:r>
      <w:r w:rsidR="00777F20">
        <w:t xml:space="preserve"> access to</w:t>
      </w:r>
      <w:r w:rsidR="00F418F3" w:rsidRPr="00884FAA">
        <w:t xml:space="preserve"> multiple sources of funding were </w:t>
      </w:r>
      <w:r w:rsidR="0065125F">
        <w:t xml:space="preserve">more </w:t>
      </w:r>
      <w:r w:rsidR="00F418F3" w:rsidRPr="00884FAA">
        <w:t xml:space="preserve">able to respond to community need in a flexible way and were better placed to deliver </w:t>
      </w:r>
      <w:r w:rsidR="003279C5">
        <w:t>PHC</w:t>
      </w:r>
      <w:r w:rsidR="007762B9">
        <w:t xml:space="preserve"> that aligned with </w:t>
      </w:r>
      <w:r w:rsidR="000D58BC">
        <w:t xml:space="preserve">what Aboriginal and Torres Strait Islander people value in health care. </w:t>
      </w:r>
    </w:p>
    <w:p w14:paraId="1D513290" w14:textId="0D9603FC" w:rsidR="00EB2B4F" w:rsidRPr="00884FAA" w:rsidRDefault="00824FED" w:rsidP="00651D06">
      <w:pPr>
        <w:pStyle w:val="Heading3NotNumbered"/>
        <w:numPr>
          <w:ilvl w:val="0"/>
          <w:numId w:val="0"/>
        </w:numPr>
      </w:pPr>
      <w:r>
        <w:lastRenderedPageBreak/>
        <w:t xml:space="preserve">Reporting and administrative burden has improved under the IAHP but remains </w:t>
      </w:r>
      <w:r w:rsidR="00AC688C" w:rsidRPr="00884FAA">
        <w:t xml:space="preserve">too </w:t>
      </w:r>
      <w:r w:rsidR="00D302BF" w:rsidRPr="00884FAA">
        <w:t xml:space="preserve">onerous </w:t>
      </w:r>
      <w:r w:rsidR="00577A9C" w:rsidRPr="00884FAA">
        <w:t xml:space="preserve">for many services </w:t>
      </w:r>
    </w:p>
    <w:p w14:paraId="3D6D4F4E" w14:textId="6DA8901B" w:rsidR="00574DD9" w:rsidRDefault="00735BED" w:rsidP="004A0ABD">
      <w:r>
        <w:rPr>
          <w:noProof/>
        </w:rPr>
        <mc:AlternateContent>
          <mc:Choice Requires="wpg">
            <w:drawing>
              <wp:anchor distT="0" distB="0" distL="114300" distR="114300" simplePos="0" relativeHeight="251658280" behindDoc="0" locked="0" layoutInCell="1" allowOverlap="1" wp14:anchorId="02A45B5E" wp14:editId="705840C6">
                <wp:simplePos x="0" y="0"/>
                <wp:positionH relativeFrom="page">
                  <wp:posOffset>0</wp:posOffset>
                </wp:positionH>
                <wp:positionV relativeFrom="paragraph">
                  <wp:posOffset>79375</wp:posOffset>
                </wp:positionV>
                <wp:extent cx="1560830" cy="509270"/>
                <wp:effectExtent l="0" t="0" r="1270" b="5080"/>
                <wp:wrapSquare wrapText="bothSides"/>
                <wp:docPr id="1947987950" name="Group 1947987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833728647"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a:off x="0" y="0"/>
                            <a:ext cx="1560830" cy="620395"/>
                          </a:xfrm>
                          <a:prstGeom prst="rect">
                            <a:avLst/>
                          </a:prstGeom>
                          <a:ln>
                            <a:noFill/>
                          </a:ln>
                          <a:extLst>
                            <a:ext uri="{53640926-AAD7-44D8-BBD7-CCE9431645EC}">
                              <a14:shadowObscured xmlns:a14="http://schemas.microsoft.com/office/drawing/2010/main"/>
                            </a:ext>
                          </a:extLst>
                        </pic:spPr>
                      </pic:pic>
                      <wps:wsp>
                        <wps:cNvPr id="1742025761" name="Text Box 1742025761"/>
                        <wps:cNvSpPr txBox="1">
                          <a:spLocks noChangeArrowheads="1"/>
                        </wps:cNvSpPr>
                        <wps:spPr bwMode="auto">
                          <a:xfrm>
                            <a:off x="21945"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4079F143" w14:textId="2AF61D9E" w:rsidR="00D245F7" w:rsidRPr="000326C6" w:rsidRDefault="00546408" w:rsidP="00D245F7">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21296963" w14:textId="77D40B55" w:rsidR="00D245F7" w:rsidRPr="00697AE5" w:rsidRDefault="00D245F7" w:rsidP="00D245F7">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sidR="00735BED">
                                <w:rPr>
                                  <w:b/>
                                  <w:bCs/>
                                  <w:color w:val="000000"/>
                                  <w:sz w:val="20"/>
                                  <w:szCs w:val="20"/>
                                </w:rPr>
                                <w:t>7</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2A45B5E" id="Group 1947987950" o:spid="_x0000_s1052" alt="&quot;&quot;" style="position:absolute;left:0;text-align:left;margin-left:0;margin-top:6.25pt;width:122.9pt;height:40.1pt;z-index:251658280;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6BWIIwUAACMPAAAOAAAAZHJzL2Uyb0RvYy54bWycV1tv&#10;2zYUfh+w/0DocUBiibJuRpyibdagQLcGa4Z1j7REW0IkUaPoyOmv30dSkuXEhZ08xOHt3L7zHfLo&#10;6t2uKskjl20h6qXjXboO4XUqsqLeLJ2/7z9dxA5pFaszVoqaL50n3jrvrn/95aprFpyKXJQZlwRK&#10;6nbRNUsnV6pZzGZtmvOKtZei4TU210JWTGEqN7NMsg7aq3JGXTecdUJmjRQpb1us3thN59roX695&#10;qr6u1y1XpFw68E2ZX2l+V/p3dn3FFhvJmrxIezfYG7yoWFHD6KjqhilGtrJ4oaoqUilasVaXqahm&#10;Yr0uUm5iQDSe+yyaWym2jYlls+g2zQgToH2G05vVpn8+3srmW3MngUTXbICFmelYdmtZ6f/wkuwM&#10;ZE8jZHynSIpFLwjd2AeyKfYCN6FRj2maA/gXYmn++zHBkLp+EuhkzAazswNnmiJd4K9HAKMXCJxm&#10;CqTUVnKnV1KdpaNi8mHbXCBZDVPFqigL9WSIh7Rop+rHuyK9k3YCMO8kKbKlE/t+RONwHjmkZhV4&#10;f9tTzNNBakF91koyHdkXkT60Ov7DPTM9sLEqi+ZTUZZECvVPofJvOWug3zPs05t9eOD4M44cQcjy&#10;70ak24rXyhaU5CUiFXWbF03rELng1YojJPk5M86zRSvTv1BYuqT8eRzbGmqV5CrNhxAGN22wLfhF&#10;Vt0fIoOrbKuE8fbV/DpCE4AnW3XLRUX0AG7CM6OdPX5plWXUcESTuaz1by00hnZXrxictZf9EFnQ&#10;5YA7qR0AxewFpK8qO5MpuKbV7pniRXPq0iAKvYEq97q2PogdmWzB015MlypRO+wPSW8bQx5Si485&#10;qzf8vZSiyznL4K/JGErJWNSiVs9Z+aBeMg8cgrqmYeRHNs1j3Xvgt942dU/9OJoflC9bpFubFw33&#10;kAvcjxmyopc2WV8ZqajrtlD8Oy6RdVXi9v1tRlzSEa83gdiPHP/38HhOgtGJI6e/A91ReRDSJAxP&#10;W5jKuOSUBTqx0Lt+2sRU6LQJ/y0mpkIWo5OhzCd2Atxi1D8dyYGMScVJM2DPmJMzEj49fmYg4ess&#10;HB6fJhzP0shcltuLBRTf1T2bMSKoPf08arY2otVP35TaKKNhCuramwdS+vQJYdBwKmxL2kidIQyC&#10;TYXpqyyDOlNh/1XCIMRUeLgezovZ3jsjYENrcJ4w0ji1HE7dRiKhpM+afiv0K1aaxlDhscP74RA0&#10;histgzwypZM9DEmHG3W4+HL0O/bKIbgU5VZ3wF8fBgZU4pHfCyOonnVBcGG/m25XRfqB/5ie9eg8&#10;9tA3I4gLL0kM7PDF6PFp7EcWHY9GYX8r2z17rxm5kWEH6o8Zi5IoCNCmGGPPNSZBHESWBbGbJD0o&#10;xpERBwieb83z4iCmiTHnea5vX40hOM9LwtizlEVnEQIEm4YXFveXvU7oySDjGM211RvAKuKd6I3o&#10;PAgt3IHnx4Eh2+CSvf6Mv6+0OZ/HNOrV+n58mEYK+GBIox7QEC/t1CG8bGZ98qieDvGCwncL7NwL&#10;ktiwfojigvqJb32hfhgHB5Sy5n6Sw1K0HFgBZV0L48AUhYF+/8iPPdVPm6wOfYhtsvRI7VY70yx7&#10;5krTSyuRPaG9QWurSaW/KzHIhfzhkA4N9NJp/9sy3cKXn2t0NziizGAeRBQTOayupqusTqFi6aC+&#10;7fCjwgzHt40sNjks2Oa5Fu/Rma4L0zTuvUHMeoJG0IzMl5jBof9q1J9607k5tf+2vf4fAAD//wMA&#10;UEsDBAoAAAAAAAAAIQAYyBwe/eEAAP3hAAAUAAAAZHJzL21lZGlhL2ltYWdlMS5wbmeJUE5HDQoa&#10;CgAAAA1JSERSAAAJxAAAA0UIBgAAAF/vbQ4AAAABc1JHQgCuzhzpAAAABGdBTUEAALGPC/xhBQAA&#10;AAlwSFlzAAA6lgAAOpYBI65UPAAA4ZJJREFUeF7s3W+IHPmfH/by3f1+91uf77bvj+909kk35yNE&#10;F0unieOcyO4JT3AEQlh4bG9kQZZ4TKQTHIs9OsnZaAYygx44MQFN9MDBgTXjYD8IG7KDwRAlFh7D&#10;PViHhQzEWZwlwYNGs/QS48zFieOEJJ7Ud7pbGpU+86+ruruq+vWGF/s7aefbVd3VVTVb7/t+MxER&#10;ERERERERCdM5xswxZo8xd4T5EywcYfEEq5Hf9bt+19ox1oewMUGbE7Y1YdsTFm3TuESfx7hEx+I4&#10;Rd/Ds4q+/6HoPHKC6Hx0lOjcdpzoHHmU6Hw7UDw/R+fz4rlfRERERERERERERERERESk9Sk+LC+K&#10;HrAfVnwgXxQ9xD8sKgAcFpUJDovKCYdFRYcDUWmiICpgDEQFjyQqngxEhZjDorJOsneCfQAooXhd&#10;ia5FxWtW8RoXXROj6+db19ro+pwrXsuj6390z5AU7zMG9yOH710G9zgiIiIiIiIiIjIlOfzga1QO&#10;/weoOjj8sK4uiv/xbpKi/7g4TtF/9ByX4n+AHbfoPwpPQrRtkxZ9XuMWHa/jFH1fxyU6b41DdA4f&#10;h+haRvxe1UV0/NRJ9L06i+iccFbRee2sovPzWUXXnVMrPlAtIXpYexbRA+DDig+Mi4oPmIuih9KH&#10;FR9iR6KH3wAAvDG4bzp8nzW4Hxvctx2+xzt8P3hwXxncsw7uew/fRw/uyQ/f4w9+Vzj8e83gdy8R&#10;ERERERGRMIMHdoNfKge/cL7zEGbwi2vf4V9oBw7/wjtw+EHGwOGHF4cd/mV64PBDinGLticS7Usk&#10;ei+mTfS+nCR6z48SfY4nif4DDwAAAAAAzTL4b76H/5vx4L8zD/4b9eHnF4efbyjuiYiIiIiINDTp&#10;l7LF/i926Re/9Mtg9EsjAAAAAAAA1VPcExERERERqSAL+S9I6Rep6BcvAAAAAAAAOOysxb3D5b2T&#10;invF8t7hAl+xxHe4yHdUmU+hT0RERERkitLp/wIS/SIDAAAAAAAAbTQo9BVLfYeLfYfLfUeV/IoO&#10;z9gXOSgDRrJ3C4KRw6XBs4jGeke0XceI9u80orEORNuUS9s/KEWmAuSg7CgiIiIi8m7yG8t00xn9&#10;EgAAAAAAAABQZ6nAuJ71SnNKciIiIiJyUIhLN4mvbxrzPzp8AwkAAAAAAADQFFtZbzY5EREREZnW&#10;5DeFbxXiAAAAAAAAABpOMU5ERERkirMa3CACAAAAAAAANFqmFCciIiIynclvBteKN4cAAAAAAAAA&#10;TZcpxYmIiIhMbWbzG8J/VrxBBAAAAAAAAKibLMvC/x3J/34mPRAVERERkSlLfjO4Xbw5BAAAAAAA&#10;AKiD7ITi2zHWe09ERURERGSaMhPcGB4r/5lu/k8lOgAAAAAAAKDO/rfeI1ERERERmabMBTeGJ9no&#10;/+wgaarhZC4335fW5E8Wc6tJ/nNrufW+jdxm31YuFeySvVz0mgAAAAAAAABn9TczS6eKiIiITFUW&#10;gpvCk+z1f3bU6eQGZbvZXFS4G5TuXhfvBvLtTAW8wyW8QRHvcBlvUMgbGBTzBuU8BT0AAAAAAAAY&#10;s2z4ZVKPkpZPVYwTERERmYIsBjeDJ8p/LpXVpjFpvwcGZb1BYW9Q2jtc3DuqvPdWgS9/T6Py3uEC&#10;X1Tkiwp9xVLf4WKfgh8AAACt8X7nvWOdv9A51qXL5471wYczR7px8+Kp3L5z5VTu3b96ag8eXTvR&#10;ypPrp/b02a1T+2z9o6F9/sXHpTx/cbeUL7/6hBaIPtumiI7rSYq+p1WKziFVKp7LonNhUjyHFs+/&#10;xfN2dM5PiteI4jUlug5F1y4AaiOthqUYJyIiItLipDJWdCN4rPznUvlr6Gxvr3RedZfnXn67tLjb&#10;XV579d3y+s53S5tJ/ucb6c9edpcW0r/T/xEZbQ4X/Yplv4FB6e9w8S8qAEZFwGMLgUfJj7VBUfAo&#10;xQJhUbFQWBQVDIuKhcPDiuXDSLGQeFbhdxAAAKhW9CB7oPjQe6D4cPyw6GF6UnzwfljxIf1A8WH+&#10;YdHD/6RYFDgsKhYMRKWGJCpTDETFj8OiUsthX3/z8FivvlsGgFYoXuOi62LxOjq43havzYev34Nr&#10;fPF+YHC/ULy3GNx7FO9TBvcxh+93Dt8TRfdQAA2nGCciIiLSxuQ3eqk0FN0AHiv/0VRuOlMOCnDd&#10;x6s73eWtV92lveg/CBwl/Uwqye3uLpUq4olMcYqlx2EUS5LDOlyuHEaxkDmMqMQJA8Uyb1mHy8BV&#10;CEvEZeTX9qh0XEaxoFyVqNw8lB/90e/9rcj3v//Dv33Y7/7d3//yNN5//wdfncZP/fSPbZ3kZ3/2&#10;x/9+Uecn3/uHRT/90z/28ig/+7O/Z/ck537+x7tH+f2///3/5TgXLnT+cZK/1v9e9Ht/7+/5p5Gf&#10;/bkf/2fHOffzP/F/H+X3/b73/5+j/MIvvP//HeXwQxxG63AJaNKKD/VO63Ap6ayKDxhP63CpaRjF&#10;B56ndbgYdVaHH7yeVfEhbtHhgtVhxYfCh0UPkQeKD5wHot85AQA4m8P3V4fvwQ7fqw3u54r3fYfv&#10;EQf3mcV71sE97+H758P34MX7+cHvA4d/T1HmA85AMU5ERESkTUk3eIUbvlOZm/sDfzXN4PZ6hrfu&#10;8sZghre3dJe3BqJfmoeRxkrFuvT6O98+nk9S2W4gleaS7e6nM69tr3QO6+++iIhMQYrXgLccvlYc&#10;MriWRA5fcwYG16PIwfWyKL9+hg6ub287KIQfIb8urp9afq0+jfB6fpRD1/mT5NuwfSqpND+s4L4B&#10;AAAA4LAqy3ynKfIdLvMdVeQ7qswXPZ8BRkoxTkRERKQNSTd2hRu9U0m/uEW/SDbauw/V33pA/87D&#10;/UIpICoV5D/3VhkhKjOcJCpHnFpUtmibqGgSiEoqh+Wf1zsFl+NEJZkkKta8JSrk5PpfSTkm0fsW&#10;it73guizi0Sf/WHRsRSJjslQdIxHou97QXQ+iRTPU0eKznEFxfPikYrn0yPkr/vWefi14vl6IDq3&#10;AwAAAEBLHFfki0p8xQLfWWfji8p7intMibVMMU5ERESkuclv6DYLN3in0spCHNRZVP45q6hYNGrR&#10;dkSifQYAAAAAoHFOU9w7a3nvtMU95T0qlopxIiIiItK05Ddy24Ubu1NJvzREv+QAAAAAAABA3R1X&#10;3Bt21r1Bce9weW9Q3CuW9xT3GmMvy7KF3pNVEREREWlE8pu4oQpxSfolIfoFAgAAAAAAAKjGaWbd&#10;O1zcO0t57zSz7h0u8B1V4htlkS+N/YMffC/8uzHayrJsvveEVURERERqneBm7tTSTXZ0Uw4AAAAA&#10;AAAwKPMVC33FYl9k8HODsVLxL3pmOWYbWZbN9J60ioiIiEgd0wlu4k4t3XQevqEFAAAAAAAAGJVU&#10;lEsz00XPLsdsrf+8VURERERqlpng5u3U0tTK0Y0oAAAAAAAAwCikWePS0q7R88txy7JssffYVURE&#10;RETqklKFuAeProU3oQAAAAAAAACjlCbviJ5hTsBWlmULvcevIiIiIjLplCrEpf/Pi+jmEwAAAAAA&#10;AGDU0hKqly6fC59lTkAqxs30HsOKiIiIyKRSqhCX1uePbjwBAAAAAAAAxqVGs8Ul6+k5bO9xrIiI&#10;iIiMO7PBDdqpvd95L7zhBAAAAAAAABinms0Wl6z1n8mKiIiIyBhTqhCXfP3Nw/CGEwAAAAAAAGDc&#10;ajZbXFpGdaH3aFZERERExpHShbjPv/g4vNEEAAAAAAAAmIQvv/pk/8bNi+HzzQnZzCyjKiIiIjKW&#10;lC7E/XtL//o/jm4yAQAAAAAAACapZrPFJZZRFRERERlxShfi/uy/84e3o5tLAAAAAAAAgEn7+puH&#10;+7fvXAmfdU7IXmYZVREREZGRZS64ATuTK7O/73+ObiwBAAAAAAAA6uLps1v773feC595TshWZhlV&#10;ERERkcpTuhD3S3/gp8wQBwAAAAAAANReDWeLSyyjKiIiIlJhShfivvf9H/4/optJAAAAAAAAgDpK&#10;s8Wdv9AJn39OiGVURURERCpK6UJckv4/KaIbSQAAAAAAAIC6quFscZZRFRERESmZ2eAm68yev7gb&#10;3kACAAAAAAAA1Fl61lmz2eISy6iKiIiIDJlKCnF/7W/86f8punkEAAAAAAAAaIIHj66Fz0InyDKq&#10;IiIiIkOkkkLcvd/4tf82umkEAAAAAAAAaIo0W9yly+fCZ6ITlJZRne093hURERGRkzIT3FCd2c1b&#10;/+LfjW4YAQAAAAAAAJpm5cn18LnohFlGVUREROQUqaQQd/5C5+9FN4oAAAAAAAAATfTlV5/s37h5&#10;MXw+OkGWURURERE5IZUU4r7//R/5NrpJBAAAAAAAAGiyp89u7b/feS98TjpBaRnVmd4jXxERERE5&#10;nE5w83RmP/RDP/Q70c0hAAAAAAAAQNN9/c3D/dt3roTPSifMMqoiIiIihVRSiEv+/j/4rZfRzSEA&#10;AAAAAABAGzx/cXf//IVO+Lx0grYzy6iKiIiIvE5lhbj/8m/+219FN4UAAAAAAAAAbXLv/tXwmemE&#10;bWSWURURERGprhD35/78h/91dDMIAAAAAAAA0DZptrhLl8+Fz04nKcuy1d6jYBEREZEpTXSTNIw/&#10;8af+4EZ0IwgAAAAAAADQVitProfPTydsK8uy+d4TYREREZEpS34ztFe4ORrKv/prv/CfRzeAAAAA&#10;AAAAAG2WZou7cfNi+Bx1wtYzy6iKiIjItCW/CaqkEPejP/q9vxXd/AEAAAAAAABMg5rOFpeWUV3s&#10;PR0WERERmYLkN0DbxRuiIW2+6i7tRTd+AAAAAAAAANPg628e7t++cyV6njppaRnV2d5TYhEREZEW&#10;J934FG6EhrW3013eim76AAAAAAAAAKbJ5198vH/+Qid6rjppa/1HxSIiIiLtTH7DU1UhLt3YrRdv&#10;9AAAAAAAAACm1b37V8Nnq5OWZdlC74mxiIiISMuS3+xUVoj7auvP/SfRTR4AAAAAAADAtHr+4m5d&#10;Z4tLy6jO9J4ci4iIiLQk+U3OZuGmZ2hPnlx/EN3gAQAAAAAAAEy7lSfXw+esNWAZVREREWlP8pub&#10;ygpxf/SP/vJ/GN3YAQAAAAAAANCbLe7S5XPh89YJ28ssoyoiIiJtSH5js1G40Rlap/ODx9FNHQAA&#10;AAAAAABv1Hi2OMuoioiISLOT39CsF25whpYPt/qqu7QX3dABAAAAAAAA8MbX3zzcv33nSvjstQYs&#10;oyoiIiLNTLqRKdzYlLGx013eim7mAAAAAAAAAHhXWkb1/IVO9Px10iyjKiIiIs1LfhNTZSFu81V3&#10;eSO6iQMAAAAAAADgaA8eXYuewdbBZmYZVREREWlK8puXKgtxe7vd5bXo5g0AAAAAAACA46XZ4j74&#10;cCZ6FlsHllEVERGRRmQ1uJEZ1t7L7uPV6MYNAAAAAAAAgNNZeXJ9//3Oe9Ez2UnbyiyjKiIiIjVP&#10;lYW4/b/9t+/+W9ENGwAAAAAAAACn9/U3D/dv37kSPpetgfXMMqoiIiJS0ywGNy9D++N/8lduRjdr&#10;AAAAAAAAAJxdWkb1/IVO+Hx20rIsW+09dhYRERGpTxaiG5dh/dIv/cwfi27SAAAAAAAAABheWkY1&#10;ekZbA2kZ1fne42cRERGRyafSQlw+3uKr7tJedIMGAAAAAAAAwPDSbHGWURURERE5PvPBjcrQ8vFW&#10;d7rLW9HNGQAAAAAAAADlPX12q87LqC4ePIkWERERmVAqLcTlNna+W9qMbsoAAAAAAAAAqM69+1ej&#10;Z7Z1kJZRne09khYREREZb+aCm5MyNna7y2vRzRgAAAAAAAAA1UrLqF66fC56dlsHa1mWdXqPpkVE&#10;RETGk9ngpqSMrZfdx6vRjRgAAAAAAAAAo7Hy5Hr0/LYWsixb6D2eFhERERl9ZqIbkhL2dr59PB/d&#10;gAEAAAAAAAAwOl9/83D/9p0r0XPcOrCMqoiIiIwlneBGpAyFOAAAAAAAAIAJ+mz9o/3zFzrR89w6&#10;SMuoioiIiIwsVRfi9v/jv3zrV6ObLgAAAAAAAADG58Gja+Ez3RrYyyyjKiIiIqNKcPNRyuXLP38t&#10;utkCAAAAAAAAYLyev7i7f+nyufDZbg2kZVRnek+uRURERCpKfpOxV7jpKCUfcu5Vd2kvutkCAAAA&#10;AAAAYPxWnlwPn+/WhGVURUREpLrkNxdVF+Lmd7rLW9FNFgAAAAAAAACT8fU3D/dv37kSPuetAcuo&#10;ioiISDXJbyy2CjcapeRDLu58t7QZ3WABAAAAAAAAMFlpGdXzFzrh894aSMuozh48zBYREREZJumG&#10;onCDUUo+5Gp+E7VevKkCAAAAAAAAoD4asIxq5+ChtoiIiMhZkt9IbBZuLMpa2+0ur0U3VAAAAAAA&#10;AADUR5ot7sbNi9Fz31rIsmyx92RbRERE5JTJbyKqLsRtvOw+TrPEhTdUAAAAAAAAANTL02e39t/v&#10;vBc9/62DtIzqQu8Jt4iIiMgJyW8e1gs3E2Vt7nz7eD66iQIAAAAAAACgvm7fuRI9A66L9SzLZnpP&#10;ukVERESOSH7TsFa4iShr+1V3eS66eQIAAAAAAACg3tIyqpcun4ueBdfFWv9xt4iIiMi7STcLhZuH&#10;sva2t1c60Y0TAAAAAAAAAM2w8uR6nZdR3c4soyoiIiJHZDW4eShFIQ4AAAAAAACgHe7dvxo+F66J&#10;rcwyqiIiIlJI5YW4fMzOq+7SXnSzBAAAAAAAAECzWEZVREREmpTF4GahlHzM2Z3u8lZ0owQAAAAA&#10;AABAM9V8GdW9zDKqIiIikmchuFEoJR9zbue7pc3oBgkAAAAAAACAZmvAMqqzB0/DRUREZCozH9wg&#10;lJKPubDbXV6LbowAAAAAAAAAaL6GLKPaOXgqLiIiIlOVueDGoJR8zMWX3cer0U0RAAAAAAAAAO3x&#10;9Nmt/fMXOuGz4zpIz68PnoyLiIjI1GQ2uikoIx9z9WV3aSG6GQIAAAAAAACgfRqwjOr8wRNyERER&#10;aX1mgpuBstZ3vn08H90EAQAAAAAAANBOaRnVDz6ciZ4h18V6ekbee1QuIiIibU0nuAkoa+NVd3ku&#10;ugECAAAAAAAAoN3qvoxqbq3/vFxERERamFEU4ja3t1c60Y0PAAAAAAAAANOhAcuoLvQem4uIiEir&#10;Elz4y9pWiAMAAAAAAAAgLaN64+bF6LlyXaRinGVURURE2pT8Ar9XuOCXtZfGfdVd2otueAAAAAAA&#10;AACYLpZRFRERkbElv7BXXYjbT+PudJe3ohsdAAAAAAAAAKbTg0fXwmfMNZEmf7GMqoiISNOTX9S3&#10;Cxf50vJhOzvfLW1GNzgAAAAAAAAATK+GLKM6e/BAXURERJqXdDEvXNxLy4edzW9k1os3NgAAAAAA&#10;AACQNGQZ1ZmDB+siIiLSnOQX8c3CRb20fNi53e7yWnRTAwAAAAAAAAADNV9GNUnFOBEREWlK8ov3&#10;KApxCy+7j1ejmxkAAAAAAAAAOCwto3r7zpXw+XNNbKfn4AcP2UVERKTeyS/cG4ULeWn5sIsvu0sL&#10;0Y0MAAAAAAAAAEQasIzqVmYZVRERkXonv2CvFy7gpeXDru58+3g+uoEBAAAAAAAAgOM0ZBlVxTgR&#10;EZE6Jl2oCxfuKqzv7i7NRjcuAAAAAAAAAHCSBiyjejBZTO/Ju4iIiNQm+UV6FIW4je3tlU500wIA&#10;AAAAAAAAp/XZ+kdNWEZ1ofcEXkREROqQ1eCCXdamQhwAAAAAAAAAVVl5cj16Nl0nqRhnGVUREZEa&#10;ZDG4UJe1nQZ+1V3ai25UAAAAAAAAAOCsvv7mYe2XUc2tZVnWSc/MRUREZDJZCC7QZe2lgXe6y1vR&#10;TQoAAAAAAAAADOv5i7v7ly6fi55V10aWZYvpubmIiIiMP/PRxbmsNPDOd0ub0c0JAAAAAAAAAJT1&#10;9Nmt/fMXOuEz65pIy6gupOfnIiIiMr6MqhDXyW9A1os3JAAAAAAAAABQpZUn18Pn1jWymWXZzMET&#10;ehERERl55oKLcWn5uLO73eW16GYEAAAAAAAAAKqUllG9fedK+Py6RtZ6j+lFRERklJkNLsKl5ePO&#10;vew+Xo1uRAAAAAAAAABgFFIxrubLqKbn6YsHT+tFRERkJJmJLsBl5eMu7Hz7eD66AQEAAAAAAACA&#10;UWrAMqpb6bn6wVN7ERERqTSd4MJbWj7uokIcAAAAAAAAAJPUgGVUN7Ismzl4ei8iIiKVZFSFuNXd&#10;3aXZ6IYDAAAAAAAAAMYlLaPagGLcWu8RvoiIiJROcKGtwvr29konutkAAAAAAAAAgHF7+uzW/vkL&#10;nej5dm1kllEVEREpn/yiule8yFZgQyEOAAAAAAAAgLpZeXI9esZdJ1uZYpyIiMjwyS+m24WLaxU2&#10;09ivukt70Q0GAAAAAAAAAEzK1988bMIyqhtZls2kZ+8iIiJyhuQX0a3CRbUK22nsne7yVnRzAQAA&#10;AAAAAACT9vzF3f1Ll89Fz7zrZO3g4b6IiIicLvnFc7NwMa3CXhp757ulzeimAgAAAAAAAADqIi2j&#10;ev5CJ3r2XRfpGbxlVEVERE6T/MI5ikLcfho7v3FYL95IAAAAAAAAAEAdPXh0LXz+XSNbWZbNpefx&#10;IiIickTyC+Z64QJaiXzozm53eS26iQAAAAAAAACAOkrLqN6+cyV8Dl4j61mWzRw89BcREZG3k18o&#10;1woXzkrkQ8++7D5ejW4gAAAAAAAAAKDOUjGu5suoJmu9J/8iIiLyOukCWbhgViIfeu5ld2khunEA&#10;AAAAAAAAgCZYeXI9fCZeI3tZli0cFABERETkIKvBBbO0fNyFnW8fz0c3DAAAAAAAAADQJA1YRnUr&#10;y7LZgxaAiIjIlGcxuFCWlsbd3V2ajW4UAAAAAAAAAKBp0jKqN25eDJ+R18h6lmUzB20AERGRKc1C&#10;cIEsLR93dXt7pRPdJAAAAAAAAABAUz19dmv//IVO+Ky8RtZ6lQAREZHpy3xwYazCukIcAAAAAAAA&#10;AG218uR69Ky8TvayLFvoVQNERESmJ3PBRbEKG2nwV92lvejGAAAAAAAAAACa7utvHu7fvnMlemZe&#10;J1tZls2mZ/giIiLTkNngYliFzTT4Tnd5K7opAAAAAAAAAIC2eP7i7v6ly+eiZ+d1sp5l2Ux6li8i&#10;ItLmzAQXwSpsp8F3vlvajG4GAAAAAAAAAKBtnj67tX/+Qid6hl4nawdtARERkZamE1z8qpDWIs/y&#10;C/568QYAAAAAAAAAANps5cn16Dl6naRJbhbSc30REZG2ZVSFuP00+G53eS26+AMAAAAAAABAm339&#10;zcP923euhM/Ta2Qrs4yqiIi0LcEFrxL50J2X3cer0YUfAAAAAAAAAKbB8xd39y9dPhc+V6+RtIyq&#10;YpyIiLQj+YVtr3Chq0Q+9OzL7tJCdMEHAAAAAAAAgGny9Nmt/fMXOuHz9brIsmz1oEggIiLS5OQX&#10;te3iRa4K+dBzO98+no8u9AAAAAAAAAAwjVaeXA+fsddIWkZ14aBQICIi0sSki1nh4laJfOiF3d2l&#10;2egCDwAAAAAAAADT6suvPtm/fedK+Ky9RlIxzjKqIiLSvOQXsc3CRa0S+dCL29srnejiDgAAAAAA&#10;AADT7vmLu7VfRjW3lmVZ56BgICIi0oTkFy+FOAAAAAAAAACYkLSMat2LcVmWrR6UDEREROqe/MK1&#10;XryQVSEf+uBi+Kq7tBdd0AEAAAAAAACANx48uhY+f6+RtIzqQuoCiIiI1Db5BWutcAGrynoaf6e7&#10;vBVdyAEAAAAAAACAt6VlVG/fuRI9g6+TVIybSZ0AERGR2iW/UI2qELeRxt/5bmkzuogDAAAAAAAA&#10;ALFUjKv7Mqq5tYPigYiISM2yGly0qnBQiHvVXd6ILt4AAAAAAAAAwPFWnlzff7/zXvRMvjayLFtM&#10;/QAREZG6ZDG6YFUgTZGa7XaX16KLNgAAAAAAAABwOvfuX42ey9dJ6ggspJ6AiIjIpLMQXKiqsJ0G&#10;f9l9vBpdrAEAAAAAAACA00vLqN6+cyV6Pl8nm1mWzaS+gIiIyKQyH1ygqrCXBn/ZXVqILtQAAAAA&#10;AAAAwNl9/sXH++cvdKLn9HWydtBIEBERmUBGVYhL64RnO98+no8u0AAAAAAAAADA8FaeXA+f1ddJ&#10;ZhlVERGZQGaji1IV8rE7r7rLc9GFGQAAAAAAAAAorwHLqG5linEiIjLGzAQXo0qksbe7n85EF2QA&#10;AAAAAAAAoBrPX9xtQjFuI/UIDpoKIiIiI0wnuAhVIh97dnt7pRNdjAEAAAAAAACAaj19dmv//IVO&#10;+Ay/RtZ6dQUREZHRZJSFuLn0Aq+6S3vRhRgAAAAAAAAAqN7Kk+vhc/w6ySyjKiIio0p04alCPvR8&#10;Gl8hDgAAAAAAAADG6+tvHjZhGdWtTDFORESqTn6B2StccCqRD72Yxt/pLm9FF18AAAAAAAAAYLSe&#10;v7jbhGVUN7Ism0kdAxERkdLJLyyjLcR9t7QZXXQBAAAAAAAAgPFowjKqubXUMxARESmV/IKyVbjA&#10;VCIfejWNv9tdXosutgAAAAAAAADA+DRkGdW9zDKqIiJSJvnFZLNwcanKehpfIQ4AAAAAAAAA6iMt&#10;o3rp8rnoOX+dbGVZNp96ByIiImdKfhEZVSEurfGdvew+Xo0usAAAAAAAAADA5KRlVM9f6ETP++sk&#10;TcYzk/oHIiIip0q6eBQuJlU5KMTtfPt4PrqwAgAAAAAAAACTd+/+1eiZf92sHZQcRERETkq6aBQu&#10;IlVJ05cqxAEAAAAAAABAzaVlVG/fuRI9+6+TvSzLFlIXQURE5MjkF4xRFeK20/i7u0uz0cUUAAAA&#10;AAAAAKiXp89uNWEZ1TRBz1zqJIiIiERZDS4eVUjN7Gx7e6UTXUQBAAAAAAAAgHpaeXI96gHUzXqW&#10;ZTOpmyAiInI4CnEAAAAAAAAAwFu+/uZhE5ZRTdYO2g8iIiL9LAYXi0r0x89edZf2oosnAAAAAAAA&#10;AFBvz1/cbcIyqmnSnoVeS0FERKY9C8GFohL52J30Ajvd5a3oogkAAAAAAAAANENDllHdyrJsNnUV&#10;RERkejP6Qtx3S5vRxRIAAAAAAAAAaI4GLaO6nmXZTOosiIjI9GU+uDBUIh/74OLyqru8EV0oAQAA&#10;AAAAAIDmScuoXrp8LuwK1Mxa6i2IiMh0ZZSFuINpSHe7y2vRBRIAAAAAAAAAaK60jOr5C52wM1Aj&#10;aRnVhdRfEBGR6chccDGoRBo7vYBCHAAAAAAAAAC01737V8PeQM2kYpxlVEVEpiCzwUWgEvnYB4W4&#10;l93Hq9EFEQAAAAAAAABoh7SM6u07V8L+QM1YRlVEpOUZZSFuPr3AzreP56OLIQAAAAAAAADQLk+f&#10;3WrCMqp7mWVURURam5ngxF+JfOyDi4dCHAAAAAAAAABMl5Un18MuQc2kZVRnU7dBRETak05wwq9E&#10;PvZieoHd3aXZ6OIHAAAAAAAAALTX1988bNIyqp3UcRARkeZn5IW47e2VTnThAwAAAAAAAADa7/mL&#10;u01YRvV1z0FERBqe6CRfhXzo1TS+QhwAAAAAAAAA0KBlVOdT30FERBqa4ORelTSl6EFedZf2oosd&#10;AAAAAAAAADA9GrSM6nqWZTO91oOIiDQq+Ul8r3BSr0q6OBxkp7u8FV3oAAAAAAAAAIDpk5ZRvXT5&#10;XNQ1qJvXkwGJiEhDkp+8R1WI2+i/hEIcAAAAAAAAAPCOtIzq+QudqHNQJ9tZli30GhAiIlL7pBN3&#10;4URelTeFuO+WNqMLGwAAAAAAAADAvftXo95B3WxlllEVEal/0gm7cAKvymb/JbLd7vJadEEDAAAA&#10;AAAAAEjSMqq371yJ+gd1YxlVEZE6Jz9Rj6oQl5rRB1GIAwAAAAAAAABO4+mzW01YRnUvs4yqiEg9&#10;k5+kNwsn7aqkNbQP8rL7eDW6iAEAAAAAAAAARFaeXI+6CHWTJgua7bUjRESkFslPzqMqxKU29EFe&#10;dpcWoosXAAAAAAAAAMBRvv7mYZOWUe30WhIiIjLR5CfljcJJuiqvC3E73z6ejy5cAAAAAAAAAAAn&#10;ef7ibhOWUd3Psmyx15QQEZGJJT8hrxdP0FXpv0T2qrs8F12wAAAAAAAAAABOq0HLqC70GhMiIjL2&#10;5CfitcKJuTL9l8i2u5/ORBcqAAAAAAAAAICzaNAyqutZls30mhMiIjK25CfgURbiDtbH3t5e6UQX&#10;KQAAAAAAAACAYaRlVC9dPhf2FWpmLXUnRERkTEkn3sKJuDL58AeFuJTo4gQAAAAAAAAAUEZaRvX8&#10;hU7YW6iR7cwyqiIiY8tqcCKuRD72m0Jcd2kvujABAAAAAAAAAJR17/7VsLtQM1uZZVRFREaeURbi&#10;Xp/Ed7rLW9EFCQAAAAAAAACgCmkZ1dt3roQdhpqxjKqIyAizGJx4K5GP/aYQ993SZnQxAgAAAAAA&#10;AACo0tNnt5qwjOpeZhlVEZGRZCE46VYiH3u29xJpydTljegiBAAAAAAAAAAwCitProd9hpqxjKqI&#10;SMWZD062lcjHfl2I2+0ur0UXHwAAAAAAAACAUfn6m4eWURURmbKMshA313sJhTgAAAAAAAAAYHKe&#10;v7jbhGVUtzPLqIqIlM5ccIKtRBq79xJZ9rL7eDW64AAAAAAAAAAAjEtDllHdyCyjKiIydMZUiFta&#10;iC40AAAAAAAAAADjZBlVEZF2ZzY4oVYiH3u+9xJZtvPt4/noIgMAAAAAAAAAMAkNWUZ1K7OMqojI&#10;mTITnEwrkY/9+oT8qrs8F11cAAAAAAAAAAAmqSHLqK5nllEVETlVxlKI2+5+OhNdVAAAAAAAAAAA&#10;Jq0py6hmWbbaa2KIiMhR6UQn0CrkYy/2XiLLtrdXOtEFBQAAAAAAAACgLhq0jOp8r5EhIiLFjKUQ&#10;lxJdSAAAAAAAAAAA6sYyqiIiDU5wwqxEPvTbhbju0l50EQEAAAAAAAAAqJs0W1xDllF9q58hIjL1&#10;yU+Oe8WTZRXyod9at3qnu7wVXUAAAAAAAAAAAOrq6bNbTVlGdbbX0BARmfLkJ0WFOAAAAAAAAACA&#10;Yzx4dC3sR9TMWpZlnV5TQ0RkSpOfDMdTiPtuaTO6YAAAAAAAAAAANEFaRvXGzYthT6JOsixb6LU1&#10;RESmMPmJcKt4YqxIah2/Tn5hWC9eKAAAAAAAAAAAmsYyqiIiNU46ARZOiFV5qxC3211eiy4SAAAA&#10;AAAAAABNdO/+1agvUTdv9TdERFqf/MQ3qkLcev8lDvKy+3g1ujgAAAAAAAAAADRVWkb10uVzUW+i&#10;TvYyy6iKyLQkP+ltFk6CVVGIAwAAAAAAAACmwsqT6/vvd96L+hN1kpZRnek1OUREWpr8ZDeqQtxG&#10;/yUO8rK7tBBdEAAAAAAAAAAA2uL2nStRh6JuLKMqIu1NfpIbSyFu59vH89GFAAAAAAAAAACgTSyj&#10;KiIyweQnuI3CCa8qbxXiXnWX56KLAAAAAAAAAABAG6VlVIM+Rd1YRlVE2pX8xDaWQtx299OZ6OQP&#10;AAAAAAAAANBWX3/z0DKqIiLjTH5CWy+c4Kqy2X+Jg2xvr3SiEz8AAAAAAAAAQNulZVTPX+hE/Yo6&#10;sYyqiDQ/+clMIQ4AAAAAAAAAYAwsoyoiMuLkJ7G1wkmtKm8V4lJedZf2opM9AAAAAAAAAMC0sIyq&#10;iMgIk05ehZNZVRTiAAAAAAAAAACO8PkXH9d+GdWf/ukfe5lZRlVEmpT85DWqQlyaPvOt7HSXt6IT&#10;PAAAAAAAAADAtGrCMqp/8NLP/XZmGVURaUhWoxNZBd4txH23tBmd2AEAAAAAAAAAptnzF3cbsYzq&#10;L//yT/2Vfg1ERKS2GVsh7lV3eSM6qQMAAAAAAAAAsLz/9Nmt2i+j+oszP/U7V/7Qz/9Gvw4iIlK7&#10;LEYnrwps98d/nd3u8lp0MgcAAAAAAAAA4I17969GXYxa+eDDma9/4zev/nq/FiIiUpsoxAEAAAAA&#10;AAAA1ExaRvXS5XNRJ6NW/szCv/J3+9UQEZFaZCE6WVXgnULcy+7j1egEDgAAAAAAAABAbOXJ9f33&#10;O+9F3YzaSMW9/+xv/Om/0a+IiIhMNKMqxO31x3+dl98uLUYnbgAAAAAAAAAAjnf7zpWon1EraanX&#10;l92lhX5VRERkIhlbIW7n28fz0QkbAAAAAAAAAICTNWUZ1b/4l278I8U4EZlU5qMTUwUU4gAAAAAA&#10;AAAARiAtoxp0NWolFfc2/taf+R8V40Rk3BlbIe5Vd3kuOkkDAAAAAAAAAHA2X3/zsDHLqO50l7fS&#10;REr9ComIyEgzqkLcfn/819nufjoTnaABAAAAAAAAABhOWkb1/IVO2N2oi/c77+0/fXZr/1V3eSP1&#10;R/pVEhGRkWQuOhFVoT/+62xvr3SiEzMAAAAAAAAAAOU0ZRnVL7/6JG3vumKciIwqCnEAAAAAAAAA&#10;AC2QZotryjKqaXt3u8trinEiUnVmoxNPFfKxO72XeJPiiRgAAAAAAAAAgGql5Ukbs4xqvr2pGNev&#10;loiIlM5MdNKpQj72u4W47tJe8SQMAAAAAAAAAED1Hjy6FnY66uSDD2cGy6gqxolIJelEJ5sqpLF7&#10;L/EmO93lreLJFwAAAAAAAACA0UjLqF66fC7sdtTJYBnVNNnSy+7SQr9qIiJy5oyyEPfOGs8KcQAA&#10;AAAAAAAA47fy5PrBMqVRx6MuUnFvsIxq6pgoxonIMBllIW629xJvsvPd0mbxhAsAAAAAAAAAwHjc&#10;vnMl7HnUSdrGwTKqinEicuZEJ5Yq5EO/U4h71V3eKJ5oAQAAAAAAAAAYn6Yso/rg0bXX25wmYdru&#10;fvrOaoUiIu8kP4HsFU8oVciHnuu9wpvsdpfXDp9gAQAAAAAAAACYjLSMatT5qJPDy6ge6C5vKMaJ&#10;yLHJTx4KcQAAAAAAAAAAU+jrbx42bhnVJHVQFONEJEx+0tgunkSqkA8933uFN3nZfbx6+KQKAAAA&#10;AAAAAMDkpWVUz1/ohB2QOrl3/+pb252Kcf1aiohIL/nJYqt48qhCPvS7hbhvlxYPn5QAAAAAAAAA&#10;AKiPRi6jmlOME5HXyU8UoyrELfRe4U12vn08f/hkBAAAAAAAAABAvaSlSZu4jOqr7tLey+7SO30V&#10;EZmy5CeIzeIJowr50ApxAAAAAAAAAAANlWZha+Iyqjvd5S3FOJEpTn5i2CieKKqQD73Ye4U3edVd&#10;njt8AgIAAAAAAAAAoN6auoxqKsbt7i7N9msrIjItyU8KYyvEpZPM4RMPAAAAAAAAAAD19/zF3UYs&#10;o3rj5sW3l1HtWd/ufjrTr6+ISNuTnwzWiyeHKuRDr/Ze4U3SyaVwwgEAAAAAAAAAoCE+W/+okcuo&#10;Jrvd5bXt7ZVOv8YiIm1NfhJYK54UqpAP/W4hLj+pFE82AAAAAAAAAAA0SxOWUU3FveIyqkkqxvWr&#10;LCLSxuQngJEU4nLvnDwU4gAAAAAAAAAA2uHrbx42YhnVS5fPvbuMandp72V3aaFfaRGRlmU1OhlU&#10;IGzTvnVyAQAAAAAAAACg0Z6/uNvYZVR3ustbinEi7cuoCnHr/fHfSmrYFk8uAAAAAAAAAAA0WxOW&#10;UX2/8164jGoqxu3uLs326y0i0vAsRieACmz0x38r+Ulku3hSAQAAAAAAAACg+Rq9jGrSXd7Y7n46&#10;06+5iEhDsxB98SsQFuJSo/adkwkAAAAAAAAAAK3R5GVUk93u8ppinEhzMx994SsQF+K+W9qMTiQA&#10;AAAAAAAAALRLk5dRTVIxrl95EZEGZVSFuM3++G9FIQ4AAAAAAAAAYHo0fxnVpb2X3aWFfvVFRBqQ&#10;uehLXoGwEJefKNbfOXEAAAAAAAAAANBqaRnVVDoLOia1ctQyqjvd5S3FOJFmZDb6cldgqz/+W0lT&#10;SUYnDQAAAAAAAAAA2q/py6imYtzu7tJsvwojIjVMJ/piV2C7P/5bUYgDAAAAAAAAAKDRy6j2rG93&#10;P53pV2JEpEYZVSFurz/+W3nZfbwanCAAAAAAAAAAAJgyTV9GNUmTQ/VrMSJSl0Rf5AooxAEAAAAA&#10;AAAAcKK0jGpapjTon9TGccuoJopxIjVK/qXdK36Jq9Af/q287C4tRCcFAAAAAAAAAACmW5qJLeqg&#10;1Ema0S7NbBdt/6vu0l7qxvRrMiIyqeRf1q3il7cK+dCd3iu8yc63j+fDEwIAAAAAAAAAAFMvlc1u&#10;3LwYdlHq5LhlVHe6y1uKcSITTP4lHVUhbqb3Cm+iEAcAAAAAAAAAwEnS8qTnL3TCTkpdnLSM6s53&#10;S5vb3U/f6c+IyIiTf0E3i1/YKuRDz/Ze4U1edZfnohMAAAAAAAAAAAAUPXh0Leyl1Mmxy6j2rCvG&#10;iYwx+RdzvfhFrUI+9FzvFd5kd3dpNvjSAwAAAAAAAABAKJXNbt+5EvZT6iQto/r1Nw/DfUh2u8tr&#10;/QqNiIwy+RdyrfgFrUI+9DuFuNR2jb7wAAAAAAAAAABwnCYso5oct4xq8vLbpcV+lUZERpH8iziq&#10;Qtx87xXeZHt7pRN90QEAAAAAAAAA4DRWnlwPuyp1coplVLdfdpcW+pUaEak4q9EXs6x83He+tApx&#10;AAAAAAAAAACU1ZZlVHe6y1uKcSLVZyH6QpaVjxtO7xh9uQEAAAAAAAAA4Kw+/+LjRiyjmma1i7b/&#10;te7yxnb305l+vUZESmY++iKWlY+72hv+7bzqLu2FX2wAAAAAAAAAABhCS5ZR3d/tLq8pxomUj0Ic&#10;AAAAAAAAAACNlpYmbcIyqmkbv/zqk3AfBlIxrl+1EZEhMht9+SoQfjHzL+128UsMAAAAAAAAAABV&#10;SLOwtWMZ1aW9l92lhX7lRkTOkJnoS1eBjf74b2Wnu7wVfokBAAAAAAAAAKAiTVlG9bP1j8LtH0hd&#10;G8U4kbOlE33hKqAQBwAAAAAAAADARLVlGdXUudnufjrTr+CIyHGJvmgV2OwP/1Z2vlvajL60AAAA&#10;AAAAAAAwCmkZ1TQbW9BvqZUHj66F21+wrhgnckLyL9Re8QtWga3+8G9FIQ4AAAAAAAAAgEl4+uzW&#10;/vkLnajnUhupuJe2M9r+w3a7y2v9Oo6IFJN/mUZRiNvuD/9WXnWXN6IvKQAAAAAAAAAAjEOaiS3o&#10;utTKaZZRTV5+u7TYr+WIyCD5l2ir+KWqwF5/+LeSfxHXi19MAAAAAAAAAAAYp7SMaiqdBZ2XWrl3&#10;/2q4/YftdJe3XnaXFvr1HBHJvzybxS9TBcJCXJquMfpiAgAAAAAAAADAuLVpGdVUjNvdXZrt13RE&#10;pjf5F2ej+EWqQn/4t6IQBwAAAAAAAABA3aw8uR72X+rkxs2Lp1pGNbe+3f10pl/XEZm+5F+YteIX&#10;qAr50J3eK7zJy+7j1eBLCAAAAAAAAAAAE/X1Nw9bs4xqkiau6ld2RKYuq9GXp6x83HemYFSIAwAA&#10;AAAAAACgzp6/uNuaZVST1NfpV3dEpiaL0RenrHzcdwtx3y4tRl88AAAAAAAAAACokyYso/rBhzOn&#10;XUZ1+2V3aaFf4RFpfeajL0xZ+bhzveHfJH2xgi8cAAAAAAAAAADUTtuWUd3pLm/t7i69M8mVSNsy&#10;F31RysrHfadVuvPt4/noywYAAAAAAAAAAHWVllFNy5RGHZm6SMu8nnYZ1dz6dvfTmX6lR6R1mYm+&#10;JGXl4y72hn8ThTgAAAAAAAAAAJoqLaP6fue9sCtTF2dYRnV/t7u81q/1iLQqnejLUVY+7mpv+Dd5&#10;1V2ei75cAAAAAAAAAADQFGmJ0qgvUyenXUY1efnt0jsTX4k0OtGXoqx82HcKcWkN4uhLBQAAAAAA&#10;AAAATZKWUb1x82LYm6mLtMzraZdR3ekub73sLi30az4izU7+BdgrfiEqsN4f/nXS2sPRFwoAAAAA&#10;AAAAAJooFc7OX+hE3ZnauH3nyqmXUU3FuNTx6dd9RJqZ/MDfKn4RKrDRH/51FOIAAAAAAAAAAGij&#10;lSfXo/5MrTx4dC3c9iOsK8ZJY5Mf8JvFL0AFNvvDv45CHAAAAAAAAAAAbZWWUU2zsQU9mtpIy6h+&#10;tv5RuP2R3e7yWr/6I9Kc5Af7RvHgr8BWf/jX2d5e6URfHAAAAAAAAAAAaItUOGvTMqqvukt7L7tL&#10;C/0KkEj9kx/ka8WDvgJ7/eFfRyEOAAAAAAAAAIBp0YRlVNM2Rtse2ekubynGSVOyGh3wJSnEAQAA&#10;AAAAAAAw1dIsbE1YRjUt9xptf6i7vLHd/XSmXwkSqWUWo4O9rHzcTm/4XhTiAAAAAAAAAACYRp9/&#10;8XG7llHN7XaX1/q1IJHaZT46yMvKx32rEJcSfTkAAAAAAAAAAGAatG0Z1cQyqlLHzEUHd1n5uLO9&#10;4d8k+lIAAAAAAAAAAMC0+Pqbh61bRnWnu7ylGCd1ykx0YJeVjzvXG/5Noi8EAAAAAAAAAABMm1Q4&#10;q/syqvfuXz0o8EXbH+oub2x3P53pV4VEJpZOdECXlY873xv+TV51l/bCLwMAAAAAAAAAAEyhJiyj&#10;+vTZrXDbj7LbXV7r14VEJpPoQC4rH/adaRAV4gAAAAAAAAAA4G1tXEY1sYyqTCz5QbtXPIjLyodd&#10;7I3+JgpxAAAAAAAAAAAQa8oyqtG2H2Wnu7ylGCdjT36wbhUP3rLyYVd7o7+JQhwAAAAAAAAAAByv&#10;7suovt9578zLqL7qLm9sdz+d6deIREab/EDdLB64FXhnLeD84N5+52AHAAAAAAAAAADe0pRlVL/8&#10;6pNw+4+y211+p1MkUnnyA3S9eMBWYKM//OvkB7VCHAAAAAAAAAAAnFIbl1FNLKMqI01+YK4VD9QK&#10;vFOIS2sCRwc4AAAAAAAAAABwtDYuo5q6RIpxMqqsRgdqSVv9sV9HIQ4AAAAAAAAAAIbT1mVUX3WX&#10;N7a7n870K0YilWQhOkBL2u6P/ToKcQAAAAAAAAAAUE5aRjUVz4K+Tm0Ms4zqbnd5rV8zEimd+ejA&#10;LGmvP/brKMQBAAAAAAAAAEA12riMamIZVakis9FBWVZ/7NfZ+W5pMzqIAQAAAAAAAACA4bRxGdU0&#10;8ZZinJRJJzoYy0rj9obvRSEOAAAAAAAAAACq19ZlVFPfaLv76Uy/fiRy6oyqEPfWwagQBwAAAAAA&#10;AAAAo5OWUU1LlUZdnjoYdhnV3e7yWr+CJHK65AfcXvEALCsfdrY3ei+vussb0QELAAAAAAAAAABU&#10;J83GFvV56uKDD2fOvIxq8vLbpcV+FUnk+OQH2lbxwCsrH3auN3ovCnEAAAAAAAAAADAerV1Gtbu8&#10;9bK7tNCvJInEyQ+wzeIBV1Y+7FsHnkIcAAAAAAAAAACMV1qi9PyFTtjvqYNU2htmGdVUjNvufjrT&#10;ryaJvJ384FovHmxl5cO+NUWhQhwAAAAAAAAAAExG3ZdRvX3nylDLqO52l9e2t1c6/YqSSC/5QbVW&#10;PMjKyodViAMAAAAAAAAAgJpIy6jeuHkx7PrUxYNH18JtP8nL7uPVfk1J5CCr0QFWRhqzN3QvCnEA&#10;AAAAAAAAADB5TVhG9bP1j8JtP05aRvVld2mhX1eSKc98dHCVtN4f+yAKcQAAAAAAAAAAUB9pNrag&#10;81Mbwy6juvPd0uZ299OZfm1JpjSjKMRt9Mc+iEIcAAAAAAAAAADUS1pGNRXPgu5Pbaw8uR5u+0l2&#10;u8tr/eqSTGFmo4OppM3+2AdRiAMAAAAAAAAAgHpq6zKqr7pLe5ZRnc50ogOppK3+2AdRiAMAAAAA&#10;AAAAgHpr7TKq3eWt3d2l2X6VSaYh0QFU0l5/6IMoxAEAAAAAAAAAQP21eRnV3Pp299OZfqVJ2pz8&#10;QNkrHjglKcQBAAAAAAAAAEBDNWEZ1VTei7b9JC+7j1f7tSZpa/KDZKt40JTVH/ogCnEAAAAAAAAA&#10;ANA8aTa2qBtUF/fuX93/+puH4bYfJy2j+rK7tNCvN0nbkh8cm8WDpax82E5vdIU4AAAAAAAAAABo&#10;qiYso5pmtIu2/RQso9rG5AfFevEgKSsfdrY3ukIcAAAAAAAAAAA03edffNzaZVR3u8tr/aqTtCH5&#10;AbFWPEDKyodViAMAAAAAAAAAgJZpwjKq0XafxDKq7cpqdHCUkY851xtaIQ4AAAAAAAAAANrk628e&#10;1noZ1fc771lGdcqzEB0YZeRjzveGVogDAAAAAAAAAIA2SkuU1n0Z1S+/+iTc9pO87D5e7defpIGZ&#10;jw6IMvIxF3tDZ9nOd0ub0UEDAAAAAAAAAAA0X5uXUX3VXX69UqY0J3PRgVBGPqZCHAAAAAAAAAAA&#10;TInWL6O6vdLp16GkAZmJDoIy8jFfTxmoEAcAAAAAAAAAANOhtcuodpf2XnaXFvqVKKl5OtGHX9Ja&#10;f2yFOAAAAAAAAAAAmDKtXUb1u6XN7e6nM/1qlNQ10Yde0np/aIU4AAAAAAAAAACYQm1eRvXlt0uL&#10;/XqU1DH5B7xX/MBL2ugPrRAHAAAAAAAAAABTrAnLqKZtjLb9ODvd5S2zxdU0+Qe7VfygS9rsD60Q&#10;BwAAAAAAAAAAtHYZ1Zfdx6v9qpTUJfkHuln8gEva6g+tEAcAAAAAAAAAABxo6zKqaba43d2l2X5l&#10;Siad/MNcL364JW33h1aIAwAAAAAAAAAA3tLWZVR3u8tr/dqUTDL5h7hW/FBL2usPrRAHAAAAAAAA&#10;AACE2riMapot7lV3ea5fn5IJZTX6QMvoj5sdfMDBBw8AAAAAAAAAANDWZVTNFjfZLEQfZhn5mJ00&#10;sEIcAAAAAAAAAABwkjYuo5q6U7u7S7OpRyXjzXz0IZaRj6kQBwAAAAAAAAAAnEkbl1F92X28mrpU&#10;Mr7MRR9eGfmYB81GhTgAAAAAAAAAAOAs6r6ManLWZVRTj2q7++lM6lTJ6DMTfWhl5GPOpYHzD3O7&#10;+OECAAAAAAAAAACcpI3LqL78dmkx9apktOlEH1gZ+ZgKcQAAAAAAAAAAQGktXEZ1PXWrZISJPqgy&#10;8iEX0rj5h6cQBwAAAAAAAAAAlNK2ZVTTEqq7u0uzqWMlI0j+gewVP6Ay8iEPpvbLPzyFOAAAAAAA&#10;AAAAoBJtW0bVEqojSv5hbBU/nDLyIRXiAAAAAAAAAACAkWjCMqppVrto29/RXd5IXSupMPmHsFn8&#10;UMrIh1xN477qLu2FHyIAAAAAAAAAAEAJbVpGNS2hur290kmdK6kg+Zu/UfwwSlpP4yrEAQAAAAAA&#10;AAAAo9SaZVS7S3u7u0uzB4UuKZf8jV8rfhAlHUzjpxAHAAAAAAAAAACMQ92XUU2z2X351Sfhtr+l&#10;uzx3UOqS4ZO/4aMpxEUfGAAAAAAAAAAAwAg0YRnVB4+uhdt+2Mvu0sJBsUuGzmr05pewmQaNPiwA&#10;AAAAAAAAAIBRasIyqk+f3Qq3fUAprlwWoze+hO00aPRBAQAAAAAAAAAAjEPTl1FVihs+89EbXsJe&#10;GjT6kAAAAAAAAAAAAMYlFc7qvozqvftXw21PlOKGS+WFuO3tlU70AQEAAAAAAAAAAIzb5198XOtl&#10;VNO2HbWM6s63j+f7PS85ZeaiN7kMhTgAAAAAAAAAAKBu6r6M6gcfzoTLqO7uLs32u15yisxEb24Z&#10;v/mb/9ovFj8UAAAAAAAAAACASWvCMqqpuPfWdneXDlbt7Pe95IR0oje1jN/4zau//tYHAgAAAAAA&#10;AAAAUCN1X0b10uVz+89f3H29vTvfLW32+15yQiovxP3xP/krNw8fPAAAAAAAAAAAAHX04NG1sANV&#10;F/fuX329rbvd5bV+50uOS/RGlvHrf+QX7xw+aAAAAAAAAAAAAOoqzcSWZmSLulB18H7nvf2nz24d&#10;bOvOt4/n+7UvOSr5m7ZXfBPLuPKHfv43igcNAAAAAAAAAABAna08uX5QPos6UXVw+86V/f/hH/zW&#10;7+zuLs32q18SJX+ztopvXhm/9mu/8O9HBwwAAAAAAAAAAEDdpeJZ1Iuqg1TY+4t/6cY/6le/JEr+&#10;RlVaiLt06ef+o+hAAQAAAAAAAAAAaIK0jOr5C52wH1UH/+btX33Vr39JMfkbtFl8w8r45V/+qb8S&#10;HSQAAAAAAAAAAABNkpZRjTpSdfDTP/1jL7Msm+m1wOR18jdno/hmlXHpV3/ur0UHBwAAAAAAAAAA&#10;QNN8/c3D2i6j+iM/8kP/JMuy+V4TTA6SvzFrxTeqjAszP/VfRQcGAAAAAAAAAABAUz19dqu2y6hm&#10;Wbbaa4NJ5YW4/EP/e9EBAQAAAAAAAAAA0HT37l8Ne1OTkmXZ4H9v9Bphsnr4DSpLIQ4AAAAAAAAA&#10;AGiz5y/u7l+6fC7sT01SlmX/Qa8SNt1ZjN6cYXV+8r1/GB0EAAAAAAAAAAAAbbLy5Pr++533wh7V&#10;BP0XWZbN9Kph05n54E0Z2o//+I/+o+jDBwAAAAAAAAAAaKO6LaOapF5Yrx42fam0EPf97//IP40+&#10;dAAAAAAAAAAAgLZKy6jeuHkx7FRNSpZlq72K2HRlLnozhqUQBwAAAAAAAAAATKunz27tn7/QCbtV&#10;E7LZ74lNTWaDN6GU6IMGAAAAAAAAAACYFitProfdqkiWZeGfV2iqSnEzwRtQytffPAw/ZAAAAAAA&#10;AAAAgGmRllG9fedK2LGagKkpxXWCnS9FIQ4AAAAAAAAAAKAnFeNqsozqWr8z1upUXoj78qtPwg8W&#10;AAAAAAAAAABgGj19dmv/J3/yd4d9q3HKsmyhVxtrcaIdLyM1GqMPFQAAAAAAAAAAYJp8/sXH+5cu&#10;nwt7VpOSZdlsrznW0uQ7uVfc6TIU4gAAAAAAAAAAgGn29TcP9+/dvxr2q2pgu18da2fyHay0EJda&#10;jdGHDAAAAAAAAAAA0GaDItz7nffCblWNbPTrY+1LvnNbhZ0t5bP1j8IPGwAAAAAAAAAAoK3quDzq&#10;cbIsm+81yFqWfOcqLcQ9fXYr/MABAAAAAAAAAADa5vmLu/s3bl4Mu1Q1t5dl2UyvRdai5Du2WdjR&#10;UhTiAAAAAAAAAACAtmvQ8qjH2ezXyNqTfKc2CjtZysqT6+EBAAAAAAAAAAAA0AZpedTzFzphf6pp&#10;sixb6DXJWpJ8p9aLO1mGQhwAAAAAAAAAANBGDV4e9TjtWjo136G1wg6W8uDRtfBgAAAAAAAAAAAA&#10;aKKWLI96nI1+naz5yXdGIQ4AAAAAAAAAACDQpuVRj5Nl2XyvUdb8rEY7OKzUhIwODAAAAAAAAAAA&#10;gKZo6fKox0lLp7YilRbibt+5Eh4gAAAAAAAAAAAAdTcFy6MeZ73fKWt0FoIdG1pqRUYHCgAAAAAA&#10;AAAAQF2lItzTZ7emtQj3WpZls71aWXMzH+3YsBTiAAAAAAAAAACAJvn8i4/3L10+F/ahptB2v1fW&#10;2FRaiPvgw5nwoAEAAAAAAAAAAKiT5y/uHkwAFvWgplmWZQu9alkzMxft1LBSUzI6eAAAAAAAAAAA&#10;AOogLY967/7VqV8e9Rh7WZZ1evWy5mU22KGhnb/QCQ8iAAAAAAAAAACASUpFuKfPbjW2CJe2e+XJ&#10;9YN9iP6+Yuv9flnjMhPszNAU4gAAAAAAAAAAgLr5/IuPD1a/jDpPdZeKcLfvXDko9A32Zxz7kmXZ&#10;bK9i1qx0op0ZVnrzDx9IAAAAAAAAAAAAk/L8xd39Gzcvhl2nJvjgw5mDfSju15dffRL++xXb7HfM&#10;GhWFOAAAAAAAAAAAoFXSbGr37l9t/PKo0b4NpP2LfrZKWZbN92pmzUmlhbgkevMBAAAAAAAAAABG&#10;LRXhHjy61vgi3OHlUY+S/p3zFzrhOBXa6/fMmpNgJ0o5zYcBAAAAAAAAAABQpc+/+Hj/0uVzYaep&#10;CY5aHvU4aZ+jsSq21q+aNSP5Bu8VdqAUhTgAAAAAAAAAAGBcml6ES9v+2fpH4b6dxo2bF8Nxq5Rl&#10;2UyvbdaA5BtcaSHuy68+Cd94AAAAAAAAAACAqqSe0r37V8MOUxOcZXnU46Sfj8av2Ga/blb/5Bu7&#10;Xdj4Us46bR8AAAAAAAAAAMBppQJYKsKlQlnUX2qC23euVDrx2INH18LXqVKWZfO9xlnNk2/sVnHj&#10;y1CIAwAAAAAAAAAAqpaKcE+f3Wp0Ea7s8qhHSe/N+Qud8DUrtN2vnNU7+YZWWohLa/JGbzoAAAAA&#10;AAAAAMAwUicplcmivlITVLU86nFS0S567SplWbbQa53VOPmGbhY3vAyFOAAAAAAAAAAAoApptcob&#10;Ny+GPaWm+ODDmUqXRz3OGEqDe1mWdXrNs5om38iNwkaXMoop/QAAAAAAAAAAgOmRZlK7d/+q5VHP&#10;KBUIo22p2Hq/elbPpA0sbHApaZ3e6M0GAAAAAAAAAAA4TirCpf5Rk4tw41ge9Ti371wJt6tKWZbN&#10;9NpnNUy+gZUW4tKHGb3RAAAAAAAAAAAAR/n8i4/HseTnSI1zedSjpCJetG0V2+jXz+qXfOPWChtb&#10;ikIcAAAAAAAAAABwWmmZzxs3L4ZdpKZIs8LVaWXNB4+uhdtZpSzL5noNtJol37hKC3HpzYzeZAAA&#10;AAAAAAAAgIE0k9m9+1cbvTxqkpYondTyqEdJ23P+Qifc3gpt9ytotctqsLFDU4gDAAAAAAAAAACO&#10;kspaaTa1phfh0vKuaZnXaB/r4LP1j8LtrlKWZQu9Clq9UmkhLrU2ozcYAAAAAAAAAACYbqlAlopk&#10;Ue+oKVKRb+XJ9drNChcZw3u91++g1SqLwYYOLU0BGL25AAAAAAAAAADAdHr+4u7+jZsXw75Rk/za&#10;1QsH+xLtYx2lAmK0H1XKsmy1V0OrTxaiDR1WOnCjNxcAAAAAAAAAAJguaRa1tOJk05dHHUgzrjVh&#10;ZrjDxlBETLPEzfSqaPXIfLCRQ1OIAwAAAAAAAACA6ZZKY0+f3WpNEe6wppXivvzqk3A/Krbe76LV&#10;IpUW4j74cCZ8YwEAAAAAAAAAgPZLy3Sm0ljULWqLppXixrFcbVajWeLmog0cVvqwozcVAAAAAAAA&#10;AABor+cv7u7fvnMl7BS1UZNKcWk7o32o2Ea/jzbxzAYbNzSFOAAAAAAAAAAAmB6pbHXv/tVWLo96&#10;kiaV4sZRVkxdtF4lLZvr/3MiqbQQd/5CJ3xDAQAAAAAAAACAdknLo6a+UNQjmhZNKcWNaZa4/z63&#10;ltvud9MmkplDG1RaanpGbygAAAAAAAAAANAOqQiXimBRf6hJUtdp5cn1/T/xpy6Ff39aTSnFpZn8&#10;ou0fga1+N20iUYgDAAAAAAAAAABO1KblUT/4cGb/y68+eb1vN25eDP+902pCKW5Ms8Qlm/1u2kTS&#10;CTZoaApxAAAAAAAAAADQLqlI9eDRtVYU4VJx7bP1j8L9TCW56GdOqwmluPQ5Rttesd/ud9MmkkoL&#10;cUn0RgIAAAAAAAAAAM3TtuVRjyuspb8ru691L8WlbTt/oRNue4X+r343bTIJNqiU6I0EAAAAAAAA&#10;AACa4/mLu6WXEa2L4vKox6mqFBeNXRdPn90Kt7tKWZat9tppE0i0QWXUueEIAAAAAAAAAAAcLXV/&#10;7t2/2vrlUY+TynNl97/OpbgxzRK3l2XZTK+hNuakFy9sTCkKcQAAAAAAAAAA0Dxp5rAxFKVG7jTL&#10;o54kzZAXjX0WaWa6aOw6GMcscbn1fkVtvMlfuNJC3GmnFwQAAAAAAAAAACbv8y8+Lr1MaF2kEloq&#10;s0X7eVbpfYle4yzqWoob0yxxaenU8c8Sl79wpYW4qg4oAAAAAAAAAABgdAbLo0YdoKZJ5a4061m0&#10;n2VUUYq7cfNiOPaktXaWuPxFtwsbUYpCHAAAAAAAAAAA1NegCJeWFo36P01SxfKoJ6miOJbe72js&#10;SWrtLHH5i24VN6IMhTgAAAAAAAAAAKgny6MO58Gja+E2nEUaIxp7klo5S1z+gpUW4tKXJnrzAAAA&#10;AAAAAACAyUjFsdt3roR9n6ZJs8KNYnnUk1SxvOwktvs463/99v73vvfD4bZWKRvnLHH5C24WN6AM&#10;hTgAAAAAAAAAAKgHy6NWq4pSYR1KcakgeePmxXD7RmR8s8TlL1ZpIe6z9Y/CNxEAAAAAAAAAABgf&#10;y6OORhWluEl1rCZYkNzr19VGn/zFKi3E1W1aPwAAAAAAAAAAmCYTmP1rZAazwkX7OUlVlOLGvRJn&#10;er3zFzrhtoxDlmWLvcbaiJO/2EbxxctQiAMAAAAAAAAAgPFr2/KoaV8muTzqSaooxY1j1rsaFSTH&#10;M0tc/kLrhRcupY6NTAAAAAAAAAAAaLNJz/5VpTotj3qSsqW4VPwb1b7WsSCZZdlCr7U2wuQvpBAH&#10;AAAAAAAAAAANZHnUyauiFFf1THipIHnp8rnw9SZss19bG13yF1krvGgpDx5dC99kAAAAAAAAAACg&#10;Gm1bHjUV4eq8POpJ0qx20b6dViqvReOe1eC4iF6jLrIsm+k110aU/EUU4gAAAAAAAAAAoCEsj1pP&#10;ZUtx6eejcU8jFeGePrvViIJklmWLvebaiJK/iEIcAAAAAAAAAADUXJuWR00zon22/lG4n002iVJc&#10;jZdHPcrIl01dDV50aGnKveiNBwAAAAAAAAAAzq5Ny6P+yI/88P6f/61fb/TyqCcpW4q7fedKOG5R&#10;k4+LLMs6veraaFJpIe60HwgAAAAAAAAAAHC8Ni2PetjKk+vh/rZF2VLcSat0ptn1mnxcZFk216uu&#10;jSaL0YsOSyEOAAAAAAAAAADKadPyqEdp+0qUZUtxT5/demfMthwXWZat9qpro8lC9KLDSm948YMA&#10;AAAAAAAAAABO1qblUU8jlcbavHzqpcvnwv0+rTQTXBpnEsdFlmXhn1fki151bTSZD15waApxAAAA&#10;AAAAAABwdk1fBnNYaZ/TzGfRe9J0qchWthSXlpdt4XHxD/vdtZGk0kJcam1GHy4AAAAAAAAAAPCu&#10;z7/4uHRpqg0Gs6G1TRWluEnJRjdL3P/aq66NJgpxAAAAAAAAAAAwZm1aHvW9974f/vlZpdnQoveq&#10;6ZpcihuRkRbi5oIXHFr64KIPFQAAAAAAAAAA6Hn67FYrlsFMZb5UYvtv/s69yop9Dx5dC9+zplOK&#10;e8s/73fXRpLZ4AWHphAHAAAAAAAAAACxtiyPmspvt+9c2f/yq09e79vzF3fDf3cYaezD71tbKMW9&#10;9t/1u2sjSaWFuNRcjT5MAAAAAAAAAACYVm1aHvWDD2cOym/RfqbCX/Qzw0ivE71G0ynFHfg7/e7a&#10;SDITvODQ0pc2+iABAAAAAAAAAGDapPJTWh61DUW4tA9pedRoPw+rshTX1tUq03HxS3/gp8J9rpG9&#10;LMv+avDnVXjaq66NJp3gBYemEAcAAAAAAAAAAO1aHjUV4VKJK9rPSNWluLO8dt2lfUmzBf7E+z8I&#10;97cmtrLeyqMbhT+vRD72/EFzbURRiAMAAAAAAAAAgIoMCk9VzQqXZVn45+Nw3PKoJ6myFJfey2G3&#10;o07Se3L+QifcxxpZS52y3GLwd1VIM8+l8UeX4EVLiT5MAAAAAAAAAABos1SEa8vyqGlWts/WPwr3&#10;8yzS+xGNP4wml+LSdt+4eTHcrxpJRbXBzG0z6f8u/H1VNvqvMboEL1pK9KECAAAAAAAAAEBbTfPy&#10;qCepshSXpPc6ep06qnq2wBHazLJsptcmOyjDbRX+viqpdDfbe5kRJr1Q4YVLqfILAQAAAAAAAAAA&#10;dTUoPEUdmiZJha3bd67sf/nVJ+F+llXl8qlJFbPXjVpDSpKpoLbYa5EdZC79WeHfqVJajnX0yV9I&#10;IQ4AAAAAAAAAAE4p9WPSTGptWB71gw9nxrIUadWluDTzXPQ6k9agWeG2srdna1vM/2yUZbhUvuv0&#10;XmrEyV9su/DipYyqKQoAAAAAAAAAAJNWx5m/siwL//w4g+VRo30clVS8i7ZlWOPe/pOkY+P8hU64&#10;rTUymBVuUE7r5H+2Vvh3Kpe/znzv5caQ/AUrXfN1HI1RAAAAAAAAAAAYpwbN/HWsQRFuUqtApm5R&#10;le9hHUpxg2Mj2r6aSbPCDYppqRC3kP9ZpZOpHWE8S6UOkr+gQhwAAAAAAAAAAByhITN/nSgtj1qH&#10;1R+rLsU9eHQtfJ1xqOOxkcUzBqZS2mBWuLn8/660M3aM9fz1xrNU6iD5i24WNqIUhTgAAAAAAAAA&#10;ANog9WBu3LwYdmSaJC3x+tn6R+E+TkqaVa3KpWfTDG3R64xKg2aF287ezAqXinCVdsVOMP4yXEr+&#10;wpXuZGo9RgcBAAAAAAAAAAA0QRuWR82ybOLLo56k6lJcmgEvep2qNWjGwEEhbSb/32u5vUN/N2qT&#10;KcOl5C++UdiYUhTiAAAAAAAAAABoqtR9qbKkNUn/xvV/IdzHOmlSKS5t6+07V8LXrZm9rDcrXCf/&#10;3+MuwiWHl2cdf/INWC9sUCl1m14RAAAAAAAAAABO0oZZ4SLjmjWtrLSd0fYPYxT7nIqSDTk2fjvL&#10;sl/M/zmJIlwq4i0clNImmXxDKi3EPX12KzwoAAAAAAAAAACgjhq0BOZQ0gxsdV029bBUSIy2fxhp&#10;n6PXOKv0vt24eTF8jbrIsiz985/k//zN/J+TKMIlW/nrz6Y+2sSTb0x6E6KNHIpCHAAAAAAAAAAA&#10;TfD8xd3al52qkmY3S/sbvQ918uDRtXD7h1G2CJh6UE2ZFS73V3OTKMIlm9kkl0gtJt+gSgtxK0+u&#10;hwcIAAAAAAAAAADUQVuXRz1J2t80G170ntRJKqJF2z+MYUpxX371SVOKkr+TZdnz/J+TKsKlJVIX&#10;c/Upw/WzGmzs0BTiAAAAAAAAAACoq1QISyWpqPcyLZqwAmT6nKJtH0ZaDve0s+M1ZVa4LMu283++&#10;Kv75GKVZ4WYO2mc1zGKwwUNL0xZGBwsAAAAAAAAAAEzKtM4Kd5QmTHqVSmxVfV5pnONKcQ1aPvf/&#10;zP3jwp+N02BWuFpnIdjwoSnEAQAAAAAAAABQJ2m2sTRLWNR1aYoPPpzZ/5MfXQ7/blipIBi9X3WS&#10;li+taka/qBSXipKpHNiQouQ/C/5snGo9K9zhzAcbP7QmfFEAAAAAAAAAAGi/Bs36daRU1EqFrVTc&#10;SvuUujnRvzesVLQrvm91k/a9ylJcKkimcRt0fPy/wZ+N01bqmPWqZs1IpYW423euvHNQAgAAAAAA&#10;AADAuLRledTUwxkU4Q5Lfx79+8NKZbPodeomlfei7R/GH7v1K40/PsZgsDxq56Bl1qAoxAEAAAAA&#10;AAAA0App9q+qZhOblFT8Ki7tWTStpbiq97vG/nnwZ+Oyl1vPGliEG2SusEOlpGkEo4MRAAAAAAAA&#10;AABGpQ2zwhWXRz1J1eWw9PonFfHqoOplY3nLZpZls71aWXMzG+zY0BTiAAAAAAAAAAAYpzbMCpc6&#10;N19+9Um4f8epchnRpCmluAeProXbP4wsy8I/nzLb+fuwcNAma0Fmgh0cWvqSRQchAAAAAAAAAABU&#10;qQ2zwqUi32frH4X7d1rTWopLRcho+zmTvSzLFnONXR41SifY0aEpxAEAAAAAAAAAMGqpDHX+Qifs&#10;rzTBWZdHPUnVpbgkvcfRa9WJUlwpaXnUmV6FrF2ptBCXWqvRwQcAAAAAAAAAAGUNZoWLeitNkcpr&#10;wyyPepz0voxi2diys9eNQ5rNrsmzBE5AKsLN9qpjLU2w00NLzdvowAMAAAAAAAAAgDLSbGDTvjzq&#10;cUZVinv67Fb4enWSCoY/+3M/Hm4/r7VyedQwwc4PTSEOAAAAAAAAAIAqpaLXjZsXw65KE1S9POpx&#10;RlWKS9sfvV4dpH1u+qyBIzY9RbhB0k4X3oShpS9wdOABAAAAAAAAAMBZpdnJmjwr3CiWRz3JqEpx&#10;Dx5dC19vktKsgWkCr2h7OSjCreampwg3SNr5wpsxNIU4AAAAAAAAAADKev7ibitmhYv2bRzaXooz&#10;K9yJNrMsm+21w6Yw+RuwVXhDSokOQgAAAAAAAAAAOMmg6NTkWeFu37lysB/R/o1bmqEu2sYy0ucT&#10;vda41HVWuCzLwj8fs+kuwg2SvxEKcQAAAAAAAAAATFQqOo1iVrNxSdv+2fpH4b5NUltKcalkmMqG&#10;0fYcJatHSW0cUhFu/qAMJgeFuM3CG1RKXRquAAAAAAAAAADUX9NnhRssj1rnzkzTS3GpLNnkWQNH&#10;aC/LssVc56AIJr3kb4xCHAAAAAAAAAAAY9f0WeFS0ez5i7vhvtXNWWdXO41Rl+KGmRVuSijCHZf8&#10;DdoovGGlfPnVJ+EBCgAAAAAAAAAAiVnhJqNJpbhUljx/oRO+5hRLRbjVnCLcccnfqPXCG1dKU1qv&#10;AAAAAAAAAACMX9OLTmlWuCZPGFX3UtygLBm9zhQbFOFmDgpfcnzyN2yt8AaWohAHAAAAAAAAAEBR&#10;XWaFy7Is/POTpO1++uxWuG9NM4rCWRWlOLPCvWMvt5Yfs4pwZ0l60w69iaWlAzM6YAEAAAAAAAAA&#10;mE6pT3Lp8rmwa9IEaVa1pi2PepIHj66F+1rGsKU4s8K9IxXhNjJFuKGzWnhDS1GIAwAAAAAAAAAg&#10;qcuscMNKJb42d2HqUIozK9xbUhFuM8uy2V6tS4ZNpYW4z9Y/Cg9eAAAAAAAAAACmR5NnhUsFvpUn&#10;11s3K1wkfU7Re1DGaUpxTS9LjoAiXIVZDN7goSnEAQAAAAAAAABMr6YXnT74cGb/+Yu74b611bhL&#10;cU0uS46AItwIUmkh7umzW+GBDAAAAAAAAABAuzW56PSD9753MCtctF/TIJUAqy4xFntEZoV7iyLc&#10;CLMQvOFDm+YTAwAAAAAAAADANGpL0enBo2vh/k2LVIo7f6ETvjfDGpTi0thmhTugCDeGzAdv/NAU&#10;4gAAAAAAAAAApkfblr+8cfNiuJ/TIpUbq/48/9itXzErnCLcWFNpIW7am7IAAAAAAAAAANOgzctf&#10;fvDhTLjP0yJ9tuk9iN4bzkwRbgKZCz6IoSnEAQAAAAAAAAC0W9tmhYuk/Yv2fZooxZWiCDfBVFqI&#10;S83f6AsCAAAAAAAAAECzNXlWuLTNP/MzPxb+3VFSKS7tc/ReTIvbd66E7w1HUoSrQWaDD2ZoCnEA&#10;AAAAAAAAAO3z/MXdxs4Kl7b7s/WPDsptZ92H8xc6B/sevSfTIvWBoveGtyjC1SgzwQc0tNQKjb4Y&#10;AAAAAAAAAAA0T9NnhVt5cv2tWd6+/OqTM+9L+venvRSXCoXRe4MiXB1TaSHuxs2L4ZcCAAAAAAAA&#10;AIBmafqscEeV2D7/4uPwZ46TSnHp56LxpkV6P5tYjBwRRbgapxN8YENTiAMAAAAAAAAAaLbjZoXL&#10;siz833WRtrk4K1xkmFJcMu2luGGWnW0ZRbgGRCEOAAAAAAAAAIADTZ4V7oMPZ860tGkqzkXjnOTp&#10;s1vheNMilQK///0fCd+bFlOEa1KCD3Bo6cQSfREAAAAAAAAAAKiv42aFq7vTzgoXuX3nSjjmSdLr&#10;ReO1WXp/D79fWQ1nCBwBRbgmJvggh5YawtEXAgAAAAAAAACAepqmWeEiaYxo7JM8eHQtHK+N0qxw&#10;5y90wvehpRThmpz8A9wrfKBDU4gDAAAAAAAAAGiGaZ0VriiNMWwhsO2rKQ6OkWjfW0oRrg3JP8jK&#10;CnGpCRp9OQAAAAAAAAAAqI80q9qNmxfD/kfVsoqX1kwltC+/+iTcr2Epxb1rymaFU4RrU/IPdLvw&#10;AQ8ttW+jLwgAAAAAAAAAAJOXil9pZrVpnxUuksYd9n1JZbpRbde4pf0YdubArOLy4xgowrUx+Qe7&#10;Vfigh6YQBwAAAAAAAABQT+OcFa5qo5gVLpJeY9hSXPq59B5H4zZFmhVu2JnyGkYRrs3JP2CFOAAA&#10;AAAAAACAFmv6rHDRPo1KKrVNWymuzKxwDaMINw1JH3Thgy8l+tIAAAAAAAAAADB+dZ4VLjthec1x&#10;zQoXSe9btE2nlWZai8atoymZFS4V4eYOylLS/qQPvHAAlNKW9ZABAAAAAAAAAJrMrHDlpKJYtH2n&#10;9fTZrXDcupiSWeFSEW6+15KSqUn+wW8UDoRSFOIAAAAAAAAAACZnnLPCZSfM8nZWk5wVLlK2FFeH&#10;Yl8kHSMtnxVOEW6akx8A64UDopQ6nZQAAAAAAAAAAKZJmpWsqTN+/ct/6PeH+zRpZUtxDx5dC8ed&#10;hCmYFS4V4RZznYNilExn8gNhrXBglJIapNEXCgAAAAAAAACA0RjnrHCjlIpaqYAW7eMklS3FpZnv&#10;onHHqeWzwm1linAySH5AKMQBAAAAAAAAADRUk2eFO0qaxSza10lqaimu5bPCKcLJu8kPjEoLcXVs&#10;6QIAAAAAAAAAtE0qOrVhVrijpNnM6jYxU9lSXNqn9LlFY49C3WeFy7Lstejvj7Gd/4winByZ1eCg&#10;GZpCHAAAAAAAAADAaLVxVrijrDy5Hr4Hk1K2FHf+QmfkRb8Wzwq3lynCySlSaSHus/WPwi8aAAAA&#10;AAAAAADltH1WuKOk5UbHObPaScqW4lJRbVSluLrPCjckRTg5UxaDg2hoqYEcfdkAAAAAAAAAABje&#10;NM0KF0n7XqeVC8uW4pIq96els8Lt5dazLJvp1ZxETpeFwoFUSt2mqQQAAAAAAAAAaLImzwqXZir7&#10;y//pn6h0xrIHj66F79MkVFGKq2LyqZbOCreZZdlsr94kcrbMBwfU0BTiAAAAAAAAAACq0dRZ4dI2&#10;pw7JYJnT9M+07Gn07w4jlb++/OqTd96vSUhltGgbz2LYvk1LZ4VLRbj5Xq1JZLhUWoirUwsXAAAA&#10;AAAAAKCJmj4rXCqJRfuVylvRzwyritnVqlBFKe6snZsWzgq3l2XZYq5z0GgSKRGFOAAAAAAAAACA&#10;mmjLrHBHSf9O9PPDSiW76HXGLRXUyn5uaRa9aOzDWjgrnCKcVJ654EAbWl1OMgAAAAAAAAAATdL0&#10;WeE+W/8o3K/I5198XGmh67hZ6cYpfYZlZ207rhTXslnh9nLrWZbN9CpMItVltnCwlXL7zpXwCwkA&#10;AAAAAAAAQKyps8IlafKkk2aFi3z51SeVl7vS7HPRa41Tei9SqS3avtNK70txzJbNCreZOku96pJI&#10;9VGIAwAAAAAAAACYgGmaFe4oVe9/XborZfcrvb/p+GjZrHCpCDffqyyJjC4zwcE3tPRljr7kAAAA&#10;AAAAAAC80eRZ4VLpbJhZ4Y6SZj+LXmdYqUBWhyVUy+7Xz/zMj+3/xPs/CP+uYfayLFvMdQ7aSiIj&#10;Tic4CIemEAcAAAAAAAAAcLQmzwqXCnxVzAoXSeNGr1lGHZZQffDoWrhtU0IRTiaSSgtxaQ3k6MsN&#10;AAAAAAAAADDtmjwrXOqEVDkrXCTN6lb1+zOO7T7J5198HG5bi+3l1rMsm+nVk0TGnMIBWUqacjL6&#10;YgMAAAAAAAAATKumzwqXinzRfo1Ceq9S/yTalmGlfUiltOj1xiWV/aJta6HNLMtme60kkQklODCH&#10;dv5CJ/xSAwAAAAAAAABMozrNCpdlWfjnR0mzq3351Sfhfo3avftXw20qIy1fGr3WuKRSXOrWRNvW&#10;AqkIN3dQRhKZdPIDMk1TGB2oZ6YQBwAAAAAAAADQ/FnhVp5cD/drnFKBLdq+MtLsc5Mq+SWjmAFv&#10;wvayLFvMdQ6KSCJ1SDowCwfq0NIJMfoyAwAAAAAAAABMizrNCndWk5wVLpKWOo22s4z02Xy2/lH4&#10;euOQSnGXf/Xnw21rEEU4qW/yA3S7cMAOTSEOAAAAAAAAAJhWbZgVLu1DtG+TNKqlRtOyrNHrjVIq&#10;+DV82dQ08dZ6lmUzveaRSA2TH6Rbhw7a0qIvMwAAAAAAAABAmzV9VrhUOov2qy5SUS9tZ7T9ZYxr&#10;CdUmlyUP2cyybLbXOBKpcfKDtdJCXB2bwgAAAAAAAAAAo9D0otN7731v/6/99dvhvtVRmtUt2o+y&#10;0ux40etVocllyb5UhJvrNY1EGpB00BYO4lIU4gAAAAAAAACAadCCotNrn61/FO5jHaXyWrQPZd2+&#10;cyV8vWGlWfcaPitcKsLN9xpGIg1KOngLB3Mp45hGEgAAAAAAAABgUlqy/OU7RjlLWtVS2WwUZcS0&#10;hGrZ5WPT8ZHeywaXJbezLFvMdQ7KRSJNS34QbxQO6lLqvqY0AAAAAAAAAMCw2jQrXOTBo2vhftdR&#10;Kp6lAlu0H2Wlzzl6zZM0fFa4vUwRTtqQ/GBeLxzcpSjEAQAAAAAAAABt0/Ci05l88OFM+B7U1ag+&#10;l3v3r4avF0nlvPTvN7QsqQgn7Up+UK8VDvJSPv/i4/CLDwAAAAAAAADQNE1f/jJt91/49I+Ef3ec&#10;ppXi0sx20X6UdZolVNPfj2qmuhFLRbjVnCKctCv5wa0QBwAAAAAAAABQ0OCi04FUakuFvrQvqc8R&#10;/TvHSfs++PkmGGYfTytaQrXBs8Lt5dazLJvptYdEWpb8AK+0EPfZ+kfvnAAAAAAAAAAAAJqi4ctf&#10;Hmx3VOBKBb+z7lP690+aIa1O0raev9AJ96Wsw0uopvLdqF5nxDazLJvttYZE2pvV4OAfWnRCBQAA&#10;AAAAAABoglR0avqscF9+9Um4b8mwpbimrRh44+bFcF/K+pV/6ef2/8yf/cPh341almXhn59SKsLN&#10;HzSFRKYgi8GXYGhp3ezoRAMAAAAAAAAAUFdtmBXutJ2NVJgbZj+btmrgg0fXwv2YMnupG5TrHLSE&#10;RKYkCnEAAAAAAAAAwNRq+6xwkVQAHGafm9YLSZ9ttB9TQBFOpjoLwZdiaApxAAAAAAAAAEATDGaF&#10;i/oPTXCWWeEiw5bi0sxr0Xh1lZaJHVXhMSu3jOko/E5uLd+umYNWkMiUZr7wxSilaSc9AAAAAAAA&#10;AGD6pJnDzl/ohN2HJhhmVrjIsKW49PrReHXW5PLjCf5+lmW/kZvNmRFOJE+lhbh08ohOKgAAAAAA&#10;AAAAkzbts8IdJRXcotc7TirSRWPVWcuWULUsqsgRmQu+MEO7fedKeEIBAAAAAAAAAJikVIZKhbKo&#10;79AEVc0Kd5RhS3Gj3KZRGHZWvJrZzCyLKnJkFOIAAAAAAAAAgNZKBagbNy+GPYcmGNWscJHU+4i2&#10;4Thp+56/uBuOV2cPHl0L96fmBrPCicgxmQ2+PENLF5DoJAIAAAAAAAAAMG5Pn90yK9wZDVuKSzPw&#10;RePV2cN/94/s//AP/1C4TzVkVjiRU2Ym+AINTSEOAAAAAAAAAJi0NGOZWeGGd+/+1XC7TpIKiNF4&#10;dVM8PrIse2s/qlDhmGlWuPlU8hGR06UTfJGGlprJ0YkEAAAAAAAAAGDU0vKoaSlMs8KVN2wpbpJF&#10;vpOk4yPtV4OOj/XU7elVfETktKm0EHfp8rnwhAIAAAAAAAAAMEpp1q/UW4j6DE0w6VnhIqlcGG3r&#10;SdLPReNNUlrStUHHx1ZmVjiRoaMQBwAAAAAAAAA0VgNn/XpHXWaFi6SSXrTNJ6nLKoMNOz7S8qiL&#10;qc9z0OoRkeESfLmGdv5CJzy5AAAAAAAAAABUrWGzfu1nWfbW/13HWeEi6X0+vN2nlT6bVEiLxhyH&#10;Bs4KN3tQ5hGRcgm+YENTiAMAAAAAAAAARm0w61fUXWiKOs8KFylTihv3fpoVTmTKk75YhS/a0NKJ&#10;JDrRAAAAAAAAAABUIRWz0oQ9UW+hKX7+539i//mLu+H+1Vna5mFKZulnxrW/DTs+NjOzwolUn/zL&#10;pRAHAAAAAAAAANRaKlTduHkx7Cs01WfrH4X7WmdptrdhCmepU5LKatGYVajbrIFZYXncArPCiYwy&#10;6UtW+NINTSEOAAAAAAAAAKhSKjo9eHRtqJnJmiDtW7TfdZY+k7QUarQ/JxlFKW4Ss8JlxxfejpNm&#10;hZs5KO2IyGiSf9G2C1+8UqITDwAAAAAAAADAWaWi07DFqyb54MOZcP/rLJXi0nZH+3OSp89uhWOe&#10;VdqG23euhK9RQ4NZ4URk1Mm/cFuFL2Ap6WQTnYQAAAAAAAAAAE4jdQ/S8pdNmhUuG37GsAOp+JeW&#10;I43ejzobdhnblSfXw/FOK5XqGnR8mBVOZJzJv3QKcQAAAAAAAABALUxi+cu6SAWvUSwpOmqpvBjt&#10;z0mGWS72+Yu7Q5fwJiDNCrfQa+iIyNiSf/kU4gAAAAAAAACAiWrY8pehNMvbX/j0j4R/dxZlZ0+b&#10;hFRui/blJOkzj8aLNGxWuPUsyzq9do6IjDX5F3Cz8IUspYnTdwIAAAAAAAAAk9OwotM70ranEttg&#10;EqE0i1nZ/UmzrhXfp7r7bP2jcF9O8sGHM+F4Aw2bFW4ry7L5XitHRCaS/ItYaSEunYSikxMAAAAA&#10;AAAAwGENKzqFUpkr6kqkclyaMS76mdNKP9+0lfrSkq/RvpwkKsWlfU/FwIaUJfdya5lZ4UQmn/zL&#10;qBAHAAAAAAAAAIxNw4pOoeKscJH0d6noFf38aaXXaVoXI23v+QudcH+Oc7gAmMYoWygcozQr3Gyv&#10;iSMiE0/+pdwofElLUYgDAAAAAAAAAI6SZhBrUNEplEpuX371Sbh/kSpmwUvLkUZj11Uqtg3zOf/C&#10;L7y//+d/69cbMytclmWLObPCidQp+Zez0kJcunBFJzoAAAAAAAAAYHoNZoWLugZNMZgVLtq/k1Sx&#10;7w8eXQvHrrOmL4l7jM3MrHAi9Uz+BV0vfGFLUYgDAAAAAAAAAA5LXYJhltCsk7POChdJhbZo7LNI&#10;BbNo7DprehGywKxwInVP/kWttBDXtCk6AQAAAAAAAIDReP7ibuNnCEuzwlXZhUjlwOh1ziKV86Kx&#10;66yKMmANpFnhZnqNGxGpbfIv61rhy1uKQhwAAAAAAAAATLe0PGoqQKUyWdQtaIrbd64c7Eu0j2Wk&#10;omDZ9+bS5XOlZ6wbtyrKgBOSZoWb7zVtRKT2yb+0lRbinj67FZ7UAAAAAAAAAID2S6WnVNaKOgVN&#10;kbZ/1BMCpaJd2fcplepSuS4av67S9v7E+z8I96eG9nLrmeVRRZqV/IurEAcAAAAAAAAAlJIKXvfu&#10;X230rHBp21eeXB/JrHBHqWJJ2VRCjMauo7Stv+fHfzTcj5NkWRb++Yik5VFnD8o1ItK4rAZf6qGl&#10;C0N0QgMAAAAAAAAA2imVnM5f6IQ9gqb44MOZic22loqE0TadRd37GqlkmJagjba9ZtLyqIs5s8KJ&#10;NDgKcQAAAAAAAADAmTWo5HSkScwKF0nbEG3fWTx4dC0ce9IaVJhMs8LN9Oo0ItLkLAZf8KEpxAEA&#10;AAAAAABA+z19dqvRy6Mmf/DSuf0vv/ok3L9JSMWxaDvPIi3BGo09CYNldKPtPCwb71KokTQr3MJB&#10;i0ZEWpFKC3F1bRsDAAAAAAAAAOWlZUVT6SrqDDTRZ+sfhfs5Ken9LTubWlr+NRp7nBo0K9x6ZnlU&#10;kdZFIQ4AAAAAAAAAONZgtq+mzwoXSbPdRfs8Kem9vnT5XLitp5V+fhKz3512Vrga2MqybLZXnRGR&#10;tqXSQlw6qUUnPAAAAAAAAACgmdJsX2ULWv9/e/cXclt634d9e2RLsiNLB9vxn1gzOXb8R3akzKnj&#10;+o/kwTKuYlXONMeumMyF40yITSBVYFQUAiVgYSglDp5hCim9ED0NyVUhUQi9cIubc5ELBQQ9l70I&#10;VBctlFLoSW8Cvel0/847z2TNmt9+917redbaz1rv5wsfLL9z3rXXWnv9ef783rV693u//7l026+p&#10;9kl8UbwYT5zLlr2EjTwVLl6P+vqRp8KJ7DgK4gAAAAAAAACA99nQ076a6LEorsX+j0K1bNmtbOjp&#10;gY8Ph8P9m3IZEdlzXksuALMpiAMAAAAAAACA7dvI075u9enP3H/7D/7w19P/dsqXv/JSuj+uKQr1&#10;snWdYqliv3gCXezn7DM7Up4KJyJ3JE0L4l559cX0AggAAAAAAAAA9C8KnGpf1Xlt8aSyYQFYFPdl&#10;/+6UHh8GNHUbMq2L/d546+UtPBXu0cHrUUXuXBTEAQAAAAAAAMAdt6HXXt4q6hZiW8bbN7WgLJ56&#10;Nl7GtUWxYu1T+6LYMVv2FLF/r1E0eTgcnsn+W+LJ8d8+jMIYEbl7URAHAAAAAAAAAHdYFIt98lM/&#10;mNYBbEWs/9cefTHdvmIPRXFRjFb7XdVsV+zDzl+lW16P6qlwInc4TQviWlQSAwAAAAAAAADL28NT&#10;4crrUbOnwmX2UBQX4nvL1vdSUVSXLfeUcqxky+rI48Ph8OCmHEZE7nIUxAEAAAAAAADAHbOBJ32d&#10;FcVq8RrRbPtus5eiuC9/5aV0fS8VRXGXFBLG/ur8CYLlqXAiIs/yMLlQzKYgDgAAAAAAAAD6FQVQ&#10;r7z6YjrnvxXlqXDZ9l1qalHc1CeqrWXqdozdVhQXP4+iu86fIPjo4PWoIjJK04K4XquiAQAAAAAA&#10;AOCue+Otlzf9etQQxXyXPNXsEnOK4lp9dkvxlLyaJ7hl2xXLjIciZf++E0+i5uWm9EVE5L1REAcA&#10;AAAAAAAAO1ZbMNWDWP85r0c9Zy9FcaGmgC1en1u2q/PCyfJ6VE+FE5GTURAHAAAAAAAAADsUBU6/&#10;+zd+ftNPhSuvR12yCG1qUVwUj33jm19Kl3Vt8X1n63yJj37sw2//hV/7ifS/deLx4XB4cFPuIiJy&#10;Ok0L4qISOrvgAgAAAAAAAADriSKvKNzK5va3Ih7Ks1bh2dSiuCjUW+KJdS187dEX03XeME+FE5FJ&#10;URAHAAAAAAAAADtRngqXzenXOhwO6c9bi2KzeG1ntn1L2lNRXKzX1gsi3xFPhbv/rMJFROTCNC2I&#10;i4tpdqEFAAAAAAAAAJYVRWRbfz3qK6++uOjrUc/ZU1Fc7Md4sFG23htQngonIjI5CuIAAAAAAAAA&#10;YMOiICteL5rN429FrH8vhWV7KooLSz0xcEGeCiciVflscmGZTUEcAAAAAAAAAKyjvB5160+F+73f&#10;/9xVnwqXmVoUF+J3smX1IPZxts6d8VQ4EWmSpgVxcaPKLqwAAAAAAAAAQDtRfBUPrcnm7rcingr3&#10;jW9+Kd2+HuytKO4P/vDX3/7AB55L17sDngonIs2iIA4AAAAAAAAANqI8FS6bs9+KT37qB9/+2qMv&#10;ptvXmzlFcT1uWzwhrvZJgofDIf15JU+FE5HmURAHAAAAAAAAABvwxlsvVxc1XVOse4+vRz1nTlFc&#10;fFfZstYW+/rzX/hEuo5zHNoWxXkqnIgsEgVxAAAAAAAAANCxP/rj32la1HQN8XrU2I5s+7Zgi0Vx&#10;sc6dFlB6KpyILJqmBXEhu8gCAAAAAAAAANOU16Nu+alwRbwmdWtPhhubUxQXT8TLlrWkzl+r66lw&#10;IrJ4HiQXnyrZxRYAAAAAAAAAuFwUX0URWTYvv1VR2Lflp8SF3oviYv92etx4KpyIrJbmBXFbr+gG&#10;AAAAAAAAgGvp/OleTURRWbbtWxFFZ9l23ebLX3kpXVZLUXjX6dMEPRVORFaNgjgAAAAAAAAA6MAb&#10;b728i9ejXiK2NdsHW9FTUVzUaXz+C59IP3Oqw+GQ/nwmT4UTkavkfnJBqqIgDgAAAAAAAAAuF8VV&#10;rQqatmSNp6YtKb63qQWMr7z6YrqsueJpe8+/cC/9rCvzVDgRuVqaF8R945tfSi/CAAAAAAAAAMC/&#10;U16PuuWnwv3ZT/5g+vNLxfZn+2Yr5hTFffoz99NlTdHxseOpcCJy9dxLLk5VFMQBAAAAAAAAwO3i&#10;yV6f/FRdMdk1RSHW7/3+554VZs15fehQiwKxa4o6ialPaavZ5pavSG3MU+FEpIs0L4iLG112QQYA&#10;AAAAAACAu6482Subb9+KeO3n+GE5c56UNhTFgbFvhsvcklj3qQWOc4riopCy46fC3XtWiSIicuUo&#10;iAMAAAAAAACAFbzx1ss9FjNdLAq+oiAr27ZQWxQXT1nbcs1BFMVFkVu2badcWhTXcSHlk8Ph8OCm&#10;BEVEpI8oiAMAAAAAAACABcU8eqevuLzI8PWo2fYNxZPjaori4ne3Xncw9buOQsNsOUXsj6mFdit5&#10;M+pObspPREQ6SnLBqnJbNTgAAAAAAAAA3BXlqV5bfipcFGKNX496Tvz7qa8PHfvaoy+my96KqU9z&#10;O/XK2E6fKhivSH3tpupERKTDJBeuKgriAAAAAAAAALjrYu68tijsmmLda4rSorirdvvjqXTZsrfi&#10;y195Kd2uU4ZFcaWYMvt3V/b4cDjcv6k4ERHpNMnFq8rWq7QBAAAAAAAAYK6OC5kuMuX1qOe0KIqL&#10;orJs2VsRT3jLtuuU51+49/Y//Md/ucdiyngq3OtHXpEqIv0nLlqji1gVBXEAAAAAAAAA3EWdvt7y&#10;YnNej3pOi6K4WK9s2VsRTwvMtuuU5557Lv35FT05HA4PbqpMREQ2kOOFq2lBXNzgsws8AAAAAAAA&#10;AOzRH/3x77z9+S98Ip1D34J4KtmSD79RFHdzjGy0WPLRwVPhRGRrOV68FMQBAAAAAAAAwETl9ahb&#10;fSpcy9ejXiKK2rL1uFQU1a21rkuIp+91+CrUU+IVqa/dVJaIiGwsx4vYt0YXtSoK4gAAAAAAAADY&#10;u3gN5oaKm94nitPiqWXZti2p9kl6UcR3jfVuJQr6agsDV/D4cDjcv6kqERHZYI4XsqYFcVE9nl3U&#10;AQAAAAAAAGDrylPhsvnyLShPhcu2bS2vvPpium6Xim2IgsRs2VvxG//xJ9Ntu7J4KtzrR16RKiLb&#10;zvGCpiAOAAAAAAAAAM6IN6Zt9fWo4SMf+dDb/+Sf/ZV029bWoqhwq2+wi2K+51+49/bhcEi365Sp&#10;/36iJ8flP4g6EhGRzScuaqOLXBUFcQAAAAAAAADsSbyis/ZVn73o6ZWjX/7KS+k6TrGlGoXydMEO&#10;iyofHTwVTkT2lOOFrWlBXNywsgs7AAAAAAAAAGxJxwVM1b726IvpNq+tRVHcFuoUvvHNL/VYVBmv&#10;SH3tpnpERGRHOV7gFMQBAAAAAAAAwEC81vKTn/rBdF58L3p5ulrs62z9pohis2zZPYjt67Co8vHh&#10;cLh/UzkiIrKzxEVudNGrEtXx2QUeAAAAAAAAAHpXngqXzYfvUS8PvWlRFPfpz9xPl30tvR5Lh8Ph&#10;q0dekSoi+83xYqcgDgAAAAAAAIA77423Xt7s61H/xEc+lP78Er08XW1PRXF/9Me/0+MTBuMVqQ9v&#10;qkVERHac4wXv66MLYJVXXn0xvdgDAAAAAAAAQI+ieCmKwrI58C2IIrBvfPNLVQVlPRWS1RYlRiFa&#10;PJ0tW/4aOi2s9IpUEbk7OV70Ho0uglV6fi83AAAAAAAAABTllZZbfSpcFH597dEX37NNNUVx1y4k&#10;K7ZaFBefFw8RytbniuKpcK8feUWqiNydHC9+b44uhlUUxAEAAAAAAADQuygce/6Fe+m8d++iWOz3&#10;fv9zJwu+aoriYp9EQVq23DXFE+9qXzka+2mtben0ePKKVBG5mzleAJsWxPXyGFUAAAAAAAAAGOv0&#10;KV4XK69HzbZtqKYobs1CstvEd7WForgoTqx9ot0CvCJVRO50vppcGGdTEAcAAAAAAABAb6K46o23&#10;Xu6xcOki2etRz4lCsGxZl5r6eUtoVRQXBYLZ8mvEusVb9LLPvKJ/c/CKVBGRw+vJBXK2uBFlNwIA&#10;AAAAAAAAuIYohqotqrqWKOa67fWo59QWxcVnZ8tdWzycJ1u/KVoWxXX6itT/8+AVqSIiz/JacpGc&#10;LS742c0AAAAAAAAAANYURWS/+zd+fvJT4Q6HQ/rztUURWIvXfcYyap6M9+WvvJQud20tnsZWWxQ3&#10;95hqLTlG/+XxZ54KJyLyTh6OLpJV4qKf3RQAAAAAAAAAYC2dPsHrIjHvHq93zbZrrtqiuChGy5a7&#10;tldefTFdvynmFsV1+orUp4ebV6SKiMggCuIAAAAAAAAA2IVOi5YuEvPtNa9HPecb3/xSVVFcPLEu&#10;W+7a4glt2fpNMbUoLv59zb5byJOo+bgp/RARkWE+m1w0Z1MQBwAAAAAAAMDaoogsXu3ZYdHSRVq9&#10;HvWc2E+f/NQPputwifjdpQr2pojvOlu/KS4piottbVGAt4DHB69IFRE5mQfJhbNKdpMAAAAAAAAA&#10;gCVEYVNNkdc1lafCZdu1lNqiuFjnNYr3zvnaoy+m6zfFbUVxsY0dHldekSoickHuJxfQKj1UgwMA&#10;AAAAAACwb+XpXVt8Klysc6z7tebXWxTFTX3t6BJiHbL1myLbjihS7PC4ilekPrgp9RARkduiIA4A&#10;AAAAAACATYkipudfuJfOWfdurdejnlNbFBfiKW3ZstcU+7L2WChFcbFPPv+FT6T/5sq+fvCKVBGR&#10;i3MvuZBW+cY3v/S+GxAAAAAAAAAA1Irip04Lls6KJ46t/XrUc6IALAr0svW9VA/b1KK4L7ajwyJL&#10;r0gVEZmR5gVxPVSyAwAAAAAAALAfUfC05dejvvLqi8+2Idu2HtQWxX35Ky+ly11b7XZ0xitSRUTm&#10;JrmoVlEQBwAAAAAAAEAr8TrL2qd/XUsvr0e9RG0xWTy5L1vu2qJwMlu/jXl08IpUEZH5OV5In44u&#10;rFXKu7UBAAAAAAAAYK6tPxUuXsHZ81PhMvEku2x7LhVFddly1xZPrMvWbwO8IlVEpEWOF9RvjS6w&#10;VRTEAQAAAAAAAFDjjbdefvv5F+6lc9I928LrUc+pLYqLp/n1sP1fe/TFdP065hWpIiKtEhfV0UW2&#10;StxUspsNAAAAAAAAANwmXi8ar97M5qK34Ld++2fS7dqaFkVx3/jml9Jlryke6JOtX4fePHhFqohI&#10;uxwvrE0L4qJSP7vRAAAAAAAAAEBmy69HHYvtyLZxa2I7su27VHyXUeCYLXtNsQ4/9dM/kK5jB+IV&#10;qa/dVG+IiEizHC+wj0cX3CrxHvTsJgMAAAAAAAAAY/EUr3iiWDb/vFWf/sz9dFu35stfeSndvktF&#10;UVx8v9my1xKf3+nrd+MVqfdvKjdERKRpjhfZR6OLbhUFcQAAAAAAAACcU54Kl80770EU+cU2Ztu+&#10;JbVFceFrj76YLntJ2VMHD4fDe9brirwiVURkycSFdnThrRI3w+xmAwAAAAAAAADhjbde3uTrUT/0&#10;oW9Pf35KPJmsh9eG1ooH42TbN8WaD9eJfd7pUwe9IlVEZKV8NbkIz7aX96EDAAAAAAAA0Fa8vjJe&#10;J5rNNffu81/4xNvf+OaXJj/VLgr/9lAUF99dtn1TrPGAnSi867TY8vHBK1JFRFbL68mFeLZXXn0x&#10;vekAAAAAAAAAcDdlr6/cinjS2PiVn3Ne9XqN14a21qIobqmH7MQxFkWL2Wd2wCtSRURWzsPkYjxb&#10;3GCymw8AAAAAAAAAd08UUcWrQ7P55Z5F8V48bSwKrbLtiqedZb93mzVfG7qUFkVxrR+0E+vUabFl&#10;vCL14U1phoiIrJnPJhfl2RTEAQAAAAAAABCvCe34iV23ite6xutRs+0amlMUt8ZrQ5cW321tAVrs&#10;42zZU0SxYhTXZcvvgFekiohcMQ+SC/NsLW5aAAAAAAAAAGzT3l6Pek489S1b1m1aPyHtGqJgMPZX&#10;tn2Xqqkv6PipcMErUkVErpx7ycV5trjhZTcjAAAAAAAAAPZtr69HPWfOa0T38LCZ2F9rF8V1/lQ4&#10;r0gVEekkTQvionGT3ZQAAAAAAAAA2Ke78HrUc+YUxUUx2dwivJ7EPsy271KXFsV1/lS4eEWqp8KJ&#10;iPSS44X56ehCPVvcfLIbEwAAAAAAAAD7ctdej3rO3KK4FgV511b71LbbiuI28FS4126qL0REpJsc&#10;L9BPRhfsKtkNCgAAAAAAAID9iOKv2tdlXkPt61HPmVMUF+sUT9nLlrclURyZbd+l4ngaL/OaT4U7&#10;HA7pzwfiqXD3nxVeiIhIX4mL9OiiXWUPj3QFAAAAAAAA4P3KU+GyueLetXo96jlR3JZ9/m2i6CuK&#10;v7LlbcmXv/JSun2XKkVxcZx1/Bref3M4HF4/8opUEZFec7xYK4gDAAAAAAAA4KSYB37jrZe9HvVC&#10;URQ3Z1+tvZ5LmPOUvKGPf/xjPR9nTw6Hw4ObagsREek2xwv2m6MLeJU9vN8cAAAAAAAAgBtejzrP&#10;3KK4WOdseVsy5yl5G/DmwVPhRES2kbhojy7iVfbwbnMAAAAAAACAu668HnWLT4Vb6/Wo58Q6zCkm&#10;jFePZsvbkqgdeP6Fe+n2bczTw+Hw8KbCQkREtpKvJhf02fbwXnMAAAAAAACAu8zrUduJwsI5RXGv&#10;vPpiurwtmbvtHXl88FQ4EZFN5mFyUZ9NQRwAAAAAAADANnk96jLmFobFk+6y5W1NPGkw276OxVPh&#10;Xr8pqRARkS2maUFc/KVAdoMDAAAAAAAAoE9ej7qOWNdsG24ThXS9FvpNEQWL2fZ1KJ4Kd/+mnEJE&#10;RLaaB8kFfra4iWU3NwAAAAAAAAD6E0+Fe/6Fe+n8b8+iUKy316NeIl6Fmm3PbWJbt1L0d0oU9f3W&#10;b//M288991y6jR0oT4XzilQRkR3kXnKhn01BHAAAAAAAAED//uiPf+ftz3/hE+m8b896fz3qJeYU&#10;xcV2x3eWLa93G3gV75PD4fDZmxIKERHZQ5oWxH35Ky+lNzgAAAAAAAAArs/rUfsQ30G2jbeJ7yyK&#10;y7Ll9agca9m2dOTNqJu4KZ8QEZHd5HiBfzq64M8WN7PsRgcAAAAAAADAdW319ajhl176kXSbtiwe&#10;OJNt6zlvvPVyurxeRCFcrOO5osvD4ZD+fCXxVLiHz4omRERkfzle6JsVxMUjdbMbHgAAAAAAAADX&#10;sdXXo47Faze3+trQU6JwLNvWc3p9e9sGXo8a9RGeCicisvccL/ZPBhf/KgriAAAAAAAAAPqw5dej&#10;3ub3fv9z6fZuVRSRZdt5ziuvvpgu7xo2cqx5KpyIyF3J8aL/eHQTmC0qvbObHwAAAAAAAADr2cCT&#10;uqr0VAzWwtyiuE9/5n66vDV97dEXe38V79PD4fD6kafCiYjclRwv/l8f3Qxmi5tcdgMEAAAAAAAA&#10;YHnxpK4oFsvmc/dmb69QjW2Z84S12A/f+OaX0mUuaSOv4n18OBwe3FRHiIjIncnxBvDm6IYwW9yc&#10;sxshAAAAAAAAAMvZ6+tRL7GnV6jOLYqL31mrOHAjx5qnwomI3OUcbwTNCuJCdkMEAAAAAAAAYBlb&#10;fT1qrPMnfur70/821Z5eoRpPe5v7fcaxkC2zlVh+569HDZ4KJyIih68mN4jZoho8uzECAAAAAAAA&#10;0E55Ulc2b9uzeLJYPNWtzC23esXrnl6hGvtmblHcEk/M28jrUT0VTkRE3s1ryY1itr00MAAAAAAA&#10;AAB6FMVSUfS0xdejfvoz9589AW28Ta2K4sIbb738vuVvUU1R3Je/8lK6zKlK0eUGjrV4Ktz9mxII&#10;ERGRw+FhcrOYbelHsAIAAAAAAADcVVt+PerXHn0x3aai5dPuYlnZZ2xRFBFm23hO/F62vEtt5PWo&#10;5alwIiIi70nTgrhzjRgAAAAAAAAAppnyysrD4ZD+/BrGr0c9J55sli1njijCy55Gt0VziwVjH1y6&#10;74vYZxt4PWrwVDgRETmZB8mNY7Yl3kcOAAAAAAAAcBdNfWXloaNiuFOvRz2nZVFc7Le9PNRl7n6J&#10;p7xFQWW2zKENvR7VU+FERORs7ic3kNkUxAEAAAAAAADUi0KuDbyy8n0ueT3qOfH72bLnimKy7HO2&#10;Zu5+iSK324riNvQqXk+FExGRi3IvuYnMtpeGBAAAAAAAAMA1bKg46T2mvh71nNgP2efMNef1oT2q&#10;2S/jQsXyVLjs33Ymngr32k2Jg4iIyAVJbiazxbvEhzdQAAAAAAAAAM7b0Csr32fu61HPiaeaZZ83&#10;V+zbKCjLPmtLYr/MfXpgKVp8462Xt3KsPTocDvduqhtEREQuzPEG8nR0Q5lNQRwAAAAAAADA5aI4&#10;Kd7EtcVCuBavRz0nir9a75soCss+a0viuJn7JMHv//6PpD/vzJPD4fDwpqpBRERkYuJGMrqxzBY3&#10;3OxmDAAAAAAAAMB7eT3qZeLpc633UzzVLvusrYntyLZvw+L1qK8feSqciIjMz/GG0qwgLh7Lmt2E&#10;AQAAAAAAALgRTz2Lt29lc669e+XVFxd5Peo5NU9EOyXmt+O7yD5vS+JVu9n2bdDjw+Hw4KaSQURE&#10;pCJxUxndZGaLvwTIbsAAAAAAAAAAd10UdUXx0hZfjxpPIrt28VjsvyWeiLaHV6jGa3ezbduI8lQ4&#10;ERGRNjneXB6NbjZVspsvAAAAAAAAwF32tUdffPZEsmyOtWdrvx71Eks8XW8Pr1CNV/Bm29a5R4fD&#10;4f5N9YKIiEijHG8wb45uOFV6aggBAAAAAAAAXFMUKbV+1ecaohAunmbX6/zvEq8JjW3e8itU47v6&#10;zS9+6u1v//YPpNvXmSeHw+HhTdWCiIhI+3w1ufnMtod3rAMAAAAAAADUiOIkr0dd1hJFcWGLr1Dd&#10;UOFleT3qvWfVCiIiIgvl9eQmNFvcaLMbMAAAAAAAAMDebbkQLvz4j39ful29+vJXXkq3o9ZWXqEa&#10;hYuvvPpiug0denw4HB7clCmIiIgsm4fJjWi2N956Ob0RAwAAAAAAAOzZVl+POvb5L3wi3b5exX7P&#10;tqNWz69Q3VjhZXkqnIiIyGppWhC3xcfHAgAAAAAAAMwVRVNRRJbNn/bgcDikP7/N1h6EslRRXOht&#10;Djy29fkX7qXr2qFHx+PP61FFRGT1PEhuSrPFI2mzmzIAAAAAAADAnmz99ajnfO3RF9Pt7lUUJi71&#10;XfTwCtXeCy9HnhwOh4c3JQkiIiLr515yc5otGnzZzRkAAAAAAABgL+IJaht6Stdsvb4y9JRY36W+&#10;l2u9QnWjr0f1VDgREblqmhbEbe198gAAAAAAAACXitdVfvJTP5jOlfYsiql+7uefT//bbeL3vvHN&#10;L6X7oldRQLbkd7TmK1TjKX0bKrx8fDgc7t+UIYiIiFw5xxvT09GNarYeHhULAAAAAAAA0NKWX48a&#10;c7jlyWbxv7N/c5soyIrtH++Tni1dFLf0g2I2VnhZngonIiLST443qCejG9Zs0RjKbtgAAAAAAAAA&#10;W7PlQrhY5/HTzGJ7sn97zlYfjDKnAPBSUbDW+hWq8TS+ON6yz+vUo4PXo4qISI853qSaFcRFoyq7&#10;cQMAAAAAAABsyZZfjxqFcKee6hav4cx+75yln4q2lFdefTHdnlZif2afO8UGCy+fHA6HBzcVByIi&#10;Ih3meLN6PLp5Vclu4AAAAAAAAABbEE/9iuKvbC60d8PXo95m7vaNnzi3FUs/dS2Wn33uJaKgLt7E&#10;li23Q+X1qJ4KJyIifed403pzdBOrcuovDQAAAAAAAAB6teXXo8aT7KY8qSy2dW4RVosnol3Dl7/y&#10;Uro9rcR3MGWufINPIHx8OBzu31QZiIiI9J+vJjez2Vq/Jx0AAAAAAABgSW+89fKWntL1rnOvR71N&#10;FGRly7zEVueE43vOtqeV+D7O7Zv470u/xrWxeCrcazelBSIiItvJw+SmNls0nLIbOwAAAAAAAEBP&#10;NviUrnfF61G/8c0vpdt1qbmvEr2k8KtXNYWAl8peLbvBJxA+PXp08HpUERHZaD47urFV2eojcgEA&#10;AAAAAIC7IYq55haDtXI4HNKfnxOFcC0fUjK3IDCeqDfnyXQ9iO9/6cK0z3/hE88+K/bRBp9AGK9H&#10;ffCsmkBERGSjuZfc4GbLqt0BAAAAAAAArq23p3QdJhTFxTrPfT3qbWJ52eddIorzsmVuQTxdb+mn&#10;A/7Ij37P2z/249+b/rdOxetRX48agigkEBER2XSSG91sX/7KS2mDAgAAAAAAAOAaeiuEmyLW+ZVX&#10;X2xeCDcUbwHLPvsS5UloWxT7dKuvzF1APBXu/k0FgYiIyA5yvLl9a3Szmy0aY1ljAgAAAAAAAGBN&#10;UfAUT1Xb2Osq3xVPYIvXe2bb1loUtmXrcIl4JWi2zK2o2fYd+NbhcHh4UzkgIiKyoxxvco9HN73Z&#10;tvwXAAAAAAAAAMA+/Hf/9LdWffrXYcLrT88pr0fNtmspUTxYUzgYT5nLlrsV8QTBbLtaanmMNBCv&#10;R/3qkdejiojIPnO82b05uvnNFo2krAEBAAAAAAAAsLS1C+Fa+s7v+uCzQrglX496m9h32Xpdaq2n&#10;2S3ly195Kd2uHYrXoz64qRYQERHZaY43vGYFcfHXClnjAQAAAAAAAGAJ5dWoP/Kj3/u++ctDX0/l&#10;OuvaT1qreVJazBVvvSiutiiwc/FUuNePPBVORETuRB4mN8PZrvUXCwAAAAAAAMDd8g/+6994+6Mf&#10;/XA6b7lV1y4qq3nCXrxRbOvzxbH/o7gv274Ni6fC3b8pDxAREbkbaVoQt/WqfwAAAAAAAKBvUXT1&#10;i5/+0+l85dZFMdY3vvmldLvXEPu2piAsCuqy5W5J7P+tvnp35EnUA9yUBYiIiNyt3EtujLPFY2Sz&#10;RgMAAAAAAABAjSjWitd6fuS7P5TOVe5FPGkt2/611L469NOfuZ8ud0viWPupn/6BdPs2wOtRRURE&#10;khvkbPF+/qzBAAAAAAAAADBHFCe98dbLzwrFYk7ycDi8b55yb65dVBaFh9l6XerzX/hEutyt+Nqj&#10;L757vG2M16OKiIhEjjfFb41ukrN9+SsvpQ0GAAAAAAAAgKniaWU7eX3lZK+8+mK6T9YSRXnZel0q&#10;iuqy5fZsw8eb16OKiIgMc7w5Ph7dLGfbeqU/AAAAAAAAcH1bL4T77o9+OP35VPFkvGz/rCGezPex&#10;e9+Zrtelrrn+U8TxFnPd2TZ0zutRRUREshxvkm+ObpqzRYMoa0AAAAAAAAAAnBOFSbVPJrummC/9&#10;vd//3LNisni7VvZvpop9ku2rNcRnZ+s0Rbx+NFt2D+J7iifZ1Rb+XcnXD16PKiIicjJfTW6es2UN&#10;CQAAAAAAAIBTtv5EuBCFfN/45pfes10ttimKtf7oj3/nPctdUxSMZes1xTWL+jIbL4R7fDgcHtxM&#10;9YuIiMipPExuorNdszEGAAAAAAAAbMdeCuFOzZFGgVz2O1M9/8K9dPlrqX1q37WL+ooohIvXuMb+&#10;zNazc16PKiIiMiEPkpvpbPEI4KxxAQAAAAAAABBFSXsohBu+HjXbziJeGZr9/lRRlJYtfw2xjbVP&#10;U4vfP7evlrThY+7p0aODQjgREZFJuTe6oVaJd+FnDQwAAAAAAADg7rprhXBDn//CJ9JlTXXNh5PE&#10;d5et0xTx3a9dFBfrXfuEuyvyelQREZG5Od5Io6o8u8FOFo25rKEBAAAAAAAA3D1RABVPSdt6IVyI&#10;wqp4DWq2nbeJfVD7hLUi9mX2GWv43b/x8+k6TbFWUVx8T7G+rfb7yrweVUREpDbHG+qT0Q12tmhQ&#10;ZA0OACiio3ub6KTe5o/++HcuEn/1dZsYNDgl+/dzZet2iWzbx/sq278AAAAAAD2IMcx4u9TzL9xL&#10;5xW3JArhYtw2285LxXhxtuypYj62dl1qtHja2pJFcbHcDRfChf/hoBBORESkPseb6qPRTbaKCXqA&#10;64lrcIjiqVJYNSzOGhZ9vfHWy8/EI9aHYoAiRIexeOXVF5+JJ4EW0ektovNaxOBGiM7mUHbPYBnj&#10;fV++k6HhdxaG32cx/L6LciwMDY+VUI6hofFxVo6/oeHxGYbHblGO63CqWDA7NwAAAACAdcQ4XowT&#10;7mFcOMZSYzwz2845Yow1+5ypYr2y5a8hxmBbfLcxLt1yPDeWFd/Vxo+7f/zOFL6IiIg0yFeTm+1s&#10;0cjNGiEAd1kp1BkXqpXCn1IQVIqFooCoFBdFwVF0kkuRUilgKoVNpegpuybDXVfOj1DOmVDOo3Cq&#10;ADAr+jtV6HeqsK8U8hWK+QAAAADYoxjbivGvGG/Lxum2JsYTY9yv9ZhdLC/GJ7PPnCrGNLPPWEN8&#10;19k6TRXHS4t9vINj79/GnP3N1L2IiIi0ysPkpjtbNA6zhgjAFkTHKwwL14ZFa6X4JStWK8U1peCm&#10;FOFk10qAc8o1JJTrSijXmlLIN6eYr1zLskK+UrxX3FbEl11HAQAAALg7Yowoxps2Xoz0Hr/8Kz+6&#10;6NhXjLllnzvHNedlY8wxW6ep4tiZu79jX2782Pu3R//94XC4fzNtLyIiIi3z2dGN95njz9/3s0vE&#10;JGzWIAFYQinKKAVs0fmZU8CmeA2gzqUFfOcK94LiPQAAAIC+xbhLjOPsdVw9xpiy7W4l9l32uXPE&#10;uFj2GWtoVYwW44hTxvDi+2m5D9cS8+/vzMH/6+P//ctH945ERERkodwb34xrRMM3a5gADJUChVK8&#10;cFsR26kCtuwaBADnjAv3ThXtjQv2xoV64yK924rzFOUBAAAAWxfjGzHuEeMnex+jj+1bejynVTFZ&#10;rGuMP2WfsbT43Gyd5rikKC7+e4zTbfj4e3I4HB7eTNGLiIjI4jnefL81uhnPdlycCT/YsTi/Q3Ry&#10;YqI/Or+nCtmigKAUFwwL2fbeUQaAc8r9cOmivFKQF7TRAQAAgDlijCHGImIMIxvn2KsYm8n2Ryut&#10;i8myz1hDjEll6zRHbEc2hhU/i2Nww/NLTw+Hw+tHnggnIiKyZo434Uejm3KVH/nR73nWiBs3VoDr&#10;GRaxheig3FbIFh29Usg2LGbLznkAYHvWKsobFuZFe0RhHgAAACyvzAlk/+0S8fvR14+xgmxc4a6I&#10;sY5s/7TSsphs6QK+28RnZ+s0x7goLsaY4mfZv92Ix4fD4f7NrLyIiIisnT9Kbs5VYnItJr+GjSFg&#10;mtJhVcQGAOzVsCgvDAvzSlFeGBblKcwDAACA94r+b/SXs7mB+P+jbx196NuK5KKvHH3q+Ldbnls4&#10;HA7pz+eI/VBTWHiJ2N/ZZ88R4yLZZywtjp049rJ1miOO2Uf/6JWmy7wCr0cVERG5cu4db8j/2+gG&#10;3UQ0EhXFsXdlQvVU4VrIitdCeQJLmfgtndQtdzQBALYo2l/RFiuibVbaaqUoL5wqzLutKC8ryMva&#10;lQAAADBF9C+jTzq1aCj6tWX+Lvqp0aeNZZibyMXYwHjftxTfY4xFZJ89R4xFZJ+ztDiWsvW5g7we&#10;VUREpJM8TG7UzUQDzoQPa4tjrhgWqoXoCJwqWIuO47BoLSY9Fa0BALCkYTFeaXPeVohXivDGhXil&#10;jTssxCtFeEG/DAAAYD+iz1dbRPU93/Nd6c95v+h/Z99DK9GPzz53jhhniHGA7HOWFuMS2TrdIV8/&#10;eD2qiIhIH4kb8+hG3dzSfzlBv4ZFaWFYlHZpYdqwOO1UgZoiNQAAmOZcIV4pwhsX4pU2+7AQr7Tv&#10;w7AQTxEeAABAe9HvMh9yWuyb6Lf+3M+/kP73uWK/Z99HK9H/zj53jujjZ5+xhhhTyNZp5x4fDofP&#10;3sy+i4iISBc53qC/NbphLyImSbJGEesYFqaVorRwW1FaGBamlcmwrCgtDIvSdMQAAICx6CdcUoQ3&#10;LMArRXgK8AAAAG7me6IvlfW57rroc0YfsvQNo5+Y/bu5oi87/j5aivWOz8g+e47oZ2efs7Q7dox6&#10;PaqIiEineZDcuBcRjdCsUXRXRWMwlImbSwrULi1OKxNMCtMAAIC7bFyAV/pOCvAAAIAtiD5H9EHK&#10;vFH0VX7x03867f+0cDgc0p/3Lvp+0a+Lftp4H0afL/udueJzxp/RUmxD9rlzRb82+5yltd6ODj09&#10;enQ8ZxTCiYiIdJrPjm7ei4qGetYo2opSwFaK14aFa6VobViwNixUU6AGAACwbzUFeOG2IrxxIZ5i&#10;PAAA2J7hPNNwfmk4rzScU8r6HbxX7LPYn9n+DrHPY39mvztX9NOyz2ol+onZ58512/5ZUhzj2frs&#10;QLwe9cHNVLuIiIj0mlUL4qLxnjWI1jbucIRhQduw0xF0OgAAAOhV9FnHxXi3FeSdKsorBXmK8gAA&#10;4LThHNNwnqkUt0X72lzTsj7wgefOFsINxfeTLWeuNeY745jJPnuOWN9r9d+iL5qt00Z5PaqIiMiG&#10;smpBXIgOQdYgqjUucvMXNQAAALCO6GuH1kV54bbCPMV5AAB3W2kLlrZhaS+GaD+WNmUoBWtFKVwr&#10;Sjs12q2lHVvatWV+yRxTP+I7zI6JU+J7zJYzVxwn2ee0Esd19rlzxfGcfc7S/tXxvPy+7/sT6Tpt&#10;SLwe9c2DQjgREZFN5d7ohr646DRkDaLbRKMvOi/RYRl2UkpnRAcEAIBrOLan058DcF3jAr2sSC+U&#10;Qr2sWC+MC/aCoj0A4K4obZhi2L4Jpd1TlPZQaSOF0m4qbanhHE+RFaKF0n4LpU2nKI2hOO6yYzcT&#10;x2y2jBpxjGef1UosP/vcueL8yz5nCXHNiM/bwfnq9agiIiJbTXJjX1w0OrOGUTRco3EXnaHS2dGx&#10;AQAAAPamTOaG1kV74VzhXiiT18OJ7eGk93jsBgDuuuF9MpT7Z7mnFsP7bbkPDw3v02F4Dy+G9/hh&#10;8VgxbBeEYZth2JYIpY1RlLZHMWyXhKztAj2K4zs7V0+JcyVbzlxxvsQ1IPusVuKczj57rrguZZ/T&#10;UnxGXGuyz9+QJ4fD4eHNbLqIiIhsMnFDH93gF/crv/pjzzp00WmLxmp0uLJ/BwAAAMD1DSfJhxPo&#10;ZWJ9OOk+nJAfTtQPJ/GHk/zDyf9hcUApGhgWFYRSbFCKEEIpTMgm5ADo27kCs3L9P1VQNryPnCog&#10;K/eicn8a3rfKvawo97jhvS+7NwJ9iOtAdm3JxHUmzu9sOXPFdST7rFZar3Nc0+I6m31WrbhWx3U0&#10;+9wNeXo4HF4/8npUERGRred4Y39zdKMHAAAAgM0bFjOUAodQih6GBRFzC/mGRRkhK+QbFnaUYo9Q&#10;CkCyCUXg7irXhrHh9SMMry1Dw+tPGBaSFeNrVxgWlhXD614YXhOH18pzhWbl+ju8LmfXbYCp4noS&#10;18TsepqJ6122nBpxvcw+q5W4lmefO1dco7PPmSvuPXFfyD5rQ54evXlQCCciIrKr3Bvd8IGNO57X&#10;6c8B2BfXewCAfSrFIsMivjAsLhkWnYRhQV8YFqqEYRHLuMBlWPwyLpAZFtCMi2yGBTjjQp2hrLCn&#10;yCZVeb9s302VfTenDL/bU8bHw9jw2LnN+JgbGx6ftxkf12PDc+CU8XlTjM+v8fkXhudnMT6HQzm/&#10;h7LrAMBdEtfRP/jDX0//2yXi2pzdP0+Ja3S2nBpxb8w+q5W4T2WfO1fcO7PPmSLaF7FeO7iXPT4c&#10;Dg9i0lxERER2luON/lujGz/ALh0veenPYSscwwAAwF0xLhoaygqNinFRUsj+3RTZOkyVbSMATLWX&#10;8cG4N0bR8bCQLArbsn97iSjGHhZr3SaKv7Nl1Ij2QvZZLUWbJvvsuabss6EohIti8x20b6IQ7uGR&#10;iIiI7DXHG77XpgLQxHCwvxhPJIwnJoZ/UT38i+tWfvVzP/72Bz/47en6Fj/388+/7y/ALzX8a/LW&#10;yl+y/4XP/8TbH/7wd6Tr/qk/90Pv+71sPYey/VQMv4/M+Psrxt/zWHZsFNl2AcDYsfua/hwAAIBt&#10;iHHEeDpZFFVlhVbZ71wixh/Hy7tNjJFmy6kR47LZZ7XSupAvxmWzzzklvp94umvs62x5NbL+/oJj&#10;AE+Py379yOtRRURE7kC8NhWgI8NCoVJMNCw8KoVJP/Kj35v+/ti/9zM//O4rRMorR8qrSYavMwnD&#10;158Uw9emhOj4DmWd457Edmf7ZWjqgMmaYh+fKxqL7zL73S265Psa+qf//Lffd4yG4TE8Ps7L8T80&#10;fCVPKOdMKIWJQ+eKEM8VGg7P6VDO9Q9/Z174CAAAAABbFGObMR4W43TnxpNrCtVizC5bZuaSMdc5&#10;Yuwx+7xWYhwz+9y5Yn9nnzMW2xVjmNkyNkQhnIiIyF3MsRHwZNQogE06Hs7pz2GOUpQWhkVp0Xkv&#10;RS6l+KUUxUSnuxTRlMKa6KSWQpxhkU4p3CmFZecGA8bis7L1Hov1n7rsPYnvK9svY73uoziWsvUd&#10;iu84+90tivMq28ZTpgx09S6uB9k23uajH/vws2O3XE+Ghtebcg0aFgEWw0LAMC4CzIr+skK/cXFf&#10;KNfQbN1v437OUobHluMMAAAAlhNjQjG2FGNT2VhYJsa5smVdKsbEsuVmYlwsW0aNGA/LPqulqeOn&#10;59z2/eykEC7E61HvH4mIiMgdzGtJ44DOHb+39/xfuEtKkcW4UO0Hf/Cj6b/P/MEf/vp7itSisxwd&#10;7iLrAPYkCley7cpEgUu2jLvg0mKcOBay37+2Swriwl6+40sLGIv4frPlbFEcg9k23maL21+usVnx&#10;XuyD8HO/8EK6vZlrFe0BAAAA8H4xBhNjlXPH2GOsJ1vuJeKzs2WeEv8+W06NGJfKPquV2K8ti9Sy&#10;Ir4Yn2tdeHclUQj3ICbCRURE5A7n2Cj41qiRADBbKTAYF6yVAoXoFJYChujgRgc5RJFX/GVWKYrI&#10;itXGnbOh+LxsfTJZR29LpvwF2xaLZlqIYyfbH5leC8ouHQDa+vFcTDmHi7mDa72JYzDbvnP2sv1D&#10;U46DOM+zZdSIffo//ovfTT9vjijWzorzYjsLRXkAADDNwR8JA3QjxjVizL/FOE2My8wZIyxi3Dxb&#10;bibmHbJl1FpivGqo9XrHPE1ZbvzvHYxTeT2qiIiIvCeeEgd3QHRkQpmAn1qsVluwtrSpHbXYnmw5&#10;WxD7OtumU+L7ypazZ1OeohfHfraMa4vzMFvfTJyH2TK2ZM5g116O7bj2Ztt3ztIDbNeQbecpUwY5&#10;p4j9mn3eHHFvyj7jNuWeGud1KPfbcv+N7Q7l3hziXh337SKuH3FcFVlRXvie7/2udL0BAACAPh06&#10;KAqO8Y4YX4jxiNbzAlPGdcemjsNc+gfJU8QYZ/ZZLcX4UPbZc/3mFz81eX6lQwrhREREJM+xoeAp&#10;cbCi6FyEcXHauECtFKmFUqj2N//WL6bLvE38ftZx2pOpHbbY19lytmJK8dBd+P7HYpuzfZGZOlCy&#10;likDMjH4lC1jS+YMuuxhu0Nc97PtO2dvxa5TC9GW+v5bDyr2/D1NuVYO/bW//rPvKcqL7yKcKsor&#10;bZpSkBfiPlzaQaVdlH3WXMcuTvpzAAAAYL6//rv//uJ/pDll7HssxiOyZZ4S4xPZcmrEuEj2WS3V&#10;FA7u0NcPh8P9ZxPeIiIiIkl2/ZS44/alP+du+omf/JPvFp6FYfFZKJO3RSlEC9GRKZO+oUwEZ09O&#10;C+XpLuVpL1nHZY45k8Z7eILUbe7aPonjMdumU/b+/Y/FuZzth1OyZVxbXG+ydc3E9mbL2JJsu87Z&#10;w3aHuYN8cf/JlrdVUwvRlhpcbD2guMYg6FxTr5XFGufe8Cl5IdpVpa11yVPyfubP/3C67pnnnnuu&#10;eUEeAAAA7NEaYwLR588++1JTxsKnjkddao3x+Ji/yj77Dnl8OBwePJvlFhEREbktx4aDp8TdAeUJ&#10;HEV5MkeIIrGh4VM8opMzdKpgrBSNFcPisWEBWSiTmaFMcBbDorJhYVkoxWVFtp23iXXOOg9bEt9P&#10;tm23if2fLWsv5kxkb/lYiHMo26ZT9v79j00tMFpjgGKqKd9xHP/ZMrYk265z9rDdYW5B3N7O66nX&#10;tWhzZMupNXU9zlljoHiuOe2JItpg2TJ7MXXwfHgfKG3M0va8rRgvzsNh2zeOy9JGju9+2J6O/V3a&#10;3XPaLQCXOPiDQAAAFhb95GEffAnRj84++xLxu9kyT4k+fLacGlPXYa6a/bRhT479nng9qoiIiMjF&#10;eZg0KkjEBFZRJrVCKSQL0Qi9pIAsKxwrE2xFTLr90ks/kq7Lbf7Lf/CXup+sbGHqZG58bz0Wv0wR&#10;x062bbeJ7c6WtRexfdl232bL+2RqMejev/+xbB/cJoocsuVcU00xx9ZMPZ6LvRzX2bZdYm8FcbE9&#10;2XaeEm2qbDm1pp575/R8nNYMmkYbNVtmL6Z+j9c+n8YFeKUIL7YjlH5B6S+cKsALf/5nP/7288/f&#10;e/s7v/OD6bZuybGPmv4cAACA64k5maxv21L0j7PPvlT0pbPlZqJPHnN82XJqrDF2Eus+dY5sw54e&#10;bgrh7sWktoiIiMikHBsTj0eNi67FBGMYF6SNC9FK8Vn822w5Q//wH//ldyehyqRUNCiLrMG5hlif&#10;bH1vE9sb658tb0/mFIdtvYggJkCz7Tpnz8fD3E7flvfJ1E56j0VfS4jvNNv+2/R4TdhaMUeNuL9m&#10;23SJa96bW5hzfy/iXpAtc6uizZZt5ynRzsuWU2vquXeJXo/TmoK4pQoSW5l6L4h7aracrYl7wSV9&#10;nr/62s8+Oy5jP4XbCvBOFd/F8VNEOyz2YemfZZ8JXMdBYSkA73BPAFqaUnA219SxoqHom2bLPGWJ&#10;8aC15uiif7/zvvjTo0fH+9j9mMsWERERmZv7o0bG4v7sJ3/g3YK1mGiJSZcQEzDRAI2JmZAVqGUN&#10;v9vEcrN1GIp/k/1uD6YWv4SYoMqWtSdxrGTbfpupnaHezO2c9T55XWPupP6WC0qmFoPu+fsfmlNg&#10;1ONxEPe+bF1PWao4aA1xb8+26RJbL/Sc+j0PxTUgW+ZWxTGcbecpSx3zNd/JKb0ep2sOLK8t+grZ&#10;et9mjUHqJU0dAF+jnxDrVPpw46K7MC66C8PCu1/93I+n6w4AAMB1rfGHZXP69kNTx3ynjk1dYq0x&#10;2+h377Qo7vHhcHhwM4UtIiIiUplj4+LRqLGxqDUn0y5pPMfTDbLf7cHU4pciJpuy5e3F3E5RTMBl&#10;y9uCuU8U2noh4G3mnh9b3idzCiO3Ptl/iTnFLD0WC049z7d8LMdxmW3TJXouZL/EnKLuYm9FrlML&#10;/5cq5lmiIK7X43TuvbPo/Z6SrfNtttw2DHPaBVvY5my9b/OZX7r/nsK72MYwLLwbFt3F5ERcT0J5&#10;4rin3QEAAJy3xtxT9OGyz77UlLGL2gK8U9bYT+Gf/LO/kn7+pQ59PUn0yXF9Hj6buBYRERFpmHtJ&#10;w2NRa04SXvJaxV4n9+Y2xtf4S51rm/P0vC3vl5qO2dYne0+pmdTfapHYnONg68VDl4htzLb9Nmv9&#10;pd4Uc4rEtnosz9nWYupfevZmzvFa9Hjc1ph6L1/qjxjmFp3fptfixdpB5d7vKVOPqa2fU3GcZdt1&#10;my0UU1/Sfxtaapui3RXinhVOPfFuXHwXsgK8n/v5F95+/vl7b3/kIx96+wMfeC7dlr04eD0bAAA7&#10;cs32bfR3oo8U/Yrwk5/4/vTfrWWNOZboh82Z/ymm/kFlzVjdKUv3vWMfRb9zJ3/U9fR4jr0ec9VH&#10;IiIiIovkq0kjZDFrTsRc0pjtuWBozkRX2GsRVDF3v2y1eCTM7QTurYCiqOmo9j6hf5upx8Ga19tr&#10;mXMs9Lhf5hQ8xsR8tqze1RTExfU/W+ZW1BQk7e16nm3jbbZUENfrd1U7yNv7MRiD3tl6n7L1e2R8&#10;H9l2ndN7P2HOHz303saPc+/SiYo/9ac+9vbf+/tfeHZtGhfhlQK8EMscFuBlRXjjp+CFS9cDAIB9&#10;OPhjhauJtneIdnhpl0cbPdrrIdrupS0f7fsQ7f/oB0QfJ8YKx32L+O/ZZ61pjT5l9H+yz75U/H62&#10;3FPiu8mWU2OJMcw4JmL/z50r6szTozeP1yiFcCIiIrJ44ilx3xo0RBa3RqM5XFJg0PPk3tyG/9Yn&#10;+M6J4yfb7nO2XEgR655t0yW2XAh4Sk2nuOdz/pw9ThLXmrNPer1GZut6mxgoy5bTu5oCpC2fv6Hm&#10;Wh6Dc9kyt2hOUWQM9mXLqjVnXc7p9RpTO6Dce/vyrt0j5w7YT/1r+bXNKRxeq285x9x+S+yHbHmt&#10;RX85zoNQCvCyIrwyQVeK8EohXtzXwrWfVAFbddhJkcJetgOAfYi+a1H+MGRYlBaiXxRPcf7Yx6b/&#10;wch/8rc+/aytXNrO5Y9ZSrs62thZMVsr1y6GWmtsYG6fN0wdQ4rvLVtOrTguss+bI461mn1SdNJu&#10;e3xcjwdHIiIiIqvltaRRspg1J9Qu6SAs2UGpNbeDs9YkyjVcUuiYieMuOjfZMnsX32e2TZfYatHM&#10;baIDmG3rJda8/rQ2p5hhy4Wgl5hbYNTjtSCOzWxdT9lqcVhNQdyWz98Q31m2XZeYOpjXsznHwFLf&#10;/dw2xTnZZ11bbUFc6LnNPKettOU2Us1AeM/t4b21dWomq3ou9Buae18fThbG/y5ieWVyMY6H4lxx&#10;3rBAL+63oTwpL5TJz/hOQtxXpra9AAC27jAqhiltoqK0lUrbKQzbVKWdVZT2V1HaZUPDdltpyw2V&#10;dl4xbAOWdmGIdmJR2o6lPTmnrxqfPdwXU8R6ZstcQ+zTbJ3WtMb2z+1nFFPXcYn9GudP9llTxLEf&#10;y8mWf06c7+Nz/sqiEO7hkYiIiMj6OTZGdvmUuEsastfswJwztyEeHdjoFGbL3IO5k0vR0c2W17sY&#10;AMi25xKxr7JlblkMcmTbeqnoUGfL7d2c7Y5rQbasvYjBtmy7z4nBhGx51xTfVbaup2z1u60Z0Nr6&#10;8RyDx9l2XWJP5/KcY2Cp7a+9n5zSYxss1ilb1yl6vn/OaSvFBE62rC2YOyAeem4P76mt0+Kci+M6&#10;W3ZPoi+drfs50YbLlre2KROhf+JPfPDdydnY7hC/H4YTvdGHD8PJ4TJpPJxQLpPMZeI5xPEcss8H&#10;+nTwhDzYpZpzu9zPQ7nHl/t+UdoDpY0QSruhtCWKrJjsb/6tT6effYn/4HM/nraL7pr4XrL9c6lr&#10;jS0uNY4xRRzb2bq1FudF9vmXmLqOsV9rj4nM3D5dHF8129+Zp8dr6utHXo8qIiIiV83DpKGymLUa&#10;zZd0EKJhmf1uD2o6ONGBzpa5B7Ft2Tafs9Zx11ptR3ePxZHZdl4qBpGyZW5BDJpl23Sbnot+a80d&#10;GIjBw2x51xTXp2xdT9nq9az2LzzjepgtdwvmnL/FVr/vTAzqZdt4m6W2v/b+ekqPRbcttrXHa2cx&#10;pyBuy+dVTJ5l23SJ3vsIU++Hocd7Q4tzLvZF7+34uQVxoYdtmzrpFZPS2XKWFMfS3/zSL6brc853&#10;fud3PLt2l4n0UCbXy6R7iDZ1KJPzoUzYl4n8EMfknHP0rjoolNoN3yX0qdyXQrlXlftXuZ+Ve1wo&#10;971ThWZ/42/+wtsf//jH0s/K/N3f+9Vn9+kiu48vJdY3W6dLxXZny+1BtBFj7Kj8IcJS/es4XrJ9&#10;c6k47q7Vnq1d9xbWGG+u7VNNXcf4PrPl1IjjJPusU+LYj+tT/F62vI1RCCciIiJ95dhAeTJqsCxq&#10;rY7XuQ5CNC7X7rROEZ33bL0v0fsEylw1Ey9bLQ6q6QT1PIE9V03Hf2pHtCfRIc626TYxEJgtaw9i&#10;QDPb5nN6HPibc0xv8Ro/pxhqqOcnVJ1TO2CZLXOL5tzDl7xuZ59Xq9f7bu2Aalxzs+X2YG6x7Vbb&#10;yjGRl23PJXpvB0W7JVvv2/RYhBpq+nFFz+ddqOmX9XCtzNbrNtc6f+YU/RZLX+dKEUB8ThHX5BDn&#10;ZigT2iGKB77ruz6Yrus5n/6lm8KGUuRQlOKHaGsV8V3V3vcAeL9yfS3X23INDnFNjut0MS5AK0Vo&#10;0QYooi0Ryn2i3DvKvSSU+0u55ywxjh+fPee+EducLW9psR+z9Zki9m227GuI7zS2KY6jbF1DHFMt&#10;x/Oyz5gq1jdb9tJq2uCtxPmfrVtrcZ3IPv8ScU5ny7xNi3NrLL6v7LOG4hzYUSFciNejPriZeRYR&#10;ERHpJ/eThsti5jRI57ikgOSSRum11HRwYtAhW+bWRQch295LXGugotZtAwLnrHWurSm+x2xbLxUD&#10;adlyexcDdNn2nLPV7T1n7nEQg2jZ8q5pzjneawHAbWKds225VE8DtlPFYGG2TZdaYtD/GuYMZi55&#10;H1tisLHlIH1LtcfgtQb7LxH3uWydz4njMVte7y7p39ym5+vJnG3r9ZxrNZnScztubts0XLs9NrdP&#10;eY3vo2Y/93Z+1JwXLe5D8b2H+B6LYdFFKcSIfT4U4zJFKeKIbRmK61coBSDZNtzmueeee9YuKbJ/&#10;A2zX8PwOpaAsxPVtKMY6irhffuxjba4JUZA8vLaVa15RroXl+liumSG7pu5FbF/NdfcabZr4/rJ1&#10;mSKOvWzZa4tjb0pfNb6r+J1sWVPEuZYtf6pr9CnjmM3WZW1rzalNOT7Goo2WLfM2rY6NIo7ZuKZm&#10;nxXfZbQfa65BnVEIJyIiIn3n2GB5NGrALGpOg3SqSzqIPRZHFLWd8lON7a2r6QhtcZ/UTnzu7Tio&#10;3R9rddhbmzvgEfsrW97WzS2I62XQb2jOYMsWCzli0DLblku1GPS8ltrBrTj/s+VuTbT9su07J1tW&#10;C0sMOvbarpx7zSxiX2XL7cHc+2PPfYDb1E6A9XwtjTZats636fV7nHtcjvX8R06123jNPsrcdb9G&#10;+yv2U7Yul+jt2h3na7ael9pKv3bud3aunxrH7VB8ztCwuC/E9X6oFMEMxWcOlYK/8Gv/4U+m6znF&#10;L//Kn3lPcU8oRT9F9M/G4tgtsuUyz6Hy9a/jws2QfX/F+LseGx8bxZ/64ctfW5n5kR/5nmfjIKeU&#10;QtYwPObH50M5T8bn0vhcG56H4/M0O5eninXOtnOO2K7sM+6yFvs3jpNs2UuJYytbj6mufTzEOTP3&#10;Ol+77rVtkqHYjuwzljSn+L61uM5n69ZaXHezz79EHF9Tv59W59fQuE8XnxH3ndiH2b/foCfHNka8&#10;HlVERESk+9xLGjOLmdMgneNcxyr+e6tBiiXUdHB6nkCpUTNYscV9Eh2kbFsuFfsrW+5WzS2oKLY6&#10;AR5icDjbptvENS5b1tbN2Rehx/0RkwHZut5mi9eymkGssOXB+2x7prjGAOsS5rZpsmW1MOfcO6fX&#10;a25Ne7Loub2cre85W70/1l5Lo12ZLbcHc7at5++xxQRHbN/ezr3i2sditk7nXON4q52U66kNUXvf&#10;jX5gttzeRIFMtv7n9Na+j7Z3tp5T9LZNcT5d4j//Lz6fbs8UH/3Yh9/+V8fzb7jcOB+voXz+f/kP&#10;/lK6rlOs0SerHfMJsb3Zsreoxf4otjiOsLS4t2f7aoprtA+2ut5Dtcd2TSFii3tcEeOT2WcsaW5b&#10;o7W1ikFrChjnzIvEdmXLqlHux9HnXWIs6kqeHm4K4e49m10WERER2UKOjZg3R42aRa3REb9kArDn&#10;SfbaDk40trPlbllNp+Tanf05aic+t7jNt6ntlG55f8wdLNpyIdEpNYMhvQ2Ozynu22Jh556LOG4T&#10;x1u2PVNEWyBb9tbMPW+zZbUwt7D2nOyzrq3Fkw96Pg7nTgitNYDfUu01pef7x9xti/tLtrxra3He&#10;hZ7bcTWTOdc+FudeN67Rjpy7rqGn9lPt5N9W+nFz27y9bV+LyeCtfGdjrQoleuu/tOiXrHHtbnHs&#10;7WkMpMX+KLZ6Ti6lZVHR2sdcq4Kaa54rtf3xOJ7nznu0uB4OXeN638PTxeI4zNattZrva+5xMnf8&#10;6pSf+4UX9lYI99UjhXAiIiKyycRT4r41auAsaumCrUsGDnqeGAo1HZyt/BX1FLWd1q0NjLXopO+p&#10;MLK2qCZsdX/MPRZ6v8bNUTMw0dvE+ZxBwC0OZNcO5G/1fhbXm2x7plAQly+vVusBzqLH76vFkyV6&#10;LkqNa2K2zuds9SkZc7c39H7/mNPv6fXYbDWBvdZE0xy119Fo22bLXcPcCalrtCNrJs966ge0KETf&#10;Qj+upr/a0/a16HeHLRYmxTpn2zJVj/fcmjZEiN9f+trd4tjb05PQWowJDu2lb9lCq3M9rH2+t/rD&#10;i2u2E1q0C2IZ2bIv0bKgLL7/te/hLY/fGtHnydavtZq+1Zx7Qlx7eyg67MzTo68fDof7N1PJIiIi&#10;ItvNa6OGzqKWHqS4ZOCgx0GqoZjkydb7Er1v21w1neYtDozVdsAMBr5Xz5P658w9FrZaBHhKzQRs&#10;b9//3G1ZeiKitdrCgK1ex1oUxPVWxDnX3An9pY71VpMIYz1+Xy0Kc3ouSp17bG21nVxTHBN6vn/M&#10;OS97KvgZi2MsW+epem3H1RbbXrNQZm5/8hrtyJq+b0/XuRYT31vox9UU8/S0fS363WGLbfhWBc2h&#10;t+t3i/Nw6Wt3i/7T3sZCW7UnQrS1ss+4i+Kam+2judY83/dwnWpxPQpz752txwNie7LPWUqr+3St&#10;6Jtm67eEucfM3HtCqz8O2InHh8Phwc30sYiIiMgOcmzg7OopcZc0lq85GH9ObQdnC4PGU9VOvvQ2&#10;KHlO7SDB3gYDs22cYssFgrHu2Tads7frwNz9EHor6phbELe1v+yuHbDtueDhNi1ewxL7Llv21swt&#10;6N1aQVyP19sWEyY9n4M1BWJbaxOGmntg6Pn+MaeN33M7t/a7Knptx9VeW67ZJp97D7jGtbD2ftXL&#10;OT+3zTu0hfZgzeRpb9vXoghni2MRLYsMert+t2j/Ll300Wr/b7GNd0rtH0MM7W18sEacn9k+mmvN&#10;dk3L69S1xsha9cfjmJ5zvrcYqxlbe+ymVV+j1lptzZrjfu640lLjRhsShXAPb2aNRURERPaVh0nj&#10;ZzFLD/pd8gjpmKTNfrcXNR2cPQ521Hb8t1YcVFsAGPZSUBFqBwO3fE7MfST+3q4DNdfE3iaa5m5L&#10;z4XcmbnHbrH2X9u20uIvSrf2XZ8S16Fs+86ZO3B5Tot7a6bHyfqYIMjWdYo1//J7qpo/HNhamzDU&#10;Dsr3vM1zC6x6LfKrvfcVvbbjavtk19yuufeAa6xz7f2ql3O+xaTtFvo0NW2/3ravVRHOFguTWr0m&#10;rbf2U4s/kghLtc+LOBeyz51ii228U1oXZOypWLBGHCPZ/plr7Wt47R9PF9e697Tsj0cbI/uMc1pd&#10;64u192UvTzBbcwxkznlbey9u1R7amKeHw+H1o3vPZotFRERE9phjo+fxqBG0qCU745cO1Pc8IFA7&#10;aLWXyfShmk5r7wWQYy0GLecODvSoxaDPVgcAayYe9zToWTOh1tukxNzB7a0N8NcWBfT2vV2qxQDl&#10;XiZzsm27xFITbq0KVcZ6LIirLVoJvU3SD9W0C7Z4baltF/bcJpx7rPZ6nWxx7hVxP8k+49pqixau&#10;1T6tOY+Wui+dUnvO93JfalXQ0Xufprbt19P2tfrOttiWjfMm25Y5evpOW92Xlh5jbFF80GObfK7W&#10;/Za99C9rxX7I9k+NNdtrLQvKoq2RfcaSWox1D8251rYuNg1rz8G0Luqba80/UJp6j6g9vuPYypa7&#10;UwrhRERE5E7lftIgWszSAxWXdA56Lxi6SwVgl6gpiAm9D6QP7X0ie6oWAxZrD1C0NPdasKeiyJpj&#10;oLdzYe62bO37rB3E3+p9rMXkxR4mLGoGEJe6X7cegC96vd9m6zrV2kUgl6qdtN5SmzDUFlv0XgQ4&#10;p53T86R3i0n90Ot9v/YPVa51j6t5TdbaxYm153wv96VWBR29t4tqv6+e+qmtii22WJjUstCkt2O2&#10;ZmyxWPqe1OKPIPc0BtaywD7scYx4jiUK4uLakX3WElq+8vMa7czWx/WcbWi9DiGuPWv2L1ver2qs&#10;ea+P7+2SPlZ8F63uwUuNH3Xk6dGbB4VwIiIictdybAQ9GjSKFrfkX5JcUnDQ+2BJbRHQ1ib7zqkd&#10;UI/9mS23Vy0GLfdyDLTohG6tmGho7rVgTwPCtQM+PRV1zP0+tzaxVHvN3urx22Lyd81B9aXUDNZv&#10;rSAu9HSNKeIcytZ1ijX/6nuK2oK43osrxmonbnq/nkYbLVvvc3o870KrSapev7faPuq12jM159Ha&#10;14zacz700A9sdd/tvV0U+zpb70v1tH2tvrMttuNbthN767fVtpvC0t/p3LbA2J7GQVu05Yf2tG/m&#10;alWoPbT29a7FWHG41nW61foXc47r1usQ1hxzbtFObGXt60q0ybMC6iiWiz5K6/GLFvfPTj0+HA4P&#10;bmaERURERO5e7iUNpMVEAzZrbLZw6WBWT3+NO1Y7sLrlAqDM3icDx1oMCG6tCPCUFoPTW/v+h2q2&#10;v+dr3BS1A5c9FXXMnSjf2jFc+9fXWz1na7c77KEgruZpKUsNqtYU6Z3TY+FYi6dU9XoP2WpBTo24&#10;JmbbcqleixvD3Ptir8dny0mqaANmn3FNte3ya97f506AXuO+XHvO91D42+q+2/s1u/acX3JcbKqW&#10;16+tFd+0LjCI5WWfcw1z77NjS36ntW27oodrXystnpo3tKd9M1eLscXMmud7q3MlXKMt3XL9w5w2&#10;Wu344ilr3vdaFRHXuubcU+zvIvvvLTz6R6+8/aEPfXu67RulEE5ERETknXw1aSwtZsnJmUsGkff4&#10;CqGhNTtja6jdH71OnGVaDFputaBkrNXgdE+D0lPUbP8WJ/0ztQOXPQ3+1pzb2fJ61aIwLFtu71ps&#10;9x6KmWvO2aXaLq3uJZkei1Za/DVzrxNntW2kLbaPagsce54EnXu96PmPf1o9eaLHbWxxLb1WH3Xu&#10;JOw12tO153wPx06r++4WrtnZel+qp+1r2Vbq+b5zSsunBvU09tSqCGjJ77TVOu5l/CO0KmQs9rRv&#10;5qp9xfUpa75avdW5Eq7RVmi5/mHOPXSpcYE1z7HW+7HG3uaeQpzTLcZTOvLkcDi8djP1KyIiIiKR&#10;eErct0aNpsUsWZAWHbvsM8d6brjX/uXUFgchb1O7P3qeOBtr1bndS8c0Bjmy7ZtiSwWRY5dez8Zi&#10;v8VgT7bMLakduJzzV6NLietyto6X2NL5XLOdxRaP3RYTF1u6V51Scw9L/1ji//jPnr7vZzNkn9dC&#10;j+2tFn993+ux2OI8i2M0W3avap8S0vN1Ze6kVM9FMi3Ov9DrNta2y6/VJp977bjG91B7DPVy7NQe&#10;K0XvbeDa7ezpKZ6tisK2WHzT6toderrvtir+WPI7jXM8+8ypern2tbBEwcsexoZqtDoXxtYcb2q5&#10;Ddc4X5b4Dub0xeeOsZ6zZh+zZRF3jT2MXxVxL4q2QKv2aweeHg6H12O+99msr4iIiIi8J68lDajF&#10;LNVZuPQR2NHQzX6/B7UdxT0NBoXaAaHYH1sZAGo1SLCXosgWr37rqShqqkuvZ5ktFwIWtedDTxMy&#10;NYVia/7lca27WhDXYmB1ixOIYzX362s/PXiOHgeBWxSN9Xostpgg3NrA/V6KY06ZO6HTa5FMq3Z8&#10;6HEbaws0r9Umr7l2ZMtbUotreA/tqBZ9uLDUmFEre3qKZ6uisC2ORdX0ucd62/4WhRNLblPL+2ZP&#10;BaY1Wu6T4hpjQ9GOiXtatB3iWhnHURyP0c9Y+9q3xD4Na/eZ4vOy9ZjjGmNMrQu55lybav/o9pTY&#10;tuzzltCyiLtWr32yS8W1QSGciIiIyB3MseH0ZNSQWsxST4m7tKPb20DVWG1HcQ/FMEWLwYstFYj1&#10;Pmi5phYd/S3vi5pjfw/FNbXnfk/ffc1Ey5auXy0K4rY4maEg7kavBXG1RRyn9PidtSga6/W+uedt&#10;O6VFcUy23F7MvXZeq7DqEq0m+6INnC3/mmrb5de6Zta0J9ee6GtxnevhDyla3Xd7PtdD7Xb21I5o&#10;cb8ptjZB3mK8aain7W9VOLHkNrW6b26pz3xOq6LiYs0/CInzKa5t0ebO1mVozaLnS9ZnqrX7FS2L&#10;d6/xR0ItxkzG5hxDra45Y2vNw7S+Z9W4xnHUQuzDvRXCHX39cDjcv5nhFREREZFzeThqUC1qqc7v&#10;pQOTPReN1XZ09zCxPlQ72LxUAeYSWg0SbP0vtUKrgfno7GbL34KawdA9HAO1AxS9fPc11/TeJwOH&#10;FMTNF/e5bNlbUnOcL/m9t5oMHIvB9OzzrqlFMUXIln1tcYxk6zrVlu6NeymOOWVuO2/tCcgpWl1v&#10;etzG2uPxmts0d/Jz7fOnxXWuh6KQVudB72Mate2/ns7zVu2H0PM42ym1fc6hngqzWn2vS25TqwLa&#10;PY2Btu67rHWtKcVw2TqcEsdotqzWWhcZFmv2K1oWQl3j/tPyPlPMGUOpnW85Zc19ukRx4Vxb6lvH&#10;ORTf/1JFkVfy+HA4PLiZ1hURERGRi3NsSK32lLilJhIv7dz0PPncoqO7h2KYokVh1Fb2R6sisD38&#10;hWyrAZOeJ4PPqSkw2sMxUDtw2ct3X3Msb2lwv+Z4LbZ4viqIu9FrQdwSg++hx2L7aOtk6zpVj22m&#10;VpNAW7o3tvg+e97emnOz13Z9y8nK3raxxbZdq+h97n167fOnxT7uod3Yqj/bY+H5UIuilV7O85bX&#10;ri39MU/Rqigr9NR3a/W9xjU0W34Ley4kn2uJvssa15o51/61vreW5/jQ2u2EloU8a99/Wt5nhqZu&#10;x1LrEda6/y25DVMteX9oKcYZlyqMvZIohPvszWyuiIiIiMzJg6SRtZjo6GcN1RpTOga9TTQM1U6w&#10;b2nC75wWnb0YaMuW3ZtWg197+AvZVp38LQ7KFzX7oMdijalqBy57uQ7WnNdb+h5jf2fbMMVdLYjb&#10;wzW714K4pQaMeyxibLWtvZ6HMWmWre8UW5owbfF99nxtqdm+nvs5rSYre9zG2nPwWts09/50jT5E&#10;7T7u4RrXqj/b+/V6TvHH2BLjYXO1unZt8Y88Wj6Rq7fjtvaaEpbcplbXi7DFfuQpLb63oTXuv3Ov&#10;IXGPzpbXUuun7hVrFwO13I5rjJEvUZA05ztoMX6TifN2rXmm6ONl67C2Nbd5jh0Wwn3rcDi8fnTv&#10;2SyuiIiIiMzPsXG1+afEXdox6HkypXZgaMlBq2uoHaDdyv5oNZm9l+8/27aptl5oUnPs9zwwcYna&#10;Ab9evvua6/mWzuW4p2bbMEVPE4OXUhB3o9eCuLDEoHev31mLCe01JqbmaDWYvaV7Y9wDsm24VO/3&#10;kLnH61J9yBZaTVb2+N3V/qHCta6bc/tXa090hxZPsbn2Na5Vfzb0fL1uUcjT0x9uxfmZreNUWxyH&#10;aFmUFXpqR7W4poQ4r7Pl14pzPPu8Obb8h5Bjrc7HYulC1Zrr/hr32tbneLF2AXDL8+Ua1+oWheRj&#10;sR1Tr08t9+PYWtehFq/Zb+Ua7eVzYv8sMQZ0RU8PCuFEREREmmfVp8QtMVh06aTsXieJip4HkKdq&#10;MbnU6wTvWIvJ7LCHv5BtMfm9xUH5oZpjv+ei30vUDpj18t3HuZit36WWmoBo7a4WxLW4P/U4iDhV&#10;zfe/dEHcpe3CKeJ7zz7r2lpMfPZ672g1qL2V9mBo0Q7quT9Qc/3sdbv2XAxUe7+7ZrtsTv/qGgV8&#10;LdoU1+4DtjwHeu7Ptiiw6Km4vmWhwtLtutZaHrOhp3Z9q+91qT5ay33f0/lUq0W/emzJMYWa8Y41&#10;2ga14zGnXKNd02q8OKzdzmx9rS3m9F1b7sehNY+JpbZhqtjmXvoscYxFWzrWKVvXDYpCuK8eKYQT&#10;ERERWSLHBtemnxI3pZPV86RY7YD4HibYixYDzlvZHy0mQsJaf5m2pFb7oufJlHNqBo22Pijc4rzP&#10;lru22r/e3MqkUouB+y0VqhQtrlMK4pY/xlsPGPdavNnieOy1/dCqTbCl8y3WNduGKXotcAw1xao9&#10;b1er601v29iiXXatCbM5148lxinOabGPezhu9noODLWY2L9GMcUpLY69oufv7ZSW7cQ9fq9Ltg1b&#10;7vs4L7PP2JoW15exJfvZtQVnS7cNltifxdrtmlb9oXCNa3XL872Yc82t6YOcs1ZfesltmOra4wdx&#10;jse5saNCuPD4cDg8uJmpFREREZGlsupT4paYVLx0AqnngpHoWGfrfKmeBuJaqO04x/7YwgBZDEpk&#10;6z/VHr7/Vvtii4PyQzXH/pYHhVsMXPZQTFZbELeVgs4W5+sWC+Ji8C/blin2UBBXMyC7xHka148i&#10;2lN/7+9/If3suf7u7/3qs20OceyfE8fJKTF4e04cI6dEW7b41J/7oXR9p/jJT3z/ez47W+exbJuH&#10;yr46JfoCt4nr4N/+O7+cru9UH/3Yh9Njpkex/7NtmCK+n2zZPai5z0fbKFtmD1p8b6G3fmpt3zTE&#10;9SBb9tLiOpKtz22u0Zdq0fbt4bhp9ZrGOJey5feixcTr2sUUp7Q49orerl2XaHXdLnr5XkOL43TJ&#10;77TV9SJs+Q8hx1oXDkWfIfucFubcY4fWaKu2OA8ya7dravf10DXaOa2vtUX0J7PPu80SxXlhzf26&#10;1DZMdY1jKUTbJb77XvZDIwrhRERERNbMsQH29VGDbDHxOqCsYVsjGsTZZ2V6Gqwaq23Uz+kU9qpF&#10;x/lakzBT1P515VB0DrPP2IpW+2KLg/JDNcf+1q8BtQOXPZzztRPIW7huhVjPbP2n2Mq2DrXY7iUn&#10;KJYU95iipuDst377Z55d54qs2Csmy0K0GYtoI4W4ThTZ8uFSw2OpKMfZ0PA4LMoxWpRjd2x4fBfD&#10;439YaPgfPfzpdD2n+Mwv3X9WdBrifjQ0PIezc3wNsY+z9b5EbEO2zGuL/Zmt71Sxb6753Yy12K44&#10;3rNlL23uul9j/9ecEyF+P1vumuJalq3bVHHNzJbfi7jWZ+s9RU99tdpjr+jhGJxqyvjhJXrq07Q4&#10;Tpf8TltdL0LPfwQwVdwvs22ca8nvsHbcbo1rfYvzILP2MRftklbX6rB2W7r2j0VPie83+7zbtL7u&#10;D611D1hyG6Za+1yI6070wbN12agnh8Ph4c2srIiIiIismVWfEtf66SBTBr17HjSpnWjvfRB5ihZ/&#10;CTenk7y2FpNNxdaLoVrtiy0Oyg/VHPtbvwbUDnD0cH2vPY63MrDfojCsp8mjS7W4N8VEULbsKeI4&#10;K2JguxTAxEBhrGOIe0KI/Rzi2CpFODHpEteLEPfKUAp9ogAorqNFtg13ybGNnP4c9mZ43o+LAkO5&#10;RoRy3SjK9SSUwr9Qrjlx/QmxnOyzL/H6f/rSu9e97Lp4TTXbNdRbW752u+JYypa7hjhOs3U6Jf59&#10;tpylxfmTrc8U2XLX1KJtFK55vFwirmXZek/RUzu/xbFX9FqwfErcR7LtmOta149MHGPZOk4VfYps&#10;+bVaXS9C79eMKVrul2Kp87K2yGmN763F9ToT7dzs85bUsljyGuMvrdrIY1OP77juL7Uua16LltqG&#10;qdba5rgXtWyvdODp4XB4/eheTMaKiIiIyBVybJRt+ilxl3YSex40aTEwt7XByFNiX8R3lW3jFFvY&#10;H606tHEOZMvfklb7Yuvnwdz90PP17RK1A5fXGKAcq72O97ANl2gxaH9XC+J++Vf+zMkitRDHQCky&#10;ifZSiGtCnN8t7osA13LscqY/r1GujXGdLMq1s1xL47o6VK635fpbCvaKco0uhcVx7Q8xKVPEhHC0&#10;N8Nffe1n03Wbqre2fKxPtp5TXKtNPnXC/lrFiLVt3xDbmi17LXE+ZOs1R7Sjs8/oQYs2YFx/smVf&#10;Q4tjr+itmPcSrdvUvYw/tBhTDEv101qtX9HzNWOK1vsl9PwdLn2+tLheZ+K6kX3eklpuyxJzMee0&#10;vNcMzWkzRxs/W1YLa90H43Oyz7+Gpa4xIdq2Sx07V6IQTkRERKSjbPopcVM6iT0P2NVOPGxxMPKU&#10;FpMwS3bQWmnVybvG4ExrrfbFFr7329Tsh5iUypa5BbUDVL2cAzUTLDGRny2zNy0GZuP7zpa9pBjA&#10;LwUM0Q4JsS0h7p8hrh8hzsMQ96IQk5h//mc/nm4L0N6xb5L+HPbqwx/+jnfvQeWeFPenU4V4SxcC&#10;tGiXX7NNHvsq2lXZehUxOXzN/nOL9tQ193FoWcjReoyopRaFfz3111sce8U12vS1Wj9x5trn4dC5&#10;694llizerOkrj13z+t1ai+9taKnvsMU1f+nzpeV9aWzpttdY621ZuhhxbKnvYs79dMnjYq1iw9iG&#10;1teKuZZo08T2Rf+j5X3iyp4evXk4HO4/m3kVERERkT5ybKQ9GTTaFtW6cx6N5ksbzDH4lS2jB7UD&#10;kz391XGtFoO01/gLuKlaDkavPbjRWqu/2Jvz14I9icmgbLsuscUJiaLFuRD3gmzZa6oZvFliUGkJ&#10;LSYFs2M1vr8wLFiLz4pjIwwL1uL3h0Vrcf8rTwOKa3+IwcLYpzsaUGNhx+Zw+nOA3pX7Xdz7QtwH&#10;y30x7pGhFHmX+2fcS0O5tw4L8f723/nl9HOm6KFvGu2I2May7SH+/2hjXLvdGJ+f7bcpYluyZa+p&#10;1eRsz8UtLb6r0Et/vdX2hC2OQcX1L9uWuXoad4prXLaOUyzZJ419lX3mHLGt2WdsUetjcsnvMPu8&#10;Kdb43pbq/0ebIvu8JbU4p4ulixEzSxVwzWkzRJspW1YLa93fY7uzz7+GVu22aJPENXCp8/ZKHh8O&#10;hwfPJlxFREREpLs8TBpwi2ndWZjSSey5cKimsxidh2sP7Leyt0HnU1oORvc8iXCJVsWBSw7+rWXu&#10;dWCLExJFi3PhGgOUY7WD/D1fw2Pdwj/957+drvsU3/cnP/LsOA9xzu5s8AsAJjv2x9Ofb9UHP/jt&#10;b//q5378WT89XFKIF225IorWoi8XShska59sWW37p4e2fxRdZus21TUm6qdoManfQ1+laFWYtMW+&#10;d6txh6Fexp1aFUsstT0tC7/2MO5TLHFMxj00+6xatfetNb63VvelsWvcp1qd0+EabYbWxZ5F3JOz&#10;zzunxb08s0ahZ4i28FLbMFXtuRzbEte+XranEYVwIiIiIlvIseH2rVFDbjGtOwtTBhDW6qjMUfsX&#10;S1svihqK7ynbxil6H1gPrTp/PR/Xl4jOcLZdc2x9wmzuoNHWB4Vrz4Uezvfawdc5A9dxvBcxeRHL&#10;KGLiLe6PIe4PsY9C3GvKxHRcO2JwNMT6xwRZiO8jxHFVO/ANwPKO3bn057A3pW1S2irRbok2TCht&#10;mhBtnBDtnUsK8aLttGYRXm1/t4e2f6vJ7vhusuX3okWBRQ99laLV9xbm9F+urXXfppfvNq5Z2fpN&#10;tVTxZsvintBLIWILWzkmWxTTZsttqeX1bSjaFdnnLanVOV0s3a4Za73+Q3PO/ylzR1OtdT2qnTdq&#10;ae4cVNxjWhXmdyIK4T77bHJVRERERDaR15JG3WJadxYuLaboYeD4lNrO4jU66EtpMVgWHaxs2T1p&#10;NVjT83F9qUvP4XOWGsBdS811YMvbXnsuXGsiLb6v4i++/NPpul3qlz/7o8/2w7hIbVyoFud7kS0H&#10;AODaDjsq0ow217AALwwL8LLiu3Cq+C781m//TPpZU0T7M2ufrqWm3zLUU7FYpkWfvaexmpZFAb1/&#10;d5naYtSxnsadWhTaLnVdaXW9KOYWY/So9TG51PWmRXHw0kW0SxU9Xes8b7HPi2ucM62P7SKWm33e&#10;OS3359Ba98LW19EaU8+JaPvGtSlb1kY9OfZ1Xn82oyoiIiIi28qxMbfZp8RNGaTseeCkprMYg1fZ&#10;MrcoOnktij16/6vROBaz9Z5j638h22qgZIuD8mNziwOvVRTWQu258Bd+7SeeDX7GckIcB0Oxb+I+&#10;UcTxVpTJzBgcK8pkZygToHFNKrJ1AACAtfzFl3/qPcV3obSFhwV45enB0V8MLQte5vZbhmJ9s2X3&#10;okWBReynbNnX0HJCvadCv0vF8ZZtS41exmJqxtHi9+JYz5bbSst+dPTjs8/YotZFXLGfs8+p1aI4&#10;OO5T2bJbWapgaKl9ek7L69U1rtdLXG9DfB9z2jJxrc6WV2vN4yPafNk6XMMlBa7xPcW1o+X1/8qe&#10;Hm4K4e49m0wVERERkU1ms0+Ji4He7DMyUeyQLaMHU7Yj0/tg8hQtBlt63x8tB2uWHlhaWqtO/RYH&#10;5cfmDhpl2x7H2FCZCCsTY0WZMIvB2CLWoyiTbKFMvIVSYBamFJmNC80++rEPp9u0Jcd7aPpz9sH3&#10;S+9uO0YdvwCcEm3xUNrmpa1e2vClXR9KW7+0/3/h0y+ky5xi6SKcWi367GtOll8ivudsPafqbbsu&#10;0eL7HOtpLCa2L87RbD1PifN8jaK++Jzs8+fY4rF3m9iebDvnWuL7bDFmF8vIlt1Sq+vb2BrnyFjr&#10;69U1tmGp72PudXfq9fFSMZ6afV5rS9zD5op9ma1jiPWMdmLra9sVKYQTERER2VOODbzNPiVuSifr&#10;Gp3AS9V0Flvv02uKIp1sG6dYY7ClVqvBgS1s621afN9hqYHR6MwXcf0ozhWVXVJYViaUit/4zU+m&#10;23bOc88992z7dzTgAACw+6LOvW8fy9jjcVP6MtFHDqeK82Lcoyh9qNK3CqW/NeyHlb5Z6bMVpS83&#10;7OOVfl/pC7bos8dyh/3La4r9la3jHD1t16VajcEUcUxmn3NNcfzGORDnzXh74xyLn8e5Esd+9vtL&#10;aHnchS0ee6fEtSzbxrniu88+p0ZcP7PPmmKNc6X1cVbE9meft7SW16sljotzlvo+om2Qfd45cW1s&#10;fQ8Ia87HLLVP5xhfh8u9Z0fj0k+P3jy2ue8fiYiIiMiOstmnxE3pEFyjE3ipGKzN1vkS0eHIlrlV&#10;0cHNtvNScUxky+1Jq4GvHgdhb1MmGUJcB0K2XXP81b/2s8+++zJJUiZOykRKKJMrRQyIhDIJU2TL&#10;BwAAgEt95pfuP+ujhkuL98YFfKV471wB3zktCluKWN/sM3oW+zvblrm2Mg439ThpreVxF7Z47J3S&#10;et8sMT4Yx072WVOsca603pdFXK+zz1tay+tVjIVmn7GkFsfNKXH/yz7znKWOkbnrM9WS+3SqYSFg&#10;tFNq53E68/hwODy4mS4VERERkb3l3rHBt8mnxE3pEPQ+YFXz10p7GhSKzlS2jZdqeXwtJb6vbN2n&#10;Ksd0nAfFcJB8OHheBtRjEKCI9QhlQD6UQfoycD8sMgvnCs2yIrNs3QHYtmP70ROOAHiXewJcX+mD&#10;l355iH76T/3096f/fo6f+4UX3h1LKGMLZbyhaFHE11J8brYtNWK7s8/i32m9369VoLSUOD+z7Zwj&#10;zvvsM2q0+P6WWK+xJc7vsESR4SVab09cf7PPWVLsu2xdasW4dfZ5l4jx62yZNWrWZ6oYk8/WYW1x&#10;Tsd9fqnv+EoUwomIiIjckXw1aQwuIhrOLTtjUxrg0WDPltGDmiKpLRSBTRFFWNl2XqL1voiBiFAG&#10;cc8VmYVzhWbxNLNs3YHLHe9b6c9pr3Zf37XvyrEJbTmnAGCfYnwwjAv4QvkDvBjzK8of6oUYWynj&#10;LEWMvZTxmFDGaGLcJpaZrcNcexuHW0rLoolYVvYZW1Uz9plZovCpRdHeGgVZrc/vsEYx3yktiyXX&#10;LNoqYsw8W5daNd/JEoWTax4jSxV+zvHh7/yO9OcbFIVwnz0SERERkTuSVZ8SFwNVWeN+jhjkyj4j&#10;0/OAVXRs5nZ4r9lJX8rcv9z6xU//6fcUocUAUxHffxlILYOrZbA1xP6PfVlky6dPx2tY+nMAAACW&#10;oy/GXfTBD377u+NLp4r0hgV6pTCvGD5Br/whZjY2tnVTxmzP2dvYZ+sCl9jX2efUiOM6+6wp4njP&#10;lt1SnG/ZZ9e61nkZ145sfeaIse7sM5bWsqhvqKbAsuV+LZY4705pcT7yzJNj2/X1mBAVERERkbuX&#10;VZ8SlzXs55hSSNb74MncDnwUc2XLa6kM0JUBu+FT0k49GS22Z25B2kc/9uF0WwEAAABgj8q4WIyR&#10;hRgvK2NoWRHesBCvjMeV8blzhXjZ+F9L8RnZNs7R+5juHPGdZts6R3z/2WfUmDtOPRTHYLbslloe&#10;Z0NrFPNlWm9PTRHZXHH9ydalVlz3ss+7VFxPs+XOFdfo7HOWsNRxfoc8PdwUwt17NhMqIiIiIncy&#10;8ZS4rLG4iBigyRr3c8TgT/YZmeiQZcvoQXRspnbMonDs7/39L8wqUrutQG1YnJZ9LgCeiAEAAMC2&#10;ZQV4WfHdsPCujDcOi+6ygrv43ewz5yjL3IvYf9l2zhHfVfYZNVoU4LQc/79NHLvZ59dYa90zLbfn&#10;WtuxxHdSWxgb16hsuTXWLJxseT29QxTCiYiIiMh7ssmnxMVAS/YZmeg4ZMtoKQYMwpwitd/4zU++&#10;/fHnl3msOAAAwDUc+5rpzwEALvHoH73ybtHdXorjWhUNxZhytvxatX8oHWPe2XJbi+3PPr/GGnMI&#10;p8R8QbZOcyxRLHmJlgWfQ7UFaK2Lytbcvy2KVO+Qp0dvHvug95/NeoqIiIiIvJNVnxIXHaOscT/H&#10;pQMI8US1c8VqpVAtlEK1EB2m6OR4mtq6jsdl+nOArXN9AwCAfdLWh/XE2GyY8oS7c0+3W0OsT7Y9&#10;U8R4dG2R0CmxL7PPvFTs92y5rS1RKBTbnn3WGlpuTxwfax7TRXxmq4LPodpjaoljJa4b2WctoXVB&#10;3049PrbBHhyJiIiIiLw/xwbjm6MG5GK+67s++GwAYlyENlYGLIZKkVqIjsCn/twPpZ8BAAAA0KuD&#10;wimALkUx0bDQrhTb3VZoF0qhXThXaFdbdBafmy23hdiu7DMvtebTs1oXX8V3n33OWloWPsUxmX3G&#10;0uJzs/Wp0eJ7ab1e8V1ln7OEJQr6dkQhnIiIiIhclFWfEgcAAAAAPTkoVAQWVIrtwg/90He//eEP&#10;f0f6706JIr0/+MNfX/TpdvEUveyzL7XmU9aiODFbhxqt9+cULQuf1izYGovjNFunGi2eyNa6gLLF&#10;Ol1qiWN9454c22wPn81sioiIiIhckmMj8tGoUbkJx1VPfw4AAAAAAHfBsOBu/IS78pS74RPuhk+5&#10;i0K48OgfvfL29//Ad6fLv0QsMyvoWUIUJGXrUCOKDbPPWkt8T9l6TXXNp93FPszWqUaLpyLG0xuz&#10;Zc+15tMQPSXuXU8Ph8PrR/diTlNEREREZEriKXFPRw1MgNUcr0OTfg4AAABwG2MKsI4PfOC5t3/s&#10;x783LcYrBXlFVpg3fAVtKdIbvoo2Cq2GT8cLH//4x9J1mSs+NytIWkvLoq01n2A21qqwr2hVfNZ6&#10;vdYsoIzzJFuHO0IhnIiIiIg0yetJY3MRx89Kfw4AAAAAwLbVjv8aP2Ztn/ip739f4V4xLOArSiFf&#10;VsxXDIv6hoV94+K+EE8Ca1Xkd82CuNZPNGv1xLvW6xXFn9nnLOEOPyXu8fFecP9IRERERKQ+xwbm&#10;t0YNTgCAZ45NhfTnsHHxlORzoo18mycXeHzG1y/wKJH9u6HsszLZOo9l2z6W7b+x7HsAAAA6ctfG&#10;APayvR/5yIeeFWsNn9aXPbWvGBYBZsWAlxQEjosCf+3zP5Gu21x/8Ie//r7iwjl+5Vd/LF3+XH/7&#10;7/zyu8seFkIODfdLMd53xXgfD7+Dn/nzP5yuw05FIdyDIxERERGRpnktaXwCAMAlhkVPpUBqWFBV&#10;iq+GBVulsOvN4tgm/eo74rUYxWvvePiOzw7EQGmIvxwu4nUahWwrw+9uaPj9FuW7HxseH0U5dsbK&#10;sTU2PP6Kcmy+x/D4HRgWLhbDYz8MixLD8HwJw2LDMDzHQnYeAgAAwNY8Ofavo48uIiIiIrJMotE5&#10;aoQCKziefun/BvbF+c1CSnFMKZopxTRZ8dm7BTvH4zGKeYbFPqUQqBQKlUKiYaFRKUQaFiqJSD8Z&#10;npthWEAYhudzGBYNhnL+Dw0LBcP7CgQH15asADAr+ssK/bLrGwAAwJ137HelP9+Bp+/0L40viYiI&#10;iMjiuZ80SAEAuEyL4rRSdBKFKKVIpRSvlKKWUuwiIrLXZEV940K+U4V7LYv2FOsBAHAVx3Zs+nPY&#10;AYVwIiIiIrJ+jg3RmCTIGqjVjotPfw4AW+FetknDIrWzBWrH71hxmoiInMq4UG9YpJcV6J0rzMsK&#10;8koxnoI8AHbpeE9Mfw7AaTu6dj4+bkv0pURERERE1s+xQRqD8llDFQCglXOFaqVY4FShWik6GBap&#10;lUI1RWoiIrLHDIvxSkFeKdgeF+O9pyDvnftpVog3LMJTgAd3wPGakP483PbfAIAb7pezRCFc9F9E&#10;RERERK6bY+M0BsuzRisAsD+lOG1coHZJkVpWqFYm54dFagrVREREtpVhAV4pviuFd6X47t2iu/BO&#10;G0HhHbtxPK4v+hkAAKknx7ZT9BtERERERLrK60njFQBYzrAobViYNixKK4Vpz4rSwvGePSxKGxam&#10;KU4TERGR3nNb4V20aW4rvCttI4V3AADQj6fvtOGNPYqIiIhI14nCuBhMzhq1ANCzUmA2LDILpdBs&#10;WHCWFZ0V7xafheO98b89/t/s8zL/+vjv/+7RsCitFKaVojSDQyIiIiLLpbS3StHd1MK7Unx3qvBO&#10;8R0AwMYd23/pz5kkCuGiLW2sU0REREQ2lRgsjgHiMjD8Px39L0f/1/H/zxq+APRhWBRWDIvDwrhA&#10;LJQJv2JYLFYMi8bCewrHQrlvvKM8wWyoTEAWZWIyxL1naFxQVpRJzrUHW147bmPsh9iHw/0d++/r&#10;x/8e62wASEREROTuJNp+pY3aqvgulHZ7tDWHbX0AAOjB42O7Ntq+IiIiIiK7SxnYjYHcGMCNgdth&#10;gQDAJYZFW0NlAmioTA6NlcmjoWER11CZdBp6X1FXiOtbYlzcVZSJrqEyCTY0LPYaKpNnQ8MCsKFh&#10;MVgh14v9LyIiIiJrJNqdpU9Q+gzRlyh9jdIPif7Ju32Yd/o3pe8TfaJhvyn6U6W/Ff2wrM8GAMCV&#10;HNtz6c+vJNqLj47rFO1QEREREZE7mRicHQ7IDgdghwOuWYMatmRYwFWUyYShYfFWMZyECOPCrVAm&#10;LYbeU7QV4hwbGRdrhTI5MlTO06FxoVZRJlzGyoTM0LBQa0hERERERET6T+nDlT5e6f+V/mHpPw77&#10;l6Xv+W7f9J0+67A/W/q6pR9c+sfD/nPpW2d9cAAAruDYtvv7R9EuFBERERGRCRkPso4HV983qFoc&#10;G+Lj4qDhQOt4wHU88JoZ/9slZOs4xXib3yPbTyNlf54yHNDOlO/mNmWQfI4y0D5HOY6mKoP954iI&#10;iIiIiIjIuon++LAPX8YAyjjCcDyijF2UMY53x0PeGTcZjq+UcZrx2JBCPQCAgWNbKtpeIiIiIiIi&#10;IiIiIiIiIiKy85Q/oLutYO9U0d5thXunivfGBXyK9wCApT09tlE8MEBERERERERERERERERERLrK&#10;JcV7w8K92uK9YeGe4j0A2K6vH+/7IiIiIiIiIiIiIiIiIiIiMiNTCvfGBXu3FeudesLeuEAvKwQA&#10;gDvreF+Ne6+IiIiIiIiIiIiIiIiIiIhsPKeK87In6p17kt74KXrZk/M8MQ+A3rx5vJeJiIiIiIiI&#10;iIiIiIiIiIiIVGdckFeK8bIivKz4blx450l4AEzx5HhvifuQiIiIiIiIiIiIiIiIiIiIyCai4A6A&#10;TBTDxb1BRERERERERERERERERERERN7J3IK7YbFdUGwHsJ7Hx2uyYjgRERERERERERERERERERGR&#10;FdP66XaK7YC77v9559opIiIiIiIiIiIiIiIiIiIiIjtLKbgrxXbjgrtLiu2GBXeK7oBeffOda5qn&#10;womIiIiIiIiIiIiIiIiIiIjIrGRPuJv7lLth4V0U3Sm8gzvueM1If370/x7970f/8ui/Ov67uP6I&#10;iIiIiIiIiIiIiIiIiIiIiGwiUXg3Lr67rQDvPUV44dtuCvHGxXi3PQnP0/CgvVLsGuIci3MuxPlX&#10;zsk4P8v5+uY753Ccz3Fex/ke535cD0REREREREREREREREREREREpCLnCvOGxXlDw0K9Uqw39G7h&#10;XvFt3/Ztbwz8NyP/dORfJP7nkf+1sf97Bf/fBNnv18q2u8b4O7lE9t0OjY+FzPj4GR5bb4yOvfGx&#10;GcbH7/DYLsd9ORdCOT/K+aJ4TUREREQGORz+f/KPQJ86/svhAAAAAElFTkSuQmCCUEsDBAoAAAAA&#10;AAAAIQDnftZg/w8BAP8PAQAUAAAAZHJzL21lZGlhL2ltYWdlMi5zdmc8c3ZnIHZpZXdCb3g9IjAg&#10;MCA2MzAuMzQgMjExLjExIiB4bWxucz0iaHR0cDovL3d3dy53My5vcmcvMjAwMC9zdmciIHhtbG5z&#10;OnhsaW5rPSJodHRwOi8vd3d3LnczLm9yZy8xOTk5L3hsaW5rIiBpZD0iTGF5ZXJfMSIgb3ZlcmZs&#10;b3c9ImhpZGRlbiI+PGRlZnM+PC9kZWZzPjxwYXRoIGQ9Ik0xODYuMDEgMTk2LjI3QzE4Ni4wMSAx&#10;OTYuMjcgMTg2LjAxIDE5Ni4yNyAxODYuMDEgMTk2LjI3TDE4Ni4xNSAxOTYuMjdDMTg2LjE1IDE5&#10;Ni4yNyAxODYuNDIgMTk2LjI3IDE4Ni40MiAxOTYuMjdMMTg2LjYxIDE5Ni4yN0MxODYuMDIgMTk2&#10;LjI3IDE4NS40MyAxOTYuMjkgMTg0Ljg1IDE5Ni4zIDE4NS4yMyAxOTYuMyAxODUuNjIgMTk2LjI5&#10;IDE4NiAxOTYuMjhaTTQ2MS45MSA0LjM2QzQ2Mi44MiA0LjQgNDYzLjY0IDQuNDggNDY0LjQyIDQu&#10;NjEgNDY1LjkgNC44NiA0NjcuMTQgNS4xMyA0NjguMzMgNS42MSA0NjkuODkgNi4yNCA0NzEuMjcg&#10;Ni44OSA0NzIuNTQgNy42MSA0NzMuNjcgOC4yNSA0NzQuNzcgOC45NSA0NzUuODQgOS42M0w0NzYu&#10;NzMgMTAuMTlDNDc4LjIgMTEuMTEgNDc5LjY3IDEyLjA0IDQ4MS4xMyAxMi45NyA0ODQuMzcgMTUu&#10;MDMgNDg3Ljg3IDE3LjIzIDQ5MS41IDE5LjM2IDQ5My43MSAyMC42NiA0OTUuOTQgMjEuOTQgNDk4&#10;LjE3IDIzLjIyIDUwMC40IDI0LjUgNTAyLjYzIDI1Ljc4IDUwNC44NSAyNy4wOCA1MDguNDQgMjku&#10;MTggNTEzLjE4IDMxLjk0IDUxOC4wNSAzNC41NiA1MjIuMjIgMzYuODIgNTI2LjA0IDM4Ljg1IDUy&#10;OS43MiA0MC43NSA1MzQuMzUgNDMuMTUgNTM5LjAyIDQ1LjYyIDU0My41MyA0OC4wMSA1NDcuNjUg&#10;NTAuMTkgNTUxLjc2IDUyLjM3IDU1NS45MSA1NC41MyA1NjMuNTEgNTguNDggNTcxLjA5IDYyLjY0&#10;IDU3OC40MiA2Ni42Nkw1ODAuMTUgNjcuNjFDNTg1Ljc4IDcwLjcgNTkwLjMxIDczLjIzIDU5NC40&#10;MSA3NS41OSA1OTUuNTMgNzYuMjMgNTk2LjY1IDc2Ljg3IDU5Ny43NyA3Ny41MSA1OTkuODYgNzgu&#10;NyA2MDIuMDIgNzkuOTIgNjA0LjExIDgxLjE2IDYwNi4wOCA4Mi4zMyA2MDguNDEgODMuNzMgNjEw&#10;LjY4IDg1LjI3IDYxMi43MiA4Ni42NiA2MTQuNTMgODcuOTQgNjE1LjkzIDg5LjU1IDYxOC41MSA5&#10;Mi40OSA2MjAuMTUgOTUuODMgNjIxLjczIDk5LjA3TDYyMS43OSA5OS4xOUM2MjIuMTUgOTkuOTMg&#10;NjIyLjUzIDEwMC42NyA2MjIuOSAxMDEuNDEgNjIzLjM3IDEwMi4zMyA2MjMuODQgMTAzLjI2IDYy&#10;NC4yOCAxMDQuMTkgNjI0LjU0IDEwNC43MyA2MjQuNzggMTA1LjMyIDYyNS4wOCAxMDYuMDkgNjI1&#10;LjI0IDEwNi41MSA2MjUuMzIgMTA2Ljg1IDYyNS4zNSAxMDcuMTUgNjI1LjQyIDEwNy44NiA2MjUu&#10;NDUgMTA4LjQ2IDYyNS4yNSAxMDkuMDcgNjI1LjA0IDEwOS43NCA2MjQuODEgMTEwLjQgNjI0LjQx&#10;IDExMS4wNSA2MjQuMTkgMTExLjQyIDYyMy45MSAxMTEuNzcgNjIzLjY0IDExMi4xMUw2MjMuMzgg&#10;MTEyLjQ0IDYyMy42MSAxMTIuMTJDNjIzLjA2IDExMi44MyA2MjIuNDQgMTEzLjU1IDYyMS42NSAx&#10;MTQuMjQgNjIwLjYxIDExNS4xMyA2MTkuNDUgMTE2IDYxOC4yMSAxMTYuODEgNjE1LjUxIDExOC41&#10;NyA2MTIuNTcgMTIwLjA1IDYwOS43OCAxMjEuNDEgNjA4Ljg3IDEyMS44NiA2MDcuOTUgMTIyLjMx&#10;IDYwNy4wMyAxMjIuNzUgNjA0LjgzIDEyMy44MiA2MDIuNTYgMTI0LjkzIDYwMC4zNyAxMjYuMDYg&#10;NTk2LjY1IDEyNy45OSA1OTIuODYgMTMwLjE4IDU4OS4xIDEzMi41OCA1ODUuMzIgMTM0Ljk4IDU4&#10;MS42MSAxMzcuNTIgNTc4LjAyIDEzOS45OEw1NzYuMDkgMTQxLjNDNTcyLjc2IDE0My41OCA1Njku&#10;MzMgMTQ1Ljg2IDU2Ni4wMSAxNDguMDZMNTY0LjY2IDE0OC45NkM1NjIuOTcgMTUwLjA4IDU2MS4z&#10;IDE1MS4yMSA1NTkuNjIgMTUyLjMzIDU1Ny40NyAxNTMuNzcgNTU1LjMyIDE1NS4yMSA1NTMuMTYg&#10;MTU2LjY0IDU0OC42NCAxNTkuNjMgNTQ0LjAxIDE2Mi42MSA1MzkuMzggMTY1LjUxIDUzNC41MiAx&#10;NjguNTUgNTI5LjQ3IDE3MS41NCA1MjQuNTggMTc0LjQ0TDUyMy43MiAxNzQuOTVDNTIwLjY3IDE3&#10;Ni43NiA1MTcuNiAxNzguNjIgNTE0LjYzIDE4MC40MyA1MTMuMTIgMTgxLjM1IDUxMS42MiAxODIu&#10;MjYgNTEwLjEgMTgzLjE4IDUwNi4yOCAxODUuNDkgNTAyLjQ4IDE4Ny43MyA0OTcuOTcgMTkwLjM3&#10;IDQ5My45NCAxOTIuNzMgNDg5Ljk4IDE5NS4wNCA0ODUuOTcgMTk3LjI5IDQ4My40OSAxOTguNjgg&#10;NDgwLjYgMjAwLjI3IDQ3Ny41OCAyMDEuNjUgNDc1LjY2IDIwMi41MyA0NzQuMDcgMjAzLjIxIDQ3&#10;Mi41NiAyMDMuNzggNDcwLjk4IDIwNC4zOCA0NjkuMjEgMjA0Ljg5IDQ2Ni45OSAyMDUuMzkgNDYz&#10;LjU2IDIwNi4xNiA0NjAuNzIgMjA2LjY3IDQ1OC4wNCAyMDcuMDEgNDU1IDIwNy4zOSA0NTEuOTYg&#10;MjA3LjUxIDQ0OC4zNCAyMDcuNTggNDQ1LjUxIDIwNy42MyA0NDIuNjEgMjA3LjU1IDQ0MC4wNCAy&#10;MDcuNDkgNDM2Ljg4IDIwNy40IDQzMy43MSAyMDcuMjkgNDMwLjU1IDIwNy4xOCA0MjkuMTUgMjA3&#10;LjEzIDQyNy43NCAyMDcuMDcgNDI2LjM0IDIwNy4wMiA0MjAuNjcgMjA2Ljc5IDQxNC45IDIwNi41&#10;IDQwOS4zMyAyMDYuMjMgNDA0LjI0IDIwNS45OCAzOTguOTggMjA1LjcyIDM5My44IDIwNS41TDM4&#10;OC4wNSAyMDUuMjZDMzgzLjU2IDIwNS4wOCAzNzkuMDcgMjA0Ljg5IDM3NC41OCAyMDQuNjkgMzcx&#10;LjMzIDIwNC41NCAzNjguMDggMjA0LjQgMzY0Ljg0IDIwNC4yNyAzNjEuODcgMjA0LjE1IDM1OC45&#10;MSAyMDQuMDMgMzU1Ljk0IDIwMy45MyAzNTAuMjcgMjAzLjczIDM0NC41IDIwMy41OCAzMzguOTMg&#10;MjAzLjQzTDMzNy4yOSAyMDMuMzlDMzMxLjM4IDIwMy4yMyAzMjUuMDcgMjAzLjA3IDMxOC43MyAy&#10;MDIuOTYgMzA2LjY0IDIwMi43NCAyOTQuMzMgMjAyLjc4IDI4Mi40MyAyMDIuODJMMjc5LjkzIDIw&#10;Mi44MkMyNzIuODggMjAyLjg1IDI2My41NiAyMDIuODYgMjU0LjA0IDIwMi43IDI0NS41OSAyMDIu&#10;NTYgMjM2Ljg1IDIwMi40MiAyMjguMSAyMDIuNTcgMjIxLjM5IDIwMi43MSAyMTQuNTcgMjAyLjkg&#10;MjA3Ljk3IDIwMy4wOSAyMDMuMjMgMjAzLjIyIDE5OC40OSAyMDMuMzYgMTkzLjc0IDIwMy40NyAx&#10;ODcuMDIgMjAzLjYzIDE4MC4zIDIwMy43MyAxNzQuNjIgMjAzLjggMTcyLjA3IDIwMy44MyAxNjku&#10;NTEgMjAzLjg3IDE2Ni45NiAyMDMuOSAxNjIuOTYgMjAzLjk2IDE1OC45NiAyMDQuMDEgMTU0Ljk3&#10;IDIwNC4wNiAxNDIuOSAyMDQuMTkgMTMwLjk2IDIwNC4yMyAxMTkuNDggMjA0LjE2IDExNi4zOCAy&#10;MDQuMTQgMTEzLjI4IDIwNC4xMiAxMTAuMTcgMjA0LjEgMTAyLjY3IDIwNC4wNCA5NC45MSAyMDMu&#10;OTkgODcuMjcgMjA0LjAyIDgzLjg1IDIwNC4wMyA4MC40MyAyMDQuMDcgNzcuMDIgMjA0LjEgNzMu&#10;MDIgMjA0LjE0IDY4Ljg4IDIwNC4xOCA2NC44MSAyMDQuMTlMNjEuOTUgMjA0LjE5QzU4LjIgMjA0&#10;LjE5IDU0LjMzIDIwNC4xOSA1MC41MiAyMDQuMjUgNDYuNDYgMjA0LjM1IDQyLjM4IDIwNC42NiAz&#10;OC40MiAyMDQuOTZMMzYuNDcgMjA1LjExQzM1Ljg3IDIwNS4xNSAzNS4yOCAyMDUuMiAzNC42OCAy&#10;MDUuMjUgMzIuODQgMjA1LjQgMzAuOTMgMjA1LjU1IDI5LjA1IDIwNS41OUwyOC41OSAyMDUuNTlD&#10;MjguMSAyMDUuNjIgMjcuNiAyMDUuNjQgMjcuMTEgMjA1LjYxIDI2Ljg5IDIwNS42MSAyNi42NiAy&#10;MDUuNTggMjYuNDQgMjA1LjU2IDI1LjgxIDIwNS40OCAyNS4xOSAyMDUuMzYgMjQuNTkgMjA1LjIy&#10;IDI0LjA5IDIwNS4xIDIzLjU3IDIwNC44NyAyMy4xMSAyMDQuNjdMMjIuODQgMjA0LjU1QzIyLjE4&#10;IDIwNC4yNyAyMS42NCAyMDMuODggMjEuMTEgMjAzLjQ5TDIwLjg2IDIwMy4zMUMyMC4xMyAyMDIu&#10;NzkgMTkuNjEgMjAyLjA4IDE5LjE2IDIwMS40NSAxOC41MyAyMDAuNTggMTguMTYgMTk5LjYgMTcu&#10;OCAxOTguNjRMMTcuNjYgMTk4LjI3QzE3LjM3IDE5Ny41IDE3LjEyIDE5Ni43MiAxNi45MiAxOTYu&#10;MDUgMTYuMyAxOTQgMTUuNzkgMTkxLjk0IDE1LjM4IDE5MC4yIDE0LjcyIDE4Ny40MSAxNC4yIDE4&#10;NC42MyAxMy42OSAxODEuNzggMTMuMDkgMTc4LjQ4IDEyLjU4IDE3NS4wNSAxMi4xNyAxNzEuNTcg&#10;MTEuNyAxNjcuNTkgMTEuMjUgMTYzLjYxIDEwLjgyIDE1OS42MyAxMC4zNSAxNTUuMjggMTAuMDMg&#10;MTUwLjU3IDkuODUgMTQ1LjI1IDkuNSAxMzQuODMgOS4zNSAxMjYuMzcgOS4zOCAxMTguNjMgOS40&#10;IDExMy45IDkuNTUgMTA5LjEgOS42OSAxMDQuNDYgOS43NiAxMDIuMTYgOS44MyA5OS44NyA5Ljg5&#10;IDk3LjU3TDkuOTEgOTYuNjJDMTAuMSA4OC43MiAxMC4zIDgwLjU1IDEwLjA0IDcyLjUyIDkuNDkg&#10;NTcuNDYgOC4yMyA0Mi43NCA3LjIgMzEuNkw2LjkyIDI4LjQ3QzYuNjEgMjUuMDcgNi4zIDIxLjU2&#10;IDUuOTEgMTguMTIgNS43NSAxNi43MSA1LjU2IDE1LjE4IDUuMyAxMy40NiA1LjE4IDEyLjYzIDUu&#10;MDUgMTEuOCA0LjkxIDEwLjk3TDQuODQgMTAuNTVDNC43NiAxMC4wOSA0LjY5IDkuNjMgNC42MiA5&#10;LjE3IDQuNTkgOC45OSA0LjU4IDguOCA0LjU3IDguNjIgNC4yOCA4LjU3IDMuOTcgOC41MiAzLjY4&#10;IDguNDUgMi45NyA4LjI5IDIuMzUgNy45MSAyLjA2IDcuNDYgMS44MyA3LjEgMS44MiA2LjcxIDIu&#10;MDMgNi4zNCAyLjc1IDUuMDcgNC45OSA1LjA4IDYuNjMgNS4wOUw2Ljk3IDUuMDlDNy4wMyA1LjA5&#10;IDcuMDggNS4wOSA3LjE0IDUuMDkgNy4zMSA1LjAyIDcuNDcgNC45NiA3LjYxIDQuOTEgOC4zNiA0&#10;LjY4IDkuMTYgNC41NiA5Ljc1IDQuNTkgOS44OCA0LjU5IDEwIDQuNjEgMTAuMTIgNC42M0wxMC40&#10;MSA0LjY4QzExLjE3IDQuOCAxMS42MyA0Ljg4IDEyLjI5IDUuMTlMMTIuOTMgNS4yMUMxMy41NyA1&#10;LjIzIDE0LjIxIDUuMjUgMTQuODUgNS4yNiAyMC42NyA1LjQgMjYuNTkgNS40MSAzMi4zMSA1LjQz&#10;IDM0LjU0IDUuNDMgMzYuNzYgNS40MyAzOC45OCA1LjQzIDQzLjA4IDUuNDMgNDcuMzIgNS40MyA1&#10;MS40OSA1LjQ4TDUyLjAzIDUuNDhDNTcuOTkgNS41NCA2NC4xNCA1LjYgNzAuMiA1LjU3IDc2LjM1&#10;IDUuNTQgODIuNDkgNS40OSA4OC42NCA1LjQ1IDk0Ljc5IDUuNCAxMDAuOTMgNS4zNiAxMDcuMDgg&#10;NS4zMyAxMTEuMjEgNS4zMSAxMTUuMzQgNS4yNiAxMTkuNDYgNS4yMSAxMjEuNDQgNS4xOSAxMjMu&#10;NDEgNS4xNiAxMjUuMzkgNS4xNCAxMzAuMDQgNS4wOSAxMzQuNjkgNS4wNyAxMzkuMzQgNS4wNkwx&#10;NDQuMTkgNS4wNEMxNTIuODQgNSAxNjEuNjMgNC45MiAxNzAuMTMgNC44NUwxODAuMTQgNC43NkMx&#10;ODMuODYgNC43MyAxODcuNTggNC42OCAxOTEuMyA0LjYzIDE5NC4xMyA0LjU5IDE5Ni45NSA0LjU1&#10;IDE5OS43OCA0LjUyIDIwNC4xMiA0LjQ3IDIwOC40NSA0LjQ1IDIxMi43OSA0LjQ0IDIxNC44NiA0&#10;LjQ0IDIxNi45MyA0LjQyIDIxOS4wMSA0LjQxIDIyMS4wMiA0LjQgMjIzLjAzIDQuMzggMjI1LjA0&#10;IDQuMzYgMjI4LjQ2IDQuMzMgMjMxLjg4IDQuMyAyMzUuMyA0LjMgMjM3LjY2IDQuMyAyNDAuMDEg&#10;NC4zIDI0Mi4zNyA0LjMgMjQ1LjUyIDQuMyAyNDguNjYgNC4zMSAyNTEuODEgNC4zIDI1NS4zOSA0&#10;LjI4IDI1OS4zNCA0LjI0IDI2NC4yMiA0LjE3IDI2NC40NSA0LjE1IDI2NC42NyA0LjE1IDI2NC44&#10;OSA0LjE2TDI2OS45NyA0LjA4QzI3NS4xMyA0IDI4MC40NyAzLjkxIDI4NS43MiAzLjg3IDI5MS41&#10;NyAzLjgyIDI5Ny40MSAzLjc1IDMwMy4yNiAzLjY4TDMwMy4zNyAzLjY4QzMwNS4xNyAzLjY2IDMw&#10;Ni45OCAzLjY0IDMwOC43OCAzLjYyIDMxMi41NSAzLjU4IDMxNi4zMiAzLjU0IDMyMC4wOSAzLjQ3&#10;TDMxOS43NCAzLjQ5IDMyMC43OCAzLjQ2QzMyNi41NSAzLjM1IDMzMi41MiAzLjIzIDMzOC40IDMu&#10;MTkgMzQyLjEyIDMuMTYgMzQ1Ljg1IDMuMTYgMzQ5LjU3IDMuMTUgMzUxLjggMy4xNSAzNTQuMDIg&#10;My4xNSAzNTYuMjUgMy4xNCAzNjEuNDUgMy4xMiAzNjYuNzMgMy4xNSAzNzEuODQgMy4xOUwzNzUu&#10;NzUgMy4yMUMzODEuNDMgMy4yNCAzODcuMzQgMy4zNiAzOTMuODQgMy41OCAzOTUuOTEgMy42NSAz&#10;OTcuOTggMy43MyA0MDAuMDUgMy44MUw0MDQuNDUgMy45OSA0MDUuMjcgNC4wMkM0MDYuOTIgNC4w&#10;OSA0MDguNTUgNC4xNiA0MTAuMTggNC4yMyA0MTQuMDMgNC4zOSA0MTYuOTcgNC40OSA0MTkuNzQg&#10;NC41NyA0MjQuMjkgNC43IDQyOC44NSA0Ljc1IDQzMy4yOSA0LjczIDQzNC42NiA0LjczIDQzNi4w&#10;NCA0LjczIDQzNy40MSA0LjcyIDQ0MC4wMyA0LjcyIDQ0Mi43NCA0LjcyIDQ0NS40MSA0LjY3IDQ0&#10;NS40NyA0LjY3IDQ0NS41NCA0LjY3IDQ0NS42IDQuNjdMNDQ1LjcgNC42N0M0NDUuNyA0LjY3IDQ0&#10;NS43IDQuNjcgNDQ1LjcgNC42NyA0NDYuMjYgNC42NiA0NDYuODEgNC42NSA0NDcuMzcgNC42NEw0&#10;NDcuNTEgNC42NEM0NDcuNTEgNC42NCA0NDcuNjMgNC42NCA0NDcuNjMgNC42NEw0NDguMzUgNC42&#10;NEM0NDguMzUgNC42NCA0NDguMTUgNC42NCA0NDguMTUgNC42NCA0NDkuMzggNC42IDQ1MC42MiA0&#10;LjU3IDQ1MS44NSA0LjU0IDQ1My44NCA0LjQ5IDQ1NS44MiA0LjQ0IDQ1Ny44MSA0LjQxTDQ1OC43&#10;NyA0LjQxQzQ1OS44MiA0LjM4IDQ2MC45IDQuMzYgNDYxLjk2IDQuNDFaIiBmaWxsPSIjRTNFODdC&#10;Ii8+PHBhdGggZD0iTTQyOS44IDEuMzZDNDI5LjkgMS4zNiA0MzAuMDEgMS4zNiA0MzAuMTEgMS4z&#10;NiA0MzAuMDEgMS4zNiA0MjkuOSAxLjM2IDQyOS44IDEuMzZaTTM5MC45OSAwLjQ0QzM5MC45MyAw&#10;LjQ0IDM5MC44NiAwLjQ0IDM5MC44IDAuNDQgMzkwLjk0IDAuNDQgMzkxLjA4IDAuNDQgMzkxLjIx&#10;IDAuNDQgMzkxLjE0IDAuNDQgMzkxLjA2IDAuNDQgMzkwLjk5IDAuNDRaTTM4OS44NyAwLjQyIDM4&#10;OS44NyAwLjQyQzM5MCAwLjQyIDM5MC4xMiAwLjQyIDM5MC4yNSAwLjQyIDM5MC4xMyAwLjQyIDM5&#10;MCAwLjQyIDM4OS44OCAwLjQyWk0yNi45IDQuNDRDMjYuODQgNC40NCAyNi43NyA0LjQ0IDI2Ljcx&#10;IDQuNDQgMjYuNzcgNC40NCAyNi44NCA0LjQ0IDI2LjkgNC40NFpNNDY2Ljk3IDEuODJDNDY4LjMx&#10;IDIuMDIgNDY5LjM3IDIuNzYgNDY5LjUxIDMuNzggNDY5LjU5IDQuMzUgNDY5LjM2IDQuOTMgNDY4&#10;Ljg3IDUuMzggNDY4LjM0IDUuODcgNDY3LjYzIDYuMSA0NjYuODEgNi4yMSA0NjUuMzggNi4zOSA0&#10;NjMuOTIgNi4zNCA0NjIuNDggNi4zMyA0NjAuNDMgNi4zMSA0NTguMzkgNi4yNyA0NTYuMzQgNi4y&#10;MiA0NTIuMDkgNi4xMyA0NDcuODQgNi4wMSA0NDMuNTggNS45MiA0MzQuMTMgNS43MyA0MjQuNjgg&#10;NS40NSA0MTUuMjMgNS4yNSA0MTMuMzcgNS4yMSA0MTEuNTIgNS4xNyA0MDkuNjYgNS4xNCA0MDku&#10;OTEgNS4xNCA0MTAuMTYgNS4xNCA0MTAuNDEgNS4xNSA0MDEuNTQgNC45OCAzOTIuNjcgNC43NiAz&#10;ODMuNzkgNC41OCAzODMuOTcgNC41OCAzODQuMTYgNC41OCAzODQuMzQgNC41OSAzNzkuMjYgNC41&#10;IDM3NC4xOCA0LjQyIDM2OS4xIDQuMzggMzY0LjA4IDQuMzMgMzU5LjA2IDQuMzQgMzU0LjA0IDQu&#10;MzQgMzQ0LjAxIDQuMzQgMzMzLjk4IDQuMyAzMjMuOTUgNC4zIDMxNC4xNiA0LjMgMzA0LjM3IDQu&#10;MyAyOTQuNTcgNC4zNyAyODQuNzQgNC40MyAyNzQuOTEgNC40NyAyNjUuMDkgNC41OCAyNDUuMjMg&#10;NC43OSAyMjUuMzggNC45OSAyMDUuNTEgNC45OSAxOTUuNzUgNC45OSAxODUuOTkgNSAxNzYuMjMg&#10;NS4wMSAxNjUuODUgNS4wMiAxNTUuNDcgNC45OSAxNDUuMSA0Ljk2IDEzNS4xMyA0LjkzIDEyNS4x&#10;NyA0Ljg5IDExNS4yIDQuODcgMTA1LjMgNC44NSA5NS4zOSA0Ljg4IDg1LjQ5IDQuODcgNzUuMzUg&#10;NC44NSA2NS4yMSA0LjgzIDU1LjA3IDQuNzYgNDUuNTMgNC42OSAzNiA0LjY0IDI2LjQ2IDQuNDQg&#10;MjUuOSA0LjQzIDI1LjM0IDQuNDIgMjQuNzggNC40MSAyNC45OSA0LjQxIDI1LjIxIDQuNDEgMjUu&#10;NDIgNC40MiAyMC45NCA0LjMzIDE2LjQ2IDQuMjUgMTEuOTggNC4xMSA5LjczIDQuMDQgNy40NyAz&#10;Ljk2IDUuMjIgMy44MiA0LjI0IDMuNzYgMy4yNCAzLjY5IDIuMjcgMy41NCAxLjU0IDMuNDMgMC43&#10;MiAzLjI5IDAuMjUgMi44Mi0wLjA5IDIuNDgtMC4xMSAxLjk1IDAuMjggMS42MiAwLjgxIDEuMTgg&#10;MS41OSAxLjA3IDIuMzYgMC45OSAzLjQ4IDAuODggNC42MyAwLjg3IDUuNzYgMC44NSA3Ljk2IDAu&#10;OCAxMC4xNSAwLjc4IDEyLjM2IDAuNzcgMTcuMDcgMC43NCAyMS43OCAwLjc4IDI2LjQ5IDAuODEg&#10;MzYuMTEgMC44NyA0NS43MyAwLjc3IDU1LjM1IDAuNzMgNjUuMzUgMC42OSA3NS4zNCAwLjY3IDg1&#10;LjM0IDAuNjggOTUuMjMgMC42OCAxMDUuMTEgMC42MyAxMTUuMDEgMC42MiAxMzUuMzcgMC42IDE1&#10;NS43MyAwLjc1IDE3Ni4xIDAuNzQgMTk1LjkxIDAuNzQgMjE1LjcyIDAuNjYgMjM1LjUzIDAuNTgg&#10;MjU1LjIxIDAuNTEgMjc0Ljg5IDAuMiAyOTQuNTYgMC4wOCAzMTQuNDQtMC4wNCAzMzQuMzEgMC4w&#10;NCAzNTQuMTggMC4wOCAzNjUuOTQgMC4xMSAzNzcuNjkgMC4xOSAzODkuNDQgMC40MiAzODkuNTgg&#10;MC40MiAzODkuNzIgMC40MiAzODkuODYgMC40MiAzODkuODYgMC40MiAzODkuODUgMC40MiAzODku&#10;ODQgMC40MiAzODkuODQgMC40MiAzODkuODYgMC40MiAzODkuODYgMC40MiAzODkuOTcgMC40MiAz&#10;OTAuMDggMC40MiAzOTAuMTkgMC40MiAzOTAuMzMgMC40MiAzOTAuNDYgMC40MiAzOTAuNTkgMC40&#10;MiAzOTAuNDcgMC40MiAzOTAuMzUgMC40MiAzOTAuMjMgMC40MiAzOTAuNDIgMC40MiAzOTAuNiAw&#10;LjQyIDM5MC43OSAwLjQzIDM5MC43NSAwLjQzIDM5MC43MSAwLjQzIDM5MC42NyAwLjQzIDM5MC43&#10;NyAwLjQzIDM5MC44OCAwLjQzIDM5MC45OCAwLjQzIDM5MS4xMyAwLjQzIDM5MS4yNyAwLjQzIDM5&#10;MS40MiAwLjQ0IDM5MS4zNSAwLjQ0IDM5MS4yOCAwLjQ0IDM5MS4yIDAuNDQgNDA0LjI0IDAuNyA0&#10;MTcuMjggMS4xMSA0MzAuMzIgMS4zN0w0MzAuMDkgMS4zN0M0MzAuNzYgMS4zNyA0MzEuNDIgMS4z&#10;OSA0MzIuMDkgMS40IDQzMS44NCAxLjQgNDMxLjU5IDEuNCA0MzEuMzQgMS4zOSA0MzcuODQgMS41&#10;MSA0NDQuMzUgMS42NiA0NTAuODYgMS42NSA0NTMuNzcgMS42NSA0NTYuNjcgMS42MSA0NTkuNTgg&#10;MS42IDQ2MC43NCAxLjYgNDYxLjkgMS42IDQ2My4wNiAxLjYxIDQ2My43NyAxLjYxIDQ2NC40OCAx&#10;LjYxIDQ2NS4xOSAxLjY0IDQ2NS43OCAxLjY2IDQ2Ni4zNiAxLjcxIDQ2Ni45NCAxLjc5WiIgZmls&#10;bD0iIzAxMDEwMSIvPjxwYXRoIGQ9Ik00NjguMSAzLjI4QzQ2OC41MyAzLjM5IDQ2OC45MiAzLjU1&#10;IDQ2OS4zIDMuNzIgNDcwLjMxIDQuMTcgNDcxLjI4IDQuNjYgNDcyLjIzIDUuMTYgNDczLjg4IDYu&#10;MDMgNDc1LjQ4IDYuOTUgNDc3LjA3IDcuODggNDgwLjI3IDkuNzQgNDgzLjQxIDExLjY4IDQ4Ni41&#10;NiAxMy42IDQ4OS43MiAxNS41MyA0OTIuODcgMTcuNDYgNDk2LjA1IDE5LjM2IDQ5OS4yOCAyMS4y&#10;OCA1MDIuNTIgMjMuMTkgNTA1Ljc4IDI1LjA5IDUxMi4yNCAyOC44NSA1MTguNzMgMzIuNTkgNTI1&#10;LjI3IDM2LjI4IDUzMS45NSA0MC4wNSA1MzguNTYgNDMuOSA1NDUuMTEgNDcuOCA1NTEuNjIgNTEu&#10;NjggNTU4LjAzIDU1LjY2IDU2NC41IDU5LjU2IDU3MSA2My40OCA1NzcuNTcgNjcuMzMgNTg0LjA3&#10;IDcxLjI0IDU5MC40NSA3NS4wNyA1OTYuNzggNzguOTQgNjAzLjE1IDgyLjc4IDYwNS43MiA4NC4z&#10;MyA2MDguMjcgODUuODggNjEwLjg2IDg3LjQgNjEyLjA2IDg4LjExIDYxMy4yNyA4OC44IDYxNC40&#10;NCA4OS41MiA2MTUuMDUgODkuODkgNjE1LjY0IDkwLjI4IDYxNi4yNSA5MC42NiA2MTYuNTUgOTAu&#10;ODUgNjE2Ljg0IDkxLjA0IDYxNy4xNCA5MS4yMyA2MTcuNjcgOTEuNTYgNjE4LjE0IDkxLjk1IDYx&#10;OC41OCA5Mi4zNSA2MTkuNDIgOTMuMTIgNjE5LjI5IDk0LjM0IDYxOC41IDk1LjA4IDYxNy43MiA5&#10;NS44MyA2MTYuMTYgOTYuMiA2MTQuOTggOTUuNzUgNjE0LjMzIDk1LjQ5IDYxMy43MiA5NS4yMSA2&#10;MTMuMTQgOTQuODcgNjEyLjc1IDk0LjY0IDYxMi4zNSA5NC40MSA2MTEuOTYgOTQuMTkgNjExLjIx&#10;IDkzLjc2IDYxMC40OCA5My4zMyA2MDkuNzUgOTIuODkgNjA4LjI0IDkxLjk3IDYwNi43NiA5MS4w&#10;MyA2MDUuMjUgOTAuMTEgNjAyLjE0IDg4LjIyIDU5OSA4Ni4zNSA1OTUuODggODQuNDcgNTg5LjQy&#10;IDgwLjU3IDU4Mi45MyA3Ni43MSA1NzYuNDIgNzIuODYgNTY5Ljg5IDY4Ljk5IDU2My4zMiA2NS4x&#10;NyA1NTYuODQgNjEuMjYgNTUwLjM0IDU3LjMzIDU0My45MiA1My4zMyA1MzcuNCA0OS40MiA1MzEu&#10;MDIgNDUuNTggNTI0LjU4IDQxLjggNTE4LjEgMzguMDYgNTExLjU3IDM0LjMgNTA1LjAxIDMwLjU2&#10;IDQ5OC41MiAyNi43NiA0OTIuMDYgMjIuOTcgNDg1LjY5IDE5LjA4IDQ3OS40MSAxNS4xMiA0NzYu&#10;NzUgMTMuNDQgNDc0LjExIDExLjc1IDQ3MS40NyAxMC4wNSA0NzAuMjUgOS4yNiA0NjkuMDMgOC40&#10;OSA0NjcuODQgNy42OCA0NjcuMSA3LjE4IDQ2Ni4zNSA2LjY4IDQ2NS43MiA2LjEgNDY1LjMzIDUu&#10;NzUgNDY1LjAzIDUuMzMgNDY0Ljk1IDQuODcgNDY0LjkyIDQuNzEgNDY0LjkzIDQuNTUgNDY0Ljk1&#10;IDQuNCA0NjUuMDQgMy44NSA0NjUuNTUgMy40NyA0NjYuMTggMy4yMyA0NjYuNDYgMy4xMyA0NjYu&#10;NzYgMy4xIDQ2Ny4wNiAzLjExIDQ2Ny40MSAzLjEyIDQ2Ny43NiAzLjIgNDY4LjA4IDMuMjhaIiBm&#10;aWxsPSIjMDEwMTAxIi8+PHBhdGggZD0iTTE3MS45IDE4OC40OUMxNzIgMTg4LjQ5IDE3Mi4wOSAx&#10;ODguNDkgMTcyLjE5IDE4OC40OSAxNzIuMDkgMTg4LjQ5IDE3MiAxODguNDkgMTcxLjkgMTg4LjQ5&#10;Wk0xNzAuMjIgMTg4LjQ2QzE3MC4wNyAxODguNDYgMTY5LjkyIDE4OC40NiAxNjkuNzggMTg4LjQ2&#10;IDE2OS44IDE4OC40NiAxNjkuODMgMTg4LjQ2IDE2OS44NSAxODguNDYgMTY5Ljk4IDE4OC40NiAx&#10;NzAuMTIgMTg4LjQ2IDE3MC4yNSAxODguNDYgMTcwLjI1IDE4OC40NiAxNzAuMjMgMTg4LjQ2IDE3&#10;MC4yMiAxODguNDZaTTE3MS4zMyAxODguNDhDMTcxLjI0IDE4OC40OCAxNzEuMTUgMTg4LjQ4IDE3&#10;MS4wNSAxODguNDggMTcxLjE0IDE4OC40OCAxNzEuMjMgMTg4LjQ4IDE3MS4zMyAxODguNDhaTTYx&#10;OS4xNiA5NS45MkM2MTkuMTYgOTUuOTIgNjE5LjE2IDk1Ljk1IDYxOS4xNiA5NS45NiA2MTkuMTYg&#10;OTUuOTUgNjE5LjE2IDk1Ljk0IDYxOS4xNiA5NS45MyA2MTkuMTYgOTUuOTMgNjE5LjE2IDk1Ljkz&#10;IDYxOS4xNiA5NS45MlpNNjE3LjM3IDk0LjA4QzYxNy44NyA5NC4yMyA2MTguMzIgOTQuNDkgNjE4&#10;LjYzIDk0LjggNjE4Ljg4IDk1LjA1IDYxOS4wMiA5NS4zIDYxOS4xIDk1LjU3IDYxOS40MyA5Ni4x&#10;OSA2MTkuMzEgOTcgNjE4Ljk2IDk3LjU5IDYxOC42MiA5OC4xNiA2MTguMDIgOTguNTYgNjE3LjM3&#10;IDk4Ljk1IDYxNy4wMiA5OS4xNiA2MTYuNjcgOTkuMzcgNjE2LjMxIDk5LjU4IDYxNS41NyAxMDAu&#10;MDIgNjE0LjgyIDEwMC40NSA2MTQuMDcgMTAwLjg5IDYxMi4xNCAxMDIuMDIgNjEwLjI5IDEwMy4y&#10;MSA2MDguNDMgMTA0LjM4IDYwNS41MSAxMDYuMjIgNjAyLjU0IDEwOC4wMSA1OTkuNTIgMTA5Ljc2&#10;IDU5NS4zNiAxMTIuMTggNTkxLjE4IDExNC41OCA1ODcuMDUgMTE3LjAzIDU3OC41NCAxMjIuMDcg&#10;NTcwLjM4IDEyNy40MiA1NjIuMzkgMTMyLjg5IDU1Ny45NSAxMzUuOTQgNTUzLjUyIDEzOC45OSA1&#10;NDguOTcgMTQxLjk1IDU0NC40IDE0NC45MiA1MzkuNzYgMTQ3Ljg1IDUzNS4wOCAxNTAuNzMgNTMw&#10;LjU5IDE1My41IDUyNi4wOCAxNTYuMjQgNTIxLjU0IDE1OC45NyA1MTcuOSAxNjEuMTcgNTE0LjI3&#10;IDE2My4zOCA1MTAuNjIgMTY1LjU3IDUwMy4wNCAxNzAuMSA0OTUuNTEgMTc0LjY5IDQ4Ny44MSAx&#10;NzkuMTEgNDgzLjcgMTgxLjQ4IDQ3OS41OCAxODMuODQgNDc1LjI2IDE4NiA0NzIuOTkgMTg3LjE0&#10;IDQ3MC42IDE4OC4xNyA0NjguMTcgMTg5LjEzIDQ2Ni44MiAxODkuNjYgNDY1LjQxIDE5MC4xNSA0&#10;NjMuOTggMTkwLjU2IDQ2MS43OSAxOTEuMTcgNDU5LjQ4IDE5MS40MyA0NTcuMTYgMTkxLjU2IDQ1&#10;NC41MyAxOTEuNzEgNDUxLjkgMTkxLjc3IDQ0OS4yNiAxOTEuODUgNDQ0LjU3IDE5MiA0MzkuODgg&#10;MTkyLjA0IDQzNS4xOSAxOTIuMTIgNDI5LjY4IDE5Mi4yIDQyNC4xOCAxOTIuMzQgNDE4LjY3IDE5&#10;Mi41IDQwNi44MiAxOTIuODQgMzk0Ljk4IDE5My4yMSAzODMuMTEgMTkzLjMzIDM3MC44OCAxOTMu&#10;NDYgMzU4LjY0IDE5My41NyAzNDYuNCAxOTMuNDUgMzM0LjEzIDE5My4zMyAzMjEuODcgMTkzLjA3&#10;IDMwOS42MSAxOTIuNzcgMjk3LjI3IDE5Mi40NiAyODQuOTMgMTkyLjE4IDI3Mi42IDE5MS43OSAy&#10;NjAuNTcgMTkxLjQxIDI0OC41NSAxOTAuOTMgMjM2LjUzIDE5MC40NSAyMjUuNzYgMTkwLjAyIDIx&#10;NC45NyAxODkuNzIgMjA0LjE5IDE4OS4zOCAxOTMuNTIgMTg5LjA0IDE4Mi44NiAxODguNzMgMTcy&#10;LjE5IDE4OC41MSAxNzIuMzMgMTg4LjUxIDE3Mi40NyAxODguNTEgMTcyLjYgMTg4LjUxIDE3Mi4y&#10;NSAxODguNTEgMTcxLjkgMTg4LjUgMTcxLjU1IDE4OC40OSAxNzEuMjkgMTg4LjQ5IDE3MS4wMyAx&#10;ODguNDkgMTcwLjc3IDE4OC40OCAxNzAuODQgMTg4LjQ4IDE3MC45MiAxODguNDggMTcwLjk5IDE4&#10;OC40OCAxNzAuOSAxODguNDggMTcwLjggMTg4LjQ4IDE3MC43MSAxODguNDggMTcwLjQ4IDE4OC40&#10;OCAxNzAuMjUgMTg4LjQ4IDE3MC4wMyAxODguNDcgMTcwLjEgMTg4LjQ3IDE3MC4xNiAxODguNDcg&#10;MTcwLjIzIDE4OC40NyAxNzAuMjUgMTg4LjQ3IDE3MC4yNiAxODguNDcgMTcwLjI4IDE4OC40NyAx&#10;NzAuMjggMTg4LjQ3IDE3MC4yNyAxODguNDcgMTcwLjI2IDE4OC40NyAxNzAuMjggMTg4LjQ3IDE3&#10;MC4yOSAxODguNDcgMTcwLjMxIDE4OC40NyAxNzAuMzggMTg4LjQ3IDE3MC40NCAxODguNDcgMTcw&#10;LjUxIDE4OC40NyAxNzAuMjkgMTg4LjQ3IDE3MC4wOCAxODguNDcgMTY5Ljg2IDE4OC40NkwxNjku&#10;NTQgMTg4LjQ2QzE2OS42MiAxODguNDYgMTY5LjcxIDE4OC40NiAxNjkuNzkgMTg4LjQ2IDE1Ny44&#10;NiAxODguMjMgMTQ1LjkyIDE4OC4wOSAxMzMuOTggMTg4LjAzIDEyMS43NyAxODcuOTcgMTA5LjU2&#10;IDE4OC4wOCA5Ny4zNSAxODguNDYgODUuMTEgMTg4Ljg1IDcyLjg5IDE4OS41NCA2MC42NSAxODku&#10;ODEgNTQuNzIgMTg5Ljk0IDQ4Ljc4IDE5MCA0Mi44NSAxOTAuMTMgMzcuMTUgMTkwLjI1IDMxLjQz&#10;IDE5MC4zMiAyNS43MyAxOTAuNTEgMjIuNjIgMTkwLjYxIDE5LjUxIDE5MC43OCAxNi4zOSAxOTAu&#10;OTEgMTUuMyAxOTAuOTYgMTQuMiAxOTAuOTkgMTMuMTEgMTkwLjk0IDExLjk4IDE5MC44OCAxMC43&#10;NSAxOTAuMzIgMTAuOTEgMTg5LjM4IDExLjA0IDE4OC42NyAxMS44OCAxODguMjQgMTIuNjggMTg3&#10;Ljk0IDEzLjQ5IDE4Ny42NSAxNC4zNCAxODcuNDQgMTUuMjEgMTg3LjI4IDE3LjkxIDE4Ni43NiAy&#10;MC42OSAxODYuNDUgMjMuNDYgMTg2LjIxIDI5LjE2IDE4NS43MSAzNC44OCAxODUuNTEgNDAuNjEg&#10;MTg1LjM0IDUyLjQ2IDE4NSA2NC4zIDE4NC42IDc2LjEyIDE4My45MSA4OC42MSAxODMuMTggMTAx&#10;LjA5IDE4Mi41IDExMy42MiAxODIuMzQgMTI1Ljc2IDE4Mi4xOCAxMzcuOSAxODIuMzQgMTUwLjA0&#10;IDE4Mi41NSAxNTYuMjUgMTgyLjY2IDE2Mi40NSAxODIuOCAxNjguNjYgMTgyLjk1IDE3NC42OCAx&#10;ODMuMDkgMTgwLjcgMTgzLjIxIDE4Ni43MiAxODMuMzcgMTkyLjkzIDE4My41MyAxOTkuMTUgMTgz&#10;Ljc0IDIwNS4zNiAxODMuOTQgMjExLjM3IDE4NC4xMyAyMTcuMzggMTg0LjI5IDIyMy4zOSAxODQu&#10;NDcgMjM1LjU0IDE4NC44MyAyNDcuNjggMTg1LjMzIDI1OS44MiAxODUuNzQgMjcyLjEgMTg2LjE2&#10;IDI4NC4zOCAxODYuNDcgMjk2LjY3IDE4Ni43NSAzMDcuMDkgMTg2Ljk4IDMxNy41MSAxODcuMjIg&#10;MzI3LjkyIDE4Ny40MyAzMjcuNTggMTg3LjQzIDMyNy4yNSAxODcuNDIgMzI2LjkxIDE4Ny40MSAz&#10;MjggMTg3LjQzIDMyOS4xIDE4Ny40NSAzMzAuMTkgMTg3LjQ3IDMyOS44NSAxODcuNDcgMzI5LjUx&#10;IDE4Ny40NiAzMjkuMTcgMTg3LjQ1IDMzNS4xOSAxODcuNTcgMzQxLjIyIDE4Ny42NyAzNDcuMjQg&#10;MTg3LjY5IDM1My4zNyAxODcuNzEgMzU5LjQ5IDE4Ny42NyAzNjUuNjEgMTg3LjYyIDM3Ny41NiAx&#10;ODcuNTMgMzg5LjUxIDE4Ny40OSA0MDEuNDUgMTg3LjI2IDQwNy41MSAxODcuMTQgNDEzLjU3IDE4&#10;Ni45NSA0MTkuNjIgMTg2Ljg0IDQyNS4xNCAxODYuNzQgNDMwLjY2IDE4Ni43IDQzNi4xOCAxODYu&#10;NTcgNDM4Ljc4IDE4Ni41IDQ0MS4zNyAxODYuNDIgNDQzLjk3IDE4Ni4zNSA0NDUuNzkgMTg2LjMg&#10;NDQ3LjYxIDE4Ni4yNiA0NDkuNDMgMTg2LjE4IDQ1MS45NCAxODYuMDcgNDU0LjQ1IDE4NS44OCA0&#10;NTYuOTQgMTg1LjY0IDQ1OC4yNyAxODUuNTEgNDU5LjYzIDE4NS40MSA0NjAuOTUgMTg1LjIyIDQ2&#10;MS43NCAxODUuMDcgNDYyLjUyIDE4NC44OCA0NjMuMjkgMTg0LjY3IDQ2NC40NSAxODQuMzYgNDY1&#10;LjU0IDE4My45NSA0NjYuNjMgMTgzLjUyIDQ3MS4wMyAxODEuNzMgNDc1LjA4IDE3OS41NyA0Nzku&#10;MDYgMTc3LjMyIDQ4My4wMyAxNzUuMDggNDg2Ljk1IDE3Mi43OSA0OTAuODMgMTcwLjQ2IDQ5OC4y&#10;IDE2Ni4wMyA1MDUuNSAxNjEuNTIgNTEyLjc1IDE1Ni45OCA1MjEuNTQgMTUxLjQ4IDUzMC4zNCAx&#10;NDUuOTkgNTM5LjA3IDE0MC40MyA1NDguMyAxMzQuNTUgNTU3LjE2IDEyOC4zOCA1NjYuMjQgMTIy&#10;LjM4IDU3My44OCAxMTcuMzMgNTgxLjggMTEyLjUyIDU4OS44NiAxMDcuODMgNTkzLjU5IDEwNS42&#10;NiA1OTcuMyAxMDMuNDggNjAxLjA3IDEwMS4zNiA2MDMuMzIgMTAwLjA5IDYwNS42IDk4Ljg1IDYw&#10;Ny44MiA5Ny41NCA2MDguOTIgOTYuODkgNjEwIDk2LjI0IDYxMS4wOSA5NS41OSA2MTEuNTcgOTUu&#10;MzEgNjEyLjA1IDk1LjAzIDYxMi41MyA5NC43NSA2MTIuNzQgOTQuNjMgNjEyLjk2IDk0LjUgNjEz&#10;LjE3IDk0LjM4IDYxMy44OSA5My45NSA2MTQuODcgOTMuNzUgNjE1LjgyIDkzLjc5IDYxNi4zNyA5&#10;My44MSA2MTYuOSA5My45MSA2MTcuMzggOTQuMVoiIGZpbGw9IiMwMTAxMDEiLz48cGF0aCBkPSJN&#10;OS41MiAxODQuNDkgOS41NCAxODQuNTZDOS41NCAxODQuNTYgOS41NCAxODQuNTYgOS41NCAxODQu&#10;NTYgOS41OCAxODQuNzIgOS42MSAxODQuODcgOS42NSAxODUuMDMgOS42MSAxODQuODUgOS41NyAx&#10;ODQuNjggOS41MyAxODQuNVpNMy4xMyAxLjcxQzMuNDYgMS45NyAzLjYyIDIuMjYgMy43MSAyLjYx&#10;IDMuODMgMy4wOSAzLjkyIDMuNTcgMy45OSA0LjA2IDQuMTQgNC45NiA0LjI1IDUuODYgNC4zNyA2&#10;Ljc2IDQuNjEgOC42IDQuODcgMTAuNDQgNS4xIDEyLjI5IDUuNTcgMTYgNS44OSAxOS43MSA2LjE4&#10;IDIzLjQzIDYuNDggMjcuMjcgNi44NCAzMS4xMSA3LjE0IDM0Ljk1IDcuNDQgMzguODYgNy42NCA0&#10;Mi43NyA3LjggNDYuNjggNy45NSA1MC41NiA3Ljk5IDU0LjQzIDguMDcgNTguMzEgOC4xNSA2Mi4y&#10;NyA4LjMyIDY2LjIyIDguNTYgNzAuMTcgOC43OSA3My45OSA5LjA3IDc3LjgyIDkuMzUgODEuNjUg&#10;OS42MyA4NS42MSA5Ljg3IDg5LjU3IDEwLjA2IDkzLjU0IDEwLjI0IDk3LjM2IDEwLjQxIDEwMS4x&#10;NyAxMC41NCAxMDQuOTkgMTAuNjcgMTA4Ljg0IDEwLjc2IDExMi42OCAxMC45MSAxMTYuNTMgMTEu&#10;MDYgMTIwLjU5IDExLjIxIDEyNC42NSAxMS4zNCAxMjguNzEgMTEuNDcgMTMyLjU5IDExLjY1IDEz&#10;Ni40OCAxMS44IDE0MC4zNiAxMi4wNyAxNDcuODkgMTIuMDggMTU1LjQxIDEyLjQ0IDE2Mi45MyAx&#10;Mi41MyAxNjQuODIgMTIuNjIgMTY2LjcxIDEyLjc0IDE2OC42IDEyLjg0IDE3MC4zNCAxMi45OSAx&#10;NzIuMDggMTMuMTQgMTczLjgxIDEzLjM3IDE3Ni42NiAxMy41MyAxNzkuNTMgMTQuMSAxODIuMzYg&#10;MTQuMjEgMTgyLjkxIDE0LjMyIDE4My40NiAxNC40MyAxODQgMTQuNDkgMTg0LjIxIDE0LjU2IDE4&#10;NC40MyAxNC41NiAxODQuNjQgMTQuNTggMTg0Ljk1IDE0LjQ4IDE4NS4yNSAxNC4yOCAxODUuNTQg&#10;MTQuMTYgMTg1LjY3IDE0LjA0IDE4NS44IDEzLjkxIDE4NS45MyAxMy42IDE4Ni4xOCAxMy4yMyAx&#10;ODYuMzUgMTIuOCAxODYuNDUgMTIuNiAxODYuNTEgMTIuMzggMTg2LjUzIDEyLjE3IDE4Ni41MyAx&#10;MS43NCAxODYuNTMgMTEuMzMgMTg2LjQ3IDEwLjk0IDE4Ni4zMyAxMC4zMyAxODYuMSA5Ljk0IDE4&#10;NS43MSA5LjcxIDE4NS4yNSA5LjYyIDE4NS4wOCA5LjYgMTg0Ljg5IDkuNTcgMTg0LjcgOS40OCAx&#10;ODQuMzUgOS4zOSAxODQuMDEgOS4zMyAxODMuNjYgOS4yNyAxODMuMjcgOS4yMSAxODIuODkgOS4x&#10;NiAxODIuNSA5LjAxIDE4MS4zMyA4Ljg2IDE4MC4xNSA4LjY5IDE3OC45OCA4LjIgMTc1LjU4IDgu&#10;MTIgMTcyLjE1IDcuODMgMTY4Ljc0IDcuNjggMTY2Ljg1IDcuNSAxNjQuOTYgNy4zNyAxNjMuMDgg&#10;Ny4yNSAxNjEuMjQgNy4xOCAxNTkuNCA3LjExIDE1Ny41NiA2Ljk3IDE1My43NCA2Ljk5IDE0OS45&#10;MSA2Ljk0IDE0Ni4wOCA2Ljg5IDE0Mi4yNCA2LjcyIDEzOC40MSA2LjU3IDEzNC41NyA2LjQxIDEz&#10;MC42NiA2LjI5IDEyNi43NSA2LjE0IDEyMi44NCA1Ljk4IDExOC44OSA1Ljc5IDExNC45NCA1LjY3&#10;IDExMC45OCA1LjU1IDEwNy4xNCA1LjQ1IDEwMy4zIDUuMjYgOTkuNDYgNS4wNyA5NS41MyA0Ljg5&#10;IDkxLjYxIDQuNiA4Ny42OCA0LjMyIDgzLjgxIDMuOTQgNzkuOTUgMy41OSA3Ni4wOCAzLjIzIDcy&#10;LjEgMi45MSA2OC4xMSAyLjcgNjQuMTIgMi40OCA2MC4xOSAyLjQgNTYuMjcgMi4zMSA1Mi4zNCAy&#10;LjEyIDQ0LjY2IDEuNyAzNi45OCAxLjI0IDI5LjMxIDEuMDEgMjUuNTIgMC44MyAyMS43MiAwLjY4&#10;IDE3LjkzIDAuNjEgMTYuMSAwLjU0IDE0LjI4IDAuNDkgMTIuNDUgMC40NCAxMC42IDAuMzkgOC43&#10;NSAwLjQ3IDYuOSAwLjUxIDUuOTkgMC41NiA1LjA5IDAuNjUgNC4xOSAwLjcgMy43MyAwLjc2IDMu&#10;MjcgMC44NCAyLjgxIDAuOTEgMi40NiAxLjA0IDIuMDkgMS4zNyAxLjgxIDEuNjIgMS42MSAyLjAy&#10;IDEuNDkgMi40MSAxLjUxIDIuNjkgMS41MiAyLjk1IDEuNiAzLjE0IDEuNzVaIiBmaWxsPSIjMDEw&#10;MTAxIi8+PHBhdGggZD0iTTUzNy41MyAxNzIuMjRDNTM3LjUzIDE3Mi4yNCA1MzcuNTMgMTcyLjI0&#10;IDUzNy41MyAxNzIuMjQgNTM3LjUzIDE3Mi4yNCA1MzcuNTIgMTcyLjI0IDUzNy41MSAxNzIuMjUg&#10;NTM3LjUxIDE3Mi4yNSA1MzcuNTEgMTcyLjI1IDUzNy41MSAxNzIuMjUgNTM3LjUxIDE3Mi4yNSA1&#10;MzcuNTMgMTcyLjI0IDUzNy41MyAxNzIuMjNaTTU4MC4yMyAxMzYuMDJDNTgwLjExIDEzNi4wOSA1&#10;NzkuOTkgMTM2LjE3IDU3OS44NyAxMzYuMjUgNTc5Ljk5IDEzNi4xNyA1ODAuMSAxMzYuMSA1ODAu&#10;MjMgMTM2LjAyWk02MjcuNTUgMTEwLjQ5QzYyNy41MSAxMTAuNzkgNjI3LjQ2IDExMS4wOSA2Mjcu&#10;NDIgMTExLjQgNjI0LjE2IDExMy43OCA2MjAuNzkgMTE2LjA5IDYxNy40IDExOC4zOCA2MTMuOSAx&#10;MjAuNzUgNjEwLjM0IDEyMy4wNyA2MDYuODMgMTI1LjQzIDYwMy4yMSAxMjcuODYgNTk5LjU4IDEz&#10;MC4yOSA1OTUuOTQgMTMyLjcxIDU5MC4wNSAxMzYuNjIgNTg0LjE3IDE0MC41MyA1NzguMTcgMTQ0&#10;LjM1IDU3OC40IDE0NC4yIDU3OC42NCAxNDQuMDUgNTc4Ljg3IDE0My45IDU3NS44MyAxNDUuODQg&#10;NTcyLjc0IDE0Ny43NSA1NjkuNjcgMTQ5LjY4IDU2OS45IDE0OS41NCA1NzAuMTIgMTQ5LjM5IDU3&#10;MC4zNCAxNDkuMjUgNTcwLjAzIDE0OS40NSA1NjkuNzMgMTQ5LjY0IDU2OS40MiAxNDkuODQgNTY5&#10;LjQzIDE0OS44NCA1NjkuNDQgMTQ5LjgzIDU2OS40NSAxNDkuODIgNTYyLjA1IDE1NC41NCA1NTUu&#10;MzUgMTU5Ljc4IDU0OC40NSAxNjQuODggNTQ1LjE3IDE2Ny4zMSA1NDEuNyAxNjkuNTkgNTM4LjE5&#10;IDE3MS44MyA1MzguMjYgMTcxLjc5IDUzOC4zMiAxNzEuNzUgNTM4LjM4IDE3MS43MSA1MzguMiAx&#10;NzEuODIgNTM4LjAxIDE3MS45NCA1MzcuODMgMTcyLjA2IDUzNy44MyAxNzIuMDYgNTM3LjgzIDE3&#10;Mi4wNiA1MzcuODMgMTcyLjA2IDUzNy44MyAxNzIuMDYgNTM3LjgyIDE3Mi4wNiA1MzcuODEgMTcy&#10;LjA3IDUzNy44MSAxNzIuMDcgNTM3Ljc5IDE3Mi4wOCA1MzcuNzggMTcyLjA5IDUzNy43OCAxNzIu&#10;MDkgNTM3Ljc4IDE3Mi4wOSA1MzcuNzggMTcyLjA5IDUzNy43NyAxNzIuMDkgNTM3Ljc2IDE3Mi4x&#10;IDUzNy43NSAxNzIuMTEgNTM3LjczIDE3Mi4xMyA1MzcuNyAxNzIuMTQgNTM3LjY4IDE3Mi4xNiA1&#10;MzcuNjYgMTcyLjE4IDUzNy42MyAxNzIuMTkgNTM3LjYxIDE3Mi4yMSA1MzcuNjMgMTcyLjIgNTM3&#10;LjY1IDE3Mi4xOCA1MzcuNjggMTcyLjE3IDUzNy42NSAxNzIuMTkgNTM3LjYxIDE3Mi4yMSA1Mzcu&#10;NTggMTcyLjIzIDUzNy41OCAxNzIuMjMgNTM3LjU5IDE3Mi4yMyA1MzcuNiAxNzIuMjIgNTM3LjQ1&#10;IDE3Mi4zMSA1MzcuMzEgMTcyLjQxIDUzNy4xNiAxNzIuNSA1MzcuMjcgMTcyLjQzIDUzNy4zNyAx&#10;NzIuMzYgNTM3LjQ4IDE3Mi4yOSA1MzcuNDggMTcyLjI5IDUzNy40OCAxNzIuMjkgNTM3LjQ4IDE3&#10;Mi4yOSA1MzcuNDggMTcyLjI5IDUzNy40OCAxNzIuMjkgNTM3LjQ4IDE3Mi4yOUw1MzcuNSAxNzIu&#10;MjlDNTM3LjUgMTcyLjI5IDUzNy41IDE3Mi4yOSA1MzcuNSAxNzIuMjkgNTM3LjUgMTcyLjI5IDUz&#10;Ny41IDE3Mi4yOSA1MzcuNDkgMTcyLjI5IDUzNy40OSAxNzIuMjkgNTM3LjQ5IDE3Mi4yOSA1Mzcu&#10;NDkgMTcyLjI5IDUzNy40OSAxNzIuMjkgNTM3LjQ5IDE3Mi4yOSA1MzcuNDkgMTcyLjI5IDUyOS44&#10;OCAxNzcuMTYgNTIyLjA5IDE4MS44NiA1MTQuMTcgMTg2LjQ2IDUxMC4zNCAxODguNjggNTA2LjQ2&#10;IDE5MC44NSA1MDIuNTggMTkzLjAzIDQ5OC44NCAxOTUuMTQgNDk1LjA1IDE5Ny4yMSA0OTEuMjQg&#10;MTk5LjI2IDQ4OC41OSAyMDAuNjkgNDg1LjkyIDIwMi4xIDQ4My4yOCAyMDMuNTUgNDgyLjAxIDIw&#10;NC4yNSA0ODAuNzQgMjA0Ljk2IDQ3OS40OCAyMDUuNjYgNDc4LjkzIDIwNS45NyA0NzguMzcgMjA2&#10;LjI4IDQ3Ny44MiAyMDYuNTkgNDc2Ljk1IDIwNy4wOCA0NzYuMTMgMjA3LjYyIDQ3NS4wNiAyMDcu&#10;ODUgNDczLjc0IDIwOC4xMyA0NzIuMzYgMjA3Ljk4IDQ3MS4zMSAyMDcuMyA0NzAuMDkgMjA2LjUx&#10;IDQ2OS41OCAyMDUuMDMgNDcwLjQ0IDIwMy45NiA0NzAuNjggMjAzLjY2IDQ3MC45IDIwMy4zNSA0&#10;NzEuMjUgMjAzLjExIDQ3MS41NyAyMDIuOSA0NzEuOSAyMDIuNjggNDcyLjI0IDIwMi40OCA0NzIu&#10;NDUgMjAyLjM2IDQ3Mi42NiAyMDIuMjQgNDcyLjg2IDIwMi4xMyA0NzMuMjMgMjAxLjkyIDQ3My42&#10;IDIwMS43MSA0NzMuOTggMjAxLjUgNDc0LjgxIDIwMS4wNCA0NzUuNjQgMjAwLjU4IDQ3Ni40NyAy&#10;MDAuMTMgNDc4LjMxIDE5OS4xMiA0ODAuMTUgMTk4LjEyIDQ4MS45OSAxOTcuMTEgNDg1Ljc5IDE5&#10;NS4wMyA0ODkuNjIgMTkyLjk3IDQ5My40OCAxOTAuOTQgNDk3LjQyIDE4OC44NiA1MDEuMjkgMTg2&#10;LjczIDUwNS4xNiAxODQuNTggNTA4Ljk5IDE4Mi40NSA1MTIuODQgMTgwLjM1IDUxNi42NyAxNzgu&#10;MjIgNTE5Ljg0IDE3Ni40NiA1MjIuOTQgMTc0LjY0IDUyNi4wMiAxNzIuOCA1MjguODYgMTcxLjEx&#10;IDUzMS42OSAxNjkuNDEgNTM0LjQ2IDE2Ny42NyA1MzguMDMgMTY1LjM4IDU0MS40OCAxNjIuOTgg&#10;NTQ0Ljg2IDE2MC41NCA1NDguMzQgMTU4LjAzIDU1MS43MyAxNTUuNDUgNTU1LjIgMTUyLjk0IDU1&#10;OC4xOCAxNTAuNzcgNTYxLjE3IDE0OC42MSA1NjQuMjMgMTQ2LjUgNTY3LjQzIDE0NC4yOCA1NzAu&#10;NyAxNDIuMTIgNTc0LjAxIDE0MEw1NzQuMDEgMTQwQzU3NC4wMSAxNDAgNTc0LjAxIDE0MCA1NzQu&#10;MDEgMTQwIDU3NC4wOCAxMzkuOTYgNTc0LjE1IDEzOS45MSA1NzQuMjEgMTM5Ljg3IDU3NC4yMSAx&#10;MzkuODcgNTc0LjE5IDEzOS44OCA1NzQuMTggMTM5Ljg5IDU3NC4yMiAxMzkuODYgNTc0LjI3IDEz&#10;OS44MyA1NzQuMzEgMTM5LjgxIDU3NC4yOSAxMzkuODIgNTc0LjI3IDEzOS44NCA1NzQuMjUgMTM5&#10;Ljg1IDU3NC4zIDEzOS44MSA1NzQuMzYgMTM5Ljc4IDU3NC40MSAxMzkuNzQgNTc0LjU1IDEzOS42&#10;NSA1NzQuNyAxMzkuNTYgNTc0Ljg0IDEzOS40NyA1NzQuODIgMTM5LjQ4IDU3NC44IDEzOS40OSA1&#10;NzQuNzkgMTM5LjUgNTc2LjE2IDEzOC42MyA1NzcuNTQgMTM3Ljc2IDU3OC45MSAxMzYuODkgNTc4&#10;Ljk0IDEzNi44NyA1NzguOTYgMTM2Ljg2IDU3OC45OSAxMzYuODQgNTc4Ljk2IDEzNi44NiA1Nzgu&#10;OTQgMTM2Ljg3IDU3OC45MSAxMzYuODkgNTc5LjA1IDEzNi44IDU3OS4yIDEzNi43MSA1NzkuMzQg&#10;MTM2LjYyIDU3OS40MSAxMzYuNTggNTc5LjQ3IDEzNi41MyA1NzkuNTQgMTM2LjQ5TDU3OS41MyAx&#10;MzYuNDlDNTgzLjMgMTM0LjA4IDU4NyAxMzEuNjEgNTkwLjY5IDEyOS4xMyA1OTQuMjcgMTI2Ljcz&#10;IDU5Ny44IDEyNC4yOCA2MDEuMzggMTIxLjg3IDYwNC45OCAxMTkuNDUgNjA4LjYyIDExNy4wNiA2&#10;MTIuMzEgMTE0LjcgNjEyLjU0IDExNC41NSA2MTIuNzcgMTE0LjQxIDYxMyAxMTQuMjYgNjE3LjU0&#10;IDExMS4zNiA2MjIuMzEgMTA4LjY2IDYyNi44OCAxMDUuNzggNjI2LjkyIDEwNS43NiA2MjYuOTUg&#10;MTA1LjczIDYyNi45OSAxMDUuNzEgNjI2Ljk5IDEwNS43MSA2MjYuOTggMTA1LjcxIDYyNi45NyAx&#10;MDUuNzIgNjI2Ljk3IDEwNS43MiA2MjYuOTggMTA1LjcyIDYyNi45OSAxMDUuNzEgNjI3LjM1IDEw&#10;NS40OCA2MjcuNyAxMDUuMjUgNjI4LjA2IDEwNS4wMiA2MjcuOTIgMTA2Ljg1IDYyNy44IDEwOC42&#10;OSA2MjcuNTUgMTEwLjUxWiIgZmlsbD0iIzAxMDEwMSIvPjxwYXRoIGQ9Ik00NzQuMTggMjA1LjQ1&#10;QzQ3NC45OCAyMDUuOTUgNDc1LjQ4IDIwNi42NyA0NzUuNTcgMjA3LjQzIDQ3NS42NyAyMDguMjIg&#10;NDc1LjMyIDIwOS4wMiA0NzQuNjEgMjA5LjYyIDQ3NC4zNSAyMDkuNzkgNDc0LjEgMjA5Ljk2IDQ3&#10;My44NCAyMTAuMTMgNDczLjI1IDIxMC40MyA0NzIuNiAyMTAuNiA0NzEuOSAyMTAuNjQgNDcxLjM3&#10;IDIxMC43MiA0NzAuOCAyMTAuNzIgNDcwLjI2IDIxMC43NCA0NjkuNjUgMjEwLjc3IDQ2OS4wMyAy&#10;MTAuNzkgNDY4LjQyIDIxMC44MiA0NjcgMjEwLjg3IDQ2NS41OCAyMTAuOSA0NjQuMTYgMjEwLjkz&#10;IDQ2MC4yMyAyMTEuMDIgNDU2LjMgMjExLjA0IDQ1Mi4zNyAyMTEuMDYgNDQzLjg1IDIxMS4wOSA0&#10;MzUuMzMgMjExLjEzIDQyNi44IDIxMS4wNyA0MTMuMjMgMjEwLjk4IDM5OS42OSAyMTAuMzkgMzg2&#10;LjE1IDIwOS43OSAzODEuMzQgMjA5LjU4IDM3Ni41MyAyMDkuMzcgMzcxLjcyIDIwOS4xOCAzNjku&#10;OTggMjA5LjExIDM2OC4yNSAyMDkuMDUgMzY2LjUxIDIwOC45OSAzNDguNjQgMjA4LjQgMzMwLjc1&#10;IDIwOC4xNyAzMTIuODggMjA3LjYxIDMwMC4wNCAyMDcuMjEgMjg3LjIxIDIwNi42IDI3NC4zOCAy&#10;MDYuMTUgMjc0Ljc3IDIwNi4xNiAyNzUuMTYgMjA2LjE4IDI3NS41NSAyMDYuMTkgMjY2LjEzIDIw&#10;NS44NyAyNTYuNzEgMjA1LjU4IDI0Ny4yOCAyMDUuNCAyMzguMzMgMjA1LjIzIDIyOS4zNyAyMDUu&#10;MTUgMjIwLjQxIDIwNS4wNSAyMTEuNDkgMjA0Ljk2IDIwMi41NyAyMDQuOSAxOTMuNjYgMjA1LjA2&#10;IDE4NC40IDIwNS4yMyAxNzUuMTQgMjA1LjU1IDE2NS44OCAyMDUuODkgMTU2LjY5IDIwNi4yMyAx&#10;NDcuNTEgMjA2LjYzIDEzOC4zMSAyMDYuODcgMTI5LjM1IDIwNy4xIDEyMC4zOSAyMDcuMjIgMTEx&#10;LjQzIDIwNy4zNCAxMDIuMDkgMjA3LjQ3IDkyLjc1IDIwNy41MyA4My40IDIwNy42NiA3OC44IDIw&#10;Ny43MiA3NC4yIDIwNy43OSA2OS42IDIwNy44NCA2NS4wNiAyMDcuODkgNjAuNTIgMjA3Ljg4IDU1&#10;Ljk4IDIwNy45IDQ4Ljg5IDIwNy45MyA0MS44IDIwOC4wNSAzNC43MiAyMDguMDEgMzEuMjYgMjA3&#10;Ljk5IDI3Ljc4IDIwNy45NyAyNC4zNSAyMDcuNjIgMjMuMjEgMjA3LjUgMjIuMDUgMjA3LjMzIDIw&#10;Ljk4IDIwNy4wMSAyMC4zNyAyMDYuODIgMTkuODUgMjA2LjU2IDE5LjQzIDIwNi4xOSAxOC43MyAy&#10;MDUuNTcgMTguNzQgMjA0LjQ0IDE5Ljc4IDIwMy45OSAyMC43MyAyMDMuNTggMjEuODUgMjAzLjcx&#10;IDIyLjkgMjAzLjcxIDI0LjcxIDIwMy43MiAyNi41MiAyMDMuNjkgMjguMzQgMjAzLjY1IDMwLjM5&#10;IDIwMy42IDMyLjQ1IDIwMy41IDM0LjUgMjAzLjQxIDM2LjY5IDIwMy4zMiAzOC45IDIwMy4yMyA0&#10;MS4wOSAyMDMuMTUgNDkuOTggMjAyLjgyIDU4Ljg3IDIwMi40NyA2Ny43NiAyMDIuMjQgODYuMDYg&#10;MjAxLjc1IDEwNC4zNiAyMDEuNDEgMTIyLjY3IDIwMSAxMjcuMjYgMjAwLjkgMTMxLjg1IDIwMC43&#10;OSAxMzYuNDQgMjAwLjY2IDE0MC45MSAyMDAuNTMgMTQ1LjM3IDIwMC4zMyAxNDkuODQgMjAwLjE1&#10;IDE1OS4yMyAxOTkuNzYgMTY4LjYzIDE5OS4zMSAxNzguMDMgMTk5LjAyIDE4Ny4wMyAxOTguNzQg&#10;MTk2LjA0IDE5OC41NCAyMDUuMDUgMTk4LjU3IDIxMy45OCAxOTguNiAyMjIuOTEgMTk4LjczIDIz&#10;MS44MyAxOTguODQgMjUwLjgyIDE5OS4wNiAyNjkuOCAxOTkuNjYgMjg4Ljc3IDIwMC4zNyAyOTQu&#10;MDEgMjAwLjU3IDI5OS4yNCAyMDAuNzYgMzA0LjQ4IDIwMC45NCAzMDQuMTkgMjAwLjkzIDMwMy45&#10;IDIwMC45MiAzMDMuNjEgMjAwLjkxIDMwNC40IDIwMC45NCAzMDUuMTkgMjAwLjk2IDMwNS45OCAy&#10;MDAuOTkgMzIzLjk3IDIwMS41OSAzNDEuOTggMjAxLjgxIDM1OS45OCAyMDIuMzQgMzY4LjA5IDIw&#10;Mi41OCAzNzYuMiAyMDIuODkgMzg0LjMxIDIwMy4yNSAzOTEuODMgMjAzLjU4IDM5OS4zNSAyMDMu&#10;OTQgNDA2Ljg3IDIwNC4yMSA0MTUuMzMgMjA0LjQ5IDQyMy44IDIwNC42NyA0MzIuMjcgMjA0Ljc5&#10;IDQ0MC44MSAyMDQuOTIgNDQ5LjM2IDIwNS4wNyA0NTcuOTEgMjA1IDQ2MC41MyAyMDQuOTggNDYz&#10;LjE2IDIwNC45NiA0NjUuNzggMjA0LjkxIDQ2Ni43NiAyMDQuODkgNDY3LjczIDIwNC44NiA0Njgu&#10;NyAyMDQuODMgNDY5LjExIDIwNC44MiA0NjkuNTEgMjA0LjgxIDQ2OS45MiAyMDQuNzkgNDcwLjEz&#10;IDIwNC43OSA0NzAuMzQgMjA0Ljc3IDQ3MC41NSAyMDQuNzYgNDcxLjAxIDIwNC43MyA0NzEuNDYg&#10;MjA0Ljc2IDQ3MS45MiAyMDQuNzcgNDcyLjAzIDIwNC43NyA0NzIuMTQgMjA0Ljc3IDQ3Mi4yNSAy&#10;MDQuNzggNDcyLjk3IDIwNC44OCA0NzMuNiAyMDUuMSA0NzQuMTYgMjA1LjQ1WiIgZmlsbD0iIzAx&#10;MDEwMSIvPjxwYXRoIGQ9Ik00NjQuNTQgMTg1Ljc0QzQ2NS4yMiAxODYuNDkgNDY1LjcxIDE4Ny4z&#10;MyA0NjYuMTkgMTg4LjE1IDQ2Ni45NyAxODkuNDYgNDY3LjY4IDE5MC44IDQ2OC4zNSAxOTIuMTUg&#10;NDY5LjY1IDE5NC43NyA0NzAuOTMgMTk3LjQgNDcyLjE3IDIwMC4wMyA0NzIuNzYgMjAxLjI4IDQ3&#10;My4yOCAyMDIuNTMgNDczLjc3IDIwMy44IDQ3NCAyMDQuMzkgNDc0LjI1IDIwNC45NyA0NzQuNDkg&#10;MjA1LjU2IDQ3NC42OCAyMDYuMDMgNDc0Ljg2IDIwNi41MSA0NzQuOTkgMjA2Ljk5IDQ3NS4xMSAy&#10;MDcuNDggNDc1LjA4IDIwNy45OCA0NzQuOTcgMjA4LjQ3IDQ3NC43NSAyMDkuMzYgNDczLjg0IDIx&#10;MC4xMiA0NzIuNjUgMjEwLjQyIDQ3Mi4wNCAyMTAuNTggNDcxLjQxIDIxMC42MSA0NzAuNzcgMjEw&#10;LjUzIDQ3MC40NyAyMTAuNDYgNDcwLjE2IDIxMC4zOSA0NjkuODUgMjEwLjMyIDQ2OS4yOCAyMTAu&#10;MTIgNDY4LjgxIDIwOS44NCA0NjguNDUgMjA5LjQ3IDQ2Ny42IDIwOC43NyA0NjcuMjUgMjA3Ljg0&#10;IDQ2Ni44NiAyMDYuOTggNDY2LjUxIDIwNi4yMiA0NjYuMTEgMjA1LjQ3IDQ2NS43MSAyMDQuNzIg&#10;NDY0Ljk2IDIwMy4zMyA0NjQuMyAyMDEuOTEgNDYzLjYxIDIwMC41MSA0NjIuOTYgMTk5LjE5IDQ2&#10;Mi4zMiAxOTcuODggNDYxLjc1IDE5Ni41NCA0NjEuMTYgMTk1LjE1IDQ2MC42MyAxOTMuNzUgNDYw&#10;LjExIDE5Mi4zNSA0NTkuNyAxOTEuMjcgNDU5LjMzIDE5MC4xOSA0NTguOTUgMTg5LjExIDQ1OC40&#10;MSAxODcuNTYgNDU3LjM3IDE4NC45OSA0NjAuMjMgMTg0LjIxIDQ2MC42MiAxODQuMTEgNDYwLjk5&#10;IDE4NC4wNyA0NjEuMzUgMTg0LjA4IDQ2Mi43MSAxODQuMTMgNDYzLjg0IDE4NC45NSA0NjQuNTcg&#10;MTg1Ljc2WiIgZmlsbD0iIzAxMDEwMSIvPjxwYXRoIGQ9Ik0xMi41MiAxODMuMDFDMTMuNTMgMTgz&#10;LjEgMTQuMjggMTgzLjY5IDE0Ljg4IDE4NC4yMSAxNS4zNSAxODQuNjMgMTUuNjcgMTg1LjEyIDE1&#10;LjkzIDE4NS42MiAxNi4zIDE4Ni4zMiAxNi41NyAxODcuMDcgMTYuODEgMTg3LjggMTcuMjggMTg5&#10;LjIgMTcuODYgMTkwLjU4IDE4LjU2IDE5MS45MyAxOS41OCAxOTMuOTEgMjAuNjUgMTk1Ljg4IDIx&#10;LjY0IDE5Ny44NyAyMi4zNyAxOTkuMzMgMjMuMDcgMjAwLjgxIDIzLjc3IDIwMi4yOCAyMy45MiAy&#10;MDIuNiAyNC4wNyAyMDIuOTMgMjQuMjMgMjAzLjI2IDI0LjMgMjAzLjQxIDI0LjM3IDIwMy41NSAy&#10;NC40NSAyMDMuNyAyNC42MSAyMDQuMDQgMjQuODYgMjA0LjQ1IDI0Ljg0IDIwNC43OSAyNC44OSAy&#10;MDUuMjEgMjQuNzggMjA1LjYgMjQuNTQgMjA1Ljk4IDI0LjI5IDIwNi4zNCAyMy45NCAyMDYuNjMg&#10;MjMuNDggMjA2Ljg2IDIzLjAyIDIwNy4wOCAyMi41MSAyMDcuMjEgMjEuOTUgMjA3LjI1IDIxLjE3&#10;IDIwNy4zIDIwLjE2IDIwNy4xMyAxOS42IDIwNi43MSAxOS4wOCAyMDYuMzIgMTguOTQgMjA2LjIg&#10;MTguNjMgMjA1LjcyIDE4LjU5IDIwNS42NiAxOC41NiAyMDUuNjEgMTguNTMgMjA1LjU2IDE4LjQ5&#10;IDIwNS41IDE4LjQ1IDIwNS40MyAxOC40MSAyMDUuMzYgMTguMzMgMjA1LjIzIDE4LjI2IDIwNS4x&#10;IDE4LjE5IDIwNC45NiAxOC4wMyAyMDQuNjcgMTcuODcgMjA0LjM5IDE3LjcyIDIwNC4xIDE3LjM2&#10;IDIwMy40MyAxNy4wNSAyMDIuNzQgMTYuNzIgMjAyLjA1IDE1LjkyIDIwMC4zNiAxNS4xMyAxOTgu&#10;NjcgMTQuMjQgMTk3IDEzLjY3IDE5NS45NSAxMy4wNiAxOTQuOTEgMTIuNDkgMTkzLjg3IDEyLjA2&#10;IDE5My4wNyAxMS42MyAxOTIuMjggMTEuMTcgMTkxLjQ4IDEwLjgzIDE5MC44OSAxMC41MSAxOTAu&#10;MyAxMC4xOCAxODkuNzEgOS43IDE4OC44NSA5LjM2IDE4Ny45NCA5LjEyIDE4Ny4wMyA4LjY5IDE4&#10;NS4zOSA5LjIzIDE4Mi44NyAxMi4yNyAxODIuOTkgMTIuMzUgMTgyLjk5IDEyLjQzIDE4Mi45OSAx&#10;Mi41MiAxODMuMDFaIiBmaWxsPSIjMDEwMTAxIi8+PHBhdGggZD0iTTYxNy41OCA5Mi4zM0M2MTgu&#10;MDcgOTIuMzUgNjE4LjU1IDkyLjU4IDYxOC45NCA5Mi43OCA2MTkuMzEgOTIuOTYgNjE5LjYgOTMu&#10;MjEgNjE5LjkgOTMuNDUgNjIwLjM2IDkzLjgxIDYyMC43MiA5NC4yMyA2MjEuMDcgOTQuNjUgNjIx&#10;Ljk0IDk1LjczIDYyMi42NCA5Ni44NyA2MjMuMzQgOTggNjI0LjQ4IDk5Ljg1IDYyNS41MiAxMDEu&#10;NzMgNjI2LjU4IDEwMy42IDYyNy4xIDEwNC41MyA2MjcuNjEgMTA1LjQ2IDYyOC4xMSAxMDYuNCA2&#10;MjguNzMgMTA3LjU0IDYyOS4zNiAxMDguNyA2MjkuNzkgMTA5Ljg5IDYzMCAxMTAuNSA2MzAuMjIg&#10;MTExLjEyIDYzMC4zIDExMS43NSA2MzAuMzcgMTEyLjMgNjMwLjMzIDExMi44NiA2MzAuMjIgMTEz&#10;LjQxIDYyOS45OSAxMTQuNDYgNjI5LjMyIDExNS4zOSA2MjguNDIgMTE2LjIyIDYyNy42IDExNi45&#10;OCA2MjYuNTYgMTE3LjY1IDYyNS41NSAxMTguMjggNjI0LjM4IDExOS4wMSA2MjMuMTUgMTE5LjY5&#10;IDYyMS45MiAxMjAuMzggNjIwLjY5IDEyMS4wNiA2MTkuNDcgMTIxLjc0IDYxOC4yMiAxMjIuNCA2&#10;MTYuOSAxMjMuMDkgNjE1LjU2IDEyMy43NiA2MTQuMjMgMTI0LjQ0IDYxMS41OCAxMjUuNzkgNjA4&#10;LjkxIDEyNy4xMiA2MDYuMjMgMTI4LjQ1IDYwMy40NCAxMjkuODIgNjAwLjczIDEzMS4yNiA1OTgu&#10;MSAxMzIuNzggNTk2LjU5IDEzMy42NSA1OTUuMDcgMTM0LjUyIDU5My41IDEzNS4zMyA1OTEuNzgg&#10;MTM2LjIzIDU5MC4wNyAxMzcuMTIgNTg4LjQyIDEzOC4wOCA1ODcuNyAxMzguNSA1ODYuNTQgMTM4&#10;LjMgNTg2LjAzIDEzNy43OSA1ODUuNzcgMTM3LjUyIDU4NS42NiAxMzcuMTkgNTg1Ljc0IDEzNi44&#10;OCA1ODUuODIgMTM2LjU0IDU4Ni4wOCAxMzYuMzEgNTg2LjQ0IDEzNi4wOSA1ODcuNTQgMTM1LjQy&#10;IDU4OC42MyAxMzQuNzUgNTg5LjcgMTM0LjA1IDU4OS42NyAxMzQuMDcgNTg5LjYzIDEzNC4wOSA1&#10;ODkuNiAxMzQuMTIgNTkyLjI2IDEzMi4zOSA1OTUuMDQgMTMwLjc1IDU5Ny43OCAxMjkuMDkgNjAw&#10;LjMxIDEyNy41NiA2MDIuOTYgMTI2LjE0IDYwNS42IDEyNC43IDYwNi44OSAxMjQgNjA4LjIxIDEy&#10;My4zMSA2MDkuNSAxMjIuNjEgNjEwLjg0IDEyMS44OCA2MTIuMTYgMTIxLjEyIDYxMy40NyAxMjAu&#10;MzYgNjE0LjcyIDExOS42NCA2MTUuOTggMTE4LjkyIDYxNy4yNyAxMTguMjMgNjE4LjU2IDExNy41&#10;NCA2MTkuODcgMTE2Ljg5IDYyMS4xOCAxMTYuMjIgNjIxLjg0IDExNS44OCA2MjIuNDggMTE1LjU0&#10;IDYyMy4wOSAxMTUuMTYgNjIzLjQ3IDExNC45IDYyMy44MiAxMTQuNjIgNjI0LjEzIDExNC4zMSA2&#10;MjQuMzQgMTE0LjA1IDYyNC41MiAxMTMuNzkgNjI0LjY3IDExMy41MSA2MjQuNzQgMTEzLjMxIDYy&#10;NC44IDExMy4xIDYyNC44MyAxMTIuOSA2MjQuODIgMTEyLjY4IDYyNC43OCAxMTIuNDUgNjI0Ljcy&#10;IDExMi4yMyA2MjQuNTYgMTExLjgzIDYyNC4zNiAxMTEuNDUgNjI0LjE2IDExMS4wNiA2MjMuODcg&#10;MTEwLjUxIDYyMy42IDEwOS45NSA2MjMuMzIgMTA5LjM5IDYyMi43OSAxMDguMzMgNjIyLjI4IDEw&#10;Ny4yNyA2MjEuNzMgMTA2LjIyIDYyMC43MiAxMDQuMjkgNjE5LjcgMTAyLjM2IDYxOC41NSAxMDAu&#10;NDcgNjE4LjI1IDk5Ljk3IDYxNy45NCA5OS40OCA2MTcuNjIgOTguOTkgNjE3LjIzIDk4LjM5IDYx&#10;Ni44MSA5Ny43OSA2MTYuNDIgOTcuMTkgNjE2LjA1IDk2LjYyIDYxNS42NiA5Ni4wNCA2MTUuNDEg&#10;OTUuNDQgNjE1LjEyIDk0LjczIDYxNC44NyA5My44NyA2MTUuMzQgOTMuMTcgNjE1LjQ5IDkyLjk0&#10;IDYxNS43MiA5Mi43NSA2MTYuMDIgOTIuNTkgNjE2LjE4IDkyLjUzIDYxNi4zMyA5Mi40OCA2MTYu&#10;NDkgOTIuNDIgNjE2Ljc2IDkyLjM1IDYxNy4wNCA5Mi4zMiA2MTcuMzMgOTIuMzMgNjE3LjQxIDky&#10;LjMzIDYxNy40OSA5Mi4zMyA2MTcuNTcgOTIuMzVaIiBmaWxsPSIjMDEwMTAxIi8+PHBhdGggZD0i&#10;TTI2LjY1IDE4OS4yNUMyNi43MSAxODkuMzQgMjYuNzMgMTg5LjQ1IDI2Ljc1IDE4OS41NCAyNi43&#10;OSAxODkuNzIgMjYuODMgMTg5LjkgMjYuODggMTkwLjA3IDI3LjAxIDE5MC41MiAyNy4xNCAxOTAu&#10;OTggMjcuMjggMTkxLjQ0IDI3LjU4IDE5Mi40MiAyNy45MSAxOTMuNCAyOC4yNSAxOTQuMzggMjgu&#10;MjMgMTk0LjMzIDI4LjIxIDE5NC4yNyAyOC4xOSAxOTQuMjIgMjguNyAxOTUuNjIgMjkuMjUgMTk3&#10;LjAxIDI5LjgzIDE5OC40IDMwLjM3IDE5OS43MyAzMC45NCAyMDEuMDYgMzEuNDIgMjAyLjQgMzEu&#10;NzYgMjAzLjMzIDMyLjAyIDIwNC4yNiAzMi4yOSAyMDUuMTkgMzIuMzggMjA1LjQ5IDMxLjk1IDIw&#10;NS43OSAzMS40NyAyMDUuODkgMzEuMTYgMjA1Ljk1IDMwLjgyIDIwNS45NCAzMC41MyAyMDUuODUg&#10;MzAuMjcgMjA1Ljc3IDMwIDIwNS42MiAyOS45MyAyMDUuNDYgMjkuNjMgMjA0Ljc1IDI5LjI5IDIw&#10;NC4wNSAyOS4wMSAyMDMuMzQgMjguNzQgMjAyLjY2IDI4LjQ4IDIwMS45NyAyOC4yMiAyMDEuMjgg&#10;MjcuNjggMTk5Ljg0IDI3LjE4IDE5OC40IDI2LjczIDE5Ni45NSAyNi4xMSAxOTQuOTYgMjUuNiAx&#10;OTIuOTYgMjQuOTEgMTkwLjk3IDI0LjkxIDE5MC45NyAyNC45MSAxOTAuOTggMjQuOTEgMTkwLjk5&#10;IDI0Ljc5IDE5MC42NyAyNC42OCAxOTAuMzQgMjQuNDkgMTkwLjAzIDI0LjQ0IDE4OS45NCAyNC4z&#10;NiAxODkuODUgMjQuMjkgMTg5Ljc1IDI0LjIgMTg5LjYyIDI0LjE1IDE4OS40NSAyNC4yMiAxODku&#10;MzEgMjQuMzcgMTg4Ljk5IDI0Ljc1IDE4OC43OCAyNS4zNCAxODguNzQgMjUuNDEgMTg4Ljc0IDI1&#10;LjQ3IDE4OC43NCAyNS41MyAxODguNzQgMjYuMDUgMTg4Ljc2IDI2LjQ1IDE4OC45OSAyNi42NCAx&#10;ODkuMjZaIiBmaWxsPSIjMDEwMTAxIi8+PHBhdGggZD0iTTM4LjkyIDE5Ni4yOUMzOC45MiAxOTYu&#10;MjkgMzguOTIgMTk2LjMgMzguOTIgMTk2LjMxIDM4LjkgMTk2LjI2IDM4Ljg4IDE5Ni4yMSAzOC44&#10;NiAxOTYuMTVMMzguOTEgMTk2LjI5Wk0zOC4zIDE4OC44M0MzOC42NiAxODguOTEgMzguOTQgMTg5&#10;LjExIDM5LjE1IDE4OS4yOSAzOS4zNiAxODkuNDggMzkuNTEgMTg5LjcgMzkuNjYgMTg5LjkgMzku&#10;OSAxOTAuMjMgNDAuMTIgMTkwLjU2IDQwLjMyIDE5MC44OSA0MC43NCAxOTEuNiA0MS4xMyAxOTIu&#10;MzEgNDEuNDkgMTkzLjAyIDQyLjE5IDE5NC40MSA0Mi43OCAxOTUuODEgNDMuMzMgMTk3LjIyIDQz&#10;LjU4IDE5Ny44NSA0My44MiAxOTguNDkgNDQuMDUgMTk5LjEzIDQ0LjAyIDE5OS4wMyA0My45OCAx&#10;OTguOTQgNDMuOTUgMTk4Ljg0IDQ0LjAyIDE5OS4wNSA0NC4xIDE5OS4yNiA0NC4xNyAxOTkuNDcg&#10;NDQuMTQgMTk5LjM3IDQ0LjEgMTk5LjI4IDQ0LjA3IDE5OS4xOCA0NC40NiAyMDAuMjUgNDQuODIg&#10;MjAxLjMzIDQ1LjEyIDIwMi40MiA0NS4xNCAyMDIuNjEgNDUuMDggMjAyLjc5IDQ0LjkzIDIwMi45&#10;NiA0NC43MiAyMDMuMiA0NC4zNCAyMDMuMzkgNDMuODggMjAzLjQ3IDQyLjk4IDIwMy42NCA0MS44&#10;MyAyMDMuMzcgNDEuNTUgMjAyLjgyIDQwLjUgMjAwLjcxIDM5Ljc0IDE5OC41NiAzOC45NyAxOTYu&#10;NDEgMzguOTggMTk2LjQ0IDM4Ljk5IDE5Ni40NyAzOSAxOTYuNTEgMzguOTcgMTk2LjQ0IDM4Ljk1&#10;IDE5Ni4zNyAzOC45MyAxOTYuM0wzOC45MyAxOTYuMzNDMzguOTMgMTk2LjMzIDM4LjkzIDE5Ni4z&#10;IDM4LjkzIDE5Ni4yOCAzOC45IDE5Ni4yIDM4Ljg4IDE5Ni4xMiAzOC44NSAxOTYuMDQgMzguODYg&#10;MTk2LjA3IDM4Ljg3IDE5Ni4xMSAzOC44OCAxOTYuMTQgMzguODIgMTk1Ljk3IDM4Ljc2IDE5NS44&#10;IDM4LjcgMTk1LjY0IDM4LjcyIDE5NS42OSAzOC43NCAxOTUuNzQgMzguNzYgMTk1LjggMzguMzYg&#10;MTk0LjcyIDM3Ljk2IDE5My42NCAzNy41MyAxOTIuNTYgMzcuMzIgMTkyLjA0IDM3LjEyIDE5MS41&#10;MyAzNi45MiAxOTEuMDEgMzYuNzkgMTkwLjY5IDM2LjY4IDE5MC4zNyAzNi41NiAxOTAuMDUgMzYu&#10;NDUgMTg5Ljc0IDM2LjQxIDE4OS40NCAzNi42NCAxODkuMTMgMzYuNzYgMTg4Ljk3IDM3LjA2IDE4&#10;OC44NCAzNy4zNSAxODguNzggMzcuNSAxODguNzUgMzcuNjUgMTg4Ljc0IDM3Ljc5IDE4OC43NSAz&#10;Ny45NiAxODguNzUgMzguMTMgMTg4Ljc4IDM4LjMxIDE4OC44MloiIGZpbGw9IiMwMTAxMDEiLz48&#10;cGF0aCBkPSJNNTYuNTUgMTg4LjUxQzU2Ljg3IDE4OC42NCA1Ny4wMiAxODguOSA1Ny4xNCAxODku&#10;MDkgNTcuMjYgMTg5LjI5IDU3LjM2IDE4OS40OCA1Ny40NiAxODkuNjggNTcuNjUgMTkwLjA5IDU3&#10;Ljg0IDE5MC41IDU4LjAyIDE5MC45MSA1OC40IDE5MS43NiA1OC43NiAxOTIuNjIgNTkuMSAxOTMu&#10;NDggNTkuNzggMTk1LjIyIDYwLjQxIDE5Ni45NiA2MS4wNSAxOTguNyA2MS4wOCAxOTguNzkgNjEu&#10;MTEgMTk4Ljg4IDYxLjE1IDE5OC45NyA2MS4xMyAxOTguOTIgNjEuMTIgMTk4Ljg3IDYxLjEgMTk4&#10;LjgyIDYxLjM1IDE5OS41MiA2MS42IDIwMC4yMiA2MS44MSAyMDAuOTIgNjIgMjAxLjU1IDYxLjg3&#10;IDIwMi4xOCA2MS45MSAyMDIuODIgNjEuOTMgMjAzLjIyIDYxLjU0IDIwMy41OSA2MC44NiAyMDMu&#10;NzIgNjAuMDMgMjAzLjg4IDU5LjE5IDIwMy42MiA1OC44OCAyMDMuMTcgNTguNTkgMjAyLjc1IDU4&#10;LjI1IDIwMi4zNSA1Ny45NCAyMDEuOTMgNTcuOCAyMDEuNzQgNTcuNzMgMjAxLjUzIDU3LjY1IDIw&#10;MS4zMiA1Ny41MyAyMDEuMDMgNTcuNDMgMjAwLjczIDU3LjMyIDIwMC40MyA1Ny4wMSAxOTkuNTUg&#10;NTYuNzQgMTk4LjY4IDU2LjQ4IDE5Ny44IDU1Ljk2IDE5Ni4wNiA1NS41IDE5NC4zMiA1NS4wNSAx&#10;OTIuNTggNTQuODggMTkxLjkzIDU0LjcxIDE5MS4yOCA1NC41NiAxOTAuNjIgNTQuNDkgMTkwLjMx&#10;IDU0LjQyIDE4OS45OSA1NC4zOSAxODkuNjggNTQuMzUgMTg5LjMxIDU0LjI5IDE4OC44NyA1NC43&#10;NyAxODguNTcgNTQuOTkgMTg4LjQzIDU1LjMxIDE4OC4zNCA1NS42NCAxODguMzMgNTUuNjkgMTg4&#10;LjMzIDU1Ljc1IDE4OC4zMyA1NS43OSAxODguMzMgNTYuMDkgMTg4LjMzIDU2LjMyIDE4OC40MSA1&#10;Ni41OCAxODguNTFaIiBmaWxsPSIjMDEwMTAxIi8+PHBhdGggZD0iTTcxLjU3IDE4Ny41N0M3Mi4y&#10;OCAxODcuNzggNzIuNDcgMTg4LjI5IDcyLjY3IDE4OC42OSA3Mi44NSAxODkuMDUgNzIuOTkgMTg5&#10;LjQxIDczLjEzIDE4OS43OCA3My40NiAxOTAuNjIgNzMuNzcgMTkxLjQ2IDc0LjA3IDE5Mi4zMSA3&#10;NC42OSAxOTQuMDQgNzUuMjggMTk1Ljc4IDc1LjggMTk3LjUyIDc2LjE0IDE5OC42NCA3Ni40MiAx&#10;OTkuNzcgNzYuNjggMjAwLjkgNzYuODEgMjAxLjQ3IDc2Ljk0IDIwMi4wNCA3Ny4wNCAyMDIuNjEg&#10;NzcuMDkgMjAyLjg4IDc3LjEzIDIwMy4xNSA3Ny4xNSAyMDMuNDIgNzcuMTkgMjAzLjgxIDc3LjEg&#10;MjA0LjIgNzcuMDUgMjA0LjU5IDc2Ljk4IDIwNC43OCA3Ni44MyAyMDQuOTUgNzYuNiAyMDUuMSA3&#10;Ni4yNyAyMDUuMzEgNzUuOCAyMDUuNDQgNzUuMyAyMDUuNDYgNzQuNDMgMjA1LjUgNzMuNjQgMjA1&#10;LjE5IDczLjM1IDIwNC43MyA3My4yMiAyMDQuNTMgNzMuMDkgMjA0LjMyIDcyLjk3IDIwNC4xMiA3&#10;Mi44MSAyMDMuODQgNzIuNzQgMjAzLjU0IDcyLjY0IDIwMy4yNCA3Mi41MSAyMDIuODYgNzIuNCAy&#10;MDIuNDcgNzIuMyAyMDIuMDggNzIuMDggMjAxLjI0IDcxLjg3IDIwMC4zOSA3MS42OCAxOTkuNTUg&#10;NzEuMyAxOTcuOSA3MC45NyAxOTYuMjQgNzAuNjcgMTk0LjU5IDcwLjQ2IDE5My40IDcwLjIzIDE5&#10;Mi4yMSA3MC4wMyAxOTEuMDIgNjkuOTQgMTkwLjQ4IDY5Ljg0IDE4OS45NCA2OS44IDE4OS40IDY5&#10;Ljc4IDE4OS4xMyA2OS43NyAxODguODYgNjkuNzggMTg4LjU5IDY5LjggMTg4LjIzIDY5Ljg4IDE4&#10;Ny44MyA3MC40NiAxODcuNjEgNzAuNjYgMTg3LjUzIDcwLjg5IDE4Ny41IDcxLjEyIDE4Ny41MSA3&#10;MS4yNyAxODcuNTEgNzEuNDEgMTg3LjU0IDcxLjU1IDE4Ny41N1oiIGZpbGw9IiMwMTAxMDEiLz48&#10;cGF0aCBkPSJNODkuNzggMTg4LjM4Qzg5LjgzIDE4OC40NCA4OS44OCAxODguNSA4OS45MiAxODgu&#10;NTUgOTAuMDcgMTg4Ljc1IDkwLjE4IDE4OC45NSA5MC4yOSAxODkuMTYgOTAuNTYgMTg5LjY4IDkw&#10;LjcxIDE5MC4yMSA5MC44OCAxOTAuNzQgOTEuMTggMTkxLjY3IDkxLjQyIDE5Mi42MSA5MS42NyAx&#10;OTMuNTQgOTIuMTcgMTk1LjQgOTIuNjIgMTk3LjI4IDkzLjAzIDE5OS4xNSA5My4xOCAxOTkuODEg&#10;OTMuMzEgMjAwLjQ4IDkzLjQ1IDIwMS4xNCA5My41OCAyMDEuODMgOTMuNzQgMjAyLjUzIDkzLjc2&#10;IDIwMy4yMyA5My43OCAyMDMuNzcgOTMuMjYgMjA0LjI3IDkyLjMyIDIwNC40NiA5MS43OCAyMDQu&#10;NTYgOTEuMTggMjA0LjU0IDkwLjY3IDIwNC4zOSA5MC4yMiAyMDQuMjYgODkuNzQgMjA0IDg5LjYy&#10;IDIwMy43IDg5LjIgMjAyLjcxIDg5IDIwMS42OSA4OC43OCAyMDAuNjcgODguNTggMTk5LjczIDg4&#10;LjQxIDE5OC43OCA4OC4yNCAxOTcuODQgODcuOTEgMTk1Ljk2IDg3LjY2IDE5NC4wOSA4Ny40NCAx&#10;OTIuMjEgODcuMzYgMTkxLjUyIDg3LjI4IDE5MC44NCA4Ny4yNCAxOTAuMTUgODcuMjIgMTg5Ljgx&#10;IDg3LjIyIDE4OS40NiA4Ny4yNSAxODkuMTIgODcuMjggMTg4Ljg2IDg3LjMyIDE4OC42NCA4Ny40&#10;OCAxODguMzkgODcuNDMgMTg4LjA0IDg3Ljk2IDE4Ny43MyA4OC41NSAxODcuNzEgODguNiAxODcu&#10;NzEgODguNjQgMTg3LjcxIDg4LjY5IDE4Ny43MSA4OS4zIDE4Ny43MyA4OS44MiAxODguMDMgODku&#10;NzkgMTg4LjM4WiIgZmlsbD0iIzAxMDEwMSIvPjxwYXRoIGQ9Ik0xMDMuODcgMTg3LjM1QzEwNC40&#10;MyAxODcuNTEgMTA0LjYxIDE4Ny44OSAxMDQuNzUgMTg4LjIxIDEwNC44OCAxODguNTEgMTA1IDE4&#10;OC44IDEwNS4xMyAxODkuMSAxMDUuMzkgMTg5LjczIDEwNS42MyAxOTAuMzYgMTA1Ljg4IDE5MC45&#10;OSAxMDYuMzggMTkyLjI1IDEwNi44NyAxOTMuNTIgMTA3LjM1IDE5NC43OSAxMDcuNDkgMTk1LjE3&#10;IDEwNy42MyAxOTUuNTYgMTA3Ljc3IDE5NS45NCAxMDcuODIgMTk2LjA2IDEwNy44NSAxOTYuMTgg&#10;MTA3LjkgMTk2LjMgMTA3Ljg3IDE5Ni4yMiAxMDcuODUgMTk2LjE1IDEwNy44MiAxOTYuMDcgMTA3&#10;LjgyIDE5Ni4wNyAxMDcuODIgMTk2LjA3IDEwNy44MiAxOTYuMDcgMTA4LjY0IDE5OC4zNSAxMDku&#10;MzkgMjAwLjY1IDEwOS42OCAyMDIuOTggMTA5LjczIDIwMy4zNiAxMDkuMzEgMjAzLjcxIDEwOC42&#10;OCAyMDMuODMgMTA3LjkzIDIwMy45OCAxMDcuMDUgMjAzLjc0IDEwNi44IDIwMy4zMSAxMDYuMDYg&#10;MjAyLjAyIDEwNS42IDIwMC42OSAxMDUuMTUgMTk5LjM3IDEwNC44MiAxOTguNDEgMTA0LjUyIDE5&#10;Ny40NCAxMDQuMjQgMTk2LjQ3IDEwNC4yMSAxOTYuNDEgMTA0LjE5IDE5Ni4zNCAxMDQuMTggMTk2&#10;LjI4IDEwNC4xMSAxOTYuMDMgMTA0LjAzIDE5NS43OCAxMDMuOTYgMTk1LjUyIDEwMy42IDE5NC4y&#10;MyAxMDMuMjYgMTkyLjk1IDEwMi45MyAxOTEuNjYgMTAyLjc3IDE5MS4wMiAxMDIuNiAxOTAuMzgg&#10;MTAyLjQ0IDE4OS43NCAxMDIuMzcgMTg5LjQ0IDEwMi4zMSAxODkuMTMgMTAyLjI2IDE4OC44MiAx&#10;MDIuMjQgMTg4LjY4IDEwMi4yMiAxODguNTQgMTAyLjIyIDE4OC40IDEwMi4yMiAxODguMjIgMTAy&#10;LjIxIDE4OC4wNCAxMDIuMjkgMTg3Ljg3IDEwMi4zOSAxODcuNjcgMTAyLjUxIDE4Ny41MSAxMDIu&#10;ODMgMTg3LjM4IDEwMy4wMSAxODcuMzEgMTAzLjI0IDE4Ny4yOCAxMDMuNDYgMTg3LjI4IDEwMy42&#10;MSAxODcuMjggMTAzLjc1IDE4Ny4zMSAxMDMuODggMTg3LjM0WiIgZmlsbD0iIzAxMDEwMSIvPjxw&#10;YXRoIGQ9Ik0xMjIuMjIgMTg3LjM1QzEyMi45OSAxODcuNDggMTIzLjE1IDE4Ny45OCAxMjMuMjcg&#10;MTg4LjM3IDEyMy4zNyAxODguNzEgMTIzLjQ0IDE4OS4wNSAxMjMuNDkgMTg5LjQgMTIzLjYgMTkw&#10;LjEzIDEyMy42OCAxOTAuODYgMTIzLjc2IDE5MS41OSAxMjMuOTMgMTkzLjA2IDEyNC4xMiAxOTQu&#10;NTQgMTI0LjM3IDE5Ni4wMSAxMjQuNTMgMTk2Ljk1IDEyNC43MSAxOTcuODkgMTI0Ljg5IDE5OC44&#10;MyAxMjUuMDcgMTk5LjgxIDEyNS4yNSAyMDAuNzggMTI1LjI4IDIwMS43NiAxMjUuMyAyMDIuMjUg&#10;MTI0Ljg0IDIwMi42OSAxMjQgMjAyLjg1IDEyMy41MiAyMDIuOTQgMTIyLjk5IDIwMi45MiAxMjIu&#10;NTMgMjAyLjc5IDEyMi4xMyAyMDIuNjggMTIxLjY5IDIwMi40NCAxMjEuNTkgMjAyLjE4IDEyMS4y&#10;NiAyMDEuMzUgMTIxLjA2IDIwMC41MSAxMjAuOSAxOTkuNjcgMTIwLjc2IDE5OC45NSAxMjAuNjQg&#10;MTk4LjIzIDEyMC41NiAxOTcuNSAxMjAuMzkgMTk2LjAzIDEyMC4yOSAxOTQuNTYgMTIwLjMyIDE5&#10;My4wOSAxMjAuMzQgMTkyLjAzIDEyMC40MSAxOTAuOTcgMTIwLjU1IDE4OS45MiAxMjAuNjEgMTg5&#10;LjQ3IDEyMC43IDE4OS4wMiAxMjAuODEgMTg4LjU3IDEyMC44NyAxODguMzIgMTIwLjk2IDE4OC4w&#10;NyAxMjEuMTIgMTg3LjgzIDEyMS4xOSAxODcuNzIgMTIxLjI4IDE4Ny42MSAxMjEuNDIgMTg3LjUz&#10;IDEyMS41OSAxODcuNDMgMTIxLjg0IDE4Ny4zMyAxMjIuMSAxODcuMzQgMTIyLjE0IDE4Ny4zNCAx&#10;MjIuMTggMTg3LjM0IDEyMi4yMiAxODcuMzVaIiBmaWxsPSIjMDEwMTAxIi8+PHBhdGggZD0iTTEz&#10;NC4zMyAxODcuNjhDMTM0Ljk1IDE4Ny43NiAxMzUuMjIgMTg4LjE2IDEzNS4zNyAxODguNDcgMTM1&#10;LjU5IDE4OC45IDEzNS43IDE4OS4zNSAxMzUuODIgMTg5Ljc5IDEzNi4wNCAxOTAuNTUgMTM2LjE5&#10;IDE5MS4zMSAxMzYuMzIgMTkyLjA3IDEzNi42IDE5My42NiAxMzYuNzkgMTk1LjI1IDEzNyAxOTYu&#10;ODQgMTM3LjIgMTk4LjM1IDEzNy40MSAxOTkuODcgMTM3LjU5IDIwMS4zOSAxMzcuNjggMjAyLjE2&#10;IDEzNy43NCAyMDIuOTIgMTM3LjgyIDIwMy42OSAxMzcuOTEgMjA0LjUyIDEzOC4wMiAyMDUuMzUg&#10;MTM4LjE2IDIwNi4xOCAxMzguMjYgMjA2Ljc3IDEzNy40IDIwNy4zIDEzNi4zOCAyMDcuMzQgMTM1&#10;LjMyIDIwNy4zOCAxMzQuNDQgMjA2LjkyIDEzNC4zNCAyMDYuMzMgMTM0LjA2IDIwNC43MiAxMzMu&#10;NzMgMjAzLjExIDEzMy41MyAyMDEuNSAxMzMuMzMgMTk5LjkzIDEzMy4zMSAxOTguMzUgMTMzLjI3&#10;IDE5Ni43OCAxMzMuMjMgMTk1LjIxIDEzMy4yIDE5My42NCAxMzMuMTMgMTkyLjA4IDEzMy4wOSAx&#10;OTEuMzEgMTMzLjA1IDE5MC41NCAxMzMgMTg5Ljc3IDEzMi45OCAxODkuMzQgMTMyLjk1IDE4OC45&#10;MSAxMzMuMDIgMTg4LjQ5IDEzMy4wNyAxODguMTcgMTMzLjQ5IDE4Ny42NiAxMzQuMTcgMTg3LjY4&#10;IDEzNC4yMiAxODcuNjggMTM0LjI2IDE4Ny42OCAxMzQuMzEgMTg3LjY5WiIgZmlsbD0iIzAxMDEw&#10;MSIvPjxwYXRoIGQ9Ik0xNTAuMzUgMTg3LjQ4QzE1MC42NyAxODcuNjMgMTUwLjg0IDE4Ny44NiAx&#10;NTAuOTYgMTg4LjA4IDE1MS4xIDE4OC4zMiAxNTEuMTcgMTg4LjU3IDE1MS4yNCAxODguODIgMTUx&#10;LjM1IDE4OS4yMiAxNTEuNDIgMTg5LjYxIDE1MS40OSAxOTAuMDIgMTUxLjYyIDE5MC44MSAxNTEu&#10;NyAxOTEuNiAxNTEuNzggMTkyLjM4IDE1MS45NCAxOTQuMDEgMTUyLjAyIDE5NS42NSAxNTIuMDkg&#10;MTk3LjI5IDE1Mi4xNCAxOTguMzUgMTUyLjE5IDE5OS40MSAxNTIuMTggMjAwLjQ3IDE1Mi4xNyAy&#10;MDEuNTggMTUyLjEzIDIwMi42OCAxNTIuMiAyMDMuNzkgMTUyLjI0IDIwNC4zOSAxNTEuNDggMjA0&#10;LjkzIDE1MC4zOSAyMDQuOTcgMTQ5LjM1IDIwNS4wMSAxNDguMzcgMjA0LjU1IDE0OC4zMSAyMDMu&#10;OTUgMTQ4LjE2IDIwMi4zIDE0Ny45IDIwMC42NiAxNDcuODggMTk5LjAxIDE0Ny44NSAxOTcuMzcg&#10;MTQ3LjkgMTk1Ljc0IDE0Ny45MiAxOTQuMTEgMTQ3Ljk0IDE5My4wNSAxNDcuOTUgMTkxLjk4IDE0&#10;Ny45NyAxOTAuOTIgMTQ3Ljk4IDE5MC40MiAxNDcuOTkgMTg5LjkyIDE0OC4wMSAxODkuNDIgMTQ4&#10;LjAzIDE4OS4wOCAxNDguMDMgMTg4Ljc1IDE0OC4xIDE4OC40MSAxNDguMTIgMTg4LjMgMTQ4LjE1&#10;IDE4OC4xOSAxNDguMiAxODguMDggMTQ4LjI4IDE4Ny45IDE0OC40IDE4Ny42OCAxNDguNjUgMTg3&#10;LjU0IDE0OC44OSAxODcuNDIgMTQ5LjEzIDE4Ny4zMyAxNDkuNDYgMTg3LjMxIDE0OS41MSAxODcu&#10;MzEgMTQ5LjU2IDE4Ny4zMSAxNDkuNiAxODcuMzEgMTQ5Ljg4IDE4Ny4zMSAxNTAuMTMgMTg3LjM4&#10;IDE1MC4zNCAxODcuNDhaIiBmaWxsPSIjMDEwMTAxIi8+PHBhdGggZD0iTTE2Ni42OSAxODcuMjRD&#10;MTY3LjExIDE4Ny40NSAxNjcuMTkgMTg3LjczIDE2Ny4yOCAxODguMDMgMTY3LjM0IDE4OC4yMiAx&#10;NjcuMzYgMTg4LjQyIDE2Ny4zOSAxODguNjIgMTY3LjQ0IDE4OS4wMyAxNjcuNDcgMTg5LjQzIDE2&#10;Ny41IDE4OS44MyAxNjcuNTYgMTkwLjYzIDE2Ny41OSAxOTEuNDIgMTY3LjYzIDE5Mi4yMiAxNjcu&#10;NzEgMTkzLjgxIDE2Ny44MSAxOTUuMzkgMTY3Ljg1IDE5Ni45NyAxNjcuODcgMTk3LjcgMTY3Ljg3&#10;IDE5OC40MiAxNjcuODEgMTk5LjE1IDE2Ny43NSAxOTkuOTIgMTY3LjY2IDIwMC42OCAxNjcuNjUg&#10;MjAxLjQ1IDE2Ny42NSAyMDEuNzUgMTY3LjUzIDIwMi4wMiAxNjcuMTcgMjAyLjI2IDE2Ni44NCAy&#10;MDIuNDcgMTY2LjM2IDIwMi42IDE2NS44NyAyMDIuNjIgMTY0Ljg0IDIwMi42NiAxNjMuODUgMjAy&#10;LjIgMTYzLjgxIDIwMS42IDE2My43NSAyMDAuNzYgMTYzLjYzIDE5OS45MiAxNjMuNTMgMTk5LjA4&#10;IDE2My40NSAxOTguMzIgMTYzLjQ1IDE5Ny41NiAxNjMuNDcgMTk2LjgxIDE2My41MSAxOTUuMTgg&#10;MTYzLjYxIDE5My41NSAxNjMuNzEgMTkxLjkxIDE2My43NiAxOTEuMDkgMTYzLjg0IDE5MC4yNyAx&#10;NjMuOTUgMTg5LjQ1IDE2NCAxODkuMDkgMTY0LjA2IDE4OC43NCAxNjQuMTQgMTg4LjM4IDE2NC4x&#10;OSAxODguMiAxNjQuMjUgMTg4LjAzIDE2NC4zNCAxODcuODYgMTY0LjQ1IDE4Ny42NSAxNjQuNTQg&#10;MTg3LjUzIDE2NC43NiAxODcuMzYgMTY0LjkzIDE4Ny4yMyAxNjUuMTUgMTg3LjE2IDE2NS40MSAx&#10;ODcuMDkgMTY1LjU1IDE4Ny4wNSAxNjUuNzEgMTg3LjA0IDE2NS44NiAxODcuMDUgMTY2LjE2IDE4&#10;Ny4wNSAxNjYuNDYgMTg3LjEzIDE2Ni42NyAxODcuMjRaIiBmaWxsPSIjMDEwMTAxIi8+PHBhdGgg&#10;ZD0iTTE4Mi40IDE4Ny4wOEMxODIuNjIgMTg3LjExIDE4Mi43OCAxODcuMTcgMTgyLjkgMTg3LjI2&#10;IDE4My4wNyAxODcuMzYgMTgzLjE4IDE4Ny40OSAxODMuMjYgMTg3LjYzIDE4My4zMyAxODcuNzQg&#10;MTgzLjM1IDE4Ny44NyAxODMuMzkgMTg3Ljk4IDE4My40MyAxODguMDkgMTgzLjQ2IDE4OC4xOSAx&#10;ODMuNDggMTg4LjMgMTgzLjU3IDE4OC43IDE4My42MiAxODkuMSAxODMuNjYgMTg5LjUgMTgzLjc0&#10;IDE5MC4yOSAxODMuNzYgMTkxLjA5IDE4My43NyAxOTEuODkgMTgzLjggMTkzLjU4IDE4My44MiAx&#10;OTUuMjggMTgzLjg1IDE5Ni45NyAxODMuODggMTk4LjI2IDE4My44MSAxOTkuNTUgMTgzLjg1IDIw&#10;MC44NCAxODMuODUgMjAxLjEyIDE4My43MyAyMDEuMzcgMTgzLjQgMjAxLjU4IDE4My4wOSAyMDEu&#10;NzggMTgyLjY2IDIwMS45IDE4Mi4yIDIwMS45MSAxODEuMjYgMjAxLjk1IDE4MC4zNCAyMDEuNTIg&#10;MTgwLjMxIDIwMC45OCAxODAuMjYgMjAwLjEzIDE4MC4xOSAxOTkuMjcgMTgwLjE2IDE5OC40MiAx&#10;ODAuMTMgMTk3LjYxIDE4MC4xNiAxOTYuNzkgMTgwLjIgMTk1Ljk3IDE4MC4yOCAxOTQuMzIgMTgw&#10;LjQgMTkyLjY4IDE4MC41NiAxOTEuMDMgMTgwLjYzIDE5MC4zMiAxODAuNzEgMTg5LjYxIDE4MC44&#10;MSAxODguOSAxODAuODYgMTg4LjYgMTgwLjkxIDE4OC4yOSAxODEgMTg4IDE4MS4wOCAxODcuNzQg&#10;MTgxLjE5IDE4Ny40NCAxODEuNTQgMTg3LjI2IDE4MS41NCAxODcuMjYgMTgxLjU0IDE4Ny4yNiAx&#10;ODEuNTQgMTg3LjI2IDE4MS43MSAxODcuMTQgMTgyIDE4Ny4wOCAxODIuMjcgMTg3LjA5IDE4Mi4z&#10;MSAxODcuMDkgMTgyLjM1IDE4Ny4wOSAxODIuMzkgMTg3LjA5WiIgZmlsbD0iIzAxMDEwMSIvPjxw&#10;YXRoIGQ9Ik0xOTAuNjggMTg4LjNDMTkwLjY4IDE4OC4zIDE5MC42OCAxODguMyAxOTAuNjkgMTg4&#10;LjMgMTkwLjcgMTg4LjMgMTkwLjcyIDE4OC4zIDE5MC43MyAxODguM0wxOTAuNjggMTg4LjNaTTE5&#10;Mi42IDE4Ni44M0MxOTIuNiAxODYuODMgMTkyLjYgMTg2LjgzIDE5Mi42IDE4Ni44MyAxOTIuNiAx&#10;ODYuODMgMTkyLjYgMTg2LjgzIDE5Mi42IDE4Ni44M1pNMTkyLjU0IDE4Ni44MUMxOTIuNTQgMTg2&#10;LjgxIDE5Mi41OSAxODYuODMgMTkyLjYxIDE4Ni44NCAxOTIuNjEgMTg2Ljg0IDE5Mi42MSAxODYu&#10;ODQgMTkyLjYgMTg2Ljg0IDE5Mi41OCAxODYuODQgMTkyLjU2IDE4Ni44MyAxOTIuNTQgMTg2Ljgy&#10;Wk0xOTIuODYgMTg2LjkzQzE5Mi44NiAxODYuOTMgMTkyLjk0IDE4NyAxOTIuOTcgMTg3LjA0IDE5&#10;My4wNCAxODcuMDkgMTkzLjEgMTg3LjE0IDE5My4xNSAxODcuMiAxOTMuMzggMTg3LjQ1IDE5My41&#10;NSAxODcuNyAxOTMuNjkgMTg3Ljk3IDE5My45NyAxODguNTMgMTk0LjExIDE4OS4xMiAxOTQuMjUg&#10;MTg5LjcgMTk0LjQ4IDE5MC42OSAxOTQuNTkgMTkxLjcgMTk0LjczIDE5Mi43IDE5NC44NiAxOTMu&#10;NzIgMTk0Ljk5IDE5NC43MyAxOTUuMTggMTk1Ljc1IDE5NS4yNyAxOTYuMjIgMTk1LjMzIDE5Ni43&#10;IDE5NS4zNyAxOTcuMTcgMTk1LjQxIDE5Ny44MSAxOTUuMjQgMTk4LjQzIDE5NS4wNiAxOTkuMDYg&#10;MTk0Ljg5IDE5OS42MyAxOTMuOTYgMjAwLjA2IDE5Mi45NiAyMDAuMSAxOTEuOSAyMDAuMTQgMTkx&#10;LjAxIDE5OS43NiAxOTAuNjUgMTk5LjIxIDE5MC40OSAxOTguOTcgMTkwLjMzIDE5OC43MiAxOTAu&#10;MTkgMTk4LjQ4IDE4OS45OSAxOTguMTMgMTg5Ljg5IDE5Ny43NyAxODkuNzkgMTk3LjQxIDE4OS42&#10;NSAxOTYuOTQgMTg5LjYgMTk2LjQ3IDE4OS41NiAxOTYgMTg5LjQ2IDE5NC45OSAxODkuNDIgMTkz&#10;Ljk4IDE4OS4zNSAxOTIuOTcgMTg5LjI4IDE5MS45NSAxODkuMjUgMTkwLjkzIDE4OS4yNSAxODku&#10;OTEgMTg5LjI1IDE4OS4zMyAxODkuMyAxODguNzUgMTg5LjM5IDE4OC4xNyAxODkuNDQgMTg3Ljg1&#10;IDE4OS41NiAxODcuNDYgMTg5Ljg2IDE4Ny4xNSAxODkuOTggMTg2Ljk1IDE5MC4yMSAxODYuNzcg&#10;MTkwLjU0IDE4Ni42NSAxOTAuODUgMTg2LjU0IDE5MS4yIDE4Ni40OSAxOTEuNTUgMTg2LjUgMTky&#10;LjA4IDE4Ni41MiAxOTIuNTkgMTg2LjY3IDE5Mi44OSAxODYuOTNaIiBmaWxsPSIjMDEwMTAxIi8+&#10;PHBhdGggZD0iTTIwNi40OSAxODguNjRDMjA3LjAxIDE4OC44MSAyMDcuMzMgMTg5LjA1IDIwNy41&#10;MSAxODkuMzggMjA3LjY2IDE4OS42NSAyMDcuNzQgMTg5Ljk0IDIwNy44MiAxOTAuMjIgMjA3Ljk2&#10;IDE5MC42OSAyMDguMDggMTkxLjE1IDIwOC4xOCAxOTEuNjIgMjA4LjM5IDE5Mi41NSAyMDguNTMg&#10;MTkzLjQ5IDIwOC42NSAxOTQuNDIgMjA4Ljc3IDE5NS4zNyAyMDguOTEgMTk2LjMyIDIwOS4wNCAx&#10;OTcuMjggMjA5LjEgMTk3LjczIDIwOS4xNiAxOTguMTcgMjA5LjE3IDE5OC42MiAyMDkuMTggMTk5&#10;LjA1IDIwOS4xNyAxOTkuNDggMjA5LjE3IDE5OS45MSAyMDkuMTcgMTk5Ljk3IDIwOS4xNyAyMDAu&#10;MDMgMjA5LjE3IDIwMC4xIDIwOS4xNyAyMDAuNCAyMDkuMDMgMjAwLjY4IDIwOC42NiAyMDAuOTIg&#10;MjA4LjMyIDIwMS4xMyAyMDcuODMgMjAxLjI2IDIwNy4zMyAyMDEuMjggMjA2LjggMjAxLjMgMjA2&#10;LjI4IDIwMS4xOSAyMDUuODkgMjAwLjk5IDIwNS40OSAyMDAuNzggMjA1LjMzIDIwMC41MyAyMDUu&#10;MjUgMjAwLjIzIDIwNSAxOTkuMzMgMjA0LjggMTk4LjQzIDIwNC43IDE5Ny41MiAyMDQuNjEgMTk2&#10;LjU5IDIwNC41MiAxOTUuNjUgMjA0LjQyIDE5NC43MiAyMDQuMzEgMTkzLjc4IDIwNC4yMiAxOTIu&#10;ODMgMjA0LjE0IDE5MS44OCAyMDQuMSAxOTEuNDEgMjA0LjA2IDE5MC45NCAyMDQuMDMgMTkwLjQ3&#10;IDIwNC4wMiAxOTAuMjYgMjA0LjAxIDE5MC4wNCAyMDQuMDIgMTg5LjgzIDIwNC4wMyAxODkuNDcg&#10;MjA0LjA5IDE4OS4xMiAyMDQuNTQgMTg4LjgzIDIwNC41NCAxODguODMgMjA0LjU0IDE4OC44MyAy&#10;MDQuNTUgMTg4LjgzIDIwNC44NyAxODguNjMgMjA1LjM3IDE4OC41MiAyMDUuODUgMTg4LjUzIDIw&#10;Ni4wNiAxODguNTMgMjA2LjI3IDE4OC41NyAyMDYuNDYgMTg4LjYzWiIgZmlsbD0iIzAxMDEwMSIv&#10;PjxwYXRoIGQ9Ik0yMjIuMSAxOTQuMzhDMjIyLjEyIDE5NC40NCAyMjIuMTQgMTk0LjUxIDIyMi4x&#10;NiAxOTQuNTcgMjIyLjE0IDE5NC41MSAyMjIuMTIgMTk0LjQ0IDIyMi4xIDE5NC4zOFpNMjIwLjE1&#10;IDE4OC43M0MyMjAuNjUgMTg4Ljk5IDIyMC43MyAxODkuNDggMjIwLjg2IDE4OS44MyAyMjEuMDUg&#10;MTkwLjM3IDIyMS4xOSAxOTAuOTEgMjIxLjMyIDE5MS40NSAyMjEuNTUgMTkyLjQyIDIyMS43OSAx&#10;OTMuNCAyMjIuMSAxOTQuMzYgMjIyLjQ5IDE5NS40OSAyMjIuODMgMTk2LjYyIDIyMy4xMyAxOTcu&#10;NzYgMjIzLjQgMTk4LjggMjIzLjcxIDE5OS44NCAyMjMuODUgMjAwLjkgMjIzLjkyIDIwMS40NiAy&#10;MjMuMjYgMjAyIDIyMi4zMiAyMDIuMTcgMjIxLjc3IDIwMi4yNyAyMjEuMTUgMjAyLjI1IDIyMC42&#10;MyAyMDIuMSAyMjAuMTUgMjAxLjk2IDIxOS42NSAyMDEuNjggMjE5LjUzIDIwMS4zNyAyMTguNzcg&#10;MTk5LjQ5IDIxOC41MyAxOTcuNTYgMjE4LjQzIDE5NS42MyAyMTguMzggMTk0LjYyIDIxOC4zOCAx&#10;OTMuNiAyMTguMjggMTkyLjU5IDIxOC4xOSAxOTEuNjYgMjE4LjAyIDE5MC43MiAyMTcuOTcgMTg5&#10;Ljc4IDIxNy45NiAxODkuNTQgMjE3LjkyIDE4OS4yNSAyMTguMDYgMTg5LjAxIDIxOC4xMyAxODgu&#10;ODQgMjE4LjMyIDE4OC42OCAyMTguNTggMTg4LjU5IDIxOC44IDE4OC41MSAyMTkuMDUgMTg4LjQ4&#10;IDIxOS4zIDE4OC40OCAyMTkuNjIgMTg4LjQ5IDIxOS45MyAxODguNTcgMjIwLjE1IDE4OC43MVoi&#10;IGZpbGw9IiMwMTAxMDEiLz48cGF0aCBkPSJNMjM1LjkxIDE5MC4zNUMyMzYuMDcgMTkwLjQzIDIz&#10;Ni4xOSAxOTAuNTMgMjM2LjI2IDE5MC42MyAyMzYuNTIgMTkwLjg0IDIzNi42NSAxOTEuMSAyMzYu&#10;NzYgMTkxLjM1IDIzNi45OCAxOTEuODMgMjM3LjEyIDE5Mi4zMiAyMzcuMjIgMTkyLjgxIDIzNy40&#10;MiAxOTMuNzIgMjM3LjU4IDE5NC42MiAyMzcuNzQgMTk1LjUzIDIzOC4wNiAxOTcuMzIgMjM4LjY1&#10;IDE5OS4xIDIzOC42OCAyMDAuOSAyMzguNjggMjAxLjQxIDIzOC4yIDIwMS44NyAyMzcuMzIgMjAy&#10;LjAzIDIzNi4zNSAyMDIuMjEgMjM1LjA4IDIwMS45MSAyMzQuODIgMjAxLjMxIDIzNC4wMiAxOTku&#10;NDcgMjM0IDE5Ny41OCAyMzMuNzIgMTk1LjcgMjMzLjU5IDE5NC44IDIzMy40NSAxOTMuOSAyMzMu&#10;MzMgMTkzIDIzMy4yNyAxOTIuNTcgMjMzLjIyIDE5Mi4xNCAyMzMuMjYgMTkxLjcxIDIzMy4yOSAx&#10;OTEuNDMgMjMzLjMxIDE5MS4xNyAyMzMuNDQgMTkwLjkyIDIzMy40NCAxOTAuODcgMjMzLjQ1IDE5&#10;MC44MyAyMzMuNDcgMTkwLjc5IDIzMy41NyAxOTAuNSAyMzMuOTYgMTkwLjI2IDIzNC40NSAxOTAu&#10;MTcgMjM0LjYyIDE5MC4xNCAyMzQuODEgMTkwLjEyIDIzNC45OSAxOTAuMTMgMjM1LjMyIDE5MC4x&#10;NCAyMzUuNjUgMTkwLjIxIDIzNS45IDE5MC4zNFoiIGZpbGw9IiMwMTAxMDEiLz48cGF0aCBkPSJN&#10;MjQ5LjA4IDE4OC4yQzI0OS4xNCAxODguMjUgMjQ5LjE4IDE4OC4zIDI0OS4yMiAxODguMzYgMjQ5&#10;LjQ0IDE4OC42MiAyNDkuNSAxODguOTIgMjQ5LjU4IDE4OS4yMSAyNDkuNjkgMTg5LjU4IDI0OS43&#10;OCAxODkuOTUgMjQ5Ljg2IDE5MC4zMiAyNTAuMDQgMTkxLjA5IDI1MC4yMiAxOTEuODcgMjUwLjM5&#10;IDE5Mi42NCAyNTAuNzQgMTk0LjE5IDI1MS4xMiAxOTUuNzMgMjUxLjYyIDE5Ny4yNiAyNTEuOTUg&#10;MTk4LjIyIDI1Mi4yOSAxOTkuMTggMjUyLjUzIDIwMC4xNSAyNTIuNjMgMjAwLjU4IDI1Mi43MiAy&#10;MDEuMDEgMjUyLjc4IDIwMS40NSAyNTIuODEgMjAxLjY3IDI1Mi44NCAyMDEuODkgMjUyLjg2IDIw&#10;Mi4xIDI1Mi44OCAyMDIuMzkgMjUyLjg2IDIwMi42OCAyNTIuODMgMjAyLjk3IDI1Mi44NSAyMDMu&#10;MTEgMjUyLjc5IDIwMy4yNSAyNTIuNjggMjAzLjM4IDI1Mi41MSAyMDMuNTcgMjUyLjIxIDIwMy43&#10;MiAyNTEuODUgMjAzLjc4IDI1MS4xIDIwMy45MiAyNTAuMzMgMjAzLjY4IDI1MC4wNiAyMDMuMjcg&#10;MjQ5LjkgMjAzLjAzIDI0OS43MyAyMDIuNzkgMjQ5LjYgMjAyLjU0IDI0OS41IDIwMi4zNCAyNDku&#10;NDIgMjAyLjE0IDI0OS4zMyAyMDEuOTUgMjQ5LjEzIDIwMS40NyAyNDguOTQgMjAwLjk5IDI0OC43&#10;OSAyMDAuNSAyNDguNTEgMTk5LjYgMjQ4LjMxIDE5OC43IDI0OC4xMiAxOTcuNzkgMjQ3Ljc1IDE5&#10;NS45NCAyNDcuMzQgMTk0LjA5IDI0Ny4wMyAxOTIuMjQgMjQ2LjkxIDE5MS41NiAyNDYuOCAxOTAu&#10;ODggMjQ2LjcgMTkwLjIxIDI0Ni42NSAxODkuODggMjQ2LjYxIDE4OS41NSAyNDYuNTkgMTg5LjIz&#10;IDI0Ni41NyAxODguOTQgMjQ2LjU0IDE4OC41OSAyNDYuNzkgMTg4LjMxIDI0Ni44IDE4OC4zIDI0&#10;Ni44MSAxODguMjggMjQ2LjgyIDE4OC4yNyAyNDcuMDMgMTg4LjA0IDI0Ny40NSAxODcuODggMjQ3&#10;LjkxIDE4Ny44NiAyNDcuOTYgMTg3Ljg2IDI0OC4wMSAxODcuODYgMjQ4LjA2IDE4Ny44NiAyNDgu&#10;NDcgMTg3Ljg3IDI0OC44NiAxODggMjQ5LjA4IDE4OC4yWiIgZmlsbD0iIzAxMDEwMSIvPjxwYXRo&#10;IGQ9Ik0yNjIuNiAxOTEuMjdDMjYzLjQyIDE5MS40NiAyNjMuODMgMTkyIDI2NC4xNiAxOTIuNDMg&#10;MjY0LjM5IDE5Mi43MyAyNjQuNTMgMTkzLjA2IDI2NC42NyAxOTMuMzkgMjY0Ljk2IDE5NC4wNSAy&#10;NjUuMTkgMTk0LjczIDI2NS40MiAxOTUuNCAyNjUuODggMTk2LjcyIDI2Ni4yMyAxOTguMDYgMjY2&#10;LjY2IDE5OS4zOCAyNjYuNzcgMTk5LjY3IDI2Ni44OSAxOTkuOTcgMjY2LjkyIDIwMC4yNyAyNjYu&#10;OTQgMjAwLjU2IDI2Ni45NCAyMDAuODUgMjY2LjkzIDIwMS4xNCAyNjYuOTIgMjAxLjY0IDI2Ni40&#10;NyAyMDIuMDkgMjY1LjYgMjAyLjI1IDI2NS4xMSAyMDIuMzQgMjY0LjU4IDIwMi4zMiAyNjQuMTIg&#10;MjAyLjE4IDI2My42MyAyMDIuMDQgMjYzLjM2IDIwMS44MiAyNjMuMTUgMjAxLjU0IDI2Mi45MyAy&#10;MDEuMjYgMjYyLjczIDIwMC45OCAyNjIuNTYgMjAwLjY5IDI2Mi4zNSAyMDAuMzQgMjYyLjI4IDE5&#10;OS45NyAyNjIuMTcgMTk5LjYxIDI2MS43NCAxOTguMzcgMjYxLjMxIDE5Ny4xMyAyNjAuOTIgMTk1&#10;Ljg4IDI2MC43MiAxOTUuMjMgMjYwLjUzIDE5NC41OCAyNjAuMzQgMTkzLjkzIDI2MC4yNCAxOTMu&#10;NjEgMjYwLjE1IDE5My4yOSAyNjAuMDUgMTkyLjk2IDI1OS45NiAxOTIuNjYgMjU5LjgyIDE5Mi4y&#10;OCAyNTkuOTkgMTkxLjk4IDI2MC4xNSAxOTEuNyAyNjAuMzQgMTkxLjQ4IDI2MC43OSAxOTEuMzIg&#10;MjYxLjEzIDE5MS4yIDI2MS40OCAxOTEuMTUgMjYxLjg1IDE5MS4xNiAyNjIuMSAxOTEuMTYgMjYy&#10;LjM2IDE5MS4yIDI2Mi42MSAxOTEuMjZaIiBmaWxsPSIjMDEwMTAxIi8+PHBhdGggZD0iTTI3Ni44&#10;MyAxOTEuMjZDMjc3LjM3IDE5MS4zOSAyNzcuNjYgMTkxLjcyIDI3Ny44NSAxOTIuMDEgMjc3Ljk3&#10;IDE5Mi4xOSAyNzguMDUgMTkyLjM3IDI3OC4xMSAxOTIuNTUgMjc4LjI5IDE5My4wNSAyNzguNDYg&#10;MTkzLjU1IDI3OC42MSAxOTQuMDUgMjc4Ljg3IDE5NC44OSAyNzkuMDUgMTk1LjczIDI3OS4yNCAx&#10;OTYuNTcgMjc5LjQzIDE5Ny40IDI3OS41OCAxOTguMjMgMjc5LjgxIDE5OS4wNSAyNzkuOTIgMTk5&#10;LjQ0IDI4MC4wNCAxOTkuODQgMjgwLjE1IDIwMC4yMyAyODAuMjEgMjAwLjQ0IDI4MC4yNiAyMDAu&#10;NjUgMjgwLjMxIDIwMC44NiAyODAuMzMgMjAwLjk0IDI4MC4zNiAyMDEuMDMgMjgwLjM3IDIwMS4x&#10;MiAyODAuNCAyMDEuMzQgMjgwLjM3IDIwMS41NSAyODAuMzIgMjAxLjc3IDI4MC4yNCAyMDEuOTgg&#10;MjgwLjA3IDIwMi4xNyAyNzkuODEgMjAyLjM0IDI3OS40NCAyMDIuNTcgMjc4LjkyIDIwMi43MSAy&#10;NzguMzggMjAyLjczIDI3Ny40IDIwMi43NiAyNzYuNTkgMjAyLjQxIDI3Ni4yNSAyMDEuOTEgMjc1&#10;Ljk0IDIwMS40NCAyNzUuOSAyMDAuOTEgMjc1LjgxIDIwMC40MiAyNzUuNzQgMjAwLjAyIDI3NS42&#10;OSAxOTkuNjIgMjc1LjY0IDE5OS4yMyAyNzUuNTMgMTk4LjQxIDI3NS4zMyAxOTcuNiAyNzUuMTcg&#10;MTk2Ljc5IDI3NSAxOTUuOTQgMjc0Ljg0IDE5NS4wOSAyNzQuNjggMTk0LjI0IDI3NC42MSAxOTMu&#10;ODMgMjc0LjUzIDE5My40MiAyNzQuNDggMTkzLjAyIDI3NC40NiAxOTIuODMgMjc0LjQ1IDE5Mi42&#10;NCAyNzQuNDcgMTkyLjQ0IDI3NC40OSAxOTIuMjkgMjc0LjQ4IDE5Mi4xMSAyNzQuNTcgMTkxLjk2&#10;IDI3NC42NiAxOTEuOCAyNzQuNzcgMTkxLjU4IDI3NS4wMSAxOTEuNDYgMjc1LjE5IDE5MS4zNSAy&#10;NzUuNDEgMTkxLjI3IDI3NS42NiAxOTEuMjIgMjc1Ljg0IDE5MS4xOSAyNzYuMDIgMTkxLjE3IDI3&#10;Ni4xOSAxOTEuMTggMjc2LjQgMTkxLjE4IDI3Ni42MSAxOTEuMjIgMjc2LjgyIDE5MS4yN1oiIGZp&#10;bGw9IiMwMTAxMDEiLz48cGF0aCBkPSJNMjg4LjYyIDE5MS43MUMyODkuMjUgMTkxLjkxIDI4OS40&#10;OSAxOTIuMjcgMjg5LjYzIDE5Mi42NCAyODkuNzYgMTkyLjk4IDI4OS44NCAxOTMuMzMgMjg5Ljkz&#10;IDE5My42OCAyOTAuMDcgMTk0LjIzIDI5MC4xNyAxOTQuNzkgMjkwLjI3IDE5NS4zNCAyOTAuNDgg&#10;MTk2LjU0IDI5MC42MiAxOTcuNzQgMjkwLjcyIDE5OC45NSAyOTAuNzYgMTk5LjQ1IDI5MC4wOSAx&#10;OTkuOSAyODkuMTkgMTk5LjkzIDI4OC43NSAxOTkuOTUgMjg4LjMxIDE5OS44NiAyODcuOTkgMTk5&#10;LjY5IDI4Ny42NSAxOTkuNTEgMjg3LjUzIDE5OS4zMSAyODcuNDYgMTk5LjA2IDI4Ny4xMSAxOTcu&#10;ODcgMjg2Ljg0IDE5Ni42OCAyODYuNjQgMTk1LjQ4IDI4Ni41NSAxOTQuOTQgMjg2LjQ3IDE5NC4z&#10;OSAyODYuNDMgMTkzLjg1IDI4Ni40MSAxOTMuNTcgMjg2LjM4IDE5My4yOCAyODYuNCAxOTMgMjg2&#10;LjQzIDE5Mi41NCAyODYuNDcgMTkyLjA1IDI4Ny4yMyAxOTEuNzYgMjg3LjQ3IDE5MS42NyAyODcu&#10;NzggMTkxLjYyIDI4OC4wOCAxOTEuNjMgMjg4LjI3IDE5MS42MyAyODguNDYgMTkxLjY2IDI4OC42&#10;MyAxOTEuNzJaIiBmaWxsPSIjMDEwMTAxIi8+PHBhdGggZD0iTTI5OC44NiAxOTAuMDdDMjk5LjIz&#10;IDE5MC4xNyAyOTkuNSAxOTAuMzUgMjk5LjY5IDE5MC41NSAyOTkuOTEgMTkwLjc4IDMwMC4wOCAx&#10;OTEuMDIgMzAwLjIyIDE5MS4yNyAzMDAuNDUgMTkxLjY4IDMwMC42IDE5Mi4xIDMwMC43NSAxOTIu&#10;NTIgMzAxLjA3IDE5My40MyAzMDEuMzEgMTk0LjM0IDMwMS41MiAxOTUuMjUgMzAxLjkzIDE5Ny4w&#10;MSAzMDIuMjggMTk4Ljc3IDMwMi41NiAyMDAuNTMgMzAyLjY3IDIwMS4yMSAzMDIuNzggMjAxLjg5&#10;IDMwMi44MSAyMDIuNTggMzAyLjgzIDIwMy4wNyAzMDIuMzQgMjAzLjUxIDMwMS41MSAyMDMuNjcg&#10;MzAxLjAzIDIwMy43NiAzMDAuNTEgMjAzLjc0IDMwMC4wNiAyMDMuNjEgMjk5LjY1IDIwMy40OSAy&#10;OTkuMjIgMjAzLjI1IDI5OS4xMiAyMDIuOTggMjk4Ljc0IDIwMi4wNSAyOTguNSAyMDEuMDkgMjk4&#10;LjI5IDIwMC4xNCAyOTguMSAxOTkuMjggMjk3LjkzIDE5OC40MiAyOTcuNzggMTk3LjU3IDI5Ny40&#10;OSAxOTUuODEgMjk3LjI2IDE5NC4wNSAyOTcuMTEgMTkyLjI5IDI5Ny4wOSAxOTEuOTggMjk3LjA2&#10;IDE5MS42NyAyOTcuMDYgMTkxLjM2IDI5Ny4wNiAxOTEuMDQgMjk3LjAzIDE5MC42NiAyOTcuMzEg&#10;MTkwLjM3IDI5Ny41NSAxOTAuMTMgMjk3Ljk3IDE5MCAyOTguNDEgMTkwLjAxIDI5OC41NiAxOTAu&#10;MDEgMjk4LjcxIDE5MC4wNCAyOTguODYgMTkwLjA4WiIgZmlsbD0iIzAxMDEwMSIvPjxwYXRoIGQ9&#10;Ik0zMTMuMDUgMTkyLjI2QzMxMy40IDE5Mi40MiAzMTMuNjEgMTkyLjY3IDMxMy43NiAxOTIuOSAz&#10;MTMuODYgMTkzLjA1IDMxMy45MiAxOTMuMjEgMzEzLjk4IDE5My4zNyAzMTQuMTUgMTkzLjgyIDMx&#10;NC4yOCAxOTQuMjYgMzE0LjM4IDE5NC43MSAzMTQuNTUgMTk1LjQ1IDMxNC42OSAxOTYuMTkgMzE0&#10;LjggMTk2LjkzIDMxNC45MiAxOTcuNjUgMzE1LjAyIDE5OC4zNyAzMTUuMTMgMTk5LjA5IDMxNS4x&#10;OCAxOTkuNDQgMzE1LjI1IDE5OS43OSAzMTUuMjkgMjAwLjE1IDMxNS4zNCAyMDAuNjUgMzE1LjIz&#10;IDIwMS4xNiAzMTUuMTMgMjAxLjY2IDMxNS4wMyAyMDIuMTUgMzE0LjE0IDIwMi41MiAzMTMuMzIg&#10;MjAyLjU1IDMxMi40NSAyMDIuNTggMzExLjYgMjAyLjI2IDMxMS4zNCAyMDEuNzkgMzExLjA4IDIw&#10;MS4zMiAzMTAuODUgMjAwLjg2IDMxMC43NCAyMDAuMzcgMzEwLjY3IDIwMC4wMyAzMTAuNjIgMTk5&#10;LjY4IDMxMC41NiAxOTkuMzQgMzEwLjQ1IDE5OC42MSAzMTAuMzIgMTk3Ljg4IDMxMC4yMiAxOTcu&#10;MTUgMzEwLjEyIDE5Ni40MSAzMTAuMDMgMTk1LjY4IDMwOS45NyAxOTQuOTQgMzA5Ljk0IDE5NC41&#10;NiAzMDkuOSAxOTQuMTggMzA5LjkxIDE5My44IDMwOS45MSAxOTMuMzEgMzA5LjkxIDE5Mi42OSAz&#10;MTAuNTcgMTkyLjMyIDMxMC45IDE5Mi4xNCAzMTEuMjggMTkyLjAyIDMxMS43NSAxOTIgMzExLjgy&#10;IDE5MiAzMTEuODggMTkyIDMxMS45NCAxOTIgMzEyLjM1IDE5Mi4wMSAzMTIuNjkgMTkyLjExIDMx&#10;My4wMiAxOTIuMjVaIiBmaWxsPSIjMDEwMTAxIi8+PHBhdGggZD0iTTMyNi45IDE5MS44MkMzMjcu&#10;MzggMTkxLjkzIDMyNy42NiAxOTIuMjUgMzI3Ljc5IDE5Mi41MSAzMjcuOTMgMTkyLjc3IDMyOC4w&#10;MSAxOTMuMDQgMzI4LjA5IDE5My4zIDMyOC4yMyAxOTMuNzIgMzI4LjM0IDE5NC4xNSAzMjguNDQg&#10;MTk0LjU4IDMyOC42NCAxOTUuNDMgMzI4LjgxIDE5Ni4yNyAzMjkuMDEgMTk3LjEyIDMyOS4zOSAx&#10;OTguNzkgMzI5LjY4IDIwMC40NiAzMjkuOTUgMjAyLjE0IDMzMC4xMiAyMDMuMjEgMzMwLjM2IDIw&#10;NC4yNyAzMzAuNDcgMjA1LjM0IDMzMC41MiAyMDUuODMgMzI5Ljk3IDIwNi4zIDMyOS4xNCAyMDYu&#10;NDUgMzI4LjY2IDIwNi41NCAzMjguMTIgMjA2LjUyIDMyNy42NiAyMDYuMzkgMzI3LjI0IDIwNi4y&#10;NyAzMjYuOCAyMDYuMDIgMzI2LjcgMjA1Ljc1IDMyNi4zMyAyMDQuODMgMzI2LjEzIDIwMy45IDMy&#10;NS45MSAyMDIuOTYgMzI1LjcyIDIwMi4xNiAzMjUuNTIgMjAxLjM3IDMyNS4zNSAyMDAuNTcgMzI1&#10;IDE5OC44NSAzMjQuNzYgMTk3LjEyIDMyNC42OSAxOTUuMzkgMzI0LjY3IDE5NC44MiAzMjQuNjYg&#10;MTk0LjI0IDMyNC42OSAxOTMuNjcgMzI0LjcxIDE5My4zNCAzMjQuNzIgMTkzIDMyNC44MiAxOTIu&#10;NjcgMzI0Ljg2IDE5Mi41MSAzMjQuOTMgMTkyLjMyIDMyNS4wOCAxOTIuMTggMzI1LjIxIDE5Mi4w&#10;NiAzMjUuMzUgMTkxLjkzIDMyNS41OSAxOTEuODYgMzI1Ljg3IDE5MS43OCAzMjYuMTIgMTkxLjc0&#10;IDMyNi4zOSAxOTEuNzUgMzI2LjU1IDE5MS43NSAzMjYuNzIgMTkxLjc4IDMyNi45IDE5MS44Mloi&#10;IGZpbGw9IiMwMTAxMDEiLz48cGF0aCBkPSJNMzQwLjI4IDE5Mi4wMUMzNDAuNyAxOTIuMTkgMzQw&#10;LjkyIDE5Mi41IDM0MS4xMiAxOTIuNzYgMzQxLjI4IDE5Mi45NyAzNDEuMzggMTkzLjIgMzQxLjQ3&#10;IDE5My40MiAzNDEuNzEgMTkzLjk4IDM0MS44OCAxOTQuNTYgMzQyLjAzIDE5NS4xNCAzNDIuMyAx&#10;OTYuMTUgMzQyLjUxIDE5Ny4xNyAzNDIuNzIgMTk4LjE4IDM0Mi45NCAxOTkuMTcgMzQzLjE0IDIw&#10;MC4xNSAzNDMuMzYgMjAxLjEzIDM0My41OCAyMDIuMTIgMzQzLjg1IDIwMy4wOSAzNDQuMTEgMjA0&#10;LjA4IDM0NC4xOSAyMDQuMzcgMzQ0LjI2IDIwNC42NiAzNDQuMzIgMjA0Ljk2IDM0NC40NCAyMDUu&#10;NTIgMzQzLjcgMjA2LjA3IDM0Mi43OSAyMDYuMjQgMzQyLjIzIDIwNi4zNCAzNDEuNjEgMjA2LjMy&#10;IDM0MS4wOSAyMDYuMTcgMzQwLjYxIDIwNi4wMyAzNDAuMSAyMDUuNzUgMzM5Ljk4IDIwNS40NCAz&#10;MzkuMTkgMjAzLjQyIDMzOC42NSAyMDEuMzUgMzM4LjIxIDE5OS4yOSAzMzggMTk4LjI5IDMzNy44&#10;MSAxOTcuMjggMzM3LjYzIDE5Ni4yOCAzMzcuNTQgMTk1Ljc4IDMzNy40NyAxOTUuMjggMzM3LjM5&#10;IDE5NC43OCAzMzcuMzEgMTk0LjMgMzM3LjIzIDE5My44MiAzMzcuMjMgMTkzLjM0IDMzNy4yMyAx&#10;OTMuMTMgMzM3LjI1IDE5Mi45MSAzMzcuMzEgMTkyLjcxIDMzNy4zOCAxOTIuNDcgMzM3LjU4IDE5&#10;Mi4yOSAzMzcuODQgMTkyLjEgMzM4LjA5IDE5MS45MSAzMzguNiAxOTEuOCAzMzkuMDEgMTkxLjc4&#10;IDMzOS4wOCAxOTEuNzggMzM5LjE0IDE5MS43OCAzMzkuMjEgMTkxLjc4IDMzOS42MSAxOTEuNzkg&#10;MzM5Ljk0IDE5MS44OSAzNDAuMjggMTkyLjAzWiIgZmlsbD0iIzAxMDEwMSIvPjxwYXRoIGQ9Ik0z&#10;NjAuMzkgMjAyLjg4QzM2MC40MSAyMDIuOTUgMzYwLjQ0IDIwMy4wMiAzNjAuNDYgMjAzLjA5IDM2&#10;MC40NCAyMDMuMDIgMzYwLjQxIDIwMi45NSAzNjAuMzkgMjAyLjg4Wk0zNTkuMjMgMTk5LjEzQzM1&#10;OS4yMyAxOTkuMTMgMzU5LjI1IDE5OS4xOCAzNTkuMjYgMTk5LjIxIDM1OS4yNiAxOTkuMTggMzU5&#10;LjI0IDE5OS4xNiAzNTkuMjMgMTk5LjEzWk0zNTUuNTggMTkyLjNDMzU3LjAzIDE5Mi40NyAzNTcu&#10;NDYgMTkzLjI4IDM1Ny43MSAxOTQgMzU3Ljk0IDE5NC42NSAzNTguMTQgMTk1LjMxIDM1OC4zMyAx&#10;OTUuOTcgMzU4LjY1IDE5Ny4wNiAzNTguOTEgMTk4LjE2IDM1OS4yNyAxOTkuMjUgMzU5LjQ5IDE5&#10;OS44OSAzNTkuNzIgMjAwLjUyIDM1OS45MSAyMDEuMTYgMzYwLjA3IDIwMS43MyAzNjAuMiAyMDIu&#10;MyAzNjAuMzkgMjAyLjg2IDM2MC41MSAyMDMuMjEgMzYwLjYzIDIwMy41NyAzNjAuNzQgMjAzLjky&#10;IDM2MC43NiAyMDQuMTcgMzYwLjY4IDIwNC40MSAzNjAuNDcgMjA0LjY0IDM2MC4xNyAyMDQuOTcg&#10;MzU5LjY1IDIwNS4yMyAzNTkuMDMgMjA1LjM0IDM1OC40MSAyMDUuNDYgMzU3LjcyIDIwNS40MiAz&#10;NTcuMTMgMjA1LjI2IDM1Ni41OSAyMDUuMTEgMzU2LjA0IDIwNC43OSAzNTUuODkgMjA0LjQ0IDM1&#10;NS40NiAyMDMuMzkgMzU1LjA5IDIwMi4zMyAzNTQuNzUgMjAxLjI4IDM1NC40MyAyMDAuMyAzNTQu&#10;MjUgMTk5LjMxIDM1NC4wMiAxOTguMzIgMzUzLjggMTk3LjM5IDM1My41OSAxOTYuNDcgMzUzLjQg&#10;MTk1LjU0IDM1My4zMSAxOTUuMDcgMzUzLjIyIDE5NC42MSAzNTMuMTQgMTk0LjE0IDM1My4xIDE5&#10;My44NiAzNTMuMSAxOTMuNjEgMzUzLjE0IDE5My4zMyAzNTMuMjIgMTkyLjczIDM1NC4yNiAxOTIu&#10;MjUgMzU1LjMgMTkyLjI4IDM1NS4zOSAxOTIuMjggMzU1LjQ4IDE5Mi4yOCAzNTUuNTcgMTkyLjNa&#10;IiBmaWxsPSIjMDEwMTAxIi8+PHBhdGggZD0iTTM2OS42MSAxOTEuODZDMzY5Ljk5IDE5Mi4wNyAz&#10;NzAuMTUgMTkyLjI1IDM3MC4zOCAxOTIuNTIgMzcwLjY0IDE5Mi44MyAzNzAuNzkgMTkzLjE2IDM3&#10;MC45MyAxOTMuNDggMzcxLjI5IDE5NC4yOSAzNzEuNDggMTk1LjEyIDM3MS43MSAxOTUuOTQgMzcy&#10;LjEgMTk3LjM3IDM3Mi40NCAxOTguOCAzNzIuNzIgMjAwLjIzIDM3Mi44NiAyMDAuOTEgMzcxLjgx&#10;IDIwMS41MSAzNzAuNjYgMjAxLjU1IDM3MC4wNyAyMDEuNTcgMzY5LjQ4IDIwMS40NSAzNjkuMDUg&#10;MjAxLjIzIDM2OC41OSAyMDAuOTkgMzY4LjQ0IDIwMC43MiAzNjguMzMgMjAwLjM4IDM2Ny45MSAx&#10;OTguOTYgMzY3LjYgMTk3LjU0IDM2Ny4yOSAxOTYuMTEgMzY3LjEzIDE5NS4zOSAzNjYuOTggMTk0&#10;LjY3IDM2Ni44NCAxOTMuOTUgMzY2Ljc4IDE5My42NCAzNjYuNzIgMTkzLjMyIDM2Ni42NyAxOTMu&#10;MDEgMzY2LjU4IDE5Mi40NiAzNjYuNzcgMTkxLjgxIDM2Ny44NiAxOTEuNjIgMzY4LjA2IDE5MS41&#10;OSAzNjguMjcgMTkxLjU3IDM2OC40OCAxOTEuNTggMzY4LjkgMTkxLjU5IDM2OS4zMiAxOTEuNjkg&#10;MzY5LjYxIDE5MS44NVoiIGZpbGw9IiMwMTAxMDEiLz48cGF0aCBkPSJNMzc5Ljk1IDE4OS4zM0Mz&#10;NzkuOTkgMTg5LjM5IDM4MCAxODkuNDYgMzgwLjAxIDE4OS41MiAzODAuMDYgMTg5LjU4IDM4MC4x&#10;MSAxODkuNjUgMzgwLjE1IDE4OS43MSAzODAuMjkgMTg5Ljk1IDM4MC40IDE5MC4yIDM4MC41MSAx&#10;OTAuNDUgMzgwLjc1IDE5MS4wMSAzODAuOTIgMTkxLjU3IDM4MS4wOSAxOTIuMTQgMzgxLjQgMTkz&#10;LjE5IDM4MS42OCAxOTQuMjUgMzgxLjk2IDE5NS4zMSAzODIuNTEgMTk3LjM4IDM4My4wMiAxOTku&#10;NDQgMzgzLjU1IDIwMS41MSAzODMuNjkgMjAyLjA1IDM4My43NCAyMDIuNTggMzgzLjc3IDIwMy4x&#10;MyAzODMuOCAyMDMuNjggMzgzLjg4IDIwNC4yMyAzODMuODggMjA0Ljc5IDM4My44OCAyMDUuMjkg&#10;MzgzLjQxIDIwNS43NCAzODIuNTUgMjA1LjkgMzgxLjU1IDIwNi4wOSAzODAuNDIgMjA1Ljc3IDM4&#10;MC4xIDIwNS4yIDM3OS44MiAyMDQuNyAzNzkuNjEgMjA0LjE5IDM3OS4zOCAyMDMuNjkgMzc5LjEy&#10;IDIwMy4xMSAzNzguODcgMjAyLjU0IDM3OC43IDIwMS45NSAzNzguNDIgMjAwLjkxIDM3OC4yNCAx&#10;OTkuODUgMzc4LjA1IDE5OC44IDM3Ny42NiAxOTYuNyAzNzcuMzMgMTk0LjU5IDM3Ny4yMiAxOTIu&#10;NDggMzc3LjE5IDE5MS45MyAzNzcuMiAxOTEuMzggMzc3LjI1IDE5MC44NCAzNzcuMjkgMTkwLjUy&#10;IDM3Ny4zMyAxOTAuMiAzNzcuNDIgMTg5Ljg5IDM3Ny40NiAxODkuNzYgMzc3LjUzIDE4OS42NCAz&#10;NzcuNjEgMTg5LjUyIDM3Ny42MSAxODkuNDggMzc3LjYxIDE4OS40NCAzNzcuNjMgMTg5LjQxIDM3&#10;Ny43MyAxODkuMTEgMzc4LjE5IDE4OC44OCAzNzguNzMgMTg4Ljg3IDM3OC43OCAxODguODcgMzc4&#10;LjgyIDE4OC44NyAzNzguODcgMTg4Ljg3IDM3OS4zNiAxODguODkgMzc5Ljc5IDE4OS4wNyAzNzku&#10;OTUgMTg5LjM0WiIgZmlsbD0iIzAxMDEwMSIvPjxwYXRoIGQ9Ik0zOTYuOTYgMTkwLjE0QzM5Ny44&#10;NyAxOTAuNCAzOTguMjIgMTkxLjAxIDM5OC41IDE5MS41MyAzOTguNzYgMTkyLjAxIDM5OC45MiAx&#10;OTIuNSAzOTkuMSAxOTIuOTkgMzk5LjQ5IDE5NC4xMSAzOTkuODIgMTk1LjI1IDQwMC4xNSAxOTYu&#10;MzggNDAwLjc1IDE5OC40MSA0MDEuMzcgMjAwLjQ1IDQwMS43NiAyMDIuNSA0MDEuNzkgMjAyLjY0&#10;IDQwMS44MSAyMDIuNzggNDAxLjgzIDIwMi45MiA0MDEuOTMgMjAzLjUyIDQwMS4xOSAyMDQuMDkg&#10;NDAwLjIxIDIwNC4yNyAzOTkuMDUgMjA0LjQ5IDM5Ny41NSAyMDQuMTIgMzk3LjIzIDIwMy40MiAz&#10;OTYuMjYgMjAxLjI0IDM5NS42OCAxOTkuMDEgMzk1LjEzIDE5Ni43OSAzOTQuODggMTk1Ljc5IDM5&#10;NC42NCAxOTQuNzggMzk0LjQ5IDE5My43NyAzOTQuNDEgMTkzLjI1IDM5NC4zMyAxOTIuNzMgMzk0&#10;LjMzIDE5Mi4yMiAzOTQuMzMgMTkxLjkgMzk0LjM2IDE5MS41OSAzOTQuNDEgMTkxLjI3IDM5NC40&#10;NiAxOTAuOTQgMzk0LjY0IDE5MC42NSAzOTQuOTkgMTkwLjM4IDM5NS4wMSAxOTAuMzYgMzk1LjAz&#10;IDE5MC4zNSAzOTUuMDYgMTkwLjM0IDM5NS4yNSAxOTAuMjIgMzk1LjQ4IDE5MC4xNCAzOTUuNzQg&#10;MTkwLjA5IDM5NS45MyAxOTAuMDUgMzk2LjEzIDE5MC4wNCAzOTYuMzMgMTkwLjA1IDM5Ni41NSAx&#10;OTAuMDUgMzk2Ljc2IDE5MC4wOSAzOTYuOTYgMTkwLjE1WiIgZmlsbD0iIzAxMDEwMSIvPjxwYXRo&#10;IGQ9Ik00MDkuMjQgMTk2LjU4QzQwOS44OSAxOTYuNzYgNDEwLjEzIDE5Ny4xNCA0MTAuMjcgMTk3&#10;LjUxIDQxMC40IDE5Ny44OCA0MTAuNSAxOTguMjQgNDEwLjYgMTk4LjYxIDQxMC43NSAxOTkuMTgg&#10;NDEwLjg3IDE5OS43NSA0MTAuOTcgMjAwLjMyIDQxMS4xOSAyMDEuNTIgNDExLjM4IDIwMi43MyA0&#10;MTEuNDIgMjAzLjk0IDQxMS40MyAyMDQuNTYgNDEwLjY2IDIwNS4xIDQwOS41NCAyMDUuMTQgNDA5&#10;LjAxIDIwNS4xNiA0MDguNDcgMjA1LjA1IDQwOC4wNyAyMDQuODUgNDA3LjY1IDIwNC42MyA0MDcu&#10;NTEgMjA0LjM4IDQwNy40MiAyMDQuMDggNDA3LjA1IDIwMi44NiA0MDYuODYgMjAxLjYxIDQwNi43&#10;MiAyMDAuMzcgNDA2LjY1IDE5OS43NiA0MDYuNiAxOTkuMTUgNDA2LjYxIDE5OC41MyA0MDYuNjEg&#10;MTk4LjE3IDQwNi42MyAxOTcuOCA0MDYuNzcgMTk3LjQ1IDQwNi44NyAxOTcuMjEgNDA3LjAzIDE5&#10;NyA0MDcuMyAxOTYuODEgNDA3LjYyIDE5Ni41OSA0MDguMTMgMTk2LjQ4IDQwOC42MiAxOTYuNDkg&#10;NDA4LjgzIDE5Ni40OSA0MDkuMDUgMTk2LjUzIDQwOS4yNCAxOTYuNThaIiBmaWxsPSIjMDEwMTAx&#10;Ii8+PHBhdGggZD0iTTQxOS45NSAxOTIuNDRDNDIwLjQyIDE5Mi42MyA0MjAuNyAxOTMuMDEgNDIw&#10;LjkgMTkzLjMgNDIxLjA0IDE5My41MSA0MjEuMTMgMTkzLjczIDQyMS4yMyAxOTMuOTQgNDIxLjQ5&#10;IDE5NC41MyA0MjEuNjUgMTk1LjEzIDQyMS44MSAxOTUuNzMgNDIyLjA4IDE5Ni43NiA0MjIuMjUg&#10;MTk3LjggNDIyLjQ1IDE5OC44NCA0MjIuNjUgMTk5Ljg4IDQyMi44MyAyMDAuOTEgNDIzLjAxIDIw&#10;MS45NiA0MjMuMiAyMDMuMDQgNDIzLjQ0IDIwNC4xMiA0MjMuNTEgMjA1LjIxIDQyMy41NSAyMDUu&#10;ODEgNDIyLjkyIDIwNi4zNiA0MjEuOTEgMjA2LjU1IDQyMC42OSAyMDYuNzggNDE5LjM3IDIwNi4z&#10;OSA0MTguOTYgMjA1LjcgNDE4LjI4IDIwNC41OCA0MTcuOTcgMjAzLjM5IDQxNy42MSAyMDIuMjIg&#10;NDE3LjI5IDIwMS4xOSA0MTcuMDcgMjAwLjE1IDQxNi44OCAxOTkuMSA0MTYuNyAxOTguMDcgNDE2&#10;LjUyIDE5Ny4wNCA0MTYuNDUgMTk2IDQxNi40MSAxOTUuNDggNDE2LjM3IDE5NC45NSA0MTYuNDEg&#10;MTk0LjQzIDQxNi40MyAxOTQuMTEgNDE2LjQ0IDE5My43NyA0MTYuNTUgMTkzLjQ1IDQxNi42MiAx&#10;OTMuMjYgNDE2LjcyIDE5My4wNiA0MTYuODcgMTkyLjg5IDQxNy4wNyAxOTIuNjQgNDE3LjM0IDE5&#10;Mi41MSA0MTcuNyAxOTIuMzQgNDE3Ljk3IDE5Mi4yNCA0MTguMjcgMTkyLjE5IDQxOC41OSAxOTIu&#10;MTcgNDE4LjY2IDE5Mi4xNyA0MTguNzMgMTkyLjE3IDQxOC44IDE5Mi4xNyA0MTkuMjQgMTkyLjE4&#10;IDQxOS41OCAxOTIuMjkgNDE5Ljk1IDE5Mi40NFoiIGZpbGw9IiMwMTAxMDEiLz48cGF0aCBkPSJN&#10;NDM1IDIwMC41N0M0MzUgMjAwLjU3IDQzNS4wMyAyMDAuNjYgNDM1LjA1IDIwMC43MSA0MzUuMDQg&#10;MjAwLjY2IDQzNS4wMiAyMDAuNjIgNDM1IDIwMC41N1pNNDMwLjEyIDE5MS40N0M0MzEuMTkgMTkx&#10;LjU0IDQzMS43MSAxOTIuMTcgNDMyLjEgMTkyLjY0IDQzMi4zNiAxOTIuOTYgNDMyLjUxIDE5My4z&#10;MiA0MzIuNjcgMTkzLjY2IDQzMy4wNiAxOTQuNSA0MzMuMzMgMTk1LjM2IDQzMy42MSAxOTYuMjEg&#10;NDM0LjA5IDE5Ny42NCA0MzQuNSAxOTkuMDggNDM0Ljk4IDIwMC41MiA0MzUuNDIgMjAxLjgyIDQz&#10;NS45MiAyMDMuMTIgNDM2LjI1IDIwNC40MyA0MzYuMzkgMjA1IDQzNS42IDIwNS41NyA0MzQuNjgg&#10;MjA1Ljc0IDQzMy41MSAyMDUuOTYgNDMyLjE1IDIwNS41OSA0MzEuNzkgMjA0LjkxIDQzMS4xOSAy&#10;MDMuNzggNDMwLjg0IDIwMi42MiA0MzAuNDcgMjAxLjQ3IDQzMC4xNCAyMDAuNDcgNDI5LjgzIDE5&#10;OS40NiA0MjkuNTEgMTk4LjQ2IDQyOS4xOCAxOTcuNDEgNDI4Ljg1IDE5Ni4zNiA0MjguNTYgMTk1&#10;LjMxIDQyOC40MSAxOTQuODEgNDI4LjI3IDE5NC4zMSA0MjguMTcgMTkzLjggNDI4LjEyIDE5My41&#10;NiA0MjguMDcgMTkzLjMyIDQyOC4wMyAxOTMuMDggNDI3Ljk5IDE5Mi44MyA0MjcuOTUgMTkyLjUx&#10;IDQyOC4wNiAxOTIuMjcgNDI4LjExIDE5Mi4xNyA0MjguMTYgMTkyLjA3IDQyOC4yNCAxOTEuOTgg&#10;NDI4LjYgMTkxLjYgNDI5LjI0IDE5MS40MyA0MjkuOTYgMTkxLjQ1IDQzMC4wMiAxOTEuNDUgNDMw&#10;LjA3IDE5MS40NSA0MzAuMTMgMTkxLjQ1WiIgZmlsbD0iIzAxMDEwMSIvPjxwYXRoIGQ9Ik00NDMu&#10;NzQgMTkyLjg3QzQ0NC4yIDE5My4wNiA0NDQuNDkgMTkzLjQyIDQ0NC43MSAxOTMuNzEgNDQ0Ljkg&#10;MTkzLjk2IDQ0NS4wNiAxOTQuMiA0NDUuMjEgMTk0LjQ2IDQ0NS41MyAxOTQuOTkgNDQ1Ljc2IDE5&#10;NS41MyA0NDYuMDEgMTk2LjA3IDQ0Ni41IDE5Ny4xMiA0NDYuOTQgMTk4LjE5IDQ0Ny4zOCAxOTku&#10;MjUgNDQ3Ljg4IDIwMC40NiA0NDguMzcgMjAxLjY2IDQ0OC43OCAyMDIuODggNDQ4Ljk2IDIwMy40&#10;MiA0NDkuMTIgMjAzLjk1IDQ0OS4yNSAyMDQuNDkgNDQ5LjQgMjA1LjEgNDQ5LjUxIDIwNS43MSA0&#10;NDkuNyAyMDYuMzIgNDQ5LjcyIDIwNi41NCA0NDkuNjUgMjA2Ljc0IDQ0OS40OCAyMDYuOTQgNDQ5&#10;LjIyIDIwNy4yMiA0NDguNzcgMjA3LjQ0IDQ0OC4yNCAyMDcuNTQgNDQ3LjE0IDIwNy43NCA0NDUu&#10;OSAyMDcuMzkgNDQ1LjU1IDIwNi43NyA0NDUuMjIgMjA2LjE4IDQ0NC44MyAyMDUuNjEgNDQ0LjQ1&#10;IDIwNS4wNCA0NDQuMSAyMDQuNTIgNDQzLjgxIDIwMy45OSA0NDMuNTMgMjAzLjQ1IDQ0Mi45NyAy&#10;MDIuMzcgNDQyLjU0IDIwMS4yNiA0NDIuMTIgMjAwLjE1IDQ0MS42OCAxOTguOTggNDQxLjMyIDE5&#10;Ny44IDQ0MSAxOTYuNjEgNDQwLjg2IDE5Ni4wNyA0NDAuNzQgMTk1LjUzIDQ0MC42NCAxOTQuOTkg&#10;NDQwLjU5IDE5NC43NCA0NDAuNTUgMTk0LjQ4IDQ0MC41MyAxOTQuMjIgNDQwLjUgMTkzLjg3IDQ0&#10;MC41MSAxOTMuNSA0NDAuODEgMTkzLjE4IDQ0MS4wNCAxOTIuOTMgNDQxLjQyIDE5Mi43NCA0NDEu&#10;OSAxOTIuNjUgNDQyLjEyIDE5Mi42MSA0NDIuMzQgMTkyLjU5IDQ0Mi41NSAxOTIuNiA0NDIuOTgg&#10;MTkyLjYxIDQ0My4zNyAxOTIuNzIgNDQzLjc1IDE5Mi44N1oiIGZpbGw9IiMwMTAxMDEiLz48cGF0&#10;aCBkPSJNNDUwLjQ3IDE5MS4xOEM0NTEuOCAxOTEuMzcgNDUyLjMxIDE5Mi4xOSA0NTIuNzkgMTky&#10;LjgzIDQ1My4xNiAxOTMuMzMgNDUzLjQ3IDE5My44MyA0NTMuNzggMTk0LjM0IDQ1NC4zOCAxOTUu&#10;MzEgNDU0LjkzIDE5Ni4zIDQ1NS40NSAxOTcuMjkgNDU1Ljk5IDE5OC4zMSA0NTYuNDcgMTk5LjM0&#10;IDQ1Ni44OCAyMDAuMzggNDU3LjI5IDIwMS40MiA0NTcuNjkgMjAyLjQ2IDQ1OC4yIDIwMy40OSA0&#10;NTguNDkgMjA0LjA3IDQ1OC43OSAyMDQuNjUgNDU5LjExIDIwNS4yMyA0NTkuNDggMjA1LjkzIDQ1&#10;OC44NCAyMDYuNyA0NTcuNTkgMjA2LjkzIDQ1Ni4zNyAyMDcuMTYgNDU0Ljk3IDIwNi43NyA0NTQu&#10;NTkgMjA2LjA3IDQ1My45OSAyMDQuOTggNDUzLjM5IDIwMy44OCA0NTIuNzEgMjAyLjggNDUyLjA2&#10;IDIwMS43NyA0NTEuMzkgMjAwLjc2IDQ1MC44NSAxOTkuNzIgNDUwLjM0IDE5OC43MyA0NDkuOTQg&#10;MTk3LjczIDQ0OS41MyAxOTYuNzIgNDQ5LjMzIDE5Ni4yMSA0NDkuMTMgMTk1LjcgNDQ4Ljk1IDE5&#10;NS4xOCA0NDguNzMgMTk0LjU2IDQ0OC40OSAxOTMuOTQgNDQ4LjM2IDE5My4zMSA0NDguMjkgMTky&#10;Ljk1IDQ0OC4yNSAxOTIuNTkgNDQ4LjM0IDE5Mi4yNCA0NDguMzggMTkyLjA1IDQ0OC40NyAxOTEu&#10;ODggNDQ4LjYyIDE5MS43MSA0NDguOTIgMTkxLjM5IDQ0OS41NiAxOTEuMTQgNDUwLjIyIDE5MS4x&#10;NiA0NTAuMzEgMTkxLjE2IDQ1MC4zOSAxOTEuMTcgNDUwLjQ4IDE5MS4xOFoiIGZpbGw9IiMwMTAx&#10;MDEiLz48cGF0aCBkPSJNNDczLjAyIDE4My45M0M0NzMuNjUgMTg0LjE3IDQ3NC4wMiAxODQuNjUg&#10;NDc0LjM0IDE4NS4wOCA0NzQuNjcgMTg1LjUzIDQ3NC45NyAxODUuOTkgNDc1LjI3IDE4Ni40NSA0&#10;NzUuNzkgMTg3LjI2IDQ3Ni4yOSAxODguMDcgNDc2Ljc4IDE4OC44OSA0NzcuODQgMTkwLjYzIDQ3&#10;OC45IDE5Mi4zNyA0NzkuNzUgMTk0LjE2IDQ4MCAxOTQuNjkgNDc5LjY5IDE5NS4yOCA0NzkuMDUg&#10;MTk1LjU4IDQ3OC42NyAxOTUuNzUgNDc4LjIxIDE5NS44MiA0NzcuNzcgMTk1Ljc1IDQ3Ny4zNyAx&#10;OTUuNjkgNDc2Ljg1IDE5NS40OSA0NzYuNjYgMTk1LjIxIDQ3Ni4wMSAxOTQuMjYgNDc1LjQzIDE5&#10;My4zIDQ3NC44NiAxOTIuMzIgNDc0LjM4IDE5MS41IDQ3My45MiAxOTAuNjcgNDczLjQ2IDE4OS44&#10;NSA0NzIuOTkgMTg5IDQ3Mi41MSAxODguMTQgNDcyLjA2IDE4Ny4yOSA0NzEuODYgMTg2LjkxIDQ3&#10;MS42NyAxODYuNTMgNDcxLjUgMTg2LjE1IDQ3MS40MSAxODUuOTQgNDcxLjMzIDE4NS43MyA0NzEu&#10;MjYgMTg1LjUyIDQ3MS4xNiAxODUuMjMgNDcxLjA2IDE4NC44NiA0NzEuMTggMTg0LjU3IDQ3MS4y&#10;OSAxODQuMzIgNDcxLjQzIDE4NC4xMiA0NzEuNzUgMTgzLjk4IDQ3MS45OCAxODMuODcgNDcyLjI2&#10;IDE4My44MiA0NzIuNTQgMTgzLjgzIDQ3Mi43MSAxODMuODMgNDcyLjg4IDE4My44NyA0NzMuMDQg&#10;MTgzLjkzWiIgZmlsbD0iIzAxMDEwMSIvPjxwYXRoIGQ9Ik00ODQuODcgMTg4LjZDNDg0Ljg3IDE4&#10;OC42IDQ4NC44MyAxODguNTQgNDg0LjgxIDE4OC41MSA0ODQuOCAxODguNDkgNDg0Ljc5IDE4OC40&#10;NyA0ODQuNzcgMTg4LjQ2IDQ4NC44IDE4OC41MSA0ODQuODMgMTg4LjU1IDQ4NC44NiAxODguNlpN&#10;NDc4IDE3OS4xOUM0NzguNDIgMTc5LjQ2IDQ3OC42MSAxNzkuODEgNDc4LjYxIDE4MC4xNiA0Nzku&#10;NjggMTgxLjIxIDQ4MC41MiAxODIuNCA0ODEuMzYgMTgzLjU1IDQ4Mi41MSAxODUuMTMgNDgzLjYy&#10;IDE4Ni43MiA0ODQuNjkgMTg4LjMyIDQ4NC42IDE4OC4xOCA0ODQuNTEgMTg4LjA1IDQ4NC40MiAx&#10;ODcuOTEgNDg0LjU0IDE4OC4wOSA0ODQuNjYgMTg4LjI3IDQ4NC43OCAxODguNDYgNDg0Ljc4IDE4&#10;OC40NSA0ODQuNzYgMTg4LjQ0IDQ4NC43NiAxODguNDMgNDg0Ljc4IDE4OC40NiA0ODQuOCAxODgu&#10;NDkgNDg0LjgyIDE4OC41Mkw0ODQuOTEgMTg4LjY1QzQ4NC45MSAxODguNjUgNDg0Ljg5IDE4OC42&#10;MiA0ODQuODggMTg4LjYxIDQ4NC45IDE4OC42NCA0ODQuOTMgMTg4LjY4IDQ4NC45NSAxODguNzEg&#10;NDg0Ljk4IDE4OC43NSA0ODUuMDEgMTg4LjggNDg1LjA0IDE4OC44NCA0ODUuMDMgMTg4LjgyIDQ4&#10;NS4wMSAxODguOCA0ODUgMTg4Ljc4IDQ4NS42NSAxODkuNzYgNDg2LjI5IDE5MC43NSA0ODYuODkg&#10;MTkxLjc1IDQ4Ny41MyAxOTIuODIgNDg4LjA2IDE5My45MSA0ODguNjkgMTk0Ljk4IDQ4OS4wOCAx&#10;OTUuNjMgNDg4LjU4IDE5Ni40NCA0ODcuNzkgMTk2LjggNDg3LjMxIDE5Ny4wMiA0ODYuNzEgMTk3&#10;LjEgNDg2LjE1IDE5Ny4wMiA0ODUuNjIgMTk2Ljk1IDQ4NC45OCAxOTYuNjkgNDg0LjcyIDE5Ni4z&#10;MyA0ODMuNzQgMTk0LjkzIDQ4Mi42NyAxOTMuNTcgNDgxLjc0IDE5Mi4xNSA0ODAuODggMTkwLjg2&#10;IDQ4MC4wOCAxODkuNTUgNDc5LjI4IDE4OC4yNCA0NzguNSAxODYuOTUgNDc3LjcyIDE4NS42NyA0&#10;NzYuOTggMTg0LjM3IDQ3Ni4zOSAxODMuMzMgNDc1LjgxIDE4Mi4yOSA0NzUuNDQgMTgxLjIxIDQ3&#10;NS4yIDE4MS4wNiA0NzUuMDEgMTgwLjg2IDQ3NC45MSAxODAuNjMgNDc0LjY0IDE4MC4wNSA0NzQu&#10;OTcgMTc5LjM5IDQ3NS42OSAxNzkuMDYgNDc2LjA0IDE3OC45IDQ3Ni40NCAxNzguODMgNDc2Ljg0&#10;IDE3OC44NSA0NzcuMjcgMTc4Ljg3IDQ3Ny42OSAxNzguOTkgNDc4LjAyIDE3OS4yWiIgZmlsbD0i&#10;IzAxMDEwMSIvPjxwYXRoIGQ9Ik00ODYuODcgMTc3LjNDNDg3LjMgMTc3LjY4IDQ4Ny43IDE3OC4w&#10;OCA0ODguMDggMTc4LjQ5IDQ4OC44IDE3OS4yNyA0ODkuNDYgMTgwLjA3IDQ5MC4xMSAxODAuODgg&#10;NDkxLjQ2IDE4Mi41NSA0OTIuNzkgMTg0LjIzIDQ5NC4xMSAxODUuOTIgNDk0LjYgMTg2LjU0IDQ5&#10;NS4wOCAxODcuMTYgNDk1LjUzIDE4Ny44IDQ5Ni4wOCAxODguNTkgNDk2LjU5IDE4OS4zOSA0OTcu&#10;MDkgMTkwLjIgNDk3LjIgMTkwLjQ0IDQ5Ny4yMiAxOTAuNjkgNDk3LjE1IDE5MC45MyA0OTcuMDQg&#10;MTkxLjMxIDQ5Ni43MiAxOTEuNjUgNDk2LjI3IDE5MS44NiA0OTUuMzMgMTkyLjI5IDQ5NC4wOSAx&#10;OTIuMDggNDkzLjQ3IDE5MS40MyA0OTIuNjggMTkwLjU5IDQ5MS45MiAxODkuNzQgNDkxLjI0IDE4&#10;OC44NiA0OTAuNTkgMTg4LjAzIDQ5MC4wMSAxODcuMTcgNDg5LjQxIDE4Ni4zMiA0ODguMTkgMTg0&#10;LjYxIDQ4NyAxODIuODkgNDg1LjggMTgxLjE3IDQ4NS4zIDE4MC40NCA0ODQuOCAxNzkuNzIgNDg0&#10;LjMxIDE3OC45OSA0ODQuMTEgMTc4LjY5IDQ4My45MiAxNzguMzggNDgzLjc0IDE3OC4wNyA0ODMu&#10;NjYgMTc3LjkzIDQ4My42IDE3Ny43OSA0ODMuNTUgMTc3LjY1IDQ4My41MSAxNzcuNTUgNDgzLjQ1&#10;IDE3Ny4zNiA0ODMuNDUgMTc3LjIzIDQ4My40NSAxNzcuMDIgNDgzLjUgMTc2Ljg4IDQ4My42IDE3&#10;Ni42OSA0ODMuNzUgMTc2LjQyIDQ4NC4yMSAxNzYuMjQgNDg0LjYgMTc2LjIyIDQ4NC42NiAxNzYu&#10;MjIgNDg0LjcyIDE3Ni4yMiA0ODQuNzcgMTc2LjIyIDQ4NS42NyAxNzYuMjYgNDg2LjM1IDE3Ni44&#10;NSA0ODYuODcgMTc3LjMxWiIgZmlsbD0iIzAxMDEwMSIvPjxwYXRoIGQ9Ik00OTMuMzQgMTcxLjIx&#10;QzQ5My40MyAxNzEuMjUgNDkzLjUyIDE3MS4yOSA0OTMuNjIgMTcxLjM1IDQ5My45MiAxNzEuNTMg&#10;NDk0LjE2IDE3MS43NyA0OTQuNCAxNzEuOTkgNDk0Ljg2IDE3Mi40MiA0OTUuMjcgMTcyLjg2IDQ5&#10;NS42NiAxNzMuMzEgNDk2LjUzIDE3NC4zIDQ5Ny4zOCAxNzUuMzEgNDk4LjI0IDE3Ni4zMSA0OTku&#10;OCAxNzguMTEgNTAxLjI5IDE3OS45NCA1MDIuOTUgMTgxLjY5IDUwMy41OSAxODIuMzYgNTA0LjI1&#10;IDE4My4wMSA1MDQuOTMgMTgzLjY2IDUwNS4yOSAxODQuMDEgNTA1LjY0IDE4NC4zNSA1MDUuOTgg&#10;MTg0LjcgNTA2LjEzIDE4NC44NiA1MDYuMjkgMTg1LjAxIDUwNi40MyAxODUuMTcgNTA2LjY4IDE4&#10;NS40NiA1MDYuODUgMTg1Ljc4IDUwNy4wMSAxODYuMSA1MDcuMzIgMTg2Ljc1IDUwNi45NCAxODcu&#10;NDkgNTA2LjE0IDE4Ny44NiA1MDUuMzQgMTg4LjIyIDUwNC4yMyAxODguMTcgNTAzLjU0IDE4Ny43&#10;IDUwMy4xNyAxODcuNDUgNTAyLjc5IDE4Ny4xOCA1MDIuNTIgMTg2Ljg2IDUwMi4zMyAxODYuNjMg&#10;NTAyLjE0IDE4Ni40IDUwMS45NSAxODYuMTcgNTAxLjU3IDE4NS42OSA1MDEuMjIgMTg1LjIgNTAw&#10;Ljg2IDE4NC43MSA1MDAuMjEgMTgzLjg0IDQ5OS41OSAxODIuOTYgNDk4LjkzIDE4Mi4wOSA0OTgu&#10;MjEgMTgxLjE0IDQ5Ny40OCAxODAuMTkgNDk2Ljc4IDE3OS4yMyA0OTYuMDQgMTc4LjI0IDQ5NS4z&#10;NSAxNzcuMjQgNDk0LjY0IDE3Ni4yNCA0OTQuMDMgMTc1LjM4IDQ5My40MyAxNzQuNTIgNDkyLjg2&#10;IDE3My42NCA0OTIuNjIgMTczLjI2IDQ5Mi4zOCAxNzIuODggNDkyLjE2IDE3Mi40OCA0OTIuMDUg&#10;MTcyLjI4IDQ5MS45OCAxNzIuMDggNDkxLjkyIDE3MS44NiA0OTEuOSAxNzEuNzcgNDkxLjkxIDE3&#10;MS42OSA0OTEuOTQgMTcxLjYxIDQ5MS45NCAxNzEuNDEgNDkyLjA2IDE3MS4yMiA0OTIuMzEgMTcx&#10;LjEgNDkyLjQ1IDE3MS4wNCA0OTIuNjIgMTcxLjAxIDQ5Mi43OSAxNzEuMDIgNDkzIDE3MS4wMiA0&#10;OTMuMiAxNzEuMDkgNDkzLjM1IDE3MS4xOFoiIGZpbGw9IiMwMTAxMDEiLz48cGF0aCBkPSJNNTAx&#10;LjE5IDE2NS44QzUwMS4xOSAxNjUuOCA1MDEuMjQgMTY1LjgyIDUwMS4yNiAxNjUuODMgNTAxLjM5&#10;IDE2NS44OSA1MDEuNTIgMTY1Ljk0IDUwMS42NSAxNjUuOTkgNTAyLjA0IDE2Ni4xNSA1MDIuNDEg&#10;MTY2LjM2IDUwMi43NiAxNjYuNTYgNTAzLjM3IDE2Ni45MSA1MDMuOTUgMTY3LjMgNTA0LjUgMTY3&#10;LjcgNTA1LjY3IDE2OC41NiA1MDYuODIgMTY5LjQ0IDUwNy45NyAxNzAuMzEgNTEwLjE5IDE3MiA1&#10;MTIuMzggMTczLjcgNTE0LjY0IDE3NS4zNiA1MTUuNjggMTc2LjEzIDUxNi42OSAxNzYuOTEgNTE3&#10;LjY3IDE3Ny43MiA1MTguMzEgMTc4LjI0IDUxOC45MyAxNzguNzcgNTE5LjU0IDE3OS4zIDUyMC4w&#10;NiAxNzkuNzcgNTIwLjU0IDE4MC4yNiA1MjEuMDYgMTgwLjczIDUyMS4yOCAxODAuOTcgNTIxLjQg&#10;MTgxLjIzIDUyMS40MiAxODEuNTIgNTIxLjQ2IDE4MS45NiA1MjEuMjQgMTgyLjQgNTIwLjgzIDE4&#10;Mi43MiA1MjAuNDMgMTgzLjAzIDUxOS44NiAxODMuMjMgNTE5LjI3IDE4My4yNSA1MTguNyAxODMu&#10;MjggNTE3Ljk5IDE4My4xMyA1MTcuNTkgMTgyLjgzIDUxNi45OSAxODIuMzcgNTE2LjM1IDE4MS45&#10;NCA1MTUuNzYgMTgxLjQ3IDUxNS4yIDE4MS4wMyA1MTQuNjUgMTgwLjU3IDUxNC4xMSAxODAuMTIg&#10;NTEyLjk2IDE3OS4xNSA1MTEuODMgMTc4LjE3IDUxMC43NCAxNzcuMTcgNTA4Ljc1IDE3NS4zMyA1&#10;MDYuNzIgMTczLjUyIDUwNC43NCAxNzEuNjkgNTAzLjcgMTcwLjczIDUwMi42NiAxNjkuNzcgNTAx&#10;LjY2IDE2OC43OSA1MDEuMTkgMTY4LjMzIDUwMC43NCAxNjcuODYgNTAwLjMzIDE2Ny4zOCA1MDAu&#10;MTYgMTY3LjE3IDUwMC4wMSAxNjYuOTUgNDk5Ljg5IDE2Ni43MiA0OTkuODcgMTY2LjY4IDQ5OS44&#10;NSAxNjYuNjMgNDk5LjgzIDE2Ni41OSA0OTkuNjYgMTY2LjM2IDQ5OS43MiAxNjYuMDUgNDk5Ljk2&#10;IDE2NS44NiA1MDAuMTQgMTY1LjcyIDUwMC40MyAxNjUuNjQgNTAwLjcgMTY1LjY1IDUwMC44OCAx&#10;NjUuNjUgNTAxLjA1IDE2NS43IDUwMS4xOCAxNjUuNzlaIiBmaWxsPSIjMDEwMTAxIi8+PHBhdGgg&#10;ZD0iTTUxMi42IDE1OS42OUM1MTIuNzYgMTU5Ljc5IDUxMi44NyAxNTkuOTMgNTEyLjkyIDE2MC4w&#10;NyA1MTMuMTYgMTYwLjMzIDUxMy40NiAxNjAuNTcgNTEzLjczIDE2MC44MSA1MTQuMTUgMTYxLjE4&#10;IDUxNC41OCAxNjEuNTQgNTE1IDE2MS45IDUxNS44MyAxNjIuNjIgNTE2LjY1IDE2My4zNSA1MTcu&#10;NDYgMTY0LjA4IDUxOS4xIDE2NS41NyA1MjAuNzQgMTY3LjA3IDUyMi40MyAxNjguNTQgNTIzLjQ4&#10;IDE2OS40NiA1MjQuNTUgMTcwLjM4IDUyNS42MSAxNzEuMyA1MjYuNjkgMTcyLjI0IDUyNy43NCAx&#10;NzMuMTggNTI4LjgzIDE3NC4xMiA1MjguOTUgMTc0LjI2IDUyOS4wMiAxNzQuNDEgNTI5LjA0IDE3&#10;NC41NyA1MjkuMDYgMTc0LjgyIDUyOC45NCAxNzUuMDggNTI4LjcgMTc1LjI2IDUyOC40NyAxNzUu&#10;NDQgNTI4LjE0IDE3NS41NSA1MjcuOCAxNzUuNTcgNTI3LjQ4IDE3NS41OCA1MjcuMDUgMTc1LjUx&#10;IDUyNi44MyAxNzUuMzMgNTI1Ljk0IDE3NC42MSA1MjUuMDIgMTczLjkyIDUyNC4xNCAxNzMuMjEg&#10;NTIzLjIyIDE3Mi40NiA1MjIuMzYgMTcxLjY4IDUyMS41IDE3MC45IDUxOS45NCAxNjkuNDYgNTE4&#10;LjM3IDE2OC4wMiA1MTYuODQgMTY2LjU3IDUxNS43NyAxNjUuNTYgNTE0LjcyIDE2NC41NSA1MTMu&#10;NjYgMTYzLjUzIDUxMy4xNCAxNjMuMDMgNTEyLjYzIDE2Mi41MiA1MTIuMTIgMTYyLjAxIDUxMS45&#10;IDE2MS43OCA1MTEuNjggMTYxLjU1IDUxMS40NyAxNjEuMzIgNTExLjMyIDE2MS4xNiA1MTEuMTcg&#10;MTYwLjk5IDUxMS4wNCAxNjAuODEgNTEwLjk0IDE2MC43MyA1MTAuODYgMTYwLjYzIDUxMC44MSAx&#10;NjAuNTMgNTEwLjY1IDE2MC4yIDUxMC44NCAxNTkuODIgNTExLjI2IDE1OS42MyA1MTEuNDYgMTU5&#10;LjU0IDUxMS42OSAxNTkuNSA1MTEuOTIgMTU5LjUxIDUxMi4xNyAxNTkuNTEgNTEyLjQxIDE1OS41&#10;OSA1MTIuNiAxNTkuNzFaIiBmaWxsPSIjMDEwMTAxIi8+PHBhdGggZD0iTTUzMy4wMSAxNjYuODRD&#10;NTMzLjAxIDE2Ni44NCA1MzMuMDkgMTY2LjkxIDUzMy4xMyAxNjYuOTQgNTMzLjEzIDE2Ni45NCA1&#10;MzMuMTMgMTY2Ljk0IDUzMy4xNCAxNjYuOTUgNTMzLjE0IDE2Ni45NSA1MzMuMTUgMTY2Ljk2IDUz&#10;My4xNiAxNjYuOTdMNTMzLjE2IDE2Ni45N0M1MzMuMTYgMTY2Ljk3IDUzMy4yNSAxNjcuMDUgNTMz&#10;LjMgMTY3LjA4IDUzMy4yNSAxNjcuMDQgNTMzLjIgMTY3IDUzMy4xNSAxNjYuOTYgNTMzLjA3IDE2&#10;Ni45IDUzMyAxNjYuODMgNTMyLjkyIDE2Ni43NyA1MzIuOTUgMTY2LjggNTMyLjk4IDE2Ni44MiA1&#10;MzMuMDEgMTY2Ljg1Wk01MzUuNzUgMTY5LjA3QzUzNS43NSAxNjkuMDcgNTM1Ljc5IDE2OS4xIDUz&#10;NS44IDE2OS4xMiA1MzUuNzggMTY5LjEgNTM1Ljc2IDE2OS4wOSA1MzUuNzUgMTY5LjA3Wk01MzMu&#10;MDEgMTY2Ljg1QzUzMy4wMSAxNjYuODUgNTMzLjA3IDE2Ni45IDUzMy4xIDE2Ni45MiA1MzMuMDcg&#10;MTY2LjkgNTMzLjA0IDE2Ni44NyA1MzMuMDEgMTY2Ljg1Wk01MjIuNzYgMTU0IDUyMi43NiAxNTRD&#10;NTIyLjkyIDE1NC4xIDUyMy4wNiAxNTQuMjEgNTIzLjE4IDE1NC4zMSA1MjMuNDYgMTU0LjUzIDUy&#10;My43MiAxNTQuNzYgNTIzLjk4IDE1NC45OSA1MjQuNDggMTU1LjQyIDUyNC45OCAxNTUuODYgNTI1&#10;LjQ4IDE1Ni4zIDUyNi40MiAxNTcuMTQgNTI3LjM2IDE1Ny45OCA1MjguMzEgMTU4LjgyIDUzMC4y&#10;NCAxNjAuNTMgNTMyLjE5IDE2Mi4yMyA1MzQuMDYgMTYzLjk2IDUzNC44NCAxNjQuNjkgNTM1LjYy&#10;IDE2NS40MiA1MzYuMzQgMTY2LjE3IDUzNy4xIDE2Ni45NiA1MzcuODQgMTY3Ljc1IDUzOC42NiAx&#10;NjguNTIgNTM5LjEyIDE2OC45NSA1MzguODUgMTY5LjYxIDUzOC4yNSAxNjkuODggNTM3Ljk1IDE3&#10;MC4wMiA1MzcuNTggMTcwLjA3IDUzNy4yMyAxNzAuMDIgNTM2LjgzIDE2OS45NiA1MzYuNTkgMTY5&#10;LjggNTM2LjM0IDE2OS41OSA1MzYuMTcgMTY5LjQ0IDUzNiAxNjkuMjkgNTM1LjgzIDE2OS4xNSA1&#10;MzQuOTYgMTY4LjQzIDUzNC4wNCAxNjcuNzMgNTMzLjE4IDE2NyA1MzMuMjcgMTY3LjA4IDUzMy4z&#10;NiAxNjcuMTUgNTMzLjQ2IDE2Ny4yMyA1MzMuMzUgMTY3LjE0IDUzMy4yNSAxNjcuMDUgNTMzLjE0&#10;IDE2Ni45NiA1MzMuMSAxNjYuOTIgNTMzLjA1IDE2Ni44OSA1MzMuMDEgMTY2Ljg1IDUzMi45NyAx&#10;NjYuODEgNTMyLjkzIDE2Ni43OCA1MzIuODggMTY2Ljc0IDUzMi44OSAxNjYuNzUgNTMyLjkgMTY2&#10;Ljc2IDUzMi45MiAxNjYuNzcgNTMwLjk5IDE2NS4xMyA1MjkuMTkgMTYzLjQgNTI3LjQxIDE2MS42&#10;OCA1MjUuNTYgMTU5LjkgNTIzLjY4IDE1OC4xMiA1MjEuOSAxNTYuMzEgNTIxLjY3IDE1Ni4wOCA1&#10;MjEuNDYgMTU1Ljg0IDUyMS4yNSAxNTUuNiA1MjEuMDggMTU1LjQgNTIwLjg4IDE1NS4xOCA1MjAu&#10;NzkgMTU0Ljk0IDUyMC42NSAxNTQuNjUgNTIwLjczIDE1NC4zMSA1MjEuMDQgMTU0LjA3IDUyMS4z&#10;IDE1My44NyA1MjEuNjYgMTUzLjc3IDUyMi4wMiAxNTMuNzkgNTIyLjI5IDE1My44IDUyMi41NiAx&#10;NTMuODcgNTIyLjc4IDE1NC4wMVoiIGZpbGw9IiMwMTAxMDEiLz48cGF0aCBkPSJNNTM0LjA3IDE1&#10;Mi40NUM1MzQgMTUyLjM5IDUzMy45MiAxNTIuMzMgNTMzLjg1IDE1Mi4yNyA1MzMuOTIgMTUyLjMz&#10;IDUzNCAxNTIuMzkgNTM0LjA3IDE1Mi40NVpNNTQzLjY4IDE2NC43MkM1NDMuNjggMTY0LjcyIDU0&#10;My42OCAxNjQuNzIgNTQzLjY4IDE2NC43MiA1NDMuNzIgMTY0Ljc1IDU0My43NiAxNjQuNzkgNTQz&#10;LjggMTY0LjgyIDU0My43NCAxNjQuNzcgNTQzLjY5IDE2NC43MyA1NDMuNjMgMTY0LjY4IDU0My42&#10;NCAxNjQuNjkgNTQzLjY1IDE2NC43IDU0My42NyAxNjQuNzFaTTUzMC4yNiAxNDkuODhDNTMwLjY4&#10;IDE0OS45MyA1MzEuMDggMTUwLjE0IDUzMS4zOSAxNTAuMzQgNTMxLjY1IDE1MC41MSA1MzEuOTEg&#10;MTUwLjY5IDUzMi4xNSAxNTAuODggNTMyLjc0IDE1MS4zMyA1MzMuMyAxNTEuOCA1MzMuODYgMTUy&#10;LjI3IDUzMy44NCAxNTIuMjYgNTMzLjgzIDE1Mi4yNCA1MzMuODEgMTUyLjIzIDUzNS42MSAxNTMu&#10;NzUgNTM3LjM2IDE1NS4zMSA1MzkuMDcgMTU2Ljg4IDU0MC43MiAxNTguNCA1NDIuMzkgMTU5Ljkx&#10;IDU0My44OCAxNjEuNSA1NDQuODggMTYyLjU3IDU0NS44NiAxNjMuNjQgNTQ2LjkzIDE2NC42NyA1&#10;NDcuMzUgMTY1LjA3IDU0Ny4xMSAxNjUuNjggNTQ2LjU1IDE2NS45NCA1NDYuMjcgMTY2LjA3IDU0&#10;NS45MiAxNjYuMTIgNTQ1LjU5IDE2Ni4wNyA1NDUuMjIgMTY2LjAyIDU0NC45OCAxNjUuODcgNTQ0&#10;Ljc2IDE2NS42NyA1NDQuNDMgMTY1LjM3IDU0NC4wOCAxNjUuMDcgNTQzLjc0IDE2NC43NyA1NDMu&#10;ODEgMTY0LjgzIDU0My44OSAxNjQuODkgNTQzLjk2IDE2NC45NiA1NDMuODcgMTY0Ljg4IDU0My43&#10;OCAxNjQuODEgNTQzLjY5IDE2NC43MyA1NDMuNjkgMTY0LjczIDU0My42OSAxNjQuNzMgNTQzLjY5&#10;IDE2NC43MyA1NDMuNjYgMTY0LjcgNTQzLjYzIDE2NC42OCA1NDMuNiAxNjQuNjUgNTQzLjYyIDE2&#10;NC42NyA1NDMuNjQgMTY0LjY4IDU0My42NiAxNjQuNyA1NDMuNTkgMTY0LjY0IDU0My41MiAxNjQu&#10;NTggNTQzLjQ1IDE2NC41MiA1NDMuNTIgMTY0LjU5IDU0My42IDE2NC42NSA1NDMuNjggMTY0Ljcx&#10;IDU0Mi44MSAxNjMuOTkgNTQxLjkyIDE2My4yOSA1NDEuMDUgMTYyLjU3IDU0MC4xMSAxNjEuNzgg&#10;NTM5LjIxIDE2MC45OCA1MzguMzEgMTYwLjE3IDUzNi42MyAxNTguNjQgNTM0Ljk5IDE1Ny4wOSA1&#10;MzMuMzYgMTU1LjU0IDUzMi41NiAxNTQuNzkgNTMxLjc3IDE1NC4wMyA1MzAuOTkgMTUzLjI3IDUz&#10;MC42IDE1Mi44OSA1MzAuMjEgMTUyLjUgNTI5LjgyIDE1Mi4xMSA1MjkuNDMgMTUxLjcyIDUyOC45&#10;MiAxNTEuMjYgNTI4Ljg3IDE1MC43NiA1MjguODIgMTUwLjI0IDUyOS40NiAxNDkuODUgNTMwLjE0&#10;IDE0OS44OCA1MzAuMTggMTQ5Ljg4IDUzMC4yMyAxNDkuODggNTMwLjI3IDE0OS44OVoiIGZpbGw9&#10;IiMwMTAxMDEiLz48cGF0aCBkPSJNNTQwLjIgMTQ0LjFDNTQwLjU0IDE0NC4xNSA1NDAuNzcgMTQ0&#10;LjMyIDU0MC45OSAxNDQuNDkgNTQxLjI4IDE0NC43MSA1NDEuNTUgMTQ0Ljk0IDU0MS44MiAxNDUu&#10;MTcgNTQyLjE5IDE0NS40OCA1NDIuNTQgMTQ1LjggNTQyLjg5IDE0Ni4xMyA1NDMuNTggMTQ2Ljc2&#10;IDU0NC4yNCAxNDcuNCA1NDQuOTEgMTQ4LjA0IDU0Ni4zIDE0OS4zNSA1NDcuNjggMTUwLjY3IDU0&#10;OS4wNSAxNTIgNTUwLjEzIDE1My4wNSA1NTEuMjEgMTU0LjExIDU1Mi4zMyAxNTUuMTQgNTUzLjQ5&#10;IDE1Ni4yIDU1NC42NiAxNTcuMjYgNTU1Ljg0IDE1OC4zMSA1NTYuMDEgMTU4LjQ3IDU1Ni4wNSAx&#10;NTguNzIgNTU2IDE1OC45MSA1NTUuOTQgMTU5LjEzIDU1NS43NiAxNTkuMzIgNTU1LjUgMTU5LjQ0&#10;IDU1NS4yNSAxNTkuNTUgNTU0Ljk0IDE1OS42IDU1NC42NSAxNTkuNTUgNTU0LjMyIDE1OS41IDU1&#10;NC4xMiAxNTkuMzcgNTUzLjkxIDE1OS4xOSA1NTIuNDYgMTU3LjkgNTUwLjk2IDE1Ni42NCA1NDku&#10;NDggMTU1LjM3IDU0OC4wMyAxNTQuMTMgNTQ2LjY5IDE1Mi44MyA1NDUuMzYgMTUxLjUzIDU0NC4y&#10;NSAxNTAuNDMgNTQzLjE0IDE0OS4zNCA1NDIuMDUgMTQ4LjIzIDU0MS41MyAxNDcuNyA1NDEgMTQ3&#10;LjE2IDU0MC41IDE0Ni42MiA1NDAuMjIgMTQ2LjMzIDUzOS45NSAxNDYuMDQgNTM5LjY4IDE0NS43&#10;NCA1MzkuMzMgMTQ1LjM2IDUzOC45IDE0NC45MiA1MzkuMTkgMTQ0LjQ1IDUzOS4zNCAxNDQuMjIg&#10;NTM5LjcxIDE0NC4wOCA1NDAuMDcgMTQ0LjA5IDU0MC4xMSAxNDQuMDkgNTQwLjE2IDE0NC4wOSA1&#10;NDAuMiAxNDQuMVoiIGZpbGw9IiMwMTAxMDEiLz48cGF0aCBkPSJNNTUzLjg5IDE0My45NEM1NTMu&#10;ODkgMTQzLjk0IDU1My44NiAxNDMuOTIgNTUzLjg1IDE0My45MSA1NTMuODYgMTQzLjkyIDU1My44&#10;OCAxNDMuOTMgNTUzLjg5IDE0My45NFpNNTU0LjM5IDE0OC4wNkM1NTQuNDUgMTQ4LjExIDU1NC41&#10;MSAxNDguMTYgNTU0LjU4IDE0OC4yMiA1NTQuNTEgMTQ4LjE2IDU1NC40NCAxNDguMSA1NTQuMzYg&#10;MTQ4LjA0IDU1NC4zNyAxNDguMDQgNTU0LjM4IDE0OC4wNiA1NTQuMzkgMTQ4LjA3Wk01NDguOTUg&#10;MTM5Ljk1QzU0OS40OSAxNDAuMzYgNTUwLjAyIDE0MC43OCA1NTAuNTQgMTQxLjIxIDU1MS42MSAx&#10;NDIuMDcgNTUyLjY4IDE0Mi45MyA1NTMuNzMgMTQzLjgxIDU1My43NyAxNDMuODQgNTUzLjgxIDE0&#10;My44OCA1NTMuODUgMTQzLjkxIDU1My44NCAxNDMuOSA1NTMuODMgMTQzLjg5IDU1My44MSAxNDMu&#10;ODggNTUzLjg1IDE0My45MiA1NTMuOSAxNDMuOTUgNTUzLjk0IDE0My45OSA1NTMuOTIgMTQzLjk3&#10;IDU1My45IDE0My45NiA1NTMuODggMTQzLjk0IDU1NS40MyAxNDUuMjQgNTU2Ljk1IDE0Ni41NiA1&#10;NTguNDEgMTQ3LjkxIDU1OS4wOSAxNDguNTUgNTU5Ljc2IDE0OS4yIDU2MC40MiAxNDkuODUgNTYx&#10;LjEyIDE1MC41MyA1NjEuODUgMTUxLjIgNTYyLjU5IDE1MS44NiA1NjIuNzkgMTUyLjA0IDU2Mi44&#10;NCAxNTIuMzUgNTYyLjc4IDE1Mi41NyA1NjIuNzEgMTUyLjgyIDU2Mi40OSAxNTMuMDUgNTYyLjE5&#10;IDE1My4xOCA1NjEuOSAxNTMuMzEgNTYxLjU0IDE1My4zNiA1NjEuMiAxNTMuMzEgNTYwLjgxIDE1&#10;My4yNiA1NjAuNTggMTUzLjEgNTYwLjM0IDE1Mi44OSA1NjAuMTIgMTUyLjcgNTU5LjkgMTUyLjUy&#10;IDU1OS42OCAxNTIuMzMgNTU4Ljg4IDE1MS42NyA1NTguMDYgMTUxLjAyIDU1Ny4yMyAxNTAuMzgg&#10;NTU2LjMyIDE0OS42NyA1NTUuNDQgMTQ4Ljk1IDU1NC41NyAxNDguMjEgNTU0LjU5IDE0OC4yMyA1&#10;NTQuNjEgMTQ4LjI0IDU1NC42MyAxNDguMjYgNTU0LjU1IDE0OC4xOSA1NTQuNDcgMTQ4LjEzIDU1&#10;NC4zOSAxNDguMDYgNTU0LjM4IDE0OC4wNSA1NTQuMzYgMTQ4LjA0IDU1NC4zNSAxNDguMDMgNTU0&#10;LjM1IDE0OC4wMyA1NTQuMzUgMTQ4LjAzIDU1NC4zNSAxNDguMDMgNTUyLjgxIDE0Ni43NCA1NTEu&#10;MjggMTQ1LjQzIDU0OS43NyAxNDQuMTIgNTQ4Ljk5IDE0My40NCA1NDguMjEgMTQyLjc2IDU0Ny40&#10;NSAxNDIuMDYgNTQ3LjA5IDE0MS43MyA1NDYuNzIgMTQxLjM5IDU0Ni4zNiAxNDEuMDUgNTQ2LjIx&#10;IDE0MC45MSA1NDYuMDYgMTQwLjc3IDU0NS45MSAxNDAuNjIgNTQ1LjY3IDE0MC4zOCA1NDUuNDkg&#10;MTQwLjE1IDU0NS40MyAxMzkuODQgNTQ1LjMzIDEzOS4zNSA1NDUuOTggMTM4Ljg4IDU0Ni42NSAx&#10;MzguODYgNTQ2LjY5IDEzOC44NiA1NDYuNzQgMTM4Ljg2IDU0Ni43OCAxMzguODYgNTQ3LjY4IDEz&#10;OC45IDU0OC4zNSAxMzkuNDkgNTQ4LjkzIDEzOS45M1oiIGZpbGw9IiMwMTAxMDEiLz48cGF0aCBk&#10;PSJNNTY2LjAzIDE0NC42OEM1NjYuMDMgMTQ0LjY4IDU2Ni4wOCAxNDQuNzIgNTY2LjEgMTQ0Ljc0&#10;IDU2Ni4wOCAxNDQuNzIgNTY2LjA1IDE0NC43IDU2Ni4wMyAxNDQuNjhaTTU1Ni4xNSAxMzMuMTND&#10;NTU2LjUyIDEzMy4yIDU1Ni43NyAxMzMuMzUgNTU3LjAyIDEzMy41NCA1NTcuMjUgMTMzLjcyIDU1&#10;Ny40NyAxMzMuOTEgNTU3LjY4IDEzNC4xMSA1NTguMDUgMTM0LjQ0IDU1OC40MSAxMzQuNzYgNTU4&#10;Ljc4IDEzNS4wOSA1NTkuNTEgMTM1Ljc1IDU2MC4yNSAxMzYuNCA1NjAuOTkgMTM3LjA2IDU2Mi41&#10;MiAxMzguNDEgNTY0LjA1IDEzOS43NiA1NjUuNTcgMTQxLjEyIDU2Ny40NyAxNDIuODIgNTY5LjI3&#10;IDE0NC41OCA1NzEuMTkgMTQ2LjI3IDU3MS4zOSAxNDYuNDUgNTcxLjQzIDE0Ni43NCA1NzEuMzcg&#10;MTQ2Ljk1IDU3MS4zIDE0Ny4xOSA1NzEuMSAxNDcuNDEgNTcwLjggMTQ3LjU0IDU3MC41MiAxNDcu&#10;NjcgNTcwLjE3IDE0Ny43MiA1NjkuODQgMTQ3LjY3IDU2OS40NyAxNDcuNjIgNTY5LjI0IDE0Ny40&#10;NyA1NjkuMDEgMTQ3LjI3IDU2Ny45NyAxNDYuMzYgNTY2LjkyIDE0NS40NSA1NjUuODUgMTQ0LjU1&#10;IDU2NS44OCAxNDQuNTcgNTY1LjkgMTQ0LjU5IDU2NS45MyAxNDQuNjEgNTY0LjMzIDE0My4yNiA1&#10;NjIuOCAxNDEuODggNTYxLjI5IDE0MC40OSA1NTkuODUgMTM5LjE2IDU1OC40MiAxMzcuODIgNTU3&#10;LjAzIDEzNi40NiA1NTYuNjIgMTM2LjA2IDU1Ni4yMyAxMzUuNjYgNTU1Ljg1IDEzNS4yNSA1NTUu&#10;NjUgMTM1LjA0IDU1NS40NiAxMzQuODIgNTU1LjI4IDEzNC42IDU1NS4wNSAxMzQuMzIgNTU0Ljg1&#10;IDEzNC4wMiA1NTQuOTQgMTMzLjY4IDU1NS4wMyAxMzMuMzQgNTU1LjQ5IDEzMy4wOCA1NTUuOTcg&#10;MTMzLjEgNTU2LjAyIDEzMy4xIDU1Ni4wOCAxMzMuMSA1NTYuMTMgMTMzLjEyWiIgZmlsbD0iIzAx&#10;MDEwMSIvPjxwYXRoIGQ9Ik01NjMuOTkgMTMwLjQyQzU2My45OSAxMzAuNDIgNTY0LjA1IDEzMC40&#10;NyA1NjQuMDcgMTMwLjQ5IDU2NC4wNCAxMzAuNDcgNTY0LjAxIDEzMC40NCA1NjMuOTkgMTMwLjQy&#10;Wk01NjIuOSAxMjYuNjFDNTYzLjI3IDEyNi43NiA1NjMuNjIgMTI2Ljk1IDU2My45NSAxMjcuMTQg&#10;NTY0LjU3IDEyNy41MSA1NjUuMTcgMTI3LjkgNTY1Ljc2IDEyOC4zIDU2Ni45IDEyOS4wNyA1Njgu&#10;MDEgMTI5Ljg2IDU2OS4xMiAxMzAuNjYgNTcxLjI5IDEzMi4yMiA1NzMuNDMgMTMzLjc5IDU3NS41&#10;NSAxMzUuMzggNTc2LjMxIDEzNS45NSA1NzcuMDggMTM2LjUyIDU3Ny44MyAxMzcuMSA1NzguNjYg&#10;MTM3Ljc1IDU3OS40MiAxMzguNDMgNTgwLjIgMTM5LjEgNTgwLjM4IDEzOS4yNSA1ODAuNTYgMTM5&#10;LjM5IDU4MC43NCAxMzkuNTMgNTgxLjA3IDEzOS43OSA1ODEuMyAxNDAuMDQgNTgxLjMzIDE0MC40&#10;IDU4MS4zNiAxNDAuNzQgNTgxLjE5IDE0MS4wOSA1ODAuODcgMTQxLjM0IDU4MC4yMyAxNDEuODUg&#10;NTc5LjAzIDE0MS45MiA1NzguMzIgMTQxLjQzIDU3Ny4xOSAxNDAuNjUgNTc1Ljk2IDEzOS45NiA1&#10;NzQuODUgMTM5LjE4IDU3My43NiAxMzguNDIgNTcyLjc0IDEzNy42MSA1NzEuNzMgMTM2Ljc5IDU2&#10;OS43IDEzNS4xNiA1NjcuNzIgMTMzLjUxIDU2NS43MyAxMzEuODYgNTY1LjM1IDEzMS41NCA1NjQu&#10;OTYgMTMxLjIyIDU2NC41OCAxMzAuOSA1NjQuMzQgMTMwLjcgNTY0LjA5IDEzMC40OSA1NjMuODUg&#10;MTMwLjI5IDU2My4yNyAxMjkuOCA1NjIuNjkgMTI5LjMgNTYyLjEyIDEyOC44IDU2MS44NyAxMjgu&#10;NTggNTYxLjYyIDEyOC4zNiA1NjEuMzkgMTI4LjE0IDU2MS4xNCAxMjcuODkgNTYwLjgzIDEyNy41&#10;OCA1NjAuODUgMTI3LjI2IDU2MC44NyAxMjYuOTMgNTYxLjA5IDEyNi41NSA1NjEuNiAxMjYuNDYg&#10;NTYxLjc4IDEyNi40MyA1NjEuOTUgMTI2LjQyIDU2Mi4xMiAxMjYuNDIgNTYyLjM5IDEyNi40MyA1&#10;NjIuNjUgMTI2LjQ5IDU2Mi45MSAxMjYuNTlaIiBmaWxsPSIjMDEwMTAxIi8+PHBhdGggZD0iTTU4&#10;NC4yMyAxMzUuODlDNTg0LjMgMTM1Ljk2IDU4NC4zOCAxMzYuMDIgNTg0LjQ2IDEzNi4wOCA1ODQu&#10;MzkgMTM2LjAyIDU4NC4zMSAxMzUuOTUgNTg0LjIzIDEzNS44OVpNNTczLjE0IDEyMi41N0M1NzMu&#10;NDIgMTIyLjY4IDU3My42MiAxMjIuODUgNTczLjgyIDEyMy4wMiA1NzQuMDcgMTIzLjIyIDU3NC4z&#10;IDEyMy40MiA1NzQuNTQgMTIzLjYyIDU3NC45MyAxMjMuOTYgNTc1LjMxIDEyNC4zIDU3NS43IDEy&#10;NC42NCA1NzYuNDUgMTI1LjMxIDU3Ny4xOCAxMjUuOTkgNTc3LjkxIDEyNi42NyA1NzkuNDQgMTI4&#10;LjA4IDU4MC45OSAxMjkuNDcgNTgyLjU2IDEzMC44NiA1ODMuNiAxMzEuNzggNTg0LjYzIDEzMi43&#10;IDU4NS41OCAxMzMuNjcgNTg2LjUzIDEzNC42NCA1ODcuNTEgMTM1LjU4IDU4OC41MiAxMzYuNTEg&#10;NTg4Ljc0IDEzNi43MSA1ODguNzkgMTM3LjAyIDU4OC43MiAxMzcuMjUgNTg4LjY1IDEzNy41MSA1&#10;ODguNDIgMTM3Ljc1IDU4OC4xIDEzNy45IDU4Ny43OSAxMzguMDQgNTg3LjQyIDEzOC4wOSA1ODcu&#10;MDYgMTM4LjA0IDU4Ni42NiAxMzcuOTggNTg2LjQgMTM3LjgyIDU4Ni4xNiAxMzcuNiA1ODUuNiAx&#10;MzcuMDkgNTg1LjAzIDEzNi42IDU4NC40NSAxMzYuMSA1ODMuNjYgMTM1LjQ1IDU4Mi44NCAxMzQu&#10;ODIgNTgyLjA1IDEzNC4xNyA1ODEuMTggMTMzLjQ1IDU4MC4zNSAxMzIuNzEgNTc5LjU0IDEzMS45&#10;NSA1NzguMDQgMTMwLjU1IDU3Ni42MSAxMjkuMTEgNTc1LjI4IDEyNy42NCA1NzQuNjEgMTI2Ljkg&#10;NTczLjk2IDEyNi4xNyA1NzMuMzQgMTI1LjQxIDU3My4wNiAxMjUuMDcgNTcyLjggMTI0LjczIDU3&#10;Mi41NSAxMjQuMzggNTcyLjIzIDEyMy45MiA1NzEuNzQgMTIzLjM1IDU3Mi4wNSAxMjIuODMgNTcy&#10;LjE3IDEyMi42MiA1NzIuNTEgMTIyLjUxIDU3Mi44MiAxMjIuNTIgNTcyLjkzIDEyMi41MiA1NzMu&#10;MDMgMTIyLjU0IDU3My4xMiAxMjIuNThaIiBmaWxsPSIjMDEwMTAxIi8+PHBhdGggZD0iTTU4NC42&#10;MiAxMTMuODZDNTg0Ljc2IDExMy44OCA1ODQuOTEgMTEzLjkzIDU4NS4wNSAxMTMuOTcgNTg1LjI5&#10;IDExNC4wNCA1ODUuNSAxMTQuMTggNTg1LjcgMTE0LjMgNTg2LjAxIDExNC40NyA1ODYuMjcgMTE0&#10;LjY4IDU4Ni41NCAxMTQuODggNTg3LjA0IDExNS4yNSA1ODcuNTEgMTE1LjY0IDU4Ny45OCAxMTYu&#10;MDMgNTg5LjAyIDExNi45IDU5MC4wMiAxMTcuNzkgNTkxIDExOC42OSA1OTIuODQgMTIwLjM3IDU5&#10;NC42MyAxMjIuMDggNTk2LjMzIDEyMy44NCA1OTcuMDUgMTI0LjU5IDU5Ny43IDEyNS4zNyA1OTgu&#10;MzYgMTI2LjE1IDU5OS4wNiAxMjYuOTcgNTk5LjgyIDEyNy43NSA2MDAuNjEgMTI4LjUyIDYwMS4x&#10;MyAxMjkuMDMgNjAwLjg0IDEyOS43OCA2MDAuMTMgMTMwLjExIDU5OS43OCAxMzAuMjcgNTk5LjM1&#10;IDEzMC4zMyA1OTguOTQgMTMwLjI3IDU5OC40OSAxMzAuMjEgNTk4LjE3IDEzMC4wMiA1OTcuOSAx&#10;MjkuNzcgNTk3LjM0IDEyOS4yNCA1OTYuNzcgMTI4LjcyIDU5Ni4xNyAxMjguMiA1OTUuMTcgMTI3&#10;LjM4IDU5NC4xMyAxMjYuNTkgNTkzLjE2IDEyNS43NSA1OTIuMjMgMTI0Ljk1IDU5MS4zNSAxMjQu&#10;MTIgNTkwLjQ3IDEyMy4zIDU4OC42NCAxMjEuNTkgNTg2Ljg2IDExOS44NSA1ODUuMjIgMTE4LjA1&#10;IDU4NC43OCAxMTcuNTYgNTg0LjMzIDExNy4wNiA1ODMuOTQgMTE2LjU0IDU4My42NyAxMTYuMTgg&#10;NTgzLjQyIDExNS44MiA1ODMuMjEgMTE1LjQ1IDU4My4wNiAxMTUuMTkgNTgzLjAzIDExNC44OSA1&#10;ODMuMDggMTE0LjYyIDU4My4xNSAxMTQuMjQgNTgzLjY2IDExMy44NCA1ODQuMjMgMTEzLjg1IDU4&#10;NC4zIDExMy44NSA1ODQuMzggMTEzLjg1IDU4NC40NSAxMTMuODUgNTg0LjUgMTEzLjg1IDU4NC41&#10;NiAxMTMuODUgNTg0LjYgMTEzLjg2WiIgZmlsbD0iIzAxMDEwMSIvPjxwYXRoIGQ9Ik01OTUuODIg&#10;MTEwLjAyQzU5Ni4zMiAxMTAuMDggNTk2LjczIDExMC4zMiA1OTcuMTEgMTEwLjU0IDU5Ny4zNSAx&#10;MTAuNjggNTk3LjU3IDExMC44NSA1OTcuNzkgMTExLjAxIDU5OC4zMiAxMTEuMzkgNTk4Ljc5IDEx&#10;MS44IDU5OS4yNyAxMTIuMjEgNjAwLjEyIDExMi45MyA2MDAuOTIgMTEzLjY3IDYwMS43MSAxMTQu&#10;NDMgNjAzLjIxIDExNS44OCA2MDQuNzQgMTE3LjMyIDYwNi4yOCAxMTguNzUgNjA3LjMxIDExOS43&#10;IDYwOC4zNSAxMjAuNjUgNjA5LjQgMTIxLjYgNjA5LjY5IDEyMS44NiA2MDkuNzUgMTIyLjI4IDYw&#10;OS42NiAxMjIuNTkgNjA5LjU2IDEyMi45NCA2MDkuMjYgMTIzLjI2IDYwOC44NCAxMjMuNDUgNjA4&#10;LjQzIDEyMy42NCA2MDcuOTIgMTIzLjcxIDYwNy40NSAxMjMuNjQgNjA3LjI5IDEyMy42IDYwNy4x&#10;MyAxMjMuNTYgNjA2Ljk3IDEyMy41MiA2MDYuNjYgMTIzLjQxIDYwNi40MiAxMjMuMjUgNjA2LjI0&#10;IDEyMy4wNSA2MDQuNjMgMTIxLjU5IDYwMy4wMyAxMjAuMTIgNjAxLjQxIDExOC42NyA1OTkuOCAx&#10;MTcuMjIgNTk4LjEyIDExNS44MSA1OTYuNjIgMTE0LjMgNTk2LjE4IDExMy44NSA1OTUuNzQgMTEz&#10;LjQgNTk1LjMxIDExMi45NCA1OTUuMDggMTEyLjY5IDU5NC44NiAxMTIuNDMgNTk0LjY0IDExMi4x&#10;OCA1OTQuNSAxMTIgNTk0LjM2IDExMS44MSA1OTQuMjQgMTExLjYxIDU5NC4xIDExMS4zNiA1OTQu&#10;MDcgMTExLjEgNTk0LjExIDExMC44MiA1OTQuMjEgMTEwLjMgNTk0Ljk1IDEwOS45OCA1OTUuNjQg&#10;MTEwLjAxIDU5NS42OSAxMTAuMDEgNTk1Ljc1IDExMC4wMSA1OTUuOCAxMTAuMDJaIiBmaWxsPSIj&#10;MDEwMTAxIi8+PHBhdGggZD0iTTYwNC42NyAxMDEuNzlDNjA0LjY3IDEwMS43OSA2MDQuNjUgMTAx&#10;LjgxIDYwNC42NCAxMDEuODJMNjA0LjY0IDEwMS44MkM2MDQuNjQgMTAxLjgyIDYwNC42NCAxMDEu&#10;ODIgNjA0LjY0IDEwMS44MiA2MDQuNjQgMTAxLjgxIDYwNC42NiAxMDEuOCA2MDQuNjYgMTAxLjc5&#10;Wk02MDYuMTcgMTAxLjQ1QzYwNi4xNyAxMDEuNDUgNjA2LjIxIDEwMS40NiA2MDYuMjMgMTAxLjQ3&#10;IDYwNi4yMiAxMDEuNDcgNjA2LjIgMTAxLjQ2IDYwNi4xOSAxMDEuNDUgNjA2LjE5IDEwMS40NSA2&#10;MDYuMTggMTAxLjQ1IDYwNi4xNyAxMDEuNDVaTTYwNS4zMSAxMDEuNEM2MDUuMzEgMTAxLjQgNjA1&#10;LjMxIDEwMS40IDYwNS4zMSAxMDEuNCA2MDUuMzEgMTAxLjQgNjA1LjMxIDEwMS40IDYwNS4zMSAx&#10;MDEuNCA2MDUuMzEgMTAxLjQgNjA1LjMxIDEwMS40IDYwNS4zMSAxMDEuNFpNNjA3LjY0IDEwMi4z&#10;N0M2MDguMTEgMTAyLjc3IDYwOC41NCAxMDMuMiA2MDguOTcgMTAzLjYzIDYwOS45MSAxMDQuNTUg&#10;NjEwLjg0IDEwNS40NyA2MTEuNzYgMTA2LjQxIDYxMy41NSAxMDguMjIgNjE1LjE2IDExMC4xMSA2&#10;MTYuODcgMTExLjk2IDYxNy44NyAxMTMuMDUgNjE4Ljg5IDExNC4xMiA2MTkuOSAxMTUuMjEgNjIw&#10;LjQgMTE1Ljc0IDYyMC4xNiAxMTYuNDcgNjE5LjQyIDExNi44MiA2MTguNjcgMTE3LjE3IDYxNy42&#10;NiAxMTcgNjE3LjE2IDExNi40OCA2MTUuNDUgMTE0LjY2IDYxMy43NCAxMTIuODQgNjExLjk1IDEx&#10;MS4wNiA2MTAuMDkgMTA5LjIxIDYwOC4yNyAxMDcuMzMgNjA2LjU5IDEwNS4zOSA2MDYuMTYgMTA0&#10;Ljg5IDYwNS43NCAxMDQuMzcgNjA1LjM3IDEwMy44NSA2MDUuMTQgMTAzLjUyIDYwNC45IDEwMy4x&#10;OSA2MDQuNyAxMDIuODUgNjA0LjU3IDEwMi42MiA2MDQuNDggMTAyLjM4IDYwNC41IDEwMi4xNSA2&#10;MDQuNTEgMTAxLjk2IDYwNC42MSAxMDEuNzggNjA0Ljc5IDEwMS42NCA2MDQuOTYgMTAxLjUxIDYw&#10;NS4xOCAxMDEuNDIgNjA1LjQgMTAxLjM5IDYwNS41MiAxMDEuMzcgNjA1LjY0IDEwMS4zNiA2MDUu&#10;NzUgMTAxLjM3IDYwNi41MiAxMDEuNCA2MDcuMTQgMTAxLjk4IDYwNy42MiAxMDIuMzhaIiBmaWxs&#10;PSIjMDEwMTAxIi8+PC9zdmc+UEsDBBQABgAIAAAAIQCPvgYz3QAAAAYBAAAPAAAAZHJzL2Rvd25y&#10;ZXYueG1sTI9PT4NAEMXvJn6HzZh4swso/kGWpmnUU2Nia2K8TWEKpOwsYbdAv73jSY9v3uS938uX&#10;s+3USINvHRuIFxEo4tJVLdcGPnevN4+gfECusHNMBs7kYVlcXuSYVW7iDxq3oVYSwj5DA00Ifaa1&#10;Lxuy6BeuJxbv4AaLQeRQ62rAScJtp5MoutcWW5aGBntaN1Qetydr4G3CaXUbv4yb42F9/t6l71+b&#10;mIy5vppXz6ACzeHvGX7xBR0KYdq7E1dedQZkSJBrkoISN7lLZcjewFPyALrI9X/84gcAAP//AwBQ&#10;SwMEFAAGAAgAAAAhACJWDu7HAAAApQEAABkAAABkcnMvX3JlbHMvZTJvRG9jLnhtbC5yZWxzvJCx&#10;agMxDIb3Qt7BaO/57oZSSnxZSiFrSB9A2DqfyVk2lhuat49plgYC3TpK4v/+D21333FVZyoSEhsY&#10;uh4UsU0usDfwefx4fgUlFdnhmpgMXEhgN22etgdasbaQLCGLahQWA0ut+U1rsQtFlC5l4naZU4lY&#10;21i8zmhP6EmPff+iy28GTHdMtXcGyt6NoI6X3Jr/Zqd5Dpbek/2KxPVBhQ6xdTcgFk/VQCQX8LYc&#10;Ozl70I8dhv9xGLrMPw767rnTFQAA//8DAFBLAQItABQABgAIAAAAIQCo1seoEwEAAEkCAAATAAAA&#10;AAAAAAAAAAAAAAAAAABbQ29udGVudF9UeXBlc10ueG1sUEsBAi0AFAAGAAgAAAAhADj9If/WAAAA&#10;lAEAAAsAAAAAAAAAAAAAAAAARAEAAF9yZWxzLy5yZWxzUEsBAi0AFAAGAAgAAAAhAIToFYgjBQAA&#10;Iw8AAA4AAAAAAAAAAAAAAAAAQwIAAGRycy9lMm9Eb2MueG1sUEsBAi0ACgAAAAAAAAAhABjIHB79&#10;4QAA/eEAABQAAAAAAAAAAAAAAAAAkgcAAGRycy9tZWRpYS9pbWFnZTEucG5nUEsBAi0ACgAAAAAA&#10;AAAhAOd+1mD/DwEA/w8BABQAAAAAAAAAAAAAAAAAwekAAGRycy9tZWRpYS9pbWFnZTIuc3ZnUEsB&#10;Ai0AFAAGAAgAAAAhAI++BjPdAAAABgEAAA8AAAAAAAAAAAAAAAAA8vkBAGRycy9kb3ducmV2Lnht&#10;bFBLAQItABQABgAIAAAAIQAiVg7uxwAAAKUBAAAZAAAAAAAAAAAAAAAAAPz6AQBkcnMvX3JlbHMv&#10;ZTJvRG9jLnhtbC5yZWxzUEsFBgAAAAAHAAcAvgEAAPr7AQAAAA==&#10;">
                <v:shape id="Graphic 1" o:spid="_x0000_s1053" type="#_x0000_t75" style="position:absolute;width:15608;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ybizAAAAOIAAAAPAAAAZHJzL2Rvd25yZXYueG1sRI9Pa8JA&#10;FMTvhX6H5RW8lLoxlhhSV/EvCJ6qJdDbI/uapGbfhuyq8du7QqHHYWZ+w0znvWnEhTpXW1YwGkYg&#10;iAuray4VfB23bykI55E1NpZJwY0czGfPT1PMtL3yJ10OvhQBwi5DBZX3bSalKyoy6Ia2JQ7ej+0M&#10;+iC7UuoOrwFuGhlHUSIN1hwWKmxpVVFxOpyNgqgZ7U7fr6t9u85veb5Jjr/LeK3U4KVffIDw1Pv/&#10;8F97pxWk4/EkTpP3CTwuhTsgZ3cAAAD//wMAUEsBAi0AFAAGAAgAAAAhANvh9svuAAAAhQEAABMA&#10;AAAAAAAAAAAAAAAAAAAAAFtDb250ZW50X1R5cGVzXS54bWxQSwECLQAUAAYACAAAACEAWvQsW78A&#10;AAAVAQAACwAAAAAAAAAAAAAAAAAfAQAAX3JlbHMvLnJlbHNQSwECLQAUAAYACAAAACEA/fcm4swA&#10;AADiAAAADwAAAAAAAAAAAAAAAAAHAgAAZHJzL2Rvd25yZXYueG1sUEsFBgAAAAADAAMAtwAAAAAD&#10;AAAAAA==&#10;">
                  <v:imagedata r:id="rId59" o:title="" cropleft="2286f"/>
                  <o:lock v:ext="edit" aspectratio="f"/>
                </v:shape>
                <v:shape id="Text Box 1742025761" o:spid="_x0000_s1054" type="#_x0000_t202" style="position:absolute;left:219;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yOyAAAAOMAAAAPAAAAZHJzL2Rvd25yZXYueG1sRE9fa8Iw&#10;EH8f7DuEG+xtphan0hlFSoUNxqBVwcejubXF5lKaqNm3XwYDH+/3/1abYHpxpdF1lhVMJwkI4trq&#10;jhsFh/3uZQnCeWSNvWVS8EMONuvHhxVm2t64pGvlGxFD2GWooPV+yKR0dUsG3cQOxJH7tqNBH8+x&#10;kXrEWww3vUyTZC4NdhwbWhwob6k+Vxej4JQWTRG+yu2RPz7LcC7yfX6plHp+Cts3EJ6Cv4v/3e86&#10;zl/M0iR9Xcyn8PdTBECufwEAAP//AwBQSwECLQAUAAYACAAAACEA2+H2y+4AAACFAQAAEwAAAAAA&#10;AAAAAAAAAAAAAAAAW0NvbnRlbnRfVHlwZXNdLnhtbFBLAQItABQABgAIAAAAIQBa9CxbvwAAABUB&#10;AAALAAAAAAAAAAAAAAAAAB8BAABfcmVscy8ucmVsc1BLAQItABQABgAIAAAAIQDIhYyOyAAAAOMA&#10;AAAPAAAAAAAAAAAAAAAAAAcCAABkcnMvZG93bnJldi54bWxQSwUGAAAAAAMAAwC3AAAA/AIAAAAA&#10;" filled="f" stroked="f">
                  <v:textbox inset="0,,0">
                    <w:txbxContent>
                      <w:p w14:paraId="4079F143" w14:textId="2AF61D9E" w:rsidR="00D245F7" w:rsidRPr="000326C6" w:rsidRDefault="00546408" w:rsidP="00D245F7">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21296963" w14:textId="77D40B55" w:rsidR="00D245F7" w:rsidRPr="00697AE5" w:rsidRDefault="00D245F7" w:rsidP="00D245F7">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sidR="00735BED">
                          <w:rPr>
                            <w:b/>
                            <w:bCs/>
                            <w:color w:val="000000"/>
                            <w:sz w:val="20"/>
                            <w:szCs w:val="20"/>
                          </w:rPr>
                          <w:t>7</w:t>
                        </w:r>
                      </w:p>
                    </w:txbxContent>
                  </v:textbox>
                </v:shape>
                <w10:wrap type="square" anchorx="page"/>
              </v:group>
            </w:pict>
          </mc:Fallback>
        </mc:AlternateContent>
      </w:r>
      <w:r w:rsidR="00E44C47">
        <w:t>Recent administrative</w:t>
      </w:r>
      <w:r w:rsidR="00942161" w:rsidRPr="00884FAA">
        <w:t xml:space="preserve"> and reporting arrangements for the IAHP </w:t>
      </w:r>
      <w:r w:rsidR="008706BB">
        <w:t xml:space="preserve">have improved </w:t>
      </w:r>
      <w:r w:rsidR="007317A8">
        <w:t>and recent</w:t>
      </w:r>
      <w:r w:rsidR="00697E82">
        <w:t xml:space="preserve"> changes </w:t>
      </w:r>
      <w:r w:rsidR="006D3F0F">
        <w:t>were</w:t>
      </w:r>
      <w:r w:rsidR="00697E82">
        <w:t xml:space="preserve"> welcomed by ACCHSs</w:t>
      </w:r>
      <w:r w:rsidR="00E44C47">
        <w:t xml:space="preserve"> contributing to the evaluation</w:t>
      </w:r>
      <w:r w:rsidR="00697E82">
        <w:t>. This</w:t>
      </w:r>
      <w:r w:rsidR="00EB3F93">
        <w:t xml:space="preserve"> includes extensions to the </w:t>
      </w:r>
      <w:r w:rsidR="000F7ACE">
        <w:t>PHC Program</w:t>
      </w:r>
      <w:r w:rsidR="00EB3F93">
        <w:t xml:space="preserve"> funding </w:t>
      </w:r>
      <w:r w:rsidR="002F3E66">
        <w:t>agreements</w:t>
      </w:r>
      <w:r w:rsidR="00B556F7">
        <w:t xml:space="preserve">, including a shift to 4-year agreements from 1 July 2024, and </w:t>
      </w:r>
      <w:r w:rsidR="0049189B">
        <w:t xml:space="preserve">improved reporting processes. </w:t>
      </w:r>
      <w:r w:rsidR="000A533F">
        <w:t xml:space="preserve">Despite these improvements, </w:t>
      </w:r>
      <w:r w:rsidR="003E5BC5">
        <w:t xml:space="preserve">the evaluation found that </w:t>
      </w:r>
      <w:r w:rsidR="000A533F">
        <w:t xml:space="preserve">the </w:t>
      </w:r>
      <w:r w:rsidR="004D581E">
        <w:t>administrative bu</w:t>
      </w:r>
      <w:r w:rsidR="000A533F" w:rsidRPr="00884FAA">
        <w:t>rden associated with grant making and reporting requirements</w:t>
      </w:r>
      <w:r w:rsidR="004D581E">
        <w:t xml:space="preserve"> across multiple funders and programs</w:t>
      </w:r>
      <w:r w:rsidR="000A533F">
        <w:t xml:space="preserve"> continues to </w:t>
      </w:r>
      <w:r w:rsidR="005A2757">
        <w:t>strain limited resources within ACCHSs</w:t>
      </w:r>
      <w:r w:rsidR="00747955">
        <w:t xml:space="preserve">. </w:t>
      </w:r>
      <w:r w:rsidR="007366D5" w:rsidRPr="00000D67">
        <w:t>The</w:t>
      </w:r>
      <w:r w:rsidR="007366D5" w:rsidRPr="00884FAA">
        <w:t xml:space="preserve"> evaluation found that </w:t>
      </w:r>
      <w:r w:rsidR="007366D5">
        <w:t xml:space="preserve">the IAHP adds to </w:t>
      </w:r>
      <w:r w:rsidR="007366D5" w:rsidRPr="00884FAA">
        <w:t>the administrative burden</w:t>
      </w:r>
      <w:r w:rsidR="007366D5">
        <w:t>.</w:t>
      </w:r>
      <w:r w:rsidR="007366D5" w:rsidRPr="00884FAA">
        <w:t xml:space="preserve"> </w:t>
      </w:r>
    </w:p>
    <w:p w14:paraId="5A9963C7" w14:textId="1F1C1E4F" w:rsidR="004A0ABD" w:rsidRDefault="00574DD9" w:rsidP="004A0ABD">
      <w:r w:rsidRPr="00000D67">
        <w:t>The transactional nature of funding</w:t>
      </w:r>
      <w:r w:rsidR="00711EB8">
        <w:t xml:space="preserve"> and reporting</w:t>
      </w:r>
      <w:r w:rsidRPr="00000D67">
        <w:t xml:space="preserve"> for Aboriginal and Torres Strait Islander health care has a cumulative impact on services. </w:t>
      </w:r>
      <w:r w:rsidR="00CD1C41">
        <w:t xml:space="preserve">The </w:t>
      </w:r>
      <w:r w:rsidR="00DA1BB9" w:rsidRPr="00884FAA">
        <w:t xml:space="preserve">evaluation found that </w:t>
      </w:r>
      <w:r w:rsidR="00A03F72">
        <w:t xml:space="preserve">many </w:t>
      </w:r>
      <w:r w:rsidR="009462F3" w:rsidRPr="00884FAA">
        <w:t xml:space="preserve">funded </w:t>
      </w:r>
      <w:r w:rsidR="00A147E5" w:rsidRPr="00884FAA">
        <w:t xml:space="preserve">services </w:t>
      </w:r>
      <w:r w:rsidR="009462F3" w:rsidRPr="00884FAA">
        <w:t xml:space="preserve">do not receive enough support </w:t>
      </w:r>
      <w:r w:rsidR="004979B3" w:rsidRPr="00884FAA">
        <w:t>to build capability</w:t>
      </w:r>
      <w:r w:rsidR="00D41E6F">
        <w:t xml:space="preserve"> or enable capacity</w:t>
      </w:r>
      <w:r w:rsidR="00DA1BB9" w:rsidRPr="00884FAA">
        <w:t xml:space="preserve"> </w:t>
      </w:r>
      <w:r w:rsidR="00CD1C41">
        <w:t xml:space="preserve">to </w:t>
      </w:r>
      <w:r w:rsidR="00E34598" w:rsidRPr="00884FAA">
        <w:t xml:space="preserve">use insights from </w:t>
      </w:r>
      <w:r w:rsidR="00304DE8">
        <w:t>reporting</w:t>
      </w:r>
      <w:r w:rsidR="00E34598" w:rsidRPr="00884FAA">
        <w:t xml:space="preserve"> data to contribute to continuous quality improvement processes</w:t>
      </w:r>
      <w:r w:rsidR="004979B3" w:rsidRPr="00884FAA">
        <w:t xml:space="preserve">. </w:t>
      </w:r>
      <w:r w:rsidR="00223AC6">
        <w:t xml:space="preserve">The </w:t>
      </w:r>
      <w:r w:rsidR="006A6530">
        <w:t xml:space="preserve">evaluation found </w:t>
      </w:r>
      <w:r w:rsidR="009454BF">
        <w:t xml:space="preserve">limited </w:t>
      </w:r>
      <w:r w:rsidR="006A6530">
        <w:t xml:space="preserve">evidence of how </w:t>
      </w:r>
      <w:r w:rsidR="001C5FE2">
        <w:t xml:space="preserve">data and knowledge </w:t>
      </w:r>
      <w:r w:rsidR="00E60FEA">
        <w:t xml:space="preserve">generated through the IAHP </w:t>
      </w:r>
      <w:r w:rsidR="006A6530">
        <w:t xml:space="preserve">was used </w:t>
      </w:r>
      <w:r w:rsidR="001C5FE2">
        <w:t>to inform decision</w:t>
      </w:r>
      <w:r w:rsidR="00BE5D35">
        <w:t>-</w:t>
      </w:r>
      <w:r w:rsidR="001C5FE2">
        <w:t>making</w:t>
      </w:r>
      <w:r w:rsidR="00632DAB">
        <w:t xml:space="preserve"> by ACCHSs</w:t>
      </w:r>
      <w:r w:rsidR="009C0413">
        <w:t>. This was associated</w:t>
      </w:r>
      <w:r w:rsidR="003529ED">
        <w:t xml:space="preserve"> with a perception that </w:t>
      </w:r>
      <w:r w:rsidR="000C5D9B">
        <w:t>some data had limited relevance for health service planning and decision-making.</w:t>
      </w:r>
      <w:r w:rsidR="00CA1B61">
        <w:t xml:space="preserve"> </w:t>
      </w:r>
      <w:r w:rsidR="001C5FE2">
        <w:t xml:space="preserve"> </w:t>
      </w:r>
    </w:p>
    <w:p w14:paraId="551C0289" w14:textId="5F692AD9" w:rsidR="008D4B60" w:rsidRPr="00884FAA" w:rsidRDefault="00B515C1" w:rsidP="00651D06">
      <w:pPr>
        <w:pStyle w:val="Heading3NotNumbered"/>
        <w:numPr>
          <w:ilvl w:val="0"/>
          <w:numId w:val="0"/>
        </w:numPr>
      </w:pPr>
      <w:r w:rsidRPr="00884FAA">
        <w:t xml:space="preserve">Orientation </w:t>
      </w:r>
      <w:r w:rsidR="00BD4E84" w:rsidRPr="00884FAA">
        <w:t xml:space="preserve">and role </w:t>
      </w:r>
      <w:r w:rsidRPr="00884FAA">
        <w:t xml:space="preserve">of </w:t>
      </w:r>
      <w:r w:rsidR="00383848">
        <w:t xml:space="preserve">the </w:t>
      </w:r>
      <w:r w:rsidRPr="00884FAA">
        <w:t xml:space="preserve">IAHP in broader </w:t>
      </w:r>
      <w:r w:rsidR="00BD4E84" w:rsidRPr="00884FAA">
        <w:t xml:space="preserve">primary </w:t>
      </w:r>
      <w:r w:rsidR="00F5666B">
        <w:t>care</w:t>
      </w:r>
      <w:r w:rsidRPr="00884FAA">
        <w:t xml:space="preserve"> system </w:t>
      </w:r>
      <w:r w:rsidR="00BD4E84" w:rsidRPr="00884FAA">
        <w:t xml:space="preserve">lacks clarity </w:t>
      </w:r>
    </w:p>
    <w:p w14:paraId="73C6943A" w14:textId="10B9E9E6" w:rsidR="00A57AE0" w:rsidRPr="00884FAA" w:rsidRDefault="00361938" w:rsidP="00E933A8">
      <w:r w:rsidRPr="00884FAA">
        <w:t xml:space="preserve">The evaluation found </w:t>
      </w:r>
      <w:r w:rsidR="0045334B">
        <w:t xml:space="preserve">that </w:t>
      </w:r>
      <w:r w:rsidRPr="00884FAA">
        <w:t xml:space="preserve">the role of </w:t>
      </w:r>
      <w:r w:rsidR="00383848">
        <w:t xml:space="preserve">the </w:t>
      </w:r>
      <w:r w:rsidRPr="00884FAA">
        <w:t xml:space="preserve">IAHP </w:t>
      </w:r>
      <w:r w:rsidR="005502B3">
        <w:t xml:space="preserve">within the </w:t>
      </w:r>
      <w:r w:rsidRPr="00884FAA">
        <w:t>broader health system</w:t>
      </w:r>
      <w:r w:rsidR="00100538">
        <w:t xml:space="preserve"> could be clearer</w:t>
      </w:r>
      <w:r w:rsidRPr="00884FAA">
        <w:t xml:space="preserve">. </w:t>
      </w:r>
      <w:r w:rsidR="00355C28" w:rsidRPr="00884FAA">
        <w:t xml:space="preserve">While funding through </w:t>
      </w:r>
      <w:r w:rsidR="00AD679F">
        <w:t xml:space="preserve">the </w:t>
      </w:r>
      <w:r w:rsidR="00355C28" w:rsidRPr="00884FAA">
        <w:t xml:space="preserve">IAHP </w:t>
      </w:r>
      <w:r w:rsidR="00100538">
        <w:t xml:space="preserve">is </w:t>
      </w:r>
      <w:r w:rsidR="00A13703">
        <w:t>essential</w:t>
      </w:r>
      <w:r w:rsidR="00100538">
        <w:t xml:space="preserve"> </w:t>
      </w:r>
      <w:r w:rsidR="00355C28" w:rsidRPr="00884FAA">
        <w:t xml:space="preserve">to support the </w:t>
      </w:r>
      <w:r w:rsidR="00236710" w:rsidRPr="00884FAA">
        <w:t xml:space="preserve">core </w:t>
      </w:r>
      <w:r w:rsidR="00355C28" w:rsidRPr="00884FAA">
        <w:t>operation</w:t>
      </w:r>
      <w:r w:rsidR="00236710" w:rsidRPr="00884FAA">
        <w:t>s</w:t>
      </w:r>
      <w:r w:rsidR="00355C28" w:rsidRPr="00884FAA">
        <w:t xml:space="preserve"> of ACCHSs, there </w:t>
      </w:r>
      <w:r w:rsidR="00B97F68" w:rsidRPr="00884FAA">
        <w:t>is</w:t>
      </w:r>
      <w:r w:rsidR="00355C28" w:rsidRPr="00884FAA">
        <w:t xml:space="preserve"> uncertainty about</w:t>
      </w:r>
      <w:r w:rsidR="00EC2A8B">
        <w:t xml:space="preserve"> the extent to which </w:t>
      </w:r>
      <w:r w:rsidR="00C927CA">
        <w:t xml:space="preserve">funding </w:t>
      </w:r>
      <w:r w:rsidR="00A13703">
        <w:t xml:space="preserve">delivered </w:t>
      </w:r>
      <w:r w:rsidR="00C927CA">
        <w:t xml:space="preserve">through </w:t>
      </w:r>
      <w:r w:rsidR="00553AFA">
        <w:t xml:space="preserve">the </w:t>
      </w:r>
      <w:r w:rsidR="00EC2A8B">
        <w:t xml:space="preserve">IAHP is intended to </w:t>
      </w:r>
      <w:r w:rsidR="00DA73A2">
        <w:t xml:space="preserve">deliver the full funding </w:t>
      </w:r>
      <w:r w:rsidR="00A13703">
        <w:t>require</w:t>
      </w:r>
      <w:r w:rsidR="00DA73A2">
        <w:t>d</w:t>
      </w:r>
      <w:r w:rsidR="00A13703">
        <w:t xml:space="preserve"> to make </w:t>
      </w:r>
      <w:r w:rsidR="00D4253D">
        <w:t xml:space="preserve">comprehensive </w:t>
      </w:r>
      <w:r w:rsidR="003279C5">
        <w:t>PHC</w:t>
      </w:r>
      <w:r w:rsidR="00A13703">
        <w:t xml:space="preserve"> available to </w:t>
      </w:r>
      <w:r w:rsidR="00D4253D">
        <w:t>Aboriginal and Torres Strait Islander people</w:t>
      </w:r>
      <w:r w:rsidR="00632CBF" w:rsidRPr="00884FAA">
        <w:t xml:space="preserve">. </w:t>
      </w:r>
    </w:p>
    <w:p w14:paraId="010567FF" w14:textId="314ADFF7" w:rsidR="00E933A8" w:rsidRPr="00884FAA" w:rsidRDefault="001757D2" w:rsidP="00E933A8">
      <w:r>
        <w:rPr>
          <w:noProof/>
        </w:rPr>
        <mc:AlternateContent>
          <mc:Choice Requires="wpg">
            <w:drawing>
              <wp:anchor distT="0" distB="0" distL="114300" distR="114300" simplePos="0" relativeHeight="251658281" behindDoc="0" locked="0" layoutInCell="1" allowOverlap="1" wp14:anchorId="2D3B68AB" wp14:editId="04B9E8B0">
                <wp:simplePos x="0" y="0"/>
                <wp:positionH relativeFrom="page">
                  <wp:align>right</wp:align>
                </wp:positionH>
                <wp:positionV relativeFrom="paragraph">
                  <wp:posOffset>69850</wp:posOffset>
                </wp:positionV>
                <wp:extent cx="1560830" cy="509270"/>
                <wp:effectExtent l="0" t="0" r="1270" b="5080"/>
                <wp:wrapSquare wrapText="bothSides"/>
                <wp:docPr id="2116355224" name="Group 2116355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1283764718"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flipH="1">
                            <a:off x="0" y="0"/>
                            <a:ext cx="1560830" cy="620395"/>
                          </a:xfrm>
                          <a:prstGeom prst="rect">
                            <a:avLst/>
                          </a:prstGeom>
                          <a:ln>
                            <a:noFill/>
                          </a:ln>
                          <a:extLst>
                            <a:ext uri="{53640926-AAD7-44D8-BBD7-CCE9431645EC}">
                              <a14:shadowObscured xmlns:a14="http://schemas.microsoft.com/office/drawing/2010/main"/>
                            </a:ext>
                          </a:extLst>
                        </pic:spPr>
                      </pic:pic>
                      <wps:wsp>
                        <wps:cNvPr id="467696302" name="Text Box 467696302"/>
                        <wps:cNvSpPr txBox="1">
                          <a:spLocks noChangeArrowheads="1"/>
                        </wps:cNvSpPr>
                        <wps:spPr bwMode="auto">
                          <a:xfrm>
                            <a:off x="381000"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685B719B" w14:textId="478B5E8D" w:rsidR="001757D2" w:rsidRPr="000326C6" w:rsidRDefault="00546408" w:rsidP="001757D2">
                              <w:pPr>
                                <w:spacing w:after="0" w:line="240" w:lineRule="auto"/>
                                <w:jc w:val="center"/>
                                <w:rPr>
                                  <w:b/>
                                  <w:bCs/>
                                  <w:color w:val="000000"/>
                                  <w:sz w:val="20"/>
                                  <w:szCs w:val="20"/>
                                </w:rPr>
                              </w:pPr>
                              <w:r>
                                <w:rPr>
                                  <w:b/>
                                  <w:bCs/>
                                  <w:color w:val="000000"/>
                                  <w:sz w:val="20"/>
                                  <w:szCs w:val="20"/>
                                </w:rPr>
                                <w:t>Further detail in</w:t>
                              </w:r>
                            </w:p>
                            <w:p w14:paraId="172228B8" w14:textId="4D774E76" w:rsidR="001757D2" w:rsidRPr="00697AE5" w:rsidRDefault="001757D2" w:rsidP="001757D2">
                              <w:pP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7</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3B68AB" id="Group 2116355224" o:spid="_x0000_s1055" alt="&quot;&quot;" style="position:absolute;left:0;text-align:left;margin-left:71.7pt;margin-top:5.5pt;width:122.9pt;height:40.1pt;z-index:251658281;mso-position-horizontal:right;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IuxQJQUAAC0PAAAOAAAAZHJzL2Uyb0RvYy54bWycV1tv&#10;2zYUfh+w/0DocUBi3S9GnKJt1qxAuwZrhnWPtERbQiRRo+jI6a/fR1KS5cSB7TzE4e3cvvMd8ujq&#10;3bYqySMTbcHrheVc2hZhdcqzol4vrL/vP13EFmklrTNa8potrCfWWu+uf/3lqmvmzOU5LzMmCJTU&#10;7bxrFlYuZTOfzdo0ZxVtL3nDamyuuKioxFSsZ5mgHbRX5cy17XDWcZE1gqesbbF6Yzata61/tWKp&#10;/LZatUyScmHBN6l/hf5dqt/Z9RWdrwVt8iLt3aBv8KKiRQ2jo6obKinZiOKFqqpIBW/5Sl6mvJrx&#10;1apImY4B0Tj2s2huBd80Opb1vFs3I0yA9hlOb1ab/vl4K5rvzZ0AEl2zBhZ6pmLZrkSl/sNLstWQ&#10;PY2Qsa0kKRadILRjD8im2AvsxI16TNMcwL8QS/PfDwmGru0lgUrGbDA723OmKdI5/noEMHqBwHGm&#10;QEpuBLN6JdVJOioqHjbNBZLVUFksi7KQT5p4SItyqn68K9I7YSYA806QIgMsbuxFoR85oH9NKxD/&#10;tueYo6JUkuqwEaUqtC88fWgVAPt7erpnZFkWzaeiLIng8p9C5t9z2kC/o+mnNvv4QPJnJDkAkSHg&#10;DU83FaulqSjBSoTK6zYvmtYiYs6qJUNM4nOmnafzVqR/obJUTXl+HJsiaqVgMs2HEAY3TbAtCEaW&#10;3VeewVW6kVx7qwhGVnD5j8H/k6l2gDGAUbTylvGKqAEcho/aDn380kpDruGI4nVZq9+aKzTNrlrR&#10;iCt/+yHyoSoD11M7QIvZC3DPqkCdM7im1O5I44dRmISe7Q6cuVdV9oFvyW4HfvZCqmaJ3GJ7AK9t&#10;NIlIzT/mtF6z90LwLmc0g7c6c6gpbU+JGj2v52VS+F7s2DZKHBXuhpEXmXyPN4ATubEf9DeA68WR&#10;v1fIdJ5uTFqUyiEVuCkzJEUtrbO+RFJe120h2Q/YWlUl7uHfZsQmHXF6Ewj+wPF/94/nJBidOHD6&#10;hzNRHoRuEobHLUxlbHLMAvI3ut+7ftzEVOi4Ce8tJqZCBqOjofgTO0Ec+q53PJI9GZ2Ko2bAnhGx&#10;ExI+PX5iIOF5FvaPTxOOB2pkLs3NvQKKb+uezRgRFJ96KBVbG96qR3BKbZTRMAV1zcUDKXX6iDBo&#10;OBU2Na2lThAGwabC7lmWQZ2psHeWMAgxFR6uh9NiRq6nwkOTcJow0jgVDqduI5FQ0mdNPRXqOSt1&#10;iyjx6uH5sAhaxKWSQR6pVMkehqTDlTpcfDk6H3PlEFyKYqN64W8PAwMq/sjuuRaUz/ohuLDbTTfL&#10;Iv3Afk7POq4fqxYCQVw4SaJhhy9aj6daDIOO40ZhfyubPXOvabmRYXvqDxmLkigIot7Yc41JEAeR&#10;YUFsJ0kPinZkxAFenm7NceIgdhNtznFsz7waQ3COk4SxYyiLFiMECCYNLyzuLnuV0KNBxjHabKM3&#10;gFXEO9EbuX4QGrgDx4sDTbbBJXP9aX/PtOn7sRv1aj0v3k+jC/hgSKU4cEPX2YPWPLpnmrtw4bsB&#10;1neCJNasH6K4cL3EM764XhgHe5Qy5l7JYclbBqyAsqqFcaCLQkO/e+THlurVHqtDI2J6LDWS2+W2&#10;b5tVOtTSkmdP6G/Q4ypSqS9MDHIuflqkQye9sNr/NlQ18+XnGu0Njkg98IPIxUQMq8vpKq1TqFhY&#10;qG8z/Cgxw/FNI4p1Dgumi675e7Soq0L3jDtvELOaoA/UI/1NpnHovx/VR990rk/tvnKv/wcAAP//&#10;AwBQSwMECgAAAAAAAAAhABjIHB794QAA/eEAABQAAABkcnMvbWVkaWEvaW1hZ2UxLnBuZ4lQTkcN&#10;ChoKAAAADUlIRFIAAAnEAAADRQgGAAAAX+9tDgAAAAFzUkdCAK7OHOkAAAAEZ0FNQQAAsY8L/GEF&#10;AAAACXBIWXMAADqWAAA6lgEjrlQ8AADhkklEQVR4Xuzdb4gc+Z8f9vLd/X73W5/vtu+P73T2STfn&#10;I0QXS6eJ45zI7glPcARCWHhsb2RBlnhMpBMciz06ydloBjKDHjgxAU30wMGBNeNgPwgbsoPBECUW&#10;HsM9WIeFDMRZnCXBg0az9BLjzMWJ44QkntR3ulsalT7zr6u6u6r69YYX+ztp59tV3dVVNVvv+34z&#10;EREREREREREJ0znGzDFmjzF3hPkTLBxh8QSrkd/1u37X2jHWh7AxQZsTtjVh2xMWbdO4RJ/HuETH&#10;4jhF38Ozir7/oeg8coLofHSU6Nx2nOgceZTofDtQPD9H5/PiuV9ERERERERERERERERERKT1KT4s&#10;L4oesB9WfCBfFD3EPywqABwWlQkOi8oJh0VFhwNRaaIgKmAMRAWPJCqeDESFmMOisk6yd4J9ACih&#10;eF2JrkXFa1bxGhddE6Pr51vX2uj6nCtey6Prf3TPkBTvMwb3I4fvXQb3OCIiIiIiIiIiMiU5/OBr&#10;VA7/B6g6OPywri6K//FukqL/uDhO0X/0HJfif4Adt+g/Ck9CtG2TFn1e4xYdr+MUfV/HJTpvjUN0&#10;Dh+H6FpG/F7VRXT81En0vTqL6JxwVtF57ayi8/NZRdedUys+UC0helh7FtED4MOKD4yLig+Yi6KH&#10;0ocVH2JHooffAAC8MbhvOnyfNbgfG9y3Hb7HO3w/eHBfGdyzDu57D99HD+7JD9/jD35XOPx7zeB3&#10;LxEREREREZEwgwd2g18qB79wvvMQZvCLa9/hX2gHDv/CO3D4QcbA4YcXhx3+ZXrg8EOKcYu2JxLt&#10;SyR6L6ZN9L6cJHrPjxJ9jieJ/gMPAAAAAADNMvhvvof/m/HgvzMP/hv14ecXh59vKO6JiIiIiIg0&#10;NOmXssX+L3bpF7/0y2D0SyMAAAAAAADVU9wTERERERGpIAv5L0jpF6noFy8AAAAAAAA47KzFvcPl&#10;vZOKe8Xy3uECX7HEd7jId1SZT6FPRERERGSK0un/AhL9IgMAAAAAAABtNCj0FUt9h4t9h8t9R5X8&#10;ig7P2Bc5KANGsncLgpHDpcGziMZ6R7Rdx4j27zSisQ5E25RL2z8oRaYC5KDsKCIiIiLybvIby3TT&#10;Gf0SAAAAAAAAAFBnqcC4nvVKc0pyIiIiInJQiEs3ia9vGvM/OnwDCQAAAAAAANAUW1lvNjkRERER&#10;mdbkN4VvFeIAAAAAAAAAGk4xTkRERGSKsxrcIAIAAAAAAAA0WqYUJyIiIjKdyW8G14o3hwAAAAAA&#10;AABNlynFiYiIiExtZvMbwn9WvEEEAAAAAAAAqJssy8L/Hcn/fiY9EBURERGRKUt+M7hdvDkEAAAA&#10;AAAAqIPshOLbMdZ7T0RFREREZJoyE9wYHiv/mW7+TyU6AAAAAAAAoM7+t94jURERERGZpswFN4Yn&#10;2ej/7CBpquFkLjffl9bkTxZzq0n+c2u59b6N3GbfVi4V7JK9XPSaAAAAAAAAAGf1NzNLp4qIiIhM&#10;VRaCm8KT7PV/dtTp5AZlu9lcVLgblO5eF+8G8u1MBbzDJbxBEe9wGW9QyBsYFPMG5TwFPQAAAAAA&#10;ABizbPhlUo+Slk9VjBMRERGZgiwGN4Mnyn8uldWmMWm/BwZlvUFhb1DaO1zcO6q891aBL39Po/Le&#10;4QJfVOSLCn3FUt/hYp+CHwAAAK3xfue9Y52/0DnWpcvnjvXBhzNHunHz4qncvnPlVO7dv3pqDx5d&#10;O9HKk+un9vTZrVP7bP2joX3+xcelPH9xt5Qvv/qEFog+26aIjutJir6nVYrOIVUqnsuic2FSPIcW&#10;z7/F83Z0zk+K14jiNSW6DkXXLgBqI62GpRgnIiIi0uKkMlZ0I3is/OdS+WvobG+vdF51l+defru0&#10;uNtdXnv13fL6zndLm0n+5xvpz152lxbSv9P/ERltDhf9imW/gUHp73DxLyoARkXAYwuBR8mPtUFR&#10;8CjFAmFRsVBYFBUMi4qFw8OK5cNIsZB4VuF3EAAAqFb0IHug+NB7oPhw/LDoYXpSfPB+WPEh/UDx&#10;Yf5h0cP/pFgUOCwqFgxEpYYkKlMMRMWPw6JSy2Fff/PwWK++WwaAVihe46LrYvE6OrjeFq/Nh6/f&#10;g2t88X5gcL9QvLcY3HsU71MG9zGH73cO3xNF91AADacYJyIiItLG5Dd6qTQU3QAeK//RVG46Uw4K&#10;cN3Hqzvd5a1X3aW96D8IHCX9TCrJ7e4ulSriiUxxiqXHYRRLksM6XK4cRrGQOYyoxAkDxTJvWYfL&#10;wFUIS8Rl5Nf2qHRcRrGgXJWo3DyUH/3R7/2tyPe//8O/fdjv/t3f//I03n//B1+dxk/99I9tneRn&#10;f/bH/35R5yff+4dFP/3TP/byKD/7s79n9yTnfv7Hu0f5/b///f/lOBcudP5xkr/W/170e3/v7/mn&#10;kZ/9uR//Z8c59/M/8X8f5ff9vvf/n6P8wi+8//8d5fBDHEbrcAlo0ooP9U7rcCnprIoPGE/rcKlp&#10;GMUHnqd1uBh1VocfvJ5V8SFu0eGC1WHFh8KHRQ+RB4oPnAei3zkBADibw/dXh+/BDt+rDe7nivd9&#10;h+8RB/eZxXvWwT3v4fvnw/fgxfv5we8Dh39PUeYDzkAxTkRERKRNSTd4hRu+U5mb+wN/Nc3g9nqG&#10;t+7yxmCGt7d0l7cGol+ah5HGSsW69Po73z6eT1LZbiCV5pLt7qczr22vdA7r776IiExBiteAtxy+&#10;VhwyuJZEDl9zBgbXo8jB9bIov36GDq5vbzsohB8hvy6un1p+rT6N8Hp+lEPX+ZPk27B9Kqk0P6zg&#10;vgEAAADgsCrLfKcp8h0u8x1V5DuqzBc9nwFGSjFOREREpA1JN3aFG71TSb+4Rb9INtq7D9XfekD/&#10;zsP9QikgKhXkP/dWGSEqM5wkKkecWlS2aJuoaBKISiqH5Z/XOwWX40QlmSQq1rwlKuTk+l9JOSbR&#10;+xaK3veC6LOLRJ/9YdGxFImOyVB0jEei73tBdD6JFM9TR4rOcQXF8+KRiufTI+Sv+9Z5+LXi+Xog&#10;OrcDAAAAQEscV+SLSnzFAt9ZZ+OLynuKe0yJtUwxTkRERKS5yW/oNgs3eKfSykIc1FlU/jmrqFg0&#10;atF2RKJ9BgAAAACgcU5T3Dtree+0xT3lPSqWinEiIiIi0rTkN3LbhRu7U0m/NES/5AAAAAAAAEDd&#10;HVfcG3bWvUFx73B5b1DcK5b3FPcaYy/LsoXek1URERERaUTym7ihCnFJ+iUh+gUCAAAAAAAAqMZp&#10;Zt07XNw7S3nvNLPuHS7wHVXiG2WRL439gx98L/y7MdrKsmy+94RVRERERGqd4Gbu1NJNdnRTDgAA&#10;AAAAADAo8xULfcViX2Twc4OxUvEvemY5ZhtZls30nrSKiIiISB3TCW7iTi3ddB6+oQUAAAAAAAAY&#10;lVSUSzPTRc8ux2yt/7xVRERERGqWmeDm7dTS1MrRjSgAAAAAAADAKKRZ49LSrtHzy3HLsmyx99hV&#10;REREROqSUoW4B4+uhTehAAAAAAAAAKOUJu+InmFOwFaWZQu9x68iIiIiMumUKsSl/8+L6OYTAAAA&#10;AAAAYNTSEqqXLp8Ln2VOQCrGzfQew4qIiIjIpFKqEJfW549uPAEAAAAAAADGpUazxSXr6Tls73Gs&#10;iIiIiIw7s8EN2qm933kvvOEEAAAAAAAAGKeazRaXrPWfyYqIiIjIGFOqEJd8/c3D8IYTAAAAAAAA&#10;YNxqNltcWkZ1ofdoVkRERETGkdKFuM+/+Di80QQAAAAAAACYhC+/+mT/xs2L4fPNCdnMLKMqIiIi&#10;MpaULsT9e0v/+j+ObjIBAAAAAAAAJqlms8UlllEVERERGXFKF+L+7L/zh7ejm0sAAAAAAACASfv6&#10;m4f7t+9cCZ91TsheZhlVERERkZFlLrgBO5Mrs7/vf45uLAEAAAAAAADq4umzW/vvd94Ln3lOyFZm&#10;GVURERGRylO6EPdLf+CnzBAHAAAAAAAA1F4NZ4tLLKMqIiIiUmFKF+K+9/0f/j+im0kAAAAAAACA&#10;OkqzxZ2/0Amff06IZVRFREREKkrpQlyS/j8pohtJAAAAAAAAgLqq4WxxllEVERERKZnZ4CbrzJ6/&#10;uBveQAIAAAAAAADUWXrWWbPZ4hLLqIqIiIgMmUoKcX/tb/zp/ym6eQQAAAAAAABoggeProXPQifI&#10;MqoiIiIiQ6SSQty93/i1/za6aQQAAAAAAABoijRb3KXL58JnohOUllGd7T3eFREREZGTMhPcUJ3Z&#10;zVv/4t+NbhgBAAAAAAAAmmblyfXwueiEWUZVRERE5BSppBB3/kLn70U3igAAAAAAAABN9OVXn+zf&#10;uHkxfD46QZZRFRERETkhlRTivv/9H/k2ukkEAAAAAAAAaLKnz27tv995L3xOOkFpGdWZ3iNfERER&#10;ETmcTnDzdGY/9EM/9DvRzSEAAAAAAABA0339zcP923euhM9KJ8wyqiIiIiKFVFKIS/7+P/itl9HN&#10;IQAAAAAAAEAbPH9xd//8hU74vHSCtjPLqIqIiIi8TmWFuP/yb/7bX0U3hQAAAAAAAABtcu/+1fCZ&#10;6YRtZJZRFREREamuEPfn/vyH/3V0MwgAAAAAAADQNmm2uEuXz4XPTicpy7LV3qNgERERkSlNdJM0&#10;jD/xp/7gRnQjCAAAAAAAANBWK0+uh89PJ2wry7L53hNhERERkSlLfjO0V7g5Gsq/+mu/8J9HN4AA&#10;AAAAAAAAbZZmi7tx82L4HHXC1jPLqIqIiMi0Jb8JqqQQ96M/+r2/Fd38AQAAAAAAAEyDms4Wl5ZR&#10;Xew9HRYRERGZguQ3QNvFG6Ihbb7qLu1FN34AAAAAAAAA0+Drbx7u375zJXqeOmlpGdXZ3lNiERER&#10;kRYn3fgUboSGtbfTXd6KbvoAAAAAAAAApsnnX3y8f/5CJ3quOmlr/UfFIiIiIu1MfsNTVSEu3dit&#10;F2/0AAAAAAAAAKbVvftXw2erk5Zl2ULvibGIiIhIy5Lf7FRWiPtq68/9J9FNHgAAAAAAAMC0ev7i&#10;bl1ni0vLqM70nhyLiIiItCT5Tc5m4aZnaE+eXH8Q3eABAAAAAAAATLuVJ9fD56w1YBlVERERaU/y&#10;m5vKCnF/9I/+8n8Y3dgBAAAAAAAA0Jst7tLlc+Hz1gnbyyyjKiIiIm1IfmOzUbjRGVqn84PH0U0d&#10;AAAAAAAAAG/UeLY4y6iKiIhIs5Pf0KwXbnCGlg+3+qq7tBfd0AEAAAAAAADwxtffPNy/fedK+Oy1&#10;BiyjKiIiIs1MupEp3NiUsbHTXd6KbuYAAAAAAAAAeFdaRvX8hU70/HXSLKMqIiIizUt+E1NlIW7z&#10;VXd5I7qJAwAAAAAAAOBoDx5di57B1sFmZhlVERERaUrym5cqC3F7u93ltejmDQAAAAAAAIDjpdni&#10;PvhwJnoWWweWURUREZFGZDW4kRnW3svu49Xoxg0AAAAAAACA01l5cn3//c570TPZSdvKLKMqIiIi&#10;NU+Vhbj9v/237/5b0Q0bAAAAAAAAAKf39TcP92/fuRI+l62B9cwyqiIiIlLTLAY3L0P743/yV25G&#10;N2sAAAAAAAAAnF1aRvX8hU74fHbSsixb7T12FhEREalPFqIbl2H90i/9zB+LbtIAAAAAAAAAGF5a&#10;RjV6RlsDaRnV+d7jZxEREZHJp9JCXD7e4qvu0l50gwYAAAAAAADA8NJscZZRFRERETk+88GNytDy&#10;8VZ3ustb0c0ZAAAAAAAAAOU9fXarzsuoLh48iRYRERGZUCotxOU2dr5b2oxuygAAAAAAAACozr37&#10;V6NntnWQllGd7T2SFhERERlv5oKbkzI2drvLa9HNGAAAAAAAAADVSsuoXrp8Lnp2WwdrWZZ1eo+m&#10;RURERMaT2eCmpIytl93Hq9GNGAAAAAAAAACjsfLkevT8thayLFvoPZ4WERERGX1mohuSEvZ2vn08&#10;H92AAQAAAAAAADA6X3/zcP/2nSvRc9w6sIyqiIiIjCWd4EakDIU4AAAAAAAAgAn6bP2j/fMXOtHz&#10;3DpIy6iKiIiIjCxVF+L2/+O/fOtXo5suAAAAAAAAAMbnwaNr4TPdGtjLLKMqIiIio0pw81HK5cs/&#10;fy262QIAAAAAAABgvJ6/uLt/6fK58NluDaRlVGd6T65FREREKkp+k7FXuOkoJR9y7lV3aS+62QIA&#10;AAAAAABg/FaeXA+f79aEZVRFRESkuuQ3F1UX4uZ3ustb0U0WAAAAAAAAAJPx9TcP92/fuRI+560B&#10;y6iKiIhINclvLLYKNxql5EMu7ny3tBndYAEAAAAAAAAwWWkZ1fMXOuHz3hpIy6jOHjzMFhERERkm&#10;6YaicINRSj7kan4TtV68qQIAAAAAAACgPhqwjGrn4KG2iIiIyFmS30hsFm4sylrb7S6vRTdUAAAA&#10;AAAAANRHmi3uxs2L0XPfWsiybLH3ZFtERETklMlvIqouxG287D5Os8SFN1QAAAAAAAAA1MvTZ7f2&#10;3++8Fz3/rYO0jOpC7wm3iIiIyAnJbx7WCzcTZW3ufPt4PrqJAgAAAAAAAKC+bt+5Ej0Drov1LMtm&#10;ek+6RURERI5IftOwVriJKGv7VXd5Lrp5AgAAAAAAAKDe0jKqly6fi54F18Va/3G3iIiIyLtJNwuF&#10;m4ey9ra3VzrRjRMAAAAAAAAAzbDy5Hqdl1HdziyjKiIiIkdkNbh5KEUhDgAAAAAAAKAd7t2/Gj4X&#10;romtzDKqIiIiUkjlhbh8zM6r7tJedLMEAAAAAAAAQLNYRlVERESalMXgZqGUfMzZne7yVnSjBAAA&#10;AAAAAEAz1XwZ1b3MMqoiIiKSZyG4USglH3Nu57ulzegGCQAAAAAAAIBma8AyqrMHT8NFRERkKjMf&#10;3CCUko+5sNtdXotujAAAAAAAAABovoYso9o5eCouIiIiU5W54MaglHzMxZfdx6vRTREAAAAAAAAA&#10;7fH02a398xc64bPjOkjPrw+ejIuIiMjUZDa6KSgjH3P1ZXdpIboZAgAAAAAAAKB9GrCM6vzBE3IR&#10;ERFpfWaCm4Gy1ne+fTwf3QQBAAAAAAAA0E5pGdUPPpyJniHXxXp6Rt57VC4iIiJtTSe4CShr41V3&#10;eS66AQIAAAAAAACg3eq+jGpurf+8XERERFqYURTiNre3VzrRjQ8AAAAAAAAA06EBy6gu9B6bi4iI&#10;SKsSXPjL2laIAwAAAAAAACAto3rj5sXouXJdpGKcZVRFRETalPwCv1e44Je1l8Z91V3ai254AAAA&#10;AAAAAJgullEVERGRsSW/sFddiNtP4+50l7eiGx0AAAAAAAAAptODR9fCZ8w1kSZ/sYyqiIhI05Nf&#10;1LcLF/nS8mE7O98tbUY3OAAAAAAAAABMr4Ysozp78EBdREREmpd0MS9c3EvLh53Nb2TWizc2AAAA&#10;AAAAAJA0ZBnVmYMH6yIiItKc5BfxzcJFvbR82Lnd7vJadFMDAAAAAAAAAAM1X0Y1ScU4ERERaUry&#10;i/coCnELL7uPV6ObGQAAAAAAAAA4LC2jevvOlfD5c01sp+fgBw/ZRUREpN7JL9wbhQt5afmwiy+7&#10;SwvRjQwAAAAAAAAARBqwjOpWZhlVERGReie/YK8XLuCl5cOu7nz7eD66gQEAAAAAAACA4zRkGVXF&#10;OBERkTomXagLF+4qrO/uLs1GNy4AAAAAAAAAcJIGLKN6MFlM78m7iIiI1Cb5RXoUhbiN7e2VTnTT&#10;AgAAAAAAAACn9dn6R01YRnWh9wReRERE6pDV4IJd1qZCHAAAAAAAAABVWXlyPXo2XSepGGcZVRER&#10;kRpkMbhQl7WdBn7VXdqLblQAAAAAAAAA4Ky+/uZh7ZdRza1lWdZJz8xFRERkMlkILtBl7aWBd7rL&#10;W9FNCgAAAAAAAAAM6/mLu/uXLp+LnlXXRpZli+m5uYiIiIw/89HFuaw08M53S5vRzQkAAAAAAAAA&#10;lPX02a398xc64TPrmkjLqC6k5+ciIiIyvoyqENfJb0DWizckAAAAAAAAAFCllSfXw+fWNbKZZdnM&#10;wRN6ERERGXnmgotxafm4s7vd5bXoZgQAAAAAAAAAqpSWUb1950r4/LpG1nqP6UVERGSUmQ0uwqXl&#10;48697D5ejW5EAAAAAAAAAGAUUjGu5suopufpiwdP60VERGQkmYkuwGXl4y7sfPt4ProBAQAAAAAA&#10;AIBRasAyqlvpufrBU3sRERGpNJ3gwltaPu6iQhwAAAAAAAAAk9SAZVQ3siybOXh6LyIiIpVkVIW4&#10;1d3dpdnohgMAAAAAAAAAxiUto9qAYtxa7xG+iIiIlE5woa3C+vb2Sie62QAAAAAAAACAcXv67Nb+&#10;+Qud6Pl2bWSWURURESmf/KK6V7zIVmBDIQ4AAAAAAACAull5cj16xl0nW5linIiIyPDJL6bbhYtr&#10;FTbT2K+6S3vRDQYAAAAAAAAATMrX3zxswjKqG1mWzaRn7yIiInKG5BfRrcJFtQrbaeyd7vJWdHMB&#10;AAAAAAAAAJP2/MXd/UuXz0XPvOtk7eDhvoiIiJwu+cVzs3AxrcJeGnvnu6XN6KYCAAAAAAAAAOoi&#10;LaN6/kInevZdF+kZvGVURURETpP8wjmKQtx+Gju/cVgv3kgAAAAAAAAAQB09eHQtfP5dI1tZls2l&#10;5/EiIiJyRPIL5nrhAlqJfOjObnd5LbqJAAAAAAAAAIA6Ssuo3r5zJXwOXiPrWZbNHDz0FxERkbeT&#10;XyjXChfOSuRDz77sPl6NbiAAAAAAAAAAoM5SMa7my6gma70n/yIiIvI66QJZuGBWIh967mV3aSG6&#10;cQAAAAAAAACAJlh5cj18Jl4je1mWLRwUAEREROQgq8EFs7R83IWdbx/PRzcMAAAAAAAAANAkDVhG&#10;dSvLstmDFoCIiMiUZzG4UJaWxt3dXZqNbhQAAAAAAAAAoGnSMqo3bl4Mn5HXyHqWZTMHbQAREZEp&#10;zUJwgSwtH3d1e3ulE90kAAAAAAAAAEBTPX12a//8hU74rLxG1nqVABERkenLfHBhrMK6QhwAAAAA&#10;AAAAbbXy5Hr0rLxO9rIsW+hVA0RERKYnc8FFsQobafBX3aW96MYAAAAAAAAAAJru628e7t++cyV6&#10;Zl4nW1mWzaZn+CIiItOQ2eBiWIXNNPhOd3kruikAAAAAAAAAgLZ4/uLu/qXL56Jn53WynmXZTHqW&#10;LyIi0ubMBBfBKmynwXe+W9qMbgYAAAAAAAAAoG2ePru1f/5CJ3qGXidrB20BERGRlqYTXPyqkNYi&#10;z/IL/nrxBgAAAAAAAAAA2mzlyfXoOXqdpEluFtJzfRERkbZlVIW4/TT4bnd5Lbr4AwAAAAAAAECb&#10;ff3Nw/3bd66Ez9NrZCuzjKqIiLQtwQWvEvnQnZfdx6vRhR8AAAAAAAAApsHzF3f3L10+Fz5Xr5G0&#10;jKpinIiItCP5hW2vcKGrRD707Mvu0kJ0wQcAAAAAAACAafL02a398xc64fP1usiybPWgSCAiItLk&#10;5Be17eJFrgr50HM73z6ejy70AAAAAAAAADCNVp5cD5+x10haRnXhoFAgIiLSxKSLWeHiVol86IXd&#10;3aXZ6AIPAAAAAAAAANPqy68+2b9950r4rL1GUjHOMqoiItK85BexzcJFrRL50Ivb2yud6OIOAAAA&#10;AAAAANPu+Yu7tV9GNbeWZVnnoGAgIiLShOQXL4U4AAAAAAAAAJiQtIxq3YtxWZatHpQMRERE6p78&#10;wrVevJBVIR/64GL4qru0F13QAQAAAAAAAIA3Hjy6Fj5/r5G0jOpC6gKIiIjUNvkFa61wAavKehp/&#10;p7u8FV3IAQAAAAAAAIC3pWVUb9+5Ej2Dr5NUjJtJnQAREZHaJb9QjaoQt5HG3/luaTO6iAMAAAAA&#10;AAAAsVSMq/syqrm1g+KBiIhIzbIaXLSqcFCIe9Vd3ogu3gAAAAAAAADA8VaeXN9/v/Ne9Ey+NrIs&#10;W0z9ABERkbpkMbpgVSBNkZrtdpfXoos2AAAAAAAAAHA69+5fjZ7L10nqCCyknoCIiMiksxBcqKqw&#10;nQZ/2X28Gl2sAQAAAAAAAIDTS8uo3r5zJXo+XyebWZbNpL6AiIjIpDIfXKCqsJcGf9ldWogu1AAA&#10;AAAAAADA2X3+xcf75y90ouf0dbJ20EgQERGZQEZViEvrhGc73z6ejy7QAAAAAAAAAMDwVp5cD5/V&#10;10lmGVUREZlAZqOLUhXysTuvustz0YUZAAAAAAAAACivAcuobmWKcSIiMsbMBBejSqSxt7ufzkQX&#10;ZAAAAAAAAACgGs9f3G1CMW4j9QgOmgoiIiIjTCe4CFUiH3t2e3ulE12MAQAAAAAAAIBqPX12a//8&#10;hU74DL9G1np1BRERkdFklIW4ufQCr7pLe9GFGAAAAAAAAACo3sqT6+Fz/DrJLKMqIiKjSnThqUI+&#10;9HwaXyEOAAAAAAAAAMbr628eNmEZ1a1MMU5ERKpOfoHZK1xwKpEPvZjG3+kub0UXXwAAAAAAAABg&#10;tJ6/uNuEZVQ3siybSR0DERGR0skvLKMtxH23tBlddAEAAAAAAACA8WjCMqq5tdQzEBERKZX8grJV&#10;uMBUIh96NY2/211eiy62AAAAAAAAAMD4NGQZ1b3MMqoiIlIm+cVks3Bxqcp6Gl8hDgAAAAAAAADq&#10;Iy2jeunyueg5f51sZVk2n3oHIiIiZ0p+ERlVIS6t8Z297D5ejS6wAAAAAAAAAMDkpGVUz1/oRM/7&#10;6yRNxjOT+gciIiKnSrp4FC4mVTkoxO18+3g+urACAAAAAAAAAJN37/7V6Jl/3awdlBxEREROSrpo&#10;FC4iVUnTlyrEAQAAAAAAAEDNpWVUb9+5Ej37r5O9LMsWUhdBRETkyOQXjFEV4rbT+Lu7S7PRxRQA&#10;AAAAAAAAqJenz241YRnVNEHPXOokiIiIRFkNLh5VSM3sbHt7pRNdRAEAAAAAAACAelp5cj3qAdTN&#10;epZlM6mbICIicjgKcQAAAAAAAADAW77+5mETllFN1g7aDyIiIv0sBheLSvTHz151l/aiiycAAAAA&#10;AAAAUG/PX9xtwjKqadKehV5LQUREpj0LwYWiEvnYnfQCO93lreiiCQAAAAAAAAA0Q0OWUd3Ksmw2&#10;dRVERGR6M/pC3HdLm9HFEgAAAAAAAABojgYto7qeZdlM6iyIiMj0ZT64MFQiH/vg4vKqu7wRXSgB&#10;AAAAAAAAgOZJy6heunwu7ArUzFrqLYiIyHRllIW4g2lId7vLa9EFEgAAAAAAAABorrSM6vkLnbAz&#10;UCNpGdWF1F8QEZHpyFxwMahEGju9gEIcAAAAAAAAALTXvftXw95AzaRinGVURUSmILPBRaAS+dgH&#10;hbiX3cer0QURAAAAAAAAAGiHtIzq7TtXwv5AzVhGVUSk5RllIW4+vcDOt4/no4shAAAAAAAAANAu&#10;T5/dasIyqnuZZVRFRFqbmeDEX4l87IOLh0IcAAAAAAAAAEyXlSfXwy5BzaRlVGdTt0FERNqTTnDC&#10;r0Q+9mJ6gd3dpdno4gcAAAAAAAAAtNfX3zxs0jKqndRxEBGR5mfkhbjt7ZVOdOEDAAAAAAAAANrv&#10;+Yu7TVhG9XXPQUREGp7oJF+FfOjVNL5CHAAAAAAAAADQoGVU51PfQUREGprg5F6VNKXoQV51l/ai&#10;ix0AAAAAAAAAMD0atIzqepZlM73Wg4iINCr5SXyvcFKvSro4HGSnu7wVXegAAAAAAAAAgOmTllG9&#10;dPlc1DWom9eTAYmISEOSn7xHVYjb6L+EQhwAAAAAAAAA8I60jOr5C52oc1An21mWLfQaECIiUvuk&#10;E3fhRF6VN4W475Y2owsbAAAAAAAAAMC9+1ej3kHdbGWWURURqX/SCbtwAq/KZv8lst3u8lp0QQMA&#10;AAAAAAAASNIyqrfvXIn6B3VjGVURkTonP1GPqhCXmtEHUYgDAAAAAAAAAE7j6bNbTVhGdS+zjKqI&#10;SD2Tn6Q3CyftqqQ1tA/ysvt4NbqIAQAAAAAAAABEVp5cj7oIdZMmC5rttSNERKQWyU/OoyrEpTb0&#10;QV52lxaiixcAAAAAAAAAwFG+/uZhk5ZR7fRaEiIiMtHkJ+WNwkm6Kq8LcTvfPp6PLlwAAAAAAAAA&#10;ACd5/uJuE5ZR3c+ybLHXlBARkYklPyGvF0/QVem/RPaquzwXXbAAAAAAAAAAAE6rQcuoLvQaEyIi&#10;MvbkJ+K1wom5Mv2XyLa7n85EFyoAAAAAAAAAgLNo0DKq61mWzfSaEyIiMrbkJ+BRFuIO1sfe3l7p&#10;RBcpAAAAAAAAAIBhpGVUL10+F/YVamYtdSdERGRMSSfewom4MvnwB4W4lOjiBAAAAAAAAABQRlpG&#10;9fyFTthbqJHtzDKqIiJjy2pwIq5EPvabQlx3aS+6MAEAAAAAAAAAlHXv/tWwu1AzW5llVEVERp5R&#10;FuJen8R3ustb0QUJAAAAAAAAAKAKaRnV23euhB2GmrGMqojICLMYnHgrkY/9phD33dJmdDECAAAA&#10;AAAAAKjS02e3mrCM6l5mGVURkZFkITjpViIfe7b3EmnJ1OWN6CIEAAAAAAAAADAKK0+uh32GmrGM&#10;qohIxZkPTraVyMd+XYjb7S6vRRcfAAAAAAAAAIBR+fqbh5ZRFRGZsoyyEDfXewmFOAAAAAAAAABg&#10;cp6/uNuEZVS3M8uoioiUzlxwgq1EGrv3Eln2svt4NbrgAAAAAAAAAACMS0OWUd3ILKMqIjJ0xlSI&#10;W1qILjQAAAAAAAAAAONkGVURkXZnNjihViIfe773Elm28+3j+egiAwAAAAAAAAAwCQ1ZRnUrs4yq&#10;iMiZMhOcTCuRj/36hPyquzwXXVwAAAAAAAAAACapIcuormeWURUROVXGUojb7n46E11UAAAAAAAA&#10;AAAmrSnLqGZZttprYoiIyFHpRCfQKuRjL/ZeIsu2t1c60QUFAAAAAAAAAKAuGrSM6nyvkSEiIsWM&#10;pRCXEl1IAAAAAAAAAADqxjKqIiINTnDCrEQ+9NuFuO7SXnQRAQAAAAAAAAComzRbXEOWUX2rnyEi&#10;MvXJT457xZNlFfKh31q3eqe7vBVdQAAAAAAAAAAA6urps1tNWUZ1ttfQEBGZ8uQnRYU4AAAAAAAA&#10;AIBjPHh0LexH1MxalmWdXlNDRGRKk58Mx1OI+25pM7pgAAAAAAAAAAA0QVpG9cbNi2FPok6yLFvo&#10;tTVERKYw+Ylwq3hirEhqHb9OfmFYL14oAAAAAAAAAACaxjKqIiI1TjoBFk6IVXmrELfbXV6LLhIA&#10;AAAAAAAAAE107/7VqC9RN2/1N0REWp/8xDeqQtx6/yUO8rL7eDW6OAAAAAAAAAAANFVaRvXS5XNR&#10;b6JO9jLLqIrItCQ/6W0WToJVUYgDAAAAAAAAAKbCypPr++933ov6E3WSllGd6TU5RERamvxkN6pC&#10;3Eb/JQ7ysru0EF0QAAAAAAAAAADa4vadK1GHom4soyoi7U1+khtLIW7n28fz0YUAAAAAAAAAAKBN&#10;LKMqIjLB5Ce4jcIJrypvFeJedZfnoosAAAAAAAAAAEAbpWVUgz5F3VhGVUTalfzENpZC3Hb305no&#10;5A8AAAAAAAAA0FZff/PQMqoiIuNMfkJbL5zgqrLZf4mDbG+vdKITPwAAAAAAAABA26VlVM9f6ET9&#10;ijqxjKqIND/5yUwhDgAAAAAAAABgDCyjKiIy4uQnsbXCSa0qbxXiUl51l/aikz0AAAAAAAAAwLSw&#10;jKqIyAiTTl6Fk1lVFOIAAAAAAAAAAI7w+Rcf134Z1Z/+6R97mVlGVUSalPzkNapCXJo+863sdJe3&#10;ohM8AAAAAAAAAMC0asIyqn/w0s/9dmYZVRFpSFajE1kF3i3Efbe0GZ3YAQAAAAAAAACm2fMXdxux&#10;jOov//JP/ZV+DUREpLYZWyHuVXd5IzqpAwAAAAAAAACwvP/02a3aL6P6izM/9TtX/tDP/0a/DiIi&#10;UrssRievCmz3x3+d3e7yWnQyBwAAAAAAAADgjXv3r0ZdjFr54MOZr3/jN6/+er8WIiJSmyjEAQAA&#10;AAAAAADUTFpG9dLlc1Eno1b+zMK/8nf71RARkVpkITpZVeCdQtzL7uPV6AQOAAAAAAAAAEBs5cn1&#10;/fc770XdjNpIxb3/7G/86b/Rr4iIiEw0oyrE7fXHf52X3y4tRiduAAAAAAAAAACOd/vOlaifUStp&#10;qdeX3aWFflVERGQiGVshbufbx/PRCRsAAAAAAAAAgJM1ZRnVv/iXbvwjxTgRmVTmoxNTBRTiAAAA&#10;AAAAAABGIC2jGnQ1aiUV9zb+1p/5HxXjRGTcGVsh7lV3eS46SQMAAAAAAAAAcDZff/OwMcuo7nSX&#10;t9JESv0KiYjISDOqQtx+f/zX2e5+OhOdoAEAAAAAAAAAGE5aRvX8hU7Y3aiL9zvv7T99dmv/VXd5&#10;I/VH+lUSEZGRZC46EVWhP/7rbG+vdKITMwAAAAAAAAAA5TRlGdUvv/okbe+6YpyIjCoKcQAAAAAA&#10;AAAALZBmi2vKMqppe3e7y2uKcSJSdWajE08V8rE7vZd4k+KJGAAAAAAAAACAaqXlSRuzjGq+vakY&#10;16+WiIiUzkx00qlCPva7hbju0l7xJAwAAAAAAAAAQPUePLoWdjrq5IMPZwbLqCrGiUgl6UQnmyqk&#10;sXsv8SY73eWt4skXAAAAAAAAAIDRSMuoXrp8Lux21MlgGdU02dLL7tJCv2oiInLmjLIQ984azwpx&#10;AAAAAAAAAADjt/Lk+sEypVHHoy5ScW+wjGrqmCjGicgwGWUhbrb3Em+y893SZvGECwAAAAAAAADA&#10;eNy+cyXsedRJ2sbBMqqKcSJy5kQnlirkQ79TiHvVXd4onmgBAAAAAAAAABifpiyj+uDRtdfbnCZh&#10;2u5++s5qhSIi7yQ/gewVTyhVyIee673Cm+x2l9cOn2ABAAAAAAAAAJiMtIxq1Pmok8PLqB7oLm8o&#10;xonIsclPHgpxAAAAAAAAAABT6OtvHjZuGdUkdVAU40QkTH7S2C6eRKqQDz3fe4U3edl9vHr4pAoA&#10;AAAAAAAAwOSlZVTPX+iEHZA6uXf/6lvbnYpx/VqKiEgv+cliq3jyqEI+9LuFuG+XFg+flAAAAAAA&#10;AAAAqI9GLqOaU4wTkdfJTxSjKsQt9F7hTXa+fTx/+GQEAAAAAAAAAEC9pKVJm7iM6qvu0t7L7tI7&#10;fRURmbLkJ4jN4gmjCvnQCnEAAAAAAAAAAA2VZmFr4jKqO93lLcU4kSlOfmLYKJ4oqpAPvdh7hTd5&#10;1V2eO3wCAgAAAAAAAACg3pq6jGoqxu3uLs32aysiMi3JTwpjK8Slk8zhEw8AAAAAAAAAAPX3/MXd&#10;RiyjeuPmxbeXUe1Z3+5+OtOvr4hI25OfDNaLJ4cq5EOv9l7hTdLJpXDCAQAAAAAAAACgIT5b/6iR&#10;y6gmu93lte3tlU6/xiIibU1+ElgrnhSqkA/9biEuP6kUTzYAAAAAAAAAADRLE5ZRTcW94jKqSSrG&#10;9assItLG5CeAkRTicu+cPBTiAAAAAAAAAADa4etvHjZiGdVLl8+9u4xqd2nvZXdpoV9pEZGWZTU6&#10;GVQgbNO+dXIBAAAAAAAAAKDRnr+429hlVHe6y1uKcSLty6gKcev98d9KatgWTy4AAAAAAAAAADRb&#10;E5ZRfb/zXriMairG7e4uzfbrLSLS8CxGJ4AKbPTHfyv5SWS7eFIBAAAAAAAAAKD5Gr2MatJd3tju&#10;fjrTr7mISEOzEH3xKxAW4lKj9p2TCQAAAAAAAAAArdHkZVST3e7ymmKcSHMzH33hKxAX4r5b2oxO&#10;JAAAAAAAAAAAtEuTl1FNUjGuX3kRkQZlVIW4zf74b0UhDgAAAAAAAABgejR/GdWlvZfdpYV+9UVE&#10;GpC56EtegbAQl58o1t85cQAAAAAAAAAA0GppGdVUOgs6JrVy1DKqO93lLcU4kWZkNvpyV2CrP/5b&#10;SVNJRicNAAAAAAAAAADar+nLqKZi3O7u0my/CiMiNUwn+mJXYLs//ltRiAMAAAAAAAAAoNHLqPas&#10;b3c/nelXYkSkRhlVIW6vP/5bedl9vBqcIAAAAAAAAAAAmDJNX0Y1SZND9WsxIlKXRF/kCijEAQAA&#10;AAAAAABworSMalqmNOif1MZxy6gminEiNUr+pd0rfomr0B/+rbzsLi1EJwUAAAAAAAAAAKZbmokt&#10;6qDUSZrRLs1sF23/q+7SXurG9GsyIjKp5F/WreKXtwr50J3eK7zJzreP58MTAgAAAAAAAAAAUy+V&#10;zW7cvBh2UerkuGVUd7rLW4pxIhNM/iUdVSFupvcKb6IQBwAAAAAAAADASdLypOcvdMJOSl2ctIzq&#10;zndLm9vdT9/pz4jIiJN/QTeLX9gq5EPP9l7hTV51l+eiEwAAAAAAAAAAABQ9eHQt7KXUybHLqPas&#10;K8aJjDH5F3O9+EWtQj70XO8V3mR3d2k2+NIDAAAAAAAAAEAolc1u37kS9lPqJC2j+vU3D8N9SHa7&#10;y2v9Co2IjDL5F3Kt+AWtQj70O4W41HaNvvAAAAAAAAAAAHCcJiyjmhy3jGry8tulxX6VRkRGkfyL&#10;OKpC3HzvFd5ke3ulE33RAQAAAAAAAADgNFaeXA+7KnVyimVUt192lxb6lRoRqTir0RezrHzcd760&#10;CnEAAAAAAAAAAJTVlmVUd7rLW4pxItVnIfpClpWPG07vGH25AQAAAAAAAADgrD7/4uNGLKOaZrWL&#10;tv+17vLGdvfTmX69RkRKZj76IpaVj7vaG/7tvOou7YVfbAAAAAAAAAAAGEJLllHd3+0urynGiZSP&#10;QhwAAAAAAAAAAI2WliZtwjKqaRu//OqTcB8GUjGuX7URkSEyG335KhB+MfMv7XbxSwwAAAAAAAAA&#10;AFVIs7C1YxnVpb2X3aWFfuVGRM6QmehLV4GN/vhvZae7vBV+iQEAAAAAAAAAoCJNWUb1s/WPwu0f&#10;SF0bxTiRs6UTfeEqoBAHAAAAAAAAAMBEtWUZ1dS52e5+OtOv4IjIcYm+aBXY7A//Vna+W9qMvrQA&#10;AAAAAAAAADAKaRnVNBtb0G+plQeProXbX7CuGCdyQvIv1F7xC1aBrf7wb0UhDgAAAAAAAACASXj6&#10;7Nb++QudqOdSG6m4l7Yz2v7DdrvLa/06jogUk3+ZRlGI2+4P/1ZedZc3oi8pAAAAAAAAAACMQ5qJ&#10;Lei61MppllFNXn67tNiv5YjIIPmXaKv4parAXn/4t5J/EdeLX0wAAAAAAAAAABintIxqKp0FnZda&#10;uXf/arj9h+10l7dedpcW+vUcEcm/PJvFL1MFwkJcmq4x+mICAAAAAAAAAMC4tWkZ1VSM291dmu3X&#10;dESmN/kXZ6P4RapCf/i3ohAHAAAAAAAAAEDdrDy5HvZf6uTGzYunWkY1t77d/XSmX9cRmb7kX5i1&#10;4heoCvnQnd4rvMnL7uPV4EsIAAAAAAAAAAAT9fU3D1uzjGqSJq7qV3ZEpi6r0ZenrHzcd6ZgVIgD&#10;AAAAAAAAAKDOnr+425plVJPU1+lXd0SmJovRF6esfNx3C3HfLi1GXzwAAAAAAAAAAKiTJiyj+sGH&#10;M6ddRnX7ZXdpoV/hEWl95qMvTFn5uHO94d8kfbGCLxwAAAAAAAAAANRO25ZR3ekub+3uLr0zyZVI&#10;2zIXfVHKysd9p1W68+3j+ejLBgAAAAAAAAAAdZWWUU3LlEYdmbpIy7yedhnV3Pp299OZfqVHpHWZ&#10;ib4kZeXjLvaGfxOFOAAAAAAAAAAAmioto/p+572wK1MXZ1hGdX+3u7zWr/WItCqd6MtRVj7uam/4&#10;N3nVXZ6LvlwAAAAAAAAAANAUaYnSqC9TJ6ddRjV5+e3SOxNfiTQ60ZeirHzYdwpxaQ3i6EsFAAAA&#10;AAAAAABNkpZRvXHzYtibqYu0zOtpl1Hd6S5vvewuLfRrPiLNTv4F2Ct+ISqw3h/+ddLaw9EXCgAA&#10;AAAAAAAAmigVzs5f6ETdmdq4fefKqZdRTcW41PHp131Empn8wN8qfhEqsNEf/nUU4gAAAAAAAAAA&#10;aKOVJ9ej/kytPHh0Ldz2I6wrxkljkx/wm8UvQAU2+8O/jkIcAAAAAAAAAABtlZZRTbOxBT2a2kjL&#10;qH62/lG4/ZHd7vJav/oj0pzkB/tG8eCvwFZ/+NfZ3l7pRF8cAAAAAAAAAABoi1Q4a9Myqq+6S3sv&#10;u0sL/QqQSP2TH+RrxYO+Anv94V9HIQ4AAAAAAAAAgGnRhGVU0zZG2x7Z6S5vKcZJU7IaHfAlKcQB&#10;AAAAAAAAADDV0ixsTVhGNS33Gm1/qLu8sd39dKZfCRKpZRajg72sfNxOb/heFOIAAAAAAAAAAJhG&#10;n3/xcbuWUc3tdpfX+rUgkdplPjrIy8rHfasQlxJ9OQAAAAAAAAAAYBq0bRnVxDKqUsfMRQd3Wfm4&#10;s73h3yT6UgAAAAAAAAAAwLT4+puHrVtGdae7vKUYJ3XKTHRgl5WPO9cb/k2iLwQAAAAAAAAAAEyb&#10;VDir+zKq9+5fPSjwRdsf6i5vbHc/nelXhUQmlk50QJeVjzvfG/5NXnWX9sIvAwAAAAAAAAAATKEm&#10;LKP69NmtcNuPsttdXuvXhUQmk+hALisf9p1pEBXiAAAAAAAAAADgbW1cRjWxjKpMLPlBu1c8iMvK&#10;h13sjf4mCnEAAAAAAAAAABBryjKq0bYfZae7vKUYJ2NPfrBuFQ/esvJhV3ujv4lCHAAAAAAAAAAA&#10;HK/uy6i+33nvzMuovuoub2x3P53p14hERpv8QN0sHrgVeGct4Pzg3n7nYAcAAAAAAAAAAN7SlGVU&#10;v/zqk3D7j7LbXX6nUyRSefIDdL14wFZgoz/86+QHtUIcAAAAAAAAAACcUhuXUU0soyojTX5grhUP&#10;1Aq8U4hLawJHBzgAAAAAAAAAAHC0Ni6jmrpEinEyqqxGB2pJW/2xX0chDgAAAAAAAAAAhtPWZVRf&#10;dZc3trufzvQrRiKVZCE6QEva7o/9OgpxAAAAAAAAAABQTlpGNRXPgr5ObQyzjOpud3mtXzMSKZ35&#10;6MAsaa8/9usoxAEAAAAAAAAAQDXauIxqYhlVqSKz0UFZVn/s19n5bmkzOogBAAAAAAAAAIDhtHEZ&#10;1TTxlmKclEknOhjLSuP2hu9FIQ4AAAAAAAAAAKrX1mVUU99ou/vpTL9+JHLqjKoQ99bBqBAHAAAA&#10;AAAAAACjk5ZRTUuVRl2eOhh2GdXd7vJav4IkcrrkB9xe8QAsKx92tjd6L6+6yxvRAQsAAAAAAAAA&#10;AFQnzcYW9Xnq4oMPZ868jGry8tulxX4VSeT45AfaVvHAKysfdq43ei8KcQAAAAAAAAAAMB6tXUa1&#10;u7z1sru00K8kicTJD7DN4gFXVj7sWweeQhwAAAAAAAAAAIxXWqL0/IVO2O+pg1TaG2YZ1VSM2+5+&#10;OtOvJom8nfzgWi8ebGXlw741RaFCHAAAAAAAAAAATEbdl1G9fefKUMuo7naX17a3Vzr9ipJIL/lB&#10;tVY8yMrKh1WIAwAAAAAAAACAmkjLqN64eTHs+tTFg0fXwm0/ycvu49V+TUnkIKvRAVZGGrM3dC8K&#10;cQAAAAAAAAAAMHlNWEb1s/WPwm0/TlpG9WV3aaFfV5Ipz3x0cJW03h/7IApxAAAAAAAAAABQH2k2&#10;tqDzUxvDLqO6893S5nb305l+bUmmNKMoxG30xz6IQhwAAAAAAAAAANRLWkY1Fc+C7k9trDy5Hm77&#10;SXa7y2v96pJMYWajg6mkzf7YB1GIAwAAAAAAAACAemrrMqqvukt7llGdznSiA6mkrf7YB1GIAwAA&#10;AAAAAACAemvtMqrd5a3d3aXZfpVJpiHRAVTSXn/ogyjEAQAAAAAAAABA/bV5GdXc+nb305l+pUna&#10;nPxA2SseOCUpxAEAAAAAAAAAQEM1YRnVVN6Ltv0kL7uPV/u1Jmlr8oNkq3jQlNUf+iAKcQAAAAAA&#10;AAAA0DxpNraoG1QX9+5f3f/6m4fhth8nLaP6sru00K83SduSHxybxYOlrHzYTm90hTgAAAAAAAAA&#10;AGiqJiyjmma0i7b9FCyj2sbkB8V68SApKx92tje6QhwAAAAAAAAAADTd51983NplVHe7y2v9qpO0&#10;IfkBsVY8QMrKh1WIAwAAAAAAAACAlmnCMqrRdp/EMqrtymp0cJSRjznXG1ohDgAAAAAAAAAA2uTr&#10;bx7WehnV9zvvWUZ1yrMQHRhl5GPO94ZWiAMAAAAAAAAAgDZKS5TWfRnVL7/6JNz2k7zsPl7t15+k&#10;gZmPDogy8jEXe0Nn2c53S5vRQQMAAAAAAAAAADRfm5dRfdVdfr1SpjQnc9GBUEY+pkIcAAAAAAAA&#10;AABMidYvo7q90unXoaQBmYkOgjLyMV9PGagQBwAAAAAAAAAA06G1y6h2l/ZedpcW+pUoqXk60Ydf&#10;0lp/bIU4AAAAAAAAAACYMq1dRvW7pc3t7qcz/WqU1DXRh17Sen9ohTgAAAAAAAAAAJhCbV5G9eW3&#10;S4v9epTUMfkHvFf8wEva6A+tEAcAAAAAAAAAAFOsCcuopm2Mtv04O93lLbPF1TT5B7tV/KBL2uwP&#10;rRAHAAAAAAAAAAC0dhnVl93Hq/2qlNQl+Qe6WfyAS9rqD60QBwAAAAAAAAAAHGjrMqpptrjd3aXZ&#10;fmVKJp38w1wvfrglbfeHVogDAAAAAAAAAADe0tZlVHe7y2v92pRMMvmHuFb8UEva6w+tEAcAAAAA&#10;AAAAAITauIxqmi3uVXd5rl+fkgllNfpAy+iPmx18wMEHDwAAAAAAAAAA0NZlVM0WN9ksRB9mGfmY&#10;nTSwQhwAAAAAAAAAAHCSNi6jmrpTu7tLs6lHJePNfPQhlpGPqRAHAAAAAAAAAACcSRuXUX3Zfbya&#10;ulQyvsxFH14Z+ZgHzUaFOAAAAAAAAAAA4CzqvoxqctZlVFOParv76UzqVMnoMxN9aGXkY86lgfMP&#10;c7v44QIAAAAAAAAAAJykjcuovvx2aTH1qmS06UQfWBn5mApxAAAAAAAAAABAaS1cRnU9datkhIk+&#10;qDLyIRfSuPmHpxAHAAAAAAAAAACU0rZlVNMSqru7S7OpYyUjSP6B7BU/oDLyIQ+m9ss/PIU4AAAA&#10;AAAAAACgEm1bRtUSqiNK/mFsFT+cMvIhFeIAAAAAAAAAAICRaMIyqmlWu2jb39Fd3khdK6kw+Yew&#10;WfxQysiHXE3jvuou7YUfIgAAAAAAAAAAQAltWkY1LaG6vb3SSZ0rqSD5m79R/DBKWk/jKsQBAAAA&#10;AAAAAACj1JplVLtLe7u7S7MHhS4pl/yNXyt+ECUdTOOnEAcAAAAAAAAAAIxD3ZdRTbPZffnVJ+G2&#10;v6W7PHdQ6pLhk7/hoynERR8YAAAAAAAAAADACDRhGdUHj66F237Yy+7SwkGxS4bOavTml7CZBo0+&#10;LAAAAAAAAAAAgFFqwjKqT5/dCrd9QCmuXBajN76E7TRo9EEBAAAAAAAAAACMQ9OXUVWKGz7z0Rte&#10;wl4aNPqQAAAAAAAAAAAAxiUVzuq+jOq9+1fDbU+U4oZL5YW47e2VTvQBAQAAAAAAAAAAjNvnX3xc&#10;62VU07YdtYzqzreP5/s9Lzll5qI3uQyFOAAAAAAAAAAAoG7qvozqBx/OhMuo7u4uzfa7XnKKzERv&#10;bhm/+Zv/2i8WPxQAAAAAAAAAAIBJa8Iyqqm499Z2d5cOVu3s973khHSiN7WM3/jNq7/+1gcCAAAA&#10;AAAAAABQI3VfRvXS5XP7z1/cfb29O98tbfb7XnJCKi/E/fE/+Ss3Dx88AAAAAAAAAAAAdfTg0bWw&#10;A1UX9+5ffb2tu93ltX7nS45L9EaW8et/5BfvHD5oAAAAAAAAAAAA6irNxJZmZIu6UHXwfue9/afP&#10;bh1s6863j+f7tS85Kvmbtld8E8u48od+/jeKBw0AAAAAAAAAAECdrTy5flA+izpRdXD7zpX9/+Ef&#10;/Nbv7O4uzfarXxIlf7O2im9eGb/2a7/w70cHDAAAAAAAAAAAQN2l4lnUi6qDVNj7i3/pxj/qV78k&#10;Sv5GVVqIu3Tp5/6j6EABAAAAAAAAAABogrSM6vkLnbAfVQf/5u1ffdWvf0kx+Ru0WXzDyvjlX/6p&#10;vxIdJAAAAAAAAAAAAE2SllGNOlJ18NM//WMvsyyb6bXA5HXyN2ej+GaVcelXf+6vRQcHAAAAAAAA&#10;AABA03z9zcPaLqP6Iz/yQ/8ky7L5XhNMDpK/MWvFN6qMCzM/9V9FBwYAAAAAAAAAAEBTPX12q7bL&#10;qGZZttprg0nlhbj8Q/970QEBAAAAAAAAAADQdPfuXw17U5OSZdngf2/0GmGyevgNKkshDgAAAAAA&#10;AAAAaLPnL+7uX7p8LuxPTVKWZf9BrxI23VmM3pxhdX7yvX8YHQQAAAAAAAAAAABtsvLk+v77nffC&#10;HtUE/RdZls30qmHTmfngTRnaj//4j/6j6MMHAAAAAAAAAABoo7oto5qkXlivHjZ9qbQQ9/3v/8g/&#10;jT50AAAAAAAAAACAtkrLqN64eTHsVE1KlmWrvYrYdGUuejOGpRAHAAAAAAAAAABMq6fPbu2fv9AJ&#10;u1UTstnviU1NZoM3oZTogwYAAAAAAAAAAJgWK0+uh92qSJZl4Z9XaKpKcTPBG1DK1988DD9kAAAA&#10;AAAAAACAaZGWUb1950rYsZqAqSnFdYKdL0UhDgAAAAAAAAAAoCcV42qyjOpavzPW6lReiPvyq0/C&#10;DxYAAAAAAAAAAGAaPX12a/8nf/J3h32rccqybKFXG2txoh0vIzUaow8VAAAAAAAAAABgmnz+xcf7&#10;ly6fC3tWk5Jl2WyvOdbS5Du5V9zpMhTiAAAAAAAAAACAafb1Nw/3792/GvaramC7Xx1rZ/IdrLQQ&#10;l1qN0YcMAAAAAAAAAADQZoMi3Pud98JuVY1s9Otj7Uu+c1uFnS3ls/WPwg8bAAAAAAAAAACgreq4&#10;POpxsiyb7zXIWpZ85yotxD19div8wAEAAAAAAAAAANrm+Yu7+zduXgy7VDW3l2XZTK9F1qLkO7ZZ&#10;2NFSFOIAAAAAAAAAAIC2a9DyqMfZ7NfI2pN8pzYKO1nKypPr4QEAAAAAAAAAAADQBml51PMXOmF/&#10;qmmyLFvoNclaknyn1os7WYZCHAAAAAAAAAAA0EYNXh71OO1aOjXfobXCDpby4NG18GAAAAAAAAAA&#10;AABoopYsj3qcjX6drPnJd0YhDgAAAAAAAAAAINCm5VGPk2XZfK9R1vysRjs4rNSEjA4MAAAAAAAA&#10;AACApmjp8qjHSUuntiKVFuJu37kSHiAAAAAAAAAAAAB1NwXLox5nvd8pa3QWgh0bWmpFRgcKAAAA&#10;AAAAAABAXaUi3NNnt6a1CPdalmWzvVpZczMf7diwFOIAAAAAAAAAAIAm+fyLj/cvXT4X9qGm0Ha/&#10;V9bYVFqI++DDmfCgAQAAAAAAAAAAqJPnL+4eTAAW9aCmWZZlC71qWTMzF+3UsFJTMjp4AAAAAAAA&#10;AAAA6iAtj3rv/tWpXx71GHtZlnV69bLmZTbYoaGdv9AJDyIAAAAAAAAAAIBJSkW4p89uNbYIl7Z7&#10;5cn1g32I/r5i6/1+WeMyE+zM0BTiAAAAAAAAAACAuvn8i48PVr+MOk91l4pwt+9cOSj0DfZnHPuS&#10;Zdlsr2LWrHSinRlWevMPH0gAAAAAAAAAAACT8vzF3f0bNy+GXacm+ODDmYN9KO7Xl199Ev77Fdvs&#10;d8waFYU4AAAAAAAAAACgVdJsavfuX2388qjRvg2k/Yt+tkpZls33ambNSaWFuCR68wEAAAAAAAAA&#10;AEYtFeEePLrW+CLc4eVRj5L+nfMXOuE4Fdrr98yak2AnSjnNhwEAAAAAAAAAAFClz7/4eP/S5XNh&#10;p6kJjloe9Thpn6OxKrbWr5o1I/kG7xV2oBSFOAAAAAAAAAAAYFyaXoRL2/7Z+kfhvp3GjZsXw3Gr&#10;lGXZTK9t1oDkG1xpIe7Lrz4J33gAAAAAAAAAAICqpJ7SvftXww5TE5xledTjpJ+Pxq/YZr9uVv/k&#10;G7td2PhSzjptHwAAAAAAAAAAwGmlAlgqwqVCWdRfaoLbd65UOvHYg0fXwtepUpZl873GWc2Tb+xW&#10;cePLUIgDAAAAAAAAAACqlopwT5/danQRruzyqEdJ7835C53wNSu03a+c1Tv5hlZaiEtr8kZvOgAA&#10;AAAAAAAAwDBSJymVyaK+UhNUtTzqcVLRLnrtKmVZttBrndU4+YZuFje8DIU4AAAAAAAAAACgCmm1&#10;yhs3L4Y9pab44MOZSpdHPc4YSoN7WZZ1es2zmibfyI3CRpcyiin9AAAAAAAAAACA6ZFmUrt3/6rl&#10;Uc8oFQijbanYer96Vs+kDSxscClpnd7ozQYAAAAAAAAAADhOKsKl/lGTi3DjWB71OLfvXAm3q0pZ&#10;ls302mc1TL6BlRbi0ocZvdEAAAAAAAAAAABH+fyLj8ex5OdIjXN51KOkIl60bRXb6NfP6pd849YK&#10;G1uKQhwAAAAAAAAAAHBaaZnPGzcvhl2kpkizwtVpZc0Hj66F21mlLMvmeg20miXfuEoLcenNjN5k&#10;AAAAAAAAAACAgTST2b37Vxu9PGqSliid1PKoR0nbc/5CJ9zeCm33K2i1y2qwsUNTiAMAAAAAAAAA&#10;AI6SylppNrWmF+HS8q5pmddoH+vgs/WPwu2uUpZlC70KWr1SaSEutTajNxgAAAAAAAAAAJhuqUCW&#10;imRR76gpUpFv5cn12s0KFxnDe73X76DVKovBhg4tTQEYvbkAAAAAAAAAAMB0ev7i7v6NmxfDvlGT&#10;/NrVCwf7Eu1jHaUCYrQfVcqybLVXQ6tPFqINHVY6cKM3FwAAAAAAAAAAmC5pFrW04mTTl0cdSDOu&#10;NWFmuMPGUERMs8TN9Kpo9ch8sJFDU4gDAAAAAAAAAIDplkpjT5/dak0R7rCmleK+/OqTcD8qtt7v&#10;otUilRbiPvhwJnxjAQAAAAAAAACA9kvLdKbSWNQtaoumleLGsVxtVqNZ4uaiDRxW+rCjNxUAAAAA&#10;AAAAAGiv5y/u7t++cyXsFLVRk0pxaTujfajYRr+PNvHMBhs3NIU4AAAAAAAAAACYHqlsde/+1VYu&#10;j3qSJpXixlFWTF20XiUtm+v/cyKptBB3/kInfEMBAAAAAAAAAIB2Scujpr5Q1COaFk0pxY1plrj/&#10;PreW2+530yaSmUMbVFpqekZvKAAAAAAAAAAA0A6pCJeKYFF/qElS12nlyfX9P/GnLoV/f1pNKcWl&#10;mfyi7R+BrX43bSJRiAMAAAAAAAAAAE7UpuVRP/hwZv/Lrz55vW83bl4M/73TakIpbkyzxCWb/W7a&#10;RNIJNmhoCnEAAAAAAAAAANAuqUj14NG1VhThUnHts/WPwv1MJbnoZ06rCaW49DlG216x3+530yaS&#10;SgtxSfRGAgAAAAAAAAAAzdO25VGPK6ylvyu7r3UvxaVtO3+hE257hf6vfjdtMgk2qJTojQQAAAAA&#10;AAAAAJrj+Yu7pZcRrYvi8qjHqaoUF41dF0+f3Qq3u0pZlq322mkTSLRBZdS54QgAAAAAAAAAABwt&#10;dX/u3b/a+uVRj5PKc2X3v86luDHNEreXZdlMr6E25qQXL2xMKQpxAAAAAAAAAADQPGnmsDEUpUbu&#10;NMujniTNkBeNfRZpZrpo7DoYxyxxufV+RW28yV+40kLcaacXBAAAAAAAAAAAJu/zLz4uvUxoXaQS&#10;WiqzRft5Vul9iV7jLOpaihvTLHFp6dTxzxKXv3ClhbiqDigAAAAAAAAAAGB0BsujRh2gpknlrjTr&#10;WbSfZVRRirtx82I49qS1dpa4/EW3CxtRikIcAAAAAAAAAADU16AIl5YWjfo/TVLF8qgnqaI4lt7v&#10;aOxJau0scfmLbhU3ogyFOAAAAAAAAAAAqCfLow7nwaNr4TacRRojGnuSWjlLXP6ClRbi0pcmevMA&#10;AAAAAAAAAIDJSMWx23euhH2fpkmzwo1iedSTVLG87CS2+zjrf/32/ve+98PhtlYpG+cscfkLbhY3&#10;oAyFOAAAAAAAAAAAqAfLo1arilJhHUpxqSB54+bFcPtGZHyzxOUvVmkh7rP1j8I3EQAAAAAAAAAA&#10;GB/Lo45GFaW4SXWsJliQ3OvX1Uaf/MUqLcTVbVo/AAAAAAAAAACYJhOY/WtkBrPCRfs5SVWU4sa9&#10;Emd6vfMXOuG2jEOWZYu9xtqIk7/YRvHFy1CIAwAAAAAAAACA8Wvb8qhpXya5POpJqijFjWPWuxoV&#10;JMczS1z+QuuFFy6ljo1MAAAAAAAAAABos0nP/lWlOi2PepKypbhU/BvVvtaxIJll2UKvtTbC5C+k&#10;EAcAAAAAAAAAAA1kedTJq6IUV/VMeKkgeenyufD1JmyzX1sbXfIXWSu8aCkPHl0L32QAAAAAAAAA&#10;AKAabVseNRXh6rw86knSrHbRvp1WKq9F457V4LiIXqMusiyb6TXXRpT8RRTiAAAAAAAAAACgISyP&#10;Wk9lS3Hp56NxTyMV4Z4+u9WIgmSWZYu95tqIkr+IQhwAAAAAAAAAANRcm5ZHTTOifbb+UbifTTaJ&#10;UlyNl0c9ysiXTV0NXnRoacq96I0HAAAAAAAAAADOrk3Lo/7Ij/zw/p//rV9v9PKoJylbirt950o4&#10;blGTj4ssyzq96tpoUmkh7rQfCAAAAAAAAAAAcLw2LY962MqT6+H+tkXZUtxJq3Sm2fWafFxkWTbX&#10;q66NJovRiw5LIQ4AAAAAAAAAAMpp0/KoR2n7SpRlS3FPn916Z8y2HBdZlq32qmujyUL0osNKb3jx&#10;gwAAAAAAAAAAAE7WpuVRTyOVxtq8fOqly+fC/T6tNBNcGmcSx0WWZeGfV+SLXnVtNJkPXnBoCnEA&#10;AAAAAAAAAHB2TV8Gc1hpn9PMZ9F70nSpyFa2FJeWl23hcfEP+921kaTSQlxqbUYfLgAAAAAAAAAA&#10;8K7Pv/i4dGmqDQazobVNFaW4SclGN0vc/9qrro0mCnEAAAAAAAAAADBmbVoe9b33vh/++Vml2dCi&#10;96rpmlyKG5GRFuLmghccWvrgog8VAAAAAAAAAADoefrsViuWwUxlvlRi+2/+zr3Kin0PHl0L37Om&#10;U4p7yz/vd9dGktngBYemEAcAAAAAAAAAALG2LI+aym+371zZ//KrT17v2/MXd8N/dxhp7MPvW1so&#10;xb323/W7ayNJpYW41FyNPkwAAAAAAAAAAJhWbVoe9YMPZw7Kb9F+psJf9DPDSK8TvUbTKcUd+Dv9&#10;7tpIMhO84NDSlzb6IAEAAAAAAAAAYNqk8lNaHrUNRbi0D2l51Gg/D6uyFNfW1SrTcfFLf+Cnwn2u&#10;kb0sy/5q8OdVeNqrro0mneAFh6YQBwAAAAAAAAAA7VoeNRXhUokr2s9I1aW4s7x23aV9SbMF/sT7&#10;Pwj3tya2st7KoxuFP69EPvb8QXNtRFGIAwAAAAAAAACAigwKT1XNCpdlWfjn43Dc8qgnqbIUl97L&#10;YbejTtJ7cv5CJ9zHGllLnbLcYvB3VUgzz6XxR5fgRUuJPkwAAAAAAAAAAGizVIRry/KoaVa2z9Y/&#10;CvfzLNL7EY0/jCaX4tJ237h5MdyvGklFtcHMbTPp/y78fVU2+q8xugQvWkr0oQIAAAAAAAAAQFtN&#10;8/KoJ6myFJek9zp6nTqqerbAEdrMsmym1yY7KMNtFf6+Kql0N9t7mREmvVDhhUup8gsBAAAAAAAA&#10;AAB1NSg8RR2aJkmFrdt3rux/+dUn4X6WVeXyqUkVs9eNWkNKkqmgtthrkR1kLv1Z4d+pUlqOdfTJ&#10;X0ghDgAAAAAAAAAATin1Y9JMam1YHvWDD2fGshRp1aW4NPNc9DqT1qBZ4bayt2drW8z/bJRluFS+&#10;6/ReasTJX2y78OKljKopCgAAAAAAAAAAk1bHmb+yLAv//DiD5VGjfRyVVLyLtmVY497+k6Rj4/yF&#10;TritNTKYFW5QTuvkf7ZW+Hcql7/OfO/lxpD8BStd83UcjVEAAAAAAAAAABinBs38daxBEW5Sq0Cm&#10;blGV72EdSnGDYyPavppJs8INimmpELeQ/1mlk6kdYTxLpQ6Sv6BCHAAAAAAAAAAAHKEhM3+dKC2P&#10;WofVH6suxT14dC18nXGo47GRxTMGplLaYFa4ufz/rrQzdoz1/PXGs1TqIPmLbhY2ohSFOAAAAAAA&#10;AAAA2iD1YG7cvBh2ZJokLfH62fpH4T5OSppVrcqlZ9MMbdHrjEqDZoXbzt7MCpeKcJV2xU4w/jJc&#10;Sv7Cle5kaj1GBwEAAAAAAAAAADRBG5ZHzbJs4sujnqTqUlyaAS96nao1aMbAQSFtJv/fa7m9Q383&#10;apMpw6XkL75R2JhSFOIAAAAAAAAAAGiq1H2psqQ1Sf/G9X8h3Mc6aVIpLm3r7TtXwtetmb2sNytc&#10;J//f4y7CJYeXZx1/8g1YL2xQKXWbXhEAAAAAAAAAAE7ShlnhIuOaNa2stJ3R9g9jFPucipINOTZ+&#10;O8uyX8z/OYkiXCriLRyU0iaZfEMqLcQ9fXYrPCgAAAAAAAAAAKCOGrQE5lDSDGx1XTb1sFRIjLZ/&#10;GGmfo9c4q/S+3bh5MXyNusiyLP3zn+T//M38n5MowiVb+evPpj7axJNvTHoToo0cikIcAAAAAAAA&#10;AABN8PzF3dqXnaqSZjdL+xu9D3Xy4NG1cPuHUbYImHpQTZkVLvdXc5MowiWb2SSXSC0m36BKC3Er&#10;T66HBwgAAAAAAAAAANRBW5dHPUna3zQbXvSe1EkqokXbP4xhSnFffvVJU4qSv5Nl2fP8n5MqwqUl&#10;Uhdz9SnD9bMabOzQFOIAAAAAAAAAAKirVAhLJamo9zItmrACZPqcom0fRloO97Sz4zVlVrgsy7bz&#10;f74q/vkYpVnhZg7aZzXMYrDBQ0vTFkYHCwAAAAAAAAAATMq0zgp3lCZMepVKbFV9Xmmc40pxDVo+&#10;9//M/ePCn43TYFa4Wmch2PChKcQBAAAAAAAAAFAnabaxNEtY1HVpig8+nNn/kx9dDv9uWKkgGL1f&#10;dZKWL61qRr+oFJeKkqkc2JCi5D8L/mycaj0r3OHMBxs/tCZ8UQAAAAAAAAAAaL8Gzfp1pFTUSoWt&#10;VNxK+5S6OdG/N6xUtCu+b3WT9r3KUlwqSKZxG3R8/L/Bn43TVuqY9apmzUilhbjbd668c1ACAAAA&#10;AAAAAMC4tGV51NTDGRThDkt/Hv37w0pls+h16iaV96LtH8Yfu/UrjT8+xmCwPGrnoGXWoCjEAQAA&#10;AAAAAADQCmn2r6pmE5uUVPwqLu1ZNK2luKr3u8b+efBn47KXW88aWIQbZK6wQ6WkaQSjgxEAAAAA&#10;AAAAAEalDbPCFZdHPUnV5bD0+icV8eqg6mVjectmlmWzvVpZczMb7NjQFOIAAAAAAAAAABinNswK&#10;lzo3X371Sbh/x6lyGdGkKaW4B4+uhds/jCzLwj+fMtv5+7Bw0CZrQWaCHRxa+pJFByEAAAAAAAAA&#10;AFSpDbPCpSLfZ+sfhft3WtNaiktFyGj7OZO9LMsWc41dHjVKJ9jRoSnEAQAAAAAAAAAwaqkMdf5C&#10;J+yvNMFZl0c9SdWluCS9x9Fr1YlSXClpedSZXoWsXam0EJdaq9HBBwAAAAAAAAAAZQ1mhYt6K02R&#10;ymvDLI96nPS+jGLZ2LKz141Dms2uybMETkAqws32qmMtTbDTQ0vN2+jAAwAAAAAAAACAMtJsYNO+&#10;POpxRlWKe/rsVvh6dZIKhj/7cz8ebj+vtXJ51DDBzg9NIQ4AAAAAAAAAgCqloteNmxfDrkoTVL08&#10;6nFGVYpL2x+9Xh2kfW76rIEjNj1FuEHSThfehKGlL3B04AEAAAAAAAAAwFml2cmaPCvcKJZHPcmo&#10;SnEPHl0LX2+S0qyBaQKvaHs5KMKt5qanCDdI2vnCmzE0hTgAAAAAAAAAAMp6/uJuK2aFi/ZtHNpe&#10;ijMr3Ik2syyb7bXDpjD5G7BVeENKiQ5CAAAAAAAAAAA4yaDo1ORZ4W7fuXKwH9H+jVuaoS7axjLS&#10;5xO91rjUdVa4LMvCPx+z6S7CDZK/EQpxAAAAAAAAAABMVCo6jWJWs3FJ2/7Z+kfhvk1SW0pxqWSY&#10;yobR9hwlq0dJbRxSEW7+oAwmB4W4zcIbVEpdGq4AAAAAAAAAANRf02eFGyyPWufOTNNLcaks2eRZ&#10;A0doL8uyxVznoAgmveRvjEIcAAAAAAAAAABj1/RZ4VLR7PmLu+G+1c1ZZ1c7jVGX4oaZFW5KKMId&#10;l/wN2ii8YaV8+dUn4QEKAAAAAAAAAACJWeEmo0mluFSWPH+hE77mFEtFuNWcItxxyd+o9cIbV0pT&#10;Wq8AAAAAAAAAAIxf04tOaVa4Jk8YVfdS3KAsGb3OFBsU4WYOCl9yfPI3bK3wBpaiEAcAAAAAAAAA&#10;QFFdZoXLsiz885Ok7X767Fa4b00zisJZFaU4s8K9Yy+3lh+zinBnSXrTDr2JpaUDMzpgAQAAAAAA&#10;AACYTqlPcunyubBr0gRpVrWmLY96kgeProX7WsawpTizwr0jFeE2MkW4obNaeENLUYgDAAAAAAAA&#10;ACCpy6xww0olvjZ3YepQijMr3FtSEW4zy7LZXq1Lhk2lhbjP1j8KD14AAAAAAAAAAKZHk2eFSwW+&#10;lSfXWzcrXCR9TtF7UMZpSnFNL0uOgCJchVkM3uChKcQBAAAAAAAAAEyvphedPvhwZv/5i7vhvrXV&#10;uEtxTS5LjoAi3AhSaSHu6bNb4YEMAAAAAAAAAEC7Nbno9IP3vncwK1y0X9MglQCrLjEWe0RmhXuL&#10;ItwIsxC84UOb5hMDAAAAAAAAAMA0akvR6cGja+H+TYtUijt/oRO+N8MalOLS2GaFO6AIN4bMB2/8&#10;0BTiAAAAAAAAAACmR9uWv7xx82K4n9MilRur/jz/2K1fMSucItxYU2khbtqbsgAAAAAAAAAA06DN&#10;y19+8OFMuM/TIn226T2I3hvOTBFuApkLPoihKcQBAAAAAAAAALRb22aFi6T9i/Z9mijFlaIIN8FU&#10;WohLzd/oCwIAAAAAAAAAQLM1eVa4tM0/8zM/Fv7dUVIpLu1z9F5Mi9t3roTvDUdShKtBZoMPZmgK&#10;cQAAAAAAAAAA7fP8xd3GzgqXtvuz9Y8Oym1n3YfzFzoH+x69J9Mi9YGi94a3KMLVKDPBBzS01AqN&#10;vhgAAAAAAAAAADRP02eFW3ly/a1Z3r786pMz70v696e9FJcKhdF7gyJcHVNpIe7GzYvhlwIAAAAA&#10;AAAAgGZp+qxwR5XYPv/i4/BnjpNKcennovGmRXo/m1iMHBFFuBqnE3xgQ1OIAwAAAAAAAABotuNm&#10;hcuyLPzfdZG2uTgrXGSYUlwy7aW4YZadbRlFuAZEIQ4AAAAAAAAAgANNnhXugw9nzrS0aSrOReOc&#10;5OmzW+F40yKVAr///R8J35sWU4RrUoIPcGjpxBJ9EQAAAAAAAAAAqK/jZoWru9POChe5fedKOOZJ&#10;0utF47VZen8Pv19ZDWcIHAFFuCYm+CCHlhrC0RcCAAAAAAAAAIB6mqZZ4SJpjGjskzx4dC0cr43S&#10;rHDnL3TC96GlFOGanPwD3Ct8oENTiAMAAAAAAAAAaIZpnRWuKI0xbCGw7aspDo6RaN9bShGuDck/&#10;yMoKcakJGn05AAAAAAAAAACojzSr2o2bF8P+R9WyipfWTCW0L7/6JNyvYSnFvWvKZoVThGtT8g90&#10;u/ABDy21b6MvCAAAAAAAAAAAk5eKX2lmtWmfFS6Sxh32fUllulFt17il/Rh25sCs4vLjGCjCtTH5&#10;B7tV+KCHphAHAAAAAAAAAFBP45wVrmqjmBUukl5j2FJc+rn0HkfjNkWaFW7YmfIaRhGuzck/YIU4&#10;AAAAAAAAAIAWa/qscNE+jUoqtU1bKa7MrHANowg3DUkfdOGDLyX60gAAAAAAAAAAMH51nhUuO2F5&#10;zXHNChdJ71u0TaeVZlqLxq2jKZkVLhXh5g7KUtL+pA+8cACU0pb1kAEAAAAAAAAAmsyscOWkoli0&#10;faf19NmtcNy6mJJZ4VIRbr7XkpKpSf7BbxQOhFIU4gAAAAAAAAAAJmecs8JlJ8zydlaTnBUuUrYU&#10;V4diXyQdIy2fFU4RbpqTHwDrhQOilDqdlAAAAAAAAAAApkmalaypM379y3/o94f7NGllS3EPHl0L&#10;x52EKZgVLhXhFnOdg2KUTGfyA2GtcGCUkhqk0RcKAAAAAAAAAIDRGOescKOUilqpgBbt4ySVLcWl&#10;me+iccep5bPCbWWKcDJIfkAoxAEAAAAAAAAANFSTZ4U7SprFLNrXSWpqKa7ls8Ipwsm7yQ+MSgtx&#10;dWzpAgAAAAAAAAC0TSo6tWFWuKOk2czqNjFT2VJc2qf0uUVjj0LdZ4XLsuy16O+PsZ3/jCKcHJnV&#10;4KAZmkIcAAAAAAAAAMBotXFWuKOsPLkevgeTUrYUd/5CZ+RFvxbPCreXKcLJKVJpIe6z9Y/CLxoA&#10;AAAAAAAAAOW0fVa4o6TlRsc5s9pJypbiUlFtVKW4us8KNyRFODlTFoODaGipgRx92QAAAAAAAAAA&#10;GN40zQoXSftep5ULy5bikir3p6Wzwu3l1rMsm+nVnEROl4XCgVRK3aapBAAAAAAAAABosibPCpdm&#10;KvvL/+mfqHTGsgeProXv0yRUUYqrYvKpls4Kt5ll2Wyv3iRytswHB9TQFOIAAAAAAAAAAKrR1Fnh&#10;0janDslgmdP0z7TsafTvDiOVv7786pN33q9JSGW0aBvPYti+TUtnhUtFuPlerUlkuFRaiKtTCxcA&#10;AAAAAAAAoImaPitcKolF+5XKW9HPDKuK2dWqUEUp7qydmxbOCreXZdlirnPQaBIpEYU4AAAAAAAA&#10;AICaaMuscEdJ/07088NKJbvodcYtFdTKfm5pFr1o7MNaOCucIpxUnrngQBtaXU4yAAAAAAAAAABN&#10;0vRZ4T5b/yjcr8jnX3xcaaHruFnpxil9hmVnbTuuFNeyWeH2cutZls30Kkwi1WW2cLCVcvvOlfAL&#10;CQAAAAAAAABArKmzwiVp8qSTZoWLfPnVJ5WXu9Lsc9FrjVN6L1KpLdq+00rvS3HMls0Kt5k6S73q&#10;kkj1UYgDAAAAAAAAAJiAaZoV7ihV739duitl9yu9v+n4aNmscKkIN9+rLImMLjPBwTe09GWOvuQA&#10;AAAAAAAAALzR5FnhUulsmFnhjpJmP4teZ1ipQFaHJVTL7tfP/MyP7f/E+z8I/65h9rIsW8x1DtpK&#10;IiNOJzgIh6YQBwAAAAAAAABwtCbPCpcKfFXMChdJ40avWUYdllB98OhauG1TQhFOJpJKC3FpDeTo&#10;yw0AAAAAAAAAMO2aPCtc6oRUOStcJM3qVvX7M47tPsnnX3wcbluL7eXWsyyb6dWTRMacwgFZSppy&#10;MvpiAwAAAAAAAABMq6bPCpeKfNF+jUJ6r1L/JNqWYaV9SKW06PXGJZX9om1roc0sy2Z7rSSRCSU4&#10;MId2/kIn/FIDAAAAAAAAAEyjOs0Kl2VZ+OdHSbOrffnVJ+F+jdq9+1fDbSojLV8avda4pFJc6tZE&#10;29YCqQg3d1BGEpl08gMyTVMYHahnphAHAAAAAAAAAND8WeFWnlwP92ucUoEt2r4y0uxzkyr5JaOY&#10;AW/C9rIsW8x1DopIInVIOjALB+rQ0gkx+jIDAAAAAAAAAEyLOs0Kd1aTnBUukpY6jbazjPTZfLb+&#10;Ufh645BKcZd/9efDbWsQRTipb/IDdLtwwA5NIQ4AAAAAAAAAmFZtmBUu7UO0b5M0qqVG07Ks0euN&#10;Uir4NXzZ1DTx1nqWZTO95pFIDZMfpFuHDtrSoi8zAAAAAAAAAECbNX1WuFQ6i/arLlJRL21ntP1l&#10;jGsJ1SaXJQ/ZzLJsttc4Eqlx8oO10kJcHZvCAAAAAAAAAACj0PSi03vvfW//r/312+G+1VGa1S3a&#10;j7LS7HjR61WhyWXJvlSEm+s1jUQakHTQFg7iUhTiAAAAAAAAAIBp0IKi02ufrX8U7mMdpfJatA9l&#10;3b5zJXy9YaVZ9xo+K1wqws33GkYiDUo6eAsHcynjmEYSAAAAAAAAAGBSWrL85TtGOUta1VLZbBRl&#10;xLSEatnlY9Pxkd7LBpclt7MsW8x1DspFIk1LfhBvFA7qUuq+pjQAAAAAAAAAwLDaNCtc5MGja+F+&#10;11EqnqUCW7QfZaXPOXrNkzR8Vri9TBFO2pD8YF4vHNylKMQBAAAAAAAAAG3T8KLTmXzw4Uz4HtTV&#10;qD6Xe/evhq8XSeW89O83tCypCCftSn5QrxUO8lI+/+Lj8IsPAAAAAAAAANA0TV/+Mm33X/j0j4R/&#10;d5ymleLSzHbRfpR1miVU09+Paqa6EUtFuNWcIpy0K/nBrRAHAAAAAAAAAFDQ4KLTgVRqS4W+tC+p&#10;zxH9O8dJ+z74+SYYZh9PK1pCtcGzwu3l1rMsm+m1h0RalvwAr7QQ99n6R++cAAAAAAAAAAAAmqLh&#10;y18ebHdU4EoFv7PuU/r3T5ohrU7Stp6/0An3pazDS6im8t2oXmfENrMsm+21hkTam9Xg4B9adEIF&#10;AAAAAAAAAGiCVHRq+qxwX371SbhvybCluKatGHjj5sVwX8r6lX/p5/b/zJ/9w+HfjVqWZeGfn1Iq&#10;ws0fNIVEpiCLwZdgaGnd7OhEAwAAAAAAAABQV22YFe60nY1UmBtmP5u2auCDR9fC/Zgye6kblOsc&#10;tIREpiQKcQAAAAAAAADA1Gr7rHCRVAAcZp+b1gtJn220H1NAEU6mOgvBl2JoCnEAAAAAAAAAQBMM&#10;ZoWL+g9NcJZZ4SLDluLSzGvReHWVlokdVeExK7eM6Sj8Tm4t366Zg1aQyJRmvvDFKKVpJz0AAAAA&#10;AAAAYPqkmcPOX+iE3YcmGGZWuMiwpbj0+tF4ddbk8uMJ/n6WZb+Rm82ZEU4kT6WFuHTyiE4qAAAA&#10;AAAAAACTNu2zwh0lFdyi1ztOKtJFY9VZy5ZQtSyqyBGZC74wQ7t950p4QgEAAAAAAAAAmKRUhkqF&#10;sqjv0ARVzQp3lGFLcaPcplEYdla8mtnMLIsqcmQU4gAAAAAAAACA1koFqBs3L4Y9hyYY1axwkdT7&#10;iLbhOGn7nr+4G45XZw8eXQv3p+YGs8KJyDGZDb48Q0sXkOgkAgAAAAAAAAAwbk+f3TIr3BkNW4pL&#10;M/BF49XZw3/3j+z/8A//ULhPNWRWOJFTZib4Ag1NIQ4AAAAAAAAAmLQ0Y5lZ4YZ37/7VcLtOkgqI&#10;0Xh1Uzw+six7az+qUOGYaVa4+VTyEZHTpRN8kYaWmsnRiQQAAAAAAAAAYNTS8qhpKUyzwpU3bClu&#10;kkW+k6TjI+1Xg46P9dTt6VV8ROS0qbQQd+nyufCEAgAAAAAAAAAwSmnWr9RbiPoMTTDpWeEiqVwY&#10;betJ0s9F401SWtK1QcfHVmZWOJGhoxAHAAAAAAAAADRWA2f9ekddZoWLpJJetM0nqcsqgw07PtLy&#10;qIupz3PQ6hGR4RJ8uYZ2/kInPLkAAAAAAAAAAFStYbN+7WdZ9tb/XcdZ4SLpfT683aeVPptUSIvG&#10;HIcGzgo3e1DmEZFyCb5gQ1OIAwAAAAAAAABGbTDrV9RdaIo6zwoXKVOKG/d+mhVOZMqTvliFL9rQ&#10;0okkOtEAAAAAAAAAAFQhFbPShD1Rb6Epfv7nf2L/+Yu74f7VWdrmYUpm6WfGtb8NOz42M7PCiVSf&#10;/MulEAcAAAAAAAAA1FoqVN24eTHsKzTVZ+sfhftaZ2m2t2EKZ6lTkspq0ZhVqNusgVlhedwCs8KJ&#10;jDLpS1b40g1NIQ4AAAAAAAAAqFIqOj14dG2omcmaIO1btN91lj6TtBRqtD8nGUUpbhKzwmXHF96O&#10;k2aFmzko7YjIaJJ/0bYLX7xSohMPAAAAAAAAAMBZpaLTsMWrJvngw5lw/+ssleLSdkf7c5Knz26F&#10;Y55V2obbd66Er1FDg1nhRGTUyb9wW4UvYCnpZBOdhAAAAAAAAAAATiN1D9Lyl02aFS4bfsawA6n4&#10;l5Yjjd6POht2GduVJ9fD8U4rleoadHyYFU5knMm/dApxAAAAAAAAAEAtTGL5y7pIBa9RLCk6aqm8&#10;GO3PSYZZLvb5i7tDl/AmIM0Kt9Br6IjI2JJ/+RTiAAAAAAAAAICJatjyl6E0y9tf+PSPhH93FmVn&#10;T5uEVG6L9uUk6TOPxos0bFa49SzLOr12joiMNfkXcLPwhSylidN3AgAAAAAAAACT07Ci0zvStqcS&#10;22ASoTSLWdn9SbOuFd+nuvts/aNwX07ywYcz4XgDDZsVbivLsvleK0dEJpL8i1hpIS6dhKKTEwAA&#10;AAAAAADAYQ0rOoVSmSvqSqRyXJoxLvqZ00o/37SV+tKSr9G+nCQqxaV9T8XAhpQl93JrmVnhRCaf&#10;/MuoEAcAAAAAAAAAjE3Dik6h4qxwkfR3qegV/fxppddpWhcjbe/5C51wf45zuACYxihbKByjNCvc&#10;bK+JIyITT/6l3Ch8SUtRiAMAAAAAAAAAjpJmEGtQ0SmUSm5ffvVJuH+RKmbBS8uRRmPXVSq2DfM5&#10;/8IvvL//53/r1xszK1yWZYs5s8KJ1Cn5l7PSQly6cEUnOgAAAAAAAABgeg1mhYu6Bk0xmBUu2r+T&#10;VLHvDx5dC8eus6YviXuMzcyscCL1TP4FXS98YUtRiAMAAAAAAAAADktdgmGW0KyTs84KF0mFtmjs&#10;s0gFs2jsOmt6EbLArHAidU/+Ra20ENe0KToBAAAAAAAAgNF4/uJu42cIS7PCVdmFSOXA6HXOIpXz&#10;orHrrIoyYA2kWeFmeo0bEalt8i/rWuHLW4pCHAAAAAAAAABMt7Q8aipApTJZ1C1oitt3rhzsS7SP&#10;ZaSiYNn35tLlc6VnrBu3KsqAE5JmhZvvNW1EpPbJv7SVFuKePrsVntQAAAAAAAAAgPZLpadU1oo6&#10;BU2Rtn/UEwKlol3Z9ymV6lK5Lhq/rtL2/sT7Pwj3p4b2cuuZ5VFFmpX8i6sQBwAAAAAAAACUkgpe&#10;9+5fbfSscGnbV55cH8mscEepYknZVEKMxq6jtK2/58d/NNyPk2RZFv75iKTlUWcPyjUi0risBl/q&#10;oaULQ3RCAwAAAAAAAADaKZWczl/ohD2Cpvjgw5mJzbaWioTRNp1F3fsaqWSYlqCNtr1m0vKoizmz&#10;wok0OApxAAAAAAAAAMCZNajkdKRJzAoXSdsQbd9ZPHh0LRx70hpUmEyzws306jQi0uQsBl/woSnE&#10;AQAAAAAAAED7PX12q9HLoyZ/8NK5/S+/+iTcv0lIxbFoO88iLcEajT0Jg2V0o+08LBvvUqiRNCvc&#10;wkGLRkRakUoLcXVtGwMAAAAAAAAA5aVlRVPpKuoMNNFn6x+F+zkp6f0tO5taWv41GnucGjQr3Hpm&#10;eVSR1kUhDgAAAAAAAAA41mC2r6bPChdJs91F+zwp6b2+dPlcuK2nlX5+ErPfnXZWuBrYyrJstled&#10;EZG2pdJCXDqpRSc8AAAAAAAAAKCZ0mxfZQta/3979xdyW3rfh317ZEuyI0sH2/GfWDM5dvxHdqTM&#10;qeP6j+TBMq5iVc40x66YzIXjTIhNIFVgVBQCJWBhKCUOnmEKKb0QPQ3JVSFRCL1wi5tzkQsFBD2X&#10;vQhUFy2UUuhJbwK96XT/zjvPZM2a3373Xut51trPWu/nCx8sv3Petddae/15/vzetXr3e7//uXTb&#10;r6n2SXxRvBhPnMuWvYSNPBUuXo/6+pGnwonsOAriAAAAAAAAAID32dDTvprosSiuxf6PQrVs2a1s&#10;6OmBjw+Hw/2bchkR2XNeSy4AsymIAwAAAAAAAIDt28jTvm716c/cf/sP/vDX0/92ype/8lK6P64p&#10;CvWydZ1iqWK/eAJd7OfsMztSngonInckTQviXnn1xfQCCAAAAAAAAAD0Lwqcal/VeW3xpLJhAVgU&#10;92X/7pQeHwY0dRsyrYv93njr5S08Fe7RwetRRe5cFMQBAAAAAAAAwB23odde3irqFmJbxts3taAs&#10;nno2Xsa1RbFi7VP7otgxW/YUsX+vUTR5OByeyf5b4snx3z6MwhgRuXtREAcAAAAAAAAAd1gUi33y&#10;Uz+Y1gFsRaz/1x59Md2+Yg9FcVGMVvtd1WxX7MPOX6VbXo/qqXAidzhNC+JaVBIDAAAAAAAAAMvb&#10;w1PhyutRs6fCZfZQFBfie8vW91JRVJct95RyrGTL6sjjw+Hw4KYcRkTuchTEAQAAAAAAAMAds4En&#10;fZ0VxWrxGtFs+26zl6K4L3/lpXR9LxVFcZcUEsb+6vwJguWpcCIiz/IwuVDMpiAOAAAAAAAAAPoV&#10;BVCvvPpiOue/FeWpcNn2XWpqUdzUJ6qtZep2jN1WFBc/j6K7zp8g+Ojg9agiMkrTgrheq6IBAAAA&#10;AAAA4K57462XN/161BDFfJc81ewSc4riWn12S/GUvJonuGXbFcuMhyJl/74TT6Lm5ab0RUTkvVEQ&#10;BwAAAAAAAAA7Vlsw1YNY/zmvRz1nL0VxoaaALV6fW7ar88LJ8npUT4UTkZNREAcAAAAAAAAAOxQF&#10;Tr/7N35+00+FK69HXbIIbWpRXBSPfeObX0qXdW3xfWfrfImPfuzDb/+FX/uJ9L914vHhcHhwU+4i&#10;InI6TQviohI6u+ACAAAAAAAAAOuJIq8o3Mrm9rciHsqzVuHZ1KK4KNRb4ol1LXzt0RfTdd4wT4UT&#10;kUlREAcAAAAAAAAAO1GeCpfN6dc6HA7pz1uLYrN4bWe2fUvaU1FcrNfWCyLfEU+Fu/+swkVE5MI0&#10;LYiLi2l2oQUAAAAAAAAAlhVFZFt/Peorr7646OtRz9lTUVzsx3iwUbbeG1CeCiciMjkK4gAAAAAA&#10;AABgw6IgK14vms3jb0Wsfy+FZXsqigtLPTFwQZ4KJyJV+WxyYZlNQRwAAAAAAAAArKO8HnXrT4X7&#10;vd//3FWfCpeZWhQX4neyZfUg9nG2zp3xVDgRaZKmBXFxo8ourAAAAAAAAABAO1F8FQ+tyebutyKe&#10;CveNb34p3b4e7K0o7g/+8Nff/sAHnkvXuwOeCicizaIgDgAAAAAAAAA2ojwVLpuz34pPfuoH3/7a&#10;oy+m29ebOUVxPW5bPCGu9kmCh8Mh/XklT4UTkeZREAcAAAAAAAAAG/DGWy9XFzVdU6x7j69HPWdO&#10;UVx8V9my1hb7+vNf+ES6jnMc2hbFeSqciCwSBXEAAAAAAAAA0LE/+uPfaVrUdA3xetTYjmz7tmCL&#10;RXGxzp0WUHoqnIgsmqYFcSG7yAIAAAAAAAAA05TXo275qXBFvCZ1a0+GG5tTFBdPxMuWtaTOX6vr&#10;qXAisngeJBefKtnFFgAAAAAAAAC4XBRfRRFZNi+/VVHYt+WnxIXei+Ji/3Z63HgqnIisluYFcVuv&#10;6AYAAAAAAACAa+n86V5NRFFZtu1bEUVn2Xbd5stfeSldVktReNfp0wQ9FU5EVo2COAAAAAAAAADo&#10;wBtvvbyL16NeIrY12wdb0VNRXNRpfP4Ln0g/c6rD4ZD+fCZPhRORq+R+ckGqoiAOAAAAAAAAAC4X&#10;xVWtCpq2ZI2npi0pvrepBYyvvPpiuqy54ml7z79wL/2sK/NUOBG5WpoXxH3jm19KL8IAAAAAAAAA&#10;wL9TXo+65afC/dlP/mD680vF9mf7ZivmFMV9+jP302VN0fGx46lwInL13EsuTlUUxAEAAAAAAADA&#10;7eLJXp/8VF0x2TVFIdbv/f7nnhVmzXl96FCLArFrijqJqU9pq9nmlq9IbcxT4USkizQviIsbXXZB&#10;BgAAAAAAAIC7rjzZK5tv34p47ef4YTlznpQ2FMWBsW+Gy9ySWPepBY5ziuKikLLjp8Lde1aJIiJy&#10;5SiIAwAAAAAAAIAVvPHWyz0WM10sCr6iICvbtlBbFBdPWdtyzUEUxUWRW7Ztp1xaFNdxIeWTw+Hw&#10;4KYERUSkjyiIAwAAAAAAAIAFxTx6p6+4vMjw9ajZ9g3Fk+NqiuLid7dedzD1u45Cw2w5ReyPqYV2&#10;K3kz6k5uyk9ERDpKcsGqcls1OAAAAAAAAADcFeWpXlt+KlwUYo1fj3pO/Puprw8d+9qjL6bL3oqp&#10;T3M79crYTp8qGK9Ife2m6kREpMMkF64qCuIAAAAAAAAAuOti7ry2KOyaYt1ritKiuKt2++OpdNmy&#10;t+LLX3kp3a5ThkVxpZgy+3dX9vhwONy/qTgREek0ycWrytartAEAAAAAAABgro4LmS4y5fWo57Qo&#10;iouismzZWxFPeMu265TnX7j39j/8x3+5x2LKeCrc60dekSoi/ScuWqOLWBUFcQAAAAAAAADcRZ2+&#10;3vJic16Pek6LorhYr2zZWxFPC8y265Tnnnsu/fkVPTkcDg9uqkxERDaQ44WraUFc3OCzCzwAAAAA&#10;AAAA7NEf/fHvvP35L3winUPfgngq2ZIPv1EUd3OMbLRY8tHBU+FEZGs5XrwUxAEAAAAAAADAROX1&#10;qFt9KlzL16NeIorasvW4VBTVrbWuS4in73X4KtRT4hWpr91UloiIbCzHi9i3Rhe1KgriAAAAAAAA&#10;ANi7eA3mhoqb3ieK0+KpZdm2Lan2SXpRxHeN9W4lCvpqCwNX8PhwONy/qSoREdlgjheypgVxUT2e&#10;XdQBAAAAAAAAYOvKU+Gy+fItKE+Fy7ZtLa+8+mK6bpeKbYiCxGzZW/Eb//En0227sngq3OtHXpEq&#10;ItvO8YKmIA4AAAAAAAAAzog3pm319ajhIx/50Nv/5J/9lXTb1taiqHCrb7CLYr7nX7j39uFwSLfr&#10;lKn/fqInx+U/iDoSEZHNJy5qo4tcFQVxAAAAAAAAAOxJvKKz9lWfvejplaNf/spL6TpOsaUahfJ0&#10;wQ6LKh8dPBVORPaU44WtaUFc3LCyCzsAAAAAAAAAbEnHBUzVvvboi+k2r61FUdwW6hS+8c0v9VhU&#10;Ga9Ife2mekREZEc5XuAUxAEAAAAAAADAQLzW8pOf+sF0Xnwvenm6WuzrbP2miGKzbNk9iO3rsKjy&#10;8eFwuH9TOSIisrPERW500asS1fHZBR4AAAAAAAAAeleeCpfNh+9RLw+9aVEU9+nP3E+XfS29HkuH&#10;w+GrR16RKiL7zfFipyAOAAAAAAAAgDvvjbde3uzrUf/ERz6U/vwSvTxdbU9FcX/0x7/T4xMG4xWp&#10;D2+qRUREdpzjBe/rowtglVdefTG92AMAAAAAAABAj6J4KYrCsjnwLYgisG9880tVBWU9FZLVFiVG&#10;IVo8nS1b/ho6Laz0ilQRuTs5XvQejS6CVXp+LzcAAAAAAAAAFOWVllt9KlwUfn3t0Rffs001RXHX&#10;LiQrtloUF58XDxHK1ueK4qlwrx95RaqI3J0cL35vji6GVRTEAQAAAAAAANC7KBx7/oV76bx376JY&#10;7Pd+/3MnC75qiuJin0RBWrbcNcUT72pfORr7aa1t6fR48opUEbmbOV4AmxbE9fIYVQAAAAAAAAAY&#10;6/QpXhcrr0fNtm2opihuzUKy28R3tYWiuChOrH2i3QK8IlVE7nS+mlwYZ1MQBwAAAAAAAEBvorjq&#10;jbde7rFw6SLZ61HPiUKwbFmXmvp5S2hVFBcFgtnya8S6xVv0ss+8on9z8IpUEZHD68kFcra4EWU3&#10;AgAAAAAAAAC4hiiGqi2qupYo5rrt9ajn1BbFxWdny11bPJwnW78pWhbFdfqK1P/z4BWpIiLP8lpy&#10;kZwtLvjZzQAAAAAAAAAA1hRFZL/7N35+8lPhDodD+vO1RRFYi9d9xjJqnoz35a+8lC53bS2exlZb&#10;FDf3mGotOUb/5fFnngonIvJOHo4uklXiop/dFAAAAAAAAABgLZ0+wesiMe8er3fNtmuu2qK4KEbL&#10;lru2V159MV2/KeYWxXX6itSnh5tXpIqIyCAK4gAAAAAAAADYhU6Lli4S8+01r0c95xvf/FJVUVw8&#10;sS5b7triCW3Z+k0xtSgu/n3NvlvIk6j5uCn9EBGRYT6bXDRnUxAHAAAAAAAAwNqiiCxe7dlh0dJF&#10;Wr0e9ZzYT5/81A+m63CJ+N2lCvamiO86W78pLimKi21tUYC3gMcHr0gVETmZB8mFs0p2kwAAAAAA&#10;AACAJURhU02R1zWVp8Jl27WU2qK4WOc1ivfO+dqjL6brN8VtRXGxjR0eV16RKiJyQe4nF9AqPVSD&#10;AwAAAAAAALBv5eldW3wqXKxzrPu15tdbFMVNfe3oEmIdsvWbItuOKFLs8LiKV6Q+uCn1EBGR26Ig&#10;DgAAAAAAAIBNiSKm51+4l85Z926t16OeU1sUF+Ipbdmy1xT7svZYKEVxsU8+/4VPpP/myr5+8IpU&#10;EZGLcy+5kFb5xje/9L4bEAAAAAAAAADUiuKnTguWzoonjq39etRzogAsCvSy9b1UD9vUorgvtqPD&#10;IkuvSBURmZHmBXE9VLIDAAAAAAAAsB9R8LTl16O+8uqLz7Yh27Ye1BbFffkrL6XLXVvtdnTGK1JF&#10;ROYmuahWURAHAAAAAAAAQCvxOsvap39dSy+vR71EbTFZPLkvW+7aonAyW7+NeXTwilQRkfk5Xkif&#10;ji6sVcq7tQEAAAAAAABgrq0/FS5ewdnzU+Ey8SS7bHsuFUV12XLXFk+sy9ZvA7wiVUSkRY4X1G+N&#10;LrBVFMQBAAAAAAAAUOONt15++/kX7qVz0j3bwutRz6ktioun+fWw/V979MV0/TrmFakiIq0SF9XR&#10;RbZK3FSymw0AAAAAAAAA3CZeLxqv3szmorfgt377Z9Lt2poWRXHf+OaX0mWvKR7ok61fh948eEWq&#10;iEi7HC+sTQviolI/u9EAAAAAAAAAQGbLr0cdi+3ItnFrYjuy7btUfJdR4Jgte02xDj/10z+QrmMH&#10;4hWpr91Ub4iISLMcL7CPRxfcKvEe9OwmAwAAAAAAAABj8RSveKJYNv+8VZ/+zP10W7fmy195Kd2+&#10;S0VRXHy/2bLXEp/f6et34xWp928qN0REpGmOF9lHo4tuFQVxAAAAAAAAAJxTngqXzTvvQRT5xTZm&#10;274ltUVx4WuPvpgue0nZUwcPh8N71uuKvCJVRGTJxIV2dOGtEjfD7GYDAAAAAAAAAOGNt17e5OtR&#10;P/Shb09/fko8mayH14bWigfjZNs3xZoP14l93ulTB70iVURkpXw1uQjPtpf3oQMAAAAAAADQVry+&#10;Ml4nms019+7zX/jE29/45pcmP9UuCv/2UBQX3122fVOs8YCdKLzrtNjy8cErUkVEVsvryYV4tlde&#10;fTG96QAAAAAAAABwN2Wvr9yKeNLY+JWfc171eo3XhrbWoihuqYfsxDEWRYvZZ3bAK1JFRFbOw+Ri&#10;PFvcYLKbDwAAAAAAAAB3TxRRxatDs/nlnkXxXjxtLAqtsu2Kp51lv3ebNV8bupQWRXGtH7QT69Rp&#10;sWW8IvXhTWmGiIismc8mF+XZFMQBAAAAAAAAEK8J7fiJXbeK17rG61Gz7RqaUxS3xmtDlxbfbW0B&#10;WuzjbNlTRLFiFNdly++AV6SKiFwxD5IL82wtbloAAAAAAAAAbNPeXo96Tjz1LVvWbVo/Ie0aomAw&#10;9le2fZeqqS/o+KlwwStSRUSunHvJxXm2uOFlNyMAAAAAAAAA9m2vr0c9Z85rRPfwsJnYX2sXxXX+&#10;VDivSBUR6SRNC+KicZPdlAAAAAAAAADYp7vwetRz5hTFRTHZ3CK8nsQ+zLbvUpcWxXX+VLh4Raqn&#10;womI9JLjhfnp6EI9W9x8shsTAAAAAAAAAPty116Pes7corgWBXnXVvvUttuK4jbwVLjXbqovRESk&#10;mxwv0E9GF+wq2Q0KAAAAAAAAgP2I4q/a12VeQ+3rUc+ZUxQX6xRP2cuWtyVRHJlt36XieBov85pP&#10;hTscDunPB+KpcPefFV6IiEhfiYv06KJdZQ+PdAUAAAAAAADg/cpT4bK54t61ej3qOVHcln3+baLo&#10;K4q/suVtyZe/8lK6fZcqRXFxnHX8Gt5/czgcXj/yilQRkV5zvFgriAMAAAAAAADgpJgHfuOtl70e&#10;9UJRFDdnX629nkuY85S8oY9//GM9H2dPDofDg5tqCxER6TbHC/abowt4lT283xwAAAAAAACAG16P&#10;Os/corhY52x5WzLnKXkb8ObBU+FERLaRuGiPLuJV9vBucwAAAAAAAIC7rrwedYtPhVvr9ajnxDrM&#10;KSaMV49my9uSqB14/oV76fZtzNPD4fDwpsJCRES2kq8mF/TZ9vBecwAAAAAAAIC7zOtR24nCwjlF&#10;ca+8+mK6vC2Zu+0deXzwVDgRkU3mYXJRn01BHAAAAAAAAMA2eT3qMuYWhsWT7rLlbU08aTDbvo7F&#10;U+FevympEBGRLaZpQVz8pUB2gwMAAAAAAACgT16Puo5Y12wbbhOFdL0W+k0RBYvZ9nUongp3/6ac&#10;QkREtpoHyQV+triJZTc3AAAAAAAAAPoTT4V7/oV76fxvz6JQrLfXo14iXoWabc9tYlu3UvR3ShT1&#10;/dZv/8zbzz33XLqNHShPhfOKVBGRHeRecqGfTUEcAAAAAAAAQP/+6I9/5+3Pf+ET6bxvz3p/Peol&#10;5hTFxXbHd5Ytr3cbeBXvk8Ph8NmbEgoREdlDmhbEffkrL6U3OAAAAAAAAACuz+tR+xDfQbaNt4nv&#10;LIrLsuX1qBxr2bZ05M2om7gpnxARkd3keIF/OrrgzxY3s+xGBwAAAAAAAMB1bfX1qOGXXvqRdJu2&#10;LB44k23rOW+89XK6vF5EIVys47miy8PhkP58JfFUuIfPiiZERGR/OV7omxXExSN1sxseAAAAAAAA&#10;ANex1dejjsVrN7f62tBTonAs29Zzen172wZejxr1EZ4KJyKy9xwv9k8GF/8qCuIAAAAAAAAA+rDl&#10;16Pe5vd+/3Pp9m5VFJFl23nOK6++mC7vGjZyrHkqnIjIXcnxov94dBOYLSq9s5sfAAAAAAAAAOvZ&#10;wJO6qvRUDNbC3KK4T3/mfrq8NX3t0Rd7fxXv08Ph8PqRp8KJiNyVHC/+Xx/dDGaLm1x2AwQAAAAA&#10;AABgefGkrigWy+Zz92Zvr1CNbZnzhLXYD9/45pfSZS5pI6/ifXw4HB7cVEeIiMidyfEG8ObohjBb&#10;3JyzGyEAAAAAAAAAy9nr61EvsadXqM4tiovfWas4cCPHmqfCiYjc5RxvBM0K4kJ2QwQAAAAAAABg&#10;GVt9PWqs8yd+6vvT/zbVnl6hGk97m/t9xrGQLbOVWH7nr0cNngonIiKHryY3iNmiGjy7MQIAAAAA&#10;AADQTnlSVzZv27N4slg81a3MLbd6xeueXqEa+2ZuUdwST8zbyOtRPRVORETezWvJjWK2vTQwAAAA&#10;AAAAAHoUxVJR9LTF16N++jP3nz0BbbxNrYriwhtvvfy+5W9RTVHcl7/yUrrMqUrR5QaOtXgq3P2b&#10;EggREZHD4WFys5ht6UewAgAAAAAAANxVW3496tcefTHdpqLl0+5iWdlnbFEUEWbbeE78Xra8S23k&#10;9ajlqXAiIiLvSdOCuHONGAAAAAAAAACmmfLKysPhkP78GsavRz0nnmyWLWeOKMLLnka3RXOLBWMf&#10;XLrvi9hnG3g9avBUOBEROZkHyY1jtiXeRw4AAAAAAABwF019ZeWho2K4U69HPadlUVzst7081GXu&#10;fomnvEVBZbbMoQ29HtVT4URE5GzuJzeQ2RTEAQAAAAAAANSLQq4NvLLyfS55Peo58fvZsueKYrLs&#10;c7Zm7n6JIrfbiuI29CpeT4UTEZGLci+5icy2l4YEAAAAAAAAwDVsqDjpPaa+HvWc2A/Z58w15/Wh&#10;ParZL+NCxfJUuOzfdiaeCvfaTYmDiIjIBUluJrPFu8SHN1AAAAAAAAAAztvQKyvfZ+7rUc+Jp5pl&#10;nzdX7NsoKMs+a0tiv8x9emApWnzjrZe3cqw9OhwO926qG0RERC7M8QbydHRDmU1BHAAAAAAAAMDl&#10;ojgp3sS1xUK4Fq9HPSeKv1rvmygKyz5rS+K4mfskwe///o+kP+/Mk8Ph8PCmqkFERGRi4kYyurHM&#10;Fjfc7GYMAAAAAAAAwHt5Pepl4ulzrfdTPNUu+6ytie3Itm/D4vWorx95KpyIiMzP8YbSrCAuHsua&#10;3YQBAAAAAAAAuBFPPYu3b2Vzrr175dUXF3k96jk1T0Q7Jea347vIPm9L4lW72fZt0OPD4fDgppJB&#10;RESkInFTGd1kZou/BMhuwAAAAAAAAAB3XRR1RfHSFl+PGk8iu3bxWOy/JZ6ItodXqMZrd7Nt24jy&#10;VDgREZE2Od5cHo1uNlWymy8AAAAAAADAXfa1R1989kSybI61Z2u/HvUSSzxdbw+vUI1X8Gbb1rlH&#10;h8Ph/k31goiISKMcbzBvjm44VXpqCAEAAAAAAABcUxQptX7V5xqiEC6eZtfr/O8SrwmNbd7yK1Tj&#10;u/rNL37q7W//9g+k29eZJ4fD4eFN1YKIiEj7fDW5+cy2h3esAwAAAAAAANSI4iSvR13WEkVxYYuv&#10;UN1Q4WV5Peq9Z9UKIiIiC+X15CY0W9xosxswAAAAAAAAwN5tuRAu/PiPf1+6Xb368ldeSrej1lZe&#10;oRqFi6+8+mK6DR16fDgcHtyUKYiIiCybh8mNaLY33no5vREDAAAAAAAA7NlWX4869vkvfCLdvl7F&#10;fs+2o1bPr1DdWOFleSqciIjIamlaELfFx8cCAAAAAAAAzBVFU1FEls2f9uBwOKQ/v83WHoSyVFFc&#10;6G0OPLb1+RfupevaoUfH48/rUUVEZPU8SG5Ks8UjabObMgAAAAAAAMCebP31qOd87dEX0+3uVRQm&#10;LvVd9PAK1d4LL0eeHA6HhzclCSIiIuvnXnJzmi0afNnNGQAAAAAAAGAv4glqG3pK12y9vjL0lFjf&#10;pb6Xa71CdaOvR/VUOBERuWqaFsRt7X3yAAAAAAAAAJeK11V+8lM/mM6V9iyKqX7u559P/9tt4ve+&#10;8c0vpfuiV1FAtuR3tOYrVOMpfRsqvHx8OBzu35QhiIiIXDnHG9PT0Y1qth4eFQsAAAAAAADQ0pZf&#10;jxpzuOXJZvG/s39zmyjIiu0f75OeLV0Ut/SDYjZWeFmeCiciItJPjjeoJ6Mb1mzRGMpu2AAAAAAA&#10;AABbs+VCuFjn8dPMYnuyf3vOVh+MMqcA8FJRsNb6FarxNL443rLP69Sjg9ejiohIjznepJoVxEWj&#10;KrtxAwAAAAAAAGzJll+PGoVwp57qFq/hzH7vnKWfiraUV159Md2eVmJ/Zp87xQYLL58cDocHNxUH&#10;IiIiHeZ4s3o8unlVyW7gAAAAAAAAAFsQT/2K4q9sLrR3w9ej3mbu9o2fOLcVSz91LZaffe4loqAu&#10;3sSWLbdD5fWongonIiJ953jTenN0E6ty6i8NAAAAAAAAAHq15dejxpPspjypLLZ1bhFWiyeiXcOX&#10;v/JSuj2txHcwZa58g08gfHw4HO7fVBmIiIj0n68mN7PZWr8nHQAAAAAAAGBJb7z18pae0vWuc69H&#10;vU0UZGXLvMRW54Tje862p5X4Ps7tm/jvS7/GtbF4KtxrN6UFIiIi28nD5KY2WzScshs7AAAAAAAA&#10;QE82+JSud8XrUb/xzS+l23Wpua8SvaTwq1c1hYCXyl4tu8EnED49enTwelQREdloPju6sVXZ6iNy&#10;AQAAAAAAgLshirnmFoO1cjgc0p+fE4VwLR9SMrcgMJ6oN+fJdD2I73/pwrTPf+ETzz4r9tEGn0AY&#10;r0d98KyaQEREZKO5l9zgZsuq3QEAAAAAAACurbendB0mFMXFOs99PeptYnnZ510iivOyZW5BPF1v&#10;6acD/siPfs/bP/bj35v+t07F61FfjxqCKCQQERHZdJIb3Wxf/spLaYMCAAAAAAAA4Bp6K4SbItb5&#10;lVdfbF4INxRvAcs++xLlSWhbFPt0q6/MXUA8Fe7+TQWBiIjIDnK8uX1rdLObLRpjWWMCAAAAAAAA&#10;YE1R8BRPVdvY6yrfFU9gi9d7ZtvWWhS2ZetwiXglaLbMrajZ9h341uFweHhTOSAiIrKjHG9yj0c3&#10;vdm2/BcAAAAAAAAAwD78d//0t1Z9+tdhwutPzymvR822aylRPFhTOBhPmcuWuxXxBMFsu1pqeYw0&#10;EK9H/eqR16OKiMg+c7zZvTm6+c0WjaSsAQEAAAAAAACwtLUL4Vr6zu/64LNCuCVfj3qb2HfZel1q&#10;rafZLeXLX3kp3a4ditejPripFhAREdlpjje8ZgVx8dcKWeMBAAAAAAAAYAnl1ag/8qPf+775y0Nf&#10;T+U669pPWqt5UlrMFW+9KK62KLBz8VS41488FU5ERO5EHiY3w9mu9RcLAAAAAAAAwN3yD/7r33j7&#10;ox/9cDpvuVXXLiqrecJevFFs6/PFsf+juC/bvg2Lp8LdvykPEBERuRtpWhC39ap/AAAAAAAAoG9R&#10;dPWLn/7T6Xzl1kUx1je++aV0u9cQ+7amICwK6rLlbkns/62+enfkSdQD3JQFiIiI3K3cS26Ms8Vj&#10;ZLNGAwAAAAAAAECNKNaK13p+5Ls/lM5V7kU8aS3b/rXUvjr005+5ny53S+JY+6mf/oF0+zbA61FF&#10;RESSG+Rs8X7+rMEAAAAAAAAAMEcUJ73x1svPCsViTvJwOLxvnnJvrl1UFoWH2Xpd6vNf+ES63K34&#10;2qMvvnu8bYzXo4qIiESON8VvjW6Ss335Ky+lDQYAAAAAAACAqeJpZTt5feVkr7z6YrpP1hJFedl6&#10;XSqK6rLl9mzDx5vXo4qIiAxzvDk+Ht0sZ9t6pT8AAAAAAABwfVsvhPvuj344/flU8WS8bP+sIZ7M&#10;97F735mu16Wuuf5TxPEWc93ZNnTO61FFRESyHG+Sb45umrNFgyhrQAAAAAAAAACcE4VJtU8mu6aY&#10;L/293//cs2KyeLtW9m+min2S7as1xGdn6zRFvH40W3YP4nuKJ9nVFv5dydcPXo8qIiJyMl9Nbp6z&#10;ZQ0JAAAAAAAAgFO2/kS4EIV83/jml96zXS22KYq1/uiPf+c9y11TFIxl6zXFNYv6MhsvhHt8OBwe&#10;3Ez1i4iIyKk8TG6is12zMQYAAAAAAABsx14K4U7NkUaBXPY7Uz3/wr10+WupfWrftYv6iiiEi9e4&#10;xv7M1rNzXo8qIiIyIQ+Sm+ls8QjgrHEBAAAAAAAAEEVJeyiEG74eNdvOIl4Zmv3+VFGUli1/DbGN&#10;tU9Ti98/t6+WtOFj7unRo4NCOBERkUm5N7qhVol34WcNDAAAAAAAAODuumuFcEOf/8In0mVNdc2H&#10;k8R3l63TFPHdr10UF+td+4S7K/J6VBERkbk53kijqjy7wU4WjbmsoQEAAAAAAADcPVEAFU9J23oh&#10;XIjCqngNaradt4l9UPuEtSL2ZfYZa/jdv/Hz6TpNsVZRXHxPsb6t9vvKvB5VRESkNscb6pPRDXa2&#10;aFBkDQ4AKKKje5vopN7mj/74dy4Sf/V1mxg0OCX793Nl63aJbNvH+yrbvwAAAAAAPYgxzHi71PMv&#10;3EvnFbckCuFi3DbbzkvFeHG27KliPrZ2XWq0eNrakkVxsdwNF8KF/+GgEE5ERKQ+x5vqo9FNtooJ&#10;eoDriWtwiOKpUlg1LM4aFn298dbLz8Qj1odigCJEh7F45dUXn4kngRbR6S2i81rE4EaIzuZQds9g&#10;GeN9X76ToeF3FobfZzH8votyLAwNj5VQjqGh8XFWjr+h4fEZhsduUY7rcKpYMDs3AAAAAIB1xDhe&#10;jBPuYVw4xlJjPDPbzjlijDX7nKlivbLlryHGYFt8tzEu3XI8N5YV39XGj7t//M4UvoiIiDTIV5Ob&#10;7WzRyM0aIQB3WSnUGReqlcKfUhBUioWigKgUF0XBUXSSS5FSKWAqhU2l6Cm7JsNdV86PUM6ZUM6j&#10;cKoAMCv6O1Xod6qwrxTyFYr5AAAAANijGNuK8a8Yb8vG6bYmxhNj3K/1mF0sL8Yns8+cKsY0s89Y&#10;Q3zX2TpNFcdLi328g2Pv38ac/c3UvYiIiLTKw+SmO1s0DrOGCMAWRMcrDAvXhkVrpfglK1YrxTWl&#10;4KYU4WTXSoBzyjUklOtKKNeaUsg3p5ivXMuyQr5SvFfcVsSXXUcBAAAAuDtijCjGmzZejPQev/wr&#10;P7ro2FeMuWWfO8c152VjzDFbp6ni2Jm7v2NfbvzY+7dH//3hcLh/M20vIiIiLfPZ0Y33mePP3/ez&#10;S8QkbNYgAVhCKcooBWzR+ZlTwKZ4DaDOpQV85wr3guI9AAAAgL7FuEuM4+x1XD3GmLLtbiX2Xfa5&#10;c8S4WPYZa2hVjBbjiFPG8OL7abkP1xLz7+/Mwf/r4//9y0f3jkRERGSh3BvfjGtEwzdrmAAMlQKF&#10;UrxwWxHbqQK27BoEAOeMC/dOFe2NC/bGhXrjIr3bivMU5QEAAABbF+MbMe4R4yd7H6OP7Vt6PKdV&#10;MVmsa4w/ZZ+xtPjcbJ3muKQoLv57jNNt+Ph7cjgcHt5M0YuIiMjiOd58vzW6Gc92XJwJP9ixOL9D&#10;dHJioj86v6cK2aKAoBQXDAvZ9t5RBoBzyv1w6aK8UpAXtNEBAACAOWKMIcYiYgwjG+fYqxibyfZH&#10;K62LybLPWEOMSWXrNEdsRzaGFT+LY3DD80tPD4fD60eeCCciIrJmjjfhR6ObcpUf+dHvedaIGzdW&#10;gOsZFrGF6KDcVsgWHb1SyDYsZsvOeQBge9YqyhsW5kV7RGEeAAAALK/MCWT/7RLx+9HXj7GCbFzh&#10;roixjmz/tNKymGzpAr7bxGdn6zTHuCguxpjiZ9m/3YjHh8Ph/s2svIiIiKydP0puzlVici0mv4aN&#10;IWCa0mFVxAYA7NWwKC8MC/NKUV4YFuUpzAMAAID3iv5v9JezuYH4/6NvHX3o24rkoq8cfer4t1ue&#10;WzgcDunP54j9UFNYeInY39lnzxHjItlnLC2OnTj2snWaI47ZR//olabLvAKvRxUREbly7h1vyP/b&#10;6AbdRDQSFcWxd2VC9VThWsiK10J5AkuZ+C2d1C13NAEAtijaX9EWK6JtVtpqpSgvnCrMu60oLyvI&#10;y9qVAAAAMEX0L6NPOrVoKPq1Zf4u+qnRp41lmJvIxdjAeN+3FN9jjEVknz1HjEVkn7O0OJay9bmD&#10;vB5VRESkkzxMbtTNRAPOhA9ri2OuGBaqhegInCpYi47jsGgtJj0VrQEAsKRhMV5pc95WiFeK8MaF&#10;eKWNOyzEK0V4Qb8MAABgP6LPV1tE9T3f813pz3m/6H9n30Mr0Y/PPneOGGeIcYDsc5YW4xLZOt0h&#10;Xz94PaqIiEgfiRvz6Ebd3NJ/OUG/hkVpYViUdmlh2rA47VSBmiI1AACY5lwhXinCGxfilTb7sBCv&#10;tO/DsBBPER4AAEB70e8yH3Ja7Jvot/7cz7+Q/ve5Yr9n30cr0f/OPneO6ONnn7GGGFPI1mnnHh8O&#10;h8/ezL6LiIhIFzneoL81umEvIiZJskYR6xgWppWitHBbUVoYFqaVybCsKC0Mi9J0xAAAgLHoJ1xS&#10;hDcswCtFeArwAAAAbuZ7oi+V9bnuuuhzRh+y9A2jn5j9u7miLzv+PlqK9Y7PyD57juhnZ5+ztDt2&#10;jHo9qoiISKd5kNy4FxGN0KxRdFdFYzCUiZtLCtQuLU4rE0wK0wAAgLtsXIBX+k4K8AAAgC2IPkf0&#10;Qcq8UfRVfvHTfzrt/7RwOBzSn/cu+n7Rr4t+2ngfRp8v+5254nPGn9FSbEP2uXNFvzb7nKW13o4O&#10;PT16dDxnFMKJiIh0ms+Obt6LioZ61ijailLAVorXhoVrpWhtWLA2LFRToAYAALBvNQV44bYivHEh&#10;nmI8AADYnuE803B+aTivNJxTyvodvFfss9if2f4Osc9jf2a/O1f007LPaiX6idnnznXb/llSHOPZ&#10;+uxAvB71wc1Uu4iIiPSaVQviovGeNYjWNu5whGFB27DTEXQ6AAAA6FX0WcfFeLcV5J0qyisFeYry&#10;AADgtOEc03CeqRS3RfvaXNOyPvCB584Wwg3F95MtZ6415jvjmMk+e45Y32v136Ivmq3TRnk9qoiI&#10;yIayakFciA5B1iCqNS5y8xc1AAAAsI7oa4fWRXnhtsI8xXkAAHdbaQuWtmFpL4ZoP5Y2ZSgFa0Up&#10;XCtKOzXaraUdW9q1ZX7JHFM/4jvMjolT4nvMljNXHCfZ57QSx3X2uXPF8Zx9ztL+1fG8/L7v+xPp&#10;Om1IvB71zYNCOBERkU3l3uiGvrjoNGQNottEoy86L9FhGXZSSmdEBwQAgGs4tqfTnwNwXeMCvaxI&#10;L5RCvaxYL4wL9oKiPQDgrihtmGLYvgml3VOU9lBpI4XSbiptqeEcT5EVooXSfgulTacojaE47rJj&#10;NxPHbLaMGnGMZ5/VSiw/+9y54vzLPmcJcc2Iz9vB+er1qCIiIltNcmNfXDQ6s4ZRNFyjcRedodLZ&#10;0bEBAAAA9qZM5obWRXvhXOFeKJPXw4nt4aT3eOwGAO664X0ylPtnuacWw/ttuQ8PDe/TYXgPL4b3&#10;+GHxWDFsF4Rhm2HYlgiljVGUtkcxbJeErO0CPYrjOztXT4lzJVvOXHG+xDUg+6xW4pzOPnuuuC5l&#10;n9NSfEZca7LP35Anh8Ph4c1suoiIiGwycUMf3eAX9yu/+mPPOnTRaYvGanS4sn8HAAAAwPUNJ8mH&#10;E+hlYn046T6ckB9O1A8n8YeT/MPJ/2FxQCkaGBYVhFJsUIoQQilMyCbkAOjbuQKzcv0/VVA2vI+c&#10;KiAr96Jyfxret8q9rCj3uOG9L7s3An2I60B2bcnEdSbO72w5c8V1JPusVlqvc1zT4jqbfVatuFbH&#10;dTT73A15ejgcXj/yelQREZGt53hjf3N0owcAAACAzRsWM5QCh1CKHoYFEXML+YZFGSEr5BsWdpRi&#10;j1AKQLIJReDuKteGseH1IwyvLUPD608YFpIV42tXGBaWFcPrXhheE4fXynOFZuX6O7wuZ9dtgKni&#10;ehLXxOx6monrXbacGnG9zD6rlbiWZ587V1yjs8+ZK+49cV/IPmtDnh69eVAIJyIisqvcG93wgY07&#10;ntfpzwHYF9d7AIB9KsUiwyK+MCwuGRadhGFBXxgWqoRhEcu4wGVY/DIukBkW0IyLbIYFOONCnaGs&#10;sKfIJlV5v2zfTZV9N6cMv9tTxsfD2PDYuc34mBsbHp+3GR/XY8Nz4JTxeVOMz6/x+ReG52cxPodD&#10;Ob+HsusAwF0S19E/+MNfT//bJeLanN0/T4lrdLacGnFvzD6rlbhPZZ87V9w7s8+ZItoXsV47uJc9&#10;PhwOD2LSXERERHaW443+W6MbP8AuHS956c9hKxzDAADAXTEuGhrKCo2KcVFSyP7dFNk6TJVtIwBM&#10;tZfxwbg3RtHxsJAsCtuyf3uJKMYeFmvdJoq/s2XUiPZC9lktRZsm++y5puyzoSiEi2LzHbRvohDu&#10;4ZGIiIjsNccbvtemAtDEcLC/GE8kjCcmhn9RPfyL61Z+9XM//vYHP/jt6foWP/fzz7/vL8AvNfxr&#10;8tbKX7L/hc//xNsf/vB3pOv+qT/3Q+/7vWw9h7L9VAy/j8z4+yvG3/NYdmwU2XYBwNix+5r+HAAA&#10;gG2IccR4OlkUVWWFVtnvXCLGH8fLu02MkWbLqRHjstlntdK6kC/GZbPPOSW+n3i6a+zrbHk1sv7+&#10;gmMAT4/Lfv3I61FFRETuQLw2FaAjw0KhUkw0LDwqhUk/8qPfm/7+2L/3Mz/87itEyitHyqtJhq8z&#10;CcPXnxTD16aE6PgOZZ3jnsR2Z/tlaOqAyZpiH58rGovvMvvdLbrk+xr6p//8t993jIbhMTw+zsvx&#10;PzR8JU8o50wohYlD54oQzxUaDs/pUM71D39nXvgIAAAAAFsUY5sxHhbjdOfGk2sK1WLMLltm5pIx&#10;1zli7DH7vFZiHDP73Llif2efMxbbFWOY2TI2RCGciIjIXcyxEfBk1CiATToezunPYY5SlBaGRWnR&#10;eS9FLqX4pRTFRKe7FNGUwpropJZCnGGRTincKYVl5wYDxuKzsvUei/Wfuuw9ie8r2y9jve6jOJay&#10;9R2K7zj73S2K8yrbxlOmDHT1Lq4H2Tbe5qMf+/CzY7dcT4aG15tyDRoWARbDQsAwLgLMiv6yQr9x&#10;cV8o19Bs3W/jfs5ShseW4wwAAACWE2NCMbYUY1PZWFgmxrmyZV0qxsSy5WZiXCxbRo0YD8s+q6Wp&#10;46fn3Pb97KQQLsTrUe8fiYiIyB3Ma0njgM4dv7f3/F+4S0qRxbhQ7Qd/8KPpv8/8wR/++nuK1KKz&#10;HB3uIusA9iQKV7LtykSBS7aMu+DSYpw4FrLfv7ZLCuLCXr7jSwsYi/h+s+VsURyD2TbeZovbX66x&#10;WfFe7IPwc7/wQrq9mWsV7QEAAADwfjEGE2OVc8fYY6wnW+4l4rOzZZ4S/z5bTo0Yl8o+q5XYry2L&#10;1LIivhifa114dyVRCPcgJsJFRETkDufYKPjWqJEAMFspMBgXrJUChegUlgKG6OBGBzlEkVf8ZVYp&#10;isiK1cads6H4vGx9MllHb0um/AXbFotmWohjJ9sfmV4Lyi4dANr68VxMOYeLuYNrvYljMNu+c/ay&#10;/UNTjoM4z7Nl1Ih9+j/+i99NP2+OKNbOivNiOwtFeQAAMM3BHwkDdCPGNWLMv8U4TYzLzBkjLGLc&#10;PFtuJuYdsmXUWmK8aqj1esc8TVlu/O8djFN5PaqIiIi8J54SB3dAdGRCmYCfWqxWW7C2tKkdtdie&#10;bDlbEPs626ZT4vvKlrNnU56iF8d+toxri/MwW99MnIfZMrZkzmDXXo7tuPZm23fO0gNs15Bt5ylT&#10;BjmniP2afd4ccW/KPuM25Z4a53Uo99ty/43tDuXeHOJeHfftIq4fcVwVWVFe+J7v/a50vQEAAIA+&#10;HTooCo7xjhhfiPGI1vMCU8Z1x6aOw1z6B8lTxBhn9lktxfhQ9tlz/eYXPzV5fqVDCuFEREQkz7Gh&#10;4ClxsKLoXIRxcdq4QK0UqYVSqPY3/9Yvpsu8Tfx+1nHak6kdttjX2XK2Ykrx0F34/sdim7N9kZk6&#10;ULKWKQMyMfiULWNL5gy67GG7Q1z3s+07Z2/FrlML0Zb6/lsPKvb8PU25Vg79tb/+s+8pyovvIpwq&#10;yittmlKQF+I+XNpBpV2UfdZcxy5O+nMAAABgvr/+u//+4n+kOWXseyzGI7JlnhLjE9lyasS4SPZZ&#10;LdUUDu7Q1w+Hw/1nE94iIiIiSXb9lLjj9qU/5276iZ/8k+8WnoVh8Vkok7dFKUQL0ZEpk76hTARn&#10;T04L5eku5WkvWcdljjmTxnt4gtRt7to+ieMx26ZT9v79j8W5nO2HU7JlXFtcb7J1zcT2ZsvYkmy7&#10;ztnDdoe5g3xx/8mWt1VTC9GWGlxsPaC4xiDoXFOvlcUa597wKXkh2lWlrXXJU/J+5s//cLrumeee&#10;e655QR4AAADs0RpjAtHnzz77UlPGwqeOR11qjfH4mL/KPvsOeXw4HB48m+UWERERuS3HhoOnxN0B&#10;5QkcRXkyR4gisaHhUzyikzN0qmCsFI0Vw+KxYQFZKJOZoUxwFsOismFhWSjFZUW2nbeJdc46D1sS&#10;30+2bbeJ/Z8tay/mTGRv+ViIcyjbplP2/v2PTS0wWmOAYqop33Ec/9kytiTbrnP2sN1hbkHc3s7r&#10;qde1aHNky6k1dT3OWWOgeK457Yki2mDZMnsxdfB8eB8obczS9rytGC/Ow2HbN47L0kaO737Yno79&#10;Xdrdc9otAJc4+INAAAAWFv3kYR98CdGPzj77EvG72TJPiT58tpwaU9dhrpr9tGFPjv2eeD2qiIiI&#10;yMV5mDQqSMQEVlEmtUIpJAvRCL2kgCwrHCsTbEVMuv3SSz+Srstt/st/8Je6n6xsYepkbnxvPRa/&#10;TBHHTrZtt4ntzpa1F7F92XbfZsv7ZGox6N6//7FsH9wmihyy5VxTTTHH1kw9nou9HNfZtl1ibwVx&#10;sT3Zdp4SbapsObWmnnvn9Hyc1gyaRhs1W2Yvpn6P1z6fxgV4pQgvtiOUfkHpL5wqwAt//mc//vbz&#10;z997+zu/84Pptm7JsY+a/hwAAIDriTmZrG/bUvSPs8++VPSls+Vmok8ec3zZcmqsMXYS6z51jmzD&#10;nh5uCuHuxaS2iIiIyKQcGxOPR42LrsUEYxgXpI0L0UrxWfzbbDlD//Af/+V3J6HKpFQ0KIuswbmG&#10;WJ9sfW8T2xvrny1vT+YUh229iCAmQLPtOmfPx8PcTt+W98nUTnqPRV9LiO802/7b9HhN2FoxR424&#10;v2bbdIlr3ptbmHN/L+JekC1zq6LNlm3nKdHOy5ZTa+q5d4lej9OagrilChJbmXoviHtqtpytiXvB&#10;JX2ev/razz47LmM/hdsK8E4V38XxU0Q7LPZh6Z9lnwlcx0FhKQDvcE8AWppScDbX1LGioeibZss8&#10;ZYnxoLXm6KJ/v/O++NOjR8f72P2YyxYRERGZm/ujRsbi/uwnf+DdgrWYaIlJlxATMNEAjYmZkBWo&#10;ZQ2/28Rys3UYin+T/W4Ppha/hJigypa1J3GsZNt+m6mdod7M7Zz1PnldY+6k/pYLSqYWg+75+x+a&#10;U2DU43EQ975sXU9ZqjhoDXFvz7bpElsv9Jz6PQ/FNSBb5lbFMZxt5ylLHfM138kpvR6naw4sry36&#10;Ctl632aNQeolTR0AX6OfEOtU+nDjorswLroLw8K7X/3cj6frDgAAwHWt8Ydlc/r2Q1PHfKeOTV1i&#10;rTHb6HfvtCju8eFweHAzhS0iIiJSmWPj4tGosbGoNSfTLmk8x9MNst/twdTilyImm7Ll7cXcTlFM&#10;wGXL24K5TxTaeiHgbeaeH1veJ3MKI7c+2X+JOcUsPRYLTj3Pt3wsx3GZbdMlei5kv8Scou5ib0Wu&#10;Uwv/lyrmWaIgrtfjdO69s+j9npKt82223DYMc9oFW9jmbL1v85lfuv+ewrvYxjAsvBsW3cXkRFxP&#10;QnniuKfdAQAAnLfG3FP04bLPvtSUsYvaArxT1thP4Z/8s7+Sfv6lDn09SfTJcX0ePpu4FhEREWmY&#10;e0nDY1FrThJe8lrFXif35jbG1/hLnWub8/S8Le+Xmo7Z1id7T6mZ1N9qkdic42DrxUOXiG3Mtv02&#10;a/2l3hRzisS2eizP2dZi6l969mbO8Vr0eNzWmHovX+qPGOYWnd+m1+LF2kHl3u8pU4+prZ9TcZxl&#10;23WbLRRTX9J/G1pqm6LdFeKeFU498W5cfBeyAryf+/kX3n7++Xtvf+QjH3r7Ax94Lt2WvTh4PRsA&#10;ADtyzfZt9HeijxT9ivCTn/j+9N+tZY05luiHzZn/Kab+QWXNWN0pS/e9Yx9Fv3Mnf9T19HiOvR5z&#10;1UciIiIii+SrSSNkMWtOxFzSmO25YGjORFfYaxFUMXe/bLV4JMztBO6tgKKo6aj2PqF/m6nHwZrX&#10;22uZcyz0uF/mFDzGxHy2rN7VFMTF9T9b5lbUFCTt7XqebeNttlQQ1+t3VTvI2/sxGIPe2XqfsvV7&#10;ZHwf2Xad03s/Yc4fPfTexo9z79KJij/1pz729t/7+194dm0aF+GVArwQyxwW4GVFeOOn4IVL1wMA&#10;gH04+GOFq4m2d4h2eGmXRxs92ush2u6lLR/t+xDt/+gHRB8nxgrHfYv479lnrWmNPmX0f7LPvlT8&#10;frbcU+K7yZZTY4kxzDgmYv/PnSvqzNOjN4/XKIVwIiIisnjiKXHfGjREFrdGozlcUmDQ8+Te3Ib/&#10;1if4zonjJ9vuc7ZcSBHrnm3TJbZcCHhKTae453P+nD1OEteas096vUZm63qbGCjLltO7mgKkLZ+/&#10;oeZaHoNz2TK3aE5RZAz2ZcuqNWddzun1GlM7oNx7+/Ku3SPnDthP/Wv5tc0pHF6rbznH3H5L7Ids&#10;ea1FfznOg1AK8LIivDJBV4rwSiFe3NfCtZ9UAVt12EmRwl62A4B9iL5rUf4wZFiUFqJfFE9x/tjH&#10;pv/ByH/ytz79rK1c2s7lj1lKuzra2FkxWyvXLoZaa2xgbp83TB1Diu8tW06tOC6yz5sjjrWafVJ0&#10;0m57fFyPB0ciIiIiq+W1pFGymDUn1C7pICzZQak1t4Oz1iTKNVxS6JiJ4y46N9kyexffZ7ZNl9hq&#10;0cxtogOYbesl1rz+tDanmGHLhaCXmFtg1OO1II7NbF1P2WpxWE1B3JbP3xDfWbZdl5g6mNezOcfA&#10;Ut/93DbFOdlnXVttQVzouc08p6205TZSzUB4z+3hvbV1aiarei70G5p7Xx9OFsb/LmJ5ZXIxjofi&#10;XHHesEAv7rehPCkvlMnP+E5C3Femtr0AALbuMCqGKW2iorSVStspDNtUpZ1VlPZXUdplQ8N2W2nL&#10;DZV2XjFsA5Z2YYh2YlHajqU9OaevGp893BdTxHpmy1xD7NNsnda0xvbP7WcUU9dxif0a50/2WVPE&#10;sR/LyZZ/Tpzv43P+yqIQ7uGRiIiIyPo5NkZ2+ZS4Sxqy1+zAnDO3IR4d2OgUZsvcg7mTS9HRzZbX&#10;uxgAyLbnErGvsmVuWQxyZNt6qehQZ8vt3ZztjmtBtqy9iMG2bLvPicGEbHnXFN9Vtq6nbPW7rRnQ&#10;2vrxHIPH2XZdYk/n8pxjYKntr72fnNJjGyzWKVvXKXq+f85pK8UETrasLZg7IB56bg/vqa3T4pyL&#10;4zpbdk+iL52t+znRhsuWt7YpE6F/4k988N3J2djuEL8fhhO90YcPw8nhMmk8nFAuk8xl4jnE8Ryy&#10;zwf6dPCEPNilmnO73M9DuceX+35R2gOljRBKu6G0JYqsmOxv/q1Pp599if/gcz+etovumvhesv1z&#10;qWuNLS41jjFFHNvZurUW50X2+ZeYuo6xX2uPiczcPl0cXzXb35mnx2vq60dejyoiIiJXzcOkobKY&#10;tRrNl3QQomGZ/W4Pajo40YHOlrkHsW3ZNp+z1nHXWm1Hd4/Fkdl2XioGkbJlbkEMmmXbdJuei35r&#10;zR0YiMHDbHnXFNenbF1P2er1rPYvPON6mC13C+acv8VWv+9MDOpl23ibpba/9v56So9Fty22tcdr&#10;ZzGnIG7L51VMnmXbdIne+whT74ehx3tDi3Mu9kXv7fi5BXGhh22bOukVk9LZcpYUx9Lf/NIvputz&#10;znd+53c8u3aXifRQJtfLpHuINnUok/OhTNiXifwQx+Scc/SuOiiU2g3fJfSp3JdCuVeV+1e5n5V7&#10;XCj3vVOFZn/jb/7C2x//+MfSz8r83d/71Wf36SK7jy8l1jdbp0vFdmfL7UG0EWPsqPwhwlL96zhe&#10;sn1zqTjurtWerV33FtYYb67tU01dx/g+s+XUiOMk+6xT4tiP61P8Xra8jVEIJyIiIn3l2EB5Mmqw&#10;LGqtjte5DkI0LtfutE4RnfdsvS/R+wTKXDUTL1stDqrpBPU8gT1XTcd/ake0J9EhzrbpNjEQmC1r&#10;D2JAM9vmc3oc+JtzTG/xGj+nGGqo5ydUnVM7YJktc4vm3MOXvG5nn1er1/tu7YBqXHOz5fZgbrHt&#10;VtvKMZGXbc8lem8HRbslW+/b9FiEGmr6cUXP512o6Zf1cK3M1us21zp/5hT9Fktf50oRQHxOEdfk&#10;EOdmKBPaIYoHvuu7Ppiu6zmf/qWbwoZS5FCU4odoaxXxXdXe9wB4v3J9Ldfbcg0OcU2O63QxLkAr&#10;RWjRBiiiLRHKfaLcO8q9JJT7S7nnLDGOH589574R25wtb2mxH7P1mSL2bbbsa4jvNLYpjqNsXUMc&#10;Uy3H87LPmCrWN1v20mra4K3E+Z+tW2txncg+/xJxTmfLvE2Lc2ssvq/ss4biHNhRIVyI16M+uJl5&#10;FhEREekn95OGy2LmNEjnuKSA5JJG6bXUdHBi0CFb5tZFByHb3ktca6Ci1m0DAuesda6tKb7HbFsv&#10;FQNp2XJ7FwN02facs9XtPWfucRCDaNnyrmnOOd5rAcBtYp2zbblUTwO2U8VgYbZNl1pi0P8a5gxm&#10;LnkfW2KwseUgfUu1x+C1BvsvEfe5bJ3PieMxW17vLunf3Kbn68mcbev1nGs1mdJzO25u2zRcuz02&#10;t095je+jZj/3dn7UnBct7kPxvYf4Hoth0UUpxIh9PhTjMkUp4ohtGYrrVygFINk23Oa555571i4p&#10;sn8DbNfw/A6loCzE9W0oxjqKuF9+7GNtrglRkDy8tpVrXlGuheX6WK6ZIbum7kVsX8119xptmvj+&#10;snWZIo69bNlri2NvSl81vqv4nWxZU8S5li1/qmv0KeOYzdZlbWvNqU05PsaijZYt8zatjo0ijtm4&#10;pmafFd9ltB9rrkGdUQgnIiIifefYYHk0asAsak6DdKpLOog9FkcUtZ3yU43travpCG1xn9ROfO7t&#10;OKjdH2t12FubO+AR+ytb3tbNLYjrZdBvaM5gyxYLOWLQMtuWS7UY9LyW2sGtOP+z5W5NtP2y7Tsn&#10;W1YLSww69tqunHvNLGJfZcvtwdz7Y899gNvUToD1fC2NNlq2zrfp9Xuce1yO9fxHTrXbeM0+ytx1&#10;v0b7K/ZTti6X6O3aHedrtp6X2kq/du53dq6fGsftUHzO0LC4L8T1fqgUwQzFZw6Vgr/wa//hT6br&#10;OcUv/8qfeU9xTyhFP0X0z8bi2C2y5TLPofL1r+PCzZB9f8X4ux4bHxvFn/rhy19bmfmRH/meZ+Mg&#10;p5RC1jA85sfnQzlPxufS+Fwbnofj8zQ7l6eKdc62c47Yruwz7rIW+zeOk2zZS4ljK1uPqa59PMQ5&#10;M/c6X7vutW2SodiO7DOWNKf4vrW4zmfr1lpcd7PPv0QcX1O/n1bn19C4TxefEfed2IfZv9+gJ8c2&#10;RrweVURERKT73EsaM4uZ0yCd41zHKv57q0GKJdR0cHqeQKlRM1ixxX0SHaRsWy4V+ytb7lbNLago&#10;tjoBHmJwONum28Q1LlvW1s3ZF6HH/RGTAdm63maL17KaQayw5cH7bHumuMYA6xLmtmmyZbUw59w7&#10;p9drbk17sui5vZyt7zlbvT/WXkujXZkttwdztq3n77HFBEds397OveLax2K2Tudc43irnZTrqQ1R&#10;e9+NfmC23N5EgUy2/uf01r6Ptne2nlP0tk1xPl3iP/8vPp9uzxQf/diH3/5Xx/NvuNw4H6+hfP5/&#10;+Q/+UrquU6zRJ6sd8wmxvdmyt6jF/ii2OI6wtLi3Z/tqimu0D7a63kO1x3ZNIWKLe1wR45PZZyxp&#10;blujtbWKQWsKGOfMi8R2ZcuqUe7H0eddYizqSp4ebgrh7j2bXRYRERHZQo6NmDdHjZpFrdERv2QC&#10;sOdJ9toOTjS2s+VuWU2n5Nqd/TlqJz63uM23qe2Ubnl/zB0s2nIh0Sk1gyG9DY7PKe7bYmHnnos4&#10;bhPHW7Y9U0RbIFv21sw9b7NltTC3sPac7LOurcWTD3o+DudOCK01gN9S7TWl5/vH3G2L+0u2vGtr&#10;cd6FnttxNZM51z4W5143rtGOnLuuoaf2U+3k31b6cXPbvL1tX4vJ4K18Z2OtCiV667+06Jesce1u&#10;ceztaQykxf4otnpOLqVlUdHax1yrgpprniu1/fE4nufOe7S4Hg5d43rfw9PF4jjM1q21mu9r7nEy&#10;d/zqlJ/7hRf2Vgj31SOFcCIiIrLJxFPivjVq4Cxq6YKtSwYOep4YCjUdnK38FfUUtZ3WrQ2Mteik&#10;76kwsraoJmx1f8w9Fnq/xs1RMzDR28T5nEHALQ5k1w7kb/V+FtebbHumUBCXL69W6wHOosfvq8WT&#10;JXouSo1rYrbO52z1KRlztzf0fv+Y0+/p9dhsNYG91kTTHLXX0WjbZstdw9wJqWu0I2smz3rqB7Qo&#10;RN9CP66mv9rT9rXod4ctFibFOmfbMlWP99yaNkSI31/62t3i2NvTk9BajAkO7aVv2UKrcz2sfb63&#10;+sOLa7YTWrQLYhnZsi/RsqAsvv+17+Etj98a0efJ1q+1mr7VnHtCXHt7KDrszNOjrx8Oh/s3U8ki&#10;IiIi281ro4bOopYepLhk4KDHQaqhmOTJ1vsSvW/bXDWd5i0OjNV2wAwGvlfPk/rnzD0WtloEeErN&#10;BGxv3//cbVl6IqK12sKArV7HWhTE9VbEOdfcCf2ljvVWkwhjPX5fLQpzei5KnXtsbbWdXFMcE3q+&#10;f8w5L3sq+BmLYyxb56l6bcfVFttes1Bmbn/yGu3Imr5vT9e5FhPfW+jH1RTz9LR9LfrdYYtt+FYF&#10;zaG363eL83Dpa3eL/tPexkJbtSdCtLWyz7iL4pqb7aO51jzf93CdanE9CnPvna3HA2J7ss9ZSqv7&#10;dK3om2brt4S5x8zce0KrPw7YiceHw+HBzfSxiIiIyA5ybODs6ilxlzSWrzkYf05tB2cLg8ZT1U6+&#10;9DYoeU7tIMHeBgOzbZxiywWCse7ZNp2zt+vA3P0QeivqmFsQt7W/7K4dsO254OE2LV7DEvsuW/bW&#10;zC3o3VpBXI/X2xYTJj2fgzUFYltrE4aae2Do+f4xp43fczu39rsqem3H1V5brtkmn3sPuMa1sPZ+&#10;1cs5P7fNO7SF9mDN5Glv29eiCGeLYxEtiwx6u363aP8uXfTRav9vsY13Su0fQwztbXywRpyf2T6a&#10;a812Tcvr1LXGyFr1x+OYnnO+txirGVt77KZVX6PWWm3NmuN+7rjSUuNGGxKFcA9vZo1FRERE9pWH&#10;SeNnMUsP+l3yCOmYpM1+txc1HZw9DnbUdvy3VhxUWwAY9lJQEWoHA7d8Tsx9JP7ergM118TeJprm&#10;bkvPhdyZucdusfZf27bS4i9Kt/ZdnxLXoWz7zpk7cHlOi3trpsfJ+pggyNZ1ijX/8nuqmj8c2Fqb&#10;MNQOyve8zXMLrHot8qu99xW9tuNq+2TX3K6594BrrHPt/aqXc77FpO0W+jQ1bb/etq9VEc4WC5Na&#10;vSatt/ZTiz+SCEu1z4s4F7LPnWKLbbxTWhdk7KlYsEYcI9n+mWvta3jtH08X17r3tOyPRxsj+4xz&#10;Wl3ri7X3ZS9PMFtzDGTOeVt7L27VHtqYp4fD4fWje89mi0VERET2mGOj5/GoEbSoJTvjlw7U9zwg&#10;UDtotZfJ9KGaTmvvBZBjLQYt5w4O9KjFoM9WBwBrJh73NOhZM6HW26TE3MHtrQ3w1xYF9Pa9XarF&#10;AOVeJnOybbvEUhNurQpVxnosiKstWgm9TdIP1bQLtnhtqW0X9twmnHus9nqdbHHuFXE/yT7j2mqL&#10;Fq7VPq05j5a6L51Se873cl9qVdDRe5+mtu3X0/a1+s622JaN8ybbljl6+k5b3ZeWHmNsUXzQY5t8&#10;rtb9lr30L2vFfsj2T40122stC8qirZF9xpJajHUPzbnWti42DWvPwbQu6ptrzT9QmnqPqD2+49jK&#10;lrtTCuFERETkTuV+0iBazNIDFZd0DnovGLpLBWCXqCmICb0PpA/tfSJ7qhYDFmsPULQ091qwp6LI&#10;mmOgt3Nh7rZs7fusHcTf6n2sxeTFHiYsagYQl7pftx6AL3q932brOtXaRSCXqp203lKbMNQWW/Re&#10;BDinndPzpHeLSf3Q632/9g9VrnWPq3lN1trFibXnfC/3pVYFHb23i2q/r576qa2KLbZYmNSy0KS3&#10;Y7ZmbLFY+p7U4o8g9zQG1rLAPuxxjHiOJQri4tqRfdYSWr7y8xrtzNbH9ZxtaL0OIa49a/YvW96v&#10;aqx5r4/v7ZI+VnwXre7BS40fdeTp0ZsHhXAiIiJy13JsBD0aNIoWt+RfklxScND7YEltEdDWJvvO&#10;qR1Qj/2ZLbdXLQYt93IMtOiEbq2YaGjutWBPA8K1Az49FXXM/T63NrFUe83e6vHbYvJ3zUH1pdQM&#10;1m+tIC70dI0p4hzK1nWKNf/qe4ragrjeiyvGaiduer+eRhstW+9zejzvQqtJql6/t9o+6rXaMzXn&#10;0drXjNpzPvTQD2x13+29XRT7OlvvS/W0fa2+sy2241u2E3vrt9W2m8LS3+nctsDYnsZBW7Tlh/a0&#10;b+ZqVag9tPb1rsVYcbjWdbrV+hdzjuvW6xDWHHNu0U5sZe3rSrTJswLqKJaLPkrr8YsW989OPT4c&#10;Dg9uZoRFRERE7l7uJQ2kxUQDNmtstnDpYFZPf407VjuwuuUCoMzeJwPHWgwIbq0I8JQWg9Nb+/6H&#10;ara/52vcFLUDlz0VdcydKN/aMVz719dbPWdrtzvsoSCu5mkpSw2q1hTpndNj4ViLp1T1eg/ZakFO&#10;jbgmZttyqV6LG8Pc+2Kvx2fLSapoA2afcU217fJr3t/nToBe475ce873UPjb6r7b+zW79pxfclxs&#10;qpbXr60V37QuMIjlZZ9zDXPvs2NLfqe1bbuih2tfKy2emje0p30zV4uxxcya53urcyVcoy3dcv3D&#10;nDZa7fjiKWve91oVEde65txT7O8i++8tPPpHr7z9oQ99e7rtG6UQTkREROSdfDVpLC1mycmZSwaR&#10;9/gKoaE1O2NrqN0fvU6cZVoMWm61oGSs1eB0T4PSU9Rs/xYn/TO1A5c9Df7WnNvZ8nrVojAsW27v&#10;Wmz3HoqZa87Zpdoure4lmR6LVlr8NXOvE2e1baQtto9qCxx7ngSde73o+Y9/Wj15osdtbHEtvVYf&#10;de4k7DXa07XnfA/HTqv77hau2dl6X6qn7WvZVur5vnNKy6cG9TT21KoIaMnvtNU67mX8I7QqZCz2&#10;tG/mqn3F9Slrvlq91bkSrtFWaLn+Yc49dKlxgTXPsdb7scbe5p5CnNMtxlM68uRwOLx2M/UrIiIi&#10;IpF4Sty3Ro2mxSxZkBYdu+wzx3puuNf+5dQWByFvU7s/ep44G2vVud1LxzQGObLtm2JLBZFjl17P&#10;xmK/xWBPtswtqR24nPNXo0uJ63K2jpfY0vlcs53FFo/dFhMXW7pXnVJzD0v/WOL/+M+evu9nM2Sf&#10;10KP7a0Wf33f67HY4jyLYzRbdq9qnxLS83Vl7qRUz0UyLc6/0Os21rbLr9Umn3vtuMb3UHsM9XLs&#10;1B4rRe9t4Nrt7Okpnq2KwrZYfNPq2h16uu+2Kv5Y8juNczz7zKl6ufa1sETByx7Ghmq0OhfG1hxv&#10;arkN1zhflvgO5vTF546xnrNmH7NlEXeNPYxfFXEvirZAq/ZrB54eDofXY7732ayviIiIiLwnryUN&#10;qMUs1Vm49BHY0dDNfr8HtR3FPQ0GhdoBodgfWxkAajVIsJeiyBavfuupKGqqS69nmS0XAha150NP&#10;EzI1hWJr/uVxrbtaENdiYHWLE4hjNffraz89eI4eB4FbFI31eiy2mCDc2sD9XopjTpk7odNrkUyr&#10;dnzocRtrCzSv1SavuXZky1tSi2t4D+2oFn24sNSYUSt7eopnq6KwLY5F1fS5x3rb/haFE0tuU8v7&#10;Zk8FpjVa7pPiGmND0Y6Je1q0HeJaGcdRHI/Rz1j72rfEPg1r95ni87L1mOMaY0ytC7nmXJtq/+j2&#10;lNi27POW0LKIu1avfbJLxbVBIZyIiIjIHcyx4fRk1JBazFJPibu0o9vbQNVYbUdxD8UwRYvBiy0V&#10;iPU+aLmmFh39Le+LmmN/D8U1ted+T999zUTLlq5fLQritjiZoSDuRq8FcbVFHKf0+J21KBrr9b65&#10;5207pUVxTLbcXsy9dl6rsOoSrSb7og2cLf+aatvl17pm1rQn157oa3Gd6+EPKVrdd3s+10PtdvbU&#10;jmhxvym2NkHeYrxpqKftb1U4seQ2tbpvbqnPfE6rouJizT8IifMprm3R5s7WZWjNoudL1meqtfsV&#10;LYt3r/FHQi3GTMbmHEOtrjlja83DtL5n1bjGcdRC7MO9FcIdff1wONy/meEVERERkXN5OGpQLWqp&#10;zu+lA5M9F43VdnT3MLE+VDvYvFQB5hJaDRJs/S+1QquB+ejsZsvfgprB0D0cA7UDFL189zXX9N4n&#10;A4cUxM0X97ls2VtSc5wv+b23mgwci8H07POuqUUxRciWfW1xjGTrOtWW7o17KY45ZW47b+0JyCla&#10;XW963Mba4/Ga2zR38nPt86fFda6HopBW50HvYxq17b+ezvNW7YfQ8zjbKbV9zqGeCrNafa9LblOr&#10;Ato9jYG27rusda0pxXDZOpwSx2i2rNZaFxkWa/YrWhZCXeP+0/I+U8wZQ6mdbzllzX26RHHhXFvq&#10;W8c5FN//UkWRV/L4cDg8uJnWFREREZGLc2xIrfaUuKUmEi/t3PQ8+dyio7uHYpiiRWHUVvZHqyKw&#10;PfyFbKsBk54ng8+pKTDawzFQO3DZy3dfcyxvaXC/5ngttni+Koi70WtB3BKD76HHYvto62TrOlWP&#10;baZWk0Bbuje2+D573t6ac7PXdn3LycretrHFtl2r6H3ufXrt86fFPu6h3diqP9tj4flQi6KVXs7z&#10;lteuLf0xT9GqKCv01Hdr9b3GNTRbfgt7LiSfa4m+yxrXmjnX/rW+t5bn+NDa7YSWhTxr339a3meG&#10;pm7HUusR1rr/LbkNUy15f2gpxhmXKoy9kiiE++zNbK6IiIiIzMmDpJG1mOjoZw3VGlM6Br1NNAzV&#10;TrBvacLvnBadvRhoy5bdm1aDX3v4C9lWnfwtDsoXNfugx2KNqWoHLnu5Dtac11v6HmN/Z9swxV0t&#10;iNvDNbvXgrilBox7LGJsta29nocxaZat7xRbmjBt8X32fG2p2b6e+zmtJit73Mbac/Ba2zT3/nSN&#10;PkTtPu7hGteqP9v79XpO8cfYEuNhc7W6dm3xjzxaPpGrt+O29poSltymVteLsMV+5CktvrehNe6/&#10;c68hcY/OltdS66fuFWsXA7XcjmuMkS9RkDTnO2gxfpOJ83ateabo42XrsLY1t3mOHRbCfetwOLx+&#10;dO/ZLK6IiIiIzM+xcbX5p8Rd2jHoeTKldmBoyUGra6gdoN3K/mg1mb2X7z/btqm2XmhSc+z3PDBx&#10;idoBv16++5rr+ZbO5binZtswRU8Tg5dSEHej14K4sMSgd6/fWYsJ7TUmpuZoNZi9pXtj3AOybbhU&#10;7/eQucfrUn3IFlpNVvb43dX+ocK1rptz+1drT3SHFk+xufY1rlV/NvR8vW5RyNPTH27F+Zmt41Rb&#10;HIdoWZQVempHtbimhDivs+XXinM8+7w5tvyHkGOtzsdi6ULVmuv+Gvfa1ud4sXYBcMvz5RrX6haF&#10;5GOxHVOvTy3349ha16EWr9lv5Rrt5XNi/ywxBnRFTw8K4URERESaZ9WnxC0xWHTppOxeJ4mKngeQ&#10;p2oxudTrBO9Yi8nssIe/kG0x+b3FQfmhmmO/56LfS9QOmPXy3ce5mK3fpZaagGjtrhbEtbg/9TiI&#10;OFXN9790Qdyl7cIp4nvPPuvaWkx89nrvaDWovZX2YGjRDuq5P1Bz/ex1u/ZcDFR7v7tmu2xO/+oa&#10;BXwt2hTX7gO2PAd67s+2KLDoqbi+ZaHC0u261loes6Gndn2r73WpPlrLfd/T+VSrRb96bMkxhZrx&#10;jjXaBrXjMadco13Tarw4rN3ObH2tLeb0XVvux6E1j4mltmGq2OZe+ixxjEVbOtYpW9cNikK4rx4p&#10;hBMRERFZIscG16afEjelk9XzpFjtgPgeJtiLFgPOW9kfLSZCwlp/mbakVvui58mUc2oGjbY+KNzi&#10;vM+Wu7bav97cyqRSi4H7LRWqFC2uUwrilj/GWw8Y91q82eJ47LX90KpNsKXzLdY124Ypei1wDDXF&#10;qj1vV6vrTW/b2KJddq0JsznXjyXGKc5psY97OG72eg4MtZjYv0YxxSktjr2i5+/tlJbtxD1+r0u2&#10;DVvu+zgvs8/YmhbXl7El+9m1BWdLtw2W2J/F2u2aVv2hcI1rdcvzvZhzza3pg5yzVl96yW2Y6trj&#10;B3GOx7mxo0K48PhwODy4makVERERkaWy6lPilphUvHQCqeeCkehYZ+t8qZ4G4lqo7TjH/tjCAFkM&#10;SmTrP9Uevv9W+2KLg/JDNcf+lgeFWwxc9lBMVlsQt5WCzhbn6xYL4mLwL9uWKfZQEFczILvEeRrX&#10;jyLaU3/v738h/ey5/u7v/eqzbQ5x7J8Tx8kpMXh7Thwjp0RbtvjUn/uhdH2n+MlPfP97Pjtb57Fs&#10;m4fKvjol+gK3ievg3/47v5yu71Qf/diH02OmR7H/s22YIr6fbNk9qLnPR9soW2YPWnxvobd+am3f&#10;NMT1IFv20uI6kq3Pba7Rl2rR9u3huGn1msY4l7Ll96LFxOvaxRSntDj2it6uXZdodd0uevleQ4vj&#10;dMnvtNX1Imz5DyHHWhcORZ8h+5wW5txjh9Zoq7Y4DzJrt2tq9/XQNdo5ra+1RfQns8+7zRLFeWHN&#10;/brUNkx1jWMpRNslvvte9kMjCuFERERE1syxAfb1UYNsMfE6oKxhWyMaxNlnZXoarBqrbdTP6RT2&#10;qkXH+VqTMFPU/nXlUHQOs8/Yilb7YouD8kM1x/7WrwG1A5c9nPO1E8hbuG6FWM9s/afYyrYOtdju&#10;JScolhT3mKKm4Oy3fvtnnl3niqzYKybLQrQZi2gjhbhOFNny4VLDY6kox9nQ8DgsyjFalGN3bHh8&#10;F8Pjf1ho+B89/Ol0Paf4zC/df1Z0GuJ+NDQ8h7NzfA2xj7P1vkRsQ7bMa4v9ma3vVLFvrvndjLXY&#10;rjjes2Uvbe66X2P/15wTIX4/W+6a4lqWrdtUcc3Mlt+LuNZn6z1FT3212mOv6OEYnGrK+OEleurT&#10;tDhOl/xOW10vQs9/BDBV3C+zbZxrye+wdtxujWt9i/Mgs/YxF+2SVtfqsHZbuvaPRU+J7zf7vNu0&#10;vu4PrXUPWHIbplr7XIjrTvTBs3XZqCeHw+HhzaysiIiIiKyZVZ8S1/rpIFMGvXseNKmdaO99EHmK&#10;Fn8JN6eTvLYWk03F1ouhWu2LLQ7KD9Uc+1u/BtQOcPRwfa89jrcysN+iMKynyaNLtbg3xURQtuwp&#10;4jgrYmC7FMDEQGGsY4h7Qoj9HOLYKkU4MekS14sQ98pQCn2iACiuo0W2DXfJsY2c/hz2Znjej4sC&#10;Q7lGhHLdKMr1JJTCv1CuOXH9CbGc7LMv8fp/+tK7173sunhNNds11Ftbvna74ljKlruGOE6zdTol&#10;/n22nKXF+ZOtzxTZctfUom0Urnm8XCKuZdl6T9FTO7/FsVf0WrB8StxHsu2Y61rXj0wcY9k6ThV9&#10;imz5tVpdL0Lv14wpWu6XYqnzsrbIaY3vrcX1OhPt3OzzltSyWPIa4y+t2shjU4/vuO4vtS5rXouW&#10;2oap1trmuBe1bK904OnhcHj96F5MxoqIiIjIFXJslG36KXGXdhJ7HjRpMTC3tcHIU2JfxHeVbeMU&#10;W9gfrTq0cQ5ky9+SVvti6+fB3P3Q8/XtErUDl9cYoByrvY73sA2XaDFof1cL4n75V/7MySK1EMdA&#10;KTKJ9lKIa0Kc3y3uiwDXcuxypj+vUa6NcZ0syrWzXEvjujpUrrfl+lsK9opyjS6FxXHtDzEpU8SE&#10;cLQ3w1997WfTdZuqt7Z8rE+2nlNcq00+dcL+WsWItW3fENuaLXstcT5k6zVHtKOzz+hBizZgXH+y&#10;ZV9Di2Ov6K2Y9xKt29S9jD+0GFMMS/XTWq1f0fM1Y4rW+yX0/B0ufb60uF5n4rqRfd6SWm7LEnMx&#10;57S81wzNaTNHGz9bVgtr3Qfjc7LPv4alrjEh2rZLHTtXohBOREREpKNs+ilxUzqJPQ/Y1U48bHEw&#10;8pQWkzBLdtBaadXJu8bgTGut9sUWvvfb1OyHmJTKlrkFtQNUvZwDNRMsMZGfLbM3LQZm4/vOlr2k&#10;GMAvBQzRDgmxLSHunyGuHyHOwxD3ohCTmH/+Zz+ebgvQ3rFvkv4c9urDH/6Od+9B5Z4U96dThXhL&#10;FwK0aJdfs00e+yraVdl6FTE5fM3+c4v21DX3cWhZyNF6jKilFoV/PfXXWxx7xTXa9LVaP3Hm2ufh&#10;0Lnr3iWWLN6s6SuPXfP63VqL721oqe+wxTV/6fOl5X1pbOm211jrbVm6GHFsqe9izv10yeNirWLD&#10;2IbW14q5lmjTxPZF/6PlfeLKnh69eTgc7j+beRURERGRPnJspD0ZNNoW1bpzHo3mSxvMMfiVLaMH&#10;tQOTPf3Vca0Wg7TX+Au4qVoORq89uNFaq7/Ym/PXgj2JyaBsuy6xxQmJosW5EPeCbNlrqhm8WWJQ&#10;aQktJgWzYzW+vzAsWIvPimMjDAvW4veHRWtx/ytPA4prf4jBwtinOxpQY2HH5nD6c4Delftd3PtC&#10;3AfLfTHukaEUeZf7Z9xLQ7m3Dgvx/vbf+eX0c6booW8a7YjYxrLtIf7/aGNcu90Yn5/ttyliW7Jl&#10;r6nV5GzPxS0tvqvQS3+91faELY5BxfUv25a5ehp3imtcto5TLNknjX2VfeYcsa3ZZ2xR62Nyye8w&#10;+7wp1vjelur/R5si+7wltTini6WLETNLFXDNaTNEmylbVgtr3d9ju7PPv4ZW7bZok8Q1cKnz9koe&#10;Hw6HB88mXEVERESkuzxMGnCLad1ZmNJJ7LlwqKazGJ2Haw/st7K3QedTWg5G9zyJcIlWxYFLDv6t&#10;Ze51YIsTEkWLc+EaA5RjtYP8PV/DY93CP/3nv52u+xTf9yc/8uw4D3HO7mzwCwAmO/bH059v1Qc/&#10;+O1v/+rnfvxZPz1cUogXbbkiitaiLxdKGyRrn2xZbfunh7Z/FF1m6zbVNSbqp2gxqd9DX6VoVZi0&#10;xb53q3GHoV7GnVoVSyy1PS0Lv/Yw7lMscUzGPTT7rFq19601vrdW96Wxa9ynWp3T4RpthtbFnkXc&#10;k7PPO6fFvTyzRqFniLbwUtswVe25HNsS175etqcRhXAiIiIiW8ix4fatUUNuMa07C1MGENbqqMxR&#10;+xdLWy+KGorvKdvGKXofWA+tOn89H9eXiM5wtl1zbH3CbO6g0dYHhWvPhR7O99rB1zkD13G8FzF5&#10;EcsoYuIt7o8h7g+xj0Lca8rEdFw7YnA0xPrHBFmI7yPEcVU78A3A8o7dufTnsDelbVLaKtFuiTZM&#10;KG2aEG2cEO2dSwrxou20ZhFebX+3h7Z/q8nu+G6y5feiRYFFD32VotX3Fub0X66tdd+ml+82rlnZ&#10;+k21VPFmy+Ke0EshYgtbOSZbFNNmy22p5fVtKNoV2ectqdU5XSzdrhlrvf5Dc87/KXNHU611Paqd&#10;N2pp7hxU3GNaFeZ3IgrhPvtsclVERERENpHXkkbdYlp3Fi4tpuhh4PiU2s7iNTroS2kxWBYdrGzZ&#10;PWk1WNPzcX2pS8/hc5YawF1LzXVgy9teey5cayItvq/iL7780+m6XeqXP/ujz/bDuEhtXKgW53uR&#10;LQcA4NoOOyrSjDbXsAAvDAvwsuK7cKr4LvzWb/9M+llTRPsza5+upabfMtRTsVimRZ+9p7GalkUB&#10;vX93mdpi1LGexp1aFNoudV1pdb0o5hZj9Kj1MbnU9aZFcfDSRbRLFT1d6zxvsc+La5wzrY/tIpab&#10;fd45Lffn0Fr3wtbX0RpTz4lo+8a1KVvWRj059nVefzajKiIiIiLbyrExt9mnxE0ZpOx54KSmsxiD&#10;V9kytyg6eS2KPXr/q9E4FrP1nmPrfyHbaqBki4PyY3OLA69VFNZC7bnwF37tJ54NfsZyQhwHQ7Fv&#10;4j5RxPFWlMnMGBwrymRnKBOgcU0qsnUAAIC1/MWXf+o9xXehtIWHBXjl6cHRXwwtC17m9luGYn2z&#10;ZfeiRYFF7Kds2dfQckK9p0K/S8Xxlm1LjV7GYmrG0eL34ljPlttKy3509OOzz9ii1kVcsZ+zz6nV&#10;ojg47lPZsltZqmBoqX16Tsvr1TWu10tcb0N8H3PaMnGtzpZXa83jI9p82TpcwyUFrvE9xbWj5fX/&#10;yp4ebgrh7j2bTBURERGRTWazT4mLgd7sMzJR7JAtowdTtiPT+2DyFC0GW3rfHy0Ha5YeWFpaq079&#10;Fgflx+YOGmXbHsfYUJkIKxNjRZkwi8HYItajKJNsoUy8hVJgFqYUmY0LzT76sQ+n27Qlx3to+nP2&#10;wfdL7247Rh2/AJwSbfFQ2ualrV7a8KVdH0pbv7T/f+HTL6TLnGLpIpxaLfrsa06WXyK+52w9p+pt&#10;uy7R4vsc62ksJrYvztFsPU+J83yNor74nOzz59jisXeb2J5sO+da4vtsMWYXy8iW3VKr69vYGufI&#10;WOvr1TW2YanvY+51d+r18VIxnpp9XmtL3MPmin2ZrWOI9Yx2Yutr2xUphBMRERHZU44NvM0+JW5K&#10;J+sancBL1XQWW+/Ta4oinWwbp1hjsKVWq8GBLWzrbVp832GpgdHozBdx/SjOFZVdUlhWJpSK3/jN&#10;T6bbds5zzz33bPt3NOAAALD7os69bx/L2ONxU/oy0UcOp4rzYtyjKH2o0rcKpb817IeVvlnpsxWl&#10;Lzfs45V+X+kLtuizx3KH/ctriv2VreMcPW3XpVqNwRRxTGafc01x/MY5EOfNeHvjHIufx7kSx372&#10;+0toedyFLR57p8S1LNvGueK7zz6nRlw/s8+aYo1zpfVxVsT2Z5+3tJbXqyWOi3OW+j6ibZB93jlx&#10;bWx9DwhrzscstU/nGF+Hy71nR+PST4/ePLa57x+JiIiIyI6y2afETekQXKMTeKkYrM3W+RLR4ciW&#10;uVXRwc2281JxTGTL7Umrga8eB2FvUyYZQlwHQrZdc/zVv/azz777MklSJk7KREookytFDIiEMglT&#10;ZMsHAACAS33ml+4/66OGS4v3xgV8pXjvXAHfOS0KW4pY3+wzehb7O9uWubYyDjf1OGmt5XEXtnjs&#10;ndJ63ywxPhjHTvZZU6xxrrTel0Vcr7PPW1rL61WMhWafsaQWx80pcf/LPvOcpY6Ruesz1ZL7dKph&#10;IWC0U2rncTrz+HA4PLiZLhURERGRveXescG3yafETekQ9D5gVfPXSnsaFIrOVLaNl2p5fC0lvq9s&#10;3acqx3ScB8VwkHw4eF4G1GMQoIj1CGVAPpRB+jJwPywyC+cKzbIis2zdAdi2Y/vRE44AeJd7Alxf&#10;6YOXfnmIfvpP/fT3p/9+jp/7hRfeHUsoYwtlvKFoUcTXUnxuti01Yruzz+Lfab3fr1WgtJQ4P7Pt&#10;nCPO++wzarT4/pZYr7Elzu+wRJHhJVpvT1x/s89ZUuy7bF1qxbh19nmXiPHrbJk1atZnqhiTz9Zh&#10;bXFOx31+qe/4ShTCiYiIiNyRfDVpDC4iGs4tO2NTGuDRYM+W0YOaIqktFIFNEUVY2XZeovW+iIGI&#10;UAZxzxWZhXOFZvE0s2zdgcsd71vpz2mvdl/fte/KsQltOacAYJ9ifDCMC/hC+QO8GPMryh/qhRhb&#10;KeMsRYy9lPGYUMZoYtwmlpmtw1x7G4dbSsuiiVhW9hlbVTP2mVmi8KlF0d4aBVmtz++wRjHfKS2L&#10;Jdcs2ipizDxbl1o138kShZNrHiNLFX7O8eHv/I705xsUhXCfPRIRERGRO5JVnxIXA1VZ436OGOTK&#10;PiPT84BVdGzmdniv2Ulfyty/3PrFT//p9xShxQBTEd9/GUgtg6tlsDXE/o99WWTLp0/Ha1j6cwAA&#10;AJajL8Zd9MEPfvu740univSGBXqlMK8YPkGv/CFmNja2dVPGbM/Z29hn6wKX2NfZ59SI4zr7rCni&#10;eM+W3VKcb9ln17rWeRnXjmx95oix7uwzltayqG+opsCy5X4tljjvTmlxPvLMk2Pb9fWYEBURERGR&#10;u5dVnxKXNeznmFJI1vvgydwOfBRzZctrqQzQlQG74VPSTj0ZLbZnbkHaRz/24XRbAQAAAGCPyrhY&#10;jJGFGC8rY2hZEd6wEK+Mx5XxuXOFeNn4X0vxGdk2ztH7mO4c8Z1m2zpHfP/ZZ9SYO049FMdgtuyW&#10;Wh5nQ2sU82Vab09NEdlccf3J1qVWXPeyz7tUXE+z5c4V1+jsc5aw1HF+hzw93BTC3Xs2EyoiIiIi&#10;dzLxlLissbiIGKDJGvdzxOBP9hmZ6JBly+hBdGymdsyicOzv/f0vzCpSu61AbVicln0uAJ6IAQAA&#10;wLZlBXhZ8d2w8K6MNw6L7rKCu/jd7DPnKMvci9h/2XbOEd9V9hk1WhTgtBz/v00cu9nn11hr3TMt&#10;t+da27HEd1JbGBvXqGy5NdYsnGx5Pb1DFMKJiIiIyHuyyafExUBL9hmZ6Dhky2gpBgzCnCK13/jN&#10;T7798eeXeaw4AADANRz7munPAQAu8egfvfJu0d1eiuNaFQ3FmHK2/Fq1fygdY97ZcluL7c8+v8Ya&#10;cwinxHxBtk5zLFEseYmWBZ9DtQVorYvK1ty/LYpU75CnR28e+6D3n816ioiIiIi8k1WfEhcdo6xx&#10;P8elAwjxRLVzxWqlUC2UQrUQHabo5Hia2rqOx2X6c4Ctc30DAIB90taH9cTYbJjyhLtzT7dbQ6xP&#10;tj1TxHh0bZHQKbEvs8+8VOz3bLmtLVEoFNuefdYaWm5PHB9rHtNFfGargs+h2mNqiWMlrhvZZy2h&#10;dUHfTj0+tsEeHImIiIiIvD/HBuObowbkYr7ruz74bABiXIQ2VgYshkqRWoiOwKf+3A+lnwEAAADQ&#10;q4PCKYAuRTHRsNCuFNvdVmgXSqFdOFdoV1t0Fp+bLbeF2K7sMy+15tOzWhdfxXeffc5aWhY+xTGZ&#10;fcbS4nOz9anR4ntpvV7xXWWfs4QlCvp2RCGciIiIiFyUVZ8SBwAAAAA9OShUBBZUiu3CD/3Qd7/9&#10;4Q9/R/rvTokivT/4w19f9Ol28RS97LMvteZT1qI4MVuHGq335xQtC5/WLNgai+M0W6caLZ7I1rqA&#10;ssU6XWqJY33jnhzbbA+fzWyKiIiIiFySYyPy0ahRuQnHVU9/DgAAAAAAd8Gw4G78hLvylLvhE+6G&#10;T7mLQrjw6B+98vb3/8B3p8u/RCwzK+hZQhQkZetQI4oNs89aS3xP2XpNdc2n3cU+zNapRounIsbT&#10;G7Nlz7Xm0xA9Je5dTw+Hw+tH92JOU0RERERkSuIpcU9HDUyA1RyvQ5N+DgAAAHAbYwqwjg984Lm3&#10;f+zHvzctxisFeUVWmDd8BW0p0hu+ijYKrYZPxwsf//jH0nWZKz43K0haS8uirTWfYDbWqrCvaFV8&#10;1nq91iygjPMkW4c7QiGciIiIiDTJ60ljcxHHz0p/DgAAAADAttWO/xo/Zm2f+Knvf1/hXjEs4CtK&#10;IV9WzFcMi/qGhX3j4r4QTwJrVeR3zYK41k80a/XEu9brFcWf2ecs4Q4/Je7x8V5w/0hEREREpD7H&#10;Bua3Rg1OAIBnjk2F9OewcfGU5HOijXybJxd4fMbXL/Aokf27oeyzMtk6j2XbPpbtv7HsewAAADpy&#10;18YA9rK9H/nIh54Vaw2f1pc9ta8YFgFmxYCXFASOiwJ/7fM/ka7bXH/wh7/+vuLCOX7lV38sXf5c&#10;f/vv/PK7yx4WQg4N90sx3nfFeB8Pv4Of+fM/nK7DTkUh3IMjEREREZGmeS1pfAIAwCWGRU+lQGpY&#10;UFWKr4YFW6Ww683i2Cb96jvitRjFa+94+I7PDsRAaYi/HC7idRqFbCvD725o+P0W5bsfGx4fRTl2&#10;xsqxNTY8/opybL7H8PgdGBYuFsNjPwyLEsPwfAnDYsMwPMdCdh4CAADA1jw59q+jjy4iIiIiskyi&#10;0TlqhAIrOJ5+6f8G9sX5zUJKcUwpminFNFnx2bsFO8fjMYp5hsU+pRCoFAqVQqJhoVEpRBoWKolI&#10;Pxmem2FYQBiG53MYFg2Gcv4PDQsFw/sKBAfXlqwAMCv6ywr9susbAADAnXfsd6U/34Gn7/QvjS+J&#10;iIiIyOK5nzRIAQC4TIvitFJ0EoUopUilFK+UopZS7CIistdkRX3jQr5ThXsti/YU6wEAcBXHdmz6&#10;c9gBhXAiIiIisn6ODdGYJMgaqNWOi09/DgBb4V62ScMitbMFasfvWHGaiIicyrhQb1iklxXonSvM&#10;ywrySjGegjwAdul4T0x/DsBpO7p2Pj5uS/SlRERERETWz7FBGoPyWUMVAKCVc4VqpVjgVKFaKToY&#10;FqmVQjVFaiIisscMi/FKQV4p2B4X472nIO+d+2lWiDcswlOAB3fA8ZqQ/jzc9t8AgBvul7NEIVz0&#10;X0RERERErptj4zQGy7NGKwCwP6U4bVygdkmRWlaoVibnh0VqCtVERES2lWEBXim+K4V3pfju3aK7&#10;8E4bQeEdu3E8ri/6GQAAqSfHtlP0G0REREREusrrSeMVAFjOsChtWJg2LEorhWnPitLC8Z49LEob&#10;FqYpThMREZHec1vhXbRpbiu8K20jhXcAANCPp++04Y09ioiIiEjXicK4GEzOGrUA0LNSYDYsMgul&#10;0GxYcJYVnRXvFp+F473xvz3+3+zzMv/6+O//7tGwKK0UppWiNINDIiIiIsultLdK0d3UwrtSfHeq&#10;8E7xHQDAxh3bf+nPmSQK4aItbaxTRERERDaVGCyOAeIyMPw/Hf0vR//X8f/PGr4A9GFYFFYMi8PC&#10;uEAslAm/YlgsVgyLxsJ7CsdCuW+8ozzBbKhMQBZlYjLEvWdoXFBWlEnOtQdbXjtuY+yH2IfD/R37&#10;7+vH/x7rbABIRERE5O4k2n6ljdqq+C6Udnu0NYdtfQAA6MHjY7s22r4iIiIiIrtLGdiNgdwYwI2B&#10;22GBAMAlhkVbQ2UCaKhMDo2VyaOhYRHXUJl0GnpfUVeI61tiXNxVlImuoTIJNjQs9hoqk2dDwwKw&#10;oWExWCHXi/0vIiIiImsk2p2lT1D6DNGXKH2N0g+J/sm7fZh3+jel7xN9omG/KfpTpb8V/bCszwYA&#10;wJUc23Ppz68k2ouPjusU7VARERERkTuZGJwdDsgOB2CHA65Zgxq2ZFjAVZTJhKFh8VYxnIQI48Kt&#10;UCYtht5TtBXiHBsZF2uFMjkyVM7ToXGhVlEmXMbKhMzQsFBrSERERERERPpP6cOVPl7p/5X+Yek/&#10;DvuXpe/5bt/0nT7rsD9b+rqlH1z6x8P+c+lbZ31wAACu4Ni2+/tH0S4UEREREZEJGQ+yjgdX3zeo&#10;Whwb4uPioOFA63jAdTzwmhn/2yVk6zjFeJvfI9tPI2V/njIc0M6U7+Y2ZZB8jjLQPkc5jqYqg/3n&#10;iIiIiIiIiMi6if74sA9fxgDKOMJwPKKMXZQxjnfHQ94ZNxmOr5RxmvHYkEI9AICBY1sq2l4iIiIi&#10;IiIiIiIiIiIiIrLzlD+gu61g71TR3m2Fe6eK98YFfIr3AIClPT22UTwwQERERERERERERERERERE&#10;usolxXvDwr3a4r1h4Z7iPQDYrq8f7/siIiIiIiIiIiIiIiIiIiIyI1MK98YFe7cV6516wt64QC8r&#10;BACAO+t4X417r4iIiIiIiIiIiIiIiIiIiGw8p4rzsifqnXuS3vgpetmT8zwxD4DevHm8l4mIiIiI&#10;iIiIiIiIiIiIiIhUZ1yQV4rxsiK8rPhuXHjnSXgATPHkeG+J+5CIiIiIiIiIiIiIiIiIiIjIJqLg&#10;DoBMFMPFvUFERERERERERERERERERERE3sncgrthsV1QbAewnsfHa7JiOBERERERERERERERERER&#10;EZEV0/rpdortgLvu/3nn2ikiIiIiIiIiIiIiIiIiIiIiO0spuCvFduOCu0uK7YYFd4rugF59851r&#10;mqfCiYiIiIiIiIiIiIiIiIiIiMisZE+4m/uUu2HhXRTdKbyDO+54zUh/fvT/Hv3vR//y6L86/ru4&#10;/oiIiIiIiIiIiIiIiIiIiIiIbCJReDcuvrutAO89RXjh224K8cbFeLc9Cc/T8KC9Uuwa4hyLcy7E&#10;+VfOyTg/y/n65jvncJzPcV7H+R7nflwPRERERERERERERERERERERESkIucK84bFeUPDQr1SrDf0&#10;buFe8W3f9m1vDPw3I/905F8k/ueR/7Wx/3sF/98E2e/Xyra7xvg7uUT23Q6Nj4XM+PgZHltvjI69&#10;8bEZxsfv8Ngux305F0I5P8r5onhNRERERAY5HP5/8o9Anzr+y+EAAAAASUVORK5CYIJQSwMECgAA&#10;AAAAAAAhAOd+1mD/DwEA/w8BABQAAABkcnMvbWVkaWEvaW1hZ2UyLnN2Zzxzdmcgdmlld0JveD0i&#10;MCAwIDYzMC4zNCAyMTEuMTEiIHhtbG5zPSJodHRwOi8vd3d3LnczLm9yZy8yMDAwL3N2ZyIgeG1s&#10;bnM6eGxpbms9Imh0dHA6Ly93d3cudzMub3JnLzE5OTkveGxpbmsiIGlkPSJMYXllcl8xIiBvdmVy&#10;Zmxvdz0iaGlkZGVuIj48ZGVmcz48L2RlZnM+PHBhdGggZD0iTTE4Ni4wMSAxOTYuMjdDMTg2LjAx&#10;IDE5Ni4yNyAxODYuMDEgMTk2LjI3IDE4Ni4wMSAxOTYuMjdMMTg2LjE1IDE5Ni4yN0MxODYuMTUg&#10;MTk2LjI3IDE4Ni40MiAxOTYuMjcgMTg2LjQyIDE5Ni4yN0wxODYuNjEgMTk2LjI3QzE4Ni4wMiAx&#10;OTYuMjcgMTg1LjQzIDE5Ni4yOSAxODQuODUgMTk2LjMgMTg1LjIzIDE5Ni4zIDE4NS42MiAxOTYu&#10;MjkgMTg2IDE5Ni4yOFpNNDYxLjkxIDQuMzZDNDYyLjgyIDQuNCA0NjMuNjQgNC40OCA0NjQuNDIg&#10;NC42MSA0NjUuOSA0Ljg2IDQ2Ny4xNCA1LjEzIDQ2OC4zMyA1LjYxIDQ2OS44OSA2LjI0IDQ3MS4y&#10;NyA2Ljg5IDQ3Mi41NCA3LjYxIDQ3My42NyA4LjI1IDQ3NC43NyA4Ljk1IDQ3NS44NCA5LjYzTDQ3&#10;Ni43MyAxMC4xOUM0NzguMiAxMS4xMSA0NzkuNjcgMTIuMDQgNDgxLjEzIDEyLjk3IDQ4NC4zNyAx&#10;NS4wMyA0ODcuODcgMTcuMjMgNDkxLjUgMTkuMzYgNDkzLjcxIDIwLjY2IDQ5NS45NCAyMS45NCA0&#10;OTguMTcgMjMuMjIgNTAwLjQgMjQuNSA1MDIuNjMgMjUuNzggNTA0Ljg1IDI3LjA4IDUwOC40NCAy&#10;OS4xOCA1MTMuMTggMzEuOTQgNTE4LjA1IDM0LjU2IDUyMi4yMiAzNi44MiA1MjYuMDQgMzguODUg&#10;NTI5LjcyIDQwLjc1IDUzNC4zNSA0My4xNSA1MzkuMDIgNDUuNjIgNTQzLjUzIDQ4LjAxIDU0Ny42&#10;NSA1MC4xOSA1NTEuNzYgNTIuMzcgNTU1LjkxIDU0LjUzIDU2My41MSA1OC40OCA1NzEuMDkgNjIu&#10;NjQgNTc4LjQyIDY2LjY2TDU4MC4xNSA2Ny42MUM1ODUuNzggNzAuNyA1OTAuMzEgNzMuMjMgNTk0&#10;LjQxIDc1LjU5IDU5NS41MyA3Ni4yMyA1OTYuNjUgNzYuODcgNTk3Ljc3IDc3LjUxIDU5OS44NiA3&#10;OC43IDYwMi4wMiA3OS45MiA2MDQuMTEgODEuMTYgNjA2LjA4IDgyLjMzIDYwOC40MSA4My43MyA2&#10;MTAuNjggODUuMjcgNjEyLjcyIDg2LjY2IDYxNC41MyA4Ny45NCA2MTUuOTMgODkuNTUgNjE4LjUx&#10;IDkyLjQ5IDYyMC4xNSA5NS44MyA2MjEuNzMgOTkuMDdMNjIxLjc5IDk5LjE5QzYyMi4xNSA5OS45&#10;MyA2MjIuNTMgMTAwLjY3IDYyMi45IDEwMS40MSA2MjMuMzcgMTAyLjMzIDYyMy44NCAxMDMuMjYg&#10;NjI0LjI4IDEwNC4xOSA2MjQuNTQgMTA0LjczIDYyNC43OCAxMDUuMzIgNjI1LjA4IDEwNi4wOSA2&#10;MjUuMjQgMTA2LjUxIDYyNS4zMiAxMDYuODUgNjI1LjM1IDEwNy4xNSA2MjUuNDIgMTA3Ljg2IDYy&#10;NS40NSAxMDguNDYgNjI1LjI1IDEwOS4wNyA2MjUuMDQgMTA5Ljc0IDYyNC44MSAxMTAuNCA2MjQu&#10;NDEgMTExLjA1IDYyNC4xOSAxMTEuNDIgNjIzLjkxIDExMS43NyA2MjMuNjQgMTEyLjExTDYyMy4z&#10;OCAxMTIuNDQgNjIzLjYxIDExMi4xMkM2MjMuMDYgMTEyLjgzIDYyMi40NCAxMTMuNTUgNjIxLjY1&#10;IDExNC4yNCA2MjAuNjEgMTE1LjEzIDYxOS40NSAxMTYgNjE4LjIxIDExNi44MSA2MTUuNTEgMTE4&#10;LjU3IDYxMi41NyAxMjAuMDUgNjA5Ljc4IDEyMS40MSA2MDguODcgMTIxLjg2IDYwNy45NSAxMjIu&#10;MzEgNjA3LjAzIDEyMi43NSA2MDQuODMgMTIzLjgyIDYwMi41NiAxMjQuOTMgNjAwLjM3IDEyNi4w&#10;NiA1OTYuNjUgMTI3Ljk5IDU5Mi44NiAxMzAuMTggNTg5LjEgMTMyLjU4IDU4NS4zMiAxMzQuOTgg&#10;NTgxLjYxIDEzNy41MiA1NzguMDIgMTM5Ljk4TDU3Ni4wOSAxNDEuM0M1NzIuNzYgMTQzLjU4IDU2&#10;OS4zMyAxNDUuODYgNTY2LjAxIDE0OC4wNkw1NjQuNjYgMTQ4Ljk2QzU2Mi45NyAxNTAuMDggNTYx&#10;LjMgMTUxLjIxIDU1OS42MiAxNTIuMzMgNTU3LjQ3IDE1My43NyA1NTUuMzIgMTU1LjIxIDU1My4x&#10;NiAxNTYuNjQgNTQ4LjY0IDE1OS42MyA1NDQuMDEgMTYyLjYxIDUzOS4zOCAxNjUuNTEgNTM0LjUy&#10;IDE2OC41NSA1MjkuNDcgMTcxLjU0IDUyNC41OCAxNzQuNDRMNTIzLjcyIDE3NC45NUM1MjAuNjcg&#10;MTc2Ljc2IDUxNy42IDE3OC42MiA1MTQuNjMgMTgwLjQzIDUxMy4xMiAxODEuMzUgNTExLjYyIDE4&#10;Mi4yNiA1MTAuMSAxODMuMTggNTA2LjI4IDE4NS40OSA1MDIuNDggMTg3LjczIDQ5Ny45NyAxOTAu&#10;MzcgNDkzLjk0IDE5Mi43MyA0ODkuOTggMTk1LjA0IDQ4NS45NyAxOTcuMjkgNDgzLjQ5IDE5OC42&#10;OCA0ODAuNiAyMDAuMjcgNDc3LjU4IDIwMS42NSA0NzUuNjYgMjAyLjUzIDQ3NC4wNyAyMDMuMjEg&#10;NDcyLjU2IDIwMy43OCA0NzAuOTggMjA0LjM4IDQ2OS4yMSAyMDQuODkgNDY2Ljk5IDIwNS4zOSA0&#10;NjMuNTYgMjA2LjE2IDQ2MC43MiAyMDYuNjcgNDU4LjA0IDIwNy4wMSA0NTUgMjA3LjM5IDQ1MS45&#10;NiAyMDcuNTEgNDQ4LjM0IDIwNy41OCA0NDUuNTEgMjA3LjYzIDQ0Mi42MSAyMDcuNTUgNDQwLjA0&#10;IDIwNy40OSA0MzYuODggMjA3LjQgNDMzLjcxIDIwNy4yOSA0MzAuNTUgMjA3LjE4IDQyOS4xNSAy&#10;MDcuMTMgNDI3Ljc0IDIwNy4wNyA0MjYuMzQgMjA3LjAyIDQyMC42NyAyMDYuNzkgNDE0LjkgMjA2&#10;LjUgNDA5LjMzIDIwNi4yMyA0MDQuMjQgMjA1Ljk4IDM5OC45OCAyMDUuNzIgMzkzLjggMjA1LjVM&#10;Mzg4LjA1IDIwNS4yNkMzODMuNTYgMjA1LjA4IDM3OS4wNyAyMDQuODkgMzc0LjU4IDIwNC42OSAz&#10;NzEuMzMgMjA0LjU0IDM2OC4wOCAyMDQuNCAzNjQuODQgMjA0LjI3IDM2MS44NyAyMDQuMTUgMzU4&#10;LjkxIDIwNC4wMyAzNTUuOTQgMjAzLjkzIDM1MC4yNyAyMDMuNzMgMzQ0LjUgMjAzLjU4IDMzOC45&#10;MyAyMDMuNDNMMzM3LjI5IDIwMy4zOUMzMzEuMzggMjAzLjIzIDMyNS4wNyAyMDMuMDcgMzE4Ljcz&#10;IDIwMi45NiAzMDYuNjQgMjAyLjc0IDI5NC4zMyAyMDIuNzggMjgyLjQzIDIwMi44MkwyNzkuOTMg&#10;MjAyLjgyQzI3Mi44OCAyMDIuODUgMjYzLjU2IDIwMi44NiAyNTQuMDQgMjAyLjcgMjQ1LjU5IDIw&#10;Mi41NiAyMzYuODUgMjAyLjQyIDIyOC4xIDIwMi41NyAyMjEuMzkgMjAyLjcxIDIxNC41NyAyMDIu&#10;OSAyMDcuOTcgMjAzLjA5IDIwMy4yMyAyMDMuMjIgMTk4LjQ5IDIwMy4zNiAxOTMuNzQgMjAzLjQ3&#10;IDE4Ny4wMiAyMDMuNjMgMTgwLjMgMjAzLjczIDE3NC42MiAyMDMuOCAxNzIuMDcgMjAzLjgzIDE2&#10;OS41MSAyMDMuODcgMTY2Ljk2IDIwMy45IDE2Mi45NiAyMDMuOTYgMTU4Ljk2IDIwNC4wMSAxNTQu&#10;OTcgMjA0LjA2IDE0Mi45IDIwNC4xOSAxMzAuOTYgMjA0LjIzIDExOS40OCAyMDQuMTYgMTE2LjM4&#10;IDIwNC4xNCAxMTMuMjggMjA0LjEyIDExMC4xNyAyMDQuMSAxMDIuNjcgMjA0LjA0IDk0LjkxIDIw&#10;My45OSA4Ny4yNyAyMDQuMDIgODMuODUgMjA0LjAzIDgwLjQzIDIwNC4wNyA3Ny4wMiAyMDQuMSA3&#10;My4wMiAyMDQuMTQgNjguODggMjA0LjE4IDY0LjgxIDIwNC4xOUw2MS45NSAyMDQuMTlDNTguMiAy&#10;MDQuMTkgNTQuMzMgMjA0LjE5IDUwLjUyIDIwNC4yNSA0Ni40NiAyMDQuMzUgNDIuMzggMjA0LjY2&#10;IDM4LjQyIDIwNC45NkwzNi40NyAyMDUuMTFDMzUuODcgMjA1LjE1IDM1LjI4IDIwNS4yIDM0LjY4&#10;IDIwNS4yNSAzMi44NCAyMDUuNCAzMC45MyAyMDUuNTUgMjkuMDUgMjA1LjU5TDI4LjU5IDIwNS41&#10;OUMyOC4xIDIwNS42MiAyNy42IDIwNS42NCAyNy4xMSAyMDUuNjEgMjYuODkgMjA1LjYxIDI2LjY2&#10;IDIwNS41OCAyNi40NCAyMDUuNTYgMjUuODEgMjA1LjQ4IDI1LjE5IDIwNS4zNiAyNC41OSAyMDUu&#10;MjIgMjQuMDkgMjA1LjEgMjMuNTcgMjA0Ljg3IDIzLjExIDIwNC42N0wyMi44NCAyMDQuNTVDMjIu&#10;MTggMjA0LjI3IDIxLjY0IDIwMy44OCAyMS4xMSAyMDMuNDlMMjAuODYgMjAzLjMxQzIwLjEzIDIw&#10;Mi43OSAxOS42MSAyMDIuMDggMTkuMTYgMjAxLjQ1IDE4LjUzIDIwMC41OCAxOC4xNiAxOTkuNiAx&#10;Ny44IDE5OC42NEwxNy42NiAxOTguMjdDMTcuMzcgMTk3LjUgMTcuMTIgMTk2LjcyIDE2LjkyIDE5&#10;Ni4wNSAxNi4zIDE5NCAxNS43OSAxOTEuOTQgMTUuMzggMTkwLjIgMTQuNzIgMTg3LjQxIDE0LjIg&#10;MTg0LjYzIDEzLjY5IDE4MS43OCAxMy4wOSAxNzguNDggMTIuNTggMTc1LjA1IDEyLjE3IDE3MS41&#10;NyAxMS43IDE2Ny41OSAxMS4yNSAxNjMuNjEgMTAuODIgMTU5LjYzIDEwLjM1IDE1NS4yOCAxMC4w&#10;MyAxNTAuNTcgOS44NSAxNDUuMjUgOS41IDEzNC44MyA5LjM1IDEyNi4zNyA5LjM4IDExOC42MyA5&#10;LjQgMTEzLjkgOS41NSAxMDkuMSA5LjY5IDEwNC40NiA5Ljc2IDEwMi4xNiA5LjgzIDk5Ljg3IDku&#10;ODkgOTcuNTdMOS45MSA5Ni42MkMxMC4xIDg4LjcyIDEwLjMgODAuNTUgMTAuMDQgNzIuNTIgOS40&#10;OSA1Ny40NiA4LjIzIDQyLjc0IDcuMiAzMS42TDYuOTIgMjguNDdDNi42MSAyNS4wNyA2LjMgMjEu&#10;NTYgNS45MSAxOC4xMiA1Ljc1IDE2LjcxIDUuNTYgMTUuMTggNS4zIDEzLjQ2IDUuMTggMTIuNjMg&#10;NS4wNSAxMS44IDQuOTEgMTAuOTdMNC44NCAxMC41NUM0Ljc2IDEwLjA5IDQuNjkgOS42MyA0LjYy&#10;IDkuMTcgNC41OSA4Ljk5IDQuNTggOC44IDQuNTcgOC42MiA0LjI4IDguNTcgMy45NyA4LjUyIDMu&#10;NjggOC40NSAyLjk3IDguMjkgMi4zNSA3LjkxIDIuMDYgNy40NiAxLjgzIDcuMSAxLjgyIDYuNzEg&#10;Mi4wMyA2LjM0IDIuNzUgNS4wNyA0Ljk5IDUuMDggNi42MyA1LjA5TDYuOTcgNS4wOUM3LjAzIDUu&#10;MDkgNy4wOCA1LjA5IDcuMTQgNS4wOSA3LjMxIDUuMDIgNy40NyA0Ljk2IDcuNjEgNC45MSA4LjM2&#10;IDQuNjggOS4xNiA0LjU2IDkuNzUgNC41OSA5Ljg4IDQuNTkgMTAgNC42MSAxMC4xMiA0LjYzTDEw&#10;LjQxIDQuNjhDMTEuMTcgNC44IDExLjYzIDQuODggMTIuMjkgNS4xOUwxMi45MyA1LjIxQzEzLjU3&#10;IDUuMjMgMTQuMjEgNS4yNSAxNC44NSA1LjI2IDIwLjY3IDUuNCAyNi41OSA1LjQxIDMyLjMxIDUu&#10;NDMgMzQuNTQgNS40MyAzNi43NiA1LjQzIDM4Ljk4IDUuNDMgNDMuMDggNS40MyA0Ny4zMiA1LjQz&#10;IDUxLjQ5IDUuNDhMNTIuMDMgNS40OEM1Ny45OSA1LjU0IDY0LjE0IDUuNiA3MC4yIDUuNTcgNzYu&#10;MzUgNS41NCA4Mi40OSA1LjQ5IDg4LjY0IDUuNDUgOTQuNzkgNS40IDEwMC45MyA1LjM2IDEwNy4w&#10;OCA1LjMzIDExMS4yMSA1LjMxIDExNS4zNCA1LjI2IDExOS40NiA1LjIxIDEyMS40NCA1LjE5IDEy&#10;My40MSA1LjE2IDEyNS4zOSA1LjE0IDEzMC4wNCA1LjA5IDEzNC42OSA1LjA3IDEzOS4zNCA1LjA2&#10;TDE0NC4xOSA1LjA0QzE1Mi44NCA1IDE2MS42MyA0LjkyIDE3MC4xMyA0Ljg1TDE4MC4xNCA0Ljc2&#10;QzE4My44NiA0LjczIDE4Ny41OCA0LjY4IDE5MS4zIDQuNjMgMTk0LjEzIDQuNTkgMTk2Ljk1IDQu&#10;NTUgMTk5Ljc4IDQuNTIgMjA0LjEyIDQuNDcgMjA4LjQ1IDQuNDUgMjEyLjc5IDQuNDQgMjE0Ljg2&#10;IDQuNDQgMjE2LjkzIDQuNDIgMjE5LjAxIDQuNDEgMjIxLjAyIDQuNCAyMjMuMDMgNC4zOCAyMjUu&#10;MDQgNC4zNiAyMjguNDYgNC4zMyAyMzEuODggNC4zIDIzNS4zIDQuMyAyMzcuNjYgNC4zIDI0MC4w&#10;MSA0LjMgMjQyLjM3IDQuMyAyNDUuNTIgNC4zIDI0OC42NiA0LjMxIDI1MS44MSA0LjMgMjU1LjM5&#10;IDQuMjggMjU5LjM0IDQuMjQgMjY0LjIyIDQuMTcgMjY0LjQ1IDQuMTUgMjY0LjY3IDQuMTUgMjY0&#10;Ljg5IDQuMTZMMjY5Ljk3IDQuMDhDMjc1LjEzIDQgMjgwLjQ3IDMuOTEgMjg1LjcyIDMuODcgMjkx&#10;LjU3IDMuODIgMjk3LjQxIDMuNzUgMzAzLjI2IDMuNjhMMzAzLjM3IDMuNjhDMzA1LjE3IDMuNjYg&#10;MzA2Ljk4IDMuNjQgMzA4Ljc4IDMuNjIgMzEyLjU1IDMuNTggMzE2LjMyIDMuNTQgMzIwLjA5IDMu&#10;NDdMMzE5Ljc0IDMuNDkgMzIwLjc4IDMuNDZDMzI2LjU1IDMuMzUgMzMyLjUyIDMuMjMgMzM4LjQg&#10;My4xOSAzNDIuMTIgMy4xNiAzNDUuODUgMy4xNiAzNDkuNTcgMy4xNSAzNTEuOCAzLjE1IDM1NC4w&#10;MiAzLjE1IDM1Ni4yNSAzLjE0IDM2MS40NSAzLjEyIDM2Ni43MyAzLjE1IDM3MS44NCAzLjE5TDM3&#10;NS43NSAzLjIxQzM4MS40MyAzLjI0IDM4Ny4zNCAzLjM2IDM5My44NCAzLjU4IDM5NS45MSAzLjY1&#10;IDM5Ny45OCAzLjczIDQwMC4wNSAzLjgxTDQwNC40NSAzLjk5IDQwNS4yNyA0LjAyQzQwNi45MiA0&#10;LjA5IDQwOC41NSA0LjE2IDQxMC4xOCA0LjIzIDQxNC4wMyA0LjM5IDQxNi45NyA0LjQ5IDQxOS43&#10;NCA0LjU3IDQyNC4yOSA0LjcgNDI4Ljg1IDQuNzUgNDMzLjI5IDQuNzMgNDM0LjY2IDQuNzMgNDM2&#10;LjA0IDQuNzMgNDM3LjQxIDQuNzIgNDQwLjAzIDQuNzIgNDQyLjc0IDQuNzIgNDQ1LjQxIDQuNjcg&#10;NDQ1LjQ3IDQuNjcgNDQ1LjU0IDQuNjcgNDQ1LjYgNC42N0w0NDUuNyA0LjY3QzQ0NS43IDQuNjcg&#10;NDQ1LjcgNC42NyA0NDUuNyA0LjY3IDQ0Ni4yNiA0LjY2IDQ0Ni44MSA0LjY1IDQ0Ny4zNyA0LjY0&#10;TDQ0Ny41MSA0LjY0QzQ0Ny41MSA0LjY0IDQ0Ny42MyA0LjY0IDQ0Ny42MyA0LjY0TDQ0OC4zNSA0&#10;LjY0QzQ0OC4zNSA0LjY0IDQ0OC4xNSA0LjY0IDQ0OC4xNSA0LjY0IDQ0OS4zOCA0LjYgNDUwLjYy&#10;IDQuNTcgNDUxLjg1IDQuNTQgNDUzLjg0IDQuNDkgNDU1LjgyIDQuNDQgNDU3LjgxIDQuNDFMNDU4&#10;Ljc3IDQuNDFDNDU5LjgyIDQuMzggNDYwLjkgNC4zNiA0NjEuOTYgNC40MVoiIGZpbGw9IiNFM0U4&#10;N0IiLz48cGF0aCBkPSJNNDI5LjggMS4zNkM0MjkuOSAxLjM2IDQzMC4wMSAxLjM2IDQzMC4xMSAx&#10;LjM2IDQzMC4wMSAxLjM2IDQyOS45IDEuMzYgNDI5LjggMS4zNlpNMzkwLjk5IDAuNDRDMzkwLjkz&#10;IDAuNDQgMzkwLjg2IDAuNDQgMzkwLjggMC40NCAzOTAuOTQgMC40NCAzOTEuMDggMC40NCAzOTEu&#10;MjEgMC40NCAzOTEuMTQgMC40NCAzOTEuMDYgMC40NCAzOTAuOTkgMC40NFpNMzg5Ljg3IDAuNDIg&#10;Mzg5Ljg3IDAuNDJDMzkwIDAuNDIgMzkwLjEyIDAuNDIgMzkwLjI1IDAuNDIgMzkwLjEzIDAuNDIg&#10;MzkwIDAuNDIgMzg5Ljg4IDAuNDJaTTI2LjkgNC40NEMyNi44NCA0LjQ0IDI2Ljc3IDQuNDQgMjYu&#10;NzEgNC40NCAyNi43NyA0LjQ0IDI2Ljg0IDQuNDQgMjYuOSA0LjQ0Wk00NjYuOTcgMS44MkM0Njgu&#10;MzEgMi4wMiA0NjkuMzcgMi43NiA0NjkuNTEgMy43OCA0NjkuNTkgNC4zNSA0NjkuMzYgNC45MyA0&#10;NjguODcgNS4zOCA0NjguMzQgNS44NyA0NjcuNjMgNi4xIDQ2Ni44MSA2LjIxIDQ2NS4zOCA2LjM5&#10;IDQ2My45MiA2LjM0IDQ2Mi40OCA2LjMzIDQ2MC40MyA2LjMxIDQ1OC4zOSA2LjI3IDQ1Ni4zNCA2&#10;LjIyIDQ1Mi4wOSA2LjEzIDQ0Ny44NCA2LjAxIDQ0My41OCA1LjkyIDQzNC4xMyA1LjczIDQyNC42&#10;OCA1LjQ1IDQxNS4yMyA1LjI1IDQxMy4zNyA1LjIxIDQxMS41MiA1LjE3IDQwOS42NiA1LjE0IDQw&#10;OS45MSA1LjE0IDQxMC4xNiA1LjE0IDQxMC40MSA1LjE1IDQwMS41NCA0Ljk4IDM5Mi42NyA0Ljc2&#10;IDM4My43OSA0LjU4IDM4My45NyA0LjU4IDM4NC4xNiA0LjU4IDM4NC4zNCA0LjU5IDM3OS4yNiA0&#10;LjUgMzc0LjE4IDQuNDIgMzY5LjEgNC4zOCAzNjQuMDggNC4zMyAzNTkuMDYgNC4zNCAzNTQuMDQg&#10;NC4zNCAzNDQuMDEgNC4zNCAzMzMuOTggNC4zIDMyMy45NSA0LjMgMzE0LjE2IDQuMyAzMDQuMzcg&#10;NC4zIDI5NC41NyA0LjM3IDI4NC43NCA0LjQzIDI3NC45MSA0LjQ3IDI2NS4wOSA0LjU4IDI0NS4y&#10;MyA0Ljc5IDIyNS4zOCA0Ljk5IDIwNS41MSA0Ljk5IDE5NS43NSA0Ljk5IDE4NS45OSA1IDE3Ni4y&#10;MyA1LjAxIDE2NS44NSA1LjAyIDE1NS40NyA0Ljk5IDE0NS4xIDQuOTYgMTM1LjEzIDQuOTMgMTI1&#10;LjE3IDQuODkgMTE1LjIgNC44NyAxMDUuMyA0Ljg1IDk1LjM5IDQuODggODUuNDkgNC44NyA3NS4z&#10;NSA0Ljg1IDY1LjIxIDQuODMgNTUuMDcgNC43NiA0NS41MyA0LjY5IDM2IDQuNjQgMjYuNDYgNC40&#10;NCAyNS45IDQuNDMgMjUuMzQgNC40MiAyNC43OCA0LjQxIDI0Ljk5IDQuNDEgMjUuMjEgNC40MSAy&#10;NS40MiA0LjQyIDIwLjk0IDQuMzMgMTYuNDYgNC4yNSAxMS45OCA0LjExIDkuNzMgNC4wNCA3LjQ3&#10;IDMuOTYgNS4yMiAzLjgyIDQuMjQgMy43NiAzLjI0IDMuNjkgMi4yNyAzLjU0IDEuNTQgMy40MyAw&#10;LjcyIDMuMjkgMC4yNSAyLjgyLTAuMDkgMi40OC0wLjExIDEuOTUgMC4yOCAxLjYyIDAuODEgMS4x&#10;OCAxLjU5IDEuMDcgMi4zNiAwLjk5IDMuNDggMC44OCA0LjYzIDAuODcgNS43NiAwLjg1IDcuOTYg&#10;MC44IDEwLjE1IDAuNzggMTIuMzYgMC43NyAxNy4wNyAwLjc0IDIxLjc4IDAuNzggMjYuNDkgMC44&#10;MSAzNi4xMSAwLjg3IDQ1LjczIDAuNzcgNTUuMzUgMC43MyA2NS4zNSAwLjY5IDc1LjM0IDAuNjcg&#10;ODUuMzQgMC42OCA5NS4yMyAwLjY4IDEwNS4xMSAwLjYzIDExNS4wMSAwLjYyIDEzNS4zNyAwLjYg&#10;MTU1LjczIDAuNzUgMTc2LjEgMC43NCAxOTUuOTEgMC43NCAyMTUuNzIgMC42NiAyMzUuNTMgMC41&#10;OCAyNTUuMjEgMC41MSAyNzQuODkgMC4yIDI5NC41NiAwLjA4IDMxNC40NC0wLjA0IDMzNC4zMSAw&#10;LjA0IDM1NC4xOCAwLjA4IDM2NS45NCAwLjExIDM3Ny42OSAwLjE5IDM4OS40NCAwLjQyIDM4OS41&#10;OCAwLjQyIDM4OS43MiAwLjQyIDM4OS44NiAwLjQyIDM4OS44NiAwLjQyIDM4OS44NSAwLjQyIDM4&#10;OS44NCAwLjQyIDM4OS44NCAwLjQyIDM4OS44NiAwLjQyIDM4OS44NiAwLjQyIDM4OS45NyAwLjQy&#10;IDM5MC4wOCAwLjQyIDM5MC4xOSAwLjQyIDM5MC4zMyAwLjQyIDM5MC40NiAwLjQyIDM5MC41OSAw&#10;LjQyIDM5MC40NyAwLjQyIDM5MC4zNSAwLjQyIDM5MC4yMyAwLjQyIDM5MC40MiAwLjQyIDM5MC42&#10;IDAuNDIgMzkwLjc5IDAuNDMgMzkwLjc1IDAuNDMgMzkwLjcxIDAuNDMgMzkwLjY3IDAuNDMgMzkw&#10;Ljc3IDAuNDMgMzkwLjg4IDAuNDMgMzkwLjk4IDAuNDMgMzkxLjEzIDAuNDMgMzkxLjI3IDAuNDMg&#10;MzkxLjQyIDAuNDQgMzkxLjM1IDAuNDQgMzkxLjI4IDAuNDQgMzkxLjIgMC40NCA0MDQuMjQgMC43&#10;IDQxNy4yOCAxLjExIDQzMC4zMiAxLjM3TDQzMC4wOSAxLjM3QzQzMC43NiAxLjM3IDQzMS40MiAx&#10;LjM5IDQzMi4wOSAxLjQgNDMxLjg0IDEuNCA0MzEuNTkgMS40IDQzMS4zNCAxLjM5IDQzNy44NCAx&#10;LjUxIDQ0NC4zNSAxLjY2IDQ1MC44NiAxLjY1IDQ1My43NyAxLjY1IDQ1Ni42NyAxLjYxIDQ1OS41&#10;OCAxLjYgNDYwLjc0IDEuNiA0NjEuOSAxLjYgNDYzLjA2IDEuNjEgNDYzLjc3IDEuNjEgNDY0LjQ4&#10;IDEuNjEgNDY1LjE5IDEuNjQgNDY1Ljc4IDEuNjYgNDY2LjM2IDEuNzEgNDY2Ljk0IDEuNzlaIiBm&#10;aWxsPSIjMDEwMTAxIi8+PHBhdGggZD0iTTQ2OC4xIDMuMjhDNDY4LjUzIDMuMzkgNDY4LjkyIDMu&#10;NTUgNDY5LjMgMy43MiA0NzAuMzEgNC4xNyA0NzEuMjggNC42NiA0NzIuMjMgNS4xNiA0NzMuODgg&#10;Ni4wMyA0NzUuNDggNi45NSA0NzcuMDcgNy44OCA0ODAuMjcgOS43NCA0ODMuNDEgMTEuNjggNDg2&#10;LjU2IDEzLjYgNDg5LjcyIDE1LjUzIDQ5Mi44NyAxNy40NiA0OTYuMDUgMTkuMzYgNDk5LjI4IDIx&#10;LjI4IDUwMi41MiAyMy4xOSA1MDUuNzggMjUuMDkgNTEyLjI0IDI4Ljg1IDUxOC43MyAzMi41OSA1&#10;MjUuMjcgMzYuMjggNTMxLjk1IDQwLjA1IDUzOC41NiA0My45IDU0NS4xMSA0Ny44IDU1MS42MiA1&#10;MS42OCA1NTguMDMgNTUuNjYgNTY0LjUgNTkuNTYgNTcxIDYzLjQ4IDU3Ny41NyA2Ny4zMyA1ODQu&#10;MDcgNzEuMjQgNTkwLjQ1IDc1LjA3IDU5Ni43OCA3OC45NCA2MDMuMTUgODIuNzggNjA1LjcyIDg0&#10;LjMzIDYwOC4yNyA4NS44OCA2MTAuODYgODcuNCA2MTIuMDYgODguMTEgNjEzLjI3IDg4LjggNjE0&#10;LjQ0IDg5LjUyIDYxNS4wNSA4OS44OSA2MTUuNjQgOTAuMjggNjE2LjI1IDkwLjY2IDYxNi41NSA5&#10;MC44NSA2MTYuODQgOTEuMDQgNjE3LjE0IDkxLjIzIDYxNy42NyA5MS41NiA2MTguMTQgOTEuOTUg&#10;NjE4LjU4IDkyLjM1IDYxOS40MiA5My4xMiA2MTkuMjkgOTQuMzQgNjE4LjUgOTUuMDggNjE3Ljcy&#10;IDk1LjgzIDYxNi4xNiA5Ni4yIDYxNC45OCA5NS43NSA2MTQuMzMgOTUuNDkgNjEzLjcyIDk1LjIx&#10;IDYxMy4xNCA5NC44NyA2MTIuNzUgOTQuNjQgNjEyLjM1IDk0LjQxIDYxMS45NiA5NC4xOSA2MTEu&#10;MjEgOTMuNzYgNjEwLjQ4IDkzLjMzIDYwOS43NSA5Mi44OSA2MDguMjQgOTEuOTcgNjA2Ljc2IDkx&#10;LjAzIDYwNS4yNSA5MC4xMSA2MDIuMTQgODguMjIgNTk5IDg2LjM1IDU5NS44OCA4NC40NyA1ODku&#10;NDIgODAuNTcgNTgyLjkzIDc2LjcxIDU3Ni40MiA3Mi44NiA1NjkuODkgNjguOTkgNTYzLjMyIDY1&#10;LjE3IDU1Ni44NCA2MS4yNiA1NTAuMzQgNTcuMzMgNTQzLjkyIDUzLjMzIDUzNy40IDQ5LjQyIDUz&#10;MS4wMiA0NS41OCA1MjQuNTggNDEuOCA1MTguMSAzOC4wNiA1MTEuNTcgMzQuMyA1MDUuMDEgMzAu&#10;NTYgNDk4LjUyIDI2Ljc2IDQ5Mi4wNiAyMi45NyA0ODUuNjkgMTkuMDggNDc5LjQxIDE1LjEyIDQ3&#10;Ni43NSAxMy40NCA0NzQuMTEgMTEuNzUgNDcxLjQ3IDEwLjA1IDQ3MC4yNSA5LjI2IDQ2OS4wMyA4&#10;LjQ5IDQ2Ny44NCA3LjY4IDQ2Ny4xIDcuMTggNDY2LjM1IDYuNjggNDY1LjcyIDYuMSA0NjUuMzMg&#10;NS43NSA0NjUuMDMgNS4zMyA0NjQuOTUgNC44NyA0NjQuOTIgNC43MSA0NjQuOTMgNC41NSA0NjQu&#10;OTUgNC40IDQ2NS4wNCAzLjg1IDQ2NS41NSAzLjQ3IDQ2Ni4xOCAzLjIzIDQ2Ni40NiAzLjEzIDQ2&#10;Ni43NiAzLjEgNDY3LjA2IDMuMTEgNDY3LjQxIDMuMTIgNDY3Ljc2IDMuMiA0NjguMDggMy4yOFoi&#10;IGZpbGw9IiMwMTAxMDEiLz48cGF0aCBkPSJNMTcxLjkgMTg4LjQ5QzE3MiAxODguNDkgMTcyLjA5&#10;IDE4OC40OSAxNzIuMTkgMTg4LjQ5IDE3Mi4wOSAxODguNDkgMTcyIDE4OC40OSAxNzEuOSAxODgu&#10;NDlaTTE3MC4yMiAxODguNDZDMTcwLjA3IDE4OC40NiAxNjkuOTIgMTg4LjQ2IDE2OS43OCAxODgu&#10;NDYgMTY5LjggMTg4LjQ2IDE2OS44MyAxODguNDYgMTY5Ljg1IDE4OC40NiAxNjkuOTggMTg4LjQ2&#10;IDE3MC4xMiAxODguNDYgMTcwLjI1IDE4OC40NiAxNzAuMjUgMTg4LjQ2IDE3MC4yMyAxODguNDYg&#10;MTcwLjIyIDE4OC40NlpNMTcxLjMzIDE4OC40OEMxNzEuMjQgMTg4LjQ4IDE3MS4xNSAxODguNDgg&#10;MTcxLjA1IDE4OC40OCAxNzEuMTQgMTg4LjQ4IDE3MS4yMyAxODguNDggMTcxLjMzIDE4OC40OFpN&#10;NjE5LjE2IDk1LjkyQzYxOS4xNiA5NS45MiA2MTkuMTYgOTUuOTUgNjE5LjE2IDk1Ljk2IDYxOS4x&#10;NiA5NS45NSA2MTkuMTYgOTUuOTQgNjE5LjE2IDk1LjkzIDYxOS4xNiA5NS45MyA2MTkuMTYgOTUu&#10;OTMgNjE5LjE2IDk1LjkyWk02MTcuMzcgOTQuMDhDNjE3Ljg3IDk0LjIzIDYxOC4zMiA5NC40OSA2&#10;MTguNjMgOTQuOCA2MTguODggOTUuMDUgNjE5LjAyIDk1LjMgNjE5LjEgOTUuNTcgNjE5LjQzIDk2&#10;LjE5IDYxOS4zMSA5NyA2MTguOTYgOTcuNTkgNjE4LjYyIDk4LjE2IDYxOC4wMiA5OC41NiA2MTcu&#10;MzcgOTguOTUgNjE3LjAyIDk5LjE2IDYxNi42NyA5OS4zNyA2MTYuMzEgOTkuNTggNjE1LjU3IDEw&#10;MC4wMiA2MTQuODIgMTAwLjQ1IDYxNC4wNyAxMDAuODkgNjEyLjE0IDEwMi4wMiA2MTAuMjkgMTAz&#10;LjIxIDYwOC40MyAxMDQuMzggNjA1LjUxIDEwNi4yMiA2MDIuNTQgMTA4LjAxIDU5OS41MiAxMDku&#10;NzYgNTk1LjM2IDExMi4xOCA1OTEuMTggMTE0LjU4IDU4Ny4wNSAxMTcuMDMgNTc4LjU0IDEyMi4w&#10;NyA1NzAuMzggMTI3LjQyIDU2Mi4zOSAxMzIuODkgNTU3Ljk1IDEzNS45NCA1NTMuNTIgMTM4Ljk5&#10;IDU0OC45NyAxNDEuOTUgNTQ0LjQgMTQ0LjkyIDUzOS43NiAxNDcuODUgNTM1LjA4IDE1MC43MyA1&#10;MzAuNTkgMTUzLjUgNTI2LjA4IDE1Ni4yNCA1MjEuNTQgMTU4Ljk3IDUxNy45IDE2MS4xNyA1MTQu&#10;MjcgMTYzLjM4IDUxMC42MiAxNjUuNTcgNTAzLjA0IDE3MC4xIDQ5NS41MSAxNzQuNjkgNDg3Ljgx&#10;IDE3OS4xMSA0ODMuNyAxODEuNDggNDc5LjU4IDE4My44NCA0NzUuMjYgMTg2IDQ3Mi45OSAxODcu&#10;MTQgNDcwLjYgMTg4LjE3IDQ2OC4xNyAxODkuMTMgNDY2LjgyIDE4OS42NiA0NjUuNDEgMTkwLjE1&#10;IDQ2My45OCAxOTAuNTYgNDYxLjc5IDE5MS4xNyA0NTkuNDggMTkxLjQzIDQ1Ny4xNiAxOTEuNTYg&#10;NDU0LjUzIDE5MS43MSA0NTEuOSAxOTEuNzcgNDQ5LjI2IDE5MS44NSA0NDQuNTcgMTkyIDQzOS44&#10;OCAxOTIuMDQgNDM1LjE5IDE5Mi4xMiA0MjkuNjggMTkyLjIgNDI0LjE4IDE5Mi4zNCA0MTguNjcg&#10;MTkyLjUgNDA2LjgyIDE5Mi44NCAzOTQuOTggMTkzLjIxIDM4My4xMSAxOTMuMzMgMzcwLjg4IDE5&#10;My40NiAzNTguNjQgMTkzLjU3IDM0Ni40IDE5My40NSAzMzQuMTMgMTkzLjMzIDMyMS44NyAxOTMu&#10;MDcgMzA5LjYxIDE5Mi43NyAyOTcuMjcgMTkyLjQ2IDI4NC45MyAxOTIuMTggMjcyLjYgMTkxLjc5&#10;IDI2MC41NyAxOTEuNDEgMjQ4LjU1IDE5MC45MyAyMzYuNTMgMTkwLjQ1IDIyNS43NiAxOTAuMDIg&#10;MjE0Ljk3IDE4OS43MiAyMDQuMTkgMTg5LjM4IDE5My41MiAxODkuMDQgMTgyLjg2IDE4OC43MyAx&#10;NzIuMTkgMTg4LjUxIDE3Mi4zMyAxODguNTEgMTcyLjQ3IDE4OC41MSAxNzIuNiAxODguNTEgMTcy&#10;LjI1IDE4OC41MSAxNzEuOSAxODguNSAxNzEuNTUgMTg4LjQ5IDE3MS4yOSAxODguNDkgMTcxLjAz&#10;IDE4OC40OSAxNzAuNzcgMTg4LjQ4IDE3MC44NCAxODguNDggMTcwLjkyIDE4OC40OCAxNzAuOTkg&#10;MTg4LjQ4IDE3MC45IDE4OC40OCAxNzAuOCAxODguNDggMTcwLjcxIDE4OC40OCAxNzAuNDggMTg4&#10;LjQ4IDE3MC4yNSAxODguNDggMTcwLjAzIDE4OC40NyAxNzAuMSAxODguNDcgMTcwLjE2IDE4OC40&#10;NyAxNzAuMjMgMTg4LjQ3IDE3MC4yNSAxODguNDcgMTcwLjI2IDE4OC40NyAxNzAuMjggMTg4LjQ3&#10;IDE3MC4yOCAxODguNDcgMTcwLjI3IDE4OC40NyAxNzAuMjYgMTg4LjQ3IDE3MC4yOCAxODguNDcg&#10;MTcwLjI5IDE4OC40NyAxNzAuMzEgMTg4LjQ3IDE3MC4zOCAxODguNDcgMTcwLjQ0IDE4OC40NyAx&#10;NzAuNTEgMTg4LjQ3IDE3MC4yOSAxODguNDcgMTcwLjA4IDE4OC40NyAxNjkuODYgMTg4LjQ2TDE2&#10;OS41NCAxODguNDZDMTY5LjYyIDE4OC40NiAxNjkuNzEgMTg4LjQ2IDE2OS43OSAxODguNDYgMTU3&#10;Ljg2IDE4OC4yMyAxNDUuOTIgMTg4LjA5IDEzMy45OCAxODguMDMgMTIxLjc3IDE4Ny45NyAxMDku&#10;NTYgMTg4LjA4IDk3LjM1IDE4OC40NiA4NS4xMSAxODguODUgNzIuODkgMTg5LjU0IDYwLjY1IDE4&#10;OS44MSA1NC43MiAxODkuOTQgNDguNzggMTkwIDQyLjg1IDE5MC4xMyAzNy4xNSAxOTAuMjUgMzEu&#10;NDMgMTkwLjMyIDI1LjczIDE5MC41MSAyMi42MiAxOTAuNjEgMTkuNTEgMTkwLjc4IDE2LjM5IDE5&#10;MC45MSAxNS4zIDE5MC45NiAxNC4yIDE5MC45OSAxMy4xMSAxOTAuOTQgMTEuOTggMTkwLjg4IDEw&#10;Ljc1IDE5MC4zMiAxMC45MSAxODkuMzggMTEuMDQgMTg4LjY3IDExLjg4IDE4OC4yNCAxMi42OCAx&#10;ODcuOTQgMTMuNDkgMTg3LjY1IDE0LjM0IDE4Ny40NCAxNS4yMSAxODcuMjggMTcuOTEgMTg2Ljc2&#10;IDIwLjY5IDE4Ni40NSAyMy40NiAxODYuMjEgMjkuMTYgMTg1LjcxIDM0Ljg4IDE4NS41MSA0MC42&#10;MSAxODUuMzQgNTIuNDYgMTg1IDY0LjMgMTg0LjYgNzYuMTIgMTgzLjkxIDg4LjYxIDE4My4xOCAx&#10;MDEuMDkgMTgyLjUgMTEzLjYyIDE4Mi4zNCAxMjUuNzYgMTgyLjE4IDEzNy45IDE4Mi4zNCAxNTAu&#10;MDQgMTgyLjU1IDE1Ni4yNSAxODIuNjYgMTYyLjQ1IDE4Mi44IDE2OC42NiAxODIuOTUgMTc0LjY4&#10;IDE4My4wOSAxODAuNyAxODMuMjEgMTg2LjcyIDE4My4zNyAxOTIuOTMgMTgzLjUzIDE5OS4xNSAx&#10;ODMuNzQgMjA1LjM2IDE4My45NCAyMTEuMzcgMTg0LjEzIDIxNy4zOCAxODQuMjkgMjIzLjM5IDE4&#10;NC40NyAyMzUuNTQgMTg0LjgzIDI0Ny42OCAxODUuMzMgMjU5LjgyIDE4NS43NCAyNzIuMSAxODYu&#10;MTYgMjg0LjM4IDE4Ni40NyAyOTYuNjcgMTg2Ljc1IDMwNy4wOSAxODYuOTggMzE3LjUxIDE4Ny4y&#10;MiAzMjcuOTIgMTg3LjQzIDMyNy41OCAxODcuNDMgMzI3LjI1IDE4Ny40MiAzMjYuOTEgMTg3LjQx&#10;IDMyOCAxODcuNDMgMzI5LjEgMTg3LjQ1IDMzMC4xOSAxODcuNDcgMzI5Ljg1IDE4Ny40NyAzMjku&#10;NTEgMTg3LjQ2IDMyOS4xNyAxODcuNDUgMzM1LjE5IDE4Ny41NyAzNDEuMjIgMTg3LjY3IDM0Ny4y&#10;NCAxODcuNjkgMzUzLjM3IDE4Ny43MSAzNTkuNDkgMTg3LjY3IDM2NS42MSAxODcuNjIgMzc3LjU2&#10;IDE4Ny41MyAzODkuNTEgMTg3LjQ5IDQwMS40NSAxODcuMjYgNDA3LjUxIDE4Ny4xNCA0MTMuNTcg&#10;MTg2Ljk1IDQxOS42MiAxODYuODQgNDI1LjE0IDE4Ni43NCA0MzAuNjYgMTg2LjcgNDM2LjE4IDE4&#10;Ni41NyA0MzguNzggMTg2LjUgNDQxLjM3IDE4Ni40MiA0NDMuOTcgMTg2LjM1IDQ0NS43OSAxODYu&#10;MyA0NDcuNjEgMTg2LjI2IDQ0OS40MyAxODYuMTggNDUxLjk0IDE4Ni4wNyA0NTQuNDUgMTg1Ljg4&#10;IDQ1Ni45NCAxODUuNjQgNDU4LjI3IDE4NS41MSA0NTkuNjMgMTg1LjQxIDQ2MC45NSAxODUuMjIg&#10;NDYxLjc0IDE4NS4wNyA0NjIuNTIgMTg0Ljg4IDQ2My4yOSAxODQuNjcgNDY0LjQ1IDE4NC4zNiA0&#10;NjUuNTQgMTgzLjk1IDQ2Ni42MyAxODMuNTIgNDcxLjAzIDE4MS43MyA0NzUuMDggMTc5LjU3IDQ3&#10;OS4wNiAxNzcuMzIgNDgzLjAzIDE3NS4wOCA0ODYuOTUgMTcyLjc5IDQ5MC44MyAxNzAuNDYgNDk4&#10;LjIgMTY2LjAzIDUwNS41IDE2MS41MiA1MTIuNzUgMTU2Ljk4IDUyMS41NCAxNTEuNDggNTMwLjM0&#10;IDE0NS45OSA1MzkuMDcgMTQwLjQzIDU0OC4zIDEzNC41NSA1NTcuMTYgMTI4LjM4IDU2Ni4yNCAx&#10;MjIuMzggNTczLjg4IDExNy4zMyA1ODEuOCAxMTIuNTIgNTg5Ljg2IDEwNy44MyA1OTMuNTkgMTA1&#10;LjY2IDU5Ny4zIDEwMy40OCA2MDEuMDcgMTAxLjM2IDYwMy4zMiAxMDAuMDkgNjA1LjYgOTguODUg&#10;NjA3LjgyIDk3LjU0IDYwOC45MiA5Ni44OSA2MTAgOTYuMjQgNjExLjA5IDk1LjU5IDYxMS41NyA5&#10;NS4zMSA2MTIuMDUgOTUuMDMgNjEyLjUzIDk0Ljc1IDYxMi43NCA5NC42MyA2MTIuOTYgOTQuNSA2&#10;MTMuMTcgOTQuMzggNjEzLjg5IDkzLjk1IDYxNC44NyA5My43NSA2MTUuODIgOTMuNzkgNjE2LjM3&#10;IDkzLjgxIDYxNi45IDkzLjkxIDYxNy4zOCA5NC4xWiIgZmlsbD0iIzAxMDEwMSIvPjxwYXRoIGQ9&#10;Ik05LjUyIDE4NC40OSA5LjU0IDE4NC41NkM5LjU0IDE4NC41NiA5LjU0IDE4NC41NiA5LjU0IDE4&#10;NC41NiA5LjU4IDE4NC43MiA5LjYxIDE4NC44NyA5LjY1IDE4NS4wMyA5LjYxIDE4NC44NSA5LjU3&#10;IDE4NC42OCA5LjUzIDE4NC41Wk0zLjEzIDEuNzFDMy40NiAxLjk3IDMuNjIgMi4yNiAzLjcxIDIu&#10;NjEgMy44MyAzLjA5IDMuOTIgMy41NyAzLjk5IDQuMDYgNC4xNCA0Ljk2IDQuMjUgNS44NiA0LjM3&#10;IDYuNzYgNC42MSA4LjYgNC44NyAxMC40NCA1LjEgMTIuMjkgNS41NyAxNiA1Ljg5IDE5LjcxIDYu&#10;MTggMjMuNDMgNi40OCAyNy4yNyA2Ljg0IDMxLjExIDcuMTQgMzQuOTUgNy40NCAzOC44NiA3LjY0&#10;IDQyLjc3IDcuOCA0Ni42OCA3Ljk1IDUwLjU2IDcuOTkgNTQuNDMgOC4wNyA1OC4zMSA4LjE1IDYy&#10;LjI3IDguMzIgNjYuMjIgOC41NiA3MC4xNyA4Ljc5IDczLjk5IDkuMDcgNzcuODIgOS4zNSA4MS42&#10;NSA5LjYzIDg1LjYxIDkuODcgODkuNTcgMTAuMDYgOTMuNTQgMTAuMjQgOTcuMzYgMTAuNDEgMTAx&#10;LjE3IDEwLjU0IDEwNC45OSAxMC42NyAxMDguODQgMTAuNzYgMTEyLjY4IDEwLjkxIDExNi41MyAx&#10;MS4wNiAxMjAuNTkgMTEuMjEgMTI0LjY1IDExLjM0IDEyOC43MSAxMS40NyAxMzIuNTkgMTEuNjUg&#10;MTM2LjQ4IDExLjggMTQwLjM2IDEyLjA3IDE0Ny44OSAxMi4wOCAxNTUuNDEgMTIuNDQgMTYyLjkz&#10;IDEyLjUzIDE2NC44MiAxMi42MiAxNjYuNzEgMTIuNzQgMTY4LjYgMTIuODQgMTcwLjM0IDEyLjk5&#10;IDE3Mi4wOCAxMy4xNCAxNzMuODEgMTMuMzcgMTc2LjY2IDEzLjUzIDE3OS41MyAxNC4xIDE4Mi4z&#10;NiAxNC4yMSAxODIuOTEgMTQuMzIgMTgzLjQ2IDE0LjQzIDE4NCAxNC40OSAxODQuMjEgMTQuNTYg&#10;MTg0LjQzIDE0LjU2IDE4NC42NCAxNC41OCAxODQuOTUgMTQuNDggMTg1LjI1IDE0LjI4IDE4NS41&#10;NCAxNC4xNiAxODUuNjcgMTQuMDQgMTg1LjggMTMuOTEgMTg1LjkzIDEzLjYgMTg2LjE4IDEzLjIz&#10;IDE4Ni4zNSAxMi44IDE4Ni40NSAxMi42IDE4Ni41MSAxMi4zOCAxODYuNTMgMTIuMTcgMTg2LjUz&#10;IDExLjc0IDE4Ni41MyAxMS4zMyAxODYuNDcgMTAuOTQgMTg2LjMzIDEwLjMzIDE4Ni4xIDkuOTQg&#10;MTg1LjcxIDkuNzEgMTg1LjI1IDkuNjIgMTg1LjA4IDkuNiAxODQuODkgOS41NyAxODQuNyA5LjQ4&#10;IDE4NC4zNSA5LjM5IDE4NC4wMSA5LjMzIDE4My42NiA5LjI3IDE4My4yNyA5LjIxIDE4Mi44OSA5&#10;LjE2IDE4Mi41IDkuMDEgMTgxLjMzIDguODYgMTgwLjE1IDguNjkgMTc4Ljk4IDguMiAxNzUuNTgg&#10;OC4xMiAxNzIuMTUgNy44MyAxNjguNzQgNy42OCAxNjYuODUgNy41IDE2NC45NiA3LjM3IDE2My4w&#10;OCA3LjI1IDE2MS4yNCA3LjE4IDE1OS40IDcuMTEgMTU3LjU2IDYuOTcgMTUzLjc0IDYuOTkgMTQ5&#10;LjkxIDYuOTQgMTQ2LjA4IDYuODkgMTQyLjI0IDYuNzIgMTM4LjQxIDYuNTcgMTM0LjU3IDYuNDEg&#10;MTMwLjY2IDYuMjkgMTI2Ljc1IDYuMTQgMTIyLjg0IDUuOTggMTE4Ljg5IDUuNzkgMTE0Ljk0IDUu&#10;NjcgMTEwLjk4IDUuNTUgMTA3LjE0IDUuNDUgMTAzLjMgNS4yNiA5OS40NiA1LjA3IDk1LjUzIDQu&#10;ODkgOTEuNjEgNC42IDg3LjY4IDQuMzIgODMuODEgMy45NCA3OS45NSAzLjU5IDc2LjA4IDMuMjMg&#10;NzIuMSAyLjkxIDY4LjExIDIuNyA2NC4xMiAyLjQ4IDYwLjE5IDIuNCA1Ni4yNyAyLjMxIDUyLjM0&#10;IDIuMTIgNDQuNjYgMS43IDM2Ljk4IDEuMjQgMjkuMzEgMS4wMSAyNS41MiAwLjgzIDIxLjcyIDAu&#10;NjggMTcuOTMgMC42MSAxNi4xIDAuNTQgMTQuMjggMC40OSAxMi40NSAwLjQ0IDEwLjYgMC4zOSA4&#10;Ljc1IDAuNDcgNi45IDAuNTEgNS45OSAwLjU2IDUuMDkgMC42NSA0LjE5IDAuNyAzLjczIDAuNzYg&#10;My4yNyAwLjg0IDIuODEgMC45MSAyLjQ2IDEuMDQgMi4wOSAxLjM3IDEuODEgMS42MiAxLjYxIDIu&#10;MDIgMS40OSAyLjQxIDEuNTEgMi42OSAxLjUyIDIuOTUgMS42IDMuMTQgMS43NVoiIGZpbGw9IiMw&#10;MTAxMDEiLz48cGF0aCBkPSJNNTM3LjUzIDE3Mi4yNEM1MzcuNTMgMTcyLjI0IDUzNy41MyAxNzIu&#10;MjQgNTM3LjUzIDE3Mi4yNCA1MzcuNTMgMTcyLjI0IDUzNy41MiAxNzIuMjQgNTM3LjUxIDE3Mi4y&#10;NSA1MzcuNTEgMTcyLjI1IDUzNy41MSAxNzIuMjUgNTM3LjUxIDE3Mi4yNSA1MzcuNTEgMTcyLjI1&#10;IDUzNy41MyAxNzIuMjQgNTM3LjUzIDE3Mi4yM1pNNTgwLjIzIDEzNi4wMkM1ODAuMTEgMTM2LjA5&#10;IDU3OS45OSAxMzYuMTcgNTc5Ljg3IDEzNi4yNSA1NzkuOTkgMTM2LjE3IDU4MC4xIDEzNi4xIDU4&#10;MC4yMyAxMzYuMDJaTTYyNy41NSAxMTAuNDlDNjI3LjUxIDExMC43OSA2MjcuNDYgMTExLjA5IDYy&#10;Ny40MiAxMTEuNCA2MjQuMTYgMTEzLjc4IDYyMC43OSAxMTYuMDkgNjE3LjQgMTE4LjM4IDYxMy45&#10;IDEyMC43NSA2MTAuMzQgMTIzLjA3IDYwNi44MyAxMjUuNDMgNjAzLjIxIDEyNy44NiA1OTkuNTgg&#10;MTMwLjI5IDU5NS45NCAxMzIuNzEgNTkwLjA1IDEzNi42MiA1ODQuMTcgMTQwLjUzIDU3OC4xNyAx&#10;NDQuMzUgNTc4LjQgMTQ0LjIgNTc4LjY0IDE0NC4wNSA1NzguODcgMTQzLjkgNTc1LjgzIDE0NS44&#10;NCA1NzIuNzQgMTQ3Ljc1IDU2OS42NyAxNDkuNjggNTY5LjkgMTQ5LjU0IDU3MC4xMiAxNDkuMzkg&#10;NTcwLjM0IDE0OS4yNSA1NzAuMDMgMTQ5LjQ1IDU2OS43MyAxNDkuNjQgNTY5LjQyIDE0OS44NCA1&#10;NjkuNDMgMTQ5Ljg0IDU2OS40NCAxNDkuODMgNTY5LjQ1IDE0OS44MiA1NjIuMDUgMTU0LjU0IDU1&#10;NS4zNSAxNTkuNzggNTQ4LjQ1IDE2NC44OCA1NDUuMTcgMTY3LjMxIDU0MS43IDE2OS41OSA1Mzgu&#10;MTkgMTcxLjgzIDUzOC4yNiAxNzEuNzkgNTM4LjMyIDE3MS43NSA1MzguMzggMTcxLjcxIDUzOC4y&#10;IDE3MS44MiA1MzguMDEgMTcxLjk0IDUzNy44MyAxNzIuMDYgNTM3LjgzIDE3Mi4wNiA1MzcuODMg&#10;MTcyLjA2IDUzNy44MyAxNzIuMDYgNTM3LjgzIDE3Mi4wNiA1MzcuODIgMTcyLjA2IDUzNy44MSAx&#10;NzIuMDcgNTM3LjgxIDE3Mi4wNyA1MzcuNzkgMTcyLjA4IDUzNy43OCAxNzIuMDkgNTM3Ljc4IDE3&#10;Mi4wOSA1MzcuNzggMTcyLjA5IDUzNy43OCAxNzIuMDkgNTM3Ljc3IDE3Mi4wOSA1MzcuNzYgMTcy&#10;LjEgNTM3Ljc1IDE3Mi4xMSA1MzcuNzMgMTcyLjEzIDUzNy43IDE3Mi4xNCA1MzcuNjggMTcyLjE2&#10;IDUzNy42NiAxNzIuMTggNTM3LjYzIDE3Mi4xOSA1MzcuNjEgMTcyLjIxIDUzNy42MyAxNzIuMiA1&#10;MzcuNjUgMTcyLjE4IDUzNy42OCAxNzIuMTcgNTM3LjY1IDE3Mi4xOSA1MzcuNjEgMTcyLjIxIDUz&#10;Ny41OCAxNzIuMjMgNTM3LjU4IDE3Mi4yMyA1MzcuNTkgMTcyLjIzIDUzNy42IDE3Mi4yMiA1Mzcu&#10;NDUgMTcyLjMxIDUzNy4zMSAxNzIuNDEgNTM3LjE2IDE3Mi41IDUzNy4yNyAxNzIuNDMgNTM3LjM3&#10;IDE3Mi4zNiA1MzcuNDggMTcyLjI5IDUzNy40OCAxNzIuMjkgNTM3LjQ4IDE3Mi4yOSA1MzcuNDgg&#10;MTcyLjI5IDUzNy40OCAxNzIuMjkgNTM3LjQ4IDE3Mi4yOSA1MzcuNDggMTcyLjI5TDUzNy41IDE3&#10;Mi4yOUM1MzcuNSAxNzIuMjkgNTM3LjUgMTcyLjI5IDUzNy41IDE3Mi4yOSA1MzcuNSAxNzIuMjkg&#10;NTM3LjUgMTcyLjI5IDUzNy40OSAxNzIuMjkgNTM3LjQ5IDE3Mi4yOSA1MzcuNDkgMTcyLjI5IDUz&#10;Ny40OSAxNzIuMjkgNTM3LjQ5IDE3Mi4yOSA1MzcuNDkgMTcyLjI5IDUzNy40OSAxNzIuMjkgNTI5&#10;Ljg4IDE3Ny4xNiA1MjIuMDkgMTgxLjg2IDUxNC4xNyAxODYuNDYgNTEwLjM0IDE4OC42OCA1MDYu&#10;NDYgMTkwLjg1IDUwMi41OCAxOTMuMDMgNDk4Ljg0IDE5NS4xNCA0OTUuMDUgMTk3LjIxIDQ5MS4y&#10;NCAxOTkuMjYgNDg4LjU5IDIwMC42OSA0ODUuOTIgMjAyLjEgNDgzLjI4IDIwMy41NSA0ODIuMDEg&#10;MjA0LjI1IDQ4MC43NCAyMDQuOTYgNDc5LjQ4IDIwNS42NiA0NzguOTMgMjA1Ljk3IDQ3OC4zNyAy&#10;MDYuMjggNDc3LjgyIDIwNi41OSA0NzYuOTUgMjA3LjA4IDQ3Ni4xMyAyMDcuNjIgNDc1LjA2IDIw&#10;Ny44NSA0NzMuNzQgMjA4LjEzIDQ3Mi4zNiAyMDcuOTggNDcxLjMxIDIwNy4zIDQ3MC4wOSAyMDYu&#10;NTEgNDY5LjU4IDIwNS4wMyA0NzAuNDQgMjAzLjk2IDQ3MC42OCAyMDMuNjYgNDcwLjkgMjAzLjM1&#10;IDQ3MS4yNSAyMDMuMTEgNDcxLjU3IDIwMi45IDQ3MS45IDIwMi42OCA0NzIuMjQgMjAyLjQ4IDQ3&#10;Mi40NSAyMDIuMzYgNDcyLjY2IDIwMi4yNCA0NzIuODYgMjAyLjEzIDQ3My4yMyAyMDEuOTIgNDcz&#10;LjYgMjAxLjcxIDQ3My45OCAyMDEuNSA0NzQuODEgMjAxLjA0IDQ3NS42NCAyMDAuNTggNDc2LjQ3&#10;IDIwMC4xMyA0NzguMzEgMTk5LjEyIDQ4MC4xNSAxOTguMTIgNDgxLjk5IDE5Ny4xMSA0ODUuNzkg&#10;MTk1LjAzIDQ4OS42MiAxOTIuOTcgNDkzLjQ4IDE5MC45NCA0OTcuNDIgMTg4Ljg2IDUwMS4yOSAx&#10;ODYuNzMgNTA1LjE2IDE4NC41OCA1MDguOTkgMTgyLjQ1IDUxMi44NCAxODAuMzUgNTE2LjY3IDE3&#10;OC4yMiA1MTkuODQgMTc2LjQ2IDUyMi45NCAxNzQuNjQgNTI2LjAyIDE3Mi44IDUyOC44NiAxNzEu&#10;MTEgNTMxLjY5IDE2OS40MSA1MzQuNDYgMTY3LjY3IDUzOC4wMyAxNjUuMzggNTQxLjQ4IDE2Mi45&#10;OCA1NDQuODYgMTYwLjU0IDU0OC4zNCAxNTguMDMgNTUxLjczIDE1NS40NSA1NTUuMiAxNTIuOTQg&#10;NTU4LjE4IDE1MC43NyA1NjEuMTcgMTQ4LjYxIDU2NC4yMyAxNDYuNSA1NjcuNDMgMTQ0LjI4IDU3&#10;MC43IDE0Mi4xMiA1NzQuMDEgMTQwTDU3NC4wMSAxNDBDNTc0LjAxIDE0MCA1NzQuMDEgMTQwIDU3&#10;NC4wMSAxNDAgNTc0LjA4IDEzOS45NiA1NzQuMTUgMTM5LjkxIDU3NC4yMSAxMzkuODcgNTc0LjIx&#10;IDEzOS44NyA1NzQuMTkgMTM5Ljg4IDU3NC4xOCAxMzkuODkgNTc0LjIyIDEzOS44NiA1NzQuMjcg&#10;MTM5LjgzIDU3NC4zMSAxMzkuODEgNTc0LjI5IDEzOS44MiA1NzQuMjcgMTM5Ljg0IDU3NC4yNSAx&#10;MzkuODUgNTc0LjMgMTM5LjgxIDU3NC4zNiAxMzkuNzggNTc0LjQxIDEzOS43NCA1NzQuNTUgMTM5&#10;LjY1IDU3NC43IDEzOS41NiA1NzQuODQgMTM5LjQ3IDU3NC44MiAxMzkuNDggNTc0LjggMTM5LjQ5&#10;IDU3NC43OSAxMzkuNSA1NzYuMTYgMTM4LjYzIDU3Ny41NCAxMzcuNzYgNTc4LjkxIDEzNi44OSA1&#10;NzguOTQgMTM2Ljg3IDU3OC45NiAxMzYuODYgNTc4Ljk5IDEzNi44NCA1NzguOTYgMTM2Ljg2IDU3&#10;OC45NCAxMzYuODcgNTc4LjkxIDEzNi44OSA1NzkuMDUgMTM2LjggNTc5LjIgMTM2LjcxIDU3OS4z&#10;NCAxMzYuNjIgNTc5LjQxIDEzNi41OCA1NzkuNDcgMTM2LjUzIDU3OS41NCAxMzYuNDlMNTc5LjUz&#10;IDEzNi40OUM1ODMuMyAxMzQuMDggNTg3IDEzMS42MSA1OTAuNjkgMTI5LjEzIDU5NC4yNyAxMjYu&#10;NzMgNTk3LjggMTI0LjI4IDYwMS4zOCAxMjEuODcgNjA0Ljk4IDExOS40NSA2MDguNjIgMTE3LjA2&#10;IDYxMi4zMSAxMTQuNyA2MTIuNTQgMTE0LjU1IDYxMi43NyAxMTQuNDEgNjEzIDExNC4yNiA2MTcu&#10;NTQgMTExLjM2IDYyMi4zMSAxMDguNjYgNjI2Ljg4IDEwNS43OCA2MjYuOTIgMTA1Ljc2IDYyNi45&#10;NSAxMDUuNzMgNjI2Ljk5IDEwNS43MSA2MjYuOTkgMTA1LjcxIDYyNi45OCAxMDUuNzEgNjI2Ljk3&#10;IDEwNS43MiA2MjYuOTcgMTA1LjcyIDYyNi45OCAxMDUuNzIgNjI2Ljk5IDEwNS43MSA2MjcuMzUg&#10;MTA1LjQ4IDYyNy43IDEwNS4yNSA2MjguMDYgMTA1LjAyIDYyNy45MiAxMDYuODUgNjI3LjggMTA4&#10;LjY5IDYyNy41NSAxMTAuNTFaIiBmaWxsPSIjMDEwMTAxIi8+PHBhdGggZD0iTTQ3NC4xOCAyMDUu&#10;NDVDNDc0Ljk4IDIwNS45NSA0NzUuNDggMjA2LjY3IDQ3NS41NyAyMDcuNDMgNDc1LjY3IDIwOC4y&#10;MiA0NzUuMzIgMjA5LjAyIDQ3NC42MSAyMDkuNjIgNDc0LjM1IDIwOS43OSA0NzQuMSAyMDkuOTYg&#10;NDczLjg0IDIxMC4xMyA0NzMuMjUgMjEwLjQzIDQ3Mi42IDIxMC42IDQ3MS45IDIxMC42NCA0NzEu&#10;MzcgMjEwLjcyIDQ3MC44IDIxMC43MiA0NzAuMjYgMjEwLjc0IDQ2OS42NSAyMTAuNzcgNDY5LjAz&#10;IDIxMC43OSA0NjguNDIgMjEwLjgyIDQ2NyAyMTAuODcgNDY1LjU4IDIxMC45IDQ2NC4xNiAyMTAu&#10;OTMgNDYwLjIzIDIxMS4wMiA0NTYuMyAyMTEuMDQgNDUyLjM3IDIxMS4wNiA0NDMuODUgMjExLjA5&#10;IDQzNS4zMyAyMTEuMTMgNDI2LjggMjExLjA3IDQxMy4yMyAyMTAuOTggMzk5LjY5IDIxMC4zOSAz&#10;ODYuMTUgMjA5Ljc5IDM4MS4zNCAyMDkuNTggMzc2LjUzIDIwOS4zNyAzNzEuNzIgMjA5LjE4IDM2&#10;OS45OCAyMDkuMTEgMzY4LjI1IDIwOS4wNSAzNjYuNTEgMjA4Ljk5IDM0OC42NCAyMDguNCAzMzAu&#10;NzUgMjA4LjE3IDMxMi44OCAyMDcuNjEgMzAwLjA0IDIwNy4yMSAyODcuMjEgMjA2LjYgMjc0LjM4&#10;IDIwNi4xNSAyNzQuNzcgMjA2LjE2IDI3NS4xNiAyMDYuMTggMjc1LjU1IDIwNi4xOSAyNjYuMTMg&#10;MjA1Ljg3IDI1Ni43MSAyMDUuNTggMjQ3LjI4IDIwNS40IDIzOC4zMyAyMDUuMjMgMjI5LjM3IDIw&#10;NS4xNSAyMjAuNDEgMjA1LjA1IDIxMS40OSAyMDQuOTYgMjAyLjU3IDIwNC45IDE5My42NiAyMDUu&#10;MDYgMTg0LjQgMjA1LjIzIDE3NS4xNCAyMDUuNTUgMTY1Ljg4IDIwNS44OSAxNTYuNjkgMjA2LjIz&#10;IDE0Ny41MSAyMDYuNjMgMTM4LjMxIDIwNi44NyAxMjkuMzUgMjA3LjEgMTIwLjM5IDIwNy4yMiAx&#10;MTEuNDMgMjA3LjM0IDEwMi4wOSAyMDcuNDcgOTIuNzUgMjA3LjUzIDgzLjQgMjA3LjY2IDc4Ljgg&#10;MjA3LjcyIDc0LjIgMjA3Ljc5IDY5LjYgMjA3Ljg0IDY1LjA2IDIwNy44OSA2MC41MiAyMDcuODgg&#10;NTUuOTggMjA3LjkgNDguODkgMjA3LjkzIDQxLjggMjA4LjA1IDM0LjcyIDIwOC4wMSAzMS4yNiAy&#10;MDcuOTkgMjcuNzggMjA3Ljk3IDI0LjM1IDIwNy42MiAyMy4yMSAyMDcuNSAyMi4wNSAyMDcuMzMg&#10;MjAuOTggMjA3LjAxIDIwLjM3IDIwNi44MiAxOS44NSAyMDYuNTYgMTkuNDMgMjA2LjE5IDE4Ljcz&#10;IDIwNS41NyAxOC43NCAyMDQuNDQgMTkuNzggMjAzLjk5IDIwLjczIDIwMy41OCAyMS44NSAyMDMu&#10;NzEgMjIuOSAyMDMuNzEgMjQuNzEgMjAzLjcyIDI2LjUyIDIwMy42OSAyOC4zNCAyMDMuNjUgMzAu&#10;MzkgMjAzLjYgMzIuNDUgMjAzLjUgMzQuNSAyMDMuNDEgMzYuNjkgMjAzLjMyIDM4LjkgMjAzLjIz&#10;IDQxLjA5IDIwMy4xNSA0OS45OCAyMDIuODIgNTguODcgMjAyLjQ3IDY3Ljc2IDIwMi4yNCA4Ni4w&#10;NiAyMDEuNzUgMTA0LjM2IDIwMS40MSAxMjIuNjcgMjAxIDEyNy4yNiAyMDAuOSAxMzEuODUgMjAw&#10;Ljc5IDEzNi40NCAyMDAuNjYgMTQwLjkxIDIwMC41MyAxNDUuMzcgMjAwLjMzIDE0OS44NCAyMDAu&#10;MTUgMTU5LjIzIDE5OS43NiAxNjguNjMgMTk5LjMxIDE3OC4wMyAxOTkuMDIgMTg3LjAzIDE5OC43&#10;NCAxOTYuMDQgMTk4LjU0IDIwNS4wNSAxOTguNTcgMjEzLjk4IDE5OC42IDIyMi45MSAxOTguNzMg&#10;MjMxLjgzIDE5OC44NCAyNTAuODIgMTk5LjA2IDI2OS44IDE5OS42NiAyODguNzcgMjAwLjM3IDI5&#10;NC4wMSAyMDAuNTcgMjk5LjI0IDIwMC43NiAzMDQuNDggMjAwLjk0IDMwNC4xOSAyMDAuOTMgMzAz&#10;LjkgMjAwLjkyIDMwMy42MSAyMDAuOTEgMzA0LjQgMjAwLjk0IDMwNS4xOSAyMDAuOTYgMzA1Ljk4&#10;IDIwMC45OSAzMjMuOTcgMjAxLjU5IDM0MS45OCAyMDEuODEgMzU5Ljk4IDIwMi4zNCAzNjguMDkg&#10;MjAyLjU4IDM3Ni4yIDIwMi44OSAzODQuMzEgMjAzLjI1IDM5MS44MyAyMDMuNTggMzk5LjM1IDIw&#10;My45NCA0MDYuODcgMjA0LjIxIDQxNS4zMyAyMDQuNDkgNDIzLjggMjA0LjY3IDQzMi4yNyAyMDQu&#10;NzkgNDQwLjgxIDIwNC45MiA0NDkuMzYgMjA1LjA3IDQ1Ny45MSAyMDUgNDYwLjUzIDIwNC45OCA0&#10;NjMuMTYgMjA0Ljk2IDQ2NS43OCAyMDQuOTEgNDY2Ljc2IDIwNC44OSA0NjcuNzMgMjA0Ljg2IDQ2&#10;OC43IDIwNC44MyA0NjkuMTEgMjA0LjgyIDQ2OS41MSAyMDQuODEgNDY5LjkyIDIwNC43OSA0NzAu&#10;MTMgMjA0Ljc5IDQ3MC4zNCAyMDQuNzcgNDcwLjU1IDIwNC43NiA0NzEuMDEgMjA0LjczIDQ3MS40&#10;NiAyMDQuNzYgNDcxLjkyIDIwNC43NyA0NzIuMDMgMjA0Ljc3IDQ3Mi4xNCAyMDQuNzcgNDcyLjI1&#10;IDIwNC43OCA0NzIuOTcgMjA0Ljg4IDQ3My42IDIwNS4xIDQ3NC4xNiAyMDUuNDVaIiBmaWxsPSIj&#10;MDEwMTAxIi8+PHBhdGggZD0iTTQ2NC41NCAxODUuNzRDNDY1LjIyIDE4Ni40OSA0NjUuNzEgMTg3&#10;LjMzIDQ2Ni4xOSAxODguMTUgNDY2Ljk3IDE4OS40NiA0NjcuNjggMTkwLjggNDY4LjM1IDE5Mi4x&#10;NSA0NjkuNjUgMTk0Ljc3IDQ3MC45MyAxOTcuNCA0NzIuMTcgMjAwLjAzIDQ3Mi43NiAyMDEuMjgg&#10;NDczLjI4IDIwMi41MyA0NzMuNzcgMjAzLjggNDc0IDIwNC4zOSA0NzQuMjUgMjA0Ljk3IDQ3NC40&#10;OSAyMDUuNTYgNDc0LjY4IDIwNi4wMyA0NzQuODYgMjA2LjUxIDQ3NC45OSAyMDYuOTkgNDc1LjEx&#10;IDIwNy40OCA0NzUuMDggMjA3Ljk4IDQ3NC45NyAyMDguNDcgNDc0Ljc1IDIwOS4zNiA0NzMuODQg&#10;MjEwLjEyIDQ3Mi42NSAyMTAuNDIgNDcyLjA0IDIxMC41OCA0NzEuNDEgMjEwLjYxIDQ3MC43NyAy&#10;MTAuNTMgNDcwLjQ3IDIxMC40NiA0NzAuMTYgMjEwLjM5IDQ2OS44NSAyMTAuMzIgNDY5LjI4IDIx&#10;MC4xMiA0NjguODEgMjA5Ljg0IDQ2OC40NSAyMDkuNDcgNDY3LjYgMjA4Ljc3IDQ2Ny4yNSAyMDcu&#10;ODQgNDY2Ljg2IDIwNi45OCA0NjYuNTEgMjA2LjIyIDQ2Ni4xMSAyMDUuNDcgNDY1LjcxIDIwNC43&#10;MiA0NjQuOTYgMjAzLjMzIDQ2NC4zIDIwMS45MSA0NjMuNjEgMjAwLjUxIDQ2Mi45NiAxOTkuMTkg&#10;NDYyLjMyIDE5Ny44OCA0NjEuNzUgMTk2LjU0IDQ2MS4xNiAxOTUuMTUgNDYwLjYzIDE5My43NSA0&#10;NjAuMTEgMTkyLjM1IDQ1OS43IDE5MS4yNyA0NTkuMzMgMTkwLjE5IDQ1OC45NSAxODkuMTEgNDU4&#10;LjQxIDE4Ny41NiA0NTcuMzcgMTg0Ljk5IDQ2MC4yMyAxODQuMjEgNDYwLjYyIDE4NC4xMSA0NjAu&#10;OTkgMTg0LjA3IDQ2MS4zNSAxODQuMDggNDYyLjcxIDE4NC4xMyA0NjMuODQgMTg0Ljk1IDQ2NC41&#10;NyAxODUuNzZaIiBmaWxsPSIjMDEwMTAxIi8+PHBhdGggZD0iTTEyLjUyIDE4My4wMUMxMy41MyAx&#10;ODMuMSAxNC4yOCAxODMuNjkgMTQuODggMTg0LjIxIDE1LjM1IDE4NC42MyAxNS42NyAxODUuMTIg&#10;MTUuOTMgMTg1LjYyIDE2LjMgMTg2LjMyIDE2LjU3IDE4Ny4wNyAxNi44MSAxODcuOCAxNy4yOCAx&#10;ODkuMiAxNy44NiAxOTAuNTggMTguNTYgMTkxLjkzIDE5LjU4IDE5My45MSAyMC42NSAxOTUuODgg&#10;MjEuNjQgMTk3Ljg3IDIyLjM3IDE5OS4zMyAyMy4wNyAyMDAuODEgMjMuNzcgMjAyLjI4IDIzLjky&#10;IDIwMi42IDI0LjA3IDIwMi45MyAyNC4yMyAyMDMuMjYgMjQuMyAyMDMuNDEgMjQuMzcgMjAzLjU1&#10;IDI0LjQ1IDIwMy43IDI0LjYxIDIwNC4wNCAyNC44NiAyMDQuNDUgMjQuODQgMjA0Ljc5IDI0Ljg5&#10;IDIwNS4yMSAyNC43OCAyMDUuNiAyNC41NCAyMDUuOTggMjQuMjkgMjA2LjM0IDIzLjk0IDIwNi42&#10;MyAyMy40OCAyMDYuODYgMjMuMDIgMjA3LjA4IDIyLjUxIDIwNy4yMSAyMS45NSAyMDcuMjUgMjEu&#10;MTcgMjA3LjMgMjAuMTYgMjA3LjEzIDE5LjYgMjA2LjcxIDE5LjA4IDIwNi4zMiAxOC45NCAyMDYu&#10;MiAxOC42MyAyMDUuNzIgMTguNTkgMjA1LjY2IDE4LjU2IDIwNS42MSAxOC41MyAyMDUuNTYgMTgu&#10;NDkgMjA1LjUgMTguNDUgMjA1LjQzIDE4LjQxIDIwNS4zNiAxOC4zMyAyMDUuMjMgMTguMjYgMjA1&#10;LjEgMTguMTkgMjA0Ljk2IDE4LjAzIDIwNC42NyAxNy44NyAyMDQuMzkgMTcuNzIgMjA0LjEgMTcu&#10;MzYgMjAzLjQzIDE3LjA1IDIwMi43NCAxNi43MiAyMDIuMDUgMTUuOTIgMjAwLjM2IDE1LjEzIDE5&#10;OC42NyAxNC4yNCAxOTcgMTMuNjcgMTk1Ljk1IDEzLjA2IDE5NC45MSAxMi40OSAxOTMuODcgMTIu&#10;MDYgMTkzLjA3IDExLjYzIDE5Mi4yOCAxMS4xNyAxOTEuNDggMTAuODMgMTkwLjg5IDEwLjUxIDE5&#10;MC4zIDEwLjE4IDE4OS43MSA5LjcgMTg4Ljg1IDkuMzYgMTg3Ljk0IDkuMTIgMTg3LjAzIDguNjkg&#10;MTg1LjM5IDkuMjMgMTgyLjg3IDEyLjI3IDE4Mi45OSAxMi4zNSAxODIuOTkgMTIuNDMgMTgyLjk5&#10;IDEyLjUyIDE4My4wMVoiIGZpbGw9IiMwMTAxMDEiLz48cGF0aCBkPSJNNjE3LjU4IDkyLjMzQzYx&#10;OC4wNyA5Mi4zNSA2MTguNTUgOTIuNTggNjE4Ljk0IDkyLjc4IDYxOS4zMSA5Mi45NiA2MTkuNiA5&#10;My4yMSA2MTkuOSA5My40NSA2MjAuMzYgOTMuODEgNjIwLjcyIDk0LjIzIDYyMS4wNyA5NC42NSA2&#10;MjEuOTQgOTUuNzMgNjIyLjY0IDk2Ljg3IDYyMy4zNCA5OCA2MjQuNDggOTkuODUgNjI1LjUyIDEw&#10;MS43MyA2MjYuNTggMTAzLjYgNjI3LjEgMTA0LjUzIDYyNy42MSAxMDUuNDYgNjI4LjExIDEwNi40&#10;IDYyOC43MyAxMDcuNTQgNjI5LjM2IDEwOC43IDYyOS43OSAxMDkuODkgNjMwIDExMC41IDYzMC4y&#10;MiAxMTEuMTIgNjMwLjMgMTExLjc1IDYzMC4zNyAxMTIuMyA2MzAuMzMgMTEyLjg2IDYzMC4yMiAx&#10;MTMuNDEgNjI5Ljk5IDExNC40NiA2MjkuMzIgMTE1LjM5IDYyOC40MiAxMTYuMjIgNjI3LjYgMTE2&#10;Ljk4IDYyNi41NiAxMTcuNjUgNjI1LjU1IDExOC4yOCA2MjQuMzggMTE5LjAxIDYyMy4xNSAxMTku&#10;NjkgNjIxLjkyIDEyMC4zOCA2MjAuNjkgMTIxLjA2IDYxOS40NyAxMjEuNzQgNjE4LjIyIDEyMi40&#10;IDYxNi45IDEyMy4wOSA2MTUuNTYgMTIzLjc2IDYxNC4yMyAxMjQuNDQgNjExLjU4IDEyNS43OSA2&#10;MDguOTEgMTI3LjEyIDYwNi4yMyAxMjguNDUgNjAzLjQ0IDEyOS44MiA2MDAuNzMgMTMxLjI2IDU5&#10;OC4xIDEzMi43OCA1OTYuNTkgMTMzLjY1IDU5NS4wNyAxMzQuNTIgNTkzLjUgMTM1LjMzIDU5MS43&#10;OCAxMzYuMjMgNTkwLjA3IDEzNy4xMiA1ODguNDIgMTM4LjA4IDU4Ny43IDEzOC41IDU4Ni41NCAx&#10;MzguMyA1ODYuMDMgMTM3Ljc5IDU4NS43NyAxMzcuNTIgNTg1LjY2IDEzNy4xOSA1ODUuNzQgMTM2&#10;Ljg4IDU4NS44MiAxMzYuNTQgNTg2LjA4IDEzNi4zMSA1ODYuNDQgMTM2LjA5IDU4Ny41NCAxMzUu&#10;NDIgNTg4LjYzIDEzNC43NSA1ODkuNyAxMzQuMDUgNTg5LjY3IDEzNC4wNyA1ODkuNjMgMTM0LjA5&#10;IDU4OS42IDEzNC4xMiA1OTIuMjYgMTMyLjM5IDU5NS4wNCAxMzAuNzUgNTk3Ljc4IDEyOS4wOSA2&#10;MDAuMzEgMTI3LjU2IDYwMi45NiAxMjYuMTQgNjA1LjYgMTI0LjcgNjA2Ljg5IDEyNCA2MDguMjEg&#10;MTIzLjMxIDYwOS41IDEyMi42MSA2MTAuODQgMTIxLjg4IDYxMi4xNiAxMjEuMTIgNjEzLjQ3IDEy&#10;MC4zNiA2MTQuNzIgMTE5LjY0IDYxNS45OCAxMTguOTIgNjE3LjI3IDExOC4yMyA2MTguNTYgMTE3&#10;LjU0IDYxOS44NyAxMTYuODkgNjIxLjE4IDExNi4yMiA2MjEuODQgMTE1Ljg4IDYyMi40OCAxMTUu&#10;NTQgNjIzLjA5IDExNS4xNiA2MjMuNDcgMTE0LjkgNjIzLjgyIDExNC42MiA2MjQuMTMgMTE0LjMx&#10;IDYyNC4zNCAxMTQuMDUgNjI0LjUyIDExMy43OSA2MjQuNjcgMTEzLjUxIDYyNC43NCAxMTMuMzEg&#10;NjI0LjggMTEzLjEgNjI0LjgzIDExMi45IDYyNC44MiAxMTIuNjggNjI0Ljc4IDExMi40NSA2MjQu&#10;NzIgMTEyLjIzIDYyNC41NiAxMTEuODMgNjI0LjM2IDExMS40NSA2MjQuMTYgMTExLjA2IDYyMy44&#10;NyAxMTAuNTEgNjIzLjYgMTA5Ljk1IDYyMy4zMiAxMDkuMzkgNjIyLjc5IDEwOC4zMyA2MjIuMjgg&#10;MTA3LjI3IDYyMS43MyAxMDYuMjIgNjIwLjcyIDEwNC4yOSA2MTkuNyAxMDIuMzYgNjE4LjU1IDEw&#10;MC40NyA2MTguMjUgOTkuOTcgNjE3Ljk0IDk5LjQ4IDYxNy42MiA5OC45OSA2MTcuMjMgOTguMzkg&#10;NjE2LjgxIDk3Ljc5IDYxNi40MiA5Ny4xOSA2MTYuMDUgOTYuNjIgNjE1LjY2IDk2LjA0IDYxNS40&#10;MSA5NS40NCA2MTUuMTIgOTQuNzMgNjE0Ljg3IDkzLjg3IDYxNS4zNCA5My4xNyA2MTUuNDkgOTIu&#10;OTQgNjE1LjcyIDkyLjc1IDYxNi4wMiA5Mi41OSA2MTYuMTggOTIuNTMgNjE2LjMzIDkyLjQ4IDYx&#10;Ni40OSA5Mi40MiA2MTYuNzYgOTIuMzUgNjE3LjA0IDkyLjMyIDYxNy4zMyA5Mi4zMyA2MTcuNDEg&#10;OTIuMzMgNjE3LjQ5IDkyLjMzIDYxNy41NyA5Mi4zNVoiIGZpbGw9IiMwMTAxMDEiLz48cGF0aCBk&#10;PSJNMjYuNjUgMTg5LjI1QzI2LjcxIDE4OS4zNCAyNi43MyAxODkuNDUgMjYuNzUgMTg5LjU0IDI2&#10;Ljc5IDE4OS43MiAyNi44MyAxODkuOSAyNi44OCAxOTAuMDcgMjcuMDEgMTkwLjUyIDI3LjE0IDE5&#10;MC45OCAyNy4yOCAxOTEuNDQgMjcuNTggMTkyLjQyIDI3LjkxIDE5My40IDI4LjI1IDE5NC4zOCAy&#10;OC4yMyAxOTQuMzMgMjguMjEgMTk0LjI3IDI4LjE5IDE5NC4yMiAyOC43IDE5NS42MiAyOS4yNSAx&#10;OTcuMDEgMjkuODMgMTk4LjQgMzAuMzcgMTk5LjczIDMwLjk0IDIwMS4wNiAzMS40MiAyMDIuNCAz&#10;MS43NiAyMDMuMzMgMzIuMDIgMjA0LjI2IDMyLjI5IDIwNS4xOSAzMi4zOCAyMDUuNDkgMzEuOTUg&#10;MjA1Ljc5IDMxLjQ3IDIwNS44OSAzMS4xNiAyMDUuOTUgMzAuODIgMjA1Ljk0IDMwLjUzIDIwNS44&#10;NSAzMC4yNyAyMDUuNzcgMzAgMjA1LjYyIDI5LjkzIDIwNS40NiAyOS42MyAyMDQuNzUgMjkuMjkg&#10;MjA0LjA1IDI5LjAxIDIwMy4zNCAyOC43NCAyMDIuNjYgMjguNDggMjAxLjk3IDI4LjIyIDIwMS4y&#10;OCAyNy42OCAxOTkuODQgMjcuMTggMTk4LjQgMjYuNzMgMTk2Ljk1IDI2LjExIDE5NC45NiAyNS42&#10;IDE5Mi45NiAyNC45MSAxOTAuOTcgMjQuOTEgMTkwLjk3IDI0LjkxIDE5MC45OCAyNC45MSAxOTAu&#10;OTkgMjQuNzkgMTkwLjY3IDI0LjY4IDE5MC4zNCAyNC40OSAxOTAuMDMgMjQuNDQgMTg5Ljk0IDI0&#10;LjM2IDE4OS44NSAyNC4yOSAxODkuNzUgMjQuMiAxODkuNjIgMjQuMTUgMTg5LjQ1IDI0LjIyIDE4&#10;OS4zMSAyNC4zNyAxODguOTkgMjQuNzUgMTg4Ljc4IDI1LjM0IDE4OC43NCAyNS40MSAxODguNzQg&#10;MjUuNDcgMTg4Ljc0IDI1LjUzIDE4OC43NCAyNi4wNSAxODguNzYgMjYuNDUgMTg4Ljk5IDI2LjY0&#10;IDE4OS4yNloiIGZpbGw9IiMwMTAxMDEiLz48cGF0aCBkPSJNMzguOTIgMTk2LjI5QzM4LjkyIDE5&#10;Ni4yOSAzOC45MiAxOTYuMyAzOC45MiAxOTYuMzEgMzguOSAxOTYuMjYgMzguODggMTk2LjIxIDM4&#10;Ljg2IDE5Ni4xNUwzOC45MSAxOTYuMjlaTTM4LjMgMTg4LjgzQzM4LjY2IDE4OC45MSAzOC45NCAx&#10;ODkuMTEgMzkuMTUgMTg5LjI5IDM5LjM2IDE4OS40OCAzOS41MSAxODkuNyAzOS42NiAxODkuOSAz&#10;OS45IDE5MC4yMyA0MC4xMiAxOTAuNTYgNDAuMzIgMTkwLjg5IDQwLjc0IDE5MS42IDQxLjEzIDE5&#10;Mi4zMSA0MS40OSAxOTMuMDIgNDIuMTkgMTk0LjQxIDQyLjc4IDE5NS44MSA0My4zMyAxOTcuMjIg&#10;NDMuNTggMTk3Ljg1IDQzLjgyIDE5OC40OSA0NC4wNSAxOTkuMTMgNDQuMDIgMTk5LjAzIDQzLjk4&#10;IDE5OC45NCA0My45NSAxOTguODQgNDQuMDIgMTk5LjA1IDQ0LjEgMTk5LjI2IDQ0LjE3IDE5OS40&#10;NyA0NC4xNCAxOTkuMzcgNDQuMSAxOTkuMjggNDQuMDcgMTk5LjE4IDQ0LjQ2IDIwMC4yNSA0NC44&#10;MiAyMDEuMzMgNDUuMTIgMjAyLjQyIDQ1LjE0IDIwMi42MSA0NS4wOCAyMDIuNzkgNDQuOTMgMjAy&#10;Ljk2IDQ0LjcyIDIwMy4yIDQ0LjM0IDIwMy4zOSA0My44OCAyMDMuNDcgNDIuOTggMjAzLjY0IDQx&#10;LjgzIDIwMy4zNyA0MS41NSAyMDIuODIgNDAuNSAyMDAuNzEgMzkuNzQgMTk4LjU2IDM4Ljk3IDE5&#10;Ni40MSAzOC45OCAxOTYuNDQgMzguOTkgMTk2LjQ3IDM5IDE5Ni41MSAzOC45NyAxOTYuNDQgMzgu&#10;OTUgMTk2LjM3IDM4LjkzIDE5Ni4zTDM4LjkzIDE5Ni4zM0MzOC45MyAxOTYuMzMgMzguOTMgMTk2&#10;LjMgMzguOTMgMTk2LjI4IDM4LjkgMTk2LjIgMzguODggMTk2LjEyIDM4Ljg1IDE5Ni4wNCAzOC44&#10;NiAxOTYuMDcgMzguODcgMTk2LjExIDM4Ljg4IDE5Ni4xNCAzOC44MiAxOTUuOTcgMzguNzYgMTk1&#10;LjggMzguNyAxOTUuNjQgMzguNzIgMTk1LjY5IDM4Ljc0IDE5NS43NCAzOC43NiAxOTUuOCAzOC4z&#10;NiAxOTQuNzIgMzcuOTYgMTkzLjY0IDM3LjUzIDE5Mi41NiAzNy4zMiAxOTIuMDQgMzcuMTIgMTkx&#10;LjUzIDM2LjkyIDE5MS4wMSAzNi43OSAxOTAuNjkgMzYuNjggMTkwLjM3IDM2LjU2IDE5MC4wNSAz&#10;Ni40NSAxODkuNzQgMzYuNDEgMTg5LjQ0IDM2LjY0IDE4OS4xMyAzNi43NiAxODguOTcgMzcuMDYg&#10;MTg4Ljg0IDM3LjM1IDE4OC43OCAzNy41IDE4OC43NSAzNy42NSAxODguNzQgMzcuNzkgMTg4Ljc1&#10;IDM3Ljk2IDE4OC43NSAzOC4xMyAxODguNzggMzguMzEgMTg4LjgyWiIgZmlsbD0iIzAxMDEwMSIv&#10;PjxwYXRoIGQ9Ik01Ni41NSAxODguNTFDNTYuODcgMTg4LjY0IDU3LjAyIDE4OC45IDU3LjE0IDE4&#10;OS4wOSA1Ny4yNiAxODkuMjkgNTcuMzYgMTg5LjQ4IDU3LjQ2IDE4OS42OCA1Ny42NSAxOTAuMDkg&#10;NTcuODQgMTkwLjUgNTguMDIgMTkwLjkxIDU4LjQgMTkxLjc2IDU4Ljc2IDE5Mi42MiA1OS4xIDE5&#10;My40OCA1OS43OCAxOTUuMjIgNjAuNDEgMTk2Ljk2IDYxLjA1IDE5OC43IDYxLjA4IDE5OC43OSA2&#10;MS4xMSAxOTguODggNjEuMTUgMTk4Ljk3IDYxLjEzIDE5OC45MiA2MS4xMiAxOTguODcgNjEuMSAx&#10;OTguODIgNjEuMzUgMTk5LjUyIDYxLjYgMjAwLjIyIDYxLjgxIDIwMC45MiA2MiAyMDEuNTUgNjEu&#10;ODcgMjAyLjE4IDYxLjkxIDIwMi44MiA2MS45MyAyMDMuMjIgNjEuNTQgMjAzLjU5IDYwLjg2IDIw&#10;My43MiA2MC4wMyAyMDMuODggNTkuMTkgMjAzLjYyIDU4Ljg4IDIwMy4xNyA1OC41OSAyMDIuNzUg&#10;NTguMjUgMjAyLjM1IDU3Ljk0IDIwMS45MyA1Ny44IDIwMS43NCA1Ny43MyAyMDEuNTMgNTcuNjUg&#10;MjAxLjMyIDU3LjUzIDIwMS4wMyA1Ny40MyAyMDAuNzMgNTcuMzIgMjAwLjQzIDU3LjAxIDE5OS41&#10;NSA1Ni43NCAxOTguNjggNTYuNDggMTk3LjggNTUuOTYgMTk2LjA2IDU1LjUgMTk0LjMyIDU1LjA1&#10;IDE5Mi41OCA1NC44OCAxOTEuOTMgNTQuNzEgMTkxLjI4IDU0LjU2IDE5MC42MiA1NC40OSAxOTAu&#10;MzEgNTQuNDIgMTg5Ljk5IDU0LjM5IDE4OS42OCA1NC4zNSAxODkuMzEgNTQuMjkgMTg4Ljg3IDU0&#10;Ljc3IDE4OC41NyA1NC45OSAxODguNDMgNTUuMzEgMTg4LjM0IDU1LjY0IDE4OC4zMyA1NS42OSAx&#10;ODguMzMgNTUuNzUgMTg4LjMzIDU1Ljc5IDE4OC4zMyA1Ni4wOSAxODguMzMgNTYuMzIgMTg4LjQx&#10;IDU2LjU4IDE4OC41MVoiIGZpbGw9IiMwMTAxMDEiLz48cGF0aCBkPSJNNzEuNTcgMTg3LjU3Qzcy&#10;LjI4IDE4Ny43OCA3Mi40NyAxODguMjkgNzIuNjcgMTg4LjY5IDcyLjg1IDE4OS4wNSA3Mi45OSAx&#10;ODkuNDEgNzMuMTMgMTg5Ljc4IDczLjQ2IDE5MC42MiA3My43NyAxOTEuNDYgNzQuMDcgMTkyLjMx&#10;IDc0LjY5IDE5NC4wNCA3NS4yOCAxOTUuNzggNzUuOCAxOTcuNTIgNzYuMTQgMTk4LjY0IDc2LjQy&#10;IDE5OS43NyA3Ni42OCAyMDAuOSA3Ni44MSAyMDEuNDcgNzYuOTQgMjAyLjA0IDc3LjA0IDIwMi42&#10;MSA3Ny4wOSAyMDIuODggNzcuMTMgMjAzLjE1IDc3LjE1IDIwMy40MiA3Ny4xOSAyMDMuODEgNzcu&#10;MSAyMDQuMiA3Ny4wNSAyMDQuNTkgNzYuOTggMjA0Ljc4IDc2LjgzIDIwNC45NSA3Ni42IDIwNS4x&#10;IDc2LjI3IDIwNS4zMSA3NS44IDIwNS40NCA3NS4zIDIwNS40NiA3NC40MyAyMDUuNSA3My42NCAy&#10;MDUuMTkgNzMuMzUgMjA0LjczIDczLjIyIDIwNC41MyA3My4wOSAyMDQuMzIgNzIuOTcgMjA0LjEy&#10;IDcyLjgxIDIwMy44NCA3Mi43NCAyMDMuNTQgNzIuNjQgMjAzLjI0IDcyLjUxIDIwMi44NiA3Mi40&#10;IDIwMi40NyA3Mi4zIDIwMi4wOCA3Mi4wOCAyMDEuMjQgNzEuODcgMjAwLjM5IDcxLjY4IDE5OS41&#10;NSA3MS4zIDE5Ny45IDcwLjk3IDE5Ni4yNCA3MC42NyAxOTQuNTkgNzAuNDYgMTkzLjQgNzAuMjMg&#10;MTkyLjIxIDcwLjAzIDE5MS4wMiA2OS45NCAxOTAuNDggNjkuODQgMTg5Ljk0IDY5LjggMTg5LjQg&#10;NjkuNzggMTg5LjEzIDY5Ljc3IDE4OC44NiA2OS43OCAxODguNTkgNjkuOCAxODguMjMgNjkuODgg&#10;MTg3LjgzIDcwLjQ2IDE4Ny42MSA3MC42NiAxODcuNTMgNzAuODkgMTg3LjUgNzEuMTIgMTg3LjUx&#10;IDcxLjI3IDE4Ny41MSA3MS40MSAxODcuNTQgNzEuNTUgMTg3LjU3WiIgZmlsbD0iIzAxMDEwMSIv&#10;PjxwYXRoIGQ9Ik04OS43OCAxODguMzhDODkuODMgMTg4LjQ0IDg5Ljg4IDE4OC41IDg5LjkyIDE4&#10;OC41NSA5MC4wNyAxODguNzUgOTAuMTggMTg4Ljk1IDkwLjI5IDE4OS4xNiA5MC41NiAxODkuNjgg&#10;OTAuNzEgMTkwLjIxIDkwLjg4IDE5MC43NCA5MS4xOCAxOTEuNjcgOTEuNDIgMTkyLjYxIDkxLjY3&#10;IDE5My41NCA5Mi4xNyAxOTUuNCA5Mi42MiAxOTcuMjggOTMuMDMgMTk5LjE1IDkzLjE4IDE5OS44&#10;MSA5My4zMSAyMDAuNDggOTMuNDUgMjAxLjE0IDkzLjU4IDIwMS44MyA5My43NCAyMDIuNTMgOTMu&#10;NzYgMjAzLjIzIDkzLjc4IDIwMy43NyA5My4yNiAyMDQuMjcgOTIuMzIgMjA0LjQ2IDkxLjc4IDIw&#10;NC41NiA5MS4xOCAyMDQuNTQgOTAuNjcgMjA0LjM5IDkwLjIyIDIwNC4yNiA4OS43NCAyMDQgODku&#10;NjIgMjAzLjcgODkuMiAyMDIuNzEgODkgMjAxLjY5IDg4Ljc4IDIwMC42NyA4OC41OCAxOTkuNzMg&#10;ODguNDEgMTk4Ljc4IDg4LjI0IDE5Ny44NCA4Ny45MSAxOTUuOTYgODcuNjYgMTk0LjA5IDg3LjQ0&#10;IDE5Mi4yMSA4Ny4zNiAxOTEuNTIgODcuMjggMTkwLjg0IDg3LjI0IDE5MC4xNSA4Ny4yMiAxODku&#10;ODEgODcuMjIgMTg5LjQ2IDg3LjI1IDE4OS4xMiA4Ny4yOCAxODguODYgODcuMzIgMTg4LjY0IDg3&#10;LjQ4IDE4OC4zOSA4Ny40MyAxODguMDQgODcuOTYgMTg3LjczIDg4LjU1IDE4Ny43MSA4OC42IDE4&#10;Ny43MSA4OC42NCAxODcuNzEgODguNjkgMTg3LjcxIDg5LjMgMTg3LjczIDg5LjgyIDE4OC4wMyA4&#10;OS43OSAxODguMzhaIiBmaWxsPSIjMDEwMTAxIi8+PHBhdGggZD0iTTEwMy44NyAxODcuMzVDMTA0&#10;LjQzIDE4Ny41MSAxMDQuNjEgMTg3Ljg5IDEwNC43NSAxODguMjEgMTA0Ljg4IDE4OC41MSAxMDUg&#10;MTg4LjggMTA1LjEzIDE4OS4xIDEwNS4zOSAxODkuNzMgMTA1LjYzIDE5MC4zNiAxMDUuODggMTkw&#10;Ljk5IDEwNi4zOCAxOTIuMjUgMTA2Ljg3IDE5My41MiAxMDcuMzUgMTk0Ljc5IDEwNy40OSAxOTUu&#10;MTcgMTA3LjYzIDE5NS41NiAxMDcuNzcgMTk1Ljk0IDEwNy44MiAxOTYuMDYgMTA3Ljg1IDE5Ni4x&#10;OCAxMDcuOSAxOTYuMyAxMDcuODcgMTk2LjIyIDEwNy44NSAxOTYuMTUgMTA3LjgyIDE5Ni4wNyAx&#10;MDcuODIgMTk2LjA3IDEwNy44MiAxOTYuMDcgMTA3LjgyIDE5Ni4wNyAxMDguNjQgMTk4LjM1IDEw&#10;OS4zOSAyMDAuNjUgMTA5LjY4IDIwMi45OCAxMDkuNzMgMjAzLjM2IDEwOS4zMSAyMDMuNzEgMTA4&#10;LjY4IDIwMy44MyAxMDcuOTMgMjAzLjk4IDEwNy4wNSAyMDMuNzQgMTA2LjggMjAzLjMxIDEwNi4w&#10;NiAyMDIuMDIgMTA1LjYgMjAwLjY5IDEwNS4xNSAxOTkuMzcgMTA0LjgyIDE5OC40MSAxMDQuNTIg&#10;MTk3LjQ0IDEwNC4yNCAxOTYuNDcgMTA0LjIxIDE5Ni40MSAxMDQuMTkgMTk2LjM0IDEwNC4xOCAx&#10;OTYuMjggMTA0LjExIDE5Ni4wMyAxMDQuMDMgMTk1Ljc4IDEwMy45NiAxOTUuNTIgMTAzLjYgMTk0&#10;LjIzIDEwMy4yNiAxOTIuOTUgMTAyLjkzIDE5MS42NiAxMDIuNzcgMTkxLjAyIDEwMi42IDE5MC4z&#10;OCAxMDIuNDQgMTg5Ljc0IDEwMi4zNyAxODkuNDQgMTAyLjMxIDE4OS4xMyAxMDIuMjYgMTg4Ljgy&#10;IDEwMi4yNCAxODguNjggMTAyLjIyIDE4OC41NCAxMDIuMjIgMTg4LjQgMTAyLjIyIDE4OC4yMiAx&#10;MDIuMjEgMTg4LjA0IDEwMi4yOSAxODcuODcgMTAyLjM5IDE4Ny42NyAxMDIuNTEgMTg3LjUxIDEw&#10;Mi44MyAxODcuMzggMTAzLjAxIDE4Ny4zMSAxMDMuMjQgMTg3LjI4IDEwMy40NiAxODcuMjggMTAz&#10;LjYxIDE4Ny4yOCAxMDMuNzUgMTg3LjMxIDEwMy44OCAxODcuMzRaIiBmaWxsPSIjMDEwMTAxIi8+&#10;PHBhdGggZD0iTTEyMi4yMiAxODcuMzVDMTIyLjk5IDE4Ny40OCAxMjMuMTUgMTg3Ljk4IDEyMy4y&#10;NyAxODguMzcgMTIzLjM3IDE4OC43MSAxMjMuNDQgMTg5LjA1IDEyMy40OSAxODkuNCAxMjMuNiAx&#10;OTAuMTMgMTIzLjY4IDE5MC44NiAxMjMuNzYgMTkxLjU5IDEyMy45MyAxOTMuMDYgMTI0LjEyIDE5&#10;NC41NCAxMjQuMzcgMTk2LjAxIDEyNC41MyAxOTYuOTUgMTI0LjcxIDE5Ny44OSAxMjQuODkgMTk4&#10;LjgzIDEyNS4wNyAxOTkuODEgMTI1LjI1IDIwMC43OCAxMjUuMjggMjAxLjc2IDEyNS4zIDIwMi4y&#10;NSAxMjQuODQgMjAyLjY5IDEyNCAyMDIuODUgMTIzLjUyIDIwMi45NCAxMjIuOTkgMjAyLjkyIDEy&#10;Mi41MyAyMDIuNzkgMTIyLjEzIDIwMi42OCAxMjEuNjkgMjAyLjQ0IDEyMS41OSAyMDIuMTggMTIx&#10;LjI2IDIwMS4zNSAxMjEuMDYgMjAwLjUxIDEyMC45IDE5OS42NyAxMjAuNzYgMTk4Ljk1IDEyMC42&#10;NCAxOTguMjMgMTIwLjU2IDE5Ny41IDEyMC4zOSAxOTYuMDMgMTIwLjI5IDE5NC41NiAxMjAuMzIg&#10;MTkzLjA5IDEyMC4zNCAxOTIuMDMgMTIwLjQxIDE5MC45NyAxMjAuNTUgMTg5LjkyIDEyMC42MSAx&#10;ODkuNDcgMTIwLjcgMTg5LjAyIDEyMC44MSAxODguNTcgMTIwLjg3IDE4OC4zMiAxMjAuOTYgMTg4&#10;LjA3IDEyMS4xMiAxODcuODMgMTIxLjE5IDE4Ny43MiAxMjEuMjggMTg3LjYxIDEyMS40MiAxODcu&#10;NTMgMTIxLjU5IDE4Ny40MyAxMjEuODQgMTg3LjMzIDEyMi4xIDE4Ny4zNCAxMjIuMTQgMTg3LjM0&#10;IDEyMi4xOCAxODcuMzQgMTIyLjIyIDE4Ny4zNVoiIGZpbGw9IiMwMTAxMDEiLz48cGF0aCBkPSJN&#10;MTM0LjMzIDE4Ny42OEMxMzQuOTUgMTg3Ljc2IDEzNS4yMiAxODguMTYgMTM1LjM3IDE4OC40NyAx&#10;MzUuNTkgMTg4LjkgMTM1LjcgMTg5LjM1IDEzNS44MiAxODkuNzkgMTM2LjA0IDE5MC41NSAxMzYu&#10;MTkgMTkxLjMxIDEzNi4zMiAxOTIuMDcgMTM2LjYgMTkzLjY2IDEzNi43OSAxOTUuMjUgMTM3IDE5&#10;Ni44NCAxMzcuMiAxOTguMzUgMTM3LjQxIDE5OS44NyAxMzcuNTkgMjAxLjM5IDEzNy42OCAyMDIu&#10;MTYgMTM3Ljc0IDIwMi45MiAxMzcuODIgMjAzLjY5IDEzNy45MSAyMDQuNTIgMTM4LjAyIDIwNS4z&#10;NSAxMzguMTYgMjA2LjE4IDEzOC4yNiAyMDYuNzcgMTM3LjQgMjA3LjMgMTM2LjM4IDIwNy4zNCAx&#10;MzUuMzIgMjA3LjM4IDEzNC40NCAyMDYuOTIgMTM0LjM0IDIwNi4zMyAxMzQuMDYgMjA0LjcyIDEz&#10;My43MyAyMDMuMTEgMTMzLjUzIDIwMS41IDEzMy4zMyAxOTkuOTMgMTMzLjMxIDE5OC4zNSAxMzMu&#10;MjcgMTk2Ljc4IDEzMy4yMyAxOTUuMjEgMTMzLjIgMTkzLjY0IDEzMy4xMyAxOTIuMDggMTMzLjA5&#10;IDE5MS4zMSAxMzMuMDUgMTkwLjU0IDEzMyAxODkuNzcgMTMyLjk4IDE4OS4zNCAxMzIuOTUgMTg4&#10;LjkxIDEzMy4wMiAxODguNDkgMTMzLjA3IDE4OC4xNyAxMzMuNDkgMTg3LjY2IDEzNC4xNyAxODcu&#10;NjggMTM0LjIyIDE4Ny42OCAxMzQuMjYgMTg3LjY4IDEzNC4zMSAxODcuNjlaIiBmaWxsPSIjMDEw&#10;MTAxIi8+PHBhdGggZD0iTTE1MC4zNSAxODcuNDhDMTUwLjY3IDE4Ny42MyAxNTAuODQgMTg3Ljg2&#10;IDE1MC45NiAxODguMDggMTUxLjEgMTg4LjMyIDE1MS4xNyAxODguNTcgMTUxLjI0IDE4OC44MiAx&#10;NTEuMzUgMTg5LjIyIDE1MS40MiAxODkuNjEgMTUxLjQ5IDE5MC4wMiAxNTEuNjIgMTkwLjgxIDE1&#10;MS43IDE5MS42IDE1MS43OCAxOTIuMzggMTUxLjk0IDE5NC4wMSAxNTIuMDIgMTk1LjY1IDE1Mi4w&#10;OSAxOTcuMjkgMTUyLjE0IDE5OC4zNSAxNTIuMTkgMTk5LjQxIDE1Mi4xOCAyMDAuNDcgMTUyLjE3&#10;IDIwMS41OCAxNTIuMTMgMjAyLjY4IDE1Mi4yIDIwMy43OSAxNTIuMjQgMjA0LjM5IDE1MS40OCAy&#10;MDQuOTMgMTUwLjM5IDIwNC45NyAxNDkuMzUgMjA1LjAxIDE0OC4zNyAyMDQuNTUgMTQ4LjMxIDIw&#10;My45NSAxNDguMTYgMjAyLjMgMTQ3LjkgMjAwLjY2IDE0Ny44OCAxOTkuMDEgMTQ3Ljg1IDE5Ny4z&#10;NyAxNDcuOSAxOTUuNzQgMTQ3LjkyIDE5NC4xMSAxNDcuOTQgMTkzLjA1IDE0Ny45NSAxOTEuOTgg&#10;MTQ3Ljk3IDE5MC45MiAxNDcuOTggMTkwLjQyIDE0Ny45OSAxODkuOTIgMTQ4LjAxIDE4OS40MiAx&#10;NDguMDMgMTg5LjA4IDE0OC4wMyAxODguNzUgMTQ4LjEgMTg4LjQxIDE0OC4xMiAxODguMyAxNDgu&#10;MTUgMTg4LjE5IDE0OC4yIDE4OC4wOCAxNDguMjggMTg3LjkgMTQ4LjQgMTg3LjY4IDE0OC42NSAx&#10;ODcuNTQgMTQ4Ljg5IDE4Ny40MiAxNDkuMTMgMTg3LjMzIDE0OS40NiAxODcuMzEgMTQ5LjUxIDE4&#10;Ny4zMSAxNDkuNTYgMTg3LjMxIDE0OS42IDE4Ny4zMSAxNDkuODggMTg3LjMxIDE1MC4xMyAxODcu&#10;MzggMTUwLjM0IDE4Ny40OFoiIGZpbGw9IiMwMTAxMDEiLz48cGF0aCBkPSJNMTY2LjY5IDE4Ny4y&#10;NEMxNjcuMTEgMTg3LjQ1IDE2Ny4xOSAxODcuNzMgMTY3LjI4IDE4OC4wMyAxNjcuMzQgMTg4LjIy&#10;IDE2Ny4zNiAxODguNDIgMTY3LjM5IDE4OC42MiAxNjcuNDQgMTg5LjAzIDE2Ny40NyAxODkuNDMg&#10;MTY3LjUgMTg5LjgzIDE2Ny41NiAxOTAuNjMgMTY3LjU5IDE5MS40MiAxNjcuNjMgMTkyLjIyIDE2&#10;Ny43MSAxOTMuODEgMTY3LjgxIDE5NS4zOSAxNjcuODUgMTk2Ljk3IDE2Ny44NyAxOTcuNyAxNjcu&#10;ODcgMTk4LjQyIDE2Ny44MSAxOTkuMTUgMTY3Ljc1IDE5OS45MiAxNjcuNjYgMjAwLjY4IDE2Ny42&#10;NSAyMDEuNDUgMTY3LjY1IDIwMS43NSAxNjcuNTMgMjAyLjAyIDE2Ny4xNyAyMDIuMjYgMTY2Ljg0&#10;IDIwMi40NyAxNjYuMzYgMjAyLjYgMTY1Ljg3IDIwMi42MiAxNjQuODQgMjAyLjY2IDE2My44NSAy&#10;MDIuMiAxNjMuODEgMjAxLjYgMTYzLjc1IDIwMC43NiAxNjMuNjMgMTk5LjkyIDE2My41MyAxOTku&#10;MDggMTYzLjQ1IDE5OC4zMiAxNjMuNDUgMTk3LjU2IDE2My40NyAxOTYuODEgMTYzLjUxIDE5NS4x&#10;OCAxNjMuNjEgMTkzLjU1IDE2My43MSAxOTEuOTEgMTYzLjc2IDE5MS4wOSAxNjMuODQgMTkwLjI3&#10;IDE2My45NSAxODkuNDUgMTY0IDE4OS4wOSAxNjQuMDYgMTg4Ljc0IDE2NC4xNCAxODguMzggMTY0&#10;LjE5IDE4OC4yIDE2NC4yNSAxODguMDMgMTY0LjM0IDE4Ny44NiAxNjQuNDUgMTg3LjY1IDE2NC41&#10;NCAxODcuNTMgMTY0Ljc2IDE4Ny4zNiAxNjQuOTMgMTg3LjIzIDE2NS4xNSAxODcuMTYgMTY1LjQx&#10;IDE4Ny4wOSAxNjUuNTUgMTg3LjA1IDE2NS43MSAxODcuMDQgMTY1Ljg2IDE4Ny4wNSAxNjYuMTYg&#10;MTg3LjA1IDE2Ni40NiAxODcuMTMgMTY2LjY3IDE4Ny4yNFoiIGZpbGw9IiMwMTAxMDEiLz48cGF0&#10;aCBkPSJNMTgyLjQgMTg3LjA4QzE4Mi42MiAxODcuMTEgMTgyLjc4IDE4Ny4xNyAxODIuOSAxODcu&#10;MjYgMTgzLjA3IDE4Ny4zNiAxODMuMTggMTg3LjQ5IDE4My4yNiAxODcuNjMgMTgzLjMzIDE4Ny43&#10;NCAxODMuMzUgMTg3Ljg3IDE4My4zOSAxODcuOTggMTgzLjQzIDE4OC4wOSAxODMuNDYgMTg4LjE5&#10;IDE4My40OCAxODguMyAxODMuNTcgMTg4LjcgMTgzLjYyIDE4OS4xIDE4My42NiAxODkuNSAxODMu&#10;NzQgMTkwLjI5IDE4My43NiAxOTEuMDkgMTgzLjc3IDE5MS44OSAxODMuOCAxOTMuNTggMTgzLjgy&#10;IDE5NS4yOCAxODMuODUgMTk2Ljk3IDE4My44OCAxOTguMjYgMTgzLjgxIDE5OS41NSAxODMuODUg&#10;MjAwLjg0IDE4My44NSAyMDEuMTIgMTgzLjczIDIwMS4zNyAxODMuNCAyMDEuNTggMTgzLjA5IDIw&#10;MS43OCAxODIuNjYgMjAxLjkgMTgyLjIgMjAxLjkxIDE4MS4yNiAyMDEuOTUgMTgwLjM0IDIwMS41&#10;MiAxODAuMzEgMjAwLjk4IDE4MC4yNiAyMDAuMTMgMTgwLjE5IDE5OS4yNyAxODAuMTYgMTk4LjQy&#10;IDE4MC4xMyAxOTcuNjEgMTgwLjE2IDE5Ni43OSAxODAuMiAxOTUuOTcgMTgwLjI4IDE5NC4zMiAx&#10;ODAuNCAxOTIuNjggMTgwLjU2IDE5MS4wMyAxODAuNjMgMTkwLjMyIDE4MC43MSAxODkuNjEgMTgw&#10;LjgxIDE4OC45IDE4MC44NiAxODguNiAxODAuOTEgMTg4LjI5IDE4MSAxODggMTgxLjA4IDE4Ny43&#10;NCAxODEuMTkgMTg3LjQ0IDE4MS41NCAxODcuMjYgMTgxLjU0IDE4Ny4yNiAxODEuNTQgMTg3LjI2&#10;IDE4MS41NCAxODcuMjYgMTgxLjcxIDE4Ny4xNCAxODIgMTg3LjA4IDE4Mi4yNyAxODcuMDkgMTgy&#10;LjMxIDE4Ny4wOSAxODIuMzUgMTg3LjA5IDE4Mi4zOSAxODcuMDlaIiBmaWxsPSIjMDEwMTAxIi8+&#10;PHBhdGggZD0iTTE5MC42OCAxODguM0MxOTAuNjggMTg4LjMgMTkwLjY4IDE4OC4zIDE5MC42OSAx&#10;ODguMyAxOTAuNyAxODguMyAxOTAuNzIgMTg4LjMgMTkwLjczIDE4OC4zTDE5MC42OCAxODguM1pN&#10;MTkyLjYgMTg2LjgzQzE5Mi42IDE4Ni44MyAxOTIuNiAxODYuODMgMTkyLjYgMTg2LjgzIDE5Mi42&#10;IDE4Ni44MyAxOTIuNiAxODYuODMgMTkyLjYgMTg2LjgzWk0xOTIuNTQgMTg2LjgxQzE5Mi41NCAx&#10;ODYuODEgMTkyLjU5IDE4Ni44MyAxOTIuNjEgMTg2Ljg0IDE5Mi42MSAxODYuODQgMTkyLjYxIDE4&#10;Ni44NCAxOTIuNiAxODYuODQgMTkyLjU4IDE4Ni44NCAxOTIuNTYgMTg2LjgzIDE5Mi41NCAxODYu&#10;ODJaTTE5Mi44NiAxODYuOTNDMTkyLjg2IDE4Ni45MyAxOTIuOTQgMTg3IDE5Mi45NyAxODcuMDQg&#10;MTkzLjA0IDE4Ny4wOSAxOTMuMSAxODcuMTQgMTkzLjE1IDE4Ny4yIDE5My4zOCAxODcuNDUgMTkz&#10;LjU1IDE4Ny43IDE5My42OSAxODcuOTcgMTkzLjk3IDE4OC41MyAxOTQuMTEgMTg5LjEyIDE5NC4y&#10;NSAxODkuNyAxOTQuNDggMTkwLjY5IDE5NC41OSAxOTEuNyAxOTQuNzMgMTkyLjcgMTk0Ljg2IDE5&#10;My43MiAxOTQuOTkgMTk0LjczIDE5NS4xOCAxOTUuNzUgMTk1LjI3IDE5Ni4yMiAxOTUuMzMgMTk2&#10;LjcgMTk1LjM3IDE5Ny4xNyAxOTUuNDEgMTk3LjgxIDE5NS4yNCAxOTguNDMgMTk1LjA2IDE5OS4w&#10;NiAxOTQuODkgMTk5LjYzIDE5My45NiAyMDAuMDYgMTkyLjk2IDIwMC4xIDE5MS45IDIwMC4xNCAx&#10;OTEuMDEgMTk5Ljc2IDE5MC42NSAxOTkuMjEgMTkwLjQ5IDE5OC45NyAxOTAuMzMgMTk4LjcyIDE5&#10;MC4xOSAxOTguNDggMTg5Ljk5IDE5OC4xMyAxODkuODkgMTk3Ljc3IDE4OS43OSAxOTcuNDEgMTg5&#10;LjY1IDE5Ni45NCAxODkuNiAxOTYuNDcgMTg5LjU2IDE5NiAxODkuNDYgMTk0Ljk5IDE4OS40MiAx&#10;OTMuOTggMTg5LjM1IDE5Mi45NyAxODkuMjggMTkxLjk1IDE4OS4yNSAxOTAuOTMgMTg5LjI1IDE4&#10;OS45MSAxODkuMjUgMTg5LjMzIDE4OS4zIDE4OC43NSAxODkuMzkgMTg4LjE3IDE4OS40NCAxODcu&#10;ODUgMTg5LjU2IDE4Ny40NiAxODkuODYgMTg3LjE1IDE4OS45OCAxODYuOTUgMTkwLjIxIDE4Ni43&#10;NyAxOTAuNTQgMTg2LjY1IDE5MC44NSAxODYuNTQgMTkxLjIgMTg2LjQ5IDE5MS41NSAxODYuNSAx&#10;OTIuMDggMTg2LjUyIDE5Mi41OSAxODYuNjcgMTkyLjg5IDE4Ni45M1oiIGZpbGw9IiMwMTAxMDEi&#10;Lz48cGF0aCBkPSJNMjA2LjQ5IDE4OC42NEMyMDcuMDEgMTg4LjgxIDIwNy4zMyAxODkuMDUgMjA3&#10;LjUxIDE4OS4zOCAyMDcuNjYgMTg5LjY1IDIwNy43NCAxODkuOTQgMjA3LjgyIDE5MC4yMiAyMDcu&#10;OTYgMTkwLjY5IDIwOC4wOCAxOTEuMTUgMjA4LjE4IDE5MS42MiAyMDguMzkgMTkyLjU1IDIwOC41&#10;MyAxOTMuNDkgMjA4LjY1IDE5NC40MiAyMDguNzcgMTk1LjM3IDIwOC45MSAxOTYuMzIgMjA5LjA0&#10;IDE5Ny4yOCAyMDkuMSAxOTcuNzMgMjA5LjE2IDE5OC4xNyAyMDkuMTcgMTk4LjYyIDIwOS4xOCAx&#10;OTkuMDUgMjA5LjE3IDE5OS40OCAyMDkuMTcgMTk5LjkxIDIwOS4xNyAxOTkuOTcgMjA5LjE3IDIw&#10;MC4wMyAyMDkuMTcgMjAwLjEgMjA5LjE3IDIwMC40IDIwOS4wMyAyMDAuNjggMjA4LjY2IDIwMC45&#10;MiAyMDguMzIgMjAxLjEzIDIwNy44MyAyMDEuMjYgMjA3LjMzIDIwMS4yOCAyMDYuOCAyMDEuMyAy&#10;MDYuMjggMjAxLjE5IDIwNS44OSAyMDAuOTkgMjA1LjQ5IDIwMC43OCAyMDUuMzMgMjAwLjUzIDIw&#10;NS4yNSAyMDAuMjMgMjA1IDE5OS4zMyAyMDQuOCAxOTguNDMgMjA0LjcgMTk3LjUyIDIwNC42MSAx&#10;OTYuNTkgMjA0LjUyIDE5NS42NSAyMDQuNDIgMTk0LjcyIDIwNC4zMSAxOTMuNzggMjA0LjIyIDE5&#10;Mi44MyAyMDQuMTQgMTkxLjg4IDIwNC4xIDE5MS40MSAyMDQuMDYgMTkwLjk0IDIwNC4wMyAxOTAu&#10;NDcgMjA0LjAyIDE5MC4yNiAyMDQuMDEgMTkwLjA0IDIwNC4wMiAxODkuODMgMjA0LjAzIDE4OS40&#10;NyAyMDQuMDkgMTg5LjEyIDIwNC41NCAxODguODMgMjA0LjU0IDE4OC44MyAyMDQuNTQgMTg4Ljgz&#10;IDIwNC41NSAxODguODMgMjA0Ljg3IDE4OC42MyAyMDUuMzcgMTg4LjUyIDIwNS44NSAxODguNTMg&#10;MjA2LjA2IDE4OC41MyAyMDYuMjcgMTg4LjU3IDIwNi40NiAxODguNjNaIiBmaWxsPSIjMDEwMTAx&#10;Ii8+PHBhdGggZD0iTTIyMi4xIDE5NC4zOEMyMjIuMTIgMTk0LjQ0IDIyMi4xNCAxOTQuNTEgMjIy&#10;LjE2IDE5NC41NyAyMjIuMTQgMTk0LjUxIDIyMi4xMiAxOTQuNDQgMjIyLjEgMTk0LjM4Wk0yMjAu&#10;MTUgMTg4LjczQzIyMC42NSAxODguOTkgMjIwLjczIDE4OS40OCAyMjAuODYgMTg5LjgzIDIyMS4w&#10;NSAxOTAuMzcgMjIxLjE5IDE5MC45MSAyMjEuMzIgMTkxLjQ1IDIyMS41NSAxOTIuNDIgMjIxLjc5&#10;IDE5My40IDIyMi4xIDE5NC4zNiAyMjIuNDkgMTk1LjQ5IDIyMi44MyAxOTYuNjIgMjIzLjEzIDE5&#10;Ny43NiAyMjMuNCAxOTguOCAyMjMuNzEgMTk5Ljg0IDIyMy44NSAyMDAuOSAyMjMuOTIgMjAxLjQ2&#10;IDIyMy4yNiAyMDIgMjIyLjMyIDIwMi4xNyAyMjEuNzcgMjAyLjI3IDIyMS4xNSAyMDIuMjUgMjIw&#10;LjYzIDIwMi4xIDIyMC4xNSAyMDEuOTYgMjE5LjY1IDIwMS42OCAyMTkuNTMgMjAxLjM3IDIxOC43&#10;NyAxOTkuNDkgMjE4LjUzIDE5Ny41NiAyMTguNDMgMTk1LjYzIDIxOC4zOCAxOTQuNjIgMjE4LjM4&#10;IDE5My42IDIxOC4yOCAxOTIuNTkgMjE4LjE5IDE5MS42NiAyMTguMDIgMTkwLjcyIDIxNy45NyAx&#10;ODkuNzggMjE3Ljk2IDE4OS41NCAyMTcuOTIgMTg5LjI1IDIxOC4wNiAxODkuMDEgMjE4LjEzIDE4&#10;OC44NCAyMTguMzIgMTg4LjY4IDIxOC41OCAxODguNTkgMjE4LjggMTg4LjUxIDIxOS4wNSAxODgu&#10;NDggMjE5LjMgMTg4LjQ4IDIxOS42MiAxODguNDkgMjE5LjkzIDE4OC41NyAyMjAuMTUgMTg4Ljcx&#10;WiIgZmlsbD0iIzAxMDEwMSIvPjxwYXRoIGQ9Ik0yMzUuOTEgMTkwLjM1QzIzNi4wNyAxOTAuNDMg&#10;MjM2LjE5IDE5MC41MyAyMzYuMjYgMTkwLjYzIDIzNi41MiAxOTAuODQgMjM2LjY1IDE5MS4xIDIz&#10;Ni43NiAxOTEuMzUgMjM2Ljk4IDE5MS44MyAyMzcuMTIgMTkyLjMyIDIzNy4yMiAxOTIuODEgMjM3&#10;LjQyIDE5My43MiAyMzcuNTggMTk0LjYyIDIzNy43NCAxOTUuNTMgMjM4LjA2IDE5Ny4zMiAyMzgu&#10;NjUgMTk5LjEgMjM4LjY4IDIwMC45IDIzOC42OCAyMDEuNDEgMjM4LjIgMjAxLjg3IDIzNy4zMiAy&#10;MDIuMDMgMjM2LjM1IDIwMi4yMSAyMzUuMDggMjAxLjkxIDIzNC44MiAyMDEuMzEgMjM0LjAyIDE5&#10;OS40NyAyMzQgMTk3LjU4IDIzMy43MiAxOTUuNyAyMzMuNTkgMTk0LjggMjMzLjQ1IDE5My45IDIz&#10;My4zMyAxOTMgMjMzLjI3IDE5Mi41NyAyMzMuMjIgMTkyLjE0IDIzMy4yNiAxOTEuNzEgMjMzLjI5&#10;IDE5MS40MyAyMzMuMzEgMTkxLjE3IDIzMy40NCAxOTAuOTIgMjMzLjQ0IDE5MC44NyAyMzMuNDUg&#10;MTkwLjgzIDIzMy40NyAxOTAuNzkgMjMzLjU3IDE5MC41IDIzMy45NiAxOTAuMjYgMjM0LjQ1IDE5&#10;MC4xNyAyMzQuNjIgMTkwLjE0IDIzNC44MSAxOTAuMTIgMjM0Ljk5IDE5MC4xMyAyMzUuMzIgMTkw&#10;LjE0IDIzNS42NSAxOTAuMjEgMjM1LjkgMTkwLjM0WiIgZmlsbD0iIzAxMDEwMSIvPjxwYXRoIGQ9&#10;Ik0yNDkuMDggMTg4LjJDMjQ5LjE0IDE4OC4yNSAyNDkuMTggMTg4LjMgMjQ5LjIyIDE4OC4zNiAy&#10;NDkuNDQgMTg4LjYyIDI0OS41IDE4OC45MiAyNDkuNTggMTg5LjIxIDI0OS42OSAxODkuNTggMjQ5&#10;Ljc4IDE4OS45NSAyNDkuODYgMTkwLjMyIDI1MC4wNCAxOTEuMDkgMjUwLjIyIDE5MS44NyAyNTAu&#10;MzkgMTkyLjY0IDI1MC43NCAxOTQuMTkgMjUxLjEyIDE5NS43MyAyNTEuNjIgMTk3LjI2IDI1MS45&#10;NSAxOTguMjIgMjUyLjI5IDE5OS4xOCAyNTIuNTMgMjAwLjE1IDI1Mi42MyAyMDAuNTggMjUyLjcy&#10;IDIwMS4wMSAyNTIuNzggMjAxLjQ1IDI1Mi44MSAyMDEuNjcgMjUyLjg0IDIwMS44OSAyNTIuODYg&#10;MjAyLjEgMjUyLjg4IDIwMi4zOSAyNTIuODYgMjAyLjY4IDI1Mi44MyAyMDIuOTcgMjUyLjg1IDIw&#10;My4xMSAyNTIuNzkgMjAzLjI1IDI1Mi42OCAyMDMuMzggMjUyLjUxIDIwMy41NyAyNTIuMjEgMjAz&#10;LjcyIDI1MS44NSAyMDMuNzggMjUxLjEgMjAzLjkyIDI1MC4zMyAyMDMuNjggMjUwLjA2IDIwMy4y&#10;NyAyNDkuOSAyMDMuMDMgMjQ5LjczIDIwMi43OSAyNDkuNiAyMDIuNTQgMjQ5LjUgMjAyLjM0IDI0&#10;OS40MiAyMDIuMTQgMjQ5LjMzIDIwMS45NSAyNDkuMTMgMjAxLjQ3IDI0OC45NCAyMDAuOTkgMjQ4&#10;Ljc5IDIwMC41IDI0OC41MSAxOTkuNiAyNDguMzEgMTk4LjcgMjQ4LjEyIDE5Ny43OSAyNDcuNzUg&#10;MTk1Ljk0IDI0Ny4zNCAxOTQuMDkgMjQ3LjAzIDE5Mi4yNCAyNDYuOTEgMTkxLjU2IDI0Ni44IDE5&#10;MC44OCAyNDYuNyAxOTAuMjEgMjQ2LjY1IDE4OS44OCAyNDYuNjEgMTg5LjU1IDI0Ni41OSAxODku&#10;MjMgMjQ2LjU3IDE4OC45NCAyNDYuNTQgMTg4LjU5IDI0Ni43OSAxODguMzEgMjQ2LjggMTg4LjMg&#10;MjQ2LjgxIDE4OC4yOCAyNDYuODIgMTg4LjI3IDI0Ny4wMyAxODguMDQgMjQ3LjQ1IDE4Ny44OCAy&#10;NDcuOTEgMTg3Ljg2IDI0Ny45NiAxODcuODYgMjQ4LjAxIDE4Ny44NiAyNDguMDYgMTg3Ljg2IDI0&#10;OC40NyAxODcuODcgMjQ4Ljg2IDE4OCAyNDkuMDggMTg4LjJaIiBmaWxsPSIjMDEwMTAxIi8+PHBh&#10;dGggZD0iTTI2Mi42IDE5MS4yN0MyNjMuNDIgMTkxLjQ2IDI2My44MyAxOTIgMjY0LjE2IDE5Mi40&#10;MyAyNjQuMzkgMTkyLjczIDI2NC41MyAxOTMuMDYgMjY0LjY3IDE5My4zOSAyNjQuOTYgMTk0LjA1&#10;IDI2NS4xOSAxOTQuNzMgMjY1LjQyIDE5NS40IDI2NS44OCAxOTYuNzIgMjY2LjIzIDE5OC4wNiAy&#10;NjYuNjYgMTk5LjM4IDI2Ni43NyAxOTkuNjcgMjY2Ljg5IDE5OS45NyAyNjYuOTIgMjAwLjI3IDI2&#10;Ni45NCAyMDAuNTYgMjY2Ljk0IDIwMC44NSAyNjYuOTMgMjAxLjE0IDI2Ni45MiAyMDEuNjQgMjY2&#10;LjQ3IDIwMi4wOSAyNjUuNiAyMDIuMjUgMjY1LjExIDIwMi4zNCAyNjQuNTggMjAyLjMyIDI2NC4x&#10;MiAyMDIuMTggMjYzLjYzIDIwMi4wNCAyNjMuMzYgMjAxLjgyIDI2My4xNSAyMDEuNTQgMjYyLjkz&#10;IDIwMS4yNiAyNjIuNzMgMjAwLjk4IDI2Mi41NiAyMDAuNjkgMjYyLjM1IDIwMC4zNCAyNjIuMjgg&#10;MTk5Ljk3IDI2Mi4xNyAxOTkuNjEgMjYxLjc0IDE5OC4zNyAyNjEuMzEgMTk3LjEzIDI2MC45MiAx&#10;OTUuODggMjYwLjcyIDE5NS4yMyAyNjAuNTMgMTk0LjU4IDI2MC4zNCAxOTMuOTMgMjYwLjI0IDE5&#10;My42MSAyNjAuMTUgMTkzLjI5IDI2MC4wNSAxOTIuOTYgMjU5Ljk2IDE5Mi42NiAyNTkuODIgMTky&#10;LjI4IDI1OS45OSAxOTEuOTggMjYwLjE1IDE5MS43IDI2MC4zNCAxOTEuNDggMjYwLjc5IDE5MS4z&#10;MiAyNjEuMTMgMTkxLjIgMjYxLjQ4IDE5MS4xNSAyNjEuODUgMTkxLjE2IDI2Mi4xIDE5MS4xNiAy&#10;NjIuMzYgMTkxLjIgMjYyLjYxIDE5MS4yNloiIGZpbGw9IiMwMTAxMDEiLz48cGF0aCBkPSJNMjc2&#10;LjgzIDE5MS4yNkMyNzcuMzcgMTkxLjM5IDI3Ny42NiAxOTEuNzIgMjc3Ljg1IDE5Mi4wMSAyNzcu&#10;OTcgMTkyLjE5IDI3OC4wNSAxOTIuMzcgMjc4LjExIDE5Mi41NSAyNzguMjkgMTkzLjA1IDI3OC40&#10;NiAxOTMuNTUgMjc4LjYxIDE5NC4wNSAyNzguODcgMTk0Ljg5IDI3OS4wNSAxOTUuNzMgMjc5LjI0&#10;IDE5Ni41NyAyNzkuNDMgMTk3LjQgMjc5LjU4IDE5OC4yMyAyNzkuODEgMTk5LjA1IDI3OS45MiAx&#10;OTkuNDQgMjgwLjA0IDE5OS44NCAyODAuMTUgMjAwLjIzIDI4MC4yMSAyMDAuNDQgMjgwLjI2IDIw&#10;MC42NSAyODAuMzEgMjAwLjg2IDI4MC4zMyAyMDAuOTQgMjgwLjM2IDIwMS4wMyAyODAuMzcgMjAx&#10;LjEyIDI4MC40IDIwMS4zNCAyODAuMzcgMjAxLjU1IDI4MC4zMiAyMDEuNzcgMjgwLjI0IDIwMS45&#10;OCAyODAuMDcgMjAyLjE3IDI3OS44MSAyMDIuMzQgMjc5LjQ0IDIwMi41NyAyNzguOTIgMjAyLjcx&#10;IDI3OC4zOCAyMDIuNzMgMjc3LjQgMjAyLjc2IDI3Ni41OSAyMDIuNDEgMjc2LjI1IDIwMS45MSAy&#10;NzUuOTQgMjAxLjQ0IDI3NS45IDIwMC45MSAyNzUuODEgMjAwLjQyIDI3NS43NCAyMDAuMDIgMjc1&#10;LjY5IDE5OS42MiAyNzUuNjQgMTk5LjIzIDI3NS41MyAxOTguNDEgMjc1LjMzIDE5Ny42IDI3NS4x&#10;NyAxOTYuNzkgMjc1IDE5NS45NCAyNzQuODQgMTk1LjA5IDI3NC42OCAxOTQuMjQgMjc0LjYxIDE5&#10;My44MyAyNzQuNTMgMTkzLjQyIDI3NC40OCAxOTMuMDIgMjc0LjQ2IDE5Mi44MyAyNzQuNDUgMTky&#10;LjY0IDI3NC40NyAxOTIuNDQgMjc0LjQ5IDE5Mi4yOSAyNzQuNDggMTkyLjExIDI3NC41NyAxOTEu&#10;OTYgMjc0LjY2IDE5MS44IDI3NC43NyAxOTEuNTggMjc1LjAxIDE5MS40NiAyNzUuMTkgMTkxLjM1&#10;IDI3NS40MSAxOTEuMjcgMjc1LjY2IDE5MS4yMiAyNzUuODQgMTkxLjE5IDI3Ni4wMiAxOTEuMTcg&#10;Mjc2LjE5IDE5MS4xOCAyNzYuNCAxOTEuMTggMjc2LjYxIDE5MS4yMiAyNzYuODIgMTkxLjI3WiIg&#10;ZmlsbD0iIzAxMDEwMSIvPjxwYXRoIGQ9Ik0yODguNjIgMTkxLjcxQzI4OS4yNSAxOTEuOTEgMjg5&#10;LjQ5IDE5Mi4yNyAyODkuNjMgMTkyLjY0IDI4OS43NiAxOTIuOTggMjg5Ljg0IDE5My4zMyAyODku&#10;OTMgMTkzLjY4IDI5MC4wNyAxOTQuMjMgMjkwLjE3IDE5NC43OSAyOTAuMjcgMTk1LjM0IDI5MC40&#10;OCAxOTYuNTQgMjkwLjYyIDE5Ny43NCAyOTAuNzIgMTk4Ljk1IDI5MC43NiAxOTkuNDUgMjkwLjA5&#10;IDE5OS45IDI4OS4xOSAxOTkuOTMgMjg4Ljc1IDE5OS45NSAyODguMzEgMTk5Ljg2IDI4Ny45OSAx&#10;OTkuNjkgMjg3LjY1IDE5OS41MSAyODcuNTMgMTk5LjMxIDI4Ny40NiAxOTkuMDYgMjg3LjExIDE5&#10;Ny44NyAyODYuODQgMTk2LjY4IDI4Ni42NCAxOTUuNDggMjg2LjU1IDE5NC45NCAyODYuNDcgMTk0&#10;LjM5IDI4Ni40MyAxOTMuODUgMjg2LjQxIDE5My41NyAyODYuMzggMTkzLjI4IDI4Ni40IDE5MyAy&#10;ODYuNDMgMTkyLjU0IDI4Ni40NyAxOTIuMDUgMjg3LjIzIDE5MS43NiAyODcuNDcgMTkxLjY3IDI4&#10;Ny43OCAxOTEuNjIgMjg4LjA4IDE5MS42MyAyODguMjcgMTkxLjYzIDI4OC40NiAxOTEuNjYgMjg4&#10;LjYzIDE5MS43MloiIGZpbGw9IiMwMTAxMDEiLz48cGF0aCBkPSJNMjk4Ljg2IDE5MC4wN0MyOTku&#10;MjMgMTkwLjE3IDI5OS41IDE5MC4zNSAyOTkuNjkgMTkwLjU1IDI5OS45MSAxOTAuNzggMzAwLjA4&#10;IDE5MS4wMiAzMDAuMjIgMTkxLjI3IDMwMC40NSAxOTEuNjggMzAwLjYgMTkyLjEgMzAwLjc1IDE5&#10;Mi41MiAzMDEuMDcgMTkzLjQzIDMwMS4zMSAxOTQuMzQgMzAxLjUyIDE5NS4yNSAzMDEuOTMgMTk3&#10;LjAxIDMwMi4yOCAxOTguNzcgMzAyLjU2IDIwMC41MyAzMDIuNjcgMjAxLjIxIDMwMi43OCAyMDEu&#10;ODkgMzAyLjgxIDIwMi41OCAzMDIuODMgMjAzLjA3IDMwMi4zNCAyMDMuNTEgMzAxLjUxIDIwMy42&#10;NyAzMDEuMDMgMjAzLjc2IDMwMC41MSAyMDMuNzQgMzAwLjA2IDIwMy42MSAyOTkuNjUgMjAzLjQ5&#10;IDI5OS4yMiAyMDMuMjUgMjk5LjEyIDIwMi45OCAyOTguNzQgMjAyLjA1IDI5OC41IDIwMS4wOSAy&#10;OTguMjkgMjAwLjE0IDI5OC4xIDE5OS4yOCAyOTcuOTMgMTk4LjQyIDI5Ny43OCAxOTcuNTcgMjk3&#10;LjQ5IDE5NS44MSAyOTcuMjYgMTk0LjA1IDI5Ny4xMSAxOTIuMjkgMjk3LjA5IDE5MS45OCAyOTcu&#10;MDYgMTkxLjY3IDI5Ny4wNiAxOTEuMzYgMjk3LjA2IDE5MS4wNCAyOTcuMDMgMTkwLjY2IDI5Ny4z&#10;MSAxOTAuMzcgMjk3LjU1IDE5MC4xMyAyOTcuOTcgMTkwIDI5OC40MSAxOTAuMDEgMjk4LjU2IDE5&#10;MC4wMSAyOTguNzEgMTkwLjA0IDI5OC44NiAxOTAuMDhaIiBmaWxsPSIjMDEwMTAxIi8+PHBhdGgg&#10;ZD0iTTMxMy4wNSAxOTIuMjZDMzEzLjQgMTkyLjQyIDMxMy42MSAxOTIuNjcgMzEzLjc2IDE5Mi45&#10;IDMxMy44NiAxOTMuMDUgMzEzLjkyIDE5My4yMSAzMTMuOTggMTkzLjM3IDMxNC4xNSAxOTMuODIg&#10;MzE0LjI4IDE5NC4yNiAzMTQuMzggMTk0LjcxIDMxNC41NSAxOTUuNDUgMzE0LjY5IDE5Ni4xOSAz&#10;MTQuOCAxOTYuOTMgMzE0LjkyIDE5Ny42NSAzMTUuMDIgMTk4LjM3IDMxNS4xMyAxOTkuMDkgMzE1&#10;LjE4IDE5OS40NCAzMTUuMjUgMTk5Ljc5IDMxNS4yOSAyMDAuMTUgMzE1LjM0IDIwMC42NSAzMTUu&#10;MjMgMjAxLjE2IDMxNS4xMyAyMDEuNjYgMzE1LjAzIDIwMi4xNSAzMTQuMTQgMjAyLjUyIDMxMy4z&#10;MiAyMDIuNTUgMzEyLjQ1IDIwMi41OCAzMTEuNiAyMDIuMjYgMzExLjM0IDIwMS43OSAzMTEuMDgg&#10;MjAxLjMyIDMxMC44NSAyMDAuODYgMzEwLjc0IDIwMC4zNyAzMTAuNjcgMjAwLjAzIDMxMC42MiAx&#10;OTkuNjggMzEwLjU2IDE5OS4zNCAzMTAuNDUgMTk4LjYxIDMxMC4zMiAxOTcuODggMzEwLjIyIDE5&#10;Ny4xNSAzMTAuMTIgMTk2LjQxIDMxMC4wMyAxOTUuNjggMzA5Ljk3IDE5NC45NCAzMDkuOTQgMTk0&#10;LjU2IDMwOS45IDE5NC4xOCAzMDkuOTEgMTkzLjggMzA5LjkxIDE5My4zMSAzMDkuOTEgMTkyLjY5&#10;IDMxMC41NyAxOTIuMzIgMzEwLjkgMTkyLjE0IDMxMS4yOCAxOTIuMDIgMzExLjc1IDE5MiAzMTEu&#10;ODIgMTkyIDMxMS44OCAxOTIgMzExLjk0IDE5MiAzMTIuMzUgMTkyLjAxIDMxMi42OSAxOTIuMTEg&#10;MzEzLjAyIDE5Mi4yNVoiIGZpbGw9IiMwMTAxMDEiLz48cGF0aCBkPSJNMzI2LjkgMTkxLjgyQzMy&#10;Ny4zOCAxOTEuOTMgMzI3LjY2IDE5Mi4yNSAzMjcuNzkgMTkyLjUxIDMyNy45MyAxOTIuNzcgMzI4&#10;LjAxIDE5My4wNCAzMjguMDkgMTkzLjMgMzI4LjIzIDE5My43MiAzMjguMzQgMTk0LjE1IDMyOC40&#10;NCAxOTQuNTggMzI4LjY0IDE5NS40MyAzMjguODEgMTk2LjI3IDMyOS4wMSAxOTcuMTIgMzI5LjM5&#10;IDE5OC43OSAzMjkuNjggMjAwLjQ2IDMyOS45NSAyMDIuMTQgMzMwLjEyIDIwMy4yMSAzMzAuMzYg&#10;MjA0LjI3IDMzMC40NyAyMDUuMzQgMzMwLjUyIDIwNS44MyAzMjkuOTcgMjA2LjMgMzI5LjE0IDIw&#10;Ni40NSAzMjguNjYgMjA2LjU0IDMyOC4xMiAyMDYuNTIgMzI3LjY2IDIwNi4zOSAzMjcuMjQgMjA2&#10;LjI3IDMyNi44IDIwNi4wMiAzMjYuNyAyMDUuNzUgMzI2LjMzIDIwNC44MyAzMjYuMTMgMjAzLjkg&#10;MzI1LjkxIDIwMi45NiAzMjUuNzIgMjAyLjE2IDMyNS41MiAyMDEuMzcgMzI1LjM1IDIwMC41NyAz&#10;MjUgMTk4Ljg1IDMyNC43NiAxOTcuMTIgMzI0LjY5IDE5NS4zOSAzMjQuNjcgMTk0LjgyIDMyNC42&#10;NiAxOTQuMjQgMzI0LjY5IDE5My42NyAzMjQuNzEgMTkzLjM0IDMyNC43MiAxOTMgMzI0LjgyIDE5&#10;Mi42NyAzMjQuODYgMTkyLjUxIDMyNC45MyAxOTIuMzIgMzI1LjA4IDE5Mi4xOCAzMjUuMjEgMTky&#10;LjA2IDMyNS4zNSAxOTEuOTMgMzI1LjU5IDE5MS44NiAzMjUuODcgMTkxLjc4IDMyNi4xMiAxOTEu&#10;NzQgMzI2LjM5IDE5MS43NSAzMjYuNTUgMTkxLjc1IDMyNi43MiAxOTEuNzggMzI2LjkgMTkxLjgy&#10;WiIgZmlsbD0iIzAxMDEwMSIvPjxwYXRoIGQ9Ik0zNDAuMjggMTkyLjAxQzM0MC43IDE5Mi4xOSAz&#10;NDAuOTIgMTkyLjUgMzQxLjEyIDE5Mi43NiAzNDEuMjggMTkyLjk3IDM0MS4zOCAxOTMuMiAzNDEu&#10;NDcgMTkzLjQyIDM0MS43MSAxOTMuOTggMzQxLjg4IDE5NC41NiAzNDIuMDMgMTk1LjE0IDM0Mi4z&#10;IDE5Ni4xNSAzNDIuNTEgMTk3LjE3IDM0Mi43MiAxOTguMTggMzQyLjk0IDE5OS4xNyAzNDMuMTQg&#10;MjAwLjE1IDM0My4zNiAyMDEuMTMgMzQzLjU4IDIwMi4xMiAzNDMuODUgMjAzLjA5IDM0NC4xMSAy&#10;MDQuMDggMzQ0LjE5IDIwNC4zNyAzNDQuMjYgMjA0LjY2IDM0NC4zMiAyMDQuOTYgMzQ0LjQ0IDIw&#10;NS41MiAzNDMuNyAyMDYuMDcgMzQyLjc5IDIwNi4yNCAzNDIuMjMgMjA2LjM0IDM0MS42MSAyMDYu&#10;MzIgMzQxLjA5IDIwNi4xNyAzNDAuNjEgMjA2LjAzIDM0MC4xIDIwNS43NSAzMzkuOTggMjA1LjQ0&#10;IDMzOS4xOSAyMDMuNDIgMzM4LjY1IDIwMS4zNSAzMzguMjEgMTk5LjI5IDMzOCAxOTguMjkgMzM3&#10;LjgxIDE5Ny4yOCAzMzcuNjMgMTk2LjI4IDMzNy41NCAxOTUuNzggMzM3LjQ3IDE5NS4yOCAzMzcu&#10;MzkgMTk0Ljc4IDMzNy4zMSAxOTQuMyAzMzcuMjMgMTkzLjgyIDMzNy4yMyAxOTMuMzQgMzM3LjIz&#10;IDE5My4xMyAzMzcuMjUgMTkyLjkxIDMzNy4zMSAxOTIuNzEgMzM3LjM4IDE5Mi40NyAzMzcuNTgg&#10;MTkyLjI5IDMzNy44NCAxOTIuMSAzMzguMDkgMTkxLjkxIDMzOC42IDE5MS44IDMzOS4wMSAxOTEu&#10;NzggMzM5LjA4IDE5MS43OCAzMzkuMTQgMTkxLjc4IDMzOS4yMSAxOTEuNzggMzM5LjYxIDE5MS43&#10;OSAzMzkuOTQgMTkxLjg5IDM0MC4yOCAxOTIuMDNaIiBmaWxsPSIjMDEwMTAxIi8+PHBhdGggZD0i&#10;TTM2MC4zOSAyMDIuODhDMzYwLjQxIDIwMi45NSAzNjAuNDQgMjAzLjAyIDM2MC40NiAyMDMuMDkg&#10;MzYwLjQ0IDIwMy4wMiAzNjAuNDEgMjAyLjk1IDM2MC4zOSAyMDIuODhaTTM1OS4yMyAxOTkuMTND&#10;MzU5LjIzIDE5OS4xMyAzNTkuMjUgMTk5LjE4IDM1OS4yNiAxOTkuMjEgMzU5LjI2IDE5OS4xOCAz&#10;NTkuMjQgMTk5LjE2IDM1OS4yMyAxOTkuMTNaTTM1NS41OCAxOTIuM0MzNTcuMDMgMTkyLjQ3IDM1&#10;Ny40NiAxOTMuMjggMzU3LjcxIDE5NCAzNTcuOTQgMTk0LjY1IDM1OC4xNCAxOTUuMzEgMzU4LjMz&#10;IDE5NS45NyAzNTguNjUgMTk3LjA2IDM1OC45MSAxOTguMTYgMzU5LjI3IDE5OS4yNSAzNTkuNDkg&#10;MTk5Ljg5IDM1OS43MiAyMDAuNTIgMzU5LjkxIDIwMS4xNiAzNjAuMDcgMjAxLjczIDM2MC4yIDIw&#10;Mi4zIDM2MC4zOSAyMDIuODYgMzYwLjUxIDIwMy4yMSAzNjAuNjMgMjAzLjU3IDM2MC43NCAyMDMu&#10;OTIgMzYwLjc2IDIwNC4xNyAzNjAuNjggMjA0LjQxIDM2MC40NyAyMDQuNjQgMzYwLjE3IDIwNC45&#10;NyAzNTkuNjUgMjA1LjIzIDM1OS4wMyAyMDUuMzQgMzU4LjQxIDIwNS40NiAzNTcuNzIgMjA1LjQy&#10;IDM1Ny4xMyAyMDUuMjYgMzU2LjU5IDIwNS4xMSAzNTYuMDQgMjA0Ljc5IDM1NS44OSAyMDQuNDQg&#10;MzU1LjQ2IDIwMy4zOSAzNTUuMDkgMjAyLjMzIDM1NC43NSAyMDEuMjggMzU0LjQzIDIwMC4zIDM1&#10;NC4yNSAxOTkuMzEgMzU0LjAyIDE5OC4zMiAzNTMuOCAxOTcuMzkgMzUzLjU5IDE5Ni40NyAzNTMu&#10;NCAxOTUuNTQgMzUzLjMxIDE5NS4wNyAzNTMuMjIgMTk0LjYxIDM1My4xNCAxOTQuMTQgMzUzLjEg&#10;MTkzLjg2IDM1My4xIDE5My42MSAzNTMuMTQgMTkzLjMzIDM1My4yMiAxOTIuNzMgMzU0LjI2IDE5&#10;Mi4yNSAzNTUuMyAxOTIuMjggMzU1LjM5IDE5Mi4yOCAzNTUuNDggMTkyLjI4IDM1NS41NyAxOTIu&#10;M1oiIGZpbGw9IiMwMTAxMDEiLz48cGF0aCBkPSJNMzY5LjYxIDE5MS44NkMzNjkuOTkgMTkyLjA3&#10;IDM3MC4xNSAxOTIuMjUgMzcwLjM4IDE5Mi41MiAzNzAuNjQgMTkyLjgzIDM3MC43OSAxOTMuMTYg&#10;MzcwLjkzIDE5My40OCAzNzEuMjkgMTk0LjI5IDM3MS40OCAxOTUuMTIgMzcxLjcxIDE5NS45NCAz&#10;NzIuMSAxOTcuMzcgMzcyLjQ0IDE5OC44IDM3Mi43MiAyMDAuMjMgMzcyLjg2IDIwMC45MSAzNzEu&#10;ODEgMjAxLjUxIDM3MC42NiAyMDEuNTUgMzcwLjA3IDIwMS41NyAzNjkuNDggMjAxLjQ1IDM2OS4w&#10;NSAyMDEuMjMgMzY4LjU5IDIwMC45OSAzNjguNDQgMjAwLjcyIDM2OC4zMyAyMDAuMzggMzY3Ljkx&#10;IDE5OC45NiAzNjcuNiAxOTcuNTQgMzY3LjI5IDE5Ni4xMSAzNjcuMTMgMTk1LjM5IDM2Ni45OCAx&#10;OTQuNjcgMzY2Ljg0IDE5My45NSAzNjYuNzggMTkzLjY0IDM2Ni43MiAxOTMuMzIgMzY2LjY3IDE5&#10;My4wMSAzNjYuNTggMTkyLjQ2IDM2Ni43NyAxOTEuODEgMzY3Ljg2IDE5MS42MiAzNjguMDYgMTkx&#10;LjU5IDM2OC4yNyAxOTEuNTcgMzY4LjQ4IDE5MS41OCAzNjguOSAxOTEuNTkgMzY5LjMyIDE5MS42&#10;OSAzNjkuNjEgMTkxLjg1WiIgZmlsbD0iIzAxMDEwMSIvPjxwYXRoIGQ9Ik0zNzkuOTUgMTg5LjMz&#10;QzM3OS45OSAxODkuMzkgMzgwIDE4OS40NiAzODAuMDEgMTg5LjUyIDM4MC4wNiAxODkuNTggMzgw&#10;LjExIDE4OS42NSAzODAuMTUgMTg5LjcxIDM4MC4yOSAxODkuOTUgMzgwLjQgMTkwLjIgMzgwLjUx&#10;IDE5MC40NSAzODAuNzUgMTkxLjAxIDM4MC45MiAxOTEuNTcgMzgxLjA5IDE5Mi4xNCAzODEuNCAx&#10;OTMuMTkgMzgxLjY4IDE5NC4yNSAzODEuOTYgMTk1LjMxIDM4Mi41MSAxOTcuMzggMzgzLjAyIDE5&#10;OS40NCAzODMuNTUgMjAxLjUxIDM4My42OSAyMDIuMDUgMzgzLjc0IDIwMi41OCAzODMuNzcgMjAz&#10;LjEzIDM4My44IDIwMy42OCAzODMuODggMjA0LjIzIDM4My44OCAyMDQuNzkgMzgzLjg4IDIwNS4y&#10;OSAzODMuNDEgMjA1Ljc0IDM4Mi41NSAyMDUuOSAzODEuNTUgMjA2LjA5IDM4MC40MiAyMDUuNzcg&#10;MzgwLjEgMjA1LjIgMzc5LjgyIDIwNC43IDM3OS42MSAyMDQuMTkgMzc5LjM4IDIwMy42OSAzNzku&#10;MTIgMjAzLjExIDM3OC44NyAyMDIuNTQgMzc4LjcgMjAxLjk1IDM3OC40MiAyMDAuOTEgMzc4LjI0&#10;IDE5OS44NSAzNzguMDUgMTk4LjggMzc3LjY2IDE5Ni43IDM3Ny4zMyAxOTQuNTkgMzc3LjIyIDE5&#10;Mi40OCAzNzcuMTkgMTkxLjkzIDM3Ny4yIDE5MS4zOCAzNzcuMjUgMTkwLjg0IDM3Ny4yOSAxOTAu&#10;NTIgMzc3LjMzIDE5MC4yIDM3Ny40MiAxODkuODkgMzc3LjQ2IDE4OS43NiAzNzcuNTMgMTg5LjY0&#10;IDM3Ny42MSAxODkuNTIgMzc3LjYxIDE4OS40OCAzNzcuNjEgMTg5LjQ0IDM3Ny42MyAxODkuNDEg&#10;Mzc3LjczIDE4OS4xMSAzNzguMTkgMTg4Ljg4IDM3OC43MyAxODguODcgMzc4Ljc4IDE4OC44NyAz&#10;NzguODIgMTg4Ljg3IDM3OC44NyAxODguODcgMzc5LjM2IDE4OC44OSAzNzkuNzkgMTg5LjA3IDM3&#10;OS45NSAxODkuMzRaIiBmaWxsPSIjMDEwMTAxIi8+PHBhdGggZD0iTTM5Ni45NiAxOTAuMTRDMzk3&#10;Ljg3IDE5MC40IDM5OC4yMiAxOTEuMDEgMzk4LjUgMTkxLjUzIDM5OC43NiAxOTIuMDEgMzk4Ljky&#10;IDE5Mi41IDM5OS4xIDE5Mi45OSAzOTkuNDkgMTk0LjExIDM5OS44MiAxOTUuMjUgNDAwLjE1IDE5&#10;Ni4zOCA0MDAuNzUgMTk4LjQxIDQwMS4zNyAyMDAuNDUgNDAxLjc2IDIwMi41IDQwMS43OSAyMDIu&#10;NjQgNDAxLjgxIDIwMi43OCA0MDEuODMgMjAyLjkyIDQwMS45MyAyMDMuNTIgNDAxLjE5IDIwNC4w&#10;OSA0MDAuMjEgMjA0LjI3IDM5OS4wNSAyMDQuNDkgMzk3LjU1IDIwNC4xMiAzOTcuMjMgMjAzLjQy&#10;IDM5Ni4yNiAyMDEuMjQgMzk1LjY4IDE5OS4wMSAzOTUuMTMgMTk2Ljc5IDM5NC44OCAxOTUuNzkg&#10;Mzk0LjY0IDE5NC43OCAzOTQuNDkgMTkzLjc3IDM5NC40MSAxOTMuMjUgMzk0LjMzIDE5Mi43MyAz&#10;OTQuMzMgMTkyLjIyIDM5NC4zMyAxOTEuOSAzOTQuMzYgMTkxLjU5IDM5NC40MSAxOTEuMjcgMzk0&#10;LjQ2IDE5MC45NCAzOTQuNjQgMTkwLjY1IDM5NC45OSAxOTAuMzggMzk1LjAxIDE5MC4zNiAzOTUu&#10;MDMgMTkwLjM1IDM5NS4wNiAxOTAuMzQgMzk1LjI1IDE5MC4yMiAzOTUuNDggMTkwLjE0IDM5NS43&#10;NCAxOTAuMDkgMzk1LjkzIDE5MC4wNSAzOTYuMTMgMTkwLjA0IDM5Ni4zMyAxOTAuMDUgMzk2LjU1&#10;IDE5MC4wNSAzOTYuNzYgMTkwLjA5IDM5Ni45NiAxOTAuMTVaIiBmaWxsPSIjMDEwMTAxIi8+PHBh&#10;dGggZD0iTTQwOS4yNCAxOTYuNThDNDA5Ljg5IDE5Ni43NiA0MTAuMTMgMTk3LjE0IDQxMC4yNyAx&#10;OTcuNTEgNDEwLjQgMTk3Ljg4IDQxMC41IDE5OC4yNCA0MTAuNiAxOTguNjEgNDEwLjc1IDE5OS4x&#10;OCA0MTAuODcgMTk5Ljc1IDQxMC45NyAyMDAuMzIgNDExLjE5IDIwMS41MiA0MTEuMzggMjAyLjcz&#10;IDQxMS40MiAyMDMuOTQgNDExLjQzIDIwNC41NiA0MTAuNjYgMjA1LjEgNDA5LjU0IDIwNS4xNCA0&#10;MDkuMDEgMjA1LjE2IDQwOC40NyAyMDUuMDUgNDA4LjA3IDIwNC44NSA0MDcuNjUgMjA0LjYzIDQw&#10;Ny41MSAyMDQuMzggNDA3LjQyIDIwNC4wOCA0MDcuMDUgMjAyLjg2IDQwNi44NiAyMDEuNjEgNDA2&#10;LjcyIDIwMC4zNyA0MDYuNjUgMTk5Ljc2IDQwNi42IDE5OS4xNSA0MDYuNjEgMTk4LjUzIDQwNi42&#10;MSAxOTguMTcgNDA2LjYzIDE5Ny44IDQwNi43NyAxOTcuNDUgNDA2Ljg3IDE5Ny4yMSA0MDcuMDMg&#10;MTk3IDQwNy4zIDE5Ni44MSA0MDcuNjIgMTk2LjU5IDQwOC4xMyAxOTYuNDggNDA4LjYyIDE5Ni40&#10;OSA0MDguODMgMTk2LjQ5IDQwOS4wNSAxOTYuNTMgNDA5LjI0IDE5Ni41OFoiIGZpbGw9IiMwMTAx&#10;MDEiLz48cGF0aCBkPSJNNDE5Ljk1IDE5Mi40NEM0MjAuNDIgMTkyLjYzIDQyMC43IDE5My4wMSA0&#10;MjAuOSAxOTMuMyA0MjEuMDQgMTkzLjUxIDQyMS4xMyAxOTMuNzMgNDIxLjIzIDE5My45NCA0MjEu&#10;NDkgMTk0LjUzIDQyMS42NSAxOTUuMTMgNDIxLjgxIDE5NS43MyA0MjIuMDggMTk2Ljc2IDQyMi4y&#10;NSAxOTcuOCA0MjIuNDUgMTk4Ljg0IDQyMi42NSAxOTkuODggNDIyLjgzIDIwMC45MSA0MjMuMDEg&#10;MjAxLjk2IDQyMy4yIDIwMy4wNCA0MjMuNDQgMjA0LjEyIDQyMy41MSAyMDUuMjEgNDIzLjU1IDIw&#10;NS44MSA0MjIuOTIgMjA2LjM2IDQyMS45MSAyMDYuNTUgNDIwLjY5IDIwNi43OCA0MTkuMzcgMjA2&#10;LjM5IDQxOC45NiAyMDUuNyA0MTguMjggMjA0LjU4IDQxNy45NyAyMDMuMzkgNDE3LjYxIDIwMi4y&#10;MiA0MTcuMjkgMjAxLjE5IDQxNy4wNyAyMDAuMTUgNDE2Ljg4IDE5OS4xIDQxNi43IDE5OC4wNyA0&#10;MTYuNTIgMTk3LjA0IDQxNi40NSAxOTYgNDE2LjQxIDE5NS40OCA0MTYuMzcgMTk0Ljk1IDQxNi40&#10;MSAxOTQuNDMgNDE2LjQzIDE5NC4xMSA0MTYuNDQgMTkzLjc3IDQxNi41NSAxOTMuNDUgNDE2LjYy&#10;IDE5My4yNiA0MTYuNzIgMTkzLjA2IDQxNi44NyAxOTIuODkgNDE3LjA3IDE5Mi42NCA0MTcuMzQg&#10;MTkyLjUxIDQxNy43IDE5Mi4zNCA0MTcuOTcgMTkyLjI0IDQxOC4yNyAxOTIuMTkgNDE4LjU5IDE5&#10;Mi4xNyA0MTguNjYgMTkyLjE3IDQxOC43MyAxOTIuMTcgNDE4LjggMTkyLjE3IDQxOS4yNCAxOTIu&#10;MTggNDE5LjU4IDE5Mi4yOSA0MTkuOTUgMTkyLjQ0WiIgZmlsbD0iIzAxMDEwMSIvPjxwYXRoIGQ9&#10;Ik00MzUgMjAwLjU3QzQzNSAyMDAuNTcgNDM1LjAzIDIwMC42NiA0MzUuMDUgMjAwLjcxIDQzNS4w&#10;NCAyMDAuNjYgNDM1LjAyIDIwMC42MiA0MzUgMjAwLjU3Wk00MzAuMTIgMTkxLjQ3QzQzMS4xOSAx&#10;OTEuNTQgNDMxLjcxIDE5Mi4xNyA0MzIuMSAxOTIuNjQgNDMyLjM2IDE5Mi45NiA0MzIuNTEgMTkz&#10;LjMyIDQzMi42NyAxOTMuNjYgNDMzLjA2IDE5NC41IDQzMy4zMyAxOTUuMzYgNDMzLjYxIDE5Ni4y&#10;MSA0MzQuMDkgMTk3LjY0IDQzNC41IDE5OS4wOCA0MzQuOTggMjAwLjUyIDQzNS40MiAyMDEuODIg&#10;NDM1LjkyIDIwMy4xMiA0MzYuMjUgMjA0LjQzIDQzNi4zOSAyMDUgNDM1LjYgMjA1LjU3IDQzNC42&#10;OCAyMDUuNzQgNDMzLjUxIDIwNS45NiA0MzIuMTUgMjA1LjU5IDQzMS43OSAyMDQuOTEgNDMxLjE5&#10;IDIwMy43OCA0MzAuODQgMjAyLjYyIDQzMC40NyAyMDEuNDcgNDMwLjE0IDIwMC40NyA0MjkuODMg&#10;MTk5LjQ2IDQyOS41MSAxOTguNDYgNDI5LjE4IDE5Ny40MSA0MjguODUgMTk2LjM2IDQyOC41NiAx&#10;OTUuMzEgNDI4LjQxIDE5NC44MSA0MjguMjcgMTk0LjMxIDQyOC4xNyAxOTMuOCA0MjguMTIgMTkz&#10;LjU2IDQyOC4wNyAxOTMuMzIgNDI4LjAzIDE5My4wOCA0MjcuOTkgMTkyLjgzIDQyNy45NSAxOTIu&#10;NTEgNDI4LjA2IDE5Mi4yNyA0MjguMTEgMTkyLjE3IDQyOC4xNiAxOTIuMDcgNDI4LjI0IDE5MS45&#10;OCA0MjguNiAxOTEuNiA0MjkuMjQgMTkxLjQzIDQyOS45NiAxOTEuNDUgNDMwLjAyIDE5MS40NSA0&#10;MzAuMDcgMTkxLjQ1IDQzMC4xMyAxOTEuNDVaIiBmaWxsPSIjMDEwMTAxIi8+PHBhdGggZD0iTTQ0&#10;My43NCAxOTIuODdDNDQ0LjIgMTkzLjA2IDQ0NC40OSAxOTMuNDIgNDQ0LjcxIDE5My43MSA0NDQu&#10;OSAxOTMuOTYgNDQ1LjA2IDE5NC4yIDQ0NS4yMSAxOTQuNDYgNDQ1LjUzIDE5NC45OSA0NDUuNzYg&#10;MTk1LjUzIDQ0Ni4wMSAxOTYuMDcgNDQ2LjUgMTk3LjEyIDQ0Ni45NCAxOTguMTkgNDQ3LjM4IDE5&#10;OS4yNSA0NDcuODggMjAwLjQ2IDQ0OC4zNyAyMDEuNjYgNDQ4Ljc4IDIwMi44OCA0NDguOTYgMjAz&#10;LjQyIDQ0OS4xMiAyMDMuOTUgNDQ5LjI1IDIwNC40OSA0NDkuNCAyMDUuMSA0NDkuNTEgMjA1Ljcx&#10;IDQ0OS43IDIwNi4zMiA0NDkuNzIgMjA2LjU0IDQ0OS42NSAyMDYuNzQgNDQ5LjQ4IDIwNi45NCA0&#10;NDkuMjIgMjA3LjIyIDQ0OC43NyAyMDcuNDQgNDQ4LjI0IDIwNy41NCA0NDcuMTQgMjA3Ljc0IDQ0&#10;NS45IDIwNy4zOSA0NDUuNTUgMjA2Ljc3IDQ0NS4yMiAyMDYuMTggNDQ0LjgzIDIwNS42MSA0NDQu&#10;NDUgMjA1LjA0IDQ0NC4xIDIwNC41MiA0NDMuODEgMjAzLjk5IDQ0My41MyAyMDMuNDUgNDQyLjk3&#10;IDIwMi4zNyA0NDIuNTQgMjAxLjI2IDQ0Mi4xMiAyMDAuMTUgNDQxLjY4IDE5OC45OCA0NDEuMzIg&#10;MTk3LjggNDQxIDE5Ni42MSA0NDAuODYgMTk2LjA3IDQ0MC43NCAxOTUuNTMgNDQwLjY0IDE5NC45&#10;OSA0NDAuNTkgMTk0Ljc0IDQ0MC41NSAxOTQuNDggNDQwLjUzIDE5NC4yMiA0NDAuNSAxOTMuODcg&#10;NDQwLjUxIDE5My41IDQ0MC44MSAxOTMuMTggNDQxLjA0IDE5Mi45MyA0NDEuNDIgMTkyLjc0IDQ0&#10;MS45IDE5Mi42NSA0NDIuMTIgMTkyLjYxIDQ0Mi4zNCAxOTIuNTkgNDQyLjU1IDE5Mi42IDQ0Mi45&#10;OCAxOTIuNjEgNDQzLjM3IDE5Mi43MiA0NDMuNzUgMTkyLjg3WiIgZmlsbD0iIzAxMDEwMSIvPjxw&#10;YXRoIGQ9Ik00NTAuNDcgMTkxLjE4QzQ1MS44IDE5MS4zNyA0NTIuMzEgMTkyLjE5IDQ1Mi43OSAx&#10;OTIuODMgNDUzLjE2IDE5My4zMyA0NTMuNDcgMTkzLjgzIDQ1My43OCAxOTQuMzQgNDU0LjM4IDE5&#10;NS4zMSA0NTQuOTMgMTk2LjMgNDU1LjQ1IDE5Ny4yOSA0NTUuOTkgMTk4LjMxIDQ1Ni40NyAxOTku&#10;MzQgNDU2Ljg4IDIwMC4zOCA0NTcuMjkgMjAxLjQyIDQ1Ny42OSAyMDIuNDYgNDU4LjIgMjAzLjQ5&#10;IDQ1OC40OSAyMDQuMDcgNDU4Ljc5IDIwNC42NSA0NTkuMTEgMjA1LjIzIDQ1OS40OCAyMDUuOTMg&#10;NDU4Ljg0IDIwNi43IDQ1Ny41OSAyMDYuOTMgNDU2LjM3IDIwNy4xNiA0NTQuOTcgMjA2Ljc3IDQ1&#10;NC41OSAyMDYuMDcgNDUzLjk5IDIwNC45OCA0NTMuMzkgMjAzLjg4IDQ1Mi43MSAyMDIuOCA0NTIu&#10;MDYgMjAxLjc3IDQ1MS4zOSAyMDAuNzYgNDUwLjg1IDE5OS43MiA0NTAuMzQgMTk4LjczIDQ0OS45&#10;NCAxOTcuNzMgNDQ5LjUzIDE5Ni43MiA0NDkuMzMgMTk2LjIxIDQ0OS4xMyAxOTUuNyA0NDguOTUg&#10;MTk1LjE4IDQ0OC43MyAxOTQuNTYgNDQ4LjQ5IDE5My45NCA0NDguMzYgMTkzLjMxIDQ0OC4yOSAx&#10;OTIuOTUgNDQ4LjI1IDE5Mi41OSA0NDguMzQgMTkyLjI0IDQ0OC4zOCAxOTIuMDUgNDQ4LjQ3IDE5&#10;MS44OCA0NDguNjIgMTkxLjcxIDQ0OC45MiAxOTEuMzkgNDQ5LjU2IDE5MS4xNCA0NTAuMjIgMTkx&#10;LjE2IDQ1MC4zMSAxOTEuMTYgNDUwLjM5IDE5MS4xNyA0NTAuNDggMTkxLjE4WiIgZmlsbD0iIzAx&#10;MDEwMSIvPjxwYXRoIGQ9Ik00NzMuMDIgMTgzLjkzQzQ3My42NSAxODQuMTcgNDc0LjAyIDE4NC42&#10;NSA0NzQuMzQgMTg1LjA4IDQ3NC42NyAxODUuNTMgNDc0Ljk3IDE4NS45OSA0NzUuMjcgMTg2LjQ1&#10;IDQ3NS43OSAxODcuMjYgNDc2LjI5IDE4OC4wNyA0NzYuNzggMTg4Ljg5IDQ3Ny44NCAxOTAuNjMg&#10;NDc4LjkgMTkyLjM3IDQ3OS43NSAxOTQuMTYgNDgwIDE5NC42OSA0NzkuNjkgMTk1LjI4IDQ3OS4w&#10;NSAxOTUuNTggNDc4LjY3IDE5NS43NSA0NzguMjEgMTk1LjgyIDQ3Ny43NyAxOTUuNzUgNDc3LjM3&#10;IDE5NS42OSA0NzYuODUgMTk1LjQ5IDQ3Ni42NiAxOTUuMjEgNDc2LjAxIDE5NC4yNiA0NzUuNDMg&#10;MTkzLjMgNDc0Ljg2IDE5Mi4zMiA0NzQuMzggMTkxLjUgNDczLjkyIDE5MC42NyA0NzMuNDYgMTg5&#10;Ljg1IDQ3Mi45OSAxODkgNDcyLjUxIDE4OC4xNCA0NzIuMDYgMTg3LjI5IDQ3MS44NiAxODYuOTEg&#10;NDcxLjY3IDE4Ni41MyA0NzEuNSAxODYuMTUgNDcxLjQxIDE4NS45NCA0NzEuMzMgMTg1LjczIDQ3&#10;MS4yNiAxODUuNTIgNDcxLjE2IDE4NS4yMyA0NzEuMDYgMTg0Ljg2IDQ3MS4xOCAxODQuNTcgNDcx&#10;LjI5IDE4NC4zMiA0NzEuNDMgMTg0LjEyIDQ3MS43NSAxODMuOTggNDcxLjk4IDE4My44NyA0NzIu&#10;MjYgMTgzLjgyIDQ3Mi41NCAxODMuODMgNDcyLjcxIDE4My44MyA0NzIuODggMTgzLjg3IDQ3My4w&#10;NCAxODMuOTNaIiBmaWxsPSIjMDEwMTAxIi8+PHBhdGggZD0iTTQ4NC44NyAxODguNkM0ODQuODcg&#10;MTg4LjYgNDg0LjgzIDE4OC41NCA0ODQuODEgMTg4LjUxIDQ4NC44IDE4OC40OSA0ODQuNzkgMTg4&#10;LjQ3IDQ4NC43NyAxODguNDYgNDg0LjggMTg4LjUxIDQ4NC44MyAxODguNTUgNDg0Ljg2IDE4OC42&#10;Wk00NzggMTc5LjE5QzQ3OC40MiAxNzkuNDYgNDc4LjYxIDE3OS44MSA0NzguNjEgMTgwLjE2IDQ3&#10;OS42OCAxODEuMjEgNDgwLjUyIDE4Mi40IDQ4MS4zNiAxODMuNTUgNDgyLjUxIDE4NS4xMyA0ODMu&#10;NjIgMTg2LjcyIDQ4NC42OSAxODguMzIgNDg0LjYgMTg4LjE4IDQ4NC41MSAxODguMDUgNDg0LjQy&#10;IDE4Ny45MSA0ODQuNTQgMTg4LjA5IDQ4NC42NiAxODguMjcgNDg0Ljc4IDE4OC40NiA0ODQuNzgg&#10;MTg4LjQ1IDQ4NC43NiAxODguNDQgNDg0Ljc2IDE4OC40MyA0ODQuNzggMTg4LjQ2IDQ4NC44IDE4&#10;OC40OSA0ODQuODIgMTg4LjUyTDQ4NC45MSAxODguNjVDNDg0LjkxIDE4OC42NSA0ODQuODkgMTg4&#10;LjYyIDQ4NC44OCAxODguNjEgNDg0LjkgMTg4LjY0IDQ4NC45MyAxODguNjggNDg0Ljk1IDE4OC43&#10;MSA0ODQuOTggMTg4Ljc1IDQ4NS4wMSAxODguOCA0ODUuMDQgMTg4Ljg0IDQ4NS4wMyAxODguODIg&#10;NDg1LjAxIDE4OC44IDQ4NSAxODguNzggNDg1LjY1IDE4OS43NiA0ODYuMjkgMTkwLjc1IDQ4Ni44&#10;OSAxOTEuNzUgNDg3LjUzIDE5Mi44MiA0ODguMDYgMTkzLjkxIDQ4OC42OSAxOTQuOTggNDg5LjA4&#10;IDE5NS42MyA0ODguNTggMTk2LjQ0IDQ4Ny43OSAxOTYuOCA0ODcuMzEgMTk3LjAyIDQ4Ni43MSAx&#10;OTcuMSA0ODYuMTUgMTk3LjAyIDQ4NS42MiAxOTYuOTUgNDg0Ljk4IDE5Ni42OSA0ODQuNzIgMTk2&#10;LjMzIDQ4My43NCAxOTQuOTMgNDgyLjY3IDE5My41NyA0ODEuNzQgMTkyLjE1IDQ4MC44OCAxOTAu&#10;ODYgNDgwLjA4IDE4OS41NSA0NzkuMjggMTg4LjI0IDQ3OC41IDE4Ni45NSA0NzcuNzIgMTg1LjY3&#10;IDQ3Ni45OCAxODQuMzcgNDc2LjM5IDE4My4zMyA0NzUuODEgMTgyLjI5IDQ3NS40NCAxODEuMjEg&#10;NDc1LjIgMTgxLjA2IDQ3NS4wMSAxODAuODYgNDc0LjkxIDE4MC42MyA0NzQuNjQgMTgwLjA1IDQ3&#10;NC45NyAxNzkuMzkgNDc1LjY5IDE3OS4wNiA0NzYuMDQgMTc4LjkgNDc2LjQ0IDE3OC44MyA0NzYu&#10;ODQgMTc4Ljg1IDQ3Ny4yNyAxNzguODcgNDc3LjY5IDE3OC45OSA0NzguMDIgMTc5LjJaIiBmaWxs&#10;PSIjMDEwMTAxIi8+PHBhdGggZD0iTTQ4Ni44NyAxNzcuM0M0ODcuMyAxNzcuNjggNDg3LjcgMTc4&#10;LjA4IDQ4OC4wOCAxNzguNDkgNDg4LjggMTc5LjI3IDQ4OS40NiAxODAuMDcgNDkwLjExIDE4MC44&#10;OCA0OTEuNDYgMTgyLjU1IDQ5Mi43OSAxODQuMjMgNDk0LjExIDE4NS45MiA0OTQuNiAxODYuNTQg&#10;NDk1LjA4IDE4Ny4xNiA0OTUuNTMgMTg3LjggNDk2LjA4IDE4OC41OSA0OTYuNTkgMTg5LjM5IDQ5&#10;Ny4wOSAxOTAuMiA0OTcuMiAxOTAuNDQgNDk3LjIyIDE5MC42OSA0OTcuMTUgMTkwLjkzIDQ5Ny4w&#10;NCAxOTEuMzEgNDk2LjcyIDE5MS42NSA0OTYuMjcgMTkxLjg2IDQ5NS4zMyAxOTIuMjkgNDk0LjA5&#10;IDE5Mi4wOCA0OTMuNDcgMTkxLjQzIDQ5Mi42OCAxOTAuNTkgNDkxLjkyIDE4OS43NCA0OTEuMjQg&#10;MTg4Ljg2IDQ5MC41OSAxODguMDMgNDkwLjAxIDE4Ny4xNyA0ODkuNDEgMTg2LjMyIDQ4OC4xOSAx&#10;ODQuNjEgNDg3IDE4Mi44OSA0ODUuOCAxODEuMTcgNDg1LjMgMTgwLjQ0IDQ4NC44IDE3OS43MiA0&#10;ODQuMzEgMTc4Ljk5IDQ4NC4xMSAxNzguNjkgNDgzLjkyIDE3OC4zOCA0ODMuNzQgMTc4LjA3IDQ4&#10;My42NiAxNzcuOTMgNDgzLjYgMTc3Ljc5IDQ4My41NSAxNzcuNjUgNDgzLjUxIDE3Ny41NSA0ODMu&#10;NDUgMTc3LjM2IDQ4My40NSAxNzcuMjMgNDgzLjQ1IDE3Ny4wMiA0ODMuNSAxNzYuODggNDgzLjYg&#10;MTc2LjY5IDQ4My43NSAxNzYuNDIgNDg0LjIxIDE3Ni4yNCA0ODQuNiAxNzYuMjIgNDg0LjY2IDE3&#10;Ni4yMiA0ODQuNzIgMTc2LjIyIDQ4NC43NyAxNzYuMjIgNDg1LjY3IDE3Ni4yNiA0ODYuMzUgMTc2&#10;Ljg1IDQ4Ni44NyAxNzcuMzFaIiBmaWxsPSIjMDEwMTAxIi8+PHBhdGggZD0iTTQ5My4zNCAxNzEu&#10;MjFDNDkzLjQzIDE3MS4yNSA0OTMuNTIgMTcxLjI5IDQ5My42MiAxNzEuMzUgNDkzLjkyIDE3MS41&#10;MyA0OTQuMTYgMTcxLjc3IDQ5NC40IDE3MS45OSA0OTQuODYgMTcyLjQyIDQ5NS4yNyAxNzIuODYg&#10;NDk1LjY2IDE3My4zMSA0OTYuNTMgMTc0LjMgNDk3LjM4IDE3NS4zMSA0OTguMjQgMTc2LjMxIDQ5&#10;OS44IDE3OC4xMSA1MDEuMjkgMTc5Ljk0IDUwMi45NSAxODEuNjkgNTAzLjU5IDE4Mi4zNiA1MDQu&#10;MjUgMTgzLjAxIDUwNC45MyAxODMuNjYgNTA1LjI5IDE4NC4wMSA1MDUuNjQgMTg0LjM1IDUwNS45&#10;OCAxODQuNyA1MDYuMTMgMTg0Ljg2IDUwNi4yOSAxODUuMDEgNTA2LjQzIDE4NS4xNyA1MDYuNjgg&#10;MTg1LjQ2IDUwNi44NSAxODUuNzggNTA3LjAxIDE4Ni4xIDUwNy4zMiAxODYuNzUgNTA2Ljk0IDE4&#10;Ny40OSA1MDYuMTQgMTg3Ljg2IDUwNS4zNCAxODguMjIgNTA0LjIzIDE4OC4xNyA1MDMuNTQgMTg3&#10;LjcgNTAzLjE3IDE4Ny40NSA1MDIuNzkgMTg3LjE4IDUwMi41MiAxODYuODYgNTAyLjMzIDE4Ni42&#10;MyA1MDIuMTQgMTg2LjQgNTAxLjk1IDE4Ni4xNyA1MDEuNTcgMTg1LjY5IDUwMS4yMiAxODUuMiA1&#10;MDAuODYgMTg0LjcxIDUwMC4yMSAxODMuODQgNDk5LjU5IDE4Mi45NiA0OTguOTMgMTgyLjA5IDQ5&#10;OC4yMSAxODEuMTQgNDk3LjQ4IDE4MC4xOSA0OTYuNzggMTc5LjIzIDQ5Ni4wNCAxNzguMjQgNDk1&#10;LjM1IDE3Ny4yNCA0OTQuNjQgMTc2LjI0IDQ5NC4wMyAxNzUuMzggNDkzLjQzIDE3NC41MiA0OTIu&#10;ODYgMTczLjY0IDQ5Mi42MiAxNzMuMjYgNDkyLjM4IDE3Mi44OCA0OTIuMTYgMTcyLjQ4IDQ5Mi4w&#10;NSAxNzIuMjggNDkxLjk4IDE3Mi4wOCA0OTEuOTIgMTcxLjg2IDQ5MS45IDE3MS43NyA0OTEuOTEg&#10;MTcxLjY5IDQ5MS45NCAxNzEuNjEgNDkxLjk0IDE3MS40MSA0OTIuMDYgMTcxLjIyIDQ5Mi4zMSAx&#10;NzEuMSA0OTIuNDUgMTcxLjA0IDQ5Mi42MiAxNzEuMDEgNDkyLjc5IDE3MS4wMiA0OTMgMTcxLjAy&#10;IDQ5My4yIDE3MS4wOSA0OTMuMzUgMTcxLjE4WiIgZmlsbD0iIzAxMDEwMSIvPjxwYXRoIGQ9Ik01&#10;MDEuMTkgMTY1LjhDNTAxLjE5IDE2NS44IDUwMS4yNCAxNjUuODIgNTAxLjI2IDE2NS44MyA1MDEu&#10;MzkgMTY1Ljg5IDUwMS41MiAxNjUuOTQgNTAxLjY1IDE2NS45OSA1MDIuMDQgMTY2LjE1IDUwMi40&#10;MSAxNjYuMzYgNTAyLjc2IDE2Ni41NiA1MDMuMzcgMTY2LjkxIDUwMy45NSAxNjcuMyA1MDQuNSAx&#10;NjcuNyA1MDUuNjcgMTY4LjU2IDUwNi44MiAxNjkuNDQgNTA3Ljk3IDE3MC4zMSA1MTAuMTkgMTcy&#10;IDUxMi4zOCAxNzMuNyA1MTQuNjQgMTc1LjM2IDUxNS42OCAxNzYuMTMgNTE2LjY5IDE3Ni45MSA1&#10;MTcuNjcgMTc3LjcyIDUxOC4zMSAxNzguMjQgNTE4LjkzIDE3OC43NyA1MTkuNTQgMTc5LjMgNTIw&#10;LjA2IDE3OS43NyA1MjAuNTQgMTgwLjI2IDUyMS4wNiAxODAuNzMgNTIxLjI4IDE4MC45NyA1MjEu&#10;NCAxODEuMjMgNTIxLjQyIDE4MS41MiA1MjEuNDYgMTgxLjk2IDUyMS4yNCAxODIuNCA1MjAuODMg&#10;MTgyLjcyIDUyMC40MyAxODMuMDMgNTE5Ljg2IDE4My4yMyA1MTkuMjcgMTgzLjI1IDUxOC43IDE4&#10;My4yOCA1MTcuOTkgMTgzLjEzIDUxNy41OSAxODIuODMgNTE2Ljk5IDE4Mi4zNyA1MTYuMzUgMTgx&#10;Ljk0IDUxNS43NiAxODEuNDcgNTE1LjIgMTgxLjAzIDUxNC42NSAxODAuNTcgNTE0LjExIDE4MC4x&#10;MiA1MTIuOTYgMTc5LjE1IDUxMS44MyAxNzguMTcgNTEwLjc0IDE3Ny4xNyA1MDguNzUgMTc1LjMz&#10;IDUwNi43MiAxNzMuNTIgNTA0Ljc0IDE3MS42OSA1MDMuNyAxNzAuNzMgNTAyLjY2IDE2OS43NyA1&#10;MDEuNjYgMTY4Ljc5IDUwMS4xOSAxNjguMzMgNTAwLjc0IDE2Ny44NiA1MDAuMzMgMTY3LjM4IDUw&#10;MC4xNiAxNjcuMTcgNTAwLjAxIDE2Ni45NSA0OTkuODkgMTY2LjcyIDQ5OS44NyAxNjYuNjggNDk5&#10;Ljg1IDE2Ni42MyA0OTkuODMgMTY2LjU5IDQ5OS42NiAxNjYuMzYgNDk5LjcyIDE2Ni4wNSA0OTku&#10;OTYgMTY1Ljg2IDUwMC4xNCAxNjUuNzIgNTAwLjQzIDE2NS42NCA1MDAuNyAxNjUuNjUgNTAwLjg4&#10;IDE2NS42NSA1MDEuMDUgMTY1LjcgNTAxLjE4IDE2NS43OVoiIGZpbGw9IiMwMTAxMDEiLz48cGF0&#10;aCBkPSJNNTEyLjYgMTU5LjY5QzUxMi43NiAxNTkuNzkgNTEyLjg3IDE1OS45MyA1MTIuOTIgMTYw&#10;LjA3IDUxMy4xNiAxNjAuMzMgNTEzLjQ2IDE2MC41NyA1MTMuNzMgMTYwLjgxIDUxNC4xNSAxNjEu&#10;MTggNTE0LjU4IDE2MS41NCA1MTUgMTYxLjkgNTE1LjgzIDE2Mi42MiA1MTYuNjUgMTYzLjM1IDUx&#10;Ny40NiAxNjQuMDggNTE5LjEgMTY1LjU3IDUyMC43NCAxNjcuMDcgNTIyLjQzIDE2OC41NCA1MjMu&#10;NDggMTY5LjQ2IDUyNC41NSAxNzAuMzggNTI1LjYxIDE3MS4zIDUyNi42OSAxNzIuMjQgNTI3Ljc0&#10;IDE3My4xOCA1MjguODMgMTc0LjEyIDUyOC45NSAxNzQuMjYgNTI5LjAyIDE3NC40MSA1MjkuMDQg&#10;MTc0LjU3IDUyOS4wNiAxNzQuODIgNTI4Ljk0IDE3NS4wOCA1MjguNyAxNzUuMjYgNTI4LjQ3IDE3&#10;NS40NCA1MjguMTQgMTc1LjU1IDUyNy44IDE3NS41NyA1MjcuNDggMTc1LjU4IDUyNy4wNSAxNzUu&#10;NTEgNTI2LjgzIDE3NS4zMyA1MjUuOTQgMTc0LjYxIDUyNS4wMiAxNzMuOTIgNTI0LjE0IDE3My4y&#10;MSA1MjMuMjIgMTcyLjQ2IDUyMi4zNiAxNzEuNjggNTIxLjUgMTcwLjkgNTE5Ljk0IDE2OS40NiA1&#10;MTguMzcgMTY4LjAyIDUxNi44NCAxNjYuNTcgNTE1Ljc3IDE2NS41NiA1MTQuNzIgMTY0LjU1IDUx&#10;My42NiAxNjMuNTMgNTEzLjE0IDE2My4wMyA1MTIuNjMgMTYyLjUyIDUxMi4xMiAxNjIuMDEgNTEx&#10;LjkgMTYxLjc4IDUxMS42OCAxNjEuNTUgNTExLjQ3IDE2MS4zMiA1MTEuMzIgMTYxLjE2IDUxMS4x&#10;NyAxNjAuOTkgNTExLjA0IDE2MC44MSA1MTAuOTQgMTYwLjczIDUxMC44NiAxNjAuNjMgNTEwLjgx&#10;IDE2MC41MyA1MTAuNjUgMTYwLjIgNTEwLjg0IDE1OS44MiA1MTEuMjYgMTU5LjYzIDUxMS40NiAx&#10;NTkuNTQgNTExLjY5IDE1OS41IDUxMS45MiAxNTkuNTEgNTEyLjE3IDE1OS41MSA1MTIuNDEgMTU5&#10;LjU5IDUxMi42IDE1OS43MVoiIGZpbGw9IiMwMTAxMDEiLz48cGF0aCBkPSJNNTMzLjAxIDE2Ni44&#10;NEM1MzMuMDEgMTY2Ljg0IDUzMy4wOSAxNjYuOTEgNTMzLjEzIDE2Ni45NCA1MzMuMTMgMTY2Ljk0&#10;IDUzMy4xMyAxNjYuOTQgNTMzLjE0IDE2Ni45NSA1MzMuMTQgMTY2Ljk1IDUzMy4xNSAxNjYuOTYg&#10;NTMzLjE2IDE2Ni45N0w1MzMuMTYgMTY2Ljk3QzUzMy4xNiAxNjYuOTcgNTMzLjI1IDE2Ny4wNSA1&#10;MzMuMyAxNjcuMDggNTMzLjI1IDE2Ny4wNCA1MzMuMiAxNjcgNTMzLjE1IDE2Ni45NiA1MzMuMDcg&#10;MTY2LjkgNTMzIDE2Ni44MyA1MzIuOTIgMTY2Ljc3IDUzMi45NSAxNjYuOCA1MzIuOTggMTY2Ljgy&#10;IDUzMy4wMSAxNjYuODVaTTUzNS43NSAxNjkuMDdDNTM1Ljc1IDE2OS4wNyA1MzUuNzkgMTY5LjEg&#10;NTM1LjggMTY5LjEyIDUzNS43OCAxNjkuMSA1MzUuNzYgMTY5LjA5IDUzNS43NSAxNjkuMDdaTTUz&#10;My4wMSAxNjYuODVDNTMzLjAxIDE2Ni44NSA1MzMuMDcgMTY2LjkgNTMzLjEgMTY2LjkyIDUzMy4w&#10;NyAxNjYuOSA1MzMuMDQgMTY2Ljg3IDUzMy4wMSAxNjYuODVaTTUyMi43NiAxNTQgNTIyLjc2IDE1&#10;NEM1MjIuOTIgMTU0LjEgNTIzLjA2IDE1NC4yMSA1MjMuMTggMTU0LjMxIDUyMy40NiAxNTQuNTMg&#10;NTIzLjcyIDE1NC43NiA1MjMuOTggMTU0Ljk5IDUyNC40OCAxNTUuNDIgNTI0Ljk4IDE1NS44NiA1&#10;MjUuNDggMTU2LjMgNTI2LjQyIDE1Ny4xNCA1MjcuMzYgMTU3Ljk4IDUyOC4zMSAxNTguODIgNTMw&#10;LjI0IDE2MC41MyA1MzIuMTkgMTYyLjIzIDUzNC4wNiAxNjMuOTYgNTM0Ljg0IDE2NC42OSA1MzUu&#10;NjIgMTY1LjQyIDUzNi4zNCAxNjYuMTcgNTM3LjEgMTY2Ljk2IDUzNy44NCAxNjcuNzUgNTM4LjY2&#10;IDE2OC41MiA1MzkuMTIgMTY4Ljk1IDUzOC44NSAxNjkuNjEgNTM4LjI1IDE2OS44OCA1MzcuOTUg&#10;MTcwLjAyIDUzNy41OCAxNzAuMDcgNTM3LjIzIDE3MC4wMiA1MzYuODMgMTY5Ljk2IDUzNi41OSAx&#10;NjkuOCA1MzYuMzQgMTY5LjU5IDUzNi4xNyAxNjkuNDQgNTM2IDE2OS4yOSA1MzUuODMgMTY5LjE1&#10;IDUzNC45NiAxNjguNDMgNTM0LjA0IDE2Ny43MyA1MzMuMTggMTY3IDUzMy4yNyAxNjcuMDggNTMz&#10;LjM2IDE2Ny4xNSA1MzMuNDYgMTY3LjIzIDUzMy4zNSAxNjcuMTQgNTMzLjI1IDE2Ny4wNSA1MzMu&#10;MTQgMTY2Ljk2IDUzMy4xIDE2Ni45MiA1MzMuMDUgMTY2Ljg5IDUzMy4wMSAxNjYuODUgNTMyLjk3&#10;IDE2Ni44MSA1MzIuOTMgMTY2Ljc4IDUzMi44OCAxNjYuNzQgNTMyLjg5IDE2Ni43NSA1MzIuOSAx&#10;NjYuNzYgNTMyLjkyIDE2Ni43NyA1MzAuOTkgMTY1LjEzIDUyOS4xOSAxNjMuNCA1MjcuNDEgMTYx&#10;LjY4IDUyNS41NiAxNTkuOSA1MjMuNjggMTU4LjEyIDUyMS45IDE1Ni4zMSA1MjEuNjcgMTU2LjA4&#10;IDUyMS40NiAxNTUuODQgNTIxLjI1IDE1NS42IDUyMS4wOCAxNTUuNCA1MjAuODggMTU1LjE4IDUy&#10;MC43OSAxNTQuOTQgNTIwLjY1IDE1NC42NSA1MjAuNzMgMTU0LjMxIDUyMS4wNCAxNTQuMDcgNTIx&#10;LjMgMTUzLjg3IDUyMS42NiAxNTMuNzcgNTIyLjAyIDE1My43OSA1MjIuMjkgMTUzLjggNTIyLjU2&#10;IDE1My44NyA1MjIuNzggMTU0LjAxWiIgZmlsbD0iIzAxMDEwMSIvPjxwYXRoIGQ9Ik01MzQuMDcg&#10;MTUyLjQ1QzUzNCAxNTIuMzkgNTMzLjkyIDE1Mi4zMyA1MzMuODUgMTUyLjI3IDUzMy45MiAxNTIu&#10;MzMgNTM0IDE1Mi4zOSA1MzQuMDcgMTUyLjQ1Wk01NDMuNjggMTY0LjcyQzU0My42OCAxNjQuNzIg&#10;NTQzLjY4IDE2NC43MiA1NDMuNjggMTY0LjcyIDU0My43MiAxNjQuNzUgNTQzLjc2IDE2NC43OSA1&#10;NDMuOCAxNjQuODIgNTQzLjc0IDE2NC43NyA1NDMuNjkgMTY0LjczIDU0My42MyAxNjQuNjggNTQz&#10;LjY0IDE2NC42OSA1NDMuNjUgMTY0LjcgNTQzLjY3IDE2NC43MVpNNTMwLjI2IDE0OS44OEM1MzAu&#10;NjggMTQ5LjkzIDUzMS4wOCAxNTAuMTQgNTMxLjM5IDE1MC4zNCA1MzEuNjUgMTUwLjUxIDUzMS45&#10;MSAxNTAuNjkgNTMyLjE1IDE1MC44OCA1MzIuNzQgMTUxLjMzIDUzMy4zIDE1MS44IDUzMy44NiAx&#10;NTIuMjcgNTMzLjg0IDE1Mi4yNiA1MzMuODMgMTUyLjI0IDUzMy44MSAxNTIuMjMgNTM1LjYxIDE1&#10;My43NSA1MzcuMzYgMTU1LjMxIDUzOS4wNyAxNTYuODggNTQwLjcyIDE1OC40IDU0Mi4zOSAxNTku&#10;OTEgNTQzLjg4IDE2MS41IDU0NC44OCAxNjIuNTcgNTQ1Ljg2IDE2My42NCA1NDYuOTMgMTY0LjY3&#10;IDU0Ny4zNSAxNjUuMDcgNTQ3LjExIDE2NS42OCA1NDYuNTUgMTY1Ljk0IDU0Ni4yNyAxNjYuMDcg&#10;NTQ1LjkyIDE2Ni4xMiA1NDUuNTkgMTY2LjA3IDU0NS4yMiAxNjYuMDIgNTQ0Ljk4IDE2NS44NyA1&#10;NDQuNzYgMTY1LjY3IDU0NC40MyAxNjUuMzcgNTQ0LjA4IDE2NS4wNyA1NDMuNzQgMTY0Ljc3IDU0&#10;My44MSAxNjQuODMgNTQzLjg5IDE2NC44OSA1NDMuOTYgMTY0Ljk2IDU0My44NyAxNjQuODggNTQz&#10;Ljc4IDE2NC44MSA1NDMuNjkgMTY0LjczIDU0My42OSAxNjQuNzMgNTQzLjY5IDE2NC43MyA1NDMu&#10;NjkgMTY0LjczIDU0My42NiAxNjQuNyA1NDMuNjMgMTY0LjY4IDU0My42IDE2NC42NSA1NDMuNjIg&#10;MTY0LjY3IDU0My42NCAxNjQuNjggNTQzLjY2IDE2NC43IDU0My41OSAxNjQuNjQgNTQzLjUyIDE2&#10;NC41OCA1NDMuNDUgMTY0LjUyIDU0My41MiAxNjQuNTkgNTQzLjYgMTY0LjY1IDU0My42OCAxNjQu&#10;NzEgNTQyLjgxIDE2My45OSA1NDEuOTIgMTYzLjI5IDU0MS4wNSAxNjIuNTcgNTQwLjExIDE2MS43&#10;OCA1MzkuMjEgMTYwLjk4IDUzOC4zMSAxNjAuMTcgNTM2LjYzIDE1OC42NCA1MzQuOTkgMTU3LjA5&#10;IDUzMy4zNiAxNTUuNTQgNTMyLjU2IDE1NC43OSA1MzEuNzcgMTU0LjAzIDUzMC45OSAxNTMuMjcg&#10;NTMwLjYgMTUyLjg5IDUzMC4yMSAxNTIuNSA1MjkuODIgMTUyLjExIDUyOS40MyAxNTEuNzIgNTI4&#10;LjkyIDE1MS4yNiA1MjguODcgMTUwLjc2IDUyOC44MiAxNTAuMjQgNTI5LjQ2IDE0OS44NSA1MzAu&#10;MTQgMTQ5Ljg4IDUzMC4xOCAxNDkuODggNTMwLjIzIDE0OS44OCA1MzAuMjcgMTQ5Ljg5WiIgZmls&#10;bD0iIzAxMDEwMSIvPjxwYXRoIGQ9Ik01NDAuMiAxNDQuMUM1NDAuNTQgMTQ0LjE1IDU0MC43NyAx&#10;NDQuMzIgNTQwLjk5IDE0NC40OSA1NDEuMjggMTQ0LjcxIDU0MS41NSAxNDQuOTQgNTQxLjgyIDE0&#10;NS4xNyA1NDIuMTkgMTQ1LjQ4IDU0Mi41NCAxNDUuOCA1NDIuODkgMTQ2LjEzIDU0My41OCAxNDYu&#10;NzYgNTQ0LjI0IDE0Ny40IDU0NC45MSAxNDguMDQgNTQ2LjMgMTQ5LjM1IDU0Ny42OCAxNTAuNjcg&#10;NTQ5LjA1IDE1MiA1NTAuMTMgMTUzLjA1IDU1MS4yMSAxNTQuMTEgNTUyLjMzIDE1NS4xNCA1NTMu&#10;NDkgMTU2LjIgNTU0LjY2IDE1Ny4yNiA1NTUuODQgMTU4LjMxIDU1Ni4wMSAxNTguNDcgNTU2LjA1&#10;IDE1OC43MiA1NTYgMTU4LjkxIDU1NS45NCAxNTkuMTMgNTU1Ljc2IDE1OS4zMiA1NTUuNSAxNTku&#10;NDQgNTU1LjI1IDE1OS41NSA1NTQuOTQgMTU5LjYgNTU0LjY1IDE1OS41NSA1NTQuMzIgMTU5LjUg&#10;NTU0LjEyIDE1OS4zNyA1NTMuOTEgMTU5LjE5IDU1Mi40NiAxNTcuOSA1NTAuOTYgMTU2LjY0IDU0&#10;OS40OCAxNTUuMzcgNTQ4LjAzIDE1NC4xMyA1NDYuNjkgMTUyLjgzIDU0NS4zNiAxNTEuNTMgNTQ0&#10;LjI1IDE1MC40MyA1NDMuMTQgMTQ5LjM0IDU0Mi4wNSAxNDguMjMgNTQxLjUzIDE0Ny43IDU0MSAx&#10;NDcuMTYgNTQwLjUgMTQ2LjYyIDU0MC4yMiAxNDYuMzMgNTM5Ljk1IDE0Ni4wNCA1MzkuNjggMTQ1&#10;Ljc0IDUzOS4zMyAxNDUuMzYgNTM4LjkgMTQ0LjkyIDUzOS4xOSAxNDQuNDUgNTM5LjM0IDE0NC4y&#10;MiA1MzkuNzEgMTQ0LjA4IDU0MC4wNyAxNDQuMDkgNTQwLjExIDE0NC4wOSA1NDAuMTYgMTQ0LjA5&#10;IDU0MC4yIDE0NC4xWiIgZmlsbD0iIzAxMDEwMSIvPjxwYXRoIGQ9Ik01NTMuODkgMTQzLjk0QzU1&#10;My44OSAxNDMuOTQgNTUzLjg2IDE0My45MiA1NTMuODUgMTQzLjkxIDU1My44NiAxNDMuOTIgNTUz&#10;Ljg4IDE0My45MyA1NTMuODkgMTQzLjk0Wk01NTQuMzkgMTQ4LjA2QzU1NC40NSAxNDguMTEgNTU0&#10;LjUxIDE0OC4xNiA1NTQuNTggMTQ4LjIyIDU1NC41MSAxNDguMTYgNTU0LjQ0IDE0OC4xIDU1NC4z&#10;NiAxNDguMDQgNTU0LjM3IDE0OC4wNCA1NTQuMzggMTQ4LjA2IDU1NC4zOSAxNDguMDdaTTU0OC45&#10;NSAxMzkuOTVDNTQ5LjQ5IDE0MC4zNiA1NTAuMDIgMTQwLjc4IDU1MC41NCAxNDEuMjEgNTUxLjYx&#10;IDE0Mi4wNyA1NTIuNjggMTQyLjkzIDU1My43MyAxNDMuODEgNTUzLjc3IDE0My44NCA1NTMuODEg&#10;MTQzLjg4IDU1My44NSAxNDMuOTEgNTUzLjg0IDE0My45IDU1My44MyAxNDMuODkgNTUzLjgxIDE0&#10;My44OCA1NTMuODUgMTQzLjkyIDU1My45IDE0My45NSA1NTMuOTQgMTQzLjk5IDU1My45MiAxNDMu&#10;OTcgNTUzLjkgMTQzLjk2IDU1My44OCAxNDMuOTQgNTU1LjQzIDE0NS4yNCA1NTYuOTUgMTQ2LjU2&#10;IDU1OC40MSAxNDcuOTEgNTU5LjA5IDE0OC41NSA1NTkuNzYgMTQ5LjIgNTYwLjQyIDE0OS44NSA1&#10;NjEuMTIgMTUwLjUzIDU2MS44NSAxNTEuMiA1NjIuNTkgMTUxLjg2IDU2Mi43OSAxNTIuMDQgNTYy&#10;Ljg0IDE1Mi4zNSA1NjIuNzggMTUyLjU3IDU2Mi43MSAxNTIuODIgNTYyLjQ5IDE1My4wNSA1NjIu&#10;MTkgMTUzLjE4IDU2MS45IDE1My4zMSA1NjEuNTQgMTUzLjM2IDU2MS4yIDE1My4zMSA1NjAuODEg&#10;MTUzLjI2IDU2MC41OCAxNTMuMSA1NjAuMzQgMTUyLjg5IDU2MC4xMiAxNTIuNyA1NTkuOSAxNTIu&#10;NTIgNTU5LjY4IDE1Mi4zMyA1NTguODggMTUxLjY3IDU1OC4wNiAxNTEuMDIgNTU3LjIzIDE1MC4z&#10;OCA1NTYuMzIgMTQ5LjY3IDU1NS40NCAxNDguOTUgNTU0LjU3IDE0OC4yMSA1NTQuNTkgMTQ4LjIz&#10;IDU1NC42MSAxNDguMjQgNTU0LjYzIDE0OC4yNiA1NTQuNTUgMTQ4LjE5IDU1NC40NyAxNDguMTMg&#10;NTU0LjM5IDE0OC4wNiA1NTQuMzggMTQ4LjA1IDU1NC4zNiAxNDguMDQgNTU0LjM1IDE0OC4wMyA1&#10;NTQuMzUgMTQ4LjAzIDU1NC4zNSAxNDguMDMgNTU0LjM1IDE0OC4wMyA1NTIuODEgMTQ2Ljc0IDU1&#10;MS4yOCAxNDUuNDMgNTQ5Ljc3IDE0NC4xMiA1NDguOTkgMTQzLjQ0IDU0OC4yMSAxNDIuNzYgNTQ3&#10;LjQ1IDE0Mi4wNiA1NDcuMDkgMTQxLjczIDU0Ni43MiAxNDEuMzkgNTQ2LjM2IDE0MS4wNSA1NDYu&#10;MjEgMTQwLjkxIDU0Ni4wNiAxNDAuNzcgNTQ1LjkxIDE0MC42MiA1NDUuNjcgMTQwLjM4IDU0NS40&#10;OSAxNDAuMTUgNTQ1LjQzIDEzOS44NCA1NDUuMzMgMTM5LjM1IDU0NS45OCAxMzguODggNTQ2LjY1&#10;IDEzOC44NiA1NDYuNjkgMTM4Ljg2IDU0Ni43NCAxMzguODYgNTQ2Ljc4IDEzOC44NiA1NDcuNjgg&#10;MTM4LjkgNTQ4LjM1IDEzOS40OSA1NDguOTMgMTM5LjkzWiIgZmlsbD0iIzAxMDEwMSIvPjxwYXRo&#10;IGQ9Ik01NjYuMDMgMTQ0LjY4QzU2Ni4wMyAxNDQuNjggNTY2LjA4IDE0NC43MiA1NjYuMSAxNDQu&#10;NzQgNTY2LjA4IDE0NC43MiA1NjYuMDUgMTQ0LjcgNTY2LjAzIDE0NC42OFpNNTU2LjE1IDEzMy4x&#10;M0M1NTYuNTIgMTMzLjIgNTU2Ljc3IDEzMy4zNSA1NTcuMDIgMTMzLjU0IDU1Ny4yNSAxMzMuNzIg&#10;NTU3LjQ3IDEzMy45MSA1NTcuNjggMTM0LjExIDU1OC4wNSAxMzQuNDQgNTU4LjQxIDEzNC43NiA1&#10;NTguNzggMTM1LjA5IDU1OS41MSAxMzUuNzUgNTYwLjI1IDEzNi40IDU2MC45OSAxMzcuMDYgNTYy&#10;LjUyIDEzOC40MSA1NjQuMDUgMTM5Ljc2IDU2NS41NyAxNDEuMTIgNTY3LjQ3IDE0Mi44MiA1Njku&#10;MjcgMTQ0LjU4IDU3MS4xOSAxNDYuMjcgNTcxLjM5IDE0Ni40NSA1NzEuNDMgMTQ2Ljc0IDU3MS4z&#10;NyAxNDYuOTUgNTcxLjMgMTQ3LjE5IDU3MS4xIDE0Ny40MSA1NzAuOCAxNDcuNTQgNTcwLjUyIDE0&#10;Ny42NyA1NzAuMTcgMTQ3LjcyIDU2OS44NCAxNDcuNjcgNTY5LjQ3IDE0Ny42MiA1NjkuMjQgMTQ3&#10;LjQ3IDU2OS4wMSAxNDcuMjcgNTY3Ljk3IDE0Ni4zNiA1NjYuOTIgMTQ1LjQ1IDU2NS44NSAxNDQu&#10;NTUgNTY1Ljg4IDE0NC41NyA1NjUuOSAxNDQuNTkgNTY1LjkzIDE0NC42MSA1NjQuMzMgMTQzLjI2&#10;IDU2Mi44IDE0MS44OCA1NjEuMjkgMTQwLjQ5IDU1OS44NSAxMzkuMTYgNTU4LjQyIDEzNy44MiA1&#10;NTcuMDMgMTM2LjQ2IDU1Ni42MiAxMzYuMDYgNTU2LjIzIDEzNS42NiA1NTUuODUgMTM1LjI1IDU1&#10;NS42NSAxMzUuMDQgNTU1LjQ2IDEzNC44MiA1NTUuMjggMTM0LjYgNTU1LjA1IDEzNC4zMiA1NTQu&#10;ODUgMTM0LjAyIDU1NC45NCAxMzMuNjggNTU1LjAzIDEzMy4zNCA1NTUuNDkgMTMzLjA4IDU1NS45&#10;NyAxMzMuMSA1NTYuMDIgMTMzLjEgNTU2LjA4IDEzMy4xIDU1Ni4xMyAxMzMuMTJaIiBmaWxsPSIj&#10;MDEwMTAxIi8+PHBhdGggZD0iTTU2My45OSAxMzAuNDJDNTYzLjk5IDEzMC40MiA1NjQuMDUgMTMw&#10;LjQ3IDU2NC4wNyAxMzAuNDkgNTY0LjA0IDEzMC40NyA1NjQuMDEgMTMwLjQ0IDU2My45OSAxMzAu&#10;NDJaTTU2Mi45IDEyNi42MUM1NjMuMjcgMTI2Ljc2IDU2My42MiAxMjYuOTUgNTYzLjk1IDEyNy4x&#10;NCA1NjQuNTcgMTI3LjUxIDU2NS4xNyAxMjcuOSA1NjUuNzYgMTI4LjMgNTY2LjkgMTI5LjA3IDU2&#10;OC4wMSAxMjkuODYgNTY5LjEyIDEzMC42NiA1NzEuMjkgMTMyLjIyIDU3My40MyAxMzMuNzkgNTc1&#10;LjU1IDEzNS4zOCA1NzYuMzEgMTM1Ljk1IDU3Ny4wOCAxMzYuNTIgNTc3LjgzIDEzNy4xIDU3OC42&#10;NiAxMzcuNzUgNTc5LjQyIDEzOC40MyA1ODAuMiAxMzkuMSA1ODAuMzggMTM5LjI1IDU4MC41NiAx&#10;MzkuMzkgNTgwLjc0IDEzOS41MyA1ODEuMDcgMTM5Ljc5IDU4MS4zIDE0MC4wNCA1ODEuMzMgMTQw&#10;LjQgNTgxLjM2IDE0MC43NCA1ODEuMTkgMTQxLjA5IDU4MC44NyAxNDEuMzQgNTgwLjIzIDE0MS44&#10;NSA1NzkuMDMgMTQxLjkyIDU3OC4zMiAxNDEuNDMgNTc3LjE5IDE0MC42NSA1NzUuOTYgMTM5Ljk2&#10;IDU3NC44NSAxMzkuMTggNTczLjc2IDEzOC40MiA1NzIuNzQgMTM3LjYxIDU3MS43MyAxMzYuNzkg&#10;NTY5LjcgMTM1LjE2IDU2Ny43MiAxMzMuNTEgNTY1LjczIDEzMS44NiA1NjUuMzUgMTMxLjU0IDU2&#10;NC45NiAxMzEuMjIgNTY0LjU4IDEzMC45IDU2NC4zNCAxMzAuNyA1NjQuMDkgMTMwLjQ5IDU2My44&#10;NSAxMzAuMjkgNTYzLjI3IDEyOS44IDU2Mi42OSAxMjkuMyA1NjIuMTIgMTI4LjggNTYxLjg3IDEy&#10;OC41OCA1NjEuNjIgMTI4LjM2IDU2MS4zOSAxMjguMTQgNTYxLjE0IDEyNy44OSA1NjAuODMgMTI3&#10;LjU4IDU2MC44NSAxMjcuMjYgNTYwLjg3IDEyNi45MyA1NjEuMDkgMTI2LjU1IDU2MS42IDEyNi40&#10;NiA1NjEuNzggMTI2LjQzIDU2MS45NSAxMjYuNDIgNTYyLjEyIDEyNi40MiA1NjIuMzkgMTI2LjQz&#10;IDU2Mi42NSAxMjYuNDkgNTYyLjkxIDEyNi41OVoiIGZpbGw9IiMwMTAxMDEiLz48cGF0aCBkPSJN&#10;NTg0LjIzIDEzNS44OUM1ODQuMyAxMzUuOTYgNTg0LjM4IDEzNi4wMiA1ODQuNDYgMTM2LjA4IDU4&#10;NC4zOSAxMzYuMDIgNTg0LjMxIDEzNS45NSA1ODQuMjMgMTM1Ljg5Wk01NzMuMTQgMTIyLjU3QzU3&#10;My40MiAxMjIuNjggNTczLjYyIDEyMi44NSA1NzMuODIgMTIzLjAyIDU3NC4wNyAxMjMuMjIgNTc0&#10;LjMgMTIzLjQyIDU3NC41NCAxMjMuNjIgNTc0LjkzIDEyMy45NiA1NzUuMzEgMTI0LjMgNTc1Ljcg&#10;MTI0LjY0IDU3Ni40NSAxMjUuMzEgNTc3LjE4IDEyNS45OSA1NzcuOTEgMTI2LjY3IDU3OS40NCAx&#10;MjguMDggNTgwLjk5IDEyOS40NyA1ODIuNTYgMTMwLjg2IDU4My42IDEzMS43OCA1ODQuNjMgMTMy&#10;LjcgNTg1LjU4IDEzMy42NyA1ODYuNTMgMTM0LjY0IDU4Ny41MSAxMzUuNTggNTg4LjUyIDEzNi41&#10;MSA1ODguNzQgMTM2LjcxIDU4OC43OSAxMzcuMDIgNTg4LjcyIDEzNy4yNSA1ODguNjUgMTM3LjUx&#10;IDU4OC40MiAxMzcuNzUgNTg4LjEgMTM3LjkgNTg3Ljc5IDEzOC4wNCA1ODcuNDIgMTM4LjA5IDU4&#10;Ny4wNiAxMzguMDQgNTg2LjY2IDEzNy45OCA1ODYuNCAxMzcuODIgNTg2LjE2IDEzNy42IDU4NS42&#10;IDEzNy4wOSA1ODUuMDMgMTM2LjYgNTg0LjQ1IDEzNi4xIDU4My42NiAxMzUuNDUgNTgyLjg0IDEz&#10;NC44MiA1ODIuMDUgMTM0LjE3IDU4MS4xOCAxMzMuNDUgNTgwLjM1IDEzMi43MSA1NzkuNTQgMTMx&#10;Ljk1IDU3OC4wNCAxMzAuNTUgNTc2LjYxIDEyOS4xMSA1NzUuMjggMTI3LjY0IDU3NC42MSAxMjYu&#10;OSA1NzMuOTYgMTI2LjE3IDU3My4zNCAxMjUuNDEgNTczLjA2IDEyNS4wNyA1NzIuOCAxMjQuNzMg&#10;NTcyLjU1IDEyNC4zOCA1NzIuMjMgMTIzLjkyIDU3MS43NCAxMjMuMzUgNTcyLjA1IDEyMi44MyA1&#10;NzIuMTcgMTIyLjYyIDU3Mi41MSAxMjIuNTEgNTcyLjgyIDEyMi41MiA1NzIuOTMgMTIyLjUyIDU3&#10;My4wMyAxMjIuNTQgNTczLjEyIDEyMi41OFoiIGZpbGw9IiMwMTAxMDEiLz48cGF0aCBkPSJNNTg0&#10;LjYyIDExMy44NkM1ODQuNzYgMTEzLjg4IDU4NC45MSAxMTMuOTMgNTg1LjA1IDExMy45NyA1ODUu&#10;MjkgMTE0LjA0IDU4NS41IDExNC4xOCA1ODUuNyAxMTQuMyA1ODYuMDEgMTE0LjQ3IDU4Ni4yNyAx&#10;MTQuNjggNTg2LjU0IDExNC44OCA1ODcuMDQgMTE1LjI1IDU4Ny41MSAxMTUuNjQgNTg3Ljk4IDEx&#10;Ni4wMyA1ODkuMDIgMTE2LjkgNTkwLjAyIDExNy43OSA1OTEgMTE4LjY5IDU5Mi44NCAxMjAuMzcg&#10;NTk0LjYzIDEyMi4wOCA1OTYuMzMgMTIzLjg0IDU5Ny4wNSAxMjQuNTkgNTk3LjcgMTI1LjM3IDU5&#10;OC4zNiAxMjYuMTUgNTk5LjA2IDEyNi45NyA1OTkuODIgMTI3Ljc1IDYwMC42MSAxMjguNTIgNjAx&#10;LjEzIDEyOS4wMyA2MDAuODQgMTI5Ljc4IDYwMC4xMyAxMzAuMTEgNTk5Ljc4IDEzMC4yNyA1OTku&#10;MzUgMTMwLjMzIDU5OC45NCAxMzAuMjcgNTk4LjQ5IDEzMC4yMSA1OTguMTcgMTMwLjAyIDU5Ny45&#10;IDEyOS43NyA1OTcuMzQgMTI5LjI0IDU5Ni43NyAxMjguNzIgNTk2LjE3IDEyOC4yIDU5NS4xNyAx&#10;MjcuMzggNTk0LjEzIDEyNi41OSA1OTMuMTYgMTI1Ljc1IDU5Mi4yMyAxMjQuOTUgNTkxLjM1IDEy&#10;NC4xMiA1OTAuNDcgMTIzLjMgNTg4LjY0IDEyMS41OSA1ODYuODYgMTE5Ljg1IDU4NS4yMiAxMTgu&#10;MDUgNTg0Ljc4IDExNy41NiA1ODQuMzMgMTE3LjA2IDU4My45NCAxMTYuNTQgNTgzLjY3IDExNi4x&#10;OCA1ODMuNDIgMTE1LjgyIDU4My4yMSAxMTUuNDUgNTgzLjA2IDExNS4xOSA1ODMuMDMgMTE0Ljg5&#10;IDU4My4wOCAxMTQuNjIgNTgzLjE1IDExNC4yNCA1ODMuNjYgMTEzLjg0IDU4NC4yMyAxMTMuODUg&#10;NTg0LjMgMTEzLjg1IDU4NC4zOCAxMTMuODUgNTg0LjQ1IDExMy44NSA1ODQuNSAxMTMuODUgNTg0&#10;LjU2IDExMy44NSA1ODQuNiAxMTMuODZaIiBmaWxsPSIjMDEwMTAxIi8+PHBhdGggZD0iTTU5NS44&#10;MiAxMTAuMDJDNTk2LjMyIDExMC4wOCA1OTYuNzMgMTEwLjMyIDU5Ny4xMSAxMTAuNTQgNTk3LjM1&#10;IDExMC42OCA1OTcuNTcgMTEwLjg1IDU5Ny43OSAxMTEuMDEgNTk4LjMyIDExMS4zOSA1OTguNzkg&#10;MTExLjggNTk5LjI3IDExMi4yMSA2MDAuMTIgMTEyLjkzIDYwMC45MiAxMTMuNjcgNjAxLjcxIDEx&#10;NC40MyA2MDMuMjEgMTE1Ljg4IDYwNC43NCAxMTcuMzIgNjA2LjI4IDExOC43NSA2MDcuMzEgMTE5&#10;LjcgNjA4LjM1IDEyMC42NSA2MDkuNCAxMjEuNiA2MDkuNjkgMTIxLjg2IDYwOS43NSAxMjIuMjgg&#10;NjA5LjY2IDEyMi41OSA2MDkuNTYgMTIyLjk0IDYwOS4yNiAxMjMuMjYgNjA4Ljg0IDEyMy40NSA2&#10;MDguNDMgMTIzLjY0IDYwNy45MiAxMjMuNzEgNjA3LjQ1IDEyMy42NCA2MDcuMjkgMTIzLjYgNjA3&#10;LjEzIDEyMy41NiA2MDYuOTcgMTIzLjUyIDYwNi42NiAxMjMuNDEgNjA2LjQyIDEyMy4yNSA2MDYu&#10;MjQgMTIzLjA1IDYwNC42MyAxMjEuNTkgNjAzLjAzIDEyMC4xMiA2MDEuNDEgMTE4LjY3IDU5OS44&#10;IDExNy4yMiA1OTguMTIgMTE1LjgxIDU5Ni42MiAxMTQuMyA1OTYuMTggMTEzLjg1IDU5NS43NCAx&#10;MTMuNCA1OTUuMzEgMTEyLjk0IDU5NS4wOCAxMTIuNjkgNTk0Ljg2IDExMi40MyA1OTQuNjQgMTEy&#10;LjE4IDU5NC41IDExMiA1OTQuMzYgMTExLjgxIDU5NC4yNCAxMTEuNjEgNTk0LjEgMTExLjM2IDU5&#10;NC4wNyAxMTEuMSA1OTQuMTEgMTEwLjgyIDU5NC4yMSAxMTAuMyA1OTQuOTUgMTA5Ljk4IDU5NS42&#10;NCAxMTAuMDEgNTk1LjY5IDExMC4wMSA1OTUuNzUgMTEwLjAxIDU5NS44IDExMC4wMloiIGZpbGw9&#10;IiMwMTAxMDEiLz48cGF0aCBkPSJNNjA0LjY3IDEwMS43OUM2MDQuNjcgMTAxLjc5IDYwNC42NSAx&#10;MDEuODEgNjA0LjY0IDEwMS44Mkw2MDQuNjQgMTAxLjgyQzYwNC42NCAxMDEuODIgNjA0LjY0IDEw&#10;MS44MiA2MDQuNjQgMTAxLjgyIDYwNC42NCAxMDEuODEgNjA0LjY2IDEwMS44IDYwNC42NiAxMDEu&#10;NzlaTTYwNi4xNyAxMDEuNDVDNjA2LjE3IDEwMS40NSA2MDYuMjEgMTAxLjQ2IDYwNi4yMyAxMDEu&#10;NDcgNjA2LjIyIDEwMS40NyA2MDYuMiAxMDEuNDYgNjA2LjE5IDEwMS40NSA2MDYuMTkgMTAxLjQ1&#10;IDYwNi4xOCAxMDEuNDUgNjA2LjE3IDEwMS40NVpNNjA1LjMxIDEwMS40QzYwNS4zMSAxMDEuNCA2&#10;MDUuMzEgMTAxLjQgNjA1LjMxIDEwMS40IDYwNS4zMSAxMDEuNCA2MDUuMzEgMTAxLjQgNjA1LjMx&#10;IDEwMS40IDYwNS4zMSAxMDEuNCA2MDUuMzEgMTAxLjQgNjA1LjMxIDEwMS40Wk02MDcuNjQgMTAy&#10;LjM3QzYwOC4xMSAxMDIuNzcgNjA4LjU0IDEwMy4yIDYwOC45NyAxMDMuNjMgNjA5LjkxIDEwNC41&#10;NSA2MTAuODQgMTA1LjQ3IDYxMS43NiAxMDYuNDEgNjEzLjU1IDEwOC4yMiA2MTUuMTYgMTEwLjEx&#10;IDYxNi44NyAxMTEuOTYgNjE3Ljg3IDExMy4wNSA2MTguODkgMTE0LjEyIDYxOS45IDExNS4yMSA2&#10;MjAuNCAxMTUuNzQgNjIwLjE2IDExNi40NyA2MTkuNDIgMTE2LjgyIDYxOC42NyAxMTcuMTcgNjE3&#10;LjY2IDExNyA2MTcuMTYgMTE2LjQ4IDYxNS40NSAxMTQuNjYgNjEzLjc0IDExMi44NCA2MTEuOTUg&#10;MTExLjA2IDYxMC4wOSAxMDkuMjEgNjA4LjI3IDEwNy4zMyA2MDYuNTkgMTA1LjM5IDYwNi4xNiAx&#10;MDQuODkgNjA1Ljc0IDEwNC4zNyA2MDUuMzcgMTAzLjg1IDYwNS4xNCAxMDMuNTIgNjA0LjkgMTAz&#10;LjE5IDYwNC43IDEwMi44NSA2MDQuNTcgMTAyLjYyIDYwNC40OCAxMDIuMzggNjA0LjUgMTAyLjE1&#10;IDYwNC41MSAxMDEuOTYgNjA0LjYxIDEwMS43OCA2MDQuNzkgMTAxLjY0IDYwNC45NiAxMDEuNTEg&#10;NjA1LjE4IDEwMS40MiA2MDUuNCAxMDEuMzkgNjA1LjUyIDEwMS4zNyA2MDUuNjQgMTAxLjM2IDYw&#10;NS43NSAxMDEuMzcgNjA2LjUyIDEwMS40IDYwNy4xNCAxMDEuOTggNjA3LjYyIDEwMi4zOFoiIGZp&#10;bGw9IiMwMTAxMDEiLz48L3N2Zz5QSwMEFAAGAAgAAAAhAJ3NZFXdAAAABgEAAA8AAABkcnMvZG93&#10;bnJldi54bWxMj0FLw0AQhe+C/2EZwZvdbLRiYzalFPVUhLaC9LbNTpPQ7GzIbpP03zue9DTMvMeb&#10;7+XLybViwD40njSoWQICqfS2oUrD1/794QVEiIasaT2hhisGWBa3N7nJrB9pi8MuVoJDKGRGQx1j&#10;l0kZyhqdCTPfIbF28r0zkde+krY3I4e7VqZJ8iydaYg/1KbDdY3leXdxGj5GM64e1duwOZ/W18N+&#10;/vm9Uaj1/d20egURcYp/ZvjFZ3QomOnoL2SDaDVwkchXxZPV9GnORY4aFioFWeTyP37xAw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oSLsUCUF&#10;AAAtDwAADgAAAAAAAAAAAAAAAABDAgAAZHJzL2Uyb0RvYy54bWxQSwECLQAKAAAAAAAAACEAGMgc&#10;Hv3hAAD94QAAFAAAAAAAAAAAAAAAAACUBwAAZHJzL21lZGlhL2ltYWdlMS5wbmdQSwECLQAKAAAA&#10;AAAAACEA537WYP8PAQD/DwEAFAAAAAAAAAAAAAAAAADD6QAAZHJzL21lZGlhL2ltYWdlMi5zdmdQ&#10;SwECLQAUAAYACAAAACEAnc1kVd0AAAAGAQAADwAAAAAAAAAAAAAAAAD0+QEAZHJzL2Rvd25yZXYu&#10;eG1sUEsBAi0AFAAGAAgAAAAhACJWDu7HAAAApQEAABkAAAAAAAAAAAAAAAAA/voBAGRycy9fcmVs&#10;cy9lMm9Eb2MueG1sLnJlbHNQSwUGAAAAAAcABwC+AQAA/PsBAAAA&#10;">
                <v:shape id="Graphic 1" o:spid="_x0000_s1056" type="#_x0000_t75" style="position:absolute;width:15608;height:62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4D6zQAAAOMAAAAPAAAAZHJzL2Rvd25yZXYueG1sRI9BS8NA&#10;EIXvgv9hGcGLtJu00obYbSlSUSkKtr30NmbHbGh2NmTXNv575yB4nHlv3vtmsRp8q87UxyawgXyc&#10;gSKugm24NnDYP40KUDEhW2wDk4EfirBaXl8tsLThwh903qVaSQjHEg24lLpS61g58hjHoSMW7Sv0&#10;HpOMfa1tjxcJ962eZNlMe2xYGhx29OioOu2+vYHi9XN9tw2bA9b7af7uNm+n43My5vZmWD+ASjSk&#10;f/Pf9YsV/Ekxnc/u57lAy0+yAL38BQAA//8DAFBLAQItABQABgAIAAAAIQDb4fbL7gAAAIUBAAAT&#10;AAAAAAAAAAAAAAAAAAAAAABbQ29udGVudF9UeXBlc10ueG1sUEsBAi0AFAAGAAgAAAAhAFr0LFu/&#10;AAAAFQEAAAsAAAAAAAAAAAAAAAAAHwEAAF9yZWxzLy5yZWxzUEsBAi0AFAAGAAgAAAAhAIEjgPrN&#10;AAAA4wAAAA8AAAAAAAAAAAAAAAAABwIAAGRycy9kb3ducmV2LnhtbFBLBQYAAAAAAwADALcAAAAB&#10;AwAAAAA=&#10;">
                  <v:imagedata r:id="rId59" o:title="" cropleft="2286f"/>
                  <o:lock v:ext="edit" aspectratio="f"/>
                </v:shape>
                <v:shape id="Text Box 467696302" o:spid="_x0000_s1057" type="#_x0000_t202" style="position:absolute;left:3810;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950ywAAAOIAAAAPAAAAZHJzL2Rvd25yZXYueG1sRI9BS8NA&#10;FITvgv9heYI3uzGWaNNuSwkRFERIaqHHR/aZhGbfhuy23f57VxA8DjPzDbPaBDOIM02ut6zgcZaA&#10;IG6s7rlV8LV7fXgB4TyyxsEyKbiSg8369maFubYXruhc+1ZECLscFXTej7mUrunIoJvZkTh633Yy&#10;6KOcWqknvES4GWSaJJk02HNc6HCkoqPmWJ+MgkNatmX4rLZ7fv+owrEsdsWpVur+LmyXIDwF/x/+&#10;a79pBfPsOVtkT0kKv5fiHZDrHwAAAP//AwBQSwECLQAUAAYACAAAACEA2+H2y+4AAACFAQAAEwAA&#10;AAAAAAAAAAAAAAAAAAAAW0NvbnRlbnRfVHlwZXNdLnhtbFBLAQItABQABgAIAAAAIQBa9CxbvwAA&#10;ABUBAAALAAAAAAAAAAAAAAAAAB8BAABfcmVscy8ucmVsc1BLAQItABQABgAIAAAAIQDNK950ywAA&#10;AOIAAAAPAAAAAAAAAAAAAAAAAAcCAABkcnMvZG93bnJldi54bWxQSwUGAAAAAAMAAwC3AAAA/wIA&#10;AAAA&#10;" filled="f" stroked="f">
                  <v:textbox inset="0,,0">
                    <w:txbxContent>
                      <w:p w14:paraId="685B719B" w14:textId="478B5E8D" w:rsidR="001757D2" w:rsidRPr="000326C6" w:rsidRDefault="00546408" w:rsidP="001757D2">
                        <w:pPr>
                          <w:spacing w:after="0" w:line="240" w:lineRule="auto"/>
                          <w:jc w:val="center"/>
                          <w:rPr>
                            <w:b/>
                            <w:bCs/>
                            <w:color w:val="000000"/>
                            <w:sz w:val="20"/>
                            <w:szCs w:val="20"/>
                          </w:rPr>
                        </w:pPr>
                        <w:r>
                          <w:rPr>
                            <w:b/>
                            <w:bCs/>
                            <w:color w:val="000000"/>
                            <w:sz w:val="20"/>
                            <w:szCs w:val="20"/>
                          </w:rPr>
                          <w:t>Further detail in</w:t>
                        </w:r>
                      </w:p>
                      <w:p w14:paraId="172228B8" w14:textId="4D774E76" w:rsidR="001757D2" w:rsidRPr="00697AE5" w:rsidRDefault="001757D2" w:rsidP="001757D2">
                        <w:pP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7</w:t>
                        </w:r>
                      </w:p>
                    </w:txbxContent>
                  </v:textbox>
                </v:shape>
                <w10:wrap type="square" anchorx="page"/>
              </v:group>
            </w:pict>
          </mc:Fallback>
        </mc:AlternateContent>
      </w:r>
      <w:r w:rsidR="00E933A8" w:rsidRPr="00884FAA">
        <w:t xml:space="preserve">The evaluation </w:t>
      </w:r>
      <w:r w:rsidR="00BC15E8">
        <w:t>found</w:t>
      </w:r>
      <w:r w:rsidR="00BC15E8" w:rsidRPr="00884FAA">
        <w:t xml:space="preserve"> </w:t>
      </w:r>
      <w:r w:rsidR="00E933A8" w:rsidRPr="00884FAA">
        <w:t xml:space="preserve">that services funded through the IAHP increase the accessibility of </w:t>
      </w:r>
      <w:r w:rsidR="003279C5">
        <w:t>PHC</w:t>
      </w:r>
      <w:r w:rsidR="00E933A8" w:rsidRPr="00884FAA">
        <w:t xml:space="preserve"> through the provision of support to access and navigate health care services</w:t>
      </w:r>
      <w:r w:rsidR="00F159FB">
        <w:t>.</w:t>
      </w:r>
      <w:r w:rsidR="00432146" w:rsidRPr="00884FAA">
        <w:t xml:space="preserve"> R</w:t>
      </w:r>
      <w:r w:rsidR="00E933A8" w:rsidRPr="00884FAA">
        <w:t>esponsibility for overcoming the</w:t>
      </w:r>
      <w:r w:rsidR="00BA5391" w:rsidRPr="00884FAA">
        <w:t xml:space="preserve"> barriers and </w:t>
      </w:r>
      <w:r w:rsidR="00432146" w:rsidRPr="00884FAA">
        <w:t xml:space="preserve">interfaces </w:t>
      </w:r>
      <w:r w:rsidR="00BA5391" w:rsidRPr="00884FAA">
        <w:t xml:space="preserve">that exist </w:t>
      </w:r>
      <w:r w:rsidR="00432146" w:rsidRPr="00884FAA">
        <w:t xml:space="preserve">between systems </w:t>
      </w:r>
      <w:r w:rsidR="00E933A8" w:rsidRPr="00884FAA">
        <w:t>should be met with resources from the mainstream system rather than relying on the limited pool of funding available through the IAHP</w:t>
      </w:r>
      <w:r w:rsidR="00BA5391" w:rsidRPr="00884FAA">
        <w:t xml:space="preserve">. </w:t>
      </w:r>
      <w:r w:rsidR="001B23B0">
        <w:t xml:space="preserve">The evaluation found that </w:t>
      </w:r>
      <w:r w:rsidR="009C73C4">
        <w:t>the</w:t>
      </w:r>
      <w:r w:rsidR="00BA5391" w:rsidRPr="00884FAA">
        <w:t xml:space="preserve"> </w:t>
      </w:r>
      <w:r w:rsidR="00746518" w:rsidRPr="00884FAA">
        <w:t xml:space="preserve">IAHP funding </w:t>
      </w:r>
      <w:r w:rsidR="00BA5391" w:rsidRPr="00884FAA">
        <w:t xml:space="preserve">should </w:t>
      </w:r>
      <w:r w:rsidR="00746518" w:rsidRPr="00884FAA">
        <w:t xml:space="preserve">focus on directing </w:t>
      </w:r>
      <w:r w:rsidR="004C54F0" w:rsidRPr="00884FAA">
        <w:t xml:space="preserve">funding </w:t>
      </w:r>
      <w:r w:rsidR="00746518" w:rsidRPr="00884FAA">
        <w:t xml:space="preserve">to </w:t>
      </w:r>
      <w:r w:rsidR="004C54F0" w:rsidRPr="00884FAA">
        <w:t xml:space="preserve">ACCHSs </w:t>
      </w:r>
      <w:r w:rsidR="00746518" w:rsidRPr="00884FAA">
        <w:t xml:space="preserve">to </w:t>
      </w:r>
      <w:r w:rsidR="00E24C1C">
        <w:t xml:space="preserve">ensure </w:t>
      </w:r>
      <w:r w:rsidR="004C54F0" w:rsidRPr="00884FAA">
        <w:t>Aboriginal and Torres Strait Islander people</w:t>
      </w:r>
      <w:r w:rsidR="00746F9D">
        <w:t xml:space="preserve"> </w:t>
      </w:r>
      <w:r w:rsidR="00DD63EF">
        <w:t xml:space="preserve">have access to </w:t>
      </w:r>
      <w:r w:rsidR="00FA0487">
        <w:t xml:space="preserve">comprehensive </w:t>
      </w:r>
      <w:r w:rsidR="00DD63EF">
        <w:t>PHC</w:t>
      </w:r>
      <w:r w:rsidR="008B00A4">
        <w:t xml:space="preserve"> and receive enough funding to </w:t>
      </w:r>
      <w:r w:rsidR="00DB741E">
        <w:t>improv</w:t>
      </w:r>
      <w:r w:rsidR="008B00A4">
        <w:t>e</w:t>
      </w:r>
      <w:r w:rsidR="00DB741E">
        <w:t xml:space="preserve"> health outcomes through direct service deliver</w:t>
      </w:r>
      <w:r w:rsidR="00F159FB">
        <w:t>y</w:t>
      </w:r>
      <w:r w:rsidR="008B00A4">
        <w:t xml:space="preserve"> that aligns with what Aboriginal and Torres Strait Islander people value</w:t>
      </w:r>
      <w:r w:rsidR="004C54F0" w:rsidRPr="00884FAA">
        <w:t>.</w:t>
      </w:r>
      <w:r w:rsidR="00E933A8" w:rsidRPr="00884FAA">
        <w:t xml:space="preserve"> </w:t>
      </w:r>
    </w:p>
    <w:p w14:paraId="6C1B7ADC" w14:textId="52204020" w:rsidR="00331180" w:rsidRPr="00884FAA" w:rsidRDefault="00C6132F" w:rsidP="00F44B3A">
      <w:r>
        <w:t>T</w:t>
      </w:r>
      <w:r w:rsidR="00541FC4">
        <w:t xml:space="preserve">he evaluation found examples of positive partnerships between PHNs and ACCHSs and </w:t>
      </w:r>
      <w:r w:rsidR="007412B2">
        <w:t xml:space="preserve">promising </w:t>
      </w:r>
      <w:r w:rsidR="00541FC4">
        <w:t>approaches to the commissioning and deliver</w:t>
      </w:r>
      <w:r w:rsidR="00D943DE">
        <w:t>y</w:t>
      </w:r>
      <w:r w:rsidR="00541FC4">
        <w:t xml:space="preserve"> of primary care to </w:t>
      </w:r>
      <w:r w:rsidR="00D943DE">
        <w:t xml:space="preserve">deliver more integrated health responses for </w:t>
      </w:r>
      <w:r w:rsidR="00541FC4">
        <w:t>Aboriginal and Torres Strait Islander people</w:t>
      </w:r>
      <w:r w:rsidR="007412B2">
        <w:t>.</w:t>
      </w:r>
      <w:r w:rsidR="00541FC4">
        <w:t xml:space="preserve"> </w:t>
      </w:r>
    </w:p>
    <w:p w14:paraId="689FE88B" w14:textId="6011D75E" w:rsidR="00D77BC3" w:rsidRPr="00884FAA" w:rsidRDefault="00D302BF" w:rsidP="00651D06">
      <w:pPr>
        <w:pStyle w:val="Heading3NotNumbered"/>
        <w:numPr>
          <w:ilvl w:val="0"/>
          <w:numId w:val="0"/>
        </w:numPr>
      </w:pPr>
      <w:r w:rsidRPr="00884FAA">
        <w:lastRenderedPageBreak/>
        <w:t>A</w:t>
      </w:r>
      <w:r w:rsidR="00D77BC3" w:rsidRPr="00884FAA">
        <w:t>dministration of</w:t>
      </w:r>
      <w:r w:rsidR="00AD679F">
        <w:t xml:space="preserve"> the</w:t>
      </w:r>
      <w:r w:rsidR="00D77BC3" w:rsidRPr="00884FAA">
        <w:t xml:space="preserve"> IAHP is not </w:t>
      </w:r>
      <w:r w:rsidRPr="00884FAA">
        <w:t xml:space="preserve">well </w:t>
      </w:r>
      <w:r w:rsidR="00D77BC3" w:rsidRPr="00884FAA">
        <w:t xml:space="preserve">integrated </w:t>
      </w:r>
      <w:r w:rsidR="00225F7A" w:rsidRPr="00884FAA">
        <w:t>to</w:t>
      </w:r>
      <w:r w:rsidR="00D77BC3" w:rsidRPr="00884FAA">
        <w:t xml:space="preserve"> the broader </w:t>
      </w:r>
      <w:r w:rsidR="000D1063" w:rsidRPr="00884FAA">
        <w:t xml:space="preserve">health </w:t>
      </w:r>
      <w:r w:rsidR="00225F7A" w:rsidRPr="00884FAA">
        <w:t>policy and funding landscape</w:t>
      </w:r>
    </w:p>
    <w:p w14:paraId="51747191" w14:textId="052BD6CF" w:rsidR="00DD7DC8" w:rsidRPr="00884FAA" w:rsidRDefault="00B96090" w:rsidP="00DD7DC8">
      <w:r w:rsidRPr="00884FAA">
        <w:t xml:space="preserve">Fragmentation in the delivery of </w:t>
      </w:r>
      <w:r w:rsidR="003279C5">
        <w:t>PHC</w:t>
      </w:r>
      <w:r w:rsidRPr="00884FAA">
        <w:t xml:space="preserve"> was mirrored in governance and funding arrangements. </w:t>
      </w:r>
      <w:r w:rsidR="002B6669" w:rsidRPr="00884FAA">
        <w:t xml:space="preserve">Participants across all </w:t>
      </w:r>
      <w:r w:rsidR="00927D6F" w:rsidRPr="00884FAA">
        <w:t>evaluation</w:t>
      </w:r>
      <w:r w:rsidR="002B6669" w:rsidRPr="00884FAA">
        <w:t xml:space="preserve"> sites </w:t>
      </w:r>
      <w:r w:rsidR="00006EB8">
        <w:t>spoke about</w:t>
      </w:r>
      <w:r w:rsidR="002B6669" w:rsidRPr="00884FAA">
        <w:t xml:space="preserve"> the </w:t>
      </w:r>
      <w:r w:rsidR="00DD7DC8" w:rsidRPr="00884FAA">
        <w:t xml:space="preserve">challenges </w:t>
      </w:r>
      <w:r w:rsidR="002F5FD7" w:rsidRPr="00884FAA">
        <w:t xml:space="preserve">of </w:t>
      </w:r>
      <w:r w:rsidR="00DD7DC8" w:rsidRPr="00884FAA">
        <w:t>working with the rest of the PHC system</w:t>
      </w:r>
      <w:r w:rsidR="002F5FD7" w:rsidRPr="00884FAA">
        <w:t>.</w:t>
      </w:r>
      <w:r w:rsidR="00DD7DC8" w:rsidRPr="00884FAA">
        <w:t xml:space="preserve"> Participants discussed the complex division of funding responsibilities and performance accountabilities between different levels of government</w:t>
      </w:r>
      <w:r w:rsidR="002F5FD7" w:rsidRPr="00884FAA">
        <w:t xml:space="preserve"> and how this impacted service delivery</w:t>
      </w:r>
      <w:r w:rsidR="00C86C5D">
        <w:t xml:space="preserve">, </w:t>
      </w:r>
      <w:r w:rsidR="00E35A8D">
        <w:t>i</w:t>
      </w:r>
      <w:r w:rsidR="00C86C5D">
        <w:t>ncluding services funded through the IAHP</w:t>
      </w:r>
      <w:r w:rsidR="00E35A8D">
        <w:t>.</w:t>
      </w:r>
    </w:p>
    <w:p w14:paraId="6F24B6BB" w14:textId="0E823200" w:rsidR="008D4B60" w:rsidRPr="00884FAA" w:rsidRDefault="008B1438" w:rsidP="00F44B3A">
      <w:r>
        <w:rPr>
          <w:noProof/>
        </w:rPr>
        <mc:AlternateContent>
          <mc:Choice Requires="wpg">
            <w:drawing>
              <wp:anchor distT="0" distB="0" distL="114300" distR="114300" simplePos="0" relativeHeight="251658282" behindDoc="0" locked="0" layoutInCell="1" allowOverlap="1" wp14:anchorId="08DBC30D" wp14:editId="55DDE678">
                <wp:simplePos x="0" y="0"/>
                <wp:positionH relativeFrom="page">
                  <wp:align>left</wp:align>
                </wp:positionH>
                <wp:positionV relativeFrom="paragraph">
                  <wp:posOffset>57150</wp:posOffset>
                </wp:positionV>
                <wp:extent cx="1560830" cy="509270"/>
                <wp:effectExtent l="0" t="0" r="1270" b="5080"/>
                <wp:wrapSquare wrapText="bothSides"/>
                <wp:docPr id="379712459" name="Group 37971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1465103630"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a:off x="0" y="0"/>
                            <a:ext cx="1560830" cy="620395"/>
                          </a:xfrm>
                          <a:prstGeom prst="rect">
                            <a:avLst/>
                          </a:prstGeom>
                          <a:ln>
                            <a:noFill/>
                          </a:ln>
                          <a:extLst>
                            <a:ext uri="{53640926-AAD7-44D8-BBD7-CCE9431645EC}">
                              <a14:shadowObscured xmlns:a14="http://schemas.microsoft.com/office/drawing/2010/main"/>
                            </a:ext>
                          </a:extLst>
                        </pic:spPr>
                      </pic:pic>
                      <wps:wsp>
                        <wps:cNvPr id="2059071650" name="Text Box 2059071650"/>
                        <wps:cNvSpPr txBox="1">
                          <a:spLocks noChangeArrowheads="1"/>
                        </wps:cNvSpPr>
                        <wps:spPr bwMode="auto">
                          <a:xfrm>
                            <a:off x="21945"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3AE6D4B4" w14:textId="344E5B6F" w:rsidR="008B1438" w:rsidRPr="00711B8F" w:rsidRDefault="00C86C5D" w:rsidP="008B1438">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447AE3AB" w14:textId="77777777" w:rsidR="008B1438" w:rsidRPr="00697AE5" w:rsidRDefault="008B1438" w:rsidP="008B1438">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7</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DBC30D" id="Group 379712459" o:spid="_x0000_s1058" alt="&quot;&quot;" style="position:absolute;left:0;text-align:left;margin-left:0;margin-top:4.5pt;width:122.9pt;height:40.1pt;z-index:251658282;mso-position-horizontal:left;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HJ4dHQUAACQPAAAOAAAAZHJzL2Uyb0RvYy54bWycV1tv&#10;2zYUfh+w/0DocUBiibJuRpyibdagQLcGa4Z1j7REW0IkUaPoyOmv30dSkuUkhe08xOHt3L7zHfLo&#10;6t2uKskjl20h6qXjXboO4XUqsqLeLJ2/7z9dxA5pFaszVoqaL50n3jrvrn/95aprFpyKXJQZlwRK&#10;6nbRNUsnV6pZzGZtmvOKtZei4TU210JWTGEqN7NMsg7aq3JGXTecdUJmjRQpb1us3thN59roX695&#10;qr6u1y1XpFw68E2ZX2l+V/p3dn3FFhvJmrxIezfYG7yoWFHD6KjqhilGtrJ4oaoqUilasVaXqahm&#10;Yr0uUm5iQDSe+yyaWym2jYlls+g2zQgToH2G05vVpn8+3srmW3MngUTXbICFmelYdmtZ6f/wkuwM&#10;ZE8jZHynSIpFLwjd2AeyKfYCN6FRj2maA/gXYmn++2uCIXX9JNDJmA1mZwfONEW6wF+PAEYvEDjO&#10;FEipreROr6Q6SUfF5MO2uUCyGqaKVVEW6skQD2nRTtWPd0V6J+0EYN5JUmSAZR4GnuuHGpmaVSD+&#10;bc8xT0epJfVhK8p0aF9E+tBqAA73zPTAyKosmk9FWRIp1D+Fyr/lrIF+z9BPb/bxgeTPSPIKRJaA&#10;NyLdVrxWtqIkLxGqqNu8aFqHyAWvVhwxyc+ZcZ4tWpn+hcrSNeXP49gWUaskV2k+hDC4aYNtQTCy&#10;6v4QGVxlWyWMt2cT7BWeADzZqlsuKqIHcBOeGe3s8UurLKWGI5rNZa1/a6ExtLt6xeCsveyHyIKu&#10;B1xK7QAoZi8gPavuTKbgmla7pwp1g8SNvDAYqXKvi+uD2JHJFjztxXStErXD/pD0tjHkIbX4mLN6&#10;w99LKbqcswz+moyhloxFLWr1nJQP6iXzwCEobBpGfmTTPBa+F9FYb5vCp34czQ/qly3Src2LhnvI&#10;BS7IDFnRS5usr4xU1HVbKP4dAKyrEtfvbzPiko54vQnE/srxfw+P5yQYnXjl9HdvojwIaRKGxy1M&#10;ZVxyzAKdWOhdP25iKnTchP8WE1Mhi9HRUOYTO0Eczql/PJIDGZOKo2bAnnMSPj1+YiDheRYOj08T&#10;jndpZC7L7cUCiu/qns0YEdSefh81WxvR6rdvSm2U0TAFde3NAyl9+ogwaDgVtiVtpE4QBsGmwvQs&#10;y6DOVNg/SxiEmAoP18NpMdt7ZwRs6A1OE0Yap5bDqdtIJJT0WdNvhX7FStMZKjx2eD8cgs5wpWWQ&#10;R6Z0soch6XCjDhdfjobHXjkEl6Lc6hb468PAgEo88nthBNWzNggu7HfT7apIP/Af07MencceGmcE&#10;ceEliYEdvhg9Po39yKLj0Sjsb2W7Z+81Izcy7ED9a8aiJAqCqDf2XGMSxEFkWRC7SdKDYhwZcYCX&#10;p1vzvDiIaWLMeeiQ7KsxBOd5SRh7lrLoLEKAYNPwwuL+stcJPRpkHKO7tnp1X4Z4J3ojOg9CC3fg&#10;+XFgyDa4ZK8/4++ZNufzmEa9Wt+PD9NIAR8M6RQHNMRLO3UIL5tZnzyqx0O8oPDdAjv3giQ2rB+i&#10;uKB+4ltfqB/GwQGlrLmf5LAULQdWQFnXwjgwRWGg3z/yY0/10yarQx9imyw9UrvVznbLxh29tBLZ&#10;E9obtLaaVPrDEoNcyB8O6dBAL532vy3TPXz5uUZ3gyPKDOZBRDGRw+pqusrqFCqWDurbDj8qzHB8&#10;28hik8OCbZ5r8R6d6bowTePeG8SsJ2gEzch8ihkc+s9G/a03nZtT+4/b6/8BAAD//wMAUEsDBAoA&#10;AAAAAAAAIQAYyBwe/eEAAP3hAAAUAAAAZHJzL21lZGlhL2ltYWdlMS5wbmeJUE5HDQoaCgAAAA1J&#10;SERSAAAJxAAAA0UIBgAAAF/vbQ4AAAABc1JHQgCuzhzpAAAABGdBTUEAALGPC/xhBQAAAAlwSFlz&#10;AAA6lgAAOpYBI65UPAAA4ZJJREFUeF7s3W+IHPmfH/by3f1+91uf77bvj+909kk35yNEF0unieOc&#10;yO4JT3AEQlh4bG9kQZZ4TKQTHIs9OsnZaAYygx44MQFN9MDBgTXjYD8IG7KDwRAlFh7DPViHhQzE&#10;WZwlwYNGs/QS48zFieOEJJ7Ud7pbGpU+86+ruruq+vWGF/s7aefbVd3VVTVb7/t+MxERERERERER&#10;CdM5xswxZo8xd4T5EywcYfEEq5Hf9bt+19ox1oewMUGbE7Y1YdsTFm3TuESfx7hEx+I4Rd/Ds4q+&#10;/6HoPHKC6Hx0lOjcdpzoHHmU6Hw7UDw/R+fz4rlfRERERERERERERERERESk9Sk+LC+KHrAfVnwg&#10;XxQ9xD8sKgAcFpUJDovKCYdFRYcDUWmiICpgDEQFjyQqngxEhZjDorJOsneCfQAooXhdia5FxWtW&#10;8RoXXROj6+db19ro+pwrXsuj6390z5AU7zMG9yOH710G9zgiIiIiIiIiIjIlOfzga1QO/weoOjj8&#10;sK4uiv/xbpKi/7g4TtF/9ByX4n+AHbfoPwpPQrRtkxZ9XuMWHa/jFH1fxyU6b41DdA4fh+haRvxe&#10;1UV0/NRJ9L06i+iccFbRee2sovPzWUXXnVMrPlAtIXpYexbRA+DDig+Mi4oPmIuih9KHFR9iR6KH&#10;3wAAvDG4bzp8nzW4Hxvctx2+xzt8P3hwXxncsw7uew/fRw/uyQ/f4w9+Vzj8e83gdy8RERERERGR&#10;MIMHdoNfKge/cL7zEGbwi2vf4V9oBw7/wjtw+EHGwOGHF4cd/mV64PBDinGLticS7Uskei+mTfS+&#10;nCR6z48SfY4nif4DDwAAAAAAzTL4b76H/5vx4L8zD/4b9eHnF4efbyjuiYiIiIiINDTpl7LF/i92&#10;6Re/9Mtg9EsjAAAAAAAA1VPcExERERERqSAL+S9I6Rep6BcvAAAAAAAAOOysxb3D5b2TinvF8t7h&#10;Al+xxHe4yHdUmU+hT0RERERkitLp/wIS/SIDAAAAAAAAbTQo9BVLfYeLfYfLfUeV/IoOz9gXOSgD&#10;RrJ3C4KRw6XBs4jGeke0XceI9u80orEORNuUS9s/KEWmAuSg7CgiIiIi8m7yG8t00xn9EgAAAAAA&#10;AABQZ6nAuJ71SnNKciIiIiJyUIhLN4mvbxrzPzp8AwkAAAAAAADQFFtZbzY5EREREZnW5DeFbxXi&#10;AAAAAAAAABpOMU5ERERkirMa3CACAAAAAAAANFqmFCciIiIynclvBteKN4cAAAAAAAAATZcpxYmI&#10;iIhMbWbzG8J/VrxBBAAAAAAAAKibLMvC/x3J/34mPRAVERERkSlLfjO4Xbw5BAAAAAAAAKiD7ITi&#10;2zHWe09ERURERGSaMhPcGB4r/5lu/k8lOgAAAAAAAKDO/rfeI1ERERERmabMBTeGJ9no/+wgaarh&#10;ZC4335fW5E8Wc6tJ/nNrufW+jdxm31YuFeySvVz0mgAAAAAAAABn9TczS6eKiIiITFUWgpvCk+z1&#10;f3bU6eQGZbvZXFS4G5TuXhfvBvLtTAW8wyW8QRHvcBlvUMgbGBTzBuU8BT0AAAAAAAAYs2z4ZVKP&#10;kpZPVYwTERERmYIsBjeDJ8p/LpXVpjFpvwcGZb1BYW9Q2jtc3DuqvPdWgS9/T6Py3uECX1Tkiwp9&#10;xVLf4WKfgh8AAACt8X7nvWOdv9A51qXL5471wYczR7px8+Kp3L5z5VTu3b96ag8eXTvRypPrp/b0&#10;2a1T+2z9o6F9/sXHpTx/cbeUL7/6hBaIPtumiI7rSYq+p1WKziFVKp7LonNhUjyHFs+/xfN2dM5P&#10;iteI4jUlug5F1y4AaiOthqUYJyIiItLipDJWdCN4rPznUvlr6Gxvr3RedZfnXn67tLjbXV579d3y&#10;+s53S5tJ/ucb6c9edpcW0r/T/xEZbQ4X/Yplv4FB6e9w8S8qAEZFwGMLgUfJj7VBUfAoxQJhUbFQ&#10;WBQVDIuKhcPDiuXDSLGQeFbhdxAAAKhW9CB7oPjQe6D4cPyw6GF6UnzwfljxIf1A8WH+YdHD/6RY&#10;FDgsKhYMRKWGJCpTDETFj8OiUsthX3/z8FivvlsGgFYoXuOi62LxOjq43havzYev34NrfPF+YHC/&#10;ULy3GNx7FO9TBvcxh+93Dt8TRfdQAA2nGCciIiLSxuQ3eqk0FN0AHiv/0VRuOlMOCnDdx6s73eWt&#10;V92lveg/CBwl/Uwqye3uLpUq4olMcYqlx2EUS5LDOlyuHEaxkDmMqMQJA8Uyb1mHy8BVCEvEZeTX&#10;9qh0XEaxoFyVqNw8lB/90e/9rcj3v//Dv33Y7/7d3//yNN5//wdfncZP/fSPbZ3kZ3/2x/9+Uecn&#10;3/uHRT/90z/28ig/+7O/Z/ck537+x7tH+f2///3/5TgXLnT+cZK/1v9e9Ht/7+/5p5Gf/bkf/2fH&#10;OffzP/F/H+X3/b73/5+j/MIvvP//HeXwQxxG63AJaNKKD/VO63Ap6ayKDxhP63CpaRjFB56ndbgY&#10;dVaHH7yeVfEhbtHhgtVhxYfCh0UPkQeKD5wHot85AQA4m8P3V4fvwQ7fqw3u54r3fYfvEQf3mcV7&#10;1sE97+H758P34MX7+cHvA4d/T1HmA85AMU5ERESkTUk3eIUbvlOZm/sDfzXN4PZ6hrfu8sZghre3&#10;dJe3BqJfmoeRxkrFuvT6O98+nk9S2W4gleaS7e6nM69tr3QO6+++iIhMQYrXgLccvlYcMriWRA5f&#10;cwYG16PIwfWyKL9+hg6ub287KIQfIb8urp9afq0+jfB6fpRD1/mT5NuwfSqpND+s4L4BAAAA4LAq&#10;y3ynKfIdLvMdVeQ7qswXPZ8BRkoxTkRERKQNSTd2hRu9U0m/uEW/SDbauw/V33pA/87D/UIpICoV&#10;5D/3VhkhKjOcJCpHnFpUtmibqGgSiEoqh+Wf1zsFl+NEJZkkKta8JSrk5PpfSTkm0fsWit73guiz&#10;i0Sf/WHRsRSJjslQdIxHou97QXQ+iRTPU0eKznEFxfPikYrn0yPkr/vWefi14vl6IDq3AwAAAEBL&#10;HFfki0p8xQLfWWfji8p7intMibVMMU5ERESkuclv6DYLN3in0spCHNRZVP45q6hYNGrRdkSifQYA&#10;AAAAoHFOU9w7a3nvtMU95T0qlopxIiIiItK05Ddy24Ubu1NJvzREv+QAAAAAAABA3R1X3Bt21r1B&#10;ce9weW9Q3CuW9xT3GmMvy7KF3pNVEREREWlE8pu4oQpxSfolIfoFAgAAAAAAAKjGaWbdO1zcO0t5&#10;7zSz7h0u8B1V4htlkS+N/YMffC/8uzHayrJsvveEVURERERqneBm7tTSTXZ0Uw4AAAAAAAAwKPMV&#10;C33FYl9k8HODsVLxL3pmOWYbWZbN9J60ioiIiEgd0wlu4k4t3XQevqEFAAAAAAAAGJVUlEsz00XP&#10;Lsdsrf+8VURERERqlpng5u3U0tTK0Y0oAAAAAAAAwCikWePS0q7R88txy7JssffYVURERETqklKF&#10;uAeProU3oQAAAAAAAACjlCbviJ5hTsBWlmULvcevIiIiIjLplCrEpf/Pi+jmEwAAAAAAAGDU0hKq&#10;ly6fC59lTkAqxs30HsOKiIiIyKRSqhCX1uePbjwBAAAAAAAAxqVGs8Ul6+k5bO9xrIiIiIiMO7PB&#10;Ddqpvd95L7zhBAAAAAAAABinms0Wl6z1n8mKiIiIyBhTqhCXfP3Nw/CGEwAAAAAAAGDcajZbXFpG&#10;daH3aFZERERExpHShbjPv/g4vNEEAAAAAAAAmIQvv/pk/8bNi+HzzQnZzCyjKiIiIjKWlC7E/XtL&#10;//o/jm4yAQAAAAAAACapZrPFJZZRFRERERlxShfi/uy/84e3o5tLAAAAAAAAgEn7+puH+7fvXAmf&#10;dU7IXmYZVREREZGRZS64ATuTK7O/73+ObiwBAAAAAAAA6uLps1v773feC595TshWZhlVERERkcpT&#10;uhD3S3/gp8wQBwAAAAAAANReDWeLSyyjKiIiIlJhShfivvf9H/4/optJAAAAAAAAgDpKs8Wdv9AJ&#10;n39OiGVURURERCpK6UJckv4/KaIbSQAAAAAAAIC6quFscZZRFRERESmZ2eAm68yev7gb3kACAAAA&#10;AAAA1Fl61lmz2eISy6iKiIiIDJlKCnF/7W/86f8punkEAAAAAAAAaIIHj66Fz0InyDKqIiIiIkOk&#10;kkLcvd/4tf82umkEAAAAAAAAaIo0W9yly+fCZ6ITlJZRne093hURERGRkzIT3FCd2c1b/+LfjW4Y&#10;AQAAAAAAAJpm5cn18LnohFlGVUREROQUqaQQd/5C5+9FN4oAAAAAAAAATfTlV5/s37h5MXw+OkGW&#10;URURERE5IZUU4r7//R/5NrpJBAAAAAAAAGiyp89u7b/feS98TjpBaRnVmd4jXxERERE5nE5w83Rm&#10;P/RDP/Q70c0hAAAAAAAAQNN9/c3D/dt3roTPSifMMqoiIiIihVRSiEv+/j/4rZfRzSEAAAAAAABA&#10;Gzx/cXf//IVO+Lx0grYzy6iKiIiIvE5lhbj/8m/+219FN4UAAAAAAAAAbXLv/tXwmemEbWSWURUR&#10;ERGprhD35/78h/91dDMIAAAAAAAA0DZptrhLl8+Fz04nKcuy1d6jYBEREZEpTXSTNIw/8af+4EZ0&#10;IwgAAAAAAADQVitProfPTydsK8uy+d4TYREREZEpS34ztFe4ORrKv/prv/CfRzeAAAAAAAAAAG2W&#10;Zou7cfNi+Bx1wtYzy6iKiIjItCW/CaqkEPejP/q9vxXd/AEAAAAAAABMg5rOFpeWUV3sPR0WERER&#10;mYLkN0DbxRuiIW2+6i7tRTd+AAAAAAAAANPg628e7t++cyV6njppaRnV2d5TYhEREZEWJ934FG6E&#10;hrW3013eim76AAAAAAAAAKbJ5198vH/+Qid6rjppa/1HxSIiIiLtTH7DU1UhLt3YrRdv9AAAAAAA&#10;AACm1b37V8Nnq5OWZdlC74mxiIiISMuS3+xUVoj7auvP/SfRTR4AAAAAAADAtHr+4m5dZ4tLy6jO&#10;9J4ci4iIiLQk+U3OZuGmZ2hPnlx/EN3gAQAAAAAAAEy7lSfXw+esNWAZVREREWlP8pubygpxf/SP&#10;/vJ/GN3YAQAAAAAAANCbLe7S5XPh89YJ28ssoyoiIiJtSH5js1G40Rlap/ODx9FNHQAAAAAAAABv&#10;1Hi2OMuoioiISLOT39CsF25whpYPt/qqu7QX3dABAAAAAAAA8MbX3zzcv33nSvjstQYsoyoiIiLN&#10;TLqRKdzYlLGx013eim7mAAAAAAAAAHhXWkb1/IVO9Px10iyjKiIiIs1LfhNTZSFu81V3eSO6iQMA&#10;AAAAAADgaA8eXYuewdbBZmYZVREREWlK8puXKgtxe7vd5bXo5g0AAAAAAACA46XZ4j74cCZ6FlsH&#10;llEVERGRRmQ1uJEZ1t7L7uPV6MYNAAAAAAAAgNNZeXJ9//3Oe9Ez2UnbyiyjKiIiIjVPlYW4/b/9&#10;t+/+W9ENGwAAAAAAAACn9/U3D/dv37kSPpetgfXMMqoiIiJS0ywGNy9D++N/8lduRjdrAAAAAAAA&#10;AJxdWkb1/IVO+Hx20rIsW+09dhYRERGpTxaiG5dh/dIv/cwfi27SAAAAAAAAABheWkY1ekZbA2kZ&#10;1fne42cRERGRyafSQlw+3uKr7tJedIMGAAAAAAAAwPDSbHGWURURERE5PvPBjcrQ8vFWd7rLW9HN&#10;GQAAAAAAAADlPX12q87LqC4ePIkWERERmVAqLcTlNna+W9qMbsoAAAAAAAAAqM69+1ejZ7Z1kJZR&#10;ne09khYREREZb+aCm5MyNna7y2vRzRgAAAAAAAAA1UrLqF66fC56dlsHa1mWdXqPpkVERETGk9ng&#10;pqSMrZfdx6vRjRgAAAAAAAAAo7Hy5Hr0/LYWsixb6D2eFhERERl9ZqIbkhL2dr59PB/dgAEAAAAA&#10;AAAwOl9/83D/9p0r0XPcOrCMqoiIiIwlneBGpAyFOAAAAAAAAIAJ+mz9o/3zFzrR89w6SMuoioiI&#10;iIwsVRfi9v/jv3zrV6ObLgAAAAAAAADG58Gja+Ez3RrYyyyjKiIiIqNKcPNRyuXLP38tutkCAAAA&#10;AAAAYLyev7i7f+nyufDZbg2kZVRnek+uRURERCpKfpOxV7jpKCUfcu5Vd2kvutkCAAAAAAAAYPxW&#10;nlwPn+/WhGVURUREpLrkNxdVF+Lmd7rLW9FNFgAAAAAAAACT8fU3D/dv37kSPuetAcuoioiISDXJ&#10;byy2CjcapeRDLu58t7QZ3WABAAAAAAAAMFlpGdXzFzrh894aSMuozh48zBYREREZJumGonCDUUo+&#10;5Gp+E7VevKkCAAAAAAAAoD4asIxq5+ChtoiIiMhZkt9IbBZuLMpa2+0ur0U3VAAAAAAAAADUR5ot&#10;7sbNi9Fz31rIsmyx92RbRERE5JTJbyKqLsRtvOw+TrPEhTdUAAAAAAAAANTL02e39t/vvBc9/62D&#10;tIzqQu8Jt4iIiMgJyW8e1gs3E2Vt7nz7eD66iQIAAAAAAACgvm7fuRI9A66L9SzLZnpPukVERESO&#10;SH7TsFa4iShr+1V3eS66eQIAAAAAAACg3tIyqpcun4ueBdfFWv9xt4iIiMi7STcLhZuHsva2t1c6&#10;0Y0TAAAAAAAAAM2w8uR6nZdR3c4soyoiIiJHZDW4eShFIQ4AAAAAAACgHe7dvxo+F66JrcwyqiIi&#10;IlJI5YW4fMzOq+7SXnSzBAAAAAAAAECzWEZVREREmpTF4GahlHzM2Z3u8lZ0owQAAAAAAABAM9V8&#10;GdW9zDKqIiIikmchuFEoJR9zbue7pc3oBgkAAAAAAACAZmvAMqqzB0/DRUREZCozH9wglJKPubDb&#10;XV6LbowAAAAAAAAAaL6GLKPaOXgqLiIiIlOVueDGoJR8zMWX3cer0U0RAAAAAAAAAO3x9Nmt/fMX&#10;OuGz4zpIz68PnoyLiIjI1GQ2uikoIx9z9WV3aSG6GQIAAAAAAACgfRqwjOr8wRNyERERaX1mgpuB&#10;stZ3vn08H90EAQAAAAAAANBOaRnVDz6ciZ4h18V6ekbee1QuIiIibU0nuAkoa+NVd3kuugECAAAA&#10;AAAAoN3qvoxqbq3/vFxERERamFEU4ja3t1c60Y0PAAAAAAAAANOhAcuoLvQem4uIiEirElz4y9pW&#10;iAMAAAAAAAAgLaN64+bF6LlyXaRinGVURURE2pT8Ar9XuOCXtZfGfdVd2otueAAAAAAAAACYLpZR&#10;FRERkbElv7BXXYjbT+PudJe3ohsdAAAAAAAAAKbTg0fXwmfMNZEmf7GMqoiISNOTX9S3Cxf50vJh&#10;OzvfLW1GNzgAAAAAAAAATK+GLKM6e/BAXURERJqXdDEvXNxLy4edzW9k1os3NgAAAAAAAACQNGQZ&#10;1ZmDB+siIiLSnOQX8c3CRb20fNi53e7yWnRTAwAAAAAAAAADNV9GNUnFOBEREWlK8ov3KApxCy+7&#10;j1ejmxkAAAAAAAAAOCwto3r7zpXw+XNNbKfn4AcP2UVERKTeyS/cG4ULeWn5sIsvu0sL0Y0MAAAA&#10;AAAAAEQasIzqVmYZVRERkXonv2CvFy7gpeXDru58+3g+uoEBAAAAAAAAgOM0ZBlVxTgREZE6Jl2o&#10;CxfuKqzv7i7NRjcuAAAAAAAAAHCSBiyjejBZTO/Ju4iIiNQm+UV6FIW4je3tlU500wIAAAAAAAAA&#10;p/XZ+kdNWEZ1ofcEXkREROqQ1eCCXdamQhwAAAAAAAAAVVl5cj16Nl0nqRhnGVUREZEaZDG4UJe1&#10;nQZ+1V3ai25UAAAAAAAAAOCsvv7mYe2XUc2tZVnWSc/MRUREZDJZCC7QZe2lgXe6y1vRTQoAAAAA&#10;AAAADOv5i7v7ly6fi55V10aWZYvpubmIiIiMP/PRxbmsNPDOd0ub0c0JAAAAAAAAAJT19Nmt/fMX&#10;OuEz65pIy6gupOfnIiIiMr6MqhDXyW9A1os3JAAAAAAAAABQpZUn18Pn1jWymWXZzMETehERERl5&#10;5oKLcWn5uLO73eW16GYEAAAAAAAAAKqUllG9fedK+Py6RtZ6j+lFRERklJkNLsKl5ePOvew+Xo1u&#10;RAAAAAAAAABgFFIxrubLqKbn6YsHT+tFRERkJJmJLsBl5eMu7Hz7eD66AQEAAAAAAACAUWrAMqpb&#10;6bn6wVN7ERERqTSd4MJbWj7uokIcAAAAAAAAAJPUgGVUN7Ismzl4ei8iIiKVZFSFuNXd3aXZ6IYD&#10;AAAAAAAAAMYlLaPagGLcWu8RvoiIiJROcKGtwvr29konutkAAAAAAAAAgHF7+uzW/vkLnej5dm1k&#10;llEVEREpn/yiule8yFZgQyEOAAAAAAAAgLpZeXI9esZdJ1uZYpyIiMjwyS+m24WLaxU209ivukt7&#10;0Q0GAAAAAAAAAEzK1988bMIyqhtZls2kZ+8iIiJyhuQX0a3CRbUK22nsne7yVnRzAQAAAAAAAACT&#10;9vzF3f1Ll89Fz7zrZO3g4b6IiIicLvnFc7NwMa3CXhp757ulzeimAgAAAAAAAADqIi2jev5CJ3r2&#10;XRfpGbxlVEVERE6T/MI5ikLcfho7v3FYL95IAAAAAAAAAEAdPXh0LXz+XSNbWZbNpefxIiIickTy&#10;C+Z64QJaiXzozm53eS26iQAAAAAAAACAOkrLqN6+cyV8Dl4j61mWzRw89BcREZG3k18o1woXzkrk&#10;Q8++7D5ejW4gAAAAAAAAAKDOUjGu5suoJmu9J/8iIiLyOukCWbhgViIfeu5ld2khunEAAAAAAAAA&#10;gCZYeXI9fCZeI3tZli0cFABERETkIKvBBbO0fNyFnW8fz0c3DAAAAAAAAADQJA1YRnUry7LZgxaA&#10;iIjIlGcxuFCWlsbd3V2ajW4UAAAAAAAAAKBp0jKqN25eDJ+R18h6lmUzB20AERGRKc1CcIEsLR93&#10;dXt7pRPdJAAAAAAAAABAUz19dmv//IVO+Ky8RtZ6lQAREZHpy3xwYazCukIcAAAAAAAAAG218uR6&#10;9Ky8TvayLFvoVQNERESmJ3PBRbEKG2nwV92lvejGAAAAAAAAAACa7utvHu7fvnMlemZeJ1tZls2m&#10;Z/giIiLTkNngYliFzTT4Tnd5K7opAAAAAAAAAIC2eP7i7v6ly+eiZ+d1sp5l2Ux6li8iItLmzAQX&#10;wSpsp8F3vlvajG4GAAAAAAAAAKBtnj67tX/+Qid6hl4nawdtARERkZamE1z8qpDWIs/yC/568QYA&#10;AAAAAAAAANps5cn16Dl6naRJbhbSc30REZG2ZVSFuP00+G53eS26+AMAAAAAAABAm339zcP923eu&#10;hM/Ta2Qrs4yqiIi0LcEFrxL50J2X3cer0YUfAAAAAAAAAKbB8xd39y9dPhc+V6+RtIyqYpyIiLQj&#10;+YVtr3Chq0Q+9OzL7tJCdMEHAAAAAAAAgGny9Nmt/fMXOuHz9brIsmz1oEggIiLS5OQXte3iRa4K&#10;+dBzO98+no8u9AAAAAAAAAAwjVaeXA+fsddIWkZ14aBQICIi0sSki1nh4laJfOiF3d2l2egCDwAA&#10;AAAAAADT6suvPtm/fedK+Ky9RlIxzjKqIiLSvOQXsc3CRa0S+dCL29srnejiDgAAAAAAAADT7vmL&#10;u7VfRjW3lmVZ56BgICIi0oTkFy+FOAAAAAAAAACYkLSMat2LcVmWrR6UDEREROqe/MK1XryQVSEf&#10;+uBi+Kq7tBdd0AEAAAAAAACANx48uhY+f6+RtIzqQuoCiIiI1Db5BWutcAGrynoaf6e7vBVdyAEA&#10;AAAAAACAt6VlVG/fuRI9g6+TVIybSZ0AERGR2iW/UI2qELeRxt/5bmkzuogDAAAAAAAAALFUjKv7&#10;Mqq5tYPigYiISM2yGly0qnBQiHvVXd6ILt4AAAAAAAAAwPFWnlzff7/zXvRMvjayLFtM/QAREZG6&#10;ZDG6YFUgTZGa7XaX16KLNgAAAAAAAABwOvfuX42ey9dJ6ggspJ6AiIjIpLMQXKiqsJ0Gf9l9vBpd&#10;rAEAAAAAAACA00vLqN6+cyV6Pl8nm1mWzaS+gIiIyKQyH1ygqrCXBn/ZXVqILtQAAAAAAAAAwNl9&#10;/sXH++cvdKLn9HWydtBIEBERmUBGVYhL64RnO98+no8u0AAAAAAAAADA8FaeXA+f1ddJZhlVERGZ&#10;QGaji1IV8rE7r7rLc9GFGQAAAAAAAAAorwHLqG5linEiIjLGzAQXo0qksbe7n85EF2QAAAAAAAAA&#10;oBrPX9xtQjFuI/UIDpoKIiIiI0wnuAhVIh97dnt7pRNdjAEAAAAAAACAaj19dmv//IVO+Ay/RtZ6&#10;dQUREZHRZJSFuLn0Aq+6S3vRhRgAAAAAAAAAqN7Kk+vhc/w6ySyjKiIio0p04alCPvR8Gl8hDgAA&#10;AAAAAADG6+tvHjZhGdWtTDFORESqTn6B2StccCqRD72Yxt/pLm9FF18AAAAAAAAAYLSev7jbhGVU&#10;N7Ism0kdAxERkdLJLyyjLcR9t7QZXXQBAAAAAAAAgPFowjKqubXUMxARESmV/IKyVbjAVCIfejWN&#10;v9tdXosutgAAAAAAAADA+DRkGdW9zDKqIiJSJvnFZLNwcanKehpfIQ4AAAAAAAAA6iMto3rp8rno&#10;OX+dbGVZNp96ByIiImdKfhEZVSEurfGdvew+Xo0usAAAAAAAAADA5KRlVM9f6ETP++skTcYzk/oH&#10;IiIip0q6eBQuJlU5KMTtfPt4PrqwAgAAAAAAAACTd+/+1eiZf92sHZQcRERETkq6aBQuIlVJ05cq&#10;xAEAAAAAAABAzaVlVG/fuRI9+6+TvSzLFlIXQURE5MjkF4xRFeK20/i7u0uz0cUUAAAAAAAAAKiX&#10;p89uNWEZ1TRBz1zqJIiIiERZDS4eVUjN7Gx7e6UTXUQBAAAAAAAAgHpaeXI96gHUzXqWZTOpmyAi&#10;InI4CnEAAAAAAAAAwFu+/uZhE5ZRTdYO2g8iIiL9LAYXi0r0x89edZf2oosnAAAAAAAAAFBvz1/c&#10;bcIyqmnSnoVeS0FERKY9C8GFohL52J30Ajvd5a3oogkAAAAAAAAANENDllHdyrJsNnUVRERkejP6&#10;Qtx3S5vRxRIAAAAAAAAAaI4GLaO6nmXZTOosiIjI9GU+uDBUIh/74OLyqru8EV0oAQAAAAAAAIDm&#10;ScuoXrp8LuwK1Mxa6i2IiMh0ZZSFuINpSHe7y2vRBRIAAAAAAAAAaK60jOr5C52wM1AjaRnVhdRf&#10;EBGR6chccDGoRBo7vYBCHAAAAAAAAAC01737V8PeQM2kYpxlVEVEpiCzwUWgEvnYB4W4l93Hq9EF&#10;EQAAAAAAAABoh7SM6u07V8L+QM1YRlVEpOUZZSFuPr3AzreP56OLIQAAAAAAAADQLk+f3WrCMqp7&#10;mWVURURam5ngxF+JfOyDi4dCHAAAAAAAAABMl5Un18MuQc2kZVRnU7dBRETak05wwq9EPvZieoHd&#10;3aXZ6OIHAAAAAAAAALTX1988bNIyqp3UcRARkeZn5IW47e2VTnThAwAAAAAAAADa7/mLu01YRvV1&#10;z0FERBqe6CRfhXzo1TS+QhwAAAAAAAAA0KBlVOdT30FERBqa4ORelTSl6EFedZf2oosdAAAAAAAA&#10;ADA9GrSM6nqWZTO91oOIiDQq+Ul8r3BSr0q6OBxkp7u8FV3oAAAAAAAAAIDpk5ZRvXT5XNQ1qJvX&#10;kwGJiEhDkp+8R1WI2+i/hEIcAAAAAAAAAPCOtIzq+QudqHNQJ9tZli30GhAiIlL7pBN34URelTeF&#10;uO+WNqMLGwAAAAAAAADAvftXo95B3WxlllEVEal/0gm7cAKvymb/JbLd7vJadEEDAAAAAAAAAEjS&#10;Mqq371yJ+gd1YxlVEZE6Jz9Rj6oQl5rRB1GIAwAAAAAAAABO4+mzW01YRnUvs4yqiEg9k5+kNwsn&#10;7aqkNbQP8rL7eDW6iAEAAAAAAAAARFaeXI+6CHWTJgua7bUjRESkFslPzqMqxKU29EFedpcWoosX&#10;AAAAAAAAAMBRvv7mYZOWUe30WhIiIjLR5CfljcJJuiqvC3E73z6ejy5cAAAAAAAAAAAnef7ibhOW&#10;Ud3Psmyx15QQEZGJJT8hrxdP0FXpv0T2qrs8F12wAAAAAAAAAABOq0HLqC70GhMiIjL25CfitcKJ&#10;uTL9l8i2u5/ORBcqAAAAAAAAAICzaNAyqutZls30mhMiIjK25CfgURbiDtbH3t5e6UQXKQAAAAAA&#10;AACAYaRlVC9dPhf2FWpmLXUnRERkTEkn3sKJuDL58AeFuJTo4gQAAAAAAAAAUEZaRvX8hU7YW6iR&#10;7cwyqiIiY8tqcCKuRD72m0Jcd2kvujABAAAAAAAAAJR17/7VsLtQM1uZZVRFREaeURbiXp/Ed7rL&#10;W9EFCQAAAAAAAACgCmkZ1dt3roQdhpqxjKqIyAizGJx4K5GP/aYQ993SZnQxAgAAAAAAAACo0tNn&#10;t5qwjOpeZhlVEZGRZCE46VYiH3u29xJpydTljegiBAAAAAAAAAAwCitProd9hpqxjKqISMWZD062&#10;lcjHfl2I2+0ur0UXHwAAAAAAAACAUfn6m4eWURURmbKMshA313sJhTgAAAAAAAAAYHKev7jbhGVU&#10;tzPLqIqIlM5ccIKtRBq79xJZ9rL7eDW64AAAAAAAAAAAjEtDllHdyCyjKiIydMZUiFtaiC40AAAA&#10;AAAAAADjZBlVEZF2ZzY4oVYiH3u+9xJZtvPt4/noIgMAAAAAAAAAMAkNWUZ1K7OMqojImTITnEwr&#10;kY/9+oT8qrs8F11cAAAAAAAAAAAmqSHLqK5nllEVETlVxlKI2+5+OhNdVAAAAAAAAAAAJq0py6hm&#10;Wbbaa2KIiMhR6UQn0CrkYy/2XiLLtrdXOtEFBQAAAAAAAACgLhq0jOp8r5EhIiLFjKUQlxJdSAAA&#10;AAAAAAAA6sYyqiIiDU5wwqxEPvTbhbju0l50EQEAAAAAAAAAqJs0W1xDllF9q58hIjL1yU+Oe8WT&#10;ZRXyod9at3qnu7wVXUAAAAAAAAAAAOrq6bNbTVlGdbbX0BARmfLkJ0WFOAAAAAAAAACAYzx4dC3s&#10;R9TMWpZlnV5TQ0RkSpOfDMdTiPtuaTO6YAAAAAAAAAAANEFaRvXGzYthT6JOsixb6LU1RESmMPmJ&#10;cKt4YqxIah2/Tn5hWC9eKAAAAAAAAAAAmsYyqiIiNU46ARZOiFV5qxC3211eiy4SAAAAAAAAAABN&#10;dO/+1agvUTdv9TdERFqf/MQ3qkLcev8lDvKy+3g1ujgAAAAAAAAAADRVWkb10uVzUW+iTvYyy6iK&#10;yLQkP+ltFk6CVVGIAwAAAAAAAACmwsqT6/vvd96L+hN1kpZRnek1OUREWpr8ZDeqQtxG/yUO8rK7&#10;tBBdEAAAAAAAAAAA2uL2nStRh6JuLKMqIu1NfpIbSyFu59vH89GFAAAAAAAAAACgTSyjKiIyweQn&#10;uI3CCa8qbxXiXnWX56KLAAAAAAAAAABAG6VlVIM+Rd1YRlVE2pX8xDaWQtx299OZ6OQPAAAAAAAA&#10;ANBWX3/z0DKqIiLjTH5CWy+c4Kqy2X+Jg2xvr3SiEz8AAAAAAAAAQNulZVTPX+hE/Yo6sYyqiDQ/&#10;+clMIQ4AAAAAAAAAYAwsoyoiMuLkJ7G1wkmtKm8V4lJedZf2opM9AAAAAAAAAMC0sIyqiMgIk05e&#10;hZNZVRTiAAAAAAAAAACO8PkXH9d+GdWf/ukfe5lZRlVEmpT85DWqQlyaPvOt7HSXt6ITPAAAAAAA&#10;AADAtGrCMqp/8NLP/XZmGVURaUhWoxNZBd4txH23tBmd2AEAAAAAAAAAptnzF3cbsYzqL//yT/2V&#10;fg1ERKS2GVsh7lV3eSM6qQMAAAAAAAAAsLz/9Nmt2i+j+oszP/U7V/7Qz/9Gvw4iIlK7LEYnrwps&#10;98d/nd3u8lp0MgcAAAAAAAAA4I17969GXYxa+eDDma9/4zev/nq/FiIiUpsoxAEAAAAAAAAA1Exa&#10;RvXS5XNRJ6NW/szCv/J3+9UQEZFaZCE6WVXgnULcy+7j1egEDgAAAAAAAABAbOXJ9f33O+9F3Yza&#10;SMW9/+xv/Om/0a+IiIhMNKMqxO31x3+dl98uLUYnbgAAAAAAAAAAjnf7zpWon1EraanXl92lhX5V&#10;RERkIhlbIW7n28fz0QkbAAAAAAAAAICTNWUZ1b/4l278I8U4EZlU5qMTUwUU4gAAAAAAAAAARiAt&#10;oxp0NWolFfc2/taf+R8V40Rk3BlbIe5Vd3kuOkkDAAAAAAAAAHA2X3/zsDHLqO50l7fSREr9ComI&#10;yEgzqkLcfn/819nufjoTnaABAAAAAAAAABhOWkb1/IVO2N2oi/c77+0/fXZr/1V3eSP1R/pVEhGR&#10;kWQuOhFVoT/+62xvr3SiEzMAAAAAAAAAAOU0ZRnVL7/6JG3vumKciIwqCnEAAAAAAAAAAC2QZotr&#10;yjKqaXt3u8trinEiUnVmoxNPFfKxO72XeJPiiRgAAAAAAAAAgGql5Ukbs4xqvr2pGNevloiIlM5M&#10;dNKpQj72u4W47tJe8SQMAAAAAAAAAED1Hjy6FnY66uSDD2cGy6gqxolIJelEJ5sqpLF7L/EmO93l&#10;reLJFwAAAAAAAACA0UjLqF66fC7sdtTJYBnVNNnSy+7SQr9qIiJy5oyyEPfOGs8KcQAAAAAAAAAA&#10;47fy5PrBMqVRx6MuUnFvsIxq6pgoxonIMBllIW629xJvsvPd0mbxhAsAAAAAAAAAwHjcvnMl7HnU&#10;SdrGwTKqinEicuZEJ5Yq5EO/U4h71V3eKJ5oAQAAAAAAAAAYn6Yso/rg0bXX25wmYdrufvrOaoUi&#10;Iu8kP4HsFU8oVciHnuu9wpvsdpfXDp9gAQAAAAAAAACYjLSMatT5qJPDy6ge6C5vKMaJyLHJTx4K&#10;cQAAAAAAAAAAU+jrbx42bhnVJHVQFONEJEx+0tgunkSqkA8933uFN3nZfbx6+KQKAAAAAAAAAMDk&#10;pWVUz1/ohB2QOrl3/+pb252Kcf1aiohIL/nJYqt48qhCPvS7hbhvlxYPn5QAAAAAAAAAAKiPRi6j&#10;mlOME5HXyU8UoyrELfRe4U12vn08f/hkBAAAAAAAAABAvaSlSZu4jOqr7tLey+7SO30VEZmy5CeI&#10;zeIJowr50ApxAAAAAAAAAAANlWZha+Iyqjvd5S3FOJEpTn5i2CieKKqQD73Ye4U3edVdnjt8AgIA&#10;AAAAAAAAoN6auoxqKsbt7i7N9msrIjItyU8KYyvEpZPM4RMPAAAAAAAAAAD19/zF3UYso3rj5sW3&#10;l1HtWd/ufjrTr6+ISNuTnwzWiyeHKuRDr/Ze4U3SyaVwwgEAAAAAAAAAoCE+W/+okcuoJrvd5bXt&#10;7ZVOv8YiIm1NfhJYK54UqpAP/W4hLj+pFE82AAAAAAAAAAA0SxOWUU3FveIyqkkqxvWrLCLSxuQn&#10;gJEU4nLvnDwU4gAAAAAAAAAA2uHrbx42YhnVS5fPvbuMandp72V3aaFfaRGRlmU1OhlUIGzTvnVy&#10;AQAAAAAAAACg0Z6/uNvYZVR3ustbinEi7cuoCnHr/fHfSmrYFk8uAAAAAAAAAAA0WxOWUX2/8164&#10;jGoqxu3uLs326y0i0vAsRieACmz0x38r+Ulku3hSAQAAAAAAAACg+Rq9jGrSXd7Y7n4606+5iEhD&#10;sxB98SsQFuJSo/adkwkAAAAAAAAAAK3R5GVUk93u8ppinEhzMx994SsQF+K+W9qMTiQAAAAAAAAA&#10;ALRLk5dRTVIxrl95EZEGZVSFuM3++G9FIQ4AAAAAAAAAYHo0fxnVpb2X3aWFfvVFRBqQuehLXoGw&#10;EJefKNbfOXEAAAAAAAAAANBqaRnVVDoLOia1ctQyqjvd5S3FOJFmZDb6cldgqz/+W0lTSUYnDQAA&#10;AAAAAAAA2q/py6imYtzu7tJsvwojIjVMJ/piV2C7P/5bUYgDAAAAAAAAAKDRy6j2rG93P53pV2JE&#10;pEYZVSFurz/+W3nZfbwanCAAAAAAAAAAAJgyTV9GNUmTQ/VrMSJSl0Rf5AooxAEAAAAAAAAAcKK0&#10;jGpapjTon9TGccuoJopxIjVK/qXdK36Jq9Af/q287C4tRCcFAAAAAAAAAACmW5qJLeqg1Ema0S7N&#10;bBdt/6vu0l7qxvRrMiIyqeRf1q3il7cK+dCd3iu8yc63j+fDEwIAAAAAAAAAAFMvlc1u3LwYdlHq&#10;5LhlVHe6y1uKcSITTP4lHVUhbqb3Cm+iEAcAAAAAAAAAwEnS8qTnL3TCTkpdnLSM6s53S5vb3U/f&#10;6c+IyIiTf0E3i1/YKuRDz/Ze4U1edZfnohMAAAAAAAAAAAAUPXh0Leyl1Mmxy6j2rCvGiYwx+Rdz&#10;vfhFrUI+9FzvFd5kd3dpNvjSAwAAAAAAAABAKJXNbt+5EvZT6iQto/r1Nw/DfUh2u8tr/QqNiIwy&#10;+RdyrfgFrUI+9DuFuNR2jb7wAAAAAAAAAABwnCYso5oct4xq8vLbpcV+lUZERpH8iziqQtx87xXe&#10;ZHt7pRN90QEAAAAAAAAA4DRWnlwPuyp1coplVLdfdpcW+pUaEak4q9EXs6x83He+tApxAAAAAAAA&#10;AACU1ZZlVHe6y1uKcSLVZyH6QpaVjxtO7xh9uQEAAAAAAAAA4Kw+/+LjRiyjmma1i7b/te7yxnb3&#10;05l+vUZESmY++iKWlY+72hv+7bzqLu2FX2wAAAAAAAAAABhCS5ZR3d/tLq8pxomUj0IcAAAAAAAA&#10;AACNlpYmbcIyqmkbv/zqk3AfBlIxrl+1EZEhMht9+SoQfjHzL+128UsMAAAAAAAAAABVSLOwtWMZ&#10;1aW9l92lhX7lRkTOkJnoS1eBjf74b2Wnu7wVfokBAAAAAAAAAKAiTVlG9bP1j8LtH0hdG8U4kbOl&#10;E33hKqAQBwAAAAAAAADARLVlGdXUudnufjrTr+CIyHGJvmgV2OwP/1Z2vlvajL60AAAAAAAAAAAw&#10;CmkZ1TQbW9BvqZUHj66F21+wrhgnckLyL9Re8QtWga3+8G9FIQ4AAAAAAAAAgEl4+uzW/vkLnajn&#10;UhupuJe2M9r+w3a7y2v9Oo6IFJN/mUZRiNvuD/9WXnWXN6IvKQAAAAAAAAAAjEOaiS3outTKaZZR&#10;TV5+u7TYr+WIyCD5l2ir+KWqwF5/+LeSfxHXi19MAAAAAAAAAAAYp7SMaiqdBZ2XWrl3/2q4/Yft&#10;dJe3XnaXFvr1HBHJvzybxS9TBcJCXJquMfpiAgAAAAAAAADAuLVpGdVUjNvdXZrt13REpjf5F2ej&#10;+EWqQn/4t6IQBwAAAAAAAABA3aw8uR72X+rkxs2Lp1pGNbe+3f10pl/XEZm+5F+YteIXqAr50J3e&#10;K7zJy+7j1eBLCAAAAAAAAAAAE/X1Nw9bs4xqkiau6ld2RKYuq9GXp6x83HemYFSIAwAAAAAAAACg&#10;zp6/uNuaZVST1NfpV3dEpiaL0RenrHzcdwtx3y4tRl88AAAAAAAAAACokyYso/rBhzOnXUZ1+2V3&#10;aaFf4RFpfeajL0xZ+bhzveHfJH2xgi8cAAAAAAAAAADUTtuWUd3pLm/t7i69M8mVSNsyF31RysrH&#10;fadVuvPt4/noywYAAAAAAAAAAHWVllFNy5RGHZm6SMu8nnYZ1dz6dvfTmX6lR6R1mYm+JGXl4y72&#10;hn8ThTgAAAAAAAAAAJoqLaP6fue9sCtTF2dYRnV/t7u81q/1iLQqnejLUVY+7mpv+Dd51V2ei75c&#10;AAAAAAAAAADQFGmJ0qgvUyenXUY1efnt0jsTX4k0OtGXoqx82HcKcWkN4uhLBQAAAAAAAAAATZKW&#10;Ub1x82LYm6mLtMzraZdR3ekub73sLi30az4izU7+BdgrfiEqsN4f/nXS2sPRFwoAAAAAAAAAAJoo&#10;Fc7OX+hE3ZnauH3nyqmXUU3FuNTx6dd9RJqZ/MDfKn4RKrDRH/51FOIAAAAAAAAAAGijlSfXo/5M&#10;rTx4dC3c9iOsK8ZJY5Mf8JvFL0AFNvvDv45CHAAAAAAAAAAAbZWWUU2zsQU9mtpIy6h+tv5RuP2R&#10;3e7yWr/6I9Kc5Af7RvHgr8BWf/jX2d5e6URfHAAAAAAAAAAAaItUOGvTMqqvukt7L7tLC/0KkEj9&#10;kx/ka8WDvgJ7/eFfRyEOAAAAAAAAAIBp0YRlVNM2Rtse2ekubynGSVOyGh3wJSnEAQAAAAAAAAAw&#10;1dIsbE1YRjUt9xptf6i7vLHd/XSmXwkSqWUWo4O9rHzcTm/4XhTiAAAAAAAAAACYRp9/8XG7llHN&#10;7XaX1/q1IJHaZT46yMvKx32rEJcSfTkAAAAAAAAAAGAatG0Z1cQyqlLHzEUHd1n5uLO94d8k+lIA&#10;AAAAAAAAAMC0+Pqbh61bRnWnu7ylGCd1ykx0YJeVjzvXG/5Noi8EAAAAAAAAAABMm1Q4q/syqvfu&#10;Xz0o8EXbH+oub2x3P53pV4VEJpZOdECXlY873xv+TV51l/bCLwMAAAAAAAAAAEyhJiyj+vTZrXDb&#10;j7LbXV7r14VEJpPoQC4rH/adaRAV4gAAAAAAAAAA4G1tXEY1sYyqTCz5QbtXPIjLyodd7I3+Jgpx&#10;AAAAAAAAAAAQa8oyqtG2H2Wnu7ylGCdjT36wbhUP3rLyYVd7o7+JQhwAAAAAAAAAAByv7suovt95&#10;78zLqL7qLm9sdz+d6deIREab/EDdLB64FXhnLeD84N5+52AHAAAAAAAAAADe0pRlVL/86pNw+4+y&#10;211+p1MkUnnyA3S9eMBWYKM//OvkB7VCHAAAAAAAAAAAnFIbl1FNLKMqI01+YK4VD9QKvFOIS2sC&#10;Rwc4AAAAAAAAAABwtDYuo5q6RIpxMqqsRgdqSVv9sV9HIQ4AAAAAAAAAAIbT1mVUX3WXN7a7n870&#10;K0YilWQhOkBL2u6P/ToKcQAAAAAAAAAAUE5aRjUVz4K+Tm0Ms4zqbnd5rV8zEimd+ejALGmvP/br&#10;KMQBAAAAAAAAAEA12riMamIZVakis9FBWVZ/7NfZ+W5pMzqIAQAAAAAAAACA4bRxGdU08ZZinJRJ&#10;JzoYy0rj9obvRSEOAAAAAAAAAACq19ZlVFPfaLv76Uy/fiRy6oyqEPfWwagQBwAAAAAAAAAAo5OW&#10;UU1LlUZdnjoYdhnV3e7yWr+CJHK65AfcXvEALCsfdrY3ei+vussb0QELAAAAAAAAAABUJ83GFvV5&#10;6uKDD2fOvIxq8vLbpcV+FUnk+OQH2lbxwCsrH3auN3ovCnEAAAAAAAAAADAerV1Gtbu89bK7tNCv&#10;JInEyQ+wzeIBV1Y+7FsHnkIcAAAAAAAAAACMV1qi9PyFTtjvqYNU2htmGdVUjNvufjrTryaJvJ38&#10;4FovHmxl5cO+NUWhQhwAAAAAAAAAAExG3ZdRvX3nylDLqO52l9e2t1c6/YqSSC/5QbVWPMjKyodV&#10;iAMAAAAAAAAAgJpIy6jeuHkx7PrUxYNH18JtP8nL7uPVfk1J5CCr0QFWRhqzN3QvCnEAAAAAAAAA&#10;ADB5TVhG9bP1j8JtP05aRvVld2mhX1eSKc98dHCVtN4f+yAKcQAAAAAAAAAAUB9pNrag81Mbwy6j&#10;uvPd0uZ299OZfm1JpjSjKMRt9Mc+iEIcAAAAAAAAAADUS1pGNRXPgu5Pbaw8uR5u+0l2u8tr/eqS&#10;TGFmo4OppM3+2AdRiAMAAAAAAAAAgHpq6zKqr7pLe5ZRnc50ogOppK3+2AdRiAMAAAAAAAAAgHpr&#10;7TKq3eWt3d2l2X6VSaYh0QFU0l5/6IMoxAEAAAAAAAAAQP21eRnV3Pp299OZfqVJ2pz8QNkrHjgl&#10;KcQBAAAAAAAAAEBDNWEZ1VTei7b9JC+7j1f7tSZpa/KDZKt40JTVH/ogCnEAAAAAAAAAANA8aTa2&#10;qBtUF/fuX93/+puH4bYfJy2j+rK7tNCvN0nbkh8cm8WDpax82E5vdIU4AAAAAAAAAABoqiYso5pm&#10;tIu2/RQso9rG5AfFevEgKSsfdrY3ukIcAAAAAAAAAAA03edffNzaZVR3u8tr/aqTtCH5AbFWPEDK&#10;yodViAMAAAAAAAAAgJZpwjKq0XafxDKq7cpqdHCUkY851xtaIQ4AAAAAAAAAANrk628e1noZ1fc7&#10;71lGdcqzEB0YZeRjzveGVogDAAAAAAAAAIA2SkuU1n0Z1S+/+iTc9pO87D5e7defpIGZjw6IMvIx&#10;F3tDZ9nOd0ub0UEDAAAAAAAAAAA0X5uXUX3VXX69UqY0J3PRgVBGPqZCHAAAAAAAAAAATInWL6O6&#10;vdLp16GkAZmJDoIy8jFfTxmoEAcAAAAAAAAAANOhtcuodpf2XnaXFvqVKKl5OtGHX9Jaf2yFOAAA&#10;AAAAAAAAmDKtXUb1u6XN7e6nM/1qlNQ10Yde0np/aIU4AAAAAAAAAACYQm1eRvXlt0uL/XqU1DH5&#10;B7xX/MBL2ugPrRAHAAAAAAAAAABTrAnLqKZtjLb9ODvd5S2zxdU0+Qe7VfygS9rsD60QBwAAAAAA&#10;AAAAtHYZ1Zfdx6v9qpTUJfkHuln8gEva6g+tEAcAAAAAAAAAABxo6zKqaba43d2l2X5lSiad/MNc&#10;L364JW33h1aIAwAAAAAAAAAA3tLWZVR3u8tr/dqUTDL5h7hW/FBL2usPrRAHAAAAAAAAAACE2riM&#10;apot7lV3ea5fn5IJZTX6QMvoj5sdfMDBBw8AAAAAAAAAANDWZVTNFjfZLEQfZhn5mJ00sEIcAAAA&#10;AAAAAABwkjYuo5q6U7u7S7OpRyXjzXz0IZaRj6kQBwAAAAAAAAAAnEkbl1F92X28mrpUMr7MRR9e&#10;GfmYB81GhTgAAAAAAAAAAOAs6r6ManLWZVRTj2q7++lM6lTJ6DMTfWhl5GPOpYHzD3O7+OECAAAA&#10;AAAAAACcpI3LqL78dmkx9apktOlEH1gZ+ZgKcQAAAAAAAAAAQGktXEZ1PXWrZISJPqgy8iEX0rj5&#10;h6cQBwAAAAAAAAAAlNK2ZVTTEqq7u0uzqWMlI0j+gewVP6Ay8iEPpvbLPzyFOAAAAAAAAAAAoBJt&#10;W0bVEqojSv5hbBU/nDLyIRXiAAAAAAAAAACAkWjCMqppVrto29/RXd5IXSupMPmHsFn8UMrIh1xN&#10;477qLu2FHyIAAAAAAAAAAEAJbVpGNS2hur290kmdK6kg+Zu/UfwwSlpP4yrEAQAAAAAAAAAAo9Sa&#10;ZVS7S3u7u0uzB4UuKZf8jV8rfhAlHUzjpxAHAAAAAAAAAACMQ92XUU2z2X351Sfhtr+luzx3UOqS&#10;4ZO/4aMpxEUfGAAAAAAAAAAAwAg0YRnVB4+uhdt+2Mvu0sJBsUuGzmr05pewmQaNPiwAAAAAAAAA&#10;AIBRasIyqk+f3Qq3fUAprlwWoze+hO00aPRBAQAAAAAAAAAAjEPTl1FVihs+89EbXsJeGjT6kAAA&#10;AAAAAAAAAMYlFc7qvozqvftXw21PlOKGS+WFuO3tlU70AQEAAAAAAAAAAIzb5198XOtlVNO2HbWM&#10;6s63j+f7PS85ZeaiN7kMhTgAAAAAAAAAAKBu6r6M6gcfzoTLqO7uLs32u15yisxEb24Zv/mb/9ov&#10;Fj8UAAAAAAAAAACASWvCMqqpuPfWdneXDlbt7Pe95IR0oje1jN/4zau//tYHAgAAAAAAAAAAUCN1&#10;X0b10uVz+89f3H29vTvfLW32+15yQiovxP3xP/krNw8fPAAAAAAAAAAAAHX04NG1sANVF/fuX329&#10;rbvd5bV+50uOS/RGlvHrf+QX7xw+aAAAAAAAAAAAAOoqzcSWZmSLulB18H7nvf2nz24dbOvOt4/n&#10;+7UvOSr5m7ZXfBPLuPKHfv43igcNAAAAAAAAAABAna08uX5QPos6UXVw+86V/f/hH/zW7+zuLs32&#10;q18SJX+ztopvXhm/9mu/8O9HBwwAAAAAAAAAAEDdpeJZ1Iuqg1TY+4t/6cY/6le/JEr+RlVaiLt0&#10;6ef+o+hAAQAAAAAAAAAAaIK0jOr5C52wH1UH/+btX33Vr39JMfkbtFl8w8r45V/+qb8SHSQAAAAA&#10;AAAAAABNkpZRjTpSdfDTP/1jL7Msm+m1wOR18jdno/hmlXHpV3/ur0UHBwAAAAAAAAAAQNN8/c3D&#10;2i6j+iM/8kP/JMuy+V4TTA6SvzFrxTeqjAszP/VfRQcGAAAAAAAAAABAUz19dqu2y6hmWbbaa4NJ&#10;5YW4/EP/e9EBAQAAAAAAAAAA0HT37l8Ne1OTkmXZ4H9v9Bphsnr4DSpLIQ4AAAAAAAAAAGiz5y/u&#10;7l+6fC7sT01SlmX/Qa8SNt1ZjN6cYXV+8r1/GB0EAAAAAAAAAAAAbbLy5Pr++533wh7VBP0XWZbN&#10;9Kph05n54E0Z2o//+I/+o+jDBwAAAAAAAAAAaKO6LaOapF5Yrx42fam0EPf97//IP40+dAAAAAAA&#10;AAAAgLZKy6jeuHkx7FRNSpZlq72K2HRlLnozhqUQBwAAAAAAAAAATKunz27tn7/QCbtVE7LZ74lN&#10;TWaDN6GU6IMGAAAAAAAAAACYFitProfdqkiWZeGfV2iqSnEzwRtQytffPAw/ZAAAAAAAAAAAgGmR&#10;llG9fedK2LGagKkpxXWCnS9FIQ4AAAAAAAAAAKAnFeNqsozqWr8z1upUXoj78qtPwg8WAAAAAAAA&#10;AABgGj19dmv/J3/yd4d9q3HKsmyhVxtrcaIdLyM1GqMPFQAAAAAAAAAAYJp8/sXH+5cunwt7VpOS&#10;ZdlsrznW0uQ7uVfc6TIU4gAAAAAAAAAAgGn29TcP9+/dvxr2q2pgu18da2fyHay0EJdajdGHDAAA&#10;AAAAAAAA0GaDItz7nffCblWNbPTrY+1LvnNbhZ0t5bP1j8IPGwAAAAAAAAAAoK3quDzqcbIsm+81&#10;yFqWfOcqLcQ9fXYr/MABAAAAAAAAAADa5vmLu/s3bl4Mu1Q1t5dl2UyvRdai5Du2WdjRUhTiAAAA&#10;AAAAAACAtmvQ8qjH2ezXyNqTfKc2CjtZysqT6+EBAAAAAAAAAAAA0AZpedTzFzphf6ppsixb6DXJ&#10;WpJ8p9aLO1mGQhwAAAAAAAAAANBGDV4e9TjtWjo136G1wg6W8uDRtfBgAAAAAAAAAAAAaKKWLI96&#10;nI1+naz5yXdGIQ4AAAAAAAAAACDQpuVRj5Nl2XyvUdb8rEY7OKzUhIwODAAAAAAAAAAAgKZo6fKo&#10;x0lLp7YilRbibt+5Eh4gAAAAAAAAAAAAdTcFy6MeZ73fKWt0FoIdG1pqRUYHCgAAAAAAAAAAQF2l&#10;ItzTZ7emtQj3WpZls71aWXMzH+3YsBTiAAAAAAAAAACAJvn8i4/3L10+F/ahptB2v1fW2FRaiPvg&#10;w5nwoAEAAAAAAAAAAKiT5y/uHkwAFvWgplmWZQu9alkzMxft1LBSUzI6eAAAAAAAAAAAAOogLY96&#10;7/7VqV8e9Rh7WZZ1evWy5mU22KGhnb/QCQ8iAAAAAAAAAACASUpFuKfPbjW2CJe2e+XJ9YN9iP6+&#10;Yuv9flnjMhPszNAU4gAAAAAAAAAAgLr5/IuPD1a/jDpPdZeKcLfvXDko9A32Zxz7kmXZbK9i1qx0&#10;op0ZVnrzDx9IAAAAAAAAAAAAk/L8xd39Gzcvhl2nJvjgw5mDfSju15dffRL++xXb7HfMGhWFOAAA&#10;AAAAAAAAoFXSbGr37l9t/PKo0b4NpP2LfrZKWZbN92pmzUmlhbgkevMBAAAAAAAAAABGLRXhHjy6&#10;1vgi3OHlUY+S/p3zFzrhOBXa6/fMmpNgJ0o5zYcBAAAAAAAAAABQpc+/+Hj/0uVzYaepCY5aHvU4&#10;aZ+jsSq21q+aNSP5Bu8VdqAUhTgAAAAAAAAAAGBcml6ES9v+2fpH4b6dxo2bF8Nxq5Rl2UyvbdaA&#10;5BtcaSHuy68+Cd94AAAAAAAAAACAqqSe0r37V8MOUxOcZXnU46Sfj8av2Ga/blb/5Bu7Xdj4Us46&#10;bR8AAAAAAAAAAMBppQJYKsKlQlnUX2qC23euVDrx2INH18LXqVKWZfO9xlnNk2/sVnHjy1CIAwAA&#10;AAAAAAAAqpaKcE+f3Wp0Ea7s8qhHSe/N+Qud8DUrtN2vnNU7+YZWWohLa/JGbzoAAAAAAAAAAMAw&#10;UicplcmivlITVLU86nFS0S567SplWbbQa53VOPmGbhY3vAyFOAAAAAAAAAAAoApptcobNy+GPaWm&#10;+ODDmUqXRz3OGEqDe1mWdXrNs5om38iNwkaXMoop/QAAAAAAAAAAgOmRZlK7d/+q5VHPKBUIo22p&#10;2Hq/elbPpA0sbHApaZ3e6M0GAAAAAAAAAAA4TirCpf5Rk4tw41ge9Ti371wJt6tKWZbN9NpnNUy+&#10;gZUW4tKHGb3RAAAAAAAAAAAAR/n8i4/HseTnSI1zedSjpCJetG0V2+jXz+qXfOPWChtbikIcAAAA&#10;AAAAAABwWmmZzxs3L4ZdpKZIs8LVaWXNB4+uhdtZpSzL5noNtJol37hKC3HpzYzeZAAAAAAAAAAA&#10;gIE0k9m9+1cbvTxqkpYondTyqEdJ23P+Qifc3gpt9ytotctqsLFDU4gDAAAAAAAAAACOkspaaTa1&#10;phfh0vKuaZnXaB/r4LP1j8LtrlKWZQu9Clq9UmkhLrU2ozcYAAAAAAAAAACYbqlAlopkUe+oKVKR&#10;b+XJ9drNChcZw3u91++g1SqLwYYOLU0BGL25AAAAAAAAAADAdHr+4u7+jZsXw75Rk/za1QsH+xLt&#10;Yx2lAmK0H1XKsmy1V0OrTxaiDR1WOnCjNxcAAAAAAAAAAJguaRa1tOJk05dHHUgzrjVhZrjDxlBE&#10;TLPEzfSqaPXIfLCRQ1OIAwAAAAAAAACA6ZZKY0+f3WpNEe6wppXivvzqk3A/Krbe76LVIpUW4j74&#10;cCZ8YwEAAAAAAAAAgPZLy3Sm0ljULWqLppXixrFcbVajWeLmog0cVvqwozcVAAAAAAAAAABor+cv&#10;7u7fvnMl7BS1UZNKcWk7o32o2Ea/jzbxzAYbNzSFOAAAAAAAAAAAmB6pbHXv/tVWLo96kiaV4sZR&#10;VkxdtF4lLZvr/3MiqbQQd/5CJ3xDAQAAAAAAAACAdknLo6a+UNQjmhZNKcWNaZa4/z63ltvud9Mm&#10;kplDG1RaanpGbygAAAAAAAAAANAOqQiXimBRf6hJUtdp5cn1/T/xpy6Ff39aTSnFpZn8ou0fga1+&#10;N20iUYgDAAAAAAAAAABO1KblUT/4cGb/y68+eb1vN25eDP+902pCKW5Ms8Qlm/1u2kTSCTZoaApx&#10;AAAAAAAAAADQLqlI9eDRtVYU4VJx7bP1j8L9TCW56GdOqwmluPQ5Rttesd/ud9MmkkoLcUn0RgIA&#10;AAAAAAAAAM3TtuVRjyuspb8ru691L8WlbTt/oRNue4X+r343bTIJNqiU6I0EAAAAAAAAAACa4/mL&#10;u6WXEa2L4vKox6mqFBeNXRdPn90Kt7tKWZat9tppE0i0QWXUueEIAAAAAAAAAAAcLXV/7t2/2vrl&#10;UY+TynNl97/OpbgxzRK3l2XZTK+hNuakFy9sTCkKcQAAAAAAAAAA0Dxp5rAxFKVG7jTLo54kzZAX&#10;jX0WaWa6aOw6GMcscbn1fkVtvMlfuNJC3GmnFwQAAAAAAAAAACbv8y8+Lr1MaF2kEloqs0X7eVbp&#10;fYle4yzqWoob0yxxaenU8c8Sl79wpYW4qg4oAAAAAAAAAABgdAbLo0YdoKZJ5a4061m0n2VUUYq7&#10;cfNiOPaktXaWuPxFtwsbUYpCHAAAAAAAAAAA1NegCJeWFo36P01SxfKoJ6miOJbe72jsSWrtLHH5&#10;i24VN6IMhTgAAAAAAAAAAKgny6MO58Gja+E2nEUaIxp7klo5S1z+gpUW4tKXJnrzAAAAAAAAAACA&#10;yUjFsdt3roR9n6ZJs8KNYnnUk1SxvOwktvs463/99v73vvfD4bZWKRvnLHH5C24WN6AMhTgAAAAA&#10;AAAAAKgHy6NWq4pSYR1KcakgeePmxXD7RmR8s8TlL1ZpIe6z9Y/CNxEAAAAAAAAAABgfy6OORhWl&#10;uEl1rCZYkNzr19VGn/zFKi3E1W1aPwAAAAAAAAAAmCYTmP1rZAazwkX7OUlVlOLGvRJner3zFzrh&#10;toxDlmWLvcbaiJO/2EbxxctQiAMAAAAAAAAAgPFr2/KoaV8muTzqSaooxY1j1rsaFSTHM0tc/kLr&#10;hRcupY6NTAAAAAAAAAAAaLNJz/5VpTotj3qSsqW4VPwb1b7WsSCZZdlCr7U2wuQvpBAHAAAAAAAA&#10;AAANZHnUyauiFFf1THipIHnp8rnw9SZss19bG13yF1krvGgpDx5dC99kAAAAAAAAAACgGm1bHjUV&#10;4eq8POpJ0qx20b6dViqvReOe1eC4iF6jLrIsm+k110aU/EUU4gAAAAAAAAAAoCEsj1pPZUtx6eej&#10;cU8jFeGePrvViIJklmWLvebaiJK/iEIcAAAAAAAAAADUXJuWR00zon22/lG4n002iVJcjZdHPcrI&#10;l01dDV50aGnKveiNBwAAAAAAAAAAzq5Ny6P+yI/88P6f/61fb/TyqCcpW4q7fedKOG5Rk4+LLMs6&#10;veraaFJpIe60HwgAAAAAAAAAAHC8Ni2PetjKk+vh/rZF2VLcSat0ptn1mnxcZFk216uujSaL0YsO&#10;SyEOAAAAAAAAAADKadPyqEdp+0qUZUtxT5/demfMthwXWZat9qpro8lC9KLDSm948YMAAAAAAAAA&#10;AABO1qblUU8jlcbavHzqpcvnwv0+rTQTXBpnEsdFlmXhn1fki151bTSZD15waApxAAAAAAAAAABw&#10;dk1fBnNYaZ/TzGfRe9J0qchWthSXlpdt4XHxD/vdtZGk0kJcam1GHy4AAAAAAAAAAPCuz7/4uHRp&#10;qg0Gs6G1TRWluEnJRjdL3P/aq66NJgpxAAAAAAAAAAAwZm1aHvW9974f/vlZpdnQoveq6ZpcihuR&#10;kRbi5oIXHFr64KIPFQAAAAAAAAAA6Hn67FYrlsFMZb5UYvtv/s69yop9Dx5dC9+zplOKe8s/73fX&#10;RpLZ4AWHphAHAAAAAAAAAACxtiyPmspvt+9c2f/yq09e79vzF3fDf3cYaezD71tbKMW99t/1u2sj&#10;SaWFuNRcjT5MAAAAAAAAAACYVm1aHvWDD2cOym/RfqbCX/Qzw0ivE71G0ynFHfg7/e7aSDITvODQ&#10;0pc2+iABAAAAAAAAAGDapPJTWh61DUW4tA9pedRoPw+rshTX1tUq03HxS3/gp8J9rpG9LMv+avDn&#10;VXjaq66NJp3gBYemEAcAAAAAAAAAAO1aHjUV4VKJK9rPSNWluLO8dt2lfUmzBf7E+z8I97cmtrLe&#10;yqMbhT+vRD72/EFzbURRiAMAAAAAAAAAgIoMCk9VzQqXZVn45+Nw3PKoJ6myFJfey2G3o07Se3L+&#10;QifcxxpZS52y3GLwd1VIM8+l8UeX4EVLiT5MAAAAAAAAAABos1SEa8vyqGlWts/WPwr38yzS+xGN&#10;P4wml+LSdt+4eTHcrxpJRbXBzG0z6f8u/H1VNvqvMboEL1pK9KECAAAAAAAAAEBbTfPyqCepshSX&#10;pPc6ep06qnq2wBHazLJsptcmOyjDbRX+viqpdDfbe5kRJr1Q4YVLqfILAQAAAAAAAAAAdTUoPEUd&#10;miZJha3bd67sf/nVJ+F+llXl8qlJFbPXjVpDSpKpoLbYa5EdZC79WeHfqVJajnX0yV9IIQ4AAAAA&#10;AAAAAE4p9WPSTGptWB71gw9nxrIUadWluDTzXPQ6k9agWeG2srdna1vM/2yUZbhUvuv0XmrEyV9s&#10;u/DipYyqKQoAAAAAAAAAAJNWx5m/siwL//w4g+VRo30clVS8i7ZlWOPe/pOkY+P8hU64rTUymBVu&#10;UE7r5H+2Vvh3Kpe/znzv5caQ/AUrXfN1HI1RAAAAAAAAAAAYpwbN/HWsQRFuUqtApm5Rle9hHUpx&#10;g2Mj2r6aSbPCDYppqRC3kP9ZpZOpHWE8S6UOkr+gQhwAAAAAAAAAAByhITN/nSgtj1qH1R+rLsU9&#10;eHQtfJ1xqOOxkcUzBqZS2mBWuLn8/660M3aM9fz1xrNU6iD5i24WNqIUhTgAAAAAAAAAANog9WBu&#10;3LwYdmSaJC3x+tn6R+E+TkqaVa3KpWfTDG3R64xKg2aF287ezAqXinCVdsVOMP4yXEr+wpXuZGo9&#10;RgcBAAAAAAAAAAA0QRuWR82ybOLLo56k6lJcmgEvep2qNWjGwEEhbSb/32u5vUN/N2qTKcOl5C++&#10;UdiYUhTiAAAAAAAAAABoqtR9qbKkNUn/xvV/IdzHOmlSKS5t6+07V8LXrZm9rDcrXCf/3+MuwiWH&#10;l2cdf/INWC9sUCl1m14RAAAAAAAAAABO0oZZ4SLjmjWtrLSd0fYPYxT7nIqSDTk2fjvLsl/M/zmJ&#10;Ilwq4i0clNImmXxDKi3EPX12KzwoAAAAAAAAAACgjhq0BOZQ0gxsdV029bBUSIy2fxhpn6PXOKv0&#10;vt24eTF8jbrIsiz985/k//zN/J+TKMIlW/nrz6Y+2sSTb0x6E6KNHIpCHAAAAAAAAAAATfD8xd3a&#10;l52qkmY3S/sbvQ918uDRtXD7h1G2CJh6UE2ZFS73V3OTKMIlm9kkl0gtJt+gSgtxK0+uhwcIAAAA&#10;AAAAAADUQVuXRz1J2t80G170ntRJKqJF2z+MYUpxX371SVOKkr+TZdnz/J+TKsKlJVIXc/Upw/Wz&#10;Gmzs0BTiAAAAAAAAAACoq1QISyWpqPcyLZqwAmT6nKJtH0ZaDve0s+M1ZVa4LMu283++Kv75GKVZ&#10;4WYO2mc1zGKwwUNL0xZGBwsAAAAAAAAAAEzKtM4Kd5QmTHqVSmxVfV5pnONKcQ1aPvf/zP3jwp+N&#10;02BWuFpnIdjwoSnEAQAAAAAAAABQJ2m2sTRLWNR1aYoPPpzZ/5MfXQ7/blipIBi9X3WSli+taka/&#10;qBSXipKpHNiQouQ/C/5snGo9K9zhzAcbP7QmfFEAAAAAAAAAAGi/Bs36daRU1EqFrVTcSvuUujnR&#10;vzesVLQrvm91k/a9ylJcKkimcRt0fPy/wZ+N01bqmPWqZs1IpYW423euvHNQAgAAAAAAAADAuLRl&#10;edTUwxkU4Q5Lfx79+8NKZbPodeomlfei7R/GH7v1K40/PsZgsDxq56Bl1qAoxAEAAAAAAAAA0App&#10;9q+qZhOblFT8Ki7tWTStpbiq97vG/nnwZ+Oyl1vPGliEG2SusEOlpGkEo4MRAAAAAAAAAABGpQ2z&#10;whWXRz1J1eWw9PonFfHqoOplY3nLZpZls71aWXMzG+zY0BTiAAAAAAAAAAAYpzbMCpc6N19+9Um4&#10;f8epchnRpCmluAeProXbP4wsy8I/nzLb+fuwcNAma0Fmgh0cWvqSRQchAAAAAAAAAABUqQ2zwqUi&#10;32frH4X7d1rTWopLRcho+zmTvSzLFnONXR41SifY0aEpxAEAAAAAAAAAMGqpDHX+QifsrzTBWZdH&#10;PUnVpbgkvcfRa9WJUlwpaXnUmV6FrF2ptBCXWqvRwQcAAAAAAAAAAGUNZoWLeitNkcprwyyPepz0&#10;voxi2diys9eNQ5rNrsmzBE5AKsLN9qpjLU2w00NLzdvowAMAAAAAAAAAgDLSbGDTvjzqcUZVinv6&#10;7Fb4enWSCoY/+3M/Hm4/r7VyedQwwc4PTSEOAAAAAAAAAIAqpaLXjZsXw65KE1S9POpxRlWKS9sf&#10;vV4dpH1u+qyBIzY9RbhB0k4X3oShpS9wdOABAAAAAAAAAMBZpdnJmjwr3CiWRz3JqEpxDx5dC19v&#10;ktKsgWkCr2h7OSjCreampwg3SNr5wpsxNIU4AAAAAAAAAADKev7ibitmhYv2bRzaXoozK9yJNrMs&#10;m+21w6Yw+RuwVXhDSokOQgAAAAAAAAAAOMmg6NTkWeFu37lysB/R/o1bmqEu2sYy0ucTvda41HVW&#10;uCzLwj8fs+kuwg2SvxEKcQAAAAAAAAAATFQqOo1iVrNxSdv+2fpH4b5NUltKcalkmMqG0fYcJatH&#10;SW0cUhFu/qAMJgeFuM3CG1RKXRquAAAAAAAAAADUX9NnhRssj1rnzkzTS3GpLNnkWQNHaC/LssVc&#10;56AIJr3kb4xCHAAAAAAAAAAAY9f0WeFS0ez5i7vhvtXNWWdXO41Rl+KGmRVuSijCHZf8DdoovGGl&#10;fPnVJ+EBCgAAAAAAAAAAiVnhJqNJpbhUljx/oRO+5hRLRbjVnCLcccnfqPXCG1dKU1qvAAAAAAAA&#10;AACMX9OLTmlWuCZPGFX3UtygLBm9zhQbFOFmDgpfcnzyN2yt8AaWohAHAAAAAAAAAEBRXWaFy7Is&#10;/POTpO1++uxWuG9NM4rCWRWlOLPCvWMvt5Yfs4pwZ0l60w69iaWlAzM6YAEAAAAAAAAAmE6pT3Lp&#10;8rmwa9IEaVa1pi2PepIHj66F+1rGsKU4s8K9IxXhNjJFuKGzWnhDS1GIAwAAAAAAAAAgqcuscMNK&#10;Jb42d2HqUIozK9xbUhFuM8uy2V6tS4ZNpYW4z9Y/Cg9eAAAAAAAAAACmR5NnhUsFvpUn11s3K1wk&#10;fU7Re1DGaUpxTS9LjoAiXIVZDN7goSnEAQAAAAAAAABMr6YXnT74cGb/+Yu74b611bhLcU0uS46A&#10;ItwIUmkh7umzW+GBDAAAAAAAAABAuzW56PSD9753MCtctF/TIJUAqy4xFntEZoV7iyLcCLMQvOFD&#10;m+YTAwAAAAAAAADANGpL0enBo2vh/k2LVIo7f6ETvjfDGpTi0thmhTugCDeGzAdv/NAU4gAAAAAA&#10;AAAApkfblr+8cfNiuJ/TIpUbq/48/9itXzErnCLcWFNpIW7am7IAAAAAAAAAANOgzctffvDhTLjP&#10;0yJ9tuk9iN4bzkwRbgKZCz6IoSnEAQAAAAAAAAC0W9tmhYuk/Yv2fZooxZWiCDfBVFqIS83f6AsC&#10;AAAAAAAAAECzNXlWuLTNP/MzPxb+3VFSKS7tc/ReTIvbd66E7w1HUoSrQWaDD2ZoCnEAAAAAAAAA&#10;AO3z/MXdxs4Kl7b7s/WPDsptZ92H8xc6B/sevSfTIvWBoveGtyjC1SgzwQc0tNQKjb4YAAAAAAAA&#10;AAA0T9NnhVt5cv2tWd6+/OqTM+9L+venvRSXCoXRe4MiXB1TaSHuxs2L4ZcCAAAAAAAAAIBmafqs&#10;cEeV2D7/4uPwZ46TSnHp56LxpkV6P5tYjBwRRbgapxN8YENTiAMAAAAAAAAAaLbjZoXLsiz833WR&#10;trk4K1xkmFJcMu2luGGWnW0ZRbgGRCEOAAAAAAAAAIADTZ4V7oMPZ860tGkqzkXjnOTps1vheNMi&#10;lQK///0fCd+bFlOEa1KCD3Bo6cQSfREAAAAAAAAAAKiv42aFq7vTzgoXuX3nSjjmSdLrReO1WXp/&#10;D79fWQ1nCBwBRbgmJvggh5YawtEXAgAAAAAAAACAepqmWeEiaYxo7JM8eHQtHK+N0qxw5y90wveh&#10;pRThmpz8A9wrfKBDU4gDAAAAAAAAAGiGaZ0VriiNMWwhsO2rKQ6OkWjfW0oRrg3JP8jKCnGpCRp9&#10;OQAAAAAAAAAAqI80q9qNmxfD/kfVsoqX1kwltC+/+iTcr2Epxb1rymaFU4RrU/IPdLvwAQ8ttW+j&#10;LwgAAAAAAAAAAJOXil9pZrVpnxUuksYd9n1JZbpRbde4pf0YdubArOLy4xgowrUx+Qe7Vfigh6YQ&#10;BwAAAAAAAABQT+OcFa5qo5gVLpJeY9hSXPq59B5H4zZFmhVu2JnyGkYRrs3JP2CFOAAAAAAAAACA&#10;Fmv6rHDRPo1KKrVNWymuzKxwDaMINw1JH3Thgy8l+tIAAAAAAAAAADB+dZ4VLjthec1xzQoXSe9b&#10;tE2nlWZai8atoymZFS4V4eYOylLS/qQPvHAAlNKW9ZABAAAAAAAAAJrMrHDlpKJYtH2n9fTZrXDc&#10;upiSWeFSEW6+15KSqUn+wW8UDoRSFOIAAAAAAAAAACZnnLPCZSfM8nZWk5wVLlK2FFeHYl8kHSMt&#10;nxVOEW6akx8A64UDopQ6nZQAAAAAAAAAAKZJmpWsqTN+/ct/6PeH+zRpZUtxDx5dC8edhCmYFS4V&#10;4RZznYNilExn8gNhrXBglJIapNEXCgAAAAAAAACA0RjnrHCjlIpaqYAW7eMklS3FpZnvonHHqeWz&#10;wm1linAySH5AKMQBAAAAAAAAADRUk2eFO0qaxSza10lqaimu5bPCKcLJu8kPjEoLcXVs6QIAAAAA&#10;AAAAtE0qOrVhVrijpNnM6jYxU9lSXNqn9LlFY49C3WeFy7Lstejvj7Gd/4winByZ1eCgGZpCHAAA&#10;AAAAAADAaLVxVrijrDy5Hr4Hk1K2FHf+QmfkRb8Wzwq3lynCySlSaSHus/WPwi8aAAAAAAAAAADl&#10;tH1WuKOk5UbHObPaScqW4lJRbVSluLrPCjckRTg5UxaDg2hoqYEcfdkAAAAAAAAAABjeNM0KF0n7&#10;XqeVC8uW4pIq96els8Lt5dazLJvp1ZxETpeFwoFUSt2mqQQAAAAAAAAAaLImzwqXZir7y//pn6h0&#10;xrIHj66F79MkVFGKq2LyqZbOCreZZdlsr94kcrbMBwfU0BTiAAAAAAAAAACq0dRZ4dI2pw7JYJnT&#10;9M+07Gn07w4jlb++/OqTd96vSUhltGgbz2LYvk1LZ4VLRbj5Xq1JZLhUWoirUwsXAAAAAAAAAKCJ&#10;mj4rXCqJRfuVylvRzwyritnVqlBFKe6snZsWzgq3l2XZYq5z0GgSKRGFOAAAAAAAAACAmmjLrHBH&#10;Sf9O9PPDSiW76HXGLRXUyn5uaRa9aOzDWjgrnCKcVJ654EAbWl1OMgAAAAAAAAAATdL0WeE+W/8o&#10;3K/I5198XGmh67hZ6cYpfYZlZ207rhTXslnh9nLrWZbN9CpMItVltnCwlXL7zpXwCwkAAAAAAAAA&#10;QKyps8IlafKkk2aFi3z51SeVl7vS7HPRa41Tei9SqS3avtNK70txzJbNCreZOku96pJI9VGIAwAA&#10;AAAAAACYgGmaFe4oVe9/XborZfcrvb/p+GjZrHCpCDffqyyJjC4zwcE3tPRljr7kAAAAAAAAAAC8&#10;0eRZ4VLpbJhZ4Y6SZj+LXmdYqUBWhyVUy+7Xz/zMj+3/xPs/CP+uYfayLFvMdQ7aSiIjTic4CIem&#10;EAcAAAAAAAAAcLQmzwqXCnxVzAoXSeNGr1lGHZZQffDoWrhtU0IRTiaSSgtxaQ3k6MsNAAAAAAAA&#10;ADDtmjwrXOqEVDkrXCTN6lb1+zOO7T7J5198HG5bi+3l1rMsm+nVk0TGnMIBWUqacjL6YgMAAAAA&#10;AAAATKumzwqXinzRfo1Ceq9S/yTalmGlfUiltOj1xiWV/aJta6HNLMtme60kkQklODCHdv5CJ/xS&#10;AwAAAAAAAABMozrNCpdlWfjnR0mzq3351Sfhfo3avftXw20qIy1fGr3WuKRSXOrWRNvWAqkIN3dQ&#10;RhKZdPIDMk1TGB2oZ6YQBwAAAAAAAADQ/FnhVp5cD/drnFKBLdq+MtLsc5Mq+SWjmAFvwvayLFvM&#10;dQ6KSCJ1SDowCwfq0NIJMfoyAwAAAAAAAABMizrNCndWk5wVLpKWOo22s4z02Xy2/lH4euOQSnGX&#10;f/Xnw21rEEU4qW/yA3S7cMAOTSEOAAAAAAAAAJhWbZgVLu1DtG+TNKqlRtOyrNHrjVIq+DV82dQ0&#10;8dZ6lmUzveaRSA2TH6Rbhw7a0qIvMwAAAAAAAABAmzV9VrhUOov2qy5SUS9tZ7T9ZYxrCdUmlyUP&#10;2cyybLbXOBKpcfKDtdJCXB2bwgAAAAAAAAAAo9D0otN7731v/6/99dvhvtVRmtUt2o+y0ux40etV&#10;ocllyb5UhJvrNY1EGpB00BYO4lIU4gAAAAAAAACAadCCotNrn61/FO5jHaXyWrQPZd2+cyV8vWGl&#10;WfcaPitcKsLN9xpGIg1KOngLB3Mp45hGEgAAAAAAAABgUlqy/OU7RjlLWtVS2WwUZcS0hGrZ5WPT&#10;8ZHeywaXJbezLFvMdQ7KRSJNS34QbxQO6lLqvqY0AAAAAAAAAMCw2jQrXOTBo2vhftdRKp6lAlu0&#10;H2Wlzzl6zZM0fFa4vUwRTtqQ/GBeLxzcpSjEAQAAAAAAAABt0/Ci05l88OFM+B7U1ag+l3v3r4av&#10;F0nlvPTvN7QsqQgn7Up+UK8VDvJSPv/i4/CLDwAAAAAAAADQNE1f/jJt91/49I+Ef3ecppXi0sx2&#10;0X6UdZolVNPfj2qmuhFLRbjVnCKctCv5wa0QBwAAAAAAAABQ0OCi04FUakuFvrQvqc8R/TvHSfs+&#10;+PkmGGYfTytaQrXBs8Lt5dazLJvptYdEWpb8AK+0EPfZ+kfvnAAAAAAAAAAAAJqi4ctfHmx3VOBK&#10;Bb+z7lP690+aIa1O0raev9AJ96Wsw0uopvLdqF5nxDazLJvttYZE2pvV4OAfWnRCBQAAAAAAAABo&#10;glR0avqscF9+9Um4b8mwpbimrRh44+bFcF/K+pV/6ef2/8yf/cPh341almXhn59SKsLNHzSFRKYg&#10;i8GXYGhp3ezoRAMAAAAAAAAAUFdtmBXutJ2NVJgbZj+btmrgg0fXwv2YMnupG5TrHLSERKYkCnEA&#10;AAAAAAAAwNRq+6xwkVQAHGafm9YLSZ9ttB9TQBFOpjoLwZdiaApxAAAAAAAAAEATDGaFi/oPTXCW&#10;WeEiw5bi0sxr0Xh1lZaJHVXhMSu3jOko/E5uLd+umYNWkMiUZr7wxSilaSc9AAAAAAAAAGD6pJnD&#10;zl/ohN2HJhhmVrjIsKW49PrReHXW5PLjCf5+lmW/kZvNmRFOJE+lhbh08ohOKgAAAAAAAAAAkzbt&#10;s8IdJRXcotc7TirSRWPVWcuWULUsqsgRmQu+MEO7fedKeEIBAAAAAAAAAJikVIZKhbKo79AEVc0K&#10;d5RhS3Gj3KZRGHZWvJrZzCyLKnJkFOIAAAAAAAAAgNZKBagbNy+GPYcmGNWscJHU+4i24Thp+56/&#10;uBuOV2cPHl0L96fmBrPCicgxmQ2+PENLF5DoJAIAAAAAAAAAMG5Pn90yK9wZDVuKSzPwRePV2cN/&#10;94/s//AP/1C4TzVkVjiRU2Ym+AINTSEOAAAAAAAAAJi0NGOZWeGGd+/+1XC7TpIKiNF4dVM8PrIs&#10;e2s/qlDhmGlWuPlU8hGR06UTfJGGlprJ0YkEAAAAAAAAAGDU0vKoaSlMs8KVN2wpbpJFvpOk4yPt&#10;V4OOj/XU7elVfETktKm0EHfp8rnwhAIAAAAAAAAAMEpp1q/UW4j6DE0w6VnhIqlcGG3rSdLPReNN&#10;UlrStUHHx1ZmVjiRoaMQBwAAAAAAAAA0VgNn/XpHXWaFi6SSXrTNJ6nLKoMNOz7S8qiLqc9z0OoR&#10;keESfLmGdv5CJzy5AAAAAAAAAABUrWGzfu1nWfbW/13HWeEi6X0+vN2nlT6bVEiLxhyHBs4KN3tQ&#10;5hGRcgm+YENTiAMAAAAAAAAARm0w61fUXWiKOs8KFylTihv3fpoVTmTKk75YhS/a0NKJJDrRAAAA&#10;AAAAAABUIRWz0oQ9UW+hKX7+539i//mLu+H+1Vna5mFKZulnxrW/DTs+NjOzwolUn/zLpRAHAAAA&#10;AAAAANRaKlTduHkx7Cs01WfrH4X7WmdptrdhCmepU5LKatGYVajbrIFZYXncArPCiYwy6UtW+NIN&#10;TSEOAAAAAAAAAKhSKjo9eHRtqJnJmiDtW7TfdZY+k7QUarQ/JxlFKW4Ss8JlxxfejpNmhZs5KO2I&#10;yGiSf9G2C1+8UqITDwAAAAAAAADAWaWi07DFqyb54MOZcP/rLJXi0nZH+3OSp89uhWOeVdqG23eu&#10;hK9RQ4NZ4URk1Mm/cFuFL2Ap6WQTnYQAAAAAAAAAAE4jdQ/S8pdNmhUuG37GsAOp+JeWI43ejzob&#10;dhnblSfXw/FOK5XqGnR8mBVOZJzJv3QKcQAAAAAAAABALUxi+cu6SAWvUSwpOmqpvBjtz0mGWS72&#10;+Yu7Q5fwJiDNCrfQa+iIyNiSf/kU4gAAAAAAAACAiWrY8pehNMvbX/j0j4R/dxZlZ0+bhFRui/bl&#10;JOkzj8aLNGxWuPUsyzq9do6IjDX5F3Cz8IUspYnTdwIAAAAAAAAAk9OwotM70ranEttgEqE0i1nZ&#10;/UmzrhXfp7r7bP2jcF9O8sGHM+F4Aw2bFW4ry7L5XitHRCaS/ItYaSEunYSikxMAAAAAAAAAwGEN&#10;KzqFUpkr6kqkclyaMS76mdNKP9+0lfrSkq/RvpwkKsWlfU/FwIaUJfdya5lZ4UQmn/zLqBAHAAAA&#10;AAAAAIxNw4pOoeKscJH0d6noFf38aaXXaVoXI23v+QudcH+Oc7gAmMYoWygcozQr3GyviSMiE0/+&#10;pdwofElLUYgDAAAAAAAAAI6SZhBrUNEplEpuX371Sbh/kSpmwUvLkUZj11Uqtg3zOf/CL7y//+d/&#10;69cbMytclmWLObPCidQp+Zez0kJcunBFJzoAAAAAAAAAYHoNZoWLugZNMZgVLtq/k1Sx7w8eXQvH&#10;rrOmL4l7jM3MrHAi9Uz+BV0vfGFLUYgDAAAAAAAAAA5LXYJhltCsk7POChdJhbZo7LNIBbNo7Dpr&#10;ehGywKxwInVP/kWttBDXtCk6AQAAAAAAAIDReP7ibuNnCEuzwlXZhUjlwOh1ziKV86Kx66yKMmAN&#10;pFnhZnqNGxGpbfIv61rhy1uKQhwAAAAAAAAATLe0PGoqQKUyWdQtaIrbd64c7Eu0j2WkomDZ9+bS&#10;5XOlZ6wbtyrKgBOSZoWb7zVtRKT2yb+0lRbinj67FZ7UAAAAAAAAAID2S6WnVNaKOgVNkbZ/1BMC&#10;paJd2fcplepSuS4av67S9v7E+z8I96eG9nLrmeVRRZqV/IurEAcAAAAAAAAAlJIKXvfuX230rHBp&#10;21eeXB/JrHBHqWJJ2VRCjMauo7Stv+fHfzTcj5NkWRb++Yik5VFnD8o1ItK4rAZf6qGlC0N0QgMA&#10;AAAAAAAA2imVnM5f6IQ9gqb44MOZic22loqE0TadRd37GqlkmJagjba9ZtLyqIs5s8KJNDgKcQAA&#10;AAAAAADAmTWo5HSkScwKF0nbEG3fWTx4dC0ce9IaVJhMs8LN9Oo0ItLkLAZf8KEpxAEAAAAAAABA&#10;+z19dqvRy6Mmf/DSuf0vv/ok3L9JSMWxaDvPIi3BGo09CYNldKPtPCwb71KokTQr3MJBi0ZEWpFK&#10;C3F1bRsDAAAAAAAAAOWlZUVT6SrqDDTRZ+sfhfs5Ken9LTubWlr+NRp7nBo0K9x6ZnlUkdZFIQ4A&#10;AAAAAAAAONZgtq+mzwoXSbPdRfs8Kem9vnT5XLitp5V+fhKz3512Vrga2MqybLZXnRGRtqXSQlw6&#10;qUUnPAAAAAAAAACgmdJsX2ULWv9/e/cXclt634d9e2RLsiNLB9vxn1gzOXb8R3akzKnj+o/kwTKu&#10;YlXONMeumMyF40yITSBVYFQUAiVgYSglDp5hCim9ED0NyVUhUQi9cIubc5ELBQQ9l70IVBctlFLo&#10;SW8Cvel0/847z2TNmt9+917redbaz1rv5wsfLL9z3rXXWnv9ef783rV693u//7l026+p9kl8UbwY&#10;T5zLlr2EjTwVLl6P+vqRp8KJ7DgK4gAAAAAAAACA99nQ076a6LEorsX+j0K1bNmtbOjpgY8Ph8P9&#10;m3IZEdlzXksuALMpiAMAAAAAAACA7dvI075u9enP3H/7D/7w19P/dsqXv/JSuj+uKQr1snWdYqli&#10;v3gCXezn7DM7Up4KJyJ3JE0L4l559cX0AggAAAAAAAAA9C8KnGpf1Xlt8aSyYQFYFPdl/+6UHh8G&#10;NHUbMq2L/d546+UtPBXu0cHrUUXuXBTEAQAAAAAAAMAdt6HXXt4q6hZiW8bbN7WgLJ56Nl7GtUWx&#10;Yu1T+6LYMVv2FLF/r1E0eTgcnsn+W+LJ8d8+jMIYEbl7URAHAAAAAAAAAHdYFIt98lM/mNYBbEWs&#10;/9cefTHdvmIPRXFRjFb7XdVsV+zDzl+lW16P6qlwInc4TQviWlQSAwAAAAAAAADL28NT4crrUbOn&#10;wmX2UBQX4nvL1vdSUVSXLfeUcqxky+rI48Ph8OCmHEZE7nIUxAEAAAAAAADAHbOBJ32dFcVq8RrR&#10;bPtus5eiuC9/5aV0fS8VRXGXFBLG/ur8CYLlqXAiIs/yMLlQzKYgDgAAAAAAAAD6FQVQr7z6Yjrn&#10;vxXlqXDZ9l1qalHc1CeqrWXqdozdVhQXP4+iu86fIPjo4PWoIjJK04K4XquiAQAAAAAAAOCue+Ot&#10;lzf9etQQxXyXPNXsEnOK4lp9dkvxlLyaJ7hl2xXLjIciZf++E0+i5uWm9EVE5L1REAcAAAAAAAAA&#10;O1ZbMNWDWP85r0c9Zy9FcaGmgC1en1u2q/PCyfJ6VE+FE5GTURAHAAAAAAAAADsUBU6/+zd+ftNP&#10;hSuvR12yCG1qUVwUj33jm19Kl3Vt8X1n63yJj37sw2//hV/7ifS/deLx4XB4cFPuIiJyOk0L4qIS&#10;OrvgAgAAAAAAAADriSKvKNzK5va3Ih7Ks1bh2dSiuCjUW+KJdS187dEX03XeME+FE5FJURAHAAAA&#10;AAAAADtRngqXzenXOhwO6c9bi2KzeG1ntn1L2lNRXKzX1gsi3xFPhbv/rMJFROTCNC2Ii4tpdqEF&#10;AAAAAAAAAJYVRWRbfz3qK6++uOjrUc/ZU1Fc7Md4sFG23htQngonIjI5CuIAAAAAAAAAYMOiICte&#10;L5rN429FrH8vhWV7KooLSz0xcEGeCiciVflscmGZTUEcAAAAAAAAAKyjvB5160+F+73f/9xVnwqX&#10;mVoUF+J3smX1IPZxts6d8VQ4EWmSpgVxcaPKLqwAAAAAAAAAQDtRfBUPrcnm7rcingr3jW9+Kd2+&#10;HuytKO4P/vDX3/7AB55L17sDngonIs2iIA4AAAAAAAAANqI8FS6bs9+KT37qB9/+2qMvptvXmzlF&#10;cT1uWzwhrvZJgofDIf15JU+FE5HmURAHAAAAAAAAABvwxlsvVxc1XVOse4+vRz1nTlFcfFfZstYW&#10;+/rzX/hEuo5zHNoWxXkqnIgsEgVxAAAAAAAAANCxP/rj32la1HQN8XrU2I5s+7Zgi0Vxsc6dFlB6&#10;KpyILJqmBXEhu8gCAAAAAAAAANOU16Nu+alwRbwmdWtPhhubUxQXT8TLlrWkzl+r66lwIrJ4HiQX&#10;nyrZxRYAAAAAAAAAuFwUX0URWTYvv1VR2Lflp8SF3oviYv92etx4KpyIrJbmBXFbr+gGAAAAAAAA&#10;gGvp/OleTURRWbbtWxFFZ9l23ebLX3kpXVZLUXjX6dMEPRVORFaNgjgAAAAAAAAA6MAbb728i9ej&#10;XiK2NdsHW9FTUVzUaXz+C59IP3Oqw+GQ/nwmT4UTkavkfnJBqqIgDgAAAAAAAAAuF8VVrQqatmSN&#10;p6YtKb63qQWMr7z6YrqsueJpe8+/cC/9rCvzVDgRuVqaF8R945tfSi/CAAAAAAAAAMC/U16PuuWn&#10;wv3ZT/5g+vNLxfZn+2Yr5hTFffoz99NlTdHxseOpcCJy9dxLLk5VFMQBAAAAAAAAwO3iyV6f/FRd&#10;Mdk1RSHW7/3+554VZs15fehQiwKxa4o6ialPaavZ5pavSG3MU+FEpIs0L4iLG112QQYAAAAAAACA&#10;u6482Subb9+KeO3n+GE5c56UNhTFgbFvhsvcklj3qQWOc4riopCy46fC3XtWiSIicuUoiAMAAAAA&#10;AACAFbzx1ss9FjNdLAq+oiAr27ZQWxQXT1nbcs1BFMVFkVu2badcWhTXcSHlk8Ph8OCmBEVEpI8o&#10;iAMAAAAAAACABcU8eqevuLzI8PWo2fYNxZPjaori4ne3Xncw9buOQsNsOUXsj6mFdit5M+pObspP&#10;REQ6SnLBqnJbNTgAAAAAAAAA3BXlqV5bfipcFGKNX496Tvz7qa8PHfvaoy+my96KqU9zO/XK2E6f&#10;KhivSH3tpupERKTDJBeuKgriAAAAAAAAALjrYu68tijsmmLda4rSorirdvvjqXTZsrfiy195Kd2u&#10;U4ZFcaWYMvt3V/b4cDjcv6k4ERHpNMnFq8rWq7QBAAAAAAAAYK6OC5kuMuX1qOe0KIqLorJs2VsR&#10;T3jLtuuU51+49/Y//Md/ucdiyngq3OtHXpEqIv0nLlqji1gVBXEAAAAAAAAA3EWdvt7yYnNej3pO&#10;i6K4WK9s2VsRTwvMtuuU5557Lv35FT05HA4PbqpMREQ2kOOFq2lBXNzgsws8AAAAAAAAAOzRH/3x&#10;77z9+S98Ip1D34J4KtmSD79RFHdzjGy0WPLRwVPhRGRrOV68FMQBAAAAAAAAwETl9ahbfSpcy9ej&#10;XiKK2rL1uFQU1a21rkuIp+91+CrUU+IVqa/dVJaIiGwsx4vYt0YXtSoK4gAAAAAAAADYu3gN5oaK&#10;m94nitPiqWXZti2p9kl6UcR3jfVuJQr6agsDV/D4cDjcv6kqERHZYI4XsqYFcVE9nl3UAQAAAAAA&#10;AGDrylPhsvnyLShPhcu2bS2vvPpium6Xim2IgsRs2VvxG//xJ9Ntu7J4KtzrR16RKiLbzvGCpiAO&#10;AAAAAAAAAM6IN6Zt9fWo4SMf+dDb/+Sf/ZV029bWoqhwq2+wi2K+51+49/bhcEi365Sp/36iJ8fl&#10;P4g6EhGRzScuaqOLXBUFcQAAAAAAAADsSbyis/ZVn73o6ZWjX/7KS+k6TrGlGoXydMEOiyofHTwV&#10;TkT2lOOFrWlBXNywsgs7AAAAAAAAAGxJxwVM1b726IvpNq+tRVHcFuoUvvHNL/VYVBmvSH3tpnpE&#10;RGRHOV7gFMQBAAAAAAAAwEC81vKTn/rBdF58L3p5ulrs62z9pohis2zZPYjt67Co8vHhcLh/Uzki&#10;IrKzxEVudNGrEtXx2QUeAAAAAAAAAHpXngqXzYfvUS8PvWlRFPfpz9xPl30tvR5Lh8Phq0dekSoi&#10;+83xYqcgDgAAAAAAAIA77423Xt7s61H/xEc+lP78Er08XW1PRXF/9Me/0+MTBuMVqQ9vqkVERHac&#10;4wXv66MLYJVXXn0xvdgDAAAAAAAAQI+ieCmKwrI58C2IIrBvfPNLVQVlPRWS1RYlRiFaPJ0tW/4a&#10;Oi2s9IpUEbk7OV70Ho0uglV6fi83AAAAAAAAABTllZZbfSpcFH597dEX37NNNUVx1y4kK7ZaFBef&#10;Fw8RytbniuKpcK8feUWqiNydHC9+b44uhlUUxAEAAAAAAADQuygce/6Fe+m8d++iWOz3fv9zJwu+&#10;aoriYp9EQVq23DXFE+9qXzka+2mtben0ePKKVBG5mzleAJsWxPXyGFUAAAAAAAAAGOv0KV4XK69H&#10;zbZtqKYobs1CstvEd7WForgoTqx9ot0CvCJVRO50vppcGGdTEAcAAAAAAABAb6K46o23Xu6xcOki&#10;2etRz4lCsGxZl5r6eUtoVRQXBYLZ8mvEusVb9LLPvKJ/c/CKVBGRw+vJBXK2uBFlNwIAAAAAAAAA&#10;uIYohqotqrqWKOa67fWo59QWxcVnZ8tdWzycJ1u/KVoWxXX6itT/8+AVqSIiz/JacpGcLS742c0A&#10;AAAAAAAAANYURWS/+zd+fvJT4Q6HQ/rztUURWIvXfcYyap6M9+WvvJQud20tnsZWWxQ395hqLTlG&#10;/+XxZ54KJyLyTh6OLpJV4qKf3RQAAAAAAAAAYC2dPsHrIjHvHq93zbZrrtqiuChGy5a7tldefTFd&#10;vynmFsV1+orUp4ebV6SKiMggCuIAAAAAAAAA2IVOi5YuEvPtNa9HPecb3/xSVVFcPLEuW+7a4glt&#10;2fpNMbUoLv59zb5byJOo+bgp/RARkWE+m1w0Z1MQBwAAAAAAAMDaoogsXu3ZYdHSRVq9HvWc2E+f&#10;/NQPputwifjdpQr2pojvOlu/KS4piottbVGAt4DHB69IFRE5mQfJhbNKdpMAAAAAAAAAgCVEYVNN&#10;kdc1lafCZdu1lNqiuFjnNYr3zvnaoy+m6zfFbUVxsY0dHldekSoickHuJxfQKj1UgwMAAAAAAACw&#10;b+XpXVt8Klysc6z7tebXWxTFTX3t6BJiHbL1myLbjihS7PC4ilekPrgp9RARkduiIA4AAAAAAACA&#10;TYkipudfuJfOWfdurdejnlNbFBfiKW3ZstcU+7L2WChFcbFPPv+FT6T/5sq+fvCKVBGRi3MvuZBW&#10;+cY3v/S+GxAAAAAAAAAA1Irip04Lls6KJ46t/XrUc6IALAr0svW9VA/b1KK4L7ajwyJLr0gVEZmR&#10;5gVxPVSyAwAAAAAAALAfUfC05dejvvLqi8+2Idu2HtQWxX35Ky+ly11b7XZ0xitSRUTmJrmoVlEQ&#10;BwAAAAAAAEAr8TrL2qd/XUsvr0e9RG0xWTy5L1vu2qJwMlu/jXl08IpUEZH5OV5In44urFXKu7UB&#10;AAAAAAAAYK6tPxUuXsHZ81PhMvEku2x7LhVFddly1xZPrMvWbwO8IlVEpEWOF9RvjS6wVRTEAQAA&#10;AAAAAFDjjbdefvv5F+6lc9I928LrUc+pLYqLp/n1sP1fe/TFdP065hWpIiKtEhfV0UW2StxUspsN&#10;AAAAAAAAANwmXi8ar97M5qK34Ld++2fS7dqaFkVx3/jml9Jlryke6JOtX4fePHhFqohIuxwvrE0L&#10;4qJSP7vRAAAAAAAAAEBmy69HHYvtyLZxa2I7su27VHyXUeCYLXtNsQ4/9dM/kK5jB+IVqa/dVG+I&#10;iEizHC+wj0cX3CrxHvTsJgMAAAAAAAAAY/EUr3iiWDb/vFWf/sz9dFu35stfeSndvktFUVx8v9my&#10;1xKf3+nrd+MVqfdvKjdERKRpjhfZR6OLbhUFcQAAAAAAAACcU54Kl80770EU+cU2Ztu+JbVFceFr&#10;j76YLntJ2VMHD4fDe9brirwiVURkycSFdnThrRI3w+xmAwAAAAAAAADhjbde3uTrUT/0oW9Pf35K&#10;PJmsh9eG1ooH42TbN8WaD9eJfd7pUwe9IlVEZKV8NbkIz7aX96EDAAAAAAAA0Fa8vjJeJ5rNNffu&#10;81/4xNvf+OaXJj/VLgr/9lAUF99dtn1TrPGAnSi867TY8vHBK1JFRFbL68mFeLZXXn0xvekAAAAA&#10;AAAAcDdlr6/cinjS2PiVn3Ne9XqN14a21qIobqmH7MQxFkWL2Wd2wCtSRURWzsPkYjxb3GCymw8A&#10;AAAAAAAAd08UUcWrQ7P55Z5F8V48bSwKrbLtiqedZb93mzVfG7qUFkVxrR+0E+vUabFlvCL14U1p&#10;hoiIrJnPJhfl2RTEAQAAAAAAABCvCe34iV23ite6xutRs+0amlMUt8ZrQ5cW321tAVrs42zZU0Sx&#10;YhTXZcvvgFekiohcMQ+SC/NsLW5aAAAAAAAAAGzT3l6Pek489S1b1m1aPyHtGqJgMPZXtn2Xqqkv&#10;6PipcMErUkVErpx7ycV5trjhZTcjAAAAAAAAAPZtr69HPWfOa0T38LCZ2F9rF8V1/lQ4r0gVEekk&#10;TQvionGT3ZQAAAAAAAAA2Ke78HrUc+YUxUUx2dwivJ7EPsy271KXFsV1/lS4eEWqp8KJiPSS44X5&#10;6ehCPVvcfLIbEwAAAAAAAAD7ctdej3rO3KK4FgV511b71LbbiuI28FS4126qL0REpJscL9BPRhfs&#10;KtkNCgAAAAAAAID9iOKv2tdlXkPt61HPmVMUF+sUT9nLlrclURyZbd+l4ngaL/OaT4U7HA7pzwfi&#10;qXD3nxVeiIhIX4mL9OiiXWUPj3QFAAAAAAAA4P3KU+GyueLetXo96jlR3JZ9/m2i6CuKv7LlbcmX&#10;v/JSun2XKkVxcZx1/Bref3M4HF4/8opUEZFec7xYK4gDAAAAAAAA4KSYB37jrZe9HvVCURQ3Z1+t&#10;vZ5LmPOUvKGPf/xjPR9nTw6Hw4ObagsREek2xwv2m6MLeJU9vN8cAAAAAAAAgBtejzrP3KK4WOds&#10;eVsy5yl5G/DmwVPhRES2kbhojy7iVfbwbnMAAAAAAACAu668HnWLT4Vb6/Wo58Q6zCkmjFePZsvb&#10;kqgdeP6Fe+n2bczTw+Hw8KbCQkREtpKvJhf02fbwXnMAAAAAAACAu8zrUduJwsI5RXGvvPpiurwt&#10;mbvtHXl88FQ4EZFN5mFyUZ9NQRwAAAAAAADANnk96jLmFobFk+6y5W1NPGkw276OxVPhXr8pqRAR&#10;kS2maUFc/KVAdoMDAAAAAAAAoE9ej7qOWNdsG24ThXS9FvpNEQWL2fZ1KJ4Kd/+mnEJERLaaB8kF&#10;fra4iWU3NwAAAAAAAAD6E0+Fe/6Fe+n8b8+iUKy316NeIl6Fmm3PbWJbt1L0d0oU9f3Wb//M2889&#10;91y6jR0oT4XzilQRkR3kXnKhn01BHAAAAAAAAED//uiPf+ftz3/hE+m8b896fz3qJeYUxcV2x3eW&#10;La93G3gV75PD4fDZmxIKERHZQ5oWxH35Ky+lNzgAAAAAAAAArs/rUfsQ30G2jbeJ7yyKy7Ll9agc&#10;a9m2dOTNqJu4KZ8QEZHd5HiBfzq64M8WN7PsRgcAAAAAAADAdW319ajhl176kXSbtiweOJNt6zlv&#10;vPVyurxeRCFcrOO5osvD4ZD+fCXxVLiHz4omRERkfzle6JsVxMUjdbMbHgAAAAAAAADXsdXXo47F&#10;aze3+trQU6JwLNvWc3p9e9sGXo8a9RGeCicisvccL/ZPBhf/KgriAAAAAAAAAPqw5dej3ub3fv9z&#10;6fZuVRSRZdt5ziuvvpgu7xo2cqx5KpyIyF3J8aL/eHQTmC0qvbObHwAAAAAAAADr2cCTuqr0VAzW&#10;wtyiuE9/5n66vDV97dEXe38V79PD4fD6kafCiYjclRwv/l8f3Qxmi5tcdgMEAAAAAAAAYHnxpK4o&#10;Fsvmc/dmb69QjW2Z84S12A/f+OaX0mUuaSOv4n18OBwe3FRHiIjIncnxBvDm6IYwW9ycsxshAAAA&#10;AAAAAMvZ6+tRL7GnV6jOLYqL31mrOHAjx5qnwomI3OUcbwTNCuJCdkMEAAAAAAAAYBlbfT1qrPMn&#10;fur70/821Z5eoRpPe5v7fcaxkC2zlVh+569HDZ4KJyIih68mN4jZoho8uzECAAAAAAAA0E55Ulc2&#10;b9uzeLJYPNWtzC23esXrnl6hGvtmblHcEk/M28jrUT0VTkRE3s1ryY1itr00MAAAAAAAAAB6FMVS&#10;UfS0xdejfvoz9589AW28Ta2K4sIbb738vuVvUU1R3Je/8lK6zKlK0eUGjrV4Ktz9mxIIERGRw+Fh&#10;crOYbelHsAIAAAAAAADcVVt+PerXHn0x3aai5dPuYlnZZ2xRFBFm23hO/F62vEtt5PWo5alwIiIi&#10;70nTgrhzjRgAAAAAAAAAppnyysrD4ZD+/BrGr0c9J55sli1njijCy55Gt0VziwVjH1y674vYZxt4&#10;PWrwVDgRETmZB8mNY7Yl3kcOAAAAAAAAcBdNfWXloaNiuFOvRz2nZVFc7Le9PNRl7n6Jp7xFQWW2&#10;zKENvR7VU+FERORs7ic3kNkUxAEAAAAAAADUi0KuDbyy8n0ueT3qOfH72bLnimKy7HO2Zu5+iSK3&#10;24riNvQqXk+FExGRi3IvuYnMtpeGBAAAAAAAAMA1bKg46T2mvh71nNgP2efMNef1oT2q2S/jQsXy&#10;VLjs33Ymngr32k2Jg4iIyAVJbiazxbvEhzdQAAAAAAAAAM7b0Csr32fu61HPiaeaZZ83V+zbKCjL&#10;PmtLYr/MfXpgKVp8462Xt3KsPTocDvduqhtEREQuzPEG8nR0Q5lNQRwAAAAAAADA5aI4Kd7EtcVC&#10;uBavRz0nir9a75soCss+a0viuJn7JMHv//6PpD/vzJPD4fDwpqpBRERkYuJGMrqxzBY33OxmDAAA&#10;AAAAAMB7eT3qZeLpc633UzzVLvusrYntyLZvw+L1qK8feSqciIjMz/GG0qwgLh7Lmt2EAQAAAAAA&#10;ALgRTz2Lt29lc669e+XVFxd5Peo5NU9EOyXmt+O7yD5vS+JVu9n2bdDjw+Hw4KaSQUREpCJxUxnd&#10;ZGaLvwTIbsAAAAAAAAAAd10UdUXx0hZfjxpPIrt28VjsvyWeiLaHV6jGa3ezbduI8lQ4ERGRNjne&#10;XB6NbjZVspsvAAAAAAAAwF32tUdffPZEsmyOtWdrvx71Eks8XW8Pr1CNV/Bm29a5R4fD4f5N9YKI&#10;iEijHG8wb45uOFV6aggBAAAAAAAAXFMUKbV+1ecaohAunmbX6/zvEq8JjW3e8itU47v6zS9+6u1v&#10;//YPpNvXmSeHw+HhTdWCiIhI+3w1ufnMtod3rAMAAAAAAADUiOIkr0dd1hJFcWGLr1DdUOFleT3q&#10;vWfVCiIiIgvl9eQmNFvcaLMbMAAAAAAAAMDebbkQLvz4j39ful29+vJXXkq3o9ZWXqEahYuvvPpi&#10;ug0denw4HB7clCmIiIgsm4fJjWi2N956Ob0RAwAAAAAAAOzZVl+POvb5L3wi3b5exX7PtqNWz69Q&#10;3VjhZXkqnIiIyGppWhC3xcfHAgAAAAAAAMwVRVNRRJbNn/bgcDikP7/N1h6EslRRXOhtDjy29fkX&#10;7qXr2qFHx+PP61FFRGT1PEhuSrPFI2mzmzIAAAAAAADAnmz99ajnfO3RF9Pt7lUUJi71XfTwCtXe&#10;Cy9HnhwOh4c3JQkiIiLr515yc5otGnzZzRkAAAAAAABgL+IJaht6Stdsvb4y9JRY36W+l2u9QnWj&#10;r0f1VDgREblqmhbEbe198gAAAAAAAACXitdVfvJTP5jOlfYsiql+7uefT//bbeL3vvHNL6X7oldR&#10;QLbkd7TmK1TjKX0bKrx8fDgc7t+UIYiIiFw5xxvT09GNarYeHhULAAAAAAAA0NKWX48ac7jlyWbx&#10;v7N/c5soyIrtH++Tni1dFLf0g2I2VnhZngonIiLST443qCejG9Zs0RjKbtgAAAAAAAAAW7PlQrhY&#10;5/HTzGJ7sn97zlYfjDKnAPBSUbDW+hWq8TS+ON6yz+vUo4PXo4qISI853qSaFcRFoyq7cQMAAAAA&#10;AABsyZZfjxqFcKee6hav4cx+75yln4q2lFdefTHdnlZif2afO8UGCy+fHA6HBzcVByIiIh3meLN6&#10;PLp5Vclu4AAAAAAAAABbEE/9iuKvbC60d8PXo95m7vaNnzi3FUs/dS2Wn33uJaKgLt7Eli23Q+X1&#10;qJ4KJyIifed403pzdBOrcuovDQAAAAAAAAB6teXXo8aT7KY8qSy2dW4RVosnol3Dl7/yUro9rcR3&#10;MGWufINPIHx8OBzu31QZiIiI9J+vJjez2Vq/Jx0AAAAAAABgSW+89fKWntL1rnOvR71NFGRly7zE&#10;VueE43vOtqeV+D7O7Zv470u/xrWxeCrcazelBSIiItvJw+SmNls0nLIbOwAAAAAAAEBPNviUrnfF&#10;61G/8c0vpdt1qbmvEr2k8KtXNYWAl8peLbvBJxA+PXp08HpUERHZaD47urFV2eojcgEAAAAAAIC7&#10;IYq55haDtXI4HNKfnxOFcC0fUjK3IDCeqDfnyXQ9iO9/6cK0z3/hE88+K/bRBp9AGK9HffCsmkBE&#10;RGSjuZfc4GbLqt0BAAAAAAAArq23p3QdJhTFxTrPfT3qbWJ52eddIorzsmVuQTxdb+mnA/7Ij37P&#10;2z/249+b/rdOxetRX48agigkEBER2XSSG91sX/7KS2mDAgAAAAAAAOAaeiuEmyLW+ZVXX2xeCDcU&#10;bwHLPvsS5UloWxT7dKuvzF1APBXu/k0FgYiIyA5yvLl9a3Szmy0aY1ljAgAAAAAAAGBNUfAUT1Xb&#10;2Osq3xVPYIvXe2bb1loUtmXrcIl4JWi2zK2o2fYd+NbhcHh4UzkgIiKyoxxvco9HN73ZtvwXAAAA&#10;AAAAAMA+/Hf/9LdWffrXYcLrT88pr0fNtmspUTxYUzgYT5nLlrsV8QTBbLtaanmMNBCvR/3qkdej&#10;iojIPnO82b05uvnNFo2krAEBAAAAAAAAsLS1C+Fa+s7v+uCzQrglX496m9h32Xpdaq2n2S3ly195&#10;Kd2uHYrXoz64qRYQERHZaY43vGYFcfHXClnjAQAAAAAAAGAJ5dWoP/Kj3/u++ctDX0/lOuvaT1qr&#10;eVJazBVvvSiutiiwc/FUuNePPBVORETuRB4mN8PZrvUXCwAAAAAAAMDd8g/+6994+6Mf/XA6b7lV&#10;1y4qq3nCXrxRbOvzxbH/o7gv274Ni6fC3b8pDxAREbkbaVoQt/WqfwAAAAAAAKBvUXT1i5/+0+l8&#10;5dZFMdY3vvmldLvXEPu2piAsCuqy5W5J7P+tvnp35EnUA9yUBYiIiNyt3EtujLPFY2SzRgMAAAAA&#10;AABAjSjWitd6fuS7P5TOVe5FPGkt2/611L469NOfuZ8ud0viWPupn/6BdPs2wOtRRUREkhvkbPF+&#10;/qzBAAAAAAAAADBHFCe98dbLzwrFYk7ycDi8b55yb65dVBaFh9l6XerzX/hEutyt+NqjL757vG2M&#10;16OKiIhEjjfFb41ukrN9+SsvpQ0GAAAAAAAAgKniaWU7eX3lZK+8+mK6T9YSRXnZel0qiuqy5fZs&#10;w8eb16OKiIgMc7w5Ph7dLGfbeqU/AAAAAAAAcH1bL4T77o9+OP35VPFkvGz/rCGezPexe9+Zrtel&#10;rrn+U8TxFnPd2TZ0zutRRUREshxvkm+ObpqzRYMoa0AAAAAAAAAAnBOFSbVPJrummC/9vd//3LNi&#10;sni7VvZvpop9ku2rNcRnZ+s0Rbx+NFt2D+J7iifZ1Rb+XcnXD16PKiIicjJfTW6es2UNCQAAAAAA&#10;AIBTtv5EuBCFfN/45pfes10ttimKtf7oj3/nPctdUxSMZes1xTWL+jIbL4R7fDgcHtxM9YuIiMip&#10;PExuorNdszEGAAAAAAAAbMdeCuFOzZFGgVz2O1M9/8K9dPlrqX1q37WL+ooohIvXuMb+zNazc16P&#10;KiIiMiEPkpvpbPEI4KxxAQAAAAAAABBFSXsohBu+HjXbziJeGZr9/lRRlJYtfw2xjbVPU4vfP7ev&#10;lrThY+7p0aODQjgREZFJuTe6oVaJd+FnDQwAAAAAAADg7rprhXBDn//CJ9JlTXXNh5PEd5et0xTx&#10;3a9dFBfrXfuEuyvyelQREZG5Od5Io6o8u8FOFo25rKEBAAAAAAAA3D1RABVPSdt6IVyIwqp4DWq2&#10;nbeJfVD7hLUi9mX2GWv43b/x8+k6TbFWUVx8T7G+rfb7yrweVUREpDbHG+qT0Q12tmhQZA0OACii&#10;o3ub6KTe5o/++HcuEn/1dZsYNDgl+/dzZet2iWzbx/sq278AAAAAAD2IMcx4u9TzL9xL5xW3JArh&#10;Ytw2285LxXhxtuypYj62dl1qtHja2pJFcbHcDRfChf/hoBBORESkPseb6qPRTbaKCXqA64lrcIji&#10;qVJYNSzOGhZ9vfHWy8/EI9aHYoAiRIexeOXVF5+JJ4EW0ektovNaxOBGiM7mUHbPYBnjfV++k6Hh&#10;dxaG32cx/L6LciwMDY+VUI6hofFxVo6/oeHxGYbHblGO63CqWDA7NwAAAACAdcQ4XowT7mFcOMZS&#10;Yzwz2845Yow1+5ypYr2y5a8hxmBbfLcxLt1yPDeWFd/Vxo+7f/zOFL6IiIg0yFeTm+1s0cjNGiEA&#10;d1kp1BkXqpXCn1IQVIqFooCoFBdFwVF0kkuRUilgKoVNpegpuybDXVfOj1DOmVDOo3CqADAr+jtV&#10;6HeqsK8U8hWK+QAAAADYoxjbivGvGG/Lxum2JsYTY9yv9ZhdLC/GJ7PPnCrGNLPPWEN819k6TRXH&#10;S4t9vINj79/GnP3N1L2IiIi0ysPkpjtbNA6zhgjAFkTHKwwL14ZFa6X4JStWK8U1peCmFOFk10qA&#10;c8o1JJTrSijXmlLIN6eYr1zLskK+UrxX3FbEl11HAQAAALg7Yowoxps2Xoz0Hr/8Kz+66NhXjLll&#10;nzvHNedlY8wxW6ep4tiZu79jX2782Pu3R//94XC4fzNtLyIiIi3z2dGN95njz9/3s0vEJGzWIAFY&#10;QinKKAVs0fmZU8CmeA2gzqUFfOcK94LiPQAAAIC+xbhLjOPsdVw9xpiy7W4l9l32uXPEuFj2GWto&#10;VYwW44hTxvDi+2m5D9cS8+/vzMH/6+P//ctH945ERERkodwb34xrRMM3a5gADJUChVK8cFsR26kC&#10;tuwaBADnjAv3ThXtjQv2xoV64yK924rzFOUBAAAAWxfjGzHuEeMnex+jj+1bejynVTFZrGuMP2Wf&#10;sbT43Gyd5rikKC7+e4zTbfj4e3I4HB7eTNGLiIjI4jnefL81uhnPdlycCT/YsTi/Q3RyYqI/Or+n&#10;CtmigKAUFwwL2fbeUQaAc8r9cOmivFKQF7TRAQAAgDlijCHGImIMIxvn2KsYm8n2Ryuti8myz1hD&#10;jEll6zRHbEc2hhU/i2Nww/NLTw+Hw+tHnggnIiKyZo434Uejm3KVH/nR73nWiBs3VoDrGRaxheig&#10;3FbIFh29Usg2LGbLznkAYHvWKsobFuZFe0RhHgAAACyvzAlk/+0S8fvR14+xgmxc4a6IsY5s/7TS&#10;sphs6QK+28RnZ+s0x7goLsaY4mfZv92Ix4fD4f7NrLyIiIisnT9Kbs5VYnItJr+GjSFgmtJhVcQG&#10;AOzVsCgvDAvzSlFeGBblKcwDAACA94r+b/SXs7mB+P+jbx196NuK5KKvHH3q+Ldbnls4HA7pz+eI&#10;/VBTWHiJ2N/ZZ88R4yLZZywtjp049rJ1miOO2Uf/6JWmy7wCr0cVERG5cu4db8j/2+gG3UQ0EhXF&#10;sXdlQvVU4VrIitdCeQJLmfgtndQtdzQBALYo2l/RFiuibVbaaqUoL5wqzLutKC8ryMvalQAAADBF&#10;9C+jTzq1aCj6tWX+Lvqp0aeNZZibyMXYwHjftxTfY4xFZJ89R4xFZJ+ztDiWsvW5g7weVUREpJM8&#10;TG7UzUQDzoQPa4tjrhgWqoXoCJwqWIuO47BoLSY9Fa0BALCkYTFeaXPeVohXivDGhXiljTssxCtF&#10;eEG/DAAAYD+iz1dbRPU93/Nd6c95v+h/Z99DK9GPzz53jhhniHGA7HOWFuMS2TrdIV8/eD2qiIhI&#10;H4kb8+hG3dzSfzlBv4ZFaWFYlHZpYdqwOO1UgZoiNQAAmOZcIV4pwhsX4pU2+7AQr7Tvw7AQTxEe&#10;AABAe9HvMh9yWuyb6Lf+3M+/kP73uWK/Z99HK9H/zj53jujjZ5+xhhhTyNZp5x4fDofP3sy+i4iI&#10;SBc53qC/NbphLyImSbJGEesYFqaVorRwW1FaGBamlcmwrCgtDIvSdMQAAICx6CdcUoQ3LMArRXgK&#10;8AAAAG7me6IvlfW57rroc0YfsvQNo5+Y/bu5oi87/j5aivWOz8g+e47oZ2efs7Q7dox6PaqIiEin&#10;eZDcuBcRjdCsUXRXRWMwlImbSwrULi1OKxNMCtMAAIC7bFyAV/pOCvAAAIAtiD5H9EHKvFH0VX7x&#10;03867f+0cDgc0p/3Lvp+0a+Lftp4H0afL/udueJzxp/RUmxD9rlzRb82+5yltd6ODj09enQ8ZxTC&#10;iYiIdJrPjm7ei4qGetYo2opSwFaK14aFa6VobViwNixUU6AGAACwbzUFeOG2IrxxIZ5iPAAA2J7h&#10;PNNwfmk4rzScU8r6HbxX7LPYn9n+DrHPY39mvztX9NOyz2ol+onZ58512/5ZUhzj2frsQLwe9cHN&#10;VLuIiIj0mlUL4qLxnjWI1jbucIRhQduw0xF0OgAAAOhV9FnHxXi3FeSdKsorBXmK8gAA4LThHNNw&#10;nqkUt0X72lzTsj7wgefOFsINxfeTLWeuNeY745jJPnuOWN9r9d+iL5qt00Z5PaqIiMiGsmpBXIgO&#10;QdYgqjUucvMXNQAAALCO6GuH1kV54bbCPMV5AAB3W2kLlrZhaS+GaD+WNmUoBWtFKVwrSjs12q2l&#10;HVvatWV+yRxTP+I7zI6JU+J7zJYzVxwn2ee0Esd19rlzxfGcfc7S/tXxvPy+7/sT6TptSLwe9c2D&#10;QjgREZFN5d7ohr646DRkDaLbRKMvOi/RYRl2UkpnRAcEAIBrOLan058DcF3jAr2sSC+UQr2sWC+M&#10;C/aCoj0A4K4obZhi2L4Jpd1TlPZQaSOF0m4qbanhHE+RFaKF0n4LpU2nKI2hOO6yYzcTx2y2jBpx&#10;jGef1UosP/vcueL8yz5nCXHNiM/bwfnq9agiIiJbTXJjX1w0OrOGUTRco3EXnaHS2dGxAQAAAPam&#10;TOaG1kV74VzhXiiT18OJ7eGk93jsBgDuuuF9MpT7Z7mnFsP7bbkPDw3v02F4Dy+G9/hh8VgxbBeE&#10;YZth2JYIpY1RlLZHMWyXhKztAj2K4zs7V0+JcyVbzlxxvsQ1IPusVuKczj57rrguZZ/TUnxGXGuy&#10;z9+QJ4fD4eHNbLqIiIhsMnFDH93gF/crv/pjzzp00WmLxmp0uLJ/BwAAAMD1DSfJhxPoZWJ9OOk+&#10;nJAfTtQPJ/GHk/zDyf9hcUApGhgWFYRSbFCKEEIpTMgm5ADo27kCs3L9P1VQNryPnCogK/eicn8a&#10;3rfKvawo97jhvS+7NwJ9iOtAdm3JxHUmzu9sOXPFdST7rFZar3Nc0+I6m31WrbhWx3U0+9wNeXo4&#10;HF4/8npUERGRred4Y39zdKMHAAAAgM0bFjOUAodQih6GBRFzC/mGRRkhK+QbFnaUYo9QCkCyCUXg&#10;7irXhrHh9SMMry1Dw+tPGBaSFeNrVxgWlhXD614YXhOH18pzhWbl+ju8LmfXbYCp4noS18TsepqJ&#10;6122nBpxvcw+q5W4lmefO1dco7PPmSvuPXFfyD5rQ54evXlQCCciIrKr3Bvd8IGNO57X6c8B2BfX&#10;ewCAfSrFIsMivjAsLhkWnYRhQV8YFqqEYRHLuMBlWPwyLpAZFtCMi2yGBTjjQp2hrLCnyCZVeb9s&#10;302VfTenDL/bU8bHw9jw2LnN+JgbGx6ftxkf12PDc+CU8XlTjM+v8fkXhudnMT6HQzm/h7LrAMBd&#10;EtfRP/jDX0//2yXi2pzdP0+Ja3S2nBpxb8w+q5W4T2WfO1fcO7PPmSLaF7FeO7iXPT4cDg9i0lxE&#10;RER2luON/lujGz/ALh0veenPYSscwwAAwF0xLhoaygqNinFRUsj+3RTZOkyVbSMATLWX8cG4N0bR&#10;8bCQLArbsn97iSjGHhZr3SaKv7Nl1Ij2QvZZLUWbJvvsuabss6EohIti8x20b6IQ7uGRiIiI7DXH&#10;G77XpgLQxHCwvxhPJIwnJoZ/UT38i+tWfvVzP/72Bz/47en6Fj/388+/7y/ALzX8a/LWyl+y/4XP&#10;/8TbH/7wd6Tr/qk/90Pv+71sPYey/VQMv4/M+Psrxt/zWHZsFNl2AcDYsfua/hwAAIBtiHHEeDpZ&#10;FFVlhVbZ71wixh/Hy7tNjJFmy6kR47LZZ7XSupAvxmWzzzklvp94umvs62x5NbL+/oJjAE+Py379&#10;yOtRRURE7kC8NhWgI8NCoVJMNCw8KoVJP/Kj35v+/ti/9zM//O4rRMorR8qrSYavMwnD158Uw9em&#10;hOj4DmWd457Edmf7ZWjqgMmaYh+fKxqL7zL73S265Psa+qf//Lffd4yG4TE8Ps7L8T80fCVPKOdM&#10;KIWJQ+eKEM8VGg7P6VDO9Q9/Z174CAAAAABbFGObMR4W43TnxpNrCtVizC5bZuaSMdc5Yuwx+7xW&#10;Yhwz+9y5Yn9nnzMW2xVjmNkyNkQhnIiIyF3MsRHwZNQogE06Hs7pz2GOUpQWhkVp0XkvRS6l+KUU&#10;xUSnuxTRlMKa6KSWQpxhkU4p3CmFZecGA8bis7L1Hov1n7rsPYnvK9svY73uoziWsvUdiu84+90t&#10;ivMq28ZTpgx09S6uB9k23uajH/vws2O3XE+Ghtebcg0aFgEWw0LAMC4CzIr+skK/cXFfKNfQbN1v&#10;437OUobHluMMAAAAlhNjQjG2FGNT2VhYJsa5smVdKsbEsuVmYlwsW0aNGA/LPqulqeOn59z2/eyk&#10;EC7E61HvH4mIiMgdzGtJ44DOHb+39/xfuEtKkcW4UO0Hf/Cj6b/P/MEf/vp7itSisxwd7iLrAPYk&#10;Cley7cpEgUu2jLvg0mKcOBay37+2Swriwl6+40sLGIv4frPlbFEcg9k23maL21+usVnxXuyD8HO/&#10;8EK6vZlrFe0BAAAA8H4xBhNjlXPH2GOsJ1vuJeKzs2WeEv8+W06NGJfKPquV2K8ti9SyIr4Yn2td&#10;eHclUQj3ICbCRURE5A7n2Cj41qiRADBbKTAYF6yVAoXoFJYChujgRgc5RJFX/GVWKYrIitXGnbOh&#10;+LxsfTJZR29LpvwF2xaLZlqIYyfbH5leC8ouHQDa+vFcTDmHi7mDa72JYzDbvnP2sv1DU46DOM+z&#10;ZdSIffo//ovfTT9vjijWzorzYjsLRXkAADDNwR8JA3QjxjVizL/FOE2My8wZIyxi3DxbbibmHbJl&#10;1FpivGqo9XrHPE1ZbvzvHYxTeT2qiIiIvCeeEgd3QHRkQpmAn1qsVluwtrSpHbXYnmw5WxD7Otum&#10;U+L7ypazZ1OeohfHfraMa4vzMFvfTJyH2TK2ZM5g116O7bj2Ztt3ztIDbNeQbecpUwY5p4j9mn3e&#10;HHFvyj7jNuWeGud1KPfbcv+N7Q7l3hziXh337SKuH3FcFVlRXvie7/2udL0BAACAPh06KAqO8Y4Y&#10;X4jxiNbzAlPGdcemjsNc+gfJU8QYZ/ZZLcX4UPbZc/3mFz81eX6lQwrhREREJM+xoeApcbCi6FyE&#10;cXHauECtFKmFUqj2N//WL6bLvE38ftZx2pOpHbbY19lytmJK8dBd+P7HYpuzfZGZOlCylikDMjH4&#10;lC1jS+YMuuxhu0Nc97PtO2dvxa5TC9GW+v5bDyr2/D1NuVYO/bW//rPvKcqL7yKcKsorbZpSkBfi&#10;PlzaQaVdlH3WXMcuTvpzAAAAYL6//rv//uJ/pDll7HssxiOyZZ4S4xPZcmrEuEj2WS3VFA7u0NcP&#10;h8P9ZxPeIiIiIkl2/ZS44/alP+du+omf/JPvFp6FYfFZKJO3RSlEC9GRKZO+oUwEZ09OC+XpLuVp&#10;L1nHZY45k8Z7eILUbe7aPonjMdumU/b+/Y/FuZzth1OyZVxbXG+ydc3E9mbL2JJsu87Zw3aHuYN8&#10;cf/JlrdVUwvRlhpcbD2guMYg6FxTr5XFGufe8Cl5IdpVpa11yVPyfubP/3C67pnnnnuueUEeAAAA&#10;7NEaYwLR588++1JTxsKnjkddao3x+Ji/yj77Dnl8OBwePJvlFhEREbktx4aDp8TdAeUJHEV5MkeI&#10;IrGh4VM8opMzdKpgrBSNFcPisWEBWSiTmaFMcBbDorJhYVkoxWVFtp23iXXOOg9bEt9Ptm23if2f&#10;LWsv5kxkb/lYiHMo26ZT9v79j00tMFpjgGKqKd9xHP/ZMrYk265z9rDdYW5B3N7O66nXtWhzZMup&#10;NXU9zlljoHiuOe2JItpg2TJ7MXXwfHgfKG3M0va8rRgvzsNh2zeOy9JGju9+2J6O/V3a3XPaLQCX&#10;OPiDQAAAFhb95GEffAnRj84++xLxu9kyT4k+fLacGlPXYa6a/bRhT479nng9qoiIiMjFeZg0KkjE&#10;BFZRJrVCKSQL0Qi9pIAsKxwrE2xFTLr90ks/kq7Lbf7Lf/CXup+sbGHqZG58bz0Wv0wRx062bbeJ&#10;7c6WtRexfdl232bL+2RqMejev/+xbB/cJoocsuVcU00xx9ZMPZ6LvRzX2bZdYm8FcbE92XaeEm2q&#10;bDm1pp575/R8nNYMmkYbNVtmL6Z+j9c+n8YFeKUIL7YjlH5B6S+cKsALf/5nP/7288/fe/s7v/OD&#10;6bZuybGPmv4cAACA64k5maxv21L0j7PPvlT0pbPlZqJPHnN82XJqrDF2Eus+dY5sw54ebgrh7sWk&#10;toiIiMikHBsTj0eNi67FBGMYF6SNC9FK8Vn822w5Q//wH//ldyehyqRUNCiLrMG5hlifbH1vE9sb&#10;658tb0/mFIdtvYggJkCz7Tpnz8fD3E7flvfJ1E56j0VfS4jvNNv+2/R4TdhaMUeNuL9m23SJa96b&#10;W5hzfy/iXpAtc6uizZZt5ynRzsuWU2vquXeJXo/TmoK4pQoSW5l6L4h7aracrYl7wSV9nr/62s8+&#10;Oy5jP4XbCvBOFd/F8VNEOyz2YemfZZ8JXMdBYSkA73BPAFqaUnA219SxoqHom2bLPGWJ8aC15uii&#10;f7/zvvjTo0fH+9j9mMsWERERmZv7o0bG4v7sJ3/g3YK1mGiJSZcQEzDRAI2JmZAVqGUNv9vEcrN1&#10;GIp/k/1uD6YWv4SYoMqWtSdxrGTbfpupnaHezO2c9T55XWPupP6WC0qmFoPu+fsfmlNg1ONxEPe+&#10;bF1PWao4aA1xb8+26RJbL/Sc+j0PxTUgW+ZWxTGcbecpSx3zNd/JKb0ep2sOLK8t+grZet9mjUHq&#10;JU0dAF+jnxDrVPpw46K7MC66C8PCu1/93I+n6w4AAMB1rfGHZXP69kNTx3ynjk1dYq0x2+h377Qo&#10;7vHhcHhwM4UtIiIiUplj4+LRqLGxqDUn0y5pPMfTDbLf7cHU4pciJpuy5e3F3E5RTMBly9uCuU8U&#10;2noh4G3mnh9b3idzCiO3Ptl/iTnFLD0WC049z7d8LMdxmW3TJXouZL/EnKLuYm9FrlML/5cq5lmi&#10;IK7X43TuvbPo/Z6SrfNtttw2DHPaBVvY5my9b/OZX7r/nsK72MYwLLwbFt3F5ERcT0J54rin3QEA&#10;AJy3xtxT9OGyz77UlLGL2gK8U9bYT+Gf/LO/kn7+pQ59PUn0yXF9Hj6buBYRERFpmHtJw2NRa04S&#10;XvJaxV4n9+Y2xtf4S51rm/P0vC3vl5qO2dYne0+pmdTfapHYnONg68VDl4htzLb9Nmv9pd4Uc4rE&#10;tnosz9nWYupfevZmzvFa9Hjc1ph6L1/qjxjmFp3fptfixdpB5d7vKVOPqa2fU3GcZdt1my0UU1/S&#10;fxtaapui3RXinhVOPfFuXHwXsgK8n/v5F95+/vl7b3/kIx96+wMfeC7dlr04eD0bAAA7cs32bfR3&#10;oo8U/Yrwk5/4/vTfrWWNOZboh82Z/ymm/kFlzVjdKUv3vWMfRb9zJ3/U9fR4jr0ec9VHIiIiIovk&#10;q0kjZDFrTsRc0pjtuWBozkRX2GsRVDF3v2y1eCTM7QTurYCiqOmo9j6hf5upx8Ga19trmXMs9Lhf&#10;5hQ8xsR8tqze1RTExfU/W+ZW1BQk7e16nm3jbbZUENfrd1U7yNv7MRiD3tl6n7L1e2R8H9l2ndN7&#10;P2HOHz303saPc+/SiYo/9ac+9vbf+/tfeHZtGhfhlQK8EMscFuBlRXjjp+CFS9cDAIB9OPhjhauJ&#10;tneIdnhpl0cbPdrrIdrupS0f7fsQ7f/oB0QfJ8YKx32L+O/ZZ61pjT5l9H+yz75U/H623FPiu8mW&#10;U2OJMcw4JmL/z50r6szTozeP1yiFcCIiIrJ44ilx3xo0RBa3RqM5XFJg0PPk3tyG/9Yn+M6J4yfb&#10;7nO2XEgR655t0yW2XAh4Sk2nuOdz/pw9ThLXmrNPer1GZut6mxgoy5bTu5oCpC2fv6HmWh6Dc9ky&#10;t2hOUWQM9mXLqjVnXc7p9RpTO6Dce/vyrt0j5w7YT/1r+bXNKRxeq285x9x+S+yHbHmtRX85zoNQ&#10;CvCyIrwyQVeK8EohXtzXwrWfVAFbddhJkcJetgOAfYi+a1H+MGRYlBaiXxRPcf7Yx6b/wch/8rc+&#10;/aytXNrO5Y9ZSrs62thZMVsr1y6GWmtsYG6fN0wdQ4rvLVtOrTguss+bI461mn1SdNJue3xcjwdH&#10;IiIiIqvltaRRspg1J9Qu6SAs2UGpNbeDs9YkyjVcUuiYieMuOjfZMnsX32e2TZfYatHMbaIDmG3r&#10;Jda8/rQ2p5hhy4Wgl5hbYNTjtSCOzWxdT9lqcVhNQdyWz98Q31m2XZeYOpjXsznHwFLf/dw2xTnZ&#10;Z11bbUFc6LnNPKettOU2Us1AeM/t4b21dWomq3ou9Buae18fThbG/y5ieWVyMY6H4lxx3rBAL+63&#10;oTwpL5TJz/hOQtxXpra9AAC27jAqhiltoqK0lUrbKQzbVKWdVZT2V1HaZUPDdltpyw2Vdl4xbAOW&#10;dmGIdmJR2o6lPTmnrxqfPdwXU8R6ZstcQ+zTbJ3WtMb2z+1nFFPXcYn9GudP9llTxLEfy8mWf06c&#10;7+Nz/sqiEO7hkYiIiMj6OTZGdvmUuEsastfswJwztyEeHdjoFGbL3IO5k0vR0c2W17sYAMi25xKx&#10;r7JlblkMcmTbeqnoUGfL7d2c7Y5rQbasvYjBtmy7z4nBhGx51xTfVbaup2z1u60Z0Nr68RyDx9l2&#10;XWJP5/KcY2Cp7a+9n5zSYxss1ilb1yl6vn/OaSvFBE62rC2YOyAeem4P76mt0+Kci+M6W3ZPoi+d&#10;rfs50YbLlre2KROhf+JPfPDdydnY7hC/H4YTvdGHD8PJ4TJpPJxQLpPMZeI5xPEcss8H+nTwhDzY&#10;pZpzu9zPQ7nHl/t+UdoDpY0QSruhtCWKrJjsb/6tT6effYn/4HM/nraL7pr4XrL9c6lrjS0uNY4x&#10;RRzb2bq1FudF9vmXmLqOsV9rj4nM3D5dHF8129+Zp8dr6utHXo8qIiIiV83DpKGymLUazZd0EKJh&#10;mf1uD2o6ONGBzpa5B7Ft2Tafs9Zx11ptR3ePxZHZdl4qBpGyZW5BDJpl23Sbnot+a80dGIjBw2x5&#10;1xTXp2xdT9nq9az2LzzjepgtdwvmnL/FVr/vTAzqZdt4m6W2v/b+ekqPRbcttrXHa2cxpyBuy+dV&#10;TJ5l23SJ3vsIU++Hocd7Q4tzLvZF7+34uQVxoYdtmzrpFZPS2XKWFMfS3/zSL6brc853fud3PLt2&#10;l4n0UCbXy6R7iDZ1KJPzoUzYl4n8EMfknHP0rjoolNoN3yX0qdyXQrlXlftXuZ+Ve1wo971ThWZ/&#10;42/+wtsf//jH0s/K/N3f+9Vn9+kiu48vJdY3W6dLxXZny+1BtBFj7Kj8IcJS/es4XrJ9c6k47q7V&#10;nq1d9xbWGG+u7VNNXcf4PrPl1IjjJPusU+LYj+tT/F62vI1RCCciIiJ95dhAeTJqsCxqrY7XuQ5C&#10;NC7X7rROEZ33bL0v0fsEylw1Ey9bLQ6q6QT1PIE9V03Hf2pHtCfRIc626TYxEJgtaw9iQDPb5nN6&#10;HPibc0xv8Ro/pxhqqOcnVJ1TO2CZLXOL5tzDl7xuZ59Xq9f7bu2Aalxzs+X2YG6x7VbbyjGRl23P&#10;JXpvB0W7JVvv2/RYhBpq+nFFz+ddqOmX9XCtzNbrNtc6f+YU/RZLX+dKEUB8ThHX5BDnZigT2iGK&#10;B77ruz6Yrus5n/6lm8KGUuRQlOKHaGsV8V3V3vcAeL9yfS3X23INDnFNjut0MS5AK0Vo0QYooi0R&#10;yn2i3DvKvSSU+0u55ywxjh+fPee+EducLW9psR+z9Zki9m227GuI7zS2KY6jbF1DHFMtx/Oyz5gq&#10;1jdb9tJq2uCtxPmfrVtrcZ3IPv8ScU5ny7xNi3NrLL6v7LOG4hzYUSFciNejPriZeRYRERHpJ/eT&#10;hsti5jRI57ikgOSSRum11HRwYtAhW+bWRQch295LXGugotZtAwLnrHWurSm+x2xbLxUDadlyexcD&#10;dNn2nLPV7T1n7nEQg2jZ8q5pzjneawHAbWKds225VE8DtlPFYGG2TZdaYtD/GuYMZi55H1tisLHl&#10;IH1LtcfgtQb7LxH3uWydz4njMVte7y7p39ym5+vJnG3r9ZxrNZnScztubts0XLs9NrdPeY3vo2Y/&#10;93Z+1JwXLe5D8b2H+B6LYdFFKcSIfT4U4zJFKeKIbRmK61coBSDZNtzmueeee9YuKbJ/A2zX8PwO&#10;paAsxPVtKMY6irhffuxjba4JUZA8vLaVa15RroXl+liumSG7pu5FbF/NdfcabZr4/rJ1mSKOvWzZ&#10;a4tjb0pfNb6r+J1sWVPEuZYtf6pr9CnjmM3WZW1rzalNOT7Goo2WLfM2rY6NIo7ZuKZmnxXfZbQf&#10;a65BnVEIJyIiIn3n2GB5NGrALGpOg3SqSzqIPRZHFLWd8lON7a2r6QhtcZ/UTnzu7Tio3R9rddhb&#10;mzvgEfsrW97WzS2I62XQb2jOYMsWCzli0DLblku1GPS8ltrBrTj/s+VuTbT9su07J1tWC0sMOvba&#10;rpx7zSxiX2XL7cHc+2PPfYDb1E6A9XwtjTZats636fV7nHtcjvX8R06123jNPsrcdb9G+yv2U7Yu&#10;l+jt2h3na7ael9pKv3bud3aunxrH7VB8ztCwuC/E9X6oFMEMxWcOlYK/8Gv/4U+m6znFL//Kn3lP&#10;cU8oRT9F9M/G4tgtsuUyz6Hy9a/jws2QfX/F+LseGx8bxZ/64ctfW5n5kR/5nmfjIKeUQtYwPObH&#10;50M5T8bn0vhcG56H4/M0O5eninXOtnOO2K7sM+6yFvs3jpNs2UuJYytbj6mufTzEOTP3Ol+77rVt&#10;kqHYjuwzljSn+L61uM5n69ZaXHezz79EHF9Tv59W59fQuE8XnxH3ndiH2b/foCfHNka8HlVERESk&#10;+9xLGjOLmdMgneNcxyr+e6tBiiXUdHB6nkCpUTNYscV9Eh2kbFsuFfsrW+5WzS2oKLY6AR5icDjb&#10;ptvENS5b1tbN2Rehx/0RkwHZut5mi9eymkGssOXB+2x7prjGAOsS5rZpsmW1MOfcO6fXa25Ne7Lo&#10;ub2cre85W70/1l5Lo12ZLbcHc7at5++xxQRHbN/ezr3i2sditk7nXON4q52U66kNUXvfjX5gttze&#10;RIFMtv7n9Na+j7Z3tp5T9LZNcT5d4j//Lz6fbs8UH/3Yh9/+V8fzb7jcOB+voXz+f/kP/lK6rlOs&#10;0SerHfMJsb3Zsreoxf4otjiOsLS4t2f7aoprtA+2ut5Dtcd2TSFii3tcEeOT2WcsaW5bo7W1ikFr&#10;ChjnzIvEdmXLqlHux9HnXWIs6kqeHm4K4e49m10WERER2UKOjZg3R42aRa3REb9kArDnSfbaDk40&#10;trPlbllNp+Tanf05aic+t7jNt6ntlG55f8wdLNpyIdEpNYMhvQ2Ozynu22Jh556LOG4Tx1u2PVNE&#10;WyBb9tbMPW+zZbUwt7D2nOyzrq3Fkw96Pg7nTgitNYDfUu01pef7x9xti/tLtrxra3HehZ7bcTWT&#10;Odc+FudeN67Rjpy7rqGn9lPt5N9W+nFz27y9bV+LyeCtfGdjrQoleuu/tOiXrHHtbnHs7WkMpMX+&#10;KLZ6Ti6lZVHR2sdcq4Kaa54rtf3xOJ7nznu0uB4OXeN638PTxeI4zNattZrva+5xMnf86pSf+4UX&#10;9lYI99UjhXAiIiKyycRT4r41auAsaumCrUsGDnqeGAo1HZyt/BX1FLWd1q0NjLXopO+pMLK2qCZs&#10;dX/MPRZ6v8bNUTMw0dvE+ZxBwC0OZNcO5G/1fhbXm2x7plAQly+vVusBzqLH76vFkyV6LkqNa2K2&#10;zuds9SkZc7c39H7/mNPv6fXYbDWBvdZE0xy119Fo22bLXcPcCalrtCNrJs966ge0KETfQj+upr/a&#10;0/a16HeHLRYmxTpn2zJVj/fcmjZEiN9f+trd4tjb05PQWowJDu2lb9lCq3M9rH2+t/rDi2u2E1q0&#10;C2IZ2bIv0bKgLL7/te/hLY/fGtHnydavtZq+1Zx7Qlx7eyg67MzTo68fDof7N1PJIiIiItvNa6OG&#10;zqKWHqS4ZOCgx0GqoZjkydb7Er1v21w1neYtDozVdsAMBr5Xz5P658w9FrZaBHhKzQRsb9//3G1Z&#10;eiKitdrCgK1ex1oUxPVWxDnX3An9pY71VpMIYz1+Xy0Kc3ouSp17bG21nVxTHBN6vn/MOS97KvgZ&#10;i2MsW+epem3H1RbbXrNQZm5/8hrtyJq+b0/XuRYT31vox9UU8/S0fS363WGLbfhWBc2ht+t3i/Nw&#10;6Wt3i/7T3sZCW7UnQrS1ss+4i+Kam+2judY83/dwnWpxPQpz752txwNie7LPWUqr+3St6Jtm67eE&#10;ucfM3HtCqz8O2InHh8Phwc30sYiIiMgOcmzg7OopcZc0lq85GH9ObQdnC4PGU9VOvvQ2KHlO7SDB&#10;3gYDs22cYssFgrHu2Tads7frwNz9EHor6phbELe1v+yuHbDtueDhNi1ewxL7Llv21swt6N1aQVyP&#10;19sWEyY9n4M1BWJbaxOGmntg6Pn+MaeN33M7t/a7Knptx9VeW67ZJp97D7jGtbD2ftXLOT+3zTu0&#10;hfZgzeRpb9vXoghni2MRLYsMert+t2j/Ll300Wr/b7GNd0rtH0MM7W18sEacn9k+mmvNdk3L69S1&#10;xsha9cfjmJ5zvrcYqxlbe+ymVV+j1lptzZrjfu640lLjRhsShXAPb2aNRURERPaVh0njZzFLD/pd&#10;8gjpmKTNfrcXNR2cPQ521Hb8t1YcVFsAGPZSUBFqBwO3fE7MfST+3q4DNdfE3iaa5m5Lz4XcmbnH&#10;brH2X9u20uIvSrf2XZ8S16Fs+86ZO3B5Tot7a6bHyfqYIMjWdYo1//J7qpo/HNhamzDUDsr3vM1z&#10;C6x6LfKrvfcVvbbjavtk19yuufeAa6xz7f2ql3O+xaTtFvo0NW2/3ravVRHOFguTWr0mrbf2U4s/&#10;kghLtc+LOBeyz51ii228U1oXZOypWLBGHCPZ/plr7Wt47R9PF9e697Tsj0cbI/uMc1pd64u192Uv&#10;TzBbcwxkznlbey9u1R7amKeHw+H1o3vPZotFRERE9phjo+fxqBG0qCU745cO1Pc8IFA7aLWXyfSh&#10;mk5r7wWQYy0GLecODvSoxaDPVgcAayYe9zToWTOh1tukxNzB7a0N8NcWBfT2vV2qxQDlXiZzsm27&#10;xFITbq0KVcZ6LIirLVoJvU3SD9W0C7Z4baltF/bcJpx7rPZ6nWxx7hVxP8k+49pqixau1T6tOY+W&#10;ui+dUnvO93JfalXQ0Xufprbt19P2tfrOttiWjfMm25Y5evpOW92Xlh5jbFF80GObfK7W/Za99C9r&#10;xX7I9k+NNdtrLQvKoq2RfcaSWox1D8251rYuNg1rz8G0Luqba80/UJp6j6g9vuPYypa7UwrhRERE&#10;5E7lftIgWszSAxWXdA56Lxi6SwVgl6gpiAm9D6QP7X0ie6oWAxZrD1C0NPdasKeiyJpjoLdzYe62&#10;bO37rB3E3+p9rMXkxR4mLGoGEJe6X7cegC96vd9m6zrV2kUgl6qdtN5SmzDUFlv0XgQ4p53T86R3&#10;i0n90Ot9v/YPVa51j6t5TdbaxYm153wv96VWBR29t4tqv6+e+qmtii22WJjUstCkt2O2ZmyxWPqe&#10;1OKPIPc0BtaywD7scYx4jiUK4uLakX3WElq+8vMa7czWx/WcbWi9DiGuPWv2L1ver2qsea+P7+2S&#10;PlZ8F63uwUuNH3Xk6dGbB4VwIiIictdybAQ9GjSKFrfkX5JcUnDQ+2BJbRHQ1ib7zqkdUI/9mS23&#10;Vy0GLfdyDLTohG6tmGho7rVgTwPCtQM+PRV1zP0+tzaxVHvN3urx22Lyd81B9aXUDNZvrSAu9HSN&#10;KeIcytZ1ijX/6nuK2oK43osrxmonbnq/nkYbLVvvc3o870KrSapev7faPuq12jM159Ha14zacz70&#10;0A9sdd/tvV0U+zpb70v1tH2tvrMttuNbthN767fVtpvC0t/p3LbA2J7GQVu05Yf2tG/malWoPbT2&#10;9a7FWHG41nW61foXc47r1usQ1hxzbtFObGXt60q0ybMC6iiWiz5K6/GLFvfPTj0+HA4PbmaERURE&#10;RO5e7iUNpMVEAzZrbLZw6WBWT3+NO1Y7sLrlAqDM3icDx1oMCG6tCPCUFoPTW/v+h2q2v+dr3BS1&#10;A5c9FXXMnSjf2jFc+9fXWz1na7c77KEgruZpKUsNqtYU6Z3TY+FYi6dU9XoP2WpBTo24Jmbbcqle&#10;ixvD3Ptir8dny0mqaANmn3FNte3ya97f506AXuO+XHvO91D42+q+2/s1u/acX3JcbKqW16+tFd+0&#10;LjCI5WWfcw1z77NjS36ntW27oodrXystnpo3tKd9M1eLscXMmud7q3MlXKMt3XL9w5w2Wu344ilr&#10;3vdaFRHXuubcU+zvIvvvLTz6R6+8/aEPfXu67RulEE5ERETknXw1aSwtZsnJmUsGkff4CqGhNTtj&#10;a6jdH71OnGVaDFputaBkrNXgdE+D0lPUbP8WJ/0ztQOXPQ3+1pzb2fJ61aIwLFtu71ps9x6KmWvO&#10;2aXaLq3uJZkei1Za/DVzrxNntW2kLbaPagsce54EnXu96PmPf1o9eaLHbWxxLb1WH3XuJOw12tO1&#10;53wPx06r++4WrtnZel+qp+1r2Vbq+b5zSsunBvU09tSqCGjJ77TVOu5l/CO0KmQs9rRv5qp9xfUp&#10;a75avdW5Eq7RVmi5/mHOPXSpcYE1z7HW+7HG3uaeQpzTLcZTOvLkcDi8djP1KyIiIiKReErct0aN&#10;psUsWZAWHbvsM8d6brjX/uXUFgchb1O7P3qeOBtr1bndS8c0Bjmy7ZtiSwWRY5dez8Ziv8VgT7bM&#10;LakduJzzV6NLietyto6X2NL5XLOdxRaP3RYTF1u6V51Scw9L/1ji//jPnr7vZzNkn9dCj+2tFn99&#10;3+ux2OI8i2M0W3avap8S0vN1Ze6kVM9FMi3Ov9DrNta2y6/VJp977bjG91B7DPVy7NQeK0XvbeDa&#10;7ezpKZ6tisK2WHzT6toderrvtir+WPI7jXM8+8ypern2tbBEwcsexoZqtDoXxtYcb2q5Ddc4X5b4&#10;Dub0xeeOsZ6zZh+zZRF3jT2MXxVxL4q2QKv2aweeHg6H12O+99msr4iIiIi8J68lDajFLNVZuPQR&#10;2NHQzX6/B7UdxT0NBoXaAaHYH1sZAGo1SLCXosgWr37rqShqqkuvZ5ktFwIWtedDTxMyNYVia/7l&#10;ca27WhDXYmB1ixOIYzX362s/PXiOHgeBWxSN9Xostpgg3NrA/V6KY06ZO6HTa5FMq3Z86HEbaws0&#10;r9Umr7l2ZMtbUotreA/tqBZ9uLDUmFEre3qKZ6uisC2ORdX0ucd62/4WhRNLblPL+2ZPBaY1Wu6T&#10;4hpjQ9GOiXtatB3iWhnHURyP0c9Y+9q3xD4Na/eZ4vOy9ZjjGmNMrQu55lybav/o9pTYtuzzltCy&#10;iLtWr32yS8W1QSGciIiIyB3MseH0ZNSQWsxST4m7tKPb20DVWG1HcQ/FMEWLwYstFYj1Pmi5phYd&#10;/S3vi5pjfw/FNbXnfk/ffc1Ey5auXy0K4rY4maEg7kavBXG1RRyn9PidtSga6/W+uedtO6VFcUy2&#10;3F7MvXZeq7DqEq0m+6INnC3/mmrb5de6Zta0J9ee6GtxnevhDyla3Xd7PtdD7Xb21I5ocb8ptjZB&#10;3mK8aain7W9VOLHkNrW6b26pz3xOq6LiYs0/CInzKa5t0ebO1mVozaLnS9ZnqrX7FS2Ld6/xR0It&#10;xkzG5hxDra45Y2vNw7S+Z9W4xnHUQuzDvRXCHX39cDjcv5nhFREREZFzeThqUC1qqc7vpQOTPReN&#10;1XZ09zCxPlQ72LxUAeYSWg0SbP0vtUKrgfno7GbL34KawdA9HAO1AxS9fPc11/TeJwOHFMTNF/e5&#10;bNlbUnOcL/m9t5oMHIvB9OzzrqlFMUXIln1tcYxk6zrVlu6NeymOOWVuO2/tCcgpWl1vetzG2uPx&#10;mts0d/Jz7fOnxXWuh6KQVudB72Mate2/ns7zVu2H0PM42ym1fc6hngqzWn2vS25TqwLaPY2Btu67&#10;rHWtKcVw2TqcEsdotqzWWhcZFmv2K1oWQl3j/tPyPlPMGUOpnW85Zc19ukRx4Vxb6lvHORTf/1JF&#10;kVfy+HA4PLiZ1hURERGRi3NsSK32lLilJhIv7dz0PPncoqO7h2KYokVh1Fb2R6sisD38hWyrAZOe&#10;J4PPqSkw2sMxUDtw2ct3X3Msb2lwv+Z4LbZ4viqIu9FrQdwSg++hx2L7aOtk6zpVj22mVpNAW7o3&#10;tvg+e97emnOz13Z9y8nK3raxxbZdq+h97n167fOnxT7uod3Yqj/bY+H5UIuilV7O85bXri39MU/R&#10;qigr9NR3a/W9xjU0W34Ley4kn2uJvssa15o51/61vreW5/jQ2u2EloU8a99/Wt5nhqZux1LrEda6&#10;/y25DVMteX9oKcYZlyqMvZIohPvszWyuiIiIiMzJg6SRtZjo6GcN1RpTOga9TTQM1U6wb2nC75wW&#10;nb0YaMuW3ZtWg197+AvZVp38LQ7KFzX7oMdijalqBy57uQ7WnNdb+h5jf2fbMMVdLYjbwzW714K4&#10;pQaMeyxibLWtvZ6HMWmWre8UW5owbfF99nxtqdm+nvs5rSYre9zG2nPwWts09/50jT5E7T7u4RrX&#10;qj/b+/V6TvHH2BLjYXO1unZt8Y88Wj6Rq7fjtvaaEpbcplbXi7DFfuQpLb63oTXuv3OvIXGPzpbX&#10;Uuun7hVrFwO13I5rjJEvUZA05ztoMX6TifN2rXmm6ONl67C2Nbd5jh0Wwn3rcDi8fnTv2SyuiIiI&#10;iMzPsXG1+afEXdox6HkypXZgaMlBq2uoHaDdyv5oNZm9l+8/27aptl5oUnPs9zwwcYnaAb9evvua&#10;6/mWzuW4p2bbMEVPE4OXUhB3o9eCuLDEoHev31mLCe01JqbmaDWYvaV7Y9wDsm24VO/3kLnH61J9&#10;yBZaTVb2+N3V/qHCta6bc/tXa090hxZPsbn2Na5Vfzb0fL1uUcjT0x9uxfmZreNUWxyHaFmUFXpq&#10;R7W4poQ4r7Pl14pzPPu8Obb8h5Bjrc7HYulC1Zrr/hr32tbneLF2AXDL8+Ua1+oWheRjsR1Tr08t&#10;9+PYWtehFq/Zb+Ua7eVzYv8sMQZ0RU8PCuFEREREmmfVp8QtMVh06aTsXieJip4HkKdqMbnU6wTv&#10;WIvJ7LCHv5BtMfm9xUH5oZpjv+ei30vUDpj18t3HuZit36WWmoBo7a4WxLW4P/U4iDhVzfe/dEHc&#10;pe3CKeJ7zz7r2lpMfPZ672g1qL2V9mBo0Q7quT9Qc/3sdbv2XAxUe7+7ZrtsTv/qGgV8LdoU1+4D&#10;tjwHeu7Ptiiw6Km4vmWhwtLtutZaHrOhp3Z9q+91qT5ay33f0/lUq0W/emzJMYWa8Y412ga14zGn&#10;XKNd02q8OKzdzmx9rS3m9F1b7sehNY+JpbZhqtjmXvoscYxFWzrWKVvXDYpCuK8eKYQTERERWSLH&#10;BtemnxI3pZPV86RY7YD4HibYixYDzlvZHy0mQsJaf5m2pFb7oufJlHNqBo22Pijc4rzPlru22r/e&#10;3MqkUouB+y0VqhQtrlMK4pY/xlsPGPdavNnieOy1/dCqTbCl8y3WNduGKXotcAw1xao9b1er601v&#10;29iiXXatCbM5148lxinOabGPezhu9noODLWY2L9GMcUpLY69oufv7ZSW7cQ9fq9Ltg1b7vs4L7PP&#10;2JoW15exJfvZtQVnS7cNltifxdrtmlb9oXCNa3XL872Yc82t6YOcs1ZfesltmOra4wdxjse5saNC&#10;uPD4cDg8uJmpFREREZGlsupT4paYVLx0AqnngpHoWGfrfKmeBuJaqO04x/7YwgBZDEpk6z/VHr7/&#10;Vvtii4PyQzXH/pYHhVsMXPZQTFZbELeVgs4W5+sWC+Ji8C/blin2UBBXMyC7xHka148i2lN/7+9/&#10;If3suf7u7/3qs20OceyfE8fJKTF4e04cI6dEW7b41J/7oXR9p/jJT3z/ez47W+exbJuHyr46JfoC&#10;t4nr4N/+O7+cru9UH/3Yh9Njpkex/7NtmCK+n2zZPai5z0fbKFtmD1p8b6G3fmpt3zTE9SBb9tLi&#10;OpKtz22u0Zdq0fbt4bhp9ZrGOJey5feixcTr2sUUp7Q49orerl2XaHXdLnr5XkOL43TJ77TV9SJs&#10;+Q8hx1oXDkWfIfucFubcY4fWaKu2OA8ya7dravf10DXaOa2vtUX0J7PPu80SxXlhzf261DZMdY1j&#10;KUTbJb77XvZDIwrhRERERNbMsQH29VGDbDHxOqCsYVsjGsTZZ2V6Gqwaq23Uz+kU9qpFx/lakzBT&#10;1P515VB0DrPP2IpW+2KLg/JDNcf+1q8BtQOXPZzztRPIW7huhVjPbP2n2Mq2DrXY7iUnKJYU95ii&#10;puDst377Z55d54qs2Csmy0K0GYtoI4W4ThTZ8uFSw2OpKMfZ0PA4LMoxWpRjd2x4fBfD439YaPgf&#10;PfzpdD2n+Mwv3X9WdBrifjQ0PIezc3wNsY+z9b5EbEO2zGuL/Zmt71Sxb6753Yy12K443rNlL23u&#10;ul9j/9ecEyF+P1vumuJalq3bVHHNzJbfi7jWZ+s9RU99tdpjr+jhGJxqyvjhJXrq07Q4Tpf8Tltd&#10;L0LPfwQwVdwvs22ca8nvsHbcbo1rfYvzILP2MRftklbX6rB2W7r2j0VPie83+7zbtL7uD611D1hy&#10;G6Za+1yI6070wbN12agnh8Ph4c2srIiIiIismVWfEtf66SBTBr17HjSpnWjvfRB5ihZ/CTenk7y2&#10;FpNNxdaLoVrtiy0Oyg/VHPtbvwbUDnD0cH2vPY63MrDfojCsp8mjS7W4N8VEULbsKeI4K2JguxTA&#10;xEBhrGOIe0KI/Rzi2CpFODHpEteLEPfKUAp9ogAorqNFtg13ybGNnP4c9mZ43o+LAkO5RoRy3SjK&#10;9SSUwr9Qrjlx/QmxnOyzL/H6f/rSu9e97Lp4TTXbNdRbW752u+JYypa7hjhOs3U6Jf59tpylxfmT&#10;rc8U2XLX1KJtFK55vFwirmXZek/RUzu/xbFX9FqwfErcR7LtmOta149MHGPZOk4VfYps+bVaXS9C&#10;79eMKVrul2Kp87K2yGmN763F9ToT7dzs85bUsljyGuMvrdrIY1OP77juL7Uua16LltqGqdba5rgX&#10;tWyvdODp4XB4/eheTMaKiIiIyBVybJRt+ilxl3YSex40aTEwt7XByFNiX8R3lW3jFFvYH606tHEO&#10;ZMvfklb7Yuvnwdz90PP17RK1A5fXGKAcq72O97ANl2gxaH9XC+J++Vf+zMkitRDHQCkyifZSiGtC&#10;nN8t7osA13LscqY/r1GujXGdLMq1s1xL47o6VK635fpbCvaKco0uhcVx7Q8xKVPEhHC0N8Nffe1n&#10;03Wbqre2fKxPtp5TXKtNPnXC/lrFiLVt3xDbmi17LXE+ZOs1R7Sjs8/oQYs2YFx/smVfQ4tjr+it&#10;mPcSrdvUvYw/tBhTDEv101qtX9HzNWOK1vsl9PwdLn2+tLheZ+K6kX3eklpuyxJzMee0vNcMzWkz&#10;Rxs/W1YLa90H43Oyz7+Gpa4xIdq2Sx07V6IQTkRERKSjbPopcVM6iT0P2NVOPGxxMPKUFpMwS3bQ&#10;WmnVybvG4ExrrfbFFr7329Tsh5iUypa5BbUDVL2cAzUTLDGRny2zNy0GZuP7zpa9pBjALwUM0Q4J&#10;sS0h7p8hrh8hzsMQ96IQk5h//mc/nm4L0N6xb5L+HPbqwx/+jnfvQeWeFPenU4V4SxcCtGiXX7NN&#10;Hvsq2lXZehUxOXzN/nOL9tQ193FoWcjReoyopRaFfz3111sce8U12vS1Wj9x5trn4dC5694llize&#10;rOkrj13z+t1ai+9taKnvsMU1f+nzpeV9aWzpttdY621ZuhhxbKnvYs79dMnjYq1iw9iG1teKuZZo&#10;08T2Rf+j5X3iyp4evXk4HO4/m3kVERERkT5ybKQ9GTTaFtW6cx6N5ksbzDH4lS2jB7UDkz391XGt&#10;FoO01/gLuKlaDkavPbjRWqu/2Jvz14I9icmgbLsuscUJiaLFuRD3gmzZa6oZvFliUGkJLSYFs2M1&#10;vr8wLFiLz4pjIwwL1uL3h0Vrcf8rTwOKa3+IwcLYpzsaUGNhx+Zw+nOA3pX7Xdz7QtwHy30x7pGh&#10;FHmX+2fcS0O5tw4L8f723/nl9HOm6KFvGu2I2May7SH+/2hjXLvdGJ+f7bcpYluyZa+p1eRsz8Ut&#10;Lb6r0Et/vdX2hC2OQcX1L9uWuXoad4prXLaOUyzZJ419lX3mHLGt2WdsUetjcsnvMPu8Kdb43pbq&#10;/0ebIvu8JbU4p4ulixEzSxVwzWkzRJspW1YLa93fY7uzz7+GVu22aJPENXCp8/ZKHh8OhwfPJlxF&#10;REREpLs8TBpwi2ndWZjSSey5cKimsxidh2sP7Leyt0HnU1oORvc8iXCJVsWBSw7+rWXudWCLExJF&#10;i3PhGgOUY7WD/D1fw2Pdwj/957+drvsU3/cnP/LsOA9xzu5s8AsAJjv2x9Ofb9UHP/jtb//q5378&#10;WT89XFKIF225IorWoi8XShska59sWW37p4e2fxRdZus21TUm6qdoManfQ1+laFWYtMW+d6txh6Fe&#10;xp1aFUsstT0tC7/2MO5TLHFMxj00+6xatfetNb63VvelsWvcp1qd0+EabYbWxZ5F3JOzzzunxb08&#10;s0ahZ4i28FLbMFXtuRzbEte+XranEYVwIiIiIlvIseH2rVFDbjGtOwtTBhDW6qjMUfsXS1svihqK&#10;7ynbxil6H1gPrTp/PR/Xl4jOcLZdc2x9wmzuoNHWB4Vrz4Uezvfawdc5A9dxvBcxeRHLKGLiLe6P&#10;Ie4PsY9C3GvKxHRcO2JwNMT6xwRZiO8jxHFVO/ANwPKO3bn057A3pW1S2irRbok2TChtmhBtnBDt&#10;nUsK8aLttGYRXm1/t4e2f6vJ7vhusuX3okWBRQ99laLV9xbm9F+urXXfppfvNq5Z2fpNtVTxZsvi&#10;ntBLIWILWzkmWxTTZsttqeX1bSjaFdnnLanVOV0s3a4Za73+Q3PO/ylzR1OtdT2qnTdqae4cVNxj&#10;WhXmdyIK4T77bHJVRERERDaR15JG3WJadxYuLaboYeD4lNrO4jU66EtpMVgWHaxs2T1pNVjT83F9&#10;qUvP4XOWGsBdS811YMvbXnsuXGsiLb6v4i++/NPpul3qlz/7o8/2w7hIbVyoFud7kS0HAODaDjsq&#10;0ow217AALwwL8LLiu3Cq+C781m//TPpZU0T7M2ufrqWm3zLUU7FYpkWfvaexmpZFAb1/d5naYtSx&#10;nsadWhTaLnVdaXW9KOYWY/So9TG51PWmRXHw0kW0SxU9Xes8b7HPi2ucM62P7SKWm33eOS3359Ba&#10;98LW19EaU8+JaPvGtSlb1kY9OfZ1Xn82oyoiIiIi28qxMbfZp8RNGaTseeCkprMYg1fZMrcoOnkt&#10;ij16/6vROBaz9Z5j638h22qgZIuD8mNziwOvVRTWQu258Bd+7SeeDX7GckIcB0Oxb+I+UcTxVpTJ&#10;zBgcK8pkZygToHFNKrJ1AACAtfzFl3/qPcV3obSFhwV45enB0V8MLQte5vZbhmJ9s2X3okWBReyn&#10;bNnX0HJCvadCv0vF8ZZtS41exmJqxtHi9+JYz5bbSst+dPTjs8/YotZFXLGfs8+p1aI4OO5T2bJb&#10;WapgaKl9ek7L69U1rtdLXG9DfB9z2jJxrc6WV2vN4yPafNk6XMMlBa7xPcW1o+X1/8qeHm4K4e49&#10;m0wVERERkU1ms0+Ji4He7DMyUeyQLaMHU7Yj0/tg8hQtBlt63x8tB2uWHlhaWqtO/RYH5cfmDhpl&#10;2x7H2FCZCCsTY0WZMIvB2CLWoyiTbKFMvIVSYBamFJmNC80++rEPp9u0Jcd7aPpz9sH3S+9uO0Yd&#10;vwCcEm3xUNrmpa1e2vClXR9KW7+0/3/h0y+ky5xi6SKcWi367GtOll8ivudsPafqbbsu0eL7HOtp&#10;LCa2L87RbD1PifN8jaK++Jzs8+fY4rF3m9iebDvnWuL7bDFmF8vIlt1Sq+vb2BrnyFjr69U1tmGp&#10;72PudXfq9fFSMZ6afV5rS9zD5op9ma1jiPWMdmLra9sVKYQTERER2VOODbzNPiVuSifrGp3AS9V0&#10;Flvv02uKIp1sG6dYY7ClVqvBgS1s621afN9hqYHR6MwXcf0ozhWVXVJYViaUit/4zU+m23bOc889&#10;92z7dzTgAACw+6LOvW8fy9jjcVP6MtFHDqeK82Lcoyh9qNK3CqW/NeyHlb5Z6bMVpS837OOVfl/p&#10;C7bos8dyh/3La4r9la3jHD1t16VajcEUcUxmn3NNcfzGORDnzXh74xyLn8e5Esd+9vtLaHnchS0e&#10;e6fEtSzbxrniu88+p0ZcP7PPmmKNc6X1cVbE9meft7SW16sljotzlvo+om2Qfd45cW1sfQ8Ia87H&#10;LLVP5xhfh8u9Z0fj0k+P3jy2ue8fiYiIiMiOstmnxE3pEFyjE3ipGKzN1vkS0eHIlrlV0cHNtvNS&#10;cUxky+1Jq4GvHgdhb1MmGUJcB0K2XXP81b/2s8+++zJJUiZOykRKKJMrRQyIhDIJU2TLBwAAgEt9&#10;5pfuP+ujhkuL98YFfKV471wB3zktCluKWN/sM3oW+zvblrm2Mg439ThpreVxF7Z47J3Set8sMT4Y&#10;x072WVOsca603pdFXK+zz1tay+tVjIVmn7GkFsfNKXH/yz7znKWOkbnrM9WS+3SqYSFgtFNq53E6&#10;8/hwODy4mS4VERERkb3l3rHBt8mnxE3pEPQ+YFXz10p7GhSKzlS2jZdqeXwtJb6vbN2nKsd0nAfF&#10;cJB8OHheBtRjEKCI9QhlQD6UQfoycD8sMgvnCs2yIrNs3QHYtmP70ROOAHiXewJcX+mDl355iH76&#10;T/3096f/fo6f+4UX3h1LKGMLZbyhaFHE11J8brYtNWK7s8/i32m9369VoLSUOD+z7ZwjzvvsM2q0&#10;+P6WWK+xJc7vsESR4SVab09cf7PPWVLsu2xdasW4dfZ5l4jx62yZNWrWZ6oYk8/WYW1xTsd9fqnv&#10;+EoUwomIiIjckXw1aQwuIhrOLTtjUxrg0WDPltGDmiKpLRSBTRFFWNl2XqL1voiBiFAGcc8VmYVz&#10;hWbxNLNs3YHLHe9b6c9pr3Zf37XvyrEJbTmnAGCfYnwwjAv4QvkDvBjzK8of6oUYWynjLEWMvZTx&#10;mFDGaGLcJpaZrcNcexuHW0rLoolYVvYZW1Uz9plZovCpRdHeGgVZrc/vsEYx3yktiyXXLNoqYsw8&#10;W5daNd/JEoWTax4jSxV+zvHh7/yO9OcbFIVwnz0SERERkTuSVZ8SFwNVWeN+jhjkyj4j0/OAVXRs&#10;5nZ4r9lJX8rcv9z6xU//6fcUocUAUxHffxlILYOrZbA1xP6PfVlky6dPx2tY+nMAAACWoy/GXfTB&#10;D377u+NLp4r0hgV6pTCvGD5Br/whZjY2tnVTxmzP2dvYZ+sCl9jX2efUiOM6+6wp4njPlt1SnG/Z&#10;Z9e61nkZ145sfeaIse7sM5bWsqhvqKbAsuV+LZY4705pcT7yzJNj2/X1mBAVERERkbuXVZ8SlzXs&#10;55hSSNb74MncDnwUc2XLa6kM0JUBu+FT0k49GS22Z25B2kc/9uF0WwEAAABgj8q4WIyRhRgvK2No&#10;WRHesBCvjMeV8blzhXjZ+F9L8RnZNs7R+5juHPGdZts6R3z/2WfUmDtOPRTHYLbslloeZ0NrFPNl&#10;Wm9PTRHZXHH9ydalVlz3ss+7VFxPs+XOFdfo7HOWsNRxfoc8PdwUwt17NhMqIiIiIncy8ZS4rLG4&#10;iBigyRr3c8TgT/YZmeiQZcvoQXRspnbMonDs7/39L8wqUrutQG1YnJZ9LgCeiAEAAMC2ZQV4WfHd&#10;sPCujDcOi+6ygrv43ewz5yjL3IvYf9l2zhHfVfYZNVoU4LQc/79NHLvZ59dYa90zLbfnWtuxxHdS&#10;Wxgb16hsuTXWLJxseT29QxTCiYiIiMh7ssmnxMVAS/YZmeg4ZMtoKQYMwpwitd/4zU++/fHnl3ms&#10;OAAAwDUc+5rpzwEALvHoH73ybtHdXorjWhUNxZhytvxatX8oHWPe2XJbi+3PPr/GGnMIp8R8QbZO&#10;cyxRLHmJlgWfQ7UFaK2Lytbcvy2KVO+Qp0dvHvug95/NeoqIiIiIvJNVnxIXHaOscT/HpQMI8US1&#10;c8VqpVAtlEK1EB2m6OR4mtq6jsdl+nOArXN9AwCAfdLWh/XE2GyY8oS7c0+3W0OsT7Y9U8R4dG2R&#10;0CmxL7PPvFTs92y5rS1RKBTbnn3WGlpuTxwfax7TRXxmq4LPodpjaoljJa4b2WctoXVB3049PrbB&#10;HhyJiIiIiLw/xwbjm6MG5GK+67s++GwAYlyENlYGLIZKkVqIjsCn/twPpZ8BAAAA0KuDwimALkUx&#10;0bDQrhTb3VZoF0qhXThXaFdbdBafmy23hdiu7DMvtebTs1oXX8V3n33OWloWPsUxmX3G0uJzs/Wp&#10;0eJ7ab1e8V1ln7OEJQr6dkQhnIiIiIhclFWfEgcAAAAAPTkoVAQWVIrtwg/90He//eEPf0f6706J&#10;Ir0/+MNfX/TpdvEUveyzL7XmU9aiODFbhxqt9+cULQuf1izYGovjNFunGi2eyNa6gLLFOl1qiWN9&#10;454c22wPn81sioiIiIhckmMj8tGoUbkJx1VPfw4AAAAAAHfBsOBu/IS78pS74RPuhk+5i0K48Ogf&#10;vfL29//Ad6fLv0QsMyvoWUIUJGXrUCOKDbPPWkt8T9l6TXXNp93FPszWqUaLpyLG0xuzZc+15tMQ&#10;PSXuXU8Ph8PrR/diTlNEREREZEriKXFPRw1MgNUcr0OTfg4AAABwG2MKsI4PfOC5t3/sx783LcYr&#10;BXlFVpg3fAVtKdIbvoo2Cq2GT8cLH//4x9J1mSs+NytIWkvLoq01n2A21qqwr2hVfNZ6vdYsoIzz&#10;JFuHO0IhnIiIiIg0yetJY3MRx89Kfw4AAAAAwLbVjv8aP2Ztn/ip739f4V4xLOArSiFfVsxXDIv6&#10;hoV94+K+EE8Ca1Xkd82CuNZPNGv1xLvW6xXFn9nnLOEOPyXu8fFecP9IRERERKQ+xwbmt0YNTgCA&#10;Z45NhfTnsHHxlORzoo18mycXeHzG1y/wKJH9u6HsszLZOo9l2z6W7b+x7HsAAAA6ctfGAPayvR/5&#10;yIeeFWsNn9aXPbWvGBYBZsWAlxQEjosCf+3zP5Gu21x/8Ie//r7iwjl+5Vd/LF3+XH/77/zyu8se&#10;FkIODfdLMd53xXgfD7+Dn/nzP5yuw05FIdyDIxERERGRpnktaXwCAMAlhkVPpUBqWFBViq+GBVul&#10;sOvN4tgm/eo74rUYxWvvePiOzw7EQGmIvxwu4nUahWwrw+9uaPj9FuW7HxseH0U5dsbKsTU2PP6K&#10;cmy+x/D4HRgWLhbDYz8MixLD8HwJw2LDMDzHQnYeAgAAwNY8Ofavo48uIiIiIrJMotE5aoQCKzie&#10;fun/BvbF+c1CSnFMKZopxTRZ8dm7BTvH4zGKeYbFPqUQqBQKlUKiYaFRKUQaFiqJSD8ZnpthWEAY&#10;hudzGBYNhnL+Dw0LBcP7CgQH15asADAr+ssK/bLrGwAAwJ137HelP9+Bp+/0L40viYiIiMjiuZ80&#10;SAEAuEyL4rRSdBKFKKVIpRSvlKKWUuwiIrLXZEV940K+U4V7LYv2FOsBAHAVx3Zs+nPYAYVwIiIi&#10;IrJ+jg3RmCTIGqjVjotPfw4AW+FetknDIrWzBWrH71hxmoiInMq4UG9YpJcV6J0rzMsK8koxnoI8&#10;AHbpeE9Mfw7AaTu6dj4+bkv0pURERERE1s+xQRqD8llDFQCglXOFaqVY4FShWik6GBaplUI1RWoi&#10;IrLHDIvxSkFeKdgeF+O9pyDvnftpVog3LMJTgAd3wPGakP483PbfAIAb7pezRCFc9F9ERERERK6b&#10;Y+M0BsuzRisAsD+lOG1coHZJkVpWqFYm54dFagrVREREtpVhAV4pviuFd6X47t2iu/BOG0HhHbtx&#10;PK4v+hkAAKknx7ZT9BtERERERLrK60njFQBYzrAobViYNixKK4Vpz4rSwvGePSxKGxamKU4TERGR&#10;3nNb4V20aW4rvCttI4V3AADQj6fvtOGNPYqIiIhI14nCuBhMzhq1ANCzUmA2LDILpdBsWHCWFZ0V&#10;7xafheO98b89/t/s8zL/+vjv/+7RsCitFKaVojSDQyIiIiLLpbS3StHd1MK7Unx3qvBO8R0AwMYd&#10;23/pz5kkCuGiLW2sU0REREQ2lRgsjgHiMjD8Px39L0f/1/H/zxq+APRhWBRWDIvDwrhALJQJv2JY&#10;LFYMi8bCewrHQrlvvKM8wWyoTEAWZWIyxL1naFxQVpRJzrUHW147bmPsh9iHw/0d++/rx/8e62wA&#10;SEREROTuJNp+pY3aqvgulHZ7tDWHbX0AAOjB42O7Ntq+IiIiIiK7SxnYjYHcGMCNgdthgQDAJYZF&#10;W0NlAmioTA6NlcmjoWER11CZdBp6X1FXiOtbYlzcVZSJrqEyCTY0LPYaKpNnQ8MCsKFhMVgh14v9&#10;LyIiIiJrJNqdpU9Q+gzRlyh9jdIPif7Ju32Yd/o3pe8TfaJhvyn6U6W/Ff2wrM8GAMCVHNtz6c+v&#10;JNqLj47rFO1QEREREZE7mRicHQ7IDgdghwOuWYMatmRYwFWUyYShYfFWMZyECOPCrVAmLYbeU7QV&#10;4hwbGRdrhTI5MlTO06FxoVZRJlzGyoTM0LBQa0hERERERET6T+nDlT5e6f+V/mHpPw77l6Xv+W7f&#10;9J0+67A/W/q6pR9c+sfD/nPpW2d9cAAAruDYtvv7R9EuFBERERGRCRkPso4HV983qFocG+Lj4qDh&#10;QOt4wHU88JoZ/9slZOs4xXib3yPbTyNlf54yHNDOlO/mNmWQfI4y0D5HOY6mKoP954iIiIiIiIjI&#10;uon++LAPX8YAyjjCcDyijF2UMY53x0PeGTcZjq+UcZrx2JBCPQCAgWNbKtpeIiIiIiIiIiIiIiIi&#10;IiKy85Q/oLutYO9U0d5thXunivfGBXyK9wCApT09tlE8MEBERERERERERERERERERLrKJcV7w8K9&#10;2uK9YeGe4j0A2K6vH+/7IiIiIiIiIiIiIiIiIiIiMiNTCvfGBXu3FeudesLeuEAvKwQAgDvreF+N&#10;e6+IiIiIiIiIiIiIiIiIiIhsPKeK87In6p17kt74KXrZk/M8MQ+A3rx5vJeJiIiIiIiIiIiIiIiI&#10;iIiIVGdckFeK8bIivKz4blx450l4AEzx5HhvifuQiIiIiIiIiIiIiIiIiIiIyCai4A6ATBTDxb1B&#10;RERERERERERERERERERERN7J3IK7YbFdUGwHsJ7Hx2uyYjgRERERERERERERERERERGRFdP66XaK&#10;7YC77v9559opIiIiIiIiIiIiIiIiIiIiIjtLKbgrxXbjgrtLiu2GBXeK7oBeffOda5qnwomIiIiI&#10;iIiIiIiIiIiIiIjIrGRPuJv7lLth4V0U3Sm8gzvueM1If370/x7970f/8ui/Ov67uP6IiIiIiIiI&#10;iIiIiIiIiIiIiGwiUXg3Lr67rQDvPUV44dtuCvHGxXi3PQnP0/CgvVLsGuIci3MuxPlXzsk4P8v5&#10;+uY753Ccz3Fex/ke535cD0REREREREREREREREREREREpCLnCvOGxXlDw0K9Uqw39G7hXvFt3/Zt&#10;bwz8NyP/dORfJP7nkf+1sf97Bf/fBNnv18q2u8b4O7lE9t0OjY+FzPj4GR5bb4yOvfGxGcbH7/DY&#10;Lsd9ORdCOT/K+aJ4TUREREQGORz+f/KPQJ86/svhAAAAAElFTkSuQmCCUEsDBAoAAAAAAAAAIQDn&#10;ftZg/w8BAP8PAQAUAAAAZHJzL21lZGlhL2ltYWdlMi5zdmc8c3ZnIHZpZXdCb3g9IjAgMCA2MzAu&#10;MzQgMjExLjExIiB4bWxucz0iaHR0cDovL3d3dy53My5vcmcvMjAwMC9zdmciIHhtbG5zOnhsaW5r&#10;PSJodHRwOi8vd3d3LnczLm9yZy8xOTk5L3hsaW5rIiBpZD0iTGF5ZXJfMSIgb3ZlcmZsb3c9Imhp&#10;ZGRlbiI+PGRlZnM+PC9kZWZzPjxwYXRoIGQ9Ik0xODYuMDEgMTk2LjI3QzE4Ni4wMSAxOTYuMjcg&#10;MTg2LjAxIDE5Ni4yNyAxODYuMDEgMTk2LjI3TDE4Ni4xNSAxOTYuMjdDMTg2LjE1IDE5Ni4yNyAx&#10;ODYuNDIgMTk2LjI3IDE4Ni40MiAxOTYuMjdMMTg2LjYxIDE5Ni4yN0MxODYuMDIgMTk2LjI3IDE4&#10;NS40MyAxOTYuMjkgMTg0Ljg1IDE5Ni4zIDE4NS4yMyAxOTYuMyAxODUuNjIgMTk2LjI5IDE4NiAx&#10;OTYuMjhaTTQ2MS45MSA0LjM2QzQ2Mi44MiA0LjQgNDYzLjY0IDQuNDggNDY0LjQyIDQuNjEgNDY1&#10;LjkgNC44NiA0NjcuMTQgNS4xMyA0NjguMzMgNS42MSA0NjkuODkgNi4yNCA0NzEuMjcgNi44OSA0&#10;NzIuNTQgNy42MSA0NzMuNjcgOC4yNSA0NzQuNzcgOC45NSA0NzUuODQgOS42M0w0NzYuNzMgMTAu&#10;MTlDNDc4LjIgMTEuMTEgNDc5LjY3IDEyLjA0IDQ4MS4xMyAxMi45NyA0ODQuMzcgMTUuMDMgNDg3&#10;Ljg3IDE3LjIzIDQ5MS41IDE5LjM2IDQ5My43MSAyMC42NiA0OTUuOTQgMjEuOTQgNDk4LjE3IDIz&#10;LjIyIDUwMC40IDI0LjUgNTAyLjYzIDI1Ljc4IDUwNC44NSAyNy4wOCA1MDguNDQgMjkuMTggNTEz&#10;LjE4IDMxLjk0IDUxOC4wNSAzNC41NiA1MjIuMjIgMzYuODIgNTI2LjA0IDM4Ljg1IDUyOS43MiA0&#10;MC43NSA1MzQuMzUgNDMuMTUgNTM5LjAyIDQ1LjYyIDU0My41MyA0OC4wMSA1NDcuNjUgNTAuMTkg&#10;NTUxLjc2IDUyLjM3IDU1NS45MSA1NC41MyA1NjMuNTEgNTguNDggNTcxLjA5IDYyLjY0IDU3OC40&#10;MiA2Ni42Nkw1ODAuMTUgNjcuNjFDNTg1Ljc4IDcwLjcgNTkwLjMxIDczLjIzIDU5NC40MSA3NS41&#10;OSA1OTUuNTMgNzYuMjMgNTk2LjY1IDc2Ljg3IDU5Ny43NyA3Ny41MSA1OTkuODYgNzguNyA2MDIu&#10;MDIgNzkuOTIgNjA0LjExIDgxLjE2IDYwNi4wOCA4Mi4zMyA2MDguNDEgODMuNzMgNjEwLjY4IDg1&#10;LjI3IDYxMi43MiA4Ni42NiA2MTQuNTMgODcuOTQgNjE1LjkzIDg5LjU1IDYxOC41MSA5Mi40OSA2&#10;MjAuMTUgOTUuODMgNjIxLjczIDk5LjA3TDYyMS43OSA5OS4xOUM2MjIuMTUgOTkuOTMgNjIyLjUz&#10;IDEwMC42NyA2MjIuOSAxMDEuNDEgNjIzLjM3IDEwMi4zMyA2MjMuODQgMTAzLjI2IDYyNC4yOCAx&#10;MDQuMTkgNjI0LjU0IDEwNC43MyA2MjQuNzggMTA1LjMyIDYyNS4wOCAxMDYuMDkgNjI1LjI0IDEw&#10;Ni41MSA2MjUuMzIgMTA2Ljg1IDYyNS4zNSAxMDcuMTUgNjI1LjQyIDEwNy44NiA2MjUuNDUgMTA4&#10;LjQ2IDYyNS4yNSAxMDkuMDcgNjI1LjA0IDEwOS43NCA2MjQuODEgMTEwLjQgNjI0LjQxIDExMS4w&#10;NSA2MjQuMTkgMTExLjQyIDYyMy45MSAxMTEuNzcgNjIzLjY0IDExMi4xMUw2MjMuMzggMTEyLjQ0&#10;IDYyMy42MSAxMTIuMTJDNjIzLjA2IDExMi44MyA2MjIuNDQgMTEzLjU1IDYyMS42NSAxMTQuMjQg&#10;NjIwLjYxIDExNS4xMyA2MTkuNDUgMTE2IDYxOC4yMSAxMTYuODEgNjE1LjUxIDExOC41NyA2MTIu&#10;NTcgMTIwLjA1IDYwOS43OCAxMjEuNDEgNjA4Ljg3IDEyMS44NiA2MDcuOTUgMTIyLjMxIDYwNy4w&#10;MyAxMjIuNzUgNjA0LjgzIDEyMy44MiA2MDIuNTYgMTI0LjkzIDYwMC4zNyAxMjYuMDYgNTk2LjY1&#10;IDEyNy45OSA1OTIuODYgMTMwLjE4IDU4OS4xIDEzMi41OCA1ODUuMzIgMTM0Ljk4IDU4MS42MSAx&#10;MzcuNTIgNTc4LjAyIDEzOS45OEw1NzYuMDkgMTQxLjNDNTcyLjc2IDE0My41OCA1NjkuMzMgMTQ1&#10;Ljg2IDU2Ni4wMSAxNDguMDZMNTY0LjY2IDE0OC45NkM1NjIuOTcgMTUwLjA4IDU2MS4zIDE1MS4y&#10;MSA1NTkuNjIgMTUyLjMzIDU1Ny40NyAxNTMuNzcgNTU1LjMyIDE1NS4yMSA1NTMuMTYgMTU2LjY0&#10;IDU0OC42NCAxNTkuNjMgNTQ0LjAxIDE2Mi42MSA1MzkuMzggMTY1LjUxIDUzNC41MiAxNjguNTUg&#10;NTI5LjQ3IDE3MS41NCA1MjQuNTggMTc0LjQ0TDUyMy43MiAxNzQuOTVDNTIwLjY3IDE3Ni43NiA1&#10;MTcuNiAxNzguNjIgNTE0LjYzIDE4MC40MyA1MTMuMTIgMTgxLjM1IDUxMS42MiAxODIuMjYgNTEw&#10;LjEgMTgzLjE4IDUwNi4yOCAxODUuNDkgNTAyLjQ4IDE4Ny43MyA0OTcuOTcgMTkwLjM3IDQ5My45&#10;NCAxOTIuNzMgNDg5Ljk4IDE5NS4wNCA0ODUuOTcgMTk3LjI5IDQ4My40OSAxOTguNjggNDgwLjYg&#10;MjAwLjI3IDQ3Ny41OCAyMDEuNjUgNDc1LjY2IDIwMi41MyA0NzQuMDcgMjAzLjIxIDQ3Mi41NiAy&#10;MDMuNzggNDcwLjk4IDIwNC4zOCA0NjkuMjEgMjA0Ljg5IDQ2Ni45OSAyMDUuMzkgNDYzLjU2IDIw&#10;Ni4xNiA0NjAuNzIgMjA2LjY3IDQ1OC4wNCAyMDcuMDEgNDU1IDIwNy4zOSA0NTEuOTYgMjA3LjUx&#10;IDQ0OC4zNCAyMDcuNTggNDQ1LjUxIDIwNy42MyA0NDIuNjEgMjA3LjU1IDQ0MC4wNCAyMDcuNDkg&#10;NDM2Ljg4IDIwNy40IDQzMy43MSAyMDcuMjkgNDMwLjU1IDIwNy4xOCA0MjkuMTUgMjA3LjEzIDQy&#10;Ny43NCAyMDcuMDcgNDI2LjM0IDIwNy4wMiA0MjAuNjcgMjA2Ljc5IDQxNC45IDIwNi41IDQwOS4z&#10;MyAyMDYuMjMgNDA0LjI0IDIwNS45OCAzOTguOTggMjA1LjcyIDM5My44IDIwNS41TDM4OC4wNSAy&#10;MDUuMjZDMzgzLjU2IDIwNS4wOCAzNzkuMDcgMjA0Ljg5IDM3NC41OCAyMDQuNjkgMzcxLjMzIDIw&#10;NC41NCAzNjguMDggMjA0LjQgMzY0Ljg0IDIwNC4yNyAzNjEuODcgMjA0LjE1IDM1OC45MSAyMDQu&#10;MDMgMzU1Ljk0IDIwMy45MyAzNTAuMjcgMjAzLjczIDM0NC41IDIwMy41OCAzMzguOTMgMjAzLjQz&#10;TDMzNy4yOSAyMDMuMzlDMzMxLjM4IDIwMy4yMyAzMjUuMDcgMjAzLjA3IDMxOC43MyAyMDIuOTYg&#10;MzA2LjY0IDIwMi43NCAyOTQuMzMgMjAyLjc4IDI4Mi40MyAyMDIuODJMMjc5LjkzIDIwMi44MkMy&#10;NzIuODggMjAyLjg1IDI2My41NiAyMDIuODYgMjU0LjA0IDIwMi43IDI0NS41OSAyMDIuNTYgMjM2&#10;Ljg1IDIwMi40MiAyMjguMSAyMDIuNTcgMjIxLjM5IDIwMi43MSAyMTQuNTcgMjAyLjkgMjA3Ljk3&#10;IDIwMy4wOSAyMDMuMjMgMjAzLjIyIDE5OC40OSAyMDMuMzYgMTkzLjc0IDIwMy40NyAxODcuMDIg&#10;MjAzLjYzIDE4MC4zIDIwMy43MyAxNzQuNjIgMjAzLjggMTcyLjA3IDIwMy44MyAxNjkuNTEgMjAz&#10;Ljg3IDE2Ni45NiAyMDMuOSAxNjIuOTYgMjAzLjk2IDE1OC45NiAyMDQuMDEgMTU0Ljk3IDIwNC4w&#10;NiAxNDIuOSAyMDQuMTkgMTMwLjk2IDIwNC4yMyAxMTkuNDggMjA0LjE2IDExNi4zOCAyMDQuMTQg&#10;MTEzLjI4IDIwNC4xMiAxMTAuMTcgMjA0LjEgMTAyLjY3IDIwNC4wNCA5NC45MSAyMDMuOTkgODcu&#10;MjcgMjA0LjAyIDgzLjg1IDIwNC4wMyA4MC40MyAyMDQuMDcgNzcuMDIgMjA0LjEgNzMuMDIgMjA0&#10;LjE0IDY4Ljg4IDIwNC4xOCA2NC44MSAyMDQuMTlMNjEuOTUgMjA0LjE5QzU4LjIgMjA0LjE5IDU0&#10;LjMzIDIwNC4xOSA1MC41MiAyMDQuMjUgNDYuNDYgMjA0LjM1IDQyLjM4IDIwNC42NiAzOC40MiAy&#10;MDQuOTZMMzYuNDcgMjA1LjExQzM1Ljg3IDIwNS4xNSAzNS4yOCAyMDUuMiAzNC42OCAyMDUuMjUg&#10;MzIuODQgMjA1LjQgMzAuOTMgMjA1LjU1IDI5LjA1IDIwNS41OUwyOC41OSAyMDUuNTlDMjguMSAy&#10;MDUuNjIgMjcuNiAyMDUuNjQgMjcuMTEgMjA1LjYxIDI2Ljg5IDIwNS42MSAyNi42NiAyMDUuNTgg&#10;MjYuNDQgMjA1LjU2IDI1LjgxIDIwNS40OCAyNS4xOSAyMDUuMzYgMjQuNTkgMjA1LjIyIDI0LjA5&#10;IDIwNS4xIDIzLjU3IDIwNC44NyAyMy4xMSAyMDQuNjdMMjIuODQgMjA0LjU1QzIyLjE4IDIwNC4y&#10;NyAyMS42NCAyMDMuODggMjEuMTEgMjAzLjQ5TDIwLjg2IDIwMy4zMUMyMC4xMyAyMDIuNzkgMTku&#10;NjEgMjAyLjA4IDE5LjE2IDIwMS40NSAxOC41MyAyMDAuNTggMTguMTYgMTk5LjYgMTcuOCAxOTgu&#10;NjRMMTcuNjYgMTk4LjI3QzE3LjM3IDE5Ny41IDE3LjEyIDE5Ni43MiAxNi45MiAxOTYuMDUgMTYu&#10;MyAxOTQgMTUuNzkgMTkxLjk0IDE1LjM4IDE5MC4yIDE0LjcyIDE4Ny40MSAxNC4yIDE4NC42MyAx&#10;My42OSAxODEuNzggMTMuMDkgMTc4LjQ4IDEyLjU4IDE3NS4wNSAxMi4xNyAxNzEuNTcgMTEuNyAx&#10;NjcuNTkgMTEuMjUgMTYzLjYxIDEwLjgyIDE1OS42MyAxMC4zNSAxNTUuMjggMTAuMDMgMTUwLjU3&#10;IDkuODUgMTQ1LjI1IDkuNSAxMzQuODMgOS4zNSAxMjYuMzcgOS4zOCAxMTguNjMgOS40IDExMy45&#10;IDkuNTUgMTA5LjEgOS42OSAxMDQuNDYgOS43NiAxMDIuMTYgOS44MyA5OS44NyA5Ljg5IDk3LjU3&#10;TDkuOTEgOTYuNjJDMTAuMSA4OC43MiAxMC4zIDgwLjU1IDEwLjA0IDcyLjUyIDkuNDkgNTcuNDYg&#10;OC4yMyA0Mi43NCA3LjIgMzEuNkw2LjkyIDI4LjQ3QzYuNjEgMjUuMDcgNi4zIDIxLjU2IDUuOTEg&#10;MTguMTIgNS43NSAxNi43MSA1LjU2IDE1LjE4IDUuMyAxMy40NiA1LjE4IDEyLjYzIDUuMDUgMTEu&#10;OCA0LjkxIDEwLjk3TDQuODQgMTAuNTVDNC43NiAxMC4wOSA0LjY5IDkuNjMgNC42MiA5LjE3IDQu&#10;NTkgOC45OSA0LjU4IDguOCA0LjU3IDguNjIgNC4yOCA4LjU3IDMuOTcgOC41MiAzLjY4IDguNDUg&#10;Mi45NyA4LjI5IDIuMzUgNy45MSAyLjA2IDcuNDYgMS44MyA3LjEgMS44MiA2LjcxIDIuMDMgNi4z&#10;NCAyLjc1IDUuMDcgNC45OSA1LjA4IDYuNjMgNS4wOUw2Ljk3IDUuMDlDNy4wMyA1LjA5IDcuMDgg&#10;NS4wOSA3LjE0IDUuMDkgNy4zMSA1LjAyIDcuNDcgNC45NiA3LjYxIDQuOTEgOC4zNiA0LjY4IDku&#10;MTYgNC41NiA5Ljc1IDQuNTkgOS44OCA0LjU5IDEwIDQuNjEgMTAuMTIgNC42M0wxMC40MSA0LjY4&#10;QzExLjE3IDQuOCAxMS42MyA0Ljg4IDEyLjI5IDUuMTlMMTIuOTMgNS4yMUMxMy41NyA1LjIzIDE0&#10;LjIxIDUuMjUgMTQuODUgNS4yNiAyMC42NyA1LjQgMjYuNTkgNS40MSAzMi4zMSA1LjQzIDM0LjU0&#10;IDUuNDMgMzYuNzYgNS40MyAzOC45OCA1LjQzIDQzLjA4IDUuNDMgNDcuMzIgNS40MyA1MS40OSA1&#10;LjQ4TDUyLjAzIDUuNDhDNTcuOTkgNS41NCA2NC4xNCA1LjYgNzAuMiA1LjU3IDc2LjM1IDUuNTQg&#10;ODIuNDkgNS40OSA4OC42NCA1LjQ1IDk0Ljc5IDUuNCAxMDAuOTMgNS4zNiAxMDcuMDggNS4zMyAx&#10;MTEuMjEgNS4zMSAxMTUuMzQgNS4yNiAxMTkuNDYgNS4yMSAxMjEuNDQgNS4xOSAxMjMuNDEgNS4x&#10;NiAxMjUuMzkgNS4xNCAxMzAuMDQgNS4wOSAxMzQuNjkgNS4wNyAxMzkuMzQgNS4wNkwxNDQuMTkg&#10;NS4wNEMxNTIuODQgNSAxNjEuNjMgNC45MiAxNzAuMTMgNC44NUwxODAuMTQgNC43NkMxODMuODYg&#10;NC43MyAxODcuNTggNC42OCAxOTEuMyA0LjYzIDE5NC4xMyA0LjU5IDE5Ni45NSA0LjU1IDE5OS43&#10;OCA0LjUyIDIwNC4xMiA0LjQ3IDIwOC40NSA0LjQ1IDIxMi43OSA0LjQ0IDIxNC44NiA0LjQ0IDIx&#10;Ni45MyA0LjQyIDIxOS4wMSA0LjQxIDIyMS4wMiA0LjQgMjIzLjAzIDQuMzggMjI1LjA0IDQuMzYg&#10;MjI4LjQ2IDQuMzMgMjMxLjg4IDQuMyAyMzUuMyA0LjMgMjM3LjY2IDQuMyAyNDAuMDEgNC4zIDI0&#10;Mi4zNyA0LjMgMjQ1LjUyIDQuMyAyNDguNjYgNC4zMSAyNTEuODEgNC4zIDI1NS4zOSA0LjI4IDI1&#10;OS4zNCA0LjI0IDI2NC4yMiA0LjE3IDI2NC40NSA0LjE1IDI2NC42NyA0LjE1IDI2NC44OSA0LjE2&#10;TDI2OS45NyA0LjA4QzI3NS4xMyA0IDI4MC40NyAzLjkxIDI4NS43MiAzLjg3IDI5MS41NyAzLjgy&#10;IDI5Ny40MSAzLjc1IDMwMy4yNiAzLjY4TDMwMy4zNyAzLjY4QzMwNS4xNyAzLjY2IDMwNi45OCAz&#10;LjY0IDMwOC43OCAzLjYyIDMxMi41NSAzLjU4IDMxNi4zMiAzLjU0IDMyMC4wOSAzLjQ3TDMxOS43&#10;NCAzLjQ5IDMyMC43OCAzLjQ2QzMyNi41NSAzLjM1IDMzMi41MiAzLjIzIDMzOC40IDMuMTkgMzQy&#10;LjEyIDMuMTYgMzQ1Ljg1IDMuMTYgMzQ5LjU3IDMuMTUgMzUxLjggMy4xNSAzNTQuMDIgMy4xNSAz&#10;NTYuMjUgMy4xNCAzNjEuNDUgMy4xMiAzNjYuNzMgMy4xNSAzNzEuODQgMy4xOUwzNzUuNzUgMy4y&#10;MUMzODEuNDMgMy4yNCAzODcuMzQgMy4zNiAzOTMuODQgMy41OCAzOTUuOTEgMy42NSAzOTcuOTgg&#10;My43MyA0MDAuMDUgMy44MUw0MDQuNDUgMy45OSA0MDUuMjcgNC4wMkM0MDYuOTIgNC4wOSA0MDgu&#10;NTUgNC4xNiA0MTAuMTggNC4yMyA0MTQuMDMgNC4zOSA0MTYuOTcgNC40OSA0MTkuNzQgNC41NyA0&#10;MjQuMjkgNC43IDQyOC44NSA0Ljc1IDQzMy4yOSA0LjczIDQzNC42NiA0LjczIDQzNi4wNCA0Ljcz&#10;IDQzNy40MSA0LjcyIDQ0MC4wMyA0LjcyIDQ0Mi43NCA0LjcyIDQ0NS40MSA0LjY3IDQ0NS40NyA0&#10;LjY3IDQ0NS41NCA0LjY3IDQ0NS42IDQuNjdMNDQ1LjcgNC42N0M0NDUuNyA0LjY3IDQ0NS43IDQu&#10;NjcgNDQ1LjcgNC42NyA0NDYuMjYgNC42NiA0NDYuODEgNC42NSA0NDcuMzcgNC42NEw0NDcuNTEg&#10;NC42NEM0NDcuNTEgNC42NCA0NDcuNjMgNC42NCA0NDcuNjMgNC42NEw0NDguMzUgNC42NEM0NDgu&#10;MzUgNC42NCA0NDguMTUgNC42NCA0NDguMTUgNC42NCA0NDkuMzggNC42IDQ1MC42MiA0LjU3IDQ1&#10;MS44NSA0LjU0IDQ1My44NCA0LjQ5IDQ1NS44MiA0LjQ0IDQ1Ny44MSA0LjQxTDQ1OC43NyA0LjQx&#10;QzQ1OS44MiA0LjM4IDQ2MC45IDQuMzYgNDYxLjk2IDQuNDFaIiBmaWxsPSIjRTNFODdCIi8+PHBh&#10;dGggZD0iTTQyOS44IDEuMzZDNDI5LjkgMS4zNiA0MzAuMDEgMS4zNiA0MzAuMTEgMS4zNiA0MzAu&#10;MDEgMS4zNiA0MjkuOSAxLjM2IDQyOS44IDEuMzZaTTM5MC45OSAwLjQ0QzM5MC45MyAwLjQ0IDM5&#10;MC44NiAwLjQ0IDM5MC44IDAuNDQgMzkwLjk0IDAuNDQgMzkxLjA4IDAuNDQgMzkxLjIxIDAuNDQg&#10;MzkxLjE0IDAuNDQgMzkxLjA2IDAuNDQgMzkwLjk5IDAuNDRaTTM4OS44NyAwLjQyIDM4OS44NyAw&#10;LjQyQzM5MCAwLjQyIDM5MC4xMiAwLjQyIDM5MC4yNSAwLjQyIDM5MC4xMyAwLjQyIDM5MCAwLjQy&#10;IDM4OS44OCAwLjQyWk0yNi45IDQuNDRDMjYuODQgNC40NCAyNi43NyA0LjQ0IDI2LjcxIDQuNDQg&#10;MjYuNzcgNC40NCAyNi44NCA0LjQ0IDI2LjkgNC40NFpNNDY2Ljk3IDEuODJDNDY4LjMxIDIuMDIg&#10;NDY5LjM3IDIuNzYgNDY5LjUxIDMuNzggNDY5LjU5IDQuMzUgNDY5LjM2IDQuOTMgNDY4Ljg3IDUu&#10;MzggNDY4LjM0IDUuODcgNDY3LjYzIDYuMSA0NjYuODEgNi4yMSA0NjUuMzggNi4zOSA0NjMuOTIg&#10;Ni4zNCA0NjIuNDggNi4zMyA0NjAuNDMgNi4zMSA0NTguMzkgNi4yNyA0NTYuMzQgNi4yMiA0NTIu&#10;MDkgNi4xMyA0NDcuODQgNi4wMSA0NDMuNTggNS45MiA0MzQuMTMgNS43MyA0MjQuNjggNS40NSA0&#10;MTUuMjMgNS4yNSA0MTMuMzcgNS4yMSA0MTEuNTIgNS4xNyA0MDkuNjYgNS4xNCA0MDkuOTEgNS4x&#10;NCA0MTAuMTYgNS4xNCA0MTAuNDEgNS4xNSA0MDEuNTQgNC45OCAzOTIuNjcgNC43NiAzODMuNzkg&#10;NC41OCAzODMuOTcgNC41OCAzODQuMTYgNC41OCAzODQuMzQgNC41OSAzNzkuMjYgNC41IDM3NC4x&#10;OCA0LjQyIDM2OS4xIDQuMzggMzY0LjA4IDQuMzMgMzU5LjA2IDQuMzQgMzU0LjA0IDQuMzQgMzQ0&#10;LjAxIDQuMzQgMzMzLjk4IDQuMyAzMjMuOTUgNC4zIDMxNC4xNiA0LjMgMzA0LjM3IDQuMyAyOTQu&#10;NTcgNC4zNyAyODQuNzQgNC40MyAyNzQuOTEgNC40NyAyNjUuMDkgNC41OCAyNDUuMjMgNC43OSAy&#10;MjUuMzggNC45OSAyMDUuNTEgNC45OSAxOTUuNzUgNC45OSAxODUuOTkgNSAxNzYuMjMgNS4wMSAx&#10;NjUuODUgNS4wMiAxNTUuNDcgNC45OSAxNDUuMSA0Ljk2IDEzNS4xMyA0LjkzIDEyNS4xNyA0Ljg5&#10;IDExNS4yIDQuODcgMTA1LjMgNC44NSA5NS4zOSA0Ljg4IDg1LjQ5IDQuODcgNzUuMzUgNC44NSA2&#10;NS4yMSA0LjgzIDU1LjA3IDQuNzYgNDUuNTMgNC42OSAzNiA0LjY0IDI2LjQ2IDQuNDQgMjUuOSA0&#10;LjQzIDI1LjM0IDQuNDIgMjQuNzggNC40MSAyNC45OSA0LjQxIDI1LjIxIDQuNDEgMjUuNDIgNC40&#10;MiAyMC45NCA0LjMzIDE2LjQ2IDQuMjUgMTEuOTggNC4xMSA5LjczIDQuMDQgNy40NyAzLjk2IDUu&#10;MjIgMy44MiA0LjI0IDMuNzYgMy4yNCAzLjY5IDIuMjcgMy41NCAxLjU0IDMuNDMgMC43MiAzLjI5&#10;IDAuMjUgMi44Mi0wLjA5IDIuNDgtMC4xMSAxLjk1IDAuMjggMS42MiAwLjgxIDEuMTggMS41OSAx&#10;LjA3IDIuMzYgMC45OSAzLjQ4IDAuODggNC42MyAwLjg3IDUuNzYgMC44NSA3Ljk2IDAuOCAxMC4x&#10;NSAwLjc4IDEyLjM2IDAuNzcgMTcuMDcgMC43NCAyMS43OCAwLjc4IDI2LjQ5IDAuODEgMzYuMTEg&#10;MC44NyA0NS43MyAwLjc3IDU1LjM1IDAuNzMgNjUuMzUgMC42OSA3NS4zNCAwLjY3IDg1LjM0IDAu&#10;NjggOTUuMjMgMC42OCAxMDUuMTEgMC42MyAxMTUuMDEgMC42MiAxMzUuMzcgMC42IDE1NS43MyAw&#10;Ljc1IDE3Ni4xIDAuNzQgMTk1LjkxIDAuNzQgMjE1LjcyIDAuNjYgMjM1LjUzIDAuNTggMjU1LjIx&#10;IDAuNTEgMjc0Ljg5IDAuMiAyOTQuNTYgMC4wOCAzMTQuNDQtMC4wNCAzMzQuMzEgMC4wNCAzNTQu&#10;MTggMC4wOCAzNjUuOTQgMC4xMSAzNzcuNjkgMC4xOSAzODkuNDQgMC40MiAzODkuNTggMC40MiAz&#10;ODkuNzIgMC40MiAzODkuODYgMC40MiAzODkuODYgMC40MiAzODkuODUgMC40MiAzODkuODQgMC40&#10;MiAzODkuODQgMC40MiAzODkuODYgMC40MiAzODkuODYgMC40MiAzODkuOTcgMC40MiAzOTAuMDgg&#10;MC40MiAzOTAuMTkgMC40MiAzOTAuMzMgMC40MiAzOTAuNDYgMC40MiAzOTAuNTkgMC40MiAzOTAu&#10;NDcgMC40MiAzOTAuMzUgMC40MiAzOTAuMjMgMC40MiAzOTAuNDIgMC40MiAzOTAuNiAwLjQyIDM5&#10;MC43OSAwLjQzIDM5MC43NSAwLjQzIDM5MC43MSAwLjQzIDM5MC42NyAwLjQzIDM5MC43NyAwLjQz&#10;IDM5MC44OCAwLjQzIDM5MC45OCAwLjQzIDM5MS4xMyAwLjQzIDM5MS4yNyAwLjQzIDM5MS40MiAw&#10;LjQ0IDM5MS4zNSAwLjQ0IDM5MS4yOCAwLjQ0IDM5MS4yIDAuNDQgNDA0LjI0IDAuNyA0MTcuMjgg&#10;MS4xMSA0MzAuMzIgMS4zN0w0MzAuMDkgMS4zN0M0MzAuNzYgMS4zNyA0MzEuNDIgMS4zOSA0MzIu&#10;MDkgMS40IDQzMS44NCAxLjQgNDMxLjU5IDEuNCA0MzEuMzQgMS4zOSA0MzcuODQgMS41MSA0NDQu&#10;MzUgMS42NiA0NTAuODYgMS42NSA0NTMuNzcgMS42NSA0NTYuNjcgMS42MSA0NTkuNTggMS42IDQ2&#10;MC43NCAxLjYgNDYxLjkgMS42IDQ2My4wNiAxLjYxIDQ2My43NyAxLjYxIDQ2NC40OCAxLjYxIDQ2&#10;NS4xOSAxLjY0IDQ2NS43OCAxLjY2IDQ2Ni4zNiAxLjcxIDQ2Ni45NCAxLjc5WiIgZmlsbD0iIzAx&#10;MDEwMSIvPjxwYXRoIGQ9Ik00NjguMSAzLjI4QzQ2OC41MyAzLjM5IDQ2OC45MiAzLjU1IDQ2OS4z&#10;IDMuNzIgNDcwLjMxIDQuMTcgNDcxLjI4IDQuNjYgNDcyLjIzIDUuMTYgNDczLjg4IDYuMDMgNDc1&#10;LjQ4IDYuOTUgNDc3LjA3IDcuODggNDgwLjI3IDkuNzQgNDgzLjQxIDExLjY4IDQ4Ni41NiAxMy42&#10;IDQ4OS43MiAxNS41MyA0OTIuODcgMTcuNDYgNDk2LjA1IDE5LjM2IDQ5OS4yOCAyMS4yOCA1MDIu&#10;NTIgMjMuMTkgNTA1Ljc4IDI1LjA5IDUxMi4yNCAyOC44NSA1MTguNzMgMzIuNTkgNTI1LjI3IDM2&#10;LjI4IDUzMS45NSA0MC4wNSA1MzguNTYgNDMuOSA1NDUuMTEgNDcuOCA1NTEuNjIgNTEuNjggNTU4&#10;LjAzIDU1LjY2IDU2NC41IDU5LjU2IDU3MSA2My40OCA1NzcuNTcgNjcuMzMgNTg0LjA3IDcxLjI0&#10;IDU5MC40NSA3NS4wNyA1OTYuNzggNzguOTQgNjAzLjE1IDgyLjc4IDYwNS43MiA4NC4zMyA2MDgu&#10;MjcgODUuODggNjEwLjg2IDg3LjQgNjEyLjA2IDg4LjExIDYxMy4yNyA4OC44IDYxNC40NCA4OS41&#10;MiA2MTUuMDUgODkuODkgNjE1LjY0IDkwLjI4IDYxNi4yNSA5MC42NiA2MTYuNTUgOTAuODUgNjE2&#10;Ljg0IDkxLjA0IDYxNy4xNCA5MS4yMyA2MTcuNjcgOTEuNTYgNjE4LjE0IDkxLjk1IDYxOC41OCA5&#10;Mi4zNSA2MTkuNDIgOTMuMTIgNjE5LjI5IDk0LjM0IDYxOC41IDk1LjA4IDYxNy43MiA5NS44MyA2&#10;MTYuMTYgOTYuMiA2MTQuOTggOTUuNzUgNjE0LjMzIDk1LjQ5IDYxMy43MiA5NS4yMSA2MTMuMTQg&#10;OTQuODcgNjEyLjc1IDk0LjY0IDYxMi4zNSA5NC40MSA2MTEuOTYgOTQuMTkgNjExLjIxIDkzLjc2&#10;IDYxMC40OCA5My4zMyA2MDkuNzUgOTIuODkgNjA4LjI0IDkxLjk3IDYwNi43NiA5MS4wMyA2MDUu&#10;MjUgOTAuMTEgNjAyLjE0IDg4LjIyIDU5OSA4Ni4zNSA1OTUuODggODQuNDcgNTg5LjQyIDgwLjU3&#10;IDU4Mi45MyA3Ni43MSA1NzYuNDIgNzIuODYgNTY5Ljg5IDY4Ljk5IDU2My4zMiA2NS4xNyA1NTYu&#10;ODQgNjEuMjYgNTUwLjM0IDU3LjMzIDU0My45MiA1My4zMyA1MzcuNCA0OS40MiA1MzEuMDIgNDUu&#10;NTggNTI0LjU4IDQxLjggNTE4LjEgMzguMDYgNTExLjU3IDM0LjMgNTA1LjAxIDMwLjU2IDQ5OC41&#10;MiAyNi43NiA0OTIuMDYgMjIuOTcgNDg1LjY5IDE5LjA4IDQ3OS40MSAxNS4xMiA0NzYuNzUgMTMu&#10;NDQgNDc0LjExIDExLjc1IDQ3MS40NyAxMC4wNSA0NzAuMjUgOS4yNiA0NjkuMDMgOC40OSA0Njcu&#10;ODQgNy42OCA0NjcuMSA3LjE4IDQ2Ni4zNSA2LjY4IDQ2NS43MiA2LjEgNDY1LjMzIDUuNzUgNDY1&#10;LjAzIDUuMzMgNDY0Ljk1IDQuODcgNDY0LjkyIDQuNzEgNDY0LjkzIDQuNTUgNDY0Ljk1IDQuNCA0&#10;NjUuMDQgMy44NSA0NjUuNTUgMy40NyA0NjYuMTggMy4yMyA0NjYuNDYgMy4xMyA0NjYuNzYgMy4x&#10;IDQ2Ny4wNiAzLjExIDQ2Ny40MSAzLjEyIDQ2Ny43NiAzLjIgNDY4LjA4IDMuMjhaIiBmaWxsPSIj&#10;MDEwMTAxIi8+PHBhdGggZD0iTTE3MS45IDE4OC40OUMxNzIgMTg4LjQ5IDE3Mi4wOSAxODguNDkg&#10;MTcyLjE5IDE4OC40OSAxNzIuMDkgMTg4LjQ5IDE3MiAxODguNDkgMTcxLjkgMTg4LjQ5Wk0xNzAu&#10;MjIgMTg4LjQ2QzE3MC4wNyAxODguNDYgMTY5LjkyIDE4OC40NiAxNjkuNzggMTg4LjQ2IDE2OS44&#10;IDE4OC40NiAxNjkuODMgMTg4LjQ2IDE2OS44NSAxODguNDYgMTY5Ljk4IDE4OC40NiAxNzAuMTIg&#10;MTg4LjQ2IDE3MC4yNSAxODguNDYgMTcwLjI1IDE4OC40NiAxNzAuMjMgMTg4LjQ2IDE3MC4yMiAx&#10;ODguNDZaTTE3MS4zMyAxODguNDhDMTcxLjI0IDE4OC40OCAxNzEuMTUgMTg4LjQ4IDE3MS4wNSAx&#10;ODguNDggMTcxLjE0IDE4OC40OCAxNzEuMjMgMTg4LjQ4IDE3MS4zMyAxODguNDhaTTYxOS4xNiA5&#10;NS45MkM2MTkuMTYgOTUuOTIgNjE5LjE2IDk1Ljk1IDYxOS4xNiA5NS45NiA2MTkuMTYgOTUuOTUg&#10;NjE5LjE2IDk1Ljk0IDYxOS4xNiA5NS45MyA2MTkuMTYgOTUuOTMgNjE5LjE2IDk1LjkzIDYxOS4x&#10;NiA5NS45MlpNNjE3LjM3IDk0LjA4QzYxNy44NyA5NC4yMyA2MTguMzIgOTQuNDkgNjE4LjYzIDk0&#10;LjggNjE4Ljg4IDk1LjA1IDYxOS4wMiA5NS4zIDYxOS4xIDk1LjU3IDYxOS40MyA5Ni4xOSA2MTku&#10;MzEgOTcgNjE4Ljk2IDk3LjU5IDYxOC42MiA5OC4xNiA2MTguMDIgOTguNTYgNjE3LjM3IDk4Ljk1&#10;IDYxNy4wMiA5OS4xNiA2MTYuNjcgOTkuMzcgNjE2LjMxIDk5LjU4IDYxNS41NyAxMDAuMDIgNjE0&#10;LjgyIDEwMC40NSA2MTQuMDcgMTAwLjg5IDYxMi4xNCAxMDIuMDIgNjEwLjI5IDEwMy4yMSA2MDgu&#10;NDMgMTA0LjM4IDYwNS41MSAxMDYuMjIgNjAyLjU0IDEwOC4wMSA1OTkuNTIgMTA5Ljc2IDU5NS4z&#10;NiAxMTIuMTggNTkxLjE4IDExNC41OCA1ODcuMDUgMTE3LjAzIDU3OC41NCAxMjIuMDcgNTcwLjM4&#10;IDEyNy40MiA1NjIuMzkgMTMyLjg5IDU1Ny45NSAxMzUuOTQgNTUzLjUyIDEzOC45OSA1NDguOTcg&#10;MTQxLjk1IDU0NC40IDE0NC45MiA1MzkuNzYgMTQ3Ljg1IDUzNS4wOCAxNTAuNzMgNTMwLjU5IDE1&#10;My41IDUyNi4wOCAxNTYuMjQgNTIxLjU0IDE1OC45NyA1MTcuOSAxNjEuMTcgNTE0LjI3IDE2My4z&#10;OCA1MTAuNjIgMTY1LjU3IDUwMy4wNCAxNzAuMSA0OTUuNTEgMTc0LjY5IDQ4Ny44MSAxNzkuMTEg&#10;NDgzLjcgMTgxLjQ4IDQ3OS41OCAxODMuODQgNDc1LjI2IDE4NiA0NzIuOTkgMTg3LjE0IDQ3MC42&#10;IDE4OC4xNyA0NjguMTcgMTg5LjEzIDQ2Ni44MiAxODkuNjYgNDY1LjQxIDE5MC4xNSA0NjMuOTgg&#10;MTkwLjU2IDQ2MS43OSAxOTEuMTcgNDU5LjQ4IDE5MS40MyA0NTcuMTYgMTkxLjU2IDQ1NC41MyAx&#10;OTEuNzEgNDUxLjkgMTkxLjc3IDQ0OS4yNiAxOTEuODUgNDQ0LjU3IDE5MiA0MzkuODggMTkyLjA0&#10;IDQzNS4xOSAxOTIuMTIgNDI5LjY4IDE5Mi4yIDQyNC4xOCAxOTIuMzQgNDE4LjY3IDE5Mi41IDQw&#10;Ni44MiAxOTIuODQgMzk0Ljk4IDE5My4yMSAzODMuMTEgMTkzLjMzIDM3MC44OCAxOTMuNDYgMzU4&#10;LjY0IDE5My41NyAzNDYuNCAxOTMuNDUgMzM0LjEzIDE5My4zMyAzMjEuODcgMTkzLjA3IDMwOS42&#10;MSAxOTIuNzcgMjk3LjI3IDE5Mi40NiAyODQuOTMgMTkyLjE4IDI3Mi42IDE5MS43OSAyNjAuNTcg&#10;MTkxLjQxIDI0OC41NSAxOTAuOTMgMjM2LjUzIDE5MC40NSAyMjUuNzYgMTkwLjAyIDIxNC45NyAx&#10;ODkuNzIgMjA0LjE5IDE4OS4zOCAxOTMuNTIgMTg5LjA0IDE4Mi44NiAxODguNzMgMTcyLjE5IDE4&#10;OC41MSAxNzIuMzMgMTg4LjUxIDE3Mi40NyAxODguNTEgMTcyLjYgMTg4LjUxIDE3Mi4yNSAxODgu&#10;NTEgMTcxLjkgMTg4LjUgMTcxLjU1IDE4OC40OSAxNzEuMjkgMTg4LjQ5IDE3MS4wMyAxODguNDkg&#10;MTcwLjc3IDE4OC40OCAxNzAuODQgMTg4LjQ4IDE3MC45MiAxODguNDggMTcwLjk5IDE4OC40OCAx&#10;NzAuOSAxODguNDggMTcwLjggMTg4LjQ4IDE3MC43MSAxODguNDggMTcwLjQ4IDE4OC40OCAxNzAu&#10;MjUgMTg4LjQ4IDE3MC4wMyAxODguNDcgMTcwLjEgMTg4LjQ3IDE3MC4xNiAxODguNDcgMTcwLjIz&#10;IDE4OC40NyAxNzAuMjUgMTg4LjQ3IDE3MC4yNiAxODguNDcgMTcwLjI4IDE4OC40NyAxNzAuMjgg&#10;MTg4LjQ3IDE3MC4yNyAxODguNDcgMTcwLjI2IDE4OC40NyAxNzAuMjggMTg4LjQ3IDE3MC4yOSAx&#10;ODguNDcgMTcwLjMxIDE4OC40NyAxNzAuMzggMTg4LjQ3IDE3MC40NCAxODguNDcgMTcwLjUxIDE4&#10;OC40NyAxNzAuMjkgMTg4LjQ3IDE3MC4wOCAxODguNDcgMTY5Ljg2IDE4OC40NkwxNjkuNTQgMTg4&#10;LjQ2QzE2OS42MiAxODguNDYgMTY5LjcxIDE4OC40NiAxNjkuNzkgMTg4LjQ2IDE1Ny44NiAxODgu&#10;MjMgMTQ1LjkyIDE4OC4wOSAxMzMuOTggMTg4LjAzIDEyMS43NyAxODcuOTcgMTA5LjU2IDE4OC4w&#10;OCA5Ny4zNSAxODguNDYgODUuMTEgMTg4Ljg1IDcyLjg5IDE4OS41NCA2MC42NSAxODkuODEgNTQu&#10;NzIgMTg5Ljk0IDQ4Ljc4IDE5MCA0Mi44NSAxOTAuMTMgMzcuMTUgMTkwLjI1IDMxLjQzIDE5MC4z&#10;MiAyNS43MyAxOTAuNTEgMjIuNjIgMTkwLjYxIDE5LjUxIDE5MC43OCAxNi4zOSAxOTAuOTEgMTUu&#10;MyAxOTAuOTYgMTQuMiAxOTAuOTkgMTMuMTEgMTkwLjk0IDExLjk4IDE5MC44OCAxMC43NSAxOTAu&#10;MzIgMTAuOTEgMTg5LjM4IDExLjA0IDE4OC42NyAxMS44OCAxODguMjQgMTIuNjggMTg3Ljk0IDEz&#10;LjQ5IDE4Ny42NSAxNC4zNCAxODcuNDQgMTUuMjEgMTg3LjI4IDE3LjkxIDE4Ni43NiAyMC42OSAx&#10;ODYuNDUgMjMuNDYgMTg2LjIxIDI5LjE2IDE4NS43MSAzNC44OCAxODUuNTEgNDAuNjEgMTg1LjM0&#10;IDUyLjQ2IDE4NSA2NC4zIDE4NC42IDc2LjEyIDE4My45MSA4OC42MSAxODMuMTggMTAxLjA5IDE4&#10;Mi41IDExMy42MiAxODIuMzQgMTI1Ljc2IDE4Mi4xOCAxMzcuOSAxODIuMzQgMTUwLjA0IDE4Mi41&#10;NSAxNTYuMjUgMTgyLjY2IDE2Mi40NSAxODIuOCAxNjguNjYgMTgyLjk1IDE3NC42OCAxODMuMDkg&#10;MTgwLjcgMTgzLjIxIDE4Ni43MiAxODMuMzcgMTkyLjkzIDE4My41MyAxOTkuMTUgMTgzLjc0IDIw&#10;NS4zNiAxODMuOTQgMjExLjM3IDE4NC4xMyAyMTcuMzggMTg0LjI5IDIyMy4zOSAxODQuNDcgMjM1&#10;LjU0IDE4NC44MyAyNDcuNjggMTg1LjMzIDI1OS44MiAxODUuNzQgMjcyLjEgMTg2LjE2IDI4NC4z&#10;OCAxODYuNDcgMjk2LjY3IDE4Ni43NSAzMDcuMDkgMTg2Ljk4IDMxNy41MSAxODcuMjIgMzI3Ljky&#10;IDE4Ny40MyAzMjcuNTggMTg3LjQzIDMyNy4yNSAxODcuNDIgMzI2LjkxIDE4Ny40MSAzMjggMTg3&#10;LjQzIDMyOS4xIDE4Ny40NSAzMzAuMTkgMTg3LjQ3IDMyOS44NSAxODcuNDcgMzI5LjUxIDE4Ny40&#10;NiAzMjkuMTcgMTg3LjQ1IDMzNS4xOSAxODcuNTcgMzQxLjIyIDE4Ny42NyAzNDcuMjQgMTg3LjY5&#10;IDM1My4zNyAxODcuNzEgMzU5LjQ5IDE4Ny42NyAzNjUuNjEgMTg3LjYyIDM3Ny41NiAxODcuNTMg&#10;Mzg5LjUxIDE4Ny40OSA0MDEuNDUgMTg3LjI2IDQwNy41MSAxODcuMTQgNDEzLjU3IDE4Ni45NSA0&#10;MTkuNjIgMTg2Ljg0IDQyNS4xNCAxODYuNzQgNDMwLjY2IDE4Ni43IDQzNi4xOCAxODYuNTcgNDM4&#10;Ljc4IDE4Ni41IDQ0MS4zNyAxODYuNDIgNDQzLjk3IDE4Ni4zNSA0NDUuNzkgMTg2LjMgNDQ3LjYx&#10;IDE4Ni4yNiA0NDkuNDMgMTg2LjE4IDQ1MS45NCAxODYuMDcgNDU0LjQ1IDE4NS44OCA0NTYuOTQg&#10;MTg1LjY0IDQ1OC4yNyAxODUuNTEgNDU5LjYzIDE4NS40MSA0NjAuOTUgMTg1LjIyIDQ2MS43NCAx&#10;ODUuMDcgNDYyLjUyIDE4NC44OCA0NjMuMjkgMTg0LjY3IDQ2NC40NSAxODQuMzYgNDY1LjU0IDE4&#10;My45NSA0NjYuNjMgMTgzLjUyIDQ3MS4wMyAxODEuNzMgNDc1LjA4IDE3OS41NyA0NzkuMDYgMTc3&#10;LjMyIDQ4My4wMyAxNzUuMDggNDg2Ljk1IDE3Mi43OSA0OTAuODMgMTcwLjQ2IDQ5OC4yIDE2Ni4w&#10;MyA1MDUuNSAxNjEuNTIgNTEyLjc1IDE1Ni45OCA1MjEuNTQgMTUxLjQ4IDUzMC4zNCAxNDUuOTkg&#10;NTM5LjA3IDE0MC40MyA1NDguMyAxMzQuNTUgNTU3LjE2IDEyOC4zOCA1NjYuMjQgMTIyLjM4IDU3&#10;My44OCAxMTcuMzMgNTgxLjggMTEyLjUyIDU4OS44NiAxMDcuODMgNTkzLjU5IDEwNS42NiA1OTcu&#10;MyAxMDMuNDggNjAxLjA3IDEwMS4zNiA2MDMuMzIgMTAwLjA5IDYwNS42IDk4Ljg1IDYwNy44MiA5&#10;Ny41NCA2MDguOTIgOTYuODkgNjEwIDk2LjI0IDYxMS4wOSA5NS41OSA2MTEuNTcgOTUuMzEgNjEy&#10;LjA1IDk1LjAzIDYxMi41MyA5NC43NSA2MTIuNzQgOTQuNjMgNjEyLjk2IDk0LjUgNjEzLjE3IDk0&#10;LjM4IDYxMy44OSA5My45NSA2MTQuODcgOTMuNzUgNjE1LjgyIDkzLjc5IDYxNi4zNyA5My44MSA2&#10;MTYuOSA5My45MSA2MTcuMzggOTQuMVoiIGZpbGw9IiMwMTAxMDEiLz48cGF0aCBkPSJNOS41MiAx&#10;ODQuNDkgOS41NCAxODQuNTZDOS41NCAxODQuNTYgOS41NCAxODQuNTYgOS41NCAxODQuNTYgOS41&#10;OCAxODQuNzIgOS42MSAxODQuODcgOS42NSAxODUuMDMgOS42MSAxODQuODUgOS41NyAxODQuNjgg&#10;OS41MyAxODQuNVpNMy4xMyAxLjcxQzMuNDYgMS45NyAzLjYyIDIuMjYgMy43MSAyLjYxIDMuODMg&#10;My4wOSAzLjkyIDMuNTcgMy45OSA0LjA2IDQuMTQgNC45NiA0LjI1IDUuODYgNC4zNyA2Ljc2IDQu&#10;NjEgOC42IDQuODcgMTAuNDQgNS4xIDEyLjI5IDUuNTcgMTYgNS44OSAxOS43MSA2LjE4IDIzLjQz&#10;IDYuNDggMjcuMjcgNi44NCAzMS4xMSA3LjE0IDM0Ljk1IDcuNDQgMzguODYgNy42NCA0Mi43NyA3&#10;LjggNDYuNjggNy45NSA1MC41NiA3Ljk5IDU0LjQzIDguMDcgNTguMzEgOC4xNSA2Mi4yNyA4LjMy&#10;IDY2LjIyIDguNTYgNzAuMTcgOC43OSA3My45OSA5LjA3IDc3LjgyIDkuMzUgODEuNjUgOS42MyA4&#10;NS42MSA5Ljg3IDg5LjU3IDEwLjA2IDkzLjU0IDEwLjI0IDk3LjM2IDEwLjQxIDEwMS4xNyAxMC41&#10;NCAxMDQuOTkgMTAuNjcgMTA4Ljg0IDEwLjc2IDExMi42OCAxMC45MSAxMTYuNTMgMTEuMDYgMTIw&#10;LjU5IDExLjIxIDEyNC42NSAxMS4zNCAxMjguNzEgMTEuNDcgMTMyLjU5IDExLjY1IDEzNi40OCAx&#10;MS44IDE0MC4zNiAxMi4wNyAxNDcuODkgMTIuMDggMTU1LjQxIDEyLjQ0IDE2Mi45MyAxMi41MyAx&#10;NjQuODIgMTIuNjIgMTY2LjcxIDEyLjc0IDE2OC42IDEyLjg0IDE3MC4zNCAxMi45OSAxNzIuMDgg&#10;MTMuMTQgMTczLjgxIDEzLjM3IDE3Ni42NiAxMy41MyAxNzkuNTMgMTQuMSAxODIuMzYgMTQuMjEg&#10;MTgyLjkxIDE0LjMyIDE4My40NiAxNC40MyAxODQgMTQuNDkgMTg0LjIxIDE0LjU2IDE4NC40MyAx&#10;NC41NiAxODQuNjQgMTQuNTggMTg0Ljk1IDE0LjQ4IDE4NS4yNSAxNC4yOCAxODUuNTQgMTQuMTYg&#10;MTg1LjY3IDE0LjA0IDE4NS44IDEzLjkxIDE4NS45MyAxMy42IDE4Ni4xOCAxMy4yMyAxODYuMzUg&#10;MTIuOCAxODYuNDUgMTIuNiAxODYuNTEgMTIuMzggMTg2LjUzIDEyLjE3IDE4Ni41MyAxMS43NCAx&#10;ODYuNTMgMTEuMzMgMTg2LjQ3IDEwLjk0IDE4Ni4zMyAxMC4zMyAxODYuMSA5Ljk0IDE4NS43MSA5&#10;LjcxIDE4NS4yNSA5LjYyIDE4NS4wOCA5LjYgMTg0Ljg5IDkuNTcgMTg0LjcgOS40OCAxODQuMzUg&#10;OS4zOSAxODQuMDEgOS4zMyAxODMuNjYgOS4yNyAxODMuMjcgOS4yMSAxODIuODkgOS4xNiAxODIu&#10;NSA5LjAxIDE4MS4zMyA4Ljg2IDE4MC4xNSA4LjY5IDE3OC45OCA4LjIgMTc1LjU4IDguMTIgMTcy&#10;LjE1IDcuODMgMTY4Ljc0IDcuNjggMTY2Ljg1IDcuNSAxNjQuOTYgNy4zNyAxNjMuMDggNy4yNSAx&#10;NjEuMjQgNy4xOCAxNTkuNCA3LjExIDE1Ny41NiA2Ljk3IDE1My43NCA2Ljk5IDE0OS45MSA2Ljk0&#10;IDE0Ni4wOCA2Ljg5IDE0Mi4yNCA2LjcyIDEzOC40MSA2LjU3IDEzNC41NyA2LjQxIDEzMC42NiA2&#10;LjI5IDEyNi43NSA2LjE0IDEyMi44NCA1Ljk4IDExOC44OSA1Ljc5IDExNC45NCA1LjY3IDExMC45&#10;OCA1LjU1IDEwNy4xNCA1LjQ1IDEwMy4zIDUuMjYgOTkuNDYgNS4wNyA5NS41MyA0Ljg5IDkxLjYx&#10;IDQuNiA4Ny42OCA0LjMyIDgzLjgxIDMuOTQgNzkuOTUgMy41OSA3Ni4wOCAzLjIzIDcyLjEgMi45&#10;MSA2OC4xMSAyLjcgNjQuMTIgMi40OCA2MC4xOSAyLjQgNTYuMjcgMi4zMSA1Mi4zNCAyLjEyIDQ0&#10;LjY2IDEuNyAzNi45OCAxLjI0IDI5LjMxIDEuMDEgMjUuNTIgMC44MyAyMS43MiAwLjY4IDE3Ljkz&#10;IDAuNjEgMTYuMSAwLjU0IDE0LjI4IDAuNDkgMTIuNDUgMC40NCAxMC42IDAuMzkgOC43NSAwLjQ3&#10;IDYuOSAwLjUxIDUuOTkgMC41NiA1LjA5IDAuNjUgNC4xOSAwLjcgMy43MyAwLjc2IDMuMjcgMC44&#10;NCAyLjgxIDAuOTEgMi40NiAxLjA0IDIuMDkgMS4zNyAxLjgxIDEuNjIgMS42MSAyLjAyIDEuNDkg&#10;Mi40MSAxLjUxIDIuNjkgMS41MiAyLjk1IDEuNiAzLjE0IDEuNzVaIiBmaWxsPSIjMDEwMTAxIi8+&#10;PHBhdGggZD0iTTUzNy41MyAxNzIuMjRDNTM3LjUzIDE3Mi4yNCA1MzcuNTMgMTcyLjI0IDUzNy41&#10;MyAxNzIuMjQgNTM3LjUzIDE3Mi4yNCA1MzcuNTIgMTcyLjI0IDUzNy41MSAxNzIuMjUgNTM3LjUx&#10;IDE3Mi4yNSA1MzcuNTEgMTcyLjI1IDUzNy41MSAxNzIuMjUgNTM3LjUxIDE3Mi4yNSA1MzcuNTMg&#10;MTcyLjI0IDUzNy41MyAxNzIuMjNaTTU4MC4yMyAxMzYuMDJDNTgwLjExIDEzNi4wOSA1NzkuOTkg&#10;MTM2LjE3IDU3OS44NyAxMzYuMjUgNTc5Ljk5IDEzNi4xNyA1ODAuMSAxMzYuMSA1ODAuMjMgMTM2&#10;LjAyWk02MjcuNTUgMTEwLjQ5QzYyNy41MSAxMTAuNzkgNjI3LjQ2IDExMS4wOSA2MjcuNDIgMTEx&#10;LjQgNjI0LjE2IDExMy43OCA2MjAuNzkgMTE2LjA5IDYxNy40IDExOC4zOCA2MTMuOSAxMjAuNzUg&#10;NjEwLjM0IDEyMy4wNyA2MDYuODMgMTI1LjQzIDYwMy4yMSAxMjcuODYgNTk5LjU4IDEzMC4yOSA1&#10;OTUuOTQgMTMyLjcxIDU5MC4wNSAxMzYuNjIgNTg0LjE3IDE0MC41MyA1NzguMTcgMTQ0LjM1IDU3&#10;OC40IDE0NC4yIDU3OC42NCAxNDQuMDUgNTc4Ljg3IDE0My45IDU3NS44MyAxNDUuODQgNTcyLjc0&#10;IDE0Ny43NSA1NjkuNjcgMTQ5LjY4IDU2OS45IDE0OS41NCA1NzAuMTIgMTQ5LjM5IDU3MC4zNCAx&#10;NDkuMjUgNTcwLjAzIDE0OS40NSA1NjkuNzMgMTQ5LjY0IDU2OS40MiAxNDkuODQgNTY5LjQzIDE0&#10;OS44NCA1NjkuNDQgMTQ5LjgzIDU2OS40NSAxNDkuODIgNTYyLjA1IDE1NC41NCA1NTUuMzUgMTU5&#10;Ljc4IDU0OC40NSAxNjQuODggNTQ1LjE3IDE2Ny4zMSA1NDEuNyAxNjkuNTkgNTM4LjE5IDE3MS44&#10;MyA1MzguMjYgMTcxLjc5IDUzOC4zMiAxNzEuNzUgNTM4LjM4IDE3MS43MSA1MzguMiAxNzEuODIg&#10;NTM4LjAxIDE3MS45NCA1MzcuODMgMTcyLjA2IDUzNy44MyAxNzIuMDYgNTM3LjgzIDE3Mi4wNiA1&#10;MzcuODMgMTcyLjA2IDUzNy44MyAxNzIuMDYgNTM3LjgyIDE3Mi4wNiA1MzcuODEgMTcyLjA3IDUz&#10;Ny44MSAxNzIuMDcgNTM3Ljc5IDE3Mi4wOCA1MzcuNzggMTcyLjA5IDUzNy43OCAxNzIuMDkgNTM3&#10;Ljc4IDE3Mi4wOSA1MzcuNzggMTcyLjA5IDUzNy43NyAxNzIuMDkgNTM3Ljc2IDE3Mi4xIDUzNy43&#10;NSAxNzIuMTEgNTM3LjczIDE3Mi4xMyA1MzcuNyAxNzIuMTQgNTM3LjY4IDE3Mi4xNiA1MzcuNjYg&#10;MTcyLjE4IDUzNy42MyAxNzIuMTkgNTM3LjYxIDE3Mi4yMSA1MzcuNjMgMTcyLjIgNTM3LjY1IDE3&#10;Mi4xOCA1MzcuNjggMTcyLjE3IDUzNy42NSAxNzIuMTkgNTM3LjYxIDE3Mi4yMSA1MzcuNTggMTcy&#10;LjIzIDUzNy41OCAxNzIuMjMgNTM3LjU5IDE3Mi4yMyA1MzcuNiAxNzIuMjIgNTM3LjQ1IDE3Mi4z&#10;MSA1MzcuMzEgMTcyLjQxIDUzNy4xNiAxNzIuNSA1MzcuMjcgMTcyLjQzIDUzNy4zNyAxNzIuMzYg&#10;NTM3LjQ4IDE3Mi4yOSA1MzcuNDggMTcyLjI5IDUzNy40OCAxNzIuMjkgNTM3LjQ4IDE3Mi4yOSA1&#10;MzcuNDggMTcyLjI5IDUzNy40OCAxNzIuMjkgNTM3LjQ4IDE3Mi4yOUw1MzcuNSAxNzIuMjlDNTM3&#10;LjUgMTcyLjI5IDUzNy41IDE3Mi4yOSA1MzcuNSAxNzIuMjkgNTM3LjUgMTcyLjI5IDUzNy41IDE3&#10;Mi4yOSA1MzcuNDkgMTcyLjI5IDUzNy40OSAxNzIuMjkgNTM3LjQ5IDE3Mi4yOSA1MzcuNDkgMTcy&#10;LjI5IDUzNy40OSAxNzIuMjkgNTM3LjQ5IDE3Mi4yOSA1MzcuNDkgMTcyLjI5IDUyOS44OCAxNzcu&#10;MTYgNTIyLjA5IDE4MS44NiA1MTQuMTcgMTg2LjQ2IDUxMC4zNCAxODguNjggNTA2LjQ2IDE5MC44&#10;NSA1MDIuNTggMTkzLjAzIDQ5OC44NCAxOTUuMTQgNDk1LjA1IDE5Ny4yMSA0OTEuMjQgMTk5LjI2&#10;IDQ4OC41OSAyMDAuNjkgNDg1LjkyIDIwMi4xIDQ4My4yOCAyMDMuNTUgNDgyLjAxIDIwNC4yNSA0&#10;ODAuNzQgMjA0Ljk2IDQ3OS40OCAyMDUuNjYgNDc4LjkzIDIwNS45NyA0NzguMzcgMjA2LjI4IDQ3&#10;Ny44MiAyMDYuNTkgNDc2Ljk1IDIwNy4wOCA0NzYuMTMgMjA3LjYyIDQ3NS4wNiAyMDcuODUgNDcz&#10;Ljc0IDIwOC4xMyA0NzIuMzYgMjA3Ljk4IDQ3MS4zMSAyMDcuMyA0NzAuMDkgMjA2LjUxIDQ2OS41&#10;OCAyMDUuMDMgNDcwLjQ0IDIwMy45NiA0NzAuNjggMjAzLjY2IDQ3MC45IDIwMy4zNSA0NzEuMjUg&#10;MjAzLjExIDQ3MS41NyAyMDIuOSA0NzEuOSAyMDIuNjggNDcyLjI0IDIwMi40OCA0NzIuNDUgMjAy&#10;LjM2IDQ3Mi42NiAyMDIuMjQgNDcyLjg2IDIwMi4xMyA0NzMuMjMgMjAxLjkyIDQ3My42IDIwMS43&#10;MSA0NzMuOTggMjAxLjUgNDc0LjgxIDIwMS4wNCA0NzUuNjQgMjAwLjU4IDQ3Ni40NyAyMDAuMTMg&#10;NDc4LjMxIDE5OS4xMiA0ODAuMTUgMTk4LjEyIDQ4MS45OSAxOTcuMTEgNDg1Ljc5IDE5NS4wMyA0&#10;ODkuNjIgMTkyLjk3IDQ5My40OCAxOTAuOTQgNDk3LjQyIDE4OC44NiA1MDEuMjkgMTg2LjczIDUw&#10;NS4xNiAxODQuNTggNTA4Ljk5IDE4Mi40NSA1MTIuODQgMTgwLjM1IDUxNi42NyAxNzguMjIgNTE5&#10;Ljg0IDE3Ni40NiA1MjIuOTQgMTc0LjY0IDUyNi4wMiAxNzIuOCA1MjguODYgMTcxLjExIDUzMS42&#10;OSAxNjkuNDEgNTM0LjQ2IDE2Ny42NyA1MzguMDMgMTY1LjM4IDU0MS40OCAxNjIuOTggNTQ0Ljg2&#10;IDE2MC41NCA1NDguMzQgMTU4LjAzIDU1MS43MyAxNTUuNDUgNTU1LjIgMTUyLjk0IDU1OC4xOCAx&#10;NTAuNzcgNTYxLjE3IDE0OC42MSA1NjQuMjMgMTQ2LjUgNTY3LjQzIDE0NC4yOCA1NzAuNyAxNDIu&#10;MTIgNTc0LjAxIDE0MEw1NzQuMDEgMTQwQzU3NC4wMSAxNDAgNTc0LjAxIDE0MCA1NzQuMDEgMTQw&#10;IDU3NC4wOCAxMzkuOTYgNTc0LjE1IDEzOS45MSA1NzQuMjEgMTM5Ljg3IDU3NC4yMSAxMzkuODcg&#10;NTc0LjE5IDEzOS44OCA1NzQuMTggMTM5Ljg5IDU3NC4yMiAxMzkuODYgNTc0LjI3IDEzOS44MyA1&#10;NzQuMzEgMTM5LjgxIDU3NC4yOSAxMzkuODIgNTc0LjI3IDEzOS44NCA1NzQuMjUgMTM5Ljg1IDU3&#10;NC4zIDEzOS44MSA1NzQuMzYgMTM5Ljc4IDU3NC40MSAxMzkuNzQgNTc0LjU1IDEzOS42NSA1NzQu&#10;NyAxMzkuNTYgNTc0Ljg0IDEzOS40NyA1NzQuODIgMTM5LjQ4IDU3NC44IDEzOS40OSA1NzQuNzkg&#10;MTM5LjUgNTc2LjE2IDEzOC42MyA1NzcuNTQgMTM3Ljc2IDU3OC45MSAxMzYuODkgNTc4Ljk0IDEz&#10;Ni44NyA1NzguOTYgMTM2Ljg2IDU3OC45OSAxMzYuODQgNTc4Ljk2IDEzNi44NiA1NzguOTQgMTM2&#10;Ljg3IDU3OC45MSAxMzYuODkgNTc5LjA1IDEzNi44IDU3OS4yIDEzNi43MSA1NzkuMzQgMTM2LjYy&#10;IDU3OS40MSAxMzYuNTggNTc5LjQ3IDEzNi41MyA1NzkuNTQgMTM2LjQ5TDU3OS41MyAxMzYuNDlD&#10;NTgzLjMgMTM0LjA4IDU4NyAxMzEuNjEgNTkwLjY5IDEyOS4xMyA1OTQuMjcgMTI2LjczIDU5Ny44&#10;IDEyNC4yOCA2MDEuMzggMTIxLjg3IDYwNC45OCAxMTkuNDUgNjA4LjYyIDExNy4wNiA2MTIuMzEg&#10;MTE0LjcgNjEyLjU0IDExNC41NSA2MTIuNzcgMTE0LjQxIDYxMyAxMTQuMjYgNjE3LjU0IDExMS4z&#10;NiA2MjIuMzEgMTA4LjY2IDYyNi44OCAxMDUuNzggNjI2LjkyIDEwNS43NiA2MjYuOTUgMTA1Ljcz&#10;IDYyNi45OSAxMDUuNzEgNjI2Ljk5IDEwNS43MSA2MjYuOTggMTA1LjcxIDYyNi45NyAxMDUuNzIg&#10;NjI2Ljk3IDEwNS43MiA2MjYuOTggMTA1LjcyIDYyNi45OSAxMDUuNzEgNjI3LjM1IDEwNS40OCA2&#10;MjcuNyAxMDUuMjUgNjI4LjA2IDEwNS4wMiA2MjcuOTIgMTA2Ljg1IDYyNy44IDEwOC42OSA2Mjcu&#10;NTUgMTEwLjUxWiIgZmlsbD0iIzAxMDEwMSIvPjxwYXRoIGQ9Ik00NzQuMTggMjA1LjQ1QzQ3NC45&#10;OCAyMDUuOTUgNDc1LjQ4IDIwNi42NyA0NzUuNTcgMjA3LjQzIDQ3NS42NyAyMDguMjIgNDc1LjMy&#10;IDIwOS4wMiA0NzQuNjEgMjA5LjYyIDQ3NC4zNSAyMDkuNzkgNDc0LjEgMjA5Ljk2IDQ3My44NCAy&#10;MTAuMTMgNDczLjI1IDIxMC40MyA0NzIuNiAyMTAuNiA0NzEuOSAyMTAuNjQgNDcxLjM3IDIxMC43&#10;MiA0NzAuOCAyMTAuNzIgNDcwLjI2IDIxMC43NCA0NjkuNjUgMjEwLjc3IDQ2OS4wMyAyMTAuNzkg&#10;NDY4LjQyIDIxMC44MiA0NjcgMjEwLjg3IDQ2NS41OCAyMTAuOSA0NjQuMTYgMjEwLjkzIDQ2MC4y&#10;MyAyMTEuMDIgNDU2LjMgMjExLjA0IDQ1Mi4zNyAyMTEuMDYgNDQzLjg1IDIxMS4wOSA0MzUuMzMg&#10;MjExLjEzIDQyNi44IDIxMS4wNyA0MTMuMjMgMjEwLjk4IDM5OS42OSAyMTAuMzkgMzg2LjE1IDIw&#10;OS43OSAzODEuMzQgMjA5LjU4IDM3Ni41MyAyMDkuMzcgMzcxLjcyIDIwOS4xOCAzNjkuOTggMjA5&#10;LjExIDM2OC4yNSAyMDkuMDUgMzY2LjUxIDIwOC45OSAzNDguNjQgMjA4LjQgMzMwLjc1IDIwOC4x&#10;NyAzMTIuODggMjA3LjYxIDMwMC4wNCAyMDcuMjEgMjg3LjIxIDIwNi42IDI3NC4zOCAyMDYuMTUg&#10;Mjc0Ljc3IDIwNi4xNiAyNzUuMTYgMjA2LjE4IDI3NS41NSAyMDYuMTkgMjY2LjEzIDIwNS44NyAy&#10;NTYuNzEgMjA1LjU4IDI0Ny4yOCAyMDUuNCAyMzguMzMgMjA1LjIzIDIyOS4zNyAyMDUuMTUgMjIw&#10;LjQxIDIwNS4wNSAyMTEuNDkgMjA0Ljk2IDIwMi41NyAyMDQuOSAxOTMuNjYgMjA1LjA2IDE4NC40&#10;IDIwNS4yMyAxNzUuMTQgMjA1LjU1IDE2NS44OCAyMDUuODkgMTU2LjY5IDIwNi4yMyAxNDcuNTEg&#10;MjA2LjYzIDEzOC4zMSAyMDYuODcgMTI5LjM1IDIwNy4xIDEyMC4zOSAyMDcuMjIgMTExLjQzIDIw&#10;Ny4zNCAxMDIuMDkgMjA3LjQ3IDkyLjc1IDIwNy41MyA4My40IDIwNy42NiA3OC44IDIwNy43MiA3&#10;NC4yIDIwNy43OSA2OS42IDIwNy44NCA2NS4wNiAyMDcuODkgNjAuNTIgMjA3Ljg4IDU1Ljk4IDIw&#10;Ny45IDQ4Ljg5IDIwNy45MyA0MS44IDIwOC4wNSAzNC43MiAyMDguMDEgMzEuMjYgMjA3Ljk5IDI3&#10;Ljc4IDIwNy45NyAyNC4zNSAyMDcuNjIgMjMuMjEgMjA3LjUgMjIuMDUgMjA3LjMzIDIwLjk4IDIw&#10;Ny4wMSAyMC4zNyAyMDYuODIgMTkuODUgMjA2LjU2IDE5LjQzIDIwNi4xOSAxOC43MyAyMDUuNTcg&#10;MTguNzQgMjA0LjQ0IDE5Ljc4IDIwMy45OSAyMC43MyAyMDMuNTggMjEuODUgMjAzLjcxIDIyLjkg&#10;MjAzLjcxIDI0LjcxIDIwMy43MiAyNi41MiAyMDMuNjkgMjguMzQgMjAzLjY1IDMwLjM5IDIwMy42&#10;IDMyLjQ1IDIwMy41IDM0LjUgMjAzLjQxIDM2LjY5IDIwMy4zMiAzOC45IDIwMy4yMyA0MS4wOSAy&#10;MDMuMTUgNDkuOTggMjAyLjgyIDU4Ljg3IDIwMi40NyA2Ny43NiAyMDIuMjQgODYuMDYgMjAxLjc1&#10;IDEwNC4zNiAyMDEuNDEgMTIyLjY3IDIwMSAxMjcuMjYgMjAwLjkgMTMxLjg1IDIwMC43OSAxMzYu&#10;NDQgMjAwLjY2IDE0MC45MSAyMDAuNTMgMTQ1LjM3IDIwMC4zMyAxNDkuODQgMjAwLjE1IDE1OS4y&#10;MyAxOTkuNzYgMTY4LjYzIDE5OS4zMSAxNzguMDMgMTk5LjAyIDE4Ny4wMyAxOTguNzQgMTk2LjA0&#10;IDE5OC41NCAyMDUuMDUgMTk4LjU3IDIxMy45OCAxOTguNiAyMjIuOTEgMTk4LjczIDIzMS44MyAx&#10;OTguODQgMjUwLjgyIDE5OS4wNiAyNjkuOCAxOTkuNjYgMjg4Ljc3IDIwMC4zNyAyOTQuMDEgMjAw&#10;LjU3IDI5OS4yNCAyMDAuNzYgMzA0LjQ4IDIwMC45NCAzMDQuMTkgMjAwLjkzIDMwMy45IDIwMC45&#10;MiAzMDMuNjEgMjAwLjkxIDMwNC40IDIwMC45NCAzMDUuMTkgMjAwLjk2IDMwNS45OCAyMDAuOTkg&#10;MzIzLjk3IDIwMS41OSAzNDEuOTggMjAxLjgxIDM1OS45OCAyMDIuMzQgMzY4LjA5IDIwMi41OCAz&#10;NzYuMiAyMDIuODkgMzg0LjMxIDIwMy4yNSAzOTEuODMgMjAzLjU4IDM5OS4zNSAyMDMuOTQgNDA2&#10;Ljg3IDIwNC4yMSA0MTUuMzMgMjA0LjQ5IDQyMy44IDIwNC42NyA0MzIuMjcgMjA0Ljc5IDQ0MC44&#10;MSAyMDQuOTIgNDQ5LjM2IDIwNS4wNyA0NTcuOTEgMjA1IDQ2MC41MyAyMDQuOTggNDYzLjE2IDIw&#10;NC45NiA0NjUuNzggMjA0LjkxIDQ2Ni43NiAyMDQuODkgNDY3LjczIDIwNC44NiA0NjguNyAyMDQu&#10;ODMgNDY5LjExIDIwNC44MiA0NjkuNTEgMjA0LjgxIDQ2OS45MiAyMDQuNzkgNDcwLjEzIDIwNC43&#10;OSA0NzAuMzQgMjA0Ljc3IDQ3MC41NSAyMDQuNzYgNDcxLjAxIDIwNC43MyA0NzEuNDYgMjA0Ljc2&#10;IDQ3MS45MiAyMDQuNzcgNDcyLjAzIDIwNC43NyA0NzIuMTQgMjA0Ljc3IDQ3Mi4yNSAyMDQuNzgg&#10;NDcyLjk3IDIwNC44OCA0NzMuNiAyMDUuMSA0NzQuMTYgMjA1LjQ1WiIgZmlsbD0iIzAxMDEwMSIv&#10;PjxwYXRoIGQ9Ik00NjQuNTQgMTg1Ljc0QzQ2NS4yMiAxODYuNDkgNDY1LjcxIDE4Ny4zMyA0NjYu&#10;MTkgMTg4LjE1IDQ2Ni45NyAxODkuNDYgNDY3LjY4IDE5MC44IDQ2OC4zNSAxOTIuMTUgNDY5LjY1&#10;IDE5NC43NyA0NzAuOTMgMTk3LjQgNDcyLjE3IDIwMC4wMyA0NzIuNzYgMjAxLjI4IDQ3My4yOCAy&#10;MDIuNTMgNDczLjc3IDIwMy44IDQ3NCAyMDQuMzkgNDc0LjI1IDIwNC45NyA0NzQuNDkgMjA1LjU2&#10;IDQ3NC42OCAyMDYuMDMgNDc0Ljg2IDIwNi41MSA0NzQuOTkgMjA2Ljk5IDQ3NS4xMSAyMDcuNDgg&#10;NDc1LjA4IDIwNy45OCA0NzQuOTcgMjA4LjQ3IDQ3NC43NSAyMDkuMzYgNDczLjg0IDIxMC4xMiA0&#10;NzIuNjUgMjEwLjQyIDQ3Mi4wNCAyMTAuNTggNDcxLjQxIDIxMC42MSA0NzAuNzcgMjEwLjUzIDQ3&#10;MC40NyAyMTAuNDYgNDcwLjE2IDIxMC4zOSA0NjkuODUgMjEwLjMyIDQ2OS4yOCAyMTAuMTIgNDY4&#10;LjgxIDIwOS44NCA0NjguNDUgMjA5LjQ3IDQ2Ny42IDIwOC43NyA0NjcuMjUgMjA3Ljg0IDQ2Ni44&#10;NiAyMDYuOTggNDY2LjUxIDIwNi4yMiA0NjYuMTEgMjA1LjQ3IDQ2NS43MSAyMDQuNzIgNDY0Ljk2&#10;IDIwMy4zMyA0NjQuMyAyMDEuOTEgNDYzLjYxIDIwMC41MSA0NjIuOTYgMTk5LjE5IDQ2Mi4zMiAx&#10;OTcuODggNDYxLjc1IDE5Ni41NCA0NjEuMTYgMTk1LjE1IDQ2MC42MyAxOTMuNzUgNDYwLjExIDE5&#10;Mi4zNSA0NTkuNyAxOTEuMjcgNDU5LjMzIDE5MC4xOSA0NTguOTUgMTg5LjExIDQ1OC40MSAxODcu&#10;NTYgNDU3LjM3IDE4NC45OSA0NjAuMjMgMTg0LjIxIDQ2MC42MiAxODQuMTEgNDYwLjk5IDE4NC4w&#10;NyA0NjEuMzUgMTg0LjA4IDQ2Mi43MSAxODQuMTMgNDYzLjg0IDE4NC45NSA0NjQuNTcgMTg1Ljc2&#10;WiIgZmlsbD0iIzAxMDEwMSIvPjxwYXRoIGQ9Ik0xMi41MiAxODMuMDFDMTMuNTMgMTgzLjEgMTQu&#10;MjggMTgzLjY5IDE0Ljg4IDE4NC4yMSAxNS4zNSAxODQuNjMgMTUuNjcgMTg1LjEyIDE1LjkzIDE4&#10;NS42MiAxNi4zIDE4Ni4zMiAxNi41NyAxODcuMDcgMTYuODEgMTg3LjggMTcuMjggMTg5LjIgMTcu&#10;ODYgMTkwLjU4IDE4LjU2IDE5MS45MyAxOS41OCAxOTMuOTEgMjAuNjUgMTk1Ljg4IDIxLjY0IDE5&#10;Ny44NyAyMi4zNyAxOTkuMzMgMjMuMDcgMjAwLjgxIDIzLjc3IDIwMi4yOCAyMy45MiAyMDIuNiAy&#10;NC4wNyAyMDIuOTMgMjQuMjMgMjAzLjI2IDI0LjMgMjAzLjQxIDI0LjM3IDIwMy41NSAyNC40NSAy&#10;MDMuNyAyNC42MSAyMDQuMDQgMjQuODYgMjA0LjQ1IDI0Ljg0IDIwNC43OSAyNC44OSAyMDUuMjEg&#10;MjQuNzggMjA1LjYgMjQuNTQgMjA1Ljk4IDI0LjI5IDIwNi4zNCAyMy45NCAyMDYuNjMgMjMuNDgg&#10;MjA2Ljg2IDIzLjAyIDIwNy4wOCAyMi41MSAyMDcuMjEgMjEuOTUgMjA3LjI1IDIxLjE3IDIwNy4z&#10;IDIwLjE2IDIwNy4xMyAxOS42IDIwNi43MSAxOS4wOCAyMDYuMzIgMTguOTQgMjA2LjIgMTguNjMg&#10;MjA1LjcyIDE4LjU5IDIwNS42NiAxOC41NiAyMDUuNjEgMTguNTMgMjA1LjU2IDE4LjQ5IDIwNS41&#10;IDE4LjQ1IDIwNS40MyAxOC40MSAyMDUuMzYgMTguMzMgMjA1LjIzIDE4LjI2IDIwNS4xIDE4LjE5&#10;IDIwNC45NiAxOC4wMyAyMDQuNjcgMTcuODcgMjA0LjM5IDE3LjcyIDIwNC4xIDE3LjM2IDIwMy40&#10;MyAxNy4wNSAyMDIuNzQgMTYuNzIgMjAyLjA1IDE1LjkyIDIwMC4zNiAxNS4xMyAxOTguNjcgMTQu&#10;MjQgMTk3IDEzLjY3IDE5NS45NSAxMy4wNiAxOTQuOTEgMTIuNDkgMTkzLjg3IDEyLjA2IDE5My4w&#10;NyAxMS42MyAxOTIuMjggMTEuMTcgMTkxLjQ4IDEwLjgzIDE5MC44OSAxMC41MSAxOTAuMyAxMC4x&#10;OCAxODkuNzEgOS43IDE4OC44NSA5LjM2IDE4Ny45NCA5LjEyIDE4Ny4wMyA4LjY5IDE4NS4zOSA5&#10;LjIzIDE4Mi44NyAxMi4yNyAxODIuOTkgMTIuMzUgMTgyLjk5IDEyLjQzIDE4Mi45OSAxMi41MiAx&#10;ODMuMDFaIiBmaWxsPSIjMDEwMTAxIi8+PHBhdGggZD0iTTYxNy41OCA5Mi4zM0M2MTguMDcgOTIu&#10;MzUgNjE4LjU1IDkyLjU4IDYxOC45NCA5Mi43OCA2MTkuMzEgOTIuOTYgNjE5LjYgOTMuMjEgNjE5&#10;LjkgOTMuNDUgNjIwLjM2IDkzLjgxIDYyMC43MiA5NC4yMyA2MjEuMDcgOTQuNjUgNjIxLjk0IDk1&#10;LjczIDYyMi42NCA5Ni44NyA2MjMuMzQgOTggNjI0LjQ4IDk5Ljg1IDYyNS41MiAxMDEuNzMgNjI2&#10;LjU4IDEwMy42IDYyNy4xIDEwNC41MyA2MjcuNjEgMTA1LjQ2IDYyOC4xMSAxMDYuNCA2MjguNzMg&#10;MTA3LjU0IDYyOS4zNiAxMDguNyA2MjkuNzkgMTA5Ljg5IDYzMCAxMTAuNSA2MzAuMjIgMTExLjEy&#10;IDYzMC4zIDExMS43NSA2MzAuMzcgMTEyLjMgNjMwLjMzIDExMi44NiA2MzAuMjIgMTEzLjQxIDYy&#10;OS45OSAxMTQuNDYgNjI5LjMyIDExNS4zOSA2MjguNDIgMTE2LjIyIDYyNy42IDExNi45OCA2MjYu&#10;NTYgMTE3LjY1IDYyNS41NSAxMTguMjggNjI0LjM4IDExOS4wMSA2MjMuMTUgMTE5LjY5IDYyMS45&#10;MiAxMjAuMzggNjIwLjY5IDEyMS4wNiA2MTkuNDcgMTIxLjc0IDYxOC4yMiAxMjIuNCA2MTYuOSAx&#10;MjMuMDkgNjE1LjU2IDEyMy43NiA2MTQuMjMgMTI0LjQ0IDYxMS41OCAxMjUuNzkgNjA4LjkxIDEy&#10;Ny4xMiA2MDYuMjMgMTI4LjQ1IDYwMy40NCAxMjkuODIgNjAwLjczIDEzMS4yNiA1OTguMSAxMzIu&#10;NzggNTk2LjU5IDEzMy42NSA1OTUuMDcgMTM0LjUyIDU5My41IDEzNS4zMyA1OTEuNzggMTM2LjIz&#10;IDU5MC4wNyAxMzcuMTIgNTg4LjQyIDEzOC4wOCA1ODcuNyAxMzguNSA1ODYuNTQgMTM4LjMgNTg2&#10;LjAzIDEzNy43OSA1ODUuNzcgMTM3LjUyIDU4NS42NiAxMzcuMTkgNTg1Ljc0IDEzNi44OCA1ODUu&#10;ODIgMTM2LjU0IDU4Ni4wOCAxMzYuMzEgNTg2LjQ0IDEzNi4wOSA1ODcuNTQgMTM1LjQyIDU4OC42&#10;MyAxMzQuNzUgNTg5LjcgMTM0LjA1IDU4OS42NyAxMzQuMDcgNTg5LjYzIDEzNC4wOSA1ODkuNiAx&#10;MzQuMTIgNTkyLjI2IDEzMi4zOSA1OTUuMDQgMTMwLjc1IDU5Ny43OCAxMjkuMDkgNjAwLjMxIDEy&#10;Ny41NiA2MDIuOTYgMTI2LjE0IDYwNS42IDEyNC43IDYwNi44OSAxMjQgNjA4LjIxIDEyMy4zMSA2&#10;MDkuNSAxMjIuNjEgNjEwLjg0IDEyMS44OCA2MTIuMTYgMTIxLjEyIDYxMy40NyAxMjAuMzYgNjE0&#10;LjcyIDExOS42NCA2MTUuOTggMTE4LjkyIDYxNy4yNyAxMTguMjMgNjE4LjU2IDExNy41NCA2MTku&#10;ODcgMTE2Ljg5IDYyMS4xOCAxMTYuMjIgNjIxLjg0IDExNS44OCA2MjIuNDggMTE1LjU0IDYyMy4w&#10;OSAxMTUuMTYgNjIzLjQ3IDExNC45IDYyMy44MiAxMTQuNjIgNjI0LjEzIDExNC4zMSA2MjQuMzQg&#10;MTE0LjA1IDYyNC41MiAxMTMuNzkgNjI0LjY3IDExMy41MSA2MjQuNzQgMTEzLjMxIDYyNC44IDEx&#10;My4xIDYyNC44MyAxMTIuOSA2MjQuODIgMTEyLjY4IDYyNC43OCAxMTIuNDUgNjI0LjcyIDExMi4y&#10;MyA2MjQuNTYgMTExLjgzIDYyNC4zNiAxMTEuNDUgNjI0LjE2IDExMS4wNiA2MjMuODcgMTEwLjUx&#10;IDYyMy42IDEwOS45NSA2MjMuMzIgMTA5LjM5IDYyMi43OSAxMDguMzMgNjIyLjI4IDEwNy4yNyA2&#10;MjEuNzMgMTA2LjIyIDYyMC43MiAxMDQuMjkgNjE5LjcgMTAyLjM2IDYxOC41NSAxMDAuNDcgNjE4&#10;LjI1IDk5Ljk3IDYxNy45NCA5OS40OCA2MTcuNjIgOTguOTkgNjE3LjIzIDk4LjM5IDYxNi44MSA5&#10;Ny43OSA2MTYuNDIgOTcuMTkgNjE2LjA1IDk2LjYyIDYxNS42NiA5Ni4wNCA2MTUuNDEgOTUuNDQg&#10;NjE1LjEyIDk0LjczIDYxNC44NyA5My44NyA2MTUuMzQgOTMuMTcgNjE1LjQ5IDkyLjk0IDYxNS43&#10;MiA5Mi43NSA2MTYuMDIgOTIuNTkgNjE2LjE4IDkyLjUzIDYxNi4zMyA5Mi40OCA2MTYuNDkgOTIu&#10;NDIgNjE2Ljc2IDkyLjM1IDYxNy4wNCA5Mi4zMiA2MTcuMzMgOTIuMzMgNjE3LjQxIDkyLjMzIDYx&#10;Ny40OSA5Mi4zMyA2MTcuNTcgOTIuMzVaIiBmaWxsPSIjMDEwMTAxIi8+PHBhdGggZD0iTTI2LjY1&#10;IDE4OS4yNUMyNi43MSAxODkuMzQgMjYuNzMgMTg5LjQ1IDI2Ljc1IDE4OS41NCAyNi43OSAxODku&#10;NzIgMjYuODMgMTg5LjkgMjYuODggMTkwLjA3IDI3LjAxIDE5MC41MiAyNy4xNCAxOTAuOTggMjcu&#10;MjggMTkxLjQ0IDI3LjU4IDE5Mi40MiAyNy45MSAxOTMuNCAyOC4yNSAxOTQuMzggMjguMjMgMTk0&#10;LjMzIDI4LjIxIDE5NC4yNyAyOC4xOSAxOTQuMjIgMjguNyAxOTUuNjIgMjkuMjUgMTk3LjAxIDI5&#10;LjgzIDE5OC40IDMwLjM3IDE5OS43MyAzMC45NCAyMDEuMDYgMzEuNDIgMjAyLjQgMzEuNzYgMjAz&#10;LjMzIDMyLjAyIDIwNC4yNiAzMi4yOSAyMDUuMTkgMzIuMzggMjA1LjQ5IDMxLjk1IDIwNS43OSAz&#10;MS40NyAyMDUuODkgMzEuMTYgMjA1Ljk1IDMwLjgyIDIwNS45NCAzMC41MyAyMDUuODUgMzAuMjcg&#10;MjA1Ljc3IDMwIDIwNS42MiAyOS45MyAyMDUuNDYgMjkuNjMgMjA0Ljc1IDI5LjI5IDIwNC4wNSAy&#10;OS4wMSAyMDMuMzQgMjguNzQgMjAyLjY2IDI4LjQ4IDIwMS45NyAyOC4yMiAyMDEuMjggMjcuNjgg&#10;MTk5Ljg0IDI3LjE4IDE5OC40IDI2LjczIDE5Ni45NSAyNi4xMSAxOTQuOTYgMjUuNiAxOTIuOTYg&#10;MjQuOTEgMTkwLjk3IDI0LjkxIDE5MC45NyAyNC45MSAxOTAuOTggMjQuOTEgMTkwLjk5IDI0Ljc5&#10;IDE5MC42NyAyNC42OCAxOTAuMzQgMjQuNDkgMTkwLjAzIDI0LjQ0IDE4OS45NCAyNC4zNiAxODku&#10;ODUgMjQuMjkgMTg5Ljc1IDI0LjIgMTg5LjYyIDI0LjE1IDE4OS40NSAyNC4yMiAxODkuMzEgMjQu&#10;MzcgMTg4Ljk5IDI0Ljc1IDE4OC43OCAyNS4zNCAxODguNzQgMjUuNDEgMTg4Ljc0IDI1LjQ3IDE4&#10;OC43NCAyNS41MyAxODguNzQgMjYuMDUgMTg4Ljc2IDI2LjQ1IDE4OC45OSAyNi42NCAxODkuMjZa&#10;IiBmaWxsPSIjMDEwMTAxIi8+PHBhdGggZD0iTTM4LjkyIDE5Ni4yOUMzOC45MiAxOTYuMjkgMzgu&#10;OTIgMTk2LjMgMzguOTIgMTk2LjMxIDM4LjkgMTk2LjI2IDM4Ljg4IDE5Ni4yMSAzOC44NiAxOTYu&#10;MTVMMzguOTEgMTk2LjI5Wk0zOC4zIDE4OC44M0MzOC42NiAxODguOTEgMzguOTQgMTg5LjExIDM5&#10;LjE1IDE4OS4yOSAzOS4zNiAxODkuNDggMzkuNTEgMTg5LjcgMzkuNjYgMTg5LjkgMzkuOSAxOTAu&#10;MjMgNDAuMTIgMTkwLjU2IDQwLjMyIDE5MC44OSA0MC43NCAxOTEuNiA0MS4xMyAxOTIuMzEgNDEu&#10;NDkgMTkzLjAyIDQyLjE5IDE5NC40MSA0Mi43OCAxOTUuODEgNDMuMzMgMTk3LjIyIDQzLjU4IDE5&#10;Ny44NSA0My44MiAxOTguNDkgNDQuMDUgMTk5LjEzIDQ0LjAyIDE5OS4wMyA0My45OCAxOTguOTQg&#10;NDMuOTUgMTk4Ljg0IDQ0LjAyIDE5OS4wNSA0NC4xIDE5OS4yNiA0NC4xNyAxOTkuNDcgNDQuMTQg&#10;MTk5LjM3IDQ0LjEgMTk5LjI4IDQ0LjA3IDE5OS4xOCA0NC40NiAyMDAuMjUgNDQuODIgMjAxLjMz&#10;IDQ1LjEyIDIwMi40MiA0NS4xNCAyMDIuNjEgNDUuMDggMjAyLjc5IDQ0LjkzIDIwMi45NiA0NC43&#10;MiAyMDMuMiA0NC4zNCAyMDMuMzkgNDMuODggMjAzLjQ3IDQyLjk4IDIwMy42NCA0MS44MyAyMDMu&#10;MzcgNDEuNTUgMjAyLjgyIDQwLjUgMjAwLjcxIDM5Ljc0IDE5OC41NiAzOC45NyAxOTYuNDEgMzgu&#10;OTggMTk2LjQ0IDM4Ljk5IDE5Ni40NyAzOSAxOTYuNTEgMzguOTcgMTk2LjQ0IDM4Ljk1IDE5Ni4z&#10;NyAzOC45MyAxOTYuM0wzOC45MyAxOTYuMzNDMzguOTMgMTk2LjMzIDM4LjkzIDE5Ni4zIDM4Ljkz&#10;IDE5Ni4yOCAzOC45IDE5Ni4yIDM4Ljg4IDE5Ni4xMiAzOC44NSAxOTYuMDQgMzguODYgMTk2LjA3&#10;IDM4Ljg3IDE5Ni4xMSAzOC44OCAxOTYuMTQgMzguODIgMTk1Ljk3IDM4Ljc2IDE5NS44IDM4Ljcg&#10;MTk1LjY0IDM4LjcyIDE5NS42OSAzOC43NCAxOTUuNzQgMzguNzYgMTk1LjggMzguMzYgMTk0Ljcy&#10;IDM3Ljk2IDE5My42NCAzNy41MyAxOTIuNTYgMzcuMzIgMTkyLjA0IDM3LjEyIDE5MS41MyAzNi45&#10;MiAxOTEuMDEgMzYuNzkgMTkwLjY5IDM2LjY4IDE5MC4zNyAzNi41NiAxOTAuMDUgMzYuNDUgMTg5&#10;Ljc0IDM2LjQxIDE4OS40NCAzNi42NCAxODkuMTMgMzYuNzYgMTg4Ljk3IDM3LjA2IDE4OC44NCAz&#10;Ny4zNSAxODguNzggMzcuNSAxODguNzUgMzcuNjUgMTg4Ljc0IDM3Ljc5IDE4OC43NSAzNy45NiAx&#10;ODguNzUgMzguMTMgMTg4Ljc4IDM4LjMxIDE4OC44MloiIGZpbGw9IiMwMTAxMDEiLz48cGF0aCBk&#10;PSJNNTYuNTUgMTg4LjUxQzU2Ljg3IDE4OC42NCA1Ny4wMiAxODguOSA1Ny4xNCAxODkuMDkgNTcu&#10;MjYgMTg5LjI5IDU3LjM2IDE4OS40OCA1Ny40NiAxODkuNjggNTcuNjUgMTkwLjA5IDU3Ljg0IDE5&#10;MC41IDU4LjAyIDE5MC45MSA1OC40IDE5MS43NiA1OC43NiAxOTIuNjIgNTkuMSAxOTMuNDggNTku&#10;NzggMTk1LjIyIDYwLjQxIDE5Ni45NiA2MS4wNSAxOTguNyA2MS4wOCAxOTguNzkgNjEuMTEgMTk4&#10;Ljg4IDYxLjE1IDE5OC45NyA2MS4xMyAxOTguOTIgNjEuMTIgMTk4Ljg3IDYxLjEgMTk4LjgyIDYx&#10;LjM1IDE5OS41MiA2MS42IDIwMC4yMiA2MS44MSAyMDAuOTIgNjIgMjAxLjU1IDYxLjg3IDIwMi4x&#10;OCA2MS45MSAyMDIuODIgNjEuOTMgMjAzLjIyIDYxLjU0IDIwMy41OSA2MC44NiAyMDMuNzIgNjAu&#10;MDMgMjAzLjg4IDU5LjE5IDIwMy42MiA1OC44OCAyMDMuMTcgNTguNTkgMjAyLjc1IDU4LjI1IDIw&#10;Mi4zNSA1Ny45NCAyMDEuOTMgNTcuOCAyMDEuNzQgNTcuNzMgMjAxLjUzIDU3LjY1IDIwMS4zMiA1&#10;Ny41MyAyMDEuMDMgNTcuNDMgMjAwLjczIDU3LjMyIDIwMC40MyA1Ny4wMSAxOTkuNTUgNTYuNzQg&#10;MTk4LjY4IDU2LjQ4IDE5Ny44IDU1Ljk2IDE5Ni4wNiA1NS41IDE5NC4zMiA1NS4wNSAxOTIuNTgg&#10;NTQuODggMTkxLjkzIDU0LjcxIDE5MS4yOCA1NC41NiAxOTAuNjIgNTQuNDkgMTkwLjMxIDU0LjQy&#10;IDE4OS45OSA1NC4zOSAxODkuNjggNTQuMzUgMTg5LjMxIDU0LjI5IDE4OC44NyA1NC43NyAxODgu&#10;NTcgNTQuOTkgMTg4LjQzIDU1LjMxIDE4OC4zNCA1NS42NCAxODguMzMgNTUuNjkgMTg4LjMzIDU1&#10;Ljc1IDE4OC4zMyA1NS43OSAxODguMzMgNTYuMDkgMTg4LjMzIDU2LjMyIDE4OC40MSA1Ni41OCAx&#10;ODguNTFaIiBmaWxsPSIjMDEwMTAxIi8+PHBhdGggZD0iTTcxLjU3IDE4Ny41N0M3Mi4yOCAxODcu&#10;NzggNzIuNDcgMTg4LjI5IDcyLjY3IDE4OC42OSA3Mi44NSAxODkuMDUgNzIuOTkgMTg5LjQxIDcz&#10;LjEzIDE4OS43OCA3My40NiAxOTAuNjIgNzMuNzcgMTkxLjQ2IDc0LjA3IDE5Mi4zMSA3NC42OSAx&#10;OTQuMDQgNzUuMjggMTk1Ljc4IDc1LjggMTk3LjUyIDc2LjE0IDE5OC42NCA3Ni40MiAxOTkuNzcg&#10;NzYuNjggMjAwLjkgNzYuODEgMjAxLjQ3IDc2Ljk0IDIwMi4wNCA3Ny4wNCAyMDIuNjEgNzcuMDkg&#10;MjAyLjg4IDc3LjEzIDIwMy4xNSA3Ny4xNSAyMDMuNDIgNzcuMTkgMjAzLjgxIDc3LjEgMjA0LjIg&#10;NzcuMDUgMjA0LjU5IDc2Ljk4IDIwNC43OCA3Ni44MyAyMDQuOTUgNzYuNiAyMDUuMSA3Ni4yNyAy&#10;MDUuMzEgNzUuOCAyMDUuNDQgNzUuMyAyMDUuNDYgNzQuNDMgMjA1LjUgNzMuNjQgMjA1LjE5IDcz&#10;LjM1IDIwNC43MyA3My4yMiAyMDQuNTMgNzMuMDkgMjA0LjMyIDcyLjk3IDIwNC4xMiA3Mi44MSAy&#10;MDMuODQgNzIuNzQgMjAzLjU0IDcyLjY0IDIwMy4yNCA3Mi41MSAyMDIuODYgNzIuNCAyMDIuNDcg&#10;NzIuMyAyMDIuMDggNzIuMDggMjAxLjI0IDcxLjg3IDIwMC4zOSA3MS42OCAxOTkuNTUgNzEuMyAx&#10;OTcuOSA3MC45NyAxOTYuMjQgNzAuNjcgMTk0LjU5IDcwLjQ2IDE5My40IDcwLjIzIDE5Mi4yMSA3&#10;MC4wMyAxOTEuMDIgNjkuOTQgMTkwLjQ4IDY5Ljg0IDE4OS45NCA2OS44IDE4OS40IDY5Ljc4IDE4&#10;OS4xMyA2OS43NyAxODguODYgNjkuNzggMTg4LjU5IDY5LjggMTg4LjIzIDY5Ljg4IDE4Ny44MyA3&#10;MC40NiAxODcuNjEgNzAuNjYgMTg3LjUzIDcwLjg5IDE4Ny41IDcxLjEyIDE4Ny41MSA3MS4yNyAx&#10;ODcuNTEgNzEuNDEgMTg3LjU0IDcxLjU1IDE4Ny41N1oiIGZpbGw9IiMwMTAxMDEiLz48cGF0aCBk&#10;PSJNODkuNzggMTg4LjM4Qzg5LjgzIDE4OC40NCA4OS44OCAxODguNSA4OS45MiAxODguNTUgOTAu&#10;MDcgMTg4Ljc1IDkwLjE4IDE4OC45NSA5MC4yOSAxODkuMTYgOTAuNTYgMTg5LjY4IDkwLjcxIDE5&#10;MC4yMSA5MC44OCAxOTAuNzQgOTEuMTggMTkxLjY3IDkxLjQyIDE5Mi42MSA5MS42NyAxOTMuNTQg&#10;OTIuMTcgMTk1LjQgOTIuNjIgMTk3LjI4IDkzLjAzIDE5OS4xNSA5My4xOCAxOTkuODEgOTMuMzEg&#10;MjAwLjQ4IDkzLjQ1IDIwMS4xNCA5My41OCAyMDEuODMgOTMuNzQgMjAyLjUzIDkzLjc2IDIwMy4y&#10;MyA5My43OCAyMDMuNzcgOTMuMjYgMjA0LjI3IDkyLjMyIDIwNC40NiA5MS43OCAyMDQuNTYgOTEu&#10;MTggMjA0LjU0IDkwLjY3IDIwNC4zOSA5MC4yMiAyMDQuMjYgODkuNzQgMjA0IDg5LjYyIDIwMy43&#10;IDg5LjIgMjAyLjcxIDg5IDIwMS42OSA4OC43OCAyMDAuNjcgODguNTggMTk5LjczIDg4LjQxIDE5&#10;OC43OCA4OC4yNCAxOTcuODQgODcuOTEgMTk1Ljk2IDg3LjY2IDE5NC4wOSA4Ny40NCAxOTIuMjEg&#10;ODcuMzYgMTkxLjUyIDg3LjI4IDE5MC44NCA4Ny4yNCAxOTAuMTUgODcuMjIgMTg5LjgxIDg3LjIy&#10;IDE4OS40NiA4Ny4yNSAxODkuMTIgODcuMjggMTg4Ljg2IDg3LjMyIDE4OC42NCA4Ny40OCAxODgu&#10;MzkgODcuNDMgMTg4LjA0IDg3Ljk2IDE4Ny43MyA4OC41NSAxODcuNzEgODguNiAxODcuNzEgODgu&#10;NjQgMTg3LjcxIDg4LjY5IDE4Ny43MSA4OS4zIDE4Ny43MyA4OS44MiAxODguMDMgODkuNzkgMTg4&#10;LjM4WiIgZmlsbD0iIzAxMDEwMSIvPjxwYXRoIGQ9Ik0xMDMuODcgMTg3LjM1QzEwNC40MyAxODcu&#10;NTEgMTA0LjYxIDE4Ny44OSAxMDQuNzUgMTg4LjIxIDEwNC44OCAxODguNTEgMTA1IDE4OC44IDEw&#10;NS4xMyAxODkuMSAxMDUuMzkgMTg5LjczIDEwNS42MyAxOTAuMzYgMTA1Ljg4IDE5MC45OSAxMDYu&#10;MzggMTkyLjI1IDEwNi44NyAxOTMuNTIgMTA3LjM1IDE5NC43OSAxMDcuNDkgMTk1LjE3IDEwNy42&#10;MyAxOTUuNTYgMTA3Ljc3IDE5NS45NCAxMDcuODIgMTk2LjA2IDEwNy44NSAxOTYuMTggMTA3Ljkg&#10;MTk2LjMgMTA3Ljg3IDE5Ni4yMiAxMDcuODUgMTk2LjE1IDEwNy44MiAxOTYuMDcgMTA3LjgyIDE5&#10;Ni4wNyAxMDcuODIgMTk2LjA3IDEwNy44MiAxOTYuMDcgMTA4LjY0IDE5OC4zNSAxMDkuMzkgMjAw&#10;LjY1IDEwOS42OCAyMDIuOTggMTA5LjczIDIwMy4zNiAxMDkuMzEgMjAzLjcxIDEwOC42OCAyMDMu&#10;ODMgMTA3LjkzIDIwMy45OCAxMDcuMDUgMjAzLjc0IDEwNi44IDIwMy4zMSAxMDYuMDYgMjAyLjAy&#10;IDEwNS42IDIwMC42OSAxMDUuMTUgMTk5LjM3IDEwNC44MiAxOTguNDEgMTA0LjUyIDE5Ny40NCAx&#10;MDQuMjQgMTk2LjQ3IDEwNC4yMSAxOTYuNDEgMTA0LjE5IDE5Ni4zNCAxMDQuMTggMTk2LjI4IDEw&#10;NC4xMSAxOTYuMDMgMTA0LjAzIDE5NS43OCAxMDMuOTYgMTk1LjUyIDEwMy42IDE5NC4yMyAxMDMu&#10;MjYgMTkyLjk1IDEwMi45MyAxOTEuNjYgMTAyLjc3IDE5MS4wMiAxMDIuNiAxOTAuMzggMTAyLjQ0&#10;IDE4OS43NCAxMDIuMzcgMTg5LjQ0IDEwMi4zMSAxODkuMTMgMTAyLjI2IDE4OC44MiAxMDIuMjQg&#10;MTg4LjY4IDEwMi4yMiAxODguNTQgMTAyLjIyIDE4OC40IDEwMi4yMiAxODguMjIgMTAyLjIxIDE4&#10;OC4wNCAxMDIuMjkgMTg3Ljg3IDEwMi4zOSAxODcuNjcgMTAyLjUxIDE4Ny41MSAxMDIuODMgMTg3&#10;LjM4IDEwMy4wMSAxODcuMzEgMTAzLjI0IDE4Ny4yOCAxMDMuNDYgMTg3LjI4IDEwMy42MSAxODcu&#10;MjggMTAzLjc1IDE4Ny4zMSAxMDMuODggMTg3LjM0WiIgZmlsbD0iIzAxMDEwMSIvPjxwYXRoIGQ9&#10;Ik0xMjIuMjIgMTg3LjM1QzEyMi45OSAxODcuNDggMTIzLjE1IDE4Ny45OCAxMjMuMjcgMTg4LjM3&#10;IDEyMy4zNyAxODguNzEgMTIzLjQ0IDE4OS4wNSAxMjMuNDkgMTg5LjQgMTIzLjYgMTkwLjEzIDEy&#10;My42OCAxOTAuODYgMTIzLjc2IDE5MS41OSAxMjMuOTMgMTkzLjA2IDEyNC4xMiAxOTQuNTQgMTI0&#10;LjM3IDE5Ni4wMSAxMjQuNTMgMTk2Ljk1IDEyNC43MSAxOTcuODkgMTI0Ljg5IDE5OC44MyAxMjUu&#10;MDcgMTk5LjgxIDEyNS4yNSAyMDAuNzggMTI1LjI4IDIwMS43NiAxMjUuMyAyMDIuMjUgMTI0Ljg0&#10;IDIwMi42OSAxMjQgMjAyLjg1IDEyMy41MiAyMDIuOTQgMTIyLjk5IDIwMi45MiAxMjIuNTMgMjAy&#10;Ljc5IDEyMi4xMyAyMDIuNjggMTIxLjY5IDIwMi40NCAxMjEuNTkgMjAyLjE4IDEyMS4yNiAyMDEu&#10;MzUgMTIxLjA2IDIwMC41MSAxMjAuOSAxOTkuNjcgMTIwLjc2IDE5OC45NSAxMjAuNjQgMTk4LjIz&#10;IDEyMC41NiAxOTcuNSAxMjAuMzkgMTk2LjAzIDEyMC4yOSAxOTQuNTYgMTIwLjMyIDE5My4wOSAx&#10;MjAuMzQgMTkyLjAzIDEyMC40MSAxOTAuOTcgMTIwLjU1IDE4OS45MiAxMjAuNjEgMTg5LjQ3IDEy&#10;MC43IDE4OS4wMiAxMjAuODEgMTg4LjU3IDEyMC44NyAxODguMzIgMTIwLjk2IDE4OC4wNyAxMjEu&#10;MTIgMTg3LjgzIDEyMS4xOSAxODcuNzIgMTIxLjI4IDE4Ny42MSAxMjEuNDIgMTg3LjUzIDEyMS41&#10;OSAxODcuNDMgMTIxLjg0IDE4Ny4zMyAxMjIuMSAxODcuMzQgMTIyLjE0IDE4Ny4zNCAxMjIuMTgg&#10;MTg3LjM0IDEyMi4yMiAxODcuMzVaIiBmaWxsPSIjMDEwMTAxIi8+PHBhdGggZD0iTTEzNC4zMyAx&#10;ODcuNjhDMTM0Ljk1IDE4Ny43NiAxMzUuMjIgMTg4LjE2IDEzNS4zNyAxODguNDcgMTM1LjU5IDE4&#10;OC45IDEzNS43IDE4OS4zNSAxMzUuODIgMTg5Ljc5IDEzNi4wNCAxOTAuNTUgMTM2LjE5IDE5MS4z&#10;MSAxMzYuMzIgMTkyLjA3IDEzNi42IDE5My42NiAxMzYuNzkgMTk1LjI1IDEzNyAxOTYuODQgMTM3&#10;LjIgMTk4LjM1IDEzNy40MSAxOTkuODcgMTM3LjU5IDIwMS4zOSAxMzcuNjggMjAyLjE2IDEzNy43&#10;NCAyMDIuOTIgMTM3LjgyIDIwMy42OSAxMzcuOTEgMjA0LjUyIDEzOC4wMiAyMDUuMzUgMTM4LjE2&#10;IDIwNi4xOCAxMzguMjYgMjA2Ljc3IDEzNy40IDIwNy4zIDEzNi4zOCAyMDcuMzQgMTM1LjMyIDIw&#10;Ny4zOCAxMzQuNDQgMjA2LjkyIDEzNC4zNCAyMDYuMzMgMTM0LjA2IDIwNC43MiAxMzMuNzMgMjAz&#10;LjExIDEzMy41MyAyMDEuNSAxMzMuMzMgMTk5LjkzIDEzMy4zMSAxOTguMzUgMTMzLjI3IDE5Ni43&#10;OCAxMzMuMjMgMTk1LjIxIDEzMy4yIDE5My42NCAxMzMuMTMgMTkyLjA4IDEzMy4wOSAxOTEuMzEg&#10;MTMzLjA1IDE5MC41NCAxMzMgMTg5Ljc3IDEzMi45OCAxODkuMzQgMTMyLjk1IDE4OC45MSAxMzMu&#10;MDIgMTg4LjQ5IDEzMy4wNyAxODguMTcgMTMzLjQ5IDE4Ny42NiAxMzQuMTcgMTg3LjY4IDEzNC4y&#10;MiAxODcuNjggMTM0LjI2IDE4Ny42OCAxMzQuMzEgMTg3LjY5WiIgZmlsbD0iIzAxMDEwMSIvPjxw&#10;YXRoIGQ9Ik0xNTAuMzUgMTg3LjQ4QzE1MC42NyAxODcuNjMgMTUwLjg0IDE4Ny44NiAxNTAuOTYg&#10;MTg4LjA4IDE1MS4xIDE4OC4zMiAxNTEuMTcgMTg4LjU3IDE1MS4yNCAxODguODIgMTUxLjM1IDE4&#10;OS4yMiAxNTEuNDIgMTg5LjYxIDE1MS40OSAxOTAuMDIgMTUxLjYyIDE5MC44MSAxNTEuNyAxOTEu&#10;NiAxNTEuNzggMTkyLjM4IDE1MS45NCAxOTQuMDEgMTUyLjAyIDE5NS42NSAxNTIuMDkgMTk3LjI5&#10;IDE1Mi4xNCAxOTguMzUgMTUyLjE5IDE5OS40MSAxNTIuMTggMjAwLjQ3IDE1Mi4xNyAyMDEuNTgg&#10;MTUyLjEzIDIwMi42OCAxNTIuMiAyMDMuNzkgMTUyLjI0IDIwNC4zOSAxNTEuNDggMjA0LjkzIDE1&#10;MC4zOSAyMDQuOTcgMTQ5LjM1IDIwNS4wMSAxNDguMzcgMjA0LjU1IDE0OC4zMSAyMDMuOTUgMTQ4&#10;LjE2IDIwMi4zIDE0Ny45IDIwMC42NiAxNDcuODggMTk5LjAxIDE0Ny44NSAxOTcuMzcgMTQ3Ljkg&#10;MTk1Ljc0IDE0Ny45MiAxOTQuMTEgMTQ3Ljk0IDE5My4wNSAxNDcuOTUgMTkxLjk4IDE0Ny45NyAx&#10;OTAuOTIgMTQ3Ljk4IDE5MC40MiAxNDcuOTkgMTg5LjkyIDE0OC4wMSAxODkuNDIgMTQ4LjAzIDE4&#10;OS4wOCAxNDguMDMgMTg4Ljc1IDE0OC4xIDE4OC40MSAxNDguMTIgMTg4LjMgMTQ4LjE1IDE4OC4x&#10;OSAxNDguMiAxODguMDggMTQ4LjI4IDE4Ny45IDE0OC40IDE4Ny42OCAxNDguNjUgMTg3LjU0IDE0&#10;OC44OSAxODcuNDIgMTQ5LjEzIDE4Ny4zMyAxNDkuNDYgMTg3LjMxIDE0OS41MSAxODcuMzEgMTQ5&#10;LjU2IDE4Ny4zMSAxNDkuNiAxODcuMzEgMTQ5Ljg4IDE4Ny4zMSAxNTAuMTMgMTg3LjM4IDE1MC4z&#10;NCAxODcuNDhaIiBmaWxsPSIjMDEwMTAxIi8+PHBhdGggZD0iTTE2Ni42OSAxODcuMjRDMTY3LjEx&#10;IDE4Ny40NSAxNjcuMTkgMTg3LjczIDE2Ny4yOCAxODguMDMgMTY3LjM0IDE4OC4yMiAxNjcuMzYg&#10;MTg4LjQyIDE2Ny4zOSAxODguNjIgMTY3LjQ0IDE4OS4wMyAxNjcuNDcgMTg5LjQzIDE2Ny41IDE4&#10;OS44MyAxNjcuNTYgMTkwLjYzIDE2Ny41OSAxOTEuNDIgMTY3LjYzIDE5Mi4yMiAxNjcuNzEgMTkz&#10;LjgxIDE2Ny44MSAxOTUuMzkgMTY3Ljg1IDE5Ni45NyAxNjcuODcgMTk3LjcgMTY3Ljg3IDE5OC40&#10;MiAxNjcuODEgMTk5LjE1IDE2Ny43NSAxOTkuOTIgMTY3LjY2IDIwMC42OCAxNjcuNjUgMjAxLjQ1&#10;IDE2Ny42NSAyMDEuNzUgMTY3LjUzIDIwMi4wMiAxNjcuMTcgMjAyLjI2IDE2Ni44NCAyMDIuNDcg&#10;MTY2LjM2IDIwMi42IDE2NS44NyAyMDIuNjIgMTY0Ljg0IDIwMi42NiAxNjMuODUgMjAyLjIgMTYz&#10;LjgxIDIwMS42IDE2My43NSAyMDAuNzYgMTYzLjYzIDE5OS45MiAxNjMuNTMgMTk5LjA4IDE2My40&#10;NSAxOTguMzIgMTYzLjQ1IDE5Ny41NiAxNjMuNDcgMTk2LjgxIDE2My41MSAxOTUuMTggMTYzLjYx&#10;IDE5My41NSAxNjMuNzEgMTkxLjkxIDE2My43NiAxOTEuMDkgMTYzLjg0IDE5MC4yNyAxNjMuOTUg&#10;MTg5LjQ1IDE2NCAxODkuMDkgMTY0LjA2IDE4OC43NCAxNjQuMTQgMTg4LjM4IDE2NC4xOSAxODgu&#10;MiAxNjQuMjUgMTg4LjAzIDE2NC4zNCAxODcuODYgMTY0LjQ1IDE4Ny42NSAxNjQuNTQgMTg3LjUz&#10;IDE2NC43NiAxODcuMzYgMTY0LjkzIDE4Ny4yMyAxNjUuMTUgMTg3LjE2IDE2NS40MSAxODcuMDkg&#10;MTY1LjU1IDE4Ny4wNSAxNjUuNzEgMTg3LjA0IDE2NS44NiAxODcuMDUgMTY2LjE2IDE4Ny4wNSAx&#10;NjYuNDYgMTg3LjEzIDE2Ni42NyAxODcuMjRaIiBmaWxsPSIjMDEwMTAxIi8+PHBhdGggZD0iTTE4&#10;Mi40IDE4Ny4wOEMxODIuNjIgMTg3LjExIDE4Mi43OCAxODcuMTcgMTgyLjkgMTg3LjI2IDE4My4w&#10;NyAxODcuMzYgMTgzLjE4IDE4Ny40OSAxODMuMjYgMTg3LjYzIDE4My4zMyAxODcuNzQgMTgzLjM1&#10;IDE4Ny44NyAxODMuMzkgMTg3Ljk4IDE4My40MyAxODguMDkgMTgzLjQ2IDE4OC4xOSAxODMuNDgg&#10;MTg4LjMgMTgzLjU3IDE4OC43IDE4My42MiAxODkuMSAxODMuNjYgMTg5LjUgMTgzLjc0IDE5MC4y&#10;OSAxODMuNzYgMTkxLjA5IDE4My43NyAxOTEuODkgMTgzLjggMTkzLjU4IDE4My44MiAxOTUuMjgg&#10;MTgzLjg1IDE5Ni45NyAxODMuODggMTk4LjI2IDE4My44MSAxOTkuNTUgMTgzLjg1IDIwMC44NCAx&#10;ODMuODUgMjAxLjEyIDE4My43MyAyMDEuMzcgMTgzLjQgMjAxLjU4IDE4My4wOSAyMDEuNzggMTgy&#10;LjY2IDIwMS45IDE4Mi4yIDIwMS45MSAxODEuMjYgMjAxLjk1IDE4MC4zNCAyMDEuNTIgMTgwLjMx&#10;IDIwMC45OCAxODAuMjYgMjAwLjEzIDE4MC4xOSAxOTkuMjcgMTgwLjE2IDE5OC40MiAxODAuMTMg&#10;MTk3LjYxIDE4MC4xNiAxOTYuNzkgMTgwLjIgMTk1Ljk3IDE4MC4yOCAxOTQuMzIgMTgwLjQgMTky&#10;LjY4IDE4MC41NiAxOTEuMDMgMTgwLjYzIDE5MC4zMiAxODAuNzEgMTg5LjYxIDE4MC44MSAxODgu&#10;OSAxODAuODYgMTg4LjYgMTgwLjkxIDE4OC4yOSAxODEgMTg4IDE4MS4wOCAxODcuNzQgMTgxLjE5&#10;IDE4Ny40NCAxODEuNTQgMTg3LjI2IDE4MS41NCAxODcuMjYgMTgxLjU0IDE4Ny4yNiAxODEuNTQg&#10;MTg3LjI2IDE4MS43MSAxODcuMTQgMTgyIDE4Ny4wOCAxODIuMjcgMTg3LjA5IDE4Mi4zMSAxODcu&#10;MDkgMTgyLjM1IDE4Ny4wOSAxODIuMzkgMTg3LjA5WiIgZmlsbD0iIzAxMDEwMSIvPjxwYXRoIGQ9&#10;Ik0xOTAuNjggMTg4LjNDMTkwLjY4IDE4OC4zIDE5MC42OCAxODguMyAxOTAuNjkgMTg4LjMgMTkw&#10;LjcgMTg4LjMgMTkwLjcyIDE4OC4zIDE5MC43MyAxODguM0wxOTAuNjggMTg4LjNaTTE5Mi42IDE4&#10;Ni44M0MxOTIuNiAxODYuODMgMTkyLjYgMTg2LjgzIDE5Mi42IDE4Ni44MyAxOTIuNiAxODYuODMg&#10;MTkyLjYgMTg2LjgzIDE5Mi42IDE4Ni44M1pNMTkyLjU0IDE4Ni44MUMxOTIuNTQgMTg2LjgxIDE5&#10;Mi41OSAxODYuODMgMTkyLjYxIDE4Ni44NCAxOTIuNjEgMTg2Ljg0IDE5Mi42MSAxODYuODQgMTky&#10;LjYgMTg2Ljg0IDE5Mi41OCAxODYuODQgMTkyLjU2IDE4Ni44MyAxOTIuNTQgMTg2LjgyWk0xOTIu&#10;ODYgMTg2LjkzQzE5Mi44NiAxODYuOTMgMTkyLjk0IDE4NyAxOTIuOTcgMTg3LjA0IDE5My4wNCAx&#10;ODcuMDkgMTkzLjEgMTg3LjE0IDE5My4xNSAxODcuMiAxOTMuMzggMTg3LjQ1IDE5My41NSAxODcu&#10;NyAxOTMuNjkgMTg3Ljk3IDE5My45NyAxODguNTMgMTk0LjExIDE4OS4xMiAxOTQuMjUgMTg5Ljcg&#10;MTk0LjQ4IDE5MC42OSAxOTQuNTkgMTkxLjcgMTk0LjczIDE5Mi43IDE5NC44NiAxOTMuNzIgMTk0&#10;Ljk5IDE5NC43MyAxOTUuMTggMTk1Ljc1IDE5NS4yNyAxOTYuMjIgMTk1LjMzIDE5Ni43IDE5NS4z&#10;NyAxOTcuMTcgMTk1LjQxIDE5Ny44MSAxOTUuMjQgMTk4LjQzIDE5NS4wNiAxOTkuMDYgMTk0Ljg5&#10;IDE5OS42MyAxOTMuOTYgMjAwLjA2IDE5Mi45NiAyMDAuMSAxOTEuOSAyMDAuMTQgMTkxLjAxIDE5&#10;OS43NiAxOTAuNjUgMTk5LjIxIDE5MC40OSAxOTguOTcgMTkwLjMzIDE5OC43MiAxOTAuMTkgMTk4&#10;LjQ4IDE4OS45OSAxOTguMTMgMTg5Ljg5IDE5Ny43NyAxODkuNzkgMTk3LjQxIDE4OS42NSAxOTYu&#10;OTQgMTg5LjYgMTk2LjQ3IDE4OS41NiAxOTYgMTg5LjQ2IDE5NC45OSAxODkuNDIgMTkzLjk4IDE4&#10;OS4zNSAxOTIuOTcgMTg5LjI4IDE5MS45NSAxODkuMjUgMTkwLjkzIDE4OS4yNSAxODkuOTEgMTg5&#10;LjI1IDE4OS4zMyAxODkuMyAxODguNzUgMTg5LjM5IDE4OC4xNyAxODkuNDQgMTg3Ljg1IDE4OS41&#10;NiAxODcuNDYgMTg5Ljg2IDE4Ny4xNSAxODkuOTggMTg2Ljk1IDE5MC4yMSAxODYuNzcgMTkwLjU0&#10;IDE4Ni42NSAxOTAuODUgMTg2LjU0IDE5MS4yIDE4Ni40OSAxOTEuNTUgMTg2LjUgMTkyLjA4IDE4&#10;Ni41MiAxOTIuNTkgMTg2LjY3IDE5Mi44OSAxODYuOTNaIiBmaWxsPSIjMDEwMTAxIi8+PHBhdGgg&#10;ZD0iTTIwNi40OSAxODguNjRDMjA3LjAxIDE4OC44MSAyMDcuMzMgMTg5LjA1IDIwNy41MSAxODku&#10;MzggMjA3LjY2IDE4OS42NSAyMDcuNzQgMTg5Ljk0IDIwNy44MiAxOTAuMjIgMjA3Ljk2IDE5MC42&#10;OSAyMDguMDggMTkxLjE1IDIwOC4xOCAxOTEuNjIgMjA4LjM5IDE5Mi41NSAyMDguNTMgMTkzLjQ5&#10;IDIwOC42NSAxOTQuNDIgMjA4Ljc3IDE5NS4zNyAyMDguOTEgMTk2LjMyIDIwOS4wNCAxOTcuMjgg&#10;MjA5LjEgMTk3LjczIDIwOS4xNiAxOTguMTcgMjA5LjE3IDE5OC42MiAyMDkuMTggMTk5LjA1IDIw&#10;OS4xNyAxOTkuNDggMjA5LjE3IDE5OS45MSAyMDkuMTcgMTk5Ljk3IDIwOS4xNyAyMDAuMDMgMjA5&#10;LjE3IDIwMC4xIDIwOS4xNyAyMDAuNCAyMDkuMDMgMjAwLjY4IDIwOC42NiAyMDAuOTIgMjA4LjMy&#10;IDIwMS4xMyAyMDcuODMgMjAxLjI2IDIwNy4zMyAyMDEuMjggMjA2LjggMjAxLjMgMjA2LjI4IDIw&#10;MS4xOSAyMDUuODkgMjAwLjk5IDIwNS40OSAyMDAuNzggMjA1LjMzIDIwMC41MyAyMDUuMjUgMjAw&#10;LjIzIDIwNSAxOTkuMzMgMjA0LjggMTk4LjQzIDIwNC43IDE5Ny41MiAyMDQuNjEgMTk2LjU5IDIw&#10;NC41MiAxOTUuNjUgMjA0LjQyIDE5NC43MiAyMDQuMzEgMTkzLjc4IDIwNC4yMiAxOTIuODMgMjA0&#10;LjE0IDE5MS44OCAyMDQuMSAxOTEuNDEgMjA0LjA2IDE5MC45NCAyMDQuMDMgMTkwLjQ3IDIwNC4w&#10;MiAxOTAuMjYgMjA0LjAxIDE5MC4wNCAyMDQuMDIgMTg5LjgzIDIwNC4wMyAxODkuNDcgMjA0LjA5&#10;IDE4OS4xMiAyMDQuNTQgMTg4LjgzIDIwNC41NCAxODguODMgMjA0LjU0IDE4OC44MyAyMDQuNTUg&#10;MTg4LjgzIDIwNC44NyAxODguNjMgMjA1LjM3IDE4OC41MiAyMDUuODUgMTg4LjUzIDIwNi4wNiAx&#10;ODguNTMgMjA2LjI3IDE4OC41NyAyMDYuNDYgMTg4LjYzWiIgZmlsbD0iIzAxMDEwMSIvPjxwYXRo&#10;IGQ9Ik0yMjIuMSAxOTQuMzhDMjIyLjEyIDE5NC40NCAyMjIuMTQgMTk0LjUxIDIyMi4xNiAxOTQu&#10;NTcgMjIyLjE0IDE5NC41MSAyMjIuMTIgMTk0LjQ0IDIyMi4xIDE5NC4zOFpNMjIwLjE1IDE4OC43&#10;M0MyMjAuNjUgMTg4Ljk5IDIyMC43MyAxODkuNDggMjIwLjg2IDE4OS44MyAyMjEuMDUgMTkwLjM3&#10;IDIyMS4xOSAxOTAuOTEgMjIxLjMyIDE5MS40NSAyMjEuNTUgMTkyLjQyIDIyMS43OSAxOTMuNCAy&#10;MjIuMSAxOTQuMzYgMjIyLjQ5IDE5NS40OSAyMjIuODMgMTk2LjYyIDIyMy4xMyAxOTcuNzYgMjIz&#10;LjQgMTk4LjggMjIzLjcxIDE5OS44NCAyMjMuODUgMjAwLjkgMjIzLjkyIDIwMS40NiAyMjMuMjYg&#10;MjAyIDIyMi4zMiAyMDIuMTcgMjIxLjc3IDIwMi4yNyAyMjEuMTUgMjAyLjI1IDIyMC42MyAyMDIu&#10;MSAyMjAuMTUgMjAxLjk2IDIxOS42NSAyMDEuNjggMjE5LjUzIDIwMS4zNyAyMTguNzcgMTk5LjQ5&#10;IDIxOC41MyAxOTcuNTYgMjE4LjQzIDE5NS42MyAyMTguMzggMTk0LjYyIDIxOC4zOCAxOTMuNiAy&#10;MTguMjggMTkyLjU5IDIxOC4xOSAxOTEuNjYgMjE4LjAyIDE5MC43MiAyMTcuOTcgMTg5Ljc4IDIx&#10;Ny45NiAxODkuNTQgMjE3LjkyIDE4OS4yNSAyMTguMDYgMTg5LjAxIDIxOC4xMyAxODguODQgMjE4&#10;LjMyIDE4OC42OCAyMTguNTggMTg4LjU5IDIxOC44IDE4OC41MSAyMTkuMDUgMTg4LjQ4IDIxOS4z&#10;IDE4OC40OCAyMTkuNjIgMTg4LjQ5IDIxOS45MyAxODguNTcgMjIwLjE1IDE4OC43MVoiIGZpbGw9&#10;IiMwMTAxMDEiLz48cGF0aCBkPSJNMjM1LjkxIDE5MC4zNUMyMzYuMDcgMTkwLjQzIDIzNi4xOSAx&#10;OTAuNTMgMjM2LjI2IDE5MC42MyAyMzYuNTIgMTkwLjg0IDIzNi42NSAxOTEuMSAyMzYuNzYgMTkx&#10;LjM1IDIzNi45OCAxOTEuODMgMjM3LjEyIDE5Mi4zMiAyMzcuMjIgMTkyLjgxIDIzNy40MiAxOTMu&#10;NzIgMjM3LjU4IDE5NC42MiAyMzcuNzQgMTk1LjUzIDIzOC4wNiAxOTcuMzIgMjM4LjY1IDE5OS4x&#10;IDIzOC42OCAyMDAuOSAyMzguNjggMjAxLjQxIDIzOC4yIDIwMS44NyAyMzcuMzIgMjAyLjAzIDIz&#10;Ni4zNSAyMDIuMjEgMjM1LjA4IDIwMS45MSAyMzQuODIgMjAxLjMxIDIzNC4wMiAxOTkuNDcgMjM0&#10;IDE5Ny41OCAyMzMuNzIgMTk1LjcgMjMzLjU5IDE5NC44IDIzMy40NSAxOTMuOSAyMzMuMzMgMTkz&#10;IDIzMy4yNyAxOTIuNTcgMjMzLjIyIDE5Mi4xNCAyMzMuMjYgMTkxLjcxIDIzMy4yOSAxOTEuNDMg&#10;MjMzLjMxIDE5MS4xNyAyMzMuNDQgMTkwLjkyIDIzMy40NCAxOTAuODcgMjMzLjQ1IDE5MC44MyAy&#10;MzMuNDcgMTkwLjc5IDIzMy41NyAxOTAuNSAyMzMuOTYgMTkwLjI2IDIzNC40NSAxOTAuMTcgMjM0&#10;LjYyIDE5MC4xNCAyMzQuODEgMTkwLjEyIDIzNC45OSAxOTAuMTMgMjM1LjMyIDE5MC4xNCAyMzUu&#10;NjUgMTkwLjIxIDIzNS45IDE5MC4zNFoiIGZpbGw9IiMwMTAxMDEiLz48cGF0aCBkPSJNMjQ5LjA4&#10;IDE4OC4yQzI0OS4xNCAxODguMjUgMjQ5LjE4IDE4OC4zIDI0OS4yMiAxODguMzYgMjQ5LjQ0IDE4&#10;OC42MiAyNDkuNSAxODguOTIgMjQ5LjU4IDE4OS4yMSAyNDkuNjkgMTg5LjU4IDI0OS43OCAxODku&#10;OTUgMjQ5Ljg2IDE5MC4zMiAyNTAuMDQgMTkxLjA5IDI1MC4yMiAxOTEuODcgMjUwLjM5IDE5Mi42&#10;NCAyNTAuNzQgMTk0LjE5IDI1MS4xMiAxOTUuNzMgMjUxLjYyIDE5Ny4yNiAyNTEuOTUgMTk4LjIy&#10;IDI1Mi4yOSAxOTkuMTggMjUyLjUzIDIwMC4xNSAyNTIuNjMgMjAwLjU4IDI1Mi43MiAyMDEuMDEg&#10;MjUyLjc4IDIwMS40NSAyNTIuODEgMjAxLjY3IDI1Mi44NCAyMDEuODkgMjUyLjg2IDIwMi4xIDI1&#10;Mi44OCAyMDIuMzkgMjUyLjg2IDIwMi42OCAyNTIuODMgMjAyLjk3IDI1Mi44NSAyMDMuMTEgMjUy&#10;Ljc5IDIwMy4yNSAyNTIuNjggMjAzLjM4IDI1Mi41MSAyMDMuNTcgMjUyLjIxIDIwMy43MiAyNTEu&#10;ODUgMjAzLjc4IDI1MS4xIDIwMy45MiAyNTAuMzMgMjAzLjY4IDI1MC4wNiAyMDMuMjcgMjQ5Ljkg&#10;MjAzLjAzIDI0OS43MyAyMDIuNzkgMjQ5LjYgMjAyLjU0IDI0OS41IDIwMi4zNCAyNDkuNDIgMjAy&#10;LjE0IDI0OS4zMyAyMDEuOTUgMjQ5LjEzIDIwMS40NyAyNDguOTQgMjAwLjk5IDI0OC43OSAyMDAu&#10;NSAyNDguNTEgMTk5LjYgMjQ4LjMxIDE5OC43IDI0OC4xMiAxOTcuNzkgMjQ3Ljc1IDE5NS45NCAy&#10;NDcuMzQgMTk0LjA5IDI0Ny4wMyAxOTIuMjQgMjQ2LjkxIDE5MS41NiAyNDYuOCAxOTAuODggMjQ2&#10;LjcgMTkwLjIxIDI0Ni42NSAxODkuODggMjQ2LjYxIDE4OS41NSAyNDYuNTkgMTg5LjIzIDI0Ni41&#10;NyAxODguOTQgMjQ2LjU0IDE4OC41OSAyNDYuNzkgMTg4LjMxIDI0Ni44IDE4OC4zIDI0Ni44MSAx&#10;ODguMjggMjQ2LjgyIDE4OC4yNyAyNDcuMDMgMTg4LjA0IDI0Ny40NSAxODcuODggMjQ3LjkxIDE4&#10;Ny44NiAyNDcuOTYgMTg3Ljg2IDI0OC4wMSAxODcuODYgMjQ4LjA2IDE4Ny44NiAyNDguNDcgMTg3&#10;Ljg3IDI0OC44NiAxODggMjQ5LjA4IDE4OC4yWiIgZmlsbD0iIzAxMDEwMSIvPjxwYXRoIGQ9Ik0y&#10;NjIuNiAxOTEuMjdDMjYzLjQyIDE5MS40NiAyNjMuODMgMTkyIDI2NC4xNiAxOTIuNDMgMjY0LjM5&#10;IDE5Mi43MyAyNjQuNTMgMTkzLjA2IDI2NC42NyAxOTMuMzkgMjY0Ljk2IDE5NC4wNSAyNjUuMTkg&#10;MTk0LjczIDI2NS40MiAxOTUuNCAyNjUuODggMTk2LjcyIDI2Ni4yMyAxOTguMDYgMjY2LjY2IDE5&#10;OS4zOCAyNjYuNzcgMTk5LjY3IDI2Ni44OSAxOTkuOTcgMjY2LjkyIDIwMC4yNyAyNjYuOTQgMjAw&#10;LjU2IDI2Ni45NCAyMDAuODUgMjY2LjkzIDIwMS4xNCAyNjYuOTIgMjAxLjY0IDI2Ni40NyAyMDIu&#10;MDkgMjY1LjYgMjAyLjI1IDI2NS4xMSAyMDIuMzQgMjY0LjU4IDIwMi4zMiAyNjQuMTIgMjAyLjE4&#10;IDI2My42MyAyMDIuMDQgMjYzLjM2IDIwMS44MiAyNjMuMTUgMjAxLjU0IDI2Mi45MyAyMDEuMjYg&#10;MjYyLjczIDIwMC45OCAyNjIuNTYgMjAwLjY5IDI2Mi4zNSAyMDAuMzQgMjYyLjI4IDE5OS45NyAy&#10;NjIuMTcgMTk5LjYxIDI2MS43NCAxOTguMzcgMjYxLjMxIDE5Ny4xMyAyNjAuOTIgMTk1Ljg4IDI2&#10;MC43MiAxOTUuMjMgMjYwLjUzIDE5NC41OCAyNjAuMzQgMTkzLjkzIDI2MC4yNCAxOTMuNjEgMjYw&#10;LjE1IDE5My4yOSAyNjAuMDUgMTkyLjk2IDI1OS45NiAxOTIuNjYgMjU5LjgyIDE5Mi4yOCAyNTku&#10;OTkgMTkxLjk4IDI2MC4xNSAxOTEuNyAyNjAuMzQgMTkxLjQ4IDI2MC43OSAxOTEuMzIgMjYxLjEz&#10;IDE5MS4yIDI2MS40OCAxOTEuMTUgMjYxLjg1IDE5MS4xNiAyNjIuMSAxOTEuMTYgMjYyLjM2IDE5&#10;MS4yIDI2Mi42MSAxOTEuMjZaIiBmaWxsPSIjMDEwMTAxIi8+PHBhdGggZD0iTTI3Ni44MyAxOTEu&#10;MjZDMjc3LjM3IDE5MS4zOSAyNzcuNjYgMTkxLjcyIDI3Ny44NSAxOTIuMDEgMjc3Ljk3IDE5Mi4x&#10;OSAyNzguMDUgMTkyLjM3IDI3OC4xMSAxOTIuNTUgMjc4LjI5IDE5My4wNSAyNzguNDYgMTkzLjU1&#10;IDI3OC42MSAxOTQuMDUgMjc4Ljg3IDE5NC44OSAyNzkuMDUgMTk1LjczIDI3OS4yNCAxOTYuNTcg&#10;Mjc5LjQzIDE5Ny40IDI3OS41OCAxOTguMjMgMjc5LjgxIDE5OS4wNSAyNzkuOTIgMTk5LjQ0IDI4&#10;MC4wNCAxOTkuODQgMjgwLjE1IDIwMC4yMyAyODAuMjEgMjAwLjQ0IDI4MC4yNiAyMDAuNjUgMjgw&#10;LjMxIDIwMC44NiAyODAuMzMgMjAwLjk0IDI4MC4zNiAyMDEuMDMgMjgwLjM3IDIwMS4xMiAyODAu&#10;NCAyMDEuMzQgMjgwLjM3IDIwMS41NSAyODAuMzIgMjAxLjc3IDI4MC4yNCAyMDEuOTggMjgwLjA3&#10;IDIwMi4xNyAyNzkuODEgMjAyLjM0IDI3OS40NCAyMDIuNTcgMjc4LjkyIDIwMi43MSAyNzguMzgg&#10;MjAyLjczIDI3Ny40IDIwMi43NiAyNzYuNTkgMjAyLjQxIDI3Ni4yNSAyMDEuOTEgMjc1Ljk0IDIw&#10;MS40NCAyNzUuOSAyMDAuOTEgMjc1LjgxIDIwMC40MiAyNzUuNzQgMjAwLjAyIDI3NS42OSAxOTku&#10;NjIgMjc1LjY0IDE5OS4yMyAyNzUuNTMgMTk4LjQxIDI3NS4zMyAxOTcuNiAyNzUuMTcgMTk2Ljc5&#10;IDI3NSAxOTUuOTQgMjc0Ljg0IDE5NS4wOSAyNzQuNjggMTk0LjI0IDI3NC42MSAxOTMuODMgMjc0&#10;LjUzIDE5My40MiAyNzQuNDggMTkzLjAyIDI3NC40NiAxOTIuODMgMjc0LjQ1IDE5Mi42NCAyNzQu&#10;NDcgMTkyLjQ0IDI3NC40OSAxOTIuMjkgMjc0LjQ4IDE5Mi4xMSAyNzQuNTcgMTkxLjk2IDI3NC42&#10;NiAxOTEuOCAyNzQuNzcgMTkxLjU4IDI3NS4wMSAxOTEuNDYgMjc1LjE5IDE5MS4zNSAyNzUuNDEg&#10;MTkxLjI3IDI3NS42NiAxOTEuMjIgMjc1Ljg0IDE5MS4xOSAyNzYuMDIgMTkxLjE3IDI3Ni4xOSAx&#10;OTEuMTggMjc2LjQgMTkxLjE4IDI3Ni42MSAxOTEuMjIgMjc2LjgyIDE5MS4yN1oiIGZpbGw9IiMw&#10;MTAxMDEiLz48cGF0aCBkPSJNMjg4LjYyIDE5MS43MUMyODkuMjUgMTkxLjkxIDI4OS40OSAxOTIu&#10;MjcgMjg5LjYzIDE5Mi42NCAyODkuNzYgMTkyLjk4IDI4OS44NCAxOTMuMzMgMjg5LjkzIDE5My42&#10;OCAyOTAuMDcgMTk0LjIzIDI5MC4xNyAxOTQuNzkgMjkwLjI3IDE5NS4zNCAyOTAuNDggMTk2LjU0&#10;IDI5MC42MiAxOTcuNzQgMjkwLjcyIDE5OC45NSAyOTAuNzYgMTk5LjQ1IDI5MC4wOSAxOTkuOSAy&#10;ODkuMTkgMTk5LjkzIDI4OC43NSAxOTkuOTUgMjg4LjMxIDE5OS44NiAyODcuOTkgMTk5LjY5IDI4&#10;Ny42NSAxOTkuNTEgMjg3LjUzIDE5OS4zMSAyODcuNDYgMTk5LjA2IDI4Ny4xMSAxOTcuODcgMjg2&#10;Ljg0IDE5Ni42OCAyODYuNjQgMTk1LjQ4IDI4Ni41NSAxOTQuOTQgMjg2LjQ3IDE5NC4zOSAyODYu&#10;NDMgMTkzLjg1IDI4Ni40MSAxOTMuNTcgMjg2LjM4IDE5My4yOCAyODYuNCAxOTMgMjg2LjQzIDE5&#10;Mi41NCAyODYuNDcgMTkyLjA1IDI4Ny4yMyAxOTEuNzYgMjg3LjQ3IDE5MS42NyAyODcuNzggMTkx&#10;LjYyIDI4OC4wOCAxOTEuNjMgMjg4LjI3IDE5MS42MyAyODguNDYgMTkxLjY2IDI4OC42MyAxOTEu&#10;NzJaIiBmaWxsPSIjMDEwMTAxIi8+PHBhdGggZD0iTTI5OC44NiAxOTAuMDdDMjk5LjIzIDE5MC4x&#10;NyAyOTkuNSAxOTAuMzUgMjk5LjY5IDE5MC41NSAyOTkuOTEgMTkwLjc4IDMwMC4wOCAxOTEuMDIg&#10;MzAwLjIyIDE5MS4yNyAzMDAuNDUgMTkxLjY4IDMwMC42IDE5Mi4xIDMwMC43NSAxOTIuNTIgMzAx&#10;LjA3IDE5My40MyAzMDEuMzEgMTk0LjM0IDMwMS41MiAxOTUuMjUgMzAxLjkzIDE5Ny4wMSAzMDIu&#10;MjggMTk4Ljc3IDMwMi41NiAyMDAuNTMgMzAyLjY3IDIwMS4yMSAzMDIuNzggMjAxLjg5IDMwMi44&#10;MSAyMDIuNTggMzAyLjgzIDIwMy4wNyAzMDIuMzQgMjAzLjUxIDMwMS41MSAyMDMuNjcgMzAxLjAz&#10;IDIwMy43NiAzMDAuNTEgMjAzLjc0IDMwMC4wNiAyMDMuNjEgMjk5LjY1IDIwMy40OSAyOTkuMjIg&#10;MjAzLjI1IDI5OS4xMiAyMDIuOTggMjk4Ljc0IDIwMi4wNSAyOTguNSAyMDEuMDkgMjk4LjI5IDIw&#10;MC4xNCAyOTguMSAxOTkuMjggMjk3LjkzIDE5OC40MiAyOTcuNzggMTk3LjU3IDI5Ny40OSAxOTUu&#10;ODEgMjk3LjI2IDE5NC4wNSAyOTcuMTEgMTkyLjI5IDI5Ny4wOSAxOTEuOTggMjk3LjA2IDE5MS42&#10;NyAyOTcuMDYgMTkxLjM2IDI5Ny4wNiAxOTEuMDQgMjk3LjAzIDE5MC42NiAyOTcuMzEgMTkwLjM3&#10;IDI5Ny41NSAxOTAuMTMgMjk3Ljk3IDE5MCAyOTguNDEgMTkwLjAxIDI5OC41NiAxOTAuMDEgMjk4&#10;LjcxIDE5MC4wNCAyOTguODYgMTkwLjA4WiIgZmlsbD0iIzAxMDEwMSIvPjxwYXRoIGQ9Ik0zMTMu&#10;MDUgMTkyLjI2QzMxMy40IDE5Mi40MiAzMTMuNjEgMTkyLjY3IDMxMy43NiAxOTIuOSAzMTMuODYg&#10;MTkzLjA1IDMxMy45MiAxOTMuMjEgMzEzLjk4IDE5My4zNyAzMTQuMTUgMTkzLjgyIDMxNC4yOCAx&#10;OTQuMjYgMzE0LjM4IDE5NC43MSAzMTQuNTUgMTk1LjQ1IDMxNC42OSAxOTYuMTkgMzE0LjggMTk2&#10;LjkzIDMxNC45MiAxOTcuNjUgMzE1LjAyIDE5OC4zNyAzMTUuMTMgMTk5LjA5IDMxNS4xOCAxOTku&#10;NDQgMzE1LjI1IDE5OS43OSAzMTUuMjkgMjAwLjE1IDMxNS4zNCAyMDAuNjUgMzE1LjIzIDIwMS4x&#10;NiAzMTUuMTMgMjAxLjY2IDMxNS4wMyAyMDIuMTUgMzE0LjE0IDIwMi41MiAzMTMuMzIgMjAyLjU1&#10;IDMxMi40NSAyMDIuNTggMzExLjYgMjAyLjI2IDMxMS4zNCAyMDEuNzkgMzExLjA4IDIwMS4zMiAz&#10;MTAuODUgMjAwLjg2IDMxMC43NCAyMDAuMzcgMzEwLjY3IDIwMC4wMyAzMTAuNjIgMTk5LjY4IDMx&#10;MC41NiAxOTkuMzQgMzEwLjQ1IDE5OC42MSAzMTAuMzIgMTk3Ljg4IDMxMC4yMiAxOTcuMTUgMzEw&#10;LjEyIDE5Ni40MSAzMTAuMDMgMTk1LjY4IDMwOS45NyAxOTQuOTQgMzA5Ljk0IDE5NC41NiAzMDku&#10;OSAxOTQuMTggMzA5LjkxIDE5My44IDMwOS45MSAxOTMuMzEgMzA5LjkxIDE5Mi42OSAzMTAuNTcg&#10;MTkyLjMyIDMxMC45IDE5Mi4xNCAzMTEuMjggMTkyLjAyIDMxMS43NSAxOTIgMzExLjgyIDE5MiAz&#10;MTEuODggMTkyIDMxMS45NCAxOTIgMzEyLjM1IDE5Mi4wMSAzMTIuNjkgMTkyLjExIDMxMy4wMiAx&#10;OTIuMjVaIiBmaWxsPSIjMDEwMTAxIi8+PHBhdGggZD0iTTMyNi45IDE5MS44MkMzMjcuMzggMTkx&#10;LjkzIDMyNy42NiAxOTIuMjUgMzI3Ljc5IDE5Mi41MSAzMjcuOTMgMTkyLjc3IDMyOC4wMSAxOTMu&#10;MDQgMzI4LjA5IDE5My4zIDMyOC4yMyAxOTMuNzIgMzI4LjM0IDE5NC4xNSAzMjguNDQgMTk0LjU4&#10;IDMyOC42NCAxOTUuNDMgMzI4LjgxIDE5Ni4yNyAzMjkuMDEgMTk3LjEyIDMyOS4zOSAxOTguNzkg&#10;MzI5LjY4IDIwMC40NiAzMjkuOTUgMjAyLjE0IDMzMC4xMiAyMDMuMjEgMzMwLjM2IDIwNC4yNyAz&#10;MzAuNDcgMjA1LjM0IDMzMC41MiAyMDUuODMgMzI5Ljk3IDIwNi4zIDMyOS4xNCAyMDYuNDUgMzI4&#10;LjY2IDIwNi41NCAzMjguMTIgMjA2LjUyIDMyNy42NiAyMDYuMzkgMzI3LjI0IDIwNi4yNyAzMjYu&#10;OCAyMDYuMDIgMzI2LjcgMjA1Ljc1IDMyNi4zMyAyMDQuODMgMzI2LjEzIDIwMy45IDMyNS45MSAy&#10;MDIuOTYgMzI1LjcyIDIwMi4xNiAzMjUuNTIgMjAxLjM3IDMyNS4zNSAyMDAuNTcgMzI1IDE5OC44&#10;NSAzMjQuNzYgMTk3LjEyIDMyNC42OSAxOTUuMzkgMzI0LjY3IDE5NC44MiAzMjQuNjYgMTk0LjI0&#10;IDMyNC42OSAxOTMuNjcgMzI0LjcxIDE5My4zNCAzMjQuNzIgMTkzIDMyNC44MiAxOTIuNjcgMzI0&#10;Ljg2IDE5Mi41MSAzMjQuOTMgMTkyLjMyIDMyNS4wOCAxOTIuMTggMzI1LjIxIDE5Mi4wNiAzMjUu&#10;MzUgMTkxLjkzIDMyNS41OSAxOTEuODYgMzI1Ljg3IDE5MS43OCAzMjYuMTIgMTkxLjc0IDMyNi4z&#10;OSAxOTEuNzUgMzI2LjU1IDE5MS43NSAzMjYuNzIgMTkxLjc4IDMyNi45IDE5MS44MloiIGZpbGw9&#10;IiMwMTAxMDEiLz48cGF0aCBkPSJNMzQwLjI4IDE5Mi4wMUMzNDAuNyAxOTIuMTkgMzQwLjkyIDE5&#10;Mi41IDM0MS4xMiAxOTIuNzYgMzQxLjI4IDE5Mi45NyAzNDEuMzggMTkzLjIgMzQxLjQ3IDE5My40&#10;MiAzNDEuNzEgMTkzLjk4IDM0MS44OCAxOTQuNTYgMzQyLjAzIDE5NS4xNCAzNDIuMyAxOTYuMTUg&#10;MzQyLjUxIDE5Ny4xNyAzNDIuNzIgMTk4LjE4IDM0Mi45NCAxOTkuMTcgMzQzLjE0IDIwMC4xNSAz&#10;NDMuMzYgMjAxLjEzIDM0My41OCAyMDIuMTIgMzQzLjg1IDIwMy4wOSAzNDQuMTEgMjA0LjA4IDM0&#10;NC4xOSAyMDQuMzcgMzQ0LjI2IDIwNC42NiAzNDQuMzIgMjA0Ljk2IDM0NC40NCAyMDUuNTIgMzQz&#10;LjcgMjA2LjA3IDM0Mi43OSAyMDYuMjQgMzQyLjIzIDIwNi4zNCAzNDEuNjEgMjA2LjMyIDM0MS4w&#10;OSAyMDYuMTcgMzQwLjYxIDIwNi4wMyAzNDAuMSAyMDUuNzUgMzM5Ljk4IDIwNS40NCAzMzkuMTkg&#10;MjAzLjQyIDMzOC42NSAyMDEuMzUgMzM4LjIxIDE5OS4yOSAzMzggMTk4LjI5IDMzNy44MSAxOTcu&#10;MjggMzM3LjYzIDE5Ni4yOCAzMzcuNTQgMTk1Ljc4IDMzNy40NyAxOTUuMjggMzM3LjM5IDE5NC43&#10;OCAzMzcuMzEgMTk0LjMgMzM3LjIzIDE5My44MiAzMzcuMjMgMTkzLjM0IDMzNy4yMyAxOTMuMTMg&#10;MzM3LjI1IDE5Mi45MSAzMzcuMzEgMTkyLjcxIDMzNy4zOCAxOTIuNDcgMzM3LjU4IDE5Mi4yOSAz&#10;MzcuODQgMTkyLjEgMzM4LjA5IDE5MS45MSAzMzguNiAxOTEuOCAzMzkuMDEgMTkxLjc4IDMzOS4w&#10;OCAxOTEuNzggMzM5LjE0IDE5MS43OCAzMzkuMjEgMTkxLjc4IDMzOS42MSAxOTEuNzkgMzM5Ljk0&#10;IDE5MS44OSAzNDAuMjggMTkyLjAzWiIgZmlsbD0iIzAxMDEwMSIvPjxwYXRoIGQ9Ik0zNjAuMzkg&#10;MjAyLjg4QzM2MC40MSAyMDIuOTUgMzYwLjQ0IDIwMy4wMiAzNjAuNDYgMjAzLjA5IDM2MC40NCAy&#10;MDMuMDIgMzYwLjQxIDIwMi45NSAzNjAuMzkgMjAyLjg4Wk0zNTkuMjMgMTk5LjEzQzM1OS4yMyAx&#10;OTkuMTMgMzU5LjI1IDE5OS4xOCAzNTkuMjYgMTk5LjIxIDM1OS4yNiAxOTkuMTggMzU5LjI0IDE5&#10;OS4xNiAzNTkuMjMgMTk5LjEzWk0zNTUuNTggMTkyLjNDMzU3LjAzIDE5Mi40NyAzNTcuNDYgMTkz&#10;LjI4IDM1Ny43MSAxOTQgMzU3Ljk0IDE5NC42NSAzNTguMTQgMTk1LjMxIDM1OC4zMyAxOTUuOTcg&#10;MzU4LjY1IDE5Ny4wNiAzNTguOTEgMTk4LjE2IDM1OS4yNyAxOTkuMjUgMzU5LjQ5IDE5OS44OSAz&#10;NTkuNzIgMjAwLjUyIDM1OS45MSAyMDEuMTYgMzYwLjA3IDIwMS43MyAzNjAuMiAyMDIuMyAzNjAu&#10;MzkgMjAyLjg2IDM2MC41MSAyMDMuMjEgMzYwLjYzIDIwMy41NyAzNjAuNzQgMjAzLjkyIDM2MC43&#10;NiAyMDQuMTcgMzYwLjY4IDIwNC40MSAzNjAuNDcgMjA0LjY0IDM2MC4xNyAyMDQuOTcgMzU5LjY1&#10;IDIwNS4yMyAzNTkuMDMgMjA1LjM0IDM1OC40MSAyMDUuNDYgMzU3LjcyIDIwNS40MiAzNTcuMTMg&#10;MjA1LjI2IDM1Ni41OSAyMDUuMTEgMzU2LjA0IDIwNC43OSAzNTUuODkgMjA0LjQ0IDM1NS40NiAy&#10;MDMuMzkgMzU1LjA5IDIwMi4zMyAzNTQuNzUgMjAxLjI4IDM1NC40MyAyMDAuMyAzNTQuMjUgMTk5&#10;LjMxIDM1NC4wMiAxOTguMzIgMzUzLjggMTk3LjM5IDM1My41OSAxOTYuNDcgMzUzLjQgMTk1LjU0&#10;IDM1My4zMSAxOTUuMDcgMzUzLjIyIDE5NC42MSAzNTMuMTQgMTk0LjE0IDM1My4xIDE5My44NiAz&#10;NTMuMSAxOTMuNjEgMzUzLjE0IDE5My4zMyAzNTMuMjIgMTkyLjczIDM1NC4yNiAxOTIuMjUgMzU1&#10;LjMgMTkyLjI4IDM1NS4zOSAxOTIuMjggMzU1LjQ4IDE5Mi4yOCAzNTUuNTcgMTkyLjNaIiBmaWxs&#10;PSIjMDEwMTAxIi8+PHBhdGggZD0iTTM2OS42MSAxOTEuODZDMzY5Ljk5IDE5Mi4wNyAzNzAuMTUg&#10;MTkyLjI1IDM3MC4zOCAxOTIuNTIgMzcwLjY0IDE5Mi44MyAzNzAuNzkgMTkzLjE2IDM3MC45MyAx&#10;OTMuNDggMzcxLjI5IDE5NC4yOSAzNzEuNDggMTk1LjEyIDM3MS43MSAxOTUuOTQgMzcyLjEgMTk3&#10;LjM3IDM3Mi40NCAxOTguOCAzNzIuNzIgMjAwLjIzIDM3Mi44NiAyMDAuOTEgMzcxLjgxIDIwMS41&#10;MSAzNzAuNjYgMjAxLjU1IDM3MC4wNyAyMDEuNTcgMzY5LjQ4IDIwMS40NSAzNjkuMDUgMjAxLjIz&#10;IDM2OC41OSAyMDAuOTkgMzY4LjQ0IDIwMC43MiAzNjguMzMgMjAwLjM4IDM2Ny45MSAxOTguOTYg&#10;MzY3LjYgMTk3LjU0IDM2Ny4yOSAxOTYuMTEgMzY3LjEzIDE5NS4zOSAzNjYuOTggMTk0LjY3IDM2&#10;Ni44NCAxOTMuOTUgMzY2Ljc4IDE5My42NCAzNjYuNzIgMTkzLjMyIDM2Ni42NyAxOTMuMDEgMzY2&#10;LjU4IDE5Mi40NiAzNjYuNzcgMTkxLjgxIDM2Ny44NiAxOTEuNjIgMzY4LjA2IDE5MS41OSAzNjgu&#10;MjcgMTkxLjU3IDM2OC40OCAxOTEuNTggMzY4LjkgMTkxLjU5IDM2OS4zMiAxOTEuNjkgMzY5LjYx&#10;IDE5MS44NVoiIGZpbGw9IiMwMTAxMDEiLz48cGF0aCBkPSJNMzc5Ljk1IDE4OS4zM0MzNzkuOTkg&#10;MTg5LjM5IDM4MCAxODkuNDYgMzgwLjAxIDE4OS41MiAzODAuMDYgMTg5LjU4IDM4MC4xMSAxODku&#10;NjUgMzgwLjE1IDE4OS43MSAzODAuMjkgMTg5Ljk1IDM4MC40IDE5MC4yIDM4MC41MSAxOTAuNDUg&#10;MzgwLjc1IDE5MS4wMSAzODAuOTIgMTkxLjU3IDM4MS4wOSAxOTIuMTQgMzgxLjQgMTkzLjE5IDM4&#10;MS42OCAxOTQuMjUgMzgxLjk2IDE5NS4zMSAzODIuNTEgMTk3LjM4IDM4My4wMiAxOTkuNDQgMzgz&#10;LjU1IDIwMS41MSAzODMuNjkgMjAyLjA1IDM4My43NCAyMDIuNTggMzgzLjc3IDIwMy4xMyAzODMu&#10;OCAyMDMuNjggMzgzLjg4IDIwNC4yMyAzODMuODggMjA0Ljc5IDM4My44OCAyMDUuMjkgMzgzLjQx&#10;IDIwNS43NCAzODIuNTUgMjA1LjkgMzgxLjU1IDIwNi4wOSAzODAuNDIgMjA1Ljc3IDM4MC4xIDIw&#10;NS4yIDM3OS44MiAyMDQuNyAzNzkuNjEgMjA0LjE5IDM3OS4zOCAyMDMuNjkgMzc5LjEyIDIwMy4x&#10;MSAzNzguODcgMjAyLjU0IDM3OC43IDIwMS45NSAzNzguNDIgMjAwLjkxIDM3OC4yNCAxOTkuODUg&#10;Mzc4LjA1IDE5OC44IDM3Ny42NiAxOTYuNyAzNzcuMzMgMTk0LjU5IDM3Ny4yMiAxOTIuNDggMzc3&#10;LjE5IDE5MS45MyAzNzcuMiAxOTEuMzggMzc3LjI1IDE5MC44NCAzNzcuMjkgMTkwLjUyIDM3Ny4z&#10;MyAxOTAuMiAzNzcuNDIgMTg5Ljg5IDM3Ny40NiAxODkuNzYgMzc3LjUzIDE4OS42NCAzNzcuNjEg&#10;MTg5LjUyIDM3Ny42MSAxODkuNDggMzc3LjYxIDE4OS40NCAzNzcuNjMgMTg5LjQxIDM3Ny43MyAx&#10;ODkuMTEgMzc4LjE5IDE4OC44OCAzNzguNzMgMTg4Ljg3IDM3OC43OCAxODguODcgMzc4LjgyIDE4&#10;OC44NyAzNzguODcgMTg4Ljg3IDM3OS4zNiAxODguODkgMzc5Ljc5IDE4OS4wNyAzNzkuOTUgMTg5&#10;LjM0WiIgZmlsbD0iIzAxMDEwMSIvPjxwYXRoIGQ9Ik0zOTYuOTYgMTkwLjE0QzM5Ny44NyAxOTAu&#10;NCAzOTguMjIgMTkxLjAxIDM5OC41IDE5MS41MyAzOTguNzYgMTkyLjAxIDM5OC45MiAxOTIuNSAz&#10;OTkuMSAxOTIuOTkgMzk5LjQ5IDE5NC4xMSAzOTkuODIgMTk1LjI1IDQwMC4xNSAxOTYuMzggNDAw&#10;Ljc1IDE5OC40MSA0MDEuMzcgMjAwLjQ1IDQwMS43NiAyMDIuNSA0MDEuNzkgMjAyLjY0IDQwMS44&#10;MSAyMDIuNzggNDAxLjgzIDIwMi45MiA0MDEuOTMgMjAzLjUyIDQwMS4xOSAyMDQuMDkgNDAwLjIx&#10;IDIwNC4yNyAzOTkuMDUgMjA0LjQ5IDM5Ny41NSAyMDQuMTIgMzk3LjIzIDIwMy40MiAzOTYuMjYg&#10;MjAxLjI0IDM5NS42OCAxOTkuMDEgMzk1LjEzIDE5Ni43OSAzOTQuODggMTk1Ljc5IDM5NC42NCAx&#10;OTQuNzggMzk0LjQ5IDE5My43NyAzOTQuNDEgMTkzLjI1IDM5NC4zMyAxOTIuNzMgMzk0LjMzIDE5&#10;Mi4yMiAzOTQuMzMgMTkxLjkgMzk0LjM2IDE5MS41OSAzOTQuNDEgMTkxLjI3IDM5NC40NiAxOTAu&#10;OTQgMzk0LjY0IDE5MC42NSAzOTQuOTkgMTkwLjM4IDM5NS4wMSAxOTAuMzYgMzk1LjAzIDE5MC4z&#10;NSAzOTUuMDYgMTkwLjM0IDM5NS4yNSAxOTAuMjIgMzk1LjQ4IDE5MC4xNCAzOTUuNzQgMTkwLjA5&#10;IDM5NS45MyAxOTAuMDUgMzk2LjEzIDE5MC4wNCAzOTYuMzMgMTkwLjA1IDM5Ni41NSAxOTAuMDUg&#10;Mzk2Ljc2IDE5MC4wOSAzOTYuOTYgMTkwLjE1WiIgZmlsbD0iIzAxMDEwMSIvPjxwYXRoIGQ9Ik00&#10;MDkuMjQgMTk2LjU4QzQwOS44OSAxOTYuNzYgNDEwLjEzIDE5Ny4xNCA0MTAuMjcgMTk3LjUxIDQx&#10;MC40IDE5Ny44OCA0MTAuNSAxOTguMjQgNDEwLjYgMTk4LjYxIDQxMC43NSAxOTkuMTggNDEwLjg3&#10;IDE5OS43NSA0MTAuOTcgMjAwLjMyIDQxMS4xOSAyMDEuNTIgNDExLjM4IDIwMi43MyA0MTEuNDIg&#10;MjAzLjk0IDQxMS40MyAyMDQuNTYgNDEwLjY2IDIwNS4xIDQwOS41NCAyMDUuMTQgNDA5LjAxIDIw&#10;NS4xNiA0MDguNDcgMjA1LjA1IDQwOC4wNyAyMDQuODUgNDA3LjY1IDIwNC42MyA0MDcuNTEgMjA0&#10;LjM4IDQwNy40MiAyMDQuMDggNDA3LjA1IDIwMi44NiA0MDYuODYgMjAxLjYxIDQwNi43MiAyMDAu&#10;MzcgNDA2LjY1IDE5OS43NiA0MDYuNiAxOTkuMTUgNDA2LjYxIDE5OC41MyA0MDYuNjEgMTk4LjE3&#10;IDQwNi42MyAxOTcuOCA0MDYuNzcgMTk3LjQ1IDQwNi44NyAxOTcuMjEgNDA3LjAzIDE5NyA0MDcu&#10;MyAxOTYuODEgNDA3LjYyIDE5Ni41OSA0MDguMTMgMTk2LjQ4IDQwOC42MiAxOTYuNDkgNDA4Ljgz&#10;IDE5Ni40OSA0MDkuMDUgMTk2LjUzIDQwOS4yNCAxOTYuNThaIiBmaWxsPSIjMDEwMTAxIi8+PHBh&#10;dGggZD0iTTQxOS45NSAxOTIuNDRDNDIwLjQyIDE5Mi42MyA0MjAuNyAxOTMuMDEgNDIwLjkgMTkz&#10;LjMgNDIxLjA0IDE5My41MSA0MjEuMTMgMTkzLjczIDQyMS4yMyAxOTMuOTQgNDIxLjQ5IDE5NC41&#10;MyA0MjEuNjUgMTk1LjEzIDQyMS44MSAxOTUuNzMgNDIyLjA4IDE5Ni43NiA0MjIuMjUgMTk3Ljgg&#10;NDIyLjQ1IDE5OC44NCA0MjIuNjUgMTk5Ljg4IDQyMi44MyAyMDAuOTEgNDIzLjAxIDIwMS45NiA0&#10;MjMuMiAyMDMuMDQgNDIzLjQ0IDIwNC4xMiA0MjMuNTEgMjA1LjIxIDQyMy41NSAyMDUuODEgNDIy&#10;LjkyIDIwNi4zNiA0MjEuOTEgMjA2LjU1IDQyMC42OSAyMDYuNzggNDE5LjM3IDIwNi4zOSA0MTgu&#10;OTYgMjA1LjcgNDE4LjI4IDIwNC41OCA0MTcuOTcgMjAzLjM5IDQxNy42MSAyMDIuMjIgNDE3LjI5&#10;IDIwMS4xOSA0MTcuMDcgMjAwLjE1IDQxNi44OCAxOTkuMSA0MTYuNyAxOTguMDcgNDE2LjUyIDE5&#10;Ny4wNCA0MTYuNDUgMTk2IDQxNi40MSAxOTUuNDggNDE2LjM3IDE5NC45NSA0MTYuNDEgMTk0LjQz&#10;IDQxNi40MyAxOTQuMTEgNDE2LjQ0IDE5My43NyA0MTYuNTUgMTkzLjQ1IDQxNi42MiAxOTMuMjYg&#10;NDE2LjcyIDE5My4wNiA0MTYuODcgMTkyLjg5IDQxNy4wNyAxOTIuNjQgNDE3LjM0IDE5Mi41MSA0&#10;MTcuNyAxOTIuMzQgNDE3Ljk3IDE5Mi4yNCA0MTguMjcgMTkyLjE5IDQxOC41OSAxOTIuMTcgNDE4&#10;LjY2IDE5Mi4xNyA0MTguNzMgMTkyLjE3IDQxOC44IDE5Mi4xNyA0MTkuMjQgMTkyLjE4IDQxOS41&#10;OCAxOTIuMjkgNDE5Ljk1IDE5Mi40NFoiIGZpbGw9IiMwMTAxMDEiLz48cGF0aCBkPSJNNDM1IDIw&#10;MC41N0M0MzUgMjAwLjU3IDQzNS4wMyAyMDAuNjYgNDM1LjA1IDIwMC43MSA0MzUuMDQgMjAwLjY2&#10;IDQzNS4wMiAyMDAuNjIgNDM1IDIwMC41N1pNNDMwLjEyIDE5MS40N0M0MzEuMTkgMTkxLjU0IDQz&#10;MS43MSAxOTIuMTcgNDMyLjEgMTkyLjY0IDQzMi4zNiAxOTIuOTYgNDMyLjUxIDE5My4zMiA0MzIu&#10;NjcgMTkzLjY2IDQzMy4wNiAxOTQuNSA0MzMuMzMgMTk1LjM2IDQzMy42MSAxOTYuMjEgNDM0LjA5&#10;IDE5Ny42NCA0MzQuNSAxOTkuMDggNDM0Ljk4IDIwMC41MiA0MzUuNDIgMjAxLjgyIDQzNS45MiAy&#10;MDMuMTIgNDM2LjI1IDIwNC40MyA0MzYuMzkgMjA1IDQzNS42IDIwNS41NyA0MzQuNjggMjA1Ljc0&#10;IDQzMy41MSAyMDUuOTYgNDMyLjE1IDIwNS41OSA0MzEuNzkgMjA0LjkxIDQzMS4xOSAyMDMuNzgg&#10;NDMwLjg0IDIwMi42MiA0MzAuNDcgMjAxLjQ3IDQzMC4xNCAyMDAuNDcgNDI5LjgzIDE5OS40NiA0&#10;MjkuNTEgMTk4LjQ2IDQyOS4xOCAxOTcuNDEgNDI4Ljg1IDE5Ni4zNiA0MjguNTYgMTk1LjMxIDQy&#10;OC40MSAxOTQuODEgNDI4LjI3IDE5NC4zMSA0MjguMTcgMTkzLjggNDI4LjEyIDE5My41NiA0Mjgu&#10;MDcgMTkzLjMyIDQyOC4wMyAxOTMuMDggNDI3Ljk5IDE5Mi44MyA0MjcuOTUgMTkyLjUxIDQyOC4w&#10;NiAxOTIuMjcgNDI4LjExIDE5Mi4xNyA0MjguMTYgMTkyLjA3IDQyOC4yNCAxOTEuOTggNDI4LjYg&#10;MTkxLjYgNDI5LjI0IDE5MS40MyA0MjkuOTYgMTkxLjQ1IDQzMC4wMiAxOTEuNDUgNDMwLjA3IDE5&#10;MS40NSA0MzAuMTMgMTkxLjQ1WiIgZmlsbD0iIzAxMDEwMSIvPjxwYXRoIGQ9Ik00NDMuNzQgMTky&#10;Ljg3QzQ0NC4yIDE5My4wNiA0NDQuNDkgMTkzLjQyIDQ0NC43MSAxOTMuNzEgNDQ0LjkgMTkzLjk2&#10;IDQ0NS4wNiAxOTQuMiA0NDUuMjEgMTk0LjQ2IDQ0NS41MyAxOTQuOTkgNDQ1Ljc2IDE5NS41MyA0&#10;NDYuMDEgMTk2LjA3IDQ0Ni41IDE5Ny4xMiA0NDYuOTQgMTk4LjE5IDQ0Ny4zOCAxOTkuMjUgNDQ3&#10;Ljg4IDIwMC40NiA0NDguMzcgMjAxLjY2IDQ0OC43OCAyMDIuODggNDQ4Ljk2IDIwMy40MiA0NDku&#10;MTIgMjAzLjk1IDQ0OS4yNSAyMDQuNDkgNDQ5LjQgMjA1LjEgNDQ5LjUxIDIwNS43MSA0NDkuNyAy&#10;MDYuMzIgNDQ5LjcyIDIwNi41NCA0NDkuNjUgMjA2Ljc0IDQ0OS40OCAyMDYuOTQgNDQ5LjIyIDIw&#10;Ny4yMiA0NDguNzcgMjA3LjQ0IDQ0OC4yNCAyMDcuNTQgNDQ3LjE0IDIwNy43NCA0NDUuOSAyMDcu&#10;MzkgNDQ1LjU1IDIwNi43NyA0NDUuMjIgMjA2LjE4IDQ0NC44MyAyMDUuNjEgNDQ0LjQ1IDIwNS4w&#10;NCA0NDQuMSAyMDQuNTIgNDQzLjgxIDIwMy45OSA0NDMuNTMgMjAzLjQ1IDQ0Mi45NyAyMDIuMzcg&#10;NDQyLjU0IDIwMS4yNiA0NDIuMTIgMjAwLjE1IDQ0MS42OCAxOTguOTggNDQxLjMyIDE5Ny44IDQ0&#10;MSAxOTYuNjEgNDQwLjg2IDE5Ni4wNyA0NDAuNzQgMTk1LjUzIDQ0MC42NCAxOTQuOTkgNDQwLjU5&#10;IDE5NC43NCA0NDAuNTUgMTk0LjQ4IDQ0MC41MyAxOTQuMjIgNDQwLjUgMTkzLjg3IDQ0MC41MSAx&#10;OTMuNSA0NDAuODEgMTkzLjE4IDQ0MS4wNCAxOTIuOTMgNDQxLjQyIDE5Mi43NCA0NDEuOSAxOTIu&#10;NjUgNDQyLjEyIDE5Mi42MSA0NDIuMzQgMTkyLjU5IDQ0Mi41NSAxOTIuNiA0NDIuOTggMTkyLjYx&#10;IDQ0My4zNyAxOTIuNzIgNDQzLjc1IDE5Mi44N1oiIGZpbGw9IiMwMTAxMDEiLz48cGF0aCBkPSJN&#10;NDUwLjQ3IDE5MS4xOEM0NTEuOCAxOTEuMzcgNDUyLjMxIDE5Mi4xOSA0NTIuNzkgMTkyLjgzIDQ1&#10;My4xNiAxOTMuMzMgNDUzLjQ3IDE5My44MyA0NTMuNzggMTk0LjM0IDQ1NC4zOCAxOTUuMzEgNDU0&#10;LjkzIDE5Ni4zIDQ1NS40NSAxOTcuMjkgNDU1Ljk5IDE5OC4zMSA0NTYuNDcgMTk5LjM0IDQ1Ni44&#10;OCAyMDAuMzggNDU3LjI5IDIwMS40MiA0NTcuNjkgMjAyLjQ2IDQ1OC4yIDIwMy40OSA0NTguNDkg&#10;MjA0LjA3IDQ1OC43OSAyMDQuNjUgNDU5LjExIDIwNS4yMyA0NTkuNDggMjA1LjkzIDQ1OC44NCAy&#10;MDYuNyA0NTcuNTkgMjA2LjkzIDQ1Ni4zNyAyMDcuMTYgNDU0Ljk3IDIwNi43NyA0NTQuNTkgMjA2&#10;LjA3IDQ1My45OSAyMDQuOTggNDUzLjM5IDIwMy44OCA0NTIuNzEgMjAyLjggNDUyLjA2IDIwMS43&#10;NyA0NTEuMzkgMjAwLjc2IDQ1MC44NSAxOTkuNzIgNDUwLjM0IDE5OC43MyA0NDkuOTQgMTk3Ljcz&#10;IDQ0OS41MyAxOTYuNzIgNDQ5LjMzIDE5Ni4yMSA0NDkuMTMgMTk1LjcgNDQ4Ljk1IDE5NS4xOCA0&#10;NDguNzMgMTk0LjU2IDQ0OC40OSAxOTMuOTQgNDQ4LjM2IDE5My4zMSA0NDguMjkgMTkyLjk1IDQ0&#10;OC4yNSAxOTIuNTkgNDQ4LjM0IDE5Mi4yNCA0NDguMzggMTkyLjA1IDQ0OC40NyAxOTEuODggNDQ4&#10;LjYyIDE5MS43MSA0NDguOTIgMTkxLjM5IDQ0OS41NiAxOTEuMTQgNDUwLjIyIDE5MS4xNiA0NTAu&#10;MzEgMTkxLjE2IDQ1MC4zOSAxOTEuMTcgNDUwLjQ4IDE5MS4xOFoiIGZpbGw9IiMwMTAxMDEiLz48&#10;cGF0aCBkPSJNNDczLjAyIDE4My45M0M0NzMuNjUgMTg0LjE3IDQ3NC4wMiAxODQuNjUgNDc0LjM0&#10;IDE4NS4wOCA0NzQuNjcgMTg1LjUzIDQ3NC45NyAxODUuOTkgNDc1LjI3IDE4Ni40NSA0NzUuNzkg&#10;MTg3LjI2IDQ3Ni4yOSAxODguMDcgNDc2Ljc4IDE4OC44OSA0NzcuODQgMTkwLjYzIDQ3OC45IDE5&#10;Mi4zNyA0NzkuNzUgMTk0LjE2IDQ4MCAxOTQuNjkgNDc5LjY5IDE5NS4yOCA0NzkuMDUgMTk1LjU4&#10;IDQ3OC42NyAxOTUuNzUgNDc4LjIxIDE5NS44MiA0NzcuNzcgMTk1Ljc1IDQ3Ny4zNyAxOTUuNjkg&#10;NDc2Ljg1IDE5NS40OSA0NzYuNjYgMTk1LjIxIDQ3Ni4wMSAxOTQuMjYgNDc1LjQzIDE5My4zIDQ3&#10;NC44NiAxOTIuMzIgNDc0LjM4IDE5MS41IDQ3My45MiAxOTAuNjcgNDczLjQ2IDE4OS44NSA0NzIu&#10;OTkgMTg5IDQ3Mi41MSAxODguMTQgNDcyLjA2IDE4Ny4yOSA0NzEuODYgMTg2LjkxIDQ3MS42NyAx&#10;ODYuNTMgNDcxLjUgMTg2LjE1IDQ3MS40MSAxODUuOTQgNDcxLjMzIDE4NS43MyA0NzEuMjYgMTg1&#10;LjUyIDQ3MS4xNiAxODUuMjMgNDcxLjA2IDE4NC44NiA0NzEuMTggMTg0LjU3IDQ3MS4yOSAxODQu&#10;MzIgNDcxLjQzIDE4NC4xMiA0NzEuNzUgMTgzLjk4IDQ3MS45OCAxODMuODcgNDcyLjI2IDE4My44&#10;MiA0NzIuNTQgMTgzLjgzIDQ3Mi43MSAxODMuODMgNDcyLjg4IDE4My44NyA0NzMuMDQgMTgzLjkz&#10;WiIgZmlsbD0iIzAxMDEwMSIvPjxwYXRoIGQ9Ik00ODQuODcgMTg4LjZDNDg0Ljg3IDE4OC42IDQ4&#10;NC44MyAxODguNTQgNDg0LjgxIDE4OC41MSA0ODQuOCAxODguNDkgNDg0Ljc5IDE4OC40NyA0ODQu&#10;NzcgMTg4LjQ2IDQ4NC44IDE4OC41MSA0ODQuODMgMTg4LjU1IDQ4NC44NiAxODguNlpNNDc4IDE3&#10;OS4xOUM0NzguNDIgMTc5LjQ2IDQ3OC42MSAxNzkuODEgNDc4LjYxIDE4MC4xNiA0NzkuNjggMTgx&#10;LjIxIDQ4MC41MiAxODIuNCA0ODEuMzYgMTgzLjU1IDQ4Mi41MSAxODUuMTMgNDgzLjYyIDE4Ni43&#10;MiA0ODQuNjkgMTg4LjMyIDQ4NC42IDE4OC4xOCA0ODQuNTEgMTg4LjA1IDQ4NC40MiAxODcuOTEg&#10;NDg0LjU0IDE4OC4wOSA0ODQuNjYgMTg4LjI3IDQ4NC43OCAxODguNDYgNDg0Ljc4IDE4OC40NSA0&#10;ODQuNzYgMTg4LjQ0IDQ4NC43NiAxODguNDMgNDg0Ljc4IDE4OC40NiA0ODQuOCAxODguNDkgNDg0&#10;LjgyIDE4OC41Mkw0ODQuOTEgMTg4LjY1QzQ4NC45MSAxODguNjUgNDg0Ljg5IDE4OC42MiA0ODQu&#10;ODggMTg4LjYxIDQ4NC45IDE4OC42NCA0ODQuOTMgMTg4LjY4IDQ4NC45NSAxODguNzEgNDg0Ljk4&#10;IDE4OC43NSA0ODUuMDEgMTg4LjggNDg1LjA0IDE4OC44NCA0ODUuMDMgMTg4LjgyIDQ4NS4wMSAx&#10;ODguOCA0ODUgMTg4Ljc4IDQ4NS42NSAxODkuNzYgNDg2LjI5IDE5MC43NSA0ODYuODkgMTkxLjc1&#10;IDQ4Ny41MyAxOTIuODIgNDg4LjA2IDE5My45MSA0ODguNjkgMTk0Ljk4IDQ4OS4wOCAxOTUuNjMg&#10;NDg4LjU4IDE5Ni40NCA0ODcuNzkgMTk2LjggNDg3LjMxIDE5Ny4wMiA0ODYuNzEgMTk3LjEgNDg2&#10;LjE1IDE5Ny4wMiA0ODUuNjIgMTk2Ljk1IDQ4NC45OCAxOTYuNjkgNDg0LjcyIDE5Ni4zMyA0ODMu&#10;NzQgMTk0LjkzIDQ4Mi42NyAxOTMuNTcgNDgxLjc0IDE5Mi4xNSA0ODAuODggMTkwLjg2IDQ4MC4w&#10;OCAxODkuNTUgNDc5LjI4IDE4OC4yNCA0NzguNSAxODYuOTUgNDc3LjcyIDE4NS42NyA0NzYuOTgg&#10;MTg0LjM3IDQ3Ni4zOSAxODMuMzMgNDc1LjgxIDE4Mi4yOSA0NzUuNDQgMTgxLjIxIDQ3NS4yIDE4&#10;MS4wNiA0NzUuMDEgMTgwLjg2IDQ3NC45MSAxODAuNjMgNDc0LjY0IDE4MC4wNSA0NzQuOTcgMTc5&#10;LjM5IDQ3NS42OSAxNzkuMDYgNDc2LjA0IDE3OC45IDQ3Ni40NCAxNzguODMgNDc2Ljg0IDE3OC44&#10;NSA0NzcuMjcgMTc4Ljg3IDQ3Ny42OSAxNzguOTkgNDc4LjAyIDE3OS4yWiIgZmlsbD0iIzAxMDEw&#10;MSIvPjxwYXRoIGQ9Ik00ODYuODcgMTc3LjNDNDg3LjMgMTc3LjY4IDQ4Ny43IDE3OC4wOCA0ODgu&#10;MDggMTc4LjQ5IDQ4OC44IDE3OS4yNyA0ODkuNDYgMTgwLjA3IDQ5MC4xMSAxODAuODggNDkxLjQ2&#10;IDE4Mi41NSA0OTIuNzkgMTg0LjIzIDQ5NC4xMSAxODUuOTIgNDk0LjYgMTg2LjU0IDQ5NS4wOCAx&#10;ODcuMTYgNDk1LjUzIDE4Ny44IDQ5Ni4wOCAxODguNTkgNDk2LjU5IDE4OS4zOSA0OTcuMDkgMTkw&#10;LjIgNDk3LjIgMTkwLjQ0IDQ5Ny4yMiAxOTAuNjkgNDk3LjE1IDE5MC45MyA0OTcuMDQgMTkxLjMx&#10;IDQ5Ni43MiAxOTEuNjUgNDk2LjI3IDE5MS44NiA0OTUuMzMgMTkyLjI5IDQ5NC4wOSAxOTIuMDgg&#10;NDkzLjQ3IDE5MS40MyA0OTIuNjggMTkwLjU5IDQ5MS45MiAxODkuNzQgNDkxLjI0IDE4OC44NiA0&#10;OTAuNTkgMTg4LjAzIDQ5MC4wMSAxODcuMTcgNDg5LjQxIDE4Ni4zMiA0ODguMTkgMTg0LjYxIDQ4&#10;NyAxODIuODkgNDg1LjggMTgxLjE3IDQ4NS4zIDE4MC40NCA0ODQuOCAxNzkuNzIgNDg0LjMxIDE3&#10;OC45OSA0ODQuMTEgMTc4LjY5IDQ4My45MiAxNzguMzggNDgzLjc0IDE3OC4wNyA0ODMuNjYgMTc3&#10;LjkzIDQ4My42IDE3Ny43OSA0ODMuNTUgMTc3LjY1IDQ4My41MSAxNzcuNTUgNDgzLjQ1IDE3Ny4z&#10;NiA0ODMuNDUgMTc3LjIzIDQ4My40NSAxNzcuMDIgNDgzLjUgMTc2Ljg4IDQ4My42IDE3Ni42OSA0&#10;ODMuNzUgMTc2LjQyIDQ4NC4yMSAxNzYuMjQgNDg0LjYgMTc2LjIyIDQ4NC42NiAxNzYuMjIgNDg0&#10;LjcyIDE3Ni4yMiA0ODQuNzcgMTc2LjIyIDQ4NS42NyAxNzYuMjYgNDg2LjM1IDE3Ni44NSA0ODYu&#10;ODcgMTc3LjMxWiIgZmlsbD0iIzAxMDEwMSIvPjxwYXRoIGQ9Ik00OTMuMzQgMTcxLjIxQzQ5My40&#10;MyAxNzEuMjUgNDkzLjUyIDE3MS4yOSA0OTMuNjIgMTcxLjM1IDQ5My45MiAxNzEuNTMgNDk0LjE2&#10;IDE3MS43NyA0OTQuNCAxNzEuOTkgNDk0Ljg2IDE3Mi40MiA0OTUuMjcgMTcyLjg2IDQ5NS42NiAx&#10;NzMuMzEgNDk2LjUzIDE3NC4zIDQ5Ny4zOCAxNzUuMzEgNDk4LjI0IDE3Ni4zMSA0OTkuOCAxNzgu&#10;MTEgNTAxLjI5IDE3OS45NCA1MDIuOTUgMTgxLjY5IDUwMy41OSAxODIuMzYgNTA0LjI1IDE4My4w&#10;MSA1MDQuOTMgMTgzLjY2IDUwNS4yOSAxODQuMDEgNTA1LjY0IDE4NC4zNSA1MDUuOTggMTg0Ljcg&#10;NTA2LjEzIDE4NC44NiA1MDYuMjkgMTg1LjAxIDUwNi40MyAxODUuMTcgNTA2LjY4IDE4NS40NiA1&#10;MDYuODUgMTg1Ljc4IDUwNy4wMSAxODYuMSA1MDcuMzIgMTg2Ljc1IDUwNi45NCAxODcuNDkgNTA2&#10;LjE0IDE4Ny44NiA1MDUuMzQgMTg4LjIyIDUwNC4yMyAxODguMTcgNTAzLjU0IDE4Ny43IDUwMy4x&#10;NyAxODcuNDUgNTAyLjc5IDE4Ny4xOCA1MDIuNTIgMTg2Ljg2IDUwMi4zMyAxODYuNjMgNTAyLjE0&#10;IDE4Ni40IDUwMS45NSAxODYuMTcgNTAxLjU3IDE4NS42OSA1MDEuMjIgMTg1LjIgNTAwLjg2IDE4&#10;NC43MSA1MDAuMjEgMTgzLjg0IDQ5OS41OSAxODIuOTYgNDk4LjkzIDE4Mi4wOSA0OTguMjEgMTgx&#10;LjE0IDQ5Ny40OCAxODAuMTkgNDk2Ljc4IDE3OS4yMyA0OTYuMDQgMTc4LjI0IDQ5NS4zNSAxNzcu&#10;MjQgNDk0LjY0IDE3Ni4yNCA0OTQuMDMgMTc1LjM4IDQ5My40MyAxNzQuNTIgNDkyLjg2IDE3My42&#10;NCA0OTIuNjIgMTczLjI2IDQ5Mi4zOCAxNzIuODggNDkyLjE2IDE3Mi40OCA0OTIuMDUgMTcyLjI4&#10;IDQ5MS45OCAxNzIuMDggNDkxLjkyIDE3MS44NiA0OTEuOSAxNzEuNzcgNDkxLjkxIDE3MS42OSA0&#10;OTEuOTQgMTcxLjYxIDQ5MS45NCAxNzEuNDEgNDkyLjA2IDE3MS4yMiA0OTIuMzEgMTcxLjEgNDky&#10;LjQ1IDE3MS4wNCA0OTIuNjIgMTcxLjAxIDQ5Mi43OSAxNzEuMDIgNDkzIDE3MS4wMiA0OTMuMiAx&#10;NzEuMDkgNDkzLjM1IDE3MS4xOFoiIGZpbGw9IiMwMTAxMDEiLz48cGF0aCBkPSJNNTAxLjE5IDE2&#10;NS44QzUwMS4xOSAxNjUuOCA1MDEuMjQgMTY1LjgyIDUwMS4yNiAxNjUuODMgNTAxLjM5IDE2NS44&#10;OSA1MDEuNTIgMTY1Ljk0IDUwMS42NSAxNjUuOTkgNTAyLjA0IDE2Ni4xNSA1MDIuNDEgMTY2LjM2&#10;IDUwMi43NiAxNjYuNTYgNTAzLjM3IDE2Ni45MSA1MDMuOTUgMTY3LjMgNTA0LjUgMTY3LjcgNTA1&#10;LjY3IDE2OC41NiA1MDYuODIgMTY5LjQ0IDUwNy45NyAxNzAuMzEgNTEwLjE5IDE3MiA1MTIuMzgg&#10;MTczLjcgNTE0LjY0IDE3NS4zNiA1MTUuNjggMTc2LjEzIDUxNi42OSAxNzYuOTEgNTE3LjY3IDE3&#10;Ny43MiA1MTguMzEgMTc4LjI0IDUxOC45MyAxNzguNzcgNTE5LjU0IDE3OS4zIDUyMC4wNiAxNzku&#10;NzcgNTIwLjU0IDE4MC4yNiA1MjEuMDYgMTgwLjczIDUyMS4yOCAxODAuOTcgNTIxLjQgMTgxLjIz&#10;IDUyMS40MiAxODEuNTIgNTIxLjQ2IDE4MS45NiA1MjEuMjQgMTgyLjQgNTIwLjgzIDE4Mi43MiA1&#10;MjAuNDMgMTgzLjAzIDUxOS44NiAxODMuMjMgNTE5LjI3IDE4My4yNSA1MTguNyAxODMuMjggNTE3&#10;Ljk5IDE4My4xMyA1MTcuNTkgMTgyLjgzIDUxNi45OSAxODIuMzcgNTE2LjM1IDE4MS45NCA1MTUu&#10;NzYgMTgxLjQ3IDUxNS4yIDE4MS4wMyA1MTQuNjUgMTgwLjU3IDUxNC4xMSAxODAuMTIgNTEyLjk2&#10;IDE3OS4xNSA1MTEuODMgMTc4LjE3IDUxMC43NCAxNzcuMTcgNTA4Ljc1IDE3NS4zMyA1MDYuNzIg&#10;MTczLjUyIDUwNC43NCAxNzEuNjkgNTAzLjcgMTcwLjczIDUwMi42NiAxNjkuNzcgNTAxLjY2IDE2&#10;OC43OSA1MDEuMTkgMTY4LjMzIDUwMC43NCAxNjcuODYgNTAwLjMzIDE2Ny4zOCA1MDAuMTYgMTY3&#10;LjE3IDUwMC4wMSAxNjYuOTUgNDk5Ljg5IDE2Ni43MiA0OTkuODcgMTY2LjY4IDQ5OS44NSAxNjYu&#10;NjMgNDk5LjgzIDE2Ni41OSA0OTkuNjYgMTY2LjM2IDQ5OS43MiAxNjYuMDUgNDk5Ljk2IDE2NS44&#10;NiA1MDAuMTQgMTY1LjcyIDUwMC40MyAxNjUuNjQgNTAwLjcgMTY1LjY1IDUwMC44OCAxNjUuNjUg&#10;NTAxLjA1IDE2NS43IDUwMS4xOCAxNjUuNzlaIiBmaWxsPSIjMDEwMTAxIi8+PHBhdGggZD0iTTUx&#10;Mi42IDE1OS42OUM1MTIuNzYgMTU5Ljc5IDUxMi44NyAxNTkuOTMgNTEyLjkyIDE2MC4wNyA1MTMu&#10;MTYgMTYwLjMzIDUxMy40NiAxNjAuNTcgNTEzLjczIDE2MC44MSA1MTQuMTUgMTYxLjE4IDUxNC41&#10;OCAxNjEuNTQgNTE1IDE2MS45IDUxNS44MyAxNjIuNjIgNTE2LjY1IDE2My4zNSA1MTcuNDYgMTY0&#10;LjA4IDUxOS4xIDE2NS41NyA1MjAuNzQgMTY3LjA3IDUyMi40MyAxNjguNTQgNTIzLjQ4IDE2OS40&#10;NiA1MjQuNTUgMTcwLjM4IDUyNS42MSAxNzEuMyA1MjYuNjkgMTcyLjI0IDUyNy43NCAxNzMuMTgg&#10;NTI4LjgzIDE3NC4xMiA1MjguOTUgMTc0LjI2IDUyOS4wMiAxNzQuNDEgNTI5LjA0IDE3NC41NyA1&#10;MjkuMDYgMTc0LjgyIDUyOC45NCAxNzUuMDggNTI4LjcgMTc1LjI2IDUyOC40NyAxNzUuNDQgNTI4&#10;LjE0IDE3NS41NSA1MjcuOCAxNzUuNTcgNTI3LjQ4IDE3NS41OCA1MjcuMDUgMTc1LjUxIDUyNi44&#10;MyAxNzUuMzMgNTI1Ljk0IDE3NC42MSA1MjUuMDIgMTczLjkyIDUyNC4xNCAxNzMuMjEgNTIzLjIy&#10;IDE3Mi40NiA1MjIuMzYgMTcxLjY4IDUyMS41IDE3MC45IDUxOS45NCAxNjkuNDYgNTE4LjM3IDE2&#10;OC4wMiA1MTYuODQgMTY2LjU3IDUxNS43NyAxNjUuNTYgNTE0LjcyIDE2NC41NSA1MTMuNjYgMTYz&#10;LjUzIDUxMy4xNCAxNjMuMDMgNTEyLjYzIDE2Mi41MiA1MTIuMTIgMTYyLjAxIDUxMS45IDE2MS43&#10;OCA1MTEuNjggMTYxLjU1IDUxMS40NyAxNjEuMzIgNTExLjMyIDE2MS4xNiA1MTEuMTcgMTYwLjk5&#10;IDUxMS4wNCAxNjAuODEgNTEwLjk0IDE2MC43MyA1MTAuODYgMTYwLjYzIDUxMC44MSAxNjAuNTMg&#10;NTEwLjY1IDE2MC4yIDUxMC44NCAxNTkuODIgNTExLjI2IDE1OS42MyA1MTEuNDYgMTU5LjU0IDUx&#10;MS42OSAxNTkuNSA1MTEuOTIgMTU5LjUxIDUxMi4xNyAxNTkuNTEgNTEyLjQxIDE1OS41OSA1MTIu&#10;NiAxNTkuNzFaIiBmaWxsPSIjMDEwMTAxIi8+PHBhdGggZD0iTTUzMy4wMSAxNjYuODRDNTMzLjAx&#10;IDE2Ni44NCA1MzMuMDkgMTY2LjkxIDUzMy4xMyAxNjYuOTQgNTMzLjEzIDE2Ni45NCA1MzMuMTMg&#10;MTY2Ljk0IDUzMy4xNCAxNjYuOTUgNTMzLjE0IDE2Ni45NSA1MzMuMTUgMTY2Ljk2IDUzMy4xNiAx&#10;NjYuOTdMNTMzLjE2IDE2Ni45N0M1MzMuMTYgMTY2Ljk3IDUzMy4yNSAxNjcuMDUgNTMzLjMgMTY3&#10;LjA4IDUzMy4yNSAxNjcuMDQgNTMzLjIgMTY3IDUzMy4xNSAxNjYuOTYgNTMzLjA3IDE2Ni45IDUz&#10;MyAxNjYuODMgNTMyLjkyIDE2Ni43NyA1MzIuOTUgMTY2LjggNTMyLjk4IDE2Ni44MiA1MzMuMDEg&#10;MTY2Ljg1Wk01MzUuNzUgMTY5LjA3QzUzNS43NSAxNjkuMDcgNTM1Ljc5IDE2OS4xIDUzNS44IDE2&#10;OS4xMiA1MzUuNzggMTY5LjEgNTM1Ljc2IDE2OS4wOSA1MzUuNzUgMTY5LjA3Wk01MzMuMDEgMTY2&#10;Ljg1QzUzMy4wMSAxNjYuODUgNTMzLjA3IDE2Ni45IDUzMy4xIDE2Ni45MiA1MzMuMDcgMTY2Ljkg&#10;NTMzLjA0IDE2Ni44NyA1MzMuMDEgMTY2Ljg1Wk01MjIuNzYgMTU0IDUyMi43NiAxNTRDNTIyLjky&#10;IDE1NC4xIDUyMy4wNiAxNTQuMjEgNTIzLjE4IDE1NC4zMSA1MjMuNDYgMTU0LjUzIDUyMy43MiAx&#10;NTQuNzYgNTIzLjk4IDE1NC45OSA1MjQuNDggMTU1LjQyIDUyNC45OCAxNTUuODYgNTI1LjQ4IDE1&#10;Ni4zIDUyNi40MiAxNTcuMTQgNTI3LjM2IDE1Ny45OCA1MjguMzEgMTU4LjgyIDUzMC4yNCAxNjAu&#10;NTMgNTMyLjE5IDE2Mi4yMyA1MzQuMDYgMTYzLjk2IDUzNC44NCAxNjQuNjkgNTM1LjYyIDE2NS40&#10;MiA1MzYuMzQgMTY2LjE3IDUzNy4xIDE2Ni45NiA1MzcuODQgMTY3Ljc1IDUzOC42NiAxNjguNTIg&#10;NTM5LjEyIDE2OC45NSA1MzguODUgMTY5LjYxIDUzOC4yNSAxNjkuODggNTM3Ljk1IDE3MC4wMiA1&#10;MzcuNTggMTcwLjA3IDUzNy4yMyAxNzAuMDIgNTM2LjgzIDE2OS45NiA1MzYuNTkgMTY5LjggNTM2&#10;LjM0IDE2OS41OSA1MzYuMTcgMTY5LjQ0IDUzNiAxNjkuMjkgNTM1LjgzIDE2OS4xNSA1MzQuOTYg&#10;MTY4LjQzIDUzNC4wNCAxNjcuNzMgNTMzLjE4IDE2NyA1MzMuMjcgMTY3LjA4IDUzMy4zNiAxNjcu&#10;MTUgNTMzLjQ2IDE2Ny4yMyA1MzMuMzUgMTY3LjE0IDUzMy4yNSAxNjcuMDUgNTMzLjE0IDE2Ni45&#10;NiA1MzMuMSAxNjYuOTIgNTMzLjA1IDE2Ni44OSA1MzMuMDEgMTY2Ljg1IDUzMi45NyAxNjYuODEg&#10;NTMyLjkzIDE2Ni43OCA1MzIuODggMTY2Ljc0IDUzMi44OSAxNjYuNzUgNTMyLjkgMTY2Ljc2IDUz&#10;Mi45MiAxNjYuNzcgNTMwLjk5IDE2NS4xMyA1MjkuMTkgMTYzLjQgNTI3LjQxIDE2MS42OCA1MjUu&#10;NTYgMTU5LjkgNTIzLjY4IDE1OC4xMiA1MjEuOSAxNTYuMzEgNTIxLjY3IDE1Ni4wOCA1MjEuNDYg&#10;MTU1Ljg0IDUyMS4yNSAxNTUuNiA1MjEuMDggMTU1LjQgNTIwLjg4IDE1NS4xOCA1MjAuNzkgMTU0&#10;Ljk0IDUyMC42NSAxNTQuNjUgNTIwLjczIDE1NC4zMSA1MjEuMDQgMTU0LjA3IDUyMS4zIDE1My44&#10;NyA1MjEuNjYgMTUzLjc3IDUyMi4wMiAxNTMuNzkgNTIyLjI5IDE1My44IDUyMi41NiAxNTMuODcg&#10;NTIyLjc4IDE1NC4wMVoiIGZpbGw9IiMwMTAxMDEiLz48cGF0aCBkPSJNNTM0LjA3IDE1Mi40NUM1&#10;MzQgMTUyLjM5IDUzMy45MiAxNTIuMzMgNTMzLjg1IDE1Mi4yNyA1MzMuOTIgMTUyLjMzIDUzNCAx&#10;NTIuMzkgNTM0LjA3IDE1Mi40NVpNNTQzLjY4IDE2NC43MkM1NDMuNjggMTY0LjcyIDU0My42OCAx&#10;NjQuNzIgNTQzLjY4IDE2NC43MiA1NDMuNzIgMTY0Ljc1IDU0My43NiAxNjQuNzkgNTQzLjggMTY0&#10;LjgyIDU0My43NCAxNjQuNzcgNTQzLjY5IDE2NC43MyA1NDMuNjMgMTY0LjY4IDU0My42NCAxNjQu&#10;NjkgNTQzLjY1IDE2NC43IDU0My42NyAxNjQuNzFaTTUzMC4yNiAxNDkuODhDNTMwLjY4IDE0OS45&#10;MyA1MzEuMDggMTUwLjE0IDUzMS4zOSAxNTAuMzQgNTMxLjY1IDE1MC41MSA1MzEuOTEgMTUwLjY5&#10;IDUzMi4xNSAxNTAuODggNTMyLjc0IDE1MS4zMyA1MzMuMyAxNTEuOCA1MzMuODYgMTUyLjI3IDUz&#10;My44NCAxNTIuMjYgNTMzLjgzIDE1Mi4yNCA1MzMuODEgMTUyLjIzIDUzNS42MSAxNTMuNzUgNTM3&#10;LjM2IDE1NS4zMSA1MzkuMDcgMTU2Ljg4IDU0MC43MiAxNTguNCA1NDIuMzkgMTU5LjkxIDU0My44&#10;OCAxNjEuNSA1NDQuODggMTYyLjU3IDU0NS44NiAxNjMuNjQgNTQ2LjkzIDE2NC42NyA1NDcuMzUg&#10;MTY1LjA3IDU0Ny4xMSAxNjUuNjggNTQ2LjU1IDE2NS45NCA1NDYuMjcgMTY2LjA3IDU0NS45MiAx&#10;NjYuMTIgNTQ1LjU5IDE2Ni4wNyA1NDUuMjIgMTY2LjAyIDU0NC45OCAxNjUuODcgNTQ0Ljc2IDE2&#10;NS42NyA1NDQuNDMgMTY1LjM3IDU0NC4wOCAxNjUuMDcgNTQzLjc0IDE2NC43NyA1NDMuODEgMTY0&#10;LjgzIDU0My44OSAxNjQuODkgNTQzLjk2IDE2NC45NiA1NDMuODcgMTY0Ljg4IDU0My43OCAxNjQu&#10;ODEgNTQzLjY5IDE2NC43MyA1NDMuNjkgMTY0LjczIDU0My42OSAxNjQuNzMgNTQzLjY5IDE2NC43&#10;MyA1NDMuNjYgMTY0LjcgNTQzLjYzIDE2NC42OCA1NDMuNiAxNjQuNjUgNTQzLjYyIDE2NC42NyA1&#10;NDMuNjQgMTY0LjY4IDU0My42NiAxNjQuNyA1NDMuNTkgMTY0LjY0IDU0My41MiAxNjQuNTggNTQz&#10;LjQ1IDE2NC41MiA1NDMuNTIgMTY0LjU5IDU0My42IDE2NC42NSA1NDMuNjggMTY0LjcxIDU0Mi44&#10;MSAxNjMuOTkgNTQxLjkyIDE2My4yOSA1NDEuMDUgMTYyLjU3IDU0MC4xMSAxNjEuNzggNTM5LjIx&#10;IDE2MC45OCA1MzguMzEgMTYwLjE3IDUzNi42MyAxNTguNjQgNTM0Ljk5IDE1Ny4wOSA1MzMuMzYg&#10;MTU1LjU0IDUzMi41NiAxNTQuNzkgNTMxLjc3IDE1NC4wMyA1MzAuOTkgMTUzLjI3IDUzMC42IDE1&#10;Mi44OSA1MzAuMjEgMTUyLjUgNTI5LjgyIDE1Mi4xMSA1MjkuNDMgMTUxLjcyIDUyOC45MiAxNTEu&#10;MjYgNTI4Ljg3IDE1MC43NiA1MjguODIgMTUwLjI0IDUyOS40NiAxNDkuODUgNTMwLjE0IDE0OS44&#10;OCA1MzAuMTggMTQ5Ljg4IDUzMC4yMyAxNDkuODggNTMwLjI3IDE0OS44OVoiIGZpbGw9IiMwMTAx&#10;MDEiLz48cGF0aCBkPSJNNTQwLjIgMTQ0LjFDNTQwLjU0IDE0NC4xNSA1NDAuNzcgMTQ0LjMyIDU0&#10;MC45OSAxNDQuNDkgNTQxLjI4IDE0NC43MSA1NDEuNTUgMTQ0Ljk0IDU0MS44MiAxNDUuMTcgNTQy&#10;LjE5IDE0NS40OCA1NDIuNTQgMTQ1LjggNTQyLjg5IDE0Ni4xMyA1NDMuNTggMTQ2Ljc2IDU0NC4y&#10;NCAxNDcuNCA1NDQuOTEgMTQ4LjA0IDU0Ni4zIDE0OS4zNSA1NDcuNjggMTUwLjY3IDU0OS4wNSAx&#10;NTIgNTUwLjEzIDE1My4wNSA1NTEuMjEgMTU0LjExIDU1Mi4zMyAxNTUuMTQgNTUzLjQ5IDE1Ni4y&#10;IDU1NC42NiAxNTcuMjYgNTU1Ljg0IDE1OC4zMSA1NTYuMDEgMTU4LjQ3IDU1Ni4wNSAxNTguNzIg&#10;NTU2IDE1OC45MSA1NTUuOTQgMTU5LjEzIDU1NS43NiAxNTkuMzIgNTU1LjUgMTU5LjQ0IDU1NS4y&#10;NSAxNTkuNTUgNTU0Ljk0IDE1OS42IDU1NC42NSAxNTkuNTUgNTU0LjMyIDE1OS41IDU1NC4xMiAx&#10;NTkuMzcgNTUzLjkxIDE1OS4xOSA1NTIuNDYgMTU3LjkgNTUwLjk2IDE1Ni42NCA1NDkuNDggMTU1&#10;LjM3IDU0OC4wMyAxNTQuMTMgNTQ2LjY5IDE1Mi44MyA1NDUuMzYgMTUxLjUzIDU0NC4yNSAxNTAu&#10;NDMgNTQzLjE0IDE0OS4zNCA1NDIuMDUgMTQ4LjIzIDU0MS41MyAxNDcuNyA1NDEgMTQ3LjE2IDU0&#10;MC41IDE0Ni42MiA1NDAuMjIgMTQ2LjMzIDUzOS45NSAxNDYuMDQgNTM5LjY4IDE0NS43NCA1Mzku&#10;MzMgMTQ1LjM2IDUzOC45IDE0NC45MiA1MzkuMTkgMTQ0LjQ1IDUzOS4zNCAxNDQuMjIgNTM5Ljcx&#10;IDE0NC4wOCA1NDAuMDcgMTQ0LjA5IDU0MC4xMSAxNDQuMDkgNTQwLjE2IDE0NC4wOSA1NDAuMiAx&#10;NDQuMVoiIGZpbGw9IiMwMTAxMDEiLz48cGF0aCBkPSJNNTUzLjg5IDE0My45NEM1NTMuODkgMTQz&#10;Ljk0IDU1My44NiAxNDMuOTIgNTUzLjg1IDE0My45MSA1NTMuODYgMTQzLjkyIDU1My44OCAxNDMu&#10;OTMgNTUzLjg5IDE0My45NFpNNTU0LjM5IDE0OC4wNkM1NTQuNDUgMTQ4LjExIDU1NC41MSAxNDgu&#10;MTYgNTU0LjU4IDE0OC4yMiA1NTQuNTEgMTQ4LjE2IDU1NC40NCAxNDguMSA1NTQuMzYgMTQ4LjA0&#10;IDU1NC4zNyAxNDguMDQgNTU0LjM4IDE0OC4wNiA1NTQuMzkgMTQ4LjA3Wk01NDguOTUgMTM5Ljk1&#10;QzU0OS40OSAxNDAuMzYgNTUwLjAyIDE0MC43OCA1NTAuNTQgMTQxLjIxIDU1MS42MSAxNDIuMDcg&#10;NTUyLjY4IDE0Mi45MyA1NTMuNzMgMTQzLjgxIDU1My43NyAxNDMuODQgNTUzLjgxIDE0My44OCA1&#10;NTMuODUgMTQzLjkxIDU1My44NCAxNDMuOSA1NTMuODMgMTQzLjg5IDU1My44MSAxNDMuODggNTUz&#10;Ljg1IDE0My45MiA1NTMuOSAxNDMuOTUgNTUzLjk0IDE0My45OSA1NTMuOTIgMTQzLjk3IDU1My45&#10;IDE0My45NiA1NTMuODggMTQzLjk0IDU1NS40MyAxNDUuMjQgNTU2Ljk1IDE0Ni41NiA1NTguNDEg&#10;MTQ3LjkxIDU1OS4wOSAxNDguNTUgNTU5Ljc2IDE0OS4yIDU2MC40MiAxNDkuODUgNTYxLjEyIDE1&#10;MC41MyA1NjEuODUgMTUxLjIgNTYyLjU5IDE1MS44NiA1NjIuNzkgMTUyLjA0IDU2Mi44NCAxNTIu&#10;MzUgNTYyLjc4IDE1Mi41NyA1NjIuNzEgMTUyLjgyIDU2Mi40OSAxNTMuMDUgNTYyLjE5IDE1My4x&#10;OCA1NjEuOSAxNTMuMzEgNTYxLjU0IDE1My4zNiA1NjEuMiAxNTMuMzEgNTYwLjgxIDE1My4yNiA1&#10;NjAuNTggMTUzLjEgNTYwLjM0IDE1Mi44OSA1NjAuMTIgMTUyLjcgNTU5LjkgMTUyLjUyIDU1OS42&#10;OCAxNTIuMzMgNTU4Ljg4IDE1MS42NyA1NTguMDYgMTUxLjAyIDU1Ny4yMyAxNTAuMzggNTU2LjMy&#10;IDE0OS42NyA1NTUuNDQgMTQ4Ljk1IDU1NC41NyAxNDguMjEgNTU0LjU5IDE0OC4yMyA1NTQuNjEg&#10;MTQ4LjI0IDU1NC42MyAxNDguMjYgNTU0LjU1IDE0OC4xOSA1NTQuNDcgMTQ4LjEzIDU1NC4zOSAx&#10;NDguMDYgNTU0LjM4IDE0OC4wNSA1NTQuMzYgMTQ4LjA0IDU1NC4zNSAxNDguMDMgNTU0LjM1IDE0&#10;OC4wMyA1NTQuMzUgMTQ4LjAzIDU1NC4zNSAxNDguMDMgNTUyLjgxIDE0Ni43NCA1NTEuMjggMTQ1&#10;LjQzIDU0OS43NyAxNDQuMTIgNTQ4Ljk5IDE0My40NCA1NDguMjEgMTQyLjc2IDU0Ny40NSAxNDIu&#10;MDYgNTQ3LjA5IDE0MS43MyA1NDYuNzIgMTQxLjM5IDU0Ni4zNiAxNDEuMDUgNTQ2LjIxIDE0MC45&#10;MSA1NDYuMDYgMTQwLjc3IDU0NS45MSAxNDAuNjIgNTQ1LjY3IDE0MC4zOCA1NDUuNDkgMTQwLjE1&#10;IDU0NS40MyAxMzkuODQgNTQ1LjMzIDEzOS4zNSA1NDUuOTggMTM4Ljg4IDU0Ni42NSAxMzguODYg&#10;NTQ2LjY5IDEzOC44NiA1NDYuNzQgMTM4Ljg2IDU0Ni43OCAxMzguODYgNTQ3LjY4IDEzOC45IDU0&#10;OC4zNSAxMzkuNDkgNTQ4LjkzIDEzOS45M1oiIGZpbGw9IiMwMTAxMDEiLz48cGF0aCBkPSJNNTY2&#10;LjAzIDE0NC42OEM1NjYuMDMgMTQ0LjY4IDU2Ni4wOCAxNDQuNzIgNTY2LjEgMTQ0Ljc0IDU2Ni4w&#10;OCAxNDQuNzIgNTY2LjA1IDE0NC43IDU2Ni4wMyAxNDQuNjhaTTU1Ni4xNSAxMzMuMTNDNTU2LjUy&#10;IDEzMy4yIDU1Ni43NyAxMzMuMzUgNTU3LjAyIDEzMy41NCA1NTcuMjUgMTMzLjcyIDU1Ny40NyAx&#10;MzMuOTEgNTU3LjY4IDEzNC4xMSA1NTguMDUgMTM0LjQ0IDU1OC40MSAxMzQuNzYgNTU4Ljc4IDEz&#10;NS4wOSA1NTkuNTEgMTM1Ljc1IDU2MC4yNSAxMzYuNCA1NjAuOTkgMTM3LjA2IDU2Mi41MiAxMzgu&#10;NDEgNTY0LjA1IDEzOS43NiA1NjUuNTcgMTQxLjEyIDU2Ny40NyAxNDIuODIgNTY5LjI3IDE0NC41&#10;OCA1NzEuMTkgMTQ2LjI3IDU3MS4zOSAxNDYuNDUgNTcxLjQzIDE0Ni43NCA1NzEuMzcgMTQ2Ljk1&#10;IDU3MS4zIDE0Ny4xOSA1NzEuMSAxNDcuNDEgNTcwLjggMTQ3LjU0IDU3MC41MiAxNDcuNjcgNTcw&#10;LjE3IDE0Ny43MiA1NjkuODQgMTQ3LjY3IDU2OS40NyAxNDcuNjIgNTY5LjI0IDE0Ny40NyA1Njku&#10;MDEgMTQ3LjI3IDU2Ny45NyAxNDYuMzYgNTY2LjkyIDE0NS40NSA1NjUuODUgMTQ0LjU1IDU2NS44&#10;OCAxNDQuNTcgNTY1LjkgMTQ0LjU5IDU2NS45MyAxNDQuNjEgNTY0LjMzIDE0My4yNiA1NjIuOCAx&#10;NDEuODggNTYxLjI5IDE0MC40OSA1NTkuODUgMTM5LjE2IDU1OC40MiAxMzcuODIgNTU3LjAzIDEz&#10;Ni40NiA1NTYuNjIgMTM2LjA2IDU1Ni4yMyAxMzUuNjYgNTU1Ljg1IDEzNS4yNSA1NTUuNjUgMTM1&#10;LjA0IDU1NS40NiAxMzQuODIgNTU1LjI4IDEzNC42IDU1NS4wNSAxMzQuMzIgNTU0Ljg1IDEzNC4w&#10;MiA1NTQuOTQgMTMzLjY4IDU1NS4wMyAxMzMuMzQgNTU1LjQ5IDEzMy4wOCA1NTUuOTcgMTMzLjEg&#10;NTU2LjAyIDEzMy4xIDU1Ni4wOCAxMzMuMSA1NTYuMTMgMTMzLjEyWiIgZmlsbD0iIzAxMDEwMSIv&#10;PjxwYXRoIGQ9Ik01NjMuOTkgMTMwLjQyQzU2My45OSAxMzAuNDIgNTY0LjA1IDEzMC40NyA1NjQu&#10;MDcgMTMwLjQ5IDU2NC4wNCAxMzAuNDcgNTY0LjAxIDEzMC40NCA1NjMuOTkgMTMwLjQyWk01NjIu&#10;OSAxMjYuNjFDNTYzLjI3IDEyNi43NiA1NjMuNjIgMTI2Ljk1IDU2My45NSAxMjcuMTQgNTY0LjU3&#10;IDEyNy41MSA1NjUuMTcgMTI3LjkgNTY1Ljc2IDEyOC4zIDU2Ni45IDEyOS4wNyA1NjguMDEgMTI5&#10;Ljg2IDU2OS4xMiAxMzAuNjYgNTcxLjI5IDEzMi4yMiA1NzMuNDMgMTMzLjc5IDU3NS41NSAxMzUu&#10;MzggNTc2LjMxIDEzNS45NSA1NzcuMDggMTM2LjUyIDU3Ny44MyAxMzcuMSA1NzguNjYgMTM3Ljc1&#10;IDU3OS40MiAxMzguNDMgNTgwLjIgMTM5LjEgNTgwLjM4IDEzOS4yNSA1ODAuNTYgMTM5LjM5IDU4&#10;MC43NCAxMzkuNTMgNTgxLjA3IDEzOS43OSA1ODEuMyAxNDAuMDQgNTgxLjMzIDE0MC40IDU4MS4z&#10;NiAxNDAuNzQgNTgxLjE5IDE0MS4wOSA1ODAuODcgMTQxLjM0IDU4MC4yMyAxNDEuODUgNTc5LjAz&#10;IDE0MS45MiA1NzguMzIgMTQxLjQzIDU3Ny4xOSAxNDAuNjUgNTc1Ljk2IDEzOS45NiA1NzQuODUg&#10;MTM5LjE4IDU3My43NiAxMzguNDIgNTcyLjc0IDEzNy42MSA1NzEuNzMgMTM2Ljc5IDU2OS43IDEz&#10;NS4xNiA1NjcuNzIgMTMzLjUxIDU2NS43MyAxMzEuODYgNTY1LjM1IDEzMS41NCA1NjQuOTYgMTMx&#10;LjIyIDU2NC41OCAxMzAuOSA1NjQuMzQgMTMwLjcgNTY0LjA5IDEzMC40OSA1NjMuODUgMTMwLjI5&#10;IDU2My4yNyAxMjkuOCA1NjIuNjkgMTI5LjMgNTYyLjEyIDEyOC44IDU2MS44NyAxMjguNTggNTYx&#10;LjYyIDEyOC4zNiA1NjEuMzkgMTI4LjE0IDU2MS4xNCAxMjcuODkgNTYwLjgzIDEyNy41OCA1NjAu&#10;ODUgMTI3LjI2IDU2MC44NyAxMjYuOTMgNTYxLjA5IDEyNi41NSA1NjEuNiAxMjYuNDYgNTYxLjc4&#10;IDEyNi40MyA1NjEuOTUgMTI2LjQyIDU2Mi4xMiAxMjYuNDIgNTYyLjM5IDEyNi40MyA1NjIuNjUg&#10;MTI2LjQ5IDU2Mi45MSAxMjYuNTlaIiBmaWxsPSIjMDEwMTAxIi8+PHBhdGggZD0iTTU4NC4yMyAx&#10;MzUuODlDNTg0LjMgMTM1Ljk2IDU4NC4zOCAxMzYuMDIgNTg0LjQ2IDEzNi4wOCA1ODQuMzkgMTM2&#10;LjAyIDU4NC4zMSAxMzUuOTUgNTg0LjIzIDEzNS44OVpNNTczLjE0IDEyMi41N0M1NzMuNDIgMTIy&#10;LjY4IDU3My42MiAxMjIuODUgNTczLjgyIDEyMy4wMiA1NzQuMDcgMTIzLjIyIDU3NC4zIDEyMy40&#10;MiA1NzQuNTQgMTIzLjYyIDU3NC45MyAxMjMuOTYgNTc1LjMxIDEyNC4zIDU3NS43IDEyNC42NCA1&#10;NzYuNDUgMTI1LjMxIDU3Ny4xOCAxMjUuOTkgNTc3LjkxIDEyNi42NyA1NzkuNDQgMTI4LjA4IDU4&#10;MC45OSAxMjkuNDcgNTgyLjU2IDEzMC44NiA1ODMuNiAxMzEuNzggNTg0LjYzIDEzMi43IDU4NS41&#10;OCAxMzMuNjcgNTg2LjUzIDEzNC42NCA1ODcuNTEgMTM1LjU4IDU4OC41MiAxMzYuNTEgNTg4Ljc0&#10;IDEzNi43MSA1ODguNzkgMTM3LjAyIDU4OC43MiAxMzcuMjUgNTg4LjY1IDEzNy41MSA1ODguNDIg&#10;MTM3Ljc1IDU4OC4xIDEzNy45IDU4Ny43OSAxMzguMDQgNTg3LjQyIDEzOC4wOSA1ODcuMDYgMTM4&#10;LjA0IDU4Ni42NiAxMzcuOTggNTg2LjQgMTM3LjgyIDU4Ni4xNiAxMzcuNiA1ODUuNiAxMzcuMDkg&#10;NTg1LjAzIDEzNi42IDU4NC40NSAxMzYuMSA1ODMuNjYgMTM1LjQ1IDU4Mi44NCAxMzQuODIgNTgy&#10;LjA1IDEzNC4xNyA1ODEuMTggMTMzLjQ1IDU4MC4zNSAxMzIuNzEgNTc5LjU0IDEzMS45NSA1Nzgu&#10;MDQgMTMwLjU1IDU3Ni42MSAxMjkuMTEgNTc1LjI4IDEyNy42NCA1NzQuNjEgMTI2LjkgNTczLjk2&#10;IDEyNi4xNyA1NzMuMzQgMTI1LjQxIDU3My4wNiAxMjUuMDcgNTcyLjggMTI0LjczIDU3Mi41NSAx&#10;MjQuMzggNTcyLjIzIDEyMy45MiA1NzEuNzQgMTIzLjM1IDU3Mi4wNSAxMjIuODMgNTcyLjE3IDEy&#10;Mi42MiA1NzIuNTEgMTIyLjUxIDU3Mi44MiAxMjIuNTIgNTcyLjkzIDEyMi41MiA1NzMuMDMgMTIy&#10;LjU0IDU3My4xMiAxMjIuNThaIiBmaWxsPSIjMDEwMTAxIi8+PHBhdGggZD0iTTU4NC42MiAxMTMu&#10;ODZDNTg0Ljc2IDExMy44OCA1ODQuOTEgMTEzLjkzIDU4NS4wNSAxMTMuOTcgNTg1LjI5IDExNC4w&#10;NCA1ODUuNSAxMTQuMTggNTg1LjcgMTE0LjMgNTg2LjAxIDExNC40NyA1ODYuMjcgMTE0LjY4IDU4&#10;Ni41NCAxMTQuODggNTg3LjA0IDExNS4yNSA1ODcuNTEgMTE1LjY0IDU4Ny45OCAxMTYuMDMgNTg5&#10;LjAyIDExNi45IDU5MC4wMiAxMTcuNzkgNTkxIDExOC42OSA1OTIuODQgMTIwLjM3IDU5NC42MyAx&#10;MjIuMDggNTk2LjMzIDEyMy44NCA1OTcuMDUgMTI0LjU5IDU5Ny43IDEyNS4zNyA1OTguMzYgMTI2&#10;LjE1IDU5OS4wNiAxMjYuOTcgNTk5LjgyIDEyNy43NSA2MDAuNjEgMTI4LjUyIDYwMS4xMyAxMjku&#10;MDMgNjAwLjg0IDEyOS43OCA2MDAuMTMgMTMwLjExIDU5OS43OCAxMzAuMjcgNTk5LjM1IDEzMC4z&#10;MyA1OTguOTQgMTMwLjI3IDU5OC40OSAxMzAuMjEgNTk4LjE3IDEzMC4wMiA1OTcuOSAxMjkuNzcg&#10;NTk3LjM0IDEyOS4yNCA1OTYuNzcgMTI4LjcyIDU5Ni4xNyAxMjguMiA1OTUuMTcgMTI3LjM4IDU5&#10;NC4xMyAxMjYuNTkgNTkzLjE2IDEyNS43NSA1OTIuMjMgMTI0Ljk1IDU5MS4zNSAxMjQuMTIgNTkw&#10;LjQ3IDEyMy4zIDU4OC42NCAxMjEuNTkgNTg2Ljg2IDExOS44NSA1ODUuMjIgMTE4LjA1IDU4NC43&#10;OCAxMTcuNTYgNTg0LjMzIDExNy4wNiA1ODMuOTQgMTE2LjU0IDU4My42NyAxMTYuMTggNTgzLjQy&#10;IDExNS44MiA1ODMuMjEgMTE1LjQ1IDU4My4wNiAxMTUuMTkgNTgzLjAzIDExNC44OSA1ODMuMDgg&#10;MTE0LjYyIDU4My4xNSAxMTQuMjQgNTgzLjY2IDExMy44NCA1ODQuMjMgMTEzLjg1IDU4NC4zIDEx&#10;My44NSA1ODQuMzggMTEzLjg1IDU4NC40NSAxMTMuODUgNTg0LjUgMTEzLjg1IDU4NC41NiAxMTMu&#10;ODUgNTg0LjYgMTEzLjg2WiIgZmlsbD0iIzAxMDEwMSIvPjxwYXRoIGQ9Ik01OTUuODIgMTEwLjAy&#10;QzU5Ni4zMiAxMTAuMDggNTk2LjczIDExMC4zMiA1OTcuMTEgMTEwLjU0IDU5Ny4zNSAxMTAuNjgg&#10;NTk3LjU3IDExMC44NSA1OTcuNzkgMTExLjAxIDU5OC4zMiAxMTEuMzkgNTk4Ljc5IDExMS44IDU5&#10;OS4yNyAxMTIuMjEgNjAwLjEyIDExMi45MyA2MDAuOTIgMTEzLjY3IDYwMS43MSAxMTQuNDMgNjAz&#10;LjIxIDExNS44OCA2MDQuNzQgMTE3LjMyIDYwNi4yOCAxMTguNzUgNjA3LjMxIDExOS43IDYwOC4z&#10;NSAxMjAuNjUgNjA5LjQgMTIxLjYgNjA5LjY5IDEyMS44NiA2MDkuNzUgMTIyLjI4IDYwOS42NiAx&#10;MjIuNTkgNjA5LjU2IDEyMi45NCA2MDkuMjYgMTIzLjI2IDYwOC44NCAxMjMuNDUgNjA4LjQzIDEy&#10;My42NCA2MDcuOTIgMTIzLjcxIDYwNy40NSAxMjMuNjQgNjA3LjI5IDEyMy42IDYwNy4xMyAxMjMu&#10;NTYgNjA2Ljk3IDEyMy41MiA2MDYuNjYgMTIzLjQxIDYwNi40MiAxMjMuMjUgNjA2LjI0IDEyMy4w&#10;NSA2MDQuNjMgMTIxLjU5IDYwMy4wMyAxMjAuMTIgNjAxLjQxIDExOC42NyA1OTkuOCAxMTcuMjIg&#10;NTk4LjEyIDExNS44MSA1OTYuNjIgMTE0LjMgNTk2LjE4IDExMy44NSA1OTUuNzQgMTEzLjQgNTk1&#10;LjMxIDExMi45NCA1OTUuMDggMTEyLjY5IDU5NC44NiAxMTIuNDMgNTk0LjY0IDExMi4xOCA1OTQu&#10;NSAxMTIgNTk0LjM2IDExMS44MSA1OTQuMjQgMTExLjYxIDU5NC4xIDExMS4zNiA1OTQuMDcgMTEx&#10;LjEgNTk0LjExIDExMC44MiA1OTQuMjEgMTEwLjMgNTk0Ljk1IDEwOS45OCA1OTUuNjQgMTEwLjAx&#10;IDU5NS42OSAxMTAuMDEgNTk1Ljc1IDExMC4wMSA1OTUuOCAxMTAuMDJaIiBmaWxsPSIjMDEwMTAx&#10;Ii8+PHBhdGggZD0iTTYwNC42NyAxMDEuNzlDNjA0LjY3IDEwMS43OSA2MDQuNjUgMTAxLjgxIDYw&#10;NC42NCAxMDEuODJMNjA0LjY0IDEwMS44MkM2MDQuNjQgMTAxLjgyIDYwNC42NCAxMDEuODIgNjA0&#10;LjY0IDEwMS44MiA2MDQuNjQgMTAxLjgxIDYwNC42NiAxMDEuOCA2MDQuNjYgMTAxLjc5Wk02MDYu&#10;MTcgMTAxLjQ1QzYwNi4xNyAxMDEuNDUgNjA2LjIxIDEwMS40NiA2MDYuMjMgMTAxLjQ3IDYwNi4y&#10;MiAxMDEuNDcgNjA2LjIgMTAxLjQ2IDYwNi4xOSAxMDEuNDUgNjA2LjE5IDEwMS40NSA2MDYuMTgg&#10;MTAxLjQ1IDYwNi4xNyAxMDEuNDVaTTYwNS4zMSAxMDEuNEM2MDUuMzEgMTAxLjQgNjA1LjMxIDEw&#10;MS40IDYwNS4zMSAxMDEuNCA2MDUuMzEgMTAxLjQgNjA1LjMxIDEwMS40IDYwNS4zMSAxMDEuNCA2&#10;MDUuMzEgMTAxLjQgNjA1LjMxIDEwMS40IDYwNS4zMSAxMDEuNFpNNjA3LjY0IDEwMi4zN0M2MDgu&#10;MTEgMTAyLjc3IDYwOC41NCAxMDMuMiA2MDguOTcgMTAzLjYzIDYwOS45MSAxMDQuNTUgNjEwLjg0&#10;IDEwNS40NyA2MTEuNzYgMTA2LjQxIDYxMy41NSAxMDguMjIgNjE1LjE2IDExMC4xMSA2MTYuODcg&#10;MTExLjk2IDYxNy44NyAxMTMuMDUgNjE4Ljg5IDExNC4xMiA2MTkuOSAxMTUuMjEgNjIwLjQgMTE1&#10;Ljc0IDYyMC4xNiAxMTYuNDcgNjE5LjQyIDExNi44MiA2MTguNjcgMTE3LjE3IDYxNy42NiAxMTcg&#10;NjE3LjE2IDExNi40OCA2MTUuNDUgMTE0LjY2IDYxMy43NCAxMTIuODQgNjExLjk1IDExMS4wNiA2&#10;MTAuMDkgMTA5LjIxIDYwOC4yNyAxMDcuMzMgNjA2LjU5IDEwNS4zOSA2MDYuMTYgMTA0Ljg5IDYw&#10;NS43NCAxMDQuMzcgNjA1LjM3IDEwMy44NSA2MDUuMTQgMTAzLjUyIDYwNC45IDEwMy4xOSA2MDQu&#10;NyAxMDIuODUgNjA0LjU3IDEwMi42MiA2MDQuNDggMTAyLjM4IDYwNC41IDEwMi4xNSA2MDQuNTEg&#10;MTAxLjk2IDYwNC42MSAxMDEuNzggNjA0Ljc5IDEwMS42NCA2MDQuOTYgMTAxLjUxIDYwNS4xOCAx&#10;MDEuNDIgNjA1LjQgMTAxLjM5IDYwNS41MiAxMDEuMzcgNjA1LjY0IDEwMS4zNiA2MDUuNzUgMTAx&#10;LjM3IDYwNi41MiAxMDEuNCA2MDcuMTQgMTAxLjk4IDYwNy42MiAxMDIuMzhaIiBmaWxsPSIjMDEw&#10;MTAxIi8+PC9zdmc+UEsDBBQABgAIAAAAIQDVZov73QAAAAUBAAAPAAAAZHJzL2Rvd25yZXYueG1s&#10;TI9BS8NAEIXvgv9hGcGb3SRaaWMmpRT1VIS2gnibJtMkNLsbstsk/feOJz09hje8971sNZlWDdz7&#10;xlmEeBaBYlu4srEVwufh7WEBygeyJbXOMsKVPazy25uM0tKNdsfDPlRKQqxPCaEOoUu19kXNhvzM&#10;dWzFO7neUJCzr3TZ0yjhptVJFD1rQ42Vhpo63tRcnPcXg/A+0rh+jF+H7fm0uX4f5h9f25gR7++m&#10;9QuowFP4e4ZffEGHXJiO7mJLr1oEGRIQliJiJk9z2XFEWCwT0Hmm/9PnPwA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E8cnh0dBQAAJA8AAA4A&#10;AAAAAAAAAAAAAAAAQwIAAGRycy9lMm9Eb2MueG1sUEsBAi0ACgAAAAAAAAAhABjIHB794QAA/eEA&#10;ABQAAAAAAAAAAAAAAAAAjAcAAGRycy9tZWRpYS9pbWFnZTEucG5nUEsBAi0ACgAAAAAAAAAhAOd+&#10;1mD/DwEA/w8BABQAAAAAAAAAAAAAAAAAu+kAAGRycy9tZWRpYS9pbWFnZTIuc3ZnUEsBAi0AFAAG&#10;AAgAAAAhANVmi/vdAAAABQEAAA8AAAAAAAAAAAAAAAAA7PkBAGRycy9kb3ducmV2LnhtbFBLAQIt&#10;ABQABgAIAAAAIQAiVg7uxwAAAKUBAAAZAAAAAAAAAAAAAAAAAPb6AQBkcnMvX3JlbHMvZTJvRG9j&#10;LnhtbC5yZWxzUEsFBgAAAAAHAAcAvgEAAPT7AQAAAA==&#10;">
                <v:shape id="Graphic 1" o:spid="_x0000_s1059" type="#_x0000_t75" style="position:absolute;width:15608;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4TzQAAAOMAAAAPAAAAZHJzL2Rvd25yZXYueG1sRI9BS8NA&#10;EIXvgv9hGcGL2N20GiTttmirUPBkK4HehuyYxGZnQ3Zt03/vHASPM/PmvfctVqPv1ImG2Aa2kE0M&#10;KOIquJZrC5/7t/snUDEhO+wCk4ULRVgtr68WWLhw5g867VKtxIRjgRaalPpC61g15DFOQk8st68w&#10;eEwyDrV2A57F3Hd6akyuPbYsCQ32tG6oOu5+vAXTZdvj4W793m/KS1m+5vvvl+nG2tub8XkOKtGY&#10;/sV/31sn9R/yx8zM8plQCJMsQC9/AQAA//8DAFBLAQItABQABgAIAAAAIQDb4fbL7gAAAIUBAAAT&#10;AAAAAAAAAAAAAAAAAAAAAABbQ29udGVudF9UeXBlc10ueG1sUEsBAi0AFAAGAAgAAAAhAFr0LFu/&#10;AAAAFQEAAAsAAAAAAAAAAAAAAAAAHwEAAF9yZWxzLy5yZWxzUEsBAi0AFAAGAAgAAAAhANwuPhPN&#10;AAAA4wAAAA8AAAAAAAAAAAAAAAAABwIAAGRycy9kb3ducmV2LnhtbFBLBQYAAAAAAwADALcAAAAB&#10;AwAAAAA=&#10;">
                  <v:imagedata r:id="rId59" o:title="" cropleft="2286f"/>
                  <o:lock v:ext="edit" aspectratio="f"/>
                </v:shape>
                <v:shape id="Text Box 2059071650" o:spid="_x0000_s1060" type="#_x0000_t202" style="position:absolute;left:219;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6Z1ygAAAOMAAAAPAAAAZHJzL2Rvd25yZXYueG1sRI9dS8Mw&#10;FIbvhf2HcATvXLLCptZlY5QOHIjQTsHLQ3Nsy5qT0mRb9u/NheDly/vFs95GO4gLTb53rGExVyCI&#10;G2d6bjV8HvePzyB8QDY4OCYNN/Kw3czu1pgbd+WKLnVoRRphn6OGLoQxl9I3HVn0czcSJ+/HTRZD&#10;klMrzYTXNG4HmSm1khZ7Tg8djlR01Jzqs9XwnZVtGT+q3Rcf3qt4Kotjca61friPu1cQgWL4D/+1&#10;34yGTC1f1NNitUwUiSnxgNz8AgAA//8DAFBLAQItABQABgAIAAAAIQDb4fbL7gAAAIUBAAATAAAA&#10;AAAAAAAAAAAAAAAAAABbQ29udGVudF9UeXBlc10ueG1sUEsBAi0AFAAGAAgAAAAhAFr0LFu/AAAA&#10;FQEAAAsAAAAAAAAAAAAAAAAAHwEAAF9yZWxzLy5yZWxzUEsBAi0AFAAGAAgAAAAhACwrpnXKAAAA&#10;4wAAAA8AAAAAAAAAAAAAAAAABwIAAGRycy9kb3ducmV2LnhtbFBLBQYAAAAAAwADALcAAAD+AgAA&#10;AAA=&#10;" filled="f" stroked="f">
                  <v:textbox inset="0,,0">
                    <w:txbxContent>
                      <w:p w14:paraId="3AE6D4B4" w14:textId="344E5B6F" w:rsidR="008B1438" w:rsidRPr="00711B8F" w:rsidRDefault="00C86C5D" w:rsidP="008B1438">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447AE3AB" w14:textId="77777777" w:rsidR="008B1438" w:rsidRPr="00697AE5" w:rsidRDefault="008B1438" w:rsidP="008B1438">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7</w:t>
                        </w:r>
                      </w:p>
                    </w:txbxContent>
                  </v:textbox>
                </v:shape>
                <w10:wrap type="square" anchorx="page"/>
              </v:group>
            </w:pict>
          </mc:Fallback>
        </mc:AlternateContent>
      </w:r>
      <w:r w:rsidR="009264FE" w:rsidRPr="00884FAA">
        <w:t xml:space="preserve">The evaluation found a </w:t>
      </w:r>
      <w:r w:rsidR="00DD7DC8" w:rsidRPr="00884FAA">
        <w:t xml:space="preserve">lack of </w:t>
      </w:r>
      <w:r w:rsidR="002F5FD7" w:rsidRPr="00884FAA">
        <w:t xml:space="preserve">system-wide or </w:t>
      </w:r>
      <w:r w:rsidR="00DD7DC8" w:rsidRPr="00884FAA">
        <w:t xml:space="preserve">joined-up policy and practice </w:t>
      </w:r>
      <w:r w:rsidR="002F5FD7" w:rsidRPr="00884FAA">
        <w:t xml:space="preserve">to support the </w:t>
      </w:r>
      <w:r w:rsidR="00556533" w:rsidRPr="00884FAA">
        <w:t xml:space="preserve">delivery of </w:t>
      </w:r>
      <w:r w:rsidR="003279C5">
        <w:t>PHC</w:t>
      </w:r>
      <w:r w:rsidR="009264FE" w:rsidRPr="00884FAA">
        <w:t xml:space="preserve"> </w:t>
      </w:r>
      <w:r w:rsidR="00DE46FD" w:rsidRPr="00884FAA">
        <w:t xml:space="preserve">that meets the needs of </w:t>
      </w:r>
      <w:r w:rsidR="009264FE" w:rsidRPr="00884FAA">
        <w:t xml:space="preserve">Aboriginal and Torres Strait Islander people. </w:t>
      </w:r>
      <w:r w:rsidR="00D548AF" w:rsidRPr="00884FAA">
        <w:t>While there is an existing partnersh</w:t>
      </w:r>
      <w:r w:rsidR="00B915BC" w:rsidRPr="00884FAA">
        <w:t xml:space="preserve">ip between </w:t>
      </w:r>
      <w:r w:rsidR="0026495A" w:rsidRPr="00884FAA">
        <w:t>NACCHO and the department</w:t>
      </w:r>
      <w:r w:rsidR="009B0151" w:rsidRPr="00884FAA">
        <w:t xml:space="preserve">, </w:t>
      </w:r>
      <w:r w:rsidR="00DE46FD" w:rsidRPr="00884FAA">
        <w:t>ACCHSs and other fund</w:t>
      </w:r>
      <w:r w:rsidR="00EC5925" w:rsidRPr="00884FAA">
        <w:t>ed organisations</w:t>
      </w:r>
      <w:r w:rsidR="00DE46FD" w:rsidRPr="00884FAA">
        <w:t xml:space="preserve"> </w:t>
      </w:r>
      <w:r w:rsidR="00000BB5">
        <w:t xml:space="preserve">reported </w:t>
      </w:r>
      <w:r w:rsidR="00F52B61">
        <w:t>experienc</w:t>
      </w:r>
      <w:r w:rsidR="00000BB5">
        <w:t>ing</w:t>
      </w:r>
      <w:r w:rsidR="00F52B61">
        <w:t xml:space="preserve"> isolation</w:t>
      </w:r>
      <w:r w:rsidR="00DE46FD" w:rsidRPr="00884FAA">
        <w:t xml:space="preserve"> from the development and implementation of </w:t>
      </w:r>
      <w:r w:rsidR="004D70D9" w:rsidRPr="00884FAA">
        <w:t xml:space="preserve">the </w:t>
      </w:r>
      <w:r w:rsidR="00C61559" w:rsidRPr="00884FAA">
        <w:t>IAHP,</w:t>
      </w:r>
      <w:r w:rsidR="00DE46FD" w:rsidRPr="00884FAA">
        <w:t xml:space="preserve"> and </w:t>
      </w:r>
      <w:r w:rsidR="00000BB5">
        <w:t>that their</w:t>
      </w:r>
      <w:r w:rsidR="00000BB5" w:rsidRPr="00884FAA">
        <w:t xml:space="preserve"> </w:t>
      </w:r>
      <w:r w:rsidR="00DE46FD" w:rsidRPr="00884FAA">
        <w:t xml:space="preserve">voices </w:t>
      </w:r>
      <w:r w:rsidR="00722EBD">
        <w:t>were</w:t>
      </w:r>
      <w:r w:rsidR="00722EBD" w:rsidRPr="00884FAA">
        <w:t xml:space="preserve"> </w:t>
      </w:r>
      <w:r w:rsidR="00DE46FD" w:rsidRPr="00884FAA">
        <w:t xml:space="preserve">largely unheard. </w:t>
      </w:r>
    </w:p>
    <w:p w14:paraId="02A3699A" w14:textId="180A8AF5" w:rsidR="00A840B4" w:rsidRPr="00884FAA" w:rsidRDefault="00A840B4" w:rsidP="00F44B3A">
      <w:r w:rsidRPr="00B57D16">
        <w:t xml:space="preserve">The IAHP is administered as a funding </w:t>
      </w:r>
      <w:r w:rsidR="00DB41D2" w:rsidRPr="00B57D16">
        <w:t xml:space="preserve">mechanism and </w:t>
      </w:r>
      <w:r w:rsidR="00574DD9">
        <w:t xml:space="preserve">the evaluation found that there are opportunities to strengthen the integration of the IAHP </w:t>
      </w:r>
      <w:r w:rsidR="00DB41D2" w:rsidRPr="00B57D16">
        <w:t xml:space="preserve">in </w:t>
      </w:r>
      <w:r w:rsidR="00360BB7" w:rsidRPr="00B57D16">
        <w:t xml:space="preserve">overall </w:t>
      </w:r>
      <w:r w:rsidR="00DB41D2" w:rsidRPr="00B57D16">
        <w:t xml:space="preserve">sector development </w:t>
      </w:r>
      <w:r w:rsidR="00F303EF">
        <w:t>and</w:t>
      </w:r>
      <w:r w:rsidR="00DB41D2" w:rsidRPr="00B57D16">
        <w:t xml:space="preserve"> government policy decision</w:t>
      </w:r>
      <w:r w:rsidR="00084FED">
        <w:t>-</w:t>
      </w:r>
      <w:r w:rsidR="00DB41D2" w:rsidRPr="00B57D16">
        <w:t xml:space="preserve">making processes. </w:t>
      </w:r>
      <w:r w:rsidR="000F49E9" w:rsidRPr="00B57D16">
        <w:t xml:space="preserve">The IAHP </w:t>
      </w:r>
      <w:r w:rsidR="00D070D8" w:rsidRPr="00B57D16">
        <w:t xml:space="preserve">funding </w:t>
      </w:r>
      <w:r w:rsidR="000F49E9" w:rsidRPr="00B57D16">
        <w:t xml:space="preserve">arrangements are highly transactional </w:t>
      </w:r>
      <w:r w:rsidR="00B57D16" w:rsidRPr="00B57D16">
        <w:t xml:space="preserve">which can limit </w:t>
      </w:r>
      <w:r w:rsidR="000F49E9" w:rsidRPr="00B57D16">
        <w:t>ongoing development of relationships, partnerships between government and the community</w:t>
      </w:r>
      <w:r w:rsidR="00F303EF">
        <w:t>,</w:t>
      </w:r>
      <w:r w:rsidR="000F49E9" w:rsidRPr="00B57D16">
        <w:t xml:space="preserve"> or stimulate opportunities for community-led decision</w:t>
      </w:r>
      <w:r w:rsidR="00084FED">
        <w:t>-</w:t>
      </w:r>
      <w:r w:rsidR="000F49E9" w:rsidRPr="00B57D16">
        <w:t>making.</w:t>
      </w:r>
      <w:r w:rsidR="000F49E9" w:rsidRPr="00884FAA">
        <w:t xml:space="preserve"> </w:t>
      </w:r>
    </w:p>
    <w:p w14:paraId="0E466365" w14:textId="65644B4C" w:rsidR="00FC5961" w:rsidRPr="00884FAA" w:rsidRDefault="00FC5961" w:rsidP="00F44B3A">
      <w:pPr>
        <w:rPr>
          <w:b/>
          <w:bCs/>
          <w:highlight w:val="yellow"/>
        </w:rPr>
      </w:pPr>
      <w:r w:rsidRPr="00884FAA">
        <w:t xml:space="preserve">The evaluation identified an opportunity </w:t>
      </w:r>
      <w:r w:rsidR="00533679" w:rsidRPr="00884FAA">
        <w:t>for</w:t>
      </w:r>
      <w:r w:rsidRPr="00884FAA">
        <w:t xml:space="preserve"> the First Nations Health Division of the </w:t>
      </w:r>
      <w:r w:rsidR="00B35A3D">
        <w:t xml:space="preserve">department </w:t>
      </w:r>
      <w:r w:rsidRPr="00884FAA">
        <w:t xml:space="preserve">to </w:t>
      </w:r>
      <w:r w:rsidR="00F404FA" w:rsidRPr="00884FAA">
        <w:t>strengthen partnerships with community and across government to strengthen primary health care for Aboriginal and Torres Strait Islander people</w:t>
      </w:r>
      <w:r w:rsidR="00533679" w:rsidRPr="00884FAA">
        <w:t xml:space="preserve"> and integrate the </w:t>
      </w:r>
      <w:r w:rsidR="001D43AD" w:rsidRPr="00884FAA">
        <w:t xml:space="preserve">role and </w:t>
      </w:r>
      <w:r w:rsidR="00533679" w:rsidRPr="00884FAA">
        <w:t xml:space="preserve">contribution of IAHP into </w:t>
      </w:r>
      <w:r w:rsidR="001D43AD" w:rsidRPr="00884FAA">
        <w:t>whole</w:t>
      </w:r>
      <w:r w:rsidR="00586960" w:rsidRPr="00884FAA">
        <w:t>-</w:t>
      </w:r>
      <w:r w:rsidR="00533679" w:rsidRPr="00884FAA">
        <w:t xml:space="preserve">of-government </w:t>
      </w:r>
      <w:r w:rsidR="001D43AD" w:rsidRPr="00884FAA">
        <w:t>policy responses</w:t>
      </w:r>
      <w:r w:rsidR="00F404FA" w:rsidRPr="00884FAA">
        <w:t xml:space="preserve">. </w:t>
      </w:r>
    </w:p>
    <w:p w14:paraId="0A3B75E7" w14:textId="26535F49" w:rsidR="00601FDC" w:rsidRPr="00884FAA" w:rsidRDefault="009207BE" w:rsidP="00651D06">
      <w:pPr>
        <w:pStyle w:val="Heading3NotNumbered"/>
        <w:numPr>
          <w:ilvl w:val="0"/>
          <w:numId w:val="0"/>
        </w:numPr>
      </w:pPr>
      <w:r w:rsidRPr="00884FAA">
        <w:t xml:space="preserve">Client journeys and outcomes are not tracked through data </w:t>
      </w:r>
      <w:r w:rsidR="009B61A3" w:rsidRPr="00884FAA">
        <w:t>and reporting processes</w:t>
      </w:r>
    </w:p>
    <w:p w14:paraId="48A03ABA" w14:textId="35408A9E" w:rsidR="00CF78A8" w:rsidRPr="00884FAA" w:rsidRDefault="001E437A" w:rsidP="00F44B3A">
      <w:r w:rsidRPr="00884FAA">
        <w:t xml:space="preserve">The evaluation found that the </w:t>
      </w:r>
      <w:r w:rsidR="005B3065" w:rsidRPr="00884FAA">
        <w:t xml:space="preserve">IAHP </w:t>
      </w:r>
      <w:r w:rsidRPr="00884FAA">
        <w:t xml:space="preserve">data and reporting processes do not model Aboriginal and Torres Strait Islander approaches to </w:t>
      </w:r>
      <w:r w:rsidR="005B3065" w:rsidRPr="00884FAA">
        <w:t>health and wellbeing</w:t>
      </w:r>
      <w:r w:rsidR="003E0E7E" w:rsidRPr="00884FAA">
        <w:t xml:space="preserve">. The </w:t>
      </w:r>
      <w:r w:rsidR="005B3065" w:rsidRPr="00884FAA">
        <w:t xml:space="preserve">current </w:t>
      </w:r>
      <w:r w:rsidR="003E0E7E" w:rsidRPr="00884FAA">
        <w:t xml:space="preserve">approach to data </w:t>
      </w:r>
      <w:r w:rsidR="005B3065" w:rsidRPr="00884FAA">
        <w:t>adopts</w:t>
      </w:r>
      <w:r w:rsidR="00141800" w:rsidRPr="00884FAA">
        <w:t xml:space="preserve"> </w:t>
      </w:r>
      <w:r w:rsidR="005D79C9" w:rsidRPr="00884FAA">
        <w:t xml:space="preserve">a selective approach to </w:t>
      </w:r>
      <w:r w:rsidR="005B3065" w:rsidRPr="00884FAA">
        <w:t>recording and reporting</w:t>
      </w:r>
      <w:r w:rsidR="00CF78A8" w:rsidRPr="00884FAA">
        <w:t xml:space="preserve"> health care information</w:t>
      </w:r>
      <w:r w:rsidR="005B3065" w:rsidRPr="00884FAA">
        <w:t xml:space="preserve"> </w:t>
      </w:r>
      <w:r w:rsidR="00B41BB2" w:rsidRPr="00884FAA">
        <w:t xml:space="preserve">that is </w:t>
      </w:r>
      <w:r w:rsidR="005B3065" w:rsidRPr="00884FAA">
        <w:t xml:space="preserve">not aligned with the holistic, </w:t>
      </w:r>
      <w:r w:rsidR="00B41BB2" w:rsidRPr="00884FAA">
        <w:t>comprehensive</w:t>
      </w:r>
      <w:r w:rsidR="005B3065" w:rsidRPr="00884FAA">
        <w:t xml:space="preserve"> model of health valued by Aboriginal and Torres Strait Islander people and </w:t>
      </w:r>
      <w:r w:rsidR="00B41BB2" w:rsidRPr="00884FAA">
        <w:t xml:space="preserve">services </w:t>
      </w:r>
      <w:r w:rsidR="005B3065" w:rsidRPr="00884FAA">
        <w:t>delivered through ACCHSs.</w:t>
      </w:r>
      <w:r w:rsidR="00B41BB2" w:rsidRPr="00884FAA">
        <w:t xml:space="preserve"> </w:t>
      </w:r>
    </w:p>
    <w:p w14:paraId="20BCA578" w14:textId="7C063366" w:rsidR="005B3065" w:rsidRDefault="00A75328" w:rsidP="00F44B3A">
      <w:r>
        <w:rPr>
          <w:noProof/>
        </w:rPr>
        <mc:AlternateContent>
          <mc:Choice Requires="wpg">
            <w:drawing>
              <wp:anchor distT="0" distB="0" distL="114300" distR="114300" simplePos="0" relativeHeight="251658283" behindDoc="0" locked="0" layoutInCell="1" allowOverlap="1" wp14:anchorId="43EB3FFC" wp14:editId="3CDF68D4">
                <wp:simplePos x="0" y="0"/>
                <wp:positionH relativeFrom="page">
                  <wp:posOffset>5991225</wp:posOffset>
                </wp:positionH>
                <wp:positionV relativeFrom="paragraph">
                  <wp:posOffset>64770</wp:posOffset>
                </wp:positionV>
                <wp:extent cx="1560830" cy="509270"/>
                <wp:effectExtent l="0" t="0" r="1270" b="5080"/>
                <wp:wrapSquare wrapText="bothSides"/>
                <wp:docPr id="658975359" name="Group 658975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743534510"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flipH="1">
                            <a:off x="0" y="0"/>
                            <a:ext cx="1560830" cy="620395"/>
                          </a:xfrm>
                          <a:prstGeom prst="rect">
                            <a:avLst/>
                          </a:prstGeom>
                          <a:ln>
                            <a:noFill/>
                          </a:ln>
                          <a:extLst>
                            <a:ext uri="{53640926-AAD7-44D8-BBD7-CCE9431645EC}">
                              <a14:shadowObscured xmlns:a14="http://schemas.microsoft.com/office/drawing/2010/main"/>
                            </a:ext>
                          </a:extLst>
                        </pic:spPr>
                      </pic:pic>
                      <wps:wsp>
                        <wps:cNvPr id="837740629" name="Text Box 837740629"/>
                        <wps:cNvSpPr txBox="1">
                          <a:spLocks noChangeArrowheads="1"/>
                        </wps:cNvSpPr>
                        <wps:spPr bwMode="auto">
                          <a:xfrm>
                            <a:off x="381000" y="26737"/>
                            <a:ext cx="1172845" cy="593658"/>
                          </a:xfrm>
                          <a:custGeom>
                            <a:avLst/>
                            <a:gdLst>
                              <a:gd name="connsiteX0" fmla="*/ 0 w 1172845"/>
                              <a:gd name="connsiteY0" fmla="*/ 0 h 593658"/>
                              <a:gd name="connsiteX1" fmla="*/ 562966 w 1172845"/>
                              <a:gd name="connsiteY1" fmla="*/ 0 h 593658"/>
                              <a:gd name="connsiteX2" fmla="*/ 1172845 w 1172845"/>
                              <a:gd name="connsiteY2" fmla="*/ 0 h 593658"/>
                              <a:gd name="connsiteX3" fmla="*/ 1172845 w 1172845"/>
                              <a:gd name="connsiteY3" fmla="*/ 593658 h 593658"/>
                              <a:gd name="connsiteX4" fmla="*/ 586423 w 1172845"/>
                              <a:gd name="connsiteY4" fmla="*/ 593658 h 593658"/>
                              <a:gd name="connsiteX5" fmla="*/ 0 w 1172845"/>
                              <a:gd name="connsiteY5" fmla="*/ 593658 h 593658"/>
                              <a:gd name="connsiteX6" fmla="*/ 0 w 1172845"/>
                              <a:gd name="connsiteY6" fmla="*/ 0 h 593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93658" extrusionOk="0">
                                <a:moveTo>
                                  <a:pt x="0" y="0"/>
                                </a:moveTo>
                                <a:cubicBezTo>
                                  <a:pt x="124818" y="-1993"/>
                                  <a:pt x="328375" y="12767"/>
                                  <a:pt x="562966" y="0"/>
                                </a:cubicBezTo>
                                <a:cubicBezTo>
                                  <a:pt x="797557" y="-12767"/>
                                  <a:pt x="958573" y="8099"/>
                                  <a:pt x="1172845" y="0"/>
                                </a:cubicBezTo>
                                <a:cubicBezTo>
                                  <a:pt x="1165900" y="135545"/>
                                  <a:pt x="1176332" y="367599"/>
                                  <a:pt x="1172845" y="593658"/>
                                </a:cubicBezTo>
                                <a:cubicBezTo>
                                  <a:pt x="880102" y="580141"/>
                                  <a:pt x="724568" y="583639"/>
                                  <a:pt x="586423" y="593658"/>
                                </a:cubicBezTo>
                                <a:cubicBezTo>
                                  <a:pt x="448278" y="603677"/>
                                  <a:pt x="211755" y="596003"/>
                                  <a:pt x="0" y="593658"/>
                                </a:cubicBezTo>
                                <a:cubicBezTo>
                                  <a:pt x="-10526" y="364688"/>
                                  <a:pt x="28091" y="217500"/>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12066E93" w14:textId="7F00D202" w:rsidR="00A75328" w:rsidRPr="00711B8F" w:rsidRDefault="00C64EAC" w:rsidP="00A75328">
                              <w:pPr>
                                <w:spacing w:after="0" w:line="240" w:lineRule="auto"/>
                                <w:jc w:val="center"/>
                                <w:rPr>
                                  <w:b/>
                                  <w:bCs/>
                                  <w:color w:val="000000"/>
                                  <w:sz w:val="20"/>
                                  <w:szCs w:val="20"/>
                                </w:rPr>
                              </w:pPr>
                              <w:r>
                                <w:rPr>
                                  <w:b/>
                                  <w:bCs/>
                                  <w:color w:val="000000"/>
                                  <w:sz w:val="20"/>
                                  <w:szCs w:val="20"/>
                                </w:rPr>
                                <w:t>Further detail in</w:t>
                              </w:r>
                            </w:p>
                            <w:p w14:paraId="1BCCC88F" w14:textId="77777777" w:rsidR="00A75328" w:rsidRPr="00697AE5" w:rsidRDefault="00A75328" w:rsidP="00A75328">
                              <w:pP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7</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EB3FFC" id="Group 658975359" o:spid="_x0000_s1061" alt="&quot;&quot;" style="position:absolute;left:0;text-align:left;margin-left:471.75pt;margin-top:5.1pt;width:122.9pt;height:40.1pt;z-index:251658283;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hjz/HAUAACsPAAAOAAAAZHJzL2Uyb0RvYy54bWycV1tv&#10;2zYUfh+w/0DocUBi3aiLEadomzUr0K7BmmHdIy3RlhBJ1Cg6dvrr95GUbDlxYDsPcXg7t+98hzy6&#10;erepK/LIZVeKZuZ4l65DeJOJvGyWM+fv+08XiUM6xZqcVaLhM+eJd867619/uVq3U+6LQlQ5lwRK&#10;mm66bmdOoVQ7nUy6rOA16y5FyxtsLoSsmcJULie5ZGtor6uJ77rRZC1k3kqR8a7D6o3ddK6N/sWC&#10;Z+rbYtFxRaqZA9+U+ZXmd65/J9dXbLqUrC3KrHeDvcGLmpUNjG5V3TDFyEqWL1TVZSZFJxbqMhP1&#10;RCwWZcZNDIjGc59FcyvFqjWxLKfrZbuFCdA+w+nNarM/H29l+729k0Bi3S6BhZnpWDYLWev/8JJs&#10;DGRPW8j4RpEMix6N3CQAshn2qJv6cY9pVgD4F2JZ8fshwch3g5TqZEwGs5M9Z9oym+KvRwCjFwgc&#10;Zwqk1Epyp1dSn6SjZvJh1V4gWS1T5bysSvVkiIe0aKeax7syu5N2AjDvJCnzmROHAQ1C6gGYhtXg&#10;/W1PMU8HqQX1WSvJdGRfRPbQ6fj398x0z8a8KttPZVURKdQ/pSq+F6yFfs+wT2/24YHjzzhyACHL&#10;vxuRrWreKFtQkleIVDRdUbadQ+SU13OOkOTn3DjPpp3M/kJh6ZIKwiSxNdQpyVVWDCEMbtpgO/CL&#10;zNdfRQ5X2UoJ463mF1nA5T8G/09m2gHCAEbZqVsuaqIHcBg+Gjvs8UunLLeGI5rWVaN/G6HRtLt6&#10;xSCu/e2HyIcuDNxO3QAtZi/APasATc7gmla740wSxHHoRn46cOZeF9kHsSG7HfjZC+mSJWqD7QG8&#10;rjUkIo34WLBmyd9LKdYFZzm8NZlDSRl7WtTqeT0vo7oPEs91QWQUuB/FQWzzvb0AvNhPQtpfAGkQ&#10;UUOIbR2zabayadEqh1TgosyRFL20zPsSyUTTdKXiP2BrUVe4hn+bEJesidebQPAHjv+7f7wgdOvE&#10;gdM/vJFyCrCj6LiFsYxLjlnwRxZ614+bGAsdNxG8xcRYyGJ0NJRwZIcmUegHxyPZkzGpOGoG7Dkn&#10;4ePjJwYSnWdh//g44eD1lrmssPcKKL5pejZjRFB8+p3UbG1Fp9/AMbVRRsMU1LUXD6T06SPCoOFY&#10;2Na0kTpBGAQbC/tnWQZ1xsLBWcIgxFg4PEsYuR4LDz3CaYAhjWPhaGwZiYSSPmv6qdDPWWU6RIVX&#10;D8+HQ9AhzrUM8siUTvYwJGtcqcPFV6DxsVcOwaUoV7oV/vYwMKAWj/xeGEH1rB2CC7vdbDUvsw/8&#10;5/is54eJhwYaQVx4aWpghy9GT+DjVbDoeH4c9bey3bP3mpHbMmxP/SFjcRpTGvfGnmtMaUJjy4LE&#10;TdMeFOPIFgd4ebo1z4to2r8qXkApXhAL9KAzCgJL2SCK6esWd5e9TujRIJMEXbbVSzEM+47Gwhb7&#10;IY0s3DQJomAvTHv9GXjOtBmGiR9btZGLaPZS5QM+atNI08h193JsH90zzV14LvUt84MojIb+zIbo&#10;I3v2GvFhF/iPQLfWXklhJTqOswBZl8J2YGrCIL9747cd1astlu5DbIulR2oz35im2TNXg16ai/wJ&#10;7Q1aXM0p/X2JQSHkT4es0UjPnO6/FdOtfPW5QXeDI8oMQhr7mMhhdT5eZU0GFTMH5W2HHxVmOL5q&#10;ZbksYME20Y14jw51UZqWcecNYtYTtIFmZL7IDA7916P+5BvPzandN+71/wAAAP//AwBQSwMECgAA&#10;AAAAAAAhABjIHB794QAA/eEAABQAAABkcnMvbWVkaWEvaW1hZ2UxLnBuZ4lQTkcNChoKAAAADUlI&#10;RFIAAAnEAAADRQgGAAAAX+9tDgAAAAFzUkdCAK7OHOkAAAAEZ0FNQQAAsY8L/GEFAAAACXBIWXMA&#10;ADqWAAA6lgEjrlQ8AADhkklEQVR4Xuzdb4gc+Z8f9vLd/X73W5/vtu+P73T2STfnI0QXS6eJ45zI&#10;7glPcARCWHhsb2RBlnhMpBMciz06ydloBjKDHjgxAU30wMGBNeNgPwgbsoPBECUWHsM9WIeFDMRZ&#10;nCXBg0az9BLjzMWJ44QkntR3ulsalT7zr6u6u6r69YYX+ztp59tV3dVVNVvv+34zEREREREREREJ&#10;0znGzDFmjzF3hPkTLBxh8QSrkd/1u37X2jHWh7AxQZsTtjVh2xMWbdO4RJ/HuETH4jhF38Ozir7/&#10;oeg8coLofHSU6Nx2nOgceZTofDtQPD9H5/PiuV9ERERERERERERERERERKT1KT4sL4oesB9WfCBf&#10;FD3EPywqABwWlQkOi8oJh0VFhwNRaaIgKmAMRAWPJCqeDESFmMOisk6yd4J9ACiheF2JrkXFa1bx&#10;GhddE6Pr51vX2uj6nCtey6Prf3TPkBTvMwb3I4fvXQb3OCIiIiIiIiIiMiU5/OBrVA7/B6g6OPyw&#10;ri6K//FukqL/uDhO0X/0HJfif4Adt+g/Ck9CtG2TFn1e4xYdr+MUfV/HJTpvjUN0Dh+H6FpG/F7V&#10;RXT81En0vTqL6JxwVtF57ayi8/NZRdedUys+UC0helh7FtED4MOKD4yLig+Yi6KH0ocVH2JHooff&#10;AAC8MbhvOnyfNbgfG9y3Hb7HO3w/eHBfGdyzDu57D99HD+7JD9/jD35XOPx7zeB3LxEREREREZEw&#10;gwd2g18qB79wvvMQZvCLa9/hX2gHDv/CO3D4QcbA4YcXhx3+ZXrg8EOKcYu2JxLtSyR6L6ZN9L6c&#10;JHrPjxJ9jieJ/gMPAAAAAADNMvhvvof/m/HgvzMP/hv14ecXh59vKO6JiIiIiIg0NOmXssX+L3bp&#10;F7/0y2D0SyMAAAAAAADVU9wTERERERGpIAv5L0jpF6noFy8AAAAAAAA47KzFvcPlvZOKe8Xy3uEC&#10;X7HEd7jId1SZT6FPRERERGSK0un/AhL9IgMAAAAAAABtNCj0FUt9h4t9h8t9R5X8ig7P2Bc5KANG&#10;sncLgpHDpcGziMZ6R7Rdx4j27zSisQ5E25RL2z8oRaYC5KDsKCIiIiLybvIby3TTGf0SAAAAAAAA&#10;AFBnqcC4nvVKc0pyIiIiInJQiEs3ia9vGvM/OnwDCQAAAAAAANAUW1lvNjkRERERmdbkN4VvFeIA&#10;AAAAAAAAGk4xTkRERGSKsxrcIAIAAAAAAAA0WqYUJyIiIjKdyW8G14o3hwAAAAAAAABNlynFiYiI&#10;iExtZvMbwn9WvEEEAAAAAAAAqJssy8L/Hcn/fiY9EBURERGRKUt+M7hdvDkEAAAAAAAAqIPshOLb&#10;MdZ7T0RFREREZJoyE9wYHiv/mW7+TyU6AAAAAAAAoM7+t94jURERERGZpswFN4Yn2ej/7CBpquFk&#10;Ljffl9bkTxZzq0n+c2u59b6N3GbfVi4V7JK9XPSaAAAAAAAAAGf1NzNLp4qIiIhMVRaCm8KT7PV/&#10;dtTp5AZlu9lcVLgblO5eF+8G8u1MBbzDJbxBEe9wGW9QyBsYFPMG5TwFPQAAAAAAABizbPhlUo+S&#10;lk9VjBMRERGZgiwGN4Mnyn8uldWmMWm/BwZlvUFhb1DaO1zcO6q891aBL39Po/Le4QJfVOSLCn3F&#10;Ut/hYp+CHwAAAK3xfue9Y52/0DnWpcvnjvXBhzNHunHz4qncvnPlVO7dv3pqDx5dO9HKk+un9vTZ&#10;rVP7bP2joX3+xcelPH9xt5Qvv/qEFog+26aIjutJir6nVYrOIVUqnsuic2FSPIcWz7/F83Z0zk+K&#10;14jiNSW6DkXXLgBqI62GpRgnIiIi0uKkMlZ0I3is/OdS+WvobG+vdF51l+defru0uNtdXnv13fL6&#10;zndLm0n+5xvpz152lxbSv9P/ERltDhf9imW/gUHp73DxLyoARkXAYwuBR8mPtUFR8CjFAmFRsVBY&#10;FBUMi4qFw8OK5cNIsZB4VuF3EAAAqFb0IHug+NB7oPhw/LDoYXpSfPB+WPEh/UDxYf5h0cP/pFgU&#10;OCwqFgxEpYYkKlMMRMWPw6JSy2Fff/PwWK++WwaAVihe46LrYvE6OrjeFq/Nh6/fg2t88X5gcL9Q&#10;vLcY3HsU71MG9zGH73cO3xNF91AADacYJyIiItLG5Dd6qTQU3QAeK//RVG46Uw4KcN3Hqzvd5a1X&#10;3aW96D8IHCX9TCrJ7e4ulSriiUxxiqXHYRRLksM6XK4cRrGQOYyoxAkDxTJvWYfLwFUIS8Rl5Nf2&#10;qHRcRrGgXJWo3DyUH/3R7/2tyPe//8O/fdjv/t3f//I03n//B1+dxk/99I9tneRnf/bH/35R5yff&#10;+4dFP/3TP/byKD/7s79n9yTnfv7Hu0f5/b///f/lOBcudP5xkr/W/170e3/v7/mnkZ/9uR//Z8c5&#10;9/M/8X8f5ff9vvf/n6P8wi+8//8d5fBDHEbrcAlo0ooP9U7rcCnprIoPGE/rcKlpGMUHnqd1uBh1&#10;VocfvJ5V8SFu0eGC1WHFh8KHRQ+RB4oPnAei3zkBADibw/dXh+/BDt+rDe7nivd9h+8RB/eZxXvW&#10;wT3v4fvnw/fgxfv5we8Dh39PUeYDzkAxTkRERKRNSTd4hRu+U5mb+wN/Nc3g9nqGt+7yxmCGt7d0&#10;l7cGol+ah5HGSsW69Po73z6eT1LZbiCV5pLt7qczr22vdA7r776IiExBiteAtxy+VhwyuJZEDl9z&#10;BgbXo8jB9bIov36GDq5vbzsohB8hvy6un1p+rT6N8Hp+lEPX+ZPk27B9Kqk0P6zgvgEAAADgsCrL&#10;fKcp8h0u8x1V5DuqzBc9nwFGSjFOREREpA1JN3aFG71TSb+4Rb9INtq7D9XfekD/zsP9QikgKhXk&#10;P/dWGSEqM5wkKkecWlS2aJuoaBKISiqH5Z/XOwWX40QlmSQq1rwlKuTk+l9JOSbR+xaK3veC6LOL&#10;RJ/9YdGxFImOyVB0jEei73tBdD6JFM9TR4rOcQXF8+KRiufTI+Sv+9Z5+LXi+XogOrcDAAAAQEsc&#10;V+SLSnzFAt9ZZ+OLynuKe0yJtUwxTkRERKS5yW/oNgs3eKfSykIc1FlU/jmrqFg0atF2RKJ9BgAA&#10;AACgcU5T3Dtree+0xT3lPSqWinEiIiIi0rTkN3LbhRu7U0m/NES/5AAAAAAAAEDdHVfcG3bWvUFx&#10;73B5b1DcK5b3FPcaYy/LsoXek1URERERaUTym7ihCnFJ+iUh+gUCAAAAAAAAqMZpZt07XNw7S3nv&#10;NLPuHS7wHVXiG2WRL439gx98L/y7MdrKsmy+94RVRERERGqd4Gbu1NJNdnRTDgAAAAAAADAo8xUL&#10;fcViX2Twc4OxUvEvemY5ZhtZls30nrSKiIiISB3TCW7iTi3ddB6+oQUAAAAAAAAYlVSUSzPTRc8u&#10;x2yt/7xVRERERGqWmeDm7dTS1MrRjSgAAAAAAADAKKRZ49LSrtHzy3HLsmyx99hVREREROqSUoW4&#10;B4+uhTehAAAAAAAAAKOUJu+InmFOwFaWZQu9x68iIiIiMumUKsSl/8+L6OYTAAAAAAAAYNTSEqqX&#10;Lp8Ln2VOQCrGzfQew4qIiIjIpFKqEJfW549uPAEAAAAAAADGpUazxSXr6Tls73GsiIiIiIw7s8EN&#10;2qm933kvvOEEAAAAAAAAGKeazRaXrPWfyYqIiIjIGFOqEJd8/c3D8IYTAAAAAAAAYNxqNltcWkZ1&#10;ofdoVkRERETGkdKFuM+/+Di80QQAAAAAAACYhC+/+mT/xs2L4fPNCdnMLKMqIiIiMpaULsT9e0v/&#10;+j+ObjIBAAAAAAAAJqlms8UlllEVERERGXFKF+L+7L/zh7ejm0sAAAAAAACASfv6m4f7t+9cCZ91&#10;TsheZhlVERERkZFlLrgBO5Mrs7/vf45uLAEAAAAAAADq4umzW/vvd94Ln3lOyFZmGVURERGRylO6&#10;EPdLf+CnzBAHAAAAAAAA1F4NZ4tLLKMqIiIiUmFKF+K+9/0f/j+im0kAAAAAAACAOkqzxZ2/0Amf&#10;f06IZVRFREREKkrpQlyS/j8pohtJAAAAAAAAgLqq4WxxllEVERERKZnZ4CbrzJ6/uBveQAIAAAAA&#10;AADUWXrWWbPZ4hLLqIqIiIgMmUoKcX/tb/zp/ym6eQQAAAAAAABoggeProXPQifIMqoiIiIiQ6SS&#10;Qty93/i1/za6aQQAAAAAAABoijRb3KXL58JnohOUllGd7T3eFREREZGTMhPcUJ3ZzVv/4t+NbhgB&#10;AAAAAAAAmmblyfXwueiEWUZVRERE5BSppBB3/kLn70U3igAAAAAAAABN9OVXn+zfuHkxfD46QZZR&#10;FRERETkhlRTivv/9H/k2ukkEAAAAAAAAaLKnz27tv995L3xOOkFpGdWZ3iNfERERETmcTnDzdGY/&#10;9EM/9DvRzSEAAAAAAABA0339zcP923euhM9KJ8wyqiIiIiKFVFKIS/7+P/itl9HNIQAAAAAAAEAb&#10;PH9xd//8hU74vHSCtjPLqIqIiIi8TmWFuP/yb/7bX0U3hQAAAAAAAABtcu/+1fCZ6YRtZJZRFRER&#10;EamuEPfn/vyH/3V0MwgAAAAAAADQNmm2uEuXz4XPTicpy7LV3qNgERERkSlNdJM0jD/xp/7gRnQj&#10;CAAAAAAAANBWK0+uh89PJ2wry7L53hNhERERkSlLfjO0V7g5Gsq/+mu/8J9HN4AAAAAAAAAAbZZm&#10;i7tx82L4HHXC1jPLqIqIiMi0Jb8JqqQQ96M/+r2/Fd38AQAAAAAAAEyDms4Wl5ZRXew9HRYRERGZ&#10;guQ3QNvFG6Ihbb7qLu1FN34AAAAAAAAA0+Drbx7u375zJXqeOmlpGdXZ3lNiERERkRYn3fgUboSG&#10;tbfTXd6KbvoAAAAAAAAApsnnX3y8f/5CJ3quOmlr/UfFIiIiIu1MfsNTVSEu3ditF2/0AAAAAAAA&#10;AKbVvftXw2erk5Zl2ULvibGIiIhIy5Lf7FRWiPtq68/9J9FNHgAAAAAAAMC0ev7ibl1ni0vLqM70&#10;nhyLiIiItCT5Tc5m4aZnaE+eXH8Q3eABAAAAAAAATLuVJ9fD56w1YBlVERERaU/ym5vKCnF/9I/+&#10;8n8Y3dgBAAAAAAAA0Jst7tLlc+Hz1gnbyyyjKiIiIm1IfmOzUbjRGVqn84PH0U0dAAAAAAAAAG/U&#10;eLY4y6iKiIhIs5Pf0KwXbnCGlg+3+qq7tBfd0AEAAAAAAADwxtffPNy/fedK+Oy1BiyjKiIiIs1M&#10;upEp3NiUsbHTXd6KbuYAAAAAAAAAeFdaRvX8hU70/HXSLKMqIiIizUt+E1NlIW7zVXd5I7qJAwAA&#10;AAAAAOBoDx5di57B1sFmZhlVERERaUrym5cqC3F7u93ltejmDQAAAAAAAIDjpdniPvhwJnoWWweW&#10;URUREZFGZDW4kRnW3svu49Xoxg0AAAAAAACA01l5cn3//c570TPZSdvKLKMqIiIiNU+Vhbj9v/23&#10;7/5b0Q0bAAAAAAAAAKf39TcP92/fuRI+l62B9cwyqiIiIlLTLAY3L0P743/yV25GN2sAAAAAAAAA&#10;nF1aRvX8hU74fHbSsixb7T12FhEREalPFqIbl2H90i/9zB+LbtIAAAAAAAAAGF5aRjV6RlsDaRnV&#10;+d7jZxEREZHJp9JCXD7e4qvu0l50gwYAAAAAAADA8NJscZZRFRERETk+88GNytDy8VZ3ustb0c0Z&#10;AAAAAAAAAOU9fXarzsuoLh48iRYRERGZUCotxOU2dr5b2oxuygAAAAAAAACozr37V6NntnWQllGd&#10;7T2SFhERERlv5oKbkzI2drvLa9HNGAAAAAAAAADVSsuoXrp8Lnp2WwdrWZZ1eo+mRURERMaT2eCm&#10;pIytl93Hq9GNGAAAAAAAAACjsfLkevT8thayLFvoPZ4WERERGX1mohuSEvZ2vn08H92AAQAAAAAA&#10;ADA6X3/zcP/2nSvRc9w6sIyqiIiIjCWd4EakDIU4AAAAAAAAgAn6bP2j/fMXOtHz3DpIy6iKiIiI&#10;jCxVF+L2/+O/fOtXo5suAAAAAAAAAMbnwaNr4TPdGtjLLKMqIiIio0pw81HK5cs/fy262QIAAAAA&#10;AABgvJ6/uLt/6fK58NluDaRlVGd6T65FREREKkp+k7FXuOkoJR9y7lV3aS+62QIAAAAAAABg/Fae&#10;XA+f79aEZVRFRESkuuQ3F1UX4uZ3ustb0U0WAAAAAAAAAJPx9TcP92/fuRI+560By6iKiIhINclv&#10;LLYKNxql5EMu7ny3tBndYAEAAAAAAAAwWWkZ1fMXOuHz3hpIy6jOHjzMFhERERkm6YaicINRSj7k&#10;an4TtV68qQIAAAAAAACgPhqwjGrn4KG2iIiIyFmS30hsFm4sylrb7S6vRTdUAAAAAAAAANRHmi3u&#10;xs2L0XPfWsiybLH3ZFtERETklMlvIqouxG287D5Os8SFN1QAAAAAAAAA1MvTZ7f23++8Fz3/rYO0&#10;jOpC7wm3iIiIyAnJbx7WCzcTZW3ufPt4PrqJAgAAAAAAAKC+bt+5Ej0Drov1LMtmek+6RURERI5I&#10;ftOwVriJKGv7VXd5Lrp5AgAAAAAAAKDe0jKqly6fi54F18Va/3G3iIiIyLtJNwuFm4ey9ra3VzrR&#10;jRMAAAAAAAAAzbDy5Hqdl1HdziyjKiIiIkdkNbh5KEUhDgAAAAAAAKAd7t2/Gj4XromtzDKqIiIi&#10;Ukjlhbh8zM6r7tJedLMEAAAAAAAAQLNYRlVERESalMXgZqGUfMzZne7yVnSjBAAAAAAAAEAz1XwZ&#10;1b3MMqoiIiKSZyG4USglH3Nu57ulzegGCQAAAAAAAIBma8AyqrMHT8NFRERkKjMf3CCUko+5sNtd&#10;XotujAAAAAAAAABovoYso9o5eCouIiIiU5W54MaglHzMxZfdx6vRTREAAAAAAAAA7fH02a398xc6&#10;4bPjOkjPrw+ejIuIiMjUZDa6KSgjH3P1ZXdpIboZAgAAAAAAAKB9GrCM6vzBE3IRERFpfWaCm4Gy&#10;1ne+fTwf3QQBAAAAAAAA0E5pGdUPPpyJniHXxXp6Rt57VC4iIiJtTSe4CShr41V3eS66AQIAAAAA&#10;AACg3eq+jGpurf+8XERERFqYURTiNre3VzrRjQ8AAAAAAAAA06EBy6gu9B6bi4iISKsSXPjL2laI&#10;AwAAAAAAACAto3rj5sXouXJdpGKcZVRFRETalPwCv1e44Je1l8Z91V3ai254AAAAAAAAAJgullEV&#10;ERGRsSW/sFddiNtP4+50l7eiGx0AAAAAAAAAptODR9fCZ8w1kSZ/sYyqiIhI05Nf1LcLF/nS8mE7&#10;O98tbUY3OAAAAAAAAABMr4Ysozp78EBdREREmpd0MS9c3EvLh53Nb2TWizc2AAAAAAAAAJA0ZBnV&#10;mYMH6yIiItKc5BfxzcJFvbR82Lnd7vJadFMDAAAAAAAAAAM1X0Y1ScU4ERERaUryi/coCnELL7uP&#10;V6ObGQAAAAAAAAA4LC2jevvOlfD5c01sp+fgBw/ZRUREpN7JL9wbhQt5afmwiy+7SwvRjQwAAAAA&#10;AAAARBqwjOpWZhlVERGReie/YK8XLuCl5cOu7nz7eD66gQEAAAAAAACA4zRkGVXFOBERkTomXagL&#10;F+4qrO/uLs1GNy4AAAAAAAAAcJIGLKN6MFlM78m7iIiI1Cb5RXoUhbiN7e2VTnTTAgAAAAAAAACn&#10;9dn6R01YRnWh9wReRERE6pDV4IJd1qZCHAAAAAAAAABVWXlyPXo2XSepGGcZVRERkRpkMbhQl7Wd&#10;Bn7VXdqLblQAAAAAAAAA4Ky+/uZh7ZdRza1lWdZJz8xFRERkMlkILtBl7aWBd7rLW9FNCgAAAAAA&#10;AAAM6/mLu/uXLp+LnlXXRpZli+m5uYiIiIw/89HFuaw08M53S5vRzQkAAAAAAAAAlPX02a398xc6&#10;4TPrmkjLqC6k5+ciIiIyvoyqENfJb0DWizckAAAAAAAAAFCllSfXw+fWNbKZZdnMwRN6ERERGXnm&#10;gotxafm4s7vd5bXoZgQAAAAAAAAAqpSWUb1950r4/LpG1nqP6UVERGSUmQ0uwqXl48697D5ejW5E&#10;AAAAAAAAAGAUUjGu5suopufpiwdP60VERGQkmYkuwGXl4y7sfPt4ProBAQAAAAAAAIBRasAyqlvp&#10;ufrBU3sRERGpNJ3gwltaPu6iQhwAAAAAAAAAk9SAZVQ3siybOXh6LyIiIpVkVIW41d3dpdnohgMA&#10;AAAAAAAAxiUto9qAYtxa7xG+iIiIlE5woa3C+vb2Sie62QAAAAAAAACAcXv67Nb++Qud6Pl2bWSW&#10;URURESmf/KK6V7zIVmBDIQ4AAAAAAACAull5cj16xl0nW5linIiIyPDJL6bbhYtrFTbT2K+6S3vR&#10;DQYAAAAAAAAATMrX3zxswjKqG1mWzaRn7yIiInKG5BfRrcJFtQrbaeyd7vJWdHMBAAAAAAAAAJP2&#10;/MXd/UuXz0XPvOtk7eDhvoiIiJwu+cVzs3AxrcJeGnvnu6XN6KYCAAAAAAAAAOoiLaN6/kInevZd&#10;F+kZvGVURURETpP8wjmKQtx+Gju/cVgv3kgAAAAAAAAAQB09eHQtfP5dI1tZls2l5/EiIiJyRPIL&#10;5nrhAlqJfOjObnd5LbqJAAAAAAAAAIA6Ssuo3r5zJXwOXiPrWZbNHDz0FxERkbeTXyjXChfOSuRD&#10;z77sPl6NbiAAAAAAAAAAoM5SMa7my6gma70n/yIiIvI66QJZuGBWIh967mV3aSG6cQAAAAAAAACA&#10;Jlh5cj18Jl4je1mWLRwUAEREROQgq8EFs7R83IWdbx/PRzcMAAAAAAAAANAkDVhGdSvLstmDFoCI&#10;iMiUZzG4UJaWxt3dXZqNbhQAAAAAAAAAoGnSMqo3bl4Mn5HXyHqWZTMHbQAREZEpzUJwgSwtH3d1&#10;e3ulE90kAAAAAAAAAEBTPX12a//8hU74rLxG1nqVABERkenLfHBhrMK6QhwAAAAAAAAAbbXy5Hr0&#10;rLxO9rIsW+hVA0RERKYnc8FFsQobafBX3aW96MYAAAAAAAAAAJru628e7t++cyV6Zl4nW1mWzaZn&#10;+CIiItOQ2eBiWIXNNPhOd3kruikAAAAAAAAAgLZ4/uLu/qXL56Jn53WynmXZTHqWLyIi0ubMBBfB&#10;KmynwXe+W9qMbgYAAAAAAAAAoG2ePru1f/5CJ3qGXidrB20BERGRlqYTXPyqkNYiz/IL/nrxBgAA&#10;AAAAAAAA2mzlyfXoOXqdpEluFtJzfRERkbZlVIW4/TT4bnd5Lbr4AwAAAAAAAECbff3Nw/3bd66E&#10;z9NrZCuzjKqIiLQtwQWvEvnQnZfdx6vRhR8AAAAAAAAApsHzF3f3L10+Fz5Xr5G0jKpinIiItCP5&#10;hW2vcKGrRD707Mvu0kJ0wQcAAAAAAACAafL02a398xc64fP1usiybPWgSCAiItLk5Be17eJFrgr5&#10;0HM73z6ejy70AAAAAAAAADCNVp5cD5+x10haRnXhoFAgIiLSxKSLWeHiVol86IXd3aXZ6AIPAAAA&#10;AAAAANPqy68+2b9950r4rL1GUjHOMqoiItK85BexzcJFrRL50Ivb2yud6OIOAAAAAAAAANPu+Yu7&#10;tV9GNbeWZVnnoGAgIiLShOQXL4U4AAAAAAAAAJiQtIxq3YtxWZatHpQMRERE6p78wrVevJBVIR/6&#10;4GL4qru0F13QAQAAAAAAAIA3Hjy6Fj5/r5G0jOpC6gKIiIjUNvkFa61wAavKehp/p7u8FV3IAQAA&#10;AAAAAIC3pWVUb9+5Ej2Dr5NUjJtJnQAREZHaJb9QjaoQt5HG3/luaTO6iAMAAAAAAAAAsVSMq/sy&#10;qrm1g+KBiIhIzbIaXLSqcFCIe9Vd3ogu3gAAAAAAAADA8VaeXN9/v/Ne9Ey+NrIsW0z9ABERkbpk&#10;MbpgVSBNkZrtdpfXoos2AAAAAAAAAHA69+5fjZ7L10nqCCyknoCIiMiksxBcqKqwnQZ/2X28Gl2s&#10;AQAAAAAAAIDTS8uo3r5zJXo+XyebWZbNpL6AiIjIpDIfXKCqsJcGf9ldWogu1AAAAAAAAADA2X3+&#10;xcf75y90ouf0dbJ20EgQERGZQEZViEvrhGc73z6ejy7QAAAAAAAAAMDwVp5cD5/V10lmGVUREZlA&#10;ZqOLUhXysTuvustz0YUZAAAAAAAAACivAcuobmWKcSIiMsbMBBejSqSxt7ufzkQXZAAAAAAAAACg&#10;Gs9f3G1CMW4j9QgOmgoiIiIjTCe4CFUiH3t2e3ulE12MAQAAAAAAAIBqPX12a//8hU74DL9G1np1&#10;BRERkdFklIW4ufQCr7pLe9GFGAAAAAAAAACo3sqT6+Fz/DrJLKMqIiKjSnThqUI+9HwaXyEOAAAA&#10;AAAAAMbr628eNmEZ1a1MMU5ERKpOfoHZK1xwKpEPvZjG3+kub0UXXwAAAAAAAABgtJ6/uNuEZVQ3&#10;siybSR0DERGR0skvLKMtxH23tBlddAEAAAAAAACA8WjCMqq5tdQzEBERKZX8grJVuMBUIh96NY2/&#10;211eiy62AAAAAAAAAMD4NGQZ1b3MMqoiIlIm+cVks3Bxqcp6Gl8hDgAAAAAAAADqIy2jeunyueg5&#10;f51sZVk2n3oHIiIiZ0p+ERlVIS6t8Z297D5ejS6wAAAAAAAAAMDkpGVUz1/oRM/76yRNxjOT+gci&#10;IiKnSrp4FC4mVTkoxO18+3g+urACAAAAAAAAAJN37/7V6Jl/3awdlBxEREROSrpoFC4iVUnTlyrE&#10;AQAAAAAAAEDNpWVUb9+5Ej37r5O9LMsWUhdBRETkyOQXjFEV4rbT+Lu7S7PRxRQAAAAAAAAAqJen&#10;z241YRnVNEHPXOokiIiIRFkNLh5VSM3sbHt7pRNdRAEAAAAAAACAelp5cj3qAdTNepZlM6mbICIi&#10;cjgKcQAAAAAAAADAW77+5mETllFN1g7aDyIiIv0sBheLSvTHz151l/aiiycAAAAAAAAAUG/PX9xt&#10;wjKqadKehV5LQUREpj0LwYWiEvnYnfQCO93lreiiCQAAAAAAAAA0Q0OWUd3Ksmw2dRVERGR6M/pC&#10;3HdLm9HFEgAAAAAAAABojgYto7qeZdlM6iyIiMj0ZT64MFQiH/vg4vKqu7wRXSgBAAAAAAAAgOZJ&#10;y6heunwu7ArUzFrqLYiIyHRllIW4g2lId7vLa9EFEgAAAAAAAABorrSM6vkLnbAzUCNpGdWF1F8Q&#10;EZHpyFxwMahEGju9gEIcAAAAAAAAALTXvftXw95AzaRinGVURUSmILPBRaAS+dgHhbiX3cer0QUR&#10;AAAAAAAAAGiHtIzq7TtXwv5AzVhGVUSk5RllIW4+vcDOt4/no4shAAAAAAAAANAuT5/dasIyqnuZ&#10;ZVRFRFqbmeDEX4l87IOLh0IcAAAAAAAAAEyXlSfXwy5BzaRlVGdTt0FERNqTTnDCr0Q+9mJ6gd3d&#10;pdno4gcAAAAAAAAAtNfX3zxs0jKqndRxEBGR5mfkhbjt7ZVOdOEDAAAAAAAAANrv+Yu7TVhG9XXP&#10;QUREGp7oJF+FfOjVNL5CHAAAAAAAAADQoGVU51PfQUREGprg5F6VNKXoQV51l/aiix0AAAAAAAAA&#10;MD0atIzqepZlM73Wg4iINCr5SXyvcFKvSro4HGSnu7wVXegAAAAAAAAAgOmTllG9dPlc1DWom9eT&#10;AYmISEOSn7xHVYjb6L+EQhwAAAAAAAAA8I60jOr5C52oc1An21mWLfQaECIiUvukE3fhRF6VN4W4&#10;75Y2owsbAAAAAAAAAMC9+1ej3kHdbGWWURURqX/SCbtwAq/KZv8lst3u8lp0QQMAAAAAAAAASNIy&#10;qrfvXIn6B3VjGVURkTonP1GPqhCXmtEHUYgDAAAAAAAAAE7j6bNbTVhGdS+zjKqISD2Tn6Q3Cyft&#10;qqQ1tA/ysvt4NbqIAQAAAAAAAABEVp5cj7oIdZMmC5rttSNERKQWyU/OoyrEpTb0QV52lxaiixcA&#10;AAAAAAAAwFG+/uZhk5ZR7fRaEiIiMtHkJ+WNwkm6Kq8LcTvfPp6PLlwAAAAAAAAAACd5/uJuE5ZR&#10;3c+ybLHXlBARkYklPyGvF0/QVem/RPaquzwXXbAAAAAAAAAAAE6rQcuoLvQaEyIiMvbkJ+K1wom5&#10;Mv2XyLa7n85EFyoAAAAAAAAAgLNo0DKq61mWzfSaEyIiMrbkJ+BRFuIO1sfe3l7pRBcpAAAAAAAA&#10;AIBhpGVUL10+F/YVamYtdSdERGRMSSfewom4MvnwB4W4lOjiBAAAAAAAAABQRlpG9fyFTthbqJHt&#10;zDKqIiJjy2pwIq5EPvabQlx3aS+6MAEAAAAAAAAAlHXv/tWwu1AzW5llVEVERp5RFuJen8R3ustb&#10;0QUJAAAAAAAAAKAKaRnV23euhB2GmrGMqojICLMYnHgrkY/9phD33dJmdDECAAAAAAAAAKjS02e3&#10;mrCM6l5mGVURkZFkITjpViIfe7b3EmnJ1OWN6CIEAAAAAAAAADAKK0+uh32GmrGMqohIxZkPTraV&#10;yMd+XYjb7S6vRRcfAAAAAAAAAIBR+fqbh5ZRFRGZsoyyEDfXewmFOAAAAAAAAABgcp6/uNuEZVS3&#10;M8uoioiUzlxwgq1EGrv3Eln2svt4NbrgAAAAAAAAAACMS0OWUd3ILKMqIjJ0xlSIW1qILjQAAAAA&#10;AAAAAONkGVURkXZnNjihViIfe773Elm28+3j+egiAwAAAAAAAAAwCQ1ZRnUrs4yqiMiZMhOcTCuR&#10;j/36hPyquzwXXVwAAAAAAAAAACapIcuormeWURUROVXGUojb7n46E11UAAAAAAAAAAAmrSnLqGZZ&#10;ttprYoiIyFHpRCfQKuRjL/ZeIsu2t1c60QUFAAAAAAAAAKAuGrSM6nyvkSEiIsWMpRCXEl1IAAAA&#10;AAAAAADqxjKqIiINTnDCrEQ+9NuFuO7SXnQRAQAAAAAAAAComzRbXEOWUX2rnyEiMvXJT457xZNl&#10;FfKh31q3eqe7vBVdQAAAAAAAAAAA6urps1tNWUZ1ttfQEBGZ8uQnRYU4AAAAAAAAAIBjPHh0LexH&#10;1MxalmWdXlNDRGRKk58Mx1OI+25pM7pgAAAAAAAAAAA0QVpG9cbNi2FPok6yLFvotTVERKYw+Ylw&#10;q3hirEhqHb9OfmFYL14oAAAAAAAAAACaxjKqIiI1TjoBFk6IVXmrELfbXV6LLhIAAAAAAAAAAE10&#10;7/7VqC9RN2/1N0REWp/8xDeqQtx6/yUO8rL7eDW6OAAAAAAAAAAANFVaRvXS5XNRb6JO9jLLqIrI&#10;tCQ/6W0WToJVUYgDAAAAAAAAAKbCypPr++933ov6E3WSllGd6TU5RERamvxkN6pC3Eb/JQ7ysru0&#10;EF0QAAAAAAAAAADa4vadK1GHom4soyoi7U1+khtLIW7n28fz0YUAAAAAAAAAAKBNLKMqIjLB5Ce4&#10;jcIJrypvFeJedZfnoosAAAAAAAAAAEAbpWVUgz5F3VhGVUTalfzENpZC3Hb305no5A8AAAAAAAAA&#10;0FZff/PQMqoiIuNMfkJbL5zgqrLZf4mDbG+vdKITPwAAAAAAAABA26VlVM9f6ET9ijqxjKqIND/5&#10;yUwhDgAAAAAAAABgDCyjKiIy4uQnsbXCSa0qbxXiUl51l/aikz0AAAAAAAAAwLSwjKqIyAiTTl6F&#10;k1lVFOIAAAAAAAAAAI7w+Rcf134Z1Z/+6R97mVlGVUSalPzkNapCXJo+863sdJe3ohM8AAAAAAAA&#10;AMC0asIyqn/w0s/9dmYZVRFpSFajE1kF3i3Efbe0GZ3YAQAAAAAAAACm2fMXdxuxjOov//JP/ZV+&#10;DUREpLYZWyHuVXd5IzqpAwAAAAAAAACwvP/02a3aL6P6izM/9TtX/tDP/0a/DiIiUrssRievCmz3&#10;x3+d3e7yWnQyBwAAAAAAAADgjXv3r0ZdjFr54MOZr3/jN6/+er8WIiJSmyjEAQAAAAAAAADUTFpG&#10;9dLlc1Eno1b+zMK/8nf71RARkVpkITpZVeCdQtzL7uPV6AQOAAAAAAAAAEBs5cn1/fc770XdjNpI&#10;xb3/7G/86b/Rr4iIiEw0oyrE7fXHf52X3y4tRiduAAAAAAAAAACOd/vOlaifUStpqdeX3aWFflVE&#10;RGQiGVshbufbx/PRCRsAAAAAAAAAgJM1ZRnVv/iXbvwjxTgRmVTmoxNTBRTiAAAAAAAAAABGIC2j&#10;GnQ1aiUV9zb+1p/5HxXjRGTcGVsh7lV3eS46SQMAAAAAAAAAcDZff/OwMcuo7nSXt9JESv0KiYjI&#10;SDOqQtx+f/zX2e5+OhOdoAEAAAAAAAAAGE5aRvX8hU7Y3aiL9zvv7T99dmv/VXd5I/VH+lUSEZGR&#10;ZC46EVWhP/7rbG+vdKITMwAAAAAAAAAA5TRlGdUvv/okbe+6YpyIjCoKcQAAAAAAAAAALZBmi2vK&#10;Mqppe3e7y2uKcSJSdWajE08V8rE7vZd4k+KJGAAAAAAAAACAaqXlSRuzjGq+vakY16+WiIiUzkx0&#10;0qlCPva7hbju0l7xJAwAAAAAAAAAQPUePLoWdjrq5IMPZwbLqCrGiUgl6UQnmyqksXsv8SY73eWt&#10;4skXAAAAAAAAAIDRSMuoXrp8Lux21MlgGdU02dLL7tJCv2oiInLmjLIQ984azwpxAAAAAAAAAADj&#10;t/Lk+sEypVHHoy5ScW+wjGrqmCjGicgwGWUhbrb3Em+y893SZvGECwAAAAAAAADAeNy+cyXsedRJ&#10;2sbBMqqKcSJy5kQnlirkQ79TiHvVXd4onmgBAAAAAAAAABifpiyj+uDRtdfbnCZh2u5++s5qhSIi&#10;7yQ/gewVTyhVyIee673Cm+x2l9cOn2ABAAAAAAAAAJiMtIxq1Pmok8PLqB7oLm8oxonIsclPHgpx&#10;AAAAAAAAAABT6OtvHjZuGdUkdVAU40QkTH7S2C6eRKqQDz3fe4U3edl9vHr4pAoAAAAAAAAAwOSl&#10;ZVTPX+iEHZA6uXf/6lvbnYpx/VqKiEgv+cliq3jyqEI+9LuFuG+XFg+flAAAAAAAAAAAqI9GLqOa&#10;U4wTkdfJTxSjKsQt9F7hTXa+fTx/+GQEAAAAAAAAAEC9pKVJm7iM6qvu0t7L7tI7fRURmbLkJ4jN&#10;4gmjCvnQCnEAAAAAAAAAAA2VZmFr4jKqO93lLcU4kSlOfmLYKJ4oqpAPvdh7hTd51V2eO3wCAgAA&#10;AAAAAACg3pq6jGoqxu3uLs32aysiMi3JTwpjK8Slk8zhEw8AAAAAAAAAAPX3/MXdRiyjeuPmxbeX&#10;Ue1Z3+5+OtOvr4hI25OfDNaLJ4cq5EOv9l7hTdLJpXDCAQAAAAAAAACgIT5b/6iRy6gmu93lte3t&#10;lU6/xiIibU1+ElgrnhSqkA/9biEuP6kUTzYAAAAAAAAAADRLE5ZRTcW94jKqSSrG9assItLG5CeA&#10;kRTicu+cPBTiAAAAAAAAAADa4etvHjZiGdVLl8+9u4xqd2nvZXdpoV9pEZGWZTU6GVQgbNO+dXIB&#10;AAAAAAAAAKDRnr+429hlVHe6y1uKcSLty6gKcev98d9KatgWTy4AAAAAAAAAADRbE5ZRfb/zXriM&#10;airG7e4uzfbrLSLS8CxGJ4AKbPTHfyv5SWS7eFIBAAAAAAAAAKD5Gr2MatJd3tjufjrTr7mISEOz&#10;EH3xKxAW4lKj9p2TCQAAAAAAAAAArdHkZVST3e7ymmKcSHMzH33hKxAX4r5b2oxOJAAAAAAAAAAA&#10;tEuTl1FNUjGuX3kRkQZlVIW4zf74b0UhDgAAAAAAAABgejR/GdWlvZfdpYV+9UVEGpC56EtegbAQ&#10;l58o1t85cQAAAAAAAAAA0GppGdVUOgs6JrVy1DKqO93lLcU4kWZkNvpyV2CrP/5bSVNJRicNAAAA&#10;AAAAAADar+nLqKZi3O7u0my/CiMiNUwn+mJXYLs//ltRiAMAAAAAAAAAoNHLqPasb3c/nelXYkSk&#10;RhlVIW6vP/5bedl9vBqcIAAAAAAAAAAAmDJNX0Y1SZND9WsxIlKXRF/kCijEAQAAAAAAAABworSM&#10;alqmNOif1MZxy6gminEiNUr+pd0rfomr0B/+rbzsLi1EJwUAAAAAAAAAAKZbmokt6qDUSZrRLs1s&#10;F23/q+7SXurG9GsyIjKp5F/WreKXtwr50J3eK7zJzreP58MTAgAAAAAAAAAAUy+VzW7cvBh2Uerk&#10;uGVUd7rLW4pxIhNM/iUdVSFupvcKb6IQBwAAAAAAAADASdLypOcvdMJOSl2ctIzqzndLm9vdT9/p&#10;z4jIiJN/QTeLX9gq5EPP9l7hTV51l+eiEwAAAAAAAAAAABQ9eHQt7KXUybHLqPasK8aJjDH5F3O9&#10;+EWtQj70XO8V3mR3d2k2+NIDAAAAAAAAAEAolc1u37kS9lPqJC2j+vU3D8N9SHa7y2v9Co2IjDL5&#10;F3Kt+AWtQj70O4W41HaNvvAAAAAAAAAAAHCcJiyjmhy3jGry8tulxX6VRkRGkfyLOKpC3HzvFd5k&#10;e3ulE33RAQAAAAAAAADgNFaeXA+7KnVyimVUt192lxb6lRoRqTir0RezrHzcd760CnEAAAAAAAAA&#10;AJTVlmVUd7rLW4pxItVnIfpClpWPG07vGH25AQAAAAAAAADgrD7/4uNGLKOaZrWLtv+17vLGdvfT&#10;mX69RkRKZj76IpaVj7vaG/7tvOou7YVfbAAAAAAAAAAAGEJLllHd3+0urynGiZSPQhwAAAAAAAAA&#10;AI2WliZtwjKqaRu//OqTcB8GUjGuX7URkSEyG335KhB+MfMv7XbxSwwAAAAAAAAAAFVIs7C1YxnV&#10;pb2X3aWFfuVGRM6QmehLV4GN/vhvZae7vBV+iQEAAAAAAAAAoCJNWUb1s/WPwu0fSF0bxTiRs6UT&#10;feEqoBAHAAAAAAAAAMBEtWUZ1dS52e5+OtOv4IjIcYm+aBXY7A//Vna+W9qMvrQAAAAAAAAAADAK&#10;aRnVNBtb0G+plQeProXbX7CuGCdyQvIv1F7xC1aBrf7wb0UhDgAAAAAAAACASXj67Nb++QudqOdS&#10;G6m4l7Yz2v7DdrvLa/06jogUk3+ZRlGI2+4P/1ZedZc3oi8pAAAAAAAAAACMQ5qJLei61MppllFN&#10;Xn67tNiv5YjIIPmXaKv4parAXn/4t5J/EdeLX0wAAAAAAAAAABintIxqKp0FnZdauXf/arj9h+10&#10;l7dedpcW+vUcEcm/PJvFL1MFwkJcmq4x+mICAAAAAAAAAMC4tWkZ1VSM291dmu3XdESmN/kXZ6P4&#10;RapCf/i3ohAHAAAAAAAAAEDdrDy5HvZf6uTGzYunWkY1t77d/XSmX9cRmb7kX5i14heoCvnQnd4r&#10;vMnL7uPV4EsIAAAAAAAAAAAT9fU3D1uzjGqSJq7qV3ZEpi6r0ZenrHzcd6ZgVIgDAAAAAAAAAKDO&#10;nr+425plVJPU1+lXd0SmJovRF6esfNx3C3HfLi1GXzwAAAAAAAAAAKiTJiyj+sGHM6ddRnX7ZXdp&#10;oV/hEWl95qMvTFn5uHO94d8kfbGCLxwAAAAAAAAAANRO25ZR3ekub+3uLr0zyZVI2zIXfVHKysd9&#10;p1W68+3j+ejLBgAAAAAAAAAAdZWWUU3LlEYdmbpIy7yedhnV3Pp299OZfqVHpHWZib4kZeXjLvaG&#10;fxOFOAAAAAAAAAAAmioto/p+572wK1MXZ1hGdX+3u7zWr/WItCqd6MtRVj7uam/4N3nVXZ6LvlwA&#10;AAAAAAAAANAUaYnSqC9TJ6ddRjV5+e3SOxNfiTQ60ZeirHzYdwpxaQ3i6EsFAAAAAAAAAABNkpZR&#10;vXHzYtibqYu0zOtpl1Hd6S5vvewuLfRrPiLNTv4F2Ct+ISqw3h/+ddLaw9EXCgAAAAAAAAAAmigV&#10;zs5f6ETdmdq4fefKqZdRTcW41PHp131Empn8wN8qfhEqsNEf/nUU4gAAAAAAAAAAaKOVJ9ej/kyt&#10;PHh0Ldz2I6wrxkljkx/wm8UvQAU2+8O/jkIcAAAAAAAAAABtlZZRTbOxBT2a2kjLqH62/lG4/ZHd&#10;7vJav/oj0pzkB/tG8eCvwFZ/+NfZ3l7pRF8cAAAAAAAAAABoi1Q4a9Myqq+6S3svu0sL/QqQSP2T&#10;H+RrxYO+Anv94V9HIQ4AAAAAAAAAgGnRhGVU0zZG2x7Z6S5vKcZJU7IaHfAlKcQBAAAAAAAAADDV&#10;0ixsTVhGNS33Gm1/qLu8sd39dKZfCRKpZRajg72sfNxOb/heFOIAAAAAAAAAAJhGn3/xcbuWUc3t&#10;dpfX+rUgkdplPjrIy8rHfasQlxJ9OQAAAAAAAAAAYBq0bRnVxDKqUsfMRQd3Wfm4s73h3yT6UgAA&#10;AAAAAAAAwLT4+puHrVtGdae7vKUYJ3XKTHRgl5WPO9cb/k2iLwQAAAAAAAAAAEybVDir+zKq9+5f&#10;PSjwRdsf6i5vbHc/nelXhUQmlk50QJeVjzvfG/5NXnWX9sIvAwAAAAAAAAAATKEmLKP69NmtcNuP&#10;sttdXuvXhUQmk+hALisf9p1pEBXiAAAAAAAAAADgbW1cRjWxjKpMLPlBu1c8iMvKh13sjf4mCnEA&#10;AAAAAAAAABBryjKq0bYfZae7vKUYJ2NPfrBuFQ/esvJhV3ujv4lCHAAAAAAAAAAAHK/uy6i+33nv&#10;zMuovuoub2x3P53p14hERpv8QN0sHrgVeGct4Pzg3n7nYAcAAAAAAAAAAN7SlGVUv/zqk3D7j7Lb&#10;XX6nUyRSefIDdL14wFZgoz/86+QHtUIcAAAAAAAAAACcUhuXUU0soyojTX5grhUP1Aq8U4hLawJH&#10;BzgAAAAAAAAAAHC0Ni6jmrpEinEyqqxGB2pJW/2xX0chDgAAAAAAAAAAhtPWZVRfdZc3trufzvQr&#10;RiKVZCE6QEva7o/9OgpxAAAAAAAAAABQTlpGNRXPgr5ObQyzjOpud3mtXzMSKZ356MAsaa8/9uso&#10;xAEAAAAAAAAAQDXauIxqYhlVqSKz0UFZVn/s19n5bmkzOogBAAAAAAAAAIDhtHEZ1TTxlmKclEkn&#10;OhjLSuP2hu9FIQ4AAAAAAAAAAKrX1mVUU99ou/vpTL9+JHLqjKoQ99bBqBAHAAAAAAAAAACjk5ZR&#10;TUuVRl2eOhh2GdXd7vJav4IkcrrkB9xe8QAsKx92tjd6L6+6yxvRAQsAAAAAAAAAAFQnzcYW9Xnq&#10;4oMPZ868jGry8tulxX4VSeT45AfaVvHAKysfdq43ei8KcQAAAAAAAAAAMB6tXUa1u7z1sru00K8k&#10;icTJD7DN4gFXVj7sWweeQhwAAAAAAAAAAIxXWqL0/IVO2O+pg1TaG2YZ1VSM2+5+OtOvJom8nfzg&#10;Wi8ebGXlw741RaFCHAAAAAAAAAAATEbdl1G9fefKUMuo7naX17a3Vzr9ipJIL/lBtVY8yMrKh1WI&#10;AwAAAAAAAACAmkjLqN64eTHs+tTFg0fXwm0/ycvu49V+TUnkIKvRAVZGGrM3dC8KcQAAAAAAAAAA&#10;MHlNWEb1s/WPwm0/TlpG9WV3aaFfV5Ipz3x0cJW03h/7IApxAAAAAAAAAABQH2k2tqDzUxvDLqO6&#10;893S5nb305l+bUmmNKMoxG30xz6IQhwAAAAAAAAAANRLWkY1Fc+C7k9trDy5Hm77SXa7y2v96pJM&#10;YWajg6mkzf7YB1GIAwAAAAAAAACAemrrMqqvukt7llGdznSiA6mkrf7YB1GIAwAAAAAAAACAemvt&#10;Mqrd5a3d3aXZfpVJpiHRAVTSXn/ogyjEAQAAAAAAAABA/bV5GdXc+nb305l+pUnanPxA2SseOCUp&#10;xAEAAAAAAAAAQEM1YRnVVN6Ltv0kL7uPV/u1Jmlr8oNkq3jQlNUf+iAKcQAAAAAAAAAA0DxpNrao&#10;G1QX9+5f3f/6m4fhth8nLaP6sru00K83SduSHxybxYOlrHzYTm90hTgAAAAAAAAAAGiqJiyjmma0&#10;i7b9FCyj2sbkB8V68SApKx92tje6QhwAAAAAAAAAADTd51983NplVHe7y2v9qpO0IfkBsVY8QMrK&#10;h1WIAwAAAAAAAACAlmnCMqrRdp/EMqrtymp0cJSRjznXG1ohDgAAAAAAAAAA2uTrbx7WehnV9zvv&#10;WUZ1yrMQHRhl5GPO94ZWiAMAAAAAAAAAgDZKS5TWfRnVL7/6JNz2k7zsPl7t15+kgZmPDogy8jEX&#10;e0Nn2c53S5vRQQMAAAAAAAAAADRfm5dRfdVdfr1SpjQnc9GBUEY+pkIcAAAAAAAAAABMidYvo7q9&#10;0unXoaQBmYkOgjLyMV9PGagQBwAAAAAAAAAA06G1y6h2l/ZedpcW+pUoqXk60Ydf0lp/bIU4AAAA&#10;AAAAAACYMq1dRvW7pc3t7qcz/WqU1DXRh17Sen9ohTgAAAAAAAAAAJhCbV5G9eW3S4v9epTUMfkH&#10;vFf8wEva6A+tEAcAAAAAAAAAAFOsCcuopm2Mtv04O93lLbPF1TT5B7tV/KBL2uwPrRAHAAAAAAAA&#10;AAC0dhnVl93Hq/2qlNQl+Qe6WfyAS9rqD60QBwAAAAAAAAAAHGjrMqpptrjd3aXZfmVKJp38w1wv&#10;frglbfeHVogDAAAAAAAAAADe0tZlVHe7y2v92pRMMvmHuFb8UEva6w+tEAcAAAAAAAAAAITauIxq&#10;mi3uVXd5rl+fkgllNfpAy+iPmx18wMEHDwAAAAAAAAAA0NZlVM0WN9ksRB9mGfmYnTSwQhwAAAAA&#10;AAAAAHCSNi6jmrpTu7tLs6lHJePNfPQhlpGPqRAHAAAAAAAAAACcSRuXUX3ZfbyaulQyvsxFH14Z&#10;+ZgHzUaFOAAAAAAAAAAA4CzqvoxqctZlVFOParv76UzqVMnoMxN9aGXkY86lgfMPc7v44QIAAAAA&#10;AAAAAJykjcuovvx2aTH1qmS06UQfWBn5mApxAAAAAAAAAABAaS1cRnU9datkhIk+qDLyIRfSuPmH&#10;pxAHAAAAAAAAAACU0rZlVNMSqru7S7OpYyUjSP6B7BU/oDLyIQ+m9ss/PIU4AAAAAAAAAACgEm1b&#10;RtUSqiNK/mFsFT+cMvIhFeIAAAAAAAAAAICRaMIyqmlWu2jb39Fd3khdK6kw+YewWfxQysiHXE3j&#10;vuou7YUfIgAAAAAAAAAAQAltWkY1LaG6vb3SSZ0rqSD5m79R/DBKWk/jKsQBAAAAAAAAAACj1Jpl&#10;VLtLe7u7S7MHhS4pl/yNXyt+ECUdTOOnEAcAAAAAAAAAAIxD3ZdRTbPZffnVJ+G2v6W7PHdQ6pLh&#10;k7/hoynERR8YAAAAAAAAAADACDRhGdUHj66F237Yy+7SwkGxS4bOavTml7CZBo0+LAAAAAAAAAAA&#10;gFFqwjKqT5/dCrd9QCmuXBajN76E7TRo9EEBAAAAAAAAAACMQ9OXUVWKGz7z0Rtewl4aNPqQAAAA&#10;AAAAAAAAxiUVzuq+jOq9+1fDbU+U4oZL5YW47e2VTvQBAQAAAAAAAAAAjNvnX3xc62VU07YdtYzq&#10;zreP5/s9Lzll5qI3uQyFOAAAAAAAAAAAoG7qvozqBx/OhMuo7u4uzfa7XnKKzERvbhm/+Zv/2i8W&#10;PxQAAAAAAAAAAIBJa8Iyqqm499Z2d5cOVu3s973khHSiN7WM3/jNq7/+1gcCAAAAAAAAAABQI3Vf&#10;RvXS5XP7z1/cfb29O98tbfb7XnJCKi/E/fE/+Ss3Dx88AAAAAAAAAAAAdfTg0bWwA1UX9+5ffb2t&#10;u93ltX7nS45L9EaW8et/5BfvHD5oAAAAAAAAAAAA6irNxJZmZIu6UHXwfue9/afPbh1s6863j+f7&#10;tS85Kvmbtld8E8u48od+/jeKBw0AAAAAAAAAAECdrTy5flA+izpRdXD7zpX9/+Ef/Nbv7O4uzfar&#10;XxIlf7O2im9eGb/2a7/w70cHDAAAAAAAAAAAQN2l4lnUi6qDVNj7i3/pxj/qV78kSv5GVVqIu3Tp&#10;5/6j6EABAAAAAAAAAABogrSM6vkLnbAfVQf/5u1ffdWvf0kx+Ru0WXzDyvjlX/6pvxIdJAAAAAAA&#10;AAAAAE2SllGNOlJ18NM//WMvsyyb6bXA5HXyN2ej+GaVcelXf+6vRQcHAAAAAAAAAABA03z9zcPa&#10;LqP6Iz/yQ/8ky7L5XhNMDpK/MWvFN6qMCzM/9V9FBwYAAAAAAAAAAEBTPX12q7bLqGZZttprg0nl&#10;hbj8Q/970QEBAAAAAAAAAADQdPfuXw17U5OSZdngf2/0GmGyevgNKkshDgAAAAAAAAAAaLPnL+7u&#10;X7p8LuxPTVKWZf9BrxI23VmM3pxhdX7yvX8YHQQAAAAAAAAAAABtsvLk+v77nffCHtUE/RdZls30&#10;qmHTmfngTRnaj//4j/6j6MMHAAAAAAAAAABoo7oto5qkXlivHjZ9qbQQ9/3v/8g/jT50AAAAAAAA&#10;AACAtkrLqN64eTHsVE1KlmWrvYrYdGUuejOGpRAHAAAAAAAAAABMq6fPbu2fv9AJu1UTstnviU1N&#10;ZoM3oZTogwYAAAAAAAAAAJgWK0+uh92qSJZl4Z9XaKpKcTPBG1DK1988DD9kAAAAAAAAAACAaZGW&#10;Ub1950rYsZqAqSnFdYKdL0UhDgAAAAAAAAAAoCcV42qyjOpavzPW6lReiPvyq0/CDxYAAAAAAAAA&#10;AGAaPX12a/8nf/J3h32rccqybKFXG2txoh0vIzUaow8VAAAAAAAAAABgmnz+xcf7ly6fC3tWk5Jl&#10;2WyvOdbS5Du5V9zpMhTiAAAAAAAAAACAafb1Nw/3792/GvaramC7Xx1rZ/IdrLQQl1qN0YcMAAAA&#10;AAAAAADQZoMi3Pud98JuVY1s9Otj7Uu+c1uFnS3ls/WPwg8bAAAAAAAAAACgreq4POpxsiyb7zXI&#10;WpZ85yotxD19div8wAEAAAAAAAAAANrm+Yu7+zduXgy7VDW3l2XZTK9F1qLkO7ZZ2NFSFOIAAAAA&#10;AAAAAIC2a9DyqMfZ7NfI2pN8pzYKO1nKypPr4QEAAAAAAAAAAADQBml51PMXOmF/qmmyLFvoNcla&#10;knyn1os7WYZCHAAAAAAAAAAA0EYNXh71OO1aOjXfobXCDpby4NG18GAAAAAAAAAAAABoopYsj3qc&#10;jX6drPnJd0YhDgAAAAAAAAAAINCm5VGPk2XZfK9R1vysRjs4rNSEjA4MAAAAAAAAAACApmjp8qjH&#10;SUuntiKVFuJu37kSHiAAAAAAAAAAAAB1NwXLox5nvd8pa3QWgh0bWmpFRgcKAAAAAAAAAABAXaUi&#10;3NNnt6a1CPdalmWzvVpZczMf7diwFOIAAAAAAAAAAIAm+fyLj/cvXT4X9qGm0Ha/V9bYVFqI++DD&#10;mfCgAQAAAAAAAAAAqJPnL+4eTAAW9aCmWZZlC71qWTMzF+3UsFJTMjp4AAAAAAAAAAAA6iAtj3rv&#10;/tWpXx71GHtZlnV69bLmZTbYoaGdv9AJDyIAAAAAAAAAAIBJSkW4p89uNbYIl7Z75cn1g32I/r5i&#10;6/1+WeMyE+zM0BTiAAAAAAAAAACAuvn8i48PVr+MOk91l4pwt+9cOSj0DfZnHPuSZdlsr2LWrHSi&#10;nRlWevMPH0gAAAAAAAAAAACT8vzF3f0bNy+GXacm+ODDmYN9KO7Xl199Ev77Fdvsd8waFYU4AAAA&#10;AAAAAACgVdJsavfuX2388qjRvg2k/Yt+tkpZls33ambNSaWFuCR68wEAAAAAAAAAAEYtFeEePLrW&#10;+CLc4eVRj5L+nfMXOuE4Fdrr98yak2AnSjnNhwEAAAAAAAAAAFClz7/4eP/S5XNhp6kJjloe9Thp&#10;n6OxKrbWr5o1I/kG7xV2oBSFOAAAAAAAAAAAYFyaXoRL2/7Z+kfhvp3GjZsXw3GrlGXZTK9t1oDk&#10;G1xpIe7Lrz4J33gAAAAAAAAAAICqpJ7SvftXww5TE5xledTjpJ+Pxq/YZr9uVv/kG7td2PhSzjpt&#10;HwAAAAAAAAAAwGmlAlgqwqVCWdRfaoLbd65UOvHYg0fXwtepUpZl873GWc2Tb+xWcePLUIgDAAAA&#10;AAAAAACqlopwT5/danQRruzyqEdJ7835C53wNSu03a+c1Tv5hlZaiEtr8kZvOgAAAAAAAAAAwDBS&#10;JymVyaK+UhNUtTzqcVLRLnrtKmVZttBrndU4+YZuFje8DIU4AAAAAAAAAACgCmm1yhs3L4Y9pab4&#10;4MOZSpdHPc4YSoN7WZZ1es2zmibfyI3CRpcyiin9AAAAAAAAAACA6ZFmUrt3/6rlUc8oFQijbanY&#10;er96Vs+kDSxscClpnd7ozQYAAAAAAAAAADhOKsKl/lGTi3DjWB71OLfvXAm3q0pZls302mc1TL6B&#10;lRbi0ocZvdEAAAAAAAAAAABH+fyLj8ex5OdIjXN51KOkIl60bRXb6NfP6pd849YKG1uKQhwAAAAA&#10;AAAAAHBaaZnPGzcvhl2kpkizwtVpZc0Hj66F21mlLMvmeg20miXfuEoLcenNjN5kAAAAAAAAAACA&#10;gTST2b37Vxu9PGqSliid1PKoR0nbc/5CJ9zeCm33K2i1y2qwsUNTiAMAAAAAAAAAAI6SylppNrWm&#10;F+HS8q5pmddoH+vgs/WPwu2uUpZlC70KWr1SaSEutTajNxgAAAAAAAAAAJhuqUCWimRR76gpUpFv&#10;5cn12s0KFxnDe73X76DVKovBhg4tTQEYvbkAAAAAAAAAAMB0ev7i7v6NmxfDvlGT/NrVCwf7Eu1j&#10;HaUCYrQfVcqybLVXQ6tPFqINHVY6cKM3FwAAAAAAAAAAmC5pFrW04mTTl0cdSDOuNWFmuMPGUERM&#10;s8TN9Kpo9ch8sJFDU4gDAAAAAAAAAIDplkpjT5/dak0R7rCmleK+/OqTcD8qtt7votUilRbiPvhw&#10;JnxjAQAAAAAAAACA9kvLdKbSWNQtaoumleLGsVxtVqNZ4uaiDRxW+rCjNxUAAAAAAAAAAGiv5y/u&#10;7t++cyXsFLVRk0pxaTujfajYRr+PNvHMBhs3NIU4AAAAAAAAAACYHqlsde/+1VYuj3qSJpXixlFW&#10;TF20XiUtm+v/cyKptBB3/kInfEMBAAAAAAAAAIB2Scujpr5Q1COaFk0pxY1plrj/PreW2+530yaS&#10;mUMbVFpqekZvKAAAAAAAAAAA0A6pCJeKYFF/qElS12nlyfX9P/GnLoV/f1pNKcWlmfyi7R+BrX43&#10;bSJRiAMAAAAAAAAAAE7UpuVRP/hwZv/Lrz55vW83bl4M/73TakIpbkyzxCWb/W7aRNIJNmhoCnEA&#10;AAAAAAAAANAuqUj14NG1VhThUnHts/WPwv1MJbnoZ06rCaW49DlG216x3+530yaSSgtxSfRGAgAA&#10;AAAAAAAAzdO25VGPK6ylvyu7r3UvxaVtO3+hE257hf6vfjdtMgk2qJTojQQAAAAAAAAAAJrj+Yu7&#10;pZcRrYvi8qjHqaoUF41dF0+f3Qq3u0pZlq322mkTSLRBZdS54QgAAAAAAAAAABwtdX/u3b/a+uVR&#10;j5PKc2X3v86luDHNEreXZdlMr6E25qQXL2xMKQpxAAAAAAAAAADQPGnmsDEUpUbuNMujniTNkBeN&#10;fRZpZrpo7DoYxyxxufV+RW28yV+40kLcaacXBAAAAAAAAAAAJu/zLz4uvUxoXaQSWiqzRft5Vul9&#10;iV7jLOpaihvTLHFp6dTxzxKXv3ClhbiqDigAAAAAAAAAAGB0BsujRh2gpknlrjTrWbSfZVRRirtx&#10;82I49qS1dpa4/EW3CxtRikIcAAAAAAAAAADU16AIl5YWjfo/TVLF8qgnqaI4lt7vaOxJau0scfmL&#10;bhU3ogyFOAAAAAAAAAAAqCfLow7nwaNr4TacRRojGnuSWjlLXP6ClRbi0pcmevMAAAAAAAAAAIDJ&#10;SMWx23euhH2fpkmzwo1iedSTVLG87CS2+zjrf/32/ve+98PhtlYpG+cscfkLbhY3oAyFOAAAAAAA&#10;AAAAqAfLo1arilJhHUpxqSB54+bFcPtGZHyzxOUvVmkh7rP1j8I3EQAAAAAAAAAAGB/Lo45GFaW4&#10;SXWsJliQ3OvX1Uaf/MUqLcTVbVo/AAAAAAAAAACYJhOY/WtkBrPCRfs5SVWU4sa9Emd6vfMXOuG2&#10;jEOWZYu9xtqIk7/YRvHFy1CIAwAAAAAAAACA8Wvb8qhpXya5POpJqijFjWPWuxoVJMczS1z+QuuF&#10;Fy6ljo1MAAAAAAAAAABos0nP/lWlOi2PepKypbhU/BvVvtaxIJll2UKvtTbC5C+kEAcAAAAAAAAA&#10;AA1kedTJq6IUV/VMeKkgeenyufD1JmyzX1sbXfIXWSu8aCkPHl0L32QAAAAAAAAAAKAabVseNRXh&#10;6rw86knSrHbRvp1WKq9F457V4LiIXqMusiyb6TXXRpT8RRTiAAAAAAAAAACgISyPWk9lS3Hp56Nx&#10;TyMV4Z4+u9WIgmSWZYu95tqIkr+IQhwAAAAAAAAAANRcm5ZHTTOifbb+UbifTTaJUlyNl0c9ysiX&#10;TV0NXnRoacq96I0HAAAAAAAAAADOrk3Lo/7Ij/zw/p//rV9v9PKoJylbirt950o4blGTj4ssyzq9&#10;6tpoUmkh7rQfCAAAAAAAAAAAcLw2LY962MqT6+H+tkXZUtxJq3Sm2fWafFxkWTbXq66NJovRiw5L&#10;IQ4AAAAAAAAAAMpp0/KoR2n7SpRlS3FPn916Z8y2HBdZlq32qmujyUL0osNKb3jxgwAAAAAAAAAA&#10;AE7WpuVRTyOVxtq8fOqly+fC/T6tNBNcGmcSx0WWZeGfV+SLXnVtNJkPXnBoCnEAAAAAAAAAAHB2&#10;TV8Gc1hpn9PMZ9F70nSpyFa2FJeWl23hcfEP+921kaTSQlxqbUYfLgAAAAAAAAAA8K7Pv/i4dGmq&#10;DQazobVNFaW4SclGN0vc/9qrro0mCnEAAAAAAAAAADBmbVoe9b33vh/++Vml2dCi96rpmlyKG5GR&#10;FuLmghccWvrgog8VAAAAAAAAAADoefrsViuWwUxlvlRi+2/+zr3Kin0PHl0L37OmU4p7yz/vd9dG&#10;ktngBYemEAcAAAAAAAAAALG2LI+aym+371zZ//KrT17v2/MXd8N/dxhp7MPvW1soxb323/W7ayNJ&#10;pYW41FyNPkwAAAAAAAAAAJhWbVoe9YMPZw7Kb9F+psJf9DPDSK8TvUbTKcUd+Dv97tpIMhO84NDS&#10;lzb6IAEAAAAAAAAAYNqk8lNaHrUNRbi0D2l51Gg/D6uyFNfW1SrTcfFLf+Cnwn2ukb0sy/5q8OdV&#10;eNqrro0mneAFh6YQBwAAAAAAAAAA7VoeNRXhUokr2s9I1aW4s7x23aV9SbMF/sT7Pwj3tya2st7K&#10;oxuFP69EPvb8QXNtRFGIAwAAAAAAAACAigwKT1XNCpdlWfjn43Dc8qgnqbIUl97LYbejTtJ7cv5C&#10;J9zHGllLnbLcYvB3VUgzz6XxR5fgRUuJPkwAAAAAAAAAAGizVIRry/KoaVa2z9Y/CvfzLNL7EY0/&#10;jCaX4tJ237h5MdyvGklFtcHMbTPp/y78fVU2+q8xugQvWkr0oQIAAAAAAAAAQFtN8/KoJ6myFJek&#10;9zp6nTqqerbAEdrMsmym1yY7KMNtFf6+Kql0N9t7mREmvVDhhUup8gsBAAAAAAAAAAB1NSg8RR2a&#10;JkmFrdt3rux/+dUn4X6WVeXyqUkVs9eNWkNKkqmgtthrkR1kLv1Z4d+pUlqOdfTJX0ghDgAAAAAA&#10;AAAATin1Y9JMam1YHvWDD2fGshRp1aW4NPNc9DqT1qBZ4bayt2drW8z/bJRluFS+6/ReasTJX2y7&#10;8OKljKopCgAAAAAAAAAAk1bHmb+yLAv//DiD5VGjfRyVVLyLtmVY497+k6Rj4/yFTritNTKYFW5Q&#10;Tuvkf7ZW+Hcql7/OfO/lxpD8BStd83UcjVEAAAAAAAAAABinBs38daxBEW5Sq0CmblGV72EdSnGD&#10;YyPavppJs8INimmpELeQ/1mlk6kdYTxLpQ6Sv6BCHAAAAAAAAAAAHKEhM3+dKC2PWofVH6suxT14&#10;dC18nXGo47GRxTMGplLaYFa4ufz/rrQzdoz1/PXGs1TqIPmLbhY2ohSFOAAAAAAAAAAA2iD1YG7c&#10;vBh2ZJokLfH62fpH4T5OSppVrcqlZ9MMbdHrjEqDZoXbzt7MCpeKcJV2xU4w/jJcSv7Cle5kaj1G&#10;BwEAAAAAAAAAADRBG5ZHzbJs4sujnqTqUlyaAS96nao1aMbAQSFtJv/fa7m9Q383apMpw6XkL75R&#10;2JhSFOIAAAAAAAAAAGiq1H2psqQ1Sf/G9X8h3Mc6aVIpLm3r7TtXwtetmb2sNytcJ//f4y7CJYeX&#10;Zx1/8g1YL2xQKXWbXhEAAAAAAAAAAE7ShlnhIuOaNa2stJ3R9g9jFPucipINOTZ+O8uyX8z/OYki&#10;XCriLRyU0iaZfEMqLcQ9fXYrPCgAAAAAAAAAAKCOGrQE5lDSDGx1XTb1sFRIjLZ/GGmfo9c4q/S+&#10;3bh5MXyNusiyLP3zn+T//M38n5MowiVb+evPpj7axJNvTHoToo0cikIcAAAAAAAAAABN8PzF3dqX&#10;naqSZjdL+xu9D3Xy4NG1cPuHUbYImHpQTZkVLvdXc5MowiWb2SSXSC0m36BKC3ErT66HBwgAAAAA&#10;AAAAANRBW5dHPUna3zQbXvSe1EkqokXbP4xhSnFffvVJU4qSv5Nl2fP8n5MqwqUlUhdz9SnD9bMa&#10;bOzQFOIAAAAAAAAAAKirVAhLJamo9zItmrACZPqcom0fRloO97Sz4zVlVrgsy7bzf74q/vkYpVnh&#10;Zg7aZzXMYrDBQ0vTFkYHCwAAAAAAAAAATMq0zgp3lCZMepVKbFV9Xmmc40pxDVo+9//M/ePCn43T&#10;YFa4Wmch2PChKcQBAAAAAAAAAFAnabaxNEtY1HVpig8+nNn/kx9dDv9uWKkgGL1fdZKWL61qRr+o&#10;FJeKkqkc2JCi5D8L/mycaj0r3OHMBxs/tCZ8UQAAAAAAAAAAaL8Gzfp1pFTUSoWtVNxK+5S6OdG/&#10;N6xUtCu+b3WT9r3KUlwqSKZxG3R8/L/Bn43TVuqY9apmzUilhbjbd668c1ACAAAAAAAAAMC4tGV5&#10;1NTDGRThDkt/Hv37w0pls+h16iaV96LtH8Yfu/UrjT8+xmCwPGrnoGXWoCjEAQAAAAAAAADQCmn2&#10;r6pmE5uUVPwqLu1ZNK2luKr3u8b+efBn47KXW88aWIQbZK6wQ6WkaQSjgxEAAAAAAAAAAEalDbPC&#10;FZdHPUnV5bD0+icV8eqg6mVjectmlmWzvVpZczMb7NjQFOIAAAAAAAAAABinNswKlzo3X371Sbh/&#10;x6lyGdGkKaW4B4+uhds/jCzLwj+fMtv5+7Bw0CZrQWaCHRxa+pJFByEAAAAAAAAAAFSpDbPCpSLf&#10;Z+sfhft3WtNaiktFyGj7OZO9LMsWc41dHjVKJ9jRoSnEAQAAAAAAAAAwaqkMdf5CJ+yvNMFZl0c9&#10;SdWluCS9x9Fr1YlSXClpedSZXoWsXam0EJdaq9HBBwAAAAAAAAAAZQ1mhYt6K02RymvDLI96nPS+&#10;jGLZ2LKz141Dms2uybMETkAqws32qmMtTbDTQ0vN2+jAAwAAAAAAAACAMtJsYNO+POpxRlWKe/rs&#10;Vvh6dZIKhj/7cz8ebj+vtXJ51DDBzg9NIQ4AAAAAAAAAgCqloteNmxfDrkoTVL086nFGVYpL2x+9&#10;Xh2kfW76rIEjNj1FuEHSThfehKGlL3B04AEAAAAAAAAAwFml2cmaPCvcKJZHPcmoSnEPHl0LX2+S&#10;0qyBaQKvaHs5KMKt5qanCDdI2vnCmzE0hTgAAAAAAAAAAMp6/uJuK2aFi/ZtHNpeijMr3Ik2syyb&#10;7bXDpjD5G7BVeENKiQ5CAAAAAAAAAAA4yaDo1ORZ4W7fuXKwH9H+jVuaoS7axjLS5xO91rjUdVa4&#10;LMvCPx+z6S7CDZK/EQpxAAAAAAAAAABMVCo6jWJWs3FJ2/7Z+kfhvk1SW0pxqWSYyobR9hwlq0dJ&#10;bRxSEW7+oAwmB4W4zcIbVEpdGq4AAAAAAAAAANRf02eFGyyPWufOTNNLcaks2eRZA0doL8uyxVzn&#10;oAgmveRvjEIcAAAAAAAAAABj1/RZ4VLR7PmLu+G+1c1ZZ1c7jVGX4oaZFW5KKMIdl/wN2ii8YaV8&#10;+dUn4QEKAAAAAAAAAACJWeEmo0mluFSWPH+hE77mFEtFuNWcItxxyd+o9cIbV0pTWq8AAAAAAAAA&#10;AIxf04tOaVa4Jk8YVfdS3KAsGb3OFBsU4WYOCl9yfPI3bK3wBpaiEAcAAAAAAAAAQFFdZoXLsiz8&#10;85Ok7X767Fa4b00zisJZFaU4s8K9Yy+3lh+zinBnSXrTDr2JpaUDMzpgAQAAAAAAAACYTqlPcuny&#10;ubBr0gRpVrWmLY96kgeProX7WsawpTizwr0jFeE2MkW4obNaeENLUYgDAAAAAAAAACCpy6xww0ol&#10;vjZ3YepQijMr3FtSEW4zy7LZXq1Lhk2lhbjP1j8KD14AAAAAAAAAAKZHk2eFSwW+lSfXWzcrXCR9&#10;TtF7UMZpSnFNL0uOgCJchVkM3uChKcQBAAAAAAAAAEyvphedPvhwZv/5i7vhvrXVuEtxTS5LjoAi&#10;3AhSaSHu6bNb4YEMAAAAAAAAAEC7Nbno9IP3vncwK1y0X9MglQCrLjEWe0RmhXuLItwIsxC84UOb&#10;5hMDAAAAAAAAAMA0akvR6cGja+H+TYtUijt/oRO+N8MalOLS2GaFO6AIN4bMB2/80BTiAAAAAAAA&#10;AACmR9uWv7xx82K4n9MilRur/jz/2K1fMSucItxYU2khbtqbsgAAAAAAAAAA06DNy19+8OFMuM/T&#10;In226T2I3hvOTBFuApkLPoihKcQBAAAAAAAAALRb22aFi6T9i/Z9mijFlaIIN8FUWohLzd/oCwIA&#10;AAAAAAAAQLM1eVa4tM0/8zM/Fv7dUVIpLu1z9F5Mi9t3roTvDUdShKtBZoMPZmgKcQAAAAAAAAAA&#10;7fP8xd3GzgqXtvuz9Y8Oym1n3YfzFzoH+x69J9Mi9YGi94a3KMLVKDPBBzS01AqNvhgAAAAAAAAA&#10;ADRP02eFW3ly/a1Z3r786pMz70v696e9FJcKhdF7gyJcHVNpIe7GzYvhlwIAAAAAAAAAgGZp+qxw&#10;R5XYPv/i4/BnjpNKcennovGmRXo/m1iMHBFFuBqnE3xgQ1OIAwAAAAAAAABotuNmhcuyLPzfdZG2&#10;uTgrXGSYUlwy7aW4YZadbRlFuAZEIQ4AAAAAAAAAgANNnhXugw9nzrS0aSrOReOc5OmzW+F40yKV&#10;Ar///R8J35sWU4RrUoIPcGjpxBJ9EQAAAAAAAAAAqK/jZoWru9POChe5fedKOOZJ0utF47VZen8P&#10;v19ZDWcIHAFFuCYm+CCHlhrC0RcCAAAAAAAAAIB6mqZZ4SJpjGjskzx4dC0cr43SrHDnL3TC96Gl&#10;FOGanPwD3Ct8oENTiAMAAAAAAAAAaIZpnRWuKI0xbCGw7aspDo6RaN9bShGuDck/yMoKcakJGn05&#10;AAAAAAAAAACojzSr2o2bF8P+R9WyipfWTCW0L7/6JNyvYSnFvWvKZoVThGtT8g90u/ABDy21b6Mv&#10;CAAAAAAAAAAAk5eKX2lmtWmfFS6Sxh32fUllulFt17il/Rh25sCs4vLjGCjCtTH5B7tV+KCHphAH&#10;AAAAAAAAAFBP45wVrmqjmBUukl5j2FJc+rn0HkfjNkWaFW7YmfIaRhGuzck/YIU4AAAAAAAAAIAW&#10;a/qscNE+jUoqtU1bKa7MrHANowg3DUkfdOGDLyX60gAAAAAAAAAAMH51nhUuO2F5zXHNChdJ71u0&#10;TaeVZlqLxq2jKZkVLhXh5g7KUtL+pA+8cACU0pb1kAEAAAAAAAAAmsyscOWkoli0faf19NmtcNy6&#10;mJJZ4VIRbr7XkpKpSf7BbxQOhFIU4gAAAAAAAAAAJmecs8JlJ8zydlaTnBUuUrYUV4diXyQdIy2f&#10;FU4RbpqTHwDrhQOilDqdlAAAAAAAAAAApkmalaypM379y3/o94f7NGllS3EPHl0Lx52EKZgVLhXh&#10;FnOdg2KUTGfyA2GtcGCUkhqk0RcKAAAAAAAAAIDRGOescKOUilqpgBbt4ySVLcWlme+iccep5bPC&#10;bWWKcDJIfkAoxAEAAAAAAAAANFSTZ4U7SprFLNrXSWpqKa7ls8Ipwsm7yQ+MSgtxdWzpAgAAAAAA&#10;AAC0TSo6tWFWuKOk2czqNjFT2VJc2qf0uUVjj0LdZ4XLsuy16O+PsZ3/jCKcHJnV4KAZmkIcAAAA&#10;AAAAAMBotXFWuKOsPLkevgeTUrYUd/5CZ+RFvxbPCreXKcLJKVJpIe6z9Y/CLxoAAAAAAAAAAOW0&#10;fVa4o6TlRsc5s9pJypbiUlFtVKW4us8KNyRFODlTFoODaGipgRx92QAAAAAAAAAAGN40zQoXSfte&#10;p5ULy5bikir3p6Wzwu3l1rMsm+nVnEROl4XCgVRK3aapBAAAAAAAAABosibPCpdmKvvL/+mfqHTG&#10;sgeProXv0yRUUYqrYvKpls4Kt5ll2Wyv3iRytswHB9TQFOIAAAAAAAAAAKrR1Fnh0janDslgmdP0&#10;z7TsafTvDiOVv7786pN33q9JSGW0aBvPYti+TUtnhUtFuPlerUlkuFRaiKtTCxcAAAAAAAAAoIma&#10;PitcKolF+5XKW9HPDKuK2dWqUEUp7qydmxbOCreXZdlirnPQaBIpEYU4AAAAAAAAAICaaMuscEdJ&#10;/07088NKJbvodcYtFdTKfm5pFr1o7MNaOCucIpxUnrngQBtaXU4yAAAAAAAAAABN0vRZ4T5b/yjc&#10;r8jnX3xcaaHruFnpxil9hmVnbTuuFNeyWeH2cutZls30Kkwi1WW2cLCVcvvOlfALCQAAAAAAAABA&#10;rKmzwiVp8qSTZoWLfPnVJ5WXu9Lsc9FrjVN6L1KpLdq+00rvS3HMls0Kt5k6S73qkkj1UYgDAAAA&#10;AAAAAJiAaZoV7ihV739duitl9yu9v+n4aNmscKkIN9+rLImMLjPBwTe09GWOvuQAAAAAAAAAALzR&#10;5FnhUulsmFnhjpJmP4teZ1ipQFaHJVTL7tfP/MyP7f/E+z8I/65h9rIsW8x1DtpKIiNOJzgIh6YQ&#10;BwAAAAAAAABwtCbPCpcKfFXMChdJ40avWUYdllB98OhauG1TQhFOJpJKC3FpDeToyw0AAAAAAAAA&#10;MO2aPCtc6oRUOStcJM3qVvX7M47tPsnnX3wcbluL7eXWsyyb6dWTRMacwgFZSppyMvpiAwAAAAAA&#10;AABMq6bPCpeKfNF+jUJ6r1L/JNqWYaV9SKW06PXGJZX9om1roc0sy2Z7rSSRCSU4MId2/kIn/FID&#10;AAAAAAAAAEyjOs0Kl2VZ+OdHSbOrffnVJ+F+jdq9+1fDbSojLV8avda4pFJc6tZE29YCqQg3d1BG&#10;Epl08gMyTVMYHahnphAHAAAAAAAAAND8WeFWnlwP92ucUoEt2r4y0uxzkyr5JaOYAW/C9rIsW8x1&#10;DopIInVIOjALB+rQ0gkx+jIDAAAAAAAAAEyLOs0Kd1aTnBUukpY6jbazjPTZfLb+Ufh645BKcZd/&#10;9efDbWsQRTipb/IDdLtwwA5NIQ4AAAAAAAAAmFZtmBUu7UO0b5M0qqVG07Ks0euNUir4NXzZ1DTx&#10;1nqWZTO95pFIDZMfpFuHDtrSoi8zAAAAAAAAAECbNX1WuFQ6i/arLlJRL21ntP1ljGsJ1SaXJQ/Z&#10;zLJsttc4Eqlx8oO10kJcHZvCAAAAAAAAAACj0PSi03vvfW//r/312+G+1VGa1S3aj7LS7HjR61Wh&#10;yWXJvlSEm+s1jUQakHTQFg7iUhTiAAAAAAAAAIBp0IKi02ufrX8U7mMdpfJatA9l3b5zJXy9YaVZ&#10;9xo+K1wqws33GkYiDUo6eAsHcynjmEYSAAAAAAAAAGBSWrL85TtGOUta1VLZbBRlxLSEatnlY9Px&#10;kd7LBpclt7MsW8x1DspFIk1LfhBvFA7qUuq+pjQAAAAAAAAAwLDaNCtc5MGja+F+11EqnqUCW7Qf&#10;ZaXPOXrNkzR8Vri9TBFO2pD8YF4vHNylKMQBAAAAAAAAAG3T8KLTmXzw4Uz4HtTVqD6Xe/evhq8X&#10;SeW89O83tCypCCftSn5QrxUO8lI+/+Lj8IsPAAAAAAAAANA0TV/+Mm33X/j0j4R/d5ymleLSzHbR&#10;fpR1miVU09+Paqa6EUtFuNWcIpy0K/nBrRAHAAAAAAAAAFDQ4KLTgVRqS4W+tC+pzxH9O8dJ+z74&#10;+SYYZh9PK1pCtcGzwu3l1rMsm+m1h0RalvwAr7QQ99n6R++cAAAAAAAAAAAAmqLhy18ebHdU4EoF&#10;v7PuU/r3T5ohrU7Stp6/0An3pazDS6im8t2oXmfENrMsm+21hkTam9Xg4B9adEIFAAAAAAAAAGiC&#10;VHRq+qxwX371SbhvybCluKatGHjj5sVwX8r6lX/p5/b/zJ/9w+HfjVqWZeGfn1Iqws0fNIVEpiCL&#10;wZdgaGnd7OhEAwAAAAAAAABQV22YFe60nY1UmBtmP5u2auCDR9fC/Zgye6kblOsctIREpiQKcQAA&#10;AAAAAADA1Gr7rHCRVAAcZp+b1gtJn220H1NAEU6mOgvBl2JoCnEAAAAAAAAAQBMMZoWL+g9NcJZZ&#10;4SLDluLSzGvReHWVlokdVeExK7eM6Sj8Tm4t366Zg1aQyJRmvvDFKKVpJz0AAAAAAAAAYPqkmcPO&#10;X+iE3YcmGGZWuMiwpbj0+tF4ddbk8uMJ/n6WZb+Rm82ZEU4kT6WFuHTyiE4qAAAAAAAAAACTNu2z&#10;wh0lFdyi1ztOKtJFY9VZy5ZQtSyqyBGZC74wQ7t950p4QgEAAAAAAAAAmKRUhkqFsqjv0ARVzQp3&#10;lGFLcaPcplEYdla8mtnMLIsqcmQU4gAAAAAAAACA1koFqBs3L4Y9hyYY1axwkdT7iLbhOGn7nr+4&#10;G45XZw8eXQv3p+YGs8KJyDGZDb48Q0sXkOgkAgAAAAAAAAAwbk+f3TIr3BkNW4pLM/BF49XZw3/3&#10;j+z/8A//ULhPNWRWOJFTZib4Ag1NIQ4AAAAAAAAAmLQ0Y5lZ4YZ37/7VcLtOkgqI0Xh1Uzw+six7&#10;az+qUOGYaVa4+VTyEZHTpRN8kYaWmsnRiQQAAAAAAAAAYNTS8qhpKUyzwpU3bClukkW+k6TjI+1X&#10;g46P9dTt6VV8ROS0qbQQd+nyufCEAgAAAAAAAAAwSmnWr9RbiPoMTTDpWeEiqVwYbetJ0s9F401S&#10;WtK1QcfHVmZWOJGhoxAHAAAAAAAAADRWA2f9ekddZoWLpJJetM0nqcsqgw07PtLyqIupz3PQ6hGR&#10;4RJ8uYZ2/kInPLkAAAAAAAAAAFStYbN+7WdZ9tb/XcdZ4SLpfT683aeVPptUSIvGHIcGzgo3e1Dm&#10;EZFyCb5gQ1OIAwAAAAAAAABGbTDrV9RdaIo6zwoXKVOKG/d+mhVOZMqTvliFL9rQ0okkOtEAAAAA&#10;AAAAAFQhFbPShD1Rb6Epfv7nf2L/+Yu74f7VWdrmYUpm6WfGtb8NOz42M7PCiVSf/MulEAcAAAAA&#10;AAAA1FoqVN24eTHsKzTVZ+sfhftaZ2m2t2EKZ6lTkspq0ZhVqNusgVlhedwCs8KJjDLpS1b40g1N&#10;IQ4AAAAAAAAAqFIqOj14dG2omcmaIO1btN91lj6TtBRqtD8nGUUpbhKzwmXHF96Ok2aFmzko7YjI&#10;aJJ/0bYLX7xSohMPAAAAAAAAAMBZpaLTsMWrJvngw5lw/+ssleLSdkf7c5Knz26FY55V2obbd66E&#10;r1FDg1nhRGTUyb9wW4UvYCnpZBOdhAAAAAAAAAAATiN1D9Lyl02aFS4bfsawA6n4l5Yjjd6POht2&#10;GduVJ9fD8U4rleoadHyYFU5knMm/dApxAAAAAAAAAEAtTGL5y7pIBa9RLCk6aqm8GO3PSYZZLvb5&#10;i7tDl/AmIM0Kt9Br6IjI2JJ/+RTiAAAAAAAAAICJatjyl6E0y9tf+PSPhH93FmVnT5uEVG6L9uUk&#10;6TOPxos0bFa49SzLOr12joiMNfkXcLPwhSylidN3AgAAAAAAAACT07Ci0zvStqcS22ASoTSLWdn9&#10;SbOuFd+nuvts/aNwX07ywYcz4XgDDZsVbivLsvleK0dEJpL8i1hpIS6dhKKTEwAAAAAAAADAYQ0r&#10;OoVSmSvqSqRyXJoxLvqZ00o/37SV+tKSr9G+nCQqxaV9T8XAhpQl93JrmVnhRCaf/MuoEAcAAAAA&#10;AAAAjE3Dik6h4qxwkfR3qegV/fxppddpWhcjbe/5C51wf45zuACYxihbKByjNCvcbK+JIyITT/6l&#10;3Ch8SUtRiAMAAAAAAAAAjpJmEGtQ0SmUSm5ffvVJuH+RKmbBS8uRRmPXVSq2DfM5/8IvvL//53/r&#10;1xszK1yWZYs5s8KJ1Cn5l7PSQly6cEUnOgAAAAAAAABgeg1mhYu6Bk0xmBUu2r+TVLHvDx5dC8eu&#10;s6YviXuMzcyscCL1TP4FXS98YUtRiAMAAAAAAAAADktdgmGW0KyTs84KF0mFtmjss0gFs2jsOmt6&#10;EbLArHAidU/+Ra20ENe0KToBAAAAAAAAgNF4/uJu42cIS7PCVdmFSOXA6HXOIpXzorHrrIoyYA2k&#10;WeFmeo0bEalt8i/rWuHLW4pCHAAAAAAAAABMt7Q8aipApTJZ1C1oitt3rhzsS7SPZaSiYNn35tLl&#10;c6VnrBu3KsqAE5JmhZvvNW1EpPbJv7SVFuKePrsVntQAAAAAAAAAgPZLpadU1oo6BU2Rtn/UEwKl&#10;ol3Z9ymV6lK5Lhq/rtL2/sT7Pwj3p4b2cuuZ5VFFmpX8i6sQBwAAAAAAAACUkgpe9+5fbfSscGnb&#10;V55cH8mscEepYknZVEKMxq6jtK2/58d/NNyPk2RZFv75iKTlUWcPyjUi0risBl/qoaULQ3RCAwAA&#10;AAAAAADaKZWczl/ohD2Cpvjgw5mJzbaWioTRNp1F3fsaqWSYlqCNtr1m0vKoizmzwok0OApxAAAA&#10;AAAAAMCZNajkdKRJzAoXSdsQbd9ZPHh0LRx70hpUmEyzws306jQi0uQsBl/woSnEAQAAAAAAAED7&#10;PX12q9HLoyZ/8NK5/S+/+iTcv0lIxbFoO88iLcEajT0Jg2V0o+08LBvvUqiRNCvcwkGLRkRakUoL&#10;cXVtGwMAAAAAAAAA5aVlRVPpKuoMNNFn6x+F+zkp6f0tO5taWv41GnucGjQr3HpmeVSR1kUhDgAA&#10;AAAAAAA41mC2r6bPChdJs91F+zwp6b2+dPlcuK2nlX5+ErPfnXZWuBrYyrJstledEZG2pdJCXDqp&#10;RSc8AAAAAAAAAKCZ0mxfZQta/3979xdyW3rfh317ZEuyI0sH2/GfWDM5dvxHdqTMqeP6j+TBMq5i&#10;Vc40x66YzIXjTIhNIFVgVBQCJWBhKCUOnmEKKb0QPQ3JVSFRCL1wi5tzkQsFBD2XvQhUFy2UUuhJ&#10;bwK96XT/zjvPZM2a3373Xut51trPWu/nCx8sv3Petddae/15/vzetXr3e7//uXTbr6n2SXxRvBhP&#10;nMuWvYSNPBUuXo/6+pGnwonsOAriAAAAAAAAAID32dDTvprosSiuxf6PQrVs2a1s6OmBjw+Hw/2b&#10;chkR2XNeSy4AsymIAwAAAAAAAIDt28jTvm716c/cf/sP/vDX0/92ype/8lK6P64pCvWydZ1iqWK/&#10;eAJd7OfsMztSngonInckTQviXnn1xfQCCAAAAAAAAAD0Lwqcal/VeW3xpLJhAVgU92X/7pQeHwY0&#10;dRsyrYv93njr5S08Fe7RwetRRe5cFMQBAAAAAAAAwB23odde3irqFmJbxts3taAsnno2Xsa1RbFi&#10;7VP7otgxW/YUsX+vUTR5OByeyf5b4snx3z6MwhgRuXtREAcAAAAAAAAAd1gUi33yUz+Y1gFsRaz/&#10;1x59Md2+Yg9FcVGMVvtd1WxX7MPOX6VbXo/qqXAidzhNC+JaVBIDAAAAAAAAAMvbw1PhyutRs6fC&#10;ZfZQFBfie8vW91JRVJct95RyrGTL6sjjw+Hw4KYcRkTuchTEAQAAAAAAAMAds4EnfZ0VxWrxGtFs&#10;+26zl6K4L3/lpXR9LxVFcZcUEsb+6vwJguWpcCIiz/IwuVDMpiAOAAAAAAAAAPoVBVCvvPpiOue/&#10;FeWpcNn2XWpqUdzUJ6qtZep2jN1WFBc/j6K7zp8g+Ojg9agiMkrTgrheq6IBAAAAAAAA4K57462X&#10;N/161BDFfJc81ewSc4riWn12S/GUvJonuGXbFcuMhyJl/74TT6Lm5ab0RUTkvVEQBwAAAAAAAAA7&#10;Vlsw1YNY/zmvRz1nL0VxoaaALV6fW7ar88LJ8npUT4UTkZNREAcAAAAAAAAAOxQFTr/7N35+00+F&#10;K69HXbIIbWpRXBSPfeObX0qXdW3xfWfrfImPfuzDb/+FX/uJ9L914vHhcHhwU+4iInI6TQviohI6&#10;u+ACAAAAAAAAAOuJIq8o3Mrm9rciHsqzVuHZ1KK4KNRb4ol1LXzt0RfTdd4wT4UTkUlREAcAAAAA&#10;AAAAO1GeCpfN6dc6HA7pz1uLYrN4bWe2fUvaU1FcrNfWCyLfEU+Fu/+swkVE5MI0LYiLi2l2oQUA&#10;AAAAAAAAlhVFZFt/Peorr7646OtRz9lTUVzsx3iwUbbeG1CeCiciMjkK4gAAAAAAAABgw6IgK14v&#10;ms3jb0Wsfy+FZXsqigtLPTFwQZ4KJyJV+WxyYZlNQRwAAAAAAAAArKO8HnXrT4X7vd//3FWfCpeZ&#10;WhQX4neyZfUg9nG2zp3xVDgRaZKmBXFxo8ourAAAAAAAAABAO1F8FQ+tyebutyKeCveNb34p3b4e&#10;7K0o7g/+8Nff/sAHnkvXuwOeCicizaIgDgAAAAAAAAA2ojwVLpuz34pPfuoH3/7aoy+m29ebOUVx&#10;PW5bPCGu9kmCh8Mh/XklT4UTkeZREAcAAAAAAAAAG/DGWy9XFzVdU6x7j69HPWdOUVx8V9my1hb7&#10;+vNf+ES6jnMc2hbFeSqciCwSBXEAAAAAAAAA0LE/+uPfaVrUdA3xetTYjmz7tmCLRXGxzp0WUHoq&#10;nIgsmqYFcSG7yAIAAAAAAAAA05TXo275qXBFvCZ1a0+GG5tTFBdPxMuWtaTOX6vrqXAisngeJBef&#10;KtnFFgAAAAAAAAC4XBRfRRFZNi+/VVHYt+WnxIXei+Ji/3Z63HgqnIisluYFcVuv6AYAAAAAAACA&#10;a+n86V5NRFFZtu1bEUVn2Xbd5stfeSldVktReNfp0wQ9FU5EVo2COAAAAAAAAADowBtvvbyL16Ne&#10;IrY12wdb0VNRXNRpfP4Ln0g/c6rD4ZD+fCZPhRORq+R+ckGqoiAOAAAAAAAAAC4XxVWtCpq2ZI2n&#10;pi0pvrepBYyvvPpiuqy54ml7z79wL/2sK/NUOBG5WpoXxH3jm19KL8IAAAAAAAAAwL9TXo+65afC&#10;/dlP/mD680vF9mf7ZivmFMV9+jP302VN0fGx46lwInL13EsuTlUUxAEAAAAAAADA7eLJXp/8VF0x&#10;2TVFIdbv/f7nnhVmzXl96FCLArFrijqJqU9pq9nmlq9IbcxT4USkizQviIsbXXZBBgAAAAAAAIC7&#10;rjzZK5tv34p47ef4YTlznpQ2FMWBsW+Gy9ySWPepBY5ziuKikLLjp8Lde1aJIiJy5SiIAwAAAAAA&#10;AIAVvPHWyz0WM10sCr6iICvbtlBbFBdPWdtyzUEUxUWRW7Ztp1xaFNdxIeWTw+Hw4KYERUSkjyiI&#10;AwAAAAAAAIAFxTx6p6+4vMjw9ajZ9g3Fk+NqiuLid7dedzD1u45Cw2w5ReyPqYV2K3kz6k5uyk9E&#10;RDpKcsGqcls1OAAAAAAAAADcFeWpXlt+KlwUYo1fj3pO/Puprw8d+9qjL6bL3oqpT3M79crYTp8q&#10;GK9Ife2m6kREpMMkF64qCuIAAAAAAAAAuOti7ry2KOyaYt1ritKiuKt2++OpdNmyt+LLX3kp3a5T&#10;hkVxpZgy+3dX9vhwONy/qTgREek0ycWrytartAEAAAAAAABgro4LmS4y5fWo57QoiouismzZWxFP&#10;eMu265TnX7j39j/8x3+5x2LKeCrc60dekSoi/ScuWqOLWBUFcQAAAAAAAADcRZ2+3vJic16Pek6L&#10;orhYr2zZWxFPC8y265Tnnnsu/fkVPTkcDg9uqkxERDaQ44WraUFc3OCzCzwAAAAAAAAA7NEf/fHv&#10;vP35L3winUPfgngq2ZIPv1EUd3OMbLRY8tHBU+FEZGs5XrwUxAEAAAAAAADAROX1qFt9KlzL16Ne&#10;IorasvW4VBTVrbWuS4in73X4KtRT4hWpr91UloiIbCzHi9i3Rhe1KgriAAAAAAAAANi7eA3mhoqb&#10;3ieK0+KpZdm2Lan2SXpRxHeN9W4lCvpqCwNX8PhwONy/qSoREdlgjheypgVxUT2eXdQBAAAAAAAA&#10;YOvKU+Gy+fItKE+Fy7ZtLa+8+mK6bpeKbYiCxGzZW/Eb//En0227sngq3OtHXpEqItvO8YKmIA4A&#10;AAAAAAAAzog3pm319ajhIx/50Nv/5J/9lXTb1taiqHCrb7CLYr7nX7j39uFwSLfrlKn/fqInx+U/&#10;iDoSEZHNJy5qo4tcFQVxAAAAAAAAAOxJvKKz9lWfvejplaNf/spL6TpOsaUahfJ0wQ6LKh8dPBVO&#10;RPaU44WtaUFc3LCyCzsAAAAAAAAAbEnHBUzVvvboi+k2r61FUdwW6hS+8c0v9VhUGa9Ife2mekRE&#10;ZEc5XuAUxAEAAAAAAADAQLzW8pOf+sF0Xnwvenm6WuzrbP2miGKzbNk9iO3rsKjy8eFwuH9TOSIi&#10;srPERW500asS1fHZBR4AAAAAAAAAeleeCpfNh+9RLw+9aVEU9+nP3E+XfS29HkuHw+GrR16RKiL7&#10;zfFipyAOAAAAAAAAgDvvjbde3uzrUf/ERz6U/vwSvTxdbU9FcX/0x7/T4xMG4xWpD2+qRUREdpzj&#10;Be/rowtglVdefTG92AMAAAAAAABAj6J4KYrCsjnwLYgisG9880tVBWU9FZLVFiVGIVo8nS1b/ho6&#10;Laz0ilQRuTs5XvQejS6CVXp+LzcAAAAAAAAAFOWVllt9KlwUfn3t0Rffs001RXHXLiQrtloUF58X&#10;DxHK1ueK4qlwrx95RaqI3J0cL35vji6GVRTEAQAAAAAAANC7KBx7/oV76bx376JY7Pd+/3MnC75q&#10;iuJin0RBWrbcNcUT72pfORr7aa1t6fR48opUEbmbOV4AmxbE9fIYVQAAAAAAAAAY6/QpXhcrr0fN&#10;tm2opihuzUKy28R3tYWiuChOrH2i3QK8IlVE7nS+mlwYZ1MQBwAAAAAAAEBvorjqjbde7rFw6SLZ&#10;61HPiUKwbFmXmvp5S2hVFBcFgtnya8S6xVv0ss+8on9z8IpUEZHD68kFcra4EWU3AgAAAAAAAAC4&#10;hiiGqi2qupYo5rrt9ajn1BbFxWdny11bPJwnW78pWhbFdfqK1P/z4BWpIiLP8lpykZwtLvjZzQAA&#10;AAAAAAAA1hRFZL/7N35+8lPhDodD+vO1RRFYi9d9xjJqnoz35a+8lC53bS2exlZbFDf3mGotOUb/&#10;5fFnngonIvJOHo4uklXiop/dFAAAAAAAAABgLZ0+wesiMe8er3fNtmuu2qK4KEbLlru2V159MV2/&#10;KeYWxXX6itSnh5tXpIqIyCAK4gAAAAAAAADYhU6Lli4S8+01r0c95xvf/FJVUVw8sS5b7triCW3Z&#10;+k0xtSgu/n3NvlvIk6j5uCn9EBGRYT6bXDRnUxAHAAAAAAAAwNqiiCxe7dlh0dJFWr0e9ZzYT5/8&#10;1A+m63CJ+N2lCvamiO86W78pLimKi21tUYC3gMcHr0gVETmZB8mFs0p2kwAAAAAAAACAJURhU02R&#10;1zWVp8Jl27WU2qK4WOc1ivfO+dqjL6brN8VtRXGxjR0eV16RKiJyQe4nF9AqPVSDAwAAAAAAALBv&#10;5eldW3wqXKxzrPu15tdbFMVNfe3oEmIdsvWbItuOKFLs8LiKV6Q+uCn1EBGR26IgDgAAAAAAAIBN&#10;iSKm51+4l85Z926t16OeU1sUF+Ipbdmy1xT7svZYKEVxsU8+/4VPpP/myr5+8IpUEZGLcy+5kFb5&#10;xje/9L4bEAAAAAAAAADUiuKnTguWzoonjq39etRzogAsCvSy9b1UD9vUorgvtqPDIkuvSBURmZHm&#10;BXE9VLIDAAAAAAAAsB9R8LTl16O+8uqLz7Yh27Ye1BbFffkrL6XLXVvtdnTGK1JFROYmuahWURAH&#10;AAAAAAAAQCvxOsvap39dSy+vR71EbTFZPLkvW+7aonAyW7+NeXTwilQRkfk5Xkifji6sVcq7tQEA&#10;AAAAAABgrq0/FS5ewdnzU+Ey8SS7bHsuFUV12XLXFk+sy9ZvA7wiVUSkRY4X1G+NLrBVFMQBAAAA&#10;AAAAUOONt15++/kX7qVz0j3bwutRz6ktioun+fWw/V979MV0/TrmFakiIq0SF9XRRbZK3FSymw0A&#10;AAAAAAAA3CZeLxqv3szmorfgt377Z9Lt2poWRXHf+OaX0mWvKR7ok61fh948eEWqiEi7HC+sTQvi&#10;olI/u9EAAAAAAAAAQGbLr0cdi+3ItnFrYjuy7btUfJdR4Jgte02xDj/10z+QrmMH4hWpr91Ub4iI&#10;SLMcL7CPRxfcKvEe9OwmAwAAAAAAAABj8RSveKJYNv+8VZ/+zP10W7fmy195Kd2+S0VRXHy/2bLX&#10;Ep/f6et34xWp928qN0REpGmOF9lHo4tuFQVxAAAAAAAAAJxTngqXzTvvQRT5xTZm274ltUVx4WuP&#10;vpgue0nZUwcPh8N71uuKvCJVRGTJxIV2dOGtEjfD7GYDAAAAAAAAAOGNt17e5OtRP/Shb09/fko8&#10;mayH14bWigfjZNs3xZoP14l93ulTB70iVURkpXw1uQjPtpf3oQMAAAAAAADQVry+Ml4nms019+7z&#10;X/jE29/45pcmP9UuCv/2UBQX3122fVOs8YCdKLzrtNjy8cErUkVEVsvryYV4tldefTG96QAAAAAA&#10;AABwN2Wvr9yKeNLY+JWfc171eo3XhrbWoihuqYfsxDEWRYvZZ3bAK1JFRFbOw+RiPFvcYLKbDwAA&#10;AAAAAAB3TxRRxatDs/nlnkXxXjxtLAqtsu2Kp51lv3ebNV8bupQWRXGtH7QT69RpsWW8IvXhTWmG&#10;iIismc8mF+XZFMQBAAAAAAAAEK8J7fiJXbeK17rG61Gz7RqaUxS3xmtDlxbfbW0BWuzjbNlTRLFi&#10;FNdly++AV6SKiFwxD5IL82wtbloAAAAAAAAAbNPeXo96Tjz1LVvWbVo/Ie0aomAw9le2fZeqqS/o&#10;+KlwwStSRUSunHvJxXm2uOFlNyMAAAAAAAAA9m2vr0c9Z85rRPfwsJnYX2sXxXX+VDivSBUR6SRN&#10;C+KicZPdlAAAAAAAAADYp7vwetRz5hTFRTHZ3CK8nsQ+zLbvUpcWxXX+VLh4RaqnwomI9JLjhfnp&#10;6EI9W9x8shsTAAAAAAAAAPty116Pes7corgWBXnXVvvUttuK4jbwVLjXbqovRESkmxwv0E9GF+wq&#10;2Q0KAAAAAAAAgP2I4q/a12VeQ+3rUc+ZUxQX6xRP2cuWtyVRHJlt36XieBov85pPhTscDunPB+Kp&#10;cPefFV6IiEhfiYv06KJdZQ+PdAUAAAAAAADg/cpT4bK54t61ej3qOVHcln3+baLoK4q/suVtyZe/&#10;8lK6fZcqRXFxnHX8Gt5/czgcXj/yilQRkV5zvFgriAMAAAAAAADgpJgHfuOtl70e9UJRFDdnX629&#10;nkuY85S8oY9//GM9H2dPDofDg5tqCxER6TbHC/abowt4lT283xwAAAAAAACAG16POs/corhY52x5&#10;WzLnKXkb8ObBU+FERLaRuGiPLuJV9vBucwAAAAAAAIC7rrwedYtPhVvr9ajnxDrMKSaMV49my9uS&#10;qB14/oV76fZtzNPD4fDwpsJCRES2kq8mF/TZ9vBecwAAAAAAAIC7zOtR24nCwjlFca+8+mK6vC2Z&#10;u+0deXzwVDgRkU3mYXJRn01BHAAAAAAAAMA2eT3qMuYWhsWT7rLlbU08aTDbvo7FU+FevympEBGR&#10;LaZpQVz8pUB2gwMAAAAAAACgT16Puo5Y12wbbhOFdL0W+k0RBYvZ9nUongp3/6acQkREtpoHyQV+&#10;triJZTc3AAAAAAAAAPoTT4V7/oV76fxvz6JQrLfXo14iXoWabc9tYlu3UvR3ShT1/dZv/8zbzz33&#10;XLqNHShPhfOKVBGRHeRecqGfTUEcAAAAAAAAQP/+6I9/5+3Pf+ET6bxvz3p/Peol5hTFxXbHd5Yt&#10;r3cbeBXvk8Ph8NmbEgoREdlDmhbEffkrL6U3OAAAAAAAAACuz+tR+xDfQbaNt4nvLIrLsuX1qBxr&#10;2bZ05M2om7gpnxARkd3keIF/OrrgzxY3s+xGBwAAAAAAAMB1bfX1qOGXXvqRdJu2LB44k23rOW+8&#10;9XK6vF5EIVys47miy8PhkP58JfFUuIfPiiZERGR/OV7omxXExSN1sxseAAAAAAAAANex1dejjsVr&#10;N7f62tBTonAs29Zzen172wZejxr1EZ4KJyKy9xwv9k8GF/8qCuIAAAAAAAAA+rDl16Pe5vd+/3Pp&#10;9m5VFJFl23nOK6++mC7vGjZyrHkqnIjIXcnxov94dBOYLSq9s5sfAAAAAAAAAOvZwJO6qvRUDNbC&#10;3KK4T3/mfrq8NX3t0Rd7fxXv08Ph8PqRp8KJiNyVHC/+Xx/dDGaLm1x2AwQAAAAAAABgefGkrigW&#10;y+Zz92Zvr1CNbZnzhLXYD9/45pfSZS5pI6/ifXw4HB7cVEeIiMidyfEG8ObohjBb3JyzGyEAAAAA&#10;AAAAy9nr61EvsadXqM4tiovfWas4cCPHmqfCiYjc5RxvBM0K4kJ2QwQAAAAAAABgGVt9PWqs8yd+&#10;6vvT/zbVnl6hGk97m/t9xrGQLbOVWH7nr0cNngonIiKHryY3iNmiGjy7MQIAAAAAAADQTnlSVzZv&#10;27N4slg81a3MLbd6xeueXqEa+2ZuUdwST8zbyOtRPRVORETezWvJjWK2vTQwAAAAAAAAAHoUxVJR&#10;9LTF16N++jP3nz0BbbxNrYriwhtvvfy+5W9RTVHcl7/yUrrMqUrR5QaOtXgq3P2bEggREZHD4WFy&#10;s5ht6UewAgAAAAAAANxVW3496tcefTHdpqLl0+5iWdlnbFEUEWbbeE78Xra8S23k9ajlqXAiIiLv&#10;SdOCuHONGAAAAAAAAACmmfLKysPhkP78GsavRz0nnmyWLWeOKMLLnka3RXOLBWMfXLrvi9hnG3g9&#10;avBUOBEROZkHyY1jtiXeRw4AAAAAAABwF019ZeWho2K4U69HPadlUVzst7081GXufomnvEVBZbbM&#10;oQ29HtVT4URE5GzuJzeQ2RTEAQAAAAAAANSLQq4NvLLyfS55Peo58fvZsueKYrLsc7Zm7n6JIrfb&#10;iuI29CpeT4UTEZGLci+5icy2l4YEAAAAAAAAwDVsqDjpPaa+HvWc2A/Z58w15/WhParZL+NCxfJU&#10;uOzfdiaeCvfaTYmDiIjIBUluJrPFu8SHN1AAAAAAAAAAztvQKyvfZ+7rUc+Jp5plnzdX7NsoKMs+&#10;a0tiv8x9emApWnzjrZe3cqw9OhwO926qG0RERC7M8QbydHRDmU1BHAAAAAAAAMDlojgp3sS1xUK4&#10;Fq9HPSeKv1rvmygKyz5rS+K4mfskwe///o+kP+/Mk8Ph8PCmqkFERGRi4kYyurHMFjfc7GYMAAAA&#10;AAAAwHt5Pepl4ulzrfdTPNUu+6ytie3Itm/D4vWorx95KpyIiMzP8YbSrCAuHsua3YQBAAAAAAAA&#10;uBFPPYu3b2Vzrr175dUXF3k96jk1T0Q7Jea347vIPm9L4lW72fZt0OPD4fDgppJBRESkInFTGd1k&#10;Zou/BMhuwAAAAAAAAAB3XRR1RfHSFl+PGk8iu3bxWOy/JZ6ItodXqMZrd7Nt24jyVDgREZE2Od5c&#10;Ho1uNlWymy8AAAAAAADAXfa1R1989kSybI61Z2u/HvUSSzxdbw+vUI1X8Gbb1rlHh8Ph/k31goiI&#10;SKMcbzBvjm44VXpqCAEAAAAAAABcUxQptX7V5xqiEC6eZtfr/O8SrwmNbd7yK1Tju/rNL37q7W//&#10;9g+k29eZJ4fD4eFN1YKIiEj7fDW5+cy2h3esAwAAAAAAANSI4iSvR13WEkVxYYuvUN1Q4WV5Peq9&#10;Z9UKIiIiC+X15CY0W9xosxswAAAAAAAAwN5tuRAu/PiPf1+6Xb368ldeSrej1lZeoRqFi6+8+mK6&#10;DR16fDgcHtyUKYiIiCybh8mNaLY33no5vREDAAAAAAAA7NlWX4869vkvfCLdvl7Ffs+2o1bPr1Dd&#10;WOFleSqciIjIamlaELfFx8cCAAAAAAAAzBVFU1FEls2f9uBwOKQ/v83WHoSyVFFc6G0OPLb1+Rfu&#10;pevaoUfH48/rUUVEZPU8SG5Ks8UjabObMgAAAAAAAMCebP31qOd87dEX0+3uVRQmLvVd9PAK1d4L&#10;L0eeHA6HhzclCSIiIuvnXnJzmi0afNnNGQAAAAAAAGAv4glqG3pK12y9vjL0lFjfpb6Xa71CdaOv&#10;R/VUOBERuWqaFsRt7X3yAAAAAAAAAJeK11V+8lM/mM6V9iyKqX7u559P/9tt4ve+8c0vpfuiV1FA&#10;tuR3tOYrVOMpfRsqvHx8OBzu35QhiIiIXDnHG9PT0Y1qth4eFQsAAAAAAADQ0pZfjxpzuOXJZvG/&#10;s39zmyjIiu0f75OeLV0Ut/SDYjZWeFmeCiciItJPjjeoJ6Mb1mzRGMpu2AAAAAAAAABbs+VCuFjn&#10;8dPMYnuyf3vOVh+MMqcA8FJRsNb6FarxNL443rLP69Sjg9ejiohIjznepJoVxEWjKrtxAwAAAAAA&#10;AGzJll+PGoVwp57qFq/hzH7vnKWfiraUV159Md2eVmJ/Zp87xQYLL58cDocHNxUHIiIiHeZ4s3o8&#10;unlVyW7gAAAAAAAAAFsQT/2K4q9sLrR3w9ej3mbu9o2fOLcVSz91LZaffe4loqAu3sSWLbdD5fWo&#10;ngonIiJ953jTenN0E6ty6i8NAAAAAAAAAHq15dejxpPspjypLLZ1bhFWiyeiXcOXv/JSuj2txHcw&#10;Za58g08gfHw4HO7fVBmIiIj0n68mN7PZWr8nHQAAAAAAAGBJb7z18pae0vWuc69HvU0UZGXLvMRW&#10;54Tje862p5X4Ps7tm/jvS7/GtbF4KtxrN6UFIiIi28nD5KY2WzScshs7AAAAAAAAQE82+JSud8Xr&#10;Ub/xzS+l23Wpua8SvaTwq1c1hYCXyl4tu8EnED49enTwelQREdloPju6sVXZ6iNyAQAAAAAAgLsh&#10;irnmFoO1cjgc0p+fE4VwLR9SMrcgMJ6oN+fJdD2I73/pwrTPf+ETzz4r9tEGn0AYr0d98KyaQERE&#10;ZKO5l9zgZsuq3QEAAAAAAACurbendB0mFMXFOs99PeptYnnZ510iivOyZW5BPF1v6acD/siPfs/b&#10;P/bj35v+t07F61FfjxqCKCQQERHZdJIb3Wxf/spLaYMCAAAAAAAA4Bp6K4SbItb5lVdfbF4INxRv&#10;Acs++xLlSWhbFPt0q6/MXUA8Fe7+TQWBiIjIDnK8uX1rdLObLRpjWWMCAAAAAAAAYE1R8BRPVdvY&#10;6yrfFU9gi9d7ZtvWWhS2ZetwiXglaLbMrajZ9h341uFweHhTOSAiIrKjHG9yj0c3vdm2/BcAAAAA&#10;AAAAwD78d//0t1Z9+tdhwutPzymvR822aylRPFhTOBhPmcuWuxXxBMFsu1pqeYw0EK9H/eqR16OK&#10;iMg+c7zZvTm6+c0WjaSsAQEAAAAAAACwtLUL4Vr6zu/64LNCuCVfj3qb2HfZel1qrafZLeXLX3kp&#10;3a4ditejPripFhAREdlpjje8ZgVx8dcKWeMBAAAAAAAAYAnl1ag/8qPf+775y0NfT+U669pPWqt5&#10;UlrMFW+9KK62KLBz8VS41488FU5ERO5EHiY3w9mu9RcLAAAAAAAAwN3yD/7r33j7ox/9cDpvuVXX&#10;LiqrecJevFFs6/PFsf+juC/bvg2Lp8LdvykPEBERuRtpWhC39ap/AAAAAAAAoG9RdPWLn/7T6Xzl&#10;1kUx1je++aV0u9cQ+7amICwK6rLlbkns/62+enfkSdQD3JQFiIiI3K3cS26Ms8VjZLNGAwAAAAAA&#10;AECNKNaK13p+5Ls/lM5V7kU8aS3b/rXUvjr005+5ny53S+JY+6mf/oF0+zbA61FFRESSG+Rs8X7+&#10;rMEAAAAAAAAAMEcUJ73x1svPCsViTvJwOLxvnnJvrl1UFoWH2Xpd6vNf+ES63K342qMvvnu8bYzX&#10;o4qIiESON8VvjW6Ss335Ky+lDQYAAAAAAACAqeJpZTt5feVkr7z6YrpP1hJFedl6XSqK6rLl9mzD&#10;x5vXo4qIiAxzvDk+Ht0sZ9t6pT8AAAAAAABwfVsvhPvuj344/flU8WS8bP+sIZ7M97F735mu16Wu&#10;uf5TxPEWc93ZNnTO61FFRESyHG+Sb45umrNFgyhrQAAAAAAAAACcE4VJtU8mu6aYL/293//cs2Ky&#10;eLtW9m+min2S7as1xGdn6zRFvH40W3YP4nuKJ9nVFv5dydcPXo8qIiJyMl9Nbp6zZQ0JAAAAAAAA&#10;gFO2/kS4EIV83/jml96zXS22KYq1/uiPf+c9y11TFIxl6zXFNYv6MhsvhHt8OBwe3Ez1i4iIyKk8&#10;TG6is12zMQYAAAAAAABsx14K4U7NkUaBXPY7Uz3/wr10+WupfWrftYv6iiiEi9e4xv7M1rNzXo8q&#10;IiIyIQ+Sm+ls8QjgrHEBAAAAAAAAEEVJeyiEG74eNdvOIl4Zmv3+VFGUli1/DbGNtU9Ti98/t6+W&#10;tOFj7unRo4NCOBERkUm5N7qhVol34WcNDAAAAAAAAODuumuFcEOf/8In0mVNdc2Hk8R3l63TFPHd&#10;r10UF+td+4S7K/J6VBERkbk53kijqjy7wU4WjbmsoQEAAAAAAADcPVEAFU9J23ohXIjCqngNarad&#10;t4l9UPuEtSL2ZfYZa/jdv/Hz6TpNsVZRXHxPsb6t9vvKvB5VRESkNscb6pPRDXa2aFBkDQ4AKKKj&#10;e5vopN7mj/74dy4Sf/V1mxg0OCX793Nl63aJbNvH+yrbvwAAAAAAPYgxzHi71PMv3EvnFbckCuFi&#10;3DbbzkvFeHG27KliPrZ2XWq0eNrakkVxsdwNF8KF/+GgEE5ERKQ+x5vqo9FNtooJeoDriWtwiOKp&#10;Ulg1LM4aFn298dbLz8Qj1odigCJEh7F45dUXn4kngRbR6S2i81rE4EaIzuZQds9gGeN9X76ToeF3&#10;FobfZzH8votyLAwNj5VQjqGh8XFWjr+h4fEZhsduUY7rcKpYMDs3AAAAAIB1xDhejBPuYVw4xlJj&#10;PDPbzjlijDX7nKlivbLlryHGYFt8tzEu3XI8N5YV39XGj7t//M4UvoiIiDTIV5Ob7WzRyM0aIQB3&#10;WSnUGReqlcKfUhBUioWigKgUF0XBUXSSS5FSKWAqhU2l6Cm7JsNdV86PUM6ZUM6jcKoAMCv6O1Xo&#10;d6qwrxTyFYr5AAAAANijGNuK8a8Yb8vG6bYmxhNj3K/1mF0sL8Yns8+cKsY0s89YQ3zX2TpNFcdL&#10;i328g2Pv38ac/c3UvYiIiLTKw+SmO1s0DrOGCMAWRMcrDAvXhkVrpfglK1YrxTWl4KYU4WTXSoBz&#10;yjUklOtKKNeaUsg3p5ivXMuyQr5SvFfcVsSXXUcBAAAAuDtijCjGmzZejPQev/wrP7ro2FeMuWWf&#10;O8c152VjzDFbp6ni2Jm7v2NfbvzY+7dH//3hcLh/M20vIiIiLfPZ0Y33mePP3/ezS8QkbNYgAVhC&#10;KcooBWzR+ZlTwKZ4DaDOpQV85wr3guI9AAAAgL7FuEuM4+x1XD3GmLLtbiX2Xfa5c8S4WPYZa2hV&#10;jBbjiFPG8OL7abkP1xLz7+/Mwf/r4//9y0f3jkRERGSh3BvfjGtEwzdrmAAMlQKFUrxwWxHbqQK2&#10;7BoEAOeMC/dOFe2NC/bGhXrjIr3bivMU5QEAAABbF+MbMe4R4yd7H6OP7Vt6PKdVMVmsa4w/ZZ+x&#10;tPjcbJ3muKQoLv57jNNt+Ph7cjgcHt5M0YuIiMjiOd58vzW6Gc92XJwJP9ixOL9DdHJioj86v6cK&#10;2aKAoBQXDAvZ9t5RBoBzyv1w6aK8UpAXtNEBAACAOWKMIcYiYgwjG+fYqxibyfZHK62LybLPWEOM&#10;SWXrNEdsRzaGFT+LY3DD80tPD4fD60eeCCciIrJmjjfhR6ObcpUf+dHvedaIGzdWgOsZFrGF6KDc&#10;VsgWHb1SyDYsZsvOeQBge9YqyhsW5kV7RGEeAAAALK/MCWT/7RLx+9HXj7GCbFzhroixjmz/tNKy&#10;mGzpAr7bxGdn6zTHuCguxpjiZ9m/3YjHh8Ph/s2svIiIiKydP0puzlVici0mv4aNIWCa0mFVxAYA&#10;7NWwKC8MC/NKUV4YFuUpzAMAAID3iv5v9JezuYH4/6NvHX3o24rkoq8cfer4t1ueWzgcDunP54j9&#10;UFNYeInY39lnzxHjItlnLC2OnTj2snWaI47ZR//olabLvAKvRxUREbly7h1vyP/b6AbdRDQSFcWx&#10;d2VC9VThWsiK10J5AkuZ+C2d1C13NAEAtijaX9EWK6JtVtpqpSgvnCrMu60oLyvIy9qVAAAAMEX0&#10;L6NPOrVoKPq1Zf4u+qnRp41lmJvIxdjAeN+3FN9jjEVknz1HjEVkn7O0OJay9bmDvB5VRESkkzxM&#10;btTNRAPOhA9ri2OuGBaqhegInCpYi47jsGgtJj0VrQEAsKRhMV5pc95WiFeK8MaFeKWNOyzEK0V4&#10;Qb8MAABgP6LPV1tE9T3f813pz3m/6H9n30Mr0Y/PPneOGGeIcYDsc5YW4xLZOt0hXz94PaqIiEgf&#10;iRvz6Ebd3NJ/OUG/hkVpYViUdmlh2rA47VSBmiI1AACY5lwhXinCGxfilTb7sBCvtO/DsBBPER4A&#10;AEB70e8yH3Ja7Jvot/7cz7+Q/ve5Yr9n30cr0f/OPneO6ONnn7GGGFPI1mnnHh8Oh8/ezL6LiIhI&#10;FzneoL81umEvIiZJskYR6xgWppWitHBbUVoYFqaVybCsKC0Mi9J0xAAAgLHoJ1xShDcswCtFeArw&#10;AAAAbuZ7oi+V9bnuuuhzRh+y9A2jn5j9u7miLzv+PlqK9Y7PyD57juhnZ5+ztDt2jHo9qoiISKd5&#10;kNy4FxGN0KxRdFdFYzCUiZtLCtQuLU4rE0wK0wAAgLtsXIBX+k4K8AAAgC2IPkf0Qcq8UfRVfvHT&#10;fzrt/7RwOBzSn/cu+n7Rr4t+2ngfRp8v+5254nPGn9FSbEP2uXNFvzb7nKW13o4OPT16dDxnFMKJ&#10;iIh0ms+Obt6LioZ61ijailLAVorXhoVrpWhtWLA2LFRToAYAALBvNQV44bYivHEhnmI8AADYnuE8&#10;03B+aTivNJxTyvodvFfss9if2f4Osc9jf2a/O1f007LPaiX6idnnznXb/llSHOPZ+uxAvB71wc1U&#10;u4iIiPSaVQviovGeNYjWNu5whGFB27DTEXQ6AAAA6FX0WcfFeLcV5J0qyisFeYryAADgtOEc03Ce&#10;qRS3RfvaXNOyPvCB584Wwg3F95MtZ6415jvjmMk+e45Y32v136Ivmq3TRnk9qoiIyIayakFciA5B&#10;1iCqNS5y8xc1AAAAsI7oa4fWRXnhtsI8xXkAAHdbaQuWtmFpL4ZoP5Y2ZSgFa0UpXCtKOzXaraUd&#10;W9q1ZX7JHFM/4jvMjolT4nvMljNXHCfZ57QSx3X2uXPF8Zx9ztL+1fG8/L7v+xPpOm1IvB71zYNC&#10;OBERkU3l3uiGvrjoNGQNottEoy86L9FhGXZSSmdEBwQAgGs4tqfTnwNwXeMCvaxIL5RCvaxYL4wL&#10;9oKiPQDgrihtmGLYvgml3VOU9lBpI4XSbiptqeEcT5EVooXSfgulTacojaE47rJjNxPHbLaMGnGM&#10;Z5/VSiw/+9y54vzLPmcJcc2Iz9vB+er1qCIiIltNcmNfXDQ6s4ZRNFyjcRedodLZ0bEBAAAA9qZM&#10;5obWRXvhXOFeKJPXw4nt4aT3eOwGAO664X0ylPtnuacWw/ttuQ8PDe/TYXgPL4b3+GHxWDFsF4Rh&#10;m2HYlgiljVGUtkcxbJeErO0CPYrjOztXT4lzJVvOXHG+xDUg+6xW4pzOPnuuuC5ln9NSfEZca7LP&#10;35Anh8Ph4c1suoiIiGwycUMf3eAX9yu/+mPPOnTRaYvGanS4sn8HAAAAwPUNJ8mHE+hlYn046T6c&#10;kB9O1A8n8YeT/MPJ/2FxQCkaGBYVhFJsUIoQQilMyCbkAOjbuQKzcv0/VVA2vI+cKiAr96Jyfxre&#10;t8q9rCj3uOG9L7s3An2I60B2bcnEdSbO72w5c8V1JPusVlqvc1zT4jqbfVatuFbHdTT73A15ejgc&#10;Xj/yelQREZGt53hjf3N0owcAAACAzRsWM5QCh1CKHoYFEXML+YZFGSEr5BsWdpRij1AKQLIJReDu&#10;KteGseH1IwyvLUPD608YFpIV42tXGBaWFcPrXhheE4fXynOFZuX6O7wuZ9dtgKniehLXxOx6monr&#10;XbacGnG9zD6rlbiWZ587V1yjs8+ZK+49cV/IPmtDnh69eVAIJyIisqvcG93wgY07ntfpzwHYF9d7&#10;AIB9KsUiwyK+MCwuGRadhGFBXxgWqoRhEcu4wGVY/DIukBkW0IyLbIYFOONCnaGssKfIJlV5v2zf&#10;TZV9N6cMv9tTxsfD2PDYuc34mBsbHp+3GR/XY8Nz4JTxeVOMz6/x+ReG52cxPodDOb+HsusAwF0S&#10;19E/+MNfT//bJeLanN0/T4lrdLacGnFvzD6rlbhPZZ87V9w7s8+ZItoXsV47uJc9PhwOD2LSXERE&#10;RHaW443+W6MbP8AuHS956c9hKxzDAADAXTEuGhrKCo2KcVFSyP7dFNk6TJVtIwBMtZfxwbg3RtHx&#10;sJAsCtuyf3uJKMYeFmvdJoq/s2XUiPZC9lktRZsm++y5puyzoSiEi2LzHbRvohDu4ZGIiIjsNccb&#10;vtemAtDEcLC/GE8kjCcmhn9RPfyL61Z+9XM//vYHP/jt6foWP/fzz7/vL8AvNfxr8tbKX7L/hc//&#10;xNsf/vB3pOv+qT/3Q+/7vWw9h7L9VAy/j8z4+yvG3/NYdmwU2XYBwNix+5r+HAAAgG2IccR4OlkU&#10;VWWFVtnvXCLGH8fLu02MkWbLqRHjstlntdK6kC/GZbPPOSW+n3i6a+zrbHk1sv7+gmMAT4/Lfv3I&#10;61FFRETuQLw2FaAjw0KhUkw0LDwqhUk/8qPfm/7+2L/3Mz/87itEyitHyqtJhq8zCcPXnxTD16aE&#10;6PgOZZ3jnsR2Z/tlaOqAyZpiH58rGovvMvvdLbrk+xr6p//8t993jIbhMTw+zsvxPzR8JU8o50wo&#10;hYlD54oQzxUaDs/pUM71D39nXvgIAAAAAFsUY5sxHhbjdOfGk2sK1WLMLltm5pIx1zli7DH7vFZi&#10;HDP73Llif2efMxbbFWOY2TI2RCGciIjIXcyxEfBk1CiATToezunPYY5SlBaGRWnReS9FLqX4pRTF&#10;RKe7FNGUwpropJZCnGGRTincKYVl5wYDxuKzsvUei/Wfuuw9ie8r2y9jve6jOJay9R2K7zj73S2K&#10;8yrbxlOmDHT1Lq4H2Tbe5qMf+/CzY7dcT4aG15tyDRoWARbDQsAwLgLMiv6yQr9xcV8o19Bs3W/j&#10;fs5ShseW4wwAAACWE2NCMbYUY1PZWFgmxrmyZV0qxsSy5WZiXCxbRo0YD8s+q6Wp46fn3Pb97KQQ&#10;LsTrUe8fiYiIyB3Ma0njgM4dv7f3/F+4S0qRxbhQ7Qd/8KPpv8/8wR/++nuK1KKzHB3uIusA9iQK&#10;V7LtykSBS7aMu+DSYpw4FrLfv7ZLCuLCXr7jSwsYi/h+s+VsURyD2TbeZovbX66xWfFe7IPwc7/w&#10;Qrq9mWsV7QEAAADwfjEGE2OVc8fYY6wnW+4l4rOzZZ4S/z5bTo0Yl8o+q5XYry2L1LIivhifa114&#10;dyVRCPcgJsJFRETkDufYKPjWqJEAMFspMBgXrJUChegUlgKG6OBGBzlEkVf8ZVYpisiK1cads6H4&#10;vGx9MllHb0um/AXbFotmWohjJ9sfmV4Lyi4dANr68VxMOYeLuYNrvYljMNu+c/ay/UNTjoM4z7Nl&#10;1Ih9+j/+i99NP2+OKNbOivNiOwtFeQAAMM3BHwkDdCPGNWLMv8U4TYzLzBkjLGLcPFtuJuYdsmXU&#10;WmK8aqj1esc8TVlu/O8djFN5PaqIiIi8J54SB3dAdGRCmYCfWqxWW7C2tKkdtdiebDlbEPs626ZT&#10;4vvKlrNnU56iF8d+toxri/MwW99MnIfZMrZkzmDXXo7tuPZm23fO0gNs15Bt5ylTBjmniP2afd4c&#10;cW/KPuM25Z4a53Uo99ty/43tDuXeHOJeHfftIq4fcVwVWVFe+J7v/a50vQEAAIA+HTooCo7xjhhf&#10;iPGI1vMCU8Z1x6aOw1z6B8lTxBhn9lktxfhQ9tlz/eYXPzV5fqVDCuFEREQkz7Gh4ClxsKLoXIRx&#10;cdq4QK0UqYVSqPY3/9Yvpsu8Tfx+1nHak6kdttjX2XK2Ykrx0F34/sdim7N9kZk6ULKWKQMyMfiU&#10;LWNL5gy67GG7Q1z3s+07Z2/FrlML0Zb6/lsPKvb8PU25Vg79tb/+s+8pyovvIpwqyittmlKQF+I+&#10;XNpBpV2UfdZcxy5O+nMAAABgvr/+u//+4n+kOWXseyzGI7JlnhLjE9lyasS4SPZZLdUUDu7Q1w+H&#10;w/1nE94iIiIiSXb9lLjj9qU/5276iZ/8k+8WnoVh8Vkok7dFKUQL0ZEpk76hTARnT04L5eku5Wkv&#10;WcdljjmTxnt4gtRt7to+ieMx26ZT9v79j8W5nO2HU7JlXFtcb7J1zcT2ZsvYkmy7ztnDdoe5g3xx&#10;/8mWt1VTC9GWGlxsPaC4xiDoXFOvlcUa597wKXkh2lWlrXXJU/J+5s//cLrumeeee655QR4AAADs&#10;0RpjAtHnzz77UlPGwqeOR11qjfH4mL/KPvsOeXw4HB48m+UWERERuS3HhoOnxN0B5QkcRXkyR4gi&#10;saHhUzyikzN0qmCsFI0Vw+KxYQFZKJOZoUxwFsOismFhWSjFZUW2nbeJdc46D1sS30+2bbeJ/Z8t&#10;ay/mTGRv+ViIcyjbplP2/v2PTS0wWmOAYqop33Ec/9kytiTbrnP2sN1hbkHc3s7rqde1aHNky6k1&#10;dT3OWWOgeK457Yki2mDZMnsxdfB8eB8obczS9rytGC/Ow2HbN47L0kaO737Yno79Xdrdc9otAJc4&#10;+INAAAAWFv3kYR98CdGPzj77EvG72TJPiT58tpwaU9dhrpr9tGFPjv2eeD2qiIiIyMV5mDQqSMQE&#10;VlEmtUIpJAvRCL2kgCwrHCsTbEVMuv3SSz+Srstt/st/8Je6n6xsYepkbnxvPRa/TBHHTrZtt4nt&#10;zpa1F7F92XbfZsv7ZGox6N6//7FsH9wmihyy5VxTTTHH1kw9nou9HNfZtl1ibwVxsT3Zdp4Sbaps&#10;ObWmnnvn9Hyc1gyaRhs1W2Yvpn6P1z6fxgV4pQgvtiOUfkHpL5wqwAt//mc//vbzz997+zu/84Pp&#10;tm7JsY+a/hwAAIDriTmZrG/bUvSPs8++VPSls+Vmok8ec3zZcmqsMXYS6z51jmzDnh5uCuHuxaS2&#10;iIiIyKQcGxOPR42LrsUEYxgXpI0L0UrxWfzbbDlD//Af/+V3J6HKpFQ0KIuswbmGWJ9sfW8T2xvr&#10;ny1vT+YUh229iCAmQLPtOmfPx8PcTt+W98nUTnqPRV9LiO802/7b9HhN2FoxR424v2bbdIlr3ptb&#10;mHN/L+JekC1zq6LNlm3nKdHOy5ZTa+q5d4lej9OagrilChJbmXoviHtqtpytiXvBJX2ev/razz47&#10;LmM/hdsK8E4V38XxU0Q7LPZh6Z9lnwlcx0FhKQDvcE8AWppScDbX1LGioeibZss8ZYnxoLXm6KJ/&#10;v/O++NOjR8f72P2YyxYRERGZm/ujRsbi/uwnf+DdgrWYaIlJlxATMNEAjYmZkBWoZQ2/28Rys3UY&#10;in+T/W4Ppha/hJigypa1J3GsZNt+m6mdod7M7Zz1PnldY+6k/pYLSqYWg+75+x+aU2DU43EQ975s&#10;XU9ZqjhoDXFvz7bpElsv9Jz6PQ/FNSBb5lbFMZxt5ylLHfM138kpvR6naw4sry36Ctl632aNQeol&#10;TR0AX6OfEOtU+nDjorswLroLw8K7X/3cj6frDgAAwHWt8Ydlc/r2Q1PHfKeOTV1irTHb6HfvtCju&#10;8eFweHAzhS0iIiJSmWPj4tGosbGoNSfTLmk8x9MNst/twdTilyImm7Ll7cXcTlFMwGXL24K5TxTa&#10;eiHgbeaeH1veJ3MKI7c+2X+JOcUsPRYLTj3Pt3wsx3GZbdMlei5kv8Scou5ib0WuUwv/lyrmWaIg&#10;rtfjdO69s+j9npKt82223DYMc9oFW9jmbL1v85lfuv+ewrvYxjAsvBsW3cXkRFxPQnniuKfdAQAA&#10;nLfG3FP04bLPvtSUsYvaArxT1thP4Z/8s7+Sfv6lDn09SfTJcX0ePpu4FhEREWmYe0nDY1FrThJe&#10;8lrFXif35jbG1/hLnWub8/S8Le+Xmo7Z1id7T6mZ1N9qkdic42DrxUOXiG3Mtv02a/2l3hRzisS2&#10;eizP2dZi6l969mbO8Vr0eNzWmHovX+qPGOYWnd+m1+LF2kHl3u8pU4+prZ9TcZxl23WbLRRTX9J/&#10;G1pqm6LdFeKeFU498W5cfBeyAryf+/kX3n7++Xtvf+QjH3r7Ax94Lt2WvTh4PRsAADtyzfZt9Hei&#10;jxT9ivCTn/j+9N+tZY05luiHzZn/Kab+QWXNWN0pS/e9Yx9Fv3Mnf9T19HiOvR5z1UciIiIii+Sr&#10;SSNkMWtOxFzSmO25YGjORFfYaxFUMXe/bLV4JMztBO6tgKKo6aj2PqF/m6nHwZrX22uZcyz0uF/m&#10;FDzGxHy2rN7VFMTF9T9b5lbUFCTt7XqebeNttlQQ1+t3VTvI2/sxGIPe2XqfsvV7ZHwf2Xad03s/&#10;Yc4fPfTexo9z79KJij/1pz729t/7+194dm0aF+GVArwQyxwW4GVFeOOn4IVL1wMAgH04+GOFq4m2&#10;d4h2eGmXRxs92ush2u6lLR/t+xDt/+gHRB8nxgrHfYv479lnrWmNPmX0f7LPvlT8frbcU+K7yZZT&#10;Y4kxzDgmYv/PnSvqzNOjN4/XKIVwIiIisnjiKXHfGjREFrdGozlcUmDQ8+Te3Ib/1if4zonjJ9vu&#10;c7ZcSBHrnm3TJbZcCHhKTae453P+nD1OEteas096vUZm63qbGCjLltO7mgKkLZ+/oeZaHoNz2TK3&#10;aE5RZAz2ZcuqNWddzun1GlM7oNx7+/Ku3SPnDthP/Wv5tc0pHF6rbznH3H5L7Idsea1FfznOg1AK&#10;8LIivDJBV4rwSiFe3NfCtZ9UAVt12EmRwl62A4B9iL5rUf4wZFiUFqJfFE9x/tjHpv/ByH/ytz79&#10;rK1c2s7lj1lKuzra2FkxWyvXLoZaa2xgbp83TB1Diu8tW06tOC6yz5sjjrWafVJ00m57fFyPB0ci&#10;IiIiq+W1pFGymDUn1C7pICzZQak1t4Oz1iTKNVxS6JiJ4y46N9kyexffZ7ZNl9hq0cxtogOYbesl&#10;1rz+tDanmGHLhaCXmFtg1OO1II7NbF1P2WpxWE1B3JbP3xDfWbZdl5g6mNezOcfAUt/93DbFOdln&#10;XVttQVzouc08p6205TZSzUB4z+3hvbV1aiarei70G5p7Xx9OFsb/LmJ5ZXIxjofiXHHesEAv7reh&#10;PCkvlMnP+E5C3Femtr0AALbuMCqGKW2iorSVStspDNtUpZ1VlPZXUdplQ8N2W2nLDZV2XjFsA5Z2&#10;YYh2YlHajqU9OaevGp893BdTxHpmy1xD7NNsnda0xvbP7WcUU9dxif0a50/2WVPEsR/LyZZ/Tpzv&#10;43P+yqIQ7uGRiIiIyPo5NkZ2+ZS4Sxqy1+zAnDO3IR4d2OgUZsvcg7mTS9HRzZbXuxgAyLbnErGv&#10;smVuWQxyZNt6qehQZ8vt3ZztjmtBtqy9iMG2bLvPicGEbHnXFN9Vtq6nbPW7rRnQ2vrxHIPH2XZd&#10;Yk/n8pxjYKntr72fnNJjGyzWKVvXKXq+f85pK8UETrasLZg7IB56bg/vqa3T4pyL4zpbdk+iL52t&#10;+znRhsuWt7YpE6F/4k988N3J2djuEL8fhhO90YcPw8nhMmk8nFAuk8xl4jnE8Ryyzwf6dPCEPNil&#10;mnO73M9DuceX+35R2gOljRBKu6G0JYqsmOxv/q1Pp599if/gcz+etovumvhesv1zqWuNLS41jjFF&#10;HNvZurUW50X2+ZeYuo6xX2uPiczcPl0cXzXb35mnx2vq60dejyoiIiJXzcOkobKYtRrNl3QQomGZ&#10;/W4Pajo40YHOlrkHsW3ZNp+z1nHXWm1Hd4/Fkdl2XioGkbJlbkEMmmXbdJuei35rzR0YiMHDbHnX&#10;FNenbF1P2er1rPYvPON6mC13C+acv8VWv+9MDOpl23ibpba/9v56So9Fty22tcdrZzGnIG7L51VM&#10;nmXbdIne+whT74ehx3tDi3Mu9kXv7fi5BXGhh22bOukVk9LZcpYUx9Lf/NIvputzznd+53c8u3aX&#10;ifRQJtfLpHuINnUok/OhTNiXifwQx+Scc/SuOiiU2g3fJfSp3JdCuVeV+1e5n5V7XCj3vVOFZn/j&#10;b/7C2x//+MfSz8r83d/71Wf36SK7jy8l1jdbp0vFdmfL7UG0EWPsqPwhwlL96zhesn1zqTjurtWe&#10;rV33FtYYb67tU01dx/g+s+XUiOMk+6xT4tiP61P8Xra8jVEIJyIiIn3l2EB5MmqwLGqtjte5DkI0&#10;LtfutE4RnfdsvS/R+wTKXDUTL1stDqrpBPU8gT1XTcd/ake0J9EhzrbpNjEQmC1rD2JAM9vmc3oc&#10;+JtzTG/xGj+nGGqo5ydUnVM7YJktc4vm3MOXvG5nn1er1/tu7YBqXHOz5fZgbrHtVtvKMZGXbc8l&#10;em8HRbslW+/b9FiEGmr6cUXP512o6Zf1cK3M1us21zp/5hT9Fktf50oRQHxOEdfkEOdmKBPaIYoH&#10;vuu7Ppiu6zmf/qWbwoZS5FCU4odoaxXxXdXe9wB4v3J9Ldfbcg0OcU2O63QxLkArRWjRBiiiLRHK&#10;faLcO8q9JJT7S7nnLDGOH589574R25wtb2mxH7P1mSL2bbbsa4jvNLYpjqNsXUMcUy3H87LPmCrW&#10;N1v20mra4K3E+Z+tW2txncg+/xJxTmfLvE2Lc2ssvq/ss4biHNhRIVyI16M+uJl5FhEREekn95OG&#10;y2LmNEjnuKSA5JJG6bXUdHBi0CFb5tZFByHb3ktca6Ci1m0DAuesda6tKb7HbFsvFQNp2XJ7FwN0&#10;2facs9XtPWfucRCDaNnyrmnOOd5rAcBtYp2zbblUTwO2U8VgYbZNl1pi0P8a5gxmLnkfW2KwseUg&#10;fUu1x+C1BvsvEfe5bJ3PieMxW17vLunf3Kbn68mcbev1nGs1mdJzO25u2zRcuz02t095je+jZj/3&#10;dn7UnBct7kPxvYf4Hoth0UUpxIh9PhTjMkUp4ohtGYrrVygFINk23Oa555571i4psn8DbNfw/A6l&#10;oCzE9W0oxjqKuF9+7GNtrglRkDy8tpVrXlGuheX6WK6ZIbum7kVsX8119xptmvj+snWZIo69bNlr&#10;i2NvSl81vqv4nWxZU8S5li1/qmv0KeOYzdZlbWvNqU05PsaijZYt8zatjo0ijtm4pmafFd9ltB9r&#10;rkGdUQgnIiIifefYYHk0asAsak6DdKpLOog9FkcUtZ3yU43travpCG1xn9ROfO7tOKjdH2t12Fub&#10;O+AR+ytb3tbNLYjrZdBvaM5gyxYLOWLQMtuWS7UY9LyW2sGtOP+z5W5NtP2y7TsnW1YLSww69tqu&#10;nHvNLGJfZcvtwdz7Y899gNvUToD1fC2NNlq2zrfp9Xuce1yO9fxHTrXbeM0+ytx1v0b7K/ZTti6X&#10;6O3aHedrtp6X2kq/du53dq6fGsftUHzO0LC4L8T1fqgUwQzFZw6Vgr/wa//hT6brOcUv/8qfeU9x&#10;TyhFP0X0z8bi2C2y5TLPofL1r+PCzZB9f8X4ux4bHxvFn/rhy19bmfmRH/meZ+Mgp5RC1jA85sfn&#10;QzlPxufS+Fwbnofj8zQ7l6eKdc62c47Yruwz7rIW+zeOk2zZS4ljK1uPqa59PMQ5M/c6X7vutW2S&#10;odiO7DOWNKf4vrW4zmfr1lpcd7PPv0QcX1O/n1bn19C4TxefEfed2IfZv9+gJ8c2RrweVURERKT7&#10;3EsaM4uZ0yCd41zHKv57q0GKJdR0cHqeQKlRM1ixxX0SHaRsWy4V+ytb7lbNLagotjoBHmJwONum&#10;28Q1LlvW1s3ZF6HH/RGTAdm63maL17KaQayw5cH7bHumuMYA6xLmtmmyZbUw59w7p9drbk17sui5&#10;vZyt7zlbvT/WXkujXZkttwdztq3n77HFBEds397OveLax2K2Tudc43irnZTrqQ1Re9+NfmC23N5E&#10;gUy2/uf01r6Ptne2nlP0tk1xPl3iP/8vPp9uzxQf/diH3/5Xx/NvuNw4H6+hfP5/+Q/+UrquU6zR&#10;J6sd8wmxvdmyt6jF/ii2OI6wtLi3Z/tqimu0D7a63kO1x3ZNIWKLe1wR45PZZyxpblujtbWKQWsK&#10;GOfMi8R2ZcuqUe7H0eddYizqSp4ebgrh7j2bXRYRERHZQo6NmDdHjZpFrdERv2QCsOdJ9toOTjS2&#10;s+VuWU2n5Nqd/TlqJz63uM23qe2Ubnl/zB0s2nIh0Sk1gyG9DY7PKe7bYmHnnos4bhPHW7Y9U0Rb&#10;IFv21sw9b7NltTC3sPac7LOurcWTD3o+DudOCK01gN9S7TWl5/vH3G2L+0u2vGtrcd6FnttxNZM5&#10;1z4W5143rtGOnLuuoaf2U+3k31b6cXPbvL1tX4vJ4K18Z2OtCiV667+06Jesce1uceztaQykxf4o&#10;tnpOLqVlUdHax1yrgpprniu1/fE4nufOe7S4Hg5d43rfw9PF4jjM1q21mu9r7nEyd/zqlJ/7hRf2&#10;Vgj31SOFcCIiIrLJxFPivjVq4Cxq6YKtSwYOep4YCjUdnK38FfUUtZ3WrQ2Mteik76kwsraoJmx1&#10;f8w9Fnq/xs1RMzDR28T5nEHALQ5k1w7kb/V+FtebbHumUBCXL69W6wHOosfvq8WTJXouSo1rYrbO&#10;52z1KRlztzf0fv+Y0+/p9dhsNYG91kTTHLXX0WjbZstdw9wJqWu0I2smz3rqB7QoRN9CP66mv9rT&#10;9rXod4ctFibFOmfbMlWP99yaNkSI31/62t3i2NvTk9BajAkO7aVv2UKrcz2sfb63+sOLa7YTWrQL&#10;YhnZsi/RsqAsvv+17+Etj98a0efJ1q+1mr7VnHtCXHt7KDrszNOjrx8Oh/s3U8kiIiIi281ro4bO&#10;opYepLhk4KDHQaqhmOTJ1vsSvW/bXDWd5i0OjNV2wAwGvlfPk/rnzD0WtloEeErNBGxv3//cbVl6&#10;IqK12sKArV7HWhTE9VbEOdfcCf2ljvVWkwhjPX5fLQpzei5KnXtsbbWdXFMcE3q+f8w5L3sq+BmL&#10;Yyxb56l6bcfVFttes1Bmbn/yGu3Imr5vT9e5FhPfW+jH1RTz9LR9LfrdYYtt+FYFzaG363eL83Dp&#10;a3eL/tPexkJbtSdCtLWyz7iL4pqb7aO51jzf93CdanE9CnPvna3HA2J7ss9ZSqv7dK3om2brt4S5&#10;x8zce0KrPw7YiceHw+HBzfSxiIiIyA5ybODs6ilxlzSWrzkYf05tB2cLg8ZT1U6+9DYoeU7tIMHe&#10;BgOzbZxiywWCse7ZNp2zt+vA3P0QeivqmFsQt7W/7K4dsO254OE2LV7DEvsuW/bWzC3o3VpBXI/X&#10;2xYTJj2fgzUFYltrE4aae2Do+f4xp43fczu39rsqem3H1V5brtkmn3sPuMa1sPZ+1cs5P7fNO7SF&#10;9mDN5Glv29eiCGeLYxEtiwx6u363aP8uXfTRav9vsY13Su0fQwztbXywRpyf2T6aa812Tcvr1LXG&#10;yFr1x+OYnnO+txirGVt77KZVX6PWWm3NmuN+7rjSUuNGGxKFcA9vZo1FRERE9pWHSeNnMUsP+l3y&#10;COmYpM1+txc1HZw9DnbUdvy3VhxUWwAY9lJQEWoHA7d8Tsx9JP7ergM118TeJprmbkvPhdyZucdu&#10;sfZf27bS4i9Kt/ZdnxLXoWz7zpk7cHlOi3trpsfJ+pggyNZ1ijX/8nuqmj8c2FqbMNQOyve8zXML&#10;rHot8qu99xW9tuNq+2TX3K6594BrrHPt/aqXc77FpO0W+jQ1bb/etq9VEc4WC5NavSatt/ZTiz+S&#10;CEu1z4s4F7LPnWKLbbxTWhdk7KlYsEYcI9n+mWvta3jtH08X17r3tOyPRxsj+4xzWl3ri7X3ZS9P&#10;MFtzDGTOeVt7L27VHtqYp4fD4fWje89mi0VERET2mGOj5/GoEbSoJTvjlw7U9zwgUDtotZfJ9KGa&#10;TmvvBZBjLQYt5w4O9KjFoM9WBwBrJh73NOhZM6HW26TE3MHtrQ3w1xYF9Pa9XarFAOVeJnOybbvE&#10;UhNurQpVxnosiKstWgm9TdIP1bQLtnhtqW0X9twmnHus9nqdbHHuFXE/yT7j2mqLFq7VPq05j5a6&#10;L51Se873cl9qVdDRe5+mtu3X0/a1+s622JaN8ybbljl6+k5b3ZeWHmNsUXzQY5t8rtb9lr30L2vF&#10;fsj2T40122stC8qirZF9xpJajHUPzbnWti42DWvPwbQu6ptrzT9QmnqPqD2+49jKlrtTCuFERETk&#10;TuV+0iBazNIDFZd0DnovGLpLBWCXqCmICb0PpA/tfSJ7qhYDFmsPULQ091qwp6LImmOgt3Nh7rZs&#10;7fusHcTf6n2sxeTFHiYsagYQl7pftx6AL3q932brOtXaRSCXqp203lKbMNQWW/ReBDinndPzpHeL&#10;Sf3Q632/9g9VrnWPq3lN1trFibXnfC/3pVYFHb23i2q/r576qa2KLbZYmNSy0KS3Y7ZmbLFY+p7U&#10;4o8g9zQG1rLAPuxxjHiOJQri4tqRfdYSWr7y8xrtzNbH9ZxtaL0OIa49a/YvW96vaqx5r4/v7ZI+&#10;VnwXre7BS40fdeTp0ZsHhXAiIiJy13JsBD0aNIoWt+RfklxScND7YEltEdDWJvvOqR1Qj/2ZLbdX&#10;LQYt93IMtOiEbq2YaGjutWBPA8K1Az49FXXM/T63NrFUe83e6vHbYvJ3zUH1pdQM1m+tIC70dI0p&#10;4hzK1nWKNf/qe4ragrjeiyvGaiduer+eRhstW+9zejzvQqtJql6/t9o+6rXaMzXn0drXjNpzPvTQ&#10;D2x13+29XRT7OlvvS/W0fa2+sy2241u2E3vrt9W2m8LS3+nctsDYnsZBW7Tlh/a0b+ZqVag9tPb1&#10;rsVYcbjWdbrV+hdzjuvW6xDWHHNu0U5sZe3rSrTJswLqKJaLPkrr8YsW989OPT4cDg9uZoRFRERE&#10;7l7uJQ2kxUQDNmtstnDpYFZPf407VjuwuuUCoMzeJwPHWgwIbq0I8JQWg9Nb+/6Hara/52vcFLUD&#10;lz0VdcydKN/aMVz719dbPWdrtzvsoSCu5mkpSw2q1hTpndNj4ViLp1T1eg/ZakFOjbgmZttyqV6L&#10;G8Pc+2Kvx2fLSapoA2afcU217fJr3t/nToBe475ce873UPjb6r7b+zW79pxfclxsqpbXr60V37Qu&#10;MIjlZZ9zDXPvs2NLfqe1bbuih2tfKy2emje0p30zV4uxxcya53urcyVcoy3dcv3DnDZa7fjiKWve&#10;91oVEde65txT7O8i++8tPPpHr7z9oQ99e7rtG6UQTkREROSdfDVpLC1mycmZSwaR9/gKoaE1O2Nr&#10;qN0fvU6cZVoMWm61oGSs1eB0T4PSU9Rs/xYn/TO1A5c9Df7WnNvZ8nrVojAsW27vWmz3HoqZa87Z&#10;pdoure4lmR6LVlr8NXOvE2e1baQtto9qCxx7ngSde73o+Y9/Wj15osdtbHEtvVYfde4k7DXa07Xn&#10;fA/HTqv77hau2dl6X6qn7WvZVur5vnNKy6cG9TT21KoIaMnvtNU67mX8I7QqZCz2tG/mqn3F9Slr&#10;vlq91bkSrtFWaLn+Yc49dKlxgTXPsdb7scbe5p5CnNMtxlM68uRwOLx2M/UrIiIiIpF4Sty3Ro2m&#10;xSxZkBYdu+wzx3puuNf+5dQWByFvU7s/ep44G2vVud1LxzQGObLtm2JLBZFjl17PxmK/xWBPtswt&#10;qR24nPNXo0uJ63K2jpfY0vlcs53FFo/dFhMXW7pXnVJzD0v/WOL/+M+evu9nM2Sf10KP7a0Wf33f&#10;67HY4jyLYzRbdq9qnxLS83Vl7qRUz0UyLc6/0Os21rbLr9Umn3vtuMb3UHsM9XLs1B4rRe9t4Nrt&#10;7Okpnq2KwrZYfNPq2h16uu+2Kv5Y8juNczz7zKl6ufa1sETByx7Ghmq0OhfG1hxvarkN1zhflvgO&#10;5vTF546xnrNmH7NlEXeNPYxfFXEvirZAq/ZrB54eDofXY7732ayviIiIiLwnryUNqMUs1Vm49BHY&#10;0dDNfr8HtR3FPQ0GhdoBodgfWxkAajVIsJeiyBavfuupKGqqS69nmS0XAha150NPEzI1hWJr/uVx&#10;rbtaENdiYHWLE4hjNffraz89eI4eB4FbFI31eiy2mCDc2sD9XopjTpk7odNrkUyrdnzocRtrCzSv&#10;1SavuXZky1tSi2t4D+2oFn24sNSYUSt7eopnq6KwLY5F1fS5x3rb/haFE0tuU8v7Zk8FpjVa7pPi&#10;GmND0Y6Je1q0HeJaGcdRHI/Rz1j72rfEPg1r95ni87L1mOMaY0ytC7nmXJtq/+j2lNi27POW0LKI&#10;u1avfbJLxbVBIZyIiIjIHcyx4fRk1JBazFJPibu0o9vbQNVYbUdxD8UwRYvBiy0ViPU+aLmmFh39&#10;Le+LmmN/D8U1ted+T999zUTLlq5fLQritjiZoSDuRq8FcbVFHKf0+J21KBrr9b655207pUVxTLbc&#10;Xsy9dl6rsOoSrSb7og2cLf+aatvl17pm1rQn157oa3Gd6+EPKVrdd3s+10PtdvbUjmhxvym2NkHe&#10;YrxpqKftb1U4seQ2tbpvbqnPfE6rouJizT8IifMprm3R5s7WZWjNoudL1meqtfsVLYt3r/FHQi3G&#10;TMbmHEOtrjlja83DtL5n1bjGcdRC7MO9FcIdff1wONy/meEVERERkXN5OGpQLWqpzu+lA5M9F43V&#10;dnT3MLE+VDvYvFQB5hJaDRJs/S+1QquB+ejsZsvfgprB0D0cA7UDFL189zXX9N4nA4cUxM0X97ls&#10;2VtSc5wv+b23mgwci8H07POuqUUxRciWfW1xjGTrOtWW7o17KY45ZW47b+0JyClaXW963Mba4/Ga&#10;2zR38nPt86fFda6HopBW50HvYxq17b+ezvNW7YfQ8zjbKbV9zqGeCrNafa9LblOrAto9jYG27rus&#10;da0pxXDZOpwSx2i2rNZaFxkWa/YrWhZCXeP+0/I+U8wZQ6mdbzllzX26RHHhXFvqW8c5FN//UkWR&#10;V/L4cDg8uJnWFREREZGLc2xIrfaUuKUmEi/t3PQ8+dyio7uHYpiiRWHUVvZHqyKwPfyFbKsBk54n&#10;g8+pKTDawzFQO3DZy3dfcyxvaXC/5ngttni+Koi70WtB3BKD76HHYvto62TrOlWPbaZWk0Bbuje2&#10;+D573t6ac7PXdn3LycretrHFtl2r6H3ufXrt86fFPu6h3diqP9tj4flQi6KVXs7zlteuLf0xT9Gq&#10;KCv01Hdr9b3GNTRbfgt7LiSfa4m+yxrXmjnX/rW+t5bn+NDa7YSWhTxr339a3meGpm7HUusR1rr/&#10;LbkNUy15f2gpxhmXKoy9kiiE++zNbK6IiIiIzMmDpJG1mOjoZw3VGlM6Br1NNAzVTrBvacLvnBad&#10;vRhoy5bdm1aDX3v4C9lWnfwtDsoXNfugx2KNqWoHLnu5Dtac11v6HmN/Z9swxV0tiNvDNbvXgril&#10;Box7LGJsta29nocxaZat7xRbmjBt8X32fG2p2b6e+zmtJit73Mbac/Ba2zT3/nSNPkTtPu7hGteq&#10;P9v79XpO8cfYEuNhc7W6dm3xjzxaPpGrt+O29poSltymVteLsMV+5CktvrehNe6/c68hcY/OltdS&#10;66fuFWsXA7XcjmuMkS9RkDTnO2gxfpOJ83ateabo42XrsLY1t3mOHRbCfetwOLx+dO/ZLK6IiIiI&#10;zM+xcbX5p8Rd2jHoeTKldmBoyUGra6gdoN3K/mg1mb2X7z/btqm2XmhSc+z3PDBxidoBv16++5rr&#10;+ZbO5binZtswRU8Tg5dSEHej14K4sMSgd6/fWYsJ7TUmpuZoNZi9pXtj3AOybbhU7/eQucfrUn3I&#10;FlpNVvb43dX+ocK1rptz+1drT3SHFk+xufY1rlV/NvR8vW5RyNPTH27F+Zmt41RbHIdoWZQVempH&#10;tbimhDivs+XXinM8+7w5tvyHkGOtzsdi6ULVmuv+Gvfa1ud4sXYBcMvz5RrX6haF5GOxHVOvTy33&#10;49ha16EWr9lv5Rrt5XNi/ywxBnRFTw8K4URERESaZ9WnxC0xWHTppOxeJ4mKngeQp2oxudTrBO9Y&#10;i8nssIe/kG0x+b3FQfmhmmO/56LfS9QOmPXy3ce5mK3fpZaagGjtrhbEtbg/9TiIOFXN9790Qdyl&#10;7cIp4nvPPuvaWkx89nrvaDWovZX2YGjRDuq5P1Bz/ex1u/ZcDFR7v7tmu2xO/+oaBXwt2hTX7gO2&#10;PAd67s+2KLDoqbi+ZaHC0u261loes6Gndn2r73WpPlrLfd/T+VSrRb96bMkxhZrxjjXaBrXjMadc&#10;o13Tarw4rN3ObH2tLeb0XVvux6E1j4mltmGq2OZe+ixxjEVbOtYpW9cNikK4rx4phBMRERFZIscG&#10;16afEjelk9XzpFjtgPgeJtiLFgPOW9kfLSZCwlp/mbakVvui58mUc2oGjbY+KNzivM+Wu7bav97c&#10;yqRSi4H7LRWqFC2uUwrilj/GWw8Y91q82eJ47LX90KpNsKXzLdY124Ypei1wDDXFqj1vV6vrTW/b&#10;2KJddq0JsznXjyXGKc5psY97OG72eg4MtZjYv0YxxSktjr2i5+/tlJbtxD1+r0u2DVvu+zgvs8/Y&#10;mhbXl7El+9m1BWdLtw2W2J/F2u2aVv2hcI1rdcvzvZhzza3pg5yzVl96yW2Y6trjB3GOx7mxo0K4&#10;8PhwODy4makVERERkaWy6lPilphUvHQCqeeCkehYZ+t8qZ4G4lqo7TjH/tjCAFkMSmTrP9Uevv9W&#10;+2KLg/JDNcf+lgeFWwxc9lBMVlsQt5WCzhbn6xYL4mLwL9uWKfZQEFczILvEeRrXjyLaU3/v738h&#10;/ey5/u7v/eqzbQ5x7J8Tx8kpMXh7Thwjp0RbtvjUn/uhdH2n+MlPfP97Pjtb57Fsm4fKvjol+gK3&#10;ievg3/47v5yu71Qf/diH02OmR7H/s22YIr6fbNk9qLnPR9soW2YPWnxvobd+am3fNMT1IFv20uI6&#10;kq3Pba7Rl2rR9u3huGn1msY4l7Ll96LFxOvaxRSntDj2it6uXZdodd0uevleQ4vjdMnvtNX1Imz5&#10;DyHHWhcORZ8h+5wW5txjh9Zoq7Y4DzJrt2tq9/XQNdo5ra+1RfQns8+7zRLFeWHN/brUNkx1jWMp&#10;RNslvvte9kMjCuFERERE1syxAfb1UYNsMfE6oKxhWyMaxNlnZXoarBqrbdTP6RT2qkXH+VqTMFPU&#10;/nXlUHQOs8/Yilb7YouD8kM1x/7WrwG1A5c9nPO1E8hbuG6FWM9s/afYyrYOtdjuJScolhT3mKKm&#10;4Oy3fvtnnl3niqzYKybLQrQZi2gjhbhOFNny4VLDY6kox9nQ8DgsyjFalGN3bHh8F8Pjf1ho+B89&#10;/Ol0Paf4zC/df1Z0GuJ+NDQ8h7NzfA2xj7P1vkRsQ7bMa4v9ma3vVLFvrvndjLXYrjjes2Uvbe66&#10;X2P/15wTIX4/W+6a4lqWrdtUcc3Mlt+LuNZn6z1FT3212mOv6OEYnGrK+OEleurTtDhOl/xOW10v&#10;Qs9/BDBV3C+zbZxrye+wdtxujWt9i/Mgs/YxF+2SVtfqsHZbuvaPRU+J7zf7vNu0vu4PrXUPWHIb&#10;plr7XIjrTvTBs3XZqCeHw+HhzaysiIiIiKyZVZ8S1/rpIFMGvXseNKmdaO99EHmKFn8JN6eTvLYW&#10;k03F1ouhWu2LLQ7KD9Uc+1u/BtQOcPRwfa89jrcysN+iMKynyaNLtbg3xURQtuwp4jgrYmC7FMDE&#10;QGGsY4h7Qoj9HOLYKkU4MekS14sQ98pQCn2iACiuo0W2DXfJsY2c/hz2Znjej4sCQ7lGhHLdKMr1&#10;JJTCv1CuOXH9CbGc7LMv8fp/+tK7173sunhNNds11Ftbvna74ljKlruGOE6zdTol/n22nKXF+ZOt&#10;zxTZctfUom0Urnm8XCKuZdl6T9FTO7/FsVf0WrB8StxHsu2Y61rXj0wcY9k6ThV9imz5tVpdL0Lv&#10;14wpWu6XYqnzsrbIaY3vrcX1OhPt3OzzltSyWPIa4y+t2shjU4/vuO4vtS5rXouW2oap1trmuBe1&#10;bK904OnhcHj96F5MxoqIiIjIFXJslG36KXGXdhJ7HjRpMTC3tcHIU2JfxHeVbeMUW9gfrTq0cQ5k&#10;y9+SVvti6+fB3P3Q8/XtErUDl9cYoByrvY73sA2XaDFof1cL4n75V/7MySK1EMdAKTKJ9lKIa0Kc&#10;3y3uiwDXcuxypj+vUa6NcZ0syrWzXEvjujpUrrfl+lsK9opyjS6FxXHtDzEpU8SEcLQ3w1997WfT&#10;dZuqt7Z8rE+2nlNcq00+dcL+WsWItW3fENuaLXstcT5k6zVHtKOzz+hBizZgXH+yZV9Di2Ov6K2Y&#10;9xKt29S9jD+0GFMMS/XTWq1f0fM1Y4rW+yX0/B0ufb60uF5n4rqRfd6SWm7LEnMx57S81wzNaTNH&#10;Gz9bVgtr3Qfjc7LPv4alrjEh2rZLHTtXohBOREREpKNs+ilxUzqJPQ/Y1U48bHEw8pQWkzBLdtBa&#10;adXJu8bgTGut9sUWvvfb1OyHmJTKlrkFtQNUvZwDNRMsMZGfLbM3LQZm4/vOlr2kGMAvBQzRDgmx&#10;LSHunyGuHyHOwxD3ohCTmH/+Zz+ebgvQ3rFvkv4c9urDH/6Od+9B5Z4U96dThXhLFwK0aJdfs00e&#10;+yraVdl6FTE5fM3+c4v21DX3cWhZyNF6jKilFoV/PfXXWxx7xTXa9LVaP3Hm2ufh0Lnr3iWWLN6s&#10;6SuPXfP63VqL721oqe+wxTV/6fOl5X1pbOm211jrbVm6GHFsqe9izv10yeNirWLD2IbW14q5lmjT&#10;xPZF/6PlfeLKnh69eTgc7j+beRURERGRPnJspD0ZNNoW1bpzHo3mSxvMMfiVLaMHtQOTPf3Vca0W&#10;g7TX+Au4qVoORq89uNFaq7/Ym/PXgj2JyaBsuy6xxQmJosW5EPeCbNlrqhm8WWJQaQktJgWzYzW+&#10;vzAsWIvPimMjDAvW4veHRWtx/ytPA4prf4jBwtinOxpQY2HH5nD6c4Delftd3PtC3AfLfTHukaEU&#10;eZf7Z9xLQ7m3Dgvx/vbf+eX0c6booW8a7YjYxrLtIf7/aGNcu90Yn5/ttyliW7Jlr6nV5GzPxS0t&#10;vqvQS3+91faELY5BxfUv25a5ehp3imtcto5TLNknjX2VfeYcsa3ZZ2xR62Nyye8w+7wp1vjelur/&#10;R5si+7wltTini6WLETNLFXDNaTNEmylbVgtr3d9ju7PPv4ZW7bZok8Q1cKnz9koeHw6HB88mXEVE&#10;RESkuzxMGnCLad1ZmNJJ7LlwqKazGJ2Haw/st7K3QedTWg5G9zyJcIlWxYFLDv6tZe51YIsTEkWL&#10;c+EaA5RjtYP8PV/DY93CP/3nv52u+xTf9yc/8uw4D3HO7mzwCwAmO/bH059v1Qc/+O1v/+rnfvxZ&#10;Pz1cUogXbbkiitaiLxdKGyRrn2xZbfunh7Z/FF1m6zbVNSbqp2gxqd9DX6VoVZi0xb53q3GHoV7G&#10;nVoVSyy1PS0Lv/Yw7lMscUzGPTT7rFq19601vrdW96Wxa9ynWp3T4RpthtbFnkXck7PPO6fFvTyz&#10;RqFniLbwUtswVe25HNsS175etqcRhXAiIiIiW8ix4fatUUNuMa07C1MGENbqqMxR+xdLWy+KGorv&#10;KdvGKXofWA+tOn89H9eXiM5wtl1zbH3CbO6g0dYHhWvPhR7O99rB1zkD13G8FzF5EcsoYuIt7o8h&#10;7g+xj0Lca8rEdFw7YnA0xPrHBFmI7yPEcVU78A3A8o7dufTnsDelbVLaKtFuiTZMKG2aEG2cEO2d&#10;Swrxou20ZhFebX+3h7Z/q8nu+G6y5feiRYFFD32VotX3Fub0X66tdd+ml+82rlnZ+k21VPFmy+Ke&#10;0EshYgtbOSZbFNNmy22p5fVtKNoV2ectqdU5XSzdrhlrvf5Dc87/KXNHU611PaqdN2pp7hxU3GNa&#10;FeZ3IgrhPvtsclVERERENpHXkkbdYlp3Fi4tpuhh4PiU2s7iNTroS2kxWBYdrGzZPWk1WNPzcX2p&#10;S8/hc5YawF1LzXVgy9teey5cayItvq/iL7780+m6XeqXP/ujz/bDuEhtXKgW53uRLQcA4NoOOyrS&#10;jDbXsAAvDAvwsuK7cKr4LvzWb/9M+llTRPsza5+upabfMtRTsVimRZ+9p7GalkUBvX93mdpi1LGe&#10;xp1aFNoudV1pdb0o5hZj9Kj1MbnU9aZFcfDSRbRLFT1d6zxvsc+La5wzrY/tIpabfd45Lffn0Fr3&#10;wtbX0RpTz4lo+8a1KVvWRj059nVefzajKiIiIiLbyrExt9mnxE0ZpOx54KSmsxiDV9kytyg6eS2K&#10;PXr/q9E4FrP1nmPrfyHbaqBki4PyY3OLA69VFNZC7bnwF37tJ54NfsZyQhwHQ7Fv4j5RxPFWlMnM&#10;GBwrymRnKBOgcU0qsnUAAIC1/MWXf+o9xXehtIWHBXjl6cHRXwwtC17m9luGYn2zZfeiRYFF7Kds&#10;2dfQckK9p0K/S8Xxlm1LjV7GYmrG0eL34ljPlttKy3509OOzz9ii1kVcsZ+zz6nVojg47lPZsltZ&#10;qmBoqX16Tsvr1TWu10tcb0N8H3PaMnGtzpZXa83jI9p82TpcwyUFrvE9xbWj5fX/yp4ebgrh7j2b&#10;TBURERGRTWazT4mLgd7sMzJR7JAtowdTtiPT+2DyFC0GW3rfHy0Ha5YeWFpaq079Fgflx+YOGmXb&#10;HsfYUJkIKxNjRZkwi8HYItajKJNsoUy8hVJgFqYUmY0LzT76sQ+n27Qlx3to+nP2wfdL7247Rh2/&#10;AJwSbfFQ2ualrV7a8KVdH0pbv7T/f+HTL6TLnGLpIpxaLfrsa06WXyK+52w9p+ptuy7R4vsc62ks&#10;JrYvztFsPU+J83yNor74nOzz59jisXeb2J5sO+da4vtsMWYXy8iW3VKr69vYGufIWOvr1TW2Yanv&#10;Y+51d+r18VIxnpp9XmtL3MPmin2ZrWOI9Yx2Yutr2xUphBMRERHZU44NvM0+JW5KJ+sancBL1XQW&#10;W+/Ta4oinWwbp1hjsKVWq8GBLWzrbVp832GpgdHozBdx/SjOFZVdUlhWJpSK3/jNT6bbds5zzz33&#10;bPt3NOAAALD7os69bx/L2ONxU/oy0UcOp4rzYtyjKH2o0rcKpb817IeVvlnpsxWlLzfs45V+X+kL&#10;tuizx3KH/ctriv2VreMcPW3XpVqNwRRxTGafc01x/MY5EOfNeHvjHIufx7kSx372+0toedyFLR57&#10;p8S1LNvGueK7zz6nRlw/s8+aYo1zpfVxVsT2Z5+3tJbXqyWOi3OW+j6ibZB93jlxbWx9Dwhrzscs&#10;tU/nGF+Hy71nR+PST4/ePLa57x+JiIiIyI6y2afETekQXKMTeKkYrM3W+RLR4ciWuVXRwc2281Jx&#10;TGTL7Umrga8eB2FvUyYZQlwHQrZdc/zVv/azz777MklSJk7KREookytFDIiEMglTZMsHAACAS33m&#10;l+4/66OGS4v3xgV8pXjvXAHfOS0KW4pY3+wzehb7O9uWubYyDjf1OGmt5XEXtnjsndJ63ywxPhjH&#10;TvZZU6xxrrTel0Vcr7PPW1rL61WMhWafsaQWx80pcf/LPvOcpY6Ruesz1ZL7dKphIWC0U2rncTrz&#10;+HA4PLiZLhURERGRveXescG3yafETekQ9D5gVfPXSnsaFIrOVLaNl2p5fC0lvq9s3acqx3ScB8Vw&#10;kHw4eF4G1GMQoIj1CGVAPpRB+jJwPywyC+cKzbIis2zdAdi2Y/vRE44AeJd7Alxf6YOXfnmIfvpP&#10;/fT3p/9+jp/7hRfeHUsoYwtlvKFoUcTXUnxuti01Yruzz+Lfab3fr1WgtJQ4P7PtnCPO++wzarT4&#10;/pZYr7Elzu+wRJHhJVpvT1x/s89ZUuy7bF1qxbh19nmXiPHrbJk1atZnqhiTz9ZhbXFOx31+qe/4&#10;ShTCiYiIiNyRfDVpDC4iGs4tO2NTGuDRYM+W0YOaIqktFIFNEUVY2XZeovW+iIGIUAZxzxWZhXOF&#10;ZvE0s2zdgcsd71vpz2mvdl/fte/KsQltOacAYJ9ifDCMC/hC+QO8GPMryh/qhRhbKeMsRYy9lPGY&#10;UMZoYtwmlpmtw1x7G4dbSsuiiVhW9hlbVTP2mVmi8KlF0d4aBVmtz++wRjHfKS2LJdcs2ipizDxb&#10;l1o138kShZNrHiNLFX7O8eHv/I705xsUhXCfPRIRERGRO5JVnxIXA1VZ436OGOTKPiPT84BVdGzm&#10;dniv2Ulfyty/3PrFT//p9xShxQBTEd9/GUgtg6tlsDXE/o99WWTLp0/Ha1j6cwAAAJajL8Zd9MEP&#10;fvu740univSGBXqlMK8YPkGv/CFmNja2dVPGbM/Z29hn6wKX2NfZ59SI4zr7rCnieM+W3VKcb9ln&#10;17rWeRnXjmx95oix7uwzltayqG+opsCy5X4tljjvTmlxPvLMk2Pb9fWYEBURERGRu5dVnxKXNezn&#10;mFJI1vvgydwOfBRzZctrqQzQlQG74VPSTj0ZLbZnbkHaRz/24XRbAQAAAGCPyrhYjJGFGC8rY2hZ&#10;Ed6wEK+Mx5XxuXOFeNn4X0vxGdk2ztH7mO4c8Z1m2zpHfP/ZZ9SYO049FMdgtuyWWh5nQ2sU82Va&#10;b09NEdlccf3J1qVWXPeyz7tUXE+z5c4V1+jsc5aw1HF+hzw93BTC3Xs2EyoiIiIidzLxlLissbiI&#10;GKDJGvdzxOBP9hmZ6JBly+hBdGymdsyicOzv/f0vzCpSu61AbVicln0uAJ6IAQAAwLZlBXhZ8d2w&#10;8K6MNw6L7rKCu/jd7DPnKMvci9h/2XbOEd9V9hk1WhTgtBz/v00cu9nn11hr3TMtt+da27HEd1Jb&#10;GBvXqGy5NdYsnGx5Pb1DFMKJiIiIyHuyyafExUBL9hmZ6Dhky2gpBgzCnCK13/jNT7798eeXeaw4&#10;AADANRz7munPAQAu8egfvfJu0d1eiuNaFQ3FmHK2/Fq1fygdY97ZcluL7c8+v8YacwinxHxBtk5z&#10;LFEseYmWBZ9DtQVorYvK1ty/LYpU75CnR28e+6D3n816ioiIiIi8k1WfEhcdo6xxP8elAwjxRLVz&#10;xWqlUC2UQrUQHabo5Hia2rqOx2X6c4Ctc30DAIB90taH9cTYbJjyhLtzT7dbQ6xPtj1TxHh0bZHQ&#10;KbEvs8+8VOz3bLmtLVEoFNuefdYaWm5PHB9rHtNFfGargs+h2mNqiWMlrhvZZy2hdUHfTj0+tsEe&#10;HImIiIiIvD/HBuObowbkYr7ruz74bABiXIQ2VgYshkqRWoiOwKf+3A+lnwEAAADQq4PCKYAuRTHR&#10;sNCuFNvdVmgXSqFdOFdoV1t0Fp+bLbeF2K7sMy+15tOzWhdfxXeffc5aWhY+xTGZfcbS4nOz9anR&#10;4ntpvV7xXWWfs4QlCvp2RCGciIiIiFyUVZ8SBwAAAAA9OShUBBZUiu3CD/3Qd7/94Q9/R/rvToki&#10;vT/4w19f9Ol28RS97LMvteZT1qI4MVuHGq335xQtC5/WLNgai+M0W6caLZ7I1rqAssU6XWqJY33j&#10;nhzbbA+fzWyKiIiIiFySYyPy0ahRuQnHVU9/DgAAAAAAd8Gw4G78hLvylLvhE+6GT7mLQrjw6B+9&#10;8vb3/8B3p8u/RCwzK+hZQhQkZetQI4oNs89aS3xP2XpNdc2n3cU+zNapRounIsbTG7Nlz7Xm0xA9&#10;Je5dTw+Hw+tH92JOU0RERERkSuIpcU9HDUyA1RyvQ5N+DgAAAHAbYwqwjg984Lm3f+zHvzctxisF&#10;eUVWmDd8BW0p0hu+ijYKrYZPxwsf//jH0nWZKz43K0haS8uirTWfYDbWqrCvaFV81nq91iygjPMk&#10;W4c7QiGciIiIiDTJ60ljcxHHz0p/DgAAAADAttWO/xo/Zm2f+Knvf1/hXjEs4CtKIV9WzFcMi/qG&#10;hX3j4r4QTwJrVeR3zYK41k80a/XEu9brFcWf2ecs4Q4/Je7x8V5w/0hEREREpD7HBua3Rg1OAIBn&#10;jk2F9OewcfGU5HOijXybJxd4fMbXL/Aokf27oeyzMtk6j2XbPpbtv7HsewAAADpy18YA9rK9H/nI&#10;h54Vaw2f1pc9ta8YFgFmxYCXFASOiwJ/7fM/ka7bXH/wh7/+vuLCOX7lV38sXf5cf/vv/PK7yx4W&#10;Qg4N90sx3nfFeB8Pv4Of+fM/nK7DTkUh3IMjEREREZGmeS1pfAIAwCWGRU+lQGpYUFWKr4YFW6Ww&#10;683i2Cb96jvitRjFa+94+I7PDsRAaYi/HC7idRqFbCvD725o+P0W5bsfGx4fRTl2xsqxNTY8/opy&#10;bL7H8PgdGBYuFsNjPwyLEsPwfAnDYsMwPMdCdh4CAADA1jw59q+jjy4iIiIiskyi0TlqhAIrOJ5+&#10;6f8G9sX5zUJKcUwpminFNFnx2bsFO8fjMYp5hsU+pRCoFAqVQqJhoVEpRBoWKolIPxmem2FYQBiG&#10;53MYFg2Gcv4PDQsFw/sKBAfXlqwAMCv6ywr9susbAADAnXfsd6U/34Gn7/QvjS+JiIiIyOK5nzRI&#10;AQC4TIvitFJ0EoUopUilFK+UopZS7CIistdkRX3jQr5ThXsti/YU6wEAcBXHdmz6c9gBhXAiIiIi&#10;sn6ODdGYJMgaqNWOi09/DgBb4V62ScMitbMFasfvWHGaiIicyrhQb1iklxXonSvMywrySjGegjwA&#10;dul4T0x/DsBpO7p2Pj5uS/SlRERERETWz7FBGoPyWUMVAKCVc4VqpVjgVKFaKToYFqmVQjVFaiIi&#10;sscMi/FKQV4p2B4X472nIO+d+2lWiDcswlOAB3fA8ZqQ/jzc9t8AgBvul7NEIVz0X0RERERErptj&#10;4zQGy7NGKwCwP6U4bVygdkmRWlaoVibnh0VqCtVERES2lWEBXim+K4V3pfju3aK78E4bQeEdu3E8&#10;ri/6GQAAqSfHtlP0G0REREREusrrSeMVAFjOsChtWJg2LEorhWnPitLC8Z49LEobFqYpThMREZHe&#10;c1vhXbRpbiu8K20jhXcAANCPp++04Y09ioiIiEjXicK4GEzOGrUA0LNSYDYsMgul0GxYcJYVnRXv&#10;Fp+F473xvz3+3+zzMv/6+O//7tGwKK0UppWiNINDIiIiIsultLdK0d3UwrtSfHeq8E7xHQDAxh3b&#10;f+nPmSQK4aItbaxTRERERDaVGCyOAeIyMPw/Hf0vR//X8f/PGr4A9GFYFFYMi8PCuEAslAm/Ylgs&#10;VgyLxsJ7CsdCuW+8ozzBbKhMQBZlYjLEvWdoXFBWlEnOtQdbXjtuY+yH2IfD/R377+vH/x7rbABI&#10;RERE5O4k2n6ljdqq+C6Udnu0NYdtfQAA6MHjY7s22r4iIiIiIrtLGdiNgdwYwI2B22GBAMAlhkVb&#10;Q2UCaKhMDo2VyaOhYRHXUJl0GnpfUVeI61tiXNxVlImuoTIJNjQs9hoqk2dDwwKwoWExWCHXi/0v&#10;IiIiImsk2p2lT1D6DNGXKH2N0g+J/sm7fZh3+jel7xN9omG/KfpTpb8V/bCszwYAwJUc23Ppz68k&#10;2ouPjusU7VARERERkTuZGJwdDsgOB2CHA65Zgxq2ZFjAVZTJhKFh8VYxnIQI48KtUCYtht5TtBXi&#10;HBsZF2uFMjkyVM7ToXGhVlEmXMbKhMzQsFBrSERERERERPpP6cOVPl7p/5X+Yek/DvuXpe/5bt/0&#10;nT7rsD9b+rqlH1z6x8P+c+lbZ31wAACu4Ni2+/tH0S4UEREREZEJGQ+yjgdX3zeoWhwb4uPioOFA&#10;63jAdTzwmhn/2yVk6zjFeJvfI9tPI2V/njIc0M6U7+Y2ZZB8jjLQPkc5jqYqg/3niIiIiIiIiMi6&#10;if74sA9fxgDKOMJwPKKMXZQxjnfHQ94ZNxmOr5RxmvHYkEI9AICBY1sq2l4iIiIiIiIiIiIiIiIi&#10;IrLzlD+gu61g71TR3m2Fe6eK98YFfIr3AIClPT22UTwwQEREREREREREREREREREusolxXvDwr3a&#10;4r1h4Z7iPQDYrq8f7/siIiIiIiIiIiIiIiIiIiIyI1MK98YFe7cV6516wt64QC8rBACAO+t4X417&#10;r4iIiIiIiIiIiIiIiIiIiGw8p4rzsifqnXuS3vgpetmT8zwxD4DevHm8l4mIiIiIiIiIiIiIiIiI&#10;iIhUZ1yQV4rxsiK8rPhuXHjnSXgATPHkeG+J+5CIiIiIiIiIiIiIiIiIiIjIJqLgDoBMFMPFvUFE&#10;RERERERERERERERERERE3sncgrthsV1QbAewnsfHa7JiOBEREREREREREREREREREZEV0/rpdort&#10;gLvu/3nn2ikiIiIiIiIiIiIiIiIiIiIiO0spuCvFduOCu0uK7YYFd4rugF59851rmqfCiYiIiIiI&#10;iIiIiIiIiIiIiMisZE+4m/uUu2HhXRTdKbyDO+54zUh/fvT/Hv3vR//y6L86/ru4/oiIiIiIiIiI&#10;iIiIiIiIiIiIbCJReDcuvrutAO89RXjh224K8cbFeLc9Cc/T8KC9Uuwa4hyLcy7E+VfOyTg/y/n6&#10;5jvncJzPcV7H+R7nflwPRERERERERERERERERERERESkIucK84bFeUPDQr1SrDf0buFe8W3f9m1v&#10;DPw3I/905F8k/ueR/7Wx/3sF/98E2e/Xyra7xvg7uUT23Q6Nj4XM+PgZHltvjI698bEZxsfv8Ngu&#10;x305F0I5P8r5onhNRERERAY5HP5/8o9Anzr+y+EAAAAASUVORK5CYIJQSwMECgAAAAAAAAAhAOd+&#10;1mD/DwEA/w8BABQAAABkcnMvbWVkaWEvaW1hZ2UyLnN2Zzxzdmcgdmlld0JveD0iMCAwIDYzMC4z&#10;NCAyMTEuMTEiIHhtbG5zPSJodHRwOi8vd3d3LnczLm9yZy8yMDAwL3N2ZyIgeG1sbnM6eGxpbms9&#10;Imh0dHA6Ly93d3cudzMub3JnLzE5OTkveGxpbmsiIGlkPSJMYXllcl8xIiBvdmVyZmxvdz0iaGlk&#10;ZGVuIj48ZGVmcz48L2RlZnM+PHBhdGggZD0iTTE4Ni4wMSAxOTYuMjdDMTg2LjAxIDE5Ni4yNyAx&#10;ODYuMDEgMTk2LjI3IDE4Ni4wMSAxOTYuMjdMMTg2LjE1IDE5Ni4yN0MxODYuMTUgMTk2LjI3IDE4&#10;Ni40MiAxOTYuMjcgMTg2LjQyIDE5Ni4yN0wxODYuNjEgMTk2LjI3QzE4Ni4wMiAxOTYuMjcgMTg1&#10;LjQzIDE5Ni4yOSAxODQuODUgMTk2LjMgMTg1LjIzIDE5Ni4zIDE4NS42MiAxOTYuMjkgMTg2IDE5&#10;Ni4yOFpNNDYxLjkxIDQuMzZDNDYyLjgyIDQuNCA0NjMuNjQgNC40OCA0NjQuNDIgNC42MSA0NjUu&#10;OSA0Ljg2IDQ2Ny4xNCA1LjEzIDQ2OC4zMyA1LjYxIDQ2OS44OSA2LjI0IDQ3MS4yNyA2Ljg5IDQ3&#10;Mi41NCA3LjYxIDQ3My42NyA4LjI1IDQ3NC43NyA4Ljk1IDQ3NS44NCA5LjYzTDQ3Ni43MyAxMC4x&#10;OUM0NzguMiAxMS4xMSA0NzkuNjcgMTIuMDQgNDgxLjEzIDEyLjk3IDQ4NC4zNyAxNS4wMyA0ODcu&#10;ODcgMTcuMjMgNDkxLjUgMTkuMzYgNDkzLjcxIDIwLjY2IDQ5NS45NCAyMS45NCA0OTguMTcgMjMu&#10;MjIgNTAwLjQgMjQuNSA1MDIuNjMgMjUuNzggNTA0Ljg1IDI3LjA4IDUwOC40NCAyOS4xOCA1MTMu&#10;MTggMzEuOTQgNTE4LjA1IDM0LjU2IDUyMi4yMiAzNi44MiA1MjYuMDQgMzguODUgNTI5LjcyIDQw&#10;Ljc1IDUzNC4zNSA0My4xNSA1MzkuMDIgNDUuNjIgNTQzLjUzIDQ4LjAxIDU0Ny42NSA1MC4xOSA1&#10;NTEuNzYgNTIuMzcgNTU1LjkxIDU0LjUzIDU2My41MSA1OC40OCA1NzEuMDkgNjIuNjQgNTc4LjQy&#10;IDY2LjY2TDU4MC4xNSA2Ny42MUM1ODUuNzggNzAuNyA1OTAuMzEgNzMuMjMgNTk0LjQxIDc1LjU5&#10;IDU5NS41MyA3Ni4yMyA1OTYuNjUgNzYuODcgNTk3Ljc3IDc3LjUxIDU5OS44NiA3OC43IDYwMi4w&#10;MiA3OS45MiA2MDQuMTEgODEuMTYgNjA2LjA4IDgyLjMzIDYwOC40MSA4My43MyA2MTAuNjggODUu&#10;MjcgNjEyLjcyIDg2LjY2IDYxNC41MyA4Ny45NCA2MTUuOTMgODkuNTUgNjE4LjUxIDkyLjQ5IDYy&#10;MC4xNSA5NS44MyA2MjEuNzMgOTkuMDdMNjIxLjc5IDk5LjE5QzYyMi4xNSA5OS45MyA2MjIuNTMg&#10;MTAwLjY3IDYyMi45IDEwMS40MSA2MjMuMzcgMTAyLjMzIDYyMy44NCAxMDMuMjYgNjI0LjI4IDEw&#10;NC4xOSA2MjQuNTQgMTA0LjczIDYyNC43OCAxMDUuMzIgNjI1LjA4IDEwNi4wOSA2MjUuMjQgMTA2&#10;LjUxIDYyNS4zMiAxMDYuODUgNjI1LjM1IDEwNy4xNSA2MjUuNDIgMTA3Ljg2IDYyNS40NSAxMDgu&#10;NDYgNjI1LjI1IDEwOS4wNyA2MjUuMDQgMTA5Ljc0IDYyNC44MSAxMTAuNCA2MjQuNDEgMTExLjA1&#10;IDYyNC4xOSAxMTEuNDIgNjIzLjkxIDExMS43NyA2MjMuNjQgMTEyLjExTDYyMy4zOCAxMTIuNDQg&#10;NjIzLjYxIDExMi4xMkM2MjMuMDYgMTEyLjgzIDYyMi40NCAxMTMuNTUgNjIxLjY1IDExNC4yNCA2&#10;MjAuNjEgMTE1LjEzIDYxOS40NSAxMTYgNjE4LjIxIDExNi44MSA2MTUuNTEgMTE4LjU3IDYxMi41&#10;NyAxMjAuMDUgNjA5Ljc4IDEyMS40MSA2MDguODcgMTIxLjg2IDYwNy45NSAxMjIuMzEgNjA3LjAz&#10;IDEyMi43NSA2MDQuODMgMTIzLjgyIDYwMi41NiAxMjQuOTMgNjAwLjM3IDEyNi4wNiA1OTYuNjUg&#10;MTI3Ljk5IDU5Mi44NiAxMzAuMTggNTg5LjEgMTMyLjU4IDU4NS4zMiAxMzQuOTggNTgxLjYxIDEz&#10;Ny41MiA1NzguMDIgMTM5Ljk4TDU3Ni4wOSAxNDEuM0M1NzIuNzYgMTQzLjU4IDU2OS4zMyAxNDUu&#10;ODYgNTY2LjAxIDE0OC4wNkw1NjQuNjYgMTQ4Ljk2QzU2Mi45NyAxNTAuMDggNTYxLjMgMTUxLjIx&#10;IDU1OS42MiAxNTIuMzMgNTU3LjQ3IDE1My43NyA1NTUuMzIgMTU1LjIxIDU1My4xNiAxNTYuNjQg&#10;NTQ4LjY0IDE1OS42MyA1NDQuMDEgMTYyLjYxIDUzOS4zOCAxNjUuNTEgNTM0LjUyIDE2OC41NSA1&#10;MjkuNDcgMTcxLjU0IDUyNC41OCAxNzQuNDRMNTIzLjcyIDE3NC45NUM1MjAuNjcgMTc2Ljc2IDUx&#10;Ny42IDE3OC42MiA1MTQuNjMgMTgwLjQzIDUxMy4xMiAxODEuMzUgNTExLjYyIDE4Mi4yNiA1MTAu&#10;MSAxODMuMTggNTA2LjI4IDE4NS40OSA1MDIuNDggMTg3LjczIDQ5Ny45NyAxOTAuMzcgNDkzLjk0&#10;IDE5Mi43MyA0ODkuOTggMTk1LjA0IDQ4NS45NyAxOTcuMjkgNDgzLjQ5IDE5OC42OCA0ODAuNiAy&#10;MDAuMjcgNDc3LjU4IDIwMS42NSA0NzUuNjYgMjAyLjUzIDQ3NC4wNyAyMDMuMjEgNDcyLjU2IDIw&#10;My43OCA0NzAuOTggMjA0LjM4IDQ2OS4yMSAyMDQuODkgNDY2Ljk5IDIwNS4zOSA0NjMuNTYgMjA2&#10;LjE2IDQ2MC43MiAyMDYuNjcgNDU4LjA0IDIwNy4wMSA0NTUgMjA3LjM5IDQ1MS45NiAyMDcuNTEg&#10;NDQ4LjM0IDIwNy41OCA0NDUuNTEgMjA3LjYzIDQ0Mi42MSAyMDcuNTUgNDQwLjA0IDIwNy40OSA0&#10;MzYuODggMjA3LjQgNDMzLjcxIDIwNy4yOSA0MzAuNTUgMjA3LjE4IDQyOS4xNSAyMDcuMTMgNDI3&#10;Ljc0IDIwNy4wNyA0MjYuMzQgMjA3LjAyIDQyMC42NyAyMDYuNzkgNDE0LjkgMjA2LjUgNDA5LjMz&#10;IDIwNi4yMyA0MDQuMjQgMjA1Ljk4IDM5OC45OCAyMDUuNzIgMzkzLjggMjA1LjVMMzg4LjA1IDIw&#10;NS4yNkMzODMuNTYgMjA1LjA4IDM3OS4wNyAyMDQuODkgMzc0LjU4IDIwNC42OSAzNzEuMzMgMjA0&#10;LjU0IDM2OC4wOCAyMDQuNCAzNjQuODQgMjA0LjI3IDM2MS44NyAyMDQuMTUgMzU4LjkxIDIwNC4w&#10;MyAzNTUuOTQgMjAzLjkzIDM1MC4yNyAyMDMuNzMgMzQ0LjUgMjAzLjU4IDMzOC45MyAyMDMuNDNM&#10;MzM3LjI5IDIwMy4zOUMzMzEuMzggMjAzLjIzIDMyNS4wNyAyMDMuMDcgMzE4LjczIDIwMi45NiAz&#10;MDYuNjQgMjAyLjc0IDI5NC4zMyAyMDIuNzggMjgyLjQzIDIwMi44MkwyNzkuOTMgMjAyLjgyQzI3&#10;Mi44OCAyMDIuODUgMjYzLjU2IDIwMi44NiAyNTQuMDQgMjAyLjcgMjQ1LjU5IDIwMi41NiAyMzYu&#10;ODUgMjAyLjQyIDIyOC4xIDIwMi41NyAyMjEuMzkgMjAyLjcxIDIxNC41NyAyMDIuOSAyMDcuOTcg&#10;MjAzLjA5IDIwMy4yMyAyMDMuMjIgMTk4LjQ5IDIwMy4zNiAxOTMuNzQgMjAzLjQ3IDE4Ny4wMiAy&#10;MDMuNjMgMTgwLjMgMjAzLjczIDE3NC42MiAyMDMuOCAxNzIuMDcgMjAzLjgzIDE2OS41MSAyMDMu&#10;ODcgMTY2Ljk2IDIwMy45IDE2Mi45NiAyMDMuOTYgMTU4Ljk2IDIwNC4wMSAxNTQuOTcgMjA0LjA2&#10;IDE0Mi45IDIwNC4xOSAxMzAuOTYgMjA0LjIzIDExOS40OCAyMDQuMTYgMTE2LjM4IDIwNC4xNCAx&#10;MTMuMjggMjA0LjEyIDExMC4xNyAyMDQuMSAxMDIuNjcgMjA0LjA0IDk0LjkxIDIwMy45OSA4Ny4y&#10;NyAyMDQuMDIgODMuODUgMjA0LjAzIDgwLjQzIDIwNC4wNyA3Ny4wMiAyMDQuMSA3My4wMiAyMDQu&#10;MTQgNjguODggMjA0LjE4IDY0LjgxIDIwNC4xOUw2MS45NSAyMDQuMTlDNTguMiAyMDQuMTkgNTQu&#10;MzMgMjA0LjE5IDUwLjUyIDIwNC4yNSA0Ni40NiAyMDQuMzUgNDIuMzggMjA0LjY2IDM4LjQyIDIw&#10;NC45NkwzNi40NyAyMDUuMTFDMzUuODcgMjA1LjE1IDM1LjI4IDIwNS4yIDM0LjY4IDIwNS4yNSAz&#10;Mi44NCAyMDUuNCAzMC45MyAyMDUuNTUgMjkuMDUgMjA1LjU5TDI4LjU5IDIwNS41OUMyOC4xIDIw&#10;NS42MiAyNy42IDIwNS42NCAyNy4xMSAyMDUuNjEgMjYuODkgMjA1LjYxIDI2LjY2IDIwNS41OCAy&#10;Ni40NCAyMDUuNTYgMjUuODEgMjA1LjQ4IDI1LjE5IDIwNS4zNiAyNC41OSAyMDUuMjIgMjQuMDkg&#10;MjA1LjEgMjMuNTcgMjA0Ljg3IDIzLjExIDIwNC42N0wyMi44NCAyMDQuNTVDMjIuMTggMjA0LjI3&#10;IDIxLjY0IDIwMy44OCAyMS4xMSAyMDMuNDlMMjAuODYgMjAzLjMxQzIwLjEzIDIwMi43OSAxOS42&#10;MSAyMDIuMDggMTkuMTYgMjAxLjQ1IDE4LjUzIDIwMC41OCAxOC4xNiAxOTkuNiAxNy44IDE5OC42&#10;NEwxNy42NiAxOTguMjdDMTcuMzcgMTk3LjUgMTcuMTIgMTk2LjcyIDE2LjkyIDE5Ni4wNSAxNi4z&#10;IDE5NCAxNS43OSAxOTEuOTQgMTUuMzggMTkwLjIgMTQuNzIgMTg3LjQxIDE0LjIgMTg0LjYzIDEz&#10;LjY5IDE4MS43OCAxMy4wOSAxNzguNDggMTIuNTggMTc1LjA1IDEyLjE3IDE3MS41NyAxMS43IDE2&#10;Ny41OSAxMS4yNSAxNjMuNjEgMTAuODIgMTU5LjYzIDEwLjM1IDE1NS4yOCAxMC4wMyAxNTAuNTcg&#10;OS44NSAxNDUuMjUgOS41IDEzNC44MyA5LjM1IDEyNi4zNyA5LjM4IDExOC42MyA5LjQgMTEzLjkg&#10;OS41NSAxMDkuMSA5LjY5IDEwNC40NiA5Ljc2IDEwMi4xNiA5LjgzIDk5Ljg3IDkuODkgOTcuNTdM&#10;OS45MSA5Ni42MkMxMC4xIDg4LjcyIDEwLjMgODAuNTUgMTAuMDQgNzIuNTIgOS40OSA1Ny40NiA4&#10;LjIzIDQyLjc0IDcuMiAzMS42TDYuOTIgMjguNDdDNi42MSAyNS4wNyA2LjMgMjEuNTYgNS45MSAx&#10;OC4xMiA1Ljc1IDE2LjcxIDUuNTYgMTUuMTggNS4zIDEzLjQ2IDUuMTggMTIuNjMgNS4wNSAxMS44&#10;IDQuOTEgMTAuOTdMNC44NCAxMC41NUM0Ljc2IDEwLjA5IDQuNjkgOS42MyA0LjYyIDkuMTcgNC41&#10;OSA4Ljk5IDQuNTggOC44IDQuNTcgOC42MiA0LjI4IDguNTcgMy45NyA4LjUyIDMuNjggOC40NSAy&#10;Ljk3IDguMjkgMi4zNSA3LjkxIDIuMDYgNy40NiAxLjgzIDcuMSAxLjgyIDYuNzEgMi4wMyA2LjM0&#10;IDIuNzUgNS4wNyA0Ljk5IDUuMDggNi42MyA1LjA5TDYuOTcgNS4wOUM3LjAzIDUuMDkgNy4wOCA1&#10;LjA5IDcuMTQgNS4wOSA3LjMxIDUuMDIgNy40NyA0Ljk2IDcuNjEgNC45MSA4LjM2IDQuNjggOS4x&#10;NiA0LjU2IDkuNzUgNC41OSA5Ljg4IDQuNTkgMTAgNC42MSAxMC4xMiA0LjYzTDEwLjQxIDQuNjhD&#10;MTEuMTcgNC44IDExLjYzIDQuODggMTIuMjkgNS4xOUwxMi45MyA1LjIxQzEzLjU3IDUuMjMgMTQu&#10;MjEgNS4yNSAxNC44NSA1LjI2IDIwLjY3IDUuNCAyNi41OSA1LjQxIDMyLjMxIDUuNDMgMzQuNTQg&#10;NS40MyAzNi43NiA1LjQzIDM4Ljk4IDUuNDMgNDMuMDggNS40MyA0Ny4zMiA1LjQzIDUxLjQ5IDUu&#10;NDhMNTIuMDMgNS40OEM1Ny45OSA1LjU0IDY0LjE0IDUuNiA3MC4yIDUuNTcgNzYuMzUgNS41NCA4&#10;Mi40OSA1LjQ5IDg4LjY0IDUuNDUgOTQuNzkgNS40IDEwMC45MyA1LjM2IDEwNy4wOCA1LjMzIDEx&#10;MS4yMSA1LjMxIDExNS4zNCA1LjI2IDExOS40NiA1LjIxIDEyMS40NCA1LjE5IDEyMy40MSA1LjE2&#10;IDEyNS4zOSA1LjE0IDEzMC4wNCA1LjA5IDEzNC42OSA1LjA3IDEzOS4zNCA1LjA2TDE0NC4xOSA1&#10;LjA0QzE1Mi44NCA1IDE2MS42MyA0LjkyIDE3MC4xMyA0Ljg1TDE4MC4xNCA0Ljc2QzE4My44NiA0&#10;LjczIDE4Ny41OCA0LjY4IDE5MS4zIDQuNjMgMTk0LjEzIDQuNTkgMTk2Ljk1IDQuNTUgMTk5Ljc4&#10;IDQuNTIgMjA0LjEyIDQuNDcgMjA4LjQ1IDQuNDUgMjEyLjc5IDQuNDQgMjE0Ljg2IDQuNDQgMjE2&#10;LjkzIDQuNDIgMjE5LjAxIDQuNDEgMjIxLjAyIDQuNCAyMjMuMDMgNC4zOCAyMjUuMDQgNC4zNiAy&#10;MjguNDYgNC4zMyAyMzEuODggNC4zIDIzNS4zIDQuMyAyMzcuNjYgNC4zIDI0MC4wMSA0LjMgMjQy&#10;LjM3IDQuMyAyNDUuNTIgNC4zIDI0OC42NiA0LjMxIDI1MS44MSA0LjMgMjU1LjM5IDQuMjggMjU5&#10;LjM0IDQuMjQgMjY0LjIyIDQuMTcgMjY0LjQ1IDQuMTUgMjY0LjY3IDQuMTUgMjY0Ljg5IDQuMTZM&#10;MjY5Ljk3IDQuMDhDMjc1LjEzIDQgMjgwLjQ3IDMuOTEgMjg1LjcyIDMuODcgMjkxLjU3IDMuODIg&#10;Mjk3LjQxIDMuNzUgMzAzLjI2IDMuNjhMMzAzLjM3IDMuNjhDMzA1LjE3IDMuNjYgMzA2Ljk4IDMu&#10;NjQgMzA4Ljc4IDMuNjIgMzEyLjU1IDMuNTggMzE2LjMyIDMuNTQgMzIwLjA5IDMuNDdMMzE5Ljc0&#10;IDMuNDkgMzIwLjc4IDMuNDZDMzI2LjU1IDMuMzUgMzMyLjUyIDMuMjMgMzM4LjQgMy4xOSAzNDIu&#10;MTIgMy4xNiAzNDUuODUgMy4xNiAzNDkuNTcgMy4xNSAzNTEuOCAzLjE1IDM1NC4wMiAzLjE1IDM1&#10;Ni4yNSAzLjE0IDM2MS40NSAzLjEyIDM2Ni43MyAzLjE1IDM3MS44NCAzLjE5TDM3NS43NSAzLjIx&#10;QzM4MS40MyAzLjI0IDM4Ny4zNCAzLjM2IDM5My44NCAzLjU4IDM5NS45MSAzLjY1IDM5Ny45OCAz&#10;LjczIDQwMC4wNSAzLjgxTDQwNC40NSAzLjk5IDQwNS4yNyA0LjAyQzQwNi45MiA0LjA5IDQwOC41&#10;NSA0LjE2IDQxMC4xOCA0LjIzIDQxNC4wMyA0LjM5IDQxNi45NyA0LjQ5IDQxOS43NCA0LjU3IDQy&#10;NC4yOSA0LjcgNDI4Ljg1IDQuNzUgNDMzLjI5IDQuNzMgNDM0LjY2IDQuNzMgNDM2LjA0IDQuNzMg&#10;NDM3LjQxIDQuNzIgNDQwLjAzIDQuNzIgNDQyLjc0IDQuNzIgNDQ1LjQxIDQuNjcgNDQ1LjQ3IDQu&#10;NjcgNDQ1LjU0IDQuNjcgNDQ1LjYgNC42N0w0NDUuNyA0LjY3QzQ0NS43IDQuNjcgNDQ1LjcgNC42&#10;NyA0NDUuNyA0LjY3IDQ0Ni4yNiA0LjY2IDQ0Ni44MSA0LjY1IDQ0Ny4zNyA0LjY0TDQ0Ny41MSA0&#10;LjY0QzQ0Ny41MSA0LjY0IDQ0Ny42MyA0LjY0IDQ0Ny42MyA0LjY0TDQ0OC4zNSA0LjY0QzQ0OC4z&#10;NSA0LjY0IDQ0OC4xNSA0LjY0IDQ0OC4xNSA0LjY0IDQ0OS4zOCA0LjYgNDUwLjYyIDQuNTcgNDUx&#10;Ljg1IDQuNTQgNDUzLjg0IDQuNDkgNDU1LjgyIDQuNDQgNDU3LjgxIDQuNDFMNDU4Ljc3IDQuNDFD&#10;NDU5LjgyIDQuMzggNDYwLjkgNC4zNiA0NjEuOTYgNC40MVoiIGZpbGw9IiNFM0U4N0IiLz48cGF0&#10;aCBkPSJNNDI5LjggMS4zNkM0MjkuOSAxLjM2IDQzMC4wMSAxLjM2IDQzMC4xMSAxLjM2IDQzMC4w&#10;MSAxLjM2IDQyOS45IDEuMzYgNDI5LjggMS4zNlpNMzkwLjk5IDAuNDRDMzkwLjkzIDAuNDQgMzkw&#10;Ljg2IDAuNDQgMzkwLjggMC40NCAzOTAuOTQgMC40NCAzOTEuMDggMC40NCAzOTEuMjEgMC40NCAz&#10;OTEuMTQgMC40NCAzOTEuMDYgMC40NCAzOTAuOTkgMC40NFpNMzg5Ljg3IDAuNDIgMzg5Ljg3IDAu&#10;NDJDMzkwIDAuNDIgMzkwLjEyIDAuNDIgMzkwLjI1IDAuNDIgMzkwLjEzIDAuNDIgMzkwIDAuNDIg&#10;Mzg5Ljg4IDAuNDJaTTI2LjkgNC40NEMyNi44NCA0LjQ0IDI2Ljc3IDQuNDQgMjYuNzEgNC40NCAy&#10;Ni43NyA0LjQ0IDI2Ljg0IDQuNDQgMjYuOSA0LjQ0Wk00NjYuOTcgMS44MkM0NjguMzEgMi4wMiA0&#10;NjkuMzcgMi43NiA0NjkuNTEgMy43OCA0NjkuNTkgNC4zNSA0NjkuMzYgNC45MyA0NjguODcgNS4z&#10;OCA0NjguMzQgNS44NyA0NjcuNjMgNi4xIDQ2Ni44MSA2LjIxIDQ2NS4zOCA2LjM5IDQ2My45MiA2&#10;LjM0IDQ2Mi40OCA2LjMzIDQ2MC40MyA2LjMxIDQ1OC4zOSA2LjI3IDQ1Ni4zNCA2LjIyIDQ1Mi4w&#10;OSA2LjEzIDQ0Ny44NCA2LjAxIDQ0My41OCA1LjkyIDQzNC4xMyA1LjczIDQyNC42OCA1LjQ1IDQx&#10;NS4yMyA1LjI1IDQxMy4zNyA1LjIxIDQxMS41MiA1LjE3IDQwOS42NiA1LjE0IDQwOS45MSA1LjE0&#10;IDQxMC4xNiA1LjE0IDQxMC40MSA1LjE1IDQwMS41NCA0Ljk4IDM5Mi42NyA0Ljc2IDM4My43OSA0&#10;LjU4IDM4My45NyA0LjU4IDM4NC4xNiA0LjU4IDM4NC4zNCA0LjU5IDM3OS4yNiA0LjUgMzc0LjE4&#10;IDQuNDIgMzY5LjEgNC4zOCAzNjQuMDggNC4zMyAzNTkuMDYgNC4zNCAzNTQuMDQgNC4zNCAzNDQu&#10;MDEgNC4zNCAzMzMuOTggNC4zIDMyMy45NSA0LjMgMzE0LjE2IDQuMyAzMDQuMzcgNC4zIDI5NC41&#10;NyA0LjM3IDI4NC43NCA0LjQzIDI3NC45MSA0LjQ3IDI2NS4wOSA0LjU4IDI0NS4yMyA0Ljc5IDIy&#10;NS4zOCA0Ljk5IDIwNS41MSA0Ljk5IDE5NS43NSA0Ljk5IDE4NS45OSA1IDE3Ni4yMyA1LjAxIDE2&#10;NS44NSA1LjAyIDE1NS40NyA0Ljk5IDE0NS4xIDQuOTYgMTM1LjEzIDQuOTMgMTI1LjE3IDQuODkg&#10;MTE1LjIgNC44NyAxMDUuMyA0Ljg1IDk1LjM5IDQuODggODUuNDkgNC44NyA3NS4zNSA0Ljg1IDY1&#10;LjIxIDQuODMgNTUuMDcgNC43NiA0NS41MyA0LjY5IDM2IDQuNjQgMjYuNDYgNC40NCAyNS45IDQu&#10;NDMgMjUuMzQgNC40MiAyNC43OCA0LjQxIDI0Ljk5IDQuNDEgMjUuMjEgNC40MSAyNS40MiA0LjQy&#10;IDIwLjk0IDQuMzMgMTYuNDYgNC4yNSAxMS45OCA0LjExIDkuNzMgNC4wNCA3LjQ3IDMuOTYgNS4y&#10;MiAzLjgyIDQuMjQgMy43NiAzLjI0IDMuNjkgMi4yNyAzLjU0IDEuNTQgMy40MyAwLjcyIDMuMjkg&#10;MC4yNSAyLjgyLTAuMDkgMi40OC0wLjExIDEuOTUgMC4yOCAxLjYyIDAuODEgMS4xOCAxLjU5IDEu&#10;MDcgMi4zNiAwLjk5IDMuNDggMC44OCA0LjYzIDAuODcgNS43NiAwLjg1IDcuOTYgMC44IDEwLjE1&#10;IDAuNzggMTIuMzYgMC43NyAxNy4wNyAwLjc0IDIxLjc4IDAuNzggMjYuNDkgMC44MSAzNi4xMSAw&#10;Ljg3IDQ1LjczIDAuNzcgNTUuMzUgMC43MyA2NS4zNSAwLjY5IDc1LjM0IDAuNjcgODUuMzQgMC42&#10;OCA5NS4yMyAwLjY4IDEwNS4xMSAwLjYzIDExNS4wMSAwLjYyIDEzNS4zNyAwLjYgMTU1LjczIDAu&#10;NzUgMTc2LjEgMC43NCAxOTUuOTEgMC43NCAyMTUuNzIgMC42NiAyMzUuNTMgMC41OCAyNTUuMjEg&#10;MC41MSAyNzQuODkgMC4yIDI5NC41NiAwLjA4IDMxNC40NC0wLjA0IDMzNC4zMSAwLjA0IDM1NC4x&#10;OCAwLjA4IDM2NS45NCAwLjExIDM3Ny42OSAwLjE5IDM4OS40NCAwLjQyIDM4OS41OCAwLjQyIDM4&#10;OS43MiAwLjQyIDM4OS44NiAwLjQyIDM4OS44NiAwLjQyIDM4OS44NSAwLjQyIDM4OS44NCAwLjQy&#10;IDM4OS44NCAwLjQyIDM4OS44NiAwLjQyIDM4OS44NiAwLjQyIDM4OS45NyAwLjQyIDM5MC4wOCAw&#10;LjQyIDM5MC4xOSAwLjQyIDM5MC4zMyAwLjQyIDM5MC40NiAwLjQyIDM5MC41OSAwLjQyIDM5MC40&#10;NyAwLjQyIDM5MC4zNSAwLjQyIDM5MC4yMyAwLjQyIDM5MC40MiAwLjQyIDM5MC42IDAuNDIgMzkw&#10;Ljc5IDAuNDMgMzkwLjc1IDAuNDMgMzkwLjcxIDAuNDMgMzkwLjY3IDAuNDMgMzkwLjc3IDAuNDMg&#10;MzkwLjg4IDAuNDMgMzkwLjk4IDAuNDMgMzkxLjEzIDAuNDMgMzkxLjI3IDAuNDMgMzkxLjQyIDAu&#10;NDQgMzkxLjM1IDAuNDQgMzkxLjI4IDAuNDQgMzkxLjIgMC40NCA0MDQuMjQgMC43IDQxNy4yOCAx&#10;LjExIDQzMC4zMiAxLjM3TDQzMC4wOSAxLjM3QzQzMC43NiAxLjM3IDQzMS40MiAxLjM5IDQzMi4w&#10;OSAxLjQgNDMxLjg0IDEuNCA0MzEuNTkgMS40IDQzMS4zNCAxLjM5IDQzNy44NCAxLjUxIDQ0NC4z&#10;NSAxLjY2IDQ1MC44NiAxLjY1IDQ1My43NyAxLjY1IDQ1Ni42NyAxLjYxIDQ1OS41OCAxLjYgNDYw&#10;Ljc0IDEuNiA0NjEuOSAxLjYgNDYzLjA2IDEuNjEgNDYzLjc3IDEuNjEgNDY0LjQ4IDEuNjEgNDY1&#10;LjE5IDEuNjQgNDY1Ljc4IDEuNjYgNDY2LjM2IDEuNzEgNDY2Ljk0IDEuNzlaIiBmaWxsPSIjMDEw&#10;MTAxIi8+PHBhdGggZD0iTTQ2OC4xIDMuMjhDNDY4LjUzIDMuMzkgNDY4LjkyIDMuNTUgNDY5LjMg&#10;My43MiA0NzAuMzEgNC4xNyA0NzEuMjggNC42NiA0NzIuMjMgNS4xNiA0NzMuODggNi4wMyA0NzUu&#10;NDggNi45NSA0NzcuMDcgNy44OCA0ODAuMjcgOS43NCA0ODMuNDEgMTEuNjggNDg2LjU2IDEzLjYg&#10;NDg5LjcyIDE1LjUzIDQ5Mi44NyAxNy40NiA0OTYuMDUgMTkuMzYgNDk5LjI4IDIxLjI4IDUwMi41&#10;MiAyMy4xOSA1MDUuNzggMjUuMDkgNTEyLjI0IDI4Ljg1IDUxOC43MyAzMi41OSA1MjUuMjcgMzYu&#10;MjggNTMxLjk1IDQwLjA1IDUzOC41NiA0My45IDU0NS4xMSA0Ny44IDU1MS42MiA1MS42OCA1NTgu&#10;MDMgNTUuNjYgNTY0LjUgNTkuNTYgNTcxIDYzLjQ4IDU3Ny41NyA2Ny4zMyA1ODQuMDcgNzEuMjQg&#10;NTkwLjQ1IDc1LjA3IDU5Ni43OCA3OC45NCA2MDMuMTUgODIuNzggNjA1LjcyIDg0LjMzIDYwOC4y&#10;NyA4NS44OCA2MTAuODYgODcuNCA2MTIuMDYgODguMTEgNjEzLjI3IDg4LjggNjE0LjQ0IDg5LjUy&#10;IDYxNS4wNSA4OS44OSA2MTUuNjQgOTAuMjggNjE2LjI1IDkwLjY2IDYxNi41NSA5MC44NSA2MTYu&#10;ODQgOTEuMDQgNjE3LjE0IDkxLjIzIDYxNy42NyA5MS41NiA2MTguMTQgOTEuOTUgNjE4LjU4IDky&#10;LjM1IDYxOS40MiA5My4xMiA2MTkuMjkgOTQuMzQgNjE4LjUgOTUuMDggNjE3LjcyIDk1LjgzIDYx&#10;Ni4xNiA5Ni4yIDYxNC45OCA5NS43NSA2MTQuMzMgOTUuNDkgNjEzLjcyIDk1LjIxIDYxMy4xNCA5&#10;NC44NyA2MTIuNzUgOTQuNjQgNjEyLjM1IDk0LjQxIDYxMS45NiA5NC4xOSA2MTEuMjEgOTMuNzYg&#10;NjEwLjQ4IDkzLjMzIDYwOS43NSA5Mi44OSA2MDguMjQgOTEuOTcgNjA2Ljc2IDkxLjAzIDYwNS4y&#10;NSA5MC4xMSA2MDIuMTQgODguMjIgNTk5IDg2LjM1IDU5NS44OCA4NC40NyA1ODkuNDIgODAuNTcg&#10;NTgyLjkzIDc2LjcxIDU3Ni40MiA3Mi44NiA1NjkuODkgNjguOTkgNTYzLjMyIDY1LjE3IDU1Ni44&#10;NCA2MS4yNiA1NTAuMzQgNTcuMzMgNTQzLjkyIDUzLjMzIDUzNy40IDQ5LjQyIDUzMS4wMiA0NS41&#10;OCA1MjQuNTggNDEuOCA1MTguMSAzOC4wNiA1MTEuNTcgMzQuMyA1MDUuMDEgMzAuNTYgNDk4LjUy&#10;IDI2Ljc2IDQ5Mi4wNiAyMi45NyA0ODUuNjkgMTkuMDggNDc5LjQxIDE1LjEyIDQ3Ni43NSAxMy40&#10;NCA0NzQuMTEgMTEuNzUgNDcxLjQ3IDEwLjA1IDQ3MC4yNSA5LjI2IDQ2OS4wMyA4LjQ5IDQ2Ny44&#10;NCA3LjY4IDQ2Ny4xIDcuMTggNDY2LjM1IDYuNjggNDY1LjcyIDYuMSA0NjUuMzMgNS43NSA0NjUu&#10;MDMgNS4zMyA0NjQuOTUgNC44NyA0NjQuOTIgNC43MSA0NjQuOTMgNC41NSA0NjQuOTUgNC40IDQ2&#10;NS4wNCAzLjg1IDQ2NS41NSAzLjQ3IDQ2Ni4xOCAzLjIzIDQ2Ni40NiAzLjEzIDQ2Ni43NiAzLjEg&#10;NDY3LjA2IDMuMTEgNDY3LjQxIDMuMTIgNDY3Ljc2IDMuMiA0NjguMDggMy4yOFoiIGZpbGw9IiMw&#10;MTAxMDEiLz48cGF0aCBkPSJNMTcxLjkgMTg4LjQ5QzE3MiAxODguNDkgMTcyLjA5IDE4OC40OSAx&#10;NzIuMTkgMTg4LjQ5IDE3Mi4wOSAxODguNDkgMTcyIDE4OC40OSAxNzEuOSAxODguNDlaTTE3MC4y&#10;MiAxODguNDZDMTcwLjA3IDE4OC40NiAxNjkuOTIgMTg4LjQ2IDE2OS43OCAxODguNDYgMTY5Ljgg&#10;MTg4LjQ2IDE2OS44MyAxODguNDYgMTY5Ljg1IDE4OC40NiAxNjkuOTggMTg4LjQ2IDE3MC4xMiAx&#10;ODguNDYgMTcwLjI1IDE4OC40NiAxNzAuMjUgMTg4LjQ2IDE3MC4yMyAxODguNDYgMTcwLjIyIDE4&#10;OC40NlpNMTcxLjMzIDE4OC40OEMxNzEuMjQgMTg4LjQ4IDE3MS4xNSAxODguNDggMTcxLjA1IDE4&#10;OC40OCAxNzEuMTQgMTg4LjQ4IDE3MS4yMyAxODguNDggMTcxLjMzIDE4OC40OFpNNjE5LjE2IDk1&#10;LjkyQzYxOS4xNiA5NS45MiA2MTkuMTYgOTUuOTUgNjE5LjE2IDk1Ljk2IDYxOS4xNiA5NS45NSA2&#10;MTkuMTYgOTUuOTQgNjE5LjE2IDk1LjkzIDYxOS4xNiA5NS45MyA2MTkuMTYgOTUuOTMgNjE5LjE2&#10;IDk1LjkyWk02MTcuMzcgOTQuMDhDNjE3Ljg3IDk0LjIzIDYxOC4zMiA5NC40OSA2MTguNjMgOTQu&#10;OCA2MTguODggOTUuMDUgNjE5LjAyIDk1LjMgNjE5LjEgOTUuNTcgNjE5LjQzIDk2LjE5IDYxOS4z&#10;MSA5NyA2MTguOTYgOTcuNTkgNjE4LjYyIDk4LjE2IDYxOC4wMiA5OC41NiA2MTcuMzcgOTguOTUg&#10;NjE3LjAyIDk5LjE2IDYxNi42NyA5OS4zNyA2MTYuMzEgOTkuNTggNjE1LjU3IDEwMC4wMiA2MTQu&#10;ODIgMTAwLjQ1IDYxNC4wNyAxMDAuODkgNjEyLjE0IDEwMi4wMiA2MTAuMjkgMTAzLjIxIDYwOC40&#10;MyAxMDQuMzggNjA1LjUxIDEwNi4yMiA2MDIuNTQgMTA4LjAxIDU5OS41MiAxMDkuNzYgNTk1LjM2&#10;IDExMi4xOCA1OTEuMTggMTE0LjU4IDU4Ny4wNSAxMTcuMDMgNTc4LjU0IDEyMi4wNyA1NzAuMzgg&#10;MTI3LjQyIDU2Mi4zOSAxMzIuODkgNTU3Ljk1IDEzNS45NCA1NTMuNTIgMTM4Ljk5IDU0OC45NyAx&#10;NDEuOTUgNTQ0LjQgMTQ0LjkyIDUzOS43NiAxNDcuODUgNTM1LjA4IDE1MC43MyA1MzAuNTkgMTUz&#10;LjUgNTI2LjA4IDE1Ni4yNCA1MjEuNTQgMTU4Ljk3IDUxNy45IDE2MS4xNyA1MTQuMjcgMTYzLjM4&#10;IDUxMC42MiAxNjUuNTcgNTAzLjA0IDE3MC4xIDQ5NS41MSAxNzQuNjkgNDg3LjgxIDE3OS4xMSA0&#10;ODMuNyAxODEuNDggNDc5LjU4IDE4My44NCA0NzUuMjYgMTg2IDQ3Mi45OSAxODcuMTQgNDcwLjYg&#10;MTg4LjE3IDQ2OC4xNyAxODkuMTMgNDY2LjgyIDE4OS42NiA0NjUuNDEgMTkwLjE1IDQ2My45OCAx&#10;OTAuNTYgNDYxLjc5IDE5MS4xNyA0NTkuNDggMTkxLjQzIDQ1Ny4xNiAxOTEuNTYgNDU0LjUzIDE5&#10;MS43MSA0NTEuOSAxOTEuNzcgNDQ5LjI2IDE5MS44NSA0NDQuNTcgMTkyIDQzOS44OCAxOTIuMDQg&#10;NDM1LjE5IDE5Mi4xMiA0MjkuNjggMTkyLjIgNDI0LjE4IDE5Mi4zNCA0MTguNjcgMTkyLjUgNDA2&#10;LjgyIDE5Mi44NCAzOTQuOTggMTkzLjIxIDM4My4xMSAxOTMuMzMgMzcwLjg4IDE5My40NiAzNTgu&#10;NjQgMTkzLjU3IDM0Ni40IDE5My40NSAzMzQuMTMgMTkzLjMzIDMyMS44NyAxOTMuMDcgMzA5LjYx&#10;IDE5Mi43NyAyOTcuMjcgMTkyLjQ2IDI4NC45MyAxOTIuMTggMjcyLjYgMTkxLjc5IDI2MC41NyAx&#10;OTEuNDEgMjQ4LjU1IDE5MC45MyAyMzYuNTMgMTkwLjQ1IDIyNS43NiAxOTAuMDIgMjE0Ljk3IDE4&#10;OS43MiAyMDQuMTkgMTg5LjM4IDE5My41MiAxODkuMDQgMTgyLjg2IDE4OC43MyAxNzIuMTkgMTg4&#10;LjUxIDE3Mi4zMyAxODguNTEgMTcyLjQ3IDE4OC41MSAxNzIuNiAxODguNTEgMTcyLjI1IDE4OC41&#10;MSAxNzEuOSAxODguNSAxNzEuNTUgMTg4LjQ5IDE3MS4yOSAxODguNDkgMTcxLjAzIDE4OC40OSAx&#10;NzAuNzcgMTg4LjQ4IDE3MC44NCAxODguNDggMTcwLjkyIDE4OC40OCAxNzAuOTkgMTg4LjQ4IDE3&#10;MC45IDE4OC40OCAxNzAuOCAxODguNDggMTcwLjcxIDE4OC40OCAxNzAuNDggMTg4LjQ4IDE3MC4y&#10;NSAxODguNDggMTcwLjAzIDE4OC40NyAxNzAuMSAxODguNDcgMTcwLjE2IDE4OC40NyAxNzAuMjMg&#10;MTg4LjQ3IDE3MC4yNSAxODguNDcgMTcwLjI2IDE4OC40NyAxNzAuMjggMTg4LjQ3IDE3MC4yOCAx&#10;ODguNDcgMTcwLjI3IDE4OC40NyAxNzAuMjYgMTg4LjQ3IDE3MC4yOCAxODguNDcgMTcwLjI5IDE4&#10;OC40NyAxNzAuMzEgMTg4LjQ3IDE3MC4zOCAxODguNDcgMTcwLjQ0IDE4OC40NyAxNzAuNTEgMTg4&#10;LjQ3IDE3MC4yOSAxODguNDcgMTcwLjA4IDE4OC40NyAxNjkuODYgMTg4LjQ2TDE2OS41NCAxODgu&#10;NDZDMTY5LjYyIDE4OC40NiAxNjkuNzEgMTg4LjQ2IDE2OS43OSAxODguNDYgMTU3Ljg2IDE4OC4y&#10;MyAxNDUuOTIgMTg4LjA5IDEzMy45OCAxODguMDMgMTIxLjc3IDE4Ny45NyAxMDkuNTYgMTg4LjA4&#10;IDk3LjM1IDE4OC40NiA4NS4xMSAxODguODUgNzIuODkgMTg5LjU0IDYwLjY1IDE4OS44MSA1NC43&#10;MiAxODkuOTQgNDguNzggMTkwIDQyLjg1IDE5MC4xMyAzNy4xNSAxOTAuMjUgMzEuNDMgMTkwLjMy&#10;IDI1LjczIDE5MC41MSAyMi42MiAxOTAuNjEgMTkuNTEgMTkwLjc4IDE2LjM5IDE5MC45MSAxNS4z&#10;IDE5MC45NiAxNC4yIDE5MC45OSAxMy4xMSAxOTAuOTQgMTEuOTggMTkwLjg4IDEwLjc1IDE5MC4z&#10;MiAxMC45MSAxODkuMzggMTEuMDQgMTg4LjY3IDExLjg4IDE4OC4yNCAxMi42OCAxODcuOTQgMTMu&#10;NDkgMTg3LjY1IDE0LjM0IDE4Ny40NCAxNS4yMSAxODcuMjggMTcuOTEgMTg2Ljc2IDIwLjY5IDE4&#10;Ni40NSAyMy40NiAxODYuMjEgMjkuMTYgMTg1LjcxIDM0Ljg4IDE4NS41MSA0MC42MSAxODUuMzQg&#10;NTIuNDYgMTg1IDY0LjMgMTg0LjYgNzYuMTIgMTgzLjkxIDg4LjYxIDE4My4xOCAxMDEuMDkgMTgy&#10;LjUgMTEzLjYyIDE4Mi4zNCAxMjUuNzYgMTgyLjE4IDEzNy45IDE4Mi4zNCAxNTAuMDQgMTgyLjU1&#10;IDE1Ni4yNSAxODIuNjYgMTYyLjQ1IDE4Mi44IDE2OC42NiAxODIuOTUgMTc0LjY4IDE4My4wOSAx&#10;ODAuNyAxODMuMjEgMTg2LjcyIDE4My4zNyAxOTIuOTMgMTgzLjUzIDE5OS4xNSAxODMuNzQgMjA1&#10;LjM2IDE4My45NCAyMTEuMzcgMTg0LjEzIDIxNy4zOCAxODQuMjkgMjIzLjM5IDE4NC40NyAyMzUu&#10;NTQgMTg0LjgzIDI0Ny42OCAxODUuMzMgMjU5LjgyIDE4NS43NCAyNzIuMSAxODYuMTYgMjg0LjM4&#10;IDE4Ni40NyAyOTYuNjcgMTg2Ljc1IDMwNy4wOSAxODYuOTggMzE3LjUxIDE4Ny4yMiAzMjcuOTIg&#10;MTg3LjQzIDMyNy41OCAxODcuNDMgMzI3LjI1IDE4Ny40MiAzMjYuOTEgMTg3LjQxIDMyOCAxODcu&#10;NDMgMzI5LjEgMTg3LjQ1IDMzMC4xOSAxODcuNDcgMzI5Ljg1IDE4Ny40NyAzMjkuNTEgMTg3LjQ2&#10;IDMyOS4xNyAxODcuNDUgMzM1LjE5IDE4Ny41NyAzNDEuMjIgMTg3LjY3IDM0Ny4yNCAxODcuNjkg&#10;MzUzLjM3IDE4Ny43MSAzNTkuNDkgMTg3LjY3IDM2NS42MSAxODcuNjIgMzc3LjU2IDE4Ny41MyAz&#10;ODkuNTEgMTg3LjQ5IDQwMS40NSAxODcuMjYgNDA3LjUxIDE4Ny4xNCA0MTMuNTcgMTg2Ljk1IDQx&#10;OS42MiAxODYuODQgNDI1LjE0IDE4Ni43NCA0MzAuNjYgMTg2LjcgNDM2LjE4IDE4Ni41NyA0Mzgu&#10;NzggMTg2LjUgNDQxLjM3IDE4Ni40MiA0NDMuOTcgMTg2LjM1IDQ0NS43OSAxODYuMyA0NDcuNjEg&#10;MTg2LjI2IDQ0OS40MyAxODYuMTggNDUxLjk0IDE4Ni4wNyA0NTQuNDUgMTg1Ljg4IDQ1Ni45NCAx&#10;ODUuNjQgNDU4LjI3IDE4NS41MSA0NTkuNjMgMTg1LjQxIDQ2MC45NSAxODUuMjIgNDYxLjc0IDE4&#10;NS4wNyA0NjIuNTIgMTg0Ljg4IDQ2My4yOSAxODQuNjcgNDY0LjQ1IDE4NC4zNiA0NjUuNTQgMTgz&#10;Ljk1IDQ2Ni42MyAxODMuNTIgNDcxLjAzIDE4MS43MyA0NzUuMDggMTc5LjU3IDQ3OS4wNiAxNzcu&#10;MzIgNDgzLjAzIDE3NS4wOCA0ODYuOTUgMTcyLjc5IDQ5MC44MyAxNzAuNDYgNDk4LjIgMTY2LjAz&#10;IDUwNS41IDE2MS41MiA1MTIuNzUgMTU2Ljk4IDUyMS41NCAxNTEuNDggNTMwLjM0IDE0NS45OSA1&#10;MzkuMDcgMTQwLjQzIDU0OC4zIDEzNC41NSA1NTcuMTYgMTI4LjM4IDU2Ni4yNCAxMjIuMzggNTcz&#10;Ljg4IDExNy4zMyA1ODEuOCAxMTIuNTIgNTg5Ljg2IDEwNy44MyA1OTMuNTkgMTA1LjY2IDU5Ny4z&#10;IDEwMy40OCA2MDEuMDcgMTAxLjM2IDYwMy4zMiAxMDAuMDkgNjA1LjYgOTguODUgNjA3LjgyIDk3&#10;LjU0IDYwOC45MiA5Ni44OSA2MTAgOTYuMjQgNjExLjA5IDk1LjU5IDYxMS41NyA5NS4zMSA2MTIu&#10;MDUgOTUuMDMgNjEyLjUzIDk0Ljc1IDYxMi43NCA5NC42MyA2MTIuOTYgOTQuNSA2MTMuMTcgOTQu&#10;MzggNjEzLjg5IDkzLjk1IDYxNC44NyA5My43NSA2MTUuODIgOTMuNzkgNjE2LjM3IDkzLjgxIDYx&#10;Ni45IDkzLjkxIDYxNy4zOCA5NC4xWiIgZmlsbD0iIzAxMDEwMSIvPjxwYXRoIGQ9Ik05LjUyIDE4&#10;NC40OSA5LjU0IDE4NC41NkM5LjU0IDE4NC41NiA5LjU0IDE4NC41NiA5LjU0IDE4NC41NiA5LjU4&#10;IDE4NC43MiA5LjYxIDE4NC44NyA5LjY1IDE4NS4wMyA5LjYxIDE4NC44NSA5LjU3IDE4NC42OCA5&#10;LjUzIDE4NC41Wk0zLjEzIDEuNzFDMy40NiAxLjk3IDMuNjIgMi4yNiAzLjcxIDIuNjEgMy44MyAz&#10;LjA5IDMuOTIgMy41NyAzLjk5IDQuMDYgNC4xNCA0Ljk2IDQuMjUgNS44NiA0LjM3IDYuNzYgNC42&#10;MSA4LjYgNC44NyAxMC40NCA1LjEgMTIuMjkgNS41NyAxNiA1Ljg5IDE5LjcxIDYuMTggMjMuNDMg&#10;Ni40OCAyNy4yNyA2Ljg0IDMxLjExIDcuMTQgMzQuOTUgNy40NCAzOC44NiA3LjY0IDQyLjc3IDcu&#10;OCA0Ni42OCA3Ljk1IDUwLjU2IDcuOTkgNTQuNDMgOC4wNyA1OC4zMSA4LjE1IDYyLjI3IDguMzIg&#10;NjYuMjIgOC41NiA3MC4xNyA4Ljc5IDczLjk5IDkuMDcgNzcuODIgOS4zNSA4MS42NSA5LjYzIDg1&#10;LjYxIDkuODcgODkuNTcgMTAuMDYgOTMuNTQgMTAuMjQgOTcuMzYgMTAuNDEgMTAxLjE3IDEwLjU0&#10;IDEwNC45OSAxMC42NyAxMDguODQgMTAuNzYgMTEyLjY4IDEwLjkxIDExNi41MyAxMS4wNiAxMjAu&#10;NTkgMTEuMjEgMTI0LjY1IDExLjM0IDEyOC43MSAxMS40NyAxMzIuNTkgMTEuNjUgMTM2LjQ4IDEx&#10;LjggMTQwLjM2IDEyLjA3IDE0Ny44OSAxMi4wOCAxNTUuNDEgMTIuNDQgMTYyLjkzIDEyLjUzIDE2&#10;NC44MiAxMi42MiAxNjYuNzEgMTIuNzQgMTY4LjYgMTIuODQgMTcwLjM0IDEyLjk5IDE3Mi4wOCAx&#10;My4xNCAxNzMuODEgMTMuMzcgMTc2LjY2IDEzLjUzIDE3OS41MyAxNC4xIDE4Mi4zNiAxNC4yMSAx&#10;ODIuOTEgMTQuMzIgMTgzLjQ2IDE0LjQzIDE4NCAxNC40OSAxODQuMjEgMTQuNTYgMTg0LjQzIDE0&#10;LjU2IDE4NC42NCAxNC41OCAxODQuOTUgMTQuNDggMTg1LjI1IDE0LjI4IDE4NS41NCAxNC4xNiAx&#10;ODUuNjcgMTQuMDQgMTg1LjggMTMuOTEgMTg1LjkzIDEzLjYgMTg2LjE4IDEzLjIzIDE4Ni4zNSAx&#10;Mi44IDE4Ni40NSAxMi42IDE4Ni41MSAxMi4zOCAxODYuNTMgMTIuMTcgMTg2LjUzIDExLjc0IDE4&#10;Ni41MyAxMS4zMyAxODYuNDcgMTAuOTQgMTg2LjMzIDEwLjMzIDE4Ni4xIDkuOTQgMTg1LjcxIDku&#10;NzEgMTg1LjI1IDkuNjIgMTg1LjA4IDkuNiAxODQuODkgOS41NyAxODQuNyA5LjQ4IDE4NC4zNSA5&#10;LjM5IDE4NC4wMSA5LjMzIDE4My42NiA5LjI3IDE4My4yNyA5LjIxIDE4Mi44OSA5LjE2IDE4Mi41&#10;IDkuMDEgMTgxLjMzIDguODYgMTgwLjE1IDguNjkgMTc4Ljk4IDguMiAxNzUuNTggOC4xMiAxNzIu&#10;MTUgNy44MyAxNjguNzQgNy42OCAxNjYuODUgNy41IDE2NC45NiA3LjM3IDE2My4wOCA3LjI1IDE2&#10;MS4yNCA3LjE4IDE1OS40IDcuMTEgMTU3LjU2IDYuOTcgMTUzLjc0IDYuOTkgMTQ5LjkxIDYuOTQg&#10;MTQ2LjA4IDYuODkgMTQyLjI0IDYuNzIgMTM4LjQxIDYuNTcgMTM0LjU3IDYuNDEgMTMwLjY2IDYu&#10;MjkgMTI2Ljc1IDYuMTQgMTIyLjg0IDUuOTggMTE4Ljg5IDUuNzkgMTE0Ljk0IDUuNjcgMTEwLjk4&#10;IDUuNTUgMTA3LjE0IDUuNDUgMTAzLjMgNS4yNiA5OS40NiA1LjA3IDk1LjUzIDQuODkgOTEuNjEg&#10;NC42IDg3LjY4IDQuMzIgODMuODEgMy45NCA3OS45NSAzLjU5IDc2LjA4IDMuMjMgNzIuMSAyLjkx&#10;IDY4LjExIDIuNyA2NC4xMiAyLjQ4IDYwLjE5IDIuNCA1Ni4yNyAyLjMxIDUyLjM0IDIuMTIgNDQu&#10;NjYgMS43IDM2Ljk4IDEuMjQgMjkuMzEgMS4wMSAyNS41MiAwLjgzIDIxLjcyIDAuNjggMTcuOTMg&#10;MC42MSAxNi4xIDAuNTQgMTQuMjggMC40OSAxMi40NSAwLjQ0IDEwLjYgMC4zOSA4Ljc1IDAuNDcg&#10;Ni45IDAuNTEgNS45OSAwLjU2IDUuMDkgMC42NSA0LjE5IDAuNyAzLjczIDAuNzYgMy4yNyAwLjg0&#10;IDIuODEgMC45MSAyLjQ2IDEuMDQgMi4wOSAxLjM3IDEuODEgMS42MiAxLjYxIDIuMDIgMS40OSAy&#10;LjQxIDEuNTEgMi42OSAxLjUyIDIuOTUgMS42IDMuMTQgMS43NVoiIGZpbGw9IiMwMTAxMDEiLz48&#10;cGF0aCBkPSJNNTM3LjUzIDE3Mi4yNEM1MzcuNTMgMTcyLjI0IDUzNy41MyAxNzIuMjQgNTM3LjUz&#10;IDE3Mi4yNCA1MzcuNTMgMTcyLjI0IDUzNy41MiAxNzIuMjQgNTM3LjUxIDE3Mi4yNSA1MzcuNTEg&#10;MTcyLjI1IDUzNy41MSAxNzIuMjUgNTM3LjUxIDE3Mi4yNSA1MzcuNTEgMTcyLjI1IDUzNy41MyAx&#10;NzIuMjQgNTM3LjUzIDE3Mi4yM1pNNTgwLjIzIDEzNi4wMkM1ODAuMTEgMTM2LjA5IDU3OS45OSAx&#10;MzYuMTcgNTc5Ljg3IDEzNi4yNSA1NzkuOTkgMTM2LjE3IDU4MC4xIDEzNi4xIDU4MC4yMyAxMzYu&#10;MDJaTTYyNy41NSAxMTAuNDlDNjI3LjUxIDExMC43OSA2MjcuNDYgMTExLjA5IDYyNy40MiAxMTEu&#10;NCA2MjQuMTYgMTEzLjc4IDYyMC43OSAxMTYuMDkgNjE3LjQgMTE4LjM4IDYxMy45IDEyMC43NSA2&#10;MTAuMzQgMTIzLjA3IDYwNi44MyAxMjUuNDMgNjAzLjIxIDEyNy44NiA1OTkuNTggMTMwLjI5IDU5&#10;NS45NCAxMzIuNzEgNTkwLjA1IDEzNi42MiA1ODQuMTcgMTQwLjUzIDU3OC4xNyAxNDQuMzUgNTc4&#10;LjQgMTQ0LjIgNTc4LjY0IDE0NC4wNSA1NzguODcgMTQzLjkgNTc1LjgzIDE0NS44NCA1NzIuNzQg&#10;MTQ3Ljc1IDU2OS42NyAxNDkuNjggNTY5LjkgMTQ5LjU0IDU3MC4xMiAxNDkuMzkgNTcwLjM0IDE0&#10;OS4yNSA1NzAuMDMgMTQ5LjQ1IDU2OS43MyAxNDkuNjQgNTY5LjQyIDE0OS44NCA1NjkuNDMgMTQ5&#10;Ljg0IDU2OS40NCAxNDkuODMgNTY5LjQ1IDE0OS44MiA1NjIuMDUgMTU0LjU0IDU1NS4zNSAxNTku&#10;NzggNTQ4LjQ1IDE2NC44OCA1NDUuMTcgMTY3LjMxIDU0MS43IDE2OS41OSA1MzguMTkgMTcxLjgz&#10;IDUzOC4yNiAxNzEuNzkgNTM4LjMyIDE3MS43NSA1MzguMzggMTcxLjcxIDUzOC4yIDE3MS44MiA1&#10;MzguMDEgMTcxLjk0IDUzNy44MyAxNzIuMDYgNTM3LjgzIDE3Mi4wNiA1MzcuODMgMTcyLjA2IDUz&#10;Ny44MyAxNzIuMDYgNTM3LjgzIDE3Mi4wNiA1MzcuODIgMTcyLjA2IDUzNy44MSAxNzIuMDcgNTM3&#10;LjgxIDE3Mi4wNyA1MzcuNzkgMTcyLjA4IDUzNy43OCAxNzIuMDkgNTM3Ljc4IDE3Mi4wOSA1Mzcu&#10;NzggMTcyLjA5IDUzNy43OCAxNzIuMDkgNTM3Ljc3IDE3Mi4wOSA1MzcuNzYgMTcyLjEgNTM3Ljc1&#10;IDE3Mi4xMSA1MzcuNzMgMTcyLjEzIDUzNy43IDE3Mi4xNCA1MzcuNjggMTcyLjE2IDUzNy42NiAx&#10;NzIuMTggNTM3LjYzIDE3Mi4xOSA1MzcuNjEgMTcyLjIxIDUzNy42MyAxNzIuMiA1MzcuNjUgMTcy&#10;LjE4IDUzNy42OCAxNzIuMTcgNTM3LjY1IDE3Mi4xOSA1MzcuNjEgMTcyLjIxIDUzNy41OCAxNzIu&#10;MjMgNTM3LjU4IDE3Mi4yMyA1MzcuNTkgMTcyLjIzIDUzNy42IDE3Mi4yMiA1MzcuNDUgMTcyLjMx&#10;IDUzNy4zMSAxNzIuNDEgNTM3LjE2IDE3Mi41IDUzNy4yNyAxNzIuNDMgNTM3LjM3IDE3Mi4zNiA1&#10;MzcuNDggMTcyLjI5IDUzNy40OCAxNzIuMjkgNTM3LjQ4IDE3Mi4yOSA1MzcuNDggMTcyLjI5IDUz&#10;Ny40OCAxNzIuMjkgNTM3LjQ4IDE3Mi4yOSA1MzcuNDggMTcyLjI5TDUzNy41IDE3Mi4yOUM1Mzcu&#10;NSAxNzIuMjkgNTM3LjUgMTcyLjI5IDUzNy41IDE3Mi4yOSA1MzcuNSAxNzIuMjkgNTM3LjUgMTcy&#10;LjI5IDUzNy40OSAxNzIuMjkgNTM3LjQ5IDE3Mi4yOSA1MzcuNDkgMTcyLjI5IDUzNy40OSAxNzIu&#10;MjkgNTM3LjQ5IDE3Mi4yOSA1MzcuNDkgMTcyLjI5IDUzNy40OSAxNzIuMjkgNTI5Ljg4IDE3Ny4x&#10;NiA1MjIuMDkgMTgxLjg2IDUxNC4xNyAxODYuNDYgNTEwLjM0IDE4OC42OCA1MDYuNDYgMTkwLjg1&#10;IDUwMi41OCAxOTMuMDMgNDk4Ljg0IDE5NS4xNCA0OTUuMDUgMTk3LjIxIDQ5MS4yNCAxOTkuMjYg&#10;NDg4LjU5IDIwMC42OSA0ODUuOTIgMjAyLjEgNDgzLjI4IDIwMy41NSA0ODIuMDEgMjA0LjI1IDQ4&#10;MC43NCAyMDQuOTYgNDc5LjQ4IDIwNS42NiA0NzguOTMgMjA1Ljk3IDQ3OC4zNyAyMDYuMjggNDc3&#10;LjgyIDIwNi41OSA0NzYuOTUgMjA3LjA4IDQ3Ni4xMyAyMDcuNjIgNDc1LjA2IDIwNy44NSA0NzMu&#10;NzQgMjA4LjEzIDQ3Mi4zNiAyMDcuOTggNDcxLjMxIDIwNy4zIDQ3MC4wOSAyMDYuNTEgNDY5LjU4&#10;IDIwNS4wMyA0NzAuNDQgMjAzLjk2IDQ3MC42OCAyMDMuNjYgNDcwLjkgMjAzLjM1IDQ3MS4yNSAy&#10;MDMuMTEgNDcxLjU3IDIwMi45IDQ3MS45IDIwMi42OCA0NzIuMjQgMjAyLjQ4IDQ3Mi40NSAyMDIu&#10;MzYgNDcyLjY2IDIwMi4yNCA0NzIuODYgMjAyLjEzIDQ3My4yMyAyMDEuOTIgNDczLjYgMjAxLjcx&#10;IDQ3My45OCAyMDEuNSA0NzQuODEgMjAxLjA0IDQ3NS42NCAyMDAuNTggNDc2LjQ3IDIwMC4xMyA0&#10;NzguMzEgMTk5LjEyIDQ4MC4xNSAxOTguMTIgNDgxLjk5IDE5Ny4xMSA0ODUuNzkgMTk1LjAzIDQ4&#10;OS42MiAxOTIuOTcgNDkzLjQ4IDE5MC45NCA0OTcuNDIgMTg4Ljg2IDUwMS4yOSAxODYuNzMgNTA1&#10;LjE2IDE4NC41OCA1MDguOTkgMTgyLjQ1IDUxMi44NCAxODAuMzUgNTE2LjY3IDE3OC4yMiA1MTku&#10;ODQgMTc2LjQ2IDUyMi45NCAxNzQuNjQgNTI2LjAyIDE3Mi44IDUyOC44NiAxNzEuMTEgNTMxLjY5&#10;IDE2OS40MSA1MzQuNDYgMTY3LjY3IDUzOC4wMyAxNjUuMzggNTQxLjQ4IDE2Mi45OCA1NDQuODYg&#10;MTYwLjU0IDU0OC4zNCAxNTguMDMgNTUxLjczIDE1NS40NSA1NTUuMiAxNTIuOTQgNTU4LjE4IDE1&#10;MC43NyA1NjEuMTcgMTQ4LjYxIDU2NC4yMyAxNDYuNSA1NjcuNDMgMTQ0LjI4IDU3MC43IDE0Mi4x&#10;MiA1NzQuMDEgMTQwTDU3NC4wMSAxNDBDNTc0LjAxIDE0MCA1NzQuMDEgMTQwIDU3NC4wMSAxNDAg&#10;NTc0LjA4IDEzOS45NiA1NzQuMTUgMTM5LjkxIDU3NC4yMSAxMzkuODcgNTc0LjIxIDEzOS44NyA1&#10;NzQuMTkgMTM5Ljg4IDU3NC4xOCAxMzkuODkgNTc0LjIyIDEzOS44NiA1NzQuMjcgMTM5LjgzIDU3&#10;NC4zMSAxMzkuODEgNTc0LjI5IDEzOS44MiA1NzQuMjcgMTM5Ljg0IDU3NC4yNSAxMzkuODUgNTc0&#10;LjMgMTM5LjgxIDU3NC4zNiAxMzkuNzggNTc0LjQxIDEzOS43NCA1NzQuNTUgMTM5LjY1IDU3NC43&#10;IDEzOS41NiA1NzQuODQgMTM5LjQ3IDU3NC44MiAxMzkuNDggNTc0LjggMTM5LjQ5IDU3NC43OSAx&#10;MzkuNSA1NzYuMTYgMTM4LjYzIDU3Ny41NCAxMzcuNzYgNTc4LjkxIDEzNi44OSA1NzguOTQgMTM2&#10;Ljg3IDU3OC45NiAxMzYuODYgNTc4Ljk5IDEzNi44NCA1NzguOTYgMTM2Ljg2IDU3OC45NCAxMzYu&#10;ODcgNTc4LjkxIDEzNi44OSA1NzkuMDUgMTM2LjggNTc5LjIgMTM2LjcxIDU3OS4zNCAxMzYuNjIg&#10;NTc5LjQxIDEzNi41OCA1NzkuNDcgMTM2LjUzIDU3OS41NCAxMzYuNDlMNTc5LjUzIDEzNi40OUM1&#10;ODMuMyAxMzQuMDggNTg3IDEzMS42MSA1OTAuNjkgMTI5LjEzIDU5NC4yNyAxMjYuNzMgNTk3Ljgg&#10;MTI0LjI4IDYwMS4zOCAxMjEuODcgNjA0Ljk4IDExOS40NSA2MDguNjIgMTE3LjA2IDYxMi4zMSAx&#10;MTQuNyA2MTIuNTQgMTE0LjU1IDYxMi43NyAxMTQuNDEgNjEzIDExNC4yNiA2MTcuNTQgMTExLjM2&#10;IDYyMi4zMSAxMDguNjYgNjI2Ljg4IDEwNS43OCA2MjYuOTIgMTA1Ljc2IDYyNi45NSAxMDUuNzMg&#10;NjI2Ljk5IDEwNS43MSA2MjYuOTkgMTA1LjcxIDYyNi45OCAxMDUuNzEgNjI2Ljk3IDEwNS43MiA2&#10;MjYuOTcgMTA1LjcyIDYyNi45OCAxMDUuNzIgNjI2Ljk5IDEwNS43MSA2MjcuMzUgMTA1LjQ4IDYy&#10;Ny43IDEwNS4yNSA2MjguMDYgMTA1LjAyIDYyNy45MiAxMDYuODUgNjI3LjggMTA4LjY5IDYyNy41&#10;NSAxMTAuNTFaIiBmaWxsPSIjMDEwMTAxIi8+PHBhdGggZD0iTTQ3NC4xOCAyMDUuNDVDNDc0Ljk4&#10;IDIwNS45NSA0NzUuNDggMjA2LjY3IDQ3NS41NyAyMDcuNDMgNDc1LjY3IDIwOC4yMiA0NzUuMzIg&#10;MjA5LjAyIDQ3NC42MSAyMDkuNjIgNDc0LjM1IDIwOS43OSA0NzQuMSAyMDkuOTYgNDczLjg0IDIx&#10;MC4xMyA0NzMuMjUgMjEwLjQzIDQ3Mi42IDIxMC42IDQ3MS45IDIxMC42NCA0NzEuMzcgMjEwLjcy&#10;IDQ3MC44IDIxMC43MiA0NzAuMjYgMjEwLjc0IDQ2OS42NSAyMTAuNzcgNDY5LjAzIDIxMC43OSA0&#10;NjguNDIgMjEwLjgyIDQ2NyAyMTAuODcgNDY1LjU4IDIxMC45IDQ2NC4xNiAyMTAuOTMgNDYwLjIz&#10;IDIxMS4wMiA0NTYuMyAyMTEuMDQgNDUyLjM3IDIxMS4wNiA0NDMuODUgMjExLjA5IDQzNS4zMyAy&#10;MTEuMTMgNDI2LjggMjExLjA3IDQxMy4yMyAyMTAuOTggMzk5LjY5IDIxMC4zOSAzODYuMTUgMjA5&#10;Ljc5IDM4MS4zNCAyMDkuNTggMzc2LjUzIDIwOS4zNyAzNzEuNzIgMjA5LjE4IDM2OS45OCAyMDku&#10;MTEgMzY4LjI1IDIwOS4wNSAzNjYuNTEgMjA4Ljk5IDM0OC42NCAyMDguNCAzMzAuNzUgMjA4LjE3&#10;IDMxMi44OCAyMDcuNjEgMzAwLjA0IDIwNy4yMSAyODcuMjEgMjA2LjYgMjc0LjM4IDIwNi4xNSAy&#10;NzQuNzcgMjA2LjE2IDI3NS4xNiAyMDYuMTggMjc1LjU1IDIwNi4xOSAyNjYuMTMgMjA1Ljg3IDI1&#10;Ni43MSAyMDUuNTggMjQ3LjI4IDIwNS40IDIzOC4zMyAyMDUuMjMgMjI5LjM3IDIwNS4xNSAyMjAu&#10;NDEgMjA1LjA1IDIxMS40OSAyMDQuOTYgMjAyLjU3IDIwNC45IDE5My42NiAyMDUuMDYgMTg0LjQg&#10;MjA1LjIzIDE3NS4xNCAyMDUuNTUgMTY1Ljg4IDIwNS44OSAxNTYuNjkgMjA2LjIzIDE0Ny41MSAy&#10;MDYuNjMgMTM4LjMxIDIwNi44NyAxMjkuMzUgMjA3LjEgMTIwLjM5IDIwNy4yMiAxMTEuNDMgMjA3&#10;LjM0IDEwMi4wOSAyMDcuNDcgOTIuNzUgMjA3LjUzIDgzLjQgMjA3LjY2IDc4LjggMjA3LjcyIDc0&#10;LjIgMjA3Ljc5IDY5LjYgMjA3Ljg0IDY1LjA2IDIwNy44OSA2MC41MiAyMDcuODggNTUuOTggMjA3&#10;LjkgNDguODkgMjA3LjkzIDQxLjggMjA4LjA1IDM0LjcyIDIwOC4wMSAzMS4yNiAyMDcuOTkgMjcu&#10;NzggMjA3Ljk3IDI0LjM1IDIwNy42MiAyMy4yMSAyMDcuNSAyMi4wNSAyMDcuMzMgMjAuOTggMjA3&#10;LjAxIDIwLjM3IDIwNi44MiAxOS44NSAyMDYuNTYgMTkuNDMgMjA2LjE5IDE4LjczIDIwNS41NyAx&#10;OC43NCAyMDQuNDQgMTkuNzggMjAzLjk5IDIwLjczIDIwMy41OCAyMS44NSAyMDMuNzEgMjIuOSAy&#10;MDMuNzEgMjQuNzEgMjAzLjcyIDI2LjUyIDIwMy42OSAyOC4zNCAyMDMuNjUgMzAuMzkgMjAzLjYg&#10;MzIuNDUgMjAzLjUgMzQuNSAyMDMuNDEgMzYuNjkgMjAzLjMyIDM4LjkgMjAzLjIzIDQxLjA5IDIw&#10;My4xNSA0OS45OCAyMDIuODIgNTguODcgMjAyLjQ3IDY3Ljc2IDIwMi4yNCA4Ni4wNiAyMDEuNzUg&#10;MTA0LjM2IDIwMS40MSAxMjIuNjcgMjAxIDEyNy4yNiAyMDAuOSAxMzEuODUgMjAwLjc5IDEzNi40&#10;NCAyMDAuNjYgMTQwLjkxIDIwMC41MyAxNDUuMzcgMjAwLjMzIDE0OS44NCAyMDAuMTUgMTU5LjIz&#10;IDE5OS43NiAxNjguNjMgMTk5LjMxIDE3OC4wMyAxOTkuMDIgMTg3LjAzIDE5OC43NCAxOTYuMDQg&#10;MTk4LjU0IDIwNS4wNSAxOTguNTcgMjEzLjk4IDE5OC42IDIyMi45MSAxOTguNzMgMjMxLjgzIDE5&#10;OC44NCAyNTAuODIgMTk5LjA2IDI2OS44IDE5OS42NiAyODguNzcgMjAwLjM3IDI5NC4wMSAyMDAu&#10;NTcgMjk5LjI0IDIwMC43NiAzMDQuNDggMjAwLjk0IDMwNC4xOSAyMDAuOTMgMzAzLjkgMjAwLjky&#10;IDMwMy42MSAyMDAuOTEgMzA0LjQgMjAwLjk0IDMwNS4xOSAyMDAuOTYgMzA1Ljk4IDIwMC45OSAz&#10;MjMuOTcgMjAxLjU5IDM0MS45OCAyMDEuODEgMzU5Ljk4IDIwMi4zNCAzNjguMDkgMjAyLjU4IDM3&#10;Ni4yIDIwMi44OSAzODQuMzEgMjAzLjI1IDM5MS44MyAyMDMuNTggMzk5LjM1IDIwMy45NCA0MDYu&#10;ODcgMjA0LjIxIDQxNS4zMyAyMDQuNDkgNDIzLjggMjA0LjY3IDQzMi4yNyAyMDQuNzkgNDQwLjgx&#10;IDIwNC45MiA0NDkuMzYgMjA1LjA3IDQ1Ny45MSAyMDUgNDYwLjUzIDIwNC45OCA0NjMuMTYgMjA0&#10;Ljk2IDQ2NS43OCAyMDQuOTEgNDY2Ljc2IDIwNC44OSA0NjcuNzMgMjA0Ljg2IDQ2OC43IDIwNC44&#10;MyA0NjkuMTEgMjA0LjgyIDQ2OS41MSAyMDQuODEgNDY5LjkyIDIwNC43OSA0NzAuMTMgMjA0Ljc5&#10;IDQ3MC4zNCAyMDQuNzcgNDcwLjU1IDIwNC43NiA0NzEuMDEgMjA0LjczIDQ3MS40NiAyMDQuNzYg&#10;NDcxLjkyIDIwNC43NyA0NzIuMDMgMjA0Ljc3IDQ3Mi4xNCAyMDQuNzcgNDcyLjI1IDIwNC43OCA0&#10;NzIuOTcgMjA0Ljg4IDQ3My42IDIwNS4xIDQ3NC4xNiAyMDUuNDVaIiBmaWxsPSIjMDEwMTAxIi8+&#10;PHBhdGggZD0iTTQ2NC41NCAxODUuNzRDNDY1LjIyIDE4Ni40OSA0NjUuNzEgMTg3LjMzIDQ2Ni4x&#10;OSAxODguMTUgNDY2Ljk3IDE4OS40NiA0NjcuNjggMTkwLjggNDY4LjM1IDE5Mi4xNSA0NjkuNjUg&#10;MTk0Ljc3IDQ3MC45MyAxOTcuNCA0NzIuMTcgMjAwLjAzIDQ3Mi43NiAyMDEuMjggNDczLjI4IDIw&#10;Mi41MyA0NzMuNzcgMjAzLjggNDc0IDIwNC4zOSA0NzQuMjUgMjA0Ljk3IDQ3NC40OSAyMDUuNTYg&#10;NDc0LjY4IDIwNi4wMyA0NzQuODYgMjA2LjUxIDQ3NC45OSAyMDYuOTkgNDc1LjExIDIwNy40OCA0&#10;NzUuMDggMjA3Ljk4IDQ3NC45NyAyMDguNDcgNDc0Ljc1IDIwOS4zNiA0NzMuODQgMjEwLjEyIDQ3&#10;Mi42NSAyMTAuNDIgNDcyLjA0IDIxMC41OCA0NzEuNDEgMjEwLjYxIDQ3MC43NyAyMTAuNTMgNDcw&#10;LjQ3IDIxMC40NiA0NzAuMTYgMjEwLjM5IDQ2OS44NSAyMTAuMzIgNDY5LjI4IDIxMC4xMiA0Njgu&#10;ODEgMjA5Ljg0IDQ2OC40NSAyMDkuNDcgNDY3LjYgMjA4Ljc3IDQ2Ny4yNSAyMDcuODQgNDY2Ljg2&#10;IDIwNi45OCA0NjYuNTEgMjA2LjIyIDQ2Ni4xMSAyMDUuNDcgNDY1LjcxIDIwNC43MiA0NjQuOTYg&#10;MjAzLjMzIDQ2NC4zIDIwMS45MSA0NjMuNjEgMjAwLjUxIDQ2Mi45NiAxOTkuMTkgNDYyLjMyIDE5&#10;Ny44OCA0NjEuNzUgMTk2LjU0IDQ2MS4xNiAxOTUuMTUgNDYwLjYzIDE5My43NSA0NjAuMTEgMTky&#10;LjM1IDQ1OS43IDE5MS4yNyA0NTkuMzMgMTkwLjE5IDQ1OC45NSAxODkuMTEgNDU4LjQxIDE4Ny41&#10;NiA0NTcuMzcgMTg0Ljk5IDQ2MC4yMyAxODQuMjEgNDYwLjYyIDE4NC4xMSA0NjAuOTkgMTg0LjA3&#10;IDQ2MS4zNSAxODQuMDggNDYyLjcxIDE4NC4xMyA0NjMuODQgMTg0Ljk1IDQ2NC41NyAxODUuNzZa&#10;IiBmaWxsPSIjMDEwMTAxIi8+PHBhdGggZD0iTTEyLjUyIDE4My4wMUMxMy41MyAxODMuMSAxNC4y&#10;OCAxODMuNjkgMTQuODggMTg0LjIxIDE1LjM1IDE4NC42MyAxNS42NyAxODUuMTIgMTUuOTMgMTg1&#10;LjYyIDE2LjMgMTg2LjMyIDE2LjU3IDE4Ny4wNyAxNi44MSAxODcuOCAxNy4yOCAxODkuMiAxNy44&#10;NiAxOTAuNTggMTguNTYgMTkxLjkzIDE5LjU4IDE5My45MSAyMC42NSAxOTUuODggMjEuNjQgMTk3&#10;Ljg3IDIyLjM3IDE5OS4zMyAyMy4wNyAyMDAuODEgMjMuNzcgMjAyLjI4IDIzLjkyIDIwMi42IDI0&#10;LjA3IDIwMi45MyAyNC4yMyAyMDMuMjYgMjQuMyAyMDMuNDEgMjQuMzcgMjAzLjU1IDI0LjQ1IDIw&#10;My43IDI0LjYxIDIwNC4wNCAyNC44NiAyMDQuNDUgMjQuODQgMjA0Ljc5IDI0Ljg5IDIwNS4yMSAy&#10;NC43OCAyMDUuNiAyNC41NCAyMDUuOTggMjQuMjkgMjA2LjM0IDIzLjk0IDIwNi42MyAyMy40OCAy&#10;MDYuODYgMjMuMDIgMjA3LjA4IDIyLjUxIDIwNy4yMSAyMS45NSAyMDcuMjUgMjEuMTcgMjA3LjMg&#10;MjAuMTYgMjA3LjEzIDE5LjYgMjA2LjcxIDE5LjA4IDIwNi4zMiAxOC45NCAyMDYuMiAxOC42MyAy&#10;MDUuNzIgMTguNTkgMjA1LjY2IDE4LjU2IDIwNS42MSAxOC41MyAyMDUuNTYgMTguNDkgMjA1LjUg&#10;MTguNDUgMjA1LjQzIDE4LjQxIDIwNS4zNiAxOC4zMyAyMDUuMjMgMTguMjYgMjA1LjEgMTguMTkg&#10;MjA0Ljk2IDE4LjAzIDIwNC42NyAxNy44NyAyMDQuMzkgMTcuNzIgMjA0LjEgMTcuMzYgMjAzLjQz&#10;IDE3LjA1IDIwMi43NCAxNi43MiAyMDIuMDUgMTUuOTIgMjAwLjM2IDE1LjEzIDE5OC42NyAxNC4y&#10;NCAxOTcgMTMuNjcgMTk1Ljk1IDEzLjA2IDE5NC45MSAxMi40OSAxOTMuODcgMTIuMDYgMTkzLjA3&#10;IDExLjYzIDE5Mi4yOCAxMS4xNyAxOTEuNDggMTAuODMgMTkwLjg5IDEwLjUxIDE5MC4zIDEwLjE4&#10;IDE4OS43MSA5LjcgMTg4Ljg1IDkuMzYgMTg3Ljk0IDkuMTIgMTg3LjAzIDguNjkgMTg1LjM5IDku&#10;MjMgMTgyLjg3IDEyLjI3IDE4Mi45OSAxMi4zNSAxODIuOTkgMTIuNDMgMTgyLjk5IDEyLjUyIDE4&#10;My4wMVoiIGZpbGw9IiMwMTAxMDEiLz48cGF0aCBkPSJNNjE3LjU4IDkyLjMzQzYxOC4wNyA5Mi4z&#10;NSA2MTguNTUgOTIuNTggNjE4Ljk0IDkyLjc4IDYxOS4zMSA5Mi45NiA2MTkuNiA5My4yMSA2MTku&#10;OSA5My40NSA2MjAuMzYgOTMuODEgNjIwLjcyIDk0LjIzIDYyMS4wNyA5NC42NSA2MjEuOTQgOTUu&#10;NzMgNjIyLjY0IDk2Ljg3IDYyMy4zNCA5OCA2MjQuNDggOTkuODUgNjI1LjUyIDEwMS43MyA2MjYu&#10;NTggMTAzLjYgNjI3LjEgMTA0LjUzIDYyNy42MSAxMDUuNDYgNjI4LjExIDEwNi40IDYyOC43MyAx&#10;MDcuNTQgNjI5LjM2IDEwOC43IDYyOS43OSAxMDkuODkgNjMwIDExMC41IDYzMC4yMiAxMTEuMTIg&#10;NjMwLjMgMTExLjc1IDYzMC4zNyAxMTIuMyA2MzAuMzMgMTEyLjg2IDYzMC4yMiAxMTMuNDEgNjI5&#10;Ljk5IDExNC40NiA2MjkuMzIgMTE1LjM5IDYyOC40MiAxMTYuMjIgNjI3LjYgMTE2Ljk4IDYyNi41&#10;NiAxMTcuNjUgNjI1LjU1IDExOC4yOCA2MjQuMzggMTE5LjAxIDYyMy4xNSAxMTkuNjkgNjIxLjky&#10;IDEyMC4zOCA2MjAuNjkgMTIxLjA2IDYxOS40NyAxMjEuNzQgNjE4LjIyIDEyMi40IDYxNi45IDEy&#10;My4wOSA2MTUuNTYgMTIzLjc2IDYxNC4yMyAxMjQuNDQgNjExLjU4IDEyNS43OSA2MDguOTEgMTI3&#10;LjEyIDYwNi4yMyAxMjguNDUgNjAzLjQ0IDEyOS44MiA2MDAuNzMgMTMxLjI2IDU5OC4xIDEzMi43&#10;OCA1OTYuNTkgMTMzLjY1IDU5NS4wNyAxMzQuNTIgNTkzLjUgMTM1LjMzIDU5MS43OCAxMzYuMjMg&#10;NTkwLjA3IDEzNy4xMiA1ODguNDIgMTM4LjA4IDU4Ny43IDEzOC41IDU4Ni41NCAxMzguMyA1ODYu&#10;MDMgMTM3Ljc5IDU4NS43NyAxMzcuNTIgNTg1LjY2IDEzNy4xOSA1ODUuNzQgMTM2Ljg4IDU4NS44&#10;MiAxMzYuNTQgNTg2LjA4IDEzNi4zMSA1ODYuNDQgMTM2LjA5IDU4Ny41NCAxMzUuNDIgNTg4LjYz&#10;IDEzNC43NSA1ODkuNyAxMzQuMDUgNTg5LjY3IDEzNC4wNyA1ODkuNjMgMTM0LjA5IDU4OS42IDEz&#10;NC4xMiA1OTIuMjYgMTMyLjM5IDU5NS4wNCAxMzAuNzUgNTk3Ljc4IDEyOS4wOSA2MDAuMzEgMTI3&#10;LjU2IDYwMi45NiAxMjYuMTQgNjA1LjYgMTI0LjcgNjA2Ljg5IDEyNCA2MDguMjEgMTIzLjMxIDYw&#10;OS41IDEyMi42MSA2MTAuODQgMTIxLjg4IDYxMi4xNiAxMjEuMTIgNjEzLjQ3IDEyMC4zNiA2MTQu&#10;NzIgMTE5LjY0IDYxNS45OCAxMTguOTIgNjE3LjI3IDExOC4yMyA2MTguNTYgMTE3LjU0IDYxOS44&#10;NyAxMTYuODkgNjIxLjE4IDExNi4yMiA2MjEuODQgMTE1Ljg4IDYyMi40OCAxMTUuNTQgNjIzLjA5&#10;IDExNS4xNiA2MjMuNDcgMTE0LjkgNjIzLjgyIDExNC42MiA2MjQuMTMgMTE0LjMxIDYyNC4zNCAx&#10;MTQuMDUgNjI0LjUyIDExMy43OSA2MjQuNjcgMTEzLjUxIDYyNC43NCAxMTMuMzEgNjI0LjggMTEz&#10;LjEgNjI0LjgzIDExMi45IDYyNC44MiAxMTIuNjggNjI0Ljc4IDExMi40NSA2MjQuNzIgMTEyLjIz&#10;IDYyNC41NiAxMTEuODMgNjI0LjM2IDExMS40NSA2MjQuMTYgMTExLjA2IDYyMy44NyAxMTAuNTEg&#10;NjIzLjYgMTA5Ljk1IDYyMy4zMiAxMDkuMzkgNjIyLjc5IDEwOC4zMyA2MjIuMjggMTA3LjI3IDYy&#10;MS43MyAxMDYuMjIgNjIwLjcyIDEwNC4yOSA2MTkuNyAxMDIuMzYgNjE4LjU1IDEwMC40NyA2MTgu&#10;MjUgOTkuOTcgNjE3Ljk0IDk5LjQ4IDYxNy42MiA5OC45OSA2MTcuMjMgOTguMzkgNjE2LjgxIDk3&#10;Ljc5IDYxNi40MiA5Ny4xOSA2MTYuMDUgOTYuNjIgNjE1LjY2IDk2LjA0IDYxNS40MSA5NS40NCA2&#10;MTUuMTIgOTQuNzMgNjE0Ljg3IDkzLjg3IDYxNS4zNCA5My4xNyA2MTUuNDkgOTIuOTQgNjE1Ljcy&#10;IDkyLjc1IDYxNi4wMiA5Mi41OSA2MTYuMTggOTIuNTMgNjE2LjMzIDkyLjQ4IDYxNi40OSA5Mi40&#10;MiA2MTYuNzYgOTIuMzUgNjE3LjA0IDkyLjMyIDYxNy4zMyA5Mi4zMyA2MTcuNDEgOTIuMzMgNjE3&#10;LjQ5IDkyLjMzIDYxNy41NyA5Mi4zNVoiIGZpbGw9IiMwMTAxMDEiLz48cGF0aCBkPSJNMjYuNjUg&#10;MTg5LjI1QzI2LjcxIDE4OS4zNCAyNi43MyAxODkuNDUgMjYuNzUgMTg5LjU0IDI2Ljc5IDE4OS43&#10;MiAyNi44MyAxODkuOSAyNi44OCAxOTAuMDcgMjcuMDEgMTkwLjUyIDI3LjE0IDE5MC45OCAyNy4y&#10;OCAxOTEuNDQgMjcuNTggMTkyLjQyIDI3LjkxIDE5My40IDI4LjI1IDE5NC4zOCAyOC4yMyAxOTQu&#10;MzMgMjguMjEgMTk0LjI3IDI4LjE5IDE5NC4yMiAyOC43IDE5NS42MiAyOS4yNSAxOTcuMDEgMjku&#10;ODMgMTk4LjQgMzAuMzcgMTk5LjczIDMwLjk0IDIwMS4wNiAzMS40MiAyMDIuNCAzMS43NiAyMDMu&#10;MzMgMzIuMDIgMjA0LjI2IDMyLjI5IDIwNS4xOSAzMi4zOCAyMDUuNDkgMzEuOTUgMjA1Ljc5IDMx&#10;LjQ3IDIwNS44OSAzMS4xNiAyMDUuOTUgMzAuODIgMjA1Ljk0IDMwLjUzIDIwNS44NSAzMC4yNyAy&#10;MDUuNzcgMzAgMjA1LjYyIDI5LjkzIDIwNS40NiAyOS42MyAyMDQuNzUgMjkuMjkgMjA0LjA1IDI5&#10;LjAxIDIwMy4zNCAyOC43NCAyMDIuNjYgMjguNDggMjAxLjk3IDI4LjIyIDIwMS4yOCAyNy42OCAx&#10;OTkuODQgMjcuMTggMTk4LjQgMjYuNzMgMTk2Ljk1IDI2LjExIDE5NC45NiAyNS42IDE5Mi45NiAy&#10;NC45MSAxOTAuOTcgMjQuOTEgMTkwLjk3IDI0LjkxIDE5MC45OCAyNC45MSAxOTAuOTkgMjQuNzkg&#10;MTkwLjY3IDI0LjY4IDE5MC4zNCAyNC40OSAxOTAuMDMgMjQuNDQgMTg5Ljk0IDI0LjM2IDE4OS44&#10;NSAyNC4yOSAxODkuNzUgMjQuMiAxODkuNjIgMjQuMTUgMTg5LjQ1IDI0LjIyIDE4OS4zMSAyNC4z&#10;NyAxODguOTkgMjQuNzUgMTg4Ljc4IDI1LjM0IDE4OC43NCAyNS40MSAxODguNzQgMjUuNDcgMTg4&#10;Ljc0IDI1LjUzIDE4OC43NCAyNi4wNSAxODguNzYgMjYuNDUgMTg4Ljk5IDI2LjY0IDE4OS4yNloi&#10;IGZpbGw9IiMwMTAxMDEiLz48cGF0aCBkPSJNMzguOTIgMTk2LjI5QzM4LjkyIDE5Ni4yOSAzOC45&#10;MiAxOTYuMyAzOC45MiAxOTYuMzEgMzguOSAxOTYuMjYgMzguODggMTk2LjIxIDM4Ljg2IDE5Ni4x&#10;NUwzOC45MSAxOTYuMjlaTTM4LjMgMTg4LjgzQzM4LjY2IDE4OC45MSAzOC45NCAxODkuMTEgMzku&#10;MTUgMTg5LjI5IDM5LjM2IDE4OS40OCAzOS41MSAxODkuNyAzOS42NiAxODkuOSAzOS45IDE5MC4y&#10;MyA0MC4xMiAxOTAuNTYgNDAuMzIgMTkwLjg5IDQwLjc0IDE5MS42IDQxLjEzIDE5Mi4zMSA0MS40&#10;OSAxOTMuMDIgNDIuMTkgMTk0LjQxIDQyLjc4IDE5NS44MSA0My4zMyAxOTcuMjIgNDMuNTggMTk3&#10;Ljg1IDQzLjgyIDE5OC40OSA0NC4wNSAxOTkuMTMgNDQuMDIgMTk5LjAzIDQzLjk4IDE5OC45NCA0&#10;My45NSAxOTguODQgNDQuMDIgMTk5LjA1IDQ0LjEgMTk5LjI2IDQ0LjE3IDE5OS40NyA0NC4xNCAx&#10;OTkuMzcgNDQuMSAxOTkuMjggNDQuMDcgMTk5LjE4IDQ0LjQ2IDIwMC4yNSA0NC44MiAyMDEuMzMg&#10;NDUuMTIgMjAyLjQyIDQ1LjE0IDIwMi42MSA0NS4wOCAyMDIuNzkgNDQuOTMgMjAyLjk2IDQ0Ljcy&#10;IDIwMy4yIDQ0LjM0IDIwMy4zOSA0My44OCAyMDMuNDcgNDIuOTggMjAzLjY0IDQxLjgzIDIwMy4z&#10;NyA0MS41NSAyMDIuODIgNDAuNSAyMDAuNzEgMzkuNzQgMTk4LjU2IDM4Ljk3IDE5Ni40MSAzOC45&#10;OCAxOTYuNDQgMzguOTkgMTk2LjQ3IDM5IDE5Ni41MSAzOC45NyAxOTYuNDQgMzguOTUgMTk2LjM3&#10;IDM4LjkzIDE5Ni4zTDM4LjkzIDE5Ni4zM0MzOC45MyAxOTYuMzMgMzguOTMgMTk2LjMgMzguOTMg&#10;MTk2LjI4IDM4LjkgMTk2LjIgMzguODggMTk2LjEyIDM4Ljg1IDE5Ni4wNCAzOC44NiAxOTYuMDcg&#10;MzguODcgMTk2LjExIDM4Ljg4IDE5Ni4xNCAzOC44MiAxOTUuOTcgMzguNzYgMTk1LjggMzguNyAx&#10;OTUuNjQgMzguNzIgMTk1LjY5IDM4Ljc0IDE5NS43NCAzOC43NiAxOTUuOCAzOC4zNiAxOTQuNzIg&#10;MzcuOTYgMTkzLjY0IDM3LjUzIDE5Mi41NiAzNy4zMiAxOTIuMDQgMzcuMTIgMTkxLjUzIDM2Ljky&#10;IDE5MS4wMSAzNi43OSAxOTAuNjkgMzYuNjggMTkwLjM3IDM2LjU2IDE5MC4wNSAzNi40NSAxODku&#10;NzQgMzYuNDEgMTg5LjQ0IDM2LjY0IDE4OS4xMyAzNi43NiAxODguOTcgMzcuMDYgMTg4Ljg0IDM3&#10;LjM1IDE4OC43OCAzNy41IDE4OC43NSAzNy42NSAxODguNzQgMzcuNzkgMTg4Ljc1IDM3Ljk2IDE4&#10;OC43NSAzOC4xMyAxODguNzggMzguMzEgMTg4LjgyWiIgZmlsbD0iIzAxMDEwMSIvPjxwYXRoIGQ9&#10;Ik01Ni41NSAxODguNTFDNTYuODcgMTg4LjY0IDU3LjAyIDE4OC45IDU3LjE0IDE4OS4wOSA1Ny4y&#10;NiAxODkuMjkgNTcuMzYgMTg5LjQ4IDU3LjQ2IDE4OS42OCA1Ny42NSAxOTAuMDkgNTcuODQgMTkw&#10;LjUgNTguMDIgMTkwLjkxIDU4LjQgMTkxLjc2IDU4Ljc2IDE5Mi42MiA1OS4xIDE5My40OCA1OS43&#10;OCAxOTUuMjIgNjAuNDEgMTk2Ljk2IDYxLjA1IDE5OC43IDYxLjA4IDE5OC43OSA2MS4xMSAxOTgu&#10;ODggNjEuMTUgMTk4Ljk3IDYxLjEzIDE5OC45MiA2MS4xMiAxOTguODcgNjEuMSAxOTguODIgNjEu&#10;MzUgMTk5LjUyIDYxLjYgMjAwLjIyIDYxLjgxIDIwMC45MiA2MiAyMDEuNTUgNjEuODcgMjAyLjE4&#10;IDYxLjkxIDIwMi44MiA2MS45MyAyMDMuMjIgNjEuNTQgMjAzLjU5IDYwLjg2IDIwMy43MiA2MC4w&#10;MyAyMDMuODggNTkuMTkgMjAzLjYyIDU4Ljg4IDIwMy4xNyA1OC41OSAyMDIuNzUgNTguMjUgMjAy&#10;LjM1IDU3Ljk0IDIwMS45MyA1Ny44IDIwMS43NCA1Ny43MyAyMDEuNTMgNTcuNjUgMjAxLjMyIDU3&#10;LjUzIDIwMS4wMyA1Ny40MyAyMDAuNzMgNTcuMzIgMjAwLjQzIDU3LjAxIDE5OS41NSA1Ni43NCAx&#10;OTguNjggNTYuNDggMTk3LjggNTUuOTYgMTk2LjA2IDU1LjUgMTk0LjMyIDU1LjA1IDE5Mi41OCA1&#10;NC44OCAxOTEuOTMgNTQuNzEgMTkxLjI4IDU0LjU2IDE5MC42MiA1NC40OSAxOTAuMzEgNTQuNDIg&#10;MTg5Ljk5IDU0LjM5IDE4OS42OCA1NC4zNSAxODkuMzEgNTQuMjkgMTg4Ljg3IDU0Ljc3IDE4OC41&#10;NyA1NC45OSAxODguNDMgNTUuMzEgMTg4LjM0IDU1LjY0IDE4OC4zMyA1NS42OSAxODguMzMgNTUu&#10;NzUgMTg4LjMzIDU1Ljc5IDE4OC4zMyA1Ni4wOSAxODguMzMgNTYuMzIgMTg4LjQxIDU2LjU4IDE4&#10;OC41MVoiIGZpbGw9IiMwMTAxMDEiLz48cGF0aCBkPSJNNzEuNTcgMTg3LjU3QzcyLjI4IDE4Ny43&#10;OCA3Mi40NyAxODguMjkgNzIuNjcgMTg4LjY5IDcyLjg1IDE4OS4wNSA3Mi45OSAxODkuNDEgNzMu&#10;MTMgMTg5Ljc4IDczLjQ2IDE5MC42MiA3My43NyAxOTEuNDYgNzQuMDcgMTkyLjMxIDc0LjY5IDE5&#10;NC4wNCA3NS4yOCAxOTUuNzggNzUuOCAxOTcuNTIgNzYuMTQgMTk4LjY0IDc2LjQyIDE5OS43NyA3&#10;Ni42OCAyMDAuOSA3Ni44MSAyMDEuNDcgNzYuOTQgMjAyLjA0IDc3LjA0IDIwMi42MSA3Ny4wOSAy&#10;MDIuODggNzcuMTMgMjAzLjE1IDc3LjE1IDIwMy40MiA3Ny4xOSAyMDMuODEgNzcuMSAyMDQuMiA3&#10;Ny4wNSAyMDQuNTkgNzYuOTggMjA0Ljc4IDc2LjgzIDIwNC45NSA3Ni42IDIwNS4xIDc2LjI3IDIw&#10;NS4zMSA3NS44IDIwNS40NCA3NS4zIDIwNS40NiA3NC40MyAyMDUuNSA3My42NCAyMDUuMTkgNzMu&#10;MzUgMjA0LjczIDczLjIyIDIwNC41MyA3My4wOSAyMDQuMzIgNzIuOTcgMjA0LjEyIDcyLjgxIDIw&#10;My44NCA3Mi43NCAyMDMuNTQgNzIuNjQgMjAzLjI0IDcyLjUxIDIwMi44NiA3Mi40IDIwMi40NyA3&#10;Mi4zIDIwMi4wOCA3Mi4wOCAyMDEuMjQgNzEuODcgMjAwLjM5IDcxLjY4IDE5OS41NSA3MS4zIDE5&#10;Ny45IDcwLjk3IDE5Ni4yNCA3MC42NyAxOTQuNTkgNzAuNDYgMTkzLjQgNzAuMjMgMTkyLjIxIDcw&#10;LjAzIDE5MS4wMiA2OS45NCAxOTAuNDggNjkuODQgMTg5Ljk0IDY5LjggMTg5LjQgNjkuNzggMTg5&#10;LjEzIDY5Ljc3IDE4OC44NiA2OS43OCAxODguNTkgNjkuOCAxODguMjMgNjkuODggMTg3LjgzIDcw&#10;LjQ2IDE4Ny42MSA3MC42NiAxODcuNTMgNzAuODkgMTg3LjUgNzEuMTIgMTg3LjUxIDcxLjI3IDE4&#10;Ny41MSA3MS40MSAxODcuNTQgNzEuNTUgMTg3LjU3WiIgZmlsbD0iIzAxMDEwMSIvPjxwYXRoIGQ9&#10;Ik04OS43OCAxODguMzhDODkuODMgMTg4LjQ0IDg5Ljg4IDE4OC41IDg5LjkyIDE4OC41NSA5MC4w&#10;NyAxODguNzUgOTAuMTggMTg4Ljk1IDkwLjI5IDE4OS4xNiA5MC41NiAxODkuNjggOTAuNzEgMTkw&#10;LjIxIDkwLjg4IDE5MC43NCA5MS4xOCAxOTEuNjcgOTEuNDIgMTkyLjYxIDkxLjY3IDE5My41NCA5&#10;Mi4xNyAxOTUuNCA5Mi42MiAxOTcuMjggOTMuMDMgMTk5LjE1IDkzLjE4IDE5OS44MSA5My4zMSAy&#10;MDAuNDggOTMuNDUgMjAxLjE0IDkzLjU4IDIwMS44MyA5My43NCAyMDIuNTMgOTMuNzYgMjAzLjIz&#10;IDkzLjc4IDIwMy43NyA5My4yNiAyMDQuMjcgOTIuMzIgMjA0LjQ2IDkxLjc4IDIwNC41NiA5MS4x&#10;OCAyMDQuNTQgOTAuNjcgMjA0LjM5IDkwLjIyIDIwNC4yNiA4OS43NCAyMDQgODkuNjIgMjAzLjcg&#10;ODkuMiAyMDIuNzEgODkgMjAxLjY5IDg4Ljc4IDIwMC42NyA4OC41OCAxOTkuNzMgODguNDEgMTk4&#10;Ljc4IDg4LjI0IDE5Ny44NCA4Ny45MSAxOTUuOTYgODcuNjYgMTk0LjA5IDg3LjQ0IDE5Mi4yMSA4&#10;Ny4zNiAxOTEuNTIgODcuMjggMTkwLjg0IDg3LjI0IDE5MC4xNSA4Ny4yMiAxODkuODEgODcuMjIg&#10;MTg5LjQ2IDg3LjI1IDE4OS4xMiA4Ny4yOCAxODguODYgODcuMzIgMTg4LjY0IDg3LjQ4IDE4OC4z&#10;OSA4Ny40MyAxODguMDQgODcuOTYgMTg3LjczIDg4LjU1IDE4Ny43MSA4OC42IDE4Ny43MSA4OC42&#10;NCAxODcuNzEgODguNjkgMTg3LjcxIDg5LjMgMTg3LjczIDg5LjgyIDE4OC4wMyA4OS43OSAxODgu&#10;MzhaIiBmaWxsPSIjMDEwMTAxIi8+PHBhdGggZD0iTTEwMy44NyAxODcuMzVDMTA0LjQzIDE4Ny41&#10;MSAxMDQuNjEgMTg3Ljg5IDEwNC43NSAxODguMjEgMTA0Ljg4IDE4OC41MSAxMDUgMTg4LjggMTA1&#10;LjEzIDE4OS4xIDEwNS4zOSAxODkuNzMgMTA1LjYzIDE5MC4zNiAxMDUuODggMTkwLjk5IDEwNi4z&#10;OCAxOTIuMjUgMTA2Ljg3IDE5My41MiAxMDcuMzUgMTk0Ljc5IDEwNy40OSAxOTUuMTcgMTA3LjYz&#10;IDE5NS41NiAxMDcuNzcgMTk1Ljk0IDEwNy44MiAxOTYuMDYgMTA3Ljg1IDE5Ni4xOCAxMDcuOSAx&#10;OTYuMyAxMDcuODcgMTk2LjIyIDEwNy44NSAxOTYuMTUgMTA3LjgyIDE5Ni4wNyAxMDcuODIgMTk2&#10;LjA3IDEwNy44MiAxOTYuMDcgMTA3LjgyIDE5Ni4wNyAxMDguNjQgMTk4LjM1IDEwOS4zOSAyMDAu&#10;NjUgMTA5LjY4IDIwMi45OCAxMDkuNzMgMjAzLjM2IDEwOS4zMSAyMDMuNzEgMTA4LjY4IDIwMy44&#10;MyAxMDcuOTMgMjAzLjk4IDEwNy4wNSAyMDMuNzQgMTA2LjggMjAzLjMxIDEwNi4wNiAyMDIuMDIg&#10;MTA1LjYgMjAwLjY5IDEwNS4xNSAxOTkuMzcgMTA0LjgyIDE5OC40MSAxMDQuNTIgMTk3LjQ0IDEw&#10;NC4yNCAxOTYuNDcgMTA0LjIxIDE5Ni40MSAxMDQuMTkgMTk2LjM0IDEwNC4xOCAxOTYuMjggMTA0&#10;LjExIDE5Ni4wMyAxMDQuMDMgMTk1Ljc4IDEwMy45NiAxOTUuNTIgMTAzLjYgMTk0LjIzIDEwMy4y&#10;NiAxOTIuOTUgMTAyLjkzIDE5MS42NiAxMDIuNzcgMTkxLjAyIDEwMi42IDE5MC4zOCAxMDIuNDQg&#10;MTg5Ljc0IDEwMi4zNyAxODkuNDQgMTAyLjMxIDE4OS4xMyAxMDIuMjYgMTg4LjgyIDEwMi4yNCAx&#10;ODguNjggMTAyLjIyIDE4OC41NCAxMDIuMjIgMTg4LjQgMTAyLjIyIDE4OC4yMiAxMDIuMjEgMTg4&#10;LjA0IDEwMi4yOSAxODcuODcgMTAyLjM5IDE4Ny42NyAxMDIuNTEgMTg3LjUxIDEwMi44MyAxODcu&#10;MzggMTAzLjAxIDE4Ny4zMSAxMDMuMjQgMTg3LjI4IDEwMy40NiAxODcuMjggMTAzLjYxIDE4Ny4y&#10;OCAxMDMuNzUgMTg3LjMxIDEwMy44OCAxODcuMzRaIiBmaWxsPSIjMDEwMTAxIi8+PHBhdGggZD0i&#10;TTEyMi4yMiAxODcuMzVDMTIyLjk5IDE4Ny40OCAxMjMuMTUgMTg3Ljk4IDEyMy4yNyAxODguMzcg&#10;MTIzLjM3IDE4OC43MSAxMjMuNDQgMTg5LjA1IDEyMy40OSAxODkuNCAxMjMuNiAxOTAuMTMgMTIz&#10;LjY4IDE5MC44NiAxMjMuNzYgMTkxLjU5IDEyMy45MyAxOTMuMDYgMTI0LjEyIDE5NC41NCAxMjQu&#10;MzcgMTk2LjAxIDEyNC41MyAxOTYuOTUgMTI0LjcxIDE5Ny44OSAxMjQuODkgMTk4LjgzIDEyNS4w&#10;NyAxOTkuODEgMTI1LjI1IDIwMC43OCAxMjUuMjggMjAxLjc2IDEyNS4zIDIwMi4yNSAxMjQuODQg&#10;MjAyLjY5IDEyNCAyMDIuODUgMTIzLjUyIDIwMi45NCAxMjIuOTkgMjAyLjkyIDEyMi41MyAyMDIu&#10;NzkgMTIyLjEzIDIwMi42OCAxMjEuNjkgMjAyLjQ0IDEyMS41OSAyMDIuMTggMTIxLjI2IDIwMS4z&#10;NSAxMjEuMDYgMjAwLjUxIDEyMC45IDE5OS42NyAxMjAuNzYgMTk4Ljk1IDEyMC42NCAxOTguMjMg&#10;MTIwLjU2IDE5Ny41IDEyMC4zOSAxOTYuMDMgMTIwLjI5IDE5NC41NiAxMjAuMzIgMTkzLjA5IDEy&#10;MC4zNCAxOTIuMDMgMTIwLjQxIDE5MC45NyAxMjAuNTUgMTg5LjkyIDEyMC42MSAxODkuNDcgMTIw&#10;LjcgMTg5LjAyIDEyMC44MSAxODguNTcgMTIwLjg3IDE4OC4zMiAxMjAuOTYgMTg4LjA3IDEyMS4x&#10;MiAxODcuODMgMTIxLjE5IDE4Ny43MiAxMjEuMjggMTg3LjYxIDEyMS40MiAxODcuNTMgMTIxLjU5&#10;IDE4Ny40MyAxMjEuODQgMTg3LjMzIDEyMi4xIDE4Ny4zNCAxMjIuMTQgMTg3LjM0IDEyMi4xOCAx&#10;ODcuMzQgMTIyLjIyIDE4Ny4zNVoiIGZpbGw9IiMwMTAxMDEiLz48cGF0aCBkPSJNMTM0LjMzIDE4&#10;Ny42OEMxMzQuOTUgMTg3Ljc2IDEzNS4yMiAxODguMTYgMTM1LjM3IDE4OC40NyAxMzUuNTkgMTg4&#10;LjkgMTM1LjcgMTg5LjM1IDEzNS44MiAxODkuNzkgMTM2LjA0IDE5MC41NSAxMzYuMTkgMTkxLjMx&#10;IDEzNi4zMiAxOTIuMDcgMTM2LjYgMTkzLjY2IDEzNi43OSAxOTUuMjUgMTM3IDE5Ni44NCAxMzcu&#10;MiAxOTguMzUgMTM3LjQxIDE5OS44NyAxMzcuNTkgMjAxLjM5IDEzNy42OCAyMDIuMTYgMTM3Ljc0&#10;IDIwMi45MiAxMzcuODIgMjAzLjY5IDEzNy45MSAyMDQuNTIgMTM4LjAyIDIwNS4zNSAxMzguMTYg&#10;MjA2LjE4IDEzOC4yNiAyMDYuNzcgMTM3LjQgMjA3LjMgMTM2LjM4IDIwNy4zNCAxMzUuMzIgMjA3&#10;LjM4IDEzNC40NCAyMDYuOTIgMTM0LjM0IDIwNi4zMyAxMzQuMDYgMjA0LjcyIDEzMy43MyAyMDMu&#10;MTEgMTMzLjUzIDIwMS41IDEzMy4zMyAxOTkuOTMgMTMzLjMxIDE5OC4zNSAxMzMuMjcgMTk2Ljc4&#10;IDEzMy4yMyAxOTUuMjEgMTMzLjIgMTkzLjY0IDEzMy4xMyAxOTIuMDggMTMzLjA5IDE5MS4zMSAx&#10;MzMuMDUgMTkwLjU0IDEzMyAxODkuNzcgMTMyLjk4IDE4OS4zNCAxMzIuOTUgMTg4LjkxIDEzMy4w&#10;MiAxODguNDkgMTMzLjA3IDE4OC4xNyAxMzMuNDkgMTg3LjY2IDEzNC4xNyAxODcuNjggMTM0LjIy&#10;IDE4Ny42OCAxMzQuMjYgMTg3LjY4IDEzNC4zMSAxODcuNjlaIiBmaWxsPSIjMDEwMTAxIi8+PHBh&#10;dGggZD0iTTE1MC4zNSAxODcuNDhDMTUwLjY3IDE4Ny42MyAxNTAuODQgMTg3Ljg2IDE1MC45NiAx&#10;ODguMDggMTUxLjEgMTg4LjMyIDE1MS4xNyAxODguNTcgMTUxLjI0IDE4OC44MiAxNTEuMzUgMTg5&#10;LjIyIDE1MS40MiAxODkuNjEgMTUxLjQ5IDE5MC4wMiAxNTEuNjIgMTkwLjgxIDE1MS43IDE5MS42&#10;IDE1MS43OCAxOTIuMzggMTUxLjk0IDE5NC4wMSAxNTIuMDIgMTk1LjY1IDE1Mi4wOSAxOTcuMjkg&#10;MTUyLjE0IDE5OC4zNSAxNTIuMTkgMTk5LjQxIDE1Mi4xOCAyMDAuNDcgMTUyLjE3IDIwMS41OCAx&#10;NTIuMTMgMjAyLjY4IDE1Mi4yIDIwMy43OSAxNTIuMjQgMjA0LjM5IDE1MS40OCAyMDQuOTMgMTUw&#10;LjM5IDIwNC45NyAxNDkuMzUgMjA1LjAxIDE0OC4zNyAyMDQuNTUgMTQ4LjMxIDIwMy45NSAxNDgu&#10;MTYgMjAyLjMgMTQ3LjkgMjAwLjY2IDE0Ny44OCAxOTkuMDEgMTQ3Ljg1IDE5Ny4zNyAxNDcuOSAx&#10;OTUuNzQgMTQ3LjkyIDE5NC4xMSAxNDcuOTQgMTkzLjA1IDE0Ny45NSAxOTEuOTggMTQ3Ljk3IDE5&#10;MC45MiAxNDcuOTggMTkwLjQyIDE0Ny45OSAxODkuOTIgMTQ4LjAxIDE4OS40MiAxNDguMDMgMTg5&#10;LjA4IDE0OC4wMyAxODguNzUgMTQ4LjEgMTg4LjQxIDE0OC4xMiAxODguMyAxNDguMTUgMTg4LjE5&#10;IDE0OC4yIDE4OC4wOCAxNDguMjggMTg3LjkgMTQ4LjQgMTg3LjY4IDE0OC42NSAxODcuNTQgMTQ4&#10;Ljg5IDE4Ny40MiAxNDkuMTMgMTg3LjMzIDE0OS40NiAxODcuMzEgMTQ5LjUxIDE4Ny4zMSAxNDku&#10;NTYgMTg3LjMxIDE0OS42IDE4Ny4zMSAxNDkuODggMTg3LjMxIDE1MC4xMyAxODcuMzggMTUwLjM0&#10;IDE4Ny40OFoiIGZpbGw9IiMwMTAxMDEiLz48cGF0aCBkPSJNMTY2LjY5IDE4Ny4yNEMxNjcuMTEg&#10;MTg3LjQ1IDE2Ny4xOSAxODcuNzMgMTY3LjI4IDE4OC4wMyAxNjcuMzQgMTg4LjIyIDE2Ny4zNiAx&#10;ODguNDIgMTY3LjM5IDE4OC42MiAxNjcuNDQgMTg5LjAzIDE2Ny40NyAxODkuNDMgMTY3LjUgMTg5&#10;LjgzIDE2Ny41NiAxOTAuNjMgMTY3LjU5IDE5MS40MiAxNjcuNjMgMTkyLjIyIDE2Ny43MSAxOTMu&#10;ODEgMTY3LjgxIDE5NS4zOSAxNjcuODUgMTk2Ljk3IDE2Ny44NyAxOTcuNyAxNjcuODcgMTk4LjQy&#10;IDE2Ny44MSAxOTkuMTUgMTY3Ljc1IDE5OS45MiAxNjcuNjYgMjAwLjY4IDE2Ny42NSAyMDEuNDUg&#10;MTY3LjY1IDIwMS43NSAxNjcuNTMgMjAyLjAyIDE2Ny4xNyAyMDIuMjYgMTY2Ljg0IDIwMi40NyAx&#10;NjYuMzYgMjAyLjYgMTY1Ljg3IDIwMi42MiAxNjQuODQgMjAyLjY2IDE2My44NSAyMDIuMiAxNjMu&#10;ODEgMjAxLjYgMTYzLjc1IDIwMC43NiAxNjMuNjMgMTk5LjkyIDE2My41MyAxOTkuMDggMTYzLjQ1&#10;IDE5OC4zMiAxNjMuNDUgMTk3LjU2IDE2My40NyAxOTYuODEgMTYzLjUxIDE5NS4xOCAxNjMuNjEg&#10;MTkzLjU1IDE2My43MSAxOTEuOTEgMTYzLjc2IDE5MS4wOSAxNjMuODQgMTkwLjI3IDE2My45NSAx&#10;ODkuNDUgMTY0IDE4OS4wOSAxNjQuMDYgMTg4Ljc0IDE2NC4xNCAxODguMzggMTY0LjE5IDE4OC4y&#10;IDE2NC4yNSAxODguMDMgMTY0LjM0IDE4Ny44NiAxNjQuNDUgMTg3LjY1IDE2NC41NCAxODcuNTMg&#10;MTY0Ljc2IDE4Ny4zNiAxNjQuOTMgMTg3LjIzIDE2NS4xNSAxODcuMTYgMTY1LjQxIDE4Ny4wOSAx&#10;NjUuNTUgMTg3LjA1IDE2NS43MSAxODcuMDQgMTY1Ljg2IDE4Ny4wNSAxNjYuMTYgMTg3LjA1IDE2&#10;Ni40NiAxODcuMTMgMTY2LjY3IDE4Ny4yNFoiIGZpbGw9IiMwMTAxMDEiLz48cGF0aCBkPSJNMTgy&#10;LjQgMTg3LjA4QzE4Mi42MiAxODcuMTEgMTgyLjc4IDE4Ny4xNyAxODIuOSAxODcuMjYgMTgzLjA3&#10;IDE4Ny4zNiAxODMuMTggMTg3LjQ5IDE4My4yNiAxODcuNjMgMTgzLjMzIDE4Ny43NCAxODMuMzUg&#10;MTg3Ljg3IDE4My4zOSAxODcuOTggMTgzLjQzIDE4OC4wOSAxODMuNDYgMTg4LjE5IDE4My40OCAx&#10;ODguMyAxODMuNTcgMTg4LjcgMTgzLjYyIDE4OS4xIDE4My42NiAxODkuNSAxODMuNzQgMTkwLjI5&#10;IDE4My43NiAxOTEuMDkgMTgzLjc3IDE5MS44OSAxODMuOCAxOTMuNTggMTgzLjgyIDE5NS4yOCAx&#10;ODMuODUgMTk2Ljk3IDE4My44OCAxOTguMjYgMTgzLjgxIDE5OS41NSAxODMuODUgMjAwLjg0IDE4&#10;My44NSAyMDEuMTIgMTgzLjczIDIwMS4zNyAxODMuNCAyMDEuNTggMTgzLjA5IDIwMS43OCAxODIu&#10;NjYgMjAxLjkgMTgyLjIgMjAxLjkxIDE4MS4yNiAyMDEuOTUgMTgwLjM0IDIwMS41MiAxODAuMzEg&#10;MjAwLjk4IDE4MC4yNiAyMDAuMTMgMTgwLjE5IDE5OS4yNyAxODAuMTYgMTk4LjQyIDE4MC4xMyAx&#10;OTcuNjEgMTgwLjE2IDE5Ni43OSAxODAuMiAxOTUuOTcgMTgwLjI4IDE5NC4zMiAxODAuNCAxOTIu&#10;NjggMTgwLjU2IDE5MS4wMyAxODAuNjMgMTkwLjMyIDE4MC43MSAxODkuNjEgMTgwLjgxIDE4OC45&#10;IDE4MC44NiAxODguNiAxODAuOTEgMTg4LjI5IDE4MSAxODggMTgxLjA4IDE4Ny43NCAxODEuMTkg&#10;MTg3LjQ0IDE4MS41NCAxODcuMjYgMTgxLjU0IDE4Ny4yNiAxODEuNTQgMTg3LjI2IDE4MS41NCAx&#10;ODcuMjYgMTgxLjcxIDE4Ny4xNCAxODIgMTg3LjA4IDE4Mi4yNyAxODcuMDkgMTgyLjMxIDE4Ny4w&#10;OSAxODIuMzUgMTg3LjA5IDE4Mi4zOSAxODcuMDlaIiBmaWxsPSIjMDEwMTAxIi8+PHBhdGggZD0i&#10;TTE5MC42OCAxODguM0MxOTAuNjggMTg4LjMgMTkwLjY4IDE4OC4zIDE5MC42OSAxODguMyAxOTAu&#10;NyAxODguMyAxOTAuNzIgMTg4LjMgMTkwLjczIDE4OC4zTDE5MC42OCAxODguM1pNMTkyLjYgMTg2&#10;LjgzQzE5Mi42IDE4Ni44MyAxOTIuNiAxODYuODMgMTkyLjYgMTg2LjgzIDE5Mi42IDE4Ni44MyAx&#10;OTIuNiAxODYuODMgMTkyLjYgMTg2LjgzWk0xOTIuNTQgMTg2LjgxQzE5Mi41NCAxODYuODEgMTky&#10;LjU5IDE4Ni44MyAxOTIuNjEgMTg2Ljg0IDE5Mi42MSAxODYuODQgMTkyLjYxIDE4Ni44NCAxOTIu&#10;NiAxODYuODQgMTkyLjU4IDE4Ni44NCAxOTIuNTYgMTg2LjgzIDE5Mi41NCAxODYuODJaTTE5Mi44&#10;NiAxODYuOTNDMTkyLjg2IDE4Ni45MyAxOTIuOTQgMTg3IDE5Mi45NyAxODcuMDQgMTkzLjA0IDE4&#10;Ny4wOSAxOTMuMSAxODcuMTQgMTkzLjE1IDE4Ny4yIDE5My4zOCAxODcuNDUgMTkzLjU1IDE4Ny43&#10;IDE5My42OSAxODcuOTcgMTkzLjk3IDE4OC41MyAxOTQuMTEgMTg5LjEyIDE5NC4yNSAxODkuNyAx&#10;OTQuNDggMTkwLjY5IDE5NC41OSAxOTEuNyAxOTQuNzMgMTkyLjcgMTk0Ljg2IDE5My43MiAxOTQu&#10;OTkgMTk0LjczIDE5NS4xOCAxOTUuNzUgMTk1LjI3IDE5Ni4yMiAxOTUuMzMgMTk2LjcgMTk1LjM3&#10;IDE5Ny4xNyAxOTUuNDEgMTk3LjgxIDE5NS4yNCAxOTguNDMgMTk1LjA2IDE5OS4wNiAxOTQuODkg&#10;MTk5LjYzIDE5My45NiAyMDAuMDYgMTkyLjk2IDIwMC4xIDE5MS45IDIwMC4xNCAxOTEuMDEgMTk5&#10;Ljc2IDE5MC42NSAxOTkuMjEgMTkwLjQ5IDE5OC45NyAxOTAuMzMgMTk4LjcyIDE5MC4xOSAxOTgu&#10;NDggMTg5Ljk5IDE5OC4xMyAxODkuODkgMTk3Ljc3IDE4OS43OSAxOTcuNDEgMTg5LjY1IDE5Ni45&#10;NCAxODkuNiAxOTYuNDcgMTg5LjU2IDE5NiAxODkuNDYgMTk0Ljk5IDE4OS40MiAxOTMuOTggMTg5&#10;LjM1IDE5Mi45NyAxODkuMjggMTkxLjk1IDE4OS4yNSAxOTAuOTMgMTg5LjI1IDE4OS45MSAxODku&#10;MjUgMTg5LjMzIDE4OS4zIDE4OC43NSAxODkuMzkgMTg4LjE3IDE4OS40NCAxODcuODUgMTg5LjU2&#10;IDE4Ny40NiAxODkuODYgMTg3LjE1IDE4OS45OCAxODYuOTUgMTkwLjIxIDE4Ni43NyAxOTAuNTQg&#10;MTg2LjY1IDE5MC44NSAxODYuNTQgMTkxLjIgMTg2LjQ5IDE5MS41NSAxODYuNSAxOTIuMDggMTg2&#10;LjUyIDE5Mi41OSAxODYuNjcgMTkyLjg5IDE4Ni45M1oiIGZpbGw9IiMwMTAxMDEiLz48cGF0aCBk&#10;PSJNMjA2LjQ5IDE4OC42NEMyMDcuMDEgMTg4LjgxIDIwNy4zMyAxODkuMDUgMjA3LjUxIDE4OS4z&#10;OCAyMDcuNjYgMTg5LjY1IDIwNy43NCAxODkuOTQgMjA3LjgyIDE5MC4yMiAyMDcuOTYgMTkwLjY5&#10;IDIwOC4wOCAxOTEuMTUgMjA4LjE4IDE5MS42MiAyMDguMzkgMTkyLjU1IDIwOC41MyAxOTMuNDkg&#10;MjA4LjY1IDE5NC40MiAyMDguNzcgMTk1LjM3IDIwOC45MSAxOTYuMzIgMjA5LjA0IDE5Ny4yOCAy&#10;MDkuMSAxOTcuNzMgMjA5LjE2IDE5OC4xNyAyMDkuMTcgMTk4LjYyIDIwOS4xOCAxOTkuMDUgMjA5&#10;LjE3IDE5OS40OCAyMDkuMTcgMTk5LjkxIDIwOS4xNyAxOTkuOTcgMjA5LjE3IDIwMC4wMyAyMDku&#10;MTcgMjAwLjEgMjA5LjE3IDIwMC40IDIwOS4wMyAyMDAuNjggMjA4LjY2IDIwMC45MiAyMDguMzIg&#10;MjAxLjEzIDIwNy44MyAyMDEuMjYgMjA3LjMzIDIwMS4yOCAyMDYuOCAyMDEuMyAyMDYuMjggMjAx&#10;LjE5IDIwNS44OSAyMDAuOTkgMjA1LjQ5IDIwMC43OCAyMDUuMzMgMjAwLjUzIDIwNS4yNSAyMDAu&#10;MjMgMjA1IDE5OS4zMyAyMDQuOCAxOTguNDMgMjA0LjcgMTk3LjUyIDIwNC42MSAxOTYuNTkgMjA0&#10;LjUyIDE5NS42NSAyMDQuNDIgMTk0LjcyIDIwNC4zMSAxOTMuNzggMjA0LjIyIDE5Mi44MyAyMDQu&#10;MTQgMTkxLjg4IDIwNC4xIDE5MS40MSAyMDQuMDYgMTkwLjk0IDIwNC4wMyAxOTAuNDcgMjA0LjAy&#10;IDE5MC4yNiAyMDQuMDEgMTkwLjA0IDIwNC4wMiAxODkuODMgMjA0LjAzIDE4OS40NyAyMDQuMDkg&#10;MTg5LjEyIDIwNC41NCAxODguODMgMjA0LjU0IDE4OC44MyAyMDQuNTQgMTg4LjgzIDIwNC41NSAx&#10;ODguODMgMjA0Ljg3IDE4OC42MyAyMDUuMzcgMTg4LjUyIDIwNS44NSAxODguNTMgMjA2LjA2IDE4&#10;OC41MyAyMDYuMjcgMTg4LjU3IDIwNi40NiAxODguNjNaIiBmaWxsPSIjMDEwMTAxIi8+PHBhdGgg&#10;ZD0iTTIyMi4xIDE5NC4zOEMyMjIuMTIgMTk0LjQ0IDIyMi4xNCAxOTQuNTEgMjIyLjE2IDE5NC41&#10;NyAyMjIuMTQgMTk0LjUxIDIyMi4xMiAxOTQuNDQgMjIyLjEgMTk0LjM4Wk0yMjAuMTUgMTg4Ljcz&#10;QzIyMC42NSAxODguOTkgMjIwLjczIDE4OS40OCAyMjAuODYgMTg5LjgzIDIyMS4wNSAxOTAuMzcg&#10;MjIxLjE5IDE5MC45MSAyMjEuMzIgMTkxLjQ1IDIyMS41NSAxOTIuNDIgMjIxLjc5IDE5My40IDIy&#10;Mi4xIDE5NC4zNiAyMjIuNDkgMTk1LjQ5IDIyMi44MyAxOTYuNjIgMjIzLjEzIDE5Ny43NiAyMjMu&#10;NCAxOTguOCAyMjMuNzEgMTk5Ljg0IDIyMy44NSAyMDAuOSAyMjMuOTIgMjAxLjQ2IDIyMy4yNiAy&#10;MDIgMjIyLjMyIDIwMi4xNyAyMjEuNzcgMjAyLjI3IDIyMS4xNSAyMDIuMjUgMjIwLjYzIDIwMi4x&#10;IDIyMC4xNSAyMDEuOTYgMjE5LjY1IDIwMS42OCAyMTkuNTMgMjAxLjM3IDIxOC43NyAxOTkuNDkg&#10;MjE4LjUzIDE5Ny41NiAyMTguNDMgMTk1LjYzIDIxOC4zOCAxOTQuNjIgMjE4LjM4IDE5My42IDIx&#10;OC4yOCAxOTIuNTkgMjE4LjE5IDE5MS42NiAyMTguMDIgMTkwLjcyIDIxNy45NyAxODkuNzggMjE3&#10;Ljk2IDE4OS41NCAyMTcuOTIgMTg5LjI1IDIxOC4wNiAxODkuMDEgMjE4LjEzIDE4OC44NCAyMTgu&#10;MzIgMTg4LjY4IDIxOC41OCAxODguNTkgMjE4LjggMTg4LjUxIDIxOS4wNSAxODguNDggMjE5LjMg&#10;MTg4LjQ4IDIxOS42MiAxODguNDkgMjE5LjkzIDE4OC41NyAyMjAuMTUgMTg4LjcxWiIgZmlsbD0i&#10;IzAxMDEwMSIvPjxwYXRoIGQ9Ik0yMzUuOTEgMTkwLjM1QzIzNi4wNyAxOTAuNDMgMjM2LjE5IDE5&#10;MC41MyAyMzYuMjYgMTkwLjYzIDIzNi41MiAxOTAuODQgMjM2LjY1IDE5MS4xIDIzNi43NiAxOTEu&#10;MzUgMjM2Ljk4IDE5MS44MyAyMzcuMTIgMTkyLjMyIDIzNy4yMiAxOTIuODEgMjM3LjQyIDE5My43&#10;MiAyMzcuNTggMTk0LjYyIDIzNy43NCAxOTUuNTMgMjM4LjA2IDE5Ny4zMiAyMzguNjUgMTk5LjEg&#10;MjM4LjY4IDIwMC45IDIzOC42OCAyMDEuNDEgMjM4LjIgMjAxLjg3IDIzNy4zMiAyMDIuMDMgMjM2&#10;LjM1IDIwMi4yMSAyMzUuMDggMjAxLjkxIDIzNC44MiAyMDEuMzEgMjM0LjAyIDE5OS40NyAyMzQg&#10;MTk3LjU4IDIzMy43MiAxOTUuNyAyMzMuNTkgMTk0LjggMjMzLjQ1IDE5My45IDIzMy4zMyAxOTMg&#10;MjMzLjI3IDE5Mi41NyAyMzMuMjIgMTkyLjE0IDIzMy4yNiAxOTEuNzEgMjMzLjI5IDE5MS40MyAy&#10;MzMuMzEgMTkxLjE3IDIzMy40NCAxOTAuOTIgMjMzLjQ0IDE5MC44NyAyMzMuNDUgMTkwLjgzIDIz&#10;My40NyAxOTAuNzkgMjMzLjU3IDE5MC41IDIzMy45NiAxOTAuMjYgMjM0LjQ1IDE5MC4xNyAyMzQu&#10;NjIgMTkwLjE0IDIzNC44MSAxOTAuMTIgMjM0Ljk5IDE5MC4xMyAyMzUuMzIgMTkwLjE0IDIzNS42&#10;NSAxOTAuMjEgMjM1LjkgMTkwLjM0WiIgZmlsbD0iIzAxMDEwMSIvPjxwYXRoIGQ9Ik0yNDkuMDgg&#10;MTg4LjJDMjQ5LjE0IDE4OC4yNSAyNDkuMTggMTg4LjMgMjQ5LjIyIDE4OC4zNiAyNDkuNDQgMTg4&#10;LjYyIDI0OS41IDE4OC45MiAyNDkuNTggMTg5LjIxIDI0OS42OSAxODkuNTggMjQ5Ljc4IDE4OS45&#10;NSAyNDkuODYgMTkwLjMyIDI1MC4wNCAxOTEuMDkgMjUwLjIyIDE5MS44NyAyNTAuMzkgMTkyLjY0&#10;IDI1MC43NCAxOTQuMTkgMjUxLjEyIDE5NS43MyAyNTEuNjIgMTk3LjI2IDI1MS45NSAxOTguMjIg&#10;MjUyLjI5IDE5OS4xOCAyNTIuNTMgMjAwLjE1IDI1Mi42MyAyMDAuNTggMjUyLjcyIDIwMS4wMSAy&#10;NTIuNzggMjAxLjQ1IDI1Mi44MSAyMDEuNjcgMjUyLjg0IDIwMS44OSAyNTIuODYgMjAyLjEgMjUy&#10;Ljg4IDIwMi4zOSAyNTIuODYgMjAyLjY4IDI1Mi44MyAyMDIuOTcgMjUyLjg1IDIwMy4xMSAyNTIu&#10;NzkgMjAzLjI1IDI1Mi42OCAyMDMuMzggMjUyLjUxIDIwMy41NyAyNTIuMjEgMjAzLjcyIDI1MS44&#10;NSAyMDMuNzggMjUxLjEgMjAzLjkyIDI1MC4zMyAyMDMuNjggMjUwLjA2IDIwMy4yNyAyNDkuOSAy&#10;MDMuMDMgMjQ5LjczIDIwMi43OSAyNDkuNiAyMDIuNTQgMjQ5LjUgMjAyLjM0IDI0OS40MiAyMDIu&#10;MTQgMjQ5LjMzIDIwMS45NSAyNDkuMTMgMjAxLjQ3IDI0OC45NCAyMDAuOTkgMjQ4Ljc5IDIwMC41&#10;IDI0OC41MSAxOTkuNiAyNDguMzEgMTk4LjcgMjQ4LjEyIDE5Ny43OSAyNDcuNzUgMTk1Ljk0IDI0&#10;Ny4zNCAxOTQuMDkgMjQ3LjAzIDE5Mi4yNCAyNDYuOTEgMTkxLjU2IDI0Ni44IDE5MC44OCAyNDYu&#10;NyAxOTAuMjEgMjQ2LjY1IDE4OS44OCAyNDYuNjEgMTg5LjU1IDI0Ni41OSAxODkuMjMgMjQ2LjU3&#10;IDE4OC45NCAyNDYuNTQgMTg4LjU5IDI0Ni43OSAxODguMzEgMjQ2LjggMTg4LjMgMjQ2LjgxIDE4&#10;OC4yOCAyNDYuODIgMTg4LjI3IDI0Ny4wMyAxODguMDQgMjQ3LjQ1IDE4Ny44OCAyNDcuOTEgMTg3&#10;Ljg2IDI0Ny45NiAxODcuODYgMjQ4LjAxIDE4Ny44NiAyNDguMDYgMTg3Ljg2IDI0OC40NyAxODcu&#10;ODcgMjQ4Ljg2IDE4OCAyNDkuMDggMTg4LjJaIiBmaWxsPSIjMDEwMTAxIi8+PHBhdGggZD0iTTI2&#10;Mi42IDE5MS4yN0MyNjMuNDIgMTkxLjQ2IDI2My44MyAxOTIgMjY0LjE2IDE5Mi40MyAyNjQuMzkg&#10;MTkyLjczIDI2NC41MyAxOTMuMDYgMjY0LjY3IDE5My4zOSAyNjQuOTYgMTk0LjA1IDI2NS4xOSAx&#10;OTQuNzMgMjY1LjQyIDE5NS40IDI2NS44OCAxOTYuNzIgMjY2LjIzIDE5OC4wNiAyNjYuNjYgMTk5&#10;LjM4IDI2Ni43NyAxOTkuNjcgMjY2Ljg5IDE5OS45NyAyNjYuOTIgMjAwLjI3IDI2Ni45NCAyMDAu&#10;NTYgMjY2Ljk0IDIwMC44NSAyNjYuOTMgMjAxLjE0IDI2Ni45MiAyMDEuNjQgMjY2LjQ3IDIwMi4w&#10;OSAyNjUuNiAyMDIuMjUgMjY1LjExIDIwMi4zNCAyNjQuNTggMjAyLjMyIDI2NC4xMiAyMDIuMTgg&#10;MjYzLjYzIDIwMi4wNCAyNjMuMzYgMjAxLjgyIDI2My4xNSAyMDEuNTQgMjYyLjkzIDIwMS4yNiAy&#10;NjIuNzMgMjAwLjk4IDI2Mi41NiAyMDAuNjkgMjYyLjM1IDIwMC4zNCAyNjIuMjggMTk5Ljk3IDI2&#10;Mi4xNyAxOTkuNjEgMjYxLjc0IDE5OC4zNyAyNjEuMzEgMTk3LjEzIDI2MC45MiAxOTUuODggMjYw&#10;LjcyIDE5NS4yMyAyNjAuNTMgMTk0LjU4IDI2MC4zNCAxOTMuOTMgMjYwLjI0IDE5My42MSAyNjAu&#10;MTUgMTkzLjI5IDI2MC4wNSAxOTIuOTYgMjU5Ljk2IDE5Mi42NiAyNTkuODIgMTkyLjI4IDI1OS45&#10;OSAxOTEuOTggMjYwLjE1IDE5MS43IDI2MC4zNCAxOTEuNDggMjYwLjc5IDE5MS4zMiAyNjEuMTMg&#10;MTkxLjIgMjYxLjQ4IDE5MS4xNSAyNjEuODUgMTkxLjE2IDI2Mi4xIDE5MS4xNiAyNjIuMzYgMTkx&#10;LjIgMjYyLjYxIDE5MS4yNloiIGZpbGw9IiMwMTAxMDEiLz48cGF0aCBkPSJNMjc2LjgzIDE5MS4y&#10;NkMyNzcuMzcgMTkxLjM5IDI3Ny42NiAxOTEuNzIgMjc3Ljg1IDE5Mi4wMSAyNzcuOTcgMTkyLjE5&#10;IDI3OC4wNSAxOTIuMzcgMjc4LjExIDE5Mi41NSAyNzguMjkgMTkzLjA1IDI3OC40NiAxOTMuNTUg&#10;Mjc4LjYxIDE5NC4wNSAyNzguODcgMTk0Ljg5IDI3OS4wNSAxOTUuNzMgMjc5LjI0IDE5Ni41NyAy&#10;NzkuNDMgMTk3LjQgMjc5LjU4IDE5OC4yMyAyNzkuODEgMTk5LjA1IDI3OS45MiAxOTkuNDQgMjgw&#10;LjA0IDE5OS44NCAyODAuMTUgMjAwLjIzIDI4MC4yMSAyMDAuNDQgMjgwLjI2IDIwMC42NSAyODAu&#10;MzEgMjAwLjg2IDI4MC4zMyAyMDAuOTQgMjgwLjM2IDIwMS4wMyAyODAuMzcgMjAxLjEyIDI4MC40&#10;IDIwMS4zNCAyODAuMzcgMjAxLjU1IDI4MC4zMiAyMDEuNzcgMjgwLjI0IDIwMS45OCAyODAuMDcg&#10;MjAyLjE3IDI3OS44MSAyMDIuMzQgMjc5LjQ0IDIwMi41NyAyNzguOTIgMjAyLjcxIDI3OC4zOCAy&#10;MDIuNzMgMjc3LjQgMjAyLjc2IDI3Ni41OSAyMDIuNDEgMjc2LjI1IDIwMS45MSAyNzUuOTQgMjAx&#10;LjQ0IDI3NS45IDIwMC45MSAyNzUuODEgMjAwLjQyIDI3NS43NCAyMDAuMDIgMjc1LjY5IDE5OS42&#10;MiAyNzUuNjQgMTk5LjIzIDI3NS41MyAxOTguNDEgMjc1LjMzIDE5Ny42IDI3NS4xNyAxOTYuNzkg&#10;Mjc1IDE5NS45NCAyNzQuODQgMTk1LjA5IDI3NC42OCAxOTQuMjQgMjc0LjYxIDE5My44MyAyNzQu&#10;NTMgMTkzLjQyIDI3NC40OCAxOTMuMDIgMjc0LjQ2IDE5Mi44MyAyNzQuNDUgMTkyLjY0IDI3NC40&#10;NyAxOTIuNDQgMjc0LjQ5IDE5Mi4yOSAyNzQuNDggMTkyLjExIDI3NC41NyAxOTEuOTYgMjc0LjY2&#10;IDE5MS44IDI3NC43NyAxOTEuNTggMjc1LjAxIDE5MS40NiAyNzUuMTkgMTkxLjM1IDI3NS40MSAx&#10;OTEuMjcgMjc1LjY2IDE5MS4yMiAyNzUuODQgMTkxLjE5IDI3Ni4wMiAxOTEuMTcgMjc2LjE5IDE5&#10;MS4xOCAyNzYuNCAxOTEuMTggMjc2LjYxIDE5MS4yMiAyNzYuODIgMTkxLjI3WiIgZmlsbD0iIzAx&#10;MDEwMSIvPjxwYXRoIGQ9Ik0yODguNjIgMTkxLjcxQzI4OS4yNSAxOTEuOTEgMjg5LjQ5IDE5Mi4y&#10;NyAyODkuNjMgMTkyLjY0IDI4OS43NiAxOTIuOTggMjg5Ljg0IDE5My4zMyAyODkuOTMgMTkzLjY4&#10;IDI5MC4wNyAxOTQuMjMgMjkwLjE3IDE5NC43OSAyOTAuMjcgMTk1LjM0IDI5MC40OCAxOTYuNTQg&#10;MjkwLjYyIDE5Ny43NCAyOTAuNzIgMTk4Ljk1IDI5MC43NiAxOTkuNDUgMjkwLjA5IDE5OS45IDI4&#10;OS4xOSAxOTkuOTMgMjg4Ljc1IDE5OS45NSAyODguMzEgMTk5Ljg2IDI4Ny45OSAxOTkuNjkgMjg3&#10;LjY1IDE5OS41MSAyODcuNTMgMTk5LjMxIDI4Ny40NiAxOTkuMDYgMjg3LjExIDE5Ny44NyAyODYu&#10;ODQgMTk2LjY4IDI4Ni42NCAxOTUuNDggMjg2LjU1IDE5NC45NCAyODYuNDcgMTk0LjM5IDI4Ni40&#10;MyAxOTMuODUgMjg2LjQxIDE5My41NyAyODYuMzggMTkzLjI4IDI4Ni40IDE5MyAyODYuNDMgMTky&#10;LjU0IDI4Ni40NyAxOTIuMDUgMjg3LjIzIDE5MS43NiAyODcuNDcgMTkxLjY3IDI4Ny43OCAxOTEu&#10;NjIgMjg4LjA4IDE5MS42MyAyODguMjcgMTkxLjYzIDI4OC40NiAxOTEuNjYgMjg4LjYzIDE5MS43&#10;MloiIGZpbGw9IiMwMTAxMDEiLz48cGF0aCBkPSJNMjk4Ljg2IDE5MC4wN0MyOTkuMjMgMTkwLjE3&#10;IDI5OS41IDE5MC4zNSAyOTkuNjkgMTkwLjU1IDI5OS45MSAxOTAuNzggMzAwLjA4IDE5MS4wMiAz&#10;MDAuMjIgMTkxLjI3IDMwMC40NSAxOTEuNjggMzAwLjYgMTkyLjEgMzAwLjc1IDE5Mi41MiAzMDEu&#10;MDcgMTkzLjQzIDMwMS4zMSAxOTQuMzQgMzAxLjUyIDE5NS4yNSAzMDEuOTMgMTk3LjAxIDMwMi4y&#10;OCAxOTguNzcgMzAyLjU2IDIwMC41MyAzMDIuNjcgMjAxLjIxIDMwMi43OCAyMDEuODkgMzAyLjgx&#10;IDIwMi41OCAzMDIuODMgMjAzLjA3IDMwMi4zNCAyMDMuNTEgMzAxLjUxIDIwMy42NyAzMDEuMDMg&#10;MjAzLjc2IDMwMC41MSAyMDMuNzQgMzAwLjA2IDIwMy42MSAyOTkuNjUgMjAzLjQ5IDI5OS4yMiAy&#10;MDMuMjUgMjk5LjEyIDIwMi45OCAyOTguNzQgMjAyLjA1IDI5OC41IDIwMS4wOSAyOTguMjkgMjAw&#10;LjE0IDI5OC4xIDE5OS4yOCAyOTcuOTMgMTk4LjQyIDI5Ny43OCAxOTcuNTcgMjk3LjQ5IDE5NS44&#10;MSAyOTcuMjYgMTk0LjA1IDI5Ny4xMSAxOTIuMjkgMjk3LjA5IDE5MS45OCAyOTcuMDYgMTkxLjY3&#10;IDI5Ny4wNiAxOTEuMzYgMjk3LjA2IDE5MS4wNCAyOTcuMDMgMTkwLjY2IDI5Ny4zMSAxOTAuMzcg&#10;Mjk3LjU1IDE5MC4xMyAyOTcuOTcgMTkwIDI5OC40MSAxOTAuMDEgMjk4LjU2IDE5MC4wMSAyOTgu&#10;NzEgMTkwLjA0IDI5OC44NiAxOTAuMDhaIiBmaWxsPSIjMDEwMTAxIi8+PHBhdGggZD0iTTMxMy4w&#10;NSAxOTIuMjZDMzEzLjQgMTkyLjQyIDMxMy42MSAxOTIuNjcgMzEzLjc2IDE5Mi45IDMxMy44NiAx&#10;OTMuMDUgMzEzLjkyIDE5My4yMSAzMTMuOTggMTkzLjM3IDMxNC4xNSAxOTMuODIgMzE0LjI4IDE5&#10;NC4yNiAzMTQuMzggMTk0LjcxIDMxNC41NSAxOTUuNDUgMzE0LjY5IDE5Ni4xOSAzMTQuOCAxOTYu&#10;OTMgMzE0LjkyIDE5Ny42NSAzMTUuMDIgMTk4LjM3IDMxNS4xMyAxOTkuMDkgMzE1LjE4IDE5OS40&#10;NCAzMTUuMjUgMTk5Ljc5IDMxNS4yOSAyMDAuMTUgMzE1LjM0IDIwMC42NSAzMTUuMjMgMjAxLjE2&#10;IDMxNS4xMyAyMDEuNjYgMzE1LjAzIDIwMi4xNSAzMTQuMTQgMjAyLjUyIDMxMy4zMiAyMDIuNTUg&#10;MzEyLjQ1IDIwMi41OCAzMTEuNiAyMDIuMjYgMzExLjM0IDIwMS43OSAzMTEuMDggMjAxLjMyIDMx&#10;MC44NSAyMDAuODYgMzEwLjc0IDIwMC4zNyAzMTAuNjcgMjAwLjAzIDMxMC42MiAxOTkuNjggMzEw&#10;LjU2IDE5OS4zNCAzMTAuNDUgMTk4LjYxIDMxMC4zMiAxOTcuODggMzEwLjIyIDE5Ny4xNSAzMTAu&#10;MTIgMTk2LjQxIDMxMC4wMyAxOTUuNjggMzA5Ljk3IDE5NC45NCAzMDkuOTQgMTk0LjU2IDMwOS45&#10;IDE5NC4xOCAzMDkuOTEgMTkzLjggMzA5LjkxIDE5My4zMSAzMDkuOTEgMTkyLjY5IDMxMC41NyAx&#10;OTIuMzIgMzEwLjkgMTkyLjE0IDMxMS4yOCAxOTIuMDIgMzExLjc1IDE5MiAzMTEuODIgMTkyIDMx&#10;MS44OCAxOTIgMzExLjk0IDE5MiAzMTIuMzUgMTkyLjAxIDMxMi42OSAxOTIuMTEgMzEzLjAyIDE5&#10;Mi4yNVoiIGZpbGw9IiMwMTAxMDEiLz48cGF0aCBkPSJNMzI2LjkgMTkxLjgyQzMyNy4zOCAxOTEu&#10;OTMgMzI3LjY2IDE5Mi4yNSAzMjcuNzkgMTkyLjUxIDMyNy45MyAxOTIuNzcgMzI4LjAxIDE5My4w&#10;NCAzMjguMDkgMTkzLjMgMzI4LjIzIDE5My43MiAzMjguMzQgMTk0LjE1IDMyOC40NCAxOTQuNTgg&#10;MzI4LjY0IDE5NS40MyAzMjguODEgMTk2LjI3IDMyOS4wMSAxOTcuMTIgMzI5LjM5IDE5OC43OSAz&#10;MjkuNjggMjAwLjQ2IDMyOS45NSAyMDIuMTQgMzMwLjEyIDIwMy4yMSAzMzAuMzYgMjA0LjI3IDMz&#10;MC40NyAyMDUuMzQgMzMwLjUyIDIwNS44MyAzMjkuOTcgMjA2LjMgMzI5LjE0IDIwNi40NSAzMjgu&#10;NjYgMjA2LjU0IDMyOC4xMiAyMDYuNTIgMzI3LjY2IDIwNi4zOSAzMjcuMjQgMjA2LjI3IDMyNi44&#10;IDIwNi4wMiAzMjYuNyAyMDUuNzUgMzI2LjMzIDIwNC44MyAzMjYuMTMgMjAzLjkgMzI1LjkxIDIw&#10;Mi45NiAzMjUuNzIgMjAyLjE2IDMyNS41MiAyMDEuMzcgMzI1LjM1IDIwMC41NyAzMjUgMTk4Ljg1&#10;IDMyNC43NiAxOTcuMTIgMzI0LjY5IDE5NS4zOSAzMjQuNjcgMTk0LjgyIDMyNC42NiAxOTQuMjQg&#10;MzI0LjY5IDE5My42NyAzMjQuNzEgMTkzLjM0IDMyNC43MiAxOTMgMzI0LjgyIDE5Mi42NyAzMjQu&#10;ODYgMTkyLjUxIDMyNC45MyAxOTIuMzIgMzI1LjA4IDE5Mi4xOCAzMjUuMjEgMTkyLjA2IDMyNS4z&#10;NSAxOTEuOTMgMzI1LjU5IDE5MS44NiAzMjUuODcgMTkxLjc4IDMyNi4xMiAxOTEuNzQgMzI2LjM5&#10;IDE5MS43NSAzMjYuNTUgMTkxLjc1IDMyNi43MiAxOTEuNzggMzI2LjkgMTkxLjgyWiIgZmlsbD0i&#10;IzAxMDEwMSIvPjxwYXRoIGQ9Ik0zNDAuMjggMTkyLjAxQzM0MC43IDE5Mi4xOSAzNDAuOTIgMTky&#10;LjUgMzQxLjEyIDE5Mi43NiAzNDEuMjggMTkyLjk3IDM0MS4zOCAxOTMuMiAzNDEuNDcgMTkzLjQy&#10;IDM0MS43MSAxOTMuOTggMzQxLjg4IDE5NC41NiAzNDIuMDMgMTk1LjE0IDM0Mi4zIDE5Ni4xNSAz&#10;NDIuNTEgMTk3LjE3IDM0Mi43MiAxOTguMTggMzQyLjk0IDE5OS4xNyAzNDMuMTQgMjAwLjE1IDM0&#10;My4zNiAyMDEuMTMgMzQzLjU4IDIwMi4xMiAzNDMuODUgMjAzLjA5IDM0NC4xMSAyMDQuMDggMzQ0&#10;LjE5IDIwNC4zNyAzNDQuMjYgMjA0LjY2IDM0NC4zMiAyMDQuOTYgMzQ0LjQ0IDIwNS41MiAzNDMu&#10;NyAyMDYuMDcgMzQyLjc5IDIwNi4yNCAzNDIuMjMgMjA2LjM0IDM0MS42MSAyMDYuMzIgMzQxLjA5&#10;IDIwNi4xNyAzNDAuNjEgMjA2LjAzIDM0MC4xIDIwNS43NSAzMzkuOTggMjA1LjQ0IDMzOS4xOSAy&#10;MDMuNDIgMzM4LjY1IDIwMS4zNSAzMzguMjEgMTk5LjI5IDMzOCAxOTguMjkgMzM3LjgxIDE5Ny4y&#10;OCAzMzcuNjMgMTk2LjI4IDMzNy41NCAxOTUuNzggMzM3LjQ3IDE5NS4yOCAzMzcuMzkgMTk0Ljc4&#10;IDMzNy4zMSAxOTQuMyAzMzcuMjMgMTkzLjgyIDMzNy4yMyAxOTMuMzQgMzM3LjIzIDE5My4xMyAz&#10;MzcuMjUgMTkyLjkxIDMzNy4zMSAxOTIuNzEgMzM3LjM4IDE5Mi40NyAzMzcuNTggMTkyLjI5IDMz&#10;Ny44NCAxOTIuMSAzMzguMDkgMTkxLjkxIDMzOC42IDE5MS44IDMzOS4wMSAxOTEuNzggMzM5LjA4&#10;IDE5MS43OCAzMzkuMTQgMTkxLjc4IDMzOS4yMSAxOTEuNzggMzM5LjYxIDE5MS43OSAzMzkuOTQg&#10;MTkxLjg5IDM0MC4yOCAxOTIuMDNaIiBmaWxsPSIjMDEwMTAxIi8+PHBhdGggZD0iTTM2MC4zOSAy&#10;MDIuODhDMzYwLjQxIDIwMi45NSAzNjAuNDQgMjAzLjAyIDM2MC40NiAyMDMuMDkgMzYwLjQ0IDIw&#10;My4wMiAzNjAuNDEgMjAyLjk1IDM2MC4zOSAyMDIuODhaTTM1OS4yMyAxOTkuMTNDMzU5LjIzIDE5&#10;OS4xMyAzNTkuMjUgMTk5LjE4IDM1OS4yNiAxOTkuMjEgMzU5LjI2IDE5OS4xOCAzNTkuMjQgMTk5&#10;LjE2IDM1OS4yMyAxOTkuMTNaTTM1NS41OCAxOTIuM0MzNTcuMDMgMTkyLjQ3IDM1Ny40NiAxOTMu&#10;MjggMzU3LjcxIDE5NCAzNTcuOTQgMTk0LjY1IDM1OC4xNCAxOTUuMzEgMzU4LjMzIDE5NS45NyAz&#10;NTguNjUgMTk3LjA2IDM1OC45MSAxOTguMTYgMzU5LjI3IDE5OS4yNSAzNTkuNDkgMTk5Ljg5IDM1&#10;OS43MiAyMDAuNTIgMzU5LjkxIDIwMS4xNiAzNjAuMDcgMjAxLjczIDM2MC4yIDIwMi4zIDM2MC4z&#10;OSAyMDIuODYgMzYwLjUxIDIwMy4yMSAzNjAuNjMgMjAzLjU3IDM2MC43NCAyMDMuOTIgMzYwLjc2&#10;IDIwNC4xNyAzNjAuNjggMjA0LjQxIDM2MC40NyAyMDQuNjQgMzYwLjE3IDIwNC45NyAzNTkuNjUg&#10;MjA1LjIzIDM1OS4wMyAyMDUuMzQgMzU4LjQxIDIwNS40NiAzNTcuNzIgMjA1LjQyIDM1Ny4xMyAy&#10;MDUuMjYgMzU2LjU5IDIwNS4xMSAzNTYuMDQgMjA0Ljc5IDM1NS44OSAyMDQuNDQgMzU1LjQ2IDIw&#10;My4zOSAzNTUuMDkgMjAyLjMzIDM1NC43NSAyMDEuMjggMzU0LjQzIDIwMC4zIDM1NC4yNSAxOTku&#10;MzEgMzU0LjAyIDE5OC4zMiAzNTMuOCAxOTcuMzkgMzUzLjU5IDE5Ni40NyAzNTMuNCAxOTUuNTQg&#10;MzUzLjMxIDE5NS4wNyAzNTMuMjIgMTk0LjYxIDM1My4xNCAxOTQuMTQgMzUzLjEgMTkzLjg2IDM1&#10;My4xIDE5My42MSAzNTMuMTQgMTkzLjMzIDM1My4yMiAxOTIuNzMgMzU0LjI2IDE5Mi4yNSAzNTUu&#10;MyAxOTIuMjggMzU1LjM5IDE5Mi4yOCAzNTUuNDggMTkyLjI4IDM1NS41NyAxOTIuM1oiIGZpbGw9&#10;IiMwMTAxMDEiLz48cGF0aCBkPSJNMzY5LjYxIDE5MS44NkMzNjkuOTkgMTkyLjA3IDM3MC4xNSAx&#10;OTIuMjUgMzcwLjM4IDE5Mi41MiAzNzAuNjQgMTkyLjgzIDM3MC43OSAxOTMuMTYgMzcwLjkzIDE5&#10;My40OCAzNzEuMjkgMTk0LjI5IDM3MS40OCAxOTUuMTIgMzcxLjcxIDE5NS45NCAzNzIuMSAxOTcu&#10;MzcgMzcyLjQ0IDE5OC44IDM3Mi43MiAyMDAuMjMgMzcyLjg2IDIwMC45MSAzNzEuODEgMjAxLjUx&#10;IDM3MC42NiAyMDEuNTUgMzcwLjA3IDIwMS41NyAzNjkuNDggMjAxLjQ1IDM2OS4wNSAyMDEuMjMg&#10;MzY4LjU5IDIwMC45OSAzNjguNDQgMjAwLjcyIDM2OC4zMyAyMDAuMzggMzY3LjkxIDE5OC45NiAz&#10;NjcuNiAxOTcuNTQgMzY3LjI5IDE5Ni4xMSAzNjcuMTMgMTk1LjM5IDM2Ni45OCAxOTQuNjcgMzY2&#10;Ljg0IDE5My45NSAzNjYuNzggMTkzLjY0IDM2Ni43MiAxOTMuMzIgMzY2LjY3IDE5My4wMSAzNjYu&#10;NTggMTkyLjQ2IDM2Ni43NyAxOTEuODEgMzY3Ljg2IDE5MS42MiAzNjguMDYgMTkxLjU5IDM2OC4y&#10;NyAxOTEuNTcgMzY4LjQ4IDE5MS41OCAzNjguOSAxOTEuNTkgMzY5LjMyIDE5MS42OSAzNjkuNjEg&#10;MTkxLjg1WiIgZmlsbD0iIzAxMDEwMSIvPjxwYXRoIGQ9Ik0zNzkuOTUgMTg5LjMzQzM3OS45OSAx&#10;ODkuMzkgMzgwIDE4OS40NiAzODAuMDEgMTg5LjUyIDM4MC4wNiAxODkuNTggMzgwLjExIDE4OS42&#10;NSAzODAuMTUgMTg5LjcxIDM4MC4yOSAxODkuOTUgMzgwLjQgMTkwLjIgMzgwLjUxIDE5MC40NSAz&#10;ODAuNzUgMTkxLjAxIDM4MC45MiAxOTEuNTcgMzgxLjA5IDE5Mi4xNCAzODEuNCAxOTMuMTkgMzgx&#10;LjY4IDE5NC4yNSAzODEuOTYgMTk1LjMxIDM4Mi41MSAxOTcuMzggMzgzLjAyIDE5OS40NCAzODMu&#10;NTUgMjAxLjUxIDM4My42OSAyMDIuMDUgMzgzLjc0IDIwMi41OCAzODMuNzcgMjAzLjEzIDM4My44&#10;IDIwMy42OCAzODMuODggMjA0LjIzIDM4My44OCAyMDQuNzkgMzgzLjg4IDIwNS4yOSAzODMuNDEg&#10;MjA1Ljc0IDM4Mi41NSAyMDUuOSAzODEuNTUgMjA2LjA5IDM4MC40MiAyMDUuNzcgMzgwLjEgMjA1&#10;LjIgMzc5LjgyIDIwNC43IDM3OS42MSAyMDQuMTkgMzc5LjM4IDIwMy42OSAzNzkuMTIgMjAzLjEx&#10;IDM3OC44NyAyMDIuNTQgMzc4LjcgMjAxLjk1IDM3OC40MiAyMDAuOTEgMzc4LjI0IDE5OS44NSAz&#10;NzguMDUgMTk4LjggMzc3LjY2IDE5Ni43IDM3Ny4zMyAxOTQuNTkgMzc3LjIyIDE5Mi40OCAzNzcu&#10;MTkgMTkxLjkzIDM3Ny4yIDE5MS4zOCAzNzcuMjUgMTkwLjg0IDM3Ny4yOSAxOTAuNTIgMzc3LjMz&#10;IDE5MC4yIDM3Ny40MiAxODkuODkgMzc3LjQ2IDE4OS43NiAzNzcuNTMgMTg5LjY0IDM3Ny42MSAx&#10;ODkuNTIgMzc3LjYxIDE4OS40OCAzNzcuNjEgMTg5LjQ0IDM3Ny42MyAxODkuNDEgMzc3LjczIDE4&#10;OS4xMSAzNzguMTkgMTg4Ljg4IDM3OC43MyAxODguODcgMzc4Ljc4IDE4OC44NyAzNzguODIgMTg4&#10;Ljg3IDM3OC44NyAxODguODcgMzc5LjM2IDE4OC44OSAzNzkuNzkgMTg5LjA3IDM3OS45NSAxODku&#10;MzRaIiBmaWxsPSIjMDEwMTAxIi8+PHBhdGggZD0iTTM5Ni45NiAxOTAuMTRDMzk3Ljg3IDE5MC40&#10;IDM5OC4yMiAxOTEuMDEgMzk4LjUgMTkxLjUzIDM5OC43NiAxOTIuMDEgMzk4LjkyIDE5Mi41IDM5&#10;OS4xIDE5Mi45OSAzOTkuNDkgMTk0LjExIDM5OS44MiAxOTUuMjUgNDAwLjE1IDE5Ni4zOCA0MDAu&#10;NzUgMTk4LjQxIDQwMS4zNyAyMDAuNDUgNDAxLjc2IDIwMi41IDQwMS43OSAyMDIuNjQgNDAxLjgx&#10;IDIwMi43OCA0MDEuODMgMjAyLjkyIDQwMS45MyAyMDMuNTIgNDAxLjE5IDIwNC4wOSA0MDAuMjEg&#10;MjA0LjI3IDM5OS4wNSAyMDQuNDkgMzk3LjU1IDIwNC4xMiAzOTcuMjMgMjAzLjQyIDM5Ni4yNiAy&#10;MDEuMjQgMzk1LjY4IDE5OS4wMSAzOTUuMTMgMTk2Ljc5IDM5NC44OCAxOTUuNzkgMzk0LjY0IDE5&#10;NC43OCAzOTQuNDkgMTkzLjc3IDM5NC40MSAxOTMuMjUgMzk0LjMzIDE5Mi43MyAzOTQuMzMgMTky&#10;LjIyIDM5NC4zMyAxOTEuOSAzOTQuMzYgMTkxLjU5IDM5NC40MSAxOTEuMjcgMzk0LjQ2IDE5MC45&#10;NCAzOTQuNjQgMTkwLjY1IDM5NC45OSAxOTAuMzggMzk1LjAxIDE5MC4zNiAzOTUuMDMgMTkwLjM1&#10;IDM5NS4wNiAxOTAuMzQgMzk1LjI1IDE5MC4yMiAzOTUuNDggMTkwLjE0IDM5NS43NCAxOTAuMDkg&#10;Mzk1LjkzIDE5MC4wNSAzOTYuMTMgMTkwLjA0IDM5Ni4zMyAxOTAuMDUgMzk2LjU1IDE5MC4wNSAz&#10;OTYuNzYgMTkwLjA5IDM5Ni45NiAxOTAuMTVaIiBmaWxsPSIjMDEwMTAxIi8+PHBhdGggZD0iTTQw&#10;OS4yNCAxOTYuNThDNDA5Ljg5IDE5Ni43NiA0MTAuMTMgMTk3LjE0IDQxMC4yNyAxOTcuNTEgNDEw&#10;LjQgMTk3Ljg4IDQxMC41IDE5OC4yNCA0MTAuNiAxOTguNjEgNDEwLjc1IDE5OS4xOCA0MTAuODcg&#10;MTk5Ljc1IDQxMC45NyAyMDAuMzIgNDExLjE5IDIwMS41MiA0MTEuMzggMjAyLjczIDQxMS40MiAy&#10;MDMuOTQgNDExLjQzIDIwNC41NiA0MTAuNjYgMjA1LjEgNDA5LjU0IDIwNS4xNCA0MDkuMDEgMjA1&#10;LjE2IDQwOC40NyAyMDUuMDUgNDA4LjA3IDIwNC44NSA0MDcuNjUgMjA0LjYzIDQwNy41MSAyMDQu&#10;MzggNDA3LjQyIDIwNC4wOCA0MDcuMDUgMjAyLjg2IDQwNi44NiAyMDEuNjEgNDA2LjcyIDIwMC4z&#10;NyA0MDYuNjUgMTk5Ljc2IDQwNi42IDE5OS4xNSA0MDYuNjEgMTk4LjUzIDQwNi42MSAxOTguMTcg&#10;NDA2LjYzIDE5Ny44IDQwNi43NyAxOTcuNDUgNDA2Ljg3IDE5Ny4yMSA0MDcuMDMgMTk3IDQwNy4z&#10;IDE5Ni44MSA0MDcuNjIgMTk2LjU5IDQwOC4xMyAxOTYuNDggNDA4LjYyIDE5Ni40OSA0MDguODMg&#10;MTk2LjQ5IDQwOS4wNSAxOTYuNTMgNDA5LjI0IDE5Ni41OFoiIGZpbGw9IiMwMTAxMDEiLz48cGF0&#10;aCBkPSJNNDE5Ljk1IDE5Mi40NEM0MjAuNDIgMTkyLjYzIDQyMC43IDE5My4wMSA0MjAuOSAxOTMu&#10;MyA0MjEuMDQgMTkzLjUxIDQyMS4xMyAxOTMuNzMgNDIxLjIzIDE5My45NCA0MjEuNDkgMTk0LjUz&#10;IDQyMS42NSAxOTUuMTMgNDIxLjgxIDE5NS43MyA0MjIuMDggMTk2Ljc2IDQyMi4yNSAxOTcuOCA0&#10;MjIuNDUgMTk4Ljg0IDQyMi42NSAxOTkuODggNDIyLjgzIDIwMC45MSA0MjMuMDEgMjAxLjk2IDQy&#10;My4yIDIwMy4wNCA0MjMuNDQgMjA0LjEyIDQyMy41MSAyMDUuMjEgNDIzLjU1IDIwNS44MSA0MjIu&#10;OTIgMjA2LjM2IDQyMS45MSAyMDYuNTUgNDIwLjY5IDIwNi43OCA0MTkuMzcgMjA2LjM5IDQxOC45&#10;NiAyMDUuNyA0MTguMjggMjA0LjU4IDQxNy45NyAyMDMuMzkgNDE3LjYxIDIwMi4yMiA0MTcuMjkg&#10;MjAxLjE5IDQxNy4wNyAyMDAuMTUgNDE2Ljg4IDE5OS4xIDQxNi43IDE5OC4wNyA0MTYuNTIgMTk3&#10;LjA0IDQxNi40NSAxOTYgNDE2LjQxIDE5NS40OCA0MTYuMzcgMTk0Ljk1IDQxNi40MSAxOTQuNDMg&#10;NDE2LjQzIDE5NC4xMSA0MTYuNDQgMTkzLjc3IDQxNi41NSAxOTMuNDUgNDE2LjYyIDE5My4yNiA0&#10;MTYuNzIgMTkzLjA2IDQxNi44NyAxOTIuODkgNDE3LjA3IDE5Mi42NCA0MTcuMzQgMTkyLjUxIDQx&#10;Ny43IDE5Mi4zNCA0MTcuOTcgMTkyLjI0IDQxOC4yNyAxOTIuMTkgNDE4LjU5IDE5Mi4xNyA0MTgu&#10;NjYgMTkyLjE3IDQxOC43MyAxOTIuMTcgNDE4LjggMTkyLjE3IDQxOS4yNCAxOTIuMTggNDE5LjU4&#10;IDE5Mi4yOSA0MTkuOTUgMTkyLjQ0WiIgZmlsbD0iIzAxMDEwMSIvPjxwYXRoIGQ9Ik00MzUgMjAw&#10;LjU3QzQzNSAyMDAuNTcgNDM1LjAzIDIwMC42NiA0MzUuMDUgMjAwLjcxIDQzNS4wNCAyMDAuNjYg&#10;NDM1LjAyIDIwMC42MiA0MzUgMjAwLjU3Wk00MzAuMTIgMTkxLjQ3QzQzMS4xOSAxOTEuNTQgNDMx&#10;LjcxIDE5Mi4xNyA0MzIuMSAxOTIuNjQgNDMyLjM2IDE5Mi45NiA0MzIuNTEgMTkzLjMyIDQzMi42&#10;NyAxOTMuNjYgNDMzLjA2IDE5NC41IDQzMy4zMyAxOTUuMzYgNDMzLjYxIDE5Ni4yMSA0MzQuMDkg&#10;MTk3LjY0IDQzNC41IDE5OS4wOCA0MzQuOTggMjAwLjUyIDQzNS40MiAyMDEuODIgNDM1LjkyIDIw&#10;My4xMiA0MzYuMjUgMjA0LjQzIDQzNi4zOSAyMDUgNDM1LjYgMjA1LjU3IDQzNC42OCAyMDUuNzQg&#10;NDMzLjUxIDIwNS45NiA0MzIuMTUgMjA1LjU5IDQzMS43OSAyMDQuOTEgNDMxLjE5IDIwMy43OCA0&#10;MzAuODQgMjAyLjYyIDQzMC40NyAyMDEuNDcgNDMwLjE0IDIwMC40NyA0MjkuODMgMTk5LjQ2IDQy&#10;OS41MSAxOTguNDYgNDI5LjE4IDE5Ny40MSA0MjguODUgMTk2LjM2IDQyOC41NiAxOTUuMzEgNDI4&#10;LjQxIDE5NC44MSA0MjguMjcgMTk0LjMxIDQyOC4xNyAxOTMuOCA0MjguMTIgMTkzLjU2IDQyOC4w&#10;NyAxOTMuMzIgNDI4LjAzIDE5My4wOCA0MjcuOTkgMTkyLjgzIDQyNy45NSAxOTIuNTEgNDI4LjA2&#10;IDE5Mi4yNyA0MjguMTEgMTkyLjE3IDQyOC4xNiAxOTIuMDcgNDI4LjI0IDE5MS45OCA0MjguNiAx&#10;OTEuNiA0MjkuMjQgMTkxLjQzIDQyOS45NiAxOTEuNDUgNDMwLjAyIDE5MS40NSA0MzAuMDcgMTkx&#10;LjQ1IDQzMC4xMyAxOTEuNDVaIiBmaWxsPSIjMDEwMTAxIi8+PHBhdGggZD0iTTQ0My43NCAxOTIu&#10;ODdDNDQ0LjIgMTkzLjA2IDQ0NC40OSAxOTMuNDIgNDQ0LjcxIDE5My43MSA0NDQuOSAxOTMuOTYg&#10;NDQ1LjA2IDE5NC4yIDQ0NS4yMSAxOTQuNDYgNDQ1LjUzIDE5NC45OSA0NDUuNzYgMTk1LjUzIDQ0&#10;Ni4wMSAxOTYuMDcgNDQ2LjUgMTk3LjEyIDQ0Ni45NCAxOTguMTkgNDQ3LjM4IDE5OS4yNSA0NDcu&#10;ODggMjAwLjQ2IDQ0OC4zNyAyMDEuNjYgNDQ4Ljc4IDIwMi44OCA0NDguOTYgMjAzLjQyIDQ0OS4x&#10;MiAyMDMuOTUgNDQ5LjI1IDIwNC40OSA0NDkuNCAyMDUuMSA0NDkuNTEgMjA1LjcxIDQ0OS43IDIw&#10;Ni4zMiA0NDkuNzIgMjA2LjU0IDQ0OS42NSAyMDYuNzQgNDQ5LjQ4IDIwNi45NCA0NDkuMjIgMjA3&#10;LjIyIDQ0OC43NyAyMDcuNDQgNDQ4LjI0IDIwNy41NCA0NDcuMTQgMjA3Ljc0IDQ0NS45IDIwNy4z&#10;OSA0NDUuNTUgMjA2Ljc3IDQ0NS4yMiAyMDYuMTggNDQ0LjgzIDIwNS42MSA0NDQuNDUgMjA1LjA0&#10;IDQ0NC4xIDIwNC41MiA0NDMuODEgMjAzLjk5IDQ0My41MyAyMDMuNDUgNDQyLjk3IDIwMi4zNyA0&#10;NDIuNTQgMjAxLjI2IDQ0Mi4xMiAyMDAuMTUgNDQxLjY4IDE5OC45OCA0NDEuMzIgMTk3LjggNDQx&#10;IDE5Ni42MSA0NDAuODYgMTk2LjA3IDQ0MC43NCAxOTUuNTMgNDQwLjY0IDE5NC45OSA0NDAuNTkg&#10;MTk0Ljc0IDQ0MC41NSAxOTQuNDggNDQwLjUzIDE5NC4yMiA0NDAuNSAxOTMuODcgNDQwLjUxIDE5&#10;My41IDQ0MC44MSAxOTMuMTggNDQxLjA0IDE5Mi45MyA0NDEuNDIgMTkyLjc0IDQ0MS45IDE5Mi42&#10;NSA0NDIuMTIgMTkyLjYxIDQ0Mi4zNCAxOTIuNTkgNDQyLjU1IDE5Mi42IDQ0Mi45OCAxOTIuNjEg&#10;NDQzLjM3IDE5Mi43MiA0NDMuNzUgMTkyLjg3WiIgZmlsbD0iIzAxMDEwMSIvPjxwYXRoIGQ9Ik00&#10;NTAuNDcgMTkxLjE4QzQ1MS44IDE5MS4zNyA0NTIuMzEgMTkyLjE5IDQ1Mi43OSAxOTIuODMgNDUz&#10;LjE2IDE5My4zMyA0NTMuNDcgMTkzLjgzIDQ1My43OCAxOTQuMzQgNDU0LjM4IDE5NS4zMSA0NTQu&#10;OTMgMTk2LjMgNDU1LjQ1IDE5Ny4yOSA0NTUuOTkgMTk4LjMxIDQ1Ni40NyAxOTkuMzQgNDU2Ljg4&#10;IDIwMC4zOCA0NTcuMjkgMjAxLjQyIDQ1Ny42OSAyMDIuNDYgNDU4LjIgMjAzLjQ5IDQ1OC40OSAy&#10;MDQuMDcgNDU4Ljc5IDIwNC42NSA0NTkuMTEgMjA1LjIzIDQ1OS40OCAyMDUuOTMgNDU4Ljg0IDIw&#10;Ni43IDQ1Ny41OSAyMDYuOTMgNDU2LjM3IDIwNy4xNiA0NTQuOTcgMjA2Ljc3IDQ1NC41OSAyMDYu&#10;MDcgNDUzLjk5IDIwNC45OCA0NTMuMzkgMjAzLjg4IDQ1Mi43MSAyMDIuOCA0NTIuMDYgMjAxLjc3&#10;IDQ1MS4zOSAyMDAuNzYgNDUwLjg1IDE5OS43MiA0NTAuMzQgMTk4LjczIDQ0OS45NCAxOTcuNzMg&#10;NDQ5LjUzIDE5Ni43MiA0NDkuMzMgMTk2LjIxIDQ0OS4xMyAxOTUuNyA0NDguOTUgMTk1LjE4IDQ0&#10;OC43MyAxOTQuNTYgNDQ4LjQ5IDE5My45NCA0NDguMzYgMTkzLjMxIDQ0OC4yOSAxOTIuOTUgNDQ4&#10;LjI1IDE5Mi41OSA0NDguMzQgMTkyLjI0IDQ0OC4zOCAxOTIuMDUgNDQ4LjQ3IDE5MS44OCA0NDgu&#10;NjIgMTkxLjcxIDQ0OC45MiAxOTEuMzkgNDQ5LjU2IDE5MS4xNCA0NTAuMjIgMTkxLjE2IDQ1MC4z&#10;MSAxOTEuMTYgNDUwLjM5IDE5MS4xNyA0NTAuNDggMTkxLjE4WiIgZmlsbD0iIzAxMDEwMSIvPjxw&#10;YXRoIGQ9Ik00NzMuMDIgMTgzLjkzQzQ3My42NSAxODQuMTcgNDc0LjAyIDE4NC42NSA0NzQuMzQg&#10;MTg1LjA4IDQ3NC42NyAxODUuNTMgNDc0Ljk3IDE4NS45OSA0NzUuMjcgMTg2LjQ1IDQ3NS43OSAx&#10;ODcuMjYgNDc2LjI5IDE4OC4wNyA0NzYuNzggMTg4Ljg5IDQ3Ny44NCAxOTAuNjMgNDc4LjkgMTky&#10;LjM3IDQ3OS43NSAxOTQuMTYgNDgwIDE5NC42OSA0NzkuNjkgMTk1LjI4IDQ3OS4wNSAxOTUuNTgg&#10;NDc4LjY3IDE5NS43NSA0NzguMjEgMTk1LjgyIDQ3Ny43NyAxOTUuNzUgNDc3LjM3IDE5NS42OSA0&#10;NzYuODUgMTk1LjQ5IDQ3Ni42NiAxOTUuMjEgNDc2LjAxIDE5NC4yNiA0NzUuNDMgMTkzLjMgNDc0&#10;Ljg2IDE5Mi4zMiA0NzQuMzggMTkxLjUgNDczLjkyIDE5MC42NyA0NzMuNDYgMTg5Ljg1IDQ3Mi45&#10;OSAxODkgNDcyLjUxIDE4OC4xNCA0NzIuMDYgMTg3LjI5IDQ3MS44NiAxODYuOTEgNDcxLjY3IDE4&#10;Ni41MyA0NzEuNSAxODYuMTUgNDcxLjQxIDE4NS45NCA0NzEuMzMgMTg1LjczIDQ3MS4yNiAxODUu&#10;NTIgNDcxLjE2IDE4NS4yMyA0NzEuMDYgMTg0Ljg2IDQ3MS4xOCAxODQuNTcgNDcxLjI5IDE4NC4z&#10;MiA0NzEuNDMgMTg0LjEyIDQ3MS43NSAxODMuOTggNDcxLjk4IDE4My44NyA0NzIuMjYgMTgzLjgy&#10;IDQ3Mi41NCAxODMuODMgNDcyLjcxIDE4My44MyA0NzIuODggMTgzLjg3IDQ3My4wNCAxODMuOTNa&#10;IiBmaWxsPSIjMDEwMTAxIi8+PHBhdGggZD0iTTQ4NC44NyAxODguNkM0ODQuODcgMTg4LjYgNDg0&#10;LjgzIDE4OC41NCA0ODQuODEgMTg4LjUxIDQ4NC44IDE4OC40OSA0ODQuNzkgMTg4LjQ3IDQ4NC43&#10;NyAxODguNDYgNDg0LjggMTg4LjUxIDQ4NC44MyAxODguNTUgNDg0Ljg2IDE4OC42Wk00NzggMTc5&#10;LjE5QzQ3OC40MiAxNzkuNDYgNDc4LjYxIDE3OS44MSA0NzguNjEgMTgwLjE2IDQ3OS42OCAxODEu&#10;MjEgNDgwLjUyIDE4Mi40IDQ4MS4zNiAxODMuNTUgNDgyLjUxIDE4NS4xMyA0ODMuNjIgMTg2Ljcy&#10;IDQ4NC42OSAxODguMzIgNDg0LjYgMTg4LjE4IDQ4NC41MSAxODguMDUgNDg0LjQyIDE4Ny45MSA0&#10;ODQuNTQgMTg4LjA5IDQ4NC42NiAxODguMjcgNDg0Ljc4IDE4OC40NiA0ODQuNzggMTg4LjQ1IDQ4&#10;NC43NiAxODguNDQgNDg0Ljc2IDE4OC40MyA0ODQuNzggMTg4LjQ2IDQ4NC44IDE4OC40OSA0ODQu&#10;ODIgMTg4LjUyTDQ4NC45MSAxODguNjVDNDg0LjkxIDE4OC42NSA0ODQuODkgMTg4LjYyIDQ4NC44&#10;OCAxODguNjEgNDg0LjkgMTg4LjY0IDQ4NC45MyAxODguNjggNDg0Ljk1IDE4OC43MSA0ODQuOTgg&#10;MTg4Ljc1IDQ4NS4wMSAxODguOCA0ODUuMDQgMTg4Ljg0IDQ4NS4wMyAxODguODIgNDg1LjAxIDE4&#10;OC44IDQ4NSAxODguNzggNDg1LjY1IDE4OS43NiA0ODYuMjkgMTkwLjc1IDQ4Ni44OSAxOTEuNzUg&#10;NDg3LjUzIDE5Mi44MiA0ODguMDYgMTkzLjkxIDQ4OC42OSAxOTQuOTggNDg5LjA4IDE5NS42MyA0&#10;ODguNTggMTk2LjQ0IDQ4Ny43OSAxOTYuOCA0ODcuMzEgMTk3LjAyIDQ4Ni43MSAxOTcuMSA0ODYu&#10;MTUgMTk3LjAyIDQ4NS42MiAxOTYuOTUgNDg0Ljk4IDE5Ni42OSA0ODQuNzIgMTk2LjMzIDQ4My43&#10;NCAxOTQuOTMgNDgyLjY3IDE5My41NyA0ODEuNzQgMTkyLjE1IDQ4MC44OCAxOTAuODYgNDgwLjA4&#10;IDE4OS41NSA0NzkuMjggMTg4LjI0IDQ3OC41IDE4Ni45NSA0NzcuNzIgMTg1LjY3IDQ3Ni45OCAx&#10;ODQuMzcgNDc2LjM5IDE4My4zMyA0NzUuODEgMTgyLjI5IDQ3NS40NCAxODEuMjEgNDc1LjIgMTgx&#10;LjA2IDQ3NS4wMSAxODAuODYgNDc0LjkxIDE4MC42MyA0NzQuNjQgMTgwLjA1IDQ3NC45NyAxNzku&#10;MzkgNDc1LjY5IDE3OS4wNiA0NzYuMDQgMTc4LjkgNDc2LjQ0IDE3OC44MyA0NzYuODQgMTc4Ljg1&#10;IDQ3Ny4yNyAxNzguODcgNDc3LjY5IDE3OC45OSA0NzguMDIgMTc5LjJaIiBmaWxsPSIjMDEwMTAx&#10;Ii8+PHBhdGggZD0iTTQ4Ni44NyAxNzcuM0M0ODcuMyAxNzcuNjggNDg3LjcgMTc4LjA4IDQ4OC4w&#10;OCAxNzguNDkgNDg4LjggMTc5LjI3IDQ4OS40NiAxODAuMDcgNDkwLjExIDE4MC44OCA0OTEuNDYg&#10;MTgyLjU1IDQ5Mi43OSAxODQuMjMgNDk0LjExIDE4NS45MiA0OTQuNiAxODYuNTQgNDk1LjA4IDE4&#10;Ny4xNiA0OTUuNTMgMTg3LjggNDk2LjA4IDE4OC41OSA0OTYuNTkgMTg5LjM5IDQ5Ny4wOSAxOTAu&#10;MiA0OTcuMiAxOTAuNDQgNDk3LjIyIDE5MC42OSA0OTcuMTUgMTkwLjkzIDQ5Ny4wNCAxOTEuMzEg&#10;NDk2LjcyIDE5MS42NSA0OTYuMjcgMTkxLjg2IDQ5NS4zMyAxOTIuMjkgNDk0LjA5IDE5Mi4wOCA0&#10;OTMuNDcgMTkxLjQzIDQ5Mi42OCAxOTAuNTkgNDkxLjkyIDE4OS43NCA0OTEuMjQgMTg4Ljg2IDQ5&#10;MC41OSAxODguMDMgNDkwLjAxIDE4Ny4xNyA0ODkuNDEgMTg2LjMyIDQ4OC4xOSAxODQuNjEgNDg3&#10;IDE4Mi44OSA0ODUuOCAxODEuMTcgNDg1LjMgMTgwLjQ0IDQ4NC44IDE3OS43MiA0ODQuMzEgMTc4&#10;Ljk5IDQ4NC4xMSAxNzguNjkgNDgzLjkyIDE3OC4zOCA0ODMuNzQgMTc4LjA3IDQ4My42NiAxNzcu&#10;OTMgNDgzLjYgMTc3Ljc5IDQ4My41NSAxNzcuNjUgNDgzLjUxIDE3Ny41NSA0ODMuNDUgMTc3LjM2&#10;IDQ4My40NSAxNzcuMjMgNDgzLjQ1IDE3Ny4wMiA0ODMuNSAxNzYuODggNDgzLjYgMTc2LjY5IDQ4&#10;My43NSAxNzYuNDIgNDg0LjIxIDE3Ni4yNCA0ODQuNiAxNzYuMjIgNDg0LjY2IDE3Ni4yMiA0ODQu&#10;NzIgMTc2LjIyIDQ4NC43NyAxNzYuMjIgNDg1LjY3IDE3Ni4yNiA0ODYuMzUgMTc2Ljg1IDQ4Ni44&#10;NyAxNzcuMzFaIiBmaWxsPSIjMDEwMTAxIi8+PHBhdGggZD0iTTQ5My4zNCAxNzEuMjFDNDkzLjQz&#10;IDE3MS4yNSA0OTMuNTIgMTcxLjI5IDQ5My42MiAxNzEuMzUgNDkzLjkyIDE3MS41MyA0OTQuMTYg&#10;MTcxLjc3IDQ5NC40IDE3MS45OSA0OTQuODYgMTcyLjQyIDQ5NS4yNyAxNzIuODYgNDk1LjY2IDE3&#10;My4zMSA0OTYuNTMgMTc0LjMgNDk3LjM4IDE3NS4zMSA0OTguMjQgMTc2LjMxIDQ5OS44IDE3OC4x&#10;MSA1MDEuMjkgMTc5Ljk0IDUwMi45NSAxODEuNjkgNTAzLjU5IDE4Mi4zNiA1MDQuMjUgMTgzLjAx&#10;IDUwNC45MyAxODMuNjYgNTA1LjI5IDE4NC4wMSA1MDUuNjQgMTg0LjM1IDUwNS45OCAxODQuNyA1&#10;MDYuMTMgMTg0Ljg2IDUwNi4yOSAxODUuMDEgNTA2LjQzIDE4NS4xNyA1MDYuNjggMTg1LjQ2IDUw&#10;Ni44NSAxODUuNzggNTA3LjAxIDE4Ni4xIDUwNy4zMiAxODYuNzUgNTA2Ljk0IDE4Ny40OSA1MDYu&#10;MTQgMTg3Ljg2IDUwNS4zNCAxODguMjIgNTA0LjIzIDE4OC4xNyA1MDMuNTQgMTg3LjcgNTAzLjE3&#10;IDE4Ny40NSA1MDIuNzkgMTg3LjE4IDUwMi41MiAxODYuODYgNTAyLjMzIDE4Ni42MyA1MDIuMTQg&#10;MTg2LjQgNTAxLjk1IDE4Ni4xNyA1MDEuNTcgMTg1LjY5IDUwMS4yMiAxODUuMiA1MDAuODYgMTg0&#10;LjcxIDUwMC4yMSAxODMuODQgNDk5LjU5IDE4Mi45NiA0OTguOTMgMTgyLjA5IDQ5OC4yMSAxODEu&#10;MTQgNDk3LjQ4IDE4MC4xOSA0OTYuNzggMTc5LjIzIDQ5Ni4wNCAxNzguMjQgNDk1LjM1IDE3Ny4y&#10;NCA0OTQuNjQgMTc2LjI0IDQ5NC4wMyAxNzUuMzggNDkzLjQzIDE3NC41MiA0OTIuODYgMTczLjY0&#10;IDQ5Mi42MiAxNzMuMjYgNDkyLjM4IDE3Mi44OCA0OTIuMTYgMTcyLjQ4IDQ5Mi4wNSAxNzIuMjgg&#10;NDkxLjk4IDE3Mi4wOCA0OTEuOTIgMTcxLjg2IDQ5MS45IDE3MS43NyA0OTEuOTEgMTcxLjY5IDQ5&#10;MS45NCAxNzEuNjEgNDkxLjk0IDE3MS40MSA0OTIuMDYgMTcxLjIyIDQ5Mi4zMSAxNzEuMSA0OTIu&#10;NDUgMTcxLjA0IDQ5Mi42MiAxNzEuMDEgNDkyLjc5IDE3MS4wMiA0OTMgMTcxLjAyIDQ5My4yIDE3&#10;MS4wOSA0OTMuMzUgMTcxLjE4WiIgZmlsbD0iIzAxMDEwMSIvPjxwYXRoIGQ9Ik01MDEuMTkgMTY1&#10;LjhDNTAxLjE5IDE2NS44IDUwMS4yNCAxNjUuODIgNTAxLjI2IDE2NS44MyA1MDEuMzkgMTY1Ljg5&#10;IDUwMS41MiAxNjUuOTQgNTAxLjY1IDE2NS45OSA1MDIuMDQgMTY2LjE1IDUwMi40MSAxNjYuMzYg&#10;NTAyLjc2IDE2Ni41NiA1MDMuMzcgMTY2LjkxIDUwMy45NSAxNjcuMyA1MDQuNSAxNjcuNyA1MDUu&#10;NjcgMTY4LjU2IDUwNi44MiAxNjkuNDQgNTA3Ljk3IDE3MC4zMSA1MTAuMTkgMTcyIDUxMi4zOCAx&#10;NzMuNyA1MTQuNjQgMTc1LjM2IDUxNS42OCAxNzYuMTMgNTE2LjY5IDE3Ni45MSA1MTcuNjcgMTc3&#10;LjcyIDUxOC4zMSAxNzguMjQgNTE4LjkzIDE3OC43NyA1MTkuNTQgMTc5LjMgNTIwLjA2IDE3OS43&#10;NyA1MjAuNTQgMTgwLjI2IDUyMS4wNiAxODAuNzMgNTIxLjI4IDE4MC45NyA1MjEuNCAxODEuMjMg&#10;NTIxLjQyIDE4MS41MiA1MjEuNDYgMTgxLjk2IDUyMS4yNCAxODIuNCA1MjAuODMgMTgyLjcyIDUy&#10;MC40MyAxODMuMDMgNTE5Ljg2IDE4My4yMyA1MTkuMjcgMTgzLjI1IDUxOC43IDE4My4yOCA1MTcu&#10;OTkgMTgzLjEzIDUxNy41OSAxODIuODMgNTE2Ljk5IDE4Mi4zNyA1MTYuMzUgMTgxLjk0IDUxNS43&#10;NiAxODEuNDcgNTE1LjIgMTgxLjAzIDUxNC42NSAxODAuNTcgNTE0LjExIDE4MC4xMiA1MTIuOTYg&#10;MTc5LjE1IDUxMS44MyAxNzguMTcgNTEwLjc0IDE3Ny4xNyA1MDguNzUgMTc1LjMzIDUwNi43MiAx&#10;NzMuNTIgNTA0Ljc0IDE3MS42OSA1MDMuNyAxNzAuNzMgNTAyLjY2IDE2OS43NyA1MDEuNjYgMTY4&#10;Ljc5IDUwMS4xOSAxNjguMzMgNTAwLjc0IDE2Ny44NiA1MDAuMzMgMTY3LjM4IDUwMC4xNiAxNjcu&#10;MTcgNTAwLjAxIDE2Ni45NSA0OTkuODkgMTY2LjcyIDQ5OS44NyAxNjYuNjggNDk5Ljg1IDE2Ni42&#10;MyA0OTkuODMgMTY2LjU5IDQ5OS42NiAxNjYuMzYgNDk5LjcyIDE2Ni4wNSA0OTkuOTYgMTY1Ljg2&#10;IDUwMC4xNCAxNjUuNzIgNTAwLjQzIDE2NS42NCA1MDAuNyAxNjUuNjUgNTAwLjg4IDE2NS42NSA1&#10;MDEuMDUgMTY1LjcgNTAxLjE4IDE2NS43OVoiIGZpbGw9IiMwMTAxMDEiLz48cGF0aCBkPSJNNTEy&#10;LjYgMTU5LjY5QzUxMi43NiAxNTkuNzkgNTEyLjg3IDE1OS45MyA1MTIuOTIgMTYwLjA3IDUxMy4x&#10;NiAxNjAuMzMgNTEzLjQ2IDE2MC41NyA1MTMuNzMgMTYwLjgxIDUxNC4xNSAxNjEuMTggNTE0LjU4&#10;IDE2MS41NCA1MTUgMTYxLjkgNTE1LjgzIDE2Mi42MiA1MTYuNjUgMTYzLjM1IDUxNy40NiAxNjQu&#10;MDggNTE5LjEgMTY1LjU3IDUyMC43NCAxNjcuMDcgNTIyLjQzIDE2OC41NCA1MjMuNDggMTY5LjQ2&#10;IDUyNC41NSAxNzAuMzggNTI1LjYxIDE3MS4zIDUyNi42OSAxNzIuMjQgNTI3Ljc0IDE3My4xOCA1&#10;MjguODMgMTc0LjEyIDUyOC45NSAxNzQuMjYgNTI5LjAyIDE3NC40MSA1MjkuMDQgMTc0LjU3IDUy&#10;OS4wNiAxNzQuODIgNTI4Ljk0IDE3NS4wOCA1MjguNyAxNzUuMjYgNTI4LjQ3IDE3NS40NCA1Mjgu&#10;MTQgMTc1LjU1IDUyNy44IDE3NS41NyA1MjcuNDggMTc1LjU4IDUyNy4wNSAxNzUuNTEgNTI2Ljgz&#10;IDE3NS4zMyA1MjUuOTQgMTc0LjYxIDUyNS4wMiAxNzMuOTIgNTI0LjE0IDE3My4yMSA1MjMuMjIg&#10;MTcyLjQ2IDUyMi4zNiAxNzEuNjggNTIxLjUgMTcwLjkgNTE5Ljk0IDE2OS40NiA1MTguMzcgMTY4&#10;LjAyIDUxNi44NCAxNjYuNTcgNTE1Ljc3IDE2NS41NiA1MTQuNzIgMTY0LjU1IDUxMy42NiAxNjMu&#10;NTMgNTEzLjE0IDE2My4wMyA1MTIuNjMgMTYyLjUyIDUxMi4xMiAxNjIuMDEgNTExLjkgMTYxLjc4&#10;IDUxMS42OCAxNjEuNTUgNTExLjQ3IDE2MS4zMiA1MTEuMzIgMTYxLjE2IDUxMS4xNyAxNjAuOTkg&#10;NTExLjA0IDE2MC44MSA1MTAuOTQgMTYwLjczIDUxMC44NiAxNjAuNjMgNTEwLjgxIDE2MC41MyA1&#10;MTAuNjUgMTYwLjIgNTEwLjg0IDE1OS44MiA1MTEuMjYgMTU5LjYzIDUxMS40NiAxNTkuNTQgNTEx&#10;LjY5IDE1OS41IDUxMS45MiAxNTkuNTEgNTEyLjE3IDE1OS41MSA1MTIuNDEgMTU5LjU5IDUxMi42&#10;IDE1OS43MVoiIGZpbGw9IiMwMTAxMDEiLz48cGF0aCBkPSJNNTMzLjAxIDE2Ni44NEM1MzMuMDEg&#10;MTY2Ljg0IDUzMy4wOSAxNjYuOTEgNTMzLjEzIDE2Ni45NCA1MzMuMTMgMTY2Ljk0IDUzMy4xMyAx&#10;NjYuOTQgNTMzLjE0IDE2Ni45NSA1MzMuMTQgMTY2Ljk1IDUzMy4xNSAxNjYuOTYgNTMzLjE2IDE2&#10;Ni45N0w1MzMuMTYgMTY2Ljk3QzUzMy4xNiAxNjYuOTcgNTMzLjI1IDE2Ny4wNSA1MzMuMyAxNjcu&#10;MDggNTMzLjI1IDE2Ny4wNCA1MzMuMiAxNjcgNTMzLjE1IDE2Ni45NiA1MzMuMDcgMTY2LjkgNTMz&#10;IDE2Ni44MyA1MzIuOTIgMTY2Ljc3IDUzMi45NSAxNjYuOCA1MzIuOTggMTY2LjgyIDUzMy4wMSAx&#10;NjYuODVaTTUzNS43NSAxNjkuMDdDNTM1Ljc1IDE2OS4wNyA1MzUuNzkgMTY5LjEgNTM1LjggMTY5&#10;LjEyIDUzNS43OCAxNjkuMSA1MzUuNzYgMTY5LjA5IDUzNS43NSAxNjkuMDdaTTUzMy4wMSAxNjYu&#10;ODVDNTMzLjAxIDE2Ni44NSA1MzMuMDcgMTY2LjkgNTMzLjEgMTY2LjkyIDUzMy4wNyAxNjYuOSA1&#10;MzMuMDQgMTY2Ljg3IDUzMy4wMSAxNjYuODVaTTUyMi43NiAxNTQgNTIyLjc2IDE1NEM1MjIuOTIg&#10;MTU0LjEgNTIzLjA2IDE1NC4yMSA1MjMuMTggMTU0LjMxIDUyMy40NiAxNTQuNTMgNTIzLjcyIDE1&#10;NC43NiA1MjMuOTggMTU0Ljk5IDUyNC40OCAxNTUuNDIgNTI0Ljk4IDE1NS44NiA1MjUuNDggMTU2&#10;LjMgNTI2LjQyIDE1Ny4xNCA1MjcuMzYgMTU3Ljk4IDUyOC4zMSAxNTguODIgNTMwLjI0IDE2MC41&#10;MyA1MzIuMTkgMTYyLjIzIDUzNC4wNiAxNjMuOTYgNTM0Ljg0IDE2NC42OSA1MzUuNjIgMTY1LjQy&#10;IDUzNi4zNCAxNjYuMTcgNTM3LjEgMTY2Ljk2IDUzNy44NCAxNjcuNzUgNTM4LjY2IDE2OC41MiA1&#10;MzkuMTIgMTY4Ljk1IDUzOC44NSAxNjkuNjEgNTM4LjI1IDE2OS44OCA1MzcuOTUgMTcwLjAyIDUz&#10;Ny41OCAxNzAuMDcgNTM3LjIzIDE3MC4wMiA1MzYuODMgMTY5Ljk2IDUzNi41OSAxNjkuOCA1MzYu&#10;MzQgMTY5LjU5IDUzNi4xNyAxNjkuNDQgNTM2IDE2OS4yOSA1MzUuODMgMTY5LjE1IDUzNC45NiAx&#10;NjguNDMgNTM0LjA0IDE2Ny43MyA1MzMuMTggMTY3IDUzMy4yNyAxNjcuMDggNTMzLjM2IDE2Ny4x&#10;NSA1MzMuNDYgMTY3LjIzIDUzMy4zNSAxNjcuMTQgNTMzLjI1IDE2Ny4wNSA1MzMuMTQgMTY2Ljk2&#10;IDUzMy4xIDE2Ni45MiA1MzMuMDUgMTY2Ljg5IDUzMy4wMSAxNjYuODUgNTMyLjk3IDE2Ni44MSA1&#10;MzIuOTMgMTY2Ljc4IDUzMi44OCAxNjYuNzQgNTMyLjg5IDE2Ni43NSA1MzIuOSAxNjYuNzYgNTMy&#10;LjkyIDE2Ni43NyA1MzAuOTkgMTY1LjEzIDUyOS4xOSAxNjMuNCA1MjcuNDEgMTYxLjY4IDUyNS41&#10;NiAxNTkuOSA1MjMuNjggMTU4LjEyIDUyMS45IDE1Ni4zMSA1MjEuNjcgMTU2LjA4IDUyMS40NiAx&#10;NTUuODQgNTIxLjI1IDE1NS42IDUyMS4wOCAxNTUuNCA1MjAuODggMTU1LjE4IDUyMC43OSAxNTQu&#10;OTQgNTIwLjY1IDE1NC42NSA1MjAuNzMgMTU0LjMxIDUyMS4wNCAxNTQuMDcgNTIxLjMgMTUzLjg3&#10;IDUyMS42NiAxNTMuNzcgNTIyLjAyIDE1My43OSA1MjIuMjkgMTUzLjggNTIyLjU2IDE1My44NyA1&#10;MjIuNzggMTU0LjAxWiIgZmlsbD0iIzAxMDEwMSIvPjxwYXRoIGQ9Ik01MzQuMDcgMTUyLjQ1QzUz&#10;NCAxNTIuMzkgNTMzLjkyIDE1Mi4zMyA1MzMuODUgMTUyLjI3IDUzMy45MiAxNTIuMzMgNTM0IDE1&#10;Mi4zOSA1MzQuMDcgMTUyLjQ1Wk01NDMuNjggMTY0LjcyQzU0My42OCAxNjQuNzIgNTQzLjY4IDE2&#10;NC43MiA1NDMuNjggMTY0LjcyIDU0My43MiAxNjQuNzUgNTQzLjc2IDE2NC43OSA1NDMuOCAxNjQu&#10;ODIgNTQzLjc0IDE2NC43NyA1NDMuNjkgMTY0LjczIDU0My42MyAxNjQuNjggNTQzLjY0IDE2NC42&#10;OSA1NDMuNjUgMTY0LjcgNTQzLjY3IDE2NC43MVpNNTMwLjI2IDE0OS44OEM1MzAuNjggMTQ5Ljkz&#10;IDUzMS4wOCAxNTAuMTQgNTMxLjM5IDE1MC4zNCA1MzEuNjUgMTUwLjUxIDUzMS45MSAxNTAuNjkg&#10;NTMyLjE1IDE1MC44OCA1MzIuNzQgMTUxLjMzIDUzMy4zIDE1MS44IDUzMy44NiAxNTIuMjcgNTMz&#10;Ljg0IDE1Mi4yNiA1MzMuODMgMTUyLjI0IDUzMy44MSAxNTIuMjMgNTM1LjYxIDE1My43NSA1Mzcu&#10;MzYgMTU1LjMxIDUzOS4wNyAxNTYuODggNTQwLjcyIDE1OC40IDU0Mi4zOSAxNTkuOTEgNTQzLjg4&#10;IDE2MS41IDU0NC44OCAxNjIuNTcgNTQ1Ljg2IDE2My42NCA1NDYuOTMgMTY0LjY3IDU0Ny4zNSAx&#10;NjUuMDcgNTQ3LjExIDE2NS42OCA1NDYuNTUgMTY1Ljk0IDU0Ni4yNyAxNjYuMDcgNTQ1LjkyIDE2&#10;Ni4xMiA1NDUuNTkgMTY2LjA3IDU0NS4yMiAxNjYuMDIgNTQ0Ljk4IDE2NS44NyA1NDQuNzYgMTY1&#10;LjY3IDU0NC40MyAxNjUuMzcgNTQ0LjA4IDE2NS4wNyA1NDMuNzQgMTY0Ljc3IDU0My44MSAxNjQu&#10;ODMgNTQzLjg5IDE2NC44OSA1NDMuOTYgMTY0Ljk2IDU0My44NyAxNjQuODggNTQzLjc4IDE2NC44&#10;MSA1NDMuNjkgMTY0LjczIDU0My42OSAxNjQuNzMgNTQzLjY5IDE2NC43MyA1NDMuNjkgMTY0Ljcz&#10;IDU0My42NiAxNjQuNyA1NDMuNjMgMTY0LjY4IDU0My42IDE2NC42NSA1NDMuNjIgMTY0LjY3IDU0&#10;My42NCAxNjQuNjggNTQzLjY2IDE2NC43IDU0My41OSAxNjQuNjQgNTQzLjUyIDE2NC41OCA1NDMu&#10;NDUgMTY0LjUyIDU0My41MiAxNjQuNTkgNTQzLjYgMTY0LjY1IDU0My42OCAxNjQuNzEgNTQyLjgx&#10;IDE2My45OSA1NDEuOTIgMTYzLjI5IDU0MS4wNSAxNjIuNTcgNTQwLjExIDE2MS43OCA1MzkuMjEg&#10;MTYwLjk4IDUzOC4zMSAxNjAuMTcgNTM2LjYzIDE1OC42NCA1MzQuOTkgMTU3LjA5IDUzMy4zNiAx&#10;NTUuNTQgNTMyLjU2IDE1NC43OSA1MzEuNzcgMTU0LjAzIDUzMC45OSAxNTMuMjcgNTMwLjYgMTUy&#10;Ljg5IDUzMC4yMSAxNTIuNSA1MjkuODIgMTUyLjExIDUyOS40MyAxNTEuNzIgNTI4LjkyIDE1MS4y&#10;NiA1MjguODcgMTUwLjc2IDUyOC44MiAxNTAuMjQgNTI5LjQ2IDE0OS44NSA1MzAuMTQgMTQ5Ljg4&#10;IDUzMC4xOCAxNDkuODggNTMwLjIzIDE0OS44OCA1MzAuMjcgMTQ5Ljg5WiIgZmlsbD0iIzAxMDEw&#10;MSIvPjxwYXRoIGQ9Ik01NDAuMiAxNDQuMUM1NDAuNTQgMTQ0LjE1IDU0MC43NyAxNDQuMzIgNTQw&#10;Ljk5IDE0NC40OSA1NDEuMjggMTQ0LjcxIDU0MS41NSAxNDQuOTQgNTQxLjgyIDE0NS4xNyA1NDIu&#10;MTkgMTQ1LjQ4IDU0Mi41NCAxNDUuOCA1NDIuODkgMTQ2LjEzIDU0My41OCAxNDYuNzYgNTQ0LjI0&#10;IDE0Ny40IDU0NC45MSAxNDguMDQgNTQ2LjMgMTQ5LjM1IDU0Ny42OCAxNTAuNjcgNTQ5LjA1IDE1&#10;MiA1NTAuMTMgMTUzLjA1IDU1MS4yMSAxNTQuMTEgNTUyLjMzIDE1NS4xNCA1NTMuNDkgMTU2LjIg&#10;NTU0LjY2IDE1Ny4yNiA1NTUuODQgMTU4LjMxIDU1Ni4wMSAxNTguNDcgNTU2LjA1IDE1OC43MiA1&#10;NTYgMTU4LjkxIDU1NS45NCAxNTkuMTMgNTU1Ljc2IDE1OS4zMiA1NTUuNSAxNTkuNDQgNTU1LjI1&#10;IDE1OS41NSA1NTQuOTQgMTU5LjYgNTU0LjY1IDE1OS41NSA1NTQuMzIgMTU5LjUgNTU0LjEyIDE1&#10;OS4zNyA1NTMuOTEgMTU5LjE5IDU1Mi40NiAxNTcuOSA1NTAuOTYgMTU2LjY0IDU0OS40OCAxNTUu&#10;MzcgNTQ4LjAzIDE1NC4xMyA1NDYuNjkgMTUyLjgzIDU0NS4zNiAxNTEuNTMgNTQ0LjI1IDE1MC40&#10;MyA1NDMuMTQgMTQ5LjM0IDU0Mi4wNSAxNDguMjMgNTQxLjUzIDE0Ny43IDU0MSAxNDcuMTYgNTQw&#10;LjUgMTQ2LjYyIDU0MC4yMiAxNDYuMzMgNTM5Ljk1IDE0Ni4wNCA1MzkuNjggMTQ1Ljc0IDUzOS4z&#10;MyAxNDUuMzYgNTM4LjkgMTQ0LjkyIDUzOS4xOSAxNDQuNDUgNTM5LjM0IDE0NC4yMiA1MzkuNzEg&#10;MTQ0LjA4IDU0MC4wNyAxNDQuMDkgNTQwLjExIDE0NC4wOSA1NDAuMTYgMTQ0LjA5IDU0MC4yIDE0&#10;NC4xWiIgZmlsbD0iIzAxMDEwMSIvPjxwYXRoIGQ9Ik01NTMuODkgMTQzLjk0QzU1My44OSAxNDMu&#10;OTQgNTUzLjg2IDE0My45MiA1NTMuODUgMTQzLjkxIDU1My44NiAxNDMuOTIgNTUzLjg4IDE0My45&#10;MyA1NTMuODkgMTQzLjk0Wk01NTQuMzkgMTQ4LjA2QzU1NC40NSAxNDguMTEgNTU0LjUxIDE0OC4x&#10;NiA1NTQuNTggMTQ4LjIyIDU1NC41MSAxNDguMTYgNTU0LjQ0IDE0OC4xIDU1NC4zNiAxNDguMDQg&#10;NTU0LjM3IDE0OC4wNCA1NTQuMzggMTQ4LjA2IDU1NC4zOSAxNDguMDdaTTU0OC45NSAxMzkuOTVD&#10;NTQ5LjQ5IDE0MC4zNiA1NTAuMDIgMTQwLjc4IDU1MC41NCAxNDEuMjEgNTUxLjYxIDE0Mi4wNyA1&#10;NTIuNjggMTQyLjkzIDU1My43MyAxNDMuODEgNTUzLjc3IDE0My44NCA1NTMuODEgMTQzLjg4IDU1&#10;My44NSAxNDMuOTEgNTUzLjg0IDE0My45IDU1My44MyAxNDMuODkgNTUzLjgxIDE0My44OCA1NTMu&#10;ODUgMTQzLjkyIDU1My45IDE0My45NSA1NTMuOTQgMTQzLjk5IDU1My45MiAxNDMuOTcgNTUzLjkg&#10;MTQzLjk2IDU1My44OCAxNDMuOTQgNTU1LjQzIDE0NS4yNCA1NTYuOTUgMTQ2LjU2IDU1OC40MSAx&#10;NDcuOTEgNTU5LjA5IDE0OC41NSA1NTkuNzYgMTQ5LjIgNTYwLjQyIDE0OS44NSA1NjEuMTIgMTUw&#10;LjUzIDU2MS44NSAxNTEuMiA1NjIuNTkgMTUxLjg2IDU2Mi43OSAxNTIuMDQgNTYyLjg0IDE1Mi4z&#10;NSA1NjIuNzggMTUyLjU3IDU2Mi43MSAxNTIuODIgNTYyLjQ5IDE1My4wNSA1NjIuMTkgMTUzLjE4&#10;IDU2MS45IDE1My4zMSA1NjEuNTQgMTUzLjM2IDU2MS4yIDE1My4zMSA1NjAuODEgMTUzLjI2IDU2&#10;MC41OCAxNTMuMSA1NjAuMzQgMTUyLjg5IDU2MC4xMiAxNTIuNyA1NTkuOSAxNTIuNTIgNTU5LjY4&#10;IDE1Mi4zMyA1NTguODggMTUxLjY3IDU1OC4wNiAxNTEuMDIgNTU3LjIzIDE1MC4zOCA1NTYuMzIg&#10;MTQ5LjY3IDU1NS40NCAxNDguOTUgNTU0LjU3IDE0OC4yMSA1NTQuNTkgMTQ4LjIzIDU1NC42MSAx&#10;NDguMjQgNTU0LjYzIDE0OC4yNiA1NTQuNTUgMTQ4LjE5IDU1NC40NyAxNDguMTMgNTU0LjM5IDE0&#10;OC4wNiA1NTQuMzggMTQ4LjA1IDU1NC4zNiAxNDguMDQgNTU0LjM1IDE0OC4wMyA1NTQuMzUgMTQ4&#10;LjAzIDU1NC4zNSAxNDguMDMgNTU0LjM1IDE0OC4wMyA1NTIuODEgMTQ2Ljc0IDU1MS4yOCAxNDUu&#10;NDMgNTQ5Ljc3IDE0NC4xMiA1NDguOTkgMTQzLjQ0IDU0OC4yMSAxNDIuNzYgNTQ3LjQ1IDE0Mi4w&#10;NiA1NDcuMDkgMTQxLjczIDU0Ni43MiAxNDEuMzkgNTQ2LjM2IDE0MS4wNSA1NDYuMjEgMTQwLjkx&#10;IDU0Ni4wNiAxNDAuNzcgNTQ1LjkxIDE0MC42MiA1NDUuNjcgMTQwLjM4IDU0NS40OSAxNDAuMTUg&#10;NTQ1LjQzIDEzOS44NCA1NDUuMzMgMTM5LjM1IDU0NS45OCAxMzguODggNTQ2LjY1IDEzOC44NiA1&#10;NDYuNjkgMTM4Ljg2IDU0Ni43NCAxMzguODYgNTQ2Ljc4IDEzOC44NiA1NDcuNjggMTM4LjkgNTQ4&#10;LjM1IDEzOS40OSA1NDguOTMgMTM5LjkzWiIgZmlsbD0iIzAxMDEwMSIvPjxwYXRoIGQ9Ik01NjYu&#10;MDMgMTQ0LjY4QzU2Ni4wMyAxNDQuNjggNTY2LjA4IDE0NC43MiA1NjYuMSAxNDQuNzQgNTY2LjA4&#10;IDE0NC43MiA1NjYuMDUgMTQ0LjcgNTY2LjAzIDE0NC42OFpNNTU2LjE1IDEzMy4xM0M1NTYuNTIg&#10;MTMzLjIgNTU2Ljc3IDEzMy4zNSA1NTcuMDIgMTMzLjU0IDU1Ny4yNSAxMzMuNzIgNTU3LjQ3IDEz&#10;My45MSA1NTcuNjggMTM0LjExIDU1OC4wNSAxMzQuNDQgNTU4LjQxIDEzNC43NiA1NTguNzggMTM1&#10;LjA5IDU1OS41MSAxMzUuNzUgNTYwLjI1IDEzNi40IDU2MC45OSAxMzcuMDYgNTYyLjUyIDEzOC40&#10;MSA1NjQuMDUgMTM5Ljc2IDU2NS41NyAxNDEuMTIgNTY3LjQ3IDE0Mi44MiA1NjkuMjcgMTQ0LjU4&#10;IDU3MS4xOSAxNDYuMjcgNTcxLjM5IDE0Ni40NSA1NzEuNDMgMTQ2Ljc0IDU3MS4zNyAxNDYuOTUg&#10;NTcxLjMgMTQ3LjE5IDU3MS4xIDE0Ny40MSA1NzAuOCAxNDcuNTQgNTcwLjUyIDE0Ny42NyA1NzAu&#10;MTcgMTQ3LjcyIDU2OS44NCAxNDcuNjcgNTY5LjQ3IDE0Ny42MiA1NjkuMjQgMTQ3LjQ3IDU2OS4w&#10;MSAxNDcuMjcgNTY3Ljk3IDE0Ni4zNiA1NjYuOTIgMTQ1LjQ1IDU2NS44NSAxNDQuNTUgNTY1Ljg4&#10;IDE0NC41NyA1NjUuOSAxNDQuNTkgNTY1LjkzIDE0NC42MSA1NjQuMzMgMTQzLjI2IDU2Mi44IDE0&#10;MS44OCA1NjEuMjkgMTQwLjQ5IDU1OS44NSAxMzkuMTYgNTU4LjQyIDEzNy44MiA1NTcuMDMgMTM2&#10;LjQ2IDU1Ni42MiAxMzYuMDYgNTU2LjIzIDEzNS42NiA1NTUuODUgMTM1LjI1IDU1NS42NSAxMzUu&#10;MDQgNTU1LjQ2IDEzNC44MiA1NTUuMjggMTM0LjYgNTU1LjA1IDEzNC4zMiA1NTQuODUgMTM0LjAy&#10;IDU1NC45NCAxMzMuNjggNTU1LjAzIDEzMy4zNCA1NTUuNDkgMTMzLjA4IDU1NS45NyAxMzMuMSA1&#10;NTYuMDIgMTMzLjEgNTU2LjA4IDEzMy4xIDU1Ni4xMyAxMzMuMTJaIiBmaWxsPSIjMDEwMTAxIi8+&#10;PHBhdGggZD0iTTU2My45OSAxMzAuNDJDNTYzLjk5IDEzMC40MiA1NjQuMDUgMTMwLjQ3IDU2NC4w&#10;NyAxMzAuNDkgNTY0LjA0IDEzMC40NyA1NjQuMDEgMTMwLjQ0IDU2My45OSAxMzAuNDJaTTU2Mi45&#10;IDEyNi42MUM1NjMuMjcgMTI2Ljc2IDU2My42MiAxMjYuOTUgNTYzLjk1IDEyNy4xNCA1NjQuNTcg&#10;MTI3LjUxIDU2NS4xNyAxMjcuOSA1NjUuNzYgMTI4LjMgNTY2LjkgMTI5LjA3IDU2OC4wMSAxMjku&#10;ODYgNTY5LjEyIDEzMC42NiA1NzEuMjkgMTMyLjIyIDU3My40MyAxMzMuNzkgNTc1LjU1IDEzNS4z&#10;OCA1NzYuMzEgMTM1Ljk1IDU3Ny4wOCAxMzYuNTIgNTc3LjgzIDEzNy4xIDU3OC42NiAxMzcuNzUg&#10;NTc5LjQyIDEzOC40MyA1ODAuMiAxMzkuMSA1ODAuMzggMTM5LjI1IDU4MC41NiAxMzkuMzkgNTgw&#10;Ljc0IDEzOS41MyA1ODEuMDcgMTM5Ljc5IDU4MS4zIDE0MC4wNCA1ODEuMzMgMTQwLjQgNTgxLjM2&#10;IDE0MC43NCA1ODEuMTkgMTQxLjA5IDU4MC44NyAxNDEuMzQgNTgwLjIzIDE0MS44NSA1NzkuMDMg&#10;MTQxLjkyIDU3OC4zMiAxNDEuNDMgNTc3LjE5IDE0MC42NSA1NzUuOTYgMTM5Ljk2IDU3NC44NSAx&#10;MzkuMTggNTczLjc2IDEzOC40MiA1NzIuNzQgMTM3LjYxIDU3MS43MyAxMzYuNzkgNTY5LjcgMTM1&#10;LjE2IDU2Ny43MiAxMzMuNTEgNTY1LjczIDEzMS44NiA1NjUuMzUgMTMxLjU0IDU2NC45NiAxMzEu&#10;MjIgNTY0LjU4IDEzMC45IDU2NC4zNCAxMzAuNyA1NjQuMDkgMTMwLjQ5IDU2My44NSAxMzAuMjkg&#10;NTYzLjI3IDEyOS44IDU2Mi42OSAxMjkuMyA1NjIuMTIgMTI4LjggNTYxLjg3IDEyOC41OCA1NjEu&#10;NjIgMTI4LjM2IDU2MS4zOSAxMjguMTQgNTYxLjE0IDEyNy44OSA1NjAuODMgMTI3LjU4IDU2MC44&#10;NSAxMjcuMjYgNTYwLjg3IDEyNi45MyA1NjEuMDkgMTI2LjU1IDU2MS42IDEyNi40NiA1NjEuNzgg&#10;MTI2LjQzIDU2MS45NSAxMjYuNDIgNTYyLjEyIDEyNi40MiA1NjIuMzkgMTI2LjQzIDU2Mi42NSAx&#10;MjYuNDkgNTYyLjkxIDEyNi41OVoiIGZpbGw9IiMwMTAxMDEiLz48cGF0aCBkPSJNNTg0LjIzIDEz&#10;NS44OUM1ODQuMyAxMzUuOTYgNTg0LjM4IDEzNi4wMiA1ODQuNDYgMTM2LjA4IDU4NC4zOSAxMzYu&#10;MDIgNTg0LjMxIDEzNS45NSA1ODQuMjMgMTM1Ljg5Wk01NzMuMTQgMTIyLjU3QzU3My40MiAxMjIu&#10;NjggNTczLjYyIDEyMi44NSA1NzMuODIgMTIzLjAyIDU3NC4wNyAxMjMuMjIgNTc0LjMgMTIzLjQy&#10;IDU3NC41NCAxMjMuNjIgNTc0LjkzIDEyMy45NiA1NzUuMzEgMTI0LjMgNTc1LjcgMTI0LjY0IDU3&#10;Ni40NSAxMjUuMzEgNTc3LjE4IDEyNS45OSA1NzcuOTEgMTI2LjY3IDU3OS40NCAxMjguMDggNTgw&#10;Ljk5IDEyOS40NyA1ODIuNTYgMTMwLjg2IDU4My42IDEzMS43OCA1ODQuNjMgMTMyLjcgNTg1LjU4&#10;IDEzMy42NyA1ODYuNTMgMTM0LjY0IDU4Ny41MSAxMzUuNTggNTg4LjUyIDEzNi41MSA1ODguNzQg&#10;MTM2LjcxIDU4OC43OSAxMzcuMDIgNTg4LjcyIDEzNy4yNSA1ODguNjUgMTM3LjUxIDU4OC40MiAx&#10;MzcuNzUgNTg4LjEgMTM3LjkgNTg3Ljc5IDEzOC4wNCA1ODcuNDIgMTM4LjA5IDU4Ny4wNiAxMzgu&#10;MDQgNTg2LjY2IDEzNy45OCA1ODYuNCAxMzcuODIgNTg2LjE2IDEzNy42IDU4NS42IDEzNy4wOSA1&#10;ODUuMDMgMTM2LjYgNTg0LjQ1IDEzNi4xIDU4My42NiAxMzUuNDUgNTgyLjg0IDEzNC44MiA1ODIu&#10;MDUgMTM0LjE3IDU4MS4xOCAxMzMuNDUgNTgwLjM1IDEzMi43MSA1NzkuNTQgMTMxLjk1IDU3OC4w&#10;NCAxMzAuNTUgNTc2LjYxIDEyOS4xMSA1NzUuMjggMTI3LjY0IDU3NC42MSAxMjYuOSA1NzMuOTYg&#10;MTI2LjE3IDU3My4zNCAxMjUuNDEgNTczLjA2IDEyNS4wNyA1NzIuOCAxMjQuNzMgNTcyLjU1IDEy&#10;NC4zOCA1NzIuMjMgMTIzLjkyIDU3MS43NCAxMjMuMzUgNTcyLjA1IDEyMi44MyA1NzIuMTcgMTIy&#10;LjYyIDU3Mi41MSAxMjIuNTEgNTcyLjgyIDEyMi41MiA1NzIuOTMgMTIyLjUyIDU3My4wMyAxMjIu&#10;NTQgNTczLjEyIDEyMi41OFoiIGZpbGw9IiMwMTAxMDEiLz48cGF0aCBkPSJNNTg0LjYyIDExMy44&#10;NkM1ODQuNzYgMTEzLjg4IDU4NC45MSAxMTMuOTMgNTg1LjA1IDExMy45NyA1ODUuMjkgMTE0LjA0&#10;IDU4NS41IDExNC4xOCA1ODUuNyAxMTQuMyA1ODYuMDEgMTE0LjQ3IDU4Ni4yNyAxMTQuNjggNTg2&#10;LjU0IDExNC44OCA1ODcuMDQgMTE1LjI1IDU4Ny41MSAxMTUuNjQgNTg3Ljk4IDExNi4wMyA1ODku&#10;MDIgMTE2LjkgNTkwLjAyIDExNy43OSA1OTEgMTE4LjY5IDU5Mi44NCAxMjAuMzcgNTk0LjYzIDEy&#10;Mi4wOCA1OTYuMzMgMTIzLjg0IDU5Ny4wNSAxMjQuNTkgNTk3LjcgMTI1LjM3IDU5OC4zNiAxMjYu&#10;MTUgNTk5LjA2IDEyNi45NyA1OTkuODIgMTI3Ljc1IDYwMC42MSAxMjguNTIgNjAxLjEzIDEyOS4w&#10;MyA2MDAuODQgMTI5Ljc4IDYwMC4xMyAxMzAuMTEgNTk5Ljc4IDEzMC4yNyA1OTkuMzUgMTMwLjMz&#10;IDU5OC45NCAxMzAuMjcgNTk4LjQ5IDEzMC4yMSA1OTguMTcgMTMwLjAyIDU5Ny45IDEyOS43NyA1&#10;OTcuMzQgMTI5LjI0IDU5Ni43NyAxMjguNzIgNTk2LjE3IDEyOC4yIDU5NS4xNyAxMjcuMzggNTk0&#10;LjEzIDEyNi41OSA1OTMuMTYgMTI1Ljc1IDU5Mi4yMyAxMjQuOTUgNTkxLjM1IDEyNC4xMiA1OTAu&#10;NDcgMTIzLjMgNTg4LjY0IDEyMS41OSA1ODYuODYgMTE5Ljg1IDU4NS4yMiAxMTguMDUgNTg0Ljc4&#10;IDExNy41NiA1ODQuMzMgMTE3LjA2IDU4My45NCAxMTYuNTQgNTgzLjY3IDExNi4xOCA1ODMuNDIg&#10;MTE1LjgyIDU4My4yMSAxMTUuNDUgNTgzLjA2IDExNS4xOSA1ODMuMDMgMTE0Ljg5IDU4My4wOCAx&#10;MTQuNjIgNTgzLjE1IDExNC4yNCA1ODMuNjYgMTEzLjg0IDU4NC4yMyAxMTMuODUgNTg0LjMgMTEz&#10;Ljg1IDU4NC4zOCAxMTMuODUgNTg0LjQ1IDExMy44NSA1ODQuNSAxMTMuODUgNTg0LjU2IDExMy44&#10;NSA1ODQuNiAxMTMuODZaIiBmaWxsPSIjMDEwMTAxIi8+PHBhdGggZD0iTTU5NS44MiAxMTAuMDJD&#10;NTk2LjMyIDExMC4wOCA1OTYuNzMgMTEwLjMyIDU5Ny4xMSAxMTAuNTQgNTk3LjM1IDExMC42OCA1&#10;OTcuNTcgMTEwLjg1IDU5Ny43OSAxMTEuMDEgNTk4LjMyIDExMS4zOSA1OTguNzkgMTExLjggNTk5&#10;LjI3IDExMi4yMSA2MDAuMTIgMTEyLjkzIDYwMC45MiAxMTMuNjcgNjAxLjcxIDExNC40MyA2MDMu&#10;MjEgMTE1Ljg4IDYwNC43NCAxMTcuMzIgNjA2LjI4IDExOC43NSA2MDcuMzEgMTE5LjcgNjA4LjM1&#10;IDEyMC42NSA2MDkuNCAxMjEuNiA2MDkuNjkgMTIxLjg2IDYwOS43NSAxMjIuMjggNjA5LjY2IDEy&#10;Mi41OSA2MDkuNTYgMTIyLjk0IDYwOS4yNiAxMjMuMjYgNjA4Ljg0IDEyMy40NSA2MDguNDMgMTIz&#10;LjY0IDYwNy45MiAxMjMuNzEgNjA3LjQ1IDEyMy42NCA2MDcuMjkgMTIzLjYgNjA3LjEzIDEyMy41&#10;NiA2MDYuOTcgMTIzLjUyIDYwNi42NiAxMjMuNDEgNjA2LjQyIDEyMy4yNSA2MDYuMjQgMTIzLjA1&#10;IDYwNC42MyAxMjEuNTkgNjAzLjAzIDEyMC4xMiA2MDEuNDEgMTE4LjY3IDU5OS44IDExNy4yMiA1&#10;OTguMTIgMTE1LjgxIDU5Ni42MiAxMTQuMyA1OTYuMTggMTEzLjg1IDU5NS43NCAxMTMuNCA1OTUu&#10;MzEgMTEyLjk0IDU5NS4wOCAxMTIuNjkgNTk0Ljg2IDExMi40MyA1OTQuNjQgMTEyLjE4IDU5NC41&#10;IDExMiA1OTQuMzYgMTExLjgxIDU5NC4yNCAxMTEuNjEgNTk0LjEgMTExLjM2IDU5NC4wNyAxMTEu&#10;MSA1OTQuMTEgMTEwLjgyIDU5NC4yMSAxMTAuMyA1OTQuOTUgMTA5Ljk4IDU5NS42NCAxMTAuMDEg&#10;NTk1LjY5IDExMC4wMSA1OTUuNzUgMTEwLjAxIDU5NS44IDExMC4wMloiIGZpbGw9IiMwMTAxMDEi&#10;Lz48cGF0aCBkPSJNNjA0LjY3IDEwMS43OUM2MDQuNjcgMTAxLjc5IDYwNC42NSAxMDEuODEgNjA0&#10;LjY0IDEwMS44Mkw2MDQuNjQgMTAxLjgyQzYwNC42NCAxMDEuODIgNjA0LjY0IDEwMS44MiA2MDQu&#10;NjQgMTAxLjgyIDYwNC42NCAxMDEuODEgNjA0LjY2IDEwMS44IDYwNC42NiAxMDEuNzlaTTYwNi4x&#10;NyAxMDEuNDVDNjA2LjE3IDEwMS40NSA2MDYuMjEgMTAxLjQ2IDYwNi4yMyAxMDEuNDcgNjA2LjIy&#10;IDEwMS40NyA2MDYuMiAxMDEuNDYgNjA2LjE5IDEwMS40NSA2MDYuMTkgMTAxLjQ1IDYwNi4xOCAx&#10;MDEuNDUgNjA2LjE3IDEwMS40NVpNNjA1LjMxIDEwMS40QzYwNS4zMSAxMDEuNCA2MDUuMzEgMTAx&#10;LjQgNjA1LjMxIDEwMS40IDYwNS4zMSAxMDEuNCA2MDUuMzEgMTAxLjQgNjA1LjMxIDEwMS40IDYw&#10;NS4zMSAxMDEuNCA2MDUuMzEgMTAxLjQgNjA1LjMxIDEwMS40Wk02MDcuNjQgMTAyLjM3QzYwOC4x&#10;MSAxMDIuNzcgNjA4LjU0IDEwMy4yIDYwOC45NyAxMDMuNjMgNjA5LjkxIDEwNC41NSA2MTAuODQg&#10;MTA1LjQ3IDYxMS43NiAxMDYuNDEgNjEzLjU1IDEwOC4yMiA2MTUuMTYgMTEwLjExIDYxNi44NyAx&#10;MTEuOTYgNjE3Ljg3IDExMy4wNSA2MTguODkgMTE0LjEyIDYxOS45IDExNS4yMSA2MjAuNCAxMTUu&#10;NzQgNjIwLjE2IDExNi40NyA2MTkuNDIgMTE2LjgyIDYxOC42NyAxMTcuMTcgNjE3LjY2IDExNyA2&#10;MTcuMTYgMTE2LjQ4IDYxNS40NSAxMTQuNjYgNjEzLjc0IDExMi44NCA2MTEuOTUgMTExLjA2IDYx&#10;MC4wOSAxMDkuMjEgNjA4LjI3IDEwNy4zMyA2MDYuNTkgMTA1LjM5IDYwNi4xNiAxMDQuODkgNjA1&#10;Ljc0IDEwNC4zNyA2MDUuMzcgMTAzLjg1IDYwNS4xNCAxMDMuNTIgNjA0LjkgMTAzLjE5IDYwNC43&#10;IDEwMi44NSA2MDQuNTcgMTAyLjYyIDYwNC40OCAxMDIuMzggNjA0LjUgMTAyLjE1IDYwNC41MSAx&#10;MDEuOTYgNjA0LjYxIDEwMS43OCA2MDQuNzkgMTAxLjY0IDYwNC45NiAxMDEuNTEgNjA1LjE4IDEw&#10;MS40MiA2MDUuNCAxMDEuMzkgNjA1LjUyIDEwMS4zNyA2MDUuNjQgMTAxLjM2IDYwNS43NSAxMDEu&#10;MzcgNjA2LjUyIDEwMS40IDYwNy4xNCAxMDEuOTggNjA3LjYyIDEwMi4zOFoiIGZpbGw9IiMwMTAx&#10;MDEiLz48L3N2Zz5QSwMEFAAGAAgAAAAhAN1COMTgAAAACgEAAA8AAABkcnMvZG93bnJldi54bWxM&#10;j0FrwkAQhe+F/odlCr3V3RgtGrMRkbYnKVQLxduajEkwOxuyaxL/fcdTexy+x3vfpOvRNqLHzteO&#10;NEQTBQIpd0VNpYbvw/vLAoQPhgrTOEINN/Swzh4fUpMUbqAv7PehFFxCPjEaqhDaREqfV2iNn7gW&#10;idnZddYEPrtSFp0ZuNw2cqrUq7SmJl6oTIvbCvPL/mo1fAxm2MTRW7+7nLe342H++bOLUOvnp3Gz&#10;AhFwDH9huOuzOmTsdHJXKrxoNCxn8ZyjDNQUxD0QLZYxiBMjNQOZpfL/C9kv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noY8/xwFAAArDwAA&#10;DgAAAAAAAAAAAAAAAABDAgAAZHJzL2Uyb0RvYy54bWxQSwECLQAKAAAAAAAAACEAGMgcHv3hAAD9&#10;4QAAFAAAAAAAAAAAAAAAAACLBwAAZHJzL21lZGlhL2ltYWdlMS5wbmdQSwECLQAKAAAAAAAAACEA&#10;537WYP8PAQD/DwEAFAAAAAAAAAAAAAAAAAC66QAAZHJzL21lZGlhL2ltYWdlMi5zdmdQSwECLQAU&#10;AAYACAAAACEA3UI4xOAAAAAKAQAADwAAAAAAAAAAAAAAAADr+QEAZHJzL2Rvd25yZXYueG1sUEsB&#10;Ai0AFAAGAAgAAAAhACJWDu7HAAAApQEAABkAAAAAAAAAAAAAAAAA+PoBAGRycy9fcmVscy9lMm9E&#10;b2MueG1sLnJlbHNQSwUGAAAAAAcABwC+AQAA9vsBAAAA&#10;">
                <v:shape id="Graphic 1" o:spid="_x0000_s1062" type="#_x0000_t75" style="position:absolute;width:15608;height:620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WfywAAAOIAAAAPAAAAZHJzL2Rvd25yZXYueG1sRI/NasJA&#10;FIX3hb7DcAtuik7SqJXoKFKUVqSFqpvubjPXTDBzJ2RGTd/eWRRcHs4f32zR2VpcqPWVYwXpIAFB&#10;XDhdcangsF/3JyB8QNZYOyYFf+RhMX98mGGu3ZW/6bILpYgj7HNUYEJocil9YciiH7iGOHpH11oM&#10;Ubal1C1e47it5UuSjKXFiuODwYbeDBWn3dkqmGx+l89btzpguc/SL7P6PP28B6V6T91yCiJQF+7h&#10;//aHVvA6zEbZcJRGiIgUcUDObwAAAP//AwBQSwECLQAUAAYACAAAACEA2+H2y+4AAACFAQAAEwAA&#10;AAAAAAAAAAAAAAAAAAAAW0NvbnRlbnRfVHlwZXNdLnhtbFBLAQItABQABgAIAAAAIQBa9CxbvwAA&#10;ABUBAAALAAAAAAAAAAAAAAAAAB8BAABfcmVscy8ucmVsc1BLAQItABQABgAIAAAAIQB/rFWfywAA&#10;AOIAAAAPAAAAAAAAAAAAAAAAAAcCAABkcnMvZG93bnJldi54bWxQSwUGAAAAAAMAAwC3AAAA/wIA&#10;AAAA&#10;">
                  <v:imagedata r:id="rId59" o:title="" cropleft="2286f"/>
                  <o:lock v:ext="edit" aspectratio="f"/>
                </v:shape>
                <v:shape id="Text Box 837740629" o:spid="_x0000_s1063" type="#_x0000_t202" style="position:absolute;left:3810;top:267;width:11728;height:5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mgywAAAOIAAAAPAAAAZHJzL2Rvd25yZXYueG1sRI/NasMw&#10;EITvhb6D2EJvjVy35MeJEoJxoYFSsNNAjou1tU2slbGURH37qFDocZiZb5jVJpheXGh0nWUFz5ME&#10;BHFtdceNgq/929MchPPIGnvLpOCHHGzW93crzLS9ckmXyjciQthlqKD1fsikdHVLBt3EDsTR+7aj&#10;QR/l2Eg94jXCTS/TJJlKgx3HhRYHyluqT9XZKDimRVOEz3J74N1HGU5Fvs/PlVKPD2G7BOEp+P/w&#10;X/tdK5i/zGavyTRdwO+leAfk+gYAAP//AwBQSwECLQAUAAYACAAAACEA2+H2y+4AAACFAQAAEwAA&#10;AAAAAAAAAAAAAAAAAAAAW0NvbnRlbnRfVHlwZXNdLnhtbFBLAQItABQABgAIAAAAIQBa9CxbvwAA&#10;ABUBAAALAAAAAAAAAAAAAAAAAB8BAABfcmVscy8ucmVsc1BLAQItABQABgAIAAAAIQBcuRmgywAA&#10;AOIAAAAPAAAAAAAAAAAAAAAAAAcCAABkcnMvZG93bnJldi54bWxQSwUGAAAAAAMAAwC3AAAA/wIA&#10;AAAA&#10;" filled="f" stroked="f">
                  <v:textbox inset="0,,0">
                    <w:txbxContent>
                      <w:p w14:paraId="12066E93" w14:textId="7F00D202" w:rsidR="00A75328" w:rsidRPr="00711B8F" w:rsidRDefault="00C64EAC" w:rsidP="00A75328">
                        <w:pPr>
                          <w:spacing w:after="0" w:line="240" w:lineRule="auto"/>
                          <w:jc w:val="center"/>
                          <w:rPr>
                            <w:b/>
                            <w:bCs/>
                            <w:color w:val="000000"/>
                            <w:sz w:val="20"/>
                            <w:szCs w:val="20"/>
                          </w:rPr>
                        </w:pPr>
                        <w:r>
                          <w:rPr>
                            <w:b/>
                            <w:bCs/>
                            <w:color w:val="000000"/>
                            <w:sz w:val="20"/>
                            <w:szCs w:val="20"/>
                          </w:rPr>
                          <w:t>Further detail in</w:t>
                        </w:r>
                      </w:p>
                      <w:p w14:paraId="1BCCC88F" w14:textId="77777777" w:rsidR="00A75328" w:rsidRPr="00697AE5" w:rsidRDefault="00A75328" w:rsidP="00A75328">
                        <w:pP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7</w:t>
                        </w:r>
                      </w:p>
                    </w:txbxContent>
                  </v:textbox>
                </v:shape>
                <w10:wrap type="square" anchorx="page"/>
              </v:group>
            </w:pict>
          </mc:Fallback>
        </mc:AlternateContent>
      </w:r>
      <w:r w:rsidR="00B41BB2" w:rsidRPr="00884FAA">
        <w:t xml:space="preserve">The evaluation found that </w:t>
      </w:r>
      <w:r w:rsidR="006315C4" w:rsidRPr="00884FAA">
        <w:t xml:space="preserve">data and reporting arrangements should </w:t>
      </w:r>
      <w:r w:rsidR="00CF78A8" w:rsidRPr="00884FAA">
        <w:t>adopt</w:t>
      </w:r>
      <w:r w:rsidR="006315C4" w:rsidRPr="00884FAA">
        <w:t xml:space="preserve"> appropriate indicators of health and wellbeing that are developed by</w:t>
      </w:r>
      <w:r w:rsidR="00BB426B" w:rsidRPr="00884FAA">
        <w:t xml:space="preserve"> and for Aboriginal and Torres Strait Islander people</w:t>
      </w:r>
      <w:r w:rsidR="00CF78A8" w:rsidRPr="00884FAA">
        <w:t xml:space="preserve"> to better capture the model of comprehensive </w:t>
      </w:r>
      <w:r w:rsidR="003279C5">
        <w:t>PHC</w:t>
      </w:r>
      <w:r w:rsidR="00CF78A8" w:rsidRPr="00884FAA">
        <w:t xml:space="preserve"> and the health outcomes of service users</w:t>
      </w:r>
      <w:r w:rsidR="0000598F" w:rsidRPr="00884FAA">
        <w:t xml:space="preserve">. </w:t>
      </w:r>
    </w:p>
    <w:p w14:paraId="58B5B620" w14:textId="4D590EE8" w:rsidR="0021078B" w:rsidRDefault="0021078B" w:rsidP="00651D06">
      <w:pPr>
        <w:pStyle w:val="Heading3NotNumbered"/>
        <w:numPr>
          <w:ilvl w:val="0"/>
          <w:numId w:val="0"/>
        </w:numPr>
      </w:pPr>
      <w:r>
        <w:t>There are complex relationships between primary care activity, social determinants of health and health outcomes</w:t>
      </w:r>
    </w:p>
    <w:p w14:paraId="4E18CA48" w14:textId="11496912" w:rsidR="0021078B" w:rsidRDefault="0021078B" w:rsidP="0021078B">
      <w:r>
        <w:t xml:space="preserve">The evaluation found </w:t>
      </w:r>
      <w:r w:rsidR="00DA1205">
        <w:t>t</w:t>
      </w:r>
      <w:r>
        <w:t>hat h</w:t>
      </w:r>
      <w:r w:rsidRPr="00884FAA">
        <w:t>igher levels of primary care activity were associated with</w:t>
      </w:r>
      <w:r w:rsidR="000879B0">
        <w:t xml:space="preserve"> people being connected to </w:t>
      </w:r>
      <w:r w:rsidR="0014387B">
        <w:t>hospital</w:t>
      </w:r>
      <w:r w:rsidR="000879B0">
        <w:t xml:space="preserve"> care</w:t>
      </w:r>
      <w:r>
        <w:t xml:space="preserve">. Taken together, primary care activity and </w:t>
      </w:r>
      <w:r w:rsidR="00105A25">
        <w:t xml:space="preserve">access to tertiary </w:t>
      </w:r>
      <w:r w:rsidR="00105A25">
        <w:lastRenderedPageBreak/>
        <w:t xml:space="preserve">care </w:t>
      </w:r>
      <w:r>
        <w:t>showed a positive impact on mortality (</w:t>
      </w:r>
      <w:r w:rsidR="00D4543F">
        <w:t>that is,</w:t>
      </w:r>
      <w:r>
        <w:t xml:space="preserve"> more health service activity was associated with lower mortality).</w:t>
      </w:r>
    </w:p>
    <w:p w14:paraId="28151223" w14:textId="08592DE2" w:rsidR="0021078B" w:rsidRDefault="00604A31" w:rsidP="0021078B">
      <w:r>
        <w:rPr>
          <w:noProof/>
        </w:rPr>
        <mc:AlternateContent>
          <mc:Choice Requires="wpg">
            <w:drawing>
              <wp:anchor distT="0" distB="0" distL="114300" distR="114300" simplePos="0" relativeHeight="251658284" behindDoc="0" locked="0" layoutInCell="1" allowOverlap="1" wp14:anchorId="13986382" wp14:editId="6C415A27">
                <wp:simplePos x="0" y="0"/>
                <wp:positionH relativeFrom="page">
                  <wp:align>left</wp:align>
                </wp:positionH>
                <wp:positionV relativeFrom="paragraph">
                  <wp:posOffset>66040</wp:posOffset>
                </wp:positionV>
                <wp:extent cx="1560830" cy="509270"/>
                <wp:effectExtent l="0" t="0" r="1270" b="5080"/>
                <wp:wrapSquare wrapText="bothSides"/>
                <wp:docPr id="645934800" name="Group 645934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60830" cy="509270"/>
                          <a:chOff x="0" y="0"/>
                          <a:chExt cx="1560830" cy="620395"/>
                        </a:xfrm>
                      </wpg:grpSpPr>
                      <pic:pic xmlns:pic="http://schemas.openxmlformats.org/drawingml/2006/picture">
                        <pic:nvPicPr>
                          <pic:cNvPr id="371312179" name="Graphic 1"/>
                          <pic:cNvPicPr>
                            <a:picLocks/>
                          </pic:cNvPicPr>
                        </pic:nvPicPr>
                        <pic:blipFill rotWithShape="1">
                          <a:blip r:embed="rId56">
                            <a:extLst>
                              <a:ext uri="{96DAC541-7B7A-43D3-8B79-37D633B846F1}">
                                <asvg:svgBlip xmlns:asvg="http://schemas.microsoft.com/office/drawing/2016/SVG/main" r:embed="rId57"/>
                              </a:ext>
                            </a:extLst>
                          </a:blip>
                          <a:srcRect l="3488"/>
                          <a:stretch/>
                        </pic:blipFill>
                        <pic:spPr bwMode="auto">
                          <a:xfrm>
                            <a:off x="0" y="0"/>
                            <a:ext cx="1560830" cy="620395"/>
                          </a:xfrm>
                          <a:prstGeom prst="rect">
                            <a:avLst/>
                          </a:prstGeom>
                          <a:ln>
                            <a:noFill/>
                          </a:ln>
                          <a:extLst>
                            <a:ext uri="{53640926-AAD7-44D8-BBD7-CCE9431645EC}">
                              <a14:shadowObscured xmlns:a14="http://schemas.microsoft.com/office/drawing/2010/main"/>
                            </a:ext>
                          </a:extLst>
                        </pic:spPr>
                      </pic:pic>
                      <wps:wsp>
                        <wps:cNvPr id="1677750345" name="Text Box 1677750345"/>
                        <wps:cNvSpPr txBox="1">
                          <a:spLocks noChangeArrowheads="1"/>
                        </wps:cNvSpPr>
                        <wps:spPr bwMode="auto">
                          <a:xfrm>
                            <a:off x="21945" y="26737"/>
                            <a:ext cx="1172845" cy="523874"/>
                          </a:xfrm>
                          <a:custGeom>
                            <a:avLst/>
                            <a:gdLst>
                              <a:gd name="connsiteX0" fmla="*/ 0 w 1172845"/>
                              <a:gd name="connsiteY0" fmla="*/ 0 h 523874"/>
                              <a:gd name="connsiteX1" fmla="*/ 562966 w 1172845"/>
                              <a:gd name="connsiteY1" fmla="*/ 0 h 523874"/>
                              <a:gd name="connsiteX2" fmla="*/ 1172845 w 1172845"/>
                              <a:gd name="connsiteY2" fmla="*/ 0 h 523874"/>
                              <a:gd name="connsiteX3" fmla="*/ 1172845 w 1172845"/>
                              <a:gd name="connsiteY3" fmla="*/ 523874 h 523874"/>
                              <a:gd name="connsiteX4" fmla="*/ 586423 w 1172845"/>
                              <a:gd name="connsiteY4" fmla="*/ 523874 h 523874"/>
                              <a:gd name="connsiteX5" fmla="*/ 0 w 1172845"/>
                              <a:gd name="connsiteY5" fmla="*/ 523874 h 523874"/>
                              <a:gd name="connsiteX6" fmla="*/ 0 w 1172845"/>
                              <a:gd name="connsiteY6" fmla="*/ 0 h 5238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2845" h="523874" extrusionOk="0">
                                <a:moveTo>
                                  <a:pt x="0" y="0"/>
                                </a:moveTo>
                                <a:cubicBezTo>
                                  <a:pt x="124818" y="-1993"/>
                                  <a:pt x="328375" y="12767"/>
                                  <a:pt x="562966" y="0"/>
                                </a:cubicBezTo>
                                <a:cubicBezTo>
                                  <a:pt x="797557" y="-12767"/>
                                  <a:pt x="958573" y="8099"/>
                                  <a:pt x="1172845" y="0"/>
                                </a:cubicBezTo>
                                <a:cubicBezTo>
                                  <a:pt x="1185829" y="110374"/>
                                  <a:pt x="1196812" y="348618"/>
                                  <a:pt x="1172845" y="523874"/>
                                </a:cubicBezTo>
                                <a:cubicBezTo>
                                  <a:pt x="880102" y="510357"/>
                                  <a:pt x="724568" y="513855"/>
                                  <a:pt x="586423" y="523874"/>
                                </a:cubicBezTo>
                                <a:cubicBezTo>
                                  <a:pt x="448278" y="533893"/>
                                  <a:pt x="211755" y="526219"/>
                                  <a:pt x="0" y="523874"/>
                                </a:cubicBezTo>
                                <a:cubicBezTo>
                                  <a:pt x="-21389" y="415986"/>
                                  <a:pt x="-23938" y="236853"/>
                                  <a:pt x="0" y="0"/>
                                </a:cubicBezTo>
                                <a:close/>
                              </a:path>
                            </a:pathLst>
                          </a:custGeom>
                          <a:noFill/>
                          <a:ln>
                            <a:noFill/>
                            <a:extLst>
                              <a:ext uri="{C807C97D-BFC1-408E-A445-0C87EB9F89A2}">
                                <ask:lineSketchStyleProps xmlns:ask="http://schemas.microsoft.com/office/drawing/2018/sketchyshapes" sd="1011431495">
                                  <a:prstGeom prst="rect">
                                    <a:avLst/>
                                  </a:prstGeom>
                                  <ask:type>
                                    <ask:lineSketchFreehand/>
                                  </ask:type>
                                </ask:lineSketchStyleProps>
                              </a:ext>
                            </a:extLst>
                          </a:ln>
                          <a:extLst>
                            <a:ext uri="{53640926-AAD7-44D8-BBD7-CCE9431645EC}">
                              <a14:shadowObscured xmlns:a14="http://schemas.microsoft.com/office/drawing/2010/main" val="1"/>
                            </a:ext>
                          </a:extLst>
                        </wps:spPr>
                        <wps:txbx>
                          <w:txbxContent>
                            <w:p w14:paraId="307D87EE" w14:textId="629F4CB5" w:rsidR="00604A31" w:rsidRPr="00711B8F" w:rsidRDefault="00C64EAC" w:rsidP="00604A31">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5AD491EC" w14:textId="5DA76141" w:rsidR="00604A31" w:rsidRPr="00697AE5" w:rsidRDefault="00604A31" w:rsidP="00604A31">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8</w:t>
                              </w:r>
                            </w:p>
                          </w:txbxContent>
                        </wps:txbx>
                        <wps:bodyPr rot="0" vert="horz" wrap="square" lIns="0" tIns="45720" rIns="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986382" id="Group 645934800" o:spid="_x0000_s1064" alt="&quot;&quot;" style="position:absolute;left:0;text-align:left;margin-left:0;margin-top:5.2pt;width:122.9pt;height:40.1pt;z-index:251658284;mso-position-horizontal:left;mso-position-horizontal-relative:page;mso-position-vertical-relative:text;mso-width-relative:margin;mso-height-relative:margin" coordsize="15608,62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Ty+2HwUAACMPAAAOAAAAZHJzL2Uyb0RvYy54bWycV1tv&#10;2zYUfh+w/0DocUBikbJuRpyibdagQLcGa4Z1j7RMW0IkUaPoyOmv30dSsuUkhe08xOHt3L7zHfLo&#10;6t22KsmjUG0h67lHL32PiDqTy6Jez72/7z9dJB5pNa+XvJS1mHtPovXeXf/6y1XXzASTuSyXQhEo&#10;qdtZ18y9XOtmNpm0WS4q3l7KRtTYXElVcY2pWk+WinfQXpUT5vvRpJNq2SiZibbF6o3b9K6t/tVK&#10;ZPrratUKTcq5B9+0/VX2d2F+J9dXfLZWvMmLrHeDv8GLihc1jO5U3XDNyUYVL1RVRaZkK1f6MpPV&#10;RK5WRSZsDIiG+s+iuVVy09hY1rNu3exgArTPcHqz2uzPx1vVfGvuFJDomjWwsDMTy3alKvMfXpKt&#10;hexpB5nYapJhkYaRnwRANsNe6Kcs7jHNcgD/QizLf39NMGJ+kIYmGZPB7OTAmabIZvjrEcDoBQLH&#10;mQIpvVHC65VUJ+mouHrYNBdIVsN1sSjKQj9Z4iEtxqn68a7I7pSbAMw7RYrl3AtiGlBG49QjNa/A&#10;+9ueYtQEaQTNWSfJTWRfZPbQmvgP9+z0wMaiLJpPRVkSJfU/hc6/5byBfmrZZzb78MDxZxx5BSHH&#10;vxuZbSpRa1dQSpSIVNZtXjStR9RMVAuBkNTnpXWez1qV/YXCMiUVTJPE1VCrldBZPoQwuOmCbcEv&#10;suj+kEu4yjdaWm/P5tcrNAF4qtW3QlbEDOAmPLPa+eOXVjtGDUcMmcva/NbSYOh2zYrF2XjZD5EF&#10;Uw64k9oBUMxeQHpW2dlMwTWjds8UGsVxHPrBNByocm9q64PcktEWPO3FTKkSvcX+kPS2seQhtfyY&#10;83ot3islu1zwJfy1GUMpWYtG1Ok5KR+MpsYp1DWL4iB2ad7VPY1ZYrZt3bMgiacH5ctn2cblxcA9&#10;5AL34xJZMUvrZV8ZmazrttDiOy6RVVXi9v1tQnzSEdqbQOyvHP/38HhOwp0Tr5z+TkfKw4ilUXTc&#10;wljGJ8cssJGF3vXjJsZCx00EbzExFnIYHQ1lOrITJtGUBccjOZCxqThqBuw5J+Hj4ycGEp1n4fD4&#10;OOF4lnbM5bm7WEDxbd2zGSOC2jPPo2FrI1vz9I2pjTIapqCuu3kgZU4fEQYNx8KupK3UCcIg2FiY&#10;nWUZ1BkLB2cJgxBj4eF6OC1md+/sABtag9OEkcax5WjsNhIJJX3WzFthXrHSNoYajx3eD4+gMVwY&#10;GeSRa5PsYUg63KjDxZej33FXDsGlqDamA/76MDCgko/iXlpB/awLggv73WyzKLIP4sf4LGXThKJv&#10;RhAXNE0t7PDF6glYEsQOHcriqL+V3Z6716zcjmEH6l8zFqdxGMa9seca0zAJY8eCxE/THhTryA4H&#10;eHm6NUqTMGHoiiBFqR+4V2MIjtI0SqijLDqLCCC4NLywuL/sTUKPBpkkaK6d3hBWEe9Ib8ymYeTg&#10;DmmQhJZsg0vu+rP+nmlzOk1Y3KsNguQwjQzwwZCBIWQRXtqxQ3jZ7ProUT0e4gWD7w7YKQ3TxLJ+&#10;iOKCBWngfGFBlIQHlHLmfpLDUrYCWAFlUwu7gS0KC/3+kd/1VD9tsjr0Ia7JMiO9XWxts0wt4mZp&#10;IZdPaG/Q2hpSme9KDHKpfnikQwM999r/Nty08OXnGt0Njmg7mIYxw0QNq4vxKq8zqJh7qG83/Kgx&#10;w/FNo4p1Dguuea7le3Smq8I2jXtvELOZoBG0I/slZnHovxrNp954bk/tv22v/wcAAP//AwBQSwME&#10;CgAAAAAAAAAhABjIHB794QAA/eEAABQAAABkcnMvbWVkaWEvaW1hZ2UxLnBuZ4lQTkcNChoKAAAA&#10;DUlIRFIAAAnEAAADRQgGAAAAX+9tDgAAAAFzUkdCAK7OHOkAAAAEZ0FNQQAAsY8L/GEFAAAACXBI&#10;WXMAADqWAAA6lgEjrlQ8AADhkklEQVR4Xuzdb4gc+Z8f9vLd/X73W5/vtu+P73T2STfnI0QXS6eJ&#10;45zI7glPcARCWHhsb2RBlnhMpBMciz06ydloBjKDHjgxAU30wMGBNeNgPwgbsoPBECUWHsM9WIeF&#10;DMRZnCXBg0az9BLjzMWJ44QkntR3ulsalT7zr6u6u6r69YYX+ztp59tV3dVVNVvv+34zERERERER&#10;EREJ0znGzDFmjzF3hPkTLBxh8QSrkd/1u37X2jHWh7AxQZsTtjVh2xMWbdO4RJ/HuETH4jhF38Oz&#10;ir7/oeg8coLofHSU6Nx2nOgceZTofDtQPD9H5/PiuV9ERERERERERERERERERKT1KT4sL4oesB9W&#10;fCBfFD3EPywqABwWlQkOi8oJh0VFhwNRaaIgKmAMRAWPJCqeDESFmMOisk6yd4J9ACiheF2JrkXF&#10;a1bxGhddE6Pr51vX2uj6nCtey6Prf3TPkBTvMwb3I4fvXQb3OCIiIiIiIiIiMiU5/OBrVA7/B6g6&#10;OPywri6K//FukqL/uDhO0X/0HJfif4Adt+g/Ck9CtG2TFn1e4xYdr+MUfV/HJTpvjUN0Dh+H6FpG&#10;/F7VRXT81En0vTqL6JxwVtF57ayi8/NZRdedUys+UC0helh7FtED4MOKD4yLig+Yi6KH0ocVH2JH&#10;ooffAAC8MbhvOnyfNbgfG9y3Hb7HO3w/eHBfGdyzDu57D99HD+7JD9/jD35XOPx7zeB3LxERERER&#10;EZEwgwd2g18qB79wvvMQZvCLa9/hX2gHDv/CO3D4QcbA4YcXhx3+ZXrg8EOKcYu2JxLtSyR6L6ZN&#10;9L6cJHrPjxJ9jieJ/gMPAAAAAADNMvhvvof/m/HgvzMP/hv14ecXh59vKO6JiIiIiIg0NOmXssX+&#10;L3bpF7/0y2D0SyMAAAAAAADVU9wTERERERGpIAv5L0jpF6noFy8AAAAAAAA47KzFvcPlvZOKe8Xy&#10;3uECX7HEd7jId1SZT6FPRERERGSK0un/AhL9IgMAAAAAAABtNCj0FUt9h4t9h8t9R5X8ig7P2Bc5&#10;KANGsncLgpHDpcGziMZ6R7Rdx4j27zSisQ5E25RL2z8oRaYC5KDsKCIiIiLybvIby3TTGf0SAAAA&#10;AAAAAFBnqcC4nvVKc0pyIiIiInJQiEs3ia9vGvM/OnwDCQAAAAAAANAUW1lvNjkRERERmdbkN4Vv&#10;FeIAAAAAAAAAGk4xTkRERGSKsxrcIAIAAAAAAAA0WqYUJyIiIjKdyW8G14o3hwAAAAAAAABNlynF&#10;iYiIiExtZvMbwn9WvEEEAAAAAAAAqJssy8L/Hcn/fiY9EBURERGRKUt+M7hdvDkEAAAAAAAAqIPs&#10;hOLbMdZ7T0RFREREZJoyE9wYHiv/mW7+TyU6AAAAAAAAoM7+t94jURERERGZpswFN4Yn2ej/7CBp&#10;quFkLjffl9bkTxZzq0n+c2u59b6N3GbfVi4V7JK9XPSaAAAAAAAAAGf1NzNLp4qIiIhMVRaCm8KT&#10;7PV/dtTp5AZlu9lcVLgblO5eF+8G8u1MBbzDJbxBEe9wGW9QyBsYFPMG5TwFPQAAAAAAABizbPhl&#10;Uo+Slk9VjBMRERGZgiwGN4Mnyn8uldWmMWm/BwZlvUFhb1DaO1zcO6q891aBL39Po/Le4QJfVOSL&#10;Cn3FUt/hYp+CHwAAAK3xfue9Y52/0DnWpcvnjvXBhzNHunHz4qncvnPlVO7dv3pqDx5dO9HKk+un&#10;9vTZrVP7bP2joX3+xcelPH9xt5Qvv/qEFog+26aIjutJir6nVYrOIVUqnsuic2FSPIcWz7/F83Z0&#10;zk+K14jiNSW6DkXXLgBqI62GpRgnIiIi0uKkMlZ0I3is/OdS+WvobG+vdF51l+defru0uNtdXnv1&#10;3fL6zndLm0n+5xvpz152lxbSv9P/ERltDhf9imW/gUHp73DxLyoARkXAYwuBR8mPtUFR8CjFAmFR&#10;sVBYFBUMi4qFw8OK5cNIsZB4VuF3EAAAqFb0IHug+NB7oPhw/LDoYXpSfPB+WPEh/UDxYf5h0cP/&#10;pFgUOCwqFgxEpYYkKlMMRMWPw6JSy2Fff/PwWK++WwaAVihe46LrYvE6OrjeFq/Nh6/fg2t88X5g&#10;cL9QvLcY3HsU71MG9zGH73cO3xNF91AADacYJyIiItLG5Dd6qTQU3QAeK//RVG46Uw4KcN3Hqzvd&#10;5a1X3aW96D8IHCX9TCrJ7e4ulSriiUxxiqXHYRRLksM6XK4cRrGQOYyoxAkDxTJvWYfLwFUIS8Rl&#10;5Nf2qHRcRrGgXJWo3DyUH/3R7/2tyPe//8O/fdjv/t3f//I03n//B1+dxk/99I9tneRnf/bH/35R&#10;5yff+4dFP/3TP/byKD/7s79n9yTnfv7Hu0f5/b///f/lOBcudP5xkr/W/170e3/v7/mnkZ/9uR//&#10;Z8c59/M/8X8f5ff9vvf/n6P8wi+8//8d5fBDHEbrcAlo0ooP9U7rcCnprIoPGE/rcKlpGMUHnqd1&#10;uBh1VocfvJ5V8SFu0eGC1WHFh8KHRQ+RB4oPnAei3zkBADibw/dXh+/BDt+rDe7nivd9h+8RB/eZ&#10;xXvWwT3v4fvnw/fgxfv5we8Dh39PUeYDzkAxTkRERKRNSTd4hRu+U5mb+wN/Nc3g9nqGt+7yxmCG&#10;t7d0l7cGol+ah5HGSsW69Po73z6eT1LZbiCV5pLt7qczr22vdA7r776IiExBiteAtxy+VhwyuJZE&#10;Dl9zBgbXo8jB9bIov36GDq5vbzsohB8hvy6un1p+rT6N8Hp+lEPX+ZPk27B9Kqk0P6zgvgEAAADg&#10;sCrLfKcp8h0u8x1V5DuqzBc9nwFGSjFOREREpA1JN3aFG71TSb+4Rb9INtq7D9XfekD/zsP9Qikg&#10;KhXkP/dWGSEqM5wkKkecWlS2aJuoaBKISiqH5Z/XOwWX40QlmSQq1rwlKuTk+l9JOSbR+xaK3veC&#10;6LOLRJ/9YdGxFImOyVB0jEei73tBdD6JFM9TR4rOcQXF8+KRiufTI+Sv+9Z5+LXi+XogOrcDAAAA&#10;QEscV+SLSnzFAt9ZZ+OLynuKe0yJtUwxTkRERKS5yW/oNgs3eKfSykIc1FlU/jmrqFg0atF2RKJ9&#10;BgAAAACgcU5T3Dtree+0xT3lPSqWinEiIiIi0rTkN3LbhRu7U0m/NES/5AAAAAAAAEDdHVfcG3bW&#10;vUFx73B5b1DcK5b3FPcaYy/LsoXek1URERERaUTym7ihCnFJ+iUh+gUCAAAAAAAAqMZpZt07XNw7&#10;S3nvNLPuHS7wHVXiG2WRL439gx98L/y7MdrKsmy+94RVRERERGqd4Gbu1NJNdnRTDgAAAAAAADAo&#10;8xULfcViX2Twc4OxUvEvemY5ZhtZls30nrSKiIiISB3TCW7iTi3ddB6+oQUAAAAAAAAYlVSUSzPT&#10;Rc8ux2yt/7xVRERERGqWmeDm7dTS1MrRjSgAAAAAAADAKKRZ49LSrtHzy3HLsmyx99hVREREROqS&#10;UoW4B4+uhTehAAAAAAAAAKOUJu+InmFOwFaWZQu9x68iIiIiMumUKsSl/8+L6OYTAAAAAAAAYNTS&#10;EqqXLp8Ln2VOQCrGzfQew4qIiIjIpFKqEJfW549uPAEAAAAAAADGpUazxSXr6Tls73GsiIiIiIw7&#10;s8EN2qm933kvvOEEAAAAAAAAGKeazRaXrPWfyYqIiIjIGFOqEJd8/c3D8IYTAAAAAAAAYNxqNltc&#10;WkZ1ofdoVkRERETGkdKFuM+/+Di80QQAAAAAAACYhC+/+mT/xs2L4fPNCdnMLKMqIiIiMpaULsT9&#10;e0v/+j+ObjIBAAAAAAAAJqlms8UlllEVERERGXFKF+L+7L/zh7ejm0sAAAAAAACASfv6m4f7t+9c&#10;CZ91TsheZhlVERERkZFlLrgBO5Mrs7/vf45uLAEAAAAAAADq4umzW/vvd94Ln3lOyFZmGVURERGR&#10;ylO6EPdLf+CnzBAHAAAAAAAA1F4NZ4tLLKMqIiIiUmFKF+K+9/0f/j+im0kAAAAAAACAOkqzxZ2/&#10;0Amff06IZVRFREREKkrpQlyS/j8pohtJAAAAAAAAgLqq4WxxllEVERERKZnZ4CbrzJ6/uBveQAIA&#10;AAAAAADUWXrWWbPZ4hLLqIqIiIgMmUoKcX/tb/zp/ym6eQQAAAAAAABoggeProXPQifIMqoiIiIi&#10;Q6SSQty93/i1/za6aQQAAAAAAABoijRb3KXL58JnohOUllGd7T3eFREREZGTMhPcUJ3ZzVv/4t+N&#10;bhgBAAAAAAAAmmblyfXwueiEWUZVRERE5BSppBB3/kLn70U3igAAAAAAAABN9OVXn+zfuHkxfD46&#10;QZZRFRERETkhlRTivv/9H/k2ukkEAAAAAAAAaLKnz27tv995L3xOOkFpGdWZ3iNfERERETmcTnDz&#10;dGY/9EM/9DvRzSEAAAAAAABA0339zcP923euhM9KJ8wyqiIiIiKFVFKIS/7+P/itl9HNIQAAAAAA&#10;AEAbPH9xd//8hU74vHSCtjPLqIqIiIi8TmWFuP/yb/7bX0U3hQAAAAAAAABtcu/+1fCZ6YRtZJZR&#10;FREREamuEPfn/vyH/3V0MwgAAAAAAADQNmm2uEuXz4XPTicpy7LV3qNgERERkSlNdJM0jD/xp/7g&#10;RnQjCAAAAAAAANBWK0+uh89PJ2wry7L53hNhERERkSlLfjO0V7g5Gsq/+mu/8J9HN4AAAAAAAAAA&#10;bZZmi7tx82L4HHXC1jPLqIqIiMi0Jb8JqqQQ96M/+r2/Fd38AQAAAAAAAEyDms4Wl5ZRXew9HRYR&#10;ERGZguQ3QNvFG6Ihbb7qLu1FN34AAAAAAAAA0+Drbx7u375zJXqeOmlpGdXZ3lNiERERkRYn3fgU&#10;boSGtbfTXd6KbvoAAAAAAAAApsnnX3y8f/5CJ3quOmlr/UfFIiIiIu1MfsNTVSEu3ditF2/0AAAA&#10;AAAAAKbVvftXw2erk5Zl2ULvibGIiIhIy5Lf7FRWiPtq68/9J9FNHgAAAAAAAMC0ev7ibl1ni0vL&#10;qM70nhyLiIiItCT5Tc5m4aZnaE+eXH8Q3eABAAAAAAAATLuVJ9fD56w1YBlVERERaU/ym5vKCnF/&#10;9I/+8n8Y3dgBAAAAAAAA0Jst7tLlc+Hz1gnbyyyjKiIiIm1IfmOzUbjRGVqn84PH0U0dAAAAAAAA&#10;AG/UeLY4y6iKiIhIs5Pf0KwXbnCGlg+3+qq7tBfd0AEAAAAAAADwxtffPNy/fedK+Oy1BiyjKiIi&#10;Is1MupEp3NiUsbHTXd6KbuYAAAAAAAAAeFdaRvX8hU70/HXSLKMqIiIizUt+E1NlIW7zVXd5I7qJ&#10;AwAAAAAAAOBoDx5di57B1sFmZhlVERERaUrym5cqC3F7u93ltejmDQAAAAAAAIDjpdniPvhwJnoW&#10;WweWURUREZFGZDW4kRnW3svu49Xoxg0AAAAAAACA01l5cn3//c570TPZSdvKLKMqIiIiNU+Vhbj9&#10;v/237/5b0Q0bAAAAAAAAAKf39TcP92/fuRI+l62B9cwyqiIiIlLTLAY3L0P743/yV25GN2sAAAAA&#10;AAAAnF1aRvX8hU74fHbSsixb7T12FhEREalPFqIbl2H90i/9zB+LbtIAAAAAAAAAGF5aRjV6RlsD&#10;aRnV+d7jZxEREZHJp9JCXD7e4qvu0l50gwYAAAAAAADA8NJscZZRFRERETk+88GNytDy8VZ3ustb&#10;0c0ZAAAAAAAAAOU9fXarzsuoLh48iRYRERGZUCotxOU2dr5b2oxuygAAAAAAAACozr37V6NntnWQ&#10;llGd7T2SFhERERlv5oKbkzI2drvLa9HNGAAAAAAAAADVSsuoXrp8Lnp2WwdrWZZ1eo+mRURERMaT&#10;2eCmpIytl93Hq9GNGAAAAAAAAACjsfLkevT8thayLFvoPZ4WERERGX1mohuSEvZ2vn08H92AAQAA&#10;AAAAADA6X3/zcP/2nSvRc9w6sIyqiIiIjCWd4EakDIU4AAAAAAAAgAn6bP2j/fMXOtHz3DpIy6iK&#10;iIiIjCxVF+L2/+O/fOtXo5suAAAAAAAAAMbnwaNr4TPdGtjLLKMqIiIio0pw81HK5cs/fy262QIA&#10;AAAAAABgvJ6/uLt/6fK58NluDaRlVGd6T65FREREKkp+k7FXuOkoJR9y7lV3aS+62QIAAAAAAABg&#10;/FaeXA+f79aEZVRFRESkuuQ3F1UX4uZ3ustb0U0WAAAAAAAAAJPx9TcP92/fuRI+560By6iKiIhI&#10;NclvLLYKNxql5EMu7ny3tBndYAEAAAAAAAAwWWkZ1fMXOuHz3hpIy6jOHjzMFhERERkm6YaicINR&#10;Sj7kan4TtV68qQIAAAAAAACgPhqwjGrn4KG2iIiIyFmS30hsFm4sylrb7S6vRTdUAAAAAAAAANRH&#10;mi3uxs2L0XPfWsiybLH3ZFtERETklMlvIqouxG287D5Os8SFN1QAAAAAAAAA1MvTZ7f23++8Fz3/&#10;rYO0jOpC7wm3iIiIyAnJbx7WCzcTZW3ufPt4PrqJAgAAAAAAAKC+bt+5Ej0Drov1LMtmek+6RURE&#10;RI5IftOwVriJKGv7VXd5Lrp5AgAAAAAAAKDe0jKqly6fi54F18Va/3G3iIiIyLtJNwuFm4ey9ra3&#10;VzrRjRMAAAAAAAAAzbDy5Hqdl1HdziyjKiIiIkdkNbh5KEUhDgAAAAAAAKAd7t2/Gj4XromtzDKq&#10;IiIiUkjlhbh8zM6r7tJedLMEAAAAAAAAQLNYRlVERESalMXgZqGUfMzZne7yVnSjBAAAAAAAAEAz&#10;1XwZ1b3MMqoiIiKSZyG4USglH3Nu57ulzegGCQAAAAAAAIBma8AyqrMHT8NFRERkKjMf3CCUko+5&#10;sNtdXotujAAAAAAAAABovoYso9o5eCouIiIiU5W54MaglHzMxZfdx6vRTREAAAAAAAAA7fH02a39&#10;8xc64bPjOkjPrw+ejIuIiMjUZDa6KSgjH3P1ZXdpIboZAgAAAAAAAKB9GrCM6vzBE3IRERFpfWaC&#10;m4Gy1ne+fTwf3QQBAAAAAAAA0E5pGdUPPpyJniHXxXp6Rt57VC4iIiJtTSe4CShr41V3eS66AQIA&#10;AAAAAACg3eq+jGpurf+8XERERFqYURTiNre3VzrRjQ8AAAAAAAAA06EBy6gu9B6bi4iISKsSXPjL&#10;2laIAwAAAAAAACAto3rj5sXouXJdpGKcZVRFRETalPwCv1e44Je1l8Z91V3ai254AAAAAAAAAJgu&#10;llEVERGRsSW/sFddiNtP4+50l7eiGx0AAAAAAAAAptODR9fCZ8w1kSZ/sYyqiIhI05Nf1LcLF/nS&#10;8mE7O98tbUY3OAAAAAAAAABMr4Ysozp78EBdREREmpd0MS9c3EvLh53Nb2TWizc2AAAAAAAAAJA0&#10;ZBnVmYMH6yIiItKc5BfxzcJFvbR82Lnd7vJadFMDAAAAAAAAAAM1X0Y1ScU4ERERaUryi/coCnEL&#10;L7uPV6ObGQAAAAAAAAA4LC2jevvOlfD5c01sp+fgBw/ZRUREpN7JL9wbhQt5afmwiy+7SwvRjQwA&#10;AAAAAAAARBqwjOpWZhlVERGReie/YK8XLuCl5cOu7nz7eD66gQEAAAAAAACA4zRkGVXFOBERkTom&#10;XagLF+4qrO/uLs1GNy4AAAAAAAAAcJIGLKN6MFlM78m7iIiI1Cb5RXoUhbiN7e2VTnTTAgAAAAAA&#10;AACn9dn6R01YRnWh9wReRERE6pDV4IJd1qZCHAAAAAAAAABVWXlyPXo2XSepGGcZVRERkRpkMbhQ&#10;l7WdBn7VXdqLblQAAAAAAAAA4Ky+/uZh7ZdRza1lWdZJz8xFRERkMlkILtBl7aWBd7rLW9FNCgAA&#10;AAAAAAAM6/mLu/uXLp+LnlXXRpZli+m5uYiIiIw/89HFuaw08M53S5vRzQkAAAAAAAAAlPX02a39&#10;8xc64TPrmkjLqC6k5+ciIiIyvoyqENfJb0DWizckAAAAAAAAAFCllSfXw+fWNbKZZdnMwRN6ERER&#10;GXnmgotxafm4s7vd5bXoZgQAAAAAAAAAqpSWUb1950r4/LpG1nqP6UVERGSUmQ0uwqXl48697D5e&#10;jW5EAAAAAAAAAGAUUjGu5suopufpiwdP60VERGQkmYkuwGXl4y7sfPt4ProBAQAAAAAAAIBRasAy&#10;qlvpufrBU3sRERGpNJ3gwltaPu6iQhwAAAAAAAAAk9SAZVQ3siybOXh6LyIiIpVkVIW41d3dpdno&#10;hgMAAAAAAAAAxiUto9qAYtxa7xG+iIiIlE5woa3C+vb2Sie62QAAAAAAAACAcXv67Nb++Qud6Pl2&#10;bWSWURURESmf/KK6V7zIVmBDIQ4AAAAAAACAull5cj16xl0nW5linIiIyPDJL6bbhYtrFTbT2K+6&#10;S3vRDQYAAAAAAAAATMrX3zxswjKqG1mWzaRn7yIiInKG5BfRrcJFtQrbaeyd7vJWdHMBAAAAAAAA&#10;AJP2/MXd/UuXz0XPvOtk7eDhvoiIiJwu+cVzs3AxrcJeGnvnu6XN6KYCAAAAAAAAAOoiLaN6/kIn&#10;evZdF+kZvGVURURETpP8wjmKQtx+Gju/cVgv3kgAAAAAAAAAQB09eHQtfP5dI1tZls2l5/EiIiJy&#10;RPIL5nrhAlqJfOjObnd5LbqJAAAAAAAAAIA6Ssuo3r5zJXwOXiPrWZbNHDz0FxERkbeTXyjXChfO&#10;SuRDz77sPl6NbiAAAAAAAAAAoM5SMa7my6gma70n/yIiIvI66QJZuGBWIh967mV3aSG6cQAAAAAA&#10;AACAJlh5cj18Jl4je1mWLRwUAEREROQgq8EFs7R83IWdbx/PRzcMAAAAAAAAANAkDVhGdSvLstmD&#10;FoCIiMiUZzG4UJaWxt3dXZqNbhQAAAAAAAAAoGnSMqo3bl4Mn5HXyHqWZTMHbQAREZEpzUJwgSwt&#10;H3d1e3ulE90kAAAAAAAAAEBTPX12a//8hU74rLxG1nqVABERkenLfHBhrMK6QhwAAAAAAAAAbbXy&#10;5Hr0rLxO9rIsW+hVA0RERKYnc8FFsQobafBX3aW96MYAAAAAAAAAAJru628e7t++cyV6Zl4nW1mW&#10;zaZn+CIiItOQ2eBiWIXNNPhOd3kruikAAAAAAAAAgLZ4/uLu/qXL56Jn53WynmXZTHqWLyIi0ubM&#10;BBfBKmynwXe+W9qMbgYAAAAAAAAAoG2ePru1f/5CJ3qGXidrB20BERGRlqYTXPyqkNYiz/IL/nrx&#10;BgAAAAAAAAAA2mzlyfXoOXqdpEluFtJzfRERkbZlVIW4/TT4bnd5Lbr4AwAAAAAAAECbff3Nw/3b&#10;d66Ez9NrZCuzjKqIiLQtwQWvEvnQnZfdx6vRhR8AAAAAAAAApsHzF3f3L10+Fz5Xr5G0jKpinIiI&#10;tCP5hW2vcKGrRD707Mvu0kJ0wQcAAAAAAACAafL02a398xc64fP1usiybPWgSCAiItLk5Be17eJF&#10;rgr50HM73z6ejy70AAAAAAAAADCNVp5cD5+x10haRnXhoFAgIiLSxKSLWeHiVol86IXd3aXZ6AIP&#10;AAAAAAAAANPqy68+2b9950r4rL1GUjHOMqoiItK85BexzcJFrRL50Ivb2yud6OIOAAAAAAAAANPu&#10;+Yu7tV9GNbeWZVnnoGAgIiLShOQXL4U4AAAAAAAAAJiQtIxq3YtxWZatHpQMRERE6p78wrVevJBV&#10;IR/64GL4qru0F13QAQAAAAAAAIA3Hjy6Fj5/r5G0jOpC6gKIiIjUNvkFa61wAavKehp/p7u8FV3I&#10;AQAAAAAAAIC3pWVUb9+5Ej2Dr5NUjJtJnQAREZHaJb9QjaoQt5HG3/luaTO6iAMAAAAAAAAAsVSM&#10;q/syqrm1g+KBiIhIzbIaXLSqcFCIe9Vd3ogu3gAAAAAAAADA8VaeXN9/v/Ne9Ey+NrIsW0z9ABER&#10;kbpkMbpgVSBNkZrtdpfXoos2AAAAAAAAAHA69+5fjZ7L10nqCCyknoCIiMiksxBcqKqwnQZ/2X28&#10;Gl2sAQAAAAAAAIDTS8uo3r5zJXo+XyebWZbNpL6AiIjIpDIfXKCqsJcGf9ldWogu1AAAAAAAAADA&#10;2X3+xcf75y90ouf0dbJ20EgQERGZQEZViEvrhGc73z6ejy7QAAAAAAAAAMDwVp5cD5/V10lmGVUR&#10;EZlAZqOLUhXysTuvustz0YUZAAAAAAAAACivAcuobmWKcSIiMsbMBBejSqSxt7ufzkQXZAAAAAAA&#10;AACgGs9f3G1CMW4j9QgOmgoiIiIjTCe4CFUiH3t2e3ulE12MAQAAAAAAAIBqPX12a//8hU74DL9G&#10;1np1BRERkdFklIW4ufQCr7pLe9GFGAAAAAAAAACo3sqT6+Fz/DrJLKMqIiKjSnThqUI+9HwaXyEO&#10;AAAAAAAAAMbr628eNmEZ1a1MMU5ERKpOfoHZK1xwKpEPvZjG3+kub0UXXwAAAAAAAABgtJ6/uNuE&#10;ZVQ3siybSR0DERGR0skvLKMtxH23tBlddAEAAAAAAACA8WjCMqq5tdQzEBERKZX8grJVuMBUIh96&#10;NY2/211eiy62AAAAAAAAAMD4NGQZ1b3MMqoiIlIm+cVks3Bxqcp6Gl8hDgAAAAAAAADqIy2jeuny&#10;ueg5f51sZVk2n3oHIiIiZ0p+ERlVIS6t8Z297D5ejS6wAAAAAAAAAMDkpGVUz1/oRM/76yRNxjOT&#10;+gciIiKnSrp4FC4mVTkoxO18+3g+urACAAAAAAAAAJN37/7V6Jl/3awdlBxEREROSrpoFC4iVUnT&#10;lyrEAQAAAAAAAEDNpWVUb9+5Ej37r5O9LMsWUhdBRETkyOQXjFEV4rbT+Lu7S7PRxRQAAAAAAAAA&#10;qJenz241YRnVNEHPXOokiIiIRFkNLh5VSM3sbHt7pRNdRAEAAAAAAACAelp5cj3qAdTNepZlM6mb&#10;ICIicjgKcQAAAAAAAADAW77+5mETllFN1g7aDyIiIv0sBheLSvTHz151l/aiiycAAAAAAAAAUG/P&#10;X9xtwjKqadKehV5LQUREpj0LwYWiEvnYnfQCO93lreiiCQAAAAAAAAA0Q0OWUd3Ksmw2dRVERGR6&#10;M/pC3HdLm9HFEgAAAAAAAABojgYto7qeZdlM6iyIiMj0ZT64MFQiH/vg4vKqu7wRXSgBAAAAAAAA&#10;gOZJy6heunwu7ArUzFrqLYiIyHRllIW4g2lId7vLa9EFEgAAAAAAAABorrSM6vkLnbAzUCNpGdWF&#10;1F8QEZHpyFxwMahEGju9gEIcAAAAAAAAALTXvftXw95AzaRinGVURUSmILPBRaAS+dgHhbiX3cer&#10;0QURAAAAAAAAAGiHtIzq7TtXwv5AzVhGVUSk5RllIW4+vcDOt4/no4shAAAAAAAAANAuT5/dasIy&#10;qnuZZVRFRFqbmeDEX4l87IOLh0IcAAAAAAAAAEyXlSfXwy5BzaRlVGdTt0FERNqTTnDCr0Q+9mJ6&#10;gd3dpdno4gcAAAAAAAAAtNfX3zxs0jKqndRxEBGR5mfkhbjt7ZVOdOEDAAAAAAAAANrv+Yu7TVhG&#10;9XXPQUREGp7oJF+FfOjVNL5CHAAAAAAAAADQoGVU51PfQUREGprg5F6VNKXoQV51l/aiix0AAAAA&#10;AAAAMD0atIzqepZlM73Wg4iINCr5SXyvcFKvSro4HGSnu7wVXegAAAAAAAAAgOmTllG9dPlc1DWo&#10;m9eTAYmISEOSn7xHVYjb6L+EQhwAAAAAAAAA8I60jOr5C52oc1An21mWLfQaECIiUvukE3fhRF6V&#10;N4W475Y2owsbAAAAAAAAAMC9+1ej3kHdbGWWURURqX/SCbtwAq/KZv8lst3u8lp0QQMAAAAAAAAA&#10;SNIyqrfvXIn6B3VjGVURkTonP1GPqhCXmtEHUYgDAAAAAAAAAE7j6bNbTVhGdS+zjKqISD2Tn6Q3&#10;CyftqqQ1tA/ysvt4NbqIAQAAAAAAAABEVp5cj7oIdZMmC5rttSNERKQWyU/OoyrEpTb0QV52lxai&#10;ixcAAAAAAAAAwFG+/uZhk5ZR7fRaEiIiMtHkJ+WNwkm6Kq8LcTvfPp6PLlwAAAAAAAAAACd5/uJu&#10;E5ZR3c+ybLHXlBARkYklPyGvF0/QVem/RPaquzwXXbAAAAAAAAAAAE6rQcuoLvQaEyIiMvbkJ+K1&#10;wom5Mv2XyLa7n85EFyoAAAAAAAAAgLNo0DKq61mWzfSaEyIiMrbkJ+BRFuIO1sfe3l7pRBcpAAAA&#10;AAAAAIBhpGVUL10+F/YVamYtdSdERGRMSSfewom4MvnwB4W4lOjiBAAAAAAAAABQRlpG9fyFTthb&#10;qJHtzDKqIiJjy2pwIq5EPvabQlx3aS+6MAEAAAAAAAAAlHXv/tWwu1AzW5llVEVERp5RFuJen8R3&#10;ustb0QUJAAAAAAAAAKAKaRnV23euhB2GmrGMqojICLMYnHgrkY/9phD33dJmdDECAAAAAAAAAKjS&#10;02e3mrCM6l5mGVURkZFkITjpViIfe7b3EmnJ1OWN6CIEAAAAAAAAADAKK0+uh32GmrGMqohIxZkP&#10;TraVyMd+XYjb7S6vRRcfAAAAAAAAAIBR+fqbh5ZRFRGZsoyyEDfXewmFOAAAAAAAAABgcp6/uNuE&#10;ZVS3M8uoioiUzlxwgq1EGrv3Eln2svt4NbrgAAAAAAAAAACMS0OWUd3ILKMqIjJ0xlSIW1qILjQA&#10;AAAAAAAAAONkGVURkXZnNjihViIfe773Elm28+3j+egiAwAAAAAAAAAwCQ1ZRnUrs4yqiMiZMhOc&#10;TCuRj/36hPyquzwXXVwAAAAAAAAAACapIcuormeWURUROVXGUojb7n46E11UAAAAAAAAAAAmrSnL&#10;qGZZttprYoiIyFHpRCfQKuRjL/ZeIsu2t1c60QUFAAAAAAAAAKAuGrSM6nyvkSEiIsWMpRCXEl1I&#10;AAAAAAAAAADqxjKqIiINTnDCrEQ+9NuFuO7SXnQRAQAAAAAAAAComzRbXEOWUX2rnyEiMvXJT457&#10;xZNlFfKh31q3eqe7vBVdQAAAAAAAAAAA6urps1tNWUZ1ttfQEBGZ8uQnRYU4AAAAAAAAAIBjPHh0&#10;LexH1MxalmWdXlNDRGRKk58Mx1OI+25pM7pgAAAAAAAAAAA0QVpG9cbNi2FPok6yLFvotTVERKYw&#10;+Ylwq3hirEhqHb9OfmFYL14oAAAAAAAAAACaxjKqIiI1TjoBFk6IVXmrELfbXV6LLhIAAAAAAAAA&#10;AE107/7VqC9RN2/1N0REWp/8xDeqQtx6/yUO8rL7eDW6OAAAAAAAAAAANFVaRvXS5XNRb6JO9jLL&#10;qIrItCQ/6W0WToJVUYgDAAAAAAAAAKbCypPr++933ov6E3WSllGd6TU5RERamvxkN6pC3Eb/JQ7y&#10;sru0EF0QAAAAAAAAAADa4vadK1GHom4soyoi7U1+khtLIW7n28fz0YUAAAAAAAAAAKBNLKMqIjLB&#10;5Ce4jcIJrypvFeJedZfnoosAAAAAAAAAAEAbpWVUgz5F3VhGVUTalfzENpZC3Hb305no5A8AAAAA&#10;AAAA0FZff/PQMqoiIuNMfkJbL5zgqrLZf4mDbG+vdKITPwAAAAAAAABA26VlVM9f6ET9ijqxjKqI&#10;ND/5yUwhDgAAAAAAAABgDCyjKiIy4uQnsbXCSa0qbxXiUl51l/aikz0AAAAAAAAAwLSwjKqIyAiT&#10;Tl6Fk1lVFOIAAAAAAAAAAI7w+Rcf134Z1Z/+6R97mVlGVUSalPzkNapCXJo+863sdJe3ohM8AAAA&#10;AAAAAMC0asIyqn/w0s/9dmYZVRFpSFajE1kF3i3Efbe0GZ3YAQAAAAAAAACm2fMXdxuxjOov//JP&#10;/ZV+DUREpLYZWyHuVXd5IzqpAwAAAAAAAACwvP/02a3aL6P6izM/9TtX/tDP/0a/DiIiUrssRiev&#10;Cmz3x3+d3e7yWnQyBwAAAAAAAADgjXv3r0ZdjFr54MOZr3/jN6/+er8WIiJSmyjEAQAAAAAAAADU&#10;TFpG9dLlc1Eno1b+zMK/8nf71RARkVpkITpZVeCdQtzL7uPV6AQOAAAAAAAAAEBs5cn1/fc770Xd&#10;jNpIxb3/7G/86b/Rr4iIiEw0oyrE7fXHf52X3y4tRiduAAAAAAAAAACOd/vOlaifUStpqdeX3aWF&#10;flVERGQiGVshbufbx/PRCRsAAAAAAAAAgJM1ZRnVv/iXbvwjxTgRmVTmoxNTBRTiAAAAAAAAAABG&#10;IC2jGnQ1aiUV9zb+1p/5HxXjRGTcGVsh7lV3eS46SQMAAAAAAAAAcDZff/OwMcuo7nSXt9JESv0K&#10;iYjISDOqQtx+f/zX2e5+OhOdoAEAAAAAAAAAGE5aRvX8hU7Y3aiL9zvv7T99dmv/VXd5I/VH+lUS&#10;EZGRZC46EVWhP/7rbG+vdKITMwAAAAAAAAAA5TRlGdUvv/okbe+6YpyIjCoKcQAAAAAAAAAALZBm&#10;i2vKMqppe3e7y2uKcSJSdWajE08V8rE7vZd4k+KJGAAAAAAAAACAaqXlSRuzjGq+vakY16+WiIiU&#10;zkx00qlCPva7hbju0l7xJAwAAAAAAAAAQPUePLoWdjrq5IMPZwbLqCrGiUgl6UQnmyqksXsv8SY7&#10;3eWt4skXAAAAAAAAAIDRSMuoXrp8Lux21MlgGdU02dLL7tJCv2oiInLmjLIQ984azwpxAAAAAAAA&#10;AADjt/Lk+sEypVHHoy5ScW+wjGrqmCjGicgwGWUhbrb3Em+y893SZvGECwAAAAAAAADAeNy+cyXs&#10;edRJ2sbBMqqKcSJy5kQnlirkQ79TiHvVXd4onmgBAAAAAAAAABifpiyj+uDRtdfbnCZh2u5++s5q&#10;hSIi7yQ/gewVTyhVyIee673Cm+x2l9cOn2ABAAAAAAAAAJiMtIxq1Pmok8PLqB7oLm8oxonIsclP&#10;HgpxAAAAAAAAAABT6OtvHjZuGdUkdVAU40QkTH7S2C6eRKqQDz3fe4U3edl9vHr4pAoAAAAAAAAA&#10;wOSlZVTPX+iEHZA6uXf/6lvbnYpx/VqKiEgv+cliq3jyqEI+9LuFuG+XFg+flAAAAAAAAAAAqI9G&#10;LqOaU4wTkdfJTxSjKsQt9F7hTXa+fTx/+GQEAAAAAAAAAEC9pKVJm7iM6qvu0t7L7tI7fRURmbLk&#10;J4jN4gmjCvnQCnEAAAAAAAAAAA2VZmFr4jKqO93lLcU4kSlOfmLYKJ4oqpAPvdh7hTd51V2eO3wC&#10;AgAAAAAAAACg3pq6jGoqxu3uLs32aysiMi3JTwpjK8Slk8zhEw8AAAAAAAAAAPX3/MXdRiyjeuPm&#10;xbeXUe1Z3+5+OtOvr4hI25OfDNaLJ4cq5EOv9l7hTdLJpXDCAQAAAAAAAACgIT5b/6iRy6gmu93l&#10;te3tlU6/xiIibU1+ElgrnhSqkA/9biEuP6kUTzYAAAAAAAAAADRLE5ZRTcW94jKqSSrG9assItLG&#10;5CeAkRTicu+cPBTiAAAAAAAAAADa4etvHjZiGdVLl8+9u4xqd2nvZXdpoV9pEZGWZTU6GVQgbNO+&#10;dXIBAAAAAAAAAKDRnr+429hlVHe6y1uKcSLty6gKcev98d9KatgWTy4AAAAAAAAAADRbE5ZRfb/z&#10;XriMairG7e4uzfbrLSLS8CxGJ4AKbPTHfyv5SWS7eFIBAAAAAAAAAKD5Gr2MatJd3tjufjrTr7mI&#10;SEOzEH3xKxAW4lKj9p2TCQAAAAAAAAAArdHkZVST3e7ymmKcSHMzH33hKxAX4r5b2oxOJAAAAAAA&#10;AAAAtEuTl1FNUjGuX3kRkQZlVIW4zf74b0UhDgAAAAAAAABgejR/GdWlvZfdpYV+9UVEGpC56Ete&#10;gbAQl58o1t85cQAAAAAAAAAA0GppGdVUOgs6JrVy1DKqO93lLcU4kWZkNvpyV2CrP/5bSVNJRicN&#10;AAAAAAAAAADar+nLqKZi3O7u0my/CiMiNUwn+mJXYLs//ltRiAMAAAAAAAAAoNHLqPasb3c/nelX&#10;YkSkRhlVIW6vP/5bedl9vBqcIAAAAAAAAAAAmDJNX0Y1SZND9WsxIlKXRF/kCijEAQAAAAAAAABw&#10;orSMalqmNOif1MZxy6gminEiNUr+pd0rfomr0B/+rbzsLi1EJwUAAAAAAAAAAKZbmokt6qDUSZrR&#10;Ls1sF23/q+7SXurG9GsyIjKp5F/WreKXtwr50J3eK7zJzreP58MTAgAAAAAAAAAAUy+VzW7cvBh2&#10;UerkuGVUd7rLW4pxIhNM/iUdVSFupvcKb6IQBwAAAAAAAADASdLypOcvdMJOSl2ctIzqzndLm9vd&#10;T9/pz4jIiJN/QTeLX9gq5EPP9l7hTV51l+eiEwAAAAAAAAAAABQ9eHQt7KXUybHLqPasK8aJjDH5&#10;F3O9+EWtQj70XO8V3mR3d2k2+NIDAAAAAAAAAEAolc1u37kS9lPqJC2j+vU3D8N9SHa7y2v9Co2I&#10;jDL5F3Kt+AWtQj70O4W41HaNvvAAAAAAAAAAAHCcJiyjmhy3jGry8tulxX6VRkRGkfyLOKpC3Hzv&#10;Fd5ke3ulE33RAQAAAAAAAADgNFaeXA+7KnVyimVUt192lxb6lRoRqTir0RezrHzcd760CnEAAAAA&#10;AAAAAJTVlmVUd7rLW4pxItVnIfpClpWPG07vGH25AQAAAAAAAADgrD7/4uNGLKOaZrWLtv+17vLG&#10;dvfTmX69RkRKZj76IpaVj7vaG/7tvOou7YVfbAAAAAAAAAAAGEJLllHd3+0urynGiZSPQhwAAAAA&#10;AAAAAI2WliZtwjKqaRu//OqTcB8GUjGuX7URkSEyG335KhB+MfMv7XbxSwwAAAAAAAAAAFVIs7C1&#10;YxnVpb2X3aWFfuVGRM6QmehLV4GN/vhvZae7vBV+iQEAAAAAAAAAoCJNWUb1s/WPwu0fSF0bxTiR&#10;s6UTfeEqoBAHAAAAAAAAAMBEtWUZ1dS52e5+OtOv4IjIcYm+aBXY7A//Vna+W9qMvrQAAAAAAAAA&#10;ADAKaRnVNBtb0G+plQeProXbX7CuGCdyQvIv1F7xC1aBrf7wb0UhDgAAAAAAAACASXj67Nb++Qud&#10;qOdSG6m4l7Yz2v7DdrvLa/06jogUk3+ZRlGI2+4P/1ZedZc3oi8pAAAAAAAAAACMQ5qJLei61Mpp&#10;llFNXn67tNiv5YjIIPmXaKv4parAXn/4t5J/EdeLX0wAAAAAAAAAABintIxqKp0FnZdauXf/arj9&#10;h+10l7dedpcW+vUcEcm/PJvFL1MFwkJcmq4x+mICAAAAAAAAAMC4tWkZ1VSM291dmu3XdESmN/kX&#10;Z6P4RapCf/i3ohAHAAAAAAAAAEDdrDy5HvZf6uTGzYunWkY1t77d/XSmX9cRmb7kX5i14heoCvnQ&#10;nd4rvMnL7uPV4EsIAAAAAAAAAAAT9fU3D1uzjGqSJq7qV3ZEpi6r0ZenrHzcd6ZgVIgDAAAAAAAA&#10;AKDOnr+425plVJPU1+lXd0SmJovRF6esfNx3C3HfLi1GXzwAAAAAAAAAAKiTJiyj+sGHM6ddRnX7&#10;ZXdpoV/hEWl95qMvTFn5uHO94d8kfbGCLxwAAAAAAAAAANRO25ZR3ekub+3uLr0zyZVI2zIXfVHK&#10;ysd9p1W68+3j+ejLBgAAAAAAAAAAdZWWUU3LlEYdmbpIy7yedhnV3Pp299OZfqVHpHWZib4kZeXj&#10;LvaGfxOFOAAAAAAAAAAAmioto/p+572wK1MXZ1hGdX+3u7zWr/WItCqd6MtRVj7uam/4N3nVXZ6L&#10;vlwAAAAAAAAAANAUaYnSqC9TJ6ddRjV5+e3SOxNfiTQ60ZeirHzYdwpxaQ3i6EsFAAAAAAAAAABN&#10;kpZRvXHzYtibqYu0zOtpl1Hd6S5vvewuLfRrPiLNTv4F2Ct+ISqw3h/+ddLaw9EXCgAAAAAAAAAA&#10;migVzs5f6ETdmdq4fefKqZdRTcW41PHp131Empn8wN8qfhEqsNEf/nUU4gAAAAAAAAAAaKOVJ9ej&#10;/kytPHh0Ldz2I6wrxkljkx/wm8UvQAU2+8O/jkIcAAAAAAAAAABtlZZRTbOxBT2a2kjLqH62/lG4&#10;/ZHd7vJav/oj0pzkB/tG8eCvwFZ/+NfZ3l7pRF8cAAAAAAAAAABoi1Q4a9Myqq+6S3svu0sL/QqQ&#10;SP2TH+RrxYO+Anv94V9HIQ4AAAAAAAAAgGnRhGVU0zZG2x7Z6S5vKcZJU7IaHfAlKcQBAAAAAAAA&#10;ADDV0ixsTVhGNS33Gm1/qLu8sd39dKZfCRKpZRajg72sfNxOb/heFOIAAAAAAAAAAJhGn3/xcbuW&#10;Uc3tdpfX+rUgkdplPjrIy8rHfasQlxJ9OQAAAAAAAAAAYBq0bRnVxDKqUsfMRQd3Wfm4s73h3yT6&#10;UgAAAAAAAAAAwLT4+puHrVtGdae7vKUYJ3XKTHRgl5WPO9cb/k2iLwQAAAAAAAAAAEybVDir+zKq&#10;9+5fPSjwRdsf6i5vbHc/nelXhUQmlk50QJeVjzvfG/5NXnWX9sIvAwAAAAAAAAAATKEmLKP69Nmt&#10;cNuPsttdXuvXhUQmk+hALisf9p1pEBXiAAAAAAAAAADgbW1cRjWxjKpMLPlBu1c8iMvKh13sjf4m&#10;CnEAAAAAAAAAABBryjKq0bYfZae7vKUYJ2NPfrBuFQ/esvJhV3ujv4lCHAAAAAAAAAAAHK/uy6i+&#10;33nvzMuovuoub2x3P53p14hERpv8QN0sHrgVeGct4Pzg3n7nYAcAAAAAAAAAAN7SlGVUv/zqk3D7&#10;j7LbXX6nUyRSefIDdL14wFZgoz/86+QHtUIcAAAAAAAAAACcUhuXUU0soyojTX5grhUP1Aq8U4hL&#10;awJHBzgAAAAAAAAAAHC0Ni6jmrpEinEyqqxGB2pJW/2xX0chDgAAAAAAAAAAhtPWZVRfdZc3truf&#10;zvQrRiKVZCE6QEva7o/9OgpxAAAAAAAAAABQTlpGNRXPgr5ObQyzjOpud3mtXzMSKZ356MAsaa8/&#10;9usoxAEAAAAAAAAAQDXauIxqYhlVqSKz0UFZVn/s19n5bmkzOogBAAAAAAAAAIDhtHEZ1TTxlmKc&#10;lEknOhjLSuP2hu9FIQ4AAAAAAAAAAKrX1mVUU99ou/vpTL9+JHLqjKoQ99bBqBAHAAAAAAAAAACj&#10;k5ZRTUuVRl2eOhh2GdXd7vJav4IkcrrkB9xe8QAsKx92tjd6L6+6yxvRAQsAAAAAAAAAAFQnzcYW&#10;9Xnq4oMPZ868jGry8tulxX4VSeT45AfaVvHAKysfdq43ei8KcQAAAAAAAAAAMB6tXUa1u7z1sru0&#10;0K8kicTJD7DN4gFXVj7sWweeQhwAAAAAAAAAAIxXWqL0/IVO2O+pg1TaG2YZ1VSM2+5+OtOvJom8&#10;nfzgWi8ebGXlw741RaFCHAAAAAAAAAAATEbdl1G9fefKUMuo7naX17a3Vzr9ipJIL/lBtVY8yMrK&#10;h1WIAwAAAAAAAACAmkjLqN64eTHs+tTFg0fXwm0/ycvu49V+TUnkIKvRAVZGGrM3dC8KcQAAAAAA&#10;AAAAMHlNWEb1s/WPwm0/TlpG9WV3aaFfV5Ipz3x0cJW03h/7IApxAAAAAAAAAABQH2k2tqDzUxvD&#10;LqO6893S5nb305l+bUmmNKMoxG30xz6IQhwAAAAAAAAAANRLWkY1Fc+C7k9trDy5Hm77SXa7y2v9&#10;6pJMYWajg6mkzf7YB1GIAwAAAAAAAACAemrrMqqvukt7llGdznSiA6mkrf7YB1GIAwAAAAAAAACA&#10;emvtMqrd5a3d3aXZfpVJpiHRAVTSXn/ogyjEAQAAAAAAAABA/bV5GdXc+nb305l+pUnanPxA2Sse&#10;OCUpxAEAAAAAAAAAQEM1YRnVVN6Ltv0kL7uPV/u1Jmlr8oNkq3jQlNUf+iAKcQAAAAAAAAAA0Dxp&#10;NraoG1QX9+5f3f/6m4fhth8nLaP6sru00K83SduSHxybxYOlrHzYTm90hTgAAAAAAAAAAGiqJiyj&#10;mma0i7b9FCyj2sbkB8V68SApKx92tje6QhwAAAAAAAAAADTd51983NplVHe7y2v9qpO0IfkBsVY8&#10;QMrKh1WIAwAAAAAAAACAlmnCMqrRdp/EMqrtymp0cJSRjznXG1ohDgAAAAAAAAAA2uTrbx7WehnV&#10;9zvvWUZ1yrMQHRhl5GPO94ZWiAMAAAAAAAAAgDZKS5TWfRnVL7/6JNz2k7zsPl7t15+kgZmPDogy&#10;8jEXe0Nn2c53S5vRQQMAAAAAAAAAADRfm5dRfdVdfr1SpjQnc9GBUEY+pkIcAAAAAAAAAABMidYv&#10;o7q90unXoaQBmYkOgjLyMV9PGagQBwAAAAAAAAAA06G1y6h2l/ZedpcW+pUoqXk60Ydf0lp/bIU4&#10;AAAAAAAAAACYMq1dRvW7pc3t7qcz/WqU1DXRh17Sen9ohTgAAAAAAAAAAJhCbV5G9eW3S4v9epTU&#10;MfkHvFf8wEva6A+tEAcAAAAAAAAAAFOsCcuopm2Mtv04O93lLbPF1TT5B7tV/KBL2uwPrRAHAAAA&#10;AAAAAAC0dhnVl93Hq/2qlNQl+Qe6WfyAS9rqD60QBwAAAAAAAAAAHGjrMqpptrjd3aXZfmVKJp38&#10;w1wvfrglbfeHVogDAAAAAAAAAADe0tZlVHe7y2v92pRMMvmHuFb8UEva6w+tEAcAAAAAAAAAAITa&#10;uIxqmi3uVXd5rl+fkgllNfpAy+iPmx18wMEHDwAAAAAAAAAA0NZlVM0WN9ksRB9mGfmYnTSwQhwA&#10;AAAAAAAAAHCSNi6jmrpTu7tLs6lHJePNfPQhlpGPqRAHAAAAAAAAAACcSRuXUX3ZfbyaulQyvsxF&#10;H14Z+ZgHzUaFOAAAAAAAAAAA4CzqvoxqctZlVFOParv76UzqVMnoMxN9aGXkY86lgfMPc7v44QIA&#10;AAAAAAAAAJykjcuovvx2aTH1qmS06UQfWBn5mApxAAAAAAAAAABAaS1cRnU9datkhIk+qDLyIRfS&#10;uPmHpxAHAAAAAAAAAACU0rZlVNMSqru7S7OpYyUjSP6B7BU/oDLyIQ+m9ss/PIU4AAAAAAAAAACg&#10;Em1bRtUSqiNK/mFsFT+cMvIhFeIAAAAAAAAAAICRaMIyqmlWu2jb39Fd3khdK6kw+YewWfxQysiH&#10;XE3jvuou7YUfIgAAAAAAAAAAQAltWkY1LaG6vb3SSZ0rqSD5m79R/DBKWk/jKsQBAAAAAAAAAACj&#10;1JplVLtLe7u7S7MHhS4pl/yNXyt+ECUdTOOnEAcAAAAAAAAAAIxD3ZdRTbPZffnVJ+G2v6W7PHdQ&#10;6pLhk7/hoynERR8YAAAAAAAAAADACDRhGdUHj66F237Yy+7SwkGxS4bOavTml7CZBo0+LAAAAAAA&#10;AAAAgFFqwjKqT5/dCrd9QCmuXBajN76E7TRo9EEBAAAAAAAAAACMQ9OXUVWKGz7z0Rtewl4aNPqQ&#10;AAAAAAAAAAAAxiUVzuq+jOq9+1fDbU+U4oZL5YW47e2VTvQBAQAAAAAAAAAAjNvnX3xc62VU07Yd&#10;tYzqzreP5/s9Lzll5qI3uQyFOAAAAAAAAAAAoG7qvozqBx/OhMuo7u4uzfa7XnKKzERvbhm/+Zv/&#10;2i8WPxQAAAAAAAAAAIBJa8Iyqqm499Z2d5cOVu3s973khHSiN7WM3/jNq7/+1gcCAAAAAAAAAABQ&#10;I3VfRvXS5XP7z1/cfb29O98tbfb7XnJCKi/E/fE/+Ss3Dx88AAAAAAAAAAAAdfTg0bWwA1UX9+5f&#10;fb2tu93ltX7nS45L9EaW8et/5BfvHD5oAAAAAAAAAAAA6irNxJZmZIu6UHXwfue9/afPbh1s6863&#10;j+f7tS85Kvmbtld8E8u48od+/jeKBw0AAAAAAAAAAECdrTy5flA+izpRdXD7zpX9/+Ef/Nbv7O4u&#10;zfarXxIlf7O2im9eGb/2a7/w70cHDAAAAAAAAAAAQN2l4lnUi6qDVNj7i3/pxj/qV78kSv5GVVqI&#10;u3Tp5/6j6EABAAAAAAAAAABogrSM6vkLnbAfVQf/5u1ffdWvf0kx+Ru0WXzDyvjlX/6pvxIdJAAA&#10;AAAAAAAAAE2SllGNOlJ18NM//WMvsyyb6bXA5HXyN2ej+GaVcelXf+6vRQcHAAAAAAAAAABA03z9&#10;zcPaLqP6Iz/yQ/8ky7L5XhNMDpK/MWvFN6qMCzM/9V9FBwYAAAAAAAAAAEBTPX12q7bLqGZZttpr&#10;g0nlhbj8Q/970QEBAAAAAAAAAADQdPfuXw17U5OSZdngf2/0GmGyevgNKkshDgAAAAAAAAAAaLPn&#10;L+7uX7p8LuxPTVKWZf9BrxI23VmM3pxhdX7yvX8YHQQAAAAAAAAAAABtsvLk+v77nffCHtUE/RdZ&#10;ls30qmHTmfngTRnaj//4j/6j6MMHAAAAAAAAAABoo7oto5qkXlivHjZ9qbQQ9/3v/8g/jT50AAAA&#10;AAAAAACAtkrLqN64eTHsVE1KlmWrvYrYdGUuejOGpRAHAAAAAAAAAABMq6fPbu2fv9AJu1UTstnv&#10;iU1NZoM3oZTogwYAAAAAAAAAAJgWK0+uh92qSJZl4Z9XaKpKcTPBG1DK1988DD9kAAAAAAAAAACA&#10;aZGWUb1950rYsZqAqSnFdYKdL0UhDgAAAAAAAAAAoCcV42qyjOpavzPW6lReiPvyq0/CDxYAAAAA&#10;AAAAAGAaPX12a/8nf/J3h32rccqybKFXG2txoh0vIzUaow8VAAAAAAAAAABgmnz+xcf7ly6fC3tW&#10;k5Jl2WyvOdbS5Du5V9zpMhTiAAAAAAAAAACAafb1Nw/3792/GvaramC7Xx1rZ/IdrLQQl1qN0YcM&#10;AAAAAAAAAADQZoMi3Pud98JuVY1s9Otj7Uu+c1uFnS3ls/WPwg8bAAAAAAAAAACgreq4POpxsiyb&#10;7zXIWpZ85yotxD19div8wAEAAAAAAAAAANrm+Yu7+zduXgy7VDW3l2XZTK9F1qLkO7ZZ2NFSFOIA&#10;AAAAAAAAAIC2a9DyqMfZ7NfI2pN8pzYKO1nKypPr4QEAAAAAAAAAAADQBml51PMXOmF/qmmyLFvo&#10;Nclaknyn1os7WYZCHAAAAAAAAAAA0EYNXh71OO1aOjXfobXCDpby4NG18GAAAAAAAAAAAABoopYs&#10;j3qcjX6drPnJd0YhDgAAAAAAAAAAINCm5VGPk2XZfK9R1vysRjs4rNSEjA4MAAAAAAAAAACApmjp&#10;8qjHSUuntiKVFuJu37kSHiAAAAAAAAAAAAB1NwXLox5nvd8pa3QWgh0bWmpFRgcKAAAAAAAAAABA&#10;XaUi3NNnt6a1CPdalmWzvVpZczMf7diwFOIAAAAAAAAAAIAm+fyLj/cvXT4X9qGm0Ha/V9bYVFqI&#10;++DDmfCgAQAAAAAAAAAAqJPnL+4eTAAW9aCmWZZlC71qWTMzF+3UsFJTMjp4AAAAAAAAAAAA6iAt&#10;j3rv/tWpXx71GHtZlnV69bLmZTbYoaGdv9AJDyIAAAAAAAAAAIBJSkW4p89uNbYIl7Z75cn1g32I&#10;/r5i6/1+WeMyE+zM0BTiAAAAAAAAAACAuvn8i48PVr+MOk91l4pwt+9cOSj0DfZnHPuSZdlsr2LW&#10;rHSinRlWevMPH0gAAAAAAAAAAACT8vzF3f0bNy+GXacm+ODDmYN9KO7Xl199Ev77Fdvsd8waFYU4&#10;AAAAAAAAAACgVdJsavfuX2388qjRvg2k/Yt+tkpZls33ambNSaWFuCR68wEAAAAAAAAAAEYtFeEe&#10;PLrW+CLc4eVRj5L+nfMXOuE4Fdrr98yak2AnSjnNhwEAAAAAAAAAAFClz7/4eP/S5XNhp6kJjloe&#10;9Thpn6OxKrbWr5o1I/kG7xV2oBSFOAAAAAAAAAAAYFyaXoRL2/7Z+kfhvp3GjZsXw3GrlGXZTK9t&#10;1oDkG1xpIe7Lrz4J33gAAAAAAAAAAICqpJ7SvftXww5TE5xledTjpJ+Pxq/YZr9uVv/kG7td2PhS&#10;zjptHwAAAAAAAAAAwGmlAlgqwqVCWdRfaoLbd65UOvHYg0fXwtepUpZl873GWc2Tb+xWcePLUIgD&#10;AAAAAAAAAACqlopwT5/danQRruzyqEdJ7835C53wNSu03a+c1Tv5hlZaiEtr8kZvOgAAAAAAAAAA&#10;wDBSJymVyaK+UhNUtTzqcVLRLnrtKmVZttBrndU4+YZuFje8DIU4AAAAAAAAAACgCmm1yhs3L4Y9&#10;pab44MOZSpdHPc4YSoN7WZZ1es2zmibfyI3CRpcyiin9AAAAAAAAAACA6ZFmUrt3/6rlUc8oFQij&#10;banYer96Vs+kDSxscClpnd7ozQYAAAAAAAAAADhOKsKl/lGTi3DjWB71OLfvXAm3q0pZls302mc1&#10;TL6BlRbi0ocZvdEAAAAAAAAAAABH+fyLj8ex5OdIjXN51KOkIl60bRXb6NfP6pd849YKG1uKQhwA&#10;AAAAAAAAAHBaaZnPGzcvhl2kpkizwtVpZc0Hj66F21mlLMvmeg20miXfuEoLcenNjN5kAAAAAAAA&#10;AACAgTST2b37Vxu9PGqSliid1PKoR0nbc/5CJ9zeCm33K2i1y2qwsUNTiAMAAAAAAAAAAI6Sylpp&#10;NrWmF+HS8q5pmddoH+vgs/WPwu2uUpZlC70KWr1SaSEutTajNxgAAAAAAAAAAJhuqUCWimRR76gp&#10;UpFv5cn12s0KFxnDe73X76DVKovBhg4tTQEYvbkAAAAAAAAAAMB0ev7i7v6NmxfDvlGT/NrVCwf7&#10;Eu1jHaUCYrQfVcqybLVXQ6tPFqINHVY6cKM3FwAAAAAAAAAAmC5pFrW04mTTl0cdSDOuNWFmuMPG&#10;UERMs8TN9Kpo9ch8sJFDU4gDAAAAAAAAAIDplkpjT5/dak0R7rCmleK+/OqTcD8qtt7votUilRbi&#10;PvhwJnxjAQAAAAAAAACA9kvLdKbSWNQtaoumleLGsVxtVqNZ4uaiDRxW+rCjNxUAAAAAAAAAAGiv&#10;5y/u7t++cyXsFLVRk0pxaTujfajYRr+PNvHMBhs3NIU4AAAAAAAAAACYHqlsde/+1VYuj3qSJpXi&#10;xlFWTF20XiUtm+v/cyKptBB3/kInfEMBAAAAAAAAAIB2Scujpr5Q1COaFk0pxY1plrj/PreW2+53&#10;0yaSmUMbVFpqekZvKAAAAAAAAAAA0A6pCJeKYFF/qElS12nlyfX9P/GnLoV/f1pNKcWlmfyi7R+B&#10;rX43bSJRiAMAAAAAAAAAAE7UpuVRP/hwZv/Lrz55vW83bl4M/73TakIpbkyzxCWb/W7aRNIJNmho&#10;CnEAAAAAAAAAANAuqUj14NG1VhThUnHts/WPwv1MJbnoZ06rCaW49DlG216x3+530yaSSgtxSfRG&#10;AgAAAAAAAAAAzdO25VGPK6ylvyu7r3UvxaVtO3+hE257hf6vfjdtMgk2qJTojQQAAAAAAAAAAJrj&#10;+Yu7pZcRrYvi8qjHqaoUF41dF0+f3Qq3u0pZlq322mkTSLRBZdS54QgAAAAAAAAAABwtdX/u3b/a&#10;+uVRj5PKc2X3v86luDHNEreXZdlMr6E25qQXL2xMKQpxAAAAAAAAAADQPGnmsDEUpUbuNMujniTN&#10;kBeNfRZpZrpo7DoYxyxxufV+RW28yV+40kLcaacXBAAAAAAAAAAAJu/zLz4uvUxoXaQSWiqzRft5&#10;Vul9iV7jLOpaihvTLHFp6dTxzxKXv3ClhbiqDigAAAAAAAAAAGB0BsujRh2gpknlrjTrWbSfZVRR&#10;irtx82I49qS1dpa4/EW3CxtRikIcAAAAAAAAAADU16AIl5YWjfo/TVLF8qgnqaI4lt7vaOxJau0s&#10;cfmLbhU3ogyFOAAAAAAAAAAAqCfLow7nwaNr4TacRRojGnuSWjlLXP6ClRbi0pcmevMAAAAAAAAA&#10;AIDJSMWx23euhH2fpkmzwo1iedSTVLG87CS2+zjrf/32/ve+98PhtlYpG+cscfkLbhY3oAyFOAAA&#10;AAAAAAAAqAfLo1arilJhHUpxqSB54+bFcPtGZHyzxOUvVmkh7rP1j8I3EQAAAAAAAAAAGB/Lo45G&#10;FaW4SXWsJliQ3OvX1Uaf/MUqLcTVbVo/AAAAAAAAAACYJhOY/WtkBrPCRfs5SVWU4sa9Emd6vfMX&#10;OuG2jEOWZYu9xtqIk7/YRvHFy1CIAwAAAAAAAACA8Wvb8qhpXya5POpJqijFjWPWuxoVJMczS1z+&#10;QuuFFy6ljo1MAAAAAAAAAABos0nP/lWlOi2PepKypbhU/BvVvtaxIJll2UKvtTbC5C+kEAcAAAAA&#10;AAAAAA1kedTJq6IUV/VMeKkgeenyufD1JmyzX1sbXfIXWSu8aCkPHl0L32QAAAAAAAAAAKAabVse&#10;NRXh6rw86knSrHbRvp1WKq9F457V4LiIXqMusiyb6TXXRpT8RRTiAAAAAAAAAACgISyPWk9lS3Hp&#10;56NxTyMV4Z4+u9WIgmSWZYu95tqIkr+IQhwAAAAAAAAAANRcm5ZHTTOifbb+UbifTTaJUlyNl0c9&#10;ysiXTV0NXnRoacq96I0HAAAAAAAAAADOrk3Lo/7Ij/zw/p//rV9v9PKoJylbirt950o4blGTj4ss&#10;yzq96tpoUmkh7rQfCAAAAAAAAAAAcLw2LY962MqT6+H+tkXZUtxJq3Sm2fWafFxkWTbXq66NJovR&#10;iw5LIQ4AAAAAAAAAAMpp0/KoR2n7SpRlS3FPn916Z8y2HBdZlq32qmujyUL0osNKb3jxgwAAAAAA&#10;AAAAAE7WpuVRTyOVxtq8fOqly+fC/T6tNBNcGmcSx0WWZeGfV+SLXnVtNJkPXnBoCnEAAAAAAAAA&#10;AHB2TV8Gc1hpn9PMZ9F70nSpyFa2FJeWl23hcfEP+921kaTSQlxqbUYfLgAAAAAAAAAA8K7Pv/i4&#10;dGmqDQazobVNFaW4SclGN0vc/9qrro0mCnEAAAAAAAAAADBmbVoe9b33vh/++Vml2dCi96rpmlyK&#10;G5GRFuLmghccWvrgog8VAAAAAAAAAADoefrsViuWwUxlvlRi+2/+zr3Kin0PHl0L37OmU4p7yz/v&#10;d9dGktngBYemEAcAAAAAAAAAALG2LI+aym+371zZ//KrT17v2/MXd8N/dxhp7MPvW1soxb323/W7&#10;ayNJpYW41FyNPkwAAAAAAAAAAJhWbVoe9YMPZw7Kb9F+psJf9DPDSK8TvUbTKcUd+Dv97tpIMhO8&#10;4NDSlzb6IAEAAAAAAAAAYNqk8lNaHrUNRbi0D2l51Gg/D6uyFNfW1SrTcfFLf+Cnwn2ukb0sy/5q&#10;8OdVeNqrro0mneAFh6YQBwAAAAAAAAAA7VoeNRXhUokr2s9I1aW4s7x23aV9SbMF/sT7Pwj3tya2&#10;st7KoxuFP69EPvb8QXNtRFGIAwAAAAAAAACAigwKT1XNCpdlWfjn43Dc8qgnqbIUl97LYbejTtJ7&#10;cv5CJ9zHGllLnbLcYvB3VUgzz6XxR5fgRUuJPkwAAAAAAAAAAGizVIRry/KoaVa2z9Y/CvfzLNL7&#10;EY0/jCaX4tJ237h5MdyvGklFtcHMbTPp/y78fVU2+q8xugQvWkr0oQIAAAAAAAAAQFtN8/KoJ6my&#10;FJek9zp6nTqqerbAEdrMsmym1yY7KMNtFf6+Kql0N9t7mREmvVDhhUup8gsBAAAAAAAAAAB1NSg8&#10;RR2aJkmFrdt3rux/+dUn4X6WVeXyqUkVs9eNWkNKkqmgtthrkR1kLv1Z4d+pUlqOdfTJX0ghDgAA&#10;AAAAAAAATin1Y9JMam1YHvWDD2fGshRp1aW4NPNc9DqT1qBZ4bayt2drW8z/bJRluFS+6/ReasTJ&#10;X2y78OKljKopCgAAAAAAAAAAk1bHmb+yLAv//DiD5VGjfRyVVLyLtmVY497+k6Rj4/yFTritNTKY&#10;FW5QTuvkf7ZW+Hcql7/OfO/lxpD8BStd83UcjVEAAAAAAAAAABinBs38daxBEW5Sq0CmblGV72Ed&#10;SnGDYyPavppJs8INimmpELeQ/1mlk6kdYTxLpQ6Sv6BCHAAAAAAAAAAAHKEhM3+dKC2PWofVH6su&#10;xT14dC18nXGo47GRxTMGplLaYFa4ufz/rrQzdoz1/PXGs1TqIPmLbhY2ohSFOAAAAAAAAAAA2iD1&#10;YG7cvBh2ZJokLfH62fpH4T5OSppVrcqlZ9MMbdHrjEqDZoXbzt7MCpeKcJV2xU4w/jJcSv7Cle5k&#10;aj1GBwEAAAAAAAAAADRBG5ZHzbJs4sujnqTqUlyaAS96nao1aMbAQSFtJv/fa7m9Q383apMpw6Xk&#10;L75R2JhSFOIAAAAAAAAAAGiq1H2psqQ1Sf/G9X8h3Mc6aVIpLm3r7TtXwtetmb2sNytcJ//f4y7C&#10;JYeXZx1/8g1YL2xQKXWbXhEAAAAAAAAAAE7ShlnhIuOaNa2stJ3R9g9jFPucipINOTZ+O8uyX8z/&#10;OYkiXCriLRyU0iaZfEMqLcQ9fXYrPCgAAAAAAAAAAKCOGrQE5lDSDGx1XTb1sFRIjLZ/GGmfo9c4&#10;q/S+3bh5MXyNusiyLP3zn+T//M38n5MowiVb+evPpj7axJNvTHoToo0cikIcAAAAAAAAAABN8PzF&#10;3dqXnaqSZjdL+xu9D3Xy4NG1cPuHUbYImHpQTZkVLvdXc5MowiWb2SSXSC0m36BKC3ErT66HBwgA&#10;AAAAAAAAANRBW5dHPUna3zQbXvSe1EkqokXbP4xhSnFffvVJU4qSv5Nl2fP8n5MqwqUlUhdz9SnD&#10;9bMabOzQFOIAAAAAAAAAAKirVAhLJamo9zItmrACZPqcom0fRloO97Sz4zVlVrgsy7bzf74q/vkY&#10;pVnhZg7aZzXMYrDBQ0vTFkYHCwAAAAAAAAAATMq0zgp3lCZMepVKbFV9Xmmc40pxDVo+9//M/ePC&#10;n43TYFa4Wmch2PChKcQBAAAAAAAAAFAnabaxNEtY1HVpig8+nNn/kx9dDv9uWKkgGL1fdZKWL61q&#10;Rr+oFJeKkqkc2JCi5D8L/mycaj0r3OHMBxs/tCZ8UQAAAAAAAAAAaL8Gzfp1pFTUSoWtVNxK+5S6&#10;OdG/N6xUtCu+b3WT9r3KUlwqSKZxG3R8/L/Bn43TVuqY9apmzUilhbjbd668c1ACAAAAAAAAAMC4&#10;tGV51NTDGRThDkt/Hv37w0pls+h16iaV96LtH8Yfu/UrjT8+xmCwPGrnoGXWoCjEAQAAAAAAAADQ&#10;Cmn2r6pmE5uUVPwqLu1ZNK2luKr3u8b+efBn47KXW88aWIQbZK6wQ6WkaQSjgxEAAAAAAAAAAEal&#10;DbPCFZdHPUnV5bD0+icV8eqg6mVjectmlmWzvVpZczMb7NjQFOIAAAAAAAAAABinNswKlzo3X371&#10;Sbh/x6lyGdGkKaW4B4+uhds/jCzLwj+fMtv5+7Bw0CZrQWaCHRxa+pJFByEAAAAAAAAAAFSpDbPC&#10;pSLfZ+sfhft3WtNaiktFyGj7OZO9LMsWc41dHjVKJ9jRoSnEAQAAAAAAAAAwaqkMdf5CJ+yvNMFZ&#10;l0c9SdWluCS9x9Fr1YlSXClpedSZXoWsXam0EJdaq9HBBwAAAAAAAAAAZQ1mhYt6K02RymvDLI96&#10;nPS+jGLZ2LKz141Dms2uybMETkAqws32qmMtTbDTQ0vN2+jAAwAAAAAAAACAMtJsYNO+POpxRlWK&#10;e/rsVvh6dZIKhj/7cz8ebj+vtXJ51DDBzg9NIQ4AAAAAAAAAgCqloteNmxfDrkoTVL086nFGVYpL&#10;2x+9Xh2kfW76rIEjNj1FuEHSThfehKGlL3B04AEAAAAAAAAAwFml2cmaPCvcKJZHPcmoSnEPHl0L&#10;X2+S0qyBaQKvaHs5KMKt5qanCDdI2vnCmzE0hTgAAAAAAAAAAMp6/uJuK2aFi/ZtHNpeijMr3Ik2&#10;syyb7bXDpjD5G7BVeENKiQ5CAAAAAAAAAAA4yaDo1ORZ4W7fuXKwH9H+jVuaoS7axjLS5xO91rjU&#10;dVa4LMvCPx+z6S7CDZK/EQpxAAAAAAAAAABMVCo6jWJWs3FJ2/7Z+kfhvk1SW0pxqWSYyobR9hwl&#10;q0dJbRxSEW7+oAwmB4W4zcIbVEpdGq4AAAAAAAAAANRf02eFGyyPWufOTNNLcaks2eRZA0doL8uy&#10;xVznoAgmveRvjEIcAAAAAAAAAABj1/RZ4VLR7PmLu+G+1c1ZZ1c7jVGX4oaZFW5KKMIdl/wN2ii8&#10;YaV8+dUn4QEKAAAAAAAAAACJWeEmo0mluFSWPH+hE77mFEtFuNWcItxxyd+o9cIbV0pTWq8AAAAA&#10;AAAAAIxf04tOaVa4Jk8YVfdS3KAsGb3OFBsU4WYOCl9yfPI3bK3wBpaiEAcAAAAAAAAAQFFdZoXL&#10;siz885Ok7X767Fa4b00zisJZFaU4s8K9Yy+3lh+zinBnSXrTDr2JpaUDMzpgAQAAAAAAAACYTqlP&#10;cunyubBr0gRpVrWmLY96kgeProX7WsawpTizwr0jFeE2MkW4obNaeENLUYgDAAAAAAAAACCpy6xw&#10;w0olvjZ3YepQijMr3FtSEW4zy7LZXq1Lhk2lhbjP1j8KD14AAAAAAAAAAKZHk2eFSwW+lSfXWzcr&#10;XCR9TtF7UMZpSnFNL0uOgCJchVkM3uChKcQBAAAAAAAAAEyvphedPvhwZv/5i7vhvrXVuEtxTS5L&#10;joAi3AhSaSHu6bNb4YEMAAAAAAAAAEC7Nbno9IP3vncwK1y0X9MglQCrLjEWe0RmhXuLItwIsxC8&#10;4UOb5hMDAAAAAAAAAMA0akvR6cGja+H+TYtUijt/oRO+N8MalOLS2GaFO6AIN4bMB2/80BTiAAAA&#10;AAAAAACmR9uWv7xx82K4n9MilRur/jz/2K1fMSucItxYU2khbtqbsgAAAAAAAAAA06DNy19+8OFM&#10;uM/TIn226T2I3hvOTBFuApkLPoihKcQBAAAAAAAAALRb22aFi6T9i/Z9mijFlaIIN8FUWohLzd/o&#10;CwIAAAAAAAAAQLM1eVa4tM0/8zM/Fv7dUVIpLu1z9F5Mi9t3roTvDUdShKtBZoMPZmgKcQAAAAAA&#10;AAAA7fP8xd3GzgqXtvuz9Y8Oym1n3YfzFzoH+x69J9Mi9YGi94a3KMLVKDPBBzS01AqNvhgAAAAA&#10;AAAAADRP02eFW3ly/a1Z3r786pMz70v696e9FJcKhdF7gyJcHVNpIe7GzYvhlwIAAAAAAAAAgGZp&#10;+qxwR5XYPv/i4/BnjpNKcennovGmRXo/m1iMHBFFuBqnE3xgQ1OIAwAAAAAAAABotuNmhcuyLPzf&#10;dZG2uTgrXGSYUlwy7aW4YZadbRlFuAZEIQ4AAAAAAAAAgANNnhXugw9nzrS0aSrOReOc5OmzW+F4&#10;0yKVAr///R8J35sWU4RrUoIPcGjpxBJ9EQAAAAAAAAAAqK/jZoWru9POChe5fedKOOZJ0utF47VZ&#10;en8Pv19ZDWcIHAFFuCYm+CCHlhrC0RcCAAAAAAAAAIB6mqZZ4SJpjGjskzx4dC0cr43SrHDnL3TC&#10;96GlFOGanPwD3Ct8oENTiAMAAAAAAAAAaIZpnRWuKI0xbCGw7aspDo6RaN9bShGuDck/yMoKcakJ&#10;Gn05AAAAAAAAAACojzSr2o2bF8P+R9WyipfWTCW0L7/6JNyvYSnFvWvKZoVThGtT8g90u/ABDy21&#10;b6MvCAAAAAAAAAAAk5eKX2lmtWmfFS6Sxh32fUllulFt17il/Rh25sCs4vLjGCjCtTH5B7tV+KCH&#10;phAHAAAAAAAAAFBP45wVrmqjmBUukl5j2FJc+rn0HkfjNkWaFW7YmfIaRhGuzck/YIU4AAAAAAAA&#10;AIAWa/qscNE+jUoqtU1bKa7MrHANowg3DUkfdOGDLyX60gAAAAAAAAAAMH51nhUuO2F5zXHNChdJ&#10;71u0TaeVZlqLxq2jKZkVLhXh5g7KUtL+pA+8cACU0pb1kAEAAAAAAAAAmsyscOWkoli0faf19Nmt&#10;cNy6mJJZ4VIRbr7XkpKpSf7BbxQOhFIU4gAAAAAAAAAAJmecs8JlJ8zydlaTnBUuUrYUV4diXyQd&#10;Iy2fFU4RbpqTHwDrhQOilDqdlAAAAAAAAAAApkmalaypM379y3/o94f7NGllS3EPHl0Lx52EKZgV&#10;LhXhFnOdg2KUTGfyA2GtcGCUkhqk0RcKAAAAAAAAAIDRGOescKOUilqpgBbt4ySVLcWlme+iccep&#10;5bPCbWWKcDJIfkAoxAEAAAAAAAAANFSTZ4U7SprFLNrXSWpqKa7ls8Ipwsm7yQ+MSgtxdWzpAgAA&#10;AAAAAAC0TSo6tWFWuKOk2czqNjFT2VJc2qf0uUVjj0LdZ4XLsuy16O+PsZ3/jCKcHJnV4KAZmkIc&#10;AAAAAAAAAMBotXFWuKOsPLkevgeTUrYUd/5CZ+RFvxbPCreXKcLJKVJpIe6z9Y/CLxoAAAAAAAAA&#10;AOW0fVa4o6TlRsc5s9pJypbiUlFtVKW4us8KNyRFODlTFoODaGipgRx92QAAAAAAAAAAGN40zQoX&#10;Sftep5ULy5bikir3p6Wzwu3l1rMsm+nVnEROl4XCgVRK3aapBAAAAAAAAABosibPCpdmKvvL/+mf&#10;qHTGsgeProXv0yRUUYqrYvKpls4Kt5ll2Wyv3iRytswHB9TQFOIAAAAAAAAAAKrR1Fnh0janDslg&#10;mdP0z7TsafTvDiOVv7786pN33q9JSGW0aBvPYti+TUtnhUtFuPlerUlkuFRaiKtTCxcAAAAAAAAA&#10;oImaPitcKolF+5XKW9HPDKuK2dWqUEUp7qydmxbOCreXZdlirnPQaBIpEYU4AAAAAAAAAICaaMus&#10;cEdJ/07088NKJbvodcYtFdTKfm5pFr1o7MNaOCucIpxUnrngQBtaXU4yAAAAAAAAAABN0vRZ4T5b&#10;/yjcr8jnX3xcaaHruFnpxil9hmVnbTuuFNeyWeH2cutZls30Kkwi1WW2cLCVcvvOlfALCQAAAAAA&#10;AABArKmzwiVp8qSTZoWLfPnVJ5WXu9Lsc9FrjVN6L1KpLdq+00rvS3HMls0Kt5k6S73qkkj1UYgD&#10;AAAAAAAAAJiAaZoV7ihV739duitl9yu9v+n4aNmscKkIN9+rLImMLjPBwTe09GWOvuQAAAAAAAAA&#10;ALzR5FnhUulsmFnhjpJmP4teZ1ipQFaHJVTL7tfP/MyP7f/E+z8I/65h9rIsW8x1DtpKIiNOJzgI&#10;h6YQBwAAAAAAAABwtCbPCpcKfFXMChdJ40avWUYdllB98OhauG1TQhFOJpJKC3FpDeToyw0AAAAA&#10;AAAAMO2aPCtc6oRUOStcJM3qVvX7M47tPsnnX3wcbluL7eXWsyyb6dWTRMacwgFZSppyMvpiAwAA&#10;AAAAAABMq6bPCpeKfNF+jUJ6r1L/JNqWYaV9SKW06PXGJZX9om1roc0sy2Z7rSSRCSU4MId2/kIn&#10;/FIDAAAAAAAAAEyjOs0Kl2VZ+OdHSbOrffnVJ+F+jdq9+1fDbSojLV8avda4pFJc6tZE29YCqQg3&#10;d1BGEpl08gMyTVMYHahnphAHAAAAAAAAAND8WeFWnlwP92ucUoEt2r4y0uxzkyr5JaOYAW/C9rIs&#10;W8x1DopIInVIOjALB+rQ0gkx+jIDAAAAAAAAAEyLOs0Kd1aTnBUukpY6jbazjPTZfLb+Ufh645BK&#10;cZd/9efDbWsQRTipb/IDdLtwwA5NIQ4AAAAAAAAAmFZtmBUu7UO0b5M0qqVG07Ks0euNUir4NXzZ&#10;1DTx1nqWZTO95pFIDZMfpFuHDtrSoi8zAAAAAAAAAECbNX1WuFQ6i/arLlJRL21ntP1ljGsJ1SaX&#10;JQ/ZzLJsttc4Eqlx8oO10kJcHZvCAAAAAAAAAACj0PSi03vvfW//r/312+G+1VGa1S3aj7LS7HjR&#10;61WhyWXJvlSEm+s1jUQakHTQFg7iUhTiAAAAAAAAAIBp0IKi02ufrX8U7mMdpfJatA9l3b5zJXy9&#10;YaVZ9xo+K1wqws33GkYiDUo6eAsHcynjmEYSAAAAAAAAAGBSWrL85TtGOUta1VLZbBRlxLSEatnl&#10;Y9Pxkd7LBpclt7MsW8x1DspFIk1LfhBvFA7qUuq+pjQAAAAAAAAAwLDaNCtc5MGja+F+11EqnqUC&#10;W7QfZaXPOXrNkzR8Vri9TBFO2pD8YF4vHNylKMQBAAAAAAAAAG3T8KLTmXzw4Uz4HtTVqD6Xe/ev&#10;hq8XSeW89O83tCypCCftSn5QrxUO8lI+/+Lj8IsPAAAAAAAAANA0TV/+Mm33X/j0j4R/d5ymleLS&#10;zHbRfpR1miVU09+Paqa6EUtFuNWcIpy0K/nBrRAHAAAAAAAAAFDQ4KLTgVRqS4W+tC+pzxH9O8dJ&#10;+z74+SYYZh9PK1pCtcGzwu3l1rMsm+m1h0RalvwAr7QQ99n6R++cAAAAAAAAAAAAmqLhy18ebHdU&#10;4EoFv7PuU/r3T5ohrU7Stp6/0An3pazDS6im8t2oXmfENrMsm+21hkTam9Xg4B9adEIFAAAAAAAA&#10;AGiCVHRq+qxwX371SbhvybCluKatGHjj5sVwX8r6lX/p5/b/zJ/9w+HfjVqWZeGfn1Iqws0fNIVE&#10;piCLwZdgaGnd7OhEAwAAAAAAAABQV22YFe60nY1UmBtmP5u2auCDR9fC/Zgye6kblOsctIREpiQK&#10;cQAAAAAAAADA1Gr7rHCRVAAcZp+b1gtJn220H1NAEU6mOgvBl2JoCnEAAAAAAAAAQBMMZoWL+g9N&#10;cJZZ4SLDluLSzGvReHWVlokdVeExK7eM6Sj8Tm4t366Zg1aQyJRmvvDFKKVpJz0AAAAAAAAAYPqk&#10;mcPOX+iE3YcmGGZWuMiwpbj0+tF4ddbk8uMJ/n6WZb+Rm82ZEU4kT6WFuHTyiE4qAAAAAAAAAACT&#10;Nu2zwh0lFdyi1ztOKtJFY9VZy5ZQtSyqyBGZC74wQ7t950p4QgEAAAAAAAAAmKRUhkqFsqjv0ARV&#10;zQp3lGFLcaPcplEYdla8mtnMLIsqcmQU4gAAAAAAAACA1koFqBs3L4Y9hyYY1axwkdT7iLbhOGn7&#10;nr+4G45XZw8eXQv3p+YGs8KJyDGZDb48Q0sXkOgkAgAAAAAAAAAwbk+f3TIr3BkNW4pLM/BF49XZ&#10;w3/3j+z/8A//ULhPNWRWOJFTZib4Ag1NIQ4AAAAAAAAAmLQ0Y5lZ4YZ37/7VcLtOkgqI0Xh1Uzw+&#10;six7az+qUOGYaVa4+VTyEZHTpRN8kYaWmsnRiQQAAAAAAAAAYNTS8qhpKUyzwpU3bClukkW+k6Tj&#10;I+1Xg46P9dTt6VV8ROS0qbQQd+nyufCEAgAAAAAAAAAwSmnWr9RbiPoMTTDpWeEiqVwYbetJ0s9F&#10;401SWtK1QcfHVmZWOJGhoxAHAAAAAAAAADRWA2f9ekddZoWLpJJetM0nqcsqgw07PtLyqIupz3PQ&#10;6hGR4RJ8uYZ2/kInPLkAAAAAAAAAAFStYbN+7WdZ9tb/XcdZ4SLpfT683aeVPptUSIvGHIcGzgo3&#10;e1DmEZFyCb5gQ1OIAwAAAAAAAABGbTDrV9RdaIo6zwoXKVOKG/d+mhVOZMqTvliFL9rQ0okkOtEA&#10;AAAAAAAAAFQhFbPShD1Rb6Epfv7nf2L/+Yu74f7VWdrmYUpm6WfGtb8NOz42M7PCiVSf/MulEAcA&#10;AAAAAAAA1FoqVN24eTHsKzTVZ+sfhftaZ2m2t2EKZ6lTkspq0ZhVqNusgVlhedwCs8KJjDLpS1b4&#10;0g1NIQ4AAAAAAAAAqFIqOj14dG2omcmaIO1btN91lj6TtBRqtD8nGUUpbhKzwmXHF96Ok2aFmzko&#10;7YjIaJJ/0bYLX7xSohMPAAAAAAAAAMBZpaLTsMWrJvngw5lw/+ssleLSdkf7c5Knz26FY55V2obb&#10;d66Er1FDg1nhRGTUyb9wW4UvYCnpZBOdhAAAAAAAAAAATiN1D9Lyl02aFS4bfsawA6n4l5Yjjd6P&#10;Oht2GduVJ9fD8U4rleoadHyYFU5knMm/dApxAAAAAAAAAEAtTGL5y7pIBa9RLCk6aqm8GO3PSYZZ&#10;Lvb5i7tDl/AmIM0Kt9Br6IjI2JJ/+RTiAAAAAAAAAICJatjyl6E0y9tf+PSPhH93FmVnT5uEVG6L&#10;9uUk6TOPxos0bFa49SzLOr12joiMNfkXcLPwhSylidN3AgAAAAAAAACT07Ci0zvStqcS22ASoTSL&#10;Wdn9SbOuFd+nuvts/aNwX07ywYcz4XgDDZsVbivLsvleK0dEJpL8i1hpIS6dhKKTEwAAAAAAAADA&#10;YQ0rOoVSmSvqSqRyXJoxLvqZ00o/37SV+tKSr9G+nCQqxaV9T8XAhpQl93JrmVnhRCaf/MuoEAcA&#10;AAAAAAAAjE3Dik6h4qxwkfR3qegV/fxppddpWhcjbe/5C51wf45zuACYxihbKByjNCvcbK+JIyIT&#10;T/6l3Ch8SUtRiAMAAAAAAAAAjpJmEGtQ0SmUSm5ffvVJuH+RKmbBS8uRRmPXVSq2DfM5/8IvvL//&#10;53/r1xszK1yWZYs5s8KJ1Cn5l7PSQly6cEUnOgAAAAAAAABgeg1mhYu6Bk0xmBUu2r+TVLHvDx5d&#10;C8eus6YviXuMzcyscCL1TP4FXS98YUtRiAMAAAAAAAAADktdgmGW0KyTs84KF0mFtmjss0gFs2js&#10;Omt6EbLArHAidU/+Ra20ENe0KToBAAAAAAAAgNF4/uJu42cIS7PCVdmFSOXA6HXOIpXzorHrrIoy&#10;YA2kWeFmeo0bEalt8i/rWuHLW4pCHAAAAAAAAABMt7Q8aipApTJZ1C1oitt3rhzsS7SPZaSiYNn3&#10;5tLlc6VnrBu3KsqAE5JmhZvvNW1EpPbJv7SVFuKePrsVntQAAAAAAAAAgPZLpadU1oo6BU2Rtn/U&#10;EwKlol3Z9ymV6lK5Lhq/rtL2/sT7Pwj3p4b2cuuZ5VFFmpX8i6sQBwAAAAAAAACUkgpe9+5fbfSs&#10;cGnbV55cH8mscEepYknZVEKMxq6jtK2/58d/NNyPk2RZFv75iKTlUWcPyjUi0risBl/qoaULQ3RC&#10;AwAAAAAAAADaKZWczl/ohD2Cpvjgw5mJzbaWioTRNp1F3fsaqWSYlqCNtr1m0vKoizmzwok0OApx&#10;AAAAAAAAAMCZNajkdKRJzAoXSdsQbd9ZPHh0LRx70hpUmEyzws306jQi0uQsBl/woSnEAQAAAAAA&#10;AED7PX12q9HLoyZ/8NK5/S+/+iTcv0lIxbFoO88iLcEajT0Jg2V0o+08LBvvUqiRNCvcwkGLRkRa&#10;kUoLcXVtGwMAAAAAAAAA5aVlRVPpKuoMNNFn6x+F+zkp6f0tO5taWv41GnucGjQr3HpmeVSR1kUh&#10;DgAAAAAAAAA41mC2r6bPChdJs91F+zwp6b2+dPlcuK2nlX5+ErPfnXZWuBrYyrJstledEZG2pdJC&#10;XDqpRSc8AAAAAAAAAKCZ0mxfZQta/3979xdyW3rfh317ZEuyI0sH2/GfWDM5dvxHdqTMqeP6j+TB&#10;Mq5iVc40x66YzIXjTIhNIFVgVBQCJWBhKCUOnmEKKb0QPQ3JVSFRCL1wi5tzkQsFBD2XvQhUFy2U&#10;UuhJbwK96XT/zjvPZM2a3373Xut51trPWu/nCx8sv3Petddae/15/vzetXr3e7//uXTbr6n2SXxR&#10;vBhPnMuWvYSNPBUuXo/6+pGnwonsOAriAAAAAAAAAID32dDTvprosSiuxf6PQrVs2a1s6OmBjw+H&#10;w/2bchkR2XNeSy4AsymIAwAAAAAAAIDt28jTvm716c/cf/sP/vDX0/92ype/8lK6P64pCvWydZ1i&#10;qWK/eAJd7OfsMztSngonInckTQviXnn1xfQCCAAAAAAAAAD0Lwqcal/VeW3xpLJhAVgU92X/7pQe&#10;HwY0dRsyrYv93njr5S08Fe7RwetRRe5cFMQBAAAAAAAAwB23odde3irqFmJbxts3taAsnno2Xsa1&#10;RbFi7VP7otgxW/YUsX+vUTR5OByeyf5b4snx3z6MwhgRuXtREAcAAAAAAAAAd1gUi33yUz+Y1gFs&#10;Raz/1x59Md2+Yg9FcVGMVvtd1WxX7MPOX6VbXo/qqXAidzhNC+JaVBIDAAAAAAAAAMvbw1PhyutR&#10;s6fCZfZQFBfie8vW91JRVJct95RyrGTL6sjjw+Hw4KYcRkTuchTEAQAAAAAAAMAds4EnfZ0VxWrx&#10;GtFs+26zl6K4L3/lpXR9LxVFcZcUEsb+6vwJguWpcCIiz/IwuVDMpiAOAAAAAAAAAPoVBVCvvPpi&#10;Oue/FeWpcNn2XWpqUdzUJ6qtZep2jN1WFBc/j6K7zp8g+Ojg9agiMkrTgrheq6IBAAAAAAAA4K57&#10;462XN/161BDFfJc81ewSc4riWn12S/GUvJonuGXbFcuMhyJl/74TT6Lm5ab0RUTkvVEQBwAAAAAA&#10;AAA7Vlsw1YNY/zmvRz1nL0VxoaaALV6fW7ar88LJ8npUT4UTkZNREAcAAAAAAAAAOxQFTr/7N35+&#10;00+FK69HXbIIbWpRXBSPfeObX0qXdW3xfWfrfImPfuzDb/+FX/uJ9L914vHhcHhwU+4iInI6TQvi&#10;ohI6u+ACAAAAAAAAAOuJIq8o3Mrm9rciHsqzVuHZ1KK4KNRb4ol1LXzt0RfTdd4wT4UTkUlREAcA&#10;AAAAAAAAO1GeCpfN6dc6HA7pz1uLYrN4bWe2fUvaU1FcrNfWCyLfEU+Fu/+swkVE5MI0LYiLi2l2&#10;oQUAAAAAAAAAlhVFZFt/Peorr7646OtRz9lTUVzsx3iwUbbeG1CeCiciMjkK4gAAAAAAAABgw6Ig&#10;K14vms3jb0Wsfy+FZXsqigtLPTFwQZ4KJyJV+WxyYZlNQRwAAAAAAAAArKO8HnXrT4X7vd//3FWf&#10;CpeZWhQX4neyZfUg9nG2zp3xVDgRaZKmBXFxo8ourAAAAAAAAABAO1F8FQ+tyebutyKeCveNb34p&#10;3b4e7K0o7g/+8Nff/sAHnkvXuwOeCicizaIgDgAAAAAAAAA2ojwVLpuz34pPfuoH3/7aoy+m29eb&#10;OUVxPW5bPCGu9kmCh8Mh/XklT4UTkeZREAcAAAAAAAAAG/DGWy9XFzVdU6x7j69HPWdOUVx8V9my&#10;1hb7+vNf+ES6jnMc2hbFeSqciCwSBXEAAAAAAAAA0LE/+uPfaVrUdA3xetTYjmz7tmCLRXGxzp0W&#10;UHoqnIgsmqYFcSG7yAIAAAAAAAAA05TXo275qXBFvCZ1a0+GG5tTFBdPxMuWtaTOX6vrqXAisnge&#10;JBefKtnFFgAAAAAAAAC4XBRfRRFZNi+/VVHYt+WnxIXei+Ji/3Z63HgqnIisluYFcVuv6AYAAAAA&#10;AACAa+n86V5NRFFZtu1bEUVn2Xbd5stfeSldVktReNfp0wQ9FU5EVo2COAAAAAAAAADowBtvvbyL&#10;16NeIrY12wdb0VNRXNRpfP4Ln0g/c6rD4ZD+fCZPhRORq+R+ckGqoiAOAAAAAAAAAC4XxVWtCpq2&#10;ZI2npi0pvrepBYyvvPpiuqy54ml7z79wL/2sK/NUOBG5WpoXxH3jm19KL8IAAAAAAAAAwL9TXo+6&#10;5afC/dlP/mD680vF9mf7ZivmFMV9+jP302VN0fGx46lwInL13EsuTlUUxAEAAAAAAADA7eLJXp/8&#10;VF0x2TVFIdbv/f7nnhVmzXl96FCLArFrijqJqU9pq9nmlq9IbcxT4USkizQviIsbXXZBBgAAAAAA&#10;AIC7rjzZK5tv34p47ef4YTlznpQ2FMWBsW+Gy9ySWPepBY5ziuKikLLjp8Lde1aJIiJy5SiIAwAA&#10;AAAAAIAVvPHWyz0WM10sCr6iICvbtlBbFBdPWdtyzUEUxUWRW7Ztp1xaFNdxIeWTw+Hw4KYERUSk&#10;jyiIAwAAAAAAAIAFxTx6p6+4vMjw9ajZ9g3Fk+NqiuLid7dedzD1u45Cw2w5ReyPqYV2K3kz6k5u&#10;yk9ERDpKcsGqcls1OAAAAAAAAADcFeWpXlt+KlwUYo1fj3pO/Puprw8d+9qjL6bL3oqpT3M79crY&#10;Tp8qGK9Ife2m6kREpMMkF64qCuIAAAAAAAAAuOti7ry2KOyaYt1ritKiuKt2++OpdNmyt+LLX3kp&#10;3a5ThkVxpZgy+3dX9vhwONy/qTgREek0ycWrytartAEAAAAAAABgro4LmS4y5fWo57QoiouismzZ&#10;WxFPeMu265TnX7j39j/8x3+5x2LKeCrc60dekSoi/ScuWqOLWBUFcQAAAAAAAADcRZ2+3vJic16P&#10;ek6LorhYr2zZWxFPC8y265Tnnnsu/fkVPTkcDg9uqkxERDaQ44WraUFc3OCzCzwAAAAAAAAA7NEf&#10;/fHvvP35L3winUPfgngq2ZIPv1EUd3OMbLRY8tHBU+FEZGs5XrwUxAEAAAAAAADAROX1qFt9KlzL&#10;16NeIorasvW4VBTVrbWuS4in73X4KtRT4hWpr91UloiIbCzHi9i3Rhe1KgriAAAAAAAAANi7eA3m&#10;hoqb3ieK0+KpZdm2Lan2SXpRxHeN9W4lCvpqCwNX8PhwONy/qSoREdlgjheypgVxUT2eXdQBAAAA&#10;AAAAYOvKU+Gy+fItKE+Fy7ZtLa+8+mK6bpeKbYiCxGzZW/Eb//En0227sngq3OtHXpEqItvO8YKm&#10;IA4AAAAAAAAAzog3pm319ajhIx/50Nv/5J/9lXTb1taiqHCrb7CLYr7nX7j39uFwSLfrlKn/fqIn&#10;x+U/iDoSEZHNJy5qo4tcFQVxAAAAAAAAAOxJvKKz9lWfvejplaNf/spL6TpOsaUahfJ0wQ6LKh8d&#10;PBVORPaU44WtaUFc3LCyCzsAAAAAAAAAbEnHBUzVvvboi+k2r61FUdwW6hS+8c0v9VhUGa9Ife2m&#10;ekREZEc5XuAUxAEAAAAAAADAQLzW8pOf+sF0Xnwvenm6WuzrbP2miGKzbNk9iO3rsKjy8eFwuH9T&#10;OSIisrPERW500asS1fHZBR4AAAAAAAAAeleeCpfNh+9RLw+9aVEU9+nP3E+XfS29HkuHw+GrR16R&#10;KiL7zfFipyAOAAAAAAAAgDvvjbde3uzrUf/ERz6U/vwSvTxdbU9FcX/0x7/T4xMG4xWpD2+qRURE&#10;dpzjBe/rowtglVdefTG92AMAAAAAAABAj6J4KYrCsjnwLYgisG9880tVBWU9FZLVFiVGIVo8nS1b&#10;/ho6Laz0ilQRuTs5XvQejS6CVXp+LzcAAAAAAAAAFOWVllt9KlwUfn3t0Rffs001RXHXLiQrtloU&#10;F58XDxHK1ueK4qlwrx95RaqI3J0cL35vji6GVRTEAQAAAAAAANC7KBx7/oV76bx376JY7Pd+/3Mn&#10;C75qiuJin0RBWrbcNcUT72pfORr7aa1t6fR48opUEbmbOV4AmxbE9fIYVQAAAAAAAAAY6/QpXhcr&#10;r0fNtm2opihuzUKy28R3tYWiuChOrH2i3QK8IlVE7nS+mlwYZ1MQBwAAAAAAAEBvorjqjbde7rFw&#10;6SLZ61HPiUKwbFmXmvp5S2hVFBcFgtnya8S6xVv0ss+8on9z8IpUEZHD68kFcra4EWU3AgAAAAAA&#10;AAC4hiiGqi2qupYo5rrt9ajn1BbFxWdny11bPJwnW78pWhbFdfqK1P/z4BWpIiLP8lpykZwtLvjZ&#10;zQAAAAAAAAAA1hRFZL/7N35+8lPhDodD+vO1RRFYi9d9xjJqnoz35a+8lC53bS2exlZbFDf3mGot&#10;OUb/5fFnngonIvJOHo4uklXiop/dFAAAAAAAAABgLZ0+wesiMe8er3fNtmuu2qK4KEbLlru2V159&#10;MV2/KeYWxXX6itSnh5tXpIqIyCAK4gAAAAAAAADYhU6Lli4S8+01r0c95xvf/FJVUVw8sS5b7tri&#10;CW3Z+k0xtSgu/n3NvlvIk6j5uCn9EBGRYT6bXDRnUxAHAAAAAAAAwNqiiCxe7dlh0dJFWr0e9ZzY&#10;T5/81A+m63CJ+N2lCvamiO86W78pLimKi21tUYC3gMcHr0gVETmZB8mFs0p2kwAAAAAAAACAJURh&#10;U02R1zWVp8Jl27WU2qK4WOc1ivfO+dqjL6brN8VtRXGxjR0eV16RKiJyQe4nF9AqPVSDAwAAAAAA&#10;ALBv5eldW3wqXKxzrPu15tdbFMVNfe3oEmIdsvWbItuOKFLs8LiKV6Q+uCn1EBGR26IgDgAAAAAA&#10;AIBNiSKm51+4l85Z926t16OeU1sUF+Ipbdmy1xT7svZYKEVxsU8+/4VPpP/myr5+8IpUEZGLcy+5&#10;kFb5xje/9L4bEAAAAAAAAADUiuKnTguWzoonjq39etRzogAsCvSy9b1UD9vUorgvtqPDIkuvSBUR&#10;mZHmBXE9VLIDAAAAAAAAsB9R8LTl16O+8uqLz7Yh27Ye1BbFffkrL6XLXVvtdnTGK1JFROYmuahW&#10;URAHAAAAAAAAQCvxOsvap39dSy+vR71EbTFZPLkvW+7aonAyW7+NeXTwilQRkfk5Xkifji6sVcq7&#10;tQEAAAAAAABgrq0/FS5ewdnzU+Ey8SS7bHsuFUV12XLXFk+sy9ZvA7wiVUSkRY4X1G+NLrBVFMQB&#10;AAAAAAAAUOONt15++/kX7qVz0j3bwutRz6ktioun+fWw/V979MV0/TrmFakiIq0SF9XRRbZK3FSy&#10;mw0AAAAAAAAA3CZeLxqv3szmorfgt377Z9Lt2poWRXHf+OaX0mWvKR7ok61fh948eEWqiEi7HC+s&#10;TQviolI/u9EAAAAAAAAAQGbLr0cdi+3ItnFrYjuy7btUfJdR4Jgte02xDj/10z+QrmMH4hWpr91U&#10;b4iISLMcL7CPRxfcKvEe9OwmAwAAAAAAAABj8RSveKJYNv+8VZ/+zP10W7fmy195Kd2+S0VRXHy/&#10;2bLXEp/f6et34xWp928qN0REpGmOF9lHo4tuFQVxAAAAAAAAAJxTngqXzTvvQRT5xTZm274ltUVx&#10;4WuPvpgue0nZUwcPh8N71uuKvCJVRGTJxIV2dOGtEjfD7GYDAAAAAAAAAOGNt17e5OtRP/Shb09/&#10;fko8mayH14bWigfjZNs3xZoP14l93ulTB70iVURkpXw1uQjPtpf3oQMAAAAAAADQVry+Ml4nms01&#10;9+7zX/jE29/45pcmP9UuCv/2UBQX3122fVOs8YCdKLzrtNjy8cErUkVEVsvryYV4tldefTG96QAA&#10;AAAAAABwN2Wvr9yKeNLY+JWfc171eo3XhrbWoihuqYfsxDEWRYvZZ3bAK1JFRFbOw+RiPFvcYLKb&#10;DwAAAAAAAAB3TxRRxatDs/nlnkXxXjxtLAqtsu2Kp51lv3ebNV8bupQWRXGtH7QT69RpsWW8IvXh&#10;TWmGiIismc8mF+XZFMQBAAAAAAAAEK8J7fiJXbeK17rG61Gz7RqaUxS3xmtDlxbfbW0BWuzjbNlT&#10;RLFiFNdly++AV6SKiFwxD5IL82wtbloAAAAAAAAAbNPeXo96Tjz1LVvWbVo/Ie0aomAw9le2fZeq&#10;qS/o+KlwwStSRUSunHvJxXm2uOFlNyMAAAAAAAAA9m2vr0c9Z85rRPfwsJnYX2sXxXX+VDivSBUR&#10;6SRNC+KicZPdlAAAAAAAAADYp7vwetRz5hTFRTHZ3CK8nsQ+zLbvUpcWxXX+VLh4RaqnwomI9JLj&#10;hfnp6EI9W9x8shsTAAAAAAAAAPty116Pes7corgWBXnXVvvUttuK4jbwVLjXbqovRESkmxwv0E9G&#10;F+wq2Q0KAAAAAAAAgP2I4q/a12VeQ+3rUc+ZUxQX6xRP2cuWtyVRHJlt36XieBov85pPhTscDunP&#10;B+KpcPefFV6IiEhfiYv06KJdZQ+PdAUAAAAAAADg/cpT4bK54t61ej3qOVHcln3+baLoK4q/suVt&#10;yZe/8lK6fZcqRXFxnHX8Gt5/czgcXj/yilQRkV5zvFgriAMAAAAAAADgpJgHfuOtl70e9UJRFDdn&#10;X629nkuY85S8oY9//GM9H2dPDofDg5tqCxER6TbHC/abowt4lT283xwAAAAAAACAG16POs/corhY&#10;52x5WzLnKXkb8ObBU+FERLaRuGiPLuJV9vBucwAAAAAAAIC7rrwedYtPhVvr9ajnxDrMKSaMV49m&#10;y9uSqB14/oV76fZtzNPD4fDwpsJCRES2kq8mF/TZ9vBecwAAAAAAAIC7zOtR24nCwjlFca+8+mK6&#10;vC2Zu+0deXzwVDgRkU3mYXJRn01BHAAAAAAAAMA2eT3qMuYWhsWT7rLlbU08aTDbvo7FU+Fevymp&#10;EBGRLaZpQVz8pUB2gwMAAAAAAACgT16Puo5Y12wbbhOFdL0W+k0RBYvZ9nUongp3/6acQkREtpoH&#10;yQV+triJZTc3AAAAAAAAAPoTT4V7/oV76fxvz6JQrLfXo14iXoWabc9tYlu3UvR3ShT1/dZv/8zb&#10;zz33XLqNHShPhfOKVBGRHeRecqGfTUEcAAAAAAAAQP/+6I9/5+3Pf+ET6bxvz3p/Peol5hTFxXbH&#10;d5Ytr3cbeBXvk8Ph8NmbEgoREdlDmhbEffkrL6U3OAAAAAAAAACuz+tR+xDfQbaNt4nvLIrLsuX1&#10;qBxr2bZ05M2om7gpnxARkd3keIF/OrrgzxY3s+xGBwAAAAAAAMB1bfX1qOGXXvqRdJu2LB44k23r&#10;OW+89XK6vF5EIVys47miy8PhkP58JfFUuIfPiiZERGR/OV7omxXExSN1sxseAAAAAAAAANex1dej&#10;jsVrN7f62tBTonAs29Zzen172wZejxr1EZ4KJyKy9xwv9k8GF/8qCuIAAAAAAAAA+rDl16Pe5vd+&#10;/3Pp9m5VFJFl23nOK6++mC7vGjZyrHkqnIjIXcnxov94dBOYLSq9s5sfAAAAAAAAAOvZwJO6qvRU&#10;DNbC3KK4T3/mfrq8NX3t0Rd7fxXv08Ph8PqRp8KJiNyVHC/+Xx/dDGaLm1x2AwQAAAAAAABgefGk&#10;rigWy+Zz92Zvr1CNbZnzhLXYD9/45pfSZS5pI6/ifXw4HB7cVEeIiMidyfEG8ObohjBb3JyzGyEA&#10;AAAAAAAAy9nr61EvsadXqM4tiovfWas4cCPHmqfCiYjc5RxvBM0K4kJ2QwQAAAAAAABgGVt9PWqs&#10;8yd+6vvT/zbVnl6hGk97m/t9xrGQLbOVWH7nr0cNngonIiKHryY3iNmiGjy7MQIAAAAAAADQTnlS&#10;VzZv27N4slg81a3MLbd6xeueXqEa+2ZuUdwST8zbyOtRPRVORETezWvJjWK2vTQwAAAAAAAAAHoU&#10;xVJR9LTF16N++jP3nz0BbbxNrYriwhtvvfy+5W9RTVHcl7/yUrrMqUrR5QaOtXgq3P2bEggREZHD&#10;4WFys5ht6UewAgAAAAAAANxVW3496tcefTHdpqLl0+5iWdlnbFEUEWbbeE78Xra8S23k9ajlqXAi&#10;IiLvSdOCuHONGAAAAAAAAACmmfLKysPhkP78GsavRz0nnmyWLWeOKMLLnka3RXOLBWMfXLrvi9hn&#10;G3g9avBUOBEROZkHyY1jtiXeRw4AAAAAAABwF019ZeWho2K4U69HPadlUVzst7081GXufomnvEVB&#10;ZbbMoQ29HtVT4URE5GzuJzeQ2RTEAQAAAAAAANSLQq4NvLLyfS55Peo58fvZsueKYrLsc7Zm7n6J&#10;IrfbiuI29CpeT4UTEZGLci+5icy2l4YEAAAAAAAAwDVsqDjpPaa+HvWc2A/Z58w15/WhParZL+NC&#10;xfJUuOzfdiaeCvfaTYmDiIjIBUluJrPFu8SHN1AAAAAAAAAAztvQKyvfZ+7rUc+Jp5plnzdX7Nso&#10;KMs+a0tiv8x9emApWnzjrZe3cqw9OhwO926qG0RERC7M8QbydHRDmU1BHAAAAAAAAMDlojgp3sS1&#10;xUK4Fq9HPSeKv1rvmygKyz5rS+K4mfskwe///o+kP+/Mk8Ph8PCmqkFERGRi4kYyurHMFjfc7GYM&#10;AAAAAAAAwHt5Pepl4ulzrfdTPNUu+6ytie3Itm/D4vWorx95KpyIiMzP8YbSrCAuHsua3YQBAAAA&#10;AAAAuBFPPYu3b2Vzrr175dUXF3k96jk1T0Q7Jea347vIPm9L4lW72fZt0OPD4fDgppJBRESkInFT&#10;Gd1kZou/BMhuwAAAAAAAAAB3XRR1RfHSFl+PGk8iu3bxWOy/JZ6ItodXqMZrd7Nt24jyVDgREZE2&#10;Od5cHo1uNlWymy8AAAAAAADAXfa1R1989kSybI61Z2u/HvUSSzxdbw+vUI1X8Gbb1rlHh8Ph/k31&#10;goiISKMcbzBvjm44VXpqCAEAAAAAAABcUxQptX7V5xqiEC6eZtfr/O8SrwmNbd7yK1Tju/rNL37q&#10;7W//9g+k29eZJ4fD4eFN1YKIiEj7fDW5+cy2h3esAwAAAAAAANSI4iSvR13WEkVxYYuvUN1Q4WV5&#10;Peq9Z9UKIiIiC+X15CY0W9xosxswAAAAAAAAwN5tuRAu/PiPf1+6Xb368ldeSrej1lZeoRqFi6+8&#10;+mK6DR16fDgcHtyUKYiIiCybh8mNaLY33no5vREDAAAAAAAA7NlWX4869vkvfCLdvl7Ffs+2o1bP&#10;r1DdWOFleSqciIjIamlaELfFx8cCAAAAAAAAzBVFU1FEls2f9uBwOKQ/v83WHoSyVFFc6G0OPLb1&#10;+RfupevaoUfH48/rUUVEZPU8SG5Ks8UjabObMgAAAAAAAMCebP31qOd87dEX0+3uVRQmLvVd9PAK&#10;1d4LL0eeHA6HhzclCSIiIuvnXnJzmi0afNnNGQAAAAAAAGAv4glqG3pK12y9vjL0lFjfpb6Xa71C&#10;daOvR/VUOBERuWqaFsRt7X3yAAAAAAAAAJeK11V+8lM/mM6V9iyKqX7u559P/9tt4ve+8c0vpfui&#10;V1FAtuR3tOYrVOMpfRsqvHx8OBzu35QhiIiIXDnHG9PT0Y1qth4eFQsAAAAAAADQ0pZfjxpzuOXJ&#10;ZvG/s39zmyjIiu0f75OeLV0Ut/SDYjZWeFmeCiciItJPjjeoJ6Mb1mzRGMpu2AAAAAAAAABbs+VC&#10;uFjn8dPMYnuyf3vOVh+MMqcA8FJRsNb6FarxNL443rLP69Sjg9ejiohIjznepJoVxEWjKrtxAwAA&#10;AAAAAGzJll+PGoVwp57qFq/hzH7vnKWfiraUV159Md2eVmJ/Zp87xQYLL58cDocHNxUHIiIiHeZ4&#10;s3o8unlVyW7gAAAAAAAAAFsQT/2K4q9sLrR3w9ej3mbu9o2fOLcVSz91LZaffe4loqAu3sSWLbdD&#10;5fWongonIiJ953jTenN0E6ty6i8NAAAAAAAAAHq15dejxpPspjypLLZ1bhFWiyeiXcOXv/JSuj2t&#10;xHcwZa58g08gfHw4HO7fVBmIiIj0n68mN7PZWr8nHQAAAAAAAGBJb7z18pae0vWuc69HvU0UZGXL&#10;vMRW54Tje862p5X4Ps7tm/jvS7/GtbF4KtxrN6UFIiIi28nD5KY2WzScshs7AAAAAAAAQE82+JSu&#10;d8XrUb/xzS+l23Wpua8SvaTwq1c1hYCXyl4tu8EnED49enTwelQREdloPju6sVXZ6iNyAQAAAAAA&#10;gLshirnmFoO1cjgc0p+fE4VwLR9SMrcgMJ6oN+fJdD2I73/pwrTPf+ETzz4r9tEGn0AYr0d98Kya&#10;QEREZKO5l9zgZsuq3QEAAAAAAACurbendB0mFMXFOs99PeptYnnZ510iivOyZW5BPF1v6acD/siP&#10;fs/bP/bj35v+t07F61FfjxqCKCQQERHZdJIb3Wxf/spLaYMCAAAAAAAA4Bp6K4SbItb5lVdfbF4I&#10;NxRvAcs++xLlSWhbFPt0q6/MXUA8Fe7+TQWBiIjIDnK8uX1rdLObLRpjWWMCAAAAAAAAYE1R8BRP&#10;VdvY6yrfFU9gi9d7ZtvWWhS2ZetwiXglaLbMrajZ9h341uFweHhTOSAiIrKjHG9yj0c3vdm2/BcA&#10;AAAAAAAAwD78d//0t1Z9+tdhwutPzymvR822aylRPFhTOBhPmcuWuxXxBMFsu1pqeYw0EK9H/eqR&#10;16OKiMg+c7zZvTm6+c0WjaSsAQEAAAAAAACwtLUL4Vr6zu/64LNCuCVfj3qb2HfZel1qrafZLeXL&#10;X3kp3a4ditejPripFhAREdlpjje8ZgVx8dcKWeMBAAAAAAAAYAnl1ag/8qPf+775y0NfT+U669pP&#10;Wqt5UlrMFW+9KK62KLBz8VS41488FU5ERO5EHiY3w9mu9RcLAAAAAAAAwN3yD/7r33j7ox/9cDpv&#10;uVXXLiqrecJevFFs6/PFsf+juC/bvg2Lp8LdvykPEBERuRtpWhC39ap/AAAAAAAAoG9RdPWLn/7T&#10;6Xzl1kUx1je++aV0u9cQ+7amICwK6rLlbkns/62+enfkSdQD3JQFiIiI3K3cS26Ms8VjZLNGAwAA&#10;AAAAAECNKNaK13p+5Ls/lM5V7kU8aS3b/rXUvjr005+5ny53S+JY+6mf/oF0+zbA61FFRESSG+Rs&#10;8X7+rMEAAAAAAAAAMEcUJ73x1svPCsViTvJwOLxvnnJvrl1UFoWH2Xpd6vNf+ES63K342qMvvnu8&#10;bYzXo4qIiESON8VvjW6Ss335Ky+lDQYAAAAAAACAqeJpZTt5feVkr7z6YrpP1hJFedl6XSqK6rLl&#10;9mzDx5vXo4qIiAxzvDk+Ht0sZ9t6pT8AAAAAAABwfVsvhPvuj344/flU8WS8bP+sIZ7M97F735mu&#10;16Wuuf5TxPEWc93ZNnTO61FFRESyHG+Sb45umrNFgyhrQAAAAAAAAACcE4VJtU8mu6aYL/293//c&#10;s2KyeLtW9m+min2S7as1xGdn6zRFvH40W3YP4nuKJ9nVFv5dydcPXo8qIiJyMl9Nbp6zZQ0JAAAA&#10;AAAAgFO2/kS4EIV83/jml96zXS22KYq1/uiPf+c9y11TFIxl6zXFNYv6MhsvhHt8OBwe3Ez1i4iI&#10;yKk8TG6is12zMQYAAAAAAABsx14K4U7NkUaBXPY7Uz3/wr10+WupfWrftYv6iiiEi9e4xv7M1rNz&#10;Xo8qIiIyIQ+Sm+ls8QjgrHEBAAAAAAAAEEVJeyiEG74eNdvOIl4Zmv3+VFGUli1/DbGNtU9Ti98/&#10;t6+WtOFj7unRo4NCOBERkUm5N7qhVol34WcNDAAAAAAAAODuumuFcEOf/8In0mVNdc2Hk8R3l63T&#10;FPHdr10UF+td+4S7K/J6VBERkbk53kijqjy7wU4WjbmsoQEAAAAAAADcPVEAFU9J23ohXIjCqngN&#10;aradt4l9UPuEtSL2ZfYZa/jdv/Hz6TpNsVZRXHxPsb6t9vvKvB5VRESkNscb6pPRDXa2aFBkDQ4A&#10;KKKje5vopN7mj/74dy4Sf/V1mxg0OCX793Nl63aJbNvH+yrbvwAAAAAAPYgxzHi71PMv3EvnFbck&#10;CuFi3DbbzkvFeHG27KliPrZ2XWq0eNrakkVxsdwNF8KF/+GgEE5ERKQ+x5vqo9FNtooJeoDriWtw&#10;iOKpUlg1LM4aFn298dbLz8Qj1odigCJEh7F45dUXn4kngRbR6S2i81rE4EaIzuZQds9gGeN9X76T&#10;oeF3FobfZzH8votyLAwNj5VQjqGh8XFWjr+h4fEZhsduUY7rcKpYMDs3AAAAAIB1xDhejBPuYVw4&#10;xlJjPDPbzjlijDX7nKlivbLlryHGYFt8tzEu3XI8N5YV39XGj7t//M4UvoiIiDTIV5Ob7WzRyM0a&#10;IQB3WSnUGReqlcKfUhBUioWigKgUF0XBUXSSS5FSKWAqhU2l6Cm7JsNdV86PUM6ZUM6jcKoAMCv6&#10;O1Xod6qwrxTyFYr5AAAAANijGNuK8a8Yb8vG6bYmxhNj3K/1mF0sL8Yns8+cKsY0s89YQ3zX2TpN&#10;FcdLi328g2Pv38ac/c3UvYiIiLTKw+SmO1s0DrOGCMAWRMcrDAvXhkVrpfglK1YrxTWl4KYU4WTX&#10;SoBzyjUklOtKKNeaUsg3p5ivXMuyQr5SvFfcVsSXXUcBAAAAuDtijCjGmzZejPQev/wrP7ro2FeM&#10;uWWfO8c152VjzDFbp6ni2Jm7v2NfbvzY+7dH//3hcLh/M20vIiIiLfPZ0Y33mePP3/ezS8QkbNYg&#10;AVhCKcooBWzR+ZlTwKZ4DaDOpQV85wr3guI9AAAAgL7FuEuM4+x1XD3GmLLtbiX2Xfa5c8S4WPYZ&#10;a2hVjBbjiFPG8OL7abkP1xLz7+/Mwf/r4//9y0f3jkRERGSh3BvfjGtEwzdrmAAMlQKFUrxwWxHb&#10;qQK27BoEAOeMC/dOFe2NC/bGhXrjIr3bivMU5QEAAABbF+MbMe4R4yd7H6OP7Vt6PKdVMVmsa4w/&#10;ZZ+xtPjcbJ3muKQoLv57jNNt+Ph7cjgcHt5M0YuIiMjiOd58vzW6Gc92XJwJP9ixOL9DdHJioj86&#10;v6cK2aKAoBQXDAvZ9t5RBoBzyv1w6aK8UpAXtNEBAACAOWKMIcYiYgwjG+fYqxibyfZHK62LybLP&#10;WEOMSWXrNEdsRzaGFT+LY3DD80tPD4fD60eeCCciIrJmjjfhR6ObcpUf+dHvedaIGzdWgOsZFrGF&#10;6KDcVsgWHb1SyDYsZsvOeQBge9YqyhsW5kV7RGEeAAAALK/MCWT/7RLx+9HXj7GCbFzhroixjmz/&#10;tNKymGzpAr7bxGdn6zTHuCguxpjiZ9m/3YjHh8Ph/s2svIiIiKydP0puzlVici0mv4aNIWCa0mFV&#10;xAYA7NWwKC8MC/NKUV4YFuUpzAMAAID3iv5v9JezuYH4/6NvHX3o24rkoq8cfer4t1ueWzgcDunP&#10;54j9UFNYeInY39lnzxHjItlnLC2OnTj2snWaI47ZR//olabLvAKvRxUREbly7h1vyP/b6AbdRDQS&#10;FcWxd2VC9VThWsiK10J5AkuZ+C2d1C13NAEAtijaX9EWK6JtVtpqpSgvnCrMu60oLyvIy9qVAAAA&#10;MEX0L6NPOrVoKPq1Zf4u+qnRp41lmJvIxdjAeN+3FN9jjEVknz1HjEVkn7O0OJay9bmDvB5VRESk&#10;kzxMbtTNRAPOhA9ri2OuGBaqhegInCpYi47jsGgtJj0VrQEAsKRhMV5pc95WiFeK8MaFeKWNOyzE&#10;K0V4Qb8MAABgP6LPV1tE9T3f813pz3m/6H9n30Mr0Y/PPneOGGeIcYDsc5YW4xLZOt0hXz94PaqI&#10;iEgfiRvz6Ebd3NJ/OUG/hkVpYViUdmlh2rA47VSBmiI1AACY5lwhXinCGxfilTb7sBCvtO/DsBBP&#10;ER4AAEB70e8yH3Ja7Jvot/7cz7+Q/ve5Yr9n30cr0f/OPneO6ONnn7GGGFPI1mnnHh8Oh8/ezL6L&#10;iIhIFzneoL81umEvIiZJskYR6xgWppWitHBbUVoYFqaVybCsKC0Mi9J0xAAAgLHoJ1xShDcswCtF&#10;eArwAAAAbuZ7oi+V9bnuuuhzRh+y9A2jn5j9u7miLzv+PlqK9Y7PyD57juhnZ5+ztDt2jHo9qoiI&#10;SKd5kNy4FxGN0KxRdFdFYzCUiZtLCtQuLU4rE0wK0wAAgLtsXIBX+k4K8AAAgC2IPkf0Qcq8UfRV&#10;fvHTfzrt/7RwOBzSn/cu+n7Rr4t+2ngfRp8v+5254nPGn9FSbEP2uXNFvzb7nKW13o4OPT16dDxn&#10;FMKJiIh0ms+Obt6LioZ61ijailLAVorXhoVrpWhtWLA2LFRToAYAALBvNQV44bYivHEhnmI8AADY&#10;nuE803B+aTivNJxTyvodvFfss9if2f4Osc9jf2a/O1f007LPaiX6idnnznXb/llSHOPZ+uxAvB71&#10;wc1Uu4iIiPSaVQviovGeNYjWNu5whGFB27DTEXQ6AAAA6FX0WcfFeLcV5J0qyisFeYryAADgtOEc&#10;03CeqRS3RfvaXNOyPvCB584Wwg3F95MtZ6415jvjmMk+e45Y32v136Ivmq3TRnk9qoiIyIayakFc&#10;iA5B1iCqNS5y8xc1AAAAsI7oa4fWRXnhtsI8xXkAAHdbaQuWtmFpL4ZoP5Y2ZSgFa0UpXCtKOzXa&#10;raUdW9q1ZX7JHFM/4jvMjolT4nvMljNXHCfZ57QSx3X2uXPF8Zx9ztL+1fG8/L7v+xPpOm1IvB71&#10;zYNCOBERkU3l3uiGvrjoNGQNottEoy86L9FhGXZSSmdEBwQAgGs4tqfTnwNwXeMCvaxIL5RCvaxY&#10;L4wL9oKiPQDgrihtmGLYvgml3VOU9lBpI4XSbiptqeEcT5EVooXSfgulTacojaE47rJjNxPHbLaM&#10;GnGMZ5/VSiw/+9y54vzLPmcJcc2Iz9vB+er1qCIiIltNcmNfXDQ6s4ZRNFyjcRedodLZ0bEBAAAA&#10;9qZM5obWRXvhXOFeKJPXw4nt4aT3eOwGAO664X0ylPtnuacWw/ttuQ8PDe/TYXgPL4b3+GHxWDFs&#10;F4Rhm2HYlgiljVGUtkcxbJeErO0CPYrjOztXT4lzJVvOXHG+xDUg+6xW4pzOPnuuuC5ln9NSfEZc&#10;a7LP35Anh8Ph4c1suoiIiGwycUMf3eAX9yu/+mPPOnTRaYvGanS4sn8HAAAAwPUNJ8mHE+hlYn04&#10;6T6ckB9O1A8n8YeT/MPJ/2FxQCkaGBYVhFJsUIoQQilMyCbkAOjbuQKzcv0/VVA2vI+cKiAr96Jy&#10;fxret8q9rCj3uOG9L7s3An2I60B2bcnEdSbO72w5c8V1JPusVlqvc1zT4jqbfVatuFbHdTT73A15&#10;ejgcXj/yelQREZGt53hjf3N0owcAAACAzRsWM5QCh1CKHoYFEXML+YZFGSEr5BsWdpRij1AKQLIJ&#10;ReDuKteGseH1IwyvLUPD608YFpIV42tXGBaWFcPrXhheE4fXynOFZuX6O7wuZ9dtgKniehLXxOx6&#10;monrXbacGnG9zD6rlbiWZ587V1yjs8+ZK+49cV/IPmtDnh69eVAIJyIisqvcG93wgY07ntfpzwHY&#10;F9d7AIB9KsUiwyK+MCwuGRadhGFBXxgWqoRhEcu4wGVY/DIukBkW0IyLbIYFOONCnaGssKfIJlV5&#10;v2zfTZV9N6cMv9tTxsfD2PDYuc34mBsbHp+3GR/XY8Nz4JTxeVOMz6/x+ReG52cxPodDOb+HsusA&#10;wF0S19E/+MNfT//bJeLanN0/T4lrdLacGnFvzD6rlbhPZZ87V9w7s8+ZItoXsV47uJc9PhwOD2LS&#10;XERERHaW443+W6MbP8AuHS956c9hKxzDAADAXTEuGhrKCo2KcVFSyP7dFNk6TJVtIwBMtZfxwbg3&#10;RtHxsJAsCtuyf3uJKMYeFmvdJoq/s2XUiPZC9lktRZsm++y5puyzoSiEi2LzHbRvohDu4ZGIiIjs&#10;NccbvtemAtDEcLC/GE8kjCcmhn9RPfyL61Z+9XM//vYHP/jt6foWP/fzz7/vL8AvNfxr8tbKX7L/&#10;hc//xNsf/vB3pOv+qT/3Q+/7vWw9h7L9VAy/j8z4+yvG3/NYdmwU2XYBwNix+5r+HAAAgG2IccR4&#10;OlkUVWWFVtnvXCLGH8fLu02MkWbLqRHjstlntdK6kC/GZbPPOSW+n3i6a+zrbHk1sv7+gmMAT4/L&#10;fv3I61FFRETuQLw2FaAjw0KhUkw0LDwqhUk/8qPfm/7+2L/3Mz/87itEyitHyqtJhq8zCcPXnxTD&#10;16aE6PgOZZ3jnsR2Z/tlaOqAyZpiH58rGovvMvvdLbrk+xr6p//8t993jIbhMTw+zsvxPzR8JU8o&#10;50wohYlD54oQzxUaDs/pUM71D39nXvgIAAAAAFsUY5sxHhbjdOfGk2sK1WLMLltm5pIx1zli7DH7&#10;vFZiHDP73Llif2efMxbbFWOY2TI2RCGciIjIXcyxEfBk1CiATToezunPYY5SlBaGRWnReS9FLqX4&#10;pRTFRKe7FNGUwpropJZCnGGRTincKYVl5wYDxuKzsvUei/Wfuuw9ie8r2y9jve6jOJay9R2K7zj7&#10;3S2K8yrbxlOmDHT1Lq4H2Tbe5qMf+/CzY7dcT4aG15tyDRoWARbDQsAwLgLMiv6yQr9xcV8o19Bs&#10;3W/jfs5ShseW4wwAAACWE2NCMbYUY1PZWFgmxrmyZV0qxsSy5WZiXCxbRo0YD8s+q6Wp46fn3Pb9&#10;7KQQLsTrUe8fiYiIyB3Ma0njgM4dv7f3/F+4S0qRxbhQ7Qd/8KPpv8/8wR/++nuK1KKzHB3uIusA&#10;9iQKV7LtykSBS7aMu+DSYpw4FrLfv7ZLCuLCXr7jSwsYi/h+s+VsURyD2TbeZovbX66xWfFe7IPw&#10;c7/wQrq9mWsV7QEAAADwfjEGE2OVc8fYY6wnW+4l4rOzZZ4S/z5bTo0Yl8o+q5XYry2L1LIivhif&#10;a114dyVRCPcgJsJFRETkDufYKPjWqJEAMFspMBgXrJUChegUlgKG6OBGBzlEkVf8ZVYpisiK1cad&#10;s6H4vGx9MllHb0um/AXbFotmWohjJ9sfmV4Lyi4dANr68VxMOYeLuYNrvYljMNu+c/ay/UNTjoM4&#10;z7Nl1Ih9+j/+i99NP2+OKNbOivNiOwtFeQAAMM3BHwkDdCPGNWLMv8U4TYzLzBkjLGLcPFtuJuYd&#10;smXUWmK8aqj1esc8TVlu/O8djFN5PaqIiIi8J54SB3dAdGRCmYCfWqxWW7C2tKkdtdiebDlbEPs6&#10;26ZT4vvKlrNnU56iF8d+toxri/MwW99MnIfZMrZkzmDXXo7tuPZm23fO0gNs15Bt5ylTBjmniP2a&#10;fd4ccW/KPuM25Z4a53Uo99ty/43tDuXeHOJeHfftIq4fcVwVWVFe+J7v/a50vQEAAIA+HTooCo7x&#10;jhhfiPGI1vMCU8Z1x6aOw1z6B8lTxBhn9lktxfhQ9tlz/eYXPzV5fqVDCuFEREQkz7Gh4ClxsKLo&#10;XIRxcdq4QK0UqYVSqPY3/9Yvpsu8Tfx+1nHak6kdttjX2XK2Ykrx0F34/sdim7N9kZk6ULKWKQMy&#10;MfiULWNL5gy67GG7Q1z3s+07Z2/FrlML0Zb6/lsPKvb8PU25Vg79tb/+s+8pyovvIpwqyittmlKQ&#10;F+I+XNpBpV2UfdZcxy5O+nMAAABgvr/+u//+4n+kOWXseyzGI7JlnhLjE9lyasS4SPZZLdUUDu7Q&#10;1w+Hw/1nE94iIiIiSXb9lLjj9qU/5276iZ/8k+8WnoVh8Vkok7dFKUQL0ZEpk76hTARnT04L5eku&#10;5WkvWcdljjmTxnt4gtRt7to+ieMx26ZT9v79j8W5nO2HU7JlXFtcb7J1zcT2ZsvYkmy7ztnDdoe5&#10;g3xx/8mWt1VTC9GWGlxsPaC4xiDoXFOvlcUa597wKXkh2lWlrXXJU/J+5s//cLrumeeee655QR4A&#10;AADs0RpjAtHnzz77UlPGwqeOR11qjfH4mL/KPvsOeXw4HB48m+UWERERuS3HhoOnxN0B5QkcRXky&#10;R4gisaHhUzyikzN0qmCsFI0Vw+KxYQFZKJOZoUxwFsOismFhWSjFZUW2nbeJdc46D1sS30+2bbeJ&#10;/Z8tay/mTGRv+ViIcyjbplP2/v2PTS0wWmOAYqop33Ec/9kytiTbrnP2sN1hbkHc3s7rqde1aHNk&#10;y6k1dT3OWWOgeK457Yki2mDZMnsxdfB8eB8obczS9rytGC/Ow2HbN47L0kaO737Yno79Xdrdc9ot&#10;AJc4+INAAAAWFv3kYR98CdGPzj77EvG72TJPiT58tpwaU9dhrpr9tGFPjv2eeD2qiIiIyMV5mDQq&#10;SMQEVlEmtUIpJAvRCL2kgCwrHCsTbEVMuv3SSz+Srstt/st/8Je6n6xsYepkbnxvPRa/TBHHTrZt&#10;t4ntzpa1F7F92XbfZsv7ZGox6N6//7FsH9wmihyy5VxTTTHH1kw9nou9HNfZtl1ibwVxsT3Zdp4S&#10;bapsObWmnnvn9Hyc1gyaRhs1W2Yvpn6P1z6fxgV4pQgvtiOUfkHpL5wqwAt//mc//vbzz997+zu/&#10;84Pptm7JsY+a/hwAAIDriTmZrG/bUvSPs8++VPSls+Vmok8ec3zZcmqsMXYS6z51jmzDnh5uCuHu&#10;xaS2iIiIyKQcGxOPR42LrsUEYxgXpI0L0UrxWfzbbDlD//Af/+V3J6HKpFQ0KIuswbmGWJ9sfW8T&#10;2xvrny1vT+YUh229iCAmQLPtOmfPx8PcTt+W98nUTnqPRV9LiO802/7b9HhN2FoxR424v2bbdIlr&#10;3ptbmHN/L+JekC1zq6LNlm3nKdHOy5ZTa+q5d4lej9OagrilChJbmXoviHtqtpytiXvBJX2ev/ra&#10;zz47LmM/hdsK8E4V38XxU0Q7LPZh6Z9lnwlcx0FhKQDvcE8AWppScDbX1LGioeibZss8ZYnxoLXm&#10;6KJ/v/O++NOjR8f72P2YyxYRERGZm/ujRsbi/uwnf+DdgrWYaIlJlxATMNEAjYmZkBWoZQ2/28Ry&#10;s3UYin+T/W4Ppha/hJigypa1J3GsZNt+m6mdod7M7Zz1PnldY+6k/pYLSqYWg+75+x+aU2DU43EQ&#10;975sXU9ZqjhoDXFvz7bpElsv9Jz6PQ/FNSBb5lbFMZxt5ylLHfM138kpvR6naw4sry36Ctl632aN&#10;QeolTR0AX6OfEOtU+nDjorswLroLw8K7X/3cj6frDgAAwHWt8Ydlc/r2Q1PHfKeOTV1irTHb6Hfv&#10;tCju8eFweHAzhS0iIiJSmWPj4tGosbGoNSfTLmk8x9MNst/twdTilyImm7Ll7cXcTlFMwGXL24K5&#10;TxTaeiHgbeaeH1veJ3MKI7c+2X+JOcUsPRYLTj3Pt3wsx3GZbdMlei5kv8Scou5ib0WuUwv/lyrm&#10;WaIgrtfjdO69s+j9npKt82223DYMc9oFW9jmbL1v85lfuv+ewrvYxjAsvBsW3cXkRFxPQnniuKfd&#10;AQAAnLfG3FP04bLPvtSUsYvaArxT1thP4Z/8s7+Sfv6lDn09SfTJcX0ePpu4FhEREWmYe0nDY1Fr&#10;ThJe8lrFXif35jbG1/hLnWub8/S8Le+Xmo7Z1id7T6mZ1N9qkdic42DrxUOXiG3Mtv02a/2l3hRz&#10;isS2eizP2dZi6l969mbO8Vr0eNzWmHovX+qPGOYWnd+m1+LF2kHl3u8pU4+prZ9TcZxl23WbLRRT&#10;X9J/G1pqm6LdFeKeFU498W5cfBeyAryf+/kX3n7++Xtvf+QjH3r7Ax94Lt2WvTh4PRsAADtyzfZt&#10;9HeijxT9ivCTn/j+9N+tZY05luiHzZn/Kab+QWXNWN0pS/e9Yx9Fv3Mnf9T19HiOvR5z1UciIiIi&#10;i+SrSSNkMWtOxFzSmO25YGjORFfYaxFUMXe/bLV4JMztBO6tgKKo6aj2PqF/m6nHwZrX22uZcyz0&#10;uF/mFDzGxHy2rN7VFMTF9T9b5lbUFCTt7XqebeNttlQQ1+t3VTvI2/sxGIPe2XqfsvV7ZHwf2Xad&#10;03s/Yc4fPfTexo9z79KJij/1pz729t/7+194dm0aF+GVArwQyxwW4GVFeOOn4IVL1wMAgH04+GOF&#10;q4m2d4h2eGmXRxs92ush2u6lLR/t+xDt/+gHRB8nxgrHfYv479lnrWmNPmX0f7LPvlT8frbcU+K7&#10;yZZTY4kxzDgmYv/PnSvqzNOjN4/XKIVwIiIisnjiKXHfGjREFrdGozlcUmDQ8+Te3Ib/1if4zonj&#10;J9vuc7ZcSBHrnm3TJbZcCHhKTae453P+nD1OEteas096vUZm63qbGCjLltO7mgKkLZ+/oeZaHoNz&#10;2TK3aE5RZAz2ZcuqNWddzun1GlM7oNx7+/Ku3SPnDthP/Wv5tc0pHF6rbznH3H5L7Idsea1FfznO&#10;g1AK8LIivDJBV4rwSiFe3NfCtZ9UAVt12EmRwl62A4B9iL5rUf4wZFiUFqJfFE9x/tjHpv/ByH/y&#10;tz79rK1c2s7lj1lKuzra2FkxWyvXLoZaa2xgbp83TB1Diu8tW06tOC6yz5sjjrWafVJ00m57fFyP&#10;B0ciIiIiq+W1pFGymDUn1C7pICzZQak1t4Oz1iTKNVxS6JiJ4y46N9kyexffZ7ZNl9hq0cxtogOY&#10;besl1rz+tDanmGHLhaCXmFtg1OO1II7NbF1P2WpxWE1B3JbP3xDfWbZdl5g6mNezOcfAUt/93DbF&#10;OdlnXVttQVzouc08p6205TZSzUB4z+3hvbV1aiarei70G5p7Xx9OFsb/LmJ5ZXIxjofiXHHesEAv&#10;7rehPCkvlMnP+E5C3Femtr0AALbuMCqGKW2iorSVStspDNtUpZ1VlPZXUdplQ8N2W2nLDZV2XjFs&#10;A5Z2YYh2YlHajqU9OaevGp893BdTxHpmy1xD7NNsnda0xvbP7WcUU9dxif0a50/2WVPEsR/LyZZ/&#10;Tpzv43P+yqIQ7uGRiIiIyPo5NkZ2+ZS4Sxqy1+zAnDO3IR4d2OgUZsvcg7mTS9HRzZbXuxgAyLbn&#10;ErGvsmVuWQxyZNt6qehQZ8vt3ZztjmtBtqy9iMG2bLvPicGEbHnXFN9Vtq6nbPW7rRnQ2vrxHIPH&#10;2XZdYk/n8pxjYKntr72fnNJjGyzWKVvXKXq+f85pK8UETrasLZg7IB56bg/vqa3T4pyL4zpbdk+i&#10;L52t+znRhsuWt7YpE6F/4k988N3J2djuEL8fhhO90YcPw8nhMmk8nFAuk8xl4jnE8Ryyzwf6dPCE&#10;PNilmnO73M9DuceX+35R2gOljRBKu6G0JYqsmOxv/q1Pp599if/gcz+etovumvhesv1zqWuNLS41&#10;jjFFHNvZurUW50X2+ZeYuo6xX2uPiczcPl0cXzXb35mnx2vq60dejyoiIiJXzcOkobKYtRrNl3QQ&#10;omGZ/W4Pajo40YHOlrkHsW3ZNp+z1nHXWm1Hd4/Fkdl2XioGkbJlbkEMmmXbdJuei35rzR0YiMHD&#10;bHnXFNenbF1P2er1rPYvPON6mC13C+acv8VWv+9MDOpl23ibpba/9v56So9Fty22tcdrZzGnIG7L&#10;51VMnmXbdIne+whT74ehx3tDi3Mu9kXv7fi5BXGhh22bOukVk9LZcpYUx9Lf/NIvputzznd+53c8&#10;u3aXifRQJtfLpHuINnUok/OhTNiXifwQx+Scc/SuOiiU2g3fJfSp3JdCuVeV+1e5n5V7XCj3vVOF&#10;Zn/jb/7C2x//+MfSz8r83d/71Wf36SK7jy8l1jdbp0vFdmfL7UG0EWPsqPwhwlL96zhesn1zqTju&#10;rtWerV33FtYYb67tU01dx/g+s+XUiOMk+6xT4tiP61P8Xra8jVEIJyIiIn3l2EB5MmqwLGqtjte5&#10;DkI0LtfutE4RnfdsvS/R+wTKXDUTL1stDqrpBPU8gT1XTcd/ake0J9EhzrbpNjEQmC1rD2JAM9vm&#10;c3oc+JtzTG/xGj+nGGqo5ydUnVM7YJktc4vm3MOXvG5nn1er1/tu7YBqXHOz5fZgbrHtVtvKMZGX&#10;bc8lem8HRbslW+/b9FiEGmr6cUXP512o6Zf1cK3M1us21zp/5hT9Fktf50oRQHxOEdfkEOdmKBPa&#10;IYoHvuu7Ppiu6zmf/qWbwoZS5FCU4odoaxXxXdXe9wB4v3J9Ldfbcg0OcU2O63QxLkArRWjRBiii&#10;LRHKfaLcO8q9JJT7S7nnLDGOH589574R25wtb2mxH7P1mSL2bbbsa4jvNLYpjqNsXUMcUy3H87LP&#10;mCrWN1v20mra4K3E+Z+tW2txncg+/xJxTmfLvE2Lc2ssvq/ss4biHNhRIVyI16M+uJl5FhEREekn&#10;95OGy2LmNEjnuKSA5JJG6bXUdHBi0CFb5tZFByHb3ktca6Ci1m0DAuesda6tKb7HbFsvFQNp2XJ7&#10;FwN02facs9XtPWfucRCDaNnyrmnOOd5rAcBtYp2zbblUTwO2U8VgYbZNl1pi0P8a5gxmLnkfW2Kw&#10;seUgfUu1x+C1BvsvEfe5bJ3PieMxW17vLunf3Kbn68mcbev1nGs1mdJzO25u2zRcuz02t095je+j&#10;Zj/3dn7UnBct7kPxvYf4Hoth0UUpxIh9PhTjMkUp4ohtGYrrVygFINk23Oa555571i4psn8DbNfw&#10;/A6loCzE9W0oxjqKuF9+7GNtrglRkDy8tpVrXlGuheX6WK6ZIbum7kVsX8119xptmvj+snWZIo69&#10;bNlri2NvSl81vqv4nWxZU8S5li1/qmv0KeOYzdZlbWvNqU05PsaijZYt8zatjo0ijtm4pmafFd9l&#10;tB9rrkGdUQgnIiIifefYYHk0asAsak6DdKpLOog9FkcUtZ3yU43travpCG1xn9ROfO7tOKjdH2t1&#10;2FubO+AR+ytb3tbNLYjrZdBvaM5gyxYLOWLQMtuWS7UY9LyW2sGtOP+z5W5NtP2y7TsnW1YLSww6&#10;9tqunHvNLGJfZcvtwdz7Y899gNvUToD1fC2NNlq2zrfp9Xuce1yO9fxHTrXbeM0+ytx1v0b7K/ZT&#10;ti6X6O3aHedrtp6X2kq/du53dq6fGsftUHzO0LC4L8T1fqgUwQzFZw6Vgr/wa//hT6brOcUv/8qf&#10;eU9xTyhFP0X0z8bi2C2y5TLPofL1r+PCzZB9f8X4ux4bHxvFn/rhy19bmfmRH/meZ+Mgp5RC1jA8&#10;5sfnQzlPxufS+Fwbnofj8zQ7l6eKdc62c47Yruwz7rIW+zeOk2zZS4ljK1uPqa59PMQ5M/c6X7vu&#10;tW2SodiO7DOWNKf4vrW4zmfr1lpcd7PPv0QcX1O/n1bn19C4TxefEfed2IfZv9+gJ8c2RrweVURE&#10;RKT73EsaM4uZ0yCd41zHKv57q0GKJdR0cHqeQKlRM1ixxX0SHaRsWy4V+ytb7lbNLagotjoBHmJw&#10;ONum28Q1LlvW1s3ZF6HH/RGTAdm63maL17KaQayw5cH7bHumuMYA6xLmtmmyZbUw59w7p9drbk17&#10;sui5vZyt7zlbvT/WXkujXZkttwdztq3n77HFBEds397OveLax2K2Tudc43irnZTrqQ1Re9+NfmC2&#10;3N5EgUy2/uf01r6Ptne2nlP0tk1xPl3iP/8vPp9uzxQf/diH3/5Xx/NvuNw4H6+hfP5/+Q/+Urqu&#10;U6zRJ6sd8wmxvdmyt6jF/ii2OI6wtLi3Z/tqimu0D7a63kO1x3ZNIWKLe1wR45PZZyxpblujtbWK&#10;QWsKGOfMi8R2ZcuqUe7H0eddYizqSp4ebgrh7j2bXRYRERHZQo6NmDdHjZpFrdERv2QCsOdJ9toO&#10;TjS2s+VuWU2n5Nqd/TlqJz63uM23qe2Ubnl/zB0s2nIh0Sk1gyG9DY7PKe7bYmHnnos4bhPHW7Y9&#10;U0RbIFv21sw9b7NltTC3sPac7LOurcWTD3o+DudOCK01gN9S7TWl5/vH3G2L+0u2vGtrcd6Fnttx&#10;NZM51z4W5143rtGOnLuuoaf2U+3k31b6cXPbvL1tX4vJ4K18Z2OtCiV667+06Jesce1uceztaQyk&#10;xf4otnpOLqVlUdHax1yrgpprniu1/fE4nufOe7S4Hg5d43rfw9PF4jjM1q21mu9r7nEyd/zqlJ/7&#10;hRf2Vgj31SOFcCIiIrLJxFPivjVq4Cxq6YKtSwYOep4YCjUdnK38FfUUtZ3WrQ2Mteik76kwsrao&#10;Jmx1f8w9Fnq/xs1RMzDR28T5nEHALQ5k1w7kb/V+FtebbHumUBCXL69W6wHOosfvq8WTJXouSo1r&#10;YrbO52z1KRlztzf0fv+Y0+/p9dhsNYG91kTTHLXX0WjbZstdw9wJqWu0I2smz3rqB7QoRN9CP66m&#10;v9rT9rXod4ctFibFOmfbMlWP99yaNkSI31/62t3i2NvTk9BajAkO7aVv2UKrcz2sfb63+sOLa7YT&#10;WrQLYhnZsi/RsqAsvv+17+Etj98a0efJ1q+1mr7VnHtCXHt7KDrszNOjrx8Oh/s3U8kiIiIi281r&#10;o4bOopYepLhk4KDHQaqhmOTJ1vsSvW/bXDWd5i0OjNV2wAwGvlfPk/rnzD0WtloEeErNBGxv3//c&#10;bVl6IqK12sKArV7HWhTE9VbEOdfcCf2ljvVWkwhjPX5fLQpzei5KnXtsbbWdXFMcE3q+f8w5L3sq&#10;+BmLYyxb56l6bcfVFttes1Bmbn/yGu3Imr5vT9e5FhPfW+jH1RTz9LR9LfrdYYtt+FYFzaG363eL&#10;83Dpa3eL/tPexkJbtSdCtLWyz7iL4pqb7aO51jzf93CdanE9CnPvna3HA2J7ss9ZSqv7dK3om2br&#10;t4S5x8zce0KrPw7YiceHw+HBzfSxiIiIyA5ybODs6ilxlzSWrzkYf05tB2cLg8ZT1U6+9DYoeU7t&#10;IMHeBgOzbZxiywWCse7ZNp2zt+vA3P0QeivqmFsQt7W/7K4dsO254OE2LV7DEvsuW/bWzC3o3VpB&#10;XI/X2xYTJj2fgzUFYltrE4aae2Do+f4xp43fczu39rsqem3H1V5brtkmn3sPuMa1sPZ+1cs5P7fN&#10;O7SF9mDN5Glv29eiCGeLYxEtiwx6u363aP8uXfTRav9vsY13Su0fQwztbXywRpyf2T6aa812Tcvr&#10;1LXGyFr1x+OYnnO+txirGVt77KZVX6PWWm3NmuN+7rjSUuNGGxKFcA9vZo1FRERE9pWHSeNnMUsP&#10;+l3yCOmYpM1+txc1HZw9DnbUdvy3VhxUWwAY9lJQEWoHA7d8Tsx9JP7ergM118TeJprmbkvPhdyZ&#10;ucdusfZf27bS4i9Kt/ZdnxLXoWz7zpk7cHlOi3trpsfJ+pggyNZ1ijX/8nuqmj8c2FqbMNQOyve8&#10;zXMLrHot8qu99xW9tuNq+2TX3K6594BrrHPt/aqXc77FpO0W+jQ1bb/etq9VEc4WC5NavSatt/ZT&#10;iz+SCEu1z4s4F7LPnWKLbbxTWhdk7KlYsEYcI9n+mWvta3jtH08X17r3tOyPRxsj+4xzWl3ri7X3&#10;ZS9PMFtzDGTOeVt7L27VHtqYp4fD4fWje89mi0VERET2mGOj5/GoEbSoJTvjlw7U9zwgUDtotZfJ&#10;9KGaTmvvBZBjLQYt5w4O9KjFoM9WBwBrJh73NOhZM6HW26TE3MHtrQ3w1xYF9Pa9XarFAOVeJnOy&#10;bbvEUhNurQpVxnosiKstWgm9TdIP1bQLtnhtqW0X9twmnHus9nqdbHHuFXE/yT7j2mqLFq7VPq05&#10;j5a6L51Se873cl9qVdDRe5+mtu3X0/a1+s622JaN8ybbljl6+k5b3ZeWHmNsUXzQY5t8rtb9lr30&#10;L2vFfsj2T40122stC8qirZF9xpJajHUPzbnWti42DWvPwbQu6ptrzT9QmnqPqD2+49jKlrtTCuFE&#10;RETkTuV+0iBazNIDFZd0DnovGLpLBWCXqCmICb0PpA/tfSJ7qhYDFmsPULQ091qwp6LImmOgt3Nh&#10;7rZs7fusHcTf6n2sxeTFHiYsagYQl7pftx6AL3q932brOtXaRSCXqp203lKbMNQWW/ReBDinndPz&#10;pHeLSf3Q632/9g9VrnWPq3lN1trFibXnfC/3pVYFHb23i2q/r576qa2KLbZYmNSy0KS3Y7ZmbLFY&#10;+p7U4o8g9zQG1rLAPuxxjHiOJQri4tqRfdYSWr7y8xrtzNbH9ZxtaL0OIa49a/YvW96vaqx5r4/v&#10;7ZI+VnwXre7BS40fdeTp0ZsHhXAiIiJy13JsBD0aNIoWt+RfklxScND7YEltEdDWJvvOqR1Qj/2Z&#10;LbdXLQYt93IMtOiEbq2YaGjutWBPA8K1Az49FXXM/T63NrFUe83e6vHbYvJ3zUH1pdQM1m+tIC70&#10;dI0p4hzK1nWKNf/qe4ragrjeiyvGaiduer+eRhstW+9zejzvQqtJql6/t9o+6rXaMzXn0drXjNpz&#10;PvTQD2x13+29XRT7OlvvS/W0fa2+sy2241u2E3vrt9W2m8LS3+nctsDYnsZBW7Tlh/a0b+ZqVag9&#10;tPb1rsVYcbjWdbrV+hdzjuvW6xDWHHNu0U5sZe3rSrTJswLqKJaLPkrr8YsW989OPT4cDg9uZoRF&#10;RERE7l7uJQ2kxUQDNmtstnDpYFZPf407VjuwuuUCoMzeJwPHWgwIbq0I8JQWg9Nb+/6Hara/52vc&#10;FLUDlz0VdcydKN/aMVz719dbPWdrtzvsoSCu5mkpSw2q1hTpndNj4ViLp1T1eg/ZakFOjbgmZtty&#10;qV6LG8Pc+2Kvx2fLSapoA2afcU217fJr3t/nToBe475ce873UPjb6r7b+zW79pxfclxsqpbXr60V&#10;37QuMIjlZZ9zDXPvs2NLfqe1bbuih2tfKy2emje0p30zV4uxxcya53urcyVcoy3dcv3DnDZa7fji&#10;KWve91oVEde65txT7O8i++8tPPpHr7z9oQ99e7rtG6UQTkREROSdfDVpLC1mycmZSwaR9/gKoaE1&#10;O2NrqN0fvU6cZVoMWm61oGSs1eB0T4PSU9Rs/xYn/TO1A5c9Df7WnNvZ8nrVojAsW27vWmz3HoqZ&#10;a87Zpdoure4lmR6LVlr8NXOvE2e1baQtto9qCxx7ngSde73o+Y9/Wj15osdtbHEtvVYfde4k7DXa&#10;07XnfA/HTqv77hau2dl6X6qn7WvZVur5vnNKy6cG9TT21KoIaMnvtNU67mX8I7QqZCz2tG/mqn3F&#10;9Slrvlq91bkSrtFWaLn+Yc49dKlxgTXPsdb7scbe5p5CnNMtxlM68uRwOLx2M/UrIiIiIpF4Sty3&#10;Ro2mxSxZkBYdu+wzx3puuNf+5dQWByFvU7s/ep44G2vVud1LxzQGObLtm2JLBZFjl17PxmK/xWBP&#10;tswtqR24nPNXo0uJ63K2jpfY0vlcs53FFo/dFhMXW7pXnVJzD0v/WOL/+M+evu9nM2Sf10KP7a0W&#10;f33f67HY4jyLYzRbdq9qnxLS83Vl7qRUz0UyLc6/0Os21rbLr9Umn3vtuMb3UHsM9XLs1B4rRe9t&#10;4Nrt7Okpnq2KwrZYfNPq2h16uu+2Kv5Y8juNczz7zKl6ufa1sETByx7Ghmq0OhfG1hxvarkN1zhf&#10;lvgO5vTF546xnrNmH7NlEXeNPYxfFXEvirZAq/ZrB54eDofXY7732ayviIiIiLwnryUNqMUs1Vm4&#10;9BHY0dDNfr8HtR3FPQ0GhdoBodgfWxkAajVIsJeiyBavfuupKGqqS69nmS0XAha150NPEzI1hWJr&#10;/uVxrbtaENdiYHWLE4hjNffraz89eI4eB4FbFI31eiy2mCDc2sD9XopjTpk7odNrkUyrdnzocRtr&#10;CzSv1SavuXZky1tSi2t4D+2oFn24sNSYUSt7eopnq6KwLY5F1fS5x3rb/haFE0tuU8v7Zk8FpjVa&#10;7pPiGmND0Y6Je1q0HeJaGcdRHI/Rz1j72rfEPg1r95ni87L1mOMaY0ytC7nmXJtq/+j2lNi27POW&#10;0LKIu1avfbJLxbVBIZyIiIjIHcyx4fRk1JBazFJPibu0o9vbQNVYbUdxD8UwRYvBiy0ViPU+aLmm&#10;Fh39Le+LmmN/D8U1ted+T999zUTLlq5fLQritjiZoSDuRq8FcbVFHKf0+J21KBrr9b655207pUVx&#10;TLbcXsy9dl6rsOoSrSb7og2cLf+aatvl17pm1rQn157oa3Gd6+EPKVrdd3s+10PtdvbUjmhxvym2&#10;NkHeYrxpqKftb1U4seQ2tbpvbqnPfE6rouJizT8IifMprm3R5s7WZWjNoudL1meqtfsVLYt3r/FH&#10;Qi3GTMbmHEOtrjlja83DtL5n1bjGcdRC7MO9FcIdff1wONy/meEVERERkXN5OGpQLWqpzu+lA5M9&#10;F43VdnT3MLE+VDvYvFQB5hJaDRJs/S+1QquB+ejsZsvfgprB0D0cA7UDFL189zXX9N4nA4cUxM0X&#10;97ls2VtSc5wv+b23mgwci8H07POuqUUxRciWfW1xjGTrOtWW7o17KY45ZW47b+0JyClaXW963Mba&#10;4/Ga2zR38nPt86fFda6HopBW50HvYxq17b+ezvNW7YfQ8zjbKbV9zqGeCrNafa9LblOrAto9jYG2&#10;7rusda0pxXDZOpwSx2i2rNZaFxkWa/YrWhZCXeP+0/I+U8wZQ6mdbzllzX26RHHhXFvqW8c5FN//&#10;UkWRV/L4cDg8uJnWFREREZGLc2xIrfaUuKUmEi/t3PQ8+dyio7uHYpiiRWHUVvZHqyKwPfyFbKsB&#10;k54ng8+pKTDawzFQO3DZy3dfcyxvaXC/5ngttni+Koi70WtB3BKD76HHYvto62TrOlWPbaZWk0Bb&#10;uje2+D573t6ac7PXdn3LycretrHFtl2r6H3ufXrt86fFPu6h3diqP9tj4flQi6KVXs7zlteuLf0x&#10;T9GqKCv01Hdr9b3GNTRbfgt7LiSfa4m+yxrXmjnX/rW+t5bn+NDa7YSWhTxr339a3meGpm7HUusR&#10;1rr/LbkNUy15f2gpxhmXKoy9kiiE++zNbK6IiIiIzMmDpJG1mOjoZw3VGlM6Br1NNAzVTrBvacLv&#10;nBadvRhoy5bdm1aDX3v4C9lWnfwtDsoXNfugx2KNqWoHLnu5Dtac11v6HmN/Z9swxV0tiNvDNbvX&#10;grilBox7LGJsta29nocxaZat7xRbmjBt8X32fG2p2b6e+zmtJit73Mbac/Ba2zT3/nSNPkTtPu7h&#10;GteqP9v79XpO8cfYEuNhc7W6dm3xjzxaPpGrt+O29poSltymVteLsMV+5CktvrehNe6/c68hcY/O&#10;ltdS66fuFWsXA7XcjmuMkS9RkDTnO2gxfpOJ83ateabo42XrsLY1t3mOHRbCfetwOLx+dO/ZLK6I&#10;iIiIzM+xcbX5p8Rd2jHoeTKldmBoyUGra6gdoN3K/mg1mb2X7z/btqm2XmhSc+z3PDBxidoBv16+&#10;+5rr+ZbO5binZtswRU8Tg5dSEHej14K4sMSgd6/fWYsJ7TUmpuZoNZi9pXtj3AOybbhU7/eQucfr&#10;Un3IFlpNVvb43dX+ocK1rptz+1drT3SHFk+xufY1rlV/NvR8vW5RyNPTH27F+Zmt41RbHIdoWZQV&#10;empHtbimhDivs+XXinM8+7w5tvyHkGOtzsdi6ULVmuv+Gvfa1ud4sXYBcMvz5RrX6haF5GOxHVOv&#10;Ty3349ha16EWr9lv5Rrt5XNi/ywxBnRFTw8K4URERESaZ9WnxC0xWHTppOxeJ4mKngeQp2oxudTr&#10;BO9Yi8nssIe/kG0x+b3FQfmhmmO/56LfS9QOmPXy3ce5mK3fpZaagGjtrhbEtbg/9TiIOFXN9790&#10;Qdyl7cIp4nvPPuvaWkx89nrvaDWovZX2YGjRDuq5P1Bz/ex1u/ZcDFR7v7tmu2xO/+oaBXwt2hTX&#10;7gO2PAd67s+2KLDoqbi+ZaHC0u261loes6Gndn2r73WpPlrLfd/T+VSrRb96bMkxhZrxjjXaBrXj&#10;Madco13Tarw4rN3ObH2tLeb0XVvux6E1j4mltmGq2OZe+ixxjEVbOtYpW9cNikK4rx4phBMRERFZ&#10;IscG16afEjelk9XzpFjtgPgeJtiLFgPOW9kfLSZCwlp/mbakVvui58mUc2oGjbY+KNzivM+Wu7ba&#10;v97cyqRSi4H7LRWqFC2uUwrilj/GWw8Y91q82eJ47LX90KpNsKXzLdY124Ypei1wDDXFqj1vV6vr&#10;TW/b2KJddq0JsznXjyXGKc5psY97OG72eg4MtZjYv0YxxSktjr2i5+/tlJbtxD1+r0u2DVvu+zgv&#10;s8/YmhbXl7El+9m1BWdLtw2W2J/F2u2aVv2hcI1rdcvzvZhzza3pg5yzVl96yW2Y6trjB3GOx7mx&#10;o0K48PhwODy4makVERERkaWy6lPilphUvHQCqeeCkehYZ+t8qZ4G4lqo7TjH/tjCAFkMSmTrP9Ue&#10;vv9W+2KLg/JDNcf+lgeFWwxc9lBMVlsQt5WCzhbn6xYL4mLwL9uWKfZQEFczILvEeRrXjyLaU3/v&#10;738h/ey5/u7v/eqzbQ5x7J8Tx8kpMXh7Thwjp0RbtvjUn/uhdH2n+MlPfP97Pjtb57Fsm4fKvjol&#10;+gK3ievg3/47v5yu71Qf/diH02OmR7H/s22YIr6fbNk9qLnPR9soW2YPWnxvobd+am3fNMT1IFv2&#10;0uI6kq3Pba7Rl2rR9u3huGn1msY4l7Ll96LFxOvaxRSntDj2it6uXZdodd0uevleQ4vjdMnvtNX1&#10;Imz5DyHHWhcORZ8h+5wW5txjh9Zoq7Y4DzJrt2tq9/XQNdo5ra+1RfQns8+7zRLFeWHN/brUNkx1&#10;jWMpRNslvvte9kMjCuFERERE1syxAfb1UYNsMfE6oKxhWyMaxNlnZXoarBqrbdTP6RT2qkXH+VqT&#10;MFPU/nXlUHQOs8/Yilb7YouD8kM1x/7WrwG1A5c9nPO1E8hbuG6FWM9s/afYyrYOtdjuJScolhT3&#10;mKKm4Oy3fvtnnl3niqzYKybLQrQZi2gjhbhOFNny4VLDY6kox9nQ8DgsyjFalGN3bHh8F8Pjf1ho&#10;+B89/Ol0Paf4zC/df1Z0GuJ+NDQ8h7NzfA2xj7P1vkRsQ7bMa4v9ma3vVLFvrvndjLXYrjjes2Uv&#10;be66X2P/15wTIX4/W+6a4lqWrdtUcc3Mlt+LuNZn6z1FT3212mOv6OEYnGrK+OEleurTtDhOl/xO&#10;W10vQs9/BDBV3C+zbZxrye+wdtxujWt9i/Mgs/YxF+2SVtfqsHZbuvaPRU+J7zf7vNu0vu4PrXUP&#10;WHIbplr7XIjrTvTBs3XZqCeHw+HhzaysiIiIiKyZVZ8S1/rpIFMGvXseNKmdaO99EHmKFn8JN6eT&#10;vLYWk03F1ouhWu2LLQ7KD9Uc+1u/BtQOcPRwfa89jrcysN+iMKynyaNLtbg3xURQtuwp4jgrYmC7&#10;FMDEQGGsY4h7Qoj9HOLYKkU4MekS14sQ98pQCn2iACiuo0W2DXfJsY2c/hz2Znjej4sCQ7lGhHLd&#10;KMr1JJTCv1CuOXH9CbGc7LMv8fp/+tK7173sunhNNds11Ftbvna74ljKlruGOE6zdTol/n22nKXF&#10;+ZOtzxTZctfUom0Urnm8XCKuZdl6T9FTO7/FsVf0WrB8StxHsu2Y61rXj0wcY9k6ThV9imz5tVpd&#10;L0Lv14wpWu6XYqnzsrbIaY3vrcX1OhPt3OzzltSyWPIa4y+t2shjU4/vuO4vtS5rXouW2oap1trm&#10;uBe1bK904OnhcHj96F5MxoqIiIjIFXJslG36KXGXdhJ7HjRpMTC3tcHIU2JfxHeVbeMUW9gfrTq0&#10;cQ5ky9+SVvti6+fB3P3Q8/XtErUDl9cYoByrvY73sA2XaDFof1cL4n75V/7MySK1EMdAKTKJ9lKI&#10;a0Kc3y3uiwDXcuxypj+vUa6NcZ0syrWzXEvjujpUrrfl+lsK9opyjS6FxXHtDzEpU8SEcLQ3w199&#10;7WfTdZuqt7Z8rE+2nlNcq00+dcL+WsWItW3fENuaLXstcT5k6zVHtKOzz+hBizZgXH+yZV9Di2Ov&#10;6K2Y9xKt29S9jD+0GFMMS/XTWq1f0fM1Y4rW+yX0/B0ufb60uF5n4rqRfd6SWm7LEnMx57S81wzN&#10;aTNHGz9bVgtr3Qfjc7LPv4alrjEh2rZLHTtXohBOREREpKNs+ilxUzqJPQ/Y1U48bHEw8pQWkzBL&#10;dtBaadXJu8bgTGut9sUWvvfb1OyHmJTKlrkFtQNUvZwDNRMsMZGfLbM3LQZm4/vOlr2kGMAvBQzR&#10;DgmxLSHunyGuHyHOwxD3ohCTmH/+Zz+ebgvQ3rFvkv4c9urDH/6Od+9B5Z4U96dThXhLFwK0aJdf&#10;s00e+yraVdl6FTE5fM3+c4v21DX3cWhZyNF6jKilFoV/PfXXWxx7xTXa9LVaP3Hm2ufh0Lnr3iWW&#10;LN6s6SuPXfP63VqL721oqe+wxTV/6fOl5X1pbOm211jrbVm6GHFsqe9izv10yeNirWLD2IbW14q5&#10;lmjTxPZF/6PlfeLKnh69eTgc7j+beRURERGRPnJspD0ZNNoW1bpzHo3mSxvMMfiVLaMHtQOTPf3V&#10;ca0Wg7TX+Au4qVoORq89uNFaq7/Ym/PXgj2JyaBsuy6xxQmJosW5EPeCbNlrqhm8WWJQaQktJgWz&#10;YzW+vzAsWIvPimMjDAvW4veHRWtx/ytPA4prf4jBwtinOxpQY2HH5nD6c4Delftd3PtC3AfLfTHu&#10;kaEUeZf7Z9xLQ7m3Dgvx/vbf+eX0c6booW8a7YjYxrLtIf7/aGNcu90Yn5/ttyliW7Jlr6nV5GzP&#10;xS0tvqvQS3+91faELY5BxfUv25a5ehp3imtcto5TLNknjX2VfeYcsa3ZZ2xR62Nyye8w+7wp1vje&#10;lur/R5si+7wltTini6WLETNLFXDNaTNEmylbVgtr3d9ju7PPv4ZW7bZok8Q1cKnz9koeHw6HB88m&#10;XEVERESkuzxMGnCLad1ZmNJJ7LlwqKazGJ2Haw/st7K3QedTWg5G9zyJcIlWxYFLDv6tZe51YIsT&#10;EkWLc+EaA5RjtYP8PV/DY93CP/3nv52u+xTf9yc/8uw4D3HO7mzwCwAmO/bH059v1Qc/+O1v/+rn&#10;fvxZPz1cUogXbbkiitaiLxdKGyRrn2xZbfunh7Z/FF1m6zbVNSbqp2gxqd9DX6VoVZi0xb53q3GH&#10;oV7GnVoVSyy1PS0Lv/Yw7lMscUzGPTT7rFq19601vrdW96Wxa9ynWp3T4RpthtbFnkXck7PPO6fF&#10;vTyzRqFniLbwUtswVe25HNsS175etqcRhXAiIiIiW8ix4fatUUNuMa07C1MGENbqqMxR+xdLWy+K&#10;GorvKdvGKXofWA+tOn89H9eXiM5wtl1zbH3CbO6g0dYHhWvPhR7O99rB1zkD13G8FzF5EcsoYuIt&#10;7o8h7g+xj0Lca8rEdFw7YnA0xPrHBFmI7yPEcVU78A3A8o7dufTnsDelbVLaKtFuiTZMKG2aEG2c&#10;EO2dSwrxou20ZhFebX+3h7Z/q8nu+G6y5feiRYFFD32VotX3Fub0X66tdd+ml+82rlnZ+k21VPFm&#10;y+Ke0EshYgtbOSZbFNNmy22p5fVtKNoV2ectqdU5XSzdrhlrvf5Dc87/KXNHU611PaqdN2pp7hxU&#10;3GNaFeZ3IgrhPvtsclVERERENpHXkkbdYlp3Fi4tpuhh4PiU2s7iNTroS2kxWBYdrGzZPWk1WNPz&#10;cX2pS8/hc5YawF1LzXVgy9teey5cayItvq/iL7780+m6XeqXP/ujz/bDuEhtXKgW53uRLQcA4NoO&#10;OyrSjDbXsAAvDAvwsuK7cKr4LvzWb/9M+llTRPsza5+upabfMtRTsVimRZ+9p7GalkUBvX93mdpi&#10;1LGexp1aFNoudV1pdb0o5hZj9Kj1MbnU9aZFcfDSRbRLFT1d6zxvsc+La5wzrY/tIpabfd45Lffn&#10;0Fr3wtbX0RpTz4lo+8a1KVvWRj059nVefzajKiIiIiLbyrExt9mnxE0ZpOx54KSmsxiDV9kytyg6&#10;eS2KPXr/q9E4FrP1nmPrfyHbaqBki4PyY3OLA69VFNZC7bnwF37tJ54NfsZyQhwHQ7Fv4j5RxPFW&#10;lMnMGBwrymRnKBOgcU0qsnUAAIC1/MWXf+o9xXehtIWHBXjl6cHRXwwtC17m9luGYn2zZfeiRYFF&#10;7Kds2dfQckK9p0K/S8Xxlm1LjV7GYmrG0eL34ljPlttKy3509OOzz9ii1kVcsZ+zz6nVojg47lPZ&#10;sltZqmBoqX16Tsvr1TWu10tcb0N8H3PaMnGtzpZXa83jI9p82TpcwyUFrvE9xbWj5fX/yp4ebgrh&#10;7j2bTBURERGRTWazT4mLgd7sMzJR7JAtowdTtiPT+2DyFC0GW3rfHy0Ha5YeWFpaq079Fgflx+YO&#10;GmXbHsfYUJkIKxNjRZkwi8HYItajKJNsoUy8hVJgFqYUmY0LzT76sQ+n27Qlx3to+nP2wfdL7247&#10;Rh2/AJwSbfFQ2ualrV7a8KVdH0pbv7T/f+HTL6TLnGLpIpxaLfrsa06WXyK+52w9p+ptuy7R4vsc&#10;62ksJrYvztFsPU+J83yNor74nOzz59jisXeb2J5sO+da4vtsMWYXy8iW3VKr69vYGufIWOvr1TW2&#10;YanvY+51d+r18VIxnpp9XmtL3MPmin2ZrWOI9Yx2Yutr2xUphBMRERHZU44NvM0+JW5KJ+sancBL&#10;1XQWW+/Ta4oinWwbp1hjsKVWq8GBLWzrbVp832GpgdHozBdx/SjOFZVdUlhWJpSK3/jNT6bbds5z&#10;zz33bPt3NOAAALD7os69bx/L2ONxU/oy0UcOp4rzYtyjKH2o0rcKpb817IeVvlnpsxWlLzfs45V+&#10;X+kLtuizx3KH/ctriv2VreMcPW3XpVqNwRRxTGafc01x/MY5EOfNeHvjHIufx7kSx372+0toedyF&#10;LR57p8S1LNvGueK7zz6nRlw/s8+aYo1zpfVxVsT2Z5+3tJbXqyWOi3OW+j6ibZB93jlxbWx9Dwhr&#10;zscstU/nGF+Hy71nR+PST4/ePLa57x+JiIiIyI6y2afETekQXKMTeKkYrM3W+RLR4ciWuVXRwc22&#10;81JxTGTL7Umrga8eB2FvUyYZQlwHQrZdc/zVv/azz777MklSJk7KREookytFDIiEMglTZMsHAACA&#10;S33ml+4/66OGS4v3xgV8pXjvXAHfOS0KW4pY3+wzehb7O9uWubYyDjf1OGmt5XEXtnjsndJ63ywx&#10;PhjHTvZZU6xxrrTel0Vcr7PPW1rL61WMhWafsaQWx80pcf/LPvOcpY6Ruesz1ZL7dKphIWC0U2rn&#10;cTrz+HA4PLiZLhURERGRveXescG3yafETekQ9D5gVfPXSnsaFIrOVLaNl2p5fC0lvq9s3acqx3Sc&#10;B8VwkHw4eF4G1GMQoIj1CGVAPpRB+jJwPywyC+cKzbIis2zdAdi2Y/vRE44AeJd7Alxf6YOXfnmI&#10;fvpP/fT3p/9+jp/7hRfeHUsoYwtlvKFoUcTXUnxuti01Yruzz+Lfab3fr1WgtJQ4P7PtnCPO++wz&#10;arT4/pZYr7Elzu+wRJHhJVpvT1x/s89ZUuy7bF1qxbh19nmXiPHrbJk1atZnqhiTz9ZhbXFOx31+&#10;qe/4ShTCiYiIiNyRfDVpDC4iGs4tO2NTGuDRYM+W0YOaIqktFIFNEUVY2XZeovW+iIGIUAZxzxWZ&#10;hXOFZvE0s2zdgcsd71vpz2mvdl/fte/KsQltOacAYJ9ifDCMC/hC+QO8GPMryh/qhRhbKeMsRYy9&#10;lPGYUMZoYtwmlpmtw1x7G4dbSsuiiVhW9hlbVTP2mVmi8KlF0d4aBVmtz++wRjHfKS2LJdcs2ipi&#10;zDxbl1o138kShZNrHiNLFX7O8eHv/I705xsUhXCfPRIRERGRO5JVnxIXA1VZ436OGOTKPiPT84BV&#10;dGzmdniv2Ulfyty/3PrFT//p9xShxQBTEd9/GUgtg6tlsDXE/o99WWTLp0/Ha1j6cwAAAJajL8Zd&#10;9MEPfvu740univSGBXqlMK8YPkGv/CFmNja2dVPGbM/Z29hn6wKX2NfZ59SI4zr7rCnieM+W3VKc&#10;b9ln17rWeRnXjmx95oix7uwzltayqG+opsCy5X4tljjvTmlxPvLMk2Pb9fWYEBURERGRu5dVnxKX&#10;NeznmFJI1vvgydwOfBRzZctrqQzQlQG74VPSTj0ZLbZnbkHaRz/24XRbAQAAAGCPyrhYjJGFGC8r&#10;Y2hZEd6wEK+Mx5XxuXOFeNn4X0vxGdk2ztH7mO4c8Z1m2zpHfP/ZZ9SYO049FMdgtuyWWh5nQ2sU&#10;82Vab09NEdlccf3J1qVWXPeyz7tUXE+z5c4V1+jsc5aw1HF+hzw93BTC3Xs2EyoiIiIidzLxlLis&#10;sbiIGKDJGvdzxOBP9hmZ6JBly+hBdGymdsyicOzv/f0vzCpSu61AbVicln0uAJ6IAQAAwLZlBXhZ&#10;8d2w8K6MNw6L7rKCu/jd7DPnKMvci9h/2XbOEd9V9hk1WhTgtBz/v00cu9nn11hr3TMtt+da27HE&#10;d1JbGBvXqGy5NdYsnGx5Pb1DFMKJiIiIyHuyyafExUBL9hmZ6Dhky2gpBgzCnCK13/jNT7798eeX&#10;eaw4AADANRz7munPAQAu8egfvfJu0d1eiuNaFQ3FmHK2/Fq1fygdY97ZcluL7c8+v8YacwinxHxB&#10;tk5zLFEseYmWBZ9DtQVorYvK1ty/LYpU75CnR28e+6D3n816ioiIiIi8k1WfEhcdo6xxP8elAwjx&#10;RLVzxWqlUC2UQrUQHabo5Hia2rqOx2X6c4Ctc30DAIB90taH9cTYbJjyhLtzT7dbQ6xPtj1TxHh0&#10;bZHQKbEvs8+8VOz3bLmtLVEoFNuefdYaWm5PHB9rHtNFfGargs+h2mNqiWMlrhvZZy2hdUHfTj0+&#10;tsEeHImIiIiIvD/HBuObowbkYr7ruz74bABiXIQ2VgYshkqRWoiOwKf+3A+lnwEAAADQq4PCKYAu&#10;RTHRsNCuFNvdVmgXSqFdOFdoV1t0Fp+bLbeF2K7sMy+15tOzWhdfxXeffc5aWhY+xTGZfcbS4nOz&#10;9anR4ntpvV7xXWWfs4QlCvp2RCGciIiIiFyUVZ8SBwAAAAA9OShUBBZUiu3CD/3Qd7/94Q9/R/rv&#10;TokivT/4w19f9Ol28RS97LMvteZT1qI4MVuHGq335xQtC5/WLNgai+M0W6caLZ7I1rqAssU6XWqJ&#10;Y33jnhzbbA+fzWyKiIiIiFySYyPy0ahRuQnHVU9/DgAAAAAAd8Gw4G78hLvylLvhE+6GT7mLQrjw&#10;6B+98vb3/8B3p8u/RCwzK+hZQhQkZetQI4oNs89aS3xP2XpNdc2n3cU+zNapRounIsbTG7Nlz7Xm&#10;0xA9Je5dTw+Hw+tH92JOU0RERERkSuIpcU9HDUyA1RyvQ5N+DgAAAHAbYwqwjg984Lm3f+zHvzct&#10;xisFeUVWmDd8BW0p0hu+ijYKrYZPxwsf//jH0nWZKz43K0haS8uirTWfYDbWqrCvaFV81nq91iyg&#10;jPMkW4c7QiGciIiIiDTJ60ljcxHHz0p/DgAAAADAttWO/xo/Zm2f+Knvf1/hXjEs4CtKIV9WzFcM&#10;i/qGhX3j4r4QTwJrVeR3zYK41k80a/XEu9brFcWf2ecs4Q4/Je7x8V5w/0hEREREpD7HBua3Rg1O&#10;AIBnjk2F9OewcfGU5HOijXybJxd4fMbXL/Aokf27oeyzMtk6j2XbPpbtv7HsewAAADpy18YA9rK9&#10;H/nIh54Vaw2f1pc9ta8YFgFmxYCXFASOiwJ/7fM/ka7bXH/wh7/+vuLCOX7lV38sXf5cf/vv/PK7&#10;yx4WQg4N90sx3nfFeB8Pv4Of+fM/nK7DTkUh3IMjEREREZGmeS1pfAIAwCWGRU+lQGpYUFWKr4YF&#10;W6Ww683i2Cb96jvitRjFa+94+I7PDsRAaYi/HC7idRqFbCvD725o+P0W5bsfGx4fRTl2xsqxNTY8&#10;/opybL7H8PgdGBYuFsNjPwyLEsPwfAnDYsMwPMdCdh4CAADA1jw59q+jjy4iIiIiskyi0TlqhAIr&#10;OJ5+6f8G9sX5zUJKcUwpminFNFnx2bsFO8fjMYp5hsU+pRCoFAqVQqJhoVEpRBoWKolIPxmem2FY&#10;QBiG53MYFg2Gcv4PDQsFw/sKBAfXlqwAMCv6ywr9susbAADAnXfsd6U/34Gn7/QvjS+JiIiIyOK5&#10;nzRIAQC4TIvitFJ0EoUopUilFK+UopZS7CIistdkRX3jQr5ThXsti/YU6wEAcBXHdmz6c9gBhXAi&#10;IiIisn6ODdGYJMgaqNWOi09/DgBb4V62ScMitbMFasfvWHGaiIicyrhQb1iklxXonSvMywrySjGe&#10;gjwAdul4T0x/DsBpO7p2Pj5uS/SlRERERETWz7FBGoPyWUMVAKCVc4VqpVjgVKFaKToYFqmVQjVF&#10;aiIisscMi/FKQV4p2B4X472nIO+d+2lWiDcswlOAB3fA8ZqQ/jzc9t8AgBvul7NEIVz0X0RERERE&#10;rptj4zQGy7NGKwCwP6U4bVygdkmRWlaoVibnh0VqCtVERES2lWEBXim+K4V3pfju3aK78E4bQeEd&#10;u3E8ri/6GQAAqSfHtlP0G0REREREusrrSeMVAFjOsChtWJg2LEorhWnPitLC8Z49LEobFqYpThMR&#10;EZHec1vhXbRpbiu8K20jhXcAANCPp++04Y09ioiIiEjXicK4GEzOGrUA0LNSYDYsMgul0GxYcJYV&#10;nRXvFp+F473xvz3+3+zzMv/6+O//7tGwKK0UppWiNINDIiIiIsultLdK0d3UwrtSfHeq8E7xHQDA&#10;xh3bf+nPmSQK4aItbaxTRERERDaVGCyOAeIyMPw/Hf0vR//X8f/PGr4A9GFYFFYMi8PCuEAslAm/&#10;YlgsVgyLxsJ7CsdCuW+8ozzBbKhMQBZlYjLEvWdoXFBWlEnOtQdbXjtuY+yH2IfD/R377+vH/x7r&#10;bABIRERE5O4k2n6ljdqq+C6Udnu0NYdtfQAA6MHjY7s22r4iIiIiIrtLGdiNgdwYwI2B22GBAMAl&#10;hkVbQ2UCaKhMDo2VyaOhYRHXUJl0GnpfUVeI61tiXNxVlImuoTIJNjQs9hoqk2dDwwKwoWExWCHX&#10;i/0vIiIiImsk2p2lT1D6DNGXKH2N0g+J/sm7fZh3+jel7xN9omG/KfpTpb8V/bCszwYAwJUc23Pp&#10;z68k2ouPjusU7VARERERkTuZGJwdDsgOB2CHA65Zgxq2ZFjAVZTJhKFh8VYxnIQI48KtUCYtht5T&#10;tBXiHBsZF2uFMjkyVM7ToXGhVlEmXMbKhMzQsFBrSERERERERPpP6cOVPl7p/5X+Yek/DvuXpe/5&#10;bt/0nT7rsD9b+rqlH1z6x8P+c+lbZ31wAACu4Ni2+/tH0S4UEREREZEJGQ+yjgdX3zeoWhwb4uPi&#10;oOFA63jAdTzwmhn/2yVk6zjFeJvfI9tPI2V/njIc0M6U7+Y2ZZB8jjLQPkc5jqYqg/3niIiIiIiI&#10;iMi6if74sA9fxgDKOMJwPKKMXZQxjnfHQ94ZNxmOr5RxmvHYkEI9AICBY1sq2l4iIiIiIiIiIiIi&#10;IiIiIrLzlD+gu61g71TR3m2Fe6eK98YFfIr3AIClPT22UTwwQEREREREREREREREREREusolxXvD&#10;wr3a4r1h4Z7iPQDYrq8f7/siIiIiIiIiIiIiIiIiIiIyI1MK98YFe7cV6516wt64QC8rBACAO+t4&#10;X417r4iIiIiIiIiIiIiIiIiIiGw8p4rzsifqnXuS3vgpetmT8zwxD4DevHm8l4mIiIiIiIiIiIiI&#10;iIiIiIhUZ1yQV4rxsiK8rPhuXHjnSXgATPHkeG+J+5CIiIiIiIiIiIiIiIiIiIjIJqLgDoBMFMPF&#10;vUFERERERERERERERERERERE3sncgrthsV1QbAewnsfHa7JiOBEREREREREREREREREREZEV0/rp&#10;dortgLvu/3nn2ikiIiIiIiIiIiIiIiIiIiIiO0spuCvFduOCu0uK7YYFd4rugF59851rmqfCiYiI&#10;iIiIiIiIiIiIiIiIiMisZE+4m/uUu2HhXRTdKbyDO+54zUh/fvT/Hv3vR//y6L86/ru4/oiIiIiI&#10;iIiIiIiIiIiIiIiIbCJReDcuvrutAO89RXjh224K8cbFeLc9Cc/T8KC9Uuwa4hyLcy7E+VfOyTg/&#10;y/n65jvncJzPcV7H+R7nflwPRERERERERERERERERERERESkIucK84bFeUPDQr1SrDf0buFe8W3f&#10;9m1vDPw3I/905F8k/ueR/7Wx/3sF/98E2e/Xyra7xvg7uUT23Q6Nj4XM+PgZHltvjI698bEZxsfv&#10;8Ngux305F0I5P8r5onhNRERERAY5HP5/8o9Anzr+y+EAAAAASUVORK5CYIJQSwMECgAAAAAAAAAh&#10;AOd+1mD/DwEA/w8BABQAAABkcnMvbWVkaWEvaW1hZ2UyLnN2Zzxzdmcgdmlld0JveD0iMCAwIDYz&#10;MC4zNCAyMTEuMTEiIHhtbG5zPSJodHRwOi8vd3d3LnczLm9yZy8yMDAwL3N2ZyIgeG1sbnM6eGxp&#10;bms9Imh0dHA6Ly93d3cudzMub3JnLzE5OTkveGxpbmsiIGlkPSJMYXllcl8xIiBvdmVyZmxvdz0i&#10;aGlkZGVuIj48ZGVmcz48L2RlZnM+PHBhdGggZD0iTTE4Ni4wMSAxOTYuMjdDMTg2LjAxIDE5Ni4y&#10;NyAxODYuMDEgMTk2LjI3IDE4Ni4wMSAxOTYuMjdMMTg2LjE1IDE5Ni4yN0MxODYuMTUgMTk2LjI3&#10;IDE4Ni40MiAxOTYuMjcgMTg2LjQyIDE5Ni4yN0wxODYuNjEgMTk2LjI3QzE4Ni4wMiAxOTYuMjcg&#10;MTg1LjQzIDE5Ni4yOSAxODQuODUgMTk2LjMgMTg1LjIzIDE5Ni4zIDE4NS42MiAxOTYuMjkgMTg2&#10;IDE5Ni4yOFpNNDYxLjkxIDQuMzZDNDYyLjgyIDQuNCA0NjMuNjQgNC40OCA0NjQuNDIgNC42MSA0&#10;NjUuOSA0Ljg2IDQ2Ny4xNCA1LjEzIDQ2OC4zMyA1LjYxIDQ2OS44OSA2LjI0IDQ3MS4yNyA2Ljg5&#10;IDQ3Mi41NCA3LjYxIDQ3My42NyA4LjI1IDQ3NC43NyA4Ljk1IDQ3NS44NCA5LjYzTDQ3Ni43MyAx&#10;MC4xOUM0NzguMiAxMS4xMSA0NzkuNjcgMTIuMDQgNDgxLjEzIDEyLjk3IDQ4NC4zNyAxNS4wMyA0&#10;ODcuODcgMTcuMjMgNDkxLjUgMTkuMzYgNDkzLjcxIDIwLjY2IDQ5NS45NCAyMS45NCA0OTguMTcg&#10;MjMuMjIgNTAwLjQgMjQuNSA1MDIuNjMgMjUuNzggNTA0Ljg1IDI3LjA4IDUwOC40NCAyOS4xOCA1&#10;MTMuMTggMzEuOTQgNTE4LjA1IDM0LjU2IDUyMi4yMiAzNi44MiA1MjYuMDQgMzguODUgNTI5Ljcy&#10;IDQwLjc1IDUzNC4zNSA0My4xNSA1MzkuMDIgNDUuNjIgNTQzLjUzIDQ4LjAxIDU0Ny42NSA1MC4x&#10;OSA1NTEuNzYgNTIuMzcgNTU1LjkxIDU0LjUzIDU2My41MSA1OC40OCA1NzEuMDkgNjIuNjQgNTc4&#10;LjQyIDY2LjY2TDU4MC4xNSA2Ny42MUM1ODUuNzggNzAuNyA1OTAuMzEgNzMuMjMgNTk0LjQxIDc1&#10;LjU5IDU5NS41MyA3Ni4yMyA1OTYuNjUgNzYuODcgNTk3Ljc3IDc3LjUxIDU5OS44NiA3OC43IDYw&#10;Mi4wMiA3OS45MiA2MDQuMTEgODEuMTYgNjA2LjA4IDgyLjMzIDYwOC40MSA4My43MyA2MTAuNjgg&#10;ODUuMjcgNjEyLjcyIDg2LjY2IDYxNC41MyA4Ny45NCA2MTUuOTMgODkuNTUgNjE4LjUxIDkyLjQ5&#10;IDYyMC4xNSA5NS44MyA2MjEuNzMgOTkuMDdMNjIxLjc5IDk5LjE5QzYyMi4xNSA5OS45MyA2MjIu&#10;NTMgMTAwLjY3IDYyMi45IDEwMS40MSA2MjMuMzcgMTAyLjMzIDYyMy44NCAxMDMuMjYgNjI0LjI4&#10;IDEwNC4xOSA2MjQuNTQgMTA0LjczIDYyNC43OCAxMDUuMzIgNjI1LjA4IDEwNi4wOSA2MjUuMjQg&#10;MTA2LjUxIDYyNS4zMiAxMDYuODUgNjI1LjM1IDEwNy4xNSA2MjUuNDIgMTA3Ljg2IDYyNS40NSAx&#10;MDguNDYgNjI1LjI1IDEwOS4wNyA2MjUuMDQgMTA5Ljc0IDYyNC44MSAxMTAuNCA2MjQuNDEgMTEx&#10;LjA1IDYyNC4xOSAxMTEuNDIgNjIzLjkxIDExMS43NyA2MjMuNjQgMTEyLjExTDYyMy4zOCAxMTIu&#10;NDQgNjIzLjYxIDExMi4xMkM2MjMuMDYgMTEyLjgzIDYyMi40NCAxMTMuNTUgNjIxLjY1IDExNC4y&#10;NCA2MjAuNjEgMTE1LjEzIDYxOS40NSAxMTYgNjE4LjIxIDExNi44MSA2MTUuNTEgMTE4LjU3IDYx&#10;Mi41NyAxMjAuMDUgNjA5Ljc4IDEyMS40MSA2MDguODcgMTIxLjg2IDYwNy45NSAxMjIuMzEgNjA3&#10;LjAzIDEyMi43NSA2MDQuODMgMTIzLjgyIDYwMi41NiAxMjQuOTMgNjAwLjM3IDEyNi4wNiA1OTYu&#10;NjUgMTI3Ljk5IDU5Mi44NiAxMzAuMTggNTg5LjEgMTMyLjU4IDU4NS4zMiAxMzQuOTggNTgxLjYx&#10;IDEzNy41MiA1NzguMDIgMTM5Ljk4TDU3Ni4wOSAxNDEuM0M1NzIuNzYgMTQzLjU4IDU2OS4zMyAx&#10;NDUuODYgNTY2LjAxIDE0OC4wNkw1NjQuNjYgMTQ4Ljk2QzU2Mi45NyAxNTAuMDggNTYxLjMgMTUx&#10;LjIxIDU1OS42MiAxNTIuMzMgNTU3LjQ3IDE1My43NyA1NTUuMzIgMTU1LjIxIDU1My4xNiAxNTYu&#10;NjQgNTQ4LjY0IDE1OS42MyA1NDQuMDEgMTYyLjYxIDUzOS4zOCAxNjUuNTEgNTM0LjUyIDE2OC41&#10;NSA1MjkuNDcgMTcxLjU0IDUyNC41OCAxNzQuNDRMNTIzLjcyIDE3NC45NUM1MjAuNjcgMTc2Ljc2&#10;IDUxNy42IDE3OC42MiA1MTQuNjMgMTgwLjQzIDUxMy4xMiAxODEuMzUgNTExLjYyIDE4Mi4yNiA1&#10;MTAuMSAxODMuMTggNTA2LjI4IDE4NS40OSA1MDIuNDggMTg3LjczIDQ5Ny45NyAxOTAuMzcgNDkz&#10;Ljk0IDE5Mi43MyA0ODkuOTggMTk1LjA0IDQ4NS45NyAxOTcuMjkgNDgzLjQ5IDE5OC42OCA0ODAu&#10;NiAyMDAuMjcgNDc3LjU4IDIwMS42NSA0NzUuNjYgMjAyLjUzIDQ3NC4wNyAyMDMuMjEgNDcyLjU2&#10;IDIwMy43OCA0NzAuOTggMjA0LjM4IDQ2OS4yMSAyMDQuODkgNDY2Ljk5IDIwNS4zOSA0NjMuNTYg&#10;MjA2LjE2IDQ2MC43MiAyMDYuNjcgNDU4LjA0IDIwNy4wMSA0NTUgMjA3LjM5IDQ1MS45NiAyMDcu&#10;NTEgNDQ4LjM0IDIwNy41OCA0NDUuNTEgMjA3LjYzIDQ0Mi42MSAyMDcuNTUgNDQwLjA0IDIwNy40&#10;OSA0MzYuODggMjA3LjQgNDMzLjcxIDIwNy4yOSA0MzAuNTUgMjA3LjE4IDQyOS4xNSAyMDcuMTMg&#10;NDI3Ljc0IDIwNy4wNyA0MjYuMzQgMjA3LjAyIDQyMC42NyAyMDYuNzkgNDE0LjkgMjA2LjUgNDA5&#10;LjMzIDIwNi4yMyA0MDQuMjQgMjA1Ljk4IDM5OC45OCAyMDUuNzIgMzkzLjggMjA1LjVMMzg4LjA1&#10;IDIwNS4yNkMzODMuNTYgMjA1LjA4IDM3OS4wNyAyMDQuODkgMzc0LjU4IDIwNC42OSAzNzEuMzMg&#10;MjA0LjU0IDM2OC4wOCAyMDQuNCAzNjQuODQgMjA0LjI3IDM2MS44NyAyMDQuMTUgMzU4LjkxIDIw&#10;NC4wMyAzNTUuOTQgMjAzLjkzIDM1MC4yNyAyMDMuNzMgMzQ0LjUgMjAzLjU4IDMzOC45MyAyMDMu&#10;NDNMMzM3LjI5IDIwMy4zOUMzMzEuMzggMjAzLjIzIDMyNS4wNyAyMDMuMDcgMzE4LjczIDIwMi45&#10;NiAzMDYuNjQgMjAyLjc0IDI5NC4zMyAyMDIuNzggMjgyLjQzIDIwMi44MkwyNzkuOTMgMjAyLjgy&#10;QzI3Mi44OCAyMDIuODUgMjYzLjU2IDIwMi44NiAyNTQuMDQgMjAyLjcgMjQ1LjU5IDIwMi41NiAy&#10;MzYuODUgMjAyLjQyIDIyOC4xIDIwMi41NyAyMjEuMzkgMjAyLjcxIDIxNC41NyAyMDIuOSAyMDcu&#10;OTcgMjAzLjA5IDIwMy4yMyAyMDMuMjIgMTk4LjQ5IDIwMy4zNiAxOTMuNzQgMjAzLjQ3IDE4Ny4w&#10;MiAyMDMuNjMgMTgwLjMgMjAzLjczIDE3NC42MiAyMDMuOCAxNzIuMDcgMjAzLjgzIDE2OS41MSAy&#10;MDMuODcgMTY2Ljk2IDIwMy45IDE2Mi45NiAyMDMuOTYgMTU4Ljk2IDIwNC4wMSAxNTQuOTcgMjA0&#10;LjA2IDE0Mi45IDIwNC4xOSAxMzAuOTYgMjA0LjIzIDExOS40OCAyMDQuMTYgMTE2LjM4IDIwNC4x&#10;NCAxMTMuMjggMjA0LjEyIDExMC4xNyAyMDQuMSAxMDIuNjcgMjA0LjA0IDk0LjkxIDIwMy45OSA4&#10;Ny4yNyAyMDQuMDIgODMuODUgMjA0LjAzIDgwLjQzIDIwNC4wNyA3Ny4wMiAyMDQuMSA3My4wMiAy&#10;MDQuMTQgNjguODggMjA0LjE4IDY0LjgxIDIwNC4xOUw2MS45NSAyMDQuMTlDNTguMiAyMDQuMTkg&#10;NTQuMzMgMjA0LjE5IDUwLjUyIDIwNC4yNSA0Ni40NiAyMDQuMzUgNDIuMzggMjA0LjY2IDM4LjQy&#10;IDIwNC45NkwzNi40NyAyMDUuMTFDMzUuODcgMjA1LjE1IDM1LjI4IDIwNS4yIDM0LjY4IDIwNS4y&#10;NSAzMi44NCAyMDUuNCAzMC45MyAyMDUuNTUgMjkuMDUgMjA1LjU5TDI4LjU5IDIwNS41OUMyOC4x&#10;IDIwNS42MiAyNy42IDIwNS42NCAyNy4xMSAyMDUuNjEgMjYuODkgMjA1LjYxIDI2LjY2IDIwNS41&#10;OCAyNi40NCAyMDUuNTYgMjUuODEgMjA1LjQ4IDI1LjE5IDIwNS4zNiAyNC41OSAyMDUuMjIgMjQu&#10;MDkgMjA1LjEgMjMuNTcgMjA0Ljg3IDIzLjExIDIwNC42N0wyMi44NCAyMDQuNTVDMjIuMTggMjA0&#10;LjI3IDIxLjY0IDIwMy44OCAyMS4xMSAyMDMuNDlMMjAuODYgMjAzLjMxQzIwLjEzIDIwMi43OSAx&#10;OS42MSAyMDIuMDggMTkuMTYgMjAxLjQ1IDE4LjUzIDIwMC41OCAxOC4xNiAxOTkuNiAxNy44IDE5&#10;OC42NEwxNy42NiAxOTguMjdDMTcuMzcgMTk3LjUgMTcuMTIgMTk2LjcyIDE2LjkyIDE5Ni4wNSAx&#10;Ni4zIDE5NCAxNS43OSAxOTEuOTQgMTUuMzggMTkwLjIgMTQuNzIgMTg3LjQxIDE0LjIgMTg0LjYz&#10;IDEzLjY5IDE4MS43OCAxMy4wOSAxNzguNDggMTIuNTggMTc1LjA1IDEyLjE3IDE3MS41NyAxMS43&#10;IDE2Ny41OSAxMS4yNSAxNjMuNjEgMTAuODIgMTU5LjYzIDEwLjM1IDE1NS4yOCAxMC4wMyAxNTAu&#10;NTcgOS44NSAxNDUuMjUgOS41IDEzNC44MyA5LjM1IDEyNi4zNyA5LjM4IDExOC42MyA5LjQgMTEz&#10;LjkgOS41NSAxMDkuMSA5LjY5IDEwNC40NiA5Ljc2IDEwMi4xNiA5LjgzIDk5Ljg3IDkuODkgOTcu&#10;NTdMOS45MSA5Ni42MkMxMC4xIDg4LjcyIDEwLjMgODAuNTUgMTAuMDQgNzIuNTIgOS40OSA1Ny40&#10;NiA4LjIzIDQyLjc0IDcuMiAzMS42TDYuOTIgMjguNDdDNi42MSAyNS4wNyA2LjMgMjEuNTYgNS45&#10;MSAxOC4xMiA1Ljc1IDE2LjcxIDUuNTYgMTUuMTggNS4zIDEzLjQ2IDUuMTggMTIuNjMgNS4wNSAx&#10;MS44IDQuOTEgMTAuOTdMNC44NCAxMC41NUM0Ljc2IDEwLjA5IDQuNjkgOS42MyA0LjYyIDkuMTcg&#10;NC41OSA4Ljk5IDQuNTggOC44IDQuNTcgOC42MiA0LjI4IDguNTcgMy45NyA4LjUyIDMuNjggOC40&#10;NSAyLjk3IDguMjkgMi4zNSA3LjkxIDIuMDYgNy40NiAxLjgzIDcuMSAxLjgyIDYuNzEgMi4wMyA2&#10;LjM0IDIuNzUgNS4wNyA0Ljk5IDUuMDggNi42MyA1LjA5TDYuOTcgNS4wOUM3LjAzIDUuMDkgNy4w&#10;OCA1LjA5IDcuMTQgNS4wOSA3LjMxIDUuMDIgNy40NyA0Ljk2IDcuNjEgNC45MSA4LjM2IDQuNjgg&#10;OS4xNiA0LjU2IDkuNzUgNC41OSA5Ljg4IDQuNTkgMTAgNC42MSAxMC4xMiA0LjYzTDEwLjQxIDQu&#10;NjhDMTEuMTcgNC44IDExLjYzIDQuODggMTIuMjkgNS4xOUwxMi45MyA1LjIxQzEzLjU3IDUuMjMg&#10;MTQuMjEgNS4yNSAxNC44NSA1LjI2IDIwLjY3IDUuNCAyNi41OSA1LjQxIDMyLjMxIDUuNDMgMzQu&#10;NTQgNS40MyAzNi43NiA1LjQzIDM4Ljk4IDUuNDMgNDMuMDggNS40MyA0Ny4zMiA1LjQzIDUxLjQ5&#10;IDUuNDhMNTIuMDMgNS40OEM1Ny45OSA1LjU0IDY0LjE0IDUuNiA3MC4yIDUuNTcgNzYuMzUgNS41&#10;NCA4Mi40OSA1LjQ5IDg4LjY0IDUuNDUgOTQuNzkgNS40IDEwMC45MyA1LjM2IDEwNy4wOCA1LjMz&#10;IDExMS4yMSA1LjMxIDExNS4zNCA1LjI2IDExOS40NiA1LjIxIDEyMS40NCA1LjE5IDEyMy40MSA1&#10;LjE2IDEyNS4zOSA1LjE0IDEzMC4wNCA1LjA5IDEzNC42OSA1LjA3IDEzOS4zNCA1LjA2TDE0NC4x&#10;OSA1LjA0QzE1Mi44NCA1IDE2MS42MyA0LjkyIDE3MC4xMyA0Ljg1TDE4MC4xNCA0Ljc2QzE4My44&#10;NiA0LjczIDE4Ny41OCA0LjY4IDE5MS4zIDQuNjMgMTk0LjEzIDQuNTkgMTk2Ljk1IDQuNTUgMTk5&#10;Ljc4IDQuNTIgMjA0LjEyIDQuNDcgMjA4LjQ1IDQuNDUgMjEyLjc5IDQuNDQgMjE0Ljg2IDQuNDQg&#10;MjE2LjkzIDQuNDIgMjE5LjAxIDQuNDEgMjIxLjAyIDQuNCAyMjMuMDMgNC4zOCAyMjUuMDQgNC4z&#10;NiAyMjguNDYgNC4zMyAyMzEuODggNC4zIDIzNS4zIDQuMyAyMzcuNjYgNC4zIDI0MC4wMSA0LjMg&#10;MjQyLjM3IDQuMyAyNDUuNTIgNC4zIDI0OC42NiA0LjMxIDI1MS44MSA0LjMgMjU1LjM5IDQuMjgg&#10;MjU5LjM0IDQuMjQgMjY0LjIyIDQuMTcgMjY0LjQ1IDQuMTUgMjY0LjY3IDQuMTUgMjY0Ljg5IDQu&#10;MTZMMjY5Ljk3IDQuMDhDMjc1LjEzIDQgMjgwLjQ3IDMuOTEgMjg1LjcyIDMuODcgMjkxLjU3IDMu&#10;ODIgMjk3LjQxIDMuNzUgMzAzLjI2IDMuNjhMMzAzLjM3IDMuNjhDMzA1LjE3IDMuNjYgMzA2Ljk4&#10;IDMuNjQgMzA4Ljc4IDMuNjIgMzEyLjU1IDMuNTggMzE2LjMyIDMuNTQgMzIwLjA5IDMuNDdMMzE5&#10;Ljc0IDMuNDkgMzIwLjc4IDMuNDZDMzI2LjU1IDMuMzUgMzMyLjUyIDMuMjMgMzM4LjQgMy4xOSAz&#10;NDIuMTIgMy4xNiAzNDUuODUgMy4xNiAzNDkuNTcgMy4xNSAzNTEuOCAzLjE1IDM1NC4wMiAzLjE1&#10;IDM1Ni4yNSAzLjE0IDM2MS40NSAzLjEyIDM2Ni43MyAzLjE1IDM3MS44NCAzLjE5TDM3NS43NSAz&#10;LjIxQzM4MS40MyAzLjI0IDM4Ny4zNCAzLjM2IDM5My44NCAzLjU4IDM5NS45MSAzLjY1IDM5Ny45&#10;OCAzLjczIDQwMC4wNSAzLjgxTDQwNC40NSAzLjk5IDQwNS4yNyA0LjAyQzQwNi45MiA0LjA5IDQw&#10;OC41NSA0LjE2IDQxMC4xOCA0LjIzIDQxNC4wMyA0LjM5IDQxNi45NyA0LjQ5IDQxOS43NCA0LjU3&#10;IDQyNC4yOSA0LjcgNDI4Ljg1IDQuNzUgNDMzLjI5IDQuNzMgNDM0LjY2IDQuNzMgNDM2LjA0IDQu&#10;NzMgNDM3LjQxIDQuNzIgNDQwLjAzIDQuNzIgNDQyLjc0IDQuNzIgNDQ1LjQxIDQuNjcgNDQ1LjQ3&#10;IDQuNjcgNDQ1LjU0IDQuNjcgNDQ1LjYgNC42N0w0NDUuNyA0LjY3QzQ0NS43IDQuNjcgNDQ1Ljcg&#10;NC42NyA0NDUuNyA0LjY3IDQ0Ni4yNiA0LjY2IDQ0Ni44MSA0LjY1IDQ0Ny4zNyA0LjY0TDQ0Ny41&#10;MSA0LjY0QzQ0Ny41MSA0LjY0IDQ0Ny42MyA0LjY0IDQ0Ny42MyA0LjY0TDQ0OC4zNSA0LjY0QzQ0&#10;OC4zNSA0LjY0IDQ0OC4xNSA0LjY0IDQ0OC4xNSA0LjY0IDQ0OS4zOCA0LjYgNDUwLjYyIDQuNTcg&#10;NDUxLjg1IDQuNTQgNDUzLjg0IDQuNDkgNDU1LjgyIDQuNDQgNDU3LjgxIDQuNDFMNDU4Ljc3IDQu&#10;NDFDNDU5LjgyIDQuMzggNDYwLjkgNC4zNiA0NjEuOTYgNC40MVoiIGZpbGw9IiNFM0U4N0IiLz48&#10;cGF0aCBkPSJNNDI5LjggMS4zNkM0MjkuOSAxLjM2IDQzMC4wMSAxLjM2IDQzMC4xMSAxLjM2IDQz&#10;MC4wMSAxLjM2IDQyOS45IDEuMzYgNDI5LjggMS4zNlpNMzkwLjk5IDAuNDRDMzkwLjkzIDAuNDQg&#10;MzkwLjg2IDAuNDQgMzkwLjggMC40NCAzOTAuOTQgMC40NCAzOTEuMDggMC40NCAzOTEuMjEgMC40&#10;NCAzOTEuMTQgMC40NCAzOTEuMDYgMC40NCAzOTAuOTkgMC40NFpNMzg5Ljg3IDAuNDIgMzg5Ljg3&#10;IDAuNDJDMzkwIDAuNDIgMzkwLjEyIDAuNDIgMzkwLjI1IDAuNDIgMzkwLjEzIDAuNDIgMzkwIDAu&#10;NDIgMzg5Ljg4IDAuNDJaTTI2LjkgNC40NEMyNi44NCA0LjQ0IDI2Ljc3IDQuNDQgMjYuNzEgNC40&#10;NCAyNi43NyA0LjQ0IDI2Ljg0IDQuNDQgMjYuOSA0LjQ0Wk00NjYuOTcgMS44MkM0NjguMzEgMi4w&#10;MiA0NjkuMzcgMi43NiA0NjkuNTEgMy43OCA0NjkuNTkgNC4zNSA0NjkuMzYgNC45MyA0NjguODcg&#10;NS4zOCA0NjguMzQgNS44NyA0NjcuNjMgNi4xIDQ2Ni44MSA2LjIxIDQ2NS4zOCA2LjM5IDQ2My45&#10;MiA2LjM0IDQ2Mi40OCA2LjMzIDQ2MC40MyA2LjMxIDQ1OC4zOSA2LjI3IDQ1Ni4zNCA2LjIyIDQ1&#10;Mi4wOSA2LjEzIDQ0Ny44NCA2LjAxIDQ0My41OCA1LjkyIDQzNC4xMyA1LjczIDQyNC42OCA1LjQ1&#10;IDQxNS4yMyA1LjI1IDQxMy4zNyA1LjIxIDQxMS41MiA1LjE3IDQwOS42NiA1LjE0IDQwOS45MSA1&#10;LjE0IDQxMC4xNiA1LjE0IDQxMC40MSA1LjE1IDQwMS41NCA0Ljk4IDM5Mi42NyA0Ljc2IDM4My43&#10;OSA0LjU4IDM4My45NyA0LjU4IDM4NC4xNiA0LjU4IDM4NC4zNCA0LjU5IDM3OS4yNiA0LjUgMzc0&#10;LjE4IDQuNDIgMzY5LjEgNC4zOCAzNjQuMDggNC4zMyAzNTkuMDYgNC4zNCAzNTQuMDQgNC4zNCAz&#10;NDQuMDEgNC4zNCAzMzMuOTggNC4zIDMyMy45NSA0LjMgMzE0LjE2IDQuMyAzMDQuMzcgNC4zIDI5&#10;NC41NyA0LjM3IDI4NC43NCA0LjQzIDI3NC45MSA0LjQ3IDI2NS4wOSA0LjU4IDI0NS4yMyA0Ljc5&#10;IDIyNS4zOCA0Ljk5IDIwNS41MSA0Ljk5IDE5NS43NSA0Ljk5IDE4NS45OSA1IDE3Ni4yMyA1LjAx&#10;IDE2NS44NSA1LjAyIDE1NS40NyA0Ljk5IDE0NS4xIDQuOTYgMTM1LjEzIDQuOTMgMTI1LjE3IDQu&#10;ODkgMTE1LjIgNC44NyAxMDUuMyA0Ljg1IDk1LjM5IDQuODggODUuNDkgNC44NyA3NS4zNSA0Ljg1&#10;IDY1LjIxIDQuODMgNTUuMDcgNC43NiA0NS41MyA0LjY5IDM2IDQuNjQgMjYuNDYgNC40NCAyNS45&#10;IDQuNDMgMjUuMzQgNC40MiAyNC43OCA0LjQxIDI0Ljk5IDQuNDEgMjUuMjEgNC40MSAyNS40MiA0&#10;LjQyIDIwLjk0IDQuMzMgMTYuNDYgNC4yNSAxMS45OCA0LjExIDkuNzMgNC4wNCA3LjQ3IDMuOTYg&#10;NS4yMiAzLjgyIDQuMjQgMy43NiAzLjI0IDMuNjkgMi4yNyAzLjU0IDEuNTQgMy40MyAwLjcyIDMu&#10;MjkgMC4yNSAyLjgyLTAuMDkgMi40OC0wLjExIDEuOTUgMC4yOCAxLjYyIDAuODEgMS4xOCAxLjU5&#10;IDEuMDcgMi4zNiAwLjk5IDMuNDggMC44OCA0LjYzIDAuODcgNS43NiAwLjg1IDcuOTYgMC44IDEw&#10;LjE1IDAuNzggMTIuMzYgMC43NyAxNy4wNyAwLjc0IDIxLjc4IDAuNzggMjYuNDkgMC44MSAzNi4x&#10;MSAwLjg3IDQ1LjczIDAuNzcgNTUuMzUgMC43MyA2NS4zNSAwLjY5IDc1LjM0IDAuNjcgODUuMzQg&#10;MC42OCA5NS4yMyAwLjY4IDEwNS4xMSAwLjYzIDExNS4wMSAwLjYyIDEzNS4zNyAwLjYgMTU1Ljcz&#10;IDAuNzUgMTc2LjEgMC43NCAxOTUuOTEgMC43NCAyMTUuNzIgMC42NiAyMzUuNTMgMC41OCAyNTUu&#10;MjEgMC41MSAyNzQuODkgMC4yIDI5NC41NiAwLjA4IDMxNC40NC0wLjA0IDMzNC4zMSAwLjA0IDM1&#10;NC4xOCAwLjA4IDM2NS45NCAwLjExIDM3Ny42OSAwLjE5IDM4OS40NCAwLjQyIDM4OS41OCAwLjQy&#10;IDM4OS43MiAwLjQyIDM4OS44NiAwLjQyIDM4OS44NiAwLjQyIDM4OS44NSAwLjQyIDM4OS44NCAw&#10;LjQyIDM4OS44NCAwLjQyIDM4OS44NiAwLjQyIDM4OS44NiAwLjQyIDM4OS45NyAwLjQyIDM5MC4w&#10;OCAwLjQyIDM5MC4xOSAwLjQyIDM5MC4zMyAwLjQyIDM5MC40NiAwLjQyIDM5MC41OSAwLjQyIDM5&#10;MC40NyAwLjQyIDM5MC4zNSAwLjQyIDM5MC4yMyAwLjQyIDM5MC40MiAwLjQyIDM5MC42IDAuNDIg&#10;MzkwLjc5IDAuNDMgMzkwLjc1IDAuNDMgMzkwLjcxIDAuNDMgMzkwLjY3IDAuNDMgMzkwLjc3IDAu&#10;NDMgMzkwLjg4IDAuNDMgMzkwLjk4IDAuNDMgMzkxLjEzIDAuNDMgMzkxLjI3IDAuNDMgMzkxLjQy&#10;IDAuNDQgMzkxLjM1IDAuNDQgMzkxLjI4IDAuNDQgMzkxLjIgMC40NCA0MDQuMjQgMC43IDQxNy4y&#10;OCAxLjExIDQzMC4zMiAxLjM3TDQzMC4wOSAxLjM3QzQzMC43NiAxLjM3IDQzMS40MiAxLjM5IDQz&#10;Mi4wOSAxLjQgNDMxLjg0IDEuNCA0MzEuNTkgMS40IDQzMS4zNCAxLjM5IDQzNy44NCAxLjUxIDQ0&#10;NC4zNSAxLjY2IDQ1MC44NiAxLjY1IDQ1My43NyAxLjY1IDQ1Ni42NyAxLjYxIDQ1OS41OCAxLjYg&#10;NDYwLjc0IDEuNiA0NjEuOSAxLjYgNDYzLjA2IDEuNjEgNDYzLjc3IDEuNjEgNDY0LjQ4IDEuNjEg&#10;NDY1LjE5IDEuNjQgNDY1Ljc4IDEuNjYgNDY2LjM2IDEuNzEgNDY2Ljk0IDEuNzlaIiBmaWxsPSIj&#10;MDEwMTAxIi8+PHBhdGggZD0iTTQ2OC4xIDMuMjhDNDY4LjUzIDMuMzkgNDY4LjkyIDMuNTUgNDY5&#10;LjMgMy43MiA0NzAuMzEgNC4xNyA0NzEuMjggNC42NiA0NzIuMjMgNS4xNiA0NzMuODggNi4wMyA0&#10;NzUuNDggNi45NSA0NzcuMDcgNy44OCA0ODAuMjcgOS43NCA0ODMuNDEgMTEuNjggNDg2LjU2IDEz&#10;LjYgNDg5LjcyIDE1LjUzIDQ5Mi44NyAxNy40NiA0OTYuMDUgMTkuMzYgNDk5LjI4IDIxLjI4IDUw&#10;Mi41MiAyMy4xOSA1MDUuNzggMjUuMDkgNTEyLjI0IDI4Ljg1IDUxOC43MyAzMi41OSA1MjUuMjcg&#10;MzYuMjggNTMxLjk1IDQwLjA1IDUzOC41NiA0My45IDU0NS4xMSA0Ny44IDU1MS42MiA1MS42OCA1&#10;NTguMDMgNTUuNjYgNTY0LjUgNTkuNTYgNTcxIDYzLjQ4IDU3Ny41NyA2Ny4zMyA1ODQuMDcgNzEu&#10;MjQgNTkwLjQ1IDc1LjA3IDU5Ni43OCA3OC45NCA2MDMuMTUgODIuNzggNjA1LjcyIDg0LjMzIDYw&#10;OC4yNyA4NS44OCA2MTAuODYgODcuNCA2MTIuMDYgODguMTEgNjEzLjI3IDg4LjggNjE0LjQ0IDg5&#10;LjUyIDYxNS4wNSA4OS44OSA2MTUuNjQgOTAuMjggNjE2LjI1IDkwLjY2IDYxNi41NSA5MC44NSA2&#10;MTYuODQgOTEuMDQgNjE3LjE0IDkxLjIzIDYxNy42NyA5MS41NiA2MTguMTQgOTEuOTUgNjE4LjU4&#10;IDkyLjM1IDYxOS40MiA5My4xMiA2MTkuMjkgOTQuMzQgNjE4LjUgOTUuMDggNjE3LjcyIDk1Ljgz&#10;IDYxNi4xNiA5Ni4yIDYxNC45OCA5NS43NSA2MTQuMzMgOTUuNDkgNjEzLjcyIDk1LjIxIDYxMy4x&#10;NCA5NC44NyA2MTIuNzUgOTQuNjQgNjEyLjM1IDk0LjQxIDYxMS45NiA5NC4xOSA2MTEuMjEgOTMu&#10;NzYgNjEwLjQ4IDkzLjMzIDYwOS43NSA5Mi44OSA2MDguMjQgOTEuOTcgNjA2Ljc2IDkxLjAzIDYw&#10;NS4yNSA5MC4xMSA2MDIuMTQgODguMjIgNTk5IDg2LjM1IDU5NS44OCA4NC40NyA1ODkuNDIgODAu&#10;NTcgNTgyLjkzIDc2LjcxIDU3Ni40MiA3Mi44NiA1NjkuODkgNjguOTkgNTYzLjMyIDY1LjE3IDU1&#10;Ni44NCA2MS4yNiA1NTAuMzQgNTcuMzMgNTQzLjkyIDUzLjMzIDUzNy40IDQ5LjQyIDUzMS4wMiA0&#10;NS41OCA1MjQuNTggNDEuOCA1MTguMSAzOC4wNiA1MTEuNTcgMzQuMyA1MDUuMDEgMzAuNTYgNDk4&#10;LjUyIDI2Ljc2IDQ5Mi4wNiAyMi45NyA0ODUuNjkgMTkuMDggNDc5LjQxIDE1LjEyIDQ3Ni43NSAx&#10;My40NCA0NzQuMTEgMTEuNzUgNDcxLjQ3IDEwLjA1IDQ3MC4yNSA5LjI2IDQ2OS4wMyA4LjQ5IDQ2&#10;Ny44NCA3LjY4IDQ2Ny4xIDcuMTggNDY2LjM1IDYuNjggNDY1LjcyIDYuMSA0NjUuMzMgNS43NSA0&#10;NjUuMDMgNS4zMyA0NjQuOTUgNC44NyA0NjQuOTIgNC43MSA0NjQuOTMgNC41NSA0NjQuOTUgNC40&#10;IDQ2NS4wNCAzLjg1IDQ2NS41NSAzLjQ3IDQ2Ni4xOCAzLjIzIDQ2Ni40NiAzLjEzIDQ2Ni43NiAz&#10;LjEgNDY3LjA2IDMuMTEgNDY3LjQxIDMuMTIgNDY3Ljc2IDMuMiA0NjguMDggMy4yOFoiIGZpbGw9&#10;IiMwMTAxMDEiLz48cGF0aCBkPSJNMTcxLjkgMTg4LjQ5QzE3MiAxODguNDkgMTcyLjA5IDE4OC40&#10;OSAxNzIuMTkgMTg4LjQ5IDE3Mi4wOSAxODguNDkgMTcyIDE4OC40OSAxNzEuOSAxODguNDlaTTE3&#10;MC4yMiAxODguNDZDMTcwLjA3IDE4OC40NiAxNjkuOTIgMTg4LjQ2IDE2OS43OCAxODguNDYgMTY5&#10;LjggMTg4LjQ2IDE2OS44MyAxODguNDYgMTY5Ljg1IDE4OC40NiAxNjkuOTggMTg4LjQ2IDE3MC4x&#10;MiAxODguNDYgMTcwLjI1IDE4OC40NiAxNzAuMjUgMTg4LjQ2IDE3MC4yMyAxODguNDYgMTcwLjIy&#10;IDE4OC40NlpNMTcxLjMzIDE4OC40OEMxNzEuMjQgMTg4LjQ4IDE3MS4xNSAxODguNDggMTcxLjA1&#10;IDE4OC40OCAxNzEuMTQgMTg4LjQ4IDE3MS4yMyAxODguNDggMTcxLjMzIDE4OC40OFpNNjE5LjE2&#10;IDk1LjkyQzYxOS4xNiA5NS45MiA2MTkuMTYgOTUuOTUgNjE5LjE2IDk1Ljk2IDYxOS4xNiA5NS45&#10;NSA2MTkuMTYgOTUuOTQgNjE5LjE2IDk1LjkzIDYxOS4xNiA5NS45MyA2MTkuMTYgOTUuOTMgNjE5&#10;LjE2IDk1LjkyWk02MTcuMzcgOTQuMDhDNjE3Ljg3IDk0LjIzIDYxOC4zMiA5NC40OSA2MTguNjMg&#10;OTQuOCA2MTguODggOTUuMDUgNjE5LjAyIDk1LjMgNjE5LjEgOTUuNTcgNjE5LjQzIDk2LjE5IDYx&#10;OS4zMSA5NyA2MTguOTYgOTcuNTkgNjE4LjYyIDk4LjE2IDYxOC4wMiA5OC41NiA2MTcuMzcgOTgu&#10;OTUgNjE3LjAyIDk5LjE2IDYxNi42NyA5OS4zNyA2MTYuMzEgOTkuNTggNjE1LjU3IDEwMC4wMiA2&#10;MTQuODIgMTAwLjQ1IDYxNC4wNyAxMDAuODkgNjEyLjE0IDEwMi4wMiA2MTAuMjkgMTAzLjIxIDYw&#10;OC40MyAxMDQuMzggNjA1LjUxIDEwNi4yMiA2MDIuNTQgMTA4LjAxIDU5OS41MiAxMDkuNzYgNTk1&#10;LjM2IDExMi4xOCA1OTEuMTggMTE0LjU4IDU4Ny4wNSAxMTcuMDMgNTc4LjU0IDEyMi4wNyA1NzAu&#10;MzggMTI3LjQyIDU2Mi4zOSAxMzIuODkgNTU3Ljk1IDEzNS45NCA1NTMuNTIgMTM4Ljk5IDU0OC45&#10;NyAxNDEuOTUgNTQ0LjQgMTQ0LjkyIDUzOS43NiAxNDcuODUgNTM1LjA4IDE1MC43MyA1MzAuNTkg&#10;MTUzLjUgNTI2LjA4IDE1Ni4yNCA1MjEuNTQgMTU4Ljk3IDUxNy45IDE2MS4xNyA1MTQuMjcgMTYz&#10;LjM4IDUxMC42MiAxNjUuNTcgNTAzLjA0IDE3MC4xIDQ5NS41MSAxNzQuNjkgNDg3LjgxIDE3OS4x&#10;MSA0ODMuNyAxODEuNDggNDc5LjU4IDE4My44NCA0NzUuMjYgMTg2IDQ3Mi45OSAxODcuMTQgNDcw&#10;LjYgMTg4LjE3IDQ2OC4xNyAxODkuMTMgNDY2LjgyIDE4OS42NiA0NjUuNDEgMTkwLjE1IDQ2My45&#10;OCAxOTAuNTYgNDYxLjc5IDE5MS4xNyA0NTkuNDggMTkxLjQzIDQ1Ny4xNiAxOTEuNTYgNDU0LjUz&#10;IDE5MS43MSA0NTEuOSAxOTEuNzcgNDQ5LjI2IDE5MS44NSA0NDQuNTcgMTkyIDQzOS44OCAxOTIu&#10;MDQgNDM1LjE5IDE5Mi4xMiA0MjkuNjggMTkyLjIgNDI0LjE4IDE5Mi4zNCA0MTguNjcgMTkyLjUg&#10;NDA2LjgyIDE5Mi44NCAzOTQuOTggMTkzLjIxIDM4My4xMSAxOTMuMzMgMzcwLjg4IDE5My40NiAz&#10;NTguNjQgMTkzLjU3IDM0Ni40IDE5My40NSAzMzQuMTMgMTkzLjMzIDMyMS44NyAxOTMuMDcgMzA5&#10;LjYxIDE5Mi43NyAyOTcuMjcgMTkyLjQ2IDI4NC45MyAxOTIuMTggMjcyLjYgMTkxLjc5IDI2MC41&#10;NyAxOTEuNDEgMjQ4LjU1IDE5MC45MyAyMzYuNTMgMTkwLjQ1IDIyNS43NiAxOTAuMDIgMjE0Ljk3&#10;IDE4OS43MiAyMDQuMTkgMTg5LjM4IDE5My41MiAxODkuMDQgMTgyLjg2IDE4OC43MyAxNzIuMTkg&#10;MTg4LjUxIDE3Mi4zMyAxODguNTEgMTcyLjQ3IDE4OC41MSAxNzIuNiAxODguNTEgMTcyLjI1IDE4&#10;OC41MSAxNzEuOSAxODguNSAxNzEuNTUgMTg4LjQ5IDE3MS4yOSAxODguNDkgMTcxLjAzIDE4OC40&#10;OSAxNzAuNzcgMTg4LjQ4IDE3MC44NCAxODguNDggMTcwLjkyIDE4OC40OCAxNzAuOTkgMTg4LjQ4&#10;IDE3MC45IDE4OC40OCAxNzAuOCAxODguNDggMTcwLjcxIDE4OC40OCAxNzAuNDggMTg4LjQ4IDE3&#10;MC4yNSAxODguNDggMTcwLjAzIDE4OC40NyAxNzAuMSAxODguNDcgMTcwLjE2IDE4OC40NyAxNzAu&#10;MjMgMTg4LjQ3IDE3MC4yNSAxODguNDcgMTcwLjI2IDE4OC40NyAxNzAuMjggMTg4LjQ3IDE3MC4y&#10;OCAxODguNDcgMTcwLjI3IDE4OC40NyAxNzAuMjYgMTg4LjQ3IDE3MC4yOCAxODguNDcgMTcwLjI5&#10;IDE4OC40NyAxNzAuMzEgMTg4LjQ3IDE3MC4zOCAxODguNDcgMTcwLjQ0IDE4OC40NyAxNzAuNTEg&#10;MTg4LjQ3IDE3MC4yOSAxODguNDcgMTcwLjA4IDE4OC40NyAxNjkuODYgMTg4LjQ2TDE2OS41NCAx&#10;ODguNDZDMTY5LjYyIDE4OC40NiAxNjkuNzEgMTg4LjQ2IDE2OS43OSAxODguNDYgMTU3Ljg2IDE4&#10;OC4yMyAxNDUuOTIgMTg4LjA5IDEzMy45OCAxODguMDMgMTIxLjc3IDE4Ny45NyAxMDkuNTYgMTg4&#10;LjA4IDk3LjM1IDE4OC40NiA4NS4xMSAxODguODUgNzIuODkgMTg5LjU0IDYwLjY1IDE4OS44MSA1&#10;NC43MiAxODkuOTQgNDguNzggMTkwIDQyLjg1IDE5MC4xMyAzNy4xNSAxOTAuMjUgMzEuNDMgMTkw&#10;LjMyIDI1LjczIDE5MC41MSAyMi42MiAxOTAuNjEgMTkuNTEgMTkwLjc4IDE2LjM5IDE5MC45MSAx&#10;NS4zIDE5MC45NiAxNC4yIDE5MC45OSAxMy4xMSAxOTAuOTQgMTEuOTggMTkwLjg4IDEwLjc1IDE5&#10;MC4zMiAxMC45MSAxODkuMzggMTEuMDQgMTg4LjY3IDExLjg4IDE4OC4yNCAxMi42OCAxODcuOTQg&#10;MTMuNDkgMTg3LjY1IDE0LjM0IDE4Ny40NCAxNS4yMSAxODcuMjggMTcuOTEgMTg2Ljc2IDIwLjY5&#10;IDE4Ni40NSAyMy40NiAxODYuMjEgMjkuMTYgMTg1LjcxIDM0Ljg4IDE4NS41MSA0MC42MSAxODUu&#10;MzQgNTIuNDYgMTg1IDY0LjMgMTg0LjYgNzYuMTIgMTgzLjkxIDg4LjYxIDE4My4xOCAxMDEuMDkg&#10;MTgyLjUgMTEzLjYyIDE4Mi4zNCAxMjUuNzYgMTgyLjE4IDEzNy45IDE4Mi4zNCAxNTAuMDQgMTgy&#10;LjU1IDE1Ni4yNSAxODIuNjYgMTYyLjQ1IDE4Mi44IDE2OC42NiAxODIuOTUgMTc0LjY4IDE4My4w&#10;OSAxODAuNyAxODMuMjEgMTg2LjcyIDE4My4zNyAxOTIuOTMgMTgzLjUzIDE5OS4xNSAxODMuNzQg&#10;MjA1LjM2IDE4My45NCAyMTEuMzcgMTg0LjEzIDIxNy4zOCAxODQuMjkgMjIzLjM5IDE4NC40NyAy&#10;MzUuNTQgMTg0LjgzIDI0Ny42OCAxODUuMzMgMjU5LjgyIDE4NS43NCAyNzIuMSAxODYuMTYgMjg0&#10;LjM4IDE4Ni40NyAyOTYuNjcgMTg2Ljc1IDMwNy4wOSAxODYuOTggMzE3LjUxIDE4Ny4yMiAzMjcu&#10;OTIgMTg3LjQzIDMyNy41OCAxODcuNDMgMzI3LjI1IDE4Ny40MiAzMjYuOTEgMTg3LjQxIDMyOCAx&#10;ODcuNDMgMzI5LjEgMTg3LjQ1IDMzMC4xOSAxODcuNDcgMzI5Ljg1IDE4Ny40NyAzMjkuNTEgMTg3&#10;LjQ2IDMyOS4xNyAxODcuNDUgMzM1LjE5IDE4Ny41NyAzNDEuMjIgMTg3LjY3IDM0Ny4yNCAxODcu&#10;NjkgMzUzLjM3IDE4Ny43MSAzNTkuNDkgMTg3LjY3IDM2NS42MSAxODcuNjIgMzc3LjU2IDE4Ny41&#10;MyAzODkuNTEgMTg3LjQ5IDQwMS40NSAxODcuMjYgNDA3LjUxIDE4Ny4xNCA0MTMuNTcgMTg2Ljk1&#10;IDQxOS42MiAxODYuODQgNDI1LjE0IDE4Ni43NCA0MzAuNjYgMTg2LjcgNDM2LjE4IDE4Ni41NyA0&#10;MzguNzggMTg2LjUgNDQxLjM3IDE4Ni40MiA0NDMuOTcgMTg2LjM1IDQ0NS43OSAxODYuMyA0NDcu&#10;NjEgMTg2LjI2IDQ0OS40MyAxODYuMTggNDUxLjk0IDE4Ni4wNyA0NTQuNDUgMTg1Ljg4IDQ1Ni45&#10;NCAxODUuNjQgNDU4LjI3IDE4NS41MSA0NTkuNjMgMTg1LjQxIDQ2MC45NSAxODUuMjIgNDYxLjc0&#10;IDE4NS4wNyA0NjIuNTIgMTg0Ljg4IDQ2My4yOSAxODQuNjcgNDY0LjQ1IDE4NC4zNiA0NjUuNTQg&#10;MTgzLjk1IDQ2Ni42MyAxODMuNTIgNDcxLjAzIDE4MS43MyA0NzUuMDggMTc5LjU3IDQ3OS4wNiAx&#10;NzcuMzIgNDgzLjAzIDE3NS4wOCA0ODYuOTUgMTcyLjc5IDQ5MC44MyAxNzAuNDYgNDk4LjIgMTY2&#10;LjAzIDUwNS41IDE2MS41MiA1MTIuNzUgMTU2Ljk4IDUyMS41NCAxNTEuNDggNTMwLjM0IDE0NS45&#10;OSA1MzkuMDcgMTQwLjQzIDU0OC4zIDEzNC41NSA1NTcuMTYgMTI4LjM4IDU2Ni4yNCAxMjIuMzgg&#10;NTczLjg4IDExNy4zMyA1ODEuOCAxMTIuNTIgNTg5Ljg2IDEwNy44MyA1OTMuNTkgMTA1LjY2IDU5&#10;Ny4zIDEwMy40OCA2MDEuMDcgMTAxLjM2IDYwMy4zMiAxMDAuMDkgNjA1LjYgOTguODUgNjA3Ljgy&#10;IDk3LjU0IDYwOC45MiA5Ni44OSA2MTAgOTYuMjQgNjExLjA5IDk1LjU5IDYxMS41NyA5NS4zMSA2&#10;MTIuMDUgOTUuMDMgNjEyLjUzIDk0Ljc1IDYxMi43NCA5NC42MyA2MTIuOTYgOTQuNSA2MTMuMTcg&#10;OTQuMzggNjEzLjg5IDkzLjk1IDYxNC44NyA5My43NSA2MTUuODIgOTMuNzkgNjE2LjM3IDkzLjgx&#10;IDYxNi45IDkzLjkxIDYxNy4zOCA5NC4xWiIgZmlsbD0iIzAxMDEwMSIvPjxwYXRoIGQ9Ik05LjUy&#10;IDE4NC40OSA5LjU0IDE4NC41NkM5LjU0IDE4NC41NiA5LjU0IDE4NC41NiA5LjU0IDE4NC41NiA5&#10;LjU4IDE4NC43MiA5LjYxIDE4NC44NyA5LjY1IDE4NS4wMyA5LjYxIDE4NC44NSA5LjU3IDE4NC42&#10;OCA5LjUzIDE4NC41Wk0zLjEzIDEuNzFDMy40NiAxLjk3IDMuNjIgMi4yNiAzLjcxIDIuNjEgMy44&#10;MyAzLjA5IDMuOTIgMy41NyAzLjk5IDQuMDYgNC4xNCA0Ljk2IDQuMjUgNS44NiA0LjM3IDYuNzYg&#10;NC42MSA4LjYgNC44NyAxMC40NCA1LjEgMTIuMjkgNS41NyAxNiA1Ljg5IDE5LjcxIDYuMTggMjMu&#10;NDMgNi40OCAyNy4yNyA2Ljg0IDMxLjExIDcuMTQgMzQuOTUgNy40NCAzOC44NiA3LjY0IDQyLjc3&#10;IDcuOCA0Ni42OCA3Ljk1IDUwLjU2IDcuOTkgNTQuNDMgOC4wNyA1OC4zMSA4LjE1IDYyLjI3IDgu&#10;MzIgNjYuMjIgOC41NiA3MC4xNyA4Ljc5IDczLjk5IDkuMDcgNzcuODIgOS4zNSA4MS42NSA5LjYz&#10;IDg1LjYxIDkuODcgODkuNTcgMTAuMDYgOTMuNTQgMTAuMjQgOTcuMzYgMTAuNDEgMTAxLjE3IDEw&#10;LjU0IDEwNC45OSAxMC42NyAxMDguODQgMTAuNzYgMTEyLjY4IDEwLjkxIDExNi41MyAxMS4wNiAx&#10;MjAuNTkgMTEuMjEgMTI0LjY1IDExLjM0IDEyOC43MSAxMS40NyAxMzIuNTkgMTEuNjUgMTM2LjQ4&#10;IDExLjggMTQwLjM2IDEyLjA3IDE0Ny44OSAxMi4wOCAxNTUuNDEgMTIuNDQgMTYyLjkzIDEyLjUz&#10;IDE2NC44MiAxMi42MiAxNjYuNzEgMTIuNzQgMTY4LjYgMTIuODQgMTcwLjM0IDEyLjk5IDE3Mi4w&#10;OCAxMy4xNCAxNzMuODEgMTMuMzcgMTc2LjY2IDEzLjUzIDE3OS41MyAxNC4xIDE4Mi4zNiAxNC4y&#10;MSAxODIuOTEgMTQuMzIgMTgzLjQ2IDE0LjQzIDE4NCAxNC40OSAxODQuMjEgMTQuNTYgMTg0LjQz&#10;IDE0LjU2IDE4NC42NCAxNC41OCAxODQuOTUgMTQuNDggMTg1LjI1IDE0LjI4IDE4NS41NCAxNC4x&#10;NiAxODUuNjcgMTQuMDQgMTg1LjggMTMuOTEgMTg1LjkzIDEzLjYgMTg2LjE4IDEzLjIzIDE4Ni4z&#10;NSAxMi44IDE4Ni40NSAxMi42IDE4Ni41MSAxMi4zOCAxODYuNTMgMTIuMTcgMTg2LjUzIDExLjc0&#10;IDE4Ni41MyAxMS4zMyAxODYuNDcgMTAuOTQgMTg2LjMzIDEwLjMzIDE4Ni4xIDkuOTQgMTg1Ljcx&#10;IDkuNzEgMTg1LjI1IDkuNjIgMTg1LjA4IDkuNiAxODQuODkgOS41NyAxODQuNyA5LjQ4IDE4NC4z&#10;NSA5LjM5IDE4NC4wMSA5LjMzIDE4My42NiA5LjI3IDE4My4yNyA5LjIxIDE4Mi44OSA5LjE2IDE4&#10;Mi41IDkuMDEgMTgxLjMzIDguODYgMTgwLjE1IDguNjkgMTc4Ljk4IDguMiAxNzUuNTggOC4xMiAx&#10;NzIuMTUgNy44MyAxNjguNzQgNy42OCAxNjYuODUgNy41IDE2NC45NiA3LjM3IDE2My4wOCA3LjI1&#10;IDE2MS4yNCA3LjE4IDE1OS40IDcuMTEgMTU3LjU2IDYuOTcgMTUzLjc0IDYuOTkgMTQ5LjkxIDYu&#10;OTQgMTQ2LjA4IDYuODkgMTQyLjI0IDYuNzIgMTM4LjQxIDYuNTcgMTM0LjU3IDYuNDEgMTMwLjY2&#10;IDYuMjkgMTI2Ljc1IDYuMTQgMTIyLjg0IDUuOTggMTE4Ljg5IDUuNzkgMTE0Ljk0IDUuNjcgMTEw&#10;Ljk4IDUuNTUgMTA3LjE0IDUuNDUgMTAzLjMgNS4yNiA5OS40NiA1LjA3IDk1LjUzIDQuODkgOTEu&#10;NjEgNC42IDg3LjY4IDQuMzIgODMuODEgMy45NCA3OS45NSAzLjU5IDc2LjA4IDMuMjMgNzIuMSAy&#10;LjkxIDY4LjExIDIuNyA2NC4xMiAyLjQ4IDYwLjE5IDIuNCA1Ni4yNyAyLjMxIDUyLjM0IDIuMTIg&#10;NDQuNjYgMS43IDM2Ljk4IDEuMjQgMjkuMzEgMS4wMSAyNS41MiAwLjgzIDIxLjcyIDAuNjggMTcu&#10;OTMgMC42MSAxNi4xIDAuNTQgMTQuMjggMC40OSAxMi40NSAwLjQ0IDEwLjYgMC4zOSA4Ljc1IDAu&#10;NDcgNi45IDAuNTEgNS45OSAwLjU2IDUuMDkgMC42NSA0LjE5IDAuNyAzLjczIDAuNzYgMy4yNyAw&#10;Ljg0IDIuODEgMC45MSAyLjQ2IDEuMDQgMi4wOSAxLjM3IDEuODEgMS42MiAxLjYxIDIuMDIgMS40&#10;OSAyLjQxIDEuNTEgMi42OSAxLjUyIDIuOTUgMS42IDMuMTQgMS43NVoiIGZpbGw9IiMwMTAxMDEi&#10;Lz48cGF0aCBkPSJNNTM3LjUzIDE3Mi4yNEM1MzcuNTMgMTcyLjI0IDUzNy41MyAxNzIuMjQgNTM3&#10;LjUzIDE3Mi4yNCA1MzcuNTMgMTcyLjI0IDUzNy41MiAxNzIuMjQgNTM3LjUxIDE3Mi4yNSA1Mzcu&#10;NTEgMTcyLjI1IDUzNy41MSAxNzIuMjUgNTM3LjUxIDE3Mi4yNSA1MzcuNTEgMTcyLjI1IDUzNy41&#10;MyAxNzIuMjQgNTM3LjUzIDE3Mi4yM1pNNTgwLjIzIDEzNi4wMkM1ODAuMTEgMTM2LjA5IDU3OS45&#10;OSAxMzYuMTcgNTc5Ljg3IDEzNi4yNSA1NzkuOTkgMTM2LjE3IDU4MC4xIDEzNi4xIDU4MC4yMyAx&#10;MzYuMDJaTTYyNy41NSAxMTAuNDlDNjI3LjUxIDExMC43OSA2MjcuNDYgMTExLjA5IDYyNy40MiAx&#10;MTEuNCA2MjQuMTYgMTEzLjc4IDYyMC43OSAxMTYuMDkgNjE3LjQgMTE4LjM4IDYxMy45IDEyMC43&#10;NSA2MTAuMzQgMTIzLjA3IDYwNi44MyAxMjUuNDMgNjAzLjIxIDEyNy44NiA1OTkuNTggMTMwLjI5&#10;IDU5NS45NCAxMzIuNzEgNTkwLjA1IDEzNi42MiA1ODQuMTcgMTQwLjUzIDU3OC4xNyAxNDQuMzUg&#10;NTc4LjQgMTQ0LjIgNTc4LjY0IDE0NC4wNSA1NzguODcgMTQzLjkgNTc1LjgzIDE0NS44NCA1NzIu&#10;NzQgMTQ3Ljc1IDU2OS42NyAxNDkuNjggNTY5LjkgMTQ5LjU0IDU3MC4xMiAxNDkuMzkgNTcwLjM0&#10;IDE0OS4yNSA1NzAuMDMgMTQ5LjQ1IDU2OS43MyAxNDkuNjQgNTY5LjQyIDE0OS44NCA1NjkuNDMg&#10;MTQ5Ljg0IDU2OS40NCAxNDkuODMgNTY5LjQ1IDE0OS44MiA1NjIuMDUgMTU0LjU0IDU1NS4zNSAx&#10;NTkuNzggNTQ4LjQ1IDE2NC44OCA1NDUuMTcgMTY3LjMxIDU0MS43IDE2OS41OSA1MzguMTkgMTcx&#10;LjgzIDUzOC4yNiAxNzEuNzkgNTM4LjMyIDE3MS43NSA1MzguMzggMTcxLjcxIDUzOC4yIDE3MS44&#10;MiA1MzguMDEgMTcxLjk0IDUzNy44MyAxNzIuMDYgNTM3LjgzIDE3Mi4wNiA1MzcuODMgMTcyLjA2&#10;IDUzNy44MyAxNzIuMDYgNTM3LjgzIDE3Mi4wNiA1MzcuODIgMTcyLjA2IDUzNy44MSAxNzIuMDcg&#10;NTM3LjgxIDE3Mi4wNyA1MzcuNzkgMTcyLjA4IDUzNy43OCAxNzIuMDkgNTM3Ljc4IDE3Mi4wOSA1&#10;MzcuNzggMTcyLjA5IDUzNy43OCAxNzIuMDkgNTM3Ljc3IDE3Mi4wOSA1MzcuNzYgMTcyLjEgNTM3&#10;Ljc1IDE3Mi4xMSA1MzcuNzMgMTcyLjEzIDUzNy43IDE3Mi4xNCA1MzcuNjggMTcyLjE2IDUzNy42&#10;NiAxNzIuMTggNTM3LjYzIDE3Mi4xOSA1MzcuNjEgMTcyLjIxIDUzNy42MyAxNzIuMiA1MzcuNjUg&#10;MTcyLjE4IDUzNy42OCAxNzIuMTcgNTM3LjY1IDE3Mi4xOSA1MzcuNjEgMTcyLjIxIDUzNy41OCAx&#10;NzIuMjMgNTM3LjU4IDE3Mi4yMyA1MzcuNTkgMTcyLjIzIDUzNy42IDE3Mi4yMiA1MzcuNDUgMTcy&#10;LjMxIDUzNy4zMSAxNzIuNDEgNTM3LjE2IDE3Mi41IDUzNy4yNyAxNzIuNDMgNTM3LjM3IDE3Mi4z&#10;NiA1MzcuNDggMTcyLjI5IDUzNy40OCAxNzIuMjkgNTM3LjQ4IDE3Mi4yOSA1MzcuNDggMTcyLjI5&#10;IDUzNy40OCAxNzIuMjkgNTM3LjQ4IDE3Mi4yOSA1MzcuNDggMTcyLjI5TDUzNy41IDE3Mi4yOUM1&#10;MzcuNSAxNzIuMjkgNTM3LjUgMTcyLjI5IDUzNy41IDE3Mi4yOSA1MzcuNSAxNzIuMjkgNTM3LjUg&#10;MTcyLjI5IDUzNy40OSAxNzIuMjkgNTM3LjQ5IDE3Mi4yOSA1MzcuNDkgMTcyLjI5IDUzNy40OSAx&#10;NzIuMjkgNTM3LjQ5IDE3Mi4yOSA1MzcuNDkgMTcyLjI5IDUzNy40OSAxNzIuMjkgNTI5Ljg4IDE3&#10;Ny4xNiA1MjIuMDkgMTgxLjg2IDUxNC4xNyAxODYuNDYgNTEwLjM0IDE4OC42OCA1MDYuNDYgMTkw&#10;Ljg1IDUwMi41OCAxOTMuMDMgNDk4Ljg0IDE5NS4xNCA0OTUuMDUgMTk3LjIxIDQ5MS4yNCAxOTku&#10;MjYgNDg4LjU5IDIwMC42OSA0ODUuOTIgMjAyLjEgNDgzLjI4IDIwMy41NSA0ODIuMDEgMjA0LjI1&#10;IDQ4MC43NCAyMDQuOTYgNDc5LjQ4IDIwNS42NiA0NzguOTMgMjA1Ljk3IDQ3OC4zNyAyMDYuMjgg&#10;NDc3LjgyIDIwNi41OSA0NzYuOTUgMjA3LjA4IDQ3Ni4xMyAyMDcuNjIgNDc1LjA2IDIwNy44NSA0&#10;NzMuNzQgMjA4LjEzIDQ3Mi4zNiAyMDcuOTggNDcxLjMxIDIwNy4zIDQ3MC4wOSAyMDYuNTEgNDY5&#10;LjU4IDIwNS4wMyA0NzAuNDQgMjAzLjk2IDQ3MC42OCAyMDMuNjYgNDcwLjkgMjAzLjM1IDQ3MS4y&#10;NSAyMDMuMTEgNDcxLjU3IDIwMi45IDQ3MS45IDIwMi42OCA0NzIuMjQgMjAyLjQ4IDQ3Mi40NSAy&#10;MDIuMzYgNDcyLjY2IDIwMi4yNCA0NzIuODYgMjAyLjEzIDQ3My4yMyAyMDEuOTIgNDczLjYgMjAx&#10;LjcxIDQ3My45OCAyMDEuNSA0NzQuODEgMjAxLjA0IDQ3NS42NCAyMDAuNTggNDc2LjQ3IDIwMC4x&#10;MyA0NzguMzEgMTk5LjEyIDQ4MC4xNSAxOTguMTIgNDgxLjk5IDE5Ny4xMSA0ODUuNzkgMTk1LjAz&#10;IDQ4OS42MiAxOTIuOTcgNDkzLjQ4IDE5MC45NCA0OTcuNDIgMTg4Ljg2IDUwMS4yOSAxODYuNzMg&#10;NTA1LjE2IDE4NC41OCA1MDguOTkgMTgyLjQ1IDUxMi44NCAxODAuMzUgNTE2LjY3IDE3OC4yMiA1&#10;MTkuODQgMTc2LjQ2IDUyMi45NCAxNzQuNjQgNTI2LjAyIDE3Mi44IDUyOC44NiAxNzEuMTEgNTMx&#10;LjY5IDE2OS40MSA1MzQuNDYgMTY3LjY3IDUzOC4wMyAxNjUuMzggNTQxLjQ4IDE2Mi45OCA1NDQu&#10;ODYgMTYwLjU0IDU0OC4zNCAxNTguMDMgNTUxLjczIDE1NS40NSA1NTUuMiAxNTIuOTQgNTU4LjE4&#10;IDE1MC43NyA1NjEuMTcgMTQ4LjYxIDU2NC4yMyAxNDYuNSA1NjcuNDMgMTQ0LjI4IDU3MC43IDE0&#10;Mi4xMiA1NzQuMDEgMTQwTDU3NC4wMSAxNDBDNTc0LjAxIDE0MCA1NzQuMDEgMTQwIDU3NC4wMSAx&#10;NDAgNTc0LjA4IDEzOS45NiA1NzQuMTUgMTM5LjkxIDU3NC4yMSAxMzkuODcgNTc0LjIxIDEzOS44&#10;NyA1NzQuMTkgMTM5Ljg4IDU3NC4xOCAxMzkuODkgNTc0LjIyIDEzOS44NiA1NzQuMjcgMTM5Ljgz&#10;IDU3NC4zMSAxMzkuODEgNTc0LjI5IDEzOS44MiA1NzQuMjcgMTM5Ljg0IDU3NC4yNSAxMzkuODUg&#10;NTc0LjMgMTM5LjgxIDU3NC4zNiAxMzkuNzggNTc0LjQxIDEzOS43NCA1NzQuNTUgMTM5LjY1IDU3&#10;NC43IDEzOS41NiA1NzQuODQgMTM5LjQ3IDU3NC44MiAxMzkuNDggNTc0LjggMTM5LjQ5IDU3NC43&#10;OSAxMzkuNSA1NzYuMTYgMTM4LjYzIDU3Ny41NCAxMzcuNzYgNTc4LjkxIDEzNi44OSA1NzguOTQg&#10;MTM2Ljg3IDU3OC45NiAxMzYuODYgNTc4Ljk5IDEzNi44NCA1NzguOTYgMTM2Ljg2IDU3OC45NCAx&#10;MzYuODcgNTc4LjkxIDEzNi44OSA1NzkuMDUgMTM2LjggNTc5LjIgMTM2LjcxIDU3OS4zNCAxMzYu&#10;NjIgNTc5LjQxIDEzNi41OCA1NzkuNDcgMTM2LjUzIDU3OS41NCAxMzYuNDlMNTc5LjUzIDEzNi40&#10;OUM1ODMuMyAxMzQuMDggNTg3IDEzMS42MSA1OTAuNjkgMTI5LjEzIDU5NC4yNyAxMjYuNzMgNTk3&#10;LjggMTI0LjI4IDYwMS4zOCAxMjEuODcgNjA0Ljk4IDExOS40NSA2MDguNjIgMTE3LjA2IDYxMi4z&#10;MSAxMTQuNyA2MTIuNTQgMTE0LjU1IDYxMi43NyAxMTQuNDEgNjEzIDExNC4yNiA2MTcuNTQgMTEx&#10;LjM2IDYyMi4zMSAxMDguNjYgNjI2Ljg4IDEwNS43OCA2MjYuOTIgMTA1Ljc2IDYyNi45NSAxMDUu&#10;NzMgNjI2Ljk5IDEwNS43MSA2MjYuOTkgMTA1LjcxIDYyNi45OCAxMDUuNzEgNjI2Ljk3IDEwNS43&#10;MiA2MjYuOTcgMTA1LjcyIDYyNi45OCAxMDUuNzIgNjI2Ljk5IDEwNS43MSA2MjcuMzUgMTA1LjQ4&#10;IDYyNy43IDEwNS4yNSA2MjguMDYgMTA1LjAyIDYyNy45MiAxMDYuODUgNjI3LjggMTA4LjY5IDYy&#10;Ny41NSAxMTAuNTFaIiBmaWxsPSIjMDEwMTAxIi8+PHBhdGggZD0iTTQ3NC4xOCAyMDUuNDVDNDc0&#10;Ljk4IDIwNS45NSA0NzUuNDggMjA2LjY3IDQ3NS41NyAyMDcuNDMgNDc1LjY3IDIwOC4yMiA0NzUu&#10;MzIgMjA5LjAyIDQ3NC42MSAyMDkuNjIgNDc0LjM1IDIwOS43OSA0NzQuMSAyMDkuOTYgNDczLjg0&#10;IDIxMC4xMyA0NzMuMjUgMjEwLjQzIDQ3Mi42IDIxMC42IDQ3MS45IDIxMC42NCA0NzEuMzcgMjEw&#10;LjcyIDQ3MC44IDIxMC43MiA0NzAuMjYgMjEwLjc0IDQ2OS42NSAyMTAuNzcgNDY5LjAzIDIxMC43&#10;OSA0NjguNDIgMjEwLjgyIDQ2NyAyMTAuODcgNDY1LjU4IDIxMC45IDQ2NC4xNiAyMTAuOTMgNDYw&#10;LjIzIDIxMS4wMiA0NTYuMyAyMTEuMDQgNDUyLjM3IDIxMS4wNiA0NDMuODUgMjExLjA5IDQzNS4z&#10;MyAyMTEuMTMgNDI2LjggMjExLjA3IDQxMy4yMyAyMTAuOTggMzk5LjY5IDIxMC4zOSAzODYuMTUg&#10;MjA5Ljc5IDM4MS4zNCAyMDkuNTggMzc2LjUzIDIwOS4zNyAzNzEuNzIgMjA5LjE4IDM2OS45OCAy&#10;MDkuMTEgMzY4LjI1IDIwOS4wNSAzNjYuNTEgMjA4Ljk5IDM0OC42NCAyMDguNCAzMzAuNzUgMjA4&#10;LjE3IDMxMi44OCAyMDcuNjEgMzAwLjA0IDIwNy4yMSAyODcuMjEgMjA2LjYgMjc0LjM4IDIwNi4x&#10;NSAyNzQuNzcgMjA2LjE2IDI3NS4xNiAyMDYuMTggMjc1LjU1IDIwNi4xOSAyNjYuMTMgMjA1Ljg3&#10;IDI1Ni43MSAyMDUuNTggMjQ3LjI4IDIwNS40IDIzOC4zMyAyMDUuMjMgMjI5LjM3IDIwNS4xNSAy&#10;MjAuNDEgMjA1LjA1IDIxMS40OSAyMDQuOTYgMjAyLjU3IDIwNC45IDE5My42NiAyMDUuMDYgMTg0&#10;LjQgMjA1LjIzIDE3NS4xNCAyMDUuNTUgMTY1Ljg4IDIwNS44OSAxNTYuNjkgMjA2LjIzIDE0Ny41&#10;MSAyMDYuNjMgMTM4LjMxIDIwNi44NyAxMjkuMzUgMjA3LjEgMTIwLjM5IDIwNy4yMiAxMTEuNDMg&#10;MjA3LjM0IDEwMi4wOSAyMDcuNDcgOTIuNzUgMjA3LjUzIDgzLjQgMjA3LjY2IDc4LjggMjA3Ljcy&#10;IDc0LjIgMjA3Ljc5IDY5LjYgMjA3Ljg0IDY1LjA2IDIwNy44OSA2MC41MiAyMDcuODggNTUuOTgg&#10;MjA3LjkgNDguODkgMjA3LjkzIDQxLjggMjA4LjA1IDM0LjcyIDIwOC4wMSAzMS4yNiAyMDcuOTkg&#10;MjcuNzggMjA3Ljk3IDI0LjM1IDIwNy42MiAyMy4yMSAyMDcuNSAyMi4wNSAyMDcuMzMgMjAuOTgg&#10;MjA3LjAxIDIwLjM3IDIwNi44MiAxOS44NSAyMDYuNTYgMTkuNDMgMjA2LjE5IDE4LjczIDIwNS41&#10;NyAxOC43NCAyMDQuNDQgMTkuNzggMjAzLjk5IDIwLjczIDIwMy41OCAyMS44NSAyMDMuNzEgMjIu&#10;OSAyMDMuNzEgMjQuNzEgMjAzLjcyIDI2LjUyIDIwMy42OSAyOC4zNCAyMDMuNjUgMzAuMzkgMjAz&#10;LjYgMzIuNDUgMjAzLjUgMzQuNSAyMDMuNDEgMzYuNjkgMjAzLjMyIDM4LjkgMjAzLjIzIDQxLjA5&#10;IDIwMy4xNSA0OS45OCAyMDIuODIgNTguODcgMjAyLjQ3IDY3Ljc2IDIwMi4yNCA4Ni4wNiAyMDEu&#10;NzUgMTA0LjM2IDIwMS40MSAxMjIuNjcgMjAxIDEyNy4yNiAyMDAuOSAxMzEuODUgMjAwLjc5IDEz&#10;Ni40NCAyMDAuNjYgMTQwLjkxIDIwMC41MyAxNDUuMzcgMjAwLjMzIDE0OS44NCAyMDAuMTUgMTU5&#10;LjIzIDE5OS43NiAxNjguNjMgMTk5LjMxIDE3OC4wMyAxOTkuMDIgMTg3LjAzIDE5OC43NCAxOTYu&#10;MDQgMTk4LjU0IDIwNS4wNSAxOTguNTcgMjEzLjk4IDE5OC42IDIyMi45MSAxOTguNzMgMjMxLjgz&#10;IDE5OC44NCAyNTAuODIgMTk5LjA2IDI2OS44IDE5OS42NiAyODguNzcgMjAwLjM3IDI5NC4wMSAy&#10;MDAuNTcgMjk5LjI0IDIwMC43NiAzMDQuNDggMjAwLjk0IDMwNC4xOSAyMDAuOTMgMzAzLjkgMjAw&#10;LjkyIDMwMy42MSAyMDAuOTEgMzA0LjQgMjAwLjk0IDMwNS4xOSAyMDAuOTYgMzA1Ljk4IDIwMC45&#10;OSAzMjMuOTcgMjAxLjU5IDM0MS45OCAyMDEuODEgMzU5Ljk4IDIwMi4zNCAzNjguMDkgMjAyLjU4&#10;IDM3Ni4yIDIwMi44OSAzODQuMzEgMjAzLjI1IDM5MS44MyAyMDMuNTggMzk5LjM1IDIwMy45NCA0&#10;MDYuODcgMjA0LjIxIDQxNS4zMyAyMDQuNDkgNDIzLjggMjA0LjY3IDQzMi4yNyAyMDQuNzkgNDQw&#10;LjgxIDIwNC45MiA0NDkuMzYgMjA1LjA3IDQ1Ny45MSAyMDUgNDYwLjUzIDIwNC45OCA0NjMuMTYg&#10;MjA0Ljk2IDQ2NS43OCAyMDQuOTEgNDY2Ljc2IDIwNC44OSA0NjcuNzMgMjA0Ljg2IDQ2OC43IDIw&#10;NC44MyA0NjkuMTEgMjA0LjgyIDQ2OS41MSAyMDQuODEgNDY5LjkyIDIwNC43OSA0NzAuMTMgMjA0&#10;Ljc5IDQ3MC4zNCAyMDQuNzcgNDcwLjU1IDIwNC43NiA0NzEuMDEgMjA0LjczIDQ3MS40NiAyMDQu&#10;NzYgNDcxLjkyIDIwNC43NyA0NzIuMDMgMjA0Ljc3IDQ3Mi4xNCAyMDQuNzcgNDcyLjI1IDIwNC43&#10;OCA0NzIuOTcgMjA0Ljg4IDQ3My42IDIwNS4xIDQ3NC4xNiAyMDUuNDVaIiBmaWxsPSIjMDEwMTAx&#10;Ii8+PHBhdGggZD0iTTQ2NC41NCAxODUuNzRDNDY1LjIyIDE4Ni40OSA0NjUuNzEgMTg3LjMzIDQ2&#10;Ni4xOSAxODguMTUgNDY2Ljk3IDE4OS40NiA0NjcuNjggMTkwLjggNDY4LjM1IDE5Mi4xNSA0Njku&#10;NjUgMTk0Ljc3IDQ3MC45MyAxOTcuNCA0NzIuMTcgMjAwLjAzIDQ3Mi43NiAyMDEuMjggNDczLjI4&#10;IDIwMi41MyA0NzMuNzcgMjAzLjggNDc0IDIwNC4zOSA0NzQuMjUgMjA0Ljk3IDQ3NC40OSAyMDUu&#10;NTYgNDc0LjY4IDIwNi4wMyA0NzQuODYgMjA2LjUxIDQ3NC45OSAyMDYuOTkgNDc1LjExIDIwNy40&#10;OCA0NzUuMDggMjA3Ljk4IDQ3NC45NyAyMDguNDcgNDc0Ljc1IDIwOS4zNiA0NzMuODQgMjEwLjEy&#10;IDQ3Mi42NSAyMTAuNDIgNDcyLjA0IDIxMC41OCA0NzEuNDEgMjEwLjYxIDQ3MC43NyAyMTAuNTMg&#10;NDcwLjQ3IDIxMC40NiA0NzAuMTYgMjEwLjM5IDQ2OS44NSAyMTAuMzIgNDY5LjI4IDIxMC4xMiA0&#10;NjguODEgMjA5Ljg0IDQ2OC40NSAyMDkuNDcgNDY3LjYgMjA4Ljc3IDQ2Ny4yNSAyMDcuODQgNDY2&#10;Ljg2IDIwNi45OCA0NjYuNTEgMjA2LjIyIDQ2Ni4xMSAyMDUuNDcgNDY1LjcxIDIwNC43MiA0NjQu&#10;OTYgMjAzLjMzIDQ2NC4zIDIwMS45MSA0NjMuNjEgMjAwLjUxIDQ2Mi45NiAxOTkuMTkgNDYyLjMy&#10;IDE5Ny44OCA0NjEuNzUgMTk2LjU0IDQ2MS4xNiAxOTUuMTUgNDYwLjYzIDE5My43NSA0NjAuMTEg&#10;MTkyLjM1IDQ1OS43IDE5MS4yNyA0NTkuMzMgMTkwLjE5IDQ1OC45NSAxODkuMTEgNDU4LjQxIDE4&#10;Ny41NiA0NTcuMzcgMTg0Ljk5IDQ2MC4yMyAxODQuMjEgNDYwLjYyIDE4NC4xMSA0NjAuOTkgMTg0&#10;LjA3IDQ2MS4zNSAxODQuMDggNDYyLjcxIDE4NC4xMyA0NjMuODQgMTg0Ljk1IDQ2NC41NyAxODUu&#10;NzZaIiBmaWxsPSIjMDEwMTAxIi8+PHBhdGggZD0iTTEyLjUyIDE4My4wMUMxMy41MyAxODMuMSAx&#10;NC4yOCAxODMuNjkgMTQuODggMTg0LjIxIDE1LjM1IDE4NC42MyAxNS42NyAxODUuMTIgMTUuOTMg&#10;MTg1LjYyIDE2LjMgMTg2LjMyIDE2LjU3IDE4Ny4wNyAxNi44MSAxODcuOCAxNy4yOCAxODkuMiAx&#10;Ny44NiAxOTAuNTggMTguNTYgMTkxLjkzIDE5LjU4IDE5My45MSAyMC42NSAxOTUuODggMjEuNjQg&#10;MTk3Ljg3IDIyLjM3IDE5OS4zMyAyMy4wNyAyMDAuODEgMjMuNzcgMjAyLjI4IDIzLjkyIDIwMi42&#10;IDI0LjA3IDIwMi45MyAyNC4yMyAyMDMuMjYgMjQuMyAyMDMuNDEgMjQuMzcgMjAzLjU1IDI0LjQ1&#10;IDIwMy43IDI0LjYxIDIwNC4wNCAyNC44NiAyMDQuNDUgMjQuODQgMjA0Ljc5IDI0Ljg5IDIwNS4y&#10;MSAyNC43OCAyMDUuNiAyNC41NCAyMDUuOTggMjQuMjkgMjA2LjM0IDIzLjk0IDIwNi42MyAyMy40&#10;OCAyMDYuODYgMjMuMDIgMjA3LjA4IDIyLjUxIDIwNy4yMSAyMS45NSAyMDcuMjUgMjEuMTcgMjA3&#10;LjMgMjAuMTYgMjA3LjEzIDE5LjYgMjA2LjcxIDE5LjA4IDIwNi4zMiAxOC45NCAyMDYuMiAxOC42&#10;MyAyMDUuNzIgMTguNTkgMjA1LjY2IDE4LjU2IDIwNS42MSAxOC41MyAyMDUuNTYgMTguNDkgMjA1&#10;LjUgMTguNDUgMjA1LjQzIDE4LjQxIDIwNS4zNiAxOC4zMyAyMDUuMjMgMTguMjYgMjA1LjEgMTgu&#10;MTkgMjA0Ljk2IDE4LjAzIDIwNC42NyAxNy44NyAyMDQuMzkgMTcuNzIgMjA0LjEgMTcuMzYgMjAz&#10;LjQzIDE3LjA1IDIwMi43NCAxNi43MiAyMDIuMDUgMTUuOTIgMjAwLjM2IDE1LjEzIDE5OC42NyAx&#10;NC4yNCAxOTcgMTMuNjcgMTk1Ljk1IDEzLjA2IDE5NC45MSAxMi40OSAxOTMuODcgMTIuMDYgMTkz&#10;LjA3IDExLjYzIDE5Mi4yOCAxMS4xNyAxOTEuNDggMTAuODMgMTkwLjg5IDEwLjUxIDE5MC4zIDEw&#10;LjE4IDE4OS43MSA5LjcgMTg4Ljg1IDkuMzYgMTg3Ljk0IDkuMTIgMTg3LjAzIDguNjkgMTg1LjM5&#10;IDkuMjMgMTgyLjg3IDEyLjI3IDE4Mi45OSAxMi4zNSAxODIuOTkgMTIuNDMgMTgyLjk5IDEyLjUy&#10;IDE4My4wMVoiIGZpbGw9IiMwMTAxMDEiLz48cGF0aCBkPSJNNjE3LjU4IDkyLjMzQzYxOC4wNyA5&#10;Mi4zNSA2MTguNTUgOTIuNTggNjE4Ljk0IDkyLjc4IDYxOS4zMSA5Mi45NiA2MTkuNiA5My4yMSA2&#10;MTkuOSA5My40NSA2MjAuMzYgOTMuODEgNjIwLjcyIDk0LjIzIDYyMS4wNyA5NC42NSA2MjEuOTQg&#10;OTUuNzMgNjIyLjY0IDk2Ljg3IDYyMy4zNCA5OCA2MjQuNDggOTkuODUgNjI1LjUyIDEwMS43MyA2&#10;MjYuNTggMTAzLjYgNjI3LjEgMTA0LjUzIDYyNy42MSAxMDUuNDYgNjI4LjExIDEwNi40IDYyOC43&#10;MyAxMDcuNTQgNjI5LjM2IDEwOC43IDYyOS43OSAxMDkuODkgNjMwIDExMC41IDYzMC4yMiAxMTEu&#10;MTIgNjMwLjMgMTExLjc1IDYzMC4zNyAxMTIuMyA2MzAuMzMgMTEyLjg2IDYzMC4yMiAxMTMuNDEg&#10;NjI5Ljk5IDExNC40NiA2MjkuMzIgMTE1LjM5IDYyOC40MiAxMTYuMjIgNjI3LjYgMTE2Ljk4IDYy&#10;Ni41NiAxMTcuNjUgNjI1LjU1IDExOC4yOCA2MjQuMzggMTE5LjAxIDYyMy4xNSAxMTkuNjkgNjIx&#10;LjkyIDEyMC4zOCA2MjAuNjkgMTIxLjA2IDYxOS40NyAxMjEuNzQgNjE4LjIyIDEyMi40IDYxNi45&#10;IDEyMy4wOSA2MTUuNTYgMTIzLjc2IDYxNC4yMyAxMjQuNDQgNjExLjU4IDEyNS43OSA2MDguOTEg&#10;MTI3LjEyIDYwNi4yMyAxMjguNDUgNjAzLjQ0IDEyOS44MiA2MDAuNzMgMTMxLjI2IDU5OC4xIDEz&#10;Mi43OCA1OTYuNTkgMTMzLjY1IDU5NS4wNyAxMzQuNTIgNTkzLjUgMTM1LjMzIDU5MS43OCAxMzYu&#10;MjMgNTkwLjA3IDEzNy4xMiA1ODguNDIgMTM4LjA4IDU4Ny43IDEzOC41IDU4Ni41NCAxMzguMyA1&#10;ODYuMDMgMTM3Ljc5IDU4NS43NyAxMzcuNTIgNTg1LjY2IDEzNy4xOSA1ODUuNzQgMTM2Ljg4IDU4&#10;NS44MiAxMzYuNTQgNTg2LjA4IDEzNi4zMSA1ODYuNDQgMTM2LjA5IDU4Ny41NCAxMzUuNDIgNTg4&#10;LjYzIDEzNC43NSA1ODkuNyAxMzQuMDUgNTg5LjY3IDEzNC4wNyA1ODkuNjMgMTM0LjA5IDU4OS42&#10;IDEzNC4xMiA1OTIuMjYgMTMyLjM5IDU5NS4wNCAxMzAuNzUgNTk3Ljc4IDEyOS4wOSA2MDAuMzEg&#10;MTI3LjU2IDYwMi45NiAxMjYuMTQgNjA1LjYgMTI0LjcgNjA2Ljg5IDEyNCA2MDguMjEgMTIzLjMx&#10;IDYwOS41IDEyMi42MSA2MTAuODQgMTIxLjg4IDYxMi4xNiAxMjEuMTIgNjEzLjQ3IDEyMC4zNiA2&#10;MTQuNzIgMTE5LjY0IDYxNS45OCAxMTguOTIgNjE3LjI3IDExOC4yMyA2MTguNTYgMTE3LjU0IDYx&#10;OS44NyAxMTYuODkgNjIxLjE4IDExNi4yMiA2MjEuODQgMTE1Ljg4IDYyMi40OCAxMTUuNTQgNjIz&#10;LjA5IDExNS4xNiA2MjMuNDcgMTE0LjkgNjIzLjgyIDExNC42MiA2MjQuMTMgMTE0LjMxIDYyNC4z&#10;NCAxMTQuMDUgNjI0LjUyIDExMy43OSA2MjQuNjcgMTEzLjUxIDYyNC43NCAxMTMuMzEgNjI0Ljgg&#10;MTEzLjEgNjI0LjgzIDExMi45IDYyNC44MiAxMTIuNjggNjI0Ljc4IDExMi40NSA2MjQuNzIgMTEy&#10;LjIzIDYyNC41NiAxMTEuODMgNjI0LjM2IDExMS40NSA2MjQuMTYgMTExLjA2IDYyMy44NyAxMTAu&#10;NTEgNjIzLjYgMTA5Ljk1IDYyMy4zMiAxMDkuMzkgNjIyLjc5IDEwOC4zMyA2MjIuMjggMTA3LjI3&#10;IDYyMS43MyAxMDYuMjIgNjIwLjcyIDEwNC4yOSA2MTkuNyAxMDIuMzYgNjE4LjU1IDEwMC40NyA2&#10;MTguMjUgOTkuOTcgNjE3Ljk0IDk5LjQ4IDYxNy42MiA5OC45OSA2MTcuMjMgOTguMzkgNjE2Ljgx&#10;IDk3Ljc5IDYxNi40MiA5Ny4xOSA2MTYuMDUgOTYuNjIgNjE1LjY2IDk2LjA0IDYxNS40MSA5NS40&#10;NCA2MTUuMTIgOTQuNzMgNjE0Ljg3IDkzLjg3IDYxNS4zNCA5My4xNyA2MTUuNDkgOTIuOTQgNjE1&#10;LjcyIDkyLjc1IDYxNi4wMiA5Mi41OSA2MTYuMTggOTIuNTMgNjE2LjMzIDkyLjQ4IDYxNi40OSA5&#10;Mi40MiA2MTYuNzYgOTIuMzUgNjE3LjA0IDkyLjMyIDYxNy4zMyA5Mi4zMyA2MTcuNDEgOTIuMzMg&#10;NjE3LjQ5IDkyLjMzIDYxNy41NyA5Mi4zNVoiIGZpbGw9IiMwMTAxMDEiLz48cGF0aCBkPSJNMjYu&#10;NjUgMTg5LjI1QzI2LjcxIDE4OS4zNCAyNi43MyAxODkuNDUgMjYuNzUgMTg5LjU0IDI2Ljc5IDE4&#10;OS43MiAyNi44MyAxODkuOSAyNi44OCAxOTAuMDcgMjcuMDEgMTkwLjUyIDI3LjE0IDE5MC45OCAy&#10;Ny4yOCAxOTEuNDQgMjcuNTggMTkyLjQyIDI3LjkxIDE5My40IDI4LjI1IDE5NC4zOCAyOC4yMyAx&#10;OTQuMzMgMjguMjEgMTk0LjI3IDI4LjE5IDE5NC4yMiAyOC43IDE5NS42MiAyOS4yNSAxOTcuMDEg&#10;MjkuODMgMTk4LjQgMzAuMzcgMTk5LjczIDMwLjk0IDIwMS4wNiAzMS40MiAyMDIuNCAzMS43NiAy&#10;MDMuMzMgMzIuMDIgMjA0LjI2IDMyLjI5IDIwNS4xOSAzMi4zOCAyMDUuNDkgMzEuOTUgMjA1Ljc5&#10;IDMxLjQ3IDIwNS44OSAzMS4xNiAyMDUuOTUgMzAuODIgMjA1Ljk0IDMwLjUzIDIwNS44NSAzMC4y&#10;NyAyMDUuNzcgMzAgMjA1LjYyIDI5LjkzIDIwNS40NiAyOS42MyAyMDQuNzUgMjkuMjkgMjA0LjA1&#10;IDI5LjAxIDIwMy4zNCAyOC43NCAyMDIuNjYgMjguNDggMjAxLjk3IDI4LjIyIDIwMS4yOCAyNy42&#10;OCAxOTkuODQgMjcuMTggMTk4LjQgMjYuNzMgMTk2Ljk1IDI2LjExIDE5NC45NiAyNS42IDE5Mi45&#10;NiAyNC45MSAxOTAuOTcgMjQuOTEgMTkwLjk3IDI0LjkxIDE5MC45OCAyNC45MSAxOTAuOTkgMjQu&#10;NzkgMTkwLjY3IDI0LjY4IDE5MC4zNCAyNC40OSAxOTAuMDMgMjQuNDQgMTg5Ljk0IDI0LjM2IDE4&#10;OS44NSAyNC4yOSAxODkuNzUgMjQuMiAxODkuNjIgMjQuMTUgMTg5LjQ1IDI0LjIyIDE4OS4zMSAy&#10;NC4zNyAxODguOTkgMjQuNzUgMTg4Ljc4IDI1LjM0IDE4OC43NCAyNS40MSAxODguNzQgMjUuNDcg&#10;MTg4Ljc0IDI1LjUzIDE4OC43NCAyNi4wNSAxODguNzYgMjYuNDUgMTg4Ljk5IDI2LjY0IDE4OS4y&#10;NloiIGZpbGw9IiMwMTAxMDEiLz48cGF0aCBkPSJNMzguOTIgMTk2LjI5QzM4LjkyIDE5Ni4yOSAz&#10;OC45MiAxOTYuMyAzOC45MiAxOTYuMzEgMzguOSAxOTYuMjYgMzguODggMTk2LjIxIDM4Ljg2IDE5&#10;Ni4xNUwzOC45MSAxOTYuMjlaTTM4LjMgMTg4LjgzQzM4LjY2IDE4OC45MSAzOC45NCAxODkuMTEg&#10;MzkuMTUgMTg5LjI5IDM5LjM2IDE4OS40OCAzOS41MSAxODkuNyAzOS42NiAxODkuOSAzOS45IDE5&#10;MC4yMyA0MC4xMiAxOTAuNTYgNDAuMzIgMTkwLjg5IDQwLjc0IDE5MS42IDQxLjEzIDE5Mi4zMSA0&#10;MS40OSAxOTMuMDIgNDIuMTkgMTk0LjQxIDQyLjc4IDE5NS44MSA0My4zMyAxOTcuMjIgNDMuNTgg&#10;MTk3Ljg1IDQzLjgyIDE5OC40OSA0NC4wNSAxOTkuMTMgNDQuMDIgMTk5LjAzIDQzLjk4IDE5OC45&#10;NCA0My45NSAxOTguODQgNDQuMDIgMTk5LjA1IDQ0LjEgMTk5LjI2IDQ0LjE3IDE5OS40NyA0NC4x&#10;NCAxOTkuMzcgNDQuMSAxOTkuMjggNDQuMDcgMTk5LjE4IDQ0LjQ2IDIwMC4yNSA0NC44MiAyMDEu&#10;MzMgNDUuMTIgMjAyLjQyIDQ1LjE0IDIwMi42MSA0NS4wOCAyMDIuNzkgNDQuOTMgMjAyLjk2IDQ0&#10;LjcyIDIwMy4yIDQ0LjM0IDIwMy4zOSA0My44OCAyMDMuNDcgNDIuOTggMjAzLjY0IDQxLjgzIDIw&#10;My4zNyA0MS41NSAyMDIuODIgNDAuNSAyMDAuNzEgMzkuNzQgMTk4LjU2IDM4Ljk3IDE5Ni40MSAz&#10;OC45OCAxOTYuNDQgMzguOTkgMTk2LjQ3IDM5IDE5Ni41MSAzOC45NyAxOTYuNDQgMzguOTUgMTk2&#10;LjM3IDM4LjkzIDE5Ni4zTDM4LjkzIDE5Ni4zM0MzOC45MyAxOTYuMzMgMzguOTMgMTk2LjMgMzgu&#10;OTMgMTk2LjI4IDM4LjkgMTk2LjIgMzguODggMTk2LjEyIDM4Ljg1IDE5Ni4wNCAzOC44NiAxOTYu&#10;MDcgMzguODcgMTk2LjExIDM4Ljg4IDE5Ni4xNCAzOC44MiAxOTUuOTcgMzguNzYgMTk1LjggMzgu&#10;NyAxOTUuNjQgMzguNzIgMTk1LjY5IDM4Ljc0IDE5NS43NCAzOC43NiAxOTUuOCAzOC4zNiAxOTQu&#10;NzIgMzcuOTYgMTkzLjY0IDM3LjUzIDE5Mi41NiAzNy4zMiAxOTIuMDQgMzcuMTIgMTkxLjUzIDM2&#10;LjkyIDE5MS4wMSAzNi43OSAxOTAuNjkgMzYuNjggMTkwLjM3IDM2LjU2IDE5MC4wNSAzNi40NSAx&#10;ODkuNzQgMzYuNDEgMTg5LjQ0IDM2LjY0IDE4OS4xMyAzNi43NiAxODguOTcgMzcuMDYgMTg4Ljg0&#10;IDM3LjM1IDE4OC43OCAzNy41IDE4OC43NSAzNy42NSAxODguNzQgMzcuNzkgMTg4Ljc1IDM3Ljk2&#10;IDE4OC43NSAzOC4xMyAxODguNzggMzguMzEgMTg4LjgyWiIgZmlsbD0iIzAxMDEwMSIvPjxwYXRo&#10;IGQ9Ik01Ni41NSAxODguNTFDNTYuODcgMTg4LjY0IDU3LjAyIDE4OC45IDU3LjE0IDE4OS4wOSA1&#10;Ny4yNiAxODkuMjkgNTcuMzYgMTg5LjQ4IDU3LjQ2IDE4OS42OCA1Ny42NSAxOTAuMDkgNTcuODQg&#10;MTkwLjUgNTguMDIgMTkwLjkxIDU4LjQgMTkxLjc2IDU4Ljc2IDE5Mi42MiA1OS4xIDE5My40OCA1&#10;OS43OCAxOTUuMjIgNjAuNDEgMTk2Ljk2IDYxLjA1IDE5OC43IDYxLjA4IDE5OC43OSA2MS4xMSAx&#10;OTguODggNjEuMTUgMTk4Ljk3IDYxLjEzIDE5OC45MiA2MS4xMiAxOTguODcgNjEuMSAxOTguODIg&#10;NjEuMzUgMTk5LjUyIDYxLjYgMjAwLjIyIDYxLjgxIDIwMC45MiA2MiAyMDEuNTUgNjEuODcgMjAy&#10;LjE4IDYxLjkxIDIwMi44MiA2MS45MyAyMDMuMjIgNjEuNTQgMjAzLjU5IDYwLjg2IDIwMy43MiA2&#10;MC4wMyAyMDMuODggNTkuMTkgMjAzLjYyIDU4Ljg4IDIwMy4xNyA1OC41OSAyMDIuNzUgNTguMjUg&#10;MjAyLjM1IDU3Ljk0IDIwMS45MyA1Ny44IDIwMS43NCA1Ny43MyAyMDEuNTMgNTcuNjUgMjAxLjMy&#10;IDU3LjUzIDIwMS4wMyA1Ny40MyAyMDAuNzMgNTcuMzIgMjAwLjQzIDU3LjAxIDE5OS41NSA1Ni43&#10;NCAxOTguNjggNTYuNDggMTk3LjggNTUuOTYgMTk2LjA2IDU1LjUgMTk0LjMyIDU1LjA1IDE5Mi41&#10;OCA1NC44OCAxOTEuOTMgNTQuNzEgMTkxLjI4IDU0LjU2IDE5MC42MiA1NC40OSAxOTAuMzEgNTQu&#10;NDIgMTg5Ljk5IDU0LjM5IDE4OS42OCA1NC4zNSAxODkuMzEgNTQuMjkgMTg4Ljg3IDU0Ljc3IDE4&#10;OC41NyA1NC45OSAxODguNDMgNTUuMzEgMTg4LjM0IDU1LjY0IDE4OC4zMyA1NS42OSAxODguMzMg&#10;NTUuNzUgMTg4LjMzIDU1Ljc5IDE4OC4zMyA1Ni4wOSAxODguMzMgNTYuMzIgMTg4LjQxIDU2LjU4&#10;IDE4OC41MVoiIGZpbGw9IiMwMTAxMDEiLz48cGF0aCBkPSJNNzEuNTcgMTg3LjU3QzcyLjI4IDE4&#10;Ny43OCA3Mi40NyAxODguMjkgNzIuNjcgMTg4LjY5IDcyLjg1IDE4OS4wNSA3Mi45OSAxODkuNDEg&#10;NzMuMTMgMTg5Ljc4IDczLjQ2IDE5MC42MiA3My43NyAxOTEuNDYgNzQuMDcgMTkyLjMxIDc0LjY5&#10;IDE5NC4wNCA3NS4yOCAxOTUuNzggNzUuOCAxOTcuNTIgNzYuMTQgMTk4LjY0IDc2LjQyIDE5OS43&#10;NyA3Ni42OCAyMDAuOSA3Ni44MSAyMDEuNDcgNzYuOTQgMjAyLjA0IDc3LjA0IDIwMi42MSA3Ny4w&#10;OSAyMDIuODggNzcuMTMgMjAzLjE1IDc3LjE1IDIwMy40MiA3Ny4xOSAyMDMuODEgNzcuMSAyMDQu&#10;MiA3Ny4wNSAyMDQuNTkgNzYuOTggMjA0Ljc4IDc2LjgzIDIwNC45NSA3Ni42IDIwNS4xIDc2LjI3&#10;IDIwNS4zMSA3NS44IDIwNS40NCA3NS4zIDIwNS40NiA3NC40MyAyMDUuNSA3My42NCAyMDUuMTkg&#10;NzMuMzUgMjA0LjczIDczLjIyIDIwNC41MyA3My4wOSAyMDQuMzIgNzIuOTcgMjA0LjEyIDcyLjgx&#10;IDIwMy44NCA3Mi43NCAyMDMuNTQgNzIuNjQgMjAzLjI0IDcyLjUxIDIwMi44NiA3Mi40IDIwMi40&#10;NyA3Mi4zIDIwMi4wOCA3Mi4wOCAyMDEuMjQgNzEuODcgMjAwLjM5IDcxLjY4IDE5OS41NSA3MS4z&#10;IDE5Ny45IDcwLjk3IDE5Ni4yNCA3MC42NyAxOTQuNTkgNzAuNDYgMTkzLjQgNzAuMjMgMTkyLjIx&#10;IDcwLjAzIDE5MS4wMiA2OS45NCAxOTAuNDggNjkuODQgMTg5Ljk0IDY5LjggMTg5LjQgNjkuNzgg&#10;MTg5LjEzIDY5Ljc3IDE4OC44NiA2OS43OCAxODguNTkgNjkuOCAxODguMjMgNjkuODggMTg3Ljgz&#10;IDcwLjQ2IDE4Ny42MSA3MC42NiAxODcuNTMgNzAuODkgMTg3LjUgNzEuMTIgMTg3LjUxIDcxLjI3&#10;IDE4Ny41MSA3MS40MSAxODcuNTQgNzEuNTUgMTg3LjU3WiIgZmlsbD0iIzAxMDEwMSIvPjxwYXRo&#10;IGQ9Ik04OS43OCAxODguMzhDODkuODMgMTg4LjQ0IDg5Ljg4IDE4OC41IDg5LjkyIDE4OC41NSA5&#10;MC4wNyAxODguNzUgOTAuMTggMTg4Ljk1IDkwLjI5IDE4OS4xNiA5MC41NiAxODkuNjggOTAuNzEg&#10;MTkwLjIxIDkwLjg4IDE5MC43NCA5MS4xOCAxOTEuNjcgOTEuNDIgMTkyLjYxIDkxLjY3IDE5My41&#10;NCA5Mi4xNyAxOTUuNCA5Mi42MiAxOTcuMjggOTMuMDMgMTk5LjE1IDkzLjE4IDE5OS44MSA5My4z&#10;MSAyMDAuNDggOTMuNDUgMjAxLjE0IDkzLjU4IDIwMS44MyA5My43NCAyMDIuNTMgOTMuNzYgMjAz&#10;LjIzIDkzLjc4IDIwMy43NyA5My4yNiAyMDQuMjcgOTIuMzIgMjA0LjQ2IDkxLjc4IDIwNC41NiA5&#10;MS4xOCAyMDQuNTQgOTAuNjcgMjA0LjM5IDkwLjIyIDIwNC4yNiA4OS43NCAyMDQgODkuNjIgMjAz&#10;LjcgODkuMiAyMDIuNzEgODkgMjAxLjY5IDg4Ljc4IDIwMC42NyA4OC41OCAxOTkuNzMgODguNDEg&#10;MTk4Ljc4IDg4LjI0IDE5Ny44NCA4Ny45MSAxOTUuOTYgODcuNjYgMTk0LjA5IDg3LjQ0IDE5Mi4y&#10;MSA4Ny4zNiAxOTEuNTIgODcuMjggMTkwLjg0IDg3LjI0IDE5MC4xNSA4Ny4yMiAxODkuODEgODcu&#10;MjIgMTg5LjQ2IDg3LjI1IDE4OS4xMiA4Ny4yOCAxODguODYgODcuMzIgMTg4LjY0IDg3LjQ4IDE4&#10;OC4zOSA4Ny40MyAxODguMDQgODcuOTYgMTg3LjczIDg4LjU1IDE4Ny43MSA4OC42IDE4Ny43MSA4&#10;OC42NCAxODcuNzEgODguNjkgMTg3LjcxIDg5LjMgMTg3LjczIDg5LjgyIDE4OC4wMyA4OS43OSAx&#10;ODguMzhaIiBmaWxsPSIjMDEwMTAxIi8+PHBhdGggZD0iTTEwMy44NyAxODcuMzVDMTA0LjQzIDE4&#10;Ny41MSAxMDQuNjEgMTg3Ljg5IDEwNC43NSAxODguMjEgMTA0Ljg4IDE4OC41MSAxMDUgMTg4Ljgg&#10;MTA1LjEzIDE4OS4xIDEwNS4zOSAxODkuNzMgMTA1LjYzIDE5MC4zNiAxMDUuODggMTkwLjk5IDEw&#10;Ni4zOCAxOTIuMjUgMTA2Ljg3IDE5My41MiAxMDcuMzUgMTk0Ljc5IDEwNy40OSAxOTUuMTcgMTA3&#10;LjYzIDE5NS41NiAxMDcuNzcgMTk1Ljk0IDEwNy44MiAxOTYuMDYgMTA3Ljg1IDE5Ni4xOCAxMDcu&#10;OSAxOTYuMyAxMDcuODcgMTk2LjIyIDEwNy44NSAxOTYuMTUgMTA3LjgyIDE5Ni4wNyAxMDcuODIg&#10;MTk2LjA3IDEwNy44MiAxOTYuMDcgMTA3LjgyIDE5Ni4wNyAxMDguNjQgMTk4LjM1IDEwOS4zOSAy&#10;MDAuNjUgMTA5LjY4IDIwMi45OCAxMDkuNzMgMjAzLjM2IDEwOS4zMSAyMDMuNzEgMTA4LjY4IDIw&#10;My44MyAxMDcuOTMgMjAzLjk4IDEwNy4wNSAyMDMuNzQgMTA2LjggMjAzLjMxIDEwNi4wNiAyMDIu&#10;MDIgMTA1LjYgMjAwLjY5IDEwNS4xNSAxOTkuMzcgMTA0LjgyIDE5OC40MSAxMDQuNTIgMTk3LjQ0&#10;IDEwNC4yNCAxOTYuNDcgMTA0LjIxIDE5Ni40MSAxMDQuMTkgMTk2LjM0IDEwNC4xOCAxOTYuMjgg&#10;MTA0LjExIDE5Ni4wMyAxMDQuMDMgMTk1Ljc4IDEwMy45NiAxOTUuNTIgMTAzLjYgMTk0LjIzIDEw&#10;My4yNiAxOTIuOTUgMTAyLjkzIDE5MS42NiAxMDIuNzcgMTkxLjAyIDEwMi42IDE5MC4zOCAxMDIu&#10;NDQgMTg5Ljc0IDEwMi4zNyAxODkuNDQgMTAyLjMxIDE4OS4xMyAxMDIuMjYgMTg4LjgyIDEwMi4y&#10;NCAxODguNjggMTAyLjIyIDE4OC41NCAxMDIuMjIgMTg4LjQgMTAyLjIyIDE4OC4yMiAxMDIuMjEg&#10;MTg4LjA0IDEwMi4yOSAxODcuODcgMTAyLjM5IDE4Ny42NyAxMDIuNTEgMTg3LjUxIDEwMi44MyAx&#10;ODcuMzggMTAzLjAxIDE4Ny4zMSAxMDMuMjQgMTg3LjI4IDEwMy40NiAxODcuMjggMTAzLjYxIDE4&#10;Ny4yOCAxMDMuNzUgMTg3LjMxIDEwMy44OCAxODcuMzRaIiBmaWxsPSIjMDEwMTAxIi8+PHBhdGgg&#10;ZD0iTTEyMi4yMiAxODcuMzVDMTIyLjk5IDE4Ny40OCAxMjMuMTUgMTg3Ljk4IDEyMy4yNyAxODgu&#10;MzcgMTIzLjM3IDE4OC43MSAxMjMuNDQgMTg5LjA1IDEyMy40OSAxODkuNCAxMjMuNiAxOTAuMTMg&#10;MTIzLjY4IDE5MC44NiAxMjMuNzYgMTkxLjU5IDEyMy45MyAxOTMuMDYgMTI0LjEyIDE5NC41NCAx&#10;MjQuMzcgMTk2LjAxIDEyNC41MyAxOTYuOTUgMTI0LjcxIDE5Ny44OSAxMjQuODkgMTk4LjgzIDEy&#10;NS4wNyAxOTkuODEgMTI1LjI1IDIwMC43OCAxMjUuMjggMjAxLjc2IDEyNS4zIDIwMi4yNSAxMjQu&#10;ODQgMjAyLjY5IDEyNCAyMDIuODUgMTIzLjUyIDIwMi45NCAxMjIuOTkgMjAyLjkyIDEyMi41MyAy&#10;MDIuNzkgMTIyLjEzIDIwMi42OCAxMjEuNjkgMjAyLjQ0IDEyMS41OSAyMDIuMTggMTIxLjI2IDIw&#10;MS4zNSAxMjEuMDYgMjAwLjUxIDEyMC45IDE5OS42NyAxMjAuNzYgMTk4Ljk1IDEyMC42NCAxOTgu&#10;MjMgMTIwLjU2IDE5Ny41IDEyMC4zOSAxOTYuMDMgMTIwLjI5IDE5NC41NiAxMjAuMzIgMTkzLjA5&#10;IDEyMC4zNCAxOTIuMDMgMTIwLjQxIDE5MC45NyAxMjAuNTUgMTg5LjkyIDEyMC42MSAxODkuNDcg&#10;MTIwLjcgMTg5LjAyIDEyMC44MSAxODguNTcgMTIwLjg3IDE4OC4zMiAxMjAuOTYgMTg4LjA3IDEy&#10;MS4xMiAxODcuODMgMTIxLjE5IDE4Ny43MiAxMjEuMjggMTg3LjYxIDEyMS40MiAxODcuNTMgMTIx&#10;LjU5IDE4Ny40MyAxMjEuODQgMTg3LjMzIDEyMi4xIDE4Ny4zNCAxMjIuMTQgMTg3LjM0IDEyMi4x&#10;OCAxODcuMzQgMTIyLjIyIDE4Ny4zNVoiIGZpbGw9IiMwMTAxMDEiLz48cGF0aCBkPSJNMTM0LjMz&#10;IDE4Ny42OEMxMzQuOTUgMTg3Ljc2IDEzNS4yMiAxODguMTYgMTM1LjM3IDE4OC40NyAxMzUuNTkg&#10;MTg4LjkgMTM1LjcgMTg5LjM1IDEzNS44MiAxODkuNzkgMTM2LjA0IDE5MC41NSAxMzYuMTkgMTkx&#10;LjMxIDEzNi4zMiAxOTIuMDcgMTM2LjYgMTkzLjY2IDEzNi43OSAxOTUuMjUgMTM3IDE5Ni44NCAx&#10;MzcuMiAxOTguMzUgMTM3LjQxIDE5OS44NyAxMzcuNTkgMjAxLjM5IDEzNy42OCAyMDIuMTYgMTM3&#10;Ljc0IDIwMi45MiAxMzcuODIgMjAzLjY5IDEzNy45MSAyMDQuNTIgMTM4LjAyIDIwNS4zNSAxMzgu&#10;MTYgMjA2LjE4IDEzOC4yNiAyMDYuNzcgMTM3LjQgMjA3LjMgMTM2LjM4IDIwNy4zNCAxMzUuMzIg&#10;MjA3LjM4IDEzNC40NCAyMDYuOTIgMTM0LjM0IDIwNi4zMyAxMzQuMDYgMjA0LjcyIDEzMy43MyAy&#10;MDMuMTEgMTMzLjUzIDIwMS41IDEzMy4zMyAxOTkuOTMgMTMzLjMxIDE5OC4zNSAxMzMuMjcgMTk2&#10;Ljc4IDEzMy4yMyAxOTUuMjEgMTMzLjIgMTkzLjY0IDEzMy4xMyAxOTIuMDggMTMzLjA5IDE5MS4z&#10;MSAxMzMuMDUgMTkwLjU0IDEzMyAxODkuNzcgMTMyLjk4IDE4OS4zNCAxMzIuOTUgMTg4LjkxIDEz&#10;My4wMiAxODguNDkgMTMzLjA3IDE4OC4xNyAxMzMuNDkgMTg3LjY2IDEzNC4xNyAxODcuNjggMTM0&#10;LjIyIDE4Ny42OCAxMzQuMjYgMTg3LjY4IDEzNC4zMSAxODcuNjlaIiBmaWxsPSIjMDEwMTAxIi8+&#10;PHBhdGggZD0iTTE1MC4zNSAxODcuNDhDMTUwLjY3IDE4Ny42MyAxNTAuODQgMTg3Ljg2IDE1MC45&#10;NiAxODguMDggMTUxLjEgMTg4LjMyIDE1MS4xNyAxODguNTcgMTUxLjI0IDE4OC44MiAxNTEuMzUg&#10;MTg5LjIyIDE1MS40MiAxODkuNjEgMTUxLjQ5IDE5MC4wMiAxNTEuNjIgMTkwLjgxIDE1MS43IDE5&#10;MS42IDE1MS43OCAxOTIuMzggMTUxLjk0IDE5NC4wMSAxNTIuMDIgMTk1LjY1IDE1Mi4wOSAxOTcu&#10;MjkgMTUyLjE0IDE5OC4zNSAxNTIuMTkgMTk5LjQxIDE1Mi4xOCAyMDAuNDcgMTUyLjE3IDIwMS41&#10;OCAxNTIuMTMgMjAyLjY4IDE1Mi4yIDIwMy43OSAxNTIuMjQgMjA0LjM5IDE1MS40OCAyMDQuOTMg&#10;MTUwLjM5IDIwNC45NyAxNDkuMzUgMjA1LjAxIDE0OC4zNyAyMDQuNTUgMTQ4LjMxIDIwMy45NSAx&#10;NDguMTYgMjAyLjMgMTQ3LjkgMjAwLjY2IDE0Ny44OCAxOTkuMDEgMTQ3Ljg1IDE5Ny4zNyAxNDcu&#10;OSAxOTUuNzQgMTQ3LjkyIDE5NC4xMSAxNDcuOTQgMTkzLjA1IDE0Ny45NSAxOTEuOTggMTQ3Ljk3&#10;IDE5MC45MiAxNDcuOTggMTkwLjQyIDE0Ny45OSAxODkuOTIgMTQ4LjAxIDE4OS40MiAxNDguMDMg&#10;MTg5LjA4IDE0OC4wMyAxODguNzUgMTQ4LjEgMTg4LjQxIDE0OC4xMiAxODguMyAxNDguMTUgMTg4&#10;LjE5IDE0OC4yIDE4OC4wOCAxNDguMjggMTg3LjkgMTQ4LjQgMTg3LjY4IDE0OC42NSAxODcuNTQg&#10;MTQ4Ljg5IDE4Ny40MiAxNDkuMTMgMTg3LjMzIDE0OS40NiAxODcuMzEgMTQ5LjUxIDE4Ny4zMSAx&#10;NDkuNTYgMTg3LjMxIDE0OS42IDE4Ny4zMSAxNDkuODggMTg3LjMxIDE1MC4xMyAxODcuMzggMTUw&#10;LjM0IDE4Ny40OFoiIGZpbGw9IiMwMTAxMDEiLz48cGF0aCBkPSJNMTY2LjY5IDE4Ny4yNEMxNjcu&#10;MTEgMTg3LjQ1IDE2Ny4xOSAxODcuNzMgMTY3LjI4IDE4OC4wMyAxNjcuMzQgMTg4LjIyIDE2Ny4z&#10;NiAxODguNDIgMTY3LjM5IDE4OC42MiAxNjcuNDQgMTg5LjAzIDE2Ny40NyAxODkuNDMgMTY3LjUg&#10;MTg5LjgzIDE2Ny41NiAxOTAuNjMgMTY3LjU5IDE5MS40MiAxNjcuNjMgMTkyLjIyIDE2Ny43MSAx&#10;OTMuODEgMTY3LjgxIDE5NS4zOSAxNjcuODUgMTk2Ljk3IDE2Ny44NyAxOTcuNyAxNjcuODcgMTk4&#10;LjQyIDE2Ny44MSAxOTkuMTUgMTY3Ljc1IDE5OS45MiAxNjcuNjYgMjAwLjY4IDE2Ny42NSAyMDEu&#10;NDUgMTY3LjY1IDIwMS43NSAxNjcuNTMgMjAyLjAyIDE2Ny4xNyAyMDIuMjYgMTY2Ljg0IDIwMi40&#10;NyAxNjYuMzYgMjAyLjYgMTY1Ljg3IDIwMi42MiAxNjQuODQgMjAyLjY2IDE2My44NSAyMDIuMiAx&#10;NjMuODEgMjAxLjYgMTYzLjc1IDIwMC43NiAxNjMuNjMgMTk5LjkyIDE2My41MyAxOTkuMDggMTYz&#10;LjQ1IDE5OC4zMiAxNjMuNDUgMTk3LjU2IDE2My40NyAxOTYuODEgMTYzLjUxIDE5NS4xOCAxNjMu&#10;NjEgMTkzLjU1IDE2My43MSAxOTEuOTEgMTYzLjc2IDE5MS4wOSAxNjMuODQgMTkwLjI3IDE2My45&#10;NSAxODkuNDUgMTY0IDE4OS4wOSAxNjQuMDYgMTg4Ljc0IDE2NC4xNCAxODguMzggMTY0LjE5IDE4&#10;OC4yIDE2NC4yNSAxODguMDMgMTY0LjM0IDE4Ny44NiAxNjQuNDUgMTg3LjY1IDE2NC41NCAxODcu&#10;NTMgMTY0Ljc2IDE4Ny4zNiAxNjQuOTMgMTg3LjIzIDE2NS4xNSAxODcuMTYgMTY1LjQxIDE4Ny4w&#10;OSAxNjUuNTUgMTg3LjA1IDE2NS43MSAxODcuMDQgMTY1Ljg2IDE4Ny4wNSAxNjYuMTYgMTg3LjA1&#10;IDE2Ni40NiAxODcuMTMgMTY2LjY3IDE4Ny4yNFoiIGZpbGw9IiMwMTAxMDEiLz48cGF0aCBkPSJN&#10;MTgyLjQgMTg3LjA4QzE4Mi42MiAxODcuMTEgMTgyLjc4IDE4Ny4xNyAxODIuOSAxODcuMjYgMTgz&#10;LjA3IDE4Ny4zNiAxODMuMTggMTg3LjQ5IDE4My4yNiAxODcuNjMgMTgzLjMzIDE4Ny43NCAxODMu&#10;MzUgMTg3Ljg3IDE4My4zOSAxODcuOTggMTgzLjQzIDE4OC4wOSAxODMuNDYgMTg4LjE5IDE4My40&#10;OCAxODguMyAxODMuNTcgMTg4LjcgMTgzLjYyIDE4OS4xIDE4My42NiAxODkuNSAxODMuNzQgMTkw&#10;LjI5IDE4My43NiAxOTEuMDkgMTgzLjc3IDE5MS44OSAxODMuOCAxOTMuNTggMTgzLjgyIDE5NS4y&#10;OCAxODMuODUgMTk2Ljk3IDE4My44OCAxOTguMjYgMTgzLjgxIDE5OS41NSAxODMuODUgMjAwLjg0&#10;IDE4My44NSAyMDEuMTIgMTgzLjczIDIwMS4zNyAxODMuNCAyMDEuNTggMTgzLjA5IDIwMS43OCAx&#10;ODIuNjYgMjAxLjkgMTgyLjIgMjAxLjkxIDE4MS4yNiAyMDEuOTUgMTgwLjM0IDIwMS41MiAxODAu&#10;MzEgMjAwLjk4IDE4MC4yNiAyMDAuMTMgMTgwLjE5IDE5OS4yNyAxODAuMTYgMTk4LjQyIDE4MC4x&#10;MyAxOTcuNjEgMTgwLjE2IDE5Ni43OSAxODAuMiAxOTUuOTcgMTgwLjI4IDE5NC4zMiAxODAuNCAx&#10;OTIuNjggMTgwLjU2IDE5MS4wMyAxODAuNjMgMTkwLjMyIDE4MC43MSAxODkuNjEgMTgwLjgxIDE4&#10;OC45IDE4MC44NiAxODguNiAxODAuOTEgMTg4LjI5IDE4MSAxODggMTgxLjA4IDE4Ny43NCAxODEu&#10;MTkgMTg3LjQ0IDE4MS41NCAxODcuMjYgMTgxLjU0IDE4Ny4yNiAxODEuNTQgMTg3LjI2IDE4MS41&#10;NCAxODcuMjYgMTgxLjcxIDE4Ny4xNCAxODIgMTg3LjA4IDE4Mi4yNyAxODcuMDkgMTgyLjMxIDE4&#10;Ny4wOSAxODIuMzUgMTg3LjA5IDE4Mi4zOSAxODcuMDlaIiBmaWxsPSIjMDEwMTAxIi8+PHBhdGgg&#10;ZD0iTTE5MC42OCAxODguM0MxOTAuNjggMTg4LjMgMTkwLjY4IDE4OC4zIDE5MC42OSAxODguMyAx&#10;OTAuNyAxODguMyAxOTAuNzIgMTg4LjMgMTkwLjczIDE4OC4zTDE5MC42OCAxODguM1pNMTkyLjYg&#10;MTg2LjgzQzE5Mi42IDE4Ni44MyAxOTIuNiAxODYuODMgMTkyLjYgMTg2LjgzIDE5Mi42IDE4Ni44&#10;MyAxOTIuNiAxODYuODMgMTkyLjYgMTg2LjgzWk0xOTIuNTQgMTg2LjgxQzE5Mi41NCAxODYuODEg&#10;MTkyLjU5IDE4Ni44MyAxOTIuNjEgMTg2Ljg0IDE5Mi42MSAxODYuODQgMTkyLjYxIDE4Ni44NCAx&#10;OTIuNiAxODYuODQgMTkyLjU4IDE4Ni44NCAxOTIuNTYgMTg2LjgzIDE5Mi41NCAxODYuODJaTTE5&#10;Mi44NiAxODYuOTNDMTkyLjg2IDE4Ni45MyAxOTIuOTQgMTg3IDE5Mi45NyAxODcuMDQgMTkzLjA0&#10;IDE4Ny4wOSAxOTMuMSAxODcuMTQgMTkzLjE1IDE4Ny4yIDE5My4zOCAxODcuNDUgMTkzLjU1IDE4&#10;Ny43IDE5My42OSAxODcuOTcgMTkzLjk3IDE4OC41MyAxOTQuMTEgMTg5LjEyIDE5NC4yNSAxODku&#10;NyAxOTQuNDggMTkwLjY5IDE5NC41OSAxOTEuNyAxOTQuNzMgMTkyLjcgMTk0Ljg2IDE5My43MiAx&#10;OTQuOTkgMTk0LjczIDE5NS4xOCAxOTUuNzUgMTk1LjI3IDE5Ni4yMiAxOTUuMzMgMTk2LjcgMTk1&#10;LjM3IDE5Ny4xNyAxOTUuNDEgMTk3LjgxIDE5NS4yNCAxOTguNDMgMTk1LjA2IDE5OS4wNiAxOTQu&#10;ODkgMTk5LjYzIDE5My45NiAyMDAuMDYgMTkyLjk2IDIwMC4xIDE5MS45IDIwMC4xNCAxOTEuMDEg&#10;MTk5Ljc2IDE5MC42NSAxOTkuMjEgMTkwLjQ5IDE5OC45NyAxOTAuMzMgMTk4LjcyIDE5MC4xOSAx&#10;OTguNDggMTg5Ljk5IDE5OC4xMyAxODkuODkgMTk3Ljc3IDE4OS43OSAxOTcuNDEgMTg5LjY1IDE5&#10;Ni45NCAxODkuNiAxOTYuNDcgMTg5LjU2IDE5NiAxODkuNDYgMTk0Ljk5IDE4OS40MiAxOTMuOTgg&#10;MTg5LjM1IDE5Mi45NyAxODkuMjggMTkxLjk1IDE4OS4yNSAxOTAuOTMgMTg5LjI1IDE4OS45MSAx&#10;ODkuMjUgMTg5LjMzIDE4OS4zIDE4OC43NSAxODkuMzkgMTg4LjE3IDE4OS40NCAxODcuODUgMTg5&#10;LjU2IDE4Ny40NiAxODkuODYgMTg3LjE1IDE4OS45OCAxODYuOTUgMTkwLjIxIDE4Ni43NyAxOTAu&#10;NTQgMTg2LjY1IDE5MC44NSAxODYuNTQgMTkxLjIgMTg2LjQ5IDE5MS41NSAxODYuNSAxOTIuMDgg&#10;MTg2LjUyIDE5Mi41OSAxODYuNjcgMTkyLjg5IDE4Ni45M1oiIGZpbGw9IiMwMTAxMDEiLz48cGF0&#10;aCBkPSJNMjA2LjQ5IDE4OC42NEMyMDcuMDEgMTg4LjgxIDIwNy4zMyAxODkuMDUgMjA3LjUxIDE4&#10;OS4zOCAyMDcuNjYgMTg5LjY1IDIwNy43NCAxODkuOTQgMjA3LjgyIDE5MC4yMiAyMDcuOTYgMTkw&#10;LjY5IDIwOC4wOCAxOTEuMTUgMjA4LjE4IDE5MS42MiAyMDguMzkgMTkyLjU1IDIwOC41MyAxOTMu&#10;NDkgMjA4LjY1IDE5NC40MiAyMDguNzcgMTk1LjM3IDIwOC45MSAxOTYuMzIgMjA5LjA0IDE5Ny4y&#10;OCAyMDkuMSAxOTcuNzMgMjA5LjE2IDE5OC4xNyAyMDkuMTcgMTk4LjYyIDIwOS4xOCAxOTkuMDUg&#10;MjA5LjE3IDE5OS40OCAyMDkuMTcgMTk5LjkxIDIwOS4xNyAxOTkuOTcgMjA5LjE3IDIwMC4wMyAy&#10;MDkuMTcgMjAwLjEgMjA5LjE3IDIwMC40IDIwOS4wMyAyMDAuNjggMjA4LjY2IDIwMC45MiAyMDgu&#10;MzIgMjAxLjEzIDIwNy44MyAyMDEuMjYgMjA3LjMzIDIwMS4yOCAyMDYuOCAyMDEuMyAyMDYuMjgg&#10;MjAxLjE5IDIwNS44OSAyMDAuOTkgMjA1LjQ5IDIwMC43OCAyMDUuMzMgMjAwLjUzIDIwNS4yNSAy&#10;MDAuMjMgMjA1IDE5OS4zMyAyMDQuOCAxOTguNDMgMjA0LjcgMTk3LjUyIDIwNC42MSAxOTYuNTkg&#10;MjA0LjUyIDE5NS42NSAyMDQuNDIgMTk0LjcyIDIwNC4zMSAxOTMuNzggMjA0LjIyIDE5Mi44MyAy&#10;MDQuMTQgMTkxLjg4IDIwNC4xIDE5MS40MSAyMDQuMDYgMTkwLjk0IDIwNC4wMyAxOTAuNDcgMjA0&#10;LjAyIDE5MC4yNiAyMDQuMDEgMTkwLjA0IDIwNC4wMiAxODkuODMgMjA0LjAzIDE4OS40NyAyMDQu&#10;MDkgMTg5LjEyIDIwNC41NCAxODguODMgMjA0LjU0IDE4OC44MyAyMDQuNTQgMTg4LjgzIDIwNC41&#10;NSAxODguODMgMjA0Ljg3IDE4OC42MyAyMDUuMzcgMTg4LjUyIDIwNS44NSAxODguNTMgMjA2LjA2&#10;IDE4OC41MyAyMDYuMjcgMTg4LjU3IDIwNi40NiAxODguNjNaIiBmaWxsPSIjMDEwMTAxIi8+PHBh&#10;dGggZD0iTTIyMi4xIDE5NC4zOEMyMjIuMTIgMTk0LjQ0IDIyMi4xNCAxOTQuNTEgMjIyLjE2IDE5&#10;NC41NyAyMjIuMTQgMTk0LjUxIDIyMi4xMiAxOTQuNDQgMjIyLjEgMTk0LjM4Wk0yMjAuMTUgMTg4&#10;LjczQzIyMC42NSAxODguOTkgMjIwLjczIDE4OS40OCAyMjAuODYgMTg5LjgzIDIyMS4wNSAxOTAu&#10;MzcgMjIxLjE5IDE5MC45MSAyMjEuMzIgMTkxLjQ1IDIyMS41NSAxOTIuNDIgMjIxLjc5IDE5My40&#10;IDIyMi4xIDE5NC4zNiAyMjIuNDkgMTk1LjQ5IDIyMi44MyAxOTYuNjIgMjIzLjEzIDE5Ny43NiAy&#10;MjMuNCAxOTguOCAyMjMuNzEgMTk5Ljg0IDIyMy44NSAyMDAuOSAyMjMuOTIgMjAxLjQ2IDIyMy4y&#10;NiAyMDIgMjIyLjMyIDIwMi4xNyAyMjEuNzcgMjAyLjI3IDIyMS4xNSAyMDIuMjUgMjIwLjYzIDIw&#10;Mi4xIDIyMC4xNSAyMDEuOTYgMjE5LjY1IDIwMS42OCAyMTkuNTMgMjAxLjM3IDIxOC43NyAxOTku&#10;NDkgMjE4LjUzIDE5Ny41NiAyMTguNDMgMTk1LjYzIDIxOC4zOCAxOTQuNjIgMjE4LjM4IDE5My42&#10;IDIxOC4yOCAxOTIuNTkgMjE4LjE5IDE5MS42NiAyMTguMDIgMTkwLjcyIDIxNy45NyAxODkuNzgg&#10;MjE3Ljk2IDE4OS41NCAyMTcuOTIgMTg5LjI1IDIxOC4wNiAxODkuMDEgMjE4LjEzIDE4OC44NCAy&#10;MTguMzIgMTg4LjY4IDIxOC41OCAxODguNTkgMjE4LjggMTg4LjUxIDIxOS4wNSAxODguNDggMjE5&#10;LjMgMTg4LjQ4IDIxOS42MiAxODguNDkgMjE5LjkzIDE4OC41NyAyMjAuMTUgMTg4LjcxWiIgZmls&#10;bD0iIzAxMDEwMSIvPjxwYXRoIGQ9Ik0yMzUuOTEgMTkwLjM1QzIzNi4wNyAxOTAuNDMgMjM2LjE5&#10;IDE5MC41MyAyMzYuMjYgMTkwLjYzIDIzNi41MiAxOTAuODQgMjM2LjY1IDE5MS4xIDIzNi43NiAx&#10;OTEuMzUgMjM2Ljk4IDE5MS44MyAyMzcuMTIgMTkyLjMyIDIzNy4yMiAxOTIuODEgMjM3LjQyIDE5&#10;My43MiAyMzcuNTggMTk0LjYyIDIzNy43NCAxOTUuNTMgMjM4LjA2IDE5Ny4zMiAyMzguNjUgMTk5&#10;LjEgMjM4LjY4IDIwMC45IDIzOC42OCAyMDEuNDEgMjM4LjIgMjAxLjg3IDIzNy4zMiAyMDIuMDMg&#10;MjM2LjM1IDIwMi4yMSAyMzUuMDggMjAxLjkxIDIzNC44MiAyMDEuMzEgMjM0LjAyIDE5OS40NyAy&#10;MzQgMTk3LjU4IDIzMy43MiAxOTUuNyAyMzMuNTkgMTk0LjggMjMzLjQ1IDE5My45IDIzMy4zMyAx&#10;OTMgMjMzLjI3IDE5Mi41NyAyMzMuMjIgMTkyLjE0IDIzMy4yNiAxOTEuNzEgMjMzLjI5IDE5MS40&#10;MyAyMzMuMzEgMTkxLjE3IDIzMy40NCAxOTAuOTIgMjMzLjQ0IDE5MC44NyAyMzMuNDUgMTkwLjgz&#10;IDIzMy40NyAxOTAuNzkgMjMzLjU3IDE5MC41IDIzMy45NiAxOTAuMjYgMjM0LjQ1IDE5MC4xNyAy&#10;MzQuNjIgMTkwLjE0IDIzNC44MSAxOTAuMTIgMjM0Ljk5IDE5MC4xMyAyMzUuMzIgMTkwLjE0IDIz&#10;NS42NSAxOTAuMjEgMjM1LjkgMTkwLjM0WiIgZmlsbD0iIzAxMDEwMSIvPjxwYXRoIGQ9Ik0yNDku&#10;MDggMTg4LjJDMjQ5LjE0IDE4OC4yNSAyNDkuMTggMTg4LjMgMjQ5LjIyIDE4OC4zNiAyNDkuNDQg&#10;MTg4LjYyIDI0OS41IDE4OC45MiAyNDkuNTggMTg5LjIxIDI0OS42OSAxODkuNTggMjQ5Ljc4IDE4&#10;OS45NSAyNDkuODYgMTkwLjMyIDI1MC4wNCAxOTEuMDkgMjUwLjIyIDE5MS44NyAyNTAuMzkgMTky&#10;LjY0IDI1MC43NCAxOTQuMTkgMjUxLjEyIDE5NS43MyAyNTEuNjIgMTk3LjI2IDI1MS45NSAxOTgu&#10;MjIgMjUyLjI5IDE5OS4xOCAyNTIuNTMgMjAwLjE1IDI1Mi42MyAyMDAuNTggMjUyLjcyIDIwMS4w&#10;MSAyNTIuNzggMjAxLjQ1IDI1Mi44MSAyMDEuNjcgMjUyLjg0IDIwMS44OSAyNTIuODYgMjAyLjEg&#10;MjUyLjg4IDIwMi4zOSAyNTIuODYgMjAyLjY4IDI1Mi44MyAyMDIuOTcgMjUyLjg1IDIwMy4xMSAy&#10;NTIuNzkgMjAzLjI1IDI1Mi42OCAyMDMuMzggMjUyLjUxIDIwMy41NyAyNTIuMjEgMjAzLjcyIDI1&#10;MS44NSAyMDMuNzggMjUxLjEgMjAzLjkyIDI1MC4zMyAyMDMuNjggMjUwLjA2IDIwMy4yNyAyNDku&#10;OSAyMDMuMDMgMjQ5LjczIDIwMi43OSAyNDkuNiAyMDIuNTQgMjQ5LjUgMjAyLjM0IDI0OS40MiAy&#10;MDIuMTQgMjQ5LjMzIDIwMS45NSAyNDkuMTMgMjAxLjQ3IDI0OC45NCAyMDAuOTkgMjQ4Ljc5IDIw&#10;MC41IDI0OC41MSAxOTkuNiAyNDguMzEgMTk4LjcgMjQ4LjEyIDE5Ny43OSAyNDcuNzUgMTk1Ljk0&#10;IDI0Ny4zNCAxOTQuMDkgMjQ3LjAzIDE5Mi4yNCAyNDYuOTEgMTkxLjU2IDI0Ni44IDE5MC44OCAy&#10;NDYuNyAxOTAuMjEgMjQ2LjY1IDE4OS44OCAyNDYuNjEgMTg5LjU1IDI0Ni41OSAxODkuMjMgMjQ2&#10;LjU3IDE4OC45NCAyNDYuNTQgMTg4LjU5IDI0Ni43OSAxODguMzEgMjQ2LjggMTg4LjMgMjQ2Ljgx&#10;IDE4OC4yOCAyNDYuODIgMTg4LjI3IDI0Ny4wMyAxODguMDQgMjQ3LjQ1IDE4Ny44OCAyNDcuOTEg&#10;MTg3Ljg2IDI0Ny45NiAxODcuODYgMjQ4LjAxIDE4Ny44NiAyNDguMDYgMTg3Ljg2IDI0OC40NyAx&#10;ODcuODcgMjQ4Ljg2IDE4OCAyNDkuMDggMTg4LjJaIiBmaWxsPSIjMDEwMTAxIi8+PHBhdGggZD0i&#10;TTI2Mi42IDE5MS4yN0MyNjMuNDIgMTkxLjQ2IDI2My44MyAxOTIgMjY0LjE2IDE5Mi40MyAyNjQu&#10;MzkgMTkyLjczIDI2NC41MyAxOTMuMDYgMjY0LjY3IDE5My4zOSAyNjQuOTYgMTk0LjA1IDI2NS4x&#10;OSAxOTQuNzMgMjY1LjQyIDE5NS40IDI2NS44OCAxOTYuNzIgMjY2LjIzIDE5OC4wNiAyNjYuNjYg&#10;MTk5LjM4IDI2Ni43NyAxOTkuNjcgMjY2Ljg5IDE5OS45NyAyNjYuOTIgMjAwLjI3IDI2Ni45NCAy&#10;MDAuNTYgMjY2Ljk0IDIwMC44NSAyNjYuOTMgMjAxLjE0IDI2Ni45MiAyMDEuNjQgMjY2LjQ3IDIw&#10;Mi4wOSAyNjUuNiAyMDIuMjUgMjY1LjExIDIwMi4zNCAyNjQuNTggMjAyLjMyIDI2NC4xMiAyMDIu&#10;MTggMjYzLjYzIDIwMi4wNCAyNjMuMzYgMjAxLjgyIDI2My4xNSAyMDEuNTQgMjYyLjkzIDIwMS4y&#10;NiAyNjIuNzMgMjAwLjk4IDI2Mi41NiAyMDAuNjkgMjYyLjM1IDIwMC4zNCAyNjIuMjggMTk5Ljk3&#10;IDI2Mi4xNyAxOTkuNjEgMjYxLjc0IDE5OC4zNyAyNjEuMzEgMTk3LjEzIDI2MC45MiAxOTUuODgg&#10;MjYwLjcyIDE5NS4yMyAyNjAuNTMgMTk0LjU4IDI2MC4zNCAxOTMuOTMgMjYwLjI0IDE5My42MSAy&#10;NjAuMTUgMTkzLjI5IDI2MC4wNSAxOTIuOTYgMjU5Ljk2IDE5Mi42NiAyNTkuODIgMTkyLjI4IDI1&#10;OS45OSAxOTEuOTggMjYwLjE1IDE5MS43IDI2MC4zNCAxOTEuNDggMjYwLjc5IDE5MS4zMiAyNjEu&#10;MTMgMTkxLjIgMjYxLjQ4IDE5MS4xNSAyNjEuODUgMTkxLjE2IDI2Mi4xIDE5MS4xNiAyNjIuMzYg&#10;MTkxLjIgMjYyLjYxIDE5MS4yNloiIGZpbGw9IiMwMTAxMDEiLz48cGF0aCBkPSJNMjc2LjgzIDE5&#10;MS4yNkMyNzcuMzcgMTkxLjM5IDI3Ny42NiAxOTEuNzIgMjc3Ljg1IDE5Mi4wMSAyNzcuOTcgMTky&#10;LjE5IDI3OC4wNSAxOTIuMzcgMjc4LjExIDE5Mi41NSAyNzguMjkgMTkzLjA1IDI3OC40NiAxOTMu&#10;NTUgMjc4LjYxIDE5NC4wNSAyNzguODcgMTk0Ljg5IDI3OS4wNSAxOTUuNzMgMjc5LjI0IDE5Ni41&#10;NyAyNzkuNDMgMTk3LjQgMjc5LjU4IDE5OC4yMyAyNzkuODEgMTk5LjA1IDI3OS45MiAxOTkuNDQg&#10;MjgwLjA0IDE5OS44NCAyODAuMTUgMjAwLjIzIDI4MC4yMSAyMDAuNDQgMjgwLjI2IDIwMC42NSAy&#10;ODAuMzEgMjAwLjg2IDI4MC4zMyAyMDAuOTQgMjgwLjM2IDIwMS4wMyAyODAuMzcgMjAxLjEyIDI4&#10;MC40IDIwMS4zNCAyODAuMzcgMjAxLjU1IDI4MC4zMiAyMDEuNzcgMjgwLjI0IDIwMS45OCAyODAu&#10;MDcgMjAyLjE3IDI3OS44MSAyMDIuMzQgMjc5LjQ0IDIwMi41NyAyNzguOTIgMjAyLjcxIDI3OC4z&#10;OCAyMDIuNzMgMjc3LjQgMjAyLjc2IDI3Ni41OSAyMDIuNDEgMjc2LjI1IDIwMS45MSAyNzUuOTQg&#10;MjAxLjQ0IDI3NS45IDIwMC45MSAyNzUuODEgMjAwLjQyIDI3NS43NCAyMDAuMDIgMjc1LjY5IDE5&#10;OS42MiAyNzUuNjQgMTk5LjIzIDI3NS41MyAxOTguNDEgMjc1LjMzIDE5Ny42IDI3NS4xNyAxOTYu&#10;NzkgMjc1IDE5NS45NCAyNzQuODQgMTk1LjA5IDI3NC42OCAxOTQuMjQgMjc0LjYxIDE5My44MyAy&#10;NzQuNTMgMTkzLjQyIDI3NC40OCAxOTMuMDIgMjc0LjQ2IDE5Mi44MyAyNzQuNDUgMTkyLjY0IDI3&#10;NC40NyAxOTIuNDQgMjc0LjQ5IDE5Mi4yOSAyNzQuNDggMTkyLjExIDI3NC41NyAxOTEuOTYgMjc0&#10;LjY2IDE5MS44IDI3NC43NyAxOTEuNTggMjc1LjAxIDE5MS40NiAyNzUuMTkgMTkxLjM1IDI3NS40&#10;MSAxOTEuMjcgMjc1LjY2IDE5MS4yMiAyNzUuODQgMTkxLjE5IDI3Ni4wMiAxOTEuMTcgMjc2LjE5&#10;IDE5MS4xOCAyNzYuNCAxOTEuMTggMjc2LjYxIDE5MS4yMiAyNzYuODIgMTkxLjI3WiIgZmlsbD0i&#10;IzAxMDEwMSIvPjxwYXRoIGQ9Ik0yODguNjIgMTkxLjcxQzI4OS4yNSAxOTEuOTEgMjg5LjQ5IDE5&#10;Mi4yNyAyODkuNjMgMTkyLjY0IDI4OS43NiAxOTIuOTggMjg5Ljg0IDE5My4zMyAyODkuOTMgMTkz&#10;LjY4IDI5MC4wNyAxOTQuMjMgMjkwLjE3IDE5NC43OSAyOTAuMjcgMTk1LjM0IDI5MC40OCAxOTYu&#10;NTQgMjkwLjYyIDE5Ny43NCAyOTAuNzIgMTk4Ljk1IDI5MC43NiAxOTkuNDUgMjkwLjA5IDE5OS45&#10;IDI4OS4xOSAxOTkuOTMgMjg4Ljc1IDE5OS45NSAyODguMzEgMTk5Ljg2IDI4Ny45OSAxOTkuNjkg&#10;Mjg3LjY1IDE5OS41MSAyODcuNTMgMTk5LjMxIDI4Ny40NiAxOTkuMDYgMjg3LjExIDE5Ny44NyAy&#10;ODYuODQgMTk2LjY4IDI4Ni42NCAxOTUuNDggMjg2LjU1IDE5NC45NCAyODYuNDcgMTk0LjM5IDI4&#10;Ni40MyAxOTMuODUgMjg2LjQxIDE5My41NyAyODYuMzggMTkzLjI4IDI4Ni40IDE5MyAyODYuNDMg&#10;MTkyLjU0IDI4Ni40NyAxOTIuMDUgMjg3LjIzIDE5MS43NiAyODcuNDcgMTkxLjY3IDI4Ny43OCAx&#10;OTEuNjIgMjg4LjA4IDE5MS42MyAyODguMjcgMTkxLjYzIDI4OC40NiAxOTEuNjYgMjg4LjYzIDE5&#10;MS43MloiIGZpbGw9IiMwMTAxMDEiLz48cGF0aCBkPSJNMjk4Ljg2IDE5MC4wN0MyOTkuMjMgMTkw&#10;LjE3IDI5OS41IDE5MC4zNSAyOTkuNjkgMTkwLjU1IDI5OS45MSAxOTAuNzggMzAwLjA4IDE5MS4w&#10;MiAzMDAuMjIgMTkxLjI3IDMwMC40NSAxOTEuNjggMzAwLjYgMTkyLjEgMzAwLjc1IDE5Mi41MiAz&#10;MDEuMDcgMTkzLjQzIDMwMS4zMSAxOTQuMzQgMzAxLjUyIDE5NS4yNSAzMDEuOTMgMTk3LjAxIDMw&#10;Mi4yOCAxOTguNzcgMzAyLjU2IDIwMC41MyAzMDIuNjcgMjAxLjIxIDMwMi43OCAyMDEuODkgMzAy&#10;LjgxIDIwMi41OCAzMDIuODMgMjAzLjA3IDMwMi4zNCAyMDMuNTEgMzAxLjUxIDIwMy42NyAzMDEu&#10;MDMgMjAzLjc2IDMwMC41MSAyMDMuNzQgMzAwLjA2IDIwMy42MSAyOTkuNjUgMjAzLjQ5IDI5OS4y&#10;MiAyMDMuMjUgMjk5LjEyIDIwMi45OCAyOTguNzQgMjAyLjA1IDI5OC41IDIwMS4wOSAyOTguMjkg&#10;MjAwLjE0IDI5OC4xIDE5OS4yOCAyOTcuOTMgMTk4LjQyIDI5Ny43OCAxOTcuNTcgMjk3LjQ5IDE5&#10;NS44MSAyOTcuMjYgMTk0LjA1IDI5Ny4xMSAxOTIuMjkgMjk3LjA5IDE5MS45OCAyOTcuMDYgMTkx&#10;LjY3IDI5Ny4wNiAxOTEuMzYgMjk3LjA2IDE5MS4wNCAyOTcuMDMgMTkwLjY2IDI5Ny4zMSAxOTAu&#10;MzcgMjk3LjU1IDE5MC4xMyAyOTcuOTcgMTkwIDI5OC40MSAxOTAuMDEgMjk4LjU2IDE5MC4wMSAy&#10;OTguNzEgMTkwLjA0IDI5OC44NiAxOTAuMDhaIiBmaWxsPSIjMDEwMTAxIi8+PHBhdGggZD0iTTMx&#10;My4wNSAxOTIuMjZDMzEzLjQgMTkyLjQyIDMxMy42MSAxOTIuNjcgMzEzLjc2IDE5Mi45IDMxMy44&#10;NiAxOTMuMDUgMzEzLjkyIDE5My4yMSAzMTMuOTggMTkzLjM3IDMxNC4xNSAxOTMuODIgMzE0LjI4&#10;IDE5NC4yNiAzMTQuMzggMTk0LjcxIDMxNC41NSAxOTUuNDUgMzE0LjY5IDE5Ni4xOSAzMTQuOCAx&#10;OTYuOTMgMzE0LjkyIDE5Ny42NSAzMTUuMDIgMTk4LjM3IDMxNS4xMyAxOTkuMDkgMzE1LjE4IDE5&#10;OS40NCAzMTUuMjUgMTk5Ljc5IDMxNS4yOSAyMDAuMTUgMzE1LjM0IDIwMC42NSAzMTUuMjMgMjAx&#10;LjE2IDMxNS4xMyAyMDEuNjYgMzE1LjAzIDIwMi4xNSAzMTQuMTQgMjAyLjUyIDMxMy4zMiAyMDIu&#10;NTUgMzEyLjQ1IDIwMi41OCAzMTEuNiAyMDIuMjYgMzExLjM0IDIwMS43OSAzMTEuMDggMjAxLjMy&#10;IDMxMC44NSAyMDAuODYgMzEwLjc0IDIwMC4zNyAzMTAuNjcgMjAwLjAzIDMxMC42MiAxOTkuNjgg&#10;MzEwLjU2IDE5OS4zNCAzMTAuNDUgMTk4LjYxIDMxMC4zMiAxOTcuODggMzEwLjIyIDE5Ny4xNSAz&#10;MTAuMTIgMTk2LjQxIDMxMC4wMyAxOTUuNjggMzA5Ljk3IDE5NC45NCAzMDkuOTQgMTk0LjU2IDMw&#10;OS45IDE5NC4xOCAzMDkuOTEgMTkzLjggMzA5LjkxIDE5My4zMSAzMDkuOTEgMTkyLjY5IDMxMC41&#10;NyAxOTIuMzIgMzEwLjkgMTkyLjE0IDMxMS4yOCAxOTIuMDIgMzExLjc1IDE5MiAzMTEuODIgMTky&#10;IDMxMS44OCAxOTIgMzExLjk0IDE5MiAzMTIuMzUgMTkyLjAxIDMxMi42OSAxOTIuMTEgMzEzLjAy&#10;IDE5Mi4yNVoiIGZpbGw9IiMwMTAxMDEiLz48cGF0aCBkPSJNMzI2LjkgMTkxLjgyQzMyNy4zOCAx&#10;OTEuOTMgMzI3LjY2IDE5Mi4yNSAzMjcuNzkgMTkyLjUxIDMyNy45MyAxOTIuNzcgMzI4LjAxIDE5&#10;My4wNCAzMjguMDkgMTkzLjMgMzI4LjIzIDE5My43MiAzMjguMzQgMTk0LjE1IDMyOC40NCAxOTQu&#10;NTggMzI4LjY0IDE5NS40MyAzMjguODEgMTk2LjI3IDMyOS4wMSAxOTcuMTIgMzI5LjM5IDE5OC43&#10;OSAzMjkuNjggMjAwLjQ2IDMyOS45NSAyMDIuMTQgMzMwLjEyIDIwMy4yMSAzMzAuMzYgMjA0LjI3&#10;IDMzMC40NyAyMDUuMzQgMzMwLjUyIDIwNS44MyAzMjkuOTcgMjA2LjMgMzI5LjE0IDIwNi40NSAz&#10;MjguNjYgMjA2LjU0IDMyOC4xMiAyMDYuNTIgMzI3LjY2IDIwNi4zOSAzMjcuMjQgMjA2LjI3IDMy&#10;Ni44IDIwNi4wMiAzMjYuNyAyMDUuNzUgMzI2LjMzIDIwNC44MyAzMjYuMTMgMjAzLjkgMzI1Ljkx&#10;IDIwMi45NiAzMjUuNzIgMjAyLjE2IDMyNS41MiAyMDEuMzcgMzI1LjM1IDIwMC41NyAzMjUgMTk4&#10;Ljg1IDMyNC43NiAxOTcuMTIgMzI0LjY5IDE5NS4zOSAzMjQuNjcgMTk0LjgyIDMyNC42NiAxOTQu&#10;MjQgMzI0LjY5IDE5My42NyAzMjQuNzEgMTkzLjM0IDMyNC43MiAxOTMgMzI0LjgyIDE5Mi42NyAz&#10;MjQuODYgMTkyLjUxIDMyNC45MyAxOTIuMzIgMzI1LjA4IDE5Mi4xOCAzMjUuMjEgMTkyLjA2IDMy&#10;NS4zNSAxOTEuOTMgMzI1LjU5IDE5MS44NiAzMjUuODcgMTkxLjc4IDMyNi4xMiAxOTEuNzQgMzI2&#10;LjM5IDE5MS43NSAzMjYuNTUgMTkxLjc1IDMyNi43MiAxOTEuNzggMzI2LjkgMTkxLjgyWiIgZmls&#10;bD0iIzAxMDEwMSIvPjxwYXRoIGQ9Ik0zNDAuMjggMTkyLjAxQzM0MC43IDE5Mi4xOSAzNDAuOTIg&#10;MTkyLjUgMzQxLjEyIDE5Mi43NiAzNDEuMjggMTkyLjk3IDM0MS4zOCAxOTMuMiAzNDEuNDcgMTkz&#10;LjQyIDM0MS43MSAxOTMuOTggMzQxLjg4IDE5NC41NiAzNDIuMDMgMTk1LjE0IDM0Mi4zIDE5Ni4x&#10;NSAzNDIuNTEgMTk3LjE3IDM0Mi43MiAxOTguMTggMzQyLjk0IDE5OS4xNyAzNDMuMTQgMjAwLjE1&#10;IDM0My4zNiAyMDEuMTMgMzQzLjU4IDIwMi4xMiAzNDMuODUgMjAzLjA5IDM0NC4xMSAyMDQuMDgg&#10;MzQ0LjE5IDIwNC4zNyAzNDQuMjYgMjA0LjY2IDM0NC4zMiAyMDQuOTYgMzQ0LjQ0IDIwNS41MiAz&#10;NDMuNyAyMDYuMDcgMzQyLjc5IDIwNi4yNCAzNDIuMjMgMjA2LjM0IDM0MS42MSAyMDYuMzIgMzQx&#10;LjA5IDIwNi4xNyAzNDAuNjEgMjA2LjAzIDM0MC4xIDIwNS43NSAzMzkuOTggMjA1LjQ0IDMzOS4x&#10;OSAyMDMuNDIgMzM4LjY1IDIwMS4zNSAzMzguMjEgMTk5LjI5IDMzOCAxOTguMjkgMzM3LjgxIDE5&#10;Ny4yOCAzMzcuNjMgMTk2LjI4IDMzNy41NCAxOTUuNzggMzM3LjQ3IDE5NS4yOCAzMzcuMzkgMTk0&#10;Ljc4IDMzNy4zMSAxOTQuMyAzMzcuMjMgMTkzLjgyIDMzNy4yMyAxOTMuMzQgMzM3LjIzIDE5My4x&#10;MyAzMzcuMjUgMTkyLjkxIDMzNy4zMSAxOTIuNzEgMzM3LjM4IDE5Mi40NyAzMzcuNTggMTkyLjI5&#10;IDMzNy44NCAxOTIuMSAzMzguMDkgMTkxLjkxIDMzOC42IDE5MS44IDMzOS4wMSAxOTEuNzggMzM5&#10;LjA4IDE5MS43OCAzMzkuMTQgMTkxLjc4IDMzOS4yMSAxOTEuNzggMzM5LjYxIDE5MS43OSAzMzku&#10;OTQgMTkxLjg5IDM0MC4yOCAxOTIuMDNaIiBmaWxsPSIjMDEwMTAxIi8+PHBhdGggZD0iTTM2MC4z&#10;OSAyMDIuODhDMzYwLjQxIDIwMi45NSAzNjAuNDQgMjAzLjAyIDM2MC40NiAyMDMuMDkgMzYwLjQ0&#10;IDIwMy4wMiAzNjAuNDEgMjAyLjk1IDM2MC4zOSAyMDIuODhaTTM1OS4yMyAxOTkuMTNDMzU5LjIz&#10;IDE5OS4xMyAzNTkuMjUgMTk5LjE4IDM1OS4yNiAxOTkuMjEgMzU5LjI2IDE5OS4xOCAzNTkuMjQg&#10;MTk5LjE2IDM1OS4yMyAxOTkuMTNaTTM1NS41OCAxOTIuM0MzNTcuMDMgMTkyLjQ3IDM1Ny40NiAx&#10;OTMuMjggMzU3LjcxIDE5NCAzNTcuOTQgMTk0LjY1IDM1OC4xNCAxOTUuMzEgMzU4LjMzIDE5NS45&#10;NyAzNTguNjUgMTk3LjA2IDM1OC45MSAxOTguMTYgMzU5LjI3IDE5OS4yNSAzNTkuNDkgMTk5Ljg5&#10;IDM1OS43MiAyMDAuNTIgMzU5LjkxIDIwMS4xNiAzNjAuMDcgMjAxLjczIDM2MC4yIDIwMi4zIDM2&#10;MC4zOSAyMDIuODYgMzYwLjUxIDIwMy4yMSAzNjAuNjMgMjAzLjU3IDM2MC43NCAyMDMuOTIgMzYw&#10;Ljc2IDIwNC4xNyAzNjAuNjggMjA0LjQxIDM2MC40NyAyMDQuNjQgMzYwLjE3IDIwNC45NyAzNTku&#10;NjUgMjA1LjIzIDM1OS4wMyAyMDUuMzQgMzU4LjQxIDIwNS40NiAzNTcuNzIgMjA1LjQyIDM1Ny4x&#10;MyAyMDUuMjYgMzU2LjU5IDIwNS4xMSAzNTYuMDQgMjA0Ljc5IDM1NS44OSAyMDQuNDQgMzU1LjQ2&#10;IDIwMy4zOSAzNTUuMDkgMjAyLjMzIDM1NC43NSAyMDEuMjggMzU0LjQzIDIwMC4zIDM1NC4yNSAx&#10;OTkuMzEgMzU0LjAyIDE5OC4zMiAzNTMuOCAxOTcuMzkgMzUzLjU5IDE5Ni40NyAzNTMuNCAxOTUu&#10;NTQgMzUzLjMxIDE5NS4wNyAzNTMuMjIgMTk0LjYxIDM1My4xNCAxOTQuMTQgMzUzLjEgMTkzLjg2&#10;IDM1My4xIDE5My42MSAzNTMuMTQgMTkzLjMzIDM1My4yMiAxOTIuNzMgMzU0LjI2IDE5Mi4yNSAz&#10;NTUuMyAxOTIuMjggMzU1LjM5IDE5Mi4yOCAzNTUuNDggMTkyLjI4IDM1NS41NyAxOTIuM1oiIGZp&#10;bGw9IiMwMTAxMDEiLz48cGF0aCBkPSJNMzY5LjYxIDE5MS44NkMzNjkuOTkgMTkyLjA3IDM3MC4x&#10;NSAxOTIuMjUgMzcwLjM4IDE5Mi41MiAzNzAuNjQgMTkyLjgzIDM3MC43OSAxOTMuMTYgMzcwLjkz&#10;IDE5My40OCAzNzEuMjkgMTk0LjI5IDM3MS40OCAxOTUuMTIgMzcxLjcxIDE5NS45NCAzNzIuMSAx&#10;OTcuMzcgMzcyLjQ0IDE5OC44IDM3Mi43MiAyMDAuMjMgMzcyLjg2IDIwMC45MSAzNzEuODEgMjAx&#10;LjUxIDM3MC42NiAyMDEuNTUgMzcwLjA3IDIwMS41NyAzNjkuNDggMjAxLjQ1IDM2OS4wNSAyMDEu&#10;MjMgMzY4LjU5IDIwMC45OSAzNjguNDQgMjAwLjcyIDM2OC4zMyAyMDAuMzggMzY3LjkxIDE5OC45&#10;NiAzNjcuNiAxOTcuNTQgMzY3LjI5IDE5Ni4xMSAzNjcuMTMgMTk1LjM5IDM2Ni45OCAxOTQuNjcg&#10;MzY2Ljg0IDE5My45NSAzNjYuNzggMTkzLjY0IDM2Ni43MiAxOTMuMzIgMzY2LjY3IDE5My4wMSAz&#10;NjYuNTggMTkyLjQ2IDM2Ni43NyAxOTEuODEgMzY3Ljg2IDE5MS42MiAzNjguMDYgMTkxLjU5IDM2&#10;OC4yNyAxOTEuNTcgMzY4LjQ4IDE5MS41OCAzNjguOSAxOTEuNTkgMzY5LjMyIDE5MS42OSAzNjku&#10;NjEgMTkxLjg1WiIgZmlsbD0iIzAxMDEwMSIvPjxwYXRoIGQ9Ik0zNzkuOTUgMTg5LjMzQzM3OS45&#10;OSAxODkuMzkgMzgwIDE4OS40NiAzODAuMDEgMTg5LjUyIDM4MC4wNiAxODkuNTggMzgwLjExIDE4&#10;OS42NSAzODAuMTUgMTg5LjcxIDM4MC4yOSAxODkuOTUgMzgwLjQgMTkwLjIgMzgwLjUxIDE5MC40&#10;NSAzODAuNzUgMTkxLjAxIDM4MC45MiAxOTEuNTcgMzgxLjA5IDE5Mi4xNCAzODEuNCAxOTMuMTkg&#10;MzgxLjY4IDE5NC4yNSAzODEuOTYgMTk1LjMxIDM4Mi41MSAxOTcuMzggMzgzLjAyIDE5OS40NCAz&#10;ODMuNTUgMjAxLjUxIDM4My42OSAyMDIuMDUgMzgzLjc0IDIwMi41OCAzODMuNzcgMjAzLjEzIDM4&#10;My44IDIwMy42OCAzODMuODggMjA0LjIzIDM4My44OCAyMDQuNzkgMzgzLjg4IDIwNS4yOSAzODMu&#10;NDEgMjA1Ljc0IDM4Mi41NSAyMDUuOSAzODEuNTUgMjA2LjA5IDM4MC40MiAyMDUuNzcgMzgwLjEg&#10;MjA1LjIgMzc5LjgyIDIwNC43IDM3OS42MSAyMDQuMTkgMzc5LjM4IDIwMy42OSAzNzkuMTIgMjAz&#10;LjExIDM3OC44NyAyMDIuNTQgMzc4LjcgMjAxLjk1IDM3OC40MiAyMDAuOTEgMzc4LjI0IDE5OS44&#10;NSAzNzguMDUgMTk4LjggMzc3LjY2IDE5Ni43IDM3Ny4zMyAxOTQuNTkgMzc3LjIyIDE5Mi40OCAz&#10;NzcuMTkgMTkxLjkzIDM3Ny4yIDE5MS4zOCAzNzcuMjUgMTkwLjg0IDM3Ny4yOSAxOTAuNTIgMzc3&#10;LjMzIDE5MC4yIDM3Ny40MiAxODkuODkgMzc3LjQ2IDE4OS43NiAzNzcuNTMgMTg5LjY0IDM3Ny42&#10;MSAxODkuNTIgMzc3LjYxIDE4OS40OCAzNzcuNjEgMTg5LjQ0IDM3Ny42MyAxODkuNDEgMzc3Ljcz&#10;IDE4OS4xMSAzNzguMTkgMTg4Ljg4IDM3OC43MyAxODguODcgMzc4Ljc4IDE4OC44NyAzNzguODIg&#10;MTg4Ljg3IDM3OC44NyAxODguODcgMzc5LjM2IDE4OC44OSAzNzkuNzkgMTg5LjA3IDM3OS45NSAx&#10;ODkuMzRaIiBmaWxsPSIjMDEwMTAxIi8+PHBhdGggZD0iTTM5Ni45NiAxOTAuMTRDMzk3Ljg3IDE5&#10;MC40IDM5OC4yMiAxOTEuMDEgMzk4LjUgMTkxLjUzIDM5OC43NiAxOTIuMDEgMzk4LjkyIDE5Mi41&#10;IDM5OS4xIDE5Mi45OSAzOTkuNDkgMTk0LjExIDM5OS44MiAxOTUuMjUgNDAwLjE1IDE5Ni4zOCA0&#10;MDAuNzUgMTk4LjQxIDQwMS4zNyAyMDAuNDUgNDAxLjc2IDIwMi41IDQwMS43OSAyMDIuNjQgNDAx&#10;LjgxIDIwMi43OCA0MDEuODMgMjAyLjkyIDQwMS45MyAyMDMuNTIgNDAxLjE5IDIwNC4wOSA0MDAu&#10;MjEgMjA0LjI3IDM5OS4wNSAyMDQuNDkgMzk3LjU1IDIwNC4xMiAzOTcuMjMgMjAzLjQyIDM5Ni4y&#10;NiAyMDEuMjQgMzk1LjY4IDE5OS4wMSAzOTUuMTMgMTk2Ljc5IDM5NC44OCAxOTUuNzkgMzk0LjY0&#10;IDE5NC43OCAzOTQuNDkgMTkzLjc3IDM5NC40MSAxOTMuMjUgMzk0LjMzIDE5Mi43MyAzOTQuMzMg&#10;MTkyLjIyIDM5NC4zMyAxOTEuOSAzOTQuMzYgMTkxLjU5IDM5NC40MSAxOTEuMjcgMzk0LjQ2IDE5&#10;MC45NCAzOTQuNjQgMTkwLjY1IDM5NC45OSAxOTAuMzggMzk1LjAxIDE5MC4zNiAzOTUuMDMgMTkw&#10;LjM1IDM5NS4wNiAxOTAuMzQgMzk1LjI1IDE5MC4yMiAzOTUuNDggMTkwLjE0IDM5NS43NCAxOTAu&#10;MDkgMzk1LjkzIDE5MC4wNSAzOTYuMTMgMTkwLjA0IDM5Ni4zMyAxOTAuMDUgMzk2LjU1IDE5MC4w&#10;NSAzOTYuNzYgMTkwLjA5IDM5Ni45NiAxOTAuMTVaIiBmaWxsPSIjMDEwMTAxIi8+PHBhdGggZD0i&#10;TTQwOS4yNCAxOTYuNThDNDA5Ljg5IDE5Ni43NiA0MTAuMTMgMTk3LjE0IDQxMC4yNyAxOTcuNTEg&#10;NDEwLjQgMTk3Ljg4IDQxMC41IDE5OC4yNCA0MTAuNiAxOTguNjEgNDEwLjc1IDE5OS4xOCA0MTAu&#10;ODcgMTk5Ljc1IDQxMC45NyAyMDAuMzIgNDExLjE5IDIwMS41MiA0MTEuMzggMjAyLjczIDQxMS40&#10;MiAyMDMuOTQgNDExLjQzIDIwNC41NiA0MTAuNjYgMjA1LjEgNDA5LjU0IDIwNS4xNCA0MDkuMDEg&#10;MjA1LjE2IDQwOC40NyAyMDUuMDUgNDA4LjA3IDIwNC44NSA0MDcuNjUgMjA0LjYzIDQwNy41MSAy&#10;MDQuMzggNDA3LjQyIDIwNC4wOCA0MDcuMDUgMjAyLjg2IDQwNi44NiAyMDEuNjEgNDA2LjcyIDIw&#10;MC4zNyA0MDYuNjUgMTk5Ljc2IDQwNi42IDE5OS4xNSA0MDYuNjEgMTk4LjUzIDQwNi42MSAxOTgu&#10;MTcgNDA2LjYzIDE5Ny44IDQwNi43NyAxOTcuNDUgNDA2Ljg3IDE5Ny4yMSA0MDcuMDMgMTk3IDQw&#10;Ny4zIDE5Ni44MSA0MDcuNjIgMTk2LjU5IDQwOC4xMyAxOTYuNDggNDA4LjYyIDE5Ni40OSA0MDgu&#10;ODMgMTk2LjQ5IDQwOS4wNSAxOTYuNTMgNDA5LjI0IDE5Ni41OFoiIGZpbGw9IiMwMTAxMDEiLz48&#10;cGF0aCBkPSJNNDE5Ljk1IDE5Mi40NEM0MjAuNDIgMTkyLjYzIDQyMC43IDE5My4wMSA0MjAuOSAx&#10;OTMuMyA0MjEuMDQgMTkzLjUxIDQyMS4xMyAxOTMuNzMgNDIxLjIzIDE5My45NCA0MjEuNDkgMTk0&#10;LjUzIDQyMS42NSAxOTUuMTMgNDIxLjgxIDE5NS43MyA0MjIuMDggMTk2Ljc2IDQyMi4yNSAxOTcu&#10;OCA0MjIuNDUgMTk4Ljg0IDQyMi42NSAxOTkuODggNDIyLjgzIDIwMC45MSA0MjMuMDEgMjAxLjk2&#10;IDQyMy4yIDIwMy4wNCA0MjMuNDQgMjA0LjEyIDQyMy41MSAyMDUuMjEgNDIzLjU1IDIwNS44MSA0&#10;MjIuOTIgMjA2LjM2IDQyMS45MSAyMDYuNTUgNDIwLjY5IDIwNi43OCA0MTkuMzcgMjA2LjM5IDQx&#10;OC45NiAyMDUuNyA0MTguMjggMjA0LjU4IDQxNy45NyAyMDMuMzkgNDE3LjYxIDIwMi4yMiA0MTcu&#10;MjkgMjAxLjE5IDQxNy4wNyAyMDAuMTUgNDE2Ljg4IDE5OS4xIDQxNi43IDE5OC4wNyA0MTYuNTIg&#10;MTk3LjA0IDQxNi40NSAxOTYgNDE2LjQxIDE5NS40OCA0MTYuMzcgMTk0Ljk1IDQxNi40MSAxOTQu&#10;NDMgNDE2LjQzIDE5NC4xMSA0MTYuNDQgMTkzLjc3IDQxNi41NSAxOTMuNDUgNDE2LjYyIDE5My4y&#10;NiA0MTYuNzIgMTkzLjA2IDQxNi44NyAxOTIuODkgNDE3LjA3IDE5Mi42NCA0MTcuMzQgMTkyLjUx&#10;IDQxNy43IDE5Mi4zNCA0MTcuOTcgMTkyLjI0IDQxOC4yNyAxOTIuMTkgNDE4LjU5IDE5Mi4xNyA0&#10;MTguNjYgMTkyLjE3IDQxOC43MyAxOTIuMTcgNDE4LjggMTkyLjE3IDQxOS4yNCAxOTIuMTggNDE5&#10;LjU4IDE5Mi4yOSA0MTkuOTUgMTkyLjQ0WiIgZmlsbD0iIzAxMDEwMSIvPjxwYXRoIGQ9Ik00MzUg&#10;MjAwLjU3QzQzNSAyMDAuNTcgNDM1LjAzIDIwMC42NiA0MzUuMDUgMjAwLjcxIDQzNS4wNCAyMDAu&#10;NjYgNDM1LjAyIDIwMC42MiA0MzUgMjAwLjU3Wk00MzAuMTIgMTkxLjQ3QzQzMS4xOSAxOTEuNTQg&#10;NDMxLjcxIDE5Mi4xNyA0MzIuMSAxOTIuNjQgNDMyLjM2IDE5Mi45NiA0MzIuNTEgMTkzLjMyIDQz&#10;Mi42NyAxOTMuNjYgNDMzLjA2IDE5NC41IDQzMy4zMyAxOTUuMzYgNDMzLjYxIDE5Ni4yMSA0MzQu&#10;MDkgMTk3LjY0IDQzNC41IDE5OS4wOCA0MzQuOTggMjAwLjUyIDQzNS40MiAyMDEuODIgNDM1Ljky&#10;IDIwMy4xMiA0MzYuMjUgMjA0LjQzIDQzNi4zOSAyMDUgNDM1LjYgMjA1LjU3IDQzNC42OCAyMDUu&#10;NzQgNDMzLjUxIDIwNS45NiA0MzIuMTUgMjA1LjU5IDQzMS43OSAyMDQuOTEgNDMxLjE5IDIwMy43&#10;OCA0MzAuODQgMjAyLjYyIDQzMC40NyAyMDEuNDcgNDMwLjE0IDIwMC40NyA0MjkuODMgMTk5LjQ2&#10;IDQyOS41MSAxOTguNDYgNDI5LjE4IDE5Ny40MSA0MjguODUgMTk2LjM2IDQyOC41NiAxOTUuMzEg&#10;NDI4LjQxIDE5NC44MSA0MjguMjcgMTk0LjMxIDQyOC4xNyAxOTMuOCA0MjguMTIgMTkzLjU2IDQy&#10;OC4wNyAxOTMuMzIgNDI4LjAzIDE5My4wOCA0MjcuOTkgMTkyLjgzIDQyNy45NSAxOTIuNTEgNDI4&#10;LjA2IDE5Mi4yNyA0MjguMTEgMTkyLjE3IDQyOC4xNiAxOTIuMDcgNDI4LjI0IDE5MS45OCA0Mjgu&#10;NiAxOTEuNiA0MjkuMjQgMTkxLjQzIDQyOS45NiAxOTEuNDUgNDMwLjAyIDE5MS40NSA0MzAuMDcg&#10;MTkxLjQ1IDQzMC4xMyAxOTEuNDVaIiBmaWxsPSIjMDEwMTAxIi8+PHBhdGggZD0iTTQ0My43NCAx&#10;OTIuODdDNDQ0LjIgMTkzLjA2IDQ0NC40OSAxOTMuNDIgNDQ0LjcxIDE5My43MSA0NDQuOSAxOTMu&#10;OTYgNDQ1LjA2IDE5NC4yIDQ0NS4yMSAxOTQuNDYgNDQ1LjUzIDE5NC45OSA0NDUuNzYgMTk1LjUz&#10;IDQ0Ni4wMSAxOTYuMDcgNDQ2LjUgMTk3LjEyIDQ0Ni45NCAxOTguMTkgNDQ3LjM4IDE5OS4yNSA0&#10;NDcuODggMjAwLjQ2IDQ0OC4zNyAyMDEuNjYgNDQ4Ljc4IDIwMi44OCA0NDguOTYgMjAzLjQyIDQ0&#10;OS4xMiAyMDMuOTUgNDQ5LjI1IDIwNC40OSA0NDkuNCAyMDUuMSA0NDkuNTEgMjA1LjcxIDQ0OS43&#10;IDIwNi4zMiA0NDkuNzIgMjA2LjU0IDQ0OS42NSAyMDYuNzQgNDQ5LjQ4IDIwNi45NCA0NDkuMjIg&#10;MjA3LjIyIDQ0OC43NyAyMDcuNDQgNDQ4LjI0IDIwNy41NCA0NDcuMTQgMjA3Ljc0IDQ0NS45IDIw&#10;Ny4zOSA0NDUuNTUgMjA2Ljc3IDQ0NS4yMiAyMDYuMTggNDQ0LjgzIDIwNS42MSA0NDQuNDUgMjA1&#10;LjA0IDQ0NC4xIDIwNC41MiA0NDMuODEgMjAzLjk5IDQ0My41MyAyMDMuNDUgNDQyLjk3IDIwMi4z&#10;NyA0NDIuNTQgMjAxLjI2IDQ0Mi4xMiAyMDAuMTUgNDQxLjY4IDE5OC45OCA0NDEuMzIgMTk3Ljgg&#10;NDQxIDE5Ni42MSA0NDAuODYgMTk2LjA3IDQ0MC43NCAxOTUuNTMgNDQwLjY0IDE5NC45OSA0NDAu&#10;NTkgMTk0Ljc0IDQ0MC41NSAxOTQuNDggNDQwLjUzIDE5NC4yMiA0NDAuNSAxOTMuODcgNDQwLjUx&#10;IDE5My41IDQ0MC44MSAxOTMuMTggNDQxLjA0IDE5Mi45MyA0NDEuNDIgMTkyLjc0IDQ0MS45IDE5&#10;Mi42NSA0NDIuMTIgMTkyLjYxIDQ0Mi4zNCAxOTIuNTkgNDQyLjU1IDE5Mi42IDQ0Mi45OCAxOTIu&#10;NjEgNDQzLjM3IDE5Mi43MiA0NDMuNzUgMTkyLjg3WiIgZmlsbD0iIzAxMDEwMSIvPjxwYXRoIGQ9&#10;Ik00NTAuNDcgMTkxLjE4QzQ1MS44IDE5MS4zNyA0NTIuMzEgMTkyLjE5IDQ1Mi43OSAxOTIuODMg&#10;NDUzLjE2IDE5My4zMyA0NTMuNDcgMTkzLjgzIDQ1My43OCAxOTQuMzQgNDU0LjM4IDE5NS4zMSA0&#10;NTQuOTMgMTk2LjMgNDU1LjQ1IDE5Ny4yOSA0NTUuOTkgMTk4LjMxIDQ1Ni40NyAxOTkuMzQgNDU2&#10;Ljg4IDIwMC4zOCA0NTcuMjkgMjAxLjQyIDQ1Ny42OSAyMDIuNDYgNDU4LjIgMjAzLjQ5IDQ1OC40&#10;OSAyMDQuMDcgNDU4Ljc5IDIwNC42NSA0NTkuMTEgMjA1LjIzIDQ1OS40OCAyMDUuOTMgNDU4Ljg0&#10;IDIwNi43IDQ1Ny41OSAyMDYuOTMgNDU2LjM3IDIwNy4xNiA0NTQuOTcgMjA2Ljc3IDQ1NC41OSAy&#10;MDYuMDcgNDUzLjk5IDIwNC45OCA0NTMuMzkgMjAzLjg4IDQ1Mi43MSAyMDIuOCA0NTIuMDYgMjAx&#10;Ljc3IDQ1MS4zOSAyMDAuNzYgNDUwLjg1IDE5OS43MiA0NTAuMzQgMTk4LjczIDQ0OS45NCAxOTcu&#10;NzMgNDQ5LjUzIDE5Ni43MiA0NDkuMzMgMTk2LjIxIDQ0OS4xMyAxOTUuNyA0NDguOTUgMTk1LjE4&#10;IDQ0OC43MyAxOTQuNTYgNDQ4LjQ5IDE5My45NCA0NDguMzYgMTkzLjMxIDQ0OC4yOSAxOTIuOTUg&#10;NDQ4LjI1IDE5Mi41OSA0NDguMzQgMTkyLjI0IDQ0OC4zOCAxOTIuMDUgNDQ4LjQ3IDE5MS44OCA0&#10;NDguNjIgMTkxLjcxIDQ0OC45MiAxOTEuMzkgNDQ5LjU2IDE5MS4xNCA0NTAuMjIgMTkxLjE2IDQ1&#10;MC4zMSAxOTEuMTYgNDUwLjM5IDE5MS4xNyA0NTAuNDggMTkxLjE4WiIgZmlsbD0iIzAxMDEwMSIv&#10;PjxwYXRoIGQ9Ik00NzMuMDIgMTgzLjkzQzQ3My42NSAxODQuMTcgNDc0LjAyIDE4NC42NSA0NzQu&#10;MzQgMTg1LjA4IDQ3NC42NyAxODUuNTMgNDc0Ljk3IDE4NS45OSA0NzUuMjcgMTg2LjQ1IDQ3NS43&#10;OSAxODcuMjYgNDc2LjI5IDE4OC4wNyA0NzYuNzggMTg4Ljg5IDQ3Ny44NCAxOTAuNjMgNDc4Ljkg&#10;MTkyLjM3IDQ3OS43NSAxOTQuMTYgNDgwIDE5NC42OSA0NzkuNjkgMTk1LjI4IDQ3OS4wNSAxOTUu&#10;NTggNDc4LjY3IDE5NS43NSA0NzguMjEgMTk1LjgyIDQ3Ny43NyAxOTUuNzUgNDc3LjM3IDE5NS42&#10;OSA0NzYuODUgMTk1LjQ5IDQ3Ni42NiAxOTUuMjEgNDc2LjAxIDE5NC4yNiA0NzUuNDMgMTkzLjMg&#10;NDc0Ljg2IDE5Mi4zMiA0NzQuMzggMTkxLjUgNDczLjkyIDE5MC42NyA0NzMuNDYgMTg5Ljg1IDQ3&#10;Mi45OSAxODkgNDcyLjUxIDE4OC4xNCA0NzIuMDYgMTg3LjI5IDQ3MS44NiAxODYuOTEgNDcxLjY3&#10;IDE4Ni41MyA0NzEuNSAxODYuMTUgNDcxLjQxIDE4NS45NCA0NzEuMzMgMTg1LjczIDQ3MS4yNiAx&#10;ODUuNTIgNDcxLjE2IDE4NS4yMyA0NzEuMDYgMTg0Ljg2IDQ3MS4xOCAxODQuNTcgNDcxLjI5IDE4&#10;NC4zMiA0NzEuNDMgMTg0LjEyIDQ3MS43NSAxODMuOTggNDcxLjk4IDE4My44NyA0NzIuMjYgMTgz&#10;LjgyIDQ3Mi41NCAxODMuODMgNDcyLjcxIDE4My44MyA0NzIuODggMTgzLjg3IDQ3My4wNCAxODMu&#10;OTNaIiBmaWxsPSIjMDEwMTAxIi8+PHBhdGggZD0iTTQ4NC44NyAxODguNkM0ODQuODcgMTg4LjYg&#10;NDg0LjgzIDE4OC41NCA0ODQuODEgMTg4LjUxIDQ4NC44IDE4OC40OSA0ODQuNzkgMTg4LjQ3IDQ4&#10;NC43NyAxODguNDYgNDg0LjggMTg4LjUxIDQ4NC44MyAxODguNTUgNDg0Ljg2IDE4OC42Wk00Nzgg&#10;MTc5LjE5QzQ3OC40MiAxNzkuNDYgNDc4LjYxIDE3OS44MSA0NzguNjEgMTgwLjE2IDQ3OS42OCAx&#10;ODEuMjEgNDgwLjUyIDE4Mi40IDQ4MS4zNiAxODMuNTUgNDgyLjUxIDE4NS4xMyA0ODMuNjIgMTg2&#10;LjcyIDQ4NC42OSAxODguMzIgNDg0LjYgMTg4LjE4IDQ4NC41MSAxODguMDUgNDg0LjQyIDE4Ny45&#10;MSA0ODQuNTQgMTg4LjA5IDQ4NC42NiAxODguMjcgNDg0Ljc4IDE4OC40NiA0ODQuNzggMTg4LjQ1&#10;IDQ4NC43NiAxODguNDQgNDg0Ljc2IDE4OC40MyA0ODQuNzggMTg4LjQ2IDQ4NC44IDE4OC40OSA0&#10;ODQuODIgMTg4LjUyTDQ4NC45MSAxODguNjVDNDg0LjkxIDE4OC42NSA0ODQuODkgMTg4LjYyIDQ4&#10;NC44OCAxODguNjEgNDg0LjkgMTg4LjY0IDQ4NC45MyAxODguNjggNDg0Ljk1IDE4OC43MSA0ODQu&#10;OTggMTg4Ljc1IDQ4NS4wMSAxODguOCA0ODUuMDQgMTg4Ljg0IDQ4NS4wMyAxODguODIgNDg1LjAx&#10;IDE4OC44IDQ4NSAxODguNzggNDg1LjY1IDE4OS43NiA0ODYuMjkgMTkwLjc1IDQ4Ni44OSAxOTEu&#10;NzUgNDg3LjUzIDE5Mi44MiA0ODguMDYgMTkzLjkxIDQ4OC42OSAxOTQuOTggNDg5LjA4IDE5NS42&#10;MyA0ODguNTggMTk2LjQ0IDQ4Ny43OSAxOTYuOCA0ODcuMzEgMTk3LjAyIDQ4Ni43MSAxOTcuMSA0&#10;ODYuMTUgMTk3LjAyIDQ4NS42MiAxOTYuOTUgNDg0Ljk4IDE5Ni42OSA0ODQuNzIgMTk2LjMzIDQ4&#10;My43NCAxOTQuOTMgNDgyLjY3IDE5My41NyA0ODEuNzQgMTkyLjE1IDQ4MC44OCAxOTAuODYgNDgw&#10;LjA4IDE4OS41NSA0NzkuMjggMTg4LjI0IDQ3OC41IDE4Ni45NSA0NzcuNzIgMTg1LjY3IDQ3Ni45&#10;OCAxODQuMzcgNDc2LjM5IDE4My4zMyA0NzUuODEgMTgyLjI5IDQ3NS40NCAxODEuMjEgNDc1LjIg&#10;MTgxLjA2IDQ3NS4wMSAxODAuODYgNDc0LjkxIDE4MC42MyA0NzQuNjQgMTgwLjA1IDQ3NC45NyAx&#10;NzkuMzkgNDc1LjY5IDE3OS4wNiA0NzYuMDQgMTc4LjkgNDc2LjQ0IDE3OC44MyA0NzYuODQgMTc4&#10;Ljg1IDQ3Ny4yNyAxNzguODcgNDc3LjY5IDE3OC45OSA0NzguMDIgMTc5LjJaIiBmaWxsPSIjMDEw&#10;MTAxIi8+PHBhdGggZD0iTTQ4Ni44NyAxNzcuM0M0ODcuMyAxNzcuNjggNDg3LjcgMTc4LjA4IDQ4&#10;OC4wOCAxNzguNDkgNDg4LjggMTc5LjI3IDQ4OS40NiAxODAuMDcgNDkwLjExIDE4MC44OCA0OTEu&#10;NDYgMTgyLjU1IDQ5Mi43OSAxODQuMjMgNDk0LjExIDE4NS45MiA0OTQuNiAxODYuNTQgNDk1LjA4&#10;IDE4Ny4xNiA0OTUuNTMgMTg3LjggNDk2LjA4IDE4OC41OSA0OTYuNTkgMTg5LjM5IDQ5Ny4wOSAx&#10;OTAuMiA0OTcuMiAxOTAuNDQgNDk3LjIyIDE5MC42OSA0OTcuMTUgMTkwLjkzIDQ5Ny4wNCAxOTEu&#10;MzEgNDk2LjcyIDE5MS42NSA0OTYuMjcgMTkxLjg2IDQ5NS4zMyAxOTIuMjkgNDk0LjA5IDE5Mi4w&#10;OCA0OTMuNDcgMTkxLjQzIDQ5Mi42OCAxOTAuNTkgNDkxLjkyIDE4OS43NCA0OTEuMjQgMTg4Ljg2&#10;IDQ5MC41OSAxODguMDMgNDkwLjAxIDE4Ny4xNyA0ODkuNDEgMTg2LjMyIDQ4OC4xOSAxODQuNjEg&#10;NDg3IDE4Mi44OSA0ODUuOCAxODEuMTcgNDg1LjMgMTgwLjQ0IDQ4NC44IDE3OS43MiA0ODQuMzEg&#10;MTc4Ljk5IDQ4NC4xMSAxNzguNjkgNDgzLjkyIDE3OC4zOCA0ODMuNzQgMTc4LjA3IDQ4My42NiAx&#10;NzcuOTMgNDgzLjYgMTc3Ljc5IDQ4My41NSAxNzcuNjUgNDgzLjUxIDE3Ny41NSA0ODMuNDUgMTc3&#10;LjM2IDQ4My40NSAxNzcuMjMgNDgzLjQ1IDE3Ny4wMiA0ODMuNSAxNzYuODggNDgzLjYgMTc2LjY5&#10;IDQ4My43NSAxNzYuNDIgNDg0LjIxIDE3Ni4yNCA0ODQuNiAxNzYuMjIgNDg0LjY2IDE3Ni4yMiA0&#10;ODQuNzIgMTc2LjIyIDQ4NC43NyAxNzYuMjIgNDg1LjY3IDE3Ni4yNiA0ODYuMzUgMTc2Ljg1IDQ4&#10;Ni44NyAxNzcuMzFaIiBmaWxsPSIjMDEwMTAxIi8+PHBhdGggZD0iTTQ5My4zNCAxNzEuMjFDNDkz&#10;LjQzIDE3MS4yNSA0OTMuNTIgMTcxLjI5IDQ5My42MiAxNzEuMzUgNDkzLjkyIDE3MS41MyA0OTQu&#10;MTYgMTcxLjc3IDQ5NC40IDE3MS45OSA0OTQuODYgMTcyLjQyIDQ5NS4yNyAxNzIuODYgNDk1LjY2&#10;IDE3My4zMSA0OTYuNTMgMTc0LjMgNDk3LjM4IDE3NS4zMSA0OTguMjQgMTc2LjMxIDQ5OS44IDE3&#10;OC4xMSA1MDEuMjkgMTc5Ljk0IDUwMi45NSAxODEuNjkgNTAzLjU5IDE4Mi4zNiA1MDQuMjUgMTgz&#10;LjAxIDUwNC45MyAxODMuNjYgNTA1LjI5IDE4NC4wMSA1MDUuNjQgMTg0LjM1IDUwNS45OCAxODQu&#10;NyA1MDYuMTMgMTg0Ljg2IDUwNi4yOSAxODUuMDEgNTA2LjQzIDE4NS4xNyA1MDYuNjggMTg1LjQ2&#10;IDUwNi44NSAxODUuNzggNTA3LjAxIDE4Ni4xIDUwNy4zMiAxODYuNzUgNTA2Ljk0IDE4Ny40OSA1&#10;MDYuMTQgMTg3Ljg2IDUwNS4zNCAxODguMjIgNTA0LjIzIDE4OC4xNyA1MDMuNTQgMTg3LjcgNTAz&#10;LjE3IDE4Ny40NSA1MDIuNzkgMTg3LjE4IDUwMi41MiAxODYuODYgNTAyLjMzIDE4Ni42MyA1MDIu&#10;MTQgMTg2LjQgNTAxLjk1IDE4Ni4xNyA1MDEuNTcgMTg1LjY5IDUwMS4yMiAxODUuMiA1MDAuODYg&#10;MTg0LjcxIDUwMC4yMSAxODMuODQgNDk5LjU5IDE4Mi45NiA0OTguOTMgMTgyLjA5IDQ5OC4yMSAx&#10;ODEuMTQgNDk3LjQ4IDE4MC4xOSA0OTYuNzggMTc5LjIzIDQ5Ni4wNCAxNzguMjQgNDk1LjM1IDE3&#10;Ny4yNCA0OTQuNjQgMTc2LjI0IDQ5NC4wMyAxNzUuMzggNDkzLjQzIDE3NC41MiA0OTIuODYgMTcz&#10;LjY0IDQ5Mi42MiAxNzMuMjYgNDkyLjM4IDE3Mi44OCA0OTIuMTYgMTcyLjQ4IDQ5Mi4wNSAxNzIu&#10;MjggNDkxLjk4IDE3Mi4wOCA0OTEuOTIgMTcxLjg2IDQ5MS45IDE3MS43NyA0OTEuOTEgMTcxLjY5&#10;IDQ5MS45NCAxNzEuNjEgNDkxLjk0IDE3MS40MSA0OTIuMDYgMTcxLjIyIDQ5Mi4zMSAxNzEuMSA0&#10;OTIuNDUgMTcxLjA0IDQ5Mi42MiAxNzEuMDEgNDkyLjc5IDE3MS4wMiA0OTMgMTcxLjAyIDQ5My4y&#10;IDE3MS4wOSA0OTMuMzUgMTcxLjE4WiIgZmlsbD0iIzAxMDEwMSIvPjxwYXRoIGQ9Ik01MDEuMTkg&#10;MTY1LjhDNTAxLjE5IDE2NS44IDUwMS4yNCAxNjUuODIgNTAxLjI2IDE2NS44MyA1MDEuMzkgMTY1&#10;Ljg5IDUwMS41MiAxNjUuOTQgNTAxLjY1IDE2NS45OSA1MDIuMDQgMTY2LjE1IDUwMi40MSAxNjYu&#10;MzYgNTAyLjc2IDE2Ni41NiA1MDMuMzcgMTY2LjkxIDUwMy45NSAxNjcuMyA1MDQuNSAxNjcuNyA1&#10;MDUuNjcgMTY4LjU2IDUwNi44MiAxNjkuNDQgNTA3Ljk3IDE3MC4zMSA1MTAuMTkgMTcyIDUxMi4z&#10;OCAxNzMuNyA1MTQuNjQgMTc1LjM2IDUxNS42OCAxNzYuMTMgNTE2LjY5IDE3Ni45MSA1MTcuNjcg&#10;MTc3LjcyIDUxOC4zMSAxNzguMjQgNTE4LjkzIDE3OC43NyA1MTkuNTQgMTc5LjMgNTIwLjA2IDE3&#10;OS43NyA1MjAuNTQgMTgwLjI2IDUyMS4wNiAxODAuNzMgNTIxLjI4IDE4MC45NyA1MjEuNCAxODEu&#10;MjMgNTIxLjQyIDE4MS41MiA1MjEuNDYgMTgxLjk2IDUyMS4yNCAxODIuNCA1MjAuODMgMTgyLjcy&#10;IDUyMC40MyAxODMuMDMgNTE5Ljg2IDE4My4yMyA1MTkuMjcgMTgzLjI1IDUxOC43IDE4My4yOCA1&#10;MTcuOTkgMTgzLjEzIDUxNy41OSAxODIuODMgNTE2Ljk5IDE4Mi4zNyA1MTYuMzUgMTgxLjk0IDUx&#10;NS43NiAxODEuNDcgNTE1LjIgMTgxLjAzIDUxNC42NSAxODAuNTcgNTE0LjExIDE4MC4xMiA1MTIu&#10;OTYgMTc5LjE1IDUxMS44MyAxNzguMTcgNTEwLjc0IDE3Ny4xNyA1MDguNzUgMTc1LjMzIDUwNi43&#10;MiAxNzMuNTIgNTA0Ljc0IDE3MS42OSA1MDMuNyAxNzAuNzMgNTAyLjY2IDE2OS43NyA1MDEuNjYg&#10;MTY4Ljc5IDUwMS4xOSAxNjguMzMgNTAwLjc0IDE2Ny44NiA1MDAuMzMgMTY3LjM4IDUwMC4xNiAx&#10;NjcuMTcgNTAwLjAxIDE2Ni45NSA0OTkuODkgMTY2LjcyIDQ5OS44NyAxNjYuNjggNDk5Ljg1IDE2&#10;Ni42MyA0OTkuODMgMTY2LjU5IDQ5OS42NiAxNjYuMzYgNDk5LjcyIDE2Ni4wNSA0OTkuOTYgMTY1&#10;Ljg2IDUwMC4xNCAxNjUuNzIgNTAwLjQzIDE2NS42NCA1MDAuNyAxNjUuNjUgNTAwLjg4IDE2NS42&#10;NSA1MDEuMDUgMTY1LjcgNTAxLjE4IDE2NS43OVoiIGZpbGw9IiMwMTAxMDEiLz48cGF0aCBkPSJN&#10;NTEyLjYgMTU5LjY5QzUxMi43NiAxNTkuNzkgNTEyLjg3IDE1OS45MyA1MTIuOTIgMTYwLjA3IDUx&#10;My4xNiAxNjAuMzMgNTEzLjQ2IDE2MC41NyA1MTMuNzMgMTYwLjgxIDUxNC4xNSAxNjEuMTggNTE0&#10;LjU4IDE2MS41NCA1MTUgMTYxLjkgNTE1LjgzIDE2Mi42MiA1MTYuNjUgMTYzLjM1IDUxNy40NiAx&#10;NjQuMDggNTE5LjEgMTY1LjU3IDUyMC43NCAxNjcuMDcgNTIyLjQzIDE2OC41NCA1MjMuNDggMTY5&#10;LjQ2IDUyNC41NSAxNzAuMzggNTI1LjYxIDE3MS4zIDUyNi42OSAxNzIuMjQgNTI3Ljc0IDE3My4x&#10;OCA1MjguODMgMTc0LjEyIDUyOC45NSAxNzQuMjYgNTI5LjAyIDE3NC40MSA1MjkuMDQgMTc0LjU3&#10;IDUyOS4wNiAxNzQuODIgNTI4Ljk0IDE3NS4wOCA1MjguNyAxNzUuMjYgNTI4LjQ3IDE3NS40NCA1&#10;MjguMTQgMTc1LjU1IDUyNy44IDE3NS41NyA1MjcuNDggMTc1LjU4IDUyNy4wNSAxNzUuNTEgNTI2&#10;LjgzIDE3NS4zMyA1MjUuOTQgMTc0LjYxIDUyNS4wMiAxNzMuOTIgNTI0LjE0IDE3My4yMSA1MjMu&#10;MjIgMTcyLjQ2IDUyMi4zNiAxNzEuNjggNTIxLjUgMTcwLjkgNTE5Ljk0IDE2OS40NiA1MTguMzcg&#10;MTY4LjAyIDUxNi44NCAxNjYuNTcgNTE1Ljc3IDE2NS41NiA1MTQuNzIgMTY0LjU1IDUxMy42NiAx&#10;NjMuNTMgNTEzLjE0IDE2My4wMyA1MTIuNjMgMTYyLjUyIDUxMi4xMiAxNjIuMDEgNTExLjkgMTYx&#10;Ljc4IDUxMS42OCAxNjEuNTUgNTExLjQ3IDE2MS4zMiA1MTEuMzIgMTYxLjE2IDUxMS4xNyAxNjAu&#10;OTkgNTExLjA0IDE2MC44MSA1MTAuOTQgMTYwLjczIDUxMC44NiAxNjAuNjMgNTEwLjgxIDE2MC41&#10;MyA1MTAuNjUgMTYwLjIgNTEwLjg0IDE1OS44MiA1MTEuMjYgMTU5LjYzIDUxMS40NiAxNTkuNTQg&#10;NTExLjY5IDE1OS41IDUxMS45MiAxNTkuNTEgNTEyLjE3IDE1OS41MSA1MTIuNDEgMTU5LjU5IDUx&#10;Mi42IDE1OS43MVoiIGZpbGw9IiMwMTAxMDEiLz48cGF0aCBkPSJNNTMzLjAxIDE2Ni44NEM1MzMu&#10;MDEgMTY2Ljg0IDUzMy4wOSAxNjYuOTEgNTMzLjEzIDE2Ni45NCA1MzMuMTMgMTY2Ljk0IDUzMy4x&#10;MyAxNjYuOTQgNTMzLjE0IDE2Ni45NSA1MzMuMTQgMTY2Ljk1IDUzMy4xNSAxNjYuOTYgNTMzLjE2&#10;IDE2Ni45N0w1MzMuMTYgMTY2Ljk3QzUzMy4xNiAxNjYuOTcgNTMzLjI1IDE2Ny4wNSA1MzMuMyAx&#10;NjcuMDggNTMzLjI1IDE2Ny4wNCA1MzMuMiAxNjcgNTMzLjE1IDE2Ni45NiA1MzMuMDcgMTY2Ljkg&#10;NTMzIDE2Ni44MyA1MzIuOTIgMTY2Ljc3IDUzMi45NSAxNjYuOCA1MzIuOTggMTY2LjgyIDUzMy4w&#10;MSAxNjYuODVaTTUzNS43NSAxNjkuMDdDNTM1Ljc1IDE2OS4wNyA1MzUuNzkgMTY5LjEgNTM1Ljgg&#10;MTY5LjEyIDUzNS43OCAxNjkuMSA1MzUuNzYgMTY5LjA5IDUzNS43NSAxNjkuMDdaTTUzMy4wMSAx&#10;NjYuODVDNTMzLjAxIDE2Ni44NSA1MzMuMDcgMTY2LjkgNTMzLjEgMTY2LjkyIDUzMy4wNyAxNjYu&#10;OSA1MzMuMDQgMTY2Ljg3IDUzMy4wMSAxNjYuODVaTTUyMi43NiAxNTQgNTIyLjc2IDE1NEM1MjIu&#10;OTIgMTU0LjEgNTIzLjA2IDE1NC4yMSA1MjMuMTggMTU0LjMxIDUyMy40NiAxNTQuNTMgNTIzLjcy&#10;IDE1NC43NiA1MjMuOTggMTU0Ljk5IDUyNC40OCAxNTUuNDIgNTI0Ljk4IDE1NS44NiA1MjUuNDgg&#10;MTU2LjMgNTI2LjQyIDE1Ny4xNCA1MjcuMzYgMTU3Ljk4IDUyOC4zMSAxNTguODIgNTMwLjI0IDE2&#10;MC41MyA1MzIuMTkgMTYyLjIzIDUzNC4wNiAxNjMuOTYgNTM0Ljg0IDE2NC42OSA1MzUuNjIgMTY1&#10;LjQyIDUzNi4zNCAxNjYuMTcgNTM3LjEgMTY2Ljk2IDUzNy44NCAxNjcuNzUgNTM4LjY2IDE2OC41&#10;MiA1MzkuMTIgMTY4Ljk1IDUzOC44NSAxNjkuNjEgNTM4LjI1IDE2OS44OCA1MzcuOTUgMTcwLjAy&#10;IDUzNy41OCAxNzAuMDcgNTM3LjIzIDE3MC4wMiA1MzYuODMgMTY5Ljk2IDUzNi41OSAxNjkuOCA1&#10;MzYuMzQgMTY5LjU5IDUzNi4xNyAxNjkuNDQgNTM2IDE2OS4yOSA1MzUuODMgMTY5LjE1IDUzNC45&#10;NiAxNjguNDMgNTM0LjA0IDE2Ny43MyA1MzMuMTggMTY3IDUzMy4yNyAxNjcuMDggNTMzLjM2IDE2&#10;Ny4xNSA1MzMuNDYgMTY3LjIzIDUzMy4zNSAxNjcuMTQgNTMzLjI1IDE2Ny4wNSA1MzMuMTQgMTY2&#10;Ljk2IDUzMy4xIDE2Ni45MiA1MzMuMDUgMTY2Ljg5IDUzMy4wMSAxNjYuODUgNTMyLjk3IDE2Ni44&#10;MSA1MzIuOTMgMTY2Ljc4IDUzMi44OCAxNjYuNzQgNTMyLjg5IDE2Ni43NSA1MzIuOSAxNjYuNzYg&#10;NTMyLjkyIDE2Ni43NyA1MzAuOTkgMTY1LjEzIDUyOS4xOSAxNjMuNCA1MjcuNDEgMTYxLjY4IDUy&#10;NS41NiAxNTkuOSA1MjMuNjggMTU4LjEyIDUyMS45IDE1Ni4zMSA1MjEuNjcgMTU2LjA4IDUyMS40&#10;NiAxNTUuODQgNTIxLjI1IDE1NS42IDUyMS4wOCAxNTUuNCA1MjAuODggMTU1LjE4IDUyMC43OSAx&#10;NTQuOTQgNTIwLjY1IDE1NC42NSA1MjAuNzMgMTU0LjMxIDUyMS4wNCAxNTQuMDcgNTIxLjMgMTUz&#10;Ljg3IDUyMS42NiAxNTMuNzcgNTIyLjAyIDE1My43OSA1MjIuMjkgMTUzLjggNTIyLjU2IDE1My44&#10;NyA1MjIuNzggMTU0LjAxWiIgZmlsbD0iIzAxMDEwMSIvPjxwYXRoIGQ9Ik01MzQuMDcgMTUyLjQ1&#10;QzUzNCAxNTIuMzkgNTMzLjkyIDE1Mi4zMyA1MzMuODUgMTUyLjI3IDUzMy45MiAxNTIuMzMgNTM0&#10;IDE1Mi4zOSA1MzQuMDcgMTUyLjQ1Wk01NDMuNjggMTY0LjcyQzU0My42OCAxNjQuNzIgNTQzLjY4&#10;IDE2NC43MiA1NDMuNjggMTY0LjcyIDU0My43MiAxNjQuNzUgNTQzLjc2IDE2NC43OSA1NDMuOCAx&#10;NjQuODIgNTQzLjc0IDE2NC43NyA1NDMuNjkgMTY0LjczIDU0My42MyAxNjQuNjggNTQzLjY0IDE2&#10;NC42OSA1NDMuNjUgMTY0LjcgNTQzLjY3IDE2NC43MVpNNTMwLjI2IDE0OS44OEM1MzAuNjggMTQ5&#10;LjkzIDUzMS4wOCAxNTAuMTQgNTMxLjM5IDE1MC4zNCA1MzEuNjUgMTUwLjUxIDUzMS45MSAxNTAu&#10;NjkgNTMyLjE1IDE1MC44OCA1MzIuNzQgMTUxLjMzIDUzMy4zIDE1MS44IDUzMy44NiAxNTIuMjcg&#10;NTMzLjg0IDE1Mi4yNiA1MzMuODMgMTUyLjI0IDUzMy44MSAxNTIuMjMgNTM1LjYxIDE1My43NSA1&#10;MzcuMzYgMTU1LjMxIDUzOS4wNyAxNTYuODggNTQwLjcyIDE1OC40IDU0Mi4zOSAxNTkuOTEgNTQz&#10;Ljg4IDE2MS41IDU0NC44OCAxNjIuNTcgNTQ1Ljg2IDE2My42NCA1NDYuOTMgMTY0LjY3IDU0Ny4z&#10;NSAxNjUuMDcgNTQ3LjExIDE2NS42OCA1NDYuNTUgMTY1Ljk0IDU0Ni4yNyAxNjYuMDcgNTQ1Ljky&#10;IDE2Ni4xMiA1NDUuNTkgMTY2LjA3IDU0NS4yMiAxNjYuMDIgNTQ0Ljk4IDE2NS44NyA1NDQuNzYg&#10;MTY1LjY3IDU0NC40MyAxNjUuMzcgNTQ0LjA4IDE2NS4wNyA1NDMuNzQgMTY0Ljc3IDU0My44MSAx&#10;NjQuODMgNTQzLjg5IDE2NC44OSA1NDMuOTYgMTY0Ljk2IDU0My44NyAxNjQuODggNTQzLjc4IDE2&#10;NC44MSA1NDMuNjkgMTY0LjczIDU0My42OSAxNjQuNzMgNTQzLjY5IDE2NC43MyA1NDMuNjkgMTY0&#10;LjczIDU0My42NiAxNjQuNyA1NDMuNjMgMTY0LjY4IDU0My42IDE2NC42NSA1NDMuNjIgMTY0LjY3&#10;IDU0My42NCAxNjQuNjggNTQzLjY2IDE2NC43IDU0My41OSAxNjQuNjQgNTQzLjUyIDE2NC41OCA1&#10;NDMuNDUgMTY0LjUyIDU0My41MiAxNjQuNTkgNTQzLjYgMTY0LjY1IDU0My42OCAxNjQuNzEgNTQy&#10;LjgxIDE2My45OSA1NDEuOTIgMTYzLjI5IDU0MS4wNSAxNjIuNTcgNTQwLjExIDE2MS43OCA1Mzku&#10;MjEgMTYwLjk4IDUzOC4zMSAxNjAuMTcgNTM2LjYzIDE1OC42NCA1MzQuOTkgMTU3LjA5IDUzMy4z&#10;NiAxNTUuNTQgNTMyLjU2IDE1NC43OSA1MzEuNzcgMTU0LjAzIDUzMC45OSAxNTMuMjcgNTMwLjYg&#10;MTUyLjg5IDUzMC4yMSAxNTIuNSA1MjkuODIgMTUyLjExIDUyOS40MyAxNTEuNzIgNTI4LjkyIDE1&#10;MS4yNiA1MjguODcgMTUwLjc2IDUyOC44MiAxNTAuMjQgNTI5LjQ2IDE0OS44NSA1MzAuMTQgMTQ5&#10;Ljg4IDUzMC4xOCAxNDkuODggNTMwLjIzIDE0OS44OCA1MzAuMjcgMTQ5Ljg5WiIgZmlsbD0iIzAx&#10;MDEwMSIvPjxwYXRoIGQ9Ik01NDAuMiAxNDQuMUM1NDAuNTQgMTQ0LjE1IDU0MC43NyAxNDQuMzIg&#10;NTQwLjk5IDE0NC40OSA1NDEuMjggMTQ0LjcxIDU0MS41NSAxNDQuOTQgNTQxLjgyIDE0NS4xNyA1&#10;NDIuMTkgMTQ1LjQ4IDU0Mi41NCAxNDUuOCA1NDIuODkgMTQ2LjEzIDU0My41OCAxNDYuNzYgNTQ0&#10;LjI0IDE0Ny40IDU0NC45MSAxNDguMDQgNTQ2LjMgMTQ5LjM1IDU0Ny42OCAxNTAuNjcgNTQ5LjA1&#10;IDE1MiA1NTAuMTMgMTUzLjA1IDU1MS4yMSAxNTQuMTEgNTUyLjMzIDE1NS4xNCA1NTMuNDkgMTU2&#10;LjIgNTU0LjY2IDE1Ny4yNiA1NTUuODQgMTU4LjMxIDU1Ni4wMSAxNTguNDcgNTU2LjA1IDE1OC43&#10;MiA1NTYgMTU4LjkxIDU1NS45NCAxNTkuMTMgNTU1Ljc2IDE1OS4zMiA1NTUuNSAxNTkuNDQgNTU1&#10;LjI1IDE1OS41NSA1NTQuOTQgMTU5LjYgNTU0LjY1IDE1OS41NSA1NTQuMzIgMTU5LjUgNTU0LjEy&#10;IDE1OS4zNyA1NTMuOTEgMTU5LjE5IDU1Mi40NiAxNTcuOSA1NTAuOTYgMTU2LjY0IDU0OS40OCAx&#10;NTUuMzcgNTQ4LjAzIDE1NC4xMyA1NDYuNjkgMTUyLjgzIDU0NS4zNiAxNTEuNTMgNTQ0LjI1IDE1&#10;MC40MyA1NDMuMTQgMTQ5LjM0IDU0Mi4wNSAxNDguMjMgNTQxLjUzIDE0Ny43IDU0MSAxNDcuMTYg&#10;NTQwLjUgMTQ2LjYyIDU0MC4yMiAxNDYuMzMgNTM5Ljk1IDE0Ni4wNCA1MzkuNjggMTQ1Ljc0IDUz&#10;OS4zMyAxNDUuMzYgNTM4LjkgMTQ0LjkyIDUzOS4xOSAxNDQuNDUgNTM5LjM0IDE0NC4yMiA1Mzku&#10;NzEgMTQ0LjA4IDU0MC4wNyAxNDQuMDkgNTQwLjExIDE0NC4wOSA1NDAuMTYgMTQ0LjA5IDU0MC4y&#10;IDE0NC4xWiIgZmlsbD0iIzAxMDEwMSIvPjxwYXRoIGQ9Ik01NTMuODkgMTQzLjk0QzU1My44OSAx&#10;NDMuOTQgNTUzLjg2IDE0My45MiA1NTMuODUgMTQzLjkxIDU1My44NiAxNDMuOTIgNTUzLjg4IDE0&#10;My45MyA1NTMuODkgMTQzLjk0Wk01NTQuMzkgMTQ4LjA2QzU1NC40NSAxNDguMTEgNTU0LjUxIDE0&#10;OC4xNiA1NTQuNTggMTQ4LjIyIDU1NC41MSAxNDguMTYgNTU0LjQ0IDE0OC4xIDU1NC4zNiAxNDgu&#10;MDQgNTU0LjM3IDE0OC4wNCA1NTQuMzggMTQ4LjA2IDU1NC4zOSAxNDguMDdaTTU0OC45NSAxMzku&#10;OTVDNTQ5LjQ5IDE0MC4zNiA1NTAuMDIgMTQwLjc4IDU1MC41NCAxNDEuMjEgNTUxLjYxIDE0Mi4w&#10;NyA1NTIuNjggMTQyLjkzIDU1My43MyAxNDMuODEgNTUzLjc3IDE0My44NCA1NTMuODEgMTQzLjg4&#10;IDU1My44NSAxNDMuOTEgNTUzLjg0IDE0My45IDU1My44MyAxNDMuODkgNTUzLjgxIDE0My44OCA1&#10;NTMuODUgMTQzLjkyIDU1My45IDE0My45NSA1NTMuOTQgMTQzLjk5IDU1My45MiAxNDMuOTcgNTUz&#10;LjkgMTQzLjk2IDU1My44OCAxNDMuOTQgNTU1LjQzIDE0NS4yNCA1NTYuOTUgMTQ2LjU2IDU1OC40&#10;MSAxNDcuOTEgNTU5LjA5IDE0OC41NSA1NTkuNzYgMTQ5LjIgNTYwLjQyIDE0OS44NSA1NjEuMTIg&#10;MTUwLjUzIDU2MS44NSAxNTEuMiA1NjIuNTkgMTUxLjg2IDU2Mi43OSAxNTIuMDQgNTYyLjg0IDE1&#10;Mi4zNSA1NjIuNzggMTUyLjU3IDU2Mi43MSAxNTIuODIgNTYyLjQ5IDE1My4wNSA1NjIuMTkgMTUz&#10;LjE4IDU2MS45IDE1My4zMSA1NjEuNTQgMTUzLjM2IDU2MS4yIDE1My4zMSA1NjAuODEgMTUzLjI2&#10;IDU2MC41OCAxNTMuMSA1NjAuMzQgMTUyLjg5IDU2MC4xMiAxNTIuNyA1NTkuOSAxNTIuNTIgNTU5&#10;LjY4IDE1Mi4zMyA1NTguODggMTUxLjY3IDU1OC4wNiAxNTEuMDIgNTU3LjIzIDE1MC4zOCA1NTYu&#10;MzIgMTQ5LjY3IDU1NS40NCAxNDguOTUgNTU0LjU3IDE0OC4yMSA1NTQuNTkgMTQ4LjIzIDU1NC42&#10;MSAxNDguMjQgNTU0LjYzIDE0OC4yNiA1NTQuNTUgMTQ4LjE5IDU1NC40NyAxNDguMTMgNTU0LjM5&#10;IDE0OC4wNiA1NTQuMzggMTQ4LjA1IDU1NC4zNiAxNDguMDQgNTU0LjM1IDE0OC4wMyA1NTQuMzUg&#10;MTQ4LjAzIDU1NC4zNSAxNDguMDMgNTU0LjM1IDE0OC4wMyA1NTIuODEgMTQ2Ljc0IDU1MS4yOCAx&#10;NDUuNDMgNTQ5Ljc3IDE0NC4xMiA1NDguOTkgMTQzLjQ0IDU0OC4yMSAxNDIuNzYgNTQ3LjQ1IDE0&#10;Mi4wNiA1NDcuMDkgMTQxLjczIDU0Ni43MiAxNDEuMzkgNTQ2LjM2IDE0MS4wNSA1NDYuMjEgMTQw&#10;LjkxIDU0Ni4wNiAxNDAuNzcgNTQ1LjkxIDE0MC42MiA1NDUuNjcgMTQwLjM4IDU0NS40OSAxNDAu&#10;MTUgNTQ1LjQzIDEzOS44NCA1NDUuMzMgMTM5LjM1IDU0NS45OCAxMzguODggNTQ2LjY1IDEzOC44&#10;NiA1NDYuNjkgMTM4Ljg2IDU0Ni43NCAxMzguODYgNTQ2Ljc4IDEzOC44NiA1NDcuNjggMTM4Ljkg&#10;NTQ4LjM1IDEzOS40OSA1NDguOTMgMTM5LjkzWiIgZmlsbD0iIzAxMDEwMSIvPjxwYXRoIGQ9Ik01&#10;NjYuMDMgMTQ0LjY4QzU2Ni4wMyAxNDQuNjggNTY2LjA4IDE0NC43MiA1NjYuMSAxNDQuNzQgNTY2&#10;LjA4IDE0NC43MiA1NjYuMDUgMTQ0LjcgNTY2LjAzIDE0NC42OFpNNTU2LjE1IDEzMy4xM0M1NTYu&#10;NTIgMTMzLjIgNTU2Ljc3IDEzMy4zNSA1NTcuMDIgMTMzLjU0IDU1Ny4yNSAxMzMuNzIgNTU3LjQ3&#10;IDEzMy45MSA1NTcuNjggMTM0LjExIDU1OC4wNSAxMzQuNDQgNTU4LjQxIDEzNC43NiA1NTguNzgg&#10;MTM1LjA5IDU1OS41MSAxMzUuNzUgNTYwLjI1IDEzNi40IDU2MC45OSAxMzcuMDYgNTYyLjUyIDEz&#10;OC40MSA1NjQuMDUgMTM5Ljc2IDU2NS41NyAxNDEuMTIgNTY3LjQ3IDE0Mi44MiA1NjkuMjcgMTQ0&#10;LjU4IDU3MS4xOSAxNDYuMjcgNTcxLjM5IDE0Ni40NSA1NzEuNDMgMTQ2Ljc0IDU3MS4zNyAxNDYu&#10;OTUgNTcxLjMgMTQ3LjE5IDU3MS4xIDE0Ny40MSA1NzAuOCAxNDcuNTQgNTcwLjUyIDE0Ny42NyA1&#10;NzAuMTcgMTQ3LjcyIDU2OS44NCAxNDcuNjcgNTY5LjQ3IDE0Ny42MiA1NjkuMjQgMTQ3LjQ3IDU2&#10;OS4wMSAxNDcuMjcgNTY3Ljk3IDE0Ni4zNiA1NjYuOTIgMTQ1LjQ1IDU2NS44NSAxNDQuNTUgNTY1&#10;Ljg4IDE0NC41NyA1NjUuOSAxNDQuNTkgNTY1LjkzIDE0NC42MSA1NjQuMzMgMTQzLjI2IDU2Mi44&#10;IDE0MS44OCA1NjEuMjkgMTQwLjQ5IDU1OS44NSAxMzkuMTYgNTU4LjQyIDEzNy44MiA1NTcuMDMg&#10;MTM2LjQ2IDU1Ni42MiAxMzYuMDYgNTU2LjIzIDEzNS42NiA1NTUuODUgMTM1LjI1IDU1NS42NSAx&#10;MzUuMDQgNTU1LjQ2IDEzNC44MiA1NTUuMjggMTM0LjYgNTU1LjA1IDEzNC4zMiA1NTQuODUgMTM0&#10;LjAyIDU1NC45NCAxMzMuNjggNTU1LjAzIDEzMy4zNCA1NTUuNDkgMTMzLjA4IDU1NS45NyAxMzMu&#10;MSA1NTYuMDIgMTMzLjEgNTU2LjA4IDEzMy4xIDU1Ni4xMyAxMzMuMTJaIiBmaWxsPSIjMDEwMTAx&#10;Ii8+PHBhdGggZD0iTTU2My45OSAxMzAuNDJDNTYzLjk5IDEzMC40MiA1NjQuMDUgMTMwLjQ3IDU2&#10;NC4wNyAxMzAuNDkgNTY0LjA0IDEzMC40NyA1NjQuMDEgMTMwLjQ0IDU2My45OSAxMzAuNDJaTTU2&#10;Mi45IDEyNi42MUM1NjMuMjcgMTI2Ljc2IDU2My42MiAxMjYuOTUgNTYzLjk1IDEyNy4xNCA1NjQu&#10;NTcgMTI3LjUxIDU2NS4xNyAxMjcuOSA1NjUuNzYgMTI4LjMgNTY2LjkgMTI5LjA3IDU2OC4wMSAx&#10;MjkuODYgNTY5LjEyIDEzMC42NiA1NzEuMjkgMTMyLjIyIDU3My40MyAxMzMuNzkgNTc1LjU1IDEz&#10;NS4zOCA1NzYuMzEgMTM1Ljk1IDU3Ny4wOCAxMzYuNTIgNTc3LjgzIDEzNy4xIDU3OC42NiAxMzcu&#10;NzUgNTc5LjQyIDEzOC40MyA1ODAuMiAxMzkuMSA1ODAuMzggMTM5LjI1IDU4MC41NiAxMzkuMzkg&#10;NTgwLjc0IDEzOS41MyA1ODEuMDcgMTM5Ljc5IDU4MS4zIDE0MC4wNCA1ODEuMzMgMTQwLjQgNTgx&#10;LjM2IDE0MC43NCA1ODEuMTkgMTQxLjA5IDU4MC44NyAxNDEuMzQgNTgwLjIzIDE0MS44NSA1Nzku&#10;MDMgMTQxLjkyIDU3OC4zMiAxNDEuNDMgNTc3LjE5IDE0MC42NSA1NzUuOTYgMTM5Ljk2IDU3NC44&#10;NSAxMzkuMTggNTczLjc2IDEzOC40MiA1NzIuNzQgMTM3LjYxIDU3MS43MyAxMzYuNzkgNTY5Ljcg&#10;MTM1LjE2IDU2Ny43MiAxMzMuNTEgNTY1LjczIDEzMS44NiA1NjUuMzUgMTMxLjU0IDU2NC45NiAx&#10;MzEuMjIgNTY0LjU4IDEzMC45IDU2NC4zNCAxMzAuNyA1NjQuMDkgMTMwLjQ5IDU2My44NSAxMzAu&#10;MjkgNTYzLjI3IDEyOS44IDU2Mi42OSAxMjkuMyA1NjIuMTIgMTI4LjggNTYxLjg3IDEyOC41OCA1&#10;NjEuNjIgMTI4LjM2IDU2MS4zOSAxMjguMTQgNTYxLjE0IDEyNy44OSA1NjAuODMgMTI3LjU4IDU2&#10;MC44NSAxMjcuMjYgNTYwLjg3IDEyNi45MyA1NjEuMDkgMTI2LjU1IDU2MS42IDEyNi40NiA1NjEu&#10;NzggMTI2LjQzIDU2MS45NSAxMjYuNDIgNTYyLjEyIDEyNi40MiA1NjIuMzkgMTI2LjQzIDU2Mi42&#10;NSAxMjYuNDkgNTYyLjkxIDEyNi41OVoiIGZpbGw9IiMwMTAxMDEiLz48cGF0aCBkPSJNNTg0LjIz&#10;IDEzNS44OUM1ODQuMyAxMzUuOTYgNTg0LjM4IDEzNi4wMiA1ODQuNDYgMTM2LjA4IDU4NC4zOSAx&#10;MzYuMDIgNTg0LjMxIDEzNS45NSA1ODQuMjMgMTM1Ljg5Wk01NzMuMTQgMTIyLjU3QzU3My40MiAx&#10;MjIuNjggNTczLjYyIDEyMi44NSA1NzMuODIgMTIzLjAyIDU3NC4wNyAxMjMuMjIgNTc0LjMgMTIz&#10;LjQyIDU3NC41NCAxMjMuNjIgNTc0LjkzIDEyMy45NiA1NzUuMzEgMTI0LjMgNTc1LjcgMTI0LjY0&#10;IDU3Ni40NSAxMjUuMzEgNTc3LjE4IDEyNS45OSA1NzcuOTEgMTI2LjY3IDU3OS40NCAxMjguMDgg&#10;NTgwLjk5IDEyOS40NyA1ODIuNTYgMTMwLjg2IDU4My42IDEzMS43OCA1ODQuNjMgMTMyLjcgNTg1&#10;LjU4IDEzMy42NyA1ODYuNTMgMTM0LjY0IDU4Ny41MSAxMzUuNTggNTg4LjUyIDEzNi41MSA1ODgu&#10;NzQgMTM2LjcxIDU4OC43OSAxMzcuMDIgNTg4LjcyIDEzNy4yNSA1ODguNjUgMTM3LjUxIDU4OC40&#10;MiAxMzcuNzUgNTg4LjEgMTM3LjkgNTg3Ljc5IDEzOC4wNCA1ODcuNDIgMTM4LjA5IDU4Ny4wNiAx&#10;MzguMDQgNTg2LjY2IDEzNy45OCA1ODYuNCAxMzcuODIgNTg2LjE2IDEzNy42IDU4NS42IDEzNy4w&#10;OSA1ODUuMDMgMTM2LjYgNTg0LjQ1IDEzNi4xIDU4My42NiAxMzUuNDUgNTgyLjg0IDEzNC44MiA1&#10;ODIuMDUgMTM0LjE3IDU4MS4xOCAxMzMuNDUgNTgwLjM1IDEzMi43MSA1NzkuNTQgMTMxLjk1IDU3&#10;OC4wNCAxMzAuNTUgNTc2LjYxIDEyOS4xMSA1NzUuMjggMTI3LjY0IDU3NC42MSAxMjYuOSA1NzMu&#10;OTYgMTI2LjE3IDU3My4zNCAxMjUuNDEgNTczLjA2IDEyNS4wNyA1NzIuOCAxMjQuNzMgNTcyLjU1&#10;IDEyNC4zOCA1NzIuMjMgMTIzLjkyIDU3MS43NCAxMjMuMzUgNTcyLjA1IDEyMi44MyA1NzIuMTcg&#10;MTIyLjYyIDU3Mi41MSAxMjIuNTEgNTcyLjgyIDEyMi41MiA1NzIuOTMgMTIyLjUyIDU3My4wMyAx&#10;MjIuNTQgNTczLjEyIDEyMi41OFoiIGZpbGw9IiMwMTAxMDEiLz48cGF0aCBkPSJNNTg0LjYyIDEx&#10;My44NkM1ODQuNzYgMTEzLjg4IDU4NC45MSAxMTMuOTMgNTg1LjA1IDExMy45NyA1ODUuMjkgMTE0&#10;LjA0IDU4NS41IDExNC4xOCA1ODUuNyAxMTQuMyA1ODYuMDEgMTE0LjQ3IDU4Ni4yNyAxMTQuNjgg&#10;NTg2LjU0IDExNC44OCA1ODcuMDQgMTE1LjI1IDU4Ny41MSAxMTUuNjQgNTg3Ljk4IDExNi4wMyA1&#10;ODkuMDIgMTE2LjkgNTkwLjAyIDExNy43OSA1OTEgMTE4LjY5IDU5Mi44NCAxMjAuMzcgNTk0LjYz&#10;IDEyMi4wOCA1OTYuMzMgMTIzLjg0IDU5Ny4wNSAxMjQuNTkgNTk3LjcgMTI1LjM3IDU5OC4zNiAx&#10;MjYuMTUgNTk5LjA2IDEyNi45NyA1OTkuODIgMTI3Ljc1IDYwMC42MSAxMjguNTIgNjAxLjEzIDEy&#10;OS4wMyA2MDAuODQgMTI5Ljc4IDYwMC4xMyAxMzAuMTEgNTk5Ljc4IDEzMC4yNyA1OTkuMzUgMTMw&#10;LjMzIDU5OC45NCAxMzAuMjcgNTk4LjQ5IDEzMC4yMSA1OTguMTcgMTMwLjAyIDU5Ny45IDEyOS43&#10;NyA1OTcuMzQgMTI5LjI0IDU5Ni43NyAxMjguNzIgNTk2LjE3IDEyOC4yIDU5NS4xNyAxMjcuMzgg&#10;NTk0LjEzIDEyNi41OSA1OTMuMTYgMTI1Ljc1IDU5Mi4yMyAxMjQuOTUgNTkxLjM1IDEyNC4xMiA1&#10;OTAuNDcgMTIzLjMgNTg4LjY0IDEyMS41OSA1ODYuODYgMTE5Ljg1IDU4NS4yMiAxMTguMDUgNTg0&#10;Ljc4IDExNy41NiA1ODQuMzMgMTE3LjA2IDU4My45NCAxMTYuNTQgNTgzLjY3IDExNi4xOCA1ODMu&#10;NDIgMTE1LjgyIDU4My4yMSAxMTUuNDUgNTgzLjA2IDExNS4xOSA1ODMuMDMgMTE0Ljg5IDU4My4w&#10;OCAxMTQuNjIgNTgzLjE1IDExNC4yNCA1ODMuNjYgMTEzLjg0IDU4NC4yMyAxMTMuODUgNTg0LjMg&#10;MTEzLjg1IDU4NC4zOCAxMTMuODUgNTg0LjQ1IDExMy44NSA1ODQuNSAxMTMuODUgNTg0LjU2IDEx&#10;My44NSA1ODQuNiAxMTMuODZaIiBmaWxsPSIjMDEwMTAxIi8+PHBhdGggZD0iTTU5NS44MiAxMTAu&#10;MDJDNTk2LjMyIDExMC4wOCA1OTYuNzMgMTEwLjMyIDU5Ny4xMSAxMTAuNTQgNTk3LjM1IDExMC42&#10;OCA1OTcuNTcgMTEwLjg1IDU5Ny43OSAxMTEuMDEgNTk4LjMyIDExMS4zOSA1OTguNzkgMTExLjgg&#10;NTk5LjI3IDExMi4yMSA2MDAuMTIgMTEyLjkzIDYwMC45MiAxMTMuNjcgNjAxLjcxIDExNC40MyA2&#10;MDMuMjEgMTE1Ljg4IDYwNC43NCAxMTcuMzIgNjA2LjI4IDExOC43NSA2MDcuMzEgMTE5LjcgNjA4&#10;LjM1IDEyMC42NSA2MDkuNCAxMjEuNiA2MDkuNjkgMTIxLjg2IDYwOS43NSAxMjIuMjggNjA5LjY2&#10;IDEyMi41OSA2MDkuNTYgMTIyLjk0IDYwOS4yNiAxMjMuMjYgNjA4Ljg0IDEyMy40NSA2MDguNDMg&#10;MTIzLjY0IDYwNy45MiAxMjMuNzEgNjA3LjQ1IDEyMy42NCA2MDcuMjkgMTIzLjYgNjA3LjEzIDEy&#10;My41NiA2MDYuOTcgMTIzLjUyIDYwNi42NiAxMjMuNDEgNjA2LjQyIDEyMy4yNSA2MDYuMjQgMTIz&#10;LjA1IDYwNC42MyAxMjEuNTkgNjAzLjAzIDEyMC4xMiA2MDEuNDEgMTE4LjY3IDU5OS44IDExNy4y&#10;MiA1OTguMTIgMTE1LjgxIDU5Ni42MiAxMTQuMyA1OTYuMTggMTEzLjg1IDU5NS43NCAxMTMuNCA1&#10;OTUuMzEgMTEyLjk0IDU5NS4wOCAxMTIuNjkgNTk0Ljg2IDExMi40MyA1OTQuNjQgMTEyLjE4IDU5&#10;NC41IDExMiA1OTQuMzYgMTExLjgxIDU5NC4yNCAxMTEuNjEgNTk0LjEgMTExLjM2IDU5NC4wNyAx&#10;MTEuMSA1OTQuMTEgMTEwLjgyIDU5NC4yMSAxMTAuMyA1OTQuOTUgMTA5Ljk4IDU5NS42NCAxMTAu&#10;MDEgNTk1LjY5IDExMC4wMSA1OTUuNzUgMTEwLjAxIDU5NS44IDExMC4wMloiIGZpbGw9IiMwMTAx&#10;MDEiLz48cGF0aCBkPSJNNjA0LjY3IDEwMS43OUM2MDQuNjcgMTAxLjc5IDYwNC42NSAxMDEuODEg&#10;NjA0LjY0IDEwMS44Mkw2MDQuNjQgMTAxLjgyQzYwNC42NCAxMDEuODIgNjA0LjY0IDEwMS44MiA2&#10;MDQuNjQgMTAxLjgyIDYwNC42NCAxMDEuODEgNjA0LjY2IDEwMS44IDYwNC42NiAxMDEuNzlaTTYw&#10;Ni4xNyAxMDEuNDVDNjA2LjE3IDEwMS40NSA2MDYuMjEgMTAxLjQ2IDYwNi4yMyAxMDEuNDcgNjA2&#10;LjIyIDEwMS40NyA2MDYuMiAxMDEuNDYgNjA2LjE5IDEwMS40NSA2MDYuMTkgMTAxLjQ1IDYwNi4x&#10;OCAxMDEuNDUgNjA2LjE3IDEwMS40NVpNNjA1LjMxIDEwMS40QzYwNS4zMSAxMDEuNCA2MDUuMzEg&#10;MTAxLjQgNjA1LjMxIDEwMS40IDYwNS4zMSAxMDEuNCA2MDUuMzEgMTAxLjQgNjA1LjMxIDEwMS40&#10;IDYwNS4zMSAxMDEuNCA2MDUuMzEgMTAxLjQgNjA1LjMxIDEwMS40Wk02MDcuNjQgMTAyLjM3QzYw&#10;OC4xMSAxMDIuNzcgNjA4LjU0IDEwMy4yIDYwOC45NyAxMDMuNjMgNjA5LjkxIDEwNC41NSA2MTAu&#10;ODQgMTA1LjQ3IDYxMS43NiAxMDYuNDEgNjEzLjU1IDEwOC4yMiA2MTUuMTYgMTEwLjExIDYxNi44&#10;NyAxMTEuOTYgNjE3Ljg3IDExMy4wNSA2MTguODkgMTE0LjEyIDYxOS45IDExNS4yMSA2MjAuNCAx&#10;MTUuNzQgNjIwLjE2IDExNi40NyA2MTkuNDIgMTE2LjgyIDYxOC42NyAxMTcuMTcgNjE3LjY2IDEx&#10;NyA2MTcuMTYgMTE2LjQ4IDYxNS40NSAxMTQuNjYgNjEzLjc0IDExMi44NCA2MTEuOTUgMTExLjA2&#10;IDYxMC4wOSAxMDkuMjEgNjA4LjI3IDEwNy4zMyA2MDYuNTkgMTA1LjM5IDYwNi4xNiAxMDQuODkg&#10;NjA1Ljc0IDEwNC4zNyA2MDUuMzcgMTAzLjg1IDYwNS4xNCAxMDMuNTIgNjA0LjkgMTAzLjE5IDYw&#10;NC43IDEwMi44NSA2MDQuNTcgMTAyLjYyIDYwNC40OCAxMDIuMzggNjA0LjUgMTAyLjE1IDYwNC41&#10;MSAxMDEuOTYgNjA0LjYxIDEwMS43OCA2MDQuNzkgMTAxLjY0IDYwNC45NiAxMDEuNTEgNjA1LjE4&#10;IDEwMS40MiA2MDUuNCAxMDEuMzkgNjA1LjUyIDEwMS4zNyA2MDUuNjQgMTAxLjM2IDYwNS43NSAx&#10;MDEuMzcgNjA2LjUyIDEwMS40IDYwNy4xNCAxMDEuOTggNjA3LjYyIDEwMi4zOFoiIGZpbGw9IiMw&#10;MTAxMDEiLz48L3N2Zz5QSwMEFAAGAAgAAAAhALG0y2HeAAAABgEAAA8AAABkcnMvZG93bnJldi54&#10;bWxMj8FuwjAQRO+V+g/WVuqt2KGAShoHIdT2hCoVKlXclnhJImI7ik0S/r7bUznOzmrmTbYabSN6&#10;6kLtnYZkokCQK7ypXanhe//+9AIiRHQGG+9Iw5UCrPL7uwxT4wf3Rf0uloJDXEhRQxVjm0oZioos&#10;holvybF38p3FyLIrpelw4HDbyKlSC2mxdtxQYUubiorz7mI1fAw4rJ+Tt357Pm2uh/3882ebkNaP&#10;D+P6FUSkMf4/wx8+o0POTEd/cSaIRgMPiXxVMxDsTmdzHnLUsFQLkHkmb/HzXwA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F9PL7YfBQAAIw8A&#10;AA4AAAAAAAAAAAAAAAAAQwIAAGRycy9lMm9Eb2MueG1sUEsBAi0ACgAAAAAAAAAhABjIHB794QAA&#10;/eEAABQAAAAAAAAAAAAAAAAAjgcAAGRycy9tZWRpYS9pbWFnZTEucG5nUEsBAi0ACgAAAAAAAAAh&#10;AOd+1mD/DwEA/w8BABQAAAAAAAAAAAAAAAAAvekAAGRycy9tZWRpYS9pbWFnZTIuc3ZnUEsBAi0A&#10;FAAGAAgAAAAhALG0y2HeAAAABgEAAA8AAAAAAAAAAAAAAAAA7vkBAGRycy9kb3ducmV2LnhtbFBL&#10;AQItABQABgAIAAAAIQAiVg7uxwAAAKUBAAAZAAAAAAAAAAAAAAAAAPn6AQBkcnMvX3JlbHMvZTJv&#10;RG9jLnhtbC5yZWxzUEsFBgAAAAAHAAcAvgEAAPf7AQAAAA==&#10;">
                <v:shape id="Graphic 1" o:spid="_x0000_s1065" type="#_x0000_t75" style="position:absolute;width:15608;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REwzAAAAOIAAAAPAAAAZHJzL2Rvd25yZXYueG1sRI9Pa8JA&#10;FMTvhX6H5RW8lLrZCNqmrlL/geCpWgK9PbKvSWr2bciuGr99Vyh4HGbmN8x03ttGnKnztWMNapiA&#10;IC6cqbnU8HXYvLyC8AHZYOOYNFzJw3z2+DDFzLgLf9J5H0oRIewz1FCF0GZS+qIii37oWuLo/bjO&#10;YoiyK6Xp8BLhtpFpkoylxZrjQoUtLSsqjvuT1ZA0anv8fl7u2lV+zfP1+PC7SFdaD576j3cQgfpw&#10;D/+3t0bDaKJGKlWTN7hdindAzv4AAAD//wMAUEsBAi0AFAAGAAgAAAAhANvh9svuAAAAhQEAABMA&#10;AAAAAAAAAAAAAAAAAAAAAFtDb250ZW50X1R5cGVzXS54bWxQSwECLQAUAAYACAAAACEAWvQsW78A&#10;AAAVAQAACwAAAAAAAAAAAAAAAAAfAQAAX3JlbHMvLnJlbHNQSwECLQAUAAYACAAAACEA3/ERMMwA&#10;AADiAAAADwAAAAAAAAAAAAAAAAAHAgAAZHJzL2Rvd25yZXYueG1sUEsFBgAAAAADAAMAtwAAAAAD&#10;AAAAAA==&#10;">
                  <v:imagedata r:id="rId59" o:title="" cropleft="2286f"/>
                  <o:lock v:ext="edit" aspectratio="f"/>
                </v:shape>
                <v:shape id="Text Box 1677750345" o:spid="_x0000_s1066" type="#_x0000_t202" style="position:absolute;left:219;top:267;width:1172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04yQAAAOMAAAAPAAAAZHJzL2Rvd25yZXYueG1sRE9fa8Iw&#10;EH8f7DuEG+xtpnPTSjWKlA4mjEHrBB+P5tYWm0tpombf3gwGe7zf/1ttgunFhUbXWVbwPElAENdW&#10;d9wo+Nq/PS1AOI+ssbdMCn7IwWZ9f7fCTNsrl3SpfCNiCLsMFbTeD5mUrm7JoJvYgThy33Y06OM5&#10;NlKPeI3hppfTJJlLgx3HhhYHyluqT9XZKDhOi6YIn+X2wLuPMpyKfJ+fK6UeH8J2CcJT8P/iP/e7&#10;jvPnaZrOkpfXGfz+FAGQ6xsAAAD//wMAUEsBAi0AFAAGAAgAAAAhANvh9svuAAAAhQEAABMAAAAA&#10;AAAAAAAAAAAAAAAAAFtDb250ZW50X1R5cGVzXS54bWxQSwECLQAUAAYACAAAACEAWvQsW78AAAAV&#10;AQAACwAAAAAAAAAAAAAAAAAfAQAAX3JlbHMvLnJlbHNQSwECLQAUAAYACAAAACEAWmJdOMkAAADj&#10;AAAADwAAAAAAAAAAAAAAAAAHAgAAZHJzL2Rvd25yZXYueG1sUEsFBgAAAAADAAMAtwAAAP0CAAAA&#10;AA==&#10;" filled="f" stroked="f">
                  <v:textbox inset="0,,0">
                    <w:txbxContent>
                      <w:p w14:paraId="307D87EE" w14:textId="629F4CB5" w:rsidR="00604A31" w:rsidRPr="00711B8F" w:rsidRDefault="00C64EAC" w:rsidP="00604A31">
                        <w:pPr>
                          <w:pBdr>
                            <w:left w:val="single" w:sz="12" w:space="9" w:color="357DBE" w:themeColor="accent1"/>
                          </w:pBdr>
                          <w:spacing w:after="0" w:line="240" w:lineRule="auto"/>
                          <w:jc w:val="center"/>
                          <w:rPr>
                            <w:b/>
                            <w:bCs/>
                            <w:color w:val="000000"/>
                            <w:sz w:val="20"/>
                            <w:szCs w:val="20"/>
                          </w:rPr>
                        </w:pPr>
                        <w:r>
                          <w:rPr>
                            <w:b/>
                            <w:bCs/>
                            <w:color w:val="000000"/>
                            <w:sz w:val="20"/>
                            <w:szCs w:val="20"/>
                          </w:rPr>
                          <w:t>Further detail in</w:t>
                        </w:r>
                      </w:p>
                      <w:p w14:paraId="5AD491EC" w14:textId="5DA76141" w:rsidR="00604A31" w:rsidRPr="00697AE5" w:rsidRDefault="00604A31" w:rsidP="00604A31">
                        <w:pPr>
                          <w:pBdr>
                            <w:left w:val="single" w:sz="12" w:space="9" w:color="357DBE" w:themeColor="accent1"/>
                          </w:pBdr>
                          <w:spacing w:after="0" w:line="240" w:lineRule="auto"/>
                          <w:jc w:val="center"/>
                          <w:rPr>
                            <w:b/>
                            <w:bCs/>
                            <w:color w:val="000000"/>
                            <w:sz w:val="20"/>
                            <w:szCs w:val="20"/>
                          </w:rPr>
                        </w:pPr>
                        <w:r w:rsidRPr="00697AE5">
                          <w:rPr>
                            <w:b/>
                            <w:bCs/>
                            <w:color w:val="000000"/>
                            <w:sz w:val="20"/>
                            <w:szCs w:val="20"/>
                          </w:rPr>
                          <w:t xml:space="preserve">Part </w:t>
                        </w:r>
                        <w:r>
                          <w:rPr>
                            <w:b/>
                            <w:bCs/>
                            <w:color w:val="000000"/>
                            <w:sz w:val="20"/>
                            <w:szCs w:val="20"/>
                          </w:rPr>
                          <w:t>C</w:t>
                        </w:r>
                        <w:r w:rsidRPr="00697AE5">
                          <w:rPr>
                            <w:b/>
                            <w:bCs/>
                            <w:color w:val="000000"/>
                            <w:sz w:val="20"/>
                            <w:szCs w:val="20"/>
                          </w:rPr>
                          <w:t xml:space="preserve"> - Section </w:t>
                        </w:r>
                        <w:r>
                          <w:rPr>
                            <w:b/>
                            <w:bCs/>
                            <w:color w:val="000000"/>
                            <w:sz w:val="20"/>
                            <w:szCs w:val="20"/>
                          </w:rPr>
                          <w:t>8</w:t>
                        </w:r>
                      </w:p>
                    </w:txbxContent>
                  </v:textbox>
                </v:shape>
                <w10:wrap type="square" anchorx="page"/>
              </v:group>
            </w:pict>
          </mc:Fallback>
        </mc:AlternateContent>
      </w:r>
      <w:r w:rsidR="0021078B">
        <w:t xml:space="preserve">Across the evaluation sites, just over one-third of nKPIs showed improvement over time while around half indicated no meaningful change over time. The proportion of </w:t>
      </w:r>
      <w:r w:rsidR="0021078B" w:rsidRPr="00884FAA">
        <w:t xml:space="preserve">Aboriginal and Torres Strait Islander </w:t>
      </w:r>
      <w:r w:rsidR="0021078B">
        <w:t xml:space="preserve">people who received a health assessment increased over time, and health assessments were positively associated with other primary care activity </w:t>
      </w:r>
      <w:r w:rsidR="0021078B" w:rsidRPr="003B3491">
        <w:t>(</w:t>
      </w:r>
      <w:r w:rsidR="003B3491" w:rsidRPr="003B3491">
        <w:t>for example,</w:t>
      </w:r>
      <w:r w:rsidR="0021078B">
        <w:t xml:space="preserve"> more testing and high immunisation rates) and improvements in health behaviours (</w:t>
      </w:r>
      <w:r w:rsidR="003B3491" w:rsidRPr="003B3491">
        <w:t>for example,</w:t>
      </w:r>
      <w:r w:rsidR="0021078B">
        <w:t xml:space="preserve"> reduced smoking).</w:t>
      </w:r>
    </w:p>
    <w:p w14:paraId="4B65845B" w14:textId="2957FBCB" w:rsidR="0021078B" w:rsidRPr="00884FAA" w:rsidRDefault="0021078B" w:rsidP="0021078B">
      <w:r>
        <w:t>The evaluation found that, of a number of primary care activity, demographic and socio-economic variables, being in the Northern Territory, remoteness and age were most associated with health outcomes within the evaluation sites. Examining the direction of the associations between these variables, having g</w:t>
      </w:r>
      <w:r w:rsidRPr="00884FAA">
        <w:t xml:space="preserve">reater economic resources and higher relative socio-economic outcomes </w:t>
      </w:r>
      <w:r>
        <w:t xml:space="preserve">were the most important variables in explaining </w:t>
      </w:r>
      <w:r w:rsidRPr="00884FAA">
        <w:t>lower morbidity and mortality</w:t>
      </w:r>
      <w:r>
        <w:t>. All of the</w:t>
      </w:r>
      <w:r w:rsidRPr="00884FAA">
        <w:t xml:space="preserve"> socio-economic measures (education and occupation, economic resources, </w:t>
      </w:r>
      <w:r>
        <w:t xml:space="preserve">and </w:t>
      </w:r>
      <w:r w:rsidRPr="00884FAA">
        <w:t>socio-economic advantage and disadvantage) were positively associated with normal birthweight</w:t>
      </w:r>
      <w:r>
        <w:t>.</w:t>
      </w:r>
    </w:p>
    <w:p w14:paraId="76BB3817" w14:textId="77777777" w:rsidR="002E56B8" w:rsidRDefault="002E56B8">
      <w:pPr>
        <w:jc w:val="left"/>
        <w:rPr>
          <w:b/>
          <w:bCs/>
          <w:color w:val="275D8E" w:themeColor="accent1" w:themeShade="BF"/>
          <w:sz w:val="36"/>
          <w:szCs w:val="36"/>
          <w:lang w:val="en-NZ"/>
        </w:rPr>
      </w:pPr>
      <w:r>
        <w:br w:type="page"/>
      </w:r>
    </w:p>
    <w:p w14:paraId="4B7D7D95" w14:textId="07DE504C" w:rsidR="00771174" w:rsidRPr="00884FAA" w:rsidRDefault="00B4703C" w:rsidP="002051FF">
      <w:pPr>
        <w:pStyle w:val="Heading2NotNumbered"/>
        <w:numPr>
          <w:ilvl w:val="0"/>
          <w:numId w:val="0"/>
        </w:numPr>
      </w:pPr>
      <w:bookmarkStart w:id="22" w:name="_Toc137208874"/>
      <w:r w:rsidRPr="00884FAA">
        <w:lastRenderedPageBreak/>
        <w:t>Looking ahead</w:t>
      </w:r>
      <w:bookmarkEnd w:id="22"/>
      <w:r w:rsidR="00880E0D">
        <w:t xml:space="preserve"> </w:t>
      </w:r>
    </w:p>
    <w:p w14:paraId="132432AE" w14:textId="0E70B086" w:rsidR="00A121B3" w:rsidRDefault="00BE66B6" w:rsidP="00A121B3">
      <w:r>
        <w:t xml:space="preserve">The evaluation supports the continued investment in </w:t>
      </w:r>
      <w:r w:rsidR="006B2159">
        <w:t xml:space="preserve">comprehensive </w:t>
      </w:r>
      <w:r w:rsidR="003279C5">
        <w:t>PHC</w:t>
      </w:r>
      <w:r>
        <w:t xml:space="preserve"> through the IAHP. </w:t>
      </w:r>
      <w:r w:rsidR="005A4028">
        <w:t xml:space="preserve">The </w:t>
      </w:r>
      <w:r w:rsidR="009E552B" w:rsidRPr="00884FAA">
        <w:t xml:space="preserve">evaluation </w:t>
      </w:r>
      <w:r>
        <w:t xml:space="preserve">also </w:t>
      </w:r>
      <w:r w:rsidR="00883AF4">
        <w:t>identified</w:t>
      </w:r>
      <w:r w:rsidR="000F14CD">
        <w:t xml:space="preserve"> opportunities to </w:t>
      </w:r>
      <w:r w:rsidR="00F30F0B">
        <w:t xml:space="preserve">enhance </w:t>
      </w:r>
      <w:r w:rsidR="003462D7">
        <w:t>the current strategic approach to the IAHP</w:t>
      </w:r>
      <w:r w:rsidR="00DE0597">
        <w:t>, its governance</w:t>
      </w:r>
      <w:r w:rsidR="00883AF4">
        <w:t>,</w:t>
      </w:r>
      <w:r w:rsidR="00DE0597">
        <w:t xml:space="preserve"> and operational activi</w:t>
      </w:r>
      <w:r w:rsidR="00096117">
        <w:t>ties</w:t>
      </w:r>
      <w:r w:rsidR="00883AF4">
        <w:t>,</w:t>
      </w:r>
      <w:r w:rsidR="00096117">
        <w:t xml:space="preserve"> to </w:t>
      </w:r>
      <w:r w:rsidR="005F2526">
        <w:t xml:space="preserve">achieve </w:t>
      </w:r>
      <w:r w:rsidR="0002124C" w:rsidRPr="00884FAA">
        <w:t>meaningful</w:t>
      </w:r>
      <w:r w:rsidR="00A65330" w:rsidRPr="00884FAA">
        <w:t xml:space="preserve"> </w:t>
      </w:r>
      <w:r w:rsidR="0002124C" w:rsidRPr="00884FAA">
        <w:t xml:space="preserve">systems </w:t>
      </w:r>
      <w:r w:rsidR="00A65330" w:rsidRPr="00884FAA">
        <w:t xml:space="preserve">change </w:t>
      </w:r>
      <w:r w:rsidR="00883AF4">
        <w:t>to</w:t>
      </w:r>
      <w:r w:rsidR="00A65330" w:rsidRPr="00884FAA">
        <w:t xml:space="preserve"> improve the </w:t>
      </w:r>
      <w:r w:rsidR="00674C73">
        <w:t>implementation</w:t>
      </w:r>
      <w:r w:rsidR="00A65330" w:rsidRPr="00884FAA">
        <w:t xml:space="preserve"> of</w:t>
      </w:r>
      <w:r w:rsidR="00674C73">
        <w:t xml:space="preserve"> the</w:t>
      </w:r>
      <w:r w:rsidR="00A65330" w:rsidRPr="00884FAA">
        <w:t xml:space="preserve"> IAHP </w:t>
      </w:r>
      <w:r w:rsidR="0073005F">
        <w:t xml:space="preserve">and to strengthen the appropriateness and effectiveness of comprehensive </w:t>
      </w:r>
      <w:r w:rsidR="003279C5">
        <w:t>PHC</w:t>
      </w:r>
      <w:r w:rsidR="0002124C" w:rsidRPr="00884FAA">
        <w:t xml:space="preserve"> </w:t>
      </w:r>
      <w:r w:rsidR="0073005F">
        <w:t xml:space="preserve">systems for </w:t>
      </w:r>
      <w:r w:rsidR="00A65330" w:rsidRPr="00884FAA">
        <w:t xml:space="preserve">Aboriginal and Torres Strait Islander people. </w:t>
      </w:r>
    </w:p>
    <w:p w14:paraId="557E8D18" w14:textId="0C375101" w:rsidR="00A54655" w:rsidRDefault="00A54655" w:rsidP="00651D06">
      <w:pPr>
        <w:pStyle w:val="Heading3NotNumbered"/>
        <w:numPr>
          <w:ilvl w:val="0"/>
          <w:numId w:val="0"/>
        </w:numPr>
      </w:pPr>
      <w:r>
        <w:t xml:space="preserve">Implications of the evaluation findings </w:t>
      </w:r>
    </w:p>
    <w:p w14:paraId="7345574F" w14:textId="479B3D00" w:rsidR="00433A76" w:rsidRPr="00087355" w:rsidRDefault="00433A76" w:rsidP="00A121B3">
      <w:r>
        <w:t xml:space="preserve">The </w:t>
      </w:r>
      <w:r w:rsidR="005C6F04">
        <w:t xml:space="preserve">evaluation findings and the </w:t>
      </w:r>
      <w:r w:rsidR="00AA404D">
        <w:t xml:space="preserve">evaluative </w:t>
      </w:r>
      <w:r w:rsidR="00B57D16">
        <w:t>assessment</w:t>
      </w:r>
      <w:r w:rsidR="00AA404D">
        <w:t xml:space="preserve"> </w:t>
      </w:r>
      <w:r w:rsidR="00B57D16">
        <w:t xml:space="preserve">against </w:t>
      </w:r>
      <w:r w:rsidR="00AA404D">
        <w:t xml:space="preserve">the </w:t>
      </w:r>
      <w:r w:rsidR="005C6F04">
        <w:t xml:space="preserve">KEQs </w:t>
      </w:r>
      <w:r w:rsidR="00B57D16">
        <w:t xml:space="preserve">identified </w:t>
      </w:r>
      <w:r w:rsidR="00AA404D">
        <w:t xml:space="preserve">the </w:t>
      </w:r>
      <w:r>
        <w:t xml:space="preserve">following strategic and program implications </w:t>
      </w:r>
      <w:r w:rsidR="00BF5AF2">
        <w:t xml:space="preserve">to improve the appropriateness and effectiveness of the Australian Government’s investment in PHC for Aboriginal and Torres Strait Islander people </w:t>
      </w:r>
      <w:r w:rsidR="00BF5AF2" w:rsidRPr="00087355">
        <w:t xml:space="preserve">through the </w:t>
      </w:r>
      <w:r w:rsidRPr="00087355">
        <w:t>IAHP:</w:t>
      </w:r>
      <w:r w:rsidR="00AA35E2">
        <w:t xml:space="preserve"> </w:t>
      </w:r>
    </w:p>
    <w:p w14:paraId="457029E5" w14:textId="778291DF" w:rsidR="005E06EB" w:rsidRPr="00580736" w:rsidRDefault="00B7367E" w:rsidP="00580736">
      <w:pPr>
        <w:numPr>
          <w:ilvl w:val="0"/>
          <w:numId w:val="19"/>
        </w:numPr>
        <w:spacing w:after="120"/>
      </w:pPr>
      <w:r w:rsidRPr="00580736">
        <w:t>D</w:t>
      </w:r>
      <w:r w:rsidR="005E06EB" w:rsidRPr="00580736">
        <w:t xml:space="preserve">eveloping a strategic approach to the </w:t>
      </w:r>
      <w:r w:rsidR="00EE6B7E" w:rsidRPr="00580736">
        <w:t xml:space="preserve">funding and implementation of the </w:t>
      </w:r>
      <w:r w:rsidR="005E06EB" w:rsidRPr="00580736">
        <w:t>IAHP</w:t>
      </w:r>
      <w:r w:rsidRPr="00580736">
        <w:t>.</w:t>
      </w:r>
    </w:p>
    <w:p w14:paraId="0B7250DD" w14:textId="67230E16" w:rsidR="005E06EB" w:rsidRPr="00580736" w:rsidRDefault="00B7367E" w:rsidP="00580736">
      <w:pPr>
        <w:numPr>
          <w:ilvl w:val="0"/>
          <w:numId w:val="19"/>
        </w:numPr>
        <w:spacing w:after="120"/>
      </w:pPr>
      <w:r w:rsidRPr="00580736">
        <w:t>E</w:t>
      </w:r>
      <w:r w:rsidR="005E06EB" w:rsidRPr="00580736">
        <w:t xml:space="preserve">mbedding </w:t>
      </w:r>
      <w:r w:rsidR="00A54655" w:rsidRPr="00580736">
        <w:t>self-determination</w:t>
      </w:r>
      <w:r w:rsidR="005E06EB" w:rsidRPr="00580736">
        <w:t xml:space="preserve"> and </w:t>
      </w:r>
      <w:r w:rsidR="00EE6B7E" w:rsidRPr="00580736">
        <w:t>genuine</w:t>
      </w:r>
      <w:r w:rsidR="005E06EB" w:rsidRPr="00580736">
        <w:t xml:space="preserve"> partnerships</w:t>
      </w:r>
      <w:r w:rsidRPr="00580736">
        <w:t>.</w:t>
      </w:r>
      <w:r w:rsidR="005E06EB" w:rsidRPr="00580736">
        <w:t xml:space="preserve"> </w:t>
      </w:r>
    </w:p>
    <w:p w14:paraId="325508B5" w14:textId="1D746FC0" w:rsidR="001B6755" w:rsidRPr="00580736" w:rsidRDefault="00B7367E" w:rsidP="00580736">
      <w:pPr>
        <w:numPr>
          <w:ilvl w:val="0"/>
          <w:numId w:val="19"/>
        </w:numPr>
        <w:spacing w:after="120"/>
      </w:pPr>
      <w:r w:rsidRPr="00580736">
        <w:t>D</w:t>
      </w:r>
      <w:r w:rsidR="001B6755" w:rsidRPr="00580736">
        <w:t xml:space="preserve">elivering resourcing that </w:t>
      </w:r>
      <w:r w:rsidR="001B6755" w:rsidRPr="00087355">
        <w:t>match</w:t>
      </w:r>
      <w:r w:rsidR="00134C5B">
        <w:t>es</w:t>
      </w:r>
      <w:r w:rsidR="001B6755" w:rsidRPr="00580736">
        <w:t xml:space="preserve"> need and </w:t>
      </w:r>
      <w:r w:rsidR="00B57D16" w:rsidRPr="00580736">
        <w:t>ambition.</w:t>
      </w:r>
    </w:p>
    <w:p w14:paraId="736050E0" w14:textId="72CF8931" w:rsidR="001B6755" w:rsidRPr="00580736" w:rsidRDefault="00B7367E" w:rsidP="00580736">
      <w:pPr>
        <w:numPr>
          <w:ilvl w:val="0"/>
          <w:numId w:val="19"/>
        </w:numPr>
        <w:spacing w:after="120"/>
      </w:pPr>
      <w:r w:rsidRPr="00580736">
        <w:t>S</w:t>
      </w:r>
      <w:r w:rsidR="001B6755" w:rsidRPr="00580736">
        <w:t>upporting the delivery of mainstream services by Aboriginal and Torres Strait Islander people and organisations</w:t>
      </w:r>
      <w:r w:rsidR="00B57D16" w:rsidRPr="00580736">
        <w:t>.</w:t>
      </w:r>
    </w:p>
    <w:p w14:paraId="2B57BF12" w14:textId="4DFF7627" w:rsidR="001B6755" w:rsidRPr="00580736" w:rsidRDefault="00B7367E" w:rsidP="00580736">
      <w:pPr>
        <w:numPr>
          <w:ilvl w:val="0"/>
          <w:numId w:val="19"/>
        </w:numPr>
        <w:spacing w:after="120"/>
      </w:pPr>
      <w:r w:rsidRPr="00580736">
        <w:t>P</w:t>
      </w:r>
      <w:r w:rsidR="001B6755" w:rsidRPr="00580736">
        <w:t>utting the values and experiences of Aboriginal and Torres Strait Islander people a</w:t>
      </w:r>
      <w:r w:rsidRPr="00580736">
        <w:t>t</w:t>
      </w:r>
      <w:r w:rsidR="001B6755" w:rsidRPr="00580736">
        <w:t xml:space="preserve"> the centre of program design and service delivery</w:t>
      </w:r>
      <w:r w:rsidR="00B57D16" w:rsidRPr="00580736">
        <w:t>.</w:t>
      </w:r>
    </w:p>
    <w:p w14:paraId="64186130" w14:textId="740A8D68" w:rsidR="001B6755" w:rsidRPr="00580736" w:rsidRDefault="00B7367E" w:rsidP="00580736">
      <w:pPr>
        <w:numPr>
          <w:ilvl w:val="0"/>
          <w:numId w:val="19"/>
        </w:numPr>
        <w:spacing w:after="120"/>
      </w:pPr>
      <w:r w:rsidRPr="00580736">
        <w:t>E</w:t>
      </w:r>
      <w:r w:rsidR="001B6755" w:rsidRPr="00580736">
        <w:t>nhancing the use of data and information to support improved outcomes</w:t>
      </w:r>
      <w:r w:rsidRPr="00580736">
        <w:t xml:space="preserve">, </w:t>
      </w:r>
      <w:r w:rsidR="00EE6B7E" w:rsidRPr="00580736">
        <w:t>continuous</w:t>
      </w:r>
      <w:r w:rsidR="00583649" w:rsidRPr="00580736">
        <w:t xml:space="preserve"> quality improvement</w:t>
      </w:r>
      <w:r w:rsidRPr="00580736">
        <w:t xml:space="preserve"> and decision</w:t>
      </w:r>
      <w:r w:rsidR="00084FED">
        <w:t>-</w:t>
      </w:r>
      <w:r w:rsidRPr="00580736">
        <w:t>making</w:t>
      </w:r>
      <w:r w:rsidR="00583649" w:rsidRPr="00580736">
        <w:t xml:space="preserve">. </w:t>
      </w:r>
    </w:p>
    <w:p w14:paraId="1A7B6068" w14:textId="77777777" w:rsidR="002E56B8" w:rsidRDefault="002E56B8">
      <w:pPr>
        <w:jc w:val="left"/>
        <w:rPr>
          <w:b/>
          <w:bCs/>
          <w:color w:val="275D8E" w:themeColor="accent1" w:themeShade="BF"/>
          <w:sz w:val="36"/>
          <w:szCs w:val="36"/>
          <w:lang w:val="en-NZ"/>
        </w:rPr>
      </w:pPr>
      <w:r>
        <w:br w:type="page"/>
      </w:r>
    </w:p>
    <w:p w14:paraId="0074E4A9" w14:textId="0763CB50" w:rsidR="00433A76" w:rsidRDefault="00A54655" w:rsidP="002051FF">
      <w:pPr>
        <w:pStyle w:val="Heading2NotNumbered"/>
        <w:numPr>
          <w:ilvl w:val="0"/>
          <w:numId w:val="0"/>
        </w:numPr>
      </w:pPr>
      <w:bookmarkStart w:id="23" w:name="_Toc137208875"/>
      <w:r>
        <w:lastRenderedPageBreak/>
        <w:t>Recommendations</w:t>
      </w:r>
      <w:bookmarkEnd w:id="23"/>
      <w:r>
        <w:t xml:space="preserve"> </w:t>
      </w:r>
    </w:p>
    <w:p w14:paraId="51053D07" w14:textId="4D8C7845" w:rsidR="00A121B3" w:rsidRDefault="00D610DB" w:rsidP="000171F5">
      <w:r w:rsidRPr="00884FAA">
        <w:t xml:space="preserve">The evaluation </w:t>
      </w:r>
      <w:r w:rsidR="0067232B">
        <w:t xml:space="preserve">recommendations </w:t>
      </w:r>
      <w:r w:rsidR="00FA17DB">
        <w:t xml:space="preserve">identify opportunities to </w:t>
      </w:r>
      <w:r w:rsidR="007B19F6" w:rsidRPr="00884FAA">
        <w:t>advance</w:t>
      </w:r>
      <w:r w:rsidR="00472D78" w:rsidRPr="00884FAA">
        <w:t xml:space="preserve"> the contribution of </w:t>
      </w:r>
      <w:r w:rsidR="00900AC9" w:rsidRPr="00884FAA">
        <w:t>the</w:t>
      </w:r>
      <w:r w:rsidR="00472D78" w:rsidRPr="00884FAA">
        <w:t xml:space="preserve"> IAHP to improving </w:t>
      </w:r>
      <w:r w:rsidR="0010509A" w:rsidRPr="00884FAA">
        <w:t xml:space="preserve">health </w:t>
      </w:r>
      <w:r w:rsidR="000419F6" w:rsidRPr="00884FAA">
        <w:t xml:space="preserve">and wellbeing </w:t>
      </w:r>
      <w:r w:rsidR="0010509A" w:rsidRPr="00884FAA">
        <w:t xml:space="preserve">outcomes for Aboriginal and Torres Strait Islander people consistent with the </w:t>
      </w:r>
      <w:r w:rsidR="00BD56B2">
        <w:t>P</w:t>
      </w:r>
      <w:r w:rsidR="007B19F6" w:rsidRPr="00884FAA">
        <w:t xml:space="preserve">riority </w:t>
      </w:r>
      <w:r w:rsidR="00BD56B2">
        <w:t>R</w:t>
      </w:r>
      <w:r w:rsidR="007B19F6" w:rsidRPr="00884FAA">
        <w:t>eforms under the National Agreement on Closing the Gap</w:t>
      </w:r>
      <w:r w:rsidR="006C6FC9" w:rsidRPr="00884FAA">
        <w:t xml:space="preserve"> and the objectives of the IAHP.</w:t>
      </w:r>
      <w:r w:rsidR="007B19F6" w:rsidRPr="00884FAA">
        <w:t xml:space="preserve"> </w:t>
      </w:r>
    </w:p>
    <w:p w14:paraId="70BA29DE" w14:textId="20EECB28" w:rsidR="00C8234D" w:rsidRPr="00884FAA" w:rsidRDefault="00C8234D" w:rsidP="00C8234D">
      <w:r w:rsidRPr="00884FAA">
        <w:t xml:space="preserve">At the centre of the National Agreement are </w:t>
      </w:r>
      <w:r w:rsidR="006D2482">
        <w:t>4</w:t>
      </w:r>
      <w:r w:rsidR="006D2482" w:rsidRPr="00884FAA">
        <w:t xml:space="preserve"> </w:t>
      </w:r>
      <w:r w:rsidRPr="00884FAA">
        <w:t xml:space="preserve">Priority Reforms </w:t>
      </w:r>
      <w:r w:rsidR="00DF260C" w:rsidRPr="00884FAA">
        <w:t xml:space="preserve">designed to change </w:t>
      </w:r>
      <w:r w:rsidRPr="00884FAA">
        <w:t>the way governments work with Aboriginal and Torres Strait Islander people.</w:t>
      </w:r>
      <w:r w:rsidR="0007361A" w:rsidRPr="00884FAA">
        <w:t xml:space="preserve"> </w:t>
      </w:r>
      <w:r w:rsidR="00DF260C" w:rsidRPr="00884FAA">
        <w:t xml:space="preserve">The National Agreement makes </w:t>
      </w:r>
      <w:r w:rsidR="0007361A" w:rsidRPr="00884FAA">
        <w:t>a commitment to changing the way that governments work to deliver the outcomes required to close the gap for Aboriginal and Torres Strait Islander people</w:t>
      </w:r>
      <w:r w:rsidR="00472D78" w:rsidRPr="00884FAA">
        <w:t>.</w:t>
      </w:r>
      <w:r w:rsidR="0010509A" w:rsidRPr="00884FAA">
        <w:t xml:space="preserve"> </w:t>
      </w:r>
      <w:r w:rsidRPr="00884FAA">
        <w:t xml:space="preserve">The Priority Reforms </w:t>
      </w:r>
      <w:r w:rsidR="00EB1A39" w:rsidRPr="00884FAA">
        <w:t>aim to</w:t>
      </w:r>
      <w:r w:rsidRPr="00884FAA">
        <w:t>:</w:t>
      </w:r>
    </w:p>
    <w:p w14:paraId="5F6CE56E" w14:textId="36A1679E" w:rsidR="00C8234D" w:rsidRPr="00884FAA" w:rsidRDefault="00C8234D" w:rsidP="00580736">
      <w:pPr>
        <w:numPr>
          <w:ilvl w:val="0"/>
          <w:numId w:val="19"/>
        </w:numPr>
        <w:spacing w:after="120"/>
      </w:pPr>
      <w:r w:rsidRPr="00884FAA">
        <w:t>Strengthen and establish formal partnerships and shared decision-making</w:t>
      </w:r>
      <w:r w:rsidR="005268D1">
        <w:t>.</w:t>
      </w:r>
    </w:p>
    <w:p w14:paraId="6FAA9B1A" w14:textId="5BC639E8" w:rsidR="00C8234D" w:rsidRPr="00884FAA" w:rsidRDefault="00C8234D" w:rsidP="00580736">
      <w:pPr>
        <w:numPr>
          <w:ilvl w:val="0"/>
          <w:numId w:val="19"/>
        </w:numPr>
        <w:spacing w:after="120"/>
      </w:pPr>
      <w:r w:rsidRPr="00884FAA">
        <w:t>Build the Aboriginal and Torres Strait Islander community-controlled sector</w:t>
      </w:r>
      <w:r w:rsidR="005268D1">
        <w:t>.</w:t>
      </w:r>
    </w:p>
    <w:p w14:paraId="7F0D3518" w14:textId="0DA49702" w:rsidR="00C8234D" w:rsidRPr="00884FAA" w:rsidRDefault="00C8234D" w:rsidP="00580736">
      <w:pPr>
        <w:numPr>
          <w:ilvl w:val="0"/>
          <w:numId w:val="19"/>
        </w:numPr>
        <w:spacing w:after="120"/>
      </w:pPr>
      <w:r w:rsidRPr="00884FAA">
        <w:t>Transform government organisations so they work better for Aboriginal and Torres Strait Islander people</w:t>
      </w:r>
      <w:r w:rsidR="005268D1">
        <w:t>.</w:t>
      </w:r>
    </w:p>
    <w:p w14:paraId="3589A9AC" w14:textId="12FD4C2E" w:rsidR="004B5931" w:rsidRPr="00884FAA" w:rsidRDefault="00C8234D" w:rsidP="00580736">
      <w:pPr>
        <w:numPr>
          <w:ilvl w:val="0"/>
          <w:numId w:val="19"/>
        </w:numPr>
        <w:spacing w:after="120"/>
      </w:pPr>
      <w:r w:rsidRPr="00884FAA">
        <w:t xml:space="preserve">Improve and share access to data and information to enable Aboriginal and Torres Strait Islander communities </w:t>
      </w:r>
      <w:r w:rsidR="00C2028A">
        <w:t xml:space="preserve">to </w:t>
      </w:r>
      <w:r w:rsidRPr="00884FAA">
        <w:t>make informed decisions.</w:t>
      </w:r>
    </w:p>
    <w:p w14:paraId="3E3F9931" w14:textId="25E0E6D2" w:rsidR="00042FD7" w:rsidRDefault="00431BC1" w:rsidP="00042FD7">
      <w:r w:rsidRPr="00884FAA">
        <w:t>The evaluation has adopted the framework of the Priority Reforms to structure the recommendations</w:t>
      </w:r>
      <w:r w:rsidR="00844A09" w:rsidRPr="00884FAA">
        <w:t xml:space="preserve"> </w:t>
      </w:r>
      <w:r w:rsidRPr="00884FAA">
        <w:t xml:space="preserve">to </w:t>
      </w:r>
      <w:r w:rsidR="00844A09" w:rsidRPr="00884FAA">
        <w:t xml:space="preserve">foster strong </w:t>
      </w:r>
      <w:r w:rsidRPr="00884FAA">
        <w:t xml:space="preserve">alignment between the </w:t>
      </w:r>
      <w:r w:rsidR="00844A09" w:rsidRPr="00884FAA">
        <w:t xml:space="preserve">ongoing </w:t>
      </w:r>
      <w:r w:rsidR="00B02A56">
        <w:t>implementation</w:t>
      </w:r>
      <w:r w:rsidRPr="00884FAA">
        <w:t xml:space="preserve"> of the IAHP</w:t>
      </w:r>
      <w:r w:rsidR="00844A09" w:rsidRPr="00884FAA">
        <w:t>, the implementation of the recommendations</w:t>
      </w:r>
      <w:r w:rsidR="00B02A56">
        <w:t>,</w:t>
      </w:r>
      <w:r w:rsidRPr="00884FAA">
        <w:t xml:space="preserve"> </w:t>
      </w:r>
      <w:r w:rsidR="00844A09" w:rsidRPr="00884FAA">
        <w:t xml:space="preserve">and </w:t>
      </w:r>
      <w:r w:rsidRPr="00884FAA">
        <w:t>whole</w:t>
      </w:r>
      <w:r w:rsidR="00D32F2E" w:rsidRPr="00884FAA">
        <w:t>-</w:t>
      </w:r>
      <w:r w:rsidRPr="00884FAA">
        <w:t>of</w:t>
      </w:r>
      <w:r w:rsidR="00D32F2E" w:rsidRPr="00884FAA">
        <w:t>-</w:t>
      </w:r>
      <w:r w:rsidRPr="00884FAA">
        <w:t>government action to support Closing the Gap.</w:t>
      </w:r>
      <w:r w:rsidR="00844A09" w:rsidRPr="00884FAA">
        <w:t xml:space="preserve"> </w:t>
      </w:r>
    </w:p>
    <w:p w14:paraId="7D983886" w14:textId="15EA25BB" w:rsidR="006F1199" w:rsidRDefault="006F1199" w:rsidP="00042FD7">
      <w:r>
        <w:t xml:space="preserve">The recommendations in this evaluation report have been shaped by deep engagement and discussion with Aboriginal and Torres Strait Islander </w:t>
      </w:r>
      <w:r w:rsidR="009E2F2D">
        <w:t xml:space="preserve">health service </w:t>
      </w:r>
      <w:r>
        <w:t xml:space="preserve">and PHN site evaluation partners over the course of the evaluation. </w:t>
      </w:r>
    </w:p>
    <w:p w14:paraId="78F5CB6A" w14:textId="2E687320" w:rsidR="004614A5" w:rsidRDefault="00773935" w:rsidP="006F1199">
      <w:pPr>
        <w:rPr>
          <w:lang w:eastAsia="en-GB"/>
        </w:rPr>
      </w:pPr>
      <w:r>
        <w:rPr>
          <w:lang w:eastAsia="en-GB"/>
        </w:rPr>
        <w:t xml:space="preserve">The evaluation recommends that the </w:t>
      </w:r>
      <w:r w:rsidR="00B35A3D">
        <w:rPr>
          <w:lang w:eastAsia="en-GB"/>
        </w:rPr>
        <w:t>department</w:t>
      </w:r>
      <w:r>
        <w:rPr>
          <w:lang w:eastAsia="en-GB"/>
        </w:rPr>
        <w:t xml:space="preserve"> continue to invest in the delivery of </w:t>
      </w:r>
      <w:r w:rsidR="00B02A56">
        <w:rPr>
          <w:lang w:eastAsia="en-GB"/>
        </w:rPr>
        <w:t xml:space="preserve">comprehensive </w:t>
      </w:r>
      <w:r w:rsidR="003279C5">
        <w:rPr>
          <w:lang w:eastAsia="en-GB"/>
        </w:rPr>
        <w:t>PHC</w:t>
      </w:r>
      <w:r w:rsidR="002F31CD">
        <w:rPr>
          <w:lang w:eastAsia="en-GB"/>
        </w:rPr>
        <w:t xml:space="preserve"> for Aboriginal and Torres Strait Islander people through the IAHP. </w:t>
      </w:r>
      <w:r w:rsidR="00AD47EF">
        <w:rPr>
          <w:lang w:eastAsia="en-GB"/>
        </w:rPr>
        <w:t xml:space="preserve">This recommendation provides the </w:t>
      </w:r>
      <w:r w:rsidR="00AD47EF" w:rsidRPr="00811185">
        <w:rPr>
          <w:b/>
          <w:bCs/>
          <w:lang w:eastAsia="en-GB"/>
        </w:rPr>
        <w:t>foundation</w:t>
      </w:r>
      <w:r w:rsidR="00AD47EF">
        <w:rPr>
          <w:lang w:eastAsia="en-GB"/>
        </w:rPr>
        <w:t xml:space="preserve"> for </w:t>
      </w:r>
      <w:r w:rsidR="00ED401E">
        <w:rPr>
          <w:lang w:eastAsia="en-GB"/>
        </w:rPr>
        <w:t xml:space="preserve">recommended changes to the administration and governance of </w:t>
      </w:r>
      <w:r w:rsidR="002051FF">
        <w:rPr>
          <w:lang w:eastAsia="en-GB"/>
        </w:rPr>
        <w:t xml:space="preserve">the </w:t>
      </w:r>
      <w:r w:rsidR="00ED401E">
        <w:rPr>
          <w:lang w:eastAsia="en-GB"/>
        </w:rPr>
        <w:t xml:space="preserve">IAHP to </w:t>
      </w:r>
      <w:r w:rsidR="00AD47EF">
        <w:rPr>
          <w:lang w:eastAsia="en-GB"/>
        </w:rPr>
        <w:t xml:space="preserve">improve </w:t>
      </w:r>
      <w:r w:rsidR="00B02A56">
        <w:rPr>
          <w:lang w:eastAsia="en-GB"/>
        </w:rPr>
        <w:t>its</w:t>
      </w:r>
      <w:r w:rsidR="00AD47EF">
        <w:rPr>
          <w:lang w:eastAsia="en-GB"/>
        </w:rPr>
        <w:t xml:space="preserve"> impact on health outcomes for Aboriginal and Torres Strait Islander people. The continue</w:t>
      </w:r>
      <w:r w:rsidR="00BA3BA3">
        <w:rPr>
          <w:lang w:eastAsia="en-GB"/>
        </w:rPr>
        <w:t xml:space="preserve">d funding of </w:t>
      </w:r>
      <w:r w:rsidR="003279C5">
        <w:rPr>
          <w:lang w:eastAsia="en-GB"/>
        </w:rPr>
        <w:t>PHC</w:t>
      </w:r>
      <w:r w:rsidR="00BA3BA3">
        <w:rPr>
          <w:lang w:eastAsia="en-GB"/>
        </w:rPr>
        <w:t xml:space="preserve"> through the IAHP recognises</w:t>
      </w:r>
      <w:r w:rsidR="004614A5">
        <w:rPr>
          <w:lang w:eastAsia="en-GB"/>
        </w:rPr>
        <w:t>:</w:t>
      </w:r>
    </w:p>
    <w:p w14:paraId="7946A394" w14:textId="007277CC" w:rsidR="00346F50" w:rsidRDefault="004614A5" w:rsidP="00580736">
      <w:pPr>
        <w:numPr>
          <w:ilvl w:val="0"/>
          <w:numId w:val="19"/>
        </w:numPr>
        <w:spacing w:after="120"/>
      </w:pPr>
      <w:r>
        <w:t xml:space="preserve">The contribution of </w:t>
      </w:r>
      <w:r w:rsidR="00992F01">
        <w:t>comprehensive</w:t>
      </w:r>
      <w:r w:rsidR="00346F50">
        <w:t xml:space="preserve"> </w:t>
      </w:r>
      <w:r w:rsidR="003279C5">
        <w:t>PHC</w:t>
      </w:r>
      <w:r w:rsidR="00346F50">
        <w:t xml:space="preserve"> for Aboriginal and Torres Strait Islander people.</w:t>
      </w:r>
    </w:p>
    <w:p w14:paraId="76413852" w14:textId="0D26D166" w:rsidR="00773935" w:rsidRDefault="00346F50" w:rsidP="00580736">
      <w:pPr>
        <w:numPr>
          <w:ilvl w:val="0"/>
          <w:numId w:val="19"/>
        </w:numPr>
        <w:spacing w:after="120"/>
      </w:pPr>
      <w:r>
        <w:t xml:space="preserve">The value placed on comprehensive </w:t>
      </w:r>
      <w:r w:rsidR="003279C5">
        <w:t>PHC</w:t>
      </w:r>
      <w:r>
        <w:t xml:space="preserve"> delivered by </w:t>
      </w:r>
      <w:r w:rsidR="00992F01">
        <w:t>Aboriginal</w:t>
      </w:r>
      <w:r>
        <w:t xml:space="preserve"> </w:t>
      </w:r>
      <w:r w:rsidR="00992F01">
        <w:t xml:space="preserve">and Torres Strait Islander people </w:t>
      </w:r>
      <w:r w:rsidR="00157707">
        <w:t>for</w:t>
      </w:r>
      <w:r w:rsidR="00E77463">
        <w:t xml:space="preserve"> </w:t>
      </w:r>
      <w:r w:rsidR="00992F01">
        <w:t>Aboriginal and Torres Strait Islander people</w:t>
      </w:r>
      <w:r w:rsidR="00157707">
        <w:t>.</w:t>
      </w:r>
    </w:p>
    <w:p w14:paraId="21CD9FED" w14:textId="3675CF8F" w:rsidR="00130480" w:rsidRDefault="00130480" w:rsidP="00580736">
      <w:pPr>
        <w:numPr>
          <w:ilvl w:val="0"/>
          <w:numId w:val="19"/>
        </w:numPr>
        <w:spacing w:after="120"/>
      </w:pPr>
      <w:r>
        <w:t xml:space="preserve">The enduring barriers for Aboriginal and Torres Strait Islander people </w:t>
      </w:r>
      <w:r w:rsidR="0076286D">
        <w:t>who access health services in mainstream settings.</w:t>
      </w:r>
    </w:p>
    <w:p w14:paraId="1BD0DDB3" w14:textId="77777777" w:rsidR="009D1117" w:rsidRDefault="009D1117">
      <w:pPr>
        <w:jc w:val="left"/>
        <w:rPr>
          <w:lang w:eastAsia="en-GB"/>
        </w:rPr>
      </w:pPr>
      <w:r>
        <w:rPr>
          <w:lang w:eastAsia="en-GB"/>
        </w:rPr>
        <w:br w:type="page"/>
      </w:r>
    </w:p>
    <w:p w14:paraId="2A43EB5C" w14:textId="4667EBE0" w:rsidR="006F1199" w:rsidRPr="00884FAA" w:rsidRDefault="006F1199" w:rsidP="006F1199">
      <w:pPr>
        <w:rPr>
          <w:lang w:eastAsia="en-GB"/>
        </w:rPr>
      </w:pPr>
      <w:r w:rsidRPr="00884FAA">
        <w:rPr>
          <w:lang w:eastAsia="en-GB"/>
        </w:rPr>
        <w:lastRenderedPageBreak/>
        <w:t xml:space="preserve">The evaluation found that the </w:t>
      </w:r>
      <w:r w:rsidR="00831DF6">
        <w:t>improvements</w:t>
      </w:r>
      <w:r w:rsidR="004F3F59" w:rsidRPr="00884FAA">
        <w:rPr>
          <w:lang w:eastAsia="en-GB"/>
        </w:rPr>
        <w:t xml:space="preserve"> </w:t>
      </w:r>
      <w:r w:rsidRPr="00884FAA">
        <w:rPr>
          <w:lang w:eastAsia="en-GB"/>
        </w:rPr>
        <w:t>required to make faster and more lasting progress toward improving health and wellbeing for Aboriginal and Torres Strait Islander people are:</w:t>
      </w:r>
    </w:p>
    <w:p w14:paraId="0AA8FFCB" w14:textId="2800E669" w:rsidR="006F1199" w:rsidRPr="00884FAA" w:rsidRDefault="00893E25" w:rsidP="00580736">
      <w:pPr>
        <w:numPr>
          <w:ilvl w:val="0"/>
          <w:numId w:val="19"/>
        </w:numPr>
        <w:spacing w:after="120"/>
        <w:rPr>
          <w:lang w:eastAsia="en-GB"/>
        </w:rPr>
      </w:pPr>
      <w:r w:rsidRPr="00893E25">
        <w:rPr>
          <w:b/>
          <w:bCs/>
          <w:lang w:eastAsia="en-GB"/>
        </w:rPr>
        <w:t xml:space="preserve">Formal partnerships and shared decision-making </w:t>
      </w:r>
      <w:r w:rsidR="00013398">
        <w:rPr>
          <w:b/>
          <w:bCs/>
          <w:lang w:eastAsia="en-GB"/>
        </w:rPr>
        <w:t xml:space="preserve">– </w:t>
      </w:r>
      <w:r w:rsidR="006F1199" w:rsidRPr="00884FAA">
        <w:rPr>
          <w:lang w:eastAsia="en-GB"/>
        </w:rPr>
        <w:t xml:space="preserve">an increased emphasis on self-determination and responsiveness to local need, through </w:t>
      </w:r>
      <w:r w:rsidR="00BF2C54">
        <w:t xml:space="preserve">strengthening of </w:t>
      </w:r>
      <w:r w:rsidR="006F1199" w:rsidRPr="00884FAA">
        <w:rPr>
          <w:lang w:eastAsia="en-GB"/>
        </w:rPr>
        <w:t>governance, policy</w:t>
      </w:r>
      <w:r w:rsidR="006A13B4">
        <w:rPr>
          <w:lang w:eastAsia="en-GB"/>
        </w:rPr>
        <w:t>, decision-making</w:t>
      </w:r>
      <w:r w:rsidR="006F1199" w:rsidRPr="00884FAA">
        <w:rPr>
          <w:lang w:eastAsia="en-GB"/>
        </w:rPr>
        <w:t xml:space="preserve"> and engagement processes and </w:t>
      </w:r>
      <w:r w:rsidR="00821E9B">
        <w:t xml:space="preserve">shared decision-making with </w:t>
      </w:r>
      <w:r w:rsidR="006F1199" w:rsidRPr="00884FAA">
        <w:rPr>
          <w:lang w:eastAsia="en-GB"/>
        </w:rPr>
        <w:t>Aboriginal and Torres Strait Islander people in the design and delivery of IAHP.</w:t>
      </w:r>
    </w:p>
    <w:p w14:paraId="1069BA48" w14:textId="0FA33088" w:rsidR="006F1199" w:rsidRPr="00884FAA" w:rsidRDefault="007F0DFA" w:rsidP="00580736">
      <w:pPr>
        <w:numPr>
          <w:ilvl w:val="0"/>
          <w:numId w:val="19"/>
        </w:numPr>
        <w:spacing w:after="120"/>
        <w:rPr>
          <w:lang w:eastAsia="en-GB"/>
        </w:rPr>
      </w:pPr>
      <w:r w:rsidRPr="007F0DFA">
        <w:rPr>
          <w:b/>
          <w:bCs/>
          <w:lang w:eastAsia="en-GB"/>
        </w:rPr>
        <w:t>Building the community-controlled sector</w:t>
      </w:r>
      <w:r>
        <w:rPr>
          <w:b/>
          <w:bCs/>
          <w:lang w:eastAsia="en-GB"/>
        </w:rPr>
        <w:t xml:space="preserve"> </w:t>
      </w:r>
      <w:r w:rsidR="00F958C6">
        <w:rPr>
          <w:b/>
          <w:bCs/>
          <w:lang w:eastAsia="en-GB"/>
        </w:rPr>
        <w:t>–</w:t>
      </w:r>
      <w:r w:rsidR="00013398">
        <w:rPr>
          <w:lang w:eastAsia="en-GB"/>
        </w:rPr>
        <w:t xml:space="preserve"> </w:t>
      </w:r>
      <w:r w:rsidR="006F1199" w:rsidRPr="00884FAA">
        <w:rPr>
          <w:lang w:eastAsia="en-GB"/>
        </w:rPr>
        <w:t>increased</w:t>
      </w:r>
      <w:r w:rsidR="00F958C6">
        <w:rPr>
          <w:lang w:eastAsia="en-GB"/>
        </w:rPr>
        <w:t xml:space="preserve"> </w:t>
      </w:r>
      <w:r w:rsidR="006F1199" w:rsidRPr="00884FAA">
        <w:rPr>
          <w:lang w:eastAsia="en-GB"/>
        </w:rPr>
        <w:t xml:space="preserve">investment in </w:t>
      </w:r>
      <w:r w:rsidR="003279C5">
        <w:rPr>
          <w:lang w:eastAsia="en-GB"/>
        </w:rPr>
        <w:t>PHC</w:t>
      </w:r>
      <w:r w:rsidR="006F1199" w:rsidRPr="00884FAA">
        <w:rPr>
          <w:lang w:eastAsia="en-GB"/>
        </w:rPr>
        <w:t xml:space="preserve"> through an approach to the IAHP that fully scopes and delivers the investment required to deliver comprehensive </w:t>
      </w:r>
      <w:r w:rsidR="003279C5">
        <w:rPr>
          <w:lang w:eastAsia="en-GB"/>
        </w:rPr>
        <w:t>PHC</w:t>
      </w:r>
      <w:r w:rsidR="006F1199" w:rsidRPr="00884FAA">
        <w:rPr>
          <w:lang w:eastAsia="en-GB"/>
        </w:rPr>
        <w:t xml:space="preserve"> and to accelerate improvements to health and wellbeing for Aboriginal and Torres Strait Islander people</w:t>
      </w:r>
      <w:r w:rsidR="00573BB6">
        <w:rPr>
          <w:lang w:eastAsia="en-GB"/>
        </w:rPr>
        <w:t xml:space="preserve"> through strengthening the community-controlled </w:t>
      </w:r>
      <w:r w:rsidR="00925F00">
        <w:rPr>
          <w:lang w:eastAsia="en-GB"/>
        </w:rPr>
        <w:t>sector</w:t>
      </w:r>
      <w:r w:rsidR="006F1199" w:rsidRPr="00884FAA">
        <w:rPr>
          <w:lang w:eastAsia="en-GB"/>
        </w:rPr>
        <w:t>.</w:t>
      </w:r>
    </w:p>
    <w:p w14:paraId="431C2416" w14:textId="35DE6429" w:rsidR="006F1199" w:rsidRPr="00884FAA" w:rsidRDefault="007F0DFA" w:rsidP="00580736">
      <w:pPr>
        <w:numPr>
          <w:ilvl w:val="0"/>
          <w:numId w:val="19"/>
        </w:numPr>
        <w:spacing w:after="120"/>
        <w:rPr>
          <w:lang w:eastAsia="en-GB"/>
        </w:rPr>
      </w:pPr>
      <w:r w:rsidRPr="007F0DFA">
        <w:rPr>
          <w:b/>
          <w:bCs/>
          <w:lang w:eastAsia="en-GB"/>
        </w:rPr>
        <w:t xml:space="preserve">Transforming government organisations </w:t>
      </w:r>
      <w:r w:rsidR="00F958C6">
        <w:rPr>
          <w:b/>
          <w:bCs/>
          <w:lang w:eastAsia="en-GB"/>
        </w:rPr>
        <w:t>–</w:t>
      </w:r>
      <w:r w:rsidR="00013398">
        <w:rPr>
          <w:b/>
          <w:bCs/>
          <w:lang w:eastAsia="en-GB"/>
        </w:rPr>
        <w:t xml:space="preserve"> </w:t>
      </w:r>
      <w:r w:rsidR="006F1199" w:rsidRPr="00884FAA">
        <w:rPr>
          <w:lang w:eastAsia="en-GB"/>
        </w:rPr>
        <w:t>purposeful</w:t>
      </w:r>
      <w:r w:rsidR="00F958C6">
        <w:rPr>
          <w:lang w:eastAsia="en-GB"/>
        </w:rPr>
        <w:t xml:space="preserve"> </w:t>
      </w:r>
      <w:r w:rsidR="006F1199" w:rsidRPr="00884FAA">
        <w:rPr>
          <w:lang w:eastAsia="en-GB"/>
        </w:rPr>
        <w:t xml:space="preserve">integration of the IAHP with health system governance and reducing system fragmentation through supporting integrated models of care, and building processes for information sharing and collaboration. </w:t>
      </w:r>
    </w:p>
    <w:p w14:paraId="29A14838" w14:textId="4C0BCB9B" w:rsidR="006F1199" w:rsidRDefault="00F47A93" w:rsidP="00580736">
      <w:pPr>
        <w:numPr>
          <w:ilvl w:val="0"/>
          <w:numId w:val="19"/>
        </w:numPr>
        <w:spacing w:after="120"/>
        <w:rPr>
          <w:lang w:eastAsia="en-GB"/>
        </w:rPr>
      </w:pPr>
      <w:r w:rsidRPr="00F47A93">
        <w:rPr>
          <w:b/>
          <w:bCs/>
          <w:lang w:eastAsia="en-GB"/>
        </w:rPr>
        <w:t xml:space="preserve">Shared access to data and information at a regional level </w:t>
      </w:r>
      <w:r w:rsidR="00CF76A7">
        <w:rPr>
          <w:b/>
          <w:bCs/>
          <w:lang w:eastAsia="en-GB"/>
        </w:rPr>
        <w:t>–</w:t>
      </w:r>
      <w:r w:rsidR="00013398">
        <w:rPr>
          <w:lang w:eastAsia="en-GB"/>
        </w:rPr>
        <w:t xml:space="preserve"> </w:t>
      </w:r>
      <w:r w:rsidR="006F1199" w:rsidRPr="00884FAA">
        <w:rPr>
          <w:lang w:eastAsia="en-GB"/>
        </w:rPr>
        <w:t>better</w:t>
      </w:r>
      <w:r w:rsidR="00CF76A7">
        <w:rPr>
          <w:lang w:eastAsia="en-GB"/>
        </w:rPr>
        <w:t xml:space="preserve"> </w:t>
      </w:r>
      <w:r w:rsidR="006F1199" w:rsidRPr="00884FAA">
        <w:rPr>
          <w:lang w:eastAsia="en-GB"/>
        </w:rPr>
        <w:t>use of knowledge and information to track and monitor outcomes</w:t>
      </w:r>
      <w:r w:rsidR="00CF76A7">
        <w:rPr>
          <w:lang w:eastAsia="en-GB"/>
        </w:rPr>
        <w:t>,</w:t>
      </w:r>
      <w:r w:rsidR="006F1199" w:rsidRPr="00884FAA">
        <w:rPr>
          <w:lang w:eastAsia="en-GB"/>
        </w:rPr>
        <w:t xml:space="preserve"> support continuous quality improvement and</w:t>
      </w:r>
      <w:r w:rsidR="00E32466">
        <w:rPr>
          <w:lang w:eastAsia="en-GB"/>
        </w:rPr>
        <w:t xml:space="preserve"> </w:t>
      </w:r>
      <w:r w:rsidR="00CF76A7">
        <w:rPr>
          <w:lang w:eastAsia="en-GB"/>
        </w:rPr>
        <w:t>decision</w:t>
      </w:r>
      <w:r w:rsidR="00084FED">
        <w:rPr>
          <w:lang w:eastAsia="en-GB"/>
        </w:rPr>
        <w:t>-</w:t>
      </w:r>
      <w:r w:rsidR="00CF76A7">
        <w:rPr>
          <w:lang w:eastAsia="en-GB"/>
        </w:rPr>
        <w:t>making</w:t>
      </w:r>
      <w:r w:rsidR="006F1199" w:rsidRPr="00884FAA">
        <w:rPr>
          <w:lang w:eastAsia="en-GB"/>
        </w:rPr>
        <w:t>.</w:t>
      </w:r>
    </w:p>
    <w:p w14:paraId="7F08CEA3" w14:textId="32F5A28C" w:rsidR="00F707DC" w:rsidRPr="0089558B" w:rsidRDefault="00735993" w:rsidP="0089558B">
      <w:pPr>
        <w:rPr>
          <w:lang w:eastAsia="en-GB"/>
        </w:rPr>
      </w:pPr>
      <w:r w:rsidRPr="0089558B">
        <w:rPr>
          <w:lang w:eastAsia="en-GB"/>
        </w:rPr>
        <w:t xml:space="preserve">The evaluation also recommends </w:t>
      </w:r>
      <w:r w:rsidR="0089558B" w:rsidRPr="0089558B">
        <w:rPr>
          <w:lang w:eastAsia="en-GB"/>
        </w:rPr>
        <w:t xml:space="preserve">creating ongoing governance and administrative conditions for the IAHP to achieve its objectives and to </w:t>
      </w:r>
      <w:r w:rsidR="0089558B" w:rsidRPr="0089558B">
        <w:rPr>
          <w:b/>
          <w:bCs/>
          <w:lang w:eastAsia="en-GB"/>
        </w:rPr>
        <w:t>e</w:t>
      </w:r>
      <w:r w:rsidR="00F47A93" w:rsidRPr="0089558B">
        <w:rPr>
          <w:b/>
          <w:bCs/>
          <w:lang w:eastAsia="en-GB"/>
        </w:rPr>
        <w:t>nsur</w:t>
      </w:r>
      <w:r w:rsidR="0089558B" w:rsidRPr="0089558B">
        <w:rPr>
          <w:b/>
          <w:bCs/>
          <w:lang w:eastAsia="en-GB"/>
        </w:rPr>
        <w:t>e</w:t>
      </w:r>
      <w:r w:rsidR="00F47A93" w:rsidRPr="0089558B">
        <w:rPr>
          <w:b/>
          <w:bCs/>
          <w:lang w:eastAsia="en-GB"/>
        </w:rPr>
        <w:t xml:space="preserve"> IAHP implementation success</w:t>
      </w:r>
      <w:r w:rsidR="0089558B" w:rsidRPr="0089558B">
        <w:rPr>
          <w:lang w:eastAsia="en-GB"/>
        </w:rPr>
        <w:t>.</w:t>
      </w:r>
    </w:p>
    <w:p w14:paraId="62D1B733" w14:textId="77777777" w:rsidR="003B6100" w:rsidRDefault="00E737D2" w:rsidP="003B6100">
      <w:r w:rsidRPr="00955D60">
        <w:rPr>
          <w:lang w:eastAsia="en-GB"/>
        </w:rPr>
        <w:t xml:space="preserve">There are </w:t>
      </w:r>
      <w:r w:rsidR="009975B0">
        <w:rPr>
          <w:lang w:eastAsia="en-GB"/>
        </w:rPr>
        <w:t>13 recommendations</w:t>
      </w:r>
      <w:r w:rsidR="0045696F">
        <w:rPr>
          <w:lang w:eastAsia="en-GB"/>
        </w:rPr>
        <w:t xml:space="preserve"> </w:t>
      </w:r>
      <w:r w:rsidR="0035239A">
        <w:rPr>
          <w:lang w:eastAsia="en-GB"/>
        </w:rPr>
        <w:t xml:space="preserve">developed to </w:t>
      </w:r>
      <w:r w:rsidR="00CB3737">
        <w:rPr>
          <w:lang w:eastAsia="en-GB"/>
        </w:rPr>
        <w:t xml:space="preserve">build on the strengths of the existing investment and </w:t>
      </w:r>
      <w:r w:rsidR="00C8606B">
        <w:rPr>
          <w:lang w:eastAsia="en-GB"/>
        </w:rPr>
        <w:t xml:space="preserve">ensure the IAHP is well positioned to contribute to whole of government activity to eliminate health inequality and deliver improved </w:t>
      </w:r>
      <w:r w:rsidRPr="00955D60">
        <w:rPr>
          <w:lang w:eastAsia="en-GB"/>
        </w:rPr>
        <w:t xml:space="preserve">health outcomes for </w:t>
      </w:r>
      <w:r w:rsidR="00B52244" w:rsidRPr="00955D60">
        <w:rPr>
          <w:lang w:eastAsia="en-GB"/>
        </w:rPr>
        <w:t>Aboriginal and Torres Strait Islander people</w:t>
      </w:r>
      <w:r w:rsidRPr="00955D60">
        <w:rPr>
          <w:lang w:eastAsia="en-GB"/>
        </w:rPr>
        <w:t>.</w:t>
      </w:r>
      <w:r w:rsidRPr="00240460">
        <w:rPr>
          <w:lang w:eastAsia="en-GB"/>
        </w:rPr>
        <w:t xml:space="preserve"> </w:t>
      </w:r>
      <w:r w:rsidR="003B6100">
        <w:t>The recommendations cover changes, actions and improvements to support faster progress towards improving the health and wellbeing of Aboriginal and Torres Strait Islander people. This includes:</w:t>
      </w:r>
    </w:p>
    <w:p w14:paraId="226E007D" w14:textId="77777777" w:rsidR="003B6100" w:rsidRDefault="003B6100" w:rsidP="003B6100">
      <w:pPr>
        <w:numPr>
          <w:ilvl w:val="0"/>
          <w:numId w:val="19"/>
        </w:numPr>
        <w:spacing w:after="120"/>
      </w:pPr>
      <w:r>
        <w:t>recommendations to strengthen the design and implementation of the IAHP</w:t>
      </w:r>
    </w:p>
    <w:p w14:paraId="71157088" w14:textId="77777777" w:rsidR="003B6100" w:rsidRDefault="003B6100" w:rsidP="003B6100">
      <w:pPr>
        <w:numPr>
          <w:ilvl w:val="0"/>
          <w:numId w:val="19"/>
        </w:numPr>
        <w:spacing w:after="120"/>
      </w:pPr>
      <w:r>
        <w:t>recommendations to strengthen the health system context in which the IAHP operates – action on these recommendations will support the delivery of PHC services funded through the IAHP.</w:t>
      </w:r>
    </w:p>
    <w:p w14:paraId="796EB365" w14:textId="36D5D007" w:rsidR="009D1117" w:rsidRDefault="009D1117">
      <w:pPr>
        <w:jc w:val="left"/>
        <w:rPr>
          <w:lang w:eastAsia="en-GB"/>
        </w:rPr>
      </w:pPr>
      <w:r>
        <w:rPr>
          <w:lang w:eastAsia="en-GB"/>
        </w:rPr>
        <w:br w:type="page"/>
      </w: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42" w:type="dxa"/>
          <w:right w:w="142" w:type="dxa"/>
        </w:tblCellMar>
        <w:tblLook w:val="04A0" w:firstRow="1" w:lastRow="0" w:firstColumn="1" w:lastColumn="0" w:noHBand="0" w:noVBand="1"/>
      </w:tblPr>
      <w:tblGrid>
        <w:gridCol w:w="709"/>
        <w:gridCol w:w="8408"/>
      </w:tblGrid>
      <w:tr w:rsidR="004D18C7" w:rsidRPr="00AC1CAA" w14:paraId="29608B10" w14:textId="77777777">
        <w:trPr>
          <w:trHeight w:val="442"/>
        </w:trPr>
        <w:tc>
          <w:tcPr>
            <w:tcW w:w="9117"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5283E7CD" w14:textId="484483A3" w:rsidR="004D18C7" w:rsidRPr="00AC1CAA" w:rsidRDefault="004D18C7">
            <w:pPr>
              <w:spacing w:before="60" w:after="60" w:line="240" w:lineRule="auto"/>
              <w:jc w:val="left"/>
              <w:rPr>
                <w:rFonts w:ascii="Arial" w:eastAsia="Arial" w:hAnsi="Arial" w:cs="Times New Roman"/>
                <w:b/>
                <w:bCs/>
                <w:sz w:val="26"/>
                <w:szCs w:val="26"/>
              </w:rPr>
            </w:pPr>
            <w:r w:rsidRPr="00AC1CAA">
              <w:rPr>
                <w:rFonts w:ascii="Arial" w:eastAsia="Arial" w:hAnsi="Arial" w:cs="Times New Roman"/>
                <w:b/>
                <w:bCs/>
                <w:sz w:val="26"/>
                <w:szCs w:val="26"/>
              </w:rPr>
              <w:lastRenderedPageBreak/>
              <w:t xml:space="preserve">Foundational recommendation </w:t>
            </w:r>
          </w:p>
        </w:tc>
      </w:tr>
      <w:tr w:rsidR="004D18C7" w:rsidRPr="00AC1CAA" w14:paraId="4F6DCFCE" w14:textId="77777777">
        <w:trPr>
          <w:trHeight w:val="1290"/>
        </w:trPr>
        <w:tc>
          <w:tcPr>
            <w:tcW w:w="9117" w:type="dxa"/>
            <w:gridSpan w:val="2"/>
            <w:tcBorders>
              <w:top w:val="single" w:sz="8" w:space="0" w:color="535552"/>
              <w:left w:val="single" w:sz="18" w:space="0" w:color="535552"/>
              <w:bottom w:val="dashed" w:sz="4" w:space="0" w:color="535552"/>
              <w:right w:val="single" w:sz="18" w:space="0" w:color="535552"/>
            </w:tcBorders>
            <w:shd w:val="clear" w:color="auto" w:fill="FFFFFF"/>
            <w:vAlign w:val="center"/>
          </w:tcPr>
          <w:p w14:paraId="77C3B00A" w14:textId="77777777" w:rsidR="004D18C7" w:rsidRPr="00AC1CAA" w:rsidRDefault="004D18C7">
            <w:pPr>
              <w:spacing w:before="60" w:after="60" w:line="240" w:lineRule="auto"/>
              <w:jc w:val="left"/>
              <w:rPr>
                <w:rFonts w:ascii="Arial" w:eastAsia="Arial" w:hAnsi="Arial" w:cs="Times New Roman"/>
                <w:b/>
                <w:bCs/>
                <w:iCs/>
                <w:sz w:val="32"/>
                <w:szCs w:val="32"/>
              </w:rPr>
            </w:pPr>
            <w:r w:rsidRPr="00AC1CAA">
              <w:rPr>
                <w:rFonts w:ascii="Arial" w:eastAsia="Arial" w:hAnsi="Arial" w:cs="Times New Roman"/>
                <w:b/>
                <w:bCs/>
                <w:iCs/>
                <w:sz w:val="32"/>
                <w:szCs w:val="32"/>
              </w:rPr>
              <w:t>1</w:t>
            </w:r>
          </w:p>
          <w:p w14:paraId="2945578F" w14:textId="77777777" w:rsidR="00AC1CAA" w:rsidRPr="00AC1CAA" w:rsidRDefault="00AC1CAA">
            <w:pPr>
              <w:spacing w:before="60" w:after="60" w:line="240" w:lineRule="auto"/>
              <w:jc w:val="left"/>
              <w:rPr>
                <w:rFonts w:ascii="Arial" w:eastAsia="Arial" w:hAnsi="Arial" w:cs="Times New Roman"/>
                <w:b/>
                <w:bCs/>
                <w:iCs/>
                <w:szCs w:val="20"/>
              </w:rPr>
            </w:pPr>
            <w:r w:rsidRPr="00AC1CAA">
              <w:rPr>
                <w:rFonts w:ascii="Arial" w:eastAsia="Arial" w:hAnsi="Arial" w:cs="Times New Roman"/>
                <w:b/>
                <w:bCs/>
                <w:iCs/>
                <w:szCs w:val="20"/>
              </w:rPr>
              <w:t xml:space="preserve">The Department of Health and Aged Care continue to invest in the delivery of comprehensive PHC services to Aboriginal and Torres Strait Islander people through the IAHP. </w:t>
            </w:r>
          </w:p>
          <w:p w14:paraId="643CE063" w14:textId="77777777" w:rsidR="004D18C7" w:rsidRPr="00AC1CAA" w:rsidRDefault="004D18C7">
            <w:pPr>
              <w:spacing w:before="60" w:after="60" w:line="240" w:lineRule="auto"/>
              <w:jc w:val="left"/>
              <w:rPr>
                <w:rFonts w:ascii="Arial" w:eastAsia="Arial" w:hAnsi="Arial" w:cs="Times New Roman"/>
                <w:bCs/>
                <w:iCs/>
                <w:szCs w:val="20"/>
                <w:lang w:val="en-NZ"/>
              </w:rPr>
            </w:pPr>
            <w:r w:rsidRPr="00AC1CAA">
              <w:rPr>
                <w:rFonts w:ascii="Arial" w:eastAsia="Arial" w:hAnsi="Arial" w:cs="Times New Roman"/>
                <w:bCs/>
                <w:iCs/>
                <w:szCs w:val="20"/>
                <w:lang w:val="en-NZ"/>
              </w:rPr>
              <w:t>Continuation of this targeted investment recognises:</w:t>
            </w:r>
          </w:p>
          <w:p w14:paraId="0E793532" w14:textId="77777777" w:rsidR="004D18C7" w:rsidRPr="00AC1CAA" w:rsidRDefault="004D18C7">
            <w:pPr>
              <w:numPr>
                <w:ilvl w:val="0"/>
                <w:numId w:val="24"/>
              </w:numPr>
              <w:spacing w:before="60" w:after="60" w:line="240" w:lineRule="auto"/>
              <w:jc w:val="left"/>
              <w:rPr>
                <w:rFonts w:ascii="Arial" w:eastAsia="Arial" w:hAnsi="Arial" w:cs="Times New Roman"/>
                <w:bCs/>
                <w:iCs/>
                <w:szCs w:val="20"/>
              </w:rPr>
            </w:pPr>
            <w:r w:rsidRPr="00AC1CAA">
              <w:rPr>
                <w:rFonts w:ascii="Arial" w:eastAsia="Arial" w:hAnsi="Arial" w:cs="Times New Roman"/>
                <w:bCs/>
                <w:iCs/>
                <w:szCs w:val="20"/>
              </w:rPr>
              <w:t>The importance of comprehensive PHC for Aboriginal and Torres Strait Islander people.</w:t>
            </w:r>
          </w:p>
          <w:p w14:paraId="5AFA82F9" w14:textId="77777777" w:rsidR="004D18C7" w:rsidRPr="00AC1CAA" w:rsidRDefault="004D18C7">
            <w:pPr>
              <w:numPr>
                <w:ilvl w:val="0"/>
                <w:numId w:val="24"/>
              </w:numPr>
              <w:spacing w:before="60" w:after="60" w:line="240" w:lineRule="auto"/>
              <w:jc w:val="left"/>
              <w:rPr>
                <w:rFonts w:ascii="Arial" w:eastAsia="Arial" w:hAnsi="Arial" w:cs="Times New Roman"/>
                <w:bCs/>
                <w:iCs/>
                <w:szCs w:val="20"/>
              </w:rPr>
            </w:pPr>
            <w:r w:rsidRPr="00AC1CAA">
              <w:rPr>
                <w:rFonts w:ascii="Arial" w:eastAsia="Arial" w:hAnsi="Arial" w:cs="Times New Roman"/>
                <w:bCs/>
                <w:iCs/>
                <w:szCs w:val="20"/>
              </w:rPr>
              <w:t>The value placed on comprehensive PHC delivered by Aboriginal and Torres Strait Islander people for Aboriginal and Torres Strait Islander people.</w:t>
            </w:r>
          </w:p>
          <w:p w14:paraId="577F730E" w14:textId="77777777" w:rsidR="004D18C7" w:rsidRPr="00AC1CAA" w:rsidRDefault="004D18C7">
            <w:pPr>
              <w:numPr>
                <w:ilvl w:val="0"/>
                <w:numId w:val="24"/>
              </w:numPr>
              <w:spacing w:before="60" w:after="60" w:line="240" w:lineRule="auto"/>
              <w:jc w:val="left"/>
              <w:rPr>
                <w:rFonts w:ascii="Arial" w:eastAsia="Arial" w:hAnsi="Arial" w:cs="Times New Roman"/>
                <w:szCs w:val="20"/>
              </w:rPr>
            </w:pPr>
            <w:r w:rsidRPr="00AC1CAA">
              <w:rPr>
                <w:rFonts w:ascii="Arial" w:eastAsia="Arial" w:hAnsi="Arial" w:cs="Times New Roman"/>
                <w:bCs/>
                <w:iCs/>
                <w:szCs w:val="20"/>
              </w:rPr>
              <w:t>The enduring barriers for Aboriginal and Torres Strait Islander people who access health services in mainstream settings.</w:t>
            </w:r>
          </w:p>
        </w:tc>
      </w:tr>
      <w:tr w:rsidR="004D18C7" w:rsidRPr="00AC1CAA" w14:paraId="39F58070" w14:textId="77777777">
        <w:trPr>
          <w:trHeight w:val="369"/>
        </w:trPr>
        <w:tc>
          <w:tcPr>
            <w:tcW w:w="709" w:type="dxa"/>
            <w:tcBorders>
              <w:top w:val="dashed" w:sz="4" w:space="0" w:color="535552"/>
              <w:left w:val="single" w:sz="18" w:space="0" w:color="535552"/>
              <w:bottom w:val="single" w:sz="18" w:space="0" w:color="535552"/>
              <w:right w:val="nil"/>
            </w:tcBorders>
            <w:shd w:val="clear" w:color="auto" w:fill="EBECED"/>
            <w:vAlign w:val="center"/>
          </w:tcPr>
          <w:p w14:paraId="42C9E502" w14:textId="77777777" w:rsidR="004D18C7" w:rsidRPr="00AC1CAA" w:rsidRDefault="004D18C7">
            <w:pPr>
              <w:spacing w:before="60" w:after="60" w:line="240" w:lineRule="auto"/>
              <w:rPr>
                <w:rFonts w:ascii="Arial" w:eastAsia="Arial" w:hAnsi="Arial" w:cs="Times New Roman"/>
                <w:b/>
                <w:bCs/>
                <w:iCs/>
                <w:szCs w:val="20"/>
              </w:rPr>
            </w:pPr>
            <w:r w:rsidRPr="00AC1CAA">
              <w:rPr>
                <w:rFonts w:ascii="Arial" w:eastAsia="Arial" w:hAnsi="Arial" w:cs="Times New Roman"/>
                <w:noProof/>
                <w:szCs w:val="20"/>
              </w:rPr>
              <w:drawing>
                <wp:inline distT="0" distB="0" distL="0" distR="0" wp14:anchorId="1A4D1BEF" wp14:editId="58EEF935">
                  <wp:extent cx="238125" cy="238125"/>
                  <wp:effectExtent l="0" t="0" r="9525" b="9525"/>
                  <wp:docPr id="247473339" name="Picture 247473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73339" name="Picture 247473339">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408" w:type="dxa"/>
            <w:tcBorders>
              <w:top w:val="dashed" w:sz="4" w:space="0" w:color="535552"/>
              <w:left w:val="nil"/>
              <w:bottom w:val="single" w:sz="18" w:space="0" w:color="535552"/>
              <w:right w:val="single" w:sz="18" w:space="0" w:color="535552"/>
            </w:tcBorders>
            <w:shd w:val="clear" w:color="auto" w:fill="EBECED"/>
            <w:vAlign w:val="center"/>
          </w:tcPr>
          <w:p w14:paraId="56634907" w14:textId="77777777" w:rsidR="004D18C7" w:rsidRPr="00AC1CAA" w:rsidRDefault="004D18C7">
            <w:pPr>
              <w:spacing w:before="60" w:after="60" w:line="240" w:lineRule="auto"/>
              <w:rPr>
                <w:rFonts w:ascii="Arial" w:eastAsia="Arial" w:hAnsi="Arial" w:cs="Times New Roman"/>
                <w:iCs/>
                <w:szCs w:val="20"/>
              </w:rPr>
            </w:pPr>
            <w:r w:rsidRPr="00AC1CAA">
              <w:rPr>
                <w:rFonts w:ascii="Arial" w:eastAsia="Arial" w:hAnsi="Arial" w:cs="Times New Roman"/>
                <w:bCs/>
                <w:iCs/>
                <w:szCs w:val="20"/>
              </w:rPr>
              <w:t>Immediate term – Ongoing</w:t>
            </w:r>
          </w:p>
        </w:tc>
      </w:tr>
    </w:tbl>
    <w:p w14:paraId="3C35A435" w14:textId="19F9FAAC" w:rsidR="00FA3FA3" w:rsidRDefault="00FA3FA3">
      <w:pPr>
        <w:jc w:val="left"/>
        <w:rPr>
          <w:lang w:eastAsia="en-GB"/>
        </w:rPr>
      </w:pP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42" w:type="dxa"/>
          <w:right w:w="142" w:type="dxa"/>
        </w:tblCellMar>
        <w:tblLook w:val="04A0" w:firstRow="1" w:lastRow="0" w:firstColumn="1" w:lastColumn="0" w:noHBand="0" w:noVBand="1"/>
      </w:tblPr>
      <w:tblGrid>
        <w:gridCol w:w="567"/>
        <w:gridCol w:w="8550"/>
      </w:tblGrid>
      <w:tr w:rsidR="004D18C7" w:rsidRPr="004D18C7" w14:paraId="32005B25" w14:textId="77777777">
        <w:trPr>
          <w:trHeight w:val="406"/>
        </w:trPr>
        <w:tc>
          <w:tcPr>
            <w:tcW w:w="9117"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665A51C8" w14:textId="77777777" w:rsidR="004D18C7" w:rsidRPr="004D18C7" w:rsidRDefault="004D18C7" w:rsidP="004D18C7">
            <w:pPr>
              <w:spacing w:beforeLines="60" w:before="144" w:afterLines="60" w:after="144" w:line="240" w:lineRule="auto"/>
              <w:jc w:val="left"/>
              <w:rPr>
                <w:rFonts w:ascii="Arial" w:eastAsia="Arial" w:hAnsi="Arial" w:cs="Times New Roman"/>
                <w:b/>
                <w:bCs/>
                <w:sz w:val="26"/>
                <w:szCs w:val="26"/>
              </w:rPr>
            </w:pPr>
            <w:bookmarkStart w:id="24" w:name="_Hlk131515009"/>
            <w:r w:rsidRPr="004D18C7">
              <w:rPr>
                <w:rFonts w:ascii="Arial" w:eastAsia="Arial" w:hAnsi="Arial" w:cs="Times New Roman"/>
                <w:b/>
                <w:bCs/>
                <w:sz w:val="26"/>
                <w:szCs w:val="26"/>
              </w:rPr>
              <w:t>Recommendations: Formal partnerships and shared decision-making</w:t>
            </w:r>
          </w:p>
        </w:tc>
      </w:tr>
      <w:tr w:rsidR="004D18C7" w:rsidRPr="004D18C7" w14:paraId="186E2E32" w14:textId="77777777">
        <w:trPr>
          <w:trHeight w:val="975"/>
        </w:trPr>
        <w:tc>
          <w:tcPr>
            <w:tcW w:w="9117" w:type="dxa"/>
            <w:gridSpan w:val="2"/>
            <w:tcBorders>
              <w:top w:val="single" w:sz="8" w:space="0" w:color="535552"/>
              <w:left w:val="single" w:sz="18" w:space="0" w:color="535552"/>
              <w:bottom w:val="dashed" w:sz="4" w:space="0" w:color="535552"/>
              <w:right w:val="single" w:sz="18" w:space="0" w:color="535552"/>
            </w:tcBorders>
            <w:shd w:val="clear" w:color="auto" w:fill="FFFFFF"/>
            <w:vAlign w:val="center"/>
          </w:tcPr>
          <w:p w14:paraId="52B56D16" w14:textId="77777777" w:rsidR="004D18C7" w:rsidRPr="004D18C7" w:rsidRDefault="004D18C7" w:rsidP="004D18C7">
            <w:pPr>
              <w:spacing w:before="60" w:after="60" w:line="240" w:lineRule="auto"/>
              <w:jc w:val="left"/>
              <w:rPr>
                <w:rFonts w:ascii="Arial" w:eastAsia="Arial" w:hAnsi="Arial" w:cs="Times New Roman"/>
                <w:b/>
                <w:bCs/>
                <w:iCs/>
                <w:sz w:val="32"/>
                <w:szCs w:val="32"/>
              </w:rPr>
            </w:pPr>
            <w:r w:rsidRPr="004D18C7">
              <w:rPr>
                <w:rFonts w:ascii="Arial" w:eastAsia="Arial" w:hAnsi="Arial" w:cs="Times New Roman"/>
                <w:b/>
                <w:bCs/>
                <w:iCs/>
                <w:sz w:val="32"/>
                <w:szCs w:val="32"/>
              </w:rPr>
              <w:t>2</w:t>
            </w:r>
          </w:p>
          <w:p w14:paraId="1526CC3F" w14:textId="77777777" w:rsidR="004D18C7" w:rsidRPr="004D18C7" w:rsidRDefault="004D18C7" w:rsidP="00DF088A">
            <w:pPr>
              <w:spacing w:beforeLines="60" w:before="144" w:afterLines="60" w:after="144" w:line="240" w:lineRule="auto"/>
              <w:jc w:val="left"/>
              <w:rPr>
                <w:rFonts w:ascii="Arial" w:eastAsia="Arial" w:hAnsi="Arial" w:cs="Times New Roman"/>
                <w:b/>
                <w:bCs/>
                <w:iCs/>
                <w:szCs w:val="20"/>
              </w:rPr>
            </w:pPr>
            <w:r w:rsidRPr="004D18C7">
              <w:rPr>
                <w:rFonts w:ascii="Arial" w:eastAsia="Arial" w:hAnsi="Arial" w:cs="Times New Roman"/>
                <w:b/>
                <w:bCs/>
                <w:iCs/>
                <w:szCs w:val="20"/>
              </w:rPr>
              <w:t>The Department of Health and Aged Care to strengthen the alignment of the IAHP to a shared decision-making partnership with Aboriginal and Torres Strait Islander people.</w:t>
            </w:r>
          </w:p>
          <w:p w14:paraId="0C764BE8" w14:textId="269AC257" w:rsidR="004D18C7" w:rsidRPr="004D18C7" w:rsidRDefault="004D18C7" w:rsidP="00E2319D">
            <w:p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 xml:space="preserve">To enable greater self-determination in the IAHP, the Department of Health and Aged Care to embed shared decision-making at the whole-of-program level. The shared decision-making partnership will strengthen co-design processes, and bring increased coherency, capability, transparency and accountability to decision-making relating to the funding of </w:t>
            </w:r>
            <w:r w:rsidR="00805156">
              <w:rPr>
                <w:rFonts w:ascii="Arial" w:eastAsia="Arial" w:hAnsi="Arial" w:cs="Times New Roman"/>
                <w:bCs/>
                <w:iCs/>
                <w:szCs w:val="20"/>
              </w:rPr>
              <w:t>p</w:t>
            </w:r>
            <w:r w:rsidRPr="004D18C7">
              <w:rPr>
                <w:rFonts w:ascii="Arial" w:eastAsia="Arial" w:hAnsi="Arial" w:cs="Times New Roman"/>
                <w:bCs/>
                <w:iCs/>
                <w:szCs w:val="20"/>
              </w:rPr>
              <w:t>rograms and activities through the IAHP.</w:t>
            </w:r>
          </w:p>
          <w:p w14:paraId="314AAD8B" w14:textId="77777777" w:rsidR="004D18C7" w:rsidRPr="004D18C7" w:rsidRDefault="004D18C7" w:rsidP="004D18C7">
            <w:pPr>
              <w:spacing w:beforeLines="60" w:before="144" w:afterLines="60" w:after="144" w:line="240" w:lineRule="auto"/>
              <w:jc w:val="left"/>
              <w:rPr>
                <w:rFonts w:ascii="Arial" w:eastAsia="Arial" w:hAnsi="Arial" w:cs="Times New Roman"/>
                <w:bCs/>
                <w:iCs/>
                <w:szCs w:val="20"/>
                <w:lang w:val="en-NZ"/>
              </w:rPr>
            </w:pPr>
            <w:r w:rsidRPr="004D18C7">
              <w:rPr>
                <w:rFonts w:ascii="Arial" w:eastAsia="Arial" w:hAnsi="Arial" w:cs="Times New Roman"/>
                <w:bCs/>
                <w:iCs/>
                <w:szCs w:val="20"/>
                <w:lang w:val="en-NZ"/>
              </w:rPr>
              <w:t>In implementing this recommendation, the evaluation suggests:</w:t>
            </w:r>
          </w:p>
          <w:p w14:paraId="18F0720F" w14:textId="77777777" w:rsidR="004D18C7" w:rsidRPr="004D18C7" w:rsidRDefault="004D18C7" w:rsidP="00DF088A">
            <w:pPr>
              <w:numPr>
                <w:ilvl w:val="0"/>
                <w:numId w:val="24"/>
              </w:numPr>
              <w:spacing w:before="60" w:after="60" w:line="240" w:lineRule="auto"/>
              <w:ind w:hanging="357"/>
              <w:jc w:val="left"/>
              <w:rPr>
                <w:rFonts w:ascii="Arial" w:eastAsia="Arial" w:hAnsi="Arial" w:cs="Times New Roman"/>
                <w:bCs/>
                <w:iCs/>
                <w:szCs w:val="20"/>
              </w:rPr>
            </w:pPr>
            <w:r w:rsidRPr="004D18C7">
              <w:rPr>
                <w:rFonts w:ascii="Arial" w:eastAsia="Arial" w:hAnsi="Arial" w:cs="Times New Roman"/>
                <w:bCs/>
                <w:iCs/>
                <w:szCs w:val="20"/>
              </w:rPr>
              <w:t xml:space="preserve">Growing and adapting existing partnerships to embed shared decision-making relating to the IAHP, rather than creating a new partnership arrangement specifically for the IAHP. </w:t>
            </w:r>
          </w:p>
          <w:p w14:paraId="5B5464A4" w14:textId="77777777" w:rsidR="004D18C7" w:rsidRPr="004D18C7" w:rsidRDefault="004D18C7" w:rsidP="00E2319D">
            <w:pPr>
              <w:numPr>
                <w:ilvl w:val="0"/>
                <w:numId w:val="24"/>
              </w:numPr>
              <w:spacing w:before="60" w:after="60" w:line="240" w:lineRule="auto"/>
              <w:jc w:val="left"/>
              <w:rPr>
                <w:rFonts w:ascii="Arial" w:eastAsia="Arial" w:hAnsi="Arial" w:cs="Times New Roman"/>
                <w:bCs/>
                <w:iCs/>
                <w:szCs w:val="20"/>
              </w:rPr>
            </w:pPr>
            <w:r w:rsidRPr="004D18C7">
              <w:rPr>
                <w:rFonts w:ascii="Arial" w:eastAsia="Arial" w:hAnsi="Arial" w:cs="Times New Roman"/>
                <w:bCs/>
                <w:iCs/>
                <w:szCs w:val="20"/>
              </w:rPr>
              <w:t>Strengthening the connections between the IAHP and existing health reforms and priorities, including priorities in the National Agreement on Closing the Gap and the National Aboriginal and Torres Strait Islander Health Plan.</w:t>
            </w:r>
          </w:p>
          <w:p w14:paraId="4FA5D473" w14:textId="77777777" w:rsidR="004D18C7" w:rsidRPr="004D18C7" w:rsidRDefault="004D18C7" w:rsidP="00E2319D">
            <w:pPr>
              <w:numPr>
                <w:ilvl w:val="0"/>
                <w:numId w:val="24"/>
              </w:numPr>
              <w:spacing w:before="60" w:after="60" w:line="240" w:lineRule="auto"/>
              <w:jc w:val="left"/>
              <w:rPr>
                <w:rFonts w:ascii="Arial" w:eastAsia="Arial" w:hAnsi="Arial" w:cs="Times New Roman"/>
                <w:bCs/>
                <w:iCs/>
                <w:szCs w:val="20"/>
              </w:rPr>
            </w:pPr>
            <w:r w:rsidRPr="004D18C7">
              <w:rPr>
                <w:rFonts w:ascii="Arial" w:eastAsia="Arial" w:hAnsi="Arial" w:cs="Times New Roman"/>
                <w:bCs/>
                <w:iCs/>
                <w:szCs w:val="20"/>
              </w:rPr>
              <w:t>Ensuring the composition of the partnership includes Aboriginal and Torres Strait Islander people with expertise in health service management, primary care clinical roles, public health, policy making, consumer experience and cultural expertise.</w:t>
            </w:r>
          </w:p>
          <w:p w14:paraId="27D416B2" w14:textId="77777777" w:rsidR="004D18C7" w:rsidRPr="004D18C7" w:rsidRDefault="004D18C7" w:rsidP="00E2319D">
            <w:pPr>
              <w:numPr>
                <w:ilvl w:val="0"/>
                <w:numId w:val="24"/>
              </w:numPr>
              <w:spacing w:before="60" w:after="60" w:line="240" w:lineRule="auto"/>
              <w:jc w:val="left"/>
              <w:rPr>
                <w:rFonts w:ascii="Arial" w:eastAsia="Arial" w:hAnsi="Arial" w:cs="Times New Roman"/>
                <w:bCs/>
                <w:iCs/>
                <w:szCs w:val="20"/>
              </w:rPr>
            </w:pPr>
            <w:r w:rsidRPr="004D18C7">
              <w:rPr>
                <w:rFonts w:ascii="Arial" w:eastAsia="Arial" w:hAnsi="Arial" w:cs="Times New Roman"/>
                <w:bCs/>
                <w:iCs/>
                <w:szCs w:val="20"/>
              </w:rPr>
              <w:t>Reporting directly to the executive level of the Department of Health and Aged Care to support increased accountability for the delivery of improved health and wellbeing outcomes for Aboriginal and Torres Strait Islander people.</w:t>
            </w:r>
          </w:p>
          <w:p w14:paraId="0E77791E" w14:textId="77777777" w:rsidR="004D18C7" w:rsidRPr="004D18C7" w:rsidRDefault="004D18C7" w:rsidP="00E2319D">
            <w:pPr>
              <w:numPr>
                <w:ilvl w:val="0"/>
                <w:numId w:val="24"/>
              </w:numPr>
              <w:spacing w:before="60" w:after="60" w:line="240" w:lineRule="auto"/>
              <w:jc w:val="left"/>
              <w:rPr>
                <w:rFonts w:ascii="Arial" w:eastAsia="Arial" w:hAnsi="Arial" w:cs="Times New Roman"/>
                <w:bCs/>
                <w:iCs/>
                <w:szCs w:val="20"/>
              </w:rPr>
            </w:pPr>
            <w:r w:rsidRPr="004D18C7">
              <w:rPr>
                <w:rFonts w:ascii="Arial" w:eastAsia="Arial" w:hAnsi="Arial" w:cs="Times New Roman"/>
                <w:bCs/>
                <w:iCs/>
                <w:szCs w:val="20"/>
              </w:rPr>
              <w:t>Creating accountability measures and processes based on the advice of Aboriginal and Torres Strait Islander people to support tracking and regular reporting on IAHP funding and program impacts and outcomes.</w:t>
            </w:r>
          </w:p>
        </w:tc>
      </w:tr>
      <w:tr w:rsidR="004D18C7" w:rsidRPr="004D18C7" w14:paraId="7F5782EC" w14:textId="77777777" w:rsidTr="004D18C7">
        <w:trPr>
          <w:trHeight w:val="402"/>
        </w:trPr>
        <w:tc>
          <w:tcPr>
            <w:tcW w:w="567" w:type="dxa"/>
            <w:tcBorders>
              <w:top w:val="dashed" w:sz="4" w:space="0" w:color="535552"/>
              <w:left w:val="single" w:sz="18" w:space="0" w:color="535552"/>
              <w:bottom w:val="single" w:sz="12" w:space="0" w:color="535552"/>
              <w:right w:val="nil"/>
            </w:tcBorders>
            <w:shd w:val="clear" w:color="auto" w:fill="EBECED"/>
            <w:vAlign w:val="center"/>
          </w:tcPr>
          <w:p w14:paraId="55EEF3C7" w14:textId="77777777" w:rsidR="004D18C7" w:rsidRPr="004D18C7" w:rsidRDefault="004D18C7" w:rsidP="003B0371">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noProof/>
                <w:szCs w:val="20"/>
              </w:rPr>
              <w:drawing>
                <wp:inline distT="0" distB="0" distL="0" distR="0" wp14:anchorId="400BBC1C" wp14:editId="62DB38F9">
                  <wp:extent cx="238125" cy="238125"/>
                  <wp:effectExtent l="0" t="0" r="9525" b="9525"/>
                  <wp:docPr id="562828400" name="Picture 562828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28400" name="Picture 562828400">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535552"/>
              <w:left w:val="nil"/>
              <w:bottom w:val="single" w:sz="12" w:space="0" w:color="535552"/>
              <w:right w:val="single" w:sz="18" w:space="0" w:color="535552"/>
            </w:tcBorders>
            <w:shd w:val="clear" w:color="auto" w:fill="EBECED"/>
            <w:vAlign w:val="center"/>
          </w:tcPr>
          <w:p w14:paraId="4B0AFB4C" w14:textId="77777777" w:rsidR="004D18C7" w:rsidRPr="004D18C7" w:rsidRDefault="004D18C7" w:rsidP="003B0371">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bCs/>
                <w:iCs/>
                <w:szCs w:val="20"/>
              </w:rPr>
              <w:t>Immediate term</w:t>
            </w:r>
          </w:p>
        </w:tc>
      </w:tr>
      <w:tr w:rsidR="004D18C7" w:rsidRPr="004D18C7" w14:paraId="110471D2" w14:textId="77777777" w:rsidTr="004D18C7">
        <w:trPr>
          <w:trHeight w:val="264"/>
        </w:trPr>
        <w:tc>
          <w:tcPr>
            <w:tcW w:w="9117" w:type="dxa"/>
            <w:gridSpan w:val="2"/>
            <w:tcBorders>
              <w:top w:val="single" w:sz="12" w:space="0" w:color="535552"/>
              <w:left w:val="single" w:sz="18" w:space="0" w:color="535552"/>
              <w:bottom w:val="dashed" w:sz="4" w:space="0" w:color="36424A"/>
              <w:right w:val="single" w:sz="18" w:space="0" w:color="535552"/>
            </w:tcBorders>
            <w:shd w:val="clear" w:color="auto" w:fill="FFFFFF"/>
          </w:tcPr>
          <w:p w14:paraId="5B46A2A6" w14:textId="77777777" w:rsidR="004D18C7" w:rsidRPr="004D18C7" w:rsidRDefault="004D18C7" w:rsidP="004D18C7">
            <w:pPr>
              <w:spacing w:before="60" w:after="60" w:line="240" w:lineRule="auto"/>
              <w:jc w:val="left"/>
              <w:rPr>
                <w:rFonts w:ascii="Arial" w:eastAsia="Arial" w:hAnsi="Arial" w:cs="Times New Roman"/>
                <w:b/>
                <w:bCs/>
                <w:iCs/>
                <w:sz w:val="32"/>
                <w:szCs w:val="32"/>
              </w:rPr>
            </w:pPr>
            <w:bookmarkStart w:id="25" w:name="_Hlk138764250"/>
            <w:r w:rsidRPr="004D18C7">
              <w:rPr>
                <w:rFonts w:ascii="Arial" w:eastAsia="Arial" w:hAnsi="Arial" w:cs="Times New Roman"/>
                <w:b/>
                <w:bCs/>
                <w:iCs/>
                <w:sz w:val="32"/>
                <w:szCs w:val="32"/>
              </w:rPr>
              <w:lastRenderedPageBreak/>
              <w:t>3</w:t>
            </w:r>
          </w:p>
          <w:p w14:paraId="687680B0" w14:textId="41867E4F" w:rsidR="008A7654" w:rsidRDefault="008A7654" w:rsidP="00805156">
            <w:pPr>
              <w:spacing w:beforeLines="60" w:before="144" w:afterLines="60" w:after="144" w:line="240" w:lineRule="auto"/>
              <w:jc w:val="left"/>
              <w:rPr>
                <w:rFonts w:ascii="Arial" w:eastAsia="Arial" w:hAnsi="Arial" w:cs="Times New Roman"/>
                <w:b/>
                <w:iCs/>
                <w:szCs w:val="20"/>
                <w:lang w:val="en-NZ"/>
              </w:rPr>
            </w:pPr>
            <w:r w:rsidRPr="008A7654">
              <w:rPr>
                <w:rFonts w:ascii="Arial" w:eastAsia="Arial" w:hAnsi="Arial" w:cs="Times New Roman"/>
                <w:b/>
                <w:iCs/>
                <w:szCs w:val="20"/>
                <w:lang w:val="en-NZ"/>
              </w:rPr>
              <w:t>Co-design an investment strategy for the IAHP to improve access to comprehensive PHC and health and wellbeing outcomes for Aboriginal and Torres Strait Islander people.</w:t>
            </w:r>
          </w:p>
          <w:p w14:paraId="5591DA69" w14:textId="77777777" w:rsidR="007B0C28" w:rsidRDefault="007B0C28" w:rsidP="00805156">
            <w:pPr>
              <w:spacing w:beforeLines="60" w:before="144" w:afterLines="60" w:after="144" w:line="240" w:lineRule="auto"/>
              <w:jc w:val="left"/>
              <w:rPr>
                <w:rFonts w:ascii="Arial" w:eastAsia="Arial" w:hAnsi="Arial" w:cs="Times New Roman"/>
                <w:bCs/>
                <w:iCs/>
                <w:szCs w:val="20"/>
                <w:lang w:val="en-NZ"/>
              </w:rPr>
            </w:pPr>
            <w:r w:rsidRPr="007B0C28">
              <w:rPr>
                <w:rFonts w:ascii="Arial" w:eastAsia="Arial" w:hAnsi="Arial" w:cs="Times New Roman"/>
                <w:bCs/>
                <w:iCs/>
                <w:szCs w:val="20"/>
                <w:lang w:val="en-NZ"/>
              </w:rPr>
              <w:t xml:space="preserve">To ensure the IAHP achieves its objectives and supports the delivery of significant health and whole-of-government policy commitments to improve outcomes for Aboriginal and Torres Strait Islander people, the Department of Health and Aged Care co-design an investment strategy for the IAHP with Aboriginal and Torres Strait Islander people. </w:t>
            </w:r>
          </w:p>
          <w:p w14:paraId="2D0713D9" w14:textId="01B8D4E6" w:rsidR="007B0C28" w:rsidRDefault="007B0C28" w:rsidP="00805156">
            <w:pPr>
              <w:spacing w:beforeLines="60" w:before="144" w:afterLines="60" w:after="144" w:line="240" w:lineRule="auto"/>
              <w:jc w:val="left"/>
              <w:rPr>
                <w:rFonts w:ascii="Arial" w:eastAsia="Arial" w:hAnsi="Arial" w:cs="Times New Roman"/>
                <w:bCs/>
                <w:iCs/>
                <w:szCs w:val="20"/>
                <w:lang w:val="en-NZ"/>
              </w:rPr>
            </w:pPr>
            <w:r w:rsidRPr="007B0C28">
              <w:rPr>
                <w:rFonts w:ascii="Arial" w:eastAsia="Arial" w:hAnsi="Arial" w:cs="Times New Roman"/>
                <w:bCs/>
                <w:iCs/>
                <w:szCs w:val="20"/>
                <w:lang w:val="en-NZ"/>
              </w:rPr>
              <w:t xml:space="preserve">The investment strategy </w:t>
            </w:r>
            <w:r w:rsidR="000861CB">
              <w:rPr>
                <w:rFonts w:ascii="Arial" w:eastAsia="Arial" w:hAnsi="Arial" w:cs="Times New Roman"/>
                <w:bCs/>
                <w:iCs/>
                <w:szCs w:val="20"/>
                <w:lang w:val="en-NZ"/>
              </w:rPr>
              <w:t>should</w:t>
            </w:r>
            <w:r w:rsidRPr="007B0C28">
              <w:rPr>
                <w:rFonts w:ascii="Arial" w:eastAsia="Arial" w:hAnsi="Arial" w:cs="Times New Roman"/>
                <w:bCs/>
                <w:iCs/>
                <w:szCs w:val="20"/>
                <w:lang w:val="en-NZ"/>
              </w:rPr>
              <w:t xml:space="preserve"> define the purpose and expected outcomes of the IAHP, as well as its theory of change – or the strategy, actions, conditions and resources required to facilitate change and achieve the </w:t>
            </w:r>
            <w:r w:rsidR="00696190">
              <w:rPr>
                <w:rFonts w:ascii="Arial" w:eastAsia="Arial" w:hAnsi="Arial" w:cs="Times New Roman"/>
                <w:bCs/>
                <w:iCs/>
                <w:szCs w:val="20"/>
                <w:lang w:val="en-NZ"/>
              </w:rPr>
              <w:t xml:space="preserve">agreed purpose and </w:t>
            </w:r>
            <w:r w:rsidRPr="007B0C28">
              <w:rPr>
                <w:rFonts w:ascii="Arial" w:eastAsia="Arial" w:hAnsi="Arial" w:cs="Times New Roman"/>
                <w:bCs/>
                <w:iCs/>
                <w:szCs w:val="20"/>
                <w:lang w:val="en-NZ"/>
              </w:rPr>
              <w:t xml:space="preserve">expected outcomes. The investment strategy needs to position the IAHP within the wider PHC system context, including other investments to improve the delivery of comprehensive PHC for all Aboriginal and Torres Strait Islander people. The strategy is intended to guide IAHP investments, including how funding will be mobilised, within the context of the wider PHC system.  </w:t>
            </w:r>
          </w:p>
          <w:p w14:paraId="2D125D57" w14:textId="77777777" w:rsidR="0098200C" w:rsidRPr="0098200C" w:rsidRDefault="0098200C" w:rsidP="0098200C">
            <w:pPr>
              <w:spacing w:beforeLines="60" w:before="144" w:afterLines="60" w:after="144" w:line="240" w:lineRule="auto"/>
              <w:rPr>
                <w:rFonts w:ascii="Arial" w:eastAsia="Arial" w:hAnsi="Arial" w:cs="Times New Roman"/>
                <w:bCs/>
                <w:iCs/>
                <w:szCs w:val="20"/>
                <w:lang w:val="en-NZ"/>
              </w:rPr>
            </w:pPr>
            <w:r w:rsidRPr="0098200C">
              <w:rPr>
                <w:rFonts w:ascii="Arial" w:eastAsia="Arial" w:hAnsi="Arial" w:cs="Times New Roman"/>
                <w:bCs/>
                <w:iCs/>
                <w:szCs w:val="20"/>
                <w:lang w:val="en-NZ"/>
              </w:rPr>
              <w:t>In implementing this recommendation, the evaluation suggests:</w:t>
            </w:r>
          </w:p>
          <w:p w14:paraId="3493A15B" w14:textId="77777777" w:rsidR="0098200C" w:rsidRPr="0098200C" w:rsidRDefault="0098200C" w:rsidP="00E2319D">
            <w:pPr>
              <w:numPr>
                <w:ilvl w:val="0"/>
                <w:numId w:val="24"/>
              </w:numPr>
              <w:spacing w:before="60" w:afterLines="60" w:after="144" w:line="240" w:lineRule="auto"/>
              <w:ind w:left="601" w:hanging="357"/>
              <w:jc w:val="left"/>
              <w:rPr>
                <w:rFonts w:ascii="Arial" w:eastAsia="Arial" w:hAnsi="Arial" w:cs="Times New Roman"/>
                <w:bCs/>
                <w:iCs/>
                <w:szCs w:val="20"/>
              </w:rPr>
            </w:pPr>
            <w:r w:rsidRPr="0098200C">
              <w:rPr>
                <w:rFonts w:ascii="Arial" w:eastAsia="Arial" w:hAnsi="Arial" w:cs="Times New Roman"/>
                <w:bCs/>
                <w:iCs/>
                <w:szCs w:val="20"/>
              </w:rPr>
              <w:t xml:space="preserve">Ensuring that the IAHP investment strategy is connected to the realisation of Closing the Gap targets by 2031. </w:t>
            </w:r>
          </w:p>
          <w:p w14:paraId="1EA1F63A" w14:textId="77777777" w:rsidR="0098200C" w:rsidRPr="0098200C" w:rsidRDefault="0098200C" w:rsidP="00E2319D">
            <w:pPr>
              <w:numPr>
                <w:ilvl w:val="0"/>
                <w:numId w:val="24"/>
              </w:numPr>
              <w:spacing w:before="60" w:afterLines="60" w:after="144" w:line="240" w:lineRule="auto"/>
              <w:ind w:left="601" w:hanging="357"/>
              <w:jc w:val="left"/>
              <w:rPr>
                <w:rFonts w:ascii="Arial" w:eastAsia="Arial" w:hAnsi="Arial" w:cs="Times New Roman"/>
                <w:bCs/>
                <w:iCs/>
                <w:szCs w:val="20"/>
              </w:rPr>
            </w:pPr>
            <w:r w:rsidRPr="0098200C">
              <w:rPr>
                <w:rFonts w:ascii="Arial" w:eastAsia="Arial" w:hAnsi="Arial" w:cs="Times New Roman"/>
                <w:bCs/>
                <w:iCs/>
                <w:szCs w:val="20"/>
              </w:rPr>
              <w:t>Recognising that meeting existing policy commitments to improve outcomes will require substantial increased investment in Aboriginal and Torres Strait Islander comprehensive PHC.</w:t>
            </w:r>
          </w:p>
          <w:p w14:paraId="466FE490" w14:textId="77777777" w:rsidR="0098200C" w:rsidRPr="0098200C" w:rsidRDefault="0098200C" w:rsidP="00E2319D">
            <w:pPr>
              <w:numPr>
                <w:ilvl w:val="0"/>
                <w:numId w:val="24"/>
              </w:numPr>
              <w:spacing w:before="60" w:afterLines="60" w:after="144" w:line="240" w:lineRule="auto"/>
              <w:ind w:left="601" w:hanging="357"/>
              <w:jc w:val="left"/>
              <w:rPr>
                <w:rFonts w:ascii="Arial" w:eastAsia="Arial" w:hAnsi="Arial" w:cs="Times New Roman"/>
                <w:bCs/>
                <w:iCs/>
                <w:szCs w:val="20"/>
              </w:rPr>
            </w:pPr>
            <w:r w:rsidRPr="0098200C">
              <w:rPr>
                <w:rFonts w:ascii="Arial" w:eastAsia="Arial" w:hAnsi="Arial" w:cs="Times New Roman"/>
                <w:bCs/>
                <w:iCs/>
                <w:szCs w:val="20"/>
              </w:rPr>
              <w:t>Increasing investment in comprehensive PHC through the IAHP is expected to support increased prevention and early intervention activity for Aboriginal and Torres Strait Islander people which will reduce the impact of chronic health conditions on the public health system as a whole.</w:t>
            </w:r>
          </w:p>
          <w:p w14:paraId="4DA04BD1" w14:textId="77777777" w:rsidR="0098200C" w:rsidRPr="0098200C" w:rsidRDefault="0098200C" w:rsidP="00E2319D">
            <w:pPr>
              <w:numPr>
                <w:ilvl w:val="0"/>
                <w:numId w:val="24"/>
              </w:numPr>
              <w:spacing w:before="60" w:afterLines="60" w:after="144" w:line="240" w:lineRule="auto"/>
              <w:ind w:left="601" w:hanging="357"/>
              <w:jc w:val="left"/>
              <w:rPr>
                <w:rFonts w:ascii="Arial" w:eastAsia="Arial" w:hAnsi="Arial" w:cs="Times New Roman"/>
                <w:bCs/>
                <w:iCs/>
                <w:szCs w:val="20"/>
              </w:rPr>
            </w:pPr>
            <w:r w:rsidRPr="0098200C">
              <w:rPr>
                <w:rFonts w:ascii="Arial" w:eastAsia="Arial" w:hAnsi="Arial" w:cs="Times New Roman"/>
                <w:bCs/>
                <w:iCs/>
                <w:szCs w:val="20"/>
              </w:rPr>
              <w:t>Ensuring that the investment required to achieve the IAHP’s objectives and outcomes reflects:</w:t>
            </w:r>
          </w:p>
          <w:p w14:paraId="19897329" w14:textId="77777777" w:rsidR="0098200C" w:rsidRPr="0098200C" w:rsidRDefault="0098200C" w:rsidP="00805156">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commitments to grow, support and retain the Aboriginal and Torres Strait Islander health workforce, consistent with the National Aboriginal and Torres Strait Islander Health Workforce Strategic Framework and Implementation Plan</w:t>
            </w:r>
          </w:p>
          <w:p w14:paraId="4913A464" w14:textId="77777777" w:rsidR="0098200C" w:rsidRPr="0098200C" w:rsidRDefault="0098200C" w:rsidP="00805156">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 xml:space="preserve">commitments to building the Aboriginal and Torres Strait Islander community-controlled sector, consistent with </w:t>
            </w:r>
            <w:r w:rsidRPr="0098200C">
              <w:rPr>
                <w:rFonts w:ascii="Arial" w:eastAsia="Arial" w:hAnsi="Arial" w:cs="Times New Roman"/>
                <w:bCs/>
                <w:iCs/>
                <w:szCs w:val="20"/>
                <w:lang w:val="en-NZ"/>
              </w:rPr>
              <w:t xml:space="preserve">the </w:t>
            </w:r>
            <w:r w:rsidRPr="0098200C">
              <w:rPr>
                <w:rFonts w:ascii="Arial" w:eastAsia="Arial" w:hAnsi="Arial" w:cs="Times New Roman"/>
                <w:bCs/>
                <w:iCs/>
                <w:szCs w:val="20"/>
              </w:rPr>
              <w:t>National Agreement on Closing the Gap</w:t>
            </w:r>
          </w:p>
          <w:p w14:paraId="11966886" w14:textId="77777777" w:rsidR="0098200C" w:rsidRPr="0098200C" w:rsidRDefault="0098200C" w:rsidP="00805156">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differences in service delivery across different community and geographical settings</w:t>
            </w:r>
          </w:p>
          <w:p w14:paraId="52348823" w14:textId="77777777" w:rsidR="0098200C" w:rsidRPr="0098200C" w:rsidRDefault="0098200C" w:rsidP="00805156">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 xml:space="preserve">changes in the costs of service delivery across different community and geographical settings, including changes in population health needs. </w:t>
            </w:r>
          </w:p>
          <w:p w14:paraId="09AB706B" w14:textId="12854194" w:rsidR="004D18C7" w:rsidRPr="004D18C7" w:rsidRDefault="0098200C" w:rsidP="00805156">
            <w:p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lang w:val="en-NZ"/>
              </w:rPr>
              <w:t>This recommendation supports action that is consistent with the realisation of commitments to improving health outcomes under the National Agreement on Closing the Gap and the National Aboriginal and Torres Strait Islander Health Plan through ensuring that health services are appropriately resourced to achieve these policy commitments</w:t>
            </w:r>
            <w:r w:rsidR="004D18C7" w:rsidRPr="004D18C7">
              <w:rPr>
                <w:rFonts w:ascii="Arial" w:eastAsia="Arial" w:hAnsi="Arial" w:cs="Times New Roman"/>
                <w:bCs/>
                <w:iCs/>
                <w:szCs w:val="20"/>
                <w:lang w:val="en-NZ"/>
              </w:rPr>
              <w:t xml:space="preserve"> </w:t>
            </w:r>
          </w:p>
        </w:tc>
      </w:tr>
      <w:tr w:rsidR="004D18C7" w:rsidRPr="004D18C7" w14:paraId="0A06C04B" w14:textId="77777777" w:rsidTr="004D18C7">
        <w:trPr>
          <w:trHeight w:val="291"/>
        </w:trPr>
        <w:tc>
          <w:tcPr>
            <w:tcW w:w="567" w:type="dxa"/>
            <w:tcBorders>
              <w:top w:val="dashed" w:sz="4" w:space="0" w:color="36424A"/>
              <w:left w:val="single" w:sz="18" w:space="0" w:color="535552"/>
              <w:bottom w:val="single" w:sz="18" w:space="0" w:color="535552"/>
              <w:right w:val="nil"/>
            </w:tcBorders>
            <w:shd w:val="clear" w:color="auto" w:fill="EBECED"/>
            <w:vAlign w:val="center"/>
          </w:tcPr>
          <w:p w14:paraId="728F3A8F" w14:textId="77777777" w:rsidR="004D18C7" w:rsidRPr="004D18C7" w:rsidRDefault="004D18C7" w:rsidP="003B0371">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bCs/>
                <w:iCs/>
                <w:noProof/>
                <w:szCs w:val="20"/>
                <w:lang w:val="en-NZ"/>
              </w:rPr>
              <w:drawing>
                <wp:inline distT="0" distB="0" distL="0" distR="0" wp14:anchorId="3150C282" wp14:editId="0F2596AE">
                  <wp:extent cx="238125" cy="238125"/>
                  <wp:effectExtent l="0" t="0" r="9525" b="9525"/>
                  <wp:docPr id="1962045341" name="Picture 1962045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45341" name="Picture 196204534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8" w:space="0" w:color="535552"/>
              <w:right w:val="single" w:sz="18" w:space="0" w:color="535552"/>
            </w:tcBorders>
            <w:shd w:val="clear" w:color="auto" w:fill="EBECED"/>
            <w:vAlign w:val="center"/>
          </w:tcPr>
          <w:p w14:paraId="7BC685C5" w14:textId="77777777" w:rsidR="004D18C7" w:rsidRPr="004D18C7" w:rsidRDefault="004D18C7" w:rsidP="003B0371">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bCs/>
                <w:iCs/>
                <w:szCs w:val="20"/>
                <w:lang w:val="en-NZ"/>
              </w:rPr>
              <w:t>Immediate – Medium term</w:t>
            </w:r>
          </w:p>
        </w:tc>
      </w:tr>
      <w:bookmarkEnd w:id="25"/>
    </w:tbl>
    <w:p w14:paraId="61A9B4D1" w14:textId="2B0EC7CC" w:rsidR="00E20D3F" w:rsidRDefault="00E20D3F" w:rsidP="00C46A5C"/>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42" w:type="dxa"/>
          <w:right w:w="142" w:type="dxa"/>
        </w:tblCellMar>
        <w:tblLook w:val="04A0" w:firstRow="1" w:lastRow="0" w:firstColumn="1" w:lastColumn="0" w:noHBand="0" w:noVBand="1"/>
      </w:tblPr>
      <w:tblGrid>
        <w:gridCol w:w="567"/>
        <w:gridCol w:w="8550"/>
      </w:tblGrid>
      <w:tr w:rsidR="00BA6D6C" w:rsidRPr="001143F2" w14:paraId="00001220" w14:textId="77777777">
        <w:trPr>
          <w:trHeight w:val="264"/>
        </w:trPr>
        <w:tc>
          <w:tcPr>
            <w:tcW w:w="9117"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45FC6D76" w14:textId="77777777" w:rsidR="00BA6D6C" w:rsidRPr="001143F2" w:rsidRDefault="00BA6D6C">
            <w:pPr>
              <w:spacing w:before="60" w:afterLines="60" w:after="144" w:line="240" w:lineRule="auto"/>
              <w:jc w:val="left"/>
              <w:rPr>
                <w:rFonts w:ascii="Arial" w:eastAsia="Arial" w:hAnsi="Arial" w:cs="Times New Roman"/>
                <w:b/>
                <w:bCs/>
                <w:color w:val="FFFFFF"/>
                <w:sz w:val="26"/>
                <w:szCs w:val="26"/>
              </w:rPr>
            </w:pPr>
            <w:r w:rsidRPr="001143F2">
              <w:rPr>
                <w:rFonts w:ascii="Arial" w:eastAsia="Arial" w:hAnsi="Arial" w:cs="Times New Roman"/>
                <w:b/>
                <w:bCs/>
                <w:sz w:val="26"/>
                <w:szCs w:val="26"/>
              </w:rPr>
              <w:lastRenderedPageBreak/>
              <w:t>Recommendations: Building the community-controlled sector</w:t>
            </w:r>
          </w:p>
        </w:tc>
      </w:tr>
      <w:tr w:rsidR="00BA6D6C" w:rsidRPr="001143F2" w14:paraId="1FF3427D" w14:textId="77777777">
        <w:tc>
          <w:tcPr>
            <w:tcW w:w="9117" w:type="dxa"/>
            <w:gridSpan w:val="2"/>
            <w:tcBorders>
              <w:top w:val="single" w:sz="8" w:space="0" w:color="535552"/>
              <w:left w:val="single" w:sz="18" w:space="0" w:color="535552"/>
              <w:bottom w:val="dashed" w:sz="4" w:space="0" w:color="36424A"/>
              <w:right w:val="single" w:sz="18" w:space="0" w:color="535552"/>
            </w:tcBorders>
            <w:shd w:val="clear" w:color="auto" w:fill="FFFFFF"/>
            <w:vAlign w:val="center"/>
          </w:tcPr>
          <w:p w14:paraId="1DC40954" w14:textId="77777777" w:rsidR="00BA6D6C" w:rsidRPr="001143F2" w:rsidRDefault="00BA6D6C">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t>4</w:t>
            </w:r>
          </w:p>
          <w:p w14:paraId="04A69BBC" w14:textId="77777777" w:rsidR="00BA6D6C" w:rsidRPr="001143F2" w:rsidRDefault="00BA6D6C">
            <w:pPr>
              <w:spacing w:before="60" w:afterLines="60" w:after="144" w:line="240" w:lineRule="auto"/>
              <w:jc w:val="left"/>
              <w:rPr>
                <w:rFonts w:ascii="Arial" w:eastAsia="Arial" w:hAnsi="Arial" w:cs="Times New Roman"/>
                <w:iCs/>
                <w:szCs w:val="20"/>
              </w:rPr>
            </w:pPr>
            <w:r w:rsidRPr="001143F2">
              <w:rPr>
                <w:rFonts w:ascii="Arial" w:eastAsia="Arial" w:hAnsi="Arial" w:cs="Times New Roman"/>
                <w:b/>
                <w:bCs/>
                <w:iCs/>
                <w:szCs w:val="20"/>
              </w:rPr>
              <w:t>Continue to invest in</w:t>
            </w:r>
            <w:r w:rsidRPr="001143F2">
              <w:rPr>
                <w:rFonts w:ascii="Arial" w:eastAsia="Arial" w:hAnsi="Arial" w:cs="Times New Roman"/>
                <w:b/>
                <w:bCs/>
                <w:iCs/>
                <w:szCs w:val="20"/>
                <w:lang w:val="en-NZ"/>
              </w:rPr>
              <w:t xml:space="preserve"> improved health and wellbeing outcomes for Aboriginal and Torres</w:t>
            </w:r>
            <w:r w:rsidRPr="001143F2">
              <w:rPr>
                <w:rFonts w:ascii="Arial" w:eastAsia="Arial" w:hAnsi="Arial" w:cs="Times New Roman"/>
                <w:b/>
                <w:iCs/>
                <w:szCs w:val="20"/>
                <w:lang w:val="en-NZ"/>
              </w:rPr>
              <w:t xml:space="preserve"> Strait Islander people through increasing IAHP funding to support the delivery of Aboriginal and Torres Strait Islander community-controlled comprehensive PHC.</w:t>
            </w:r>
          </w:p>
          <w:p w14:paraId="06B12FC0" w14:textId="77777777" w:rsidR="00BA6D6C" w:rsidRPr="001143F2" w:rsidRDefault="00BA6D6C">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To enable ACCHSs to fully implement their model of comprehensive PHC and meet the health and wellbeing needs of their communities, the Department of Health and Aged Care to build on the strength of the IAHP by directing additional resourcing to community-controlled health services.</w:t>
            </w:r>
          </w:p>
          <w:p w14:paraId="568191EB" w14:textId="77777777" w:rsidR="00BA6D6C" w:rsidRPr="001143F2" w:rsidRDefault="00BA6D6C">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In implementing this recommendation, the evaluation suggests:</w:t>
            </w:r>
          </w:p>
          <w:p w14:paraId="43C7D4EA"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Increasing the focus of the IAHP on funding programs and activities delivered by ACCHSs.</w:t>
            </w:r>
          </w:p>
          <w:p w14:paraId="643FE81A"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Increasing the amount and the proportion of the IAHP funding allocated under the PHC Program (to address current policy commitments and population health needs the rate of funding increase needs to be significantly more than the current commitment of 3% per year).</w:t>
            </w:r>
          </w:p>
          <w:p w14:paraId="02B81826"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Ensuring that IAHP funding contributes to the growth and stability of ACCHSs, including the scope of services provided in relation to cultural and other health determinants.</w:t>
            </w:r>
          </w:p>
          <w:p w14:paraId="6B831017"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Ensuring that IAHP funding supports ACCHSs to function well through strengthening organisational governance, management and other ‘back-office’ functions that support the delivery of high-quality care.</w:t>
            </w:r>
          </w:p>
          <w:p w14:paraId="1E0D3B98" w14:textId="3FC7EF99"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Considering fully funding ACCHSs that rely significantly on the IAHP as their primary funding source to ensure existing service capacity is invested in service delivery instead of additional fund-raising.</w:t>
            </w:r>
          </w:p>
          <w:p w14:paraId="7CB3FCB9" w14:textId="77777777" w:rsidR="00BA6D6C" w:rsidRPr="001143F2" w:rsidRDefault="00BA6D6C">
            <w:pPr>
              <w:spacing w:before="60" w:afterLines="60" w:after="144" w:line="240" w:lineRule="auto"/>
              <w:jc w:val="left"/>
              <w:rPr>
                <w:rFonts w:ascii="Arial" w:eastAsia="Arial" w:hAnsi="Arial" w:cs="Times New Roman"/>
                <w:bCs/>
              </w:rPr>
            </w:pPr>
            <w:r w:rsidRPr="001143F2">
              <w:rPr>
                <w:rFonts w:ascii="Arial" w:eastAsia="Arial" w:hAnsi="Arial" w:cs="Times New Roman"/>
                <w:bCs/>
                <w:iCs/>
                <w:szCs w:val="20"/>
                <w:lang w:val="en-NZ"/>
              </w:rPr>
              <w:t xml:space="preserve">This recommendation supports action that is consistent with </w:t>
            </w:r>
            <w:r w:rsidRPr="001143F2">
              <w:rPr>
                <w:rFonts w:ascii="Arial" w:eastAsia="Arial" w:hAnsi="Arial" w:cs="Times New Roman"/>
                <w:iCs/>
                <w:szCs w:val="20"/>
              </w:rPr>
              <w:t>the development of the Core Services and Outcomes Framework, and commitments in the Health Sector Strengthening Plan to develop a needs-based funding model.</w:t>
            </w:r>
          </w:p>
        </w:tc>
      </w:tr>
      <w:tr w:rsidR="00BA6D6C" w:rsidRPr="001143F2" w14:paraId="251266BF" w14:textId="77777777">
        <w:tc>
          <w:tcPr>
            <w:tcW w:w="567" w:type="dxa"/>
            <w:tcBorders>
              <w:top w:val="dashed" w:sz="4" w:space="0" w:color="36424A"/>
              <w:left w:val="single" w:sz="18" w:space="0" w:color="535552"/>
              <w:bottom w:val="single" w:sz="12" w:space="0" w:color="36424A"/>
              <w:right w:val="nil"/>
            </w:tcBorders>
            <w:shd w:val="clear" w:color="auto" w:fill="EBECED"/>
            <w:vAlign w:val="center"/>
          </w:tcPr>
          <w:p w14:paraId="524A83DC" w14:textId="77777777" w:rsidR="00BA6D6C" w:rsidRPr="001143F2" w:rsidRDefault="00BA6D6C" w:rsidP="003B0371">
            <w:pPr>
              <w:spacing w:before="60" w:after="60" w:line="240" w:lineRule="auto"/>
              <w:jc w:val="left"/>
              <w:rPr>
                <w:rFonts w:ascii="Arial" w:eastAsia="Arial" w:hAnsi="Arial" w:cs="Times New Roman"/>
                <w:iCs/>
                <w:szCs w:val="20"/>
              </w:rPr>
            </w:pPr>
            <w:r w:rsidRPr="001143F2">
              <w:rPr>
                <w:rFonts w:ascii="Arial" w:eastAsia="Arial" w:hAnsi="Arial" w:cs="Times New Roman"/>
                <w:bCs/>
                <w:iCs/>
                <w:noProof/>
                <w:szCs w:val="20"/>
                <w:lang w:val="en-NZ"/>
              </w:rPr>
              <w:drawing>
                <wp:inline distT="0" distB="0" distL="0" distR="0" wp14:anchorId="3025DD80" wp14:editId="24A518AC">
                  <wp:extent cx="238125" cy="238125"/>
                  <wp:effectExtent l="0" t="0" r="9525" b="9525"/>
                  <wp:docPr id="1109582722" name="Picture 1109582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82722" name="Picture 1109582722">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2" w:space="0" w:color="36424A"/>
              <w:right w:val="single" w:sz="18" w:space="0" w:color="535552"/>
            </w:tcBorders>
            <w:shd w:val="clear" w:color="auto" w:fill="EBECED"/>
            <w:vAlign w:val="center"/>
          </w:tcPr>
          <w:p w14:paraId="0FB16F95" w14:textId="77777777" w:rsidR="00BA6D6C" w:rsidRPr="001143F2" w:rsidRDefault="00BA6D6C" w:rsidP="003B0371">
            <w:pPr>
              <w:spacing w:before="60" w:after="60" w:line="240" w:lineRule="auto"/>
              <w:jc w:val="left"/>
              <w:rPr>
                <w:rFonts w:ascii="Arial" w:eastAsia="Arial" w:hAnsi="Arial" w:cs="Times New Roman"/>
                <w:iCs/>
                <w:szCs w:val="20"/>
              </w:rPr>
            </w:pPr>
            <w:r w:rsidRPr="001143F2">
              <w:rPr>
                <w:rFonts w:ascii="Arial" w:eastAsia="Arial" w:hAnsi="Arial" w:cs="Times New Roman"/>
                <w:iCs/>
                <w:szCs w:val="20"/>
              </w:rPr>
              <w:t>Medium term</w:t>
            </w:r>
          </w:p>
        </w:tc>
      </w:tr>
      <w:tr w:rsidR="00BA6D6C" w:rsidRPr="001143F2" w14:paraId="4181D6BF" w14:textId="77777777" w:rsidTr="003B0371">
        <w:trPr>
          <w:trHeight w:val="821"/>
        </w:trPr>
        <w:tc>
          <w:tcPr>
            <w:tcW w:w="9117" w:type="dxa"/>
            <w:gridSpan w:val="2"/>
            <w:tcBorders>
              <w:top w:val="single" w:sz="12" w:space="0" w:color="36424A"/>
              <w:left w:val="single" w:sz="18" w:space="0" w:color="535552"/>
              <w:bottom w:val="dashed" w:sz="4" w:space="0" w:color="36424A"/>
              <w:right w:val="single" w:sz="18" w:space="0" w:color="535552"/>
            </w:tcBorders>
            <w:shd w:val="clear" w:color="auto" w:fill="FFFFFF"/>
            <w:vAlign w:val="center"/>
          </w:tcPr>
          <w:p w14:paraId="4DFC6907" w14:textId="77777777" w:rsidR="00BA6D6C" w:rsidRPr="001143F2" w:rsidRDefault="00BA6D6C">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t>5</w:t>
            </w:r>
          </w:p>
          <w:p w14:paraId="675621DC" w14:textId="77777777" w:rsidR="00BA6D6C" w:rsidRPr="001143F2" w:rsidRDefault="00BA6D6C">
            <w:pPr>
              <w:spacing w:before="60" w:afterLines="60" w:after="144" w:line="240" w:lineRule="auto"/>
              <w:jc w:val="left"/>
              <w:rPr>
                <w:rFonts w:ascii="Arial" w:eastAsia="Arial" w:hAnsi="Arial" w:cs="Times New Roman"/>
                <w:b/>
                <w:iCs/>
                <w:szCs w:val="20"/>
                <w:lang w:val="en-NZ"/>
              </w:rPr>
            </w:pPr>
            <w:r w:rsidRPr="001143F2">
              <w:rPr>
                <w:rFonts w:ascii="Arial" w:eastAsia="Arial" w:hAnsi="Arial" w:cs="Times New Roman"/>
                <w:b/>
                <w:iCs/>
                <w:szCs w:val="20"/>
                <w:lang w:val="en-NZ"/>
              </w:rPr>
              <w:t>Increase investment to support the development of a strong and stable Aboriginal and Torres Strait Islander PHC workforce.</w:t>
            </w:r>
          </w:p>
          <w:p w14:paraId="6E5DD979" w14:textId="77777777" w:rsidR="00BA6D6C" w:rsidRPr="001143F2" w:rsidRDefault="00BA6D6C">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 xml:space="preserve">To ensure a strong and stable workforce is available to support the delivery of community-controlled PHC services funded through the IAHP, the Department of Health and Aged Care to coordinate across the department (and with other government agencies with accountability for workforce training and regulation), to secure and build investment and improve conditions of employment for the Aboriginal and Torres Strait Islander PHC workforce. </w:t>
            </w:r>
          </w:p>
          <w:p w14:paraId="216CEE05" w14:textId="77777777" w:rsidR="00BA6D6C" w:rsidRPr="001143F2" w:rsidRDefault="00BA6D6C">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In implementing this recommendation, the evaluation suggests:</w:t>
            </w:r>
          </w:p>
          <w:p w14:paraId="6AF4016B"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Undertaking a pay parity review, and subsequently acting on the review’s findings, to better understand salary inequities for Aboriginal and Torres Strait Islander Health </w:t>
            </w:r>
            <w:r w:rsidRPr="001143F2">
              <w:rPr>
                <w:rFonts w:ascii="Arial" w:eastAsia="Arial" w:hAnsi="Arial" w:cs="Times New Roman"/>
                <w:bCs/>
                <w:iCs/>
                <w:szCs w:val="20"/>
              </w:rPr>
              <w:lastRenderedPageBreak/>
              <w:t>Workers and Health Practitioners working in different workplace settings, including ACCHSs and mainstream health services.</w:t>
            </w:r>
          </w:p>
          <w:p w14:paraId="2DE74A47"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Strengthening incentives for employing, training and retaining a larger and more diverse (for example, gender diversity and across a range of roles) Aboriginal and Torres Strait Islander health workforce (for example, recognising skills, training, unique roles and cultural load through micro-credentialling and conditions of employment). </w:t>
            </w:r>
          </w:p>
          <w:p w14:paraId="1D19488E" w14:textId="077B0890"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Continuing to factor in costs associated with community-controlled health services hosting Aboriginal and Torres Strait Islander </w:t>
            </w:r>
            <w:r w:rsidR="00E057EA">
              <w:rPr>
                <w:rFonts w:ascii="Arial" w:eastAsia="Arial" w:hAnsi="Arial" w:cs="Times New Roman"/>
                <w:bCs/>
                <w:iCs/>
                <w:szCs w:val="20"/>
              </w:rPr>
              <w:t>health worker</w:t>
            </w:r>
            <w:r w:rsidRPr="001143F2">
              <w:rPr>
                <w:rFonts w:ascii="Arial" w:eastAsia="Arial" w:hAnsi="Arial" w:cs="Times New Roman"/>
                <w:bCs/>
                <w:iCs/>
                <w:szCs w:val="20"/>
              </w:rPr>
              <w:t xml:space="preserve"> trainees who require supervision and mentoring.</w:t>
            </w:r>
          </w:p>
          <w:p w14:paraId="6E01435A"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rPr>
            </w:pPr>
            <w:r w:rsidRPr="001143F2">
              <w:rPr>
                <w:rFonts w:ascii="Arial" w:eastAsia="Arial" w:hAnsi="Arial" w:cs="Times New Roman"/>
                <w:bCs/>
                <w:iCs/>
                <w:szCs w:val="20"/>
              </w:rPr>
              <w:t>Considering the need to also grow and sustain the Aboriginal and Torres Strait Islander health workforce across mainstream services.</w:t>
            </w:r>
          </w:p>
        </w:tc>
      </w:tr>
      <w:tr w:rsidR="00BA6D6C" w:rsidRPr="001143F2" w14:paraId="656E60B0" w14:textId="77777777">
        <w:trPr>
          <w:trHeight w:val="423"/>
        </w:trPr>
        <w:tc>
          <w:tcPr>
            <w:tcW w:w="567" w:type="dxa"/>
            <w:tcBorders>
              <w:top w:val="dashed" w:sz="4" w:space="0" w:color="36424A"/>
              <w:left w:val="single" w:sz="18" w:space="0" w:color="535552"/>
              <w:bottom w:val="single" w:sz="12" w:space="0" w:color="36424A"/>
              <w:right w:val="nil"/>
            </w:tcBorders>
            <w:shd w:val="clear" w:color="auto" w:fill="EBECED"/>
            <w:vAlign w:val="center"/>
          </w:tcPr>
          <w:p w14:paraId="2D182B63" w14:textId="77777777" w:rsidR="00BA6D6C" w:rsidRPr="001143F2" w:rsidRDefault="00BA6D6C" w:rsidP="003B0371">
            <w:pPr>
              <w:spacing w:before="60" w:after="60" w:line="240" w:lineRule="auto"/>
              <w:jc w:val="left"/>
              <w:rPr>
                <w:rFonts w:ascii="Arial" w:eastAsia="Arial" w:hAnsi="Arial" w:cs="Times New Roman"/>
                <w:iCs/>
                <w:szCs w:val="20"/>
              </w:rPr>
            </w:pPr>
            <w:r w:rsidRPr="001143F2">
              <w:rPr>
                <w:rFonts w:ascii="Arial" w:eastAsia="Arial" w:hAnsi="Arial" w:cs="Times New Roman"/>
                <w:bCs/>
                <w:iCs/>
                <w:noProof/>
                <w:szCs w:val="20"/>
                <w:lang w:val="en-NZ"/>
              </w:rPr>
              <w:lastRenderedPageBreak/>
              <w:drawing>
                <wp:inline distT="0" distB="0" distL="0" distR="0" wp14:anchorId="57D3E1B0" wp14:editId="6CB04FC7">
                  <wp:extent cx="238125" cy="238125"/>
                  <wp:effectExtent l="0" t="0" r="9525" b="9525"/>
                  <wp:docPr id="1228776858" name="Picture 1228776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76858" name="Picture 1228776858">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2" w:space="0" w:color="36424A"/>
              <w:right w:val="single" w:sz="18" w:space="0" w:color="535552"/>
            </w:tcBorders>
            <w:shd w:val="clear" w:color="auto" w:fill="EBECED"/>
            <w:vAlign w:val="center"/>
          </w:tcPr>
          <w:p w14:paraId="1345522E" w14:textId="77777777" w:rsidR="00BA6D6C" w:rsidRPr="001143F2" w:rsidRDefault="00BA6D6C" w:rsidP="003B0371">
            <w:pPr>
              <w:spacing w:before="60" w:after="60" w:line="240" w:lineRule="auto"/>
              <w:jc w:val="left"/>
              <w:rPr>
                <w:rFonts w:ascii="Arial" w:eastAsia="Arial" w:hAnsi="Arial" w:cs="Times New Roman"/>
                <w:iCs/>
                <w:szCs w:val="20"/>
              </w:rPr>
            </w:pPr>
            <w:r w:rsidRPr="001143F2">
              <w:rPr>
                <w:rFonts w:ascii="Arial" w:eastAsia="Arial" w:hAnsi="Arial" w:cs="Times New Roman"/>
                <w:bCs/>
                <w:iCs/>
                <w:szCs w:val="20"/>
              </w:rPr>
              <w:t>Medium term</w:t>
            </w:r>
          </w:p>
        </w:tc>
      </w:tr>
      <w:tr w:rsidR="00BA6D6C" w:rsidRPr="001143F2" w14:paraId="6A0960DB" w14:textId="77777777">
        <w:trPr>
          <w:trHeight w:val="1265"/>
        </w:trPr>
        <w:tc>
          <w:tcPr>
            <w:tcW w:w="9117" w:type="dxa"/>
            <w:gridSpan w:val="2"/>
            <w:tcBorders>
              <w:top w:val="single" w:sz="12" w:space="0" w:color="36424A"/>
              <w:left w:val="single" w:sz="18" w:space="0" w:color="535552"/>
              <w:bottom w:val="dashed" w:sz="4" w:space="0" w:color="36424A"/>
              <w:right w:val="single" w:sz="18" w:space="0" w:color="535552"/>
            </w:tcBorders>
            <w:shd w:val="clear" w:color="auto" w:fill="FFFFFF"/>
            <w:vAlign w:val="center"/>
          </w:tcPr>
          <w:p w14:paraId="56801FB2" w14:textId="77777777" w:rsidR="00BA6D6C" w:rsidRPr="001143F2" w:rsidRDefault="00BA6D6C">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t>6</w:t>
            </w:r>
          </w:p>
          <w:p w14:paraId="0C4CCEC0" w14:textId="77777777" w:rsidR="00BA6D6C" w:rsidRPr="001143F2" w:rsidRDefault="00BA6D6C">
            <w:pPr>
              <w:spacing w:before="60" w:afterLines="60" w:after="144" w:line="240" w:lineRule="auto"/>
              <w:jc w:val="left"/>
              <w:rPr>
                <w:rFonts w:ascii="Arial" w:eastAsia="Arial" w:hAnsi="Arial" w:cs="Times New Roman"/>
                <w:b/>
                <w:iCs/>
                <w:szCs w:val="20"/>
                <w:lang w:val="en-NZ"/>
              </w:rPr>
            </w:pPr>
            <w:r w:rsidRPr="001143F2">
              <w:rPr>
                <w:rFonts w:ascii="Arial" w:eastAsia="Arial" w:hAnsi="Arial" w:cs="Times New Roman"/>
                <w:b/>
                <w:iCs/>
                <w:szCs w:val="20"/>
                <w:lang w:val="en-NZ"/>
              </w:rPr>
              <w:t xml:space="preserve">Support </w:t>
            </w:r>
            <w:r w:rsidRPr="001143F2">
              <w:rPr>
                <w:rFonts w:ascii="Arial" w:eastAsia="Arial" w:hAnsi="Arial" w:cs="Times New Roman"/>
                <w:b/>
                <w:iCs/>
                <w:szCs w:val="20"/>
              </w:rPr>
              <w:t xml:space="preserve">ACCHSs </w:t>
            </w:r>
            <w:r w:rsidRPr="001143F2">
              <w:rPr>
                <w:rFonts w:ascii="Arial" w:eastAsia="Arial" w:hAnsi="Arial" w:cs="Times New Roman"/>
                <w:b/>
                <w:iCs/>
                <w:szCs w:val="20"/>
                <w:lang w:val="en-NZ"/>
              </w:rPr>
              <w:t>to connect regionally with other organisations to build partnerships and alliances that strengthen the community-controlled sector.</w:t>
            </w:r>
          </w:p>
          <w:p w14:paraId="79A4627B" w14:textId="314CC902" w:rsidR="00BA6D6C" w:rsidRPr="001143F2" w:rsidRDefault="00BA6D6C">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To enable community-controlled health services to build capability and support more integrated ways of working, funding through the IAHP to support ACCHSs to continue to lead the development of formal partnerships and alliances at a regional level.</w:t>
            </w:r>
            <w:r w:rsidR="00AA35E2">
              <w:rPr>
                <w:rFonts w:ascii="Arial" w:eastAsia="Arial" w:hAnsi="Arial" w:cs="Times New Roman"/>
                <w:iCs/>
                <w:szCs w:val="20"/>
              </w:rPr>
              <w:t xml:space="preserve"> </w:t>
            </w:r>
            <w:r w:rsidRPr="001143F2">
              <w:rPr>
                <w:rFonts w:ascii="Arial" w:eastAsia="Arial" w:hAnsi="Arial" w:cs="Times New Roman"/>
                <w:iCs/>
                <w:szCs w:val="20"/>
              </w:rPr>
              <w:t>These partnerships and alliances may target different health system enablers – such as service delivery, governance, workforce, information and data sharing – that strengthen the operational context for the IAHP.</w:t>
            </w:r>
          </w:p>
          <w:p w14:paraId="3262F482" w14:textId="77777777" w:rsidR="00BA6D6C" w:rsidRPr="001143F2" w:rsidRDefault="00BA6D6C">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In implementing this recommendation, the evaluation suggests:</w:t>
            </w:r>
          </w:p>
          <w:p w14:paraId="194AE164"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Considering the role of the IAHP in addressing funding requirements to support ACCHSs to engage in formal partnerships.</w:t>
            </w:r>
          </w:p>
          <w:p w14:paraId="68B57BB6"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Respecting ACCHSs rights to determine partnership arrangements (not forcing partnerships through conditional funding or other mechanisms).</w:t>
            </w:r>
          </w:p>
          <w:p w14:paraId="1557F2C6"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iCs/>
              </w:rPr>
            </w:pPr>
            <w:r w:rsidRPr="001143F2">
              <w:rPr>
                <w:rFonts w:ascii="Arial" w:eastAsia="Arial" w:hAnsi="Arial" w:cs="Times New Roman"/>
                <w:bCs/>
                <w:iCs/>
                <w:szCs w:val="20"/>
              </w:rPr>
              <w:t>Considering the benefits of supporting partnerships that go beyond ACCHSs (for example, between ACCHSs and mainstream organisations such as PHNs and local hospital networks).</w:t>
            </w:r>
          </w:p>
        </w:tc>
      </w:tr>
      <w:tr w:rsidR="00BA6D6C" w:rsidRPr="001143F2" w14:paraId="12BAFA1A" w14:textId="77777777">
        <w:trPr>
          <w:trHeight w:val="408"/>
        </w:trPr>
        <w:tc>
          <w:tcPr>
            <w:tcW w:w="567" w:type="dxa"/>
            <w:tcBorders>
              <w:top w:val="dashed" w:sz="4" w:space="0" w:color="36424A"/>
              <w:left w:val="single" w:sz="18" w:space="0" w:color="535552"/>
              <w:bottom w:val="single" w:sz="12" w:space="0" w:color="36424A"/>
              <w:right w:val="nil"/>
            </w:tcBorders>
            <w:shd w:val="clear" w:color="auto" w:fill="EBECED"/>
            <w:vAlign w:val="center"/>
          </w:tcPr>
          <w:p w14:paraId="04D5A3FA" w14:textId="77777777" w:rsidR="00BA6D6C" w:rsidRPr="001143F2" w:rsidRDefault="00BA6D6C" w:rsidP="003B0371">
            <w:pPr>
              <w:spacing w:before="60" w:after="60" w:line="240" w:lineRule="auto"/>
              <w:jc w:val="left"/>
              <w:rPr>
                <w:rFonts w:ascii="Arial" w:eastAsia="Arial" w:hAnsi="Arial" w:cs="Times New Roman"/>
                <w:bCs/>
                <w:iCs/>
                <w:szCs w:val="20"/>
                <w:lang w:val="en-NZ"/>
              </w:rPr>
            </w:pPr>
            <w:r w:rsidRPr="001143F2">
              <w:rPr>
                <w:rFonts w:ascii="Arial" w:eastAsia="Arial" w:hAnsi="Arial" w:cs="Times New Roman"/>
                <w:bCs/>
                <w:iCs/>
                <w:noProof/>
                <w:szCs w:val="20"/>
                <w:lang w:val="en-NZ"/>
              </w:rPr>
              <w:drawing>
                <wp:inline distT="0" distB="0" distL="0" distR="0" wp14:anchorId="0F418079" wp14:editId="42F18891">
                  <wp:extent cx="238125" cy="238125"/>
                  <wp:effectExtent l="0" t="0" r="9525" b="9525"/>
                  <wp:docPr id="562431106" name="Picture 562431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31106" name="Picture 562431106">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2" w:space="0" w:color="36424A"/>
              <w:right w:val="single" w:sz="18" w:space="0" w:color="535552"/>
            </w:tcBorders>
            <w:shd w:val="clear" w:color="auto" w:fill="EBECED"/>
            <w:vAlign w:val="center"/>
          </w:tcPr>
          <w:p w14:paraId="13006F50" w14:textId="77777777" w:rsidR="00BA6D6C" w:rsidRPr="001143F2" w:rsidRDefault="00BA6D6C" w:rsidP="003B0371">
            <w:pPr>
              <w:spacing w:before="60" w:after="60"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Medium term</w:t>
            </w:r>
          </w:p>
        </w:tc>
      </w:tr>
      <w:tr w:rsidR="00BA6D6C" w:rsidRPr="001143F2" w14:paraId="415C1848" w14:textId="77777777">
        <w:trPr>
          <w:trHeight w:val="408"/>
        </w:trPr>
        <w:tc>
          <w:tcPr>
            <w:tcW w:w="9117" w:type="dxa"/>
            <w:gridSpan w:val="2"/>
            <w:tcBorders>
              <w:top w:val="single" w:sz="12" w:space="0" w:color="36424A"/>
              <w:left w:val="single" w:sz="18" w:space="0" w:color="535552"/>
              <w:bottom w:val="dashed" w:sz="4" w:space="0" w:color="9E6047"/>
              <w:right w:val="single" w:sz="18" w:space="0" w:color="535552"/>
            </w:tcBorders>
            <w:shd w:val="clear" w:color="auto" w:fill="FFFFFF"/>
            <w:vAlign w:val="center"/>
          </w:tcPr>
          <w:p w14:paraId="2A19671A" w14:textId="77777777" w:rsidR="00BA6D6C" w:rsidRPr="001143F2" w:rsidRDefault="00BA6D6C">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t>7</w:t>
            </w:r>
          </w:p>
          <w:p w14:paraId="2B951801" w14:textId="77777777" w:rsidR="00BA6D6C" w:rsidRPr="001143F2" w:rsidRDefault="00BA6D6C">
            <w:pPr>
              <w:spacing w:before="60" w:afterLines="60" w:after="144" w:line="240" w:lineRule="auto"/>
              <w:jc w:val="left"/>
              <w:rPr>
                <w:rFonts w:ascii="Arial" w:eastAsia="Arial" w:hAnsi="Arial" w:cs="Times New Roman"/>
                <w:b/>
                <w:iCs/>
                <w:szCs w:val="20"/>
                <w:lang w:val="en-NZ"/>
              </w:rPr>
            </w:pPr>
            <w:r w:rsidRPr="001143F2">
              <w:rPr>
                <w:rFonts w:ascii="Arial" w:eastAsia="Arial" w:hAnsi="Arial" w:cs="Times New Roman"/>
                <w:b/>
                <w:iCs/>
                <w:szCs w:val="20"/>
                <w:lang w:val="en-NZ"/>
              </w:rPr>
              <w:t>Increase the flexibility and coherency of funding, including through the IAHP, to support the delivery of comprehensive PHC to Aboriginal and Torres Strait Islander people and communities.</w:t>
            </w:r>
          </w:p>
          <w:p w14:paraId="11C6A3C0" w14:textId="77777777" w:rsidR="00BA6D6C" w:rsidRPr="001143F2" w:rsidRDefault="00BA6D6C">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To further enable self-determination and more streamlined and integrated policy responses to Aboriginal and Torres Strait Islander comprehensive PHC, the Department of Health and Aged Care to coordinate across the department (and with other funders of comprehensive PHC) to develop more flexible and coherent funding and reporting systems. This will strengthen the alignment between the IAHP and other government funding programs.</w:t>
            </w:r>
          </w:p>
          <w:p w14:paraId="637C4B71" w14:textId="77777777" w:rsidR="00D76911" w:rsidRDefault="00D76911">
            <w:pPr>
              <w:spacing w:before="60" w:afterLines="60" w:after="144" w:line="240" w:lineRule="auto"/>
              <w:jc w:val="left"/>
              <w:rPr>
                <w:rFonts w:ascii="Arial" w:eastAsia="Arial" w:hAnsi="Arial" w:cs="Times New Roman"/>
                <w:iCs/>
                <w:szCs w:val="20"/>
              </w:rPr>
            </w:pPr>
          </w:p>
          <w:p w14:paraId="0C84B7DF" w14:textId="0BB96C4C" w:rsidR="00BA6D6C" w:rsidRPr="001143F2" w:rsidRDefault="00BA6D6C">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lastRenderedPageBreak/>
              <w:t>In implementing this recommendation, the evaluation suggests:</w:t>
            </w:r>
          </w:p>
          <w:p w14:paraId="5A8EA58D" w14:textId="69DF8BFC"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Developing needs-based and outcomes-</w:t>
            </w:r>
            <w:r w:rsidR="009C7ED5">
              <w:rPr>
                <w:rFonts w:ascii="Arial" w:eastAsia="Arial" w:hAnsi="Arial" w:cs="Times New Roman"/>
                <w:bCs/>
                <w:iCs/>
                <w:szCs w:val="20"/>
              </w:rPr>
              <w:t>based</w:t>
            </w:r>
            <w:r w:rsidRPr="001143F2">
              <w:rPr>
                <w:rFonts w:ascii="Arial" w:eastAsia="Arial" w:hAnsi="Arial" w:cs="Times New Roman"/>
                <w:bCs/>
                <w:iCs/>
                <w:szCs w:val="20"/>
              </w:rPr>
              <w:t xml:space="preserve"> approaches to IAHP funding that accommodate flexibility in </w:t>
            </w:r>
            <w:r w:rsidRPr="006A060E">
              <w:rPr>
                <w:rFonts w:ascii="Arial" w:eastAsia="Arial" w:hAnsi="Arial" w:cs="Times New Roman"/>
                <w:i/>
                <w:szCs w:val="20"/>
              </w:rPr>
              <w:t>how</w:t>
            </w:r>
            <w:r w:rsidRPr="001143F2">
              <w:rPr>
                <w:rFonts w:ascii="Arial" w:eastAsia="Arial" w:hAnsi="Arial" w:cs="Times New Roman"/>
                <w:bCs/>
                <w:iCs/>
                <w:szCs w:val="20"/>
              </w:rPr>
              <w:t xml:space="preserve"> services and activities are delivered and empowers decision-making at the community level.</w:t>
            </w:r>
            <w:r w:rsidR="00915FE8">
              <w:rPr>
                <w:rFonts w:ascii="Arial" w:eastAsia="Arial" w:hAnsi="Arial" w:cs="Times New Roman"/>
                <w:bCs/>
                <w:iCs/>
                <w:szCs w:val="20"/>
              </w:rPr>
              <w:t xml:space="preserve"> Under </w:t>
            </w:r>
            <w:r w:rsidR="00BA11AA">
              <w:rPr>
                <w:rFonts w:ascii="Arial" w:eastAsia="Arial" w:hAnsi="Arial" w:cs="Times New Roman"/>
                <w:bCs/>
                <w:iCs/>
                <w:szCs w:val="20"/>
              </w:rPr>
              <w:t>outcomes-based approaches, funded organi</w:t>
            </w:r>
            <w:r w:rsidR="00C22E4D">
              <w:rPr>
                <w:rFonts w:ascii="Arial" w:eastAsia="Arial" w:hAnsi="Arial" w:cs="Times New Roman"/>
                <w:bCs/>
                <w:iCs/>
                <w:szCs w:val="20"/>
              </w:rPr>
              <w:t>s</w:t>
            </w:r>
            <w:r w:rsidR="00BA11AA">
              <w:rPr>
                <w:rFonts w:ascii="Arial" w:eastAsia="Arial" w:hAnsi="Arial" w:cs="Times New Roman"/>
                <w:bCs/>
                <w:iCs/>
                <w:szCs w:val="20"/>
              </w:rPr>
              <w:t xml:space="preserve">ations would be required to </w:t>
            </w:r>
            <w:r w:rsidR="00C22E4D">
              <w:rPr>
                <w:rFonts w:ascii="Arial" w:eastAsia="Arial" w:hAnsi="Arial" w:cs="Times New Roman"/>
                <w:bCs/>
                <w:iCs/>
                <w:szCs w:val="20"/>
              </w:rPr>
              <w:t>deliver, and report against, pre-defined outcomes.</w:t>
            </w:r>
            <w:r w:rsidR="00CB4B2B">
              <w:rPr>
                <w:rFonts w:ascii="Arial" w:eastAsia="Arial" w:hAnsi="Arial" w:cs="Times New Roman"/>
                <w:bCs/>
                <w:iCs/>
                <w:szCs w:val="20"/>
              </w:rPr>
              <w:t xml:space="preserve"> There would be flexibility in how these outcomes were achieved.</w:t>
            </w:r>
          </w:p>
          <w:p w14:paraId="2D71ED43"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Maintaining a level of prescription to how services and activities are delivered where the model of care is supported by contextually-relevant evidence.</w:t>
            </w:r>
          </w:p>
          <w:p w14:paraId="06A7F16B" w14:textId="227CC4B4" w:rsidR="00BA6D6C" w:rsidRPr="001143F2" w:rsidRDefault="00D4716E">
            <w:pPr>
              <w:numPr>
                <w:ilvl w:val="0"/>
                <w:numId w:val="24"/>
              </w:numPr>
              <w:spacing w:before="60" w:afterLines="60" w:after="144" w:line="240" w:lineRule="auto"/>
              <w:ind w:left="601" w:hanging="357"/>
              <w:jc w:val="left"/>
              <w:rPr>
                <w:rFonts w:ascii="Arial" w:eastAsia="Arial" w:hAnsi="Arial" w:cs="Times New Roman"/>
                <w:bCs/>
                <w:iCs/>
                <w:szCs w:val="20"/>
              </w:rPr>
            </w:pPr>
            <w:r>
              <w:rPr>
                <w:rFonts w:ascii="Arial" w:eastAsia="Arial" w:hAnsi="Arial" w:cs="Times New Roman"/>
                <w:bCs/>
                <w:iCs/>
                <w:szCs w:val="20"/>
              </w:rPr>
              <w:t>Identifying</w:t>
            </w:r>
            <w:r w:rsidR="00BA6D6C" w:rsidRPr="001143F2">
              <w:rPr>
                <w:rFonts w:ascii="Arial" w:eastAsia="Arial" w:hAnsi="Arial" w:cs="Times New Roman"/>
                <w:bCs/>
                <w:iCs/>
                <w:szCs w:val="20"/>
              </w:rPr>
              <w:t xml:space="preserve"> opportunities to </w:t>
            </w:r>
            <w:r>
              <w:rPr>
                <w:rFonts w:ascii="Arial" w:eastAsia="Arial" w:hAnsi="Arial" w:cs="Times New Roman"/>
                <w:bCs/>
                <w:iCs/>
                <w:szCs w:val="20"/>
              </w:rPr>
              <w:t xml:space="preserve">work </w:t>
            </w:r>
            <w:r w:rsidR="00BA6D6C" w:rsidRPr="001143F2">
              <w:rPr>
                <w:rFonts w:ascii="Arial" w:eastAsia="Arial" w:hAnsi="Arial" w:cs="Times New Roman"/>
                <w:bCs/>
                <w:iCs/>
                <w:szCs w:val="20"/>
              </w:rPr>
              <w:t>across governments and government</w:t>
            </w:r>
            <w:r w:rsidR="004C3036">
              <w:rPr>
                <w:rFonts w:ascii="Arial" w:eastAsia="Arial" w:hAnsi="Arial" w:cs="Times New Roman"/>
                <w:bCs/>
                <w:iCs/>
                <w:szCs w:val="20"/>
              </w:rPr>
              <w:t>-funded</w:t>
            </w:r>
            <w:r w:rsidR="00BA6D6C" w:rsidRPr="001143F2">
              <w:rPr>
                <w:rFonts w:ascii="Arial" w:eastAsia="Arial" w:hAnsi="Arial" w:cs="Times New Roman"/>
                <w:bCs/>
                <w:iCs/>
                <w:szCs w:val="20"/>
              </w:rPr>
              <w:t xml:space="preserve"> </w:t>
            </w:r>
            <w:r w:rsidR="004C3036">
              <w:rPr>
                <w:rFonts w:ascii="Arial" w:eastAsia="Arial" w:hAnsi="Arial" w:cs="Times New Roman"/>
                <w:bCs/>
                <w:iCs/>
                <w:szCs w:val="20"/>
              </w:rPr>
              <w:t xml:space="preserve">services </w:t>
            </w:r>
            <w:r>
              <w:rPr>
                <w:rFonts w:ascii="Arial" w:eastAsia="Arial" w:hAnsi="Arial" w:cs="Times New Roman"/>
                <w:bCs/>
                <w:iCs/>
                <w:szCs w:val="20"/>
              </w:rPr>
              <w:t xml:space="preserve">to </w:t>
            </w:r>
            <w:r w:rsidR="004C3036">
              <w:rPr>
                <w:rFonts w:ascii="Arial" w:eastAsia="Arial" w:hAnsi="Arial" w:cs="Times New Roman"/>
                <w:bCs/>
                <w:iCs/>
                <w:szCs w:val="20"/>
              </w:rPr>
              <w:t>develop</w:t>
            </w:r>
            <w:r>
              <w:rPr>
                <w:rFonts w:ascii="Arial" w:eastAsia="Arial" w:hAnsi="Arial" w:cs="Times New Roman"/>
                <w:bCs/>
                <w:iCs/>
                <w:szCs w:val="20"/>
              </w:rPr>
              <w:t xml:space="preserve"> more integrated approaches to funding PHC</w:t>
            </w:r>
            <w:r w:rsidR="00BA6D6C" w:rsidRPr="001143F2">
              <w:rPr>
                <w:rFonts w:ascii="Arial" w:eastAsia="Arial" w:hAnsi="Arial" w:cs="Times New Roman"/>
                <w:bCs/>
                <w:iCs/>
                <w:szCs w:val="20"/>
              </w:rPr>
              <w:t>.</w:t>
            </w:r>
          </w:p>
          <w:p w14:paraId="73E553AF"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Strengthening the delivery of comprehensive PHC by re-integrating social and emotional wellbeing and alcohol and drug program funding into the IAHP.</w:t>
            </w:r>
          </w:p>
          <w:p w14:paraId="3FC85B28"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Reviewing reporting frameworks for government funding provided to the ACCHS sector to identify opportunities to minimise and/or streamline reporting requirements while maintaining accountability (for example, strengthening of outcomes-based performance measures, consistent reporting timeframes and language, reducing redundancy, and opportunities for digitalisation. </w:t>
            </w:r>
          </w:p>
          <w:p w14:paraId="045DEDAB" w14:textId="77777777" w:rsidR="00BA6D6C" w:rsidRPr="001143F2" w:rsidRDefault="00BA6D6C">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Designing reporting requirements for new programs and activities in partnership with providers ACCHSs to account for context of their overall reporting requirements and so that opportunities to streamline with existing reporting is maximised.</w:t>
            </w:r>
          </w:p>
          <w:p w14:paraId="22736E53" w14:textId="77777777" w:rsidR="00BA6D6C" w:rsidRPr="001143F2" w:rsidRDefault="00BA6D6C">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This recommendation recognises the comparative strengths of the IAHP within a complex funding system across multiple governments (Australian, state and territory) and agencies, and the opportunity to build on the strengths and the experience of the IAHP to support further improvement across government agencies involved in funding Aboriginal and Torres Strait Islander health services.</w:t>
            </w:r>
          </w:p>
        </w:tc>
      </w:tr>
      <w:tr w:rsidR="00BA6D6C" w:rsidRPr="001143F2" w14:paraId="0154E019" w14:textId="77777777">
        <w:trPr>
          <w:trHeight w:val="408"/>
        </w:trPr>
        <w:tc>
          <w:tcPr>
            <w:tcW w:w="567" w:type="dxa"/>
            <w:tcBorders>
              <w:top w:val="dashed" w:sz="4" w:space="0" w:color="9E6047"/>
              <w:left w:val="single" w:sz="18" w:space="0" w:color="535552"/>
              <w:bottom w:val="single" w:sz="18" w:space="0" w:color="535552"/>
              <w:right w:val="nil"/>
            </w:tcBorders>
            <w:shd w:val="clear" w:color="auto" w:fill="EBECED"/>
            <w:vAlign w:val="center"/>
          </w:tcPr>
          <w:p w14:paraId="051C497E" w14:textId="77777777" w:rsidR="00BA6D6C" w:rsidRPr="001143F2" w:rsidRDefault="00BA6D6C" w:rsidP="003B0371">
            <w:pPr>
              <w:spacing w:before="60" w:after="60" w:line="240" w:lineRule="auto"/>
              <w:jc w:val="left"/>
              <w:rPr>
                <w:rFonts w:ascii="Arial" w:eastAsia="Arial" w:hAnsi="Arial" w:cs="Times New Roman"/>
                <w:bCs/>
                <w:iCs/>
                <w:noProof/>
                <w:szCs w:val="20"/>
                <w:lang w:val="en-NZ"/>
              </w:rPr>
            </w:pPr>
            <w:r w:rsidRPr="001143F2">
              <w:rPr>
                <w:rFonts w:ascii="Arial" w:eastAsia="Arial" w:hAnsi="Arial" w:cs="Times New Roman"/>
                <w:bCs/>
                <w:iCs/>
                <w:noProof/>
                <w:szCs w:val="20"/>
                <w:lang w:val="en-NZ"/>
              </w:rPr>
              <w:lastRenderedPageBreak/>
              <w:drawing>
                <wp:inline distT="0" distB="0" distL="0" distR="0" wp14:anchorId="5FD389DF" wp14:editId="47110582">
                  <wp:extent cx="238125" cy="238125"/>
                  <wp:effectExtent l="0" t="0" r="9525" b="9525"/>
                  <wp:docPr id="449071728" name="Picture 449071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71728" name="Picture 449071728">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9E6047"/>
              <w:left w:val="nil"/>
              <w:bottom w:val="single" w:sz="18" w:space="0" w:color="535552"/>
              <w:right w:val="single" w:sz="18" w:space="0" w:color="535552"/>
            </w:tcBorders>
            <w:shd w:val="clear" w:color="auto" w:fill="EBECED"/>
            <w:vAlign w:val="center"/>
          </w:tcPr>
          <w:p w14:paraId="293C1741" w14:textId="77777777" w:rsidR="00BA6D6C" w:rsidRPr="001143F2" w:rsidRDefault="00BA6D6C" w:rsidP="003B0371">
            <w:pPr>
              <w:spacing w:before="60" w:after="60"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Immediate – Medium term</w:t>
            </w:r>
          </w:p>
        </w:tc>
      </w:tr>
    </w:tbl>
    <w:p w14:paraId="03CC82E2" w14:textId="77777777" w:rsidR="00BA6D6C" w:rsidRDefault="00BA6D6C"/>
    <w:p w14:paraId="5B9B2D5D" w14:textId="77777777" w:rsidR="00BA6D6C" w:rsidRDefault="00BA6D6C"/>
    <w:p w14:paraId="3E8033C4" w14:textId="77777777" w:rsidR="00893E25" w:rsidRDefault="00893E25">
      <w:r>
        <w:br w:type="page"/>
      </w:r>
    </w:p>
    <w:tbl>
      <w:tblPr>
        <w:tblW w:w="9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51"/>
      </w:tblGrid>
      <w:tr w:rsidR="00CA1206" w:rsidRPr="00CA1206" w14:paraId="66753B61" w14:textId="77777777" w:rsidTr="00C77AD1">
        <w:trPr>
          <w:trHeight w:val="264"/>
        </w:trPr>
        <w:tc>
          <w:tcPr>
            <w:tcW w:w="9118"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4FA77661" w14:textId="77777777" w:rsidR="00CA1206" w:rsidRPr="00CA1206" w:rsidRDefault="00CA1206" w:rsidP="00CA1206">
            <w:pPr>
              <w:spacing w:before="60" w:afterLines="60" w:after="144" w:line="240" w:lineRule="auto"/>
              <w:jc w:val="left"/>
              <w:rPr>
                <w:rFonts w:ascii="Arial" w:eastAsia="Arial" w:hAnsi="Arial" w:cs="Times New Roman"/>
                <w:bCs/>
                <w:iCs/>
                <w:color w:val="FFFFFF"/>
                <w:sz w:val="26"/>
                <w:szCs w:val="26"/>
                <w:lang w:val="en-NZ"/>
              </w:rPr>
            </w:pPr>
            <w:r w:rsidRPr="00CA1206">
              <w:rPr>
                <w:rFonts w:ascii="Arial" w:eastAsia="Arial" w:hAnsi="Arial" w:cs="Times New Roman"/>
                <w:b/>
                <w:bCs/>
                <w:sz w:val="26"/>
                <w:szCs w:val="26"/>
              </w:rPr>
              <w:lastRenderedPageBreak/>
              <w:t xml:space="preserve">Recommendations: </w:t>
            </w:r>
            <w:r w:rsidRPr="00CA1206">
              <w:rPr>
                <w:rFonts w:ascii="Arial" w:eastAsia="Arial" w:hAnsi="Arial" w:cs="Times New Roman"/>
                <w:b/>
                <w:iCs/>
                <w:sz w:val="26"/>
                <w:szCs w:val="26"/>
              </w:rPr>
              <w:t>Transforming government organisations</w:t>
            </w:r>
          </w:p>
        </w:tc>
      </w:tr>
      <w:tr w:rsidR="00CA1206" w:rsidRPr="00CA1206" w14:paraId="54515321" w14:textId="77777777" w:rsidTr="00C77AD1">
        <w:trPr>
          <w:trHeight w:val="5422"/>
        </w:trPr>
        <w:tc>
          <w:tcPr>
            <w:tcW w:w="9118" w:type="dxa"/>
            <w:gridSpan w:val="2"/>
            <w:tcBorders>
              <w:top w:val="single" w:sz="8" w:space="0" w:color="535552"/>
              <w:left w:val="single" w:sz="18" w:space="0" w:color="535552"/>
              <w:bottom w:val="dashed" w:sz="4" w:space="0" w:color="808080"/>
              <w:right w:val="single" w:sz="18" w:space="0" w:color="535552"/>
            </w:tcBorders>
            <w:shd w:val="clear" w:color="auto" w:fill="FFFFFF"/>
            <w:vAlign w:val="center"/>
          </w:tcPr>
          <w:p w14:paraId="3A73F7C4" w14:textId="77777777" w:rsidR="00CA1206" w:rsidRPr="00CA1206" w:rsidRDefault="00CA1206" w:rsidP="00CA1206">
            <w:pPr>
              <w:spacing w:before="60" w:afterLines="60" w:after="144" w:line="240" w:lineRule="auto"/>
              <w:jc w:val="left"/>
              <w:rPr>
                <w:rFonts w:ascii="Arial" w:eastAsia="Arial" w:hAnsi="Arial" w:cs="Times New Roman"/>
                <w:b/>
                <w:iCs/>
                <w:sz w:val="32"/>
                <w:szCs w:val="32"/>
                <w:lang w:val="en-NZ"/>
              </w:rPr>
            </w:pPr>
            <w:r w:rsidRPr="00CA1206">
              <w:rPr>
                <w:rFonts w:ascii="Arial" w:eastAsia="Arial" w:hAnsi="Arial" w:cs="Times New Roman"/>
                <w:b/>
                <w:iCs/>
                <w:sz w:val="32"/>
                <w:szCs w:val="32"/>
                <w:lang w:val="en-NZ"/>
              </w:rPr>
              <w:t>8</w:t>
            </w:r>
          </w:p>
          <w:p w14:paraId="0DF4F9E4" w14:textId="77777777" w:rsidR="00CA1206" w:rsidRPr="00CA1206" w:rsidRDefault="00CA1206" w:rsidP="00CA1206">
            <w:pPr>
              <w:spacing w:before="60" w:afterLines="60" w:after="144" w:line="240" w:lineRule="auto"/>
              <w:jc w:val="left"/>
              <w:rPr>
                <w:rFonts w:ascii="Arial" w:eastAsia="Arial" w:hAnsi="Arial" w:cs="Times New Roman"/>
                <w:b/>
                <w:iCs/>
                <w:szCs w:val="20"/>
                <w:lang w:val="en-NZ"/>
              </w:rPr>
            </w:pPr>
            <w:r w:rsidRPr="00CA1206">
              <w:rPr>
                <w:rFonts w:ascii="Arial" w:eastAsia="Arial" w:hAnsi="Arial" w:cs="Times New Roman"/>
                <w:b/>
                <w:iCs/>
                <w:szCs w:val="20"/>
                <w:lang w:val="en-NZ"/>
              </w:rPr>
              <w:t>Support partnerships between mainstream health organisations and Aboriginal and Torres Strait Islander people to improve the delivery of culturally safe and responsive services across the health system.</w:t>
            </w:r>
          </w:p>
          <w:p w14:paraId="0A235196" w14:textId="77777777" w:rsidR="00CA1206" w:rsidRPr="00CA1206" w:rsidRDefault="00CA1206" w:rsidP="00CA1206">
            <w:pPr>
              <w:spacing w:before="60" w:afterLines="60" w:after="144" w:line="240" w:lineRule="auto"/>
              <w:jc w:val="left"/>
              <w:rPr>
                <w:rFonts w:ascii="Arial" w:eastAsia="Arial" w:hAnsi="Arial" w:cs="Times New Roman"/>
                <w:bCs/>
                <w:iCs/>
                <w:szCs w:val="20"/>
              </w:rPr>
            </w:pPr>
            <w:r w:rsidRPr="00CA1206">
              <w:rPr>
                <w:rFonts w:ascii="Arial" w:eastAsia="Arial" w:hAnsi="Arial" w:cs="Times New Roman"/>
                <w:bCs/>
                <w:iCs/>
                <w:szCs w:val="20"/>
              </w:rPr>
              <w:t>To improve the safety and responsiveness of mainstream health services and improve health and wellbeing outcomes across the patient journey, the Department of Health and Aged care to work with state and territory governments and Aboriginal and Torres Strait Islander people and organisations to partner in health service governance, commissioning, and delivery processes.</w:t>
            </w:r>
          </w:p>
          <w:p w14:paraId="07FD8BFC" w14:textId="27E2BFF8" w:rsidR="00CA1206" w:rsidRPr="00CA1206" w:rsidRDefault="00CA1206" w:rsidP="00CA1206">
            <w:pPr>
              <w:spacing w:before="60" w:afterLines="60" w:after="144" w:line="240" w:lineRule="auto"/>
              <w:jc w:val="left"/>
              <w:rPr>
                <w:rFonts w:ascii="Arial" w:eastAsia="Arial" w:hAnsi="Arial" w:cs="Times New Roman"/>
                <w:iCs/>
                <w:szCs w:val="20"/>
              </w:rPr>
            </w:pPr>
            <w:r w:rsidRPr="00CA1206">
              <w:rPr>
                <w:rFonts w:ascii="Arial" w:eastAsia="Arial" w:hAnsi="Arial" w:cs="Times New Roman"/>
                <w:iCs/>
                <w:szCs w:val="20"/>
              </w:rPr>
              <w:t xml:space="preserve">In implementing this recommendation, the evaluation suggests additional funding be made available </w:t>
            </w:r>
            <w:r w:rsidR="009A7E80">
              <w:rPr>
                <w:rFonts w:ascii="Arial" w:eastAsia="Arial" w:hAnsi="Arial" w:cs="Times New Roman"/>
                <w:iCs/>
                <w:szCs w:val="20"/>
              </w:rPr>
              <w:t xml:space="preserve">by the department </w:t>
            </w:r>
            <w:r w:rsidRPr="00CA1206">
              <w:rPr>
                <w:rFonts w:ascii="Arial" w:eastAsia="Arial" w:hAnsi="Arial" w:cs="Times New Roman"/>
                <w:iCs/>
                <w:szCs w:val="20"/>
              </w:rPr>
              <w:t>to enable:</w:t>
            </w:r>
          </w:p>
          <w:p w14:paraId="24F007A2"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Partnerships between mainstream services, PHNs and Aboriginal and Torres Strait Islander organisations and people to identify opportunities to influence outcomes for Aboriginal and Torres Strait Islander people across the patient journey.</w:t>
            </w:r>
          </w:p>
          <w:p w14:paraId="27619776"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Strengthened participation of Aboriginal and Torres Strait Islander people in governance and leadership arrangements in mainstream health services, including local hospital networks.</w:t>
            </w:r>
          </w:p>
          <w:p w14:paraId="65FC59E3"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Increased leadership and participation by Aboriginal and Torres Strait Islander communities in the commissioning of mainstream health services that are used by Aboriginal and Torres Strait Islander people, including in assessing needs, planning services, procuring services and monitoring the quality of services.</w:t>
            </w:r>
          </w:p>
          <w:p w14:paraId="1D11595F"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The development of health service and operational responses that improve the quality, appropriateness and integration of care across health service settings. This may include, for example, partnerships between ACCHSs and local hospital networks to facilitate integrated care arrangements, including, where appropriate, the transfer of specific, hospital-based services to community-controlled health services. </w:t>
            </w:r>
          </w:p>
          <w:p w14:paraId="3D9E4750"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Increased investment in the ITC program to strengthen the ability of ACCHSs to support patients’ journeys through the health system. This may involve expanding eligibility under the ITC program to increase access to support services, including services across the patient journey such as hospital and outpatient care.</w:t>
            </w:r>
          </w:p>
          <w:p w14:paraId="7C228B92" w14:textId="112333F2" w:rsidR="00CA1206" w:rsidRPr="00CA1206" w:rsidRDefault="00CA1206" w:rsidP="00CA1206">
            <w:pPr>
              <w:spacing w:before="60" w:afterLines="60" w:after="144" w:line="240" w:lineRule="auto"/>
              <w:jc w:val="left"/>
              <w:rPr>
                <w:rFonts w:ascii="Arial" w:eastAsia="Arial" w:hAnsi="Arial" w:cs="Times New Roman"/>
                <w:iCs/>
                <w:lang w:val="en-NZ"/>
              </w:rPr>
            </w:pPr>
            <w:r w:rsidRPr="00CA1206">
              <w:rPr>
                <w:rFonts w:ascii="Arial" w:eastAsia="Arial" w:hAnsi="Arial" w:cs="Times New Roman"/>
                <w:bCs/>
                <w:iCs/>
                <w:szCs w:val="20"/>
              </w:rPr>
              <w:t xml:space="preserve">This recommendation is consistent with recommendations by the </w:t>
            </w:r>
            <w:r w:rsidRPr="00CA1206">
              <w:rPr>
                <w:rFonts w:ascii="Arial" w:eastAsia="Arial" w:hAnsi="Arial" w:cs="Times New Roman"/>
                <w:iCs/>
              </w:rPr>
              <w:t xml:space="preserve">Strengthening Medicare Taskforce to grow and invest in ACCHSs to commission primary care services for their communities; and to support local health system integration and person-centred care </w:t>
            </w:r>
            <w:r w:rsidRPr="00CA1206">
              <w:rPr>
                <w:rFonts w:ascii="Arial" w:eastAsia="Arial" w:hAnsi="Arial" w:cs="Times New Roman"/>
                <w:iCs/>
                <w:lang w:val="en-NZ"/>
              </w:rPr>
              <w:t>through PHNs working with local hospital networks, local practices, ACCHSs, pharmacies and other partners to facilitate integration of specialist and hospital services with primary care, and integrate primary care with mental health, aged care, community and disability services.</w:t>
            </w:r>
            <w:r w:rsidR="00F13234">
              <w:rPr>
                <w:rFonts w:ascii="Arial" w:eastAsia="Arial" w:hAnsi="Arial" w:cs="Times New Roman"/>
                <w:iCs/>
                <w:lang w:val="en-NZ"/>
              </w:rPr>
              <w:t xml:space="preserve"> </w:t>
            </w:r>
          </w:p>
        </w:tc>
      </w:tr>
      <w:tr w:rsidR="00CA1206" w:rsidRPr="00CA1206" w14:paraId="08E3B955" w14:textId="77777777" w:rsidTr="00C77AD1">
        <w:trPr>
          <w:trHeight w:val="631"/>
        </w:trPr>
        <w:tc>
          <w:tcPr>
            <w:tcW w:w="567" w:type="dxa"/>
            <w:tcBorders>
              <w:top w:val="dashed" w:sz="4" w:space="0" w:color="808080"/>
              <w:left w:val="single" w:sz="18" w:space="0" w:color="535552"/>
              <w:bottom w:val="single" w:sz="12" w:space="0" w:color="808080"/>
              <w:right w:val="nil"/>
            </w:tcBorders>
            <w:shd w:val="clear" w:color="auto" w:fill="EBECED"/>
          </w:tcPr>
          <w:p w14:paraId="4EEEF2D4" w14:textId="77777777" w:rsidR="00CA1206" w:rsidRPr="00CA1206" w:rsidRDefault="00CA1206" w:rsidP="00C14901">
            <w:pPr>
              <w:spacing w:before="120" w:after="120" w:line="240" w:lineRule="auto"/>
              <w:jc w:val="left"/>
              <w:rPr>
                <w:rFonts w:ascii="Arial" w:eastAsia="Arial" w:hAnsi="Arial" w:cs="Times New Roman"/>
                <w:b/>
                <w:iCs/>
                <w:szCs w:val="20"/>
                <w:lang w:val="en-NZ"/>
              </w:rPr>
            </w:pPr>
            <w:r w:rsidRPr="00CA1206">
              <w:rPr>
                <w:rFonts w:ascii="Arial" w:eastAsia="Arial" w:hAnsi="Arial" w:cs="Times New Roman"/>
                <w:bCs/>
                <w:iCs/>
                <w:noProof/>
                <w:szCs w:val="20"/>
                <w:lang w:val="en-NZ"/>
              </w:rPr>
              <w:drawing>
                <wp:inline distT="0" distB="0" distL="0" distR="0" wp14:anchorId="30B9A7C1" wp14:editId="730D161A">
                  <wp:extent cx="238125" cy="238125"/>
                  <wp:effectExtent l="0" t="0" r="9525" b="9525"/>
                  <wp:docPr id="1806010152" name="Picture 1806010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10152" name="Picture 1806010152">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1" w:type="dxa"/>
            <w:tcBorders>
              <w:top w:val="dashed" w:sz="4" w:space="0" w:color="808080"/>
              <w:left w:val="nil"/>
              <w:bottom w:val="single" w:sz="12" w:space="0" w:color="808080"/>
              <w:right w:val="single" w:sz="18" w:space="0" w:color="535552"/>
            </w:tcBorders>
            <w:shd w:val="clear" w:color="auto" w:fill="EBECED"/>
            <w:vAlign w:val="center"/>
          </w:tcPr>
          <w:p w14:paraId="3FE680B0" w14:textId="77777777" w:rsidR="00CA1206" w:rsidRPr="00CA1206" w:rsidRDefault="00CA1206" w:rsidP="00C14901">
            <w:pPr>
              <w:spacing w:before="120" w:after="120" w:line="240" w:lineRule="auto"/>
              <w:jc w:val="left"/>
              <w:rPr>
                <w:rFonts w:ascii="Arial" w:eastAsia="Arial" w:hAnsi="Arial" w:cs="Times New Roman"/>
                <w:b/>
                <w:iCs/>
                <w:szCs w:val="20"/>
                <w:lang w:val="en-NZ"/>
              </w:rPr>
            </w:pPr>
            <w:r w:rsidRPr="00CA1206">
              <w:rPr>
                <w:rFonts w:ascii="Arial" w:eastAsia="Arial" w:hAnsi="Arial" w:cs="Times New Roman"/>
                <w:bCs/>
                <w:iCs/>
                <w:szCs w:val="20"/>
              </w:rPr>
              <w:t>Medium – Long term</w:t>
            </w:r>
          </w:p>
        </w:tc>
      </w:tr>
    </w:tbl>
    <w:p w14:paraId="79FADF28" w14:textId="77777777" w:rsidR="00C77AD1" w:rsidRDefault="00C77AD1">
      <w:r>
        <w:br w:type="page"/>
      </w:r>
    </w:p>
    <w:tbl>
      <w:tblPr>
        <w:tblW w:w="9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51"/>
        <w:gridCol w:w="28"/>
      </w:tblGrid>
      <w:tr w:rsidR="00CA1206" w:rsidRPr="00CA1206" w14:paraId="3F95113C" w14:textId="77777777" w:rsidTr="00CA1206">
        <w:trPr>
          <w:gridAfter w:val="1"/>
          <w:wAfter w:w="28" w:type="dxa"/>
        </w:trPr>
        <w:tc>
          <w:tcPr>
            <w:tcW w:w="9118" w:type="dxa"/>
            <w:gridSpan w:val="2"/>
            <w:tcBorders>
              <w:top w:val="single" w:sz="12" w:space="0" w:color="808080"/>
              <w:left w:val="single" w:sz="18" w:space="0" w:color="535552"/>
              <w:bottom w:val="dashed" w:sz="4" w:space="0" w:color="808080"/>
              <w:right w:val="single" w:sz="18" w:space="0" w:color="535552"/>
            </w:tcBorders>
            <w:shd w:val="clear" w:color="auto" w:fill="FFFFFF"/>
            <w:vAlign w:val="center"/>
          </w:tcPr>
          <w:p w14:paraId="234999BE" w14:textId="05611F4F" w:rsidR="00CA1206" w:rsidRPr="00CA1206" w:rsidRDefault="00CA1206" w:rsidP="00CA1206">
            <w:pPr>
              <w:spacing w:before="60" w:afterLines="60" w:after="144" w:line="240" w:lineRule="auto"/>
              <w:jc w:val="left"/>
              <w:rPr>
                <w:rFonts w:ascii="Arial" w:eastAsia="Arial" w:hAnsi="Arial" w:cs="Times New Roman"/>
                <w:b/>
                <w:iCs/>
                <w:sz w:val="32"/>
                <w:szCs w:val="32"/>
                <w:lang w:val="en-NZ"/>
              </w:rPr>
            </w:pPr>
            <w:r w:rsidRPr="00CA1206">
              <w:rPr>
                <w:rFonts w:ascii="Arial" w:eastAsia="Arial" w:hAnsi="Arial" w:cs="Times New Roman"/>
                <w:b/>
                <w:iCs/>
                <w:sz w:val="32"/>
                <w:szCs w:val="32"/>
                <w:lang w:val="en-NZ"/>
              </w:rPr>
              <w:lastRenderedPageBreak/>
              <w:t>9</w:t>
            </w:r>
          </w:p>
          <w:p w14:paraId="599BD9C6" w14:textId="5BDCA749" w:rsidR="00CA1206" w:rsidRPr="00CA1206" w:rsidRDefault="00CA1206" w:rsidP="00CA1206">
            <w:pPr>
              <w:spacing w:before="60" w:afterLines="60" w:after="144" w:line="240" w:lineRule="auto"/>
              <w:jc w:val="left"/>
              <w:rPr>
                <w:rFonts w:ascii="Arial" w:eastAsia="Arial" w:hAnsi="Arial" w:cs="Times New Roman"/>
                <w:b/>
                <w:iCs/>
                <w:szCs w:val="20"/>
              </w:rPr>
            </w:pPr>
            <w:r w:rsidRPr="00CA1206">
              <w:rPr>
                <w:rFonts w:ascii="Arial" w:eastAsia="Arial" w:hAnsi="Arial" w:cs="Times New Roman"/>
                <w:b/>
                <w:iCs/>
                <w:szCs w:val="20"/>
                <w:lang w:val="en-NZ"/>
              </w:rPr>
              <w:t xml:space="preserve">The </w:t>
            </w:r>
            <w:r w:rsidRPr="00CA1206">
              <w:rPr>
                <w:rFonts w:ascii="Arial" w:eastAsia="Arial" w:hAnsi="Arial" w:cs="Times New Roman"/>
                <w:b/>
                <w:iCs/>
                <w:szCs w:val="20"/>
              </w:rPr>
              <w:t xml:space="preserve">Department of Health and Aged Care to strengthen Aboriginal and Torres Strait Islander health policy capability and capacity </w:t>
            </w:r>
            <w:r w:rsidR="000459EC">
              <w:rPr>
                <w:rFonts w:ascii="Arial" w:eastAsia="Arial" w:hAnsi="Arial" w:cs="Times New Roman"/>
                <w:b/>
                <w:iCs/>
                <w:szCs w:val="20"/>
              </w:rPr>
              <w:t>across the department</w:t>
            </w:r>
            <w:r w:rsidR="00DB15C8">
              <w:rPr>
                <w:rFonts w:ascii="Arial" w:eastAsia="Arial" w:hAnsi="Arial" w:cs="Times New Roman"/>
                <w:b/>
                <w:iCs/>
                <w:szCs w:val="20"/>
              </w:rPr>
              <w:t xml:space="preserve">, including </w:t>
            </w:r>
            <w:r w:rsidRPr="00CA1206">
              <w:rPr>
                <w:rFonts w:ascii="Arial" w:eastAsia="Arial" w:hAnsi="Arial" w:cs="Times New Roman"/>
                <w:b/>
                <w:iCs/>
                <w:szCs w:val="20"/>
              </w:rPr>
              <w:t xml:space="preserve">in the </w:t>
            </w:r>
            <w:r w:rsidR="000459EC">
              <w:rPr>
                <w:rFonts w:ascii="Arial" w:eastAsia="Arial" w:hAnsi="Arial" w:cs="Times New Roman"/>
                <w:b/>
                <w:iCs/>
                <w:szCs w:val="20"/>
              </w:rPr>
              <w:t>specialist</w:t>
            </w:r>
            <w:r w:rsidRPr="00CA1206">
              <w:rPr>
                <w:rFonts w:ascii="Arial" w:eastAsia="Arial" w:hAnsi="Arial" w:cs="Times New Roman"/>
                <w:b/>
                <w:iCs/>
                <w:szCs w:val="20"/>
              </w:rPr>
              <w:t xml:space="preserve"> First Nations Health Division</w:t>
            </w:r>
            <w:r w:rsidR="00F974D6">
              <w:rPr>
                <w:rFonts w:ascii="Arial" w:eastAsia="Arial" w:hAnsi="Arial" w:cs="Times New Roman"/>
                <w:b/>
                <w:iCs/>
                <w:szCs w:val="20"/>
              </w:rPr>
              <w:t>,</w:t>
            </w:r>
            <w:r w:rsidRPr="00CA1206">
              <w:rPr>
                <w:rFonts w:ascii="Arial" w:eastAsia="Arial" w:hAnsi="Arial" w:cs="Times New Roman"/>
                <w:b/>
                <w:iCs/>
                <w:szCs w:val="20"/>
              </w:rPr>
              <w:t xml:space="preserve"> to support shared policy decision-making, governance and accountability processes.</w:t>
            </w:r>
          </w:p>
          <w:p w14:paraId="4AFE7345" w14:textId="6A86C799" w:rsidR="00CA1206" w:rsidRPr="00CA1206" w:rsidRDefault="00CA1206" w:rsidP="00CA1206">
            <w:pPr>
              <w:spacing w:before="60" w:afterLines="60" w:after="144" w:line="240" w:lineRule="auto"/>
              <w:jc w:val="left"/>
              <w:rPr>
                <w:rFonts w:ascii="Arial" w:eastAsia="Arial" w:hAnsi="Arial" w:cs="Times New Roman"/>
                <w:bCs/>
                <w:iCs/>
                <w:szCs w:val="20"/>
              </w:rPr>
            </w:pPr>
            <w:r w:rsidRPr="00CA1206">
              <w:rPr>
                <w:rFonts w:ascii="Arial" w:eastAsia="Arial" w:hAnsi="Arial" w:cs="Times New Roman"/>
                <w:bCs/>
                <w:iCs/>
                <w:szCs w:val="20"/>
              </w:rPr>
              <w:t>To strengthen the administration of the IAHP and embed health policy expertise and capability that enables the Department of Health and Aged Care to maintain strong and effective partnerships with Aboriginal and Torres Strait Islander people, the department continue to build Aboriginal and Torres Strait Islander health policy capability</w:t>
            </w:r>
            <w:r w:rsidR="00C25D8A">
              <w:rPr>
                <w:rFonts w:ascii="Arial" w:eastAsia="Arial" w:hAnsi="Arial" w:cs="Times New Roman"/>
                <w:bCs/>
                <w:iCs/>
                <w:szCs w:val="20"/>
              </w:rPr>
              <w:t>, including</w:t>
            </w:r>
            <w:r w:rsidRPr="00CA1206">
              <w:rPr>
                <w:rFonts w:ascii="Arial" w:eastAsia="Arial" w:hAnsi="Arial" w:cs="Times New Roman"/>
                <w:bCs/>
                <w:iCs/>
                <w:szCs w:val="20"/>
              </w:rPr>
              <w:t xml:space="preserve"> through a dedicated team. </w:t>
            </w:r>
          </w:p>
          <w:p w14:paraId="1E98FEF3" w14:textId="77777777" w:rsidR="00CA1206" w:rsidRPr="00CA1206" w:rsidRDefault="00CA1206" w:rsidP="00CA1206">
            <w:pPr>
              <w:spacing w:before="60" w:afterLines="60" w:after="144" w:line="240" w:lineRule="auto"/>
              <w:jc w:val="left"/>
              <w:rPr>
                <w:rFonts w:ascii="Arial" w:eastAsia="Arial" w:hAnsi="Arial" w:cs="Times New Roman"/>
                <w:iCs/>
                <w:szCs w:val="20"/>
              </w:rPr>
            </w:pPr>
            <w:r w:rsidRPr="00CA1206">
              <w:rPr>
                <w:rFonts w:ascii="Arial" w:eastAsia="Arial" w:hAnsi="Arial" w:cs="Times New Roman"/>
                <w:iCs/>
                <w:szCs w:val="20"/>
              </w:rPr>
              <w:t>In implementing this recommendation, the evaluation suggests:</w:t>
            </w:r>
          </w:p>
          <w:p w14:paraId="6E7984CB"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Strengthening workforce strategies to attract and retain staff with experience and expertise in Aboriginal and Torres Strait Islander health care and programs, including as a priority, Aboriginal and Torres Strait Islander staff.</w:t>
            </w:r>
          </w:p>
          <w:p w14:paraId="46E85BC1"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Embedding and practising cultural safety within the First Nations Health Division and across the Department of Health and Aged Care to support culturally responsive decision-making, stronger relationships and understanding of key issues affecting the administration of the IAHP and the delivery of PHC to Aboriginal and Torres Strait Islander people. </w:t>
            </w:r>
          </w:p>
          <w:p w14:paraId="5B14C644"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Improving engagement with Aboriginal and Torres Strait Islander funded organisations and communities to build collaborative relationships and understand context specific issues affecting local service delivery. </w:t>
            </w:r>
          </w:p>
          <w:p w14:paraId="4706FFA9"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Strengthening formal connections between Aboriginal and Torres Strait Islander health policy expertise in the department and in Aboriginal and Torres Strait Islander peak bodies and ACCHSs.</w:t>
            </w:r>
          </w:p>
          <w:p w14:paraId="728AD1E1"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The First Nations Health Division continue to focus on engagement across the Department of Health and Aged Care and with central agencies to ensure collective responsibility for health outcomes for Aboriginal and Torres Strait Islander people. </w:t>
            </w:r>
          </w:p>
          <w:p w14:paraId="52A29C9F"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Strengthening Aboriginal and Torres Strait Islander health expertise at the most senior levels of departmental leadership and decision-making.</w:t>
            </w:r>
          </w:p>
          <w:p w14:paraId="435F7194" w14:textId="77777777" w:rsidR="00CA1206" w:rsidRPr="00CA1206" w:rsidRDefault="00CA1206" w:rsidP="00CA1206">
            <w:pPr>
              <w:spacing w:before="60" w:afterLines="60" w:after="144" w:line="240" w:lineRule="auto"/>
              <w:jc w:val="left"/>
              <w:rPr>
                <w:rFonts w:ascii="Arial" w:eastAsia="Arial" w:hAnsi="Arial" w:cs="Times New Roman"/>
                <w:bCs/>
                <w:iCs/>
                <w:szCs w:val="20"/>
              </w:rPr>
            </w:pPr>
            <w:r w:rsidRPr="00CA1206">
              <w:rPr>
                <w:rFonts w:ascii="Arial" w:eastAsia="Arial" w:hAnsi="Arial" w:cs="Times New Roman"/>
                <w:bCs/>
                <w:iCs/>
                <w:szCs w:val="20"/>
              </w:rPr>
              <w:t xml:space="preserve">This recommendation is consistent with existing commitments in the National Agreement on Closing the Gap to transform government organisations, and the value identified in the evaluation of having a specialist, dedicated Aboriginal and Torres Strait Islander division (the First Nations Health Division) within the Department of Health and Aged Care. </w:t>
            </w:r>
          </w:p>
        </w:tc>
      </w:tr>
      <w:tr w:rsidR="00CA1206" w:rsidRPr="00CA1206" w14:paraId="3786A181" w14:textId="77777777" w:rsidTr="00CA1206">
        <w:trPr>
          <w:gridAfter w:val="1"/>
          <w:wAfter w:w="28" w:type="dxa"/>
        </w:trPr>
        <w:tc>
          <w:tcPr>
            <w:tcW w:w="567" w:type="dxa"/>
            <w:tcBorders>
              <w:top w:val="dashed" w:sz="4" w:space="0" w:color="808080"/>
              <w:left w:val="single" w:sz="18" w:space="0" w:color="535552"/>
              <w:bottom w:val="single" w:sz="12" w:space="0" w:color="808080"/>
              <w:right w:val="nil"/>
            </w:tcBorders>
            <w:shd w:val="clear" w:color="auto" w:fill="EBECED"/>
            <w:vAlign w:val="center"/>
          </w:tcPr>
          <w:p w14:paraId="54C2F5CD" w14:textId="77777777" w:rsidR="00CA1206" w:rsidRPr="00CA1206" w:rsidRDefault="00CA1206" w:rsidP="00C14901">
            <w:pPr>
              <w:spacing w:before="60" w:after="60" w:line="240" w:lineRule="auto"/>
              <w:jc w:val="left"/>
              <w:rPr>
                <w:rFonts w:ascii="Arial" w:eastAsia="Arial" w:hAnsi="Arial" w:cs="Times New Roman"/>
                <w:iCs/>
                <w:szCs w:val="20"/>
              </w:rPr>
            </w:pPr>
            <w:r w:rsidRPr="00CA1206">
              <w:rPr>
                <w:rFonts w:ascii="Arial" w:eastAsia="Arial" w:hAnsi="Arial" w:cs="Times New Roman"/>
                <w:bCs/>
                <w:iCs/>
                <w:noProof/>
                <w:szCs w:val="20"/>
                <w:lang w:val="en-NZ"/>
              </w:rPr>
              <w:drawing>
                <wp:inline distT="0" distB="0" distL="0" distR="0" wp14:anchorId="149A559F" wp14:editId="5815E765">
                  <wp:extent cx="238125" cy="238125"/>
                  <wp:effectExtent l="0" t="0" r="9525" b="9525"/>
                  <wp:docPr id="763667958" name="Picture 7636679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67958" name="Picture 763667958">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1" w:type="dxa"/>
            <w:tcBorders>
              <w:top w:val="dashed" w:sz="4" w:space="0" w:color="808080"/>
              <w:left w:val="nil"/>
              <w:bottom w:val="single" w:sz="12" w:space="0" w:color="808080"/>
              <w:right w:val="single" w:sz="18" w:space="0" w:color="535552"/>
            </w:tcBorders>
            <w:shd w:val="clear" w:color="auto" w:fill="EBECED"/>
            <w:vAlign w:val="center"/>
          </w:tcPr>
          <w:p w14:paraId="565C8C7E" w14:textId="77777777" w:rsidR="00CA1206" w:rsidRPr="00CA1206" w:rsidRDefault="00CA1206" w:rsidP="00C14901">
            <w:pPr>
              <w:spacing w:before="60" w:after="60" w:line="240" w:lineRule="auto"/>
              <w:jc w:val="left"/>
              <w:rPr>
                <w:rFonts w:ascii="Arial" w:eastAsia="Arial" w:hAnsi="Arial" w:cs="Times New Roman"/>
                <w:iCs/>
                <w:szCs w:val="20"/>
              </w:rPr>
            </w:pPr>
            <w:r w:rsidRPr="00CA1206">
              <w:rPr>
                <w:rFonts w:ascii="Arial" w:eastAsia="Arial" w:hAnsi="Arial" w:cs="Times New Roman"/>
                <w:bCs/>
                <w:iCs/>
                <w:szCs w:val="20"/>
              </w:rPr>
              <w:t xml:space="preserve">Immediate term – Ongoing </w:t>
            </w:r>
          </w:p>
        </w:tc>
      </w:tr>
      <w:tr w:rsidR="00CA1206" w:rsidRPr="00CA1206" w14:paraId="6B3F3960" w14:textId="77777777" w:rsidTr="00CA1206">
        <w:tc>
          <w:tcPr>
            <w:tcW w:w="9146" w:type="dxa"/>
            <w:gridSpan w:val="3"/>
            <w:tcBorders>
              <w:top w:val="single" w:sz="4" w:space="0" w:color="808080"/>
              <w:left w:val="single" w:sz="18" w:space="0" w:color="535552"/>
              <w:bottom w:val="dashed" w:sz="4" w:space="0" w:color="808080"/>
              <w:right w:val="single" w:sz="18" w:space="0" w:color="535552"/>
            </w:tcBorders>
            <w:shd w:val="clear" w:color="auto" w:fill="FFFFFF"/>
            <w:vAlign w:val="center"/>
          </w:tcPr>
          <w:p w14:paraId="42EEA2A3" w14:textId="77777777" w:rsidR="00CA1206" w:rsidRPr="00CA1206" w:rsidRDefault="00CA1206" w:rsidP="00CA1206">
            <w:pPr>
              <w:spacing w:before="60" w:afterLines="60" w:after="144" w:line="240" w:lineRule="auto"/>
              <w:jc w:val="left"/>
              <w:rPr>
                <w:rFonts w:ascii="Arial" w:eastAsia="Arial" w:hAnsi="Arial" w:cs="Times New Roman"/>
                <w:b/>
                <w:iCs/>
                <w:sz w:val="32"/>
                <w:szCs w:val="32"/>
                <w:lang w:val="en-NZ"/>
              </w:rPr>
            </w:pPr>
            <w:r w:rsidRPr="00CA1206">
              <w:rPr>
                <w:rFonts w:ascii="Arial" w:eastAsia="Arial" w:hAnsi="Arial" w:cs="Times New Roman"/>
                <w:b/>
                <w:iCs/>
                <w:sz w:val="32"/>
                <w:szCs w:val="32"/>
                <w:lang w:val="en-NZ"/>
              </w:rPr>
              <w:t>10</w:t>
            </w:r>
          </w:p>
          <w:p w14:paraId="57E219B6" w14:textId="77777777" w:rsidR="00CA1206" w:rsidRPr="00CA1206" w:rsidRDefault="00CA1206" w:rsidP="00CA1206">
            <w:pPr>
              <w:spacing w:before="60" w:afterLines="60" w:after="144" w:line="240" w:lineRule="auto"/>
              <w:jc w:val="left"/>
              <w:rPr>
                <w:rFonts w:ascii="Arial" w:eastAsia="Arial" w:hAnsi="Arial" w:cs="Times New Roman"/>
                <w:b/>
                <w:iCs/>
                <w:szCs w:val="20"/>
                <w:lang w:val="en-NZ"/>
              </w:rPr>
            </w:pPr>
            <w:r w:rsidRPr="00CA1206">
              <w:rPr>
                <w:rFonts w:ascii="Arial" w:eastAsia="Arial" w:hAnsi="Arial" w:cs="Times New Roman"/>
                <w:b/>
                <w:iCs/>
                <w:szCs w:val="20"/>
                <w:lang w:val="en-NZ"/>
              </w:rPr>
              <w:t>The Department of Health and Aged Care to work with PHNs to strengthen the PHC system to improve care for Aboriginal and Torres Strait Islander people.</w:t>
            </w:r>
          </w:p>
          <w:p w14:paraId="1801346F" w14:textId="77777777" w:rsidR="00CA1206" w:rsidRPr="00CA1206" w:rsidRDefault="00CA1206" w:rsidP="00CA1206">
            <w:pPr>
              <w:spacing w:before="60" w:afterLines="60" w:after="144" w:line="240" w:lineRule="auto"/>
              <w:jc w:val="left"/>
              <w:rPr>
                <w:rFonts w:ascii="Arial" w:eastAsia="Arial" w:hAnsi="Arial" w:cs="Times New Roman"/>
                <w:iCs/>
              </w:rPr>
            </w:pPr>
            <w:r w:rsidRPr="00CA1206">
              <w:rPr>
                <w:rFonts w:ascii="Arial" w:eastAsia="Arial" w:hAnsi="Arial" w:cs="Times New Roman"/>
                <w:bCs/>
                <w:iCs/>
                <w:szCs w:val="20"/>
                <w:lang w:val="en-NZ"/>
              </w:rPr>
              <w:t>To continue to transform PHNs to be more accountable, culturally safe and responsive to the needs of Aboriginal and Torres Strait Islander people, the Department of Health and Aged Care to support and encourage PHNs to improve commissioning processes and the integration of local health care services.</w:t>
            </w:r>
          </w:p>
          <w:p w14:paraId="5A1605B7" w14:textId="77777777" w:rsidR="00C77AD1" w:rsidRDefault="00C77AD1" w:rsidP="00CA1206">
            <w:pPr>
              <w:spacing w:before="60" w:afterLines="60" w:after="144" w:line="240" w:lineRule="auto"/>
              <w:jc w:val="left"/>
              <w:rPr>
                <w:rFonts w:ascii="Arial" w:eastAsia="Arial" w:hAnsi="Arial" w:cs="Times New Roman"/>
                <w:iCs/>
                <w:szCs w:val="20"/>
              </w:rPr>
            </w:pPr>
          </w:p>
          <w:p w14:paraId="01454D96" w14:textId="6A18F258" w:rsidR="00CA1206" w:rsidRPr="00CA1206" w:rsidRDefault="00CA1206" w:rsidP="00CA1206">
            <w:pPr>
              <w:spacing w:before="60" w:afterLines="60" w:after="144" w:line="240" w:lineRule="auto"/>
              <w:jc w:val="left"/>
              <w:rPr>
                <w:rFonts w:ascii="Arial" w:eastAsia="Arial" w:hAnsi="Arial" w:cs="Times New Roman"/>
                <w:iCs/>
                <w:szCs w:val="20"/>
              </w:rPr>
            </w:pPr>
            <w:r w:rsidRPr="00CA1206">
              <w:rPr>
                <w:rFonts w:ascii="Arial" w:eastAsia="Arial" w:hAnsi="Arial" w:cs="Times New Roman"/>
                <w:iCs/>
                <w:szCs w:val="20"/>
              </w:rPr>
              <w:lastRenderedPageBreak/>
              <w:t>In implementing this recommendation, the evaluation suggests:</w:t>
            </w:r>
          </w:p>
          <w:p w14:paraId="5ABE1D00"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Supporting PHNs to strengthen governance and accountability processes for organisational transformation, including involving Aboriginal and Torres Strait Islander people and organisations in leadership and governance arrangements. </w:t>
            </w:r>
          </w:p>
          <w:p w14:paraId="4A6B7AF7"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Ensuring PHN commissioning processes are transparent and responsive to the identified needs of Aboriginal and Torres Strait Islander people within their community.</w:t>
            </w:r>
          </w:p>
          <w:p w14:paraId="1859459A"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Supporting PHNs and ACCHSs to engage in health service co-commissioning processes.</w:t>
            </w:r>
          </w:p>
          <w:p w14:paraId="33CFDFB1" w14:textId="77777777"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Supporting alliances between PHNs, mainstream health services and Aboriginal and Torres Strait Islander organisations, communities and people, including through adequate resourcing to engage in collaboration and co-design activity.</w:t>
            </w:r>
          </w:p>
          <w:p w14:paraId="48C54C5D" w14:textId="3DCF1BC6" w:rsidR="00CA1206" w:rsidRPr="00CA1206" w:rsidRDefault="00CA1206" w:rsidP="00CA1206">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Ensuring outcomes and indicators in the PHN Program Performance and Quality Framework reflect the Priority Reforms in the National Agreement on Closing the Gap.</w:t>
            </w:r>
            <w:r w:rsidR="00AA35E2">
              <w:rPr>
                <w:rFonts w:ascii="Arial" w:eastAsia="Arial" w:hAnsi="Arial" w:cs="Times New Roman"/>
                <w:bCs/>
                <w:iCs/>
                <w:szCs w:val="20"/>
              </w:rPr>
              <w:t xml:space="preserve"> </w:t>
            </w:r>
          </w:p>
          <w:p w14:paraId="540F5510" w14:textId="61B83780" w:rsidR="00CA1206" w:rsidRPr="00CA1206" w:rsidRDefault="00CA1206" w:rsidP="00CA1206">
            <w:pPr>
              <w:spacing w:before="60" w:afterLines="60" w:after="144" w:line="240" w:lineRule="auto"/>
              <w:jc w:val="left"/>
              <w:rPr>
                <w:rFonts w:ascii="Arial" w:eastAsia="Arial" w:hAnsi="Arial" w:cs="Times New Roman"/>
                <w:iCs/>
              </w:rPr>
            </w:pPr>
            <w:r w:rsidRPr="00CA1206">
              <w:rPr>
                <w:rFonts w:ascii="Arial" w:eastAsia="Arial" w:hAnsi="Arial" w:cs="Times New Roman"/>
                <w:bCs/>
                <w:iCs/>
                <w:szCs w:val="20"/>
              </w:rPr>
              <w:t xml:space="preserve">This recommendation is consistent with a recommendation in the </w:t>
            </w:r>
            <w:r w:rsidRPr="00CA1206">
              <w:rPr>
                <w:rFonts w:ascii="Arial" w:eastAsia="Arial" w:hAnsi="Arial" w:cs="Times New Roman"/>
                <w:iCs/>
              </w:rPr>
              <w:t xml:space="preserve">Strengthening Medicare Taskforce to strengthen the role of PHNs to support the adoption of successful, locally designed models of care. </w:t>
            </w:r>
          </w:p>
        </w:tc>
      </w:tr>
      <w:tr w:rsidR="00CA1206" w:rsidRPr="00CA1206" w14:paraId="3DEFB9DA" w14:textId="77777777" w:rsidTr="00CA1206">
        <w:tc>
          <w:tcPr>
            <w:tcW w:w="567" w:type="dxa"/>
            <w:tcBorders>
              <w:top w:val="dashed" w:sz="4" w:space="0" w:color="808080"/>
              <w:left w:val="single" w:sz="18" w:space="0" w:color="535552"/>
              <w:bottom w:val="single" w:sz="18" w:space="0" w:color="535552"/>
              <w:right w:val="nil"/>
            </w:tcBorders>
            <w:shd w:val="clear" w:color="auto" w:fill="EBECED"/>
            <w:vAlign w:val="center"/>
          </w:tcPr>
          <w:p w14:paraId="73890DA9" w14:textId="77777777" w:rsidR="00CA1206" w:rsidRPr="00CA1206" w:rsidRDefault="00CA1206" w:rsidP="00C14901">
            <w:pPr>
              <w:spacing w:before="60" w:after="60" w:line="240" w:lineRule="auto"/>
              <w:jc w:val="left"/>
              <w:rPr>
                <w:rFonts w:ascii="Arial" w:eastAsia="Arial" w:hAnsi="Arial" w:cs="Times New Roman"/>
                <w:iCs/>
                <w:szCs w:val="20"/>
              </w:rPr>
            </w:pPr>
            <w:r w:rsidRPr="00CA1206">
              <w:rPr>
                <w:rFonts w:ascii="Arial" w:eastAsia="Arial" w:hAnsi="Arial" w:cs="Times New Roman"/>
                <w:bCs/>
                <w:iCs/>
                <w:noProof/>
                <w:szCs w:val="20"/>
                <w:lang w:val="en-NZ"/>
              </w:rPr>
              <w:lastRenderedPageBreak/>
              <w:drawing>
                <wp:inline distT="0" distB="0" distL="0" distR="0" wp14:anchorId="6E218902" wp14:editId="5B5AE295">
                  <wp:extent cx="238125" cy="238125"/>
                  <wp:effectExtent l="0" t="0" r="9525" b="9525"/>
                  <wp:docPr id="1633087481" name="Picture 1633087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87481" name="Picture 163308748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79" w:type="dxa"/>
            <w:gridSpan w:val="2"/>
            <w:tcBorders>
              <w:top w:val="dashed" w:sz="4" w:space="0" w:color="808080"/>
              <w:left w:val="nil"/>
              <w:bottom w:val="single" w:sz="18" w:space="0" w:color="535552"/>
              <w:right w:val="single" w:sz="18" w:space="0" w:color="535552"/>
            </w:tcBorders>
            <w:shd w:val="clear" w:color="auto" w:fill="EBECED"/>
            <w:vAlign w:val="center"/>
          </w:tcPr>
          <w:p w14:paraId="6BDDFAE9" w14:textId="77777777" w:rsidR="00CA1206" w:rsidRPr="00CA1206" w:rsidRDefault="00CA1206" w:rsidP="00C14901">
            <w:pPr>
              <w:spacing w:before="60" w:after="60" w:line="240" w:lineRule="auto"/>
              <w:jc w:val="left"/>
              <w:rPr>
                <w:rFonts w:ascii="Arial" w:eastAsia="Arial" w:hAnsi="Arial" w:cs="Times New Roman"/>
                <w:iCs/>
                <w:szCs w:val="20"/>
              </w:rPr>
            </w:pPr>
            <w:r w:rsidRPr="00CA1206">
              <w:rPr>
                <w:rFonts w:ascii="Arial" w:eastAsia="Arial" w:hAnsi="Arial" w:cs="Times New Roman"/>
                <w:bCs/>
                <w:iCs/>
                <w:szCs w:val="20"/>
                <w:lang w:val="en-NZ"/>
              </w:rPr>
              <w:t>Medium term</w:t>
            </w:r>
          </w:p>
        </w:tc>
      </w:tr>
    </w:tbl>
    <w:p w14:paraId="077F0689" w14:textId="780655E2" w:rsidR="00C77AD1" w:rsidRDefault="00C77AD1"/>
    <w:p w14:paraId="2619A7C7" w14:textId="77777777" w:rsidR="00C77AD1" w:rsidRDefault="00C77AD1">
      <w:pPr>
        <w:jc w:val="left"/>
      </w:pPr>
      <w:r>
        <w:br w:type="page"/>
      </w: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65"/>
      </w:tblGrid>
      <w:tr w:rsidR="00BA6D6C" w:rsidRPr="00BA6D6C" w14:paraId="5B2CAB6B" w14:textId="77777777">
        <w:trPr>
          <w:trHeight w:val="547"/>
        </w:trPr>
        <w:tc>
          <w:tcPr>
            <w:tcW w:w="9132" w:type="dxa"/>
            <w:gridSpan w:val="2"/>
            <w:tcBorders>
              <w:top w:val="single" w:sz="18" w:space="0" w:color="535552"/>
              <w:left w:val="single" w:sz="18" w:space="0" w:color="535552"/>
              <w:bottom w:val="single" w:sz="8" w:space="0" w:color="535552"/>
              <w:right w:val="single" w:sz="18" w:space="0" w:color="535552"/>
            </w:tcBorders>
            <w:shd w:val="clear" w:color="auto" w:fill="E4E879"/>
          </w:tcPr>
          <w:p w14:paraId="2DF2EAF6" w14:textId="77777777" w:rsidR="00BA6D6C" w:rsidRPr="00BA6D6C" w:rsidRDefault="00BA6D6C" w:rsidP="00BA6D6C">
            <w:pPr>
              <w:spacing w:before="60" w:afterLines="60" w:after="144" w:line="240" w:lineRule="auto"/>
              <w:jc w:val="left"/>
              <w:rPr>
                <w:rFonts w:ascii="Arial" w:eastAsia="Arial" w:hAnsi="Arial" w:cs="Times New Roman"/>
                <w:bCs/>
                <w:iCs/>
                <w:sz w:val="26"/>
                <w:szCs w:val="26"/>
                <w:lang w:val="en-NZ"/>
              </w:rPr>
            </w:pPr>
            <w:r w:rsidRPr="00BA6D6C">
              <w:rPr>
                <w:rFonts w:ascii="Arial" w:eastAsia="Arial" w:hAnsi="Arial" w:cs="Times New Roman"/>
                <w:b/>
                <w:bCs/>
                <w:sz w:val="26"/>
                <w:szCs w:val="26"/>
              </w:rPr>
              <w:lastRenderedPageBreak/>
              <w:t xml:space="preserve">Recommendations: </w:t>
            </w:r>
            <w:r w:rsidRPr="00BA6D6C">
              <w:rPr>
                <w:rFonts w:ascii="Arial" w:eastAsia="Arial" w:hAnsi="Arial" w:cs="Times New Roman"/>
                <w:b/>
                <w:bCs/>
                <w:iCs/>
                <w:sz w:val="26"/>
                <w:szCs w:val="26"/>
                <w:lang w:val="en-NZ"/>
              </w:rPr>
              <w:t>Shared access to data and information at a regional level</w:t>
            </w:r>
          </w:p>
        </w:tc>
      </w:tr>
      <w:tr w:rsidR="00BA6D6C" w:rsidRPr="00BA6D6C" w14:paraId="66A4E7A5" w14:textId="77777777" w:rsidTr="00BA6D6C">
        <w:tc>
          <w:tcPr>
            <w:tcW w:w="9132" w:type="dxa"/>
            <w:gridSpan w:val="2"/>
            <w:tcBorders>
              <w:top w:val="single" w:sz="8" w:space="0" w:color="535552"/>
              <w:left w:val="single" w:sz="18" w:space="0" w:color="535552"/>
              <w:bottom w:val="dashed" w:sz="4" w:space="0" w:color="808080"/>
              <w:right w:val="single" w:sz="18" w:space="0" w:color="535552"/>
            </w:tcBorders>
            <w:shd w:val="clear" w:color="auto" w:fill="FFFFFF"/>
            <w:vAlign w:val="center"/>
          </w:tcPr>
          <w:p w14:paraId="5BB90FB8" w14:textId="77777777" w:rsidR="00BA6D6C" w:rsidRPr="00BA6D6C" w:rsidRDefault="00BA6D6C" w:rsidP="00BA6D6C">
            <w:pPr>
              <w:spacing w:before="60" w:afterLines="60" w:after="144" w:line="240" w:lineRule="auto"/>
              <w:jc w:val="left"/>
              <w:rPr>
                <w:rFonts w:ascii="Arial" w:eastAsia="Arial" w:hAnsi="Arial" w:cs="Times New Roman"/>
                <w:b/>
                <w:iCs/>
                <w:sz w:val="32"/>
                <w:szCs w:val="32"/>
                <w:lang w:val="en-NZ"/>
              </w:rPr>
            </w:pPr>
            <w:r w:rsidRPr="00BA6D6C">
              <w:rPr>
                <w:rFonts w:ascii="Arial" w:eastAsia="Arial" w:hAnsi="Arial" w:cs="Times New Roman"/>
                <w:b/>
                <w:iCs/>
                <w:sz w:val="32"/>
                <w:szCs w:val="32"/>
                <w:lang w:val="en-NZ"/>
              </w:rPr>
              <w:t>11</w:t>
            </w:r>
          </w:p>
          <w:p w14:paraId="659CFC9A" w14:textId="77777777" w:rsidR="00BA6D6C" w:rsidRPr="00BA6D6C" w:rsidRDefault="00BA6D6C" w:rsidP="00BA6D6C">
            <w:pPr>
              <w:spacing w:before="60" w:afterLines="60" w:after="144" w:line="240" w:lineRule="auto"/>
              <w:jc w:val="left"/>
              <w:rPr>
                <w:rFonts w:ascii="Arial" w:eastAsia="Arial" w:hAnsi="Arial" w:cs="Times New Roman"/>
                <w:b/>
                <w:iCs/>
                <w:szCs w:val="20"/>
              </w:rPr>
            </w:pPr>
            <w:r w:rsidRPr="00BA6D6C">
              <w:rPr>
                <w:rFonts w:ascii="Arial" w:eastAsia="Arial" w:hAnsi="Arial" w:cs="Times New Roman"/>
                <w:b/>
                <w:iCs/>
                <w:szCs w:val="20"/>
              </w:rPr>
              <w:t>Invest in Aboriginal and Torres Strait Islander communities to lead community health needs assessments to strengthen decision-making on health service planning, design and delivery.</w:t>
            </w:r>
          </w:p>
          <w:p w14:paraId="52939C53" w14:textId="77777777" w:rsidR="00BA6D6C" w:rsidRPr="00BA6D6C" w:rsidRDefault="00BA6D6C" w:rsidP="00BA6D6C">
            <w:pPr>
              <w:spacing w:before="60" w:afterLines="60" w:after="144" w:line="240" w:lineRule="auto"/>
              <w:jc w:val="left"/>
              <w:rPr>
                <w:rFonts w:ascii="Arial" w:eastAsia="Arial" w:hAnsi="Arial" w:cs="Times New Roman"/>
                <w:bCs/>
                <w:iCs/>
                <w:szCs w:val="20"/>
              </w:rPr>
            </w:pPr>
            <w:r w:rsidRPr="00BA6D6C">
              <w:rPr>
                <w:rFonts w:ascii="Arial" w:eastAsia="Arial" w:hAnsi="Arial" w:cs="Times New Roman"/>
                <w:iCs/>
                <w:szCs w:val="20"/>
              </w:rPr>
              <w:t xml:space="preserve">To enable improved locally-responsive decision-making to support the planning, design and delivery of the IAHP and other programs and activities, the Department of Health and Aged Care to fund </w:t>
            </w:r>
            <w:r w:rsidRPr="00BA6D6C">
              <w:rPr>
                <w:rFonts w:ascii="Arial" w:eastAsia="Arial" w:hAnsi="Arial" w:cs="Times New Roman"/>
                <w:iCs/>
              </w:rPr>
              <w:t xml:space="preserve">ACCHSs </w:t>
            </w:r>
            <w:r w:rsidRPr="00BA6D6C">
              <w:rPr>
                <w:rFonts w:ascii="Arial" w:eastAsia="Arial" w:hAnsi="Arial" w:cs="Times New Roman"/>
                <w:iCs/>
                <w:szCs w:val="20"/>
              </w:rPr>
              <w:t>to lead health needs assessments in their local communities.</w:t>
            </w:r>
          </w:p>
          <w:p w14:paraId="03E10A13" w14:textId="77777777" w:rsidR="00BA6D6C" w:rsidRPr="00BA6D6C" w:rsidRDefault="00BA6D6C" w:rsidP="00BA6D6C">
            <w:pPr>
              <w:spacing w:before="60" w:afterLines="60" w:after="144" w:line="240" w:lineRule="auto"/>
              <w:jc w:val="left"/>
              <w:rPr>
                <w:rFonts w:ascii="Arial" w:eastAsia="Arial" w:hAnsi="Arial" w:cs="Times New Roman"/>
                <w:iCs/>
                <w:szCs w:val="20"/>
              </w:rPr>
            </w:pPr>
            <w:r w:rsidRPr="00BA6D6C">
              <w:rPr>
                <w:rFonts w:ascii="Arial" w:eastAsia="Arial" w:hAnsi="Arial" w:cs="Times New Roman"/>
                <w:iCs/>
                <w:szCs w:val="20"/>
              </w:rPr>
              <w:t>In implementing this recommendation, the evaluation suggests:</w:t>
            </w:r>
          </w:p>
          <w:p w14:paraId="6B4C4049"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Enabling Aboriginal and Torres Strait Islander communities to define the measures, processes and reporting for health needs assessments, and data capture, knowledge transfer and other reporting and accountability processes.</w:t>
            </w:r>
          </w:p>
          <w:p w14:paraId="674B1200"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Making sure that the IAHP and other funding programs are responsive to the outcomes of health needs assessments.</w:t>
            </w:r>
          </w:p>
          <w:p w14:paraId="45FE6FFA"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 xml:space="preserve">Supporting the capacity of ACCHSs to collect and use data relating to health needs in their communities (for example, for CQI processes and to support service design and improvement), and to exercise their sovereignty over how data is used and interpreted (for example, whether it contributes to a PHN or local hospital network health needs assessment). </w:t>
            </w:r>
          </w:p>
          <w:p w14:paraId="4D1AABD3"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Providing Aboriginal and Torres Strait Islander communities with access to locally-relevant data and information to support their health needs assessments, consistent with commitments to Indigenous Data Sovereignty and Indigenous Data Governance.</w:t>
            </w:r>
          </w:p>
          <w:p w14:paraId="3F1F3BE0" w14:textId="77777777" w:rsidR="00BA6D6C" w:rsidRPr="00311425" w:rsidRDefault="00BA6D6C" w:rsidP="00BA6D6C">
            <w:pPr>
              <w:numPr>
                <w:ilvl w:val="0"/>
                <w:numId w:val="24"/>
              </w:numPr>
              <w:spacing w:before="60" w:afterLines="60" w:after="144" w:line="240" w:lineRule="auto"/>
              <w:ind w:left="601" w:hanging="357"/>
              <w:jc w:val="left"/>
              <w:rPr>
                <w:rFonts w:ascii="Arial" w:eastAsia="Arial" w:hAnsi="Arial" w:cs="Times New Roman"/>
                <w:b/>
                <w:bCs/>
                <w:iCs/>
              </w:rPr>
            </w:pPr>
            <w:r w:rsidRPr="00BA6D6C">
              <w:rPr>
                <w:rFonts w:ascii="Arial" w:eastAsia="Arial" w:hAnsi="Arial" w:cs="Times New Roman"/>
                <w:bCs/>
                <w:iCs/>
                <w:szCs w:val="20"/>
              </w:rPr>
              <w:t>Supporting ACCHSs (for example, through resources and training) to participate in research to generate evidence in relation to comprehensive PHC services and delivery.</w:t>
            </w:r>
          </w:p>
          <w:p w14:paraId="133EADF9" w14:textId="4F0D250E" w:rsidR="00BA6D6C" w:rsidRPr="00BA6D6C" w:rsidRDefault="00311425" w:rsidP="00311425">
            <w:pPr>
              <w:spacing w:before="60" w:afterLines="60" w:after="144" w:line="240" w:lineRule="auto"/>
              <w:jc w:val="left"/>
              <w:rPr>
                <w:rFonts w:ascii="Arial" w:eastAsia="Arial" w:hAnsi="Arial" w:cs="Times New Roman"/>
                <w:b/>
                <w:bCs/>
                <w:iCs/>
              </w:rPr>
            </w:pPr>
            <w:r w:rsidRPr="001143F2">
              <w:rPr>
                <w:rFonts w:ascii="Arial" w:eastAsia="Arial" w:hAnsi="Arial" w:cs="Times New Roman"/>
                <w:bCs/>
                <w:iCs/>
                <w:szCs w:val="20"/>
                <w:lang w:val="en-NZ"/>
              </w:rPr>
              <w:t xml:space="preserve">This recommendation supports action that is </w:t>
            </w:r>
            <w:r w:rsidRPr="001357A4">
              <w:rPr>
                <w:rFonts w:ascii="Arial" w:eastAsia="Arial" w:hAnsi="Arial" w:cs="Times New Roman"/>
                <w:bCs/>
                <w:iCs/>
                <w:szCs w:val="20"/>
                <w:lang w:val="en-NZ"/>
              </w:rPr>
              <w:t xml:space="preserve">consistent with </w:t>
            </w:r>
            <w:r w:rsidRPr="001357A4">
              <w:rPr>
                <w:rFonts w:ascii="Arial" w:eastAsia="Arial" w:hAnsi="Arial" w:cs="Times New Roman"/>
                <w:bCs/>
                <w:iCs/>
                <w:szCs w:val="20"/>
              </w:rPr>
              <w:t xml:space="preserve">the development of </w:t>
            </w:r>
            <w:r>
              <w:rPr>
                <w:rFonts w:ascii="Arial" w:eastAsia="Arial" w:hAnsi="Arial" w:cs="Times New Roman"/>
                <w:bCs/>
                <w:iCs/>
                <w:szCs w:val="20"/>
              </w:rPr>
              <w:t xml:space="preserve">the needs assessment and outcome component of </w:t>
            </w:r>
            <w:r w:rsidRPr="001357A4">
              <w:rPr>
                <w:rFonts w:ascii="Arial" w:eastAsia="Arial" w:hAnsi="Arial" w:cs="Times New Roman"/>
                <w:bCs/>
                <w:iCs/>
                <w:szCs w:val="20"/>
              </w:rPr>
              <w:t>the Core Services and Outcomes Framework</w:t>
            </w:r>
            <w:r>
              <w:rPr>
                <w:rFonts w:ascii="Arial" w:eastAsia="Arial" w:hAnsi="Arial" w:cs="Times New Roman"/>
                <w:bCs/>
                <w:iCs/>
                <w:szCs w:val="20"/>
              </w:rPr>
              <w:t>. This component is under development.</w:t>
            </w:r>
          </w:p>
        </w:tc>
      </w:tr>
      <w:tr w:rsidR="00BA6D6C" w:rsidRPr="00BA6D6C" w14:paraId="489E1143" w14:textId="77777777" w:rsidTr="00BA6D6C">
        <w:tc>
          <w:tcPr>
            <w:tcW w:w="567" w:type="dxa"/>
            <w:tcBorders>
              <w:top w:val="dashed" w:sz="4" w:space="0" w:color="808080"/>
              <w:left w:val="single" w:sz="18" w:space="0" w:color="535552"/>
              <w:bottom w:val="single" w:sz="12" w:space="0" w:color="808080"/>
              <w:right w:val="nil"/>
            </w:tcBorders>
            <w:shd w:val="clear" w:color="auto" w:fill="EBECED"/>
            <w:vAlign w:val="center"/>
          </w:tcPr>
          <w:p w14:paraId="5F579C00" w14:textId="77777777" w:rsidR="00BA6D6C" w:rsidRPr="00BA6D6C" w:rsidRDefault="00BA6D6C" w:rsidP="00C14901">
            <w:pPr>
              <w:spacing w:before="60" w:after="60" w:line="240" w:lineRule="auto"/>
              <w:jc w:val="left"/>
              <w:rPr>
                <w:rFonts w:ascii="Arial" w:eastAsia="Arial" w:hAnsi="Arial" w:cs="Times New Roman"/>
                <w:iCs/>
                <w:szCs w:val="20"/>
              </w:rPr>
            </w:pPr>
            <w:r w:rsidRPr="00BA6D6C">
              <w:rPr>
                <w:rFonts w:ascii="Arial" w:eastAsia="Arial" w:hAnsi="Arial" w:cs="Times New Roman"/>
                <w:bCs/>
                <w:iCs/>
                <w:noProof/>
                <w:szCs w:val="20"/>
                <w:lang w:val="en-NZ"/>
              </w:rPr>
              <w:drawing>
                <wp:inline distT="0" distB="0" distL="0" distR="0" wp14:anchorId="18FFAAA6" wp14:editId="48B3669D">
                  <wp:extent cx="238125" cy="238125"/>
                  <wp:effectExtent l="0" t="0" r="9525" b="9525"/>
                  <wp:docPr id="649369558" name="Picture 649369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69558" name="Picture 649369558">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65" w:type="dxa"/>
            <w:tcBorders>
              <w:top w:val="dashed" w:sz="4" w:space="0" w:color="808080"/>
              <w:left w:val="nil"/>
              <w:bottom w:val="single" w:sz="12" w:space="0" w:color="808080"/>
              <w:right w:val="single" w:sz="18" w:space="0" w:color="535552"/>
            </w:tcBorders>
            <w:shd w:val="clear" w:color="auto" w:fill="EBECED"/>
            <w:vAlign w:val="center"/>
          </w:tcPr>
          <w:p w14:paraId="3F089DE4" w14:textId="77777777" w:rsidR="00BA6D6C" w:rsidRPr="00BA6D6C" w:rsidRDefault="00BA6D6C" w:rsidP="00C14901">
            <w:pPr>
              <w:spacing w:before="60" w:after="60" w:line="240" w:lineRule="auto"/>
              <w:jc w:val="left"/>
              <w:rPr>
                <w:rFonts w:ascii="Arial" w:eastAsia="Arial" w:hAnsi="Arial" w:cs="Times New Roman"/>
                <w:iCs/>
                <w:szCs w:val="20"/>
              </w:rPr>
            </w:pPr>
            <w:r w:rsidRPr="00BA6D6C">
              <w:rPr>
                <w:rFonts w:ascii="Arial" w:eastAsia="Arial" w:hAnsi="Arial" w:cs="Times New Roman"/>
                <w:bCs/>
                <w:iCs/>
                <w:szCs w:val="20"/>
                <w:lang w:val="en-NZ"/>
              </w:rPr>
              <w:t>Medium – Long term</w:t>
            </w:r>
          </w:p>
        </w:tc>
      </w:tr>
      <w:tr w:rsidR="00BA6D6C" w:rsidRPr="00BA6D6C" w14:paraId="443DFE2B" w14:textId="77777777" w:rsidTr="00BA6D6C">
        <w:tc>
          <w:tcPr>
            <w:tcW w:w="9132" w:type="dxa"/>
            <w:gridSpan w:val="2"/>
            <w:tcBorders>
              <w:top w:val="single" w:sz="4" w:space="0" w:color="auto"/>
              <w:left w:val="single" w:sz="18" w:space="0" w:color="535552"/>
              <w:bottom w:val="dashed" w:sz="4" w:space="0" w:color="808080"/>
              <w:right w:val="single" w:sz="18" w:space="0" w:color="535552"/>
            </w:tcBorders>
            <w:shd w:val="clear" w:color="auto" w:fill="FFFFFF"/>
            <w:vAlign w:val="center"/>
          </w:tcPr>
          <w:p w14:paraId="73092495" w14:textId="77777777" w:rsidR="00BA6D6C" w:rsidRPr="00BA6D6C" w:rsidRDefault="00BA6D6C" w:rsidP="00BA6D6C">
            <w:pPr>
              <w:spacing w:before="60" w:afterLines="60" w:after="144" w:line="240" w:lineRule="auto"/>
              <w:jc w:val="left"/>
              <w:rPr>
                <w:rFonts w:ascii="Arial" w:eastAsia="Arial" w:hAnsi="Arial" w:cs="Times New Roman"/>
                <w:b/>
                <w:iCs/>
                <w:sz w:val="32"/>
                <w:szCs w:val="32"/>
                <w:lang w:val="en-NZ"/>
              </w:rPr>
            </w:pPr>
            <w:r w:rsidRPr="00BA6D6C">
              <w:rPr>
                <w:rFonts w:ascii="Arial" w:eastAsia="Arial" w:hAnsi="Arial" w:cs="Times New Roman"/>
                <w:b/>
                <w:iCs/>
                <w:sz w:val="32"/>
                <w:szCs w:val="32"/>
                <w:lang w:val="en-NZ"/>
              </w:rPr>
              <w:t>12</w:t>
            </w:r>
          </w:p>
          <w:p w14:paraId="40CD61E3" w14:textId="77777777" w:rsidR="00BA6D6C" w:rsidRPr="00BA6D6C" w:rsidRDefault="00BA6D6C" w:rsidP="00BA6D6C">
            <w:pPr>
              <w:spacing w:before="60" w:afterLines="60" w:after="144" w:line="240" w:lineRule="auto"/>
              <w:jc w:val="left"/>
              <w:rPr>
                <w:rFonts w:ascii="Arial" w:eastAsia="Arial" w:hAnsi="Arial" w:cs="Times New Roman"/>
                <w:b/>
                <w:iCs/>
                <w:szCs w:val="20"/>
                <w:lang w:val="en-NZ"/>
              </w:rPr>
            </w:pPr>
            <w:r w:rsidRPr="00BA6D6C">
              <w:rPr>
                <w:rFonts w:ascii="Arial" w:eastAsia="Arial" w:hAnsi="Arial" w:cs="Times New Roman"/>
                <w:b/>
                <w:iCs/>
                <w:szCs w:val="20"/>
                <w:lang w:val="en-NZ"/>
              </w:rPr>
              <w:t xml:space="preserve">Improve the relevance and use of IAHP data and reporting processes to support shared accountability and decision-making on </w:t>
            </w:r>
            <w:r w:rsidRPr="00BA6D6C">
              <w:rPr>
                <w:rFonts w:ascii="Arial" w:eastAsia="Arial" w:hAnsi="Arial" w:cs="Times New Roman"/>
                <w:b/>
                <w:iCs/>
                <w:szCs w:val="20"/>
              </w:rPr>
              <w:t>health service planning, design and delivery.</w:t>
            </w:r>
          </w:p>
          <w:p w14:paraId="223121C0" w14:textId="77777777" w:rsidR="00BA6D6C" w:rsidRPr="00BA6D6C" w:rsidRDefault="00BA6D6C" w:rsidP="00BA6D6C">
            <w:pPr>
              <w:spacing w:before="60" w:afterLines="60" w:after="144" w:line="240" w:lineRule="auto"/>
              <w:jc w:val="left"/>
              <w:rPr>
                <w:rFonts w:ascii="Arial" w:eastAsia="Arial" w:hAnsi="Arial" w:cs="Times New Roman"/>
                <w:bCs/>
                <w:iCs/>
                <w:szCs w:val="20"/>
                <w:lang w:val="en-NZ"/>
              </w:rPr>
            </w:pPr>
            <w:r w:rsidRPr="00BA6D6C">
              <w:rPr>
                <w:rFonts w:ascii="Arial" w:eastAsia="Arial" w:hAnsi="Arial" w:cs="Times New Roman"/>
                <w:bCs/>
                <w:iCs/>
                <w:szCs w:val="20"/>
                <w:lang w:val="en-NZ"/>
              </w:rPr>
              <w:t>To strengthen the relevance and use of IAHP data, the Department of Health and Aged Care to work with the Aboriginal and Torres Strait Islander communities to ensure that IAHP data and reporting processes reflect ACCHSs’ models of care and community aspirations for health and wellbeing.</w:t>
            </w:r>
          </w:p>
          <w:p w14:paraId="51E885E3" w14:textId="77777777" w:rsidR="00BA6D6C" w:rsidRPr="00BA6D6C" w:rsidRDefault="00BA6D6C" w:rsidP="00BA6D6C">
            <w:pPr>
              <w:spacing w:before="60" w:afterLines="60" w:after="144" w:line="240" w:lineRule="auto"/>
              <w:jc w:val="left"/>
              <w:rPr>
                <w:rFonts w:ascii="Arial" w:eastAsia="Arial" w:hAnsi="Arial" w:cs="Times New Roman"/>
                <w:iCs/>
                <w:szCs w:val="20"/>
              </w:rPr>
            </w:pPr>
            <w:r w:rsidRPr="00BA6D6C">
              <w:rPr>
                <w:rFonts w:ascii="Arial" w:eastAsia="Arial" w:hAnsi="Arial" w:cs="Times New Roman"/>
                <w:iCs/>
                <w:szCs w:val="20"/>
              </w:rPr>
              <w:t>In implementing this recommendation, the evaluation suggests:</w:t>
            </w:r>
          </w:p>
          <w:p w14:paraId="606525B6"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 xml:space="preserve">Revising the nKPIs to broaden its focus to capture additional indicators that are useful for communities, including outcomes and people’s experience of care, and the practice of community control. This would include reviewing and managing the </w:t>
            </w:r>
            <w:r w:rsidRPr="00BA6D6C">
              <w:rPr>
                <w:rFonts w:ascii="Arial" w:eastAsia="Arial" w:hAnsi="Arial" w:cs="Times New Roman"/>
                <w:bCs/>
                <w:iCs/>
                <w:szCs w:val="20"/>
              </w:rPr>
              <w:lastRenderedPageBreak/>
              <w:t xml:space="preserve">reporting burden and resourcing required to capture and report on additional indicators. </w:t>
            </w:r>
          </w:p>
          <w:p w14:paraId="2364A590"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 xml:space="preserve">Increasing transparency around the purpose of the IAHP data collections (nKPIs and OSR) and communicating to ACCHSs and communities when and how this data is used by the department. </w:t>
            </w:r>
          </w:p>
          <w:p w14:paraId="6730551C" w14:textId="77777777" w:rsidR="00BA6D6C" w:rsidRPr="00BA6D6C" w:rsidRDefault="00BA6D6C" w:rsidP="00BA6D6C">
            <w:pPr>
              <w:numPr>
                <w:ilvl w:val="0"/>
                <w:numId w:val="24"/>
              </w:numPr>
              <w:spacing w:before="60" w:afterLines="60" w:after="144" w:line="240" w:lineRule="auto"/>
              <w:ind w:left="601" w:hanging="357"/>
              <w:jc w:val="left"/>
              <w:rPr>
                <w:rFonts w:ascii="Arial" w:eastAsia="Arial" w:hAnsi="Arial" w:cs="Times New Roman"/>
                <w:iCs/>
              </w:rPr>
            </w:pPr>
            <w:r w:rsidRPr="00BA6D6C">
              <w:rPr>
                <w:rFonts w:ascii="Arial" w:eastAsia="Arial" w:hAnsi="Arial" w:cs="Times New Roman"/>
                <w:bCs/>
                <w:iCs/>
                <w:szCs w:val="20"/>
              </w:rPr>
              <w:t>Ensuring all IAHP data uphold principles of Indigenous Data Sovereignty and Indigenous Data Governance.</w:t>
            </w:r>
          </w:p>
        </w:tc>
      </w:tr>
      <w:tr w:rsidR="00BA6D6C" w:rsidRPr="00BA6D6C" w14:paraId="7D49F317" w14:textId="77777777" w:rsidTr="00BA6D6C">
        <w:tc>
          <w:tcPr>
            <w:tcW w:w="567" w:type="dxa"/>
            <w:tcBorders>
              <w:top w:val="dashed" w:sz="4" w:space="0" w:color="808080"/>
              <w:left w:val="single" w:sz="18" w:space="0" w:color="535552"/>
              <w:bottom w:val="single" w:sz="18" w:space="0" w:color="535552"/>
              <w:right w:val="nil"/>
            </w:tcBorders>
            <w:shd w:val="clear" w:color="auto" w:fill="EBECED"/>
            <w:vAlign w:val="center"/>
          </w:tcPr>
          <w:p w14:paraId="194CA026" w14:textId="77777777" w:rsidR="00BA6D6C" w:rsidRPr="00BA6D6C" w:rsidRDefault="00BA6D6C" w:rsidP="00C14901">
            <w:pPr>
              <w:spacing w:before="60" w:after="60" w:line="240" w:lineRule="auto"/>
              <w:jc w:val="left"/>
              <w:rPr>
                <w:rFonts w:ascii="Arial" w:eastAsia="Arial" w:hAnsi="Arial" w:cs="Times New Roman"/>
                <w:iCs/>
                <w:szCs w:val="20"/>
              </w:rPr>
            </w:pPr>
            <w:r w:rsidRPr="00BA6D6C">
              <w:rPr>
                <w:rFonts w:ascii="Arial" w:eastAsia="Arial" w:hAnsi="Arial" w:cs="Times New Roman"/>
                <w:bCs/>
                <w:iCs/>
                <w:noProof/>
                <w:szCs w:val="20"/>
                <w:lang w:val="en-NZ"/>
              </w:rPr>
              <w:lastRenderedPageBreak/>
              <w:drawing>
                <wp:inline distT="0" distB="0" distL="0" distR="0" wp14:anchorId="469080E9" wp14:editId="257471E0">
                  <wp:extent cx="238125" cy="238125"/>
                  <wp:effectExtent l="0" t="0" r="9525" b="9525"/>
                  <wp:docPr id="1063135945" name="Picture 1063135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35945" name="Picture 1063135945">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65" w:type="dxa"/>
            <w:tcBorders>
              <w:top w:val="dashed" w:sz="4" w:space="0" w:color="808080"/>
              <w:left w:val="nil"/>
              <w:bottom w:val="single" w:sz="18" w:space="0" w:color="535552"/>
              <w:right w:val="single" w:sz="18" w:space="0" w:color="535552"/>
            </w:tcBorders>
            <w:shd w:val="clear" w:color="auto" w:fill="EBECED"/>
            <w:vAlign w:val="center"/>
          </w:tcPr>
          <w:p w14:paraId="2BA89431" w14:textId="77777777" w:rsidR="00BA6D6C" w:rsidRPr="00BA6D6C" w:rsidRDefault="00BA6D6C" w:rsidP="00C14901">
            <w:pPr>
              <w:spacing w:before="60" w:after="60" w:line="240" w:lineRule="auto"/>
              <w:jc w:val="left"/>
              <w:rPr>
                <w:rFonts w:ascii="Arial" w:eastAsia="Arial" w:hAnsi="Arial" w:cs="Times New Roman"/>
                <w:iCs/>
                <w:szCs w:val="20"/>
              </w:rPr>
            </w:pPr>
            <w:r w:rsidRPr="00BA6D6C">
              <w:rPr>
                <w:rFonts w:ascii="Arial" w:eastAsia="Arial" w:hAnsi="Arial" w:cs="Times New Roman"/>
                <w:bCs/>
                <w:iCs/>
                <w:szCs w:val="20"/>
                <w:lang w:val="en-NZ"/>
              </w:rPr>
              <w:t>Medium term</w:t>
            </w:r>
          </w:p>
        </w:tc>
      </w:tr>
    </w:tbl>
    <w:p w14:paraId="025EA57F" w14:textId="77777777" w:rsidR="008233BB" w:rsidRDefault="008233BB"/>
    <w:p w14:paraId="4912F0A9" w14:textId="77777777" w:rsidR="00893E25" w:rsidRDefault="00893E25">
      <w:r>
        <w:br w:type="page"/>
      </w:r>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08"/>
      </w:tblGrid>
      <w:tr w:rsidR="004A6938" w:rsidRPr="001D7A4A" w14:paraId="5F9E4832" w14:textId="77777777" w:rsidTr="005D5159">
        <w:trPr>
          <w:cantSplit/>
          <w:trHeight w:val="264"/>
        </w:trPr>
        <w:tc>
          <w:tcPr>
            <w:tcW w:w="9075"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6928DC74" w14:textId="34F228C5" w:rsidR="004A6938" w:rsidRPr="001D7A4A" w:rsidRDefault="004A6938">
            <w:pPr>
              <w:spacing w:before="60" w:afterLines="60" w:after="144" w:line="240" w:lineRule="auto"/>
              <w:jc w:val="left"/>
              <w:rPr>
                <w:rFonts w:ascii="Arial" w:eastAsia="Arial" w:hAnsi="Arial" w:cs="Times New Roman"/>
                <w:bCs/>
                <w:iCs/>
                <w:sz w:val="26"/>
                <w:szCs w:val="26"/>
                <w:lang w:val="en-NZ"/>
              </w:rPr>
            </w:pPr>
            <w:r w:rsidRPr="001D7A4A">
              <w:rPr>
                <w:rFonts w:ascii="Arial" w:eastAsia="Arial" w:hAnsi="Arial" w:cs="Times New Roman"/>
                <w:b/>
                <w:bCs/>
                <w:sz w:val="26"/>
                <w:szCs w:val="26"/>
              </w:rPr>
              <w:lastRenderedPageBreak/>
              <w:t xml:space="preserve">Recommendation: </w:t>
            </w:r>
            <w:r w:rsidRPr="001D7A4A">
              <w:rPr>
                <w:rFonts w:ascii="Arial" w:eastAsia="Arial" w:hAnsi="Arial" w:cs="Times New Roman"/>
                <w:b/>
                <w:bCs/>
                <w:iCs/>
                <w:sz w:val="26"/>
                <w:szCs w:val="26"/>
              </w:rPr>
              <w:t>Ensuring IAHP implementation success</w:t>
            </w:r>
          </w:p>
        </w:tc>
      </w:tr>
      <w:tr w:rsidR="004A6938" w:rsidRPr="001D7A4A" w14:paraId="4120A20D" w14:textId="77777777" w:rsidTr="005D5159">
        <w:trPr>
          <w:cantSplit/>
        </w:trPr>
        <w:tc>
          <w:tcPr>
            <w:tcW w:w="9075" w:type="dxa"/>
            <w:gridSpan w:val="2"/>
            <w:tcBorders>
              <w:top w:val="single" w:sz="8" w:space="0" w:color="535552"/>
              <w:left w:val="single" w:sz="18" w:space="0" w:color="535552"/>
              <w:bottom w:val="dashed" w:sz="4" w:space="0" w:color="808080" w:themeColor="background1" w:themeShade="80"/>
              <w:right w:val="single" w:sz="18" w:space="0" w:color="535552"/>
            </w:tcBorders>
            <w:shd w:val="clear" w:color="auto" w:fill="FFFFFF" w:themeFill="background1"/>
            <w:vAlign w:val="center"/>
          </w:tcPr>
          <w:p w14:paraId="3F805ABD" w14:textId="77777777" w:rsidR="008233BB" w:rsidRPr="008233BB" w:rsidRDefault="008233BB">
            <w:pPr>
              <w:spacing w:before="60" w:afterLines="60" w:after="144" w:line="240" w:lineRule="auto"/>
              <w:jc w:val="left"/>
              <w:rPr>
                <w:rFonts w:ascii="Arial" w:eastAsia="Arial" w:hAnsi="Arial" w:cs="Times New Roman"/>
                <w:b/>
                <w:iCs/>
                <w:sz w:val="32"/>
                <w:szCs w:val="32"/>
              </w:rPr>
            </w:pPr>
            <w:r w:rsidRPr="008233BB">
              <w:rPr>
                <w:rFonts w:ascii="Arial" w:eastAsia="Arial" w:hAnsi="Arial" w:cs="Times New Roman"/>
                <w:b/>
                <w:iCs/>
                <w:sz w:val="32"/>
                <w:szCs w:val="32"/>
              </w:rPr>
              <w:t>13</w:t>
            </w:r>
          </w:p>
          <w:p w14:paraId="058FD2B2" w14:textId="03AAE08E" w:rsidR="004A6938" w:rsidRPr="001D7A4A" w:rsidRDefault="004A6938">
            <w:pPr>
              <w:spacing w:before="60" w:afterLines="60" w:after="144" w:line="240" w:lineRule="auto"/>
              <w:jc w:val="left"/>
              <w:rPr>
                <w:rFonts w:ascii="Arial" w:eastAsia="Arial" w:hAnsi="Arial" w:cs="Times New Roman"/>
                <w:b/>
                <w:iCs/>
                <w:szCs w:val="20"/>
              </w:rPr>
            </w:pPr>
            <w:r w:rsidRPr="001D7A4A">
              <w:rPr>
                <w:rFonts w:ascii="Arial" w:eastAsia="Arial" w:hAnsi="Arial" w:cs="Times New Roman"/>
                <w:b/>
                <w:iCs/>
                <w:szCs w:val="20"/>
              </w:rPr>
              <w:t xml:space="preserve">The Department of Health and Aged Care to provide active and continuous leadership and management of the </w:t>
            </w:r>
            <w:r w:rsidR="00E532FA">
              <w:rPr>
                <w:rFonts w:ascii="Arial" w:eastAsia="Arial" w:hAnsi="Arial" w:cs="Times New Roman"/>
                <w:b/>
                <w:iCs/>
                <w:szCs w:val="20"/>
              </w:rPr>
              <w:t xml:space="preserve">ongoing </w:t>
            </w:r>
            <w:r w:rsidRPr="001D7A4A">
              <w:rPr>
                <w:rFonts w:ascii="Arial" w:eastAsia="Arial" w:hAnsi="Arial" w:cs="Times New Roman"/>
                <w:b/>
                <w:iCs/>
                <w:szCs w:val="20"/>
              </w:rPr>
              <w:t xml:space="preserve">implementation of the IAHP, including regular reporting to partners on progress against </w:t>
            </w:r>
            <w:r w:rsidR="00672AB4">
              <w:rPr>
                <w:rFonts w:ascii="Arial" w:eastAsia="Arial" w:hAnsi="Arial" w:cs="Times New Roman"/>
                <w:b/>
                <w:iCs/>
                <w:szCs w:val="20"/>
              </w:rPr>
              <w:t>the co-design investment strategy</w:t>
            </w:r>
            <w:r w:rsidRPr="001D7A4A">
              <w:rPr>
                <w:rFonts w:ascii="Arial" w:eastAsia="Arial" w:hAnsi="Arial" w:cs="Times New Roman"/>
                <w:b/>
                <w:iCs/>
                <w:szCs w:val="20"/>
              </w:rPr>
              <w:t>.</w:t>
            </w:r>
          </w:p>
          <w:p w14:paraId="7992B048" w14:textId="29A7E9EA" w:rsidR="004A6938" w:rsidRPr="001D7A4A" w:rsidRDefault="004A6938">
            <w:pPr>
              <w:spacing w:before="60" w:afterLines="60" w:after="144" w:line="240" w:lineRule="auto"/>
              <w:jc w:val="left"/>
              <w:rPr>
                <w:rFonts w:ascii="Arial" w:eastAsia="Arial" w:hAnsi="Arial" w:cs="Times New Roman"/>
                <w:iCs/>
                <w:szCs w:val="20"/>
              </w:rPr>
            </w:pPr>
            <w:r w:rsidRPr="001D7A4A">
              <w:rPr>
                <w:rFonts w:ascii="Arial" w:eastAsia="Arial" w:hAnsi="Arial" w:cs="Times New Roman"/>
                <w:iCs/>
                <w:szCs w:val="20"/>
              </w:rPr>
              <w:t xml:space="preserve">To ensure that the IAHP is </w:t>
            </w:r>
            <w:r w:rsidR="002A1611">
              <w:rPr>
                <w:rFonts w:ascii="Arial" w:eastAsia="Arial" w:hAnsi="Arial" w:cs="Times New Roman"/>
                <w:iCs/>
                <w:szCs w:val="20"/>
              </w:rPr>
              <w:t>successful</w:t>
            </w:r>
            <w:r w:rsidRPr="001D7A4A">
              <w:rPr>
                <w:rFonts w:ascii="Arial" w:eastAsia="Arial" w:hAnsi="Arial" w:cs="Times New Roman"/>
                <w:iCs/>
                <w:szCs w:val="20"/>
              </w:rPr>
              <w:t xml:space="preserve"> and achieves its objectives, the Department of Health and Aged Care to strengthen processes to support early, informed and systematic consideration of </w:t>
            </w:r>
            <w:r w:rsidR="007F52D8">
              <w:rPr>
                <w:rFonts w:ascii="Arial" w:eastAsia="Arial" w:hAnsi="Arial" w:cs="Times New Roman"/>
                <w:iCs/>
                <w:szCs w:val="20"/>
              </w:rPr>
              <w:t xml:space="preserve">program </w:t>
            </w:r>
            <w:r w:rsidR="00E133BA">
              <w:rPr>
                <w:rFonts w:ascii="Arial" w:eastAsia="Arial" w:hAnsi="Arial" w:cs="Times New Roman"/>
                <w:iCs/>
                <w:szCs w:val="20"/>
              </w:rPr>
              <w:t>issues</w:t>
            </w:r>
            <w:r w:rsidRPr="001D7A4A">
              <w:rPr>
                <w:rFonts w:ascii="Arial" w:eastAsia="Arial" w:hAnsi="Arial" w:cs="Times New Roman"/>
                <w:iCs/>
                <w:szCs w:val="20"/>
              </w:rPr>
              <w:t>, including the identification of actions and recommendations to inform program growth and improvement.</w:t>
            </w:r>
          </w:p>
          <w:p w14:paraId="0B81AE26" w14:textId="77777777" w:rsidR="004A6938" w:rsidRPr="001D7A4A" w:rsidRDefault="004A6938">
            <w:pPr>
              <w:spacing w:before="60" w:afterLines="60" w:after="144" w:line="240" w:lineRule="auto"/>
              <w:jc w:val="left"/>
              <w:rPr>
                <w:rFonts w:ascii="Arial" w:eastAsia="Arial" w:hAnsi="Arial" w:cs="Times New Roman"/>
                <w:iCs/>
                <w:szCs w:val="20"/>
              </w:rPr>
            </w:pPr>
            <w:r w:rsidRPr="001D7A4A">
              <w:rPr>
                <w:rFonts w:ascii="Arial" w:eastAsia="Arial" w:hAnsi="Arial" w:cs="Times New Roman"/>
                <w:iCs/>
                <w:szCs w:val="20"/>
              </w:rPr>
              <w:t>In implementing this recommendation, the evaluation suggests:</w:t>
            </w:r>
          </w:p>
          <w:p w14:paraId="0902A22D" w14:textId="68EE730F" w:rsidR="004A6938" w:rsidRPr="001D7A4A" w:rsidRDefault="004A6938" w:rsidP="00FA3B1D">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 xml:space="preserve">Ensuring the proposed shared decision-making partnership has oversight of the </w:t>
            </w:r>
            <w:r w:rsidR="005E7C1C">
              <w:rPr>
                <w:rFonts w:ascii="Arial" w:eastAsia="Arial" w:hAnsi="Arial" w:cs="Times New Roman"/>
                <w:bCs/>
                <w:iCs/>
                <w:szCs w:val="20"/>
              </w:rPr>
              <w:t xml:space="preserve">ongoing </w:t>
            </w:r>
            <w:r w:rsidRPr="001D7A4A">
              <w:rPr>
                <w:rFonts w:ascii="Arial" w:eastAsia="Arial" w:hAnsi="Arial" w:cs="Times New Roman"/>
                <w:bCs/>
                <w:iCs/>
                <w:szCs w:val="20"/>
              </w:rPr>
              <w:t>implementation of the IAHP.</w:t>
            </w:r>
          </w:p>
          <w:p w14:paraId="398AAE59" w14:textId="36DF6B21" w:rsidR="004A6938" w:rsidRPr="001D7A4A" w:rsidRDefault="004A6938" w:rsidP="00FA3B1D">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Identifying and actively managing risks to the continued implementation of the IAHP.</w:t>
            </w:r>
          </w:p>
          <w:p w14:paraId="184F56AA" w14:textId="6F85EBD3" w:rsidR="004A6938" w:rsidRPr="001D7A4A" w:rsidRDefault="004A6938" w:rsidP="00FA3B1D">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Identifying partners and stakeholders and how they will be engaged</w:t>
            </w:r>
            <w:r w:rsidR="00E46CD4">
              <w:rPr>
                <w:rFonts w:ascii="Arial" w:eastAsia="Arial" w:hAnsi="Arial" w:cs="Times New Roman"/>
                <w:bCs/>
                <w:iCs/>
                <w:szCs w:val="20"/>
              </w:rPr>
              <w:t>, including through co</w:t>
            </w:r>
            <w:r w:rsidR="00D46188">
              <w:rPr>
                <w:rFonts w:ascii="Arial" w:eastAsia="Arial" w:hAnsi="Arial" w:cs="Times New Roman"/>
                <w:bCs/>
                <w:iCs/>
                <w:szCs w:val="20"/>
              </w:rPr>
              <w:t>-</w:t>
            </w:r>
            <w:r w:rsidR="00E46CD4">
              <w:rPr>
                <w:rFonts w:ascii="Arial" w:eastAsia="Arial" w:hAnsi="Arial" w:cs="Times New Roman"/>
                <w:bCs/>
                <w:iCs/>
                <w:szCs w:val="20"/>
              </w:rPr>
              <w:t>design processes.</w:t>
            </w:r>
          </w:p>
          <w:p w14:paraId="36BC726D" w14:textId="77777777" w:rsidR="004A6938" w:rsidRPr="001D7A4A" w:rsidRDefault="004A6938" w:rsidP="00FA3B1D">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Identifying resource requirements and managing constraints early.</w:t>
            </w:r>
          </w:p>
          <w:p w14:paraId="767EA20D" w14:textId="164B61D9" w:rsidR="004A6938" w:rsidRPr="001D7A4A" w:rsidRDefault="004A6938" w:rsidP="00FA3B1D">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 xml:space="preserve">Establishing effective monitoring, review and evaluation processes to support active management of the </w:t>
            </w:r>
            <w:r w:rsidR="00611089">
              <w:rPr>
                <w:rFonts w:ascii="Arial" w:eastAsia="Arial" w:hAnsi="Arial" w:cs="Times New Roman"/>
                <w:bCs/>
                <w:iCs/>
                <w:szCs w:val="20"/>
              </w:rPr>
              <w:t>ongoing</w:t>
            </w:r>
            <w:r w:rsidRPr="001D7A4A">
              <w:rPr>
                <w:rFonts w:ascii="Arial" w:eastAsia="Arial" w:hAnsi="Arial" w:cs="Times New Roman"/>
                <w:bCs/>
                <w:iCs/>
                <w:szCs w:val="20"/>
              </w:rPr>
              <w:t xml:space="preserve"> implementation of the IAHP.</w:t>
            </w:r>
          </w:p>
          <w:p w14:paraId="731BC07C" w14:textId="77777777" w:rsidR="004A6938" w:rsidRPr="001D7A4A" w:rsidRDefault="004A6938" w:rsidP="00FA3B1D">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Publishing outcome measures for the IAHP and performance against these to increase program transparency.</w:t>
            </w:r>
          </w:p>
          <w:p w14:paraId="0AB44751" w14:textId="77777777" w:rsidR="004A6938" w:rsidRPr="001D7A4A" w:rsidRDefault="004A6938" w:rsidP="00FA3B1D">
            <w:pPr>
              <w:numPr>
                <w:ilvl w:val="0"/>
                <w:numId w:val="24"/>
              </w:numPr>
              <w:spacing w:before="60" w:afterLines="60" w:after="144" w:line="240" w:lineRule="auto"/>
              <w:ind w:left="601" w:hanging="357"/>
              <w:jc w:val="left"/>
              <w:rPr>
                <w:rFonts w:eastAsia="Arial" w:cs="Times New Roman"/>
                <w:b/>
                <w:bCs/>
                <w:iCs/>
              </w:rPr>
            </w:pPr>
            <w:r w:rsidRPr="001D7A4A">
              <w:rPr>
                <w:rFonts w:ascii="Arial" w:eastAsia="Arial" w:hAnsi="Arial" w:cs="Times New Roman"/>
                <w:bCs/>
                <w:iCs/>
                <w:szCs w:val="20"/>
              </w:rPr>
              <w:t>Establishing annual measurement and reporting of government investment in the IAHP and in Aboriginal and Torres Strait Islander PHC.</w:t>
            </w:r>
          </w:p>
        </w:tc>
      </w:tr>
      <w:tr w:rsidR="004A6938" w:rsidRPr="001D7A4A" w14:paraId="52BE1C06" w14:textId="77777777" w:rsidTr="00C14901">
        <w:trPr>
          <w:cantSplit/>
        </w:trPr>
        <w:tc>
          <w:tcPr>
            <w:tcW w:w="567" w:type="dxa"/>
            <w:tcBorders>
              <w:top w:val="dashed" w:sz="4" w:space="0" w:color="808080" w:themeColor="background1" w:themeShade="80"/>
              <w:left w:val="single" w:sz="18" w:space="0" w:color="535552"/>
              <w:bottom w:val="single" w:sz="18" w:space="0" w:color="535552"/>
              <w:right w:val="nil"/>
            </w:tcBorders>
            <w:shd w:val="clear" w:color="auto" w:fill="EBECED" w:themeFill="text2"/>
            <w:vAlign w:val="center"/>
          </w:tcPr>
          <w:p w14:paraId="3AE10A07" w14:textId="77777777" w:rsidR="004A6938" w:rsidRPr="001D7A4A" w:rsidRDefault="004A6938" w:rsidP="00C14901">
            <w:pPr>
              <w:spacing w:before="60" w:after="60" w:line="240" w:lineRule="auto"/>
              <w:jc w:val="left"/>
              <w:rPr>
                <w:rFonts w:ascii="Arial" w:eastAsia="Arial" w:hAnsi="Arial" w:cs="Times New Roman"/>
                <w:iCs/>
                <w:szCs w:val="20"/>
              </w:rPr>
            </w:pPr>
            <w:r w:rsidRPr="001D7A4A">
              <w:rPr>
                <w:rFonts w:ascii="Arial" w:eastAsia="Arial" w:hAnsi="Arial" w:cs="Times New Roman"/>
                <w:bCs/>
                <w:iCs/>
                <w:noProof/>
                <w:szCs w:val="20"/>
                <w:lang w:val="en-NZ"/>
              </w:rPr>
              <w:drawing>
                <wp:inline distT="0" distB="0" distL="0" distR="0" wp14:anchorId="624601AC" wp14:editId="7F4153DF">
                  <wp:extent cx="238125" cy="238125"/>
                  <wp:effectExtent l="0" t="0" r="9525" b="9525"/>
                  <wp:docPr id="1647217178" name="Picture 1647217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17178" name="Picture 1647217178">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08" w:type="dxa"/>
            <w:tcBorders>
              <w:top w:val="dashed" w:sz="4" w:space="0" w:color="808080" w:themeColor="background1" w:themeShade="80"/>
              <w:left w:val="nil"/>
              <w:bottom w:val="single" w:sz="18" w:space="0" w:color="535552"/>
              <w:right w:val="single" w:sz="18" w:space="0" w:color="535552"/>
            </w:tcBorders>
            <w:shd w:val="clear" w:color="auto" w:fill="EBECED" w:themeFill="text2"/>
            <w:vAlign w:val="center"/>
          </w:tcPr>
          <w:p w14:paraId="664A7D84" w14:textId="77777777" w:rsidR="004A6938" w:rsidRPr="001D7A4A" w:rsidRDefault="004A6938" w:rsidP="00C14901">
            <w:pPr>
              <w:spacing w:before="60" w:after="60" w:line="240" w:lineRule="auto"/>
              <w:jc w:val="left"/>
              <w:rPr>
                <w:rFonts w:ascii="Arial" w:eastAsia="Arial" w:hAnsi="Arial" w:cs="Times New Roman"/>
                <w:iCs/>
                <w:szCs w:val="20"/>
              </w:rPr>
            </w:pPr>
            <w:r w:rsidRPr="001D7A4A">
              <w:rPr>
                <w:rFonts w:ascii="Arial" w:eastAsia="Arial" w:hAnsi="Arial" w:cs="Times New Roman"/>
                <w:bCs/>
                <w:iCs/>
                <w:szCs w:val="20"/>
              </w:rPr>
              <w:t>Immediate term – Ongoing</w:t>
            </w:r>
          </w:p>
        </w:tc>
      </w:tr>
    </w:tbl>
    <w:p w14:paraId="13B67457" w14:textId="77777777" w:rsidR="00C46A5C" w:rsidRPr="001D7A4A" w:rsidRDefault="00C46A5C" w:rsidP="00C46A5C"/>
    <w:p w14:paraId="6AA69D6A" w14:textId="675D2B54" w:rsidR="00C46A5C" w:rsidRDefault="00C46A5C"/>
    <w:bookmarkEnd w:id="24"/>
    <w:p w14:paraId="10EE3D0D" w14:textId="5D028B02" w:rsidR="008E1969" w:rsidRPr="00884FAA" w:rsidRDefault="008E1969" w:rsidP="004E6949"/>
    <w:p w14:paraId="2C013EF5" w14:textId="1621300C" w:rsidR="008E1969" w:rsidRPr="00884FAA" w:rsidRDefault="008E1969" w:rsidP="00087882">
      <w:pPr>
        <w:rPr>
          <w:color w:val="FF0000"/>
        </w:rPr>
        <w:sectPr w:rsidR="008E1969" w:rsidRPr="00884FAA" w:rsidSect="005535DC">
          <w:pgSz w:w="11909" w:h="16834" w:code="9"/>
          <w:pgMar w:top="1440" w:right="1440" w:bottom="1440" w:left="1440" w:header="720" w:footer="720" w:gutter="0"/>
          <w:cols w:space="720"/>
          <w:titlePg/>
          <w:docGrid w:linePitch="360"/>
        </w:sectPr>
      </w:pPr>
    </w:p>
    <w:p w14:paraId="0D98D48D" w14:textId="210490CC" w:rsidR="007216D2" w:rsidRPr="00884FAA" w:rsidRDefault="002F63AE" w:rsidP="00087882">
      <w:pPr>
        <w:rPr>
          <w:color w:val="FF0000"/>
        </w:rPr>
      </w:pPr>
      <w:r w:rsidRPr="00884FAA">
        <w:rPr>
          <w:noProof/>
        </w:rPr>
        <w:lastRenderedPageBreak/>
        <mc:AlternateContent>
          <mc:Choice Requires="wps">
            <w:drawing>
              <wp:anchor distT="0" distB="0" distL="114300" distR="114300" simplePos="0" relativeHeight="251657218" behindDoc="0" locked="1" layoutInCell="1" allowOverlap="1" wp14:anchorId="4733B31B" wp14:editId="212F08D4">
                <wp:simplePos x="0" y="0"/>
                <wp:positionH relativeFrom="column">
                  <wp:posOffset>21590</wp:posOffset>
                </wp:positionH>
                <wp:positionV relativeFrom="page">
                  <wp:posOffset>1045845</wp:posOffset>
                </wp:positionV>
                <wp:extent cx="5734050" cy="2267585"/>
                <wp:effectExtent l="0" t="0" r="0" b="0"/>
                <wp:wrapNone/>
                <wp:docPr id="507" name="Text Box 507"/>
                <wp:cNvGraphicFramePr/>
                <a:graphic xmlns:a="http://schemas.openxmlformats.org/drawingml/2006/main">
                  <a:graphicData uri="http://schemas.microsoft.com/office/word/2010/wordprocessingShape">
                    <wps:wsp>
                      <wps:cNvSpPr txBox="1"/>
                      <wps:spPr>
                        <a:xfrm>
                          <a:off x="0" y="0"/>
                          <a:ext cx="5734050" cy="2267585"/>
                        </a:xfrm>
                        <a:prstGeom prst="rect">
                          <a:avLst/>
                        </a:prstGeom>
                        <a:noFill/>
                        <a:ln w="6350">
                          <a:noFill/>
                        </a:ln>
                      </wps:spPr>
                      <wps:txbx>
                        <w:txbxContent>
                          <w:p w14:paraId="721D5E3D" w14:textId="4BDB1C51" w:rsidR="002F63AE" w:rsidRPr="005444A1" w:rsidRDefault="00A524EE" w:rsidP="00F01ACA">
                            <w:pPr>
                              <w:pStyle w:val="Partheading"/>
                            </w:pPr>
                            <w:bookmarkStart w:id="26" w:name="_Toc137208876"/>
                            <w:r>
                              <w:t>Part A</w:t>
                            </w:r>
                            <w:r w:rsidR="002F63AE">
                              <w:t>: Background</w:t>
                            </w:r>
                            <w:bookmarkEnd w:id="26"/>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3B31B" id="Text Box 507" o:spid="_x0000_s1067" type="#_x0000_t202" style="position:absolute;left:0;text-align:left;margin-left:1.7pt;margin-top:82.35pt;width:451.5pt;height:178.55pt;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Nk4HAIAADUEAAAOAAAAZHJzL2Uyb0RvYy54bWysU01v2zAMvQ/YfxB0b5yk+eiMOEXWIsOA&#10;oC2QDj0rshQbkERNUmJnv36UnK91Ow29yKRIP5LvUbP7ViuyF87XYAo66PUpEYZDWZttQX+8Lm/u&#10;KPGBmZIpMKKgB+Hp/fzzp1ljczGEClQpHEEQ4/PGFrQKweZZ5nklNPM9sMJgUILTLKDrtlnpWIPo&#10;WmXDfn+SNeBK64AL7/H2sQvSecKXUvDwLKUXgaiCYm8hnS6dm3hm8xnLt47ZqubHNth/dKFZbbDo&#10;GeqRBUZ2rv4LStfcgQcZehx0BlLWXKQZcJpB/90064pZkWZBcrw90+Q/DpY/7df2xZHQfoUWBYyE&#10;NNbnHi/jPK10On6xU4JxpPBwpk20gXC8HE9vR/0xhjjGhsPJdHw3jjjZ5XfrfPgmQJNoFNShLoku&#10;tl/50KWeUmI1A8taqaSNMqQp6OQW8f+IILgyWOPSbLRCu2lJXeIgk9MkGygPOKCDTntv+bLGJlbM&#10;hxfmUGxsHBc4POMhFWAxOFqUVOB+/es+5qMGGKWkweUpqP+5Y05Qor4bVOfLYDSK25ac0Xg6RMdd&#10;RzbXEbPTD4D7OcCnYnkyY35QJ1M60G+454tYFUPMcKxd0M3JfAjdSuM74WKxSEm4X5aFlVlbHqEj&#10;eZHi1/aNOXvUIaCET3BaM5a/k6PL7Whf7ALIOmkVie5YPfKPu5nUPr6juPzXfsq6vPb5bwAAAP//&#10;AwBQSwMEFAAGAAgAAAAhAJ5E5XfgAAAACQEAAA8AAABkcnMvZG93bnJldi54bWxMj81OwzAQhO9I&#10;vIO1SNyo07/QhjgVqlRxQqKFqurNibdJRLyOYjcJb89yKsedGc1+k25G24geO187UjCdRCCQCmdq&#10;KhV8fe6eViB80GR04wgV/KCHTXZ/l+rEuIH22B9CKbiEfKIVVCG0iZS+qNBqP3EtEnsX11kd+OxK&#10;aTo9cLlt5CyKYml1Tfyh0i1uKyy+D1er4GyXub9si937sX8bjvv56aMqT0o9PoyvLyACjuEWhj98&#10;RoeMmXJ3JeNFo2C+4CDL8eIZBPvrKGYlV7CcTVcgs1T+X5D9AgAA//8DAFBLAQItABQABgAIAAAA&#10;IQC2gziS/gAAAOEBAAATAAAAAAAAAAAAAAAAAAAAAABbQ29udGVudF9UeXBlc10ueG1sUEsBAi0A&#10;FAAGAAgAAAAhADj9If/WAAAAlAEAAAsAAAAAAAAAAAAAAAAALwEAAF9yZWxzLy5yZWxzUEsBAi0A&#10;FAAGAAgAAAAhAHsY2TgcAgAANQQAAA4AAAAAAAAAAAAAAAAALgIAAGRycy9lMm9Eb2MueG1sUEsB&#10;Ai0AFAAGAAgAAAAhAJ5E5XfgAAAACQEAAA8AAAAAAAAAAAAAAAAAdgQAAGRycy9kb3ducmV2Lnht&#10;bFBLBQYAAAAABAAEAPMAAACDBQAAAAA=&#10;" filled="f" stroked="f" strokeweight=".5pt">
                <v:textbox>
                  <w:txbxContent>
                    <w:p w14:paraId="721D5E3D" w14:textId="4BDB1C51" w:rsidR="002F63AE" w:rsidRPr="005444A1" w:rsidRDefault="00A524EE" w:rsidP="00F01ACA">
                      <w:pPr>
                        <w:pStyle w:val="Partheading"/>
                      </w:pPr>
                      <w:bookmarkStart w:id="27" w:name="_Toc137208876"/>
                      <w:r>
                        <w:t>Part A</w:t>
                      </w:r>
                      <w:r w:rsidR="002F63AE">
                        <w:t>: Background</w:t>
                      </w:r>
                      <w:bookmarkEnd w:id="27"/>
                    </w:p>
                  </w:txbxContent>
                </v:textbox>
                <w10:wrap anchory="page"/>
                <w10:anchorlock/>
              </v:shape>
            </w:pict>
          </mc:Fallback>
        </mc:AlternateContent>
      </w:r>
      <w:r w:rsidR="007216D2" w:rsidRPr="00884FAA">
        <w:rPr>
          <w:noProof/>
        </w:rPr>
        <w:drawing>
          <wp:anchor distT="0" distB="0" distL="114300" distR="114300" simplePos="0" relativeHeight="251657226" behindDoc="1" locked="1" layoutInCell="1" allowOverlap="1" wp14:anchorId="0D2C5DBC" wp14:editId="7909E435">
            <wp:simplePos x="0" y="0"/>
            <wp:positionH relativeFrom="page">
              <wp:posOffset>15240</wp:posOffset>
            </wp:positionH>
            <wp:positionV relativeFrom="page">
              <wp:posOffset>0</wp:posOffset>
            </wp:positionV>
            <wp:extent cx="7546975" cy="10680700"/>
            <wp:effectExtent l="0" t="0" r="0" b="6350"/>
            <wp:wrapNone/>
            <wp:docPr id="508" name="Picture 5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546975" cy="10680700"/>
                    </a:xfrm>
                    <a:prstGeom prst="rect">
                      <a:avLst/>
                    </a:prstGeom>
                  </pic:spPr>
                </pic:pic>
              </a:graphicData>
            </a:graphic>
            <wp14:sizeRelH relativeFrom="margin">
              <wp14:pctWidth>0</wp14:pctWidth>
            </wp14:sizeRelH>
            <wp14:sizeRelV relativeFrom="margin">
              <wp14:pctHeight>0</wp14:pctHeight>
            </wp14:sizeRelV>
          </wp:anchor>
        </w:drawing>
      </w:r>
    </w:p>
    <w:p w14:paraId="5EA4A1A6" w14:textId="1B3B3F19" w:rsidR="007216D2" w:rsidRPr="00884FAA" w:rsidRDefault="007216D2">
      <w:pPr>
        <w:jc w:val="left"/>
        <w:rPr>
          <w:rFonts w:eastAsiaTheme="majorEastAsia" w:cstheme="majorBidi"/>
          <w:b/>
          <w:caps/>
          <w:color w:val="357DBE" w:themeColor="accent1"/>
          <w:sz w:val="32"/>
          <w:szCs w:val="32"/>
        </w:rPr>
      </w:pPr>
      <w:bookmarkStart w:id="28" w:name="_Toc111630619"/>
      <w:bookmarkStart w:id="29" w:name="_Hlk111717484"/>
      <w:r w:rsidRPr="00884FAA">
        <w:rPr>
          <w:color w:val="357DBE" w:themeColor="accent1"/>
        </w:rPr>
        <w:br w:type="page"/>
      </w:r>
    </w:p>
    <w:p w14:paraId="504F5B4C" w14:textId="3C20BF82" w:rsidR="00802523" w:rsidRDefault="009D783A" w:rsidP="003D4A7C">
      <w:pPr>
        <w:pStyle w:val="Heading1NotNumbered"/>
      </w:pPr>
      <w:bookmarkStart w:id="30" w:name="_Toc137208877"/>
      <w:bookmarkStart w:id="31" w:name="_Toc126650254"/>
      <w:bookmarkEnd w:id="28"/>
      <w:bookmarkEnd w:id="29"/>
      <w:r w:rsidRPr="009D783A">
        <w:rPr>
          <w:noProof/>
        </w:rPr>
        <w:lastRenderedPageBreak/>
        <w:drawing>
          <wp:anchor distT="0" distB="0" distL="114300" distR="114300" simplePos="0" relativeHeight="251658285" behindDoc="0" locked="1" layoutInCell="1" allowOverlap="0" wp14:anchorId="5F477BDF" wp14:editId="15372825">
            <wp:simplePos x="0" y="0"/>
            <wp:positionH relativeFrom="column">
              <wp:posOffset>3348975</wp:posOffset>
            </wp:positionH>
            <wp:positionV relativeFrom="paragraph">
              <wp:posOffset>-818633</wp:posOffset>
            </wp:positionV>
            <wp:extent cx="3200400" cy="691200"/>
            <wp:effectExtent l="0" t="0" r="0" b="0"/>
            <wp:wrapNone/>
            <wp:docPr id="1097" name="Picture 1097">
              <a:extLst xmlns:a="http://schemas.openxmlformats.org/drawingml/2006/main">
                <a:ext uri="{FF2B5EF4-FFF2-40B4-BE49-F238E27FC236}">
                  <a16:creationId xmlns:a16="http://schemas.microsoft.com/office/drawing/2014/main" id="{2285A84B-69FF-D6C0-55A4-7AC66F9A2E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a:extLst>
                        <a:ext uri="{FF2B5EF4-FFF2-40B4-BE49-F238E27FC236}">
                          <a16:creationId xmlns:a16="http://schemas.microsoft.com/office/drawing/2014/main" id="{2285A84B-69FF-D6C0-55A4-7AC66F9A2EAD}"/>
                        </a:ext>
                        <a:ext uri="{C183D7F6-B498-43B3-948B-1728B52AA6E4}">
                          <adec:decorative xmlns:adec="http://schemas.microsoft.com/office/drawing/2017/decorative" val="1"/>
                        </a:ext>
                      </a:extLst>
                    </pic:cNvPr>
                    <pic:cNvPicPr>
                      <a:picLocks noChangeAspect="1"/>
                    </pic:cNvPicPr>
                  </pic:nvPicPr>
                  <pic:blipFill>
                    <a:blip r:embed="rId62">
                      <a:extLst>
                        <a:ext uri="{96DAC541-7B7A-43D3-8B79-37D633B846F1}">
                          <asvg:svgBlip xmlns:asvg="http://schemas.microsoft.com/office/drawing/2016/SVG/main" r:embed="rId63"/>
                        </a:ext>
                      </a:extLst>
                    </a:blip>
                    <a:stretch>
                      <a:fillRect/>
                    </a:stretch>
                  </pic:blipFill>
                  <pic:spPr>
                    <a:xfrm>
                      <a:off x="0" y="0"/>
                      <a:ext cx="3200400" cy="691200"/>
                    </a:xfrm>
                    <a:prstGeom prst="rect">
                      <a:avLst/>
                    </a:prstGeom>
                  </pic:spPr>
                </pic:pic>
              </a:graphicData>
            </a:graphic>
            <wp14:sizeRelH relativeFrom="margin">
              <wp14:pctWidth>0</wp14:pctWidth>
            </wp14:sizeRelH>
            <wp14:sizeRelV relativeFrom="margin">
              <wp14:pctHeight>0</wp14:pctHeight>
            </wp14:sizeRelV>
          </wp:anchor>
        </w:drawing>
      </w:r>
      <w:r w:rsidR="00802523">
        <w:t xml:space="preserve">Overview of </w:t>
      </w:r>
      <w:r w:rsidR="002866B4">
        <w:t>P</w:t>
      </w:r>
      <w:r w:rsidR="00802523">
        <w:t>art A</w:t>
      </w:r>
      <w:bookmarkEnd w:id="30"/>
    </w:p>
    <w:p w14:paraId="0AA0C5E9" w14:textId="06988667" w:rsidR="002866B4" w:rsidRDefault="00D24D53">
      <w:pPr>
        <w:jc w:val="left"/>
      </w:pPr>
      <w:r>
        <w:t xml:space="preserve">This Part sets out the background to the evaluation and key policy and administrative context for the </w:t>
      </w:r>
      <w:r w:rsidR="00935C09">
        <w:t xml:space="preserve">operation </w:t>
      </w:r>
      <w:r>
        <w:t xml:space="preserve">of the IAHP. Part A includes the following </w:t>
      </w:r>
      <w:r w:rsidR="009068FE">
        <w:t>sections:</w:t>
      </w:r>
    </w:p>
    <w:p w14:paraId="7F227A51" w14:textId="7225D37A" w:rsidR="009068FE" w:rsidRDefault="009068FE" w:rsidP="00580736">
      <w:pPr>
        <w:numPr>
          <w:ilvl w:val="0"/>
          <w:numId w:val="19"/>
        </w:numPr>
        <w:spacing w:after="120"/>
      </w:pPr>
      <w:r w:rsidRPr="005F7FA7">
        <w:rPr>
          <w:b/>
          <w:bCs/>
        </w:rPr>
        <w:t xml:space="preserve">Section 1 </w:t>
      </w:r>
      <w:r w:rsidR="007B146D" w:rsidRPr="005F7FA7">
        <w:rPr>
          <w:b/>
          <w:bCs/>
        </w:rPr>
        <w:t xml:space="preserve">– </w:t>
      </w:r>
      <w:r w:rsidR="007B146D" w:rsidRPr="00C40BA6">
        <w:rPr>
          <w:b/>
          <w:bCs/>
        </w:rPr>
        <w:t>Introduction</w:t>
      </w:r>
      <w:r w:rsidR="007B146D">
        <w:t xml:space="preserve"> </w:t>
      </w:r>
      <w:r w:rsidR="00E4471B">
        <w:t>sets out</w:t>
      </w:r>
      <w:r w:rsidR="00E4471B" w:rsidRPr="004905CC">
        <w:t xml:space="preserve"> </w:t>
      </w:r>
      <w:r w:rsidR="0036090A" w:rsidRPr="004905CC">
        <w:t xml:space="preserve">the purpose and objectives of the IAHP, the </w:t>
      </w:r>
      <w:r w:rsidR="00556D9B" w:rsidRPr="004905CC">
        <w:t>National Agreement on Closing the Gap</w:t>
      </w:r>
      <w:r w:rsidR="00703675">
        <w:t>,</w:t>
      </w:r>
      <w:r w:rsidR="00556D9B" w:rsidRPr="004905CC">
        <w:t xml:space="preserve"> the evaluation process</w:t>
      </w:r>
      <w:r w:rsidR="005F6DEB">
        <w:t>, and</w:t>
      </w:r>
      <w:r w:rsidR="00556D9B">
        <w:rPr>
          <w:b/>
          <w:bCs/>
        </w:rPr>
        <w:t xml:space="preserve"> </w:t>
      </w:r>
      <w:r w:rsidR="005F6DEB">
        <w:t xml:space="preserve">the background and context for the IAHP and the evaluation. It outlines the role of </w:t>
      </w:r>
      <w:r w:rsidR="003279C5">
        <w:t>PHC</w:t>
      </w:r>
      <w:r w:rsidR="005F6DEB">
        <w:t xml:space="preserve"> and the key policy frameworks and commitments that influence the landscape for primary health services for Aboriginal and Torres Strait Islander people.</w:t>
      </w:r>
    </w:p>
    <w:p w14:paraId="4C5F169E" w14:textId="5997FAB7" w:rsidR="006C417D" w:rsidRPr="004905CC" w:rsidRDefault="007B146D" w:rsidP="00580736">
      <w:pPr>
        <w:numPr>
          <w:ilvl w:val="0"/>
          <w:numId w:val="19"/>
        </w:numPr>
        <w:spacing w:after="120"/>
        <w:rPr>
          <w:b/>
          <w:bCs/>
        </w:rPr>
      </w:pPr>
      <w:r w:rsidRPr="004905CC">
        <w:rPr>
          <w:b/>
          <w:bCs/>
        </w:rPr>
        <w:t xml:space="preserve">Section 2 – </w:t>
      </w:r>
      <w:r w:rsidR="006C417D" w:rsidRPr="004905CC">
        <w:rPr>
          <w:b/>
          <w:bCs/>
        </w:rPr>
        <w:t xml:space="preserve">Evaluation </w:t>
      </w:r>
      <w:r w:rsidR="00C461CA">
        <w:rPr>
          <w:b/>
          <w:bCs/>
        </w:rPr>
        <w:t>m</w:t>
      </w:r>
      <w:r w:rsidR="006C417D" w:rsidRPr="004905CC">
        <w:rPr>
          <w:b/>
          <w:bCs/>
        </w:rPr>
        <w:t xml:space="preserve">ethodology </w:t>
      </w:r>
      <w:r w:rsidR="009847E2">
        <w:t xml:space="preserve">sets out the methodology for the evaluation, including the approach to the collection and analysis of qualitative and quantitative data. </w:t>
      </w:r>
    </w:p>
    <w:p w14:paraId="60A8731B" w14:textId="3C48EDC6" w:rsidR="007B146D" w:rsidRPr="004905CC" w:rsidRDefault="007B146D" w:rsidP="00580736">
      <w:pPr>
        <w:numPr>
          <w:ilvl w:val="0"/>
          <w:numId w:val="19"/>
        </w:numPr>
        <w:spacing w:after="120"/>
        <w:rPr>
          <w:b/>
          <w:bCs/>
        </w:rPr>
      </w:pPr>
      <w:r w:rsidRPr="004905CC">
        <w:rPr>
          <w:b/>
          <w:bCs/>
        </w:rPr>
        <w:t xml:space="preserve">Section </w:t>
      </w:r>
      <w:r w:rsidR="005F6DEB">
        <w:rPr>
          <w:b/>
          <w:bCs/>
        </w:rPr>
        <w:t>3</w:t>
      </w:r>
      <w:r w:rsidR="00935C09" w:rsidRPr="004905CC">
        <w:rPr>
          <w:b/>
          <w:bCs/>
        </w:rPr>
        <w:t xml:space="preserve"> – Understanding the IAHP</w:t>
      </w:r>
      <w:r w:rsidR="007E3726">
        <w:t xml:space="preserve"> provides detailed information about the IAHP, including the funding arrangements, activities and programs that are funded under the IAHP</w:t>
      </w:r>
      <w:r w:rsidR="00D1068D">
        <w:t>,</w:t>
      </w:r>
      <w:r w:rsidR="007E3726">
        <w:t xml:space="preserve"> and the overall investment in the IAHP. </w:t>
      </w:r>
    </w:p>
    <w:p w14:paraId="767A3565" w14:textId="5AC693AE" w:rsidR="00FF7099" w:rsidRDefault="00FF7099" w:rsidP="003A6949">
      <w:pPr>
        <w:pStyle w:val="Bullet1"/>
        <w:ind w:left="0" w:firstLine="0"/>
      </w:pPr>
      <w:r>
        <w:t xml:space="preserve">The core purpose of Part A is to introduce important policy, operational and funding context to situate the analysis and findings </w:t>
      </w:r>
      <w:r w:rsidR="00DC531F">
        <w:t xml:space="preserve">of the evaluation </w:t>
      </w:r>
      <w:r>
        <w:t>that follow in Parts B and C.</w:t>
      </w:r>
      <w:r w:rsidR="00AA35E2">
        <w:t xml:space="preserve"> </w:t>
      </w:r>
    </w:p>
    <w:p w14:paraId="7501591E" w14:textId="26CF0F7C" w:rsidR="00802523" w:rsidRDefault="00802523">
      <w:pPr>
        <w:jc w:val="left"/>
        <w:rPr>
          <w:b/>
          <w:caps/>
          <w:color w:val="9E6047" w:themeColor="accent3"/>
          <w:kern w:val="28"/>
          <w:sz w:val="40"/>
          <w:szCs w:val="48"/>
        </w:rPr>
      </w:pPr>
      <w:r>
        <w:br w:type="page"/>
      </w:r>
    </w:p>
    <w:p w14:paraId="56F77D84" w14:textId="7F838E91" w:rsidR="00FD6B74" w:rsidRPr="00E261F3" w:rsidRDefault="005A0DF2" w:rsidP="003D4A7C">
      <w:pPr>
        <w:pStyle w:val="Heading1"/>
        <w:rPr>
          <w:sz w:val="36"/>
          <w:szCs w:val="36"/>
        </w:rPr>
      </w:pPr>
      <w:bookmarkStart w:id="32" w:name="_Toc137208878"/>
      <w:r w:rsidRPr="00DD2021">
        <w:lastRenderedPageBreak/>
        <w:t>Introduction</w:t>
      </w:r>
      <w:bookmarkEnd w:id="32"/>
      <w:r w:rsidRPr="00E261F3">
        <w:t xml:space="preserve"> </w:t>
      </w:r>
    </w:p>
    <w:bookmarkEnd w:id="31"/>
    <w:p w14:paraId="1DA4F61B" w14:textId="1082F492" w:rsidR="00B06E90" w:rsidRDefault="00DB72F8" w:rsidP="00DB72F8">
      <w:r w:rsidRPr="00884FAA">
        <w:t xml:space="preserve">This report sets out the findings and recommendations of the </w:t>
      </w:r>
      <w:r w:rsidR="00303B22">
        <w:t>6</w:t>
      </w:r>
      <w:r w:rsidRPr="00884FAA">
        <w:t>-year evaluation of</w:t>
      </w:r>
      <w:r w:rsidR="00051F1D">
        <w:t xml:space="preserve"> the</w:t>
      </w:r>
      <w:r w:rsidRPr="00884FAA">
        <w:t xml:space="preserve"> </w:t>
      </w:r>
      <w:r w:rsidR="00051F1D">
        <w:t xml:space="preserve">Australian Government’s investment in Aboriginal and Torres Strait Islander </w:t>
      </w:r>
      <w:r w:rsidR="003279C5">
        <w:t>PHC</w:t>
      </w:r>
      <w:r w:rsidR="00051F1D">
        <w:t xml:space="preserve"> through the </w:t>
      </w:r>
      <w:r w:rsidRPr="00884FAA">
        <w:t xml:space="preserve">Indigenous Australians’ Health Programme (IAHP). </w:t>
      </w:r>
    </w:p>
    <w:p w14:paraId="53CFA52A" w14:textId="72F78315" w:rsidR="00DB72F8" w:rsidRPr="00884FAA" w:rsidRDefault="00DB72F8" w:rsidP="00DB72F8">
      <w:r w:rsidRPr="00884FAA">
        <w:t>The Australian Government commissioned this evaluation of the IAHP to support improvements to the IAHP, to improve Aboriginal and Torres Strait Islander peoples’ health and wellbeing, and</w:t>
      </w:r>
      <w:r w:rsidR="003A471D" w:rsidRPr="00884FAA">
        <w:t xml:space="preserve"> to</w:t>
      </w:r>
      <w:r w:rsidRPr="00884FAA">
        <w:t xml:space="preserve"> meet targets under the National Agreement on Closing the Gap</w:t>
      </w:r>
      <w:r w:rsidR="001631BF">
        <w:t xml:space="preserve"> </w:t>
      </w:r>
      <w:r w:rsidR="001631BF">
        <w:fldChar w:fldCharType="begin"/>
      </w:r>
      <w:r w:rsidR="00F8760E">
        <w:instrText xml:space="preserve"> ADDIN ZOTERO_ITEM CSL_CITATION {"citationID":"SNNL7waU","properties":{"formattedCitation":"(Coalition of Aboriginal and Torres Strait Islander Peak Organisations and Australian Governments (COAG), 2020a)","plainCitation":"(Coalition of Aboriginal and Torres Strait Islander Peak Organisations and Australian Governments (COAG), 2020a)","noteIndex":0},"citationItems":[{"id":3739,"uris":["http://zotero.org/groups/5010721/items/B7YJR4LB",["http://zotero.org/groups/5010721/items/B7YJR4LB"],["http://zotero.org/groups/5010721/items/B7YJR4LB",["http://zotero.org/groups/5010721/items/B7YJR4LB"]]],"itemData":{"id":3739,"type":"report","event-place":"Australia","language":"en","publisher":"Commonwealth of Australia","publisher-place":"Australia","source":"Zotero","title":"National Agreement on Closing the Gap","title-short":"the National Agreement","URL":"https://www.closingthegap.gov.au/national-agreement","author":[{"literal":"Coalition of Aboriginal and Torres Strait Islander Peak Organisations and Australian Governments (COAG)"}],"accessed":{"date-parts":[["2021",9,28]]},"issued":{"date-parts":[["2020",7]]}}}],"schema":"https://github.com/citation-style-language/schema/raw/master/csl-citation.json"} </w:instrText>
      </w:r>
      <w:r w:rsidR="001631BF">
        <w:fldChar w:fldCharType="separate"/>
      </w:r>
      <w:r w:rsidR="001631BF" w:rsidRPr="001631BF">
        <w:rPr>
          <w:rFonts w:ascii="Arial" w:hAnsi="Arial" w:cs="Arial"/>
        </w:rPr>
        <w:t>(Coalition of Aboriginal and Torres Strait Islander Peak Organisations and Australian Governments (COAG), 2020a)</w:t>
      </w:r>
      <w:r w:rsidR="001631BF">
        <w:fldChar w:fldCharType="end"/>
      </w:r>
      <w:r w:rsidR="006A7F40">
        <w:t>.</w:t>
      </w:r>
    </w:p>
    <w:p w14:paraId="46A4CBED" w14:textId="77777777" w:rsidR="00A52626" w:rsidRPr="00884FAA" w:rsidRDefault="00A52626" w:rsidP="0035030F">
      <w:pPr>
        <w:pStyle w:val="Heading2"/>
      </w:pPr>
      <w:bookmarkStart w:id="33" w:name="_Toc137208879"/>
      <w:r w:rsidRPr="00DD2021">
        <w:t>About</w:t>
      </w:r>
      <w:r w:rsidRPr="00884FAA">
        <w:t xml:space="preserve"> the IAHP</w:t>
      </w:r>
      <w:bookmarkEnd w:id="33"/>
    </w:p>
    <w:p w14:paraId="3B30228F" w14:textId="7B9BB0E7" w:rsidR="00A52626" w:rsidRPr="00884FAA" w:rsidRDefault="00A52626" w:rsidP="00A52626">
      <w:r w:rsidRPr="00884FAA">
        <w:t>The IAHP is the overarching Aboriginal and Torres Strait Islander health program</w:t>
      </w:r>
      <w:r w:rsidR="00C338F5">
        <w:t xml:space="preserve"> of the </w:t>
      </w:r>
      <w:r w:rsidR="008620B6">
        <w:t>Commonwealth Department of Health and Aged C</w:t>
      </w:r>
      <w:r w:rsidR="00606459">
        <w:t>are</w:t>
      </w:r>
      <w:r w:rsidRPr="00884FAA">
        <w:t xml:space="preserve"> </w:t>
      </w:r>
      <w:r w:rsidR="00B35A3D">
        <w:t>(the department)</w:t>
      </w:r>
      <w:r w:rsidR="00C338F5">
        <w:t>.</w:t>
      </w:r>
      <w:r w:rsidRPr="00884FAA">
        <w:t xml:space="preserve"> </w:t>
      </w:r>
      <w:r w:rsidR="00D21C6B" w:rsidRPr="00884FAA">
        <w:t xml:space="preserve">The IAHP is a funding </w:t>
      </w:r>
      <w:r w:rsidR="00C500B5">
        <w:t>program</w:t>
      </w:r>
      <w:r w:rsidR="00C500B5" w:rsidRPr="00884FAA">
        <w:t xml:space="preserve"> </w:t>
      </w:r>
      <w:r w:rsidR="00590B97" w:rsidRPr="00884FAA">
        <w:t xml:space="preserve">that supports </w:t>
      </w:r>
      <w:r w:rsidR="003279C5">
        <w:t>PHC</w:t>
      </w:r>
      <w:r w:rsidR="00590B97" w:rsidRPr="00884FAA">
        <w:t xml:space="preserve"> for Aboriginal and Torres Strait Islander people. </w:t>
      </w:r>
      <w:r w:rsidRPr="00884FAA">
        <w:t>Through the IAHP, the Australian Government funds Aboriginal Community Controlled Health Services (ACCHSs), state and territory-managed primary care services, Primary Health Networks (PHNs)</w:t>
      </w:r>
      <w:r w:rsidR="005F65BC" w:rsidRPr="00884FAA">
        <w:t>,</w:t>
      </w:r>
      <w:r w:rsidRPr="00884FAA">
        <w:t xml:space="preserve"> other non-government organisations and mainstream health services. </w:t>
      </w:r>
    </w:p>
    <w:p w14:paraId="40AA8B29" w14:textId="6F935D5C" w:rsidR="00A52626" w:rsidRDefault="00A52626" w:rsidP="00A52626">
      <w:r w:rsidRPr="00884FAA">
        <w:t xml:space="preserve">The objective of the IAHP is to ensure Aboriginal and Torres Strait Islander people have access to effective, high quality, comprehensive, and culturally appropriate </w:t>
      </w:r>
      <w:r w:rsidR="006927C7" w:rsidRPr="00884FAA">
        <w:t>PHC</w:t>
      </w:r>
      <w:r w:rsidRPr="00884FAA">
        <w:t xml:space="preserve"> services in urban, regional</w:t>
      </w:r>
      <w:r w:rsidR="002B0E56" w:rsidRPr="00884FAA">
        <w:t>,</w:t>
      </w:r>
      <w:r w:rsidRPr="00884FAA">
        <w:t xml:space="preserve"> and remote locations across Australia. The program recognises that access to effective, high quality, comprehensive and culturally appropriate PHC is essential to closing the gap and improving health outcomes for Aboriginal and Torres Strait Islander people</w:t>
      </w:r>
      <w:r w:rsidR="00632DE7" w:rsidRPr="00884FAA">
        <w:t>.</w:t>
      </w:r>
      <w:r w:rsidRPr="00884FAA">
        <w:t xml:space="preserve"> </w:t>
      </w:r>
    </w:p>
    <w:p w14:paraId="34E280D5" w14:textId="1BED2889" w:rsidR="00FA1CC9" w:rsidRDefault="00FA1CC9" w:rsidP="00FA1CC9">
      <w:r w:rsidRPr="00884FAA">
        <w:t xml:space="preserve">The IAHP was originally formed through the consolidation of </w:t>
      </w:r>
      <w:r w:rsidR="006D2482">
        <w:t>4</w:t>
      </w:r>
      <w:r w:rsidR="006D2482" w:rsidRPr="00884FAA">
        <w:t xml:space="preserve"> </w:t>
      </w:r>
      <w:r w:rsidRPr="00884FAA">
        <w:t xml:space="preserve">existing funding streams for Aboriginal and Torres Strait Islander health. </w:t>
      </w:r>
      <w:r>
        <w:t>These predecessor programs were:</w:t>
      </w:r>
    </w:p>
    <w:p w14:paraId="70752A77" w14:textId="480FBC10" w:rsidR="00FA1CC9" w:rsidRPr="00580736" w:rsidRDefault="00FA1CC9" w:rsidP="00580736">
      <w:pPr>
        <w:numPr>
          <w:ilvl w:val="0"/>
          <w:numId w:val="19"/>
        </w:numPr>
        <w:spacing w:after="120"/>
      </w:pPr>
      <w:r w:rsidRPr="00580736">
        <w:t xml:space="preserve">primary health care funding </w:t>
      </w:r>
    </w:p>
    <w:p w14:paraId="59EB152F" w14:textId="6E2AB13C" w:rsidR="00FA1CC9" w:rsidRPr="00580736" w:rsidRDefault="00FA1CC9" w:rsidP="00580736">
      <w:pPr>
        <w:numPr>
          <w:ilvl w:val="0"/>
          <w:numId w:val="19"/>
        </w:numPr>
        <w:spacing w:after="120"/>
      </w:pPr>
      <w:r w:rsidRPr="00580736">
        <w:t xml:space="preserve">child and maternal health programs </w:t>
      </w:r>
    </w:p>
    <w:p w14:paraId="2A9892F4" w14:textId="7FD8203D" w:rsidR="00FA1CC9" w:rsidRPr="00580736" w:rsidRDefault="00FA1CC9" w:rsidP="00580736">
      <w:pPr>
        <w:numPr>
          <w:ilvl w:val="0"/>
          <w:numId w:val="19"/>
        </w:numPr>
        <w:spacing w:after="120"/>
      </w:pPr>
      <w:r w:rsidRPr="00580736">
        <w:t xml:space="preserve">Stronger Futures in the Northern Territory (Health) </w:t>
      </w:r>
    </w:p>
    <w:p w14:paraId="3A4A5D2D" w14:textId="5201E875" w:rsidR="00FA1CC9" w:rsidRDefault="00FA1CC9" w:rsidP="00580736">
      <w:pPr>
        <w:numPr>
          <w:ilvl w:val="0"/>
          <w:numId w:val="19"/>
        </w:numPr>
        <w:spacing w:after="120"/>
      </w:pPr>
      <w:r w:rsidRPr="00580736">
        <w:t>programs covered by</w:t>
      </w:r>
      <w:r w:rsidRPr="00EB4475">
        <w:t xml:space="preserve"> the Aboriginal and Torres Strait Islander Chronic Disease Fund.</w:t>
      </w:r>
    </w:p>
    <w:p w14:paraId="5732F152" w14:textId="0F99A5B4" w:rsidR="00814593" w:rsidRDefault="00FA1CC9" w:rsidP="0058264B">
      <w:r w:rsidRPr="00884FAA">
        <w:rPr>
          <w:lang w:eastAsia="en-GB"/>
        </w:rPr>
        <w:t xml:space="preserve">Over time, the operation of the IAHP has evolved to accommodate new and emerging health priorities through a variety of </w:t>
      </w:r>
      <w:r w:rsidR="000F3F21">
        <w:rPr>
          <w:lang w:eastAsia="en-GB"/>
        </w:rPr>
        <w:t xml:space="preserve">programs and </w:t>
      </w:r>
      <w:r w:rsidRPr="00884FAA">
        <w:rPr>
          <w:lang w:eastAsia="en-GB"/>
        </w:rPr>
        <w:t>activities focused on local health needs, as well as targeted responses to particular health issues and activity across the life course</w:t>
      </w:r>
      <w:r>
        <w:rPr>
          <w:lang w:eastAsia="en-GB"/>
        </w:rPr>
        <w:t xml:space="preserve">. </w:t>
      </w:r>
      <w:r w:rsidR="0058264B">
        <w:t xml:space="preserve">IAHP programs and activities are configured across </w:t>
      </w:r>
      <w:r w:rsidR="00814593">
        <w:t>5 key themes:</w:t>
      </w:r>
    </w:p>
    <w:p w14:paraId="5860BA84" w14:textId="5785A7CB" w:rsidR="00814593" w:rsidRDefault="00814593" w:rsidP="00F16837">
      <w:pPr>
        <w:pStyle w:val="Bullet-Number"/>
        <w:numPr>
          <w:ilvl w:val="0"/>
          <w:numId w:val="46"/>
        </w:numPr>
      </w:pPr>
      <w:r w:rsidRPr="0058264B">
        <w:rPr>
          <w:b/>
          <w:bCs/>
        </w:rPr>
        <w:t>Comprehensive PHC</w:t>
      </w:r>
      <w:r>
        <w:t xml:space="preserve">, through funding Aboriginal Community Controlled Health Services and other health services to deliver </w:t>
      </w:r>
      <w:r w:rsidR="003279C5">
        <w:t>PHC</w:t>
      </w:r>
      <w:r>
        <w:t xml:space="preserve"> to Aboriginal and Torres Strait Islander people. </w:t>
      </w:r>
    </w:p>
    <w:p w14:paraId="11E05118" w14:textId="09D69CB8" w:rsidR="00814593" w:rsidRDefault="00814593" w:rsidP="00B01C13">
      <w:pPr>
        <w:pStyle w:val="Bullet-Number"/>
      </w:pPr>
      <w:r w:rsidRPr="00EB6CDC">
        <w:rPr>
          <w:b/>
          <w:bCs/>
        </w:rPr>
        <w:t>Improving access to PHC</w:t>
      </w:r>
      <w:r>
        <w:t>, by increasing the capacity of ‘mainstream’ health</w:t>
      </w:r>
      <w:r w:rsidR="004C212B">
        <w:t xml:space="preserve"> </w:t>
      </w:r>
      <w:r>
        <w:t xml:space="preserve">care services to provide culturally appropriate care and by improving outreach, coordination </w:t>
      </w:r>
      <w:r>
        <w:lastRenderedPageBreak/>
        <w:t xml:space="preserve">and referral services to connect Indigenous Australians to the full range of services appropriate to their health needs. </w:t>
      </w:r>
    </w:p>
    <w:p w14:paraId="6593B1D9" w14:textId="77777777" w:rsidR="00814593" w:rsidRDefault="00814593" w:rsidP="00B01C13">
      <w:pPr>
        <w:pStyle w:val="Bullet-Number"/>
      </w:pPr>
      <w:r w:rsidRPr="00EB6CDC">
        <w:rPr>
          <w:b/>
          <w:bCs/>
        </w:rPr>
        <w:t>Targeted health activities</w:t>
      </w:r>
      <w:r>
        <w:t xml:space="preserve"> such as anti-smoking, mental health, eye and ear health, blood borne viruses and sexually transmitted infections, chronic conditions such as diabetes, renal disease, cancer, heart disease, respiratory disease and rheumatic heart disease. </w:t>
      </w:r>
    </w:p>
    <w:p w14:paraId="6E1AD182" w14:textId="77777777" w:rsidR="00814593" w:rsidRDefault="00814593" w:rsidP="00B01C13">
      <w:pPr>
        <w:pStyle w:val="Bullet-Number"/>
      </w:pPr>
      <w:r w:rsidRPr="00EB6CDC">
        <w:rPr>
          <w:b/>
          <w:bCs/>
        </w:rPr>
        <w:t>Capital works</w:t>
      </w:r>
      <w:r>
        <w:t xml:space="preserve">, including upgrading and maintenance of IAHP funded PHC facilities and residential staff accommodation. </w:t>
      </w:r>
    </w:p>
    <w:p w14:paraId="15E455D9" w14:textId="77777777" w:rsidR="00814593" w:rsidRDefault="00814593" w:rsidP="0058264B">
      <w:pPr>
        <w:pStyle w:val="Bullet-Number"/>
        <w:spacing w:after="240"/>
        <w:ind w:left="714" w:hanging="357"/>
      </w:pPr>
      <w:r w:rsidRPr="00EB6CDC">
        <w:rPr>
          <w:b/>
          <w:bCs/>
        </w:rPr>
        <w:t>Governance and system effectiveness</w:t>
      </w:r>
      <w:r>
        <w:t>, including funding of information systems, system support, data, evaluation, and continuous quality improvement.</w:t>
      </w:r>
    </w:p>
    <w:p w14:paraId="25E4CB7F" w14:textId="1A779A2A" w:rsidR="00A52626" w:rsidRDefault="00A52626" w:rsidP="00A52626">
      <w:r w:rsidRPr="00884FAA">
        <w:t xml:space="preserve">The IAHP also seeks to influence the health system more broadly so that </w:t>
      </w:r>
      <w:r w:rsidR="00F31D2D" w:rsidRPr="00884FAA">
        <w:t xml:space="preserve">it </w:t>
      </w:r>
      <w:r w:rsidRPr="00884FAA">
        <w:t xml:space="preserve">works </w:t>
      </w:r>
      <w:r w:rsidR="00796FA0" w:rsidRPr="00884FAA">
        <w:t>well for</w:t>
      </w:r>
      <w:r w:rsidRPr="00884FAA">
        <w:t xml:space="preserve"> Aboriginal and Torres Strait Islander people. The IAHP is expected to contribute to </w:t>
      </w:r>
      <w:r w:rsidR="00F475E3">
        <w:t>the P</w:t>
      </w:r>
      <w:r w:rsidRPr="00884FAA">
        <w:t xml:space="preserve">riority </w:t>
      </w:r>
      <w:r w:rsidR="00F475E3">
        <w:t>R</w:t>
      </w:r>
      <w:r w:rsidRPr="00884FAA">
        <w:t>eforms and targets under the National Agreement on Closing the Gap.</w:t>
      </w:r>
    </w:p>
    <w:p w14:paraId="3685BD43" w14:textId="77777777" w:rsidR="000F3F21" w:rsidRDefault="000F3F21" w:rsidP="000F3F21">
      <w:r w:rsidRPr="00884FAA">
        <w:t xml:space="preserve">Under the IAHP, the </w:t>
      </w:r>
      <w:r>
        <w:t xml:space="preserve">department </w:t>
      </w:r>
      <w:r w:rsidRPr="00884FAA">
        <w:t xml:space="preserve">provides around $1 billion each year to services and programs across Australia. </w:t>
      </w:r>
    </w:p>
    <w:p w14:paraId="4F3C992D" w14:textId="5FE76A91" w:rsidR="00A52626" w:rsidRPr="00884FAA" w:rsidRDefault="00F8737B" w:rsidP="00A52626">
      <w:r w:rsidRPr="008E1CF0">
        <w:t>More</w:t>
      </w:r>
      <w:r w:rsidR="00A52626" w:rsidRPr="008E1CF0">
        <w:t xml:space="preserve"> detail about the operation of the IAHP </w:t>
      </w:r>
      <w:r w:rsidRPr="008E1CF0">
        <w:t xml:space="preserve">is </w:t>
      </w:r>
      <w:r w:rsidRPr="00236282">
        <w:t xml:space="preserve">included </w:t>
      </w:r>
      <w:r w:rsidR="00A52626" w:rsidRPr="00236282">
        <w:t xml:space="preserve">in </w:t>
      </w:r>
      <w:r w:rsidR="00FA3BC1" w:rsidRPr="00236282">
        <w:t xml:space="preserve">Section </w:t>
      </w:r>
      <w:r w:rsidR="008E1CF0" w:rsidRPr="00236282">
        <w:fldChar w:fldCharType="begin"/>
      </w:r>
      <w:r w:rsidR="008E1CF0" w:rsidRPr="00236282">
        <w:instrText xml:space="preserve"> REF _Ref131611373 \r \h  \* MERGEFORMAT </w:instrText>
      </w:r>
      <w:r w:rsidR="008E1CF0" w:rsidRPr="00236282">
        <w:fldChar w:fldCharType="separate"/>
      </w:r>
      <w:r w:rsidR="00165B17">
        <w:t>3</w:t>
      </w:r>
      <w:r w:rsidR="008E1CF0" w:rsidRPr="00236282">
        <w:fldChar w:fldCharType="end"/>
      </w:r>
      <w:r w:rsidR="008E1CF0" w:rsidRPr="00236282">
        <w:t>.</w:t>
      </w:r>
    </w:p>
    <w:p w14:paraId="182AF473" w14:textId="422C7D5F" w:rsidR="000D0756" w:rsidRPr="00884FAA" w:rsidRDefault="000D0756" w:rsidP="0035030F">
      <w:pPr>
        <w:pStyle w:val="Heading2"/>
      </w:pPr>
      <w:bookmarkStart w:id="34" w:name="_Toc137208880"/>
      <w:r w:rsidRPr="00884FAA">
        <w:t>About the National Agreement on Closing the Gap</w:t>
      </w:r>
      <w:bookmarkEnd w:id="34"/>
    </w:p>
    <w:p w14:paraId="29A43094" w14:textId="201B3BF1" w:rsidR="00D632A1" w:rsidRDefault="003A6C21" w:rsidP="00145CA3">
      <w:r w:rsidRPr="00884FAA">
        <w:t xml:space="preserve">The objective of the National Agreement on Closing the Gap is to enable Aboriginal and </w:t>
      </w:r>
      <w:r w:rsidR="00E521D6" w:rsidRPr="00884FAA">
        <w:t>Torres</w:t>
      </w:r>
      <w:r w:rsidRPr="00884FAA">
        <w:t xml:space="preserve"> Strait Islander people </w:t>
      </w:r>
      <w:r w:rsidR="00C536A6" w:rsidRPr="00884FAA">
        <w:t xml:space="preserve">and </w:t>
      </w:r>
      <w:r w:rsidR="009323D5">
        <w:t xml:space="preserve">all </w:t>
      </w:r>
      <w:r w:rsidR="00C536A6" w:rsidRPr="00884FAA">
        <w:t xml:space="preserve">governments to work together to overcome the </w:t>
      </w:r>
      <w:r w:rsidR="00E521D6" w:rsidRPr="00884FAA">
        <w:t>inequality</w:t>
      </w:r>
      <w:r w:rsidR="00C536A6" w:rsidRPr="00884FAA">
        <w:t xml:space="preserve"> experienced by Aboriginal and Torres Strait Islander people, and </w:t>
      </w:r>
      <w:r w:rsidR="004D1371" w:rsidRPr="00884FAA">
        <w:t xml:space="preserve">to </w:t>
      </w:r>
      <w:r w:rsidR="00C536A6" w:rsidRPr="00884FAA">
        <w:t xml:space="preserve">achieve life outcomes equal to all Australians. </w:t>
      </w:r>
    </w:p>
    <w:p w14:paraId="7055B59A" w14:textId="77777777" w:rsidR="00D632A1" w:rsidRPr="00884FAA" w:rsidRDefault="00D632A1" w:rsidP="00D632A1">
      <w:r w:rsidRPr="00884FAA">
        <w:t>The National Agreement recognises that Aboriginal and Torres Strait Islander people have been saying for a long time that:</w:t>
      </w:r>
    </w:p>
    <w:p w14:paraId="2324CC62" w14:textId="77777777" w:rsidR="00D632A1" w:rsidRPr="00884FAA" w:rsidRDefault="00D632A1" w:rsidP="00580736">
      <w:pPr>
        <w:numPr>
          <w:ilvl w:val="0"/>
          <w:numId w:val="19"/>
        </w:numPr>
        <w:spacing w:after="120"/>
      </w:pPr>
      <w:r w:rsidRPr="00884FAA">
        <w:t>they need to have a much greater say in how the programs and services are delivered to their people, in their own places, and on their own Country</w:t>
      </w:r>
      <w:r>
        <w:t>.</w:t>
      </w:r>
    </w:p>
    <w:p w14:paraId="55C193C2" w14:textId="77777777" w:rsidR="00D632A1" w:rsidRPr="00884FAA" w:rsidRDefault="00D632A1" w:rsidP="00580736">
      <w:pPr>
        <w:numPr>
          <w:ilvl w:val="0"/>
          <w:numId w:val="19"/>
        </w:numPr>
        <w:spacing w:after="120"/>
      </w:pPr>
      <w:r w:rsidRPr="00884FAA">
        <w:t>community-controlled organisations deliver the best services and outcomes for Closing the Gap</w:t>
      </w:r>
      <w:r>
        <w:t>.</w:t>
      </w:r>
    </w:p>
    <w:p w14:paraId="7E4E503D" w14:textId="77777777" w:rsidR="00D632A1" w:rsidRPr="00884FAA" w:rsidRDefault="00D632A1" w:rsidP="00580736">
      <w:pPr>
        <w:numPr>
          <w:ilvl w:val="0"/>
          <w:numId w:val="19"/>
        </w:numPr>
        <w:spacing w:after="120"/>
      </w:pPr>
      <w:r w:rsidRPr="00884FAA">
        <w:t>government agencies and institutions need to address systemic, daily racism and promote cultural safety and transfer power and resources to communities</w:t>
      </w:r>
      <w:r>
        <w:t>.</w:t>
      </w:r>
    </w:p>
    <w:p w14:paraId="387D1C4A" w14:textId="5B88573A" w:rsidR="00D632A1" w:rsidRPr="00D632A1" w:rsidRDefault="00D632A1" w:rsidP="00580736">
      <w:pPr>
        <w:numPr>
          <w:ilvl w:val="0"/>
          <w:numId w:val="19"/>
        </w:numPr>
        <w:spacing w:after="120"/>
      </w:pPr>
      <w:r w:rsidRPr="00884FAA">
        <w:t xml:space="preserve">they need to have access to the same information and data as governments to drive their development. </w:t>
      </w:r>
    </w:p>
    <w:p w14:paraId="7F589510" w14:textId="73E18EF7" w:rsidR="00276361" w:rsidRPr="00276361" w:rsidRDefault="00276361" w:rsidP="00276361">
      <w:r w:rsidRPr="00276361">
        <w:t xml:space="preserve">At the centre of the National Agreement are </w:t>
      </w:r>
      <w:r w:rsidR="006D2482">
        <w:t>4</w:t>
      </w:r>
      <w:r w:rsidR="006D2482" w:rsidRPr="00276361">
        <w:t xml:space="preserve"> </w:t>
      </w:r>
      <w:r w:rsidRPr="00276361">
        <w:t>Priority Reforms that focus on changing the way governments work with Aboriginal and Torres Strait Islander people.</w:t>
      </w:r>
    </w:p>
    <w:p w14:paraId="55D43ACA" w14:textId="77777777" w:rsidR="00816F17" w:rsidRDefault="00816F17">
      <w:pPr>
        <w:jc w:val="left"/>
      </w:pPr>
      <w:r>
        <w:br w:type="page"/>
      </w:r>
    </w:p>
    <w:p w14:paraId="42F35D42" w14:textId="02086C90" w:rsidR="00276361" w:rsidRPr="00276361" w:rsidRDefault="00276361" w:rsidP="00276361">
      <w:r w:rsidRPr="00276361">
        <w:lastRenderedPageBreak/>
        <w:t xml:space="preserve">The </w:t>
      </w:r>
      <w:r w:rsidR="003867F4">
        <w:t xml:space="preserve">4 </w:t>
      </w:r>
      <w:r w:rsidRPr="00276361">
        <w:t xml:space="preserve">Priority Reforms </w:t>
      </w:r>
      <w:r w:rsidR="003867F4">
        <w:t>are</w:t>
      </w:r>
      <w:r w:rsidRPr="00276361">
        <w:t>:</w:t>
      </w:r>
    </w:p>
    <w:p w14:paraId="6FFDCB55" w14:textId="331035EA" w:rsidR="00276361" w:rsidRPr="00276361" w:rsidRDefault="003867F4" w:rsidP="00F16837">
      <w:pPr>
        <w:pStyle w:val="Bullet-Number"/>
        <w:numPr>
          <w:ilvl w:val="0"/>
          <w:numId w:val="47"/>
        </w:numPr>
      </w:pPr>
      <w:r>
        <w:t>F</w:t>
      </w:r>
      <w:r w:rsidR="00276361" w:rsidRPr="00276361">
        <w:t>ormal partnerships and shared decision</w:t>
      </w:r>
      <w:r w:rsidR="00084FED">
        <w:t>-</w:t>
      </w:r>
      <w:r w:rsidR="00276361" w:rsidRPr="00276361">
        <w:t>making</w:t>
      </w:r>
      <w:r>
        <w:t>.</w:t>
      </w:r>
    </w:p>
    <w:p w14:paraId="766E63BA" w14:textId="2134EA20" w:rsidR="00276361" w:rsidRPr="00276361" w:rsidRDefault="003867F4" w:rsidP="006C2376">
      <w:pPr>
        <w:pStyle w:val="Bullet-Number"/>
      </w:pPr>
      <w:r>
        <w:t>Building</w:t>
      </w:r>
      <w:r w:rsidR="00276361" w:rsidRPr="00276361">
        <w:t xml:space="preserve"> the community-controlled sector</w:t>
      </w:r>
      <w:r>
        <w:t>.</w:t>
      </w:r>
    </w:p>
    <w:p w14:paraId="03F4CD7C" w14:textId="29B5860A" w:rsidR="00276361" w:rsidRPr="00276361" w:rsidRDefault="003867F4" w:rsidP="006C2376">
      <w:pPr>
        <w:pStyle w:val="Bullet-Number"/>
      </w:pPr>
      <w:r>
        <w:t>T</w:t>
      </w:r>
      <w:r w:rsidR="00276361" w:rsidRPr="00276361">
        <w:t>ransform</w:t>
      </w:r>
      <w:r w:rsidR="006C2376">
        <w:t>ing</w:t>
      </w:r>
      <w:r w:rsidR="00276361" w:rsidRPr="00276361">
        <w:t xml:space="preserve"> government organisations</w:t>
      </w:r>
      <w:r w:rsidR="006C2376">
        <w:t>.</w:t>
      </w:r>
    </w:p>
    <w:p w14:paraId="57B8CA1C" w14:textId="309F75DB" w:rsidR="00276361" w:rsidRDefault="006C2376" w:rsidP="006C2376">
      <w:pPr>
        <w:pStyle w:val="Bullet-Number"/>
        <w:spacing w:after="240"/>
        <w:ind w:left="714" w:hanging="357"/>
      </w:pPr>
      <w:r>
        <w:t>S</w:t>
      </w:r>
      <w:r w:rsidR="00276361" w:rsidRPr="00276361">
        <w:t>hare</w:t>
      </w:r>
      <w:r>
        <w:t>d</w:t>
      </w:r>
      <w:r w:rsidR="00276361" w:rsidRPr="00276361">
        <w:t xml:space="preserve"> access to data and information </w:t>
      </w:r>
      <w:r>
        <w:t>at a regional level.</w:t>
      </w:r>
    </w:p>
    <w:p w14:paraId="329FF3FF" w14:textId="38E95607" w:rsidR="00B37D4C" w:rsidRPr="00884FAA" w:rsidRDefault="00B37D4C" w:rsidP="00145CA3">
      <w:r w:rsidRPr="00884FAA">
        <w:t xml:space="preserve">The National Agreement on Closing the Gap </w:t>
      </w:r>
      <w:r w:rsidR="009A1B1A" w:rsidRPr="00884FAA">
        <w:t>makes</w:t>
      </w:r>
      <w:r w:rsidR="00442D00" w:rsidRPr="00884FAA">
        <w:t xml:space="preserve"> a commitment to </w:t>
      </w:r>
      <w:r w:rsidR="00DF2953" w:rsidRPr="00884FAA">
        <w:t xml:space="preserve">take </w:t>
      </w:r>
      <w:r w:rsidR="00701206" w:rsidRPr="00884FAA">
        <w:t xml:space="preserve">tangible, measurable </w:t>
      </w:r>
      <w:r w:rsidR="00DF2953" w:rsidRPr="00884FAA">
        <w:t xml:space="preserve">action to meet targets that </w:t>
      </w:r>
      <w:r w:rsidR="00B93F6B" w:rsidRPr="00884FAA">
        <w:t xml:space="preserve">reduce the </w:t>
      </w:r>
      <w:r w:rsidR="00D1243A" w:rsidRPr="00884FAA">
        <w:t xml:space="preserve">enduring </w:t>
      </w:r>
      <w:r w:rsidR="00B93F6B" w:rsidRPr="00884FAA">
        <w:t xml:space="preserve">inequality experienced by Aboriginal and Torres Strait Islander people. This includes addressing </w:t>
      </w:r>
      <w:r w:rsidR="00433754" w:rsidRPr="00884FAA">
        <w:t xml:space="preserve">the structural drivers </w:t>
      </w:r>
      <w:r w:rsidR="00AA388B" w:rsidRPr="00884FAA">
        <w:t xml:space="preserve">of </w:t>
      </w:r>
      <w:r w:rsidR="00B93F6B" w:rsidRPr="00884FAA">
        <w:t xml:space="preserve">health </w:t>
      </w:r>
      <w:r w:rsidR="00433754" w:rsidRPr="00884FAA">
        <w:t xml:space="preserve">and social </w:t>
      </w:r>
      <w:r w:rsidR="00B93F6B" w:rsidRPr="00884FAA">
        <w:t xml:space="preserve">inequalities </w:t>
      </w:r>
      <w:r w:rsidR="00433754" w:rsidRPr="00884FAA">
        <w:t xml:space="preserve">that contribute to lower life expectancy and high rates of chronic health conditions in Aboriginal and </w:t>
      </w:r>
      <w:r w:rsidR="00AA388B" w:rsidRPr="00884FAA">
        <w:t xml:space="preserve">Torres Strait Islander people. </w:t>
      </w:r>
    </w:p>
    <w:p w14:paraId="56F86C32" w14:textId="2207076F" w:rsidR="00D36136" w:rsidRPr="00884FAA" w:rsidRDefault="00D36136" w:rsidP="00D36136">
      <w:r w:rsidRPr="00884FAA">
        <w:t xml:space="preserve">The National Agreement is intended to reflect a new approach </w:t>
      </w:r>
      <w:r>
        <w:t>so that</w:t>
      </w:r>
      <w:r w:rsidRPr="00884FAA">
        <w:t xml:space="preserve"> policy making that impacts on the lives of Aboriginal and Torres Strait Islander people is done in full and genuine partnership</w:t>
      </w:r>
      <w:r>
        <w:t xml:space="preserve"> between government and Aboriginal and Torres Strait Islander people</w:t>
      </w:r>
      <w:r w:rsidRPr="00884FAA">
        <w:t>. It recognises that changing the way that government</w:t>
      </w:r>
      <w:r w:rsidR="00E4783D">
        <w:t>s</w:t>
      </w:r>
      <w:r w:rsidRPr="00884FAA">
        <w:t xml:space="preserve"> work and listen to the voices and aspirations of Aboriginal and Torres Strait Islander people is essential to shifting the future and closing the gap for Aboriginal and Torres Strait Islander people. </w:t>
      </w:r>
    </w:p>
    <w:p w14:paraId="09E2B10F" w14:textId="4FD75754" w:rsidR="0039253B" w:rsidRPr="00884FAA" w:rsidRDefault="0039253B" w:rsidP="00D36136">
      <w:r w:rsidRPr="0039253B">
        <w:rPr>
          <w:lang w:val="en-NZ"/>
        </w:rPr>
        <w:t>Relevant</w:t>
      </w:r>
      <w:r w:rsidR="00E4783D">
        <w:rPr>
          <w:lang w:val="en-NZ"/>
        </w:rPr>
        <w:t xml:space="preserve"> up</w:t>
      </w:r>
      <w:r w:rsidRPr="0039253B">
        <w:rPr>
          <w:lang w:val="en-NZ"/>
        </w:rPr>
        <w:t>dates and changes to the National Agreement are agreed by Joint Council</w:t>
      </w:r>
      <w:r w:rsidR="00E4783D">
        <w:rPr>
          <w:lang w:val="en-NZ"/>
        </w:rPr>
        <w:t xml:space="preserve">, </w:t>
      </w:r>
      <w:r w:rsidRPr="0039253B">
        <w:rPr>
          <w:lang w:val="en-NZ"/>
        </w:rPr>
        <w:t>comp</w:t>
      </w:r>
      <w:r w:rsidR="00E4783D">
        <w:rPr>
          <w:lang w:val="en-NZ"/>
        </w:rPr>
        <w:t>rised of the</w:t>
      </w:r>
      <w:r w:rsidRPr="0039253B">
        <w:rPr>
          <w:lang w:val="en-NZ"/>
        </w:rPr>
        <w:t xml:space="preserve"> Coalition of Peaks organisations, federal, state and territor</w:t>
      </w:r>
      <w:r w:rsidR="00E4783D">
        <w:rPr>
          <w:lang w:val="en-NZ"/>
        </w:rPr>
        <w:t>y</w:t>
      </w:r>
      <w:r w:rsidRPr="0039253B">
        <w:rPr>
          <w:lang w:val="en-NZ"/>
        </w:rPr>
        <w:t xml:space="preserve"> governments and land councils' representatives</w:t>
      </w:r>
      <w:r w:rsidR="00C133C4">
        <w:rPr>
          <w:lang w:val="en-NZ"/>
        </w:rPr>
        <w:t>.</w:t>
      </w:r>
    </w:p>
    <w:p w14:paraId="54DFF699" w14:textId="65C71FF8" w:rsidR="00D36136" w:rsidRPr="0054425C" w:rsidRDefault="00D36136" w:rsidP="00D36136">
      <w:r w:rsidRPr="0054425C">
        <w:t xml:space="preserve">Improvements to the delivery of </w:t>
      </w:r>
      <w:r w:rsidR="003279C5">
        <w:t>PHC</w:t>
      </w:r>
      <w:r w:rsidRPr="0054425C">
        <w:t xml:space="preserve"> for Aboriginal and Torres Strait Islander people is one of a collection of actions designed to close the gap on life expectancy. </w:t>
      </w:r>
    </w:p>
    <w:p w14:paraId="165D9DB1" w14:textId="660AC842" w:rsidR="0028749C" w:rsidRDefault="003871C2" w:rsidP="00D36136">
      <w:pPr>
        <w:rPr>
          <w:lang w:val="en-GB"/>
        </w:rPr>
      </w:pPr>
      <w:r>
        <w:rPr>
          <w:lang w:val="en-GB"/>
        </w:rPr>
        <w:t xml:space="preserve">There </w:t>
      </w:r>
      <w:r w:rsidR="00D36136" w:rsidRPr="00084572">
        <w:rPr>
          <w:lang w:val="en-GB"/>
        </w:rPr>
        <w:t>are</w:t>
      </w:r>
      <w:r w:rsidR="00E4783D">
        <w:rPr>
          <w:lang w:val="en-GB"/>
        </w:rPr>
        <w:t xml:space="preserve"> 3 </w:t>
      </w:r>
      <w:r w:rsidR="00D36136" w:rsidRPr="00084572">
        <w:rPr>
          <w:lang w:val="en-GB"/>
        </w:rPr>
        <w:t>outcomes</w:t>
      </w:r>
      <w:r w:rsidR="00FB2B03">
        <w:rPr>
          <w:lang w:val="en-GB"/>
        </w:rPr>
        <w:t xml:space="preserve"> </w:t>
      </w:r>
      <w:r w:rsidR="00D36136" w:rsidRPr="00084572">
        <w:rPr>
          <w:lang w:val="en-GB"/>
        </w:rPr>
        <w:t>specifically relevant to this evaluation given the role</w:t>
      </w:r>
      <w:r w:rsidR="00FB2B03">
        <w:rPr>
          <w:lang w:val="en-GB"/>
        </w:rPr>
        <w:t xml:space="preserve"> and</w:t>
      </w:r>
      <w:r w:rsidR="005F3E84">
        <w:rPr>
          <w:lang w:val="en-GB"/>
        </w:rPr>
        <w:t xml:space="preserve"> responsibilities</w:t>
      </w:r>
      <w:r w:rsidR="00D36136" w:rsidRPr="00084572">
        <w:rPr>
          <w:lang w:val="en-GB"/>
        </w:rPr>
        <w:t xml:space="preserve"> of the </w:t>
      </w:r>
      <w:r w:rsidR="00B35A3D">
        <w:rPr>
          <w:lang w:val="en-GB"/>
        </w:rPr>
        <w:t>department</w:t>
      </w:r>
      <w:r w:rsidR="000E6F47">
        <w:rPr>
          <w:lang w:val="en-GB"/>
        </w:rPr>
        <w:t>. These outcomes</w:t>
      </w:r>
      <w:r w:rsidR="001877BE">
        <w:rPr>
          <w:lang w:val="en-GB"/>
        </w:rPr>
        <w:t xml:space="preserve"> and their associated </w:t>
      </w:r>
      <w:r w:rsidR="00536124">
        <w:rPr>
          <w:lang w:val="en-GB"/>
        </w:rPr>
        <w:t>targets and current state are shown in</w:t>
      </w:r>
      <w:r w:rsidR="000E6F47">
        <w:rPr>
          <w:lang w:val="en-GB"/>
        </w:rPr>
        <w:t xml:space="preserve"> </w:t>
      </w:r>
      <w:r w:rsidR="000E6F47">
        <w:rPr>
          <w:lang w:val="en-GB"/>
        </w:rPr>
        <w:fldChar w:fldCharType="begin"/>
      </w:r>
      <w:r w:rsidR="000E6F47">
        <w:rPr>
          <w:lang w:val="en-GB"/>
        </w:rPr>
        <w:instrText xml:space="preserve"> REF _Ref137062929 \h </w:instrText>
      </w:r>
      <w:r w:rsidR="000E6F47">
        <w:rPr>
          <w:lang w:val="en-GB"/>
        </w:rPr>
      </w:r>
      <w:r w:rsidR="000E6F47">
        <w:rPr>
          <w:lang w:val="en-GB"/>
        </w:rPr>
        <w:fldChar w:fldCharType="separate"/>
      </w:r>
      <w:r w:rsidR="00165B17">
        <w:t xml:space="preserve">Table </w:t>
      </w:r>
      <w:r w:rsidR="00165B17">
        <w:rPr>
          <w:noProof/>
        </w:rPr>
        <w:t>1</w:t>
      </w:r>
      <w:r w:rsidR="00165B17">
        <w:noBreakHyphen/>
      </w:r>
      <w:r w:rsidR="00165B17">
        <w:rPr>
          <w:noProof/>
        </w:rPr>
        <w:t>1</w:t>
      </w:r>
      <w:r w:rsidR="000E6F47">
        <w:rPr>
          <w:lang w:val="en-GB"/>
        </w:rPr>
        <w:fldChar w:fldCharType="end"/>
      </w:r>
      <w:r w:rsidR="00D36136">
        <w:rPr>
          <w:lang w:val="en-GB"/>
        </w:rPr>
        <w:t xml:space="preserve">. </w:t>
      </w:r>
    </w:p>
    <w:p w14:paraId="46582AD1" w14:textId="3E48DF27" w:rsidR="0028749C" w:rsidRPr="0054425C" w:rsidRDefault="0028749C" w:rsidP="0028749C">
      <w:pPr>
        <w:pStyle w:val="Caption"/>
      </w:pPr>
      <w:bookmarkStart w:id="35" w:name="_Ref137062929"/>
      <w:bookmarkStart w:id="36" w:name="_Toc138851277"/>
      <w:r>
        <w:t xml:space="preserve">Table </w:t>
      </w:r>
      <w:r w:rsidR="00B92D87">
        <w:fldChar w:fldCharType="begin"/>
      </w:r>
      <w:r w:rsidR="00B92D87">
        <w:instrText xml:space="preserve"> STYLEREF 1 \s </w:instrText>
      </w:r>
      <w:r w:rsidR="00B92D87">
        <w:fldChar w:fldCharType="separate"/>
      </w:r>
      <w:r w:rsidR="00165B17">
        <w:rPr>
          <w:noProof/>
        </w:rPr>
        <w:t>1</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1</w:t>
      </w:r>
      <w:r w:rsidR="00B92D87">
        <w:fldChar w:fldCharType="end"/>
      </w:r>
      <w:bookmarkEnd w:id="35"/>
      <w:r>
        <w:t>.</w:t>
      </w:r>
      <w:r w:rsidRPr="0054425C">
        <w:rPr>
          <w:lang w:eastAsia="en-GB"/>
        </w:rPr>
        <w:t xml:space="preserve"> Health-related Closing the Gap outcomes, targets, and current state</w:t>
      </w:r>
      <w:bookmarkEnd w:id="36"/>
    </w:p>
    <w:tbl>
      <w:tblPr>
        <w:tblStyle w:val="ACTableDesign"/>
        <w:tblW w:w="8789" w:type="dxa"/>
        <w:tblInd w:w="-3" w:type="dxa"/>
        <w:tblLook w:val="06A0" w:firstRow="1" w:lastRow="0" w:firstColumn="1" w:lastColumn="0" w:noHBand="1" w:noVBand="1"/>
      </w:tblPr>
      <w:tblGrid>
        <w:gridCol w:w="2552"/>
        <w:gridCol w:w="4111"/>
        <w:gridCol w:w="2126"/>
      </w:tblGrid>
      <w:tr w:rsidR="000F61CA" w:rsidRPr="0054425C" w14:paraId="706FD24A" w14:textId="77777777" w:rsidTr="007966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3F6F7A47" w14:textId="77777777" w:rsidR="0028749C" w:rsidRPr="0058387D" w:rsidRDefault="0028749C" w:rsidP="00F73BF9">
            <w:pPr>
              <w:pStyle w:val="TableText"/>
              <w:rPr>
                <w:lang w:eastAsia="en-GB"/>
              </w:rPr>
            </w:pPr>
            <w:r w:rsidRPr="0058387D">
              <w:rPr>
                <w:lang w:eastAsia="en-GB"/>
              </w:rPr>
              <w:t>Outcome</w:t>
            </w:r>
          </w:p>
        </w:tc>
        <w:tc>
          <w:tcPr>
            <w:tcW w:w="4111" w:type="dxa"/>
          </w:tcPr>
          <w:p w14:paraId="32B2D447" w14:textId="77777777" w:rsidR="0028749C" w:rsidRPr="0058387D" w:rsidRDefault="0028749C" w:rsidP="00F73BF9">
            <w:pPr>
              <w:pStyle w:val="TableText"/>
              <w:cnfStyle w:val="100000000000" w:firstRow="1" w:lastRow="0" w:firstColumn="0" w:lastColumn="0" w:oddVBand="0" w:evenVBand="0" w:oddHBand="0" w:evenHBand="0" w:firstRowFirstColumn="0" w:firstRowLastColumn="0" w:lastRowFirstColumn="0" w:lastRowLastColumn="0"/>
              <w:rPr>
                <w:lang w:eastAsia="en-GB"/>
              </w:rPr>
            </w:pPr>
            <w:r w:rsidRPr="0058387D">
              <w:rPr>
                <w:lang w:eastAsia="en-GB"/>
              </w:rPr>
              <w:t>Target</w:t>
            </w:r>
          </w:p>
        </w:tc>
        <w:tc>
          <w:tcPr>
            <w:tcW w:w="2126" w:type="dxa"/>
          </w:tcPr>
          <w:p w14:paraId="11868382" w14:textId="77777777" w:rsidR="0028749C" w:rsidRPr="0058387D" w:rsidRDefault="0028749C" w:rsidP="00F73BF9">
            <w:pPr>
              <w:pStyle w:val="TableText"/>
              <w:cnfStyle w:val="100000000000" w:firstRow="1" w:lastRow="0" w:firstColumn="0" w:lastColumn="0" w:oddVBand="0" w:evenVBand="0" w:oddHBand="0" w:evenHBand="0" w:firstRowFirstColumn="0" w:firstRowLastColumn="0" w:lastRowFirstColumn="0" w:lastRowLastColumn="0"/>
              <w:rPr>
                <w:lang w:eastAsia="en-GB"/>
              </w:rPr>
            </w:pPr>
            <w:r w:rsidRPr="0058387D">
              <w:rPr>
                <w:lang w:eastAsia="en-GB"/>
              </w:rPr>
              <w:t>Current state (March 2023)</w:t>
            </w:r>
          </w:p>
        </w:tc>
      </w:tr>
      <w:tr w:rsidR="00061B39" w:rsidRPr="0054425C" w14:paraId="0ABA4C6D" w14:textId="77777777" w:rsidTr="0079661E">
        <w:tc>
          <w:tcPr>
            <w:cnfStyle w:val="001000000000" w:firstRow="0" w:lastRow="0" w:firstColumn="1" w:lastColumn="0" w:oddVBand="0" w:evenVBand="0" w:oddHBand="0" w:evenHBand="0" w:firstRowFirstColumn="0" w:firstRowLastColumn="0" w:lastRowFirstColumn="0" w:lastRowLastColumn="0"/>
            <w:tcW w:w="2552" w:type="dxa"/>
            <w:vAlign w:val="top"/>
          </w:tcPr>
          <w:p w14:paraId="0CE34657" w14:textId="77777777" w:rsidR="0028749C" w:rsidRPr="0054425C" w:rsidRDefault="0028749C" w:rsidP="00F73BF9">
            <w:pPr>
              <w:pStyle w:val="TableText"/>
              <w:rPr>
                <w:lang w:eastAsia="en-GB"/>
              </w:rPr>
            </w:pPr>
            <w:r w:rsidRPr="0054425C">
              <w:rPr>
                <w:lang w:eastAsia="en-GB"/>
              </w:rPr>
              <w:t>1: Aboriginal and Torres Strait Islander people enjoy long and healthy lives</w:t>
            </w:r>
          </w:p>
        </w:tc>
        <w:tc>
          <w:tcPr>
            <w:tcW w:w="4111" w:type="dxa"/>
            <w:vAlign w:val="top"/>
          </w:tcPr>
          <w:p w14:paraId="060E28FD" w14:textId="77777777" w:rsidR="0028749C" w:rsidRPr="0054425C" w:rsidRDefault="0028749C" w:rsidP="00F73BF9">
            <w:pPr>
              <w:pStyle w:val="TableText"/>
              <w:cnfStyle w:val="000000000000" w:firstRow="0" w:lastRow="0" w:firstColumn="0" w:lastColumn="0" w:oddVBand="0" w:evenVBand="0" w:oddHBand="0" w:evenHBand="0" w:firstRowFirstColumn="0" w:firstRowLastColumn="0" w:lastRowFirstColumn="0" w:lastRowLastColumn="0"/>
              <w:rPr>
                <w:lang w:eastAsia="en-GB"/>
              </w:rPr>
            </w:pPr>
            <w:r w:rsidRPr="0054425C">
              <w:rPr>
                <w:lang w:eastAsia="en-GB"/>
              </w:rPr>
              <w:t>Close the Gap in life expectancy within a generation, by 2031</w:t>
            </w:r>
          </w:p>
        </w:tc>
        <w:tc>
          <w:tcPr>
            <w:tcW w:w="2126" w:type="dxa"/>
            <w:vAlign w:val="top"/>
          </w:tcPr>
          <w:p w14:paraId="684719EB" w14:textId="77777777" w:rsidR="0028749C" w:rsidRPr="0054425C" w:rsidRDefault="0028749C" w:rsidP="00F73BF9">
            <w:pPr>
              <w:pStyle w:val="TableText"/>
              <w:cnfStyle w:val="000000000000" w:firstRow="0" w:lastRow="0" w:firstColumn="0" w:lastColumn="0" w:oddVBand="0" w:evenVBand="0" w:oddHBand="0" w:evenHBand="0" w:firstRowFirstColumn="0" w:firstRowLastColumn="0" w:lastRowFirstColumn="0" w:lastRowLastColumn="0"/>
              <w:rPr>
                <w:lang w:eastAsia="en-GB"/>
              </w:rPr>
            </w:pPr>
            <w:r w:rsidRPr="0054425C">
              <w:t>Improvement but not on track to be met</w:t>
            </w:r>
          </w:p>
        </w:tc>
      </w:tr>
      <w:tr w:rsidR="00061B39" w:rsidRPr="0054425C" w14:paraId="6DDA491E" w14:textId="77777777" w:rsidTr="0079661E">
        <w:tc>
          <w:tcPr>
            <w:cnfStyle w:val="001000000000" w:firstRow="0" w:lastRow="0" w:firstColumn="1" w:lastColumn="0" w:oddVBand="0" w:evenVBand="0" w:oddHBand="0" w:evenHBand="0" w:firstRowFirstColumn="0" w:firstRowLastColumn="0" w:lastRowFirstColumn="0" w:lastRowLastColumn="0"/>
            <w:tcW w:w="2552" w:type="dxa"/>
            <w:vAlign w:val="top"/>
          </w:tcPr>
          <w:p w14:paraId="2812B556" w14:textId="77777777" w:rsidR="0028749C" w:rsidRPr="0054425C" w:rsidRDefault="0028749C" w:rsidP="00F73BF9">
            <w:pPr>
              <w:pStyle w:val="TableText"/>
              <w:rPr>
                <w:lang w:eastAsia="en-GB"/>
              </w:rPr>
            </w:pPr>
            <w:r w:rsidRPr="0054425C">
              <w:rPr>
                <w:lang w:eastAsia="en-GB"/>
              </w:rPr>
              <w:t>2: Aboriginal and Torres Strait Islander children are born healthy and strong.</w:t>
            </w:r>
          </w:p>
        </w:tc>
        <w:tc>
          <w:tcPr>
            <w:tcW w:w="4111" w:type="dxa"/>
            <w:vAlign w:val="top"/>
          </w:tcPr>
          <w:p w14:paraId="70C35F82" w14:textId="77777777" w:rsidR="0028749C" w:rsidRPr="0054425C" w:rsidRDefault="0028749C" w:rsidP="00F73BF9">
            <w:pPr>
              <w:pStyle w:val="TableText"/>
              <w:cnfStyle w:val="000000000000" w:firstRow="0" w:lastRow="0" w:firstColumn="0" w:lastColumn="0" w:oddVBand="0" w:evenVBand="0" w:oddHBand="0" w:evenHBand="0" w:firstRowFirstColumn="0" w:firstRowLastColumn="0" w:lastRowFirstColumn="0" w:lastRowLastColumn="0"/>
              <w:rPr>
                <w:lang w:eastAsia="en-GB"/>
              </w:rPr>
            </w:pPr>
            <w:r w:rsidRPr="0054425C">
              <w:rPr>
                <w:lang w:eastAsia="en-GB"/>
              </w:rPr>
              <w:t>By 2031, increase the proportion of Aboriginal and Torres Strait Islander babies with a healthy birthweight to 91%</w:t>
            </w:r>
          </w:p>
        </w:tc>
        <w:tc>
          <w:tcPr>
            <w:tcW w:w="2126" w:type="dxa"/>
            <w:vAlign w:val="top"/>
          </w:tcPr>
          <w:p w14:paraId="1233F212" w14:textId="77777777" w:rsidR="0028749C" w:rsidRPr="0054425C" w:rsidRDefault="0028749C" w:rsidP="00F73BF9">
            <w:pPr>
              <w:pStyle w:val="TableText"/>
              <w:cnfStyle w:val="000000000000" w:firstRow="0" w:lastRow="0" w:firstColumn="0" w:lastColumn="0" w:oddVBand="0" w:evenVBand="0" w:oddHBand="0" w:evenHBand="0" w:firstRowFirstColumn="0" w:firstRowLastColumn="0" w:lastRowFirstColumn="0" w:lastRowLastColumn="0"/>
            </w:pPr>
            <w:r w:rsidRPr="0054425C">
              <w:t>Improvement but not on track to be met</w:t>
            </w:r>
          </w:p>
        </w:tc>
      </w:tr>
      <w:tr w:rsidR="00061B39" w:rsidRPr="0054425C" w14:paraId="0300ABCD" w14:textId="77777777" w:rsidTr="0079661E">
        <w:tc>
          <w:tcPr>
            <w:cnfStyle w:val="001000000000" w:firstRow="0" w:lastRow="0" w:firstColumn="1" w:lastColumn="0" w:oddVBand="0" w:evenVBand="0" w:oddHBand="0" w:evenHBand="0" w:firstRowFirstColumn="0" w:firstRowLastColumn="0" w:lastRowFirstColumn="0" w:lastRowLastColumn="0"/>
            <w:tcW w:w="2552" w:type="dxa"/>
            <w:vAlign w:val="top"/>
          </w:tcPr>
          <w:p w14:paraId="6A340705" w14:textId="77777777" w:rsidR="0028749C" w:rsidRPr="0054425C" w:rsidRDefault="0028749C" w:rsidP="00F73BF9">
            <w:pPr>
              <w:pStyle w:val="TableText"/>
              <w:rPr>
                <w:lang w:eastAsia="en-GB"/>
              </w:rPr>
            </w:pPr>
            <w:r w:rsidRPr="0054425C">
              <w:rPr>
                <w:lang w:eastAsia="en-GB"/>
              </w:rPr>
              <w:t>14: Aboriginal and Torres Strait Islander people enjoy high levels of social and emotional wellbeing</w:t>
            </w:r>
          </w:p>
        </w:tc>
        <w:tc>
          <w:tcPr>
            <w:tcW w:w="4111" w:type="dxa"/>
            <w:vAlign w:val="top"/>
          </w:tcPr>
          <w:p w14:paraId="68FE4639" w14:textId="77777777" w:rsidR="0028749C" w:rsidRPr="0054425C" w:rsidRDefault="0028749C" w:rsidP="00F73BF9">
            <w:pPr>
              <w:pStyle w:val="TableText"/>
              <w:cnfStyle w:val="000000000000" w:firstRow="0" w:lastRow="0" w:firstColumn="0" w:lastColumn="0" w:oddVBand="0" w:evenVBand="0" w:oddHBand="0" w:evenHBand="0" w:firstRowFirstColumn="0" w:firstRowLastColumn="0" w:lastRowFirstColumn="0" w:lastRowLastColumn="0"/>
              <w:rPr>
                <w:lang w:eastAsia="en-GB"/>
              </w:rPr>
            </w:pPr>
            <w:r w:rsidRPr="0054425C">
              <w:rPr>
                <w:lang w:eastAsia="en-GB"/>
              </w:rPr>
              <w:t>Significant and sustained reduction in suicide of Aboriginal and Torres Strait Islander people towards zero</w:t>
            </w:r>
          </w:p>
        </w:tc>
        <w:tc>
          <w:tcPr>
            <w:tcW w:w="2126" w:type="dxa"/>
            <w:vAlign w:val="top"/>
          </w:tcPr>
          <w:p w14:paraId="7DD8D8C3" w14:textId="77777777" w:rsidR="0028749C" w:rsidRPr="0054425C" w:rsidRDefault="0028749C" w:rsidP="00F73BF9">
            <w:pPr>
              <w:pStyle w:val="TableText"/>
              <w:cnfStyle w:val="000000000000" w:firstRow="0" w:lastRow="0" w:firstColumn="0" w:lastColumn="0" w:oddVBand="0" w:evenVBand="0" w:oddHBand="0" w:evenHBand="0" w:firstRowFirstColumn="0" w:firstRowLastColumn="0" w:lastRowFirstColumn="0" w:lastRowLastColumn="0"/>
            </w:pPr>
            <w:r w:rsidRPr="0054425C">
              <w:t>Worsening</w:t>
            </w:r>
          </w:p>
        </w:tc>
      </w:tr>
    </w:tbl>
    <w:p w14:paraId="4BCB8DCC" w14:textId="77777777" w:rsidR="0028749C" w:rsidRPr="0054425C" w:rsidRDefault="0028749C" w:rsidP="0028749C"/>
    <w:p w14:paraId="7C6680BC" w14:textId="4DDE9C67" w:rsidR="00D36136" w:rsidRPr="0054425C" w:rsidRDefault="00D36136" w:rsidP="00D36136">
      <w:r w:rsidRPr="0054425C">
        <w:lastRenderedPageBreak/>
        <w:t>The most recent report on the implementation of the National Agreement found that</w:t>
      </w:r>
      <w:r>
        <w:t>, once again,</w:t>
      </w:r>
      <w:r w:rsidRPr="0054425C">
        <w:t xml:space="preserve"> key targets will not be met.</w:t>
      </w:r>
      <w:r w:rsidRPr="005D1C41">
        <w:rPr>
          <w:rStyle w:val="FootnoteReference"/>
        </w:rPr>
        <w:footnoteReference w:id="4"/>
      </w:r>
    </w:p>
    <w:p w14:paraId="0365B7F8" w14:textId="4E7D9520" w:rsidR="00D36136" w:rsidRPr="00A1178E" w:rsidRDefault="00D36136" w:rsidP="00D36136">
      <w:pPr>
        <w:pStyle w:val="Quote"/>
        <w:spacing w:after="0"/>
        <w:rPr>
          <w:color w:val="18525E" w:themeColor="accent5" w:themeShade="80"/>
        </w:rPr>
      </w:pPr>
      <w:r w:rsidRPr="00A1178E">
        <w:rPr>
          <w:color w:val="18525E" w:themeColor="accent5" w:themeShade="80"/>
        </w:rPr>
        <w:t>These Closing the Gap reports tell the same story of failure every year.</w:t>
      </w:r>
      <w:r w:rsidR="00AA35E2" w:rsidRPr="00A1178E">
        <w:rPr>
          <w:color w:val="18525E" w:themeColor="accent5" w:themeShade="80"/>
        </w:rPr>
        <w:t xml:space="preserve"> </w:t>
      </w:r>
    </w:p>
    <w:p w14:paraId="704F4862" w14:textId="77777777" w:rsidR="00D36136" w:rsidRPr="0054425C" w:rsidRDefault="00D36136" w:rsidP="00D36136">
      <w:pPr>
        <w:spacing w:before="120"/>
        <w:jc w:val="right"/>
        <w:rPr>
          <w:b/>
        </w:rPr>
      </w:pPr>
      <w:r w:rsidRPr="0054425C">
        <w:rPr>
          <w:b/>
        </w:rPr>
        <w:t xml:space="preserve">Pat Turner, Chair, Coalition of Peaks </w:t>
      </w:r>
    </w:p>
    <w:p w14:paraId="0F3DEE26" w14:textId="1FE5229B" w:rsidR="002718E4" w:rsidRPr="00884FAA" w:rsidRDefault="002718E4" w:rsidP="0035030F">
      <w:pPr>
        <w:pStyle w:val="Heading2"/>
      </w:pPr>
      <w:bookmarkStart w:id="37" w:name="_Toc137208881"/>
      <w:r w:rsidRPr="00884FAA">
        <w:t>About this evaluation</w:t>
      </w:r>
      <w:bookmarkEnd w:id="37"/>
    </w:p>
    <w:p w14:paraId="25E1938E" w14:textId="1B72120A" w:rsidR="00485B79" w:rsidRPr="00884FAA" w:rsidRDefault="00BA2F40" w:rsidP="00C447F5">
      <w:r w:rsidRPr="00884FAA">
        <w:t xml:space="preserve">The aim of </w:t>
      </w:r>
      <w:r w:rsidR="000F0713" w:rsidRPr="00884FAA">
        <w:t xml:space="preserve">this </w:t>
      </w:r>
      <w:r w:rsidRPr="00884FAA">
        <w:t xml:space="preserve">evaluation </w:t>
      </w:r>
      <w:r w:rsidR="00E03296">
        <w:t>was</w:t>
      </w:r>
      <w:r w:rsidRPr="00884FAA">
        <w:t xml:space="preserve"> to</w:t>
      </w:r>
      <w:r w:rsidR="008E3CD0" w:rsidRPr="00884FAA">
        <w:t xml:space="preserve"> strengthen the appropriateness and effectiveness of comprehensive PHC systems for Aboriginal and Torres Strait Islander people</w:t>
      </w:r>
      <w:r w:rsidR="00A20D30">
        <w:t xml:space="preserve"> and communities</w:t>
      </w:r>
      <w:r w:rsidR="00A77328">
        <w:t>.</w:t>
      </w:r>
      <w:r w:rsidR="00DB72F8" w:rsidRPr="00884FAA">
        <w:t xml:space="preserve"> </w:t>
      </w:r>
      <w:r w:rsidR="00485B79" w:rsidRPr="00884FAA">
        <w:t xml:space="preserve">The </w:t>
      </w:r>
      <w:r w:rsidR="00736D6A" w:rsidRPr="00884FAA">
        <w:t>objectiv</w:t>
      </w:r>
      <w:r w:rsidR="009F6932" w:rsidRPr="00884FAA">
        <w:t>e</w:t>
      </w:r>
      <w:r w:rsidR="00736D6A" w:rsidRPr="00884FAA">
        <w:t>s</w:t>
      </w:r>
      <w:r w:rsidR="00485B79" w:rsidRPr="00884FAA">
        <w:t xml:space="preserve"> of </w:t>
      </w:r>
      <w:r w:rsidR="00DE4239" w:rsidRPr="00884FAA">
        <w:t>this</w:t>
      </w:r>
      <w:r w:rsidR="00485B79" w:rsidRPr="00884FAA">
        <w:t xml:space="preserve"> evaluation </w:t>
      </w:r>
      <w:r w:rsidR="00AC2CF2" w:rsidRPr="00884FAA">
        <w:t xml:space="preserve">were </w:t>
      </w:r>
      <w:r w:rsidR="00485B79" w:rsidRPr="00884FAA">
        <w:t>to</w:t>
      </w:r>
      <w:r w:rsidR="001B6BB2" w:rsidRPr="00884FAA">
        <w:t>:</w:t>
      </w:r>
    </w:p>
    <w:p w14:paraId="7D1036EF" w14:textId="19AB9A8C" w:rsidR="00485B79" w:rsidRPr="00884FAA" w:rsidRDefault="001B3AB9" w:rsidP="00FA3B1D">
      <w:pPr>
        <w:pStyle w:val="Bullet-Number"/>
        <w:numPr>
          <w:ilvl w:val="0"/>
          <w:numId w:val="25"/>
        </w:numPr>
        <w:rPr>
          <w:lang w:val="en-AU"/>
        </w:rPr>
      </w:pPr>
      <w:r w:rsidRPr="00884FAA">
        <w:rPr>
          <w:lang w:val="en-AU"/>
        </w:rPr>
        <w:t>develop an improved understanding of consumers</w:t>
      </w:r>
      <w:r w:rsidR="00A56143" w:rsidRPr="00884FAA">
        <w:rPr>
          <w:lang w:val="en-AU"/>
        </w:rPr>
        <w:t>’</w:t>
      </w:r>
      <w:r w:rsidRPr="00884FAA">
        <w:rPr>
          <w:lang w:val="en-AU"/>
        </w:rPr>
        <w:t xml:space="preserve"> </w:t>
      </w:r>
      <w:r w:rsidR="006A1C1B" w:rsidRPr="00884FAA">
        <w:rPr>
          <w:lang w:val="en-AU"/>
        </w:rPr>
        <w:t>a</w:t>
      </w:r>
      <w:r w:rsidRPr="00884FAA">
        <w:rPr>
          <w:lang w:val="en-AU"/>
        </w:rPr>
        <w:t>nd health care providers’ perspectives and experiences of the health system in terms of what they value</w:t>
      </w:r>
    </w:p>
    <w:p w14:paraId="63A990DF" w14:textId="5016FD8F" w:rsidR="00485B79" w:rsidRPr="00884FAA" w:rsidRDefault="001B3AB9" w:rsidP="00FA3B1D">
      <w:pPr>
        <w:pStyle w:val="Bullet-Number"/>
        <w:numPr>
          <w:ilvl w:val="0"/>
          <w:numId w:val="25"/>
        </w:numPr>
        <w:rPr>
          <w:lang w:val="en-AU"/>
        </w:rPr>
      </w:pPr>
      <w:r w:rsidRPr="00884FAA">
        <w:rPr>
          <w:lang w:val="en-AU"/>
        </w:rPr>
        <w:t xml:space="preserve">evaluate the appropriateness and effectiveness of the </w:t>
      </w:r>
      <w:r w:rsidR="00D43515" w:rsidRPr="00D43515">
        <w:rPr>
          <w:lang w:val="en-AU"/>
        </w:rPr>
        <w:t xml:space="preserve">Australian Government’s investment in Aboriginal and Torres Strait Islander PHC </w:t>
      </w:r>
      <w:r w:rsidRPr="00884FAA">
        <w:rPr>
          <w:lang w:val="en-AU"/>
        </w:rPr>
        <w:t>considering the broader PHC system</w:t>
      </w:r>
      <w:r w:rsidR="005412D6">
        <w:rPr>
          <w:lang w:val="en-AU"/>
        </w:rPr>
        <w:t xml:space="preserve"> in a range of contexts</w:t>
      </w:r>
    </w:p>
    <w:p w14:paraId="26531CA9" w14:textId="3D50CECD" w:rsidR="001B3AB9" w:rsidRPr="00884FAA" w:rsidRDefault="001B3AB9" w:rsidP="00FA3B1D">
      <w:pPr>
        <w:pStyle w:val="Bullet-Number"/>
        <w:numPr>
          <w:ilvl w:val="0"/>
          <w:numId w:val="25"/>
        </w:numPr>
        <w:rPr>
          <w:lang w:val="en-AU"/>
        </w:rPr>
      </w:pPr>
      <w:r w:rsidRPr="00884FAA">
        <w:rPr>
          <w:lang w:val="en-AU"/>
        </w:rPr>
        <w:t>support informed policy, planning</w:t>
      </w:r>
      <w:r w:rsidR="00A56143" w:rsidRPr="00884FAA">
        <w:rPr>
          <w:lang w:val="en-AU"/>
        </w:rPr>
        <w:t>,</w:t>
      </w:r>
      <w:r w:rsidRPr="00884FAA">
        <w:rPr>
          <w:lang w:val="en-AU"/>
        </w:rPr>
        <w:t xml:space="preserve"> and decision-making that will enable improvements to be incorporated into the IAHP</w:t>
      </w:r>
      <w:r w:rsidR="00F15DDE" w:rsidRPr="00F15DDE">
        <w:rPr>
          <w:lang w:val="en-AU"/>
        </w:rPr>
        <w:t xml:space="preserve"> as it is implemented through practical, timely and evidence-based findings and recommendations</w:t>
      </w:r>
      <w:r w:rsidR="00C447F5" w:rsidRPr="00884FAA">
        <w:rPr>
          <w:lang w:val="en-AU"/>
        </w:rPr>
        <w:t>.</w:t>
      </w:r>
    </w:p>
    <w:p w14:paraId="45E411F4" w14:textId="791BA6E1" w:rsidR="00ED3DCB" w:rsidRDefault="00B82653" w:rsidP="00F82F24">
      <w:r w:rsidRPr="00884FAA">
        <w:t>The evaluation</w:t>
      </w:r>
      <w:r w:rsidR="00626BB1" w:rsidRPr="00884FAA">
        <w:t xml:space="preserve"> involved in-depth engagement with over </w:t>
      </w:r>
      <w:r w:rsidR="006F2932">
        <w:t xml:space="preserve">1000 participants </w:t>
      </w:r>
      <w:r w:rsidR="00626BB1" w:rsidRPr="00884FAA">
        <w:t>across Australia, including community members and staff in 37 partner organisations</w:t>
      </w:r>
      <w:r w:rsidR="00CA604E" w:rsidRPr="00884FAA">
        <w:t xml:space="preserve"> with</w:t>
      </w:r>
      <w:r w:rsidR="00626BB1" w:rsidRPr="00884FAA">
        <w:t>in 17 evaluation sites, and with representatives of state, territory</w:t>
      </w:r>
      <w:r w:rsidR="00684396" w:rsidRPr="00884FAA">
        <w:t>,</w:t>
      </w:r>
      <w:r w:rsidR="00626BB1" w:rsidRPr="00884FAA">
        <w:t xml:space="preserve"> and national organisations.</w:t>
      </w:r>
      <w:r w:rsidR="000E7060" w:rsidRPr="00884FAA">
        <w:t xml:space="preserve"> </w:t>
      </w:r>
      <w:r w:rsidR="00212DE3">
        <w:t xml:space="preserve">The evaluation sites and site partner organisations are shown in </w:t>
      </w:r>
      <w:r w:rsidR="00F82F24">
        <w:fldChar w:fldCharType="begin"/>
      </w:r>
      <w:r w:rsidR="00F82F24">
        <w:instrText xml:space="preserve"> REF _Ref137046194 \h  \* MERGEFORMAT </w:instrText>
      </w:r>
      <w:r w:rsidR="00F82F24">
        <w:fldChar w:fldCharType="separate"/>
      </w:r>
      <w:r w:rsidR="00165B17">
        <w:t xml:space="preserve">Figure </w:t>
      </w:r>
      <w:r w:rsidR="00165B17">
        <w:rPr>
          <w:noProof/>
        </w:rPr>
        <w:t>1</w:t>
      </w:r>
      <w:r w:rsidR="00165B17">
        <w:rPr>
          <w:noProof/>
        </w:rPr>
        <w:noBreakHyphen/>
        <w:t>1</w:t>
      </w:r>
      <w:r w:rsidR="00F82F24">
        <w:fldChar w:fldCharType="end"/>
      </w:r>
      <w:r w:rsidR="00F82F24">
        <w:t>.</w:t>
      </w:r>
    </w:p>
    <w:p w14:paraId="6AED4691" w14:textId="4A9A267E" w:rsidR="00ED3DCB" w:rsidRDefault="00ED3DCB" w:rsidP="00877131">
      <w:pPr>
        <w:spacing w:before="240"/>
        <w:sectPr w:rsidR="00ED3DCB" w:rsidSect="009173B7">
          <w:pgSz w:w="11909" w:h="16834" w:code="9"/>
          <w:pgMar w:top="1440" w:right="1440" w:bottom="1440" w:left="1440" w:header="720" w:footer="720" w:gutter="0"/>
          <w:cols w:space="720"/>
          <w:titlePg/>
          <w:docGrid w:linePitch="360"/>
        </w:sectPr>
      </w:pPr>
    </w:p>
    <w:p w14:paraId="51ACDD3B" w14:textId="05E8D6EE" w:rsidR="0083739F" w:rsidRDefault="00212DE3" w:rsidP="00212DE3">
      <w:pPr>
        <w:pStyle w:val="TableFigure-Header"/>
        <w:rPr>
          <w:noProof/>
        </w:rPr>
      </w:pPr>
      <w:bookmarkStart w:id="38" w:name="_Ref137046194"/>
      <w:bookmarkStart w:id="39" w:name="_Toc138851307"/>
      <w:r>
        <w:lastRenderedPageBreak/>
        <w:t xml:space="preserve">Figure </w:t>
      </w:r>
      <w:r w:rsidR="005B4A4F">
        <w:fldChar w:fldCharType="begin"/>
      </w:r>
      <w:r w:rsidR="005B4A4F">
        <w:instrText xml:space="preserve"> STYLEREF 1 \s </w:instrText>
      </w:r>
      <w:r w:rsidR="005B4A4F">
        <w:fldChar w:fldCharType="separate"/>
      </w:r>
      <w:r w:rsidR="00165B17">
        <w:rPr>
          <w:noProof/>
        </w:rPr>
        <w:t>1</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w:t>
      </w:r>
      <w:r w:rsidR="005B4A4F">
        <w:fldChar w:fldCharType="end"/>
      </w:r>
      <w:bookmarkEnd w:id="38"/>
      <w:r>
        <w:t>. Evaluation sites and site partner organisations</w:t>
      </w:r>
      <w:bookmarkEnd w:id="39"/>
    </w:p>
    <w:p w14:paraId="2768CCC8" w14:textId="3462E9B7" w:rsidR="006F343B" w:rsidRPr="00884FAA" w:rsidRDefault="009736AC" w:rsidP="00877131">
      <w:pPr>
        <w:spacing w:before="240"/>
      </w:pPr>
      <w:r>
        <w:rPr>
          <w:noProof/>
        </w:rPr>
        <w:drawing>
          <wp:inline distT="0" distB="0" distL="0" distR="0" wp14:anchorId="3CD51DC0" wp14:editId="0F06A0F7">
            <wp:extent cx="7992000" cy="5404631"/>
            <wp:effectExtent l="0" t="0" r="0" b="5715"/>
            <wp:docPr id="744258907" name="Picture 744258907" descr="Map of Australia showing locations of partner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258907" name="Picture 744258907" descr="Map of Australia showing locations of partner sites"/>
                    <pic:cNvPicPr>
                      <a:picLocks noChangeAspect="1" noChangeArrowheads="1"/>
                    </pic:cNvPicPr>
                  </pic:nvPicPr>
                  <pic:blipFill rotWithShape="1">
                    <a:blip r:embed="rId64">
                      <a:extLst>
                        <a:ext uri="{28A0092B-C50C-407E-A947-70E740481C1C}">
                          <a14:useLocalDpi xmlns:a14="http://schemas.microsoft.com/office/drawing/2010/main" val="0"/>
                        </a:ext>
                      </a:extLst>
                    </a:blip>
                    <a:srcRect l="961" t="1563" b="1754"/>
                    <a:stretch/>
                  </pic:blipFill>
                  <pic:spPr bwMode="auto">
                    <a:xfrm>
                      <a:off x="0" y="0"/>
                      <a:ext cx="7992000" cy="5404631"/>
                    </a:xfrm>
                    <a:prstGeom prst="rect">
                      <a:avLst/>
                    </a:prstGeom>
                    <a:noFill/>
                    <a:ln>
                      <a:noFill/>
                    </a:ln>
                    <a:extLst>
                      <a:ext uri="{53640926-AAD7-44D8-BBD7-CCE9431645EC}">
                        <a14:shadowObscured xmlns:a14="http://schemas.microsoft.com/office/drawing/2010/main"/>
                      </a:ext>
                    </a:extLst>
                  </pic:spPr>
                </pic:pic>
              </a:graphicData>
            </a:graphic>
          </wp:inline>
        </w:drawing>
      </w:r>
    </w:p>
    <w:p w14:paraId="48684835" w14:textId="2819BE75" w:rsidR="00845419" w:rsidRDefault="00845419">
      <w:pPr>
        <w:jc w:val="left"/>
        <w:sectPr w:rsidR="00845419" w:rsidSect="00845419">
          <w:pgSz w:w="16834" w:h="11909" w:orient="landscape" w:code="9"/>
          <w:pgMar w:top="1440" w:right="1440" w:bottom="1440" w:left="1440" w:header="720" w:footer="720" w:gutter="0"/>
          <w:cols w:space="720"/>
          <w:titlePg/>
          <w:docGrid w:linePitch="360"/>
        </w:sectPr>
      </w:pPr>
      <w:bookmarkStart w:id="40" w:name="_Ref131236978"/>
      <w:bookmarkStart w:id="41" w:name="_Ref130632870"/>
    </w:p>
    <w:bookmarkEnd w:id="40"/>
    <w:bookmarkEnd w:id="41"/>
    <w:p w14:paraId="2B870437" w14:textId="2798BE4F" w:rsidR="003C76CC" w:rsidRPr="00884FAA" w:rsidRDefault="00845419" w:rsidP="0035030F">
      <w:pPr>
        <w:pStyle w:val="Heading2"/>
      </w:pPr>
      <w:r>
        <w:lastRenderedPageBreak/>
        <w:t xml:space="preserve"> </w:t>
      </w:r>
      <w:bookmarkStart w:id="42" w:name="_Toc137208882"/>
      <w:r w:rsidR="003C76CC">
        <w:t xml:space="preserve">Evaluation </w:t>
      </w:r>
      <w:r w:rsidR="003C76CC" w:rsidRPr="00A83C41">
        <w:t>focus</w:t>
      </w:r>
      <w:r w:rsidR="003C76CC">
        <w:t xml:space="preserve"> and scope</w:t>
      </w:r>
      <w:bookmarkEnd w:id="42"/>
    </w:p>
    <w:p w14:paraId="1EE206EA" w14:textId="67DB643F" w:rsidR="00365D0C" w:rsidRPr="00884FAA" w:rsidRDefault="00B20170" w:rsidP="00365D0C">
      <w:pPr>
        <w:spacing w:before="240"/>
      </w:pPr>
      <w:r>
        <w:t>The</w:t>
      </w:r>
      <w:r w:rsidRPr="00884FAA">
        <w:t xml:space="preserve"> </w:t>
      </w:r>
      <w:r w:rsidR="00B13D14" w:rsidRPr="00884FAA">
        <w:t xml:space="preserve">evaluation </w:t>
      </w:r>
      <w:r w:rsidR="00E03138" w:rsidRPr="00884FAA">
        <w:t>focuse</w:t>
      </w:r>
      <w:r w:rsidR="007B08A2" w:rsidRPr="00884FAA">
        <w:t>d</w:t>
      </w:r>
      <w:r w:rsidR="00E03138" w:rsidRPr="00884FAA">
        <w:t xml:space="preserve"> on the IAHP </w:t>
      </w:r>
      <w:r w:rsidR="000F7ACE">
        <w:t>PHC Program</w:t>
      </w:r>
      <w:r w:rsidR="00E03138" w:rsidRPr="00884FAA">
        <w:t xml:space="preserve"> </w:t>
      </w:r>
      <w:r w:rsidR="001D5E0D" w:rsidRPr="00884FAA">
        <w:t xml:space="preserve">which funds </w:t>
      </w:r>
      <w:r w:rsidR="00F73078" w:rsidRPr="00884FAA">
        <w:t>organisations</w:t>
      </w:r>
      <w:r w:rsidR="001D5E0D" w:rsidRPr="00884FAA">
        <w:t xml:space="preserve"> to </w:t>
      </w:r>
      <w:r w:rsidR="00F73078" w:rsidRPr="00884FAA">
        <w:t xml:space="preserve">deliver </w:t>
      </w:r>
      <w:r w:rsidR="00F73078" w:rsidRPr="00884FAA">
        <w:rPr>
          <w:szCs w:val="21"/>
        </w:rPr>
        <w:t xml:space="preserve">high quality, comprehensive, </w:t>
      </w:r>
      <w:r w:rsidR="002E456C" w:rsidRPr="00884FAA">
        <w:rPr>
          <w:szCs w:val="21"/>
        </w:rPr>
        <w:t xml:space="preserve">and </w:t>
      </w:r>
      <w:r w:rsidR="00F73078" w:rsidRPr="00884FAA">
        <w:rPr>
          <w:szCs w:val="21"/>
        </w:rPr>
        <w:t xml:space="preserve">culturally appropriate PHC. </w:t>
      </w:r>
      <w:r w:rsidR="00282989" w:rsidRPr="00884FAA">
        <w:rPr>
          <w:szCs w:val="21"/>
        </w:rPr>
        <w:t xml:space="preserve">However, </w:t>
      </w:r>
      <w:r>
        <w:rPr>
          <w:szCs w:val="21"/>
        </w:rPr>
        <w:t xml:space="preserve">the </w:t>
      </w:r>
      <w:r w:rsidR="00E34AF2">
        <w:rPr>
          <w:szCs w:val="21"/>
        </w:rPr>
        <w:t>evaluation</w:t>
      </w:r>
      <w:r w:rsidRPr="00884FAA">
        <w:rPr>
          <w:szCs w:val="21"/>
        </w:rPr>
        <w:t xml:space="preserve"> </w:t>
      </w:r>
      <w:r w:rsidR="00B13D14" w:rsidRPr="00884FAA">
        <w:t xml:space="preserve">locates the </w:t>
      </w:r>
      <w:r w:rsidR="000F7ACE">
        <w:t>PHC Program</w:t>
      </w:r>
      <w:r w:rsidR="007954BF" w:rsidRPr="00884FAA">
        <w:t xml:space="preserve"> within</w:t>
      </w:r>
      <w:r w:rsidR="009F5558" w:rsidRPr="00884FAA">
        <w:t xml:space="preserve"> </w:t>
      </w:r>
      <w:r w:rsidR="00B13D14" w:rsidRPr="00884FAA">
        <w:t xml:space="preserve">the </w:t>
      </w:r>
      <w:r w:rsidR="00877131" w:rsidRPr="00884FAA">
        <w:t xml:space="preserve">context of the </w:t>
      </w:r>
      <w:r w:rsidR="005B7837" w:rsidRPr="00884FAA">
        <w:t xml:space="preserve">IAHP as a whole </w:t>
      </w:r>
      <w:r w:rsidR="0053166F">
        <w:t>(in</w:t>
      </w:r>
      <w:r w:rsidR="001D51B8">
        <w:t>vestments across the 5 themes)</w:t>
      </w:r>
      <w:r w:rsidR="000E1FF2">
        <w:t xml:space="preserve"> </w:t>
      </w:r>
      <w:r w:rsidR="005B7837" w:rsidRPr="00884FAA">
        <w:t xml:space="preserve">and </w:t>
      </w:r>
      <w:r w:rsidR="00766160">
        <w:t>nested within the</w:t>
      </w:r>
      <w:r w:rsidR="00766160" w:rsidRPr="00884FAA">
        <w:t xml:space="preserve"> </w:t>
      </w:r>
      <w:r w:rsidR="00931343" w:rsidRPr="00884FAA">
        <w:t>wider</w:t>
      </w:r>
      <w:r w:rsidR="00877131" w:rsidRPr="00884FAA">
        <w:t xml:space="preserve"> </w:t>
      </w:r>
      <w:r w:rsidR="003B221F" w:rsidRPr="00884FAA">
        <w:t>PHC</w:t>
      </w:r>
      <w:r w:rsidR="00B34C28" w:rsidRPr="00884FAA">
        <w:t xml:space="preserve"> and health</w:t>
      </w:r>
      <w:r w:rsidR="00A15975" w:rsidRPr="00884FAA">
        <w:t xml:space="preserve"> </w:t>
      </w:r>
      <w:r w:rsidR="00877131" w:rsidRPr="00884FAA">
        <w:t>system</w:t>
      </w:r>
      <w:r w:rsidR="00B34C28" w:rsidRPr="00884FAA">
        <w:t>s</w:t>
      </w:r>
      <w:r w:rsidR="00DB2297" w:rsidRPr="00884FAA">
        <w:t>.</w:t>
      </w:r>
      <w:r w:rsidR="008C188E" w:rsidRPr="00884FAA">
        <w:t xml:space="preserve"> This involve</w:t>
      </w:r>
      <w:r w:rsidR="00415D41" w:rsidRPr="00884FAA">
        <w:t>d</w:t>
      </w:r>
      <w:r w:rsidR="008C188E" w:rsidRPr="00884FAA">
        <w:t xml:space="preserve"> </w:t>
      </w:r>
      <w:r w:rsidR="00EA66A4" w:rsidRPr="00884FAA">
        <w:t xml:space="preserve">evaluating </w:t>
      </w:r>
      <w:r w:rsidR="006E7527" w:rsidRPr="00884FAA">
        <w:t xml:space="preserve">how well </w:t>
      </w:r>
      <w:r w:rsidR="005A3D3E" w:rsidRPr="00884FAA">
        <w:t>th</w:t>
      </w:r>
      <w:r w:rsidR="00EA66A4" w:rsidRPr="00884FAA">
        <w:t xml:space="preserve">e </w:t>
      </w:r>
      <w:r w:rsidR="000F7ACE">
        <w:t>PHC Program</w:t>
      </w:r>
      <w:r w:rsidR="00C87A6B" w:rsidRPr="00884FAA">
        <w:t xml:space="preserve"> and </w:t>
      </w:r>
      <w:r w:rsidR="00AE4175" w:rsidRPr="00884FAA">
        <w:t>the IAHP</w:t>
      </w:r>
      <w:r w:rsidR="005A3D3E" w:rsidRPr="00884FAA">
        <w:t>:</w:t>
      </w:r>
      <w:r w:rsidR="00365D0C" w:rsidRPr="00884FAA">
        <w:t xml:space="preserve"> </w:t>
      </w:r>
    </w:p>
    <w:p w14:paraId="602FF614" w14:textId="41CF5562" w:rsidR="00365D0C" w:rsidRPr="00884FAA" w:rsidRDefault="00365D0C" w:rsidP="00580736">
      <w:pPr>
        <w:numPr>
          <w:ilvl w:val="0"/>
          <w:numId w:val="19"/>
        </w:numPr>
        <w:spacing w:after="120"/>
      </w:pPr>
      <w:r w:rsidRPr="00884FAA">
        <w:rPr>
          <w:b/>
          <w:bCs/>
        </w:rPr>
        <w:t>enable</w:t>
      </w:r>
      <w:r w:rsidR="00DB461B" w:rsidRPr="00884FAA">
        <w:rPr>
          <w:b/>
          <w:bCs/>
        </w:rPr>
        <w:t>s</w:t>
      </w:r>
      <w:r w:rsidRPr="00884FAA">
        <w:t xml:space="preserve"> health services to provide better </w:t>
      </w:r>
      <w:bookmarkStart w:id="43" w:name="_Hlk36472077"/>
      <w:r w:rsidRPr="00884FAA">
        <w:t xml:space="preserve">comprehensive PHC </w:t>
      </w:r>
      <w:bookmarkStart w:id="44" w:name="_Hlk36471627"/>
      <w:bookmarkEnd w:id="43"/>
      <w:r w:rsidRPr="00884FAA">
        <w:t xml:space="preserve">for Aboriginal and Torres Strait Islander people </w:t>
      </w:r>
      <w:bookmarkEnd w:id="44"/>
    </w:p>
    <w:p w14:paraId="2B004A83" w14:textId="31C8D0B1" w:rsidR="00365D0C" w:rsidRPr="00884FAA" w:rsidRDefault="00365D0C" w:rsidP="00580736">
      <w:pPr>
        <w:numPr>
          <w:ilvl w:val="0"/>
          <w:numId w:val="19"/>
        </w:numPr>
        <w:spacing w:after="120"/>
      </w:pPr>
      <w:r w:rsidRPr="00884FAA">
        <w:rPr>
          <w:b/>
          <w:bCs/>
        </w:rPr>
        <w:t>interact</w:t>
      </w:r>
      <w:r w:rsidR="00DB461B" w:rsidRPr="00884FAA">
        <w:rPr>
          <w:b/>
          <w:bCs/>
        </w:rPr>
        <w:t>s</w:t>
      </w:r>
      <w:r w:rsidRPr="00884FAA">
        <w:t xml:space="preserve"> with and </w:t>
      </w:r>
      <w:r w:rsidRPr="00884FAA">
        <w:rPr>
          <w:b/>
          <w:bCs/>
        </w:rPr>
        <w:t>influence</w:t>
      </w:r>
      <w:r w:rsidR="00DB461B" w:rsidRPr="00884FAA">
        <w:rPr>
          <w:b/>
          <w:bCs/>
        </w:rPr>
        <w:t>s</w:t>
      </w:r>
      <w:r w:rsidRPr="00884FAA">
        <w:t xml:space="preserve"> other parts of PHC and wider health systems to provide better comprehensive PHC for Aboriginal and Torres Strait Islander people.</w:t>
      </w:r>
    </w:p>
    <w:p w14:paraId="569905D6" w14:textId="1A98C5EA" w:rsidR="00FE3000" w:rsidRDefault="00FE3000" w:rsidP="00D259B0">
      <w:pPr>
        <w:spacing w:before="240"/>
      </w:pPr>
      <w:r>
        <w:t xml:space="preserve">The approach to the evaluation and the consideration of the IAHP </w:t>
      </w:r>
      <w:r w:rsidR="004F6615">
        <w:t xml:space="preserve">as </w:t>
      </w:r>
      <w:r w:rsidR="00091077">
        <w:t xml:space="preserve">an element within </w:t>
      </w:r>
      <w:r>
        <w:t xml:space="preserve">the broader </w:t>
      </w:r>
      <w:r w:rsidR="00BD5168">
        <w:t xml:space="preserve">health system </w:t>
      </w:r>
      <w:r w:rsidR="00796651">
        <w:t>was</w:t>
      </w:r>
      <w:r w:rsidR="00BD5168">
        <w:t xml:space="preserve"> </w:t>
      </w:r>
      <w:r w:rsidR="004F6615">
        <w:t xml:space="preserve">deliberate </w:t>
      </w:r>
      <w:r w:rsidR="00091077">
        <w:t xml:space="preserve">and </w:t>
      </w:r>
      <w:r w:rsidR="004F6615">
        <w:t>ensure</w:t>
      </w:r>
      <w:r w:rsidR="00091077">
        <w:t>s</w:t>
      </w:r>
      <w:r w:rsidR="004F6615">
        <w:t xml:space="preserve"> a systems approach is adopted. </w:t>
      </w:r>
      <w:r w:rsidR="00091077">
        <w:t xml:space="preserve">This </w:t>
      </w:r>
      <w:r w:rsidR="0067550D">
        <w:t xml:space="preserve">systems level approach </w:t>
      </w:r>
      <w:r w:rsidR="00091077">
        <w:t>was</w:t>
      </w:r>
      <w:r w:rsidR="00497A4E">
        <w:t xml:space="preserve"> specified by the department and</w:t>
      </w:r>
      <w:r w:rsidR="00091077">
        <w:t xml:space="preserve"> supported by participants. </w:t>
      </w:r>
    </w:p>
    <w:p w14:paraId="544B70E8" w14:textId="77777777" w:rsidR="00091077" w:rsidRPr="00A1178E" w:rsidRDefault="00091077" w:rsidP="00091077">
      <w:pPr>
        <w:pStyle w:val="Quote"/>
        <w:spacing w:after="0"/>
        <w:rPr>
          <w:color w:val="18525E" w:themeColor="accent5" w:themeShade="80"/>
        </w:rPr>
      </w:pPr>
      <w:r w:rsidRPr="00A1178E">
        <w:rPr>
          <w:color w:val="18525E" w:themeColor="accent5" w:themeShade="80"/>
        </w:rPr>
        <w:t>... we should maximise this evaluation to speak to that sort of key policy framework that's been set under Closing the Gap .… I know I'm talking like big picture stuff, but I just think that unless we get this, these fundamental changes, we're going to still have conversations about why can't we get discharge care planning happening between the hospital and primary health care services. You know, we need we actually need key drivers, system enablers, that are going to, that will push people, nudge people into making those changes, not leave it at a local level to sort out.</w:t>
      </w:r>
    </w:p>
    <w:p w14:paraId="6D375563" w14:textId="77777777" w:rsidR="00091077" w:rsidRPr="006D1F94" w:rsidRDefault="00091077" w:rsidP="00E828BC">
      <w:pPr>
        <w:spacing w:before="60"/>
        <w:jc w:val="right"/>
        <w:rPr>
          <w:b/>
          <w:bCs/>
        </w:rPr>
      </w:pPr>
      <w:r w:rsidRPr="006D1F94">
        <w:rPr>
          <w:b/>
          <w:bCs/>
        </w:rPr>
        <w:t xml:space="preserve">ACCHS, Remote location </w:t>
      </w:r>
    </w:p>
    <w:p w14:paraId="7ED3A063" w14:textId="77777777" w:rsidR="00091077" w:rsidRPr="00A1178E" w:rsidRDefault="00091077" w:rsidP="00091077">
      <w:pPr>
        <w:pStyle w:val="Quote"/>
        <w:spacing w:after="0"/>
        <w:rPr>
          <w:color w:val="18525E" w:themeColor="accent5" w:themeShade="80"/>
        </w:rPr>
      </w:pPr>
      <w:r w:rsidRPr="00A1178E">
        <w:rPr>
          <w:color w:val="18525E" w:themeColor="accent5" w:themeShade="80"/>
        </w:rPr>
        <w:t>That’s why everyone is keen to provide feedback to an evaluation that is actually looking at the broader system, because in some ways it’s almost the only place that can be fixed.</w:t>
      </w:r>
    </w:p>
    <w:p w14:paraId="17BCE5B0" w14:textId="77777777" w:rsidR="00091077" w:rsidRPr="006D1F94" w:rsidRDefault="00091077" w:rsidP="00091077">
      <w:pPr>
        <w:jc w:val="right"/>
        <w:rPr>
          <w:b/>
          <w:bCs/>
        </w:rPr>
      </w:pPr>
      <w:r w:rsidRPr="006D1F94">
        <w:rPr>
          <w:b/>
          <w:bCs/>
        </w:rPr>
        <w:t xml:space="preserve">PHN, Metropolitan location </w:t>
      </w:r>
    </w:p>
    <w:p w14:paraId="1F560F65" w14:textId="784F6ABB" w:rsidR="003D5066" w:rsidRDefault="003D5066" w:rsidP="00D259B0">
      <w:pPr>
        <w:spacing w:before="240"/>
      </w:pPr>
      <w:r>
        <w:t xml:space="preserve">Importantly, while many of the </w:t>
      </w:r>
      <w:r w:rsidR="00D62BCA">
        <w:t xml:space="preserve">health </w:t>
      </w:r>
      <w:r>
        <w:t>services</w:t>
      </w:r>
      <w:r w:rsidR="00D62BCA">
        <w:t xml:space="preserve"> and organisations</w:t>
      </w:r>
      <w:r>
        <w:t xml:space="preserve"> funded by the IAHP are Aboriginal Community Controlled Health Services, this </w:t>
      </w:r>
      <w:r w:rsidR="00796651">
        <w:t>was</w:t>
      </w:r>
      <w:r>
        <w:t xml:space="preserve"> not an evaluation of the services delivered by ACCHS. Rather, this evaluation </w:t>
      </w:r>
      <w:r w:rsidR="00796651">
        <w:t>was</w:t>
      </w:r>
      <w:r>
        <w:t xml:space="preserve"> about the funding mechanism that supports the delivery of </w:t>
      </w:r>
      <w:r w:rsidR="003279C5">
        <w:t>PHC</w:t>
      </w:r>
      <w:r>
        <w:t xml:space="preserve"> to Aboriginal and Torres Strait Islander people</w:t>
      </w:r>
      <w:r w:rsidR="0067550D">
        <w:t xml:space="preserve"> and how this contributes to outcomes for Aboriginal and Torres Strait Islander people within the broader health system</w:t>
      </w:r>
      <w:r w:rsidR="00E76BC6">
        <w:t>.</w:t>
      </w:r>
      <w:r w:rsidR="008D7176">
        <w:t xml:space="preserve"> </w:t>
      </w:r>
    </w:p>
    <w:p w14:paraId="1637D73D" w14:textId="570614BA" w:rsidR="00D259B0" w:rsidRPr="00884FAA" w:rsidRDefault="00CF3A04" w:rsidP="00D259B0">
      <w:pPr>
        <w:spacing w:before="240"/>
      </w:pPr>
      <w:r w:rsidRPr="00884FAA">
        <w:t>This</w:t>
      </w:r>
      <w:r w:rsidR="00B20170">
        <w:t xml:space="preserve"> evaluation</w:t>
      </w:r>
      <w:r w:rsidR="00C8267F" w:rsidRPr="00884FAA">
        <w:t xml:space="preserve"> report </w:t>
      </w:r>
      <w:r w:rsidR="00456B1C" w:rsidRPr="00884FAA">
        <w:t xml:space="preserve">builds on </w:t>
      </w:r>
      <w:r w:rsidR="0003021C" w:rsidRPr="00884FAA">
        <w:t xml:space="preserve">previous reports developed as part of </w:t>
      </w:r>
      <w:r w:rsidR="00937893" w:rsidRPr="00884FAA">
        <w:t xml:space="preserve">evaluation processes. </w:t>
      </w:r>
      <w:r w:rsidR="003126AF" w:rsidRPr="00884FAA">
        <w:t xml:space="preserve">A description of these reports is included in </w:t>
      </w:r>
      <w:r w:rsidR="00824A0F" w:rsidRPr="00C64D69">
        <w:t>Final Report Supporting Material: Appendix B.</w:t>
      </w:r>
    </w:p>
    <w:p w14:paraId="16E9CFC5" w14:textId="7104A640" w:rsidR="001261E3" w:rsidRPr="00884FAA" w:rsidRDefault="00F8737B" w:rsidP="005B5EF1">
      <w:pPr>
        <w:spacing w:before="240"/>
      </w:pPr>
      <w:r w:rsidRPr="00494698">
        <w:t>More</w:t>
      </w:r>
      <w:r w:rsidR="004230EF" w:rsidRPr="00494698">
        <w:t xml:space="preserve"> information about the </w:t>
      </w:r>
      <w:r w:rsidR="00725942">
        <w:t>specific</w:t>
      </w:r>
      <w:r w:rsidR="00F17D61">
        <w:t xml:space="preserve"> </w:t>
      </w:r>
      <w:r w:rsidR="004230EF" w:rsidRPr="00494698">
        <w:t xml:space="preserve">methodology </w:t>
      </w:r>
      <w:r w:rsidR="00F17D61">
        <w:t xml:space="preserve">for the evaluation </w:t>
      </w:r>
      <w:r w:rsidRPr="00494698">
        <w:t xml:space="preserve">is included </w:t>
      </w:r>
      <w:r w:rsidR="004230EF" w:rsidRPr="00494698">
        <w:t xml:space="preserve">in </w:t>
      </w:r>
      <w:r w:rsidR="00A543C6">
        <w:t xml:space="preserve">Section </w:t>
      </w:r>
      <w:r w:rsidR="00A543C6">
        <w:rPr>
          <w:highlight w:val="yellow"/>
        </w:rPr>
        <w:fldChar w:fldCharType="begin"/>
      </w:r>
      <w:r w:rsidR="00A543C6">
        <w:instrText xml:space="preserve"> REF _Ref137151633 \r \h </w:instrText>
      </w:r>
      <w:r w:rsidR="00A543C6">
        <w:rPr>
          <w:highlight w:val="yellow"/>
        </w:rPr>
      </w:r>
      <w:r w:rsidR="00A543C6">
        <w:rPr>
          <w:highlight w:val="yellow"/>
        </w:rPr>
        <w:fldChar w:fldCharType="separate"/>
      </w:r>
      <w:r w:rsidR="00165B17">
        <w:t>2</w:t>
      </w:r>
      <w:r w:rsidR="00A543C6">
        <w:rPr>
          <w:highlight w:val="yellow"/>
        </w:rPr>
        <w:fldChar w:fldCharType="end"/>
      </w:r>
      <w:r w:rsidR="00A543C6">
        <w:t xml:space="preserve"> </w:t>
      </w:r>
      <w:r w:rsidR="003D6DF4" w:rsidRPr="00884FAA">
        <w:t xml:space="preserve">and </w:t>
      </w:r>
      <w:r w:rsidR="00824A0F" w:rsidRPr="00FA78D2">
        <w:t xml:space="preserve">Final Report </w:t>
      </w:r>
      <w:r w:rsidR="00824A0F" w:rsidRPr="00243C00">
        <w:t>Supporting Material Appendix C.</w:t>
      </w:r>
    </w:p>
    <w:p w14:paraId="4AE571DA" w14:textId="77777777" w:rsidR="00502CD1" w:rsidRPr="00502CD1" w:rsidRDefault="00502CD1" w:rsidP="0035030F">
      <w:pPr>
        <w:pStyle w:val="Heading2"/>
      </w:pPr>
      <w:bookmarkStart w:id="45" w:name="_Evaluation_Methodology"/>
      <w:bookmarkStart w:id="46" w:name="_Ref137158522"/>
      <w:bookmarkStart w:id="47" w:name="_Toc137208883"/>
      <w:bookmarkEnd w:id="45"/>
      <w:r w:rsidRPr="00884FAA">
        <w:lastRenderedPageBreak/>
        <w:t xml:space="preserve">Context </w:t>
      </w:r>
      <w:r>
        <w:t>for the evaluation</w:t>
      </w:r>
      <w:bookmarkEnd w:id="46"/>
      <w:bookmarkEnd w:id="47"/>
      <w:r>
        <w:t xml:space="preserve"> </w:t>
      </w:r>
    </w:p>
    <w:p w14:paraId="5F4D910F" w14:textId="77777777" w:rsidR="00502CD1" w:rsidRPr="00884FAA" w:rsidRDefault="00502CD1" w:rsidP="00502CD1">
      <w:r w:rsidRPr="00884FAA">
        <w:t xml:space="preserve">To ensure </w:t>
      </w:r>
      <w:r>
        <w:t>the</w:t>
      </w:r>
      <w:r w:rsidRPr="00884FAA">
        <w:t xml:space="preserve"> evaluation </w:t>
      </w:r>
      <w:r>
        <w:t>was</w:t>
      </w:r>
      <w:r w:rsidRPr="00884FAA">
        <w:t xml:space="preserve"> responsive and adapted to its context and objectives, it </w:t>
      </w:r>
      <w:r>
        <w:t>was</w:t>
      </w:r>
      <w:r w:rsidRPr="00884FAA">
        <w:t xml:space="preserve"> essential to understand the IAHP and the key evaluation questions within the </w:t>
      </w:r>
      <w:r>
        <w:t xml:space="preserve">context of the </w:t>
      </w:r>
      <w:r w:rsidRPr="00884FAA">
        <w:t xml:space="preserve">PHC system in Australia. </w:t>
      </w:r>
      <w:r>
        <w:t xml:space="preserve">This includes understanding the approaches and values </w:t>
      </w:r>
      <w:r w:rsidRPr="00884FAA">
        <w:t xml:space="preserve">of Aboriginal and Torres Strait Islander people </w:t>
      </w:r>
      <w:r>
        <w:t xml:space="preserve">to </w:t>
      </w:r>
      <w:r w:rsidRPr="00884FAA">
        <w:t>health and wellbeing.</w:t>
      </w:r>
    </w:p>
    <w:p w14:paraId="3DC2D6A0" w14:textId="77777777" w:rsidR="00502CD1" w:rsidRPr="00884FAA" w:rsidRDefault="00502CD1" w:rsidP="00502CD1">
      <w:r w:rsidRPr="00884FAA">
        <w:t xml:space="preserve">This section provides background and context to the IAHP and the evaluation. It includes the various government commitments and frameworks supporting the operation of the PHC system and specific initiatives designed to support the National Agreement on Closing the Gap and improved health outcomes for Aboriginal and Torres Strait Islander people. </w:t>
      </w:r>
    </w:p>
    <w:p w14:paraId="09376116" w14:textId="77777777" w:rsidR="00502CD1" w:rsidRPr="00884FAA" w:rsidRDefault="00502CD1" w:rsidP="00651D06">
      <w:pPr>
        <w:pStyle w:val="Heading3"/>
      </w:pPr>
      <w:r w:rsidRPr="006C1807">
        <w:t>About</w:t>
      </w:r>
      <w:r w:rsidRPr="00884FAA">
        <w:t xml:space="preserve"> primary health care </w:t>
      </w:r>
    </w:p>
    <w:p w14:paraId="2C942FE2" w14:textId="77777777" w:rsidR="00502CD1" w:rsidRPr="00411637" w:rsidRDefault="00502CD1" w:rsidP="00CC278B">
      <w:pPr>
        <w:pStyle w:val="Heading4"/>
        <w:ind w:left="993" w:hanging="993"/>
      </w:pPr>
      <w:r w:rsidRPr="00411637">
        <w:t xml:space="preserve">The role of primary health care </w:t>
      </w:r>
    </w:p>
    <w:p w14:paraId="4BFDC5FC" w14:textId="77777777" w:rsidR="00502CD1" w:rsidRPr="00884FAA" w:rsidRDefault="00502CD1" w:rsidP="00502CD1">
      <w:r w:rsidRPr="00884FAA">
        <w:t xml:space="preserve">Facilitating improved health outcomes through accessible, effective, and efficient PHC services is fundamental to reducing health inequalities between Aboriginal and Torres Strait Islander people and other Australians. </w:t>
      </w:r>
    </w:p>
    <w:p w14:paraId="61A13DC8" w14:textId="2A0CB28A" w:rsidR="00502CD1" w:rsidRPr="00884FAA" w:rsidRDefault="00502CD1" w:rsidP="00502CD1">
      <w:r w:rsidRPr="00884FAA">
        <w:t xml:space="preserve">According to the World Health Organization, ‘primary health care is a whole-of-society approach to effectively organise and strengthen national health systems to bring services for health and wellbeing closer to communities </w:t>
      </w:r>
      <w:r w:rsidRPr="00884FAA">
        <w:fldChar w:fldCharType="begin"/>
      </w:r>
      <w:r w:rsidR="00F8760E">
        <w:instrText xml:space="preserve"> ADDIN ZOTERO_ITEM CSL_CITATION {"citationID":"rYWY8HYl","properties":{"formattedCitation":"(World Health Organization &amp; United Nations Children\\uc0\\u8217{}s Fund (UNICEF), 2018a)","plainCitation":"(World Health Organization &amp; United Nations Children’s Fund (UNICEF), 2018a)","noteIndex":0},"citationItems":[{"id":3761,"uris":["http://zotero.org/groups/5010721/items/S5WV7JDD",["http://zotero.org/groups/5010721/items/S5WV7JDD"],["http://zotero.org/groups/5010721/items/S5WV7JDD",["http://zotero.org/groups/5010721/items/S5WV7JDD"]]],"itemData":{"id":3761,"type":"report","language":"en","note":"number-of-pages: 46","number":"WHO/HIS/SDS/2018.15","source":"apps.who.int","title":"A vision for primary health care in the 21st century: towards universal health coverage and the Sustainable Development Goals","title-short":"A vision for primary health care in the 21st century","author":[{"literal":"World Health Organization"},{"literal":"United Nations Children's Fund (UNICEF)"}],"accessed":{"date-parts":[["2022",6,2]]},"issued":{"date-parts":[["2018"]]}}}],"schema":"https://github.com/citation-style-language/schema/raw/master/csl-citation.json"} </w:instrText>
      </w:r>
      <w:r w:rsidRPr="00884FAA">
        <w:fldChar w:fldCharType="separate"/>
      </w:r>
      <w:r w:rsidR="002730C3" w:rsidRPr="002730C3">
        <w:rPr>
          <w:rFonts w:ascii="Arial" w:hAnsi="Arial" w:cs="Arial"/>
          <w:szCs w:val="24"/>
        </w:rPr>
        <w:t>(World Health Organization &amp; United Nations Children’s Fund (UNICEF), 2018a)</w:t>
      </w:r>
      <w:r w:rsidRPr="00884FAA">
        <w:fldChar w:fldCharType="end"/>
      </w:r>
      <w:r w:rsidRPr="00884FAA">
        <w:t xml:space="preserve">. This includes </w:t>
      </w:r>
      <w:r w:rsidR="006D2482">
        <w:t>3</w:t>
      </w:r>
      <w:r w:rsidR="006D2482" w:rsidRPr="00884FAA">
        <w:t xml:space="preserve"> </w:t>
      </w:r>
      <w:r w:rsidRPr="00884FAA">
        <w:t>key components.</w:t>
      </w:r>
    </w:p>
    <w:p w14:paraId="01CC131A" w14:textId="77777777" w:rsidR="00502CD1" w:rsidRPr="00580736" w:rsidRDefault="00502CD1" w:rsidP="00580736">
      <w:pPr>
        <w:numPr>
          <w:ilvl w:val="0"/>
          <w:numId w:val="19"/>
        </w:numPr>
        <w:spacing w:after="120"/>
      </w:pPr>
      <w:r w:rsidRPr="00580736">
        <w:t>Integrated health services to meet people’s health needs throughout their lives.</w:t>
      </w:r>
    </w:p>
    <w:p w14:paraId="0D058013" w14:textId="77777777" w:rsidR="00502CD1" w:rsidRPr="00580736" w:rsidRDefault="00502CD1" w:rsidP="00580736">
      <w:pPr>
        <w:numPr>
          <w:ilvl w:val="0"/>
          <w:numId w:val="19"/>
        </w:numPr>
        <w:spacing w:after="120"/>
      </w:pPr>
      <w:r w:rsidRPr="00580736">
        <w:t>Addressing the broader determinants of health through multisectoral policy and action.</w:t>
      </w:r>
    </w:p>
    <w:p w14:paraId="270F1227" w14:textId="28858DCE" w:rsidR="00502CD1" w:rsidRPr="00502CD1" w:rsidRDefault="00502CD1" w:rsidP="00580736">
      <w:pPr>
        <w:numPr>
          <w:ilvl w:val="0"/>
          <w:numId w:val="19"/>
        </w:numPr>
        <w:spacing w:after="120"/>
      </w:pPr>
      <w:r w:rsidRPr="00580736">
        <w:t xml:space="preserve">Empowering individuals, families and communities to take charge of their own health </w:t>
      </w:r>
      <w:r w:rsidRPr="00580736">
        <w:fldChar w:fldCharType="begin"/>
      </w:r>
      <w:r w:rsidR="00F8760E">
        <w:instrText xml:space="preserve"> ADDIN ZOTERO_ITEM CSL_CITATION {"citationID":"HZhkq2rm","properties":{"formattedCitation":"(World Health Organization &amp; United Nations Children\\uc0\\u8217{}s Fund (UNICEF), 2018a)","plainCitation":"(World Health Organization &amp; United Nations Children’s Fund (UNICEF), 2018a)","noteIndex":0},"citationItems":[{"id":3761,"uris":["http://zotero.org/groups/5010721/items/S5WV7JDD",["http://zotero.org/groups/5010721/items/S5WV7JDD"],["http://zotero.org/groups/5010721/items/S5WV7JDD",["http://zotero.org/groups/5010721/items/S5WV7JDD"]]],"itemData":{"id":3761,"type":"report","language":"en","note":"number-of-pages: 46","number":"WHO/HIS/SDS/2018.15","source":"apps.who.int","title":"A vision for primary health care in the 21st century: towards universal health coverage and the Sustainable Development Goals","title-short":"A vision for primary health care in the 21st century","author":[{"literal":"World Health Organization"},{"literal":"United Nations Children's Fund (UNICEF)"}],"accessed":{"date-parts":[["2022",6,2]]},"issued":{"date-parts":[["2018"]]}}}],"schema":"https://github.com/citation-style-language/schema/raw/master/csl-citation.json"} </w:instrText>
      </w:r>
      <w:r w:rsidRPr="00580736">
        <w:fldChar w:fldCharType="separate"/>
      </w:r>
      <w:r w:rsidR="002730C3" w:rsidRPr="00580736">
        <w:t>(World Health Organization &amp; United Nations Children’s Fund (UNICEF), 2018a)</w:t>
      </w:r>
      <w:r w:rsidRPr="00580736">
        <w:fldChar w:fldCharType="end"/>
      </w:r>
      <w:r w:rsidRPr="00502CD1">
        <w:t>.</w:t>
      </w:r>
    </w:p>
    <w:p w14:paraId="18182BB3" w14:textId="788ECDA6" w:rsidR="00096C82" w:rsidRDefault="00502CD1" w:rsidP="00502CD1">
      <w:r w:rsidRPr="00884FAA">
        <w:t>Comprehensive PHC is a core part of any health system. International evidence suggests that a strong PHC system correlates with better health outcomes, a reduced national health care expenditure, and lower infant mortality rates</w:t>
      </w:r>
      <w:r>
        <w:t xml:space="preserve"> </w:t>
      </w:r>
      <w:r>
        <w:fldChar w:fldCharType="begin"/>
      </w:r>
      <w:r w:rsidR="00F8760E">
        <w:instrText xml:space="preserve"> ADDIN ZOTERO_ITEM CSL_CITATION {"citationID":"zgYVFzhU","properties":{"formattedCitation":"(Bailey et al., 2018; Davy et al., 2016a; World Health Organization &amp; United Nations Children\\uc0\\u8217{}s Fund (UNICEF), 2018a)","plainCitation":"(Bailey et al., 2018; Davy et al., 2016a; World Health Organization &amp; United Nations Children’s Fund (UNICEF), 2018a)","noteIndex":0},"citationItems":[{"id":3736,"uris":["http://zotero.org/groups/5010721/items/C6EF9VZ3",["http://zotero.org/groups/5010721/items/C6EF9VZ3"],["http://zotero.org/groups/5010721/items/C6EF9VZ3",["http://zotero.org/groups/5010721/items/C6EF9VZ3"]]],"itemData":{"id":3736,"type":"report","event-place":"Wellington","genre":"Monitoring and Design Report","publisher":"Allen + Clarke. Funded by the Australian Government","publisher-place":"Wellington","title":"Evaluation of the Australian Government’s Investment in Aboriginal and Torres Strait Islander Primary Health Care through the Indigenous Australians’ Health Programme: Monitoring and Evaluation Design Report","author":[{"family":"Bailey","given":"Robyn"},{"family":"Hardie-Boys","given":"Ned"},{"family":"Carr","given":"Julia"},{"family":"Moodie","given":"D"},{"family":"McLean","given":"G"},{"family":"Scanlen","given":"A"},{"family":"Bainbridge","given":"Roxanne"},{"family":"Monaghan","given":"Robert"},{"family":"Walke","given":"Emma"},{"family":"Bailie","given":"Ross"}],"issued":{"date-parts":[["2018"]]}}},{"id":3722,"uris":["http://zotero.org/groups/5010721/items/TYTUZ2IL",["http://zotero.org/groups/5010721/items/TYTUZ2IL"],["http://zotero.org/groups/5010721/items/TYTUZ2IL",["http://zotero.org/groups/5010721/items/TYTUZ2IL"]]],"itemData":{"id":3722,"type":"article-journal","abstract":"Indigenous peoples often find it difficult to access appropriate mainstream primary health care services. Securing access to primary health care services requires more than just services that are situated within easy reach. Ensuring the accessibility of health care for Indigenous peoples who are often faced with a vast array of additional barriers including experiences of discrimination and racism, can be complex. This framework synthesis aimed to identify issues that hindered Indigenous peoples from accessing primary health care and then explore how, if at all, these were addressed by Indigenous health care services.","container-title":"International Journal for Equity in Health","DOI":"10.1186/s12939-016-0450-5","ISSN":"1475-9276","issue":"1","journalAbbreviation":"International Journal for Equity in Health","page":"163","title":"Access to primary health care services for Indigenous peoples: A framework synthesis","URL":"https://doi.org/10.1186/s12939-016-0450-5","volume":"15","author":[{"family":"Davy","given":"Carol"},{"family":"Harfield","given":"Stephen"},{"family":"McArthur","given":"Alexa"},{"family":"Munn","given":"Zachary"},{"family":"Brown","given":"Alex"}],"issued":{"date-parts":[["2016",9,30]]}}},{"id":3761,"uris":["http://zotero.org/groups/5010721/items/S5WV7JDD",["http://zotero.org/groups/5010721/items/S5WV7JDD"],["http://zotero.org/groups/5010721/items/S5WV7JDD",["http://zotero.org/groups/5010721/items/S5WV7JDD"]]],"itemData":{"id":3761,"type":"report","language":"en","note":"number-of-pages: 46","number":"WHO/HIS/SDS/2018.15","source":"apps.who.int","title":"A vision for primary health care in the 21st century: towards universal health coverage and the Sustainable Development Goals","title-short":"A vision for primary health care in the 21st century","author":[{"literal":"World Health Organization"},{"literal":"United Nations Children's Fund (UNICEF)"}],"accessed":{"date-parts":[["2022",6,2]]},"issued":{"date-parts":[["2018"]]}}}],"schema":"https://github.com/citation-style-language/schema/raw/master/csl-citation.json"} </w:instrText>
      </w:r>
      <w:r>
        <w:fldChar w:fldCharType="separate"/>
      </w:r>
      <w:r w:rsidR="002730C3" w:rsidRPr="002730C3">
        <w:rPr>
          <w:rFonts w:ascii="Arial" w:hAnsi="Arial" w:cs="Arial"/>
          <w:szCs w:val="24"/>
        </w:rPr>
        <w:t>(Bailey et al., 2018; Davy et al., 2016a; World Health Organization &amp; United Nations Children’s Fund (UNICEF), 2018a)</w:t>
      </w:r>
      <w:r>
        <w:fldChar w:fldCharType="end"/>
      </w:r>
      <w:r w:rsidRPr="00884FAA">
        <w:t xml:space="preserve">. </w:t>
      </w:r>
    </w:p>
    <w:p w14:paraId="083823F3" w14:textId="0890344D" w:rsidR="00502CD1" w:rsidRPr="00884FAA" w:rsidRDefault="00502CD1" w:rsidP="00502CD1">
      <w:r w:rsidRPr="00884FAA">
        <w:t>There is also evidence that PHC contributes to reduced morbidity from chronic disease through primary, secondary, and tertiary prevention, and appropriate referral and follow-up</w:t>
      </w:r>
      <w:r w:rsidR="00D01B02">
        <w:t xml:space="preserve"> </w:t>
      </w:r>
      <w:r w:rsidR="00D01B02">
        <w:fldChar w:fldCharType="begin"/>
      </w:r>
      <w:r w:rsidR="00F8760E">
        <w:instrText xml:space="preserve"> ADDIN ZOTERO_ITEM CSL_CITATION {"citationID":"kWNWSEZM","properties":{"formattedCitation":"(Zhao et al., 2013)","plainCitation":"(Zhao et al., 2013)","noteIndex":0},"citationItems":[{"id":3898,"uris":["http://zotero.org/groups/5010721/items/9WCZK93F",["http://zotero.org/groups/5010721/items/9WCZK93F"],["http://zotero.org/groups/5010721/items/9WCZK93F",["http://zotero.org/groups/5010721/items/9WCZK93F"]]],"itemData":{"id":3898,"type":"article-journal","abstract":"BACKGROUND: Primary health care (PHC) is widely regarded as essential for preventing and treating ill health. However, the evidence on whether improved PHC reduces hospitalisations has been mixed. This study examines the relationship between PHC and hospital inpatient care in a population with high health need, high rates of hospitalisation and relatively poor PHC access.\nMETHODS: The cross-sectional study used linked individual level PHC visit and hospitalisation data for 52 739 Indigenous residents from 54 remote communities in the Northern Territory of Australia between 1 July 2007 and 30 June 2011. The association between PHC visits and hospitalisations was modelled using simple and spline quadratic regression for key demographics and disease groups including potentially avoidable hospitalisations.\nRESULTS: At the aggregate level, the average annual number of PHC visits per person had a U-shaped association with hospitalisations. For all conditions combined, there was an inverse association between PHC visits and hospitalisations for people with less than four clinic visits per year, but a positive association for those visiting the clinic four times or more. For patients with diabetes, ischaemic heart disease or renal disease, the minimum level of hospitalisation was found when there was 20-30 PHC visits a year, and for children with otitis media and dental conditions, 5-8 visits a year.\nCONCLUSIONS: The results of this study demonstrate a U-shape relationship between PHC visits and hospitalisations. Under the conditions of remote Indigenous Australians, there may be an optimal level of PHC at which hospitalisations are at a minimum. The authors propose that the effectiveness of a health system may hinge on a refined balance, rather than a straight-line relationship between primary health care and tertiary care.","container-title":"BMC health services research","DOI":"10.1186/1472-6963-13-466","ISSN":"1472-6963","journalAbbreviation":"BMC Health Serv Res","language":"eng","note":"PMID: 24195746\nPMCID: PMC4226196","page":"466","source":"PubMed","title":"The relationship between number of primary health care visits and hospitalisations: evidence from linked clinic and hospital data for remote Indigenous Australians","title-short":"The relationship between number of primary health care visits and hospitalisations","volume":"13","author":[{"family":"Zhao","given":"Yuejen"},{"family":"Wright","given":"Jo"},{"family":"Guthridge","given":"Steven"},{"family":"Lawton","given":"Paul"}],"issued":{"date-parts":[["2013",11,6]]}}}],"schema":"https://github.com/citation-style-language/schema/raw/master/csl-citation.json"} </w:instrText>
      </w:r>
      <w:r w:rsidR="00D01B02">
        <w:fldChar w:fldCharType="separate"/>
      </w:r>
      <w:r w:rsidR="00D01B02" w:rsidRPr="00D01B02">
        <w:rPr>
          <w:rFonts w:ascii="Arial" w:hAnsi="Arial" w:cs="Arial"/>
        </w:rPr>
        <w:t>(Zhao et al., 2013)</w:t>
      </w:r>
      <w:r w:rsidR="00D01B02">
        <w:fldChar w:fldCharType="end"/>
      </w:r>
      <w:r w:rsidRPr="00884FAA">
        <w:t xml:space="preserve">. Increased PHC resources also offset some of the harmful effects of socio-economic disadvantage and inequality. </w:t>
      </w:r>
    </w:p>
    <w:p w14:paraId="6CC7D7EF" w14:textId="1186B612" w:rsidR="00502CD1" w:rsidRPr="00411637" w:rsidRDefault="00502CD1" w:rsidP="00CC278B">
      <w:pPr>
        <w:pStyle w:val="Heading4"/>
        <w:ind w:left="993" w:hanging="993"/>
      </w:pPr>
      <w:r w:rsidRPr="00411637">
        <w:t>Primary health care service delivery in Australia</w:t>
      </w:r>
      <w:r w:rsidR="00AA35E2">
        <w:t xml:space="preserve"> </w:t>
      </w:r>
    </w:p>
    <w:p w14:paraId="49B3EC4A" w14:textId="23BA91DE" w:rsidR="00502CD1" w:rsidRPr="00884FAA" w:rsidRDefault="00502CD1" w:rsidP="00502CD1">
      <w:r w:rsidRPr="00884FAA">
        <w:t xml:space="preserve">In Australia, primary care refers to ‘those services in the community that people go to first for health care: general practices, ACCHSs, community pharmacies, allied health services, mental health services, drug and alcohol services, community health and community nursing services, maternal and child health services, sexual health services and oral and dental services’ </w:t>
      </w:r>
      <w:r w:rsidRPr="00884FAA">
        <w:fldChar w:fldCharType="begin"/>
      </w:r>
      <w:r w:rsidR="00F8760E">
        <w:instrText xml:space="preserve"> ADDIN ZOTERO_ITEM CSL_CITATION {"citationID":"kITta49P","properties":{"formattedCitation":"(Australian Department of Health and Aged Care, 2022a)","plainCitation":"(Australian Department of Health and Aged Care, 2022a)","noteIndex":0},"citationItems":[{"id":3754,"uris":["http://zotero.org/groups/5010721/items/F5ZKM9GY",["http://zotero.org/groups/5010721/items/F5ZKM9GY"],["http://zotero.org/groups/5010721/items/F5ZKM9GY",["http://zotero.org/groups/5010721/items/F5ZKM9GY"]]],"itemData":{"id":3754,"type":"report","event-place":"Canberra","publisher":"Commonwealth of Australia.","publisher-place":"Canberra","title":"Future focused primary health care: Australia's Primary Health Care 10 Year Plan 2022-2032","URL":"https://www.health.gov.au/sites/default/files/documents/2022/03/australia-s-primary-health-care-10-year-plan-2022-2032-future-focused-primary-health-care-australia-s-primary-health-care-10-year-plan-2022-2032.pdf","author":[{"literal":"Australian Department of Health and Aged Care"}],"issued":{"date-parts":[["2022"]]}}}],"schema":"https://github.com/citation-style-language/schema/raw/master/csl-citation.json"} </w:instrText>
      </w:r>
      <w:r w:rsidRPr="00884FAA">
        <w:fldChar w:fldCharType="separate"/>
      </w:r>
      <w:r w:rsidR="00685726" w:rsidRPr="00685726">
        <w:rPr>
          <w:rFonts w:ascii="Arial" w:hAnsi="Arial" w:cs="Arial"/>
        </w:rPr>
        <w:t>(Australian Department of Health and Aged Care, 2022a)</w:t>
      </w:r>
      <w:r w:rsidRPr="00884FAA">
        <w:fldChar w:fldCharType="end"/>
      </w:r>
      <w:r w:rsidRPr="00884FAA">
        <w:t xml:space="preserve">. </w:t>
      </w:r>
    </w:p>
    <w:p w14:paraId="167CA9E1" w14:textId="3B4BD18D" w:rsidR="00502CD1" w:rsidRPr="00884FAA" w:rsidRDefault="00502CD1" w:rsidP="00502CD1">
      <w:r w:rsidRPr="00884FAA">
        <w:lastRenderedPageBreak/>
        <w:t xml:space="preserve">The responsibility for </w:t>
      </w:r>
      <w:r w:rsidR="003279C5">
        <w:t>PHC</w:t>
      </w:r>
      <w:r w:rsidRPr="00884FAA">
        <w:t xml:space="preserve"> service delivery is shared across governments. Broadly, the Australian Government is responsible for setting national policy, the arrangement for Medicare, the funding of pharmaceuticals through the Pharmaceutical Benefits Scheme, and funding community controlled Aboriginal and Torres Strait Islander primary health care. </w:t>
      </w:r>
    </w:p>
    <w:p w14:paraId="478DCBCB" w14:textId="77777777" w:rsidR="00502CD1" w:rsidRPr="00884FAA" w:rsidRDefault="00502CD1" w:rsidP="00502CD1">
      <w:r w:rsidRPr="00884FAA">
        <w:t xml:space="preserve">State and territory governments manage the public hospital system and regulate the private hospital system, as well as responsibility for arranging public, community -based and primary health services (including mental health, dental health, and drug and alcohol services). Local governments deliver some community-based health and support services, including public health and health promotion activities. There are several responsibilities shared across government, including workforce regulation, education and training, safety and quality of health care, and the funding of Aboriginal and Torres Strait Islander health services. </w:t>
      </w:r>
    </w:p>
    <w:p w14:paraId="25D00749" w14:textId="39AA421A" w:rsidR="00502CD1" w:rsidRPr="00411637" w:rsidRDefault="00502CD1" w:rsidP="00CC278B">
      <w:pPr>
        <w:pStyle w:val="Heading4"/>
        <w:ind w:left="993" w:hanging="993"/>
      </w:pPr>
      <w:r w:rsidRPr="00411637">
        <w:t>Primary health care for Aboriginal and Torres Strait Islander people</w:t>
      </w:r>
      <w:r w:rsidR="00AA35E2">
        <w:t xml:space="preserve"> </w:t>
      </w:r>
    </w:p>
    <w:p w14:paraId="38B43B82" w14:textId="02471E7A" w:rsidR="00502CD1" w:rsidRDefault="00502CD1" w:rsidP="00502CD1">
      <w:r w:rsidRPr="00884FAA">
        <w:t xml:space="preserve">For many Aboriginal and Torres Strait Islander people, </w:t>
      </w:r>
      <w:r w:rsidR="003279C5">
        <w:t>PHC</w:t>
      </w:r>
      <w:r w:rsidRPr="00884FAA">
        <w:t xml:space="preserve"> is anchored in culture and requires an intimate knowledge of the community and its health problems, active community participation to address these health problems, and promotive, preventive, curative and rehabilitative services </w:t>
      </w:r>
      <w:r w:rsidRPr="00884FAA">
        <w:fldChar w:fldCharType="begin"/>
      </w:r>
      <w:r w:rsidR="00F8760E">
        <w:instrText xml:space="preserve"> ADDIN ZOTERO_ITEM CSL_CITATION {"citationID":"eefzzoe2","properties":{"formattedCitation":"(National Aboriginal Community Controlled Health Organisation, 2021a)","plainCitation":"(National Aboriginal Community Controlled Health Organisation, 2021a)","noteIndex":0},"citationItems":[{"id":3769,"uris":["http://zotero.org/groups/5010721/items/QW6QA8RE",["http://zotero.org/groups/5010721/items/QW6QA8RE"],["http://zotero.org/groups/5010721/items/QW6QA8RE",["http://zotero.org/groups/5010721/items/QW6QA8RE"]]],"itemData":{"id":3769,"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rsidRPr="00884FAA">
        <w:fldChar w:fldCharType="separate"/>
      </w:r>
      <w:r w:rsidRPr="00502CD1">
        <w:t>(National Aboriginal Community Controlled Health Organisation, 2021a)</w:t>
      </w:r>
      <w:r w:rsidRPr="00884FAA">
        <w:fldChar w:fldCharType="end"/>
      </w:r>
      <w:r w:rsidRPr="00884FAA">
        <w:t xml:space="preserve">. </w:t>
      </w:r>
    </w:p>
    <w:p w14:paraId="3A76C159" w14:textId="32A5D514" w:rsidR="00142D4A" w:rsidRPr="00203901" w:rsidRDefault="00142D4A" w:rsidP="00142D4A">
      <w:r w:rsidRPr="00203901">
        <w:t xml:space="preserve">Aboriginal and Torres Strait Islander knowledge systems and ways of advancing health and wellbeing in their communities </w:t>
      </w:r>
      <w:r>
        <w:t xml:space="preserve">are not </w:t>
      </w:r>
      <w:r w:rsidRPr="00203901">
        <w:t>align</w:t>
      </w:r>
      <w:r w:rsidR="00C76CA3">
        <w:t xml:space="preserve">ed </w:t>
      </w:r>
      <w:r w:rsidRPr="00203901">
        <w:t xml:space="preserve">with the </w:t>
      </w:r>
      <w:r w:rsidR="00C76CA3">
        <w:t xml:space="preserve">dominant </w:t>
      </w:r>
      <w:r w:rsidRPr="00203901">
        <w:t xml:space="preserve">Western knowledge systems and structures that influence the current design, funding, and delivery of </w:t>
      </w:r>
      <w:r w:rsidR="003279C5">
        <w:t>PHC</w:t>
      </w:r>
      <w:r w:rsidRPr="00203901">
        <w:t xml:space="preserve"> in Australia. </w:t>
      </w:r>
    </w:p>
    <w:p w14:paraId="78E4570F" w14:textId="77777777" w:rsidR="00142D4A" w:rsidRPr="00A1178E" w:rsidRDefault="00142D4A" w:rsidP="00142D4A">
      <w:pPr>
        <w:pStyle w:val="Quote"/>
        <w:spacing w:after="0"/>
        <w:rPr>
          <w:color w:val="18525E" w:themeColor="accent5" w:themeShade="80"/>
        </w:rPr>
      </w:pPr>
      <w:r w:rsidRPr="00A1178E">
        <w:rPr>
          <w:color w:val="18525E" w:themeColor="accent5" w:themeShade="80"/>
        </w:rPr>
        <w:t>… under the Aboriginal model of care it's holistic, it's from birth to death and it encompasses everything. Your emotional wellbeing, your cultural wellbeing, your spiritual wellbeing, your physical wellbeing, your community, your family.</w:t>
      </w:r>
    </w:p>
    <w:p w14:paraId="6AECD195" w14:textId="77777777" w:rsidR="00142D4A" w:rsidRPr="00DB1CB5" w:rsidRDefault="00142D4A" w:rsidP="00E36EE3">
      <w:pPr>
        <w:spacing w:before="60"/>
        <w:jc w:val="right"/>
        <w:rPr>
          <w:b/>
          <w:bCs/>
        </w:rPr>
      </w:pPr>
      <w:r w:rsidRPr="00DB1CB5">
        <w:rPr>
          <w:b/>
          <w:bCs/>
        </w:rPr>
        <w:t xml:space="preserve">State or territory peak body </w:t>
      </w:r>
    </w:p>
    <w:p w14:paraId="6D90380A" w14:textId="77777777" w:rsidR="00142D4A" w:rsidRPr="00A1178E" w:rsidRDefault="00142D4A" w:rsidP="00142D4A">
      <w:pPr>
        <w:pStyle w:val="Quote"/>
        <w:spacing w:after="0"/>
        <w:rPr>
          <w:color w:val="18525E" w:themeColor="accent5" w:themeShade="80"/>
        </w:rPr>
      </w:pPr>
      <w:r w:rsidRPr="00A1178E">
        <w:rPr>
          <w:color w:val="18525E" w:themeColor="accent5" w:themeShade="80"/>
        </w:rPr>
        <w:t>… the primary health care way of looking is not a black way of looking …. Aboriginal way of looking is your housing, your education, your drug and alcohol, your dental, you know, approach it's everything. But with this funding, it's strictly this is what you're delivering as a clinical primary setting that's a full stop. And drug and alcohol does not come into it, dentistry not come into it, dialysis don't come into it.</w:t>
      </w:r>
    </w:p>
    <w:p w14:paraId="50C2C3FA" w14:textId="77777777" w:rsidR="00142D4A" w:rsidRPr="00DB1CB5" w:rsidRDefault="00142D4A" w:rsidP="00493A25">
      <w:pPr>
        <w:spacing w:before="60"/>
        <w:jc w:val="right"/>
        <w:rPr>
          <w:b/>
          <w:bCs/>
        </w:rPr>
      </w:pPr>
      <w:r w:rsidRPr="00DB1CB5">
        <w:rPr>
          <w:b/>
          <w:bCs/>
        </w:rPr>
        <w:t xml:space="preserve">ACCHS, Remote location </w:t>
      </w:r>
    </w:p>
    <w:p w14:paraId="349C96CA" w14:textId="4EE947CE" w:rsidR="00142D4A" w:rsidRPr="00884FAA" w:rsidRDefault="00142D4A" w:rsidP="00502CD1">
      <w:r>
        <w:t xml:space="preserve">The findings </w:t>
      </w:r>
      <w:r w:rsidRPr="00884FAA">
        <w:t xml:space="preserve">about what Aboriginal and Torres Strait Islander people value about health care is included </w:t>
      </w:r>
      <w:r w:rsidRPr="00D501AF">
        <w:t xml:space="preserve">in Section </w:t>
      </w:r>
      <w:r w:rsidR="00D501AF" w:rsidRPr="00D501AF">
        <w:fldChar w:fldCharType="begin"/>
      </w:r>
      <w:r w:rsidR="00D501AF" w:rsidRPr="00D501AF">
        <w:instrText xml:space="preserve"> REF _Ref137154091 \r \h  \* MERGEFORMAT </w:instrText>
      </w:r>
      <w:r w:rsidR="00D501AF" w:rsidRPr="00D501AF">
        <w:fldChar w:fldCharType="separate"/>
      </w:r>
      <w:r w:rsidR="00165B17">
        <w:t>4</w:t>
      </w:r>
      <w:r w:rsidR="00D501AF" w:rsidRPr="00D501AF">
        <w:fldChar w:fldCharType="end"/>
      </w:r>
      <w:r w:rsidRPr="00D501AF">
        <w:t>.</w:t>
      </w:r>
      <w:r w:rsidR="00AA35E2">
        <w:t xml:space="preserve"> </w:t>
      </w:r>
    </w:p>
    <w:p w14:paraId="5378B6C0" w14:textId="77777777" w:rsidR="005F268E" w:rsidRDefault="005F268E">
      <w:pPr>
        <w:jc w:val="left"/>
      </w:pPr>
      <w:r>
        <w:br w:type="page"/>
      </w:r>
    </w:p>
    <w:p w14:paraId="5D2FC9D4" w14:textId="46DE2686" w:rsidR="00502CD1" w:rsidRPr="00884FAA" w:rsidRDefault="00502CD1" w:rsidP="00502CD1">
      <w:r w:rsidRPr="00884FAA">
        <w:lastRenderedPageBreak/>
        <w:t>Aboriginal and Torres Strait Islander community</w:t>
      </w:r>
      <w:r w:rsidR="00C76CA3">
        <w:t>-controlled health</w:t>
      </w:r>
      <w:r w:rsidR="00C76CA3" w:rsidRPr="00884FAA">
        <w:t xml:space="preserve"> </w:t>
      </w:r>
      <w:r w:rsidRPr="00884FAA">
        <w:t xml:space="preserve">organisations have a critical role </w:t>
      </w:r>
      <w:r w:rsidR="009F2AEF">
        <w:t xml:space="preserve">in the delivery of </w:t>
      </w:r>
      <w:r w:rsidR="003279C5">
        <w:t>PHC</w:t>
      </w:r>
      <w:r w:rsidR="009F2AEF">
        <w:t xml:space="preserve"> to Aboriginal and Torres Strait Islander people </w:t>
      </w:r>
      <w:r w:rsidRPr="00884FAA">
        <w:t xml:space="preserve">in rural, remote, and urban settings. </w:t>
      </w:r>
      <w:r w:rsidR="00EC6896">
        <w:t>Significant</w:t>
      </w:r>
      <w:r w:rsidRPr="00884FAA">
        <w:t xml:space="preserve"> funding for Aboriginal and Torres Strait Islander primary health care is provided to ACCHSs through the IAHP. Other primary health programs that support primary health care for Aboriginal and Torres Strait Islander people through the </w:t>
      </w:r>
      <w:r w:rsidR="00B35A3D">
        <w:t xml:space="preserve">department </w:t>
      </w:r>
      <w:r>
        <w:fldChar w:fldCharType="begin"/>
      </w:r>
      <w:r w:rsidR="00F8760E">
        <w:instrText xml:space="preserve"> ADDIN ZOTERO_ITEM CSL_CITATION {"citationID":"AMKtDaz9","properties":{"formattedCitation":"(Australian Department of Health and Aged Care, 2022d)","plainCitation":"(Australian Department of Health and Aged Care, 2022d)","noteIndex":0},"citationItems":[{"id":3862,"uris":["http://zotero.org/groups/5010721/items/ITRPIH77",["http://zotero.org/groups/5010721/items/ITRPIH77"],["http://zotero.org/groups/5010721/items/ITRPIH77",["http://zotero.org/groups/5010721/items/ITRPIH77"]]],"itemData":{"id":3862,"type":"webpage","container-title":"www.health.gov.au","genre":"website text","note":"Commonwealth of Australia","title":"Primary Care for Aboriginal and Torres Strait Islander People","URL":"https://www.health.gov.au/health-topics/aboriginal-and-torres-strait-islander-health/primary-care","author":[{"literal":"Australian Department of Health and Aged Care"}],"issued":{"date-parts":[["2022",3,1]]}}}],"schema":"https://github.com/citation-style-language/schema/raw/master/csl-citation.json"} </w:instrText>
      </w:r>
      <w:r>
        <w:fldChar w:fldCharType="separate"/>
      </w:r>
      <w:r w:rsidR="00685726" w:rsidRPr="00685726">
        <w:rPr>
          <w:rFonts w:ascii="Arial" w:hAnsi="Arial" w:cs="Arial"/>
        </w:rPr>
        <w:t>(Australian Department of Health and Aged Care, 2022d)</w:t>
      </w:r>
      <w:r>
        <w:fldChar w:fldCharType="end"/>
      </w:r>
      <w:r w:rsidRPr="00884FAA">
        <w:t xml:space="preserve"> include:</w:t>
      </w:r>
    </w:p>
    <w:p w14:paraId="0D5EB072" w14:textId="77777777" w:rsidR="00502CD1" w:rsidRPr="00502CD1" w:rsidRDefault="00502CD1" w:rsidP="00580736">
      <w:pPr>
        <w:numPr>
          <w:ilvl w:val="0"/>
          <w:numId w:val="19"/>
        </w:numPr>
        <w:spacing w:after="120"/>
      </w:pPr>
      <w:r w:rsidRPr="00502CD1">
        <w:t>Primary Health Networks across Australia to improve access to coordinated care, including the improvement of Aboriginal and Torres Strait Islander health as a key priority area.</w:t>
      </w:r>
    </w:p>
    <w:p w14:paraId="04A3C482" w14:textId="77777777" w:rsidR="00502CD1" w:rsidRPr="00502CD1" w:rsidRDefault="00502CD1" w:rsidP="00580736">
      <w:pPr>
        <w:numPr>
          <w:ilvl w:val="0"/>
          <w:numId w:val="19"/>
        </w:numPr>
        <w:spacing w:after="120"/>
      </w:pPr>
      <w:r w:rsidRPr="00502CD1">
        <w:t>Incentive payments for GP practices to help them provide better health care for Aboriginal and Torres Strait Islander people using their service who have, or are at risk of developing, a chronic disease.</w:t>
      </w:r>
    </w:p>
    <w:p w14:paraId="19B66075" w14:textId="18CA3613" w:rsidR="00502CD1" w:rsidRPr="00884FAA" w:rsidRDefault="00502CD1" w:rsidP="00502CD1">
      <w:r w:rsidRPr="00884FAA">
        <w:t xml:space="preserve">Other programs, including annual health checks funded by Medicare, specific ear and eye health support, healthy living initiatives, mental health and suicide prevention, chronic disease support, and access to medications are also part of the </w:t>
      </w:r>
      <w:r w:rsidR="003279C5">
        <w:t>PHC</w:t>
      </w:r>
      <w:r w:rsidRPr="00884FAA">
        <w:t xml:space="preserve"> landscape for Aboriginal and Torres Strait Islander people.</w:t>
      </w:r>
    </w:p>
    <w:p w14:paraId="68F2877B" w14:textId="77777777" w:rsidR="00502CD1" w:rsidRPr="00884FAA" w:rsidRDefault="00502CD1" w:rsidP="00651D06">
      <w:pPr>
        <w:pStyle w:val="Heading3"/>
      </w:pPr>
      <w:r w:rsidRPr="00884FAA">
        <w:t>Current primary health policy frameworks</w:t>
      </w:r>
    </w:p>
    <w:p w14:paraId="3B446309" w14:textId="1FE24934" w:rsidR="00502CD1" w:rsidRPr="00884FAA" w:rsidRDefault="00660743" w:rsidP="00502CD1">
      <w:r>
        <w:t>In addition to the commitments recorded in the National Agreement on Closing the Gap, t</w:t>
      </w:r>
      <w:r w:rsidR="00502CD1" w:rsidRPr="00884FAA">
        <w:t xml:space="preserve">here are several current policy frameworks that shape the delivery of health care and health-related services </w:t>
      </w:r>
      <w:r w:rsidR="00502CD1">
        <w:t>for</w:t>
      </w:r>
      <w:r w:rsidR="00502CD1" w:rsidRPr="00884FAA">
        <w:t xml:space="preserve"> Aboriginal and Torres Strait Islander people. Many of these are national policy frameworks that have been recently renewed. Key frameworks include</w:t>
      </w:r>
      <w:r w:rsidR="00AF0343" w:rsidRPr="005D1C41">
        <w:rPr>
          <w:rStyle w:val="FootnoteReference"/>
        </w:rPr>
        <w:footnoteReference w:id="5"/>
      </w:r>
      <w:r w:rsidR="00502CD1" w:rsidRPr="00884FAA">
        <w:t xml:space="preserve"> the:</w:t>
      </w:r>
    </w:p>
    <w:p w14:paraId="6E93D12A" w14:textId="79FE98D6" w:rsidR="0004765D" w:rsidRDefault="0004765D" w:rsidP="00580736">
      <w:pPr>
        <w:numPr>
          <w:ilvl w:val="0"/>
          <w:numId w:val="19"/>
        </w:numPr>
        <w:spacing w:after="120"/>
      </w:pPr>
      <w:r>
        <w:t xml:space="preserve">Health Sector Strengthening Plan under the National Agreement on Closing the Gap. </w:t>
      </w:r>
    </w:p>
    <w:p w14:paraId="6A0DAE73" w14:textId="4099FD36" w:rsidR="00502CD1" w:rsidRPr="00502CD1" w:rsidRDefault="00502CD1" w:rsidP="00580736">
      <w:pPr>
        <w:numPr>
          <w:ilvl w:val="0"/>
          <w:numId w:val="19"/>
        </w:numPr>
        <w:spacing w:after="120"/>
      </w:pPr>
      <w:r w:rsidRPr="00502CD1">
        <w:t>National Aboriginal and Torres Strait Islander Health Plan 2021 to 2031</w:t>
      </w:r>
    </w:p>
    <w:p w14:paraId="29EA6731" w14:textId="77777777" w:rsidR="00502CD1" w:rsidRPr="00502CD1" w:rsidRDefault="00502CD1" w:rsidP="00580736">
      <w:pPr>
        <w:numPr>
          <w:ilvl w:val="0"/>
          <w:numId w:val="19"/>
        </w:numPr>
        <w:spacing w:after="120"/>
      </w:pPr>
      <w:r w:rsidRPr="00502CD1">
        <w:t>National Strategic Framework for Aboriginal and Torres Strait Islander Peoples’ Mental Health and Social and Emotional Wellbeing 2017-2023</w:t>
      </w:r>
    </w:p>
    <w:p w14:paraId="20858E7B" w14:textId="77777777" w:rsidR="00502CD1" w:rsidRPr="00502CD1" w:rsidRDefault="00502CD1" w:rsidP="00580736">
      <w:pPr>
        <w:numPr>
          <w:ilvl w:val="0"/>
          <w:numId w:val="19"/>
        </w:numPr>
        <w:spacing w:after="120"/>
      </w:pPr>
      <w:r w:rsidRPr="00502CD1">
        <w:t>National Aboriginal and Torres Strait Islander Health Workforce Strategic Framework and Implementation Plan 2021-2031</w:t>
      </w:r>
    </w:p>
    <w:p w14:paraId="3EB7C9B1" w14:textId="77777777" w:rsidR="00502CD1" w:rsidRPr="00502CD1" w:rsidRDefault="00502CD1" w:rsidP="00580736">
      <w:pPr>
        <w:numPr>
          <w:ilvl w:val="0"/>
          <w:numId w:val="19"/>
        </w:numPr>
        <w:spacing w:after="120"/>
      </w:pPr>
      <w:r w:rsidRPr="00502CD1">
        <w:t xml:space="preserve">Aboriginal and Torres Strait Islander Health Performance Framework </w:t>
      </w:r>
    </w:p>
    <w:p w14:paraId="2BC1704E" w14:textId="50B1FF25" w:rsidR="00502CD1" w:rsidRPr="00502CD1" w:rsidRDefault="00502CD1" w:rsidP="00580736">
      <w:pPr>
        <w:numPr>
          <w:ilvl w:val="0"/>
          <w:numId w:val="19"/>
        </w:numPr>
        <w:spacing w:after="120"/>
      </w:pPr>
      <w:r w:rsidRPr="00502CD1">
        <w:t>Primary Health Care 10 Year Plan</w:t>
      </w:r>
      <w:r w:rsidRPr="00580736">
        <w:t>.</w:t>
      </w:r>
      <w:r w:rsidRPr="00502CD1">
        <w:t xml:space="preserve"> </w:t>
      </w:r>
    </w:p>
    <w:p w14:paraId="17DBE8B9" w14:textId="77777777" w:rsidR="005F268E" w:rsidRDefault="005F268E">
      <w:pPr>
        <w:jc w:val="left"/>
        <w:rPr>
          <w:b/>
          <w:bCs/>
          <w:color w:val="9E6047" w:themeColor="accent3"/>
          <w:kern w:val="28"/>
          <w:sz w:val="28"/>
          <w:szCs w:val="28"/>
        </w:rPr>
      </w:pPr>
      <w:r>
        <w:br w:type="page"/>
      </w:r>
    </w:p>
    <w:p w14:paraId="0B04DA2A" w14:textId="5907B5F2" w:rsidR="0004765D" w:rsidRPr="00411637" w:rsidRDefault="0004765D" w:rsidP="004A0CA8">
      <w:pPr>
        <w:pStyle w:val="Heading4"/>
        <w:spacing w:before="240"/>
        <w:ind w:left="992" w:hanging="992"/>
      </w:pPr>
      <w:r w:rsidRPr="00411637">
        <w:lastRenderedPageBreak/>
        <w:t xml:space="preserve">Health Sector Strengthening Plan </w:t>
      </w:r>
    </w:p>
    <w:p w14:paraId="53BEA6F3" w14:textId="42C7989D" w:rsidR="006A28B5" w:rsidRDefault="0004765D" w:rsidP="0004765D">
      <w:r w:rsidRPr="00502CD1">
        <w:t>The Health Sector Strengthening Plan was agreed in principles by Joint Council in December 2021</w:t>
      </w:r>
      <w:r w:rsidR="006A28B5">
        <w:t xml:space="preserve"> as part of the implementation of the National Agreement on Closing the Gap. </w:t>
      </w:r>
      <w:r w:rsidR="00F80DDD">
        <w:t xml:space="preserve">The Health Sector Strengthening Plan recognises that the Aboriginal and Torres Strait Islander community-controlled health sector plays a unique service delivery and leadership role in Australia’s health system. It notes that the Aboriginal and Torres Strait Islander community-controlled health sector holds ‘a unique and valued place in Australia’s health system, implementing models of care and achieving outcomes </w:t>
      </w:r>
      <w:r w:rsidR="00B05422">
        <w:t xml:space="preserve">that others seek to emulate. </w:t>
      </w:r>
    </w:p>
    <w:p w14:paraId="54323BBF" w14:textId="3D3AA83F" w:rsidR="0004765D" w:rsidRDefault="002D528F" w:rsidP="0004765D">
      <w:r>
        <w:t>The Health Sector Strengthening Plan</w:t>
      </w:r>
      <w:r w:rsidR="0004765D" w:rsidRPr="00502CD1">
        <w:t xml:space="preserve"> sets out 17 transformative sector strengthening actions</w:t>
      </w:r>
      <w:r w:rsidR="0025056E">
        <w:t xml:space="preserve"> to support the Aboriginal and Torres Strait Islander community-controlled sector. All of the actions under the Health Sector Strengthening Plan are relevant to the IAHP given the high proportion of IAHP funding directed towards PHC delivery by the community-controlled sector. </w:t>
      </w:r>
      <w:r w:rsidR="007E3CD6" w:rsidRPr="00DC1639">
        <w:t xml:space="preserve">Actions include </w:t>
      </w:r>
      <w:r w:rsidR="00361836" w:rsidRPr="00DC1639">
        <w:t xml:space="preserve">developing a needs-based </w:t>
      </w:r>
      <w:r w:rsidR="007E3CD6" w:rsidRPr="00DC1639">
        <w:t>funding model</w:t>
      </w:r>
      <w:r w:rsidR="004F059D" w:rsidRPr="00DC1639">
        <w:t>, developing the workforce to secure additional Aboriginal and Torres Strait Islander doctors, nurses and allied health professionals</w:t>
      </w:r>
      <w:r w:rsidR="00D72033" w:rsidRPr="00DC1639">
        <w:t xml:space="preserve"> and other actions to </w:t>
      </w:r>
      <w:r w:rsidR="006523F1">
        <w:t>achieve the following outcomes:</w:t>
      </w:r>
    </w:p>
    <w:p w14:paraId="1040C9D0" w14:textId="41B5FD62" w:rsidR="006523F1" w:rsidRDefault="006523F1" w:rsidP="00580736">
      <w:pPr>
        <w:numPr>
          <w:ilvl w:val="0"/>
          <w:numId w:val="19"/>
        </w:numPr>
        <w:spacing w:after="120"/>
      </w:pPr>
      <w:r w:rsidRPr="006523F1">
        <w:t>The Aboriginal and Torres Strait Islander community-controlled health sector is further strengthened through reliable funding streams to provide holistic, evidence-based and culturally safe services.</w:t>
      </w:r>
    </w:p>
    <w:p w14:paraId="445A33E0" w14:textId="00066441" w:rsidR="006523F1" w:rsidRDefault="006523F1" w:rsidP="00580736">
      <w:pPr>
        <w:numPr>
          <w:ilvl w:val="0"/>
          <w:numId w:val="19"/>
        </w:numPr>
        <w:spacing w:after="120"/>
      </w:pPr>
      <w:r>
        <w:t>T</w:t>
      </w:r>
      <w:r w:rsidRPr="006523F1">
        <w:t>he Aboriginal and Torres Strait Islander community-controlled health sector achieves its own workforce targets including for recruitment and retention in clinical and non-clinical positions in conjunction with implementation of the National Aboriginal and Torres Strait Islander Health Workforce Strategic Framework and Implementation Plan 2021-2031.</w:t>
      </w:r>
    </w:p>
    <w:p w14:paraId="16BBFA40" w14:textId="28223BBB" w:rsidR="006523F1" w:rsidRDefault="006523F1" w:rsidP="00580736">
      <w:pPr>
        <w:numPr>
          <w:ilvl w:val="0"/>
          <w:numId w:val="19"/>
        </w:numPr>
        <w:spacing w:after="120"/>
      </w:pPr>
      <w:r w:rsidRPr="006523F1">
        <w:t>Provision of health care by Aboriginal and Torres Strait Islander community-controlled services occurs in modern, accredited physical facilities equipped to offer telehealth and other digitally enabled services irrespective of location or socioeconomic status of the community.</w:t>
      </w:r>
    </w:p>
    <w:p w14:paraId="7ACF4571" w14:textId="759D62E1" w:rsidR="00B95C09" w:rsidRDefault="00B95C09" w:rsidP="00580736">
      <w:pPr>
        <w:numPr>
          <w:ilvl w:val="0"/>
          <w:numId w:val="19"/>
        </w:numPr>
        <w:spacing w:after="120"/>
      </w:pPr>
      <w:r>
        <w:t>T</w:t>
      </w:r>
      <w:r w:rsidRPr="00B95C09">
        <w:t>he Aboriginal and Torres Strait Islander community-controlled health sector continues to lead, innovate, expand and excel in delivering services to Aboriginal and Torres Strait Islander peoples.</w:t>
      </w:r>
    </w:p>
    <w:p w14:paraId="1159F667" w14:textId="0D59C3F5" w:rsidR="00B95C09" w:rsidRDefault="00B95C09" w:rsidP="00580736">
      <w:pPr>
        <w:numPr>
          <w:ilvl w:val="0"/>
          <w:numId w:val="19"/>
        </w:numPr>
        <w:spacing w:after="120"/>
      </w:pPr>
      <w:r w:rsidRPr="00B95C09">
        <w:t>The Aboriginal and Torres Strait Islander community-controlled health sector meets the highest standards of corporate, fiduciary and clinical governance.</w:t>
      </w:r>
    </w:p>
    <w:p w14:paraId="32367679" w14:textId="798E0C95" w:rsidR="00B95C09" w:rsidRDefault="00B95C09" w:rsidP="00580736">
      <w:pPr>
        <w:numPr>
          <w:ilvl w:val="0"/>
          <w:numId w:val="19"/>
        </w:numPr>
        <w:spacing w:after="120"/>
      </w:pPr>
      <w:r w:rsidRPr="00B95C09">
        <w:t>Increased representation and shared decision-making through structural reform to ensure Aboriginal and Torres Strait Islander peak bodies function as equal partners with governments to improve Aboriginal and Torres Strait Islander health and wellbeing.</w:t>
      </w:r>
    </w:p>
    <w:p w14:paraId="3EF74037" w14:textId="77777777" w:rsidR="005F268E" w:rsidRDefault="005F268E">
      <w:pPr>
        <w:jc w:val="left"/>
        <w:rPr>
          <w:b/>
          <w:bCs/>
          <w:color w:val="9E6047" w:themeColor="accent3"/>
          <w:kern w:val="28"/>
          <w:sz w:val="28"/>
          <w:szCs w:val="28"/>
        </w:rPr>
      </w:pPr>
      <w:r>
        <w:br w:type="page"/>
      </w:r>
    </w:p>
    <w:p w14:paraId="1B06B712" w14:textId="2882DA23" w:rsidR="00502CD1" w:rsidRPr="00411637" w:rsidRDefault="00502CD1" w:rsidP="004A0CA8">
      <w:pPr>
        <w:pStyle w:val="Heading4"/>
        <w:spacing w:before="240"/>
        <w:ind w:left="1134" w:hanging="1134"/>
      </w:pPr>
      <w:r w:rsidRPr="00411637">
        <w:lastRenderedPageBreak/>
        <w:t>National Aboriginal and Torres Strait Islander Health Plan 2021-2031</w:t>
      </w:r>
    </w:p>
    <w:p w14:paraId="6BA9F864" w14:textId="230CC519" w:rsidR="00502CD1" w:rsidRPr="00502CD1" w:rsidRDefault="00502CD1" w:rsidP="00502CD1">
      <w:r w:rsidRPr="00502CD1">
        <w:t xml:space="preserve">The National Aboriginal and Torres Strait Islander Health Plan 2021-2031 (Health Plan) is the main external policy instrument that supports the health outcomes in the National Agreement on Closing the Gap. The Health Plan was developed by the Australian Government in partnership with Aboriginal and Torres Strait Islander health leaders and experts. It provides a policy framework intended to improve health outcomes for Aboriginal and Torres Strait Islander people over 10 years. The plan presents a vision that Aboriginal and Torres Strait Islander people enjoy long, healthy lives that are </w:t>
      </w:r>
      <w:r w:rsidR="00EC6896">
        <w:t>centred</w:t>
      </w:r>
      <w:r w:rsidRPr="00502CD1">
        <w:t xml:space="preserve"> in culture, with access to services that are prevention-focused, culturally safe and responsive, equitable and free of racism </w:t>
      </w:r>
      <w:r w:rsidRPr="00502CD1">
        <w:fldChar w:fldCharType="begin"/>
      </w:r>
      <w:r w:rsidR="00F8760E">
        <w:instrText xml:space="preserve"> ADDIN ZOTERO_ITEM CSL_CITATION {"citationID":"ceJKrsrD","properties":{"formattedCitation":"(Australian Department of Health, 2021a)","plainCitation":"(Australian Department of Health, 2021a)","noteIndex":0},"citationItems":[{"id":3766,"uris":["http://zotero.org/groups/5010721/items/VEKQG4DD",["http://zotero.org/groups/5010721/items/VEKQG4DD"],["http://zotero.org/groups/5010721/items/VEKQG4DD",["http://zotero.org/groups/5010721/items/VEKQG4DD"]]],"itemData":{"id":3766,"type":"report","event-place":"Canberra","publisher":"Commonwealth of Australia","publisher-place":"Canberra","title":"National Aboriginal and Torres Strait Islander Health Plan 2021–2031","URL":"https://www.health.gov.au/sites/default/files/documents/2022/06/national-aboriginal-and-torres-strait-islander-health-plan-2021-2031.pdf","author":[{"literal":"Australian Department of Health"}],"issued":{"date-parts":[["2021"]]}}}],"schema":"https://github.com/citation-style-language/schema/raw/master/csl-citation.json"} </w:instrText>
      </w:r>
      <w:r w:rsidRPr="00502CD1">
        <w:fldChar w:fldCharType="separate"/>
      </w:r>
      <w:r w:rsidRPr="00502CD1">
        <w:t>(Australian Department of Health, 2021a)</w:t>
      </w:r>
      <w:r w:rsidRPr="00502CD1">
        <w:fldChar w:fldCharType="end"/>
      </w:r>
      <w:r w:rsidRPr="00502CD1">
        <w:t xml:space="preserve">. </w:t>
      </w:r>
    </w:p>
    <w:p w14:paraId="72AAFFC6" w14:textId="175DB5F6" w:rsidR="00502CD1" w:rsidRPr="00884FAA" w:rsidRDefault="00502CD1" w:rsidP="00502CD1">
      <w:r w:rsidRPr="00502CD1">
        <w:t xml:space="preserve">To support the Health Plan’s vision, the framework is founded on a holistic approach to health and wellbeing for Aboriginal and Torres Strait islander people, the cultural determinants of health, the social determinants of health, and taking a life course </w:t>
      </w:r>
      <w:r w:rsidRPr="00DB4BB1">
        <w:t>approach (</w:t>
      </w:r>
      <w:r w:rsidR="005F268E">
        <w:fldChar w:fldCharType="begin"/>
      </w:r>
      <w:r w:rsidR="005F268E">
        <w:instrText xml:space="preserve"> REF _Ref137155974 \h </w:instrText>
      </w:r>
      <w:r w:rsidR="005F268E">
        <w:fldChar w:fldCharType="separate"/>
      </w:r>
      <w:r w:rsidR="00165B17" w:rsidRPr="00502CD1">
        <w:t xml:space="preserve">Figure </w:t>
      </w:r>
      <w:r w:rsidR="00165B17">
        <w:rPr>
          <w:noProof/>
        </w:rPr>
        <w:t>1</w:t>
      </w:r>
      <w:r w:rsidR="00165B17">
        <w:noBreakHyphen/>
      </w:r>
      <w:r w:rsidR="00165B17">
        <w:rPr>
          <w:noProof/>
        </w:rPr>
        <w:t>2</w:t>
      </w:r>
      <w:r w:rsidR="005F268E">
        <w:fldChar w:fldCharType="end"/>
      </w:r>
      <w:r w:rsidRPr="00DB4BB1">
        <w:t>).</w:t>
      </w:r>
      <w:r w:rsidRPr="00502CD1">
        <w:t xml:space="preserve"> </w:t>
      </w:r>
    </w:p>
    <w:p w14:paraId="25233B0E" w14:textId="60102AD6" w:rsidR="00502CD1" w:rsidRPr="00502CD1" w:rsidRDefault="00502CD1" w:rsidP="00502CD1">
      <w:pPr>
        <w:pStyle w:val="TableFigure-Header"/>
      </w:pPr>
      <w:bookmarkStart w:id="48" w:name="_Ref137155974"/>
      <w:bookmarkStart w:id="49" w:name="_Toc138851308"/>
      <w:r w:rsidRPr="00502CD1">
        <w:t xml:space="preserve">Figure </w:t>
      </w:r>
      <w:r w:rsidR="005B4A4F">
        <w:fldChar w:fldCharType="begin"/>
      </w:r>
      <w:r w:rsidR="005B4A4F">
        <w:instrText xml:space="preserve"> STYLEREF 1 \s </w:instrText>
      </w:r>
      <w:r w:rsidR="005B4A4F">
        <w:fldChar w:fldCharType="separate"/>
      </w:r>
      <w:r w:rsidR="00165B17">
        <w:rPr>
          <w:noProof/>
        </w:rPr>
        <w:t>1</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2</w:t>
      </w:r>
      <w:r w:rsidR="005B4A4F">
        <w:fldChar w:fldCharType="end"/>
      </w:r>
      <w:bookmarkEnd w:id="48"/>
      <w:r w:rsidR="00B22623">
        <w:t>.</w:t>
      </w:r>
      <w:r w:rsidRPr="00502CD1">
        <w:t xml:space="preserve"> Circular framework of the Health Plan’s vision</w:t>
      </w:r>
      <w:bookmarkEnd w:id="49"/>
    </w:p>
    <w:p w14:paraId="539D3FC2" w14:textId="77777777" w:rsidR="00502CD1" w:rsidRPr="00502CD1" w:rsidRDefault="00502CD1" w:rsidP="00B42B46">
      <w:pPr>
        <w:jc w:val="center"/>
      </w:pPr>
      <w:r w:rsidRPr="00502CD1">
        <w:rPr>
          <w:noProof/>
        </w:rPr>
        <w:drawing>
          <wp:inline distT="0" distB="0" distL="0" distR="0" wp14:anchorId="5AF99E3F" wp14:editId="59FEFC15">
            <wp:extent cx="4974950" cy="4998148"/>
            <wp:effectExtent l="0" t="0" r="0" b="0"/>
            <wp:docPr id="1460337617" name="Picture 1460337617" descr="Circular colourful picture showing the Health Pla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37617" name="Picture 1460337617" descr="Circular colourful picture showing the Health Plan diagram"/>
                    <pic:cNvPicPr/>
                  </pic:nvPicPr>
                  <pic:blipFill>
                    <a:blip r:embed="rId65">
                      <a:extLst>
                        <a:ext uri="{BEBA8EAE-BF5A-486C-A8C5-ECC9F3942E4B}">
                          <a14:imgProps xmlns:a14="http://schemas.microsoft.com/office/drawing/2010/main">
                            <a14:imgLayer r:embed="rId66">
                              <a14:imgEffect>
                                <a14:sharpenSoften amount="25000"/>
                              </a14:imgEffect>
                              <a14:imgEffect>
                                <a14:brightnessContrast bright="5000" contrast="10000"/>
                              </a14:imgEffect>
                            </a14:imgLayer>
                          </a14:imgProps>
                        </a:ext>
                      </a:extLst>
                    </a:blip>
                    <a:srcRect t="528" b="528"/>
                    <a:stretch>
                      <a:fillRect/>
                    </a:stretch>
                  </pic:blipFill>
                  <pic:spPr bwMode="auto">
                    <a:xfrm>
                      <a:off x="0" y="0"/>
                      <a:ext cx="4974950" cy="4998148"/>
                    </a:xfrm>
                    <a:prstGeom prst="rect">
                      <a:avLst/>
                    </a:prstGeom>
                    <a:ln>
                      <a:noFill/>
                    </a:ln>
                    <a:extLst>
                      <a:ext uri="{53640926-AAD7-44D8-BBD7-CCE9431645EC}">
                        <a14:shadowObscured xmlns:a14="http://schemas.microsoft.com/office/drawing/2010/main"/>
                      </a:ext>
                    </a:extLst>
                  </pic:spPr>
                </pic:pic>
              </a:graphicData>
            </a:graphic>
          </wp:inline>
        </w:drawing>
      </w:r>
    </w:p>
    <w:p w14:paraId="52A3CDBE" w14:textId="77777777" w:rsidR="00502CD1" w:rsidRPr="00502CD1" w:rsidRDefault="00502CD1" w:rsidP="00502CD1">
      <w:pPr>
        <w:pStyle w:val="TableFigure-Header"/>
      </w:pPr>
      <w:r w:rsidRPr="00502CD1">
        <w:t>Source: National Aboriginal and Torres Strait Islander Health Plan 2021-2031 (Health Plan)</w:t>
      </w:r>
    </w:p>
    <w:p w14:paraId="6F3AD020" w14:textId="77777777" w:rsidR="0018548B" w:rsidRDefault="0018548B" w:rsidP="00502CD1"/>
    <w:p w14:paraId="7118CAD0" w14:textId="3473BE4C" w:rsidR="00502CD1" w:rsidRDefault="00502CD1" w:rsidP="00502CD1">
      <w:r w:rsidRPr="00EC6896">
        <w:lastRenderedPageBreak/>
        <w:t>The Health Plan contains 12 priorities, grouped into enablers for change (governance and workforce), prevention (including social and emotional wellbeing, and trauma aware healing informed approaches), improving the health system (racism, person and family centred, and mental health and suicide), and a culturally informed evidence base.</w:t>
      </w:r>
      <w:r w:rsidRPr="00502CD1">
        <w:t xml:space="preserve"> </w:t>
      </w:r>
    </w:p>
    <w:p w14:paraId="5F2970C4" w14:textId="77777777" w:rsidR="00502CD1" w:rsidRPr="00411637" w:rsidRDefault="00502CD1" w:rsidP="004A0CA8">
      <w:pPr>
        <w:pStyle w:val="Heading4"/>
        <w:spacing w:before="240"/>
        <w:ind w:left="1134" w:hanging="1134"/>
      </w:pPr>
      <w:r w:rsidRPr="00411637">
        <w:t>National Aboriginal and Torres Strait Islander Health Workforce Strategic Framework and Implementation Plan 2021-2031</w:t>
      </w:r>
    </w:p>
    <w:p w14:paraId="53D7FBEC" w14:textId="107DF8CF" w:rsidR="00502CD1" w:rsidRPr="00502CD1" w:rsidRDefault="00502CD1" w:rsidP="00502CD1">
      <w:r w:rsidRPr="00502CD1">
        <w:t xml:space="preserve">The National Aboriginal and Torres Strait Islander Health Workforce Strategic Framework and Implementation Plan 2021-2031 (the Workforce Plan) </w:t>
      </w:r>
      <w:r w:rsidRPr="00502CD1">
        <w:fldChar w:fldCharType="begin"/>
      </w:r>
      <w:r w:rsidR="00F8760E">
        <w:instrText xml:space="preserve"> ADDIN ZOTERO_ITEM CSL_CITATION {"citationID":"u5QGGjit","properties":{"formattedCitation":"(Australian Department of Health and Aged Care, 2022b)","plainCitation":"(Australian Department of Health and Aged Care, 2022b)","noteIndex":0},"citationItems":[{"id":3764,"uris":["http://zotero.org/groups/5010721/items/CV5ICGPN",["http://zotero.org/groups/5010721/items/CV5ICGPN"],["http://zotero.org/groups/5010721/items/CV5ICGPN",["http://zotero.org/groups/5010721/items/CV5ICGPN"]]],"itemData":{"id":3764,"type":"report","abstract":"Co-designed with Aboriginal and Torres Strait Islander people, this plan's target is for First Nations people to be fully represented in the health workforce by 2031. It includes actions to attract, recruit and retain workers across all roles, levels and locations within the health sector.","event-place":"Canberra","language":"en","publisher":"Commonwealth of Australia","publisher-place":"Canberra","title":"National Aboriginal and Torres Strait Islander Health Workforce Strategic Framework and Implementation Plan 2021–2031","URL":"https://www.health.gov.au/sites/default/files/documents/2022/03/national-aboriginal-and-torres-strait-islander-health-workforce-strategic-framework-and-implementation-plan-2021-2031.pdf","author":[{"literal":"Australian Department of Health and Aged Care"}],"accessed":{"date-parts":[["2022",5,27]]},"issued":{"date-parts":[["2022"]]}}}],"schema":"https://github.com/citation-style-language/schema/raw/master/csl-citation.json"} </w:instrText>
      </w:r>
      <w:r w:rsidRPr="00502CD1">
        <w:fldChar w:fldCharType="separate"/>
      </w:r>
      <w:r w:rsidR="00685726" w:rsidRPr="00685726">
        <w:rPr>
          <w:rFonts w:ascii="Arial" w:hAnsi="Arial" w:cs="Arial"/>
        </w:rPr>
        <w:t>(Australian Department of Health and Aged Care, 2022b)</w:t>
      </w:r>
      <w:r w:rsidRPr="00502CD1">
        <w:fldChar w:fldCharType="end"/>
      </w:r>
      <w:r w:rsidRPr="00502CD1">
        <w:t xml:space="preserve"> was co-designed between Aboriginal and Torres Strait Islander health peak bodies and governments. The Workforce Plan shares the vision of the National Aboriginal and Torres Strait Islander Health Plan and includes a target to increase the representation of Aboriginal and Torres Strait Islander people in the health workforce from the current 1.8% to 3.43% by 2031. </w:t>
      </w:r>
    </w:p>
    <w:p w14:paraId="1FE87C15" w14:textId="2E0F8296" w:rsidR="00502CD1" w:rsidRPr="00502CD1" w:rsidRDefault="00502CD1" w:rsidP="00502CD1">
      <w:r w:rsidRPr="00502CD1">
        <w:t xml:space="preserve">The Workforce Plan includes </w:t>
      </w:r>
      <w:r w:rsidR="006D2482">
        <w:t>6</w:t>
      </w:r>
      <w:r w:rsidR="006D2482" w:rsidRPr="00502CD1">
        <w:t xml:space="preserve"> </w:t>
      </w:r>
      <w:r w:rsidRPr="00502CD1">
        <w:t>overarching strategic directions that address workforce barriers and support the ongoing development of the size, capability, and capacity of the Aboriginal and Torres Strait Islander health workforce. These include actions to attract, recruit, and retain workers across all roles, levels, and locations within the health sector.</w:t>
      </w:r>
    </w:p>
    <w:p w14:paraId="34ECE1F5" w14:textId="630A4EE3" w:rsidR="00502CD1" w:rsidRPr="00411637" w:rsidRDefault="00502CD1" w:rsidP="004A0CA8">
      <w:pPr>
        <w:pStyle w:val="Heading4"/>
        <w:spacing w:before="240"/>
        <w:ind w:left="1134" w:hanging="1134"/>
      </w:pPr>
      <w:r w:rsidRPr="00411637">
        <w:t>National Strategic Framework for Aboriginal and Torres Strait Islander Peoples’ Mental Health and Social and Emotional Wellbeing 2017-2023</w:t>
      </w:r>
    </w:p>
    <w:p w14:paraId="7EA553E9" w14:textId="5CD34466" w:rsidR="00502CD1" w:rsidRPr="00502CD1" w:rsidRDefault="00502CD1" w:rsidP="00502CD1">
      <w:r w:rsidRPr="00502CD1">
        <w:t xml:space="preserve">The purpose of the National Strategic Framework for Aboriginal and Torres Strait Islander Peoples’ Mental Health and Social and Emotional Wellbeing (the SEW Framework) </w:t>
      </w:r>
      <w:r w:rsidRPr="00502CD1">
        <w:fldChar w:fldCharType="begin"/>
      </w:r>
      <w:r w:rsidR="00F8760E">
        <w:instrText xml:space="preserve"> ADDIN ZOTERO_ITEM CSL_CITATION {"citationID":"r4ApYApK","properties":{"formattedCitation":"(Commonwealth of Australia, 2017a)","plainCitation":"(Commonwealth of Australia, 2017a)","noteIndex":0},"citationItems":[{"id":3863,"uris":["http://zotero.org/groups/5010721/items/FLAFSVJY",["http://zotero.org/groups/5010721/items/FLAFSVJY"],["http://zotero.org/groups/5010721/items/FLAFSVJY",["http://zotero.org/groups/5010721/items/FLAFSVJY"]]],"itemData":{"id":3863,"type":"report","language":"en","publisher":"Endorsed by the Australian Health Ministers' Council.","source":"Zotero","title":"National Strategic Framework for Aboriginal and Torres Strait Islander Peoples’  Mental Health and Social and Emotional Wellbeing  2017-2023","title-short":"the SEW Framework","URL":"https://www.niaa.gov.au/sites/default/files/publications/mhsewb-framework_0.pdf","author":[{"literal":"Commonwealth of Australia"}],"issued":{"date-parts":[["2017",2]]}}}],"schema":"https://github.com/citation-style-language/schema/raw/master/csl-citation.json"} </w:instrText>
      </w:r>
      <w:r w:rsidRPr="00502CD1">
        <w:fldChar w:fldCharType="separate"/>
      </w:r>
      <w:r w:rsidR="00D01B02" w:rsidRPr="00D01B02">
        <w:rPr>
          <w:rFonts w:ascii="Arial" w:hAnsi="Arial" w:cs="Arial"/>
        </w:rPr>
        <w:t>(Commonwealth of Australia, 2017a)</w:t>
      </w:r>
      <w:r w:rsidRPr="00502CD1">
        <w:fldChar w:fldCharType="end"/>
      </w:r>
      <w:r w:rsidRPr="00502CD1">
        <w:t xml:space="preserve"> is to guide and inform Aboriginal and Torres Strait Islander mental health and wellbeing reforms. </w:t>
      </w:r>
    </w:p>
    <w:p w14:paraId="17F6CDE9" w14:textId="57170358" w:rsidR="00A21771" w:rsidRDefault="00502CD1" w:rsidP="00502CD1">
      <w:r w:rsidRPr="00502CD1">
        <w:t xml:space="preserve">The SEW Framework has </w:t>
      </w:r>
      <w:r w:rsidR="00286450">
        <w:t>9</w:t>
      </w:r>
      <w:r w:rsidR="00286450" w:rsidRPr="00502CD1">
        <w:t xml:space="preserve"> </w:t>
      </w:r>
      <w:r w:rsidRPr="00502CD1">
        <w:t xml:space="preserve">guiding principles that recognise key issues influencing health and wellbeing outcomes including the connection between mental, physical, cultural and spiritual health, the role of self-determination in the provision of health services for Aboriginal and Torres Strait Islander people, the impact of trauma, loss and racism, stigma, environmental adversity and social disadvantage on mental health and wellbeing, disruption to mental health caused by failure to recognise and respect human rights and the centrality of family and kinship to Aboriginal and Torres Strait Islander’s health and wellbeing. </w:t>
      </w:r>
    </w:p>
    <w:p w14:paraId="2790FEAB" w14:textId="7560A715" w:rsidR="00502CD1" w:rsidRDefault="000339BB" w:rsidP="00502CD1">
      <w:r>
        <w:t>The 5 action areas under the SEW Framework are:</w:t>
      </w:r>
    </w:p>
    <w:p w14:paraId="608DCB6B" w14:textId="63F51B3B" w:rsidR="000E40AF" w:rsidRDefault="00A21771" w:rsidP="00F16837">
      <w:pPr>
        <w:pStyle w:val="Bullet-Number"/>
        <w:numPr>
          <w:ilvl w:val="0"/>
          <w:numId w:val="42"/>
        </w:numPr>
      </w:pPr>
      <w:r>
        <w:t>Strengthen the foundations.</w:t>
      </w:r>
    </w:p>
    <w:p w14:paraId="3298641B" w14:textId="6CA47952" w:rsidR="00A21771" w:rsidRDefault="00A21771" w:rsidP="00F16837">
      <w:pPr>
        <w:pStyle w:val="Bullet-Number"/>
        <w:numPr>
          <w:ilvl w:val="0"/>
          <w:numId w:val="42"/>
        </w:numPr>
      </w:pPr>
      <w:r>
        <w:t>Promote wellness.</w:t>
      </w:r>
    </w:p>
    <w:p w14:paraId="603DBEA8" w14:textId="4213A034" w:rsidR="00A21771" w:rsidRDefault="00A21771" w:rsidP="00F16837">
      <w:pPr>
        <w:pStyle w:val="Bullet-Number"/>
        <w:numPr>
          <w:ilvl w:val="0"/>
          <w:numId w:val="42"/>
        </w:numPr>
      </w:pPr>
      <w:r>
        <w:t>Build capacity and resilience in people and groups at risk</w:t>
      </w:r>
    </w:p>
    <w:p w14:paraId="3FAE956F" w14:textId="12BD67E3" w:rsidR="00A21771" w:rsidRPr="00884FAA" w:rsidRDefault="00A21771" w:rsidP="00F16837">
      <w:pPr>
        <w:pStyle w:val="Bullet-Number"/>
        <w:numPr>
          <w:ilvl w:val="0"/>
          <w:numId w:val="42"/>
        </w:numPr>
      </w:pPr>
      <w:r>
        <w:t xml:space="preserve">Provide care for people who are mildly or moderately ill. </w:t>
      </w:r>
    </w:p>
    <w:p w14:paraId="3AC1BFAF" w14:textId="57D24E87" w:rsidR="000E40AF" w:rsidRPr="00884FAA" w:rsidRDefault="00A21771" w:rsidP="000E40AF">
      <w:pPr>
        <w:pStyle w:val="Bullet-Number"/>
      </w:pPr>
      <w:r>
        <w:t xml:space="preserve">Care for people living with a severe mental illness. </w:t>
      </w:r>
    </w:p>
    <w:p w14:paraId="0086A4B1" w14:textId="4FED3512" w:rsidR="00502CD1" w:rsidRPr="00502CD1" w:rsidRDefault="00502CD1" w:rsidP="00502CD1">
      <w:r w:rsidRPr="00502CD1">
        <w:lastRenderedPageBreak/>
        <w:t xml:space="preserve">The SEW Framework aims to assist decision-makers, governance processes, the health and allied health workforces, health services, and health clients to make decisions that improve health and wellbeing outcomes for Aboriginal and Torres Strait Islander people. This includes decision-making in relation to the commissioning of services by PHNs. The SEW Framework clearly recognises the diversity of Aboriginal and Torres Strait Islander cultures and communities, and supports acknowledging and responding to the different needs with locally developed, specific strategies </w:t>
      </w:r>
      <w:r w:rsidRPr="00502CD1">
        <w:fldChar w:fldCharType="begin"/>
      </w:r>
      <w:r w:rsidR="00F8760E">
        <w:instrText xml:space="preserve"> ADDIN ZOTERO_ITEM CSL_CITATION {"citationID":"whySTJIl","properties":{"formattedCitation":"(Australian Institute of Health and Welfare, 2020a; Commonwealth of Australia, 2017a)","plainCitation":"(Australian Institute of Health and Welfare, 2020a; Commonwealth of Australia, 2017a)","noteIndex":0},"citationItems":[{"id":3730,"uris":["http://zotero.org/groups/5010721/items/RM6M3J7J",["http://zotero.org/groups/5010721/items/RM6M3J7J"],["http://zotero.org/groups/5010721/items/RM6M3J7J",["http://zotero.org/groups/5010721/items/RM6M3J7J"]]],"itemData":{"id":3730,"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2","publisher":"Commonwealth of Australia","publisher-place":"Canberra","title":"Aboriginal and Torres Strait Islander Health Performance Framework 2020 summary report","URL":"https://www.indigenoushpf.gov.au/publications/hpf-summary-2020","author":[{"literal":"Australian Institute of Health and Welfare"}],"accessed":{"date-parts":[["2021",9,28]]},"issued":{"date-parts":[["2020"]]}}},{"id":3863,"uris":["http://zotero.org/groups/5010721/items/FLAFSVJY",["http://zotero.org/groups/5010721/items/FLAFSVJY"],["http://zotero.org/groups/5010721/items/FLAFSVJY",["http://zotero.org/groups/5010721/items/FLAFSVJY"]]],"itemData":{"id":3863,"type":"report","language":"en","publisher":"Endorsed by the Australian Health Ministers' Council.","source":"Zotero","title":"National Strategic Framework for Aboriginal and Torres Strait Islander Peoples’  Mental Health and Social and Emotional Wellbeing  2017-2023","title-short":"the SEW Framework","URL":"https://www.niaa.gov.au/sites/default/files/publications/mhsewb-framework_0.pdf","author":[{"literal":"Commonwealth of Australia"}],"issued":{"date-parts":[["2017",2]]}}}],"schema":"https://github.com/citation-style-language/schema/raw/master/csl-citation.json"} </w:instrText>
      </w:r>
      <w:r w:rsidRPr="00502CD1">
        <w:fldChar w:fldCharType="separate"/>
      </w:r>
      <w:r w:rsidR="00D01B02" w:rsidRPr="00D01B02">
        <w:rPr>
          <w:rFonts w:ascii="Arial" w:hAnsi="Arial" w:cs="Arial"/>
        </w:rPr>
        <w:t>(Australian Institute of Health and Welfare, 2020a; Commonwealth of Australia, 2017a)</w:t>
      </w:r>
      <w:r w:rsidRPr="00502CD1">
        <w:fldChar w:fldCharType="end"/>
      </w:r>
      <w:r w:rsidRPr="00502CD1">
        <w:t xml:space="preserve">. </w:t>
      </w:r>
    </w:p>
    <w:p w14:paraId="4868C11D" w14:textId="77777777" w:rsidR="00502CD1" w:rsidRPr="00411637" w:rsidRDefault="00502CD1" w:rsidP="004A0CA8">
      <w:pPr>
        <w:pStyle w:val="Heading4"/>
        <w:spacing w:before="240"/>
        <w:ind w:left="1134" w:hanging="1134"/>
      </w:pPr>
      <w:r w:rsidRPr="00411637">
        <w:t>Future focused primary health care: Australia’s Primary Health Care 10 Year Plan 2022-2032</w:t>
      </w:r>
    </w:p>
    <w:p w14:paraId="75C552D2" w14:textId="4637581C" w:rsidR="00502CD1" w:rsidRPr="00884FAA" w:rsidRDefault="00502CD1" w:rsidP="00502CD1">
      <w:r w:rsidRPr="00884FAA">
        <w:t xml:space="preserve">The Australian Government developed a plan for the future of the primary health system, including measures to support Closing the Gap. </w:t>
      </w:r>
      <w:r w:rsidRPr="00502CD1">
        <w:t>Australia’s Primary Health Care 10 Year Plan 2022-2032 (the 10 Year Plan)</w:t>
      </w:r>
      <w:r w:rsidRPr="00884FAA">
        <w:t xml:space="preserve"> </w:t>
      </w:r>
      <w:r w:rsidRPr="00884FAA">
        <w:fldChar w:fldCharType="begin"/>
      </w:r>
      <w:r w:rsidR="00F8760E">
        <w:instrText xml:space="preserve"> ADDIN ZOTERO_ITEM CSL_CITATION {"citationID":"7K3GPMyJ","properties":{"formattedCitation":"(Australian Department of Health and Aged Care, 2022a)","plainCitation":"(Australian Department of Health and Aged Care, 2022a)","noteIndex":0},"citationItems":[{"id":3754,"uris":["http://zotero.org/groups/5010721/items/F5ZKM9GY",["http://zotero.org/groups/5010721/items/F5ZKM9GY"],["http://zotero.org/groups/5010721/items/F5ZKM9GY",["http://zotero.org/groups/5010721/items/F5ZKM9GY"]]],"itemData":{"id":3754,"type":"report","event-place":"Canberra","publisher":"Commonwealth of Australia.","publisher-place":"Canberra","title":"Future focused primary health care: Australia's Primary Health Care 10 Year Plan 2022-2032","URL":"https://www.health.gov.au/sites/default/files/documents/2022/03/australia-s-primary-health-care-10-year-plan-2022-2032-future-focused-primary-health-care-australia-s-primary-health-care-10-year-plan-2022-2032.pdf","author":[{"literal":"Australian Department of Health and Aged Care"}],"issued":{"date-parts":[["2022"]]}}}],"schema":"https://github.com/citation-style-language/schema/raw/master/csl-citation.json"} </w:instrText>
      </w:r>
      <w:r w:rsidRPr="00884FAA">
        <w:fldChar w:fldCharType="separate"/>
      </w:r>
      <w:r w:rsidR="00685726" w:rsidRPr="00685726">
        <w:rPr>
          <w:rFonts w:ascii="Arial" w:hAnsi="Arial" w:cs="Arial"/>
        </w:rPr>
        <w:t>(Australian Department of Health and Aged Care, 2022a)</w:t>
      </w:r>
      <w:r w:rsidRPr="00884FAA">
        <w:fldChar w:fldCharType="end"/>
      </w:r>
      <w:r w:rsidRPr="00884FAA">
        <w:t xml:space="preserve"> was developed as part of the Australian Government’s commitments under the </w:t>
      </w:r>
      <w:r w:rsidRPr="00502CD1">
        <w:t>Long-Term National Health Plan</w:t>
      </w:r>
      <w:r w:rsidRPr="00884FAA">
        <w:t xml:space="preserve"> </w:t>
      </w:r>
      <w:r w:rsidRPr="00884FAA">
        <w:fldChar w:fldCharType="begin"/>
      </w:r>
      <w:r w:rsidR="00F8760E">
        <w:instrText xml:space="preserve"> ADDIN ZOTERO_ITEM CSL_CITATION {"citationID":"2rYjVyOD","properties":{"formattedCitation":"(Australian Department of Health, 2019a)","plainCitation":"(Australian Department of Health, 2019a)","noteIndex":0},"citationItems":[{"id":3742,"uris":["http://zotero.org/groups/5010721/items/XBVB9KBP",["http://zotero.org/groups/5010721/items/XBVB9KBP"],["http://zotero.org/groups/5010721/items/XBVB9KBP",["http://zotero.org/groups/5010721/items/XBVB9KBP"]]],"itemData":{"id":3742,"type":"report","publisher":"Commonwealth of Australia","title":"Australia's Long Term National Health Plan","URL":"https://www.health.gov.au/sites/default/files/australia-s-long-term-national-health-plan_0.pdf","author":[{"literal":"Australian Department of Health"}],"accessed":{"date-parts":[["2021",9,19]]},"issued":{"date-parts":[["2019",8]]}}}],"schema":"https://github.com/citation-style-language/schema/raw/master/csl-citation.json"} </w:instrText>
      </w:r>
      <w:r w:rsidRPr="00884FAA">
        <w:fldChar w:fldCharType="separate"/>
      </w:r>
      <w:r w:rsidR="002730C3" w:rsidRPr="002730C3">
        <w:rPr>
          <w:rFonts w:ascii="Arial" w:hAnsi="Arial" w:cs="Arial"/>
        </w:rPr>
        <w:t>(Australian Department of Health, 2019a)</w:t>
      </w:r>
      <w:r w:rsidRPr="00884FAA">
        <w:fldChar w:fldCharType="end"/>
      </w:r>
      <w:r w:rsidRPr="00884FAA">
        <w:t xml:space="preserve">. The </w:t>
      </w:r>
      <w:r>
        <w:t>10 Year Plan</w:t>
      </w:r>
      <w:r w:rsidRPr="00884FAA">
        <w:t xml:space="preserve"> sets out </w:t>
      </w:r>
      <w:r>
        <w:t>7</w:t>
      </w:r>
      <w:r w:rsidRPr="00884FAA">
        <w:t xml:space="preserve"> objectives. </w:t>
      </w:r>
    </w:p>
    <w:p w14:paraId="2E072D10" w14:textId="77777777" w:rsidR="00502CD1" w:rsidRPr="00884FAA" w:rsidRDefault="00502CD1" w:rsidP="00F16837">
      <w:pPr>
        <w:pStyle w:val="Bullet-Number"/>
        <w:numPr>
          <w:ilvl w:val="0"/>
          <w:numId w:val="44"/>
        </w:numPr>
      </w:pPr>
      <w:r w:rsidRPr="005B1BE0">
        <w:rPr>
          <w:b/>
          <w:bCs/>
        </w:rPr>
        <w:t>Access</w:t>
      </w:r>
      <w:r w:rsidRPr="00884FAA">
        <w:t>: Support equitable access to the best available primary health care services.</w:t>
      </w:r>
    </w:p>
    <w:p w14:paraId="64589281" w14:textId="77777777" w:rsidR="00502CD1" w:rsidRPr="00884FAA" w:rsidRDefault="00502CD1" w:rsidP="00502CD1">
      <w:pPr>
        <w:pStyle w:val="Bullet-Number"/>
      </w:pPr>
      <w:r w:rsidRPr="00544974">
        <w:rPr>
          <w:b/>
          <w:bCs/>
        </w:rPr>
        <w:t>Close the Gap</w:t>
      </w:r>
      <w:r w:rsidRPr="00502CD1">
        <w:t>:</w:t>
      </w:r>
      <w:r w:rsidRPr="00884FAA">
        <w:t xml:space="preserve"> Reach parity in health outcomes for Aboriginal and Torres Strait Islander people. </w:t>
      </w:r>
    </w:p>
    <w:p w14:paraId="34F95AF2" w14:textId="77777777" w:rsidR="00502CD1" w:rsidRPr="00884FAA" w:rsidRDefault="00502CD1" w:rsidP="00502CD1">
      <w:pPr>
        <w:pStyle w:val="Bullet-Number"/>
      </w:pPr>
      <w:r w:rsidRPr="00544974">
        <w:rPr>
          <w:b/>
          <w:bCs/>
        </w:rPr>
        <w:t>Keep people well</w:t>
      </w:r>
      <w:r w:rsidRPr="00502CD1">
        <w:t>:</w:t>
      </w:r>
      <w:r w:rsidRPr="00884FAA">
        <w:t xml:space="preserve"> Manage health and wellbeing in the community. </w:t>
      </w:r>
    </w:p>
    <w:p w14:paraId="5D22C7F6" w14:textId="77777777" w:rsidR="00502CD1" w:rsidRPr="00884FAA" w:rsidRDefault="00502CD1" w:rsidP="00502CD1">
      <w:pPr>
        <w:pStyle w:val="Bullet-Number"/>
      </w:pPr>
      <w:r w:rsidRPr="00544974">
        <w:rPr>
          <w:b/>
          <w:bCs/>
        </w:rPr>
        <w:t>Continuity of care</w:t>
      </w:r>
      <w:r w:rsidRPr="00502CD1">
        <w:t>:</w:t>
      </w:r>
      <w:r w:rsidRPr="00884FAA">
        <w:t xml:space="preserve"> Support continuity of care across the health care system. </w:t>
      </w:r>
    </w:p>
    <w:p w14:paraId="1A5DFE3D" w14:textId="77777777" w:rsidR="00502CD1" w:rsidRPr="00884FAA" w:rsidRDefault="00502CD1" w:rsidP="00502CD1">
      <w:pPr>
        <w:pStyle w:val="Bullet-Number"/>
      </w:pPr>
      <w:r w:rsidRPr="00544974">
        <w:rPr>
          <w:b/>
          <w:bCs/>
        </w:rPr>
        <w:t>Integration</w:t>
      </w:r>
      <w:r w:rsidRPr="00502CD1">
        <w:t>:</w:t>
      </w:r>
      <w:r w:rsidRPr="00884FAA">
        <w:t xml:space="preserve"> Support care system integration and sustainability. </w:t>
      </w:r>
    </w:p>
    <w:p w14:paraId="22EF23C8" w14:textId="77777777" w:rsidR="00502CD1" w:rsidRPr="00884FAA" w:rsidRDefault="00502CD1" w:rsidP="00502CD1">
      <w:pPr>
        <w:pStyle w:val="Bullet-Number"/>
      </w:pPr>
      <w:r w:rsidRPr="00544974">
        <w:rPr>
          <w:b/>
          <w:bCs/>
        </w:rPr>
        <w:t>Future focus</w:t>
      </w:r>
      <w:r w:rsidRPr="00502CD1">
        <w:t>:</w:t>
      </w:r>
      <w:r w:rsidRPr="00884FAA">
        <w:t xml:space="preserve"> Embrace new technologies and methods.</w:t>
      </w:r>
    </w:p>
    <w:p w14:paraId="4B3C7D48" w14:textId="77777777" w:rsidR="00502CD1" w:rsidRPr="00884FAA" w:rsidRDefault="00502CD1" w:rsidP="00502CD1">
      <w:pPr>
        <w:pStyle w:val="Bullet-Number"/>
      </w:pPr>
      <w:r w:rsidRPr="00544974">
        <w:rPr>
          <w:b/>
          <w:bCs/>
        </w:rPr>
        <w:t>Safety and quality</w:t>
      </w:r>
      <w:r w:rsidRPr="00502CD1">
        <w:t>:</w:t>
      </w:r>
      <w:r w:rsidRPr="00884FAA">
        <w:t xml:space="preserve"> Support safety and quality improvement.</w:t>
      </w:r>
    </w:p>
    <w:p w14:paraId="6A9F13E3" w14:textId="77777777" w:rsidR="00502CD1" w:rsidRPr="00884FAA" w:rsidRDefault="00502CD1" w:rsidP="00502CD1">
      <w:r w:rsidRPr="00884FAA">
        <w:t xml:space="preserve">The </w:t>
      </w:r>
      <w:r>
        <w:t>10 Year Plan</w:t>
      </w:r>
      <w:r w:rsidRPr="00884FAA">
        <w:t xml:space="preserve"> identifies </w:t>
      </w:r>
      <w:r>
        <w:t>5</w:t>
      </w:r>
      <w:r w:rsidRPr="00884FAA">
        <w:t xml:space="preserve"> key enablers to support the objectives of the plan: people – at the centre of care; funding reform; innovation and technology; research and data; and leadership and culture.</w:t>
      </w:r>
    </w:p>
    <w:p w14:paraId="4B3CC74B" w14:textId="77777777" w:rsidR="00742A9A" w:rsidRDefault="00502CD1" w:rsidP="00721CD3">
      <w:r w:rsidRPr="00884FAA">
        <w:t xml:space="preserve">The </w:t>
      </w:r>
      <w:r>
        <w:t>10 Year Plan</w:t>
      </w:r>
      <w:r w:rsidRPr="00884FAA">
        <w:t xml:space="preserve"> was developed through consultation with individuals and organisations across the country and provides a framework for decision-making for, and reform of, PHC services. It proposes a shift in the delivery of primary care.</w:t>
      </w:r>
    </w:p>
    <w:p w14:paraId="73CAD868" w14:textId="0EFAEC02" w:rsidR="00502CD1" w:rsidRPr="00411637" w:rsidRDefault="00502CD1" w:rsidP="004A0CA8">
      <w:pPr>
        <w:pStyle w:val="Heading4"/>
        <w:spacing w:before="240"/>
        <w:ind w:left="1134" w:hanging="1134"/>
      </w:pPr>
      <w:r w:rsidRPr="00411637">
        <w:t xml:space="preserve"> Aboriginal and Torres Strait Islander Health Performance Framework </w:t>
      </w:r>
    </w:p>
    <w:p w14:paraId="47DD1208" w14:textId="69611CF6" w:rsidR="00502CD1" w:rsidRPr="00884FAA" w:rsidRDefault="00502CD1" w:rsidP="00502CD1">
      <w:r w:rsidRPr="00884FAA">
        <w:t xml:space="preserve">The operation of the health care system for Aboriginal and Torres Strait Islander people is assessed by the </w:t>
      </w:r>
      <w:r w:rsidRPr="00502CD1">
        <w:t>Health Performance Framework</w:t>
      </w:r>
      <w:r w:rsidRPr="00884FAA">
        <w:t xml:space="preserve"> </w:t>
      </w:r>
      <w:r w:rsidRPr="00884FAA">
        <w:fldChar w:fldCharType="begin"/>
      </w:r>
      <w:r w:rsidR="00F8760E">
        <w:instrText xml:space="preserve"> ADDIN ZOTERO_ITEM CSL_CITATION {"citationID":"rabdO3vJ","properties":{"formattedCitation":"(Australian Institute of Health and Welfare, 2020a)","plainCitation":"(Australian Institute of Health and Welfare, 2020a)","noteIndex":0},"citationItems":[{"id":3730,"uris":["http://zotero.org/groups/5010721/items/RM6M3J7J",["http://zotero.org/groups/5010721/items/RM6M3J7J"],["http://zotero.org/groups/5010721/items/RM6M3J7J",["http://zotero.org/groups/5010721/items/RM6M3J7J"]]],"itemData":{"id":3730,"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2","publisher":"Commonwealth of Australia","publisher-place":"Canberra","title":"Aboriginal and Torres Strait Islander Health Performance Framework 2020 summary report","URL":"https://www.indigenoushpf.gov.au/publications/hpf-summary-2020","author":[{"literal":"Australian Institute of Health and Welfare"}],"accessed":{"date-parts":[["2021",9,28]]},"issued":{"date-parts":[["2020"]]}}}],"schema":"https://github.com/citation-style-language/schema/raw/master/csl-citation.json"} </w:instrText>
      </w:r>
      <w:r w:rsidRPr="00884FAA">
        <w:fldChar w:fldCharType="separate"/>
      </w:r>
      <w:r w:rsidRPr="00502CD1">
        <w:t>(Australian Institute of Health and Welfare, 2020a)</w:t>
      </w:r>
      <w:r w:rsidRPr="00884FAA">
        <w:fldChar w:fldCharType="end"/>
      </w:r>
      <w:r w:rsidRPr="00884FAA">
        <w:t xml:space="preserve">. This includes a reporting framework for the assessment of health and wellbeing outcomes across </w:t>
      </w:r>
      <w:r w:rsidR="006D2482">
        <w:t>3</w:t>
      </w:r>
      <w:r w:rsidR="006D2482" w:rsidRPr="00884FAA">
        <w:t xml:space="preserve"> </w:t>
      </w:r>
      <w:r w:rsidRPr="00884FAA">
        <w:t>domains. The Health Performance Framework was developed as part of the implementation of the previous National Aboriginal and Torres Strait Islander Health Plan to provide an approach for the assessment of outcomes.</w:t>
      </w:r>
      <w:r w:rsidR="00AA35E2">
        <w:t xml:space="preserve"> </w:t>
      </w:r>
    </w:p>
    <w:p w14:paraId="07098750" w14:textId="77777777" w:rsidR="00502CD1" w:rsidRPr="00884FAA" w:rsidRDefault="00502CD1" w:rsidP="00502CD1">
      <w:r w:rsidRPr="00884FAA">
        <w:lastRenderedPageBreak/>
        <w:t xml:space="preserve">The Health Performance Framework monitors progress in Aboriginal and Torres Strait Islander health outcomes, health system performance, and the broader determinants of health. There are </w:t>
      </w:r>
      <w:r>
        <w:t>3</w:t>
      </w:r>
      <w:r w:rsidRPr="00884FAA">
        <w:t xml:space="preserve"> tiers of performance measures under the Health Performance Framework.</w:t>
      </w:r>
    </w:p>
    <w:p w14:paraId="1398C9B4" w14:textId="77777777" w:rsidR="00502CD1" w:rsidRPr="00502CD1" w:rsidRDefault="00502CD1" w:rsidP="00580736">
      <w:pPr>
        <w:numPr>
          <w:ilvl w:val="0"/>
          <w:numId w:val="19"/>
        </w:numPr>
        <w:spacing w:after="120"/>
      </w:pPr>
      <w:r w:rsidRPr="00502CD1">
        <w:t>Tier 1 – Health Status and Outcomes which includes health conditions, human function, life expectancy, wellbeing, and deaths.</w:t>
      </w:r>
    </w:p>
    <w:p w14:paraId="677EB65C" w14:textId="77777777" w:rsidR="00502CD1" w:rsidRPr="00502CD1" w:rsidRDefault="00502CD1" w:rsidP="00580736">
      <w:pPr>
        <w:numPr>
          <w:ilvl w:val="0"/>
          <w:numId w:val="19"/>
        </w:numPr>
        <w:spacing w:after="120"/>
      </w:pPr>
      <w:r w:rsidRPr="00502CD1">
        <w:t xml:space="preserve">Tier 2 – Determinants of Health which includes assessment of environmental factors, socio-economic factors, community capacity, health behaviours, and person-related factors. </w:t>
      </w:r>
    </w:p>
    <w:p w14:paraId="0326DB91" w14:textId="77777777" w:rsidR="00502CD1" w:rsidRPr="00502CD1" w:rsidRDefault="00502CD1" w:rsidP="00580736">
      <w:pPr>
        <w:numPr>
          <w:ilvl w:val="0"/>
          <w:numId w:val="19"/>
        </w:numPr>
        <w:spacing w:after="120"/>
      </w:pPr>
      <w:r w:rsidRPr="00502CD1">
        <w:t xml:space="preserve">Tier 3 – Health System Performance, which includes assessment of the effectiveness, responsiveness, accessibility, continuity, capability, and sustainability of care. </w:t>
      </w:r>
    </w:p>
    <w:p w14:paraId="04C1EB9F" w14:textId="77777777" w:rsidR="00502CD1" w:rsidRPr="00884FAA" w:rsidRDefault="00502CD1" w:rsidP="00502CD1">
      <w:r w:rsidRPr="00884FAA">
        <w:t xml:space="preserve">An annual report is published against the measures in the Health Performance Framework. The </w:t>
      </w:r>
      <w:r>
        <w:t>AIHW</w:t>
      </w:r>
      <w:r w:rsidRPr="00884FAA">
        <w:t xml:space="preserve"> also prepares reports based on the Health Performance Framework. </w:t>
      </w:r>
    </w:p>
    <w:p w14:paraId="1E78F11B" w14:textId="77777777" w:rsidR="00502CD1" w:rsidRPr="00411637" w:rsidRDefault="00502CD1" w:rsidP="004A0CA8">
      <w:pPr>
        <w:pStyle w:val="Heading4"/>
        <w:spacing w:before="240"/>
        <w:ind w:left="1134" w:hanging="1134"/>
      </w:pPr>
      <w:r w:rsidRPr="00411637">
        <w:t>Cultural Respect Framework 2016-2026 for Aboriginal and Torres Strait Islander Health: A national approach to building a culturally respectful health system</w:t>
      </w:r>
    </w:p>
    <w:p w14:paraId="20C66813" w14:textId="495DD5C4" w:rsidR="00502CD1" w:rsidRPr="00884FAA" w:rsidRDefault="00502CD1" w:rsidP="00502CD1">
      <w:r w:rsidRPr="00884FAA">
        <w:t>The Cultural Respect Framework was developed by the Australian Health Ministers’ Advisory Council’s National Aboriginal and Torres Strait Islander Health Standing Committee</w:t>
      </w:r>
      <w:r w:rsidR="007074E8">
        <w:t xml:space="preserve"> in 2016</w:t>
      </w:r>
      <w:r w:rsidRPr="00884FAA">
        <w:t xml:space="preserve">. </w:t>
      </w:r>
    </w:p>
    <w:p w14:paraId="7693723C" w14:textId="614A5DD8" w:rsidR="00502CD1" w:rsidRPr="00884FAA" w:rsidRDefault="00502CD1" w:rsidP="00502CD1">
      <w:r w:rsidRPr="00884FAA">
        <w:t>The aim of the Cultural Respect Framework is to support the corporate health governance, organisational management, and delivery of the Australian health system to further embed safe, accessible, and culturally responsive services</w:t>
      </w:r>
      <w:r>
        <w:t>. The Cultural Respect Framework includes</w:t>
      </w:r>
      <w:r w:rsidRPr="00884FAA">
        <w:t xml:space="preserve"> </w:t>
      </w:r>
      <w:r w:rsidR="006D2482">
        <w:t>6</w:t>
      </w:r>
      <w:r w:rsidR="006D2482" w:rsidRPr="00884FAA">
        <w:t xml:space="preserve"> </w:t>
      </w:r>
      <w:r w:rsidRPr="00884FAA">
        <w:t>domains and focus areas to support culturally accessible, responsive, and safe health service delivery. These are to:</w:t>
      </w:r>
    </w:p>
    <w:p w14:paraId="11925B60" w14:textId="77777777" w:rsidR="00502CD1" w:rsidRPr="00502CD1" w:rsidRDefault="00502CD1" w:rsidP="00580736">
      <w:pPr>
        <w:numPr>
          <w:ilvl w:val="0"/>
          <w:numId w:val="19"/>
        </w:numPr>
        <w:spacing w:after="120"/>
      </w:pPr>
      <w:r w:rsidRPr="00502CD1">
        <w:t>acknowledge the crucial role of the entire health sector in providing leadership and commitment to cultural respect</w:t>
      </w:r>
    </w:p>
    <w:p w14:paraId="36C83F94" w14:textId="77777777" w:rsidR="00502CD1" w:rsidRPr="00502CD1" w:rsidRDefault="00502CD1" w:rsidP="00580736">
      <w:pPr>
        <w:numPr>
          <w:ilvl w:val="0"/>
          <w:numId w:val="19"/>
        </w:numPr>
        <w:spacing w:after="120"/>
      </w:pPr>
      <w:r w:rsidRPr="00502CD1">
        <w:t xml:space="preserve">recognise that communication is the foundation for the delivery of accessible, responsive and safe health care </w:t>
      </w:r>
    </w:p>
    <w:p w14:paraId="3B3BD21B" w14:textId="77777777" w:rsidR="00502CD1" w:rsidRPr="00502CD1" w:rsidRDefault="00502CD1" w:rsidP="00580736">
      <w:pPr>
        <w:numPr>
          <w:ilvl w:val="0"/>
          <w:numId w:val="19"/>
        </w:numPr>
        <w:spacing w:after="120"/>
      </w:pPr>
      <w:r w:rsidRPr="00502CD1">
        <w:t xml:space="preserve">support the fact that effective, culturally appropriate service delivery is premised on a highly skilled and capable workforce </w:t>
      </w:r>
    </w:p>
    <w:p w14:paraId="00F81846" w14:textId="77777777" w:rsidR="00502CD1" w:rsidRPr="00502CD1" w:rsidRDefault="00502CD1" w:rsidP="00580736">
      <w:pPr>
        <w:numPr>
          <w:ilvl w:val="0"/>
          <w:numId w:val="19"/>
        </w:numPr>
        <w:spacing w:after="120"/>
      </w:pPr>
      <w:r w:rsidRPr="00502CD1">
        <w:t xml:space="preserve">recognise the importance of Aboriginal and Torres Strait Islander consumer participation and engagement </w:t>
      </w:r>
    </w:p>
    <w:p w14:paraId="48C7ED53" w14:textId="77777777" w:rsidR="00502CD1" w:rsidRPr="00502CD1" w:rsidRDefault="00502CD1" w:rsidP="00580736">
      <w:pPr>
        <w:numPr>
          <w:ilvl w:val="0"/>
          <w:numId w:val="19"/>
        </w:numPr>
        <w:spacing w:after="120"/>
      </w:pPr>
      <w:r w:rsidRPr="00502CD1">
        <w:t xml:space="preserve">acknowledge that meaningful and effective partnerships and feedback from Aboriginal and Torres Strait Islander people and organisations underpin health equality </w:t>
      </w:r>
    </w:p>
    <w:p w14:paraId="38E87653" w14:textId="77777777" w:rsidR="00502CD1" w:rsidRPr="00502CD1" w:rsidRDefault="00502CD1" w:rsidP="00580736">
      <w:pPr>
        <w:numPr>
          <w:ilvl w:val="0"/>
          <w:numId w:val="19"/>
        </w:numPr>
        <w:spacing w:after="120"/>
      </w:pPr>
      <w:r w:rsidRPr="00502CD1">
        <w:t xml:space="preserve">recognise that these efforts are part of an ongoing journey, informed by good data and evidence. </w:t>
      </w:r>
    </w:p>
    <w:p w14:paraId="6AC46F6E" w14:textId="77777777" w:rsidR="008C3A27" w:rsidRDefault="008C3A27">
      <w:pPr>
        <w:jc w:val="left"/>
        <w:rPr>
          <w:b/>
          <w:bCs/>
          <w:color w:val="9E6047" w:themeColor="accent3"/>
          <w:kern w:val="28"/>
          <w:sz w:val="28"/>
          <w:szCs w:val="28"/>
        </w:rPr>
      </w:pPr>
      <w:r>
        <w:br w:type="page"/>
      </w:r>
    </w:p>
    <w:p w14:paraId="3A65B826" w14:textId="2FABBED3" w:rsidR="00502CD1" w:rsidRPr="00411637" w:rsidRDefault="00502CD1" w:rsidP="004A0CA8">
      <w:pPr>
        <w:pStyle w:val="Heading4"/>
        <w:spacing w:before="240"/>
        <w:ind w:left="1134" w:hanging="1134"/>
      </w:pPr>
      <w:r w:rsidRPr="00411637">
        <w:lastRenderedPageBreak/>
        <w:t>Other policy mechanisms and reform processes</w:t>
      </w:r>
    </w:p>
    <w:p w14:paraId="6B564E49" w14:textId="77F4F768" w:rsidR="00502CD1" w:rsidRPr="00884FAA" w:rsidRDefault="00502CD1" w:rsidP="00502CD1">
      <w:r w:rsidRPr="00884FAA">
        <w:t>There are other policy and reform processes that shape and influence the policy, operational, and governance landscape for the administration and governance of the IAHP. This includes the establishment of the National Indigenous Australians Agency with a clear mandate to coordinate effort to implement the National Agreement, the internal governance and accountability processes supporting the National Agreement on Closing the Gap, and the implementation of the Health Plan, the taskforce examining the Medicare system.</w:t>
      </w:r>
      <w:r w:rsidR="00AA35E2">
        <w:t xml:space="preserve"> </w:t>
      </w:r>
    </w:p>
    <w:p w14:paraId="69064778" w14:textId="77777777" w:rsidR="00502CD1" w:rsidRPr="00884FAA" w:rsidRDefault="00502CD1" w:rsidP="00502CD1">
      <w:r w:rsidRPr="00884FAA">
        <w:t xml:space="preserve">More generally, there is a constitutional change process to create an Indigenous voice to Parliament and other governance and policy commitments relating to growing and supporting the Aboriginal and Torres Strait Islander workforce in the Commonwealth Public Service. </w:t>
      </w:r>
    </w:p>
    <w:p w14:paraId="30F0B7A9" w14:textId="77777777" w:rsidR="00502CD1" w:rsidRPr="00502CD1" w:rsidRDefault="00502CD1" w:rsidP="007C6F7A">
      <w:pPr>
        <w:pStyle w:val="Heading5"/>
      </w:pPr>
      <w:r w:rsidRPr="00502CD1">
        <w:t xml:space="preserve">Establishment of the National Indigenous Australians Agency </w:t>
      </w:r>
    </w:p>
    <w:p w14:paraId="1DC2ABE8" w14:textId="77777777" w:rsidR="00502CD1" w:rsidRPr="00502CD1" w:rsidRDefault="00502CD1" w:rsidP="00502CD1">
      <w:r w:rsidRPr="00502CD1">
        <w:t>The National Indigenous Australians Agency (NIAA) was established in 2019. The functions of the NIAA include to:</w:t>
      </w:r>
    </w:p>
    <w:p w14:paraId="5049B122" w14:textId="77777777" w:rsidR="00502CD1" w:rsidRPr="00502CD1" w:rsidRDefault="00502CD1" w:rsidP="00580736">
      <w:pPr>
        <w:numPr>
          <w:ilvl w:val="0"/>
          <w:numId w:val="19"/>
        </w:numPr>
        <w:spacing w:after="120"/>
      </w:pPr>
      <w:r w:rsidRPr="00502CD1">
        <w:t xml:space="preserve">lead and coordinate Commonwealth policy development, program design and implementation, and service delivery for Aboriginal and Torres Strait Islander people </w:t>
      </w:r>
    </w:p>
    <w:p w14:paraId="361D34A0" w14:textId="77777777" w:rsidR="00502CD1" w:rsidRPr="00502CD1" w:rsidRDefault="00502CD1" w:rsidP="00580736">
      <w:pPr>
        <w:numPr>
          <w:ilvl w:val="0"/>
          <w:numId w:val="19"/>
        </w:numPr>
        <w:spacing w:after="120"/>
      </w:pPr>
      <w:r w:rsidRPr="00502CD1">
        <w:t>provide advice to the Prime Minister and the Minister for Indigenous Australians on whole-of-government priorities for Aboriginal and Torres Strait Islander people</w:t>
      </w:r>
    </w:p>
    <w:p w14:paraId="1978BEB6" w14:textId="77777777" w:rsidR="00502CD1" w:rsidRPr="00502CD1" w:rsidRDefault="00502CD1" w:rsidP="00580736">
      <w:pPr>
        <w:numPr>
          <w:ilvl w:val="0"/>
          <w:numId w:val="19"/>
        </w:numPr>
        <w:spacing w:after="120"/>
      </w:pPr>
      <w:r w:rsidRPr="00502CD1">
        <w:t>lead and coordinate the development and implementation of Australia’s Closing the Gap targets in partnership with Indigenous Australians</w:t>
      </w:r>
    </w:p>
    <w:p w14:paraId="483904C3" w14:textId="77777777" w:rsidR="00502CD1" w:rsidRPr="00502CD1" w:rsidRDefault="00502CD1" w:rsidP="00414F08">
      <w:pPr>
        <w:numPr>
          <w:ilvl w:val="0"/>
          <w:numId w:val="19"/>
        </w:numPr>
        <w:ind w:left="714" w:hanging="357"/>
      </w:pPr>
      <w:r w:rsidRPr="00502CD1">
        <w:t xml:space="preserve">lead Commonwealth activities to promote reconciliation. </w:t>
      </w:r>
    </w:p>
    <w:p w14:paraId="4E7892F7" w14:textId="77777777" w:rsidR="00502CD1" w:rsidRPr="00502CD1" w:rsidRDefault="00502CD1" w:rsidP="00502CD1">
      <w:r w:rsidRPr="00502CD1">
        <w:t>Within the structure of the NIAA there are specific role holders dedicated to (</w:t>
      </w:r>
      <w:r>
        <w:t>i</w:t>
      </w:r>
      <w:r w:rsidRPr="00502CD1">
        <w:t>) Closing the Gap and (ii) Health and Wellbeing.</w:t>
      </w:r>
    </w:p>
    <w:p w14:paraId="02AAFDAD" w14:textId="60A245AF" w:rsidR="00502CD1" w:rsidRPr="00502CD1" w:rsidRDefault="00502CD1" w:rsidP="00502CD1">
      <w:r w:rsidRPr="00502CD1">
        <w:t xml:space="preserve">The NIAA includes an Aboriginal and Torres Strait Islander health policy function and a health and wellbeing programs function. The NIAA funds some of the same organisations </w:t>
      </w:r>
      <w:r w:rsidR="00B35A3D">
        <w:t>funded by the department under the IAHP</w:t>
      </w:r>
      <w:r w:rsidRPr="00502CD1">
        <w:t>. This includes funding for Aboriginal and Torres Strait Islander mental health and alcohol and drug programs. The NIAA also funds employment, housing and disability programs and activities.</w:t>
      </w:r>
    </w:p>
    <w:p w14:paraId="74D2978F" w14:textId="77777777" w:rsidR="00502CD1" w:rsidRPr="00502CD1" w:rsidRDefault="00502CD1" w:rsidP="00392AA4">
      <w:pPr>
        <w:pStyle w:val="Heading5"/>
      </w:pPr>
      <w:r w:rsidRPr="00502CD1">
        <w:t>Internal departmental policy and governance mechanisms</w:t>
      </w:r>
    </w:p>
    <w:p w14:paraId="4E0D2E41" w14:textId="0527D604" w:rsidR="00502CD1" w:rsidRPr="00502CD1" w:rsidRDefault="00502CD1" w:rsidP="00502CD1">
      <w:r w:rsidRPr="00502CD1">
        <w:t xml:space="preserve">The </w:t>
      </w:r>
      <w:r w:rsidR="00B35A3D">
        <w:t>department</w:t>
      </w:r>
      <w:r w:rsidRPr="00502CD1">
        <w:t xml:space="preserve"> has formed a Closing the Gap Steering Committee to lead structural change required to align its operations and services with the Priority Reforms in the National Agreement on Closing the Gap. This includes reviewing and driving implementation of the department's Closing the Gap Framework for Action, and decision</w:t>
      </w:r>
      <w:r w:rsidR="00E00590">
        <w:t>-</w:t>
      </w:r>
      <w:r w:rsidRPr="00502CD1">
        <w:t xml:space="preserve">making about funding allocations and resourcing to support Closing the Gap activities. </w:t>
      </w:r>
    </w:p>
    <w:p w14:paraId="6AB45458" w14:textId="77777777" w:rsidR="00502CD1" w:rsidRPr="00502CD1" w:rsidRDefault="00502CD1" w:rsidP="00502CD1">
      <w:r w:rsidRPr="00502CD1">
        <w:t xml:space="preserve">The Steering Committee includes membership from departmental executives (Deputy Secretaries and First Assistant Secretaries) across the department and met for the first time in November 2022. </w:t>
      </w:r>
    </w:p>
    <w:p w14:paraId="2314A0EB" w14:textId="77777777" w:rsidR="00502CD1" w:rsidRPr="00502CD1" w:rsidRDefault="00502CD1" w:rsidP="00502CD1">
      <w:r>
        <w:lastRenderedPageBreak/>
        <w:t>The</w:t>
      </w:r>
      <w:r w:rsidRPr="00884FAA">
        <w:t xml:space="preserve"> department is </w:t>
      </w:r>
      <w:r>
        <w:t xml:space="preserve">also </w:t>
      </w:r>
      <w:r w:rsidRPr="00884FAA">
        <w:t xml:space="preserve">currently working on </w:t>
      </w:r>
      <w:r>
        <w:t xml:space="preserve">other reform activities, including </w:t>
      </w:r>
      <w:r w:rsidRPr="00884FAA">
        <w:t>an investment strategy.</w:t>
      </w:r>
      <w:r w:rsidRPr="00502CD1">
        <w:t xml:space="preserve"> </w:t>
      </w:r>
    </w:p>
    <w:p w14:paraId="68A02F32" w14:textId="77777777" w:rsidR="00502CD1" w:rsidRPr="00502CD1" w:rsidRDefault="00502CD1" w:rsidP="00392AA4">
      <w:pPr>
        <w:pStyle w:val="Heading5"/>
      </w:pPr>
      <w:r w:rsidRPr="00502CD1">
        <w:t>Recommendations of the Strengthening Medicare Taskforce</w:t>
      </w:r>
    </w:p>
    <w:p w14:paraId="643F7AF6" w14:textId="1C467DB0" w:rsidR="00502CD1" w:rsidRPr="00B709DF" w:rsidRDefault="00502CD1" w:rsidP="00502CD1">
      <w:r w:rsidRPr="00502CD1">
        <w:t xml:space="preserve">In December 2022, the Strengthening Medicare Taskforce released a report </w:t>
      </w:r>
      <w:r w:rsidRPr="00502CD1">
        <w:fldChar w:fldCharType="begin"/>
      </w:r>
      <w:r w:rsidR="00F8760E">
        <w:instrText xml:space="preserve"> ADDIN ZOTERO_ITEM CSL_CITATION {"citationID":"cPAJvnYa","properties":{"formattedCitation":"(Australian Department of Health and Aged Care, 2022c)","plainCitation":"(Australian Department of Health and Aged Care, 2022c)","noteIndex":0},"citationItems":[{"id":3772,"uris":["http://zotero.org/groups/5010721/items/WFV3SBYZ",["http://zotero.org/groups/5010721/items/WFV3SBYZ"],["http://zotero.org/groups/5010721/items/WFV3SBYZ",["http://zotero.org/groups/5010721/items/WFV3SBYZ"]]],"itemData":{"id":3772,"type":"report","event-place":"Canberra","language":"en","publisher":"Commonwealth of Australia","publisher-place":"Canberra","source":"Zotero","title":"Strengthening Medicare Taskforce Report","URL":"https://www.health.gov.au/resources/publications/strengthening-medicare-taskforce-report?language=en","author":[{"literal":"Australian Department of Health and Aged Care"}],"issued":{"date-parts":[["2022",12]]}}}],"schema":"https://github.com/citation-style-language/schema/raw/master/csl-citation.json"} </w:instrText>
      </w:r>
      <w:r w:rsidRPr="00502CD1">
        <w:fldChar w:fldCharType="separate"/>
      </w:r>
      <w:r w:rsidR="00685726" w:rsidRPr="00685726">
        <w:rPr>
          <w:rFonts w:ascii="Arial" w:hAnsi="Arial" w:cs="Arial"/>
        </w:rPr>
        <w:t>(Australian Department of Health and Aged Care, 2022c)</w:t>
      </w:r>
      <w:r w:rsidRPr="00502CD1">
        <w:fldChar w:fldCharType="end"/>
      </w:r>
      <w:r w:rsidRPr="00502CD1">
        <w:t xml:space="preserve"> outlining the most pressing investments in </w:t>
      </w:r>
      <w:r w:rsidR="003279C5">
        <w:t>PHC</w:t>
      </w:r>
      <w:r w:rsidRPr="00502CD1">
        <w:t xml:space="preserve"> to support the </w:t>
      </w:r>
      <w:r w:rsidRPr="00B709DF">
        <w:t>implementation of the Primary Health Care 10 Year Plan. The Taskforce articulated a vision for future-focused health care through person-centred PHC, supported by additional funding and reform. This vision is of a primary care system where:</w:t>
      </w:r>
    </w:p>
    <w:p w14:paraId="725D1B7C" w14:textId="2B607662" w:rsidR="00502CD1" w:rsidRPr="00502CD1" w:rsidRDefault="00502CD1" w:rsidP="00580736">
      <w:pPr>
        <w:numPr>
          <w:ilvl w:val="0"/>
          <w:numId w:val="19"/>
        </w:numPr>
        <w:spacing w:after="120"/>
      </w:pPr>
      <w:r w:rsidRPr="00B709DF">
        <w:t>all Australians are supported to be healthy and well, through access to equitable, affordable, person-centred primary care</w:t>
      </w:r>
      <w:r w:rsidRPr="00502CD1">
        <w:t xml:space="preserve"> services, regardless of where they live and when they need care, with financing that supports sustainable PHC, and a system that is simple and easy to navigate for people and their health care providers</w:t>
      </w:r>
    </w:p>
    <w:p w14:paraId="78F4685E" w14:textId="0907FD78" w:rsidR="00502CD1" w:rsidRPr="00502CD1" w:rsidRDefault="00502CD1" w:rsidP="00580736">
      <w:pPr>
        <w:numPr>
          <w:ilvl w:val="0"/>
          <w:numId w:val="19"/>
        </w:numPr>
        <w:spacing w:after="120"/>
      </w:pPr>
      <w:r w:rsidRPr="00502CD1">
        <w:t xml:space="preserve">coordinated multidisciplinary teams </w:t>
      </w:r>
      <w:r w:rsidRPr="00B709DF">
        <w:t>of health care professionals work to their full scope of practice to provide quality person-centred continuity of care, including prevention and early intervention; and primary ca</w:t>
      </w:r>
      <w:r w:rsidRPr="00502CD1">
        <w:t>re is incentivised to improve population health, work with other parts of the health and care systems, under appropriate clinical governance, to reduce fragmentation and duplication and deliver better health outcomes</w:t>
      </w:r>
    </w:p>
    <w:p w14:paraId="5354D5F5" w14:textId="77777777" w:rsidR="00502CD1" w:rsidRPr="00502CD1" w:rsidRDefault="00502CD1" w:rsidP="00580736">
      <w:pPr>
        <w:numPr>
          <w:ilvl w:val="0"/>
          <w:numId w:val="19"/>
        </w:numPr>
        <w:spacing w:after="120"/>
      </w:pPr>
      <w:r w:rsidRPr="00502CD1">
        <w:t xml:space="preserve">data and digital technology are better used to inform value-based care, safely share critical patient information to support better diagnosis and health care management, empower people to participate in their own health care and drive insights for planning, resourcing, and continuous quality improvement </w:t>
      </w:r>
    </w:p>
    <w:p w14:paraId="78A102EC" w14:textId="77777777" w:rsidR="00502CD1" w:rsidRPr="00502CD1" w:rsidRDefault="00502CD1" w:rsidP="00414F08">
      <w:pPr>
        <w:numPr>
          <w:ilvl w:val="0"/>
          <w:numId w:val="19"/>
        </w:numPr>
        <w:ind w:left="714" w:hanging="357"/>
      </w:pPr>
      <w:r w:rsidRPr="00502CD1">
        <w:t xml:space="preserve">the PHC sector is well supported to embrace organisational and cultural change, and to support innovation, consumers are empowered to have a voice in the design of services to ensure they meet people’s needs, particularly for disadvantaged groups, and all levels of government work together to ensure the benefits of reforms are optimised. </w:t>
      </w:r>
    </w:p>
    <w:p w14:paraId="53FA1FA7" w14:textId="29081926" w:rsidR="00502CD1" w:rsidRPr="00502CD1" w:rsidRDefault="00502CD1" w:rsidP="00502CD1">
      <w:r w:rsidRPr="00502CD1">
        <w:t xml:space="preserve">To support increased access to PHC, the Taskforce recommended growing and investing in ACCHOs to commission primary care services for their communities, building on their expertise and networks in local community need </w:t>
      </w:r>
      <w:r w:rsidRPr="00502CD1">
        <w:fldChar w:fldCharType="begin"/>
      </w:r>
      <w:r w:rsidR="00F8760E">
        <w:instrText xml:space="preserve"> ADDIN ZOTERO_ITEM CSL_CITATION {"citationID":"EIirNSHw","properties":{"formattedCitation":"(Australian Department of Health and Aged Care, 2022c, p. 5)","plainCitation":"(Australian Department of Health and Aged Care, 2022c, p. 5)","noteIndex":0},"citationItems":[{"id":3772,"uris":["http://zotero.org/groups/5010721/items/WFV3SBYZ",["http://zotero.org/groups/5010721/items/WFV3SBYZ"],["http://zotero.org/groups/5010721/items/WFV3SBYZ",["http://zotero.org/groups/5010721/items/WFV3SBYZ"]]],"itemData":{"id":3772,"type":"report","event-place":"Canberra","language":"en","publisher":"Commonwealth of Australia","publisher-place":"Canberra","source":"Zotero","title":"Strengthening Medicare Taskforce Report","URL":"https://www.health.gov.au/resources/publications/strengthening-medicare-taskforce-report?language=en","author":[{"literal":"Australian Department of Health and Aged Care"}],"issued":{"date-parts":[["2022",12]]}},"locator":"5","label":"page"}],"schema":"https://github.com/citation-style-language/schema/raw/master/csl-citation.json"} </w:instrText>
      </w:r>
      <w:r w:rsidRPr="00502CD1">
        <w:fldChar w:fldCharType="separate"/>
      </w:r>
      <w:r w:rsidR="00685726" w:rsidRPr="00685726">
        <w:rPr>
          <w:rFonts w:ascii="Arial" w:hAnsi="Arial" w:cs="Arial"/>
        </w:rPr>
        <w:t>(Australian Department of Health and Aged Care, 2022c, p. 5)</w:t>
      </w:r>
      <w:r w:rsidRPr="00502CD1">
        <w:fldChar w:fldCharType="end"/>
      </w:r>
      <w:r w:rsidRPr="00502CD1">
        <w:t xml:space="preserve">. The Taskforce also recognised the value of a diverse health workforce that can support team-based models of primary care and care coordination. It recommended that work to build the workforce, including Aboriginal and Torres Strait Islander </w:t>
      </w:r>
      <w:r w:rsidR="007C554E">
        <w:t>H</w:t>
      </w:r>
      <w:r w:rsidRPr="00502CD1">
        <w:t xml:space="preserve">ealth </w:t>
      </w:r>
      <w:r w:rsidR="007C554E">
        <w:t>W</w:t>
      </w:r>
      <w:r w:rsidRPr="00502CD1">
        <w:t xml:space="preserve">orkers, be fast tracked and that funding systems more effectively support team-based care models. It also identified ‘outer metropolitan’ as an area of need, in addition to rural and remote areas </w:t>
      </w:r>
      <w:r w:rsidRPr="00502CD1">
        <w:fldChar w:fldCharType="begin"/>
      </w:r>
      <w:r w:rsidR="00F8760E">
        <w:instrText xml:space="preserve"> ADDIN ZOTERO_ITEM CSL_CITATION {"citationID":"wvwwGZij","properties":{"formattedCitation":"(Australian Department of Health and Aged Care, 2022c)","plainCitation":"(Australian Department of Health and Aged Care, 2022c)","noteIndex":0},"citationItems":[{"id":3772,"uris":["http://zotero.org/groups/5010721/items/WFV3SBYZ",["http://zotero.org/groups/5010721/items/WFV3SBYZ"],["http://zotero.org/groups/5010721/items/WFV3SBYZ",["http://zotero.org/groups/5010721/items/WFV3SBYZ"]]],"itemData":{"id":3772,"type":"report","event-place":"Canberra","language":"en","publisher":"Commonwealth of Australia","publisher-place":"Canberra","source":"Zotero","title":"Strengthening Medicare Taskforce Report","URL":"https://www.health.gov.au/resources/publications/strengthening-medicare-taskforce-report?language=en","author":[{"literal":"Australian Department of Health and Aged Care"}],"issued":{"date-parts":[["2022",12]]}}}],"schema":"https://github.com/citation-style-language/schema/raw/master/csl-citation.json"} </w:instrText>
      </w:r>
      <w:r w:rsidRPr="00502CD1">
        <w:fldChar w:fldCharType="separate"/>
      </w:r>
      <w:r w:rsidR="00685726" w:rsidRPr="00685726">
        <w:rPr>
          <w:rFonts w:ascii="Arial" w:hAnsi="Arial" w:cs="Arial"/>
        </w:rPr>
        <w:t>(Australian Department of Health and Aged Care, 2022c)</w:t>
      </w:r>
      <w:r w:rsidRPr="00502CD1">
        <w:fldChar w:fldCharType="end"/>
      </w:r>
      <w:r w:rsidRPr="00502CD1">
        <w:t>.</w:t>
      </w:r>
    </w:p>
    <w:p w14:paraId="1EF3F05F" w14:textId="77777777" w:rsidR="00CF47D7" w:rsidRDefault="00CF47D7">
      <w:pPr>
        <w:jc w:val="left"/>
        <w:rPr>
          <w:rFonts w:cstheme="minorHAnsi"/>
          <w:b/>
          <w:bCs/>
          <w:color w:val="9E6047" w:themeColor="accent3"/>
          <w:sz w:val="24"/>
          <w:szCs w:val="24"/>
        </w:rPr>
      </w:pPr>
      <w:r>
        <w:br w:type="page"/>
      </w:r>
    </w:p>
    <w:p w14:paraId="3D9D36B0" w14:textId="5590615C" w:rsidR="00502CD1" w:rsidRPr="00502CD1" w:rsidRDefault="00502CD1" w:rsidP="00614481">
      <w:pPr>
        <w:pStyle w:val="Heading5"/>
        <w:ind w:left="0" w:firstLine="0"/>
      </w:pPr>
      <w:r w:rsidRPr="00502CD1">
        <w:lastRenderedPageBreak/>
        <w:t xml:space="preserve">Uluru Statement from the Heart and First Nations voice to Australian Parliament </w:t>
      </w:r>
    </w:p>
    <w:p w14:paraId="5347E2CA" w14:textId="7FFC764C" w:rsidR="00502CD1" w:rsidRPr="00502CD1" w:rsidRDefault="00502CD1" w:rsidP="00486C92">
      <w:r w:rsidRPr="00502CD1">
        <w:t>In 2017, Aboriginal and Torres Strait Islander leaders shared the Uluru Statement from the Heart</w:t>
      </w:r>
      <w:r w:rsidR="00D01B02">
        <w:t xml:space="preserve"> </w:t>
      </w:r>
      <w:r w:rsidR="00D01B02">
        <w:fldChar w:fldCharType="begin"/>
      </w:r>
      <w:r w:rsidR="00F8760E">
        <w:instrText xml:space="preserve"> ADDIN ZOTERO_ITEM CSL_CITATION {"citationID":"ztEAqJHh","properties":{"formattedCitation":"(Commonwealth of Australia, 2017b)","plainCitation":"(Commonwealth of Australia, 2017b)","noteIndex":0},"citationItems":[{"id":3911,"uris":["http://zotero.org/groups/5010721/items/ZQJAN6B2",["http://zotero.org/groups/5010721/items/ZQJAN6B2"]],"itemData":{"id":3911,"type":"report","event-place":"Canberra, ACT","publisher-place":"Canberra, ACT","title":"Referendum Council Final Report","URL":"https://ulurustatemdev.wpengine.com/wp-content/uploads/2022/01/Referendum_Council_Final_Report.pdf","author":[{"literal":"Commonwealth of Australia"}],"accessed":{"date-parts":[["2023",6,9]]},"issued":{"date-parts":[["2017"]]}}}],"schema":"https://github.com/citation-style-language/schema/raw/master/csl-citation.json"} </w:instrText>
      </w:r>
      <w:r w:rsidR="00D01B02">
        <w:fldChar w:fldCharType="separate"/>
      </w:r>
      <w:r w:rsidR="00D01B02" w:rsidRPr="00D01B02">
        <w:rPr>
          <w:rFonts w:ascii="Arial" w:hAnsi="Arial" w:cs="Arial"/>
        </w:rPr>
        <w:t>(Commonwealth of Australia, 2017b)</w:t>
      </w:r>
      <w:r w:rsidR="00D01B02">
        <w:fldChar w:fldCharType="end"/>
      </w:r>
      <w:r w:rsidRPr="00502CD1">
        <w:t>. The Statement from the Heart is a petition calling for a First Nations voice enshrined in the Australian Constitution and a Makarrata Commission to support truth telling and agreement-making.</w:t>
      </w:r>
      <w:r w:rsidR="00AA35E2">
        <w:t xml:space="preserve"> </w:t>
      </w:r>
    </w:p>
    <w:p w14:paraId="07D44BF5" w14:textId="77777777" w:rsidR="00502CD1" w:rsidRPr="00884FAA" w:rsidRDefault="00502CD1" w:rsidP="00502CD1">
      <w:r w:rsidRPr="00884FAA">
        <w:t>There are also state and territory processes relevant to voice, truth telling, and treaty, including the establishment of the First Peoples’ Assembly of Victoria to advance treaty negotiations and the Yoorrook Justice Commission for truth telling. In March 2023, South Australia became the first jurisdiction in Australia to create an Indigenous voice to parliament. South Australia’s First Nations Voice to Parliament will have the ability to speak on legislation that it chooses to at the second reading stage of a bill.</w:t>
      </w:r>
    </w:p>
    <w:p w14:paraId="7672B10B" w14:textId="5DB1497E" w:rsidR="00502CD1" w:rsidRPr="00884FAA" w:rsidRDefault="00502CD1" w:rsidP="00651D06">
      <w:pPr>
        <w:pStyle w:val="Heading3"/>
      </w:pPr>
      <w:r w:rsidRPr="00884FAA">
        <w:t xml:space="preserve">International standards and laws for primary health care </w:t>
      </w:r>
    </w:p>
    <w:p w14:paraId="28FEF84C" w14:textId="77777777" w:rsidR="00502CD1" w:rsidRPr="00884FAA" w:rsidRDefault="00502CD1" w:rsidP="00502CD1">
      <w:r w:rsidRPr="00884FAA">
        <w:t>The right to health is a fundamental human right recognised in international human rights laws and treaties. This includes the right to a system of health protection. Article 12 of the International Convention on Economic, Social and Cultural Rights recognises the right of everyone to the enjoyment of the highest attainable standard of physical and mental health. There are also health rights contained in the Convention on the Elimination of All Forms of Discrimination Against Women</w:t>
      </w:r>
      <w:r w:rsidRPr="005D1C41">
        <w:rPr>
          <w:rStyle w:val="FootnoteReference"/>
        </w:rPr>
        <w:footnoteReference w:id="6"/>
      </w:r>
      <w:r w:rsidRPr="00884FAA">
        <w:t xml:space="preserve"> the Convention on the Rights of the Child</w:t>
      </w:r>
      <w:r w:rsidRPr="005D1C41">
        <w:rPr>
          <w:rStyle w:val="FootnoteReference"/>
        </w:rPr>
        <w:footnoteReference w:id="7"/>
      </w:r>
      <w:r w:rsidRPr="00884FAA">
        <w:t xml:space="preserve"> and the Convention on the Rights of Persons with Disabilities.</w:t>
      </w:r>
      <w:r w:rsidRPr="005D1C41">
        <w:rPr>
          <w:rStyle w:val="FootnoteReference"/>
        </w:rPr>
        <w:footnoteReference w:id="8"/>
      </w:r>
    </w:p>
    <w:p w14:paraId="5888347B" w14:textId="77777777" w:rsidR="00502CD1" w:rsidRPr="00884FAA" w:rsidRDefault="00502CD1" w:rsidP="00502CD1">
      <w:r w:rsidRPr="00884FAA">
        <w:t>There are also additional, specific rights of Aboriginal and Torres Strait Islander peoples that relate to health and wellbeing and the provision of health care services. The relevant rights under the United Nations Declaration on the Rights of Indigenous Peoples (UNDRIP) are set out below.</w:t>
      </w:r>
    </w:p>
    <w:p w14:paraId="7C522759" w14:textId="77777777" w:rsidR="00502CD1" w:rsidRPr="00502CD1" w:rsidRDefault="00502CD1" w:rsidP="00580736">
      <w:pPr>
        <w:numPr>
          <w:ilvl w:val="0"/>
          <w:numId w:val="19"/>
        </w:numPr>
        <w:spacing w:after="120"/>
      </w:pPr>
      <w:r w:rsidRPr="00502CD1">
        <w:t xml:space="preserve">The right, without discrimination, to improvement of their economic and social conditions, including, inter alia, in the areas of education, employment, vocational training and retraining, housing, sanitation, health and social security. (Article 21) </w:t>
      </w:r>
    </w:p>
    <w:p w14:paraId="76BC8B46" w14:textId="77777777" w:rsidR="00502CD1" w:rsidRPr="00502CD1" w:rsidRDefault="00502CD1" w:rsidP="00580736">
      <w:pPr>
        <w:numPr>
          <w:ilvl w:val="0"/>
          <w:numId w:val="19"/>
        </w:numPr>
        <w:spacing w:after="120"/>
      </w:pPr>
      <w:r w:rsidRPr="00502CD1">
        <w:t xml:space="preserve">The right to determine and develop priorities and strategies for exercising their right to development. In particular, Indigenous peoples have the right to be actively involved in developing and determining health, housing and other economic and social </w:t>
      </w:r>
      <w:r w:rsidRPr="00502CD1">
        <w:lastRenderedPageBreak/>
        <w:t>programmes affecting them and, as far as possible, to administer such programmes through their own institutions. (Article 23)</w:t>
      </w:r>
    </w:p>
    <w:p w14:paraId="3A37E5B4" w14:textId="77777777" w:rsidR="00502CD1" w:rsidRPr="00502CD1" w:rsidRDefault="00502CD1" w:rsidP="00580736">
      <w:pPr>
        <w:numPr>
          <w:ilvl w:val="0"/>
          <w:numId w:val="19"/>
        </w:numPr>
        <w:spacing w:after="120"/>
      </w:pPr>
      <w:r w:rsidRPr="00502CD1">
        <w:t>The right to their traditional medicines and to maintain their health practices, including the conservation of their vital medicinal plants, animals and minerals. Indigenous individuals also have the right to access, without any discrimination, to all social and health services. (Article 24)</w:t>
      </w:r>
    </w:p>
    <w:p w14:paraId="0D740C2D" w14:textId="77777777" w:rsidR="00502CD1" w:rsidRPr="00502CD1" w:rsidRDefault="00502CD1" w:rsidP="00414F08">
      <w:pPr>
        <w:numPr>
          <w:ilvl w:val="0"/>
          <w:numId w:val="19"/>
        </w:numPr>
        <w:ind w:left="714" w:hanging="357"/>
      </w:pPr>
      <w:r w:rsidRPr="00502CD1">
        <w:t>An equal right to the enjoyment of the highest attainable standard of physical and mental health. States shall take the necessary steps with a view to achieving progressively the full realisation of this right. (Article 24)</w:t>
      </w:r>
    </w:p>
    <w:p w14:paraId="3803CF66" w14:textId="77777777" w:rsidR="00502CD1" w:rsidRPr="00884FAA" w:rsidRDefault="00502CD1" w:rsidP="00502CD1">
      <w:r w:rsidRPr="00884FAA">
        <w:t xml:space="preserve">These rights and responsibilities in international law assist to map existing requirements for access, quality, and safe health care for Aboriginal and Torres Strait Islander people. </w:t>
      </w:r>
    </w:p>
    <w:p w14:paraId="0538469D" w14:textId="77777777" w:rsidR="00502CD1" w:rsidRPr="00502CD1" w:rsidRDefault="00502CD1" w:rsidP="00502CD1">
      <w:r w:rsidRPr="00502CD1">
        <w:br w:type="page"/>
      </w:r>
    </w:p>
    <w:p w14:paraId="3647B14C" w14:textId="092C6329" w:rsidR="00967CA4" w:rsidRDefault="005F6DEB" w:rsidP="003D4A7C">
      <w:pPr>
        <w:pStyle w:val="Heading1"/>
      </w:pPr>
      <w:bookmarkStart w:id="50" w:name="_Ref137151633"/>
      <w:bookmarkStart w:id="51" w:name="_Toc137208884"/>
      <w:r>
        <w:lastRenderedPageBreak/>
        <w:t>Evaluation m</w:t>
      </w:r>
      <w:r w:rsidR="00DA7F2E">
        <w:t>ethodology</w:t>
      </w:r>
      <w:bookmarkEnd w:id="50"/>
      <w:bookmarkEnd w:id="51"/>
      <w:r w:rsidR="00DA7F2E">
        <w:t xml:space="preserve"> </w:t>
      </w:r>
    </w:p>
    <w:p w14:paraId="40566B4E" w14:textId="0EAFE876" w:rsidR="005F0446" w:rsidRPr="005F0446" w:rsidRDefault="000038BE" w:rsidP="005F0446">
      <w:r>
        <w:t xml:space="preserve">This section summarises the evaluation methodology. </w:t>
      </w:r>
      <w:r w:rsidR="00F505F5">
        <w:t>Further</w:t>
      </w:r>
      <w:r w:rsidR="005F0446">
        <w:t xml:space="preserve"> detail</w:t>
      </w:r>
      <w:r w:rsidR="00914914">
        <w:t>s</w:t>
      </w:r>
      <w:r w:rsidR="005F0446">
        <w:t xml:space="preserve"> about </w:t>
      </w:r>
      <w:r w:rsidR="00914914">
        <w:t xml:space="preserve">the </w:t>
      </w:r>
      <w:r>
        <w:t>methodo</w:t>
      </w:r>
      <w:r w:rsidR="00220062">
        <w:t xml:space="preserve">logical approach </w:t>
      </w:r>
      <w:r w:rsidR="00914914">
        <w:t>and the evaluation processes and activities are</w:t>
      </w:r>
      <w:r w:rsidR="005F0446">
        <w:t xml:space="preserve"> included </w:t>
      </w:r>
      <w:r w:rsidR="005F0446" w:rsidRPr="00B67E3F">
        <w:t xml:space="preserve">in </w:t>
      </w:r>
      <w:r w:rsidR="009B44F8" w:rsidRPr="00B67E3F">
        <w:t>Final Report Supporting Material</w:t>
      </w:r>
      <w:r w:rsidR="000E3803" w:rsidRPr="00B67E3F">
        <w:t>:</w:t>
      </w:r>
      <w:r w:rsidR="009B44F8" w:rsidRPr="00B67E3F">
        <w:t xml:space="preserve"> </w:t>
      </w:r>
      <w:r w:rsidR="005F0446" w:rsidRPr="00B67E3F">
        <w:t>Appendix C</w:t>
      </w:r>
      <w:r w:rsidR="00474A72" w:rsidRPr="00B67E3F">
        <w:t>.</w:t>
      </w:r>
    </w:p>
    <w:p w14:paraId="1DFAFF74" w14:textId="556C160C" w:rsidR="007437AA" w:rsidRDefault="007437AA" w:rsidP="0035030F">
      <w:pPr>
        <w:pStyle w:val="Heading2"/>
      </w:pPr>
      <w:bookmarkStart w:id="52" w:name="_Toc137208885"/>
      <w:r>
        <w:t>Overview</w:t>
      </w:r>
      <w:bookmarkEnd w:id="52"/>
      <w:r>
        <w:t xml:space="preserve"> </w:t>
      </w:r>
    </w:p>
    <w:p w14:paraId="6E47C89A" w14:textId="2CFDCEF0" w:rsidR="00C634C9" w:rsidRDefault="00C634C9" w:rsidP="00D607F2">
      <w:r w:rsidRPr="00C634C9">
        <w:t>The overall aim of the evaluation was to strengthen the appropriateness and effectiveness of comprehensive PHC systems for Aboriginal and Torres Strait Islander people and communities</w:t>
      </w:r>
      <w:r>
        <w:t xml:space="preserve">. </w:t>
      </w:r>
      <w:r w:rsidRPr="00884FAA">
        <w:t xml:space="preserve">In commissioning the evaluation, the </w:t>
      </w:r>
      <w:r>
        <w:t xml:space="preserve">department </w:t>
      </w:r>
      <w:r w:rsidRPr="00884FAA">
        <w:t>specified that the evaluation should take a whole-of-system, consumer-oriented lens, that included highly participatory evaluation practices to maximise system learning.</w:t>
      </w:r>
    </w:p>
    <w:p w14:paraId="5C880A9D" w14:textId="1558201F" w:rsidR="00573A83" w:rsidRDefault="00573A83" w:rsidP="00573A83">
      <w:r w:rsidRPr="00573A83">
        <w:t>The evaluation focused on evaluating</w:t>
      </w:r>
      <w:r w:rsidR="00063BBD">
        <w:t xml:space="preserve"> the</w:t>
      </w:r>
      <w:r w:rsidRPr="00573A83">
        <w:t xml:space="preserve"> IAHP as an ‘enabler, interactor and influencer’ in providing appropriate and effective comprehensive PHC for Aboriginal and Torres Strait Islander people. </w:t>
      </w:r>
    </w:p>
    <w:p w14:paraId="2BDE7683" w14:textId="0C73C284" w:rsidR="00D04674" w:rsidRDefault="00546016" w:rsidP="00D04674">
      <w:r w:rsidRPr="00546016">
        <w:t xml:space="preserve">The evaluation design </w:t>
      </w:r>
      <w:r>
        <w:t>was</w:t>
      </w:r>
      <w:r w:rsidRPr="00546016">
        <w:t xml:space="preserve"> grounded in the knowledges, values, experiences and aspirations of Aboriginal and Torres Strait Islander people. </w:t>
      </w:r>
      <w:r w:rsidR="00D04674" w:rsidRPr="00C6283A">
        <w:t xml:space="preserve">The evaluation used co-design approaches to </w:t>
      </w:r>
      <w:r w:rsidR="00511F06">
        <w:t xml:space="preserve">ensure </w:t>
      </w:r>
      <w:r w:rsidR="00D04674" w:rsidRPr="00C6283A">
        <w:t xml:space="preserve">the </w:t>
      </w:r>
      <w:r w:rsidR="00511F06">
        <w:t xml:space="preserve">design and implementation of the </w:t>
      </w:r>
      <w:r w:rsidR="00D04674" w:rsidRPr="00C6283A">
        <w:t xml:space="preserve">evaluation </w:t>
      </w:r>
      <w:r w:rsidR="004B071A">
        <w:t>was</w:t>
      </w:r>
      <w:r w:rsidR="00511F06">
        <w:t xml:space="preserve"> shaped by </w:t>
      </w:r>
      <w:r w:rsidR="00D04674" w:rsidRPr="00C6283A">
        <w:t>health sector</w:t>
      </w:r>
      <w:r w:rsidR="00511F06">
        <w:t xml:space="preserve"> expertise</w:t>
      </w:r>
      <w:r w:rsidR="00D04674" w:rsidRPr="00C6283A">
        <w:t>. Co-design processes facilitate</w:t>
      </w:r>
      <w:r w:rsidR="00D04674">
        <w:t>d</w:t>
      </w:r>
      <w:r w:rsidR="00D04674" w:rsidRPr="00C6283A">
        <w:t xml:space="preserve"> shared decision-making, knowledge sharing and translation throughout the evaluation. </w:t>
      </w:r>
      <w:r w:rsidR="003378F3" w:rsidRPr="00DC1639">
        <w:t>The</w:t>
      </w:r>
      <w:r w:rsidR="004C1649" w:rsidRPr="00DC1639">
        <w:t xml:space="preserve"> implementation of the</w:t>
      </w:r>
      <w:r w:rsidR="003378F3" w:rsidRPr="00DC1639">
        <w:t xml:space="preserve"> evaluation </w:t>
      </w:r>
      <w:r w:rsidR="004C1649" w:rsidRPr="00DC1639">
        <w:t xml:space="preserve">across </w:t>
      </w:r>
      <w:r w:rsidR="006D2482">
        <w:t>3</w:t>
      </w:r>
      <w:r w:rsidR="006D2482" w:rsidRPr="00DC1639">
        <w:t xml:space="preserve"> </w:t>
      </w:r>
      <w:r w:rsidR="003378F3" w:rsidRPr="00DC1639">
        <w:t>cycles</w:t>
      </w:r>
      <w:r w:rsidR="004C1649" w:rsidRPr="00DC1639">
        <w:t xml:space="preserve"> enabled </w:t>
      </w:r>
      <w:r w:rsidR="00AC198D" w:rsidRPr="00DC1639">
        <w:t xml:space="preserve">data collection and analysis to build and test the evidence base to support the evaluation findings. </w:t>
      </w:r>
    </w:p>
    <w:p w14:paraId="338B35B5" w14:textId="4C7A72E8" w:rsidR="00DA7827" w:rsidRDefault="00220015" w:rsidP="00D04674">
      <w:r>
        <w:rPr>
          <w:noProof/>
        </w:rPr>
        <mc:AlternateContent>
          <mc:Choice Requires="wps">
            <w:drawing>
              <wp:inline distT="0" distB="0" distL="0" distR="0" wp14:anchorId="1DC16252" wp14:editId="3741B9BB">
                <wp:extent cx="5666133" cy="1933575"/>
                <wp:effectExtent l="19050" t="19050" r="10795" b="28575"/>
                <wp:docPr id="911304577" name="Freeform: Shape 911304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66133" cy="1933575"/>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4E942CAD" w14:textId="77777777" w:rsidR="00220015" w:rsidRPr="00257859" w:rsidRDefault="00220015" w:rsidP="00220015">
                            <w:pPr>
                              <w:widowControl w:val="0"/>
                              <w:tabs>
                                <w:tab w:val="left" w:pos="809"/>
                                <w:tab w:val="left" w:pos="810"/>
                              </w:tabs>
                              <w:autoSpaceDE w:val="0"/>
                              <w:autoSpaceDN w:val="0"/>
                              <w:spacing w:before="122"/>
                              <w:jc w:val="left"/>
                              <w:rPr>
                                <w:b/>
                                <w:bCs/>
                                <w:color w:val="9E6047" w:themeColor="accent3"/>
                                <w:sz w:val="21"/>
                                <w:szCs w:val="21"/>
                              </w:rPr>
                            </w:pPr>
                            <w:r w:rsidRPr="00257859">
                              <w:rPr>
                                <w:b/>
                                <w:bCs/>
                                <w:color w:val="9E6047" w:themeColor="accent3"/>
                                <w:sz w:val="21"/>
                                <w:szCs w:val="21"/>
                              </w:rPr>
                              <w:t>A note about language</w:t>
                            </w:r>
                          </w:p>
                          <w:p w14:paraId="2582D246" w14:textId="77777777" w:rsidR="00220015" w:rsidRPr="00FC67F8" w:rsidRDefault="00220015" w:rsidP="00220015">
                            <w:pPr>
                              <w:widowControl w:val="0"/>
                              <w:tabs>
                                <w:tab w:val="left" w:pos="809"/>
                                <w:tab w:val="left" w:pos="810"/>
                              </w:tabs>
                              <w:autoSpaceDE w:val="0"/>
                              <w:autoSpaceDN w:val="0"/>
                              <w:spacing w:before="122"/>
                              <w:jc w:val="left"/>
                              <w:rPr>
                                <w:sz w:val="21"/>
                                <w:szCs w:val="21"/>
                              </w:rPr>
                            </w:pPr>
                            <w:r w:rsidRPr="00257859">
                              <w:rPr>
                                <w:sz w:val="21"/>
                                <w:szCs w:val="21"/>
                              </w:rPr>
                              <w:t>The findings and recommendations in this evaluation report are shaped by the expertise of Aboriginal and Torres Strait Islander people. While this report refers to people who contributed to this evaluation process as ‘participants’, the evaluation team recognises that Aboriginal and Torres Strait Islander people are the knowledge holders for what will improve health outcomes for Aboriginal and Torres Strait Islander people. The use of ‘participants’ in this report is not intended to diminish the leadership and expertise of Aboriginal and Torres Strait Islander people within their communities and throughout this evaluation process.</w:t>
                            </w:r>
                          </w:p>
                        </w:txbxContent>
                      </wps:txbx>
                      <wps:bodyPr rot="0" vert="horz" wrap="square" lIns="91440" tIns="45720" rIns="91440" bIns="45720" anchor="t" anchorCtr="0" upright="1">
                        <a:noAutofit/>
                      </wps:bodyPr>
                    </wps:wsp>
                  </a:graphicData>
                </a:graphic>
              </wp:inline>
            </w:drawing>
          </mc:Choice>
          <mc:Fallback>
            <w:pict>
              <v:shape w14:anchorId="1DC16252" id="Freeform: Shape 911304577" o:spid="_x0000_s1068" style="width:446.15pt;height:152.2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y97RMAAMtlAAAOAAAAZHJzL2Uyb0RvYy54bWysXW1v47gR/l6g/8Hwxxa9iKRESYvLFb27&#10;XlHg+gLU/QHexNkETeLU9m72+uv7DMlRRIWcEYp+WcXrMTmchzOcZ0ja3/7+69Pj5svhdH44Pl9v&#10;zTfNdnN4vjnePjx/ut7+c/fT74bt5nzZP9/uH4/Ph+vtL4fz9vff/fpX376+fDjY4/3x8fZw2qCR&#10;5/OH15fr7f3l8vLh6up8c3942p+/Ob4cnvHm3fH0tL/g5enT1e1p/4rWnx6vbNP4q9fj6fbldLw5&#10;nM/43x/jm9vvQvt3d4eby9/u7s6Hy+bxegvdLuHfU/j3I/179d23+w+fTvuX+4ebpMb+f9Diaf/w&#10;jE6npn7cX/abz6eHd009Pdycjufj3eWbm+PT1fHu7uHmEMaA0ZhmMZp/3O9fDmEsMM75ZTLT+f/X&#10;7M1fv/zj5e8nUv388vPx5l9nWOTq9eX8YXqHXpwhs/n4+pfjLTDcf74cw2C/3p2e6JMYxuZrsOkv&#10;k00PXy+bG/xn5703zm03N3jPjM51fUdWv9p/4I/ffD5f/nQ4hqb2X34+XyIot/grmPR287x/Qr87&#10;AHj39Ah8fvu7TbMxQ9NvjOvHBOIkZljsN1ebXbN53YzG+aWQZaHY1mg3ZjRLIagdO0RLBiL3G+d7&#10;njRTfy1Lhaas9WiroFbHYqRWW1HLs1Bqy5TU6lkILVlrKmrB82bWsn3bFtUaWYzUGipqmdz01GnB&#10;XGZu+bpiJre9s64rambm5t8ZW9NtYf8O43wPpZmb30KmjKXJAXC+q8yxOQY742u6LUBoXFG3OQYW&#10;MmXdbA5Ca5qxaDc7h2Fnqx6Qw2Bt0W52DgLJVHTLQWg7jxlScAI7h2GH5iremcNgydPfY2rnIJBM&#10;RbcchHbsgUJJtzkMO1vzBZfDYG05dMxBIJmybi4HoWtHBLaCbhRBp1C0czVfcDkMFuAX7ObmIJBM&#10;RbcchG40ZV9wcxh2ruYLLofBjENRtzkIJFPWrc1B8K6yFrRzGHZtzRfaHIaK3do5CHW7tTkIfqAZ&#10;UsC0ncOwQ3gu+0Kbw2Bd0RfaOQgkU7FbDkJvB6BQ0m0Ow66t+UKXw2ARpAvzrZuDQDJl3bochL6v&#10;+EI3h2HX1Xyhy2GwBqvM+xjSzUEgmYpuOQiDbX3Rbt0chl1X84UuhwE5Q1G3OQgkU9bN5yAMvivH&#10;Xj+HYedrvuBzGKzDKvPebn4OAslUdMtBGJu+bDc/h2Hna77gcxgsrYAF3eYgkExFtxyEEYtWEVM/&#10;h2Hna76AxDBLuJrietrPQbCQKevW5yCMI1yw5Kf9HIZdX/OFPofBumLsRWb+tsiQTEW3HATTtH05&#10;EennOOyAfDnA9TkOleCLPH+mXHXRGnIUTNM15exymAOxG2reMORAeFdEdZjDQDJlyw05DHXLDXMk&#10;dkPNHYYFEoZmyXt/GOY4GBKqqJcDAfUqnGGYY7HDElIGdlxg0Q3FpQsKvyFrSKis3phDUYd2nKOx&#10;A2+rqJejYZuhGE3GORZBqKLeAgy4Rdlnxzkcu7HmFmOOBjhLcZEY51gEobJ6plmg0bQ03sLab5o5&#10;IDt8sGJA0+SI2BGJaWH+mWYOSJCq6ZhDghmI5b2s4xwV6FhzEdPksDjXl7lrM0clSNV0zHHB4Co4&#10;g5/NJjZ0rPmJWdBrN9gyT8wIdpCq6Lig2OOA1b5oxgXHrpNskyODzovplMl4dpCqqZjjgtW3grSZ&#10;A7Mzda5tcmDcYIqx2pg5LEGqouKCcA/jUF5KTM64TZVyG5s7DDovBmyTse4gVVMxh2VosVYUgc6J&#10;t6kyb2NzXNB5MeyYjHwHqZqKOSxDUwPaznFBvafqLgsGDv8rrivGzeNYkKqouGDhfdeXmW4oZL7R&#10;cFPl4WZBxKtWzKi4ZEVUMOfZZY+4VgY6Z+OofNaC94KPo/Ny0HFzWIJUxYpLTo5SaVnFnJSbKis3&#10;C1petWJGzCUrLql5KHqVlsCcm5sqOTcLdu4GV7Zixs+DVM2Kubt0vS9Xq0w7x2VHWV05zTELkl61&#10;YkbTJSsuiHrnKoVIkzN1U6XqZsHV0XkxFTMZWw9SFSt2ubu0Q4V3mpywmypjR16aOSCWtnKu081h&#10;CVIVFRe0Hbl2Beict5sqcTcL5o6IV1Yx4+5BqqZivrq4Ggs1OX03Vf5uFgS+Ohf9fNGX5qJfwNK2&#10;laQ2Z/GmSuPNgse7gUjQe1JlMiYfpCpWXHB517Tl+ozJybypsnmzoPNVK2aEXrJin7uL7SvlVJNT&#10;elPl9GZB6uEI5Uwno/VBqmLFBbFHSb3iLjmxxy5hLS4uqD3sU3aXjNwHqZqKubsYXyMGOb03VX5v&#10;FgTfIXkqzsWM4Qepmoq5uxg3VuZiTvFNleObBcl3nS+rmLH8IFVRcUnzW1dRMaf5tD9bWQDHHBcH&#10;glu0Ysb0g1RNxdxdDNbzcqaTU31T5frY6MhWl+iAhaCTs31y07KKOBuRNYgkq0wMcOyABWkDGJ+r&#10;WNEuyb4Zi0Bj/3LWoCWpmoo5LFCxzABtk3F9KpqWgbYLro8gBFzeWxFbhTMVg1RNxRwWqFgGGkXm&#10;WYuwYi0Zswuqj6lTXF1sRvWDVEXFBdU3LfG1Qkprc6pP2zAVKy6oPvYTikbMmD4J1RRcOEtLYbao&#10;4ByVna0Sfbsk+qa4y4mpN8ME7jxTEKdPPvH5kv09Hzm5+fqczpzgr82ejjA14aDLy/FMB1x2cBWc&#10;Ytm5dIAFUnRApSKMSUvC/SphqErCQD2ejZGbJiiDOB+lUcRh2CAejspg7LI4VTNIHEWINcpQZSGI&#10;rxspsXwSBzlf0zptfAfxdUMl9hvE1w2VmCiJg0CuUYZYYRBfN1RiaCQOYrWmdWJLQXzdUIm5BPF1&#10;QyUWQeJI/tcoQxl9EF83VMquSRxJ8ZrWKdMN4uuGSllnEF83VMoASRyJ2xplKBsL4uuGSpkRicd1&#10;RfUmylKC+LqhUsYQxNcNNdTqSZ5q7GsGi12T2IHBIrjuA2m8Zm1wmqITVohVPVCFN4wBEXvVBzhC&#10;UZ103Qd40KharvsAD3plmAqVwTAGVPRW9cCRCin4ug9wrDIrg5XhaGVQe1qlEscrszJghfpOGDTq&#10;Mqt64JhlUCVZ9QGOWmZl2AqViKASKgjremCkV4auwNJDD9NBVnk5DZw5fmDloDl+mZUBzHAEM+CB&#10;qwbNMSwlx2oQw8Hd5KLgSKt64DhmwFjWfCDwELIS8Yd1H0g+Tdn8ug8kpCm3XvUBDmQ4FrTyAymQ&#10;Ueo56yGaN6WWJ5xJX55GP203OI3+kT6z//Cyv1BGyn9uXq+34QDz5v56G44f0ztPxy+H3THIXCg1&#10;TVkVHrHft/cfn+dyhugCzDyNiN/m50tojvEOx6ahPr/Lzyhl0zLO5uR3+RmlHNWV0WU4N11tq7Wg&#10;WqRYGgC3wc/YVteAM0KqlaWoVgQpNga3wc/YlqdiMvUoN9bTLhLEsBkYTcut8DO2hsPoUYynCr/N&#10;zyRGxSS0hi0sqbWRisMkZkUxLPrRapqcIcpEg5BNgq3R6CPTMsna8zOOAntzcRppcjg/vWa42F9J&#10;45CthwUn9ouNIcl8xhM5xXjRrCyXwtS0fvE4+ZnG26cMFLCI7Q2074B+p9WK2+Fnag/3IKKcPF66&#10;4RLl5PEiBMbZh+4l/SwMHe2i9BsqJPp8sZbKvJBDVBH75RjAoZ3Nwc9oFtsmLqm01lFxi6wsd4qt&#10;s6ic0qtPxGtKJlkrfibtetp3RrfAThwshwJlkuLobQKD1y/uj5+p3zElQcpkdhwMpvyQ2+FnbM/h&#10;BFgYhxIMnElOjjsR0nidpQ1G2EWOLc6lNF92SYeCWERNdjWH8yJRTtGuozMX0E5B13VUJSZ05RXI&#10;edpxIjllHD3t+EIOHidab0izakrSGS1+JtTGFMIVubahyiH1K4+jJTpHcsosaBEzgpwyC1qXnFKe&#10;zK2j3TDqVrQK9kJTr4rYkMCQxbq0TCq64ehhHKqinKcjERgDEJGgbT1tKNBY5YDR9mm1V1bTdkic&#10;UYNsTLmUItc1nNrIntuFM0EYh+IaHWrKYbzATrJLhxOAUU62X+dSVUkJaB1mS2gPZzHEfju63YVx&#10;KIG062hPi+QUu3japSY5pd8+ZTc4ICPqN9BpILSn4TbSbgPJyS7ejTyfZf18k+ysZMJIqqKdFfLg&#10;cR0g6IeAL43XY+WI45Dt4hGropw8r3w7Rnwx/cV+O9p0hv2UrNl7OvNBcor9+pTNwT3FfgfaGqP2&#10;NLk0r6ZSEi8F/IxLgh8RWMI8kOepH9kuchzqGzqdQfNKtnNv0jxVSEwftgJpvLJ+vU1rguKXvaPz&#10;YGhPydb7NhH3qcjEduNntB/cMuILmCXcetxhDv1q+mECrsGj94l1KOtH36fEaqpXsP78TOPghFOe&#10;Vv2Q3FzO/fsxoStP+qFJVFzGFqqlNVWee8MUW5T2bGKACB0SZoNLc0BZswaXsFB8Egdr49xT1iIQ&#10;wDgHlDQN+6VxTgFicRx9quIi2xXlhpQwTaVbniP8jHNl4Jih6Dc2aS1X1qwxXCugmCHjNoZT15Cj&#10;s+7SQFDqiovvW/GTR8DPOBIIptVDGXIsnlEYUtYtCKb8JX6nQLVWNXJCRImHPJiUtHeKC8M8cYnr&#10;wH7kFtP+DRYnTTC22CvRckKQahdK14nnoYovCjZpvcGtDKXJJmVaKEsqw2lS4QzzSOudTr3RTLNe&#10;seWU9zhlJRubVMfCZo02orRW4GCwNiI6QEh6dgpVG5uJiGtWYm/E4UTVH1NcHlSHpBsBpCfuP8i4&#10;GwSBIDliB0OcISggBkmc2FElo0/i+Io6ohQP6KSL3DvXai02TkTJhuuhTvOiJnEa1LCU3hs6CQd7&#10;Wtz113pP+V2n9c64W6/kFPD2ZHkcTpR7D7eSSE/kU4okt0mJiGjPcBOM2sR5bFmSY4jFmWNFkmsA&#10;DSo9Yu9N2hfAWSDN8mlnAzUwVTIGRbc62uArcNQ2E09otTnPUdF1Sp4zRXnnlRgyjGnOO/Az0Z7D&#10;yHzGKwxpoCBDcx5tyl489InT6JJchdElu4nH6Vle9E20Ka8dQ5tiCCRl78CFkBg/YXl5Jg+WeZ9H&#10;yJVm8sC7pWhT0ZO++ihaXolL8N0068Df5d45N1TnErhEKqpqY+8HugISZ4jsHdiKSVkavvRD1BM8&#10;i2edkp2iADdZSY5gPZeTMXYZo77lvTkNo95NY1csD6Y8jUj2zZ6OAqzCHTfJ4rqpo8n1QnXsKHxy&#10;5UQZkR8mPbVqES4iphEpGYtnzuT8dJaAuQM/I4dAAS/N+U7J67xP5W3sE8izzncIsMHyHRYmyYv9&#10;264nzmOIko43Hbrp/AWPhJ9pRJTSRNyVtdiHM+fB45QVwTM5cV7Z0vJNyuuw7ytbCbstqQanSg6M&#10;EewlWgllPW5Tid4dHIm9Q/Yj3GaYZp0c57HITJZX2uzSlgrmkhxDUNlOsa5TWA9q5TwihDJpLqH6&#10;zmucgjvq+bwioAghtokD6smeConsGpCyOD+V6lw7TtFb4ZstvpiK25Qxwu1oxkiZyW2f2BnWd3k1&#10;xC4P966sxa1PW5HOK7GuBfBpREpNviWaGe2pbtCljVU1zrc28XeMXZ5L2Bxk71A4QourE0lPzfIN&#10;xzotV3Qj3ZqJOYMcGdyYikoYuxyT3UCXKGNUlL0YNxjYOxQ0seXJbSoYIcDyXFJ4HC5QsaTixQ7f&#10;d8dWkr0D5fW1kuierSTnS+5tPVIqEu4t2ijrO0q7HOcVHuemaIMvrxMjmOW9MqdV4CzvvkFSaRN3&#10;HqOVOhRwpPhJX87JknImYN/2pJTcxnIlWvV329J90jDnlR1PfCcURxvlhJPl4wA4L6GMCN/3lHqH&#10;44tW4tNLaFOxZzPlydiylNrEgTeeS0otF0cied1UeDFubXJkUFYE00+RVvEOXAZmPTVJMk6KYPKq&#10;jfvibHmFw+KWPLepZFY4Os56KlwbBdKpdxn3UHRNcV6TZI/zWu8WJbXUpmIlgMSSylziaiHWTTn7&#10;xa0NjrTKmQ98oxKDKS9xuKXOgnJUov2AOHBlItEOQxKUs4BuCh/KBgvvoSH/kQfjptRPKeXayXuV&#10;FnEjkwcjL1h8UhZRU8Zw8kdl/U07QOD4Mi7T2Rkl22U5B6uLkS2hZ3GfWpLj3IQO70hynEHRTRdR&#10;Lhm6UZgAfXEK1hwsvHK/6ZgfWIuMR6qh2EGxM7eH3XVxHMmfLE47iHJpHmBhVvCIa4LtFK4f3djS&#10;WSXJzDF2WioySWJpq0HbvohzBV8xKq/VfA7HKJlPmvO4FS1jC9cJc4DOEkijSCsvbqvIzpt2hLF1&#10;rLQXjWxwskPsN2GLLwtR5kCcy/jeE9nHUQyj8eL2k2KXCBvORMjopntwuOC1Uk6by6lfh8kv4cHj&#10;oHKkKJfsTNdJRLlkP6PpF1difO+gPE/TfBmVlC4d2xqU3bU0q3plQxcZB4GL6qM41lQp0ShBojj4&#10;jka5tZSbKIUkLs8onCHtFbxdkOLiIj9jkTHZjY50iKhG3d5hdfN4PB/iB+muU/gtiOnSE92Vmv0e&#10;xPPxp4fHRwjTHSS6CoWvSUJpkV6fj48Pt/RueHH69PGHx9Pmyx4/9OH8H/z33yfdMrHT8fPzbWjt&#10;/rC//WP6+7J/eIx/hyMf6Qcw6Dcv6HdEzh8uXz9+3TzcwnFD+KH/+ni8/eXvp83pGH9RBL+Agj/u&#10;j6f/bDev+DWR6+3535/3p8N28/jnZ/xcxwjqgoh9CS9aZNN4cZq/83H+zv75Bk1dby9bfAkB/fnD&#10;Jf5kyeeX08One/RkggWej3/AT3HcPdAPZoTf7IhapRf4xZBg2vTrJvSTJPPXQertN1i++y8AAAD/&#10;/wMAUEsDBBQABgAIAAAAIQDRlafG3AAAAAUBAAAPAAAAZHJzL2Rvd25yZXYueG1sTI/BTsMwEETv&#10;SPyDtUhcEHWapiWkcSqE1CtS03LfxksSGq+j2GkDX4/hUi4rjWY08zbfTKYTZxpca1nBfBaBIK6s&#10;brlWcNhvH1MQziNr7CyTgi9ysClub3LMtL3wjs6lr0UoYZehgsb7PpPSVQ0ZdDPbEwfvww4GfZBD&#10;LfWAl1BuOhlH0UoabDksNNjTa0PVqRyNgtU8iQ/1Vj6N79+fU5ns3lJ+IKXu76aXNQhPk7+G4Rc/&#10;oEMRmI52ZO1EpyA84v9u8NLneAHiqGARJUuQRS7/0xc/AAAA//8DAFBLAQItABQABgAIAAAAIQC2&#10;gziS/gAAAOEBAAATAAAAAAAAAAAAAAAAAAAAAABbQ29udGVudF9UeXBlc10ueG1sUEsBAi0AFAAG&#10;AAgAAAAhADj9If/WAAAAlAEAAAsAAAAAAAAAAAAAAAAALwEAAF9yZWxzLy5yZWxzUEsBAi0AFAAG&#10;AAgAAAAhAMl4/L3tEwAAy2UAAA4AAAAAAAAAAAAAAAAALgIAAGRycy9lMm9Eb2MueG1sUEsBAi0A&#10;FAAGAAgAAAAhANGVp8bcAAAABQEAAA8AAAAAAAAAAAAAAAAARxYAAGRycy9kb3ducmV2LnhtbFBL&#10;BQYAAAAABAAEAPMAAABQFw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5445,101157;547635,116436;846571,116436;1151088,133822;1412812,106953;1693142,118017;1973471,109060;2228993,116963;2549636,115909;2814461,104318;3056338,115909;3375740,124866;3664753,111694;3976092,113275;4258903,119070;4510083,125919;4773667,110114;5009343,107479;5314480,125393;5643806,115909;5659931,334029;5643806,604835;5622099,836126;5659931,1100610;5643186,1341385;5650008,1544753;5627060,1776044;5581166,2014185;5259903,2015238;5006862,2009443;4717229,2011550;4406510,2010497;4138584,1995218;3843990,2010497;3551876,2008916;3281470,2010497;3004861,2019453;2718950,2010497;2437380,2012077;2168834,2013658;1900288,1992583;1593290,2010497;1283811,2025249;1030770,2010497;823624,2016819;523447,2008389;185439,2004701;7442,1878255;32250,1633792;2481,1426209;15505,1156457;14265,939391;14885,729174;22947,455734;20467,163326" o:connectangles="0,0,0,0,0,0,0,0,0,0,0,0,0,0,0,0,0,0,0,0,0,0,0,0,0,0,0,0,0,0,0,0,0,0,0,0,0,0,0,0,0,0,0,0,0,0,0,0,0,0,0,0,0,0,0" textboxrect="0,0,9136,3670"/>
                <v:textbox>
                  <w:txbxContent>
                    <w:p w14:paraId="4E942CAD" w14:textId="77777777" w:rsidR="00220015" w:rsidRPr="00257859" w:rsidRDefault="00220015" w:rsidP="00220015">
                      <w:pPr>
                        <w:widowControl w:val="0"/>
                        <w:tabs>
                          <w:tab w:val="left" w:pos="809"/>
                          <w:tab w:val="left" w:pos="810"/>
                        </w:tabs>
                        <w:autoSpaceDE w:val="0"/>
                        <w:autoSpaceDN w:val="0"/>
                        <w:spacing w:before="122"/>
                        <w:jc w:val="left"/>
                        <w:rPr>
                          <w:b/>
                          <w:bCs/>
                          <w:color w:val="9E6047" w:themeColor="accent3"/>
                          <w:sz w:val="21"/>
                          <w:szCs w:val="21"/>
                        </w:rPr>
                      </w:pPr>
                      <w:r w:rsidRPr="00257859">
                        <w:rPr>
                          <w:b/>
                          <w:bCs/>
                          <w:color w:val="9E6047" w:themeColor="accent3"/>
                          <w:sz w:val="21"/>
                          <w:szCs w:val="21"/>
                        </w:rPr>
                        <w:t>A note about language</w:t>
                      </w:r>
                    </w:p>
                    <w:p w14:paraId="2582D246" w14:textId="77777777" w:rsidR="00220015" w:rsidRPr="00FC67F8" w:rsidRDefault="00220015" w:rsidP="00220015">
                      <w:pPr>
                        <w:widowControl w:val="0"/>
                        <w:tabs>
                          <w:tab w:val="left" w:pos="809"/>
                          <w:tab w:val="left" w:pos="810"/>
                        </w:tabs>
                        <w:autoSpaceDE w:val="0"/>
                        <w:autoSpaceDN w:val="0"/>
                        <w:spacing w:before="122"/>
                        <w:jc w:val="left"/>
                        <w:rPr>
                          <w:sz w:val="21"/>
                          <w:szCs w:val="21"/>
                        </w:rPr>
                      </w:pPr>
                      <w:r w:rsidRPr="00257859">
                        <w:rPr>
                          <w:sz w:val="21"/>
                          <w:szCs w:val="21"/>
                        </w:rPr>
                        <w:t>The findings and recommendations in this evaluation report are shaped by the expertise of Aboriginal and Torres Strait Islander people. While this report refers to people who contributed to this evaluation process as ‘participants’, the evaluation team recognises that Aboriginal and Torres Strait Islander people are the knowledge holders for what will improve health outcomes for Aboriginal and Torres Strait Islander people. The use of ‘participants’ in this report is not intended to diminish the leadership and expertise of Aboriginal and Torres Strait Islander people within their communities and throughout this evaluation process.</w:t>
                      </w:r>
                    </w:p>
                  </w:txbxContent>
                </v:textbox>
                <w10:anchorlock/>
              </v:shape>
            </w:pict>
          </mc:Fallback>
        </mc:AlternateContent>
      </w:r>
    </w:p>
    <w:p w14:paraId="04E08843" w14:textId="77777777" w:rsidR="00B24A77" w:rsidRDefault="00B24A77" w:rsidP="0035030F">
      <w:pPr>
        <w:pStyle w:val="Heading2"/>
      </w:pPr>
      <w:bookmarkStart w:id="53" w:name="_Toc137208886"/>
      <w:r>
        <w:t>Phase One – Evaluation design and planning</w:t>
      </w:r>
      <w:bookmarkEnd w:id="53"/>
      <w:r>
        <w:t xml:space="preserve"> </w:t>
      </w:r>
    </w:p>
    <w:p w14:paraId="34D8267E" w14:textId="211D585B" w:rsidR="00B24A77" w:rsidRDefault="00B24A77" w:rsidP="00B24A77">
      <w:r>
        <w:t xml:space="preserve">Phase One commenced in October 2017. This involved establishing and planning the evaluation with </w:t>
      </w:r>
      <w:r w:rsidRPr="00884FAA">
        <w:t xml:space="preserve">a Health Sector Co-design Group (HSCG) and participants from across the PHC system, including community members, health care providers, state, territory, and national organisations. </w:t>
      </w:r>
    </w:p>
    <w:p w14:paraId="5E9903E9" w14:textId="77777777" w:rsidR="0075082C" w:rsidRDefault="0075082C">
      <w:pPr>
        <w:jc w:val="left"/>
      </w:pPr>
      <w:r>
        <w:br w:type="page"/>
      </w:r>
    </w:p>
    <w:p w14:paraId="6349736F" w14:textId="5036BA61" w:rsidR="00B24A77" w:rsidRDefault="00B24A77" w:rsidP="00B24A77">
      <w:r>
        <w:lastRenderedPageBreak/>
        <w:t>Phase One included</w:t>
      </w:r>
      <w:r w:rsidR="000F3499">
        <w:t xml:space="preserve"> the following activities</w:t>
      </w:r>
      <w:r>
        <w:t>:</w:t>
      </w:r>
    </w:p>
    <w:p w14:paraId="13DE43FE" w14:textId="2C3C2FD9" w:rsidR="00B24A77" w:rsidRPr="00621F7E" w:rsidRDefault="00621F7E" w:rsidP="00580736">
      <w:pPr>
        <w:numPr>
          <w:ilvl w:val="0"/>
          <w:numId w:val="19"/>
        </w:numPr>
        <w:spacing w:after="120"/>
      </w:pPr>
      <w:r w:rsidRPr="00621F7E">
        <w:rPr>
          <w:b/>
          <w:bCs/>
        </w:rPr>
        <w:t>R</w:t>
      </w:r>
      <w:r w:rsidR="00B24A77" w:rsidRPr="00621F7E">
        <w:rPr>
          <w:b/>
          <w:bCs/>
        </w:rPr>
        <w:t>eview of literature and documents</w:t>
      </w:r>
      <w:r w:rsidR="004B071A">
        <w:rPr>
          <w:b/>
          <w:bCs/>
        </w:rPr>
        <w:t>:</w:t>
      </w:r>
      <w:r>
        <w:rPr>
          <w:b/>
          <w:bCs/>
        </w:rPr>
        <w:t xml:space="preserve"> </w:t>
      </w:r>
      <w:r w:rsidRPr="00621F7E">
        <w:t xml:space="preserve">A literature review was conducted to provide up-to-date information on </w:t>
      </w:r>
      <w:r w:rsidR="003279C5">
        <w:t>PHC</w:t>
      </w:r>
      <w:r w:rsidRPr="00621F7E">
        <w:t>, health systems’ thinking, system-level evaluation, and evaluation in the context of Aboriginal and Torres Strait Islander people’s health.</w:t>
      </w:r>
    </w:p>
    <w:p w14:paraId="50E31282" w14:textId="1C58305F" w:rsidR="00B24A77" w:rsidRPr="00BD0FF7" w:rsidRDefault="00621F7E" w:rsidP="00580736">
      <w:pPr>
        <w:numPr>
          <w:ilvl w:val="0"/>
          <w:numId w:val="19"/>
        </w:numPr>
        <w:spacing w:after="120"/>
      </w:pPr>
      <w:r w:rsidRPr="00621F7E">
        <w:rPr>
          <w:b/>
          <w:bCs/>
        </w:rPr>
        <w:t>E</w:t>
      </w:r>
      <w:r w:rsidR="00B24A77" w:rsidRPr="00621F7E">
        <w:rPr>
          <w:b/>
          <w:bCs/>
        </w:rPr>
        <w:t xml:space="preserve">stablishing the </w:t>
      </w:r>
      <w:r w:rsidR="004B071A">
        <w:rPr>
          <w:b/>
          <w:bCs/>
        </w:rPr>
        <w:t>HSCG:</w:t>
      </w:r>
      <w:r>
        <w:rPr>
          <w:b/>
          <w:bCs/>
        </w:rPr>
        <w:t xml:space="preserve"> </w:t>
      </w:r>
      <w:r w:rsidR="00BD0FF7" w:rsidRPr="00BD0FF7">
        <w:t xml:space="preserve">The HSCG was established in 2017, comprising </w:t>
      </w:r>
      <w:r w:rsidR="00204A58">
        <w:t>people with expertise</w:t>
      </w:r>
      <w:r w:rsidR="00BD0FF7" w:rsidRPr="00BD0FF7">
        <w:t>, experience, and perspectives from across the PHC system and in evaluation and research with Aboriginal and Torres Strait Islander people</w:t>
      </w:r>
      <w:r w:rsidR="00BD0FF7">
        <w:t>.</w:t>
      </w:r>
    </w:p>
    <w:p w14:paraId="3249D7A6" w14:textId="21680FF8" w:rsidR="00B24A77" w:rsidRPr="00D71DE0" w:rsidRDefault="00621F7E" w:rsidP="00580736">
      <w:pPr>
        <w:numPr>
          <w:ilvl w:val="0"/>
          <w:numId w:val="19"/>
        </w:numPr>
        <w:spacing w:after="120"/>
      </w:pPr>
      <w:r w:rsidRPr="00621F7E">
        <w:rPr>
          <w:b/>
          <w:bCs/>
        </w:rPr>
        <w:t>S</w:t>
      </w:r>
      <w:r w:rsidR="00B24A77" w:rsidRPr="00621F7E">
        <w:rPr>
          <w:b/>
          <w:bCs/>
        </w:rPr>
        <w:t>ector engagement</w:t>
      </w:r>
      <w:r w:rsidR="004B071A">
        <w:rPr>
          <w:b/>
          <w:bCs/>
        </w:rPr>
        <w:t>:</w:t>
      </w:r>
      <w:r w:rsidR="00B24A77" w:rsidRPr="00621F7E">
        <w:rPr>
          <w:b/>
          <w:bCs/>
        </w:rPr>
        <w:t xml:space="preserve"> </w:t>
      </w:r>
      <w:r w:rsidR="00D71DE0" w:rsidRPr="00D71DE0">
        <w:t>The evaluation design was the result of a multi-layered co-design process that involved participants from across the PHC system, including community members, health care providers, and state, territory, and national organisations.</w:t>
      </w:r>
    </w:p>
    <w:p w14:paraId="55E2CDA6" w14:textId="0623BC68" w:rsidR="00B24A77" w:rsidRPr="005309AF" w:rsidRDefault="00621F7E" w:rsidP="00580736">
      <w:pPr>
        <w:numPr>
          <w:ilvl w:val="0"/>
          <w:numId w:val="19"/>
        </w:numPr>
        <w:spacing w:after="120"/>
      </w:pPr>
      <w:r w:rsidRPr="005309AF">
        <w:rPr>
          <w:b/>
          <w:bCs/>
        </w:rPr>
        <w:t>D</w:t>
      </w:r>
      <w:r w:rsidR="00B24A77" w:rsidRPr="005309AF">
        <w:rPr>
          <w:b/>
          <w:bCs/>
        </w:rPr>
        <w:t xml:space="preserve">eveloping </w:t>
      </w:r>
      <w:r w:rsidR="00F8169E">
        <w:rPr>
          <w:b/>
          <w:bCs/>
        </w:rPr>
        <w:t>the</w:t>
      </w:r>
      <w:r w:rsidR="00B24A77" w:rsidRPr="005309AF">
        <w:rPr>
          <w:b/>
          <w:bCs/>
        </w:rPr>
        <w:t xml:space="preserve"> evaluation design</w:t>
      </w:r>
      <w:r w:rsidR="004B071A">
        <w:rPr>
          <w:b/>
          <w:bCs/>
        </w:rPr>
        <w:t>:</w:t>
      </w:r>
      <w:r w:rsidR="005309AF" w:rsidRPr="005309AF">
        <w:rPr>
          <w:b/>
          <w:bCs/>
        </w:rPr>
        <w:t xml:space="preserve"> </w:t>
      </w:r>
      <w:r w:rsidR="005309AF" w:rsidRPr="005309AF">
        <w:t>The evaluation adopted a multi-phase iterative mixed method design, combining a variety of qualitative and quantitative methods of data generation and analysis. The design phase culminated in the development of a Monitoring and Evaluation Design Report (Bailey et al., 2018).</w:t>
      </w:r>
      <w:r w:rsidR="00AA35E2">
        <w:t xml:space="preserve"> </w:t>
      </w:r>
    </w:p>
    <w:p w14:paraId="78F84B0B" w14:textId="2A45F4CA" w:rsidR="00B24A77" w:rsidRPr="00211A68" w:rsidRDefault="00621F7E" w:rsidP="00580736">
      <w:pPr>
        <w:numPr>
          <w:ilvl w:val="0"/>
          <w:numId w:val="19"/>
        </w:numPr>
        <w:spacing w:after="120"/>
      </w:pPr>
      <w:r w:rsidRPr="00621F7E">
        <w:rPr>
          <w:b/>
          <w:bCs/>
        </w:rPr>
        <w:t>E</w:t>
      </w:r>
      <w:r w:rsidR="00B24A77" w:rsidRPr="00621F7E">
        <w:rPr>
          <w:b/>
          <w:bCs/>
        </w:rPr>
        <w:t>thics approval</w:t>
      </w:r>
      <w:r w:rsidR="005F0446">
        <w:rPr>
          <w:b/>
          <w:bCs/>
        </w:rPr>
        <w:t>:</w:t>
      </w:r>
      <w:r w:rsidR="003C7026">
        <w:rPr>
          <w:b/>
          <w:bCs/>
        </w:rPr>
        <w:t xml:space="preserve"> </w:t>
      </w:r>
      <w:r w:rsidR="003C7026" w:rsidRPr="003C7026">
        <w:t xml:space="preserve">Ethics approval processes were undertaken to ensure all the evaluation activities were in accordance with the ethical standards of the relevant institutional and national committees. These processes occurred in </w:t>
      </w:r>
      <w:r w:rsidR="005F0446">
        <w:t>2</w:t>
      </w:r>
      <w:r w:rsidR="003C7026" w:rsidRPr="003C7026">
        <w:t xml:space="preserve"> stages with 13 different </w:t>
      </w:r>
      <w:r w:rsidR="00B9732A" w:rsidRPr="00DC1639">
        <w:t>health</w:t>
      </w:r>
      <w:r w:rsidR="003C7026" w:rsidRPr="003C7026">
        <w:t xml:space="preserve"> </w:t>
      </w:r>
      <w:r w:rsidR="00D81F6A">
        <w:t xml:space="preserve">and human </w:t>
      </w:r>
      <w:r w:rsidR="003C7026" w:rsidRPr="003C7026">
        <w:t xml:space="preserve">research ethics committees. The first stage had a focus on site engagement, and the </w:t>
      </w:r>
      <w:r w:rsidR="003C7026" w:rsidRPr="00211A68">
        <w:t>second stage on approval for data generation activities to answer the evaluation questions.</w:t>
      </w:r>
      <w:r w:rsidR="00DD74FF" w:rsidRPr="00211A68">
        <w:t xml:space="preserve"> </w:t>
      </w:r>
    </w:p>
    <w:p w14:paraId="7EFB2C89" w14:textId="6AE77DED" w:rsidR="001B3D73" w:rsidRPr="001B3D73" w:rsidRDefault="001B3D73" w:rsidP="0075082C">
      <w:pPr>
        <w:numPr>
          <w:ilvl w:val="0"/>
          <w:numId w:val="19"/>
        </w:numPr>
        <w:spacing w:after="120"/>
      </w:pPr>
      <w:r w:rsidRPr="001B3D73">
        <w:rPr>
          <w:b/>
          <w:bCs/>
        </w:rPr>
        <w:t xml:space="preserve">Site selection and establishment: </w:t>
      </w:r>
      <w:r w:rsidRPr="001B3D73">
        <w:t>The original evaluation design recommended establishing 20-24 evaluation sites (and 16 at a minimum) as the primary unit for generating data and analysis. An evaluation site was defined as places where Aboriginal and Torres Strait Islander people live, work, and seek to receive (or not)</w:t>
      </w:r>
      <w:r w:rsidR="00270195">
        <w:t xml:space="preserve"> </w:t>
      </w:r>
      <w:r w:rsidRPr="001B3D73">
        <w:t>P</w:t>
      </w:r>
      <w:r w:rsidR="00270195" w:rsidRPr="001B3D73">
        <w:t>HC and other services. Sites were selected using agreed criteria</w:t>
      </w:r>
      <w:r w:rsidR="00270195" w:rsidRPr="001B3D73">
        <w:rPr>
          <w:vertAlign w:val="superscript"/>
        </w:rPr>
        <w:footnoteReference w:id="9"/>
      </w:r>
      <w:r w:rsidR="00270195" w:rsidRPr="001B3D73">
        <w:t xml:space="preserve"> which stipulated that sites would cover a range of geographic, population, funding, service delivery settings. The selection of sites was intended to enable evaluation across a diverse range of PHC contexts, including for example differences across remote, regional and urban areas, as well as differences in service models and in Aboriginal and Torres Strait Islander populations. This multi-sited approach to data collection contributes to a rich, contextual and whole-of-system evidence base, which is essential to understand </w:t>
      </w:r>
      <w:r w:rsidR="00270195" w:rsidRPr="001B3D73">
        <w:lastRenderedPageBreak/>
        <w:t>the operation of the IAHP across different settings. The findings from the evaluation sites are not intended to be generalisable across all settings in Australia</w:t>
      </w:r>
      <w:r w:rsidRPr="001B3D73">
        <w:t xml:space="preserve">.  </w:t>
      </w:r>
    </w:p>
    <w:p w14:paraId="6DC22270" w14:textId="34E9F4BF" w:rsidR="00645A23" w:rsidRPr="00D835E8" w:rsidRDefault="00C74FAE" w:rsidP="00EE1282">
      <w:pPr>
        <w:pStyle w:val="Bullet1"/>
        <w:ind w:left="0" w:firstLine="0"/>
      </w:pPr>
      <w:r w:rsidRPr="00D835E8">
        <w:t>As part of the evaluation design and planning in</w:t>
      </w:r>
      <w:r w:rsidR="00645A23" w:rsidRPr="00D835E8">
        <w:t xml:space="preserve"> Phase One, the </w:t>
      </w:r>
      <w:r w:rsidRPr="00D835E8">
        <w:t xml:space="preserve">KEQs </w:t>
      </w:r>
      <w:r w:rsidR="00645A23" w:rsidRPr="00D835E8">
        <w:t>were developed through a process of co</w:t>
      </w:r>
      <w:r w:rsidR="00415D51">
        <w:t>-</w:t>
      </w:r>
      <w:r w:rsidR="00645A23" w:rsidRPr="00D835E8">
        <w:t xml:space="preserve">design with the Health Sector Co-design Group. </w:t>
      </w:r>
      <w:r w:rsidR="00C42867" w:rsidRPr="00D835E8">
        <w:t>The</w:t>
      </w:r>
      <w:r w:rsidR="00A407B3">
        <w:t xml:space="preserve"> 5</w:t>
      </w:r>
      <w:r w:rsidR="00C42867" w:rsidRPr="00D835E8">
        <w:t xml:space="preserve"> KEQs </w:t>
      </w:r>
      <w:r w:rsidR="00645A23" w:rsidRPr="00D835E8">
        <w:t>are:</w:t>
      </w:r>
      <w:r w:rsidR="00A407B3">
        <w:rPr>
          <w:rStyle w:val="FootnoteReference"/>
        </w:rPr>
        <w:footnoteReference w:id="10"/>
      </w:r>
    </w:p>
    <w:p w14:paraId="47416A6E" w14:textId="77777777" w:rsidR="00E9479A" w:rsidRPr="00E9479A" w:rsidRDefault="00E9479A" w:rsidP="00E9479A">
      <w:pPr>
        <w:ind w:left="382"/>
        <w:rPr>
          <w:lang w:val="en-NZ"/>
        </w:rPr>
      </w:pPr>
    </w:p>
    <w:p w14:paraId="0E5F1BA8" w14:textId="4C2F223D" w:rsidR="00E9479A" w:rsidRPr="00F0636B" w:rsidRDefault="00E9479A" w:rsidP="00E9479A">
      <w:pPr>
        <w:ind w:left="382"/>
        <w:rPr>
          <w:b/>
          <w:szCs w:val="24"/>
        </w:rPr>
      </w:pPr>
      <w:r w:rsidRPr="007F6E8B">
        <w:rPr>
          <w:b/>
          <w:szCs w:val="24"/>
        </w:rPr>
        <w:t>Key</w:t>
      </w:r>
      <w:r w:rsidRPr="007F6E8B">
        <w:rPr>
          <w:b/>
          <w:spacing w:val="-8"/>
          <w:szCs w:val="24"/>
        </w:rPr>
        <w:t xml:space="preserve"> </w:t>
      </w:r>
      <w:r w:rsidRPr="007F6E8B">
        <w:rPr>
          <w:b/>
          <w:szCs w:val="24"/>
        </w:rPr>
        <w:t>evaluation</w:t>
      </w:r>
      <w:r w:rsidRPr="007F6E8B">
        <w:rPr>
          <w:b/>
          <w:spacing w:val="-9"/>
          <w:szCs w:val="24"/>
        </w:rPr>
        <w:t xml:space="preserve"> </w:t>
      </w:r>
      <w:r w:rsidRPr="007F6E8B">
        <w:rPr>
          <w:b/>
          <w:spacing w:val="-2"/>
          <w:szCs w:val="24"/>
        </w:rPr>
        <w:t>questions</w:t>
      </w:r>
    </w:p>
    <w:p w14:paraId="71B4AE75" w14:textId="77777777" w:rsidR="00E9479A" w:rsidRPr="00F0636B" w:rsidRDefault="00E9479A" w:rsidP="00E9479A">
      <w:pPr>
        <w:widowControl w:val="0"/>
        <w:numPr>
          <w:ilvl w:val="0"/>
          <w:numId w:val="41"/>
        </w:numPr>
        <w:tabs>
          <w:tab w:val="left" w:pos="809"/>
          <w:tab w:val="left" w:pos="810"/>
        </w:tabs>
        <w:autoSpaceDE w:val="0"/>
        <w:autoSpaceDN w:val="0"/>
        <w:spacing w:before="138" w:after="0"/>
        <w:ind w:right="387"/>
        <w:jc w:val="left"/>
        <w:rPr>
          <w:szCs w:val="24"/>
        </w:rPr>
      </w:pPr>
      <w:r w:rsidRPr="00F0636B">
        <w:rPr>
          <w:szCs w:val="24"/>
        </w:rPr>
        <w:t>How</w:t>
      </w:r>
      <w:r w:rsidRPr="00F0636B">
        <w:rPr>
          <w:spacing w:val="-4"/>
          <w:szCs w:val="24"/>
        </w:rPr>
        <w:t xml:space="preserve"> </w:t>
      </w:r>
      <w:r w:rsidRPr="00F0636B">
        <w:rPr>
          <w:szCs w:val="24"/>
        </w:rPr>
        <w:t>well</w:t>
      </w:r>
      <w:r w:rsidRPr="00F0636B">
        <w:rPr>
          <w:spacing w:val="-4"/>
          <w:szCs w:val="24"/>
        </w:rPr>
        <w:t xml:space="preserve"> </w:t>
      </w:r>
      <w:r w:rsidRPr="00F0636B">
        <w:rPr>
          <w:szCs w:val="24"/>
        </w:rPr>
        <w:t>is</w:t>
      </w:r>
      <w:r w:rsidRPr="00F0636B">
        <w:rPr>
          <w:spacing w:val="-5"/>
          <w:szCs w:val="24"/>
        </w:rPr>
        <w:t xml:space="preserve"> </w:t>
      </w:r>
      <w:r w:rsidRPr="00F0636B">
        <w:rPr>
          <w:szCs w:val="24"/>
        </w:rPr>
        <w:t>the</w:t>
      </w:r>
      <w:r w:rsidRPr="00F0636B">
        <w:rPr>
          <w:spacing w:val="-4"/>
          <w:szCs w:val="24"/>
        </w:rPr>
        <w:t xml:space="preserve"> </w:t>
      </w:r>
      <w:r w:rsidRPr="00F0636B">
        <w:rPr>
          <w:szCs w:val="24"/>
        </w:rPr>
        <w:t>IAHP</w:t>
      </w:r>
      <w:r w:rsidRPr="00F0636B">
        <w:rPr>
          <w:spacing w:val="-4"/>
          <w:szCs w:val="24"/>
        </w:rPr>
        <w:t xml:space="preserve"> </w:t>
      </w:r>
      <w:r w:rsidRPr="00F0636B">
        <w:rPr>
          <w:szCs w:val="24"/>
        </w:rPr>
        <w:t>enabling</w:t>
      </w:r>
      <w:r w:rsidRPr="00F0636B">
        <w:rPr>
          <w:spacing w:val="-4"/>
          <w:szCs w:val="24"/>
        </w:rPr>
        <w:t xml:space="preserve"> </w:t>
      </w:r>
      <w:r w:rsidRPr="00F0636B">
        <w:rPr>
          <w:szCs w:val="24"/>
        </w:rPr>
        <w:t>the</w:t>
      </w:r>
      <w:r w:rsidRPr="00F0636B">
        <w:rPr>
          <w:spacing w:val="-4"/>
          <w:szCs w:val="24"/>
        </w:rPr>
        <w:t xml:space="preserve"> </w:t>
      </w:r>
      <w:r w:rsidRPr="00F0636B">
        <w:rPr>
          <w:szCs w:val="24"/>
        </w:rPr>
        <w:t>PHC</w:t>
      </w:r>
      <w:r w:rsidRPr="00F0636B">
        <w:rPr>
          <w:spacing w:val="-4"/>
          <w:szCs w:val="24"/>
        </w:rPr>
        <w:t xml:space="preserve"> </w:t>
      </w:r>
      <w:r w:rsidRPr="00F0636B">
        <w:rPr>
          <w:szCs w:val="24"/>
        </w:rPr>
        <w:t>system</w:t>
      </w:r>
      <w:r w:rsidRPr="00F0636B">
        <w:rPr>
          <w:spacing w:val="-3"/>
          <w:szCs w:val="24"/>
        </w:rPr>
        <w:t xml:space="preserve"> </w:t>
      </w:r>
      <w:r w:rsidRPr="00F0636B">
        <w:rPr>
          <w:szCs w:val="24"/>
        </w:rPr>
        <w:t>to</w:t>
      </w:r>
      <w:r w:rsidRPr="00F0636B">
        <w:rPr>
          <w:spacing w:val="-5"/>
          <w:szCs w:val="24"/>
        </w:rPr>
        <w:t xml:space="preserve"> </w:t>
      </w:r>
      <w:r w:rsidRPr="00F0636B">
        <w:rPr>
          <w:szCs w:val="24"/>
        </w:rPr>
        <w:t>work</w:t>
      </w:r>
      <w:r w:rsidRPr="00F0636B">
        <w:rPr>
          <w:spacing w:val="-5"/>
          <w:szCs w:val="24"/>
        </w:rPr>
        <w:t xml:space="preserve"> </w:t>
      </w:r>
      <w:r w:rsidRPr="00F0636B">
        <w:rPr>
          <w:szCs w:val="24"/>
        </w:rPr>
        <w:t>for</w:t>
      </w:r>
      <w:r w:rsidRPr="00F0636B">
        <w:rPr>
          <w:spacing w:val="-5"/>
          <w:szCs w:val="24"/>
        </w:rPr>
        <w:t xml:space="preserve"> </w:t>
      </w:r>
      <w:r w:rsidRPr="00F0636B">
        <w:rPr>
          <w:szCs w:val="24"/>
        </w:rPr>
        <w:t>Aboriginal</w:t>
      </w:r>
      <w:r w:rsidRPr="00F0636B">
        <w:rPr>
          <w:spacing w:val="-4"/>
          <w:szCs w:val="24"/>
        </w:rPr>
        <w:t xml:space="preserve"> </w:t>
      </w:r>
      <w:r w:rsidRPr="00F0636B">
        <w:rPr>
          <w:szCs w:val="24"/>
        </w:rPr>
        <w:t>and</w:t>
      </w:r>
      <w:r w:rsidRPr="00F0636B">
        <w:rPr>
          <w:spacing w:val="-4"/>
          <w:szCs w:val="24"/>
        </w:rPr>
        <w:t xml:space="preserve"> </w:t>
      </w:r>
      <w:r w:rsidRPr="00F0636B">
        <w:rPr>
          <w:szCs w:val="24"/>
        </w:rPr>
        <w:t>Torres</w:t>
      </w:r>
      <w:r w:rsidRPr="00F0636B">
        <w:rPr>
          <w:spacing w:val="-5"/>
          <w:szCs w:val="24"/>
        </w:rPr>
        <w:t xml:space="preserve"> </w:t>
      </w:r>
      <w:r w:rsidRPr="00F0636B">
        <w:rPr>
          <w:szCs w:val="24"/>
        </w:rPr>
        <w:t>Strait Islander people?</w:t>
      </w:r>
    </w:p>
    <w:p w14:paraId="3B95A1B6" w14:textId="77777777" w:rsidR="00E9479A" w:rsidRPr="00F0636B" w:rsidRDefault="00E9479A" w:rsidP="00E9479A">
      <w:pPr>
        <w:widowControl w:val="0"/>
        <w:numPr>
          <w:ilvl w:val="0"/>
          <w:numId w:val="41"/>
        </w:numPr>
        <w:tabs>
          <w:tab w:val="left" w:pos="809"/>
          <w:tab w:val="left" w:pos="810"/>
        </w:tabs>
        <w:autoSpaceDE w:val="0"/>
        <w:autoSpaceDN w:val="0"/>
        <w:spacing w:before="122" w:after="0" w:line="240" w:lineRule="auto"/>
        <w:jc w:val="left"/>
        <w:rPr>
          <w:szCs w:val="24"/>
        </w:rPr>
      </w:pPr>
      <w:r w:rsidRPr="00F0636B">
        <w:rPr>
          <w:szCs w:val="24"/>
        </w:rPr>
        <w:t>What</w:t>
      </w:r>
      <w:r w:rsidRPr="00F0636B">
        <w:rPr>
          <w:spacing w:val="-7"/>
          <w:szCs w:val="24"/>
        </w:rPr>
        <w:t xml:space="preserve"> </w:t>
      </w:r>
      <w:r w:rsidRPr="00F0636B">
        <w:rPr>
          <w:szCs w:val="24"/>
        </w:rPr>
        <w:t>difference</w:t>
      </w:r>
      <w:r w:rsidRPr="00F0636B">
        <w:rPr>
          <w:spacing w:val="-5"/>
          <w:szCs w:val="24"/>
        </w:rPr>
        <w:t xml:space="preserve"> </w:t>
      </w:r>
      <w:r w:rsidRPr="00F0636B">
        <w:rPr>
          <w:szCs w:val="24"/>
        </w:rPr>
        <w:t>is</w:t>
      </w:r>
      <w:r w:rsidRPr="00F0636B">
        <w:rPr>
          <w:spacing w:val="-5"/>
          <w:szCs w:val="24"/>
        </w:rPr>
        <w:t xml:space="preserve"> </w:t>
      </w:r>
      <w:r w:rsidRPr="00F0636B">
        <w:rPr>
          <w:szCs w:val="24"/>
        </w:rPr>
        <w:t>the</w:t>
      </w:r>
      <w:r w:rsidRPr="00F0636B">
        <w:rPr>
          <w:spacing w:val="-5"/>
          <w:szCs w:val="24"/>
        </w:rPr>
        <w:t xml:space="preserve"> </w:t>
      </w:r>
      <w:r w:rsidRPr="00F0636B">
        <w:rPr>
          <w:szCs w:val="24"/>
        </w:rPr>
        <w:t>IAHP</w:t>
      </w:r>
      <w:r w:rsidRPr="00F0636B">
        <w:rPr>
          <w:spacing w:val="-5"/>
          <w:szCs w:val="24"/>
        </w:rPr>
        <w:t xml:space="preserve"> </w:t>
      </w:r>
      <w:r w:rsidRPr="00F0636B">
        <w:rPr>
          <w:szCs w:val="24"/>
        </w:rPr>
        <w:t>making</w:t>
      </w:r>
      <w:r w:rsidRPr="00F0636B">
        <w:rPr>
          <w:spacing w:val="-5"/>
          <w:szCs w:val="24"/>
        </w:rPr>
        <w:t xml:space="preserve"> </w:t>
      </w:r>
      <w:r w:rsidRPr="00F0636B">
        <w:rPr>
          <w:szCs w:val="24"/>
        </w:rPr>
        <w:t>to</w:t>
      </w:r>
      <w:r w:rsidRPr="00F0636B">
        <w:rPr>
          <w:spacing w:val="-5"/>
          <w:szCs w:val="24"/>
        </w:rPr>
        <w:t xml:space="preserve"> </w:t>
      </w:r>
      <w:r w:rsidRPr="00F0636B">
        <w:rPr>
          <w:szCs w:val="24"/>
        </w:rPr>
        <w:t>the</w:t>
      </w:r>
      <w:r w:rsidRPr="00F0636B">
        <w:rPr>
          <w:spacing w:val="-5"/>
          <w:szCs w:val="24"/>
        </w:rPr>
        <w:t xml:space="preserve"> </w:t>
      </w:r>
      <w:r w:rsidRPr="00F0636B">
        <w:rPr>
          <w:szCs w:val="24"/>
        </w:rPr>
        <w:t>PHC</w:t>
      </w:r>
      <w:r w:rsidRPr="00F0636B">
        <w:rPr>
          <w:spacing w:val="-4"/>
          <w:szCs w:val="24"/>
        </w:rPr>
        <w:t xml:space="preserve"> </w:t>
      </w:r>
      <w:r w:rsidRPr="00F0636B">
        <w:rPr>
          <w:spacing w:val="-2"/>
          <w:szCs w:val="24"/>
        </w:rPr>
        <w:t>system?</w:t>
      </w:r>
    </w:p>
    <w:p w14:paraId="76698979" w14:textId="77777777" w:rsidR="00E9479A" w:rsidRPr="00F0636B" w:rsidRDefault="00E9479A" w:rsidP="00E9479A">
      <w:pPr>
        <w:widowControl w:val="0"/>
        <w:numPr>
          <w:ilvl w:val="0"/>
          <w:numId w:val="41"/>
        </w:numPr>
        <w:tabs>
          <w:tab w:val="left" w:pos="809"/>
          <w:tab w:val="left" w:pos="810"/>
        </w:tabs>
        <w:autoSpaceDE w:val="0"/>
        <w:autoSpaceDN w:val="0"/>
        <w:spacing w:before="157" w:after="0" w:line="273" w:lineRule="auto"/>
        <w:ind w:right="384"/>
        <w:jc w:val="left"/>
        <w:rPr>
          <w:szCs w:val="24"/>
        </w:rPr>
      </w:pPr>
      <w:r w:rsidRPr="00F0636B">
        <w:rPr>
          <w:szCs w:val="24"/>
        </w:rPr>
        <w:t>What</w:t>
      </w:r>
      <w:r w:rsidRPr="00F0636B">
        <w:rPr>
          <w:spacing w:val="-15"/>
          <w:szCs w:val="24"/>
        </w:rPr>
        <w:t xml:space="preserve"> </w:t>
      </w:r>
      <w:r w:rsidRPr="00F0636B">
        <w:rPr>
          <w:szCs w:val="24"/>
        </w:rPr>
        <w:t>difference</w:t>
      </w:r>
      <w:r w:rsidRPr="00F0636B">
        <w:rPr>
          <w:spacing w:val="-15"/>
          <w:szCs w:val="24"/>
        </w:rPr>
        <w:t xml:space="preserve"> </w:t>
      </w:r>
      <w:r w:rsidRPr="00F0636B">
        <w:rPr>
          <w:szCs w:val="24"/>
        </w:rPr>
        <w:t>is</w:t>
      </w:r>
      <w:r w:rsidRPr="00F0636B">
        <w:rPr>
          <w:spacing w:val="-14"/>
          <w:szCs w:val="24"/>
        </w:rPr>
        <w:t xml:space="preserve"> </w:t>
      </w:r>
      <w:r w:rsidRPr="00F0636B">
        <w:rPr>
          <w:szCs w:val="24"/>
        </w:rPr>
        <w:t>the</w:t>
      </w:r>
      <w:r w:rsidRPr="00F0636B">
        <w:rPr>
          <w:spacing w:val="-15"/>
          <w:szCs w:val="24"/>
        </w:rPr>
        <w:t xml:space="preserve"> </w:t>
      </w:r>
      <w:r w:rsidRPr="00F0636B">
        <w:rPr>
          <w:szCs w:val="24"/>
        </w:rPr>
        <w:t>IAHP</w:t>
      </w:r>
      <w:r w:rsidRPr="00F0636B">
        <w:rPr>
          <w:spacing w:val="-14"/>
          <w:szCs w:val="24"/>
        </w:rPr>
        <w:t xml:space="preserve"> </w:t>
      </w:r>
      <w:r w:rsidRPr="00F0636B">
        <w:rPr>
          <w:szCs w:val="24"/>
        </w:rPr>
        <w:t>making</w:t>
      </w:r>
      <w:r w:rsidRPr="00F0636B">
        <w:rPr>
          <w:spacing w:val="-14"/>
          <w:szCs w:val="24"/>
        </w:rPr>
        <w:t xml:space="preserve"> </w:t>
      </w:r>
      <w:r w:rsidRPr="00F0636B">
        <w:rPr>
          <w:szCs w:val="24"/>
        </w:rPr>
        <w:t>to</w:t>
      </w:r>
      <w:r w:rsidRPr="00F0636B">
        <w:rPr>
          <w:spacing w:val="-14"/>
          <w:szCs w:val="24"/>
        </w:rPr>
        <w:t xml:space="preserve"> </w:t>
      </w:r>
      <w:r w:rsidRPr="00F0636B">
        <w:rPr>
          <w:szCs w:val="24"/>
        </w:rPr>
        <w:t>the</w:t>
      </w:r>
      <w:r w:rsidRPr="00F0636B">
        <w:rPr>
          <w:spacing w:val="-14"/>
          <w:szCs w:val="24"/>
        </w:rPr>
        <w:t xml:space="preserve"> </w:t>
      </w:r>
      <w:r w:rsidRPr="00F0636B">
        <w:rPr>
          <w:szCs w:val="24"/>
        </w:rPr>
        <w:t>health</w:t>
      </w:r>
      <w:r w:rsidRPr="00F0636B">
        <w:rPr>
          <w:spacing w:val="-14"/>
          <w:szCs w:val="24"/>
        </w:rPr>
        <w:t xml:space="preserve"> </w:t>
      </w:r>
      <w:r w:rsidRPr="00F0636B">
        <w:rPr>
          <w:szCs w:val="24"/>
        </w:rPr>
        <w:t>and</w:t>
      </w:r>
      <w:r w:rsidRPr="00F0636B">
        <w:rPr>
          <w:spacing w:val="-15"/>
          <w:szCs w:val="24"/>
        </w:rPr>
        <w:t xml:space="preserve"> </w:t>
      </w:r>
      <w:r w:rsidRPr="00F0636B">
        <w:rPr>
          <w:szCs w:val="24"/>
        </w:rPr>
        <w:t>wellbeing</w:t>
      </w:r>
      <w:r w:rsidRPr="00F0636B">
        <w:rPr>
          <w:spacing w:val="-14"/>
          <w:szCs w:val="24"/>
        </w:rPr>
        <w:t xml:space="preserve"> </w:t>
      </w:r>
      <w:r w:rsidRPr="00F0636B">
        <w:rPr>
          <w:szCs w:val="24"/>
        </w:rPr>
        <w:t>of</w:t>
      </w:r>
      <w:r w:rsidRPr="00F0636B">
        <w:rPr>
          <w:spacing w:val="-15"/>
          <w:szCs w:val="24"/>
        </w:rPr>
        <w:t xml:space="preserve"> </w:t>
      </w:r>
      <w:r w:rsidRPr="00F0636B">
        <w:rPr>
          <w:szCs w:val="24"/>
        </w:rPr>
        <w:t>Aboriginal</w:t>
      </w:r>
      <w:r w:rsidRPr="00F0636B">
        <w:rPr>
          <w:spacing w:val="-13"/>
          <w:szCs w:val="24"/>
        </w:rPr>
        <w:t xml:space="preserve"> </w:t>
      </w:r>
      <w:r w:rsidRPr="00F0636B">
        <w:rPr>
          <w:szCs w:val="24"/>
        </w:rPr>
        <w:t>and</w:t>
      </w:r>
      <w:r w:rsidRPr="00F0636B">
        <w:rPr>
          <w:spacing w:val="-14"/>
          <w:szCs w:val="24"/>
        </w:rPr>
        <w:t xml:space="preserve"> </w:t>
      </w:r>
      <w:r w:rsidRPr="00F0636B">
        <w:rPr>
          <w:szCs w:val="24"/>
        </w:rPr>
        <w:t>Torres Strait Islander people?</w:t>
      </w:r>
    </w:p>
    <w:p w14:paraId="49CBD64D" w14:textId="77777777" w:rsidR="00E9479A" w:rsidRPr="00F0636B" w:rsidRDefault="00E9479A" w:rsidP="00E9479A">
      <w:pPr>
        <w:widowControl w:val="0"/>
        <w:numPr>
          <w:ilvl w:val="0"/>
          <w:numId w:val="41"/>
        </w:numPr>
        <w:tabs>
          <w:tab w:val="left" w:pos="809"/>
          <w:tab w:val="left" w:pos="810"/>
        </w:tabs>
        <w:autoSpaceDE w:val="0"/>
        <w:autoSpaceDN w:val="0"/>
        <w:spacing w:before="123" w:after="0" w:line="278" w:lineRule="auto"/>
        <w:ind w:right="389"/>
        <w:jc w:val="left"/>
        <w:rPr>
          <w:szCs w:val="24"/>
        </w:rPr>
      </w:pPr>
      <w:r w:rsidRPr="00F0636B">
        <w:rPr>
          <w:szCs w:val="24"/>
        </w:rPr>
        <w:t>How</w:t>
      </w:r>
      <w:r w:rsidRPr="00F0636B">
        <w:rPr>
          <w:spacing w:val="40"/>
          <w:szCs w:val="24"/>
        </w:rPr>
        <w:t xml:space="preserve"> </w:t>
      </w:r>
      <w:r w:rsidRPr="00F0636B">
        <w:rPr>
          <w:szCs w:val="24"/>
        </w:rPr>
        <w:t>can</w:t>
      </w:r>
      <w:r w:rsidRPr="00F0636B">
        <w:rPr>
          <w:spacing w:val="40"/>
          <w:szCs w:val="24"/>
        </w:rPr>
        <w:t xml:space="preserve"> </w:t>
      </w:r>
      <w:r w:rsidRPr="00F0636B">
        <w:rPr>
          <w:szCs w:val="24"/>
        </w:rPr>
        <w:t>faster</w:t>
      </w:r>
      <w:r w:rsidRPr="00F0636B">
        <w:rPr>
          <w:spacing w:val="40"/>
          <w:szCs w:val="24"/>
        </w:rPr>
        <w:t xml:space="preserve"> </w:t>
      </w:r>
      <w:r w:rsidRPr="00F0636B">
        <w:rPr>
          <w:szCs w:val="24"/>
        </w:rPr>
        <w:t>progress</w:t>
      </w:r>
      <w:r w:rsidRPr="00F0636B">
        <w:rPr>
          <w:spacing w:val="40"/>
          <w:szCs w:val="24"/>
        </w:rPr>
        <w:t xml:space="preserve"> </w:t>
      </w:r>
      <w:r w:rsidRPr="00F0636B">
        <w:rPr>
          <w:szCs w:val="24"/>
        </w:rPr>
        <w:t>be</w:t>
      </w:r>
      <w:r w:rsidRPr="00F0636B">
        <w:rPr>
          <w:spacing w:val="40"/>
          <w:szCs w:val="24"/>
        </w:rPr>
        <w:t xml:space="preserve"> </w:t>
      </w:r>
      <w:r w:rsidRPr="00F0636B">
        <w:rPr>
          <w:szCs w:val="24"/>
        </w:rPr>
        <w:t>made</w:t>
      </w:r>
      <w:r w:rsidRPr="00F0636B">
        <w:rPr>
          <w:spacing w:val="40"/>
          <w:szCs w:val="24"/>
        </w:rPr>
        <w:t xml:space="preserve"> </w:t>
      </w:r>
      <w:r w:rsidRPr="00F0636B">
        <w:rPr>
          <w:szCs w:val="24"/>
        </w:rPr>
        <w:t>towards</w:t>
      </w:r>
      <w:r w:rsidRPr="00F0636B">
        <w:rPr>
          <w:spacing w:val="39"/>
          <w:szCs w:val="24"/>
        </w:rPr>
        <w:t xml:space="preserve"> </w:t>
      </w:r>
      <w:r w:rsidRPr="00F0636B">
        <w:rPr>
          <w:szCs w:val="24"/>
        </w:rPr>
        <w:t>improving</w:t>
      </w:r>
      <w:r w:rsidRPr="00F0636B">
        <w:rPr>
          <w:spacing w:val="40"/>
          <w:szCs w:val="24"/>
        </w:rPr>
        <w:t xml:space="preserve"> </w:t>
      </w:r>
      <w:r w:rsidRPr="00F0636B">
        <w:rPr>
          <w:szCs w:val="24"/>
        </w:rPr>
        <w:t>the</w:t>
      </w:r>
      <w:r w:rsidRPr="00F0636B">
        <w:rPr>
          <w:spacing w:val="40"/>
          <w:szCs w:val="24"/>
        </w:rPr>
        <w:t xml:space="preserve"> </w:t>
      </w:r>
      <w:r w:rsidRPr="00F0636B">
        <w:rPr>
          <w:szCs w:val="24"/>
        </w:rPr>
        <w:t>health</w:t>
      </w:r>
      <w:r w:rsidRPr="00F0636B">
        <w:rPr>
          <w:spacing w:val="39"/>
          <w:szCs w:val="24"/>
        </w:rPr>
        <w:t xml:space="preserve"> </w:t>
      </w:r>
      <w:r w:rsidRPr="00F0636B">
        <w:rPr>
          <w:szCs w:val="24"/>
        </w:rPr>
        <w:t>and</w:t>
      </w:r>
      <w:r w:rsidRPr="00F0636B">
        <w:rPr>
          <w:spacing w:val="40"/>
          <w:szCs w:val="24"/>
        </w:rPr>
        <w:t xml:space="preserve"> </w:t>
      </w:r>
      <w:r w:rsidRPr="00F0636B">
        <w:rPr>
          <w:szCs w:val="24"/>
        </w:rPr>
        <w:t>wellbeing</w:t>
      </w:r>
      <w:r w:rsidRPr="00F0636B">
        <w:rPr>
          <w:spacing w:val="40"/>
          <w:szCs w:val="24"/>
        </w:rPr>
        <w:t xml:space="preserve"> </w:t>
      </w:r>
      <w:r w:rsidRPr="00F0636B">
        <w:rPr>
          <w:szCs w:val="24"/>
        </w:rPr>
        <w:t>of Aboriginal and Torres Strait Islander people?</w:t>
      </w:r>
    </w:p>
    <w:p w14:paraId="2BE91ED1" w14:textId="77777777" w:rsidR="00E9479A" w:rsidRPr="00F0636B" w:rsidRDefault="00E9479A" w:rsidP="00E9479A">
      <w:pPr>
        <w:widowControl w:val="0"/>
        <w:numPr>
          <w:ilvl w:val="0"/>
          <w:numId w:val="41"/>
        </w:numPr>
        <w:tabs>
          <w:tab w:val="left" w:pos="809"/>
          <w:tab w:val="left" w:pos="810"/>
        </w:tabs>
        <w:autoSpaceDE w:val="0"/>
        <w:autoSpaceDN w:val="0"/>
        <w:spacing w:before="115" w:after="0" w:line="240" w:lineRule="auto"/>
        <w:jc w:val="left"/>
        <w:rPr>
          <w:szCs w:val="24"/>
        </w:rPr>
      </w:pPr>
      <w:r w:rsidRPr="00F0636B">
        <w:rPr>
          <w:spacing w:val="-2"/>
          <w:szCs w:val="24"/>
        </w:rPr>
        <w:t>How</w:t>
      </w:r>
      <w:r w:rsidRPr="00F0636B">
        <w:rPr>
          <w:spacing w:val="-6"/>
          <w:szCs w:val="24"/>
        </w:rPr>
        <w:t xml:space="preserve"> </w:t>
      </w:r>
      <w:r w:rsidRPr="00F0636B">
        <w:rPr>
          <w:spacing w:val="-2"/>
          <w:szCs w:val="24"/>
        </w:rPr>
        <w:t>well</w:t>
      </w:r>
      <w:r w:rsidRPr="00F0636B">
        <w:rPr>
          <w:spacing w:val="-4"/>
          <w:szCs w:val="24"/>
        </w:rPr>
        <w:t xml:space="preserve"> </w:t>
      </w:r>
      <w:r w:rsidRPr="00F0636B">
        <w:rPr>
          <w:spacing w:val="-2"/>
          <w:szCs w:val="24"/>
        </w:rPr>
        <w:t>are</w:t>
      </w:r>
      <w:r w:rsidRPr="00F0636B">
        <w:rPr>
          <w:spacing w:val="-6"/>
          <w:szCs w:val="24"/>
        </w:rPr>
        <w:t xml:space="preserve"> </w:t>
      </w:r>
      <w:r w:rsidRPr="00F0636B">
        <w:rPr>
          <w:spacing w:val="-2"/>
          <w:szCs w:val="24"/>
        </w:rPr>
        <w:t>the</w:t>
      </w:r>
      <w:r w:rsidRPr="00F0636B">
        <w:rPr>
          <w:spacing w:val="-5"/>
          <w:szCs w:val="24"/>
        </w:rPr>
        <w:t xml:space="preserve"> </w:t>
      </w:r>
      <w:r w:rsidRPr="00F0636B">
        <w:rPr>
          <w:spacing w:val="-2"/>
          <w:szCs w:val="24"/>
        </w:rPr>
        <w:t>methodological</w:t>
      </w:r>
      <w:r w:rsidRPr="00F0636B">
        <w:rPr>
          <w:spacing w:val="-4"/>
          <w:szCs w:val="24"/>
        </w:rPr>
        <w:t xml:space="preserve"> </w:t>
      </w:r>
      <w:r w:rsidRPr="00F0636B">
        <w:rPr>
          <w:spacing w:val="-2"/>
          <w:szCs w:val="24"/>
        </w:rPr>
        <w:t>approaches</w:t>
      </w:r>
      <w:r w:rsidRPr="00F0636B">
        <w:rPr>
          <w:spacing w:val="-5"/>
          <w:szCs w:val="24"/>
        </w:rPr>
        <w:t xml:space="preserve"> </w:t>
      </w:r>
      <w:r w:rsidRPr="00F0636B">
        <w:rPr>
          <w:spacing w:val="-2"/>
          <w:szCs w:val="24"/>
        </w:rPr>
        <w:t>used</w:t>
      </w:r>
      <w:r w:rsidRPr="00F0636B">
        <w:rPr>
          <w:spacing w:val="-5"/>
          <w:szCs w:val="24"/>
        </w:rPr>
        <w:t xml:space="preserve"> </w:t>
      </w:r>
      <w:r w:rsidRPr="00F0636B">
        <w:rPr>
          <w:spacing w:val="-2"/>
          <w:szCs w:val="24"/>
        </w:rPr>
        <w:t>in</w:t>
      </w:r>
      <w:r w:rsidRPr="00F0636B">
        <w:rPr>
          <w:spacing w:val="-7"/>
          <w:szCs w:val="24"/>
        </w:rPr>
        <w:t xml:space="preserve"> </w:t>
      </w:r>
      <w:r w:rsidRPr="00F0636B">
        <w:rPr>
          <w:spacing w:val="-2"/>
          <w:szCs w:val="24"/>
        </w:rPr>
        <w:t>the</w:t>
      </w:r>
      <w:r w:rsidRPr="00F0636B">
        <w:rPr>
          <w:spacing w:val="-5"/>
          <w:szCs w:val="24"/>
        </w:rPr>
        <w:t xml:space="preserve"> </w:t>
      </w:r>
      <w:r w:rsidRPr="00F0636B">
        <w:rPr>
          <w:spacing w:val="-2"/>
          <w:szCs w:val="24"/>
        </w:rPr>
        <w:t>evaluation</w:t>
      </w:r>
      <w:r w:rsidRPr="00F0636B">
        <w:rPr>
          <w:spacing w:val="-5"/>
          <w:szCs w:val="24"/>
        </w:rPr>
        <w:t xml:space="preserve"> </w:t>
      </w:r>
      <w:r w:rsidRPr="00F0636B">
        <w:rPr>
          <w:spacing w:val="-2"/>
          <w:szCs w:val="24"/>
        </w:rPr>
        <w:t>achieving</w:t>
      </w:r>
      <w:r w:rsidRPr="00F0636B">
        <w:rPr>
          <w:spacing w:val="-5"/>
          <w:szCs w:val="24"/>
        </w:rPr>
        <w:t xml:space="preserve"> </w:t>
      </w:r>
      <w:r w:rsidRPr="00F0636B">
        <w:rPr>
          <w:spacing w:val="-2"/>
          <w:szCs w:val="24"/>
        </w:rPr>
        <w:t>its</w:t>
      </w:r>
      <w:r w:rsidRPr="00F0636B">
        <w:rPr>
          <w:spacing w:val="-5"/>
          <w:szCs w:val="24"/>
        </w:rPr>
        <w:t xml:space="preserve"> </w:t>
      </w:r>
      <w:r w:rsidRPr="00F0636B">
        <w:rPr>
          <w:spacing w:val="-2"/>
          <w:szCs w:val="24"/>
        </w:rPr>
        <w:t>aims?</w:t>
      </w:r>
    </w:p>
    <w:p w14:paraId="5BE376B3" w14:textId="77777777" w:rsidR="006D416B" w:rsidRDefault="006D416B" w:rsidP="00176D34"/>
    <w:p w14:paraId="426A2B15" w14:textId="0DBE62DD" w:rsidR="00176D34" w:rsidRDefault="00176D34" w:rsidP="00176D34">
      <w:r w:rsidRPr="00D835E8">
        <w:t>The evaluation design and the KEQs were endorsed by the (then) Minister for Indigenous Affairs.</w:t>
      </w:r>
    </w:p>
    <w:p w14:paraId="1C0CCC69" w14:textId="6AD94DFB" w:rsidR="00D13E27" w:rsidRDefault="00D13E27" w:rsidP="0035030F">
      <w:pPr>
        <w:pStyle w:val="Heading2"/>
      </w:pPr>
      <w:bookmarkStart w:id="54" w:name="_Toc137208887"/>
      <w:r>
        <w:t>Phase Two – Evaluation implementation</w:t>
      </w:r>
      <w:bookmarkEnd w:id="54"/>
      <w:r>
        <w:t xml:space="preserve"> </w:t>
      </w:r>
    </w:p>
    <w:p w14:paraId="3406B824" w14:textId="03027673" w:rsidR="00932CDC" w:rsidRDefault="00E22F14" w:rsidP="00510453">
      <w:r>
        <w:t xml:space="preserve">Phase Two </w:t>
      </w:r>
      <w:r w:rsidR="00510453" w:rsidRPr="00884FAA">
        <w:t xml:space="preserve">involved implementing the evaluation in </w:t>
      </w:r>
      <w:r w:rsidR="00A407B3">
        <w:t>17</w:t>
      </w:r>
      <w:r w:rsidR="00510453" w:rsidRPr="00884FAA">
        <w:t xml:space="preserve"> geographically based evaluation sites across Australia</w:t>
      </w:r>
      <w:r w:rsidR="000C5EA1">
        <w:t>,</w:t>
      </w:r>
      <w:r w:rsidR="00510453" w:rsidRPr="00884FAA">
        <w:t xml:space="preserve"> </w:t>
      </w:r>
      <w:r w:rsidR="00510453">
        <w:t xml:space="preserve">across </w:t>
      </w:r>
      <w:r w:rsidR="006D2482">
        <w:t xml:space="preserve">3 </w:t>
      </w:r>
      <w:r w:rsidR="00B15995">
        <w:t>participator</w:t>
      </w:r>
      <w:r w:rsidR="00873112">
        <w:t xml:space="preserve">y action research (PAR) </w:t>
      </w:r>
      <w:r w:rsidR="00510453">
        <w:t>data collection cycles</w:t>
      </w:r>
      <w:r w:rsidR="000C5EA1">
        <w:t>,</w:t>
      </w:r>
      <w:r w:rsidR="00510453">
        <w:t xml:space="preserve"> including engagement</w:t>
      </w:r>
      <w:r w:rsidR="00510453" w:rsidRPr="00884FAA">
        <w:t xml:space="preserve"> at state, territory, and national levels. </w:t>
      </w:r>
    </w:p>
    <w:p w14:paraId="50EE9C17" w14:textId="51423BD7" w:rsidR="00224123" w:rsidRDefault="00224123" w:rsidP="0035030F">
      <w:pPr>
        <w:pStyle w:val="Heading2"/>
      </w:pPr>
      <w:bookmarkStart w:id="55" w:name="_Toc137208888"/>
      <w:r>
        <w:t>Approach to data collection</w:t>
      </w:r>
      <w:bookmarkEnd w:id="55"/>
      <w:r>
        <w:t xml:space="preserve"> </w:t>
      </w:r>
    </w:p>
    <w:p w14:paraId="569C0280" w14:textId="7046683E" w:rsidR="00B96471" w:rsidRDefault="00224123" w:rsidP="00224123">
      <w:pPr>
        <w:rPr>
          <w:lang w:val="en-NZ"/>
        </w:rPr>
      </w:pPr>
      <w:r>
        <w:rPr>
          <w:lang w:val="en-NZ"/>
        </w:rPr>
        <w:t xml:space="preserve">Consistent with ethics approval and </w:t>
      </w:r>
      <w:r w:rsidR="00AC0BAF">
        <w:rPr>
          <w:lang w:val="en-NZ"/>
        </w:rPr>
        <w:t xml:space="preserve">the </w:t>
      </w:r>
      <w:r>
        <w:rPr>
          <w:lang w:val="en-NZ"/>
        </w:rPr>
        <w:t xml:space="preserve">Monitoring and Evaluation Design Report, a mixed-methods approach was used to </w:t>
      </w:r>
      <w:r w:rsidR="003911E3">
        <w:rPr>
          <w:lang w:val="en-NZ"/>
        </w:rPr>
        <w:t xml:space="preserve">generate </w:t>
      </w:r>
      <w:r w:rsidR="00914914">
        <w:t xml:space="preserve">qualitative and quantitative </w:t>
      </w:r>
      <w:r w:rsidR="003911E3">
        <w:rPr>
          <w:lang w:val="en-NZ"/>
        </w:rPr>
        <w:t xml:space="preserve">data and </w:t>
      </w:r>
      <w:r>
        <w:rPr>
          <w:lang w:val="en-NZ"/>
        </w:rPr>
        <w:t xml:space="preserve">develop the evidence base to support the response to the KEQs. </w:t>
      </w:r>
    </w:p>
    <w:p w14:paraId="17E9F991" w14:textId="57195AA0" w:rsidR="00EE2A9A" w:rsidRPr="0014371B" w:rsidRDefault="00EE2A9A" w:rsidP="00EE2A9A">
      <w:pPr>
        <w:shd w:val="clear" w:color="auto" w:fill="FFFFFF" w:themeFill="background1"/>
        <w:spacing w:line="264" w:lineRule="auto"/>
      </w:pPr>
      <w:r>
        <w:t xml:space="preserve">The </w:t>
      </w:r>
      <w:r w:rsidRPr="0014371B">
        <w:t xml:space="preserve">evaluation acknowledges the data included in this </w:t>
      </w:r>
      <w:r>
        <w:t xml:space="preserve">report </w:t>
      </w:r>
      <w:r w:rsidRPr="0014371B">
        <w:t xml:space="preserve">cannot provide a full picture of health and wellbeing outcomes for Aboriginal and Torres Strait Islander people. The evaluation also acknowledges the real stories, people and experiences which sit behind </w:t>
      </w:r>
      <w:r>
        <w:t xml:space="preserve">the qualitative and </w:t>
      </w:r>
      <w:r w:rsidRPr="0014371B">
        <w:t>quantitative data</w:t>
      </w:r>
      <w:r w:rsidR="007B68FA">
        <w:t xml:space="preserve"> collection processes</w:t>
      </w:r>
      <w:r>
        <w:t xml:space="preserve"> </w:t>
      </w:r>
      <w:r w:rsidR="001B3E8D">
        <w:t>for this evaluation</w:t>
      </w:r>
      <w:r w:rsidRPr="0014371B">
        <w:t>.</w:t>
      </w:r>
    </w:p>
    <w:p w14:paraId="0617F79C" w14:textId="7D34B913" w:rsidR="00EE2A9A" w:rsidRDefault="00EE2A9A" w:rsidP="00EE2A9A">
      <w:pPr>
        <w:shd w:val="clear" w:color="auto" w:fill="FFFFFF" w:themeFill="background1"/>
        <w:spacing w:line="264" w:lineRule="auto"/>
      </w:pPr>
      <w:r w:rsidRPr="002D2A02">
        <w:t xml:space="preserve">The evaluation team respectfully acknowledge that </w:t>
      </w:r>
      <w:r>
        <w:t xml:space="preserve">the use of </w:t>
      </w:r>
      <w:r w:rsidRPr="002D2A02">
        <w:t xml:space="preserve">data cannot replace deep listening to understand the stories and experiences of Aboriginal and Torres Strait Islander </w:t>
      </w:r>
      <w:r w:rsidRPr="002D2A02">
        <w:lastRenderedPageBreak/>
        <w:t xml:space="preserve">people and that the diverse and living experiences of Aboriginal and Torres Strait Islander people should not be reduced to numbers and numerical trends. </w:t>
      </w:r>
    </w:p>
    <w:p w14:paraId="1D001F25" w14:textId="77777777" w:rsidR="007343E2" w:rsidRDefault="005B1AE3" w:rsidP="00EE2A9A">
      <w:pPr>
        <w:shd w:val="clear" w:color="auto" w:fill="FFFFFF" w:themeFill="background1"/>
        <w:spacing w:line="264" w:lineRule="auto"/>
      </w:pPr>
      <w:r>
        <w:t xml:space="preserve">The methods and data gathering processes adopted by the evaluation are intended to ensure that the values, knowledge systems, expertise and experiences of Aboriginal and Torres Strait Islander people </w:t>
      </w:r>
      <w:r w:rsidR="002D3843">
        <w:t>were at the centre of the evaluation.</w:t>
      </w:r>
    </w:p>
    <w:p w14:paraId="7C5F06C9" w14:textId="7EE0F788" w:rsidR="007343E2" w:rsidRPr="00295067" w:rsidRDefault="007343E2" w:rsidP="007343E2">
      <w:r w:rsidRPr="00295067">
        <w:t xml:space="preserve">The methods of data generation and analysis </w:t>
      </w:r>
      <w:r w:rsidR="00295067" w:rsidRPr="00295067">
        <w:t xml:space="preserve">and the primary datasets used across the evaluation are summarised </w:t>
      </w:r>
      <w:r w:rsidR="00295067" w:rsidRPr="00886771">
        <w:t xml:space="preserve">in </w:t>
      </w:r>
      <w:r w:rsidR="00295067" w:rsidRPr="00886771">
        <w:fldChar w:fldCharType="begin"/>
      </w:r>
      <w:r w:rsidR="00295067" w:rsidRPr="00886771">
        <w:instrText xml:space="preserve"> REF _Ref137110619 \h  \* MERGEFORMAT </w:instrText>
      </w:r>
      <w:r w:rsidR="00295067" w:rsidRPr="00886771">
        <w:fldChar w:fldCharType="separate"/>
      </w:r>
      <w:r w:rsidR="00165B17" w:rsidRPr="00165B17">
        <w:t xml:space="preserve">Figure </w:t>
      </w:r>
      <w:r w:rsidR="00165B17" w:rsidRPr="00165B17">
        <w:rPr>
          <w:noProof/>
        </w:rPr>
        <w:t>2</w:t>
      </w:r>
      <w:r w:rsidR="00165B17" w:rsidRPr="00165B17">
        <w:rPr>
          <w:noProof/>
        </w:rPr>
        <w:noBreakHyphen/>
        <w:t>1</w:t>
      </w:r>
      <w:r w:rsidR="00295067" w:rsidRPr="00886771">
        <w:fldChar w:fldCharType="end"/>
      </w:r>
      <w:r w:rsidR="00295067" w:rsidRPr="00886771">
        <w:t>.</w:t>
      </w:r>
    </w:p>
    <w:p w14:paraId="7494BE65" w14:textId="1FC67EED" w:rsidR="005B1AE3" w:rsidRPr="002D2A02" w:rsidRDefault="002D3843" w:rsidP="00EE2A9A">
      <w:pPr>
        <w:shd w:val="clear" w:color="auto" w:fill="FFFFFF" w:themeFill="background1"/>
        <w:spacing w:line="264" w:lineRule="auto"/>
      </w:pPr>
      <w:r>
        <w:t xml:space="preserve"> </w:t>
      </w:r>
    </w:p>
    <w:p w14:paraId="2296DA81" w14:textId="77777777" w:rsidR="00DB6AC6" w:rsidRDefault="00DB6AC6" w:rsidP="00224123">
      <w:pPr>
        <w:pStyle w:val="Bullet1"/>
        <w:ind w:left="0" w:firstLine="0"/>
        <w:rPr>
          <w:lang w:val="en-AU"/>
        </w:rPr>
      </w:pPr>
    </w:p>
    <w:p w14:paraId="7464F265" w14:textId="77777777" w:rsidR="0048550A" w:rsidRDefault="0048550A" w:rsidP="00224123">
      <w:pPr>
        <w:pStyle w:val="Bullet1"/>
        <w:ind w:left="0" w:firstLine="0"/>
        <w:rPr>
          <w:lang w:val="en-AU"/>
        </w:rPr>
      </w:pPr>
    </w:p>
    <w:p w14:paraId="13263697" w14:textId="70C15121" w:rsidR="00B2201A" w:rsidRDefault="00B2201A" w:rsidP="00224123">
      <w:pPr>
        <w:pStyle w:val="Bullet1"/>
        <w:ind w:left="0" w:firstLine="0"/>
        <w:rPr>
          <w:lang w:val="en-AU"/>
        </w:rPr>
        <w:sectPr w:rsidR="00B2201A" w:rsidSect="009173B7">
          <w:pgSz w:w="11909" w:h="16834" w:code="9"/>
          <w:pgMar w:top="1440" w:right="1440" w:bottom="1440" w:left="1440" w:header="720" w:footer="720" w:gutter="0"/>
          <w:cols w:space="720"/>
          <w:titlePg/>
          <w:docGrid w:linePitch="360"/>
        </w:sectPr>
      </w:pPr>
    </w:p>
    <w:p w14:paraId="7EFA6BB6" w14:textId="122E1BD0" w:rsidR="006D5039" w:rsidRDefault="004851C1" w:rsidP="00224123">
      <w:pPr>
        <w:pStyle w:val="Bullet1"/>
        <w:ind w:left="0" w:firstLine="0"/>
        <w:rPr>
          <w:lang w:val="en-AU"/>
        </w:rPr>
      </w:pPr>
      <w:r>
        <w:rPr>
          <w:noProof/>
          <w:sz w:val="16"/>
          <w:szCs w:val="16"/>
          <w:lang w:val="en-AU"/>
        </w:rPr>
        <w:lastRenderedPageBreak/>
        <mc:AlternateContent>
          <mc:Choice Requires="wpg">
            <w:drawing>
              <wp:anchor distT="0" distB="0" distL="114300" distR="114300" simplePos="0" relativeHeight="251658286" behindDoc="0" locked="1" layoutInCell="1" allowOverlap="0" wp14:anchorId="0DEDB8AE" wp14:editId="18CF9EBB">
                <wp:simplePos x="0" y="0"/>
                <wp:positionH relativeFrom="column">
                  <wp:posOffset>-750498</wp:posOffset>
                </wp:positionH>
                <wp:positionV relativeFrom="page">
                  <wp:posOffset>215660</wp:posOffset>
                </wp:positionV>
                <wp:extent cx="10303200" cy="7207200"/>
                <wp:effectExtent l="0" t="0" r="3175" b="0"/>
                <wp:wrapNone/>
                <wp:docPr id="1319868395" name="Group 1319868395" descr="Diagram showing evaluation methods"/>
                <wp:cNvGraphicFramePr/>
                <a:graphic xmlns:a="http://schemas.openxmlformats.org/drawingml/2006/main">
                  <a:graphicData uri="http://schemas.microsoft.com/office/word/2010/wordprocessingGroup">
                    <wpg:wgp>
                      <wpg:cNvGrpSpPr/>
                      <wpg:grpSpPr>
                        <a:xfrm>
                          <a:off x="0" y="0"/>
                          <a:ext cx="10303200" cy="7190201"/>
                          <a:chOff x="0" y="8498"/>
                          <a:chExt cx="10302875" cy="7189617"/>
                        </a:xfrm>
                      </wpg:grpSpPr>
                      <pic:pic xmlns:pic="http://schemas.openxmlformats.org/drawingml/2006/picture">
                        <pic:nvPicPr>
                          <pic:cNvPr id="131071273" name="Graphic 1"/>
                          <pic:cNvPicPr>
                            <a:picLocks noChangeAspect="1"/>
                          </pic:cNvPicPr>
                        </pic:nvPicPr>
                        <pic:blipFill>
                          <a:blip r:embed="rId53">
                            <a:extLst>
                              <a:ext uri="{96DAC541-7B7A-43D3-8B79-37D633B846F1}">
                                <asvg:svgBlip xmlns:asvg="http://schemas.microsoft.com/office/drawing/2016/SVG/main" r:embed="rId54"/>
                              </a:ext>
                            </a:extLst>
                          </a:blip>
                          <a:srcRect/>
                          <a:stretch/>
                        </pic:blipFill>
                        <pic:spPr>
                          <a:xfrm>
                            <a:off x="0" y="8498"/>
                            <a:ext cx="10302875" cy="7189617"/>
                          </a:xfrm>
                          <a:prstGeom prst="rect">
                            <a:avLst/>
                          </a:prstGeom>
                        </pic:spPr>
                      </pic:pic>
                      <wps:wsp>
                        <wps:cNvPr id="177541172" name="Text Box 1"/>
                        <wps:cNvSpPr txBox="1"/>
                        <wps:spPr>
                          <a:xfrm>
                            <a:off x="120770" y="86265"/>
                            <a:ext cx="10058172" cy="218392"/>
                          </a:xfrm>
                          <a:prstGeom prst="rect">
                            <a:avLst/>
                          </a:prstGeom>
                          <a:noFill/>
                          <a:ln>
                            <a:noFill/>
                          </a:ln>
                        </wps:spPr>
                        <wps:txbx>
                          <w:txbxContent>
                            <w:p w14:paraId="00ACCD2F" w14:textId="156C2292" w:rsidR="004851C1" w:rsidRPr="004851C1" w:rsidRDefault="004851C1" w:rsidP="004851C1">
                              <w:pPr>
                                <w:spacing w:after="0" w:line="240" w:lineRule="auto"/>
                                <w:jc w:val="center"/>
                                <w:rPr>
                                  <w:b/>
                                  <w:bCs/>
                                  <w:sz w:val="24"/>
                                  <w:szCs w:val="24"/>
                                </w:rPr>
                              </w:pPr>
                              <w:bookmarkStart w:id="56" w:name="_Ref137110619"/>
                              <w:bookmarkStart w:id="57" w:name="_Toc138851309"/>
                              <w:r w:rsidRPr="004851C1">
                                <w:rPr>
                                  <w:b/>
                                  <w:bCs/>
                                  <w:sz w:val="24"/>
                                  <w:szCs w:val="24"/>
                                </w:rPr>
                                <w:t xml:space="preserve">Figure </w:t>
                              </w:r>
                              <w:r w:rsidR="005B4A4F">
                                <w:rPr>
                                  <w:b/>
                                  <w:bCs/>
                                  <w:sz w:val="24"/>
                                  <w:szCs w:val="24"/>
                                </w:rPr>
                                <w:fldChar w:fldCharType="begin"/>
                              </w:r>
                              <w:r w:rsidR="005B4A4F">
                                <w:rPr>
                                  <w:b/>
                                  <w:bCs/>
                                  <w:sz w:val="24"/>
                                  <w:szCs w:val="24"/>
                                </w:rPr>
                                <w:instrText xml:space="preserve"> STYLEREF 1 \s </w:instrText>
                              </w:r>
                              <w:r w:rsidR="005B4A4F">
                                <w:rPr>
                                  <w:b/>
                                  <w:bCs/>
                                  <w:sz w:val="24"/>
                                  <w:szCs w:val="24"/>
                                </w:rPr>
                                <w:fldChar w:fldCharType="separate"/>
                              </w:r>
                              <w:r w:rsidR="00165B17">
                                <w:rPr>
                                  <w:b/>
                                  <w:bCs/>
                                  <w:noProof/>
                                  <w:sz w:val="24"/>
                                  <w:szCs w:val="24"/>
                                </w:rPr>
                                <w:t>2</w:t>
                              </w:r>
                              <w:r w:rsidR="005B4A4F">
                                <w:rPr>
                                  <w:b/>
                                  <w:bCs/>
                                  <w:sz w:val="24"/>
                                  <w:szCs w:val="24"/>
                                </w:rPr>
                                <w:fldChar w:fldCharType="end"/>
                              </w:r>
                              <w:r w:rsidR="005B4A4F">
                                <w:rPr>
                                  <w:b/>
                                  <w:bCs/>
                                  <w:sz w:val="24"/>
                                  <w:szCs w:val="24"/>
                                </w:rPr>
                                <w:noBreakHyphen/>
                              </w:r>
                              <w:r w:rsidR="005B4A4F">
                                <w:rPr>
                                  <w:b/>
                                  <w:bCs/>
                                  <w:sz w:val="24"/>
                                  <w:szCs w:val="24"/>
                                </w:rPr>
                                <w:fldChar w:fldCharType="begin"/>
                              </w:r>
                              <w:r w:rsidR="005B4A4F">
                                <w:rPr>
                                  <w:b/>
                                  <w:bCs/>
                                  <w:sz w:val="24"/>
                                  <w:szCs w:val="24"/>
                                </w:rPr>
                                <w:instrText xml:space="preserve"> SEQ Figure \* ARABIC \s 1 </w:instrText>
                              </w:r>
                              <w:r w:rsidR="005B4A4F">
                                <w:rPr>
                                  <w:b/>
                                  <w:bCs/>
                                  <w:sz w:val="24"/>
                                  <w:szCs w:val="24"/>
                                </w:rPr>
                                <w:fldChar w:fldCharType="separate"/>
                              </w:r>
                              <w:r w:rsidR="00165B17">
                                <w:rPr>
                                  <w:b/>
                                  <w:bCs/>
                                  <w:noProof/>
                                  <w:sz w:val="24"/>
                                  <w:szCs w:val="24"/>
                                </w:rPr>
                                <w:t>1</w:t>
                              </w:r>
                              <w:r w:rsidR="005B4A4F">
                                <w:rPr>
                                  <w:b/>
                                  <w:bCs/>
                                  <w:sz w:val="24"/>
                                  <w:szCs w:val="24"/>
                                </w:rPr>
                                <w:fldChar w:fldCharType="end"/>
                              </w:r>
                              <w:bookmarkEnd w:id="56"/>
                              <w:r w:rsidR="00E800B3">
                                <w:rPr>
                                  <w:b/>
                                  <w:bCs/>
                                  <w:sz w:val="24"/>
                                  <w:szCs w:val="24"/>
                                </w:rPr>
                                <w:t>.</w:t>
                              </w:r>
                              <w:r w:rsidRPr="004851C1">
                                <w:rPr>
                                  <w:b/>
                                  <w:bCs/>
                                  <w:sz w:val="24"/>
                                  <w:szCs w:val="24"/>
                                </w:rPr>
                                <w:t xml:space="preserve"> Methods, analysis and data set diagram</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EDB8AE" id="Group 1319868395" o:spid="_x0000_s1069" alt="Diagram showing evaluation methods" style="position:absolute;left:0;text-align:left;margin-left:-59.1pt;margin-top:17pt;width:811.3pt;height:567.5pt;z-index:251658286;mso-position-horizontal-relative:text;mso-position-vertical-relative:page;mso-width-relative:margin;mso-height-relative:margin" coordorigin=",84" coordsize="103028,7189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6C1/9SgMAALIHAAAOAAAAZHJzL2Uyb0RvYy54bWycVV1P&#10;2zAUfZ+0/2D5HfLRQUpEmToYaBLaqsHEs+s6jbXE9myXhv36HTsJpbDvh6bX9vX1ueeea5++7dqG&#10;3AvrpFYzmh2mlAjF9Uqq9Yx+ub08mFLiPFMr1mglZvRBOPr27PWr060pRa5r3ayEJQiiXLk1M1p7&#10;b8okcbwWLXOH2giFxUrblnkM7TpZWbZF9LZJ8jQ9TrbarozVXDiH2Yt+kZ7F+FUluP9UVU540swo&#10;sPn4tfG7DN/k7JSVa8tMLfkAg/0HipZJhUMfQ10wz8jGyhehWsmtdrryh1y3ia4qyUXMAdlk6bNs&#10;rqzemJjLutyuzSNNoPYZT/8dln+8v7LmxiwsmNiaNbiIo5BLV9k2/AMl6SJlD4+Uic4TjsksnaQT&#10;FIISjsUiO0mRR88qr0H9buP0zcl0XHj/ZHc+LY7G3dOT46wITsl4erKHyUhe4jcQAesFEX8WDHb5&#10;jRV0CNL+VYyW2a8bc4CaGeblUjbSP0T9oToBlLpfSL6w/QCcLiyRK7AzydIiy4sJJYq1kP/VoLRI&#10;UdgYfPudLGR2rflXR5Q+r5lai7kzEDDCREr23ZMw3Dt22UhzKZsmlCzYQ4IQ+zOx/ISjXogXmm9a&#10;oXzfWVY0yFUrV0vjKLGlaJcCSdkPq6HCzvLPABh7yHkrPK9D7QKyHZgwctDXLxW1E8ZTUf1eFiDL&#10;On8ldEuCAVDAgVqwkt1fu4AIChpdBkg9iIgOmILaceW4kSaMXhD1T111UzMjACGEfaKAojh6k2VF&#10;PirgNiT5Tnckcjg4h/4jvsP0UOww/wvSsjwtCvQb2m16nB8f9T21oy49msbjQj/m2XRyku811I6W&#10;v2KOlUoHUcUaNyow/DgBisMMWnQEGyzfLbte/LHdw9RSrx6QoNUoFJA7wy8lqnbNnF8wi/sWk3hD&#10;/Cd8qkZvZ1QPFiW1tt9/Nh/8UTCsUrJFV82o+7Zhoa+bDwqlREg/GnY0lqOhNu25xpOQRTTRxAbr&#10;m9GsrG7v8LTMwylYYorjrBn1o3nu+1cETxMX83l06q+Ha3VjcKlkUY5Bg7fdHbNmoNujUh/1KJYX&#10;eu19e5rnG68rGcW8Y3HgG8KNVnwYYO29PE/H0Wv31J79AAAA//8DAFBLAwQKAAAAAAAAACEA/QFN&#10;hqQSDACkEgwAFAAAAGRycy9tZWRpYS9pbWFnZTEucG5niVBORw0KGgoAAAANSUhEUgAACcQAAAbQ&#10;CAYAAABAfMVZAAAAAXNSR0IArs4c6QAAAARnQU1BAACxjwv8YQUAAAAJcEhZcwAAIOUAACDlAXgV&#10;5EAAAP+lSURBVHhe7P0Jt2RVlbeL/z+CY9wPcB33A7yvY9yh9VaVloAKZEK2JJkJIiAC0kmBYouW&#10;2JVSWmKVaJVaSnVWee1SkmxIukxIBKTJBKQVMItGEky4qWXZFb43/vsXETNinnnm7qI5J87J5xnj&#10;GZAndrP22mvPudba68T5/wEAAAAAAAAAAAAAAAAAwMKyZcuWV81156vlt7dse433O1uuO0p+d8v2&#10;tUO3ndnT/2x07RxendvKpPL1iw0AAAAAAAAAAACzQt0Eo5/wmzspaBOM28783pbrLokW219R5Xe3&#10;br+qzmy/aDyvn/gsPmeyEgAAAAAAAABgTPzckZ8z8vNENjej+Rqb2/ne1u3XfO/abVu+d+323X33&#10;y+9eu+1Az+2HzeLnnaXu8Hp611f8TNfbv3bVQ6HqpNDPf9mcls1jMX8FAAAAAABQ4Aej5QPS4cDU&#10;a4PUaNwuHscGZqad07SyMHADAGiPj+sWV+fG9IpJxiNsonESJhOV/cnKuROVNlmpOpcxZ+oeSXIf&#10;QI6eC8Uzi2Xd58fHr2HsCnErxq/hz2zb3n7D59WeU3s2rX/aLwoAAMBMcPjw4VfJgwcPv/rFF198&#10;zaFDh4564dChtS+++NKZP//5S5fIFw8duuLQyy9f1fXQy9e89NLLW37+0su75aGXXt4/8NBLB+TP&#10;D7102Ft81mnjnH37xyx+vl/n07mlyiFVNtktZ1FmlV/qenRd/csEmBr+GbLnyJ4le57smfLPlT1b&#10;c56v/jNmWnu35y197kx7VipMn60qwzns/FYu/yx2Lcofn0mp67f6UN3wfB55xDmmOLfUHTeVjslm&#10;f/5oOE6cO1as1u/T3Oz8C6XKXfy3uC/DuSob99rclMa+krEvAAAAAADMDFUD0sFLQjcYjQM3GxQt&#10;Cbfu+M/vX7fjZ3LLdTse23Ld9Xf+YNvOXfLa7dd/R27decPXv791+2fktdft/ODWbbsuUJ3YgM5e&#10;aDKwWz4MJ2aGz4LX7r0cPiPl+u2lHcfajc7TPzXAWGTtdtgW5y9as4UaRTxUPA+LPmY3plvZhloe&#10;mrMYxbRrS+xP2gWLfLDNtJywdceuW+Z6w/6uO2/8cXTbzhsfldft2PX0lm07DxX7v/z9rTt/I4vz&#10;pte0UH5/647fFrnt8HU7bzi466ZbHpU33nLr/t17f7jn5j23X3/Hnff+2z337v/6vvt/fPUTTxz4&#10;+LPPPvtBe3HhtRc5/mWG11782AsO014Q9ZsswNRQLLQYaH3YfrwbxLj4fCyWvdhVxJ/+CwR7cUDf&#10;EmCI7+P4fo60Pvawz9Pr95jW/6lTz58326ZMf76evizlf9pK2jX1tOtkfADjYQty1BezPpsturFF&#10;NnMW0hzqLY4p/r9z8IUX5/ncc8+PbXZcnW+htcU/fgFPd9FO0ce1vqzqrl+VsEywcYg9F1L32p4P&#10;3X+/MC0uSFNbmbcArb9QbLCoLGlv2M7B4ryifuMzaovqeEZnA+uXqS9j/Z1Bv2gRF7PFeaLiZ/25&#10;of6cT38ebPCOY15fLu+7Wb9tVvtuw3L0yqVyWtntmnxfVddcfDbo986dIxzet34dpnU9qnH82z1/&#10;Uabiv4yBAUbAP/8+VumZGj7/eRyYhP6Ycx2eV2WJ+rJa7Oq5+DEVAACmyDBxRUkEMMRP4sSJnDiZ&#10;4yd09FL74cd+8vf37HvgW3ffd/+uO390757de+/Yd/2Ntxzcvuuml6/dsevXW67b+d/ZQGUSXrt9&#10;18Btu26a466b9szz5j175/0s7uePmZ1zsfzBtuv/93U7b3ilqNvf33Dzrb+65dbbfyH33H7Hwb13&#10;3v3sHXfd/ai8+559D96374G9Dzz4yM0PP/L4zh8/8th3fvofT3/9iacOfOGZ5577TPwtSql7a/da&#10;6t5bW1C76DeTZY/Fw/kd/PmLfpKJGDcZM1z4M+1JmSa6CZveYp3+5ICuywYLygf9ahiZ8vobDoyy&#10;epxTn2a3Xr2DOp5nEWP2Xrvt+nukFg4VsecJueuWPU/ecMuep2/afdvzN92695C052b3bbf/eu8d&#10;d/1q7x0/+r155933/c579737f+vdd/+Dv3ngwYcPmQ898vhP5aM/eWK/fOTRn+x98qmf3vL00898&#10;R+q5y545/7xN4jmzeu85d5Dq679pG7b2shhtd/jc+AnGrkXZ+m2hKLOVX9di1yWtnema1f5Mqw/f&#10;97nvvvv+Txlzns93lusav7xY5BcY9hLQXhAeePqZThH7uz76+JNdH3r4sa73P/BQ55599w+86959&#10;ndvvurvrrbff0c2Xps+Vuk+TUsfT8XU+nVflULlUTpVZ15BdZ1MH96B/T+wliLR7Zy9E7KVI1/69&#10;1n034zPsn2NrP0di3lyuKE4odnTjimJlEYP6cSlty5lzY9nc+OVjl49bufZ5N2fPfbHQj91tyyb7&#10;Mb4bW+24hYM+gVRd2BhBWhu3Nm/as2DPhsVQeeDAMxdovOBVbpQ/O3jwy97BM9jXP5/2zHrteZ6j&#10;f96dFg/KLPZN48i0zcpiZtdR7DPnen19+PqSc+rTclgS25ZyfPN9H3tm7LkdPieDfs68frqehSNZ&#10;q4denQzGC6H/5fpg/ThmWj27GNJ1bmwbxjfFF3N+36zXP5P92wtTwOrYnpudN+15w64b95578+7b&#10;L711751/q19i2Hv7nVs0r7P3jrv3a57hh3fd83MbN2V9xDinMqvzKb5c0pfZrsNfm67VtD6yVJ9Z&#10;+n60+q/S+tnS+t7WFzfVP//pgaf/85lnfvbsM888t0vjxuLn3bka5cynnnrqRIu7/dsGY+D7ML7f&#10;4vsrZWM+3/8Y5N4iFw/ydJLXl4rZuNHGjnHcKK2NS2v39iy01T87Uf8cZc+QymhlllNdAFvca+tT&#10;Wb/J+kf95gUVlPXRrJ/mxjL9/tnk+2bumP1+zbAvY/2XYZ9l2E+Z20dZPn0Ti4de6+ObFienaTzn&#10;gw8+9j/uvPP+12+//sYTr9tx41v1pQFS96d7j7ptRfeu115GGfua/X17fdviuDp+f5zNojlYtsR4&#10;XB2LF+d9wGJquSIZD6te+vbzRz92WB6JY+FB3daMg3v5ZTgG7t8qAJgVug90NxD0Hnx72H2n0R7m&#10;/i4pWedLxs6QN+s8tTE7ZjSWp1/cRcM63JasVL+9ADp8qT1MWronvcRlSWucxFWSBIaBvx/0df+7&#10;7cIFeZXTtwUC+mhYO1Tb9G250cRN1eRNgwkcmxTRRIMmH2zSQxMXNulpE52+3TTVJiBt0tEmGG1i&#10;xCZA/MSHTc7YhMdUJz1qtPNbPZnZ5FGcLLJJVD+RbPU5Tp2Oqk0E273wE79+wtdPTj340CO/1mKg&#10;hx95/MXHfvLUE3Ex0OM/eepaW4DX9YkDH9fEbndy9z/+462a4JWPP/74GzTo1YKUYbyrcthRVHwx&#10;LeZI62TGODmIlSFeyknEzEk6jL/1ZvuPa+/YboLAxfxQfxPLOUeSFv/smffPn3njLXtfufGW2367&#10;84abf7Nj182/2n79zb/oLjDevutX+hYu2f1msOt2/jo7x0Jo7aSsj2DPXfFchsHgsL/o+wmyn/4a&#10;4fOj5UWfEy0XWh4sYveyeoExC1rus7znc57lO8tz1tZ9G2qr9rf8ZHlJ59T5VY6sjLNgt61pEYvs&#10;t0O1SXu54her2IuWbr+uvzjFXrpIP2bpPwowBoo7ikP9uFSMc7v5rchr9fmsv013XGyxzsZBvdg2&#10;3vjHxgF1YwGLfT7+qe9lv6hy2w/vvPPmW29/Qr+ool9SidfRVMtV9kybMX9Je94t32XHa2Nd3lQ5&#10;LDb4/mvsw1o/VnHD9GMNuaAvWZeJMcbNi29JbFO7tbimNm1xzfoD1kfwffpBXz70P31bmYa9/o45&#10;p99Tp/WVm5jtP9DOO9dhuYpt0rIvF2P9y+LnVj/9Ouz3QU03dvF9Uq/1T4d9VK+NKXsqtldpbXZc&#10;/TFjGXz5rNzFdnN/yaX7jOhbiXfu1bfU69vqt26//qe9bxXe8VvVJy5N9cuRxX19Rb9sWvj7Yiz4&#10;O40JdW/1zdHFvX6xuMcHu3+pYOv2Z2Wx39Mlz02dPj6N/Yz5tquFDlKLHm7afdtmeefd922Sjzzy&#10;+OYiL5/bnTMq9H2bbv7wc579+U4Zx3pyuYz34ryjzYuqzxLnHaX6PTYOU58o9tcm2T+bVX2fMfYT&#10;s/6h7xv6fqHvE1b1B62/o/ap/o36NP3u/LKg1zcbzsFaPvI5qJd7urGiG0Mm2T+x/F/8f3HsYfyx&#10;mDOMMXPfS1qfsn8ZM0c2zvNju6rYZ/FPsW9O/Eti4HKJhd4511Vc68GDLzytBeZ6R3H/gw8/fec9&#10;9x3UFwfsuunWw3LUMbDyapGr7tq+66adO2+4+R9333r7Z4o4crYW7tnYRfZvKcCiYmNoxUKLz/3Y&#10;PJVxs8V5i9Gur/l00R99sOfOh6XGI2b2V1H0V1Bk8fPnvPoLJGaR238ZVV9YfWIzlnEpG+u2+Fno&#10;o+f9cd13c34/vDemVK40hznTnO3cCUsPa1PWl1S7833Jbhsd9CXVrq0/ua3YbZEXqfcfvvQhLbMY&#10;tP9/VQORqkGIaYMRG5CYNjCxwckk9cc27bz6TT7zJ08+9avHf/LkQXW6pH1rzL37HnjOVEdMv1Vp&#10;qlPW/aaa3bc9X9TJoe6L7kJ10Kb9bVqLrf+GK73sH35Dz12/+uGP7v3lj+657/C+/Q+8bPWoupVP&#10;/fQ/ftb77cmfPWud+0r9YKDQBgmmTZzYwHWO/UGGTdy3cTBAMd1x7XxWhjllLMo8p0OfdPjH0dq0&#10;2q89V37CRM+iTZIUHYr03tWp/bS/1POt49oz7ScTVJasjDhff99Uh7pvFiNVtxY7bVLHT3bZRFd2&#10;r7C5vgNa/Lvf+Zw7CeMnYmJH03cwzdjJlP00OzbDY8ZORq+joXJ2y9rtZPQ6GLo+Xes0rO7A9+ux&#10;X5feH2zf9eXrb7l16823/fBO5U3lUWvv46i4lGnPkGn9FGnPlT1b9nyZs/6cqR9muVeL62RxDd0+&#10;iL49r7iuh1XP8vY77rpe3whx+w9/9A933rXvb4uc/OE77rr7knv2PXC2XlBoEau0l9demwyq0m9v&#10;k37SL+7wk3+WRy13FnFxkC9jvMSlo+U2y2n2fFoes2csa89N1L42zrBj23hC583KtJS1ieDus+H6&#10;uYM+aPEcDfqqxfNVtRiln0qWHcqLyon9vKxf8GqU//qfd/N+d4Be5PheHt8yiGkWx7IYNmdsUDUW&#10;sPs3pXFAVM+g9SvtGbE8R9+xWtWPtD6A9Qus/qzv4PsU1tewujZtLGZ9e6l7YuoemTYPYeOpTN3X&#10;UczaiIzbxfP5Mlk5rex2PXaNul7f57L+ldXfpPpT1ucs/r/XXy/6lGV9dfWR5dz++eT75ovF8Fps&#10;3JH/QtFwnNAbK5hWV1J1Z1p9zum7D/r03dhqdvv8Ngbo2RsXFD9P7x8unj62+bgWY1qMZ/aM+1iW&#10;xTDpY4aMMSVaFX/KjOeIZZBWPtPKHWOW18cv0+rG4n+MaabVbVbv2FyrR2unvq1ae/Vt1vT3zLT7&#10;acb7PYrxmDKe18qUtRk5K20m1nPTui4zXr/X14U5a/WR6esnq5Pe9d718q0/vPPh3Xt/uEeLaa7d&#10;tusLvh8y1Ofhnpajm5jt748f87nl8UEuH+Zvl7cnn6/n9tF0vmE/bVgv8xe19bs1M4cfCzaax2Iu&#10;a9FVP8H6AZbr9azq2dWz7NtrU/X82zOv4+kLBOxd5jPP/uxhPz9TOkdT2J07cHM1fr7Gz9nYvM1y&#10;nruB+SgWKi5afO/GS8XOfuxuG6+/v3XHr/QLM1rwueOGm++7cfdtRVO+fY/eB+ibovXLlfprU489&#10;8eS/6ksv9E3G+kbj5w++sFcWz9OizGO1tWwskY0VsrFB03FB1qdZCn2Zpmqxoa1b2bpj12/t3ZL+&#10;epn/C2a2xsPWeZT95SVpdezr3e6FtPvj71vR9n5hWpuLWptMtXbrtBgdY7V3ELe9Ns/b18dzi+le&#10;i+9ei/VZzPex32t5IGp5IbMfRirxc0dxzsj3La2/Jr+/dftn9P6267ad39xy3Y5tRVvp/lJebzHs&#10;9me/t3XHf2ZtqrHFefpFXBysIHrQ7aG3TsOoHQdsrgVO1bUNuKzTpfthQdqCSVnwyLTtLOj4YGQJ&#10;wAd9H/At0PsAn5V/0lpdxPqwOrF6sXJb3fiAa9dbVlc+cRZBcuL64/v7YPfC3wO7D3YvdG1l98KS&#10;rrWZrP6aqv11rNjWVB6rt2nVD05Oa2PWzsral3/OrX35tmXta6Gf9zqtrUuLCdfftPsPWnirTpkW&#10;Ie++7YdP33bHj57UpJS+MUWLf7r+8Ef/cO++Bz9jC3/27XtwpX1zXT/9HRGo0zPs6PQ6OZowi5Nm&#10;pnWAtK32k37iqunklTpu6vh1O4xF57PfSU3b8VLQx/T4zPnnzj97/hks029n+9sxLW/Y+awMWfkQ&#10;l5Jqx2rb9rxYjrK8pHif5YQmal/r29hxdQ57po7kZ2jOREJ/kiBOBsTBvg3o4+DdD9D7YX8q+EnC&#10;bm5Snrq28Z8S/YUG7UWb+Ndbdt/2dfUJHnrksc/an/Ds5iabMLGJlqTelpOWxyxvWf6xZ6VJnoo5&#10;KtNyZNT2tfOb/hx2XiuTzMZHdf3YWenL4nx1b3S/bCxq99fam7Uv6/t0228/dlncsglLH6ssRi1E&#10;bIJq/OSr6Sdg5XAStjdGMW0sorGKOWesUr9oz+wuApDDxXtmb1GAt9guba+T8vv6FuitO3/X/9aD&#10;V67becPv9Yst266/8X/b82Aqplmcs7ka6eN0WUye89zggqu6N3UvTLs/0u6Z6fOh1+fGUbX24vX5&#10;1bQ2Ji3XluVby7nS8i65dzJaHao+6+KB3U/dZ7UXa08xFiyVeBCfm/i8xOfCt2Xfbn17tTZKu6x2&#10;mAvdLx8UDvLuYI5w6SxsE/bSWGNXezGtPqO96FZ/0saDR8pY8EhW8cRiiOKG4oXihGJEfCaaaLHa&#10;YrPFI4tRFrssFmdlqnPQLt0cjlS79XM5fj7HxkhVizn84g2b7zH9vI/0izb8PJDXnrXM/uO4KGTl&#10;MbPriNcqfV34epKxHp999tkP6q8pac5Ji8/uvPu+H9z5o3v37N57x76irT2884abn7W/EtP2i3PU&#10;3pTT1N6U86ytWd5fKrl+uRv7MtafiX2Z2J+J/fPYr/F9G9+/MZdzP0fXZvprtn6y9HVjWr1lWt1m&#10;Wj97oYzn9+WM1+SvWfr68PUks7qcpnZeuze+rnWdatf6TNtqfqcfphcHK7QeyuxBNv0DPOogJN4c&#10;O/cs6m+i3UhT12Q31W6s3Vy7wRbMVEeqL0tQ0jpDSzVZ+YAeg3hsC74d+DaQ1fmsaPd+FLPjLYQ6&#10;t7VTa5/WJtUOrf1Z28vuK2KVFrOkxQCLA6Pqj+OPn51/KrpBZRxE+gGjDRBtEGSDpX4aPaLRQFJ1&#10;MphY6k8mzalnRMQRtBxj/Uz1L9W3sX7lOP0u6zNZf8n6rzqP+kxS58/KhbnZhG3lZG2RM7Q4Tb+h&#10;qglDLWbXt1puv+HmA/rzCU3/DJx+s1F/NkXfPKpv8dZvbuu3C2P58MjW91+tH2rPehzPymxS0sa3&#10;ps0FWEwybc7Axr42/l3s8eIoWpntOuzapK7V6sDqR3VVNgey4P38QotJFocs9vg+vu/fq1/b7+IC&#10;DNAvVEn7VmX92ccDB565QC++lMeef/7gNwffrKD2xlgIsavF/br8G/Owzaf7POxzselzcszNZszR&#10;dcb9vf48sSxWRiu75ULLh9Ku2+pBdbIYufFIN7bJ2BazNujbm7UH326yvp9UH0qLoLX4QWOb71+3&#10;89f6Fp+sz+UXaef2FnUX2w4WfBfuHi4OL+x/O5vUC8fhYrbet9bZgralsqjNY4tYtEjFFqQM5iEL&#10;1c9Tf6+4x8xJYmsVFywWKAboudfzrudbz7Ke0UmoYylW+LxiccZyhuUKyxFZeXHyWj6OucFygs8F&#10;PvZbrM/udxO1r+UQtQmdQ+fT+VUO2gC21bdl398p6/OYvt9j7d33f2RVH8ieB3smxnkucHravbF7&#10;ZfdO99LnJmltwPrFlqOsPbXJUzpetwxFX7XftVscrCJ0AVlBF0p7UMse1nH1x5T+fGZWLpyudj90&#10;j3xALgvCWeBdSsG2ScCxoGMBR+r6fdCxwGNtOatbRFwYBwsA+i//57z07790K1tcp8mcWX4Bp3LZ&#10;b0V1f+upuI7udTHJhIgzovpC1odUP0l9Jusvqn+l/lbWJ2ujjmF9Neujxb6Z9cuyMh6Jqn9q4zDd&#10;G9WV6s367m3669pW+6j+Ve+qcx2XPjAudW0eQtq4uE57rsY1HteXRWblPVJMF9IVWp/e9+etL9/v&#10;OsMMo3FN2Qv1wUv14j7bC3XJeAcREadq0d8YzCHa/OEyXbBveVg5uDQPh8VtLDTHWVJjpqq5J3tH&#10;mc1pjGP2PlHnszkqm6fyc1U2X2VzVlLlju8Vy8aC3qwuJmk8ny9XHMNKuwa7F3Y/pF2zrt/eq9o9&#10;8vfJ7lWbeamm2r2yOSy7L3YvrP4Xom4RZ8nsGY/PefZ8x+c8Pu/2zJdpsSBqcTPTYsY4ZsfNzMpm&#10;ZffXaPo68PVj9WZ1afVr9Z7dk4VS19SLkdu29LuFC49+E8QCtSooKyjiUjcGWgsIXh9opQ8kmXF7&#10;rx1zlgIOIi4dNdljL+KKf8/7hh17KWeTRYOXc4U2kWR2F7H1nfdZfx87zpwXQEw6IeIyVP0y68tp&#10;4KjBpQafGqhqYmySk5c2CRYnKW1ga4NY36+M/cfsGhZa349W+az+VH4bqFv9acLPJmuzOilT29tk&#10;oY6nY1t90IdGxKWk78PP6bv7Pnu/b24vu21R3XJ54T1p7AW6LWSTqje9RPdjnDimYVyDiIjLTjdP&#10;WNrPKOzO+fX7G9IWn0nrf1Tpt5f+WH5OcZB7+/lX5RnkX5eDycN4JGrzKJrbsDkom4eKc1G2QCub&#10;L5l1bQ4oU9ck48+z48ySVk6V3eaqbL7K5qykzefZXB7zV4iI81XO68XXGVkQp4CdFRQREREREfFI&#10;Mk5carJrsSYtbSLO1HmlyuAX3LXR9rXrMHX8SU5S2rF0bJ2XBW+IiPUOFta5F9/zXn6XvAAf5SW4&#10;LTSrM9vXH1/6c1t5yl6c+5fnvEBHRERERBz+VS2bk/IL6mwxli2s0xyL5qn8XJWf67F5pEnN8cyC&#10;Ns8ks3kym/eyerGFbKov1Z3q0RazxQVtzFEhIk5Wxd1+/N7fX5628GzZsvPVlkRYEIeIiIiIiDia&#10;Gk/5b1HzC+nKFtMttYlJm3C0BW42uWiTsn5CkYlERERERERERMTZUvM1tvDOq7mcMm2+J9PmwaqM&#10;+8Tj+3LY4jQzuwZERJx99X5E7xS+e+22A/3laQsPC+IQERERERFnQ5uUtMlGP3lovxFsC+38Yjtp&#10;v/XaRNvHjmPq2H6i0k9KMgmJiIiIiIiIiIiIiIh16j1Db0Hc9sP95WkLDwviEBERERERERERERER&#10;ERERERERcVz1C/e2Fq2/PG3hYUEcIiIiIiIiIiIiIiIiIiIiIiIijqv++syiL4i77bY7/wcL4hAR&#10;EREREREREREREREREREREXEcZ2JB3J133v96FsQhIiIiIiIiIiIiIiIiIiIiIiLiOPoFcVu2bHlV&#10;f4nawrJv34MrWRCHiIiIiIiIiIiIiIiIiIiIiIiI4zgTC+IeeeTxzSyIQ0RERERERERERERERERE&#10;RERExHGciQVxjz/+08tYEIeIiIiIiIiIiIiIiIiIiIiIiIjjOBML4g4ceOYCFsQhIiIiIiIiIiIi&#10;IiIiIiIiIiLiOM7Egrhnn332gyyIQ0RERERERERERERERERERERExHGcuQVxKlBWUERERERERERE&#10;RERERERERERERMQqZ2JB3DPPPfcZFsQhIiIiIiIiIiIiIiIiIiIiIiLiOD7x1IHBgrj+8rSF59DL&#10;L1/FgjhEREREREREREREREREREREREQcx5lbEKcCZQVFRERERERERERERERERERERERErPLRx5/s&#10;rkP77rXbDvSXpy08hw69fM2123exIA4RERERERERERERERERERERERFH9sGHHvn1TC2I0wq9rKCI&#10;iIiIiIiIiIiIiIiIiIiIiIiIVe7b/8DLWodWuL+/PG3h0YK4XTft6S6Ie+jhx9KCIiIiIiIiIiIi&#10;IiIiIiIiIiIiIlZ5774HnusviNvdX5628PgFcfc/8FBaUERERERERERERERERERERERERMQq77zn&#10;voOLviDupZde3nLznr0siENERERERERERERERERERERERMSR3Xvn3c/2FsRt29Jfnrbw+AVx9+y7&#10;Py0oIiIiIiIiIiIiIiIiIiIiIiIiYpW7b/vh090FcVu3X9NfnrbwaEHc7Xfd3V0Qd9e9+9KCIiIi&#10;IiIiIiIiIiIiIiIiIiIiIlZ58623P6F1aN/duv2q/vK0hUcL4rQQTgXRwrisoIiIiIiIiIiIiIiI&#10;iIiIiIiIiIhV7rplz5OLviDu0KGXr7EFcbfefkdaUERERERERERERERERERERERERMQqbUHcd7Zc&#10;d0V/edrCowVx9+y7nwVxiIiIiIiIiIiIiIiIiIiIiIiIOLLbb7j5gNahfW/LdZf0l6ctPH5B3K6b&#10;9qQFRURERERERERERERERERERERERKxy644bntM6tO9u2XZmf3nawqMFcQ89/Fh3Qdy2XTelBUVE&#10;RERERERERERERERERERERESscsu2nYdmYkHco48/2V0Qd+32XWlBERERERERERERERERERERERER&#10;Eavcct2OF3sL4rav7S9PW3gOvfzyVU88dYAFcYiIiIiIiIiIiIiIiIiIiIiIiDiy39+6479mYkHc&#10;gaef6S6IkwdfeDEtLCIiIiIiIiIiIiIiIiIiIiIiImKZtgbtO1uuO6q/PG3h0YK45557ngVxiIiI&#10;iIiIiIiIiIiIiIiIiIiIOJJad2Zr0LZs2fnq/vK0hefFQ4eu8IXRt8VlBUZERERERERERERERERE&#10;RERERETM9F/KxoI4REREREREREREREREREREREREXLJq3dlwQdyWV/WXpy08P//5S5eoQFaYJ546&#10;kBYYERERERERERERERERERERERERMdMviOsvTVscbEHctdt3sSAOERERERERERERERERERERERER&#10;W6t1ZzOxIO7FF186UwWyBXGPPv5kWmBERERERERERERERERERERERETETK070/qz71677UB/adri&#10;8MKhQ2tVoF037ekW6KGHH0sLjIiIiIiIiIiIiIiIiIiIiIiIiJipdWczuSDu/gceSguMiIiIiIiI&#10;iIiIiIiIiIiIiIiImDkzC+IOHTp0lAp08569LIhDRERERERERERERERERERERETE1tqCuML9/aVp&#10;iwML4hAREREREREREREREREREREREXEcte5sJhbEvfjii69RgWxB3D377k8LjIiIiIiIiIiIiIiI&#10;iIiIiIiIiJi57/4Hf9NfELe7vzRtcTh48PCrVSAWxCEiIiIiIiIiIiIiIiIiIiIiIuIo3n3v/t/O&#10;xIK4w4cPv0oFYkEcIiIiIiIiIiIiIiIiIiIiIiIijiIL4hAREREREREREREREREREREREXFZOFwQ&#10;t21Lf2na4qEC3Xr7HSyIQ0RERERERERERERERERERERExNbede++7vqzmVgQ9/NDLx1mQRwiIiIi&#10;IiIiIiIiIiIiIiIiIiKOIgviEBERERERERERERERERERERERcVk4UwviigLtv3nPXhbEISIiIiIi&#10;IiIiIiIiIiIiIiIiYmu17mwmF8Td/8BDaYERERERERERERERERERERERERERM2dqQdzPX3p5966b&#10;9rAgDhEREREREREREREREREREREREVs7XBC3fXd/Wdri8dJLL2/ZtuumboEeevixtMCIiIiIiIiI&#10;iIiIiIiIiIiIiIiImTO1IO7QoZevsQVxjz7+ZFpgRERERERERERERERERERERERExMzZWhD38stX&#10;Xbt9FwviEBERERERERERERERERERERERsbX3P/DQ7CyIe/HQoSv6hek88dSBtMCIiIiIiIiIiIiI&#10;iIiIiIiIiIiImTO7IO7A08+kBUZERERERERERERERERERERERETMdAvi9veXpS0ejz/+08tsQdxz&#10;zz2fFhgREREREREREREREREREREREREx86GHH+uuP/vutdsO9JelLR73PfDQpbYg7uALL6YFRkRE&#10;RERERERERERERERERERERMx89PEn+wvith/uL0tbPH50z30ftgVxWWERERERERERERERERERERER&#10;ERERy3ziqQOzsyBu9623f0aF2bbrprSwiIiIiIiIiIiIiIiIiIiIiIiIiGUeePqZ7oI4uWXLllf1&#10;l6YtDjuu332ZCrLrpj1pYRERERERERERERERERERERERERHLfO6552dnQdy11+38oApy8569aWER&#10;ERERERERERERERERERERERERyzz4wouDBXHf3rLtNf2laYvDD7bt/KYKcvtdd6eFRUTE5eXPD710&#10;WB469NKBri+9vF/+/KWXd7/00stbzEOHXr6m68svX+V98dChK8yf//ylSyalP653zvmtTIW+rCq7&#10;addj1ze43qQuEBERERERERERERERERERcTLOzIK47127bYsKcte9+9KCLpS2YGHOIg23UMPrFz6M&#10;a3b8OecvnFO2pOyIs65W4Up9PaXU322WTzx1oPPo4092fejhxwbe/8BDA+/Zd39XxQivFtGat95+&#10;R6n69slxzI4Z9WWRVkYru+mvy1+v1YHqw1T9WH1J1V9Wt4uhi0fdmDVYvPbyy1cNFpe9+NKZhw4d&#10;Okq++OKLrzl48PCrDx8+/CrZD//LDn3l6pYtO1+txPrdLdvXfm/LdZd8d+v2q763dfs1RZ7b3Xd/&#10;36cLf9l3kJTL/P7WHb+V127f9cvCX127Y9evt19/8y923XTrYXnLrbf/Yvdtt/967x0/+r21wdj2&#10;fHvL2tkstTFERJy8ivOK+9bvUm6wPov6M+r37Lppz8Btu27qWuSdUm0b2yf2n2JOsnxkucjyEDlo&#10;aWr9e2tXvm1J3XNrY2oL1s7MrL011bc5396yvnjW5rLrQUREzFS+8znPa2NrabmwTr+PacfTOaxv&#10;RP8Il7rWju35qTI+A2XybCAiIiIuDX1fUMZ+nfX/vNlYKRtTVZkdQ/rzWBnoVy5vf7Dt+v9P79i/&#10;s+W6o/qv8heHohBaINCdqM4KWmZ3MUZ/wZoWlvkFGfpGH1uQ8cKhQ2v9ooy4MGOpL87w16HrMu1a&#10;7dpVD6bqRWbfipR9A9K8BXxhoZ6/L7g8tORkicGSiL3gspdb8cWWf6FlL0ptQQ9O1uxFtN2H7KWg&#10;vRCU9jLavxy0zsAzz/7sl4UPP//8C9tsgZstblNMWQ5xcxy06E2J87tbtp1Z/PeK/qLu/d+9dvvh&#10;eI+WukVH4Q/X7bzhFTlO+4ptLHY26XAiHnnas++1uGBavIhaPDEtzkQtDmXaYp1xjcf15/dltLJb&#10;3MvqZFLq+DqXyqAyKk4rhi+VPpn1bSzf+Dxjdaw6VV1m14/ttWfQ2qnqWHWt9qN6tz6/7on19a0f&#10;mt3Dpab1pa1/Y/0Z1QFtDWdBm3cZzL8ceunAwYMvPO19/uCLDxbbzvtlSz+X47VvuZ6W2TnNeeXs&#10;zy8t13kmi7GTMjsHDrV68n1J65tZbpPKbZbfFPttrGt5Tnlh1nKdlcfP/1juiuNyXavlMctltB9s&#10;q9pMXd9wlp4bO7c9J6aV7/qbdv/hxlv2vnLjLbf9Vr9Qql8slXtuv+OgvO2OHz0p77jr7kfNu350&#10;34/kffse2CsfePCRm+XDjzy+85FHf7JXPvnUT2+RTz/zsztN5WXl525uS+oWF0bfdyr+PegbWX9l&#10;8A5M78P67xTtveLgvVn/PZp/t2bv20bRH0fa8eXgnP49Xf9dne9fda/F+k7JdS8HfT73OV1abjMt&#10;z5vxc9Mfw45r+dHMyoKT09e19PfB3x9/3+L9tT6O5SWv9YNM6+9FlcOaan2taLZtmVkZYlmlvxZ/&#10;ndLXga+fqjad3QNcHrZ5jnzbsfbk25q1P98+ffu1Nm/9Pt/3s/6f6ftiWV9tKej7kbpWe96tnlR/&#10;qlfVd3ZvyrQ+SZmDvD5Fs/OaWZmXi9Ye9SU2/df8i8N3r912QAVRw1Jjuvve/b/90T33Hb533wPP&#10;3X3Pvgfvvu/+XXfcee+/3br3zg/fvPv2S2/afdvm7dffeKK+gUfq23h66pt5thyxizRmgbgwL1uQ&#10;5zv41rkfdPAbLsKLjRlzLRkq+VnCsyRnSc0SmSWvhU5Wdj6fNH0ytQRrSde0ZOyTtNeSU50+8cts&#10;m2h2PmllMq2sdg2mvz5/3Qtd923UYi/F6n681reb9b/tTIvBCrduv0bfhKYFYmb329G2bDtTSUZq&#10;EZmMcbsfPmaGXi7Z+WqVdc63vLVY9Gb1Vfx/UVfbtljd6Fi+XnydZNrn0uqxp/bvqeMVn3frXOcZ&#10;fCNd91vpuov1Bt9MZ/dw1hfvxbhQFQ/8M2fPon9e7dm2zr70gwAbGJh+0OAHE9IPNLKYi+31deqN&#10;dS/9vfHGe+jvr9e3Aa/PAZm+PWX6PDBpffseR//MZPoclenzltfnMNOe32j2rONwkK36tPuhb/rU&#10;eEjuu//B3zzw4MOHHn7k8RfNhx55/Kfy/gcfflrjpR/edc/Pb739rpd37Lr5V1uu2/lKdp6otrtu&#10;5w2/33nDzb/RSyDtr+NoDLZv/wMvywcfeuTXMnueovF58s+HtUHfnqytZGUbRR1Px9Z5dD47v8qk&#10;8ik2KI4ovmSxaDlpMVTx0e6P3Re7H9O6D/a8W5v27Vrntdhm98fKJa0NWZmj9nlU+9rxpI+dvt1N&#10;6lp1nKydWRvL7gnOtnMmAG2i0L0wldlL058dPPhlWdz7Lzz82E/+/qFHHvvsvvt/fPU99+7/+p13&#10;7fvb23/4o3+4ZfdtX5dFrP3HnTfe8h257fobr5Vbd+y6pfife7Zcd/2d8vtbdz78/a07Hizamb5F&#10;+uneeGKob4dt7R0jjuV6Y7g4jhuOM3pjFY1JbOzWHy4tGn6+6cEHH/sfjz/++BvkI488vlne98BD&#10;l8r7H3zkL+7d9+Bnuvdj3wPfkppX1EKGfft/fN89997/hLzznvsOKu/defd9v7P45OOHjyEWN03F&#10;AtNin9fX/0IYz+/LZ2W267Brs1gmY3yWMT7LGJut/z2K8Vh2DjuvxXcrm90ff1/8/bBrz+pnIfT1&#10;39TsOAulfunt+htv+b0tClJfUM/EHT+698D++x969McPPfZjW+jzzDPP7ZoTA722WMPp53qjtthj&#10;HLPFI6OalTGaXWPXrD4KLWeYfn7btDwz0PJP3zm5Kcldk1B9Rusv2vOmZ8yercVuo8vRfj7/5fev&#10;2/GzIucf3HLdjhev27Hr6eJ5PLj9hpsPFM/kQfsrEHo2fbz2Mdv08dFit//ZqMbzyFgW0+LxpO0t&#10;XOwtXlSMuunWvYdu2n3b8zfcsufpXbfseVLuvOGWB+X262+8a9v1N+zdvuumnepjXbv9+u/8YNvO&#10;b8rB/Gi/v1Om9YPKtPlcr5+bna+fwx1aHGswzxuNc8LR4Vx67m233fk/7rzz/terb/TUf/zHW+WB&#10;A89c8Mxzz31GPv/8wW/ql9+fP/jC3oPdX6Z44Rc2B1elzclF/bycmeV4n9t9G7V2pfs9S/k8auWR&#10;vn8lrdze2JZlfG6i8Xmr0z+vTc2Ok5mVL7umeN2xbny9yaxucWHVNyTFduzbrL/n1h6s/ViOMe2Z&#10;tv67tGfe9/dlFiuymGJmcUhm21aZnbfOnx54+j9/8uRTv3r8J08eNG0OVmpOVnO0miuN4xbp68g/&#10;f7LsOfPPlcyeqyP5WSra7f/Wl3aYms92/rfz9+b3t+783dAdv82OO0mL/tw29Tm+v3X7Z7R26b77&#10;7vs/+1MYywKbh/Frf/waoCZfzuXHbek4y42j5o2Z+uMj9Vukf759n8NiUXwe9fwNnp2i/9a/rMWh&#10;KIQm5OY1okmYTPylCzniJKCc27Gd22md3xFlId5iER/EsR+8MKkRJzC6D6B7CKc5QWGJ3h5ue7Dt&#10;gbZkaonTkuQ0EqOOaZ0kufu2H/63BqT6zbnde+/Yd9Oe2/fcePOeq3fdeMtnr71u5we3btt1Qfkz&#10;M3fxqt0/u3eD+2X3prgPVvfTnAyaRWNnz4K8D/Qx2Fug18S+Xm4X9+rpG2+5db8mCHovXXbuLe7p&#10;TC6O8jHbxe25MdvFbW+czChzsE/3WN1jd3OD1UWT+rBy6hjdYxb5wtr5UswJtghQ6hp0LZb3evZy&#10;Yf86uzlyfl0O6jPU6Wy1sWlaPFvzOuNF7PxVX/2p24Ga8JRbd9zwXHTbzhsfHcftu256Yo433HzA&#10;u/OGm5/1atJVFtu+PM/rb/5FVH+ut0x/7dGszhDH0Qa3RfsaDHrV1rK2KbP2nBqeg23X3/hzb/b8&#10;btm289DA63a8WAy4/6vwV1m5F8p+7N2tON2P3f08NXqOin1u33ez/pvvY/v+dDaYtX609XOsf6M+&#10;jfVnbLJIfd1J9XN1DB1Lx9SxbVLKzqn+lPWtVB7re/k+mZ+Yi/23Ov2+0o5ZN6BX2Wwizff/pa5J&#10;E5zZ9ba1eI5e2bpj12+1yNJePtk3ZugX1rSgRC/JH37k8Z2P/+Spa59++pnv6AWL3e8546qgtY1M&#10;G6M11Y/v2qh9n3jiwMe1gEmLl6R+Ae/mPbdfL3fddMujypfXbr9+5P5LESN+r7HS3jvu+pUW3EhN&#10;mvq2NErbWe5aTOiO+RQnbOytcWARP2xsHtuabz92nxWTnnrqqRPlvn0PrizGRpv23H7nSv2C5XU7&#10;bnyrtP6t9XHnjBfGGCssd20sFC0+69aV08YGVcZ93BjC7NU79Y+jqhxpuV850/K/9QFsbs3m2qwf&#10;4PsAlqPH7QPIslinOKeFClqwoEVoyq+PPfHkv/74kce+c/+DP/5Hy1lacCt33bznW7bgVotA/ELb&#10;oo/8cHHtWmCb1smoume9eH57czOKm4qhw3n0uQtq+91ImBA2D+775bF/rtx3z74Hzpa333XPp7U4&#10;+/pbbt2q+QItwPr+dTt/7e9rnRpnFc/QrzQ20oIkeesP73xY88F3/ujePVILj6UWIau9alGy+lpS&#10;C5Uff/ynlxXP1Lm2iNkWNWuBs14cSpsvnqu9e5mr2pfNX5lz57GGc1k+31vON+fk/nx+a5CrYl4q&#10;fpbWFyJOX8vtVWb74dIy3lP15UybCzHVvzOtnxe1uZ+o9QW9erfWfb/2o3t/qXds0uZFLAfKm2/7&#10;4Z3dd6O7b9t1/U179u648Zabi3y5U6p/JrVQV4tmzGGumZdvBjlHDvPO3PxDDsKm+kVkmueTfg68&#10;eHYOSevfyeIZelj6Nt61P2e29/Y7t8g9t97xbxqT3Lr3zr+V6nPqi63uuOvuS2TxzJ2teRibi5Fa&#10;uK0F3DLr+/W7uwtC7GfOfy/a+wthstdH7D2jehZ9HZdbPN/FfnYMHVvqXP0iLCuG93FuXz32y60/&#10;Pr8PPjcG+pjXq8/x1fn7xV0c1ACqBhwx4KvQs27vJvXKXPy7P1Eg+9fYv8E2aWB2G0G/UaiBqG5M&#10;NRxrSAsdGKA5CuIazCuwK9Br8kFJoJ8M/lZJQqqTpCSihUq2IEETC3phawnK2tMktA6jdQ6tA6jO&#10;nb3400uaRx77yX899pOnnnjywNOPaQJOL7f0m+96uaAXnppY0aRL/3IXDU30xMVzeikyeNnam1RM&#10;Jx+Xm92J1O41v3xNrx7Gu0+WtCxhKf5kSUsxS86fOMri99LrpFscL/6/iOHbtnSvtaiDXiwmBo9D&#10;WedIbS1rb9bmfLvr3o95nSbrR8xph922KIftsdcmzeKztA3g0tLf07n6+z602KfbLkr07Sfo21kD&#10;rX0uoPZs1Omfp6g9c5n+2Rxqz+3Q4jiDfqxpz7t32L/1WpwY2g8hS5bedfSuT9et+ujVVa8Oi3/3&#10;6l73sdt+um1uTi6N7VqfWzvTvjper06Xbn3VveAz9aJPL9PUz9596+2f0S9m6KWwJh+37rzxx9IW&#10;Jxb1lMaNaaoFkbOwKHJOOym059+eZf9cLpdnbdKoTlQ/9rwOn9NeXujXcXoPmvr9rdufLdrrY1rM&#10;oG+4UDvWQgd50+7bfqDxoyYci/HlD6ReNu9/4KGtWiShhYm2OFHjN1OLKmxsNIq2+GzeIjS3EM0v&#10;SIuLGv3CNI1P/OI0aROi+g1aabnDYqLlnG5sc7nLcp2Lk91YKX2sVL0utHmMtn5F7xlU2f31dNtT&#10;/1rtueyZ51Fpz2yZcXtft1anclCfoS6tHov/T69zqRjvx/x74u5L/95k90fm96h3n0wttpSa+NcL&#10;gB/dc9+H7RvrpBaF6NsETS10kj/9j6e/roVPUT3Tpm3rtQUnpr6ZsPvthP0XEcqNN9y05y+kfnFx&#10;246bPq7fWpd2/wdtYNAO5rSFbnuQvg6H9Tq02Ca9B9FsX3/sYhu7P/PvUbg38X4U19Rt7ztv2vMG&#10;e9mixTbqMygG2fyRaTHK9PGrzLiPP56dQ1pfxfow1rcZdY5mElg/VHVk8aBfb67/2atzdz/S+ziq&#10;/n4X/553bwdlGdzXub9ka/3o/iUte6xfZmMHi++ql0H7t2e4d+9Git/97Ytnrncv7B4M652+YRP8&#10;/TL9fbN7N9TyyLDP06/37nPgnRP7dL+9xX37wbadu2T3W9Kuv/GuHTfcfJ++OU2/5NG1/41q/mX3&#10;4KX3rbc/kepehttiD1OLPgYLcguLc/79tdt2fcHnmGnr6yRzXj1FLf6kWv5J9XlqoMW2+cac17PY&#10;J30el4M/6H2bz5xvorIFS35Rki06ir+QNo2F6F5/LPvFNGnnk1YGab+oZlo5vX5BvWm/bJdp155p&#10;C7QW0qwcZix7dq2xPnx9+br0dSx9/fv7kt23OrNfNJgzjnXjVt+vy/pui9lfG5VRc1CWe+bF0PLY&#10;mMS/5RPjfMzu6a9z3rhF9uvF55NCX5eFMV9Zvfu+gBz2E3r3rNimex+l3Vvp7/mwHdB3WwhU5/17&#10;Y2MptYO0PZXp2tKw7fTbiY5rzm8Xc9tHtcPtfRuT/hyxbQ7abbdcZc/94j7z8fksflb6POoal/Sz&#10;MXzA5wf57IZnN3hwU+ff2O7N9Te2+Hda6Yttoxvev0ZrzFYH1vD9Q2H1Vnw+L8gOg+vSCLC+jLGd&#10;1LUVay9zAsDcNuIe/uk/+Hafi//fv+W6nXv12wT67YKtO2/4ugafmuTUZKdNwGoxnl4U6sWD79j5&#10;Dp6fnOtX2bJC16VrtAnPbme3v3hOHWK97LFvKPGd6FnQd+K7nXfXabf7uVTvW3weLc5UPYemPY+D&#10;Z9Jr8S4atyvU/jqencNi3zDO0XE8Usnyhm+vXrVb77ANRy2/ztfaYJ1qr5M0O0dmVub5Ztfc/kVu&#10;rO+e/n4M7d8uAIBG9GLH3BfBxf/34qH1D7r9hmE/f7HGgDau8H3/nsN+je/HWBy2+Gqxs3/psECo&#10;3lX/vn312lWvTfXvZXrPF0Lfpua2q1zbrlzfTudbHCMtx2I7LGOcO5n7fJWNFfSczX3Wlv/zZvFT&#10;16xr77XxXjvPtDozVY/RuI3MjjU819y6N/09MPvFBoAJYc+/f/YHz3LoP1l+KP4/jcGT1uJ5aUzv&#10;x3XTx/fBNTSKRc2Nx5M6j51bDso0rDuXeyebR/vHKo6f/YUDYibALOL7NbnW/2mv70dFs+3nm5Wn&#10;PJbovYzeYdgC8u6i8v4v03QXKfl3NFrINKPvaXA85yxYc4vW/C9iVS1c8798EN9r9psazDhZ3OiZ&#10;xZm2Zsett180gImiNtmfv/Bzgurrp3315a6NbcaZg5vfT+EZXlB6Fd6rfLsZujHDCYLeJIENhnUj&#10;5ZyB79zBb/ehsIH8pAfAC+2wkTfVrrut84+VlWcxHZZt8MAPHnZ70P1DrnZkD7k93P1mBwuADdTU&#10;wfaDNVtMFwdt0UEHPtrv0Ged+tihpzMPAAAAMFv48V8cB9pYsEq/rdf6+/T5jxysLald+HmD4t/p&#10;AoO+3YmjOA4ufpaOQZeSfrzsxsz9cfNw7GxzKH6yrFtfyYSZ5BkDAFhcrK+kmOznym2efDBHPjfn&#10;DXJd8f9p3jhSdbm/yJHz55UtB/ZyH3kPAJY+9mUH0t6fNH1fYwvtTFuENViU1V98t1wX4Nm1Da7R&#10;XXfxea8u+ovS5i1Mq3iXZe+zsoVqcbEa77gAAOZi4yM/NtK4aM7YKBkfmTZOaqs/Rl87dmF/zs1M&#10;5t5s3s3PvdnYw8YfzL/BRLAG1GtMwwkF6R8cm1iQaqRyMDjOHySZPEjLY3K9zuHke9kE/DAAZA+/&#10;1bndi/jQ928fAAAAAAAAwFTI5gvyOYP58wZxbFuuP8Zc7TyZVhY/Tjb7xQcAAKjE5zfLL8M81MtT&#10;ymXFz7tz4TKfD583J27aXHAyR15v3N9ZHNvO25tfrp5jzr4JgZwJALCQ2GIuvyDPtIVfUVsYNo7Z&#10;cb2xLL6cZv8SAAAAAGAUhhPXvUkIm4gwNWD3DicmxtFPwHvnbhfP7cslh2Vm8h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mhv+3sOPcXFjG/1Xot9f/R15fGI/5ZKH2reNThX6/zOsL31dYdbx3Fsb9dOwqvlxo2+ocZei8&#10;OtY9hf74+reOoeufNL5sqtv/Wej5PwpVx748+nfczqPP/H3y5Y73r40rC0VsK3Xqnnl0nGw7r9V5&#10;dp26h35bK1cdsQ36Y/s61v9HmpTZa8fWf/3PdV1VqP377b9VWEXVNRl67nUcf8/0/6pH3Ru1MQCA&#10;aaNYY/EoxtyyHNsk32h/HbNpLhA6ruKf4mA8vuWfqj5TRGXXPv66pI6vOF3Vrxln3yaMUu/KJb5e&#10;tF0dPjfr2FburN/WVN2LmEfbajmuyTVNs4/pUZ3ruL7O/DH0WXZfAKA5TeJ8k7yh+On3rcsNOq+P&#10;tU3iQhZ7msYTxXa/n661roy+fBp7GPFYbfSxMuYaY9x8EFGcjPfW5x9jIfJIHMPV5Q4jjjFVR4aO&#10;4T+rUuVqg89dpuquTd8nK5/KoXqKjHItC5n/PbGd1tVJWT9L6t/6uY5p5SmjyXyD4oLK3+Y+AcDs&#10;obikuKhnOj7jTeKFUMxQPFB+9MdQvNNx6ubWhc6Txa0sjhsxptqYZVIxW2X2x8+02FrVj2sS++ty&#10;k51HMbfqnvicqnNW1Z9QuX3ZFrIvVkaTfnOT3BNzqPTlyvD1p/MDwJGN4pHiRsxvFouyubImucOr&#10;WOWZZuwa5XqajAu8dXlnEvjrNZVf2oxLVA/xGE3ypmg69s9QGf1+ZWWO+VnX7KnLrVkZ1Taq+hC+&#10;bNq3SR9Q16y+w7g5uwlZX1HnrOqDGdm++nfV/Y79t/h8NHnWVQdNx+AAsIyIiSoL1EbcNkvkWeKT&#10;sRORoeNl+2YqqJUF7bLj+AFkJO6TkSXkzEl3MGLZYpDXv/3npuqoLKDHfXzd+J+31Y5TVqYy473R&#10;v7Ptyowd0DhBoH83we8jff3FzyJty2z3Ue0lflbVUcsSelXijp0Kf2ydO36e2bT+AABGJQ4qy1RO&#10;9DGvbb6J+2e0ieeKoRbPM3Susn6JV9ceGWffpkyq3vV5HX57afXWNn9G27aBqJWjyTWV3Y/Yj/HE&#10;fapQGZrkZVPHbjK5AwBzmWScj8eqigcii1l1lMWFJuPObD9ZdU1+Ox8Ly2JgE/1x4mfGuPkg0nRu&#10;IrsnbbS6jMfx1xxfojTN3bHO/cRy2/vRhmx/s0neiS8VvNkzMsq1LMR9y4hlrXrmm/azpLarmjdr&#10;+3zUHQ8AZg+Nt5oseNLzXTYnrr5BfKlepeZTy8bHZXFW52+6j8XIacXsOhWzs7LG42Sxv01uUl+t&#10;rF8Wj2PXUkaM975sbcoU9ceJn1XRJv/U9ZvLyl+VS+M+AHDkMur72ba5I8akacWuUa+nTVyWdXln&#10;EmTnNacxfoyMsy4h1md2PvUl4rguvpP2n8lI2X3z+TkS96m6l6rnsraaWZezm1B235q8Ty57Lkfp&#10;Zxplx6yyqi8MAMsIBckYALJBdbZdDJZZUjAVXOtoE6zNLGCXHaeqDHUdlDiBXWVWpnGIZYvHrwry&#10;ZRMkcR+fOMruYRNtgr6qTJmxY1LWOajSX0OWiOuSmsrut49J238mI23L7Duysc7L7pv28duZ/sWI&#10;Jz63/hlQfejf/vMy1QYBAKZF2eCpTB/v2+YbWRbTFBfbvDzwlsXtJi80zMg4+zZhkvXeJE/47aWO&#10;Idr0saK6X2W5sanWP2hyTbFPZo7TxzRG6ftITfoAQDOmEefjs+tjZUaWt6qoynNNnv9sP1m1r9/O&#10;x8I2eSnqJ4vjZ8a4+cCje910bmIh8kg2n1I2hjN0XL+9rsdTlpMy4751ZMcwm7xUqHrOsmdklGtZ&#10;yPzviWUte+bLXsrUWfZs0k8AWN6M0keJtB3fmTqvxURPVR+krF8U97EYOa2Y3cQsrjeJ/W1ykywb&#10;E8bj6NxVxHjvyzbtvphnlDZplrWPsjqdxHgaAJY347yfbZs74nhnGrFrnOtpOy5QDp422XnNaYwf&#10;PcpXTcf+GbE+s/PF+5n1nfznMlJ13zRfkBH3KetDtPlFLG+T+qmi7NmQZddkVD2XbfuZRttn3Szr&#10;CwPAMiNO1GVBMG6jQBeJA+8YgOsSbwyePrgrGOn48ZgKVJGqINx0QObJEqrqwwK6PlfC0c+03aQ7&#10;GFX1IqqCfFlCq0sckZh4s/vvicev2z4SzxfLp/rOOkmWtLJ7VnbvjdjG4/b+MxmpK3MV8dz6d0ZZ&#10;Rzn+NoKhevLb+ePG8qq+/EsZtWOdT/UcFwcCAEyKGKek4o6PR8q3ilkW1318rcs3imXZpLE/vhFj&#10;sdTPfF6PZfHGgV6WnxVXLVdpe+UalU/H84yzbxOmXe8ZfnupY1TRdvtI7D/58mc0uaZ4TO8ofUwj&#10;y+/qw+nnvl3p/3WPfJtuUvcA0CPLB03jvP7tn0dD2/rt2sYaWYXPTVmZ6vDbR7PrEX6buhjT9nrE&#10;uNs3yQeKyX6fWHdNxuwxfo+bR+Lx/NgsI15D3D4er0m9NMUfV/r6q5s0V7vy+2p7/++sHid5LZO+&#10;b5Emx4/3Tmo/389Sn07bxfqRWZ9C5/HbxPOqTZcdr64OAGDxyeY49ez6XK0Y4mOQRzEg5jrFA8UF&#10;G0OKeAwzy0kxPnrLckHcpy7+NImpnrqYrXpoMv5vEvtj2bSPofuiuVj/uYznEVXHyVAd+O2zsnni&#10;tcg6mmzv+6Cmftak3yyzfmasC2+W+0TcBwCOPLJ3fYpHFmf0ueKvfqbt4livScyvYtKxa9zriXmi&#10;LncuBL480l9fWZ/B0HX7feN4pu76dA/89rFuY/1F6uozztlm90T4bWQknsere50R98n6ECqL30aq&#10;jOqn+HKqXWl/a1e27ajE+xbrXfVWRdZ/MUftZ9Y96ypzWV+4bVwAgCWIgkAMVj6RK1D6z2QWeP2A&#10;UwErJoqyRTtGDELZORSs/DYy4o+jCQV/bWWBNJ7bE4NoXQKfNHX1kgV5/++sUxb3iYkjEhOvzlFF&#10;VqY2xPNl5atrl0rs/jO1zyriM6Dje/xnMtKkzGXETpvabUa8prrt4+SMn5hp0k4AAKaJ4myMvYpN&#10;Mf4a+rk+9wOqpvkmvmCIMToeR1bFRQ0oY9nj4DXmhbLBbcY4+9axkPXu8dtLn7Mz2m4fUZn8/nV5&#10;uck1+WNOoo8psokL3e+y+2Go/65j1/WvAaDHNOK8iPG6bayRVfgy6PzxJa/v32f4bWM8Ksstfpss&#10;FnraXo8Yd/sm+WDcuQkR62vcPBLHfLq3VdTd61i+JvXSFH9cGceVfmI94rfVNcZ9s3qc5LVM+r5F&#10;6o6f9bOq+nHaPvZTsz6FzuO3KbsuHS+2Hal+AwDMJvH5llX5XfkkxokYmxRXqsYTikt+exnjRBYf&#10;/b+zflTcpy4GTytmtx3/Z8eJZdM+kbrziCbH8cT2UHaNRrwWWUfd9tkxJ9Fv9nUxqfE0ACx/Ykwq&#10;ixdlxP3r4mpk0rFr3OuJeaIudy4Evjxy2uNHz7hj/6r6zOZsy/pocbtIPE9sI9l4Le6jtuNRX0/X&#10;7LdRG60b+2k/1Yu2HZVYz6oX/++6Y2fPpf/3KP3MNs96rFtZ1dcBgGVCFoyN+Fk2oFEA9dsomCro&#10;+p/VJfYY8GJwN/w2MuKPo/+PCTQLavHcnhhEx0kSo1BXL7F8MfFk9R73iYkjUtU+MuLx67aPxPOV&#10;la+qbmI9yDLitupERfznMtK0zBnxWZHZxFXs3Hiz7dVWy7aJdVfWkQMAmBbKxz4OadCbxbIqmuab&#10;uhgdXxw2yVvxmNKXP35eNwD3jLNvHQtZ7x6/vfQ5O6Pt9pGY5+I9jzS5Jn9M/f+4fUwR295C9zMB&#10;jhTis5b19yN1cV7EbdrGGllGHKPo3zGGVy20EX5blS2OD7KJUv95Fgs9ba7HGHf7unyge+S3H2Vu&#10;QsT4PW4eieWSZdcSt1WujsTy1dVLG/xxZXwRUNXu/JhV2zV5RiZ5LZO+b5G648cXA036WbEMMo7P&#10;m9SjofPFuYNJ9iUBYLLE57UubkWyl7V1cVRxQvHJ7xPjRIxNsV+S5dK4T921TCtm18XMJseJZcvq&#10;tEn5mxzHE8tedo1GvBZZR93205gfEb4u9P+TGE8DwPInxrm282ZNYn4Vk45d415PXY5bDHx55LTH&#10;j0YcN48y9i87n44d50+qxlR+OxmJ54n9qqyO4j6xD5GNPbM5nmng68bacOzTVpUlPgeT6Ge2fdaZ&#10;kwc4AskGwhZc48+zIBYDr634jgkjTup5YichBnfDbyMjsYPSJAG26aDIrJMzLerqJZZP/1by9D+L&#10;5Y37xMQRiYlXZaoiHr9u+0g8X1n56uomtt2y9tekE+s/l5GmZS4jdhZiWWM7bvJs+c9jMo91p8/j&#10;RAUAwDSJcahqcFxG03xTFaPj4FlW9VeMuv3iOZWTrH9Uxzj71rGQ9e7x28uYsyNtt4/E66zLy02u&#10;yR9T/z9uHzNrQ22vEwDqmVacF1X5JSPGGlmGn5xTHhBZmfSzMvx2KpvGOf5nWQ7wn2ex0NPmeoxx&#10;t6+Lk5OYmxAxfk8ij8QJ17IJdZXNb5fdp1i+SeYPf1wp/HjV2mMkllv/bvKMTPJapnHfPHXHj+2s&#10;6qWJp26/JvXoic9B1kcBgMUnxiBZ9fIwI85pxvm/Mur2i2XTvyc93zytmF0XM5scJ5ZN+0Ri7M7G&#10;7E2O44llL7tGI16LrKNq+2n2m31d6P/HHU8DwJFBFufavJ9tEvOrmHTsGvd66nLcYuDLI8U0x4/G&#10;JMb+ZeeL/aS6duO3lZF4HuHrSMY+YNwn9iHidVbV1SRRPfvz6j6IWGdxTOuJz4H+PW4/M35ed8/i&#10;dci2/XAAWILE4Krg02TCXPjA6zsAMSGV7S9iJyEGdxHLU9fZsIBXF0jjuT3ZgE5qn6yMk6auXmKQ&#10;17/rOmVxn7pEGduG1WsZ8fh120fi+bLyxWuUMVnF+17W/mLHI3up5D+XkSZlriJ2FuL+se3Hf8fO&#10;Rd09jueT6phqu6qXagAAkyLGoCaTrJGm+SbGed8PiMeQTYnH9bE2DupN5aK6wdU4+9YRjznNevf4&#10;7aWOUUXb7SOx/1SXl5tckz+mfT5OHzPm8qxfCwDjM604L/Tvqs8jTcsSx6B+HBMXVcW44/HbWdni&#10;NcW84j/LYqFnlLodd/u6fDCJuQkR4/ck8kjTuB9zS5arY/nq6qUN/rhSxPFjVqZsEWeTZ2SS1zKN&#10;++apO77/TDa9lnjPYzma1KMnmy9hnA8we8RnWzmsLW3jnhFzkvTE+Kh/x9gS81jcp64s04rZsa8T&#10;+0pNjhPLpn0M1UNd3DaqjpMR20TZcY14LbKOqu1HOZ4R6z3eT18Xdl2xHuO9ivUHAEce476fjXGt&#10;Lq5GJh27xr2emCfqcudC4MsjxTTHj8Ykxv7Z+eK8vMpWN5by28tIPI+IfbFYzriPbx/ZeC/O7UyL&#10;eG/tvHGBWdl8h4jPpf49bj8zft7kWY99l1HekwDAEkMBXYHdP/wxcWcBNQYpvzAnfmZJLSOeywd3&#10;lU1JLJYvdjSEP44FzLpAGs8diYnHq6SblWNSVNWLiEHeylLVKatLHJF4/SpTFfH4VWZ1F88Xy6ek&#10;FBNV1qnJOi6RmKTVCcvw28hIVRuJZs9RLGusY38/1eZixzlOmsXyxHaTPe+mfq7zZeUEAJgE2W/g&#10;6Gdtifkmxk4dM+bR2AeI8TJ+XkU8dsxX8XOv8k2MzZ5x9i1joeo9w28v68rfdvtI3b2JNLkmf8xJ&#10;9DFj28v6MgAwPtOM8/HYbWONzNAYyW/jJ+XiZ2XjF+G3sxgT94+xx3+WxUJP0+vxjLt9VT6IMXnU&#10;uQlRd+8jTfJIHMPJLA/7cVpZOWP5ymzT3o14DBH7ELHdxWuzum/yjEzyWsa9b231x8+O1XRMHesp&#10;tp8m9Rjx28uqZwcAFgfFUv+cVuX0Mvz+Mptnzchilid+bsf185P+5yLuUxerxo3ZMVY2Gf+LuuOI&#10;eJwqlfOUBzPicXTuKuryQSRei6yjavt4/kn2m/3ndtxxxtMAcOQQY5O37v1sFifLzI4zjdg1zvVU&#10;7RttOhYZl3heMc3xo4j3YNSxfzyfjuPH47LJ3LnfXkbieezeqO1kPxdxH9+HiO06tsFp4ssc30vH&#10;6ymru1j+SfQz4+d6DuuIz2pZewOAZUYMsN6yl3RxnxjgFBD952XJPAaeOsvKU9bZqAqkdR0UEfeP&#10;6jqbJMa2xLL5pCfKkkBM+j4h1iWOSLzHKlMV8fhVZueO56tTdV828RA7L3GFtzo4VZ8bfhsZaVPm&#10;eA9F9nLE4zsS1rmLz5avgyZtWu011k+0rm0AAIxClidGoU2+kYp5MVe3zXGeGGtjzFRcjrE6qgmB&#10;LIeNs28Z06r3JnXmt5dZLvS03T5Sd28iTa4pHtMYtY8Z215Wxro2UNZvAYAh04zzTZ5jT9M47M8b&#10;J28V9/3+0k+aevw2/rrjJKXf3/+8rq6aXo9n3O2r8kG8H6POTYi6ex9pkkdEXPzgJ+5F/EWp+LkR&#10;y1dlW8r2j+3G90Hib+Fb3Td5RiZ5LePet7b644/yPBixnmL7aVKPEb+9rHp2AGBxaBuzMvz+sumz&#10;Xhez4udWtknON087ZmfjfxGPE2OuiGWrUv2LsnFZPI7OXYXqwG+flc2T1UkdVdu3Pb8nXmu8n/Fz&#10;Y9x3NgBwZDDq+9k2uSPLQ9OKXaNeT4zTVdblnEkRz2tMa/wo4naxrpqO/evqU9fQZO497heJ57F7&#10;o3L5n6tdGGX7iNiu1eYi8d13tGyuoYp4Xt1HTzynvx5PPI7d53H6mU3qJBKf1XhMAFimKLCXLZAp&#10;m2T3Sc0HJyMmtrLfdouBp8yqQaYo62zEa9NxjLJ9IjpvTOLesoH2OMSyKah7qpJATJhWb3WJIxKP&#10;ozJVEY9fZdYRiecrU/eiruyxYxkTsL+f8WWTxx9DRpqWWZY9S7GTZvc6dgLsPsbOhX8u/M/Lnjmh&#10;56Ku813WaQEAGJUsT4xC03yj+K5Ylg1g2+Y4T8zRZTlJPy/rX0nF/7LB9Tj7RqZV703qzG8vLceV&#10;0Xb7SNN7YzS5pnhMY9Q+Zmx7WRn955lVOR4AesRnrUnMMupiSZPn2NMkDse+f9YXj4uq4iSk4bfx&#10;1x3L4SdC/c/r6qrJ9UTG3b4qH0xqbkLU3ftIkzwi4oR3LGccm5XNL8TylZnVQx3xGEYcf/qxvB/L&#10;+nM2eUYmeS3j3re2+uOP8jwYsZ5i+2lSjxG/vax6dgBgcWgbszL8/rLps14Xs+LnvmwxJo063zyt&#10;mF01/hfxODHmili2Jmblj8fRuauIdZuVzZPVSR1V27c9vydea6yP+Lkx6ngaAI48Rnk/2zR3yOxd&#10;5TRj1yjXE+N0lWXvISdNPK8xrfGj8PWWjRObjv3j+dR/8PdV+vmSMvz2MhLP4/sDsb1Y/6Vqn9iu&#10;dYxIPG5U19mWOF8R25jaq/+87Byx/P4+x+tu2s9sUieRWEfxmACwjInBRmaT8CIGtywxxAl9mQ1I&#10;64KzmXUCPPE4nnhtlkCq9snQfvElhJkl33GIZbMyG1VJIHbKdCxRtU9GrDc7Thnx+HXbR7I2WGbW&#10;SfUoWfrtfQJu8rLJ8NvJSCxzXZ1mlB0jvjSx5ydemz1/8bkse0Hm0TF1vrIOeF09AwC0IeYJOcog&#10;PTtOmWUxPsbeNnk85ui62K9Y6gf83qocJMbZ15hWvTfJ8357qWNU0Xb7SNt70+Sa4jE9sR1Zedvs&#10;k/Wjy+652aTuAY50phnn47Hj55EYa2QkTtza5J8njg/85LvHbxPjhb82jZFsjFG1T6TJ9UTG3b4s&#10;H0xybkLU3ftIkzwidD6/nfTzG348VtVWY/nK6mUU/HGlEevY2l1V3Td5RiZ5LdO6b0bV8eOxZNN+&#10;VqynWI4m9Rjx20vfzgBgNogxpem4zuP3l03n77KY5Ymf+7ijXDaJ+eaqmJqRlbnMqrqMx4kxV8Sy&#10;aR+PYmr2biDG/brjRGK8z8rmyeqkjqrt4/kn2W+On3viea2eqvYBgCMXxYim72djnKyLq5GFiF1t&#10;rieeM8bacSkrh/TvVj1xO2Na48eq/Y2mY//sfHFORtq9LSNuH4nn8ceLbdSuuc0+2ZyQ6sVvk9kW&#10;3/8rm4fycxoym9Mqu2Yxaj8zft7kWY/PapN36QCwTMgmaH2g9TQJqJnZ4DwGHjunEpcGsf4zBcOy&#10;icWqzkZZIK3apwqVQUHf7yvL6msUyurFiEE+JoEsadbtE4nHsHorIx6/bvtIPJ+VT/cv64xkCdXj&#10;77m0Omzyssnw28lIWZnbEOtNnU/h27/vAMdn1Tog8braTnxnddz2HgIAVNGmr1FFVb5RTI/xPxsg&#10;azu/jWxKPH6blw9xX9mEcfZdiHovw28v687bdvuIyuT3r8vLTa4pHtMzSh8z5tuyiQRP7G9k5QSA&#10;uUwzzrcdA8RYIyPZ+LKJ2fjYfx7jRSyLld3/rC7GNLmeyLjbl+WDSc5NiBi/J5FHjPiSwY7dZGLf&#10;iOUrq5dR8MeVntg+1e5i3fu22OQZmeS1TPO+iarjj9PPim0iLuRoUo8e3QO/vQSA2SPGz7oYlBHj&#10;cl18MOJYpG4BQTxujEvavm6fyCRjdtPxv6g6jhHLpn0y4kvfeA1Nj2PEes3K5onXIuuo2n6a/eZY&#10;F55RxtMAAE3ezzaJ+VUsZOxqcj0xT9TlzrbEskczqraZxvgx7t/UbOxfdr5YD8r3ut9l+G1lJJ4n&#10;9gf8+dSmdK6qfeLcgawqn4jPgmxD1kdoYvZLCrEs8T5n1163T/zcnscqYj9OxwCAIwgfAKqCQAwW&#10;TVUSjMQEE88ZPy8LZnG7SAykShx1+1ShJFM3+B2HunqJQT6eO3bKNNFat08k1llZ3Rvx+HXbR+L5&#10;Yvni59ZBKCN2kGxCxHfGdIwq/P4yUlfmpvhjWJl8OWPnIXYoVQ9+Ml1tcxSyRXEAAJPE5yZZNlld&#10;RV2+iZ9L/cyTDSCbLCTOXjQ22c/IzhvLVsY4+06j3pvkGr+99JMdGXH7ptdnxP5TXV6O15T1XeIx&#10;I7EvoPtUtU92H+vqJZ4jKycAzCV71vSzOprE+fhMZhN9nrr4mZ2zqVk895/XxTUbe9Tt44nXI+sY&#10;d/uyfDDJuQkR4/ck8ogRJ5KtDHHcWtVOY/nK6mUU/HGlJ44TVS++bxHrMz4jWT1O8lqmed9E3fFj&#10;P0v11YTYfuN+TerRE+9TWTsHgMUlm3ure5kZiQtq9e8m+F++zfaL8THGnUnMN086ZsfPpX4WqTuO&#10;iGXLjiNifI7Hisep+yW6eLy2fUtZR9X20+w3x7qIxGvX/nX7AAAoH8W+tM8nTWJ+FQsdu+quJ57P&#10;fzYJYr/Ca3MGkbidZxrjx0mO/cvOl+W1qjn0uG0knif2K2I7Vb3V7RPHnnV9jFH6DJ7Yd2xj7N/G&#10;ssT7PEo/M35e96xnfZ5YTgBY5sQgEAOtGHU1sBlf+MVOQjxnDGYyHkPUdTZiIFUQH6eDIuL+cfJy&#10;HNrWS0wCIiZOJUb/72wfT9xfZaoilqlu+0g8XyxfvIeyKtnHxKYOU+zQ1E0w+G1lpK7MTcnut/93&#10;vM54Xj2XvkNYd11lxPOqvgEAJkkcRCnOtB10NMk3Ma5mcTHmlCaxM5Zfsbctfn8ZJ4yrGHXfSdR7&#10;NimQ9cmMUXKK317qGG2I970uL4/SliKj9DHjJE7dC6yY97NyAsB8phXn47iqLhfEZzg+83FBVBuz&#10;c/vPs3gRY1+8nroYE/eXdYy7fZYPJj03IWL8nkQe8cQ2qTL4nFDXlmL5snoZFX9c6cn6AN44FxLb&#10;fFaPk7yWad+3uuPHF0h191HE507GNtmkHg31R3xbqtseABaPLKa2fV6zRXVZXvNk543zjTE+ZuWK&#10;sSnGs7prmUbMjsfM+nyjHKcsN8U6iH272J+s64PG89a9Y4jXIuuo235a/eZ4bZFRxtMAAKIqdjaJ&#10;+VUsRuyqup6Yd+py50LgyyM9kx4/TnrsX3W++Jks6w/E7SLxWNlx/H1XHq3bJ8u9VXP8o/QZDB03&#10;7tvGhehnxmPWPetx7F63PQAsQ3wQkFlwjsFWiaiKugm5mOSzc8ZtVIZI3CYjThZoZbj/t0dBUZYl&#10;Ev08Xpsvu+rFOkT6b3ZdVdTVi/7tP88SRyxjvN5sH09MPHWJIZapbvtIPF9WvriNrq+KeI/atl+/&#10;rYw0KXMTYtuM9z922GJdxyQeOxpCiybUFquuOSsHAMAkifFLZnndUC7T536bJvkmO0+MpdkChKoF&#10;ZnEAJmO8VZytygVxsbY0xtm3jknUu4h5NU78e2Iuq9rW8NtLlbsN8Zx1eblJW4rHzGjTxxRZW6q6&#10;H7G/kZUTAOYzjTgvssndOKFrKJ7auLBs2xhbtU8Z2bljrPSflcULP36IMasuxmQ5pY5xt8/ygeKm&#10;32bcuQkRY/4k8ognljn+u+q3z0UsX1Yvo+KPKyOxnXjbvGAwJnkt075vdcdX2/Ofy7KYIGxs7rfP&#10;+gFN6lFYv81vq+NXxRIAWFxiXNEzW9VHUdzSNhZv9Xz7/WXVeEvbxziezanG+JjFHR3L59S2883T&#10;iNlxGxlzU5PjxLJpn4y6a8j6lGX3Nyt7VVsQ2T511G0/rX5zrKuMtuNpAFj+KKfJsv5szEXSx+wm&#10;Mb+KSceuca9HecZ/Vpc7FwJfHhmZ5Phx0mP/uvNlfabs3vltZCSex99TQ7nWbxPPHffJ5oS0T1nb&#10;is+CbErM9XXzFfE+xeculiXWu4jPQqyPuE88ZtWzHp9Zmd0TAFjmNAkEcdKuLMgacTClQOaJHYvs&#10;nNkAK563SQdFxETo9djxdL0KsH4AqP+P54vXFQN/FtirqKuXGOTLjp/VnVlXJn3ut1eZqohlqts+&#10;Es+XlS9L9lWdn2wwb+re1hH3iTQpcxNip8cb25aRbWvGDqXw90f3RvVmz5H+q85AfL6ziQwAgHHR&#10;BICPNdLikqE4phhkedvnlKb5Jub8OGhT7Itxz/K+j6OK0THeSw3IIvaZzq3y++Po+mKZ/MvPcfZt&#10;wrj1LvRZPIaOW9dPkrEvkzHKPp543rq83KQtxWOWEe+PNyO7H2pT8d5n9ZmVEwDmM404b8TxnozH&#10;zWK3zu/Hsjq3/7zqnEacEIz5wH9WFi9UTr+dty7GxNgp6xh3+ywfxHvr6zWjbm5CxHg7iTziUZvw&#10;20d9Ps2I5WubJ6vwx5WRbPJYZtccn6esHid5LdO+b02OH7eRejb9PbV+VhaXfOww6urRjpf1QXS/&#10;AGB2iflfZn0UxSvf5/CxMsYIqVjkx3fKjfp37DtIv50R42MW70Q2LjTL9jGmFbNjLIzj/ybHiWXz&#10;9S10b7JxXBbDsz6g6s36K/pvNhdbdn2eeC2yjrrtVZ4sP8U22bbfHOu0jCyXmQBw5GGxw+KQ71Pr&#10;/2NsiWO7prmjjEnHrnGvJ8Zd/Xux8eWRkUmOH2N+GnfsX3c+3RP/uYz9ChG3icTzxH6Fkc0vmdk+&#10;Wd2qjvRz37aUv2NdyKbEPk/Wd/Rk8x2xX+s/i/VutOln1j3r1heOz5jU9QHAEUgMBjHQxiDUJFhk&#10;icMH5BiEyhJC7FjEoBePU0ZVIPVkg9sq/TWJWJ6ywF5GXb00TRyirFNWVyZ97rdXmaqIZaozdiDi&#10;+crKFzsHVeXK2p8ZXxxlxH0iscx1VnUYYqfOLCtnbCNm2QREVV1k0hkAgGmhgUg2IV+lj4Ux35Tl&#10;gZjzFWfjgDkbqDVR5c8G32WxPFP52R9jnH2bMG69G2X5p8q6PocR9yvrF5YRy1Z33iZtKR6zjKZ9&#10;TEP3Y5S6lORogOaMGudlVd9dz3CbuG3GuBbHNk0WscTJT5XD4z/L4poRz91kH5GN++oYd/tYb9OY&#10;mxAxLk8ij0TK2k2cpM9omzfa9BXivhFNZMdtpO5FJI6Ts3qc5LVM+741Ob7qZ5SYoH1iOzRiPTa1&#10;bA4BAGaLqvFDmf6lomg7vjOz2C1ifKyKp6PON08rZsf6VHz1uaPJcWLZmlhW/ni+JsYyl5Edu44m&#10;2096fkTEOi2j6nkAgCOPcd/Pto3B8V3lpGPXuNfTdlxQNZcxKeI5I5MaP8Y6nsTYv+p8RraQTO3K&#10;Ez+PxPPE/Y2yupJl+2Tla6L6Gk2IZWq6n7bz+/k5rvhcZvVuNO1ntn3Wzaq+CwAsc2JAiIE2Ju0s&#10;cWXEwOU7F7FjURbcY+KIwbdpB0VkkwVx8lnJsSzgerVNVuZYnrYdkLp6iUG+KnGUDWbr7l+sc5Wp&#10;ilimOuPx4vnKrik7T+wgesruY9U+RtwnEstcZ9V9KusUl92nsnPHzrunaSdJ29EZAIBpohhT9iI+&#10;qnzhY1LMA2X5SftUDcKMpjnfVLnLYqRidjxnpsocX2aMs29Txql3Qz9rOpGj62naXxRx/9j/qUNl&#10;9vtX5V3RpC3FY1bRpI8ZURmb3HfvQkxsASwn9Ky3ifNexQDFsSzuKn80fRGt82fjj/j8N4nvcWJS&#10;+rjgf57FNUPHyeJP3WKabDxWx7jbx3wwjbkJMY08EinLw00WQ8by1RnrrYq4b0bW3rO+QhyrZvU4&#10;yWuZ9n1renzVRZvr0rZV8xKxHutU+6aPALC00DPbpI9SNa5qOtcn6+JEjI9V8VTH8duadTl5WjFb&#10;MTj2a6pewmbHaRPDda66squOsr5Wps6d5dSMeC2yjqbbT3J+RMQ6rWKU8TQALE+axiJto5gYyeJk&#10;lTEnTDp2jXs9bccFdflpEsRzZkxi/DiNsX/V+QyVMx4j3lf/mYzE82T31ijrz1XNETXtR3rjHEgZ&#10;8Rcx6+aJjDjfoTZgxOcyq3ejaT+z7bPepP8GAMscHzj1/zEx+U5A9nkZMXAqgRk+OCoQlU0GxuQT&#10;t/XH8cfPyDofZQFQwVXHi+fWz/RZWR34RK9921JXL/q3fm6fVyVSEZOpylT3skXHtHPIuoRX9kKl&#10;zJh4VZ/+86qOTZtOUGx/MnZwy/D3PbuPZUm5TG1fRjZJonOWtTHVty+fbV/2DBnaT3UfO/Vqs/p5&#10;3f4AAJOkKiYp72T5zedAWZWf2gzeFIf1eRys61wqn/oKdblTKG7rvNrHl1MxWsevygXj7NuGUeo9&#10;ovuQHcPqS9dRlsPK8Pldx2mbk+L9ruofiCZtST+zzyfZx/SonlRWHT+2P6n6VDm0Tds6BYAhZXFe&#10;z62N77Jn0CyLKU2Om6Hn2ceguhjj0bb+XIp/ho9D/ucZKpsvg/6/Lteo3P4c+v862m7vry/LBz73&#10;6HhNY2PME7HOp5FHInGcLXUNTfoYyrt+vzrb5Ax/j8raotqGL7vKkxG3y+pxktcy7fs2yvGzPpLU&#10;z/RZk76W6jHu79U12PHqnlsAmG0UVxR7fSy2Z1wxqC6eK4doO23v45u0MV5d7BI+Puq/dbEqxvIm&#10;+WyaMTse22/b5Dh1uUn72z1pkreF7l12f6XdmyY5waNj+mPp/+tou73yisoW+7dWB03nR3QM27es&#10;f2HoHsU64qU1wJFNWX7Uz/RZWX5UfPIxv07Ff8+0Yteo11M3LoguxNjAX0NZHakc/j7EejbidqoL&#10;QznHfq5z1vWJjNgn8GXU8f1n/nyeOHbX+X3u83Wg/4/489SVXZ/5a5X6dxMsZ8f9pfK4rr1N30Wo&#10;DdsxVAdN+yqxzvT/xjT6mU2eddWL6qfqGQMAgJYoiPtguxCdDwAAAAAAABgPTY75yW8vL+QAAAAA&#10;AAAAAAAAAOCIxa/C1ssUAAAAAAAAWDrol5r8b/uyIA4AAAAAAAAAAAAAAI5Y9PWc9sKk7itQAQAA&#10;AAAAYHbRn1TQn5fQ+E5/YgIAAAAAAAAAAAAAAOCIw/6mtf5mtf4eN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JVvFXaC7ytsQtz3/y3cXFjFk4VV5/lUoT9mVOe4vlDb&#10;vb5wVHQcf8z/q7CMlYV+e13D/1FYhra3beU7C8v4n4W6Fl2T30e2uc57CuP+Xqs33Z+qsvv7o/8v&#10;w5dXx9Z1RFTuLxf6Y0q7rqzOVT6/bV178m2wrBwenVP3Q2Xw91SqDlXeunMKtV2/b1THUtmaHGuU&#10;egIAmBTKWYpBPo8oPjaNYcop2k7bxzimf+vnirtVuUeoDP78dfHc8OfU/4+Kzydmk/6QYnTMJ1GL&#10;502vSUyqXmOfJNPyX5vyiaZ1pnLG7ZqqshlVbcT3S6Suuwm6L34/O2aT++ot6+uR4wFg2igPxBij&#10;+NUkDmb76t9V+UCf+fgYx6pN4qeNlZrksbbMWn1kZHlReaEJTfpLsf6r+nPxfun/I9YfidupzGX3&#10;sGm/TvvqGDGPq951ziZ9UQAAqGacvJPtq3FMFT4HND1P07FlJOZhnTsSr0H9kKr+Rxwjan/PqLnL&#10;9zH0/2UoN6sMfo5G2ri9SV8DAGCxiTEsqjioOKpYP8rcWNO8keWxpuoaItnxmua6KpQ7/DGzXBKv&#10;Wfmvbrzkc4+vH5872+rH1nX32avy16HrUa6Lx7XxZ1V7WU5z4E3aQ0TXP2rdGepjxLahfav6Tb6s&#10;2rdqWwCARUHBzwc2H7SakO0rqwZmfruso6Cf+W3qVEIfZSAYg3pVQsmSXdWEupKO3zY7tpJCdtwy&#10;VS9VySrbp0zVWVnCj9tmKHH6bVSXvmy6tib3MWtn8dhZp8Ljt5VVbSEeu8q6dtWmnaoDktX3OPUE&#10;ADAuiktxgJRZlTOUC2M+LVPbxYlkT4yHTXO730eOwjj9IZUz27fMupcHYpL12ib3ySblE23qrG0Z&#10;okZVG4l9qiaTLMLvI23Q3va+xv4KOR4AFoo4UWo2iYNlsU6xyeJhJO4T41/b+CmVe8rO15ZZq48M&#10;/1LC22RSvkl/Kc5H6HxlxG11fEPlKSurN6vbJuXUvVLd+u0yq/o5AABQzyTzjlmV7+I+dUxyPO7z&#10;mJEdv+w9QLatz2Hj5K64TUZcjFdmk3sHALCYZLGrSsVvxeAmLMacpDFOTq0iljPLs/5zbzbWMvx2&#10;Pkf6n7fVly37vMwsRxvKm03yq6lxbKTtvZ7lOfAm7cFQ22vyjsesmn8pK3/VvYv7VLVHAIBFoSo4&#10;lw0MPdl+MktGht8uC6L6md+mqU3K64kvTqvKnCXiqmQZO0WxI6cE1Sa5m9qnrGOVbV+ljpUlvbhd&#10;JE40yFj3sW6rjLRJ9MJvK7Nkq+ts0yHwlrWrtu00q+9x6gkAYBza5qEsX8cXqE0ty7cxrjYdPPl9&#10;5CiM0x/K8mKdVcecdL1WXVuZdblXtKkzTWpk2zVR+duoaiM6p/9Mlg3ujfibg/6Fftv7Gl94kOMB&#10;YKGoGpfUvVCoinVluSruE3PGKHlRKt7Xxe0mzFp9RKrOUTUnYTTpL2UT9ln5s+3seLoXTRbDSZUp&#10;UldO9UX951U26ZcAAEDOpPOOqRxRRtynjjZjy0i8viwniTjOLit/3M4fb9zcFbeJtBk3Z/kfAGCW&#10;yGJXnVXvPz1t8sak5iTFuDm1inhNTfKIWXVuv53PaW3eC0T9l8Vkn5fp510NjTvbzKF6472uahdl&#10;ZvUcWYz21qQ9CJ3fb9fUsvmXqmstm0+J+9BHAYCZw09wxgSYJaeI3z5aFhz9NtkgNQ6aY/DUvxVg&#10;s4TdJtDGRFE2EC4b7MbOkKEk4reLx9Xn2tdvo2vRNfk603njIFyWlTNu59Fxs0SWLeqL23iySfHY&#10;2co6heoEWHJVWVT3al+67kgsp/5dhd9WZm0gq0f9zHeurY6ydpW15ap2qu2z3+jzdTVuPQEAjIri&#10;S4x1+rdijsUg/Vf/tpgf83XMobaNHxDHY3j180hd/i/D7yNHwZcx1k1dfyjG81hXqpNYB2V9iGnU&#10;a11e1bFjv0RaWyhjnDoz/D6y7p5XtRGVN5Yjqw9P7B/47evuaxVxX0mOB4BpoHjiY02Mg4o9VWTx&#10;ylScz4j7xLxSFz9VZuWeGNOzbdsyi/UR8bknlq9JTqjKhZ6Y47Lyx218/cf+g8rm+yMaS6s+1YfI&#10;8n5dOePnOo4fn2t7jalV7rr7BgAA5Uw673jLxltxnzrGGVvGPOxzmSf2EWQsf7aNz1/j5i6/r/Rk&#10;41ndO5VJ6HPlYf1M2/nzAgDMIj6eSY9immJmHI9IxTibPytjnLxh+H2kj/dljJtTq6ibvxX+86jl&#10;i4jfpixHGrEMddsLv71si+5XPIbOqxzt24Hynn7m57BjHdXV4VKaA6+7FqE6ieVRWWPdlc2/qD1H&#10;4nm92fYi7tPkWQIAWDAULH2QUpCMwbMuEfhtY0AtC45+myyhxuOUBU8leJ+IpP7dlGyQm12v6iVu&#10;Z2bbK7n4beKis5gcVOdVg9js/PpZJG6TERdpZfXvP5ee2DlR5yESr6+sHZQR99e/q/Dbythe9O+4&#10;TVZ/RtaJyK6hSTuN9eXb57j1BAAwKjF+KeaVDZqFcocf3Cn3NYmThraPg80sXzfN/xG/j2zLuP2h&#10;mGey3Br7BjIyrXptkld1LL+NrKr/SfQhhd9e1t3zujai+vKf101KVJW5yX0tgxwPAAuFXrb6eBPz&#10;TTZe82Sxzv87GzfFfWJeaRM/Y7yUVWO1OmaxPiI+9yg/xDGjylxFXS401LeLec6Xvy73N7n2KurK&#10;6T+TVX1RAAAYnUnmHeVRf7yyefiYA6pYiPG4EefFY/nr5s39Z7Jt7or7e+J1lNUtAMBSwcc0WUaM&#10;f7JqHm2x5iTFuDm1ijg2zsaV/vOYa8vqzG9TlSNFLEPd9sJvL9sQx++yyS9D6V4pT8b6blKHdePg&#10;yGK1tybXEtuA+mlVZVEb8dvL2JfJ2oD/d9b3ifs0eZYAABaMOMhToIwBsW7S02+roBdfzGbB0X+e&#10;JdQYYNskI9mm06GkWbdvliTMbPtYr3GbmCyzRBbJElvEfy4zVJd+m6z+/efSUFvwP9d1NEl+qo82&#10;xP3r6sdvK2N7iZ3S7JojsQwydiSatFPde7+NNMatJwCAUVDc9rFHth2kxMGq8kHdwC/mHxnzY5v8&#10;7/H7yLaM2x+K15blmez6I9Oq16Z5tU39T6IPKfz2su6e15WxKu9G4rZx8Vys2+y+lkGOB4CFwo+/&#10;bYwYx7jZmM2IsS7GxuxlbNwn5pW28TOO17KxblNmsT488Xj6dxxnK59W0SZfx3zk70X8LJ43nkdl&#10;bUNdOf1nsq7PAwAA7Zl03tH/x7FgNu6LOaCKhRiPGzp2nJe3/JR9FvsM/jPZNnfF/T3xOsbpDwEA&#10;zAI+pskqsoVRZTF2seYkJ5FTq4jjs2xcGT/341+ZjXX951U5UlSNH8vw28s2xLw77vxpkzoUsZ9S&#10;de8Xq73VXUu2NqLumFlfJ9Z5PG9s91kbj/vUlQMAYEHxgc9eAsbgVjf48tsq6DXpAPjPs4TaJhmJ&#10;OIHeptMRE1eWcP0EeuxgZNvH8vuOW6zf+HkZTfaLn2eoLv02Wf37z6VQR6pswiASk5/2U3JuStxf&#10;/67Cbyt9uVRH8XPVZR1N9mvSTmN9S2PcegIAGIUYe7IXu3U0yYUZdfu1zf+G30e2Zdz+UIz1WW6N&#10;x4uLr8S06rVpXm1T/5PoQwq/vay7503KGPsrZXlf9eS3i5MXTe5rGeR4AFgI4gSo/SZ1jG9V+STG&#10;Ov27bnI37hPzStv4mU3kVi1aK2NW68Pj5y6UG0Q29qyaI2iTr3WcmBdt+/jzWOfxPMrrVeWK1JXT&#10;fybbzOMAAEAzJp139P/KF37fbE4h5oAqfD6a1njcE8dqtn1cjJHlJf952TZVxP098TpkkxfsAACz&#10;SoxpdcTxSVkMHDdvGH57WTWuEpPIqVXE/JSNK+PnqiP/s7rcNWqOrMJvL5sS75nqdNS6M5rUoYj9&#10;lKp7v1jtre5a4jxHkzKIuv3ieUXdLxnGfequDQBgwYgB23cuYsejajLab2cBuS44+s+yhNomGYmY&#10;9JsGfhHrIZYnDvKbnMt/Ho8XE0N2/RmxHDLWS/w8I07mNxncC12n/1lMvp5Yp6bOVdWWjFhHVecS&#10;flvp60X/Hz9vSmzHsRxN2mlsL9IYt54AAEYhxq6ql8Jl+P1lXZ42Yg6KObBJXM3w+8g2TKI/FHNN&#10;vC6dIx4ruzb/edk2GXX12iSvZv2MsuudRJ0ZfltZd81N2kisD/07I+b5OOlSd1+rIMcDwEIQJzIt&#10;vsSFYdmLaiPGOv075oS4f9wn5pVR4meMyYqjbZnV+jDiyxKfn/zLFelza6RJLvTEfoDOG8epWa6M&#10;9SmV53W8Ji8q6soZ5xik6rbq2gEAoDnTyDuW03Wsqv1jDihjIcbjEdVLduzYF8nON27uivt64v0y&#10;dT11uR4AYBaJ8ayOmFuyOevFmpOcVE6tIo7bsnFl9nld/vKf1eXIWIa67YXfXjYl3m9fp6PSpA5V&#10;P34bWdZWFnMOvO5aYl8ru9YMXYPfT3rieUXcJ96ruA/9FgCYGWKy8ROa8TP7zeoMv50Fwbrg6D/L&#10;EmoM5HXBU5/77WVTssGmJ16Lto+DX193sSx1SSrWTRV+PxnrJX7uUTLOJrSzJB23icnMVsFXEa/T&#10;q/2r7mk8X1v9seOx4suLKuo6FE3aadwm1t049QQAMApxsFaV4zMUl/z+sm7AZ8SYrBjoaRJXM/w+&#10;sg2T6A9ldVKm8lB2XdOs1/h5zGca3MfJk6r+ySTqzPDbyrp73qSNxMkKtflIXByR9W3a3Fc/IWKQ&#10;4wFg2vjYHX9RK8Z1xb2MGOssnsV47uNc3Cfmlfh5zEsZMWbGYzZhVuvD0D5+O+UrI36W5SWjSS70&#10;KE/H/l88RtbnyPYz9XPVSVVfpa6csd68ul+qR9/HAACAdkwj7yg+C8V/v7/93Ig5oIxJjC1jPtG5&#10;61COifv4f+vcGePmrrhPJJbLq76N738AAMw6MY7VkcXmyCTyhuG3lVXjqknl1Cri9evfEf+55ap4&#10;/pjD/Gd1ObLJPYj47auM5Yq5dxI5rq4Ol9IceN21+M9k0/rL+jKeeF4b88d683MBcZ+6awMAWBAU&#10;tP3EZkzQ8UViHNR6/HY+OVYFR//zLKHGRFgXPOsCeB1xgZs/n09qNqkeF5b5zk9d4I/XFpNYFX4/&#10;GY8dP6+zLEFm23rrErtQG4v1GlW7yyYJYh221ddLPFbW3sqou1dV7VQvWHR9/vO4jRinngAARiHG&#10;mBiX6tD28RhNqYvJVXG1Cr+PbMqk+kNZnZRpL5BjXJ9mvbbNq8pLZXlnUnVm+G1l3T1v2kZ8GaXv&#10;q4mqvpzR5r7GPoJQXZHjAWBaxBgVx2gxzpVN8sbjWDyretFdto8RP495KSPG9yyuVjHL9WH4a1Se&#10;8igX+GNIP4fiaZoLPSqT38dbVhdC49qYU6NNrldm5Ywvb6I6d5ajAQCgnmnlHcPPmUs/z1y2j2dS&#10;Y8uYh3XuOuK5o2V1IcbJXXHbjFivUY0xyxb2AwDMEjF+1RHHLDGeTypvGH5bWTWumlROrSJefzbO&#10;8p/7+tG1+s/8+f3P63Jk3T3I8NtXGY/l61TG+s/q1av7EOs5lr/OWZ4Dr2sP/jNZdzwj9pukJ57X&#10;jhv7P34eoWwfAIBFJQYuP2A1fKCXZQMtv41PaDGoagLa8D/PEmpdIozUBfA64uS4Tyy+I2HXEBOd&#10;vzZf9tgxEvHaYhKrwu8nY73Ez8tU4q4aOMftY/1kHY0ydH2xLXmzDkdMnm319RKPlbW3MuruVfy8&#10;zqoXDaPUEwDAKMT4UpdjI+Pk3LqYHONq07L5fWRTJtUfyuqkTh3Xx/Vp1mv8vEz1eWKui0yyDyn8&#10;drLunjdtI/ElQszBvn+n8ma0ua9ZPRjkeACYBjHOxfGZYq//vGms83kg5g97uVu1j4ifx7yUEeN7&#10;XT6KzHJ9CJXHb5ONDTVO99uU/SLaKP2lOJnvrRvba99Yv9HsepqWU/cmbhutyrMAADCfaeYdI+YW&#10;jWuMsn08kxpbjtLvEDGvm1ldRUbNXXGbMtTHiIsbvKqXrC4AAGaJGLvqiHE5xvNJ5Q3DbyfLxiuT&#10;zKlVxOvPxpX+c18/MRe2eR/vqbsHGX77KmO9xTwa6z9eU2as57LcHl0Kc+B17cF/JuuOZ2T16onn&#10;9ceN98zms6v2AQBYNGJyzl7CKTn5bXwC9fhtYnL0wVGJwc5TtY+oS4SRGMB1rjbE/a1MsaNjE966&#10;Dv9zP+D3CVD1HInX1mSQbfj9ZKyX+HmZdS9e4/baNg7Cs/tWhToLOq8/hhnroC7RR/y20tdLPJau&#10;oynxXsVyxM+rLHt+Im3qCQBgFGJsyQZzVcScKetepBoxJsdcEuNqzHNl+H1kUybVHyrrRxg6ruo5&#10;DpJ9XJ9mvcbPq6xrD5PsQwq/nay7503bSPzlBd83bDKRJerua1vI8QAwSXxO8eNRTxzD2XjWE2Od&#10;H/MoxvvzWBys2keMEj9jfG/7AmGW60Poevw22bmVJ/w2ZdcR60rnb0LWH2iTf3T9OkasRzP2IdqW&#10;U/lZ5fF17G3aLwIAgOnmHU/MLRbrq/YxFmo8XkbM62abfNM2d8XP69C1xXoy28xxAwAsBjFu1RFz&#10;Sny/ulhzkpPMqVXE69e/I/7zmO987lVesvqp2icSy9Akp/rtZVN8eWWsV5Xff54Z6yiWv8o4fo0s&#10;9hx4XXvwn8m66zFiv0l64nl9OeO+VqaqfQAAFoUmSSSzbJDlt4nJsSw4+p9lCTUmwrrgGTsbTZJ0&#10;xO+vzoKIx/WDWHVo/GeqV63+9j/LJvGVEP02Tcsajy2bDqq1byxvVYfMbydFvJey7UsKoeNkkwSe&#10;mDyt3ZTht5W+vagTFT9vSixn7FDEdhrV57rfbSZSjCb1BAAwCjEf1MXYSNaPqMvTRhxIatDoaZv/&#10;Db+PbMIk+0Mqp9+mLLfHfoU0plmvZXlV54yTOjKb2BGTrDMjblt3zW3aSMyjtm2TiSzR9L62Rccl&#10;xwPAOGRjnCbG/CBirIv9gphDtH3dPqPEz7jISsdoyqzXh4j9r6ZmY8lR+0vj9DUiWf8h3udxyhlf&#10;LMisXgEAIGeaecejmO3HNpYLqvYRkxxbxjwc81EVo87TR5rmrvh5U3Rfsns6ah4HAFgIYsyqI8ZR&#10;H0MnmTeMuG1ZTJ1kTq0ijjWz8Y//POasmA9tf/+zujwXy9AkL/rtZVPifHbVYjJD5fH7xDoqq0O1&#10;n6U2B152Lcao73hiPcQyx/PGcvp7oD6g6qpuHwCABSd7GdvULDn4z7PkGIOjaLOPrAueoyTOSDyn&#10;FpH5QXFMCnHArLqJiSTr8MRtrE7qiPct289/Lj1KSn6CQpYlSL+NNGKHVMdr26kT2eI+f49j8qxL&#10;5H5b6Y+VnUs/q0PXVbdf23balrp6AgAYhZgzNXhqS8wnym1NUC6t2m/UuOr3kU2YZH9I5fSfZ30b&#10;w28n/TVOq17r8mr8XOVQvyEy6T6kiNvV3fM2bST21ax/6CcMdK1ltLmvbSHHA8A4ZC9cmxrje4x1&#10;MUfEcaT6EXX7tI2fWUzM8lAZs14f2diyqdncxqj9JeH3a7tvJM5tSM845RSxzzrJPAwAsJyZdt6J&#10;xPGk8nrdPos1Ho/Eso+ba+pyl/9MtkF9kDj2j30OAIBZwscrWUecF/XxfrHmJCedU6uIOSmL8f7z&#10;LGf5/GtznnX7eEbJi3572ZQ4nozv4DP89clYR3V1GD9XHWVzD7MwB153LbHPoX83Ic6fxP3ieWM5&#10;Y79L97FuHwCABWfU1exSgTLiP8+SYwyOMZFk+8SkVhU8J/VCMQZsBXFfV/Ha43Wpc+MTSVnyzsqr&#10;OqkjDnjr7oWMxGssK6PfRhpx8l826RBl+GNI1YsRy6l/V+G3lfH+xzJndRfx91JmddWmnY6KP770&#10;9QQAMArZgK5t/IoDriYD1uy8cVH1qHHV7yObMMn+UOwTVOVGv530cX1a9VqXV7P8nvVNJt2HFHG7&#10;uns+Th9R9Rknsqr6BG3u6yj4Y0tyPAA0QTE7xo82xvgeY1029op5JOaeuE/b+BnzX5t4uxTqQ3MF&#10;/vM2Tnoc6vdru28k1pW9cDHGKaeI9dx0gh8A4Ehn2nknEseTGmPV7bNY4/FIzDVt9s2oy13+M9mW&#10;WK/xl+EAAGYJH69kFXFxlPKK8ouxWHOSk86pVcQcEseVwn+e5ayYE+NYtS7PjZIX/fayKdliw7q8&#10;FvNgrKO6OlxKc+B11xKfGRnfCUSyOo/XH8+bldPfB7XzJvsAACwYMdgpqFcRk2XshAj/eVly9BPc&#10;MZFk+8SkVhY8dT1NjteE+NI0liFLiv5zlUOB3/5d9YI1lln7xXr16Fh+e5kltrhNpGmy959Lj1a3&#10;x89jJ0XniMnZE+taeuoSfcRvK2N7yTqtVS+dY7uXWT01badljFtPAACjkOUC5aWqPKQ47wfxTXKB&#10;R/EsnjPLk6PGVb+PrGPS/SGV039e1heJ20nPtOq1SV6N28RJm2n0IYXfRtbd87ZtxPfNZOxTlf3W&#10;nmh6XzN0veR4AJgGMb5qrFNFjHsxlsVYl8UuxW8fT+N4Nu7TJn5mk7h1sd2zFOoj5qKqPlfMtzLW&#10;R9tc6PH7Ve1rfYyqPBnvXazLqnJqX9WbzlNGXChZlVcBAGDItPNORswJMTd6Fms8nqHc0nTfSeQu&#10;/5n0aF9Zdr9i/0O26QMAACw0Pl7JMhTL4vymj5+LOSc56ZxaRcxJ2fjHf16Ws9q+j/e0yYuG3162&#10;IY7Ppe5fGSqP3zbWUZM6jNvoHnsWs7156q5F5/CfS937MrR9bA/x2kU8b1bOOK8dj9um3QMATJw4&#10;OK2bLM4CakxG/rOy5Jh1BMxsn5jUYvBUsFVQjp0kWTUorSM7nqlriMRyequStq4nbq/Eo318otR2&#10;cSAty+5b3C4jdjCyZO4/l5FYJtWbrx/7uV2T/0wT6rETqTJ56hJ9xG8rY3tRncZ7q3/ruL5s1q78&#10;drKsw1PXTuuw/UatJwCAUYn9ARnzkP6rWORjnSfLgYpTPg8rrumYWQz2Mc8YNa76fWQdk+4Pxbyu&#10;64hk9ZDF9WnUa5O8qv38NtK/BJ9GH1LEberueds2onL67b2qryqa3NcybB9yPABMmjgW87E6Q5/7&#10;7aWPSTHWlY29FMv8dt64T138zPoYZtUEbsas14fyt/+sbjJdxMnkmCPa5kKP369qX18POp/qzfcR&#10;1S+I/ZCY56vKqTqyn+v6/Ge6H1n+9vcJAAByFiLvlBHHOF7PYozHy/D5qG7fSeSu+LnH6ln5Vefy&#10;cwD6/3gfVN8AALOMj1kyojiqeBq3U3yzsYdYrDnJaeTUKmJO0r8j/vOynKXc47fz1uXINnnR8NvL&#10;NuheZf0HjfP9GFTo33HbWEdN6jCrHz+PMCtz4E2uJW4jdc/89ah8+ndsm9JvZ8RjlpUze3bNumsD&#10;AJgqMVn4gVUZcYI5TlD7z6qSY1lwzPbRz7Jt68ySTBvitZplA8ws2Zg+UWdkg+QmVnWg4rYZWbKP&#10;ySl+HtEx4uS3v4/xsypj51Y0SfQev63Mkq0Se9yuieoklN3L2E7bJvlx6wkAYByqBi2ZMRdmuaCJ&#10;2qes/9Em//tjZJ9n6txi0v0hxX//WRNVliyuT6Nem+bV2CZ8bp90nRn+c1mXS9vmXpXTb++t6lOJ&#10;tvfVT5C0uYfkeABoShzLWV6rI8YkTfAaMdZVjb1iLijbZ5S8KKvGXhlLoT5ibvXnKiNOwMfrGrW/&#10;JOLnZXm0Kn9mZjm+KmfHa6yzSb0BAMDC5J0yNC/vt/N6FnM8HvOVcrb/3I+BI5PIXXEbT7zGOpvU&#10;GwDAYpLFrjqVg2J8W6w5yWnk1CpiTsrGov7zqpwVy95kH9EmLxp++zqzRYW6n2Vj6zrjPWlShyLW&#10;j7/OxWpvkabXki10a2LZeop43rJyxvkYb921AQBMDQVtH5AU1JuQDWb9JLX/eVVyLHvBq8QT0XHi&#10;dlVq+yZJqY6ygW1WRlE24M6SeobqNquTTG1XlvCMuE8ZsX5jcvafyYysriyBNr0ulUPtItI00Rt+&#10;W1mWbNt2rHTfq17IxHpsm+THrScAgHFRfG0ShxQ7szyrGBljYZXatipftzmWj7nZ52VOoz9U1h8o&#10;s64eJl2vTfNqdh067jTqzIif1+XSWC9Ncm9Z7q+qMzHKfTXI8QAwDeIYrGycGomTvX68GmNd1dir&#10;7JeMFPM8beNnk7FuxlKoj5gLmsR8beP3kf43t9v0EWKerPvc0/SX+LRdNm6uytlN+zqqv/iSAwAA&#10;ylmIvFNF9lLWjx+nMbZs0+/QtXjiWDl+7plE7orbelQ3ZWNXr7apyt8AALNCFsOqzN7HLeac5DRy&#10;ahUxJ2VjUf95Vc5SOWL5Zd2YuU1eNPz2TczQvYnj9Dp1ffGeNKlDkfUd1NYWs71Fml6LaPMFPLqm&#10;qjYZz1tVzrLzNnlWAACmQgzwTScVFbTjYExJwfCf1R1TScEnYf1/FnjrgrfOqUSswOzLMi4K0vFa&#10;VcaqgB8HwtreT4DXofrV9lqUFs+tf+vnqteYPDP8/vr/MnQ9/j7EbZseJ6569wlZ5VW5VT/xXOrY&#10;VCXc2Hmoq09fDp2rrk3o3CpDnKTRvtaumiRs30Frct6MceoJAGASVMUhxdcmOU3xT7k75kSpn+mz&#10;ukGeaDN48zE3m3TP1PVNoz9UNsngVRnbxvVJ1WubvBpzu7adRp0ZbXP4KLlX5bV9TNVfHU3uq1f3&#10;w0OOB4BJ4ycmFVea5ACh7Xwc0v8biqP2WZNjxlytmBbHTk3ip2KjYqHyjOLlKMx6fei6/HmU85oS&#10;87HPvfGcVcY86fOy/r+u7nUtOl/si6hfo59X5eEmOVv1q+1iX07n0zXHtgUAAOVMK+/4eF53TMV6&#10;n2ukny9W3Pef+fNUoWuLx7W80qTfYcbyx7Fyk/KMk7tiHs5QmVROv62uTz8bp98EALDQ1M3X6nPF&#10;tqrYOY28Yejc9lkcr0wrp1YRc5L+HfHXVHdc7e+vQf9fNxep+vb7KN/VUXefvdq2CrUDXZdyarx/&#10;Kpd+rnFo2XU0qUMj3idtu1jtLaPNtQhfd/4eStW77mXdMYQ/r66pqt+hz3Q+fy79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fq67a/aq/+7udr7766l2vkV/84o1HfelLN62Vxb/P/OIXb7ik541XfOlLN1819MZr5NVX37hF&#10;FtvvTtzf0nnHsOP3ztE7Z89eOVSunr1yqsyy2HetrkXqunSNutb+ZQMAACxprrlmzavk3/3dpld/&#10;9asnv0Z+5Ssb18qvfnXTmfLvv7rxEvmVr2y64mtf23SV+ZWvbb5GfvVrm7bIr3x18+55fm3T/lYm&#10;x7Djd8/RP6cclKMol1QZrcwq/999bdNRpq5L16hr7V86AADAkuPAgY++quvB97/6uec+9Br5zM8+&#10;uFY+ffBDZ3b92Ycu6Xrwg1c8d/Dyq8xnX7j8mq4HL98in3nhQ7vnefDy/a1MjmHH72rnLLRyqFxd&#10;B+XslVvXUOxzlNR16Rp1rf1LBwAAWNJ0OgdeJX/724Ov/v3vn3vNK68cPOqV3/1srfz97w+e+d//&#10;/bNLzFd+f/CK//3KwavkK6+8cI35hz8c3NL1v1/YPcdXDu5vbTyGHbuvP2+3HEWZTJVRZZbda9C1&#10;9NX1SV1r/9IBAAAg4X++cc2r5B+98bhXy9e+ceVr5P/9xuOOet0xK9aarz1m5Znydcccf4n52qNX&#10;XNFz5VXe1x294hpv8bMt47li93znbpOcc06Zin36Ze055zr619a7vt716vpN1YfVj1R99asPAABg&#10;NLTYSwu/ZG8xWG+B2HDx2mCR2f6rr77xQPGzw8X/d45cbzzcq4feQjy/4M4W2fmFdbaorl/dAAAA&#10;E8EWtvkFbbaQbbB4TQvM+gvPvvq1zQe+8tVNh4v/do5U+9d/wBbi2YI7W2RnC+wGC+v+btOrZb/K&#10;AQAARsYWts1Z0NZfIGaL17oLzPoLz4p/H3j24IcOF//tHLH2rv+ALcTzC+4Gi+zcwjpbVNevcgAA&#10;gIkwZ1GbW8xmC9gGC9b6C89e+e+Dh+UfXnmhc6TarYNXXjgwWIjXX3BnC+1sgV1cVNevcgAAgEXD&#10;Fqxli9X8IjVb/OUWhXUXkxXb7ZfFtgdk8f+He67s4CTs1aer3/2q955zF+z17tHchXm6h7LYr3Qh&#10;Hovw4IgmW5XKQwGzhLVJtc+TNp//P8489/JNF13y2UvfedEnPnP2hVd8/cJLr9x6wSVXPnrhpZ99&#10;+rx3ferlC/78078558JPdOQZ536k66lvf2/XDadd3Fm18dxaj19/xshmx5M6d6aVzbQyS7sO86JL&#10;rxx46fv+Zo7vv/zvu37kimvm+IlP/fvAK//qe3O86gvbBw4Xx7W3v5husJDOL6LTAjq5XBfQWfu0&#10;Nmpax9I6l76DaVonpddRGf42QZWxo1OmP/bwHPN/M0FaOa3sdj39S4QpYnXdvQ/FPer/uBHaz983&#10;u3f9jwFmAmvjap8nnHTCG95x/ppNF79n3aUXvWfN1Rdftm7rn79v/c3ves+6R//8veuevujda38j&#10;z7t4Xees84ee9o41nZNP77lm86paV5w0utnx7NxRlSvqy63r8BbXO/CyD5008PKPDr3ikxvm+Om/&#10;Onng57+wcY5f/NKmgXGRXEsP+IV09k11tohOixOX6zfSWfu0NmpaXpSWK33+lsPcmufhzIXK4f3L&#10;gylj7aZ7H4p71P9xKf4+2b3ifsGsYe1SbXTTmSe94RNXnrnpK18/59IvfeMdV3/562dv/cq/nHvz&#10;l75+9qN//4/nPH31P7zjN393zTmdz33prM7HP3vmwPdfcVrnoved2vXtF26sddNZJ41sdjw7d6bK&#10;5vXl1nV4dW3mP3/7/Dl+b9uFXXfecvEcb7vr3QP3/fi9c3zsqQ8MHCyOG83uYjpbSOcX0dk30y3n&#10;BXTWRq2dSsuFpuXILG/3cmqef6M+b7fN3f7cVp5uvuiX0coudS39y4MpY+2mey+K+9T/cS3cM1gK&#10;WGy87IOX/Y8PfPTjKz/3t1dtuvrvr/7wv3zrn67+l//nH7d+6/vfvLn4/0f//bv/+vQ//ds1v/nm&#10;t/+585VvfKXz11/8QtePffpTXS/78Ic777zk0ka+9ZzzRjY7ns6daWXzWrmlrsOrazOv3fG9gbfc&#10;umPg3ffumeOjj9098NnnHprj4cM/HZgtlGtqdzGdW0hn31Rni+i0OHG5LqCz9il9PLW8KH2+9Hl0&#10;bn7N83C0aQ73xx6eY37+llZOnwtk/xJhyqiuVf92f/o/bkVV+5P+ftt5vFl7mYTxPL4cpi+nvwba&#10;4fLF7q1vq9ZGeu3GYt1wAVvx7+4CqmKb7sK14r8sWsMK2y/A87mz2GdOzPLxidg0e9g9Me1eeS3W&#10;VOlzU1Oz45hZOfpFnizNguH8lakyPhz+ARk+JPNXqsbOZnGsNNmXVYi/Yf3LgEUgPjT+fun++fva&#10;u8/9e99tCz5J91aYyz960wkP/vFb1jz2J8eufvGP33zib/74zat/l7dJnLavP27dwGNWnTLHpgsB&#10;swWA60+96L/XbD7/F+tOufDptZvPe+LEDe/Yf9y60/cec+IpO+Ubjlv/HR9HpmGvzXktlvUs2mw3&#10;xpmKe2bx734n8kjqSM7PAb266tWfq9d5HaNi29IOUT+ULFssPuq6VQ+9+NeNfVu6dThoT8O6blMv&#10;veP6+5Q5997Z/euef9Dmh89CeE5a5XC7z/5++3vu773ZvxRYYPw9sPti90vq/tl9lb373CSHr3zw&#10;f71l5c/+5NiVRQ5f8Zu8TeJC+IbjTxh4zKoT5zjOQsD1b1396w1vW33wpLeufnrdqaufWLVx1f4V&#10;60/Ye8zqE3YetXLltT6GTMNee/NaHBtatNk0hxf/38/dc+Pu8nduHij+f+wc3g8lyxrFx7nx0HJ4&#10;nFjs1bP+3d+1lN4+8f5E59+v7vkGbXzY/sOzUZqz7X6axfHm5W2fA+w+S58v+pcBi4C/D3Zv7H7Z&#10;PbT7OrzP1Xlb7eqP31KMvY894Wd/fOzK//rTY1eStxfRo1etGnjCprVzHGch4AXv2fzfF3/g1JfP&#10;f/fmp8/5801PnH7ehv2nnn3Sj07ctHanfNOqVYy9Z9Isbw9zQL9e58T8YttBjPex3WJ5P5wsa3Sd&#10;FhdVD70YWJ679f/9XStRHc69P2UuzLhb2j22+2xajrD7bvYvBRYBfx90X/z9snto93V4ry2HD/N3&#10;r60M4+Yfv+XEB19//JqDf3rsql+//vjVv83bJC6Eb1q9YeCaU06f4zgLAS9+3/t//Z7LLz94yQc+&#10;8PRFl733iXdcdPH+U9/xzr1rTz19p3zD8au/6WPJNFS8mqvFs2Fb9BbtlxzuckG3Trp1NTf2F/8/&#10;iPk+1hfbH/E5XHXQq4u5OVz16utZ9dnftRW94/n7tZxt1i8Jz/y8/ojuh1nsn/ZBYt+jX91HBHbN&#10;VgdWJ6of1Zcc1t/8/N67D8N4Wmzn4md2XxGXqr12rTbeb+cuJlk/I+bK+TEpxiVZHCcdJ/k4Zdqz&#10;GrVnuYnZ/jKeS/qy+HLOLX/vunrxQddq1z4cBwzjRS9myOI43TqUxXF8vO/HkKUbR1Qv/TA7ObIT&#10;LW2HN9o3gH4jGDaOfoMZOnzgvL6xuUY3aIzzHT6cC2tWlp5J+d01zq0HX0eDuhrW35J+gBBxVu3F&#10;6268cfHYxawilvVine/wFNvPmyiQvnPST3Uj4Ts4vgOj88phOfxgphdH+9fTOl7qXP3T19IrS36c&#10;peuRmMOzcgwNZQ/XOLcefB0N6mpYf+RwRJywcycyerFoGH+L/xZxbBjvZi2HD/O3xeJBHB0hVta/&#10;VM/3W8o2y9lSdTvXmM+OhHG3nFsP8+ppWH+Dus3rHhFxVPPc7eJWEc+GMc9yd7HtvBegMXf3093I&#10;zGLuFipHvv9SdphnrD2Yxc+GecnlrJ4xr/X0uW9uWypz2MYW1qwsPZPyh+ucWxe+nrp1Nay/Qd3m&#10;dY+IOKq9mN2NOS4mu7hVxLNevLP8LYvt0xxueXfhc3gv5rpY2jpeat/+qVvRq7/8mDg9//gtJ/7q&#10;T45d9V9/tnL9i30PvWXtpqfl6s1nPGFuOP2cB+Xms85/VJ514aX75TkXX/aw988/8Bf7RjEeR9q5&#10;zLWnvv2Alee49ac8Z+VUmaWuQ+qasmvF9r5hxdrfdT1+ze+PXX/Kr48/6dTfrthw2u/lxjPP/f3m&#10;s877gzz17As6xT2bqjqHuWrzGXM8ZtWGgdl1IOIkPf6SfuqeDOqg5CdCRERc7vqJymi2/fTVhEE/&#10;RdfSm1jIj4OIiLh8zfK2N9tn2la/VNfLgXw/RETEI8EsX3uzfaZvP01XwrgbERGPbLO87c32ma4s&#10;iEOcjrYw7S1rN/9q1ebTX15z6pm/2HzW+YfOufi9XS/5wEcOXnb5x17+6Kc/9/OPX/n5X/711X9/&#10;+B/+6V9/I7/zg+s6cueNN3du++GdXffd/2DXJ558auDzB18Y+J//+Z/LRrsmu067dqsLqbqRVlf/&#10;+M1vdb36q9/o+pmrru76kU9e2fXSD3503oI9W6D3xpXr/qB7ld1HxKXvhBfELc/fckMc/rnP+Cc+&#10;6/6cZ+apb39vY7P9/Tmj/k+OSv9nSaVdR3aNiLj8bLMgrvfbdflxEJey8U99xj/rmf0pzzJPe0dz&#10;s/39nxD1+j83avo/SyrtOrJrRMTlZz89p/CLaLicjX/qM/5Zz+xPeZb5/itOa2y2v/8Tol7/50ZN&#10;/2dJpf+zpdl1IuLys5+mK2HcjcvZ+Kc+45/1zP6UZ5kf+/SnGpvt7/+EqNf/uVHT/1lS/ydLs2tE&#10;xOXoiv39NN2K/FiIS1f7xjItkLJvUNMiKi2mssVVWmhlC6+0CCtbrLYcF6gdaer+PfrY488+8OBD&#10;u264ec+//j/f3/oXn/yrqy45YeNpby1i5py/dmXfJtpz+E3JvW8enfuNyFpILBdrATQemapt9lP3&#10;ZMh+y+2Mcz/SufR9f9O56NIrO+dc+ImB+rnMFv9kC3xY1INlWntQ27D2orZj7Ulty9qb2qFUm5Tv&#10;v/zvOx+54pqun/jUv3e98q++1/WqL2zv+qUv3XREaNcrrQ6k1Yu0upKqO6/VqWl1HZ99//zHGGDa&#10;vfP6uOC1ex71MaPObP+2xnKpzOtOueDXazaf/4vVG9956MSTz35+7ebznliz6dyHT9zwjv1rT7ng&#10;zhNOPntX1w1nf+u4dWf846qN77h6xfozPvvm1Zs//mcrN1wg1bmQiq+mfVW4qZei8avJvf0QPTLZ&#10;Me2c0srhy2jllm07R8U+/T8ResLTf3TMyl9kzz32VOxT+7PnJH6ue9G/jbXo/sT9L/vQSZ2LL1vX&#10;9byLh551fs+4+KdskQ8LerBMaxNqH9ZebPGYtS1rb9YW1S4v/2jPKz65oeun/+rkrp//wsauX/zS&#10;pq5f/drmI0K7Xrt+0+pFWl1Jqz9TderNnvuq599r988bY4Np99xr8aKJ2f6jGMulMq9/6+pfrz11&#10;1S9WbVr1/ElvXf30ulNXP7F284kPrz919Z3yhJNXFTl81a5VG0/41qpNJ1wtV6w/ocjhK4scvvKC&#10;Xt4bL4f3w/NYZMdtmsMtf8/P4XP/FFSew1cWOXwFObxEi31qf2pv+m/cpn8LU3TP4vYf/+yZnX/+&#10;9vmdv7vmnM7nvnTWQP1cZgt/sgU+2YKeeC48clV7sPZhbcbak9qWtTe1PbVFqXb5vW0XdnbecvHA&#10;2+56d9d9P35v57GnPjDw2RcuPyL016w6MK1epK8v1Z9Xdeq1uo7Pv48BMQ6Ydv+8PjZ47Z57fcyo&#10;M9t/FGO5VOZ3Xrr51/LtF208dMb5G58/5883PSFPP2/D/nMv2XznmRdu2nPaO0/eVfz7W5vOWv+P&#10;Z16w4erNb1//2dWbV3983enrLnvLujWDsbf0edFypfQ5NMux/TA9Mtkx/Tl9WXwZrdx53p6bu33e&#10;lsV+3dzN2Ltay4lqg/acxG10v/q3spRs3P3Nb//zwK984ysD//qLX+iaLfzJFvhki3riufDI1NqD&#10;2oa1F7Uda09qW9be1PasPV6743udW27d0bn73j1dH33s7oHPPvdQ5/Dhnw78wysvLHv99er6vb5u&#10;rL6k6s+rOvVmz76ZxQCv3T+vjw1eu+9eHzPqzPYfxVgulfni973/1xe+57JfnHfJew6d/a4/f/6i&#10;y977xHmXXPrwOy66eP9F733/nW+/8OJd8ux3Xfyt0849/x/PufjPr37r2ed+du2pp3/85DPPuez4&#10;Daek8+fS502fT2OubRK/68iO6c/py2Lls3LLqhxeNfYmh9fr45/anP7ff6467N/Gxuj++mNILRTy&#10;395kC4S89m1PUVtANKrZMWU8vy+ftG+Y8t8ylX3TVNm3TWXfOOW/dYo/Bzld4wI2afclW8Sme6t7&#10;7dun2om1o2xhFGLmL3/5y92FWwqvKLzk8OHDRxW+uh8iWxFzZpYnm+fIfKxrFv9etG8jXRztent/&#10;Jr1fB/rz4l179WT11tPVZ3cOoeewznvj2f6fLe/fF/mWdadccPKZ77zsovd+8NL3f/QTH/74lX/9&#10;6Su/cPXffuNf/v3q72zZ+h153c5de4sYtP/GW2594uZb9x7cs/eHv4p5aVR9Pou5R+XuN7fJ0Guc&#10;vqJXdhfUZItvJm22kMcv5mm7iKdqAU+2iMcWI8i4MMaMC2iyhTleW+hVZ6zzaLZPW3254nVIf52+&#10;LkxfV74eVbd+4ZTdB90bv/jK7qPdV7vfWVtAXJ7eePjqq288YBY/2993tyx+tsVbbH/NXG++qsov&#10;fvHGK6LZdrnxXDdeM7csvTI6rez7i8/dNd14eOj8OrAYbzE9xnEfu31s9jHYx9csXs6KFntVZl2D&#10;4qXFSIuJMQbqZ/E4ysv9FF1LrzMzd/9s4c00zBbzZAt5qhbx2AKebBHPWf0FPLJu8U5cGGP6xTMy&#10;W5xj2kKHJsY6z8z2a6MvW7wO6a8z1of09eXrUnXr693uhe6NX3xl99Hurd3vrC0gLke/8tVNh4v/&#10;HjC/8rVN+7t+dfNu+dWvbdri/crXNl/j/drXNl1V5Ve+sumKaLZdZjyXnFOWfhkHWtkL51xTcY39&#10;60zrwGK8xfQYx328tngT46/F1yxOzpIWd1VmxVBdk2KkrtdiYYyBqoN4HE0G9VP0PLJxtxbQZAtv&#10;Jm3dQp6yRTxlC3iqFu9kC3imsWjHFjnUGes8M9uvjbFs2bX4a/X1IWN9WT1a/Vq9232w+2P3zO6j&#10;tHtr9ztrD4jL0oMfOtz1hcsPyGcOXr6/6wsf2i2fPXj5ljm+cPk10ecOXn5VmU8f/OAVmdm2mfPO&#10;F8pj5exqZe9bbN+9psE19q5zXh34GG+x3cdzH78tVvu4rFhlcUyxLYuXs6TFX5Vb16Fr0jXqei0e&#10;xjioeojHqcrdRu/lwdz9soU30zBbyJMt4hl1AY8t3ilbxDPKoh2/ICfTFnrVGes8M9uvjbFs8Vri&#10;tfr6kL6ufD2qbq3Opd0Huz923/y9tPtr9zxrD4jL0Vf+++Dhrq+8cED+4ZWD+7v+9wu7u/7h4BZv&#10;sc013v/9ysGrqnzl9wevyMy2zYznm1MeK6NpZe9bbN+9psE1FmZ14OP8o/3Y7uO5j98Wq31c9rFX&#10;sS2Ll7Okymgx1uKnrtHiYhYDtY0/hhYI9NN0Y7Rowx9D6iV8tnAEh8YFfHGhni1mqFucly3QK1uk&#10;5xfqeW3R3jhmx5X+3FYmW6TmF6rZYjVp12nXrXqwevGL11jAhkvEA1owV/z3mv6iOXlmf+Hca0Zd&#10;PDcNbEGeX5RnC/PiQnbzdW5Be9QvEmtjdqx4XunL5cvrr6N/aY0p7ser+r66f3+OKu7dWt2zwktk&#10;8e+rZPH/Wgi5u/j//X0P983awaI4f0Hcyqv6lzoZejdsbidAixf8C3tERMRZ0i+mLltsZwvuorYA&#10;LzNb+Kvj+AW/Op+cxEJfHSPmYHWa+im6FnUK/L56me9f1iMiIs6afjF12WI76RfvmrYIL/OsZOGv&#10;jqPjZot9x13o23ZBXDbu1st6/6IeERFxFq1bbGcL7jJtEV6mXwBs29vC37jo1xa4jbPYV8eNubjJ&#10;y4f4i2hacBBf1CMiIs6atsDWL7SLi+38oumoLcLLzBYA28JfO4/OKSex2DcuiHvdMSsO99N0Y7QQ&#10;Ye4xWBCHiDiCWkilxXPdb5wr/v8aWfz/YBGd1AKtvt3FdIWtF30tdXTNTlu4Nli8Jvv11V3AVnhF&#10;8bPuIrZ+ncaFbAcKZ24x2yTUgmWfnye+IC77LbdxXu4jIiJiM8ddENf9Kly3r77ZJntpj4iIiJNV&#10;C+18Dpb67b5+ip4HC+IQEREX12xBXFXuNuK4mwVxiIiIC6sW3vlcPMqCOH1Lz9xjrOx+k1f2Yh4R&#10;Eadud2Fd3/1a+NVXi8C6Fj/vLrbrawvF9I1ntviuSltk5s226+qP7xycv9jGymXl9AvVbLHasl2w&#10;Nm31TZ1zcnQxBu+n78mQLYjLXtojIiLiZNUC9JiD9cK8n6Jrea3+PrzbV3+mLntpj4iIiJM1WxCn&#10;3zjvp+h5ZOPu7GU9IiIiTsdsQVxV7jbiuFt/5i17WY+IiIjTcRIL4vRL6HOPsbL7pyyzF/OIiIi4&#10;cMYFcRqD99P3ZJj/59ZOSV/aIyIi4mQdf0Hcit1+35NPX5O+tEdERMTJqj/B6nOwrHqpHv/c2gmb&#10;1qYv6xEREXE66k+w+lwsR1kQ985LLk1f1iMiIuJ0nL8gbmWnn6Ybk31rOwviEBERF99zLr5sTn6e&#10;+IK4+LXvx68/I31pj4iIiJM1WxCnb5Dpp+haioH8Ab/vae9gQRwiIuJC2HZBXBx3syAOERFxYc0W&#10;xOnPp/VTdSmvO2bFfr/Pxz79qfRlPSIiIk7Hb377n+fkb9lP043JvrU9eymPiIiIC+vUF8TF33Jb&#10;tfHc9KU9IiIiTl6fg3uOviDurPPXpS/tERERcbJ++q9Odrm7Z9VL9Tju3nTWSenLekRERJyOt931&#10;7jl5WzZZEBfH3X/9xS+kL+sRERFxOl6743tz8rf8n29c86p+qm5E/Nb2Y1ZtSF/KIyIi4sI6f0Hc&#10;it399D0Z4p9bY0EcIiLiwulzcM/mC+Jed8yKw37f8y5mQRwiIuJCOO6CuLdfuDF9WY+IiIjTcdQF&#10;cXHczYI4RETEhXUSC+Lit7av2nxG+lIeERERF9ZLP/jROTl+4gvi4te+n/r296Yv7BEREXHyvv64&#10;dTHRX9FP0bX4/eRlHzopfWmPiIiIk/XzX9g4Jwf3XLG2n6LnEcfd77/itPRlPSIiIk7HfT9+r8vZ&#10;ZnnuNuI++rNt2ct6RETMPXz4p12ffe6hro8+dnfXu+/d0/WWW3cM1MInU/HW/Mo3vtJVi5Kj+lPW&#10;0cs+/OF5vvOSSydidmyZlUNaOe0aTLs2f81WD1Y3UnVldSdVl1k9L2dVJzEf/9Ebj3t1P1U3Iv6S&#10;2qlnX5C+lEdExP/sPH/whc4TTz7V2Xf/g11v++GdnZ033tz1Oz+4rvOP3/zWwKu/+o1SP3PV1ZV+&#10;5JNXVqqFUv7ftl88j5VFZTOtvFLl99p16RpNXXNWFzh9dW99jtY8ej99T4b4te9nnPuR9IU9IiIi&#10;Tt5RF8Rp0O/3kyyIQ5ycX/zSpu43QF3+0ZM6F1+2rvsniU97x5rOms2rOitO6nnMqhM7bzj+hK7x&#10;eZT2mdS2UvvpGCefvqarjqlj6xsedR49xzrnFZ/c0D2/Ft1k5UPExbXtgrg47v74Z89MX9YjIiLi&#10;dMwWxBX5+cx+qk7Jxt1asJC9rEdEXIr6xWp+oZpfnGYL0vwCNFsEZovE3nrOeV3XnHJ6502rNwyM&#10;MRQnr+pZ9S51D/yiPb8ozy/Es8V3ccFd1kZmwWksiNOfZ8teyiMiLlW1oCsuYPOL1/wCNS1AUhyU&#10;WiAs9c2Z+nPSPlYeqaoeVB9SdWN1pQV6fpGeX5znF+T5RXh+4R2L7nKnviCuOOCcr30/58JPpC/s&#10;x/GqL2wfeOVffa/rJz717wM/csU1Xd9/+d+nXvq+v0m96NIrS9V1tDE7RpVZeWK57bq8/rqtLqSv&#10;o6wOERFxeXrMqlNckteCuJVX9VN0Ja9948rX+P2kFtFkL+0RsVotftMCNFv4pkVrZYvcFlNbUOcX&#10;0/mFdCyiw1FU+5dqN1JtyFSbksovUu3MVLuTaoNSz46ptimtrWoR6Djacazdm3Y+K4M9D/ZM2HPh&#10;nw1da1YPbdVx4jNa9VKdBXGI0/Gxpz7QXeSiP4WYqc9MbSuz4yDi8lfPv8/FcpQFcXopn72sR0Rc&#10;SONCNr+Izb55zBaw2cK1bNFajHGI0hbZqb34xXVxUZ19i920v7kuWxCnufF+um6E/vya318LGrKX&#10;8jg7auFI/JYqW+jj9d8CZdqiFG+2nYzHkyxgwVnQngG1R7VVtWMtuvIL2ljItnTNFt35BXdtFtst&#10;9Tila/V1o3n0fvqeDP7g8qzzPjJYpGaL0WwRmBaO6Rvk9GdVN5x2cddVG8/tevz6M7rqxb6+7SZ+&#10;4w2OptWl6tW0ura6t3shdW+k7pOMi/7i4r24UM8v0MsWbiAiTktbFKwY5POQjHmoTIuBUR8no347&#10;O06MnT5+lsXQUWNnXBD3uqNXXNNP0ZX832887qg5+xXqhX/20n4paIsx/CIMvwDDL7wYZdGFfaPX&#10;uGbH9gs1TL9gQ2aLNvzCDb94Q9q120IO0+rHFnbY4o5JLfBY7qqeVI+qY90P3T8tMovP0jjO0kI6&#10;lUXt1tqktTtdv7UntaGsrnB2tWfex8wsXvo4qTag9m6xrO7bDY8Udf1l39xoz4rFYou5/j7E41W9&#10;VI/bfu5LZ6Uv6xFxqC1g08K27227sPPP3z6/++zoTw5vOuukztGrVs15rkZRxzhh09qBOu7bL9zY&#10;9aL3nTpQ55RazKoymH93zTldVTapcu685eKBcWEeC/KOTK0tS2sL1jaktRe1H9PalLUxae1O7dC0&#10;tunbq7R2HFUbz/TPganno8psH68/vp0/ltPKX/Z8VT1bbZ8pbTs/Dhx/ST9Vp2S/iKYX/9nLekTE&#10;UfSL2rToR/oFbVqElC1mi7FpVv2Tt5zQ9fXHre561Mo1XY85YW3XY1evH7hy7YauJ560sevazad2&#10;3XDqaV03v+30rqef/Y7OWeedO/D8iy/qevF7Lun6vg++b+DlH/lg5xN/+bGBf/XXnx74t1/6/MCv&#10;fv1LA//5X/+h8+3v/cscr9v+7c6um7YOvO326wf3K2rfrBe1+2qLyqQtWrR7bdoiRtPu/VJYzGiL&#10;6VRuv5DOL6KrW0D3y1/8tPP88w93nnryns6dd1zf+ea/fb1zzMoTu775hFWd405c01m7fu21J520&#10;7pqTNqzbsn7Dut1dT1q331t8fsBcu27tK4Ud85RTN3fe+c5zul767ksGXv7hD3X91F9+sutVV32+&#10;61e+8vedf/6Xfxq4Y8f2rnv27O7cffePOg899OPOT3/6084LL7B4yi/i0YINLd6wb6iyhTxSiz6y&#10;b6ea5YU9Vj5bwJItYjnSFrLg6PrFbv758M9D1g6nbdbO40It38a99qyXac9CmaqLTL+NP54/t5XL&#10;6tG0sutZ9dq16TqXQvxpqt07u392vf4e2n30983fA4tTPlZNM16pLP4aWi+I+59vXPOq3kvz4y/R&#10;t87oRbtWwnd908qH/cERM+OiPFuMFxeT+EUkcfGdLRrxC0ds8UjZApK/+Zvt8/zc574/xyuv/Fap&#10;n/rUPy2Y2fnNWGYZryu7/lnV7pm0hUtx8ZLuu1/AJG2hkbQ2Y20oLqwt07bz2jG8vk36dpm1zbio&#10;KbbPrA6mrW8bvt1k7cvM2qWZbS/9saU/b1auKmObsPZgbcHagN133Tu7r4ory3URtcVO3359O1Wd&#10;vHGldbBWdP9bJPq9+pNryt1Sv5Eulc/7qb1LtiBuVha2XPU3mzpXfvbkzif+8uTO+z98UtdL37++&#10;aAvrOme8c21x7Ws6qzatKuql9yckX3/c3OvAyWiLXVTHpi2GyRbz2eI9aQtpbAGVrFq4ZwtGvLZQ&#10;xxZdSbUL+ZefObnz2b/e1Pn0lRu7fvyTGzsfveLkrh/68Mmd935gw8B3X7ah8+eXnDzwggs3dN55&#10;3vrOO87tedoZ67qectrazkmb13bWnry2s/qkNZ3j167uHLt6VeeoFSd2/uz4Ezt//Oa8nsr8k7cU&#10;g4cTT+ysXL+qs/FtazpnnLO2c/F71nfe/6H13bat67GFSdlz4I0LmKyObAGTtHq2e2D3SPdtIRYt&#10;6TzWJnR+u+cqm93PWYkxS1FrAxYbr/hE0c4/eFLn3e8rYuO713fe+a613Ta2+Yw1XVdvXN05ft2J&#10;Xd+8umjDK0/s/OmxK7tm9w8XVj2TRxfPzLzPjl5xvRbF+RyunJ19u4xe7mcv62fFn/z0A50HHn5f&#10;17vufU9n995LOjt2vavr935wYdd/+ffzun71G+d0/eKXzh545WffPvCKT5wx8P0fPK3Uiy85ZSSz&#10;Y5n+3F5fPtOX367Ja9dr129avaiOvKo3afUoVa8yq/PlqF8AZIt+bKGPLfDxi3pssY4W0mixTXxu&#10;lqP2kvgNRV9FHn3Cqq5vLq7/+LVrOitPWtt1zaZ1Xdefur7rW8/aMPDMc0/unH3hps75l2zu+ueX&#10;ndp53+WndS6/4m2dK/7y9K6fv/qsrt/453d2/bdvn9fZcePFXW/Ze+mcNprdy1nW2pnXFp01WXhm&#10;bdK3S1m3+MwWeFm7Na39mtl9x+loi/RsAZ5fdKf7p/vZ27Y39pavPfr4q5WztfAtG3tn424tWsle&#10;3o+iXvib9uLffPCB27qLAMybbtrS9dqt35zjv//7P8zxG1+/utIv/u1ftTY7jjeWwYxltWsw/fXp&#10;eqNWF6ob789+1tMWEtliItO+KStboGILUvyilGxBin0jkl+QYotSorZIpU5bxGKLRaLxuLaYxBaU&#10;SCunld0WmOgaF+qbmjBXdS6tHeqeWFuztmXt6JR3nNs5+sT1XWOMWWj/15tWdv646IvI1x9b9EkK&#10;33jciV2PXqEFSKu7HneiFiEV/ZNVa7quXLOmc0LfVWvXdrWFRutOWtf1pA1Hjqef8dau5593dtd3&#10;v+firh/5i/d3PnPlxwb6uBrjpY+NPg5a7FOuyNqejPHQx0GLfT7mWZzzsU1xaDEW2uk5OG7dyZ0V&#10;6zb2F0Wu77YxtS21p6y+l4q24M4W2PmFdbagzi+myxYJzIJaAKGFELZwxxak2KITW1hiC0qy+4zN&#10;9AtY/MIVW7RiC1ZsoYotUsnuGy6u9tzoPum5sWfGnpdJPyu2mEvHln7xk84rbRGZX/Sk59ovzpzW&#10;gqelqN1DqTqye2laLLTnU1pclKp/W4xmMXI5xUlrc9KuzWKYadcvrU1au/SeevaFxTGH78Bee8yK&#10;37726BVXaDzeH5qX0x3Qhz/NstCqQ+071daxNv/suFWdNx6/pvOmE07qvPnEkzvHrt7UOW7NKZ0T&#10;Tyoq7eQzO2s2vaOzbvM5nQ1vvbDrW896X1db6OL1i17MuCinrdl5orb4xmsLHkxbCGH6hSBeW3yW&#10;1eWRYmwzvr1oQOYHZX5wZtogzdRvjERtABcHcmVqgFelDf7amB3HXLXupDmu3bC5s2r9pq5rTn7r&#10;wPWbzuisPfltXddvPnPgyaee3Vm36ayuJ51yTlc9R6aeK3u2Ttzw9q7Hrzu964qiXb5lzaldj117&#10;WueoEzYWbXJt1+x+HSnGRaG2wGn9qRd11p1yQWfj297VjVEb31Y888V/N72t5+bTi/+edl5X3ZeT&#10;T3171w2bT++6/uRTOutOOrlz0skbu/pJg2g2qGpiPI5NTthkhZm1TbX/FavXFfG551uKAapi9lEr&#10;1nb+rPjvnx63pvPHb57stythvX90zMrf/dGbVv7mf725iJOFf9JXi3+OXdNz5brVPdf3XLVhqBYL&#10;2aIh88Ri2+iKNas7x62a71tO7MVXxVzFZMVnxWuL31mZEWdZtVu1ZbVr9QsUE5vE3dNOW985/8IN&#10;nYsv3tB53/s3dD5z5cbOl75cv0BuVG1RnV9M5xfS+UV02XVOSltoGRfQSVvgZ4v+/IJIlT+7rsVU&#10;90v+zd9uGizS/HhR7r+4YkPnA5dv6Lz3/Sd1LnnP+s5571rXOeeCdZ0zz13b9dQz13Q2v21tZ8Op&#10;RQw9uYihG4q8WcTNo0/QYobeIsw/VWx8c9GnbbkYcyG1uK3FGCqvyn3Uyp5vLu7xsWt6i0JXnby6&#10;6N+s7pz8ttWd089Z213c7BfN2oJZv2g2LpS1BbJttf1t8a1fSCrtvFYWaYt61TbVRv2zMe3no6nv&#10;eNfGwWILLcKwRRptv+2mTluApYVZtphNi7ps0ZoWh2nhmBaWnXPuxs5pp29I4x1OV9W71D0w44K/&#10;sgV92QK+uHAvW7RnC/b8oj1rL/sfmruQyC8aKlvIZouC/GKgrO1PWi0YXn3Kus6q4rwnFP3bNacU&#10;Y5uNa4ux7OrOm4u+7DFFOf5shf4Uun4Jo7dAfpbj8qypuuou2ityhPLEUSfo3hb1unp1501F/b6l&#10;qOfj1q/puqKof91/r18olhm3j1pbimZlRZyOK34df3bRe9/XXUTwkU98vOtH//ITnU9e+Zedv/jk&#10;xzof+8uPdz7+mU90PvKxj3TVNxO95/3v6Vx48YWds849u+sZZ57R2XjK5q4ad9gcjRnncLK8MQnj&#10;eaKxXLLJHJLp511tPtbP1/q5XJvftXlfPxfs5xpkvB9YrS2+8wvrtCDGf0uTLaipWpzp9Qt0/IKc&#10;5aRf3GYLi7LFbbZ4cTEWEdkzYc+Kf0+iZ8zegdi7DT2vFnPsOc9iAy4d4wI8v/guW3jXdtGdLbCz&#10;ZyAurFMOvPQDH+yccd4FnRM2nto5/qTNaVudhGrr9l5QbVvtWm1a7Tmrm6VuXESnBXTf/d53Bt9G&#10;N4nFc00XuS3Wwg2/yCJbWBEXV5Qtsigz21f64+uctsBjseqhrb7O7Jp0vbqvS2VRnb5lUaqdSy0Y&#10;HVU7hmnHzs7bxvj8TGuxW7yfdi9tUZstaFvohWz+HlldKzYpRpm26LeNfn8dz4z3cxL3cFb0bcme&#10;SYvJFpfjYjsfq5ZinGrviv2lfya991voKw7nO85XHQq/+Ch2oKUNYn0n2jrSsTO9UB3q0047o+s7&#10;zr6oc9757+l60UUf6lxyycc677nsL7t+4IOf63z4w1/sesUVX53zrUnZtyNl3360EPpvZ5JWrr/8&#10;9Lc6n/jkP3f96BX/UHSEvtx5/we+0Hn3ZZ/tvOuST3UueNcVnXMv+HDnHee9v+sZZ7+nc9rbLxks&#10;wrGFUWtOPr2zYt0pnePWbOocWzwUWoR4zMp13UWJ0iYZTCYZEJeWNhFiZtvMslbuJnnIa5OtXj8h&#10;67W8Jf3P/b52XJuw9ZO2NlkrVTabrLUJW2Ln6Kre6vohNpkX7312f61vUqZN6JeZ7eP15zJVhlXr&#10;13TWbljT/aayjW9d2znplLWdk0/rufGta7raIhq58bSe60/pqW+FWru55wkbVg08bu2JXbU4Reqb&#10;y+SfFfVj3yiibzSTWf1iT7UzPa9qV2pPum+6n1kfcxw3n9JbKKdFcvrWOy2UyxZjTVtbQOcXEWmx&#10;0EIunivTFtXZtxZm6psk5Ykbi3t1cs+V+mx9sV+hvj3Nno0VWsRbePzaIjYUamHwW1b11LcEyjfq&#10;WTmuiNmFerlveWepxW0rs8VLmxQui5eKkxan1N4V4yY1XlNbt4WhfnHohz48bPt//fmN3QWHWRtd&#10;bO0Z8QtN/bPinxe1yYV+XrToQwtC7FtutPDIFtH9w7+8s/Pv3zu/8y//z3mdb/zzud1vfPqHfzq3&#10;uziKBW5HjvYs+76L9Umsj2uxIPZpsz7srMVD++a0N3bjWxHbV6/pXoeuS9c6qXknq0PfD7S4aXVp&#10;9Wl1qnKYvl5lNk6wema8cOSpxYTdRYX99qyFmWrT0tq3tXFpOd3ndbli7ZquJxbjDbluo8Ya67ue&#10;dtaGzjvO29g598JNnXe9+5Sul33grV31TYGf/tyZXfUtgV/+2jndvPHNb5/f+f51F3Z23HBx55bb&#10;LunccffcP+07ira/N/uGvrpv6bNcV/XNfH5B5ZG4SNJidp3ZvoiZf3psL39ZnlUOzHJmmbYgxxbi&#10;aPGNFt1osc1iLpzLvrXNFvXYt+35xW0L/Q1Z9qxaX8GP63Qv/Hhu0mM5xDrtW+8ys+1N61tbX1pt&#10;2PrNat9+DJI9F6OoY+n5sWdH51YZsvItN23x3BUf/1jnL674WOfzX/ibzuf/9oudz/3NFztXfv5v&#10;Old8+nOdD17xqTkLJ6a9aCJblGWLeGwhjxZ82OIPLQSxRVkLuahnVG0BS7aIpW4hS1zMYgtZsnpc&#10;LP39UxltIZa067H7+INtOzo33rKnc92O6zvf3fKDzo7rd3W2/OAHXf/t3/+986//9s3ugk59M6LU&#10;Ak8t9FSbtT9TrDb8ttPf2jVr49PUcurmU0/pnLx5c2fzaad1Xb/plM6mt53RWbvprZ21m0/rHLd2&#10;Y+cta07uHHXC+qLPNLmxh463/rSzOudd8t7O5R//dOeqq788qMcf3X3PYAFYE23RmNcvKvOLzWwB&#10;mhbamnaP6u5TVo+Lrcql8llZbUFx/GZOW1xs1+8X3Fk9Zs/8UnSScWo2Ft2tOGx/iWUO+tOotpE6&#10;1eoIxA60TSDSga52UxEEo7YQr6nZMWR2vlnUOrE2OWwTxFUTw2pzNomXTQj7yWAmaZaOdr/s/vkB&#10;ux+02+BDql1Y/DGt7agd+Zgkra359ha1/bx2zNgmY7uMbdO3z9g2szrA+Vq7iO3B6tu3Abtfuo+6&#10;x8s5D8XY6dupb6O+fcaYudTaZNYWfFzw7cC3gaz+cHzt+bJ2aG3Rx9Esdlrb9O3Tt1NrqzGW+rZr&#10;7ddrbdlrbaapfl9/bDu/tbfY1mahndlCOVs0JD/5yd6iocVeMKSFQfo2rrLFQIu5eG45aO3X2que&#10;D99erc1au9XzaG13OcVKW0B3zrknDZ6F97zn5HmL6OyZmNWFdFKL6OKfsH3t0Sv2aBz+2qNXbin+&#10;f3fv29qb/5LapPUx07c7a3vW/iy+W/vzbdBcTu1wGlq+lTHfStVhzLf2zMssv+o+xXyqe2nxJLvn&#10;s6a1QSu/b3/W9rK4d6S1tbK2k7Ub33bs2S1rP74NZW3Jtydvdi9n0dcfV1xLUN9g57VvCpTHr1/T&#10;Obb4r/0ZWv1J2hP0X31WqAWX0tqmtU9ro9ZOra2adr982zWz+70UtG+stG+pjN9O6b+Z0n8jZdk3&#10;Udq3UMZvo2yj399/w6Wdy74JUwvEv/zVs7uL//TngvXngy9536ndPyesPzGsRYdHHd9beHhU4Z8d&#10;e8If/PPhn42s3eHi6+OV3S+LbVL30mKgtLhoucf0z3jbZ92e96h//puaHcefR+e28lj5VFaLU9Ku&#10;z9qy1UtWf23VcXRsnUdlUfmyuNFELaKxb7DKFs1lfw7SFrTFPwPpv6kq/vnHxfrTj9Ym1Q6t/Vl7&#10;s/bl25Luf1ZPiEeaiisW6/ScWFyzeJY9b23UMSw3WNzU+caNaZPW5wUf/33cVzyxurG8Zzkxu/ZJ&#10;GRe4adGELXCzhW22qG0pLGibZW0RS1y4YotWbMGKLVZZqEWOk7KsD2d9mNh/szwatc/L1DHsmHYO&#10;O+dCPDNS57BrU5lUbj3L1hegHzD7apGdLbRrusjOf7udLUzUQrtJfTvhYhu/HfDue+7p7Lz++q5a&#10;BPv1a67pfOnvvtz5689/vrtI++JLL+2cdc65XU/auLGzbuPJg7GNH99YrjMtX895Vo9ecU1/GdwQ&#10;/6dS9WBlNxJxVvWdP9MGi9ZZtQ5h9tDEB8c/PN6YRM2YPKOWlBfC7PxZmWV2jbEefB1Z3fk6tXq2&#10;erd7QXKe2yZ9W4xt0Ora7oHdH7t/dm+tQ2adMuuQRa2DFh0kgQr99v6Y1gm0DpkZ256V3a7J2ou1&#10;E9rG4hnbo7VJa49VbdK3y6jfJmrHkRZDrD1YvMjKiojt1IIhv2goLhwytYDIFhG11fY17Zg6h6lz&#10;2vlVFnnm23tu2ryus+ak4vlf34szFicURyzXxRzXNHcthjFX+hzp86LPjT42xpjo4yKxcTLaYjq1&#10;v6pnw9q0tXUtOrWFp6a+tc60hXd1+n3MN53Qa+fWRt5ywok/WL9+zZnrNqy5pOtJa6446aT1VxXt&#10;YeuxJ+pZWd059sSeG087qfvtPvq2H//M2POStdNZ1J4d//x47VnyWmzwWh167ZmL2jMYzbbNjOeJ&#10;ZcnK7K/JX3NWJ0tdfz917f7+qP5U101iX/Yc49LV8pnXxiKTNDuPNysb4rRV27M2qjjnx9023o59&#10;4ZhvYq6RVbkm5huZxew2xuNF4/m9vpz+Gvw12nX73Gw5w/KGqXozrS5Vrz6f+JxCDBhP1aO1W9W5&#10;7ofule6h7m/WXurUfv7e233O7rdpn1nbsDajY/hnQt9W1/tmzcX7hSx7JlQeu04rt65F9Wjt1dpp&#10;VveIOBn1jFkcUxwZN4ZF7Zn3uU3n8HnMjLEtattZzJBl8U7ntDyclWua6pxWjhjjfD62+GbfwCTj&#10;wpCyxSH2bVTZtzDZApFswcWRoC0qsYUltriku8CkX19l3+alOrZv8pL+27zkBRdd2Dn3/PM7p77t&#10;9O7ik9UbTh7kf2ubsT1aW8zaCs43xoz47NAvwDrtWxH9ojtbeGdanPWx1uvjQFPjMez4/rxWFiub&#10;lTW7jmmrfvbw2VtxuL8MbohfEMeDh4iIiIiIs6LGJxrQeG2yrU5NLjSx7OWanU9lYJyEs649G/YC&#10;0ybYbQLTT14ygXlkqXtt6t77lxnSXuBItRl7QWOLD2JcJCYiIi49LXYTw3Fc1RfwC03Up8j6H0tN&#10;30+yl9bWR7K+ke8XWZ8oqyNEnF0thtl4Wc+7nv0sLixHbVzoY52NBW0MuBTiXFwg4heJxIUi0i8W&#10;8cYFH+OYHT+WQ/pySn8Ndl2LtaBkFNVOpNqNni3p56Ssv2DzD2p3ptqhzVFJtc2s3S629txYP0HS&#10;T0CcLfXM2TOrtW/9ZXBDXnfMiv22gR7S7CCIiIiIiIiIuDzVRJ0mDzQnIONkZpzQ1KSfJv9sYjOb&#10;0JzVyczF0CZQbRLVtMlUqfqzSWI/uWqq3m2iVfoFazbpahOvNvnKBCwiIiIuhOqDqG+i/or6NOrn&#10;ZH2iaZm9qPb9Kd9/8v0m+kuIaCoW2DjYxr02zl3omFZlWbyzcaPFOxbn4FLXcrTNcVjutjmQOGfV&#10;VNvPnhF7TkzmUxCXnnp2h7lyxf7+Mrghrz16xW7bQBtnB0FEREREREREHFWbUDRtUjPqJyKlTVB6&#10;/QSmN5vsbGJ2LDOeO5ZP+vLH68zqAhEREfFIUH0j67upz6VFGrbQxGuL/01b0CGtrxb7Ytbvys6L&#10;iDgtFXsUg3xss/gWY5wtUouWxbos3sVxZlYmRETEI1nlzMGCuKNXXNNfBjfEL4jTxtlBEBERERER&#10;ERERERERERERERERERdbLSi39W6vPXrlVf1lcEOKH25hQRwiIiIiIiIiIiIiIiIiIiIiIiLOuvqm&#10;1coFcf/rTSu/Yxvoq1izgyAiIiIiIiIiIiIiIiIiIiIiIiIutkevOHG4IO6YlWf2l8EN+ZM3nzhY&#10;EKevk8sOgoiIiIiIiIiIiIiIiIiIiIiIiLjYvvG44YK41x2zYm1/GdyQ1x97wi7bQF8nlx0EERER&#10;ERERERERERERERERERERcbF9w7EnDBbEvfaNK1/TXwY35M+OXXk9C+IQERERERERERERERERERER&#10;ERFx1v3jtwwXxP3RG497dX8Z3JA/O+6EPbbBm09gQRwiIiIiIiIiIiIiIiIiIiIiIiLOprbWTfaX&#10;wM3l6ONP3M+COERERERERERERERERERERERERJxl165bO1gM99pjVh7oL4Gby5tOOPFBFsQhIiIi&#10;IiIiIiIiIiIiIiIiIiLiLLtq7XBB3OuOWbG/vwRuLm85YfWjttExK1enB0JERERERERERERERERE&#10;RERERERcTE9Ys2awIO61R6/Y3V8CN5djT1j9tG109IoT0wMhIiIiIiIiIiIiIiIiIiIiIiIiLqbH&#10;rxouiHvd0Suu6S+Bm8uKVatfZEEcIiIiIiIiIiIiIiIiIiIiIiIizrJ+Qdxrj155VX8J3FxWrl79&#10;X7bRG49jQRwiIiIiIiIiIiIiIiIiIiIiIiLOnseduKrBgjj3d1VZEIeIiIiIiIiIiIiIiIiIiIiI&#10;iIiz6JtPGC6Ie90xx1/SXwI3ZM2aNa86gQVxiIiIiIiIiIiIiIiIiIiIiIiIOOMeveLEwVq31x6z&#10;8sz+Mrgha9aseTUL4hAREREREREREREREREREREREXHW9QviXnfMirX9ZXBD4oK4Nxx7QnogRERE&#10;RERExFn285//XOd3v/tdx3j88cfT7aLaztD+Oo595o/Xlu9859vdY3z4I5e3Os6tt+4ZnF/qOHW8&#10;9NJL3evwZW/if/zHf/SPMOTue+5utF1THnzwgcFxquo6U9fu6y4rm45fx/PPP9/dV/ci7m82OY6h&#10;MmXHaOrXv/EP89rEf/7nf1aWz8z21fWdd/656fZyx87t/S17ZY/bNmljOofun47l9x1FtdcqVBdN&#10;7lmZale6nzpGRD/TZ6rHbN8qVU+qA19+1aeej7J60bUY+v9sG6+u2dCxLY6YundZ/elnTZ9/HSOr&#10;Gx0jto1x49ck26uOPSq6tngelU33098jYW2kbdtrUlc6l9pLvK/eUetc1+PJrjkznk/ls8+axOys&#10;PZbhj+3Pqf+vqu+YC1SPVW0oxrTYLhERERERERFx6asvfKtcEHfyyWtew4I4REREREREXOrGxQBa&#10;1JBtF40LQ/xCmXGwxVuxXHXERV9+gUwTtJDD71+mFh9kaNFB3DZbPNMUfx+q6vr/z95/P9l2VXff&#10;6Psn+If7661yvfVU3bp1b5V93+eVABssJKFwgnSOzlHOQgmRJITIOQmRMwZMcgQDJumxMQYMNtjG&#10;mGAwNgjZxmSDCY+JBgPz9nervzrfMxhzrrnW2rt7d/d3VH1qd6+ZxxxzzLnWGr07I449m9MxfcPY&#10;aoFLY8eY1dGLBpmo9ARt1Owh0w2JZaLex9oY9DgnwGSsYGytYBmCAJkxwZu99SIIqCfoB0E6MWAo&#10;iqZlRDvE3Gh6y5/0BNyBmv1Bom2syn9NsdexdhqF9cNOop4zyXxhi7G6Qh+yoK6pOoftRekJkox6&#10;1T0k6inaBxgjOu8a4AZpBdtm67oVVBhtfBmBvMYYY4wxxhhjjFkvEN/GWLf/edIZ990MgzsmCIg7&#10;6/BhB8QZY4wxxhhjjNnRxCCCVsCF0nrhH1/YjxG+rB8b3BADjaYEgTBAokWr3hg8MCbIKMrY4Aol&#10;9jGb01hnj2TtjqlnbKCMggCYml31BDS15q0W3BXLxPG36mwJgk60nl6mCHTWCu5B2pT1uux6o41G&#10;0bSMaIeYG00f8idDAVCwv5ZE2xhqL8oY/zXWXlH3VNFvSxvjz1imh7G6gmQ+bY7O4UNUegKkY7Cn&#10;2lC0x2gfYIzoN8TFeWj5k2wNtsYW9dAT+GqMMcYYY4wxxpidxb0lIO4eJ53xy5thcMfk6NFD93VA&#10;nDHGGGOMMcaYnU4MIsgCDTJ6XvgrMVhjqJ2p/SKxvRggg8C77Nursm8eUjRgIAYbaNBCjSxoI8un&#10;rELXrTqhAwT3xfFpcAwZ27epoD8qsW9DAU1RJyq1gJJYJo5tyMbQJ/Q7BplAYt4eomga5gz9y77F&#10;DLrK7BrX4hpAXvRNA2EwjqzeWiAiysb5we/QBftBG6Nuoo1G0bSMaIdRv9CNSuzfUJBitL84p9E2&#10;YnvZGmwRbUtlqr1GorTyx/FAEFDG+cScQ0fwgdBtLN9iSFewvywYL37T2RydR93VbJtgvCoxf7TH&#10;TLdRYnqNzBazfNBbJpkfB5hLlSEdGGOMMcYYY4wxZmdyr9NGBsQhgi6ryBhjjDHGGGOMWWemBhH0&#10;vPBXYsDBUDtzghtAbA+/xzwxAADSGkcMMEBgQgysYYBIjTguSJZPWYWue+pEwEmUmGds36aiATEI&#10;1IjfejX0jU6ZTlSyb0KKZeLYemwMwCaygJ6szRZRsjwgs7EsiCr2H7YMG4/5SAzEgeBazBd1i3pb&#10;Y8XcxWDSKJqWEduMcxF1gvwaDDgUxKV5UTa2F20ja0/Th4hzE9ubYq+RKK38se6hAMIx9OoqBm/2&#10;zLGmt4gBbpDWWhjyP0P2AaLE9BpZX7N9J1uvlCx/9Pc935JnjDHGGGOMMcaYnYcGxP3KSYd+aTMM&#10;7pg4IM4YY4wxxhhjzG5gahBBzwt/JQvwyPKROcENILYXgyfImHEgQEAFQQXxm7OyACEljguS5VNW&#10;oeveOqPE9LF9mwL0rIJ5iEEhQ99mFHUSgz96Asbi2HptDGAM6KPK2ICTKFkekv2bzBgEE4M5W/0n&#10;cb7jt01lwTpTbCJKlkeJ/YpjQR9UkD/qqLZ245iQb8jus/Y0fYhoW8uw10iUVv5Y9zKDpXp1FfvQ&#10;M8eaPsRQwJ0S88bguSH7AFFieovoS+K35YG4N6lk+eP+luUxxhhjjDHGGGPMzodxbmAzBO54OXLk&#10;0OHD5zggzhhjjDHGGGPMzmZqEEHPC38lBjMMtTM3uGEoeIKMGYcGEPEbrWKgSgwQisRxQbJ8yip0&#10;3VtnlJg+tm9TiIFLDD6JQSmtAI6oE1yLQSUIfGqViWPrtTESxzEUxBeJkuVRYsCbBnxFu4Vk3xoV&#10;GSoXdTJ2jCRKlkeJdhjnIq475I+BbvFb6kgWCDtk91l7mj5E1COuzbXXSJRW/lg3bKv1DWpj6NVV&#10;7EPPHGv6EHF91nw55l8ls/Eh+wBRYnqLGOyWBSiqvURfmeWPfe7xB8YYY4wxxhhjjNl5MM7tHqfs&#10;+/FmCNzx4oA4Y4wxxhhjjDG7galBBD0v/JUYzDDUztzghqHgCZB9m1UMMiExEEiDi2LgUa0OEMcF&#10;yfIpq9B1T50Yo8rUwI+5aDCH9iEGsGTfmkWiTnAtji+Wj2Xi2HpsTMnsbUzQSZQsj9IKmumxkYxs&#10;DKqXaA9Z4E0PUbI8Smw3zgX6qMLxxkChbD6yQNghu6+110ucH1yba6+RKK38WSAkBH1o+bseenUV&#10;AwLVB4O5Os9sOxtbnIee4LJMt1Fieos4H3GscSyxz1mwn8pY3RljjDHGGGOMMWZncM7RYwFx9zx1&#10;/w82Q+COFwfEGWOMMcYYY4zZDUwNIuh54a+MDcCJ/WpJDIwAsb0YIIOAghhg0QqoisFFGjgT0xCo&#10;pWWVbFxZPmUVum7VibFhDK1vGCOxnppkwXQ9xMAODT6JaeivllWiThjoEm1AA2Bimaj3IRvLiDI0&#10;l0qULI/SsoM4by3bj0TRMUSbaa2FFlGyPEocT5wL9FGFuohBlbG/MfAIv+N6bC/OY2yvJT3+axn2&#10;GokylD+OWQWBgkPla0RdcW4Ivokutp35k7k6BzFAMrNfjFUl+6a8IfsAvZKtTfjoKJoeA+CQvxX8&#10;GXXX48uMMcYYY4wxxhiz89A4NwfEGWOMMcYYY4zZ1QwFI9ToeeGvtIJzMsYEN2Qv72N7Q4JgAQ0Q&#10;UHA9+5YoEoNmWsFf2biyfMoqdB3rHJJawNSYerLyQ8SxxOCTGORRC3SJ9VCHMXBEx1krU0vH75qe&#10;EWVoLpUoWR4l9k/tIM5bT99JFB1DlDHjU6JkeZSh8aAfKtRFDKqM35ylwU8acBnbi+OM7bUk032c&#10;O9Y/x14jUYbyZ0FVUaCvmh+tMUZXEMxDFoQ2V+cgBkhGe8DYVGI6GbIP0Cu01UicC20DdkFhHxFM&#10;rMLgTjDWdowxxhhjjDHGGLMzOS4g7n4HfrQZAne8OCDOGGOMMcYYY8xuIAYR1F6+R3pe+CvxhftQ&#10;O7FfLcmCoGJ7NUHwWi04gsQglKy9+M1YWcAGyMaV5VNWoetYZ00QTKGBE5HeelpBgi30G7GyOmIA&#10;SwxWJK2AjzgGBvS0ymTpQ3YEogzNpRIly6O07CCOuafvJIqOIcqY8SlRsjzK0HjQDxXVRQws4reu&#10;xeAnDT6L7cVxxvZa0uO/tP7Ydq+9RqIM5SdoJ/o7FehzTFBcr67QJuagVvdcnYMYIAnRb+GLe0H2&#10;DXJgyD5Ar6jdKTHATW1e/Sa/VTMGbuu3bWp/NfDTGGOMMcYYY4wxuwuNc/v10/b/cDME7nhxQJwx&#10;xhhjjDHGmN1ADCLQQJEWPS/8lRisMdTO1H6R2F5LasERJP6LvCwgQ7+RB6LBBkoWtJHlU1ah61hn&#10;TWrfxkTG9m0MaFcl02kWwJLNT9SJ9jPOCQNLWmWydJZrEaWl20iULI8S+6fBgnHeakE3GVFUL1GG&#10;1laNKFkeJY4nzkWcY10TMaiSdhava2DokN232uuhZXuxbo61VSYjylD+COY2BhNSxthTHE9LWvXG&#10;esbqnMQxadBb9PMaLKcM2QeIEtOHqI03+kTaLfyiCsbJujTAsRZUbIwxxhhjjDHGmJ3PWYePC4j7&#10;8WYI3PESA+LudZoD4owxxhhjjDHG7DymBhH0vPBXYrDGUDtzgxtiewwaQVBADHSB1L4FLQYR9Ert&#10;G9HiuCBZPmUVuq7ViWCKGPSBYIk5gR9TQWDSFMmCsIaChXQcGC/mfahMzcZqZMF7Wb4aUbI8SpxH&#10;7V/UbWYjGTFIEaK2EYOJhnRSI0qWR4l2GNvF3KnoeOMa59rVscT1PGT3rfZ6iLa1DHuNRBnKXwPl&#10;NKCKkuXNaOkKfjnW3RtsPFbnJO4PWo/2RQPKIjo/kEy3UWJ6DyroG67Fb7FrrU/YTVzTGgBojDHG&#10;GGOMMcaY3UUIiPvpZgjc8eKAOGOMMcYYY4wxu4GpQQQ9L/yVGKwx1M7c4IbYXgyQiekMKtE8IAYX&#10;jJEsyC6OCxLzRKKuh751K44t+1alofmL6TX9D9UzB/23f2MkC1SJOon9jPOCoJChMjEdv2t6JAba&#10;tAJqMqJkeZQYSKT2GPvCYJoh4nqI5eK3KY4dI4lSC8gkQ2skzm+059jvqJ8YhDVk90PtDbEKe41E&#10;GcrfIguU7K0vjiXqKqZDsrqH6uklBkhCcA3rRwU6z8qDIfsAUWJ6D7EdzIMGu8ZAzhgIizFFWx9a&#10;a8YYY4wxxhhjjNm5aEDcfU4/UDZD4I4XB8QZY4wxxhhjjNkNTA0i6Hnhr8RgjaF25gY3DAUrIcAh&#10;BgxlgWbxG3XGSBaIFscFiXki8Zu+snqVODdZ4MbQ/GX9zAIlxtpBLzH4ZKzEvvYEC+lYEEgyVGbI&#10;xhTYWwzwa+XPiJLlITHIJQZ8ZgFMQ4GWII4h2mIMmINMsYnYTqtv2VrG+DRPtOfoT7J+q8T6xq6f&#10;2N4Qq7DXSJSh/ENEiTqr0aOrqO8e3zpW50oMkIR9RD/cChyL/c10GyWm9xDnHOte96yop6gjBMjp&#10;uGBHmt8YY4wxxhhjjDG7iwOHDh0XEHfo0KFf2gyDOyYOiDPGGGOMMcYYsxuYGkTQ88JfiS/uh9qZ&#10;G9wQ28PvQ3liMAACHlSGvu0qBtXEICQQxwXR9IwsWKcWbJLVn+Xtmb+YJwtCGWsHvcTgk+zb9pQY&#10;QBXnO8511k/oSSUGQ8YyPTYGYANxPJltDBElywPQzxgglvUtjg86bPUpjgESg4Ky4DS006oXQTxx&#10;7cW2Wn2L84D2Yx7oRCX6E9Rdk9g3MGT3Q+0NsQp7jURp5YdOa/YNYl8gWb6MHl3FPJBoez319BJ9&#10;LgLk1K6H9oIh+wBRYnoPUe+xXYwjllHBONR3Zj7eGGOMMcYYY4wxuwcHxBljjDHGGGOM2TNMDSLo&#10;eeGvxACPoXbmBjfE9rJgjhjwBmn9W8n4bxMjWVBNDEiI44Joeg0NWoAgOAN1M0gIn+hvDEaq6a1n&#10;/rJAvBiUNNYOeonjiO1G4r8CjEFMPQFGIAv6osQyQzYG+4IO49xBMFeat4coMR39y/qP9jP9IX8U&#10;5FW7Yr74jVmQ2nqI6wYS68Un1praj9aRrU0E7+j6RJ4475BsrcexZusiGyMkq2/I7nvaa7EKe41E&#10;aeWncB41GA1zEm18TGBVr65iG9H+5upcgX22ZGj9DtkHiBLTe4m+UkXnicS+qWBuY35jjDHGGGOM&#10;McbsHjQg7qQzDpbzzjv0q5thcMfEAXHGGGOMMcYYY3YDMYigJQgYYbmeF/5KDPAYClYY0y9IDI6I&#10;7WVBLSAGlGi/YgBG9k1rkRhUozoD2bg0vcZYfUAQKJEFQoHe+Ys6iHpsBVdkUuuPgqAMlajDjOwb&#10;qnS+egOMskAsSiwT6+yVMcFCyhSBDbTsNgso65GhMbQCtTKBncU6pui35lfi+snyRbuj9AQVRduI&#10;7Q3JkP9ahr1GorTyt4KuomAue9Y5ibqqzWGcn+jf5uo8UguQhGQ2oQzZBxgjrW+kq/UzW1Ogta7G&#10;zJsxxhhjjDHGGGN2HvtDQNzRo4fuuxkGd0wcEGeMMcYYY4wxZjcwJohAAxV6Xvgr8SV8LeiBjA1u&#10;iPXF9vC7ppOsHQQQxQCrWnBBJAuqGQra0PIt8E1MvYEp0EcruKF3/qIe0b6mx3qGZMhOQAzw6P3W&#10;ohi8pwEvcRytftSCxGIQTKxzSNA//YazsYwVBKX1BLhAv712hXy1tRRBvp56oZda0N4YHbcCnOK6&#10;y/wPdBWlFog0tH5ie0MS+7MKe41EabXRayMYx1C7kZ65AZif2Af9pra5Oo9kvhzSE6A7ZB9grMTy&#10;JPtGRkgtaLWmp6F/A2uMMcYYY4wxxpidjwbEnbyvEhCHiw6IM8YYY4wxxhiz00HwQm8wjAYC6DdA&#10;oXzrW6gAXsJrO0PfMDWmX5AYDBODGVpBVVkAVgwa6P0XlwjaiIFZqpuYjp+1/BAoj/6hz7EdBDRA&#10;r1nwRaR3/mJ/Y95aME5NUJ/Wn6HBJGi7pwyIgSFqr2oPQ3UiLQa0ZMEzCG5rCXSFctDRnEA4gvlt&#10;CdIxZuhhbFASxlyzK/zOenvngiA/ykEPup5ZZ2tdEowlqwNC/Q6NFzarZVFfli8GotXmTfPFNQGW&#10;6b+WZa8R6J+SjSHSmkv4k6k2HuemtTegfRXNO1fnEYw3rgXU3zPOHv86tJ5VWsFqGHfWz9Y+EO0F&#10;+XvWojHGGGOMMcYYY3Y2MSDuyJFDV26GwR0TB8QZY4wxxhhjjDHGGGOMMcYYY4wxxhhjjFl3YkDc&#10;OeceumkzDO6YxIC4e5/ugDhjjDHGGGOMMcYYY4wxxhhjjDHGGGOMMetFV0Dceecd+lUHxBljjDHG&#10;GGOMMcYYY4wxxhhjjDHGGGOMWWd+ISDu6KEnb4bBHRMHxBljjDHGGGOMMcYYY4wxxhhjjDHGGGOM&#10;WXc0IO6kMw6Wo0fPed1mGNwxcUCcMcYYY4wxxhhjjDHGGGOMMcYYY4wxxph15xcC4s49522bYXDH&#10;5NChQ7/sgDhjjDHGGGOMMcYYY4wxxhhjjDHGGGOMMeuMA+KMMcYYY4wxxhhjjDHGGGOMMcYYY4wx&#10;xuwKYkDckXPPef9mGNwxOXTo0C85IM4YY4wxxhhjjDHGGGOMMcYYY4wxxhhjzDrzCwFxR8/5xGYY&#10;3DFBQNxZhx0QZ4wxxhhjjDHGGGOMMcYYY4wxxhhjjDFmfTkQ/2Xq0XM+vxkGd7w4IM4YY4wxxhhj&#10;jDHGGGOMMcYYY4wxxhhjzDrzCwFx557znc0QuOPFAXHGGGOMMcYYY4wxxhhjjDHGGGOMMcYYY9aZ&#10;7oC4g4cPf5cZ7+OAOGOMMcYYY4wxxhhjjDHGGGOMMcYYY4wxa0YSEFc2Q+COFwfEGWOMMcYYY4wx&#10;xhhjjDHGGGOMMcYYY4xZZ/Q/oTLO7dChQ7+0GQZ3TBwQZ4wxxhhjjDHGGGOMMcYYY4wxxhhjjDFm&#10;ndGAuHu3AuIOnH321xwQZ4wxxhhjjDHGGGOMMcYYY4wxxhhjjDFmXTl8ThoQ98ubYXDHZN/ZZ9/p&#10;gDhjjDHGGGOMMcYYY4wxxhhjjDHGGGOMMeuKBsTd67S74tzOO+/Qr26GwR0TDYg76YyDv1CRMcYY&#10;Y4wxxhhjjDHGGGOMMcYYY4wxxhiznZxz9Jy+gLgzzzr7Ew6IM8YYY4wxxhhjjDHGGGOMMcYYY4wx&#10;xhizrmhA3D1P3X/X9aOH7rsZBndMHBBnjDHGGGOMMcYYY4wxxhhjjDHGGGOMMWbd6QqIO+Ossz7s&#10;gDhjjDHGGGOMMcYYY4wxxhhjjDHGGGOMMesM49zA4loaEHfw7Pc5IM4YY4wxxhhjjDHGGGOMMcYY&#10;Y4wxxhhjzDqDb4bTgLgjRw4d3gyDOyanHzj7ncx08j4HxBljjDHGGGOMMcYYY4wxxhhjjDHGGGOM&#10;WT80IO6cow6IM8YYY4wxxhhjjDHGGGOMMcYYY4wxxhizQ7nXaQdiQNyVm2Fwx+SUfQff7oA4Y4wx&#10;xhhjjDHGGGOMMcYYY4wxxhhjjDHrzL1PPxYQd/icww6IM8YYY4wxxuwt/u3f/q1A8Jmlrzt/8q4/&#10;Ll/96lfLHXfckaYvgze/+U3lm9/85kJPEPz8/Oc/N81rcv7iLz6w0N1//dd/lcc/4XFpHmN2Op/6&#10;1CcX/gj2nqW3gE+h2L8Y5QE3XLfYo2Fbr3ntq9M8Zu8CfwHbgI1M2V91f87S1xmsje9+97uL/sP/&#10;ZnnAR/7uI3fng0BXKJvl3Sns9PP7TmMnr5NevNcYY5aN96qdD/Y9yJT7261k7nnY9LGO56FlzL2O&#10;azvtp/VMqJVmzBAaEHfW4UpA3H33HfwDZjpl/9lpRcYYY4wxxhizE8GDAwg+s/R1h/2HrOLlDYLh&#10;MsHL1Sy/yVn1PBmzDqhk6S2wLiheI0ZR29ipe7VZHTiPUKacTbR8lr7O9KwNBMplstP9LM9V9glb&#10;w05eJ714rzHGLBvvVTsfyro//5p7HjZ9rON5aBlzT18F2c57BD2LxX600owZ4j4SEHfg0KE8IO6k&#10;Mw6+2gFxxhhjjDHGmJ1E71/u7fSHlHzRiW/+WMW3ffCb4fDJvxTEX+P5L/KO0fOX37THVc2TMesA&#10;/cWUb0HwA05TA3vPTvl2BrP1MHAfNjLFd6zjiy3Q8y0I+g1x2dpAOgXfJMzzB3S2088iDjK4i2X4&#10;xp461nWdLBPvNcaYZeO9an3peYYDKFMDjbaKuedh08c6noeG5n4nPa9sPRNqpRkzxElnHDwuIO6c&#10;cw/dtBkGd0x+4/QD/oY4Y4wxxhhjzI6i90GFH1K2ofjFUB3bkDHz8QNOY8x2sK6BPsvwiVrHbvtD&#10;Bp+97oIy50U9pVXHuq4TY4xZZ7xXrS+9c0OZs8+a3cNOPA/tJD/Uuv9Zxr2R2bucvO9YQNyZZ1UC&#10;4k46Y/9rHBBnjDHGGNOGf53vb00yZj3ofVCxkx4ObDX6zSJ+4FDHNmTMfPyA0xizHazri61l+ET9&#10;t/dZ+k7GZ6+7oMx5UU9p1bETXwAbY8x2471qfemdG8qcfdbsHnbieWgn+aHW/c8y7o3M3gXxbYx1&#10;O+PgWQ6IWxY9X2u/DuDfK8EJ+tseVkfLFvA79I+vKuW/nzLT2W1fa7/T7GM3+hP/qwQzhj951x8v&#10;7AVBcTFt3dbHdto22oSgDzHN+6JZNr0PKmB3EHxm6XsZP3DowzZkzHzsb4wx28G6vthahk/czUFM&#10;PnvdBWXOi3pKq47dbEvGGLMqvFetL71zQ5mzz5rdw048D+0kP9S6/1nGvZHZu3QFxP3G6ftfykz3&#10;O3BWWtF2gBelfMGs8s1vfnNxPQYfbSU7ZWGqZOlmPi1b0M3TB6r5UHaLLneafahk6TsRiten6YHf&#10;DpcFmanEtO2Ash22rb6tleZ1t3vBGf2OO+64OzCzJnqWxxkKZWrnfnyLmbaBoMqWxIcA8eEAvk0D&#10;dVPwM65pmQz0E23r2FAW9hz7SNhX+A7kwTgpSMvKRFqBpkxjXewjBb4rW28sV5Osb9ARrsfxY45q&#10;Qa6YZwj7jjroT/Gpeh8aC9pCcDLzQ58YG+tDG9BvbS5wHW3ADlgGgnJoJ7MBHWuvcKw12AcV/I7r&#10;tb5HPULfus7w2Rq72To4V/Q3mBPMjdop7E19oBLXAWyc84w1kK21MTbF/kFafk/z6X0u1yT7F0F7&#10;ui4hHC/qoWidEazzbDy6/seAtjAHsU76r9q6iXMRfRLGmPnXMUAvah8Q/IxrmY7YPvoe0xTmw5hj&#10;Gv1H1mbNl/fYJfPgeq0ewHwQvc76kK7XlTG20dIBwLwPtak22xqTWS3qj/Bzlod2zTnFJ36nT6Jk&#10;ZQHLz1kXvT5C18AYUTvVdjJBXtVby99jfJSafiPUM/IDrktcz8ZM3bAcBL4DeWs+mHXW1jAYUy91&#10;NsV/Qkd8R6Ft0UZqeuMcoAx+b9lpVq4l2R6hjK0jrhOUVzur2XNkyloi0AP0jDmiQEfoR+sMENci&#10;+kkdc49iXl7X9RSZcg6hr9G+12zRGJOz1b5WwfqGD9E1DEFfWv6CvgKfvEafhHZbfg9tMp9ej3sb&#10;PvF7y+9zzFN87xR6fJ7uQ1POIRw/rrE9HR90ktkEy9UE9Wh+Cq/3tqNk+pg6b7X9RvUZ+zM0ZvRD&#10;85Mp+90ywLi3a62DVjnMIyUrOwTmO9ZdswNch8BnoG2Uo+ic1eaebYwRlGH5COelxx6nziH0QIk6&#10;ydJ07Mu+nzG7C8S3aaxbGhD3a/fb94p1CojDwsdC6hEstiHnNhY6odomAVqLdp3gBtwai5lHyxbg&#10;oCHYENbZTnYKlHho3ansNPvYjf6EsltsajfDg3XrIcQq0cN3du5Yt/VB2Q7bbt04el/c/XCOe4Q3&#10;qLq+agKb0bXH83pNcI/AvAC/87o+YIjSeugzdH8CP5D5B7aN8vpwjBLzZ7TWFdPQTquPGLeW40Pa&#10;mqg/w7iGdI45yvSnZ2WkR1E/pWNpzRPywW4yfUKivZChMUC0P4D7z1jROkirzxQ8POLaUKIea/2q&#10;2aHZOjhXsGP8XJsrXM/2wqF1oGWm2hT71Dq3qD9Rm6JPw6fmB3gIqQ9Po+h4srGjHdZfk+jLhsDY&#10;hwT6yNaNzsUY/9oL628J2tUy6rszXwEwFkos3/IfEKRl9fbYpeq6dWanzeJTr1OiHwZTbEN1BdvU&#10;NKBnlsyeAecddp2lm60B9kXJfAfmsmbXuK77fywLlrEuxviIoTNYTXRtDJ1puAY5rin+vgUF7UTd&#10;xfXU0g2kdnbhmh9anzWJ9arex/rPln1QMttU2x1zflN/WpOsPWVsHbonZWd2SmvPm7qWQGsdU2AL&#10;ma307FHMS1nWXsNy3NsyydoyxvwiW+1rSc++XNuL6DM0Xf0v9+MM+g188lrL/0K0vJaZ6nunMMbn&#10;sV9TziEU6LB2j5mNraULSPTJFPSjNq6WDnG9dQ8MwRxl5Vp9jbaudh7ThsYc7XfqfrcshvoLWcVa&#10;B3PvG1oMrd9oB5yDmu0xX23ue/SYCcsrQ/YY7aGn7aE5jOlD41z2/YzZXeBb4TTW7ciRQ1duhsEd&#10;k3UKiIubKQwdhgwnhQUAsAGqs24tgimw7rhJKLWFafYetoWtg+IHCWZZUGxT6w9lu+aKD1VbZ4N1&#10;grId+kKblCzd7F5wjudNKs7zfFiE62oX8bzEm26c+TUtlkO6lgO99qb3DhDcP/DlONrU+4/spbk+&#10;IEWbzIM+6kOYzEfEtvE77m0A6or5M1rj1DQIxkI9op/6MCd7CIe8lDg3RF8sYR5q44dw3onWD0Fe&#10;9BnXoVdtszUWfGo7/Bll0A+g85TZC3QB/aPPOs+oW20AdWk5wHnM5pi05gl1sg30HX1lO+iLlsXD&#10;1NgH9FEFdXA+kVfLr/LBpRmGc0Ub5VxxTnXN4DPOdVwHsAeUQb1I0/U31aawPiixfcKH+tGeWmuB&#10;aRD0h9d1zBSMR8sC+quoszge/BzL1ljWHgMZ619bID8FelPfif1BfZLqEv2mZH0GWjftBaANCvpe&#10;a3OOXbIOfGp5gnyUqDNKNr9TbEPbUh0S3dsgccygtg7M1gI7o0TfgXmjf8En03E92i1Ey4Jlrgvk&#10;HeMjWuNSKNna0D7ENDDH37eIgrIYA8apY8Xao6Cv9BXoC/Jx7lp7SpY2pV6kUcb6T9SHMcImVI/a&#10;Vub3dI4hyEv9oB6dv5r+Kdn890Jp1aF9gYy15zlrCXmpR9gj8muato2ftSyIfa/tUYCS6YLtcJ7Y&#10;T5TXNmJZ2iPKxb5jXrO2jDG/CNbQdvharGH4DXyq74q+T9c3qe1V9HlZfwHqpqhP5TjRT/oujAF5&#10;0EfmI+gvZazvncoYnzfnHBIF9bIOtYlML6B1jlCijGkH+dh/6DrqQ+2HeyphGsrFeUOfY36185iW&#10;obahNgam7nfLAu1ux1pHHtaPT+oxlqXE8i20bzqnWjfa1DK0UQp+h06A6n5o7ntsXccX06Je1I51&#10;TtROcW3uHMax1NJWdT9jdhdnnnXo7oC4k/cdzAPi7nnq/hcyEyLosoq2CiwQCgy3ZtwAiw8LvLXI&#10;p9DjPFqL1uwtbAtbB0UPA8bMgWKbWn8o2zVXPFTjpj9LXzco26Gv1g2W2d3gJpjCB3cKH7jgM6a1&#10;aJ3Ne+2NdUCym2M9z/FhisKb+ZoP0PL6gABo2637ixatcWoa7qXi/ZM+2Bgae3aW1fSaT9EHbbEN&#10;LQ/J2iBDY8HcqGRzRX3XHorWGNID623NYe881XTAB8uQODbtH+Yz2hmYOnazXHrmqjXXaisoX3sm&#10;MsemdM1m60jT9WEoqK0FHTf6pmkA+4I+74l91jYznQGOGXrJ0qfQWtuq4yn+tYaWy9plHp4/45rm&#10;flpb6/pyJbte24e1X3G/67VLtbnsLKDpsQ5KtJ85tkGby/RM/VLiWmitA7O1qH+JvkNtM/OFuEa7&#10;hsT0Za2LKT6iNS6FEtcG0D7ENKB2HPsf08fYuUrWL1LTHVEdxPXd8s9T6+V8j/WfLVpzoP1An+MY&#10;AcdZ6xOlpechKK06dBxT7HnOWqIOkB7bJawfEvcX7XurDkCJutC1kM0TYDtoQ6+z/7VAS2PMfHSd&#10;x7Rl+Noa6rui3wCsF596HX6OkvVH0+mzdBwtP6bM8b1TGePz1Ldm7Wt6PIeoZPesahPZfUdtbiIq&#10;Y9vhPMKuanPGfsQ5ovSev9Q+8HOWR6ndB6nOM9sEtf1uK1jlWte6Mx3iGtcLJKa3oL5rtoC64/mS&#10;fYW07FTHnfWb9bTqaOlVA84ynfJZTrbOMnrnMI6llqY2O9aPmL3D/kPHAuJOOqMSEHfiyftuW4eA&#10;OD0EjHmY2LsIe+lxHq1Fa/YWtoWtg4INNUs3ZiwU29T6Q9mOudJD9U7x85Tt0Ffrpsfsbobmnumt&#10;M3ZGq95ee+P5Pj58UCioU6/jZpqi1yOUeHPOtlsPyIbo1cHQA7hM90NnWdyXUVr913x6XevPHlwo&#10;PWOh1B6+9tpEBiXaAGjpkLTaxvxDWjYImC+2o3qsPeCZM3azPHrmClDisw+dx+xhJJlrU7yevTzh&#10;A9HsAXhtLehD1Nr6VX8a/Q3Lt9aY6ralmzG01o2mTfGvNfCihdKyEc2n+tLrUQ/oJ0V9rl6Pulc4&#10;nmgXvXaJ53OUzOfDXiGZ3VHQll6fYxs1u0QeCvoCiWuRzyi340WQOR6d32i/tKmWL1Q70OvLXBdT&#10;fERrXAolrg2gfYhppKUj6masnVOytUyWdYaOuptT7xT/OURrHjWt5u+H5pCSzX8vlFYd2o+x9jxn&#10;Lem+AXvU/Irmi+PQvrf2KECJdczZa7iP4GxV050xZh6r9rUtar6vlaZ+MfNt2ZlYz6c9+9Ac3zuH&#10;sT5v6jmEUtsbWjYBWvOmUKa0w7HFPUWh7cUx4ndI77wMjVfhfQwk7otz9rutoDVOTZuy1lu2SKgf&#10;SJaeMXQPXIM2OrSWWjoBPbbe0kvr2dAUeudwTNpUP2L2Dge6AuJO2f/ydQiI46Jbxs0DysPxwAGw&#10;XggWBBZ15iy5AdVEN7W4MNEeHp6xDnzi96FxIB31cjFD2Me44AkPRsiH3zEW1Z2OjYeTzJExjQ4a&#10;DwW0H/i5tqkQ9EXHXZNlb5rQTdR3S2cAY0Ee7SvGCGc5FFTJeVJbQl0YV7QFLce5gkQdMI3ziD5M&#10;sSHMn85bJtn814AdIH+sE2uptZmjDGSOPYFWOYquxR6oU+gc8ICA61ld6APzUPA7rse8HDf6GdMU&#10;5kM9vNayDzLWR3CsNR2pvdbaRFkI7F2vcwz41OuaNmf+uUZbgvFlZVvMtSn2i7qFoI5e3xHXKH5G&#10;e3Ftqz3odQV1QTI9sDzTok/BfMZ2o24wzppdKGPWCGE/UD/tOvOpWkZ1UpO4DjhurXuob0NQ75As&#10;HdB28VlLm7M+xtgSoETbVp3qdaVlZ6S1Z6FNSiyn7cf5ZrvUIeaWuoPQhrVMBO1jber8Z8K5MMsF&#10;tk3J7JJ+I1snLVo21UpT2DY+s3TAPNHOtI0eieV72h5irg6YJ+uDng2ys0Vv/7mGIbq+h+pXesZC&#10;iXomPXXUoGR19+ih1Tal1m9Cvxd9cI8eNU+WbraGXpuv2VSvDVOm2pS2E30291HsqXod1Ppdu660&#10;dMPyvdLS7Rha+u6ZC+ZpjTvSUy/Qc5OeXTBfPIPFOartxar7Honj6e0z4FzirKrXcX6kZGdfCtrS&#10;63NsQ3Wo9wN67uTPcY3w3I0zrl43W0/Ld1Ci3Sg1+92KdcE8mY9ojUuhZGPs6YOe0eIzjJa/b0HJ&#10;+kS0bz0S6+Lab+m9R7TeKf5ziNY89syx5snSKS1dD0Fp1aF6zdIB88Q50TH0iJbv0RHh3MX7yZ6+&#10;E0rUBe2tV7Sv2NMoPc93jDHjafmKHj+iebL0FrX9aCiN92HYa/V660ysz33hp+K+reiYeiTr4xTG&#10;+ryp5xBK9NcKJZv31twolCntjBUtizFTYCvxOXlE5zsbL4GOuV9mY6JeeqXV1ipojbNHB5onplFa&#10;c400SpaeoWui1q+MXhsdGndPPbVx4cxLaellDK3+Tk1bxf2M2V2cdfjw3QFx9zn9AALiDm+GwR2T&#10;E07e/wJmOvOsQ2lFq0YNfRmLjoeNlsR2uEnURPNrf7EQa2VxIKjdRGOD40KtiT6wI9q23qxTtJ8t&#10;R8g0OAn+nEnWB6BOfkiGNvMxZGNWif2F/ofsAfNXGyeca2ue8HCUEp20zlUrDW1PsSE9ILckPiio&#10;oZtKTWqb6lx7Aq1yquexPoKSrVUdD/Tc6gMkPgxXndXsXA8Vuim37ANM8RG1Gy2iB+2aHmlXcazU&#10;jeospk2df+1XSzB/Wfkarb4M2dRc34HyrTUa17bag9ajoJ+UmBZ9Sk2gk6GxZfYIUK6lU0i0G0LB&#10;mqnZNfSp6wg/D4n2FflrvhRSG9cQtBXMWZYOqBd81tKmro+xtgQo0bbn2hnA/l/TM66rbcWy2n6c&#10;D7YLHbV8Qs3G9IZ/SGCHWR1mHrBDzgHskusZ19WuarYOm8D8tuw9lhmyV9Jao4R54rrR/aJH4sPA&#10;nraHaI2zRwfMk/WhtS4Bpbb2SK2eofqVnrFQ4jyRoTpgj/AB0EXNZ2R198xjrW3VQc3+SU8dNT1q&#10;nizdbA09cwVqNjVkw0DbmGpT2Dcpui/q+UvPZaTW79p1paWbofseFazd+BB0CLS3ij2GeVrjjlBX&#10;tXs2hYJ29Dr3JuhCr/Mchk+93ro/yARnMS3fowuibakN8d459plQ4ljn2gbL6z5GPaFPuhZol9gr&#10;KENrzKyelu+gRLtRava7FeuCeTIf0RqXQsnG2NMHtWetY8jft6BkfSKrOkPPrXes/yTwFUP39HEe&#10;e+ZY82TplJauh6C06uixJeaJczJnLWm7Q3t7zSZ6+k4oURdz95qoA+TBOIfGZIw5nu3ytQDrGHtA&#10;zR9E3wNqfgno+1PtV+tMjD073q+g7uw8OvccM4cxPm/qOYQS/bVCyea9NTcKZWw7GOsYwbxqnSCe&#10;aWB7sA/oLOZVG87GSzhu1JXVM3e/WxbbsdYprblGGiVLz9Aymc5r9Nro0Lh76qmNS+uOZ+Yhlj2H&#10;rbSpfsTsHQ6fcywg7l6nVQLiTjx53+u2OyBOF+MyjBYHFyxCbMzqsLGI9ECROace56ELE4KNgYcS&#10;1Knj0YduBHm48aA/6mgwft6EQ1pOAYK20R6uY7PU/K2xMI2CNqkr1KF6ipse+o92IcjHOYtjj32f&#10;i4691i76pWX0UKGHMpTBnHEckMz2VE/QL6/HspA4Xu1vKw2CusbYkKbrIQn1cu5aNpyBenjoUl1A&#10;Z2qT2cY4x55AHG82HgryxvItoqB+1At9U+eAY+RcsA/or/ZP20ceSu2mAnVRdOxqA/hZy6DeKT5C&#10;28rsWQ+8qDemo38U1Q3gHGd2NWf+VQ+YG6bjU+eE89HLXJtCGcoyfEfWvvoU1QOvRXRMMU3LQ9Sn&#10;oO86ZvZd5wk2xuuZbYApa4REQR6WV33CRmNZQMnqJuwf+q9zgrFhPqAjzd9Ly/ZJKw/TKGPWRyzf&#10;Y0uAEvU1187QNucKn9Qprms5Siyv7bMsieUxNuaBXji/kOifAPWEfqnPVPtq2Y9ZDjpPmcC3xjKw&#10;n7hOahLLtuxVYf34zNIB80Q70THp9V562h6iNc4eHTBP1ofWugSUbO6UWj1D9Ss9Y6HEeSKtOtQf&#10;tCSru2cea22rDjL/pfTUUdOj5snSzdbQM1egZlMtGybaxlSbAjxH4JPXcO6F1M5ktX7Xrist3XBt&#10;tspPYdV7DPOM6Tf7U9OxQkE7eh1nHQrPPRgrJdoFzoqUll3W6NEF0X7oPTLtrbafUOJY59oG7+tQ&#10;D69ReM/A+2T2F/qjYDwsZ7aHlu+gRLtRava7FeuCeTL7bY1LoWRj7OkD4HlW/c6Qv29ByfpEVnWG&#10;nlvvWP8JqKshifPYM8eaJ0untHQ9BKVVR48tMU+ckzlrSdvNnocoNZvo6TuhRF0s4xyC/sNW9H4D&#10;P4/ViTF7le3ytTgP8izYksw/1PwSoT/Q8+/QmRhgL2LdFOx/mmfuOWYuY3zelHMIJfprhZK1OTQ3&#10;hDK2HdgNpVV2CNTJ+xUKbCTuichHycYL9IxTy8P5GtLLKtmutU5pzRfSKFl6xpQyoNdGh8bdU0+t&#10;jz06zVjFHA71Zdn3M2Z3cc7Rc+4OiLvnqfvXNyBOHX6WvkyGFlWP89A6sIG0giGyhcjDCtJqD9dY&#10;Ph50tG1INgbSGgvTINnhS9uJDwN0Y81uVumYYt/nwsNiTW/osz7M1zHUNjk9uEQ9DJXH2NknSJwL&#10;Ld9Km2JDrYOzjimrdwrQNw9LmS7m2JPWndkq0tVH1OayhkqPHdR0hrIQ9FWvZxtxlq62CVr2MdVH&#10;IC8ljhX2GiWuX72Riu2yvWyO5sz/0KGFtoG+ZekZc21K+9tjM3HM6iOzfrN91YW2qXkV2iAkpml5&#10;jD3acZz/bJ60/mgbc9YIUIk2AFptA0ptPgCFD7WXBW0Jtpqlg1Wtjym2BChRX3PtTNNQV0zHNeoL&#10;kqVTYnmtG/4y+iBd11GPSKNk9kXfltmmWR60V8wf5hN+nYJ1kM0N0LnH3EYf02uTMU1prVHCPKhT&#10;r/e2UaOn7SHm6oB5sj601iXgmXOo/3qGUD8+VL/SMxYK8mbptTrUh8A2YY/Rz1CyunvmsdU2pdZv&#10;UjtX9uhR82TpZmvotfmaTdXsSFmGTQGsAwrXLX137exd63ftutLSTU/5Kag+V7HHMM+YfuvD4yyd&#10;6Pk720M5VzwXcT6z806vXdbo0YWCPkFod3ovUruXoKAtvT7XNvQ8jZ/5u66JeE/KdaP32mb7aNkv&#10;JdqNUrPfrVgXzJPZb2/7lGyMPX0Aug64Bof8fQtK1ifS27catbU/t14w1X+iL9BlLT3OY88ca54s&#10;ndLS9RCUufPFPHFOesZZQ21zqGztecAYm6BEXdTsbSqwKfYXn/G+wxhzPOpHttrXcv1jrcI3xOfS&#10;Lf/QSgM8Y3J/6TkTK8jPcylEfVfPuLeKIZ835RxCif5aoWTjH5obQpnSDqVVthfoDPVQYr+H5hvl&#10;OQete5hevawKHQf6sJVrndKaL52DLD2D50hIrV8ZvXMxNO6eemrjUp/Ua8fan2XOYSsNTPEjZm8x&#10;KiBu/6HtCYjjgoVk6brpR2m9oK5ByRZ4j/PQhRkXO2k5Tr5YajkYludhiWjbQ4u8NRamxSAdhRL7&#10;2Rqbprd0OBZ1zL3OjQ9hIa0bT82n1/VBda28OuExDnyuDVHi3MT02O4cVmVPqsOaLqB/Sm3MNSit&#10;gyDnumWzOmd6w6IHnngjo/2Odtuyjzk+gmXjXKB9CMbIwzH6rnnoazNdrWr+W/Vq+ph5n2tTc30H&#10;r8e5aaH2kKUDzjkkpmn52piH5qllk3PWCKDU9uxW24DSsoOem74pUFptt+x4SO+AUrPFMbYEKLE+&#10;1bNeV1p2VvMviu6dMa01z9pubd3V9DxkPz3jNvPhHtJaKxm0q9rabdlkK01prVHCPLH/us/X/GuL&#10;nraHmKsD5sn6MLR+OK9Dfoj5GExAhupXesZCifNEanXo2SDuUYSS1d0zj63+9+5RzAf/r9d79Kh5&#10;snSzNeg89JxD49moZx2AuTYF4r0K1gYlvggitbVQOxcrug6jHWv51vl7LKveY5in5RsivC+D1PwR&#10;0HzZfPDMRf9MP5zNtT5PqZ3HW/TaJYk+l2OJe4RCQVt6fRm2wXWAsVNvqiddt+gv88f7ZbM96PxE&#10;38GXIK01yDmH6PWtWBctH9Eal0KJawOMWZu6DrTtmr9vQcn6RFZ1hp5bL6BN9PjPmDfSmseeOdY8&#10;WTqlpeshKK06emyJeeKczFlLevbAXpHlAZov+uaevhNK1MUqziGtc48x5ni2y9fG+yFNI7X9aCgN&#10;qO+CT6C/ap2JM3hPo+3MPccsmyGfN/YcQon+WqFk7Q3NDaFMaYfn0NZz8rFwLUD0uuosG6+uodY+&#10;tor9bgzbtdbBnPuGFr1nmUivjQ6Nu6ee1lmJa3Po2RJZ1Ry20shYP2L2FgiEY7zbWYcPH9wMgzsm&#10;J5y8/23bHRDHG0/IUHqUIWeRQck2uR7n0bMwNU9MGytatqdt0hpLzziZJ+pJHz5kmybL9TrQHqbc&#10;RPaMEeiDZmxevN5TvjUfU9OyPDGNmzccf0zTcjqeubT00aMr5on21NqMFUq2bltQWuXYt17ROcMa&#10;0I1Y622tlZYNjBUtq/asBwH6UaTzZ12j6B8lPlwCrTlupRHmifPAQ3h246C6HXOYnGtTPeMBNd+R&#10;3aQO0VrvpDWulj2RoXG16mDZXonlKa11SMn6T2mV1xsW2Pay/B+l1XZLt0N6B8wT25hiS4AS69M5&#10;1usKylBiGqWli1b5lo21yhHmifrQh0DZSxGWq92omeXAvQV2O+ZGlH4+ewEFWC8kpqkfzs6kZM46&#10;1P1x7FoEPW0P0Vofc9YOaK1LoGeZ2l6sD3+i/obqV3rGQontkFodaiuZfbbGANS+Yxpp9V8fOtb2&#10;J+1j1FWPHjVPlm62Bp0H+LdsvtVW4ny27EiZa1NEbZtnqZad13zakK9AH+nvIbE/er+frcGpzNlj&#10;euaCecb4eD23oP0sD/aeoQf26rdU/9lZCPBcCZ209syMXrtUqHvYFdvOnl8QSpz/ZdgG1wt0Sr3G&#10;e172lzYOGXOeMatD/Wr0HUO+UNcGJKavel20fISu4dq6BZTM/nv6QOjjMVbqreXvW1Baa3JVZ+i5&#10;9YIx/pP7BHxHTAOrPr+pL83Se+ipY649z1lL9Mv4rJXlPGT1j1kHlGi7qziH9My/MeYutsvXxv1A&#10;0wD8DX1U5vtqe5VC/4gxsq6xPr3Wzhzfu2yG5mHsOYTS8smUrD3a1NBZhzKlHY4JkvVhCrU9raVf&#10;TcvsWFnFfjeG7TxXzb1vaMG1jc9sLaK9OOYe/wGGxt1j6zW7AkN6wXhQN9NWNYdD4wRj/YjZW9zr&#10;tAN3B8QdOHToPpthcMdkHQLidDFmCy5jyFlgkWLhIR2LI5PM4fc4oZ6FqXn0uj787JG4mHvaJq2x&#10;9IyTeaKeoFvqVB0hrutcDm2+Y9B6sw0lgwLHmKWTmk57dNSaj6lpWZ6YpvqAnVMnKIM5gdQ2pCEw&#10;b3pAj5Lpo0dXzBPtScei1yOUWH4ISqtcbayZwPbjg3FuvkjT6zwc4FOvg5oNzPURWl7XINcs1qse&#10;7piuh+HswX9rjufMv+oBemTb+KT+IFmfasy1KcpU30EZc3OrdWXpoDWuWl+UoXlq1TF3jVBa65CS&#10;9Z/SKg+4Finot/rIKVBabbd0O6R3wDw1Wxz7oIQS69M51usKylBiGqWli1b5lo21yhHmaekZ9qcv&#10;MuDv6P+G1vReAmuU6zqzL+iQelN9Eupb9yDdR6IgH8qgregf6OvRnu5bqI9nGoqWA2pTnF/UH/vM&#10;/ma2Q5gns2/ecEOQT+uHf8HvaB9j0HKgp+0hWutj7tpprUui84C6OIcYu64x2FT0tz31k56xUJA3&#10;S6/VgfMPBTbHMeBTy0CyujUP7TWfZ+4AAP/0SURBVBR16phqbQO0Qz3R1qmr2Icx58Zanizd/CJc&#10;25gT2gTA3NBHxr1DfV30NUDnAcL5Rhrq1YeD2Zps2ZEy16YIylE4ZvY3o+XTWD6OGT+zr5TMjtXX&#10;QO/6bAhjQj1otzWeyJw9pmcumCfTRwvdV9BHHWvsm6ZFqHP9zPIBtV3kgz5oMwBzgn5BV7HNXrtU&#10;MIcQ9g2i6yxCQVsxba5tID2Kjh3QVihoU9NNH6v2q9F3oA0K5ozpuK52S9GyYNXrYshHUNB3tAvU&#10;V2mebG309IGg/1FiW71Qsj4p6uugA51fjBW/wx6gXy0HkJ/lYtqcegntUT+zfLpvY7y0D+gz+o1o&#10;ny3bzfJk6dSD2iDG1/KnkZ46emyJebI5QX2UsWtJy2It4HemRT1jPrQsGLMOKJntTt1rMCaMTfPj&#10;Z9ZXs0PaXtYXY9Yd2jc+9TrWOmweEvcY+m6kRx+2nb6W/cVYWB7to/9Mg2S+j/41SyM6NkrmwzFu&#10;1KP+E59aPvrAOb4XID8E6VquBfJO8XnIEyXaiEJp+UhKNu8oR2E76EPMS5nSDuaRNoJP1KFzi/Yw&#10;Z5gbnTvUw2uaH/PJ+uJegzKU2A/uJy07VDhXkCn3VmSK/ag9Q18shz6seq1jbBRd77iu9kKJ5Vvo&#10;uKA76hTjQ92cVy2DfJCheRsat/a9Zuuah9cI8lJgS3oOQ320L9a3qjlspRHtK4VjNubepx8LiDt1&#10;38ELNsPgjokGxB3YpoA4Ok6IbgwtWs4C9dHBtASLNZbtcUI9C1Pz6HVdsFn7Q/S0TVpj6Rkn82T9&#10;jI4tSnzANZeWw65BGepLTac9OmrNx9S0LE9Myxy/CuwfeWK5FsjPza0lmT56dMU80Z5655Yydt1Q&#10;WuXoL1r9b6E3Hzww4CBAyTblmg3M9RGA88hDK9vCOPG7Hv7YX6wTSLyRJa05bqUR5oljgp6G7G7s&#10;oWauTVGm+g7KmPnTurJ00BpXrS/K0Dy16pi7RigtnVCy/lN6dIrytGcK7FpvMMdAabXd0u2Q3gHz&#10;xDYoPeNWKLGczrFeV1CGEtMorf60yrdsrFWOME+mS70ZywQ2wBs0c/xcZPrU+cjmW0Wv05aHRG+u&#10;se+1zu36oEbbIppOiWNiv7KxEubJxguiX8kE+1ks19P2EK310UojzJP1obUuCeYo07MKxp6dPXvq&#10;Jz1jodTmqVVHaw5hgzyPZHVjD8nsVPMO9R9237J1COYo81U9etQ8Wbr5Rbg+IapX1SXmTMvoPGe2&#10;omVbNgd7y84mQ3akzLEpJdbRyk+dZf6k5c9xHf2lZHaMdod8DWTojK7M2WN65oJ5Mn20wFiHnqmg&#10;30P3QfH8g5dTWT6iz95aEm1zjF0S6F4Fus7yEUq2rubaBsqrZH2Juul9NmmOZ9V+NfMdLbvGXOs6&#10;iWWHyqtMWRfMU/MRDA6IonkomW56+qDEddTy9y0oWZ8iqzpDT62X9PrPIf+jadE+h2w35snSde9U&#10;qdWX0VPHMux56loC2n5NanM0Zh1QMtudutcMCfSv+YHukTV9GrPOqOh1XY98L0Ho1yHRh22nrx3y&#10;XWw7W6scU2sd95xDwZAfrJWb43v1fqSmu8iQZD6PxDlunUMomb8mlKzvGG92Hxjro0xtZ+h+k4J5&#10;Yhm1x0xQX5wvLaP9GKqLovVN3e8iU+xnO9c6aK0XtD1039Bi6GyqNgB6/AcYGnePrat/0bJkyI+o&#10;LaxqDofGSWLbLT9i9hb3kYC4e51y5oWbYXDHZB0C4mCwlNbNqlJzFqiLix91YSHHBUHJNrkeJ9Sz&#10;MDVPTKO0NtkavU4BtMbSM07mif3kjTQcD9KgZwrKRMe+DNQhD42b0DG2xgh0k9ODQY+OWvMxNS3L&#10;E9M4NuhfDx6YC2xO8cDUA8eL9YN6Yx0tffToinmiPeF3il6PUGL5ISitcj39H4LrgIcD2iz0GfOC&#10;lg1Qxo6V6ENV+D/+rgcX2hCv0W/WHvy3dNSjP+aJY9K+AfYDn7Dt2vpoMdem5voO2sJQeaW13klr&#10;XC17IkPz1KpjqOwQlJZNU7L+U1rlI7B91dncvtcevoKWfnp0xzxxfFNsCVBifTrHel1RncU0Smse&#10;WuVbNtYqR5gn6oM3fgDrkmsYgp9RLp4F9zrUGSSzbX1pkj3Moo7xyWv056gXD4Q0P9pDPbRp5Inp&#10;ugdAuAfwZUEsQzC3WhZtRBvlWQmfel1hnto+CNAf5NN+oj3YJMpldtbT9hDcbzIdtNII82R9gO4p&#10;cd4UjA310F9RWmMH+rKnVT/oGQt1j7xZ+lAdOJ+pj6C9oP9DNoD+Mw8E9ej66Ok/9I21on1AftTb&#10;uofq0SPztNo3x0O/BTvA3PA67IH+KvpI+kfoOfOPca+LdqM2F8uCHjtSptqUQj1A4ngjHAs+s/To&#10;z/GJ36lf6rVmxwD9jr4G4xszJiX2CYK6hvaYnrlgnpo+hsB4UFb7hrFiHtQmayAPy+Kztwz0wbmA&#10;oCx0Xmt3rF0StctsvSgcB9rK0sEc28CYKfGcALAmx+rS/CL0J8v0q1ynkJrv4BmNor4W/YC07HdV&#10;66LHR6CfbBd1xby4BsnWBuwe0uqDwv5AWn0aotWnjFWdoafUSzCnLIfPbI4J6tF5gsD30O+wnmif&#10;PbbLPKgjSwdYF+pPMb5WfzOG6qBttPrBPK05QZ1j1xLBfMay+BnXkJaVAT19J5wrlMnSwdi9ptXv&#10;ls+iRJ9ozE6A/gRrRa/DtrnO4p5eOyOQ7fS16Df3HQjyYQ2jny3fxzItvwi07pr/wfiRFv0Pfm/5&#10;LDDV92pbrT1TmeLzCHUJGdIZ57s19ppNEFxX3cOeol0uox3aru6zEOgXeoHOYhnYNfrGuiEoj/nK&#10;5oI2DNF+YG57JLOBsftdZIr9AOprO9Y6iOsd/UB/0C/qs1W+RdQp6qnZAPuAz5im9I5bxxRtnWuv&#10;Ry/UPwS/Z7awijlspSlj/IjZW5x0xsGhgLh979/ugDgAp0DBz1kehU4Fn3odi5xSWzQULNiYVqtX&#10;gWOgZI4s5olpdBJwEDFtiJ62SWssPeNknqgnOtZMf6tCnWHrcKKwn0ObF/NhXvS62qReV9Te4ny0&#10;5qpnHjWPXldd6PU5YAOj1PS7KnvCJkmp6UL7N9buKK1yOtdoK8szBG/qaG+0q5o/a9nAHB8B1EZg&#10;o6gHoocX6AOC/mr+oRukZc8/D0e1uZ/CXJua6zt6yysteyC0MUhM6yk/NE+tOuauEUprHVKy/lNa&#10;5Wu09NbDGPvO8owpP9UWI5RYX4+dtPRF39Qay1Q7RV8pel1hntg+b4Ra/TKrRX1qfLik6LkpSzfG&#10;mJ1Oz15rjDHGbAe6R7XO7MaY1dJ6n2CM2X3oM8+p755WAd8ZbdXzVJ9DdhdbbT/GAPsRU+OU/Wff&#10;HRB3win7r9wMgzsmGhB31uHDaSVbAQ4CDIyA4OV763AAJwupvRSFZIEdGvgRXxQDvnxuBaLogqvd&#10;tGiemKYvi2vla/S0TWo6GkojzBP1pDqqBc+sAr6Ix2dmG5hbDUzRoJhakFfLHobKo6zabJyP1lz1&#10;zKPm0eva59q4xqJ1atAUgb5bgRBz7IlR9xDYlqYBtM3DFSRbty0orXL6IGJs/STqkFLblFs2MMdH&#10;EJ0viq5X7S/z6PqJtOa4lUaYJ+qXa2jI549hrk2t2ncAjFfTtM+ZDcIO1N9k6ZSazQzNU6uOuWuE&#10;0ipLyfrPsWNtxLQh0CYlSx+Ce952rI8ptgQosb65dqaBkVgDMV37C4npLRvrmSfmibrE+CHoe2Y/&#10;ZvW05lbpmWdjjNnJ9PpDY4wxZqvh/Vzr3tYYs3r4nKn1nMgYs3vgexrsw1n6dqDvNrbqvtXnkN3D&#10;dtiPMcB+xNTQgLgTTznzps0wuGOyLgFxAE5UX8TiZ7z8xot4OFWAl568aYDEGwd1xMjHABB86ks4&#10;SPYyWPPgxS6uoU516viZUnP2miemoS8cJz7RJvsJ0B7GiQUdX3L3tE34gj27uWqlEeaJetLAiCgI&#10;MkE5zJuOSdF5HhqDwhfeELSBenAdwS3oI+vUMjHohX1CGcwvy0DXWTAOD6vIR3uIZSlxLK25aqVl&#10;eWKajksFfYJuYPvsby8cD+pmn7KxZjZDW8nSCPNEewIaZIF0zgVsLY41K9+CMlRO20F/aF8AdgM9&#10;ULdaTqG96GeWD7RsYI6PIKpTCMYX8+i8QlrBRq05bqUR5onzoMF/UVAGYIzZ+mwx16Y0j+o/rgnM&#10;QewbfqcNIJ/2H3Nd04W2yXlFOeSLouVAy54I28Vnlj5Ux5w1Qsl0TShZ2+w79Ml2MZecF5ThetC1&#10;gjycq9babaH6z9JBS7etNMI8UT9TbYmS6XuOnUG3FNTDucL1nvLIT4nzrOX1usI8UZdon/McBfpD&#10;fthsbNMsD9gQBbaBtUdbBVi3OseYDy1vjDG7hdZeZ4wxxmwXei835Q/NjDHLgWsRzzDwc5bHGLN7&#10;wPNyCp6VZXm2A7472aozgc8hu4utth9jgP2IaXG/A2fdHRB3wsn7nrwZBndMTjxl3yfWJSAOwKD5&#10;grdH+DJXoTPOBDcbfLmMF3OxLNrPXqpq3p6H3JonS8eLwdrLWxUcmLTcmAfs1GN8cTyURpgn0xPT&#10;hiQ75GHOKFndLVpzC4n6gp715X8msAcN7Ijla/OE6xgfJc5Ha6565lHztNJagrHHsjX0cJ4J9bgK&#10;e8JL89Y8oUyrfAvKULmhPlBaL/HVtiGtTXnIBqb6CKK2Ccn6EtdTbR2A1hy30kht/qD3nnEiz5gH&#10;RXNtapW+A4K6NVhkqAzaUvvScmDInsDQPA3VMWeNUFrrkJK1He2Zwrza90zG2o8ypBfQ0u2Q3gHz&#10;1GxxrC1RxtY3ZGegtVegL1PtFH2l6HWFeTJdavmW+GZpdQydIyiYv2izxhizW+g5NxhjjDFbjd4v&#10;Tb03NsbMh89is+c1xpjdB5/54plrlr4d4BwAwfPhrXo+53PI7mE77McYYD9iWpxxcERA3OFztj8g&#10;juDhMW4Q4st3HBz47VctZ4t0LYtyWCwog/IQvLTNyuJlMfNAUI8GdiGdgp+1bMyDTSFLB+gL+hTH&#10;iEMSxp49QO9pm3AM2bfitNII80Q94WUyBGOLfYATgq6gb+bRdKBOS/XaC+aWB0kI2qjpC0DPGIOW&#10;geB3XB/atDEm1I92IGyPDpdjjbpozVUrLeaJOkS77Av6oWkAeuAcQWp2noGynHeIjhX1QJZtT4Tr&#10;gfqEoAznFf2AjBkPoK56y0X7gmCNoi9Iy8oQnRt80kYyemxgio9QVJdZXlyjoI2YrrTmuJVGmCfO&#10;A8eGz7gWoRfkp05b9WfMtSmUR9pc36HtY5ytshgzdQVBWYwB+Ws+geUoNXtivTU99tQBpqyRnnXI&#10;PLW2sV/QXiDog64xtI0+sB4I8sMfDs3VEKwTc5Glt3TbSiPMU9PPWFsa0jd0zDYhvXZGsIZq5dFX&#10;SFa+ZWPoK6TVLvNEXWrAZLRB9An9VZut2ZiZD3QNW9W1CoGNYN6mnPuMMWYn0drrjDHGmO2C5/N4&#10;L2WM2VogWI9ZmjFmd4FnkpTaM9rtAM9wIVv5jM7nkN3DdtiPMcB+xLTYf+jQ3QFxJ56873WbYXDH&#10;5IRT9n9+HQPizHqih7jWhqcvp2OaBtShvphu2lB/QzfP3BxqARzGbDfqJ1q+gDaPgJYs3ZhVw+BJ&#10;P7RcT7jfwVdk6UDPLwyKNcYYY4wxxhhjjDHGGGOMMcbsTDQg7oST979tMwzumDggzowBL5EprRfK&#10;jBKHxDR+c40DtabBb7lpBQfhxb/1bNadlp9QemzemFWiwZutb3402wOltd/1nl+MMcYYY4wxxhhj&#10;jDHGGGOMMevPgeMC4va9fzMM7phoQNw5R/NKjCH6DSv4RhYECeg3O+HfwmiQC75VR8vjX5lB/C07&#10;0+G3ZUGga/1XPJgLzAm/LQfi4A2zrmiQEb7mNgap4Hdcp9T+HacxWwH/Xek6fcW9uQvueQgEh5/Q&#10;fQ8/4xqDxDGPWtYYY4wxxhhjjDHGGGOMMcYYs/PAl74x3u3EU/Z9YjMM7pg4IM6MhUFtQ4Jvc9Jg&#10;OcCAAn87y3SgUw14qwkDA7I6jFkX+K8oh6T1rxCN2Qq49zmgav1AYDgD3lqCudMgcmOMMcYYY4wx&#10;xhhjjDHGGGPMzgQxbhIQ953NMLhjgosOiDNjQUAbAlliYBZeNuMbnfDNT1kZiANb5oOgOHxLEYIO&#10;YxAAruGb4/zNcGangEAj+A0GzFLgX+BnHMBi1gXuebbJ9QN7Hs4X/BfLFOyRuAY/E4P0jTHGGGOM&#10;McYYY4wxxhhjjDE7k1EBcVkFxhhjjDHGGGOMMcYYY4wxxhhjjDHGGGPMunAsIG5/2QyDOyYOiDPG&#10;GGOMMcYYY4wxxhhjjDHGGGOMMcYYs1O456nNgLhjiVlhY4wxxhhjjDHrCf4lMP41MP7NeJYO8K+e&#10;8e/JKfg35a957asXafh3w7wWy+1FoCvoE/rCv2PO8hijvPnNb7r736pD8LP/vfrO4C/+4gOLOcO/&#10;WM/S9xLbqQvuT/jM0o0xxhhjjDHGGGOMqaEBcb9y0qFf2gyFu0scEGeMMcYYY4wxOxMEb1EY5KYg&#10;qAsBDlE+8ncf6Sq/14BeKNSRMTUQDJeJbWdnoOs9S99LbKcuuA/hM0s3xhhjjDHGGGOMMabGvU47&#10;MBwQh6i5rLAxxhhjjDHGmPVEv+HtATdcV01HUBwD3hAkx7xb+Q1xO+HbmBjgpPoypga/GQ6f/EZB&#10;fDucvyFua2CwL3xLlj6EA+KO4YA4Y+5iJ5xV/K2KfczdI7aCrf5mYpz/ceaH4B4gy2P2HrBDis+w&#10;ZjexE/b0rWavniHg2zh2yDr914TWnPT8Rwizc8G5DPOOOc6eP+6Es6wx68S9Tz8WEHePk8745c1Q&#10;uLvEAXHGGGOMMcYYszthoME6PPB08InZbVD8gHJ7oMC3ZOlD2CcdwwFxxtzFTvALXjN9UKbuEVuB&#10;2ttW9BMvWym2H0PULvwHQWY3sRP29K1mL54h1v2/JrTmZLv7ZlbL0LmMss5nWWPWCQ2IO+Gk/b+6&#10;GQr3f/wf+Lo4B8QZY4wxxhhjzO6E32C1Dg9Q/EDa7Cbw17wUP5zeHihT/Zt90jG2Uxetl0DGLJOe&#10;b1nYCX7Ba6YPytQ9YitY5jcT93zLl35DnIP5DdEX8qs40/obbsx2sa57eusbwVbNXjxDrNN/Tcho&#10;zYn2jf0128eyv1FVgzWzPZKyXWfZ7fRVwOcHM5ZfP+3AjxwQZ4wxxhhjjDF7DMo6vAzcCS+Zjell&#10;1S8PzTCUqf7NPukY26mLvfhizmwPlJbP2Al+wWumD8rUPWKn4XOJmcqqbYeyV9aiWR/WdU/fzn18&#10;L54hOOZ1+K8JGXtxTnYqW33WomzX/rndtknx+cH0ogFx//OkM+67GQ7ngDhjjDHGGGP2MvgrK97g&#10;UvA7rtf++pB/EYe/1MLv+Iu2O+644+6/3MInfp/y14sowz7x2wsgqBMPr/AtClm5IVAvbqD5bWkQ&#10;/IxrsZ8cH2/4kY7xsD/sy9BfA2ZtsuzQgxPoFH8JqjpAf/7kXX/8C3mhLwjq5jX9q8Veaf01LPob&#10;57hnHAR5W0JdRzDfKMt2IdAndAMdZWUA8/P3OA9or2ZLqrvaHI+Znx5gK6gvs5VWndQr1yvmiIK0&#10;rIz5RTDPusYh+BnXMhvnmqvJWN2PWV+c89YDQdaDftbSMGYAu4XgutbJdYDr+B3rhfrBZ1w/U/xd&#10;bKN3L2G5lvT6JvSZEtPQDscc55TzQB1jnerY8XPPfoU2ptgedBP1Qjinsc8E5ahj9S8tXRDOUdbf&#10;lk8GGA/1BkE52hz7jM9YDqDP0edmktn8nD6b3QdF/V2kZy1sN0NrxtwFpTXfuwn4WUrvPmgMWLXt&#10;UPbKWjTrw7ru6du5j+/FMwTv09bVB+3FOdmpbPVZi7Jdtrvdtknx+cH08uunHfjeYEDcvU47kBY2&#10;xhhjjDHG7C7wEl5f3meCF8bIF8vqAwC8TOeL9Siov/bCvoa+LK/J2Bth9KE11lgfx4cbfvxcGx+u&#10;1x6AaCBFTWqBTihbaxOCl/iaH/2naB1TROsl6GdLauNQhuY1PlzBnA2VgY5qbVMQ7NCa+yx4Qu07&#10;m9+x8zMEgmZa9UGgn2wt8eFUDKajxPzmF9H1UxPoV8swKKkmtUCkjLHri3Pe8oOULA8FY4h2p+tQ&#10;10HWR617qr+LbdTWQdxLevxbzTdHMv8J4DvYH3yiTU3XtcefM8nGTabYno49qxt6UonpAD6HogFh&#10;NV2Q1hxBMj2R1lgxv/RfaoNE52JIok+f02ezO6GoD4sMrYV1gH4nWzPmGJTWfO8mhs6wxtRYte1Q&#10;9spaNOvDuu7p27mP78UzBGVdfdBenJOdylaftSjbZbvbbZsUnx9ML/c+/cB/OCDOGGOMMcYYc1yA&#10;GF4G4wUygw3w4lkfGiLIIQbi6AMACOrgi3nk1fJjg4MQSIIbbdSnL+rRpgb8xD61YPAK+qnf2IOX&#10;4OhfvLHm+PgSneNjm/qCHZ+xL/idwSHoc2xTA73iAxSU1bq1rLarL/BV37ymUGoPEFrlda4xFraL&#10;frIc+hTL1RjqK8G8UBAQQltAu6oHSBbMQGE+tMs6oi3FOdAxL2N+WiAfy8BmWraSBVnx4RQFv6MO&#10;UJtvcwzMGQW603mDDtVOYqANaNlKD1q+d31xzlvzS8nyRMFaQz+gC8B82jcI+oH6cB264HjR16n+&#10;LmuDfVAdQGp7CaWljxbaBq+hbc49+qR2QeLawzhrPkb3MjLH9qjvzCdovRCdD0L/inr0eqYLgv5R&#10;0G6tv9AX9KdldZ6Rj/rAp9oHBLrQsoC6Rt06HowV1yDZ/M/ps5kO55R2i3lSe0a6+gLYAWyScwm7&#10;7FnPLMf1AMHPuBbXnNpCTbRPcS2gvNpqbx9hVzFgHeNEXfR1LdCnWrtcF9maAaifeSA13SwD9BN1&#10;a3sQjBvjr60vns8xRvzeGm+LaGP4mb6C0lNPRtQjBL9n84exQjDH6m+I7i0a7Kz2mZXLbD32gboc&#10;K3F/AZyD2hpW/dZAus5lJtBTVjZD+wQ9Qh8U2o9CW6JfgaDfsIOWv4/z3bNuprSF+mADaEvLsb3M&#10;DgBthbqDnmkX+IzzwnZatkMwDgp+pp7ZP3zi95b+ImrbNUFbWTm0pf2mbrL8ZnuJ6wZSszPak/rA&#10;DOZT3425hw3EtrDeUF/NNlEHJabRd6LOmEbofzJfgzZRB8qrvaL/yJ/5So6tJtl+le0DXBMt/1SD&#10;OuS40c+xfh6MXavUN3RQmy/2LdM3QDnqMLMxpccHRUH/Yz3sN/uEsdEuICiTzVukVS7OiaJ6i2ms&#10;D3nwO3Qydi45j0O2iXxajuNhOXzi92zue0Dfo36GbJzrTwW/43rNxmgX1CfXl44Dv8fynIeWZPkx&#10;JvyOuWYbmBcdF69zHhUKbQWf0A2lpXNdA1k6YD+pD8I+1SSz+WX5qp61m42Ztpy1P9Uuzc7j3qcd&#10;/KoD4gags6WDUniTkjkkY8xq8fq7Cz0I4OcsjzHbDddrdig2w7RugHYCehM15kanRu2mzMwHa5RS&#10;uymk/iHxQRPKUDA/2b7EhxK4+YxpU9F2x9zMsi9DD15Jz/ha+mEaxj72QR/6SMnaxdqKD090PjUv&#10;odR8c6s8H6bVxgJdIU+8XmOor0D1X+uznovwcCOmq2QPSlvlW3Y2ZX5a0A5gZzVb4X0qJNbL8hD8&#10;rGmmDfQNvbd0hzx8mJb5spat9DBlfXHOa2sDULI8Kq06dGyQ2vjm+DttY+peQmmNpQXKUfA7xsB5&#10;qfUJsF+QzAfp2KIPmmt76of0OkBfVLK+se24J0ZdKK3nZUDHBJvQNOoK6ZmN6H4a9YH8lMyXsyzq&#10;jmlz+mymw/mGfXEtZYI1ghd0nIMotbUBYAu1chCk6drVPb8m6uN0LaCtmmTri7TGRsEYszUBtA9R&#10;oFfqNtNT9AMqLb1OoUe30EM2To4RfVK/FqWlZ5StieoBbWXla6C/rbohsV84o3HOMz1zjFEful+o&#10;HQLot2VHzK9+dIxkeuG40d+WDjKfDFpzqYJxZeUztE+ZX9G8Q+2jfGaPU9bN1LZac0qJtgDUVjLf&#10;pPM5ZDvRfrVu2FOtbG1MGWN9L2j5Pgr0rmXM9jDFT/Js1lr/2D8pDORZxl4DqaXV1jjgGLM8HE9L&#10;op8dWv8x/9gzTw86ppbvq/l5MGWt6jxmdWP+VGI6UPsYeubSYzeZxHrUTlp+P9q70tIX/Cr3tszO&#10;tGxM41yiX/w5k9pcqj6HRO0s24NUtI0eWnaY2Th+p85qgnvoWA7EvbS2vuJ+13PW0nbUbrLx6f5H&#10;QRmtQ9Mwx60xZ3OsY41ppGZf2+mrkG9IfH4wNX7tfge+5oC4AbhhZJuOSkwzxqwWlSx9r6AHmLjh&#10;G7MuqGTppg0luwHaCejN9zL8VO2mzMyHL9lxM52lE+aL52Pdk/iQMrKq+aOMWSd8UInx9DzA7xkf&#10;oMQHX3xI0eoj9YOHAnqdOq+9wM8Y0jWl1p9aeTxgpCwrWGCor0AfFrXmS/PFNErrgQd9FnSu11tn&#10;rinzU0P12+qn5otzqGPosW1zDH2I21rnmi/aQ8tWhpi6vjjntfUMKFkeypAN69ha/Zvj77SNqXsJ&#10;pdV+i1g/xzP0wJbz0NpHKbFvc20PZSixPB9C676n6fpwOY6vpmt9OdWyc+pEbUvLtvwc9Y469Lra&#10;SNa2puv1OX0286BOKdAtX1jqiyTaKj5h60hHPt3bs/WhNoy61Y6RX9dwti9SWj5D1wIEddKO0Eeu&#10;Lwj7rqBPHB/WoI4DaVo+sz21a7RN/cW2IXHNqH6gb+oAZTGurL05cKxY37rW0K7qMVv/c/Ws5WE3&#10;HCvqoB1QkDeWb8G2aZ9Rj5RYr9q47p1xXrSMzrfqELAfGA/q4HXYFOY+5m/VpVAyvbTWMOpU3fI6&#10;0fYxJ0zX+aytzRaxT/gdOgA6BtU/rrN9tId55LpcxrqZ2hZAGvSD/qsutBz0rGWA6heCvGgb19Ef&#10;zjnqZD34VB+kbahNZXUjL+tDOxT0neV6oaCeLB2gPQr0Fm1ebS+uI7P1TPGTmEeK2qXCc4CeYWEL&#10;aGfuXlNLy9YpQVotD3SA6xg/fQBAH9VedZ2TVr1EfRPaqq0J6CZrowbbpqBu9j/2XcdF5qzV1vMU&#10;rReS2UhmHz1Q1B6VHjuhYHy0Q+iHawGCMcTy6l9RljqNZSGZPbT6NmcuYTPcD5CP8xjXFceqsJzu&#10;9SiH8Y+dG21L61P9qL2gHY4L/cj2bQr6wjSi8wFBHZy3OPZsv9PymW6I1gNBX9AOyiBN54OC61qH&#10;plG0LOrSOda1yHSKXle0n1k6bSyzTbIqXwUomW6I+o6xPsnsPn7tfge+5IC4AVoLmwtGHa8xywAO&#10;GILNIEvfKnTTihvnduP1dxe9hy2zd+DNxzod5Lxe50FpHfK3C8wppDW33NOyG84pDN2UmelQhmyN&#10;8x7PKT17Us+N9xQoY9YJboAp8FPZgzWld8+t3T+MFZbDuqGMGd/QWqHU6qyVV7219DCGob6C1n2Z&#10;Qp8DiedXSkuPtb7U5n/q/NTotTPAPT/64F5dmV+kxxaB3ifFM9eYOYxMXV+c85YNUrI8lCEb7h3b&#10;WNGyPW1oniydMnVNqh3wBQvW29A9cc/aq82VtqnXIy3bo0/Qh/TMz/5TdCx4UQjJXlTU+qVz0COq&#10;k545BjV94mE/Jdu72efWOaVHWvNoxsG5hGQvkbjOINlaw16b2TcZuifR8tl9MiWuS0XXAs6N8b5m&#10;qI/UAfLEsoTjgOgLMTBUXs8/0XbZd/Rbr28XHEvsJ5ijZ03L6ka62lprviM1/6mw7+hDTMvmj89J&#10;sr62/CRl6N6F9PpcSqYX9h+S2be2EV/8t/YYwDnL1mYL7VOmQzJUv/Zd53bKupna1hC6LmKa1gmp&#10;zTHnAZK1DZ+Dsarv0boxtqwc56E2vy0otbU4tKaZB21DpvTBLA/YB6Vm3zU/yXnO/IumZ8FtNWib&#10;me201hTTWn6lVXcLXVPZWu2pd+6Zpwbbhoz183PXqvonvQ5034ZkfZtiH4BS80E9dgIZe14B1Dfy&#10;xLKgda4Drb7NmUt9HhHPoqBmf1pnNp4xoDylZufQj45N9ZGtLaA6jePW/mNOxu53Wr7WPtB+1uae&#10;UFCmlgaJYwHqj6MNaF/1utKyL0BdZLZJVuWrACXTDdC6a31EHp8f9g4aEHfCSft/dTMczgFxSs/C&#10;NmbZDG04W0XvRm62D8+RiVBqB0Kz86Cs45xuxzlpXfbI3YbuJ9nNtFKbg549SfNk6S1ws4qbZNgb&#10;b2yjjF0nGKsK6sVDtOzBT8/4QLYuUN8Y0Rcv2m7viy8wtFYoNZ3Vyuv11sObMQz1FVCyB3pKa54o&#10;tTGDWl9q9U6dnxrafmaHSs0H166bYai7ngdilGhPLRscQud/zPpiv1u2TcnyUFrlQc/Y5vg70NOG&#10;5snSKUPjqaHzwIek2B+mrkmlNlfLsD34R4jWwQf/fBDN8WhZzAEk86+qC70e988h0RdUPXMMWvpk&#10;GuZFfS/6xTNCHM+cPpt5cL7ieidqE7W9tGYP8JWUHnvKXspQ4ppSdC3U/HOtj+oXW3al+bQvOsZW&#10;ea7l2L6+AKwFKWwlNb8S08bqWV/i1uxIddma7wj0DoltKmrHUc/xxaTOSba3tPwkfVztBWOkVZdC&#10;yfRCndfWMKDE8rX5iulj5gOwHPa1mq2oTWTphKIvZMeumzltDdGaQ01r1cn9v9dugNZdW1O6ZrP0&#10;FpTa3Ou+XWsfaL6WjZvVMsdP8gwL/6b5ga6tMXtYyzZ70lrjoP9p5alByex+qF7dw1q2znrGrHeW&#10;meLn565VneNYXvc8SLxX0v11jH0ASjYXoMdOIGPPKzqPU851oNW3OXPZqlfTY590HsbsbxlqJ71z&#10;yj2uNWbAfLH/c/c7Ld9am1rH0NgocY40rWU/tIO4ZrSvel0ZsgPWHfVIVumrACXTDfD5wUTuder+&#10;Ox0QN8DQwjZmFQxtOFtF70Zutg/PkYlQagdCs/OgrOOcbsc5aV32yN2G7ie4IczykNoc9OxJmidL&#10;r4E+8UFYS6asE7yEwkMErR8/xzH0jA9k60IfDo3tY2+7kaG1Qqn1p1Z+qN4p9NRJyQI2lJa+KLUx&#10;g1pfavW22puCtj81+KZ23QxD3cWHhhmUaE9zbKJnLWSw3y3bpmR5KK3yoGdsc/wd6GlD82TplCnt&#10;A5SjYDzcH4YesPesvdpcLcP2spcHrJcvJvjCkWPRAJzsYbHqQq9roEBtnmr0zDFo6VPbzwTjiy+n&#10;5vTZzKM1l6DHJmp1aNkeyfpAafmM2lpQmKfVxyHb0xe/vNZbvqYjrHPWi0/4itrL262gpcs5eu4p&#10;CyjIn6VnULe9ks2T9o/zUetDa84ZdAKBnQy9UO21H0rWp5ptKcwTy8d9R4EdUhdjX6D39El13iPa&#10;97HrZk5bQ7TmsGd+9cX0strN8mTpLSi1PqlOs3SiZ8+xdmSWB9dkr6hNqR3F82jLh7Ro2U9PWo+/&#10;a+WpQcnsfqhe1VOPjOlfz5iYJ/a9pU+ltVbpb/V5D/MjTcvqvsc9seceKkLJ5gK0xtUzZuaJOtV5&#10;1HUQac1Jq/1WOcI8cex6P5nteSyXBTBhjVJQ79DzrBp6zsnSMyhxPBEGVsKm9HrPnGieVlprTlvz&#10;FqFkY6K0xltrqzUOMtTPIRvTNnqkZasZlNr4h/pPfH7YO9zz1P1fcEDcAEML25hV0OuwV03vRm62&#10;D8+RiVBqB0Kz86Cs45xuxzlpXfbI3caYh+R8gND6K7PanqR5svQMfVGCNrOXEZS56wR1sy18aju9&#10;e25tXVDG9lGDFcaUHVorlFqdtfL6gKylhzEM9RXw4dqQv9GAh/gAjtLSY60vtfmfOj818AKAMqRf&#10;2moMEtwO37xb6H34qg/OsCY0rWYrPUxdX5zzlg1SsjyUIRvuHRtlyproaUPzZOmUqWsS5Sj4Xecl&#10;rjelZ+3V5moZtqd7OerT3+kP1cfgGn1mfClAoi5Iry1k9Jat6RP9Rn8B+q8vX/Az+hzPCWBOn808&#10;htZGz9zU6tD12SNYG1oeUFo+o7YWFOaJfdSy8WwSycbZa7s1HQH4Dp4bKPBnq1wLqBtt6BqNEsss&#10;S896PUJB/iw9A/cgvQI9Z/MMv6T1tF7eD8059KqCuuAP5/g+SqaXlm0R5onltX30m7rBJ+8rIUNr&#10;I9LTp6inIYmBOGPWzdy2AHQAH8WxZRLb7plfzZO1W2Ns3Vl6C0ptLVIPrbVCKGPWtVkuc/0ky8dA&#10;G67BWrACbBDrb1l7DdNavmXI/8AXo79Ijz6EktnqUL3LOPPUGGobME/sO6/PWav0oVoH71NoE7QR&#10;Lct5R3le64WSzQXAdcqYNMI8Uac9vhW05qTVfqscYZ44dtgubRa6xT7I69pmvA9lnrgO0U6WtwX7&#10;hrqy9Ijqc6itmt565kTztNJq5UFr3iKUOEdDaaRnrHpdGernkI2t0lcBSm387N8cn2R2FxoQd4+T&#10;zvjlzXC49QqI440RnQgO7TRmCJxij6HCcWNT5KYJwc+41nJQrYXNvsVDGuHBRzcB9hdpzMd6hhw8&#10;DwW19iI8MFA/0AHKckPj+LUvit6E6cGN5bgZRnAdQp2hftU96kI/auUJyqHvqj+Wrc0Z20Y+/A57&#10;Ybv41Js+jE/7BUGfx27QvaDPqv9sLPi9JdEOWRfGDZAOwXVdF2gDY2U6BbrFHEcboO20RPMT6C62&#10;0aNTzMvQ2DmnhPnxqdeVqHNItgYjcRy0+bEPZ3qYu14wRoraEkBdvPlSO2edrYcg1Bna5VrUOlp9&#10;Aiyj67dH92Oh/mgfrTVPptgp9cHf49hQvqVPQltnfRCuw5Z96XwA9h/X0RfqoSXRPrbSB2LMEHxm&#10;6QBjiP3Bz7gW+66wbughSwfUH9ZDLa2mW+ajX+QY6F8o6GurD3PWI6VVfwbmEnWrrULQh0wXhONC&#10;HvQbc0Dh+Km3MYIysS3CM0ePPUIPlJhGMvumPbXWGueV4+P8tGxwN8Fxc55rMB/0qdehJ0pNZ5on&#10;S8/A+qBgnWZ5KGPXSYa2p+PQvtfWLNYMJd7Q0x6xJvV6D71zowytFUpNZ7Xyuue0fMkYetY1xg6B&#10;LrJ0wnzQd0yjxLlR6DPjPLXse8r81OjVr+aLvpJ7GT71uhkGOqfU/A3QfHFfadnKEFPX19Ccq2/K&#10;1jyl5g9I79jm+LueNjRPlk4ZGk+NzCfpeah2Xu5Ze8wT+7YM2wP0gdA997PoDymoi/njnk4yXQC0&#10;TWn51Awt25oj+uOoT+qgpeeMOX028xhaGz3rvlaHrola2SEoLXusrQWFeWIftWy2bpVsnD36ATUd&#10;Ed6T0kdTcC3LPxW0w74MSSy7LD3r9QgF+bP0DJ71arrtAXPPeiD4uWYPPXOO67o3QeA3Y5299kPJ&#10;9DJkW4B5YnnYQ7S5KFOeQ/X0iXscJEvvoXfdzG0L+1KPxDnsmd9eG4iMrTtLb0GprUXOcTzHZFDG&#10;rGuzXOb6SV0DWHe4ps9mom9b1V7DtNY42G6WB/5MfX1NMltt1QuWceapMdQ2YJ7Yd16fs1ahNwrv&#10;hVgv/S33PN5jwiYotWd0LSjZXADaAmRMGmGeqNMe3wo4/lgetNpvlSPMk41d97NMaveNBHPJ+imo&#10;M8ub0dN/RfU5dJ6o6a1nTjRPK61WHvTYDaFkc0TJ0kjPWPW6MtTPoTlapa8ClNr42T+fHwy556n7&#10;/3XtA+JouNjQ4k2eSsuh6uKtSe1hWGtht9JwIOPDu0yQxoOdOofag0/kpfQ+uOO48altRIFTYF+U&#10;noNb5szoUKEX/FyrB9drzhB6iDeaUbLNjW1D9BBFoVND/a3x1fo1lawvKsw3dNiItkbB/MbxMC/G&#10;OiQoqzbQshcK8wKU5XqoSe2g1HvDjz5qObYXdUKG6tU1qLT8TK2tOcxdL2rzMX3IniC1jZ4CW6it&#10;RfQp81nQa8v/1dqcgo6/tebBHDul4EarNTboKyuPtofmA/qsHdoptbXes87VPrbaB1LvtTWEeRqS&#10;oX26ZVeULA+l5UcB+4hrLf9Ss6FlrMfWGCM9frw2H9QpxpnZO/K07KclsS0wZI9Rp5wLiF4nWEet&#10;+pCW+a7evXo3o3tgpiOgthV9hfrkmh/RPFl6hraZvTRSHzhmndSojUOv1+xI7TPqQH1HTBtiaG64&#10;92ra0Fqh1HTWKs+zQe0+Av1AWrxeQ+c4qw/oGkX+LM+QLahke67OcSyvaXH+psxPiyH9Au4rsMWY&#10;h3685udNHX2oDh1neaBvzlGm45at9DA0/9n6og1m9oDf1UZba6PmD0jv2Ob4u542NE+WznNA7fw4&#10;ROb/oEeei2p7QM/aY56o62XYHlBfybYw/5qH/oPpkMwngkwXRPWR2WqLITtXm41j5Z6Bdsfa15w+&#10;m+nQ1mp227Pua3X0lB2C0vKBrbVAmCf2UV/oD/WR/kvXbe8Yh/SsoB6uB8hU3WWorjCO6C9bupyj&#10;556ygIL8WXrGGN3WoO+F3jnPtfp65xzAl+nYY529dVEyvfSMn3lieZ4JYAuAY8cndDLV9nr61GsT&#10;vaCvtXUzpy2dI4wnBnZoetRXK43oGSOb3xo9dWueLL0FpdYnPU9m6QQ+hlI7z5jV07MmW6idch55&#10;HszOxrrmlrnXMK01jtpY4Y/p43DGxTjieZOS2f2QDnvW5FSG2gbME/u+jLUKPVFQn/7O54AxQFLv&#10;CbSuXijZXIAeO4HENMI8Uae989iak1b7rXKEeeLYqWPsdUjjPRsEZcb4WMwRzz6Q2FYNrntIlh5R&#10;Wxlqg/3BuPR6z5xonlZaa05b8xahZGOitMZba6s1DjLUzyEb69XHVCi18fv8YCInnrL/6zsmII4H&#10;CTgsHm56HCqMmIK69GAE5643MdmLldbC7kmDoF4efLD42Sbbi5u91kN0HDwADEGnRd2hXd5QoU11&#10;atkYUA6bD8qw/wB90Tq1DKCzYx58ogzr0PL41LoBfudGq30GmD+d8+hM1dFCUD/GievQN/OzDtQf&#10;bQK6iPXOheOFPjl/GCd0ETdfoHMT05QoqB99R70AeTA+tA/b0nGhfW0nsz3kp7R0Qn2iHZ1rjFXb&#10;wM9aTutX3ejazmwEtNYfD8MQtBl1zvmIZaEriq5bjgN90vzLgDpgn6IOtb+ZLlpzhP5ijKiDOmAZ&#10;+iFIpt8oGH/Wp8x+qX/kiesX8xztYA46fgjaRP24rmseTLVTQOG4kYc6jfrUNgnGTcFaq9kkRH0S&#10;iZKt9Zi3pWfqYqt8YGu9ov8UpMf+qG4xp1oWsO7WeCmtuaXUdIuyKugX9YT5pE4hcU7AMtZja4wR&#10;6ArrE5+q09hXXaOEOqXgd+QDsQ/Mi0+9rqjuYhrGS/vHp/YHumKajqFVH/JRMM6aPaHeqGu2pfsR&#10;12jm63YjGLfOB8ZOPSFNdQ/9xvKwZ0rNj2ieLD0jzivnJ/YJEm20BcYIn6x2gp/VTjS/9h1CHSEN&#10;euL+B8nWRNQv+sqxALSta1fLqg6QHtcKrkFU7621Aig1nbXKx7FSh9ADynGcsVwN1S3WIK5BNzpO&#10;oP5S9ce1ynahD9quEgV1MB/a0vmJ5bWPqmcwZX5aoDwFY9b60Jb68WgroMc3mzrwC5TWXgLRNNKy&#10;lR6mrK9oM1wbaF/7C0EdWhZQsjSld2xz/F1PG5onS+caQNvUH3SkfWiB/lL0OuriuDI/07P2mCfT&#10;9VzbAxhjFPUhQG2MkvlMUNMFULuDPvTcADBPGJPOA0Feiu7tyKc+DhL1qfYVBf1Afp7ptRyY02cz&#10;naG1oWs6mzdQq0NtHnOnab1QWj6wtRYI88Q+wpYo2b5NNB9sk9d1jK0+0kfU9ByB7VNa9Y6F/cBa&#10;ztJbupyjZ/UrNTuaOmb4FErNX7ZQ34O+qR+OPhr0rImI7iF6vbcuSqaX2vpTmCeWp7/uHUcvPX1S&#10;m8j0PIWaDc1pi3MHXWXprTnsnV/OQ21dZvTUrXmy9BaU2lrUddLakzUfzxNm65nrJ0HcP2i3uifW&#10;8kZgV5RlpZHafqu+vmazlMzuh/zaMs48NXp8KvPEvi9rrfIeAPqlLnFe1zwU1MX8fIY0Fko2F2Cu&#10;nTBP1OkyznWt9ufMJXXa6tdYWuPI6LUnpXePY75oM3P3u57yoDVvEUo2F5SWH6De8anXe/paO1OS&#10;IRtbpa8ClJqdLssnmd3DPU498LXBgLh7nro/LbxVcGFBso0NhytsipC4OSKNDq62MFvlQWth19L0&#10;4IMFpWkAbWIsepDjRoP+at6YHp1XC3WuKJcdRFkvZMyCbzludagYT+Zw1NHEAy3TMB9ZnwF1Hzc4&#10;bRtSc+iUZd0Mt9A+1cYT6d0YVWrOf4iWjWvfa7rE/FJqmwvHE+2bG2u29gDXb7aOWv1ulQM6Lu0z&#10;+zlmnc1F+zJlvfTMUcZQOZXsplNtNPoOzs0qDjsRHQekpoM5dgpUMn1o/a0DdW2dtsoDlVodhNLK&#10;R9kKHwhq6xU+kes1W8vM07NP94w3y6PSqgNplGxP1bFkc9iidz22+jcG7WtWJ3UKqc0LYd5WPtVd&#10;TNMbrGxtwr9A3+pnWvXxXBPPB0THrnuEzkGc270G/AJ1VBPMd6anIVuOebL0GlhXNUF/6SfGrJMh&#10;iT5S+97qD/pSO1fDzof0C8n2GlxrSfQ9rbUCKDWdDZVv6QCSjaEF1nqU6FugvyyfCvSf+RNAgY+o&#10;zQOuZ/vjkH2PnZ8hVP81qZ21enyzqQP/pvfJmcBOajY+ZCs9TFlfrTKwFdpFtuYpNX9Axoxtqr/r&#10;aUPzZOlYw5kM9Zm0/J/WHc8bPWuvNQ9zbY9EPxn3bOxRKrVzE2jpAgz5Pkq2L7ZsFn3iOTHTp/ar&#10;JZmfnNNnM42htdGz7lt10OaxPqac5emravsqGFoLgHmyPuo9ba2PXP/ZOIbK63qq6TmDkvmkqVCf&#10;tbOP+rmYNkfP6tsyvwa9qX8cM2b1/WN1hXYznbTstmdNRGq6w35Myc64hJKNr7X+CPPE8jr2zHan&#10;0tMntEdp5RsLRcc6py2uCazvLF2fC0d76LUV9RHZvRL6D5vUtJ66NU+W3oK2UfO9Q2saoN/0j8uc&#10;YzOeOX6SxHcglMx3rGqv0XYzu9c+RpvTtOwcqf440xH7jLUY08jcM08NjAXSWkfME/u+rLWqumdb&#10;cX6pI6ZDUE7z9EKp2WvLTlpphHmy8c4917Xap26ycoR54tjVBpd1L9TTH6XHnjDnmja0x4G5e2lr&#10;v+s9a/XYDaHEOdI0SGb/2tdYXvWb1Y2y9K+QmA7UTrJ0sCpfBXx+MGM58ZT9X2HcG2LgNsPhfiEg&#10;7udZ4a2CzrK1sNSJqJPWDbTlhDRfdHYtZ11Lo/PFotTrLfTAGPuKhUmB09a0FqqXmsNRxzjm4KDl&#10;os40raV3SjzU0FFmzphwbFHH2nZLV3SYNWe4THQz7J0/nbssnVDmjKPVVmueSeshNdF69EDSWl+a&#10;ntlCrayuJb0eoeic6KGodnBaNnPXS88c1aBk+qXUDhWtdnkgqh3ol4n2o7W+5tgpoNT0AWiTGLde&#10;1wN5Sx+aL6ZRetY6JZtXspU+ENTW6zL36dZ4KS1bH9IFylJq81gbZw+UVh9bYxxLq69M61nDPWNW&#10;3cU03niMscVafegrJdqJwj5rm1P26t0MztPwdzyTQeA3oLPWeVH1WNtHmWfMOZmgbe0T7Af2gLlH&#10;3yBj5g92At9LO4TgZ1zL+q/7BH5GHrYL0f7EsgrSkU/HAoFtou2W/SINbdKPQ2rzwnNNTdccd01n&#10;Q+UB2uWagiDv0BhqQC8oy7FRn1k+9E3bheB3XG/pn8J50vbYd72fVHrse8z89ID60KfMRls6pl3i&#10;M0s3fWDe4nxi3cI/1uwE6MO3mq30MGV9wbbVXtB/5qddZGueY6z5A9KzDpQp/q6nDeZBv7N0gLOl&#10;tos2W/OmDPk/3ltAtI89a681D2Sq7RGUp2DcWR61rdY5fEgXAH2Kvgr50cZQn9FXnSf8jGtMg0R9&#10;6j0/8xLYHOxKx5fZ0Zw+m/FwPvCZpWPOKDUf16pDbQJzCrvQ8wDqxLxijjN7YN2ajjrVDuDLKLwW&#10;YZ6hPsLOdd2hTfoGSOYfuB4gyMu+xbKQ2D5+h71rm1wDlEwvgHmyMdVgf6BPXaNoX9c7RMuBuXrW&#10;MSEf7SBrG+mxfAstj3ZUZ9Anxoo+RZ/FPkEf0S4pyKNlamsCP8PGYSNqnxgf6ofE9gEFY0AfQPSf&#10;lEwvGBekZQfME8vrnhkFZQDGo7rpoadPQNtHXl0HaBO/Q//Qn5ZDXlzX/EPrZmpb3GsharfZ+lZ7&#10;ADVbiaAuCmxI+wZb4H4Y7Y1Sq1vzZOktOIfQB3WJfqltq06hC9U58uq6jPNhtp6pflLzUGiTqCfL&#10;y7UB+1nmXoP1R0HdtH30La5HjEXL6jpDXtoyPrVNSOZrNQ/HhDp1/WF8lClnnhpcj3FMCvNkfV/G&#10;WtX5p6Cs5lF/SdHxj4GSjQfofIxJI8yT6RTzRlFbgW6G7Ay02p8zl2pfUTCHKIe5Zn8J6kGa2iM+&#10;db7ws5ZpoTrQ9vDJfVjHh+uweQh9AvuBNNUX6mY5onuZrrdaniydAj2hbcB1TFrzFqHEOdI0CvJw&#10;vJhD1QWvK7oeOS/Ip/2jxLJA83GMW+WrAO1Xy6I9tctl+CSze2DMG9gMhbtL1jEgTp1bpOasep0L&#10;jJ0SnXKr/VoaF1Krzxl0UvGQB0dByZxXjd7xU5A/S8+o6XwoTanpb6xo2d62W85wFahzhZ7VMWes&#10;cu4irbZ69Ml57BWth4cX6EfrBLB1ronssFSzHx1Pj6juWgenVdFrs7Xx9pbPoGT2Q2nZFiW2q4cd&#10;zC1+1/RlMlZ/vRLrorT0oban12tzF9EbhOiTKK32CaWVd6t9YE0HNZ1Fevbp1ngpWR7KkG57+so8&#10;Q3OdQZnTxzHU5mQoLdKTt6Y7+FfKmLHV6lN/0COxz2P3arP36N1zzPpCWaY/NcYYs7XwzIZ7miwd&#10;6DnTe/b2M3TP0HPGGqpDn522JDvj6zMMFe1L7R5EYZ5aH7WOmrTsms/QMsF9Pe/zY/vUXU1abfIZ&#10;GSRLz8D9u5aLovddsexcPWPta/1RUJb6wM+xfIuhuin6XF9tO3u2qc9m1N5qa0KvZwK9Zzau7aho&#10;HkqmF+os0zmp6RV6a9kDpdb3Gj19Iq21Q8HLWi3D+mtSWzdT2hqyLU1TewA1W8kY8pNqu6Cnbs2T&#10;pbfo8b3QDfxbS2A7GJvWbbaHKX4yEue79l5hlXtNa63AN9T2W9DyAegvA/0yX6vvplRi3jlnnho9&#10;PpV5sr4va61G+0G9mo4xqaBNTR8DJRsPaNlJK40wT02nLVtpnetAq/25c8m0IdG1qf3JBPOqbQwx&#10;5EtgS/F9FvrT8gkQjC3aFFjGftdz1uqxG0LJ5oiCs2VrzFP8J3yUvqfMym+nrwI+P5ixVAPiILsh&#10;II5l401GBiUu2Fb7tTRK7caoBh0mFqE6ZS7asZt7r3OlZI4Vjgj94lgziRtEbT4imf7igWZI4kba&#10;2zaIBw46+mxDnEu2gWPcNWe7jLmLQB8Yc+sgkZWh1PTJQ3yPwLZ1c9P60Tem4VM3Ky1DMvsBrYNk&#10;JvFQkB0GUOeQPU2lR8egNt6h8rA92DXKZYcUSGY/lJZtUbJ242EHbcOXZHM5h179zbFTQGnpo7Zu&#10;KbAjvR5pjYXSs9YpQ3njWlmlD6zZL68vY59ujZeS5aEM6QvplCwdME8cJ1nleqyBtQh/WlsDWV+p&#10;09o4lJ68Nd2pzddu0DJq9fXeZFHiOW3sXm32Hr17jllfKFP8qTHGmPWA0vLl3rPXi6HnmngOQ4kv&#10;t8hQHQD38bjP1Xsf3HfhTD/0PAL3I3ovgDKany+GUJ+WU5in1UfYY+wjfu597oR7E+0nfub9Cu+H&#10;YvsYB8av5TAO5Bu6D6OgbJZeg3Oh971oD2PkfGe6XIaecV8H/6A6ZttI57MQ1BPL9gA98z6YAv2g&#10;jXjvSJ3X9Ie+Ukd6T91aE2gDbaluUT/muPU8R3WCslF/rC/TC/JCYhmFeWJ51UHsH8aG/Gy7VX+k&#10;p08K5h95VW/QB/SOPsS+zVk3Y9sCuBbtFm3TplhXtIeWrWRkfcPv0XZBT93Mg/qy9CGGfC9p2X2W&#10;32wvmK9ePxmBTVBQJstDVrnXRNvEz+w7y6OtWA4gn5bFusb6xjpHGQjqyMqi38wDQT2Zz+HY1Wdg&#10;PND7lHXBNmtjAkN9B3PXKspTMJYsj9rWkD9uQd3VxtOyk1YaYZ6WTqOtqJ1RF1n5Vvucp1a7zBPH&#10;jnmCoN7o9zF/0Df1pm3DtlFXXPf4PbbRC/fFuJZatoTrSNcy6CfGS71m0F9A4rhjntacD521WvMW&#10;QR5Ipj+mYbzQk/pBfOL32jgI0mkHEPSbfqpnrLE8dL4VvopEH436srow7+gn9QNBuTltm53FOUeP&#10;BcSdcMr+z2+GwR0TB8TdRav9Whol1jUEnQyEzhnOh9Jy2Blon5KlE0rsLze/IVGdg9p8RDL9qQ7G&#10;6g/0tk2QB85YBc5wVY4Qc8hxU+KmCObOnQIbim3WJJbt0Sc3krgOekDfdCPMpGb3mf0A3YT1+hjQ&#10;Lxw0Yt+mHt5a9Npsbbyt8tCdbvQ1yeyH0rItSq3fWEfwI9oH/Nwa51ha41fm2CmgtPRRW7cU+Bq9&#10;HmmNhdJqn1B68qKdrfCBNfvl9WXs063xUrI8lCF9IZ2SpQPmyexs1esxgv10yL9Csr5Sp1lapCdv&#10;TXe96zdSq483lZAx9UV692qz95hqs2Z9oIzxp8YYY9YLPvjG2RrnNr13wc967u65zzDG5OgzaZ+d&#10;zBTwspICe8ryAL6D6HkGYYwxxpjlo+e+VqCh7u1ZujFmd3DRxReU666/plx8yYVp+k7h8DmHd39A&#10;nAZ0af5IFohGWu3X0vgCutXnGnywxxev6A8ED/Ni3iFqL4wjFH24oTrFOOIG2Hoh2EpTavqjTHnY&#10;0tt2BJu96mvK3I0BD2k1cCuOdc7cRbSuLDK81VaPPmvz2APXKPoF+NAan9DPFPvp1V0v6APXJWSM&#10;XfXQo2NQG2+tPGxaXwLAl8SHT5TMfigt26L06ERfSuCz9SBsDHP11wulpY+a7dF+htrWYJ4YkEZp&#10;tU8oPXnJqn1gTf/L3Kdb46VkeShD+lL9ZOmAeeI4t2I9RqgXtIty0aZqczKUFunJW9Md+kQZM7Za&#10;fb3+oJehvdrsPZZtY2broXg9G2PMzgX3BjxbtwTn7vj8wxjTD59RLPMZjtlb1O7dI2OeQRhjjDFm&#10;+fQ+8+zd240xO5uXvfyl5VP/8KnypCc/IU3fKWhA3Imn7PvEZhjcMTmWuD+tYKvgDRECCrJ0oC/U&#10;9QZdgwtaD8FaQQitG7JaGl+e4oGBXu9B+4KxsI2hbxbK0I2p9uBCo7k16I06rY2htTlqWi2SHP2h&#10;oC1NY0Bha85r9G7aNXqDM5ZFLVCm91BBab3UYxsMsoy02urRp3671NgHZHyIPWWuauuPQaSQmv2N&#10;Re21pespqI6nrJfaHOnarvk/SjYmSmu8lN750z5NmfOM2vgjc+wUUKL+Fa616Lt69wTmgw+MaZQe&#10;+6NMsdVV+cDael31Pg2G1i9lSF9Ip2TpgHliX7ZiPSo6Zuguy9PS25BOlZ68Ld1xH6jtURm1+jTA&#10;rrVWx1Lbq83eA+uX0vJZZn2hz6n5RmOMMTsDnPtw3uNZlAI/j2vZH6AYY8bB57PLerZm9h76LAT3&#10;/PG5HX7nszBI/ANIY4wxxmwN+j4Bz8Kxh+v9FJ6D6jP5KTELxpidwcNvubl84QtfWKz1F77oBWme&#10;ncJZhwcD4vZ9Z50C4iCZg4VD5ouN+KJSX4zWXrSiPG/wsxedbH9Mmgbk1F62YCxZmm46Gpgw5eGD&#10;bk7YwHTzIhwDdKjprcAMoMEJ2c0sBfVmLwy1b7G8jjumDaFtjy0LWi/tV0HNhlS/2bwRCvqdpQOu&#10;j9oBRR88xDR98VuzQX240epHhvatNc6Mmu50DcW0OVDGjnGIueulZvNqQzGACOjcZmOitMZL6V1r&#10;tb7OobfOOXYKVLIHdNqPWH/PnrCM+SBcV1MCglA/JUufSm29LmOfhv+AYNzRj+B3pkPm6LZHN8wT&#10;+7kV61HR+jJ7HdJpbb4yuIfEQFClpTudn8z/oa+oW9Na9TF4LbOHqYzRhzHGGGOMMcbsdPgcw/dA&#10;Zi56z9+SZf5RmzHGGGPGo++xWoLz4bKeuxtj1ovLr7isfPCDf7lY65/+9D+Umx720DTfTuHAoUN3&#10;B8SdcPK+92+GwR2TdQyIg+DFK18m4+UoX3xCsmAIDa5CWX2higAJLZ+9iG29BK2l6YtmvJDFi3Bu&#10;Dugjy9VebGuAEqQWlDaEvjCGYKzUEXTYChLQl/dIY/+ho9i/qHcNDIFAB3whj3q07kyv6BsDOvCJ&#10;9jWAAH1AHdALPrWsth37pXlYVuuFPbBdjFHLELTNPLX6I+g/xgkdUI9RD61xYJ5wDX2NQWmUOH8K&#10;50vnAUT7h2g5QkFe9BtoPUDrQX91LaHfyA8dRL3q+oyC/AC6od4UpDFfTNN6ka56Q134Hf2ETrQc&#10;8uK65kf/da1kfoJw3bfmI6JzDdF5inaSjVXLq02inxTonbaOT/RPJesvpTUWSlwLGAPmQHWFn2kn&#10;Ue9krv5iPyJT7RREQR9pl7AXjAmCz8xetW2U5XwgL9pleeggK0/p0Q3GAEGdHCP6yDahp6k+kGsh&#10;s8UW7FNWbu4+jTwU5NVxallIpj/KkG6RTsnSAfPEcaLflFWtxwjnEjrg2oj2BsnmpDVfEe0/fRfG&#10;q+tR8/AaUd3ALjGfTEN99Au99ak9oCzq0DWFemBzuj4A6sR4NT8+W3s1+zZmXowxxhhjjDFm3cG9&#10;Ee6Z9JmBMVPBfTaehfAemoLnFfH5nDHGGGO2Dzw7x94c36tgD8ders/ujTG7i0suvajcfvs7y09+&#10;8pPy/e9/vzz72beVc887kubdKew/++zvHQuI2/+2zTC4Y6IBcecczSvZCvhSFs43OmCV2stIvMyE&#10;k24JbvD5EjfSeincSsONnL5wjoKx6AtaRV/mQvDiNss3hL4w1oCeKFn/0beWvjVNX1ID/E5ptYsN&#10;tPZgZUh/lDhv2nbsV5Ynk9YDH30x3vsCXOchE+gyK5fpP84VpdWXHlukZOU1WEVF8wzZCwX2EMv1&#10;zHM2J631B1q2R4ENahnWWZPWWoSeKbU+ZcxdLy2bb9UHnfJBVGY/lJZtUWK7Q5Idmpehv9iPyFQ7&#10;BRTsJzWbxfXaDQHGN9Q25gP5svKUHr8T9xAK9aM6yyRbb0THnqXXaK1XzMucfRq0bB3rlu1PtXWA&#10;dEqWDpgnG+eq12ME+moJ7THra2u+IrAVtQuK9nVId0N9jWtybn0UtXOtMxPoS9uY6rOMMcYYY4wx&#10;xhhjjDHGGGOMWQcQDPe2t791EQwHXve615SLLr4gzbuT2H/22d9nvNuJJ+973WYY3DFZt4A4vmzE&#10;C0u+NIbgJfpQEATAy9EYyICXm3hRXnvxD/iSHp9j0gDqxUtc7S/aRFAVAgCyMkT7WQuQGCK+MEaQ&#10;hAZk4OdWgAH6GPWtZdjH2L8YoIJ06gqC+lDvkA7YvvYZAluAXrN51xfULb217KHVL9VpLfAlgvow&#10;57RlCn6P3zajoBzGyT5Sb5qHaa16AG1Rx4vxc34gSMvKArUD5KvZPPQaxwm9In9ma5xbfEa9o18Y&#10;F/sc28Tv2XUF40O6jhvjoO5jm9ATbEBtjuMdmm+1+1bgXETLcT44NsjQehmyeehdx6P1sZ3Mfqiz&#10;lm0xT2wX44i+Dz/jWtZHlqGM0d/Q+DPG2imgUHe6nvCJ31t7CUA56LPmC2pzDHrmQ4n+Hm1o/zDO&#10;uDaQf8gHUpA3S6/BMeMzSwetPg3pFqifgqAu2BXS5to6QDoE+bN0wDxoL0tf5XrMwPhZLwT10FZb&#10;fWWZ2jgiWHvaDsaoPrNHd+wrxwrB79ma7KkPY4x+CPlhg5lNDa1PzQum+ixjjDHGGGOMMcYYY4wx&#10;xhhjtpuLL7mo/NFb33J3MNwb3vAHiwC5LO9O44yzzv5BMyDuhFP2f34dA+L2Chz32KADBS/ZKVn6&#10;qtCXxAxG2C3gpTcEL9VbQSNmGARLUFq6pM7X3QfoeMbY/W5eL2OYqr+tggK/mqXvBbBOKWP1sFf3&#10;crN7WXefZYwxxhhjVgP+ZcgFF5634/91iDHGGGOMMcYYY/YueK7xe7/3u+W//utH5ac//Wl581ve&#10;tGuC4cBpB876FuPdTjh5/ws2w+COiQbEHT7ncFrJVrAXX6LjW0sotW8r6sEBccuH31yzl4NilkWv&#10;fe4UH8BvRxrbz928XsYwVX9bBWUvr339Vq6xAcH8VjR8Y1eWbsxOY919ljHGGGOMWQ1PfeqTFw+J&#10;r7zq8jTdGGOMMcYYY4wxZt15+ctfVr773f9cvOt6+zveVi6/4tI0307l+IC4fU/eDIM7Jieesu8T&#10;DojbHhAwQJnzLWQOiFsuCE6EzPnWPnMM/XYdBBZEW8HvDDiAzAkOXTUMYkWgUPw3fEPs1vUyhjn6&#10;2yooezkgjv96Ems3S6+haz3715PG7DR2gs8yZrdy/gXnlofdfFO55tr7p+nG7HZ6/m14Rqsc7rPw&#10;vMV/uGDMMNdee3X50pe/tFhPj3zULWkeY4wxxhwPgsivvOqKct75R9N0Y4wxxhiztTz1aU8pX//G&#10;1xfPN/78/e8r97/6yjTfTubUfQe/w3i3E08586bNMLhjogFxZx12QNxWgQA4PKSGzH0g7YC45cJg&#10;kL0atLQKNPizJfi3qVn5dYHjmBIs5YC4efrbKih7NSCOAcFj9mJ+KxwFe9ucIG9j1oWd4LOM2a08&#10;7elP2ViDnx0dnG3MbmHqPX6rHJ+5QHyva0yb2//X7Yt/I4J188AHPSDNY4wxxphj4JtG3vJHby5v&#10;e/tby3XXX5PmMcYYY4wxW8dDHvKg8pnPfGbxLPDvP/n3i9+zfDudk/ed9Z+MdzvhlP1XbobBHZMT&#10;Tt73/nUIiOM3ROEzS99t8Jt0EDgw92H01L8en8vzn//cRbsQ/Jzl2WkwaGndA7N2Igi0wfpmwCEF&#10;wTQIOtgJNsT+ZmlD7Mb1MhbIun/zIgOV9+o3nOGFD3Qw5tuwNOAVa3yv2rfZfUD8bbFmKtt1Pt8N&#10;IKj6zjs/t9DfB/bofmzMKgLicI8Lwf1Y9scLu+EcvNfP8mY5vOSlLy4//OEPFrb0m694+eJbS7N8&#10;Zvfgc9v6sxf8O/ZwfWaK5yvr/MeG3nNN5FW/9cry4x//uHzrW98qD7/l5jSP2VvYT+wdpu5htpFj&#10;QGcQfGbpq8TzsLVY3/Pvv/AOEu8ygf+zT52LL7mwfOAD7y8///nPy1e++pXyuMc/Ns23G7jvGQe/&#10;x3i3E0/Zd3gzDO6YaEDcgUOH0kqMMcYYY4wxxvQxNZhlr3P11VeVd73rTxZ6+49v/seuvlE3psUq&#10;AuKGoKCOLH0nQNnJYzDby3Oe++zy7W9/e2FH73//ny++7SbLZ3YXPretP5Td6t8ZtB5lnb/RleI9&#10;1wD8e/F/+Zd/WdjE+9733nL1NVel+czegmI/sbuZs4dRbCPb+1/0KJ6HrYGyl/WNsVOy9CG0vO22&#10;zmtf+5rFH/uB57/gebv6X9r/xukHfuCAOGOMMcYYY4zZIube2O9FEAz3jne8faGz733ve+W3f+f1&#10;aT5j9gJTfcgc30PZyQ8TKX4gaqbwjFufVr717W8tbOgTn/iE/93bHsLntvWHshv9O75Bh4Jv4Oc3&#10;6uC/y2zHN8T1fkMNxXuuedjNN5aPfexjC3v4yle+XB7z2Een+czuofebfSg72U+s+r/+rLr+VTN3&#10;D6N4L3FA3G7AZ6h+MHZKlj7EMv8L4zJYx2/9e9SjH1G++MUvLvqFf2l/6WUXp/l2CxoQ9z9POuO+&#10;m2Fwx+SEk/e/zQFxxhhjjDHGGLMc5t7Y7zWuvfbq8s7b37HQ1w9+8IPytre9dVf/1ZoxQ0z1IXN8&#10;D2UnP5Sl7OQxmO3hMY99VPn61/99YT+f+9wd5YYbrk/zmd2Jz23rD2U3+ne8xKOsQzBE7wt5ivfc&#10;vc2NNz7kbh/6ne98p7zghc/3vxrfA/Tum5Sd7CfUR68i6GLV9a+auXsYxXuJA+J2Az5D9dO7j+wU&#10;KOsypxdceN7iG+8hH//Ex/fE841fP+3AjxjvdsJJ+391MwzumJx48r7XMcN+B8QZY4wxxhizJ3j8&#10;Ex63+NcG3/3udxc3SBDctP/Ju/44zQ/wF54o881vfnOzxF1/jYW/fmuV41/J8S+lkFfrwM/4665Y&#10;LoJyrAuCvuOvUDGWLD9AGT6UoAyNk3/Zxd9xQ6v9Rfmsv9q3TIYeiuxF8O90/vRP37XQz/e//73F&#10;t8RddPEFaV5jlgl9INYl1zyEfqX2QJ9/xY8y+B31ID/rwKf+dXyNVrmpDwdb5bJvcuBYWpK9mME1&#10;+Dv2HQIfifZr49Z9AHkwVgrSmG/svIwdA/XQ8sfsq/aLsDzTMGb2EzqI+xHnWffanr3LbB2wR/6b&#10;ty984d8W33ST5TO7l6k+12wdFMxVlr6T4TdcQLL0rQb7I2TovoWyG+fE9PHQGx9cPvKRv13Ywfe/&#10;//3yqle9slx40flpXrO76N03KTvZT2jAV3ZfNJdV179q5u5hFO8lDojbDfgM1U/vPrJToKzLnL70&#10;ZS9Z/PcV8PSnPzXNs9v49dP2/5jxbvc46Yxf3gyDOyYaEHfmWQ6IM8YYY4wxZreDAAINNIiCF/Wx&#10;DB50tcpAcNOfBUPwoQCDHGrSClLT4Iko6FcMkkA/Wm1BsnECCoIVNBAuCgP8CIMoajL0UGSvcdX9&#10;ryi33/7OhW7wEgU25pcoZqsY8meQ7KWEvrSAz6rVA99RCw5r+VNcV1+Sla/ReqiYpU0JiIMfb0lt&#10;3LoPZH6V+cbOy9gxUA8tf8y+Znm0fLYvaVst+4AgLe5dZmu55NKLyt9tzOnPf/7z8u1vf7s87vGP&#10;LeeedyTNa3YvLd9p1gMK5ipL38msm/219kCFshvnxAyDb/j+67/564UN4I+acP7xHzXtHXr9FmUn&#10;+wnYNkXP+cti1fWvmrl7GMV7Sf/+uwoonod5+AzVz1zfsW5Q1mFOH3bzTeXOOz+36M+b3/Kmcull&#10;l6T5dhv3ut+BnzUD4k44ef8LHBBnjDHGGGPM3gCBCnxBj08EZjBNX97rS3r8zOv4ZhstgzQN3si+&#10;UYcPBSjIw2/GwUM/DY7IvjFHb5T1W3XwybZju7yOfmNcDNBAGa0vu1mlcMzIU+tv9tBS649p5i5w&#10;Q/6mN//hQkc//OEPy1vf9kf+N6lmS8H6hj+BP9MALvWDWOtaBuhLCwh9DNJQT/RXsXz0wfQhsSwl&#10;lm/R8j1DfomCfFk64LejQZCPfhF9V71lD4DjPoDfoXugbaKOKfMCKK0xUA+th9Tsa5aH5SnYE9E3&#10;zKPqRAP1sB/pnoqxcR/BmHScZmt5+zveVn7605+WH/3oR4s5cjDcPGD/c755k2sOawL5+c2KqCuu&#10;I2VueV3XvMY6IVizml/BmCm1+mugXvRLdQXfAB3Sl2QwP9oD9Fm43vJ/GWhHdQXhfMU+oL8U7nsR&#10;lINEP81zOfc81MV+Q5C/1XdKK89W6RNjyNpB3jH+nDqpif7hDfO2xs/+xD/YASyPNK4PCtK0fE1i&#10;2xRex6faEeodWhPoC8pBfxT0A2VpKxHUyXz4HfPOdvGJ32MZs1yuuPKy8t73vWcRTI77uNe//nX+&#10;o6Y9An1JTbgPE8ocPwGw5+ieAcHvtb1oiGzvi/XpfU9NYp1jzkBj6yfL2oMiY/fQIVvI9qIMCm1E&#10;QduUqD/2E9e5l0yxLfQzsy3ulzE/x408MQ2gDPtW0wHmkKK6ZT9qdYM58w/71v0WP3PPpGTzAKBL&#10;2LG2m0mm83WxWcL8c21HGdJL1CuF16f0gX3XOUU/ULZ2hhqixzcS+rCWvaIvEHzGNPSdgt8xXuaH&#10;oA/IU7MR5KfUdDVHR/TpLV1oH2oydS6mcvElF949N//0T/9YHvKQB6X5diOjAuLOOHhWWokxxhhj&#10;jDFmd9B6qARw04ebxezBDG4cazejeuMaHz6wPAQ315oGcINIiTfaaI+S3UQD3OxpvT03xrz5xphi&#10;mkp246/1Z+OJN/bmePDC5BWv+M3ys5/9rPzkJz9Z/MtUv0Qx60RrDau/gv/IfAx9Hh6exTStO3s4&#10;hmuolxLTW7T6PeSXKMiXpQP2q+fhftSL7gP4WdN6WcYYWEerD+xrlkf70LMn1vYtlBvSp1ktsFF8&#10;OynkDW/8g3L+Beem+Uw/6rtqUvN7EKy56ANVcH0V5Wu+hf2orWOg5+qaP4ggn56bM0Hb2RkUUOA7&#10;oq5avi2C+mN5FaRFX84XSkiL48WLSUrUM/0q8uDsXJOarimZf99Kfep8ZwL99NrBUJ91b6D+Wvsb&#10;JcvD8ui/vhSkIE/LFiCxXkqtTkhmQwTX9SVjJtmc0V9AkB6lpSMzH9yz/dFb31L++7//e8Ef/uEb&#10;y8WXXJTmNbuPIb8VfSZlqp+AP6X/qkn2PKYF2mr5O+5f8MFDovUO+VCI7o1j6wfL3IPI1D10zB7W&#10;ghJ9t441m2MK2qntJUN7UM0mKag3ltd5i889gZ6F4nogHFt8VkBbHypXk9b8t9aRnsuyPVTHNCRR&#10;X+tks4Qy1XYyhtb/upyhWqDO1jji2R5jgtTsFbRsmuUh2XmOUrMRPQ/GvoE5OhrSBX0S8g1J1rdV&#10;8tu/8/rFHyuAZ9526576g797nrr/54x3+5WTDv3SZhjcMTnh5H1PdkCcMcYYY4wxewPeEOIBQpYe&#10;wUMeCm7WszxA88Wbfd4E40ZWryuUWFZvjHGzqWk1+NCldWOuN8+xXkprvBxTfIgF9MY+pu11cDOO&#10;m/Lvfvc/F98q8OEP/025/IrL0rzGbBeth2uahofDmkZaPoAPPFv+UB8cZ+k1Wu0O+SVK9MFEH4Rn&#10;6YQSX4Kozxz70Ju05gVQamMA1ENrf2Bfszyqx9qehPFRsn4SttO7H5vl8aAH3VC+9rW79I9/+Xb5&#10;FZem+cw48OIALwjgL3Sd4yzHlwqZ7+PaZh58ogzr0PL4jD5kbvmaf1RfHMsQnqvHvJDXF49ogy9U&#10;0Yb2FZL5mSioDzpAWRDzZ+gLHPggbQfzx70q6iuW43Xkad1j0N9xbNomxo/fKZkPp2RpW6VPfQmO&#10;ftTaae0vGTX7U6i/bPyEkuVheQp+xzyDmJ95h8YRBfXQVlQf2b2S2gtsDf1gGuZI7SHuo1zvFLSD&#10;tnEdcxTzm+Xyilf+5uJfpEIwz1dedUWaz+xusOYoWTqJMsZPAPoC5EN+loX/1T7g51i2BuuE74l7&#10;H/xey+e0/Av6iP0D9bCfQMfZOgNBWvWvag+au4f22kINis4h2qWgf5qfREH5XttCPj3nQLcsG20L&#10;5ZnGdEq83wWqT4iWJdz/4tha+++c+dfxoE32CfZGPVB0HgDysm5dM7iu9Wa2u642GwV9o06GbGeI&#10;1hwqUcb0AfloQ5iTMWeoFmN9I+e/NdaWPtR+IDoWjFHT0bdYHv2hxL7N0RHKUv/41LI6N9G2KOi3&#10;Xt9Knv6Mp5VvfOMbi3784ZveWC697OI0325FA+I2Q+COFw2Iu98BB8QZY4wxxhizW8GNHaX3Jq11&#10;kxnhjWG8WW3dBBPmif3Sl5F6vQXr6pU4LkpLR3pzPiZtr/Owm28qX/ziFxe6+dQ/fKo88EEPSPMZ&#10;s520/F6PT9Q8MY0y1b+0mOOXKLV+afkeifX07ANDDOmeUhsD4Dh69qMsj+ohphHtZ4/M0YmZBl7Q&#10;ICj7y1/+cnnwQx6Y5jHLpbV2dM3gLJm9vNKXangZoWlzy9f6hnooKK9pMV1flrTQvtZ8ldabvQhW&#10;qdUxBF8EZS+YgL4MimNXfdEX87yOMiir+QH9KiQbk764yl7+UeJ4t1KfNX0Q7UtmgzVUn1k6oP5a&#10;/aNkeVT/Q3sO8w7lU4lrCui4+LKacD1irjN7AexHtFHVM4Q2aFbPU5/2lPKVr35lofcP/+2HfR+3&#10;h+nxW0BlrJ9Q313zqSwP/5ylZ1Cm7NtT/U1LX731r2IP0jLoY5ZnaA/ttYUaFLYPO6Fk7RGVsbal&#10;aTWdc5+CxPoRYAPJ9kmeZSixrOoz2mBr/506/3qey+pFOvRMiXaAPlKiHkHrPLmuNqsy1naGaM2h&#10;ojK2D3POUC0ovb6RfWyNtaUPHSPWVDYW2hck6kFtIa7jOTrSdxCZXaIf6G/sD6Vml6vmIQ99cPnM&#10;Zz6z6APOaDfccH2abzfDWDcHxBljjNlx4EAIaR2sjDHG9KM3jGNvciFDDwNqN7u16wrzxJtHXscN&#10;p15vER9CtQQPaabcyKpexqTtZfANAh/60AcXevnKV75cHvXoR6b5jNkqsPbxwIt+JpP4cK314C3L&#10;E9MoU/1Lizl+iVLrlz4o75ExD/gjU+YFUHp02+pHq69DegS8h+kVjDWrx6yG5z3/ueVHP/pR+elP&#10;f1qe89xnl/POP5rmM8ul5Ts1rXU+pcSXW3PLt9Y1X3pm51ANAotpNdSX1l7QAM0X0yhjXnIpaJeS&#10;+VJCXxjbQXmetfGpLx6zl3qAdbXO8zoPvWfzrdIn7IqSpRNK7eVvRs++Qv3F8SuULA/Lt14MEubF&#10;Z5ZOKLU9rLXmua5a46Fe4vrSesfo2czj+gdcWz75ybt83j//8z9v3Mc9Is1n9gY9fgtQpvgJ7rEt&#10;X6TlewNqGKTTu4e2+thLq46e+le1By1jD+21hRoU1KPjRJtZfkKZYls8www9Y2S+aIO0TYjqTc9D&#10;sC9IHAcDdbKzY23/nTP/WhY/a36CMVDivjw0v0xfZp9bLMNmKVNsZ4jaHEYoU/ow5wzVYqxvrM29&#10;0tKH2lZtLlUP8R5jVTriuu/VA6G02hwD/kX9/a++slxw4XlpunLFlZfd/az9S1/+UnnMYx+V5tvN&#10;nHP0WEDcCafs//xmCNzxcuIpZ960DgFx3CDGGtm6sA79b22mxii7yVa4UfcemszOAochznE82Bhj&#10;jBlP64axht6kbmdAXKtshHvHmDIKpefmGTImba9y/gXn3m1///t//+/y4he/MM1nzFahD7JbEn1l&#10;jx/VPDGNMtW/tJjjlyi1fvGZByRLH6LXl0+dF0Dp0W2rH62+DukR8H4bUrMRsz1cedXl5c47P7eY&#10;mz/903eViy6+IM1nlk/Ld7bSlNranFu+ta51PcdzMF+Y1F5mZdT6ENF240t+SsvXtVB99UjWV62j&#10;59zdM+7WPFLimHvqBXP1qTbSI2PmRuvO0gHH2aqXkuXp1RPozUvp6VNtPntFy7bsxKyGc887Ut7x&#10;zncsAsnx71Kf/ezbFteyvGZv0OO3AGWKn6Av6pVef6D3Gri/GQqkW4bPadXRU7/qu0da+lZ6/X1r&#10;D+21hRoUzAXPE0PBcIAyxbYoQ3ri/S/6pdc18E2DdKgnlOPPsSwDdbIx1uZjzvz3zg8l6kT/0CsL&#10;WmKfMWa9PqfPLZZhs5RWm5TamqzR2z/KlD6MFS3bYqxv5By3xtrSh9pITFMoUVct3zlWWK4VHDoE&#10;ZWy5Gk944uPLBz/4l+W2224d/AO+t/zRm8tPfvKTxRkN87YX/+Dv8DmHhwPiNhKuZKZT9p+dVrQV&#10;9DqKdWUd+t/rQIzZTbZCWdZGY9YP/kVHz82QMcaYNniRR+ndO/Uv+4YeBtQeYPWclZkn9ov7AESv&#10;t5h7Nqe0dNQ6T7XS9iqPeOTDFw//8CLl7e94W5rHmK1CH57BT8S/lm49XGulZXliGmWqf2kxxy9R&#10;av2a2ifS45dVb2PnBVBqYwAcR6sfrb726GGon2b7eNOb/3CxD2FuH/Rg/6vUVTDlGx5710xtbc4t&#10;31rXtRcj+jJ06IWRQhl6vtEaE6Xl61os61ss+aKY0vrDmZrulSljpqxan3o/0iO1b2HJaNkfof5a&#10;faRkeXr0T3rzUnr6pDrX+9Eeid/g05pLsxqe/Zxn3R3E8ft/8Hvl4ksuTPOZvUOP3wKUsX4CMOi8&#10;R/AcqrUHRaJPR1sIoMkCfsb4nFWdgVa1B1Hm7KG9tlCDovNdO3colLG2pWOpfastaY2N/VXd8VwE&#10;W9K9ju3rmTJru7b/zpn/uWsVfeZzXuwDPPPiutYdx7PONksZazs9rPsZaog4by3fyPlvjbWlD7Wf&#10;mKZQoq5qczxHR1rnmLM8oLTmdAyvf/3rFs8tvvjFL5YnPukJaR7w8pe/bBEIB/nd3/udPXtG04C4&#10;E0/Z94nNELjjRQPiTt53MK1oK+h1FOvKOvS/14GsIzwsxEhysxp2sq1EKMvaaHYy676Opj4w1nLZ&#10;4WsOU/tkjDE7GT7M6N0v1FfiRjjLAzRffBjSc1Zmnrint/6yr4bexE/ZOyitB3F8KZA9YNhNZ61l&#10;cNX9ryh/8zd/vdDHZz/7mcXXvmf5jNkqsLYh8S+2Se3h2lBaliem8eF5yx+yf5AsvUbL9wz5JUrt&#10;vkoDKMY+HAQ9+8CceQGU2hhAj3+mf8/62lNeH8L2vNAxW8PjHv/Y8p3vfGcxLy//zZctvrk0y2em&#10;o76rJXH9Dq1tUvMjc8sPrWs+a4H/5jWOVa/1QFn1i7wWerZu6WsI+kpKa2+o6V6ZMmbKqvVJG4Bk&#10;6XPo2Veov1YfKVmeHv2T3ryUnj6pzvWesVW2RmsuzfK55tr7l49/4uMLfeN+btnPZc3OpMdvAcpY&#10;PwH43KrHb00B7cXgD+xrOMfHfJSWz1nlGWhVexBlzh7aaws1KKhH52PofpMy1rZ0LHMC4thXvW+l&#10;8Lkl7/t5P6j305kvre2/c+a/d34omT61/Uwy+1lnm6WMtZ0e1v0M1QPa07UIyXwjbas11pY+WB4S&#10;0xRKHG9tjufoqFZnD5RlzcvDbr6p/MM//MOizjvvvHMRFBe/nffJT37i3Tr+sz97d7nyqiuOS99L&#10;nHW4IyBuI+GwA+Lmsw7973Ug68hOn/+dxk62lQhlWRvNTmbd19GcAwVvgluBGFOY0ydjjNmp6I1t&#10;FmCGBzO42dU0PsjBZ+0hOB94wGfHPD17FPPEPV0DC9CGphE8WNI0PDyjTDkjqGQPyXT/yOrXF417&#10;/aXBhRedX37/939voYtvf/vb5enPeFqaz5ithP6qFsjQChboOT9qnpg25IP1QTkkprdo3ee10gDP&#10;27UALvgyypT7jZ59YM68gKExANVvVoe2kfV1SI+EgSLZnmi2nksuvah8+tN3PVD+6Ef/rlx2+SVp&#10;PjMd9XtYO/FFpqbHtddKU2p+ZG75oXWt50r6bZ6Nxz6joG+IfYioL4ovoCjZGbSHXn21YP/g43r8&#10;XU33SqtflDjmrdJnr++fQk/d1F+rj5QsT4/+SW9eSk+feuezh2XYr+nnD9/0xsW/4cJ9HF68ZnnM&#10;3qPHbwHKFD8xxm/NAfuWjie21+NzNA/KL/sM1KvvsSxjD53bNwrqwVzomSK7VyaUsbal97StsqB1&#10;b6pnQ/zM3zVv/OMJ1qfPLpWazc/RcW9ZStQJx4V5QRrPvxD0M3teCub0ucVWnfsotTVZozaHEcqU&#10;PlBaZZfBkG9kWmusLX1o3TFNocTxtnwnZayO9P3D2LKUseVaIAgOwXCQz3/+X8tTn/aUu/8d6kNv&#10;fHD5p3/6x0Xaxz72sT3/7fcaEHfCyfvevxkCd7xoQNxJZzggbirr0P9eB7KO7PT532nsZFuJUJa5&#10;0exU1n0dtQ4pQ/DF4bLHNqdPxhizU8FDJQoeZujDOjzM4AMO9Yv6sAcPILQM6uODHQgePDCN9OxR&#10;zJPt6Vo/HirxgQY+a3sEH5RAkEcfpqEcxooy2cOoKOgTX/Bh7Ay6qL340/0FbeMa2lS97RVuvfXp&#10;5Yc//GH57//+7/KWP3pzmseYrUYfkOr6jv4MEs+IPedHzRPT9CEb/BTrwHW9T6PE8i20/Jg0QB+s&#10;Lx/gs9Av5uFDfQjyq0+DDvE7fB7q4HXC+qOvVubMC+gZA+qkIJ/qP7aR9XVIjwTtUrCvYs/R/QLt&#10;Qp/aV7M6/uiP3rL4lyP4dyKPfNQtv/DX1WY+9A/Z+gfqF+P61TT1K4quXbSlaXPL96xrjAuCstqe&#10;+pce6GdqeiLMx5eoCgX9jmk9oM+UqIseUJ76QB/gwyi1+uifse9l6QBlKeovASWOeav0qcHUNRub&#10;So/9De2hat/ZOIbKK715KS29UeKa5/1myx5q6PqL9Zrlctuznlm+8Y1vLHSNf5WK4PIsn9l79Pgt&#10;QJniJ/icBxL3hFWge5Be7/E5LDv3DFSrf1V70DL20F5bqEGhjeBMwTMG9oja3FOm2Bbrx7j0eoT5&#10;+Eyvlo75pw1oXp1bHRfmU+shtf13zvxr2Zp9tc4QnPuWnjPW2WYpU2xniHU/Q02h5hvRd4peV9BH&#10;SKYPLV9b57AdSrQjXV/L1FGvf4hQxq6VIZ705CeUz33urv3wy1/+8uKPE6648rLywQ/+5eLaF77w&#10;b+XRj3lUWnYvceDQIQfEbRXr0P8eB7Su7PT532nsZFuJUJa90exE1n0dtQ4pQ+ghepk3wXP6ZIwx&#10;Oxn1q5lkD3z0/FAT3CjHcqBnj2KebE+H7+eNdCa4YY0BBUNlKNlYKbgB5s1wFFxvPdjJ2l7XPXpV&#10;3PSwhy5uziF///efKJde5m/kMevBkH/QtHhG7Dk/ap4sveWD0bYGhmXla7Tu84buAfVho0oco76c&#10;qkn24LlnH5gzL6B3DC39o3986Jv1dUiPytBeSxkbUGPG8czbbl0EwkFe//rX+V+lrojWiyegfi2u&#10;SfWZ2ZkO6NpbdvmedU2/gPrpB+GTsrwt1C9kf0QC0H8K+hbTKVlaL/SnGM/YZyz05zrX+rIs6hew&#10;DCQ7e6MP6Ask872UOOat0if6R8n6Nwe0S8nSAW0umy/8rntzNg7qv6fvXMtD9k1p6Y0SbWLIXlro&#10;eh9b1vSDbxr5x3+865tHPvqxj5Ybbrg+zWf2Jrqnt/YQyhQ/oef6VvllUfPFuofUnv/MOQP11L+q&#10;PWgZe2hNb71QtG7tV3ZmAJSWbVCiznXPxPg0jbTmjLAezDuAoO+aR882lNq9X22vnjP/+kcQWYAP&#10;6tZ77KhPPROMuWddZ5ulTLGdIdb9DDUF9JGi13Uusn7oGspsQOuFvrK9hGsiO/+iTcoydTTkH7hm&#10;YhrXOtrW68vgMY99dPnMZz6zqP+OOz5b/uqvPrT4w3P4nWc/+zb/sd8GXQFx//OkM+67jgFx2PzV&#10;EePnuJlkwAhhsNyAIPgZ13oMf2r52H8F/eZiqDnpGthksIC0P2gj00V0TBgLHTAEdbQcLBYy+of6&#10;tT30HfXUDmSA4+PvaEfnD3Vm5VmuJll/oZPaHNU2ZegCgvbwO/rC8vjUvmX113TegnOHsjpO9jU6&#10;TBL7yv6wDnzi92yDUFrloq30wHpqNqQbUG1sbBc6yNKhY+hLZUj3FPYLnzp3sN2xm57CeRxjDxg/&#10;dK1lOO+tvnC90k+gjegHl7WOaAdaP+pp6WuqberhpyaaP4NtQ+bMJ5naJ+gfOlKdQ4ewEegjK2OM&#10;MesK/Gn0afi9tcehzJw9Dp9ZOmCe2nk527vQ9pAPzs4XqKM1VgraQ7vZfjfk92M59DXbk3cr1153&#10;9WK8kC9+8YuLb+TJ8hmzXdCnqD+Db6Bf4NqN9zZ6Lo1pMQ/qyNIBfTCFPgL9gn+BtMpn8IyblWul&#10;EZx11cfCd2a+Lts/0H/kRzsYQyzDseIzpilT54X0jiHm0zaoq6yvPXpU0HbcN1EW/fI9xOrBC3za&#10;3t/+7YfLlVddnuYz8+HagNCX4TrWKueAEs+M+F0Fa4TrEfVo3Vg7WnYZ5XlegcQ0or6fwjbGor4H&#10;bdMPoK+ok34OfoN6VCgoG9N6gQ+koB20q21Bp/BR6Iv6W+Sj6DyirPab1wn0rgKb4LhRv+ok2geg&#10;ZGPeKn1CHxSMBzpkGurF7zz7a7kh0C4lSwc6Xxgvxwhd6fgh2Tio/8z+I9of2jjmKM4LpaU3SiyL&#10;/nNe8Ik6OCaA9rBuMWf41LKoi5LZipnPxZdcWP7sPe8uP//5zxf/KvUpT31Sms/sXXQdwu/hGtaw&#10;+kVAmeIngPo3tKP7EdqDj4JfG7q/IGiDfkV9DvpNn5TVRUF/4O+5vzBdzxkYK/ca9HfoDAQotfrB&#10;qvYg1bH6YvaBeqntoShDiWk9UKKNYCyUuA8AyhTbwhh1D8I4OTak6ZhatoVyUaKO4vxD35qutPbq&#10;OfOvusTY2EeU0fmHRH0iT01QFn2p3dOuq81SptjOEGo7XMPrdIaqgTbG+kboloI87CfKR7vPbFp1&#10;BcG8ah3RbmN55KUsU0dIoyBd7RZzimuQ2CbGCEF7qAPXUFbbncOjHv2I8pnP/NOiDQi+/f61r31N&#10;ufCi89P8e43RAXH3Of1AWtFWQGPBpxp6FKRl5UFcQJnACWdlwZzy2n+9DoOnYEFnDrgGFg0XbSZR&#10;F9r/bDOm1HQYnVQmmeMBFCzuuImqROfSGh8ktqcbWibqbBR1jplu2M6QzqOTazE0NkhWX+xrrZ6W&#10;PelGFQXXda6z8hksA4efpesBp2YntI1ogxgH11BNanZLQfst24Mus/Itxq5BoOuwJkN+BOktfcSx&#10;DNlanA+Mixt3TTJ9TbVNrPsh0XZqUGr2NYaxfcJ4hnwk9DHFzowxxqwflGXsOXuRy6+4rNx++zsX&#10;OvzOd75TXvjC56f5jDHGmDHgr58vuPC8rr+CvviSi8pf/81fL17of/0bXy83P/wm//X0CsE9c+uZ&#10;jKbFZ2H6rAHPWWqC5xjZS4W55fU5TkxT4vhqz+SGwDOZlq4g6Gv2fBNQ5p5T8fyiR6gzjJfPgfB8&#10;JNanz8Bj3/iMC+Nujb02JkqWvpX6bNkXBW1lZWugXUqWTlpt63PEbBxMw2dMi2C+s+d9sV5KS2+U&#10;uOYB5mPoeSYkPmfT9Z7Va+bz27/9uvKjH/1osX/im1UvuviCNJ/Z22R+N/oYylQ/MXS2oGTvaDLU&#10;f2QCn5SdE/S9lwrT55yBwFD9ZBV70Nw9tHcPq0HJbET7FdunTLWt1vtTCuy5ddZDmgr6G/PEs1Z8&#10;P64M7dVT53/IPqFDtp3pk2lDAp3Gsutos5SpttNi3c9QNab6xta9BOyGvi2zaYydaS07ydYV0D4v&#10;W0etcUGyPUfvg1TG2lCLJz/lSYt7MJzP/vhP/njxr1OzfHuR4wPi9r9tMwTueDnhpP2/uk4BcRRM&#10;Kh0WFpoGImSbhhoo6lJnB0NUB7mK8uw/PnlNFxzKtzbPCPKyLD51M0Ffmab9pAOhoE0utqjDbJEj&#10;Hf1Hmjo31KHjz8ZBYb/QF9YRy2cOINNfBGOlqH0AnSP0IfYRbaogD/qI65hP9ok6Ql2xfvQt63sN&#10;tAHHiLLaH50/tKNlQNZXzhfq0XnOHG+0HfY5lqXE8jXQB4rqhuCQQcnGBXugRPuj3jlW6gtltM/4&#10;WcuBKMhTs72s3zWiHnvWoOoI9lKzUUjLj1Cgl9pYeD0r31pHGBfnCvXpuNBfzgUk2vtc29Tyse4e&#10;2G/0MUufQm+f9FCGgxz1j3GrPUDG2Jkxxpj1hJKdPfYaCB7Avzp98EMe2BVIgL9Oe93rX1t+9rOf&#10;Lb7C/Q/f9MY0nzHGGDOWRz36keVNb/7Dcs2190/TlTe+8Q2Lv5zGvRru0c47/2iazywPPheIz4f4&#10;3CB7jgLifXl8NoH6UC/q13LLKo/nMxD0L0snzAeZ+1wCfUF98TkQfsf1Wl8B9Zg9VxoLnm3geYfO&#10;GepHP/TZB+BLLaRnz6SAjie7jk/8Hu0E+mw9kxka81bqE/1Ef1kOgrH0tJXBZ4moL0tXWnqjzWfj&#10;YBo+Y1pGXEPx+SHo0RvzxDVPoCuMSZ93QqBL2GVmE6iLUqvXTOe2224tX//6vy/0+773vbdce+3V&#10;aT5jsH6xTrnOuddqnmX4CQA/Gf07/Ab8FM8YvSA/yrFdCOrCHtfy3+p/UTb6U/oz9dE9ZyAyVD9Z&#10;9h4EUAZlo4576hyzh2VwHJmN4KzB9KiPVjnCPDWdo37Mu+5BKIO2eu1K3xlF+wfQHfuBz9r5CaBd&#10;SG3uwdT5x/Von6iH+yzHEfWpZ7+oR4wFZwO1W00n62az7Eccq8I8U84ZKMO5hMC+1uUM1WKqb4zv&#10;vfEz1w/GB0G9sRzT0Ff8ntXT0g/GR6mNdY6OMrvF7y3fEMeAdlprfgovfvELy5vf8ib/K/vA6IC4&#10;e69JQBwXgALDpWPFZ0yjUaIeTdM8qyoP2H+Wh5NinVgAKB/LtOBGA8kcHhYR6tXFhIVNydrUcWY6&#10;bjHkXFQyh4AxULK2o/4yuIlkzhPo+KKj1P5Dao6OEjeoZaNzFdO0rxhPNv/UV2aLWnc2TlyjniAx&#10;vQb0S0EbmgY7jBIdPTc4iNqm2kY2VsAxod8xTWWK7dUYuwbV/mp2jDw9fgSS9VVtIxtrzzriPKB9&#10;nQeF9cS1Ntc2tXxmm0P0jG8sPX3SPNH2yVQ7M8YYs55Qan5/L3H+BeeW33zFy8un/uFT5QlPbN/I&#10;I2AOeyIC4RAQh5co+Jc7WV5jjDFmLPhLaMj/+uPby2WXX5LmAc969m3l+9///iLvH731Lf5XImvO&#10;3GcFc8v3ou2s+rnhbmMVz3OMMW1wH4eAtt5veLvlETeXO+747GKtfuYznykPv+VhaT5jjDG7H30f&#10;3Dr3Io2SpRuzCrbq/s/sDLoC4u5x0hm/vE4BcQgwydKBBvposA0CQygtx6z5dIHMLQ/0xh59Y2DM&#10;lGA4wKCZWvBXhupnKNBlygMISvZikIIgophG2HYrEKjWL918W86N9bQCeVpRxZy3MXqfgvYnjkfT&#10;avaocx3TYHOQ1lrSYK8svUatbgZZQf/UYQzYgk4hUbfsS23ugeokBmFRptpejbFrcJl+pDV3lGwd&#10;snxLl5zDrDyhfWEu9fpc29Tycew99IxvLD19QoAbpeXPNV+WbowxZudAae2XewUEEbz3fe9Z6OPO&#10;Oz9XHn7LzWk+gIC5//iP/1jk/cQnPtH1DT7GGGNML6981SvKD37wg8U+8wd/8Pvl0ssu/oU8N974&#10;kPK1r91174h93P9KZP2Z+6xgbvleeM8/5tmSuYtVPM8xxrRBQNufvefd5UUvfuFgYDgC5z78tx9e&#10;rNOv/fvXytOf8TT/m3FjjNnD9J6vW+8DjVkVeD9NiV/OY/Ye+3diQFzrxrjmgHsdrn6DjwZFzS0P&#10;2H8Em2jQ0JRgOA3+GvMSrmcczDPlAQQl6xOl1d9W/4bmX+e+R2I9vZu3BoohECoGXy2LVn96+qp5&#10;Yhpl6ly0YOAbRDcZBrshPQt8U5uOgXKc+16JOqEsc7xT1mBvGz1+pLYOAPNk/eopP1a07Fzb7Cnf&#10;guODZOlT6OlTj16Bro9V+Q5jjDFbAwP84169F8GLkCc9+Ql3Bxd89rOfWZwD4wsSBMr9y7/8yyIP&#10;vlngYTffdFy6McYYswz+7M/effc+/Xu/97vHBcVdculF5eOf+Hj5+c9/Xr70pS8uguO0rFlP5j4r&#10;mFu+B5x9KK0/yDQ5vc9VjDHL46Uve0n50Y9+VP7jm/+x+FeotQA3BMvhm1fxDd//9V8/Wnw7OL5d&#10;LstrjDFmb6DvSBHrgAAkjXfA+y99J+r/mmS2Ctgh7y3il7qYvcmeCYhj2Z6/0KNoMMnc8kDroGCT&#10;0Dy96Dhb3zQV6QnIYZ6anuFI8OIP6XzAGCWOHVCyNNLqH/VX65d+q1aPxIdTYx6O6bc8QTCn0Ilu&#10;9r3ggRn6wvFlEvvT01fNE9MoU+eihT4A1MA22goOQTpXTG9Fa+uaGRK0E8tTljle1W/vGuQcL8OP&#10;1NYBYJ5svEPldf56JPqwubbZU74FxwfJ0qfQ0yfK0KF+7viMMcaYdebZz3lW+cpXvrzY5774xS+W&#10;W5/5jLtflOCc/NGPfXSR9qUvf6k88UlP+IXyxhhjzDJAANwHPvD+8uMf/3ix7+Cb4i6+5KJF2jtv&#10;f0f56U9/uvh3qc+41d9us1OYey+9Fffi+lwpPpcywww9rzLGLB98Q9w//uOnF2sPQeJ6/0awT/72&#10;b7+u/PCHP1zke/Nb3pR++6oxxpi9R+97eZzvprw/N2YMGmdAacUFmL2DBsSdePK+122GwB0vGhB3&#10;r9McEKd5MyitQBbdJKb81eDUBzn6cCZLB8yT6Rn9rgXBqWQOhpKlkVb/VH8xDeg3L015uDVWp8gT&#10;A+MQHDTmoZd+21xLYn96+qp5Yhpl6lwMwQA2fgMc+8JIbA26YjAZdZkFidLmanM/BGWZ4+2Zgwht&#10;eJ0D4vTb6Vr6qtGjF83TSuvVq9Kjn7H09InigDhjjDF7nac//anlC1+469uAv/6Nr5fnbZwt8G9R&#10;8W09EHz7wHOf95y0rDHGGLMsLrv8kvLn73/fIigO3wb3qt96ZXnZy1+6+CYc/P7a177G326zg9Bn&#10;FVO+bX1u+R7wPAui/w3B9JP9NwljzOrBvz7953/+58X6+8pXv7K4V9N/n4o/evrWt761SMe+ins7&#10;LW+MMWZvg/dceC/GszAF70FxrhvzpT7GzAH3eYwngP1Necdtdid7JiBOA480f0QfkOi3W80tD2L/&#10;NZgq5h1CA4rGLGjkpWTpgHminhG9rY4EfY4R3ZSsT5RWf1v9G5r/uYEmU8tDB9rvWv8i2h7KxENB&#10;qz89fdU8MY0ydS6G0PUC/fB3DRbi4YjXaFvZvx0bmvshKMsc75Q1uAo/ksE8Wb96ylN6x6XMtc2e&#10;8i16xjeWnj7Rnofa1cBd/8W4McaY3crjHv+Yu+918PLkPe/5s8XP3/ve9xYBCFkZY4wxZtngW+He&#10;9773lp/85Cflhz/8QfnBD36w2I+wL/Eb44wxxpi9zq23Pr3ceefnFnvkv//7v5cXvugFi6C4Rz36&#10;EeVf/uWuYLlPfvKT5cabHpqWN8YYY4wxZl0586wdGBCXfYMUiYE4vK5BCK2/BKwFK8wtD2KgBvrH&#10;IAoEA7XqzWAA0Zi/nOsJ+mGeGNihXzVZ6yslC6ShYI5iGqE+sjmO+otogFKrjRpzA3F6g50I82Me&#10;s/RWf3r6qnliGr/BraZLMHY8igZ0wW44rxrcRTuj7VOyICENHo1BmD1QptpejbFrcBV+JIN5snXY&#10;U572MUYXZK5t9pRvwb4v8y+Ke/qE9iC19UyYD/3M0o0xxpjdAv79zh13fHax70GwR779HW9L8xpj&#10;jDGr4tLLLikf/vDfLP5NKuSzn/1Muf76a9O8xhhjzF7lKU99Uvmnf/rHxV6JoLjfevWrysc//rHF&#10;7/gG8Cc80X/Ya4wxxhhjdh5dAXG/ctKhX1qngDiIftMUQaAMA1RisIcGS9UCJVC+Fig0tzxg/zUN&#10;QTHsM4JPxgT7aJBQFlyDulCnps0JiGsF6QANamoFxEGyb8TToJOsPANJWkE6SINAp2N0CeYG4vTo&#10;VhkKjFF9x/709FXzxLQh28H8qMT0HnQtUNRu1F6Yp6YLDcbMbGMIlSm2V2PsGlyVH4kwz9R1pMGQ&#10;NfuqMdc21S6mfJUyZYqd1Ojpk64ZrN0sj9azzP4ZY4wx6wq+UeDzn//XxTfDfeivPlQuveziNJ8x&#10;xhizSm644frFvfB3vvOdxbeYZnmMMcaYvc5jHvvo8o//+OnFs0v8i3HId/73dxb/RvXc846kZYwx&#10;xhhjjFlnuv5l6joGxEHwMIsBNgg0YDAUJAvE0CAPlGWQCtBvsYJoGplbvhbIooEUqFfTWqANCgJo&#10;NFADdTKoRnWBIAwKr0WYJ/ZT21Pd41PrhWTBHlGQh0Fr6DsDA2vBbNoGg5rQJx0f6qFg/MindSEv&#10;5hFtxDnSIJ3MfpgH9SLgRYO7tP+9c6gBb6oL9At1qMT+9PaVEtM0MAt2yzqyuYTE8j1osBgkC8Ci&#10;zig93+AGQd06f+g35ho2m+k/yljbq6FroncNrsqPKMyDcca0nnUEfapOUEbtHflhv1wLvA7U7rTO&#10;Wp4snQJdYD4A+9pC50PngqAOyNh5BpRWn3TuVGfMS51Cb7X2OXeoK6aprWbj49wij86XMcYYs508&#10;9alPLm944x+UGx74gDTdGGOM2Qoe/ZhHLQK1/ULfGGOMqYNninfeeefiGePPfvaz8tu//brFv0/N&#10;8hpjjDHGGLPuaEDcCSfvf9tmCNzxsm4BcQgo0cCDKLWgGgQgxECjKAgkqAVezC3fCmTRIJnatwtl&#10;MMCjJggc0vwaDKPXFebJ+hmDnFQwdgYAoY5YlgIdMqgjCq5ngR5Ag3RUYltDOqHEgJGxgTyZoH+9&#10;gSiwp5Yda1rsz9i+ZuktPaFtDdjLyg+BeVTJ1mW0pywAjAzpixJtHlAwpprtQWq212LsGlylHyHM&#10;k63D3nWEuWjpihL7uQzbVH+okuVVdC6g55iueq/1rUZPn6CzIRuFj2zZuUpMo2+GZHPLeYeMHZ8x&#10;xhizShx8YIwxxhhjjDE7gxe+8Pnljjs+W27/X7eXK6+6Is1jjDHGGGPMTmBHBcQxmIEBGAgIYAAW&#10;BOk9AS0oH4OyEMSAgIeeYKap5dl/fGbpDKRAvVl6DQQ+xP7g9xioAhjk1GqDeWr9RL0a9IE5wFxo&#10;oE8W1EdhXgQKsc/4xO9D+kcgCduAoB/ZnKMe1Kf2gTYQMFKbJ9RNaQWstOY/C8JpgfzRjlEX545t&#10;xP709JV5UEeWDmg7FJ1L6AjSKj+EjisL0ME1CsYd0zOgGw38gaAsxpHZPKAeMaaa7bXmfIgxa5C0&#10;7Ki1Djhf+MzSAfNk6xBgrMwDQbvZOqJ9Il0F+ofOsjldlm3qukC+1ngJ+gSp2ZLazdi1Cnr6hHqh&#10;92ij+B3Xh9qlrrMxaJBpNl+wHQj61rIhY4wxxhhjjDHGGGOMybjgwvPKzQ+/qVx+xWVpujHGGGOM&#10;MTuFAzspIM7sbCgIKsnSjTFmDgwurAUCMtgMwWlZujHGGGOMMcYYY4wxxhhjjDHGGGN2PscHxO17&#10;/2YI3PHigDizDCgOiDPGLBv99rShb4DMvtnOGGOMMcYYY4wxxhhjjDHGGGOMMbuDsw4fHg6Iu8dJ&#10;Z/yyA+LMXCgOiDPGLBv+u9Tav1ZlOv6taJZujDHGGGOMMcYYY4wxxhhjjDHGmN2BBsSdeMq+T2yG&#10;wB0vGhB379MdEGemQXFAnDFmmTzghuvu/nep2be/4RvjIMiDvDHdGGOMMcYYY4wxxhhjjDHGGGOM&#10;MbuHw+c4IM5sEQxY+Yu/+ECabowxU/iTd/3xwrd89atfTdMRhAvBv1XN0o0xxhhjjDHGGGOMMcYY&#10;Y4wxxhize9CAuBNO2f/5zRC44+WEk/b/qgPijDHGGGOMMcYYY4wxxhhjjDHGGGOMMcasM+ccPefu&#10;gLgNvrAZAne8OCDOGGOMMcYYY4wxxhhjjDHGGGOMMcYYY8y6Mzog7j4OiDPGGGOMMcYYY4wxxhhj&#10;jDHGGGOMMcYYs4ZoQNw9Ttn/n5shcMfL/zzpjPs6IM4YY4wxxhhjjDHGGGOMMcYYY4wxxhhjzLrD&#10;WLcTT9n33c0QuOPFAXHGGGOMMcYYY4wxxhhjjDHGGGOMMcYYY3YC9zyVAXH7y2YI3PGiAXEnnXEw&#10;rcQYY4wxxhhjjDHGGGOMMcYYY4wxxhhjjNluNCDuV0469EubYXDH5MRT9h1mhpP3OSDOGGOMMcYY&#10;Y4wxxhhjjDHGGGOMMcYYY8x6cu/TD9wdEHfCSft/dTMM7piccMr+Kx0QZ4wxxhhjjDHGGGOMMcYY&#10;Y4wxxhhjjDFm3bmPBMThv6NuhsEdEw2IO2X/2WklxhhjjDHGGGOMMcYYY4wxxhhjjDHGGGPMdoMv&#10;fWO8G/476mYY3DE58ZQzb3JAnDHGGGOMMcYYY4wxxhhjjDHGGGOMMcaYdQcxbscC4s68aTMM7pic&#10;cPK+JzPD/Q6clVZijDHGGGOMMcYYY4wxxhhjjDHGGGOMMcZsN6MC4s446IA4Y4wxxhhjjDHGGGOM&#10;McYYY4wxxhhjjDHrCb70jfFuiH3bDIM7JieevO91zHDmWYfSSowxxhhjjDHGGGOMMcYYY4wxxhhj&#10;jDHGmO0GMW6Md0Ps22YY3DE54eT9b2OG/YccEGeMMcYYY4wxxhhjjDHGmDrnHL2Lw+ccXnDW4eM5&#10;cOjQArxziOClRQv8JxuQpWX1sS0l9of9VND/bGzGGGOMMcYYY9Yf3A8y3g2xb5thcMdEA+Jwo5hV&#10;YowxxhhjjDHGGGOMMcaYnQcD1xiohpcGCC5j4Bn+zcwp+88uJ+87WE4642C5z+kHFtx7k3uddhf3&#10;PHX/Ar5P2G1gbBwrxg0dQB8E+gHQFXQGNHAvBucxEC+bE2OMMcYYY4wx88B9F+/nTjh53/s3w+CO&#10;CS4yA27QskqMMcYYY4wxxhhjjDHGGLO9aHAbArAY1MaANg1k2+0BbDsNBtxpsF0MsIuBdf4mO2OM&#10;McYYY4zJwf3SsXuufZ/YDIM7Jiecsv/zzOC/VjJmOngwkYF1lYGHVhl82LEVZO2DrL8kGyPJ9GKM&#10;MetO5s8iY3xhjaxtY8xdcJ1gfeEsgnNK/NYKvCQi8Zsr9KWfoun6rQ61F048B2V9NMbMp7bWh9Z7&#10;XPNxrfObXBQGAJAsD8tHHwHoI9Af9I0+wnv67ifaactWAewks1e12V677YHlWW+0XfbF+5wxOw/1&#10;PVi33BOxxrn2sacde9i/fcT9lf0j0Uepn8qg76qRlQFaP2C7SuwbUL+6Ljrthf3G2Dhu6CI7t9jn&#10;G2OMWTWXXnZxufiSC8sll1xULrjw/HLOkcPlhgc+oNz2rGeWF73ohXfzhCc8vjzs5pvK5VdcVq68&#10;8orytKc9tbzzne8oH/qrvyp/9dd/Xd55++3lJS99abnp5oeXiy65rJy5sa8947Znlw/9zd+W9//l&#10;h8p73/8X5Y1v/qPyzGc/tzzkppvLBRdfWq68+try/Be9pHzorz9cPv1Pny1//6lPl/e8933l5b/5&#10;ivLwWx5Rzjv/go1+XbLRzjvL5z//r+WOOz5bPvKRvy1veMMflNtue2Z54ANvKJdddml5wA3Xl1uf&#10;+Yzy2te9przmNa8uz3/+88pjH/eYct31126M7aJydOOMdt75R9Px7zaG7oX1fpj3nK1zm57TMuK5&#10;rUVWPqJtR2I/2X+FY+OZSqEeAPSiUF88fyl8xpDp2xgzH6yvY/dL+76zGQZ3TBAlxwxYsFklxqwb&#10;3Dx0U65tyIAbmW503AC5Seqmmj0g4YOenfaQZF1Q/QHqlajOgc6HHmaIHmKAzq0eXoDagh5ewNjD&#10;C20PZLZpzF5H/bP6aKyrVftpEH0NyfzSupL1X8eoqB6A6gio3yTqO4HqXH0n0XlS/wk4p6TlS4H6&#10;U6A+FWQ2ZdYTzhnnknNMW9A1DjvimoYN6hqGHcPGs7Ww3XDtcd1wTWBssG+MO9PNXod2AXuAnmo2&#10;QbuI9Pgm9Ufqb2iPWb/MNHSt1+ZU5xJzxz1oJ6zzOfzaxrh+40zY6lnltINnl4NH7tIP9JXp0qyW&#10;aKvZnkRb1f2Itko73Y222oLnSd3r6FvtT41ZDfBV8FFYa1hzWHur3i/p37g3Y81z3XMP5zktnq8A&#10;z1j0tdm4VsXlV1xSrr32qnLFxue55x0ul152Qbnl4Q8pz3n208orX/Gi8sY3vr68/R1vLK9//W+W&#10;xzz6oeWCcw+UGx5weXnR859Wfvd3Xl4+/elPlc9//tPljs9+rLzvPW8rj3/sjeWC8/eXhz/suvLb&#10;r39p+cD731k+848fKZ//138of//xvyp/uFHfjQ+5rhw9cqBcf90V5dGPfnh50lMeX57+rGeVp9/2&#10;jPLQh99cLr/6/uXgOeeU0zbm7/SNM4DuL609JpubrQLtox869+i3zjnnOJsHY4wxu5PzLzh3Eex1&#10;4UUXlCuuvLw86tGPLC9+8YvKa1/7mvKqV72yvPRlL1kEix09eqQ8+MEPKi996UvKn/3Zu8vnPve5&#10;8u1vf7t87WtfKx/4wAfKQ2+8qRw8+3C59oYHlcc96SnluS96afmDN7+1POfFv1me+fyXlCsf8NBy&#10;6sEjG/vixj60/5zyG/sOl5MPHk33rFVx6tnnlbMvurIcOP+ysv/cizf27sPl1APnlIuuvLbc8rgn&#10;l+e++OXld9/45vLW2/+kvP32Py6Pe+KTN84e55er7n91ee5zn7sx7j8r3/rWtwrkC1/4Qnnf+967&#10;CPI7//zzFgF+j3/C48rzX/C88rKXvXQRAPi4xz+23Pzwh5WLNnSb6X6r4NlT7431+Y2eVbb7vLLX&#10;oM6hf8LzOuB5kuc3PccRnuVxrlP0bE/4jIRn/dqZX8/9PhuanQDslOsKXwa3GQZ3TE44ed+TmQGL&#10;iwtEiYuIcJH1ktVBsnazRdpaqF6s6wP1jnng3GCuOIeYU84z5p82AucNZ64PDYA3Y7MTyA4veoCh&#10;XccDTHZ4iT5zjF9s+cNsvZq9Seanx/ho+2ezVdC+SM3HEvW1RH0uUd9L1AcT9cURrhNF/XQL9eFj&#10;yOpSsj4B9jmOT8dP3VBvqlev9TrQDW0KOsY8cE/O/O9OA3uF7hO0KdiP2sk62gd9hK57rgXME8bD&#10;sxP2w2z8Ownd27P9nT5E55B+QNe91/tyOHDuqeWaB19YnvbsB5c3v/Px5U/f9/jylrc/pDzruYfL&#10;9Tf8/8r55/+/yk03n1xe+vIbyut/79Hl1a+/pbz8VQ8uj3vCpeXBDz2rXHjx/cq5559SLr74ULnq&#10;qvPTOd8NxDMp1qRtdb2o7XPZfBpj7oLnJ/gzrBusH56XsnU2FtSD+njOgY+kz+Qa5fkGfcn6uB1c&#10;cumF5QEPuKY8/Jabyq3PfEq59RlPKk94/CPLDTdcWc4/72B59CNvKO9+15vK33/iL8v3v//N8o2v&#10;/2v55Cf/qrzlTa8ptzz8+nLRhQfKc57zpHLnHR8rP/nxt8vPf/a98r3vfnkjzwfLH77hVeXmh11T&#10;Lrn4QHnRC55S7vjs35b//M4XSik/Kt/+9pfK333kfeW3X/eS8uAHXl6uuPRQ+a1XPrd86Yv/VH76&#10;3/+5Uc9/lm9/6/OLPK959QvKDddfXK668vBG/heWz//rx8sPf/Dv5ec//0H596/9c/nQB/+kvPxl&#10;t5Vrrj6vXHfNhYu+feM/Pl++9tXPl3/45N+Ud7/7j8orX/GCcvPND9zo75Fy0UXnLoL5VA88q+me&#10;B3hOhb1ke15mC6sCNkb/H/cA9Bl9xxh0XMbsFfT8CnjfxTVNsF7omwHXOM+2PN8CrjVd9xlYlxGe&#10;h5dBVr+2z/4R9pt+gnB8HDPQfUp9CeG+RdZp/1pnENCGb2e78aaHLoKvnvb0p5anPOXJ5RGPuKVc&#10;fvll5bzzzy233PLw8sY3vqF89KN/V+6883Pls5/9bPmLv/iL8tKXvrRcffXV5bzzzisveMELysc/&#10;/vFFkNt//dd/la9+9avlve/78/L0W29bfFvboaPnlYc/+nHlJa/4rfLsF728XHfjI8oFV11fzjhy&#10;Ubn3GWene8lu45Szzl0E1F394JvLdQ+9pVxx3YPK4fMvLqcfPFwe8JCbyhve9Jbywb/+cPnil75c&#10;/u0LXywf+chHyqtf/epy7bXXlnPPPbc873nPKx/60IfKHXfcsfimune/+0/L7/7u75QnPvEJi2+h&#10;O/+C8xZBh0944uPvDqa77rprFvObzb2iZ0+sM6w/rFGsYaztbDzGTKG1Z4zdK3S/iHtGtm/o/kF0&#10;H+FeQnQ/8Z6ye+B80ufBVmB3tNETTt73/rui4ER+5aRDv6SGvBeoLdZsofYu0myhAi7WoQXbS1zY&#10;x9iYdNR59qFy8PA55dCR8zYOKBeUw+deWI5ccOnGzxdu9OFIOXXfoY3N+chGXeeXw+ddVs654PJy&#10;9MIry5ELryhnH720nHLmkXLSaYc2Po+WM8++qBw4snHQOf/Kcs5F15Szzr28nHH2heXeG+n3OuVg&#10;+fXTNjbUMw9vgGj+o+XXTz97Qabz3cq9zzhc7r2hA3z++umHNmzq4OL6PU+FLqCXc8vJBy/YOChd&#10;uODUsy4qv3a/w+XE+x4s97rfoXLSvvPK/Tb0fPD8q8vZF1xbztr4PO3sS8qvnbqR56Szyq/f70g5&#10;+cCF5cxzrljkOXQh8lxT7nfWJRtzsJnntCPllAMXlX1HrlikoZ6D592/nHLwonLPk88u97jvhiM4&#10;7Wg5deP3fUeuXOQ5dOF1G3muXtR9j/siz9kbtn+k3PfA+eW0w5eUM49cXs48enk5/fCl5TfOPLec&#10;ePLBco+NOf+10zDfRxf5OCaM/V73O2sx7nucsrGWNn7+tQ3bUD2Z9STzhS0/mPm/zN9FPxf9VTyM&#10;+EDyi1Af1A91Bv1xP6COqXfdjzBHmDPMH+eUc4z5zuxhL6G2X4P6GktW1xBZH43Za3A90Gfp3kPf&#10;pvtM3F/oJ2vU/Cf2L/pN7ntYy1kf54A6OR60edqBg4u+nH3kUDl6/pFywYVHysWXwPefWc4+dFo5&#10;cvS0cuHFB8v9rz5SHvDAC8sDH3xJechDLypX3f/scujwb5Qz9/3fG3nuXS67/IxywwOPlJsffml5&#10;1GOuWHze/5qD5eBZ/1c57Yz/bzly7j3LVVefUW582LnlsY+7vDz+iVeVRzz64nL5FaeX+53xf5X7&#10;nvZ/bejiPuXw+WdsnPcPlSMXbdwDbOw7p5yFsyzm5Mx0PLsd2CLmrHYWok3GM1AL5h2CdStoE+2z&#10;P7q376S95KSNsZy0McZTzz5r4z7kfhv3FSeX0w+dWs67/GB50C0XlSc+87rytOc+pDz7RTeVRz3p&#10;onL0khPKWef9f8oV1/16eeKt55TffsNDy5+896nlPX95W3nPXzy1PP+l55f7X/8/yqVX/j/LIx93&#10;Ynn5q46WP//gI8qn77it3Pn5l5WPf/J55RWvuahcee3/WS7ZyPO4J/9aed3vXVLe/f7HlY//w/PL&#10;J//pReX9H3pSee6LDpaLr/w/ywWX/Y/ykFt+o9z63AvKS3/rQeXlr7mpPP9lN5enPeeB5aKrNuxg&#10;/29s9PukjXuhfen4ernPmffdGPdvlPs/8IzyjOddUd76x48vn9roy2f/9SXlfX/58PLEp59YLr//&#10;/6Pc9PD/UV72ijPKe973oPKZO28tX/3Gy8uXvvrK8pa33Vgedss9y4WX/L/LtdffszzmcWeX255z&#10;Vbn1tgeWRz/2mvLIR9+/XHHluekZc1noWTXzs2r30Yaj/WY62k64ptA/9nXID3C83F+oh9o+xTM+&#10;oC5raF5F9a661z2Oc8A+U/8YWzb2KaAu6gVtoW30J7MbY3YTWJ9cg7B7rjWssTm+Tf0P1hb8DNYy&#10;/QjWP9rO+rSdXHzJBeWhNz6w3Pasp5QXv/h55SUveV553OMfvrEfnV9uuOGK8oLnP628+91vLf/x&#10;jX8tpXx/gx+WL3/5n8orX/mscu3VF2ycYa8rr37N88qHPvi/yje/+c/lpz/7j/LjH3+r3Pm5T5Tn&#10;Pe8p5Yorzi2PuOUB5fWve3H58IffW/7zu19dBLr97Kf/We644yPlOc99Yrn//c8tj3nMg8vv/d5L&#10;y9/93XvKf/7nv5Wf//zb5Qc/+Eb5+Mf/sjzlqY/YqOdoecLjHlre8Ae/VT71yb8qP/rhNxb1oK2P&#10;/t37ypOedHO5+urzylOeckt501teXT796Q+VH/zoy+VnP/v2Rn1fK+9//+3lEY+8oVx11Xnl6U9/&#10;VHn72363fO5zHys/+cl3Nur5r/KD7/97ee9731puueW6ct11F5Xbnv24cvvtv1v+5V+Q52uLgLr3&#10;vvf28tznPn1DNxeWSy87b+N8f1l58EMeUK699v6pbjO4P8Am1P/DDmmLPDcu0+e3OPXsc8v9zjpn&#10;o+2zyv5zjpbLr7m6POhhDyvPfO6zy2+99tXllb/1m+W5z791Y6zXlEsuPbLxeXV54pMeUV78kmeV&#10;3/39V5Y3/OHryu/87m9t6PWJ5ZqrLysXbdyXXHvtFeWRj7yp3PqMJy/s6lnPvnURSPnQG29YfFPg&#10;BRt5rrzq0nLNdVcudIhgyxtuuLZcf/3V5aKLzy/nbdxnZfozq+fyKy7duFe9eBEMeuFF5y647vor&#10;y8NveUh51rOeujGfzy6vfe1vlpe97PmLOb700nM3ysAXPLA8f8NO/uANry3vvP3N5fb/9dbyhje+&#10;tjxhw1Yuv/y8cvU1F2+cd2/csIUnl9e89qUbaa/ZyPu68spXvbjceNMN5fwLjm7YxoXl+gdcW266&#10;+caNco8vtzzqkeXGW27euG+4thy54IKy7+yzN9bMhv8+crTsO3x04/O8csahI4t1w/Mqz0w8NwGe&#10;ETP7N6uH+ud8YG4wT9kZnb4QxDM6z87cU7mvbvfeetnllyz+7Si+oQ0BbAiOwr/yRGAbvq3t7e94&#10;28b+8Z7yrnf9SXnqU5+y+Bef119//SKI7c///M/LV77ylUUQ2/e+973y0Y9+tNx6660ba+bycuON&#10;N5ZXvOIV5S//8i/Lnf/8L+Xb3/nfi38r+vtvfFN54ENvKgfPObdccOkV5f43PHTjXvgxi0Cvi695&#10;YDnrwisW3+KWzcWyQZAZvi3u1047WH799I1529hPDp5/aTn38mvKtQ+9ZRF4d9UDbypHLrmqnHLg&#10;nMU3uh264LJy2bUPKjc87FGLPNff9Mj/P3t/AWb1saX74zlzZI5GT9w9ENy9hXZ3d3d3Wmh3g27c&#10;XYMHYsTdCCEQkuCeQNzt/b9v7d6kk8n8/nNH7p259+znqaeBXbu+VZ+1alVV75dVpo5vWAxsXL0x&#10;xcWL53Y/OPmG4H93FrpflvEO9FUXb7j6hyI+PRdZReWoamg1WfPKaxoQGZcIL/8gxCWloLKmDguW&#10;LMO2nQ9h91PP4KHHHkfv3PnmPd/AYMQmJqO0ogqVtQ3ILalAaFwKPMniP1OQ2H+u/X/Ns/5zzXr2&#10;7D/f+s87a7HOv/+K0v85/csv+2Mt/fus8rO44ekDF2/fi+NUsY7dWqxMVKzrhrVY14/+a4iKle2v&#10;cf9H+T9T+vu7tVj9XqW/nfvbv7//G5/p5/tW37P6ptabX645v7YO/KNYivhYzzjWuSre1rllnUu/&#10;Zs+fiqtPnwzu5y+98esf+Ef5R/nvVyTAk/hskosfxk/1wqgprkZA5h4QD7+wNITF5nIzVIyQmDx4&#10;B6Vikn0Qho1xg51zBKLii5GWXYe84g4UlHUhIbUKIRE5mGwXjCEjXOHmmYj8oi5U1y1CbcMS1LGU&#10;TpuNhMQ6TJgUhsFDPTkhC1FTuww9vdt42HqYP7ejqHgmN6vlGDc+EMOGe3LDWor6hhWmjkp7xwZU&#10;TV/ETWglRo7yx/ARfoiKqUJT8xrz+fkLHjF18gu6eHDLZxvcwIzVQbEOLa2qo7vzt6KtfT2mlc9D&#10;QGABhgz1wvgJ2hi3oK1tA3pn7eBBcLd5bm5eO7y80zF4iCum2ITzQNhu2lc7M2Zu4aFxDfvcCw/P&#10;NNw/yB129nF8dg830JvQO3sHFix8DJVVC5GR2QwX1wQMvN8ZTs4JKC2bg67uTaadru7NfNZK5OR2&#10;wcExnnXc4OqWyv7NR/eMLZg1eyf5PIIy8ktOqYWtXSQGDXaFh1cayjiGto716Ox+ALX1y1hnDuIS&#10;pmPipFAMGe4BT/a9oKgbNfVLML12ISqmz0Vi6nT4h2Ri3GRfjBjrwU1iKjJyG5FT2IqcojZk5DUZ&#10;e3r5J2PMJB+MHOcJV+8ERCWUIDG9CkkZVQiNyaVPJMHBIwzjJEq084CTZyjc/CLhERANN/9IOHgG&#10;cWMdwODqg/H27pjgwA2Ns8SLvtxY0u9YJPzURvYfG5j/2iJhpUSmo20ltvQge184eIfCkUU/nX0i&#10;aC+JdH0w1oa2muoNR68wuPtHwTckAf5hSfDwjzZCXhsnX9qcGxj+dPWN4KEpjnXi4cOfEvu6+oTB&#10;1tkPE/k8W8YW/d0zQH4RYX66+ITQVwJhx8PLFB7M7OkPzt5BbCuEm+MgOHr6w5GHq6k8KNo6e/Zt&#10;krRR9oEND2BT+G+Wol+Q63D38w3x/y2+ZB1H/82jdQP5y41j/wOFddPYv/xrG8j+m8j+G8n+v8D4&#10;X91UBgR6M/b6IjjUDyGh/iz8GeKLwCBv+Pq6wcfHlX/2QGS0P6Jjg0yJSwhiHJeIxR3unpPh5jER&#10;IWEuSEgKMKKV7JwwxtBQREf7sI4TY+kYxsgxbMMZ2fkhKCyKQElZJGNdKFLT+fyQiYyTd8PRaQDi&#10;E+0wrSIYTS3RqG+OQ1llONt1h3/gWEyafDOmOtyD5DRnxshoriNxaGiOZR2uB5lu8PAehJFjroad&#10;412Mm44oqwpBTUMUKmqjkZkXiDA+39FtOEaPvxUO/BmT7Imc4nDkl0YiPTeU8dIfwZFOnCsjMXLC&#10;ffT10QiNdUNCegDi0oJ5cA9BYCQ3pL7OmDR1PEZPHkG/t4FXsBf8I/z5nj/8wzmH/D0x1cMZ4+wn&#10;cZ0ezzjqwLnrDhd/L7gGeMPei/PC1R0TnV05vx3oP06Mqy6c5/QZl/+9//P9H+XfVxTHVGzcaGtP&#10;iVt0dSDtaG+DSQ5TGBedGWe9EcJ5E5UQQL/yhU+gBzx87GHnMAaOLmMRHuWKzNwQZGaHcz8RzjkT&#10;zD2XvkS35VwYwX3KOMTGuSEtPQhZ2ZxXrJOcEoTISC/4+dlzXo3j/LRhHR+kZ4Ry7qmNUKSkBHJf&#10;5sm4YANn5zH8OQVx8V6s09cO52dySgAio7if8J5knqVnpqT6m35IVJZXwDmcFYCwSBc4uE7ERPtR&#10;jPN2HJMn1xAfuPhxb8Cx/xqb/2gZy/kwydkFzr5enFu+pviF+cKD/Bw97bjmjTTF1dceQVE+iIjn&#10;WBIDOVf9ue5xX+c6FWNsJmKc3WTahe34MdZ6epn59WvP+88sesZkzuGpnOMO3p5w8nalP0zGGMYK&#10;e3IMjPJCQkYwMvPDkcaYk5DGWBvuABvHIRg5/jauqSMZbxSXGCfLI1giERHLWBzsyD39UIyedD/3&#10;d5MRleiLmJRghMcHwk8xx49rs7sTY44NxtjZm3jya/37R/lfL3b0HbcgP/iE+zOGu5PzJNhy7oXE&#10;OKOoKhLTmxIxd2kGuudkoLkzlWcsX3gH3sP5fguqG12wa3c+3nqnGQfea8O+gy145PFCtLQ7IzD0&#10;74iKvRYLl/rg9X1lOHyiAacvNOGNfXXYsbME9U2u8A24ElFxN2LpqkC8sb8Kx8504OipLtZpwPZd&#10;OaiqmQSfgEuRlH4r1m+KwP6DVXyf7Zxvxsuv1WLTlnxMq7Th2ngpUjLuwsatMdj/bj2On+nk8zrw&#10;yp5abNicgsLSUfDy+ytyCu7DjocScPBQLdtpwolzTXjuhWqsWpPO90bxjPJXFJQMxs7HUvHOkWa8&#10;+mYjtuwqx7wlWcgvC4Rn4CTueyYwNv7H/G+8gzP3wVPhHuiMeMbFosoYlFTHoqIhEaXT4zlHGIN8&#10;RnK+3I/UXGd0z03G4tUFWLq2CHOX5KG5OwnpeW484wzgPnYgsos8UFQRifJa7imqY5CWE47oxBB4&#10;MaY4cN5MVZzQnPX4SbimYv0FoHU/9999z2rdg1r723/vad1z9t9nWveX/feU//N/MenJPasXQsP8&#10;EBEZgMSkECSxpKSFIT4hGKHhnhyjA8IiXJBO36qYHofislieqWMQnxqKcK4jrj7OPPNMNevHf8Y6&#10;N8XVFWFcp1K4vk6jDzZ2JKOxJZlziXvO8MHwD2asqHfElh05ePalasaDZjz7Yh02b89HY6sn+3wr&#10;y01o73bDMy9K8FqLQ8fq8crrNdiyrRiNzV4ICL6R6/WNmDXPB8+9VIYDh1rx9qE2vPR6HdvNRXWd&#10;PXwD/47YxFuxZHkQ/72MsaAO752o47OqseGBArJwgKfv3xGXdCeWrQrDy3uqcPBwK159oxG7n67C&#10;ijWMb8UTGSuuZjwZgCUrovD4UyV4/sUKvPRaJdZvKEDPrCRk5nBf7HsLElNGo3dOFDZtLWKcKcGa&#10;DcVYsDiLY49AXCJjl/9A1rHhPj4Cs+amYUZvGrp7UlFRGY9cro/h3I/7Bkzi2cGNbYaisCSGPyO5&#10;TwpFXFww90J+CKCtf90P/lH+I0VxQPFAcUFxQjFD51XFEGtM/I/GQX1e7Sg+qW3FpP+OcUhiotjY&#10;KO6PM9HYVIvu7lYjdOue0YyCwlT4+3MvUJyKJ5/ajo8+PopvvjuHH3/8GG/ufRY7dqxFUVEavH0c&#10;UFNThNdffxqffHIK3377IT777AyOHH0Tux5aj/yCRPj6OaC1rQL7DzyPTz87ge++fx8//HDeCN8e&#10;eGAZzwLRPJc7YkZ3Pd5991V88cU5I2D75JOTOHjwFWzcuBipaREIDHbDvHmtOHrsDXz+5SnTztff&#10;nMaTTz6I5ctn88wQxLO5B5YsnokTJw7gyy8/MP25cOEY9u59DouXdPMMod/X+mHN2nk4fYZ1vj7L&#10;vlzA+QuH8NhjW9Hb24zQUE/Exwdj06blOHfukOnL119/YLLZvfzyY+jqrkVIqDvSMqI4xrX44Px7&#10;+OZbsfkIR4/uNcLAhoYy+JFfbm4iHn9iOz788Bjb+RBfffU+Tp062McvHX4BrsjKisf8Bd1Yu15X&#10;w67C6jVLMLOnFXX15YzzUfDxc+MZKAFz5nYyFi3HI49s5Zh3sb/bsGr1fJ5/4ulXTqxfgiee2oGn&#10;nnsUjz21C1t3bsb0hjrklxbD3c8Pkxx1/giEW2D4r/rtf3aZ7OIFj+AIJGXnoqC8gvuUGuSWlCIp&#10;Iw1uPh7cS/qiqa0ej+zeiedfegb79r/G8gqeenoXZsxs4FrnyfNbOB7cuRrvf/Au+Z3DDz9+iOPH&#10;9+FhMm5urqAfu5jxP/roZmNnZQrUz0OH9pDxOlRU5LGOq7HD2rULGNMfwZ49T9H3HqNfLcecOR30&#10;v3jOTbZDxrNmWxhLgLV8xQIjwqquLuMaG8n54IGk5FjU1pajs7PJiEObmmuRm5fBNpIQFh5Em3sZ&#10;kVh6Rgr/XZmcspGcnICEBMuVwMHB/uyPfocUwHU81NTVlcG/Nj//PUXtSbwaEhqIAPJViYoK514h&#10;jmfoRNOf7BxLf+MTo7nO+JBzAHLz09FGWyxY0GNEbPMXzERbez3nbzrH7Y7ExHAsWTKL7J7FSfqv&#10;GJ8+/Q6efW4XamqL6ccuyMiO47q9imvm09h34CXu1Z/DyrXL0MmYEpscDyfuSSPiotDU3oyZc2ej&#10;beZMtHR3obiyEqk5OXD3D2TcdOG5LwD+kTEIjU+GV2iUEWLauv/vEe38o/y/Vaxni3/t99vWc4b1&#10;rOHkYREl66dXQDCC6aeRCclIzshGalYuYhKT4RcSZq7aDgqPRFlVtcm0tmTlGnOt6Kz5i1DT0ITo&#10;+ES4cl+QnJ6JuQsXm/fWb96GBUtXoHvWXOQWT4NvcDjsXb0QEp3Ac14Nz3gNRmCVU1KJhIw8eIdE&#10;wc7Nh332YFwP5pyJN6KzXxvnf2aR6CswOtH0Y3pjG6qb2lFUPt0wcPH0QVBoONq7ZnAtegZvH3zH&#10;ZFE7fvy4yZjW3NwMP65FSUlJ2Lx5s/n3Tz/9lLH9G67973LN3YTp06dzP+CLzMxM7Nq1y2Sw++ST&#10;T0xGu8OHD5vrTMvLy+HDPVV+fj5j/6M4e/Ys1/sv8fnnn3Ot34vVq1dzX5MHL28fZOXk8WywElsf&#10;3IV1m7Zi9YZNaOqYgbyScnj4h2AK+bn6hcAvIo7rVdSvjvl/SpG40ckniH7L87CXPxIzclHb1ILe&#10;ufOwbsNGzOiZhYqqSiSl0E+5F42ICEdpaYm5PrdsWimZZTPWx3NfGG0yEv7aGvPfsSiznkSmyrwX&#10;GBiAvLxcLFzE9f7557Bv35vct72Exx9/3GRKDA3lGSw8nOvcInMd8EcffYTvv/8eJ0+eNL7V0dFh&#10;MilGR0dj2bJlePXVV/Hee+/Rr95gG7uxbt1aTJtWZq4WFr+WlmasX78OGzau575hJWbPmcU1sRqp&#10;qSkX6xQXF6G6ZjoK+VMlKycbsfFx3AeE9J0LuC8ICoQfi/V7Met3ZSrW789UrL/rsJ5drMX6uxBr&#10;vLIWaxyz/t6n/+9+VKzxT0Xx8D96/vlH+dfL/+p609++1t9vWYvVN6z+8svfeVmL9TvU/9WzZ//P&#10;WUv/dq3PshZrf6y++XN/1Pfmlv9QpvVKmgsJo3+N0b+1KDPcGHuXHIv67V95jbZxGzba3i1GV6iO&#10;tnPrtBT92XX6GDvX15VNKimjGpn5TUjJqjUiowk2frB1DIGrVyyi4kuQld+M/JIOZBe2IDqhjPAT&#10;MHlqMGwcQ1knHmExhVz865CZxzayaxEWW4AJtn4Yz2LjxHZ84lgnD9FJJYhNKUNEQhG8g1Np7GBM&#10;sPfHZIdA2LuHwzMwEf7h6SYTlk9oMqZ6hGGsnSfG2Xua7FsSTdi4s26/DFYTHP9rvrD6R/mXRVnC&#10;JGJRhjQHb0u2MdkqOCaHjh5Ke/tgoj19xzmUGwse+lIr6FeNxndSMmsREJIDO4co2NpHwdU9iQtA&#10;NReK5RaR1aydWLDocXh5ZWDS5FA4OsXB1y+Lh9s2IxabM3eXEWtV1yxBeMQ0THWIN8XXLxeZWR08&#10;vG3E7Nm7eKB9iPUe5Htxph1nlwQEBuWhsGgmOrseYDs7jQCtbJrEZ4WwnxoHR+dELpxFKCjsRVfX&#10;Fi5gD2H+/EfRUL8CNraRmGwTBhfXRC6yJUbgpc+rP13dD/CAOAPePtmws4/ls5IRHjkNZeULMWPG&#10;No7pIS7Cj/PQ2Y3JU0LZVjjc3JMRG1fFcSxGb+92zJm3C61t63ggbYW7R7rpj5t7Kuso/fEyLtg7&#10;DJslS57iQbmSY6LvT42Eh2cqUlLr0NC4god21mFpbFqFuPgaODknw25qLOtkIDmFB/XG1YaN2lm8&#10;8En2N9OwcXCMZSDLJL8WMl7Hw76FcU3tUh7Oy/l+gmHs45uDjMx2tLZuZBuWdlRko/6MCwq7DGO1&#10;I0YS0AUGFbEvcaatwKDCPnHeZtOfeXPJuHmNhTH5WBgXG6GdxH1qRyK9gsIe0weNyTCOKEdpmcR5&#10;PzEuLOphG2H9GHNzXr3IjGf2nAeND6VntBnGtlNj4OKegpjYam62l15kvHjxU+RXbcZkZZyUXGuE&#10;iOLbNWMTauqW0W+n02cS2A792C0ZkTHlKCntRVnFbFMk9HP1jMNEW3/G0VAelqIRHJHD+FqDHMbQ&#10;1OwaHpRK4Oodx9gXhElTGdNcw+ERkITQmHzGT0sJjy/AxKl+GGfrjfFTfbhQ+pssg86+kXD1j4ad&#10;J2OwWwBjoI+Zmyq/Nm//Uf7fKhIsTHC0iC4mODgyXjvxoOwCd38vI2iyFD94BTobIYid8zg4e05A&#10;QJg9UjK8kVccgtKKMFRUh3K9d8AU24Hw8BjOQ8FYJKc6obwqDE2tiWhqjuccD+Zcs+FcGQw3j/sZ&#10;U0ewjj3rBPL9KDS3RaK+OQwhoeMZIwfC02soQkPGMa67oa4hCh2dyWhpjeec92fsHM+5OwDungMQ&#10;HDoC2bmOaGoJRdfMGMzojUFrB+Ow2/2MSfdynRjEODAWxaXe6JyRwANeKudnPMorvfnZIXByuZnt&#10;3IHI6GGck86YMTsScxfGYd6iWLR2BmPypFsYv+7mIfp+zufxjBUBmDUnBfMWpqN7ZiyKStzg4zeA&#10;8/wWePncyTojUVXjiVlzY9hGPNuKxfQ6b4wbez1j0t3w9xvEWDEZ9Y0hmDM/DfMWpKG9M4pjmApP&#10;73vYn1vY3t08eI5jHT/Mnh+H+WxnzsIYZOfZY9z4G+Dqeg8ZDyEbe7SQ27wF6Zg7PxXNrWFkOpF8&#10;74Cz6y0ICLoPmdmT0NwehLkL4jF/cRxmLYhEeNRoTJzEcbvfR97DGWtd0NEVi/kLMzBrXgpjVwCi&#10;Y0ezjdu4/t5KTvcjv9AeHd2hmLOA/WE7PXMYPz3uo61ug6fnQLY5CmVlnjw4J3Dc6eiZlcADtA9C&#10;wobBmWzcPW+n3YagpJyMeyMuMm7vDmE8vhWOjnfBy3sgfWQsqqr9MXtuch/jONrOjZvqgXByupmM&#10;7kQU+1Za4Y7OnmjMnBPHNiL5d2+MHXcb7TAAHt4jEBFji8LSQPpUAqbXx6K4PASxiY7ccA+BneN9&#10;3JsOY6ydjPRcb5TST6dVhyN/WghjqRPGTBpEXx8FF6/xCI5yRGJ6ALIKIljCkZjhD78Qe+5dxmCK&#10;4ygeOMbBh3+PTvZGcnYQ4tIDEZMWABcf2spmDPe1k+DoYcs6rgiO5iE3wSLc8Q/3grOXPSY7TjDF&#10;3m0K97VO3CP5IDzBHxGJ/giL5z7WaTIm2E3gzylsx577YXeExgawnSCExQXAN1RfntlyfRiPKU4T&#10;4OQ1BX7hrohK9kNsWiDiWCISfbnPHs06Y2HvMgHuvraITvRERl4YsgojkJYTzL+7c26PhZ3T/XBy&#10;Hwr/kPFIz3FHOed2Q2sU6tsjUFTmg/Hjxfg+7g2GIC5hMmrrgzF7Xqrx487uaOQVOMLb917uLW6m&#10;H9+FxOSxrOPDOrFmPsiPC0ucMJbzwcX1XsaBIdzT2HL+0if6/Li1PRyp6VPoM3ea+eAfcC8ysiYy&#10;lgRc9L85C6L5/HGYMPFGxoL7EBwyDLl5zmjviDF+PGdeMuNGEOfjOMYC+rHbrQgKGYicfDu0d3Hu&#10;9bXTOy+C/b0fNja3MTYN4L5iJP3Ng36XwH1mOnpnJ9EffREWMZxjuoXPuh1hkYNRVOpIX7f6cRw6&#10;e0NhZ3c77B3ug7P7KPgETuFZxos2CoR3iB88g3yM8PPX4vD/lKIMcRMcXeHk64WgqEAERvkjJEaC&#10;J1vYOo3EVM49b/+hSM2wQ0NLMG3dF3Pm6UuhIZhic2sf4xGMm+7kx/cXZRjG02v8GB9G0N63Mq7c&#10;htDwQazjgK6LsSIOXbNCMXXqHdxz3cmYcz+io0ejotIHPbNTaPN0zOzl+lDuicDgwcZvPLzuQFTM&#10;cK4xrpg5O5qxXfEmCgVl3CtNHsg910g4uo3jGcQe/mFeZl7KVh5B3rSVZby/xuF/QpHAWP7mFuQL&#10;jxB/BMUGwSfcF24BrnBmbHLxmcq13QXpBcEob+C8XJKB+SsyMHN+PGKTbBEYOpZr/GRMm+6GleuT&#10;8er+Wpw634V3jjZg265kVNfbIi1zCOf7aDJ1x8OPZeC9o3U4ea4BH37ejAcfTuJZYCwSE2nr0gnk&#10;743dT+fh8MkWnD7fgbfercHaB6JQWj6e838IY8I4rpm+ePr5PBw52YATZxrw0ZctWLoyhDFkFFLS&#10;GPPLJ9OfAvH8K8U4drYNJz/oxJ63KrFoWTDyCkcjPWso1/BJWLgkGC+9VorjZyRiq8P5Txu5N/Di&#10;Pn4418NxqKy2wfLV4XhtXzlOvN+B42fb8cLrJVzTvJGVO4J1hnENt8XKtVFsv4JjasLJ9+tx9PR0&#10;ro0OPF8NQ07eONQ1TsW6LbF482ANTrEvR0414/Fnc9HW5cx4NQxZOcPR0OSATVsTcODd6di4owAr&#10;H8hBTWs0nLyduN9y/lXb/b9erL9ctf7ir/8v/Ky/7LP+ks/6iz3rL9esv8j7tV/U9S8Sh4WGc14E&#10;+/C86W1KcIiv+beERPpckjKJcM/AtTY4mPFO626YJ+OJD/dmwfQR/UeGWBQUR3Gt4pof5841won7&#10;SFfuwXy5v4zivjaRe7JE7vPSUTItmM90NCUxxYn+7st9ajyWrcrDirX5mMu1prImkH5uy7PlRPqP&#10;HdcvfyxfmYbdT5bh8aeK8dyr07gG+iAmZhzP9JNQWGzHdTUEjz5RhINHWvDOkSY89UIx55ov/XMk&#10;MujHFdOnYPmqMLz+Jn39bDPnQz3ncS3P0y4cyzBk54znXLbHmo3R2Pt2tZlTR0+34OkXCtAxw41t&#10;DOVYh6O2YSo2PBCHfW9Xmfmw9+1KLN+QhpgkB7j5TubeZaqJLb9mz39PcfLzRnRaKDKLY5BfEYPc&#10;siDue6YiiHv/hJQJKJvuiQ1b0nHoOGPFWcaKL1qwflM0uYym3UaR90Tunf04jiIcOd3G+dnBeTod&#10;y1aHMR6NNbGruGwC15YAPPcS48npJsaLOlz4oplM/RAfPwLpjF/TKidj0fJQvPx6OY6f6yC/drz8&#10;xjR+zo97CTJmzCmvmoJlK8Pw2t5pFsZn63H6Qh0aWyyMs3LGobrODqvWM57sn85Y0oFjZ8j4xQJ0&#10;znQ3dsog4xraYd1GxpMDVTh1tolxshEHjkzDtAru12K5v8mfwDYdsXlHIva/V2fi8aETzXj4iUyu&#10;tw7s7xCeEUbS55yxbWcKDhyuxbuMyW8fno4dD6cxHk+h74zlTxv6pwf3WwlYsz4PD2wtxsLlWWwj&#10;AinpTuyzDX3QCekZPjy3RTJeag8ezbU1xvxHH4mHgoK8EBLixbPBr8+v/86l/y/prb+Qt35hZP1l&#10;fP8vf/4zv+ixxjXFM8UxPVt9+LfErP+qosxJwcEWoU12bhr3u2VYuGgWFi+ehS1b16GxqYJ+E4Sc&#10;nEQ0NEzD9u1rcPLk2/jhh0/x44+f4siRN7FsWS8Ki1JQUMhzelsldj20BmfPHTSZ2H748QN8993H&#10;Jstaeno0Skoy0NlZi927t+L8eWVr+5zvf4T9+19C76xm+nkCSkp19qvDU09vwyefHsOP+BDf/fA+&#10;vv76DFJTI5Gdrd8p5GDWrBY8//wj+OwzZYb7HF9+eQ4vv/w4WtuqGNviUF6RjbnzWvHyq48aMRzw&#10;Eb77/hxOndrH/aMf8vOTMX16ARYtmoE9e54xAjb15+OPT+KJJ7ahtq6ITOJQNT0Py1b0YP+B5/C1&#10;RGxsR9nhnntupxGiqp26uhKsWbMA77zzmhHUiY2EcVu3rjT9yM1LYEwvxoaNi3D4yOvsx3m2c8Gw&#10;WblyFmNOkBELSrC1desqI8774YdPTDvHju3DipWzjdBQWeZaWiuwc9dqnDlLO5Dxdz+e5zM/Ntnp&#10;xKe0NBMdZPzYY1vw/vuHLzI+cOBlzJnTirz8RDJOMyK9J57cig8/OnKR8TffvI+MjBgjGJs2LduI&#10;/Z577mF8+qn4fY4Pzh/DI49uZfzMR2R8GPeLsUjOpN801KCyoQ4pufnwDouCvef/ucw7U1y5LwgK&#10;R3hiiulPQXklz2IJRujvFRjE8268Efy1zejE1p1bWbZhw+Z1aG6vR1Iax5MWw/1mPlauno89e5/F&#10;ydMHcer0AVz48Ax9ooT7A67/9OP2jho88sgm2tnC+IcfPsbBg69i3rx25NNOxSU6F9dg9+ObyVh1&#10;aG/D+APjw2JcVpaFnp4mPPPMLiPmBD6jH57H668/RRvWcJ2Rr2di1uwmvPDiQ/j8C9X5EN+znfMX&#10;3jN7lNzcJFRW5WP+/E68+uqTZh7IVp9yXjz11IOobyzl+hDLGM75ML8djz+5HcdOvMUxHcTbB1/D&#10;9p3reW7yRlxiFLLy0lHTWG1EaY89+TDXku1YvWE16lvqEZ2g31FzX5Qch+zCPNq8Dm093ejonYnq&#10;piZEJCZhqrsXHL141vAPgmdwOIJiEugP0abYefgZ2/yazf5vKBMc9Z8DPYyo0zUg1PhfRFIqUnLy&#10;WHK5tnjA1TeA580wJGVmory2Fq0zZmDeksVYsHQRptdPp2/GICw6DAmp8SicVoR5i+dwf7aC+5tV&#10;3B/QDo3TEcBzXVRMOPeaibRpEdo6mjBnXi/mLZjFfWcdcnIzzPthEcGIiY9EEuvpOuq8gmz+zDIi&#10;xwjaMSDQj3tfiS1/viZY18h/rfT/gttarHtwlf5ftlu/8Laus9Zi/QK8/5f3P/8y/NcFGf8QYfz3&#10;KNaMbW4BYQhPSDNCN12VWtvSifLqOp7HcxCfmEx/K+QazDi6Z48REX3xxReMTeAat5VrZySysrJQ&#10;Xc14s3Il3nrrLSN0k0hNIrY1a9aguLjYZLKr5VyRYO3AgQNG6KaMd1999RWWLFnCvWgI8vLy0NjY&#10;iAceeMAIkSRyU9m/f78RMRUUFDBO5hpxnZ595MgR875ETefOnTPXlUr0VFRUZMRNEtWdOHHC9EXP&#10;U2a9GZyraqOwsNBk35OoTtn31I5eumpW4w0Ji0B8cipyi0oZN9vR2TvXiBKziysQEptsstNJIPhr&#10;XP+rimzlHhjOOFSEps4eLF21Fjt2PYyeWXO4b+M+h4wlKly1apVhJjuIrzivWLHCsBFjZRfcuHGj&#10;ESJaGWvcixcvNoxzcnKMHSRSfPPNNw1niRP37HndZDQMDg4y2Q2LigrR3d2F5SuW4YFNG7F02RJ0&#10;dnXw89lc02K4P+PZOjWF62OpEY81NNajuaXJXBcbGxfDcwjX8ZgonveSuC9SkppqU6e9vQ0VFeXm&#10;atmYmGie5+O51ynG3Llz8PTTT9F/9rNPh7m/e8KIJyWynDZtGtfseeYK2wsXLphxyyd27txpmMhH&#10;VWfhwoXGDySytPqx/CQ2Nta0pbrLly8345bPqM6xY8ewfv16jqPMMP6lr+tZ3377reEexnVB/lVf&#10;X48NGzYY4Z34qh39WUI7+Z6VsXz90KFDJvPjd999Z+aXxHvW+VBXV2fmzHPPPUsbHcCLL76AzZs3&#10;mSySKSnJpljtsGHDemx8YAO2bZduYTZS01IQEhrMfSnX+uwslJdPQ2tri6nb0dFumCea63q5zkXo&#10;P9ixXk6WKbl5ObRdMmJox8AgiewD4Beg/7Cl82Pwv2mt+OV68a+tGf3Xjf5rR/81xFr6ryXW9aT/&#10;mvKPdeX/nmLvGYCxU92//+nf3CWGe7pP8vbvf0kcl5hejQULdjMwPseN+UO48qoBuOLKQfD0SuNh&#10;by66Z2zCvPkPMag9YX5mZLbi3vtccONNk+j0DCbl8xnsJHB5iO08jvXrXuWEmou//PUO1hnDSVLA&#10;g8YSTuatmL/gYSxb/iSfs42H9Gm45dYpuOseB4SGlaK6Zhm6urbxUPcog9OTnNz7OMkK8fvf38bn&#10;OSAuvooH+JU8WG/nof5R005H50b2MwM33DABQ4Z6c+LWob5hFdraN2Fmzw4jtFqx4lmMGu2Dv10+&#10;AKPH6WBQgcLSLlTWzEVlLRezuvlGyDfJNgS33zsZYyf7IzRKAr96pGU3ICu/hYtfG0orezFgqB1u&#10;vWcsJtoHICgiC5EJRUbgl5BRiYT0CviEpGDMZE8MHGFvhH5egUkIjsqGxC1B/BkSk4vAqCzcP8qW&#10;dWzNdZcSJPqFp/HfM/l+NutlwsUnGiMmuGHwGEdMdgyEe0ACfMPSEBCRadoJi8uHR0Ai7h0yEfeP&#10;tGewCOVGPM0IDuPSypGYWYWYlFK4eMfi/uGOGDTCCU6e3IzHFiKlT7io7FvTqmbDwycF1908DPcP&#10;c0BQKDfWRe0mg1pz22r0zt6KlrY18BDjGydg0GAP2qEWdfUrjRhJgqZFi57A1m37MW58CH7/h9sx&#10;fISydDTRBmswe852LF6y29iqqXkVbO1icO11YzF2XDDrtKKhaQ1mznyQC9ZjbOdJLrR7cfMtk/DH&#10;P91lhE3KqtbRuYFBfCeWLH3clMqqBRg9JhDXXDsGNmxPAqtWZVHr3WX8eNmyZ9jWU7j66kG47PKB&#10;cHXjolg+x/ixBFby44WLHmFg78T997vj+hsnGpGUBHId9BurH69Z8zIXlxW49NK7cN31Ixn887gw&#10;L6Zfbbnox3Pm7uACXo3b77AzRaK66dVa/LnwzHmYfvwEx/QmF+9q/PGPt+HOu2y4kEwzIrbeWdv4&#10;/qPcNDxl+ubnn2sYK6tbbNx0Ml6BGd3byUbz4QlsI+MpkyPwO84HZapLTWtAS+tqI9SyMm5uWW0E&#10;dWI8anQA0tJbOGd+Ymzm1aZ97KsN/vDHO43wKy+/k/2V4NDSjhgr492YsUG4+hoyttUVXTO4YK7n&#10;HFY7fNaSZwzna64bgr9dOgDKNGcRsVnEcGpjwcJHaJtu4zPX3TDOZJgrLZvLBfcBzJ5lYbx61Uvs&#10;31pcdtndtOdwHthyGAcW/YLxg5zXtbjjzqm47XZb+Aflo6JqCf1ii4XxAjJ+4A0u4I30m9s4tsmI&#10;jCoj4+WGsfohxjNmbubinc+YNAH33e9qxIW1dcu5CZCtLIy3bj1ghJRiPHiIG1JStVH7ibHaaWld&#10;a8R9YqyMgKlpzRzDajK22upJbNmyD3ffMxX/TMYTJwXR1zrQ3vETY/mghJ1jx4UYP55sE8U63Wxb&#10;jHcaxkuWPM2N1Au47rph+Ovf7oOTczz5zTIiTCtjxUEJAQcP8aSPjoOTSwo3iHP4rAc4ds2Hx/m8&#10;J7nBWsvnDKSvj4SndwryCttRXbsQ0+sWoqF5GcqqehESkY+BQ5xw76CpcPaMR3RCqRGxJmfUIDW7&#10;HrnF7fAMSMYdA8ZhyGgHOHpEICA8nTEpnTEpi/EpxVwLPMU5EMMnOWPkFFdu1H1h4xYIXS2s7I8q&#10;/Re2/9eKsuKNtnU1Rdcq27oHw8Uv2hTPoCT4hWX84jNGaPGEEa/bu+SoSNyuzK8jbZxtVfj+2/0/&#10;4+Tj/diyNfGM4/bgEo+hw65CSrIT43G8EVgtXpqDZSty0dEVxfV1EG65jXWG/wWp6ZPQ2h6K2fNj&#10;sWhZPJatScCSVTHwCxyMS35zCf34Jm7oPdE1IwnzFmZgKdtYtiKbMTwAjs634qZbLsGESdcY4Uzn&#10;DIvYYdHyBKxcl8if0Rg+8hr8+S+XwNnlXpSWBmBmbzIWLM7E8pW5WLIsC2XlHhg7/ircfOsljCe3&#10;MWa7o3tmJOYtjsPiFfGmnVkLwnDV3/+Jc++38PMbwTkUxkNfKhYtycKKVXlYuDgd2XkOGDTkjxzX&#10;P3G+D6Sf+2LmrGjMX8L+rEzA8rUJaO30w2/I5u67/8x9yGTGihjMnpuORUuzTH/mzEtEQtJ4zuHf&#10;4O57f88D3Ag0Ngdh1txoLFwazwNnAvnEo3iao4Xx0CsZf6ZyHYrD3Pk/Me6cEW1EHLfefgmGDPsL&#10;UtJ+wXg1Ga+ORWjEMNPOhAk3Iifbg3M8yYh/li7PMaWxmX7idrthM37i35GbPxWd3eGY08d4xboE&#10;/ozCmHE34E9/vAROjvegpMQf3T0pZPIT4/JKT37+GtzIdmSz0jIxjrjIeAUZz1kUxljyB1xz9W/h&#10;6zuc61koGacYxstWWBjn5jti8NC/GMZ+AQMwvcaH9oyyMF5BxmTTMSMA//TbS3DHHX9EePgE7sui&#10;LIzZjoVxEpJSJuCe+37HPeDvaAeJDILQO8fCeEkf42lVLobN4EGX8QAsoaCVcTbbycGMnhiEhA/F&#10;bXdcwrXmT0hMHk/GEiXGYGE/xlFxo0w7Y8Zej8wsN655iRcZL2M7TS0hcPO40/ix/DAnT0LBMLZD&#10;Wy2Px3IyXkw/njTlVvzzP1+CqVPv4oHTj+tKMuZfZJzJtcmb8fxa085Ux5tRXOqKrv6M1yfyzxG4&#10;6eY/0pd/C2/vYdzThBjGyioiv1m0JAMFRU6cl38j49/A2/ceVFV792PM/qxJRFdPIPfHl+D22/+I&#10;0NDxqGuINBlIrIznLUhBcupk3Dvg97jjrt8hjH5W3xhIxjGY38d4KRlX1bobNvfffykPyXZch2LJ&#10;OOMi45m9sUbUJMYDB/2Rc2Mc7RBKG5Kx5gMZLyXj+ORxpp3RY67jOcGVMSYRcxf0MWaskO+7e95t&#10;/HjUmCuQmW3HOvRjK+O1iViyIgb2DrebcdnZ38H1zZc+SsYLM9lOLku2EbJNsb3eMLa3vxFFJS6M&#10;S2S8qI8x25m/NAK33/kXXHHFb+DpORgVFcHo6SXjRVbGmSgsdmZc+hv78xt4+dyNyulemGEYx19s&#10;p3t2EPdul+CWW/6AkJBx3JdFYNacnxjPX5hqRH73DvgD7rr3r/DyH4ukTB8kZihTThCikgMQEqeM&#10;im4YOsEOY+ycLsbq/6oybqoz1xhHjLHVtY8uXJu9jYgyPjMQ+dNCUdUYCnvnIfjrpZfCxuZOZOd6&#10;cQ/KmLNAjBVzshg3/bi/vtEwtrG7gaxc0Ml4PFeMaSsL40jcc++luPyyS+DmPgjl5UH0FUvMEePF&#10;SzONsHjk6MsNYw/Pu8jY0zCet5iMVyrmJKBnbjD+wrXhppt/j+CgsdyXRfDs8XPG6Zk2uG/gH2jT&#10;3yEoZAhq6/3QM5txXX7MuL5sbRzqW7yN/w0Y8BfExtrwzBFLH01jP2jzVblGzCtB8O13XmLaio0f&#10;Y8Qq9c0RqGWpalIJQ0ScPf5+/U0YNW4A/ENceMYLRkp2GNJyI3i2CkdEgq7amcSz10CMmjgIPsEO&#10;SM7y5dnKl2e4f3mFxVh711br+m0pbk9wDed7ljLa3vWC1vXl61LOr99Uih2PluKFPVV4891qHDhS&#10;DjuHu7h/+z33mpOx8+ESvHu0E6c/7MZHX/Xi3Ccd2LQjinH4Wowa9Ruu0ROxc2cJ9r/dghNnW3D+&#10;sxYAM/DSG1lcF6/g/viPqKx0xZPPVOLQyS6c+7gbn3zTi+MfNGH+Mi9Mdf4b1/o/o7raDbufqMQ7&#10;77Xg1PkWfPi52plNjoE8p/weI0b+nXM3CC++Woujpzvx/qcz8Om3vXjnRA0a23mOnvB77lmv5v46&#10;GM+/UIt3j7Tg7IVWI3AB5qCsYjIuu4JrlcttWLQ4AXv2NeH4uS6c/3yG6c+et0tRUDqU8/MSno1Y&#10;Z0kiXnm1AYePNePsRy345Cu102MEln/96yWMf4OwfkMW3nqnDSff78KFL2fiI5ZnXs5GQsqdPDNd&#10;guiYgayTjb1vNuPoyRZ88HErvvihHZ9918T18HZceeUlZDwBDz5UhHeOWBn3cGwd2PZwLAJCruO4&#10;L0FW9lg8+GAx3iLj4xcZd+ONg3kYNuLvuPXW33M/48w9Sz7WbilF51yuC41JiM0IhVugfjE39Wf+&#10;8d+5KAukBH7DJ9lhkrMD/CL8GNeijaBpWkMiGrvTUFgVAd/QURgx7jbGvzFo60rAOvrxE89WYN87&#10;1TjzURM++Kwezm53MB5fwnV/LLbvLCTjDpy+0Mf4s048+FgCgsOvx4gRlyAtYxS27SjEvgN9jD9t&#10;wY/o5HwoYjy5Bjff/DuedRyx+6lyHDrRibPGj3tw6kIz1xF/uLhfjvHj/5n7SEc8urscB9+lH7/P&#10;dj5vpq16sXl7JG659U9c8y7nGc8Pz79cgyOn5Mfd9ONZOHy6Hh09U7ne/5Fr/eXc2/nh2Wer8c7h&#10;Fva51Qis5McNzQ646qpLYGt3k9lzvLq3kf3t4ngt82Hfu+U8X41kn7mOe9+M+azz8sv1OGT8mPPh&#10;S/nOLMQlDjV+HMg96+q16din+cv5ID/+8KuZeOH1PKRm3o1hwy5BRMS9WL0mA3veaDJ+/D79+NNv&#10;W/E92rm+3mXicULCaGzdXoCDhzrIpJtt9ODC51146PEkhEXdSD+Vr480dd7a34Jjpy2Mv0cXDp0q&#10;xbjx13Ge/xaFhfZ47PFpOHS8E++dbMeDj1dg+QP5yCr2wRSnURhjM+5X/eY/q3iHBcDZ142xdiTG&#10;2U5EWJwvSqYnoq0nE13zsrBuRylWbMxEeu4EjB53Ffdwt6OtMwIvvFyHQ0cZcxgrPjSMZyMpbRgu&#10;vfQS7mvvxcpVqXiTvnVCseKLHnz0dQ9efKMAGTn38cykeHI366Rjz54mHDnRTMYt+PSbVrbTAU+v&#10;u/G3v12CuLiR2LItH2+/125EbGJ8nowfeSoV4dE3cf92CZKTh2Pzlnzs299sGH9Axt+yjRMfVPC8&#10;dAP32pdwP21LHy0j4w72txsff92LMx+3Ye2mUHj4XInRY3+HomIbPPxoGQ6804qT5+THlvj36NNJ&#10;3D//Dfdy71FX54lnn5+Owyauz8Qn3/bg6Nl69M5zoX/+mWv933jW8cKTT1fh3cPN7DP92LQzh2ck&#10;D1xzzT/xDHI91/AIvPJaA46fYTymH2tuPfdKGffikzBx8hXw8LqX+/lQrFhZgC3bS7B5WwG27yrA&#10;Nv45Om4qY+19ZGyD4uJwrtPJaG5LRS3jX1lFHHIL9GW+M/cC9ggI8EBkVADCIwIZxwN/9uV7/y9R&#10;rF+YWL8g0Zch/b/4sH7Z8Wv+859V1L5V8Kbnqy/ql/oqIcEvhQf/keLr58U1zxuRkcqInIrcvEzG&#10;KP0uqhE9PTN5tsvhmXMIfPxcTdawjRtX0U+fw5Ej75kvBI+fOMBzSB736jfz7GCLBzYtxsnTbxlB&#10;lK4uBX5gAZKSQ8xZJi4uyIh/PvjgML777hPznl7vHdrDOqE8o93A820AHtv9AM69fxDf/3CB737D&#10;Ymln8ODbcMMNlzJWpJosbx99pCtHPzXv6fXSS7tp26m4d+ANjNmpeOnlR3HhQ4mIdO3otyxq5xv8&#10;4Q86g9yGpsZy7Nv3Aj7//CzrWL6cVL0HH1xHPx7Js/RtPKOUMW49h08+Pc731OfvTK0z5w6YPeDE&#10;iUMxZ04bDh/ei6++Os93vjbvf/vdR1i8ZCbj8T305UGYN78Vhw6/hi++tAjvrGPasmWJacfd3RZr&#10;1y40Wdy+/lr9tTznww+Po76+BPcPvoW+PAUbNi7AiZP78PU3Eiz9xDg3L86cZWJiArBr1wa8//4R&#10;I5QDVzO9JDpMS4/EvWQcy3PCI49uMIy/+/7njEePvo/z8y9GoPfc84+Y5/dn/MprT3A+OeMeMi4s&#10;SsaLLz5sstz9cJHx96b8+c/c+w64mX0vNVnylL1Pgi/L6zs8/MgDsJ86GoOG3sr9cwn2vfUsPv7k&#10;GN+zMv6Rfz9s2IwdNxR1DZVYs2EVNm7dhHlLlrCsQHVTM88ckVwb7M15Z5LLf961bv8nylSvQFOU&#10;lUz/0XSUjQMmu3rCNyKKZ7tEizAqt6ivFGPQ6HEYMXEKHLz84B8Zi7CEZNZJY8lgSYcP2YznGW3U&#10;FHs4evshICoWofFJph3vsBiWWJMJzXpelNjMLTD8YnY0S3/+6zM//Xcvo22duTf1MAI1z5Coi4xl&#10;h7i0dExycMKICePhHxaKsuoqNHa00T8XYvWGjSwPYMvOTbjiap6bxo3g2lRE39+Ovfte4V7xAE6f&#10;OYtPP3uf5895XBMHY+SYezCzp5bnoZc4ZyziRmsseO213WY+TJ06FkuXzcKxY28x5nzIdzTvYDJc&#10;zpjRwHXxTkx1HIMVK2aarJZffX1W77JobvKUNqPGtBMU5Mb4sxJnz75nxLDWGKAMfCUl6Rgw8Cae&#10;gV2xfccKk9Xym28/4LtfsVja8fN34P7kt9zfReGJJ7Yz1h7D999b4rpEGK+9/jQiIn0xaPDtSEkN&#10;M+vD63ueNFkU9+17nWWvyaI0ZOjdXGfuQXZ2MlavXojHH3+Q8f0J7N79GMujmDu3C56eDhg/YZjJ&#10;arlkaS/3AGu5p1zHn5tYNrOsw1133wkb27FQdsGFi3qx8YFV/PzOvnZ2oq29Dg4OEzHFZpQR/K5a&#10;NR9PPLmDMewJlmfx+BNPYNWaRbj+hhvIzwbTKoqxdMUirFq3Euse2IjFK1Zh6arl3GeXISo59fOx&#10;9I3+yQFG27ltGm3n+ri18Mz9Os/bR1T4548s5V/61/8txd4zAA7eQRhr54yxNo4IioxD6fR6k31u&#10;+Zr1eOX1N0zpntmLyy6/AmPHjqVt5+LgwYNG/CNhmV4SC0lQNmzYMPr6VEhEJMGU/l2iHeurra3N&#10;+LGHhwfXzrVGOCRhz48/WtY8/V0iogEDBpisbhIVSVz18ccfX3yWXhKw/dM//ZMR10nAdObMmYti&#10;Jb0kxNP1sWonJiYGDz30kBGx9X+WRFABAQE8W/3ViI2efvpp7nM+MGIwvVTvscceM1nqhgwZYsRG&#10;ylxnzTBnfSkrmN6/6aabjBjptddeM20rk51eak8iPzs7O8NPoqZnn3uee5QDePOtA4bvE888Z648&#10;vfWuezFqwhQkZeQgv6wK5bVNKCivQWFFrflzaEwiRvO8PYGxPyI+5WIdZd/r6J1nMtqVllfiz3+9&#10;FE7OLkYYdfTo0Z+NW9nNqqqqMHDgQM5RT2MHMe5vT71kh9/85jcmQ9qOHTuMwK0/43379iEtLc0w&#10;joiIMHZQ24oj1mdJ/CVR3V/+8hcjMHvyySe5z9F/crAw1ksiNWVZGzx48EU7yJ79Gb/xxhsYyXPe&#10;jTfeaMRlYi7fsjLWz3Xr1hnfGz16tLGD6sieEp9ZX8o0ePXVVzN2DUVvb68RWkpQZvVRMZg1axZG&#10;jRrFM5ENZs+ebURssmd/P545c6Zh4+TkZIRuEnJqrNZxi5X6ef/99xtflx1U55d+XFlZaeaDxGwS&#10;bPYXWuolkWJGRoZhbLWDBJv9n6Xx6SrkP/3pT8Yeym4nxv3HLb+VHQYNGmREfLKD+tj/WWIxceJE&#10;XHvttaZfL7/88s/8WAI+ifEcHR2NLSQElFDwl4zVx+uvv96Mvbu72/DrP275oq5sHjduHKZMmYKu&#10;ri7TP8UU9UmiRBUJ8a688goydjRnm0ceeZjnhRdN9j2tQRI6FhYWYPz4cWTsbupv2bLZZObTVdKW&#10;NeQxrlFZuPXWW+hjAUY4uXHjhosiQJVFixcaYd/ESROgq6klwJRgc8UqriEb1mPegvmYO38elKFv&#10;yPDh8AsKQn5xMSpqalHT0Ii65hb+uQ4Zeflw8fLBRFt7uPn4I5p7ttTsPCRl5iI2NdOUAMbXiQ6u&#10;GDV5Kuw9fOHiF2Lir6NPMBx9g6Fron8tTv+jWPbaysyp67FHjJ9iBL7KpvrUs8/jtT17zb5MxScs&#10;lmv3T5/TGs859h97sZHOhPRKHlJnIyi4GC6uyTzcKVuWsj31GKGOxEj6WVQ8i45UBEenRAbhJISE&#10;FqO0TCKYzaZOZ9cm5OZ2IcA/17zv4ZGE8IgS6BpIS0YtbXzWIye3kwf+HLaTwHrJiIouNwKcmT3b&#10;TJ3WVmXLauYBOgvOzokmA1NMbCVqapcYMdzsOTvpzGuQnNIIL+9M6EpHN48UHthr0dC4rK/OLiMo&#10;kpDGxzsdyubk7pHGz9QbYdas2dtZbwfbXM62p0MZuSRyUUYtXSUp0YtEMGpLfVO2LHePVDi5JPCZ&#10;GcjKbudY1pn+KgOVrqCUwE/81I6yluXld6G9Y6OlzsxtXHjmcrIVmjruHonwD8jlBnGGyYClOrqm&#10;srhktqkjfuIcxD+XlM4i/81GBKO6yjbmH5DfxzgRoWHKqDW3H+MNPIR3clOcaxg7uyQhMmoax7Gw&#10;r84utLUqW1YLfMnYqY9xdEylEelIRKR2mprXcrPcxPFmmSxhrm4pSEisIVcxVtatnVz0V/Hf6sg4&#10;g+0kGI66ClTCRYnhxLC2bhntUMP30voYp9O+TbShRWg0a86DDLqL2ccKjieVfY43IsfMrDaTOc3C&#10;eDsZyw5inMR2Eukf+p95nejolNBoJxevbZg2bR55lLBOimHs559jeElEpDriqKtBg0OKzbjFR9eY&#10;FpeI8SZuAnehu2uzsUtAUB79LwmeHgl9jOeQ3xbTjgRHuk7Uzz/P2EmMIyLL2Mf5F+3QSjtkZLaR&#10;cbZ5lpt7EhlXXMxapjotzWuMoEqM5cfyjfiEajJbarEDGTc0rkZiYj18fayMrb6+0sJv9oO0yUrj&#10;6/JxtaOfqWmNPzFmqa5ewrkmxmlwZp89vdKNr7e2rWVfHrzo65FR5cbWsoO3TxbH2WHmrWHcsx3l&#10;FfOha2NdWMfNPYEMZAdLZjhLnS1kPJfxoegi48CgAsaPnj5fpx+TtYRcuh7Whew8vRJYv6AvnihD&#10;nyWeyA7+ARbG8vfwiDJUVMxjHQvj9rb13IC1G1/Qs9wZc6Kip/2McXPLWuPrGovYKMNcXPz0vnhi&#10;YSzRYGJSg2GsWOFKxhZfl6juQcO4oc/XJZ7UfBDjlNSGvngixjtRU7PUzCNPTzJmfyy+/vN4Mr16&#10;qbFDf8bZOWLc5+s9OzjG+dwYlZo6bm6KJxbGEgCrjhhpzsvXLbEigZv+fBQWK57IDrswo3sLmfca&#10;EaCLYoVnghEnK55YY7bqKs4rnlgZy7aK2XqG2ulo32jinWK2lbF8vaJyIRlb7CAhn4TSypQoNpp/&#10;EnWaLIh9jJvIODm1ke1kcvNjiScxcVWoql4IXa/b2r4GFVVzER1bAWe3RJNJ0sU9HmFRRcgr6kBF&#10;9VyUVPQiPbsB/iFcG9xjYOcUgamuUQgMzzWivbziduQWtyEhbTq8A9P5fjhsHLgZcY1EUHi2uVo3&#10;I68R6bkNiEoohrtPgqlj5xQCR7coSxa/TGVLbTTXL8cmVcDdNxm2jhGY4hAGZzKMTZyGgtIOIyIs&#10;q9SXLDXw9OW8c45jf2Pg7ZeO7FyJfZfxgLkFza1rkMu1ICi44CJj2c3Ek5mcd72P/qz0X+Qt5f87&#10;BazlgP9TfRtX14f8AwbC3XMQvH2HG2GXMgTMW5CJBSytbTGcD/a01QDOhVvg5Xs37TIBTW2hmLdQ&#10;mc3S2ecII5Dz9R1k2vELGIn0TFu0dcZg/qIsrkUZHF8458xE8+WQs+ut8OUzs3Lt0dEVaTIwSYhQ&#10;0xCE+MSx7McQrtGDGFNHIq/QhVwSsHBRNmbPTaP9AxAZPcqIkVzcbkVA8FAUlbpgZm8c62SarG3K&#10;SBYeORye3kMYv+7npn8kyiq80TNborpsI4ornebNGDIUrsp+5nEHwiJGoGK6Jz+fyP5ksr1Ek5Es&#10;KGSwuXbUw2uwee702kDMnpduhDLdMxM5H1zgH3g//fNW1rkdMfFjUFPvjznz+Sy2o4xrOXkOrNOP&#10;ceI4kwVP4h9xbm2PQUbWVMYlMb7ViG0SU8ajuS3kJ8ZtkUjLmAIfv/v7GI8gcxu0KhOWGM/PYFyK&#10;MFnnPL3u4Zy6Bb7+A5CZY4v2rog+xumobdQVlBbG7h4DDePcfGfGWGXCEuN0xpxARMWO4ftifDvn&#10;z2AUljhjRk8s+WVYGE/3RUTMCPbVwjiYjEumef6McVk5GYcNY3wU49sQGjEc0yo80DvHknVr5iwy&#10;LnPnZwezz2I8CBFRo1BVQ8a0tfozY2YSCorcGJcsjN29LJnhquv8LIwXZqJzRhxyCx3JeIBpx9tn&#10;uMkaVt8YahjLDu0dscjMdjBZ/OR/nj7KWjbOiAfnLUzFvEUZtEOkEdL4+Ivx/UZEmZI2BS3t0Zi/&#10;UIwzGb8j6P9T6Fv3msx5PmSckW2D9k6LH8+dn8bnhhgRmE+fH/sHjqQPODFuxbNOlrFDdV0wY//Y&#10;Psb046AhjFuO6O6JwUIxnpuKymo/xreR7Cttxf4EhShrmSd9M5l1stE7O5U8le59ONfW2w3nUP65&#10;VIxnWxjrqq6SaR60wxALY7YTETmSbQcYMZxh3KP/WefOdXeQmQ/K4hcZQ1+v82VfLX6sDH0S3QUE&#10;DTR28vIeRsZjUdtk8WPj651xyMpxYMweACcy9vC5E/FJY9HQHEQfTmU8yeC6FU1ft6VvWhj7+CtD&#10;5GS0tEUZxvPIuLklkmvlFD6DjBlzvP3uQ2qWDeNJOOtYGDc0KWPURPiQjZVxdq4DGcddZFxbF2Ky&#10;OUpUJ8b+wYOQV+BgMkgupL1nk3FVjT+iOFaPfoyLSj3IOMnEnFlkXF7pZ+KDlbF8urTcnb5uZZxs&#10;BLphEWI82LQTLsZVvpwrqcZWM8W4xKOP8a1wI+MIxZMaX8aTJOPHXTPjydgZgcEWxp7eQ2n/sYwn&#10;IebatM4ZqahtiEZCigvcvIbD3mkQnNyHcD2bzHXKFwW6cnlaNNLzghES5cj1Zwwc3EbD1Ws8QqNs&#10;UVASguqGBDS2JpmMnonJtoxtAy2Mfe9FWuZkxpMIMk4zjBubQ5GUOolzZjD7S8aM61k59ownjAN9&#10;jOsaQukHE+hXZKxslJynOflTGU9iWMfCeDoZx8SNMrHCwngE9x7KDJdo2EgwWEHGkZGM62QsWwWT&#10;cck0N7LlnFmcSX9Opq97IjRyKLmQMWNOWMRIlFf5WRjTVj2cF8Ulnlw7BzNWKObcjvAoZer0vshY&#10;z5SwMTD4fjK+n/YSY8XsYDMejaujK47z1YV7VbFRXL8DcYljjDhUmQsl8FYGQrHQOqZ47Os/nDwn&#10;oalVmTrpx3yWfDotw5bx6L6LjJVtraU9jH7O9XN+COfYv/yiSsL1vuXavHTu/nkd14/070dPlX9y&#10;+v15OHpyJh5/rgBdve4oLJ2I/CI72tkRG7YkYf87rTj9/hwcOdGFR5/IRlu3E7KL7kdm7kDabgq2&#10;bk/FO+914gzbOXSkEw8+zLWmw4WxaCL3R3ZobHPHjoez8O7RLpz5YC7eOdKGLQ8mo67FhvseruH5&#10;Q9Da6YxHHs/DoWMzTDtvv9OCjVviyNQJOQWT2Y4tOnt8sfvpIvZjpunPvoMNWP2Aru4eR9+9l88b&#10;jp45PnjmhWk4drLX1HljXy2Wrg7hWjMV2fmTuY+agjkLg/DCq1U4droXp87Nxqt7q7BweQBKK4cj&#10;I+deFJWNwsKlIXh5Tx1OnJmNU2dn4aXXKjB3oS99fgqyC6ZwXzgZS1ZGYs+bDTh5bg5OnO7Bcy+X&#10;one+B58xhPu9+zCtaixWrYvBmwea2Zd57NNMPPlssYVxGdmQcWW9I9ZuTsRbB1tYZy7t0I3HnspF&#10;+0xn7isHGcbV9ZOwaVsK3n63w7A5fLQTOx/LQEsnGReLsT0aWt2w/aFMi6iOjN8l4+0PpXIfZku+&#10;A5CVN4g+44hdj+Zy7M3saytWbizCdO4hkjJdEBZrj+AYB8SleaC0JhotM+jDs3JRXpeIuHQ/+IU7&#10;wD1A2btsEZ3MMZZH87OMj22ZKKtNRFK2HwKjnOEd4oiASAf+3QeNncmYtagAy9eVoYf+XtXgh8SM&#10;idwHD0Vi+jj6SCDHVYxX32jDwUMz8ORz0zBvsR/3uTZkPBnF5WIcgdf31ZPxLJw804PnXynD7AWe&#10;jFNDkUHGpZVjsGJNFPbub8Lpc3Nx4lQPnnquBN2zPCyMC+1RWaesZQnmWl35xNET3dj9bB46Zrog&#10;p2iwaWd63SQ8sDUZB95tM3UO0dcf3p1Nv3RFPhnnk3F9iyu27Mq4yPidY+14UIzb7cl4IP1rMPe0&#10;Dtj5SA7eO0o//oB+fLgNm7Yncq+m+TAJuUVcg7q9OI8KcPj4DGPzt95twvrNMaiqn4hM+nFOwVB0&#10;93riiWdL2dce2nwu9r7dgJXrwrnmOpr5kF8yBb3zAvHsS+U4Tj8+/cFscqrG0lXBKJs+Cun044KS&#10;kZi/OAgvvTqddWaRz2y8smc65i/xJ2Nbw7iofBIWrQjnHKgjXzHupX9M4xzxRuE0Ms4h44oxWL46&#10;Cm+82cj5Mtc879kXSzFzjifnymTum2xRXj0VqzfE4s235euz6euyZz593ZX+ScY5A1BVOwEb6Ov7&#10;32k3jI8c78YjT+SSh4Wx/LiOnDbvSMPBwx2G8XvH2+nriidTkVWg/f4gMp7KGJONdw534423urBq&#10;YwlqeN6ISnKBT6gDHLyd4R5oyQz385j3v6fYuntiqpcHpri5ws7DGU4+TgiK8UZiVgRKpnMvVc11&#10;vCoGyTlcZ6InIzBiDKKTJtNugehdmIMHtldh1+4axq1MlNd4IC3XlvPFDnkldpi9KAqPPzudPjgT&#10;+9/rwFPPF6J7tttFxpU147FhUzzjiWI24wl9/bEn89A+w9Vcyap4XNPkzGekGOGiGEsUt2u34okD&#10;sgvvN7GiocUeOx5izD6kmD0H7x5ux9adqahvZVwyfmyHli5P7Hosl5/vxlm28/ahFjywLR41jZPp&#10;xwM4H4aYrHW7nyqkrWcaP973ThNWb2TsqLXE9awCni1m+OOhx4vx8usttGcHdj9Tgc7eEPZlAmKT&#10;hyA+dSznsC/mLsnEhq2VeGBHFXq4D8wt9UZUogNj01T4Mj7FZfiieHo8SxIyi+KQkBUG71AP8p9K&#10;m0zFFFcX6Np12efX7Pa/q4x30H/cc4WtmxvjqQ8iEsK4XsRwLeS+K5f7zQRPnk94JvT36+xfXD29&#10;Tjh7SKhnuTLN0d3zQHxCdNeWrSuhsnnzSmzdtg7bWXp72lFSkg1leyoqykNraxWURe2dg6/h8KG9&#10;eGvvS3hg40rU1RajuIjnhIpcLF06E28deBlff3MeP/7wMU6dfgdbt6xC9fRSVFQoG0UV1q6ZjyNH&#10;9uL77z5k+YhtvYXVq5agtqaQ7fD8XZ2PdesX4cjRffj2e9ZhOfTeHqxcMQ/TSotRUZ6NuroKbN++&#10;GmfOvAPwOd9+cwFv7XsFCxf0oLIyD0WFqWhsKMOuXetx9sx7+F51vj6PN/c+j/nzujiuYvY3C+1t&#10;VXj88W3QVaA//vgJvvj8fbz00lPomdmM8mlZRsjR3j4dTz21Ex9+dBw//PgxvvjsDF58YTdmdtej&#10;vDwfVXxez4x6cw3p58oM98Mn+PjDk3jyiYfQ0V6N0tIMTCvj3rG3GS+/8kSfYO5jfMRnPr57O1qa&#10;q1BVlUM25VgwvwNvvvkCTGY49vnc2cPYsX0DmhrLDOOKihwsWtSNt/a/hK9YR/05e+pd2msN+U3j&#10;mCyMV6/inDz0hhGoifHRw/uxdu1S1iky7VRXF2D92oU4TDsoe9wP38sOb2D1mgWYNo2M2U5tbQW2&#10;bVuJ06cPmsxw3379IQ689SoWLZyF6exvEdtpaCg116aeOf2uhfG35/HWmy/SDt19jLnXa6uk32zB&#10;hQtHOaZP8OUX7+PVV56hf7XyWWRcnIY2+tYTT+pKVgnmPmads3jpxcdphwbWKaBNczCjuxYvvvgo&#10;TPY9tvPJx6fw1JMPo6ujxjAuK82kHRrx0suPs44Ecx/j449OGHGN2q+aLsbTaP827N37DCQ4FOP3&#10;zx3Bzp0PoLmpnPv2dPpXDvfoXdjLcXz11Qf45JPTtMlL6J3TjfTsdMQnxyIhNZ1zLQfNnW2Y3tiI&#10;6sYmxKRmwj8ixojFprh6wcbt/97MY/+3FQnUlCnOzsPfZI4LT0zlXjSOe4EIuPuHwDMgCD4hYUjJ&#10;zkZ9Wxs6emZi1oJ5aO/u5DqVY7ISRsVHcT+UiXmLZnO9ehgHDr6BN996GY8+uh3dXQ0mW5HmQ3dX&#10;DZ577iH61QmAMefTT0/j2Wce47/Xo4xxoqwkAzO66vD8C4/ik09PGT/+9JNTeObph9BJX58+PY9+&#10;XII5s1tM1r4vv3zf+PEFZUp8eBtaWypRSj8un5aJufPaseeN5/HlV5Zros+/fxgP7drI2FjOuKX5&#10;UIllS2aaK52/Y8z+4fuPcfLEQWzetBoN9SUmVkyvyGPsnWMyTX7z7QXOz49w4tgBxv5lqKoo4phy&#10;UFNTiY0bF+HYsf0mDnzHmPLuO3uxYtl8xv4CM8fr6oqwafMKHD/+NuPSR6xzAQfffhXLlvayv4o5&#10;WWhsnIaHHtoAZbL8kc/55svzeGPPC5g3p5Nn8xzTH2WsfPSRzUYIrVjx9ZfnsOf1Z8ij1bQjxl0d&#10;1Xj6mQfx8ccnTFz/7NMzeP653YwhDYZxKRl3ddbi2eceoR1OmTj6GVk/9yzjCf99elUeKqsKMXtW&#10;I1577QkjDhS/Dy8cx2OP7jDxRIwVv5ThUmK9L9gP1blw/qgRajc1VvTF9UosYcxWNkyJAMX4FOPl&#10;1i3ryLiU6+Fc7ntXHPulTw618b7cHLz/P16W/2j+88+NneQy5IWXX31bX8ar7HzkMSxatoI+mmqK&#10;rkSdNr2WZ6DFRljWM28RapvbkZKVhyDGL//QSETEJSEjn3vi5g60zphtvuAvqarjGS8J3kHhpgRH&#10;xXM+FCCrqNyIniR+Kiyv5n4qDb4hkQgIi0JMUhpqm1p5XliOFWs38Ay1mWemWdzvFyMmIQnJaYzb&#10;FVVYv3ETXnltD/btf5txdx/3INtN5jQJvTRvlGVK2bIkEJIIRuIUiZwk4NL7EkjNnz/fiJMkyJGo&#10;SdeYSmRUU1Njslwps5sysylbloQvqiNBlrKLqY4yXUlso+xjyn4l0ZNEVso8pmxZysglUVR5ebkR&#10;ESnrm7WOBDPKxFVRUWHqqV9qV+3rOXqerkCVGK+kpMS0o2du2bLFCLVUR/1+/fXX6U9zTJ3S0lLu&#10;uVqNYE5CN41bQqvnn3/eiJ40bo2rpaXFiOMk1LHWkYhHIkDVUTvKJKd/swq1JErSZ/RZK2O1qbat&#10;dST80tWbsoO1HQkO1UcrYwmgJJZStjyNSWLABQsWmLFaGUtIKLGS6oixGCmzmJiJnRiKpYR5Ymtl&#10;LOZir/dVZBP9mwRz6osywylrmQRzEj3pebKtbGxlLOGXMsOpn1Y7yEfkK2pDRULIBx980IxX45aP&#10;vfjii8bnrIzFwHqlrdoRo+eee84IpqxsJLB66qmncP78edOOxFi7d+82NhRjXYurOvqcVcyl9h55&#10;5BE0NTWZdtRvMZZgTkItPUv+sW3bNiOkUzvyY2WP+9d8Xe2InxhLSCZhmfgpc5sEhuIvNpoz8tn+&#10;dhBv+bYEZRqTbCYxnwRzYqy2JCJT9j29r3ZUV/ZVH6x2kP3lB3qG6snPtm/fbuatxq2xaT5L1Cef&#10;EGPNGfm67KAxyQ4vvPCC8V3VUTviLZGi2KodsdbfZUOxUVGmRPm6lbHV1/v7sYSFEszpGXqW+iWx&#10;nDLhqS/yY9lBAlKrHay+LjtYGSsbpHiIi8YuThLKKo6IjZ71S1+32kG+KXvLZvp7f8YSG6ptK2P5&#10;vOKJ1ddVx+rrijfirPHJTyRc1LitWSQVT6xZ/DRnlEHQ6usam3xdc19+peeJn1W4aGUskaL+XT4s&#10;xootDz/yqBHO6irpF19+FfMXLUFhSRliE5ORkJLG871+vzPfXO+s2N/RMwfFFVwfElLgExwBr8Aw&#10;hMclI7uIcbWkEvnTqhGblsN9V4K5+tneww9TPf2N2MwtkPVDY0zRHk3iPGWY/P93XanqWIs+4x4U&#10;ebGdAD5H2UT1DDt3Xzh4BXD/Hof0/FKTPbO5qxfTahrNOKLikxCTmIL8ohLM6J2Np7muHjt+wojc&#10;FA/lK1Y/lg9pXv5a+ZeCONfH+5byf/9Lv5iPSigyYpQbbx6Ly64YaIRks2dLIGMR0nTP2MINzSIj&#10;2lGGpmHDfYxYSaKKefMfhLIe9c7awkPSfOiKQWXlum/AVCOikUjEIgTZYQQuyl6kDFY33zIZkyaH&#10;G1FM76yt3GzuZNnBNjfxINUDW7sI/P6fdaVZLD+3GbPmqJ0HjTCqo/MBZOd0mgxWyjAnEZaEPBJg&#10;WfvTNeMBZGW3mMxwl/zmOiO8kIjGOia1I6FMYlK9yWBlye5VaERGEgepSDTX1r4WCYnVGHC/Ay65&#10;5HojMNFnVdQfiZ90TaWEWvfc64h773M0QpD2Dl0/aW1nG+usQGhYEfs7AX/5271GJCahjekPixhX&#10;TV8MXQspxkOHeUNXaHZzHJYxqZ2tqK5ZQDuk4Yor78edd9ugpXUdJB5SO1bGEiNJeHbLrTaYMDEM&#10;BYUzjUhJjGfP2cE/SxTWSztE4Q//fKth3dG52fRHY5JoR4wl+FLWNzGW4EuiP43FMi7ZinbIbaMd&#10;/PCbf7reiGQsjC3jEiP1T8LFwUMsjCWAqm9Yzs9vN2NSf9o71yEpqQb3D3Im4+uMCErCq55e2crC&#10;WKIwZfS6514n3HW3gxFIWsRylr6ITVPzSvahFLfePhH//Oc7oUxtlvFY2Khv1TVLIYGVGA8arCxr&#10;TWSszHE7TVvKiFdTu4h2yMCVVw/BLbdNMH7Sn7GEi8om5+iUZPx4/IRg0+ee3v6MJViajakOMfjj&#10;n+7AxMnBRsyk/lj9T4yVFWz8hFDDWGIZic0sjC39Ud8kSBs7wd8wDg0r5Di29LVjmQ+tbeuNcFE+&#10;c+ttNpAQUv6lflgZSzSYnFLHMSvbzrVGSCgBai/7YmXc1LwG0TFV9GELYwnjJDy1MNbzNGdW0Q5l&#10;uOOuKfjDH28zPmud3yry45raZcbOd9xpb+wu0Zglq1kf41m6rmAJ7ZCFq68ZhhtuGoumltXsp96z&#10;2EuMlXlSwiqNSXNdwsaeXglDLbFCjJX5z8klDn/8810YM87vZ4zlxxZR3UxMnBRBxpONIE62Ux/m&#10;zVc7Dxo/zi/o5FwJwm9+ewP7nmPGYWUsX5TIVNn2FPvUHwnwdK3szxmrTj3t4GoYK0YaxhyPpZ1t&#10;xpeUUfDe+5xx511TTdzoz3j2nG2cM6tph2m0gQ1+94dbjPDMytfKWKJUiTrVxsD7XZGUXM+xbujH&#10;mJuN+qUcS67JbnjNdSPQwDhlHZOVcXnFAsbPNDOm0WMCjFhZ8UFs1I4Eb+WVc2mHBPzlr3djxEgv&#10;xrYNF9uQ/4lxYVEvJk+JNPNBWSAl1pMg0cq4m3G9sLCLMT8Ev/3djfD2SUd310+M1ZYYS1Q3fIS/&#10;6Y+u9ZVAdzZtOc+w0bM2ID1D/9POw8QKzd9fMlbM0bXB9w1wMXwkomxqXm18RmOaZRivYZ0K3H2v&#10;LW1+s5l3akM+o5+KFcoeGBJaYtoYMNCF60Atn7/ejMe0w3la37AMQUF5uP6G0bjyqiH8u0SqlrVK&#10;PigBruwnofVtt9tg5ChfIy7UOic2uu73l4K4sVPdP/vFQj+9b7n+1dcvBXHj7B0euvbqS/is67B0&#10;ZTJ6zRWfyZi7IM2IpPIL3DHF5kbOz98YQVJtvRffT8TCJRJqZbDPqdyMeGP8+Jvx9ysv4Xoz0NLO&#10;PF2Dl4I5C1KNGCkl1Z7PuJIx+XcIDh6I5rYgzFucbGlnoQRLSYzrzhgy+CpcdeU/IS3TBguXJmA2&#10;25Fgac68VPp+FOPJeMb+PzE2/ZGMR5vMZwvYzoJFEnFkcHMaj8jISbjzjj/j2mv+GY3NEqfFYu7C&#10;RLaTQnum0FZhCAgYyjnzTxg15m/IybNFz6xoLFiSwj6nY/bcTM7XKPj5jsJNN/4Wt932Z/KIMZmy&#10;5i5MYkk1gpmKigDOh3u5Vl2CyZOvQlm5C2bPl4Aj1bTTM0u/uAmFi/MAXHfdJRg+7BqySTLtzFso&#10;xrq2NYFrridsbG/CHXf8hnPnJlTXefG9hD42ZDwzjZthP0yccCv+fpWyK92HZWI8Jw5zxZhsJEZK&#10;z5jKeXkV7r7ndwgIuhdNrYHsR5JpZ65hnIzUVBcMHXK1YZySOhmLlib1Y5yC5tZorpcTMMgwVlak&#10;keiYEfZzxi0JiIqajLvu+guuvfqfUVPvjTkLY1kSTDtiXF8fhsCgYWT8O4wY/VdkZk/GzFlRfWzS&#10;DOPauij4+4822VtuvvnPmDUvuh/jFCP8qqwKhIfHfYbxhElXoqTMif2N45gstuol4/LyMLi5DcJ1&#10;1yoz3FVYukJsfmIsQWVxiRfs7G81jB2db0RVrSfftzLWtTxpPGxxwz/ldsPY0ekuMk75ifF8Mu6K&#10;Q2amrvm8mox/C7+Ae9DYEtDHOB3KStbRmYK0NFeMoK2vuvI3iEsYj8XLE02f5y0i4/kpXIOjERc3&#10;CYMH/5Xx+A+Ijh2O9q5QC+PFZMx51dKagOhoW9x7999w9d9/bzJlzV0Qx8+LcQr5pfCQFc65NNzY&#10;e/jIPyMja5LJprVgsdikMe5kMq7HIihgDPn+Hjfd9Ef0zI40c3zuAmVuTDFirunVQfD0GmAYj594&#10;BQpLHTFrbuxPjGeno7IiHO7ug3H99cqodTnHlISePsay+YyZunrHl/tEZV1VtrsbUFnjwfc4H/rm&#10;+IyZ6SgqDICtzZ242mTJuQ3LVpExnyXGEht1dun6GGeMm3ANY+lvuXbezbXI7yJjzYfOrhRkZLhj&#10;5MjrDOPIqNFYQsaz5lsYzxbj9hgkxE/BkKF/Yzz+A3RlWVtnCNkkWfpDxq2tiYiLtcN9912Gv5Nx&#10;WYUb24/j5y1+bBg3RSA0dBTj1u+5jvwJaRkT0d0TeZHx7HmZaCDj4OCxuO2WP+DGG/+Irt4wfvYn&#10;xr1kXF0TZGLjHXdewrFdjoJih4uMNa9mzclAVWUEfX0obrj+N7jnnsuwaFkC7dXHmH4s4WJpmS99&#10;83bD2N7+OlRUufM9K+N0rmlpKC4KhL3tXfQbxaVbsJSM9SzNKcO4O55rtwsmTLjWMPbyvgP1jf5k&#10;18eYbLrIODPTE6NHX8+16hLuJUdi6fJktsNYQVtZGScm2XANvpSMf8+1czBaO4Iw/yJjCaoTER9v&#10;b3zm71f9jgd3F7L7Ka5LMNfYFImw8NG0wx9orz8hOXUc52NEn//Rj8m4sSGOdhiP2279I/n8kXMx&#10;lH0RY8X1VCOYq64J4T5gkGE8ZtylyC+cauKA4rqV8fTqSHh7k/ENv2H8+hvfi6cfR7MN2YpxnYzL&#10;pvnB2flOw9jW7hruadzM3FuwlLGrj3FpSRCmTr0H13DtHDf+Jks8JmPZW2JCMc7Nc+Ne8nruf39D&#10;u95Oxn7mOQuXpHI9twjilDWt/3qs8i8Fccr42r+ORRB34mzFJyfP9eKNt9o4tkhMsb0GN950CdZv&#10;icEHn7fg+LkmHD/bgUPHuvDCSzVoafPAVKe/wcXjb4y17th3sNJcW3rm/AycONuLF19t4NnJBwMH&#10;/hWjx16Fx5/PwPufteDYuWYcO9OJ94524fGnpqFk2mQ+648ICrseK9cF4+CRGpy50IXTF3pw7FQv&#10;61RwTbPlmvcb1hmIVw8U48zHaqcVx0534uDhTmzfmYeUtCGM6f+E5PS7sP2heBw+2cj+dOHU+R4c&#10;PtGD7Q8WMH6OMJmwistt8e7JKpy8wDG934ajpzqNOGfNuhSEhN/Gdn6DorLheOK5LBw908y+sJ0P&#10;eo3wZtXaNMbqu022k555Pjh1oZ59aSSfdpMd6Y19zfTJCHj5Xo0pdr9DXfNkvPRGET/fZtiI8d79&#10;7Yy9MVxDrse1XMvXbooybI6TjWF8vNNkv2vr9Ob6chmc3f+KmXNcsfftco6pk+304OTZWXj5tUae&#10;X/wwmHFp2IjL8MhTafjgM3I5y3b6GD/xdLm5HlGMA0KuwfI1AWRcbWHMdiRqeuKZKhSVTmW8+S18&#10;/e/By28V4qxhrOxdnRx3J3Y+lM991FBMmPw7xCffiS0748i1AWc+tLRzhIx37CqGrqJVJqy84kk4&#10;eKySfOQ3ZHy6Cwfe7cC6jakIj7zdMC4oHobHn8nEUfZX2doM4yMzsHZ9htlzKHNjZ68XTp4n4/fV&#10;Dhmf6KSPtnA/Fw1vv2sx2e63qG2YiBdeLzS2PH2+Gyfe78G+A+2YvyCW564bcRVj18oNETj7KX3v&#10;rMWP1c7Lr9XxLOILJ9fLWf6C7l5n7D0wrY/xDDKchVf2NDE2+XO/dRkGDv4Ldj2Rgg8+7cf4WCee&#10;fLYCVdX2sLH/M3wDr8aSlf44cGj6RVsdO9OLp56dzljghFtu+R3cvO7Ai3vzcfaTnxi/e7gLux4u&#10;4N5mBM/sv0Nswm3YtD0ah07Us40+xid7TZbG1PQxuPzyS5CVPx4Hjpbj1Id9fmwYt2Pj5nRERN+F&#10;8WScWzgYjz6d1ufHFsbvHplpshUGhw4wjNtmeOD4B3UXGR+hH+/d32oypvr6X4dJtr/F9LoJeP7V&#10;ApzgvBPjk+/34q2DnYw/8XB2vRlXcL++bF0Yzn3W1I9xF155vZ5rTQCc3S7HVOc/onOmI/bsLzPX&#10;jZpYca4Hr73RbGLXqNFX4J4Bf8KOx5IssYLtKFZIQPvMC5XcyzrCdupf4BNwJRYt9yXj6ouMJfR7&#10;+rkaxldX3H77H+Doeguefy0P73/SynnFttjO8y83YQ73IJHxEzHe5la4+Y1Cbpk/CitjEJcZjriM&#10;CLgHB8DG7f+sUOo/u9h5esHW3QuTnJW5xMlkcJ3i5g57/rves/PwgnuQP1z8fVlPGU7sMd5hKuy9&#10;froe2yMkAMGxIfCNCISDF9eVyZMxbqodfCN9EZIQhOC4IATFBiMwJhhOfj6Y7Opi2png5AgHH08+&#10;g6Xf88RYV6X/Wn//JxaNyzXQDy5+nhhrZ4shY0chISsA9V3c5yzJwNK1hdj6UCXWby5GeTXrO14O&#10;d+9LuY/yxFvvVDIeW+bDccaK51+u4znIE/fe+2fG22thFu5+r1+eu/X3b745Oez7785C5YfvP8SX&#10;n5/D3j3PoKoiFwMH3IhJEwZDWYO+++Z9Iy744fsL+PjDY3j+2YeQkxWLkSPuQkZaJPa+8SzfU7aP&#10;L/nzkz4Rx4PITI/ETdf/DRmpkcCP3+GH75T57BM+7zzOv/8edu5Yi8hwjn30faitKsCRQ3vxww/K&#10;ZPQF63xiBAY7tq9CaLA7rrz8n42AwzzjB10D+jG++fp9nDn1NtasmgN314mwmTwMc2e34v0zElV8&#10;yTqfG4HG2dPvYOXyWXBxnIDLL/tn7H9T/dVVox+zXx/j66/O4ujhNzCrpxGTJw42bW16YCkkWFHG&#10;N10V+s3XF3D4vT3ondmI8WPu5x7wb/ju63N9bD7Gj+T3+WensH/f82ioK8KYUfciONAFT+zeaj6r&#10;fv/4w6f46suz2Lf3OdROL8CggbdgNOsps5qlnU/Zpwv45KNjeOmFR5Cfk4BRZJyaHIbXX3vqZ4w/&#10;Y99kh+zMWNx68+WIjw1gO9+Tm65a/YTjFuNDeGTXBsRE+RrGleU5OPTuHr6vDBwWxh+S8S7aIZx2&#10;+PuVf8K8Oc18/yvTj4uMTx/EujXz4eXBfdekoYbB2TPvso7YfIbvv/2If38Hq1fOhZvLRFxBxq+9&#10;/BjfF+OPTDtfc9zHjuzFnFktxk6ujuOMMO+Tj5WdT2w+M8LFY4ffxOzeZkwYp/P0X/EFmX7/M8Yn&#10;ceCtF9HUUMox3YsAfyfsfnQzbXiedSyMJbzbv+8F2qEEQwbdhiGDb+d4v8K3bEcCP/Xpk4+P4+WX&#10;HuN5MMkwTowPwisv7eZ7tIHxsU/wORm/+PwjyKMdbr/1SoSHerCdHy4ylh9f+OAwn/8A4mL8jc2n&#10;labjnYOv8v0v6Fti/BEOvv061q1djJAQX9x8y3UoKMrh/ulJbHlwM1atX405C+ehs6cbaTnZsHVy&#10;wjgbO3gGhiAuLQspOQUmk5iEWsru5uAdiPFTXTF8EvcObj4m89r/pOxrylpn7bMEaF4hUVxDQmHv&#10;4Y0Rk2wxkfFdGdOSc/JQWFGFgvIKZBeXIi03Fy7eXhgzeRL8QkJQUVeLjp5ec8XnynWrsXj5YlTX&#10;18Av0Ae333kzsnJSuY94FS+9+gzefucN7N//Kt5880UsXdILP19HTBg/2IhiTx1/29hK5XvGhPfP&#10;HcLGdYvg42Vv/PixRzbyPfoEfc/48VfncOLYPixa2ImpdqPgYD8Ky5fNhgSdP3I+gPNBIt0Tx97C&#10;wnkd9PURuOqKP+ODs28bf1HMUabJL784g3ffeZl9qMT4sQPg622PXQ+uM75rmQ+KFefxztuvoLW5&#10;AiOG3YW777yO/veZiTvyPwnHPv3kBN54/Qn6XSb9+G5ER/rgBfrs99/pOWrnE3zx6Rm8St8uLU5n&#10;G9eaOapY8d23lriufn144QieemKbiTVjRt1Nn0/Egf0v8fOWmPP99x9zzpzA449tQUJCMK7n3Kyc&#10;lsN2vuN7jBWQGO483j/7LrZuXoGgACfO4fvZ93IcP7afbShDk+bDx/iAjDdtXAp/XwfG9T9i+9YV&#10;nHO6MrIvrpPxyeNvYenibjg5jMFUW579F8/kXJN42RJzvv3mQ9ruABYv7Ia97Sgy/hM/s8+MxcQK&#10;FsXaQ+++hq6O6WQ8EF6etlxP1hjxszVWfPPl+3iX87WjfTr53cN5fhXHxLF8YxG5qU+ffXoSb77B&#10;dbEyB6NG3o2IMC8898wujlexTbGSMeezs9jDGF1RloV7776evjHawvgbS6z44fvz+OjDo/ycZV2U&#10;rVYs78HOR7ec++Uc+bcI4ngG9/m1z3366aev9/8iXqKWa665xghK9LKKZCSakBBDAhc3NzdM5t5M&#10;dSRikghERXUlxJDARZmTlBFK4gy9rCIPCSsk4pAwRZmV1JbENlbhhUQc6ofEIxLH3HnnnSbLlQQn&#10;eqkNFQke7hE5AAD/9ElEQVSNlP1JQpExY8aYKxslfLOKtKztSEwj0YrGFB4eflG8YRWLSDAjoYwy&#10;sY0YMQLp6elGXKPPqo6eJcGMBEsJCQk8d15qRC7KbGVlo58Sl0hkogxWyswl8YnGoHGLjX5qjBIj&#10;KVvbVVddZRjoZW1HzxQ/CWPc3d0xadIkcx2quKvPKqor8ZwELnr/rrvuMgIxvaxsrIwlTFFGNxcX&#10;FyOasYqMNC6Jkax2uOeee0xbYmVtR/0VSwmuJOhRVrjg4GAzRquASO3IL1RHQhtl5VIdPUeZyKyM&#10;rUIZZf4Sm5SUFDz77LPms6qjomdZ7SDGEuWoDfXD2l+rGEl2VDsS5ezdu9f018pYwjGJkZQ178or&#10;rzQCMr3UD7UjxuKnjGheXl4YP368EQhJfKQ2rIzl17KDra0t7rjjDiN+tLaj56nvyh4o4Zo9zyDK&#10;OCabyA/UjrXPEpppniiTneaEMsfpZbWVhFbybQmj1BdlmZOPWMVy1j6rjuygrGX+/v5GVKZsZXpf&#10;41Z9ta1MbGIjjvq7VaSlemIsIV5qaqphrLrWZ6gv6q98VEIoZS3UfNDcUaZCPcPKWIJKidZk68sv&#10;v9wIe/SyslF/xU9+6e3tbcYtEZtEdNa+qK7GIK7KiHfzzTcbfnrpGVbGEogpC57qODg4GIGfVchl&#10;bUd1JIZTdj6NXXPV2o6KGEsUKEHZhAkTDD8J86xiObWjPmucEu0pS6KyDson+jOW30ukqOtj9Zz4&#10;+HgjCFM/NS6rPeXbymAnNvJ1fbY/Y/moBH3K+qh2FE8kllI9K2PFKcUz+fpll11mRHHWMVnbET/F&#10;a2Wh1PyUAE9iUD3L2o7EeRKHOjs7m3GJX/92NG7ZRUItZQpUvJD4UOLK/oxVR8JPZc8cPny46X//&#10;duRnmovyBWXoU5/UN43DanP1WXVkh1tuuQWurq7GdoqlVsbyUYltJaZTlkQxkj2tfmx9luygGHHF&#10;FVeYq4P720D9lY9KQKorgeXHEqBJ9Kf3+jOWryszoeaDBKD9x6Q2xU++oniidUZ9V5+tjNWe/FFj&#10;1Xg0PyWi/GU7EvJqXZQdtJ5JWKg5Iv6/VhKzCt76+Xrt+nrfUv7vf+kX826+ytaTiNFjfVi8jeBh&#10;3vyHMXfeQ0Y0ocxwYeFlRmQlgZVEWxKrSCCzYOHDkGhLIrawcGWPi8WQYa5wcU/AjB4JIh4x7Viy&#10;lnVDV0pKMDFxUjh0TapEJRIXWOqsRU5uOwKDcmFnH4X7BtqbbE/KIKb+mIxkTauhqzbVBwkwpthE&#10;mcxYEpUog9qcecpstpJ1mkwmoilTQnH3fTYoKJzB5+y62I5EO0nJDUaooDEpq1FGZkvf2HexjrLH&#10;LWadWm760tjfINMfCY3UVxUJJyR2UIY5XQepdiTgkThKQoj5C1RnKwP5PETHKOtWIsaM88HI0Z4/&#10;Y9zdvYX8ZiM8YtpFxsq0ZBHuSOTHOjMkJuxlHWWEisWw4a5wdI4xwo35fYyVjU5XW/7EOALBISUW&#10;UQkZWuqs40TqQEhoPuymRmLgoKkIjywxAg71R4wkjJL4R1nurIzj4quN8M8iuNnFBXIlA1oz/Pyz&#10;YGMXhnsH2CA7r9O815+xxHAenpnsS5gRQiobmnxBjCVkq6tbwoWpxoj8Jk4WYzvT3zlz/3XGyvCl&#10;cYqx2EjcVFU1HzHxVayThHHjfTF8pLsRzF1kPGOLEWMq05+EZ2pHAk8Jd6yMJfDUlZQS1Tm7xGEY&#10;21CWKgnQ5i+wMJaITQIriZHs7GPZTrjhLfGdfEY219WYElhJZGo/NRr3D3JEcFgBenp/zjgzq538&#10;8gxjFYnRJPwTY/GR+Cwzq4V1cgzje+6zNX8XW7Ujm0m0Y83ipzGpT/q7xKhqQ3NHwqjklFojQpo0&#10;ORj3sh1l5VI/rIwleJVQS+IotaMsVspIpoxuFsbKHreAdSpZJwXjJvhj2AhXKJujlbF8UWJMZfqz&#10;MpbtlX3SIo56iEFOYsLZrFNGxvEYMcodNrZhffPlJ8bKWmZlrFgRGFRIxosNY41LAr+Cwm4yLoS9&#10;QzQGDVY2IWUU0fsWxhKfZWV3GMa69lWMJaqUaElZzdSOxGdZ2a3QVa22duGGcVp6g2Gs/uinBMLy&#10;W81JjUlzKyW1sc+/5McPGmFUSmod62TwOWTM+SCRlcaj/oixxIMSalkZi5EEaFbGiqfTaRddDa2M&#10;l2I8eKiziW1WxhJ8KS6IsWykdtRecYmEun2MezbzsPET45GjPDFpSpCJ5VbGVhGbBF8WPw4jg3zO&#10;tUVGyKXnSXxWyLgZSsYODjEYNMTZCEUtz7EwlhhT4mR9VownTY4wc6y+YUUf44foI2tYp80IDSW+&#10;vW+AnYmr/RnLJlbGakOMFZ+b6V+K65oTugJX1wT7kPGUKSHGVqXT5ph+qD+aD5qHujZbWfw0JsVT&#10;9U/ZC62Mq6sXsc501knGeDK+f7ATGpsV2ywxR4y1vslXFGvkfxJdFxYps94W045VjKn1ydklAaPG&#10;ePF5AfTLTRcZi7cYa53T+qJ25IsSIVoZz5ix/d8giHPr7Fuuf/XF9zf1rz/Ofurz48bexE3tUKxc&#10;l2mEJ7qesqUtDFk5UzmXhtCet5DNLYhPHIf2zlAsXJLMfifRnuHk5YKgwFGws72Tm8gbGTtssGpN&#10;BuYvTCbrRNQ3BdMOU7g+DKTv3GSuwcrKsbWISpakYPa8RNoqhIc7B/j5DqetbuOG/2aUV3lh2co0&#10;007P7HhMr/FDQqIyEd3LQxU32N73oKTMhTFLgodUKOtYdU0AEhOmwNtzCDeRt/BQept5zsKlKZi3&#10;IJl7DAlcPRk7x9BGd9JvboCugdX1khIaqR1d9zhtmg+ioyfCze1+iI2uu1y8XMKfJMxlO53d0bSV&#10;C201gpveO2BrfyPCIkegoVniqERI2GSp44HwsHFwdrqPY7rJZGVbuZZsyHjefPJrD+ecnso1gYzJ&#10;d6rDzYhLHIu2jhDWSeHYUxibI1jH1TCean8Xxo67kRwm/sRY/JpCkJ4ucbOFsZPLHYz9NheFO3MW&#10;JJpsT2npYjyCjO8wjMumuWP5Kgm5ktE7O5G+7o9Etu3tdS/n5w3w8LobhSVOfaISCd3IuDaQdWwt&#10;jCfcQs63ob07AovFmO0oU19ZuRfXYDHWVeY3MNbebwRdcyQWpM1nzorjYdSXm/PJcHcbZPpiz7Et&#10;XCJRSh/jGeRX7MZ94gjuk8jY7kaTYU5X7s5bKMYp6GKdklJPRISPg4thfDMPXoOwgmyMwIWM2zrE&#10;z4mHzaE8ZN9mGOvqw7Z2MpYfk7OuzMrNc0Vw0Ghj67G0uUSBq9dZGM+mHzc2k3GmLRnfT8Y3w8n1&#10;dqRlTjHXm6ovEuY0toTyUMy1xW8kN+l3sJ2byc8Vy1db/FhZ22rq/BmrJnINvs/4sTJrKfNa7+w+&#10;xnNVJ5CHEhv4eMuPb+Wh81b6SigWLfuJcUWFN9fXsXDvY+wXMBAVVR5GaCTGPWRcUeXLA8xkeLqL&#10;8S2ws7nT+KeVsfgVs3+RkSN5+BDjG0xmrroG/4uMu2fGsI4nD5Jk7KxfQtzMZw7kmH5i3G74cd8S&#10;YmFsP/VmxMSNRkt7sJkLYqwMenn5bggJHg2HqfcYxhGRY8mYMYdjmks/bhK/TDuuDxbGjk63IjV9&#10;Mn3BwngOn9fcEmZEiQH+I2FrGN/Edl2woo+xfLS2NoCMJ1kY02/cPe5CfqGjRfSqdsi4tj6Qe0k7&#10;Mh6KSfRhMW5qCcbiPsa9sxJQXuljYczPi7GyAZZXuhtx48KlEmHFcS/kh7jYKfAg4/FkPGXKnWQr&#10;USzZiLHh58711cr4RgSHDuE+QeIoMqbNdY1vSakXIiPGw9VlgBmTq+sALFstAWAf464IjpN+HDKM&#10;XG4n45ug6zyb235irGutDeOQMYzZFsahYaOx6mJcT0ZTq67VEuNBZi6Isa5m7uQcnk82el5zKxln&#10;OSEwgIwZ18ewnewcBzOvzHwg47oG8kuZTH4DOKabuAe5C7kFDvTNKCNkk6iwriGIdezh60PGk+TH&#10;t5jPLV0h8R7j+qx48vPlHkbp7e8xjL39BnCtdLMwJpueufHcC/khPm4KvDwGmTYmT76DY4m7yFhZ&#10;FUtKPUyGOVfXOzGFjJXZs1aZaRZY4roYl03zRpQYu8qPGSed7sFSrjGyw1wyVrbS/AJn7nPE+Dae&#10;eW5CVMxI8pB4O8nw6eyOQkEB4xIZOzrcaxgHh4zAqrU/rZ3il5WtK97EmGun0y1ISpmIju7wi4zn&#10;zguhXUPIK/jiWmwt+t/nfcu1ef1LQZyb+cL9xNlKPP1iMdsM5t7GBhFRg7mWDMCTz2fj/BedOPlB&#10;O9473oTHnsojR1/kFY1GTOLdKJk2Ftt2JuHwSV3DOAPvHm8x2Z5mzvbjPJnEWKJsgePw2r5SnP+8&#10;E6fOt+PAoQbseDiNsd4dmTnDEMt2ahps2HY2jp9px5kLM/A262zbxTpdHhz/OMaJO1jHCQePTjfX&#10;iKo/bx6swYYtXLNaHJGSPgjxSfdyfrvg+VeLcfL9TiMA2ru/Bus2JzDWu3D+j+Le9TbyD8axcw04&#10;81E7TrzfjpffqOBaGoXptXaITxmA5PQBJkPZ629V9omIOvHK6xUmO1ZltQPXTK0jt2PTjgSc+VgC&#10;oXa214pnXy7BgqUhmFYxCXEJ9yAzl/ugteE48F6dGdPxMx145qVi+lAw1zUbREYPpl3vxe5nsvCB&#10;2HBMh060YPfT+Zg1j/yKxxg2RWWjTXaxQyfI+MMZOHyi1WR76pnjz33BJO477kNy2ii8/GYxLvQx&#10;fvtII3Y+konOmR7sx3DEJtyN6XVTaJtMHDvTZto5eLgROx5Kpy95ITt3Atw97+T+xQEHjlT9xPid&#10;GjywletRqzNSMwYhjozbup051iIL4/PdePNtqx3IOGMUnMl49oJAHDlbj7Mft7NeO17ZW4lV66NR&#10;XWeHRDFOuw9zF/rg9X0VbKOLz+rEy3srGBdYp8YBickjTNbU9VvicfojMr5Axuy3su8tXBpqrlAU&#10;44ycwfxMGPa/V2sYHzvbaeygzH4SAkbHDuF+8R48+lQW3v9MY2rDoVPNePyZfMYVP+4Lxhk2hcWj&#10;8MC2BByij4vNITLe/RTtMDcARUWTEUTG8bT7S3uKLvrxwaNk/GgGuno8kZU3wrRTVTsZDz+ejqOn&#10;yZjz4R3a4cFHMuiXnsjJG8c9xZ0oq7RjfyvwAfsjm795sJbPTkFzO/llDua+7R60djrhmRcLceKc&#10;hDLd2Kc6W5O4L3BHWsYYw1hzTNerGsYfdODVN6uwen0MquvtDeOk1Pswa4E3XntTIr8unJYf0w4r&#10;18agptaJ69pIniFuw7pNsTj9oQRzZHy2zWTfW7QiDOXTpxh7p2cP4foRirfelVi1GyfIWHZYtIx2&#10;qBTjofDyuQsPPSnRa5vxm8MnW/DEs4XcLwbSf8cbNnlFI022x/eOWRgfOdmGJ57Jo6+QcfFkI9CL&#10;iRtmxI3nP7ewOci6O3dno7vXi/xGIobtlNdMIvc0Mm417bxzlHUeVVZUb+Tkj4e3910oKrXBvncr&#10;2R+JWdux7506bH4wlfsIV8YjC+Omdkc89UKehfGFmXiLdTZtT2bMdeP+jIxd7jJXYW97tABbHi7B&#10;sg2F6FmUjuziQEQkOMHFd7IpnsHuCE+UKCzYiMf+T2ce+0f5txfZStnibNxcMcXVERMc7BGVEoCs&#10;Up4HanhWbElGfkUUsop8ER7HPV7wSMQmjUXPvHA8+mQZ3jvRgX3vNeLJ54q4pwziOXIKwiLu515p&#10;EJ5+KZ9rpyWOvnusGY88qXXRB7mFo4wfl1aMw/aHkjkPWowfv8c6D+/Ooa9zfS2YaP6TjOKyWbj7&#10;vX557v6lIO7Lz0+ZL/klWCopSkN0pC+KClJhuf5O1+B9jPMfHMLuxzZhRlct8nLikZ4SgYXzOedO&#10;7Of7XxkxyLkz75osOd2dtcjNjkdIkBvmztY1t7pK6WP8+MOHOHXyLezYttKIJSQOyMmKw8b1i3Dh&#10;whHW+doIvo4feRPbt65CS1M5MtKijHjiiSe28n1dlfSpEV+8884r2LB+Iepri5CSFMJ+p+KxRx7A&#10;F5/raj8JoD7E2/tfxNrV81FXU4TkxFAE+Dni9En1V8I7Cd3O4Y03nsbyZT2oKs9GUkIwaqbn49WX&#10;d/MZukbwK3z5xTkjdpAoQ2LBBM5ZiSIs13KKjQRqx/HC8w9hwbx2lBansT+haG+twsED+lJaz/oS&#10;n3zEOs89bER7YhwT5WfEVhJOWBlfOP8eHt+9Fb0zG5Cfm4D01DDMn8s9x/F9pg3gcyM62f3YFsNY&#10;nw8NcsfMGZYvMa2MT9ImD+5YjfaWSjKOMsK5dWsW4MIH/Rgf3YcdZCzBTWZ6NNk445GHNvB9XZ1o&#10;Ecoceu9VbNywqI9xKH0ixdT5/LMzph0xfvftV0zb9bXFrBNmGB878gbfl/DuE3zzzTns2/u0ESVW&#10;VeTQDsGYXplnRH/ffqurVr/CV1+8jzdefxrLlvSY9xLjgxEW6mmESFbGEsO9+MLDxufEWLaSD0mE&#10;KNES8AU+/fiEEbGJWVlJhmGcmRbD93S1mKUdiX+epC8pu19BXgLSUsIxu7eJPN7k+xbGH7z/nhEz&#10;KmNXfm4i99sexp6Wl0XUJD/e9eBa/nslsjKiyTgaq1fOwfv8rNhIcHPy+H4j/NRnszJiEOjvjO30&#10;fUt/xPgCDh16HQ88sAQNdcVISw5DYX6yEUcpc5XakR++985r2LBukRH5WRm/c/Blvq/r4j4xYr99&#10;bz5rnl9dlYcE8isryYIyOx479jZOnzmGo0f2cw49iI7ORuTlpSMiIpD7HHe8tV/Xbu415Y29L2DT&#10;5tVoba1FVlYSoqICeLbJxVNP7sTJU++xnaN479092LXrAXR21iMvN5nnRp1BQ/ieMme8i0/pG7oG&#10;+eGHNqKb/HKyE4zvyKclPLUw/oLx5Aiekq/PaDRjjqC9G+tL+J4lVoCMJcZ8+KH16GyfbhhnZUQZ&#10;Pzp3ro8x7X6KjHftWIeOtunGz4P8Xeizi/m+YpfESBdwmIw3b1qG5sYyI/oqyEvEg9tW0V/6GH/3&#10;EcdFO2xYgqZ61QlHgK+jYdqf8f79L1xknJIUjIppWXjmqZ1GkCk//uarD7DvjWfZx9mMIwX00RAE&#10;B7oZsazaUMz58ovTePXVx7F4YRemlWZwPgQZu7659xkjxBQfCV4l0Fw4vxPlZVmIiwkwbZk4C10r&#10;rCyIR/H009sZs8UviX3mea67nmPdw/fV5y/w4QeH8fSTOzCrp8nCOMzb9N3CmHOLjM+efQePPLzB&#10;ZFfLyYox8ULi4zOMMxbGn+HMqQPGJy8yDnDFqhVz+L6V8Yc4dnQPtm5ejqaGaYxbESZ+SRwnIZ3a&#10;MVlB39tjxHCN9aWsE8m47kQWEjxoXBbGB8h47ep5Jg4nJ3JPXppJxjvw9Ze6QpuMvz6Pt+iner4Y&#10;K66rPx9/pKuSFQckJjyD18h46eIZ5JdpBK+KT3tef8r0Q4w/5/ySUHDRgq6LjFUs7Czx+NNPjuPZ&#10;Zx40a1hRQbLpj+Lue+9K0NXH+MIxPEPGEvIqPkZF+LDPWXyvb+388WPGk3fx6COcD501XBdjuKZF&#10;4CnGoF8TxI22cRvWt2z/q69fE8SNtXG+7dNfCOIkeJIoR6IivfTFv0QeEotIvCLhjgQIEspIFCMh&#10;jq4htAp7JG5THV2fKMGIxA16STwgAYrEZhIGKMuQBGYSoEgsJdGA2pFI4bnnnoMyc6mOhBXKqCPx&#10;gF7qjwQIEk9JoCHhhNqRsMsqKpGQQ3UkpLDWkcBMAju9LwGGhAoSRinjl0RnEgdJRCRhiEQl6q+e&#10;JTGaRFhqX2I5taPsbXrpORJ5qL5EE8qqJLGR2hIriSlUR1wlnpI4UKIV9VeiOGUks7YjkYdEOxJq&#10;KcuTGEsoIzuIm5Wxxmi1g8QyEnxIgKOX+ix7KJOTNcOcnqW6Eu7oGWpH7ckusoPq+PpyL0hGEm3o&#10;pXFLGCW7SNxhZSx+Er9JBGJlrHYlWJLgRGzEQOO1ilxkNwl7lCnKylhtSlRiZdzfDmIskaRVuNOf&#10;sXhJWCWRkerJ1yQKstZRm7KDRDniJ9+xCjL1LPmYrkiVUEt+pzoamwRo8juxsQp7rHaQMEyCGfmb&#10;tR0xlnjQmmFObCSmkb/JRlbG/e0gEZYEPPIDvTRuCaMkUJMAycq4qanJtG1lLBGgni1myrqlq0vl&#10;QxIOWRmLgTL0SQCpK101LutVqvJz9fmXdhBjPVdtqL96nkRPYqE+yI8lYJQoUJ9VHc0dqx1kZ9lS&#10;gjeJgfSyMpYQVJnMJB5SXzRu2UEiJbUj/1DWMgm1ZAcxli9bhWxqR+IzCZgk5JTYUmwkMpXISe+p&#10;HasdJNJVHTGWEE3P18vKWFngNK81nxST1HfFIfmM2pGvW+2gOhLDqV+yoV5iqLmsZ0sAaWUsUZP8&#10;Sc+xMpbAymoHCaRUR6I6q7hTIjvNaTEWX/my+m/NEGm1gzJCSqip9yXctIperYwlZhV3ZeaTHcRY&#10;WRA1Fo2pv69LTCcfVkyWn+gl37IKXpcuXWr4JSYmGl+V2E3vqR2xlvBYdhB/rQ3yDcUqvTR22VUx&#10;SHNW/NSO5qBijJWx7CCBpjVDmvxYAk/9u14al0R4VsYSHaodiUnlK1bGsoP6p39XHTFWfT1DnMVY&#10;MVvrmDIuKk6ov5qH+ne1oTqKdVbGel82t4pexUY+qvmjLH6ab7KDnie/1pzU81RHviY7yNcVi4OC&#10;gkwss7Yjjlo7FasUIzQmrWuqI/9SG79WsksqX+u/Vuv6876l/N//0i/mR453x4SJgQiPLEZWTosR&#10;b+gLfatQQWKHIUO9jFBBVwZKoGTJEsQNy5ztULYnXW86dJg77OwjEBVXgpKymXzPIsKSUEGfkaBJ&#10;7UikIPGDsnVJqGDN5qQr5HSF4NDh7uaqvJi4aaiuXYzZRhBhESpIjCSB1uAhnvD0yoSy7UiwIkGN&#10;nqdMV7l5HUaANWKkJw8nGYhPVDaxtaYNle4ZW8zzx44LxvARvkZsIwGOsghJ8CDRjTJa6erP0WP8&#10;WHwQHJqH5NRq8xwJMMRGAjQJtdTGmLFBiIisMIIgZSiSaET90XN1XemwYZ4YPzGAjIuQmd3M8VrY&#10;qB2J/NQHsZFoIi6+lrwWGMbWLGkSNUmgJsYS7kTFlKK4ZAbm9DFWOxI1ubmnGzYSn0kYJXFZf8bT&#10;yufCxTnRMHZ2jTOMJcIRY4nQZHuJOCSSUcYxiW0k3NLVkYYx+yLGeXmdmDwlnGP3hI9fumGsrEuW&#10;7F0WcZREdcowJz7KGCbbSVQn/mIskZ+yh4nxyNHeCCLjpJRqIxCyMpY4SkKtESP9MGo0+UWU8zA5&#10;xzCWP4ixrprUtbvDhnsbEZEYZ2Q1kZ2y0FnakQBN4h8xllBGbUqw1NYmxtsMH4l4AgPzOG4PSKQV&#10;HV2CwuJuzOoTbKodiZrkd2rHIj5rNEIt9VPsxLiicr4R5slWTi6xZFyGyunz+Xkx3mX6JQGkbCRb&#10;aV4om5jEbRLRqC/qU35BN/sRgWFk7O2biriECjS1rDL9sDLWlazKMDd0mI+ZpxIKNjSu6vNjZZjb&#10;TF9vpK8HWBgHM4gmVxmfUBvqj/ouodbIUf59jKeZ/klQJlurHYn8YmOraAcyHq/rxgqRnlnPzbSy&#10;blkYq77EP/KbceNDzdyQsEjiPCtjZWAMCso3jKfYhCCSjPOLOo2PWxlLSCmBn9iIsUSV4q4MbGpD&#10;RfPD3T0Fg4e5GWFodGwZyivn8fMWxrKFNVOibOXiyk14ZqsRtMq/1IaElIWFMzmfosnYg3ZNRmx8&#10;Beobl5u+qMjHJKjSvFR2OMtVyD9nLCFlenozxxxIhl4INIyno6Nr40XGEqApdloZh4aVGaGxxG5i&#10;rP5ofLrKdeQoH4wl49DwQqRl1Jv3rWzk97KPxqT4JRGlrje1MlZ/mjjHQkMKDGNlJhTj3ML2PsY/&#10;CSk1FjGeYhNtMmUqfrS1K8OehbGuWNa1uoOHuMPBycJ4WsUcPmMXF3aLyE/iPAnz1B+JxyRWlv2s&#10;jOXruipXmRKHMea4e4pxOeOJhMUWP1YdMdb6IsYSxUk8LV+xxArGHLLOzGyhrweZLHXKLpiQVGVi&#10;pJWx5o5EdMp0J84SAyuj588ZbzRXEovxmLG+ZFyA1PQ6Y0trOxL5SdSnviiuSxincerfrX6stUJX&#10;hhvGkxj7o4qRk9/GTflPa6fWJQngxEZiTAvjhcZWVsatLRt/JoZTmeTie7j/Qj/GznWxZbX+9dcv&#10;fzE/3sHhrfR0N9ovFMtXZZov6yUeKChy5Pp6PUaN+gvX6wH0fXfGk3D0zo2HMh/N6I1GfqED69yE&#10;sWOv5OZ5OJl7orElGstWsp0FyUZgkJ45mT7zd4wbexn9eCjnmTdaOyK5higLUyI6uiOMIGPylGsx&#10;ccL1JgtQTo43+5CApSsyMGd+IlraQhgXR3HOXMp6f2esGMs57Y+OGTGYw77MYTst7YohI1jnSs7R&#10;WxATY8OY6Ie5C9OMsEKiprqGAK7NAzmmP9PHbmA8tuGeIQjdPbGmHfWprtGfcW8gRo++DE5Od9MO&#10;joxvgViyXGxS0Ds7ngc7b/rdHfStPzFW3MZ9kBPjQChmziIb8lNWsYoqT8alO/msy+DhPpCbdTfa&#10;08JYYsKZvTEoKnHiPLgBI0f+me3dy32FGxqbyXiOhfFMMi6kHZycb8GYMVfyoD0cWZkeaGiOvMhY&#10;Ao2MrCmwtf077XAp/XgI91NeaO38iXHnDKsdxPhabuTHGcbdM+INY4lBJLiKTxzNOXMp59ZVjBVj&#10;GSPJuJuM+b4Yt3aEci1kHTK2sbkZMdG2PFSS8YJULFqqDHPcuDcGICRsEOfVn2E39XojmlF2LCtj&#10;CQ/rm2iHkPtZ53I4OdzJwxkZFwdg8TKJrJSVTQJIH+4VlGXyj2R8K/duDlxzg3/GuLLai9zuYoy8&#10;jAfSAUhLdeUmOaSPsQSQsWThys/fbGzl5X0PfcKVjMMsjNnOzFkWO7i43GoY+/gMox+TcRMZm/lg&#10;YZyVYwM7u2s4xy+lfwxGcakXfS7SZEIU4y4yzsy24Rp8HSaMv8ZkDMvO9uJn47B0ZR/jtlD601ju&#10;KS5juZKHqtHcV/ihvSvaMJaorq0zjHYYgwkTroLNlBtZZzL3T778fDIZp5t6DU1B3LcMpo/+hWve&#10;dYxjk8krEF0zf2Lc0BzImDOIY7ocDoaxA4qKLIwlCrOIG31N5qSRo/5EP7yF+wp7zhFdz6lsYkkm&#10;G1hVrTdj/92GsURaqWRcXh5siRWLJM6LRek0N/K/xTDWlch5+a5oaAlDD59hGM+WYMkZLm63sT9X&#10;GBFaZoY77RmB5astjLtmRCEnz477nGvpF3/lHncQ550n534kZokxx9U1U3awhb3d9RbGQaMN447O&#10;WM4HC+P2jjDuC8cxzl5JX76C++lRXPN8yTjKcLEyTjB2uApTJt+IyEgL41lzksjHwripWXv0oRg9&#10;9q+06bW02yTu3QKMwM0wXpBAP6IdwgcbxlOn3oH4+KmMk/60U5qFsRE3+jI23msYOznfjIwMe9TW&#10;B5Nx3EXG1XXepo5h7HIfD4suXEOCODezML+PcVm5G9w9bsWIEWJ8F9c8F9o4nIz7/JiMy2gHV7fb&#10;MYqMvbwG81nuXF8jsIyMJWTrJr/cAnvGvuv4rL9yn30/1zwPNLdHsB+JmLsoifM0Ctm5ssMNnOdX&#10;c487CllZnlyHYvoYJxsBpK7NnjRZjC/nHmMk++dLrlFGCKf+tHeF0y9lh6swefINiIiYiNxcH8bP&#10;ZMNYAsjmFu03hnFO/dXEpvjEieZKbF23OpuMLSJT2iFiKGObGN+GuDh7xkl/LFyczqJMk4nk6cex&#10;WBg7ON6MtEw77lnE2JKlT/4jO/j538dxX8q5fg8ZO6OsTOI8XW8qcV4c9yvu0LXX8mM3zzvpj85o&#10;ZFzvmU1bsZ2e2bGWOu5kPIqMPQdxL+fGuRduYoUEcd0z+9ZFRzH+C585kOcCrp2tYkxb9TGePSfo&#10;XxXE/fLac/39l3X078dOl9MPPREcfg1CI28mfx9s3JyF/e82GEHT0TOteO2tSsyY7YLgiGt41r4Z&#10;XT1eeOixXOx7uwHHz0ko04UXXytFU5st/IKu4ry4lzExGDsfLsJ7R5tx8nw7jpxuw7MvF6C2eQL8&#10;Q69Ecvo9tHEAHn+6CG+/xzps5+iZdux+OhulFSPgG3gVsvKGcz2IwJNPl+LwqWac+KCN7bTi4SfS&#10;zbWkfsFXILdoOJasiMCzL5bh3aNtbMciHNv2YCLSsu6BT+DfUVYxmet3PPtYhWNnWowY7t0TLXhg&#10;O89TmXcgIORKVFRPxNqNCXiJdY6c7MCp97vxzpEmrFrHc1n8LfAPupbruhNWrkrBnrdqOW5lC2vH&#10;gcP1WLqae7b4Gw3D+uap2LIjDa+/WYujpzsNn70Hqmkzb4SEX4vQiJu4rnpjw6ZsvNXH+BgZv76/&#10;Cj3z3BAcdQ0iY2/ieuuBXY9m400xPtNt2nnp9TK0dNizL1chLvFu+mYQduwqNOIrMRa/518tQn3L&#10;ZASScVLa3ZxL/ubKwgN9jI+d7cATz+agvGoUGV+JjNyhXOPD8fiTpTh0Uoxpq1NtePSpDBSXD7Uw&#10;LhiKxcsj8MwLpXj3SKtp5/BJXcmajMzcAaadkvKJjFdxeP6VSvbDwvg9trd5RxzSsu+CPxmXVY3D&#10;mg2yQyUZt5PxDNqsGWs2RiA28VaO6xrUNjhg2Ypk8qvB8bMtLG14+3ADVqzl2SNBjK9GXZM9Nm9P&#10;xWt7awzjE7SVBHzzF/siJJJ7k/Abuc/wxPoNmUbspL5IVLfn7emYvdAdoWQcEXMj2rrcsPORbNqn&#10;3sL4bDdefmMa2mdMhX/wVYhNuIvzLIC+lIeD9AUJXMT4hdeK0dg+xTBOTLmT+1k/PPZkAeeMGM/g&#10;szrw5HN5qKwZa9ikZQ3lvA3H7idKyK3J9OcI+/PY01koqRxu5kNWwWAsWhaOp58vpT3JmGwkHHvw&#10;4WRzHauv/1UoLhuPBYti8fzLFRy3hbHEklsfjEd6zt2GcWnFWKxeH4cXX63AoeMSJUpw02SyEcYn&#10;32YY19Q7YPmKJLz2ZjXH3GoYH6QPrVzPPXLiTQgKu5p2sMOmrX2MT5HxuS4jzluwzB9hUdfRDtdz&#10;7+Jhsvrp30+8r/nQhjcPyte9EBZ9LcJibjBXzj74cBb27rcy7sKre8vJ1Yn8rkZU7B1cD/2xdUc+&#10;3qGdT7Kdo2Tz0p4yftYegWFXsd+3c43yM9fM7n+X/Oh/ytL39Av5XPfGGcapmYO4HwvDI48Xk0kf&#10;Y8aKx5/NRnn1KAQEX0lfHYSFS8PMlboWxjM5tnbseiwVOUW6svoqI5ScvzAaz75Qbhgff7+D86KF&#10;vp6IzLz76BdXoHjaGHMV8guvVOC9ExLXShDcjA1bdBX5HWR8NcoqHbiexjFWleHJFyrx4OPTsHpT&#10;AepaA+EbOgQuPA/FJjsgtzQU1c2JmN6SipLqROSXxyAqyQv27hMx2WUK3ALc4Bfhh8jkEJONzT3Y&#10;H26BytDjznOXE4vzz2L6/6Ri464Mcpbsce7BfnDyVRY5B0x0soG9pxPcg+hHCUGITg1DRlEs0gqi&#10;EJHoR3YTyWekuaI5ISPI8Ju1OBOzl2Rj/spcVDYEIYh7Ww+/O8yVrLPmxzIOFTF+1uPg4Xa8yti8&#10;dCX3BPTPwJDrzHXTq9ekMQ4oViizYBveeq8WC5f7IzzmOq6L13F/44ztuzLwxlt1xo81H/a8xZg9&#10;x53zhfEk+jbGDV/OmRwcONRo4uhRzodX9k1DR48jgsJ55oy/FTNmeePh3Xl466Cyi1rWzudfKWZM&#10;mww/rnmJqfdxjxCCXY8U/gtBnM7lP2fo+np/QdzZU/uNSMHf19GItTY/sBQvvfgoJA5SZrcvPj+F&#10;Pa89geqqXAQFOBthk4RRxw6/ga++OANdB/fl52fxwrMPmc8HBbigtroQ27as7BOFsZ3vP8Bnn57A&#10;k09sQW5OnMm41dZSgaef3I7TJw/g2y/f57M+McIxiS8kmJDwTCKCHdtW4+wZffn4Cb7/9gN8dOEw&#10;+7jECB1io3kGnN2KV156BB+ce9dkGvuO7Zw/d8hkLZO4L4H+L3HJQzvX4/PPTxvR2Hds5+zpA1iy&#10;sIt9cTfCKIld9r7+NNs/ZoQTEnwp25OEghqTxHlrVs3D7sc2sy8fc0znTYa5I4deYz+rDRuLEGQ5&#10;3tn/Ej775IRho6tQ3+bfmxunIcDPCUX5ydi0cQlefF5faFkYS5T45htPmatjJZyS2ObhXetx9JAY&#10;n4ayNEmc9/KLjxmRiPojQYhEJwfeesG0IxHb52T89JPbkJ+XhNBgN7Q0TcPTT2wz4ixlXzKMPz7B&#10;tjcYIVx4qKcRuojxSdrBMGY7H394BNu3LjMCNmWekmjspRceNYK878T424/I+LDJ9CbhmcQkEgRa&#10;xFwngB90PSIZ027Lls5EVLi3EUZJ0LR3z1P48PwRw1iCL/Vt3pw2BAe6GrtL7PLYo5uMnX78/gL7&#10;fRZHD+/BzO5ak3kvNzuO9l9Gpi/0Y/xTRi0xLuD4H1i/GM8/u8vCmLaSGOmtfc+ivq6IjJ2MIOmh&#10;netov9fJv8+PvziLV19+nPyzTTsS6Inxvr0SKvQx/uw4nntmh7FjSJAr7VqKJx/fasbxNW1ksvh9&#10;cgq7H9lkBETKctjWUkmeq/vEjZ8Ym0vU9OCOVUhNDkVUhLcRjUnQd+7MQZNdShm1Lrx/GBs5DvGN&#10;jfYnp1YyXmuy3FkYv0+bHMTKFb3GThIKStD0xutP4aM+xsrid/rk22YOqC9pKRFGtPXoww+wrxfw&#10;w48XOG/O4fjRN9Db02jGpCyQEqoeeOt5IzT8ge2IscR5ne3Vho0EmRLqPfu0vjT8zNhKvnpg//No&#10;bCgxjMtK0rFzxxocfu81k/FPjL/68hxef/VJIzBVO/q5hXPmjT3KuNMXcz47gRdfeAilJWmmPxI0&#10;Pbl7q8nQJnGUNVPik49vuyi+le3F+KgRZH5mbPUJGe/auQZpaeGIDPeiD9XhheceIuN3yFhXC+tK&#10;zGNGqKU4oXghcdPO7WvxIeeA5rmyAp5//x2sXjXHZFxMjA8012EqJkp09gPb0Xw4c+qgEc5KQCnh&#10;ogSejz60kXFE1xxbGJ849ibjSZMZU3ZmDPktxP59z+FTXc1MxhJ8SdQm4ZXigMamOSZhm8ReVsZv&#10;H3jBCPzEWGLgB7evxqF3X6Vvnr7IWCLT6qp8w1iiry2bluP11578iTHn6csvPoJpZRlmXtXVFGI3&#10;5536qKyOYvz5p2fMsyUMFeOmhjIjVj703usX2/nk42N4+KF1yMyIQmRfzNa8O0seFsaf0BePmnkk&#10;YZ9EY8o0+SAZXzh/2DBWrDj/wXtYt2Yefd2ftgjEogWd9JPHyfgQfVhXbX9sMn6KseKWxHD6szJh&#10;Stz84w9k/M37OHViH+bPbTHxTwK/9WsX4K03nzUZTk1c//oC5/wbRkCoOCpRtrJgypcMY7bz9Zdn&#10;8M7Bl9DaUm4YFxUkc9wr8e7BV0z2yB/F+Kv3TcZPCa7FWCJcxSUJqi1sPmBcOYnXXnkMFeVZhrEE&#10;iRJunz/3Dp5/8bGf/YdylX+vIE6f+/TTT4/0/yJeogUJBZSpTGIZCRr0Z32hL1GFhCsSeUgAISGO&#10;BET6nAQGEh1EREQgOjraiEIkvpBAQ0IFq4hDmZyUWUoCFwlBJHqRsErvq0j8IPGZhAUSIUikYs10&#10;JVGJBEcSaEgIoqw9EoJIpCARk4QZ6q/qSPAiwYVEMhJpSLwk8YcEERJXSOghoZFERqojsYcEfhIs&#10;SWijMUkkJYGGxC0SsEkgpWsiJYLQmCRe0fj0OfVV/ZHQRdcuSvgiMYT6o/FJRKQxa1wSdenvEmhY&#10;GUsQI4GQMiIp25316lL9u8auOqovZmIsEZHETRKHSKCh/qieRBwST1kFibKJeElsIr4al4Qy+qzs&#10;oH6rvgRB4ibGakfiRgmHNCYJQSSskQhGAhb1RXUkRpLYTvzEUYz1LAlOrIzVrsSTqiPRjcRA6qPE&#10;IGpHrMVLdlQdiUbEQX20ioj0TAlIJCBSHYltdC2pfM7KWAzUtsRBEu2ojsRxsoMYa9zyV41DwhXx&#10;kahGvtWfcX9fF2eJ9CQkEz8xVjsShUnYozZkLwkLxaI/Y41RQh0xlghGAjUJDNVfjUv1JJSRL6i/&#10;Eqlp3Po3jVdtqE/iKUGTxi3RoZ5lZSxfVnuai1bRncQ2mr+aa/0Z9/d1zQuJfzTXrIw1dyTmUj9U&#10;RyIg+b7EWVbG/X1dfVYdibBUx+rHEixJRCTGGrv4yQfEVf6lOuItwaHV1zXfZV991hor1KZEsYo3&#10;iifiLYGh6oiNiuaquMoOmlsSv0qgqfFaGctnJeRUfyWO0nMlKtVY1BfVka9b44l8Xc/VszS/xVh+&#10;LJGuYoTYyJ8lHFQcUIxQO6oj+yrWqI58XX6k50s8JVGd6iomSrSnOrKr5q/8SZ9XO7K9/E0iLdWx&#10;XkUrsecPP/xg6sjPJDDU/BZj8dOzFR/EWGwkzlOsEmNlrZQ4TLbTHLDOh/4xW/6uWCsRmzWui436&#10;pn+XnfQ8xSXNV/mWNVYo9vaP2RJRiqmVseqIueKJ7KDxSzwnpnrfKhxTzNb817glmtP8VRywMrb6&#10;unxcdazXzGrOyE5WxvJbazyRsFF+LX7yi/6M5Q+qIzGbGMufrIwVs2VjCR81LvmQ5pDiiZWxfFFr&#10;jzWeqI5ikNhb54NsIjGh4rU4K9ZqnP3Xzl8redOqf5khztyy8h966RfzoyZ4wMMrBWXls9A9YwMk&#10;jJK4QJlslH1Nwh0Jknz9ckwGHuuX+RIjSHQi4YutbTRGj/ZDUHAeptcsQM/MTZg7xyIak4BJGY0k&#10;eBg9JtAIOiSMUgYhyzWMa6CrU8PCS424R8KS6NhpqG9cgp7Z2+hsEjStvZg1SiIF1dM1gZZrM3Wd&#10;5TYjoFBWK12JOXqMP6bYhCEto4Htr8SsORLA7DAiBYkvlGFOY1JWI2VpsgjddhrhhERkEih5eWUY&#10;4YSDYwzyCzrQ1r4GRpzRs82I+ST4kphp2HBfIwrROK2CCQlClG1JfXRxTcLwEd5wd09C6bReKPOS&#10;lbGEghLKKIOQ+iMxiIQo/RlLjKFrWCUOGjXaFwFBssN89mMT+2NhLDtIHDNpciTrBJBlCXlYsjRJ&#10;pNXSutaIQ5Tpb+KkUCOQioopQ33DYszq3YpZrCdBk5WxxDZiLPtbGWtsEgLp6sqAwHzDeNKUUKSk&#10;16GpZYVhrD5LRKnrViW4kTDFxjYK2VntFpEM6yi7kvgZxt6ZHLcPxx+N3IJ2MrZcnSnG8jUJbJTt&#10;afgIPyijloRaFnGLRewlgUlySgMZJxvGrh4Wxl3dG02fu2dYrvsVY4mjJM7TMyWoEhf1VyKZ0nIe&#10;GOKrMXVqrLG5vz/tQMbdfYwlGpMdxFiCTDEWJwkF1V8JQyV+lMhJ12BOmhxmGEdGlaKWjHX1pPos&#10;xtbMXBILqui5so/aEWPNDYmuJJIcMzYQEyeHIDm1hnNguemv2qlvWGUYS3CjvkyxiTSCLwndrLaS&#10;MEmCUfmUxmQ/NRI5eW3sp4WxhEiyg0R1Yiz/c3RKMP37OeNFJjOXfH34CInLEozgtat7PdvZdZGx&#10;BD+aB2KszIuWayitjMVvPv2phraOM/3x8ctE5fR5XEAeYDuWzHBirHgixvIdZd+TeEv9VVsSJckH&#10;xFiCzDFjJYAsRk3dIr6vKziV9W2dsYN8XeJH+XJMbJWJM/0ZK5NjcEgR3yfjSdyUJVWjkYx7GXMk&#10;WJWvS5gloaEYS9SUnqEskj8xVt+yczouMlYGtOzcVvZTwkULY9lBolIJKcVY17ZqnkmEJTb6qSuf&#10;0zOajQB1+AgfKLNbUekMtHdb/ELiR4kCJQ4UY4m1ZDMJDq2MZftp5Qvo67XmGeqPt28GKqrIeKbm&#10;gyUznD4jQaiysImxxKrqo+yttiTYUiyTEGwKxyzBalhEkWE8k4ytorFfMo6OqTTCU/VX/ZFoTNc1&#10;Szg2bnww6wUhPnE62eu6aF1NahEDy9etjLVGSKysuGdhrKtfLYyVKXEU1xiJRLNymmnnVYwnFsaK&#10;61bGihVas/LyZ/ZjvNkIV2U/D890w8bJOQ4FxV1o7yJjPssacyQklrhPjGUP+eRFxiauL6Cv1Jl4&#10;JIGol08qplXO5ubeEnPEWGunRKYWxn4cX66Za2pDRYxLy+awLPyZGO7XBHESvPUt17/6+uUv5ic6&#10;Ob/V1qZrN3Mxf1EqWjvCUVDkgJCwgYzXl3Nu/Z1jnMJ5l4gFizKNWERZifIK7RAUNsCIIpStKCPD&#10;hQciXbeXC2WfkpAhO9cGfgF30ZaXwtHxRjJ25gZG19dloHduAtdsf9pmMv3uDta5wmT3KSryxcyZ&#10;mayTZQRdNXV+5ppCd89bMHbC32izO8jLl+yUESqDPhaLmnovpGaMI/9b6DtXwNd3EA/bYejtycbC&#10;xVlG0FA53QsJSaPh5HI9/e9vjJf3My6GYd589TmNNo9GeZUb64yCg/MNmDD+Sm5aR/OAFUcb5EBX&#10;WXb3RHO9cOV+Yzjspl6NcRMuY8weQf+O5sEqw4y7Y0Y4452jycBha38NY8XViIubzA1uMtnlGMZt&#10;nRbGoeH3Y7LtlYwVV3Ltn0ifiMeChRbGyq6VX2Rv7KD37exv4IbTiYx1bWmOEXEoo1V2ri38A+/G&#10;hEmXch7fwBjkZK7BlK1mk3FDCw8luVPg4y87XAEXlzu4OfbheMl4oRhLUOLP/ckk7utuxdjxf6PP&#10;385579OPcRyqG7yRljkebp63GsY+Pvfz8B7K+cQDz+JM8wViVbUXEpPHXGQcEKgr9ZUJKcMwllik&#10;so+xk5MYX4HQkJHc2MdyzpDNkgwL43JXxMSNgL3D1Rg//lLG7+Gcv1F97aQaEWXpNCfWGUY7iPHf&#10;uYmexENKEvvMQ+6SdM7TCBQWO5LxIMaAK+mnV3AeTiA/C2MJe1o7Qjin7S12mPJ32NrcgJQ0R3R2&#10;inEuGSsDTIgRavkH3kPGl7FP1/Fw4Mi5l4yFZKzMhE2tAawzhfOWdiBjZ+fbeVj25pyRECmL9kxE&#10;XWOAESV6+dxmGLu738YDiBdmz0k182HmnDiu/d5Iz5pg7CDG3t4DeNgOMYzlxxLxVdd4k/FYOLve&#10;YBj7B9zHA0gQ5s6jreTHPTH0dXfWka/fYNoJCh6B+roYMhabDCMUksBK1+HaO1zD/lzKg/Iww3g+&#10;GUvg2EnGZeXOZDyc85uMJ17Fw+AEHlISMWeOZT50dkUaMaGuyrSxu4p7jyu4nowj47h+jENRWGJv&#10;MnDYMJZMsbkeyckO6OxItfjxIjJuC0Vuvj33qvewjcuMTSXO6+2xMJ5FH21sCWQdG/rU3bT3FXBy&#10;vI3xxLOPcbYRqYlxRpYY32HG5Op2C9d/D8Z9XdObbsRjtfU+ZDwRnt63GTZenvfxYB7Mw7/8OIt1&#10;E3km8UZSyni4uN2IMeP+Aj+/exnrA8hY2RT7GFd7ICl1NPc3N2LcuCsYT4ahrjaa+wGykR+TscRT&#10;cQkjuYch43GXIix0KPcVkT8xnhGJskpn2oGMHa41jKOixqFZXxKTsa4L7WCd4lIyjhzM9YGMJ13O&#10;fdFY7n/6GDPmtHWG0g7K3kxft7ma6/B1PHjao6OPsbLHtZBxXoE9gkLu41y4jG1dw5htR99KMrFC&#10;jJvaxNiWdriXz7mS8eRW5OZ4MC4pM1w2nyUxJg/g2Ywnfndyz3+puXqvsEj/O9Lix8rmWd/gi4zs&#10;ibTD7WR8OTw87kVZaSDXzCz6DRkzLlXTDroa1c3jZsPY1/ce7ll+YizBcHWtJ+0w5iLjgMCh9PUo&#10;xjf5nyX2l1d6kDFjtpOFsQTBTc0RZJxuGEuoWlbhgtiEEbTDtUZoGhk5lowTLsb1ru5IxmxnREQN&#10;Ycz+O+fw5dzzjCG/WCzsz7jUAeGqY3c148V1SEy0Q3t7v7WzPQz5hfYma9KkKWJ8NeOqLWbOsDA2&#10;mVdbg2gHW87FACOIU+m/HlvKzwVxyhj3yzq6nuXdo0UoLB1sxD26ZnHHQxl475i+qJ+Jt4+04Inn&#10;8rBouR/ySwYiNPJylJQPxq7HMnD4RDdOn5uDg0ckYmOcW+RJe92NwLC/o7JmAp54pghHT+ka1ZlG&#10;XPfwE1yv57shLecOhEVfibqWiXj6hSIcP91j2tn/jrI9MR70OCIu+WY+6xqTkezFV6twjHWOnpmB&#10;Pfursf1hro8z7RGXcj2i4q8xQr1X9lTxObNw8swsI1bb8mACGtumICLmWkTF3cg1IQB79jWyDts5&#10;1WUyw23cFof61gmIiPs7ElJuxNKVgdh3sB6n/n+s/Qd0VVeytgv3Oefrbne7nXPGgA0O5JxzjiKD&#10;kBAoC+WIJCQQQgIhFEBIIDKYYIMxGUxOJieTc87gnGPXX08tLSFzfM694/uvRu9B2HPPNedbNWut&#10;bZ5+685kuXKjSPYfHiGLlnrJiPQ6+ozylPiHlJf3l/jIqXPj5dqtSQbC7No/TBZ+OED3W1P6DXpc&#10;hureliwbLGcujpebdyfLpesTZefeRJm7oI/EJ1c1jcOj35GVHw+V85fReJKcvTxOtu+OkVnze0pc&#10;kmrs/ZjEJ70razYMlQtXcfeaomNyzdls2qyuEhb9pvTSeZJH1FPd4/QaBY7G5zNlwzbNj5mdZGh0&#10;eemv60kfW1/jF2v6XVeNT53NknWbh6pmbcU/+FXpN/A5GZfbxgCrKzcmyVXV+MipUXptzfnCVuKr&#10;GnsNecZaiu49lGIa8zp6crSsWKtnPbeZavy8DBz8ohTP7CGHjwE9ORrjSLZ01RCNQyOd42nxDXxR&#10;Zs7tIcf0szfuFOmaCuXAkZGyeJm3jMyoJ30GPqVxeF0WLh6kuYDGhZpjwGeJ8v5HA2XE6NqaN49L&#10;SMTrGhcfOX0h2zS+rBrv2jdM5n7QzwC+3v2fkLCot3V9IXLuUr5pcwaN98TI7IW9dMw70s/7Ucvn&#10;1euDSzU+fwlQMFbrbncJj6kkvTTmial1ZOPWGLl0zdEY0AXHueJZnSUsRjX2ftzWvmVHjO65wOY5&#10;dT5bNda6Mrmd5sxr0nfgMzImu6WuMUWuovHNiXL0tGq8UWt3UWvxH/qS6ZM3sbXsOThc9SuSG2h8&#10;arTmib+My2um77+oGr8gRdO6yaGjADmFcukmYNkIWbbaV58vGou3nz6/BL4g0+d4yBE9A2h8zTQe&#10;YaBWWkZ9jfczBsXNe99LTp7OtlhduJ6rZyxJPtBcH5lR2/ImOPw1+WCJl5w+P073pBpfm6g5kijz&#10;FvVTTWrYeQiNrCzLVgXK2Ut5ps25K9myY2+cvPd+H0lMqSr9tFZEJ7wlqz4O0nqSZ2f8nLWZjZMZ&#10;usaouLfsPCQMr22A0MWr9zXetCNCps7uIhGxFTVWj0tqei3ZvD36vsbnsmXDFn1uKu4gQUNfN9go&#10;I6u57NyTpHlVYBrjvrd2kz4vTm4jAaEvq35PS3Z+S91HkuXWDc2dY6czZNW6IP375jLI90XxHPS8&#10;3t+7ysEj6TpHoc41QQ4dH2n1ZFxeExnk94z4BDxvcOunx9P1TBXJ1duTNQ4jZckKHz1vDXTf+qwe&#10;8JqeeU85dgqNNVaq8b5DSbKIXM+sqxo/IQFhr2qu4yKZZRpzjvccSJIFiwdI0oiaWkeflOCISvLR&#10;ygBrXYw2Z6+Ml+374jTX+0riiGqmcWTsm7q+ADl3WTUmjzWft++Ot5odHf+2aRybWEPWb4rU/ebq&#10;ucmTg8dGy+oN+p1mWncJjdI4eD6ldb22ahGudS9L95yrdWu0ns1g3XcnzZlK0qPvS3oPbKbXipFt&#10;uzJk254MWb2Rs6nfIXL1+SOggub6CzIyvbls3BavcQQo1j0dSldtArQOtJRB/i/pGX5eJhR11uuk&#10;mTaXb0yQw8dHyIp1/hqHZjrmOXtNnt7ZgM3rWo+pOfz+o5WDNc4NdY5n9Hqvyez5A7QWjbU8vnQj&#10;T/Z+miyLNdfTx9STAT5P6tl6ReZ9MEDvP2NKakWB5nqy1mxPSR5ZS/NYNQ6vqOfDT86czzWNz18F&#10;3I43ODR5ZHXV+DGtB2/oOfNTjXNM44tX8vXeFSez5vXSZ/93rR5HJ1STjzdEyIUrzj3v1MUs2bIz&#10;SmbM9dD3Ktk8SanVZf2WcI21c+88fTFXNm2LksnTOus6Khj8OTKjsZ6RYZbrJbfu0h+c28vev/l/&#10;qJcF4vbt/tigAB+vHjK1OEeuXjkhP/4EdPKFwTbAPzOmjRcc3YDQgJpoyfn77/yj/1fmDAfYhhNR&#10;kH9/CdDXBwun69+fl19/+VxoCQpksXnTR1KQlyYBfvr9PMzHnOJom0mL019//sJaZm5Yt8TgIeAf&#10;YJD1Hy+x1p6sBaDrwpn98vHqhTImI8FgOICb3TvXmsvY7//+Xn764Z5BC7TiAwbx8uwmKcMjZO+e&#10;jXqtG9Z6E4gKQGLZkpmSOjxcBnl1tTacJ47tkp91HbQ/BAQ5dmSnwShAfgAYONadPrXPcaGj9eaX&#10;l+Xg/k2ycH6RxMX4G5CE8xjtQX//DWeVb+SrL64axPbenALbD8DNlMIsuXzpmPz0Ixp/Jvdun5Xd&#10;n6yRmdNzzAUL4Aao6d6d87oW1fi3r+XO7fMGpkwpyjIHK1zUAP5oXwp0AhhF28Atm5bqGtLNzQhX&#10;rZXL35OvvrxWqjHOcAAZuJYNHqTfHTXuH69ZLJ/fu6y5gMa0Gjwg69a8b6DX4EEeBtzs3LFavgf2&#10;QuMfVePTBwyiAwZB46SkcNm9a73BdqIaf//NdQN9ln80S0amRoi3agNwQ/tBQEP29f23twwoAaqi&#10;pSMaA9ycOLbHXOgA4r756oocPrhZ3l8wWRLiAkxjgJtLFz410AaNv9b94ag1b26RaQxwM6lgjFy6&#10;eFTXCqD2hWp5Rvbs+lhmzcjV3BtkwA1QE2CUqzHtHHfuWGuOUEBjAFLMeevmWc0LIMB7Btts27xU&#10;igoyDPADkly+dI7BNqZxCeC3acMyAw19B/fWOGiur1hgrmim8U+35fL5Q5rbH0j22CQDgAButm9e&#10;brlFa8iff/xMLpw9JGtWvW8wGHsaphrt3PFxSTy/kB9oIXtyl6zU6wOrAtXhrAUMZ616dV8/fHNb&#10;9dwtH304y0BKIFNzJDuyy3Kceb7+6rLBXYveL9Y4BNs8OIZdPH/4Dxof3LfFQDrgKGI+EUey859a&#10;e0rmoRXyXq0lc2bmaxwGWyvfmdNz5eb1M/r+93r2HI136R6mT801jYeoPkBNN2+cMRgM+AwXx21b&#10;lsvkwkyDBXF1Y/1ffn7Z5gE+u3HtVIlT4miLE3EAuLp395L8+htgFKDqYa0nizTXk3VMT3OGo8Wt&#10;5ZZqDBh14dxhzf8PTBPOZkJcsGzfutrOLW1Jf/j+hpw5tUfryXuqbbQBcSNTo+TwgS0WI+b5Uc/F&#10;SdUYyBWQEo1Hp8XKkU8/EaA9a2/65RU5+uk2+fCDaVqzQkxj3AXPnz1gNfTfv3+juX7dADDAXIBO&#10;NM43R7LDdg1q1xefXZB9e9bLvNkTJTpyiNXJ6VP1e8P1U049/v1rjcNFa6k8Y1qe6QJMSXvRG9dP&#10;C3AuzoTAwICzxUVjzdGNXAbO+/yzS2Ltfn/5yjQ2p0SNM/WGurP0o7ly985FneMz1fiOXL54WDau&#10;X6y5nmK5Hhvpr3/+0IHG9Dxw1i9pjgAjc7aBZ+NigmTrphUaT9VY9wTgd+bkHlmttSpDdUNjWjwf&#10;3LfJ3PdcjU+d3GvAGUC2p2pMfT98cLvWc0fjb7++Isc+3S5LFk3XXB9qGuMiefb0fq19aPydaUyu&#10;v7+g2Fzz0Dg3J01odfzDd47GANf7966TeVqzY6J8bT3UBM6+ta7WWHFPAl7F6Q+w2AcgWPW+rpqh&#10;8e9ofOu07Ny+SqYVZ2kcBlpN5rqf3buo1/lKjp/Y803Z+zKvWs3aNS+5bf+PP4x58HN/BsQB0gAX&#10;AcnwD//ADvyjPzAIYAVQDU5OjAWIADIAdgC+AMphDKACYArQBJACvwIM4USEExZwBRACMJzrYAU8&#10;AYwBVAUwwTzAZYwBhGAc6wJgAtAAvACWAdBw3cZYMzAC4AKgDCCSCyGwL9bMPAA5QBNAYcAMADeA&#10;FQAOwCuADMAigBSAHsAijAOmAewBlOHFdXEiAvRgLcBYgG5owjwAD1wXQAmwhTFAGPyZvbAWV2OA&#10;DEAl9o1GQCcAKcAiwDJAH8BcaIt+QDlAYWU1BpRCY2LEGGAQdHfhKUAQQB+gOiA/rgU4xt+xDuYh&#10;Dq6jFlAOawYcA/ACcuOFTq57HMAIGqM3gBVrZh7iwPr4LNqhIbEFBGFPaAxcAiAENEUMgHeIAxAJ&#10;sUJjgBxAHsAxoBJiCgwE+MI8XI+1AaKwF9bCuoFZgFqYgzgA1gBvAdywb4AZcoD3iBUaAy8RB2Am&#10;xgA3MYZroSFxJR8BnXiPMcwH4OLCU2iM5kAwXIMx5Dpj3DxGY9dRC8iPWKEBuVJWY9dRq2yukyuu&#10;xmjJWeTvgZXQGGCO/EYb1oSWaOzmOi9yBO2JAfsCPgNI47wxBxoDtZXVGFjIzXU0JteJA+vkOsQL&#10;QIy/I+/YE+eYM+RqzP5ZP3OXzXXWB5DHWhgDTMVZI8cZQ+2hNnAd1sNYNCYO5DowEtfctWuXxRFt&#10;iIPrggjkx3pwAyNHiRMaA5aR68TBzXVAXs4aa3Y1ppYBAQPdkYPEhDrgaszvyXU+69YTQDNy19WY&#10;egKEBTSFxsxFXWWdrsbUE9woiQMac7bQijUwB2PIEWoMMB3rZW/EjvPrasweyXVgVfQjD4kD12Ie&#10;NKJmA2BSs9GGX9HC1ZjYk+uAk+Q6GpPr5KSrMXEgr9mrW084p5wj3kdnziC5DmRYNte5vpvH5BA1&#10;G6CR3EPjKVOmmGauxuQ0NZFcHzJkSGmuoxm5x77IafYJ/Mf7nAn2yHljHsYREzfX3XrCmadeESte&#10;1BPqB+cWjVk3NQht0RitqScAe+Qd+wakJHZcy81jt2a79QSQDziUa7AeajZr+rNXSkbW4T/er/8/&#10;AOL4D/O0TKUdZ/7EJTJtugO4AGoBjQEptGzla0AWTkRATbSMAxCg3SRwAY48bdv5i59/mqSOmKqF&#10;f5ng/sNYwA/gAubhV6AZ4A9gElrhASwAsQFwAP907hIiQcEZMnr0HAEyKi7GnWqJgVE4OdWr38fc&#10;o0KGZhkoAVzAtYCacOtq0nSgAF/QAjEiMlton1o81YEQAGUAQQA4gL1694mVyKjcUlAGmAEwyXtQ&#10;is3RuImn0JIxJiZf1/CB7tuBYAC+cMIC7gOSGeCZbOAHkANzcC2cqPr0jdN999R1e1trPdrK5k34&#10;UDVea/sGcAEaQxtgN6AdNC2rMVBRl66hNg+wEq3+UlKnCjAc6wGqi0+YbLCSo3GAwRpAdVyDefgV&#10;+IfPo3GnzsF6A8mQtPSZuu8VumYsvz8yoASAgzGAJYAp7IP9MA8aB4eMNfgKkAtAJTQiW8ZkzTON&#10;cX1DY+AzV2PAOYDDrCwHEHI1BixzNe7bL06iY/IMOJw6zQGWgJFwaSLeaIzeZTVmLhzdgNLIPzSm&#10;RaRpnH9fYyAUF7Zp0dLHrguIAjzEntgbgEu37uGmMXlIy8rhKcUy0TR2nKcAhIBjmAcgCeiIz7ka&#10;A5CxPs4B6+nQMUgCg0br9WdK0ZSVumZHY2DMVq0Hq8Z9DBoDvqFtMLHmPLAuchuIEI27e0ToTXOc&#10;QUSOxrgOLrZzhGuZE4cYA4YAQnmfeYAYObMNGvbTcQM0F2MlSnMdGI684XrASICqwEyASP0HDNM8&#10;+aPGzAm8x56aNffSmOBsVqDrXCzTZ6AxAOkcg/fQhvwBpKJNKvniagy4yF4cjfUL55BUrSdT9PNO&#10;HlNzgDqBvJgH2Ah4Do2B8piHvADqBH5kPbRuBTjF4bBoMg5fDowEKAj86Gg81OpCWY05X4BRwLD1&#10;G/TR2IfpTXOsPsjQvhnHO1wHP9S5My330JhzGh4xXjW7rzE6ATM2bNTfNO7dJ0ZrWa6MM40duAyN&#10;0YM50Jh8pd65kKmrsVNP+tjZomVvXPxEycmjJasDwwHeAQeiDevGjTJhWJHu19GYa40YObuknvS0&#10;HHM1nlDwkd5snboO3MXZdjUG2qLGlNUY4JB6gsbAvP4Bo3Tu6TKpjMaAgnyeGogrJVAqILFb15kP&#10;GJO6BnDYtVuo5vUYrdlzdd84N641jcl/4EdykPsNUCfn2tUYMI4WqGjs1JNofXjJ0RqyoFRjIDyn&#10;nvSzuoNOQLvUIubhWsB5QJTkRNNmA8VzYII+xEzQ+dHYAaGB6oiPqzHOnuSbC+eRx2maRw6E6mjs&#10;MzhFEpMByUvunQUOSA4gyTzkITlS9t6JRtSgTp1DtI6MNQiu7Kt5xz6nyt7o/5+AuAf/w3zzzp2v&#10;TZ/BPybGCM5t0XGtDQRp3PRR8ehZUULDm0vm2AEydXqYQTkTJg6S8Mim0qbdMzamZ6+3JDKineax&#10;r8ycFa/7irK2fEEhDaVFq6elWYsnzJUtKrq1jtGHrhnhBgeMz/U0aKd5y8e1DjytdaOq1pOOuu9A&#10;mTU7QTUMkYwxwO41pGnzx6VVm2c1JtXMbSd/4hCZMTNC1zTUnLAGegHvPaL6Pafnp7bq1V1jHSoz&#10;dZ5JRQAuHgaCNGryqMFauM0NT+mu7wXpniJkcnGQjukuPXpVkIaN/6X5/Ipq3VBGjOijzxSRuq8E&#10;jRWAS2eDPBgDtBQY1FA/10vzJsTmoe1oYnJ7fe9lPeP/0jwur18Mmunziac+bMbomuNkfL63xMS3&#10;kQ6dXrL1oPHQsGa6VwccczT2kcjoZqrxc6Zxj56V9AG5tWRl+5jGU2dEWls+AKtWbZ5RfZ6Q3v3e&#10;1s+gsVcZjXFyqqtxeELj8KRqXEVzvYzGU1W/sb3Fx6+2zUG8PNF4WAeDmtgTGo8xJ6d3pUmzRy0O&#10;QICmcaFqPCdB9x1g4CLwnqPxixq3WqpXN83fwFKN09K7S68+FU2/9h1fFt8hDfRLRm/TeJbOM6EA&#10;wAWH0/I2BgjSP7CBjEjrqfdFV+MASRreQbp0e0Wv9S/p0uV1fT5pKunpAzT3VOPZsdY6Mi6hrXTs&#10;7GgMvBMS2lRrRT8pVo1nqsYTJw2R6NgWutbnnVzv8YbeO9vo2R8kMzVO02dEq5b6BSm8qbRuSxye&#10;0LW/JRFRrbRWeBnoBqxFK9CgkHrSsvWTWgc01/tUkZjojlr3Akzj4qmh5ug2xL+OxaBFq6dkwMCq&#10;EhvfXu95g3UOHKqGythx/cTbp6rGQTVuTa7X1PtiN601Q00bnLXS0nvqZ9/VtTymufG8aUx72oIC&#10;R+PiqcEWh9593zBt2nV4SYYMrq/3xV56niJk9pxhtu+UkV1Lcv0RA5L8A+trze5RqjFOackpHTXX&#10;X7V5OnXRXA9sol9o+uu9IVrXHC85EwZJfGJ7fY84PGoxCwltonWx732NC3x1ny011i84cfB4Q2t2&#10;S73PeeuXvjiZNjPKNMZZr3Vb4vC4wVjhkS1Vj4ElGoeb02RwaAPNvSctT/v0eUfrSQfVz9/J42lh&#10;+lzZT/wC6prGzVs+Jf09NQ7x7TQ+aByhc4XqmemvZ7+aNGkO2PiM1vUa+sVV9ZsUIrN1nqIpQZKe&#10;CTRfpVRjb5+aeh/sorkZ4Gg8Ldgcyfr2B95TjduhcT2tJz21DoSrxgkysdBXUkd2KwFVH9GzrvUk&#10;oL4+16BxcKnGKSM6qW6v6TyPaH1/TZ8hcFOkDkTbOUfjxCTqyas2D6AfLWRHjQaAdDQuKPTTXG+l&#10;cXzR5kHjoaEtVA8v3XesXitGxuUAhTe3/RAH4M7wiBaa655lNPbW2DRUjZ+yetun9zv6bKT6jfdT&#10;jbXmTA/XOtDfYEz0NY0HvKv3xbZaZ3y03jgaA94N9q0uTVuoxq2e0e871fWLK+BisObxMK0Dql9m&#10;L4PPmjR7zOLuNaiG7rOzjvHT9UaqxiFC295+A6jZj+j3lBdlsE89vS/2kMmTw02bibpvWl0DUToa&#10;az3xr2dtggsnOxpPLg7UOOBKXU7r8cMGTDtOf31V4yibh9bMw6yeEIdHTWMcS9F4SonGk4r8JH5Y&#10;m1KNu3lU1OeTFnquqbV671SNs2ltHe3kOrmD82KY3jvH6L1zGvdO1Zg22mERjXTPz2hd7KlrcIC4&#10;ei07fl32nowTe8nt2n7+JyDu2KkI8Q16WbLzW8jyNb5y7MxIa7N45Uah7N43ylo4DvB+RvxDXpDc&#10;SY1k1XofOXWBFopFcu3WFNm+K0UyxjYTTx0THF7eALV1W0LkzMXRcvPzArl0bZJs2jpMUtMaSH+v&#10;pyQ0qpwUTW8lG3cEyrmrmXL7iyl2rbUbIiUhuZZdKyr+bZk6q6ts3RVpLVlv3iuUc5cKZPnqUIP2&#10;+ns/JbHJlWTGex1kx74Ic5+780WxnL9cIIuW+Ot3xMoycPCzkjSihuDetutgvLlgAbCcOpcn89/3&#10;0fhUEE+fpyRlVBWZt8hD9h+Jl2t38uTWZ1Pl5NlcmTW3v/gFvibevs/LqDENDMo6eCxZbugYgJoj&#10;J8ZpPveSQb4vibffszI6u7Z8uKKvfHpSx9ybqK9iOXR0jEws6ireg58X38CXZFxec1m6eogcPTPC&#10;NL58s1D2HkiX3AntxXPQs+IX/IKMn9hQVq4bJCfOpanGhXLtdrF8sidVMsc113x/RoLCXpf8onby&#10;8eZgc6dzNd68PVFGjm5s2oREvioFxS1kw7YAOXulROObk2XdxmhJSqljGkfEVZYpM7rIlk8i5MK1&#10;Mabx+cuTZOWacIkdVk3neVJiEivKtDntZPuecGuFeUs1vnBlkixZHijh0W/JQJ9nJDG1usya31t2&#10;7o/TawCpFcnpc/ny/qIhEhz2hgwY9JQkp70j733QTfZ9Giu0Nr39+VSLw+x5A8Q/SDUe8pykZdaX&#10;hUs8Zf/RJLl2N1euG3iXrfW9jz5bvGwap2fVkkXL+8jhE0nm4HfzbrEcPjZGvyd0M/BxiGqcldtM&#10;lq4aLEdO38/j/QdHS15BhxKNn5fsiQ1kxcfecvzsCNP4+p1i2blvhD5zttI8flYCQstJXmEbWb1B&#10;Nb6Q7mh8vVC27UzWut1EtXlaQiJekYnFzWX9Vn85ezlDNZ4sV24VyfrNsTJ8RD1H49g3ZfKMzrJ5&#10;R7jm+lhdT6Hpt/rjCIlLrGGxikqoKFNnt5Vtu0PNiew2Gl+dJEtXBElEzNsyQDVOGF5VZs3roWuM&#10;1ZzJ1twqlDPn8+WDD/0kJLySDBj8lCSNfFvmvN9V9hyOMRfA258Xy+nzeTJ3vpcEhLwuXkOeNXhv&#10;wYcDNA6J1i4UjY+fGm9tZgf7v2KAaXpWDXl/WW85dCJRrqOx5jG5PrnYw3LdJ+Alc8dbstJHjpxK&#10;1bWgcZEc+DRTJhR21jP1nNaT52XchPqybK2XHDtLHAr13BTLngNp+v2gjaNxyGuSW9DaANeT50fp&#10;dSbKZdV4+67hMlrrCRoHq8YTpjSTdZt95cwl1VhrDnm8aVuC1uQGpnFYzBtSNK2TbNwepvk7Rs9v&#10;gZy/UiAfr4/SmlzLak5kfAUpVo237hpqjnrUiovXCmX5qqFWT9A4Luldg5d27AVuHKf5pRpfmCCL&#10;P/KXoVpPyONhqW/L7IWdZffBGKENMhqfuZAv89731npSXry05qSMqq31pL/sPexoDJh44nSOzJw7&#10;QHwDqCdPS9rY6rLwo15y6PiwUo2PnsrWZ5Ce4uP7sub7i5KZ3ViWrBik9SRFNc7TfRfKwSNOPfHy&#10;eUGGBDwvY3PrydI1nlqzU3WOSabx3oOj9PtBW4uDf8gr5na4cp2/1hPNYzTW8/DJ7hStJy1N46DQ&#10;lyV/clNZu2mI7mW0aXz11mTN2WEyMr2hDPBSjaMqSOHUjlpPQrWeZMgN1fiiarxuU4ye/7qWxxFx&#10;5bWetJYtO4PlPC2eVRvOzMo1YRKTUFXHPCOxie/KdNWYdrWXVOObqvHZixNlyTKnnqBxQkplrSed&#10;ZOeBKD1POTbP2YsTzJEvOKyC1fXhabXkvUX9ZM+hYVrXcxyNz+TInHme4hdUTrx8n5ERGdVkwZKe&#10;cuBYgrm53fqsWI6fHq/Pyb1liNaTQX7PG5S9eLm31pPhpvHVm0Vas/X7cXF3rScvik/gc5rrdeWj&#10;VQO0ZhOHSRqvKeY0lzehg8bhOa0nL8v4CS21nvhpPUnTXHc03rV3hGTltLYcDRj6ktaTxrJm42A5&#10;fTG9ROMpsvWTZEkb3cQ0DomoKJOmdNR6ovdOzXXyuOTWXfrzZ0Dcr7/eau4CcfPm0lou3Jyojh/b&#10;LT/+cE/+Ld8ZgILTDyCN98Cukp4WIyuXzzPg7LeSdpc4w23fukoS4oIMHADewUHo3NnDQitCA41u&#10;n7PWkbTkG+LTw0CQjeuXWJtKwABa2AHc4KwWGqJ1x6+vATmbNiw1wAC4DNAIUAZYBNcyIBlcywDx&#10;PrtzTuTfTttMACda5QHuAYPgqLVj+xqDOP797+9KHN0O22d9vLsLbmOAUbTwxAkLZx+ABxzJaA8L&#10;gAWcMm9uoRzYv9mgOq5Dyz2Ar3Fjk8Tbs4vQxhOXoaOf7pAfv6d1EODOV+Ys5kBjXU1HoJNjR3fJ&#10;D9/fNdDjqy8uy77d6yV1uKMxQNNKHOYM4nBaMf74w13BhQswz3ugh82H+965s4dMl991vZ/dPWeO&#10;ckAyQ3w8DARZ//EiuXYZOM9pE8j+Vq9cYK5JAGG540eYS9jVKydtz8Bat66fEloW0oYWSAbAD43R&#10;1dX47u3z8t6cSQbJADXhoAesd/fOBcubn3W9tMcEIgGow20McARHPCBC01hjcUXjj0sTeYPbGI5a&#10;+/Zukq++vG5QDo5iOJSNHzdcNe5qYB5ACcDX99/etLXgfnby+B4DmtAYsI4WrsBI3393R8d8q9e8&#10;Yk5YI1MjbQxA0/Klc8298JefaKX1o0F+tLTFNQ6QJj3Ncd87c/qA/PyTo/Hnur9NG5ZIbJSf7quH&#10;ue+tW/OB7RV3L9P46+uW60BwgEjAnbjxASICK+FQdevGac2D6ardAMtlXMsAwG7fPF2i8Q9yT/N1&#10;/nvkej8DkchXztntWw4k+fOPdw28xJXPd3BPg/xw1ML97Cs9t+bY9u9vzeGwaNIY0xhYcPaMCbJn&#10;9wb58gvNddP4prUWzh2favmXEBdoZ+zwwa16tks01jUzBkcytEFjWhEfPrxDfvhWc12vg7Mjzno4&#10;YHnpeQBoAhAjfqwVjQHI9u/daO6HAH647y1b+p6cPrVffvr5c12vanzvgmzZtExoAzrYy8PaqK5d&#10;tdAASFdjIDNyPTLcVzXuac5wAFdAptSb37Sm3L55xq4/NNhTAjVPgSiZ9/aNU7pepzUp8Bf7IM9x&#10;dMO1DJewWzepJ9/qeu/p+TmuuZun56WX1Sb0piYCTVk7ZNUQAJIzQE7gCEgbzt0ahy8AvvR93AfP&#10;ndmvNW2kDPLsJvGxAQYVo/H332qu63lg3WdUB6BbNOask+uHD23X/Woe63n55qur8umhbZabaJyS&#10;HGag4OnjrsbfG1QIHJo6PMLmQWPc706d3OdAkrovoDocDYfFB8kgHUO7Xlz8Lp07ZE5saAPQRq4D&#10;hAHd4W4JOHjxwlHNh6/kt9+/1Jpwxs5RWAjwaC+r2TjM3aKNdkn7V8Axah45jKMb55220DdvnLW1&#10;4OgJyDtHa7C/1iTAMWo2YOoXdy+UagycB/gHZInGtE7etXOdxhCNv7M85L40UePso7mFUyc1+9CB&#10;LfKtnklH469sDM6kaBMfG2RulIcObtNzq7mu8wBL42BJm2ivAV2sHrB+6vhPP1BPfjAdiR11hHqC&#10;wyG5duL4XvlJ32Me3Bmp2Q5g2tXmW71ivlw4e9Dunf9Wfa5cPfqH797Oq0P3ktv2//gD/Pbg54Dk&#10;vnkAiANyAFLgH+2BB8o6CAGHAX4AkgDD8Y/6wDQAasAFQB6AI8ANgBBAJ0APgAFAEEAVAAiAVMAX&#10;XAtHKMYxZuzYsaUgDQAFsAVgBu8DIQC8AGXgigSAAHTkAnPMw5oBDoDGABAAalxHKBf4Yj5cmYBE&#10;cP4BVgBaAOYBvGAexgI3sA7WgzMcEAqgBGNciAPohP1wLeAJQDf0YL3oA/TG3C5IA5ADjAG4wRzM&#10;xXgANfR1NQbCYn5XY8YDiPA+cwGFAOkwhmsRNyAY4DPWwpoA1IBXgGDYE3AKMBJADnsCzENjoKGy&#10;GvNnIA80Zv+u61tZjYnd8BKgCVgGMAmIiTFcB9CDPMHRDI2JB8Aka+TzzMNYACFAGtYDvANM5YKL&#10;rIc8Q3fAIHIHCAhQhbx0NWZ/QEPsmTwF2CJ2wDSuxvwe0A5QiTFoAITlwnlALoBjADaMAbgBbgI2&#10;Y4yrMRAM2rNeYBsAHvKtrMbskVwHpAGyAp4CCCLXXY3Ja/IFjQGaOGMAXoBGzMOa3VxHY6AvNMbh&#10;EN2YB40BhNAfjd1cJ8auxlyLfZLrrJn5gH/IdVdjchRNge7Q2M11NEY/5mHtxAYIztUYQIjcBf5h&#10;vUBhwFMAYYwh14kvoJGrMb8n1xkD/Aikxx7cPGbdrI3cZb3EAb2BLwGNWAtzMYbPojHrpv6Qk8SB&#10;eag55CyAJBqT60Bv6O5qzLoBQdkvGpOrgIJozBhiCQDJOUNbNMa1jD26UCLzAM6R6y7oC7yHxu4Y&#10;V2P0AqxiHnKd2gFkyDrIY84gurtgHu57AIjEwdX4QWc94kA9QXvWi8bkK/tAO8aRi6wP7VkLcaeO&#10;oRnXIRY4GbJP1ulqzDmknhBL4k7NdusJ12LfaAUAR96wN3Kd+kFuMg/5QxzIddZLHhJ//g6NWQ+/&#10;cr+gRqCNm+sulMg8rJk8QX9ihcbUVc6aqzH5wbkn1sxDfaIusFdXY9ZFrrNW9g6kTM0GqmMML3QC&#10;VEQ/rkUOETtqsKsx+UoeMIZ6Qc3mnBEHV2Niix7oxxjylXrCfZE5eLkw35+9cidNPvrg/brkVv5/&#10;/8ODgufgGJlUuNz+QR84AHjKcRujhZ2HAQYAGcAHQAGALvwDP45AQE04GvUfgFsWDjgrZcbM9YIj&#10;D/APMA2wA+AEzk+ACczBXIBRQB2AY7joAD/5+eOEhYPVKpk1e6P9Hger7h5R5jzFmoAmgFGYhxdj&#10;ACCAmqpWowXgQAmPyNZ1AvasltlzNpk7EKARUBMt7AAVgPWAFJjDASLeE1zLgMqqVO1sAFnCsEKZ&#10;MJH2kmtsHkAf122MdoOOE5YDRjEPIAjXAtQB4Hu3SicDbgwoUY3RF50Bj1wnLNpd4tIEfFZWY0AV&#10;IDlgENqB9usf/weNcVqLiNQb/IBEg0EAMID5ssbd1xjwhjXj0gTEAexGy8CscQtsHjSm1SkwHKAH&#10;7kqAVsBwaAzk5mpMXgA1sRbcuULDcMu6rzFADK55rsYtWvraZ4C8HCenlaYxoAxQ0zvvdlSNfYWW&#10;imU1BhYB+HI07mpwDvn2oMbAebiNEStaOwJjFkwC7Fkr02ess/gCQAK3uC1FXTAKUIZ1AVwBjgHm&#10;sS/AMVoAFxatsDn4FcAKV0M0xlELUA9gz9UYndAYoAx90RkYaczYeaUa09YVjVkDLmGAO7h94SqH&#10;xpN0LsBMoDpAQ9bCmnAN47OcB7RJHz3HYC7yrmq1bgagRcfkOxrrHGgMUAQg17FTsGmDRrFxEzXX&#10;aeG5WubM3WRgFNcHaiKP23cIMhjT1Zhz4cQzq1RjYFUDBUsgNnIQZ0fXCYv1kENpo3DEc5wSXY2B&#10;gthPtepdDWoalT6rVGM0AhJDY6AnNOb3gGLMwQuNyQvPgUmmMfVikE/KHzSm5Si5xVniLBAvoDbO&#10;APEu1DW5Tom4SOIABsgWMnSszk8cHI3JUQBcwDHav7ouksBnrIVawdr4O1fjlq0GWxzMmdA03mzn&#10;13UbczVOTJps+cs8aE0+ojEgJrUCWNUFBYGBZ87aYOvFqdHRmJaCuEg68BnzECuAQyBNgDpqoONI&#10;hmveCqs35BgQG7nL+SYHcXcjV1yNHTfKYtOYWlyzlodBYZljqP0rSjReohrnlgCQva22szZylznc&#10;uk5eAMNyb2jYqJ/mGm6egMeOxrhXojFwM3WdOsi81BN3Hlz8yAuAYDQGaI2KJg4f6pcfR2PgYFdj&#10;tGnbLtDuKa7G/Epd5cxQz9G4Q8dA3edkR2OtOTNnbVSNi2wfxJF5WFfqiFkWa+ZxNQY2BlZFY8cx&#10;dYbVdTRmLtzuqMGNGg+0ffXtl2gas5+yGnt5D7d7p69vpkFw/zsQ12FLye36T38e/A/zrbp0/XrO&#10;3HgpKAyyNnj9BlQR3MaAo0LDmwktH6dMG2rw1PhcHKHaSZ9+laR+w3+acxTwSl6+n55NfQCeG6fx&#10;HGQQk0fPN6Veg4cNrotLaC8TJ/kbKAMQMnZcf3PdAkKoV//vmsevGOg2cVKg6hsts3UeICggkg64&#10;vjV82ACDlBFOyz3mwQUtPaO3DA1rLG3bPyd16v1d8/hNGTmil2ocpPkXq3PFSmx8B60ndaVVm+dt&#10;Hk+vqgafsQ7moTXriLTuJXDeE7rmf2jeV9cxAzQGQzX/4jRekRIW0UK8fWpJ0+Y4YT0qtLUEPptc&#10;jJvYUNWJdnqddUw1adT0UY3pIxr/+jrGW2MdrtrEa1yHSlBII+nvWU01ftxctYaGNZXc/MG2Fkdj&#10;b9O4b//K0qDRPzWPn9Yv0i10DM5mkTpPgmTn+Oh6G6omxAHw6UXdZ7s/aAwwh+tWNw8cyR6Sjh1f&#10;NghrYkGAaUysaGXqG4hLUznTBnBseGo31TjIAEh+HZ3Z21y32nV4QerUf0hr9hv6BcSjROMYmak6&#10;JyR2Mj1at33B5hngWUXrYl9bB/OwLqBE3J4AwurqPAMGVtMx/VXjENOY/CGXBg2ubbqg8RC/OrqP&#10;gSUahxoICTA3aHB1g2mA5ob4MsZLNQ7TeeJ1vlADWgD7zOGw+RMGarka80LjhMT2mutvmcbNWzyp&#10;X6SbSY65bqFxnJ69IaZxz97E4V8GUsbEtZUJBX42B2tyNG6tur1uGhOHmNh2Djw1E41xI8XpsoHQ&#10;ihFtAMeSU7pq/gaUapwxpo+5bnXo9KJq83edr6KO6a71BHAxRl9xkpDUWeepL23aORrTlpZ2vxar&#10;aWF6fv31zz30DAOOPW0a446XnqG5XqIxawLoQ2PHCetf4jOk1n/TOGVEVxnsW1O1e8z2PnhIba3Z&#10;XjKlOMzyePKUMAOzBnrXMI2bNHtc/9xY9fMp1Tgnb5C1q8V9jzkA1UL0Mzm5g/U8RZjGuRN8zYmt&#10;V5+3bQzgYXRsG12Dr50F1gQwFx3XSusJrm8PWRyiY4mDozExH53ZX2tFA60njHlYfy0nScO7yETV&#10;xNU4c2xf0xioCY0BnwwmLKMxfx7ih/veSzrPP7XOvWXAq3seCgod8LOsxv36vyNpozXXJwfrWoBe&#10;ow1M9RlSx2oo+xo0uKbWPM8yGvuaxrjHORo/rM/utfS5eaBqHGraUDPIW2CxJs2esHyndgCfAWox&#10;T67qTbtanOEaNn7Ycp3cH1+i8dz34vWe5mca9+lHHB7RdT9rOetqPGUqGg/U2tDGAL76DR8ycC4q&#10;WuMwwb80jzPHeJrGXbtXMI0BghOTO5sm9zXup2e4mQHBprHGITG5i9YK1XiWaqw5CIjsaPyyzdO7&#10;b2Wtvz2snjMP5wLHyuChDQ0cq6Pz9O33tj77aK4XqcYapxkzY3QPba0+tGz9rJ0HWq/SCtnROEzz&#10;w4EScY8zjfVag3xq6nOC5vqUUDsPaAyM7DWIXH/SQLYAvXeNzx1k2pjG+Y7GA72BJB/R16Maf42D&#10;1uCp05w85r7FvbNvf+LwqMGWEVEtH9DYyyDd3n3f1PX+QzUpA8S16vCH/5f6g0Ac37vLvs8rOLxf&#10;1SMnwiUusZpBbABqNz7Llhufj5fNWwEYvSQssqp07/WIJI6sIht3+MuFG+k6Zrycv5ol23cOk6kz&#10;+kpA8Jt6/p6UUWMayfY9UXLxxli59SWtN7Nk7boYoe2kX0BF6dX/cRmT00B2HgiTK7e5Vo6cupAp&#10;G7bESt7Ervoc84r0H/isTChqJ/uPJMrlW1ly99tca3u5fGWkZI3vLAO8cRl6RopmtJYDx6Ll2j2n&#10;Pd3xU6Nl1ceRMnpMa+nd7xnx8XtFZs/vZdDO5dvj5LPvcs0ta/GHQ/U80nb0afENeslguGNnh+kc&#10;4+TKnfHmRLRkOc/EDfQ+pTUp7A1ZsmKwnLxAm9RxcvebPPlkT7K8t8BfhiU3kG49H5WhUeVl2ZoB&#10;cvpyqlxX/Wi1uOdgqsx/H2C6ptbixyRm2LuydnOwnLtCe9NsuflFjoE902boc2hUNene8xFJGP6u&#10;rN/qKxeujyrVmBaa02f10++elfRs4UhWX7btvq/xlZtjZe2GWD1DfcQv6E3p2e8xGT2unnyyP0T1&#10;y7BWqqcvjpWN2zTHCrprHXlN+nk+IzmT2hhQ4mp8+kKGrFgVqTnWRTy9X1adn5aC4pay72iUXLur&#10;a76bY45aq9dHSea4Npqnz8kg35dlxtweBu3QJvUznefQ0ZHy4ZIwPWutpFc/XMtelLnvd5WjaPxZ&#10;loGJh4+nydIVIVq/GuvzxxMSGFpBFi31tjaFV+5kyb1v82Tn3uEyb4F+fxneSLV5zJzhPlrdX05f&#10;SnE01uvtO5QiCxb5am1XjT0ek6g4nPUCDQK8fi9bbn+pebw9QfXz0e9ONS1W8cnvaK4PlvMlGl+4&#10;Nk7jmSQzZntKcGhlXc9jkpJeV7bsitA4jLU4Xb6dJR9viNHaod/vgnHLekxGja0r2/YEl2g8Xs5c&#10;HKPxjJOCou5at8tJ3wFPy/gJrWT3wQS5pDG6+7VqfClTlq+OkuzcrlovXpX+Xk/LhCktZO+RKLlS&#10;ojEuhWvWR8vY7HZ6fwamfslc64B2HI3z9PdpsvijUK1xJbke8KLMWtBFjp5xNL52d7x8emKULFs1&#10;VFJGNtG8oUVxeYM6T5wb6Wj8XZ45Ay58X7+bpDTWM/6Y1oPX5cMV/eTUxeFy/fNsA033HU6VhYv9&#10;JTahtsYBRzKc9fzlzOXRchWNv8qRLTuG6TPcEImKrWUaxwyrrLnuI+eupZnGF1XjnXuTZeacgVor&#10;39Fz9Zgkj6ytnws3GJN6c0XP1vqNsVJUTAcAjUOfRyUts5Zs3R2k6xhttYIWxsSzcHJPfWYrJ737&#10;PyXj8lrIrgPxWmvGyh3V+NzlTFm1Olrva93Ee/CrmutPSW5RU9n7abieX/IiR+tJpny8UeMwvr0+&#10;W7wgAwe9IFNmdJNDx5Mt1uTxp6rxkqXhWk/a6XWeE2/fF2TmvM5y+HS86qt5rBofOTlK46n1JK2p&#10;9FCN/QPLycIP+8vxs47GzENb1QUfBElSahN9/tB7a9irsmh5b60nqvFn4zSm2bL/0Eh5f0mAxCfW&#10;sVoBHLZynZ+cuUQLz3Gqca5s/SRR731D9PlR49DjUYlKqCRrNg7Smj3S0fj6ONmlGs+apzU7/B29&#10;1qN6zZqyaXtYqcbXda71m2Jl8tQBmus6pvejkjq6huZ6YInG4+Xs5bGy5ZMEjUMvfVasoPn1hIwZ&#10;38zaXdO2+o7G+/zVMbJ6bbR+Z+thuY7T2viCxrL7cIRcLtEYV7Z1m6JlfF5HGeD1otaT56VoWmeD&#10;ii9pHnPGcUpcuixCMsa2l76ez4vXkOdl6twOcuhUnObWWGtdevREuqxYE6rPR82t7S1Q4bwP+smx&#10;MyP0HsJ5oF33CFm4KFhzvanu6QkDARcu7aX1JNnqwOXbOU7t/yhAnyfrWR6HRVXSmu1rgBoa39Pc&#10;2bYzUb83+mqu15WuqnFE3JuycoO3nC3R+NKNbNm1f7jMmU/b/ar6ffxRSUiuLhu2DZXz18baGK63&#10;cbM+F0wj16tI996PyfC0qrJ5Z4Dq59w7z10Zq9dK0Dj00e93FezemTGusXyyL0bvr47GtP0tuXWX&#10;/jz4vZv/h3pZIG7urHwDlsxBCDAFh7Tv7xkkAQAC6AFAAPCFw9MvOJL9/Jm5xB3Yt0mKJ2cZOAas&#10;AHzB35sL2L9xizlvEB2wxIB+ncyNCJjlyy+vGmgDkHTrxinZ9claA59oJQi4A7yCS9Ovv+FQ9bOc&#10;OX1QViydY8CY2+4SiA23p99++9JgBQAhIA6Am1492sjIlCiDdL75+oaOcebBrQ2IBOCmp0drg3xo&#10;OUo70t9//cJAN6AJ1gwsxzw4feGIRhtCwKjfVR/WB7BCq9U+vdoa/HVVrw+QwjxAWEAUjAG4oX0f&#10;rlg3rp20MUBN33//hUEmaI92wBWMv3PnvGkMOIHbE1DH9KnZBjUBAAFoOHHAae0nuXvnsqzS9QL9&#10;0Io2JKi/rNV5vyxtEUh72NOmMTAia8GhDxjuS9UYwAVtgBiBEnFyQ+OE+GADe779+qaNQWPALly2&#10;cGli32iNpmU1PrBvi+bBLIMk0RioCfc92pGizQ/f3pTzZw+aQyDgChoDjgGoWRxM458M2kEPQCTW&#10;AxR26eIR1Q8HJtzjrtq8tFkEkCR3aL3KGmnv+fu/ASC/knVrPzDoEY0HDuhiMNLt2+dMPzSmfSuA&#10;C25m5Do6k+uAfz8bqPWjfHbvqgEtwGvMAagGXPjF55cNIvpV1wQ0iAsd4BO5zroBtb60Frxo/JMB&#10;RWgMhESLXfLwk+2r5RvNO0AuNAZi27JpqcFl7JtWjMCE335FqzecB3/R9W4zCAcQs1eP1qXuezjM&#10;AUACul04h8PcAsEZDY2BrYAHbQwA5O8/yvZtq2yvuFwxBmDp0vnDBghaHn99TT+zW5Ysnm5nF41p&#10;KXoFh0PyWDX++eevZd3Hi8zVENCSvfN7WogCDzka40K3rTQOg7y6mcMh7pKm8e8/aC5eN01pHctZ&#10;AGrlHAKumcZac+7qeLS4n+ue5qJH21Oc48i/SxdP6ufmmiOZ28Z429YVmi/XTZufVWPO4dbNyw0u&#10;o5UlANquTz528vh38vgXOXL4E9N4eFKYaUPtoeUozoa4DgK64aK3dvXCklxvY62nyUnqkmn820/y&#10;yY7VdmY5c8STtZ8/d1A1pk2041hJDaIukTOsGTjvsjkc3tO1fCu//PKtrF+7yEBUgGE0Rkuc4dCP&#10;eQCYj+j65s6eWFpP5s2dbG1GgTrR+OuvbllO4DRJTbeavXSufH7voupborGeDVzogGHJdWBBIGfO&#10;yS8lGl+9elpW6ueAQmmlCvRKTcTx09rr/kDr0lN2hu/nepDm+pqSODi1AjiYFt3UEbQZqXXloNa7&#10;77+7aXtCY8dhblFJrrcxIBj3zlKNtVbs2rHW3Dzdmp2XM1LOah0HJmae7765blAnrbYBgrkWuY7D&#10;oWlssfrO3O2oD8B75DqQ6XVqdonGOEHSinb+ewDBfSwH58yaZLn+k+rHveHrb+4YxAnYx30RVzza&#10;D1PLqTlo/M1Xl/UeeLHMPdl58X9AK7lt/48//2+BOMAL/rEe6IR/9Mc5qGvXrgYzAE0AMAAOAObw&#10;j/4ABkAM3bt3N7gMIMJ1hGIcoI/r0tStW7dS1zJABoAJoBMchbgW4AUt7HD4AShhPbSw45qAR0AZ&#10;QB60NgTiYI1ANFwHUIN5AceAEIAZAL6AoRjDPMAIQDrACUATQBrAI4AM7JsXsAPgB5AD1+F6gBV8&#10;luvQCg94CncgYAn2DRgBzOK6vrFuAArANiAuDw8PA11wL2K/QBMAGkAnAC4AHmgMHAa8whjmAWgC&#10;mgDaAHxCP1yGAKx4jzlc6ARwjc8zBvAJ2Md1uUI/4BGuBUDEegBZgE6IA9oQT1djIBlaxAKFAYGx&#10;H1djrgXoAZwHbMTvgXZcjdEA4JDP8j6wDOAimjHG1RiAiTG0UAQYAULh73mfH+AfNAX6QWPWBJRF&#10;HFyNmRO9gIfYE/kDIOQCfsA05Cgw3vDhw01jID/iAhzDGHRk/StWrDBt0Q+t0YL3yGPGAfyhMeeA&#10;McQMwIoxaIPGaAWoA5SDfuQHn3PhKcayb3LUz8/P1kyeubnOPMBnfIbcRRfylJiU1Rj4BwDHBSDR&#10;mTNGrrt5DEzIWWQMcwBk4pYFMOVqDPxDbgGisl5yHVCLz7IW1sTZAORhL6wXOBFQy4XPXI3ZN6AX&#10;2pDr5ABxIFbkIfAcYBHgE/MAkLktZAGwgI3IR3KF94gVtcfNdeZhLGeeXKGesGZgK6BYF57iVz5D&#10;XgJJci32R41BP+ZhXUCygIjsmRwEvGMf7BmN2R+5RZ2hTqAxUB1xQD/0IdfJAcaQ59Qd6hi5y/uu&#10;xugFIMh6OTdurjOGNTGe2sqZpP6xbvKROLNe1sN1+Rz1E405x+Q6+VJWY6AwcpMzU7ZmozEvdAAO&#10;pWajMbAf9Q5tiSdj0ZiaRz1hnrI1G435lX2jMWeOMZxT8tbNYzQmngBwwKNoTC66NZs9sXZANyBq&#10;tCNPAfWoeWU1ppYBn5LrgGxuzXY1JqfJLUBX9CPXOfP8vasxcQC8Iw6MYU3cu9yaTV1HP2BGcgqN&#10;yXXmJRdcjTlj6E6NZd/UE7dmu8ActRaoD23RGK3dXGc9aAyoRz1Drz97TZ097+CD92v+T+Ult/P/&#10;ux/+w7xPYKIAlfCP+kBWwDp16vY2EGmQz0iDZwALcOwBEADQAFIAvgBs4h/3AccA0CZPceAUoBjm&#10;AEoBLPHzx8npvoOQA1bk6DWCDDDAyWmI70iDSJx2l6tk3vytBqsAt+DU1N0jWoJDcBByQBlce4Bd&#10;AEGAdgDQgOKALwBugKMAMBYs3G5ucIA2QCUAM0BOgBuugxDQAg5CrIW5AJfCwrNLYRDWM/e9Lfqe&#10;r60HlzCAEtpLshf2BPSA+x3XQhsADGBCIA5gkKLJK3Qc7QRXGpSCIxQaew/Ctaz4DxoDdbAXHO/Q&#10;mLXhfoajkaPxBoOjcDxCYwApnJRwnXM1BkYCjCqrseP0hwudo/F787YaBMiegA1xmAoKHie4JZXV&#10;GMAPaMfVOCAQ9zM0pqUoGu8Q2k+6GvfsFafz5gmtbl2NAVzIFcAWNO7RM8qAr4xMNKYVo7MetK1V&#10;23FXcpzh2PeHNg9rAtTiWq7G/B6Nx2UDAjoa82I/7AsQycsb17IpBra4GgNYAfiV1TguvsA0JkbA&#10;SDiCAQehMe5lwF9ozDlhHuZzwSjWg+sTEOPw4bjQsWZnTzjgORoPMKApKNhxOCRncI0C+MLJjP0Q&#10;K9q6At+MTJupeUFLUUdjYCU0BtIiR4GIyjocojFATlmNQ0LGqsbAlo7GnCvyztUYaBVAs6zGgFpA&#10;lGU1dtwUF9p5QF/qRZOmTvtYgCTc5spqTB4C/wAOMQ+gKet/UGOAzHr1+xlc5WqcOmKmxcjVGODV&#10;1ZhfgXGZ+77Gm7UuFeiZ6mX1i7gC/NEKFI2LpzmObkCUrAONqWHUDqCm+xpvN/3QBo0B/AAZXY1Z&#10;D3AoMQaeQmf2FxyC+9kc3fP9PCYXiFVZjR3IlBa7awzUAqJ0NQYMpiYCqzoarxKgQ9bhauw4w01W&#10;TQBIHY2BRYkzeczeaD0dGzfBID80BjoEFmzQsK9pjKMboCguoEB5zEPtAcZkzcxDzUCHxKSikrq+&#10;SgDQAD8djfsbNBYQiMOhozH5Rw4Bn+GUeF9jzgzXcjSev2C7xjjNNAaEI49Dw3Isd2nbynrQm1qF&#10;xryIJ+cj3TReqtcij7fZOUFjnOh690nQPJn43zRGD9ZC/QLSo66X1ZgcdNpRO3UdaBBAjvrJWtgb&#10;MJyrMXtz3BQnlNR1R2NyCF247wEF+wzGGQ6HQyeP0RpQkDrsajwscfp/A+I69Bi89483+g6HS27X&#10;f/rDP7aXHd+6a9evAb5wkapa/V/SsvWLBgGFRjQ1UAbnH1x7gF2CQxtL+44vGgzSs3dFCdE/jxlH&#10;29FQzb0oAwRCQlpItZr/0n2/LH36vSvRsa0NqmMO3IiAFgb71hHcz9q0e9bguqjolgbQTJuBk06U&#10;7j9UevapInXqPSbtOrwqA72rybCkTgZfzJyt7+v1Ro7qKf0939a1PKPaPG8tGeOHAXz565cZ5omW&#10;SUXB0rzlS9Kw8VPSsXN5wRkuNc3DoAnm4VfAGdq6Amp16vKyePtU1+cKBwqbNj3cQC3gqNp1H5Nm&#10;LZ6Xbh5vCI5a6Zl9DOBgHoAvYKkuXV+zebp1f01wq0pL72VAhDlUqcYjR/WVajUcjYHZAF7Gjvcs&#10;1RhoKySsmXTo8JKjsa4reGgjyVTNHI0jTeOwiNY2T+u2aPyORMW0ss+6Go/VmACoAbbQShAIA/ei&#10;7DxvXYercbj07V/D9tWuw2sGqCUkdjSIiD2xt1EZfbQGVzGNcT4CbopLaKc5OsQ0BqwrnBIirdq+&#10;UkbjmpIysrsUFQeXagwABmyDNri20U52+PCuelYCSjXOn+Cn8QZge166dq8ofoH19Pz2sVgzD7EH&#10;+gOyYZ6uqrGvfx1zTeMajgtYpJ7h/qZNi1YviEfPSgZqjckeUKoxuTg0vLmeOUfjHr1eF9wMM8YC&#10;pxAr1XB6hN6/2pdo/JJqjPteK8nJH2RzMBdnwy+gnr5/X+OwqBYGvqDxTNM4TOtDbalV91HV7zXV&#10;r6rmaAfLF/ZErNgjblnAP47Gb+s+2xpM42oMmNmuA0Ddk9Kh0+uqXw0ZPqKbAYfMQ44NH8H/UeJN&#10;zS3N484vGyCUnNzZQCM0JubAUfUa4LL2rGnsqzk6anTvP2gMvNqt++umcZdurxpQNHJUj1KNAQYz&#10;Mj3tjDsav2mgFufa3MZ0njxde3hkC9X4ZV3P0wazAZFljHHc41yNY+P0S0mJxr37vm0QUU6+zx80&#10;BubCxQ99cAPD6czV2K05g3zqSs3aOBO+YkCv5WiB4zZGHo/OxOGwmsWpXfvnDISMiWtjueBorBoW&#10;D1Vtgb2e1HW/pnWgpiSndrE6gDa08kwZ6aHrrGQak8fEbViy1iXy2JzWoq3+NGiEy9qz0rlrBTuH&#10;aaO1DmhuMQ/xiB/W0cBIV2Na147QukQ8cRJD47HjvFSbR8po3FAyx/a36zAP+YFewMQtWj0pHh7l&#10;JEA1Zq8WT9M4Uu//Xayut2rzkoGHxGW81lpXY7QE5gJ45Zz36vOG1pdmpv206ffr+mC/hqYxLVKB&#10;MTmL+QW+thbWNHoMDoc1TGMAZdzdSjWeEVGicajWSEDpx1W/cqpfdUlM0RydHOhorOtOTeuh562y&#10;5Q0ae3pX0drf0XLTiXm0PusFab15Rpo0e0ZrdgUD40ZqHeAclGqc2EmfAxyNO3d9xQBPar9prOul&#10;5gBv16yNxs9L9x5vaq6V1AGuo/qQQ5FaW3FBbKkad1eN/YO09lOXytT1pGQP1RjYEI3fMv3Q1dU4&#10;OwcXokb6veFFy+OeqvHkKXr/KAHi6rfpeKPsPZm25iW3a/v5MyCur0/PJqfOx8rij3zl6Ol0uf5Z&#10;ntz+OsfAkYSkxtKjdzkJj64p43LayPK1Q+TUxRFy+8scuXY3W7Z8orU9s7HqVl7v81VlfG5HawUK&#10;fMU8n38/QfYfTdD7Uw3p07+8xMTXlglFjgPOuWvpcvfrPAOFVn7sa05OQ/zLq041NS7dZeO2KDl/&#10;dZzc+CxXvv1tkqxc76/3hMoycFBFSUiuL1Nm4DIUIZdvjbF5zl4eLQsW99fPV9F6pGMS65kT0Cd7&#10;h8nlm+MNWPru90KZNrun9B2g5yngLT2HjWTOgj6y90icAS53dJ7jZ1LNmS4otJLeOyrp80wTmbvA&#10;y2CKqzhqfZ4tX/00Qe8FrVWbV/VZpopq0EwWfjhQPj2ZpOvNlltf5Ni+8wra6hwVJWjoWxrrlvLB&#10;El9rR3r9Xq5peP3eWEkc3sQ0DousIVnjW8uy1UPk5AVH4+v3xsvWnRGSkdVEtamg95sqOqa9rFgT&#10;YhCho3GeXjdR9a8lvfuVl6i42pI/qYOsM/AuXe58lasajZXV6/0kMbW25q+O0XhOLOwq67dE6pgS&#10;jX8pkI83Ber5rCwDvN+Q+KR6MnlaN9m+O9yALzQ+d2W07sHTHLXQOH5YXSme3lt27EkwjQE9vvt9&#10;ksya11uff/U8+b8lySMamXvcnk9LNP4qz4Cs6bM9NC9cjRubU9zeT4eXavzNLxNlXG47PQflVL8q&#10;kpaBxgPksO71hr6PPgeOJUp+YTs9S6pxyFt6D2oh7384xCAlNAYWvPlFltbfJvoM9JpqXE3j1src&#10;406eT9U5nDXv2A3g11TzWDUOe9dAtOWrg3XMGH0/zwC042eTteapxn1eN+grr6C9rN0UJGevjCrV&#10;eO1Gf91vXdM4MqaG1rUuGocIzc0sjVWufK172rgtWHV5R/oPVP00R4umdpOtu8Lkws0Mzb98zfkM&#10;WbRsoETHV7OYxyXUkclTe1kLzEs3nDz+/rdCee/9/vqsVVEG+VbW/TWUme/1kt0HY1U/R+OT50da&#10;y8yhEW+ZxsNTGsrs91TjQynmqGUa/6rfiSd0MI0DQ96VkaObyvxFA+TQiWFOHqt+h44nyYTJ7cU/&#10;+A3TOE01Xrh4sOZcmml8UzW88/V4A5F6qMahEdXNeeyjlT5y4myqzoHG2bJzX7Q+ozbXvClvQNyY&#10;cW01DoFy/BxuY3kGR1FbImPqal0rp7/W0mfRdrJmfaCcuZxmQNiV21mas0EyfGQ9/S5X3iDSvImd&#10;NG/DTeMbup6vf54oW1RPv4B39RmovMRpjhYWd5bNO3HfI4/z5cK1TPlwubfEJFQ3jWPj6+hzZk/Z&#10;tguNsy0nvlONFyz21PuGaqx1J0k1njG3l+w6EKMajzWNT11I01zvqRq/rft6QxKTG8isOf1lz8Fk&#10;XatqrPv+9rcCzZWOejb1vhr0roxIbyrzPugvB3GGuzdO9cmVwyeSzRksQDUODKms96Bm5oYGNIpT&#10;IiDbvW9yZcSo5pbHIapxRlZLc487dk41/mK83Pw8x9aWlYPGOBm/o/f5NvLRigA9b4BuuXL32xw5&#10;dzVN87deqcY5E9rJKsC7yyMNJrx6e5xs0Pqcml5ftSkvEZFVNQ4dNbfD5Mwl1fjzPKt/n+yP0PVW&#10;kX6qMfDYpCldZNP2oarxaNP44vVMy4HYYTXsXMXE1tZn/B6ydUecjkHjXPnu10Jrlzxw0Jt6z6+k&#10;9/AGMm1WD9m5P0quoLHWnNMX02Tuwt76TPyO1Rw0njm7r+w+kGTucVbX9f5QMKWr3u9f11x/R1JH&#10;NdHz0c+c4a7fy7LcOXJyuBRO7aQ5XKLxqGYy//1BcujYyFKNP/8hT7+rtNDvGOUkOKyqjB7bwtzj&#10;jp5JLtE4V2MbJ9n5rUzj4NC39T7fWpYs95djZxyN7+i98+LNdM2p+qZxuN7Pxue3Nfe405dU46+c&#10;eydapY1uYBqH6b0zJ6+DrFkX6tw79Tpf/jhB9hyK+RMg7o/fux8E4mhzCKyCIxIuQ7gjXbly0mAm&#10;2m7iboNrGKCY4zb2nYEBgG2pw8MlMszHgJxFC6fJ2dO4x+EyxD9w/CxbNq20eQAVgCcAXK5dPSH/&#10;Npembw0iAhYBKMHdrHTMFR1j7nH8g9+vBjoBHwAQTTD3uI8M4nCcsL42BymcnJgjPjbQxuBCBzjm&#10;uG4x7hdJiA0yqAy4AigEt6dvv3Fc3wB3gFlwhouK8LF2rIwBlPn2a8bgVvSN/PLzlwY6ALrhxATQ&#10;hmsZgAtjgDhwJAMEw7nLHXPowFYDRVyNb9w8Z/AGgAb6LZw/2aAwR2PHdWvj+qUGnzHP6FGx8sGC&#10;YhtzX+OfZOcn60s1BvADuLp65bijsV4HwAVADYc1WlkyBmen+w59jsazZxUYLAdABVCCfndx39O1&#10;/K5zXbl4RPcx0Vyj0NjGrPvQwLGyGuM2CFiGxriT4ZTkuO99axoDWAHb4BjImMmlY3ByQuNv5ddf&#10;v7U4oTH7xxGKdpJAiYzBhe/g/s22F7QBqAFe4e9or+ho/I210ERjnKeAnxbMLzIwBjc85vlGNQaM&#10;Aj5jHsbgkHbqhI4p1fhH2b9vi2kM+MM1gXjQw9WY9rbozn7IHVrwMgao6b7Gv+j1i6Vfn/YGaeHQ&#10;xxm6o/Gx93W9Vy8fNegpNtpPc90Z8/GaRQY1Oa5baPyrrjfWcpCYApDh4veV7oX3AXfYI9oTbzcO&#10;jMGJ0dX499++Fz+/vgb3AX0Bvx46sNnARcYA5wFjciaJlTsGCBZwkTWb49gX1wyOBE4DGgMoIsa0&#10;8kU/Yr9960pdc5RpzBjcu4Dz3DE4bx35dKf06N5Kx/jY2QEQA4D89++qn14H0HbVivnWcpQ4MAZg&#10;DagJ9y9H459lyeLZBrmhMQDox6vft/aVIpqjGq9rejZYI22OyWXGAP/euXGmRGP29avFEKiM2kS+&#10;sgcgU4uBnlHqIfUBjYkDY3CYA4As1fj3HyRYdXE1nlY8XnN0Y6nGwKrUXmBg2iW7Gu/bo2Nozcy1&#10;fv9Gvv7mtuUNUKKrH7XqF3ORdBwrAStx8UTjtNQomad5ZGN+csbwOnlin2lMXUe/DxfPlAvnD5dq&#10;TE1ds2qh0HIUjYHZgLloLes49Dkar1y+wKCy6EhXv4XmLuns+xu5rjWec0S9ZkzuuBSb9+Z1jUOp&#10;xr9IjuY30B31xNFvhUGmjsZfGThbPDnbapsbB87rHzX+sdT1ElAaEI36+73WYfYMgIZzJ+tEGzRm&#10;DGAlcKPNoxp///09Aw3JY+oB5xCoGYDZ1RiomFrtaKxjZhcYnFeq8b9xCjtSeu9Ev8UfTLd9uPdO&#10;wEXa5/4ZEFe3ZfvIktv2//hTr1m7cv/9cx26f/PNN1+W/Yd4oAj+YR9ox4W0AA0ALYA4XAgL+AdQ&#10;BzADAIgxwGbANEAB/AB0ABcApeDABDgClOA6CAEqAFYAKQAfAHC4jlAABlyLH66FIxxABJABYAqA&#10;BoACYAWgAZATkALzuGMAZYA33PVwbWAJ4Cqgkblz5xq8AKTAtVgvEBZORMwDRAXYAMTBGIASfoDh&#10;2BN7B3gDogCUQDfGAGsAxgBLAAehAYAJwAX6ci3WBMTUpUsXGwe0A3yBxi6ExXUBRJgDjV2HOTR2&#10;14KWLjSGxkAnAEwAKVwHjdEqOzvb9oSOZePgzgOgwecBf9g/1wWoAkZyNQZewVGLeYDGAGLcOLjz&#10;ANcAcvECkARwcl3L2BdwCSAK8BnzEAcAF+IABOPOAxAEQMQYNAYGApRBF+YBIgLwYj9l4wA45GrM&#10;C4gNjQGoAI6Ak4BjXI3ZN/vANQqNiQNjiIO7FgAW8htIhhwF5EMLgB5XY3INuA1AiDURB2Ak9uvO&#10;Q/zRFvCHXzk/aIy2zIPWfIa9sG9AGuLgtrRlzfwAfAFhAlehMdCRC3xxrlgXewAoYx4gNOLgjnHX&#10;Q74BKjGGuAK1ldUYnQCL2DMaPziGNZMbnCNqBRoCzhFf4sN1GAdoRq7zPi/iQHwBlty1sD/czFyN&#10;+T3QH/pxHXID4Art0Zgzw++BkTi3rjaAqOQW+yJHcZtDL2LIWslVch93MPYNfEccdu3aZXFw5yGv&#10;XddB9COPXOCL9XC+qIm852pMHADtGOPui5rImWIugEGgVHKOGsq1OMto6mrMGDRHM8YwD7AWnyur&#10;MXWKOsP71B3yHsCP96kXbhyIIWPYO+siL5mHHCVfgXSBwtgTNY71Ux/QmDPDGGorY1xtmJNzC1hG&#10;jgKrce6p2a7G/Jk1sG80duNQVmMc5tgzkBu5yvr5O1dj6hP1jhxHY8YQhwc1Br4ESAQydTUGNkY/&#10;5gGipf6yDlfjsnFw5yEO1FH0Iz+o80C3vM+LGk+MqROuxsSBXCcG7B0N0aPsvZMcYA2shetRD7nP&#10;sRb28WevhR9+tOfB+/X/J0Ccb3CyAE+MGfuewVLlK7SQt9/pZNAH7eiAFIBkAAQAvoCacMECjABa&#10;AOzBPQnICiiJF1Daa+Wa2jgcfMbnOLANcIHrkoNLEw5CwAGAKrQXZB5etDrFLQgQ4tXXmhjQgMMR&#10;7fqYBxAEoA2Iw3VpAirBUQjAhrUAcgC0AYMAKpR7vbmBQMnDpxmcwDz8CuDitPfzsXmAOIClxucs&#10;MvCEeQCKgIFwNXvjzdYGvdEqclKh4zYGUIIOgGO4TuGEBeCCXlyfedA4c8xcSUmdJhUqtpS33u4g&#10;3oNwEnMc3cpqDIziuo3xe8CO+xq/r68FBgu+Vq6ZASGO25gDgpTVmHWiMe5cACVjVFdX46xxaLzI&#10;4oDGOOsBCrIG1uJqDMQBKIMrElAJGgOsOBp/qOufp5/50OL46mvNDEBLTAKidDRmHldj4BZcmoBC&#10;gGtcjfPyF5k27I3rlK/QytblQJSOuxIaAy6SK67bGPsDVmG/zMN+iBUgWYWKraTyW+0NdMsscXRj&#10;PQBWOMwBVd13whquGs8xXdgXoAvQDPAMGuMmhtuY04bRaTnqOiUSZxzLaE9K60jcw0xjnYc5iDtt&#10;YV99ranlBs6JtE91tQE4dEEZ9k4eAjI6GpN/jsbkYctWPqYx4A7wWVmNGc/niBHzEDPASua/r/F7&#10;+ucPzPkMfYB8HMDPcRsrqzHxZB4gIlzeHI2XmMbMMyp9tp6FNlKpcjsD3cpqTA6hMfUBjdGHOADa&#10;uRrTIhd9gBnLvd7M1oQzoNvq0tUYSNaBLXuYqxYQ25gx5Jwzj6ux58BEy2Nc5hy3MRzd7muMFpxt&#10;3PcAO8lH8pI5yF9XY/Qj5rjnAUbRMpf1AOgxHgASKMpxGwsyQBhN3XnQhhbLnLvyFVoaAMmZ5vPM&#10;Q80hR3CGQ2NqDrnOPql5gFX8ynmgxeibldroq63BocDAhUVofN/FD7jMdeokDvydU3OcPGZfcfET&#10;TGPczwAOs8Y5oCrxIlbEF3DMdeqkXS3Xyp/gzENNZ4+DfIbLK682MUAUkNbR2DkPgGicaddFkpoN&#10;HPdnGtOKFY1bthqiayvU9x2N3TymxgD3oQ2wKnWeWkRbb3ceNKI+ojFgHICfqzG/ojFuoqyDech1&#10;aiLrRGO3rhOvym+1M40BF4GB0Rht0JicJec43+wLnchtV2Pn3jlP86tQXi/fzK5FTNDYvXeSx9Qp&#10;zgBrprYzZvz4pX+A4Xh17Ru4texNnlYsJbfrP/158D/Mt+zc+etR6f1kiF9jefnVvxisFRntADnT&#10;+Af/GRFam3wlblh7gzhq1v6rgWxRsa0MYps8DScnHKEGy8hRfaRbj8ry2ut/MVBhWFJng0Wmz6IN&#10;Xphk53pLRHRLadfhRald+2/m5IT7Dq5UwBDAJ+OyfXTvPbVmPyuV3vpP6d23iqRaO0dgEeAf/SKW&#10;NcAAA1yn6tT9u/Qd8Ja5vOGSVTzdcXIam+Wt95Vu8ta7f5XqNf8pgwbXMaBk8tQQma7zWHvEjD7i&#10;41vbXJxwvPPxqykZY/tK4RRc6HAZ8teYe0p0TAfbE6BLUHATgx1YL7AD18K5Djcu1tKo2aMSFNpI&#10;x3jqtYJsHO5u6em0G2xqGgO54NSFqxxzAFagQUJiB+ne6w2pVeev0qrtMxIZ01I/620as280ThvV&#10;W3r0eldeLfcX6dj5dXNnY98u/IO7UWSM0/a2pmpMu0WcuhyNh+q+cSvy0RrT0+CzNyr9h2r8jqS4&#10;sMgswJQwc7QCJqM1Yp16f5M+/SuZ45LjuoVDX4BkZXnpGeku71Z9SKrV+Ic+e9QW3PeAp6bPjLRr&#10;pWf2lcF+dYS2hnXr/0MGDcF9r49BMKx3wqQAPVMD9Mx2knLl/6JxeEJ1aqxrHFiqMYALGg/wqqpn&#10;4R9Cq8rAkPp6ZjylqBj3rlDV0s9guKDgZqZx85bPC45zuflDNI+BldDYz+CaHr3fVI3/pnF4WuPQ&#10;XHX1Uo1DHI3z0biv3kOqmcYdOpUzgAmNyWNHYx9z2aIVJhp37PKyOc7lTcSFDo2Dtf6hcW89Ty9L&#10;xUp/0Zi9rXmNwyFtetF4qEFHQJGso3bdvxlURztT2kEWm8aBeh689LnBw3K4avW/i6dXLXPto/Xk&#10;TF3P5OKhBiMN8a9rroQ4c3kPrqZjev1BY5yx4uI7yesV/iL1GjwmfgEN7fr3NQ7Q+HqIp3c1ixPu&#10;ewHB9QyuLCp2XBldjYeGtpSXXvmL5s9zEhreQvXzMY2ZhzODc1jPPpVMY/InLAr3PdVY1wy0hMaj&#10;0vvqPaqmaQyQGZcAKOhXonG45TpucR07v2Yad+j8ksQlttM1+Kg2WnOmDJXsnEFaWwGTX5WKb/5F&#10;PHpWFtr04iLpnAfapKrGYU01Ds+Yxj16vyHDR+Ae5zj9MTZrnLfeD3rodf6lufw3GTCwutUG4jhz&#10;tmqs1yKvfQPqmUMYbpQDB1VVLXqaxtQczsWYsV5a1ztL+Yp/0TzFRbKBnSNi7WgcZHDhwEHVVeOH&#10;pEHjh8U/qK5+rr9MKqk55OjoDO6XreSV1/4iTZo9q/clNB4kU2eE2bkCqATk7dW3st4f/qZ18AkD&#10;mGmRDIg6RfeVM2GIagxsWdvOAxrhEDkBjXUtaMzZAOTtrHW4Zu3/Y7AzLma4ok1BY80tnNBGpvXR&#10;+2p521c3j0rmpMe+aUs6Vc8M9XBoZDNp1e5509ijVwVJTu2s1/J1NNZ9Z40bJMNV4zqqyztV/qr1&#10;spqMGk276WCZPpu6HmL12S+ovrkOojEwHK6H3EPIY84gGg9L7Kp16y96rUdksG99ux+QV2jjthb2&#10;GlxT6tf/p9bsh8UvsI5+jrpOPUZjf9V4gD7TtTaNGzd9Ws9hc6udjsYRpjEgb+9+b2ld/5s0bfG4&#10;hIQ30ZzzkqKpjrso+qGxz+B6pnGbtq9IdJwDCjIHgC5AIPBgl+6vq8Z/lbYdn9da10aKpzowHK9G&#10;7TqeK3tPfrDtOf/P87Lv84oa3r/jxavJcuZcnly+OdGcaz49lSRbdodIjz7Pa978U0aPbS3bdg6T&#10;C1fzrKXo+WtjZPehGJk6q5O1r+ve61HVrrVs35Es5y7ly+UbE+TUhQw5djZZPljaT9p0eFTad3pS&#10;c9tD9h5IlcvX8+Xa3Txrvbd9t9bBCc2kV//HpN/AZzUfPGTP/lFy4TJt5wCR0uTkhRTJm9RGGjf7&#10;m/Tt/6rMmjtQDh/LkCu38uTqnRw5eTFN1m3VupNeU7r0+KcMCXhd5s4bJIeOjJGLVwvk4o1cOXI6&#10;RU5cSJa45BpSr+F/aU16RxZ9FCgnzoyVq7d1zbfG63pTZflarcnxb0nHbg9JWMS7smRZiBw9OV4u&#10;Xdd5ro0XWnV+enqYDAmsIHUa/KfEDqsna9ZHypmL460t38Wb4+TQ8UR5f0lfa23asetDkpBURz5e&#10;Fyunz+XqnibK+StZcvhkkuzYGyo9+74gDZs+JGkZLQWXLTS+qtpcuD5G9hyOlelzOou373PmupWe&#10;2Uq2bk+SsxfReKKcUY2Pnk6WJSsHSrtOT0jb9k9I7sSusmv/CNMOjc9dzdDrhKt+zaX3gMelz4Bn&#10;NA7dZPe+NLlwZYJcupEvJ86PUo1TpWBKe83Pv2s9eEXr5wA5dDRdrtzMN0iNFrkbt+qZyKwjXVXj&#10;wb7lNA5ecvDTTLl0rUBjisapGovhkjyittRv9F9a596SDz4MkOOn72tMi9KV6wZLTKKjcUj4W7L4&#10;oyBryXnp+kSNFxony9GzieIfUlFj9Z8SFVdXVq+L0P26GmfL4eNJ8sFH/SQ4orxpHJ9YW9Z+HGOt&#10;bk3jq2icKLsOhEvv/i9JwyZ/l5HpLcxd7PyVPLl+N9/c3/Z+Gicz5na19oldezwiozKay5Ztiaqx&#10;ngedB0e3o6eTNC+8pX3nJ6R1u8f1vtNZdu5LVe1cjTPlk316zypqKX09H9ez/rTWBo3DvpF6rRKN&#10;z43S/EuRyTM7SdOWD2lte1GmzuwvB4+k67lzND59cZRs2qHPk1n1pGuvh8V7yCsyY46nHDicIZeu&#10;6jzX8+TImRFy6mKKpIyqL/Ub/1WfiSrJwsW+cvTUGNP4yu3xeq0Rsmr9EIlPftc0Dg6rLIuWBMqR&#10;46qxxuoCGp9MlmPnkiQwtJLUVY0jYmrJijXhcvpCtmmMgxetfxcv0/t0ZHnp0O3vmuu1ZNXaSD0z&#10;9zU+pBrv/TRK9/2y3of+JsNHNpVNW+O0juSaxjiK7fs0XmbP72btbDt3/5feuxiTqPF0ND57aYwc&#10;0ZqzasNg6dTtSWnZ5jF9xu8on+wZbntGY2rOzv16z5rcRuvEk3puntQ4dJKde1Ll/GU01ppzLl2O&#10;n0+R6e/pd+3W/9R7zAt6/+krBz4dpdfRmqMan7mULps/CZGMcQ2le+9HtH69pHHoJ/sPZciFaxPt&#10;ekdPj9A8TtFcbyQNmvxVn4MqyoIPhmgdcDXWmnN+pKze4CuJqVV0zQ/pc2QleX9RgHyKxprHF67l&#10;mH7HzydLSERl1fi/9DmypixfFabrvK/xkVPJ8uFyTwmNqqgaPyTR8dVl5ZoIa/95+UaBQcHUk31H&#10;Y2SA98sWcwDP9ZtV48u5mjeOxvuPxsvchT1M4y4eD+tzeGPZuCXB2rlevjlBzlx2NF631V/v009L&#10;s1b/krHjO8iO3cla13Qe8vhapuZslBRO1e+k3k9p/X9S79sdrL0qGlPXT54fLcfPDZfZC3pIizYP&#10;azyflcLiXqpfmlwpo/GWnUNlbE4j09hz0Iv6bNNH9h0cLRc5D2h8dqTVnMzxTfQ5/K/6fFFe3lvg&#10;I0dOZspVreum8YU0WbvZT5JGVNM9/UP8gzUO7/tq7R97X+NTw80FLjzmHanb4L9kaHh1c548eW6c&#10;XKPm3M7WszFclqwaaO2LO3b7m0TGVtM4hGtdUo21rl+4qvXkRKIcPB6v9/vXtHb9VRKSG1k72LOX&#10;cuQ6sdK6fuBogrz3fk/xC35FY/5PrXMNZcOmeDl93jkPOH9+ejrRWoF37fGMnvOHJXNcO9m+K0k1&#10;1jNOHl/PlN0Ho2XydNo3Py0evR/XZ8t2smNXqt47SzS+OFrP5nCZt6jP/wsgrqP8+tON7i4Q98Xn&#10;FwzQwCEIV7ZLF46Ye1i1KuXMBQfQBycncy379QtzbKL1IUAUzj8ABKtXLZTbuOT8eM/gANxwrlw+&#10;LrQSrFm9gkFWgAw4OeGWBaRAW0MACMcJq43QXo62kJ/du2AQAvDY7Zvn5OqVEwauNG5Y1eA8XN/M&#10;iej3r+Wnn+4ZYAdsAXiBWxbA0sGDWw3aA8ACLLl29aRcunhMunVpIe3bNjSICFcm3LKAW7777pac&#10;P3PQ4Dz2DHwyZfI4OXVqn+PM9QtOTjfkysWjcuL4HqlXp7LtHWgCZ7ofzWXoK/nm62sGUQDAAdPg&#10;hDV/3mS5pGMA5Zjn6y+umcbbNq+Q6lVfN5cmADXHyclxIsKNCfAIOA+4Jziwv8UB6ARd0Pjze5dM&#10;41kzJpjG7B9nMdy4cIb77dfPDTgEhBo1MtY0jo8LNCcnQMGff75nECSxvXr5hDnCNWpQxYAbXN++&#10;+vKGxQqNr185bi5NMVG4jbWWjIx4ywEAIaAmIDQcodC4Z4820q5NfVv7iWO75ftvS1zLdP84agHY&#10;AAihMXE4qXHAJQttaNV49dIxOa26N2rwrl6rrbXApS2p4+SExtcN9OHvcbkaOKCzvDe3UC7qGJzR&#10;TOMvHY1pvUgeA+gBTzmuZV/YegBvAOiAbHCDon3pso/myo0SjdnX5/cumxsaABWxAhICFER7rkN+&#10;ARwCI5GbQEJx0X4GbN7F6U/XjMbk8RXN49SUSGlQT7+PD4+QPbs2aC7glvWV5ft1vS6AHHAQGgM3&#10;7d2zwQCaUo2vn5bLl47LgH6dpXXLunoG0zTfdqluuJZ9aecYOJS9kjN9e7czV7vjx3f/QeNruqdz&#10;Zw5Jk8bVDN4hX4mNaazrQWPOB/kNeOfZv5PMma33Fp37e9zsXI31POzds1FqqDaM4/wAPdE6kjwm&#10;P3DfA8gDNqK15kcfzpZr104a3Mi+yFfO0KIPZqjG5cwlDR3MUUuv86tqDHAIjATEhcZRkUNk/boP&#10;9e/PmXZuHqMNbZvr1XlLADMBXr/SdZrGWnNo57lBPwfAhsZAetbeVM8bayHuN6+fsXnYT8vmtQ2k&#10;OvrpJ0KrVub5Qdd9WXOLM8ta+/Z2XN+O6rkH/kMbQCucCs+rpi2a1ZTuXVvJjGk5cv7sIXMtI49p&#10;5Qm4OP+9yZafA1TjmXqWz+lngK+YB0iUeB48sFVqVCtv7TcBrGjT+tOPn1nMv/zCcd8DzvPs31Hr&#10;SU8D3YDSXI0ByKhd5Dd5TKtj3Cldp0ny+N7dC6YX7VEBHAETP9Y4AMXiykjNYTytaWk7WqfWmwYN&#10;A7PiNIk2v2hNwbWO/AeqQ2NyfafGjvsGc5DHnEM0ptY2a1JDsrOSDSr+xvL4K1v3lUtHrOY5jm44&#10;dY6QI5/uMFAYbajrpvG5T6Vta33+7dzcQDfqOMAmeQzsTCtanCYBbAf06yjTp+XK2bMHS/P4m69u&#10;GLh6WK9fu2ZFA68BwIGyzQVRNf5a43pU3wdo9NQ8phX0Io0DcCVnjnnQmJqzZvX7VnOAebkvAQy7&#10;Gn9276K1NV67er7W1tt/uCc7r/9nII5/TH/wczjLffMAEAeEwD/YA2jUqlXL4AEXKAFuAXYAvgA+&#10;Ar4AYAHgAewBEgFcYSygB2AbsEOTJk0McAFk4PPAA4ARQFBAEIA9uLEBa+AqxOeZB7AHkAAwoX37&#10;9tK5c2cDawByAHtYD9fEtYzPAsEAsAD/AJRwLeYBmGE9gE/169c3KA5AApCB93lxHVzBgNeAGQBC&#10;uC7QCVAd2gBJ8WeAnmrVqhmUA1DiOjkxD7AIfweUA4gFZAbYw/VZM3MxBsgPYKdGjRoG3uEcBlDC&#10;nhiDxjgIAV+wHmAk4uBqjH6sxwXQGjVqZPAF0I7rqMWvXAeIw3XWIw5AJ1yLeVyNgWc6deokHTt2&#10;NJgQoMTVmJzgM0AcaIxjFnEDKHE1BphhHuLTsGFDGwPE5jo5sR50ckEZwBMAFhzJgJiYx9UYfYD/&#10;0Ib9A8W4Tk5ci7gBwQAhoTHgCX/ms24eA1udOKHPJxqH6tWr21gXAmRPjAFwIcbEEY2JA+tDE66D&#10;fsxJbgOgNWjQwIA5t00v62HdXMdtUwkkBHzIGDePuSbaAKCx3nbt2lku8jnW4WpM7IBpgHvQD5c4&#10;4sA6mAc4DB2IJ2cKQBSIB2inrMbAXeQoGuOERRzQmGsRU3IRfYCdatasaXAPa2ONrsa8D2wG+ORC&#10;m8SBvy+rMWcRYAmN0Rqg70GNyS0ALOYhDm6bWVdj5gH6A3qqV6+eAZ6cad5jHn5FByBT9gMoSRwY&#10;4+Yxv7Iv4CNg1TZt2hiERf6zDmoOY6hBAHBoh84Ah4xxNUY/NAaEbdq0qeU710U/tEMf8oOccF3f&#10;iDsQG8AjZ9fVmNwB2qOOsjcgQP7e1Zj3ASsBedEGAI04PKgxtYDcRGNgX4BX1uBqzNpw+qPWMA/g&#10;GHFgL67GXMsF0OrWrWuuisDI5DHaMIbzDGQKxEbuEAfAQFdj4sr6OWvUkpYtW5q7G/cL9s16GEsN&#10;B6h2nfWIA7WeazEPa0djrtWiRQvTEKgS/XifeRjD+jhLvE+NIw5o4WpMvrIeAL46depYPQFQY6+c&#10;B168jxbcx9CGeuJCsa7G/B4NccJDYyA/cp8cZS1cizNGbHiPedw4sA/WTB0gVpxh4li7du3S+yL7&#10;Zh7GuG6KxIF7p7uGB1+Lli4/9t/u1806Vi+5nf/f/fAf5v2Hpkpi0mShlSEwCLANkA9ww8SCFYKD&#10;FYABUAJuSEBNwGc4SAEYADEwBkAFuIUWocwDyODlnWQgAMAEYwADACkAGJgH6AEwCYgDcGCqOTkt&#10;MogOoAeXK4A3AA2AM1yImAdoAgctgBTm4Vf+jMtQ8VTGfKy/ny+Dh4zQ9wJ1PX46X6hBKIAVOPYw&#10;F7ADMBTr4FoAM6wPaII5phSv0TGzxXPgMNXFV/cdIN09Ig2KASQpnkrLx9Wl0A66sHd0Qi8AI9Zb&#10;WIRb1hTp3SdGx6CxfgHuHWvATVmNgXYAN9gT8zAncJ6r8YSJuGXl6xrQGP0CBac6IDvAMcawLmAf&#10;V2OuBVQHxOFqDNSEOxttMFu3cTQGXkpXPf43jQ1GUo2BwtB5bNYCjU1aqcbMB3gHDILGvID5AP/Q&#10;mHkAvwBVgJQcjddq/GcZ0ORqA1QD3AV04mpMHpFzZTXGOQxoxdUYoJO2p+zJ0ThG4hJoe+vEAR3J&#10;a/6eOXi5uY7+jKHdLwBRd49wfd/RGEco3J7Kasz6cMtzNSaPAJ/IdRzJAMhoK9ulq5PHwJg+g1Mt&#10;59jPtOnrLReB6Mh1R+PAEhhpnmrsuLABYuKyhf7og358BtBoSrGjMWcDgLWsxm6uT7E4kOuzZaBX&#10;kp5LP12vr64r3PKEXGcOrofG7BWNmYc4ACe5GhdNXqW5PtUAPzdWOHwB9P1vGgMuktvAYK7G8QkT&#10;Ndcj7H00durJ1NJc55qcs7IaA3y5GjOG/ABapGUuGgNj0u7ZrSfFU9dbngH4uRpTl4CR0Iw8djQm&#10;19P1HATZehgLnAes6mpMm0/OCJ/nWowh1916gsYZmU49QWM0LFtPXI1ZP1AV+2EeNGaf1Eb2BOzG&#10;eXbqCTXH32oC9QRwzNXYBV5djdG7rMa4GNKOmPapnAdyo28/p2YDQDKGmHGGWIOrMWujnrkaU9fJ&#10;E/biaozjIvUEcIw8Zn/kG2Ncja2e6NlHY845cB7OkmU1pv009cStOfye2JTVmFwnPqbxtDUGsdEu&#10;t30Hf9OYOldWY+ZibeSKqzE5xHnlTLIWNE4dMb2kntzXuGw9QWMXeC2rMQCkq/GkwhWa60UGNDo1&#10;x7l3UrPv15Pl4rabRhvWzBmzmj1p7R9guD8D4vh/npfcrv/0hy/7Zcc3ad9R4/CGtO3wqnTzqCB+&#10;gfolJdvTAVxmRUh2no+EhNIG73VzdaMFZ9DQBpKdg3tcuEydGal608KzqX4BrCA4unn0elNCI5qJ&#10;46gVIcUzwiVjrKfQKq9jp1d1389Lj14VJCqmheQXDJYZsyN17xFacwZo7a+nsXrdHLVwjYqJpxWo&#10;4/Y0eWqYpKb10rpUXa/zkr6e1xytZMDXpMn+5k5VVExb8p764FhNvyiVMyeifp5VDG4omhJo1yqc&#10;HCwJyV30PLylef6i1soXZaD3uzIirZvWv2AbU1AYLLHxnfXh8R1dTznp3O118R5c09yeAFxYz8RJ&#10;ARIV21a693jD3Ng6dXlJBvvWkNFjcY8LtfXkTwiQ8Mi2+gXxTd33q9JVNQasGTOun+CIh8bj84fI&#10;0LDmJRrjQveqBIXUl3E5nvo+oFGk1o3BEhDUTHNcNW7/qnTv+YaBPoAyM3QMLk1jsgYKbTU7dlaN&#10;2zsah0c1N4iI9RarxqMzPPU81JcOpvGr0rPvWxId18bgFcZMUY1HpvfWM1tD960at39B+vR7U+IT&#10;20pBkaMxACSOgv36axxM49cE16jElC4GEzIG5zjAGWLYtkRjT693DPgCFGTMpMIQvd920S+9qnG7&#10;16ST7n+gTw29Pu0EQ2w9BYWBEhPXXu/fqrHuqWPnl8VnSHVJz9QxaDwLt6wAiYhqpw/ElVTj14R2&#10;mABiGVl9SzSO1Fz0NXirS4nGOHMFAnyNxz2OXI+SceMHa+3XXO9csUTjihIc2sRATtN4ZoSMHYcz&#10;XANHY8tjnCKaqsYaB80bANKMzIF6f21gGrdTjQGXomJbWxtHzgMa02aTVo2Oxs+rTm9I3LA2qrHm&#10;OhBWcZikjOA/ltSQDu3LSQfVuK9qnJDUSfM3wMYUTVWNU7prfKpYHjsOc28Z8DW52NG4sChEY9dN&#10;a867ei1HYy/v6jJiVA9dh6txkJ6zDuZERktSc/FD44yepbmePzFQIqNxj6ukMX9VuqjGgI60Ip02&#10;I9Q0BpgLiwA4Lm8ad+3+iuZsXcnK7q8ah8k0HZOdM1hrf0t95lCNtVbQHjZoaGNz0SIOaEwLXNrV&#10;dtI9M49Hz9c1dk00hhqH2Y4rV+YYL/3i3FDzqry015rSq09liYhppevEjVI1no77Xj89s7VUl5ft&#10;PPTqU1FiE1obDId+xCF1JC6INVU/1biTatz/HdW4o0wi13W9RVOGSnJqd/37qrpeV+O3ZXhqZ32v&#10;ROPJQ7UG4dBXxcnjLuUMenPcKIFMVeOiIL12R80XzdESjQEX00b3UI01DjrPhIIgrYkdVOPKqvFr&#10;prGPbx0ZbW6UjsbAXOFRrVXbCpZ/tCf1C6ijNVvrSYnG43O1noS21C+a5PFr0k01DghppPXErdlo&#10;7C2BIU10rWj8nMbhNRka3tjRWPWjrmeO9dbny8bSUTUmVj1w6ItuYeCnjZkWLqMy+2qu1NYYOBrj&#10;fhYTrxpTT0zjCL2/9pWBnnWkfYnGfVTjuGEdnHqCxsU4HHpoDdE85jyoxjjMJQ/vVFKzta6rxonJ&#10;HtK7jMYAsoCyrsY4gsYldtJcr2w1h/a4Xj5VtZ54lGo8cVKQRMd21Puraqza0GaX9Y/K7F1STxyN&#10;I6JbaxwqOLVCNfb1ryWZJTWbMTl5fvq83lo11ntnu1fs3ukf3FCyzPHT0XhcziCt441trdSubj3K&#10;ac2m7a2XatdfXw4Q16R9p8Nl78kPAnF/1p5lSHivfldvpsjtz6bL1dtFsu2TOL2PtNH4vC3hMe9K&#10;WmYz+WhFoJw5n2NjLl2fZK5XmeMby9BIPU+R5SV9bCNZuTZYzl/Ol7ufT5cLV/Nl1bqhkj6miYRF&#10;VZbI2CqSldNG1m2IlItXJ8qdL2bI2Ut5snSVv4wYXVuCw3HSeUPGT2wlG7fF6DUKdMx0g3MWLR0s&#10;KWl19Tpa+xKqy8SiLrJ9V6JcuVEkdz6fIcfPZMm8DwboPaOazRMZX0kKpwEsDZfrt6bYmo+czJBZ&#10;7/WV+OTqOs9bEpdUS6bO6iP7Do2UG3emyK170+TgkTQpntVNYhLesnnikqqY09nBo6Pl5p1pcvPe&#10;VNl7KFUKi7uaQ1pY9DuSNLKezHvfW46eHGtzXL9TrNdNsnavEbof5hk+oqa8v8RbTug6b5nGk2Xr&#10;rnjJmdDWII6waH1eyGhiLkNnzo239V6+MUk2bI2UMTlNVb/yMjSivIwa00CWrwlU3fLltu774rUC&#10;Wbs+TJ8RGPO2o/H41rJmQ4Scv5Jv+p3TeCxfEyAjM+pJiGlcUbLzW+jcUQZGMebMxRxZsmyIpI6q&#10;p/GsbEBO/qTOBkBevVFoGp84O04WLPKUxNTquqfXJCK2shQUd5JP9ibJ1Zuqscb82KlMmTO/vz4P&#10;1XQ0TqwlxTN7y96DqXINjT9TjY+PkmmzPSRmmKNxbOK7Mv29XnLgyCi5cXuqabzv8EgpmkYc0Pht&#10;jWs9mbtwoMFIrsa79idrHrQ3wIV5klNryMIPveT46SzT75pqvGN3guRMJA6OxqmjG8viZX5yukTj&#10;K7q3jduiJSu3me67vIToKy2zvixbHWC5yZ7IQ9zHMrJaqMZv6fWqSGZ2K1m9LswAIfQDeFuxLkg/&#10;i8av67Uqyri85ua+R4yY5+ylXPlopZ+MSK9vsYqKryZ5BZ1k8/Y4uXwdjafLyXPZtoekEWhcTq9V&#10;SQqmdJAdexJV4yK5rdc6dnqMzF0wwNwUQ3U9sUk19f7UQ/bsH6G5Xmz7OnQiw1rYxg172+aJGfaO&#10;TJvbU/Z/muZorHHY/+lI/Vx3fa+qrWdYSl2Nnad8eixDYzBNz8RU2X0gxa4ficYRr+uY6nrOPDXO&#10;bq5PMfdFnPIiYlVjrRUp6Y1k0Ue+cvJstpPruu7NO2L02V/1i6xoLW9HZtSVJat85fTFXNOGXF+/&#10;GYe+5iUavyuZWS3NafKcxuGOznNBa8bK9cF2BhyNK8gYjRuxoZ7c/nymjV22KlBGjm6o82itUI1z&#10;JnaUTdtirWYRq1Pnx8sHHw2S5JE1TZvIuEqSX9RWtu1KsHpy+/NpBsjO+8BL86625XHMsJoyeZqH&#10;7NqXItc1r9D48IlMc+SLT3qnVOOps3pY7qKx5foxrSczPCS2ROOE4XXNBfEw9eSuanx3qrVUnlTc&#10;0daBNomp1cz5rzTX72qu70vWZ+qOpjH1IjWtoXzw4RBd5zgd42i8ZSc1u6XlHvOMGF1HPlw+xPaL&#10;xlduaq5v1VzPaWmtWCNiqmjdaCE4TQIwuxqv3hCqtbyhzREaVUFzvYnWk6H63gSbx+rJas31jEaO&#10;xnFVZfyE9lpPtGZfU411zOkLOVqzfWT4KEdjzmheYRvZ8km8nblbWvtPnsuSBYu99dyicWU96zX0&#10;GbS7tUg2jTUOR06Nsfobn1zF5olOeFvrSTdrjXr9drFpfPh4utaTXlprqpnG8cl1ZMacfgaZ3lR9&#10;ee07PELn7qz5UFnvma9rHKrKnIX95PDJTNP4BhofGC4TJ3fSe8e7qs87mh8NzKHv+GnVWLW5dmuy&#10;OTTm6P0p3DQup/WytixaNtjgRlfjzdtjZFwuY942jdPHNJflK4PlLLmu81APPt4Upro2cjSOrKC1&#10;pZHWkxCrI8xj9UTvpWmZje08lNy6S38e/N7N69SpvZ4uEPfbr467DYDLlk3LrdUgrlI44cyZVWBO&#10;SIKDkHwr93AQWvOBQVO4/4zAiWhuobkM4SLGGACAFcvmSXpanM4z1HEiWjRTrl05qe/jqMU/lp40&#10;sANnL2A5rrVs6VwDJXD9+ffvXxuItGDeFBmREmVwCy0faUEJKMN6ASfO6NpmTc811yjWAwy3ccNH&#10;JS5D35mrEU5UOMwxR0pyhEFEgFKuMxygDK0QCyakmwsRL9pe7jEHoZu2J4Cbg/s3yYS8dL1WqEF8&#10;RZPGWuvKn38scRD67pZ8smONZGclGdQELEIr1WPmMuS47wG44CIFdML7aDR75kQ5e3q/ARxcC3Bk&#10;3ceLza2MPaHRe3MK5Py5QwYBWhzu4Ja1wHRD48zRw0xPwDZzwtIXYNeHi2eYi19MVIDFDNctgBWc&#10;vXCeAih5f8FU0xh3JdaFWxbzuxqfPasaz8o3wIVYZY1JNBjJcehTjXUMYM+04lxJMY3DTWNrBWqu&#10;b98LTlbALIUFGaYv+uTljDAY6TtX458+U423ysT80aYxa6J1JC5lgErMA1S3a+fHMn5ccqnGk4vG&#10;2tw/lzj0AS7u2Lba8sXROFZmTs/XNe4rdbkiPzasX2L6uRrPmTVBaLP4W0musz+0ALBCY379YOE0&#10;1eyo6ofb2Ddy8+YZ+WjJLNU40uYhLwxG0vz+t87huGWdlEXvT9ezEl2q8aoVDihj+un1iO17cyba&#10;+8zDmfl47aKSXP/OcgOwZ+b0CZbD5DKtfLduXlHi+vadgWNHj3xi8BnAFzrnjk81GMnNdaDWTw9t&#10;l0kTMvRaYTJSz++kiZlyYB/OcI6zHoDPnt3rJGdcqq3FHOYKxxgwhGucxeGbWwZC0eoWjcktWgID&#10;0QHCsR5gOM5i5uh4yxucuQDvzmiuO25Z3xoMhwMe+etqTCtVwCJcu9Dv9q2zBp+xVlzf+HXRB9Mc&#10;p0lzfdM4XNNc1xozUjUmd6hh1CBz1kM/PTcXLh6Ree8V6jpCbT24dxFfwEVnzFdW6wBMgbhYLxpv&#10;3ui0b3Y0/kKOH9tt8Bkak4MAczvI9a+dXAdAw5GM3CWeOBzSnhOA9PvvHP0AvnAoy9EzwBxoDBxK&#10;u1DHBVHj8N1tA9RyskeYxmkjYvSM5QiQKQAW6+GamzctM42JFWvGTRGQ18n1703jDeuWSGZGol0H&#10;cHPe3CJzfTO3Nq0FuBSuWD7PAEFH40iDwq7gIllSs6nNwIysg/WgMYAdYDOxxC3x8qWjWrMn2zoc&#10;jeOFNriuCyIaAwXSZpQzM1xzkP0B0Dmubzh80U6Pmp1tGrMvADyAasA0rkUccGajBpPHxIu64bi+&#10;4aynGms92Kea066bs8BcQLr7zeGwZAy5vmu9xdnVmHsFkClxZM3f6jW3blmhZzLB1kJMcfED5HWc&#10;Jr+3/GAPtMxNsntnvJ7nQturqzF5tkq1GDUyWnO80O699Vp2/KrsfRl4veS2/T/+/BkQxz3+wX+I&#10;B5rAvYp/+AeIALQAPMB5CpAD2AGgBPgCEAmwAqck4AsccoAHgIEAe5iDuQBvAD8AKlwHIQAw4Czm&#10;cN2KAOiAiBgDRADABOTFPAAIzAk4wzoZw3zAGbj5AOy4bk9cn3UwBrCC9QEnMA/wDjAXEAz7YV9A&#10;E8BnQCfADFwLqA4IB5ABZx8gLMAixnCdESNGGNAB8IN7EFAJvwfs4POsB9DFhcJclyEAIoAm4CHW&#10;4zo5sQbWAsQBYAIwxXXQh/0BY7gaA2AAXgCaoC8vwBGcnADmGAM0AoxBe1jm4MUYNEVbxgDBACfx&#10;967GAC67du2yz7saA/SRC+yJuHNdYCRXY64JiEQuMA/QE2Ac+2A/7IscAlZBEzRmzbg9AYW5cQAo&#10;AZBjDHvnV5ycAGXQF2cpwBXAGFdjgC0AE/7e1RhohjgABrEe1gX4BijDdYgpgA7gH9dhHkBIgCUA&#10;F9ctywV7WCvwIrlIvrkas3/yERiTHEZjxpDrbh67uU4cuBZzARYCN/IeY4CI+AwQG3OgMWPK5jrX&#10;BLQkX1yNAeZwfSMf2BdrJ5eAf1yNiUPZXEcDNGYMe0JjFzRyNQb+QXf0Yx7ODMCXm+uM4fdAY6yD&#10;faEfZ4gYch2ux/lhja7GnEG3nrgau7lOPFkPoBu5xLll3+wfKAs9gHTRhzEAS+Qm1yJX0RP4zM1j&#10;ICngRnIchzVyHjCKz7IW5mIMuc4YNw5urjMP+yf+nDVXY84gQBXnH21YM3tkH67Gbq6jMfNQMwAm&#10;Ac7cekJNQFP0Yx5+JQ4P5jpx4D3mQT9iRy3ifcYxJzHmffbFush16gnXKZvrZTUGbgT4Yt/kMXWf&#10;s48u5DK5iBZurhOHPSXtYZmDuch76seDNRtQkDgxFzF5MNepU6zB1RgosWzNZl3UbAA1tGEcOQLM&#10;SM6wLzfX2S/vUwf+rGZTG8hftOFa5OyDuU4dZwz74pplazZzAbFRq3jf1ZhcB6TjOszFGSMP0IX1&#10;oN+f1WzuYejCPOQZuv7Za+2GTX/4b+y8/v8G4pjAJzDJIAQcj3B1A6rAXQfAAAADdynABv4RH4cc&#10;nHKAdgB7gAeAPIBPAEwADMpXaG5uRcNTphvMA+jBOH4FMAAMcJ2wAFW4FtAA8wAh4FYE0PP8C/UE&#10;iAO4ASACCAmAA6gBAAdAgXkAhQBKgCmAEJgHGIQxtMJ76uma4jkQBzBc3pjHWQ/7A6TApYl9AVix&#10;d/6edTAP1wS4Yc/Mw3hafJpbkc7BCzAJcAzXH9zGHHhqqq0TXXgxJ5rh0PTyK40MhLuv8VK7Duvz&#10;HJhk2uHSBFACPMOeXY0BpQZ4DjN3L5yIAFe4vjsPGqMfe8FBDScsoB0+52rDPIBPQCIvvNjAgBGu&#10;gzasmesxD+AHQAkaA6gAlHCt+xoD8E22OKAN+wZEYh4+zzzASMA0TZt52XqIveOotahU4wmaYzh6&#10;4eLHPIA1aPGgxrjvoQv6kGdozL4Bd5gHhzziQCxffKmBxr/Q9p2d48yDxuQowBJOWMQLiIz84j3m&#10;YC7iQhxwAsQREI3JLRypymoMBMO1yB+gHeZ2Y1Woe0NTjx4R8tLLDc2l6n/SGG3RmFxHK66PtoA9&#10;aARc07adnzzzbE0DoNAYbVyN0YDYuBoTV3Kfa7kac744IzjUPfV0DcsJ3MeYh/PA/hnPPly3MYAs&#10;11HL1Rinx6DgTHv/hRfrGehjGms8XY35s9N2tIe5SAK8km+uxuQfenp5J5v7WaXKbS2W/F3ZefgM&#10;ABJ7whGQ+JfVGDgPkBKQ6dXXGlsc+IyTf/c1Bs6jRqAx+cwZ5lpo4mrMPoHynnm2ts1XtuawHjRA&#10;P+LIeoCwXNey0jzW6wGr0qr3yadqWC5SI9085n1+j/auxi48RU64GufommnBWrNWD3nu+ToGaZXV&#10;mBd/JnfR2HWRJL/Yr6sx7p5oj/vZG2+2suu4GrMW9sZnyCnymNxgzZy9CSX1mDWxB2Bp3PdYNxpz&#10;HlmzGyvm7tTZcZGkngC83q/rOMittBgTh2efq205el9jJ4+ZD/iS+wIaA9eRX2VrjguXketo7N6H&#10;7mu81H5PDXEd3dgfOcC+0QXXNtbMGPKTmHNd1ltWY/5MDUZfXtQN9l5WY65FHN5+p4Pd97iOO4+b&#10;f+yTesVaqHFAxayZvRQWrSsF4dyXx4DQj/94o//fgTj+X2xlxzdo3VYqVfovadLkaRmf10/GZveV&#10;ycWB+sAXrOsZrHnbwSCGGrX+JrQUjUugBepAmTbDcT3KnxCoGnfWul5O3njjPzRWFSUnv7++PGXK&#10;tCCdK0jn9JahYS2kZavnVZuHhLZ8ySkdZeIkQK0woaXj+Bw/1bi1xuFZnee/DPLIzu0n+RMHSfG0&#10;YHP3MajOt4Hq8rjUa/CwePtU0TPdVQon07ovXMeFyZisQapxY6lR4zGp9ObfVOO2ev3eMrEQh7QQ&#10;c91KG9VH74vVdS3/1DrwuPgHAvbQetPfwJ2iKaGSlj5A41Bbqrz7kFSt+pC+30PGjOut1/KTqdND&#10;NOf9tNZ7SI9elVWbv5sDVVhUY40xLQtxAYvQsx6sY3qpJm9L5cr/Rxo2fFLG5/aVseP7SlFxgK0H&#10;l6HY+E7SsdPrpjFOWLEJuMehcbCj8cQAjUMXadP2ddO4c5fXVd8Bkp2nGk91NM4e7621qqWepxek&#10;lmpMS9uk4R10nbSiDdWXapzrK0ND20jjxs/rPP+p+VrTNM6biONdsMEnQHX+AQ31fD+h98+HxRNQ&#10;ML2L6jbEQA9zj8vy0c82kdq1HjeNY+Nb6576qMY4pGmsVGNcB728auiZ+afWuMfFL6i21iFab6Jx&#10;uP6qX5rTPfU5oI5q/A99nnxI0jM8VONeMmmKo/FE1ThlRA/Nl7e1vv3dnNRCwxtpHaCVaqBpYxqn&#10;9hYPj3dN43r1H9c9ORoXTvE3jfNU4/iEzqpbea2jfxOcsKLjWqj2nqqL0woUGCk+oZu0a1fBNG7f&#10;4RXL43F5uE8FypTiYANcwiNba66/qLX0IWsFmji8nX65VI1nOhrn5PppHNpL06YvSoUK/yEDvapp&#10;nPqXajx5cqDqN1DvT41Vlyelbv1/Wrvf1DTam6JxqGmcle2jZ7+Z1KnzhK7n/2hdb6F/11fPTInG&#10;k4OsPebAQbX12eQRadTkMYN2RquGRaofeYzG6aMHiqdnXc3hf8q77/5d0kZ3tzyeNAX3LtV4kr+k&#10;juypde9dy2Mc3ULCcI8ro3HRUI1DH73XVZW33vqrnptHVIs+MkbHFKnGaIiLZMIw6nAF05gWnNFx&#10;zVUPWqkC3kVoPAN1THfp0KGivPnmf2o+v6T3L9U4t78Uo7HWnPGqcURUW33vZdO4m8frMiy5nZ4B&#10;gLlQa7+Zm+enzz4dpFmzl+WNiv+hZ7mK1q7+kqtnhrOHSxotRwODmuj5fso0BhRMScNNEVfGMIO5&#10;gEz9A1pI3bpPmcbhkU0lS/N4gtalqdMdjdMz+mudqeNo3PhRGexXU3XvXqJxuOZFqGRkeMlA73pS&#10;rdq/5J23/y4jR3VRbVTjItWYWqEa48jYt28VzeOHzNEtOKyB5kFvyy00LpwconHop/fOavLOW3/T&#10;cf/StWgeq8aFei00zFeNcUfr2u0N0xgALSq2mWrW39ZrGk8K1jEeWk/e1Lr+n9JKa24ueawaT9Zr&#10;Udezc30kMrqdgVy1av9dunQvJwlJbfUMeOlacHdUjfMD9Dmxo95fX5GKqnGfvm//QeMpWo8BF4OC&#10;m+r9Ffe9f0qfAZVk+AhHY+o6LnTZ430lMLCl1Kv3tGkcGqbnV/eVX4DTX7BqpHU9Y4DW7Lp6dh+V&#10;Bqqxj2811R2NcVpTjaeG65ddL31uqS/Vqz+szyh/l5SRnayuF+iZoVbg1DkiDUi3qu7pH5obqnFo&#10;Pa3btK0OKNV4RFp/zfXqGqe/qYb/tDkyqevFTs3BGTUpqZt+93jTNMYNNTKmqYwb/0eNE5N66DNM&#10;JdO4WfNnrVZkje8nk/XMoHGOahwT296A2Fpa1zt3e1XiE9toDB2N/3cgrsOWktu1/fwZEBed1N/v&#10;2u1UuXqrQA4D08wZoHXyJc3l/zDo49OTqXLiXKY58py/PEn2HsjU+tzdXLB69Xtccie1lO17aL05&#10;Vq7emShXdNyeAyO0TnWR1m0f0XU/LotX+MjR0yPl9IUsg1POXSqQbZ+kaP63lK4e/xLvIS/I1Nld&#10;ZM+heGund/3OJB03QbZ+kiAjR+u5qv9/xGdIRfl4U4jOM0rOXc6WKzcmyZkLE2Xthli9z9WWTl3/&#10;ISHhFWTBh33l0PFkuXQjR67d1mtdzpM16yIlOraOvFv1LzJseD3ZsTtajp5KlwtX8uTStUI5eSrf&#10;nOACQ97UZ5OHzFlr2erBcuzMSLl8K9/mOXU+WxYv9Re/wMr63PUXa4O373CiHDs9Wi7qWgFCjhzL&#10;ljnzfWTQ4Ff0LPzDIClaPJ66MFqu3p4gV28WqJ5jZPbcgdKn/ytSs85frIXr4RMpcuJshlzG9Ug1&#10;3ncwQ+uqnvP+T0vPvo/J+AktZNtuWm/itIZzXoHsPTxS8jUO7To8rjXuEVm01Fv39EeNt+9M1bxt&#10;o7XvMfHyeVaKZ3ZUjePkvGlcoBpNNPBt9Bg9Vw3/JgO8y8majcE6zyi91n2N122Mt/aenbr+U4LC&#10;ysn8Rb3l4LH7GgNCrt0Qpc903B/+YvHYuivSYnX+Ci5MhXLqdL4sXRGq94S3pGPnhyQ28R1ZumqQ&#10;uXHhkHbtto65MF6WLA+UgOC3TeNxOa1l76FhcvRMuuXDxauq8fHxMm/hYNX4NemsGgNY0er15IV0&#10;zeEJtp4jp8ZqHLy1VuvzZs2/yNSZPeTwyeH3Nb4ySfYfytQ61lv6DnhWn70elez85rJtV7icvjzG&#10;8hiN932aJgWTe+hz61Nav/4pC5d4yRFd76kLjkPVuUuTNJdG6NlvJ917Pqb6PSNF0zpY69Lz18Y5&#10;Guu47buTJCOrjbnU9R3wiqxaF6R5kyZnL2XreibJ2YsFsn5TgiSm1Nc9PSwBIa/J3IW95MDRJM0t&#10;HKpUY83VdZujNQ4NpGqNv0hkbA1rp+tonOtofGaCLFsZLkPD3zGNoxLekiUrvW3Nl2/mqTYFcub8&#10;ePloRbB+13vXNB6T3VL2HEyQY3oeLl3PN42PnsiR+R/46j2qnHTWc5UyqrbmRYA5CaLx1VuTzPXv&#10;vYU+4un1ulSt/hetV93k0Inhclw1NveuK4Vy4HCWOYP183xO9fmXjM1pIlt20noTpzWtFTcnGrw0&#10;ubiX5tbT0qT5Q7Jg8QCrFafOj9E9Fch51XjnnjTNhQ7i0etx6e/1tEwqbmftQc+pxlctjyfIJ3uH&#10;617aSZNm/9Bn1hdk5cf+Ns+ZS+N078552LA5UZ/xGuvZfFifI1+V2fN7yv4jiVpzNI9VY0DeDVti&#10;9VmsoX5v+g9rA715h6MxjnfE6vTZCbJ8TaSER1UxZ8LIuLdk8bKBmnOppvF1zb8zl3Jk+eoQzfWq&#10;8vbbf5H0sc11vfEa81F2DTQ+djJHFi7yV41fl45d/iHD02rKmvX+5iR4RWsO8wD7zv9gsJ7d8vJu&#10;tb9I4dSuclBr2/Ezo53zoBof/HSsPjMOkP4Dn5duPR+WMeMby6YdoeZs6Gp8SDUmDl09ntVnj79a&#10;y9Yjp0ZoPMdYrKjru/aO0ntPZ/Ho84T0GfiUFExpKzv3R8u5q1mmMc5lAGtZuR31ueOfeq3ntEb6&#10;qTZpcuaiakzN0TzetDVJn0GbmMaDA1+SWfO6y74jw+TCDdwdVeNrE2TjtjhJ1jjUqP0fEjT0Hf1z&#10;qJ5xN49Vv3MTZdXaKImIrmbaRMS8qfXNU89wily6iSue5vHFXFmxZqiERVaXt9/9i37PaqLrjbNY&#10;oTF1/fipXHNG9AusYC5+ySNqWHvu4+fSrK5fVY1PnM2SBYuG6LPCG/JOlb8YGHfgWJLWfs4DjpWF&#10;ql+2zJzjpd9hXjJ3zMzshrpmWoNnOHWde+fx0RqHfvps+4K5Ws5Z0E9rvWqs905qzvlLhbJ7X7re&#10;F7tKr75Pav1/Qut3a83baDlrGlNzJmqepOq9pbN+R3lYz96T/90h7oHv3bzOXjgS4gJx//4d94tb&#10;BloAD7RtU188urU00OH6lRMGZgAHfPX5ZQMMACp6erQy4AEnpxvXThrwBeyAc9u+PRsMZmrS6F2D&#10;K27fOu+4n/14z8Coe3fPmUtZQmyAzQOwBFwDMADUg7sZDlybNiw1l6LaNd+U6cU5cuvGacc16ifH&#10;PQ6wa9nS98zZC7cxnLBwo8IxCSgH+MeFOHy8PaRWjQoGEAGBARGZy9D3tw3iAOrDaQzHMZzHTp1w&#10;HLUAd2iFioPQ3NkF5qbVsP7bcu7MQQP2cNtiHtyeTp7ca1AL7kr+vn1LWg0ecuCLf39trlEAQ0AZ&#10;Hdo1lK6dm9mecCJyNQYiOrB/s4zNTDBtcH3DmQ23J5za0BgIBvc4XN+aNakm4aE+cuf2edsrujAP&#10;LntAHEAgzAOoBaCGm9lvGgNgGcA7AEiuUbf2mwar3dI4AcMxB/tmfbSpDA4aYE51uALiqgZQBgwC&#10;mEJsAZZwYELj9R9/aHsCEmGeH7+/5YAy7xWZwxUtEgGjTh7fZY5aODDhTEYLV+LQu2c7qV/3LTml&#10;eqJ7WY1xjgMyRGNaJOJIRjtCa4+o2vArLWWJQ6cOjU3nm7oHYo4zlavxoUPbhFagPXs4bVABo3B7&#10;Ys+Oxjfk8IEtluvNm9YQ3J4e1Bhgbvu2VZI8bKhpDJRDW00ALvLYdaHbvmWlnZW6tSsLLleuxuQx&#10;54ZztmblQmvriusggBXxxbUMjXFJAygiDn6+vVXjigbWcO6AiCyPf8At65i8P3+K+Hh1N40Bo3Ar&#10;BCKyPNbrAZEBLOGIV69OJYOK/pDHOGqd3m9OWLjL4V646P1pBooBh6IN1zp3Zr9MLhwrXTo1kbat&#10;68r1aydM4x++xS1La4VqjOMXIBMuYbh8AUaxRmst/PvXBi4C543NHCYtm9ey/Llz+4LjMGfOZp+Z&#10;BkCmKUlhpjEwEmAUmv1iGn9lGuzctlpzPVDq16tsMOFt1cucuUzjz3Tes4IjWliYt+UOsadOff7Z&#10;RSePNZ6Mx9EL90I0pm7geghQxvucY3Jk8cLp5uiGa54Br0c+sda78m+c/j43GBJHsv59O0mdWm8Y&#10;NIvG7BcXTrQ+p3UBqIq6xVzAZ0CxprHGCjgRmGrqlHFWJ1o2rylXrxyzeagVaIxTGgAk0CMa006V&#10;dtPmWAlUp7HiWkcO77D9tm5ZW7w8u2p+nrN9cR7Q54vPLxqYCmiIxkBzOE1y9qnXjgvdVdn1yRqD&#10;xqh/I7We3Fa9zDm0VONzdj+I0vOEix9xoB03rW5//c2pFTj9EYfgQE+t628YjHtL431f4ztW64BK&#10;cbpDQ/KMXPrqyyu2FjRm/Ys1L3FzQ2NcCnGW/ObL6zYPOuLORxvl/n07mMbkPbUB9z3mwekPV0Ti&#10;0L1rC62l1bVOHbGa42iMC+JVOX5sl90XcanDDRXXOhwrTWOt6wC9nKOc7BRp06qu9NWYUgM4nzaP&#10;rudLzWNgPVwf0fiDBZPt3vvfgbiOeSW37f/1p+xnnNd/B+KAPXDbAVYD7ACgAVTgPSAY4AHcxnBh&#10;AnwAkgBgAFTgBcQBdIBTFg5C/B54oaxbEYAGEAStI3Fq4vfADoAVwAVcC8AA8Io5uJbrsgagwTyA&#10;FUAUZZ2w3FZ5wBeADFwLcAsgynUQAkoA2uE99gV4A4gHLIEDHbACYBT7YB3MwzUBPQCMcC0DZkML&#10;12WIeVgbEAegA/MAaADtcC3WCyyDDuiLWxSuUcBTfM7VGLCH6wJxsB/2xf527dplGrMW5gLiAKbB&#10;vQoXK0CQBzVGByAY1wkLEIO9oxsacz3GABDipoVDmtuO1dWYeADKEGdigBMW8QRiK+t6RBwAXHDf&#10;YwwAE/tmDNdhPuAkNEEbNAJmcR21mIdrAdcQBzQGPgEeRGPG8EInoDBgG+YBFAKuYQzrZR40YB+4&#10;F+J+BnTC51iPqzH64RBIPrBvIDOgHTR08xggBjAG7Ro3bmzQEXMzhmuxbxdGwgmLXAYoQi9ALdbC&#10;9RgDzNO2bVtz4CO3OFdlNSYuAKE4YXG2iKfrWsY8rJl5yZeGDRuaWxawI/tyNSaPAe8A3Fy3MaCd&#10;shozln0CaKEx4B2wj6sx87A2zhrv4RZIrgMBMob3mYdcJA5cA40BNtHX1ZgzgX5cH7cxNAaYIwfK&#10;agywhNMkLpI4HAKf8T5rcDVmfQCkjCHfAbI402hMHjOOPCEOHTp0sBcwGnOgCe+zb+oLcBZ1CUdK&#10;ACfqEBozD/sHgKTusRauh57siRgxDzFDd9dtDGc9ADXXtYx5GMt5JQ5oA1zGOWOvrsbsEQASUJCc&#10;oK4AATLG1Zi1Ewc+T6zQjxi4cUBjxnOOcLNkPQBznCH27mrM+okDe+Z8UlN539WYNbF+gD3cNdEH&#10;eJMzzH5ZC+MYQxw4dzgcsm/24WqMjsCZxAf3OFw4AY8BBdHfreuMYX7X4ZDaS81BN9ZLXLmnsBfy&#10;Bic1csR1/GQe5mMMYBoak4ecF7RhHayHs4qDG3AaGvMr9Zm8ZB3UY/ZHjSYOaExceb+sxvweiJN1&#10;sHeuCVjJmlkv8/B7co5W3DgcogF/x8vVmHMI8MjZ5Zxz3l3g9c9eO3fv2//g/RqDt5Jb+f/dD33T&#10;O3T3M1AB2AEoAlgA1x/+wR8QBFjAcdLxM8AKSAVICEgBRx7+0R8Ah5Z+QD1AYQBtgCI45ABVADUA&#10;SfBZXHJ4ARgABvA+YApwAdBJ7z6OI4/bes51D2I+YA2gHYAKwAnGAXEAejCOF7AIoB1QGGOAmgCP&#10;HBenjw1UAGxgbqALIBegJEAZoAzGsCbAI+AF4BcADGAPYAfeB4hgHtpW0gYP/RjDvtECoIJxQA+0&#10;aAVM6dAxxIAIdAYydDXmmkAeaAyww3rcFoquxsSEPeDehMYAGlzT1dgBYBbaHgBA0JdYsTb2wX6Y&#10;B1CDeDoa+9megGlwTHI1BjoC2gFeQz8AF9cZztUY973gkCxbJ2MAQtgD77n7BrYBWHE1Zt3kADnl&#10;AiWOxqNLNSbmXL+sxsBK5AoudowBvHHcshyN0QhADTClU2f9YqEaA7qgK3tiHnKUzwDtsQ7WA/jk&#10;OjkxD/MBROKi5mrMr2jixgqAB2jNdeZi724LRVdj58xMkD59401j4B4AO9bxv2mMVuTXfY1pizvO&#10;1unmMefD1Zh5uC6xcTUmf2hTyRoYx5o5M5yRrt3CTT/AVz5XVmNgJfIAjZmHX4kneedey9F4pOU4&#10;dQIY6880dnOUeTiDQELkA/M4Z2ayAaqcOeLE3okBGqMhdQDAz3XmYu/EjXxyNea60TGcGceVEY0B&#10;+FyNGUcdAHpy6wBngjPP36ML+jh1aXxpXUJjcvTPNCZHXY2Zl3VyPV5oDLBHXWIMGrNe5mAu9k8e&#10;ozH6uRpzFstqPGLkDBk8JK1UY2opZ9bVmLHUFzRGP+JJDj2oMXntONUFGkRKLeB9N4+Zk1xCY7eu&#10;U3+oi6zD1dipS45jIEAX5x1tXY3JV/KtrMbUOvLb1RgomjPjaow26Md7zEPsqQPkqKsf16OGc95c&#10;jZmT2s9+WS+xIifLakzNpA7gVMk81Ej2+UeNZ5bWfheGJpZlNabWcmZdjVkXtQFtmceN50AvnOqc&#10;eydzldXYgSjzLS9djdGbNbsaT5iw6g8wHK/eAyMecIjr+N/+Y3zZnwf/w3z9VgBSL+h1q8n892nz&#10;RgtA2gj21y9BTfSL25vSts3L0qETrmUNZXwujlrBBmjQ1nJoaAuN5zsaq9dsnpChTXWeKN1XkMEe&#10;o0b31vNQX89DBT2fL5qzUWRMc8kvwIloqME9GZl9NZ6NdMxbGoeX9eHuJdW9u8ydF6bXAUzxVx26&#10;aa7U0nPwukFftGRMTG5vENHM2UM1poH6cKVfgAbX1br+pgFJLVqUkwkFPjJjdojNM3HSEI1LB/3C&#10;VU0f9MvZemh1OiK9mwBqsR6coYYldtZ44t5VUdfygrRvX0FmzRmqc9CeM1hy8wfpFxxaob+jtesV&#10;PeMv6XX1y+K43rrvQJ0nRPImDjEgAl0B2dCmd58qMn8hGtNyD6BkgOnl0QNns5cFxzZcy7JLNQ61&#10;Fn2hYS21rr+j+3Y0Bqaa/35kqca00PQPaKD6VbQ9de5WXsKjVeOJ3jJL986aM8f008810TGVpUWJ&#10;xsmpXVRj3OWCNQdV4xHddB+19TyUl9atXxRai8YntdOzO9jRWK+VmtZTa049HeNo3Lz5a5I3QWM5&#10;x9G4YBLQTkfVr3qpxrjHpaZ1lSnT/G0e4pmY1FXPA/GsKI2bvKj7L6/vsef7GkdHt1HN3jWNgae8&#10;fapLxlgc+gIsVjiumcZ9q9nn0aZnj7dl3kKc2mhBGaQ56qk52lT1K9G4wyviF1RPxuXgWgbgEqpn&#10;b5CEh9MS/F3L40Y6j69fQ0fjmarxtEDL0YDAhnq2HY27dC1xhpvopV9s0Nhp+RgY1FTHOBqzL7SY&#10;t8CJOfBYqub14CF1HI11Ho+eb0gc7nuFPiUaB+mXl15ac+qXaPySNGv6quTkeVoOsuaCQtU4qZN+&#10;yVSNOzoa42yWMrKLft6vROMArTndTOMOnd6QprqW1m3K6+eDSjXOU41jYttqnamiurxqGg8cVE1G&#10;j8G1zNEYpy+g2H790biCady9+1sle3I0xi0yNKx5GY1fFt+AugYIzZjlaJxDu+TI1npPqFKaxz6a&#10;R/MtVpyHQM3Rvqqfq/FLeo7LmTMcEBZnarpqPJZ2ycHNtK6/rfeQV0zj2Lj2uh6nVhRNAYzykMG+&#10;daVLZ605msceHm9IbHwbmViicbFqPCq9t/j6NtA4VtKa/bJpzHrtnM8EnB1irV8HetUo0RinxLdl&#10;+IjOWvcBcGmNG6DPQl313llb8/gNW0ur1q/LNEBC3TfrmTDBR9fXTvr1q2LnAY09vapKemYPvYe4&#10;GvvpfbqjPrdUL8ljrZO6rvfmR8hU1XiqnnPaoYaFN9cv2Dj0vaJnQjX2q2NwGfFknpw8b72HtNF7&#10;JxqX0/W8oF/ca8sC8ljHoPGYsf1Uv0aq8RumMe6OIWE4wzkaU9dpRYxTYnePt0o0fkGfn9rIexZz&#10;ANwA1a+n5qhq3NWp6909KkpMXGuZMGmQo7HmRdpo2qk3Mo2BF5s1fVnPSF+ZPZdYhWiO+lnrVy/v&#10;mtKp4+s2T5++b0lySieZPNmp62g8PKW7PgvV0S/imsdac1q2el3rPe11yWXVWGt8XDy19n4eDxhY&#10;VdIyPUo1LlCN4xPQuIZqp3mse+rc6U2rf1PtPKCxlz57tFD93rY8RuMhvrUFSNzROFRzcZBERrbV&#10;MVX1Oo7G3CscjZ08HpNF6+bGqgmuoC9rbrwmwUP13pmPe5yjcXGZlqktO3faU/ae/CAQx/fusu/z&#10;ConpF3Xtdops+SRKJk3pInHD6smgwW9rvN+SHXvi5N63hXLjswIDm2ghl5ffVSKja4lfwJsyfGQD&#10;A6gu38yW219OlLNXMmX1xiCtue0kKraW1usK+mt9OXwiVe59rfPcKzB3oGUrh8rYcR30TFYT/8A3&#10;zblo664ouXYnR+eZYFDIkhVD9D7YUsIia+p97XUZM66j0Frx7leT5PrdSfLpidGycNEQGTWqlWr0&#10;jgQNrWzrB3C58Vme3PwsXw4dTzH3uJEZzTQ3q0mXbq/JrPc85ertHLn1RYEBSzgOzZozUIYPb6r1&#10;/E1rkzp7fh+D4W59kS/X7uUaMDRjTi+9zzUU/+Cq0s3jNVmxNkTfn6DXKZArNyeYa93k4j76XNDA&#10;tMFpbdFHg+TM5UzbE637tu7S59jirhKfWFd8/N6WgQMrydadMfLZN5NM4wtXc2XD5lj9TthNomJq&#10;6zwA//Vk5boAa4uIxueujjEwMLegnUTH1dZn8jd0zXXkwNEUufdNody8B7w3Tpavps2zfq9Qjf0C&#10;35CMcS00xpFCi9nbuu6T50fJ0lW+Mia7lYRFq8a9ymstaWutbtH4hmp89GSGLFpMe2vVOOQdCQyp&#10;LBOLOsq+Q8M0lnk6T77GIUXmL/LU57OmJRqXE1qBXrmlOVGi8b5PR8rs97z0uaCZ+AdV1hr/jsah&#10;twDD3fw8X+OZa+DbzLm9tS421GeXqvp895osXRlg77sa79idpPclR2Nf1Tgqtpp8sMRLTl8c7Wh8&#10;K0e27Y6WoqmqcVJ9GeL/tt5v3tR9R8td1Zh5LlzLlY1bYvWsd9daVFvneUOS0HitanxdNf6KVqBj&#10;Zd3mofps2V7jqBoPfFOfr2ppbg3XWBXZPKcvjpeVawDOO2o91TzWeUaPaWYA1dXb43Ue2ganGzQ0&#10;dnwriYiqqc+a5fUZsbW1nWQ9nAec9RZ/FKDfM1obHETrzbwCoLoEua65d1M1BrZ6/8OBkp7RXIaG&#10;19Bnr3L6LNFbLt0YpxpPkmt3C+TAkTSZM89bv0s1k4Cgt2SoauzAlqmOxp9pHh9OVN176f29kcYT&#10;jcvJkmX+jsafF8jVWxPlkz3JWnv66vNGQ82/SvpdsZos1GuTF2h85c54+WR3jAFwCcPR+F2ttRVl&#10;47ZIzb8Cy+OL1/Jk07Y4vR/1MBAVjROSa8vyNX5yAY01jy9cGyvrt4bKhMJOEhNfR++PlXTdNWTf&#10;4WTVuFDXC/SULas+BobupDle3WI+KrOpbNwaJrSGJVanNPbLP/bXGtJavw/Ukl6q8fARzeXE2XTV&#10;mJrjwHsfLtXn24y2Wj/flYDgSpI7sZ3s2h9nGt/6fILBcx985K0xROPqln+TJvfUdarGX6LxJDl4&#10;dJTeSwfps1dzXWtlCQl9W3PdQw4fdzS+qXPt/zTJ6kdqmmo81Kk5iz7ys/Nyq0RjwLJp0/vps5dq&#10;7P+m5kZVmb/Y0/IFjcmfHftipXhGd312oJ68Kz17l5f1m8P1bDoa03Z0y/Z4fYbrqc8F9cTX/w3N&#10;+Vqab76mLfOQzxu3hcmEok4Sm1BHvAZVFj+/qrL7QGJJrSjQmjpe1q6P1OeqzvpcVV1rRUW93zaS&#10;9VuGOmdY8xjwixo0LreNady7X3kZltzUAD/mQWMcMD9aFiQZY9pJcKhqrLUUaHin7sM01vVQUxcv&#10;GySjs1pIaEQNfXZ4zc7h+WtZcoe6fmeSHD6WbsDriLQWlsfBQ9+SKTO6GYCLxugIKApwljqqscag&#10;mj7jvGaObtfvOhpfuz3RHA5nzBqgz66NrB5HRFeRee/3t3sLdRuNP9kbZ/FLTFGNA6tID73PrN0Y&#10;phpPLNE436DsSUW9TGNiFTespixZOcTq8B3NY87gph2RUjC5s8SpxoMGV9bn0Xdl174ERxudh9a2&#10;H2+Mkty8LnrPr2l1PXVUQ6sxl9FY5zlzSe+d6wJNs0i9d/bpV0GfRRr9iUNch+4P3sN37Fwf6wJx&#10;P3x3w9p34n42LC5YAv36yIiUCOHn37857kC0fPx49QeSnTVc4mMCrL0m8BKAC1AArj205wQsYkxs&#10;lL/4ensY+GTz/P6NXutLc35asmimuTPFRvkJ7mUABoBauOjgMgc8BUzGGOAKL88usmP7Gp3lVxsD&#10;gHHy+G6ZN6fQQK+oiCHmyAMo881XODnpmJ8/l5PHdhvElpYabUDOoIFd5cZ1HOi+szEAIYBHwD8A&#10;N9GRQwxqwJEM5yDGAMEwBrei1KQIGRrkKYH+feT333WtaKNjcEHbsXWVtd7EHSguxs+ci4DfgHpw&#10;GQJKYgzQXmJ8iAT59zWQShfjzKMaA0mtW/uBQUQJsTgaBZa0ZD1mIBLXQqd1axbJ+KwUiY0OEL/B&#10;+n1J18YPGuMkxnic4ABSALFSksNk2UdzLD7MgcbEjbaaY0YPM43RZtOGZfr+b6YxUMnpE7RzLDL3&#10;L7QBXNy8calBIjbmFx1zco/lAWPChg4S74Fd5NJFXOq+t2uh8aH9Www6ARgDviM/cMuihayN+eGO&#10;wWfEYcTwSAN7Anx7y88/f/kHjQH6AN2Acmiha+1WNQ8cjXXM184YJw5DJSign+WqyO+lGn92+7wB&#10;hkBnjlNdgMyeqc8BF4+Uagy0A9jDGD5Pm08cvvhxNb52+bhpOjYz0TTGdQzNAbUc17KvDQpc/tFc&#10;GxMVPsQ0Xrtmsa3H9NPzgOvbwnlTSjXGPYqWrABl5kj2m445vc9gnvSRsRJRovHZM4f1/R9tHgC9&#10;Tw9uk5nT8ko0HmIAlOOW5bjv4ZZ15OBWmTE11zQGvvPz6SE//PCZ5sO3NgZga9eONSWuW7gB+prr&#10;Fu1pfzGHQx3zDWPWOnFQjWnLGqPXI2/cWBnMum6JwX/D4h2NgfOAjwCRnDEXZaOOcTQOEv8hvW08&#10;P2gMMIez3oplc831EY1ZEwAkoBYOiL9rPIHPqB+MISd8vLqq5u8xi/5Px6jGwKsAauQv+Qf4RQ64&#10;Doc4AjJm4fwpMjotXiLDfMRba86J43v1/Z9MY2BeoCzqGY5vaIxTIg5utN5kTwCrRw5tNwhrZEqU&#10;tVMdMqi75uVtc2RkDIDa7k8+NsiL/aDdhPx0g+pcjYkZ89qYYaGmcWSot773S6nGX352WTat/0hy&#10;c0Ya9JoQ529nDADXcejDfU/jsEHHqK5ozJlCJ35cjW9cO20QHX8fpxpztgAggbmcuv6NgcfAmI7G&#10;fuLj3V0Waw13JtK6/ssXcuHsYftcRlqc7snRmHvBF5+pxrp3Wi9fUI0B/3BlRONBqvHhQzt0kp9L&#10;NaY17Rw9jyNLNObsAEsDw7InAFLc93Dx4xphqvFgXc8XX2gMSuo64PHeXeut5TU1NiZqiDl+Al+6&#10;LpIA4DamKMsgy6HBnhKqL+LtagzQu3XjcoPhElVj8hgAEjjU1Ri4dovWTcYMi3XuneyPH1wJ0Rhg&#10;ePWKBXYmcZgbpvV/9841du9t0Kbz0T/cm1t0mFVy2/5ff/7wGX216tIr8cF/iMfVhn+0B9DgB5cc&#10;/h5oBwccABlAEOABoBigAlxyGAOoAvzDGAAMwCfACnceoAegGIABgBvmAfgCPAFkYB7GAHW4TkQA&#10;ScAlwB/84OoD7AAsgrMZcBTwEzAS0AsgA2MAPtgDMBdQiQvTsE4cewArgB8AGQCiaKXHXEAfADaA&#10;IKzZBXuAfgAvgD1wH+OH9wEiGA8oiCbsCcAFiAMYxXUZAooBiGAvAHHAJ8Bx7jyAE6wfsAcojHkA&#10;yIC7gE5cjd04MAZ4inUDh7jzAIsA5ADAAXowD1AYmroaA8URBzRzNcYhCRjPnQfoCdgMcAP90BiX&#10;Lq7vagwQAywFqAVI6LZkBVxBY+ZBA6CdshoDygC4oB1jiC2uVoCLrsbEwZ3D1RgIECCFPbFuwEGA&#10;FcagMXMCRTIGgAWoiWvzQ7xZN4AO13c1Zt/Egf2iDWPYI2MA7oBcAI7IUX64FjoCRgEXAdpwLfbn&#10;uu8xD2OAz4gD+QD8wzXZhzsPcQWMQjNXY1y3AAyJNfOUzXVXY/Qmhq4+gHGAdsQZjTl35Ag552qM&#10;Tm4c0BjwiT3iaMZ10A/oCU1xyWIt5A+aEx9X4wdzHRiQM+TuiTwGNAPqQz/G8CvrQ2PyhjGAUUBp&#10;rsacCfRz50E/gCGATVdjoDAgJ/bOmtHajQPOXKyFvADYdOehPvEZICw0Zj3ozdyASszjglGMoS4B&#10;N1KX+Ht3HuAmaiN/j8ZoCMDHtQCj2Be5Ti4RB/KcWAGl8nlXY0BaQEtXY2JKXaDOkKO8iANj3Fyn&#10;7Sg1yF0L+gGAAbGhH9qQW8SXM+lqTK5zjhgDYMsLLdx5OKfUZ/aBbswDiEZOuhozhvoCtIzG1C3y&#10;ghi78wCxETuAQ/RjX9QNPudq7OY6GvN5NOa8k9/8uDUbaA24lhxGY7elLfthDLnuxsHVmPWjrasx&#10;dQxgj724GlOz+XtXYwA1arQ7hvWgOT/siZhyfvgcAClx4L5GHFgna2EMOhAHajXwJ7nMeXXnYf+c&#10;Z9cFEY2JK2PQjXP+Z6+Tp06fePB+zXfyklv5/90P/2G+ZoPO0qhxPwMoADT4h/rpMzbYP+oDrAHk&#10;VKnaycAAwBCAAuAh3geK4M/AIlWqdjHgASABwAYwgBf/+A+gASQD8AQcAEQBRAJAAITAmIRhhQIA&#10;A6QFyAC0AATBHMAKjAVuADxwXZr4M1AGUAXzMAagpUHD/lK9RndbO6AFsA7zsDeAh8CgDKlTt6dB&#10;PcBNQCZAEYWFJS5NuR8aoASQArQDkAOgQctMtGHMuOxF4j1ouK0F6MRrUIpBEnwWbXgB3NDSlDH1&#10;GzgaA/u4GqMfe8SBCVCEvXFdV2OuwxigHKAMtAE8QWM0Lasx7SbRDY3RkbazZTVGI8AZ9C+rMTF2&#10;NWYMLlfEmjUD5riuZe48/Oo4ug0wjQFU0Jh9Mw8tJtEY4AsXNpywgGGAawBcWCvaEBPyqVbtnqYz&#10;4Aif4X0XTsH1DcAGaIU4APixb2ATV2Pm9ByYrOvtZmAKY1gzkIybx0BQxJl94zbGvoF/WCfXYQxa&#10;AfagHzAN10Uv1uJqDHDTsVOIjQHkIifQD1CG6zlxKJa27e67vnEtgJ/7Gq9ULSZoHL1tzP+kMbnd&#10;uImX7Z3YoxUgk6PxWsuPkKFjLfdcWAkgrazG7C8gMFNq1+llGgPkoDHzu/Pg+kY+ubkOCMS+y2rM&#10;2RjoNdyuw/U8vZIMviyrMesnhuwJmAt3LeCfBzVmnYwhx9CYs4cuzMO6R4ycLrRApeaQ66wX/cpq&#10;TH0BRGIe2l1yLc4Ie3JjxbzUI8YAnznujvNKNSbXqXfE2q0naIx+zEGrXjQODcuyvGLv1BMc2zjX&#10;nEvW49STMaqd4xBJngFusd77Gi/WPBhZqjFAG4AV8XQ15ve0AuVMmcYaB2oZa506zYGsgCT7D0iw&#10;PbEm4kZOcpYYx5rcXK9S1XHWQ2PywtXYrSddu4VaHgNqAfPxd2VrjpPrwTqmi9UTNObMuBqTx4Bj&#10;nAPGUE9Y74Mac+65BhoDoVHf0M/R2AH4iE3DRo6jG2eQuDDGreusi7PmunBST1gzf+9qTP3x80+z&#10;92vW6mk1+0GNiQNQJxozF3HgXkTrVzePnZo9rFRj9HM15n20IdcBXhmDxoCO5EVZjclZjx7hWted&#10;ekKNfLCuZ2V9WArCua8Bg+MecIj734G4ug/8h/n6rdtqHNpoPPvKgvdj7R/saf8YFdNKzwqObv/Q&#10;PK6k2nQSWkdOnoqzWYBBUJHRLTXWz2v+PWqgS0Rke9XPR+eJMeAmO2eAQXTNmj2l2jyiOtXQs9hd&#10;z8AgmaJzFE/z1zG4OdbXe9kT0qjJ0/qlq44+4NEWMlDem0/ryECDKLwH1dQ5/qV14Ck9Gw1kRFpP&#10;mVAw2OA9YLYxWdTyqnad5i1e1PxrrF+cusrM2REya0644OiUls79u7LUqvsPXTfwXjNJz+hjgNFU&#10;nadw8hCNA/nypp67h61tYUBgC30A9pD3FsQYEFEwaYjuobPmZjnBiQ3YISq6rebBAHNyAojAxSsx&#10;uaPW6nKq38P66xuaN200nmgcpxoPVf18JDq2tdZ+HN3+YVBcfIJqnOPlaDwj0DR241Cv/iOq8bv6&#10;JaS91pxBFis0Hp/rqftorHt+WuqpPv0HVJWk4d1sfkAu9GFMoMahabMntdY+qXGoqWvupOsMUI2j&#10;DHQbqxr7+NTSZ6FHNEefUv3q63p7Sv7EMhqP7SPe3tVU40f1ei/o2WiotaKLzJgZLrPnorEDygC1&#10;1Kn7kJ715/UcNpVRox2NmQc3P4tD70qmcZu2r2qut9B7iIfMnY/GYTY2JaWLdO3+utSs/ZDWilcN&#10;9BkztkRjnQeNkzQOXbu+rhr/Uzp1righoa215vSR+QsdjfMnAiO10fvqixar7h5vaJ3vaCCnqzHQ&#10;YIzF4UWpW/cRjcM7en9tJ2PHeJvGQC7ZeV4avyZ6f3lG4/Avg5uSkrtKbr53icYBBiwRh2bNn9ba&#10;9IT068//Y6yjuYPNW+BonJXVT3O3tr7/qGr8hOpXV1JH9viDxmPHaQ0ZXEPHPKZzPav1pIGur4uu&#10;I1RmvxehYwL0vqjPmP3fkdr1/qlrek7veU1MY3NBROMpvvpnHMkqS13NP0fj5nqGu6vG0XomHI1T&#10;R2j99Kio9e8hA4kiIlob1AeoxDwFqnFKSlfp1s3RuGOn8rrH1nqf7qUax1itmKBrj09oqzF62TQG&#10;ZgOgK9VY58Hl0YnDSxpzNH5Lv3y119rvVapxjmocGt5U78HPSN36D+uzwbsGTY7PczSeqhrn5AHg&#10;ahyaP6P6PG4aR6rGtGqdtyBarxWk+vU3UKxR48f09YTqV0dSRngYNMXZnDzVT2jhOsS3po1xNK6v&#10;GnfW94eWajw6g3pfRev+PzXXn9U60FjztrfmHY5kgVZP0jN6aS68rWMe1nryit5PmqkW3WTOPEfj&#10;SUV+eoa6av18Q2qqNsCYYeGtJGNMP5nkaqwxG57aRbp3L28ad+j4un6hbKX3kDIaa50D5KXdNK55&#10;XbpV0PVqHcgeKEVTcUEM1DGD9AtiW7tGnbr/0jhU1mu11X0MKNE4RO9J3hIe2UJatn7W1tyr9zt6&#10;7rqortRj1VhfufklcdA912/wuH6xraYad9C/91WNY/RaQKY4l9bTHH5cGqqG3oNqaU54WM1hLTiy&#10;jRuPM7gTBxzkvL3q6T2vs74XInPn0Uo1QOPfWwYOrKpn6mHV+BnVuJHW3152ttEGjUdn6vOP5nq9&#10;ev/SevKSztnUNJ49N0rrOnmMxt21Nr6pGv9Dz/FLej9rqZ9DY6fmoHHqSFzfKpRqHKwaJyf31D05&#10;9zw0HpbUUevIa6YxLpwxse1UY09dh6uxj8ahvXQs1biSXqutnrX+jsY6DzUhMor74nN29nr1elsS&#10;EjtrfdA81j1P0TxG48lT+qjeDhDXtlunTWXvyXqPPlxyu7afP2vPMii4V+qVG8lSMKW19Or/uAzw&#10;ekly8j1k6bIYOXdpvMEgOBYdOJJqLSh799YYeJfTetRTNm8dZtDKjXv5cuV2tuzcHynpY+uLR+/H&#10;DF6ZVNhf1m1IlEvXcw1Au3QjT7btipPUtAbi0fNJCQp6W59bBsone1Lk/NUcuX5vgo7JkvVbA8xB&#10;rFuPRyUiuoZq5mNOXNfuAERMlAs6dvWGoRIVW0XrzlMSE1NH5r/vJ/sOptk1bnyWL+euZMiSlQMl&#10;IKycuXclpTbROPvLgU/T5aZe58bdiXL28jhZtHSQ+AW8rmfraa1jTWXJsqFy+HiG49J0L1dOnBsp&#10;cxb0kIE+z0nPvk9Lxtj2ep5ChdaKtz6fKFdv58uJs5kCzOXpBYj5vD5DtJfVH0fL8VNj5frdfAP9&#10;Dp9IMmerPgOelP4DX1SNu8tHS6PMJQwgAseig0dHSP6k9tK77zP6DPKa5E30kA1bEsz17bpqDMSx&#10;60CUORT1UI2H+FeUgqJ+snZ9gly8BtiDk1Oe7NgTL2kZjXVPT4l/YCXNXU/VfbhqkqP6TZCLN8fJ&#10;hm3BkjC8inTr+YiERVbTczvIHOWu6X4AtZjv442hEhNXVTV+Up/RamrN95W9B1RjjScan7+aIUvX&#10;eEtw+Os6z2OSOLyR1is/2X9otF3n+p0J5ub34bIh4h9UUXr0eFqSU5rI4qUh1jrSNL6bKycvpsm8&#10;D3qKt+/zuq8nZfSYdnqehsqxk2Pkpmp85fYEOXkuU2bP62sa9+7znN5f2pmLFG1Er6Hx3Rz59GSy&#10;TJ7e3jTuO+B5rfndZPFHkZajpvFNIMmRMrGok2nsOfAVrTXdZcPmBDl1PsvWjMZ7DsbK2BzVTzX2&#10;8a2gud5X1nyMxjmm8aWbebJzb4KkZzZRjZ8UP783Vb9+sm1nconG+ZbHm3aEWBtMNMZtbMpUb9my&#10;PUWu6OcNzlMdgZxiE2qYxuFRNbTmD5Y9+0fKxeuax7qv81czZcVaHxkaVdE0TkhqoM82vpbrN+6q&#10;xrrm81fGaa776jPyG6Zx0vDGsuijYDmkGrNnND6tGs9f3FsG+b0oPVXj9Mw2+swWIsdOOBpf01id&#10;PE9L1n4y0Psl1fhZrattZeWaSIsDGjPPkVPDzWmwr+dTqvNzMi6nqyz6MEJzdJyecRzJ8uXT42lS&#10;WNxZ+vR7VgYMfFlzvaus2xQvp86N0zmA6nJk7+E4yZ7QVHr01bo/pJzkF/TReMbb2b71+STN43zZ&#10;tT9RMrOaS49e+hzp+4YUFfeVbTuSLKeoA5duZsmWnUPNXQ2Ng0Pf0Xuul2zZOtzc2tAYOG/j1gjV&#10;raZpHBZeVe/NPrJnn2qsOX5d8/jCtTGyct0QCY9+Q+d5VOKG1dVaPkTjMMrZ92eax1ezZdkqf302&#10;rKQaP6W1uIF88GGQHNR6Ys5w9/Lk9KVRsvDDPuLj/5J49HpC0ka30ntUkBw9malr0VqhGuMu+N5C&#10;/e7m86rW9Gdl9OjWsmJ1hBw9NUaulmh89GyKTJ3TWfoNfEp6939WxmZ3lg8Wq8bnVWPOg17vyMlR&#10;1lq4T//n9BnuJf2O2UXPa5yeE2qOk8f7j9Dms5mj8eDX9Pmpt14rTi5ojjoa5+l5TtJ7U0vT2GdI&#10;BX3m6yNbVGNAOfL4staKrbtCJTW9lmkcFPK23sc8ZeOWZPv8Ta3r5CpQWFJKHdN4aGgVmTXXW3bt&#10;TTUA1dE4U2u2r7VQRWMAvWkzhsgujQPrvaH6nL+SLSvWBOpZqazPdk9J/LD68v7iQDlwWDWmrqvG&#10;Zy6na83WZ7Ogl03jEaNaypz3AuUI7X41Tsx1+uJYzfWBuh80fkaft1rK8pVhqhmuedTjXDl+LlVm&#10;zO0qA7yflt79npEx4zrJwkXhlqPk8VWtTbiIAsz1U4379XtRn0U6mSMp8N811Ya6fuDoMMkvbGlO&#10;np7eL2s96SnLV8TK+cvj5ZbVHNX4cLI++/N/MHhKn8lf1/tib9m8PVHOmMaAvNmyfW+EpGXW1fvi&#10;IxIQVEnjMEDWb0r6fwXErV63LNsF4m7dOCEZo+LFo2sLa9+3ctkccwEDcgEW+fabm3Jg7yahFWGP&#10;7q0MCNm2ZYXcuHbCnJyAXABlgDgAV3BRyxgVK2tXzTf3LkC2X3/9ylyGNq7/SEKDvaRvr3YGauzb&#10;vd5ALaAmnJoADFyXJpx9JuaPknVr35c7d4BXftJ5vjRwbPH70831DUc3YJsjh7fJl59fNOck5gEc&#10;oy0gDkJDBnnI7Bn5eu3F8uMPn8m///29uQwBLE2dnG2uXFxv8QdT5dRxxxkOyAPXI9yWiiZm2r5D&#10;gz31ulNl+9blupYfDSrB0QhAIjsrRXp0a2nAyFpd/8Xzh+SHb28aOPHD93etvR7wGU5EQFbLl86W&#10;/Xs3mDa//e64DB06sFloIci1aOG5dfMyuX71eKnGjAFyGhYbJD11TPqIKL3WAnM9ArICOgHiAFoL&#10;Dx1kGo8fN1z27vrYcdT66Z5pwxjaVAYHDjCnsPzcEarxQs0D2hr+LL/8/IU58QEuDhnUU7w8u8q0&#10;4mz59NBW+eKzC6Yxbk84+gER4UYGJDNz6njZuG6RfPvdXZF/84+3n8uNqycMwuI6AX59DUw6eQxn&#10;uKumMQ5UV68cl6JJWZY3IUED5IOFxZpfy+T3338wkOiHH+5aHtFasWe31uYaCKBz4dwBc3sS3feP&#10;Ogb3uKzMJNM4NtpPln002/LLNP4NjW8ZsARIgwMiIAxaXbtyzABInLnQGFgvKX5oSa5HaD7Ot/iV&#10;avzlNQNII8OHSO8ebQwU2v3JWsdRSzUGwgIa3PDxhwb34ayXOz5F1q1ZKNevAXP9Iri+fXbvkixd&#10;Mkf8But3EdWweHKWHD642UAty+OfNdfvaq5/MN3yfJCX5nrxONP4m28ANn+wWN26ccoAof59O5pr&#10;3sL5k+UEznBf4h73ucGhuG4BdfbS9QZpri+YVyRbNy3V3PvONEY/Wmjm56TZvsmflcvfU90PGPBF&#10;HgMunju934BGNAbmWrZkluzZBXDzq4FE3393+//H3lmAWXFsazv3nvPfe/TG3d1DjBDc3XVwhsF1&#10;cJdBh8FmgMFdIjgEd3d3d4ckxPUk619v9e6hp+mRECRS+3m+B5hdXV311aqq3rNfVhmoieyFeNy6&#10;ZR1ZsmiqcMys6zFZ/FhfOF63RLEcBticM2uC7N4JqKBrjnoMQLp65Vxp0qi6aTNwJ7De+bMej7UM&#10;mSYb1K0sYSU11mPaalx/oPHEl+g/aIw6mSZnzZhgMjaWL0u2sWjZsnGJk7VMY88po7E+eZSznmis&#10;D9NxWDR/knz2GaDbt8Zj7jtuTLypg6x5740fKLt3rDbj/FPIYyAyYr2MtgUw6r1xA2XZ4qkae1+o&#10;x2Q9umiAYMBjPAbSnTltrBzSuP36S8dj4EagNo6rxb/GDcNl2pRRGl8AwQ4Qh39k/uvaqblZswE7&#10;Fy2YomvVDgOZ/qzeAPJu37LcwI/FiuTQdaWe8RiYzIEXLxvIdO3q+dKiCZk6dc3u0kJWrZht4un7&#10;b3XN0fYAmQIaN2pA1rfc0rN7K5k/5wM5fowv0f9j/CO725xZrNnlTAzG9+sqmzcuNmCp6zFwHgAu&#10;WQABnIfoOCyaP1E+/ZQjUNVjnQ/nzxwwazZzISK8hDkmeteOVQYOddccsj0CHJbVOVWjWmlTZtni&#10;KXr958ZjMk0Ctw7s1830ifnHfQ/u3aBrxWnHYx0HjvgGYnNivbKO/whZs2q2tuV74zHrOrAtR/m6&#10;a/ZCjYnjR7fLt4C8ui8C+5KhDyibMm1a1NV1abxs03XSjWMyTTprNpk6cxkokyySl1lHde/NmLdw&#10;oi/L02YvMD20bSf70j39sve6rAVL9PB/EQ/4A4QFQMNRgwA1gB6AAd5MWAAlwBdAAQjAAHgBQIFy&#10;wFNk0gGEcI+MA1gCSiNDDuAAsAZZmQBPuA8wEv8GKCE7EJAMQAlgBW0D3uFPsmUBlBQtWtSAE8AP&#10;3qxlQAjASAAIbnYgMptRN5ACMAPADRAHsAT3AowCxqAfvEd7gEIAvgCiyA4EBMS96Ad94l60HQiG&#10;bGO0h7aT9cjN9kQ9wDRkJCNrElnfAD6AOiiDx/gH6AHM5c2ERb/dTE6UAabBD94HYqMMgAugEe2h&#10;DMASEBbAE2Aj0BGgneuxC8oACtJeIBlgDcAi4Bc8pt1cA4BEGQAgYBEAEYBF+k1ZrgHEwWMXOgEm&#10;AzjBY8oA3gHA4DFACf0G+OE912PAO6AUPAYYBFQhs5rrMeAIMUk80B5AGvrt9Riwxs2E5Y4D4wJo&#10;xAtvGAcAL28mLPrgekw9R48eNZ4R54BIAGq0j1hnrCjHOABqMQ7cD/iMfhPr1EGbiEegIMabrHlA&#10;O8QkseXGMfEIoEYZgBtgNK5zPSaOmWduZj2ALkAz4p/3XWCJeoHu8Jg/gc+IA9dj6gNGAjCiHmKd&#10;ezGetIXxYhwAXIl16mHsuQb/aKvrMdAVICZlaDv3wjNelMFLxo9YdzNhrV27NiFbFuNAnfQDf/EQ&#10;kApAiGu9HhOXjANzgr/Tb2KdOihDjHAt/tEmxoT1i3XAjWOAJeApytA35hg/o7/Ug8dAYcQd3uAR&#10;6xIQE+/jMf2nD8Qv/QYeI2sYHrtrBfckJhkj6gFCI9YYT9djxoFYAoqiHtYw/o1/3IMxJYbwlJgh&#10;6xsgLp7jh7seMw6sQ8QeHgNL0m/WENdj5gZrHusEsQ4EyFrGOLhrDuNA7OIxazYxSr+9HnvXbNYT&#10;4EPWN+ak6zHAGpAmWSRZB7mv6zF98q7ZeMN6whwDoOYeeMw4sN4Rm3gDWEe/uT8eU493zaYe1nd3&#10;PKmDtR2PgRu5B/UwrsQWMBzzgX6xFrLWs/a5mfWAOln7XY/xgJ+52VDpH1AxeyFtpoy7ZuMdHjMO&#10;QNj83PWYcSCeGAeEf/SbMeR9vAlSEBBHcpjQVn5tL/OL+UwOcNOu/TBxMpc5IAjZzwA0cuaqagAN&#10;QBaACL7IB2QAQOBYSmCkrNmqSPoMZYSMTYAVwBLUA2zjZOZqaWAvjrEDCgOaAAoAZABAadS4n5Qu&#10;00IyZKwgGTNVkGrVHRjOvRdZhgDJSpZqbOoAMABq69V7or7vZMKifL36vbQvkfJOujKSPUcV828A&#10;ByAt7scxkfXqxxjg5p10pQTQA/AI2IH7OCDDaAO0AIMAr+TNV0OAOhwY6Uompxo1u0i+/DVNGWAQ&#10;ICJAEO7Fn/gJDJU7D2VKGwAFWAqABogDEKRN2yESXrWDtiPC1AMMAkREO4AraBfQCZAXUAnjANQE&#10;WOFCTRzl2byFk/0sazY8LmfK44fXY0A3rgXgcIGlLl3HJXjMEYt4gcfAKQBLNWt1lZ69PjR1UBfj&#10;Vr9BH/W4kWkL40C2J9fjIUPJljVef9bTAEZAJ0BJjB3x4noMRAZEVKBgPQHWAtIDKAG8AkTiiMUO&#10;HUeZ++cv4GQSI1sTgEuc9pt66D9gFICN6zHADcAcvuFN/wEfGc+rRnTUMtW0zaUNwNe+w/AEjxkP&#10;JzNcO/U43LQZoMjxGKhpgWl7s+bxGuutTZ8BZSpUbGX8I/ZoD/EB6EamLY7NJFMdY+t6PGw4cTzR&#10;wD4AkLwP8OZCWK7HwDYNI/VBoXhjbW9ZbVMlAwORlc8ZT2ccAHmKFW9g+oTHHO3r9RggByiyUOH6&#10;xj/6z73dbFgcORoVNVo97iYFC9U2ZQD4/BkOgYGqVe+i7znjwLwg1q947MZ6lLkH/rnrCXPliseD&#10;de53MJAbZYCaWE9ccCyuH5kmifU22ufKpu94Sax4PW7W3MlaxnpCnAKlUsa513wTr8R66TJN1d9y&#10;CZApa4jX48hGfaREySZmPcmStaIB77pHX1mXKIOnHHtLe2m3m32PttAm7svY4PHbaUubecwcMnE8&#10;nHWJcRhlYp3MhvhHhjnWRPpNPUBfzHkyJboeMx7EZGwc4+nAwGSaxGPWI9Yu5hfxz/V47KzZg3XN&#10;7qhrNrHurifDEzyOjZuu64kb6856AsRIrLge0z9igPUkc5ZKxh/WE9dj5gP9IwtiWFl3PQEyjdJ1&#10;wMlwiIfAe856gsfOOACF4TH3olx0jwkm1vGYOUWbWE8YZ9fjLrpm87PCRZz1JGeucLOeMGecOGYc&#10;iPXuOg51tUxJjUNnzSbuuA8eEWvcH5ASj1lXWFv7aH/pkzMOxHqnBI9ZT1g/eI/24LGzZkdpO6pr&#10;GY4djDTjwHtOHDvrSeUqbXVeVtEy+lCr6wlx4PWYGGjZUtchHxBXpWaHGf6Nnn06tGVf9fL/Yj5T&#10;3nzSq0+49lsfXMc20XtVVo+zaRueU3/vUW8Ax7JpO50jAoFBgM/qNcgsxUs+Y46my5f/Yb0mh/SJ&#10;q6Z9ipQRoyOlO5mI6pKJ6CnJnO0uAxqQxSd+IBnUOAavhnTuWkJq1ua4qccls9ZTRMu2bFVI70VW&#10;n8Y6J+pJVGd9KKzxjhQo9KjGxJ3q33PqO0dvcgxjAwOxAZRUrU4mrIe1zB1SOuwl6RAFWFFL+9RU&#10;faylnhfUWH9Tcud90NyrXPlXdc/j2Lr62q/6Bihp2TqPVKxMRrf7dY7fqevPG9K1ewWJH1RHxmg9&#10;/clI1jyPAWVy5r5fsme/V/eKdzT+KsuIERyZWVd6x1aUxk1zSFi5F80RnwA+ZG+L6V1F4xyPG+u6&#10;W0X9yq4ev6DrxL2SSz0mI1Os+meOcxxZR3r0KitkxypRSj3OfpfkzfuQri859EMn8F6kPgBHmkxE&#10;deqRiehp3WfuNsBM06Z5PR7X1PlQQmrVIXscHt8hhYo8qXFcUGJDHg/TdgOoVa+ZTj1+zHhTvMSz&#10;uh4X0/bWFY6iBbBq37GwRNQgE5bjcSlte4eOJdXj2iZuABfbti8kVaq+aSA/xqpsuVd1PwvTGK6v&#10;9dSXAQOrSKs2+aRiONmV7jftqVjpdW1jeX3P8ZhMTs1a5NUP2a/q+ni/9useHbe3Dy5mqAAA//RJ&#10;REFUdA2pHBqrehpnlaRJs5xStvzLklM9zq5xWq3Gu9KjZxUZNKSegWWAfCIb55AyZRkH9Tj3Azrn&#10;Mzkej3Q8JiNYg8gsUrL0sxrrd2ubHtC4zqbXRui9GmqbG2md5aVuffW4BOPgeAwAOSAe/xpqjNbU&#10;GCmpsZ7eHO/JfChU+DHtQ369F8fDNlKPG2isl5Iatd418wBvyKhFBrdBQ+rIKK2H4yE7RBXRfqTV&#10;cXjEeFyi1PPqaQldj2trW/CY42ELS3jEW5K3wEOmnrCyL+t6VkY91g9F6jHHELdum18qhZNtTD3W&#10;MhUqpNFxKKse11Zvmmp81JDmLfH4NY29BySLxg5zI6ZnJf1A18B4DLSDx+UqqMe57zF9j4hIJzEx&#10;lRM87hvL0Zs5tQ1ka7tX17j7de/KqD+vKiPVY7JqAU81bJRV5+TzWuZuc7869bJKr74cYex4TEYy&#10;s57gsbYlf4FHdS/I5Xisaw4QVrfoUibLlutxQY3VJs3yaTsdj4erx126ldb1JL3676wnRYs9rc93&#10;hXX+hzweWl06diqqsU4WyZDHJZ/VtaGYelzLeDxE15X2HYtI1apvq8daRuvhuNBOnTneNOTxIGDM&#10;AgZczJP3AS1zl64nr+k4hBmPWXPINNmitY6Dxrfj8T26xr+he15FGaptdaDYyiarWrmKr2h8qsfa&#10;93BdT6J1HAYNrmvGKjauqoFijce57pUc6nHNWul1Damq/qrHo+rq+l1OY/2Kx6xNHGXaW8sMHdZA&#10;29PIAIr1GpAp8VkzlvnyPaL7Yk7p37+G47Gu6917lFaPM2qsP2U8LlDwUb13HsfjkWRAa6ixXkbH&#10;mMx6T+i6frcU1jW7VeuC+gypMRryOKpzMY119biws2Yzrq3bFpE44zFwaB0DqAGHAlLiX+kyL+pn&#10;wVLGf2etUI/b55cqEWR0U491rMJ0PeG46wFmzWmq96wpLdvk1zUkjeOx1sOa3T26ggzTsTIe96+s&#10;c1HXbOPxfToOd+q4va19rajXhzzuV1Wa6DiULUemU/U4531mzebYU+OxruvA3ZGNs+l6wpqtHue6&#10;z8R6T/bOkMcmU2LDKx4D5zXUNbtfyGOy0HWPKaPrSUa9dyldYxwgLn/Jwh9592T9oH4stF2bVxAQ&#10;F163VPzBY82laavnpULlu9WH12XO/Eg5cLi/nL04VI6cjJXFKxrL4OGFdY6+oGXu07XjXQO4HDs1&#10;RM59MlwOHo+RBctrSf/BOaReoyd0zbhXunTPJEtXtJKjJ+LlvNYDMDNnYV2JHZBH6tR/WipXfVDX&#10;zVyyam1HOXluuJz7eIjsOdRVZs6LkJ6xmaR67Yd1zB7Uz10FZc36KDlxZrCcvTREdu7tKtM+qi7d&#10;e2XVfeQRXece01gpIZu2RcuZC8O1zCCTFWvSjPLSOZpMbPdJ9TqPyahxYbJle7ScOj9Eyw2Szds7&#10;mMxXUV3f1fY+KLXrPSvj368su/b31TpGmOMl129tKeMnlpC2UWmkQpV7pF7kczJxWjXZtaePnDk/&#10;1ByBunp9KxkzoYy0bv+m8aZR01dk6sy6cvBovPZphAE5Vq5vLMPHFpTmrV6Q8upxs9avyex5DdTj&#10;fsZjk1Frpa4ZI4pK4+YvaT33a8y+I/MXNdP3hsh59fjQiZ6ycEVdGTAkpzRo/JTuffdo2zPI4mUt&#10;5MjxAXL246EG/Jq3qL7ExeeVug3U4yoPapzklBVrOmhb8XiY7D1Mtqdq0rtfZqlZ9xH1+AHdB/Op&#10;xx3lxOnBck493rWvm0yfVUN69M4m1Wo+qvPrURkwqJhs3NpdToc85ijdyTMrSLceeHy/1Kj9mD6v&#10;lZHN27TM2aHG4y07OsqHUytLp27pda48JLXqPi1jxleUnfv6OB5fGCgbtrWSCZNKSbtOaaSSely3&#10;4bPy4eQI2bW7l+PxuQGyZlNrGft+mHr8lvEmstFLMmV6be3vAMfjs3GyakNjGTGukLRo43jctMWr&#10;Mmtufdl/yPGYbE/LVjWVoaOKSZMWL2uZ+3UtSSvzFjSRoyc1jrUegJxFK+tI/NBc0rAJHt8rHTun&#10;l8VLm8mRYwONxwfxeDGZzfJpW58xsdM1OrssX91OTpwdpvPB8Xj2wmrSZ0AWqVXvEakccb8+z+XR&#10;WO+gHg8yHu8+0F1mzKkpMX2yS7Vaj+tz56PSL76IbNjSLeTxENmxt6NM+aiidI1JJ1VrPCDVaz2m&#10;zxslZdPWbuqLxvHFgbJ1J5nNqqjHGXQsH5KadZ6SUWMryA6NUTwm69bG7a0NDNeh8+tSseo9UqfB&#10;M/L+xHDZubun8ZhjZtdtaiPjPigrbTo4HjeMfFEmTaslB444HpOhb/XGpjJyfGFp2VZjtMrdGquv&#10;yIxZdWXfwbgEj5evbibDRheXZq1elfKV7jMg2uz5jeTIicFy/uPhup70lsWr6svgEXkksunTpp72&#10;Ue/IwsVNzfGoxuNjvXV9aagxV0DqN3pO4+IB6dQ1iyxdCYQ11Kw5+49Gy5zF1aVvfFZdTx6TShH3&#10;qZc5ZeWa9nL8FFn8hsqeg9EGsOoVm0Pj8wkJr/aw9O1XUNZv7iqnz49Qf4ZqLHaSabMqSffeZLt7&#10;QNeTR2XQsOKycUtXOXVmiPZrsGzb3UkmTQ+Xzt0zSpVqD2ldT+qeUFa2a4w6Hg+UTTvayPtTyuic&#10;fEMqqce1dY2b8EFl2b4rRu/letxWxn9QXtp2fFs91mfEhi/IxCk1NF76OR6fU483NZMx75F972X1&#10;5i5p1Oxlmf5RHdl3IFbOXhiq/e+nfWwuw8eUMOsIHjdr8YbGeqTGr8aW1gNUuGR1Axk8Mq+O0bN6&#10;r3t0XN/W9aSJOdaUfh863kcWLo2U+CEFpUGj56WirhVRXTIbyNl4rGsFHnNUbuzAbBrrj0vl8Pv0&#10;mSKHrFjVzhxJeu7iEAPgzZ5XW3rH5ZQadZ7QGHxYYz2/rN3QSfs8zIwDmeSmz64s0b3Ta6w/qLH+&#10;sH4W0Fjf1FnjCo91PdndWSZPrypde2TScXpIY/0JGTqyjGxT/85eHGFifcvOtrqehElUtzfVY903&#10;6z0l496vINt24vEQla4nm9vJhIkVpH3ndPoZjOfwF+T9SdVk36E44w0Z+tZubq7rSTFp3eEVs65H&#10;Nn1Bps6oKXtYl9RjjpldubaF7hmldD3RtV/X9abN08hHcxrK4eODdD0eIUdP95Xla/R5Z3R+adzi&#10;ObPmtG73hsxb2FgO6pyh3xwBu2hZI92fCknDxi+Y9nTolMEAuMdPO3F88JjunUtqSr9B2aVu5OOm&#10;X916ZJNlK1vLsZMDrwLiOJ7Fv4d7gTiy1ZBlrXr10jJiWG85fny7cMwlWb44JnLJkpkSPyBa6tWp&#10;JHVqV5D3xw+RixeOiPz8tXBk4flzB2TJ4mkm+xnv169XUSZP0r3j7B4hi9h//vOl1rlH5poMc+0N&#10;nNKkcTWZM/tD+eyzUwaeAtQ6dnS7/ux9kxWIoyGbN68pixZOlo8vHpSffvpcyBi2f/9mAxEB3HCk&#10;Xrs2kdr+BfItEJZ8YzII7du73mTrAnwKDy8unTo2ko3rF8hnn5A1hS+ZLsq2basMnAXkF16lhMRE&#10;txWOjP1B70G/vv7qrGzdslzeGz/YZMMLr1Jc+vRuL3v3AnORvetr+ezyaVm7dqGMGdlPmjapKRFV&#10;S8nA+GiToe0nMon9zPFDx2XtmvkG2mvcqJr2S5+9hsbIsWPb5Juv+WL2KwP7LVv6kQyO7yH16laS&#10;2rXKyfixA80RhI7Hn+vfD8jSJTNM9rO6dfR5ul4FmfihzoMz6jEw4X++kpMn9sq8uZOkb6+OUqtm&#10;WQNszfrofbn82WnjMTDhieM7dRw+lJ7R7XS8y0izptVNVrqPLxzUOi5r/z+TAwe2mKNou3Rurn0q&#10;LW1a15dVK+cYAMSBsC7J/n0bDGgS1bGJVA0vIR076DisnSeXyQglZNa7JDu2r5YPPxgubVs3MEcW&#10;RndrbY4WBGyhPV9rjAEykv2MYxrxuFfPtrJ792r53GT6+0b/PCPr1y2SsaP6Cxnx8JhsbYBFJpOT&#10;+kfZ9esWyKiRcRpX1aVaRCkZPChajh7ZquMI1MQXZ8dk+bJZMmRwL+GI2Zo1ysoYrZPsTdQB3Hjx&#10;wiEdh5lmDBmHunXKyQfvDZIzp3ebPv/001dy6tQ+mT9/ssT26aTjVF4aNgiXmTPGy6efuHF8WU6d&#10;3K3j4GT6q1E9TMc9Qj1/Ty6d32/i/IcfPpODB7fpdROkW5eW2t7Spv8rtH3ffMUxjHj8sY7DJpk+&#10;fax0iWqqnwlLSId29WXN6jlyWePYAQU/lp0718qkD0foPGho4hiwdcf2FXo9Gay+MWDUjh0a6+9p&#10;rOs4Mh969tBx2LlSvrjsxPEXn5+VDRuWyLixA6R501o6niVN1rIjh7arx2S7+9p4vGH9Qhk9iliv&#10;oZ/HS8qg+G5y5PAW+fpLsnd9LR9fOi4rVsyRYUN6S2SDqqbvI0foPn/GycqIx5cuHpYVyz+SQQN7&#10;6DpRWWrVKisTxvaX06d2yXffXTQek8Vx4YIpEhfbRT2uYDIPTp8yRmOLzITfaJsumyNa58+fpHOy&#10;o45lmDSKDNdYH69jeMC8/+OPn8vhw9vlo5nvGaipWkQZadm8jplDX3/pwISsTYcObjYZ5rp0ItZ1&#10;PWlbV1av+Eg+veR4/O23n6hX62TyxJHSvl0jE8edOzUzGQ2BaqkHUBCYb+KHw/V6xqG4rmEtdRyW&#10;y+efAnHwZel52bRxqYwfN0iaN6tt6onr21kOH9isMUEcMw6nzJHUY0YT62QoKaHzvYscPrRJvvoS&#10;cEw9/viErFw5V4YP7SOROr9rVCuja3Zf4QjRn3/60njMcckc5Tt4UIw0qF9FatYMk3Gj4zQud8p3&#10;314wa85ZjftFC6eZDIB1autnRx2LKZNGGUiT+7Cunzm914wDWegYp8iGVTRmx8oFXe+J4x81No7o&#10;PJyta4yzZpfRvtUy0PNXX7B/fGs8Pnxoi5CFjoyfEdVKSutWdXQuzpBPPgYM+ELH/ROd8+tlyuTR&#10;0qF9YxN/UR2bql9L9D2yP6rH2m6OLgUOba9rPh537+KMw+efsuZ8LV/quG7evFwmsGbrWOMxa+HB&#10;/ZtMf/D4yy9Om3rJHNpC9xc87h/XSQ4eWK/vseZ8LZ98clJWr5pnfG0cqWu2zk9imuOGjcfaZo7a&#10;Xb1qjsnOCSxYo0YZXX/66hq8Q777hoyAHPV2WBYvmi4D+nd31mxdUybqenhJ1yKyUbL3Zs5fdJ13&#10;X75WIC538XIjr/oifu/eBNCNfwNPkREKUAGQCAgB4MAFewAZgKeAoQDPyIRFWcAFF4gAUgA6ISMV&#10;oAP1ADUB+wAXUA9lgZOAMoCjgAyAtoAHgE0ASoAUgBKACgCIADQA74BOuA8QFm0H5AGUAXgAGqFO&#10;+kVbKQekAPwDwAB4Qjmy/LjZxrgXZdxMRMA9lMEH4BUgEPwBiAHaoC/ch3aT6Yx2AmhQBqADGA6Y&#10;DrAH4AbgBfjH9RigA0DJ9RjgBnjFBXtoN/AUoAnvudnGAHAAU+gTZfEK0IhxoB5ADyAT2ks9jAP/&#10;BqoDGMFj+sc4cD31AOQAsQE34jH9AgoDeuF96gHm4N6AMgAw+MOY0A/XY6AQYB+gM7zDZyAY/MNf&#10;fMZvQDcAQeqgDNmygFdc6ARIBb8A3Bhv2oSftIHxpgzjgO8AN/SJcWBcgH/w2IV2gPoAZPCGOCQG&#10;8IQ+ubEO4AL4RD3AZfQBgIY2E/MAQ67HtJlsTwBpXE89+IifgEZksKIe4gPfuZfrMQATcck44DHA&#10;EvenP9RDDAEeEd+AgNwLEJUyrsfAOW6sMw5ApmQYBJ5yPaYM/WQu4R9liHXKuB7zd+BBYoEyAFtA&#10;bcwl4ph7ATECCBFT+Mc44Dnj7HrMPHRjnT4BLjG+bhxThhhhHhG/eEM8Ayy5MCHQEnAh6wn+02/G&#10;jJik39TDOBDr9BWPmQ8AfGvXrjUe02/mBf8GpGPOUQ/znbXK9Zh7sp7gKx7TL2KduUY73Dgm1vm5&#10;mwGMOolL12PKuJkS8Q+ICggKz+gz9yOmWU+Idd4HzmPOsw4Qx9yLMsQtfaEtlAF8cyEsxDrGz4g7&#10;PAbAo17WT8bKjXVgPKA8PAZIJQaIKddjfGCuEet4A3SJF16PiXXmLHMFj91Yd9d1PGbNZj0BTKYe&#10;+sf4ERPUw9wh1lkfiCv6xZrA/WkHHjJPgaeJdfqMP6w/+Md98IcyxAljyPuI8Wfu02fKsbYQb8Q6&#10;48SYMp+51vWYWGc9ATSkLZQh1lnv8Zd2A1oS28Q6HhNjAJAuBEgZYp31BN/wmHEAsmNdwmN3zeb+&#10;xDr3YjzoJ/2mHv5k3QjS6TNnE2eBVV0XIK5QyZoGBACWcOCBGQaCKVS4jrz+RhEDeQCIORm1yETk&#10;ZNtxM5KRbQeQgyM0ASuAN6gHMKBZ8zi9vqq88WZRKViojgFKACsMDBICFYAmAOrefKuEcKwj2ccA&#10;fsjGxr0AvoBOMmUuL2nfKSFALFwDWMG9XBgEsCfdu2FGZO8BiADycto7W4DnAPzIDJchY5gBPoAS&#10;AGhcKIyMZMAiZC0jA1qlyu0N3ADYR5/iB35koLqwss20T0Ukc5YKQpYmN6PWQAN6AN5NkJKlmpqs&#10;ZfQtolpn9dTJluV4PNNAMEWK1jMeAx3Sfn7mZiJCQDBkJKOePHlrGsApqtMo9e+Kx8BwufNEGI8L&#10;FKxt4JGoTmTUcsdzloFXsueomuBxg4Z9TBsdjznucooBBenP22lLGJAG6MTN9oTHjBlgD3ALIAjH&#10;rl7JluVmYJokVSM66BiU1HJhBmhyMsM52Z4cGGSK8dX1GL8BU/Bv8BAnJrp1H6/XNtcyRc24k6WJ&#10;cQCUYaxoc7fu7xnQ5IrHnYxffWOveBzVaaSBxvA4R85wA58Br3g9Jq45apV6APMAozpEjU7wGB9b&#10;tIxX/6sZjwFp8JhYJ+4oAygEqEW2rDfedI4M5ihO4ED8dz0GsAK+euvt4tquSI11xmF8yGOyZU3X&#10;unsYXxzYpomB2IDhBg5ysqzhAZmw3k1fWuUATe44uB4DxuEZsCHjVb5iWwM5cS0eE8fMn3LlW3g8&#10;dmLd9RjQtHv0+2Yuvf5GcW13ZR3bKPVvqPHPAT9nqA+jNV4aahmyF1Yx8JnjsZMpkb53VD8BmvAY&#10;WIv1xMmWNcO8T79btR4k+fLXMPMK0JQ572Ytcz0GmANiZc1hXpCRDOCQfg/RelifAKwAQ/EYMO+K&#10;x7rmqDf8CSgLtAjE5npMX+k3PrMO1KjZ2fiLAEnxGMjL9RgPAKMAMfGYI6PxmMyReAzUybgBUdKW&#10;jJnKadw7sc5axL3oF3WGlW1p+kSbqBPoijHkfaBOPAa8uuJxJwNqUcb1mDnP3MbjHDkjdD1hzR5h&#10;PHb73brNYI3fmlpPEQN91amrsW7WdWfOsB4QA8wDMjvmL+Cu2SGPdW3D40aN+wig5ptvFdN7NtC4&#10;JtZD67rei7L8jP4wz4uXaKzriZPNc6CuxYMGzzVrRc1aXdS7MrpeOBCqE+vva1udNYd2RVTrYjwm&#10;wyYgpLNmc1wtHjvHcVeq3EbH0vXYiXXKuB4DopL1jfbSJqDBVuqF6zFrBe0vVbqR8QYgk/UEuJb9&#10;B48px97FvMVj1tPqNbvpuj4yIUbxuG27Ibqe1DL15MnrrCfEuusxbQI2x/+IiO4JIJyreo1jEn2Z&#10;jpID4vy/mM9WsJD5oh5ICICnUeO8BmxJn+FfBgQBYiNLDgAacEC/ARHSIDKrATzezfgvCSv3gjRv&#10;lVv6xJbXeuoY+KdXb30GqJXZAAqZs9wlFSq9Ia3bFjRZcoaOoB6O96soVau9Lekz3m4ghUrhaaR1&#10;u/wGYBg+iqMjG+j4V9L58Ia8m+H/tE0PaBynk/Ydi0lc/2r6AYkjTOsJ2ePCyr1kskrlynOfepxW&#10;OnQqrLEZIYBuAwfXN6AKWe7eSf9Pcyxp3XqZpVOXkjJgYA1TB+3u2Eljs9iT8vY7fzfwXd0GGaVz&#10;t+Lab4CbBtI/vq60aVdc8hd8XNKm+6eWfdoAV926l9F71DL1kFmqZev8kiffQ/J2ur9L0RJPSqMm&#10;2SQ6BmCplnpcXz2uqXGbT9elByWdelw67EUDgAEFATyRCYwsVA0bZZNsOe7RMv+UMmWfl2Ytcxko&#10;w3is49CrT4SBXoBSMma6Q9fsNOYYTTweNgyP66vH+qG4+jsmi1OmrHeox685HvdTj7W9Q4c30PlT&#10;WSpVYRz+T7LlvM+U53haIBGARMpFx+hcKv+qevwvyZn7XqlW421zPCfHaY4YXV/jvZ7Oh3JSqsyL&#10;jsf5H9W1IqNEdVaP46ubOmg3cGPR4k8Zj4EX69TPIJ27Flf/gC3ra9k6Oj9KSoHCT+p+ph5z9Guj&#10;7AbCAX5xPK5lYilv/kccj4s/YWCg7jGldb4wDg11ftXUeV9Q16WHTZtLlXrRgIxk8cPjEVoPGdIa&#10;NcmuHt+r8fVPKV32OWnaIpcBuGgrsd6nb3UDg2bNeo96qB5XUP9aF9C1iGxPjsd4WaNWOsmQ+Q71&#10;+HZ9PnlVWrXNa4AyQBo87hFTRdcQHQeNdbKNcWRqu/ZFNBbCTRzTdzKbccwjWf5y5LpXx+FNjfVC&#10;0i9eP5Tr+4OG1FePyxvY812NdfpP9sWoTiV0HK54DGRarMSz8va7f5d8BR+SWvXe1VgvpmMU8nhg&#10;PR3fUlKQzHrqcUH1ukGketzN9bi+9q2WxnpBnSuP6lj9TQoXe1zHIYuB0gYPr63zE49r6dpQSHLn&#10;dTwGVG3SLLeBNAcPYT3B4+oGDs1BRjKNi1JheJzTgIhAbq7HZPRyMuvdbkDVluoxmRKveKwfeOuk&#10;l4yZ79Rx+D8pX/lladkmr3DMpxvHeMxRvsQ6dYVHvC1t2xfWcbjiMUcUV6iURj3+t2TPRfaaN6Vd&#10;h4Im8xdrDsBq124VdH99VfeYf2n8qH9636hOxT0e15XO3XWP0v6mTfcPyVvgQZ2HWqZLUfXYmQ/x&#10;A+vqPllaChd9Rt55Rz0u8oTub9l0/EpLvMfjdh0K6Tx4zPG46OMGzuyqHg/RdQSPASFbtCys68kj&#10;Zj4UL6EeN3U8HqQe0x6y0JFpEggurY55qTJPS5PmObSvYY7HWk/f2Bpady7dg+4187xsuVekRav8&#10;BuACQDMe9w83AHOmLHdKevW4XIWX1OM8uoZU0PedOO7Zk2PkdRx0Lrigatt2jsdmrVCPe/Yub8C/&#10;dzP8W7LmuFvCq70hbRM8rq/zr75061ZR2/CapNdYBwauUSu97nnq8YBquo+z5tTVcSilfXneZEHM&#10;k/8BA0537FxUYzTk8aC6eg3/meJZ9eYf5ujX+g2yqselQh43MP0HbixY+PGQx49J/YaZpIuOH1nf&#10;iIl+A/jPSTzfPGo8Llb8WV2fyZRYVsfTiVHKNm+Zx0B3aXXNKV6aI0Wzm2yOw/QegOJ4HNkot2TP&#10;eb/Zr8qUfVmvya/PFY7HrP1kggSuBQCMH1hSr3WAuIKlCy/w7sn8oj20XSe8Er/vAHE79zWUGnUe&#10;kgGDcsmCRbVk175OcuJsXzl5dqhs2NxNuvfMKaXK3mmAnPgh+WXh8oYmW9HZC8O0zBBZuaalAcvK&#10;lL9d6jd6UoaPLijLVtSXfYe6yOlz/eXE6aEGjmvd7h0pUeYOadD4eRkxtpisXNtUDh2PlXOXhsvx&#10;0/EyZ0F9adrqFSlT4XZp0eYlGfdeSVm9vqkcPNpdzpwfKEdPDJIZs+tLvciXpFS5u6Rl2zQy/sOy&#10;sm5zWzl6EoBvpBw61k8+nFJFatZ7Uuf3ndKxy1syaWo52billRw50UPbM1gOHomX8e9XkfDqj0u5&#10;SvdIVLd0MmVGFdmyQ/t9hqMEh8ueA700PkpIpWr3S6Wq90pMn0wyY1a4bN0JDNJTTmk9u/fFyqBh&#10;JbWO+6Vi+APSs292+WheLdmxt5sBNM6cHyabd3aRuPg8Uk7bAgzSb2BOmbewpvH4pHp8Sv0DNIvp&#10;k8d4HFHzUek/OJ8sWKb+HewpZ/D43BBZtb61dIlObzyuF8mxpAVk6cp6svdQZ61HPT4zVJavaitt&#10;O75rPK7f6BkZPqaoLFuj/h0LeXxqoMxb1FCat37VeNy05YsydkJxWb2uiXpMmwfKsZOD5aO5+vml&#10;8cvanrt0HF6TcR+EydpN6h8eA44d7y+TpleVOg2fMv3q0OkNmTi5rGygjPF4kBxSj9/7sKpUrfGE&#10;hFW4R8fhHZk4vbJs3t5RTp6JNyDR3oO9ZeQ4J2sZoFaPnhll+keMg8fj/bEyZHgpKVvxfqlQ5X71&#10;KZvMnFNDduzpKqfOD5bT6s+2XV2l36D82pa71L8H1e/sMndBDdm5N0q96W083rwtWnrF5pPS5XS9&#10;rvGIls8j85fUlz0HY4zHp84NNUdZdo3JZLyp2+BxGToyvyzRON57sLOcPhsnx88MkRVr2kv7ThmM&#10;xwBxQ0cWkaWr1b9jgJTD5djpgTJ/aaS0aPu6qadJy+dlzPhismptIzlwRD0+F6/jMFhjvZFENn3V&#10;eNy05asy9r0ysmZjyGP15vCJATJlZjWpG/m0lK10h7SLel3enxQm6ze2UP9DHh8bKB9Orq59fspk&#10;bOvQOa3GfiXZtK2jmU/Us+9QHxk9IUzCazwoFcLvkW4935VpH+k4bNM5ox4zH/YeiNN4CtP58pDx&#10;uEfvzDrPqsv23eqx3gfQdPvuaBkwuICUr4J/9+s6n01mz6+u4wBIqR5rjG7Z0VP69s+vHuu+qR7H&#10;Dswt85bU1fp7aB1AYUM1jtpL915ZjDe16z2m8yefLF5aR8dB58O5OLPmAMl27JJZSpa504BlQ0YU&#10;lqWrGsuBo711jrNWDJJFyxtL6w5vmHoaN39ORo8rKitXhzw+z3GXQzTWm0rjFq/r+n+HNGnxioyZ&#10;UFpWb2ipMdrPjNWRkwNk2qwaUr/JcxKmHrftkEben1hG1m3A42idv4Pk8LFBun7U1PXxGZ17d0u7&#10;Tm/LB1Mq6JztoPeI13k1QtfCvrpWlZWqtR7WdeAu6dojnUydSay3UY9jjMf7DvbX9aSs+vuQ+nyv&#10;jkMmmT4rQrbt7hLyeJiuGz1k4LDCxmNA3j79ssqsedXUe8azt9YzRLbv6iVxAwppW9RjnTd9++eS&#10;uQvr6DwBCB6qfR8m6zd3lGidJ2Uq3GGAzIFD88pCPD7AWhGrazux3kmfP8geR5mn9HmskK4nTjbF&#10;s5eGaawP0thvpuvJW2bNadTsWRk1toisWNVI9h8BKFSPTw2RBUuamwyHzIdGzV6SUeNLmQyVh09w&#10;hOwIXZfjZebsWtKw6fMao3dI6/YcXVpa1m5omuDxkeODZPL0WlKz7rMaO3dJm45vaqyXlw1b2+o9&#10;Bpi168CRWL2uglSv/YgBBbtE65o9rYLGuuPxGV0L9h/qr/evoGPwsK7J9+o4ZNRYrypbd3WWE+cG&#10;yhmNnV37YmTwiKI6F+7Vdec+6R2XRde7CPUYWLWXrhVDZcfu3rpOF9F+a5lqD+o45NT5qv6px8CN&#10;rDkbtkZJz9gcJm5q1H1Y4gfnkYWLa+s4hDzW9Xjdpi7ahuwaf3dq3x7XsS2gcat75xEyHA4zkPey&#10;VS2kg66NpdXjBo2fkRFjCsny1Q00pvC4f6qAuPEfjo13gbixY/tJVFQTmT3nPdm7d518/fVp+c9/&#10;PpbLl0/LmtULpFmz2hJWpqB06dJCgIEOH9om333rwCBff80XUbP0Wbu6VKxYVJ/T2snixVPk6NGt&#10;8t3357SeT+TSpeMya9aHBryoWLGY9O3TyQBgJ0/ulR9+5AjFr032uBkz+M/H5fWztn4eGMjRYLPk&#10;zJnd8uOPF+WHHz7Wvx+UceMGSZUqJaVmTf08OrSPAdIuXDhigDkyv50/f1BGjYrT58DiBgYZM6af&#10;bNiwQC5eOig//YcvnC/JkSM7pV+/blKuXGFp2JAvbgcbkOLyp2QD4AvnL7T926Vv3yj9TFBI+19L&#10;Jk3WPWOblvnsmN7rY/nyywsG4ujSpaWUKVNAWrWsJ9OmjZNdu9aZTGSAdz9896n+e7U+KzbRexXU&#10;58HGMmv2BNmzd618pR5Tz+efA9Ut0mftevrsX0g6d24uc+dOkkMHt5q24s03X/FF1Fxp2rSG+ldE&#10;YmLaysJFk7UfW+S77654PH/+FKlbt7JUrFBUeveOkqVLZppsWY7H3+h4ntJxeE/q1KkgERGl9TNv&#10;N1mxYqacOkVWhgvGY0CZ994bKlXDS0mN6mVl8OBeGgPz5fy5Q+qfA+4Ajo0d21/Cw0voZ9RKMnp0&#10;nKxbP18uXDygbbmkbbokR4/tlgEDoqW8etygQVUDAm3etEw+/YRsRV/Kz0CSx3ZKXFxn/Wxb2PTt&#10;w0lDZevWpdrOo8abr746L3v2bNJn9tZSWj1u2aKuTJ0yRoDAyFpojhT94bKWWaefM5vrc31Badeu&#10;kcz8aJyOzRodo1Omni++OGOAr1at6kuZsIIGtpkz50M5sH+zfGuAm6/l268vydp18/VzJcezFZHo&#10;Hq1lwYKJcvgwZc4aj4GRFi6cJvXrh0uF8kWkV68OsmTxDDl+fLcAa+Lx55+dljlzPzC+VK1Klvsu&#10;snz5DDl5aqf6y3F5nxgvP/xwhH5mLKPjUEYGDYwxAM459d6F/C5ePCIT3huoZUrpePFZU2N93Tw5&#10;f2G/tuWCevyxnNCxHTSop5TXttCmsWPjZePGpfLJx2Qr+lL7/pWW2aXj0E37VFiaNKku7384WLZs&#10;WSKfGo8v6vw9L/v2bZbo6LYmjoG1Jk8eJTt2rFbfHI/JdLVv/3odh5YmjttwBO/MsSa2v/jyZCiO&#10;z8mmzcukTZuGpp4OHZporH2gdW8SMvw5UNMlHYeF+hm7nvG4a/dWMm/+h3LwoJb5Vj3+6RMBRgLA&#10;ZV7Sr5iY9rJo0XSTkex7nU/UQ9ayBQsm62cuvrAuLrGxUbJs2XTt6075/gfWNPX4/BGZNGm0VKsW&#10;ZmIZoBeQjPj+D3CU1nPp0lH54IOhZi6w7gwbprG+bq6cO79P63A8Zo0aOrS3treomVtjRpNRa7EB&#10;xwCj8Pjkyd26XkWb9a9Ro2pm3DZvXqJ90XVJ11HWyAMHtpq+4A1g56SJI2X79tXqG0d9suZ8rj5s&#10;lO7RrU0ct25TX6bP0FjftUo+/+JEgsdbt640MU497dvrevLR+7Jv70ZzD/r03bcfy6ZNS3Qc6pt5&#10;1Vnnxdx5H+j9N6jHZ7SeT+RTXWuXLZslkZHVzBrI2C9cOFXXPPXPeAycd04WLZ4qDRqGS+XKumb3&#10;7ShLlk5Tj7c7Hut8AOSdNm28WSfCdU3u35+MWnPlzGnATzwG4DsmEyfxn7fLSK1a5fXzaE9Zs4Yv&#10;m/eadZ21Ash0+Ig4qVSpuNkjRo0ko9ZinQPE6BfyM5Dkmb3mCNRKldRjbff4CfHaz0VaP+vSxxpj&#10;F9S/bTonO5o53qRxDfngQ9bsVfKZAYIdjw8d2iQ9dP0kjlu1qidTpxHrwAPHjceAi4wL8Vu6dH5p&#10;q/E8c6au2Xs2yNcmjr8yIOS2bct0HAA41ONOup7MfV/26xz5+hvX41Mab/P083xNs653795GY3aa&#10;rtk7tM+fJABx2QuV2OTdl1MLxPEf17zXBQFxQCIufAH0AdgDyAWAALAA6AY8wJf+QAZACGRmAgoA&#10;fOLvwCtACC4YwPGIgAxkyAGkAWRwM3MBRAAqUAboiaxRbpYmIDqACt4HqgHGAEAgoxFAErABmYdo&#10;M20BVAC+ANqjDLAH0Al1cz3vUxY4BMiBMsA2gD5AJEAg1AOoAFhBW2kPYARABKAE/aEeIBjAFPoM&#10;LAIIwjVAHPhIPdwLaAI4Aw/JluVmK3I9BtAAOgGYAKYBMgOaIHsT71MPfweewmOgMeAS4BXa4HoM&#10;KAVogsdAJUAqa0OZufAPcAcYCViEPrlZmoC3aCf10H+uAWjCG0AaoBmvx5Rj7IA7KIPXAE7AHy5U&#10;x5gBkgGJkAGMIwfJ3sb9KUM9tBmIiHbQHmA2YCAXXMRj2s51wF70C2AL6ATIkDLUA6TCOOAL/tA/&#10;sjQRu4AyCL+B2AB28Bi4CciJ2HU9Bs4LinVgJPrMmBIjjA9tAY7CY2LS9ZhYpv3EOn1yYx0YzgVl&#10;8BjP6S9l8AjQ0c3MxThRjmv8sQ5o5EJ19Bsw1T1+krL4QBwALNEn2sw4MJ+4F0ATsQ7Mg3/chzmI&#10;7/SHfjEHAaxcj4GsqI9xINbxmFj3eoyHxCj9ACDCZ2KRe7uxTj3Ea1Cs4z1toS7aBqDGnGLciXs3&#10;+5kbx7QtKNYB+KiH+QswB/REv5nrQIBuZi53zeHfxKY/1ukv9fAncQK0RxnAJoA/1hPXY9oMlMg4&#10;ci831okV2kE9tAsICyCMMrQLAJH1hDJ4w7gyNm6sMw7EugvV4SHrLm0kPl2wjBjAY8rQHmKRvnpj&#10;nTJcy5yiHPdlDWEsuR/wGWu2G+t4DGjGtbQFaAwIkFinL3hHbBCzZAmkTwBxzDHWbK/HlCHW8Q+w&#10;zo114pd70W/mGWs1ZfgTQI31hDKux5ThejfWGQfWE9dj7kncMudoM1Ahazbz0esx4+DGOm3nGvrK&#10;XMEfYpE9w12zmcusU6zTrsfcy4115Ma6u2ZTjjrxDI+pi6ydrNlurOMx84f7Bun02XMnvHu1o3yN&#10;Qlv5tb8qVWupm/RcAzIAGQBCVa7SRsiuBJxC1jfADqAAvswHXAKGq1ylgwFB3nizhFSs1F569AQ+&#10;m6sPYYsFuK5Bw5760NJMyNiDgHgc6GmuASZiYj4UskaVKQOUU1LeTV/OAFd9+gLdzZORo5aa+9ar&#10;Hy3FigOOccxieQO4ABfQHsAJoK0mTfuHgJvCkjVbVV0gB+hiMlMG6b1GjVkuHToOl9p1yOhWQ15L&#10;U9DATW5GN+qhvcAOQEx58nC0K8dd1pa27UZoWwGaaM8S/YDdXx9CyQ5URcsUELK+AUYB6+ANbSez&#10;Gf0A0qIesql16UK2OzxeIIBEjZv0Uf/aSuYs5U2b8cnAIloHdQGN4THgBnAUkFX5Cm11oVWPB8/T&#10;jWmRgU8AgsqWaybp3i1lYEGyNDnQEx7PErIo4THADR6TdatmjW7Sp88Vj3vEvK8e95DiJeqb8Wbc&#10;6zfo6fP4PWnabEACcJMlaxUhq19c3AwZrP0aOXq5kDWvdp1uBrjBYyA94BrXY6AR4CVgPABKvOFo&#10;UZOBaYB6rP2iPS1bDdBYweNw43HhInxRNtL4Qj14DGACHJg9e1VTT5GikToO43QRIwPTAqMmTfuq&#10;f+10HCpomwvpA31TEyt47MTxFANuASDhMUBSWLk2+lDxQYLHtL1hZC8Djr2bvpSBbgDHXI9pE7AN&#10;gAuwDuAOGaGqVe+qD3fASk6fGAc8LlGyobz5VlED7gC+uWAe9wHIAvYpVryR8ZjsXJGRsSY2ac+o&#10;0UsFGLJO3e5CBjE8zpW7igD/EAuOxzPU4/EGPiITFt6QPa9VmyF6j48S2gN8xnzMnQf/OAqwtsbt&#10;iASPaRcwGpArcBX1FC7SUH0fazwePHSBcIwnAFN41fbqMccYFzKZ74DPXI8BjoBrq0Z00T4zDkV1&#10;HFrqZva+6RN1EKdAbOUrtDBw1FtvF9O50c4ATbSFNgGZtW6ji2eFNsbjt98po3V2NuMAXEWfemkZ&#10;jjctWSrS1AH0CvBFX4Bi6T+wFX4BaLkAWsOGfRN5TLYxPHaAYAdAczO60R7+BCYFygUYw5tcuWvo&#10;RqXrSX/H41Gjlxn4rGatzmateS0NR3fVMl6w9uEN4CYQm+sxR2sWKtxAH8pGa59nq8cagyMWmayD&#10;QKbZc1Q0Y16iZCO9v5N10InjqVqvk2GOmMFjsm1283hMfZGNekmFii11HMJMDJKJD5jM9RgviWMy&#10;fgJjkkUtvGon9RUgjHV9qZkzeAw4xlxIn6G0zsPuZpzddZ06ARcBDfGYrJ/1dJ2Kjb3iMetA3XrR&#10;Zm7jMQAascQa4cYxc5Wf5S/A8bmFJUeualqvrichj0ePWWbWjlq1O+t6gscFDUjpZs2jHtYw1meg&#10;PkBMPC5YqL5+oBmlG7Dr8WJp2jxO10485hjjgjoHG5r9wBvH7TuQYa6brn2VtEwRjbNmJg7YO50j&#10;bedqTPSWSpVbq8dldS0tavxmfXU8BsqerHExTMu0Nx5Xqx6t8yllIC5t1gKvh7brq1685y2bo0hh&#10;GTmmlvSLr6Lxl1vX/rd0DO7WGHtA25fbZDoaOryuDBxcw4BxzVrkM1COC+40bpZN+g+sLCNG1pBR&#10;YzmysILGVg6dM6/oGkiWoSe0D4Vl4JBaph4gGY4MbNgohxQu+pSBSgoVeUzatM+nZarq3lBTRmo9&#10;HaJKq8fZdDyf0Xpu1xh6UT0upWNQR1VX4vpHSCf9d516WSR33odMPaXDnpPO3YrJoKERMmJ0LRmu&#10;ataiqMZlFh3PR+XdDLerl2878Nkw6qltYA6OVKxWI51kDR07WqVqGonpXUaGDK9mvBkyoobGcX5d&#10;Z9LreD6g43WXxlEmA+oM0T4N0r4Bn7VuW1gqVn7TwFPAPbXqppO+/SrIMPWGevoPCtfrcuva/5Y5&#10;HhY4KrJxTv15dY0JPOaowYohj192wJ2c90qjJlmlX8hjvInRMnhcoqTjcf4Cj+tcLGDAPNdjgI6G&#10;jXImeJy/8KPaPvV48BWPO3Z2POa4UTwuXuIF6diJ7Hva5+F1DPzYuWtpqVs/qwGwqKdkmWelU9ci&#10;6l9V4/EIrYsjDCMisui69pipp2KlNyS6pwOfuR5zNGj1muklW477DEAFnNejV+kEj4eOrK57fQH1&#10;OIPuD+pxxrtM+T56LR7TJo7PbNOusMnwBLgDHFWj9ttaprx67NQzYFCEflDKrWv/OzpOZN26V+o3&#10;zG4AODJTOR5XMrBKWPlXDbgDeNiwcRadA8CYjsc9+5ChMqfOW47hJQvio+aaeL3e8ZhjestJ46a5&#10;pGjxZ4w3+Qo8YiCi+MHhusc4HnfqEqYfkrLrWv2c8aZY8efUi+Iao7UNXNZvQDXh2N56DbJKHo5i&#10;1HrICtixS+EEj0eqWrYurmOVRfeHx0095Su8rvdXj4c59RCLjF3N2q7H/5AKlV7VcSitZSJCHtfU&#10;vbOAPpNwxO6Duh7foWvKu9LbHGEc8rhvZWnbvoiER6Q14A7+VKv1lnpfToaOcDyOH8IR+3l0vXpH&#10;95D7dE7ca9oPIInHHJ0L0NaiVQH1+BUDYZH9rEGjzBIXX0k9rq7P2Yyn43HpMq/pfLnLAIzNmufT&#10;+h2PWXvoI1nKgPyAXvPmf0iat86l4wxg5XjcuWtZ43HhIs/rnLldn6GfMeAsHhPHtKtrd7Ja6npS&#10;0PG4aMmnpEPnQloGj2vKiDE89+CxjoN6TD3lyr2ma1U54y9wFUATHteolUHXvvuNx+UrvizdY3Rd&#10;Cnk8TOMnshHZKDPq/vCQ8TiiWjoTu7QFj/uo316PmecRNRJ7PFDXsDp18+hcSmc8zpz1Ht0DdR1I&#10;8LiWAdqAB8tVSGM8pq56kRkkbkBF3aeqqzd6r36V1ONc+hzFMbx36Rx9SJ8R8ibEMR6TBRGYsUSp&#10;54zHZNFs1iKHelwlYT507c4vVPD4BY2/O/QZ+ml9jiiq7XC8cT2u3xCPgYb/IUWKPyHtowqG1mMd&#10;K/W4TbuSGnO6nuR7Sj9f3K77zSt6XVmzTgxV4TEgba06mSRn7gckrXpctsJL0q1HScdjnQt43Lhp&#10;IfU4s8bxI2Y+uJk6nTiuretxFWnXoahUraYx6npc/U3p1beseqzeqMeDhgG85lWP39UYJpviPeq5&#10;rgO67rlxzFHILVsX1HF+3XjMugPIG9u/oq45Tj19B1SWmupxWFld+9XjnLke0vblNmsEHrN3si82&#10;bZ5XSpZ+QdvyL93frwBxxcsV8mV5TR0Qt2NvQ2nd/g1ZurK+HD/VXU5f7CEnz3eXRUta6WeaqlI/&#10;8nUpXvouk3Vn+ZrGcuJMHzl9IU72He6p17TQPpaRmnWeN5BGdO9Msm5TMy0TLWcvxcih411l9rzm&#10;GktlNTafl9Ll7pVesTllw9bWcvJcX3OE3e793WX+4iYaYwWlcsSjUqHKAzrWBWTbrrZy4my0nP+0&#10;p+za28kc49qjZ1EpV/FRqVT1YRk2uqjs2NtBTl2IFTKxbd3VVWbOqS9dumfXttxnAL73JpaRPQc6&#10;aj095PzlGNm4pYNMnKSfKTrl1j3oPqlZ9ymZOKWCyerFsZEco7hhS5RMnArMm17L3GWyVM2cEyGH&#10;jnaRk7TnkxhZuaadjJtQV9fpTFKsFJmcXpI5C2tpf2O0njj9s5esXt9Wxr1fRRo3Bxi5U1q2SyNL&#10;VtSTYyfJtNZDy6nHS1vpHKsmDZq8aTwmk9PSVY0MAEM9eLxsZUtdc8OkVj38u1u6xmSUtRubJnh8&#10;+EQ3mTO/hT5/6tyq9YLxOKZvNlm3pYWcONfH8fhAtCxY0lTnRRGpUu1xIUNa/OC8snVnK8ebT2MM&#10;zDFjZjPd14rpGDwuFcMfksEji8jWPY7HHNW4bVcXAZjr1iOXzqf7JaLmYzL2g5J6bQenns9iZPO2&#10;DjJ5Mp+NNU7L3i/Vaz8p708uL3sOdjX1cOTqxq1k3aotbTtmUI/v1vXmWZk+O1wOHlGPzzHmMbJq&#10;bVsZ/14dadU2sxQvdbc0bPKifDS/hslISPwdPtFbVm9oJ+M/CJcmLdTj0ndKizavysLldeSIenxS&#10;PT59MVoWL2ulzzyA62/rWN1pMs0tXtFQjp7pbeoBAlq+SsdhVFmp0+AFKVX2bukS/a6s2dBE46qH&#10;nFGPj+q84NjU+EG619R+SUqF3SPde2eRdZubJ3hMRrKFS5voM5Y+K1Z/QspVuk/iBuWWLTta6lhx&#10;xG4PAyXN/KipPheUkIpVnlCfH5SBwwrKlt3tEzzevqerzJoXKd176jNexQelao1HZcyEErJrH8et&#10;MlY9Zcv2jjJ5SiPds/JL6bIP6N76pEyYWFZ2H+wsp873Mx5v2tZJJs+oI+2iMkvJsLsNwDd1ZiXt&#10;b2c5rh6fU49Xr2svE96vK63bZVFv7tZYf0Fmzq0uB46pdyGP12xsL+99GCHNWr5t4rh561c0lmqb&#10;uDt1Hn+iZcny1vqsUl2f498xHrds+7osWl5fjp3qZeIYj1es0XEYXU7b4cCWnbqlk1XrifVoOXMx&#10;RtvcTeYvbKnrXCWpWe9l0+auMZllzSb1+GwfvVecgesWLWuuz7rFdD15Sv25V9fNnLJ5e8jjT3sY&#10;EPejWc107S4llas+KeUr3S8DhhSQzTvbOR6fizVAJZkwe/TKo+8/ZLKSjRpXTHbubW/GHI/Jvjdl&#10;aqQ+VxXQOfWgrvuP6Xwuo3OpkzlK9bh6vHl7Z5MRsn2nLKa9ZL+cMqOizlsgLI1jXXPWrm8n739Q&#10;X+d2NuNxvcjnZdqsqupJtPGYrHlr1eP3J0aot2l1HQDge1nXxFpy5Hg3OXGeeR4tS9XjUWNqSNMW&#10;6aRYyTulWas0smBpPTlyupep5+DRnrou6TiMLa/PSPh3p4EkV6yJVG/xuIf2DY9b6J5UWWrXe03H&#10;8279rJNBx6GZHAfQNXEcI4uXN9P1oYRUq/m0zvN7dW3Ormt2C+PN2Y9jDBQ3a24zfSYvLVUinpaw&#10;Cg9I3MB8sml7W60jVudwrHrZTeYubKRrUT4DAlbRNXs4a/aetnJS1y483rark0yd1ki6RhfUZzwt&#10;U+1RGT2hlOzcH+V4fEY93tFZpn1UV6K6ZDVrW616T8qkaRV0nDupx866vk79++DDBtKuY3ZdB3Qc&#10;GjwjU2ZW0XayruNxH92XOsgHk6vpmp1OPb7TZOOcu7C62aOMxx/30LW2jYweW1OfW9Lrs93d0rTl&#10;azJ/SV29vqfj8bHesnJtGwPeNWz8mvG4XdSbBmI7dsrx+MTZ7rJgUUvdFzktJI225y4DjK9Yx3oS&#10;iuNDMboXtNC5X1KfA4Et71Gfssj6LcQ6bYnRe3W9Cojzf+5Gk6Z/MMYF4saPHyATJsTL+QsH5Psf&#10;LspPPwMGnJSPZr6vz0V9JDy8lFStWlomTRolly4dE44/BRYB4FmzZoHJqFU5XJ//a5WXWbPfk08v&#10;a5n/XNJ6PjUgA9BEnz6dpFwI3FmwYKoAgvz4n89N1jGAoqXLZkqPmDYOgNailqxaPUu++PKUqefn&#10;nz8z0NOUKWOkY8emBnho266RgZwAegBcvvzynBw6vE3mzv1Q2rZtIGXKFtA52EJ27FwpX39zVn78&#10;yaln7doFMnHiSGnatJaUKlNAACiAdoB1qIeMdbv3rNc5PEafpSMkrFxB3SO7yZGjW+Xb7/ReP11U&#10;fWzAqAkThkidOpX0XoWMTycA/DgGVIVPW7askHHjB+nnlQr6nFdUxo4bIGfP7ZPvf8Sbjw0U99FH&#10;H8iwYX31GbKMfv4sadoG4Afo9b3Wc+7cAW3zQhk8OEbCq5bUz6VldS8YK598elR+MPU4ZfC4b9/O&#10;CeDOvHmTDQAHBAKQBDy1bNlHBlgElGnStKYsXzHT8Tjkzf79G2Xq1LHSuXMLCVOPW7duIGvXLZIv&#10;vzpnxvwr/fPI4e1a90R9/o7UZ84C0pksTduXa190PLWen376zABD9KNZ8zpSqnR+6dGjnQFKHI8/&#10;VY9Pm39Pmz5W21HDjFVcv846fsBneKzlfvpUFi+ebuC8ehozAHHAeceO7XI8/vGyfPzxcdm2baW8&#10;9/4Q43GFikVk9Jh+cubsXvlO45h6AK2AMUeMiNPPEGUF6Oa994fJ+fOHTT0c60omvvXrF+kY9lKP&#10;S+maXUbXl9Hy8SdHQh5/IhcvHpLp08dLXFxX/WxbXGrVrihz5kw0HpONDI9Pntory5fz+8mOuj8U&#10;lcjG1TSup8vnOpeImZ9/viyHDm2RqVPGGpASUKZ5i7qyevV89ZZMRE4cHzmyTch+FtWpiZYpKB06&#10;NpbNW5bKV9+cMX1irDZvWmLmIyAlHgPcAGO6cQxouW/fRpkxY7x+5gLKKSB9Y6PkwMGN6sk5U89P&#10;6jHw2XsfDJP6HImpHg8cGKP332F8wZ9PPjku27ev0nVyqNStX9nEzshRfeX0mT3yLWCU1vOdjtns&#10;2RMNyFS9Rjkdh2K6pgzWuDx0xeMLh01cDBveV/fgMAOhTZ4yUi59rOMQ8hiAbMaMCQakrFRZP+vW&#10;LK/z430B4MJj+gY8tWIFv5PuJBUqFzPA1qLFU+Szz0/oWvGx1nPZZAacOnWc8aSsesxcX7lijvEW&#10;j8lMCPy1YMEUfd5sZgA04nnjJo114tisOZ/r/F0ukyeNNvMAOKpL11bqxRoz1ngMaLlv/yadjxN0&#10;HGubOO7Vu73sN/CZ3st4fNnAZx+ox0B+eEz/yF6HL2RlxGMAxA8nMg5VzBo4bISu+ad3y7ffX5Af&#10;f75oIDTibdQosgyVN/N87NiBBvD78UfH44sXD8vGjUtk5IhYqaYeV4nQ9WTScLl4ScfhR9b1TzRe&#10;jxmP4+N7SGX1mDnBvz/5RP1Tb/D49On9smrVXDMnK6rH9XTc58/XWDceM1aXdR5uNx4zt4HCGjeu&#10;YfoJROl4fF7L7DSgXZeuLYzHbdo1kPUbFjhrxX8umjjevn2lieM2bQFu8mvMNzfr5tffXAh5fFYO&#10;HNisz2Zke6ojZbSenr3ayd596xLWdTxeuXKOejxCgPzwmHl68CBHPn5s1gpiaOfONXqvESZmyqrH&#10;wHknyJqnHv9HPQbQY93E11q1Kph+4Td+/MB6bOL4iGzatExGj+6n8anrSZXi+pw25MreqfP8s8+O&#10;ycyZ7xlYtYrunUCvrKusV67Hn35yzOy9uYuVXurdl9Nmz78stG0n+9LP6du81+UsXGqy/4t4vtDn&#10;y3qABKA0wCeOQQV8ImMVIAhf+AM9AX0Af5DJCfAJuAxoAvCAOqgPeAowAGAEmAEIAegESIF6ACwA&#10;fQAMyOwFXAE4BnQCPATIABgBdAKkBMwAqADQ4QJq1AXMAUQEQAOAAKhARjoXUOMIO6AaQBSycQGU&#10;AFEBGgGLUIb7ATUAX1DGhXLcLE20l2M8ARkA3egLfQLCAKwAlKAeoC+ACEAK4BfKAOW4WZoAL/AH&#10;oINMWAAeeIyP3Nv1mH7jMcASMA5lyCIHIEQZ6mC86DdQkAuMcE9gH/pDPbSLjEz01YWjAMfcTFgu&#10;9ASchK8AMPQdMMkF1OgX/gFzMZ54jIf8HUDJ9RggB5AHSIT3gXcYW3x1PcZv4BCAG4ARQCv8BBZx&#10;PQbyAXoBgqNPwEQALsQLZYgxxgHA0B0H4DqgRPqLx8AreMz9iU38Ay4jlvDW9RgIi7rdWMdr2sd7&#10;gD0ALEA8wG1cT6wDSQL/0B/6xbjiJ5m5gINoD20n1t04duEfPAbkwmM8YIz9HgPnEZ/EOsCSG+tk&#10;lgJio5947IJPxBGeUcb1GMgJ6AyPqYu2ubHOWAEEEtsAbsQE406sUb/XY4AqdxyYo26s4zH9IkYA&#10;tQDu8I845BrWCO5FbFEGGAlgzBvrlPHCU8xZADQ8BswktplPtAePWRcAlsg+R3vIvkesU4a2EM+M&#10;nZvhEPAJn4gD12NilGu4l7ueACy58BQe0z/mK+ODv6wnwHz4QT2INYG5yLpEHcwJfHBjHY/5O6Ab&#10;843x5n5kH6MN9ImxArYiJhkHN9ZZp4h15jf9YvyZvy5cRv/dzHpuHFOGsXFjHR+Z07yHv4h4pB+A&#10;Zy6sCkzoekx9QJVAaYwjZYDLiHXXY/pObOGxC7QCjjE2+EffiSHGE0jOXU/wyQUF8ZjxpA/EKOsE&#10;seyu2V6P2VOYM26sM5+JXddjYhqPydDnrtmsHVxLGdrN3ABupAztxWNi3R0H2sM6xhyhv/jHms0a&#10;Tjuph/lAGdY3xgFvvLGOv8Qy+xn9Zh2hjLtmcz33oizxSBupNwklgtcdXQcgLqJ2ex24BTJ0CEd0&#10;zjDZeoAdADiqRrQTsscB7JDdhkxOwCEFC9U1gAtACNAEWXL69wdqWqCL4lL9YD3S1EEWK6AHMgEB&#10;mgAXkPkHwIBjNcl6BpTCkYM1anU3UFP8gDn60DNfDVup13Uz8EamzGWFTF/1G/Qw4BiAAe0h8xiZ&#10;fACjANAAXcj+BNQ0cOA8rWeejBm72kAk1APwULoMGaH6JsB5gAxAPO4RgcApZD8D+OrVc6ppy0Ct&#10;Z+TIZQaOAbYB9ipfoaV+cBpgoAvaAlQCVAQIkjFTRS2jC0nFNgbiiFVf8Qb16/eRAX/wB0CvcpX2&#10;6t+wkMdOJjaAEsCNDJnKS74CtfUBMEonpnqs1zoeL5GOUWMMBAeoBbxDRisySQFeONmVnIxkeEy/&#10;Chaupx+suunD8TjdyEMej16h4xATgrQcjwG1vMcaAiZxZCYZkfAYYKtuvV7SrTseq3/qzdixq6RM&#10;6aamHjJHlSrdWP3rYyAbPEbduo9Tz9oImcbwuFTpZtIwMk4XiikJHo8atUxy545Qj8nWFmFAtOYt&#10;OPqQjGROdiXgOLLvEX+58lTXMq01Jgfqog5wM9/4MzB+jnocph4XM5AM8GG79kONt3iD1xwdSdxd&#10;8bijtG47wowPdQxTj8mMhcfp1GPiGIgMKI2xph5gK2AuAL+MmSvomOFxV10MxqrHs02/Ro1ergtH&#10;H9MnIK2ixeobUIsseHgMiIpPHOeIx4wVx/7WqdtTH2TeT+QxGffwGAANjyMb9TZA3hWPx2vMtTMe&#10;U1dJHZOGkbHSMwaP8W+ePsSv0JiobtpD9kYy8TVr3s/0xfWYPjI+mTSOc+WurmVaSTON4z59pps+&#10;DcJnrQt4kvkABEmWrjZtBxuPiWM8BjoFVAU4xCMg2jZth0u/uJDHw5aYOCJrIz4D+lWr3lHvDwDp&#10;ZGJjfrmAHx4X0LUH4LBjR7JR4vEC43GjxnHGG8fjBupf9wRwjHqY76wnxB4eFynWUGrXidEy7+lm&#10;H/J4zCozZ12PS5ZqpP710jnwgfEXf5gbzNkEjzUWGzTsqxvJ5ASPx4xZYTzBY8BOgFfANrLmuR5z&#10;hCbrjIlj9TisPNkU49XjaVc8Vh+BZvGYjGIVK7VW/4aYdZh6AL/IYka84HGefIxDO2nZapg+qLge&#10;L9IHiUkGSsbjQoVrqX9ROo+Afcn6xlGg0wx8ZjzW9pB9j6yWHTqO1nV9to71Ahk5arlp35tvAcKV&#10;EbJbAsACt7ke9+k7SX8WbeCzTFkqGoC2Vu0eWoZfFjgej1GP8Q+Ps2StoOtlpFmnAOlcjwEXyXDI&#10;eoNYU+vrHIrRfuAvGjt2pcZLHeMxR5MCvHJULm2gDuZW5y6j9ectzHjnzF1Nx6GllhmQyGP8yZqV&#10;bIHFdF5U0/FvbWBGN+sbHrE+s+4B9+FxhYrtNbY5/nqm8Xjo0EUGgHXBZOI4olpH9c8BIKmH+gC3&#10;2TNdj9u0Ha3zOzEQ17h53GT/Rv9LgbihIyub4+lefRlg4mldI9/S+ZHHgEPDRjhZkXr2riC162ZW&#10;Xx6THLkekrByr5jsZ4BjQ0dWlWGjImTIiMpSs04GeS0NR/I9p7GVTtfjgtI3juP96svQ4XWke/cw&#10;qRyeVrLnfFi9ecwcUdqiVS7p26+cXh8hw8ZUlYHDK+kYvqRjdZ9686I+V2SQtu2L6vwly1UDA5UA&#10;FZUp+5pkzf6gFCz4lFQxGaHyS7+B+qFyZIQM13r6DSynMfOojsMjGvOv6JqZWaI6lzbgmJNdqZrJ&#10;qlak2POSLceDWuZZk+2rY+ciEj+kigzTeoaNqiIxfUrJG2/cq3vVEzp/0+h+lt2AMkAT1BPXP9yA&#10;UfkKPGXaU6LUC+ZYvK7RxWXwcMeboSOrSLuogvLqK3dovD+ta+Sbuk7llpheVzzu3aei1KmXWfep&#10;xyRnzkf0w8fLJvtZTO/SMsTjcZ36meW11+6WvHmf1TmeVtdjftEafsXjHmWlStV3dJweltx5H5UK&#10;lV7T9TiX9IlzPB4R8rhUmdfkrbfu09h6QZ/L3tX4Kib9jMdkcqolHTsV13F+Tb15SOPwCS3zlrRp&#10;l1fi4q943H9wBcmR43F5N8PDUqzoK7qfqcedShmPObJw4OBquk8WkqLFX9B6HlCvnxWOZ+3QqZDE&#10;D65s6hk2Olx6xZbWOX6fzt/HpVTJNLoeq8fdy2k7XI+rmixv+Qs+bcaKjH916mWULt3V42Gux5V1&#10;7ArLK68ApTwlZcPe1PUYj7W9w0Me961kAL/c+R7XdeAhKVPuZZP9rEfPUk784bHWU79xNnnt1Tt1&#10;jqvHFdPqWpZf+ng8Jmte1ervqsePGI/LVXhV25dTeseWNfUMH1VVBqnHYeVflzfeVI8LqMfh6dWL&#10;IgaCw2OyhEV1LmGAJjzOpx5z5GzrNnhcIcHjAYPLa0w8pc9uD0uRIi+rx5k0/ktq/NYMeVzdgILF&#10;S76o8feAFC76tFSr8Y6WKZjI495xZSRtWo6WfFxKlEija2826dItLMHjfgOqapzk1T3zGeNxcfWY&#10;LHRdDGQabubDUJ0PnboVkVfUmxw5n9I18i1dj3Opf47HZPcCDgWMyp33cd3zdK0Ie8lkP4v2eqxx&#10;3KhpDp0PePyMrpFvmyNQe/dl3jkekzWvWo30ulY8ov1/1GRBbNIsh8aKeow3eKz1VKj0pryu8zN/&#10;ged1H0gnLdsU1vWzmr6Px7W1/SX12jdCHnOE2JvSsm0eiRugHofWnPghFXXPfFbSpXtQn0Fe0j1P&#10;Pe5IFknHY+AoILYSpV5Sjx/SMk9LRI200j6qgI6P4/FQ9bjPgDBd0zky+DH9fPGaepxVOnfFYyej&#10;24CBEdK8ZT59vg55XOI5k4Wuc9ciVzzWtaJrj2Lyqs7xHDmf1H3/DfU4p+552l7iWD3uG1fZZPbL&#10;k+8J9edBncsvqueZpTseD78Sx2Q9fEU9zp1HPa6QVveUvLrOqMcj8LiuyZoH4Jcz96Pq8SNSvvyr&#10;JvtZr75hTvyFPK6s68nrr+u6nv953Y/f0f2skMT20/d1rPCYI4HJBIrHefM/LpWqvKHjkFti+5dP&#10;5HGBgs/rs4XGaOGXdM/LoJ8XSxhwzPUYiK1k6ZfNOloIj6unlXYdC0j/QVc8jo0P02eKh/SZ4TEp&#10;Ufw1fWbIKp26lDFwHu0hwyYZ8AoVedZ4XEw9rqked+paNFEcd+9ZQtfRu3Rdf1L3/df182JOXTvL&#10;a3/qahmODa5iwO08+Z40/QLKrofHMSV1XXc8HqweN2+dx/E49zPq31v6bJRXevWpnLCukzWvZu2M&#10;JobxuGz51/TZpYx+JkgKiCtw1Rfq/uNZKtcu9eH+I81lxqzasudAJwHUOvNJVzl8up3uBxmkeHGy&#10;CWaQfvHFZd7iBrL/aHc5+0lfOXq6hyxYWlc6dsmk3j6ne3ha9au4LFgcKQePdTEg0qUvesiGbY3U&#10;1zekjMZVy9ZZdQxLC0dXHj4VI2c/jZMDx7rKlI/CDQgSUeMFLZNRx6eMrFjT1EBIpy90l8+/7SUz&#10;5lSRSpVe0X3qVWnfMbuMmVDBZC07fq6XtjdWdh2MkjHvhUmDRmmkeq2XdKyzydgJlWT95tYGMDh5&#10;oat88X0vXS+KCUcCV6/5ps7nPPLB5HDZsqu9vt9HznzcV//eRuKHFtFxflnn3Ku69+YVjvDcpmWA&#10;f05d6CIffxWtP8+t3jyrn/vT6b5aQKZ/VEN27u8spy/11bp6yZpNzaRn39ymT/UbviE9+xTUMrVk&#10;9/4ox+NLXeXEuY46hzla+Dkd6wwSO6CYzFlYX/Yd6WbacvRMD1m4vIE5LhKYMLLJ27q2FpP5i+rL&#10;/iNd5Awef95DtuxsouvrWyauWrTKovO2tJBR69CJHupxrBw83k2mzwYEeUfnygtaJoM+N5eR5ToO&#10;R052Mx5f/iZGZi+opnPyVV1DX9X5k0NGjS8vaza2lONne8o59XjPoSgZ90E5adhEPa75krTtkNUc&#10;gbpuk5Y501296Sqfq8fDR5fUtfpFXfve1PmcW96fVMXASK7HW3e31T2tqNSqi8ev6HN6LvlgYlXZ&#10;ulPH4Xy08fiTb3roOp9H95dndZ99Rz0uKFNn1lSPNUbV41MXepujD3vH5dV97AWp1+B1U2b6zFqy&#10;y8A0jsenLnXSfjseN1KP+/YvKnMW1JN9hx2Pj52NkcUrG5psWXjcsPFb+oxQVOYuIEsTHveQC591&#10;l+37mkndBm/rc9vzOmZZZNCwUrJ4RSP1ONrMh0MnusnMedWlVbt0Oh9e0OfV9DoOpTTWmxio6fSF&#10;aLn8dYzMX1JD9+ZXdX6/os/KOWTk2HIma9kxPNax2nu4k0yYWF4im74u1Wq+qGWyyOhx5WXtRo6y&#10;xGOdD9/1lNETyuhz3YsSEfGGRKl/EyZWkY3b8bi3nNZ+bdvTzsR67Xov65rxiu61Oc0xqWTfO2ni&#10;uKt89m2MPpPmM0eq16nHEdv5ZcqM6rJjLx73UQ97G6iyT798Oqde1P6/Lj16FZCpM2rIrn0dtQ6n&#10;njOfdJHW7TIbjyMbp9fyhWXW/Lqy57C+p205rh4vXRUpXaKzOx43ekuf04vInPka64d1zuDx5e46&#10;h1vqXElrPG7WIrPOw5KyaJmuJ8fV40/7yuGT3WX2vJrqybsax8/pc1I6GTiklCxd3tjAeXj8iXq8&#10;ZGUdqVrtNX02fkmfZ7LLyDFlTdYyPGY+7DvSWT6YVFEaNXvT8VjbPmp0OVlDmdNXPJ7wISc6vKTP&#10;q6/r81VucwTqhm1t5cT53mbMt+9tr/tIcX2OfkXXuJf1mTGHvPdhuGze3lZOngt5/F2MPsfkN32q&#10;XTetrvn5ZNL0anotMdpH+95bNmxtqXGZT/dP9bj+6844TCfDYUezVlDPuctdzHwzHkdm0GfwIvLR&#10;vDo6JzVG1eMT53rKsrWNdN/Joc+TePym7jtF1C8niyQen/u0u/a9ta6R70jJkviXWQYMKiELlzaU&#10;A3j8SZwcORUtcxaRdTaDWdebNHtHn/1KypJljQyghTeffNlDlq+pp/M7jT63vaTPotl0zpeVleua&#10;y5EzVzyeOLWS3uMt43Hrdpn0s7zGupZxPf7su166/laQ8hVe1uet1/VzQk4Z976u2VvaJHi8Y18H&#10;GTG2pO6Xr0oNPO6UXcdBY30rHnMEtq453/Y0WfNKln5eatV6W7r1yCsTp+maDciLx7rubNzeSj/H&#10;FdQ68DiNGYfJU50Mh24cX/i8m36eyGaepRo2fFefDwvJzLm1ZffBKx6vXN9Eonvl1OfJF/S56U0d&#10;W431uXVk70Fn7zz3SXc5eKKtfu59V9cu/Mso/QeW0Hmv68kx9k71+HS07qV19F4Z1ePn9TPfO2Yc&#10;Fi+NNHAe3nyse+eajQ2v2r/TZc37hHf/RiPGjfjQBeK2bl0iHAUKGCBy2UAuZB8rVCirAb6ie7Qz&#10;MNChQ9sMFEDmHwADsmwBVtWqU97AbGTmOnpsm/z4I5nNOFrpU1m0aLI+b2UzoALAFsABWZcAtci2&#10;Q9a3994fakCQBg2rSGxcF1m4aIqcPbdXyLTz88+faH1fSHx8N42/vCZb3cDBvWT58tlCBiGTbUxF&#10;2wYO7KHrVnn9vFRDgB1Wr5ltwDHTp5/JAvG5fu6tpp+pikvbtpEyciSZiJaIySCkfQIs2bFjjfa3&#10;jc6rstK2XQMZM7a/bN6yRL786rT8TJ9+umgyhpGhCZikU6fmBtoia5mTpYmjei7I2rXzBcimes0w&#10;A419MHGY7N6zxgBftAcg5MTJHVKwYDapXbuikKUJaMKBOByPga3mzZuk/amla0U5bVdrmTFznBzW&#10;sQEiMv36z2WT5Y16AG4AD8kwBwAHfEF7zp07KB9+OFz9DTc+9+3XSeYvnGygpisefy7DhvXW55Pc&#10;xuP4QT1l6dKPBHDM9fjIke36WaKnGW9AtsFDYmTFylkGavqZPmk9eNy8OVnWiupnyYYywni82PTF&#10;8fgz2bVrrcRwnKh63KYtGYT6yabNiwUI0/H4konF8uULCxm+oqKaGfiQzE2AY/QJKAlQEFgMjzt1&#10;bmrAFDJqASMZj3Wszp3dp/GX3XgMIDV58mjh2F1AGeph7IF2AJpqqsfdo1vJtBljDJznegw4tnbt&#10;PPU4iwE6yb43e/aHAsjpePy1XDh3SCZNHqUeVzUAUZ++HWXe/IkGavJ6PGZMfylWLLeBtACjANIA&#10;x1yPAbWGDuujzzgV9PmumsRrTK9YOTPBY6AmPAYuIoNaq9YNZPjwWFm3bpGZk7SFmCB7IWBezVrl&#10;9FmmnowcHScbNi4ycB5zE2++//6izoVixuMOHZsaiI2MWoBjeAO4w9hFdWpq4B8yHU54f7CBTF2P&#10;mQ+XLh2SIkVyGIiIbH4ATnv3bgx5/LUAvwI3tmhVx7SnW/dWBjgEzgMiop6f1aPNGgN4TEZBQFUy&#10;zAFActQv9TDfp04dIw0jI3T/rCS9+3SQufM+NNn3yC5nYkfXFbK+FS2aS5o0qSlkLSPDHOAYGd3w&#10;mHEbMTJO6tTV/bwxHkfL8hUz5MJFyrgefyGdgeXCCgmZBYFWyZQI1IQ3ZKSkj336dtL9oayOA5m4&#10;+xrgCzjPrH+AbN9/bGBioGKyjgFbkeXNzb6HR2R0A8zD4w4dG8mE9wbJ9h1AYZS5LD/8dEE+vXxE&#10;4yaXgeG6dm1lgFPuzxjhDWPGfG3Vup6ZV127tdS9aqSB875PWNc/0XVqpRQo4MRxz54dDLgFAAnw&#10;RT2AvKz1+FK3LkfTtZfZc96X4yd2aMw4HhPzU6eOMmMOCEe2TQDhM2cOqC94TGbCPTqv+wuZEiMb&#10;RxioeOnyGQYcA+J14zg6uo1ZSwE7Bw/tY+BQr8fAynH9umifymmZOjJ8RB+TjfLyZ5TBY2CiTzX2&#10;yguZQ8maN2ZMvIHqHI+/Nh4DNwLm4U37Do1k3IT4BJDX8eaSycTH+lejRnkDrJLFkXnkZDh0PGbf&#10;ad2mgY5VmHrcQuf8CJM90d07f9J69u1bpx5nlXr1qghZAQEOASCBQ6mH/m3dstTsvQVKlZuZeG/O&#10;vy20bSf78gNxuYqGLfV/EQ/kAoQBDJU/f34DXvB3vvQHMAAO4kt9ACtgEWAHygAsABwA9HC9C0cB&#10;tRQuXNgAGABFgAHAJoADwCCAFUAtQAyUAYgAogPMoC28AC2AWwBBqM/N5ARgQD0ABmSsAkCgPYA5&#10;wCO0ERjCrYc+AEMArgBRAQO5wBf10F5AEOA97kcZgD9AEyAOgAdewFuFChUyZYD3gFAAZeg3/gBf&#10;AJ3wPsAIcB0QBT/HO0A26iKbHh4DVQCL0D5vtizAFGAR12OgHcAZxsH1GFgDOKtgwYIGWgSkwlM3&#10;kxPtXrt2rekLHlOGceBnLtTEC0ADWA6AA6AG6ASgxfUYqAZ4BbgDqAeQxptRy60HAAcAC3CFccVP&#10;6qYd1AMog+/0GSiFdgGGuONA33nhO3FDGSAWACE8xhfKAMQAnQBoIXcc3ExO9B2fAQXz5ctnxhQv&#10;6QMAjRvnADr4iseUYRzI9sQ4UAZQhviinXgMyAV0CXTl9RhwC6AJjynjZo9jfFxv6CP3KFmypPHP&#10;zVqGf3jDn9wbQBKPveOA/6433BvYEEAI+JF4JFZcj2kX0BXwHv5RhnGgr8w5tx4goiJFihg4D2AL&#10;YM3NSEYZYC7aSAzjMdCTOw6sFfQdQIp4Io4BiFgTgIi41vWYfhPr3IcyeMw44DHv4zHzFP9cj4Gt&#10;AHCJF+5DbABlEQt4TN/wmFinjOsxbeO9EiVKGB/drGUu3Eg8M4dYR/CYeAYmdMfB9YaxczOxMb8A&#10;pVxIl3qYO0CUQGfEDhAV4+ACX2578LR48eLmXvQPz92MZPSLWGSMmXt4TP8AtVyQlzL4A5yMx8CW&#10;eAysxxzgPog1irhkvL3jQP14DBxKuxhD6qHdjAnzlXWP+3A/Yo0ytBcfqdMdB7dPjC3rSLFixYx/&#10;tI34Z83GG8aSeoHGGCtAU3ccmEuux4CfbmZHyrqZJl2PmTv4RzzgMeMADMl64l3XWVuZU9wLcJPY&#10;dyFd+kWcUTfesSYT6+44EFeUYS0lDgoUKGDGAoiSPcXrMXUCAOMxZdxxwA/XY+7JtXiMf9590fWY&#10;NZM9gT7x7yR0zP879LTZ80eFtvJrf9Ws3/nboUOXyJjRK3VBnC3/938vyJ13vSLFSzQwQAGwA/DP&#10;mLHL9MPaHP1Q0V2efS63PPpYZgFUiOrEUXkufLFYjd2gHzYHyv/+7Sl5+JF3pULFVvqhE8Bqtj7c&#10;LjL1AM2ElW0ljz2exdRFxhwyGg3oP1uGDl6opi7RTWC7tqGJ/OWvT8gLL+bWD69d9WHdgX9Gjlps&#10;6uG4U45tfeDBd002IrKGAQgNiJ+rgbpY27NEB3+HcPzf//sfju0qqR86Y/Vh0AFTqGfUaMCnsQbM&#10;u+fetAaQAlwg81J8/Dxti1PPxA83yYMPvSt//8ezBnIB/hkQP10/aJH1aInpGxnRuNd9979jgDiy&#10;vMXGzdBBn2/6NGrUcvVzvtx+x8tyhwqoxPHYAaxGj1lq+gek9tzzeeWhR/kFciP90MQRnlc8njBh&#10;vT6kD5O//f0peejhdwyc50BsjsfUA5AE3IPHzzybSypUamvgn34DZms9rsdb9cNJS+Px8y/kNOBi&#10;7z7OMbPuWAESAXo9+FB6eS1NUR2HaOkR43jsejNt6k71trR6/JQBSwC1HIjNGSvaAziTJWsl4w2Z&#10;BQ1w2HuK8dgdq0kTt8gj2ue//f0ZAV5s3Wag9mNGgsfDR+gDh/rO0a/UA+RC5rC+sdMTPB45crnx&#10;6M47X5F//99LBhYEPsJjoB3awtiTXe+FF/PJgw9nMEARgGECDKf9mjBhnW4Ko+Xvf39a4+ttA+d1&#10;jx6v3uDxQlMPsAtwz+NPZJMnn8lhgD+yRgFq4TF9mjxpi27M7eSv/+8JjfXsBqrr1fuKx2PHLjeA&#10;KBAXHpPFikxUHPcLuAhsQ3+mTdspGTU2qQeYCFArNs6BOkeOWmLaA9iZNVtl40269GEGJEvs8WJt&#10;zzZ54sksOj+f1rIVNI7iE3lMm8iyxXGr996XVrLnItPfkKs8Hjliudx112vy73+/qPFRS9eBEeqx&#10;A7HRFv4k2+SLL+XXfmUw8GGHjqMSPCZ2xo1bow8jE+Sf/3xG2/yGrglk8QOwmqNj7cwHwDiOJX7y&#10;qezyxFPZDNQEYOX1eOLEzUIWOrx56umsAlTXq7eT/cydD8BoxUtE6nzJIC+/UlDLdNV1yfWYevB4&#10;h2TLHq71PGkyl5ENjetcj5kPzLMcOasaj8nyxRHPPXtNVo9Zc5yxmjx5mzzzdA7jMUAb4KwLseEx&#10;c4JscWS7w+Ns2asaQLNP32kJHg8fvlQ3yZVyz91p5J//esEAdh2jhieAgvSJNaNxk1h56eWCZg1k&#10;npLJLI7smANdj1cbIO5f/3pW7/W6ASm7dhur3jhrDn1ibnAM61Pa5sefyGogMjIN9jeZGx1vWP9q&#10;1Y6R/6fePPFkJh2T9tpvJ/uZ6zHwYomSTXXdzygvvJxfqlbrpH59oPWEPNb24HGe3DWMx2QnJHNi&#10;31gHnHXjmKxqHI2LxxxrS+ZOsgS6HuPPlCnbdf7mkf/536d0XpSVZi36SVx/B+ocNXqx8Rjo712d&#10;B3gMWAdo7Pd4/Li1cu+9b6rHz0vefNXVv2EJHrtrDjAjWerufyCdAdrIyGc81rUcj4H8eveeLv/6&#10;9/Nyl44XIGWXrmPMeux6jE9Ar6zFrMnAkL16MacSA3Ft2o/0fZgvIBzPEtqur3r5fzGfOV9BGTmu&#10;ijRskpVf4ut+dLf6x/8W5ii4BjJmXKSMHtvQgBPFSrwojz6uZd76t8ZxdvWvkgwlM9e4ajL6vaoy&#10;YmxlKVriZfkvrSdLlsc0RoupN3Vl5OiGpp5RYxpIpy4lDET0yKO3SeasD+hakV8GDKwiw0Y59Yx5&#10;r5oMHVXBAC7/+udt+kD1kq6rZXW868mIUD0jRteVFq3yydvv3CmPPHabFCz8tER1LqZxWVWGj9F6&#10;xkdoPcBaYXL3PbfpevJf6l9aXSuqCEf2jRrTUMaOb2SAJMCdl175X43R24Rj/Lr3KGMyGpl6xkXI&#10;qAnh0r1XUePNs8/9XeM4m64V1YWjYamH9gwYWNVke3r6WS3z/F9NVqJefYBXtI6x1WTUePVGPW7S&#10;IoepJ83rd0mduvkkth9gXgP11/GYbEQAN4+rx2le/5dpGx6b7Gdaj+NxRSkV9pqpJ2OmR/VBvLje&#10;v47H4/rSuWtJA18wVhkz32cAnAEDw9Xj6tqOCBmr9QwZXUH9u1/+8Y/b9APuCxqjYTJIPXbrAVAB&#10;FkyX/i7jcb4CT+l6XFTiB4XLCI/HA4aGyf33/1Xn3n/pWvG2rhWVr/IYcOeV1/4mj6vHZcJeMUdv&#10;kpnL9Xj0e+ES06e4/OW/b9N18G/64T+zzl+OT7ziMfBiRPV08sxz/6X6i45DWvW4vAzxeDxqfBUD&#10;OuHNq6/dqc93efQh2/HYqaehgbVKaxtoy6tp/qHrSWYdB8fjEQkeV5YKld809aTP8LA0bVJE9+4r&#10;Ho8e20C6dCslefM/IQ9rHKfPcK+uJ3mkf7wTx6O0T3gzbHRFSZ/pEfnb326TPHme12cRja3Bjsdj&#10;x0fqn/WkTbtCkj7j3cbjvPmekHYdCmtftQ0hb8a8HyEDh5WVRx75X7lHY7lE8bd0ragog4fVC3kc&#10;qXFWWyIb59L+/N30C6CoK8dCJnhc1fSrV1wJXY9v073xf/UZI5M++0botVc8BqyrVjO9+vvfuu78&#10;t1QJf1s4QnbIsGoJ82qkety2Q17jzSuv3K5rfG5djzmismGCxxwXG1Yuje6/lPm71K6byfwsweMJ&#10;Ws+4ylKlWlpTT7p3H5JGTTiCt27CHB8zroGZi8Tdo+pNuvR367qaO8Fj4817gFYVDUT5P9qvXDmf&#10;0ec7gFfX44b6Z33h6NRMWe4zHjMvOOZzoM7Z4aM9Hg8vL0888U+5+67b9NnqdX3OrqB7h+Mx7eE4&#10;2kZNckuaN/5p5lXxki9oDJTQOYPH1XXMHY/79C8pf/vf2+SJx/+ffvjPqHuTzrVhVzzm+E0AtOde&#10;+ItZLypVeUvX1nIm+5nX4/ad8xtvXnrp37oP5NK49XrcQGO2ipSr+Lo8+bSWeeVvUqtORuPxELKW&#10;eTyuXju9qSetzvXIRoV0b62TsK5TT3RMmIHz8Ib1FLC33wAyJTreUM+wMZUkd96n5a9/vU2fs5/S&#10;Z8CSutaG1nX1mDWHo0kzZ73f1MP6TlyzVgzzeDx4RHldQ/+tn2VukyJFXtPn7PIao1c8Hj6qjjRp&#10;lsfsL3hcrPjzZi0jcygej9Q5Tj2xA0vLP3RvePTRv+qH//T6XJbYY465JsPc8y/+xfhTseKb0qOn&#10;7iGJPA6XTt0LGW9efPFf+pydQz94c4T2lTgGdAbyo44XXvpf/byTQcehopNhjjUn5HGd+hlNPQDc&#10;DRsW1Ge3Kx6zVnDvwkWfNd68lfYOnas59HnBgeFQ+aqFp3v3ZOQ/9tz/Yb5irdILjp9uI/sO9pVT&#10;53rJhcsx8sX3wGod9bPpQ3L33bfps15WWbaSI+UGyPlP+8vHX/eXUx/HyKQZ5XSfvlPefvs2fcbJ&#10;KkuXdZBDR2Pl1IVecv6zHvKD9JXVm+rq89K/5ckn/0fXmyKyfnM3OXl+gFz4fIB88k1/OXymqwwa&#10;kV+y5/67zq2/S/fuRWXtuq5y5DhHUPbUctEi0l/3mxK6//63PpfdrfFQQbbt4jjReLn4RX/59Nv+&#10;svtIe+nUI72uAf+lz0r36vMjx0LGyLFTfeTsxz21HPXES/PWmeT2O/V5oOBTMuH9OrL3UF85c2mA&#10;XPqyn/arn2zc2Uwim72szy/sMU+ZzE47d/cSsuKRtezSl921nlgpU+55fe7SmKj8usyc3UwOH+8n&#10;Zz9Rb77qp23uK4tX1zVHsr7++m1Svfqr8tGs5rLvQF+tx/H4s297aF1dJGv2h+VOXSsaRmaSJcvI&#10;ThUf8rifnP4kRqbOZi+/W2PiNmnSNJMsXtJeDh2Jk1PnqaeHfCd9tM0N9bPF7fLYY3/VZ8+Csm5D&#10;Vzl5Ll7b0c94c+xsN517hXXN+odkzPg3/exTUNas7SpHj9F39fgzx+PxE8voM/Rf5I037tLYKydb&#10;d8bImYshj7/pJ/uOdpBuvTPJuxn/S/Lku1vXvgqyeUsPOXYy5LEZqwHSLiqLfg5mr3pc106OEXQ8&#10;vmg87i+bdzU3x4S+8dZtutc/brLA7dilHutYkTXqkhmrOClf6SX9nHebAfRmfNREDhmPBzgefxEr&#10;y9bWk4iaT8pr6nHViFe0TDPZ7/H4snr8+ffddR151LSnXoOMsmhpOzl2ur/eR+NP6znzSU+ZMa+K&#10;lAy7Rz/f3maArkWL2snBw2TL0no0jr+V3rJ9fxN5Jc0dun/+tz6r55fV68lkp2OFx98MkGPnuuk8&#10;LiJ58v9DMmT4X/1cmk9Wr+6iHsd6PO4nk6aX1/n7/+TVV2/XNaCsbNlBtjvX4/6y71hHiembVTJk&#10;+ovkzu2Mw8ZNeKzzIcHjeInqnkPu1LnJf3gYNbaG7NnfR8cKj/trv/rL1j0tpEXbNPKmxk3xko/K&#10;2HE1ZfvOnjofehuPnfkwQCpXfdXEMRk2p85oLAePxel9nPlw8ctYWbGhvtSo85Q+R96mz1MvyrQZ&#10;Tc29TqrHZOb69Jto+eo/PbTfj8v/3X6b1KmTXhYsDh11qXFMW85+2ktmLahqsja+rvOqQcN0Mn9h&#10;W/VY14pQHH/9cy+Nrxb6/t06z2/TZ5w8GqMc3aweX+6na8UAOX4+WsZ8UELyFfy37uN/1ef5PLJq&#10;VSc5oh6fvoDHPeRn9XimjufjT/5NXn75X/qMXUo2byfbna45IY/3n4iS3v2zS8Ysf9XYuF2fO8rI&#10;ho3RcvQEa06Meswcj5fo3rnNc3/WbA/r57pqsnvfFY8/1fm5fV9radXhTV2TdI8ppuMwpoZs0zlz&#10;/KR6rHHljFV/qVbrdfm//9NYL/WCTJ4WKQeOhjzW9lz6Kk7XyIZSq94zxuOKlV+QqVObyB69F3F8&#10;/nJP9TBa53kvyVvwCVNPjZrvyPxFbeToSfX4E51T6vG5T3vLnCXVpVyFB83aVa/+2zJvQRs5cIiM&#10;ZM58+PI/veTw6dbyZtp75YEHbtPPTLlk5ZooOXFO1/XLznp84mJ3GT+ptOQvcru88+5fdP/NKctX&#10;RskRXddPh9b1n3T9m7c0Qp///i4vvPBPff4rKZu2ArKy5gwwHh862UniBuaSLNn+R7Jn/7f07lNK&#10;Nmzo7nj8sdYTWiv6Diign5Nvk0yZHtBnyKqya09v4/El4ljr2XGgjbSNelveTsde/6B+5q8m27b1&#10;Uo91zVGPL5mxGiC1tb94U6zY8zJxMseSxjoeqzcffxkna7c2lroNnzMeV6j0rEyaEim79/aW46cd&#10;j4Gcf9S1tFCxp8yaE1H9bZk7v1XIY9Z1XTM+6y0LltUwRwuneYNYf1Pmzm2lHmscu3vnDz3lxKX2&#10;Gp/3mX41a55dVqzuqOs6HmufdP07qTH2/tQwKVT0dkmb9r+kVavssmxFRzls4hiPo+U/uncuXVOT&#10;54FEryAgbtDwQQtcIO7jSwdDgAuQGl8UfycHDm4wzxVZs74lHFMKtOPAP9+pRIANBg7uqXOP/yT0&#10;pkx4L95k5gKyEflS5XzhPHacOcJVSpbMYyAiMhFxJKnoTs/r9Jn9+kwcKS++/IjuWbnN0XPAPxzJ&#10;BxTh1lOteinzWaZmzQo6f+eZ+//0E/f5yYiMYxERpfXZ9iH97FVe14G5zvGmPzugh1vPyy8/Jg8/&#10;fLsB4rZvXyPAaxy1KroK0KZVq+ZLocLZ5IWXH9bPnJGya/cqk0VNhL5TB18AfW6eR1999SkD+R0+&#10;vENc+Id6gEJmzHxPsmR5w/gTG6frzdGtIcDF9fhbOX5iu/Emc+Y3ZPToAQbaceAfx2MAjGHD+shb&#10;bz0nWbKmEeC8M2f3yHcJHlPuJ5k8eYSpp2ixXAa+cDIRXfH47PnDEhXVVJ/VH9Vnrxz6XDHeZI0i&#10;o5bX4wYNKsv//M9tBpAC/ABkoi+ikUW/9u3bbMCT59XjGrXKyKrVsw2YAuDi9Zj23n//Pw1IBPwD&#10;xAaI5Hj8oz6rLdQ5l1Oef+lhHft6spMjCw0Mh8f4i76Sv/+dzyCPCXCUm+3J9Zj6Zs/+QOPzTXn1&#10;9SekT98OBhR0ABc8duo5f3Gf8SZ9+leFLHFutienrT/rmFyUUaP765x6QffPV/XvOp/O7A4BLq7H&#10;P8rsue+ZegoVyiYcjetkSuQ+36vEZI7q1q2VvPzq41KoSBZzpOiljw/KDz8m9rhVqzryl7/cZgAp&#10;ACaAPCeOf1T9LAcPbTUgEh5XjSgpy1d8ZDIuAuU5fXe+gMyUOY1+Jv+7gRc57verr4hj1+MfdN1c&#10;ovMpj3r8kLRoVdvAP1987vXYicHbb/+LPP/8I0KmL0BBF7By6vlK5s6bLDlypJVXXntcevZqo+3b&#10;5PHYqePTT48ab9Kle1njVZ+BTu1L5DHjxhqSNt0L8m6Gl2X4iN5y6vSuEBxKm2nPj/pZYJqpB2AL&#10;cBEAzgFnGYOfjecxMe3k1dee0GfxjDJ12khzFLIDLl7xGACVeoD9Fi+eoR5zdK7rsRgALDIyQj+j&#10;PaSfgYuY+wLOkpXQG8d58ryrz4D/z0BfHEX7pS+Oga7CwgqYsWravLps2brUQFVkPnPjj/i4996/&#10;y7PPPqjx0SYRxObU87UBMnPlTqceP6afiXVvOLjRALhXPP5a/33S9Clt2heFzGPmuGkDWHGPn3Xd&#10;/UTef3+ofpZ5SdK++4J+xosxoOC33+Ixc5hyP8ja9fNMPXnyZDBQHXHreOzEMUfW9ukTJa+leVLy&#10;5kuv4zBcLlzcL9//4LbZWZt692lv6iGLGkc1O9kouY8Tx8eO79bP0zX0c9zDUr5iIR2HySbjIpC0&#10;1+OiRXPoHvzf+nwXYeDLL3TNA6hz1vX/yNZtq/T5pJBZ1xs1rqrPtQvls885Epj4cj3+QZ+xb9fP&#10;i/ea7JbsBS7E5nj8rX4GmiF58qbX+fmYdO3WzEBsiT3+xmTho09vvvm8kEEPcPKKx3oXjWk8S5/h&#10;Ff0s/ZwMGhxtoGZn76Tv1POd7ivLTT05c6YzsDRQsbN3Oh4z5zmOmb23aPnKE7z7Mkeh6rUpvsgk&#10;570uCIgDRODFl/7/9V//ZcAIgAgXUuAFoAG0BjDy0ksvGdDFzagF7AAkwwswJ0+ePPqc828DRQAC&#10;cA9AJV4AAgA2QDCvv/66gYTIrsO9eI/78OJezz33nI7VkwYkAEwAQHDvA9QAgJYxY0Zds9MbUIEy&#10;LiAE7MALKOKf//ynfm7KYAANF8hx6wFyAahIkyaNaTfAl5tRC9jBfQFUqJ0ah0UNFONCT257gVmA&#10;OF544QUDatBH6vbeixeABvUAhQCQAHm4cAZ1AZDw3osvvmiyqLkZ+vDYvReACf7RLyAVwB78cD2m&#10;/2QTo62vvfaagQaBXtx7ufVwHWP56KOPGigHiAkwyq0HD4CjsmTJomt2OgN9uKAg9yCrGy/Aq9tv&#10;12f6d94xcKML5Lj9BpoBuGG8c+bMaeoEKKHNXo+pH28ADwFc/B4DFxJTeAOYA0REvNFmr8cchUk9&#10;AHoAhwBR9Jv2ImKSGKceQEngFRfGdO9FHwGs/va3vxnIBZDH6zF/Ah9R5tVXXzVjj5947B0rYB/G&#10;4KGHHjJxRmY6v8fEXNasWY1/jIMLWHk9xo977rlH3njjDd07hxn/vP0mJmJjY837OXLkMHPDzR7n&#10;9RgwDW+Ad4AU8c/bXuoFeMIb4seb2czrMXFHPcBjgG7EqOsxsQyYCohEPWRaczNqeT0mRoBV/+d/&#10;/sfAnwBWbr950W5ANoBNPGZcGQfGkza73uBp2rRp9VnyfgNkAk951xzuCVSFL2+//bZwNKkX2HTr&#10;Aa6kDu4FnAdo6Y1j7ot/b731lhkvxoEyrsfumsO1f/kLv2PJbe7rgmVuv1mDgPOYe8Q6cCge02av&#10;x8Q6HpMBjVhz1wG3vS7QisfuOPjjmP7x3l//+ldTFujPu65zP7L2kVXv5ZdfNvAma6/fY/rJGnr3&#10;3XcbkA0Y0zsfKEs80ec333zTAJmUce/l1kM/HnnkEdN3oFQXeHX7zfwB2mMusO4A51HGHSvXYyBg&#10;4oYxZY3HP2+/gdGA6V555RUDvAEuutnjvPMBkBqPiTEgO3c/o73cywVa8dgdBzz2xgX3ZM3+7//+&#10;b7OHAmz6906gcMaBftOGJHT5aiCuQKy279e9chQq83nRMrUlc64yki5LUSlRpv5hsoj17DVV4k12&#10;KrI9zdHJ84E0bTZIJ2N/adFyqER1Gq8PcHyhTzYeMpvN1genCfqgO0AiG/XTD8cjpZP+m6xSQGDU&#10;Q9aiqKjx0rhJvD6IDTCZjLp0eU8Xp5mmDJmI+HuHDmOkUWScNGkab+rp2u19/QDsAAioT58Z+nAw&#10;ytTRpMlAXZRGSrfuH0pcv49CZRYYQKFNmxHSsGGsLsCDTfnuWqZfv1mmDPejj61aD9f29teFfJAp&#10;AzziZp4CnIiJmSwttb/1G/Q17W2vbevRY7IMGKDeaL+Bjfg3nlBPM70X7e/ZCxBprk74BQYe4974&#10;V79BrLZruAbXWF3QnTIJHnfzeNxCPY4aZ/qBx9RDtqbOXRyPya7Wtu0IDeQJV8YBj7V/jE0T9Zhy&#10;tJlxIUsdmZVoc6yOQwe9f6PIfjoWAxyPu6rHsRzn6PjXp+9Madd+dMjjeGmtXnbT9iV4rPUwtm30&#10;WrKQNW/u+Mc4eD3u1WuaLlYjEjxuq2Wie0w0fTEea5kY9cF4XF89bul6zDjMcTzWviV4HOl4TBmy&#10;cg2In2O8wcfo6A/1w2xij6nbeKxlGLNu3Sgz2LSnRYsh0tF4PM3cw/F4jolJfLnisSfWQx7jO7HX&#10;qJF6rG3G4759r3hMrHP/RjoXGAd86tLlfekbinXq4e8m1vX9xo3VY41F47Fee8XjGWZ8OD61mcdj&#10;2uDEOhnmppk5EKltadp0oCkfHX3FY8oQa8RCA/UGr9vr2EarxyZbIP7hsYn1YU4cq4+UIf6veEz2&#10;rknGf+YD7SWOkvO4OR5rGdrIemLmg1lP3jfzu2FDj8ehWKfNwLl4Sn9cj8160pf1xOOxjh/zBQ/p&#10;d2cdOzJdGo+1DDHdocNYMwaI+c56EueuJ1qGccNXPGb+GY+1DwnjoHLWk5GmLbSJv3fXeOvXn3Fw&#10;PO7FeqIeN2St8HhsxkHvQ99iYoh1PB5wxWPiWD0xHjMOek3zFo7HgK+03xmHKx5zb9a1xB6H1mxT&#10;5orHDXQNbKMemzVbxyHBY7OevGfmpePxUBPXXo+Zy+wHxmMVcXwl1vEm5LHenxhupDIes5544th4&#10;rH2N1DllYtR47Il1rQePGUPa0gSP9e9XPHbGwXis9XPUbYuWQ0ydCbGu9zFrdijWXY8pQ2y7sU7/&#10;8Zj5bzzWsld5bNYTHYfmQxyPWdfxmH1R33PimFjXNVvbmuCxxqMT647HtIt5n9hjjjuZrmUWalt+&#10;HRDHF+3+8mEVMh7kiLxOXQpJdEwRGTCovAwbUVWGDg83X+xFdSogTZtn0bjJLO2j8kiPXkUlfjBl&#10;woWj2WL78z9X80mTZlmFbG+duxbS/ayYDBxc0alnWBXz5VW7Dnl0vmTRMlm1znzSq29xGTSEo+eq&#10;ypChVTSOSkvb9rl1LLNL67Z5pIvW07svx6RWluEjI/TPKtKzdyl9L5feK7O0apNN25xf+saV0usr&#10;aZmqMnhIZYnpVULfy2Hqad8hn3TpVlD69isjHIXDvQYNrqz9LKbtyK79yiRt2uUwZeL6c0wq96qq&#10;ba8k3XsU1T5n03tlNx50iy4k/QaUNb7QrwEDK0rX7oW1TFZd4zJr28kwVFj6xXMsn95reFXpH1/B&#10;9KNp86wqPC6oc7yI9B9I5qSQxwPU486ux1nU49zCEXPxg8o5Hms9cToOHTvlT+RxjHocP7iCacsQ&#10;radvXJi075g3weOOnfKqX3hcwfSJ/vdhHNrnUW+yJXjcqy/wVGX1xvW4pPG4qXrcsnV243Gf2JL6&#10;XkXHYy3bUz1uHfK4XYe86l8h9bi03sOph6OdeqjHLUMet26LxwU0VhJ7HN2jmDRv6XhM//Czn8aT&#10;6zFHnXXtXsR4TD143M14HOZ4HBqHLt0K6xhc8Zhx8Hrcf0B53Q8KahnH43YdHY8HeDx2Yt3xuHnL&#10;nMbjHj0BLZ04HjIsXNco/ie343HzBI+1TILHOg6hWDcet8lj6unVRz0eQjZAJ9aJ6zbtnDhu2Tqb&#10;RF3lcWgc2uS84rHWw1FXQ0LzwXjcs7gZoyseF5TY0DhQz5VYdzzuEIXHhTSewkzM0J6BgyppbKvH&#10;La943NXEuno83IljN9abmXEgJlyPOeZT68HjePVYf844NDMe53LWEy2Dx9TTT8chqvPVHgPLJHjc&#10;r6y2M5/jsbapYyeyVbKecPxwuOMxsa6e4HGrNrlDHgOoAd65Hut60k7XE+Oxrjld8qnHHAl8xWPG&#10;pXXbkMftQx7HljYxPnyE47FZT1rn0PY4HnfuWiAh1odrm72xfrXHTow6HrOeBHlMNjE31kMes+Zo&#10;vHaLJtZDHmsZ1hP6Splmuh4neDyorPHYxLGJ9QIhj2mvrutmPXE8Zj7EmTU7v7bF8biDruusJ1d5&#10;rLHepNkVj1lPBnrimDWb9YSxMh53Zl33e0ysOx63DXnMsXgJ67pnzTYet8me2GPi2BPrxuOO+Z1Y&#10;x2PWdTxmzVaPW4TimHW9a/eCPo9Dsa7+mXVdfUrwODQfBoTWbBPHuq6366Aem1jH4yrGY9aTzl0L&#10;6n3UY/ZOPI7xe+ys2Y7HWRI8HjRE984QDIeq1Cz6vn9P9gNx/JLe+z5A3KnzbeXMhe5y4kw32ba7&#10;hcxZGC4fTikncxdVlxXr68q2vc3l6Okucvp8tBw73VU272gisxdUkskzSslH88rL8jU1Zde+lnL8&#10;TFchS87RU11k47bGMmNOZZk4rYLMW1JDVm+sL7sOkOVKy2g9h09EybpNDWTm3PIyZWZpvWclWb2h&#10;ruw52EY4cu70+R5y6Hgn/Vl9fb+STJ1ZWRYurynrtjSUvYc5SpXjGqPlwNEOsmJdHZk2O0ymflRG&#10;5i2uIuu1zIEj7U0GIe61X/++bHVt05YZc6rKkpU1Tea6A8c6aJnuRnsOttWfV5cpH5WW6bPKyMJl&#10;VWXT9kbahihzn1Na1+4DbfTn1dWbsjJrfoQsW1NLNu9son3pZN6n3Tv2tpT5S6tqm0vpvcpqndVk&#10;6y4ysXU23pw40109bilzjcdlZQ4ea/u37VGPT2mZkMdbdjZVTyqHPC5nPN6xlwxWrsddZdO2Juof&#10;HpcPeVxPdu6/4vERbdf6LZEyc14F057ZCyvK6vV1rnis9RxWj9dsbGA8RguW1ZS1mxvI3kOOx9Rz&#10;UH1aqW2cPrtsyOPKsm4zWepcj3uo3x20ja7H4bJ4RU1Zvw34x/EYf6hzycoa6nEZx+Ol4RonjeSg&#10;x+M9B9rKouV4XM54vHR1yGPKGI+7aay1kgUejxevwOMmVzzWMtv3qMeLqsoHeLxQPV6rHu92POZe&#10;jsfNdByqOB5rHC5bXcN4fDzkMWU2bU/s8aoN6rHGOu+RMfDIScfjj+ZVdDxeUFFWqce7D5CZkKxl&#10;6vGJzrJ2U0OZ9pF6PMPxeI16vOcQ4+B63FGvq6celzMxOG9RZb0Gj9s5Hms9B452VI/ryKTpFczx&#10;ssbjrXjMOIQ8PtxOlq6qYcZpmnqMTxt1HKif9+n7noPtZNEKPC6v7a5qPN60gyxrUeZeJ86pxxpH&#10;zAHH4zC9V4TJREh/yajlxHorjQXH49kLq8lyjZGtu5vJkVAc4yOez13keDxzbjnj8XZPHPPnZh2H&#10;WfOqyMSp6vFix+MdrCeUMR53NvN11vyQx/MryMr1tR2Pdc2iniPq8bpNkdpn1iX1eKl6rOvL7oPO&#10;ONBv5vJqrXvGHPVY15y5iyppGbIF4rEzHw6qx8TK5OkVta4q6pPjsRPr6rHWs+9we+PZVPUXLVhC&#10;HIc81vfRXvV48Yoajsdz1eNVNY3HtAGPqWuXtn/hsgjTp+m6fuExsc68pS2U27mvtcxf4vFY59jW&#10;XeqxesJ9OAKVNZt1z/V46erqGv/Euq7ZWs/x091MrM+af8XjlRprznrirOvMC+birPnEaCn9Uz1e&#10;W9u08URoXT9ysous3xypcxePK+o6F+zxGl3rZ8xx1nXjsa5LzP0Ej49F6XpSz9Th9XifxvqJkMf4&#10;vVzXV9fj+UuqyAYtc1DXE+KYNu89pOOg6wl9mqlxvEQ93ri9sa4nHRM8Zs1epOuD6/Gi5VXN/mXW&#10;bK2DcruMxxHG41kLWNdryxaznjhl6P/2PXgcHvK4rI5n9dCaHfJYy2zd1Vxjs4pZu+YuwuO6oVjv&#10;Yuqh7CZt3yzdO43HuneuWEtGy5Yya27rLV1615d23WpJ7calpGhYDqkU8Xbd0Lad8Ar63O0F4n7k&#10;z/9cki+/OCkHD26Q5cunyZIlU2THjtVy+BBHSR2VH39wjpT77PJx2btnjSxbOk2WLZsmWzYvliNH&#10;NmsZIKxLWt8lU3737lWyeNFkWbFiuuzcuVqOH9sqX3xxwrz/g9ZFVqlt25bJUr3PihUz9O9L5cSJ&#10;HVrGOSaV+126eEC2blki8+dPlnVr58ruXavl9Omd8vXXp017v//uvJw9u1c2blhg2rt69Sy91wot&#10;s0fLnHHKfH9ezpzZLevXzzfZ6bZsXiR795LZZq98++1Z+UnLfPvNWTlxfIesWT3b1MO96CPZjL79&#10;zjle8ptvzsjx49vMPRYunCg7ti+T/fvWaT8Omntwr6++Oi2HD2/W/syUJUunmnYdOLDeAH5kaTJl&#10;vjwlh9TT5erdksWTjcf8G6jI9fjzz9TjvWsdj1Wbtc2HD3Ns2jHh6EP84e979qw2oMny5Y7Hx45u&#10;kc8/v+Lxx5cOGzhj6ZKpsmK5erx1qYHwyMTGWBmPtf3bti2RBerx2jWzZZd6fOrUTtMXx+ML6tU+&#10;2bRxoePxKvV4Bx7vTuTx2bN7ZMOG+TJfPd68aWEijynz7Tfn5OTJnbJmzRxTz9q1c0z7z5/fr2XU&#10;Y1NGx0HbtwaPF0zUti+TffvWJvL4a20X2QtX4rHWs0HHdf9+9VjjKcHjr04Zv1aoL4vUn507V8kh&#10;jetPPz1ifMGfzz87Ifv2rtMYni5L8XjTIjmk13z6qXpMGa3nMzMOa2Tp4ilmvBiro8ZjYl3HQct9&#10;8vERjYUVWgceTzfZFomTzz8PeazlPta2bddYX7hgkvZ/lvH45MkdBsjhPrT7vHpMG+jTKvV4h3p8&#10;6tQu4Vhdtwx+bty4QON4io7HAtmjHuP7N+qbiWP18dTJXertXI0t9Vi93r0bj/dd8VjH46TOszU6&#10;1gu0Pdt13uHxRZ1r33/vlGF+HcXjlY7H69fP0zLEOh57x4FYnyGLdD6QeYy1g2NPf/hBx0H7znxn&#10;bJYbj6eauDh0CI+PJnhMrHN/1oFlWoYMjUe1Xrx3Pf5U62ReUwexjsfHjuExx3w6Hn+ic4w5uXDh&#10;JDNH8Zj15Eudb9znBzzWWGO9ok/0jbnhjXVTxozDQhPHGzWeiVHWD+Y/Zb5TH0+f2i3r1jke4+Pu&#10;XWRx2qdlHP8oQ73EOPOKtW2fxhEef8d6omW+0blz9OhWHeuPEnl88eKVWP/GHQf1mDUHDw4eXK8e&#10;c9yv6/FJs8bgC/5s0rYfPLgxNA6Ox1+oT/v3r9P3p5gyeMzYffYZUGfIY50bu7QfxmMdL9Zd2veZ&#10;zhPXYzMOGpd4TLsdj7cl8viCrplcazzWOcocZt5/+WXIY2038ciahscbtN9+j7/HY11f1q+bZ+ph&#10;XaZtrPXEuimjPp4+vcuMw/x5k3RtW2I8vnBh/xWPtT7ihDXLeKxlWVfxmGN+TRn1mHVzlcaD8Vj7&#10;d1Bj9mN3zda+f6l7Ep46cczcw2Mn1r9nHLQeYp1xIIYpw1pxJLRmux6zL+7R+YjHFy/u17rPS5nw&#10;aolOWblWIC5nkTLb/F/EA1oAcAEGAbIAPwBE8KU/0AOQDF/yAwwAtgD+kEUHeAEIAViBawArgEqA&#10;uMisBBjFe9RDWYA1IDBgLfdeQAqUoR7KAFyRMYt7AW8AfQA70A7qAVjgZ5ShHu4FeAHYQ1+ohzLc&#10;n0w+AAxANEAzAGrAF9QDbAWIRxkEsAD8wM/dMpQHJKMt3I+/0wfAHt7nfrQNkIcy3AuYhCxEtMEt&#10;A5zBz1PymDa4HgPGATS5HlMGz+kvHuM1sBXXAV9Qhj+5N+9RD/eijwA4Xo/pA/egDPfET9roekw8&#10;AGVRBo+pDz8Be7we47vrHx4k5TG+UIYYoozXY/4OoOZ6TGy5HlMGcV/GkLYEeUwZ12O8AaLCY0Aa&#10;r8fEo+sx98Jjdxxcj91Ydz2m336PqdfrMe33e0z7aIfrMV55PeaeeOH32I116mEcGBvXP/rHNW6s&#10;Uw9wDn31exw0DrQFaCrIY+rED9fjtWvXJop17zjgDe2mTkBQ2ul6jA/M2yCP3TKux8wH+k0cE9te&#10;j931hHrwEY/d9cQtw71dj6kPj1lPUvLYHQfXY2KdPpMdLMhjPKCNbhlAYK7BY3c+uOPAffCYfrOW&#10;+T3Ge+q4Vo+5H33kWtdjyvs9dmOdelhzab93PcFHrmE9oR7uxfoWFOvEOGXoN/65se56TD8ZB9dj&#10;7uX12B0HfKEMbcc/dz1xPaZuyng9Dop13vd6zM+T8phYdMeBOtwyXOt6TGwltWbTb+6Fx3jhHQc3&#10;1onjpDwmrumL6zF95NokdNn/O/TrAsT5K81fouoG/5f0VlZWVlZWVjdWXbq+d9WRqe/kyF8stF1f&#10;9Qr6xXxEnaIbvF/QW1lZWVlZWd14pQaI8x/PUia8xCqAOCsrKysrK6ubr579q4707suIbHChbTvh&#10;FfS5u2987AYXiLOysrKysrK6ufIDcWSSCW3byb7SZi+QKLN7EBBnZWVlZWVldUtFhrhEv0N/J3v+&#10;0aGt/Npf/kotEGdlZWVlZXXz9UuBOF7+8tXrF9sZ9EW9lZWVlZWV1Y1TzYZFU/xS3f+5u0SlEjuD&#10;vqC3srKysrKyuvEKAuLSZi3wemjbTvTyl7NAnJWVlZWV1a1TxZp1xiTem1MHxPGFuve6bAVLHAr4&#10;It7KysrKysrq1unGAHH+NLF5i1XeF/RFvZWVlZWVldWNU+8+H8327scobY4C4aHtOvDlL2+BOCsr&#10;Kysrq5uvICDO/6W6/3O3BeKsrKysrKxunQaOqhbv3ZdR0kBc/svect37xOwL+oLeysrKysrK6sbr&#10;aiCugIS27GRfHLnmvSZLgRIXAr6It7KysrKysrp1uuz/HToZXkNb+bW/LBBnZWVlZWV163VtQFzi&#10;X8yH1y52LOiLeisrKysrK6sbp/pNi6b4pbr/c3fhcsWOBX1Bb2VlZWVlZXXjNWJCzau+TLdAnJWV&#10;lZWV1W9fNRpGXvX5O7RlJ/vyA3EZ8xT5OuCLeCsrKysrK6tbpxsFxCU+Nz1XkYqngr6ot7KysrKy&#10;srpxCgLi3smRr1Fouw58+X8xXz6i6KmgL+qtrKysrKysbpxSB8Ql/tydt2SRc0Ff0FtZWVlZWVnd&#10;eE2eWW+Id19Gb2XNmy20bSd6pc1R4Ji3XJvOnQ4HfUFvZWVlZWVldeMVBMSlyVr0jtC2neQrbfb8&#10;Ud5rLBBnZWVlZWX129PVQFz+ZaGt/Npf/nPTcxQu+0nQF/VWVlZWVlZWN07x8YsSfVHuKHkgzv+L&#10;+YrVi14M+qLeysrKysrK6sapTfuSKX6p7v/cXaBU0YtBX9BbWVlZWVlZ3Xj9EiDunRz5t3nLNW3b&#10;9lzQF/RWVlZWVlZWN14NW7Xq4d2X0bUAcZnyFvkm6It4KysrKysrq1sn/38qvyFAXOb8Jb8M+qLe&#10;ysrKysrK6sYpCIjjg3pouw58+X8xH1a5yCdBX9RbWVlZWVlZ3TilBojzH8+Sq2iRL4O+oLeysrKy&#10;srK68Vq0okGcd192lL9YaNtO9PJ/7q7XtNlnQV/QW1lZWVlZWd14terUsb93X0apAeL4j+f+64K+&#10;iLeysrKysrK6dfIDcXweD23l1/7y/2LeAnFWVlZWVlY3Xw4Ql/gI1F8KxJWoUOTroC/qraysrKys&#10;rG6crgWIy5yv4PdBX9BbWVlZWVlZ3Xj9EiCO/5HuLWeBOCsrKysrq1un7n2io737MkqXNe8ToW07&#10;yVfaHAXC/dedPXc+8Mt4KysrKysrq1sjfzK3GwLEZchd5IegL+qtrKysrKysbpyuBYjz/2LeAnFW&#10;VlZWVlY3X126lkzxS3X2dO/7FoizsrKysrK6dfo1QFxEvQbfBn1Bb2VlZWVlZXXjZYE4KysrKyur&#10;P65uEBCX+BfzFoizsrKysrK6+boeQFyh0oW+Dfqi3srKysrKyurG6VqAOBT0Bb2VlZWVlZXVjVcQ&#10;EMcX5aFtO9HLf2SLBeKsrKysrKxuna4ViOMzuv+6Q4ePBH4Zb2VlZWVlZXVr5Afi9HP6sdBWfu2v&#10;oF/MB31Rb2VlZWVlZXXjFAzEFYgNbdeBL/8v5vMWL/ifoC/qraysrKysrG6cUgPEvZMjXyN/maAv&#10;6K2srKysrKxuvDbvatbDvy8nBcT5fyFfrlrN/wR9QW9lZWVlZWV14xUExKXNWuD10Lad5CsIiNu6&#10;fWfgl/FWVlZWVlZWt0b+002vCxAX9Iv52Lg5gV/WW1lZWVlZWd0YAcSxsXv345SAOP8v5vOXLBz4&#10;Rb2VlZWVlZXVjVPvvmVS/FKdf/vL7D/SKvBLeisrKysrK6sbq18CxPl/IV84rOJPQV/QW1lZWVlZ&#10;Wd149YjtedV32qkB4t7Kmjeb/zoLxFlZWVlZWf22dEOAuKBfzFsgzsrKysrK6ubqWoA4/4NBjsKF&#10;Ar+ot7KysrKysrpx6hVbprV3P0b+L9WDPndbIM7KysrKyurW6NcAcTmLlAr8gt7KysrKysrqxuta&#10;gTjK+K9buWZd4JfxVlZWVlZWVrdEl28IEBeUJtYCcVZWVlZWVjdbi0b/WiAuc76CgV/UW1lZWVlZ&#10;Wd04pQaICzyeZVfzwC/praysrKysrG6sNm5vkeLe7b4sEGdlZWVlZfXbkQXirKysrKys/rC6eUBc&#10;l24fBHxRb2VlZWVlZXXjdC1AXP4ob3kLxFlZWVlZWd18XSsQt3J9k8Av6a2srKysrKxurH4ZEJf4&#10;c7cF4qysrKysrG6drhWIS5c17xP+6+YtWhL0ZbyVlZWVlZXVrdGNAeKCzk23QJyVlZWVldXN1q8H&#10;4lDQF/VWVlZWVlZWN06pAeKCPndbIM7KysrKyurW6JcAce/kyHfVF+9BX9BbWVlZWVlZ3XhdKxCX&#10;JmvRO/zXTZ4xK+jLeCsrKysrK6tbo5sHxLWPGh3wRb2VldXN1mOPPSc6TY0yZy4cWOZWK2/e8glt&#10;vOeehwLLWFlZpUa/HIgL+sV80Bf1VlZW118NGmZJ2P/+8Y//kQ4d8gWWu5Xq1r2QaZvbzho1MwSW&#10;s7Ky+nWK6VWmrn8/9n+pHnQ8y7ylDQO/pLeysrp5WrOhntx++98S9sqBQ4oHlrvVei3NgwltrBT+&#10;VmAZKyur1OsXZYjTn/vLXr58NPBLeisrq1uns7uXy7iKeWRkycxGWyYODCx3qzWlflhCGxdGNw4s&#10;Y2VllbSuJxA35r0Pg76Mt7KyusnaOm1Cwt44tkIe2b9iUWC5W6mjW9abtrntXD9hWGA5KyurX6Ub&#10;A8QF/WLeAnFWv1fVrdst4ZfEroC0IiLaBpb3i3L/+Me/E13Pvzt1Gh9Y/kbL244XX3w7sMytFu3y&#10;tjOojJWVVWp0DRniAn4xP2BgWOCX9VZWvwU9/sRdifYMlDbtYxIbWzywvFeUefnlK18GuypQ4KXA&#10;8jdaJUumSdSOFi1zBpa7laJN3jbS5qByVlZWv06pAeICj2exQJzV71QNIjMm2l8QwNaCJdUDy/uV&#10;1PVBZW+0ps2snKgdbdrnCCx3q+VtY9bsTwWWsbKySr3WbW2a4t7tvoI+d1sgzuqPomVxbRO+2HUF&#10;sHVs3ezA8n4ldX1Q2Rut/YsnJmrH6sFdAsvdannbOKN5eGAZKyurpNWmc8fq/n05NUAcL/91Foiz&#10;+j1rUr2yifYUNKtdPTl35GBgea8oM61pxFXXL+rdIbD8jdby+OhE7dg5b3pguVsp2uRtI20OKmdl&#10;ZfWrdOyGAHFBv5hv2XZIwBf1Vla/ffnhLK9Sgtp69pwWeB0qVqxG4DXXKrK9uXWTBS6oDPK2wQJx&#10;VlZ/dC2JZWP37scWiLP6I8kPZ3mVNdszgdd4BfgWdC0KKn+tItObN6sameCCylkgzsrKylXHTiWb&#10;+fdj/5fqQZ+7p86uF/glvZXVb10a0oF6/Ik7A8t7Nfa9sMBrEXBa0DXXKtrj1g2EF1TGAnFWVn9O&#10;/RIg7p0c+Yv5y546vTvwS3orq9+bvF/sevVBjaKB5b3aNWtU4LUIOC3ommsV7XHrBsILKmOBOCur&#10;P4euJxAXP2xU0JfxVla/efnhLK/mdW0WeI1XgG9B16Kg8tcqMr15s6qRCS6onAXirKysQrp5QFzj&#10;Fv0Cvqi3svrtKzkgrly5RoHXuOL9oOvQ9QbiUguRectYIM7K6o+uXw7EBf1ivm9cmcAv662sbrWS&#10;A+IA0IKu8coLqfkVVP5alVqIzAJxVlZWroKAOPZonXcJr6DjWcZNqhP4Jb2V1W9dGtJJKqUscYWL&#10;Jg24X28gzlt3UhCZBeKsrP6c+mh+vRRhdvcV9Ll73/6NgV/SW1n93uT9YtevlLLEzelQO/A6dL2B&#10;OG/dSUFkFoizsvpzqGHLlo39+3Lqgbj8l73XWSDO6veq5IA4ALSga7zyQmp+BZW/VqUWIrNAnJWV&#10;VUjH3smef7R3r74uQFzQL+YtEGf1e5UfziL7mvfvQde48pd1/44sEJe0LBBnZXW9tCTW/6H8WoC4&#10;6J6lA7+st7K61fLDWf7jU5PKxIZ4z1vWf23QNdcqC8RZWVn9UrVpX6Kmfz9ODRA3eHSNwC/prax+&#10;69KQThBHnXr/nVQmNrRzX5NEZf3XWiAuaXnbaIE4K6tfr18CxL2VNW82f1kLxFn9UeT9YpejTr3/&#10;TioTG7p8Zkeisv5rLRCXtLxttECcldUvV5U69a76/E3il9C2nezL/7v3HrHxQV/GW1n95uWHs/zH&#10;pyaViQ3xnres/9qga65VFoizsrL6hdrmB+J0794W2sav/WWBOKs/kvxwlj/rW1LHprZpMzRROf91&#10;FohLWhaIs7K6PhowYFHU1UBc/iidV0m+gn4xb4E4q9+qguAsb9a35I5NTZv2sYRy/P3llxN/gR50&#10;zbXKAnFWVla/VKkB4nj5y1ggzur3Kg3nBAFnebO+JXdsanTP/Anlbr/9bwY+c/+NLBCXtLxttECc&#10;ldWv15SZdVK1d/MK+ty9cfPywC/prax+b/J+sQuc5c36ltyxqRvG9EooN65iHgOfuf9GFohLWt42&#10;WiDOyuqX69cAcf7TWSwQZ/V7VRCc5c36ltyxqbPa1Usox9+nNY1I+DcKuuZaZYE4KyurX6ibB8TV&#10;bxwT+GW9ldVvXX44CwDO+++8ecsHXsfP3TL33POQNGkSl+i6pIC4nj2nGXjOf1/+HXRE61tvZUtU&#10;LkjAeW55789dIC4iou1V2ezq1u2WcE2Qkmonfc2cubDpb9B1rmgT5f7xj3+b6/iTf1Ovv86g6/33&#10;5nr+TV+CyltZ/RllgTirP7qC4CwgOO/PYmOLX3UdP/OWqVEzQ6qBOO7JPe69918JZfk7P+vQIV+i&#10;svzbW2eQgPHc8kFAXLfuhUzdLujHn/w7qF9eBbUT0c+KFd9O8XrKeLPm8Xey6qUGiKPf/ntzPT+j&#10;P/7yVlZWV6th0+JXHdligTirP7I0nBMEnDVwSOK9eux7YYHXeTPCVQp/K9VA3JoN9UzmOe/1AHWA&#10;eEH34j1vvX7xvls2CIgjkx1/Ave5P+deKR0HG9ROxL/5Oe8HXeeKvvjhQhfQ89YXBMTRZv+9uZ76&#10;rjdoaGX1R5AF4qysHHm/2AXO2jJxYKKf7Zo1KvA6b0a4hdGNUw3End293GSe814PUAeIF3Qv3vPW&#10;6xfvu2WDgDgy2fEncJ/7c+6V0nGwQe1E/Juf837Qda7oix8udAE9b31BQBxt9t+b66nveoOGVla/&#10;R5UOr3FVllcLxFn92RQEZwHBeX927sjBq67jZ94y6ycMSzUQxz25x/vViyWU5e/8bP+KRYnK8m9v&#10;nUECxnPLBwFxR7esN3W7oB9/8u+gfnkV1E5EP1ePiEvxesp4s+bxd7LqpQaIo9/+e3M9P6M//vJW&#10;VlZX6fcJxJUqVUf+/vd/WVnJu+/mDYyR66kgOMsLjwGA+a9BLuiFgLdSA8QBifmPVvWL94HG3Gv8&#10;7QuSF07z/py6krtfUtAe7aTfQdd4BeAWdD2wXVB5hG/+ur3X0veUPEoJxvutq3fvGYHxbvXnUaVK&#10;zQNj45dqwICFjfz78c0A4h599E4D7VhZ1a2bKTBGrpeC4Cz/UajAbv7rgL3c92knP0sNEOcH1oLk&#10;vZ+/fUHivknVD0Dm/bdXtDspqK1AgStffCclrvcDfK78x8d65X/PD8TRf+/7fnn7+3tVeNV0CTFu&#10;9edUXL8SgbFxPVW7UfHq/v2YPVrnUaKXv8z1BOI6ds4t/3f736yspHTYa4Excj2l4Zwg4Cz/UajA&#10;bv5rgMm8Zfh3aoA4ILGUADf//YLK+OWW9QNxAGTJ3S8puAwoMKV2IsoFXQ/MFlQe+QE7PxCHlynd&#10;21v+96aXX7k/UYxb/bl0o9a0oSNrpApm55U2a4HX/WVTC8StG9lDxlfOZ2V1XfXNZ0cC4+1a5P1i&#10;FzjLfxQqsJv/GmAybxn+nRogDkgsJcDNf7+gMn65Zf1AHABZcvdLCi4DCkypnYhyQdcDswWVR37A&#10;zg/E4WVK9/aWv5WaWLtEYHxaWaWk/Ys/DIyp1CpfqXJ1/fvyzQbilsR2knGV8llZXbO2TBkfGFup&#10;VRCc5T8KFdjNfx2wl/s+gBk/Sw0Q5wfWguS9n799QeK+SdUPQOb9t1e0OymobVHvDoHXeMX1foDP&#10;lf/4WK/87/mBOPrvfd8vb39vtuZ3axEYh1ZWv1TTGocHxtj10ueff74sbfYC0717ddrs+ZeFtvFf&#10;9/JWiq43EKe3sLKSNGkyBsbI9VQQEAfg5v2ZH8DyA19klUsJiEsN6OWKNrnX/ZoMcamR/0hY/u2F&#10;/VJSUD9/yfXIez31BZXx6o8AxAX1y+rPI/a5oNj4pQoE4nIUCNd7JPm6XkCcVmVlZcChoBi5Xkoq&#10;WxnAivuzIADLC3UBnfGzlIC4lEAvr2gX1/zaDHEpyW27V6mB4Vzhkx+q+6Vt8AJx1OX1Pkh/FCAu&#10;qG9Wfx5F9ygcGBvXU5VqFr56D89a4HW9f6KXv8z1BuL0FlZWkjf/84Excj3lvZ8LZ3kzmwFnAcl5&#10;r/ECX+6xqikBcakBvVy5mdRQStfwvlvWD8SlpKAjYYH2gsomJX8/f2kb/EAc/w4q55W3/O9NAHFB&#10;fbL6c+hGrWkdu1e6au8Ogtl5/VogLugLMSurX6PPzu4KjLdrkbdeF87yZjYDzgKS817jBb7cY1VT&#10;AuJSA3q5cjOpoZSu4X23rB+IS0lBR8IC7QWVTUr+fv7SNviBOP4dVM4rb/lbKcCmoPZZWaWknTNH&#10;BsZUapW7WKnW/n05tGWn+PIDce27xgR+IZ+SAOKC+mZllVqtGzc4MLZSq6SylbnZ1FAQgOWFuoDO&#10;+FlKQFxKoJdXtItrfm2GuJTktt2r1MBwroKgul/aBi8QR11e74N0q4G4oDZZWf1SfVCrZGCMXS9Z&#10;IM7qd69bBcQBdXl/5s+E5oXUgNz4WUpAnB/0ArpzM8EBoXEP7/teyA0FtTNI3jIIOI178R738UN5&#10;7nuu/AAe/3ahOdrr7wf1u/1A/ve5n3s9IGEQLOdei7z95N5u3fzJcanu8bTea35vskCc1fUC4tq2&#10;H3pVuvdrAeKiupYK/LI+KVkgzsrVrQLi/FCY95hOP6RGRjl+nhwQ5we9AOq82dWow/u+F3JDSbXT&#10;ryAYjXa57fdmtkPc03u9v2+8789Yl1yGtyCgjXvynnt0q/c95L3e308XDES0jestEGf1R9DNAOJK&#10;Vix0VZaZoP+h7i9jgTirG6FbBcT5oTB/JjQvpAYcx89SAuK8oBfXe49HBZbzH6HqvRa57yE/ROYq&#10;CEYDenPbwp9+wI57e+vwv0+/XCCQY1K9sCBKCWgj4x3Xo+ie+RO9h/zXe9/zgoHcm38HefN7kgXi&#10;/ty6UWtakzblrsruGgSz87JAnNVvTTcaiPNDYf5MaF5IDTiOn6UExHlBL673Ho8KLOc/QtV7LXLf&#10;Q36IzFUQjAb05raFP/2AHff21uF/n365QCDHpHphQZQS0EbGO65HG8b0SvQe8l/vfc8LBnJv/h3k&#10;za2SBeKsrlW/Foh7J0e+q6D20Jad4otj17zXWSDO6lbpRgFxfijMe0ynH1Ijoxw/Tw6I84NeAHXe&#10;7GrU4X3fC7mhpNrpVxCMRrvc9nsz2yHu6b3e3zfe92esSy7DWxDQxj15zz261fse8l7v76cLBiLa&#10;xvUWiLP6I+gmAHHT/Xs1R6iGtvFf90pUqcoCcVY3QrcKiENeMAyIy/05YJa3PJAWP08JiPMeE5rU&#10;UaPJXX+tQJwfrPNnt/Pex9+3pI6L9UNz1Om+5wfuXBjOFe3xQ3He9739pC4vbPdHkQXirK4XEBfZ&#10;NLaDfz9O6sgW92WBOKvrqVsFxPnBMBfqQl5Y7t57/5Xw8+SAOH92OC9g58oPs3nfu1Ygzg/WIT/Q&#10;5n3PDwJ6YThXfm+oz33Pf9xsUAY6PxSXHBAXdP8/giwQZ3UzgLg8xQtdBbVbIM7qVulWAXHIC4YB&#10;gbk/98NygFr8PDkgjjLe94KOGvXDbN7rkfe91AJxwHDJZbdD3vv4+xZ0XCz1Ua+3nHsP/vT+PCgD&#10;HX33lkkOiAu6/+9dFoj7c+tGrWlV6pS66vN3UsetWSDO6remGw3EIS8YBgTm/twPywFq8fPkgDjK&#10;eN8LOmrUD7N5r0fe91ILxAHDJZfdDnnv4+9b0HGx1Ee93nLuPfjT+/OgDHT03VsmOSAu6P6/JVkg&#10;zupa9WuBuLTZ80d592SyvoW27BRfFoiz+q3oRgFxfjDMhbqQF5Z7v3qxhJ8nB8T5s8N5ATtXfpjN&#10;+961AnF+sA75gTbve34Q0AvDufJ7Q33ue/7jZoMy0PmhuOSAuKD730pZIM7qeulGA3Gq0f5srr8L&#10;IK5166FSoEBlKyupWbNTYIxcTyUFmgG6eX/ugm/+41RdYCslIM77Xmp0PYA4rkmpTN685RN+nlIf&#10;XCUH1Xl/7mbP8yu5vvgz5QHP8bPfe1Y4rwDiguLd6s8j9rmg2Pilqt+o11XZZZI6ssV9Bf1i/pcC&#10;cWXC3pDChV+xspL2HfIGxsj1UnKgGbCb+3Mv+ObNgAZA5v48OSDOD6qlRt7rrxWI47qUyniPPE2u&#10;D14lBdX563az53mVXF8ABb3vIe4FkOg/mvX3LOI6KN6t/jyK61ciMDaup3IVKdDZvx+nyVr0Dp1X&#10;iV7+Mr0HRgR+SX8tmr+4ujRultnKSkaMLhUYI9dTGs4J8sJZwFje91zwzZshjaxubvnkgDg/qJYa&#10;XQ8gzpthLaky3kx1yfXBq6SgOn/dbvY8v7xl/H3xw3b8m3pc/3/vAvgNinWrP4du1JpWvHLxq2D2&#10;oL2b168B4o6u/Ug2v9/fyuq66pvPjgTG27XI+wWXF84CxvK+54Jv3gxpZHVzyycHxPlBtdToegBx&#10;3gxrSZXxZqpLrg9eJQXV+et2s+f55S3j74sftuPf1OP6/1tSUGxaWaVGFw+vC4yp1OjHH85d5otx&#10;7558K4C4fcsXGKDJyupadXjj6sDYSq2SA82A3dyfe8E3bwY0ADL358kBcX5QLTXyXn+tQBzXpVTG&#10;e+Rpcn3wKimozl+3mz3Pq+T6AijofQ9xL4BE/9Gst0J2zbK6XtoyZXxgjF1HXQXEpc1eIDa0jf+6&#10;l7dSdD2BOCurm6mk4Cx/tjSyovFzbwY092coOZjM/15q5M8id6OAOG8Z2ux9LykILbm+en+e1P2T&#10;6wu++7PMufojHJdqZXU9FVG7Yzv/fpzUkS3u63oAcVZWN0vJwVn+bGlkRvNnQONnbvnkYDL/e6mR&#10;N4vcjQTivGW8P6fN3uu8Sqqvqbl/Sn3xZ9PzijH5I4FxVlY3UkFAnM6jq17v5Mh/2VvmegJxVlY3&#10;UxrOCfLCWf5saRz36c+Axs/c8snBZP73UiN/Fjnve9cTiPOWoV7ve97rvEqqr6m5P/KW8feFI1z9&#10;x7Z6y/5RwDgrq+upImWLpGrv5vVrgDgrq9+6vF/ceuEsf7Y0jvv0Z0DjZ2755GAy/3upkT+LnPe9&#10;6wnEectQr/c973VeJdXX1Nwfecv4+8IRrv5jW71lf4tgnJXVzdSPP54/ljZ7gemJ9+X820Jbdoqv&#10;6wXEWVndaiUHZ/mzpZEZzZ8BjZ+55ZODyfzvpUbeLHI3EojzlvH+nDZ7r/Mqqb6m5v4p9cWfTc8r&#10;xuS3AMZZWf0OFOv//TmZYUPb+K97eStFFoiz+r0qOTjLfzSoHwRzs8ah5CAx/3upkbdulFw7vfKW&#10;SQpIS6rMbwGIQ0Bx1Ok/WtWV94hWK6s/s8pUbnwVEJfUkS3uywJxVr8nJQdn+Y8GBcbiCFL3396s&#10;ceh6AnH+ulOCyFylBkhLroz357cKiHPLJOWZ94hWKyurpJUpb/4e3r04qf+hboE4qz+KNJwT5Iez&#10;vGAW2eAA4LzlvXBWUpBY0HspifsChrnXI+/7f2QgDuGrP0OfK7yxUJyVVWJlLVgo0d7NHq3zJfAV&#10;9Ll76Yq5gV/UW1n93uT9stYPZ3nBLLLBAcB5y3vhrKQgsaD3UhL3BQxzr0fe9//IQBzCV3+GPld4&#10;Y6E4qz+zgoC4tNnzLwtt2Sm+LBBn9UdRcnCW/2hQYCyOIHX/7c0ah64nEOevOyWIzFVqgLTkynh/&#10;fquAOLdMUp55j2i1srJKUrHefdpRvkahbfzXvfwV16jXJfDLeiur37qSg7P8x6Z6AS3+7h6XipKD&#10;xDp1Gp/oPe8xpalVShCZK2+ZpIC0pMokdxSqV/5yHCPrvuf9eVL3T21fEPfylydTXFBZK6s/mwqU&#10;qtHBvx9bIM7qj6SU4Czvsaneo1KDyiYHxGXN9kyi935plrPUQGQoNUBacmWSOgrVL285fHF/npr7&#10;p7YviCx5vO/3nixyQeWtrKyuKLVHtlggzuqPIg3nBPnhLD+U5QXk/GWTgsQQ2d6873mPKU2tvNff&#10;KCAuqaNQ/fKXc+G96wXEuSIjH975j1FlXILKW1n9WcWxK949Obnj1vhc7i2LLBBn9UeR94taP5zl&#10;h7K8gJy/bFKQGCLbm/c97zGlqZX3+hsFxCV1FKpf/nIuvHe9gDhXZOTDO/8xqoxLUHkrqz+Hzm0D&#10;gPPuyQByoS07xZcF4qz+KEoJzvIem+o9KjWobHJA3LyuzRK990uznKUGIkOpAdKSK5PUUah+ecvh&#10;i/vz1Nw/tX1BZMnjfb/3ZJELKm9lZeVo/YZNcd59Guln9fDQNv7rXv5fzFsgzur3quTgLP+xqV75&#10;jzRNDohDXpjuWoCu1EJk3jJJAWlJlWnTZmii9zi61HudK39buM59j7553wMG9F5LWX/mN+/7Scmf&#10;rS+ojJXVn025ipRN9ZEt7ssCcVa/J6UEZ/mPTfXKe6QpSg6Iq1gx8b72S4Gu1EJkqQHSkivjzYCH&#10;OCLWey3yt4Vr3Pf8x50CAnqvRX44MKm+eOXP1peaa6ys/uzyA3H8kl3nz1UvC8RZ/VGk4ZwgP5zl&#10;PzbVK/+RpskBcQBj3veuBejyXn+jgDh/BjzAN++1CEjNCwbyd/c9Mrd5rwdk816L/HBgckCcK+7p&#10;heJSc42V1Z9Jqd27eVkgzuqPLO+XtH44y39sqlf+I02TA+IAxrzvXQvQ5b3+RgFx/gx4gG/eaxGQ&#10;mhcM5O/ue2Ru814PyOa9FvnhwOSAOFfc0wvFpeYaK6s/rH44v8wPtbGnh7bsFF/+axu37hj4hbyV&#10;1W9dKcFZ/mNTvfIeaYqSA+JWj4hL9N4vBbpSC5GlBkhLrow3Ax7iiFjvtcjfFq5x3/MfdwoI6L0W&#10;+eHApPrilT9bX2qusbL6MysIiNO9u1hoG/91L/8v5i0QZ/V7VUqgGeCb931X/mM7UwLi/PUAeHlB&#10;MuA76qQcwJj3WuRvp3ukKnV4M9V5y/xSIA75gTba40Jt/Onvhx/u878PVOdeT5v9MBzyXk991OH1&#10;l+tTGicrqz+jLBBn9UdXSqAZ0Jv3fVdBx3YmB8T56yHjGfCYN1Mc0BfgHFnp+NN7vb+d3J9rEde5&#10;5X4tEOcH2minF4rj78llawvyy+0L7/mBO+T1nLrc/nuBQ3+7LBBnZZWiUn1ki/9ztwXirH6v0nBO&#10;UBBo5c9O5gpIy1suOSAO+euhvPfoT/4OLEYbChd9KdG1yHut90hV731+LRDnB9oQkJzbV+7J0bHe&#10;9/1wX1A2N65Hfo+Q13PuT98A8bxHxtJmC8RZWSWhc20u+/duviDXuRL4skCc1R9Z3i9pg0Arf3Yy&#10;V0Ba3nLJAXHIXw/lvUd/8ndgMdowp0PtRNci77XeI1W99/m1QJwfaENAcm5fuSdHx3rf98N9Qdnc&#10;uB75PUJez7k/fQPE8x4ZS5stEGdlFdIP55eR1dW7J5P1NbRlp/iyQJzVH0UpgWZAb973XQUd25kc&#10;EOevh4xnwGPeTHFAX4BzZKXjT+/1/nZyf65FXOeW+7VAnB9oo51eKI6/J5etLcgvty+85wfukNdz&#10;6nL77wUO/e2yQJyVVfKaOO2jq05Ss0CclZVPKYFW/uNBURCwlhIQB9QVBIMlJe+1iGNJg8oh7u2W&#10;8/78WoC4oP4mJ++9kT/LXGrkvT7ofb8A5rzXWFn9WZU5b4nJ3r04uSNb3FcQENe2Y8mgL+utrG65&#10;UgLikP8YUeQH1lByQBxKLtucX0Ht8INorrivWyY52C21ZYL6m5S893YVBL0lJ29f/W1LSl5YzsrK&#10;KlDHrj6yxQJxVn9saTgnKAi08h8PioKAtZSAuOSyzfkV1A7uGVQWuWWSg91SWyaov0kJeM0PBvqz&#10;zKUkb1/9bUtK/ux8VlZ/cqUaZudlgTirP7K8X9IGgVb+40FRELCWEhCXXLY5v4LawT2DyiK3zK8F&#10;4lBQf5MS8JofDPRnmUtJ3r7625aU/Nn5rKz+VPrPuem/Bojzf3a3QJzV71UpAXHIf4wo8gNrKDkg&#10;DiWXbc6voHb4QTRX3NctkxzsltoyQf1NSt57uwqC3pKTt6/+tiUlLyxnZWV1tQaPHNvDu0+jt7Lm&#10;zRbaxn/dywJxVn8UpSbzmB9ky5u3/FVlUgLiELBZaqC4oCNVyQKX1LXXE4hDZHLzlgkSbfFmcUvt&#10;9Vznh/u81/oz1PlFxjlvRjwrqz+zfsn/UHdfQb+Yt0Cc1W9VqQHigN+8ZZA3s5urlIA4rkktLObN&#10;uuYqKVjsegNxtDM1UBx9CfIhpes5MtXrlddzfya4IAV5Y2VllVhDh4dt8/9CPqkjWywQZ/VHkYZz&#10;goJANP9xpwi4zV8uJSAuqExSCjpSNTlYLKky1wLEIe7vLRMkMsV5s7il9nqu80J3Xs+DMtT5FeSN&#10;ldWfWSfPtU313s3LAnFWf2R5v6QNAtH8x50i4DZ/uZSAuKAySSnoSNXkYLGkylwLEIe4v7dMkMgU&#10;583iltrruc4L3Xk9D8pQ51eQN1ZWfyadu3DgPf+erHt6eGjLTvFlgTirP4pSA8QBv3nLIG9mN1cp&#10;AXFck1pYzJt1zVVSsNj1BuJoZ2qgOPoS5ENK13Nkqtcrr+f+THBBCvLGysoqsZq379zfu08jPo+H&#10;tvFf97JAnNUfRcBtGtJGQSAaAm5zywB0eY86dcXPvMBaUrAYMBf1+UE87s0xqsBiSQFf3IMy3vvw&#10;b295gDH3vaQyqXmhsyC4D7nHo3rrQ7Sb9qcEpQHp0Tb3Ou7pXufNlsef3uvoY1L3Tc4bK6s/o1Kb&#10;Xcb7skCc1e9JZBrzZl4Lgq0owzGebhmALn8ZxM/dMgBhQWUQABowmbdOBCRGFrkgiM0V8JgXNqMO&#10;b5s50tR9j355j1N15YXOKJNUtjXK0SavP9yPtifXRgQUR1u9ffRe582W58+2x7+D7ou/Kd3XysrK&#10;0dBhZRPt3yip/6Hu/9zduVd44Bf1Vla/dXmPAE0KtgLacstwdGdQGbKWuWXInOY9DtUrfs59/EeP&#10;8m9+nlz2M0A8b1vc40Xd990jR933g+oCYvOWCYL7EOAcWem8R5VyHfdPTYY2ynj7yN/d67zZ8vzZ&#10;9ngv6L78LDX3tbL6swkgzr8nJ5ddxgJxVn9keY8ATQq2Atpyy3B0Z1AZspa5Zcic5j0O1St+zn38&#10;R4/yb36eXPYzQDxvW9zjRd333SNH3feD6gJi85YJgvsQ4BxZ6bxHlXId909NhjbKePvI393rvNny&#10;/Nn2eC/ovvwsNfe1svqja+WqhRP8e7Lu6ak+Ss0CcVZ/FJFpzJt5LQi2ogzHeLplALr8ZRA/d8sA&#10;hAWVQQBowGTeOhGQGFnkgiA2V8BjXtiMOrxt5khT9z365T1O1ZUXOqNMUtnWKEebvP5wP9qeXBsR&#10;UBxt9fbRe503W54/2x7/Drov/qZ0XysrK0f1m7Ue6d2nUWgL//UvC8RZWVlZWVndOsXHLzp2Lene&#10;LRBnZWVlZWV1a9WzV+l1/r04qf+h7t/rLRBnZWVlZWV187VuS5NU7928gj53z5w7NfCLeisrKysr&#10;K6sbp5lzJk/278lpsxZ4PbRlp/iyQJyVlZWVldVvV0XLhc/z7tP8Lj20hf/6lwXirKysrKysbp0A&#10;4rz7MNIP6FGhbTrJlwXirKysrKysbq2iupZa6t+Lk/of6haIs7KysrKyuvWatyQy1Xs3rzRZi97h&#10;L2+BOCsrKysrq5uvLjHd5/v3ZH4/HtqyU3xZIM7KysrKyuq3q1xFwxJ9Vk/NSWqpfvmBuCo12wd+&#10;YW9lZWVlZWV1/dWx07j93n3YUcrp3i0QZ2VlZWVldWtVO7L4Kv9enNQv5C0QZ2VlZWVldevVd1C1&#10;VO/dvII+d1sgzsrKysrK6uarcetWPiAu/+XQdp2qlwXirKysrKysfrtKn7vwKe8+/U72/KNDW/iv&#10;f/mBOJshzsrKysrK6uapdbthh7z7MHora95soW06yRcp4f3XWSDOysrKysrq5im8VpHl/r04tE1f&#10;9fJ/7rZAnJWVlZWV1c1Xx+jKV+3dvxSIW7pibuAX9VZWVlZWVlY3TuWr1fJB7fm3hbbrVL0sEGdl&#10;ZWVlZfXblR+IS5u9QGxoC//1L2/FqH7jmMAv7K2srKysrKyuv+o2itnn34uT+4W8+woC4qK6lgr8&#10;wt7KysrKysrq+qtY2UJ7vPswWeBC2/RVLz8Q13tgROAX9VZWVlZWVlY3ThH1yqR67+YV9LnbAnFW&#10;VlZWVlY3X0XDKq/37se/9Cg1ADrv9e27xgR+IW9lZWVlZWV1c3Xo8JGE/dmVflYPD23hv/7lr9wC&#10;cVZWVlZWVjdPEbU77PTvxaEtOtkXWeT811kgzsrKysrK6uYpX/HCPqg96f+hnrhcARk8ukbgF/VW&#10;VlZWVlZWN06lw0umeu/mFQTEbdy8PPCLeisrKysrK6sbpywFil1ItCf/wqPUgOC911sgzsrKysrK&#10;6rehrdt3XtnfE5S/WGgL/3WvNFmL3uGvvHGLfoFf2FtZWVlZWVldfxUvV++Edx9O6X+ou68gIC66&#10;Z+nAL+ytrKysrKysrr8y5SuYKOtbcr+QT1RONW5SncAv6q2srKysrKxunAqXK5boy/C02QtMD23V&#10;ga+gz9379m8M/KLeysrKysrK6sbJvx//0qPU/EBcj9j4wC/lraysrKysrG6u5i1akmiPR6k5SS1V&#10;LyryV26BOCsrKysrq5unAiWrJQbiUpnuHTreex3qG1cm8At7KysrKysrq+uv9Lnyf+Pdh5P6hXzQ&#10;f0SzQJyVlZWVldXNV8Y8BVK1d7svC8RZWVlZWVnderH3+vfjX5o5xgJxVlZWVlZWv02NGDsh0ed0&#10;dEOBuJZthwR+YW9lZWVlZWV1/ZUhd+Hvvftwav93G+ene69DFoizsrKysrK6OSIrq38fTuoX8kGf&#10;uy0QZ2VlZWVldXO1cn2TRHsx4nN1aLsOfAX9R7RTp3cHfllvZWVlZWVldWM0c+7URHsx+qVflOue&#10;nijDe/ywUYFfyltZWVlZWVndXNVv1uZr7x6te/a20Pb9619psxZ4PXHlFoizsrKysrK6WerS7YNE&#10;e7Cj1P3vNgvEWVlZWVlZ3To1a1My0R6MkvqFfBAQN3V2vcAv662srKysrKxujIDR/ftxSl+mB33u&#10;tkCclZWVlZXVzdXQUUMT7cXAbaGtOtWvxNdbIM7KysrKyuq3ooJlKv3o3aPTZi8wPbR9//pXEBDX&#10;Pmp04Jf2VlZWVlZWVtdXHFPu34dT+7/b3smRr5H/2gEDwwK/tLeysrKysrK6voqoUzzRHpzcL+SD&#10;PndbIM7KysrKyurmqvfAiER7MQpt1Um+goC4y5ePBn5Zb2VlZWVlZXVj1Kxdu0R78bVkjkl8fQEZ&#10;896HgV/KW1lZWVlZWd08nT13PtH+jFJ7klqqXm9lzZvNfwMLxFlZWVlZWd0c1ajXJdEejEJbdIqv&#10;ICAu6At7KysrKysrq+uv0pWLJtqDk/uFfBAQN29pw8Av662srKysrKxujOq3KJ9oL07Nl+lBn7st&#10;EGdlZWVlZXVzVbRc5UR78S/9ojxN1qJ3eK9Hk2fMCvxi3srKysrKyurmaeWadYn2Z0epO0ktVa8g&#10;II7j24K+tLeysrKysrK6vipVsWGiPfiX/O82C8RZWVlZWVndOuUoXCjRHpzcL+SDPnevXN8k8Mt6&#10;KysrKysrqxujgmHFEu3F72TPPzq0VSf5CvrcHfRFvZWVlZWVldWNEUeV+/diMriGtupUvTiRxV+H&#10;BeKsrKysrKxuvcjY6t+jU3uSWqpe0HX/n70/DbaqOvf98be/OlW3jqnKm3tenOs5p+pWnfviJCmv&#10;OfX/3ShNEg0kxAakUaOoYC+CYgei2EUliZLYYgOINHaALYjYK/aCYgOC9CAg4oaYHLvc3/iv72J/&#10;zbMenjHmmKvZ7TOqPrX2nqOZYzxjzDXdzg9j6hNcP2W++dDecRzHcZzm0n/QiJp7cM7/kGc6uN+A&#10;ybLuIb/4pfnA3nEcx3Gc5nLD1KG19+8Kqf8h70Kc4ziO43Quy9+7oOY+DHIeprsQ5ziO4zidy7Mv&#10;LKq5D++j3M4xlhC3eOkz5oN5x3Ecx3E6jklXX19zf678nb6h/fbdnIQ//OUJgAtxjuM4jtN6cL/V&#10;9+Ay/7oNO9HIutipxnpo7ziO4zhOc5l4+eCa+/c+4v9D3vqHaHgwbz2wdxzHcRyn+eBV5fpenPMw&#10;Xf9DtJ/+eoj5sN5xHMdxnNYw54FZ4t69j7I7xxzcZ+APdRsuxDmO4zhO53PsqDNr7s+Vv8Gfa799&#10;Nye5EOc4juM4ncOkyTNq7r/7yP/XbS7EOY7jOE7nMGb8UeLevY/U/5C3/u52Ic5xHMdxOo7bZoyu&#10;uQ+DnIfp+u/uI0acYD6sdxzHcRynNYy/9NKa+/eP+w9Y0X6bzk6WEPfislfNB/OO4ziO43Qc/QcN&#10;qbk/42/w9tt3c5L1P+ZvnPqE+eDecRzHcZzmcfa42m1gQZl/3YbXq8q6AwYPMh/aO47jOI7TXI45&#10;4Yia+3fR/5B3Ic5xHMdxOpezLzy25j6c+zBd/93tQpzjOI7jdCy498p78cH9Bi5sv01np4P6HN5X&#10;tgFciHMcx3GczmX5Oytr7s37KPda9ML04/6/GKtPYj20dxzHcRynuQw5vvaVLQeXfC+6C3GO4ziO&#10;0zlgV1Z5Dy76H/LW392r111sPrB3HMdxHKf5/HLYkTX34dyH6frv7uNGn24+rHccx3Ecp/m0ta2v&#10;uX+DenaOsYQ4PIS3Hs47juM4jtMxPPjwYzX3ZlD2teiFyYU4x3Ecx+kc+g8aUXP/Lfuv21Be1j9i&#10;uAtxjuM4jtNqbrplWM39GxT9D3nr727rYb3jOI7jOK1B34dzH6a7EOc4juM4nceq1W/U3L/3UX7n&#10;GNTR7az9eJ35cN5xHMdxnI5h5pz7au7NoP3W3bx0cL8Bk+UJfnL4UeZDe8dxHMdxmou8/4Ky/7rN&#10;hTjHcRzH6XiunXJMzf17H+n/Id+RQtzm7RPDpi2XhA0bLgob1l1Y/dxY+X3LJxPM8o7jOI7T03nx&#10;tfNq7sH7yHuYrv/uPm3sOPOBveM4juM4zWfOA7PEvXsf9ewc40Kc4ziO43Q9xl1yec29uXK/XtF+&#10;625ewsN3eRLsVmM9tHccx3Ecp3lcdc08cYMn5f5128H9Bjwn6x9zwhHmg3vHcRzHcZrH+AmDxb17&#10;H0X/Q17/QzS8ts16YN8MIMCt/fD88NG748KHb40Nq5afG9Z+MD6sX3dR2LLVpTjHcRyn9zHrgTNq&#10;7tsg92F604W4b7aHr77YVGFD+LLCV19sDF//dUv49utP7PKO4ziO04u54tprau7fP+4/oK39Fl0q&#10;Hdx/4MjadpojxO1pawttu3ZV2Bk+r9C269PQ9tlnYe+ePWZ5x3Ecx3H+zqDhJ9bcm7FDe/utu3lJ&#10;b/v+i6NPNB/cl+HW254Kd9z5ZLhn1mPhvvsXhIcW3B8WPjo3PPLY3LBg4f1hXuXY7DkPh3vueTzc&#10;dfeicNttS812HMdxHKenMmnyjNqbfIWD+wz8YfvtOSvBlJf1jz+lfiHuzruGh7umjwgzZx0X5s47&#10;ITy08KTKffuU8Pii0VUeefSU8OBDIyv38BPC7LnHh5kzRlTrWG05juM4Tk9mzPijau7foP3WHE36&#10;7+6mCXHYDW7bhLB+/YVh9bvjwspl54QVT58e3qzct1+bf3J45cGTwisPnRxef2RUWP7U6VVB7uO1&#10;F4ZNWy+u7iRntuk4juM4PYzbZoyuuW+D9lt0YdJ/d+PBvPXAPpcv93wc9n7yXvh88/Kwa8ObYXfl&#10;84tPV4Uv/7whfPvNdrOO4ziO4/RWxl96ac39u96dY6xd260H82XZvX1b2Lnh4/DJmlVhy6r3wrbK&#10;56ebN4bPP90R9u7da9ZxHMdxHGcf+t5c9k1qWUn/K7dGhbhbb30q3D39iTB33oLwxOLZ4ZXXbwvv&#10;vH9DWL3uurBm3bXh3crPr7x+a3j62enhsSfmhvvvn1+V4mQbN9/sgpzjOI7Tszl73PU1N3lQdrv3&#10;g/sP3CDrn3zGUeaD+xzuvntEmHXv8WH+/JPC0mfPCG8sHxfeX3VhWLv+ksr9++Kw8oMLwitvjAnP&#10;PH9meOLJ0eHB+SeG6TOPM9tyHMdxnJ4MBHR5/8X9uP3WHE1aiBt28mDzgX1ZNm+7JHy89oLw3itn&#10;hxdnHh8eu/KosPDiX4aHLxkUFlz4qzD/goFh/kW/rHz+Mjxy2a/D83cfF96p3MvXfHB+2Lz1ErNN&#10;x3Ecx+lpXDT5+NL3bib9d3cZIQ6C2zdfbQ1//Xxt+HzrirBj9cth85uLw7oXF4SPnp4XVj09N3z0&#10;7P1h3cuPhG3vPhs+3/Zu+PKLjb5bnOM4juO0c9zo02vu4fXuHNMMIQ6C2562z8Nnn2wNn3y8Omx8&#10;962wdtlz4cOnHw/vLV4Q3l30UHhvycPhw2efDOvffCV8sm5NaPtsl+8W5ziO4zgG2KlV35uxo2v7&#10;rbt5SQtxg4aeaj64z+XOOxeHB+c/EJ55bnp4a/lNYfXH14dNn1wR9vz16vDFl78NWyo/49g7700N&#10;r71xS3j2+enVXeNmznw8TJu2JNx6q8twjuM4Ts9n9FlX1dzk69nuvZlC3KzZx4VHHhsVXnz57LD8&#10;3fPD2g2XhK07Lgt//vKasLdyD9/0yaSweu2Flfv3+eHVN8+t3L/PCAsePrlS7/gwfcaxlTaG7dem&#10;4ziO4/RE8Ipyef/FK8zbb83RpP/uPumsoeYD+7KsX3dheP/1MeGVB0aG+Rf9KswYcmiYM6xv5fOQ&#10;MLPyM36/55hDw7zh/cLdR/8kLLjol+HFe0+o7iS3Yf1FZpuO4zhO9+c3Iw/CDmjh2ikDzPzuyv84&#10;8HvVcS145AQzP8bZFx5b+t7NpP/u/sNNU80H9hZf/nVT+POnH4bNbz8V3rz3xvD078aHJdecG5Zc&#10;PSYsvuLssHjyWeGJy86s/vz8HyeFDxbPCjvXvBK+2PVR+ObrbWabjuM4jtObOGLECeoeXt/OMagn&#10;28Er2qyH8yk+370r7Ni0Pqx97cWwbPrNYcl1F4dFV54XFl0xLjx+2Zjw+KRzwmOXnlP9+ekbLg/v&#10;PHp/2LRyedi1dXPYs6fNbNNxHMdxeisvLnu15h6/jwFHtt+6m5fwPwDkSYYcP2a/h/ZlmHXvI+H5&#10;l+4Ma9dfF7Z8clXY/Mnk8Mmnl4dPP58cdrVdGbbtvDxs2nZl2PTJlWHDlqurctzrb90Sljx1T7j/&#10;gfnhzjuXmO06f2fKlAXhoIP6hn//9/8dzjtvqlnGaR4TJkyr/s82gJ+tMs3gH/7hv1XPMWLEWDPf&#10;6XwwN5gjzJWVH+PkkydWr9dDDhlk5vd2emt8cL+V9996tnuvrT8wnD6mfiHugYdGhtffPDes23RJ&#10;2LxtUuX+Paly/76scu++onIPv6Iqx+HY5q2Xhg2bJ4ZVay4Kr70xJixZelq17t3TR5jtOo7jNMq3&#10;334VkNaufcnM7yps3fZe2LNne1P7+f4HT1bb3LlzjZnfWXSXOWkV/Qf9qub+m/Mv1PXf3c0S4tZ8&#10;eH549aGTw+PXHB3mnPKzqgz3wIh+lc8+1Z/B3OH9woPH/TTcO7RPmHfGz8OTNxwT3np8dFi39gKz&#10;TcdJccvtR4U+/f61KtvoPIg3leUe/vEf/5/98nI459z/U23bEngGHfG/qm3jU+el6jlOb2TZ62dV&#10;rxeAn60y3ZUJk/pXx4Vr3sqPgVeVy/twmd1l8I/XZN1p06eZD+wt/vLZR+GT958Lb99/U3hozPCq&#10;pD6rwt2DDwnTK+ATx2ZX7tezTxwQnr1hQli99P6we8Nb1Z3lrDYdx3Ecp7fQ1ra+9v5dod6dY/Su&#10;7fUIcZ9u3RzWv/VKePXe2yv39eOT9/V7T/xlePp3k8LKRQvCllUrqzvLWW06juM4Tm/lwYcfq7nH&#10;g7JvUstK+l+5HXvSBeaD+yJuve2pcNfdi8P8hfeFd967Ifz5v34bvg2/C5/tuTLs+GyfFAfwMx6s&#10;t/3l6vDXr6+tHJscPvr4uvDq67eGRx6bG+66q/b1qfVCcQUUSWNHHjn6u7KQzawyXQmMh/2FRGKV&#10;cZqHjHcrBUSeA+vRync6H/ldYeXHwHXKei6x7k9vjQ92ZJX33zL/Qp1J1gfjJww2H9ynuOuuEeHe&#10;2ceHRU+eGlavvSh8+bfrw9f/d0r1Xm3dv/f+9Zrq/XvrzknhwzUXhVffGBMeffyUcPd07BJnn6NR&#10;Hn1sclW6gBQiE8WTufPONusR5LM+JQ4mHIPE8vQzfzTrkr/8ZXd7jVD92SqjqaeOBn3T6e3l882y&#10;kt27N7WXtlNu7CQQc9Dul1990d7KvoSxQdYp6tcrr8zcL/461dMvGWcknANrRpbB/Nab2BeMTyaO&#10;F/lyXLlzjZgxoT6P58SJqawkhb7qNVW09puNHPfGjW+ZZTRMueU7C5ms/HrANcGEtWGV6QyYuvqc&#10;tAp9/835F+oQ32UdvLrNemBflg/eOjcs/sMxYe7on4cZw/qEuwf/JMzA/4g/+idh+pB9/1Meu8TN&#10;OqaSN+QnYfbJ/cPDEwaFl+acGNauPt9ss1n8xw/++3f/jadBHoSqe+YMM+t2dyCgQAqzxi6x5K6u&#10;DiQU9l/v0ERRBcjjubCuVZ/ntSSYVL2uBGRC9rOszOM4ZeDucNZ3DL53uQ41+N7C2oRcmiPSQUa1&#10;2tEseWaUWR9wxzeQs+tbvbKfFuLK7C4j64E5D8wyH9pb7F7/Rnhn4bSw5Jqx4Z7jfh7uH9G/Qr8w&#10;d3jfMAcM6xvuq/z+0HE/rdy7DwmPXnJKdSe5Le88Hb7+qwtxjuM4Tu9m1eo3au7B+6hv5xi9a/ux&#10;o840H86n2Pz+u+HN+2eEJyaP23dfPzZ9X3/4otHh1Zm3hHVvvBzaPttttuk4juM4vZWZc+4T9/d9&#10;tN+2m5u0EHfiqZP2e2ifw/QZT4SHFtwXnn/xzrB67XWh7Yt9wlv1gfquvz9Q3175eefuK8LuP19V&#10;lea2VY6tWXddeOPtm8MTi2aHu+5ujhAHsY07bqWkMVmuu+xOdMUV9/puYh2IC3EOqVeIO/zwY6t1&#10;vv/9f2q6dNtROxi2klbGpyvTf9CImpt82e3eYcnL+qAeIW7O3OPDY4tGhWWvjwkfb7ik+nrzv3x1&#10;bfVejXu2FOJwDPf3P//XNdUd4z76+OLwxlvnhscXjQ4zZrRmhzjIFkVyEAStmNSTU58JsldMxNLJ&#10;KqPRySqTAn2xEgQZq7wkNyE2RUIUxC8twcUSZLDUXOSmnH4BLakxaUkHIlG9iRKS7r88h45PUd/1&#10;3GLtMa9MnHLWAkGftDyI1JGSlR435tkqp2HS89rVYHzlfDYKBUassdj3U2fA1NXnpBXcMHVozb0X&#10;5PwLdf1395W/G2k+sC/Dpm0TwoqnTw8PXzIo3D1kn/gm/2W6pJqH16ge2yfcd8Zh4Zlbh4eP3jvP&#10;bLdZVIadBWSIlCzRCJTSOnrnMEgdepwW3VGKogCDeVu5qnYNNSrEUaK0JJ6UEJeqh7XFPrVqneWi&#10;JdHO7o/TeWCtYg20Sorld58lHcvrtAhc77q+hNdlETHRTct5ufFg/Ir6R5a/d0HNfRvk7i7zgz5H&#10;HKDrPrJovvnQ3mLTm4vD0mvPC3NH/TrMGLbvleZgeuW+TGZid5mhfcLMYf3CQ2cPDc/+4aLw8Qvz&#10;w9d/2Wy26XQOQ4ceUV13+NR5c2bfHg47rF84/bSR++X1ZJa//cx3cQH/9q8HVmNhlZXceuuUavnv&#10;fe8fzfyuCvqLfqP/Vn4OzWijN3DJxedWrymPk/PGW8/X3IPBwX0G/rByHZVOWogbPWa8+XA+xZqX&#10;nwmLrx4f5pxyRJg+tOi+3j/cf9bwsHTKxPDB04+Htl27zDadzmPZsmXhpz/9aRg8eHBYuXKlWaYr&#10;snHjxjBq1KhwwAEHVO8p+Jw6dWo176GHHvruGMan67Ya9IPn13nTp0+vxht913lO54PrAHOHTyu/&#10;GaTWh9M7mXT19bX3+P4DN1TWSPOT3va9XiFu7ryF4Znn7worVt4Q1m26pvoQHbvDbd+170G6Zufu&#10;fa9Q3bpjcli7/rfh7Xf+GJ5cMivcPb05QhyQ8kpMZJJlIJpZZZzejQtxDqlXiGslHbU+nebzk8OP&#10;qr3RlxTi8Me/rA8mXl5eiFuw8OTw8qtjwvurLggbtkysSm+4P++7X1+2H8zH61PXrr+kcv8+Lyx+&#10;8rQwvQVCnNxJqihZYlCZ+kwQWizpRCedb6GTVSYFdmSLJb0DmqZMgpQUE21SfYilmMxWRvRCSvWL&#10;xOYY8pAsh/7Um9gH3X8pAuld1/A78yx0XPE788rECeOX7cbArnux1JFCnNWPop0FAVNvlK+6Kky9&#10;cU6unXJMzb13H8X/Qr3ZQtzGTReHVe+MC8vuPyk8MOYXYeYxfcI92AXOkOEAdovD7nHTBx8aZhzb&#10;LyyaMiSsWn6u2XazqAy7CuQLeRwSFeQI7mBEWrFbXKwPrUYKcZDx8LtFT32VIbDyGyElxKVAnNkn&#10;/GyV6QikmEdyZR6n51Hves5B7kRo5aeuU6xT1Je7tkHk1OUIx4Ey8rtNY9UFFNskWrS1wPcqyua+&#10;nvnF184T92ySt7uM9Q/Rnn1hkfnQXvPlFxvCB4vvCQ+dO2Lfw3Lcj9vR92iI6zOG9qu+NvWRi04O&#10;7z0xI3y5d73ZbjNYs+b178QcDY5DRMkRm3oTiAnig89YHnjh+Uf2y++JxNaQFR/NtddO+q68ld9V&#10;YZ/Rfys/h2a00RtgnICV3x147NE5NeOQHHTQD6oCLa4jqy5ISbiaIskU5+O5c8RdXtuQXq38jgQS&#10;ur4P1/sqNbydRbYz7pLLzYfzMT7ftTO888j94cFzjqvct3+y7x7eTuy+fu8JA8PCC0aF5Qvmhs93&#10;7jDbbQaUoIr4l3/5F7N+b+XKK6/8Ljb42SrTFfnRj35UM68AohnyOntM8vw6D31k3pIlS/bLdzoX&#10;zg/XUitIrQ+nd4J7sbw34w0rlfXR/FR7koFh9FlXmQ/ui5i/4IHwznt/DJu2XVXd9Q0P0v/+qrXL&#10;qmIcfqcgx53itu2cHDZ/cmX4cM314dnn7wozZzxutl8PRbvEdcfd4ZyOx4U4h7gQ5zQTff/N/Rfq&#10;TJYQN/nqIebD+xh33jU8LHrytPDe6gvD5u2TKvfkfffnmvv3Z7h/77t343fuFLdt52WVe/6l4cOP&#10;LgpPPXNGmHFPc1+Zaokz2HVJilYQafg6QS3EWVIR5CFZHz9bQpUlM+mk8y10ssqk4NiQ9M5eiI9V&#10;h8ikY4O4QTaTSQpZxNpVDW1JgQliHmKt20N/ZVtAz4kUaSCdoQ+6ndQ4UUeW1zGScx1DJ6sMSfUf&#10;55JJC3karGWZpPiXOk89aFlPp44U4uQOapy7HKmPqdFYOM2DqTfOCe61+v57UJ/D+7bfnqNJ1/n9&#10;LSebD+1zWbfmgvDO82eGZ6cdG+ad/vMwe1jfcO/QuBC3j59UyvSt/qv1xyYfGd57+eywZbvdfjOo&#10;DLtKSkaDKMGdjPDZbEEspw+tAOPiuVMySE/Dhbg4cmc9jgU/W2Wdnk+96zmH1OtSQc51CilNSssx&#10;ebORceAcbF+eC0KeVV4iX5uac10vfnZMzT0Y5Ny7kay/u4uEuG+/3h6+3LMufLr2lfDW7BvDvNFH&#10;hNnVXWT27eSqqT5Mr4rryP9JuP/0weHt+28O/7XnY7P9ZgBpqzK8QiBR7Nyxymyjt5ES4rCbFfKw&#10;Q1pviRfHDHGGEiDknhwhsCcKcbm73qXacP4OBa4cGayrItd5iph8nPrO0RRdU8wjRcIzy3UFwRev&#10;Kdf34Urf6kp4yC7bwa401sN5zd49e8PnO7eHze8tD6/MuDnMOfnXlft6n4z7+iHhrsp9fd5pQ8Jr&#10;s+8Iu3d8YrbfDKRkksKFuFrkbmrdRdCS8iN3hcOOcdzhrrN3iEsJT+PHj68exzpEn3W+07m4EOd0&#10;BtitVd6bIa9X1kdzk7Xt+7gL/2g+uC/i0cfuC2vWXV99zdqev1zd/uBcg91l9v0MMY6vYsPD9Y1b&#10;rw4vv3JbmHnPo2b79SIFFv06QZnnu8M5MVyIc4gLcU6zuH7K/v+6LfdfqDPhf+DrNrBrjfXwPsZd&#10;d48IS585I6zfNDH89Zvrwu693BlO3rdrwb2b92/cy9dtujS88PJZlfv38eY56kGLTkgp6QLSlHxF&#10;oVXfEr6IJd9JQQnoJPNi6GSViQHRTCYIV1r+suoRmbQQB/SYrfhKIQ8pJS5pIQxJ7/yFc8hknVPv&#10;nJaad1kWsdF9KNqlDehklSFF/c99bSrWlkz69Zo5cSqDnEe0pee1o4Q4OT84p5RR9fWmYWo0Fk7z&#10;YOqNc4LXk+v7b86/UNd1bpsx2nxon8tHK88Lrz88Ojz5+2PCnFN+VpXh8FoW/T/ja4EQ1yfMHNIn&#10;zL9wYHh1/inho3fPCxs2XmSeo1Eqw65SJKNJYQlShFWmXnL70Gy6ioTV0bgQF4fiJ2Ikd/Bqxc6I&#10;TtenEZGsCLnWrPwy1yn7CSxhuZFxyF3eIMdxV7rUjnQSls/ZaXHWA2fU3INB7u4y1t/deH2b9dCe&#10;fPPV1tC2dUXY8Mqj4YU/XVbd9W3OsL7VV6jZ9+d94AH67GGV+/nxPw+v3nltaNv2rtl+M5BCnBYe&#10;9Gswc2SM3kAZOaU3wHjUIyz1RCEud0ypNpyeRWxNQJqFkCZ3WMRucrIMKPOdU7T+mMdzQt61yhGW&#10;7wpC3LTp02ruwf+/nw/aUulbXUnv2n7djTebD+c1e9o+DzvWfxRWP78kPDP1qjDrN+Xu6/cc9/Pw&#10;4u2/D9vXrTHbbwYumfQeONdd9ZWTvha7Ly7EOZ3BoOEn1tznf9xvwIzK+mhusrZ9r1eIW/jw/eH9&#10;D28I23ZeEXa27wSHHWS2V37euuPysGHL1WH9pqvDpm1XVneg2bdb3D72/vW31Z3iXn/jlnDPrOYK&#10;cbFd4FK7w0EqwTHsKod88s///D/D4YcfW60ry5MRI8ZWyx10UN/q75BneA7UldIdj0PSQ3so+/3v&#10;/9N350IbWuCTsD7OGcurt22AdtFn1rHgOFMwJuhTLG6Mc6w9OVcnnzxxv3yMBfMlx4ifcSwlCOF8&#10;KIs+4hwoz/qyLynhCPXYf/RR5gH0V64j9ssSMFmGQlw98wbOPPOaalnGDHDtpsRPlufvOL9cAxgH&#10;2pZ1JGhbzwPqWHOWAjHFnKCubAv9w7hSfeAYGln7HAfbwid+Z3tsy6obQ14HsTyuOawx/MzzoP9c&#10;E1a9FLoO0GsSFM2TjCtgfRxn31gG60zXl7CcHFMqPsRaX/g5dj1Z55HI6zq2JjjfOI883oy1ftU1&#10;82ruvfsoJ8ShvG7jhqlDzYf3MbBD3JNLTgsffXxxdXdX3pur9+/KJ16LumHzpWH95olhy/ZJVSFu&#10;X5l9Zf/8X9dUjl8WXn71nMr9+zjzHPWgpaii3bY0WvayhDCNlpn0zmQ6ybwYOlllYsgxcPx6N7vU&#10;a1Nlssavd3/TUouUl5AgnBVJS7p/9YheRf2SyF3WKOvJecxZNzpZZUhR//VObHoNEYiCMmlZMydO&#10;ZcD8Q6DEnPJ3mVJCHNYYRcwcwTAF48N5kXFICauAibHAp5xrrIUcsQ9zoseP33E8tr55LSAO+B39&#10;5rnxKcVPrkm99gnawlqVcquVUI51+F3A80uYx/MhBvK6QP9S6wdjZkxkPHEutKOlVglTo+uzOzJm&#10;fO0rzwH+oVn77dlM1t/deDhvPbTPZdWKceGVB08Oi64bHGaf/NMwq+CVqfv4SaXcoWHmkEPC/Wcf&#10;Hp69fURY/swZYe3q8eY5GqUy9H3/rZUho0npQr8uDxIGhAeUoegBIENAoMMr/mR569WUGilGlW0/&#10;h0YlLAhTMiYAv6d2TmpkHKiLMhRMUudLvapQizY4p3wlItpHGT3HhGWtna0YD3zqPKse+5lClsN4&#10;LOGHUGKzxl0EpDeeE+fQO2NZdSR6PXBOY/0tWx7oOgC/W2uAYByYTwhMrIOfY3NcpjyvY8aba5Rr&#10;21pL6KtsG+sh5/qtZ+zsB9rnuOT1Ezs368VAO7pOGRg3EPvuwTlYxsqXyO8ySzxj3PCp84rgXPEa&#10;QPs8V2qtEl73OeeGhK7vw40IcatWv2E+tCdf/XVz2PHRsvD+EzPDU9eOqwpuuQ/O52AnuUrZZ2+4&#10;OGx6c1H44tMPw9f/tdU8TyOkhDhCGQOkXuvXWygjp/QGuINXPWJXrjzW1WCfrTHnjinVhtOzKFoT&#10;kI+Zj+tJ57dCiJPlUmuQZbqCEHfFtdfU3IMPHXjk6krf6kr1CnFtn+0KG1e+HZYvnBMWXz0+zBzx&#10;s5L39X7hqSkTw5plz4ZPN20Iez7/3DxPI7hk0nvgLmutlJYawddi98WFOKcz0ELcwf0G3lhZH81N&#10;1rbvF0283Xx4X8R99y8Iy169PXy4ZkrYtPWq6oP03Xuvqj5UxytRV398ffhg9e/Cuk2Q3y4POz/f&#10;97AdD9X/8vW11XKvv3VzuPfex8z2G4FSA6A4IWUSKVNAjODxGBAtIMewDuF5IEZAltD1pEzFY+iH&#10;lCokOE9M1GAZS/ZgXr1tF4lwhAJPChlPSxZBHGWbOh9AgGK+Fl/k3MaICTqUepBvjZnlUkKcrKfH&#10;Z60BgnPLsoB5sf6A1LwhllKkskD9mLTDMohxag1gXem66BPatsoDHbcURWMA1roHzK937WOtxcaB&#10;47JvVv0Ycp3G8rAmMPcsp8F6kvXkd1gMWR7rg2s+hj4HYT7OqePDtczYIF/XJ/JalmJjKj4AazY2&#10;LwB5ek7ZHy2zERnr2HridSDj0qy1PmnyjJp7L8j9H/JMeMWqbqMeIe7hR0eFN5aPCx+tvyRs2j6p&#10;ej/G/RvCG16JunrtJWHVmouqUhyEuH2y3OXh08p9/L++uTZs3XFZWPbamDBrVvN2iJNCBxKEDatc&#10;DC28FMk2AFKHTBSsiE4yL4ZOVpkY8vWfFJG0SJUSUWRCPHS+lre0+FIUDwsts0Gwkfm6Tav/ukxs&#10;7vUua+y/HleRJKWTVYYU9R8Sk0yxXfy0OKhFrJw4lUGLk/r6SMVIzqm1jspA4UqKdTxW1DYT6spr&#10;Q6fYtY65SdVDQl9QTteVMdCyLpKcH8bWGo++flNJ9kOuB9mezMP59NqXKXb96u9aK8XWH1Oj67M7&#10;Yglx7bfmaLKEuPmPFz/sT7Hmw/PD20tOC0tvGhFmj/5ZmHVM3wwh7pCAXeTwP+7nnv7z8OQfjgmv&#10;PzIqrHn/fPMcjVIZepUcwQPiCcvrHbOKBBIgxQ8phMSQ5cu2n4OUSMrUhVijxRxNTKCqdxyIV6qu&#10;rpOSaWSenFMNRBgtQIGUXFM2L1eIk+sFdVhfQ3kHn1Z+CsyZrstjiL0VC8JyFlYsypavd82hHmNi&#10;oa/7suXlNZRaS+g72qYcZRG7BusdO2A+1owU4SSYWy3FFV2nOd+XKWSsMD6rTOoatuD4rLXP+Flr&#10;KwWEN/aB3/nyWE4cyozDEuIq9bKS9Xf3lq3vmw/tyVf/tSVsW/l8WP7gbeHJqyp/K//msOoOrbFX&#10;q/2dfTu5Tq/c0xdddkZY+fBdYfv7L4S/7l1nnqcRcoQ4KU50BSmis3EhrhaujZRUE6NI3umqpMac&#10;O6ZUG07PImdNnH7ayO/K6Nctt0qIY7vYLS72imeW7wrf/eMvvbTmHtzvV0e/WelbXUm2A26+Y7r5&#10;cF6zZ/dnYd1br4bX594VHr/83OqOb2Xv649eelZ4+8FZYePy18Pnn+4wz9MILpn0HjpCWmoEX4vd&#10;FxfinM5A35sP7jdgcmV9NDdZQhwe0lsP74u4d/aj4cmn7glvvPWn8PGGa6sPyvf89Zqwczd2mLki&#10;rFn/27B67XVhw5Zr9glxu69o32XmsvD5n68KW3dcEV55/bZwz6zmC3EQQSgwUGygLKMFEMoOkCWk&#10;2IA2pLSBfFkPyHyAc0DkQDvIkzKXLAeQj3MgT8ofMZlD1ovlyTK5bcsxQH5hPYyBcoglc6VgrCGo&#10;6Dz0h+cD1u5fmCPk6f7KuuiTFGLQjpS6LIlLy0H4HfWAjCvGzjJyTbBfAH3hcYC+ME/GEWsAbVux&#10;YHlSZt6A7A/WJ9cb2pD1gZaHAPNYDudnG3L+gYwDoHyEMnoeEFddPgXaQh30WV4zug+MjYR5pEwM&#10;UY75+GSfcRztyHaBrp9C1k/lAYyR58b4GVug1xlAWean4sx2MDa0w7hwTbIN/KzrMo9greFcaId9&#10;wlwzHz/rNkDsWk7FR15LGEPsOse45JpAv1jPWu/8XgJoQ+cjLsyXcW/WWsdurPr+W1aI+3H/X4zV&#10;bdx0yzDz4X0MCHEPzh8Znn3+rPDOe+eH9VsmVF+bilefQ3rbtG1SWLv+kvDRx5dU7t+XCiFu305y&#10;n++9Kmzcdml46ZXm7hCnd0+yJJUU9dTXMpcWWnSSeTF0sspY6NelSllNjk0LZxKZ9Fgg9ch2LHGr&#10;XilRJ5knxR4kKdJACtP56GNsFzwtJlEqw1zLVCTy6WSVIan+EwpeTFb/ZewRZ52fc55GoLTFlBLi&#10;mrVDnJTBZEykxBWba6ATYsLy6L+U3fT1jrXBfIwFa5nrBW3IeGP+tKCovxvQBurgONqS8WNs9TWH&#10;NhlH9IV9xHF5fmsuZH4qDwltsw2MTV7HliyIfPQVeTL+aEPGVMcEMKEPOq+nc/wpR9Tce//fwwbu&#10;ar81R5P1d3ejQtymLRdXX5v6yv0jw31nHR7mDOsX7h3a1/if8LVQiJtz6s/D4ilDwqsPnRxWvzvO&#10;PEejVIZeJUdskPKLLg+BBFIKpAkpeED8oFwSk5Ry+tBI+zHkeGIyjgWlHpwX52d/IIpI+cMaT73j&#10;4DmRJ+UdtAPJRfdf9kMe13lsk7IL+iTzcV5dPyXX1JuXMxfoJ/Jj8yxFHcTTKhMD47bqIi5FbWpZ&#10;T68HHcOy5UG9a47CIepxjgH6gHXYaHk5b6zHOKFvnDPm4RNjQR7K4Bw8HpvXescOmCfLsD7a4rkh&#10;k+m6ILVmG0H228oHOWUk7KtVvt5xcDc4HR/OayxuEsSZ/ZLfXRYXTT6+5h7c51eDdlfqZSVLiGtr&#10;W28+tCdff7k1fLr2tbDqqbnh6d9dEO79zeHVe/SMwQU7yQw5ZN+D8yGHhocvPCm8PvP3YcNrT4S/&#10;tn1snqcRmiXE4ThemSlf/YedjlA3Jlrkgvq33jql2l5u2zh+ycXn1tRB39BHvKLQqiPheFgXrxXE&#10;+ZCXklPQT54rlsdXi6bOEQM7SUGckXG2QDmrfoyy8ZI7WllY47eQawu/69f05sQEYOdCxAXlZV0c&#10;i+1qyHWFeZT1OG7r1ZWEZWXfZL8t9HrhcbaBT9kPtFd2HokVD5w/tfbriSHXAecbMWN9fOJ3uVZS&#10;MZXl5PcM44pPWZ7U8/0AEAtey6QoRvWCvvAcVj6QZfT3LPup15BF0bmYh3I4D3/H9Z8qr/vUGZw2&#10;dlzNPfjnRx7zbKVvdSXZDnjw4cfMh/Oatt2fhc0fvBPeeezBsOS6S8I9x0F0L3dfXzD+lPDyXX8M&#10;H730dPhs2zbzPI3QiGQyePDgar2pU6dWf58+fXr40Y9+9F17yF+yZMl35VeuXBlGjRpVfWUn8v/l&#10;X/6len7mx0AbaIv1AM6Duhs3bjTroE/sA35HWdZHXfSFZdEGdk9Df9i+BccJli1b9t1x/MzjMo+v&#10;JtXjxid+j/Wd4HwynhYcXwoZt1xkfECzxpSql1qLnE+e38pjLLhe2FbOOqtnDQCOR9aDFIZrQZaL&#10;IdeRvFYkjIs1dkIhDX2x8tFvliH4Hcdjc6bn/KGHHvpunPjE7yzLtvHJYwSx4Hw3Ej+9PtC/svMM&#10;ONfy2kL/0FZq3rjOeA6en2PD+bmWdV2C9uU8sI6+3pxi1n68rua+DPD3dyWuzU3Wtu94jZv18L6I&#10;u6c/ER6af394/sW7w+q1U8Jne64IX3x5TVV627Zjctiy/YqqGLe18vMn7a9lw0P1Tz5tF+bWXRee&#10;e+GOMGPm42b7jULhgjIIfgZSuMmBEhU+dZ6UOrScoWE5IGULItuy+si8InmlbNuUSyCuyONAiimW&#10;YBJD7sSk86TEBazzIpbIkxKilJesuWAZSi+WAMW5TLUBLOFI9jsVY0u0icH2itoEet5kH601AeT8&#10;WXFmHrDOn6rP4zERqllYcyFhHigbQ5lntY1jXHNA56eQbafysF7094Zc69a8FcUE5Fy77AfOpfNY&#10;F6Ccziepfsp8LRSn4kMBDZ86D8j4SPEVx9mm7jPmnnlErwe0xTw5JzzW6Fo/e9z1NfdeUGm3VLKE&#10;OOvBfRGz5xwfHn3ilLDs1XPCxxsuDm1fXB32/vXq6r0au7/htambP7k0bNvZ/srU3bh/43Xol4VN&#10;leOr1l4Unn7uzDDznmPN9utBJ6tMCp2sMhoIIDJpoUUnmRdDJ6uMhZSEINHIPC2qafmH5CaM05Jd&#10;KPYwWaKOhU4yT8s7RckSeIiUdbRURvEIScdPo5NVhuj+WyKQ3qVLi4R6lzBrjLlxytm1z6LeuW0E&#10;7oqHeZPHsX6ZUtKlTFbMZDs6LjKesbHi3Ey6ff3dkIoXY6u/P2JCIOF1rdcykP1P5SG2+lqWIl7Z&#10;9SLHbY2ZyboOejrHnFArxPUZOHBr+605mqy/u198bZ840RDbJoS3nzw1zD9/YPVVqPe27xCHV7Po&#10;/xlPsIvczCGHhrmn/Sw8dePQ8Majo8Ka9zp/hzhQtjwoEjvqaVNSVhwhORKWRspMMbmD/YFsY+XH&#10;SI2Dx6WklCLVlsyD2EJBSEIJCVBeIim5pt68nLmgrAWs2Mt8a0wppLSj60qRSx4njGdM6NKULd/I&#10;mmPMrddoWpQtL+cN59b9w9phPoBUJ/OBXI96rTUydsC6gKKeJHVukFqzjcDrK7UGZN+sfE2qfL3j&#10;4K5zej0UXYuSMt+zWog77KhfF967may/u60H9pJvvt4W/tL2cdi5ell4bfrvwpyRA8PcYf0q99/0&#10;Tq58cH535T698PwTwrJp14R1Ly8Mf/lsjXmeRpBCREx4oIwRk5wgUrANC8gpKTElBepJ0UVjtQ3p&#10;Bn21yhOMKdYnKZRocD72x5JTUjIK81AvFTMISLouwLis8hZlRKp64iXlJYvYWtHIeEFEkm1IYjEB&#10;qJfqP/KseBQJbAD90/WAlV+vEKdFREms7ylQPhUP6zqvN4by+8OaP8aHbcekNiCvCbnWEDccs663&#10;er4f8DvbjJFab/Ug17mVD2QZLSCmYqApOhfzODdy3VriI/O6ghB3xIgTau7BRx57wuJK30ona9f2&#10;XCFuz562sHv7J2Hju2+FF6f9Icw6ofx9ff55I8MLt04JHzzzRPh0y2bzPI2gJZMyUOzQcokGog/k&#10;GYojGkuiIXzNZwyc1xJQOC60DeFE16N8BBEl1i+NlHlQn8e1yCTzpAykifUdFIlwhBJYitzxSVox&#10;ptQawHEpN+m6qXUq5zq1XmKyWL1rAEJUqp6OYQy2EeufXAtWm4g387XQhT4WrSVIWSgn6wE957IO&#10;oBgG+F2gr2XMOcvrtVE2fnINWP0hsTiC1BokGEPqOwWflOMsEE+rvvU9RHTcnGKWv7Oy5r68jwFH&#10;VuLZ3IRG9YmunzLffHhfxLQ7ngyzZj0SHnl0XnjtjVvC2vXXhi2fXBG27bwsfLbnqgpXhl1tV1Z3&#10;joMMh9+xA822nVeEj9ZdF15/65bw2BNzwl13LzbbbxQpTRRJGylS4obMKxLGWM7aaQ4USS7Ms+QU&#10;5tXTNo9b7cr8mHhjAXGE9bREwrmg9KLFtZjIA9mJx1Niiiyn+0whDueUwotGx0sKfpZ0BaRMU7QW&#10;CMvXM29Yy8xLjUWW03k8Hjs/kDGTx+U8yuOtgP1s9tqnDJqSGOXcW/kxcr83YnPHuFviZmpMhP3O&#10;FT/1muXxovnl+sJ60Hnye0C3H4sP4sHjsbEBxkf3LzanvD5Rj2tXX8v8TtJtNmutjz7rqpp77//7&#10;80FfV9otlbB1rGyj/6BfmQ/ui4DINu/+34TFS0+r/AfIuLB+04Swdfuk6g5xeHWqvn/jGKS5LZUy&#10;q9ZcHF57c2x49PFRYcZMF+I0OlllLOQuY1pigawjU2zXrtyEc1lCS2cKcZCCIDjJuhIIRTJpgYny&#10;FZPcYU+jk1WG6P5bcZNiFpIWwHTfLBkxN056jeZS79zWi5SyLOmNcmPOjoepXeo4Lt0Oryc9FxqW&#10;03GV3w0paQ+wD7oNOafyuM7X9WQeUirPWksg1qccmHCeMnk9HS3E9f/VL9e235qjyfq7e/l7F5gP&#10;7cvy7gtnh4UTf139H+6zILsdc2hVeNP/M57MHtq3ygPnHB5euOc34b1lZ4d1HzenL5rK0KtAprDy&#10;NWXLgyIhop42JWWEC4msl0K2yR2TUmKJbLdIFpGkxlEkZWlScozMi4ljsi9aJErJNfXmpcZO0FeW&#10;sYQt7lqVGyMJ+2bV5ZwDS5oqIweBsuUbWXMUryA25UiCZcvL88ZkTcY2Jn+l5r7R643HrfUCUucG&#10;7Hvq/PWQ027qGrZIlef5Uui+pOIqr0VLcpQUxVhy9oXH1tyDfzn0yMJ7N5P+u/unvx5iPrC3+Mtn&#10;a8M7C+8M940+MswZ1jfck7g/Vzl637387sGHhkcuOim8cc/vw8ZXHw9/2d2xQhx+l+KItXMSdz0D&#10;ECwoVEA6kZJNjshhIc+Pc1FuQd8owuA4y0sZiDtUyTwpf1hyjowH2ud48KmFJ2tMKRlF5gG0z5jr&#10;9nWsMW6OC/UoJ+G4bFfPYRGNxgswn4JNGRqJCUAfmY+yjAvAWLhGMEauHYLymEO0y3kGcm0BXQ8w&#10;zxqzHJPOk7AMQT2eS147mBddNwVjJtcJQDwwXr1GGokh2mJdlsE4cBzXJc8Vk90k3FlOy2j8DrCu&#10;N+aBnO8HwPigr4gz62ANyLmz5rZectaEjLPO4zhRBmNLgfilzsU8jg/j5jHEJlYebeu8jkYLcUNH&#10;nvJgpW+lk7Vr++Klz5gP6GN8tnVrePP+mWHeqKOq9/XU391VxH194fhTwrK7/xhWv7A07Nq2xWy/&#10;EaRkYuWnoARDIDRxpyMpjFBAwSeFHe4MxTJytyki20A/2TZkEyllWTKJHBeApII6kGxkWxwD2pJ9&#10;kO2jPI8TKQtpcUfmATlu9F32zZJ3ZD5iQLkG7VJuqkeg4VhjdVs5JpRhPPHJ9nVdouvLMqk8gBix&#10;fcyzFO3YZ0m9a4Dt4nxSKEMbaFPHMAavA5xL56H/yCMQ/nQZ9JP5XNcAseV6QdtyLaGcjJslcVlz&#10;jjo4jrbk+Ky1JYU3LcOBsvFrdJ5lfzBeOdfIk/Xxs6wLeH45Jrah17GMA0D7zLPmwTqfk8YS4vCP&#10;yisxbm6ytn2vV4gD06Ytqe7wNn/B/eGZ5+4K737w++oOM9+G34W/fnNdVYDDQ3Tw5bfXhRBuqApz&#10;b7x1S1jw8H3hnkrd2297ymy7GUjpAugdgXLIFVt0noblUMfKByxjiSCp+qk8wjK6be6oZglFKWGm&#10;CEokUkJEGziGPP6s26bIowWs3FjLduXuUSAlGUnkuKVQFpPhANYWx4xPlE2JaoDt1jNvuWNJiXo8&#10;njp/LO5SFIMopNtuJjyP1c9UHmEZHcOcurHxF5Gql9Mmy1jzK9enHhPh+silntgA2RctqvLasYTD&#10;WAxkezno+Mj1Lr/vKbsh3xLfpIinr/NmrfUTT51Uc+89dMCQv1baLJV+3G/ADNlGvUIcmD5jnxT3&#10;2KJR4cVXzg4frrko7NpzZfX+/Zevrq25f3/9/02p3L//EDZtuzS88vqYsPDhU8K9c46vvn7Varse&#10;dLLKpNDJKqPpKkKcFqq0zAXpRaaYRFQ2afGOEg1TRwpx1k5XErmbF5Iuq3dhS+2MpZNVhuj+x0Qg&#10;ilVMsn8yz9oNDOTGKTWuFPXObb1IidOaVzmfWP86HzCl5CsZN3mcKVUXcJc2vaug/G4oilVMPiuK&#10;Aes1skOcziMso/uUA5MVO6aiuPZEjhg+qOYeftiRv1rZfmuOJuvv7mYJcR+8fk548vdDwpxTfhpm&#10;DDu0ujvcjAIhDrvELbx4UHhr0alh3UcXhM1bLzHbbpTK0KvkyGhSgsgpT4qEiHralJQRLiSyXgop&#10;g+SIJZJ6+6PrSSkL0lKRSJWSY1J5EpbR85KSeerNS41dIoUteVzuRJa7ix4pqotYMx8ym85HfQqL&#10;+IRAmJLJypZn3HKR8cN4eBxCWlFsypbPmbfUvINUG42MHfB46rslVhcU9b1ectrNvU6J/I7QeTlx&#10;1DIoRDccj4mMvBaxhq18Iuc3NQ/gpLOG1tyDjxk5eFWlXlY6uN/AG2VdPJi3HthbfPNfW8Oqp+aE&#10;h84ZVpXhAMT12H16+uBDqzvO4HPR5LPCh4tmhV0fvxa+/HP6Fa31AMmhMrwkWpSSUNrR0gmR7UvR&#10;Jgeck3Wt9iGyQP6QohTFEUveIRRigBShQFF99IN1LUEnJb7IPIgtun38znhqKUjGQvcZcEyW0JKi&#10;0XgB5tUjEDUSE1A0blk/tkYt5Lq1RCDmWWNOrQEJywBL9pPtWHGPwTqxa1bTSAz194cVKyClO2us&#10;Ml/3m2tUX2/1fD/I88S+jxh3jNnKr4eiNSHjaK1zxqAsuh3APLl2pbCo5zB2vDOAiC7vw8efesbM&#10;St9KJ0uIe3HZq+YD+hh7du8O7zz2QLj/rOGl7+uPX3p2eOfh+8KmlW+Hz3ftNNtvBC2ZWED8sOpS&#10;ggGWBCWFN0gkUnoBkEIol1j1mQeBROcBKezotuW40I6WcQCOsYwl0OC8rK/z5Lm1uCPzrHEDxg5i&#10;js5DvJFnxUSKNVa7KXhOLeuQVo5JzoduG+AY5xvofFk/lYfY6blOrbNG1gDrSbGqHlCfbenYSNkN&#10;WLGVYpk8XhRzwPEBPX4556k2gF5bWB+MuTUngO3mxq+ReQbsI8pY/QFSipNyISg6P4jVZ109R079&#10;4D6s7824X1fi3NxkbftuPbgvx9Jwxx2Lw9x588PzL94RPl5/bdj+6eVh287Lw5btV4at26+ovj51&#10;287J1d1nPvr4urBk6cxw9/TW7AwnkZKDFLMsIGKgDHcYstB1csQWwnIpwYRlLMklVT+VR1hGty3H&#10;AFmEEhfKMRZaTsuBMoysS1mFIgplPNlvnlPPFwWfnL6gnG4XsA1LMpJIKYd9BKmd6QBEGUpxBOOw&#10;5hOwTD3zxuM567qojdT55frQeZxjgljJNVQG1EFdzI2OIbH6mcojLNPs8adI1ctpk2WstZqaUyLX&#10;bRGIt5aFmZeKDeG5pGAGOI+YV3kcxGIAGY3Hc9AiL8bBPCm2sS+4RuU5mC93s7PE6Was9WNPuqDm&#10;3tt/0Ig9lbZKJS3EDRg8yHxwnwuEtpmzjg8LFp4UXnnz3LB+88Sw/bN9r03dsh1MqnBp+GTnZdVj&#10;H350UVj05Klh+szjzPYaQSfrFYMpdMqpryUqLY/oJPNi6GSV0aRel0oo7jBZko5MeiyIByQk7trF&#10;JNuhoMOkd2GzgOijk8yX8g4SRRr0R48pJe9wRzGkmFQmx4afLQkJ6GSVIbH+a/RrUxm7ItmR5J6n&#10;XvTctlqI49zG5kqum5jkx5SKhYwbj0mZrWgNW/WBbKMoVoytXr8YI9ck1i/FPxyX57X6GOtXUR5h&#10;mdg1hT7g+wD5+juBCW3oekxWXk8H91t5/x00dNCK9ltzNFl/d69ed7H50L4sa94/P7z64Elh0XVH&#10;hwfOHRBmHte3KsXhf87jNar4V+sQ4GYP61v9fcbRh4R7T+wfFk85Jrz3ytlhy9YJZrvNoDL0KkWi&#10;AigSGyD6QMpIyReWdMK8oj7U234MOZ7cenyFYA4QRdBn3Ua946CgQtAXCFqWTJWSaVJ5EpbR88J+&#10;41MebyQvdy6ksCXLcde1IjnHIqcud5/TIh6BNIf67BvAfMXGUqZ8o2tOvg6WZbD+rLVZtnzOvKXm&#10;HaTaaHTszEt9t7CM1f+ivtdLTru51ylhm1b5esbB9WlJoEBei3oXSYmc39Q8gGEnD665B59w+pDC&#10;ezeT/rv7uNGn7/ewPsW6lx8OT1x2Wpj9m8Oqr0zDQ/OiB+czhvYPz90wIWx795nwl90fhW++3Ga2&#10;3QhaaNFAComJI1JIsfIJy5QRkgDEEPbBytfInY4geFhlgCwnpRAINDn1uZNTI0IczqXzQUz+KRJq&#10;mG/1KUaj8SKpvCIaiYmcr5Ssw/ox4SsG2y47ZjkmnSdhmVjs5bVZRkaivJYz3kZjKPtYdH1zBzir&#10;XxSyrGs9Nv9lvx8Az6Pbksgxxb77yhJbE7i2EDfOGT5xTJYBjEFZdDuAeXLtYh2wDzo2LF9mDbYK&#10;eQ8GYy4cf3elb6UTdpzRbWFnGusBfYoPnl0UHpt4Rph13M9L3def/t1lYd0bL4fPtm0Jbbs/N9tu&#10;BCl5xLAkHEDBJCZ5SKEmJr1okYZISUge17CMlubkuGLimOyfJfvI/FSerivzYuOW/dN5PI4yOk/m&#10;W31OEYs1aeWYsEZwPCUEyded6rxU2zIvJjrFxp4as87XeZSvGt3dC33mOfQOcBSsUqIW+6GvAVy3&#10;OF4kYbFcKja6bY2ML/pXJMOBsvFrZJ7RJ9a1dtkjspy+/nLOL2MmBUMpHpYVWR0b7NSq7814xXkl&#10;xs1NrRHi9nHnHYvC/AUPhhdevCu8tfxP4d33bwwrP/h9WPnh78OK924Iby6/Kby0bFpYvGRWmDtv&#10;Ybj1tqVmO82mMuwqMbEDQgNFqSJ03RyxhbBcSjBhGUtySdVP5RGW0W1DEGGeBUSSenZEktIJ6zPO&#10;FGQomXAHKSmzaPmMdSGiyOMWbEPHg21YkpFECkfoByU9SxzSUOzSQpIlBTGvnnnj8c4U4gDa1LIQ&#10;4lUUJwnWCoWlFFY/U3mEZVox/hipejltsoy1VlNzShjPorUeg+2nYkPkDmoUxIoEs1gMcJ3weGxs&#10;RWhBj/FCTPC79T2jv4ss0E4ja33I8WNq7r0/+/VxX1TaKJUO7jdwoWwDO9ZYD+7LMK3CrNnHh8ef&#10;GB1efvWc8PbK88N7H14QPlh9QXhv1QXh3Q/GV+7p4yp5Y8Lip04L8+47Mdxx1wizrUaQwhNSjowl&#10;0fVTr8wkWmLSkodOMi+GTlYZTUxISSVLIpIpJsIgrjLJdnQ8Uq+qJEVSoZR3kGSMIeXondUs+UhL&#10;ZbkptoZ0ssqQVP8luo8UwXJkR5B7nnrBvMjUSiFOv962KMXiwpSKhYwbj3UVIQ5o6VOnmAwY61dR&#10;HmEZq0+ISc53DtrQdZmsvJ4OdmSV99+jj/31q+235miy/u62HtjXw4aNF4fVK8aGNx4fHZ78w9Bw&#10;/9mHh3uO61MV4fAaF0hw9w7tE+aN6BdmVT5n/aZfWHDhr8LzM38TPlpZ/NrCRqgMvUqRqAAoDgEt&#10;j0CYYV4KSzphXqoPjbQfQ4oaufUoiZQRSySNjgPHtRgHWUuLQCmZJle0YRk9Lym5pt68MnPBOUAc&#10;eIzCmjyWSxnpCsR254OYiGtEtxcTinLLN7rmANYH1h7bAvg5Fuvc8jnzlpp3kGqj0bGz3dR3S+zc&#10;oKjv9ZLTbu51SlKxKjsOLUUWoXeXk+SsEfLLYUfW3IPPHD9ieaVeVtJ/d5cV4naufim8ee8NYfEV&#10;Z4cHTh8c7hnx0zBj8CHhnsr9GcwYgp/7VO/V1VevHX1IeOC0o8Mbs24IuzctD99+84nZbqNI+UMK&#10;D5DdiiQNKXnkYMlDKVLimUVsLBYcm5RzcutTTrH6lZKhUnmEZXTb2OWKdS1xjH0qI301Gi/CNsrO&#10;L2gkJrL/OVjzlYL1rHGl8nLGBFJtEJYpmh8JpS+A+UpJXY3GsMwaknHRa5iynCUHcm3rc5f9fgBs&#10;K5cycU8hxx4DMYjNVSwGFkXrj3l63cl6clc9HmtWLOply9b3a+7f4Irrf3tXpW+l04/7DzhSt7X2&#10;43XmA/oUG995I7wy46bw2KRzwn2nDQkzh6fu632q9/X7Th1crbPto1Vh7549ZruNkhKNiojJJ6RI&#10;NgKxNmS/ckjJK/K4RMovluTFNiDu6LzU2HLGLcvoPApKlrgj63XWDnE6zyqj83hcz5MkNWf15hGW&#10;0WNvZA1IgQ9SVyOiE4U3LZ9SGpM7rkk5TYqjGIusy+MYgzyu4bn1GHPmnHBtQYCT8mNMHANl49fI&#10;PJcZC+OsRb2c8wOWkXHH3LBdfEKWS8XGKebBhx+ruS+DMeMv+Y9KjJub9Lbv/QeNMB/c18vddy8K&#10;8+6bHx5+bG5Y+vSM8MJLd4bnX7wrPP3s9PDoY/Mq/5H1aHU3udtubd1rUjWVYVeJiR1SzIDsoOWv&#10;mLhRlKdhuVg/AMtYIkiqfiqPsIxum7IX6kIgYTlIJYhHGbFJAjGGbUGYkb+zTS3NUIahuCKR0o3O&#10;k0jBT+4QBeoR4vAz2qRghHhR+ikCdRlftiXzebyReSsaixSM9FzyeOr8yGM5K58gJrJsroiFeowt&#10;1hzmTMeXbVr9TOURlqkn/rnj16Tq5bTJMlYcMQ7W12MiuWs9BttPxYZgXbE8rzmKY3rXOBKLQc7Y&#10;itCCHn9Hn1iG1w+PcQ1a4qqm3rWuhbhfHD2yrVK/VDq434DnZBvNEOLI7NnHh/kLR4ZFi08Nz75w&#10;Znjx5bPDCy+fE555/szw2BOjw7x5J1T+g29EuOvu5stwQMtYlsiRAmKJTDHRRKJlLEhNMl8nmRdD&#10;J6uMRAtlucmSiGSKxU+KPkiynJblYq9mlei4Y9cpmS/lHSQt0uhzWv3WayM3xXYn08kqQ4r6L7Fe&#10;myqPpdZkmfPUA+IqUyuFOP1625xkCaxMqVjIuPEY4s5UFEcKa3qtN0OI47UNWRf9kGsBZVOynjWu&#10;nDzCMrpPiA1lOPQHfcAxWYbJih2TldfT0ULckOOPKHyoXrlnT5Z1+g0aZD6wr4fN2yeEDZsuDqvf&#10;PS+8vvCU8OQNx4SFEwdVxbg5p/ws3Duyf3VHuFkn9AtzT/tZeHjSr8Oz044Nbz11eli//kKzzWZR&#10;GXqVlDBCKO5AvJDHpfAA4UK/ZrFIiGBerA+Nth+jnnplxRJJM8cBmUoKM7o/KZkmV7RhGT0vqRjU&#10;m1dm7JQKuQ4hb7Fu0atkNfJ1qLng/FZbEoyBkh4oGlOqfCpu9QDZifIUPlOvawWp8uin1WdJUf9T&#10;bTQ6drYb+24BsXODRs8fg+1izq18kHudAimwWQJm2XHwdahliK2jnDVCminEnTZ2nPnQPsZfPvso&#10;fPL+82Hlw3eFJb8dG+479agwc1i/MHvY33dvhcB+34h+1R1m5o06Iiy+akz4cMmc8Ne2dWabzSAl&#10;tEDOiO0aBLhDUy7yVYhs14LyHX+P7aClkUKHJfBJLMEkFQtJSk5JyShFogpgGd223MEJIhDFGRyP&#10;iSxFNBovwjbQns4ropGYSEkwB2sdIX7YoQttx9akNa5UXs6YQKoNwjJlZSR9bUK2wji1iNZoDHOv&#10;GYA1xrJyNzmsZR63hLDY2mOd3O8HQPEuB6yHousiF7kmNBiXNTeSWAwsitYf86x1x/jgk8dYvuwa&#10;bDaWEHfjrVP/VOlb6XRw/4EjdVv1CHGfbtkU1r31anj7wVlh0VXnh7mjjk7e1+eecmR4fPK48O7j&#10;D4Vd27eZbTaDXMnDohHBisTakK9bzUHLTLnj4vkhqcg2IKxQYLFev5gaW864ZRmdJ/sO+YniDOpQ&#10;Nort2peikflK5VlldB6PS0lIk5qzevMIy1hjr3cNAL1OMS9yznLBudgGxTYIYvgdfcDvPJccA6Uy&#10;vR7kXMidyixi8cuZc8IYUuYEWKtWWUmZ+DUyz7KuFgc1HEuqDXlcwzIoL49LqZFg/EWxdWxmzrmv&#10;5r4M2traDqjEtblJb/vebCEOu77dddeiMPOeR8PceQvCAw8+VAWS3D2zHg3Tpi0x67WSyrCrxMQO&#10;ihFlxY2iPA3LxfoBWMYSQVL1U3mEZWTbUh6TZZsFBTvEmPKb3uGN54eIwvJSXCFS7NLSoiQlgOVK&#10;QpaUI3e8s/oXA/IM6+n5iR2XsIxeE4yVJQ9KWE7HHbBtCEM6j/D6wKeVr8kVF4mUImPzyvxmrn3A&#10;ncRS66HseAj6E6uXyiMsY/XNWp8aCmlAC4Y5sG4qrhL9PUrBTEupJBYDKdel1mUK+b2G9cW+yb7w&#10;/OinLK+/M1KUXRuDhp5ac5M/YvgZ5V+Z2n/ACtnG8accYT64r4e7pg+v3KePC3PmnRAeeGhkWLDw&#10;5CoPVX6ePec34e7prRHhiN5hCykljCAPogl/16IXkhbcJFrk0kIM0EnnW+hklZHofpRJWiKSSYsw&#10;RAtochc4KcswacFNottC0q+qlfIOkiXS6HPqNqRIVDZp2QfopPMlOf0nWtzTv1vSFylznnqgtMXU&#10;SiGOuzXGhEQixTWrLJNcoxqeS34XAK6poj6wnJYVmyHEUbarZy7leiiTR1hG90kKuLHvRyar30z1&#10;jKm7I++9++6/vy5+Zar6uxsP5q0H9vWy+ZMJYf3Gi8Oa984LK18+O7y5+NTw8rwTw9O3Dg9PXHNU&#10;ePSKI8Pi3w0Oz95xbHj94VFh5Stnh7Wrzg+bKvWs9ppFZehVUsIIgGTBsnoXLi0oaYqECObF+tBo&#10;+zHqqSd3ZysSiTStGAfbBPJ4SqaRebExyNchanEvJdfUm1dm7FJiQ984HgibVvkURXMiobCWUxYg&#10;tuxn0fUFYuUbWXMx5PzmrLVY+Zx5S807SLXR6NhZNxV/lrH6X9T3epHXoJUPcsoAxEXuMqh3iwRl&#10;xiHXYWx3QyLXRayslPWKhFV5DwYXX3F89itT9T9Eu+Laa8yH9jG++XJr+Gvbx2H7+8+H5fffEpZe&#10;f0F4+IITw/2nHRXmnjQwzD7hF2HW8YeHe39zeHjwzCHhqd+ODW/fd1PY+s4z4duvmv+qVFIktEi5&#10;Qssq2H2KefJ4DmWEuJQwJJF97WlCHJDxtoAEpeukaDRehG2gPZ1XRCMxgUTEuvXIOpDBUuuQWONK&#10;5eWMCaTaICxTz/hQR4txkCnlXDcaQ9QpU5+7uuGTxyC04ZiUsCSxtcfzpuKn4Xxb67iV5K6JGLEY&#10;WBSdi3lW3KQgSbmWv9ezPprJqtVv1Ny/wS133lLXK1OtXds/2b7DfECfYs+ez8Nn27eF9W+9Gl67&#10;d1p48rcXhwXnnxTmjT46zBn5y8r9fECYeexh1Xv7fWccExZfdX6l3O1h3RvLwt62NrPNZpAreVjE&#10;xBGSI9TE2uCuVUAezyV3XPJVhhaxXa5SY8sZtyyj8yhCxYBUU7SblkUj89XomHhcS0KS1JzVm0dY&#10;xhp7vWuAYNxa7EKdIvFKgrKsi/7gGPvMncqkNMf+UEDTuwnKuehIIQ6fsp/WLoea3Pg1Ms+ybmcJ&#10;cQDzhvmV4iDgnDv5dJgQp/+V2y+OPtF8cN8It976dLjttok5oJYAAP/0SURBVMrnLUsrn09VWFoV&#10;5W69tWNekaqpDLtKTOyguBGTnCgUAZ0XkzosWC4lmLCMJbmk6qfyCMvItqUIkrMzUlmkREYZTceZ&#10;8WU+sCQaKcpQutFA/ElJTjyHlSeJCUdSMoqJPhaso+cndlzCMnpNyNjG5k7Ob2rdAGs8Mg6pPkpQ&#10;jnWsfE1KYAS5Y6gnhnI+cR6ZB2SMgc5PkYpDToxYxlqrMiZ85adGioap2MQoW1fOo4xbTMZLxYAC&#10;G76b65H5gPwe4Hnk+pIxZBlLGk2RM48S3G/l/XfYCePKvzK1/8ANso2TzzjKfHBfL3feNby6A9xd&#10;7TvBgTtB9RWprRXiAAUSmSCqSHEDcoosJ+tr6QeyC8QNKVihLes8lvSik8630MkqI5EymJZXNHrn&#10;LS3xyKTbgnwEgU3LZ1rSkrINk54DxNMqZ0kyupxVxhLJmIfzymTVl+i5taRKnXS+JKf/RPdVxho/&#10;W3VImfPUg742iiSvepExsGKvkfMV26kMyWoLY2DS8ZKiKfok84i8nnQ8ZNtFsWJs9TXHsUHW05Jn&#10;EXI9lMkjLKP7JMds9UnOn7UGmay8no6894LTzz3qpfZbczRpIW7YyYPNB/bNYuPmi8OaD84L7zx/&#10;Zlj2wEnh5dknhjcfHR1WvnxOWLP6fLNOK6gMvUpKGJEyHGQgLaZwN6GYkCTrW9IJ2kQe5CSdBxpt&#10;P0ZKxIkhBZBUzCxaMY6YNJOSaWQeJC9LNKJAY813Sq6pN09LbjpfQzkNMaUMFFs/Kbj2cl61Kucn&#10;p4+A5XPXilW+kTUXo+zaj5XPaSc17yDVRqNjz6nLMlb/ec2mdnKrB7mWLIENoM8sY+UD1OW1AGLj&#10;LJoDSU7fJLyGYjHKGQeR92Dw2xtPWlmpl5X0391lhTjwzddbqzvFfbrm1bDxtcfDB0/eG96e+6fw&#10;4k2TwpKrx4SnfntueOFPl4Y3Z98YVj9zf9i+6qXwxa74rkHNoEhogTzDfC1cNSp5FMHdinLlFexA&#10;x/4UyRsUY+SYimJBUnJKKiY58WIZ3TbHBpEIZeROVyhLeaUMjcaLsA30S+cV0UhMcufLQu64h1gi&#10;fnqHLrZtjSuVlzMmkGqDsEzZ8UkwLtknGcdGYgjK1pfCFcU8rmW5a5wE/UW+nv+y3w8g1laryV0T&#10;Mcr0u+hczIutO54L1wfWDss3sgabwRtvPV9z/wb33nfPzZW+lU6WEGc9nM+hKsVt2xI2v7cifPTi&#10;0rDi0fvDa7NuC89OvSIsumJceOLKceGZGyaHV2beFFY++XDY8M6b1Z3lrLaaRa7kYRETR0iOUNOo&#10;fBIjpz7EGMhlAEIKJBzWwc9oIyZCpcaWM25ZRuexHzi/FAMh0UAcKiNaSRqZr0bHxOMYk84jqTmr&#10;N4+wjB57I2tAg3KyL7E4x+C58Sl/p9CG9tk2jklxUguSsiz6JPM0XGNYX/J4zpwTvbak4FYk5JGi&#10;+Mk8eVzCMrqufLVs0ViwFlAOY5DHc84PWKYo7uiHXG9F/XJqufmO6TX35UHDT4QQd2Alls1NWojD&#10;jjXWg/ueRGXYVWJiB4UsyBdSCpI7CxFZD5QRIlguJZiwjBZ3ZJ5VP5VHWEa3rcdIEA+IIoiPJUvl&#10;ICU2ogUeKdKQmAQjd2RCv6TEpOfLEpwovliSkUSKYDJe6FfsHGgTgpUcH8afkq54vN41IfuCNij8&#10;oJ+YM8qeEH2smLKubIPlMA7W12IS+oI2MXdSMpJ1YtKiRopJqMP28In+MA9YcUrlEZbRMcQ5mIdY&#10;Mt86N5B1i5D1y+QRlomtVdZHvzE3nHNZRq4PrEO5/jBGlOc1LusB1kvFVSJjSRkN57TKglQMsI5k&#10;W+inXn/4LsBas65zIK87gFjoMlyrxNqRrplrHTuyyvvv8adcvLdSv1RqtRDX2UCI4Y5POUnv6gbB&#10;QwtfOSkm7uQmWT83oQ6QKbUbG8D4ZMJYpURUNmlZhpSZAyYt5xEp7yBZIk1qXFJsQorJTUTH1Bqj&#10;TjpfktN/SWw3u1h8iD5PKkG0stqQWNJnLOn25HWU2p3NQsqNWnCzkDuW6etQJ8SIbaIe+6ivAyDH&#10;gE+0zTLIk/G24tkMIU6OTSdcYyiPeKE/sh6Q/SuTR1hG90kKbxg3z61jgoTfZV3AZOX1ZG66ZVjN&#10;/Ruced6Rb7ffmqNJ/9190llDzQf2zWTT1kvCx6svCO+/NiasfOWc8NE7Y8O6NRdUjl9cU27z9tp6&#10;zaQy9CoQgiCESCAyyJ2HID5YO/xIgQJ1KFChLIUSYkknlDVk+xBhKGM02n4MlK2nnhRQEDcZE/QZ&#10;OyJhTOibrFfvOPAz5gH1paCCGFFG0edKSSgyD2A8PB/al7tyoayun5Jr6s0DPCf6g9gAxNIqK2NJ&#10;cuQdiZSt8LNVRoL+sLwU6DAe/C7b0HGUa6RseVDvmsP6gCgoy+Nntof8RsrnXENF817URr1jB6xn&#10;rWPCMta55bXCtYjzx8aaS9GYgTw3ykjQF7leAH632gFFcyBhvPFp5Wu4yyKwrkF+txW1t3rdxTX3&#10;bfDHO0YV3ruZ9N/df7hpqvnQPpdvvt4WvvhsTfj049fC2hcXhBUP3R7eWTAtfPzC/LBj1Yvhzy0W&#10;4UiO0CIFCXlcyi3ydajNgjui6fPGkK9ejMk1QJaTIpmU/1KSEne5suSUlIySI8WwjG6bsUj1qyyN&#10;xoswr56+NRITOV9lXpsJpAyodz4kzLfGlcrLGRNItUFYphkyEndiAzzWSAxBzveHRApWWHNybVGQ&#10;0/D7J3ZN5H4/ALljnhYgW0numogRi4FF0bmYF1t3ck5lW81Yg41gCXFLn3ni9krfSqeD+w2YLNvB&#10;Q3fr4XxZ9rS1hU+3bgmb338nvP/M4+GNeXeHNx+YET58+vGwccUblbzWinAkV/Kw0BKMJkeoibUh&#10;d5nSr0PNIWdcEKCsc+eQGlvOuGUZeVxKTvJ4M2hkvhoZE+COWKlY8/WfVv3UfObMNcvo8zeyBmKk&#10;xpGCfQEQ9eTPLMM5hMTG8lpkIxS7uMNcjJgAljPnhP1iHCG3UfZC+2V2NIzFr5F5ltcV4ibzJLKc&#10;Fvnk+TE+mUekeJfzvVVGXHRque7Gm2vu8e1C3A8rsWxu0tu+Dzl+jPngvidRGXaVmNgBoUKLERIp&#10;lei6OWILYbmUYMIyWtyReVb9VB5hGd02fmdeCksoyUHGD0ixBUiRBqTkEtRFviyvwVzGBL5GhTiA&#10;/nK9SNGMbcewZBvm1bsmsHZ1fDXoY0waYhnENHYN4LiU/EDRmkEdKQ8VoeUlCdqiYNXstQ+wVpiv&#10;QWylsKnrpkB/YvVSeYRlYmtVyqESWQZrs2h9AEtcY14qrhp9bep1IymKQWpeJLF1JqU6YF1/et1Z&#10;10kz17oW4n4zasJXlTZKJVkfnD6mZwlxANIKBZNUguRiyVE4lit0oQ29Q5okN0k5JDehjpaWLDFG&#10;o8cmJaIyCeeOCUs4rvuWSik5BnkyxcrqOee4KDUhWa+11aDvOum46iTzNLn9J3q3O6bUOgP6PKmk&#10;JSeLnGuISbcnZbCcc0k4X5ZkFoN1sLblcSaIonId6BSLrZTmYgnjs66DZghxMq8o6THI9SCPF+UR&#10;lrH6pCVTmRAvSp3WWmey8noyN0wdWnPvBedddNRr7bfmaNJ/d3eEELdl+8SwaduEsGnLJWFjhc1b&#10;Lwmbtk6oHjfLt4DK0LOAzCBFFAlEISmtaGSeJX9IMUnCso22HwNl66lX1B+iBZV6xyH7aQFJSYso&#10;UqaRx2Ue5Bgt1UjQH10XpOSaevOAFGskVlkpp4FYX1NQ1NGSVwrWAegDjnFcMfTOdWXLg3rXnFVG&#10;okVAq4xEl8+5hormvaiNescOmFevEIfrCuuDZUiqvVyK2pLXcBFF/SmaA4LveLYJ6dQqo5F1rLWb&#10;u4Pj8vcuqLlvgzJC3I/7D2iTdadNn2Y+tC/Lf/15Q9i9aXnYuvKZ8Ml7z4XPNr4d/rp7zf5lv9m+&#10;/7EmkCO0SPFNClFSbskRNcoizxsTtiC4yDzuGoXPmPAiRRpdpqi+FGqsMadklBwphmVi8o9+5WWj&#10;NBovgDwQE2xSNBITQDkx1rcYWDM8rxVPKWpZ40rlybZTfUq1QVimGTJSLNb1xhDkfH9o5FqmpIef&#10;rbIA844yev7r+X6QImQq7s0mFvtcYjGwKDoX81Ljl9c8yzdjDTbCsy8sqrl/gxUrXpxa6VvppHdt&#10;/+XQ3/xf6+F8vez+dGfYuvqD8PGbL1dfp4qfd23bsn/ZvXv3P9YEciSTGFqC0eQINbE2pCgSaz9F&#10;zrgoFEHYKRJ+NKmx5YxblpHHc8WdemhkvhoZE5A7hllylBQgrfqp+cyZa5bRY29kDcSo95qSEhzn&#10;Sstusr8UzrTIRopiDtgeqGfOibW2cE7KduhrTCLTxOLXyDwDSpn4jPWFu+Wh37qMPH9sPIyDVT8G&#10;20T7Vr5jM+nq62vu8ceOOrM1Qlzlj/oVNSc66QLzwX1PgqIPxBYrH0BogBzBsgByB2QISBL4HXm6&#10;HmUZK0+T0w+WscSMVP1625ZylyXFYPxSvEm1H0OKLTG5R8pkKYmGoE0tcUH8QV9TcgqFHXxa+YRz&#10;Dqy5kLINY4Lz4vxSQEL/cK7YmOqdNwmkJ9TXQh5+x3EtIEpYFnISyslrAJ/4PRbP1BykzhkD7cnY&#10;QYJjvzhvVpyaEUOsc55DnxvjxzG0YdWNgf7E6qXyCMuk1ir6SFkQbcXKIrZ6fSDWKI88qw5jloqr&#10;Rl4XaN8qQ3JigNhjDXKMLI+xFF3rQNazZEgpu6X626y1/pPDj6q50TdDiBszvucJcQQSCsQNLYBB&#10;8JC7PcWAYGLVh+wBWSenjVwpTEppZepIWSZXIEI9meSuckXnRiwQkyLBh0AuhOClpR5IMziGcxdJ&#10;fJgHmVLykkxoG/MjhaaiHfSIFn4wDpkvd3GzhCFJbv8J4qF3idOilwXmpEjeYspZK7nrEEm3hzGw&#10;L2V2iEOcmYriJJESoTzOPqA/WAuYVx7DJ37Xc6tBXbQvvwdQF2OW161GjqXoHIy1jiPHhfPpNtAv&#10;xIhrBWVkPta6dbwoj7CM7hPB2GVM0A9Ibogzx2NdbzhnLK8nYwlx4ycc/V77rTma9N/dF00+3nxo&#10;39NIiSaQJyCZxEQXCaQVSBlyRzm0zV2VKJXEpDqINrIvOLeUvBpt30KKHGXqEe5MxTYA+gRpiv3S&#10;1DsO5KNdKeegHiQTtCnLAu6ghvKxPApEOvb4OSXDUArDZ7PyiIwN+p4qy/ZArrwjYSyLRB2JlDd5&#10;XWCdog0ZQ/ZdC2T1lJeUXXPoI+ZZrjf8jGPWmi9bPuca4jzh08rPaQOUHTvgHKfWB8vEzo3jHAPP&#10;WTRPObBNjMnKl2tNgzlBPYzLuv41RXNA+N2AmGjJNgXXsh4L2mCfi2JmCXH33H9a4b2bSded88As&#10;86F9Wb79+pPw9V+3hC/3bqjKcfj5m6+2mmVbQY7QAkmGYoQWMuSuU8iTO8WhHn6HlIL6sl4OqE9h&#10;C/UhtlDYQV8piUixQwovkGxkfyA5UfQAlkQjJRuUpSyl6wJLTknJKDlSDMvotuW4NBgnymMuyspy&#10;jcYLMD8l2MRoJCZA9h9rBfMnpS6sE8QF6wfj4XEpvMl5xqfsE7DGlcqT1xTWPo6hXRlbkGqDsEzs&#10;2tSgHOKAuZJrAefmNYzxyjr1xpB5ZfsorzFe3zhmlQW8zvX81/P9ALDOcRxgfuSYEDP0BXV1nAD7&#10;jvPJGBUh15SVX0QsBhZF52Jeat0hDixHUvPLeUi12SiPLJpfcw8G77//6t2V85ZOWogbfvLpf7Me&#10;ztfL3j17Qttnn4XPd+6synH4eU/b52bZVpAjmcSwJBhJjlCTakPuFIV8ueMSZBP8DukH8omsB3LG&#10;xddlspwE0gzOifatvqfGljNuWUbnydcoStBX9AnSTu5rKCWpWINWjknKXhgf28BxOVdE10/NZ85c&#10;s4wee71rAL8jH0IZ2uBxrEm2V7QzmwWlLYJrQOZLYZLEdiKTY8Mn1gwlLR13q69yPvX4NbG1JUVH&#10;eY564tfIPAO0zfpYgzJuiCvOx3z0S9YF8vxsg3HBGKSAiLKyLteRPKeuE5MWHZuIENe3EsvmJr3t&#10;+4mnTjIf3Du9AwgdlWVRKK8gH+Ug4Fj5TvcEc+rz6jgdg7z3gtFnXYXrLzv9Z5/DD9RtjJ8w2Hx4&#10;7ziO43QeEMuYUnKgFC6tfKdrcO2UY2ruveDCCUevb789R5P+u7u3CHGO012BPFe5dKvkSEGO05WA&#10;xNfT168U7Kx8yYuvnVdz3wazHzqj8N6N9IM+Rxyg6+LhvPXQvruRK7TIndGkaKPzYkCYkHVygaxC&#10;kccCcosWU6QQEgOCj6wjSY0HkgwlQEtOSckoRaIKYBmrbUoxRWjxqohG48UyaMfKT9FoTIAUrFKU&#10;WbdYcynJh+ViY5bSFdH95/FU3FgmVzaT17MFxqXjAOqNYe73h0Zf0ym5jOvemv96vh/wuzU/GqwP&#10;WQ9IQbTMeHPWeYpUDDRF52Jeat0Bfs+R2HilXJrTv3qxhLjtOz+aUzlv6XRwv4ELZTu/OfWcL6yH&#10;890VLXnEgKSi68YkGJIj1BS1IYWRGBBrdL0ceQbkjl+LSamx5YxblknlpYCQo+umaGS+UnlWGStf&#10;7wInwVjkbmW6bmo+c+aaZayx17MG5FgtcL1I0SsXKYECS3aT0px1XUqkYBYDMbF2M8uZc5JaW3JM&#10;FM3qiV+j8yzzU+hr3aqb+l6yzs34xIid04kz7pLLa+7xo8eMb40Qp7d9xw411oN7p3fAXaPwaeUD&#10;7IDEnZFcnOpZYE59Xh2nY5D3XnD2uOvDjTc+d0DlGsxKlhA38XIX4hzHcboaua9czXn9qdP5WELc&#10;pZOPXtt+e44mLcRdfu2JX1kP7R3H6RpwFzPudOc43QlIcFi/ILbDXXeHO8flXKOWEPfoknO2V+oX&#10;Juvvbry+zXpo392QMoPcKUkjxRdrNyfkQxaRcgqEIggScuemeoCEAzmFghKA0JJqF/3RdfAzjuWI&#10;LBijlGbwM8dNecjaQQp9Qh7iUCaPsIxum3IK6up5QnwgwXGsqfZjNBIv1kHfrfwUjcREYq0RtIn1&#10;h9hZEhjQ84z6EIWwrig/WeNC27E8gProD8uxXVmmqA3AMqlrU4Mx6WsRY0QcUtdhPTHM/f7QSNkK&#10;P1tlCOchNv9Wv4u+HwDihLGxDuvhPLzWNbJ8qm0N1zDiaeUXURQDSdG5uC5S6w5gfBwv6sTmF98P&#10;KAOK5rIRsCurvg/v3LXm8cp5S6eD+w14TrYzeswFu6yH890VuWtSCku84Y5K1u5SQO5mFdv9qKgN&#10;AHkG+VLsgRQEyQSCjSXzUK5KCUNy7HrHNbSJ80qRRY4hNbaccbOM7h8kII4T0o3MA+iTJRjlQImn&#10;nvlqZEwSziXbwjxCNEK8MfZY/dR85sw1y+ixN7IGUF6vS4h9mB9rTeaA9tkePq12pJiVI1IhriiH&#10;vrEe2kbf9ZglOXNOOKc6voTnlnNUNn6NzLMEc4prQYqF+BnHkGfVATLu+B1rR8YUP8fimZoDtGPV&#10;cdJYQlzl+JGV2DY3yZOAkadeut16cO/0DrhDHIAUJV8pCREOr0Dk7nCg6BWFTvdCzr2V7zhO89D3&#10;37JC3MF9Bv5Qt+FCnOM4TtdD7hCHV5NiJzgcYz5eoSplOLz+VdZ3uhaTrx5Sc+8F11x7zLb223M0&#10;6TpX/X7kduuhveM4nY/cXasZr690nM4AohjWcNGrTLsj8nWpqVfhksXPjqm5B4NcIc76u7unCHFO&#10;1wdiSmUZVknt/iZffWnlO47TGJQnIYpZ+b0R+b2TIxvXiyXE/e1v2xdWzls6/bj/gBWynTPOu2it&#10;fjDvdE8op6SkIog5KANSskyzQF9wLvTNyifsOyQdK9/JoyuuAadrooU4p3OBACfvzRDk9u7dO7Iy&#10;P81L1rbvZ469fpX14N7pHUB6k8JbDOwQd/LJE802nO4L59eFOMdpLTdOfaLm3gvGXfjHcNttiw+s&#10;XINZ6aA+h/fVbVxz3TF/th7eO47jOJ3L+x882a67pdOePdtrZDmn62EKcZX7b/vtOZp0nSk3nbTW&#10;emjvOE7n06ffv1b/LsYucVa+43QHpDSGn60y3RW+0hjXqpWvsYS4518ZW3jvRrL+7n719We+sB7a&#10;O06zkTswpYSTRl/L6DhOHLkbXivFr+4Gd69rtSTYTCFO79p+7sWXLbcezjvdj8r0VklJZRCgWK4j&#10;ZCjuRoZPKx9A0OKuWi7ENQbntiutAadr4kJc1yIixI2tzE/zkrXt++ljfvu29fDe6T1AihsxYmz1&#10;tal8NSrBMchSvjNcz4Tzjfm38h3HaQ7XT5lfc+8FEOJuvnnJDyvXYFb6cf8BR+o2fn/DMXuth/eO&#10;4zhO54PXpWL3N+wSJ9OXX30Rdu/eVN05zqrndC2wG6t1/22/PZvJ+rv7hltPecl6aO84TuciXzV5&#10;7ZQBZhnH6S6cc+7/6ZFrma80XvDICWa+Zv7jZ9Xcg8Fb745P3ruZLCFuxcplq62H9o7TbOQOcdih&#10;Cjsyydc1QtSRMhxeHynrO47TOLiucH218rWg3Q28rhYxwStVY68lbhbTpk+ruQf/9NdDwt++2fFc&#10;5fylkxbizjz/kleth/NO94O7g0Euw6sO8VpD5uFnHKN4hlcqyrqtgjvEAQg48lWVEOH0axpln53y&#10;dMU14HRNXIjrWhw76sya+/ykq69vvhBnbft+1rjrH7Ue3juO4ziO0xwsIe6iibeXEuIqf8SP1G1M&#10;+cOQD6yH947jOI7jNAdLiLth6lD8j5RosoS4W+8e9aj10N5xHMdxnOZiCXHL37sgee9msv7u/vjj&#10;5a9aD+0dpxXMmX37dw/tUmCXJinLOY7TOFL88uvr71AShJBr5TeTP9w0teYefMSIEyrHt6+onL90&#10;ku2AMRdd+qT1cN7pfkA2o+yUAiKUFNNaCaQ3KbzFoMBlteHk0xXXgNM1cSGuazFo+Ik19+Z2IW5y&#10;ZX6alywhbtwFUx+0Ht47juM4jtMcYkLcTTct7dt+iy5MP+7/i7G6jT/eNOwl6+G94ziO4zjNYfwE&#10;W4ibMeOIA9pv0fsl6+/uqdNOvs96aO84juM4TnOZ9cAZNfdgACFuw4bLo/duJkuI27Vr7UvWQ3vH&#10;aRV4TSMEFOwSV1mW3/Fv/3pg9bWF2DnOquc4TmNwB0a/xmpBTPB9ZOU1G0uI+/bbHRsqfSidZDvg&#10;gklX/sl6OO90T7ALGHZl46tKCSQpHIN0BknNqtsqcL6pU6dWz69lLRyDmOM7wzWPrrgGnK4Hrkmu&#10;Cyvf6Vi0EHfdjTc3X4iztn2/4OJbb7ce3juO4ziO0xyuumZezb0XNEOIu+POYQuth/eO4ziO4zQH&#10;S4i76ZZhSSHO+rv7lumn3Gw9tHccx3Ecp7lYQtzqdRdnCXHW393ffrtjhvXQ3nEcx3Gc5mIKcd9s&#10;b2u/TWcna9d2F+Icx3Ecp3OxhLjK8Rvbb9/NST/uP+BIeRIw6fLpV1oP7x3HcRzHaQ6WEDdp8gzk&#10;Hdl+iy5MB/cbMLm2jQFt0+4cPsN6eO84juM4TnOICXG33TbswPZb9H7J+rv70SfPGm89tHccx3Ec&#10;p7lEhbjtF0Xv3UzW393/99vtN1oP7R3HcRzHaS5XXHuNuAc3V4i76PKrLtUP5h3HcRzH6TgiQtyM&#10;9tt3c5K17fvESdPG6wf3juM4juM0j5gQd/PNS0a236IL04/7DZgh61fu6RvuvHPYjdbDe8dxHMdx&#10;msOY8UfV3L8BhLg77jjmh+236P2S9Xf3Q4+ccar10N5xHMdxnOYSE+K2bp0QvXczHdxv4I2yHv7u&#10;diHOcRzHcToGLcQdN/r06vH223R2OrjPwB/KdsBFl189Sj+YdxzHcRyn44i8MnVh++27Ocna9v2W&#10;W54+Uj+4dxzHcRynecSEuJtuemps+y26MGkh7sf9B6xwIc5xHMdxWoslxFXzEkKc9Xf3y6+cd5z1&#10;0N5xHMdxnOZy24zRNfdgACFuy/aJfdtv1dFk/d397dfbJ+sH9o7jOI7jNJ9mCXEH9Tm8r2wHXH/j&#10;LcOsh/OO4ziO43QM/QcNqbk3uxDXxZgyZUE46KC+4d///X+H886bapbJ4R/+4b/hP97CiBFjzXyn&#10;93DyyROr6+mQQwaZ+U7Hg+sS1yeuUyvf6TjwfYu5wKeV392A/Kbvv2WFuIP7DVwo6x/cb8Bz06YN&#10;m6wf3DutYffuTQEJn1a+4xSxddt7Yc+e7WHt2pfM/K4E+oj07bdfmfldlaef+WO130j42SrjOGWJ&#10;CXG33Tks+lDd+rt787ZLjrQe2juO4ziO01wsIa6alyHE6b+7XYhzHMdxnI4jJsSFsOGA9lt1Vqrc&#10;v4+U7YDfT735J9bDecdxHMdxOgYtxN18x3QIcc+1376bk6xt329xIS4LSHCVEFaBxGSVyYFtHHnk&#10;aDPf6T1gHXE9NCJZOs0D1yXnxMp3Og5eH41833YlLCEOu8bddNPSyZVxZiUIcLK+C3EdC0QmJHxa&#10;+RoKdGXT+x88abbn7OOVV2ZWYwtRi+nLr77oFqKZTFZ+ozRT2ty48a1qW0hWflcF64MJP1tlOpO3&#10;l89v793+6S9/2R127lwTHn1sslkXlJnjMlIjzglhE31gwnWF/qDPVp3eRD1CXOUePbm2zoA2PITX&#10;D+wdx3Ecx2k+MSEOcnr7rTqarH+I5kKc4ziO43QM4y+9tOb+Xa8Qd3D/gSNlO8CFOMdxHMfpXCwh&#10;rnJ8RfvtuzlJb/vuQlw+V1xxb3J3t9zdjFAGuBDnHH74sdW18P3v/1N1B0KZN2HCtO/WCn6WeU7r&#10;cCGu6+BC3P4J/zK9po3KPd2FuI6jrBDH8mVTd9g9rLOAnFOUrHqU5zo7tpSNLJmpGTublV2jKVyI&#10;aw0yrqkUE2PLzHHuHEKEK0o439x5Z5v1ewMxIW7atKHRh+rWP0RzIc5xHMdxOoaYELdp+4SR7bfq&#10;aNr/H6INXPjNN9vG6gf2juM4juM0Hy3EnTZ2XPX4119v/WH7rTorWULcg48s+g/9YN5xHMdxnI5D&#10;35vbhbgN7bfv5iQtxOHh+k03Le1rPbx3ypErb6AMcCHOSSF3JPTd4zoOF+K6Dr1FiLvllmdurIwz&#10;K7kQ17mUlY2w4xKEHA0T5C4rvzdLJykgCDFBKJO7aCFukHpiO2ExQRCy8rsCGAMTfrbKFFF2jaZw&#10;Ia41xOKK6x5rXO58aO3MVmaOc+ZQSqY4N64jxA2gPzK/K18/reb0MbYQd8cdw6IP1a1/iOZCnOM4&#10;juN0DL+/5eSa+zbA8U3bJoxtv1VHk/V3twtxTndi545VYejQI8Jhh/ULLzz/iFnG6Ty+971/rP7/&#10;zltvnWLmd0ew5v7tXw+sjuuSi881y3RHMEcYE+bMyndaQ7OEuB/3/8VY2Q5oa2s7QD+YdxzHcRyn&#10;49D35plz7sPx5gpxett3F+KahwtxTjNxIa5zcCGu69B7hLilMyrjzEp4mC7rY/cZF+I6jmbJRky9&#10;WS6pB+6uhk8rPwVTV455M0SuZq1RkCNTdUWaEcdWUhRXuVOgtdbLzHHRuWQ+zhWTcdEn5Hfl66fV&#10;xIS42+8YGn2obv1DNBfiHMdxHKdjaESI0393uxDndDcgwVWWchVIcVYZp/Pg3Fx77SQzvzvSU9cc&#10;5ojjsvKd1hAT4r79dnvfylxkJxfiHMdxHKfroe/N7UJcW/vtuzlJC3HYBt6FuObgQpzTTFyI6xxc&#10;iOs69BYh7uably6sjDMruRDXuTRLNmLqzXJJPTDVEzemrhxzF+KaQ3cX4oDclU1LamXmOHUutMvd&#10;6L786ovCnSmRL3dl7G3UI8RZ/xDNhTjHcRzH6RiiQtz2Sya336qjyfq7u7cKca3eHQm7mKF9fFr5&#10;XYHuuEPUmjWvJ3ch6w5x78kg9qC7CHHL337muz7jZ6uM3CGuJ+1850Jc59AsIe7gfgMmy3Yqf5O3&#10;VdKB+sG84ziO4zgdR+29+btXproQV4YJE6Z99x+pMYmIwss//MN/M/MBRYxDDhlUcxx1cHzEiLH7&#10;HYuhxTd9HJ/f//4/fXf8oIP6Vsch65ThiivuDYcffmxNmxjPySdPNMsDnA9jlXXwM46lZCz0FWUZ&#10;D5zjn//5f37XBvJlffQNbTJmOIeOjwTtsh38jrZ4ToBzyXFNmbKgJp44D86H4ywjYfsp4YbnYx8k&#10;Rf3LHZ9cizyWAuXkWj/zzGu+q69BzFkud11xflA+FlO0y/LWvKT6RFiP52NdnC82ZzwP4oTfm73m&#10;kMe28DtiYM1prH+knrHp9YSyrI+6VsyZj0899hzQJr4vcA3IvmKciFtszXD9oQ5+13HGZ+raIxyH&#10;PC/nh9/DqeuzO9EMIQ5/uMv6PVGIg8ACGYTSBxN2J8Kr/GLSxtq1L1XL4VWa+B3t4GcmCB85MlSq&#10;XrNkI6ai/mBXJsQCfWDCzziWEn3Yf8QE8ZJyDeMD0D4SXzOK1zPyXPi0XteIVyjqucHvOK7LEvQB&#10;Y8UcMnG3qSIJR8KUG3+OL5VkHMvEA+NFLOWYkNA3xJ3lNJwbOQ9cu6kk20jBuYnFCEKTXlOx+cP8&#10;MOk8zBv6jbqyLcQOY7PWDqGEhXhzbcg2UB95Vl2Sqoc5ZYpdJ9aaZN9T15bsO2C8cRztWXU0qbgS&#10;WUb3p2iOJalzyXWXun6dfcSEONyD22/R+yXr7+6OEOI2fTIhbNn+dzZvn1jFKus4juM4PRUX4ppD&#10;q2UQ7CSFtrvyjlI9UYjpDnHvyXA9dRchTu7+1ttewetCXOcQFeK+2nZkZS6yE+7fsh3c312IcxzH&#10;cZzORd6bQbsQh//eal7C/4iXJ8H/qL/llqeP1A/uuzMUMiBjWPlSnrHkEQgczNcSGY9T2ABSIrGQ&#10;ZWUbkFBkXyRoM1dekqBOqj9WTNA/q6wEfdX1AIWV1FgA4gxBKta3mPDCviEffdf1CMph7Kl4WmKO&#10;bF/nEY7RKiPrIwY8nya2FmXseSxXiAOMJwUqC9mvIjmJsDz6EpszxlSOQYM8q32QihfAXFr95Xy0&#10;es0BXP+yjiTWP1Dv2OR6stY7v69S/QK63RSx+Eis70kcYz76E2snFafU2kE9zm9srrob8VemPv1c&#10;ZZxZSdfHv3TrSUIcBJOiBPHEkqgofkASgTgXS5CBdF0i5RGdIM5QnskRUVIw4XxWPkj1hQnjtOpS&#10;mEG+FraQWE6KQxBidJL9Q8zZbixZsUU9qw9MqRhoICsx5Qg8OetJyka58cgR2GJrhDGU+R0lxCEe&#10;FLqspMUruQblcSDnIpZic8uEcUuhTSb0E/216kPqi9VDkgKoHhNAu6n6SLH1xYS+61jG5lyTiiuR&#10;ZfSubKk51uTOofWd6tRSnxC3/9/drRbiNn8yMWzcdHFYv+6CyjodH9Z9fEH19y3bJpjlHcdxHKen&#10;EhPitm6feGP7rTqa9v+HaAMmuxDnQlyrYtAZuBDXuXA9uRDX9XEhrnOICXFff719ZGUushNeeS7b&#10;abYQt3fv3vDndvbu2bPvsx2rvOM4juM4cSEOrzVvv4U3nvCqlpoTVf6j4JYeJsRRJIGgofOwixHy&#10;CMQVXUbKJnJHJsDjluhDUadI3mAbsi0KI1IswU5Jum4KtMG6+JQ7dMl2pWgnx4p+yzzUp5ACuCOX&#10;hGMmELMYMyl2yX7hnMjnjlIsY+0opoUZ9IdyDj7ZLuDPjCeQfbDmmu2n5iw1r6n+YXxy5yuOO1Zf&#10;50nhiG1qpHgVk46wjpAfk/Is2CaRMZVzxpjLcWsx0eqXnBe0zTWDsnKtWjHvjDXHcuifzLdExEbG&#10;ps+NuUMdxFa2xTYwFt1+2e8NtIV2MEY5V7KviIGsA+T6BDLOOk7W2pP10T7HgU953QArVt2RhBC3&#10;ojLOrKTr/7j/L8b2NCEOkglELimycDcnJksEk/lIkLDYBoSSIplKylCoSwlF10XKFV9iMKHPVr6U&#10;sXAuxIV52HlLCmYQc2RdQGGGCb+jHpDnlGNGQuyRj+NoV84BY4Ay6B8FGsRHxl6PibIX6sldwzAm&#10;iEuxGFigjkwYl+xjCqbU+XLjgZ8hVOETfWJ9vVasXdI4N/jUefL8uePSpNpn37B+ZL/RTyuWcl7l&#10;cYC2UAdrgdcKQBtyfVqilU44D8uhPcQdCTHWdQHHiIQ54HFZl0mPCeehDId+6jUp58+aA52whlEO&#10;5wa6vEUqroQxxHh0HsePMjh3CikH6nYYK7Sj85z9iQlxd945LPpQ3fq7u5VC3Katl4R1ay4IH60c&#10;Fz54/Zzw3qvnhPdfHxM+emdcWLvq/H1inFHPcRzHcXoiMSGuwoz2W3U06Xr4u/vbr7dP1g/sewMu&#10;xLkQ5zQfricX4ro+LsR1DjEhDnJ6ZS6ykxbi8Dd6U4W4trbQtmtn2PXJtvBZhd07tofPd+0Ke/a0&#10;meUdx3Ecx+kgIU5v+94ThTiIHZWhVtEiEYQN5gFLHqGMYUkgrAfZQ+dR1CmSN9gGoEAikSIJJZEc&#10;pBwlxTaCtqR4AmklJeewDIUqK1YcM7CkFykf4Vy6X7IPVn0ZC/RdCjtAz6cVT/bR6j/bT80Z61tl&#10;ivpXZnw6TwpDeh0TxJNlIGKl8i35KwbrACumXBPAGrfsu1WfMbH6DGR9vWY6e80BKWzpa7SRsclz&#10;ox3r3LK+ld9MctenFWeQuvaYFxunFAuta6870qgQ94M+Rxyg61fu6SN72itTU1AEwafOk5IJBA8t&#10;4uB3CiDWTmZsG2UsiYdiF5J1/jIwoc86T/Yzdh4p9VjSEMeClOorhBmZ8LtVDqIQE362yjD+WuBh&#10;X2K72ZXFkp5wjljfCZMVc5IbjxRy/qxzMR7WvMjz13NukGqfyRL1LOQ1ZeXHKBqHTJZEJs8rZTsg&#10;27bii/KUyZD0+Xkd47qxrnPAGEKO03kypdZSiqK4yjGmvqvKJt0Ok7VWnP0ZMz6yQ9ydw6MP1S0h&#10;bvO2S46UD+sbYvvEsHHLJeHj1ReEla+cE95adGp4df7J4eW5J4YXZh4fXph+fHh+xvHh5dknhtfm&#10;nxLeef6ssPbDfWLcZt8xznEcx+nh3DZjdM19G7Tn9XohDkLL0KFHhO997x+r/88Fn/hdii74HXkx&#10;tEg1Z/bt1ToHHfSD/crdeuuUmrKA545hiUI7d6yqHpfnsPreLMrGANTTx+VvP/NdOfz+2KNzwr/9&#10;64HVY/jE7yzLPiGmONfpp4387jzIYznAGMv41xN3gDYo0RHOLfph1ckZF8sAOU7NmjWvf1cOdawy&#10;GsQb8dH9xtxccvG50X5jTCjHePJ6YX30PRYnCa4JuQ7wM8fIYzntSDh/iAHXGmMK0M9UfMrGhLEo&#10;i1xzGsQA/ZRrkefHPFt1QEePneA8LGvlO62hWUIcdmmX7TRTiGvb/VnYtXlj2Lr6/bB55Yqw4d23&#10;wqb33wk71q0Nu7ZtqcpyVj3HcRzH6e3U3ptrhLgD22/hjSctxOE96jffvGSkfnDfnYFcURlqFb0r&#10;GEWWeoUW1oEoovMoeBTJG2zD2rEMSNEEP1tlLCgpYWxWvkbKZClZSpbT/eGYIQ7J40SOJXaOVNyk&#10;kBOTf5gfi2dK6mFeas4a7V9ufZ2Xuw4Qe5Sx5oCSJNa0zkvB8+bEtGheUFYel8KqPK5hGX0dMp6d&#10;uebkOaTw1+jY5LktwQzgeKx+s0mtwZw4x9Z36jtawrVtzVN3JCbE3Xzz0g2VcRam/+xz+IG6PoQ4&#10;7E6jH9z3VFIiicwrEl20AILyTClxi6JNowIJkyXUQBBiSolLspyWfjjOlPQDpHgjd9rSICZIqXHL&#10;tqQ0xx23ivpSBkhPcucrJvRPC1SEKSUx5cajCMbfilcqT55fz2kuqfYp6lmil0WRuJWCyYo3U+xa&#10;S8WBaxEptp5w3TDp+ryGU+uA49ZyJ2DKjaFFLK5Yu1h3nCd8WuuZc1w26XaYrLXi7E9MiLvjzmEL&#10;22/T+yXr7+5mCnEbt14c1q4eH9557oyw9Obh4cHzBoZ5ZxwW7j/78HDfmeCwcF/l9zmn/Tw8OPYX&#10;4ak/DQ1vPXlaWP3ueVWRzmrTcRzHcXoKUSFu+8TovRsp9g/ReooQB0mnMswoLCcFIAtIJSybI83I&#10;8qCsmAXRRcovFhibrNMoZWIA6u0jRB2ZL8sDGQvKPBB4pGxFZLs8JuvXE3frPBKM2RKRcsfFPiHe&#10;ug2C8bJeTFySoD8sHwPntdpCv5CPWMvzaiBX6bqE82QhJUYd7yJYD9dcbK1hXNZ81BOTeoU4a1xo&#10;t+iawvlj1zHLdNTYCdcD0HlO62iVEHdwvwHPtbW1/VA/mM8Br0Rt+2xX2LFxXdiw4vWw6vkl4b1F&#10;88OKBXPCWw/eE964f3r1c8XD88KHzy4OG99bEXZ9srUqzlntOY7jOE5vRd6bgRDifth+C2889QYh&#10;DlB40zsTUXaDVGKJb1JosXZnY56WfEBKspGk2iAsoyWUGFIwSbUrickqmpSAUzTmlFBDUm3k9JH5&#10;sXGn2mBeas4a7V/qHKn6ObEDmBOW02uWkmRKOrJge+iflZ8z7lgbsm4Oun5qPkBHrDnAMrJ/jY4t&#10;99wUxdiG9V3VDFKxzImzLBM7HqsLiua6uxHfIW5pW2WchckS4n7cf8CRLsQV5xGW0QJIroiUko3K&#10;wIT+6LyccQBIZ0xa3srtZ9lx5ybZlpSTICPl7k6WA8U4CkRI+FkKeYTJijnJjUcRqfin8ppx/lT7&#10;UiaD0GXFSZK7Fi2YrHgzpeaCScchNT6SimPZJOvK+qm+FyHjGksQSGPzkxMDkppDppx2nOYJcZu2&#10;TxipH9jXy/p1F4Z3Xz47vHDPb8ID5w4Is4f1CfeP6BfuHdonzB7at/o5Z1jf8OCx/cM9xxwaHjr/&#10;l+H56ceHd144M6xff6HZptM9uXbKgOp/M//jP/4/Zn5XZNAR/6va5//4wX83853yYP4RU6wHK9/p&#10;OHx9dw3qFeJif3f/32+336gf2HdHIH1UhlmVcrgbEyQQSCiQTHT5HBmEggo+pYyC9qUAY+0ARnFI&#10;y2US9I8CDOQs2Q7OJ88BCUvWbQY5MWikj1IcA5gjnBPHEVNZXotW+B3nAlpCYhl9HOTGnTIc+oS+&#10;UBjC3Mq4YOzMI7njypHdGNuUhCZBzHE+tC3jh/Zlv5Ev6wGZDxADtqHXtCVvyfroL8eENrRciLK6&#10;fgpZl/XZPvrC6xvx0nUbiQnKM1/W1bCMNS4pAuIc+vuHfQfye4Qwj3TU2GW+znNahxbijht9evU4&#10;5PTKXGQnCHCynUaEuD2f7Qrb168JHz6zKDz7x6vCwgtHhQXnnVjhpLBg3IlhfoUHz/1NeHDM8eHx&#10;y84Nb8y9K3z8+rKwc+P6sGfPHrNNx3Ecx+mN9B80pOY+3xIhrvJHfJs8SeU/AibfdNNTY62H990Z&#10;uasZZRGKXdwti69WlLIFd9SyXvEH2KYWWUCuvJFqg7BMShaRSMEktluThv2NjVXCtnWfi8acI76k&#10;2sgRhJgfi2eqDebF+g8a7V/qHKn6ObEDMRlSioz4WdYpwmpPkjPuWBvylaY56PWcmg/QEWsOsIwc&#10;X6Njyz035lxKcQBjsV5PmwO+I/Hdx7hY6FjmxFmWiR2P1QWpeeqONCrEHdxn4A91ffyPebyuTT+4&#10;7+5AYoHoJF99qJOukxI/CMtoASQl0EjKiCgpmCyphuewXoWqYdLt5PYzd9zoS26ydrWSu9khoQzk&#10;rNhubmVBO9yJDskaN5MVc5IbD4Jx4byx+Fj9SM1N2fNbpNoHemc99B1CpbXbWtE1hTqoi3NJKVEm&#10;K95Mqblg0nEoGh+IxRHrpEzC949sFzCl+l6EjKtOGFdsPkhODEhqDply2nHqE+L2/7u7uULcmvfP&#10;Cy/NPiE8OunXYdYJ/cKcoX3CfcP3iXAU4mYP6xvuH9E/zDqmT5h72s/Dk9cPDq8/OiqsW3uB2Waz&#10;gARSCYEJ8n4z8qBwz5xhZt2ewi23HxX69PvX/cYOUabZY58wqf9357DyuyIyLla+Ux7GE+vByo9x&#10;zrn/p2Y+YuC6teo7+yPjZuU7HUNMiNu8Y8JzlbmJpp4sxEmphSJJEY3KIDgPRRVLkskRsyBPoYwl&#10;XRG2A1nJym+EnBg00kc5LyAlHLENkIoZYLl64y7HHesTxw20HJY7LshKLIP2UvmWVFkPqfHLcUNg&#10;0/Mp17QW9GSe1TbypRhmzU0K1gNFMh6Fs1xSMZFzmVqfLKPHJevHxizn2RIfmQc6cuyyXZ3ntI7W&#10;CXEDF7a1tfXVD+Zz2LFxffho2XPh5btuCHNPPTrMG96vQt8wq/J3N8E/SLv/2P5h5vCfhievubC6&#10;W9ym91aEvW2fm206juM4Tm8kIcT1bb+FN57kCfbxi7E9UYiD4FEZbhXuakbZhK8UldIcX41YtKMW&#10;y2vJB+TKG6k2CMukZBFJrmAiYX9diEvPWaP9S50jVb/MnFo7IhbJnSl4XvTPys8Zd6wN+bpieTyX&#10;1HyAjlhzgGXk+BodW+65Cb7DOBbC77dcuE6K0LHMibMsEzseqwuK5rq70Qoh7qA+h/ftSUIcJBDK&#10;HkVJ102JH4RltACSKyKVEVFSMFlSDc/RlYQ4yk6NjBsyEiQ4KU7h59R5yyIFSi3bMVkxJ7nxwM5d&#10;OZKgFa/U3OSeP0WqfYK2tRiH2OmYpa4pyIAxCU4mK95Mqblg0nHIHR+TrI95Y0qdOwVTvfVBKq45&#10;5MSApM4lrxed5+xPTIibdsfw6EN1XR7/EG3Ttglj9QP7enn/9XPCE789Otx7Yv8w45hDw92DfyI4&#10;pMr0CjMredOPOaRSrl9YcOEvwwszTwhrV51vttksKsPP4n8c+L2w5JlRZhuN0lm7Za1cdV5SCAQQ&#10;5ay69dLVhLic2HMHLXxa+U55uAbKCnFa3IzRLCGuO+5oKPH13X2oV4iL/UO0b7/dMUM/sO9uFIlH&#10;Fs2QQVKySSqPcFetmEgD2E/ISFZ+I+TEoJE+SlmoaF4Yr5R4R9im1aecuOMcKIOxWfmE5XRbZcbF&#10;+Fnnwq5dyGvm3KbmVObFYhyLH4Q91o3Je2iTZVLrxYL1rJ3MQK64ZpGKSW67LKPHJSXA1LqV5XQe&#10;j3f02FN5TuuICXGQ0ytzkZ0q9+8Vsp0f9xswo14hbtPKt8MrM24Kj1xyepgx/KfhvnYhDv8IjUCS&#10;e+DY/tW/xReOPyW8NO0PYc2rz4e2z3abbTqO4zhOb8SFuCbDHZTwKX/nLkpyZy0cy9lRi/la8gG5&#10;8kaqDcIyKVlEIgXAVLsSKcJY+UTGRe9AVTTmHPEl1UaOIMT82LhTbTAvNWeN9i91jlT9XGkIyFf9&#10;cu1S7tSvuc2BbaF/Vn7OuGNt5NRNkZoP0BFrDrCMHF+jY6u3Pq5/KePJPqWQsUIs9I51qVjmxFmW&#10;iR2P1QVFc93diAtx1fVUmCC/6fo4ht1p9IP77oqUNyDsQGCJ5cvjRXmEZbRIEhNoNGVElBRM6I/O&#10;k6+11HkSKfdATpJ5uf3s6HETKVPhM7UbVhnkGtDjYbJiTsrGA31He1okS8UrlZd7/hSp9jWIu4yZ&#10;riPz5HHU4/xBDMR86jlksuLNlJoLJh2HnPGl4siUOncKpnrrg1hccykzx6lzye+aZr7KuKcSFeLu&#10;HLai/Ta9X9Ll8Xd3s4S4DZsuDm8tPjUsuOhX1f/ZPvOYvwtwlOHIjCGHhulDKp/D+4Q5o38Wnr55&#10;eFi9cpzZbrOoDL+KFnMgiy145ISqWMMyoBW7xcX60Grk2HBujBnH8YlxIr+nC3Fy/Fa+0xrqjTuF&#10;uGavyxhdbb2Wpd44Ox1PVIjbPjF670aK/UO0niDEAYpHAKJH0U5KzZBBUvJVKo/w/LlYbTRCTgzk&#10;+XOQdcuIPDnxImwT/dd5ZeJu1ZfwFaIp0a9oXHKnOb0mKdzFRKh6SM1pznyzjI5fTl3AMkWx1eTU&#10;Y5lmSmG5c8kyun+561auAwi8Mi/WtoRlmjn2VJ7TOqI7xFXuxZW5yE4H9x+4QbbTiBD3wTOLw2OX&#10;nhVm/eYX4W78jV39e/vv/xiNf3vfc8yhYcaw/uG+04+p7hL3/pJHw+e7PjXbdLoWU6fue2Z1wAEH&#10;hJUrV5plnDyWLVv23XcnfrbKOD2D6dOnh5/+9Kdh1KhRZn5XYuPGjeFf/uVfquty/PjxZpmeDMaP&#10;ecJ3HL/rOisOMSGuwpGVvjWeftDniAPkCUDlPwpG3nTT0sn6wX1PACJQZdhVpDCGn1mGwgVkEpZP&#10;7ajFNizhJFfeSLVBWCYli2jwKljUyd0hSsYn9UpNHUeZVzTmHPEl1UaOIMT8WDxTbeS0T5Gy3v6x&#10;TNn6udIQ4fxDdJR19ZzlwLron5WfM+5YG3JnxtzX+0pS6wU0c81x50iNFBDlGBodW05cU6TWqgWl&#10;WL5GWpOKZU6cZRl5XH4fx9YYKDuerk4rhDj8z/qeJMRxxyK8htLKT8kdOZIJy2iRRL5KEWVknoT9&#10;yxFRUjBZ58LrEpm0ECiR5coIWZJcAUvuJtYseQ0CDlPq3GWQa6BVO8Rh/EyYA6tMKv6pvNz5SJFq&#10;P0ZMwpTxlMfl3MXWKJMVb6bUXDDpOMi1KI9LUmuLO/vhWpbHc2FK9b2IWFxzKTPHqXPJ9ZYbD31d&#10;9SbKCnGxv7ubIcRtWH9h+PCtc8PL954Y7jv78Or/cAfyf8RL+D/qZw45JMwc3icsum5wWP32WLPt&#10;ZlEJQZWUMAIxjjst4XPZ62eZ5eolpw/NBtIbz4vXUFplWkFXE4zYFxeGOpZ64+5CXDnqjbPT8cSE&#10;uAobKnMYTbG/u//2t+0L9QP77gh2Z5JSHICkYr2CEJSRQdAG5CgKTBpLhikSZSBH6XZSFO1mVg9F&#10;MWi0j7myESiKl4RtWgJRUTuyT7G1QWLxKTOu2K5pcldDLUjlgPNi1zG95iW6Ts6aZxkdv5y6gGXk&#10;WHPIqccysZjXE5PcuWQZ3T8et16FKkmdh8c7euy5c+o0l1YJcQf3G3gjHrbzgXwuu7ZtDssXzA4P&#10;nDms+rc3/sEZ/s7W/yANv1f/QdoxfcOs438RFowbGZYvnBM+/3SH2W4zeOihh2rWsATix+DBg8OS&#10;JUvMuk4tkHoYO49ZYyB+HsveQXe6buS6RL+tMj2ZH/3oR9+NX2KVbTUtF+L+s8/hB8oT7GPAkbfc&#10;8syN+sF9T0BKFxRgtOxG2QtCCOWLQw4ZVFNGwvYsiYM7NKEdnSdJtUFYJiaaWKDfrGcJbpB70Dfm&#10;yfjEJDrU4U5jlpTCuMaElRxpJtVGjiDE/Fg8U21Igcnqn5QB6+0fy5StL3fmy5GrpNzEtVC0FmPw&#10;vPXElMTakDszxtZNitR6Ac1cc4ifJcWxPmIt8xsdW05cU6TGZcHvrJgELNe/jmVOnGUZncfvFXxa&#10;MZbfZ/XEsiuSEuJuvPG5AypjTSbcr3V93Nfxujb94L67wl2nIL1Y+RDlmHRejmTCMpZIQlEGn5b0&#10;JUWcMrKRBZMl1Ug5LyYGon/sr9WXXGEmV8CSgpHV53rIPTeBfIbxxAQsxETuWqbzmQf5S+eRnD7h&#10;/Ex6Zz7QyNzItuvdsSvVfozYtRM7npIxgRyHtV6YUmuJSc8DYs5kCYk4N+caSdeX8l/OutMwNXId&#10;xOKaS5k5LjoX20LCd5z13Qcwz5DmYt9JvYGYEFfBfKhu/d1dFeK2XzJZPqyvhzWrzg9vP316WHrr&#10;iDD3tJ9XX81y79A+Nf8jfn9+UinTt/o/5x+d9Ovw7rNnhk2bLzbbbwaVEFQpEkYgxbFss17HSHL7&#10;0EzkePCzVaYVdDXBiH1xYahjqTfuLsSVo944Ox1PM4U43Nd7ihBHIDlRiiKQ2XS5HBkEolJMgpNY&#10;8lWRmCWFqJQI00qKYtBoH1MSkKYoXpJUn4rakX3qCCEOcKc5rCUe4+tS5bEcINhxjEXoukXzDVhG&#10;xy+nLmAZa25S5NRjGR3zRmKSO5cso/vH450lxLV6PTjN54prr6m5D1OIw724MhfZ6cf9B7TJdiDE&#10;7d27d6R8KJ9ib9ue8OmWTWHD8tfDS3fcEGafNKj6t/eMIdbf3PuoinKVv7tRZu4pR4RXZ90WPtu2&#10;xWy/GVx55ZU1azhGd9i9qZVADEQc8GnlA+4QB5EQOylZZZw8XIjrPWCHsa5w3eTsSih3iMP1bpXp&#10;qUh5mmNHPHBcl+0IYkIc7tGVPjae4kLc0hn6wX1PgdIFgTQk86V0RFLyEctYopCUWfhqUbSvZZFU&#10;G4RlYqKJhRwLxq13rmIsZJvytamQYyjLAdSnJAhkHikScKQQExtLqo0cQYj5sXim2pACE+Qm9hGy&#10;IGUhUm//WKae+syjmAW4tjTWWo6VLYL164kpSbUh1x3iItcqxojfIURZO5el1gto5poDiL1cF1LU&#10;avbYcuKKMmgXc4v2cAyfUl7Dz7qehayDdtke1pJe/zqWOXGWZXQe+s88nAuxxXHr3LG57m40KsTh&#10;QbquXxXi7hy2Qj60785QeIPQImUjyEHcnY1J1gM5kgnLWCKJFG3QD4o+EGykiIdURjayYIpJNVLa&#10;wbnRB+bpWMg8kivM5AhgRJ4T4ow8L2KF+OF8WpjBXGI8sjx+ZnvIl+VjyPnFOXA+9BmgfSlBWTIZ&#10;Y4Jy7AvKSaErNx48F8bAchCJ0CfZDyv+RXPDhLbRJtu1ylrE2kc/IepBIpNjRgzYZz13sWsK8WNC&#10;HbaHT1kHyVrjTLH1D5iseaBwiH4zNlb8kXR99JFl8Ik+yHhgbIgRYyXrAqZU34uQMbLyiyhaQ5Ki&#10;cyFuMmYYN64nxA0gplIGjsnKvYFmCHH4u3vr9ok3yof19bD6nbHhtQWnhCenDAmzT/5Z9X/Iz8oQ&#10;4lBm5pBDw0PnDQyv3DcyvP/GmLB+3YXmORqlEoIqOcIIZRzA14sS7BqHndZQhrvJgf9x4PeqAt2S&#10;Z0bVlMfvLBNDimpl2y9CCnH1yjLoE86NPuj+xHbRyxGM6mmXYFwoJ3f0G3TE/6qJZU7sLdCOPJcE&#10;bcb6nBIO0SbKXjtlQPX3W24/KvzHD/77d23g53pf08tYyHXLNrGW9Bom6AvKcbxoh/0EGFfOmkmN&#10;hcfKrj2OBZ9WvgXOyfOhT1YZxAn56CN+l+O10OeX84i4sj3AOIJGr2PWl+sMbclx9Zb13dOICnHb&#10;J7RVYhVNsX+I9rdvdjynH9j3BLC7GUUkoGWTHBmEoglemYny+pWXzNfyUFEe4flTIkwryYlBI33M&#10;lY1ATrxIqk9F7cR2bLOwRDZQZlzgsUfnfFeeu8FRtMSrNHX5FHLOIGHp3eVSc5rKIyyj45dTF7AM&#10;ylv5MXLqsYyOuexb2ZjkziXL6P5xR7aidZt6dW6sbQnLNHPsqTyndbROiBswee/evWP1g/kYbZ/v&#10;DltXfxDef+qx8PTvLwv3HHd4mDO8b5iZ2KEdQIqbPazy9/eIn4cXbrk+bF31fvjz3r3mORpFCnE6&#10;D6KD3BEIZXWZ3gJ3seqNu0J1Bi7EOR2Nr7k0vFfgNalWfkfTv9VCHLZ4lyfYR88W4qScAqScQqQ0&#10;Z0kqEpazRBgIHajPMrGyseMSlomJJjGkZGIBEUeWhwCj5RMNxhQTq1JiEciRZlJtIEasr/MI82Px&#10;LGojFTP0iWuo3v6xTD319fpNlQVSYAQUnMrC+vXGFBS1IcWyGLg2db3UegHNWnPIS/URsdZ1Sb1j&#10;y4mrLGOR6pcG60OvGYnM07HMibMsY+Wn4oTvpdS11x1JCXG33bb4wMpYk8kS4vBKNjyM5wP77g5k&#10;FC20yCSlLF03RzJhmZhIIsUPnSD+UFTLEVFSMMWkGkgqOF8qIU4xUSpXmIHwwmSJRxL0ScY/lrQw&#10;U5Qsec0C0hJFqFSKxQTnsZIcd248cI5UYpys+BfNjZQhZbLKWsTal2OzEtaTFMNA6ppKXStoi3Nl&#10;rXGm2PoHTNY8pL4ncFzOddn6MllriSnV9yJScc2haA1Jcs6Fec+5tnE+fA9YbfQGoq9MvWOY+VA9&#10;9nf3lh0TZ8iH9fWw+p1x4ZWHTglPXDe4KsTdMwSiW5EQd0ioCnHHHFp9zerTt44Ibz95Wlizarx5&#10;jkaphKBKruDD8lrikHJLjLJSlixftv0cpDRWJOJoEItUn2JtFglx9bbLulYdgnyUy4m9RUzCkmOK&#10;AYnJqos2mc+fLdj3XHLGiFhaUhzHg/6gX7oegQyl65LUWKQs1hFCHKCEZY1ZCnO8hsoKcewX4iWF&#10;L8JyqbVNYtcx5jRVn/PRG9Z3T6ReIS72D9H+9u32FfqBfU8iJqwUySBSnIpJSyn5KpVHKEWhj1Z+&#10;q8kRYhrpY65sBHLiRdgm+q/zctqB4Igy1s6BEpbTu3+VGRdhW9gZTtbXclQRXM+xvjcqQLGMjh92&#10;02Pd2JjLyIaanHoso8/fSExy55JldP8oTWJ+5XFNTK4EsbYlLNPMsafynNbRPCGu9n7+4/6/GFtK&#10;iPvss7DxnTfDWw/OCk9ccV6Ydexh1R3a84S4vmHG0H7hyd9eFD58dnHY8fGa8Plnu8zzNEJKiAPY&#10;AQgCBPKxM5JVpjfgQlzH4nKS09H4mkvDnfy6yndg/7gQN7bSz8aT9T/msRX8zTcvXagf3PcUsNsQ&#10;JTV8WoKQFEwgYOh8CduK7cCkdzeCUKIlvKI2AMugPSs/BSQU9IFtAPwek9oA8nQd9B3x4M5NFhwr&#10;Pq189J/txcaSaoM7WKFfOo8UxTOnDcyRlH/wM+PF+vX2r9H6WJ+UNlEuFmvA9mLny6UZMS1qA1hr&#10;FWOFAIV61vWK8igXG1+z1hzlUWttpMZE6hkbz52KK+qhHNphu4DtWnVSoD25xoBc/+y/jmVOnFkm&#10;NR6cJ3bt4RPHYnPd3WhUiMMf7bp+TxPiAOQMyDZSWIEcBrEFIgsS8nQ9vsbRyiMso3fCkkCCkXII&#10;fqYYQxEqVT8Hjs3agUqC8+FcMhboD6QpLS9JKNMV9ZPxRMLPVhkN+kQhhwl9wrkYJwnmDfMpZTb8&#10;jGO555TUGxMAUUrOLcYh66A/TEV9w7gYZyT0B2NCe6l1xjpWHoHExHih3VRZTar9VOws0anomkJ7&#10;Mp7oM/ouhU5rjfP8qfXPMrF50N8T+GT8kc/4xeqjj+ir7D8S1gTasUQ6kNP3IoriWkRqjjVlzmWt&#10;D16rsXj0JpohxOHv7i3bJy7UD+zLsnbV+PDOs2eFZ24fEeac9vPqq1BnHZMvxM2r1MHucq8vOCV8&#10;tPJ88xyNUglBlRwxB6JKrDxEFQgpkGukcCMFL+4+pcnpQyPtx+BOYATtF+3ABqRwA3EIvzMP/UvJ&#10;R1KukcdBI+3KuUE51kU5nhP1ZB3AOqnYU+SxhCHEn20gP9ZnwF2yJFoSwrg5BxiTrJ8zNwT9wHgh&#10;IknBSsYDWCKTzAfoA9tAH6QsZolMsj7WFOdKjwek4m6RmosUem3xOPrGXc/kcSLHovMkeh7xO+Yf&#10;yDFiTuq5jlGW+fhEfebJunL9AfYnFedUTLvq+u6J1L9DnP1397ff7tigH9j3JGKClNyxCSKPzAPy&#10;daHWqzVRh7KYJV9RgEmJZHxtJkjJOK2iKAagkT7mykYgNk8WbNMSiHLiDsGNbegdtYiMje57mXER&#10;xhHiFM+f6mOMmKRHOH6g83IEKJbR8wBxj3Ut+Qrrh3IWsOYmRU49ltExbyQm8jrHTn46n7CM7p8U&#10;BWPirDyHNb5UHmGZZo4d54vlOa0jKsR9s+O5ylxkJ9kGgPS+d+/eyfrBfAwIbOvfejW8Me/u8Njl&#10;54ZZxx3W/srUtBCHHdrvrfztPf2YvuHRCWeE1+feHT5+8+Wwe8cn5nkaoUiIA5TBUmV6Oi7EdSwu&#10;Jzkdja+5NF3tO7DlQhz+J7w8AcD/rO/JQpzj9CbkjlzWboiO43QeKSHu5puX/LB6o04k63/M4zge&#10;xusH947jOI7jNI+yQpz1d3ezhLhNWy4J6z66ILy64JRw/zkDwpxhfatSnP0/4v8OpDkIcXNP/XlY&#10;fP3g8OpDJ4ePVtYKUM2iEoIquWJO2fKgSKqpp01JUfspIESxLikS4yhEWQIRkPKOlmRSfW2kXYo1&#10;kJukaEQo3+jj7Esq9jFhSPbHkolYhsIVPnW+FIYQd52PfjPfks/qJTYmIOcIMdPxlOPWfS6KCfJR&#10;h+2XXfMyXjFiu5XJcVHw4/pHn/U4dR2dJ5H9ssadQ+pc8jrV0hvA9Yq50tct66TizL7rfhfNJct0&#10;xfXdHYkKcRUq8Ymm2N/dPUGIg9gBgQdyCsUufEqpScsqUmqiTALpR0oxlE0g+lBEQbs4D/OAJXFJ&#10;2YRCHcQYKbTgfGwHn6gjdwxDefQb4l1MtgHof6wfKXJi0EgfZfty3BboO8rljIFtoi86r564y3WD&#10;PNmGJX+VGReRUhRh/8pAwYn95nHMmRTSgKwH5Lh0HmEZax64zgDKMWbWuZGv66fIqccyOuaNxAQw&#10;D2UxJl7jVhmrf/IcyOf1ob8rcI0wZpJU24Rlmjl2nC+W57SOZghxkNllGwBC3J///Ocb5UP5FHhl&#10;6rb2V6Y+NeXS6itTZ1f+9i4S4qYPOaQqzk2vlFtw3knhpTtvDKtfWBp2fbLVPE8jNEuIg0AyePDg&#10;73aTA3jdKtrHLnNWHZRHOconeEWrPBfr63qaZcuWhVGjRlV3sGNd/IxjKbGF5586dWq1jyjP+shD&#10;GTmeXKxXCuIcyGO7jBfroL9FY0UfsUuTHKcFzmXV16A9lEXMZZvoP/qG+bDqAcYFsUc76LtsA/WR&#10;Z9UlqXqID4+l5jDGypUr94sVxjl9+j5pxqIZ6wi/4xzyVcPIl/XRN7TJGOIcqbkvWjs4lxyXjivO&#10;g/PhOMtIMG62ZeUD9qEVazvVNkGbMmb41HHVZeV3CUCcsCZ0HHj+sqCebEeCawf9Y38Bz4/5t+oA&#10;lm/kuioC/daxwe84bq0ROQaLRvtTL50mxN1yy9PPyYf2juN0T/gKSut1nI7jdC6NCnEH9xswWdfH&#10;cf3Q3nEcx3Gc5hIT4kD1Jq1S7O/uzTsmPCcf1tfL5k8mhBVPnx7mX/irMHPIoeHeoYdW/6c7sP6H&#10;PIAQh9er3nf6YWHpn4aFN584Naz5oPN3iANlywMpfVDEkdTTpqSo/SJQR4orBBKOloTwO/NT52J7&#10;Wm6LST+NtAsJiHWtXapSsF49wpDcPUvu2KWR5fTY2LYl6xHWrXd9WMTmQefp+SexmCAOrBuLiZzr&#10;smPieVNY4hXAeaW8JXeNi8lYqThJ2C+0G4tZEVgbPJdeJ+x3TBaNwfZScY7NZXde392Rpgtx32xv&#10;0w/suxtS7LCAGGLV08IIkCIQBBOdL2F9Sx6S0pVESy8QpaxyGi3oSGR9Kz9FUQxAvX0sI47hnChn&#10;xVLDNi2BKDfuEIaKxoS+WAJTmXFJdKyttosomgt5Dl03R4BiGWse0F9rvRDU5Txac5NCtmHlA5bR&#10;MW8kJkDugiiRZXjM6h/On4oLgAyHcrouYJmOHjvOF8tzWkdUiPt2+4rKXGQlvO5ctgHahbgZ8qF8&#10;ir1794S2z3aFLaveC69Mvznce8Ivw7zh/Sp/g6d3aKcQdzeEuHEjw4u3/a762tRdWzeb52kECBeV&#10;4Vax8iFIUIig8KLhq/RiQASxRAtKGZBHILDoeiR2XiD7HwP9s+ry/MiXAhNBmSIZJIY+F/uJc6bi&#10;hTjougASTW5fUqKOBHG16ktiIhPzcS4p7EjQ35gsg/HE6gG5HizpKQXOmYqVFeNWriOCcWCtx/qG&#10;dqz25dpJXScoh7HH+oDzWtch+sUyOo/I+MTy6l3bqbYBZD/ZjkbKgBi/VUai44A1bJUrAv1mGwTt&#10;Fl1XOH9MzGSZeq+rFKm1QXBO3XZsvZJ6+tIMEkLc5Eq/Gk8JIW6FfGjvOE73A6+2rVzmVYpe/es4&#10;TscD+U3fgyHJIc+FOMdxHMfpulhC3E23DKvmVW/SKkWFuO0TV8iH9Y3w3stnh0cmHRGmDz003DPk&#10;kOrub2C68T/kwZxh/ar/mv3BcweEl+edGD58c0zYsP5Cs+1GqYSgSo6MUa/IkxJdQD1tSorazwV1&#10;uUsb0TuEyXPloCUbjJF58ngj7UoJq+z4WS8V+5gwFBuLRopXWtiLtS1hmXrXh0Wq7znjYpl6Y8Iy&#10;ZceUE68Ucp0V7X4GcsfTaL+A7Jtcx40IhDn1Yn3PHXtXXN/dEUuIW73u4mpeJT7RFBPi9MP67ghE&#10;HexORhmH4PfUzmqoh12vKJRAWtFSCgQU+dpBlEUdiFdoG8esXcQAZBVZF3IKRCxdDv3AebVUg/7j&#10;XEXSlWzfyk+REwOWK9tHjJ/lYjIQYZxisZSwr7G5zY075hAylBwT2kbdlIBYZlwSrheQM84Y6Lec&#10;M7aHOWDfkKfr8fxWHila01wHWCf63MhHv3AsNjcxiuYUsIwV83pjQuSYUE6Pv6h/iAvyYt9ByLfq&#10;gaK2Acs0c+w4XyzPaR1dRYgjn+34JLz90Kwwd9TR1b+pq3934x+kGX93Vzn6kHDvMX2rQtwjF44O&#10;r91zW1i77Lnw2fZtZvuNEJNRIHZA3qGUEZMwpEyCtrj7EepD+qBMYck+FIlYRu5+hHakWGLJJ1KU&#10;QVuyf+i7lD8sSYznl22gHtDnY1l8yuOSWCx1HkDfKHrpsVqyDM+PWKF/PC5jbMUoBc6JdtEG5w2g&#10;XzJ2lkTFPIJzs5zsE9aPrgs4HiDnRtYlZYQ49IH1U7GSawXHeS70q9F1hLgynvL6kP3COZGPclJy&#10;k/0lqbWDT7YL+DPnA8g+WFIf2mC+ziOyD6k8UHZtp9qWfUO7nBuMi/UwZpZHPn7HONkHXR4UxUHW&#10;1bAM2tN5ci5xDq4DnF+vbbnOCPMIzoG6yJP1Y9dVDLTBdYw2sCbYLvooY4O2mSfhOsenzusMOk2I&#10;u/nmpRv0g3vHcboXRx45+rsvPchxVhnHcTqPlBB3001L+1Zv1Im0vxA3oO2224YdqB/aO47jOI7T&#10;XMZPGCzuv/uoR4jbsmPiBvmwvhFWvXVuWPLHoeG+Mw4LM4/r+/fd4Y7+Sbirwt2Dwb7/SY/fsUMc&#10;fn/k0l+H5U+dHtZ9fEHYtG2C2XajVEJQJUfGkMKKVR47lWFXNQoeFpawxbyiPtTbflnQBkQ4tin7&#10;JXeDygH9lW2jLebJ4420K9ssuzsX66ViH5N6eNx6VaQmdp5Y2xKWSfUxBuYSO6bJ+dToOrE5krCM&#10;7ndOXcAyZceUE68itPSpXzMqyR1PmX6VvY7xM4+ndmqzYL1UnGN95/GuvL57ErMeOKPmPgwoxG3Y&#10;cPkBlRiZyRLiQthwgH5Y73QvINpUpreKJbI5XQcISpwrS9BzHKfn84ebptbch48YcUL1OF5fXvlu&#10;yEoxIW7v3r0L9YP5IvZ83hZWPvFQePCc48JM/GO0IYeGe445NPrq1OmDD63uJIfPRZPHhveffCRs&#10;W/V++HzXp2b7jSBFiBhaEpJQ0LBEISAlE92GFIms3aMgZVDI0wII8njumKCRqg/k+YskD5ZNlZOx&#10;TOVBTNHCiRyPjgXyWNcSiig8ob7Oq5ciOYh5oEhyohREZNsoJ/MAylPeASk5SSN3KLPWLNuWolIz&#10;15G1jqUkhXPpfqXmHhStHcSf+cCaD/bR6r+cD51HWrW2QaptrgP0W7cL0HeU0cdjpK5jGYfUmmMZ&#10;vXZlfZ1HMPcsY8WCeaDsdZVC1ouNTYqTqTVkxa4z6K+EuOtuvLl6vGlC3I/7DzhSngDs2yFuaZt+&#10;cO84Tvfin//5f1a/0A46qK+Z7zhO5+JCnOM4juN0T1JC3IwZR+z3UL0jhLiPV40Prz82Kiy9aXiY&#10;f9Gvwr0n9q/Kb7OOOTTMGdqn+onXtMwd3nff61oG/yTMPeVn4ampQ8MHb4wJWz5pjQwHKiGokiNj&#10;YPcjltfiGQQX5qXQ9QDzUn1opP16gLTDHbSkEJOKQQ4YI+vL4420G2szB9ZLxT4m9fB4VxSGIAay&#10;XhG6bk48WUb3O6cuYJkyYwI58SpCy4EpySx3PLn9quc6xs/W8RxYLxXnWN953IW4jqFeIc7amf3L&#10;L7cfqB/WO90LuctTahcqp/Ph7mnYiczKdxyn59NiIe45/WA+h49efCosunJcmHvyoDBzeP928W1/&#10;GY7HqzvJDf9ZePbGK8OGt18Ln+/cEfa2tZltN4IUJSwswYVgNyuWs/IJy2hpjoJFSmiJCSBSArJ2&#10;1SKynBZBeP6YbCPJkUFkX1N5sXPFzlEk6sh8ndcIbBN9j+VZO22BVJ+ltJaztqwxx6C4hl3JrHxN&#10;M9dRbB3LWMTOkVpfOWuH+bH5SK1N2T+dR1q1tkGsbVzvPB4TbsuSG4fUmmMZtCWPS/Ex9X0iy+k8&#10;Hq/nukrB66JIHmQ5a55Sc9gZDBp+Ys39mUJchRsr/Ww8xYU4++G94ziO4zjN4fop82vuv+CiibdX&#10;8+oV4u6445gf6of2juM4juM0l6YJcdsntOkH9vWyccslYe0H48PyZ04PT986PDx0/sAw6zf9w/Qh&#10;Pwmzhvap/sv1e47pE+YM61v9l+tzTv5ZeOSyI8JLc08Ma1eNN9tsFpUQVMmRMSCGoCxEMXlcCiuQ&#10;O7RgUyS0MC/Wh0bbrxeKKoDHGj0XxqjbBI20K3eXK1uX9VLzzzjgUx6XcpM8rpGvlERfZV6sbQnL&#10;lBGGZJyxQxz6EMuXx4vyCMvofufUBSyD8lZ+jJx4paB4iWuYYhx+ju0smDuenH7JNY5yudcx5FQe&#10;LxuvnHqxvnfl9d0Tmf/4WTX3YVCvEPf111t/qB/WO90LvubRdxzr2uC1lpgngNe0WmUcx+n5aCHu&#10;p78eUj3eqBCH5+N//vOfV/CBfBk2v78ivP3gPWHplInhwTHHhXtG/LwqvuEfn4F7Kn9z4xN/f+Pn&#10;GUP7hQfOOja8Nnta2L5+jdlmM7AEEcgccregmEQh6+agBZIcwSImgKTEFonckSkm5OUIHjllU33K&#10;6S/L6HNIMcgSqlivmTvEAZ4T7ZfJIyyjxZ2cWNYj/mDdsk6qXxLGDlj5pJF1lDOWVBs5fWR+bNyp&#10;NmT/dB5J1c/pH8uUGV+9UmSK3DikzscyaEseL1oHRH636t0CY21LWKZMTHLaBXy9rfVdkju+jkIL&#10;cZOuvp55LsQ5juM4TnemFULcbXcO66sf2juO4ziO01wmXr6/EHfD1KHVvJI7xO33wL5eNm+fGDZt&#10;hRR3fnhr8anh2TuPDYuvOzo8POFX4cGxA8K8Mw4Lc079WfXzofMGhicqeS/fe2J454WzwoaNF5lt&#10;NotKCKoUyRhyBzMIRjKP4ogW5UhMdCHMi/Wh0fbrhaKK3CFKyjnolyyfA8bI+vJ4I+1KIQfzZJWJ&#10;wXr1CENyTWjhTCLLYZwyL9a2hGXKCEOUvfB6UCs/Ng9FeYRldL9z5ETIZyxTZkwgJ14x5K6HOK9c&#10;N7E1lxMLkNOvRq5j9js2nzHYXirOsb535fXdE7GEuOXvXVDNcyGudzFn9u3Va+Kww/qZ+U7XAa+z&#10;xVwByHFWGcdxej4tFuI28IF8GXbv+KQqxa1cND88NWVieODM4WHGiJ9WX5267x+kcYf2fuHuys/3&#10;nT40PHXdhPDBU4+Gtk93mm02g5QgInfFskQKudNRDlrmyhEsYpIK62JHI1negvXrFVhATtlULFN5&#10;hGWsc/D8EFVkHDFHqddRFkH5Ee2zHY0196k8wjJa3MmJZWzeU8g6sZ3YNOxLK9dRzlhSbeSsHebH&#10;5iPVhuyfziOp+jn9Y5ky45PHUzuuWWBMuB4g87INjVWHebF5AiyD/lnHi67D1Hl4XLctidWNIc+H&#10;7wurDInNBSha5x3NsaPOrLk/d4gQd+qZE3+iH9o7juM4jtNcbpz6RM39F4y78I/VvHqFuGnThh6p&#10;H9o7juM4jtNcmiHEDRs5+BD9sL5RqlLclkvCurUXhNXvjAvvvXxOeGPRqeHFWSeEJZX+LZ4yJDxz&#10;2/CwbN7I6k5yq985L6xfd2HY1MLXpYJKCKqkZAwpfEBM0btJQVJBXuzVgrK+JQlRdolJOY22b4E2&#10;IfbFdsaSco4WAHN21oqREowaaZe79+HTqguhx4pfUexBTOqREl9MVEJf2DdLCoq1LWGZMsIQx6Xn&#10;jnBNAZ2XmiPCMmVjgnjIV5aWGRPIiVcM1pXrgJIasK4deW2l1mROvxq5jjGPzLPkNMZV5/XU9d0T&#10;aaYQ9+232/vqh/VO9wEiHF6V6oJV1+egg35Q/f4aOvQIM99xnN7BtOnTau7DXUGI27t3T/h8586w&#10;aeXysOLheeGFW64Li644LywYf1K4/8xhYd7oo8KcUUeG+04bEhZeODo8O/WqsHzB3LDp3bfDnj3N&#10;f1UqSQkQgBKEtWMQdxOK1S0iR7CIySOs21uEOLmrlAXEn7LSkJTpUui4gVQeYRkt7uTEMjbvKeqp&#10;w764EJduP1U/p38sU2Z8Oe1qcA0wlkXournrh2XQP+u4C3EdQ6cIcWeOuX6gfmjvOI7jOE5zSQlx&#10;FY5sv1VHkyXE3XHHsJH6ob3jOI7jOM3FEuKunXJMNS9XiBt36YiB+mF9s9m4bUJYt+aC8N4r54RX&#10;Hz4lvDr/lPD20tPDB2+OCevWXVhTFjKd/L2ZVEJQBcIJJBQJBA3KHgByiSWjSJEFdSjOoKwUj4AW&#10;XQCFENk+XqfI3ZYabd9CnhNjx/lQF59SvkG+3vUJZZiP+GBXMCkLoR0IOFa80H/WlcdBI+3KGGFs&#10;zEd9nBN1rHMWxV6WwSePESlUYS5kv9COlL90n0GqbcIyGIeVb8F1gXHJ11jqPgFZD6TmiLCM1W+5&#10;flCOc2idu8yYQE68LGI716FvXBuWqIayrIdx4RjWBsYiy+X0q5HrGGWYh37K82Ns/J7S9divnra+&#10;eyKWEPfia/vWyIbtFx1YiZGZrL+7v/1q25H6Yb3jOI7jOK0hKsR9s72t/XZdmBJCXBsfyJdl7562&#10;sHvHjrBj/Zqw4Z23wkcvPB1WPHJ/eOmuG8PSKZeGp/9weVh219SwYsGcsPaV58Mna1eH3Tt3mG01&#10;iyLpRO4Sp2WKeoQVSY5gEZNHxo8fn3Vu+apL3f8ygkdO2VQ8cmLFMvoceGUqxDUAMU7ueoWfUa+s&#10;DIfylOEggyE2ug2eA+3L40V5hGW0uJMTy9i8p5Cvlk31S9IR6yhnLKk2uC6AziPMj4071Ybsn84j&#10;qfo5/WOZMuOT3z25a0C2BTFNv5I01deceQIsg7bkcV6XsXVApNyKNSvzYm1LWCY3Jriuc9oFlJwt&#10;QTS1RjsDLcSNu+Ry5rkQ5ziO4zjdmVYIcbffMXSsfmjvOI7jOE5zmXz1EHH/3QeFuNtuG7bfQ3Xr&#10;7+6rrh85TD+sbwWbt04IH6+9IKx697zw4dtjw5oPx4f16y8Mm7fV7grXEUJcEdbuSwRiixZ9JDJP&#10;CysAYoksr8s22r4FzkkRKIaUaDRSMEqhZTqKVEAeJ/W2C6SIZSHFMFIUe5CSejA3WmbSaClN0iph&#10;CPOWml+5ZnTdojkCLBOLSWq9om49YwKsVwTmhHXQH8ZCHidyDVj9scaix81+WfEgjV7HRdcGhT1J&#10;T13fPZHFz46puQ+DeoW4r7/ePlI/rHccx3EcpzVoIQ7geJOEuJqH8o3w+a5d4ZO1H4WPlj0blj88&#10;N6x49L6wpvLz5g/eDbt3bDfrNJuUIAKkOAVZQuZJYSX3FZUSChYQSax8IIUlKWxJqURLL5KUfFJG&#10;8Mgpm4plUZwBy+hzcAw5/cwF88X+xOLHfEuiSeURltHiDkQl5snjEtm/XPEHxNZqjI5YRzmiVaqN&#10;nLXD/Nh8pNrI6V9KHMzpH8uUGZ+UEBF/mReDUlps/huNA2AZtCWPUybDGpTHNSnpLNa2hGVSfdTk&#10;XhcsZ+1yV7TOO5rRY8bX3J+FEDej0s/Gk/U/5sedP3W4fGDvOI7jOE7zsYS4s8ddz3wX4hzHcRyn&#10;i9IMIe6GW08ZpR/Wt4qq7NYOfm6l/GaRElQgakAyyZHMII5A6OBOTQBtUxShkBMTzCCuyL7g3FL6&#10;arR9C7SJXasopBD8juPIt+oR9A/xkX1CP1AfO0tZ0hp3yUI5nUfqaZcgHnI8qFc0h0WxpxBkyVQE&#10;50U+5wGgzaL+5rTNMoidlR+DcZR9QluIBdYJfrfmIWeOWCbWb2u98tzIR79wrOyY5I5lKWS/WAfj&#10;ic2FXDM6D2ORccSYtLzFOYrFgzR6HSN+OAfL8Zysb9FT13dPo5lC3DffbBurH9Y7juM4jtMa5jww&#10;S9yH94HjjQpxJ54x5lT5QL4ZfP7ZrrB9w8dh03vLw+YP3gnb138cdu/cX4bbu3fvfseaQUoQIVJg&#10;kjKQ3HmoHkmCggWwBAwp4+n25W5gMckD9SGdWPUBz5/Td0osKXkvFcucOLOM7g9lLMSijASTIiV4&#10;ASkjWXJOKo+wjO6zFCkt0Qnn5rxb9VPItWoJblgTmEPmdcQ6Qv95jthYUm3krB3mx+Yj1YaMgVUf&#10;fZbzofNz+scyZcfHuOMT86DzMY9SLEsJXYDXsXUuueZTgi/L6FgVrWsgz2HFOpVHWKaZ1wWQ3wlW&#10;20XrvKPpFCHu4gm3nyof2DuO4ziO0xr0PbhRIW7atGGT9UN7x3Ecx3GaC+S32nvwwKokh7yuKMQ5&#10;juM4Tm8H8pu+F0OSQ54LcY7jOI7TdbGEuLa29V1SiPuiAl6luufzz8Oetrbqz39ukfxmkZJRiBR6&#10;tKghd46CKCFFEggs+B0yBkQVWQ9QsCCQVShnQdrgbk/AEjTkuVFXih44r6xvSSBlBA8ZJ74yE23K&#10;fqVimRNnltH9QUykkCSBDITyiHEZQQZ9Zxsy7viUfQX4XddP5RGWsfpF0QnjYjyxXvCzHmu948I5&#10;5HpE2zyvbLPV6wjnYv3YWFJt5Kwd5sfmo6gNOUbKXJgPWY/oujn9Y5my45OSFuoy/uwb1wrLU3iT&#10;6wroeZR1JMxDWZyDa9Iqg/PL40CeA/m8rvTaxjrEMV0/1TZhmTLXhfwOYWx4fn3NI4a6Pkit0c5A&#10;C3H4vT2vdULcxEnTxsuH9Y7jOI7jtAZ9D25YiLtz+Az90N5xHMdxnObSDCFuxrzTLtMP6x3HcRzH&#10;aQ3NFOL+77fbb7Qe2DuO4ziO03weWTRf3If30Qwh7uwLLhknH8j3BKQIYeUTikT41Hly96EYVj0K&#10;FpBItKwiickhEDoowMTQYoykjOAhhRKJ7FsqljlxZhmrP7J+Cshdum6M1LxhrJxzOUbCclYeYRlL&#10;3IHYZMUT4DgEJv5eRvwBmG/ZngbjluVbvY66gxCXmg+sAymm6bo5/WOZesZX9P0i5yU1DiC/Z+Q5&#10;iJQjJbIMj1mxxvlT32UA8aTYp2EZq23CMmWvC1xTqdgAzI8l6oHUGu0MsCOcvD93iBA36fLpV8qH&#10;9Y7jOI7jtAZ9Dx591lXMcyHOcRzHcboozRDiHn3yrPH6Yb3jOI7jOK2hmULct9/umGE9sHccx3Ec&#10;p/m0Soi76PKrLpUP5HsCFF0gSlj5REor3PVIAjkDUpEULiB+QJ7AOSzJQgsWOAclLID2cqQPCDH6&#10;3JBSILdYfSWUoPBp5WsgsbAOzyF3IEvFMifOLKP7I+UwLWUhrogRYwliso0F2pMCD+KPeZCSGPql&#10;6zHWVh5hmVh/MDeQnVgOn/idc8a1UGY8xFqP+D0mtYFWrSP0n+3FxpJqI2ftsM+x+chpA31jP4Bc&#10;CxyDVT+nbZapd3yYG7nGURZrxfp+0OuK50XZ1DiI/B5COd1nthuLNeKFPNlfgN9x3PouJEVtA5aJ&#10;raUUiA3Ws7zmOcbUtQEoJlpz2Bm4ENfFmDBh2neLCj9bZboKhx9+bPj3f//fYcSIsWZ+PZx88sRq&#10;m4ccMsjM7wy605zk0hPH5HQsWDe4Vg86qG+44op7zTJO1+Anhx9Vcw9uVIi7485hC/VDe8cp4v0P&#10;ngxI3377VZg772yzTCt5+pk/hj17tofduzeFRx+bbJapF4wNbe/cucbMzwH9QvrLX3ab+fWCeCOt&#10;XfuSme84TtflhqlDxf13HxMvH1zNyxXinnz6nCv1w3rHcRzHcVrD8vcuqLkPg/mPn1XNKyvE/e1v&#10;2xdaD+wdxynHnNm3h8MO6xdOP22kmd/b8fg4zj6efWGRuA/vw4W4rgeFEXxa+c4+KK+kdn+DZIMy&#10;IEcidBzH6c5Muvr6mvvzsaPOZF7rhLjLr7hnqnxY35P5/vf/6bubynnnTTXLSFCmTPnOhP0EVn49&#10;QLDpauPvTnOSS9kxSYGuDFj/VnvOPqZMWRCOPHJ0+Od//p81caMU2pVlRfSb/cXPVhmna9BsIW7a&#10;HcOf0w/tHacICl9Ir7wy0yzTSjZufKv97KH6s1WmXiDDMdU7Npms/HphavaYHcdpPc0Q4pa+cM5U&#10;/bDecRzHcZzW4EKc43Q9IHtVLrMqLzz/iFmmN+PxcZx9WELclq3vNyzEXT/15j/JB/JOY7gQlwdi&#10;BLBzlZUPIMGxnAtxjuP0dDpFiLvq6jkPyof1PZUzz7zmuxsKwE5KVjlJd5KvKPHkjCsX7DqHNiFS&#10;QRayynQ03WlOcik7Jlm+DP/wD//NbM/ZJxkiPlbciCWaYUdG5HV2bPn9hn5Ya4hja+YOkk59aCHu&#10;xFMnMa/OV6YOW6Ef2jvNBbuZMeFnq0x3Q0pjnbFD3NvL51fPjR3Tmi3kbd32XrXtL7/6whxbzi5t&#10;FAbxaeXXC5MLcU4jYO0iYS1b+U5rsIS48RPKCXEvvDL2bv2w3nEcx3Gc1rB63cU192Ew64Ezqnml&#10;hbhvdjxnPbB3nN7G9773j9X/v3jrrVPM/CIuufjcav1/+9cDw84dq8wy9YI+oW300crvDrQyPo7T&#10;nWiVEPen2++8Wz6QdxrDhbg8uEMcXm2I1xrK13fiZxzjaxTxqkdZ13EcpyeihbhBw09kngtxjQJR&#10;rBKCGookr7KiktN6euKc1DMmlNNgFzPZjsZfxxqHu0dCHMOrgnkcrx/lq4MtIU7uzKbzuhLso+8e&#10;1/n0HzSi5h7cqBB3x53DN8gH9k7zgbDF1Bm7qbUCvAoUCWKcld+TYeoMKY3JhTinEbB+mKx8pzXc&#10;dMswcf/dR1kh7qXXxz2oH9Y7juM4jtMamirEfbt9hfXA3nF6G5VLpMq1104y8zsT9In9s/Idx+k+&#10;WELcqtVvhG+/3bGhco1nJRfiWo8LcXksW7bsO+EtBWQ4lLXacBzH6Ulcd+PNNfdnIcTdWPk+bDxZ&#10;/2P+6mvuWyIf1vdEIL5Vhl9FSkNSfLGARMSy+Nkq43QsPXFOmjWm7iJndTXk7pH42SoTw4U4pyxa&#10;iDv2pAuY50JcF6WnCXFyx7ueIviVgcmFOKe74kJc55AS4mbMOOKA9lv1d8n6u3vZG+ct0Q/rHcdx&#10;HMdpDc0U4vAA3npg7zi9jcolUsWFOMdxWskbbz0v7sP7aIYQd9vdM++TD+Sdxhg8eHD1OxefVr7z&#10;d7AT3Pjx47+TCAlEORzDLnEbN2406zqO4/Q0OkWI++21978qH9b3RORrDSHHcTcovGbUKk96onzV&#10;3emJc9KsMbkQVx+NxM2FOKcsvzj6xJp7MIW4m25a2rcyR8l0cL+BN8q6+B/z0+4YBiluvwf3TvPo&#10;aULczp1rqmPBq0Wt/J4OkwtxTnfFhbjOwRLixow/qprnQpzjOI7jdD0sIe62GaOreRs2XL7fvZvJ&#10;hTjHiVO5RKq4EOc4TitplRB3971zH5UP5B3HcRzH6Xi0ENd/0BDmtU6Iu/a6Bz/QD+x7GhDfKsOv&#10;7g6H3w8//Njv/kDCKxF1eaJFJch0aANiHY7hE7+n2iCQ8vDaRbYH8DuOx17dildc8jz4HbtXUebD&#10;p9zNiq+ExSePSdCW7HsM+VpNKRLKtgDPhzL4HbvtMc4AP6d220LMMA+IgewTxoV+xl7vWa88hhhz&#10;DhhDgHNjLKm+sn/oE9qBVCTbQP1Yf0mqXr1j0pSRszpqPbI9zCnPgzyWI1gPKCPjg5+Lri/EC+1x&#10;jjifZeIo45Zbj+OLgVha5YviUe91wbkBLCOPxWhkvTn1oYW4IcePqR6vV4jTD+x7AnPnnV0VPvha&#10;TyT8jGPIQxm5y9nby+fv1wZ59LHJ7aVCtY48DjHsy6++aM/d9/rQ9z948rsya9e+1J4TTywrQRto&#10;Sybdtmb37k3VcjgnfkdZOX7kSxmP/f/226+q+RhHjmTFeKAeY2mhx4D2cT7Ut8qXRc6fnBeZhz7i&#10;dz1WfOL3WP85b6wP2GbZhLjLtgHOi3MgPnL94Hwon1qPTM0S4jhW9hPtMk5YP3q+rGuL/U7JnpyD&#10;1PVC2CeOEbFH++wX11Jq/QHkQ9q0+pq6lnRMMC78zJRzrbAO+5wTI10HSX9vNYoch5UwJ1Y9rleZ&#10;8DuON6tvvYXae3B5Ie7Vt897VT+sdxzHcRyndeh7cb1CnPWwvruzZs3r4fTTRoZ/+9cDv/t/RPgZ&#10;x5Bn1bn11inVckOHHlH9/YXnH6n+LOsXiVLL336meo7vfe8fv6tngXKsg/OgzmGH9aspc9BBPwiX&#10;XHxu2LljVc05JMhDGTlOC4xN121FjNDnObNv/648+oeY8RyIC9pPjQmwHtpj26iLc+GcVh3ElOXw&#10;O8fHuYidm/VSxM6pYXzYByuv7PqSZSywbnSdeuIHGCvEBHBN4jj7xjJYd7q+hOXkmFLxIYwL6wOM&#10;A+2k5i42LtQrOifHifUhj+u+4LMoho6TA+S32nvxwKok16gQd+99Dz4jH8g7juM4jtPx3HzH9Jr7&#10;c8cIcdc/sEU/sO9JQDCpDL0KhR15LLVjEmQRloPIIgUVCY6nRBUpillAdrHqy/NDOJN1gOw75SYt&#10;4gCMW9eNIfuREqx4Pso7LKeJvZY2FkuJJevImJSReYoEJhBbC8zHGpDCliS1BrDeYvWAlKPKjEmT&#10;mi/S0esR68M6n2wXbaXWQyy2Vh8kunwMtM066GtMCJSUFeJy49HM60KOK0Yj682pj0FDT625Bzci&#10;xP1n/wF79MP67g7kDCnA6CRFFoonkERkGxIINUwUPyDoSGlFJ0ovFGtSSZ4L7WvpRCeIQLIOYT0t&#10;AOmEvkG4ivU/JsQQxA8pJW2hj7FU1H4uGAeTloxkHsSn2FgRJ0vm4RiReAxzXk+yxlskJSHFhCum&#10;WH5ZOFb005o3GVvEQAptVrJEM9TLuV4I+4TP1DWEvsRkrNQaZ8KYU/OPfHn96xS7FhGDVLLqpM6D&#10;FFurZSkrxGHuUt8nSJgHlJP1nDjyHgxOH1NOiFv64tjV+kG94ziO4zitQ9+Lf3/LydXjvV2Ig5Al&#10;ZRoN8iDS6HoUZyDHQPbR9YiWZshjj84xy1vw/FLoiYH+WgIZhK/UOCVaiGtGjBAHXY+gHOpLIUsS&#10;GxNAvSLBT0p3BJKSzI+ND32S586Zg1wBivEBsbyy66usEFdv/ADzsV50/Hge9gf5uj6R1wJ+5vFU&#10;fEAqLkDPHWA/Y9elXIPWPKI95su44Gcet5BtOE5ZWiXEzXtowWvygbzjOI7jOB1PpwhxV1x17zb9&#10;wL4nAQGlMvSq5COPU0rRxyVSMgGQVSDhUJiRIg/a0SINfud5UE7uvgVJSgpMVn3r/KiD42hLyiwU&#10;brSIgzbZR/SFYhGOy/NbYkxKsOL5CAQhjAl5aEtKPzwuQZ8ggkHWk+OWMUUbsg6QMbH6HAP9Q5/R&#10;vuyP7queA8A8griwnF4Dui6QscK88bisS8qMSZOaL4A+d/R6JPgdcw1Qh+WktIU5kuIbysr+6v4w&#10;dnIXOZRBXFPXtYUU3DgufT6LopiT3Hjg3K24Lpgnz+V0Do0JcbX/Y/4/+w/cqx/Wd3co0ECGkdIW&#10;hA0ILFIksmQ3DQUgKb9QKoEoIkUQnA9CSUrQ0nkStou+Q6phn7C7FiUdJDkGgvPKhLa4u5eUiigJ&#10;8RzI5+5dTCnZrQjEg0nuHsUxoF+6Tj2kYirzkORY0R8ZS0tqkvk6DzBZ80A4H1owAogBjqNPnCOA&#10;fkv5yFqTTKlzl0GOFQnrHf1CX5DH/qEvvBbQR31tce0i6flgXu71wj5xrcrz6fmz4otzsC76nOqr&#10;tR51THB+9hHxkPW5riQ8N9aWjB/Koj+6vLw+dcxRh+1ZY60XOUYrH+D8XI/og3U9M2FczHPSHPKL&#10;X9bcwynEtd+ma9JBfQ7vK8uC55aN26Yf1DtOV+N/HPi96t8NS54ZZeb3Rpa9flY1Jv/4j/9PWLnq&#10;PLOM4zhdk36DBtXci+sT4gaaD+u7K1JugriD35kHMYdyjCVkSVkHoCwFGshnUkzSQhHaopiDejwv&#10;jst2tZCDcqgHEUjm6XrWblwQlJCH+lI6kjIY2pB1QKtihE+el/XxiTpoB3CHMGCNCWUoc6FtOS70&#10;U86BjiV+Zx7A+TlPOp4xeYr5VtxykOdI5YEy60vX13mkkfgB5hHECeXQH/YJbTJfti+hLIm+yOOp&#10;Mci1gXLcpRBjkmtaC4A8F/LlcYA22Caw1hzaZj7PCXg+tK/7osflOGXZsvX9mvswePaFRZW87Ssq&#10;6y4r/aDPEQfoNu6YOftt+UDecRzHcZyOZ+ac+2ruzwDH9+7dO7n9Nt5Ysv7H/JVXz/mzfmDfk4AY&#10;Uxl6VYyTxyHw4DiQEo5ESiaQUaxysh1IKzJPyjKWpAJS9eX5U20ACjf4lMch1rC+JaZRBMKnzkvJ&#10;PlLwgcCj82Xf9biKSJ1XtpuKRxmK2mQesMYi+6tjLNu2ZCSUl0JeI2NKxU3nx87T7PUI9JqUpNYf&#10;gBRGEQx943HZlxxxrQi0IfsMcsS4opiT3HikSJ1LxsOaF+ahDZ3ndCwQ4OQ9GIIcjt9885IfVuYo&#10;mX7c/xdjZV2gH9Z3dyCNIEF2s/IlkGOYIHuk8qVUwySPpYBMw6TlHyLPhZ+tMhRQIKfoPI4byZK8&#10;pPCG+vockFmkyCPzysA+QqSx8ptFKqYyzxorYLwsQalIFmJCOSsfsP2yElPRWmFKnbsMcqyIVUxq&#10;orSVEp84Zi2ZMeVeL7JPWEfW+aSURoGMsB+p8aTqF50fv8euFTl/sXNr2Jb1HQRkm9Zargc5Risf&#10;yDLWWgRS5rPkQGd/tBB38hnlhLhHl5yzXT+od7oe104ZUP3vZshPVn6rgYjWp9+/hkFH/K+qiGWV&#10;aRW33H5UdeyQ4qz83gzmBLGZMKm/md8IiDva/83Ig8z8jgZrH2PFtWDlO053QgtxV/5uZPV4ZY1H&#10;k/V3d1vb+v0e1ndXKPzg08qH0ELRRe+aJmUdyEQoK/NlXS1USUlISjWkqF8xKL1pCQh94fkoKkko&#10;F1mSUCtjJOUiYPWNY7KkIvYbebptwvq6/1KIQ/+l6EdS5wasj3Fa+UWkhK9G1hdItU0aiR9g+yAV&#10;g1Q/Zb4W0FJjiK05IudXS5w8riU/vR6teef1gDnhMXmuWBwdpxFw39X34kcWza/kNSbE/en2u9bq&#10;h/KO4ziO43QsDz78WM39GXyyfUfzhLiD+wz8oT7BpMkz9ntg31OQkoiW2SC5MM8SuoCsD7HMKgNi&#10;7VDGs3Z0krCcFmXk+aUMZEHhRrdRJOww35J0UnV5vtTYWLeshJOSe1J5jcA2rb4yT0uVJNUn7lAI&#10;YmKVlBYbGVPRXHfGekRbsXHLazA1brYlpTm5s1xRX8oACZDjJxDjYucoijnJiUcRqXWWygPMK3st&#10;Os1HC3G/OPrE6vEcIe7g/gNHyrrgpluG7ffAvjtD0SV3xyLugGQJXNxBDsKKPE6BRYs/MYokJ8Bz&#10;pQSqlBhDCSgmosm6MTGJbaT6UIQUZJol71ikYpoz1pQQVCQLMaGclQ8aiSWT1T5T6txlkGNNzRev&#10;k9R52Vaj14vsU+walnMsRSzIbUwpKVaW02PKOX9sfhFDppjgJsH6ZLLyCVNOmznIMVr5AN+hSLHv&#10;FMJyjXxv9Cb6D/pVzT04JcRZf3c/sfScL/SD+t4CRSsA8ccq01WA8MS+WvmtRp6/FfJVCu4OZ4lQ&#10;98wZ9l2/NBCoMK+olyvxLXjkhKr0R/kK4Pxsx6rzHz/47zXnjYH1ZtWXcKwAfbHKSFopC1K2y+1L&#10;q2Ffmrn+IHqy3djug1g7nBesDZmXWn+SovlBfCEeyvkHmINzzv0/HS6hOq3nl8OOrLkXXzT5+Orx&#10;yrxHk/V3d08R4iCuVIZYRYsxkpgQJGWdIpkIn/J4kazEfF2viFi7Utixxirz5fGOiBHzrd24QCpW&#10;kJJwHGV0HmF9CFTyuBxzbOey1LkB81LnT5FqX+aVXV+gqO+gkfgBtm/JcpLUrmxSUNNSYmwMso48&#10;rmEZKc3JNa3XHGU3fgItrFoiHvrN8jFBz3EaoRlCHJJu45Y7p2+1Hsw7juM4jtNxtFyIs96bftHE&#10;2/d7YN9TgKBWGXZUAOLuVBBerPwiyYRQdtECEesWSSixfuSeH8T6AMGHbVgiDutZO3SlZJ/Y+SQs&#10;U1bCSY27TEzKwDatvqbyCMvoPuXEqVljSs0XYF7RfLRyPUpkeznotuTOehiTtQNiveC6ke0DS5wt&#10;ijnJiUcRqfgXzQ3ziubeaT3HnnRBzT2YQtxtty0+sDJHyWS99rynCXFSMIHIUbQrlRS49E5RFD20&#10;WEN5DQmST0okAil5i1CwyU26nZigQ8r0oRGxBTGkAIVPyEq5O2WVITWenLHKMjqvSBZi0iKVpJFY&#10;MlntM6XOXYYcMQqUTbJu2eulbJ9kLHLmnsREvZzzs4w1v5QHkVBOf69I5LlykhxrI+SMkanonIgf&#10;khYhHZsBg2t3mTn+lCPCtDuGtbXfpmuS9Xf3/Md7r2ihRaau/DrOzhbiKP5AFOtIOUoKS9ZrQWVc&#10;ioBYpOtLICRZ9SRWPaucRZEQp+UqLV/FoLyH+lZ+vSBeaBeSVld4JSvj0kwhDmuZ7VrrGuOW3xP6&#10;OyJ3/cWEOIhuUjxMUbR+ne7FsJMH19yLc4Q46+9uvLrNemDf3ZBCVA5lpTbAMrqu3InKkp1iglkR&#10;sT7JV0Fa8ldMeuqIGDEfZa38VBs8nousK8cWk/1kGSufebG+F5EaW07sWKZeIY75ucTqF41fxlGv&#10;P8pycsc1EhuDPJ6D7h+FN70DHGU3CG6W+CZFPC3KUS4EOJ+186Pj1IslxM15YFb42zc7nqusuexU&#10;uae3yTb+cPPtbdaD+Z7AQw89FH70ox99d13i540bN1bzeHzUqFH71esIDjjggOr5p06dul/e+PHj&#10;w09/+lMzryeQGntXY/DgwdW+4tPK7w309PXoOF2FxUufqbnHg7Ufr4MQN7byPdR4sraJHXfhH/d7&#10;YN9TgNBTGXZ0dye5M5f1KswiyYRYsousa7UtiUk1uecHMeEGEhzjAMGHO+XhuDyv1ceU7BM7n4Rl&#10;YhIOBCbsoMZyFnrcZWKiwZixFnA+xkRj9TWVR1hG9yknTo2MSZKaL3mOzlyPEvSD7eWgd+jDfGpp&#10;DecrGl8Z0JZcK3rcqZhLcuJBWnFdMC+1hp2O4cRTJ9Xcg/sPGlE9Xq8Qd+2UY8yH9t0ZSFgyQdSA&#10;lGOJKZC1mKT4AWmHyRJ45CtIkSDPQa6z5K8cSYfyXU7CePRYigSsnD40InFJEC/KRkyIV5GgVIbU&#10;eHLGKsvovCJZiCklChXFEusE6wX5OlZMVvtMRZJSLkVjBVhrZZK1o1iZ6yWnT4BJxkLWTYloIDZH&#10;OednGWt+MSYpxSGhnPVKUR2XolQk+OZSNEZ5fRS9CjUnXs7f0ULcMSccgeMb2m/TNcn6u3vWA2fs&#10;96C+NyBFK9KVhZPOFuI6C0pqkIas/FRcMMeQ0OSuW5CbdDkgdwvUr4WFKIW1AfFM1iGs16iohfOy&#10;LZIjorFerkDXXWFMOlKIk5KkJTQ2cl1ijemdCLELIfoBIDji/LIMfrfacrofWog7+8Jjw5btE0yZ&#10;ncn6u3vV6jfMB/bdDf16xCLKvM6RsIwWliDBUbiBSMOdsXBctmu9QhRAMIJIJCUcja5DyQ7nlVIS&#10;zsG+6FdadkSMmI+yVn6sDSn55aCFq94uxDUaP8C8nPFDPkNZLXla4hmJjYESXS5awpPrmuIad3lD&#10;f+Q5ZGyxvnHMepUqrl19PaJu7Bp2nLLoe7ELcXEgw1WGux9Lliyp5stjum5HwHNfeeWV0bzO6lur&#10;SY29qwERDH3Fp5XfG+B8ASvfcZzmYAlxy99Z2Voh7uxx1+/3wL4nUFa2sXZIK5JMiCW7yLqdLSBx&#10;x68YsVfGpmSf1PkIy1gSjnyVaAo97jIxkWixKYbV11QeYRndp5w41TsmTWq+5Dk6ez0SyIm57aXA&#10;eHg+Yl3P9SLFWX2tpGIuyYkHaNV1wbzUGnY6Bi3E/eTwo6rHc4S4g/oc3lfWBT1RiAOQYSDBSdkI&#10;P1uCFHc4gqTDY9zVSh7ToC0ttECE0SKOlEus8wP20xJscojJPSSnD0VtlIHClxb9cMwqX5bUeHLG&#10;KsvovCLBhwnlrHyQiiUEo5gEJ5PVPlPq3GXIkZkgODI1cl7EPOd6yekTYJJ9knU7S4gjmGeeg0nv&#10;RsfvHiR5vNUUjVFeHy7ENZcjhjcmxN02Y7T5sL6nI3e/4g5NsV2cugK9VYijzBZ7XWlOXCCVSbHJ&#10;Eh+5C1hMmEvBdhsRtdBHtlMkYWmkzGfl9xQ4xo4S4rDmis7ZyHUpd56LrW8AcU6WbfZOgE7ncNJZ&#10;Q2vuxVUhbsdE897NZP3d3VOEOAg4lSFWiQlRKRoVluRrGS20nAYg3VBsK0LXleO1gMyjd6vriBgx&#10;PyZVxdqQr6mM1U3R24W4RuMHytSnTAa4zlI7roHYGOS1I4/nImVAing8F4U9Kc2xv5T6tPgpQT19&#10;jWoJ0HHq4ae/HlJzL542fVr429+2L6yssex0cP+BG2Qb1/z+T19ZD+a7O9wBDp8rV66sHlu2bNl+&#10;+Z21QxzODSwpjH3rqbuSpcbe1WiFENfddp1LrUdcU5xPeX05jlOeF5e9WnOPB+1C3MjKNdacpE/Q&#10;U4W4IgnMQr9StEgyIZbsgrZYt0hCYV+///1/qjmee34QE24o82AnLfQD52CbKJuSo1KyT+x8EpbR&#10;45fjQhn0MZavx10mJgRzQRkO48eY9VyzTWuuUnmEZXSfcuJUz5gsUvPVVdajpFnjJthZTV73ReMs&#10;A9vU40nFXFI2HijXzOuCec2MiVMfo8+6quYeTCHuxhufO6AyR8l0cJ+BP5R1weSrh+z3wL6nIQUk&#10;fOpdqeRrViH/4BhFrhyBC+1JKURLMjmCVkzOyaWofkf0IQbOJ3fMip2/DKnxpPKsMjqvSPBhQjkr&#10;H8RiibXCtYg1hrWp1yOT1T5T6txlKBorYWrGeYuul0b6JK/l2NwTzgMkPXk85/wsk3OtQMyT4pvs&#10;b+5Ym03ReTFHTLK/FpZQ7MQpI8QhybKgtwpx3HUJQosUirqqbNKIeNNdkbv4Wbt3gTJxka+mlDvA&#10;AR6PiU8pGqlLKF9hXUKOowiYI+hhLOxDT5alOMZG4qyJCXHyeGpXtnqvS/mdk7MzpbwWurK46+Sj&#10;hTj8XjmeFOKsv7vfeOt582F9dyNHiEpRJBwBltHCEkUgSGgoQ9GGZWO7SslzQpjjznJWvjwOAQg7&#10;XwEIQHInK/ZBy3CgI2LEfJS18lNtFNVNkTM2WcbKZ1495wepsaXyCMvUI8QB5tfb/zL1pYTG9c1d&#10;2GLCWGwMOWMrgtcAPuXv7BuuB54Dx6RAqK87C4xXinv1xthxSDOEuB/3H7BCtjHp6uvNB/PdncpQ&#10;q3TV1zyyf91BCms23WnsrRDiWtFmZ4EdFzmf3H3RcZz6sIQ4HGuyEFe7TSwezusH9t0dKf/EXpdK&#10;5O5PuqyUTLScQuS59CsdKWEV7VbFcnr3qSLJRRITbigI1SPCpGSfHMGHZfS5uQsWxi2Pk9S4y8SE&#10;yDnmK2M1zLfilMojLKP7hDllnjwukf3LHZNFar5AV1iPEghsbE9fO43A16imzl0W9rOVO8S18rpg&#10;XmoNOx1DTIirzE9h6q1CHCgSZSjHYGc4KUsV7TIl4a5ySPK4bC8m6cids7QglUNMwCI5fShqoxHK&#10;CDY5pMaTM1ZZRucVyUJMqXHEYmnJlxomq32mZsQQFI2VUBC1XodaL7HrRfYpdi3IOOJnHkdMmVIy&#10;qyynd0DLiQnLlLlWKIXKOjg3kxxHq8kZI78T9a52mphY6NhAgJP3YAhy0+4ctqL9Nr1f0n93//6W&#10;k/d7UN/TgTRUCUUVyER6dy6rDuHrKbmjE8QWuXsTfk5JSRBtcA4pZ7EexJjYKzIt8UZKMqlzSmEK&#10;dXgc50K7uv84pvshzyXbIDgHxkWRC2CMOTucxZA7dFn5oIyQJCUnLSHxeOzVrClYF32x8nPgHHD9&#10;cQdDoOU9Cyl4Wvn1ICW9WB5f04rYyle+Yh3k9AXrQ9dDDKwxs0wzxyjXBH7GMZyb8cS8xK5JUGb9&#10;SeSYU+1LEBfWsa5Bp3uBHeHkvRhC3ObtE6P3bqT/7HP4gbIOePaFRebD+u6GFHRSOz7FyJFyWEYL&#10;SxRlykoylHbKCkTc6c0Sp1J0RIyYH4tFqg2KhJSayuBCXGPxA2w/d/x6/fJ1qTkCqDyO8jyuX4ea&#10;i9z9UK5z/MwyiCuOob8sb70uNQXHXPbacxzNESNOqLkX/+GmqeHbb3fMqKyv7KSFuHGXXG4+mO/O&#10;bNy48bvruatKOuyfC3F2ma6CC3FpXIhznOaB3eDk/RlAiKvkHVm5xpqTeoMQJ1/FCOnGKiOhAASR&#10;Rh6XkgnKWDKVFGK0iCJlqJiIlXptZJHkIokJNxTiMLacWEhSsk+O4MMyWsJhn/QOZKRZMSFF6wFz&#10;w3xLGErlEZbRfcJudMzTwiXAubn+rPplSM0X6ArrUUN5DTHQu/bVS+65CdZham5lXPWOijJeqf7n&#10;9KmV1wXXWDPFQ6c+sCurvAcDHK/MT2Gy/sf8xMsHmw/texpFkhTlHMgdlNPKyj8xyUTKNzHpRQo+&#10;aMcqkyImYJEcSayojUZhqmd8mtR4csYqy+i8IllIypNWPojFEpIWkyVbyrVixYmpGTEERWMlUl6L&#10;xbQssXPL47gGLSmO8cVc6HzKe/iMCXXc1cyqnxMTlilzrVhrAudmKtNWo8h1GIuRlHSxLq0ysp1m&#10;rYuezvGn1ApxAwaXE+Ku/N1I82F9T4ZiCWQXfYw7dMnyEopsEJa01CaxRDAplcWInT8m3lDcoZhk&#10;IeUqto1PKcJptHRkiUME42I/LHT5XKx50pQVkmI7r0lBqazEx3r1ilpSWKTYKI/ltMu1WI/QFyMV&#10;W+bhfHJ9aTCHui6RgpcG60lLX8yrN84Wel3L6wJrJfVdAFIxSsE6qetWI0VeCrlO9+WiycfX3LuH&#10;nTy4UIizXnv+yKL55sP67ghlFYg51g5pKRoRlijE4fxSwCmCApH1OlXAdnWfKPOgfkz+itHqGDE/&#10;JlWl2pCv4Sw7rmYIcZyPemRBkBpbTuxYxpKtpPAVm7dG4gdYNzZ3GtknKbXF+heLgdy9rV7RTEpw&#10;FN+07CavG14HsWsvBtuut5+OQ44bfXrNvfiKa68pLcQd3G/Ac7KNnijEdQdJh/1zIc4u01VwIS6N&#10;C3GO0zzWfryu5h4PFi99BnnNE+L0e9NPPHXSfg/suzuUbLTgFoM7MwEpTEnJBEAqoRAD+UUKKpbo&#10;grYoorAupRnkSdHG2rWrSHKRxIQbufvY/5+99wyyqzrz9e/HW1N1y3aVv8x8mMFzq27V3A9ju7jg&#10;O3cMCowRLRASKIssRAYRLJMxIpngAB5jQIAiEiIJkUGIDCKZKIIEQgiUBYiWbGyC7v2v//kd9U+8&#10;59W71l77nN2tPt3vqnrqdO+Vw+6l7v1obQ3GB+nRf0sUSwlWsfokTKNlIzluiOOYQNKiFER0v8uM&#10;CZHCG8pnX/UcAN1WkIojTGO1CYIT4vT6wddcH6n8uci+WPG9YT1q5PrEOMk2AdSD9Yn2SokPbUXZ&#10;Mj0+5drC10yfQtaPulAnQNnsB7B+nsgx4elxGEt9omTOeHTnfcH65TiijbwXnJ7j9DN/37DJg99d&#10;/cCW2vwUBusP81PO7VtCHAQXyDtS4MDXPJ0J8TK9TKODPjkKQPqAaAMRRApNENooSlknKjFQ8AG6&#10;fLYRATIK2sQ41IX0kGas8i3ZRiIFsJi4UlRGDsiLtkvxD23PkWvKkOpPTl9lGh1XJERxnDDf7Av6&#10;K9dDbCyRngHzyDz4lPUi4HuZFzBYcc1Q1FeC9nF94xP5ZH/RL9wTvDd4HeNc9n7R44D7gvOIMuRa&#10;ssZByqXIK9ci2kkZDkG2leSMCdPo+cV1XMO9StEMn6iHQdcpZUPkle1FXnyPPmO8ZL5WkOsfZeMa&#10;xlbWredc9glxcpysn0mOzcQTDmrYgwcPOyBMu3Hck13b9E5B/290PJS3Htb3VSC41IahjhSfpGyS&#10;EqK0BAehhadZQaiRkpk+5YriGAQiKYmhTVKsQbzMB2LijSW7aSiBSTlJnv4lT5dDG5FOS0daHJJx&#10;lMnQdykxoVyMl06fS47kVVZIkvMnr6PdvA7KtJt59JjlwjnEPMnrUsyS1y0ol2E+rfhmSI2tjANo&#10;K8cL675IMJT50XbeKzKvlsWYvtlxttDrWo6jFvIsUmMUQ661Mn3B2DSTz+mdQEaXe/H+Y0eE1RvP&#10;je7dCNbv3fPumGM+rG9H+OpSABkGko6UcyAJQRqCEJP7elJJTFiS9Wog3iA96tWyHIU3tEeeqoXy&#10;KOwQmQ/lUN7SoN+oD6KPJUV19xgxPiZVpcqQ/cIn0soxQ3sgNaHd+JR5pewWk8FkGiuespPsO8ZL&#10;z1uMVN9yxo5pLNlKtp0SF9qF9jFNK+MHWD7y6TgLlM08KBOfKcEsNQZS5kP/Zb+wPvE9yka/ZD4J&#10;20BQpoxH/2U8kPUQtBNtkPcGPinUAWv8HKcMWoibcv754f9t23B1bX1lhz0GDV0oyzhm8pSdHsq3&#10;K3g9aq2LpZg0aVK0nJEjR9a/h+iDr5nnBz/4QZbMNWPGjPDjH/94Rz58fdddd9XjeM0qh3WxfiuO&#10;r4JN1RED8bI/Ft/97nd3yoe6KHMBjAPGb+nSpTulTcH87Ds+URavo20puQpxqFe2BaDvU6ZMCTgh&#10;0MpHmB99RD58xupMyWsYD5aR82pepo0RW1MoW/cV3+N6UV9jcE3njAHXCj55jfdIClkG0WsI4Htc&#10;t9ID9BFjo9c5rjXbf8fpjazfsLFhjwd33nN/6OzsHFhb99UE/Yf5CUf9wnxo365I+SlXiJF55AlK&#10;UjKBHMOvNZBMYmIJpBNKSDEgq0gJiBRJLpKUcMO4IrTEkxKsUvURpkE58jr6SmnRQsbpfpcZE4k8&#10;HU2D+aG0ptsKmM6KI0xjtQnrK7YGcF1KYWX6pEnNF+kN61GTurck8h6TfbXIlWFBUVkA5VljAqy1&#10;rPudMx7deV/INSYpmkenes4674aGTR789ncPfFybj8Jg/WF+8pSDzIf27UpRkMKHRgppCJQ/JFIk&#10;sQLEESn+ECm9yCDToD7dBitQYJHEBCwi2025SFNURg4sIxZSp6qVIdWfnL7KNDquSIjCGrKCrCs1&#10;llLo0gHrhyecoR06L4MV1wxFfZVAJqMglQpS9JTjbAXrfpFtSo1Vap3KMmIhthZzxoRpdBuK6sX9&#10;LdOTVD8ZsC6svM1i/azR/cFaL5pz5LF+Vjo2Wojba7/9a9fHLuzapncK+vduvLbNeljfV4GcUxuG&#10;OloggwSD61rEkUihSgpmRAo2ZU8aSwlgMfFGyjXWqVEyXopvrMuS7yy0OCTjrPKrgPORamNZISmV&#10;HvPFOkmOGCfTx0iNDYVF3U9Ki6BIzio7DjmkypRxkOH0vYTvOZb6PkEc88buNfRd52Me1C2vt4Jc&#10;11Liy13LchxiYHxkHlln2ZPemC/1M8ppD7QQN2jYsEIhDkHmAX1JiAPypKoUWnJKyTqEaSxhiTJV&#10;EVLAgaBDgclCSnGyLiDbm0JLQaA7x4jxSGvFF5VRNCZECoSgCiEOc8N4Saw8TapvOWPHNNb6AlqS&#10;tNI2O36AcbG5s5CnGAJLMCNFYwDhTZZlAenNygukVAestkhpLibXyXZaYB6sfI5ThuNOO71hL25G&#10;iNtzUMdMWcaESSeaD+bbkRxJR2OJThBtGAfBSuchlkxHtPQjQT5+bUlQzGu1jXFoV6qOmGCU6o8E&#10;gpTMJ9ussdqZgvnQFik5aaw+LFmyxEwrQdtjohTKtPIQXWdsLiAVMg/6kCNmlRXi0NfU+ACIhEgn&#10;8xVRNAY6vTUGZYU4jA/LiWHdT8iXGgPr/nGcdsUS4mbNuw1C3I9q672aoP8wP+rQyeZD+3aFpyxB&#10;+ilz+hFlEymsUJTjKwzxvTypiSdKxUQZgnYgnRRa0D6UBRnIygOkqIevrTSE7dIne6Fe1qfLQLsg&#10;ylAGQxoZL8dSXgex+iRMY4mJGDOISKwbYHw4HqgT13Sby4yJBmXLOUDdaAPakmor25ISLGPtJRhr&#10;SHlMh098zzXKcSjbJ0lqviS7cj3G4PjI9YA24X5EWzlOBHOG/lI0I/g+NU8xmh0TgLbIueW6kmly&#10;x6M77wvc67J/GCs9rk73YwlxF11yy7ranGQFnbevCXEQcCCXUCpCwNe4BqHHykPkKU6pE48g/CBe&#10;iiKQSyDYpMQQyDJsF/LG6uBJcDKgfKSXspEEcQixMtF3htg4FJWRA+QmjIOUbdjXlIxYllR/UnE6&#10;Ddqm47gOrDiCvsg+Yr6k2FU0lphHmR/rAusD64d5rdPLuOasuGbI6asE7UM7ZdsR0H/cY5aAWPZ+&#10;kVIZvtdjja9j94Ek9bPAaifJGROm0fOL/iBO37/4vmjO0CY9Tmgv86Z+tjQDysNYsD6uQZ0udU/n&#10;zIPTyPGTdxbipt00LvrKFv16lv4mxFEEs4QSedqaPt2NML+WXCQso6y4kysg6TieJGa1iX2CnCSv&#10;U/7JeS0kSAlxOSJhM7C+1DimxsWiKD3mnaeESTDvsTWh01rE5Eg5rlp6k+KYJV9Kyo5DDqkyZVxs&#10;/fBewae8LqXUItFPwjyo24pvhpgQl1uHHIcY+oS/1L1UBPPpMXXaj9/8cWLD3g0hbs2G86IyO4N+&#10;7fm0GdPMh/XtDEQuyDVafoE8BGlGi16Apz/FJBnANJCA5HWKOMgLIUnGoS6IOWyLLp9txXXEs3xI&#10;WDzRSueR4pYWm3CSFfJKQU+3CXTXGLEfsRO0cspAHyAlaQEMbUObLUGNYwWs/so0qboxtrJe1GmN&#10;hUWqbzn9Zhq9vgjGRa4VzJ0lrzUzfoDlxubOQq7FIlEsZwzQNvSfbQHoJ9qO/OiblQ9gfpkPn1Za&#10;KbtZsihAPtSFOpkWsA1WHscpixbi8P22rzdMra217LDHoKFXyzKGjTvCfDDfzuCUq1pX61gnXoGY&#10;6AQoxBEIOSwHp6HxxCxgSVsyPyQfylIoQ8s9zQpxBG3hCW26fH1ymxwXtIvxsk+WTCYlNHkqGfKh&#10;/fLksBxYFkEZsT5o2Qvfo42Q6TgnAG2S4454mQ/I/qMOli3zahHQmgu2geXo8SoiNb8EZXIcUJc1&#10;7ogDkOLKtIFtl2sA+bGWUZZOn2qvHFM5Hxq5vlBPrC/4WuajeId88uRDzAHar9M7Trsj92fQJcTt&#10;VrsPqgn6D/N9TYhzvgVyTW3K60CGsdIAeXqUFe84juNUwwVTZzZs8uDCi+Ysr/38zQr6D/N4OG89&#10;tO+PQEhhqFLechwnHy3EOU5fQgtxoIwQd9RJY8yH9X0R+cpB6wSootPWQEzykTBNWXFHyjVl4uRJ&#10;Ylraip0+hv4zD0S6ohOxUhKPFAkhFZWRnFKwzNQ4psbFQrbViicU4+SJcfja6hvjy843oHwXEywp&#10;aWmhUSPHoaxkFSM1tjnjzjT6XsmdAw3zNDPOMfS6llJczilxOeOgkXU2e0Kcvp+d9kMLcaB2Pbp3&#10;M/QHIa4ngTxTG9Y61olURIpDVnwZKDrFhB4g2xUToBzHcZxdw0WXX9awf+MVqt98s+602s/s7KCF&#10;uMHDRpkP5duZHEknJflIQccSnvC9lIpicVbZiEcelm8JPam2MQ7ouoHsu5b1eDqcJT0BthsSkrzO&#10;8cBYyOvNwvYBSyiE7MR4q48pUmNHwSwmkGHsdB91ea3KcCDVRiLXYGwNy1ParHG0kOsjt+2p9sry&#10;Yu2U84mvrTTsL8ZWXmfdluDoOH0R7Mlyj772xhlVC3GN700fNuZY86G90/4UvUaRyFdGWvGO4zhO&#10;NVxy2fyGTR6cdd4Nr9d+/mYF/Yd5vL7NemjfH8FpSQg4KcmKdxyn+3EhzunL4FRWuQeDa/5zzHVd&#10;W/ROQf/ePXbiyJ0e1PdVKI6l5CKetqZPdSJVCHEQYiBCsS4LnScl3siTxGSdUvCzRC55UhfAuEC0&#10;sU5C0+KQjtenqmH8MN45p8/FYFkpAaqskMS5yU2PsZCSlDXvjEu1MwaFu5gYJcXF1Ct45ThY89MM&#10;qbHNGXem0WPGOYhJgDFYXzPjHEOva6xXSqSYG+tekOSMg0bWWaYv8n6ucgycXcP1M49p2LfBm++e&#10;Gd27GfYYPHSVzPPbP1xjPqx38oBsVhvWOinxTJ5MZcWXgeVYp4OR3HY5juM4PY8W4oaPPzx8/fWG&#10;I2s/s7PDHoM6psoyXIjbWfKRMlJMGorll6/SlCdaSVAm0zQrxKXktFjZqXJlvM4nxauY0FQGlpWS&#10;nNiWmLwXQ86dvI6TyHhdC38p5JihjFZlOCDLtOIB+s16rHjCdKmyJFJOyx2HVHtz7jWKmKk2ynLk&#10;GuPJcjGJ0XH6GhEh7ru1+6CaoN+bvt/BR5gP7Z32R54Qh1cl4iQ4XGM8Xq0oZTi89lHmdxzHcaql&#10;AiGu4bXnhx493Hxo39/AawEZ8HpAK43jON2PC3FOX2bKuSMb9m+QEuL07939SYij6JKLJZFR5rHE&#10;KMI0WlqBbMO4ImQ+UCTeUNqSIh9P4orJfQDCD9JRzAL4WktVWhyScTKNFuMgPRVJRTFYRkr+KRoX&#10;DfuZmj8LKS/q/vB6WUlJC4lFYI6tckDZccghVWZOfUyjx5r3QNk5YH1lxzmFta6leFYk7TU77syT&#10;mlONXC85p9c5vZs5d5zQsG+DHCFO/96Nh/LWw3onD3kSG05uw0lw8lWNeI2jlOHwykqZvxl4Qhxe&#10;C4lXpspXeuJrXOOrI/G6SZnXcRzH2fVARpd7MYS4bV+tG1H7uZ0dtBAHrIfy7UyVQpyOI0yj8+fk&#10;BUyj5TOQalsqjjCNLpsn01mSFWSj2AlxUgTDp3zlZTOgHKt9ktxx1MTySVExtiYsOJYYM8CvW+l/&#10;zhyyrakxAvJVpFa8BfvB8vna1Bip9pa513KR5ch5Q7tjkqnj9BXwGnO5P19x9bVY/9WFnY+JHW8+&#10;tHf6BhMnfvtHwBT/8i//q0GWcxzHcarnyqsWNGzy4JQzrnq89nM4K+g/zI8+3IU4ICUcyHFWGsdx&#10;uh8X4py+zHkX7izEXXLpyGu6tuidgv69e/+xI8yH9X0NKbnkYr2WMEfmYRot7kh5BuKYFu5Sck2R&#10;eCNPEmO5FABzX8sI4YbCGD7l6W45QhxBPtnesuITYf7U6yGLxkUihaKyr6qU9ej+8zrSyOtFyJPn&#10;comduFdmHHJJlZlTH9Po+ZfSpLxeBPOUHecUsXXN0yRBVetPQsES95kVbyHXS2wdOO3DggdOati3&#10;weKnT4nu3Qz69+4p559vPqx38oGAVhvaQvbdd1CDLNcskOwovKWADIe0VhmO4zjOrkMLcfscOKq0&#10;ELfn4P1Ok2WA9Rs2mg/m25Uyko4l+eTIWEyj8+fkBUxjCU+ptqXiCNPosuW4QI6jCIVPilXAEqRw&#10;ahelOFlGbHxTML/Vd1I0jqgX9Uu5SyPTy/LKyGwcS57EBlCnlTaXojmU81T0KtSicbJA//W4oS2x&#10;ulLtlW2NrQU5dkVgjen1h3bpNDh1rkjkc5x2ZMKkExv25wsuvRLrvrqg/zD/0yEHmQ/tnb4DXpeK&#10;099wSlxtCezg+9//h7D77gPrJ8dZ+RzHcZxqufqaBxs2eXDksee/hP05J+wxqONJmdeFuO188cXm&#10;uoCzefPHZrzjOD3DihXP1u/Fbdu+MuMdp52xhLifn3XwL7u26J2C/r170LBh5sP6vgZPS8sRUFKy&#10;SitCHMuNnQqVkmtyxBvKbOirFH3KnNAmxTopCMXEoRQcc2DFF5Ez1rlCEgQieUJg2VPrZD1VnBCH&#10;9jBfkZwn5ySWlpJZGcGqiFbXI9Po+ZOymXUKYwzmKTPORaTWNdcfiJ3IljMOFjJfTn9kOzHXVhqn&#10;vbCEuJnzj4vu3Qz6924X4qoBryXF6W88vY1AShszZnj95DgrX7PgJLhzzj61LtnJ+iDK4RokvSrk&#10;O8dxHKd6ps2Y1rB/g23bNgys/RzPDnsMHnqkLsOFuMa4HMmIaXT+XEGJaZBex6XaloojTKPLhghV&#10;JCelBCzkx+lxuowyryAFzGf1ncTGEW1g/4qQ+XLnRSPHW4pZqde9FiHLtOK7W4gjKFuPJcRInS7V&#10;3px7jSJlrL85QH7DmEspE1/H6nScdkULcSdPOfevtfVeXdDHxLoQ5ziO4zg9h9yDweGTzn6qa4su&#10;DPoP88PHDTMf2juO4ziOUy1TLx3VsH+DEyaPuKJri94p6N+7+4sQR1ksRyaRwo4WYXIkLabRoktR&#10;G+QJUDouR7yR0h8FqaJXPmpiglBKHIrRrCxEOB6pV77m1AGBjTIi0POC+cacxeQsyGucO6stsXJT&#10;yDWWI+ex/th85qzLsqTGNmfcmUa3Cf1l3pgcitP8dBzzlBnnIlLrWs47Pq15yhkHC1k2QH+tdADr&#10;UqbNWS9O7+fhJyY37NvgmuuPiu7dDHsMGrpQ5jnutNPNh/WO4ziO43QP8+6Y07B/g3sfuvdfu7bq&#10;rLDn4I4RuowVH6w0H8y3KzmSTkryyZGMmEbnzxWUmAbpdVyqbak4wjS6bAhFuI6T1QDlInxChCoj&#10;FyGtPGWsTF7msfpOYuMor6MPOLkuFi+vS5mtTFv1eKNOllMkq8UomkNIf6wjNUaAJ/tBUrTic9An&#10;BOo6U+3FWDJfbFyL+lsWjLtcuxgvK53jtCPHTJ7SsD+fcPrZW2prvbqg/zAPrAf2juM4juNUD0R0&#10;uQePPvTUEkJc4x/mO0a6EOc4juM4PcHlV41u2L/BpBMPPL9ri94pWK9nsR7W9yXkCVuxk54k8vQu&#10;La/liEdMo8UdCl6QW6QAgzZJYQvIfCBHvIE4I8sAMdEGbYBAJyUwfM12IF6mj4lD+BqSGAQvKeqg&#10;T5R4YtJTETl9lmnQFgn6TjGQWDKiLANtRT6WgTGSMpK1fhin5zsFxzkmuGnkaXuWEMU2Ip2Ok0IV&#10;+qTjY6TGv8zcWPcK7wWANrNP+OSc6XxMb40z60I/ywhjGA+Wa42NjLfmKmccYmCdMS9Af3EfoU5g&#10;rV+r70578tpbv2jYh8HlVx8e3bsZ9hzUMVPmOeSY482H9Y7jOI7jdA/3PrSgYf8GVQhxr73Rt149&#10;2KqkE5OqJEyj8+eIV0XCU6ptqTjCNLpsSkSxdpWljLglYZ7UKWuU7fTrSXndOskMxOYO4hyvlznR&#10;To83+sw2YDy1kJdDzhxyrmL9JEwHUc+KLwP7pduVam/OvSYlwqrktbvuuquwXsdpR04/58KG/Xnk&#10;4ZP+Vlvn1QXrD/N4hZv10N5xHMdxnGrRQtxBE05+pGuLLgz6D/MuxDmO4zhOz/C7a8Y07N/g4EMO&#10;jJ8QZ7yeZfnKs80H9n0FKaJZ8RZS2IEgx+uU3SzJhzCNllf0SU8aKcXJfCBXvJFlANl2iUxjocWv&#10;mDgkr1uUFZQksTolclyKiMlEaJ98nWqMmFxopbWA7IT0UlzktSJkHi29of2Ms4Q9eRpdGaEqteZy&#10;1iPTWPcK1qVeqxKsG/RZ5mGc1QfecyC2VizKrjE99jIuRexnD9ZU6meCxhoXpz3Bvqv34hPOGJdz&#10;QlzDa8+Hjz/cfFjvOI7jOE738MTTDzXs3+DI44/fq2urzgq7DxgyUJfhQlxjXEyqkjCNzo/TtpjX&#10;kpmkUAUskSzVtlQcYRpdtpSnqhKTUJ5VVwrmAdYpa3L+Un2Q14k86UzH8VWv+LT6D7lNn7RmjTfS&#10;sR2Yy7JjyTYirxUPpEQWk+4g9jFNFVJYbG3FrgMpGkJS0/FAymtl1kmKnHvccdqRCy69smF/3m/k&#10;hC9r67y6YFnxLsQ5juM4Ts8weNj4hj14yEGHP9u1RRcG/Yf5vfbb33xo7ziO4zhOtfzhj2Mb9m/w&#10;HwcOvbhri94pWL9393UhjsKJdXpWDIhFyAOkKENRDp8yvYRpLNmJJ2BJCQbpUQelJ0ueodRkxUmk&#10;/JRqI+pDO6QIhq9xzRJupJCl4yH1oC7ZJ8hOGO+YkJcLy7QkKCDnSYP+QJTCmOS0I9WPlNSXErsk&#10;XA9yLsvIgqxHC2ZoN+uw+imlLUuYi5Fac6k4wjSxdYi2om1y/DBnsfHmvHAcJcjD9pQZ09S6lqAP&#10;LF9eT60/SWqcMA7oE+aVfWQe1Iv5RdsYh8+YvOe0D5YQN+6og39dm+Nk0L9373PgKPNhveM4juM4&#10;3cPLrzzVsH+DPQYM/VHXVp0VkF6X8cySF8wH8+1KjiyTknwg7TC/jiNMY+WXMhPSUZiCGCRlOMbr&#10;/Km2peII0+iy+cpUC+QBkKy04IXr6JMUniD+5UhbFrJeoMeIshk+dVsokyFOynTW2Mp8QApk6BPb&#10;jDrQBtYr83As8Smvy5MAi05x06Au5mUf0Ba5VjG+chyQjmOBOFlGmfqRD32R5eFTjo0+QS82BoT5&#10;KAcCOTdAzg3WjVwv6A/So3zdF/Qd61amx9csD/EyveO0O1dcfW3D/rzXfsO/rq316oL1h/lLLptv&#10;PrR3HMdxHKda9jv4iIY9ePAB41/s2qILg37tuQtxjuM4jtNzyD0YlBXinnmxNWnJ6T1AlKlNc50y&#10;8lNvha+MhDRlxTvFkqaUxVoVFJ1dB6Q4KQ9WIZw6uxa9Fx847sDo3s2gf+8G1sN6x3Ecx3G6h2XL&#10;X27YhwFOfOvaqrPCDwcM/64u48577jcfzLcru1qIgxCk5SwJpSR+rfOn2paKI7Gy0S5KVimQBpKS&#10;Li9G6tWnFswH8SrVHingEchQqTxy3HVeICU+Cy1ypcZbCoZaIkshZTeJni8pB8ZAuzCvMl8KrtsY&#10;GD+dJzUGICZayjRF9wTB/Mh8VhqJtUYcp5259sYZDftz5UKcZcVfMHWm+dDecRzHcZxqGTbm2IY9&#10;eODQMfknxBmvX8OJNdZDe8dxHMdxqgUiutyDfzqkI/ratZ8MGLKbTAsefmKy+bDeaT8okOGkLSu+&#10;3ZAncJU5+au/ACGK44OTxKw0PFksdsqe0z5gvik4Asytlc5pDwYNG9awFw/Y/4DCV6ZaUntn54fm&#10;A3vHcRzHcapnzdq3G/bh7XSM6Nqqs4MuY9a828wH8+0KhKNaN+vIk6UkPGnMOl2Lp2VBRtJxhGli&#10;p3NBAIJ8xNd0Mi0FPYpZlkiValsqjjCNLptCEj61RIVxQnoKWLJ8jCekJyk0IR3SNCMksQ6Ui3Zg&#10;LHgNn/oEMQ3yyTwAbcHYIh/LsfICnkbGvKzTkic5lnI8JByTVH0WaCfLBijHGsvU2Gt5LweMN+ZZ&#10;9h/ge2stgqIxAHKts31WOj32AH2L9QdzgrmR9xG+LlojjtOuaCEO1NZ9dcGy4k8/8/fmQ3tnO+ee&#10;O23HDyB8baXpjfT2do8ff1q9bX/3d//NjO+toL1oN9pvxedQRRntxIknXhb+8R//x471iK/lmsTX&#10;u+8+cMe4fP/7/xBGjDimoQzH6StoIe7ffnbgC7V1nxWsP8xfftVo86G903M89vjvw5YtG8LmzR+H&#10;++6faqZJsWLFswFh27avzHjHcRynd6CFOLxSrWuL3ilYv3dfP/MY82G9015AGKtNcR1IM1aadoSv&#10;dbVeldnf4etSY2IU4/2Evb4FToLEiYAuxLU3WohL7d0M1u/dOKnGemDvOI7jOE71QETXezH+o3jX&#10;Vp0dant6pywDD+CtB/NO3wGyVW3q62gZTsLTvmKngTmO4zjdB05slfszwN/SsXdXFnQFJ59+pfnQ&#10;vp2pUrY644xv3ymNr600vZHe3m4IT2yfFd9bYZtbEbaqKKNdgAzH/krY96uuunuHCCf5l3/5XzuV&#10;5Th9gQlH/aJhD/63nx3wTm3NZwUcDS/zgqmXjjIf2vcFbp1/cl0Wg2zGAGkM4tnb7zxSj7fy9TQf&#10;ffRKV+tC/WsrTQqZ34ovw6uvLQhffvWXelmbNr1vptE8//ys+phibBm++GJzvV29ZYwdx3F6Ax0j&#10;Gx+q7zmoY2bXFm2GhrQ1XIjrG+AEsNr01ulLp6lR6uorp95VyYBB/1wfm9jpb5QJIVBZ8Y7j7DrG&#10;ThzZsBcX7d0I1ttVXn7lKfOBveM4juM41WMJcXsO3u+0rq06O+w5uON1Wcbp51xoPph3+g7yVZlW&#10;POHpXS7EOY7j9DwPL35c7O/b6QYhrtGKP+akS8yH9u1MlbKVC3HdQ18U4nDKGeLwqeMkqTJ6kp44&#10;RZAnw+HUt4suuqV+DXWxPsqrgOsU6drpXnOcMhxx7AUNmzz25Nr6zwrWaTNTzh1pPrRvdyC8SUHL&#10;ChC/cDqblb8ngYSGgPZCLrPSpKhCiIO4BqlNBoiEVloJpLlUgBjnUpzjOM52tBC3x6ChC7u2aDPo&#10;37sv/vWR5sN6p73AKWC16a2fHGXFtzPs26LHJ5nx/RGeCIhTwvAqTR0PCQ7xfem0QMfpSxx10phS&#10;ezeC9Xv3vQ8tMB/YO47jOI7TPei9eI9BHVO7tursUMvzpCzDhbi+jzwhDq+n1K8Hxfd8NSZo5nWc&#10;juM4TmtYQhz+Y1rt53J1QVvxow6dbD60b2dciHMhrrtgmy2ZDaeaIa7odLNUGT1JT6wRlh97PWzu&#10;mDlOXwESutyDWxXiJk85yHxo385AhpMB0hakM8hm+Fy77q0dslyO9NXbaVWIwyl6ljxYNDayXvm6&#10;V3zKuNyT5hzHcfo6w8dpIa7jya4t2gz69+6Tz5xgPqx3HMdxHKd72FmIS+/dCNbv3fPumGM+rHcc&#10;x3Ecp3vY58BRDXtxM0IcToaVZUyYdKL5YN7pW0yaNGnHc8kUeG2qld9xHMfpXp5Z8kLDHg/whrTa&#10;z+bqgrbiXYhL09vFshi9vd0uxPV9IQ6vQy0q34U4p7+xsxA3FPdAdtCnzRw/uW8JcZDeGCB5xU6A&#10;44lo/V2IgwzHAHENMhtDamwwfpToMI5WGnl6HGU5x3Gc/syhRw9v2L8hvHVtz2bQv3fjobz1sN5x&#10;HMdxnO7hrKmHin27eO9m0L93T5sxzXxY7ziO4zhO93DIMceL/btGxmvPddhj0NCrZRmDh40yH8w7&#10;fQ+c/IaT4H7wgx/seEYJfvzjH9eFuSVLlpj5HMdxnO5nxQcrG/f4Oh0jsHdXFrQVv9/BR5gP7dsZ&#10;F+JciOsu2GYX4orJKd+FOKe/cfqZvxcb/HbKvBsdf8CXefFw3npo365A4mLIeR1qTpreTqtCHMZM&#10;jgNDSojja14RYq95lXId6rHSOI7j9CcmnnBQw/69x+Chq7q2ZzPoP77vP3aE+bDecRzHcZzuAa8r&#10;l3sxRLeubToZ9O/dU84/33xY7ziO4zhO96CFuJzXnuuAU+VkGcB6MO84juM4Ts+xfoPxavTBQ4/s&#10;2r6rCfoP8z8dcpD50L6dKZKtcHIV0vzjP/6PHenwNa4hTqYtknomTjwv7L77wIayAASf2GsiAfIg&#10;HdOgHN2eE0+8bKd8Evbj+9//hx35UO65507LkpEA6qWURPA9rlvpwd/93X+rp0M9gPlxPVfy0nOE&#10;cjgmAH3KKQt9Qz62CcTmkuA6xh3tlmOHMlBWatyZVrZN1m2h+6Gv49OaQ5knl4suuiXstdewhvL0&#10;fKLvjIshy8QYo0y9TjDOQ4ZM2Gmcc8ovQpbnOH2Js867oWGTBz8ZMGS32rrPCvq0mdGH9x0hDlIX&#10;Q6uv6URZKOPLr/7SVWKof41rlgCGU9IQvvhi805xEqaTsplsN76W6QnkMtTNU9nwie9xUlurr0zV&#10;MKSEuNw6OX6xU+Qcx3H6E1qIK3qorn/vHjRsmPmw3nEcx3Gc7uE3f5wo9u3ivZtB/97tQpzjOI7j&#10;9CzHnXa62L/zXnuuAx6uyzIAHsJbD+cdx3Ecx+kZLCFuz8H7nda1fVcTLCveemjfzkAwqnXVFGsg&#10;72h5TaLlpZRYliP+QCKSeQjlIghFWjSSxMQ0iE9SetJAYOLXlhCHcUjVC1CGzgcYj/5rGSzWX42c&#10;I/RRliGJtQFg7Kw8BPNsSXFSvIuh1wGx4psV4tD+2FpEmWWlOKRPtYXroIwQhzKteAnqlOPsQpzj&#10;xLlg6syG/RfsMWDoj2rrPivgf8PJvB0jh5kP7dsR+fpPnGBmpclByl6xsHbdWw15ZN0xqQ3yGoPM&#10;L1/zasl26AtFOB1wnZIdgs7bDAxVCHEoAyFVluM4Tn8BrymXezDo2p7NYP3ebT2sdxzHcRyne9hZ&#10;iEvv3Qz67So4pcZ6WF+Gb75aG776y8fhb1tWhr9u+SD8beuH4Zu/rQ3bvl5vpnccx3Gc/sxFl1/W&#10;sH/j9NaubTo71PKMaCxjaHjtjaXmw3nHcRzHcXoOvMZc7s/4O3rX9l1NsP4RcPU1D5oP7tsVKVvp&#10;OMo6kHjkSWAQfyBfaXmpSIiDlIZPKS9BVpPSlXXimJbRkB75EId6pCjF67H8qJ/XIZdpKcoS4tg+&#10;pEUeCk2oS46fHg/AOIJxQx0oJybwaWQdAP1lO/X4WWVK6QplcYzQDzkGlqCHsnEd6eTY6nG3ZDpZ&#10;p47jnFh1SliGLIt1ybZjbem8KThm6INcj1h/aJNeB/iebdBxhJId5D2ZBu2Vc4h4mQ/klJ87Zo7T&#10;V7jksvkN+y/YfcCQgbX7ICvo02b22m9/86F9OyLFMMhnVpoi3n7nka4StktcUm6DmIYT4Bjka0Bj&#10;sptElo0T33g9JcShXHkqHOP1yXAMMm+zMOQKcbIvGgpxCFa84zhOf2LKuSMb9m+Qeu25+cf3t35h&#10;PrB3HMdxHKd65txxQsM+DFJ7N4P+vXufA0eZD+tz+eab9eGvn78ftqx9I2z+8E/h05Uvhc8+ejVs&#10;Xf92+GvnyrDtmw1mPsdxHMfpr/z2D9c07N+5p7zKgP+E3ljG0PDMkhfMB/OO4ziO4/QcOwtxQ6/u&#10;2r6rCdYf5vGA3npw365IUUfHUcCxBB6LHKnHAsIQxaaUPAWsU9BkvVoIk3FW2ZC8pNil2y1P/ZLi&#10;lIRjiD7oOOYFVv05yDlCW7V8JsfPGh/GSRlQIsco1kcLmU+PG2Bcak6L5C6WASzZT46NFPaKYJ6i&#10;V+2Sor7mkOpzTvm5Y+Y4fQUI6HoPLvNudOu0GeuhfTvSqnwl5bOYDIY0fA0oPmUchTx9Xcfr16qm&#10;hDgpnuk4gGvy9Dgd3wwMKSEOciAD2milAS7EOY7jfMt5F+4sxKVOeYXwrtM//MRk84G94ziO4zjV&#10;s+CBkxr2YZBzQrv1e3dn54fmA3uTbzaEbV+uC3/57L3w2YcvhbVvPBZWPrcwvPfY7eGdh28Jbz80&#10;O7z7yNzw3uN3hI//9HD47OPX6ifHbftqnV2e4ziO4/Qzps2Y1rAPNyPEQYJvLGNomDXvNvPBvOM4&#10;juM4PceESSc27M94O1rX9l1NsP4RcPqZvzcf3LcrUijScTxFC6dvaQnLohVpKCX7MA4ymI4jrFfL&#10;V/JVobE+QIpiGt1u5k9JSLLfWijjdYylvF4GOUexPsTGT/ZNXtcwTUyai8F8lvSWiou1V8MyYlJm&#10;s2uOkmDuvDRbjyR1r+WUnztmjtNXsIS4Mu9Gt6T2310zxnxw3260Kl/JE9xSr1yV6aSkJq/r16bK&#10;E+TkyXIgJcTxRDot0UlwIh2DFV8WhpQQBygGIqBP6COu4xPjJ+cDQed3HMfpb0y9tPF/roHUQ3Xr&#10;9+7rZx5jPrB3HMdxHKd6IKLrvTjnhHbr9+5ly182H9hbfPXF6rBlw9vh45ceCs9PvyI8fPHJ4f7z&#10;jw0PnH9cuO+cSTWOCffXPu89++jw2K+nhDfvuTlsePvp8JdPloVv/BWqjuM4jhPm3TGnYR8GOae8&#10;6gCRTpZx7Y0zzAfzjuM4juP0HMdMntKwx/eIEHfy6VeaD+7blZSkI2UqyGhFp2m1Ig2lZJ8cEYhp&#10;tHyVkzfVbubPRefndUsKyyU1R4RpdD9l3hzKtjOVLxWXMy8gVQZhmjJrToqSkOKKTsZLrZFc5Fzo&#10;uJzyc8fMcfoSPx1yUMMeXObd6NZpM3hAbz24bzdaFeLkaWxWPIHsxqBfm8rT2vRrU6UsR3GMpIQ4&#10;htQpbLntzoWhSIjDOMjT6azA+JTQ5ziO01+AgK734KKH6jr9b/440Xxg7/R9Tjn138OAQf8cLr+q&#10;w4x38hk2/H/Wf4fEpxXfCt/5zn+tl91X5umPNxxUX3eHHbm7Gd/dpMbT7wmnJ8CryvVeDNkNe3Qq&#10;WK9Ye/mVp8wH9hYQ29a++Vj407xrwp0njglzxw4M88YOCLNG772DW8YMCPPHDQpzDtk3PP7rs8Ky&#10;R28Nn3zwUtj21VqzTMdxHMfpTzzx9EMN+zBoUoh7XZZx+jkXmg/mHcdxHMfpOS649MqGPR77ddfW&#10;XV3QVvyEo35hPrRvV1KSDsBrKhkPcLIWZCLr9ZQ5Ug/Kg4CEU+dkucSSfXJEIKbR4lRO3lS7Y+20&#10;wNjocWFcSugqomiOANPofuIVqsybgyU94lQ6nByHsnmymsbqXyouZ15AqgzCNLE1F0OPDeYa/bRO&#10;4ctZ2wTxKFu+ildj5WFcrPzcMXOcvsTOQlz+u9EtqX3ylIPMB/ftRqtCHPPHXnkqYdCi2qZN79ev&#10;QwST1/m6VHzK66A7hLiUqHbf/VMb8msYioQ4gLLQZ3laHOpGP3FKHMcjpyzHcZy+zh/+OLZh/91O&#10;+pTXPQYPXSXTn3zmBPOBvdP3qS2HHVjxTj6QqDCO+LTiW4FzdO4Fg834doNjBe6+93AzTXeSGk/G&#10;AR3nOFWxfOXZYs8mxSe0W79346Qa64G9xSfvPx9euf3a8OCFJ4Y5h/ws3DZ+ULh93KAwry7GbQfX&#10;7jxkn3DzyL3CfWdPDC/P+k1Y89qi8NUXa8wyHcdxHKc/YQlxOa8912GPQR1PyjJwIo31YN5xHMdx&#10;nJ7jiquvbdjj4a51bd3VBW3Fjzp0svnQvl3Jka0geUGCkzIUvtbiTkrqwQlcOXKZJfvkiEBMo8Wp&#10;nLypdrPPqfwpWG5K6CoiZ46YRreTr71N5U0BgTEmwUms/qXicuYFpMogTKPnLgfk0WIcRDYtNqbW&#10;CIFIx34VofPmlJ87Zo7Tl9jv4CPEJl/+KFiZFxw/uW8IcfLVoVosy6EKIQ4SGANfuypfl4qT4mR6&#10;0M5CXBEcU31inuM4Tn9F78GFQpz647sLcf2Xf/3h39d/7+mOU836G+0mxC16fNKOcvG1laa7wCls&#10;qPefdvteWLrsDDNNd5Iaz95yT+CEOrQDp9lZ8U77I/fh7RQLcQj6P5NPmzHNfGBvserFB8LDF58S&#10;5h7ZEWaMGRRmjNxrJ2aO2jvMHj0gzBw7KNxx4ujw2FVTwoqn7gxff7HaLNOxmTf3hrDvvoPC8ccd&#10;acY7/ZsxY4bXf8bj04qPcc7Zp9bX1XXXXWXG92c2bVxWH0+Mz9NP3WumcZwqwKvK5T4Mcl57rgP+&#10;I7osY/CwUeaDecdxHMdxeg68wlzuz90jxA3qmCkrGTxsvPnQvl3Jka0kUpDCpzxNKyX1UOZBHtSp&#10;haOU7JMjAjGNFqdy8ua0O5U/BctNCV1F5MwR0+h25uSNgbnlXENmxNzr09NYttW/VFzuuKbKIEwT&#10;E8lyQL/kWOl2pdYIkfkh2enXsMp4eR3klJ87Zo7Tlxg25lixyddfmfpk7T7IDvq0mdGHDzcf2rcb&#10;UkZrRsCSQp0VT+QrUy3Bjael4XQ0fM/XpepT40h3CHGtwNCqECdFQMqBjuM4/Z299ttf7+HJ157r&#10;P74PGjbMfFjvOE4+7SbE4WQ2lrsrTmnblXTHeFYN2sZ2WvFO+4O9V+7FRXs3g/7P5FPOP998YK/5&#10;25YPwtsPzg4LThkbZo3aO8wUEtx0wYxR26W4GaMHhrmHDwn3nHlkWHrfzPDlnz80y60SSmS1bu5g&#10;991/WJdc7r9vnpmntyL74XKOo+H6wKcVH4NrCljx/RncZxybsuPqOGXo7PywYf8GewweemRt7ZUK&#10;2Pd1OdaDecdxHMdxeo6dhbjmXo2eDPoP83h9m/XQvl1JSTox8FpN5pHyTkzqgWzE63glJa9LUrJP&#10;jgjENFqckqd/yeuSWH+AzK9lsByYV7erDDlzxDR6jOQrb63XoaaQ46LlLsJ4q3+puJw5BakyCNPE&#10;RLIy4CRElievx9a2hK9Ixal8VnxqHnPKzx0zx+lL4DXlcg+G4Fa7D7KDPm2mrwhxELB4Mho+i05C&#10;AzLNihXP1vMiQHqT6SQynVUHxToKcHxdKgU5TUqIo1yXktNyRb5cGFoV4ijqxURAx3Gc/kjHSP1Q&#10;PX3Kq/7juwtxjtM6LsS1D90xnlXjQlzfZ+zEkaX2bgb9e/dxp51uPrAn277eEP7W+UHY+N5z4eXZ&#10;vwm3Hj0s3DJmQF16kyKcBFLcjJF712W5244bHl6Z/5/1MqzyqwAnO0F8q3UvSrsJLjjJC+3+7/+8&#10;W71/VpqqaPa0sd7Ea68+vmOu8bWVpi/RrBDH+6Q75rrd19H7778Uvve979T70N9O0EN/0W/034p3&#10;qsUS4nJPeZVhz8EdI3Q5Kz5YaT6cdxzHcRynZ3h48eMNezOoXogbPPRIXcnV1zxoPrhvR1KSToyY&#10;vBO7DpmK1yFo8TqBaMbXqVqyT44IxDRanJJCmCXjoW3ylaBaRpJSWErKitFKXpIzR0yjx0jKiKnx&#10;s8B4Ma8+0Q/IebX6l4rjq1whkek4SaoMwjR67pohNtayrzGxkOsIEqUVn3p9bezekeTcB47T1zji&#10;2Asa9t+yR8FqqR2n1VgP7dsReVraF19sjkpxkOcgqElZC2kZILHJ9AT5iiQ1fYIcQ+yUtJQQhzYy&#10;WJKeLB9BxzcDQytCHNpKOTF1up3jOE5/Y/i4ckKc9cf35SvPNh/YO46Thwtx7UN3jGfVuBDX9znq&#10;pDEN+3C+ENf4e/c+B44yH9iTb75aGzaveT2sfPae8NR/nh9uOWy/MG/swDBrdFyIA5Dh5o4dEGZP&#10;+I/w/I2/Cp+vfs0svwrwWtFa1+pcfvkFOwQyfOJkOMT7iU9xmpWrehPydK/+cKJeb5yzvrCO+iv4&#10;ucn7x4p3qgd7r9yLc095lQGvWZVlgGeWvGA+nHccx3Ecp2fAXqz35z0GDP1R1/ZdTbD+MH/JZfPN&#10;B/ftSEwAAhB8cGKWPB0MX/MkLMTL9Cmph7IQ8jIOspZ8BSuwZJ8cEYhpLHGKsh3qoZBn1Q0sGYn9&#10;BfpVmBDFUA7qt04GY76U0FVEao4I01hjJE89Q7wUujAO+B790vMpJTD0jVIcPmWbgNW/VJzMzzlB&#10;fXr8U2UQprHmzgLpsCYg/EnRD+PA9ZCaS6wHjBvXEOMpvMl1BlCuXEOAcQRtYlysH1zj1hw7Tl/l&#10;mJMuadh/Qe0+yA76tJm+JMQBiFwMkLIglUFGg2yGT5yoRlkLcpvMK09bgxQnJTTkhWTHIOM0lObk&#10;p5UOpIQ4KemhbsbjupT/GGTeZmEoEuIwrhDypHSIMZHtavWUOcdxnL7GoUcPb9i/8Tq1ru3ZDNbv&#10;3c+8eIb5wL4vsOjxSfV/23/nO/+1/v2Sl04Khx25e/17XP+n3b5Xl0+WLvt2DP54w0HhX3/49/V4&#10;MGz4/6yXw3gN0iONzAMgR11+VYeZByAP0lFImj1v7A6xCqC8lLRTVX586jiOD/qNsUE5GCuWjTyp&#10;MQFoD+uIwXnJAf3E3Mk+AvTzlFP/vWEOJZgDpGM/UY5sF9eAzqdJ5WOb8Knz5aDXHL7G+CGO16w2&#10;Yj2j76iXcwbQNoyVniOORQqZvmz5ObAN1txXNVfNjifrYv0WvN9ZDscCYxVLK9sCMJ7WzwZZrkVs&#10;faEsxOm0uB67LzB3SMd5wPigL7iGT46X0z2cNfXQhn0494R2/Xs3sB7Wk6//ujpsWv5ceOv+GeHR&#10;y8+oC265QhzSzRw7KDz+mzPDqhcfDFvWv1Urb41ZT7NAeqt1qw5OVbPSOGn6gsjkQtyupy+so/6K&#10;C3E9zyHHHN+wD+85qGNmbfxLBZw201BGjVnzbjMfzjuO4ziO0zPgtFa9P0Ni79q+qwk/GTBkN13J&#10;WefdYD64b0ekmKTjeD2GPikrJfVAEJJ5NRSGLNknRwRiGkucgmilxTeC6+gHv7dkJIhPWmiysE4G&#10;Y1xK6CoiNUeEaWJjJF/9GgOSWJl8GDvKhlb/mM6Kg4hmzYlOG7suYZqYSKaR69QC7ZKiHJFioYTx&#10;qXUG5BqS5YLUvUNy7gPH6Wtgv9V7cJmjYK2H63/441jzwX07wtPfigIkNS21IS9fcRoLkOkggsl8&#10;GvlaVQSIdlY6kBLigD4FTgZIcrIunbcIWXdRQD0yb1HAOGI8ZR7HcZz+zsQTDmrYf2t7cvKUV+uP&#10;73PuOMF8YN8XgFBT6/b23w1uOGjH1xrIIxBHUkIKytLlU+BJEZNYKLBAPIFQo/ORmJxTVX6rfcyL&#10;/lGS0UCkiQlRkKisPBpLirKgvJMCZVnyD8QnxKOfqXZhDHVewjIsIDtReLLGsgjOg4WcV0vgQp9l&#10;egu5bnPWayvl5yDHMhbXyly1Mp7MG5vH1H2m74dmfjaUFeJQn5btNLh/rfu06GejNT5OdVz86yMb&#10;9uGivZvB+r17zdq3zQf24Ku/rQlr33oyvHbn9eHhi08Jsw/9WeErU+sc/NNwy+i9w4zRA8ODFxwX&#10;Xl9wY1i39Mnwty3Vvjq1v4lQ3UFfEJlciNv19IV11F9xIa7nwevK5T6ce8qrDrIMcO2NM8yH847j&#10;OI7j9AzrN2xs2Ju3U/7V6Mlg/WH+5NOvNB/ctyN8LSZEHh0HMQdCFKUngK9xTZ6SRuSJYlY8ypOv&#10;jUSdKAvyEdthnczFPFYcYRrrtagAdaAuCkuybsSzj1a7CU+CQzoCyQl1yxPBJKwv1q4cUnNEUuNH&#10;OP5sE0C/0Sfkh/hn5UPfpMyFPBDUkD417kV9x1gzP0AdWrLMGT+mSc2dBn3SY4H6Ib3FxgGg31wr&#10;yKvHW68zgDQYe94fiJN5mI/pY/3gWOk6HacvYwlxZY6CtY56n3rpKPPBfTsD2QtiHE9pQ4DMBlGr&#10;SGhDPNLxJDkEyGcQ22KvYZUgDfPiM5UHUh6DFvQI+iJFPfQJJ7FBOEPZCKjHypuiFSEOJ+bpMUK7&#10;MOaW2Oc4juOMC8dP1kJc+pRX6/fu62ceYz6w7wtI6QNAWoH8gTic6CRlEso/kFJ42hNkM15HWlk2&#10;oDCGTymdIL+UW6zTlijfyHpZhs6fkndaza8lG8B8Mj9lM4wf60TfdV455hCIOJayTcgfO7nKAv1C&#10;HkhSUsBCGWgb60O8zAdkPMA8sgw9TlwbEtkf5LX6Q6yxTCHbhrHimKBOLTpZc4gxQT6sLzmeco6s&#10;dSv7JMdT02z5KWSfU3Esu8xctTqeqXtCl22tA3wyfSs/G1JjRNA39glzgXrYX9Qhy0A75PwBuQZY&#10;BvLgOspKrQundX7zx4kN+zCozUNhsH7vfvmVp8wH9uDrL9eGz1a+HN577PbwxG/Prr8yde6YgWHm&#10;yIIT4kbtVRfnZozaO9x75pHh5dm/Dh+9+ED4y+b3zXqaRYpQkDqsNEWgjDFjhofvfe87O8raffcf&#10;Nrx+VYP0SHfddVfVv58394Z6HuZHvBSz3n//pfqrW1nHf//n3ZLtRblIh/RWfBFoDwUl1of60Q6m&#10;kf210O1j+tdefbwOy8d1mZZtT4lRHD98WvEAfWA6YPWBdaWQZbK81Nizn5xbCfMjDmtDvq7X6ksz&#10;a4swL/PJNdOsfMbyrLbK+UXbUBfqZP3Ig7hYvhjWWPN+kOVb8yvhXLPtKJd1Y0yRD+1jeXhdsi6D&#10;yHTyPk3NPdH3FsD3uK7Tss0oNzbfLMuaE4B8bJeuI+c+T8H1ECO2vjC2yCvnHnOAUzpz6+7vXHT5&#10;ZQ378J4FJ7THAk6HleWcfs6F5sP5MmzduiVs7fw8dG7+LHz+2af1z61bOmvXt5rpHcdxHMdpRO7N&#10;oJlXoxeGnwweukVWgle4WQ/uHcdxHMepjiuvWtCwyYMyR8FaD9ennDvSfHDvOI7jOE51YL/Ve3DR&#10;Ka84iUamx6vbrAf2fQEpfUD4kGIKgDjCeADRRcYDKZZQgskBAgqlIZSh4ynfxOpFfogsiLfEs6ry&#10;W/IPywVF4pEeE57sZdUJOCaQbqz4Zkj1RbYVApEWg+Q8WePIspFG5wXoB8u36o8h67XyIR7tYdnW&#10;Gkoh+63j5H3RrPiUKj9FKl8rc1XFeHKudX7kZT4pvUmwDqz1YyHbarUjZ2xlmtgcyrWp72O5BlJl&#10;ON3DggdOati3QdHejWD93j3vjjnmA3uw7Zv14cs/rwqfrngxvDz7d2HuEUPD/HGDwqxRA3aS4CQU&#10;4qaP2jvcfcZh4fkbLwsrn70n/OXT5WY9rUApA5+WsJMCAgfyxoDkYYkslFCQX4pwGsg2kEekOCKJ&#10;CSeQfZjGik8hJS2NrC/WJqJFJl6H5KPzynLZ9ljfAMcvlibVBznPFI5SyHJZryVpEeaz0jB/bN5l&#10;2mbXFpDzr0E+1p0aY4vUuLN8jKkU1STWPVZ2HUHiSuWx6gByXVnrg2Iby44JZkDOjZwDXrPmHuk4&#10;fjHQLplHineWMIcyZX4dD/Dzg/FSNsu9z1OUFeLQ3qI8GH+rr04jv/3DNQ37cO4przrsMajjSVlO&#10;FUJc52efhk/XrgkbV60MGz9aGTat/ihs3rgxbPl8805pXZJzHMdxnJ0ZPGyU2ONrNPFq9MIAm15W&#10;MurQyeaDe8dxHMdxquPqax5s3OTr5B8Fa/1hfvKUg8wH947jOI7jVMd5F+4sxBWd8qp/7z75zAnm&#10;A/u+gJQ+rJOYACUYCDhWvCyjrDQSE2xkXKxeIKUXLZ5Vld9qG/NYJ66B1JikypXxlgjULCmBSMZB&#10;RNLxINZmKULFxgJgDqz8KbAeWXZsbcr6y45Xao5Scbk0W0Z3zVUV4xkrGzIZ82mptllidYHUGBHK&#10;rqn7HzCdrkfOX5VyqpOHJcTlntCu802bMc18YC/56+crwlv3zgi3HTsizB0zIMzC61ANEW4HB+8V&#10;5oweWEuzd7jnzKPCy3N+Fz5++aF6OVb5raClKIgiOacUyXwQYJgH0oeUdiy5RIsxkESYX5bLMqQk&#10;gnRSZrFOspJClI5LIQUctIOyD+pEmZYkxL4USTQsl6APkJDQLynASHFJ5pek6pR9l3OJT8o4uh9o&#10;B/PIE780rBd1WPGA5VhpmJ/ge8wfkOlbWVuyLxDfrP4TK38Ktt/KJ8sFaDfXj2wzZDmdF6TKJnJ9&#10;oi9SfMMYUvRDXayboD3MC9AOtAvjJcc4JrtJKPxhfcnrzCfnknDseS/reyuWl3XpNQtQDvMB62cB&#10;f1bIcW/mPk8h22/FE/lzC+PMMUf9co0AObfOzmDf1XtxbdxKhz0GDb1aljFs3BHmg/kiOjs/D59/&#10;silsWr0qrHnnzbDqlRfCBy88Hd577omw4oVnwkdvvBLWvb8sfLZhvUtwjuM4jlPAhEknNuzxzb4a&#10;PRm0Fb/fwUeYD+4dx3Ecx6kWuf9up9y70X8yuKPhlNeJJ7gQ5ziO4zjdzeVXjRZ793aKTnnF/26T&#10;6cdOHGk+sO8L5Eg7KTEFNCv+gFTZRfWCVN3dmZ95UhJWrFyewmWJOhCSeDJWlRJOrmSl4wjT6LFI&#10;jZ8kZy40Oe0CTJOaC4tU23P7laLZMrprrqoYz9g88tTDorLLkFozOX1hvNUPCV/PivtOXq9iDTjN&#10;88yLZzTs2yD3hPaf7LP/xzIfXt1mPbCXfPPlmrDs0VvDglPHh1mj9wqzRu1dl+Jm1j4tIQ4i3K1j&#10;B9U/H7no5PDe4vnhsw9frp82Z5XfKtZpXFKmsqC8AaHEipdikpY7KP+wHhkHpDiCenR+CCSs38qf&#10;K6homA9ikRVvkSMyAbYHaOlHwjakyovViXFhHTGpB/Olx2xXCHGp/lWxtlAGRSeJlO1SbbBg2VY+&#10;lgkgN+l4ziuw7qtU2YRSWWxu5X2hx07WHxsbIGUxqx8yXgtovK7nXubR80XYPrRNXpc/m+R1IH9O&#10;AOtnAccD5fAa6ypzn6eQY2vFA7lm9fgQOU5WX5xvufehnd+yknPKqw5aiMOJNNaD+RhbPv88fLph&#10;XVj91uth6YN3hRdvuT48e+Nvw1N/vDI8+Z+XhidqPPmfl4Wna9+/eMu08N6zj4UNH7wXNm/a6GKc&#10;4ziO40Q4ZvKUhj0e7lrX1l1d0P8I+OmQg8yH9o7jOI7jVMu/7zv8/8k9uOy70X+yz9ClMv/ow4eb&#10;D+4dx3Ecx6mOP/xx7I69l+wxeOiRXduzGfTv3YOGDTMf2PcFcqSPlJgCcsrACVIQT3gak8Yqu6he&#10;kKq7O/MzT0q2iZUr64Qcx5Pp8Ek5B+gT63JA2SiTJ7JZ6Dw5chHT6LFIjZ8kZy40Oe0CTBObC4wj&#10;hC22wSI1R6l+gWbKT5HqdytzVcV4xuaR14tOY7No5mdDUV/k/FmvNJbEyiqzBpzqWb7y7IZ9GxTt&#10;3Qz6P5NPOf9884G95sPn7w0PX3xyuPWooWHmmEF1GW5GRIibPnLvMG/soDBr7ODw1O8vCOvfejL8&#10;rfODsO2r9WbZVQBhg1KOBCKJlmcgwjBeXtcwjZZzWE9MSJHyiHXqE0gJRDmCioWUpWLijibVDgnL&#10;LTp9im1PlRerU56Yldt+IMcbX1tpAOuNCT2A5VhpmB+ndcWErFbWFsrkdSlAaXiSWmqMLWLjDorq&#10;LRrjVNlA9i1njvQ6k/dE0dpIncpGQU2La4Dl67lnnljfgBwf2T65HvTPAspuFAXlKXBACmayzGbu&#10;8xRybK14IOW92NoHMp0V72zniacfati/Qe4przJg39flrN+w0Xw4b/EZZLi33wiv3X1ruO+8E8Mt&#10;h+0X5hyyb5h7+NA6txzWUf9+1vj/CLefMDY8XVt7y55aFNatWB62dHaaZTqO4zhOf+eKq69t2Jtr&#10;+/Wqrq27uoCH77ISYD20dxzHcRynWn42/LCv5f5b9ihYfdpMx8hh5oN7x3Ecx3GqwxLiik55tX7v&#10;xsN566F9u5MjfcQkGJIqA69PjIkuEqvsonpBqu7uzM88ljREYuXiFLiiMSmSeDQok+0tQufNEaWY&#10;Ro9FavwkqbGMkdMuwDTWXMiTy1Lotuf2q9nyU6T63cpcVTGesXlsZn5b+dlQ1Bc5fy7EtS96H849&#10;oV1L7cPHH24+sNdsem9JePW2a8Ojl58e7jxxdJg9YZ+6FDdn9HZmjdorzBkzIMwdO7Drlap7hztO&#10;GBNemff70LnuDbPM7gBiCgUTAoFIShxSAMlBCzJF8k+RPARSZeQIKhY4uYuSDT4hmKXkFVDUF8L2&#10;6LHQsO2p8mJ1UjwC8noROeMNWG+qDyzHShNrt0TOXQ6ynrL9SLXDIpWP9eaMjdW2ojbJvuWgy5Hj&#10;Kq9byLR6/VOWs8Q/5tFjwL7loseH96Q8NY2yG+Ji4hvvBy3KNXOfp8gZ26L5JVXLen2Vl195Suzd&#10;28k95VWGPQd3jNDlvPbGUvPhvMX6FcvDW48sDIt/OzXccsTQcMeEweGO8YPCreMG1plX289vHz84&#10;LDhkn7oAf/8FJ4eX588Iq157KXR+vtkss7/x0UcfhR/84Af1NT9lyhQzTTsycuTIep/wacVXAcYO&#10;5e+zzz5h0aJFZhrH6Qt897vfrd9P11xzjRlfBT1xzzr5aCGutl931uan2mD9I+DKqxaYD+4dx3Ec&#10;x6mOjoOP+ovcf8sKcfoP83vtt7/54N5xHMdxnGr5Pz/rUFJ7+pRX6/duvL7NemDf7uRIH0WyS6oM&#10;5sXrCCGe6FPPUmUX1Qty6u6O/MxjSUMkVi4lKpzkBviKVHzipCydPgcp9aBMyEaxeHm9KI4wjR6L&#10;1PhJcuZCk9MuwDRIL6/LtqHe2fPGRuN123P61Ur5KbprrlodTxCbR6y5nLIlLKuZnw1FfYEgynir&#10;HxKeygg5T15vdv6c6qj9vlxq72bQv3fvc+Ao84G95q+frwgblz0X3nlodlh85S/CncePDLPGDgy3&#10;1CW4AWH26L3rMtz88XhV6l7h9uMOCo9e/vOwfPFt4W9bPzTL7E4gpfAkLSAlF3mKUQ76ZKciOUTK&#10;P5Y8BFJlWIIKBRgL+QpLSCg6LfrbTDskLEvLQhq2PVVerE5eL/sqyJzxBiw/1QeWY6WJtVvSytoq&#10;249UOyxS+VhvzthYbStqkzz9LwctrHFdAXndAvcD08oT+GLiGWGcHgNKdDng3tOvlOWakGIbxTGe&#10;Ysc6ZN38+SVFOlL2Pk+RM7ayDiue5K7h/s6atW/v2IO/pWNEbdxKhZ8MGLKbLueZJS+YD+ctPnjp&#10;ufD41ReFO04aH2aOHVzfz28Zjf38W3ANctyM2td3Tj60/irV5c88Gjo/+8wsswruuuuuHesIIsmS&#10;JUvMdASSCdLuChEEIhfbCrHLStOOoC/d3ae+OnaOo+E6v/jii834KuiJe9bJ59obZzTszaA2P9UG&#10;mPS6kgumzjQf3DuO4ziOUx3Dx52wpXEP7ni9a3vOCtZpMzi1xnpw7ziO4zhOdWghDqe2dm3PZsAr&#10;XRrS13j4icnmA/t2J0f6SIkpIFaGlFIuv6qjIQ9Jlc241GsY5QldqE/GVZXfahvzpGQbptHjSgEu&#10;Nt7NwFekQu6x4lMCUZFcBJhGjwUkJuZNjQXbZ41lDJzsxbJjY5USnzi3GG95ncTWbVEcaaX8FN01&#10;V62OJ4jdE7i/mU/LmBat/mzIGQfeZ7F7gjAdpD55vdn5c6rjgLHDNzfsxQV7N4P1irXOzmJh7Zuv&#10;1oUvt64Mm5Y/F95YeGN4+vfnhwfPPzYsmDw2zD9meLh14gHh1qP2D/NqnwtOmxAe/82Z4fUF08L6&#10;t5+q57XK7G7kSUpSRpEnyMn0uRTJPzlSSKoMS1DJFeIATouCcKNFHikHkaK+EJahZSEN254qL1Zn&#10;bls0uRIOy0/1geVYaXLa18raKtuPsuOUysd6c8bGaltRm+TJYam+xeC6Ala8hjKZlCtjJ64Rlq/H&#10;gPde2fEm1quAOV68JynNsb1S6tNCLilzn6fIGVvGuxBXDdhz9T6ce8qrDD8cMPy7upxZ824zH87v&#10;xJat4a1F94aFPz8qzBo7qP668xmjtiNfgY6T4WbVmFlLc+vRw8MDF5wc3nzwrtD56Sa73AqANFLr&#10;3g5wApuVjjB91SIIRDy2ISblyRPiuvP0p56mJ+SapUuXJk/OouiINDrO2U5PnDzmtA7mCLgQ13+4&#10;8577G/ZmgD27NkfVBesfASeffqX54N5xHMdxnOqYMPHMT+T+W/bd6NZpM5dfNdp8cO84juM4TnUM&#10;OmD/xj284JRX6/fu62ceYz6wb3dypI+UmAJiZUCM4XXrtYWQYvjKRKts1gu0rAKQnzJLd+a34liu&#10;JQ0RptHjKgUctEHGNUtM6iE8BQvouFYkK8A5xKfVH7SJ5Vv5Y0jZzpKaUBdFO6DnInbyF5ESl54j&#10;uXb1yW+klfJTpOajlblqdTxB7J4oKhvgZwDjWv3ZIMc2dg/JdReT9FJzhO9jcU7PoIW43BPard+7&#10;ly1/2Xxor4HY9sXnK8Knq/4U1ry+OLz3+J3hjbtvDM/feFl47Kqfh8VXTQnPXX9JeO2O68LKJfeG&#10;T1e+XE9vldVTUDwBvFZWrtEUyT85UkiqjFbbJ0H9lIOs9hT1hTC/loU0bHuqvFidlIKAvF5EzngD&#10;1pvqA8ux0sTaLWll7sr2I9UOi1Q+1pszNlbbitqU27cYZcdVSmgURimOxYQxptdjUNS3IiCusWxI&#10;efJ7tg3Sm7xGgRAyni7PAmOaus9T5Iwtyy4aA7YbaFHXaUTvw80IcQj/Z99hX8hycCqN9XB+B1u3&#10;hs7Nn4X1HywPL827Kdw66aD6a8/xCnQpwu0Q4mogDifEzRgzuH6a3J9umxE6N220y68ACm6UfcCM&#10;GfF+dZcQJ08w62+v9OwNco0UI614p2dEK6d1emKeXIjrXTy8+HGxv28H/7G8NkfVBl2JC3GO4ziO&#10;0/0cfsy5qxr34HLvRrdOm5l66Sjzwb3jOI7jONXxs+H7r5H77x6DOp7s2p6j4f/8bOhfZZ7f/HGi&#10;+cC+3cmRPmISDEmVQVELog3jILBAgmFcrGzWSyDT8LWKEFykvGO1var8VtuYz5KGSKxseSqdBnUB&#10;iDox0ccCfUN+jKkUjCBzyX4CmQ+0IlkB1Mf8eozZLmLlTyGlJrSBY2L1S8+FlJ1kXqtd1vwzDvUg&#10;L9ct41stPwbHGpSJI0xjjXUr4wlQJuKssmWfsca5DvDJemW+Vn42ID3jUTauoR4pL+J7lsP7gv1F&#10;nBxLtJ35iKyjzPw51THi0BGl924E6xVrL7/ylPnAvogvtqwMmz9+LXz4wn3hzXtuCkvvnR5W1b7+&#10;ZMXz9VesWnl6Gsos8lQoKcvETl9KUSTI5Mg/qTJakaospIDTrOwTy69pRa6RMo31SssYOeMNivqa&#10;GieQM1atrC15KlhqnHPlJE2q/Tn1Mo01xkVjI/umX4eaQ866ksi5xLqSr0uNiVqM12MgRU2UK+Ny&#10;4cmBmDvKb/qkOtaB9jJ90YlskqL1GyNnbNmeIkGP6WKn8Dnf8u/7Dmv4XTr3tec6DD5w1IeynNPP&#10;udB8OE+2fN4ZNn60MqxY8kR4+torwtwj9g9zxwwIM9XJcBJIcficg1eoHj40PD/jD2HTx6vM8qtA&#10;Cm6UPCDH4TS2ovRWfLO4EOdCXG+H4+NCXO+mJ+apN9yzzrfg9eVybwZ4w2ltjqoN/3ufAxqs+AlH&#10;/cJ8cO84juM4TnXsLMSVeze6ddrM5CkHmQ/uHcdxHMepjhHjDnincQ8ufu35Xh0HbJJ5Tj5zgvnA&#10;vt3JkT5SEgxIlSFlKQtKOFbZrBdptKwjscSdKvNbbSvKC5hGjwmkHCn8xEAaSkVFQMJKlSn7r/NK&#10;MUjHEaaxxgJI0UoD2YgSYCx/DIxV0dxxnvRcFOWVcdbaj4mLjG+1/Bip+Wh1rloZT8C4ZsrG+sQ6&#10;ZfpWfjYAqy6dFoJc0b2GPGi7zAdSP9ecnmHiSWNK790I1u/d8+6YYz6wz+HLv6wKn699I2x49+mw&#10;cdlzobP2tXUq3LZvNux0rVUgX0AYiUkqUpSSYokUR8pKRaBI/skRtFJllJV/cmB5WpSRoo68ronl&#10;10ghzOq7lN5036U0hXbJOILydZyUnVISGsUmSD16zeB7KT5Z/Syad9Dq2uIpZvi01rVsY9nyU+1n&#10;man5ZRprXnPWEUU+a/yLaOaekG3i61JT7WP5egzk6W1F6z+GvC84D/JnEmB7GQ+QT6YpgvnKtFPe&#10;k7F5ke1HeiuNvA+bHaf+xL4Hjfm4YS/OfO25Dnt1jHhBlnPM5Cnmw3my5fPNYfXbb4SlDy4Ii644&#10;J8w+5Gdh3tiBYdZo+4Q4AikO6WaP2yc8cfXF4aPXXgqdn2wMW7dsMetpBSlCSSktJpMwvQtx1eFC&#10;XHvA8elO0cppnZ6YJxfiehcrPlj57f6+g44RtTmqNvx0v4MarPhRh042H9w7juM4jlMdJ5525TK5&#10;/4Ky70bX+Y+f7EKc4ziO43Q3ow4d/lrjHlx8yuvgA4e9LvP0VSEOgkqtu3WkrCLhyU/WKUqgqAzI&#10;JPL0KAgqEKgge/GULatsLd9A0OFrFJknJaq0mp9tttpGyQbt13GEafSYUOTBpxZxkBZlMq9VdwyM&#10;J8ZVCkDsI+cIcTof58CKI6l5IhCcpKSEr3GNcUX5Y2CMUnNHGc+aCyuvbFdsjojMi7S6/a2Wb5Ga&#10;jyrmqpXxRLqcsuU6QD3yxDgJ6mSZAP3K+dkAUJdc76gHdet0KAv1yzYhD8rlPFnwngFl5s+pjhOn&#10;jC+9dzP8dL8Dv5R5p82YZj6wz2ND2PbV2vDVX1fX+ab29bav1hvpqofiCAQbyCUQVyDr4FOKQ4jX&#10;p0JRkAEoR4pUkEJYhnUiEuvFp44Du0qIQ1kcB15Dv+VY6JPXZF2Ub5BGt5tpikQXKYRh7FgO2kHh&#10;h1h9l2kwR5w32Q8rH/NAeEIbgJaJMC4yHctGGylrEaufqTmTtLK2pHiEsWAbMSc545ci1X6WmZpf&#10;prHWdM46kuMP4Q/pMB6MR1qMHcYltU7l9RRyLCka6jUhYVprDOT6wNzJ9mGOUC7GFXMk88k0zE/k&#10;ugBSTCNyfAjqKXufp8C4Mx/KwDWUp9snxwBjxLXJew3zhriYzOk0st/IcW/JfTj3tec67D105HWy&#10;nMHDRpkP58nnn34aVr76Qnj5thnhgamnhtkT9g1zIcRFXpn6LT+tnyQ3o8YDU08Lbz5wV12s+/zT&#10;TWY9raBFKIoeOCVu6dKl0fQxEQQy26RJk3aUQ3784x+HKVOm7HTy3DXXXNOQLhfkk+VI7rrrrjBy&#10;5MiG18CyfqtPhOmXLFlSbyf6+oMf/GBHGSgTcVZegFfNIg3qYh6AsUi1l2MVG9MUqFOONdqL8bf6&#10;yf7JtqC9zGthtYljI/uJslFWMzIjxlTWhfLRB449y46NPdKjT8gv54v5sB6sfEDOOeBY4jr6yLal&#10;kH1meuTH95gH9IX14BPf6/tA08wY67rRb44HPlPjAHgvIn+sfRwftMOKRz721Xr1MuJxH1r9Sr2q&#10;mW1jvRgb1oOy5HpnuUjDawR1Mx7jJeMwriif5bJd1nhzHLhmMbayT/i6aLwB2iDXOsDXuJa6l9Au&#10;pGUa1MU2sX6r/32V9Rs27tiXyR6Dhx5ZG4tqw7/vO3yRrGTYmGPNB/eO4ziO41TH6Wf+vuGXeVD2&#10;3ej/e5+hDae8TjzBhTjHcRzH6W7GHH7gU3L/zXmo/tMh+8+TecZOHGk+sHe6Dy20laXV/N0BTqxC&#10;mwCEHisNaPZENcdxnL7C5LPHld67GfYZ3viKtYsuv8x8YN/bgbBBCSOGJdcQKZDEgNyh86XEIiAF&#10;E0seAqkympF/AMuMAdlI54HUYo2hloJi1y2kiKRBGymMWX2HSKPlNElsPqWEJtHpUnOOMjiGVj8Z&#10;Z7Vb0+zaKsoL4So1filS7Wf5qfllGmtN566j1NqQULYiKIdx8noRuk0pUYtprDEoWpeEQpmFzq/b&#10;gj7L+Jhcx3mMYd3nRVh90+sE913RGGBNl5Hx+jM7C3F5rz3XAa9aleUUCnGffRY+ev1P4ZUFc8OD&#10;F58RZh8yJMwZPTDMGFlwQtyovcItYwaG6aP2DvecdWx4YfZ1YcXzT4dP168162kFSBO1rtXB91IA&#10;gpQRS08RRCLzxoBkImUbii5lsWQPlEtRJAbqj4k3TIM2SUFFgvxapAE5/bDGDGi5JhfMj66DWGUx&#10;To5d0XjpctD32NiQlNhkAakH+VAXvqaQpMF1SxIq6gOIyUGMx/zpetGenDUt28S+AIxDrC8QlmLS&#10;WbNjrOuW6UFsDIjsq1U+2ivL0/EAYhbjtZSJuNh4EIy5NS7y54617uUc8Jrur5Th9M82a7wkMi1A&#10;O3A91h5ijSNhn1KgzVZe1o8xTdWPe8PK3xeRe/N29jutNgbVhn/72XBlxY83H9w7juM4jlMdU86+&#10;7lm5/4KyQtxP9xva8If50YcPNx/cO47jOI5THTsLccWvPd+r48CG37sHDRtmPrB3uo++KMThBCu0&#10;CVjxpDe23XEcpyc5++JDHpH7MMg9oX3QAQevkPmmnH+++cC+HYBUgpOVtCSC73E9JcAAyD0QT6Q4&#10;A6kjlZ8ndcWEFQghLCsmh6TK4ElRaJOOSwGhBjKMlFZQBurQpz1J0Ea2ByC/Ts/xQdvk9RjIL9uB&#10;r3k6F/sXGz+MOaQkmR9zgr5pUUqCPEiH9Ox3UTq2g5IXx8HqJ+Ni5WqaWVsEYxUbP0plue0gqfbn&#10;zC/TxNZ0zjoCmEOIY3IOUDbGJTbHXDNIp+NSUB4ERaJYzhhg7PXPGvQT/eb8xOC8AZRhpZFlx+7Z&#10;Zu/zFFiLmBOOAeYmJgZifPQY4PuiNe00MubwiY/LfXjPzNee64AH7I3lDDUfzJMtnZ1h40cf1mW2&#10;p/54Rbjl0I5w69hBhSfEbRfiBtQ+9w4LTj8yPHPDb8K7Tz4SPl23xqynFaSUwWtSsNDylxRT5HWA&#10;tBBeIHFIQQWCi6zHkjykzCPzaphGyy5Atht1UMhB/RBTpIyj+wUYR1AH5RyZH7KSzkuJDp+ybLRB&#10;ClvWqVFSrtFxMaS8hDrZTtSHdlsiDNNbYyfnR8cR1EFRS5+AhfbIfqbmUMO55/jiE+NtjT0+eZ2g&#10;Xowd0kkJC+XKU7t0PsA4gjWEfCgLWGmt8SPsC2FfEIf65TijLp2/lTG26kZ9uI41otNbsG5r/aAf&#10;snxrLfMe1PcI2s45RFyqX1bdctxYBtqDPiFOzjvTyHmSbbfGnW1DnP65ofsCeM8StJn50Ca57mTb&#10;iGwPysIYMA5jI/Nj7mRewPrZbtTPMlCfHE85Dn0Z/Gc1uTdDYK/1v9qwx6ChV8tKfjrkIPPBveM4&#10;juM41XH+hTOfkPsv2H3AkIFd23NW+LefDX1B5nchznEcx3G6n4knDL9H7r+g6KG6/t/oLsT1PK1K&#10;Yb1RKpMnxOGVjfqVrfoVkqlXOjqO4/RlLv7NEaX3boZ/+9mwhv/Mdtxpp5sP7B3HcRzHqZ7Djjnx&#10;PrkPlznlVYZavhGN5Qytv6rNejhPtm7ZUpfiXpx7Y5h31IFdQtwAU4QjO4S40QPC3XUh7tdhGYS4&#10;tavNOlpBiia8BqGCooWWtJheX8+BEoeVV8o8KXGHabTkIfPHBBAII0xjSTGMAxBWdLwcK0tyiQGx&#10;huNptS01LjHYFogzVrwF2261QfZNxxGIOYiHIGTJZYB9saSmGHLuME5SDiKsG1hzE6NoXTEOWOMi&#10;yUmX0xeOkSVatTLGsm5g9bcIeYqajqPsRlJimZZe2WbEx/olJS59f8n1mSoDMB3nqUiGk+OWKlfC&#10;/uSUqdcr6uA4oRwZJ9NgDSBNkZBn1V+Uvy+ysxA39Opa/6sN+g/zwHpw7ziO4zhOdfzmt/c9oPff&#10;su9G/9/77N9QRsfIYeaDe8dxHMdxquPE00bcJvdf8JMBQ3br2p7NYP1v9OUrzzYf2jvdQ18U4sBh&#10;R+6+449pKfDaVCu/4zhOf+CaaRN32rtzT2jfa78DG157fsgxx5sP7B3HcRzHqZ5Jp0xWe3h1Qtxr&#10;bxSLUZ2ffhpeWzg/3H78mDBnzN5h9ui9wsxRe9dPgLOEuOkj9w5z8crUg/cK955zfHjljplh1asv&#10;hs2bNpjlt0JMhJLXpVjD6zGRI0WsLiAFkpTIwzSUXYiUdVJSi0yn43jdOsEO5LbRggKLNW6puBhS&#10;ELOkKwum12MHUnNDeGqVlZ+wHAg/VryFHFfr1DHCNJYAlIL5rHYzLkfgS5VDcvqSGutWxljWbZ0q&#10;lgPazDJ0+ylxUVzTopUUTuWahNzG67F7C8h0uv9yzIrWuyxD9ie2bmS7c8eN92xKSGWZui9S0Eut&#10;d5lO/7zJqV+OWRmBt12p7c+vN+zPgzpm1vpebcDD94ZKalx9zYPmw3vHcRzHcarBEuLKvhtdn/I6&#10;eNgB5oN7x3Ecx3GqwxLiih6qW398dyGuZ+FJafi04otoNX93gpPf0K5/2u17O/5oBv71h39fF+YW&#10;PT7JzOc4jtNfuHnusbP0PpwrxOnfu/c5cJT5wN5xHMdxnOo59NgTdtrDu7boUgH7vi7nmSUvmA/n&#10;JVu3bg3vPHpfWDhlYpg5ekCYOXKvMGv03nUpzhLiZozcO8wfNyhMP3jv8Mivzg7vPftY2PTxh+Hz&#10;zZ+Z5beClCbkdXmKkRRfmL6MvEVidQEp82j5Q8I0WjLJlcpSIlmsbAnTpNpokWpfbtslEFw4P/iE&#10;PJMSAQHbbvUvNTeE8blYZVjkzn0z4wRYttXvVJwmJ21OX2QaHcfruci8ueNYBNeVFMgojSFOCmTy&#10;HuLpclqUK9Mu1q0FxZz1SZgOZVh9saCICFBXkUCWsxaZRq+X3L6kRL2c+qtaD+3CHoM6npR7c+33&#10;74W1vlcbrD/MX3LZfPPhveM4juM41XDttYsX6v23VSFur/32Nx/cO47jOI5THb849+Bfy/0XFL32&#10;3Pq9+5kXzzAf2juO4ziOUy133nvSDXofLtq7GfTbVVyIcxzHcZyeY/LZZ18h92GQ+9pzGXCquy7n&#10;4cWPmw/nNR+8+Ex44vcXhwWnHRZuOWL/MGP0wDCjLr9tZ/rIn9YFue2i3F5hdu1z7hEHhKevvyqs&#10;efuN0AkZbutWs+xWSMkZ8oQivvaP6YtEDAgoUjLRWHkYl5I3mEZLJrxeJL6k6uF1XbYklpdgnCDi&#10;8HWFGmvccuQWCwgzFH4I+h9rG9NY/UutAyBP78ohdXKVJjUnktQ4QQaENIQ4PSbE6ncqTpOTNqcv&#10;Mo283uoY545jEVhDKEOKbRRJKapxfcux4P2u70G5tpoVzWQZ8roF08l7MHUyHcD60T+v0Ab+3NPE&#10;2ilhGr1eeF2LgxZsS6yMVP1VrYc2oXNnIa7jyVrfqw345V9WAlyIcxzHcZzuZbsQp9+N3jG1a3vO&#10;CvoP88B6cO84juM4TnVcdMnBF+v9F8Jb1/ZsBut/oz/8xGTzob3jOI7jONXyyGOn7LR3460pXdt0&#10;MlivPe/s/NB8aO84juM4TrWcd8lF5+t9GHJb1zadHSDR6XJmzbvNeji/ExtWvhfeffzB8OxNv6u/&#10;BvWWw/evi3Bzxw4M82rMGb13/fO28YPC7NEDwpxDhoR7zjw2vHLXLeGT1emTv1qhSDShVEJ5g+kt&#10;EQNSCUWNInTeXHmDabQgwuu7SoiDnCYFnBjWuOXILTEogum69YlSgHFW/4rWgTytKjU+zZA797Fx&#10;grQUk+AkVrtTcZqctDl9kWnk9VbHOHcci5AiLNqEaxx7ritKc5TypMynXwOKvjCuJ4U45GE7Qer1&#10;pAR9ZxuIPq0OxNopYRo9l7zuQlyldOIVqY37c8frtb5XG6w/zF8wdab58N5xHMdxnKpYPHOPwUNX&#10;yf0XJ751bc9ZwXrt+R/+ONZ8eO84juM4TjX8+uox5+j9t+ihuvW/0Rc8cJL50N5xHMdxnGp5+Y0z&#10;d9q7c09ot055dSHOcRzHcXoGS4jLfe25DrqcXCFuy2efhY2rVob3nlkcnrruqnDvWceF+ceMCLPG&#10;7RNmjN47zBg1YMfrUuccOiQsnHJ0ePq6K2vpHwudtbxWmVVQJJpIqQJpmd4SMWRZEFEo01jx8jrI&#10;lTeYBmXJ6zzdKSWIAJ50BbScEytbwjS6jRRUIGYhvy47JbCk4sqANslTrnQbed3qX2puSCp/K+TO&#10;vTVOEAIpw0EwgtCEazIfy7banYrT5KTN6YtMo+N4vZkxzh3HIjB+LAcnq8nvua4hl8lrvK8wF7o8&#10;mbaoXZzL1Clz8roF0yEP2s57AmXrn0kx0CeIcLIsGZ9zzzKNzstXywJ5XSMFSX1SXU79Va2HNqFT&#10;vwkNz81rfa82WFb86Wf+3nhw7ziO4zhOdSyeCdNd7r9l341u/WH+8qtGmw/vHcdxHMepBkuIK3qo&#10;bv3eff3MY8yH9o7jOI7jVMvH687d6ZS3VoS4ZctfNh/aO47jOI5TLTfNummS3odzX3uuw//eZ/+t&#10;spxrb7RfqafZunVr2LL5s7D+g/fqkturC24Jz910dVj86wvCAxecEhZOmRju/vlR4b7zTwqP/vr8&#10;8NKtN4ZlTy0K695fVs9rlVkFOaIJ5QsIJZQ5LBGD4ol1ohJI1ZUrbzCNlkwor1hCjoTprNOZYmVL&#10;mEa2UQpD1slsICWwpOLKItui+xG7DlJzQ3gKHU8Fqwo597FTvLSkxetStorJToy3+p2K0+SkzVnH&#10;Mo2Oa2WMc+rOhfcJ2sEx1vcM68KaZ3rrhEYpdsXuD5ASwHLWJ2E6zhPKpWiH/mAt6Twx+DNN35s5&#10;9yzT6PUipdzYmgUyXUywTa0TKd6V6XObspMQV/v9u7PW92qD9Yf5k0+/0nhwX8wNNzwabrr5kTB7&#10;zr3hjjvvDAvuuS3c/+Ct4b4H5oWFta/vuPOucOv8e8Ks2feHm6c/HK6//lGzHMdxHMfp+yyeufO7&#10;0csJcdZrz6deOsp8eB/lxvFh+ozxYfYth4T5tx8R7r7n6HDfg5PCQw8fU+PY2j4+KSy4e2I9bu6t&#10;h9X28AnhJqscx3Ecx+kn3HDjmNPwy7ncf3Neey7TAxfiHMdxHKdn2C7Eld+7Eay3q7z8ylPmQ3vH&#10;cRzHcarl/ocWjNP7MGT1rm26VPi3nx2wVJZzwaVXWg/nbSDFdX4eOj/9NHyydnVYu/zt8P4LT4VX&#10;754Xnrnpd2HJ9N/Xvr41LH96cViz7K2wedPGsHXLFrusisgRTaSoQrHEEkEYZ0kxgNIM0HGyjpgU&#10;BZhGSybyNY8x6UbWofODVBxhGikcyXK1yAMgo1B0ssaNcosV1wxsi+5H7DqQ8k1MnpGCTavClUSK&#10;XFhDliSENlt1p6QhUMWcE65vKeRpZF9iYyTT6LhWxjin7lzk/cT1qe9r3s+MB9b6B1z/+IytL5aH&#10;cdZp5PzL6xZMJ+dU9if288kidm/GrkuYRq8trFO2BX2WcST3Zwaw+oP8qZ/VfZBO/F4u92ZQ63/1&#10;4SeDhzZY8cecdInx4D7N9dctCtNnPBhuu31BeHjRnPDCy9eFpe/8NqxYdXn4YNVl4a1lv6lfe/yp&#10;6eHBh+fW5bgZ0x82y3Icx3Gcvg+EuKEL5f4LQa5ra84K1uvXygpx02dMCHPnHhYW3H1UePzJE8Kf&#10;Xj89vP3eWWHlR+fW9u9zwtJ3p9T271PDE0+fEB5adGy4c8ERYebsCQ1lTBNfO47jOE5fxxbiil97&#10;Xvu9e4vM85s/TjQf2juO4ziOUy22EFe8dyNY/5n83ocWmA/tHcdxHMepljfeWnKA3of3GDz0yK5t&#10;ulSo/Vug4W0tp59zofVwPptP1q4Jq978U3j3iYfCu08+Ej6ufb1x1Qdhy+ebG9N20ylxuaIJpAum&#10;A5ZkIYUWKcZAcONJS0TmI4zjKU5ACzZMYwlMsg7EU5BiORREYlJOqmzCNFo4YtloA+N0vSAlt5QR&#10;V5AWcyLlQfRXzpMWy3jd6p+UqSjYoDxdPvuCTznGAPVBUMP4xqREC1k3y+a8Ywyl9KbHSApvWH9s&#10;Dz7RPsYBq9+pOA3nCe3j2GJ85BjIvug1YqXRca2McU7duaBOlkW0qCrnhVj3FUBepsE9IstCn/iz&#10;A1hrR86ljtMwnZ5TeW/IOpAOc4s1x/brdafbxLWg16OEaay1JcVH9J3rCWBs5M8yGUdYtiyD6wTp&#10;Zf5W10Kb0Ik9Xe7NAL+D18ag2qD/MH/EsRcYD+7T3HzzI+GuBXeEJ5+aHl55/T/D8g+uCB+vvyhs&#10;+etl4S9f/iqsqX393gdX1f7x8rvw0ivXhSeevjksXDg/zJ79QLjxxkXhuuv8tLgiJk48L/zLv/yv&#10;sNdew8x4p3/zd3/33+o/IMePP82Mt7jqqrvD7rsPrK+rM864xkzTn/HxqZYqfoade+60Hf8YwNdW&#10;mvZh8cw9B3XMlPsvfinHvpwbrD/MTzl3pPnwPgZOhrv/oaPDM8+dHN54++fh/VXnhLUbfxn+/OVl&#10;YetfL63t5eeHZR+cGd58e0p4+VWIcSeGhfdMDLfMOzTMmDkh3HTzWLNcx3GcVtm27auAsGLFs2Z8&#10;b2HturfCli0bKm3n2+88Ui9z06b3zfhdRbvMSXfTJcQ1/CEde3rX9hwN//az/Rv+N/pZUw81H9q3&#10;M4senxQGDPrnMGz4/wxLXjrJTJMC+WpDVf+04nszS5edEf5pt+/V23/Kqf9upgHnXjB4Rzpw2JG7&#10;169jvL7znf9av/bHGw7aKV9v4/KrOuptRZubmWvHcZyepEuIK713I1i/d8+7Y4750N5xHMdxnGqx&#10;hLjc157roN/Wcszk+GlROXz++ebw2Yb1YcOqD8LGjz+sf925+VMzbXeQK5pIUQdYIghEDJlGIyUN&#10;nRdISUQi0/CaJZloEcQCIpElmACmscomTKMlE8g0jLNgu6xxo9xixcXQQozGOsWMcbH+WWOn21Q0&#10;x4RCWw5S5NLipQRzJ+UwksqDtiIfvrb6zXSpOSdS6pLItSD7EhORZBorvtkxzqm7DHo9aNlNS3OQ&#10;smS8BmMs01vETt+Tea14CdNZcyr7xJ8DRe1CHl1Ozj3LNFY7MJZSArTAGojdRywbbbPuW2LV3Ufp&#10;rP2ePkLuzaBbhDj9B4EJR/3CeHCf5pa594Znn78xrFj1q7B6w9Swev1FYf0nU8OmzReFTz6/KKz7&#10;5JdhzYaLwsfrLg4frb0kvL/yivDyK9eGRxfPrp8Wd+O06k+Lg8wyYsQx4R//8X80LCIKGe0mU6Dd&#10;7IPLOY6GawNr3oq3wDpiPqwvK01/xsenWqr4GSbnpN1/Dl577eKF+t3oewweuqrWt+xg/WF+8pSD&#10;zIf3Me68+8jafnxaWLX63NrefUGd9bU9G3v3ps1Tw9qNF9T27vPrfLTmvLB8xdnhpT+dGhY/dny4&#10;866j6q9btcqtgvvun1qXLiCFyEDx5Nb5J5v5COKZnxIHA65BYnns8d+beckXX2zuyhHqX1tpNM3k&#10;0aBtOrz62gIzrWTz5o+7Utshd+wkEHNQ7pdf/aWrlO0BfYOsU9Su55+ftdP469BMu+Q4I6AOrBmZ&#10;BvPbbGBb0D8Z2F/Ey37lzjXGjAH5eT1nnBhyJCmuf2vumhnvVpH9/uijV8w0Gobc9LsKGaz4ZsAc&#10;MWBtWGl2BQy9fU66G0uIy3ntuc5z8pkTzIf27Qxkr1pX6+BrK00KyHTIi08rvjdz972H7+h7rP0Q&#10;5ZhGgric/L0JzhVA2600juM4vQVLiMvZuxlkPuBCnOM4juP0DNu2bRio9+FmhTj9n9MnTDrRejjf&#10;NvAUJMgXVrwEcgZFHZ4ipoEkgzgp9ED8gKADAaWoLggcFJiQTks2LNc6RQrwZCcKIwTf47qWeiRF&#10;ZQOmsaQ69FFKLkiLscCYcJwtaYh5rLgYKBPykJRhOF76JC+SM3Zy7jAPMZkH17WIgzFG/rIylha5&#10;MLZyHNmO1Nxhbcr2yDwsy+p30Zho9Old6LOU9LjGgbVGZBrUbcWDZsY4p+4yYExlvVYaXGea2LqT&#10;oN1oP+9xgK+L1g3vn9SYkdScYq4Yz/sNY420si8A38fWBdcUy7BIrTuCMUY6tglgznFvy3WlYVs5&#10;L1grckxRZmo8+yCmELfHgKE/qo1HtUH/QWDUoZPNh/cWONlt+oyHwt333BbeePt39dPgtoVfh8+2&#10;XBw2fjY1rP/kwjr4Gg/Xt3xxWfjbN1fUr733wRX116je/8D8cPPND5nlNwtkN56YFaOMONQbGDJk&#10;Qr3d3//+P9RlPytNVeBULNSFTyu+HcBJaegD1oEV39doZl1fdNEtTZ0sl0t3lt0TdPf49DeKfobl&#10;jHVfF+Jq+3FnrW+lQmP+fCHu5pvHhTlzDw0PPXpsWLbi7PDV/70yfP3/XVXfq/X+/WnnxWHr3y4L&#10;f/368rBu0y/DsvfPCi+8NDnc98DR9VeuWuW3CmSLIjkIkk9MaMvJzwBhKCYG6WCl0ehgpUmBtlgB&#10;goyVXpIbMDaxsSMQv7RIFQuQwVJzkRty2gW0pMagJR2IRM0GSki6/bIOPT5Fbddzi7XHuDLjVLQW&#10;IAbmrH/MW09IcbrfaJuVTsOg57W3QTlTzmerUIrFGuuJOcqFobfPSXcDIU7/z/Kch+o6T18U4mbP&#10;G1v/dxpODWtGkuqtQhxOvkO7AL620sgT4nB6mhXPMnAqHL7HdZbXm06IyzmpjyfEoc/si+M4Tm8F&#10;QlwzezeDfrvKtBnTzIf2fYExY4bXf77jU8edc/apYd99B4XrrrtqpzjHibFp47L6esLaefqpe3eK&#10;/973vlNfc715XaHdbOf9980z0ziO0z1sF+L0a887pmJ/Lhv6mhDnOLsaiDu1W6tOP5N4HKcptBDn&#10;/Llz9wFDdhLfu0WI038QKCPETZ/xQLj7ntvDU8/eFJavuDJ8/udL6w/M8UB9w6ffPlDH1zgtbvPW&#10;S8Kf//arsG7TheG9Dy8PL7/2h/Dgw3PD9OnVCnEQLmpdqwsWeE0fr0Nw4Wv72k2I60l4klM7n4qF&#10;+UUfgBXf12Bfe9O67o1tcnovOeul7wlxHVPl/tuMEPeTwR0Nf5g/fnKeEDdv/mHhgYcnhedfnhxW&#10;rDqnvjdDasdeLfdvCHG4hv19618vC2s2/DIs/+Cs+qlyDzx0TJg5s/oT4uRJUkXBEoPK5GeIiUE6&#10;6HgLHaw0KXAiWyzoE9A0ZQKkpJhok2pDLMRktjKiF0KqXSQ2x5CHZDq0p9nANuj2SxFIn+SH7xln&#10;occV3zOuzDgVnRBXRgTMES1bBafR6VB0siBg6O/yVW+Cob/PyXYhbuhCuf/id+qurTka9O/dR500&#10;xnxo35/prUKcPL2t2dPQZBkxqa630FvnwXEcp1k+3nDO1Gb2bgb9IL4vC3GQlmpdrn/qOFwnOs5x&#10;YkAm47pJravLL79gp7jeAtrWDu10nL6ILcQNvbp2P5YOyCfLGTbuCOvhvOM4mbgQ5zjlcCFuJzoh&#10;v8m9GUCSw75dadB/mB825ljz4b3FvFvvCU88fXN4453fhQ9XX1p/iI7T4TZ8uv1BugavX8NJM2s3&#10;Tg0rPvpVeO3Na8Ijj84JM2ZUJ8SdeOJlO34A42srjZPGhbj2g311Ic5pV3LWS18T4nC8u9x/Qa1v&#10;pYL+g0CuEHf3wqPCcy9MDm8vPzN8tPb8uvSG/Xn7fv3Lnai/Ar0Wv2b9BXWB7rU3zwgPPXJsmFGx&#10;EGeJMzh1SYpWEGn4OkEt81hSEeQhmR9fW0KVJTPpoOMtdLDSpGDfEHjyFAPGx8pDZNBjg3HTp4ZJ&#10;IYtYMhXKkgITxDyMtS4P7ZVlAT0nUqSBdIY26HJS/UQemV6PkZzrGDpYaUiq/ahLBi3kabCWZZDi&#10;X6qesqBdGCOsafm6TWusEYpEy1aRJ6ix/iKpDzC0MhZOtTD09zmZNm3sVP0/y2v78etdW3M06Afx&#10;LsTtTF8W4nh6HrDiexMuxDmO09eAENfM3s2gf+/+7R+uMR/a9wVSQtzuu/+wHmedHuf0Lao8te39&#10;919KlofrYFeJZmgT6kcbrXjAE+KAdcqd4zjdR5cQ1/CWM+zptfu2dNBC3OBho6yH847jZOJCnOOU&#10;w4W4nfnJgCG7yb15Ox0jsG9XGvQf5ssIcQvuviO88dY1YfX6S7oemm8/TYYP1CHG4XsKcjwpbt2m&#10;qWH1uovrp8o98dTNYdbsB8zym6G/iVDdgQtx7Qf76kKc067krJc+d0Lc4KFHyv0X/HDA8O/W+pcd&#10;9B/mJ55QLMTddPO48OAjx4Z33j8zrN5wQf3UVuzPcv/e+Fnjfr79pLip9VemfrzugvDu+2eFxY+f&#10;EGbNqk6I06ITQkq6gDQlX1Fo5beEL2LJd1JQAjrIuBg6WGliQEySgWITgyWcSWTQQhzQfbbGVwp5&#10;CClxCe3TQZ/8hTpksOrEPMmQmneZFmOj21B0ShvQwUpDitqf+9pUrC0Z9Os1c8apCvSpdghSmqsa&#10;OT+oR8qo+n7TMHTXWDjlYejvcwK0r1vrAAD/9ElEQVQhTv8hvbanr+ramqNBP4gfO3Gk+dC+P9OX&#10;hbhzLxi8owwrvjfhQpzjOH2NrhPiGvZu/C5d+1mXFfSD+Isuv8x8aN8XSAlxTv8BawD0hKTWk3VZ&#10;yNPfrHjHcXYtlhCHZ9q1e7Z00G9rcSHOcVrDhTjHKYcLcTuDZ+JybwZ4do59u9Kg/zC/38FHmA/v&#10;Le69f354b+UV4YuvfhU6v7i068F5HIhxfBXbxs0XhY/XXRKee2FamDX7PrP8ZpAiVLPCBPLtvvvA&#10;+itXWdY//uP/qJd91VV3m3mQHunGjz+t/j1ezYo8zI942R68vnWvvYbtqAOveU2JICgX6ZDeii+C&#10;r4ple1Af6kc7mEb210K279xzp9WvsT04jY+vqsWnPJ2PY5PqH+vm+FmgDyyL9eg+yHgLLfm12jbG&#10;YTwAxxjXrTKbWVtEryl8zXHmtVQ/LHL7hrahbM4xQD8QJ/NwXaSw7kveD7J8a34lvCfQDnyP9rHN&#10;GBvkk/dNrBzAdEBeT40P0fcWwPe4rtNyvel1SDDORXVi/FiP7lPOfZ5CjldsPbJ8jrtG9kGOgSyb&#10;18quF9l3fI260D/Wh098H2t7b2L7CXEdI+T+C2DD1/qSHfQfBA49erj58F5y8/TxYfETJ4RVq88L&#10;f/vm8rB5K0+GIzufEIe9+9v9e2r4sJb3qWdPqu3fh5p1NIOWoopO29Jo2csSwjRaZtInk+kg42Lo&#10;YKWJIfvA/uvT7FKneclg9V+f/qalFikvIUA4K5KWdPuaEb2K2iWRp6xR1pPzmLNudLDSkKL2a8FM&#10;ryECUVAGLWvmjFMV6LFG0EIc1hhFzBzBMAXHh/Mix0GPgYaBY4FPOddYC7rtFpgTLXrie1yPrW/e&#10;CxgHfI92s258SvGTa1KvfYKysFal3GoFpGMe/ixg/RLGsT6Mgbwv0L7U+kGfOSZyPFEXytFSq4Sh&#10;u9Znu2AJcTkP1XWe/ceOMB/atzN4FWitq3VirwWFUDZs+P/cke6fdvteXRZDXI6IteSlk8JhR+5e&#10;zyfLwDXEWXkuv6qjng714vtUG6x8ZUE+liHryeWPNxzU0A6ydNkZ9bL/9Yd/vyMtvkbbEafToxzU&#10;L9MDjK9sI/nOd/5rQ7ockEeXI0E9nFfC+q02A64jls05Z/vwie9j+R3HcTTbhbjGh+A5ezeD/r3b&#10;hTinr4M1AFyIcxxnV7Ptq3Uj9FvOqhLigPVw3nGcPJYsWbJjD8XXVhrHcb5l5MiR9fsFn1Z8f8QS&#10;4vB2NezblQb9h/nBw8abD+8t7l54e1j67u/Cuk0X7TgJDifA4Wu8FvXD1ZeElR9fFj5ei1PheFrc&#10;dv785a/C+k+mhpde+WOYPac6IU4KFpBiyooRQ4ZM2JHfIlYmJRHkl9KSBhIHJCYKHJqYKAPZh2ms&#10;+BQQRGQdEllfrE1EylZSTIH0ItMBmZZjI69prHySVB/QbopZFI5i6PFttW2Mg+yjx0/X1ezaAmyn&#10;hRybVD8sUvkYh75JUU0ixx6UFZwA1k9q7ek6CNqMeIyNtT5Qj2xPTDADvGfxKa8zrzU+mKvUvAC0&#10;S+ahFAYsSQ0/Gxiv1w/hOsKcyOu593kKOV6W0Ic+y3J1PJB9kH3kfMl8ZdeL/Llj3XMkdS/1FmJC&#10;HN6XXutDdmhGiMMJcY8sOi4sX3F2WF/bm9d3yerYv/G5ZsMFdVnuw4/PC2vWnVcX4rjH4/MvX15W&#10;S/PL8NwLp9T270PMOppBCh0IEDasdDG08FIk2wBIHTJQsCI6yLgYOlhpYsjXf1JE0iJVSkSRwRLi&#10;tLylxZei8bDQghUEGxmvy7Tar9PE5l6fssb2634VSVI6WGlIUfshMckQO8VPi4NaxMoZpyrQ4imC&#10;FLGAnFNrHZWBwpUU63itqGwG5NWvxpUhdq+jX6l8CGiL7j+QY2CNmZwf/uyx+qPv31SQ7ZDrQZYn&#10;41CfXvsyxO5f/bPWCrH1x9Bd67Nd2C7ElX+o3h+EuKKT1OQpaRpIWxS3YkIcBK+UtIU4S8RjvSj3&#10;lFP/fad8BJKVzAdpy0pXhJTrmhHiLDkP8pcW2ySIk4JYTtv1OKfGNoUsg2AeUu0FEBGt+ZLrKDXn&#10;us+O4zgxbCFuKH6WZAX9IH7K+eebD+37Ai7EOQBrALgQ5zjOrma7ENf4ljPsy7V7tnTAA3ZZDrAe&#10;zjuO4ziO0zNs358b9+YeEeJ+OuQg8+G9xW233x2eff7G8O77vwkfrb20/iB989ZL6g/V8UrU9z64&#10;Iryz/Nfhg1WX1V+T+snn2x+246H6X7/5Vf3BOoS4ORUKcUBKURAmIGLkyBFSVkEeyhzIK6UdSy7R&#10;YgzawPyyXJaBTwonSCdlFnm6GrFkkhy0EMRxQJ0o0zrliX1JSTRSTAEcZ1xHPVJiYXmIl2VIWI6V&#10;RvYd48RxxSfnWvdD5pHXNa22jXEE7UPfMbdSKGplben+cw5Rj5YvU/2wSOWT5TIN65Zt1mIWkfms&#10;eCDXJ+YQ3zMO9wH7h7pYN5HjAtAOtAvjgjiOcUx2I0jHMuScAV63+sC1x3tZ31tWXlkX1gSvEy21&#10;6T4DyolIy2vN3OcxWL6VB/1kPcD6WcU+6HUhx0ReJ4yzxppgbpkOcOwRhz7LOuT49EYgxO0+YMhA&#10;uf+CskKc/sP86MPzhLh77z86vPTqaeH9lWeHj9dfUN+3sX9jX/5o7flh+Qdnh2XvnxVWfbxdiNtU&#10;378vrO3jU2v79+W1Pf2CsOSFybX9u7oT4vTpSZakkqKZ/Frm0kKLDjIuhg5WGgv9ulQpq8m+aeFM&#10;IoPuC6QeWY4lbjUrJeog46TYgyBFGkhhOh5tjJ2Cp8UkSmWYaxmKRD4drDQk1X5CwYvBar8ce4yz&#10;js+ppwq0mGetp6pOiJMymBwTKXHF5hrogDFhety7UnbT9zvWBuPRF6xlrheUIccbY6AFRf2zAWUg&#10;D66jLHwybUyIQ5kcR7SFbcR1Wb8si8j4VBwCymYZ6Ju8jy1ZEPFoK+Lk+KMMOaZ6TAAD2qDj+hMQ&#10;4qw/pHdtzdGgf+8eNGyY+dC+nUkJcTIOIhNPc8OnlsYsIY6nhgGklyLV7Hljd8hXkKe0JKVFPKRl&#10;+3T91ulsqX5JmMYS2mQbdBxJ5ceYMF6erob2sO+4zvT4GsIZPuVY6f5i7BhHWJc1DyTVHynvYT5k&#10;e1G/zIs26vmS480yOC9IK/NridFxHMcCQpy1d+N/o9d+lhSGvibEPf3UvWHMmOE7fpb+93/ebYeM&#10;lBLimAefOg7Mm3vDjvws9/jjjgzvv/+SmX7TxmXhuuuuCrvv/sMdefA12oI4mfa1Vx/fkUZel6As&#10;xH/ve98x49EOtAftYlloL9ptpec4oTyWi+9x3UpfBOrR454aH4A+yTEF+B7X9RgRjhXHgf2W/cD3&#10;qTGOIfvO8eZ6wLyxDsyj7BevIw+vEZbNNYhPOUdFY86yY2lkv/A1r8u5KIMsQ9OT81UGjI0uMzau&#10;TKv7gTk95+xTk+1AXpSbUw/ReViX9XNA0kxdTnsCIU6/5Qz/Qbw276UDXsHWWM7QsH7DRvMBveM4&#10;juM43Q/2Z/xHc7k34z+z1TfuKkMrQtwtc+8Jjzw6J7z86rVhxUe/Cp90XhS2/vWysGnz1LB6/cVh&#10;xYeXh+UrLg+rVkOI+/b0ODxcxyva1tTSLHnxukpPiAMQIyg6EYgTkCUswYRQ8LFEFSBlDCnuAFmf&#10;JWJI0QX16PxoF+u38hfJJDGYLyYDWbAvlpxFtJiC7610gOWlRBeWo9NgXBgXk3owX3rMcserlbbJ&#10;uKIyml1bcl1Y84F4ubZSbbBI5WMc0KIYQB7GUz6TMC7VJkplsbmV/ddjJ+tHGqSV8QT5mM5qp4zX&#10;ZfC67oMU0PS9TNg+tE1ep6BnzSdlNKLHXdYrZTTWVeY+jyFPMtRxcq0B62cV5wvlyOtyvuR1wjg9&#10;1hJ5n6Aea+x5T2shrxfyJOQ3uf8CSHK19meHZoW4O+46Mjzx5InhtTfPCB+uOa8uw2354rK69Pbx&#10;ugvC+x+eE1asPDusWnP+diGu6/Q48PmfL6mnefq5kys9IU4HK00KHaw0GgggMuxKIU5KQpBoZJwW&#10;1bT8Q3ID+mnJLhR7GCxRx0IHGaflnaJgCTxEyjpaKqN4hKDHT6ODlYbo9lsikD6lS4uE+pQwq4+5&#10;45Rzal8MrBsdUuPdKpTvMG/yumxHSrqUwWqnLEePixzP2DpG3Qy6fP2zIXUv8L7RPz9iQiDhfa3X&#10;MpDtT8VhbPW9LEW8sutF9tvqM4N1H/Qn6ifEGX9IL3qojl/mZfr+JsRRsrKENQBpinktEYsSFz51&#10;HECZPElMimFAClQQtXT9Mq8lWKX6JWEaS2hLCWQklh/SGuN03wDaj3ZbMp+F7K/V1laFOBkXGy85&#10;37rdcrzRTusUObYRQp2OcxzH0azdcN7VzezdDPpkmuNOO918aN8OQDKpdckEEgrA15BhdF4KMlYc&#10;BBpZlsRKD9GFdVkgTsowkFwYJ8uRyL7pOEhHUrjRaIkG8pqVjsi0OaTGB+3SkhW+T40PgDRmyVly&#10;rNCPWL/1GFPMSiHHieON+bX6J9PyGvLwmo6DbJXqc0xcZLyeQyLHQ6aBPMXrZbDq2RXzlUvRWpbj&#10;mrMG0D6rHUX16PQAc26lJbE+N1OX0750nRDX8Ay7tqevqs116WC9rcWFOMdxHMfZdXR2dn53ZyFu&#10;6NVdW3d1Qf9hvowQN336g+GuBXeEx5+aHpa9/+vwaedF9VepQXrDiXBrN14U1myofb3xwrD+k+2v&#10;WsNDdcStXn9R/QS5J5++Ocyc9YBZfqtAJtGCCSQKS0qSr/nTcRKm0WVQwogJKVLksE5VAizDEmWK&#10;ZJIYUvaJiTuaVDuI7I81nhKWlxJdWJZOI0+kym0/yB2vVtom41IncLWytmTe2LqBxMU0qX5YpPIx&#10;TotNRK4BfK3jGRdrk2y3lZ9wjvQYo1zmT62NolPZKKhZc8h8ug+UxnLvEdk+KZxJAQ9peJ2ioBbO&#10;eD9rya6Z+zxGas1RdmP7tHQm+6DbIedLXieMi60XIMc0dj8U1dOLePInA4bsJvff7XSMqLU9O+g/&#10;zA8fN8x8eK+ZO++wcP8DR4clL5wS3l95Tuj8y6Vh618vre/Vazf+sv7a1NXrL6h9jf37l2HjZuzf&#10;2Nd/WT9Rbtn7Z4fHnzwxzJo1wSy/GXSw0qTQwUqj0dLLrhTi5CljWmKBrCND7NSu3IC6LKFlVwpx&#10;kIIgOMm8EghFMmiBifIVgzxhT6ODlYbo9lvjJsUsBC2A6bZZMmLuOOk1mgvqlEIhQrNl5SClLEt6&#10;Y1usE+oIQ+qUOq5ZXQ7vJz0XGqbTYyF/NqSkPcA26DLknMrrOt6ah1ReGWetJRBrUw4MqKdMXH/i&#10;ppvGXm39Ib3oobp1Mo310L6diYljELB4Ha8slXkkPFVMi1gyf0pIoySlpTkpaKEsGUdSElisXxqm&#10;sSSzlEBGYvkhu+E65DB5vRVS/U3FkVR/IKnhOuZTx0mYTtcjx9s6wQ7kjKfjOA6BEGft3fidvPZz&#10;pDDok2kOOeZ486F9b0eKNxBNeIIXPrUcVEaIkxKNPAkL5UKAQtkyPWBZOg/aSLFIniYm285rmpQQ&#10;x/6hbCkl3X/fvHpbtOREKQmiF8cJbYSIA7FJpi1CtkuWJ8ddjhHq4RigHdaYsjy0hXFEjhXLoPSE&#10;tLo9Mi9hPNJa8UCWA9AW1IP6Ecd+glR5sgymYV65HoAllDFOzyGR42Glkf3QcSRVRm+YrxiybLn2&#10;Zbmoj+kRj+8hqsl+6nYgnnEE+RCXe89gnFgeytZ5WJ71s6hsXU578/XXG47UQhwenNfWQOlg/Vvg&#10;tTeWmg/oHcdxHMfpfrqEuNcb9ufa799dW3d1wfrDvPHg3mTaDQ+H2XPuD/fed1t44cXrwnsrr6iL&#10;bnigjtNmwGdbLq6/KhUiHL7GCXJrN00Nyz+4Irz40h/D/Q/ODTff/KBZflVAqqL0QlIniuWgpQ1K&#10;OzFBpkgeAqkympU8IANRYsEnxiJ2khYp6gvI6Q9heSnRhWXpNKnTqlLkjlcrbSuKI7ItOciyZF5Z&#10;psbKm0MqX06ZTGOtgaL8cg3loNdj7tgAzrMWVqUsZwlWjNN9YHm5yPGR0pg8AY5SG2SzmPjGn2P6&#10;51cz93kKliXrYbsRFxPfeL9ap7MVzRfjUust5+eOTGPF9yKexINzvf/if63X2p4d9B/mO0bmCXEz&#10;Z40P8287PDz8yLHhlddPCx98dE5Ys+H8+glxOAEO+/enYv/GNZwghzTvvn9meOHlU8N9908K012I&#10;2wkdrDQaLVRpmQvSiwwxiahs0OIdJRqGnhTirJOuJPI0LwSdVp/Cpvsm0cFKQ3T7YyIQxSoG2T4Z&#10;Z50GBnLHKdWvGGiLluEgq6XGu1WkxGnVI+cT61/HA4aUfCXHTV5nSOUFPKVNnyoofzYU3Qcx+axo&#10;DJivlRPidBxhGt2mHBissWMoGte+TkyIK3rtufV79/KVZ5sP7tuVmDiWK5TFRCyZPwedP0eeYhpL&#10;AsttP9NooQ3ktCGWPyYKtkJsrIviSKo/vG6Ng4Sn/mnRL2e8ZRor3nEcRxIT4or2bgb9e/fw8Yeb&#10;D+17O5TQIJNAHtHxUlCxJBTm13EUZSDcyOsxIKGxHim9EbQNogulICDFHplWIoUdHcfrqFvHaWRd&#10;1jiVAflZliUGAoyBFJ1kP6SUJJFzJccJyPZjri2JjHMZk4eYH22x4oFsZ2xNkVR5jAO6LwDtZ7wl&#10;hDEuNlZyPKw0qXVDUmX0hvmKQVHPEvEA6s69b0HsZ4DsQ+49Q6nN+hkAZJlyTJqpy2lvtgtxjYe6&#10;NCvE4c0sjeW4EOc4juM4uxJLiMNBMF1bd3XBOjL+6mtyBbXF4YbrH6mf8Lbg7jvCY0/MCG++87uw&#10;ftOFYVv4dfjrN1eEzi8urZ88A77cdkUI4Xdh3cZfhpde+WNYsPD2MHPmA+H66x81yq4eSCIUPYAU&#10;KiB+8HoOWp6hIKOlHZIjcqTKsGQS2ReNfDUkhBWdFv1tph0kpz+E5aVEF5YVE49iJ+/FKJJvSCtt&#10;K4ojrayt3H4wTaodFql8OWUyjbUGivLjfmSaHPRJdbljA2RdUuCKiWeEeXQf9MmTKVC2vB9lfimc&#10;8dQ1tEmKehxbeaKeFOlI2fs8BdesFNuksIfv2Qc5NjFhDxTNF+Ni6wXk/NyRaaz4XoQpxOFhea3t&#10;2UH/YX7wsAPMh/eam24aG6ZPHx/mzT8s3Hv/0eHpZ08K7753Vl2C+7+1/fuLry5v2L+/+f+uqu3f&#10;vw2r150flrx0arh74cQw+5ZD669ftcpvBh2sVwym0CEnv5aotDyig4yLoYOVRpN6XSqhuMNgSToy&#10;6L5gPCAh8dQuBlkOBR0GfQqbBUQfHWS8lHcQKNKgPbpPKXlHCl0xqUz2LSV86WClIbH2a/RrUzl2&#10;RbIjya2nGfQ4Y2xiElpVsM7YXMl1E5P8GFJjIceN16TMVrSGrfygCiEOfeSaxPrlmOO6rNdqY6xd&#10;RXGEaWL3FNqAnweI1z8TGFCGzsdgxfUnIMRZf0gveqhu/d7tQlwjMRELr9Rk/hz0KXQ5MhrTWBJY&#10;bvuZxhLBctoQy8/rqdP1YmDsIJ7xNDaN1d/YPEhi/ZFjVfQK15wyYuMt01jxjuM4EghxzezdDPpk&#10;mnYU4qSYZZ3uRCjQaOEFxGQYKftYMo8GUhPSQoix4i2kBGPFg5TYRPkmJqVJpIAVk3VygfzEsnLG&#10;BkBeQvoiUYnpUnJSTAAsksAYZwlsRJZR1LdUeYxLrUuuPUsIY370W8cBOR5WmqKxAKkyesN8WeDk&#10;NOZpdR2TWDvK3jNSirXiiVVmlfen0x5AiLP+c1ltDZQO1r8FnlnygvmA3nEcx3Gc7gdC3B6DOp6U&#10;e3MvFOK2c+21i8ONNz0c5t26sP4K1BUrL69LbzgJbs2Gi+qnxq1Zd/H216fWT4e7Mjzy6Oxw080P&#10;m+V1J5CNat2uY8koQKbPpUgiyxE5UmVYMkmuEAcg00Bo0SIPrsl0oKgvIKc/hOWlRBeWpdPktMWi&#10;SL4hrbStKI60srZy+8E0qXZYpPLllMk01hooyk/BKpa/iNyxAVImk2JdSuACzKP7wHuv7LokFM6k&#10;iMe6KOzxXmV7pdQXO/2tzH2ewhIIea+wLPaBsqqU+KzT9ormi3Gp9Zbzc0emseJ7Ea/X2vhf9P5b&#10;VojTf5jPFeIIhLY5syfUBbfnXzwlfLj63PorUtdu2v7a1DrrL6jt6ReEtbWv31l+Znjo4WPC9JmH&#10;mOW1gj7BKkfGkuj8qVdmEi0xaclDBxkXQwcrjSYmpKSCJRHJEBNhMK4yyHL0eKReVUmKpEIp7yDI&#10;MYaUo09Ws+QjiETNhNga0sFKQ1Ltl+g2UgTLkR1Bbj1lwfzK0BMynH69bVGIjQtDaizkuPFabxHi&#10;gJYRdYjJgLF2FcXpNFabMCY5P3NQhs7LYMX1J6bdNG4mHqDL/Rfgj+td27MZrN+7X3vrF+aD+3Yl&#10;JjLlCE4gJmJdflVHVv4YOTIa01gSWG77mUYLbSCnDbH8sespFj0+KSrBSaz+xuZBEuuPHCsX4hzH&#10;6UU0tXcz9AUhrkgKIjHpLRUH8YbCGT4hgaVObkpJdzFk+614kJKGIFsxDlJckcDFNgKUy9cylkXW&#10;a8VbyHqteMLXrWqxMGeui8aTcak2pMZbkyovFUdSdfF6Tl+tNDn9SJXB66n2g+6cLwspncXKLUtq&#10;rMrcM7KcHPTYVnV/Ou1B/YQ443dp/Efz2hooFax/C7gQ5ziO4zi7DluI63iya+uuLlQhxJEbb3ok&#10;3LXgzvDEUzeHl1/5Q3hj6TXhrXd+G95693fh9aVX1679MTz17I3hoYfmhnm33huu66GT4TS1bteR&#10;MksZucaCskhMkMkROVJltNo+CeqnCGS1p6gvIKc/hOWlRBeWpdNQugHyehG549VK24riSG5bLHLz&#10;Mk2qHRapfDllMo21Boryl1lDFrljQ7iWeOqZFLjkqXESxus+5NwjKaSYi6/5PdsG9OtHKVbyhLYi&#10;MKap+zyFFgjl95RtZR9wjYKjlPwkRfPFuNR6y1kzMo0V34swhTgcAY/ruaFVIY7MueXQcP+Dk8Kz&#10;z58SXnnjjPDmWz8Pby37RW3/PrO2l/88vPzqaeGZ504JDz1yXLh1/uGQAcxyWkHLWDGhK4YWf2Ki&#10;iUTLWFoU0kHGxdDBSiPRQllusCQiGWLjJ0UfBJlOy3KxV7NK9Ljj1CkZL+UdBC3S6Dqtduu1kRti&#10;p5PpYKUhRe2XWK9NlddSa7JMPbnose0JGQ7o19vmBEtgZUiNhRw3XsO4MxSNI4U1vdarEOJ4b0PW&#10;RTvkWkDalKxn9SsnjjCNbhPGhjIc2oM24JpMw2CNHYMV159oVoizXtXmQlwjMRErN3+MHBmNaSwJ&#10;LLd+prHEtZw2xPJTbEsJahqOJV5HivKWvHSSGW+VmYojsf4sXXbGjuvWOEj4ylT0T17PGW+Zxop3&#10;HMdRzPzJgCG76X0Ye3Pt50hh0L9373PgKPOhfW8mR7oBzQhxAIIZpTiCk+CsuhifOhFMkyMEpWQd&#10;wJPpCE7swglTlryHa1K6Aei39UrPFBwzlGXFa2Q/i+qK9TdnrovGk3FaRJIUjbckVV4qjqTq4vWc&#10;vlppcvoRK0Ne35XzZSHrK/tqUdSH+0XfAxKdp8w9o+/FIvTJeVXdn0578M03605zIc5xHMdx+iad&#10;nZ274UQ4uTf3eiEOTJ/+ULh1/t3hnnvnh0WLZ9dPjIMg9+hjs8J9980Pc2+5L9x446Jw/XW7RoYD&#10;tW7XkadCyRORrNONiigSZHJEjlQZZeWfIqTg0ozsk9MfUlReqi3yFLGYtGSRO16ttA2k4kgra0vm&#10;jY1zURtTpPLllMk0VtuK8kshTb8ONQeUy/xWvEYKXFhLXFtSQtMwve6DFDUx/jIuF54yh75TfpM/&#10;k+Q9hvYyPdaELCdFK2uDAh6kOkvYAywbY8n0sg+SovliXKqdOT93ZBorvhfRJcR1dMr9d1cJcTfe&#10;NLb+CtS77j4yPPDQMeGJp08ITz93Unj62ZPDY0+cEO6/f1K49dbDw4wZ48PN0638rQNRR4eUMII4&#10;iCb8XoteCCn5R4tcWogBOuh4Cx2sNBLdjjJBS0QyWGIZ0JKUPAVOyjIMWnCT6LIQ9KtqpbyDYIk0&#10;uk5dhhSJygYt+wAddLwkp/1Ei3v6e0v6ImXqycESLYvErqrgaY0xIZFIcc1KyyDXqIZ1yZ8FgGuq&#10;qA1Mp2XFKoQ4ynbNzKVcD2XiCNPoNsl1Efv5yGC1m6GZPvUlIMQ181C9PwtxkLF4PSVJ/esP/76e&#10;RotYMn8zrw2NyVsSprEksBxBCzCN1cecNsTyUxyD3Cavx5BSGk7Xs9KkpLdUHEn1B+3EdbRbx0mY&#10;7rAjd2+4njPeMo0V7ziOo5iJB+d6H8bfxGs/RwqDC3HFcQCSCgQzvhqS6Nca8npKgNLkCEG5YpOW&#10;cSDWxE6YgmDDfpOc166SojHTyH66EPctqbp4PaevVpqcfsTKkNd7sxBnxVvgHtbrPYaVH+TcMzwt&#10;L1VODq3en057ACHO+l0av5PX5rxUcCHOcRzHcXoXEOL2HNQxs3F/7qg/P680VC3EXX/9o+Gmmx4K&#10;s2bfH+bfujDcdvuCcMedC8Kt8xeG2bPvC9Nu6F4RDsJGSqiQUoYUS6Q4khLBYhSJVTkiR6qMIpmk&#10;GVieHi8pwsjrkpz+EMpDEHq0PITvpVyk2yKlqdjJWJhHHSdFupSw1ErbQCqOoBymK7u2ivqPsuUp&#10;YKl2WKTy5ZTJNNYakMKXjiNsuzX+RaBdrN+Kt5BtYt2p9rF8PQZSris75oRrCz+zAL7Wshvby58N&#10;gCe05cJ8ZdspZUzWjzbLNPxZIdsXE/aK5itnveT83JFprPjewrXXLl5VayP24FVy/8Uf2nE9N1Qn&#10;xI0LN8+YUNunDw1zbz0s3HnXEWHBwqPCXXcfVdvDj6xdOzTcNH28ma9KKJDIAFFFihuQU2Q6mZ9i&#10;CgNkF4gbUrBCWVY9lvSig4630MFKI5EyWExiI/rkLS3xyKDLgnwEgU3LZ1rSkrINg54DjKeVzpJk&#10;dDorjSWSMQ71ymDll+i5taRKHXS8JKf9RLdVjjW+tvKQMvUUgXboebbGoTuQY5BTp5yv2EllCFZZ&#10;UlrT4yVFU7RJxhF5P+n7X5Zt/WyQ8OeOvufYN8h6WvIsQq6HMnGEaXSbZJ+tNsn5s9YggxXXvxi7&#10;sJmH6v1ZiAM85QyfELZkHIAUxbyWiEVZDhKVlT9FjozGNFbdeP0o88+eN3aneMI0WmgDOW2I5cer&#10;RxkXE9wwfoyT7bVeW4rxS506RwEPY67jSKo/ci7RFh0PUq/BTa0jK40V7ziO08CG88y9e8/B+51W&#10;+zlSGPAf12Q+F+KK5S7UIU9wknVSmMsph+QIQWUEIIg/Mn1RWyDMSYkHea10GinfWfEatCu3DrYH&#10;4ymv58x10XgyLtWGMuOdKi8VR1J18XpOX600Of2IldFb5ssCslhRuRo5Fli7+tXCOWNFUvdMmXJy&#10;aPb+dNqDmBAHua0236WCC3GO4ziO07vo7Oz8kX7OjefmXVt3dcH6x8SVVy0wH+DnsThcd13t87rF&#10;4frr8fWj9c/tX3fFmfmqodalOhBMIFZAjgCQNKS0YcleSM94pJWneUHWwfcQQiBuyHyAZeNTx4Ec&#10;kSNVRjPyD0BZaLPsC4QaKXrpk9dkXZRbkEa2O6c/RMpDGHcKPcgnZS5gSTuUbgDmiPllP/SYyfZR&#10;4kF6OQ6g1bal4iStrC05V6iH4hjy5LQxRSpfTplMY60Brmf0iWsMbeYY83uWgXsW602KcSgXYyfL&#10;IGgX88rrKTiWFNCAbI+GaawxkGOPcmX7UCZ/5qRETuYnWgqUax+gThlPmrnPi0B+WTeQ5QMpnhLd&#10;B1I0XznrRd7X1prTaaz43gKFOJjuDXvwoI6ZuJ4bqhTiwE03j68xLtw8/dtPfg2sPFUCIYYnPuUE&#10;faobBA8tAuWEmLiTG2T+3IA8QIbUaWwA/ZMBfZUSUdkQE/DKzAGDlvOIlHcQLJEm1S8pNiHE5Cai&#10;x9Tqow46XpLTfknsNLvY+BBdTypAtLLKIHrMioKW9eR9lDqdzULKjVpws5Anlun7UAeMEctEPrZR&#10;3wdA9gGfKJtpECfH2xrPKoQ465Q+BtxjSI/xQntkPiDbVyaOMI1ukxTe0G/WrccEAd/LvIDBiutf&#10;2EJc0UP1/i7ESakLwhVf4QlhigIWsSQtiGiMh8yF8qQYh/pwehyEOS1h5choTBM7FY35IYmhXqBl&#10;M6bRQhvIaUMsvxTY0D/IZOw7+o0263w8fQ3t5VywzYwDVn9lW9lHjKmc01R/MLesA59yrhAn81qn&#10;yKEexss6Y2mseMdxnAY2nLew9vOithc37sP9SYiDMFLrSp2ULEKJrVUhDsRkIYoreMWqTJ8iRxrC&#10;K1iZxoq3KJsnNT4WOB2P5Wu5KAZfPYtxsuIJ00FcktdzxkqmseIZl1orZaSmVHmMS71Cl+OOTx2X&#10;KhvgdZtMY41HTj9SY9ob5ssC64159CmNMTjOsb6UmXNi3TNS1tOvQ22Fsven0x5s+3rD1N0HDBko&#10;92GAa7X5LhUsIe7hxY+bD+gdx3Ecx+l+LCFuz8EdnV1bd3WheiFu1yKlixiQSmLShhRIYkCm0fko&#10;c+BTx4EckSNVRjPyD2CZMSAb6TwQUCCl6LRSCsrpjyQ1rmgD22mJR5grLX5JLFkKWHmssW2lbUxn&#10;xWmaXVtF/UfdqTamkGWUiSNMY60BKbtJdFpLDLOQYhRAuxgnr6fAOpFlxgQzwnTWGBTNC8G867zM&#10;L9NZbdFjAwFNpwHN3Oc56P7pn5tamovJf6BovnLWS87PHZnGiu89LK5v6FqIq2389T/U5wb9D4W9&#10;9tvfeHDfXkBaoWCSCpBcLDkK13KFLpShT0iT5AYph+QG5JGnYyFYYoxG901KRGUC6o4JS7iu25YK&#10;KTkGcTLE0uo5Z78oNSFYr7XVoO066HHVQcZpcttP9Gl3DKl1BnQ9qaAlJ03O/aODzC9lsKK6NJwv&#10;SzKLwTxY2/I6A0RRuQ50iI2tlOZiAf2z7oMqhDgZVxR0H+R6kNeL4gjTWG1KCZMYL0qd1lpnsOL6&#10;F2Obeqhu/d79zIvlTjrr7RSJTPLkMA3EKAht+DompUGs0vksKNuRlLxFmCZWN9umkWl4DWXJ6yCn&#10;Dan8ENKkyKahqMf0RWPFE/es/kqhTSLbVdQfCIyp9gLULdtMXIhzHKdyIkIcRDdcLwp9QYgDPJkN&#10;n5DVdLw8zcwSSnAtFheD5UlZScowMVEHbZFxRUIfhCEKR0DHxygr+JQdA9numGSE8ZBxch5iEp0U&#10;7bREVYVgxbFMSWplxo7prLljHMBY6HjZVit/6sRBjD8lKWCNhxxL674AqTHtDfMVo+ieR3sRx+9j&#10;0h7BOi3bDuuekbJs7r2Ug1WX0/5AiLNEtmaEOLxmVZfjQpzjOI7j7Dq2C3GNv2+7EJcJJA0IIFLm&#10;gDQFWQOCiZVHAqECaaUUBlEJ0gmEFC2FAJ7kFBNCpIgTO6kpVQZPYkKbdFyK1Fjo054kaCPbA5Bf&#10;ps/pjwZCjDyZC+VTamFdMeEHY478sh8oC33TopTMAxmJ84j0ltgEmm0by461W9PM2gLsf6yNlO1y&#10;20FS7c/pG9PE1gDWjJwz9NOaL1xDH2T/UDbSx+YY7WI6HZdCtid1D4CcMeBJcCwToA7MT9HPGylJ&#10;WmsT88424DO21nG9mfu8CCnkoY9WGtn3VF0581W0XnJ+7jBNqp7ewXYhrrbRPyn33/JCXOM/FPqC&#10;EEcgoUDc0AIYBA952lMMCCZWfsgekHVyysiVwqSUViaPlGVyBSLkk0GeKldUN8YCY1Ik+BDIhRC8&#10;tNQDaQbXUHeRxId5kCElL8mAsjE/UmgqOkGPaOEH/ZDx8hQ3SxiS5LafYDz0KXFa9LLAnBTJWwxF&#10;a0UKUzkB9cr86APbUuaEOIwzQ9E4SaREKK+zDWgP1gLmldfwie/13GqQF+XLnwPIizGU961G9qWo&#10;Dt53el7YL9Sny0C7MEZcK0gj47HWretFcYRpYmsFfZdjgnZg3WCc2R/rfkOdsbj+BYW4jk65Bxc9&#10;VO8PQhykrVpX6+hT2ghELcpYAF/zFDJKXNapYQSyFsQ6npgGIF5BroK0pmU4wNdzIp2OI0yTqhsS&#10;mDypTaelAMZXl0rYt1QbUvmB1XeMnzwxTgJpDG1kWpSP/CinqL+YP5kX9cjXxTJ/qj+oB3Mi5xvp&#10;US7n3CJnHTFNqn7HcRyyeuO5T9Z+ZpTeuxn0793tKsRJEQ1iC2QhXIcUI0UXYAklMdkE30OgkSc9&#10;oeyYKAQZhqIOBBzIQpR1IP6wHi0/SbGJshzySTGLyHwoE/UhD/sM0F4KQFJIQ3loA8aL7cKnlJpY&#10;fw5ybCGYsQ1yjOSY4jrbhU/ZDsTJ/sp2kyoEK84B6ufcYbzk+Ml28FoMptNzKuNkGvZXzhE+eV0i&#10;T/nDeDINxo15iTUeciyQH9fQT7meU2PaG+YrhlyzmFPOJdqHdrHdTM+1yn7wOsZC3n8yD0BZZe8Z&#10;OW/IK8cbefE95gNtkfmaqctpbyDEWSIbfr+uzXep4EKc4ziO4/QuOjs7B+rft0HX1l1d6ItCnOM4&#10;juP0bmJCXEf9D/W5Qf9DoS8JcY7jOO0KxDKGlBwohUsr3umdTLtxXFMP1a3XvPQ1Ic5xHMdxeiNx&#10;IW7o1fVNuiBYf6C3Htq3A1JS00CGoaQC4UTnxTUrjtdjWKeMQcyhjGMB+YayS04eCm/8XuaTMpEF&#10;yoyJXhZomyy/CPRDy0QS1C+FQSBFsBgYdz1GoArBCvUzXiLLk+Mk81owHfLE4jB/qT5LYUqSGl+U&#10;B3GK38fGw8ov13nRmO7q+UqRuueBFN9y7kt+Leto9p4pahuQJ9iBqu9Pp/fz/7ZtuPqHA4Z/V+/D&#10;ewweemRtzksFF+Icx3Ecp3cBIQ5vXdH7M/b+ru27muBCnOM4juP0PNiDcSKc3H9diHMcx2l/cl+5&#10;Kk/zs+Kd3gmFuD0GD10l9+Cih+ouxDmO4zjOroFCnN679xzUMbO+SReEviTEAQgwUmzB15RiKA9Z&#10;J1nx9CgdB5kM0pssE1IN0sUkJoB8EGJ4WhxAGRCjLHEIQNhhOwDyQpBBesSxbp0P/UI+KfugLrRb&#10;14Xv0QYt+uH7Zk+eQplopxwjtB31SxlPkhpXKTFpOA5Ai3Y6jTVWBHMn60b/ZVspIKbKIBx3a/wY&#10;h7IxTjwVjGXj+1g/SCwf28vrsXJ0fq4rxueM6a6erxSoX65njo8l4KEfciwA+oC0sXa0cs+gXH1v&#10;YvyZF2XL9K3U5bQnLsQ5juM4Tt+lfkJcbU/X+3OPCHGXXDbffHjvOI7jOE411PfgQR0zG/fgjtfr&#10;m3NmcCHOcRyn9yFPiMOrSXESHK4xHq9QlTIcXv8q8zu9m2k3ja3v1diz5R5c9FDdhTjHcRzH2TWs&#10;3nBeU3s3g/U/1q2H9o7jOI7jVMu2bRtnWkIc9uaubTo7WELcnffcbz6gL2JL5+eh89NPw+aNG2qs&#10;D5s3bQxbNm8OW7duMdM7juM4jmMywnLVsGd3bd/VBOsP8y7EOY7jOE73gj0Yp8nI/Rf/Y72+OWcG&#10;F+Icx3F6J2+/80iX7pYOW7ZsaJDlnN5PTIjDqa/1zTkSXIhzHMdxnF1DTIgr2rsZXIhzHMdxnF0D&#10;hLjte3HjPtyMEGeJdc0IcVu2bgmfrV8TNn7wXlj77lth9TtvhrXL3wkbV60Mn0OM27rVzOc4juM4&#10;zk6YQtweA4b+qGv7ria4EOc4juM4Pc/VVz/53aqFOGA9vHccx3F6HrwuFae/4ZQ4Gb786i9h8+aP&#10;6yfHWfmcXk99r67twU/K/bcZIe7hJyabD+4dx3Ecx6mUpvZuBhfiHMdxHGcX8X831PfqPQd3dMp9&#10;GH8Tr2/SJULTQtzWraHzs8/CJ2tXh9XvvBE+eOnZ8O4TD4W3Hl4YXr/39vDaPbeGN+67I7y96L7w&#10;/pInw9r33q2fHPfnLVvCVpfjHMdxHCdKbZ880vqbuQtxjuM4jtMHsIQ4/HLftT1nBesP88aDe8dx&#10;HMdxqsOFOMdxHMdpLyJ7d8eT9U26ILgQ5ziO4zi7iF4gxH3+6adh40crw/JnFodnpv0m3P/LU8K9&#10;554Q7jv3xHDP2ceGe846Ltxb+1x45jFh0a/ODq/edUtY9epL4dM1H4ctW/wVqo7jOI4Tw4U4x3Ec&#10;x+nDXH/9w7vhl/fGPbicEKfz+ytTHcdxHKd7mXbj2PpeDQFO7sFFD9Wt37v9lamO4ziO0wNsOLep&#10;vZvBhTjHcRzH2UV0CXF4q4rch/GfzOubdInwkwFDdpNlgBwhbtPHq8IHLz8bnp91bbj9hLFh7tiB&#10;Yd6YAWHW6L23M2rvcEvt+/njBoVZE/YNj15xXnjzgbvC6neWhq2dn5tlOo7jOI5TF+JOg/ym92f8&#10;Hb1r+64mWO9lvfKqBebDe8dxHMdxqsEW4oaGru05K7gQ5ziO4zg9S0yIq/1e/Xp9c44EF+Icx3Ec&#10;ZxfRJcTtOahjZuNenN67GVyIcxzHcZxdxDcb6/I69uyGvbi2p9c36RLBEuIeXvy4+YBesvqt18ML&#10;c6eF+y84Jcye8LNw2/hB4fZxg8I8iHFd4Nqdh+wTpo/cO9wzZVJ47ubfh/dffDp8/ulnZpnOt4wc&#10;ORLPQ8KPf/xjM74MH330Ub28ffbZJyxatMhM4ziO4/QeIMRZ+7MLcY7jOI7TB7j22kU/sv6wjuPb&#10;u7bowuBCnOM4juP0LBTiyj5UdyHOcRzHcXYd2Itxmozch3HaTH2TLgjWf2QzH9o7juM4jlMtvUCI&#10;W/7MY+GBC08Nc4/cP8wYMyjMGLnXTswctXeYPXpAmDVun/opcosuPzu8/eh9ofPTT80yq+Cuu+6q&#10;i2QWkMsmTZoUli5daubtTch2W/FlgATHsiDFWWkcx3Gc3sPWrVunWvsz/LXaz/LqQu2X/yN1JS7E&#10;OY7jOE73AiHO2oPLCXGNf9AfPOwA8+G94ziO4zjVYe3BRQ/Vrf+I9tpbvzAf2juO4ziOUy3Yi6sS&#10;4vY5cJT90N5xHMdxnIrZUP+PZ7W9+Em5F+PE9vomXSJYr2QrEuI2b1wfXr17Xrj9pHH1V6POFBLc&#10;dMGMUduluJljBoU5h+0X7p4yMby2cF74/JONZrlVcPHFF++Qv1LMmDHDzN8TfPe736234ZprrjHj&#10;AU+Iw6cVXwYIgDl1thvoC/qEvlnxjuM47QqEODwT1/sznp3Xfu5VF1yIcxzHcZye5w9/WDzQejju&#10;QpzjOI7j9G6sPbi2p9dPjosFF+Icx3EcZ9exatWF3y27dzO4EOc4juM4u4ruFeKeWfKC/YB+y9bw&#10;2fq14eOlr4Ql038f5h11YLhlzIC69CZFOAmkOLwyFbLc/GMPCi/eckPYvGGdWX4VSCFOXsdrQyHB&#10;UQwDOE1OpukpWD/aasU7ecTm2nEcp92JCXF4u1rtZ151wRLirr7mQfPhveM4juM41RAT4nA8bNcW&#10;XRhciHMcx3GcnmfmzOHf3fn1aS7EOY7jOE5vZbsQV27vZtC/dw8ff7jxwN5xHMdxnKrZtm1j/TRX&#10;CHByL4YgV9+kS4QyQlzn55vDuhXLw7uPPxQe+93UMOfQ/cK8sQPDrNFxIQ5Ahps7dkCYNf4/wtPX&#10;XRk21Mqwyq+CIklqyZIlO+LxClUrTXfD+l2Iaw0X4hzH6cNcXfvZ9l/0/uxCnOM4juP0DUZYD8fx&#10;y3nXFl0Y9hzUMVPmdSHOcRzHcbqfZoQ46/duF+Icx3Ecp2ewhbiheLBYGFyIcxzHcZxdw7ZvNtR/&#10;z+5xIe6zz8LHb74aXrt7bnjokilh9oR9s4U4pJsxZlBYfNV5Yfkzj4aNqz4IWzZvNutphRxJatKk&#10;STvS4OQ4K013wrpdiGsNF+Icx+nDzKz9bOt+IQ4F6kpciHMcx3GcbmfE7gOGDNR7cCtCXMfIYeaD&#10;e8dxHMdxquP668fuVvahuiXELV95tvnQ3nEcx3Gcalm14azdrL+Bd23TyeBCnOM4juPsGijE6b+B&#10;7zm4o/4q1TLB+jv8a28stR7Oh88/+zR8+Mrz4aVbp4cHfjk5zD7kZ4WvTN3OT2vp9g4zRg8M959/&#10;UvjT7bPCyj89Hz7ftMGspxVyJCmZZtGiRTuuL126NEyZMiXss88+Da9W/cEPflCX6HC6nCyH8NQ5&#10;5MH3eBUr8jAvvpcn05Vh5MiRO9VH8ApYxDMt24l+6LTszzXXXBON4/cYH5yex3IxHqnXy2IMUS/S&#10;MQ9AGRjPmHSItiAd+4hydH8saVCmsUA7dJ4YaJvuL77GNd1uOYfyuoR94lqQlF0nqTGX6eQaJlgb&#10;ej7wPa7rtJx/zJWOk7Ct1hpyHKdyuoS4jk65P+Pv7rheWbD+GGA8tHccp00599xpYffdB+74x8D3&#10;v/8PYeLE83bEX3XV3WGvvYbVryP+7/7uv9XTyzLaEfa5L/TF6Ztce+2iI61fxHGttnazwl5Dht4p&#10;87oQ131s3vxxQMCnFe84Raxd91bYsmVDWLHiWTO+N4E2Imzb9pUZ31t57PHf19uNgK+tNE7zVDG+&#10;VZTRK7hx9I/KPlR3Ic5xHMdxdh1r1577I2sv/uGA4d/t2qqjQT+EdyHOcRzHcXqGmBBX29Prr1It&#10;E8oIcXhl6pp3l4alDy0Mj151XphzyJAwd8zAMHNkwQlxo/aqi3MzRu0d7plydFgy/Zrw3tOLw6dr&#10;15r1tIKU3ax4INNIeYxiUApLPsI1xkM4kukB6mtWiIvJXfKUOw36gfpkesahLfK6jMNYSDFMY4lQ&#10;Of1CeywpjvOAPkLG0vkI+irzVSXEoU2p/uqxkvMsr0vk2tJxOesE6bgOKQpayPGSY4uvtQiniY0n&#10;6pXXJZDzmD8l6jmOUw1bt25dWLvfXIhrhhNPvGzHDyzNP/7j/6jLPxdddIuZF5QRacaPP62eFhKR&#10;FY/6WDfqtdJIUA7SQmKy4qsEUhTb9i//8r/MNCkgUqH/yMtyKFOhbMRb+SRIh/TsN9uCcq05Khpv&#10;CcaQZcbGE20cMeKYhnkCaAPmqyfmoTvBGMqxlf1jGjl/EllOO8J+yb46Tm/iD3949DTrqPYyQty/&#10;7zt0kczrQlz3AZEJAZ9WvIYCXdnw9juPmOU523n++Vn1sYWoxfDlV39pC9FMBiu+VaqUNj/66JV6&#10;WQhWfG8F64MBX1tpdiVlRMPeKI5VMb69fY6yuXF06Yfq1u/dLsQ5juM4Ts/QihD3H8NHNfxHtEOO&#10;Od58aO84juM4TvVgL9antXa3ELd165awedPGsHrp62HJ9N+HOYcPDfPHDQqzRg0wRThCIW76qL3D&#10;3WccGZ6+7srw7hMPhU/XrjHraYWUkEQoQWkBCN9DFoLwIyUjyEuUlJBX5gFSdGK5aAeuQyLDp0zP&#10;dFq4klBqsuQu2Ue0l1IfPik3aZmK6a06Gcc+Ig3LRNulNKb7AiEO+SBoyTiMn2yndfqYjAeoh2XI&#10;vgDrZDOZX8flIE9zk5IX+oRx1WOFthXVl2qTzA9i6yQmu0l4WltKbsOYMT/GU7ZN9i1HdkM9iEe9&#10;VrzjONUSF+KGXo3rlYW+KMRBcKp1rRB5SpakjEgj67LiGUdidRKmO+OMa8z4KtESWBn5C/2wRCsJ&#10;ThyLlYnrPJEsBsrX41U03hKMIdNa44k2FPUB9el8VcL6IfpZ8a0yZMiEHX3hGECS49cYA91XSIKQ&#10;SllGu9JTQlwZgbYZunuNOLuOKoS4vfbb/wmZd/g4F+K6i7JCHNOXDe1wetiuYtOm97tGKR6sfJTn&#10;dvXYfvHF5no7LGGtCvmp7BpN4UJc91BmXHtjX4ralCNl9sZ+NUVFQpz1wN5xHMdxnG5gw3kD9xzc&#10;MULvxTlC3NBR4++VeVyIcxzHcZyeA3uxFuLw4Ly+SZcI1r8DVnyw0nxATz5bvza8csfsMH/SQWHu&#10;mAFh1ui9wwxDhNvBwXuFOaMH1tLsHRb+4ujw/Iw/hPeffbxejlV+K6SEJCClJC0TpSgjOlFsisF0&#10;UkrSxIQ4CE7Mr6U3ArlK9y1VJ+OAJZ7JU+DKjBnIFfsgw2n5C99T0rPqLZrrItg2S9azkPNsxYMq&#10;1okc76L50CIfr+NrmYewfRhXeZ3jHFtTjM8dK8dxWmPr1q1P1u45vFllldyfKxfiBgwddY2s4KdD&#10;DjIf3LcTMWkKoo8WuSzxpzuEONYJCcxKR5i+u4U4KUIRyFNWWg3GUObDSWoYR7QZnyiH/bXGUIto&#10;SIMykR9gTKUsJ/MWjbcEZTGtNZ7yFaFSvIMwhu/RLkpi3QXb1131cC3HZK0y49lusO/WGqyS7q6H&#10;89Pda9HpeSDE/WTAkN3kHrydjhG1Oc8KA4fu/6zM60Jc91FWNrrv/ql12UPDALnLir91/slmef0d&#10;nJzHANkG48s4jBteRxo7dYsBMpIV3xtAHxjwtZWmCBfier9s1deFuJw12Bv71QzX3zS29EN1F+Ic&#10;x3EcZxcSEeLwO3nXVh0NQ0dNaPi924U4x3Ecx+k5Qlj13V0lxG35fHN44/47w12nTAizRu8VZo3a&#10;uy7Fzax9WkIcRLhbxw6qfz544anhrQcXhDXvLA2ff7LJLL8VYkISTsiCKEaxB588BS0HKTNpkUnG&#10;oQ4ZZ8G0aKsVD2IiGQQp5o9JTxapOhmXkp3YnrInhKUEMRkXOwktNg4gVXYOPE0NfYrVL5HzbMWD&#10;VJvKrBOeAGcJajxBTkttvG6NFZFtkOuHeYEeC3mCXJk15zhO81CIq+3Rrzfs0YM6ZuJ6ZeE/Dpxw&#10;g6ygLwtxRMpgOCVNx5cRXIrqYpxMlxJbmMYSuKqEJ4dBCmN/i2Q9ICUziGQYSysd5ENIWHoMcV3K&#10;cFJE03DMrGv6ukVKiJOv1d2Vp6GxDak10Qo8BTBWfpnxbDfK3Met0N31cH66a404u44//GHx1FaF&#10;uP84cP9XZV4X4rqPqmQjht4sZ/VGeLoaPq34FAwuxOXjQlz34EJc3xfiUg/VDxx34MU6vfnA3nEc&#10;x3Gcylm97pzavr3z3o1T27u26mg4+NCjGn7vPu60080H9o7jOI7jVM92Ia5jqtyLa3t6jwhxYNmT&#10;j4QHfnlKuOXwjjBj9MC6DDcjIcTNGzsozBq7T3j8d1PDh688HzZvWBe2dm4xy24FKSTFgGxUVuyR&#10;IhG+zo2zYFq01YoHMRFMikvyehGpOlNxJCV6pUjlyymTabpDiJOiF06oi70ulMh5tuJBqk1l1oks&#10;RwtqlOW0wMg1k4tsA+4HXten0vF1qdbrgh3H6TZer9133S/EDTnoiFmygv4gxAGcasY0kLRkXBnB&#10;paguxiEdy4UQpuvU6btbiKOUhnbJE9+K5DD2AcRkOIlOI8cr5xWQqfzyukVKiCtTTnfCNqA9Vnyr&#10;FJXfW8ahOyhzH7dCd9fD+emuNeLsOiDE4SQZuQcDvIKtNudZYfAB+6+QeV2I6z6qko0YXIgrB0Mz&#10;48bgQlw+LsR1Dy7E9R0hbtq0MaUfqo+YMKLhP6INGjbMfGDvOI7jOE71QIjbfcCQgXIvBjlC3Nij&#10;Ji2VeVyIcxzHcZye48svN+y2sxA3FM9MSoWfHTT+RF1GjhC3+q1Xw4u33BAeuviMcNsJY8Ks8fuE&#10;maPwatS968zC12MGhLljB3a9UnXvcPvxY8OLs68PG1a+Z5ZZBVIk0kAYwslcqdPAcGocRKOUXKRl&#10;pjKiE2BatNWKB6xfi2C8XlZOStWZiiNyXK149BviFNrFdBqdp6hMwDR6HGRcKn8R8sQ9gFPXMP/W&#10;6YFynnUcSbWpzDpB/UwrT5OT4pqWOinK5WCdkMi502PNUxVzTj90HKcyTCFuj0FDF+J6ZaFj5FH3&#10;yQoGDxtvPrhvJ3IkH5lGy1JlBJeiuhiHdFLQir2elPHdKcTJ09HwelDIefweoqCVB8iT9VLpUlDE&#10;yzmNziJnbkmuEFflWGMsUTZPZgP4GtcoQcpxjCHbhDnCesF6lKfrYQwxD1oazCm/iNwxQTq0gfcM&#10;QZ/R5pj4CRkS6fgqV5SDr5kffcOY6XyaVL4y97GGr8yV5aKfmAumkXNhIduPcUCfUSbKYhqUgfZr&#10;EbXsGiFoH9op67Da7vQWHr+6VSFun2H7N7xXffThw80H9+0C5Ai8SpRSBQNOBcMrMWOvE12x4tl6&#10;OrxKE9+jHHzN8OVXf8mSoVL5qpKNGIra89jjv6+PBdrAgK/5qlUrD2D7MSYYL6Rn4PgAlI/A14y+&#10;+tqCHXXhE98zLcFrS/Xc4Htc12kJ2oC+8oQ3BHyNa2VeD8uQO/7sXyrIcSwzHugvxlL2CQFtw7gz&#10;nYZzI+eBazcVZBkpODexMcJrZvWais0f5odBx2He0G7klWVh7NA3a+0QpEHAeHNtyDKQH3FWXpLK&#10;hzlliN0n1ppk21P3lmw74HjjOsqz8mhS46rJ6QtAHNrO9iEU3WNYC/iZij7IfBhTrBH0z8oXa5Ms&#10;wwpyfHQZaCPqZBn4xPextvcabhx7ZNmH6mMnHtzwH9EqF+I2nBdWrz0nfNzF6nW1zxqr159rp3cc&#10;x3GcfsTHG84tvXczuBDnOI7jOLuOr79e+6M9B+93mtyLQdc2nR1GH3ncFF3G+g0brYfzDXy2fk34&#10;6M1XwmsL54VHLj0z3HbsyDBr7KBwS12CGxBmj967LsPNH49Xpe4Vbp10UD3d0ocXhs82bjDLrIJW&#10;JCl5+loKLTOVEZ0A06KtVjwoEuIsQSxFqs5UHImNK+RCtqkImQ/kzBXTWP3NyZ8DJUiKXwBfp+ZZ&#10;Xpek2lR2nVBQk/Ij1yjkN5kWsP1l1waB8Mb2UZaTp+hZkqDjON3Gqtp991/2GNTxpNyfKxfi9h89&#10;aZGsoD8KcVoUKSPSFNXFOMoxUt6xBBXG5QpJzQA5BnXI18XyGgSdIokJNPOaUSn5xITAInLmlmAM&#10;mVaPp2wLxiHW5zKgDCnCabgGyspOReIVkOl7SojLqSe2njiPuMf4+l4LrEudl8i1oME8cC5y7mMJ&#10;7wULWVYZIU7e9zFk+rJrBEDiS7UJcShX5nF2NYtnWkIcfsGvzVlW2HfEARtk3nYW4iBgFAWIEpYk&#10;QckEcgckj1iAZKHzEimq6AC5hPIM6rDy58IgBRFNqi0M6KeVl5IO4rWwhcB0UkqBEKWDbB/GnOXG&#10;gjW2yGe1gSE1BhoIPwwpAY/krCcp9OSOR47AFlsjHEMZ31NCHMYjJS3JsQByDcrrQM5FLMTmlgH9&#10;lkKbDGgn2mvlh8gVy4eAdcig+wRQbio/Qmx9MaDteixjc65JjatGrkmrLyD18w4B95/1MzO1Fhis&#10;OmNtKipPrgdZhjWWDLG29xqaEOKOnjzmHpm2aiFu9bpzw0cfnhk+WP7zsGJZjeVTwoe17z9ec46Z&#10;3nEcx3H6Ex+vO/c07NNyLwbYz7u26mgYffjENTJPM0Lctm82hG1frQ3ffLmmDr7e9tW68M3X6830&#10;juM4juNsJybE4e/qXVt1VjjqpNN/qcvIEeK2dnaGzRvXh4/e+FP40+2zwmO/uTDcd84J4Y6Tx4f5&#10;kw4Kc488IMw9Yv8w76hh4a5TDw2PXnleeGn+9PDhqy+GLbW8VplV0KwkJWUlCEX69Zkpmams6MS0&#10;aKsVDyiZabmJr68E8noRqTpTcSQ2rvI62qZPLYvlK4ojTNOdQpwEJ8ZRLMOnPE1QzrPMI0m1qew6&#10;kafXUUbjKXDWaW2xNZML+sr6WD7X28iRI3dK7zhOt1J/BXq3C3EHjj3uKVlBfxHiKMtAEtFxFOKQ&#10;BtJJCinP6HIA4yi7QILjNUgysfQoW8dVAeQk1gGBhtflqXHyukRKPc0IZK0KdUDOrZ4LjawP3+uy&#10;ZH+wDlB2K2Ic60NZsn+QkLBOpPBEWL8VR1Ae8qNM2T4pQGGtyjykqHw5nlZ8CvQL9UNok+OLNspy&#10;LflRxgPea4jDPSLnxlqPSCvzUi7VeUEZIU6KaJhPjjfKRZute5Y/L1L1IB/i0Re2FaAf/FkErPXH&#10;uNgcAtlu1CXFN6wb1oH5amWNO1WzuP4OdLkHbydfiPuPA/ffIvO2uxAHMQKChxQtIERIicQSwWQ8&#10;AkQKlgGBpkimkoIG8iKPlRchV3yJwRAThqSMhbowLozDyVtSMINMIvMCSlEM+B75QExKQcDYIx7X&#10;Ua6cA44B0qB9lFQwPnLsdZ9QDgLyyVPD0CeIS7ExsEAeGdAv2cYUDKn6cscDX0OowifaxPx6rVin&#10;pHFu8KnjZP25/dKkymfbsH5ku9FOayzlvMrrAGUhD9YC7xWAMuT6tGQmHVAP06E8jDsCxljnBewj&#10;AuaA12VeBt0n1EMZDu3Ua1LOnzUHOmANIx3qBjq9hRxX5E3B+wcB3+uyZDzK5Vygn3I8rPWAOLQf&#10;YyDnSebDGMk8AO1gsNrE+bHqJLIMBNTH8UNb5BhZom1v4YYbx5R+qH7kSWMbfu/ef+wI84F9KTac&#10;Fz5ee3ZYufLM8P5bZ4R3XjwlLH3mpPDGEyeEN54+Mbz9wilh+Runhw8/ONNPinMcx3H6Na0IcWOP&#10;mtTwH9GmnH+++cA+xVd/XR3+9vkH4S+fLAtbN70b/vzp8vC3LR+Gb75cu1NayHP6muM4juP0V7Zt&#10;2zAQb1SRezEoK8QdffLp1+oycoQ4ALHts/Xrwtplb4cVLz4b3lp0b/jT7TPD09ddGR657Kyw6PKz&#10;wlN/+FV4ce6NYdmTj4TV7ywNn65fa5ZVFc1KUjx5CxKUFZ+SmcqKTkyLtlrxICY3yVO8tHyWIlUn&#10;4zAGOo5Yp5XJ6zFhKjUfOXPFND0lxAF5Kpqcz5x5lqcM6riy60QLavJ1qdZpbVKWTL0WOAXmEfkx&#10;ryiDciDkPCu94zjdRpcQN3Sh3J8hyOF6ZeGAUUc3vJN1v4OPMB7atxdFko+UaawTqCi4lEWXAxgn&#10;ZRZ5IpYUiWR6fb0qIOSwDi3GUK6ypB8gx8WKL0LOS7P9k2WUwaoP/ddzjTFAHc1IQyyrzOl3rFeu&#10;jzLI8bDii8ovyt8KHA986jhZL2QtPd74nusxdY/GBC8pQ1r1x2C70CYr3iLVzxzkzyNrnTIuNoeA&#10;EmDs3pXjibGx0jg9z7XXLq4b7nIPBrWNfiqu5wQtxB16dHu/MjVFSrSQAgUkDil4AHxPycMSLFg2&#10;0ui8QIonKdEjBwa0WcfJdsbqQRpKPZY0xL4gpNqqpRRLbgEQhRjwtZWG44+2y+tsS+w0u7JIWYcB&#10;dcTaThisMSe545FCzp9VF8fDmhdZfzN1g1T5DJaoZyHvKSs+RlE/ZLAkMlmvlO2ALNsaX6SXQp6u&#10;n/cx7hvrPgccQ8hxOk6G1FpKIftXJlhjybUmxUCJHK/YvWuRmntZptWm1Boksgz0wWoby4mJkb2B&#10;ZoS4Y08b94JM24oQt3rdeeHDj84O77318/DqomPDc/MOD0/cOCE8ft24sPg/x4RHfz8mPFJj8X+O&#10;DU/ePCH86YFjw7LXTwsffviL+mtUrTIdx3Ecpy8DIe4nA4bsJvfi7XSM6Nqqo2HC0cd9KvNkC3Hf&#10;bAhff7km/HXLB6FzzRth0/LnwvqlT4Y1bzwW1r31ZPjsg5fClvVvha/+8pGd33Ecx3GcUJUQ9/Nz&#10;L7xVl2E8mM8Cr0Jds/ztsOzpReGVO2eH1+6eW/v60fDxW6+Fz7pZhCPNSlIUgaxXUQIpommZqazo&#10;RMkoJaDFhDiIUKwrJqFBXtJxzIPxkddlHLDEJ9k/nZ99gYwlrxOOK9BxOXPFNJYQJ+ekWQHMIjaf&#10;cuytcURajgew4hkny00hBTXKdlpKJFLks9qXgyxDyn1Vjq/jOFn0jBA3YtzxK2QFfVmIw8lMkEEo&#10;huBTntZEKLiURZcDGCdlFimnaImG6btLiGPfLHFGinpF46LjcpDz0huEOAJJ8Pvf/4eG9JifsuIQ&#10;pSSUZUlaFqwvJTulaFWmkuNpxbdCqmwZFxsrrjd9jyA986bkQ56KpvOnkCKdPGUtRaydZWCd1jyl&#10;4oAcj9Q6Zztj0pzT83wrxHV0yn24jBC374j9/ybz9mUhLiVpyLgi0UWLGkjPkBK3KNqkRI8cGCyh&#10;BoIQQ0pckum0lCJFkthYACmlxIQawFcypvoty5JyC0/cKmpLGSA9QWrUAe3TAhVhsMac5I5HERx/&#10;a7xScbJ+Pae5pMqnPGWJXhap+60IBmu8GWL3WmocuBYRYusJ9w2Dzs97OLUO2G+Ml45jyB1DCzmu&#10;ZYLui+ynvK5hKLOmU3OQigOpNUhkGbGfc62sv55i2rSxU8s+VJ989oR3ZNpWhLhVqyHDnRFeeeS4&#10;8NAVI8O8o/cJsw4ZGG45YlCYAw4fGOYcNijMGj8gzJu4T3jw8pHhxXsnhWWvnFbPa5XpOI7jOH2Z&#10;jzecU3rvZhh52FF/kXkuuvwy84E9wetQv9z6Yfhs1Sth5ZJ7wpv33Rxevf0P4eU5vwsvzrhyOzN/&#10;Hf50y+/C0nunh7WvLw5b178dvvzzKj8dznEcx3EU275aNwL7tdyLAfb1rq06K5w99dKGh+3AeDCf&#10;zeefbgrrP3gvrHr9pfDRG6/Uv7ZOhdu6detO16ogR7KykHIVyqAAhFO5pNQFtMxUVnSi7AZ5iqe8&#10;QUSSp37FhDgg2wNpifnwyVPCdD6mt0Qpxsk07D/aRckLn1qMYlsQJ2U65OPpcUTmAzlzxTTWOMhx&#10;p5CHMUDdOq0F2ozxkyft4Wu2G/EyPZB9wprBNYyJ7AvRecuuEyBfm8rXpaZOa5Ptw5jIvmFskBdj&#10;iXmT+SScb1mOlc5xnO6ldv/9lz0Hdcxs3KM7Xsf1ysJB40/6WFbQ14S4GJCWYsJLGcElJf0AxmmZ&#10;ReaTr4TktWaFsRSQ3Fi+9cpS/bpIHc9xATouB9nnZvtXNN6SIllMg3mQr68E1ulkMTCmzIdyrDHW&#10;ML1eH7kU9bGo/DLjWZZU2Tn1Mo2+D3Pntcx9THCPSGEWa6JIbmymHg37Y81TKg7I8cihlXY6lVM3&#10;3FsR4gYdcMA2mdeFuLg8wTRa1CgSPEiO6JEDA9qj43IlEEhnDFp0yW1n2X7nBlmWlHYgI6Ukv7JQ&#10;jKPohRA7bYrBGnOSOx5FpMY/FVdF/anypUwGocsaJ0nuWrRgsMabITUXDHocUv0jqXEsG2RemT/V&#10;9iLKjGuqL7KcnFCmzal6U3Gg1Tmy0ljxvYFmhLgTzhjX8Ht3K0Lcyg/ODK89dkJ4/IYJYf6J+4Zb&#10;xw0Md00YHOaNHVj/Gp/zxw0KCw7ZJ9wyZkC449T9whO1tK8/cUL99apWme3M5Vd11P+d+53v/Fcz&#10;flfzxxsOCgMG/XM47Mjdzfju5JRT/71eN8bIiu/LLF12Rn3MsS64PjAeVtqyLHr821e04GsrjeM4&#10;vYuYEIcTZ2r3cjKMPWrS1zJPkRBXl+Fq//5a9ui8sOiyU8Ntxw4P8ycNC/OPOTDcdsyI2mft+6MP&#10;DHOPHBruPv2w8PKsX4ePXnoodK5bGr75ap1ZpuM4juP0V6oS4i781VWP6DKsB/PZbN0atnR+Hj7/&#10;7NM6+Hpr5xY7bTeQI1lZQGrSApdExmmZqazoJE/hksi8KSGuqK0QmqQIBRiH8ZHXZRwkKS1DEVy3&#10;RDPUE8sDZDt13laFOGCNQyytRufTlO0vhDUpVuq8ZdcJ0fVpKVFStDZISnKTJ8OBXMHQcZxq6ezs&#10;/G63C3EHjmk89r2vC3GQQSB7pSSXMoJLkdjDOEtm4alk+OQ1pk+JPs3C068g+ljxgEKYbBPhuAAd&#10;l4Mcq2b7VzTeklxxSgMJilJUM3mZD6AcnGJmnbgHmM5aHxLkRzlyDjRWOxkXK7/MeMZAvRAHtUwo&#10;0Xly6mUafR/mzmuZ+1gCMVTOP0D/YnXl1oOfObgHkU6XT6x5SsUBveaKKPNKX6fbiQhxQ6/G9Zww&#10;6ID9/5/MO/GEg8wH9+0ERAiITvLVhzroPDmSCdNoUSNHzgA5okcODJagwjpyXhPIoMvJbWduv9GW&#10;3AAhTZ/SJk+zQ0AayFmx09zKgnJ4Eh2C1W+GlBSUOx4E/UK9sfGx2pGam7L1W6TKB/pkPbQdQqV1&#10;2lrRPYU8yIu6pJQogzXeDKm5YNDjUNQ/EBtHrJMyAT9/ZLmAIdX2IorGVZJaE9YpialgyagYE9yL&#10;HFcr6HpTbQKtzFEsjRXfG7jpprFXl32oroW4sRNHmg/sc3jvzdPDEzdNCHdNGRpmHzYwzBm9d5g7&#10;ZkCYPWrvMHt07bPGnNr3t44bFGbV4m499mfhgUsPCi/cNTGsfH+KWWaV3H3v4WHY8P+5Q0QC/7Tb&#10;97pNzDr3gsE76rHidzXoN9uHsbHSdBest7eOTXfyrz/8+4b+VzkOmEeW19Nz6jhOc6zdcN7VeLWa&#10;3ItBdwhxneveDB88szA8e91FYd7EA8IdEwaHO8YPqgvr5Lba93cdsk+YUduzH77olPDmPTeFTe8+&#10;G77+cq1ZpuM4juP0V77+esORlhC3x4ChP+raqrPCBZdd+bouw3ow3y5QSIJEZMWn4ElfPIkLQC7i&#10;iVwUk7Rshu+ZXsfFgGQkxSVIXPKEOJ68FjvJi22VZaDd8sQ4CdvOU80kzI/yUC5kKabHJ763yiSI&#10;k3kA2g3pi2ODOJ0vZ66YJjUOsm6MAfphpdWgfcgr5xtf41pqHhHH+ZF1oi2p/jIOpMrXSEENX1tp&#10;NDwJjvkA1granTphDsh2pubGcZzuxRLiar+nr6rdm9WF4eNO2CIrGDbmWOuhfVvRquRTRqQpqotx&#10;lswiRRZ8LdOnRJ9moYCXiz5BT75StZn2yRPUYnJPEWXmNlecspBtLXNKHKC8JqUnfG21gfGp8ZDj&#10;nqKZ8suMpwaCF++VInTenHqZRt+HufNa5j7WUF7T90zq5MRUPVqyjGHNUyoOUHQFZde5s8upG+7Y&#10;2OU+XEaIGzzsgB35QDsLcRBsUmKGDDpvjmTCNFrUyJEzQI7okQODJdWwjt4kxFF2aqXfFG+kOIWv&#10;U/WWRQqUWrZjsMac5I4HTlbLkQSt8UrNTW79KVLlE5StZSqMnR6z1D0FGTAmwclgjTdDai4Y9Djk&#10;9o9B5se8MaTqTsHQbH6QGldNrC9ASqDyei7yxMBU0PWm2gRamaNYGiu+NzDtpnEzyz5Un3z2hM0y&#10;bStC3FvPnRzuu+igMGv8wDD94J+G6SP3CjNG7V3/JDNqQIabPmqv+utT7zqjIzw1/ZDw/jvdK8Th&#10;RK5ad5NY+VqhtwtxOJUMbYMUiFPLrDTdBaUwCIpWfF9l9ryxO9YEJUyMPa7rtM3QXUJcbz/t0MkH&#10;9xzmsifvPUrI/fFEyExK790Mw8cf3pCnSIhb/9aTYcm0S8LCMw6r7dU4wXVAXVyHrE7mdp3miv0b&#10;p8Qtuf7SsOrFB8PXf11jltkfee3Vx8O++w4KY8YMD++//5KZxum9XHfdVfWfSd/73nfM+HYGaxN9&#10;A/haxm3auKy+ZrF2n37q3oY4x3Ga45tv1p22+4AhA+VeDFoV4gYPG2U+mHf6LrVlUCdXJHP6NhD7&#10;KBjmCniO41QPhDg8F5d7dOVC3EHjT/yrrMCFuJ4T4gDrgiwDCYfpqxZb5OtQc9EnSUlJrJlTpmT/&#10;cJqYlaaIMnObK07FYN6cdRBDilCcYxnPOmLrQ/YB7dCvYS3qI+Ni5ZcZT43MC2lQC5SpsnPqZRo9&#10;/rnzynurlfkDqEOefqfrLKoHc841AMEOa6LMOkjFgdzxcHolLQlx118/dre+JMRJUQTCDgSWWLy8&#10;XhRHmEaLGjlyBsgRPXJgQHt0nJRUdJxEyj2Qk2Rcbjt7ut9EylT4tE4nawa5BnR/GKwxJ2XHA21H&#10;eVokS41XKi63/hSp8jUYdzlmOo+Mk9eRj/MHMRDzqeeQwRpvhtRcMOhxyOlfahwZUnWnYGg2P4iN&#10;q0WqL2XK0chyMZb69LhUvak40OocWWms+N5AM0LccaePa/i9uxkhbvWGc8MHK34RXr5/Urh7ytAw&#10;c9TeYVaXCAcBTgpxAPEzRtXixuwd5h29T3j0mjFh+Zunm2VXAV4NWutqHUggS146aUccpCGIYd0h&#10;+vR2Ic7pebgmukss6y4hztdy34EnQ+LTiu8OuHawjqx4xxbi9hy832m1cYuGL7/csJsW4n77h2vM&#10;B/bk/acWhPvOPjrMGjcoTB81YPteXEPu0RDhIK7PxGlxxw4PD198Sv0Vq1/95SOzzCqAVAY5qdat&#10;ncB1CDzz5t5g5t0VXH75BTvah6+tNE7vRc6fFd/OQHRj37T0JuNwT8k4x3Gaoyoh7uIrf7dM5nch&#10;rv9RWwZ1XIhzAE6Q45pInQzoOE730tnZuVu3C3EHTzj5G1mBC3E9K8RJmUWWVbXYwlPGIOZY8RLK&#10;PzqtFHvwGXsNqESn4dgCLXdZ6Pxl5rZVUYh5y54Qp5EioW4Hr8fWR9G8FfWxqPwy46nhOtl994Fm&#10;fKrsnHqZRt+HWBPMG+sXYPty7uMipMyp6yz6eSHnX0uDJFZ2URyQ49GMqOrsOq69dnF9Q8e70OU+&#10;jKNhcb0o3Hjj6B/ttd/+3+ar0c5CHE/4wslHVnxKAMmRQ5hGixoQmhiQRsZJ2L6U6JEDg1UXXkHJ&#10;oIVAiUxXRsiS5EgpQJ4mVpW8BgGHIVV3GeQa6K4T4tB/BsyBlSY1/qm43PlIkSo/RkzClOMpr8u5&#10;i61RBmu8GVJzwaDHQa5FeV2SWls82c96HWoODKm2FxEbV4vUmoCIyGC9DjUF5xxioxWfqjcVB3LW&#10;YFEZOo0V3zsYu7DsQ3UtxB110hjrYX2SlSt/Ed558eTw9MxDw20nDglz8GpUnAInHrBLtktyP61L&#10;c5DiHvjVweGdl08xy64CnkaGTyu+u3CJyNHwVL7ukpFciHOKcCGuF7LhvIW18an9/i33bVCdELft&#10;63Vhy4a3w2t33RBuO+7g+h49U4lwco+ui+u1vXzmuEFhwakTwpsLp4Uvt35oll0FUtRJsfvuP6yf&#10;cmWV0ZPcf9+8ensg6/lJW+1Hs0Jc6vS13kJKiJPiKU7Jk3GO4zRHTIjDtdq9lh3OvfjyNTL/sHFH&#10;mA/mnb5LbRnUcSHOAXyFLF6xasU7jtMzdHZ2/kgLcXsO7ujE3l1ZgAAnK3AhrmeFOAChCGkom4Fm&#10;BK4ULDtH7pKvYNTSmuwvhKOYFAeBCHVpkUsKXIhL9ZPtkBJRmblNyWI4qSs1J7Ievs62WVLt4LzE&#10;RCauDbTXii96XSbjYn0tM56aojXFtltl59TLNNZ9yFeZ4lOftgbQJpafcx/nwPL0WLKfuB/kdSLn&#10;yLpf5OmN1jwVrREgJVZrPJzeyuL6ht6sEHf9TWMHaiHu+MntK8Tx1ClIL1Z86hWBOZIJ01iiBkUZ&#10;fFrSlxRxyshGFgyWVCPlvJgYiPaxvVZbcoQUkCOlACkYtSICSXLrJpDP0J+YgIUxkaeW6XjGQQTS&#10;cSSnTaifQZ/MB1qZG1l2WcGJpMqPEbt3YtdTMiaQ/bDWC0NqLTHoeZASmCUkom7ONYLOL+W/nHWn&#10;YWjlPoiNq0VqTUo5s8x8A/4ste4VIOdY15tqE2DZKemwqAydxorvHZQX4k4+c0JD2maEuBXvTAmv&#10;PHxsWPyfY+snvuF1a7eMGWA+aP+Wn9bSDKw/dL/nvGHh1UXHh5UfnBk+XneOWUcr1LpZp6dlDJeI&#10;HE13y0guxDlFuBDXC2lSiPv667U/yhHitn21Pvzlk3fDmtcfDUumXRbmHjW0tk8PiApxgKe7zq7t&#10;0fOO2j/86Zbf1cpYvlPZVZGSeCAe4TWPjPeTrZxWaVaIS63T3kI7tNFx+hLbvt4wFafByb0YlBXi&#10;Lr7yd1tlfhfi+h+1ZVDHhThn0aJFO9YDToqz0jiO0zNsF+I6pso9ulIh7vrrH95NC3GjDp1sPLRv&#10;L1qRfEBPC3HyhCdiyU2EMlCqTIk8oSrnVDZ5GpYlO3F8AAQcpEG5aDM+Ie5Q4rFELjlmAEIRpDPk&#10;B4hnH4GUiIrGW4KymFaPJ6+jHrSXdaMdsn8xyckCfUZZUuDD11JWkukB60Ic82EM2WcpU6HvlJ2Q&#10;VgpnQPcRyLw6DpQZTw3rR9ulNIj2s8+xsnPqZRrrPkR9zI92cLysccm5jwnScj3zGsqWgp2cXyD7&#10;wnFAGs4Hvma8bCs+ZV6A71kuKVoj/J5lYE2jHVKMQ1t4X+r2pyj7s8YpS+tCXEO+Gu0sxFGkgNAi&#10;ZSPIQTydjUHmAzmSCdNY8ogUbdAOij4QbNguhrLyiYYhJtVIaQd1ow2M02Mh40iuFJUjpRBZp36d&#10;LcYK44f60F6ZD3OJ/sj0+JrlIV6mjyHnF3WgPrQZoHwpQVkyGccE6dgWpJNCV+54sC70gekgJ6FN&#10;sh3W+BfNDQPKRpks10prESsf7YT8BNFJ9hljwDbruYvdUxg/BuRhefiUeRCsNc4QW/+AwZoHCodo&#10;N8fGGn8EnR9tZBp8og1yPNA3jBHHSuYFDKm2FyHHyIqXoP0M1ljInxWYc7n2MSb4Hvcr+irzSeEN&#10;7UFaXEf/Macy6HqL2iT7x/lBuTJtURk6jRXfG5h247gnsRfrfTj2UH3VhrN2gwAn0zYjxC1/4/Tw&#10;/F1HhYeuHBnmHv0fYc6YAWH26AwhbvT217LdeWpHeGb2YeGt506unzZn1dEKta7WKSuAXH5VR2E+&#10;vIIVafCp47REtOjxSTvSg3/a7Xv1NEuXnbFTXsD6WTYEJ5kfJ97hdbBMj3JQHspFPF7LediRuxeW&#10;H3t9J+tDPNPh+5hohbZQtgFoB+qXr6gl7Af7ZoHxQn72R5aZkr3YXuTXY8I6EWflzQVjJ/sK8D2u&#10;W+PNNsUo055UnzAuvGaNEeYIaXlqImHbdXrOUwx9b5QtPwc5n4DjjusYB51er1uA9qTuNYL2y7bj&#10;69nzxtbjsO5wLTVOVnsI25Mah2bbnnPvyTItdNuRV99/qAN1yXQxMFeyfAtrjSJfM/f9/8/enwZr&#10;WZ35/vjvZVequmKq+s05L9JJn6qu6n5xkpTH9P9/WmWwEwWDoMyOqOA8gOKEGnGKkQySOOLAKIoK&#10;ouKEimNwioqCBhSQQRAnBKJpk9j9W7/n++z93bmea19r3et+hr33s7lW1af23veah3vfPNyfvVY7&#10;s/WjaaWe3Qxff71j4EGHjarJM2v2rG4v6//61bbw2fu/D+ueuies+OUFYf4xPw4Lxw6sPn/t53MH&#10;kOKq6cYNDi/ceHn4ZN3K8Ocvt4T/+uuObnU0So7EAxGOabDTlZXGcXJwIc5xnGbRLCHugp9e9YXM&#10;f+TE08wX807/ZZ999qn+7p45c6YZ7+w9TJ06tboWsEvc5s2bzTSO4/QMu3btGthSIe6GG5Z//5Aj&#10;jhOFV/4RcPx5xkv79kJKJlZ8ERRQckSaoroYVySUQFZhWmDJTUDKNbmijxSXrHgLKRXpHafwsxSE&#10;YkCmick3UvSKoUUrUGZuMYZMq8dTlhMDUpfuewqrDImUrIgUmSRsL+rXcplExllrhnGx9VdmPDWY&#10;W8wR82tk23TenHqZJrbOU2sQ65f3VO59Anjvx0CZOg/ENGsc5Jin2oq8KfGsaI0QKQmmkCJdinp+&#10;1zhlsYW4/QYNrf7lelG49daxE2Q+cNbU9hXiIE1ooUUGKWXpvDmSCdPEZCS5C5wOkEQon8Ty58KA&#10;9ljxkFO0lKIDxikmSsWkKE2OlELQJjn+saB39ysKlrxmAWmJIlQqxMYE9VhB9jt3PFBHKnCcrPEv&#10;mhspOMlgpbWIlS/7ZgWsJymGgdQ9lbpXUBbnylrjDLH1DxiseUj9nsB1Oddl88tgrSWGVNuLSI2r&#10;JmdNpuaCAfMh8xTdzzJO11vUJikdyiDHLKdfMo0V3xeoR4gbe8LImrQXTD/afGGfYt3qKeHlB04M&#10;j84YVRXiIMPNHVUkxB0QOsS5A8Pdpx4cnvjt2PD7RyaF994+16yjEaTUkytzAAgiyKOlHwklFCsN&#10;87Nefq+B8GLJLrJ+yjgWSAeJRIo8EogwqfKBjku1F+j0qfZZY5MaNyDbFgPHj1p5GQ/xSEo1EowJ&#10;xszKnyI1zgR16rKLZKTctkBSivUJyHnQ8hDGQ6a10PMh7x0Lmb6e8nNgXpSvx1GXxyNpY8TuNZDq&#10;K8YVdeF7rE2dNxVHWFYsTb1tz733yghxWI+p9DliGsqw8kp0OY3c9+3M34S4Ibvk8xj/8Y7rsfCX&#10;v+zo9rl74b3zu72s/8ufPgg73nkurFoyKyy/6qww78gfVXdyxbHl1rP5b2An1wFhTiXt45V87664&#10;J3z2/qvhqy83d6ujUXIkHikxuejjNIILcY7jNIv//nrHdc0Q4i696tqa/C7EOY7jOE7v0yNC3OBh&#10;40XhQ8NxJ11qvLRvLyhblRHAJJTB8NWKlxTVRVEG6ax4AvGJMg7yxEQyKXlZco4F25CbHkgJxxKt&#10;AK5D9KHMA1AXxk2LbBYQc9AmLXxhHDBeloxWZm6l0GONp1V/mfZrrPHA97gWm0+AsZZtQP+ltIRx&#10;gCgly0V6tpHza9XBPLH1V2Y8LdBO9I9tABg/jAXH3yo7p16mSd2HGAM5dnJc8LUovya1JiyhkaCv&#10;SCPbodPrtmJuMK+YX+aNzVPRGiGcD7lW0H6kR7+sPDHq+V3jlKcyvv9P5UH/jHwO5wpxl195xBUy&#10;H5g6baT54r5dgEzBHY0YIIdBjoDIgoA4nY87HllxhGlQnhUPIMFIGQTfU4yhCJXKnwP7Zu1AJUF9&#10;qEuOBdoDaUrLSxLKdEXt5Hgi4HsrjQZtonTFgDahLo6TBPOG+ZQyG77Htdw6JfWOCYAoJecW/ZB5&#10;0B6GorahXxxnBLQHfUJ5qXXGPFYcgTjE8UK5qbSaVPmpseMOYZKiewrlyfFEm9F2KXRaa5z1p9Y/&#10;08TmQf+ewFeOP+I5frH8aCPaKtuPgDWBcmKSVk7biygaVwnazxDrC+B6ZPsQMAboD+qz5pdjwLFC&#10;wHjwPmZZul78zKDjZBquAQSUK+VXxDPge5lXp8kZp95i1m1jV+FZrJ/DsZfq27ZN+/6hY0fUpK1H&#10;iNu44bzw9ktnhWfvODosOvVH4c4xA8P80QONl+u1QIjDDjV3nfwf4fEZo8LLS04I774V3wWpXrSY&#10;AUkkR+ignKGlGwlFGCuNljsgtHC3KYgtMh4yTk5+thtfpbDC75EHZQMpKFkSiSxfx7E8yDbcZQpl&#10;QpSDkCXTyvFFnZR2kA91WH1LjZuU8RAvZTGMnxTSUJ/MCxhHOCaIQ9nsm+5HESiDdaMMq6+sE2Uz&#10;TpLqdw7MD2TfZb+IXuNIj3bhqxxTtF3KYFyjktRaIY2Un4L5CNYk+oY+A6ZDvUyD9up1y/Gxxl72&#10;D+Vz7lCPXG8AaXV+zosVR1L56217s+89wvlC3/X9h3x6bRXBNqbGB/1kOtRR9r5vZ7buuLjz2d24&#10;EPfgo0u6vaz/8392CHFvLb0tLL/q7DD/6B9XntEDwuyRBTvEjTqg+jy/Y9SB4aFpk8Jri64PW15f&#10;Hr78fEO3OholR+LJEeJwHcerfutb3+xKu+++36vm/fijtTVpb7ppRjUeaVM7zjEd4DUc48pr+F6m&#10;J6gP9aJ+pkVdaJ/Vfh4LGzsSFuWxX2iTlUaOY+4ueqyXbVr20MKa3fg4fjofQb5TTp5Qk4f5Lrrw&#10;7G7jTjiuqB8/c+6Y/3/903eS9RL0E/UjvcyLa7ExkGvJitfINRDDyoe1EWubtQZy4dqS5WLsUJ9c&#10;A1YdqTVkjSXmdeGdt3RLS5AH85yTh+MYW+OAa4DrQsN1wn6k7imAdsi1yfHPvT8cp4ivv/5ozr8N&#10;OPg7+nlceaaPqKy57DDlostq8k86a6r5Yt5xHMdxnB5lRHchbij+XdmccP31Tw7sj0JcfyZHVHMc&#10;x2kU/13TM1x33TP7NFOIu/iy9hbiHMdxHKcd+JsQl/dS/YMdFw/UQtwVv5hgvrAvYtPG88OryyaF&#10;eycPrb5AX4CX6MYLdkmXEHdShxD30uLjWyLEASmVkCKxA/IG01nxAHGxNMwPIHNYgpQUhSjBkKL8&#10;UiAB+FnGA7bPkr9k+fI6xoTXrTZrWA7aaMVbxMYN9aXEJaZBf5DG6heuE2tMZL/1mKeQ+WLrRopN&#10;qfmI9S2FnBe0RcejL1IaKiMtyXG3ypZ913E5FJWfgvUW5WX5MVlKjp+UrYrWHOLlLmxWGzivqfal&#10;8tfbdpSFa8249ySsq6y8GIPlxcanaA6YJnXftzmbKv0qLcS9+vunu33utoS4v3y1Lez+8O2w+eVH&#10;wvM3Xh7uPPaQsHDsoDCnYIc4CHHYIW52Jd3Sc48NL91xbXj/xYfClzvf61ZHoxRJPIBSCwQYKx5S&#10;DsuwgKAl5SwptcUEM0ChDV95rai9KFsKQhZaGJLSlSXrQFRjfEwo4higbiveguOK8iEKsQ6NJSjJ&#10;MYyB+bKkOEppqD81d2iTzkswhhSjLBCHNup8PSHEyTpioN86XxFYG6m1JefQWpuMQ/vkdYxTaixj&#10;6zyVR8+dnHN5XcL1aKXBfMvyNTp9aj2n2uA4ZWiGELdr167vQICT+V2IcxzHcZw+wQicuiKf0aDz&#10;Ed54uPHGp0bsf/DhNYVPOv1K86W90zfgTlLY8cmKdxzHaQb+u6ZnaESIm3bpyFtkPuBCnOM4juP0&#10;CKVeqjdTiANvPn1qWHrBT6qSG3afwcv21At3SHNId8+pPw7P3Dw+vPHUyWH92tYIcQDCkHW8IAQM&#10;S4yibJISR1JyCfMDyBw6HkjRRQtUOfkZHztGUJaRG6d3nZJxFlICk7JOiti4SckvJePIdFr84vXY&#10;mMgx13lTUMYpko+YzloTqfVShDxSM7YeMGZMU6ZvINW21DrKpd6+s15rtzMi+23FE6aR61rmja05&#10;jDfTYCx0PPtmxZFY/kba3sx7T0I5LTXmZWAbY+PTjPu+zYk8u4deh+uxsGrV8zNlevD0c492f1n/&#10;1x3h6z9vD7s/XB1eX3RjuOvEw8Ld4wYVHm3eJcRVntMPTD02vHT7NeH9lQ+ELz97t1sdjZISzPAz&#10;JRmQ2nkKQLqhUAYRS0pTWoKxZDcJymG5st5Ue1EnhSWUC9GMcRCIuAOWzivrsgQ9LfdYkhnrTUlk&#10;Go4txwjto0SGNsn2xiQqiF2yL2ibFMIs8UvGA4wVy9D1WnOOuhkv2www5pxbtE+PlaxbXi8iNe8S&#10;KW5hfGNtAykZ00LeCzKvXOfEaiPj9FxyvNE23V7UqcvCmLI+fJXrXLZFlsVx1/ehhP2z0rBMrG99&#10;j2sJVK4PjBPXAPKhHeivTO84dfNfO5a2QojDjnHGS3nHcRzHcXqQPXv2TGipEHfDDcu7bft+xpRr&#10;zZf2Tu+D4w4r01Y9ArHM0YeO4zhl8N81PUeHEDd0qXwOQ5CrPqQLwqWXj7xT5gPTrxplvbR3HMdx&#10;HKeJzLp17C48i3Nfqm/ZMW3CoGHDap7Zv7zxBOtlfRarV54Zll0xPMwdf2D1RTrEODDbeNEOsEMN&#10;dpNbfM7Q8NLiE8K7qyeHzVsvNMtuJhTjKH0AfK+FEkpAKXEkJZcwP9BxEqbRskhO/lhekiojFSd3&#10;GkO61E5qiONY4iuklZiwRWLjltNnkJL2eD02JoBpykg1OeUC7vqHsdBxqfVSRE7eemU/kCo/d15S&#10;5LTfgvWmxl22LwdZVm7frLyEfUu1MZZf1p+DzN/Me08i5Uus51zZLgbLio2PHAMrnqTu+7Zmx7Tq&#10;s3u/wUM3yedxkRD3/AtPdPvcbQlx5C9fbgnvPDI33HvqyMqzd0BViIO0jue19Yy+Y+SB1Wf07Ucc&#10;EJZNmxRW3Xtz2P7mivCnXa09MjUGhBcp3UgoysTkIlm+FHSQntcp2EhkvJSqZHlaFGIetFeLWITS&#10;j5ZyKEpZMhBlN6IlMSkAxcbJgm0BlkiHPrBuLR0VkZKbpJSGfuuxws9SgJJxgAJXTGyS+fW6aKUQ&#10;J+u1+s009YyprF8LbQBrWMp2Vhtj+Xk9d+3IXf3kPUXYFnlfcdxj4wJia0b2Xa8VC9aFNljxjtM0&#10;/mvH0u8NGL6Pfh5XnukTKmswK+zatev7R048rSb/pVdda76YdxzHcRyn59izZ89kPNPlMxrg2d/5&#10;GG8s/Ozniy/ShU85/zfmS3un9znggGHVDxkjRkwy4x3HcZqB/67pOW6++bHv1CvEnX/JEY/JfOCa&#10;GaPNF/eO4ziO4zQPCnG5L9UhxMl04OY5k+wX9hmse3NKePrm8WHJuUPDguMHh9ljOmQ4csfI/atH&#10;r1VfwFd+njcaO88cGB6aPqK6u9zmTReEbUa5rQIyiTyyVAsilDRS4khKLsmVPJhGyyI5+WN5SaqM&#10;VBykGinFAfQRwo1OCyCqUMwhkA5jUlZs3Hg950hE1qP7HrsuYZpcaUyKZrExIKlxjfU7h5y8OUIc&#10;2o91z53sNFb5qT5p6ik/BfOl5tPa+TGF3IUst29MY7WDc5NqYyx/I20Hzbr3NLpdmE9IaEXCnQXL&#10;iI0P29TIfd/W1CnErXz56QdlevDqa8/aL+wrfP2XD8P6p+8ND049tvrsnTMKz+H4Tq6zRx5Y3Unu&#10;jiMODE/8bErYtPLB6i5zf/nTVrP8RpCyiwUEI0u6ARB4mM6KJ0wj5SjIOtZ1QrlIS1eyvVo6Yh5L&#10;WCKUddAveV1KRlL6kbIbRTAtiVHE02UWQQEpJQ6xvcASB2PIfKm4mOAUk6OQnnkt6Yswv56/VLtS&#10;pOadyN3hUnKZTJfqgyS2PiTyfrDKZRzGQF6nxBcTDDUU+nLTA467nk9JbM7lPWDdqxreDyD2u8Nx&#10;msJfP3qmCULcwGHjjqvJ//PrbjBfzDuO4ziO03O0XIi79LLZV+jCXYjru1SmLHz72/9sxjmO4zQL&#10;/13Tc9xww/Lv1yvEnXPB4S/LfODXM8eYL+4dx3Ecx2keZYW4V988v9sfos2/91T7hX0GG947L6xa&#10;cWp47o6jw0M/PSwsPPGgMHvU/tUj1+4aOzAsGD0g3Fn5evf4QR3HsFW4+7SDw1M3jQ9/eP1ss8ye&#10;QIpfcic0CBe4lhJHUnIJ8wMdJ2EaLXjk5I/lJakycsqH3MQ+EshOVlqIMhBmtAhl7eQUGzdeb0SM&#10;iV2XMM3eJMRBnIpJahKr/Jy10kj5KZgvNZ9SbLXiU+T0DTCN1Q7OTaqNsfyNtJ00496zwBrSYhx+&#10;X6Z2jLRg3tj4sE2N3PdtTZ1C3KNPPNDtD9HWrnvVfmHfydbXHg/PXHdRWHz6mDD/6IOrx6F2CHD7&#10;d3CEEtdHDQgLjj4krLzlyvDJey+GP3+5uXoEq1V2I8REI8g9FHXw1ZKxpNyUgxaBKOBoIUzKclps&#10;irUX8HouMq+UfuQOcJR7IB/FxDeKeGWOSwUxAUmS6m+KlHiWiiMxgUq2JwedP6dui5xxyC27rOAF&#10;mjFXjEM75XUp22GdpSQyKSTqclLE5lOS6iPXOOtNyZmIk787cD/FJELHaQgX4hzHcRyn39JyIe6y&#10;y+fN1IVfcPEt5kt7x3Ecx3GaSyNC3GnnjHhd5gMuxDmO4zhOz4Bnce5L9cefOrPbH6I1IsRt2XZR&#10;2PjeeWH1yjPCs3ccHR6YNiwsPOk/wtzxA6pi3B1g5P5hLnajGXNAWHTaj8Mj1xwRXlpyQtj47lSz&#10;zJ4AYkVlOKpIiYjXU+JISi6R5eo4CdNowSMnfywvSZWR2z6gd9OL1UcwjlI01HJWbNzkUY3yukYe&#10;nagFNV5PtZFpdLtiQDjKKRdwnCy5J7VeisjJi/6wnbExx25i6IOWmlLl56yVRspPwXpT457Tvhi5&#10;eZnGagf7lmpjLH8jbbeo995LgfUv29nsOWzGfd/uVPrU7dn9w0FD5uB6LCx5aFG3P0T7YNvb9gv7&#10;Tj7/4I3w3op7wou3XhUePO/4cOexh1TFtzvHDggLK8wffWCHuD5uUHUX17njDgoPTD0uvHn/rPDF&#10;x38wy2wGKYkHYg7FFkuSgQDGvDlouU3u1CUloJh4BmLtlRJdDtaubNx5S4ptEJRwDW2SdbBuKShJ&#10;kS6HlIBEUvPDeLRXCksanSdHHIsJVHLOcoDsJfPn1G1RNA6A45lzFCrLQnuseE0z5ipVp76X0Aes&#10;OS2SyTpSu+BpYvMpSfUR7dBrDOlia17+7iDoY2zuHKc+dqxqVIj74x//OGLwsFE1+W+4dbb5Yt5x&#10;HMdxnJ5jz54901sqxF10yW136sJdiHMcx3GcnqERIe7Mcw9fK/MBF+Icx3Ecp2fAszhXiHvyuTO7&#10;/SHakofL7fyj2Qop7t2p4a0XTg8v3nt8eOrmceHxGSPD0kuHhfvOGRruPfuQsPjcodVjUp+sxL38&#10;wMTw9qtnhc1bLzDL6wmk6GHtEAdkegnFE0sQkfljxwzi+EOm0Uch5tTP+Jhokiojp3xNqr+alEQW&#10;k3KwoxXzQH6RcRKZTotXvB4bE8A0uUIc4LGUsR3yCNNhZy0dF+t3DnKnLiseyPUk+ybnwto1DKTa&#10;VrRWGi0/BctNzSfkKKbT91ERMm9sPaTWMijqWyp/I22PUc+9l0OuuKaJtYU0475vdyp9Ki3EzVl4&#10;R7c/RCsS4r76YnP4fPtbYePKB8ILN14RHjzvuHDX8UOrR6jOHnVAdYc4SOvzxwwIc8cfFJZMOTo8&#10;f8P0SvqHWnJUKimSeKTApHeuoiwG5PVcpEwmxanUjmux9qJtvJ4rOWkoJUkRj2Wy75Tm2F4piGl5&#10;qYiUgERi/UVdzF+ELA/IOdVxJCZQUVYE1nopIqdui9g4SDge7SjEAeTRYhzuBbkbW844WMTmU5LT&#10;R6x3piOxo1uxRrFeeM8QXLPSO055Ghfi9uzZ0+1F+9yFi8wX847jOI7j9By9IsRdOn2O+dLecRzH&#10;cZzmcv31Tw7UQtwPBw9Z1fmYToaTzhyxvjbfUPOFveM4juM4zWfOnOH75ApxDz52RrfP3Y0KcWDr&#10;9ovClq0XhY0bzg9r35pSleNeWnpieHrW+PDkDePC8/OOCa8+PDG8/dIZYUMlDSS6rTvsshoFAgXE&#10;j5hkAXGEApPe0atIlJFyhiWXQP5gPEQy1KXTUE5BG3S8zC+vSxgfE01SZeSUrykr07B83b5YOZBc&#10;mCcmnmGceDSk1Q7mj40JYJoyQpwU0mLrSa4Jq+yy4yeR6xH16Hi0iWtZ1484Xkc5Mh8oGlPZL2sd&#10;N1p+Cpabmk+Uz3Rlyy9acyhb7rhmtYNrw7qP8bNcOzp/I21PEauPOxiiT/J6DiiL5VrxMbguIdRZ&#10;8c2479udTZsu6/bsLhLiFiya1+0P0Xbtet94Wf83cNzpn/+0Nezc+nrY8PyS8Pqi68MLN10Rlv9s&#10;cnjowhPC/ZOPCovPPjI8cN6E8OQ1U8Ir834V3ntmcfjs/VfDX//6oVlmMygSbOSuaFpQq1duklAA&#10;osQk69MCHki1l9dzJScNdtxiGfieP0vBisdb8hqlwJgUlCJHQIr1V449xlCPVWpucuaNaXTbUuOf&#10;Q07dFjn1yqNHrXgi5cncXf0amSvCOIyBjpNAJJPjJOuU90dROZLYfEpy+kjQDinEFrUF4yF3mIvN&#10;oeOU4euvP9rUqBC35g/rTtP573tgmfli3nEcx3GcHuW6lgpx515w/WO68Cuvvtt8ae84juM4TnNp&#10;RIg79ewR22rzuRDnOI7jOD1FGSFu/qJT7pPpwGNPn2W+rG+E9zeeH/7wxuTw+uMnh98/Oim89fzp&#10;Yd1b54RNW2p3hWuFFCcFDogWkHUgCgHIGVIg0rszSVEF6SgYQd6gVEIsQUPWDSCgyDJSkozOr+NI&#10;Kj9IlRGLw3X0B2NFuQdfpRQlhSykRV/k+On+aYEMeXDdGje5CxXGWeZFHVJO0uUCxsXGBDCNlMaK&#10;QJ+4XvBVjg/i5HjGpJ5Uv3OgEMT6cQ1twPdyLQPdN8bLdWjltdqG9IzHvOIa+iznvJHyUzBfaj6B&#10;XDeoQ7YN7cDPaDvaIvMBfS9yXvV6Y7zOj3SMR3qMDa5jHHLy19t2pMV1mb7o3pPrlGsIaThn+Ip1&#10;hnuc/QCog/MYW98x0E7kQ362B+XJ8hu979sdCHH4vF3zTC4Q4m6bM6vb527rZX03/roj/PU/Pwj/&#10;uXtj2P3hmvDRut+F9196OKy6/9awctZV4cXbfhZWLZkVNjx/f/j4vZfClzvfC3+upDfLahJFEg+g&#10;KKOPMJW7o5U5vlEiJTSIStyBLLbLV6q93IkK4o28XgYe8wi5ioKVFAFl/Wgv0+eKVRKOa6q9UvKS&#10;O9BRLoqJeFKoKhNHYgKVFLLQNhmXQ07dFjnrVO5eZ8mURKZDf6w0GrlzmxUP5Fq22si4InmMxAQ/&#10;rrkyEmbOuHNN5QhxpEwerF+2IXcMHCdFTIj74eBDJlfWWVb43YsvX6HzuxDnOI7jOH2C1gpxZ54z&#10;Y4Uu/NoZS8yX9o7jOI7jNJ0R9QpxE08fsUvmO+CQQ80X9o7jOI7jNJ8yQtzC+0/t9odoz7/cffen&#10;Rtn64bSwedMF4b1154b1a6eGjevPC5u3Xli9bqVvJhAuKBGloBiiwXUrPYDkQYkD3+u8FE8orci8&#10;EogeOq/MD6x4wHhLsgGpMmJx8rqFbi9llxgYI5le5rHGDQKQFg41EGtic8Y0sTEBTEMJKBcpBcVA&#10;nyhUaVL9zgEiUKx+XEf7+LPuW2otAwpHsbZpsUunbbT8GMyfmk+Sus8Ifh/ofJgvq39E9i3WjlTd&#10;uAc49/XkJ7rtLDOGde/hd6K1htgurBsdJ0FeKbLlINelRK7RRu/7dmfTjgu+02NCnOKvf/kw/PGT&#10;tWH7mqfD+mfuC+ufXRw+rHy/a9ub3Y5JxQ5z8udmkSMaSfFNil9ScCkj0WikhEbBJiZbpdorBaJY&#10;X4qQO9ZRsNOyG9tLoQ3kilUSmV9KdwTjK+uScbxu5QNy9y4dlyNHMY01r5wjtEFKejnk1G0hd3WL&#10;yZdS1ovJYmgv57XMmpX3gHXkp5QjgbX+GJcrg8XGSsp5lviHPmKOZJxsv9U2KQmWGReu4dw8rCN3&#10;DBwnReW5uKsVQtxjT66wXso7juM4jtOzzGmpEHfKWT97XRfuQpzjOI7j9Bgj8B/wtc/iPCHu2JNG&#10;7JH5Bg/7ifnC3nEcx3Gc5nPzzWO/o4W42Ev1WQtO6vaHaG+sOc98Wd/uQKKAbCFFEAgwEEaK5A69&#10;OxG+p5TBXdOsHZMYB9EFP1vlyJ3WNMyPNlvxgP2JlZMqIxYHMQVxWrbBz1Y9GD+Mo+wbysSYoM86&#10;PaD4Yo0bqXfOisYEME09O02l+lsk61B6SvW7CNSPctgHfMXPHBMKoFbfICBx7HVerodY27AuZL2o&#10;R8tdjZQfg/Wl5lPCNjAfQFu5fmOyIq6jPxw/tpXSFq/FhDaQys9xSfWjbNtTazF27wGsDbYHIL9M&#10;n7r3YuNXhP79hz5xzUoa+V3dztQjxP32lutr/hDtoMNGmS/rc/jLV9vCF5+9V5Xgdn/4VvhT5fuv&#10;vtjcLV1vCnEpMUtKaIiTshLy4WcIPMgv80mkhMayYoJZqr3Iw3biK6QbWQ4EIYg/qMeSmoAUh4iW&#10;vqRsBiAfyfhcKBMRlMv2oq0Uz4DuK9uAfkphD+Mt8wGZD+RIaUxjiU5yJzSMJeqXY4S2Yl2gbVrY&#10;yqk7BvOhf6gPyL4DuR4xRrJ+PTa6bUVwfcoxZxu47oh1LzFOymBIx/Uo1yrayjK13Id2syzkRVrG&#10;oS1sp2wD2sk8KJdxqFOvZz3naC+uyXnGVynRyfsJaXFPy3ahniKRz3HK0gwh7pHHn7xF529EiNuz&#10;Z0+F3eGPFXbv3lX9vuPaHjO94ziO4zhRTCHu3wYc/J3Ox3hjwRLirpv5iPXC3ukBDj74yPAv//J/&#10;wvjxk814p/fAnFRumfCNb/y9Gd+u7LvvwGq/vv3tfzbj25Fp02Z1fejG91Yax+kr3HDD8gn1CnHj&#10;Jxz2hcznQlzfY+fOLQEBX614p7V8/fWfq+O/fv0LZrxTC8YJAeP20LLpZpoimlGG47QNt47+fq4Q&#10;95tbJ3b73N1fhTjHcZxGqPzK7PgsnxDiHKdetm2b9v2yQtzPfjWj5g/Rho8/1nxZ3w5AjKl0qYol&#10;8RAps0hxR8fFgKQj80ik4ANSgllRe1GWlpMstEhFpDgErLYgr0wTk+uKoBCHOqSopZECFSnqpyxP&#10;582R0pjGEuKAHoMYeq3k1B1Dym4SmQbzpwUvDcYtNv8pUmOO61IUtNYm4+R8yvVsgXL1GIKi8cc9&#10;WSYP5pnjq+dczpmFvke4rmOgHpneceoFQlxlTf0/8nncQWNC3PMrX7Jeymexa+dnYefHO8Jn27aF&#10;T7ZtCZ9u3xY+//ST8Mddu830juM4juPY7NmzZ2lLhbgTTvnpal249cLe6RkqU9KFFe/0HiNGTOqX&#10;c9Mf19w558zs6hO+t9I4Tl+hmULckJHD7Bf2bcCLL86tSjQI+N5KQ15/Y0lnyjzRqTelqN27d1Tr&#10;xlcr3mktDJs3v2bGx9i2fU1nzu4Bc4ny7rr7DDNvO8P1ilB0H8ZoRhmO0zbcOjr7pfrPrju+2+fu&#10;dRsvNF/WO47j7M1UfmVWcSHOaQX1CHHTrphe87n7qEmnmC/r2wEpo+F7Kw2Q4o4lEyEeIpIUhiDB&#10;QY6BMMadpWJIgUvuLKXJaS/qgsSjJTO0BaKQJStJpOAn5SWC8tnPmLCUA8UhCkioi7t7AYxnqq3c&#10;dUuOOfNwnBCn83FnLyuOMA3Ks+IB65dtRpnoD6Qna1xy6k4hxwhlxNqHNarXI9ZDrF256DHHV/zM&#10;Mtk2a20yjxYoU21N3TfWPYefrfuT4N6S9wW+Z/rYnKMNiON6JfhZ9wVgLNB2WQ/aiHJT97bj1ENl&#10;fTUkxC28d8lcnf+NN1ebL+bT7Am7dn4aPtq8IXzwzpthy1uvhU1vvBK2rH4jfLh+bfhk65bw+Wef&#10;Gvkcx3Ecx7GAEFf5nD5CP6ddiCugXXeIwi5daDN27dJxvutV79KOQhx2s0N7UzsOcoc4a821Ky7E&#10;Oe3E9dc/MbleIW7kUYf9VeYbPq59hTjsJMUAGclKQz7++L3OlMU7r0nRDiKdlaaVuBDXuzCUFeKk&#10;1BULEC2fWvEbM39fJGe3Qu7u9tWfvzCFv2aU4Tj9igaFOOtFveM4zt5O5VdmFRfinFZQjxB31vkX&#10;/Emmb2chzuk9tBDnOI7jlAPPZPk87iBfiLtjwV0P6fzrN2w0X8xrdu/eHXZ9+kn4cON7Yf3Lz4U1&#10;yx8MbyxdGF67Z054+c5bw0sLbql+fe2+eWHNo/eHzateDZ98sCV8vvPT8IVRnuM4juM4f6PlQtyx&#10;k6bVHPGy/8GHmy/s243+KMS45NO7tKMQx/ai7VZ8f8XvFaedcCHub3z55c4ukcaKJ4hngJRkpSEQ&#10;oRis+FbjQlzvwlCvEKfnDeKmXFPtdCxoM9ZiM8pwnP7EzbeNHZj7Uv2Sq45ZW5OugvWi3nEcZ2+n&#10;8iuzigtxTkvYcXH2s5thykUX1XzuPnnyFPNFveOkcCHOcRynMULYtI98HneQL8TNvPm25Tp/rhC3&#10;69OPw4cb1oU1TzwYnphxcVh81tHh3tPHhXvPHF/9es9pFU4dE+4+eVR4aNop4eUFN4f3Xnwu7Ni0&#10;Mezetcss03Ecx3GcDvbs2fNMS4W4cROmfiALHjxsvPnCvt3oj0KMSz69iwtx7YPfK0470YgQN2zM&#10;sK9lvtHHDjdf2LcL8pjKmGQkd5JjSB3LSMmuaCe5VuECUe/C0CwhjnAXNISiHQ37Cs1Yi80ow3H6&#10;E40IcYeOHWG/qHccx9nL+eY3/676Wf6aGUPMeMdpiDqEuIlnnlXzuduFOKceXIhzHMdpjFYIcR/u&#10;+Mh8Ma/5aNPGsPa5J8NzN88Id086PCwaPyjcU+HOsQOrLBgzMNw9blC478jBYe7YweHRK6ZWd5DD&#10;Maq7P99plum0BzNndrxr3Geffcz4/sTIkSOrfcVXK97p22zevDl897vfrc7h1KlTzTSO01dpuRA3&#10;8qgzd8iCDzniOPOFfbvRH4UYl3x6Fxfi2ge/V5x24vrrn5xerxB38OGH/pfMd/SJ7S3EyeNN337n&#10;cTMNriNAdMPuXAgxIQnHNTJAYLLStBoXiHoXhmYLcYA7FWItWvF9jWasxWaU4Tj9iTJC3Bnnj6/5&#10;3O1CnOM4juP0PFu3XzRCP7v3GzR0aefj2gzjTzyp5nP31EsuMV/UO04KF+Icx3Eao1Eh7qpfXPes&#10;zm+9lLfY/Obvwwu3/To8cN7EMHf8f4S7xw0Md3WKcB0MCHdVrt0zfnCYPerAcP85x4fnb54R3n3h&#10;6bB7Z+uEuL1J1uotrrjiiq53jVZ8f+Kggw6q9hNfrXinb7N8+fKutepz6LQhlc/oLRTiDhtz8qey&#10;4HYX4saPn9x1w8ew8p1wwsXhX/7l/9Skw8+4bqUH++47sJoOdc6YcX844IBhXXkRx3TTps2qXvvG&#10;N/6++vNpp10d/uEf/mf1Gr7iZ12mzF9vn1AuykG9TPftb/9zOPjgI8Plly8w8wCmR7sBxwXXKVYx&#10;DcrS+SXsJ/pgxWvQLpSJOmW7UQ7GF+2x8ukxRjlIzzLwFT9jnnReSSpfvUIc549zCkGL8wzQt5Sw&#10;VnZMOBZlkWtOgzJRF+cTsP6UcMZ+cv5xP2ENsgx8L9e/pt714EKc0040IsQN+smh/y3znXDq4eYL&#10;+3aCktvHH79nxuM6AiQ47PqGEBOSXn9jSTUeIbbjHEQ5Sj4M+BnXIdRZeZ5a8ZtqOh7XinooR+Er&#10;fmbalEAEuY/9tYQ9xFtti8mCgOWhjYD5cV1LYbp8tB3jW/YIUJSDueBufAwoOyUicv6YBuXIMvC9&#10;HMsYqXwMrRDi5NjJ6+gPAnclRN2cF7SN44v1hbQoRx8DjLxFfWd+3XfUJ9cu6y4TkEfW1YwyJGgf&#10;7mHZdvY7tb712EKi5TpCwDjmzDXmAGtdjnvR+s+dV8B2MZ59S+1m6bQns2aN6fZSPVeIG3vCSPNF&#10;veM4juM4raMZQtzl11xtvqh3nBRjxgyv/j8lvlrxjuM4TpqvvtrxHfk87qBnhLh3nnokPHjhKWHe&#10;kT8Ks0cfGO4YuX8nB3QBEW5uJW7uuIPC3SeNDI9dcW5Y8/gD4fNPPzHLbAatlrUg2qFsiHdW/N6A&#10;C3E9hwuecVauXNm1DvG9lUbuELc337NO29KzQtywMSeZL+zbhbLyGEQnCl8xIN7IPIT5IOxIyYcw&#10;nZRzIATJNEDKUCwTX3mtnj5J4coCclFM9mMa1CslJMB2sXzE6/wEohPzpaQnia7PwhKc9BjHysE8&#10;xaQ4tDGWD9flmFr5Y1Ckw9hhrbAMTWydlR2TeoU4ueYkUgSMgX5ZebmeKbXpfCS2FpuxHqx4x+lL&#10;WELcfoOHbqqs38IweNhPuvKA/iDEUXiLyTQUWCALQZxhsOQ1HsGKPDoOspiUcayAfEin8+qd7HSQ&#10;Qk5MrEL7GdAO2X58L2UrK2CcZHmEAfIOZRwG2QaOsxV0W1NQEkqFWHnsI+Yp1d+UIJXKJ/uYI0lJ&#10;WG6s7YBp9PpCXQiIt8aZUpQUuWIh1m6skdT6lWtKr4PcIOtrRhkEa7+oPIyddU/LseX9bYXY/QGw&#10;nlL1I86673Pn1fqdIIMu12lvyghxx58xpuZztwtxjuM4jtPz1CPEDRt7dM0fov3q+pnmi3rHcRzH&#10;cVpHo0LcRZf/7CWZd/CwUdYL+W58vHVT+P29c8M9p4wOc0cPCLNHHRBmCxGuS4irMGfUgWH26IFh&#10;zviDwv3nHBfeWDw/7Pwo71jWemi1rMWyUY8VvzfgQlzPsTeNdVnk7m/43krjOG1Oa4W4Q46YsEsW&#10;3O5CHMkVYqTYBSmHshR2ppIikLWDlxZ88DOkKiDTy7YA1IV4XId0JtvHMvGV10hunyBWMR1EJPQF&#10;19E3LYtZO2wxjnAXMOSluJQju7Ed2M3LirdA25APZUpxTbYbUpvMA+TYAM4n4lCOnEtLPEMalo+v&#10;HF+dl+j8KXR+tJ/lY26kaMc2S+odE8By5XrUpNYc6mAZiJfrBe2RIih3gZOwbIK+cj1iDGR+XpfU&#10;23e5HjjWjtN3WXFdvULc/gcP/X9lvlPOan8hTsokWkrBDkwMkGXkz5Y0RXkO4oy8LmUiyC+Quijf&#10;oEyKLwgoQ4s5UohDQBnIg+soi2IMoDSFr7yGflHI0TIcoCiFNOhXrG34XuYDOkDcQXtQDscI9TNY&#10;fecOWDkgP8YIX1Eur6MsKXxZu51xbBiQHvkQhzZL4YvXJXIs0E/2Q+dFsMYqhTVvEtTFoMdLtgsB&#10;44OxR7sQx74gH8pHnOyfbr9eH0COnZxDmRfXrTyxPgHZdiu+0TKwRrj2MS5yXSBOrhk9rkCPLfqK&#10;PiNOrzmudwnqYEBa/Mw4tIVjhzbqcc+dV/YPa5LXUBbSIo8s02l/GhHijj99jPmi3nEcx3Gc1rFl&#10;x7QJ+w0a8ox8JrsQ5ziO4zh9n0aFuLMv/OkbMu+wccdZL+S72LNrd/h465bw/u9Xhudv+WW4c8Kw&#10;6vGoc0d1l+EIRbk5ow8Mdx4/LLw076bw6fatZvnNwIW41uNCXM/hQlwcF+KcvYBNlhC334Ch36+s&#10;+8bDfxx21Bey4COPP894Wd9+5Agxciet2NGLlJkg3+g4KftYMhGRbQEpQYdlWuXl9EmmiUlQst+W&#10;HMa4VBmAQhIkp1R8bPewskixTMfJfqNeaz45tpagJ8u2xhbX2B+g41PIsiFvSbELSBnPmo8UqTEB&#10;jEvNY2zNyXZZ65FpeIyqNa4sG1h9k/NmyYApcteDNZ+O07dYcd1+g4ZeJ5/FuUKczAPOmtr+QpwU&#10;jbTQg58RIK3wGgUWvSMURBQGLWNJsYUyjYZ1IWixBnlkiJUBtEAEASclwyGeAd/LOML2oxwdJwPS&#10;6XjA/HIcWwH6xr5abeHYIOj5A3Kc9RzIsi05C/EokyE2FjH0vGk4hgi6bTIObdRznIPsu15fWM8M&#10;+h4B7LtuV1GfgGy7Fd9oGcyfGhcptUlREMiyrfsHP3NdWGuKZVuyHZD59djmzKuct1j/nH7GrWMn&#10;5O4yM+7EkTV/iHbG+UeaL+odx3Ecx2kd9Qhxg4eNrPlDtFmzZ5kv6h3HcRzHaR1/+cu278vnMag8&#10;06d3Pq4Lw6Szpr4j8x458TTrhXwXuz7fGT5YtyaseeLB8MQvLglzj/pxWDhuYPVYVC3CSSDF3Tl2&#10;QJg7/j/CszdcE7a9szrs3vW5WUejuBDXelyI6zlciIvjQpyzF9BaIe7AoaO/kgXvTUIcj6+MyT5A&#10;lqMlK8o+EIG05CSRZVi7aElYptWmnD5BOmKaVJtkOh3H6zHRjXD8gK4LO3oxLiYbliXVfxmHumUc&#10;SQlU3KnM2m2MyP5a8TFkvbE5Sc17iqI1wbh6hDi5O1xsTIFMp9vAslPjyrypNlqk+l40Lo7Tt2ie&#10;EDd12kj7hX2bQclNSzeUWeSObzw2EYKKTAsZyLoOsEsTQpEQxnS6HVJ6sYQkiRSIIPdQtrFkHsD+&#10;6Dolsn4tzTHEhB8gZb+YdNcsZP9jcal5YICMJK9LKUwLjwTjy6DzFxFrN8ZLHtVptV2KU42ML4Nu&#10;O0U/a22nSM0FkW234hspQ0qqetdGiUyn+y7LjglnsTbK9aAlQwnz63tI1h2bV1xnKPrd4PQTSghx&#10;w48aUfOHaBdMP9p8Ue84juM4TuuoR4iTacHCe+ebL+odx3Ecx2kdjQpxR086Y4PMWyTEff7pp2Hz&#10;qlfD7++ZEx65fHKYN/5H4c6xxULcHSP3rwpxc8YMCo//7Pzw9hPLwofvrq2WZ9XTCEUC0T777FON&#10;W7lyZdi8eXM1/Xe/+92uPCNHjqzGyTz4mfExLCFn9erVYeLEiTXl43tcQ5xOD2bO7HiPh3bgZ7SP&#10;bf7BD35Qk6+evkjQZrSF0hdBPVOnTq2WaeWrV9JC21Eu6mPbAcck1laOP/LgZ44ry8BX/BxrL5g9&#10;e3Z1PNA31gvQFoy5lQdYQhzKwTWUJdNq0Cak41wSjDuuyfbjZ7mGWEcM2Z4iWI+1Tjh2cl2xfawL&#10;/Vy8eHFNmRa6X8yL+lJzA8rk5T1SFmueU2MD0KbUPQQwNkXzhXp0PqxJri9Q9LvB2SvpWSHuuJMu&#10;NV7Wtx85QgxlnVx0OTGRSFNGzkmVWaZPRW2CmMeytLDG60WCktxpTu/uReEuJUKVJdX/nLGRaXQc&#10;r6f6LMU2Kz5GTj6mKZo3TVG/GZfqV2zN5PZXrgMtfOasR6ZJtdEi1feicXGcvsWTc+oR4nB2uswD&#10;+osQFxNqKJNJAUqKUVJSoTRkiWEMWrbRUMDT4pEU0lJiDaBcA3EK8PsimSc36PoZUn2TYh6+Qh6M&#10;tadRYnJSURxhGt2f2BrRMBTNtYb1pgLSWOOW27YiGHTbuY5S42bBPqXyFbW9kTLK3DdcnykpTV6X&#10;MI1uo6w/J+j8OXUDzg8C8uhd7px+Rgkh7sdHDK/53O1CnOM4juP0PFu2T5tcRoj73oDh+8i04MFH&#10;l5gv6h3HcRzHaR0dQtyQmp3XGxHiJp011Xoh38Xnn30aNr3+cnj17tnh4cvODvOO+lGYP3pAmD2y&#10;YIe4UQeEO8cMDLMraZdddGp4ZeGtYf3LL4TPdmw362mEIlmLcZBjpPgigbwiJRgKWSmkzAQgu0i5&#10;R6PrIGw/RBkKVRJZD6+V6QvJ6RPyWiJT0RjHSI0H0eMIcI3xqXGFQGW1N0egiglmFJZkvCzPGluA&#10;djANJEBeR/t53YLpigSrWHstmAftjo0d51rOrQZxVvkAfbTykNjc1JM3Zz4trPYzrp57CBS1naAM&#10;mc+6t0mZuXX6Pa0V4v7vj4d/LQvem4Q4HvWYA46OvPzyBTX5c2QfUEbOSZWZUw7ji47eTJXF6zmC&#10;EndW0+3lUZtFO+JZYJyxGxvHwkK3OWdsZBodx+upPucKYpqcfEwTW0v1jAlgXKpfLFPXzevWUaia&#10;WD2xsiVME2tjq9aD4/QdmifEXXxZ/xDi5C5LlN/kNZ2eQe7IxN3d9LGRUorRcZpmiD0UiNgeBAgz&#10;Vlog0xUFSENatmFA2+V1DcaT0hEDJMKi/sTAWEJeirXfEqg4NlYcYRrdn1w5iaFoPDSsVweMGfqZ&#10;Wju5bQMQ6rBuUZ+eDwbddobULmsWOeNd1PZGypDXiySxWD05Y8s0Oi/mrEzQ45tTN8CcSikOAW0p&#10;+n3jtCe33Dpmcq4Q96PDh/9JprviFxPMF/WO4ziO47SOskKc9bn76eceNV/UO47jOI7TOhoV4kYe&#10;c+IHMu+Uiy6zXsh3gWNOt7+3Lryz4tHw5C8vC/OOOjgsHDMozBlVLMQtGDOg8vXAsOScCeGFW68L&#10;a59dHj7Z/oFZTyMUyVqMI0hP2UbKVpBjdF4g81nxQMpmeocp7CYFwQdxlJBkXtl+gHagXZDCECd3&#10;j5LpQJm+oE2Ih9AjJTTkl22QMheR8TouBeqDCIQxkP2WbcXYyDxACnEAaZEHcbq9KF/np+yEr3Iu&#10;MJZSPLN2QbOEONTJPNb4ALSPaeScsZ9yJzCUh/TWPNU71hLmJ1wnQIpZcg64JjBeXK8AeXT5UlBD&#10;2bpfLNcSvRrJK9eFXMMaWX4sTqZhH2X91tzI+uV84ivXFfLrMZO/H9B/xiMf6kdemd7Zq9m174CD&#10;B8rnNGiaEKcLnnT6lcbL+vYjR4ihtJWSdVLkyD6gjJyTKjOnHMb3lBAnd5qjMCiPS9USYRHyWNIU&#10;us05YyPT6DheT/UZcbH8KXLyMY017/WOCWBcql+xNcfrvSnEtXI9OE7foT4hDv8QkHlAfxHiAOUg&#10;Sik85tMScbiTG+OkPKfFm94S4ijEMMRkJvbb6mcODGi7FS+hjKUltjJHPWKscyQ+qz9ybHQcYRrd&#10;n1w5iSFnPCQ5bYuR2zash5gEJ4NuO0Mr+lTU9kbKkNd7Q4jj7xCEesTPnLolmF/2g0HveOe0PxDi&#10;cl+qHzjk0L/KdL+88QTzRf3ewDUzhlT/nf7Nb/6dGe/0X5av+Nt/QON7HTdg0D+FYcP/Nax85fSa&#10;OMdxnGZRVoizPne7ENfeXHTh2eHHPx4UbrppRre4MWOGV59R+Krj+grPPftg+Na3vllt57KHFppp&#10;HMdx+iNff71jYCNC3E/GHvOJzHvpVddaL+S72L17d9j12c7w4Xtrw0vzbw4LjvtJuHvcoDB31ABT&#10;hCNdQtzoAWHJlOPCc5XnzR9WPBY++WCLWU8jQCipdK2KFc84AOFFx8v8FFwkjLPkGkIZJia2QICh&#10;aAMhRsbJ+i2ZRsJ0oJ6+pLBEMFI0xvWQKlOKRxgTKbURttcSl1LIubDmNDYOUniS13W8FPxkP1Lz&#10;KmnGWDM/sNYJxozxaK9um2y3lT+2lonMr+eukbwyDt/LOAnTWPPLOFD2HuLucLE1F+sby7TkT8dR&#10;9KwQN+X83xgv69uPHCEmR9ZJkZu/jJyTKjOnnNiObRpLZCO8npKoyIwZ93el525wPC51330Hdkuf&#10;QvYP7YdYF4vX/c8ZG5lGx/F6qs+Ii+VPkZOPafS8yTaXHRPAuFS/UC7Ll9eljCava1JH58bKljCN&#10;bmMjfS8aF8fpW9QnxFn/OJh+1SjzhX07wiNPuZsapTdIKTqtFF0oeSFYO7EhnsEqS8I6IXzJ6/UK&#10;cfiZ/UKwhDydviwMRX3ToB9yV6tcYYjthdiFOrXolOpPTl+ZRvcHPzPI6xqGsuOR07YYOW3DOqQM&#10;h/WFtYBrMg2DbjsFxLJty+lTUdsbKUMeb1y0vjg2uF/k9ZyxZRrdxjL3rUVO3Ra4J/i7BAHlWOmc&#10;9qSMECfTgJvnTDJf1O8NTLt0cNe/1a14p/9y/4PHds09vpdxcl3gexnnOI7TLJohxL362rPmi3qn&#10;PahMaxc6DqIcruOrjusrXHPNpV3tx/dWGsdxnP5Io0Lc4GGja/L+/LobrBfy3dj50UfhjSV3hrsm&#10;HVE9CnXe6AOru7/NNmS4Dg4MCyrp8PWBCyaFl+ffEta/+FzY2YtHpsZ29iqSbBhnyTUAMlEqP6Fo&#10;paU52X5L/JIwXb19SZEax6IxrodUW2WctYsbaKRNMektFYd2sD7dJrkGpAyldwaTeWI0Y6yZP7ZO&#10;ZB0xUY/xSCuvy3GQ1zVMI/vdSF6Qu76ZRrddxtVzD6XWjYzX9aIfLLPoHnf2elonxFnbvu9NQhzF&#10;LQCxy0qTIkf2AWXknFSZOeVAQkM8dr+z4gnTWbt/sY6URCVhWZDxMI7ceU/LUUVQwIq1PdX/nLGR&#10;aXQcj89NzWWuIKZpRIhrZEwA4+oR4qQ0CelNxklScmWsbAnT6Da2ej04Tt+heULcr2eOMV/YtyNy&#10;NzUIJRRkLJEF8QyQbiifFO3CVrRbU0zKKSPWaIEI0hPFM5SPHdZkeinMaUEqB4Z6pJsysiCQ6WO7&#10;yqUEqlQcYRrdHrk+YnNQtj+SnLbFQF0MVjyQcpheA4RBt53rG+tHXi8ip09FbW+kDPSTIbULoUyn&#10;pdGcsWUa3Ub5e6LscbMgp+4UvO9TY+e0H7lC3PcGDN9HpgHz7z3VfFG/N9AqIQ47i6FMfLXi92b6&#10;yq58KSFu3sKxXW3UcY7jOM2irBBnfe5eu+5V80W90xq4G5q1o1s97Lvv96rlWbvA9bYQhz6ifvTZ&#10;igfcIQ7geyuN4zhOf6S3hLjdu3aFNY/eH5ZMPibcMXL/MHfUgVUpLnZ06uyRB1Z3krvjiAPDY1ec&#10;G95+Yll1l7ldn31qlt8IRQIR4yw5hjCNJdkU5ZcCTQ5apilqv4Tp6u1LilQ7yrQxl5R4lIqz0ljx&#10;KVJiUyqOO4DpY1qx0xjbogUzefwoxrFo575mjLWsz4rPqSNWhsybg8zfSF6Qsy5ALH9RHGEaXQeP&#10;m7V2esO8x3aIw5wzDl+xXmIiorPX07NC3AUX32K8rG8/5K5VemcpIo/2zJW/JDmyDygj56TKzOkT&#10;JDSm4Y5tGlmO1e9UnIUcRymNlZUMU5IekOJVPQKUTKPjpBxpyV9yXK38KTCORfmYRs97I2MCKCdi&#10;XnQcia05yG0sG+2QcQRznJIJY2VLmEavt1avB8fpK9xww5NL6xHiKmkmyDygPwlxUmaCvMJgpQXc&#10;NQtpU/IckNIZ5BsrTep4xUaEOIA62UZIMlJ8k6IUBBxez4WhnryAISc/+sFg7XaHfqV2M7PGRsM0&#10;uj1SbrLERtQtd7wrOx45bYuBuhiseCDXF/qi4+XY6rZLGTAmlmGN6ziKdBgXeV1S1PZGy+B6wFe5&#10;7iVS+NNpcsaWaay545qwyi4ip+4Ujawpp++SK8RZn7uXPLz3HgnZKiEOx22iTHy14vdm+squfCkh&#10;znEcpyewhbghz1R+L5nhh4OHjJBpwQfb3jZf1DutoTINVXpiN7TeFuLk7m9WvOM4zt5Mo0Lc/ocM&#10;/0rmveHW7kcGxlj3wlNh+c/OD3dPOjzMHX9QuP2IDvnt9iP2r9Ihwv2N+WMGVtL9KDz726vDljdf&#10;Czs//jjs2bXLLLsRpGRjxTOuHgFGxsXySxkqB70zVVH7JUxXb18ArkPskaKWRucp00YNZCD0maKZ&#10;hW4rfo7FWWmseIC5wY588ohQSVkhDv1AHKQmKTTxuFS9+x9AOj3WKNs6rhM0MtaE+WPrJKeOWBmU&#10;wnKRu+k1khfkrAvANFb/U3GEaXQdsn70hXIjvnINAEt6xM5wlOJkGal+OHslrRPirG3f+4sQBypd&#10;rMKdy4DetYxHjAJIUVKGghCE9BB2LCEoR/YBZeScojJZTm6fIBlx1y6mpSQF0QjXZF4g8+q4GCyT&#10;YCytdCmk4IS62TbMCeUoUo8AJdPoOCl/YfxYBq5TVpPo/ClkfiseMI2e90bGBHA9YX64tiEwck3I&#10;NNaak4Ij6pP3B8qRa03GkVTZhGnQP3m91evBcfoKzRTirr9xrPnCvl2R8gpCSiSRkhsC8ljpgNxx&#10;Dl8hGFGOQZwUXyzZqlEhDkipSdchRS70C3IU49A+5EV5VtsY0AcdR5AX5UK+4zWUmyMKajiOaDPH&#10;AmOJNjIOwZq72NhImMbqj2wv4jmH6JccQ4TUeFjktC2GXD9WPMD4MmAeKcXp9Yeg245+UizDGEN8&#10;Y98xB7Exk+VifnAN7ZBruKjtjZYhhU/MkVyDKIcyHIIl+xW1DzCNNXeyfowh+sCxA+gHpVq0R+bN&#10;rRv1ynLxVQqQMYnRaU9yhTjrc7cLcR3/Vrfi68WFuDguxDmO43SwZcdF08sIcdbnbhfiepbKNFRx&#10;Ic5xHGfvplEhTuYDcxcusl7Im2xbuyasWnpXWPGry8KSyceFeUf+KMwedUBYMGZAuLMCdoy7c+zA&#10;cNe4QR27x40dHO47+5jwysLbwkebN5plNoMiuYdx9QgwMi6WXx6HWI/cUtR+CdPV0xeIWSkpTSLz&#10;gTJtlFAgK0K3FT/H4qw0Og7yUUyCk5QV4uQRqBTaMK76mgXi9PhbAl29Yy1h/tg6yakjVoYUv+T1&#10;HBrJC3LWBWAaq/+pOMI0ug7MddG6Sq0B5MfvC12G3lHO2btpmRBnFXzp9DnmC/t2RMo8EpkGko2U&#10;emJYgleO7APKyDlFZeb0CcJQUZ8gw1kCE2AaLSil0O2K7WCXomguZFw9ApRMY8XrXeAkqFsKWlb+&#10;GJTdUvmYRs97I2MC5O59Epk2teZQv5bPNJDttJRJitYzYBq93lq9Hhynr1CvEPfDwYdMlnmA9bK+&#10;nZECCgJ+ttIBKbogWLKYBOmlsGUFiC1SliGQZhikCGRBOcmSc+TOd1KSQZ1a6LIChDBZHmBIjRXb&#10;FAtljpOE+JMK7IfV/9TYEKax+lM0TpST+L3OnyKnbTFQF4MVT6TQpwPWJqU3q+2QtVLrF+Oi1y5k&#10;OyuPLL+o7c0oQ8bHQmwNFpUNmCY2d0VrloGSIilTdyxgXqx8Tvsya9ZY46V6nhD32NNnmS/q9wZc&#10;iOt5XIhzHMfpoKwQZ33u3rXrffNFvdMaKtNQxYU4x3GcvZtGhLjvDRi+j8wH7ntgmflC3uLzTz4K&#10;2999J6xZ/mBY8evpYfHZR4cFRx8sjk/FrnADwsKxA8Ps0QPDvaePD0/84qfhnaceaclRqaRI7mFc&#10;PQKMjIvlz5V0YhS1X8J09fRF1oOdqSB3xeLl9aK4GHJcIIKV2e0rFWel0XEUz7AjF9qud+xKSW+p&#10;OMDd3iizQYBiXTqthd5NTM9lPWOtiZVNcuqIldFI+xrtW866AExj9T8VR5hG10HBE/cP4I5v+Io5&#10;TbVJg7Ry58AyeZ3+TY8KcdfOWGK+sG9XINnwSEeIO5B7rHTcCQ7pCIQbpI/JPhSFYmUSiGcsMyah&#10;kZwyc/oEmQgCl+4TfsZ1xOs8hLu9IZ0VbyH7iPxWmhzQLtk/gHngHLBtehxzxphpUu2DPMU5AGgH&#10;2oN2cRe5sv2jSJfKxzSxuaxnTIjeyQ1rQO4Ql7PmUBfiWRdAmRAhZVmanLKZxlpvrVwPjtNXqHuH&#10;uMoHfpkHWC/r2xkp/eArfrbSAcg/FIgQ5M5TMSC8QLyRUhXqgUzH3a8s0A6GVJsAd7yKCXqsG/Xq&#10;OLSBYhYD0qfax/FK7UKV6nfOuGkgBbKfCCgLshfq4c5YVv+Zx4ojTBPrD+YdEpKce+ShqEjprOyu&#10;XDlti8E+W3OqwTzKeUA/0B/0q6jvGF/0T/YdZSG9luEI1ivLRUB6Oec5bW9GGZgf3XZ8j2spyTSn&#10;bKZJzZ01digT9xvuDcTrPDl1Y9yRTt+3+BnXrTxOe5MrxFmfu59/+RzzRX1/YeUrp4djJuwbvvnN&#10;v6v+mxxf8fPqteck5SzEXzNjSFVq+8fvfKsrHfIPG/6vYd7Csd3ysI4YqI9p6yk/F5b9v7/3P7rK&#10;xfeoH3Ey7fIVfzsuQ16XoCy2zYqHUIY2s//sgxTN8DPrsYjJgxgHWTZAX848+9+rc2vlIZxjOb4o&#10;C31OCXFyTPC9jAM33nJ4tRw5vgB9wFjp9IRjwDQoR89R0bwjD+phHvQN67loLBzH6XvYQlz3ZzeD&#10;JcRZL+nbjeeefTCccvKE8K1vfbP6ew1fx4wZXr1upQfLHlpYTcM8YN99vxcuuvDs8N57r5h5ANO/&#10;8fqK8PFHa6vS1//6p+90lYEyESfz4GfGx5BtZXrUhZ/RVtaBr/iZaVEfruMrrxEtxCEf+ohrAN8v&#10;vPOWbvkI+xobR9kv2We2qSx63CQ33TSjqz8EP+M65sHKo8cR86rXCX6O5c+hzNpjWt0PrrtUO5AX&#10;5ebUQ9hfuT7xPa6l1ng9dTmOU56v/7x9RL1C3L8NOPg7Mh947MkV5gt5iz1/3BN2ffZJ2PrOW2H1&#10;I0vCC7N+FZ64dlpYdvFpYfHZx4R7Th0TFp08Ktx35pFh2aWnh2dvvDaseujesPXtN8Pu3c0/KpUU&#10;STaMq0eAkXGx/BCcmEYfh5pDUfslTFdPX7TIpUm1o0wbiTxe1IpH+1imbmsqzkojr8sd22I7bzUi&#10;xMkdAeWuexCkrPQxOB+6nnrGWsP8sXWSU0esDAqAQEuORTSSF+SsC8A0Vv9TcYRpdB0U4FJ1l0Gu&#10;1VR7nL2Llglx1rbv/U2Ic3oGiEuUkyBJWWkcx3Gc7tQvxNXmGTzsJ+bLesdxHMdxWkOuEPfDwUNG&#10;yDTgjTXnmS/q+wOQi6RIJaG0xZ91XhkXQwpuIFYXkenrKT8HSGBa1JIgTkpxUgyT5UjQjlgaCFqM&#10;s2C6ov5qIQ5tLMqD8Ub9Mh+BICZFOA0kMn6vhbiULEc5MEVM7qPIBplPSm2aWJ9kmzWxOh3H6buU&#10;FeLwol2mPeiwUeZL+nYCQlela1G08AXpCHKPlZZAAIqJYkwDEUuKRhLkl3KXFMdiSNkI3/O61T+5&#10;u5yW3iQyDhKULEOCOJ0XMD4mQsl2yjRF4xvDqgdjJyU+C8yDJdPpcaTgpUH59UhxZdZezhpA+6x2&#10;FNWj0zNPrL9Ar1GZz0pPdHrHceqnESHO3LW9hBBXZfee8Pknn4RPtm4KW/+wOqx/+fmw5vEHwksL&#10;bg5PXXdFePo3V4WX598c3lx2X9j4+5Vhx6aNYdenrdsdDhTJPYyrR4ABlGBSshvlJqSF5GKliVHU&#10;fgnTNSLzxMSt1HGWZdpIWB6Oh7TiU0fN4udYnJVGXreONZVgfnhkZT1CnJSY5JGwZQWvWD1auJNx&#10;uTB/bJ3kzGesDNn/2BjFaCQvkHObGm+msfqfiiNMk7qH6p0bTU57nL2LHhXirpv5iPnC3nFSYMeu&#10;ypKqktoxzHEcx6ml7iNTBw2ZI/O4EOc4juM4PQuEuB8OHrJKPo+tl+rW5+7+KsRBqKKghq8Um7hr&#10;GK5LdH7IWJCMICfJ3bdQjhTOpFxGKDulJKVGyk/BugHkLeaX5cpdzHCd6XlNkxLiOMZylzLUiX5B&#10;SNPpU2VJpPwld4Nj2VI+tHZx0+PA6zov4Nogckx0HMpCv/BV1ov2SYHP2ulNtgkgPfsl5wfINQHk&#10;rnVyXpEOY4qyZHrHcfo+5YW42s/qw8cfa76kbxek8ASpiYIPpCIe1wnxR+aRYpjcDQ55tERkCUOM&#10;I6iHEpPMD0lL5wUynxUPZL8AykR6XIeIJ8WxHCGOQFRjn9BvKa6hXJ2fcbI+iWynlYZzAHQcSZWB&#10;caUMhzGQu8Gh/bJ8jDfjiCybZWCOWLbMH5MCY8iyc9Ye4vEz1pzsp24H4hlHkA9xcmc35ENfrHWG&#10;ulienHMgdwlEuXrMytblOE79NFuIe37lS+YL+Vw+/+zT8NGmDWH9y8+FVcvuDW89siRsqHy//d0/&#10;hM8//aQm7Z49e2p+bhZFcg/j6hFgAMUlyDA8ZhQyjjyGEz+zDMhWELGkMINyIU/JMkhR+yVMV09f&#10;KKihDVIUQ9vl0Y1A5gNl2kik2IX8HA/0X8p3QLcVP8firDQ6juIS+sX8qB/9ZhywpCzOd0rY0u2P&#10;SX/oN8qR6wFf5djge5lH9ovyItZaGeGO+WPrJGc+U2VIERD9k21D//AzjxSV+UAjeQHzYm6RHmjx&#10;kWmstqfiCNPotSfbrkFfAOYTbZL5cB19kn3FnOIa8+vfC87eS8uEOGvbd+tlveMUwSMtcZylFe84&#10;juPYQIjTclvmDnFLZZ4hI4eZL+sdx3Ecx2kNlhCHZ3rno7orWJ+712280HxR3+5I8UpLTQDXpBil&#10;41OkhClA8QlfdVwOReXHgITFfFICI5CoIJpBCuM1WZdMK4lJbDIvBa0icoQ4WS7SW2mkIIY+ybii&#10;/JDIpHymx1jm13EpMAZcU1a9UojTbQayXjlHgOOGdsvrjuO0L6WPTFWf1Y+adIr5kr5doNhjyVAA&#10;4hHSyJ+RHkBCkmmJlIksSYpxgHKVRMpNFIokjIvVD7TIJQUqTa4QZ/UFY4axQ7wlOzFvrH7ZTiuN&#10;HAsdR1JlyPyxNkCSYxo9H7JsiF5SDCMco7KyV9m1V0RsHmUfrHosKDriqxWPcii+SRGynrocx6mf&#10;DiHub89kkCvEWS/Z33jzb1JXvUCK+3jrpvDB2tXhg3VrwsdbNoVdn37cLV27CnGQWBgv0Wkh5Vjp&#10;NFKkA0XtlzBdPX2BcCNlMI2U4mQ+UKaNBFKQFu0kMk63FT/H4qw0Oq5oLlg3RCWdF9dicUSvCYhS&#10;Vjo5bhZoh5XPGrdUezTME1snOfNZVIaUuWLERMFG8sakNJmG16y2p+II0+i1hzWduocI0sj7nGsq&#10;Rmz9OHsn1gkrOPK8slYaC/jHgi7YelnvOCnOOedvRjd2irPSOI7jODaWEIeX69UHdSJoIW74OBfi&#10;HMdxHKcnaUSIs17S9wcoPKUEIuw8hjTAik/BfCnxqV4hDqTKj8Fd1SBlWfEWUsKy4gFlLJ1G71om&#10;42LEypLI3eFSop1MJ6/LeY3ll/Jgs4Q4kJp7xqXWJOvV847xZZy1I57jOO0HhDj97C7YIa7mc3c7&#10;C3GQzSpdqmLtbmYBKYx5UsKPTKfjeN3ayQtIqQjf63jG5QpxRX2LiVQyLiVmpQQ+Xrf6AYr62qgQ&#10;R1mvSCxjupRMhp3RZBzJaaOmnrVXRKwdUtDMqQvrmumtOSFcG1KaK1uX4ziNYQlx+KxduQcLg/WS&#10;ff2GjeYL+XqA8NYq6S0Fd9uK7ShFgUXvxCVhmtguTRCgpKQEwUWLbYC7PvFIToCykR7Si5WnqP2S&#10;RvvC9jENwG5nEH+QPtaOMm2UQCCCeCTHA+PIHb1ibWVbrDidJtYm9Enu5IZ06DvGgP1BvM7HPFac&#10;hG0HsTai/6hLC1H4OTWHyCfnCeOXErg0zBerI2c+i8oAHGM5Fmgr+4d+WPlAI3nlmkJ+PVeptuf0&#10;i2n0vPJ3AL7q9iEtymRe2SasOdz/8ncI2y13jXMc0EIhrnbb98HDxpsv6x0nxcEHH1n9JYZd4mbM&#10;uN9M4ziO49jUL8TV/lX76GOHmy/rHcdxHMdpDblCnP5DtEHDhpkv6fsDle5WSQllOXJWjFT5vSXE&#10;UQIsU28jQhxgnQDp9FGfmpwxzx2/mCSWkz8lvbVaiEu1i2n0vGNcufscvmIHudxd+RzH6ZtYQpz1&#10;7GbQQtzJk6eYL+nbAQhOlS5VSYk/kpQ8JoEMxLL1rmK8nhLamMZqV05+KXIV9S3Vp5z+puqKXSdF&#10;7WxUiOP11FgB7oiGXc/k9aL26TRWvEU9a6+I1FhxNzqAdNbOg0T2Jwe9NsrU5ThOYzQixO03eOgE&#10;nbeZQpzj7E1QcoPkZMU7/Qu5K2BK1uMOdlgfVrzjFNEyIU6/gHchznEcx3F6lnqFOP2f+Eef6EKc&#10;4ziO4/Qk+UJc7R+iHTp2hPmSvj9Q6W6VlFBWJGdBOIJ0BUlJHq8qscrPEZ9AveXHYB7skGbFWzQq&#10;xKEPUooD6I8+8pMUjTlgvHWsqCQmruWMf0p6S8UR9G/Y8H8N//idb3WllVh157SLaax5h/Sn1wnG&#10;KNZGx3H6NuWFuNo/RJt6ySXmS/p2QApEucc7Mr11fKgkJVLxekrSiuWVcan8qfo1/VWIk9eto2kl&#10;sXqK2qfTWPEW9aw9gvqw/qR4ptF5UIdOjzm1xgXXZLoi9E6HZepyHKcxGtshrvuu7R/u+Mh8Ie84&#10;Thzs+FW5papwtzunf4Nd6TjnVjyhKOlCnFMvLRPi9F+5HXLEcebLesdxHMdxWkPdO8QNHrpJ5nEh&#10;znEcx3F6Fghx+nlsvVTXz/mxJ4w0X9L3ByrdrZISylJyFoSnmKQmscrPEZ8aKT9GPXmk/GXFg9Q4&#10;EfSH/SYQxnS6nLIY3xeFOEhpMQlOYtWd0y6mic0hJUrdBlyz0juO03cpK8TptJdfc7X5kr4dyJGt&#10;NEzvQtzfyOlrrA1F7cyZo1gZ8npfFuKseAuIZpyPIqz8AOOgy5BHngK5u2Gszznk1OU4TmM0W4iz&#10;XsY7jpMGx5lWbqkqqd3CnP6D3CEOR53iyFcZr4/odVHSqZceE+KGjTnJfFnvOI7jOE5raJYQd8Kp&#10;h5sv6x3HcRzHaQ25Qpz+3O1CnC1nQTqirAbxCLIXrsk0qfKLxKdGy49BSSolXGmk/GXFg9g4WeBo&#10;T4hwTK/bn1NW7tGv8shUeVRr0fiDeoU4lo35Q1/0EbGpunPaxTQ58462yd35dFsdx+nblN4hTj3n&#10;f3X9TPMlfTsgd8LKFX+481VKEANSKtJHRvK6C3HF7WxEiINAxuupsQI8MvV//dN3aq4XtU+nseIt&#10;6ll7ciwgZOqjeHPGimBNss9Ajk9On8uQqstxnMZYu/aVo+QzuYPMI1MHDak8//+Wb/CwUebLeMdx&#10;4kCA22effarPN4hxVhqnfyJFyBQ4NtXK7zg5VD57dzvevElCXO2276OOPst8We84juM4TmuAEKdf&#10;lOcIcZU0u2SeU85yIc5xHMdxepJbbh0zWb8ox/GonY/qrqCf88efPsZ8Sd8fyJHDcLQo0gB5fd7C&#10;sV3XsSOYjCOMt8SlIvGp0fJjUESDrGXFW6TkLxIbpxQxqS1HiMvtB9NhruV17CxXVIecA93v2JhA&#10;WuT12I5sqbkvWheAaXLnXbapzFpxHKf3gRCXI7Mz9CchDkJRpUtVILBZaTQUe771rW+a8SQmWAHW&#10;mRKDmMYSknLyl5GacoQ4iIA6juDITNalj//k9Vhblz20sCuN1U7kY7yOI6m+Yp5wHfMhr2uYTu/8&#10;lzOOMo0Vb1HP2qOMGetLzlhpLMETAhvL0cehNkKuTOo4Tj5vrln5E/lMBnh5XrnXCoP+Y/Rh444z&#10;X8Y7jhOHO4VBitO7hDn9H+z8hp3gvvvd73b92wn84Ac/qApzK1euNPM5Ti4tE+L0X8Qdefx55st6&#10;x3Ecx3FagyXEQVjvfFRHg0wPzprqQpzjOI7j9CT5QlztH6Kdcf6R5kv6/oCUoizpDLuyMR7IuNjO&#10;YwTlMd6SkChqQQrTcaDR8mPIPsWELYyLjEP9qboghHE3O6DjY8TkL9l3vSseyelHaoyK8iOv7FOu&#10;ECfrRB0yD0B/UiJmbEwkTFNm3tmmMnkcx+l9ygpxNekqzJo9y3xJ3y5AWKt0q/pVy1wA4pKU2uTO&#10;XjGRScpOlgiWiiNMY0lYlLdSslKOyEVyhDhgHROLMWN7rPwcXysO4hUlKWC1U+60Z80PSPUVbWac&#10;3lGNyDp0/lTZVhorPkbZtReT9ojchc2Kt4jNPecFdcbGvSyxuhzHqZ9mCnFHTjzNfBnvOI7jOE6v&#10;sMsS4r43YPg+nY/y+oP+DwAX4hzHcRynp3lyTlkhDv8IkOnB1GkjzZf1juM4juO0hlwhTv8h2gXT&#10;jzZf0vcHpOgFMY1iE65DHGIckXml+AS5jdKaldeSkGQailMok21otPwYUsiC8AUZjNIZ6o7JVvLY&#10;TQpkyKfbAmQ+xKNM9JH14KuU3rSQJmUzyHm4hn5jxzaZTrYJ9XCMUD7qo9CG/rJuiRwHzoHOS6T0&#10;BmQbdRzzyjVllWtJbxx/K47E5gjXMV5ynDAmReKn4zh9ly3bp2U9uxlkOvDgo0vMl/TtgpShIOpQ&#10;moIEBGGNEpLMIyUupOGRqMgDYY55YqKTzKvjCNNYEhbFItTD9mKnNbYD5IhcJCUqMY5AumI9qLtI&#10;aJO7x0Hk4njIcUrll/2gCIb60V8rjS4DaVkPvqJetgFxmAPmtXZeS5VtpbHiY5RdexTe2A9ex1jI&#10;eZB5AMpC+bLv+Crrx/cyj9y5D+tY5gXoM+YWbWG7QT11OY5TP40Icfr/3ied5cf6OY7jOE4foueE&#10;uONOutR4Ue80g2984++rH4LGj59sxjeTadNmdX3owvdWmlbSaP0YI+TFmFnxjuM4/YvyQhy2iZXp&#10;wcWXuRDXTJ5a8Zuwe/eOsHPnlvDQsulmmnp5+53Hq2V//PF7Znx/Y9v2NdX+rl//ghnfW2BuEfBV&#10;x/XVNjuO07fI3iFOpbniFxPMl/T9BUhKlW6bQGiS4pbOK0UjDcQnCldaXAIQlbR0pdM2Un4KSFFW&#10;3QT91gJZKg/aERsntE2m1aAumZ5I2Y1oSQxtstJJ0LaYBJbqE67Xc2QqSK0pwDZb0htlNyuOMI0l&#10;xLEOCxxrK9M7jtP3KSPEWZ+7212IA3IXMQspHwEtgllAIpKikIRp6hXipKwkkWmlpGWVIaH0hq+x&#10;OMhPqT7HdquDDBXLR7GLP8faaeWXbS3qK8aLclkMlCeFL5IzjjKNFZ+izNrDekr1Q46TrENKfxbI&#10;J9MTOTcppIhZb12O49THskeXjNPPZbw8r9xvhcGFOMdxHMfp0+z64eBDJstnNWiKEPfDwUMqhYt/&#10;BJx+pfGi3mkGleGuMmLEJDO+mZxzzsyu+vC9laaVNFo/xoj5rXjHcZz+BYS42qPU8CG98jswGvYb&#10;MPT7Mj1wIa65bN78WlWWQsD3Vpp6gWjF8OKLc800/QkZrPjegvOArzpOBh3nOI5DIMTpz9SVZ/r0&#10;zsd1V9Bp+rsQByA08QhTAIkKshGkMIhruAZBysoL+UlKWTIvy9Q7oBEIWbJelKN3QWuk/BTcOQzl&#10;yfpRlpbhiG6vbAvicE2PE+JQppa18HOq3ciH9lFYY11WulT5sb4QjgPrwVf8jOuI5/hoqY79teKA&#10;XlOyXLQL1xCv8zGPFUeYRo8fyob0JtcL6kV6va4cx2kPGhXinn7uUfMlfbsB+YfyF4B4BFkpJkFx&#10;1yuZB+BnXLfkKkKpKbVTFtPEpDq9KxjqlWIS8jEuVgbhzmPWDmmMo5gF4QmyH8tGPNqi80kwFhhL&#10;9oljy/YW9VXnR/1SJszpK+rSUh/KQ/uldKbJKZtpUJ4VX0SZtYd+yLEA6APSxtpRtFZlWg3rk3OO&#10;8pEX4ynXHGikLsdxymMJcZXP2iMq911h0P/3PuWiy6yX8Y7jOI7j9A6mENf5GG8s6ELPmHKt8aJ+&#10;72DffQdWP7DgqxXfKCgbuBBXjAtxjuPsXTRHiJt+1SjzZX27gR25EL7++s9mfE/x+htLutrRbGkN&#10;u48hfPXnL8Jdd59hpulPfPnlzmp/rZ3YepOUENdX2+w4Th/j1rHdtnK3hbjaNL+88QTzJb3jOI7j&#10;OK1ly45plWd3scyOYH3u7i9CnOM4juO0GwsXzRuqn8vZQpyS4S+96lrrZbzjOI7jOL1D5TndAiEO&#10;W8zpQqec/xvjRf3ewb/8y/+pClj4asU3CsoGLsQV40Kc4zh7Fyuuq3x4X1XzTB40ZE7ld2A07Dvg&#10;4IE16StcM2O0/bK+zZA7s1nxjtMsUkKc4zhOFoYQhw/vnY/rrqDTzL/3VPMlveM4juM4raWMEGd9&#10;7n71tWfNl/SO4ziO47SWX/72urH6uVyvEPfz626wXsY7juM4jtM7bMLncvmsBp2P8fqDte37BRff&#10;Yryo3ztwIa55uBDnOI5ThvJCHD7s16Sv8OuZY+yX9W2GC3FOT+FCnOM4DZMhxFmfu12IcxzHcZze&#10;oUOIq30uWzI7giXEfbDtbfMlveM4juM4rcUS4vCs7nxsJ4OW4V2IcxzHcZw+hSHEDdnV+RivP1jb&#10;vrsQ50JcM3AhznEcpwwrrtN/pVYkxFXSd/tPfBfiHKccLsQ5jtMoP7t21FH6eYxndOfjuhosIW7J&#10;w6ebL+kdx3Ecx2ktZYQ463O3C3GO4ziO0zucMuXccfq5nC/E1ea74dbZ1st4x3Ecx3F6h1X7DRp6&#10;nXxW471552O8/mAJcZdOn2O8qG9fTjjh4i7RDfzDP/zPcMABw8Llly/oSvONb/x9V7yFFNhmzLg/&#10;jB8/uVomymIalLHvvgPDaadd3ZVWY5VHDj74yK74adNm1cShTuT59rf/uSsN64vJZlpIQxnoN/uK&#10;r/gZ1638EvaX5QH8jOux/DlCHOYg1qYcIY755TxY8yvB2LIu/Iz5Yn58lfNnlY9+Y00xjeM4TjO4&#10;/vonp2shDg/+yu+daLDOUr/+xrHmy/p2YefOLVU5KRa0tMT069e/EO66+4zw8cfvVX9GQBzTPbRs&#10;eti2fU01/9df/7kzRQhf/fmLap6nVvymplyC6ww6DepEYD0vvji3pv0oG2KfzCNhfrQnFldv2QDt&#10;Rd9kf62g+xWDbWK9yIc2sXyOJeZB5wVsP/tkxaGf+Pn1N5Z0iWoIX365s7C/gOMk+8y8sXalhLic&#10;NmNc8PPb7zxerYsB36MfOp8G+WRfEfAzrlvpHcfpe+QIcdbnbhfiHMdxHKd3+N2L5xQ+uxlciHMc&#10;x3GcvoMlxOHzdudjOxl0vrkLF1kv4x3HcRzH6R1aI8RZ275fefXd5sv6dgQyU6WbJhCbmI5CVgwp&#10;sEFCs9JILOENxOKlDIc2yzgIXFLIsrAELSmkQVyL9RGSXUxqQ91SwrNA27TAB4qEOIhnsTbhuhxn&#10;nRegz6l5Q1xRu1CGzAM4N8ibKj8m+TmO49RDs4Q460V9O0HJKBa0tESRCLKblJEYmK5ICkOgjCXB&#10;NQYdD8kKAW1A/bEASUzm0/kRYnH1lg0RKzfkCnFsE75SjrMCxDhLPuNc6TmUcWg3+hQLlphGUuOE&#10;gPVRb7tScRQtYyEmtqEtqXwIsfl1HKdvMe3SI07Sz+McIe6xp88yX9I7juM4jtNayghx1udu6wW9&#10;4ziO4zitp14h7nsDhu+j8933wDLrZbzjOI7jOL3DKpycJp/VTRHifjh4yAhZKLh2xhLzZX27AaGp&#10;0sUqcicz7PoF6QnClc7DXdCkLKdBPu4SJnchgyAl5TFLMmOcFOKklKVlOJRBGQ5ly93L0D8pjWlB&#10;S4pfAHIXxTm9A5uul2nYH+S1xpD50UbdX1m/bhvSUjbDV8brdhGZF8i5xRhI8Q1jJNudahfToE5c&#10;Rx/ZFo4tytLlY/51nxzHcRrh+uufmIyz0OXzuEiI02epH3DIoeaL+nYkJYtJtFCEnyFVAZTBdBDi&#10;IBfhupSiICtRloMwxeskR4hjQH6mwY50Uu6zpKhUHxspG/2TfaLwhuuyXN2fIphXlo3xRJwuG/Og&#10;83OuUnEsG/1ju3V/UY/OLwU9xCMPrqNdco7rbVcqjgFtZL0YW4wPA69L2Ce0DW3kukRaOZZWfx3H&#10;6Vuce9Hh3f5DHp+zOx/X1WD9IdrzL59jvqR3HMdxHKe1LLz3lO4v012IcxzHcZw+z2Hjj+4mtf/b&#10;gIO/0/nYjgak0fkee3KF9TLecRzHcZxeYM+ePc9oIe6Hg4es6nyU1x/wYb+20P4jxFGsgtBkxVvk&#10;CHEppGxlCVOMQ9vwc0qGAxC0EGcJZ4Rt1oKfbAukLyl1EeZF+TpOimkx+YvtA5TtSGosisrGNQpz&#10;QMdTVtN9JlK4QxtlnGwXsOoHjJcSouM4Tqu44YblleexFuKGTK/8HooGvXXs4GE/MV/UtyNSCLLi&#10;iZSSLGkph1RdEJsYtEAm80F+otBE8DNFLGunr1S9jZQNSY0hJWLhq45LUdQmIMU1XXeuXGaNFerC&#10;znMI+KrjORY8vlQj55GiHclpVz1tlnVqaRFtYNDtIRxv9M2Kdxyn73DWlOFD5fO4g1ohDj/rNG+s&#10;Oc98Se84juM4TmuxhDj97GbQf4h20GGjzBf0juM4juO0HuuzdY4QZ+7a7kKc4ziO4/QZelSIu27m&#10;I+bL+nZDylqWDGbRqBAHWCelt1gcRCv+bMlwgDudWWURymUQwOR1KX7FpC4ppuk4uTOdjpMwnR4z&#10;Wb+WztivVNnyGFl5HbJbrFxJjiioZTkJhbqYdOc4jtNMOoS42udxkRCn/2GwNwtxsWM6c0hJb6k4&#10;2cZY3SmhKtXHRsouGjvGW21KkdOmlASWGgvGQbTTcUTWL2U7KQDK9BoGLc3ltKveNjOg7fI6j3e1&#10;yiVyLGPSnOM4fYMTTx0+Vj6PO6h9qW597nYhznEcx3F6h9tmn1goszPoP0QbPv5Y8wW94ziO4zit&#10;x/psXa8Q9/zKl8wX8o7jOI7j9Dx79uxZWvn8vbT2ed0EIc7a9t16Ud+O4FhPSk34ih3MYruskZ4S&#10;4iBZsW0xGQ4wfS4yb0pIs9LoOF5PyXiAu7WlhDxdf07ZMVlPlptDGVFPIoU89DFXqnQcx6mTbn/d&#10;hmd05XdQNGghbsjIYeaL+nakSOoiKWEpl5T0lorLaSPTWO1L5W+kbIhoDJa4xjFrZIc4K54wIL28&#10;npqrVByJzYVsV05oVrtScYRpYnXmBr32HMfpW4w5pvsOcTgitfNxXQ3W5+51Gy80X9I7juM4jtNa&#10;plwyPluI05+7j5p0ivmC3nEcx3Gc1vL1X3fssoS47w0Yvk/nYzsa8Bld53vjzdXmC3nHcRzHcXqF&#10;OVqI22/QkGc6H+X1h/4sxAFITBTPCAS0mAiVK8RBrMPuYkinyycpIY67qgGIVzodgNDHNDno3dZy&#10;xC+ZJnZdH4WqyRHXdP28Xo8QJ4+ZzUGPb6pdGqwVWRbmDfNeJFY6juOU5cqfLTpKP4/xAb/yuyca&#10;9D8Mho9zIS4FdhXDzlwpGUmLRzEJC+S0kWms9qXyN1I2JDgeIYrdy7i7GK7LcvUObkXktAkwIL28&#10;npqrVByJzQWOKy0TsKOcLLfedqXiCNPoseDxrzkBc2kdfes4Tt/hsDGHdjt2DX993vm4rgbrc7f1&#10;gt5xHMdxnNZjCXFaZmfQn7tdiHMcx3Gc3uHrrz/aZH227nxkJwPEd51v/YaN1st4x3Ecx3F6hzkQ&#10;4OSzuilCHI5jk4Xuf/Dh5ov6dobympTQgHVcZo4QByErJsFJUkIc4qRsZR1pCplPptfxReSIXzJN&#10;7HpfE+Iwb7we61eKVLsskEaLcZAPISxa6R3Hcerhwmm3nCSfx8CFuI5gxZMcKQnwiMqi0B+EOIDd&#10;31IBEpnOU0ROmwAD0svrqblKxZHYXMi+yvS51NuuVBxhGj0WFBZTeR3HaR8OGjbkJ/J5DPSRLfpz&#10;N7Be0DuO4ziO03pOOGtUoczOoD93nzx5ivmS3nEcx3Gc1tKIEGftLNcUIW7P7rBr586w69NPK3wS&#10;dn/2Wdj9+c7K9T12esdxHMdxYlzXXYgburTzUV5/qBRynSx08LDx5ov6/gLkJshMla5X0UJUkRAH&#10;uY4yHAQ76xhWlm3JXjIO+dgWlGkdyZkqq4gc8UumkdfRNl4vqptHpmI85PVU/TllI47p5PWcfqWo&#10;Nz/GRLYpJU06juOUZcq5M7v9h3zsyBYG/Q+D0ccON1/UtyO58lWOlCRFKqTTO4SlpLdUXE4bmcZq&#10;Xyp/I2WjfwjYHQ5p5G5kSFt2ZziS0ybAgPTyOupGsMYiFUdic5Hbrhj1tisVR5imzFg4jtN+WP+x&#10;3l2Iq/3cfejYEeYLesdxHMdxWs+hYw7rtkO7fnYz6M/dLsQ5juM4Tm+xY1X3PzYbsqvzkZ0M1uf2&#10;D3d8ZL2ML8WuTz8OH2/ZFHZsfC9sX78ufLR5Y9i5fXvY9dmn3dLucUnOcRzHcVJcV3mur6p5Xg8a&#10;MqfzUV5/QCGy0EOOOM58Ud+fSMleRUIcdnJjXktgA7GyrTh5pCvkOC3XcVc7fRxqDjnil0yj49gu&#10;CG86TsJ02EVNXk/Vz36lpDIcdcr88ro8SjZ23GyKnHFJEWuX4zhOI0w46eKx8nncQVqI0/8wOPpE&#10;F+IsuDscduWy4lPSWyoup41MY7Uvlb+RsrljGuLl9UaRbcLxq1YayngI9RxNColPxxG5y5+sH4If&#10;g64zh5x2lY0jTKPnQh7zGhtLx3HahxwhTn/udiHOcRzHcXqPnGc3g/7cffk1Vxsv6B3HcRzHaT0Q&#10;4mr/2KzyTN/U+chOBmtnOeNFfCF7du0Ku3Z+Gj7ZtiVsf++dsGnVq2HDi8+Gdc8+Ht55+tGw9rnl&#10;YcPLz4cta1aFjz/YUt09zirHcRzHcZxa9uzZMx3PdfmsxnO/81Fef8A2c7LQvUGIA5WuV9HSGnc7&#10;iwlo8rhO68jMomNOrTjsMsfrWiqT8lVZeStH/JJpdJw8JjQm/6WOL03VX1S2HBOg4+XOeloiLCLV&#10;rhwwd7F2OY7j1MuYY6YMlc9jsO+AgwdWftdEg/6HQX8S4tavf6FTF0oLQzlSEgUx7JRmxcu6+pMQ&#10;B7nsoWXTa+IaQbYJZVvzwvmAfKjjU3PFOATrOFeUFTtmFHEMVtlF5LSrbBxhGoydvC7FQR3nOE7b&#10;YR7Z8r0Bw/fpfFxXgxbixp4w0nxB7ziO4zhOi9kxbZclxOlnN4MLcY7jOI7TR/jrR8/oz9Y9KcTt&#10;2vlZ+GTb1rDp9ZfDa/fNDc/eeE146teXh6d++dPw5LXTwvJrLgpPVHjy2kvC87f8Mrz9xENh6x9W&#10;h892bAt79uw2y3Qcx3Ecp4M9e/ZM6BEhbtiYk8wX9e0Idh+DeIVd3XgNEltKxpKyE6QsXEMailNS&#10;eIM8RykOX2VekCvEAdkmSGa8jnK5Axu+Ip8U8dAepMeOazIfyBG/ZBodp+uWx8Pq/lq7yKXqR37G&#10;QW5jvC6XyLxA7tRnHV2L8iATot16jlPtkmk4pnK8US/HpGjnPMdxnDIcNmZStyNT9xsw9PuV3zfR&#10;oP9hcMKph1sv6tsSKaJRkILcVWbXMSKFN8hHFLWeWvGbLnmMoT8IcVK20gEiG9Jjt7WyspxsEwLK&#10;4pigLLnrGdLq/Km5YhwD5oXtwzyhLgY9D0DuHoey5DrBfONntM/aJTCnXWXjCNNY4yH7hLahn4xD&#10;37HzHfJjLGQ+x3H6HKYQ1/mo7gr6c7cLcY7jOI7Ta2Q9uxn05+5fXT/TfknvOI7jOE5r+a8dS7UQ&#10;B3G985GdDPqo1cHDRpkv41N8un1b2PzWa+H398wOS6ZMCLNHHxhuH3lAmDvuoDBn7ODq19mjB4TZ&#10;ow4Md088PDz9myvD208sC9vWvRN2ff65WabjOI7jOB1AiKs813fJ5zWe352P8vpDfxfiKl2MYh23&#10;KSUwiRTYpLymQV4eB6qlN8B0Vhx3PQNS4sL3Vps0FPhIrvjFNFa8FMBiYJytXdqK6te7wEkwFnL3&#10;OZ23KL9ECm2g7LhYYEx0uY7jOI1QeciPkM9jEDuyhUH/w6A/CXFACkMMWj7KkZIgRFllMaRkq3YU&#10;4gDHpShowTCFbJOU33SIzQXblGov5iI1V2iDzktSbWKwdgnMaVfZOMI0VruL1iUD+qXzOo7Td5h1&#10;29hV+j/W8XzufFR3Bf25+/jTx1gv6B3HcRzHaTFbd1y8yoU4x3Ecx2k/vv76ozn6s3Xl8/gznY/s&#10;ZKjkqzlqddi448yX8Sm2rXs7vP7AXdWd4OYfc3C498jB4d7xg8Jd48DAKveMHxyWHHVQuP2I/cND&#10;004NLy+4Jbz/2kvV3eWsMvsSmzdvDiNHjgwHHXRQWL58uZlmb2bq1KnVsZk5c6YZ75Rnn332qb5z&#10;b+WYrly5suvdPr630vQ2aBfWFu6/1atXm2n6I/idM3HixK51gK+4z6y0FlZ+rqXFixd3XeuNeUc7&#10;WL+Omz17dnW+0XYd5/yx23tyfHavjGVjAf9YkIWOOvos80V9OwJhCdKbFM0gMmFnL7lrnAYCGo9O&#10;Bciv00PGkuVCgoPkBjGMefWObYBymRUnZTy9+xjKRfmyTsBd8CyxC/1gOr1Lmk6Deq14kBpHLeFJ&#10;cupHu+VYy3FEvazLyguQBv2nhMj0GBe0GfE6T067APqGtnFOAMYA5VoCoOM4TiPsZxzZUlaIO+Ws&#10;/iXEQRjirl4IkJm0WMQd3op20UJZyIsyGCAjYRcuxLMOuUsXwM8MOo47z1m7jhGmsdqXyt9I2dwt&#10;DXl1m7nLHschVb5GCnH4GeVIoUuOp0VqrrRcpucKeayd4TRIg7ToFwPKQbkYL6wDnSfVrnrjCNOg&#10;bisecCc4GTCWyJsaT8dx+gazbh33jP6Pdbw473xUdwX9uduFOMdxHMfpHbZ+NK3y7C6W2Rn05+5Z&#10;s2eZL+kdx3Ecx2kt//31juvqFeL0znKHjjnmv40X8UnWv/xceGLGxeHuk0eFOWMGhXmjD6wyd9Tf&#10;mD96QLhz7MDqjnH3nXlkeOpXl4V3nn40fP7pp2aZzYDihwVkDEpcRaINJDjmQx4rzd6MHFcr3ikP&#10;x/OKK64w45uBXNd9VfRE/3tiLPoaP/jBD7r6LbHSWlj5+burt8dU1q/j0EbGuXxcy8pXXvuJfFYD&#10;vDuvjFVjofKhfpUs9MjjzzNf1DuO4ziO0xpuuOHJTZYQ970Bw/fpfFybQac/a2r/EuKc8kD4Ykjt&#10;/oY4BiveQgtxzUQLcY7jOO0ChDj9H+s5QtwZ5x9pvqR3HMdxHKe1dAhxxTI7g0wHXIhzHMdxnN6h&#10;Q4ir/WwNQa7zkZ0M+nP7uBNO+S/rZXyM3Ts/C289sjgsPvvYcMcR+4c7Rh4QZneC78nsUQdUxbg5&#10;YweFO08YVt0l7s0HF4Wdn3xsltsMpHhRRGr3JQhz3GnJd0HrDuUb7OJlxTvl4bpspbDUDkKc3M1s&#10;bxGkpMjL3zfY8Q3XdVqLWH6Kv3JMe2OHuJQQh9/DuP7d73632mYdvzcze97CofJZDVyIcxzHcZz+&#10;QakjWxh0ehfinNQRr5J65DYX4hzHcboz67Zxc/R/rOMzduejuivoz90XTD/afEnfFHZcHLZ+cFHY&#10;vOWCyu/uC8KmTReGLZWft2yfZqd3HMdxnL2LrGc3Q226oWHhvfPNl/SO4ziO47SWv/51+2T92RrP&#10;9M5HdjLoZ/+YCSf9xXoZr9mze3fY9dmn4YN1b4eX5t0U7pp4eJg/ZkCYM/LAGhGuS4gDow7sYPSA&#10;cM+pY8Krd98RPtux3Sy/GaTEC4ggOJ4P4gXTQOzS6RynN+Ca3NuFuL0R/t6yjhTNodH8rSb1e9mJ&#10;88uZN+wvn9UdDBlRGcfGAv4CThZ63EmXWi/qHcdxHMdpHaWFOOwep9NPnTbSfFnv7D3IHeJw7CZ2&#10;gpPHhOIIVSm24UhamT+FC3GO4zjdue22sVlHtujP3a0U4iDCbVw7Nby7+pyw7s3JYd3qKWHDunPD&#10;pvfPdynOcRzHcT66eI5+dseEOOtz94OPLjFf0juO4ziO01r+8pcdE/Rna+z62vnYTgb97J9w6tlf&#10;WS/jNbt2fh4+en99ePeFp8Izv70qLDhmSLgTQtyo7jKcZsHoAWHe0QeH3912XaWMDWb5zSBHvMAu&#10;RBMnTuxKl9opznF6Cq5HF+L2PrhLWr3HMzeav9W4EFcf511yRbcd4lyIcxzHcZz+wTP7DRoyXT6P&#10;8XzufFSb4d8GHPwdmR64EOeAt995vCqXFQXIZ1KWK8KFOMdxnO50CHH6yJZiIe6KX0ywXtDXxdbt&#10;F4dNmy8I7/3h3PDOq2eFN589Lbz22Mnh1YcmhpfvPyG8/OCJ4dVHTg5vPX1qWLdqcnj//QvCBx/a&#10;ZTmO4zhOf2fbjouzZHYE63O3C3GO4ziO0zt8/eftI5olxB1z0plfWC/jNZ9/9mnYsnpVePOhRWH5&#10;NReEeUf9KCwcOzDMHW3vEEewU1w13djB4alfXhY2vPpC+Gz7trD7811mPY1QRryAPMK0PFrQcXoL&#10;rkUX4vY++LuoXqGt0fytxoW4+hhx5PE/kc9qsO+AgwdWxrGx8MPBQ3bJQl2IcxzHcZye5YYbnlxa&#10;5sgWBOs/5i++zIU4pwMcl4rd37BLnAxf/fmLsHPnlurOcVa+FOvXv1At4+uv/2zGNwLahICvVrzj&#10;OE5fZdassdPxzK55JhtHtuj/tL/smuP+bL2kL8vW7ReFjRvPD2teOTP8buGE8Ni1R4SHLhseHvrp&#10;8PDAxYdVGFZl6UXDwrKrRoTn5x0bVr9wRnhv7dSwZdtFZpmO4ziO05/ZsuOi6Vpmjx23Zn3ufvq5&#10;R82X9I7jOI7jtBYIcfq5jD8y73xsJ4N+9p865cLd1st4za6dn4WNv38pvHr37PDwZWeHuUf+KCwY&#10;MyDMHZUW4u4YuX813ZzRA6r53rj/rrD5rdfCzk8+NutphDLihZSDrF3icPwg4mbOnNktDrvMoS4c&#10;ucoy8D2uIU6nB5DuUI88shUCC45x1WlRJ+N1HBk5cmQ1Db5a8egf4tgPfMXPMREK7aBYA9BO7KRn&#10;yYJFdYPFixfX1A8wRhiDlIDI9DjiluMsxwxlIs7KWwT6iPxy3gD6bc0zYX+ZBuXouUd/dT5NKh+v&#10;ob86X4oya1ELcYjHHMs1gp9jaxg0YwxZL/Mijukwt7yu55lxaCd+xjoq237E6fvQItWXGMgj7yHA&#10;cbHaxHbHKFrnRfkt9L3XjDEFqXxYi6xf58PYyPqtOK4P/k5jWZjDovul3vlmf2Q+zCXWv0zXSrAb&#10;nHxWA3wmr7SlsaALnXT6lebLesdxHMdxWsWT2Ue2MOw3YOj3a9O7EOc4juM4Pc0tt46ZnPMX6voP&#10;0a79zfFfWS/py7J50wXhD6+dHV5afEJYOu0n1f94x3+64z/f8RfpYM6oA6t/mT5n9AFVMe6FhRPC&#10;6hfPDJsqea0yHcdxHKc/s2X7tG7P7pgQZ33udiHOcRzHcXqHN9es7LZzTOWZPqHzsZ0M+g/Zpl58&#10;+U7rZbxm186dYcuaN8Lr998VHrvqvDD3qIMrn7krn69HFuwQNwqfzQdWvh4YHjh/Unhx7o3h3ZVP&#10;h8+2f2DW0wgp8cKCsgPkHh3HcrRwAcFCy0ASS9CAdEJRxALihUzPfkDAkNclFG+sNJA2ZPkanR71&#10;W+mAVX6qboyPlFYsMBYxsYRpIKjEJBbkL5KFNJRrUlj9AewvxBp+b5GSZVL55PgXCT6SsmtRCnEY&#10;j9iaRJkoW+YFzRpDq81Mp6U9WYaMw1iXbT8kp9R9KNGCVAqsxdQ8AKxlvWaL2lK0xnP7Imn2mAJI&#10;nbF8uC5/H+i8/F2XisPawbphOo3+/Unqne+i39d6DFvELjzT5bMatESIO+3sa/7TflnvOI7jOE5r&#10;WJF9ZAuD9R/z068aZb6sdxzHcRynRdw6tvJBvVZ2s4W42md2s4S4DeumhlceODE8NmNkuPPEg8Jd&#10;4waG+44cHBaOHVD9HiLcXeMGhcVHHVT9z/hFp/04PDFzTHjt0ZPCxg3nmWU6juM4Tn9my45pE3Jk&#10;dgTrc/errz1rvqR3HMdxHKe1LFw0b6h+LmM3mc7HdjJoIW7yhZfuMF7Gd2PP7t3hk61bqrvEPXPj&#10;jLDgmCHhrrGDwtxR+EM0W4YDHULcgKoQd/+UCeG5m38R1j79ePhk21aznkZIyRUWUlLScbyupSJK&#10;QRAm5K5gkCggZuj0kEgoV+g8UkCR8osUQXhNw7ZbaVgm2gMpBNfQDtQHMUemRb1IC9A3Si/Ih3bI&#10;3btIqm4pd0Fi0fWzbcASfhhH0Aa2SebX/SgCfUMefJX1on1S2LF2emN/CdKzX5BjpAzF6xLOJ8D4&#10;sD86L9DrJ0XZtSjlJ+bDmCIObdLtlHlBM8cQPyMdkO2UbdTiUaPtZxv0eMl1VWb8AerlHKIMjA3n&#10;F+Mi24SxY5yE7cJXHZdDUf5WjinScOzwleXrvETnl2lScQDjzPL1mmObJfXON8tFfXKdowyUqcew&#10;RVQ+ox8yWT6rQaVdjQddqAtxjuM4jtPTrLhOfyiP/YU6A85Nr0lf4ZoZo+2X9Y7jOI7jtIRZs8Z0&#10;28odH947H9ddQae54fYT/9N6SV+WP7x+dnjiujHhrlN+HOaMG1DdEW7uKP4H/IFVsEPc/OqucQeE&#10;hSccFB64ZFj43V3HhfXrzjXLdNqXa2YMqf4H1je/+Xdh5Sunm2n6I8tXTAzDhv9rte/gH7/zrXDj&#10;LYebafsScr6s+CJS+c88+9/DgEH/VE2j4+oBdaCuZpXXH0iNMdcjvuq4esE6R5kA31tpUjS63voT&#10;EOL0czl23JoLcY7jOI7Td7jwsivqFuK0DJ8rxJFPtm6uHpu68IThYeGYgcVHph5xQJg/GkLcgHD/&#10;OceH3912XVj37BN9QohLped1LUxQsoDsJa/HkDsbWQIYxA6IF1KkYrtiggtgO3QaKbhY8o2GdaEN&#10;VrxFTt163AjGgGkswYZxwJJc5JzJMWsEKfVY7WZ/gdVm2W/dZlm2Hi/Go0zmj42bBduVuxZlO9Em&#10;az2yzLLCYZkxtMaByDbi+1hc2fajfcxrrSspF+q4FHI96vYSlh2rm21OjUuKovytGlNQ1H9c47oA&#10;Ol7mT8Xh9xPmUMbLNafvy0bmm/mkRNcLrMLncvmsBpV2NRa+N2D4PrrQs6de9yf7Zb3jOI7jOK3g&#10;+uufnJ77F+oMLsQ5juM4Tu8z7dIjTtLPY+vIFp3mt7Mm7rRe0pdh646Lw5srTg0PXnJYmDOmQ3zD&#10;f7xDitP/GV+NG3VAmHfkgLDo9B+HFbeMD++9fY5ZbrMoI9C0Qh7ZG4Gcg3EE9z94rJmmvwHxj2tN&#10;grGw0vclpl06uKu9VnwRqfy8Xm/ZGpaFOq34vZHUGPNebOY6xD3N+uq5vxtdb/2J3714zlH6uWw9&#10;uxGsz90uxDmO4zhO73DKlHPH6ecy5PXOx3Yy6P97n3bFNR8YL+Oj7Prss/DmQ/eEe04dGxaMHhDm&#10;jj6wKsXxc3h3DgwLxw6qfv/wpaeHN+6/M2x+87Ww8+OPzPIbISVXWKTS8zrSyOvcPSi225MG6ZAe&#10;+ax4C7YrJcjEJBgpnEH6kHEWUtaxZBiLWN1S7EqNjUyn43g9Jnml5J5GiPVJxqWkQbZJrxdINYyL&#10;CTZS3tH5U5Rdi3LsYm1J3RNF5IxhUVtT89tI+1Pl6ngdl4L3d5FQynSpsbHicijKn+q7jKtnTaDf&#10;uJ7qv5SCdVyqbBkXWzOxvqf6rON1HCW7Mr+zW8AqbBQjn9V4dlfa1VhwIc5xHMdxeh8X4hzHcRyn&#10;PTll8uET9fNY/4W69bn79jtP/tR6SZ/Llq0XhnfXnBNevHdCuG/ykDBv1IFh3uj4X6jjuJY7Ru5f&#10;Zd4xg8Jjvxgd1q2abJbdLCpdr5Ij0LRCHulv5EiD3AEKO6StXtta4bGvgF260GdIcZSEIMm1gxDY&#10;SiHuf3/vf1SvN0syZT0uxP2N1Bi7ENe3Wfzgqd1k9tjuMtbn7rXrXjVf0juO4ziO01oOGTX+NP1c&#10;/rcBB3+n87GdDI0KceCdJ5eFBy6YFOaNP6j6ORtSXEyImz3ywHD3uEHhjiMODE/OuCRsePHZ8OkH&#10;W8Kuz3eaZTdCWZknJWrwOsqU16XgBAkkJpGAekUn9iMlyKQkGEoqrDe1kxriKIDgK3ZTKpKrYnWn&#10;2iRJSXi8nhovprFEl3pJtT2nX0yj2825BPK6hmlS/daUWYugSBLSaaz4FI2OIUi1sZH2Y53zujVO&#10;nCdrx7AULLNo3igvWuXnjk2MovytGlPA66n+p+6BeuMI0+i+NzLf8rmAecsVhZvJnj17ntFCHE5W&#10;q7SpsYB/KNQW6kKc4ziO4/Q011//RLdz0a3j1mTAf9jrPL+eOcZ8We84juM4TmuwhDi8PO98XFdD&#10;K4S4DeumhreeOy08M+uosOiUH4c7xwwMCzqPRY2zfyXNwMrXA8NDlw8Pq393hll2s6h0vYoLcc3B&#10;x8iG49KOuwu2UohrNqzHhbg8WnG/uhDXPH5904mFMjuDC3GO4ziO03fobSHu/ddeCs/ddG148PxJ&#10;4a6Jw8Psyudr7NA+d1QH1e9H44/VBoQ5lc/d4O4TRlSPS/1g7Zqw+/Od4Quj3EbJESgkFEms9LyO&#10;MnUcpDHGA0gVkCi0eCZFkiJZSRKTPCQpCQZCm5TimM46OhBA+EAfZHrs4hYTZGJ1y7zyuiYl4fC6&#10;Ne4kljcHjAEkF+7YpbHGM9ZfCdPodueuSaZJ9dsidy2C1Lhbaax40KoxBKk2Ntp+tgFjJO9H9Ifr&#10;v2jtSmRdsXuLpNZB7tjEKMqfGrdUnJVGx/F6at2m+l5vHGEaq+8cl3rmW+5iCbDWIfIWycLNAkLc&#10;foOGLpXP6v0GDXmm0pbGgiXETb3who+tl/WO4ziO47SGiy+dNVU/jysf0s0jWxhciHMcx3Gc3mf8&#10;hJ90e6muj2xphRD37uop4dVlE8Pjvxod7jzxP6oy3PwsIa7jaJcl5x8aXnlgYnhvzTlh89YLzToa&#10;pdL1Ki7ENQcfIxvu0tWOolajglJPCk6spx3HuTdoxf3qQlzzOGfa+MJnN4P1uduFOMdxHMfpHfAH&#10;5Pq53PnILgyVZ/oume/qX/5mk/VCPsXHmzeG9StXhJcW3BIevvTMsPCEw8Idow4Id44dGO6qML/y&#10;WXth5eui8YOqu7jfedyhYdklZ4RVD9wdPt221SyzGeQIFBJKEZZMwXJQpo4DEI4gHrEMgO+lVJIj&#10;m1ikJA9C2SOVBuIH05HYMYAQPSB8aMnJOnY1Vjfz9EUhDtJfTOCSWOMZ66+EaXS7c9ck06T6HSNn&#10;LYLUuFtpdFyrxxCk2tho++XOhBaQSMsIT7IuF+Li6zbV93rjCNNYfW90vtFvLcYhjyWbNps9e/Ys&#10;hQAnn9UQ5CptaCy4EOc4juM4vY8lxMX+Qp3BhTjHcRzH6X1+fPhPuj3D9V+oW5+7GxXi1r4xOay8&#10;9/jw8DUjw50nHhTmjx5Q/St0W4Qj+1f/gx5/uX7PmYeEFbPGh1VPnxY2rDvXrKNRKl2vkiPQuOxV&#10;jI+RTZl11tdoVFDqScGJ9bTjOPcGrbhfXYhrHsedOuqn+rkc213G+tz9wba3zZf0juM4juO0lv0G&#10;DZkun8nY9a3zkV0YtBB3xbW/Xmu9kE+x+/PPqmLbey89F16cc314+KdnhftOHxcWHDc0zD3yP8Lc&#10;cQeFOWMHhTljBoaFJx4Wll18RnjhtplhfSV9K45KJTkCBYHAwrSW9MU4lKnjNHLHIXylZAFxokw5&#10;JCV5kCIJRoJ28MjGnLZABJE7zGlRJlY38xS1SYoqWi7h9VQbmSYm8FiwzZgflK3rjfWpKI4wjW43&#10;5xLI6xqmKZqbImJrEUixKTZ2Mo2OYx9bNYYg1cZG2o+2ot0A60+ub3yP/pSR4QDSs4yieeP9B6FQ&#10;x+WOTYyi/K0aU8Drqf4jLpa/3jjCNLrvzZxvpJNtqXeeSjJH7+aKI1Qr9TcWXIhzHMdxnN7njMm/&#10;mKKfx/q4NR2wg5zO40Kc4ziO4/Qs/3HY0Cv08xg7wnU+rqvB+ty9aOlpH1sv6XN59+1zwmuPnRye&#10;+M24sHDif3QIcaOKhLgDqrvIzRt9YLjrlB+F5b8e07FLXKUsq45GqXS9So5Ak5JHVq89J1wzY0g1&#10;7h+/862ucr/5zb+rHpM5b+HYbnkI0iDt8hUTq7AeXGe7mObMs/+9W34J01n9gZyCtjANwM5lSIv2&#10;6/TkxlsO72oTQP+OmbBvWPnK6V1pZJm5II+sB6D/Mg51oC6Wj6/4OdVexGGc5DxYYL6s/Ck4x7Ic&#10;/Izruk3sSwyr/xYsB/XgZ9SDMWD/UA7mFel0XoC2yfwWyI801pGuWlBCPUwP0I7UGtL5Jal6Cdaf&#10;rk+vP8I0cv0zL9a6TKtBmUiXaosE/S1zz8v1kPp9INNJoYzjwN0GCdefLEPC/lv9Ql6WoeMwvriP&#10;EMf7D3D8Y+tNC3FcrywDX2PzB1LrhfD3ghz31LpoVw4bd1i3Z7cLcY7jOI7Tt/n6rzt24cW4fCaX&#10;E+Jqn+f1CHEAYtvHWzaFDa+uDGseWxpevfv28NxNM8Lyay4ID007NTx48alh+dXnh2dv+nl4Y+ld&#10;4b2Xnw873t9gltUscgQKAMFB7nSlxR7AOJSp4yxwJB/zSLEEQgauxXZms8jpR658JimTJyX7IL9V&#10;DqUf9Fle16TkoFidEqaJCTwa2RdLfgSxPhXFEabR7ZbiZay9qbGuh9halGJTrC0yjbzeE2MIUm1s&#10;pP2UMIvqL0vu/c101u6JuWMToyh/q8YU8Pdoqu3YvTCWP/W7LhVHmEbX34r5TvWjBXQT4vYbNPS6&#10;St2NBWwHLwsFLsQ5juM4Ts8y+tgpv9XP49h/yDNYQtz1N441X9Y7juM4jtMaBgwdOrP2eTxkV+ej&#10;uiu0QojbvOWisO7Nc8LKRceFu0/7cfVYlgVjBpoSnARCHI5MvevkH4VHfz4yvHjf8dXjV606GqXS&#10;9SpSoImRkkconaSI1cF4SC1SPAGsi+UjXucnkGyYTws3EFsYZwHJxhKaIJhY6YEcB93uXGRdQMo0&#10;EIBi5cbaCxkmty0piUgD+UeLSBoIOVISkmKTRWouJRwTjDe+j/UP1xGv81MwstYtQVwsjRSUMCf8&#10;XhObk5TglKoXpNYf+qulLMbJe41CIIhJXGg30xRJp6See55zZ8lpRN6rHE/ZhxixMUyNcSouts4k&#10;1nqT97D1O41Y8wdS6wWkfi+AWLntiCXEVfpoButztwtxjuM4jtPzfP31R5twdJp8JuNotc5HdmGQ&#10;+UC9QtwX+LpnT4XdYddnn4SPNm0Mm954Nax+7P7w8vybw8sLbglrHl0S1r/0fPjo/fVh967PzXKa&#10;SY5AAflN7hYUE5CK4jUxsUQeuYcjJ2UeANEI7ZFxRRIVZQ9QRvhA2jJ5WIceg1g5RbvuAfQzVi5I&#10;xRGmiQk8Glkn2qjjMQcpsSdn3JhGtxvrjXVb0hTnn2ly11uK2FqMXZfINPJ6T4whSLWxkfbznoGY&#10;FstbD0X3N5D3q1V37tjEKMqfGrdUnJVGxxX1X/5OsPJjvdcTR5hG970V853TniZynX5WY2fYSt2N&#10;BUuIu+iS23ZYL+sdx3Ecx2kNw8aceIN+HrsQ5ziO4zh9n//7o6ELa5/HQ1Z1Pqq7gvW5u1EhDmzZ&#10;dlH4/aMnhcXnDK3uDgfZzZLgJDhWdc6oA8Pdp/xHWP7r0dUd4t5dbe8+1SiVrleBeAORIwWFKEse&#10;geCC65A15A5FMh+whCHGEbYFZQGkScluhPIQxCx5Xco0kE3YPrRFyiW6X1LoQhlsO/KjHEvqSQk2&#10;JCW8oN+MA2gbxwD1y7zor87P+pFPjpPsJ8qQeYpAvZxDlGGNBduEsWechPFl6wYcE7afY8J6ZN/w&#10;VdfP9qXmJDVvsn8AY8GxRV0y3loTMl7H5daLuea6xVfKaLo+pkdeXkMbeT0mu2EMmYb1FFHPPW/J&#10;bhrueibXN9YcruOrlL3kWADrd0NqjFNxWEtoA8qUbZXrDf2UeUDsHmYZMr91v6TWi/ydhH7LsUA7&#10;5X0aG992Yv+DD615dqd2l3EhznEcx3H6BhDi8Hm75rlc4ii1mnwVfn3DzauNl/F1sfOjD8OWt98M&#10;7/1uRXjvxWfC1jVvhk8+2Bx2795dmxYinfy5SUhhARKEBGKGlDeAtVsTYRqUKa9DsMBOQVL+wPeU&#10;mhAv00uRCMIQdu9iHNpEiUhKG3I3Lil0QK7i7mpEiyBoL66hbJTD8qSUI2U1pMU4yHahnpTogjxW&#10;3UDLXdx9D21Am9AfxKHfbJ9E5tVxhGnkmBXBetE+5tNtAlafUv0lTGO1W44l4tlvjLkcr1j+GGh3&#10;mbWIfrOe2NjJNDqu1WMIUm1MxVlp5HWsQ9lGCdYi2oV5ipUbQ5aLr/K+Qxzmk/XEdpHLHZsYRflT&#10;45aKs9LoOPSRcXJd6L4TnV+mKRNHmEb3vd75xs+Ix+9IlMHruFdZXtFugM3gtTdW3aGf1dixvVJ/&#10;Y8GFOMdxHMfpfQ4+/Li5+nnc+aiOhh8OPmSyzuNCnOM4juP0LP+/gw59WD6Lrb9Qtz53P7T8zB3W&#10;S/qyvPXcaWHpxcPCHUfsXz0KFbu/QXizZDhw55iBVe4585Dw3Jyjw+oXTg8b159nlt0ola6XxpJH&#10;UkhBBN/reFm2FHk0lEgsEUzGa+mH1yHTyOtEtk8KJhRTLOklRkqwISnhRbYF7ZbtIaxDi38QYJgX&#10;0o2MA+g/y9VxKWR7rfkDLDtWN+NS8xsjZ0xS9bP9qTlJzZvsP9aCJRpJKUsLZan5jtUr51JLbwR9&#10;1vcC8+hxZvtic8/4Mms9hZwzuWak0GWtExlvyW0WGCve49b6Ss1tKi5Fak6btV6BvA44T7E1IccC&#10;dVhp2on/+6OfFD67GSwhbteu980X9Y7jtJbFZ4zt+jftE9dMMdO0mg/ffjbcPWl4tQ3zj/5xeP2e&#10;G810juO0gh2rILHLZ3KZo9RkPtBMIW7357vC559+HD7d/kH47MNt1e9379xppm0FloARA2mtMkgs&#10;nSzDQoplBJKMlZZAzCiTBzIHj+/TIkjRGEBakemR30pHUI9ML/PouoEUsmJAONGSHWGa1PwwTUzg&#10;sSiaA7bZ6lOqv4RprHZDkEqNCfKk8sfQ5Wj0WpRiU2zsZBod1+oxBKk2Ntr+onuDWGs+hZSlYqDf&#10;FOU0uWMToyh/K8cUpNYF1oSUcXVeOSdl4gjTWH2vZ75lXy0wz1KUaxVPrHj2Tv2sbooQt++Agwfq&#10;gl2IcxzHcZyeZeDQUQ/WPo+77y6jgyXEWS/qHcdxHMdpHTl/od5KIe6dV88Mj157RFhw/EFh9pgD&#10;wuxRBxQKcfNHDwhLL/hJ+P3DJ4X1684Nm7deaJbdKJWul6asPAKY1xJWGBeTPAjkH6SzpB7IMyxH&#10;CijyukyvYRopkUhpxZJaLHIEm1yZJiYExfLHJCQrXsel4I5dRbIU01l9Z73W/BeRMyaAabQkxvFK&#10;zUlq3uR4WzIckG0sIzjF6kUZzJO79gDz6HGW94EeQynfNVOiYpm6LVwn1v3OHeRi4l6M1PzVG5ci&#10;da81a70CeV3Ok65Twj4V/T5tB8rsLuNCnNNfeWbmxd3+nbhm2WwzbV9BtvWB8yaYaVrNK3N/0Sfa&#10;4Th7Jztqn98Vco9S+96A4fvovLfOvfN164V8OwIxpdJNE+4KBDkjJqZIKLjI3dQAhAkIbChPlo1r&#10;MckLIB92FpLiDH6GTGKlB+iPFKnwPdNTMtG7FaFviKMkQ9h3mRZA7oAQIutBG1GuJfcBxCGdrpsU&#10;tSE1/rFxlzBNarwtOAdsD8rBvGEMUB+uWX0q6i9gmli70WcIOnLdIA/ahHi0I5XfouxaxDWmi40d&#10;02BsrPhWjiFItbGR9svfDfqew9ygX3K9xsqPkbqPUvc44NwXjU2MovypcUvF6TSxNQH0usA6xHrH&#10;2GJsYvm5ZsrGkdiaa2S+kR7loV7GY14xv6nfXc3k2pk3PqCf1UUnqWUFF+Icx3Ecp/c54JCRT8tn&#10;ceov1BlciHMcx3Gc3ifnL9RbKcS99/a5YeWi48IjVx0e7jn9kDDvqIFh9siO3eLmY8e4UR3HpC4Y&#10;M6B6bc7IA8OCYweFR39+RHj7d2eELdtaI8OBSteraGnFol55BKTqyW1DSjShLKelLSmX5CDbgJ2+&#10;uNsSvkJSiglRJGeMZJt0XEq0sdLI62gvr1siDustKxuxzKL54e5VVvm5ZVjkjAmIjT37nZqT1Lyl&#10;5kvCNLqPqfyxeuXRovJ6EcxjjTPXshawpHxXtL7LEGuLHA9dH2W52NGuMVLzV29citSabNZ6BfK6&#10;LDeHsn3qi5TZXcb63O1CnNPu7Nr+Vo3U1S5yV19oqwtxjtN7vP/+qnf0MxnieucjOxksIe63t9y+&#10;3noh7ziO01+gqJba/Q2yE9IACFNWGqc9aPf5vuxnMx7Xz+qWCXEX//SOL6yX9Y7jOI7jtIb//4+G&#10;r6t5Hif+Qp3BhTjHcRzH6V1m3Tp2l34WW3+h3kohbtPmC8Iffn92eOXBE8PjvxwVFp364zB3XIf8&#10;tnDswLCg8hUy3KLxgzqkuKMHhiXnHRqen3NMeHf1uWaZzaLS9SqWQKOJCRwEcgt2mEI85RuNVU8q&#10;ThPbXYr16R2uKMrlokUy7M6l+4IyY6JL0RiBmPACcmQamUbHsX60WfYF0lNMiEoh69I7n2lS/eL1&#10;nDnW5IwJiI0925Wak1hekOqXhGl0H1P5Y/XyetkjTFmPNc5y9zUpolFkrGdHsXrueSluyvsV9xqv&#10;x3bFwxpEO/l7QGPNX2yMi+IA2opxYzoLvSabtV6BvC7FxRzKSoV9Ef1MTu0u4zvEOf0RHPMppS4J&#10;jgS18vQFZDt7S0TzI1Mdp/d4bdXzv9fP5Nyj1FyIcxxnb6Ty668Kdi2z4gGkKKZzIa69aff5vnD6&#10;VUv1s7rSzsaD9R/zLsQ5juM4Ts/ybwf95AP5LE79hTqDC3GO4ziO07v88tej9+hnsfUX6q0U4j7Y&#10;MS1s3nxhWPvG5PDivSeEx64dGe4/f2hYdMqPwoIJB4V5xwwK848eFOYeNTAsPOGgsPTCn4QnbxwX&#10;Xn/85LBx4/l2mU2i0vUqlkCjSckjUrhKYdWTitPInbMo9UD84jUILDI9ZR8gr5eB0o+WcLR8B1Jj&#10;RGLCC8iRaWQaHYc2Mc4CgpWUoYqQdbkQl15DTKP7mMofqzfVnhSsxxpnKZxxLrEW9LVcGrnnsQ4R&#10;J4U/3tu4z2RagLbHJDiJNV6psUzFyd81KfSabNZ6BfK6vLdT5fYXXntratazm8GFOKc/ApmMYtni&#10;M8Z2fQ+wA5qVpy8g2+k7sznO3sfTzz3a7cjU3J1jXIhzHGdvhDuG4RhMHImJYzwZh+9xjUdk4rhP&#10;mddpP9p9vo856cxXap/VQ1ZV2tp46GtC3A03PGledxzHcZz+jH4Wp/5CncES4q6/caz5wt5xHMdx&#10;nOZz9c9H/1E/i62/UG+pEFdh64cXh03vXxDWvTklvPnMaeHlB04Mz80/Jjzxm7HhoctHhAcvPSw8&#10;/LMjwlM3jQsr7zs+vPXC6eG9P5wbtm6bZpbXLCpdr2JJK5qYwAGphmIMpBWIMlq6StWTitPI3aUo&#10;8HAXOGuHq5hcUi8QUSjzAC2mxMZIkmpTjkwj08jrGBvMA4A8I9uJ71FvGRkOSGGqaH4oH1pCU24Z&#10;FjljAmJjz/FOzUlq3lLzJWEa3cdU/li9cmdDeb0I5omNM9cE7xXcQ/gZa0anTdHoPc96ASVWCm8p&#10;0RR1ojwtvqbmr544ueYQp3eOTK3JZq1XIK/nlttfePbFyVnPbgYX4pz+BnY4k2LZppceru50xp8h&#10;yFn5+gKy3S7EOc7ex4JF89bqZ7ILcY7jOHFWrlzZJUClgByFtFYZTvvQ7vM96thJq+Vzer9BQ56p&#10;tLfx0Coh7oYbngo33wyeqHLLrOVVZnXC6zfdBOwyHMdxHGdv4NoZS2qewyD1F+oMrRHixofbbh9X&#10;YXy4Y3Z3br+j42tHGiu/4ziO4+w9XHjJyI/1s9j6D3nrc/cjT575hfWivhlAjlv71pSwasWp4YW7&#10;jq3Kca8+MDGsfuGM8O7b54YtH7ZWhCOVrleJCTSSmMAhd2iLHXWYqicVZ6GlHoo5FOQkUrzRUku9&#10;pCSx2BhJYsILyJFeZBp5nTtIpequB46vJRxKmM46kpXtzZ1jiexvbA7lnOijIlPjTbimrLGT+bX0&#10;ReQ9oNuYqj+2XuRuYLF7yoJ5YuMsy0VfWH+ZY3RBo/e8nC+0Se5ep2U3nVbGkdg41hvH3eGwpuV1&#10;krpPW7VepQys8/RHIKTrZzKe05X+m8GFOKe/gR3gKJXh6E9ce+KaKTWyWerYVLmjHGS6XdvfCr+7&#10;+cqa6/h+zbLZZn6w7ql7wjMzL67ZqQ6gPY/89JRqvJVPppVCnK5b5pHwqFOA+mUcxkW2B5IgftZH&#10;osojU4F1ZCrGBWMq06FduNaXj6R1nL7Ob2/5bc2LctD5uM4KOq8LcY7j7A1gZ7CpU6eGgw46qOtz&#10;H4A4hWvYNWzz5s1mXqf9aOf5/tGIsVtqntWDhsyptL3xYP3H/KXT55gv7HOB4DbrluVh9pyHw113&#10;LwkPPHRXWP7kvPDMc7Mr3FH5fm54cNld4b4l94WFdy0Nc+c+Em6upK8tx3eKcxzHcfYO8NzVz+LU&#10;X6gzWP8x35AQd/u4cMecI8OdC48OS+4/Pjz6+KSw4pnTwnO/OyM8+8Lp4amnTg0PPzYpLHnwhHD3&#10;vceG+XceFW6fPd4uy3Ecx3H2Ak6fPGKnfhb3BSEObNl2YXhv7dSw5qUzw5oXzghr3zg7bFh3Xtha&#10;uS7Tbd1Rm6+ZVLpeJSbQSGLyiJRstMwCpOxi1ZOKs5D1SeHNkpWkeGIJMfXCMnWbuUsaBCt5XRIT&#10;XkBKtLHSyOscF0g8sbz1IHcri8lPck6suhmXO8cS2V/0zWqDHFNdv1wjVttk2601IsvGvFrrjPcG&#10;2qfjU/Mdu6ek/BQTEdEvHcc8sXHWIha/j4lbMRq954G8V9gW676RZVnSK/rE3eWs+YuNcSqObbN2&#10;OwSp9d7oek2tF4qb1jrrb/x21sSsZzeDC3FOf0PKY5TCIK/xGoDgpvMRmQ4SmZS+NFY5uGal1Vii&#10;mYyXQhwkOhlnCXW6jzwaFkKfHBMLWR6+l3G6j2i3jNfIdjuOU47JF15Y+6K85FFqtXmHhhtvm73N&#10;eiHvOI7jOE7Pc+DQIz6Vz+n9Bg29rvMR3lhohRB3883Lw7y5D4cl998Xnnp6dnj9zd+Edzf+PGz9&#10;8IrwwY7Lw3uV73HthRdnhSeemhuWPnBPmDvvYbMsx3Ecx+nvTDn/NzXPYZCz3XuzhTjIcHctOjY8&#10;uGxiVYJ7852pYcOmaZVn9yUVLg3vbrig8vyeEla+dGZYvuLk8MCDJ1alOKssx3Ecx9kbGD/hsC/k&#10;c7jybN7U+ZiuCb0hxG39cFr1SNRNWy4MmzZX2Hph5eeLWirAaSpdrxKTViQxeUQKKxBJKMjgq5Q7&#10;gFVPKs5CykIUYVI7XEnxB22X8g+kEvyM/JBMZD6kxXWZHnWnBDHZX8o7SCOlF5mG14iUabQoY6WR&#10;19E29IFxEowT+xMrN4YsF1/RL8o4eo5j8hbjc+dYIvsL2AbEoR1FQhvSyLzsP9pO8SmVX/YPQEqS&#10;Zcj1YPUvNd+oD9etemXbsIZRF67LOnU+pk+Ns+5zTPpK0eg9DzCHTMP72BLeANefHHvMK9IzDljj&#10;mBrjWJxcU2g/1zv6rcdP30+NrtfUesHvIsZhzFAu2wZQN9YK6tS/m9qNi68+dk/tM3nIrkq/o6GV&#10;Qtz7Lz4UnvvtpY5TBevBWifNRB+XKndxk8emQnKT+SQyfw56RzS5C1sROq+Mk2KZltCwE5vMB2K7&#10;4OUIerlCHOQ6OY4W7SjEfbLhJXPNOk6j7P5wjbnmYkw88+wP5fO47FFqMi9wIc5xHMdx+gbrN2ys&#10;eUYDfBbvfIQ3FlohxN0x+9GwbNnCsPLlm8KaP/wqbNj0s/DBR9PD7j9dHb746pqw7aPLqtfeee8X&#10;4c01M8OLr9wSHn18QVh0z9Iw+45HqkepWuW2K+PHT67+h9I3vvH33eKmTZsV/uVf/k/Yd9+B4fLL&#10;F3SLr4eDDz6yWibqteKLQDvR3nrzt4LUGLYzmHf069vf/mczvp3hOhwxYpIZ7zjO3zhjyrU1z2FQ&#10;+d1QGJotxN151zFh+ZMnh9+/fnZ4593zw8Yt08L2j39aeXZfHfZUnuGQ4tZvujD84d3zKs/vcyrP&#10;+TPDo8tPCvcuPi7MW3BUuP0Ou1zHcZxW89SK3wQGfG+l6au8+OLc8PXXf662/fU3lphpnHw4luvX&#10;v2DGN5sjjjrsT7XPYvsv1K3P3Use7r7zUX+j0vUqKYGGpMQSKQVpIGdQeLHqYbqcNhAtpRTtcJVq&#10;H9FiEPsbA+KJTA8gBElBh8i+pYQXKdNo0cZKo+Nk2SmstqfA+Fr9kmC8pJwjYZoyc0xkf1PziPmj&#10;mKWR8pUG7aY0aa1tjiniUvVbu5vJ/EDHcY1Z9WIsuSOYhSU9MS41zlKqAmXXAmnknid6TcXWT2r+&#10;AMfJGsfUGMfiisZexun7VK7XVLvRd2u9ptYLKBoLErsX2oWTp4zLenYztFKIW/3gHaYw4+ydYD1Y&#10;66SZYEc41gdxS8bpXdZw7KeMJzINQDncbQ2Smd5tjXEEAhmEO7RFimaQybS0pneJk3FaLJMimu4b&#10;0MeX8roU9DAGaAeu4yvqR75cIU7HyXw8RrUdhbhtb62o6ZfjNAvIltaai3HwyNpneNmdY2ReMGvO&#10;/J3WS3nHcRzHcXqWN95cXfOM7qD4JLWs0AohbuHdS8NLr95Y3RHuk88vD9s/nl59of7hp5eFHRW2&#10;f3xZ2PbR9C7e33pVWLX6uvDMc7eFJfffE26//XGz3HrpbZkKQhDqB6m4ZolDLM+qL4dmt6cZpMaw&#10;nWGf+lu/QH/um+M0myOPP6/mOZy73Xszhbjbbh8blj54YnjjrXMrz+afho934hn907D9k8rz+5OO&#10;5/eHle+r13ZUqHx9f8u0avpnnjutesTqHS08PvWhZdOrcsPu3TuqogMDfsb1u+4+w8xHEM/8lCUY&#10;cG3b9jWFEs2XX+7szBGq31tpNPXk0aBtOuRIMzt3bulMbYfcsZO8/c7j1XK/+vMXnaV0BPTt44/f&#10;K2yXFH9ioZ52yXFGQB1YMzIN5rfewLagfzKwv4iX/cqda4wZA/Lzes44MaAMWaaFvH/03OEa5tXK&#10;1ypkvzdvfs1MUxaMGQO+t9L0VTAGDM0aj70Zhp4ay4GHHvqXmmfxoCFzOh/TNQE7v9akq7A3CHEU&#10;UrBrkRUv69+aPwAA//RJREFUoYSGr1Y8RA0pikCIgdwBuYR5rXrKtIFIqQd1Wmk0EFXQDinhoI2Q&#10;YVC3lnEglEAWkn1CXpSREvD0LlLIL9NzhyiUJfMBufNWbIcnptH55ZhgLmQc+ob+UwBKlR8jNR66&#10;Pg3lqDJzTKRghO/1+Mp1ZuUnGB/ZdnzPdnNOUK7OxzgIYPjZKifVr9R8sx9WvQB9Qt9kfegv5sES&#10;nlAH0hSNM9OBsutAUu89TygigiIxj/cv06MPmBOMA8fYGsfUGKfiOPZcu0CuGY6hHj/en8jHn1kP&#10;r6OvsfWaWi8EfUbfZduQHvd3bG20G0NGjfi65pkceXYzuBDn9BQ9IcRJKUzvoqZ3WeNxqhqZBmhx&#10;rszxq5qUbAZknBbLpOwH5O53aKOMk5KeFOIgylGIi1FGiNNCX7viQpzTKsoKcfp5vN+gIdM7H9dZ&#10;Qed3Ic5xHMdx+gb3PbCs5hkNck5SywrNFOJumfV4mDvvofDQw3eG1Wt/Fb78yzXhv8Ivws49V4aP&#10;Ppve+TL9sur3n+66orrbzFdf/7z6M45RfeW1G8OyRxaGO+541Cy/XnpbpkrVf9ppV1evQ9Y755yZ&#10;3eLrAbuNoUzsPmbFF8G2uhDXGDk77XGHuHrnqlU0QyJtdB06zt7EsDEn1TyHc7d7b4YQN+vWcWHO&#10;3CPD3fccE558+tTw7sYLwl/+e0b46/87o/qsxjOaQtzHOy8Pn+6+Ivzxq5+F//zrz6tS3Lr1F1Se&#10;32dXnt8nVsppzfGpkBqK5CBIPjGhLSc/A2SvmIilg5VGo4OVJgXaYgVITFZ6SW7A2MTGjkD80iJV&#10;LEAGS81FbshpF9CSGoOWYaQwVTZQsNLtl3Xo8Slqu55brD3GlRmnorWAduQEzFts7TcT3W/Ms5Wu&#10;LH1ViIOIiJDqJ9qLeNCX2t6uMOjfAa1CP4djf6G+twpxTv+BYlJKLIKEgzQAgpGVpq+hhTgrjVMO&#10;ipFYM1a84/Q2A4Ye+l/yeVy0u4wLcU5P0WohTkthUhgDEMFkfOzYVJkmttuZTGOJdagLUhryS0lP&#10;U0aI0/2Twp+W5eRRrHpXOuwuh2tydzdJSohDuTIOQLJDX4tEu76MC3FOqygjxK1d92rNs7iDcjvH&#10;6PwuxDmO4zhO32DuwkU1z2jQ+fhuPFj/MV+vEDdv/rKw7JE7w8qXbw7vbvx5l/SGXWYow/Gl+o5P&#10;O6S4XV9cVd0lDkLc71+/Pjz66IJw+14kxPVF2FYX4hqjL45jLu043o7TzgweNr7mOZy73XszhLjb&#10;bh8XFt1zXHj8qZPDq69PDhs3Twuf//HKsPvLq2pk9o7n9/Tqtc92X1FJc1XY+uGl4d0NF4ZX35gS&#10;Hn5sUpg9p/k7xMmdpIqCJQaVyc8QE4N00PEWOlhpUmDnrljQO6BpygSIODEZKtWGWEB5lhBWRvRC&#10;SLWLxOYYgppMlyuGWYFtSAlxeic//Mw4Cz2ucpe2MuNUtEOcFMWKQlFZzYCCmAxFOwvm0FeFODmX&#10;VrzTfBjk/dkqrpkxuuYZ3IH9H/IuxDntTmUZV8GuVlY8aEe5zIW45oLdwzieRTv7OU5v8PzL59Q8&#10;iwE+V1fWbDTg2a7zfLDtbfNlfVnef/GhsPScYx2nyrqnFpnrpFlIKcw6UhToY1MtKUzG5whxlrgm&#10;jzdNUUaIA/q4VkpoUrrT+ZBG5yP6uFSQEuKA3mlPgjloRzEO0pK1Zh2nUcoIcQ8+uqTmWQzK7hyj&#10;87sQ5ziO4zh9gykXXVbzjM49SS0rWP8xf8HFt5gv7ItYdM/94YUXZ4V31v0ibN52ZfUlOqQ3vkzv&#10;OHat4+g1wJ3icKTqxs0/C2+9/euw/Mm5Yc7sR8zy66W35Z52k4vY1r4kcrWjoNUXxzGXdhxvx2lX&#10;rp3R/cN80X/IM1j/Mf/rmWPMl/ZRbh8XHnjwxPDK61PCug0Xhi3bL62K7DjyvON5zWf338BOcYjf&#10;9uGlYcPmi8Kba84Njz9xcpg9t7lCnCXOYBctKVpBpIEIh6CFOEsqgvAj8+N7S6iyZCYddLyFDlaa&#10;FOwbgj4WFONj5SEy6LHBuEE2k8E6NtOSqVCWFJgg5mGsdXnWsaF6TqSwAukMbdDlpPqJPDK9HiM5&#10;1zF0sNKQVPtRlwxayNPoI22l+JeqpyyYQ4wR1rQUxdBePV5IJ/O2AtaJ/nPumiHiuRDnEIZG7ptc&#10;Lr5sZM0zGOw74OCBnY/pmvC9AcP30Wnn33uq+bLecfoi3CEORydCdJLHJuJ7XOMxjzzOsR1wIa65&#10;4KhNjmfs2E7H6U0ee/qsmmcxiD27GazP3dilxnpZ7zh9mVwJTaKPVQUyvqwQBxmsTDvKCnHYiU2m&#10;gZymd46zjjFFu1BXrG1yN70iIY5p0D6ZjkC+0+kdxylm4b3za57FoPNRnR0qz/RdMv/Mm279ynop&#10;7ziO4zhOzzJs3HE1z/j9Bg1d2vn4bjxY/zE/5fzfmC/ti1j6wD1hzR9+GbZDdtvJI9Y6vuIF+kef&#10;dUhwFOQQh5fu+P6DHdPD+vd/Hp574fYwd97DZvn10ttyT7vJRWxrXxK52lHQ6ovjmEs7jrfjtCvY&#10;lVU/h/Ef7pX7rzBY/zGP3Wqsl/Yxbrt9fHjsiZPDuxsvrD6X+Zy2nt/8mem2f/zT6i5x6zZcFFY8&#10;e1rl+d28I1O16ISQkhsgTckjJ638lvBFLPlOCkpABxkXQwcrTQyIZjJAYJJ9soQziQxaiAO6z9b4&#10;SiEPISUuoX066J2/pByEYNWpd05LzbtMi7HRbSjapQ3oYKUhRe3PPTYVa0sGuXZBzjg1A73GEKx0&#10;zULOD6Q1KaPq+60sLsQ5hKFV943krKmH1zyDQewv1K3P3TfPmWS+rHecvsjyFRO7hLcUkOGQ1iqj&#10;L+JCXPOAAMc1AjHOSuM4vQ2evfp5XLS7DIQ5nceFOKfdgNBlyVlFWDvJyfiyQpxuB3akg7DG+CLZ&#10;TMZZdUNsk2lQPsqQ14p2aEMbtcwmj4/NEeIIjlC1RDtLynMcJ83USy6peRb/sI6dY7QQ9/PrbjBf&#10;yjuO4ziO07MYQlzWSWpZwfqP+TOmXGu+tC/iwWV3hXc3zAhffvWz6lGoHS/OO9j+8WVh20dgehVc&#10;wwv1Djp2ktv64RVh5cu39LgQ941v/H01btq0WWHGjPur6f/hH/5nV5599x1YjbPykssvXxAOOGBY&#10;V1n4ip9ZHsvS+VAu42QdLOfgg4+sSa9hOildob24hq8yreSEEy4O3/72P3fVje9PO+3qahyvyTIJ&#10;y7biCNs0fvzkbnHnnDOzOi7/8i//p6segPrRV4yXzgNSY5iC7UW9+Bl9lHWj3lRfMK9oF/KwXwDr&#10;A/3Q60LOZxlSc4W2I17Wz3bHxgtjL8tlGcyP9qfmNwbGQeeJwbLYBguMF8ZR3m8cW86ZBcuudx0y&#10;DvUDrglcl2VyPnEdP6fuc+axYD6rn4iTaeUa4j1pgXxMhzxWGqc9wDNXP4dzt3u3/mO+rBB3+x3j&#10;w5MrTg2btl4c/vSXa8LOPVeq5/dPq2z7qAMKcRTmPt19Rdi87ZLw/O/ODPPmN0+I01JU0W5bGi17&#10;WUKYRstMemcyHWRcDB2sNDFkH9h/vZtd6thUGaz+S4EIQcsjUl5CgHBWJC3p9tUjehW1SyJ3WaOs&#10;J+cxZ93oYKUhRe3Xx6bqNUQgCsqgZc2ccWoWOuh4rDGKmDmCYQqOD+dFjkNKWCVYfxgLOcdYA1ir&#10;RUIcykdavSse7o3YPAGuMZaJNktRFOVZ8yPXZpmAvuiyOP6IS42BzidBH3XfdUA5Vl4LjAfuOS3N&#10;og7Mc+x3BX+vsS6UI8cK/cpZ75hP2R98TwGXoZX3DTn6xOE1z+D9Bg/d1PmINoNMC1yIc9oN7AR3&#10;5tn/HgYM+qeuzyIAEhSuYZe4dtsVDPIe+9FOIl9fZN7CsV3rweVCp69ywfSja57FRc9uBOtz96uv&#10;PWu+rHecvgp2epNCVhnk7mhAxpUV4rScBrlM5mtUiAP62Fd5XCrirDwWuhxeLyPEEb1LXU4ex3Fq&#10;GT7+2JpncT07x+C5L8u49KprzZfyTgebN28OI0eODAcddFBYvny5mSaHffbZp/o5YebMmWa84ziO&#10;s3ezfsPGmmc8yD1JLTvoCuoV4pbcf294463fVI9L3f5Rh/CGI9Wwi8zWDy8PGzdfFdZv/HnY9MFV&#10;1Zfr2B0OaRD/xZ+vCR9+Mj288vubwvz5D5nl1wsEl0o3q1jxjIM4I4UVCcSXmHQCaYWCjJVPSkY6&#10;L6QfxkkBiHmQX6aXoF7mleIM5Z6YvMR4Cwg6/N6SjZg3JSLF8kvRJwb6a8lFRXMYg+3F+Mi+aWLS&#10;VmxeJXLecvpoEZsryHhWegIxLjVeKDdVBsZE5pNr1SLWTguOfSyPnNMYMSGUZdezDmUc7nk9x7K9&#10;8v6ERBpbD7F5AKl8AHH6dwvTx9YlkPNaJOQ5fZsjjz+v5hmMv1SrzGtW2G/A0O/X5h0apl81ynxp&#10;H+O228eFRx4/Kby99oKw5cNLqgI7nst4fuMZ/cGOS8PGLdPChs3Twtbtl1SFuI7n92XVo1O/rDy/&#10;IcqtfKm5QpyWSVLCioWWNHJkG8gTMlCwIjrIuBg6WGliSNmDIpIWqVLChwyWEKflLcokpGg8LKSU&#10;hKCFNF2m1X6dJjb3EG5kYPt1vyw5SqKDlYYUtR9SkgyYQxlPtDio5aGccWoGej1Z60TOqRVfBkpc&#10;XM/yWlHZEPOkBKaDHFM955SwUiFWP64jYKz0vMmgZTL9Oyw3WOuVAf2IjQF3SNR5gfxdkgq6DzH0&#10;OrdCTKDl2sa46ntVhtTvG86JFeQcteq+kYw+Vglxg4Y80/mINoNMC3554wnmy3rHcRzHcVrDGecf&#10;WfMsLnp2I1ifu12Ic9oNuUNZTCQj+thRfWyqjCsrxGFnNBmHsrljG+KkvAbqEeJSu+FZO7OhTrRD&#10;in/Y2Q3ly7yMSwlx7APGEGXI67E8juPkYQhxpXeOwa5ysgwX4tJAgqsMWxVIcVaaHFjGFVdcYcY3&#10;QhnZDnIf0uKrFQ/QZ8SzXPDd73632v+cOpB/4sSJ1TzM/4Mf/CBMnTo1rFy50swjgYSIelCfbgPK&#10;Xbx4sZnPcRynnXl+5Us1z/gO8k5Syw56m9hJp19pvrQv4u5FS8Mzz98aVv/hV+H9LR07xO3cc0Wn&#10;EHdFeHfDteHttb8IGzb/LGz/+G8v2/FSHS/U8fWV12/sNSGOID0FEymzQJbTeZGO8fhKOQrXLeFH&#10;548JcTHZTULBS7crJSLJNiE/+4m6IfUwDlgiUSMiEqQfjBFEHtlXPVaWBCXjdVwKtlcKRpSPsMOW&#10;FMCsPiEfxglzwLECcl1g3GQekiqXpOaKu7yxDO4khnbI+ovmGaCNHHPdb5SVyq/jckn1DXWyfMRL&#10;IQxjLdeitcMby06NLfNbaRhHMMcYH7RLjgeuyXQYc8brdavlQiAFSbn2gOwnypXrK0d2o7xr1eu0&#10;F6OOPks84KsP+ezt3pshxIH7HzghvPjK2eEP711Q3e0Nz208v/Fcxs/r1l8Y/vDu+eH9rR1CHJ/f&#10;EOOwq9y2HRTijjbLrwfuiMQQEz1i1JNfy1xakNFBxsXQwUpjoY+ylLKa7JsWziQy6L5AEJTlWOJW&#10;vVKiDjIuJXpx5ysZ0MbYLnjogwyUbzDXMqTEGqCDlYak2k+0sGS1X469JSHl1NMIGCu9BhAsGatZ&#10;O8RJ+U6OiZSiYnMNpAQl12JOPyiS4av8XYD65DqX9xlhvawD6VmGzm/Nk5xLHUfk756UEMeAMrne&#10;Zf+t3weyfvSf+VAPRTn9+6EI9B91Yu5ke/U9bK0XGY+ANrAMPZ7oWyo/7m2rPwxIq/M3m8HDflLz&#10;DC76D3n9uduFOMdxHMfpWQ4dO6LUsxsBO7jLPODp5x41X9Y7Tl9Ey1iQtax0BCKXTA+ZTh4zKuPK&#10;CnG67CLqEeKAPqKUWMelWuk0UgpMCXH4XsbFkLKc4zjFfLDt7ZrnMKhn5xgtxE256DLzxbzTwerV&#10;q5PCGa4hDml0nARpQCuEuDJlQzJD2pjcB+GM5cWw8gGIbCw/BcQ4Kz/AeEoJLgbkuBy5znEcp12Y&#10;u3BRzTMe5J6klh2aJcTNn78sPPLogvDSKzeG9e/j2LXKA+g/r66+MP9gR8cOcRs2XRM2fXBldQca&#10;7CyDl+7cSW7r9qvC7168Ocybt8wsv16K5B7GgSI5SB9vKOOk5EVwjeISsOJj+ZkvJrwwXgtkMREJ&#10;Yg3zWJIS4lEX4oElEjUqIqWItRvIcdZxKVgmsMYRfaZYZAmPKYraxLjUOKT6zLmyhDAg144UrYBs&#10;G6QrLVXJtWCNS73jLYn1rWgdMk1qXlh2amwRH0vDuKIy5BijzXqcAdtitZPiIb7qOCDHQs6zFOms&#10;+ZfxMWHWaR8GDxtf85D/4aAhcypzmxWs/5i/+LKR5kv7GNgh7p77jgtPPHVKeP3NKeH9D6aF3V9e&#10;WXl+X1UV4j7Yfmnl+d2xQ9yWrh3i+PzueJbjuNVnnz89zG3iDnE6WGlS6GCl0UCokKE3hTgpCUE8&#10;kXFSGEGgnKPJDegnpRKJFJAQpPiSQgcZp2WYomAJMUTKLxgTGScFKT1+Gh2sNES33xJu5NwhaJFQ&#10;78pWJP2kQpHsJ4ntLIaAOEsGaybcuUvLl1i/DHqsiLw3rTGHSCXXQ+5aBVj7XC9W2fI+sMYb+Tm2&#10;RUKajiOyf1bbZShaL1oq5LhYbZdjj+91fL1wzPTvUCDbirbp3z1yPnSbZZxVNuK5zhCs+Wwmv545&#10;pub5C4r+Q15/7r7iFxPMl/WO4ziO4zSfdRsvrHlud3DI5M7HdDR8b8DwfXS+Bx9dYr6wd5y+iD76&#10;M0fGWnzG2Jo8cmc1eb2sEAe0oKeRddcrxD0z8+KatCB2XKrelU6D9kiRrmiHOBlnIcfScZw8sDOr&#10;fhZXPl+X3jkGO8PKMlyIawxIaJVhrWLFE6bpy0Lc7Nmzu8rCDnGQARmHXd8gssXEP8hw2AWO+SGs&#10;QW5DPsAd3xiPa7oMLePhZ7SJZeB7maZIQnQcx2knsGOrfD7jiPPK77rmBn1u+nEnXWq+tC/i9jse&#10;C4vuWRKefGpOWLP2F9WX5ru+6Hihjt3iAEQ4gO95JBt2i9u8/Yrwh3d/EZ56enaYPecRs/x6KZJ7&#10;GGftTAZS0hp3eMJXeV0id3vScamyKadBmJHXASQY5tOSTkxEknliEg0EHaaxRKFGRaQUqXkqmsMY&#10;bG9qfmTZWnhMkZo7wLjUOOTMlbyuYRotTck+YU5lHInVDeodb0msfLk7XErmkun0+LLs1Ngyr5WG&#10;cTFRjcg5jrU1NlbyXrLWB2FfdFtSv1v4O8X63eC0H/L5C8ps9279x/zUaeWEOLBgwdHVXeKee+H0&#10;8O6GC8LHn08Pn39xZfU5DnDMeQd4fnccmQoRbttHl4b3P7gkrPnDeeGJFaeEufNciNPoYKWxkPKS&#10;lkIgxMhg7cIEcgPqKhKBEHIlIx1knJRhUkHuwmUB6UcGLQlJKQYhJXvpYKUhuv3WuKHdMmgBTLdN&#10;C0Egd5wsKShGLEAwQpvKSGRlkSKTJb1R2rKEMiAlQ2u8gBQNy/aFa90aT8bpeZTI+dJCmoyT1yXy&#10;d4/VdobYvZ7Kz2CtVRlfdsxSpPos42JzGZsPOcexexplMsT63CyumTG65vnbQfo/5PXn7gumH22+&#10;sHccx3Ecp/k8//I54plNil+muxDntDsQxyhjxaQwTWpXOSms6eNUiZTMIKfpeBxPKkU97OiGsja9&#10;9HDNka16N7ucugGkP71LXExEQ50oS0uAGDfUr3eV02XrcpEHeWUaHssKmU6mdRwnj4X3zq95DoN6&#10;do7RQtyks+K7dTnF9CchjkIbvuq4IqTsBmnNSgNw3ClENi3EQbZjftQvZTwN5DuKcVa84zhOOwJB&#10;XT6fK5/Ts09Syw4oVFZy5PHnmS/ti7hl1hNhzuxHwn2L7wvPPn97WP3Or6tHp+745LLwx//8Wdj9&#10;p6vD53+8Mny258rw6a4rwu4vrw7/+fXPw/aPLgtvr/1lJc9tYcnSReG22x4zy6+XIrmHcTlyjRZb&#10;cvKm6pfCjS47JeNQlrNkmZiIVDQOhGmsPjUqIqVItS+37ZrYWEhSc5CiKB/jUuOQM1c56Dpyxotp&#10;rLHJyV9ETt/kdU1qlzSWrfstYV4rTSpOkrM2ZJrY9Rz0OKHPjNOiJnfPi0m8Tvtw5dV3iwc8yf/r&#10;Nus/5s+aerj54j7GrFvHhdlzjgx3Ljw6PLRsYlj58pnh7XfPD5u3XVyV3v74VeX5/eVVHc/v3VdU&#10;n9/Y/fU///rz8MGHl1ae9VPDMy+cFu6//4Rwx+zxZh31oIOVJoUOVhqNlEoQtIyhg4yLoYOVRqOF&#10;Ki1+SOEDISYRlQ1avKOUwpArzOgg46QMkwrWzlESSFUy6LRSnEHQfZPoYKUhuv0x4UYKjQiyfTJO&#10;72xHcscp1S+NbpMVypRXBilxWvMq5xPrX8fHBClJSgorIlV+o3XLuZTXJUVtZ4itN8Cg83PeLZlO&#10;1muNe72k+pwzHkyjxzwnL2BIjVczgICun8FF/yGvP3e7EOc4juM4Pcf8e0+teW6DnJfp1uduvJi3&#10;Xtg7jtN3kFIe5DTruFTHcdqDy6+5uuY5XO/OMfsNGrpUlnPkxNPMF/NOHv1JiKu3jZDbmBc7y1lp&#10;JJDdILXxZxx9yvyQ4WRcipQ05ziO024MG3dczXO+zElq2UH/x/yoo88yX9zncNNNT4bbbns03HXX&#10;0vDwo3eG1974bdj20fTwdfhF+PLPOEb1yg7+eGX1ZXoIvwrbdkwPv3vxlnD3oqXhttsfq5ZhlV0v&#10;RQIO43LkGi3F5ORN1V8k3FB80btHWccskkZFJKax+tSoiATQTwh93AHLQufJbbsmNhaSojmAjATx&#10;iGVZWPkYlxqrWPsoPOaihcmc8WIaa2zqHW9JrG+8bh0xqmEb9BiyjNTYxvIWxUmK1oZOI6/LHe5y&#10;0HJbbLdGKQrq3SGd9uOCi2+pfchXKPvXbTp/WSGO3H7H+DB/wVFh8f0TwhNPnRxWv3Nu+Ghnx/Mb&#10;Ujuf3xDj/vLf11af31u2XRye+90Z4e57jw1z5h5pllsvOuhdl4rQISe/lqi0jKGDjIuhg5VGI3fD&#10;wq5aVhp9bGpKokHQfcF4QELirl0MshyKQAzWUY0aLeshyHgptCBQWEF7dJ9SAhJ3FEOISWWyb/g+&#10;JtjpYKUhsfZr5BwicOwgHckQ2+Uqt55GQN16jhFaURfnNjZXct1YUh7bmVoTUu6y7geAeUAbYnKg&#10;VX6jdcu5lNclRW1nSM0NQ6p+3PO8D5CuaGe+IlAG5kvejzroPDnjwTR6zHPyAobUeDUDPG/1M7jz&#10;0RwN+nP3Gecfab6wdxzHcRyn+dw8Z1LNcxt0PqILg87nQpzj9G2wAx1lOJDaTc5xnL7P1EsuqXkO&#10;47N15yO6VMALdlkOXsBbL+bbCSlUWUdxAoprqWM2KYvpHc6QB9dx7CevQfxinRZaOON1ymb4imNF&#10;eR3loR8yTy667BQ5QpwVl0KORT2SmjwGtd4xcBzHaWc+3PGReL53UOYkteygt4ltRIgjt9zyeJi/&#10;4KHwxFNzqru/bdp6Zdj8wVVhE9h6VXi/kw1brg5vrrkuLHvk7jDr1uVmWY0CmaTSzSpWPONy5Bot&#10;xeTkTdVfJNzI41Z59KU8TtM64jMmIhWNA2Eaq0+NiEhoP/MXIfOB3LZrYmMhSc2BHP8U1twxLjVW&#10;sfZBgGR+eT2XnPFiGmts6h1vSaxvvN7fhTi5w1ssbxFcB3KsuCZzxs/p+5wxpfZcdIC/Pq/McXb4&#10;4eAhu2T+U86qT4gj2C3unvuOqx6fuva9C8LmbZdUxbdNW8EllWd3x/cbN08Lb7x1bnjw4Ynh9tnN&#10;leGAFixyZCyJzh8TjyRaYtIyhQ4yLoYOVhqNltRygiURyRCTeeTOXQiyHD0e1g5TmiKpUAotCHKM&#10;IepoUcmSg7RUlhtia0gHKw1JtV+i20gRLEd2BLn1NAMKXwy4d6x09QLZsUywxoVtjK1jgLXCoNcN&#10;5iNnhzyr/EbrlnMpr0tS+QFDah0wWH1PBYw30sg8ReBe5bgUBZ03ZzyYRo95Tl7AkBqvZjD62OE1&#10;z++c/5DXn7uPP32M+cJ+b+KaGUOq/7b95jf/zoxvZ6ZdOjj843e+1fWZYNjwfw2r155jpu3PzFs4&#10;Nvzv7/2PrnHA9xwHXj9mwr7d8rUbmF/OsxXvOE7vAxFdPofLvEzXn7tnzZ5lvrB3HKdvII9jBRDk&#10;rHSO47QHw8cfK57fFercOQYv2GU5g4eNMl/OtxuU1mLHdfI4UGBJc9iVjPGzZ8+uieN1KZzVK8Th&#10;aFDZFgn6UI8QxvyNCnGyT3oMUnDs6zlqFbDOsiKe4zhOf+GNN1fXPuOr5J+klh20FX/IEceZL+7L&#10;cuuty8Pdi+4Pjz0+Lzz3wqzwyu9vCK+/9dvw+qrfhFdfvzG8sHJWJW5+WLzknjB33iPhxpvschql&#10;SO5hXI5co8WWnLyp+ouEGwhvjMeOU7jG3cP0rnEkJiIVjQNhGqtPjYhIsn70Qe9ulWpfKi5FbCwk&#10;sTmQ15Ff78JWNHeMS41VrH319pfk5Gcaa2warR/E+iYlQ3ldI3dC49onLDs1tsxrpUnFSYrmWKeJ&#10;XY/lLULKr7xfuGuktTuk037giHL5/K1nu3f8J74s4+gTh5sv7sswZ+5RYcnS48NTz5waVr58Vnjt&#10;jSlh1VvnVAW4V18/Jzy/8ozw+JMnh/sfOCHMW3B09dhVq5xG0DJWSkaxgNglgyWMabQwoyURHWRc&#10;DB2sNBItlOUGSyKSITZ+UsRBkOm0LJezi5Qed+xIJeOl0IKghRVdp9VuvTZyQ2x3Mh2sNKSo/RK9&#10;nrTwl1qTZeppFF0XgpWuXvTxtjlBC6xYBwip3wMpqYz5cZ+gv3rHyFT5jdYtx1del6TyA4bUOmDQ&#10;+SkHIy936kPAWsQazNk9UyP7hDL078pUn3PGg2n0mOfkBQxIb8U3i+HjhtU+wwcNeabz0RwN+j/f&#10;Dx07wnxhvzcBaawyNFWs+HblzLP/vatfkvsfPNZM31+BDJcaB3lN5203Bgz6p2o/8NWKdxyn99FC&#10;XM6zm0F/7sZONdYLe8dxep8P3362RobDcalWOsdx2gctxNW7c0zl2T9dlgOsl/PtBncZs3aAw65l&#10;iCOQ0nQaCGCM17uc8bolnOEa43WchGkI8vFoUNRNqQy7xum8RbBMjAFkvxSU8Sz5TO60xzTIo9NJ&#10;ZB5rXItA+cwvd+BzHMfZm3h+5Us1z2Ww74CDB1Z+NzY36P+Y3//gw80X9/Vw222PhwV3PhTuve/e&#10;8PAjC8LyJ+eGx5+YEx59fEFYvOS+MGfOw+Hmm5t7RKqmSO5hXI5co8UWyimWVERSAlCONMOjRSnA&#10;8bhULQmRmIgkj3CM1RU7ppHEyiap/LofmtQ8Fc1hDLYXdVvxwNqFT17HeMv0pGjuGJdaVzlzpUW8&#10;HHLGi2msuax3vCWxvsmd01JHfsp0eifEWNmkaB2n4iQ596dMI69LmRVrScaVgfc7ypB1WbtDOu0H&#10;dmSVz98yf6HOoHebwY411ov7ssydf2RYdM9x4YFlJ1ae3aeEp54+tcpjy08O9y89Icybf1S47XY7&#10;bzOAYKFDapc4xMmdraRgwqClDYkWuSz5Swcdb6GDlUai21EmaIlIhpjMowU0uQscBC4IRDJowU2i&#10;y0LQso0UWhAsYUXXqcvQolmZwOMiJTroeElO+4kW9/TPqV0Ly9TTKFKSQmj2DnEUsmJCIsHcMOi0&#10;8r6Q1yVSJpVSmCw3tn5T0hvjUuMi51avMTmX8rqkVUKc/D0q0zZK0Zym+pwzHkyj50P+jrHGCcj5&#10;To1XMxg87Cfi+V0h4y/U9efuQcOGmS/s9yZaJcT15m5d2P2MfcLOZ9wNDXLY3rZDHHeAw9eVr5xe&#10;vbZ8xcRu8f1hh7hWCXHYPRHlYjdFK95xnHwgosvncJndZfTnbhfiHKfv8vo9N9bIcK/M/YWZznGc&#10;9uCDbW/XPr8r7Dd46ITOR3SpgHy6LBzVZr2gbycWL15c/cwAtMQlZTdgSWfcHc3a5Yz5miXEWbuv&#10;yXLKHjsqy84lthublPNk2pgYJ4U2a3yKkHNTJN85juP0V+57YFnNcxn824CDv1P53djcoK34Zgpx&#10;N9/0RJg16/Fwxx2PhLnzloX5Cx4MC+58MMyb/1CYfcej4eZbnjDzNZMiuYdxKTmGabQUw93agCX3&#10;SLEJ6Pgc4UaKQbI8KW9JYrKQFHQsKQ3lUVoD1niwv5B0dP34WY6Hzk+xB2nkdcLjIYGOK5rDGBwL&#10;YNWLNrNderzYntjRlEVHYkqRSceR2FyhXSxbx+WQM15MY5Uv+6bnOZdY34rWIUCdKdm0kXUIUnGS&#10;nPtTptFxvJ+sduYixUz2KyV4Ou3FsDEn1Tzky/yFOsN+g4YulWVgxxrrxX1Zbr9jXJgz58jKc/vo&#10;cNeiY8Pd91RYdFxYeNexYd4CyHDjzXzNRIs6CHo3IkgRMp3MT5GFwdodCmVZ9aSkFAYdb6GDlUYi&#10;ZTBLzpHonbcwNjJeBl0WpBHIJVo+05KWlFcY9BxgPK10loyi01lpLJGMcahXBiu/RM8t+qzT6KDj&#10;JTntJ7qtcqzxvZWHlKmnCIwB5h99l2sf3+uxRmikLo0cA2vsNXK+pFgmRShLakM9cnxjUpjVBtRD&#10;ydK65+TvEX2PAeRn3VZ+eZ/KPknQXobU757U3DDE+p6SWcvC/lrjAWK/k4Fc2zqOMI0eT6xZBtQh&#10;4wDGl7IeQjPXsoV89oKcv1C3/hrdemG/N9EqIa43d+vC7mfsk5S/9kY4DnuDzNWqNccxxL1ixTuO&#10;k49+BpfZXUafrnLUpFPMl/aO4ziO4zSXteterXl+d1DfUWrIp8vCUW3WC/p2Qh55qncqo+wmjwTV&#10;0hklMGuXMuZphhAX20VNimVlxTDmK0PqeFKMDXfc03n0uDUqxMnxs/qN+WC8pt4jWh3Hcfoacxcu&#10;qnkug8rvueYHy4q/buYj5sv7dqRIDmJcSo5hGi3FSLkHkgrjcV3WS2RekCPcyDooCcWkMhATkYAW&#10;hSjpYBcyKcMxXueXRzgiPdqG62h7UX4KZhB75O52Vt0yH5BjqeNScCwI2sA2Q2CU9erxl1KYHCvk&#10;k/KelRewbvSXsiT6yvplGmuuKEIxXu4Uh7bgZ8wnypf5QM54MY1Vt1yXXGtot2xDEbl9w1hKmVSv&#10;B0s0RRrGl12HIBUnkeNgzbFOo+NkO3HvYt1LMQ55MRZyjWhwnWUQef847c3gYeNrnr1l/kOeQe82&#10;c8Ahh5ov7tsRLTcUBb2rG+QJKcnkhpi4kxtk/tyAPFL6QSgSWKQcgoC+SuGmbLBkHlBmDhhiooyU&#10;YRAsYSXVL5QrA4QfnV+ix9Tqow46XpLTfklsN7vY+BBdTypYYpBECl1FAe3V0pa8j6ScmENq5zQL&#10;ucubvg85lmgL41Amvtf3uZbKGI+1zDgrr7U+9PhhvDEmiMP6k/eHJbPhGgPnHfmlfCrTWGUwpNYb&#10;g84fu3/Rb/QN/dFjXQSFNzkXAH3S9cl8QK5tHUeYxpoP+TsA6biurLpT49Uov545pub5DXL+Qt36&#10;z/d1Gy80X9rvLfRHIU4eE2rF7y3InfL2hqNiXYhznL7NG2vOq3n+gjK7y+jP3QcdNsp8ae84juM4&#10;TnN59bVna57fYL8BQ7/f+YguFZBPl4Wj2qwX9O0GhTe9AxxlNxzvaYlvcnc5a3c2xjVDiEtJY0xT&#10;rxCXI6RBakPalBBHKMbJHePwPcaRaRoV4qTwVlaIAzq94zhOO3LpVdfWPJcrn9M3VX7HNT9Y/zF/&#10;5dV3my/v25EiOYhxKTmGaSwpRu8CJ4GcI8UqnTdHuAFawEqJSSkRCTKOFoYkGAPmj42HlOo0kHti&#10;+SH2QPzReYhsl8wHiuYwBtuCsov6rfMWjZWMs+ZOylASmTY1VyA11sTawS5nvJgmVrfV91hai1Tf&#10;MLZ6TWu0OKmpdx0CprPiJDn3p0xjxad+P0ikKKnRcyGlOqe90c/e+oS42t1m+pMQByA75Ag9EDMs&#10;OUoLK6mAMvQOaZLcICWM3IA8lEwYKN2k0H2TckqZgLpjwhKu67alQkpCQZwMsbR6ztkvKS9pAdIC&#10;bddBj6sOMk6T235i7cCGkFpnQNeTCpY0JIm1QQesJWvNSVmrqC4N5wvrx4q3YB60R17HvSznXwbe&#10;uwxaCsP6SQXeR1b/uBaRRt9vMqTWgpVP1tVKIU6WnQp6vFOk5gJB9lfnlWtbxxGmseYD93TRPHDO&#10;UuPVKNfMGF3z/O6g+C/Urc/dz7+8dx2hqemPQlyr+tRuyJ3yXIirH46hC3GO0xh43upncM6zm0F/&#10;7nYhznEcx3F6hgcfXSKe3R3Ue5Ta9wYM30eXhaParBf07YY8fpNiG+Qt/AyRCz9z5zMphGHXNlyz&#10;jlIFLHNvE+IIxlLurifzNirEyfzW7nwWuWPuOI7TLky56LKa53Llc/qqyu+45od9Bxw8sLaioeHS&#10;6XPMl/ftCIU0ayctQEkL6ax4wDSxXZwgxUjBB5ISZBuIKxBdYvXL3Z9iZQO9I5aVhrAd+GrFo01o&#10;G3ebY1oKPxSNUuORys/6rfwYC5TP8ZR5ORbWOBXNYQwtZaXabWGNFcafolbRusC8SZkJ7ZDiE8cK&#10;X2U+CdeWHDO0B2VhXCw5Kme8mCZWN8qVc4U6MRZWWgs99hYYR903jBeEtpQgRupdh6zPipPk3J+p&#10;dUu47mVbkR5jk9NXzhWIzZfTflw7o/uH+TJ/oc7ww8GHTNblXH/jWPMFfjsDqQM7A2kRAuIDZJeY&#10;zEUgy1j5IVVB1skpI1cKk1JamTyUOBByBSIt+shd5YrqxlhgTCwBxwISDOQq2U4EiDG4hrqLJD4p&#10;LSHExDCdDmVjfqSEk3sEpNxRCgH9kPFyFzf0Q8ZpcttPMB6yfASMu5VWgjlJCUcy5KwVtDO2/nE9&#10;1Q/0gW0ps0McxpmhaJwkUuDTcWgL2sv24Ct+5rrjWOs5BhhTeU/IvFhLCNZYcr1zbUCyknOKPEX3&#10;ENaubDfyS1lLjpXVduZLrXmmkfnl3KF+mR6g3XK8c+8poOcCgWOBNiAgTufjWFtxJDUfAOOZmge0&#10;C6FMf8oy/apRNc9dkPMf8tZfoz/29Fnmi/v+xMpXTg/HTNg3fPObf1f99yy+4mfsIJaSxxCPozYh&#10;GP3jd77VlQ75hw3/1+pObDoP64ghpaJ6yk+BPLIujTw2lGlxDe3AeDAd4mS5AEevIo1sJ77HtZRs&#10;JuvBzzfecnj439/7HzV1yfx6rlBHWRELdbH8XFCnzo82oD2ybImsR8exH9Z4pcosAmMl51mOT0qI&#10;K7vWMN9ME0POW7PXMrHGEXVgHVnpAdpy5tn/XrPO2I5UPs6nNX6EY4+vOo75GYd54TpGW/S8Y/zk&#10;WmcbU/cT5595WDbqQr+tPEDny6nLaT543upncJndZazTVXbtet98ce84juM4TvNYeO/8mucv6Hw8&#10;lw6WEIej2qwX9O0GxK1KF6tQrqI8BaELP0tpDses4hpEOPwcO86U6S3hK1fOSpVBmKavCXEER5Sy&#10;LgqH8qjaesqUc8Y5KiJ3zB3HcdqFIyeeVvNc/uGgIXMqv+OaH/Cf9zUVVbjg4lvMF/iO007kSFlO&#10;a/Cxbx6Q/DCWILU7pNNeYCdW/ewt8xfqDNZuM/1RiHMcx+kNtBDXTlB2K5IwKUq2cke1/sbUaSNr&#10;nrsgR4iz/vN9/r2nmi/u+wsQcaQ8IqEUwp91XhkXQ8tasbqITF9P+SmKyoOww7SQfnBNi0NElos2&#10;6HgNypF5SFE9BGJOaq5SkpKGYlIZZPlSBpNjpmF/8FVeh3SVWgeIQx0yTw6peUAb2B5rrMqutbJC&#10;XLPXMkAbUuNoyVypNUQwPpY8xvFNrTXExdLI/BDdWB+R7cUa0fESS9zDPWSlJZh/q19Fden0TuvA&#10;81Y/g8vsLmN97l677lXzxb3jOI7jOM3j8muurnn+NnqUWuWZvkuWd8Ots80X9O0IpS18lT9DhMPP&#10;UuDCNe4gB+RRoBLG7+1CnOyrbKMU5SgZlsES7VLkjrnjOE67MGzccbXP+TpOUssK1n/MnzHlWvMF&#10;vuO0Ey5l9R7cGQ87o1nxTj7ctRE7zFnxTnuCnVj1sxc7tuK5XCZYu7ziKDfrBb7jOI5TjnYW4nLa&#10;LndedCEun7OmHl7z3AWdj+VksD533zxnkvnivj8AOYRyDL5SSMF1Sy7S+SH5QG6BUCJ3d0I5lI+A&#10;JaGkxBnSSPkpZN+seMD2EfwMmQhIcUnKNEgjRS6kle205DFdD/rMvkpxTc4TZSDuDsY0qE+WXQTG&#10;kXmljCRh+/BVXme/8FVeJ2gby2Z7gRTJ0NfYeKGfZeZV9gVlcAzxVctoui+gkbXGOLkuNK1Yy+wX&#10;8utxRF16TqVAhx3l5HpBnBwnfC/zAim06TiCuFga/TsFbcB4oJ2I47jouWTfMDYsA/2QZct7RZaF&#10;PKiD/bbaxTi5OyHzoY06vdM68LzVz+DK3GQH63P3q689a764dxzHcRyneWghrtGj1LQQd+lV15ov&#10;6NsR7AxX6WIVufuYFK0ohWFHMqaPHZcKWIYlnOXKWakyCNO0gxAnx1Nej+2yJ4E0J8U5uWsf5Lgi&#10;qS53zB3HcdqFwcNqT2JpmRCHoP8RMOn0K80X+I7TTrgQ1zvII36LjiV10uA4VY4ljle10jjtiSXE&#10;lTmyhcHa5RVHuVkv8B3HcZxytLMQJ49Dhewmj1OFCIejbOUxujx61immXiEOQX/u/uWNJ5gv7vsD&#10;UlDR8gzANcoiQMenkFKLVXZKnMmhqPwUst9WPGD7QKyNkGZSog3T8DhLS66R9UDI0fFSeENdUnwC&#10;sg1W/hQ5Y8j26f5JAUkKXlY82sjrlK4s4QrI/lgCYQy2E3llfUS2JzZXMYrGiXFYVzouh5x5sGCe&#10;XBGyaIyAlOL0vPK+SY0f67DSyPsu1QYKgrhfrDQYI6SR14rWjBxjeQ/J67H2OD1Ho0Kc9bn76ece&#10;NV/cO47jOI7TPKZecknN83e/QUOe6Xw81xUg1Mnyplx0mfmCvh2REhzlLy27UYLbZ599unYnmzhx&#10;Yk0aCcuzhDMp4KVErlQZhGl6Q4hDP3Attkse+obxQl49njIOoCwZL0HfkFanYbsA5iS1U5wLcY7j&#10;9DfkMxlUnvPTK7/jWhP0f8wfefx55gt8x2knXIjrWbgrHPnGN/4+zJhxv5nWyWPEiEld4wk5zkrj&#10;tCdTzv9NzUMelDmyhcHabQYv6q0X+I7jOE452lmIg/QmhbdYwA5xb7/zuFmGY3PKWbVCXJkjW/R/&#10;vl8w/WjzxX1/gOKJlksk8hhCKz4F81miUEqcySVVfgop5ljxgO2LSTkAO0ixnJSUJNNp4Yn1xOZA&#10;CjuxOuodS1m2bheJlQ1ZinktCYlrS4pvGEfmidUHWGdMmtPIcmNH0wK2qew4AZZvrbVUXC71lEEJ&#10;LGec5Hylxkim023hfZMav9h6AcwPtNhJitaVBe4L5rHiiVUu2mFdd3oHCOjy+Vv2uDXrc/fCe+eb&#10;L+4dx3Ecx2kezRbikF+WN+ms4l292gkIW5VudqF3LZPHpJLFixfXpJEwjSWcQfBiPKU6yFy6vFQZ&#10;hGl6Q4iTkhl2zsOubWgHwPhJ4c0aKzkOAFIbpDeWQeGO8TzClkCqk0enAoynbAe+xzXZFlmG4zhO&#10;uyKfyaDyWX1C5Xdca4L+j/lRR59lvsB3nHZi330HVv9hgK9WvNNceLQnx3zatFlmOicfSoa+hvsf&#10;zRLi/j/23jTYqirN834/vlERHWVG1JfuD1VWdURHVH8os8LW7OpSLqApg5KgzDghiumUpihOmKY4&#10;lSlmllqOODDjPKOgqTjPAypqgiAyixOCppnpUP2u9/wP54/PeXjW2muf4XLPvc+K+MW5d6952Gd5&#10;2T/XRtDluBDnOI7TGrZuXV+VxvBpxfd0IMWtXv1cVejjq1EZcA0nx/nJcOU54tjhdftumYfq+h/f&#10;TzlrgvngvjdQ6W6VlIQjJRYrPkWq/JQ4k0uq/BQ5fcppX+7YpKSbonqakdaKaLZsxmmZT0pNUuKT&#10;9eWQ25+cfoBUX4pg+dZaS8Xl0kgZUlaFFBeTzEDuGIGYaMf1nhq/1Bjn3C9SbitqJ5Hl5qDHmKIk&#10;47B+ZbzTfUBAl/tvWSEOQf/P5DNnzTQf3DuO4ziO0zp+ftqUuj183wFDZte25oYCXsUmyxs27mjz&#10;AX2nAoGr0s2dWAKXlOYgWOl4CdPFhDMtcgEtnPF6TxXiIPFpkdBCi2wStFvKajFir1WFFKfnLgXE&#10;Pascx3GcTmL1B2vq9/gKbRXi9D/MDxtzvPkA33Ecx3Gc5jllyuV1mzyobcmlg/6HeZxcYz3AdxzH&#10;cRynebQQh/+5rLYlF4Z9Bgy9X+YdO2mk+eC+N1DpbhUtiEiKJBaczgXJCwIMRRqNVX5KnJE0Wn6K&#10;oj6BnPYxjfUqVA3r020tqidHZMppq0WzZcuT76SMhfnCNcxXLH0OqZPMJDn9AEXj1OhaS8VJ2rGW&#10;5St1AdYi6kBdMp1c80XCV2ycWEZs/EAsL5Bt0HFEptF9iKHHoAh90iLqkVIcQPuxXmU6p/1oIa7M&#10;3s2g/+7+3TVXmQ/uHcdxHMdpHcPHHyX27wotFuIGDhtlPqTvVHACHMUsfFqvMpUnosUELcKyYq8C&#10;Rfny5DKIZVpOKyoDME3staUxcsomkMiQNiaTQXhDHMsEEP4wRqnXmBKMhT4NrmwZSIO0ugy0CddQ&#10;fk45juM4nYAlxFX+7h5R+d5rT9j1PwLGmw/wHcdxHMdpnhYLcXWnvI4+arj5AN9xHMdxnObBPiv3&#10;3TKvbNF/dw8YNsx8cN8bqHS3SkrCSUksEEZiYo/EKj8lzpBmyk+R6hPJaR/T9FUhDiIR80t5jXIR&#10;RCWZnqIcSIlrZcnpB0j1pZm1looj7VrLAH3WUhjmQIpvcs13ihBnxVvgJLuyeSwwR2w/yX1tr9Ma&#10;cCKr3H8bed2a/rsbr3CzHtw7juM4jtM6tBCHv6lrW3NDofLfANNlecB6SO84juM4TntZ9tbyuv14&#10;B90oxO036FDzAb7jOI7jOM0z+eSLxQY/NPzkgEM21rbk0kGf8upCnOM4juO0j+aEuPp/fHchzhZU&#10;IENR8IEQBplEn+iUKj8lzoBmy0+RI90UtQ/IV1Za8US+MhX9kHFF9eTIXjlttWhF2RSxKAXK16Xq&#10;V3jm1NcIueXG+tLsWkvFgXauZQnKlGtb9rPMq0jZVi00suzYWgCxMQaybTqOYGyYJneN5JRbBqxh&#10;Kdk1MydOOVohxOm/u/EKN+vBveM4juM4raPVQhwetMvywEdbPjYf1DuO4ziO0z6efeGluv0Y7N01&#10;qH9ty2590P8wD6wH+I7jOI7jNM/Rx59ft+c2I8ThqHhZ1pCRw8wH+I7jOI7jNM/wccPq9vB9Bgy9&#10;v7YlF4Z9Bw4+TeYFK9ecYz6873Qg51S6nBRcYtKXFGy0+EQYbwklKXEGNFt+ihyBpqh9QJ54Fmsj&#10;kOn06VxF9eTIXjlttWhF2Xqe2FcKchIpy+W+DjUHWW5qLfDkOt2XZtdaKg60cy1bWPcs6uU1zJFM&#10;L5HptLyZc9/Exhjk5M9tp0RKdBhrK00jpPritIdjTh5Tt/eW2bsZ9P9Mjgf01oN7x3Ecx3Fah9x7&#10;AZ5l17bmhoIlxOGEGutBveM4juM47cMS4vbpGvrj2pbd+mD9R8CVVz1iPsR3HMdxHKc5JhxzZt2e&#10;+y8/PeS92pZcOuh/mN9/8MHmA3zHcRzHcZoH4rncdyGm17bkwmD93f3sy/WnOfUW5GsWLVFHiiZA&#10;xqUkLyDFFkvy4QlMkE50HGi2/BQ5Yk6RCAakiBV7tSJO7UqJh0X19HQhDvBEMYhYlIhiwhvjkUef&#10;ktYMHGN8WuXKta770uxak/3XcaCda9kitr6LxgjwvrTmp+j0NtlPa73k3HegqJ0YL8Txd6RJ1dso&#10;OWvfaS1jJ42s23vL7N0M+u/uA342ynxw7ziO4zhO65B77w4Gn1bbmhsKeNCuy8QDeetBveM4juM4&#10;7WPJ40vr9mPwk65Be9a27NYH6x/mL770dvMhvuM4juM4zTHqiFPr9tzmhLj6U15diHMcx3Gc9jFw&#10;2CF1ezgekNe25MKAY99lXtBbhTgpdEFUouSC61JeITKvlHgg0VD0sfJako9Mw5OoUCbb0Gz5KWR+&#10;Kx7kyjDyNC60E+1mHE6rogAGZBwpqqdV0ppFq8qWr01leZwvjTwtDekx91J6QjswphCyrPGKIWUt&#10;uV5QBiUvovvS7FrjGMk2o5+yDczfqrWMccL4QUJjeQD1UtBDXTKPHHusS/zOOD1OKFfmBVI8Qx1c&#10;M6i/aIxBzn0HtFjHMUX9KIP9k3nkfYg8sm/Ih9+xTpFX5kN5SC/XIT5lG6yxcNrDwWNH1O29ZfZu&#10;BuvtKtaDe8dxHMdxWsPGTe/W7btgn4FDJ9a25oYCHrTrMu9+YJH5oN5xHMdxnPaB/VfvyW0V4qx/&#10;mHchznEcx3Hagxbi/vWgEa/VtuTSwfqHeesBvuM4juM4zdNqIW7Jk6eaD+97A1Ik0kCakWKIzitP&#10;3dJAPKEgZUk+kGgotkhk2mbKT4H0LMeKB5ScLLFHAnlGy0AatJXSn6aonlZJaxatKlsKXwDrxkpH&#10;UmtOIkWvHFLrBXNEacrqSzNrTYpmEjmmrV7Lcu4sUKY1fnLtx4iddAdSc4dxTY1xzn1HUuMFrPup&#10;KA/AOMs8ReNRtJad1tIKIc567bn18N5xHMdxnNZgCXE43KW2NTcU9uoavocu04U4x3Ecx+l+5iy8&#10;o24/BrXtuj3BOib2/OmzzYf4juM4juM0x7Axx9ftufsPHvlkbUsuHax/mL/murHmQ3zHcRzHcZpD&#10;77kQ02tbcmGw/u7uzUIcgFwjpS5IIxBFIHtBqsE1CDZWXogp8hQ0mZdlxk5Y0qdS6VOrQDPlx6DU&#10;E+sTYNn4tOI1KBNpUSbbinZDEEqJXUX1SNmMJ2VpyraVcG5bUbacIz2HFqgbAhNFMICxo1SVGrMU&#10;er3gZ1xjHK7F+qLzlllr6LPMi37oPjRTvgXKQz5rzaFMKw/A/a7HHj/jWkyMlOi+4meOMQVaa4wZ&#10;l7rvJCgT48h6kK+ojfwuk2OCvqEc1K/HBb/juqwHML1M67QfvfeW2bsZcCKNLmfbtg/NB/hFfP/t&#10;R+Hbv2wK3/15Y/j2zxvCN5XP7/6yOfznd1vM9I7jOI7TF1mx8tW6fXcHrRfi8EDeelDvOI7jOE77&#10;cCGuhQwaNCH84z/+rzB+/GlmfF/Hx8dxHKf7GXzY0XV7bv+hox6sbcmlg/UP8y7EleOJpVcHBvys&#10;47Zv3xK2bl0fHlo0vS4uh9Wrn6uW+/3335jx7UTW3Ujbne4D64wBP1tpeiqbNr9TvUew3qz4IrA+&#10;ERrNvzvJucduu/2U8Mknq3b2E58YMyut0xnoPRdiem1LLgzW61nufbgxOcdxHMdxnDz03ltm72bA&#10;A3hdTqNC3Ddfrw9//GxF+HLLu2H7R++ELz95L/xp25rw7Z837pL2e5fkHMdxnD7Kq68/XbfvApy6&#10;XtuaGw66TBfiHMdxHKf7ufamWXX78X6Dh/+ltlW3J1j/MH/2eTeaD/E7jUr3dmLF93V8fBzHcbqf&#10;gcPG1+25Aw4Zt6DyPdxQsP5h/t+vGmM+xHdsXnxxTlVUQcDPMm7dutdrMaH6s4zLQea34tsJJCUG&#10;3S+nZ5Fagz0dGaz4Ihgaub92Nzn32Ndfb62lqA9WWqfnA+Fc77kQ02tbcmGw/m/0eXedaD68dxzH&#10;cRyneVauOadu3wVl9m4G6+9unFxjPcDXQGrDiXB//nJNVYL7/IOXw0dvLw0bXl8S1r2yOKx//dHw&#10;8XvPhK3r3ghff7G6kv4jsxzHcRzH6UtYQhwOd6ltzQ2Hfz3oZ3+SZeKBvPWg3nEcx3Gc9vGbK6+t&#10;2+MHDhu9rbZVtydY/zA/5ayrzYf4ncbf/u3/qMpee+/d34xvBpTZrrK7i3aOj+M4jmOjhbgDhx95&#10;N/bjRoL1D/OXzRhtPsh3bFIy0hvL7q1ex6lOjYhK7RLicGIdAj6teMDTq/7yzR+rp1RZafoC8hQv&#10;K74nkFqDRfDksd11whqFr9RaTMHQ04S4Vtxj/P5A4PwgHa7rtE5n0A4h7obZk80H+I7jOI7jNI8l&#10;xP300OEn1bbm7IATaXQ5OULct3/eFP607YPwycoXworHFoTX5v97eOmWfwvPX39xeO7aC8Kz1/w6&#10;PHfNBeG56y8Kb9z2H2HtS4vCFxuXhb98+aGfDuc4juP0aZ58ZnHdvgtaIcTtN+hnf5ZluhDnOI7j&#10;ON1PjxDiTplyufkQ3/kBvGq0MnzVTyvecRzHcSxaKcRZ/zDvQlw5mpGRimiXEMeTqfBpxTs/sDtP&#10;6culmTXI0IknrAGGntb+VtxjXHs9WcZ0ymEJcf2GDi31UF3ndyHOcRzHcdpHO4U4nFxjPcCXQIb7&#10;7IOXwvKHZ4eHz5sc5h3+0zB3/AFh3pGDw/wjBlWZN+HAMGfcgHDniSPD8zdcEj547oHwxYZl4btv&#10;NptlOo7jOE5foF0nxPU/ZORWWSYeyFsP6h3HcRzHaR9aiDtg+Jgva1t1+4KsELgQV4wLcY7jOE4j&#10;aCFu4CHjl+zYjcsH6x/mp18yynyQ79i4ENe7cSGuZ8PQG4W4TZvfaboMp2fRDiHut9dNMh/gO47j&#10;OI7TPK0S4vAAXpeTI8Rt3bAsrFx6R3jq6l+FBROHhLsmDKxy27gBFfpXuXP8wHDv4QeEW0fuHx75&#10;9Ylh2d03hC3vPV19zapVptP5PPP0g+FHP/rr6nOFRQ8tNNP0Zpa9sTSMGTO82n/w3/9hz7BwwY1m&#10;Wicfjunee+9lxu9uPvl4RXWu0cZzz/mlmaanYa1V3L+IQx94TefrDtgufOo4tO2ggwaE66+fsUtc&#10;J9EuIW7IqMO3yDLPv+Ry80G94ziO4zjto0cIcZNPvth8iO/8gAtxjuM4TiMMPuzouj23GSHO+od5&#10;F+LK4UJc78aFuJ4NQ28U4vw+7X1YQlzXkCHn1rbkrNBvyMHfyfwuxDmO4zhO+7CEuAOGHVxq70b4&#10;SdegPXU5eJWb9QBfsvHNJ8LT/3F+uOcX48Kc8QPD/DFdYd7ofmGuANcWjusfZo3pH+497fDqa1Q/&#10;fOHB8O2fNppltgJIHpVuVcHPVhqnfVx22fk7xx8/W2l6K6tWvbJTBpRA3rHSO/nI8bTidzcQyTpp&#10;vmNrlfcs+sBrlOS6E9ZvjSXbBXRcJ9EuIe6QsUd+Ksuccu4F5oN6x3Ecx3Hahxbi9h8y4pvaVt2+&#10;8H8OGv69rLS3CHF7792/+h9++IzFjR9/WvX3SZPOC3/7t/9j538s4ueTTrp0l3x/9Vf/ZWcaixEj&#10;Ju+SZ8aM+6rXZfkoB204/fSrdkkPpk2buTMdfkdb/uZv/lv1Gj7xO9MAq61EppP1pcaHID3iZb/R&#10;D/QH/ZJpMZaIR1odRygSxupEPtaFOZFxui34xO+xMXQcx+mJaCHuoOGHL618pzUUrH+YP++CkeaD&#10;/E5g69b1VYHk66+3mvGE6aRo8tCi6dUTmXANryhk+Ms3fwyffLIqPLH06roySEpGQh6GWH7Ui/JZ&#10;Jz7x+223n5KUsRC/evVz1faijQzIj/69sezeXfLIfuUG5NHlsF+MS/VB5yWIw3jLtlsBfbTyW7z7&#10;3qPVvmP+ZcAYlSkHcI3EQkxSwrgjrxxrtAd9xThZeSScUxnY/th4lhXiOH+pYJXDOZPji36ivxh7&#10;nT4HjjM+rXiAsmWd+JnrmyElxCG/NaapNrNdXDepNkjkvOcG5ClTBuaP7UM7ZF4N7kOE1Pg63UdL&#10;hLihh9T93X3RFRPNB/iO4ziO4zSPJcT9bNzPLqpty9nB+rv7wcX3mg/wyXffbAorl94Z7j/jqDBr&#10;dFf1BLhZo3aAnwl+nzOqX5g9tn+4/dhhYfEFJ4U/PDo//OWP68xyW4EUU9ohcqROLurt4EQm9B0i&#10;jRUPMOaIB7tDpNmd8FQt2XeIR31tHMpCMSt14lfqvmu3BJtTvjwhrhNOLoutVfRDxu+uE+JSQhxO&#10;CURcp38Ht0uIGzPx+LoT4lyIcxzHcZzuZxchbvDwb2tbdfvCvx40/D9lpb1FiEud4sa4QYMm7PzZ&#10;QktZUgyz0EIcZDSKbDF0HQCSl4yX6QHrYXtSUhv6yHxSVEuND5D5LCDGyfKkeGf1CWllfh0PIPYx&#10;/sIL5++8bo2BRJbhOI7Tk3EhLg7kFQZII1YaSD0MkHt4PUdksSShlIyUigMQamL14jqlFwSdV8bF&#10;gpaEcvpoBVkGkP2CKBQrF7KOJXFBDMttS67IJuc+FmISm0XR+Oqy0M+iPOhzTMLCepXClRUgD1rr&#10;umidaVBGUdDlpNYqA8YkJu3FoKgWmxvGW4GyF4IlxKEtqfwIKEPnA8xHSTYW9Hy24h4rKgPz18x3&#10;nbN70XvugT8bWuqh+qCRw7+V+V2IcxzHcZz2Ivdd0HYh7rst4ds/bwxbNy4Lb9x5bbjj+BFh3piu&#10;MHtUvzoRbqcQVwFxs2pS3D2njAlv3Tcz/Hn7B3b5LQByR6VbVdohIqVEjd6OPP3Niu/rcG30RVmy&#10;GbimGj1RsN33fLvL3x309LXaF75nLSFu765B/Sv9biq4EOc4juM4u59rb5pVt8d3lxD3f2WlfUmI&#10;IxDKKGBBRpOnuUkxS+ePyWQAAhhlOH3iHOQx1Mk69ClnUogDEN8gweE6TmJj+pjsJmEb9t9/WN31&#10;VB942htAvRwD1AE5jSKezsu6LEFPS23WqXZoI+JQjrzO+hCv26LTOo7j9GS0EDfo0KOeq3y/NRTG&#10;HTX4n2RZoJOFuBwBBAILgzyxCxIK5BiIP1LqkcKXdRpTSkZKxaEOlotPxuO6PBmOQeYFkK8g6qB9&#10;sh8oR4pVsi+Egg8+dRxJnU4n+4WA9lMM0u23hCPWj3zylC051pbglAKCEIQxfEpBCGMjRTXrVK8U&#10;qXGQSDkLa49zgvGQ/ULQAhPScM6QDn3gvKEc2Qb0Uc9pap0VwZAab7SX7Uf9cgwRJ8cXP8u8RaTW&#10;ol5H7Lde4whW+9kutB1zEBtTKy/bxYCyOKe6fl638lv9IrINVnyqDPSFoex3nbN70XtuWSFuyKgR&#10;fkKc4ziO43Qjct8FjQhx195y7d/pcmJC3Ld/3hS+3PJeWP/qkvDCDReHhROHhAVVIW5XGY5AigPz&#10;RneF+UcNDq/O+W346uP3zPJbQbvllb4gasRwIS4NT67qa6+KbRauKRfiuo+evlb7wvfsipWv1u27&#10;oBVC3LhJJ34my3QhznEcx3G6nx4hxB19/PnmQ/xOIyV8MQ5oUQxIIc067SxVNqFUBmErJquxHC2Q&#10;aSGOApym6FQ2Ga8FtFQfKKDxlbIa2T7UwetS0JPpAWU3Yo0760U5vCbrio2j4zhOp6CFuAN/NuGN&#10;yvdbQ+H4k0bsJ8sCnSzEAUowEHdS8ZbcFiMlrqRkpFScLFPHAVyTEpWOT5GqFzQr68jy0UZIUToN&#10;69DzIEUeSnQSnnyFcnVco6BOjqUlP6UokpaAHI9Y+RgjBi0JFq0FIE8E0+NWNN8pGFLjwrnEGFIq&#10;0/C+QigjX8XWopwza50iXkqIuv1yvPGzjCMcd2utsV0IltQpx9xax7F+SeS8W/FFZUjhLxVf5rvO&#10;aT96zx1y2MFX1LbkrOBCnOM4juN0L3LfBeOOOazU3o3w4OIHd/kf0WJC3Hd/2RQ+++DlsOLx28Lj&#10;M6aGuUf8NCwc2z/MGW2fEEcgxFXTjR0QnvmP88NH7z4Vvvnyw/D9N5vNepqh3fKKC3E7xtaK7+tw&#10;bFyIK0ez49bue77d5e8O2B8X4nYfLsQ5juM4Tu9FC3H9hoz4rrZVty/sN2jE/ycr7UtCHE5u03EE&#10;8UC/BhWkyiY8Zc7KTxCHNBDB5HUpgcWkNJI6lY2Cmi4fxPogX1sqr2uYRrZP5tUCHmU3noynT3aT&#10;8p6U7OT1orFwHMfp6bRSiDt1yvChsizQ6UKcPBVJizBSxoJgJONSpISjRuN4wlRKVsHJTwxWfAoG&#10;S3RqVtaR/YqduBbLnxoTHa/jmiGnzxZF0hKQYlZMGAMynbwOaRChSFxiOt2HojFNwWCtEwC5jSH1&#10;2k2ZLlaWRWxesK4YYmtM3s+6Tt47qfmW46a/K9iu1JwwWP2N9UtStLaKykiNUaPfdU770XuuC3GO&#10;4ziO07OR+y5otxD3zZ82hM3Lnwpv3jMzLLnoF2He4QeF+WO6wpzIK1N/YL8dJ8mN6R8evfgX4Q+P&#10;Lgifrn4p/PmrtWY9zVAkr/zoR39djVv2xtLwyccrqkLIf/+HPXfmwSsEERfLF8MSS1ateiWc8POJ&#10;deXjZ1xDnE5P0K5zz/llXT6L66+fsTMP2oxraCd+X/TQwp358YnfmXbhghur/eQpUQTyiSyTIK1M&#10;l4s1jgT1UHohrB/9t/LoPnJ8OTf4xO+x/Dlw7OXYoFyMAcZNp2ebYrCtuWDNyvHG3HFtoX5cQ7zO&#10;h3FDXEogYrlWfowl+o38HE/WjzGNzWWjc1I0bjFk29nnFLJOjC3aotcd5hp9123MKd8C+XQZGIfU&#10;PS/r0nEcU/l9wHlJlalpZMxRjy6HbeVcpNZsilQ+zpG1nplHrgUdxznAPSPvZfwsvwstME5yDcfQ&#10;9wT7I9c+fsd1mY60S4ibcNxJ22SZk0+daj6odxzHcRynfewWIW7gsPF1lfYlIc6KI0zTqBCH+DLI&#10;vFKIi50ORyjVAX2CGmU5eeIaifVBlpeDHh+Kb/IEOEptiIuJb5T3rFegylfYoj7rNbaO4zidwLAx&#10;x9ftuT/92ZHLK99tDQVLiJs6rbOFOIggPFlKCzxSlkuJS5qUcNRoHENKHioSZlIwtEPWSfXLSiOv&#10;S3HKEp1Yb+zUq0bJ6bNFzhzkli1PeZMCFoM1V5LYiWA58xGDIVZ3mbJ536GdVrxFbOxyxh0w6Paz&#10;3Nyg+5Yzp0xjjV1O/qI+5pTBMden2DX6Xee0H73nHvizg2+sbclZYejo+pPZXYhzHMdxnPYi910w&#10;YsKIUns3wvMvP7G/LicuxG0MH698Prz90Kzw+3+bEuYfOTjMH90/zBpZcELcqP3D/DH9w62j+oWH&#10;zjk2vL7g6rDxjcfCn7auNutpBsgHlW5VsUQExkGYkIKJBCKDlh2K5AgtgEDESOWx6gAQXIrqIpQ+&#10;gOw3xSkJ2yfFmxhaQqFkUhZr/NFnLeJpMC/W2Og+xsYJ5TcixUGUKRp7jI0sG+200hGUJ+tIkZob&#10;Slv42ZKEML+xOIK4WJqcNWfNZ6NzUjRuMWTbc9ZymfrQdtnGnPIt5HeBrFferxreE/iU1xv9HrFo&#10;dMx1OXKtcU1aQCrTeQnLsMAYcDystZpax4yj3MkyNRhXnRfgO8BKbyHH3frOlcg6SLuEuCOP/8Uf&#10;ZZkuxDmO4zhO96OFOFDbqtsXXIirjyNM04gQB2EL8bnok+rKCHGyLnmCWkw8I7E+6FebFqFPgmN+&#10;KbahXbjGU+wo6smxpfRmvUoVop+U4gDabb0m1nEcpyfTSiHujHMPHSfLAp0uxAGexKXFIQpFMWEH&#10;shYkOoooVtDiTEoYSsUxxEQkUCTMQHSBZIX2UozRoR2yTqpfVhodx/rRZinFQeKJCT65oAzML09T&#10;0yHVZ4uiOQAMRW22xk1eQ9t1HkmsLVa5uTBY6wTIOotehZqzrjSxPDnjDhh0+2PzbwWsOd23nL4w&#10;jTV2OfmL+phTBk/CQx+k+Fb0XefsPvYffHDdnjvksEPm1LbkrHDw2BF1+V2IcxzHcZz2MmDYsLq9&#10;d+ykw0rt3QhlhLjvvtkctm95N2x84/fhhZmXhAVHDQ63jR0Q5ozqMkU4skOI66p89gv3n35UePHm&#10;y8Ka5x8If/z8fbOeZpCCjiXwMI5AzKAEI+UT62QkkJIxiBRPIJNJcQLCBWUPLeAAlo84faob2yaF&#10;GyL7zfxIh+sQcTgW+Bl9w6dsF0Q8Kb5ZpyhJiUXHkdT4o6+y72gD+4/6Zfloox4bq48UW5BW5k/J&#10;OBYYC44v6pb9R5wcG/ws8xLGW/NThOwbxognf+l5AdbaY99T6zK1dtF3jBn6Lcddrju0S+YBrZgT&#10;xqfGLdX21JojnF+IUjKNbiPiZT6QUz5gGt0Prnlr/ADmmHk5dgBt5vWy3yNFsNzYmMsxScUBtIPj&#10;oter7A+R44m8Zdd6ai0wjqA8lo96OWaA1wnGUK51jrdeI9YaYD6scZaLfOh/bC+xhLifjT/i8Eo5&#10;TYVTpk77kyzThTjHcRzH6X7mLLyjbo8Hta26PeHKK5/aw4W4+jjCNI0IcVJGs/IXUUaIA5TFpFiX&#10;OnENxPrAV5oCeT0XSGrMTxGPdVHYozTH9kqpTwt2EpTNsoj1qljHcZyeSiuFuIsuH3uILAv0BiHO&#10;epUgZBEGSzyiWFIUtHCUkpFScQyWTENSwoyUx1KhHbJOql9WGh0nT0qzAl5TWfZUK5y4liNBpfps&#10;USQtAQYX4orXlSaWJ2fcAYNuP++NsvNNcvrCNNbY5eQv6mNOGVj3DFw/Rd91zu6l1ULc2dOPMB/e&#10;O47jOI7TGlohxL31zgu7/N0dE+KqfLclfPXxH8Kb99wYFh77szwhrkJViBvdFe4/46jw8q2/CWtf&#10;eHC3C3GWrCHFBy1MgJSMQSh14NOKl+KFPDUK11m31TakRRzy6jjZb2D1vQjZLkuUSUkyJDX+RVIJ&#10;YB+BHgNZNtopBSHC+YlJKDGYD+ViHKw0Utax1gbjrLEroqh+OS7W2uPYptYl60ilsUjNeyvmhPlT&#10;45Zqe2rN5dKK8plG90POnbVuZLyc+0a/R3JgfbExT825jIM4pterbJclQXKsG13rqbliHLDqlnOp&#10;v18gGTLOmqfYfMgyrf7E2Ljp3bp9F7gQ5ziO4zi9g24X4m64YcmeLsTVxxGmaUSIA4iP5S+irBAn&#10;JTS+TpSnsMlT4ySxPqC9LEtezwWnuTE/pDz5O9sG6U1e4wlyeKWqLs8CeaS418gYO47j7A5aKcT9&#10;2+WjDpdlgd4gxAHKUZSUIIYgQJTRaaVQBPlEv8ozJRw1GsdgyTQkJsxAeKHwg36ib1ogY2iHrJPq&#10;l5VGXodUhbYDiHGQ3xjwM+otK8MB9gnlooxGTvyySI0DYR+KypYiINsn5SVrriQ89QtzLq/nzEcM&#10;hljdUi4tKptrsszpfrF5yRl3wKDb3+h8k5z8TGONXU7+oj7mlAG4/ngaXOq7ztn9NCPErV17wR4u&#10;xDmO4zhO97JbhLgK33y9Iby3eH64++TRVdFt7uh+YfaoftUT4Cwh7taR/cLCsQPCrYftHx4+b3JY&#10;fv/N4eP3ngl/3r7GLL8ZiuQVxlknQYGi/CkZA0CISOUnLEfKFUV1y/hUXFk5RpLqX0qSIak+QIjC&#10;dUg08rqG6XQbZNnWCXYgp40ayC/ME1sXQKazRKJUXAq5ZlL183Sr1NxYcSQ1tylSc9qKOWFcatxS&#10;bU+1L5dUG3PLZxrdD7lurHuT8yq/C5r5HsmBZcfGPDUeMi4mgMXmqxVrPVa2jEt9x7B+3fdUn2W8&#10;rlee5Ffmu9eFOMdxHMfpvbgQ10JS0loqjjBNo0IchTR5alsuZYU4KZ1BLpMn1FFC08T6IOW61Glt&#10;KSiroe+U3/RJdawD7WV663WpKXgyXmoeHMdxehJaiDtg2IS1le+xhkJvFuLkqwTxO2UiS9bRaTUp&#10;4ajROAp7KdlFnlonr0tJCSdEyTjC0A5ZJ9UvK428TimsSPIpg5TKUL6VJqfPFkXSEuDaKhKQYkIb&#10;RTIKTTGYTq/hnPmIwWCtEyBPIIuNLZDpypxKFpsXSl0IsT6lZEKMEUMzgmVqvTBNO+4xkFMGkKIl&#10;+sp8ZcREp/vQQtywMQffUduSC8PaLWfvOXbSyLr8LsQ5juM4TnvRQtxRJ4zK3rsZVqx4ZZe/uxfe&#10;Nc98gC9Z/dTdYdHZk8LsMf3D7JH7hzk1Kc4S4maN7BduH7dDiFt6xZlh3SuPhK8+eS98+5dNZtnN&#10;UCSvME7LEJJU/pSMAWT9OchypDhjyUUUMnCyko4r6ncuqf4VCSMg1Q5eT4094ElMup85fZRprHiL&#10;nHIJT76yBCSWUdQ/TW79OXNjxZFU/hSp9uW0Xaax4hmXGrdU23PaUERqbeeWzzRWP9h+LWrF7nlZ&#10;Zw5l55T5YmOeGo9UHGEa3a7csUzNd6NxhGl033FiHK4DS/RjPuvep8DHcjGvOo2mXULcqWf96jtZ&#10;pgtxjuM4jtP9dLsQd+21j/3Yhbj6OMI0lhAnhS8dR/jKUpAjtUnKCnFAtol1p9oXGwMp16XGJ4WU&#10;6liPlt3YXsYD5JNpioj1wXEcp6cy6ohT6/bcZoS4y68Yc5IsC/QWIU4LOgz69DcQE5WIFE60nJOS&#10;kVJxUthBW2UckG1GkHGyPdZrLGXfLVmH/cXJUjqOpGSdVL+sNPI62w65K5a3LLK/lowFSShHQLTQ&#10;spGVRs4V0ltpUnNStBZAo2uwCEp2kC+teMCxw2dsDKQUWEZAi0lfWNcMliiIOuTpgnpMpTRq3QNF&#10;xNolYZp23GMgpw0AY8EgJVrru87Z/bgQ5ziO4zidxa4nxI16qLY1ZwdLiCs6IQ5sfuvx8Nz108MD&#10;ZxwVbjvmkKoYN2vU/lU5DuA1qRDkdohy+1dfq7pw4sHhpZsvC5+teSV8++eN4fvvtphlN0ORcME4&#10;LUNIUvmLhAspVeSgT0li+RCvpCCDciljFb0KMCWaEJQHsYOnsWms/uWIMLF2yOv6VYWaWD05fZRp&#10;rHgLWV+RyJKaf5aRWlsWOf0CqbrZByuOpPID9B3rkeksdPty2i7TWPGMS41bqu05bSCIx/0jBSaN&#10;lYdxqfKZxuqH/F6Qr5Xl60G1/Nns90gRzBcbc64nUCaOMI2er9yxTM13o3GEaXTfIcHxOxbrg/OE&#10;67LP1vcX0ug1hXpS33WWEDd64uSplbxNhSnnXlBXpgtxjuM4jtP9WELcXl3D96ht160PLsQ1JsTJ&#10;14pS4sKpbFJew8lseAUo0uATeeRpbUiP09Fwcpp+rWkjQpyU0Hg6XUowS42BlPkQL0+KgzCH3yG4&#10;xV5xin4yP9GnzfE1qRKULdMAjBvagL4wHp8yvx4/x3GcnsqEY86s23P7HzxmS+V7rKFwwYUjp8qy&#10;QG8R4oAUefhppZOyESQVCj2Qkyi2MJSRkVJxUviBNMN4XJeiDIPMi3YxoH2U4qy8lqwj01AgQ5my&#10;jTINr5FUv6w08jraSAlLB8wP5B8IYrFyY7BMOZaYR/RP1lckF2lkP3jiFvqgZSMtZ3FOdBssqUyO&#10;CT6Rnmn0nFpymGxj2XGjdIV6sQZwDX1j+/k7A/op+4488h6JCYExUtKXFAUxBhwT1C/HGwHxOr9M&#10;g7LYP4D+YZxRrzWmqXYRprHqlnPWyD0GctpA9PdU7LtOgzZx7ZVdO05jDBx2SN2ee9Dwg5fWtuTC&#10;sGnTtB939ytTN2yxrzuO4zhOX0HvvWMmHvZcbWvODqvWvL3L/4iWI8Rt/2h5WPPCg+G1+b+rvgb1&#10;tmMOrp4Gt2Bs/3BbhXmj8ZrU/uGO8QOqr1Sdd8SgsGja5LD8oVnhj5+tNMtsBUXCBeO0DCFJ5S8S&#10;Lii4xPIXIfNbQLqwTi8q6jeB5BGT4CRW/3JEmFg75HUX4urJ6RdI1c0+WHEklR9CFduQQrcvp+0y&#10;jRXPuNS4pdqe0wbcMyyjCJ03p3zANFY/UD/jpbxGiUpLrs1+jxTBsmNjzvUEysQRptHzlTuWqflu&#10;NI4wjdV3nk4Zw5KRJfhuY/nEOlEObNv2Yd2+C0ZMOOqiSp6mggtxjuM4jrP7ufuBRXX7MXAhrkFS&#10;wlcqjjCNJcRJ2U2i00J6s9JptLjWiBAHdF2WYEaKxgDCmyzLQr8GVcLXmRLdFi3N4cQ4GU+kfGiR&#10;OgXPcRynp6GFuP2HHPZl5busoXDhxYddJMsC513Qe4Q4KbohxE7BgmijBRsZZJyWRlIyUioOQJSJ&#10;BdQp26/zSllIBwgulAAtWUcKWDLItClZp6hfOo2Ok2WnQurUMk1qLBE4hzlykcZaG7ociEWpNYSA&#10;OUE6mY9A8rLmRAbUqWU6kDMfMaTsJoMuJ2fOyswXSUlfRfcl2sT8cu3m5meg6ChJtYuk6m72HgM5&#10;bSB6HnPnQsvAVhqntQwZWX/KzJDDDs5+qG4JcRddMdF8eN8M6z+aFtatPyesXXt2WLPmrLD2w7Mr&#10;6+PcsGHzNDO94ziO4/Rm9Omsw8ePeKO2NWeHRoW4b/60MXz58Xth3auLw8u3XF6V4u78+Ygwb8KB&#10;YdaofmHW6K7a61L3D/OOGhQeOufY6ulwa19+JHz359a/KpUUCReMi4kgIJW/SLjIFT4sIGPhhCIA&#10;IUaeOISf0WZLhgO59bL9qAPlaQEs1T9KLkDHkVg7pBCUGntAKQXinrye00eZxoq3wEl8ReUSniBl&#10;iTEso6h/mpx+gZy5seJILL+sH3H6db2p9uW0Xaax4hmXGrdY20FOG+TaxdzJU9p0vLwOcsoHTBPr&#10;B+pFPNc17j3m0e3JrbNRWHasranxSMURpkmttVS/UvPdaBxhGt13fg/wu1aKw8hTJPJKMLdSrtN1&#10;Eb33Hn7c8VdU0jcVXIhzHMdxnN3PkseX1u3H4Cddg/asbdetD9dc83j//QYdWldhbxHi+EpOS7RK&#10;xRGmiZ0+BtmNaQDELH0KGoAIBqlLC2IQ0SCdWcIbymY6/KzjY8iT3fCzlYbkjAHahngp2kGCQ9sx&#10;LinhTp5YF5PuKOUBa+wAT4OTaVmmnwznOE6ngT1W7rn/cuDPvql8pzUUersQJ6UUfMpTrzSQZyCE&#10;UCRDgEzD051Yjhaa8DtDmTgC8Uie7oT60Q60B+1FQN1WXrRNCj8yL8uMndiF9sh6UY48+YuijFU3&#10;8jLgZx0v0+j8Utzh2BK0G+NBEQghVr6FHkvUDdkJ48j+IN7KmwLtQjlcAxxnKx3qke1HwO+4jnid&#10;R4J2QmSSc4o60WY9VhKONUKZ8SKYE1kn2mvdKxhfjIO8R/AzrmmBLhfOV2xeMGb6vkRa1oe6EWLr&#10;HGDs9Jygv6lxLWoXYJpY3ZgLpkEoc48B9i3VBgnXJ0LuOsDYMsi2Oe1j+Lh6Ie7Anx2c/VC9u4Q4&#10;iHCr3pkSVi47Lbz76qnhvdd/Gd5ffnpYs/rMsH7zuWYex3Ecx+mtHHPymLq9txEh7tXXntzl7+4c&#10;IQ58++dNYfuWd8P615aEdx6eE16b97vwzH+cHx69+BfhobOPCQ9WWDL95PD0f5wXlt19Q1j38uLw&#10;xca32vKqVFIkXDAuJiiAVP4i4UJKLmVfY8hToVIyR4wc0URKaajLSpPqHyUXoONIqh2UyWInJpGY&#10;dJbTR5nGireAjMQ8sXEBMp0lxzAutbYs5JpJ5aUg2ejcxPLzdDiMu7xOUuPeijlhXKrvqXWZ0wb2&#10;Pbb2UuOXUz5gmlg/pHiJtcT7XYufoJnvkRxYdqytqfFIxRGm0fPVirWeWgupOMI0un4KbKl2lSXV&#10;D6D33pFHHnNjJX3DYdu2bXtAgJNlQpCzHtQ7juM4jtM+LCFun66hP65t2a0PlhA3+eSLzYf4juM4&#10;juM0B/ZYuef+n58O+7a2JZcOvV2Ic3oeFK9SJ1hBgmJoVLRynL4GpT/cY1a8Be5DBMh0RcKm0xq0&#10;EDfwkINX17bkwrBxy3n9Wy3E4ZWoGzafGz5cc1ZYsey08ObTJ4XXFx8fXrlvUnjhzmPC87cdHZ6/&#10;Y2J46e5J4bVHjg/vvPSLsGbVWWHDpnNDpT1mmY7jOI7Tm9BC3MFjRmTv3QyWEPfkM4vNh/e78N2W&#10;8P03m8I3f94Qvv5idfh8w7Kw8a0nwntL5oVX5l4RXp33u/De4rlVYe7zdcvCX/64vprHLKtFFMkr&#10;jEtJD6n8lCYgOug4QgkCglHsRDcLCjLIlxJvLIr6DYqELrSVpyJZAgfbBxo5qY4nZAF9IhaRdej8&#10;OX2Uaaz4GOw3PmN949zH5pX1NiLUFNUvx86aG8wn462xkeOq87NfqFteJ+2eEwqQKfGLEpPVd7mu&#10;9el2hHVoyZJwDICOyykfME1q/mVf+T0R63ej3yM5FLUV15mmTBxhGmu+ml3rqbWQiiNMo/suv9sh&#10;7sm4RilqzwE/G1W397oQ5ziO4zi9g2dfeKluPwZ7dw3qX9uyWx9ciHMcx3Gc7kMLcaC2JZcOZ047&#10;7ApdlgtxTjthsE5YI5DgGFyIc5xieJokQuo0QQ1PlUvdj05rGX3U8Lo9t6wQN2BYvVDXrBC3btO5&#10;4YNVZ4Z3Xjg5PHXL4eGBX/0s3HvGkHDv1KHhntOHhrtOGxLunjIk3FP5vP/cYWHpDRPCsidOCKve&#10;PaOa1yrTcRzHcXoTp5w1oW7vPejQn22qbc3ZoSkhToGT3/70xerwyfsvhg9ffDCsfWlR+GTlC9VX&#10;q377jXpNapvEuCJBh3ExEQSk8ksZhFIZhBmZVp4EBekD6aT4gbSQYCC6SDEMEgaFGQ3KgVQBWcRq&#10;F64xrRVPWD6kD6ZD29BGWbclcMg6KBahzVISSrVD9g+fclwQJ8cWcorMC1JlW2ms+BhyzjA2sk+Y&#10;IylMQRCTeQnjU2srhhTaUBeFHF03sOYG48h4jC3HB+UU5ZfCG9rOObHq1uPeijlBexCHdvN+wPhz&#10;DGQaq++A5WPu0H6uacazH1x3vI56KJ4RxkkYFytfpknNP2UvSmFA9lMi12SZ75EcWG6srfJeLBNH&#10;mMaar2bXemotpOII0+i+y/HWYN6RD+Ot5wvlIE7ODz7lfRX7zhg+/qi6vXfMxGPvrqRvOGzbtm1P&#10;F+Icx3EcZ/ez7K3ldfsxaLsQpyt0Ic5xHMdx2sMpUy6v23PBXl3D96hty6XCtPNH3qjLmn7JKPMh&#10;vuO0Ap4QBxEH4o58NSd+xjVKOnhNpszrOI4NX6+KkHvSG+41hDInyjnNc8Sx9UJc19Ch2Q/VLSHu&#10;t9dNMh/e5/Lhh2eHd146JTy38Ohw95lDwtzR/cLt4wZUP+eO7qoyf0xXuHP8gDB71P7hnrMOCc/O&#10;Ozq8/fwp1VerWmU67WHuwrHhn/b6rzsf+uDnx5YeZ6btifz1X/+/1XZfNmNI3fXlK04Pw4b/z9A1&#10;4B/CfQ8eVRfXqWBeOE+dNEeO49icPf2Iur2365BhWyv3d6nQSiEOfPeXjeFP2z8If/z0D+GrCn/e&#10;9kH49s8bzLTtoEjQYZyWISSp/JAhIKAwDdHlSekjhSVXWOk0+lSpon6TonZRDooJJVoe0mmL2gHp&#10;xBo/CcqT4g/J6aNMY8WnyBn72GlegGlSayuFPBlLgziMC36OzU1qbpEHbefPMh/G2ppXIuP0uLdi&#10;TmIikiyvqO/sm4bxkK1S6072UZZLisoHvJaaf7RD5ke9VjrS6PdIEcwXa6u8F8rEEaaJzVdqrUOK&#10;i61VkFoLqTjCNFbfGVcE1izzyPGwSM3x4ZNPqNt7R0w4akklT8MBQtyE406qK/P8Sy43H9Q7juM4&#10;jtM+Vn+wpm4/3sGQEbUtu/XhuuueGKErxMN6/QDfcRzHcZzmmXLW1XV7LnAhzukUnlh69U7hLRUg&#10;wyGtVYbjOD8AAY73FMQ4K40F7jEEP4Wxe5l0Yv3J6vsNPnhbbUsuDO0Q4latmBpevGtiWHTRiDB/&#10;0sCwcGz/qvy2YExX9ecFFW4b1z/cPWFgmDe6K9x24kHh0d+ODq88NDl8sHqqWWariAlUMf5uzx/t&#10;fCiSK1aVqQPSFtLi04qXspoEdUD2uu7GQ818OUCGs8qedv5AM31PJNZmzBXjME4yrlORfeotkp/j&#10;9GVwGqvce/910MF/qdzfpcLjSx/Z5e/uZoS43Y0UTqxTkyjFxE7sAUxj5Qe4Lk8ygvAgBQkCSQXi&#10;hzwNCmVDuoDwoSUWKQZBhJFxkJYgCElhQ7avqN8SlCPbjzahnWgPTzVCvJUX7UBajhH6JsWSnHag&#10;HvRfSkgoD3XqfktyymYalGfFF4Gx0XOGn3FNCloWzJNaW0Wg/3Jc8DPHhHOPT52PYA3F8qfmFvOK&#10;eZT9lnk533rcWzUnut3oo7w/uF5j6xLI9nM9yXjej+wLy8O85rSxqHyWWzT/sp/W94aG7ZZzg7pi&#10;3yM5FK1VrhVrPFJxJLXWSGqt4zOWH9caiSNMo/tOCQ/90msZY4y5kvPPONw7KEt+NwP8ruvQaCFu&#10;+NijXq7kbTi4EOc4juM4PYOPtnxctx+DfQYOnVjbslsfrnMhznEcx3G6jbPPu7FuzwU/6Rq0Z21b&#10;LhVciHN2BzgJbtPmd8L27VuqQg4DpB5cw8lVuadcOU5f541l9+68f3LlNr6WGPehFe+0Dy3E/ctP&#10;h2Y/VN+w+dxd/u5uVoh779VTw5IrRoUFxx4QZo3eP9x62H5h1kjxWWHWqP2rJ8Xhc8GkA8L95x4S&#10;nl9wVFi14gyzzFZR6XKVHOlLC2MxaU1Tpg7IWkgbk7ZYVgpIczgRzcqfgrIdPl945eTqNZw81kmn&#10;j3EM9FijP2Xlx55Ou4Q4P3mu91Ak2Do9i3YJca++/rT58N5pL5RDIGZY8QDyBdKAIkHL6V1QuMGn&#10;Fe84TmPI79WUpIg4prPiy/Lz06bU7b0uxDmO4zhO78AS4vYdOPi02pbd+nCdC3GO4ziO021YQtw+&#10;XUN/XNuWS4UpZx46R5flQpzjOI7jtIcTTm2tEHfD7Mnmw/sc1m86Nyx7/IRw/zmHhFtG7hfmjOq3&#10;Q4CriXCS2ZU4CHFzxvcLt5/w0/DE9ePC+8vLi11lqHS5So6sRrlEkiOeMW0rhThdFsQl2T5IbTI+&#10;B+btZGGMfcgZ606nXUJcu8p1up+i7xOnZwH5XO+/lfkrFVyI6zlUpqOKPHFNAwmO6VyI61u4EOc4&#10;7SH3exXfzUxnxZdl6q9+Vbf3Dh457p1K2Q0HCHHDxh1dV6YLcY7jOI6ze5D7MdhnwJDptS279eHi&#10;f7vjcF0hXudmPcR3HMdxHKc5zp8+u27PBXt3Depf25ZLhannHHa3LuuyGaPNh/iO4ziO4zTHqVPr&#10;hThQ25ILQyuFuLVrzworl50WXrjjmHDXqYPD3NH9wrxRXbuIcAQy3K0j9wuzcVrchK7w6OUjw4o3&#10;fmmW3SoqXa5SJFBBfGPaIyfuvfPnnFeUMm07hTgipTicaGelsZD962QJin1wIa5xXIjrPbgQ11lg&#10;r9X7b2X+SgUX4noOPCEOr+PDKwPlqxDxM64hDmnw6j6Z1+n9uBDnOO1BnhCH72GcBIdrjMcrVKUM&#10;h1fYyvyNcuFll9btvQcdOmZ9pfyGgyXE/ebKa82H9I7jOI7jtJeBw0bV7cldBx/2m9qW3frgQpzj&#10;OI7jdB8XX3p73Z4LXIhzHMdxnJ7P1Gkj6/ZcsFfX8D1q23IyPP/i6bv83T3vrhPNh/dFfLByanjz&#10;yZPC0hvGh4U/PzAsGNs/zB8TF+J2sF8lTf8wa1S/8NAFI8LyZ08KGzaea5bfCipdrlIkUOHUNKTD&#10;azchj/3dnj+q/p5zEltuHaBZIQ6vBmWaX/zyX800Fr1FgmIfXIhrnN6yFhwX4joN7LV6/83duxnu&#10;uv/2XU5mX7HyVfPhvdNeIF1QeEsBGQ5prTKc3osLcY7TPiAc6+9aC9x/UpZrht9dc1Xd3tv/4MM+&#10;q9TRcNi2bduPXYhznJ7JXSeP2/nvV0sumWqmaTcfvvFyuO24EdU2zD38oPDygpvMdI7jtAa9J/cb&#10;OvL62pbd+nDOtBuPl5UBvM7NeojvOI7jOE5zXD7j3ro9dwdDRtS25VLh1KmHPqTL+verxpgP8R3H&#10;cRzHaY7zLthViPtJ16A9a9tyMrRSiMPrTl954Liw5IrRYeGkA6sy3LwsIa6r+mrVe6YODS/efUxY&#10;+eaUsHbt2WYdzVLpcpUigQriG9LhdDj8DtmMeSGh6fSS3DpAs0IcYJocCYaiXwycOKfTpsrlCXUy&#10;n47jK1lxuh7HFeDnnFPtUvl4zRofyIyIs14Jyzi8ehbCI/JTegRoO+J0PgnawD7GQD1W3hipthSJ&#10;a7iG9co1RTBeWL8oW6YvWgtApi9bfg5yjSC/PI0RcTo97j2kkeODn3Gt6L5E++V8IR/XDdZYrM5m&#10;7wPC+rn2AMYObUiNHdomx9zqryzTQt8fXGf6vipqi9Na7n345Lq9F+Tu3QwuxPUscBLcuef8cqf8&#10;RCDK4RqkjVbJGE5nMWbM8OpawKcV7zhOc+B1qTj9jad1EkjIuO9wcpyVr1G0ELffoGF/rtTXcIAQ&#10;p0+jcSHO6Y08/ttfq38P2j8su2+BmbanINt63xmTzDTt5vlbruoR7XCcvsKE406q25P3HzxiYW3L&#10;bn1wIc5xHMdxuo8rr3qkbs8F+wwcOrG2LZcKk0859DFdlgtxjuM4jtMeLCFun66hP65ty8lwz4Mn&#10;7vJ3Nx7SWw/vi1jx5mnhxbsmhUcuOywsmHRAmDe6K8ytIP/hblf2q75aFa9NvfPkQeHJG8aHZY+f&#10;WD1tzqqjWSpdrqIFEYk8dY3ilbyWygty0wGKLjHZJqcspoEkY8VLiiQoKfSgTlxLiUCp9jMOshR/&#10;tki9hjaVT8pT1vjkxGE8pFwlgWQUk+KkIJmijBCHNRZrC5D91UIc2inTWqAtUnYqI8Q1Un4Oco1I&#10;OYvItFgnKfErNV+pvlLow8/WOm72PgBF6wVtsMZOzrlG1pUaFyDvAdRjjTWx7henPVhCXO7ezXDL&#10;vFvu0GVs3PSu+fDecRzHcZzWMHPWzLq9tx1C3LU3zTIf0jtOp7JlzSrj34N6vtzVE9rqQpzjdC9a&#10;iOsaethjtS279eGU066YIisDLsQ5juM4TnuwhLh9Bw4+rbYtlwqWEHfNdWPNh/iO4ziO4zTH9Evq&#10;//Ec7A4hbvWKM8KyJ04IT1w3Ltx2/IFh/uj+GULc/tVT5OaM7hcW/vyn4bHfjQ6vPHBsWLn8DLOO&#10;Zql0uVD6oLwCOUlep0Sir2tYB2QWiEspWGZMpGFZsfZC2GMaSD9WGgvUzXz42UrTrAjEOALZjqda&#10;yb4DedoVYf0AY0lhSOcF1vjkxMk0LF+KV9Zcy7FDu9h2fPKksGbkMCDn0hLB9JxBBEMarF0ZhzbI&#10;cUS8zAdkf3S5pJnyU+g1gt+xpoGcNynkYYyl+Ia0XA/WuMv+IZ01X8Rax+yfFUfYDyuNlPFQFutH&#10;O+Xc6ryyzyiD/UJ+lCPlVZJqB2F7UC+FX4D6sJ7luDvtZcmTp9btvWDvrkH9K/OTHa687qoHdBku&#10;xDmO4zhOe1l417y6vRfUtuaGAoQ4Xd6chXeYD+kdp1PBaz6tfw8CeCWolacnINu5u0Q0f2Wq43Qv&#10;k0+dWrcnd7sQd/702eZDfMdxHMdxmkfvu/sMGDK9ti2XChN//rOndVkuxDlOc2zduj4g4NOK76ts&#10;2vxO2L59S1i9+jkz3nH6ApfNGF2354Lch+ozb528y9/djQpx6zeeE1b/YWr1tad3njI4LBw7IMwf&#10;07/uHxAtKMTdNvmnYcmMkeGle48NK9+eYtbRLJUuV0lJHzylS8s9UmyRQo6GacoQE1gYH2svBRhA&#10;0SaHHAkKdSI+JdekBBzZNog2Ol62QZ8SB/knJgoxHmUyvzU+OXFA1w3Yd6DHFesC12NiJNstpbYi&#10;5FhY7UUbpAQYm7MYqXnKWQtFpMpPwXxFeSmuWRIYkOtFjzvrQDylMom8r602NHsfFK0HOf7ye4X1&#10;Yt5l+hSpdhCmKSsvOq3n2ZdPr9t7QSuEuG3bPjQf3juO4ziO0xoeXHxv3d4L9uoavkdtey4dtm3b&#10;tqcuz4U4p7cBmYz/BnTXyePq/k0IJ6BZeXoCsp1+Mpvj9A2mnHtB3Z7c/+DDXqtt2a0Pk0644Fey&#10;MnDxpbebD/Adx3Ecx2me/QYdWrfvtlKIsx7gO46TD6QvBHxa8X0VGax4x+kL4LXket/dd+CQEbVt&#10;ORksIQ6n1lgP73PYsGlaWPb7n4d7pw6tng6H16bOGrl/FfkPiRKkmzOqK9x+wkHh95W+vP7w5LDq&#10;3d1zQlxMTgGQaRhnCV6EacoQE1gYr9uLdlJsAWXllhwJqlkRiHEpoYdt0P2TJ9/JU6wkcj6s+cyJ&#10;i41banxSfZbxVr0xKNkBS9oCckxicxaDcwl0XM5aKCJVfgqOFeTCWL/lPKfax7KkNCfzpu4RyobW&#10;nLJvsfkGrFunkXMmr2uYRkpzUtRLCbiSWDsklAtTY+50DyvXnFO394J9Bg6dWJmf7HDx5f/2qC7D&#10;hTjHcRzHaS9PPrO4bu8FP+katGdtey4d7n5w8T/p8u5+YJH5kN5xOhGccCb/DWjlM49XTzrj7xDk&#10;rHw9AdluF+Icp29w/iWX1+3J/zpo+Obalt364EKc4ziO43Qvgw87um7f3XfAkNm1bblUGHOUC3GO&#10;02pciLP5+uut1XGxTs57YunV1TgE/KzjHae3gFNY9b6b+9rzy648ape/u3FqjfXwPpe3nzs5PPCr&#10;YWHWqJrsNrpfmDOqX1SKWzi2f1gwpn+469TB4YUFR4V3X/pFWLPmTLPsZql0uUpMVuKpYzGJizIJ&#10;Tn2y4kFRHZIigYVlpWjkpKccCaoZEagojjCNHivWDeR1DdNYY91oHGEaPT6pNQLBqJET4nLGKmfO&#10;YqTGs5lySe58acr2OwdZVm7fUu1g31JtjOWX45KDXI84FZBrCZ84ybBIYEv1g0hJD2s4Jpw67ccS&#10;4nL3bgZLiLMe3DuO4ziO0zpeff3pur0X7NM19Me17bl0+O1V1+6ny3MhzulN4AQ4/vsPXv2Ja0su&#10;mVr370Kx16biOuU5fPIa8vM1omDRr06uinY6P8FrRpFHn06H33E9Vr9MK4U4WU5K6JNtfPy3v66L&#10;w7jIk/PQP/yuX4mKtslyrFemou96TIr65jiOzW+uvLZuT/7fBx78VW3Lbn044rizLpOVgctn3Gs+&#10;wHccx3Ecp3m0ELfPgKH317blUkELcfsPPth8gO84Tj4uxJXnxRfnVMcMAT9baRyntyD33R3sPiHu&#10;vddODY/+dmS4bfKBYfa4fuGWw/aryXD7CXb8Ax1+XoBXpo7sF+4/d1h4Y/HxYc2qM8P6TeeaZTdL&#10;pctVpHgiKZKZpExivWoTFNUhKRJYWJYGpztBzGpUYMoRhZoRgYriCNPosWLdQF7XMI011o3GEabR&#10;4yPHDnPAV6rik8Ik0K9aTZEzVjlzhutoE088s7DyMC5WLmmk/BQ5/cZ9putIIQXR3L6l2sG1mGpj&#10;LD/lyVy0nIaT4fidRFL3faofEj2mqAPjVmbNOq1B779lhbizf/3rXf5HNOvBveM4juM4rWPFylfr&#10;9l5Q9rXnMlhC3JLHl5oP6cm8Iwc7TltZvvg+c+01gpTHKIUtu2+B+Heh/cPT1162Sz6wfMn9dekg&#10;g8nT5TRIr8uQ0lkMlGkJdTKNFOIg4Mk4q17dR74adsuaVXVjYiHL02OgxwpjIuM1st09iUcvPctc&#10;e44TY+vHW8y11GquvWlW3Z78Lz895I+1Lbv1YfRRU/5DVgZciHMcx3Gc9jFszPF1+26jQtxhE372&#10;kixn4LBDzIf3juPk40JceVyIc/oSkM/l3pv72vMzzp+wixC37J3mTmdb9d4Z4eX7JoVHfzsq3D0F&#10;/2gxsCrF4bS4+WO6Kp/9wrzK54Kx/cO8ys/4B7r5Ew8Ij/5uTHjv5V+E9ZunmeW2gkqXq1giVFnx&#10;Rr6aUcL4lGxFigSWMmWVIUcUakYEKoojTKP7x7qBvK5hGmt8Go0jTKPHB6d0QUhkvEVMloyRM1ap&#10;OUObWEYRMh/IWQvNlJ8ip9/y1aGx9sXI6RtItYNrMdXGWH4pSMrrZcDYYwz0mrOk3VQ/NJDfIMFJ&#10;4Q4/lx1jpzkGDBtWt//m7t0MWog74GejzAf3juM4juO0jo2b3q3bv3cwZERtey4dzvzVRUN1eUVC&#10;nBZeHKfVvHHPfHPtlQWnk8lyIYkxToptPDlOo2WwIqxyrHQWRXmlWKYlNJzEJvMBXJNpeFIbhDZ5&#10;3SJXiINclxIEQU8W4qz2Ok6M7hLi5iy8o25PBrUtu/XBEuKuvOoR8wG+4ziO4zjNM+qIU+v23cof&#10;82/WtuVSYdiYYW/KclyIc5zmcSGuPC7EOX2JXYW4oVfWtuVkOPH0cb+R+UCzQtyH688O7y+fEl5f&#10;cnz4/VVjwl2/HBzmHN4/zB61f1gwtqsqwUGIu33cgB2S3NEHVE+He3b+0WHVO2eYZbaKSperWCKU&#10;lFdysV5hyLiUbEWKBJYyZZUhRxRqRgQqiiNMo/vHuoG8rmEaa3wajSNMo8cHEhGu46QuQKEIn1hD&#10;jQhFOWOVmjM5XmgTThaLxcvrIFUuaab8FM32u4jcvKl2sG+pNsbyNzouMdAHeTqf7lOqHykgcMp1&#10;bH2vOe3h4LEj6vbf3L2b4ZQzz677H9GGjz/KfHDvOI7jOE7r2Lbtw7r9ewflTnmV4fDjTtlfl/fs&#10;Cy+ZD+mJJQo4TitplRCHE+FYJsQtGadPWbNOaLOEOIhrFMbwqYUwXQ6EMJzIhhPaZBwENX1Sm369&#10;qIzTYpmsV/cN6NeX8jrK4XWMAaQ2XMcnRDvZP5AS4nSczMfXqLoQ5/QWukuIw2vL9b68V9fwPWrb&#10;dmvDsDHHXqsrcyHOcRzHcdrH0cefX7fv7jNw6NratlwqaCFuyMhh5sP7TuP777+pijVPLL063Hb7&#10;KWHdutfDX775Y/Ua4j75ZFV4aNH0nekh4Gzdur4aj/D111vDG8vurSvTgvlYHwLyoj7Ua+VBvZs2&#10;v1OVpWQ+tA/tQputfAB5kYZ9QUA577736C5pUQ6DjiOrVz9XjUc7YnHoH35Hn9he9FGOH+A4I44B&#10;6ZG/HYJTo+PIcWGfOaYsA5/4PTZ/RK8Z1Iv+I65RIY7lYezxO+ZVjqceS9122YYU6BvGzporay0R&#10;vSZSY2DBtMwPWGYqyDII5lHfC5z71HrjWCE/4Fzhes7YOU4rwF4r997cU14tIW7lmnPMB/fZbDkv&#10;rN94bljx9pTwyoPHhsevqXy3TB8e7pkyNNxx0kFh/rEHhAWTBoYFxx4Y7jj5oGrc07ccEZYtPTF8&#10;+OFZdpktotLlKhBV5HUIIIyLvS6VyNemWmkZp+uwKBJYypRVhhxRKEfmoZxjtT9HzmEa3T95Wl+s&#10;fXLOrPFpNI4wja6f4lCsXY0AyYz1WfFArjtdN+chdmphai5RVqxc0kz5KXLWCE4yY9nydag5yLyp&#10;uU6t45y+xfLLdaxfh9ooqXWfM54xUuvLaR9jJ42s23/LntB+9AknvSLzuxDnOI7jON2D3H930LgQ&#10;N2LCMYfo8pa9tdx8SE8sUcBxWkmrhDgphelT1PQpa3ydqkQLXyiPAhmR0h2QUlgR+rQ2nVfGabFM&#10;1ytPv4OMJuP4ulQghTiIcro/Gj0GKSEOYyrz9mRciHPK0l1CHE5p1fvyPl1Df1zbtlsbLCHOenjv&#10;OI7jOE5r0ELcTwYO3V7blkuFg0YcslyW01uEOAbINhRgdMB1SlyxkBJkIBSlAmQjS6qKtUcGS+iB&#10;vJPKq/PgdwZ5XSL7HouDMATJSAdZH9omxSQrpESrRmh0HOW4oE2xcmLzB1JrBvkompUV4ihnaVlN&#10;B/QBwmas7al6U/kYkN/qu1wTqfWP9aLzAvZPtq8RIS41/gxon84HGKzvhtS4OU4rGT6uMSFu3DGH&#10;XSHzAeuhfVk2fDQtrF13dlj1h6nhvVdODW88cUJ4+b5jw5M3TQhLLh8ZHr7k0PDYlaPDs3OODK89&#10;cnx479VTwwerzgwbNp9rltcqKl02RRL5WkZINDLOglIURBgdF6vDokhgKVNWGXIkqCIpTY6Z1f4c&#10;OYdpdP+kyGRJWJCCKCFZ+UGjcYRpdN8595DYWnWSlhxrS7LEiWyst6hN8jqRpx/qOJTNuJi01Uz5&#10;KXLWCOBcox1lx5yvGsWnlVfKiFY7mrkPpLxW1McysEy9fjkP1vdSEegby7X66bSHY04eU7f/NivE&#10;HT75BPOhvePsDn70o7+ufqdcf/0MM74ngraizWi7FZ/DsjeW7vw+xc9WGsfpbfTFdY/XlMs9uOxr&#10;z2VoRIh7ad4NjtNW1r/7prn2yqClMCmMAYhgMh6ym4wHKRkslkbXA3DyGwQ2yGipV4yWEeJ0/6Tw&#10;p2U5efKcfpUq2oNrum6SGgOUK+MAT8MrEu12Nyuefsxce44Tw1pH7QCntOp9uW1C3KBDj54jK9pv&#10;0KHmw3vHcRzHcVrD5JMvrtvkWyXE4SG99fC+09ABAg0EHyDlLgoxkI8oT0HukjKSJQZJiQdl87Q0&#10;pJWSlSXYIA5tgJgky5b5UL/MA3i6FuLQRl5HOahHy19S/JLXJVIsSsUhQHhDG1Gu7jNlOLRNnqyH&#10;dsoTxHQbm6HRcZTjgoC0yIM4lCP7bYldMj/K5zjgU/YVoaxghfQyoDyWL9cc+yfbjnRybct5IJgP&#10;5sWcpeYKP8u8QK8J9J9zqvvPdknYP2tc5Lim1gnKZUA5aDfj0B+0iQFjJvMCHTBmqA/lWm12nHYw&#10;+qjhdXv4PgOGPFXblpOhXUKcZv2mc8P7K84Ibz13cnjpnknh+duODq8tmRzefeUX4YP32/uaVEml&#10;y1W0SELhJlck4WszgRboYnVYFAlBZcoqQ478ImUeiEhMh/5KAQpY7S/qG2Aaq39SVEI8ZSZIW1KG&#10;i+VvNI4wjR4fOfca9AdAkmpU3MJYQ8LCNZSBnymkEd0mzofMC6yxkvkI45AWdbJexjdbfoycNQJQ&#10;D8vHOKENcnwxHpgXtE+/zhVpmRf94P2KdDnrGPUwHuWXvQ/kekG8lA5RNn7HWkfZMh/S4rpMjzrl&#10;fZF6dS3nCWnkekE9aJPMi585j7odTns55awJdftv7t7NcNgRx7wh8//8tCnmQ3unecaMGV69R/Bp&#10;xYPLLjt/5z2ohZC9995rZ1yKhQturMsn+eTjFVVh66CDBtTl+e//sGe1Xam8uwO2D+NixfdE5Bxa&#10;8Tk88/SDO8vAz1Yax+lt9MV1v6sQV+615zL89NDxJ8mywOoP1pgP6R2nk5BSmPVKUaBfm6qlsJQM&#10;lptGn0SXQtcv46xXj+pXrlJCkyfj6XxIo/MR/bpU0Ez/MAc9XYxznJ4GpHS9L+/dNah/bdtubRhw&#10;yLgFsqKBw8abD+8dx3Ecx2kNp0y5vG6TB7VtuVQYcPDQFbIMPKS3Ht53GjJYkos8zQwCjRSqgJRz&#10;rPyUiizhBsj8UtgpIiWoMViik4VsgxUPUvXJOPRXjxGhqIUxjaWhCGVJVu0g1S85LuiXNT9sL/oU&#10;i4uNiRTXLPErBctGsGQ8KbxZbUd7uDat/EVtB1Jqo4xH5Lha901u/da4yHnBzzoeyPJjY4s0vL+t&#10;+ZMB/dHxjtMdHHFsvRC378Ahb9a25WQYMWHEjTLfgGHDzIf2rWDDpnPDB++fGd597Zfh3ZdPDSvf&#10;nhI+WH1m5fq0+nRb6vO1kkqXq0gRCjIIr1unc1nIPJBLZByvp2QrAukFaS2RBpQpqwwQZFi2lqsk&#10;UibSoM2Ufaz2F/UNMI3VP8hCWraSIE8qv0xXJo4wjR4ftAvSEONjII2WJVNgTcXKxXUphek2pfIC&#10;OY4yH5HSloTxzZYfI2eNkNRalFhjLiUyDeKK2tHMfQBS9ROIfjIP2xRDf+8A9N2aJ7nOdZxGCnhO&#10;+zl7+hFi3x4a9hk4dG1lHrKDC3HdByU0fFrxkNEQDyxpjnFFxKQ2iHA8cS0F5LiecjoT29SbhLic&#10;U+96sxjUF08Bc/Loi0IcTmWVe/C+A4bMrvS/oVDZ/yfWlVXBhTinN5A6iS2Gfq1qs0KcjitCy2gy&#10;zhLicBKbTAM5TZ8cZ73GFJIa2hkbI3nKXe4YoH0yHYF8p9M7jhMHe7Del/cdOGREbdtubeg/dNSD&#10;sqJmhbjrr/99mDnz9+GWW5eEOXMfDvPmPxAW3nZ/hQfC/AUPVa4tCrNmPxJuvnlxJd2j4brrHzfL&#10;cRzHcZzeypSzrhYb/A726hq+R21rzg79hgxdL8vAQ3rr4X2nwRB7baIUe2JiEIOWZiCkMcjrGoaY&#10;NGeRkoIoAuVKZbIsKx6kxDEZZ0ljhCdypeQiloU+WPGtJjWOMi4mF8bGBWuFIba2AMckJm3FoDCG&#10;/FZ8Tttj0hnkNoZU22U6PadyXGL3Taz+orjUnBF5OlxKDJXpdFkM3SVnOo7FpBMPrdu/K3+ob6tt&#10;y8lw4KHDb5X5Dh47wnxo3woguuFVqus3n1t9NSpEuA1bgJ2+HVAWkeIbX3mIuDICEyUgLcFYdcTg&#10;CVP4tOLLlFUG9BPlAshOVhoCQUYKT/iZp09x7Kz2F/UNME2sf5DPIPPw9DSWRyGMopGVPzV2OePK&#10;NHp8OBb4RPtkHNKiTOZN9d0C84I+MT8+8TvXJcfBmjOdl/VjrJCe5el8RI4z0um2N1u+BfKzHCte&#10;wzbI9YA6KaVxnCywZmPrmPJZTGgDjd4HBOOEeDl+6AfqRH69ltAX9EnWyXlJSWuYC44rQH6ZHu3Q&#10;Y4ifcc1aV057ueiKiWLfzt+7GQaPHPeOzD/1V78yH9o7zZMS4iAGUZTCSXA4yU2nQRxoRA4795xf&#10;7swPTvj5xLDooYVV6QRAzpIn0KEtPUFWYnt6kxCX06feLAb15r45zdEX1wYkdLkHl33tuQz7Dhx8&#10;miwLfLTlY/MhveN0ChC6LDmrCH2SXK4MFkujX12KOPn6Uvwu48sKcRDbZBqceKfLLDqhDWOlZTb5&#10;+ticMSDoG+K1aGdJeY7j2GAP1vsy9uratt3asP+gw+6WFQ0+7Gjz4X0O11//RLjppiVh/oIHwwMP&#10;3hGWPn1LeOm168Jb71xV4crw8mvXhiefmRUeWTw/3PfAnWHhbQ+GmTc9pspxQc5xHMfp3Zx93o1i&#10;g99BI+9G/z8HDf1EltHbhLiYpBUTniQMKSkoJ8TaYJGSgiAxMUDmSUlqQJZlxYPUOOSMESgbrDJa&#10;TWocU3FWmtj1WF6QEr9SFOXLqT9WRm7bQUy+zFkTTGP1IdW/nPblrkncGwxaSGVAWfK643QnJ5za&#10;mBB3wLBhdX93j5000nxo7zhO/as7tcAkKToxzOlZ5AhxjtMOfnvdJLFv5+/dDAcMH/WhzH/hZZea&#10;D+2d5okJcZDfcCob4iCiWTIcQDwoK4dBfGNeSG+rVr1ipgMQ42RaK013wra4EGen60T6ovTk5NEX&#10;18auQly5157LYAlx1gN6x+kkcNKbFLLK0MjpaLE0WjST+YCW18oKcUC/9lW+LhVxVh4LXQ6vlxHi&#10;iD6lLieP4zg/oPfltglx//uAYQ/LioaNOd58eJ/DTTMfCwtvuy88/Mj88MJLN4Z3VlwR1m66JHy6&#10;7cLwxVeXhPWVn99d8bvw2rJrwjPP3xQWPzov3Hb7fVWJ7no/Kc5xHMfpI5w/fbbY4HfQCiEOp9ZY&#10;D+87DYaY9JIj1jDoMuRrK3OCdZIVTuGC4EZByAqWFKTrxishIfxYp3VJwUjHkdQ45IyRPE0sJ8RO&#10;PmuURsYxR7yKjV1OXpASv1IU5cupP1aGnE+Mm4zT5JQhr0uYxupDrFxQpm/Wq1A1DGhPznXH6U52&#10;FeLyXnv+f356SN3f3S7EOU4cnKJWuW2qWPHEBavOwufL2V3cMHty3b4NKmsxO/QbOqLu7+7fXXOV&#10;+dDeaZ6YEMfrRaeyIQ0oK4dJ2S4lwxG8rpV1xV6/2l002ufdiQtxafqi9OTk0RfXBiR0uQfvO3DI&#10;m5X+NxT2GTBkuixr4LBR5sN5x+kk5AllMZGM6NeOytemNivEaTEPdeF67JWljQhxqdPwrJPZIMyh&#10;XVL8w8luMXkv1T+Uj/LQL3nyHa7H8jiOUwz2Yrk3Y6+ubdutDfsOPPg5WVEzQtycOYvCE0/ODu/8&#10;4Xdh9dp/C+s3XxI2f3JB2PrlxWHbHy8Omyo/r9t0Sfhg7WXh/Q9+Uz017unnbwqLFt1efa3qTTc9&#10;apbrOI7jOL2Jiy+9vW6TB3t3Depf25qzw/8+YOjXsgw8pLce3ncaDDHpJUfsYdBl4NQsBnk9F3nS&#10;WyrEpCBc12IcRDMtOUnBSF6XpMYhZ4zkSVyxsW4XjY6jHJfUGDPErsfygpT4laIoX079sTLkfLoQ&#10;50Kcs3uZOm1k3f4Ncl57roW4Y04eYz60dxyn/oQ4vJaSr24lfC0m0/CVmk7PxoU4Z3cx764T6/Zt&#10;kLN3M+w3ePgWmbe3CHE4ZQ2vCdWvAYXslZK8KIPhpDT8jrSyDPyME9d0vhwsIU6+yrRIPmO6MnIY&#10;BDvmQ11WGg2kOebBeFhpIKsgDmOKdBzbVkssbAf7jE8KfmxfzqtdMbYcf4LfU2OOvuDVsjof1gDG&#10;MnaSnyXEyXmIIccOP8vrqAttkeON32NtyKHRe4SnCMp1rEEZSINPXpOnD8aQZQC0Ub/OFz9jjGN9&#10;b7ZfbDPGnf1gvTI/6pHrMXdOmM9qn1wDGtyXKF+u/6I1bIH60VfklWWxDanvN6RBWqxn3X+A/EX3&#10;YyqfXvdW/t4G9ly5B+8zcOjaSv8bCvsMGHqlLGvYuKPNh/OO0yloGYsSWgyIXDI9JDW+ZrRZIU63&#10;pYhGhDigxTpivS7VSqfJlQLxs4yLIWU5x3GK2VWIG3plbdtubdBC3IRjzjQf3hdx48zfh7vuuSe8&#10;8fbV4fPtF4W/fP+b8OkXF4Ytn10QPvp0B/h5y+fTq/Hbv740bPr4wvCH92eEF1+eGR546PZwyy1L&#10;zLI7lb337l/9j1N8lonriZx++lXhr/7qv1TbfNJJl5ppnDw493/7t//DjO/pYP7RdvSB/Zg2baaZ&#10;thPptHvT6Uwun3Fv3Sa/gyEjKmuvVNBluBD3Awy6jJy8MaT0A7lHnx6XIwURnAon26IlI1mWvC5J&#10;9SW3nwx6nNpJM+OYirPSxK7H8gKKW3pOiijKl1N/rAyMEUOq7YCvTIV4Ka/nrAmmsfqQ6l9O36QE&#10;acUTKWq++96jdXEM3bleHUdz3gW7CnE/6Rq0Z21rjga82kXmOeWsCeZDe8dxdnDkxL13/s2ZAq9N&#10;tfI7PQ8X4pzdxb0Pn1y3b4OcvZvhfx948Fcy78xZM82H9p0EhA6KGzEgg1jiCuUnCDX82aKshAJY&#10;Hj7xO8pgeRBUdHoN00ImseItkJb5csQxQlkH46jjZLstdPpmYJlacJKgjbG+YY5T8wggGel8KM9K&#10;K0G91hqSY85rOeVJAUiKQVgbsfWMMbHaUEQz9wj7x3Vsodc6oHCWQpaBumNzDqy+t6pfWBM6H0E6&#10;zGdqPcbmBPmkCGZhfbcgX6pfZeQxKfnFQB+tvIzHXMb6gXaivVZ+SH2p/stx76tCXNnXnsuw74Ah&#10;s2VZE447yXw47zidgn71Z46MddfJ4+ry8GS1ZoU4kHp9K0Q2+YrTRoW4x3/767q0IPa6VFmfBcZC&#10;inSp/uUIfxxLx3HywV4s92bs1bVtu7UBRr2sqBEh7pZbl4Tb77gnPPbErPDeqhnhqz//W/j2/15e&#10;Fd8+/nz6TikOP0OS2/b1JeFP315Wvbb6w9+EV9+4Njy8eEGYdetis/xWMWnSeZX/EO+/U+wC//iP&#10;/yuMH39auPDC+WaeZkDZrKNMXE9kxIjJO8cMP1tpejJ/8zf/bWf7IfdZaboLtgNY8T0ZyHCy/aSn&#10;rokZM+6r3t+83wDuf3wP4PsA8TpPp92bTmdy5VWP1G/yVcq/G12XgVNrrIf3nQZDTHrJEXsYdBkQ&#10;bBis16GmoNAD4ciKz5GCNDFJqFnBKGeMAE7rQmj161BTNDOOOeMi08jr8hWxKaEKY4FgiV8pUsIY&#10;yGl7rAwpieE1uzJOkpLJctYE01h9SPUvp29oNwPaaaUBMp0+DY8hNX+O024sIS7nted4tYvMc/b0&#10;I8yH9o7j/ABOfsNJcH+35492/j0H/mmv/1oV5h5bepyZz+mZ8FQ/fFrxjtMuljx5at2+DXL2bgad&#10;d+Fd88yH9p2CFEcgXsjTjhAnZRD8LPMCijwyDV8zCkFDSjA5rx+VSElIttMSsixYb0xWsZD9teJj&#10;SDFFx8l2cwwgAEHkwZjr9M3ANhD0nbIR6pNzrfMC9h/pkJ550W4KUCxX5uP8QMSTYg7yy3yIl/mA&#10;jNdxgHG6TokU4gDbjzjdhtz1Q5q9R1g31rGOI3Kt6zjZt5T0xDIABCzOnbwPpUjaqn4R1MH24ZNl&#10;A/6MPGgXkMKftS6QBu1CPMpOtU+PC+OQD2l5HWVgnFLjqEFZyIP1JL/D5LgCjreEcYT9R1zO/ajn&#10;lNdlXlKmT50MJHS9D1f631DYZ8DQ+2U5LsQ5nY589WdMCtPETpWDTCdPX7PkrpXPPF6XRr6KlKA8&#10;Kd1BSoPEBvFMCnwoS+aTeeSpbRrdThAT0VAHytISIMYN7dSnyhWNAfIgr0zD17Jqwc9xnDwmnzq1&#10;bo/HXl3btlsbtBB39PHnmw/vU8xf8GB47PHZ4dU3rwkfrLssbPlsevU1qfjk6XCST7ZeWJXlNn08&#10;Paz+8LLweiXf4kfnh1tvfcQsv1lwepUUoiwgyUCQsfI3Skqs6UnSDYQhjoEVD3hCHNjdQllZtMTV&#10;zpO/MD6oA2NqxYNOPoGMJ8PhkxIp7q+eeEIc7mfORwx8L+i296R70+ndyL13B+WEOPwf7boMF+J+&#10;gEGXgZPZGCyxJwVftxp75aMUeWJSkCbWlyJ5C+XzJDAEHZ8zRkBKdbltbpZmxhG/M8TaK9PoOAqA&#10;+MRa0PHydbZl10dKGAM5bU+VUdR2wLHF2tBpctYE01j1p9omRbyYaCrXNNpppUGb2U+rHgbrnnCc&#10;7mL6JfVHuYOc157rv7tdiHMcx3Gc7uHZl0+v27dBzt6NgFer6rwPLr7XfGjfKVC4gFxhCR1Aiida&#10;apPChiUaQdJgPAWlXFg2pBMpxlhpLVhvCinZADke8noRUg6SAo7sf2x8WwnrAtZ4y3bquUS7GSf7&#10;IGH+suPDccWnjpNt0nGAcUhnxQM5zmib1X62ISYfxZBropF7hP2z+k5S4yP7FpOesI6ZRopTBO3G&#10;/SnXRKv6BXBf6jJQF+OBtR7ZBmtOKMwhLtY+5kc75XXWqe/vVlM0N4wDZe9HWba19pFeCnmxtdHb&#10;gISu9+Eyrz2XQQtxeAhvPZx3HKdnI09+g5xmvS7VcZzOYFchbshTtW27taEVQtxdd98dXl12TVi9&#10;7tKwccuO16RCeqMAV31VavWUuF9Xf+dJcZs/mR7WbbokvLfyd+HxpbeGW2c/bJbfDJBdpBQDyQWi&#10;DKQugJOtpCxnldEoKbGmJ0k38vQ3K77ToYAmsU4GawUsvxNP0cuB/UsJfz0B3ONsK9h//2FVMRL3&#10;PD4HDZqw83tB34M96d50ejf7DTpUb/TTK2svO1hCHE6tsR7edxoMMeklR+xhsMqQEhikGynwQMjB&#10;7xCj9AlmUtRCuRSOIANRRGKQwhN+huSD/PLEK9RDqc0ShHhSGQLy4hrqlP1n0HlzxgigPWwDPpFP&#10;thF9Q91sv8wLeOKeJWDFaHQcQY5UJtPoOHlCIOpiX626LSErRUoYAzltT5WB9cKAtSHXrW6/NVc5&#10;a4JprPqL+seAtmFOgT6lTt57aC/azTj0R655GUcY0E4d5zjdxWUzRtftvaARIe6iKyaaD+0dx3Ec&#10;x2kty945s27fBrlCnPV3dycLcRAqKt2qYp3QRGQ6LWZQSEmJarG8RciyKcSl5B0N602hJRXWiU95&#10;vQgptkgxRUpmlqjUalhXbD5TAg/y4Hqq7zJ/TJqzkONTJg4wLrV+ZLtiElRRPRatuEdYb2pcU+su&#10;NWeEJxTmioqt7BeI3ZOMj9WRmhPKXrpeCfPrfuN3XNeiXDtg+612Mq6Z+xHExleKkLG10dvAnqv3&#10;4caFuCFPyXJciHOczgOn0lGGA6nT5BzH6flMOfeCuj0eb1ipbdutDfWVVP4j4OSLzQf3KR586Paw&#10;YtWMsP3rS8MXf7x4pwgHNn/y66oM9/HnP1zb8TtPj5se1m68JDz7wswwZ+5DZvmNAulJynCpE+Ao&#10;hVlxjZISa3qSdNObhTisAfYNUhR/bvVpgITl90YhTo5lTz4lEG1jO3H/x06vQ38gS+p7sCfdm07v&#10;plkhDq94kfmBC3E/wBArQ54EFguQwGQeCD5S2NFBxknhSYpQVoBMJiU0AiGIspoOFNQYdN6cMSKp&#10;emTQchOQElZM8tI0Oo5AjmWsPpnGik/NPfpDaSsmfsUoEsZy2l5UhpzXWED7i/Ja8YBprPqL2iZl&#10;NxlkGsy9Fg91wFq01hpgiN3XjtMd/PtVY+r2XrDPwKETa9tzNFT+oN8m87gQ5ziO4zjdw8o159Tt&#10;2yBn70aw/u5+8pnF5kP7TiBHtCExwSQl8hCmSYktFrJsKZal5DsJ05epl3XmikWEYg7Q8oo8xQnp&#10;IBnJ+FYi67HiAdPoOWffcykj4MjxKRMHGJfqU85almmseIuccknsHmH/ML7yukSudR2X0wausVQd&#10;klb2C8jrEsbH5i5VBq/nIvNKmQztLiNvloX1WH1MxRGm0fOQWhOkzDz2FrDn6n24zGvPZcBDdlnO&#10;+Zdcbj6cdxyn5yJfuwqs17Y6jtM5YC+WezP+h/Latt3aICsBp0y53Hxwn+KBh+4If3j/ivDZ9ovC&#10;59t3CHEQ3vDK1M2fXBg2fHRRWLfpourpcTuEuB1xEOO2fX1J2PTxheGlV68Pc1ssxEnRK+dEq1a/&#10;9jEl1vQk6aY3C3HydbAQoHgaIF75aaVvFo5jbxTipGjWk4U43lsg5572V6Y6u4uBw8bX7b/7Dhgy&#10;u7L2sgP+j/a6/BXwGjfr4X2nQTnLOuUKUARDOiseFJUBICVBzpEyGEQzCD/IB3lH58E1yDhIxwCB&#10;iwIPy4JkJvMhXteFfJCIrHoIypECEepF/ciDOARrHHLGSMJ+aVENYwGBrEjgQkj1Q9PoOLLPCDpO&#10;p0n1HfXIvsq68YmAcdf5UnCeYvnYLgT8bKUpKgNgLjAncuzwc2qeQM6aYBqr/py2yTlFPbG0qfvB&#10;kkMJ06fua8dpN9dcN7Zu791B8WvPdZ4bZk82H9o7juM4jtNaLCEuZ+9GsIS4V19/2nxo3wlIGaVI&#10;0orJGTnSBtOkpBALXTZfoQhSp1oRpi1TL+sEVnwMSDexfBDkpBQHUI/1CsVmYfmNCDg8hS8HSFLW&#10;mkGZOK1M91ei88h1qOMA41J9yhGDZBor3kK2rdF7hGXo65JYXpDTN8bn3Beglf0C8rqE8bG5i5WB&#10;NvF6DpYky1PzCNY3vkNyT5iUIA/yYgwoCGqsPqbiCNPouU2tCZKzNnob2HP1PtyoEKdPbXchznE6&#10;iw/feLlOhsPrUq10juN0Dr+58tq6PR7/Q3lt225dsI59n3LW1eaD+xR33n1PePm168PqD38T1n+E&#10;V6ZOD59vv6j62lTIcKvW/CasXD0jrFl/adj8yY7XqSINTo3707eXVX9/9Y3rwrz5i8zyG4Wnw0GC&#10;suJzgUiFVyxCokJ5AGXjdKnUSWMpsSZHuoF0hDrkKXdoA2QrtMnKQ9Au+apQjAFOSLvwwvk701iv&#10;Es1BCkQso0gwYzqrv830swjOGfqO3zGPrEOORQykQR75Wl30Qc47xoNxZUCfZV2SRtccBUCWzbFl&#10;GehHWVmPZcaw+oE8XOMEv+N6bE45jugnfserTTnu+MTvOo9GzgXnvCxsN9cq6pXzgJ9TbeGaQX65&#10;pnkPagGP6P6jHKRnGfjE76l7gutGrlcLzIPOy/pkXrY5515xyjP4sKPr9t99Bgy9vzLu2cES4vAa&#10;N+vhveO0C0plsVPDHMdxeiN6/y16qI5Xuug88+460Xxo7ziO4zhO69H7cK4QZ/3dvWLlq+ZD+05A&#10;yiidIMQBKZ7FXo1JmK5MvXJMypwqRZnMEnMIBDj2iehTt5qF5TYi4FD0Sc1lDAhDum8xdF455joO&#10;MC7VpxwxSKax4i1k2zpBiEuNkaSV/QLyuoTxsXbFypAnQub2yQLjpcU43KNFfZbgvo1JcBKrnak4&#10;wjR6blNrguSsjd4G9ly9D+e+9lwHLcThIbz1cN5xnJ7JywtuqpPhnr/lKjOd4zidw7U3zarb47tN&#10;iDv7vBvNB/cp5i98IDzx5K3hjbeuDmvWXVo9HW7bHy8OH2+dHjZ+dHF4/4PfhD+8f3lYs/bfqkLc&#10;p19cuPOVqV9+fUn1FLmXX7uhpUKcFGMgiFhpcoD4IqUWC4gvlqSixZrcOIA2yzo0kHJiYgwEFisP&#10;QF8o5EhRqgzydDApS8VEH7STafRcNNPPIiDxsBwKTPJakRiG/qTmHuPMdFZ8EbG5b2bNoU+MT40t&#10;255DGSEOYyHlMQtIVtZawbpiGkh/Mg/IEflkW1PSWgp5b6bupZiYWDR3QN5DRPc/Vk7snsDazqkb&#10;aCEuVR9AXOz+dhpn2Jjj6/bfskIcXvEi8wO8xs16cO847UCeeJY6mcxxHKe3sf/gg+v236LXnlt/&#10;d7sQ5ziO4zjdx4Bhw+r24aK9m2HfgUNGyHxg46Z3zYf2nQCEskq3qhTJFBRCIJfI6znSBtOUFVus&#10;siFeUT6LnVJGkKZsvXJMcCKUlUYj5Z2cE7rQZin2NSP8aHLKZJpGBJwYqI/lYo1omVDGy+tFcYBx&#10;qT7liEEyjRVv0Yp7hP1LjWtq7HP6xnsid+5a2S8gr0sYH5u7VBlFecuA7w1ZV+44IR/7jzGGHIdr&#10;Mk2qnak4wjR6HlJrguSsjd4G9ly9D2NvroxB6YCH7LIcPIS3Hs47juM4jtM97CrEDcV/57Q2WMe+&#10;NyLEzZq9qPra1Geen1k9DW7rVxeFP/7l0vDJ1ulh08fTq69LXb/pkrBh845XpkKGQxzkuM2V39es&#10;+7fw3As3hblzWyfEtUKMkUIUJB5ZDuKkUGadkiXFmjJxsu2QgHg6EyQYKa5YeSlEAXmyEz7ZXt1W&#10;mUdel0hZR8o8KdmNSLmJ7QHN9DMHCmGYO3mdwpa+LkEbWD8+5dzLtmlJCNdASt5KzX2za07OJUBf&#10;OV9yDQD0Q+dPEVsDBGPGsUUfML+4hjjULduGvjGOyPJZBvLgOsqy6tTI/unyc+H8EJTJtYk2SOFP&#10;rmeCduPew9zJNsh1gzJkHmD1n3OEcuT4WUIj2418sfVqrUusK5aLvso1jXLknDY6po7NrkLckKcq&#10;Y50dLCEOr3GzHtw7TjvAKzoR8JpLK95xHKe3UlaIs/7uvvfhk80H9o7jOI7jtJ5dhbihV9a26WSw&#10;/u7uZCFOilwp+Uum06/5zJE2mKas2BIrW0ogqRPZmKZMvVKAwaeWXyzYTlDm5Cm+VjQ1dmVhOxoR&#10;cORJWjn9lrAvsRPv0B6WXSYOMC7VpxwxSKax4i1acY8U9Q+k1kJO3yhYYs1a8Zru6hfjY3OXKiPn&#10;1MWyQFiN1WchxUGMhZWG8VYfU3GEafTcyvtRXpeUERt7C9u2fVi3BwPszZUxKB10OXMW3mE+nHcc&#10;x3Ecp3u4+4FFdXszwJtWalt3a4J17Pv502ebD+5T3HTzkrBg4f1h8ZL5YdnbV4f1my8Kmz/9dZ38&#10;hk+8JnXLZztemYpXqm7+ZHr4YO1l4c3lV4ZHfz833DrrEbP8RpDySI5IYyEFk5gIIgUcLcekxKdU&#10;HOUVSEA6DkhxRsoraCOvo10yD0GZWqaRYyWvS2Sdejw5BjHBjPFaAmq0n7mgPcirRT3UV1SuPF3N&#10;SoO5Rn/0nDOPJR6RnHXR6JqTc4n26TLwO8fdkqpSpNYAyLnn5NhrIU+WnyojBccPWPE5yDKsMZLt&#10;LCsVpu41WS7myFp3bJu+1+S9b7WJ445ydRzXU+w7Q66Z2L3qNMaEY86s23/3HTjkzco4Zwe84qU+&#10;/9BdHtg7Trt4aNH0qgz3/fffhNtuP8VM4ziO01sZOOyQuv133wFDZte2ZzNYQtySJ081H9g7juM4&#10;jtN6xk4aWbcPF+3dDNbf3Xg4bz207xQoneAzJkFJ2UaniUlrEqZJSSEWqbKlSBM7lY3xZeuVZUPG&#10;SclhUlrRJ2gVkTN2ZWFbGhFwpFxTdswoEcbGQJ6Ip+PkeOs4wLJTp+/lSGMyjRUfo9l7BCIZ67Xa&#10;BiGN8dZakFIa5kjHA1lHTHDD3Mi4ZvtVNG+A8bH1lCpDymuxOS1LTpslcm4s2VXOjdXHVBxhGt3H&#10;ojlF3bw3rPy9FUuIy33tuQx4uK7LwUN46+G84ziO4zjdw5LHl9btzaBbhLjLZ9xrPrhPcf31vw+Q&#10;4hbe9mB4ZMnC8OLLN4YVq2aELZ/+Onz7fy8PX397Wdj+9SVh2x8vCV98dXH4U+X3/y/8Nnz06fTw&#10;xttXhcWPzg8Lb78/zLzpMbP8RsiRc1JANGL+2MlnQKbTEhTlFXzK66k4nMjE8uR1DdNIQQUiDK+X&#10;EchSkg6Rso4ez1S9UtSRbW2mnznI9qbaFJPCKNPFJKEYLFevBUls7lux5uRcop8yjsTqLyK1BgDH&#10;zDr9TMJ0un5ZfqPiFfsGrPgcWEaqH6wjNc8WqTGUcfKEN0nsXk2Vq+PldXkvWPkIx6Ts/eCkOfr4&#10;8+v2330GDl1bGefsgNNoZH5gPbR3nHawbt3rVSHujWX3mvGO4zi9mSEjdzllJvnac+vv7mdfPt18&#10;YO84juM4TuvRQlzR3s1gCXHWA/tOQkpQkL+kcAPhQopMlpSRI3UxTUoKsSgqm/HAEoUYV7ZeiD88&#10;sQtAOoGcgzognQCUSaGIaSypCOnQTsgtjMenFG2scaVoF+t7DJbZiIADZL/RBnkqFoQg9ANtwrqQ&#10;+aQ4hTS8jjGTZQKZD6CtsTjAeUbZbA/KlYIS+sIyYmKQTGPFx0BdzNfIPYL5Zjz6wPbpV+eC2Hwz&#10;HvWjPCDHGb9zPaIOtAPXEIf6OIZyXTTbr6J5A4yPrcdUGRgf9AVx+ERaOedoI9qFfsv2ob+8JtOj&#10;fyxPr98YqIPtQx6Wh0/ZdmD1MRVHmMZat3JOOd+ce/Yllb+3ovfhRoS4n3QN2lOXg4fw1sN5x3Ec&#10;x3G6B0uIw/9YXtu+WxOsY98bEeLIDTf8Psye/Ui45967wwsv3RDWbbw4/PEv/xa2fnlx9WQ4Ainu&#10;z9/9JqzdcHF48plbw+y5D1f+g9Uus1GkOJISPWIUCSYSnp6kZRFKJFr8ScXJducghRx5qpkss4iY&#10;ZCNJjYc8QUqLXFKWk4JWM/3MAaIb8sWkJp6KZZ2YJSWhsvXm5IvNfSvWXM5cMo21LlMUtY9xRWMW&#10;G/sy/Y/BsQVWfA6x+ZEwTdn1kepjTv9lGnldSpKWTMc5T415DmXXjJNGC3H7DhyyrTLO2QGveJH5&#10;cVqN9dDecRzHcZzWMnxcOSGussePkOnBsnfONB/YO47jOI7Teo45eUzdPpwrxOn/Ee2An40yH9Z3&#10;GlrssIidzkXRJibyAEvGyaGobIghUpiR8gvA9Rws2Qdls/5crNPRisYWIpLOA6TsYsXHYJ5GBRz0&#10;WwtsFrqvEIe0oCORZcp8QI6RjgNS3JLI9uNn67pEprHiUzRzjwAITFYegHXG09Bia12eliaRaXLm&#10;gJIcaaZfRfMGGB9bj0VlFPWJSDlQzrOF9V2RgnKqBcqitGb1keli/QdMY63bVP9xXd4bsXXfG8He&#10;K/di7M2VMSgVzFPbXYhzHMdxnN3Ksy+8VLc3g24R4q68qrnXll5/3ePVV58+tGhhePnV68M7K34b&#10;/rBqRli5+vLw/geXhxWrrgjL3/ttWPbW1eHZ52eGu++9uyrSWWU1gxSDYnJJCpkfsomVhsQEmtj1&#10;VBxFrlyk/MIyi07o0si+WvGgSNZhu7VwQ/lJi1vN9DMHCmOxk8bkCXX6FZOyr2XrZb6UKBWb+1as&#10;uZy5ZBqdt4jUGpBx1is7JbE2psrPheOiyy5DbGwlTBObZ8wf5FDZHk1qDGP9l2l0HOvC2pfrFvPB&#10;+0GfiCiF1RxSJxc65Zl88sV1+29ZIQ6veJH5XYhzHMdxnO5hVyFuyFO17dkM1t/dLsQ5juM4Tvdx&#10;ylkT6vbhor2bQf/dPXz8UebD+k4EMgXED8odAD/jWkq04ClSqROXmMYSz1LklI22URjR5eeIXSDV&#10;Lo6LLgu/QxSCWCOFGfwspSP8jPK1XIffU/UyHeqx4mPExkLCNJBtrHgAwUi3GW3BXEj5SMKxkAIP&#10;0mMMURd+R5zOh7bG4gjEHzkHaJuUmlg+iPUr1YYcGr1HiO4DfuZYcgxSax1SFetGH6y0nAPZRtSD&#10;8rUMRxrtV868IQ5pYusxpwy0G32XYwewBmJtxLhifFg/QH7cs7FxSIHyZP0YH7QJZaEeXLP6WNR/&#10;wDSxdavvK3zid65/zlssf29kVyFu6JWVMSgVLCEOD+Gth/OO4ziO43QPy95aXrc3A7xppbZ9tyZY&#10;x75bD+3LAsFt3tyHw7333RUWPzY/PP3MTeGFl2+oMDM889zNYcljc8Ndd98T5sx5OMy86dFKnsd3&#10;KaNZpPAUk1ZSSGmnO4U4CmRAXs8hVV+KmKAkKZJ15HhTxpEnrWlJqpl+FlFW8tGyXo6YFIP5Umsu&#10;Nk+tWHM5c8k0ZddJalxk3O4U4uQpiY2WERtbCdNY8yzbkCI1hrG2yzQ6DvIn4ywgyspTGnWeRsfL&#10;aZxdhbihmIvsgP+jXebF69ush/aO4ziO47SWI44dXrd/7ztwyJu17dkM1t/dK9ecYz6wdxzHcRyn&#10;9Zw9/Yi6fbho72bQQtzhk08wH9Y7fQ/IMZUlUgWCSo4gFQOSDctKnSzlOI7TF8HeK/di7M2V78tS&#10;AQ/X68qogIfw1sN5x3Ecx3G6h9UfrKnbm3cwZERt+25N0Me+7zfoUPOhfSPccOPvw6zZD4eFC++v&#10;inEPPHh7eHDRHeG+B+4Kt93+QLj5Fohwdt5WIGWssiemASl4FYkisdOXUmJNLC5HaIohT12z4mPk&#10;1Jkj6/zN3/y3ajzHgWKaPjUONNPPIqRsl4sUhSCj8bolPKXIyReb+1asuZxxZRprXaZIrYEyr5nl&#10;/GC9yOs5a6wIOYaNnmYWmx8J0+i+yj4gDeVQK173Maf/Mo28jjWLNQEgueE7j+nwM9qpZTiQU6fT&#10;PqacdbXY4HewV9fwPSrzkRW0EIfTaqyH9o7jOI7jtJZJJx5at3/vM3Do2tr2bAZLiLMe1juO4ziO&#10;0x4uumJi3T5ctHcz6L+7f37aFPNhvdM3gQQnT9lKnQqVQp6a1chpVo7jOL0ZLcTlvvZcBjxcl2UA&#10;PIS3Hs47juM4jtM9fLTl47q9GeBNK7XtuzUBR8vKCgYOG28+tG+Mxyt/zD0ebrrp9+Hmm5eEm28B&#10;i8NNNz9aufZYNc7O1zoorQAtpljIU7mmTZu5M2/stZtAptMnY6XEmlicPN0sp80SedoT2mWlsciR&#10;qHLEGZ6MRQGO4pOWtkAz/UwhxazUvAEpT+m0FM706XFFsLyUFBab+1asuZy5ZBprXaYoWgO5Y8Z0&#10;el3krLEiMP8sH59FJ+0BnSY2PxKm0fOs7wFNqo85/Zdp5HXe+2XnVMqfjQqETuOcfd6NdZs8KCfE&#10;DXlK5h191PBdHtg7juM4jtN6tBBX9Npz/T+iHTx2hPmw3nEcx3Gc9qCFuKK9m8GFOKcIvt4RYlyj&#10;QhylOrxi04p3HMfpy2DvlXtxI0IcHq7LMoALcY7jOI6ze7GEOPyP5bXtuzVBH/s++LCjzYf2nYqU&#10;RyCoxCQTQKFEimQ88Qyf1ulKgNIXytdpUmJNLE4KXc3ILTEpCQKVjmPfQayfObKOFrX4syW8NdPP&#10;FLIvOTIU5Sl9iqA8bc+SC9F+5NFxLC8lF8XmHjS75nanEFc0ZkDOjy4jZ43lIMcAcxRbBxg7tBnj&#10;KK+n5ocwjRbiODf69DvSbP9lGnmd5aIvZceOp8lZ68lpL5YQt0/X0B9X5iMr4BUvMi9e32Y9tHcc&#10;x3Ecp7WccGo5IU7/3e1CnOM4juN0L7+9bpLYt4v3bgb9P6JdeNml5sN6x2mUhQturP673EEHDTDj&#10;Hcdx+jpTf/UrsX9DiBvy1I5dOj9Yp7ZbD+Ydx3Ecx+le9P7cciFO/19uvU2IA1KOARBWIGtBGgGI&#10;p4QEpDwjTxCDNCLFLgg/lF8AhBTGkZRYk4rjKVOMl/VCWMHvlsgDZJtQDvuDTwpLuk4p2SAN08t6&#10;ZZqUcCOFLn5a6UAz/YxBuQefVrxGtkHOvZT70AfZNqwf9k+PBecVbaYUhryybKbR8wCQlvU2subk&#10;etdxhGms+lMUrQH0Ef1GPD4xThSsECfbhn7o/LlrLAeOMUBbsI4wligXn5h3tlWv0dT8EKZBn+R1&#10;Kbwhjv3Xcwd0H3P6L9PI63LsNegf2osxsMqVaw5p5bwB5OF4cU07reH86bPFBr+DMkIcXvEi8+K0&#10;Guuhfadx2+2nhK1b14ft27eEF1+cY6bpaaC9CF9/vdWM7ylgbP/yzR+rbd20+R0zTSeyevVz1T59&#10;//03Znwn8e57j1bX/iefrDLjO4Xe0g/HibGrEDcU/y0VDVqIGztppPmwvhVs2HJeWL95Wli/6dyw&#10;buM5YcPmcytMq1yfZqZ3HMdxnL7ADbMn1+3boLZNJ4P+u9uFOKfVQITDq1JXrXrFjHccx+nrYO+V&#10;ezH+J/HaNp0dXIhzHMdxnJ7JwGGj6vZnvGmltn23JmghbtiY482H9p2OlFRiUODReaXEEwOyiM4H&#10;UmJNKg5QXkuhRR4AkYVSmEVMarHyyLblyDpAj3VsbEij/bRAv5jHksUsZB7dVqwHxlmg7TI9kHKR&#10;RI5Z0dw3s+ZkXiseME2s/hg5awD9j4lZBPVK4YrkrrEcUH7u2tL3Q9H8AKbBWMrrRfefjNN9zOm/&#10;TKPjctYNsNZO0VonUux0mseFOBtIcAwQaqw0PQ0ZrPieQieObQ7r1r1e61XPHv8cMC8MnSKEWuyu&#10;fkD0jAW0CWsFYqiVF0CqRIBkacVLKMLiU8c9tGj6zrIQIAjqNJInll5dTdcbpM6+wqlTywlx+u/u&#10;Y04eYz6sbwUbPpoW1n54Vvhg5dSw+g8VVp4RPlxzVli38VwzveM4juP0BVolxP3umqvMh/WO4ziO&#10;47SHVghxeLguyxg27mjzobzjOI7jON1LNwhx9ce+jzriVPOhfW8AIgdEEC2rQGyBPGUJOgQSCuQa&#10;yDPMh59xLSauAJ4IZZ2GlYojKBvxUjBCvUVtxnXIMbKvyIf+x4QWCkSsC+ml7CPFMUuoI/KkKnzm&#10;CDSN9lNDGS+3XsJxsgQoq2343ZInCaQwOfYoV7YH+VmOzCdpdM3JMbDiAdOk6rdAH9iWojWg7zW0&#10;p2jcctdYGaxxLGpLzvwwDcZSx/H+k3ViLFgf15LuY07/mUbPrxQxdb/QHowD1mGqfMybNVbIl/ru&#10;cBrn4ktvr9vkwd5dg/pXxj4r6Lw4rcZ6aN9pSJEkR0ppNzltSYkxFF0Q8LOObxU59cgT4nrC2LaK&#10;3iTEUejCPKXErZ7O7uqHFPFiAfd07B5hwJqy4iWsC586TsqnDPhu0+mITG/FOz0PS4jbq2v4HrUt&#10;epeg/+5utRC3fvO5Yd2Gc8KaD84K7789Jbzz4i/C28+cFN5cemJ486mTwjsv/CKsfPO0sOb9s6qn&#10;x1llOI7jOE5vZt5dJ9bt2yC1dzPg1aoyjwtxjuM4jtO9aCEOsnptm84O+tR2F+Icx3Ecp2fQdiEO&#10;Jr2sYMIxZ5oP7R3HcZyeC+VD6/Q3AjEOaUBKqnS6j1YLcXg4bz20d5qDIUeQsZCiSztPyuquenoi&#10;vUmIc5ojJqlBRpPrBFKcJagxtFKIo1Sben2sTG/FOz2PqdNG1u3BIPVQXf/dffb0I8yH9WXZsPm8&#10;sHbdOWHl21PC60uOD8/MPSIsvX58eOLaceH3V40Oj/376PDolZXPCk/OHB9efWhyWPHGL6viHCQ6&#10;q0zHcRzH6Y00LsTV55k5a6b5sN5xHMdxnPYAGV3uxa0Q4iYcd5L5UN5xHMdxnO4Fkrrco/cZMPTK&#10;2vbdmqCPfT/6+PPNh/aO4zhOz6XydV5Fv8JVAgmO6VyI6xk0I8T9pGvQnjovHs5bD+2d5mBwIa7n&#10;4kKcQ1KSGsDJiAw4xU7HM7RSiJPrM3ZvyvRWvNPzKCvE6b+7WyXErVt/Tlj5zunh1cXHh0WXHhrm&#10;HzMwzBnfFeYdOSDMPbJ/mHdE/zCnwuyxXWHBMQeEhy8+NLx8/7Hhvdd+GT5cf7ZZpuM4juP0RhoR&#10;4hCv8zy4+F7zYb3jOI7jOO2hFULcPgOG3i/LmHzqVPOhvOM4juM43YsLcY7jOE4hPCEOrzjFK1Pl&#10;603xM67xVa14JarM6+w+Lp9xb90mv4MhI6obdEGwhLjzLnAhrh0wuBDXc3EhziFFQhzga4O//nrr&#10;LnEMrRTi3lh2785T4mLtkumteKfn0awQd9EVE82H9WX5YPXU8MbjJ4Qnbhwf7jjpoHDbuP7hngkD&#10;w8Kx/as/4/P2cQPCvYcfEOaP6Qp3nTo4PHnD+PDm0hPCmjVnmWU6nctlM4ZU/3v/r//6/w0vvHKy&#10;maY38tjS48Kw4f9z5//883d7/ihcd+OhZlonzdyFY8M/7fVfd44lfsb4Wml7Ilj7aDfuBR33i1/+&#10;a+ga8A9mXCeCeeE8ddIc7U7uffjkun0b4O/qyhhGg/V3twtxjuM4jtO9aCEOrzOvbdXZYZ8BQ56S&#10;ZbRKiNu+bVvY9tlnFT4JX1TY9tmnYdvnn4cvt2830zuO4ziOUw9ObZV7NE51rW3frQl1hVeYfPLF&#10;5kN7x3Ecp+cybdrMncJbCshwSGuV4XQ/zQhx+3QN/bHO25uEOMojOM0pFvfE0qvDbbefUhVXKLgg&#10;bN26vhqn8xHmgQzDgJ9xDXFIg/yNBNTNeuRJVLHAtDJ9SuRB+Qhl67GCNbYE/cfrHeW44mdcS8l2&#10;bB/Lfve9R3cZZ8hBOh9B2aiDohED8uE0L86PplEhTrYXZaNuBjnGeLUm6ke7uP4QOCYYL1muhvnl&#10;eKIsjI9Oy/lEPToOYIzQNrYDn/jdmheWxb4wLwPGVbZB308oG/2LjXuKVD/YhkbXSQqundR9JNeX&#10;jmPAOOg4TaoujDUDfpZr1OqbTK/jCMZJtp3rz3r1q9N+sOfqfTj1UB3/YC/T/va6SebD+rKsfPv0&#10;8ORNh4e7Tx9aPRFu7uh+YcGYrjBnVL/Kz11V5lV+hxw3u3Jt4eQDq6fEvXT3pLBm1VSzzFaRElM0&#10;lJnwacU7eUD2wTiC+x48ykzT24D4x7UmwVhY6TVl1imAbMc6cse4lfeClNUkqAN9bkYEhAxnlT3t&#10;/IFm+p5Iqs2yTzquE8H6Y3/6yv3eLI0Icdbf3U8+s9h8WO84juM4TnvA68rr9+PyQlwlz5uyjPMv&#10;udx8KF+WrVs2h0/WfhA+WrUibFzxTthc+fx0w7rwxacfhy+//NLM4ziO4zjOD3S7EDflrKvNh/aO&#10;4zhOzwYnwQ0aNCH84z/+r7p/7Icoh2s4JW7GjPvMvM7u4cqrHqnbg8E+A4dOxP5cFPBqVZ13+iWj&#10;zIf2nQiDJaUwQKaRgpEMkHAsSQlijxRvdGB9yNtIkGIMhaBUYFpAYcaSa4gl4OTUY4WY8CPFnViw&#10;XjUJ2D7KY7FgiWA5Y455teQs2WYdl0K211oXTId6i4IlpAH0K5UfQpNMn+oLxi0VdHq5pqTspwPS&#10;oZ2xeyM27ilS/WhmnRTB8vBpxQOmwfeHjmNA+3WcJlWXFuIwfvy+suotEuJS85fqq9M+ygtx9Wlv&#10;mD3ZfFhfluXPnxIWXXRomDuhf7j1sP3CrSP3D7NG7V/9JLMqzBndL9xauY5Xqd49ZUh4+tYJYfV7&#10;7RXiKt2ukiPTUOTKlZj6IjnSIIQrpIG0tXzF6Waa3gZO/UKfIYRRCoIklysIIS/IWadaGMsVOMvU&#10;UXQvsKwUkOYamX/KdvjkCYM4eayTTh/jGFhjzf7lzltPp11CXG8+ec4S4iC8VfoaDZYQ9+rrT5sP&#10;653O5ZOPV4QTfj4x/OhHf11d+/g895xfmml7IsveWLrzvsXPOu6ggwaEMWOGh1WrXqmLcxzH6RRa&#10;IcTpU9sbEeIguG3f9kX4/KNN4aMPVoZ1b78eVr/wVPjDEw+Hd5bcF95efE9457EHwh+efDR8+NqL&#10;4aM1q8K2zz/z0+Icx3EcJ0FbhTjr2HcX4hzHcRyne2i1EPfvV40xH9p3IgyWlKID0lDWgUBD+ciS&#10;TuSpVfKUJshAEE5S9aUEmTJijI4nKB8hJbe0oh4Gqz9SuEIdGBfGYbykMMXTvSRsHwNOAuPpVWiT&#10;zK9PtUJdmBdIUrL9mFuODYIl48l4HZdCtxe/o59Ajg/ahfWB61IMk+sNfeN1grSM12tO5pXjnOoL&#10;06MtHD/UgbKs9S7LQkAbObb4ZHkI/Bl5UCaQsqU17ilS/WhmnRTBsvFpxaNfDDw5T8KAMUZbUrCd&#10;Vl2IZ8DPuCbvL33/yPTyOsD6YEA+9AHXMTYYZ6sfTvuxhLjYQ3W8SlWnnXfXiebD+lzWbz43rFl1&#10;ZnjlgWPDPWccXD39bV4FCnBSiAOIhyg3CyfIHXNA+P1VY8P7b7dXmKp0vYoLca3Bx8iG49Ko5FRm&#10;nVJKlOSIZ0zbSiFOlwVxSbYP8peMz4F5O/mVouxDzlh3Ou0S4tpVbk9gyZOn1u3FoEiIs/7uXrHy&#10;VfNhfSeREqgskEbKYhDIrHSSsnWw/Ouvn7FLHEQuxmv++z/sWZW9nnn6wV3y5bL33nuZZVtpeyLo&#10;O9usx+Gyy87fGYefZZzjOE6nsKsQNxTfa6WCFuJ+c+W15kP5FF9s/SxsWbcmrH752fDCrGvDY785&#10;Jyy+6PSw+MIp4eFfnxoePv8XYdGvflH9+Yl/vyC89dCdYf3yZeGzTRvC9u3bzDIdx3Ecp6+jhbh9&#10;Bgy9v7Z9Nx8sIe7s8240H9o7juM4jtNamhHikE7n7YtCHAQTHS9FHC3TUJYpI/cwWG0hKQnHEmMs&#10;2O6YyANaUQ+D7g8kG0pRsTYgTeqUK7YPAUKRjpdttOYuRarvcs51XArZ3lifi0jVjXXGIKU3gvUJ&#10;qUqu01h5cuwoRBUhy0I9Op8UtBCsOeEYWfOdIjUucty7c50A2S6r7EaCVVfsfqREh3tNzodMz2uE&#10;bUZeHefsPnAqq96HYw/Vrb+7cUqN9bA+lw/XnBXeeenU8PSsI8IdJx0U5o3GK1J3CHEWOyS5/cLc&#10;Mf3CrLH9wuJLDw3vvfoLs+xWUel6FRfiWoOPkQ1P/WpUgMpdpxDfmPbIiXvv/DnnFaVM24p7oags&#10;KcXhRDsrjYXsXydLUOxDo+uhk3AhrjyNCHH7DhwyQufZuOld82F9J5ESqCxwWhrTA0ta05Stg2kt&#10;aUuWlQKnvOm8RSx6aOHO/OwXhD9c12l7KqmxZv8gFObMg+M4Tk9k4V3z6vZiUPluKxVwqpzMf+1N&#10;s8yH8ik+3bQhfPj6i+Gl+TeGe049ovo3OP4W/+Fv7v2r1xaM7R/mH31wePyK88PyxfeFjSuWV0+W&#10;s8p0fmDkyJHVPeuf//mfzfgyrFu3rlreAQccEB577DEzTV/noosuCn//93+/878hMF4YNyttT+Gq&#10;q66qtnWPPfYoFdfTeOGFF3aOO3620pRl6tSp1fWOcbDiHacZcF9hvbZrfU0+dWrdHt9SIc469t2F&#10;OMdxHMfpHiwhbt+Bg0+rbdPJYAlx11w31nxo34kwQASJxcWktpiIAnCSEgLknlypiMFqC0lJOKn2&#10;SCi9xEQe0Ip6GHR/pBwlTzLTyHS6HrYvJe4wpMbTguODUCYuBdtbZj1oUuNOebDMCV6xvuhTwmRc&#10;DFlWrH8Msfup0bFN5WvnOondIxg/KSjG6m4k6LpAbF3I67Jv8jqvEXlSH/qh453dQxkhzvq7u1kh&#10;Dq87fePRn4fH/2NcWHjsgTv+wX1M104Bzma/Spr+1dPiHpg2LCx77OdVsW795mlmHc1S6XqVVkhA&#10;jo9RjDLrzCI3P19Hi1ezQh7Da2nxe85JbLl1gKJ5LioLrzplGrxO1kpj0VskKPah0fXQSbRrznrL&#10;WrCwhDicAFfpazRYf3f3RSFOn86GE9WsdJKydTBtkRCny4LwJU94K/uqU56ghj5a8Z1A2bF2HMfp&#10;NFojxNXnn7PwDvOhfIoN774dXrtzdnhk+pQw9/CfhjsnDAx3jh8QbhvXPywElb/L76j8fs/hB4Rb&#10;D9s/PHD25PDSnOvCmlefD9s+32qW2QruueeenfuABnLZcccdF5YvX27m7UnIdlvxZYAEx7IgCVlp&#10;+jKQp+R4k54uD0LiY1vLxPU05Pps1ZizvE7ov9N5cG3hPrPim6WtQpx17Pv502ebD+0dx3Ecx2k9&#10;eh/OFeKQTue1Hth3KgyWDMOQEmUYtKAE0YsBQkxK/CIMqfpiEg6IiTEalI9glUFaUQ+D7g/rR5DX&#10;NRByGLSYlWofYZrUeFqk2pfbdk1Oe4uIjTsENIYyfU31BWuWAemKXieaMy4MsTbmlGGRytfOdcJ8&#10;qYA0RYJgTr2pfqTuR9lGzqFML9MCpOHpjfiElNqowOm0DkuIiz1Ut4Q4PJS3HtbnsvKtKeGleyaF&#10;R34zKsyfdGCYN6YrzB2dIcSN7hfmjOoX7vrlkPDM3CPD8udPCWvWnGnW0SyVrldpVgKCfAQZCXGU&#10;kADEJJyGlToFC2mQFq+TBKwH19kupimSh5jO6g+kEbSFaQBEKaRNvVITp4uxTQD9w+ljkJqYRpaZ&#10;C/LIegD6L+NQB+pi+fjE76n2Ig7jJOfBopFXbnKOZTn4Hdd1m9iXGFb/YzBP0TrlSXQYI/yOcWBe&#10;OV8WuXUAjgE+rficspgmVoaEol8MrGudNlUuT6iT+XQc1wfWP8cV4OecU+1S+XjNGp9U23gfYG1h&#10;vSG/XOfIgzidT4I2sI4YZdYmSLWlSFzDNaxXrimC8cL61fdV0VoAMn3Z8nsCz758et1eDIqEOOvv&#10;7m3bPjQf1ncSZQQqeYIaTmDjz3iNqZWelJW0mLasEAdwohtenco0Oa90JTz97qCDBpjxnUDZsXYc&#10;x+k0Hlx8b91eDPbqGr5H5XsvKyCtzn/3A4vMh/IpVj2/NCy5ZGpYeOzwMKv6P5vtX2VW5W9sMgen&#10;xlX+Pp8zdmC48+Rx4fEZ54X3nng4bPvsM7PMViBFoBSzZpU/Fa9V5JwuxBPi8GnFlwECYLtPNNod&#10;tOIUNJwChzIAZEmeCgexsqefEOdCXBzIryivFfeP03Nox2mCjcA2dJ8QN+SpSn2tCZYQd/Glt5sP&#10;7B3HcRzHaT16H3YhbgcMlpTCkBJWGLSIAuQJZwgQTHByVEwuYkjV16gYI0H5CFYZpBX1MOj+sOyc&#10;V2MyxMrI6UNsPNF2vEZTyl866DwcOwQdlyKnvQTrA+uEeawgx13OR454SVJ9gQSlxwXtsV79CXLG&#10;hSE2H42ObSpfzrgzTaxdMWLzg/scJ/XFxoow5NSb6kfqfsRaYuArY2V6mZZARKUUx4C8umyn+7hs&#10;xui6PRjEHqpbf3fjobz1sD6XFW+fHl5+4Liw5IpRYeFxB1ZluDmjioS4/cMOca5fuP3EQeHx/xgb&#10;Xn9kclj13hlmHc1S6XqVZiWgIsEExOpgPEQPCi+EdbH8lKgC0YX5tLAjxSgLyCGWGAKRxEoP5Djo&#10;duci6wJSnoFQFCs31l5IX7ltofCUA8Qe1GmVQyADSRkJP1vpSGouNcyTWqfy1DXOv7xWtMZz04HU&#10;vQByymIaynspiiQo3B9MizpxLdY2kGo/43DP8GeL1GtoU/nkPWWNT6ptzIfxiAmfWFcxKa7oe4CU&#10;WZtYYyn5VPZXC3FF9whAW+S9XkaIa6T8nkCrhDjrQX2nUUagGjNmeDUdhDFIcMxXdBJbWUmLaRsR&#10;4sDCBTfuTFPmdafoF/K4EOc4jtNzaVaI+0nXoD11/jvufeBP1kP5GF989kl468E7w92/ODzMHrVf&#10;9e9rvCaVr0ols6qSXL8we8yAMP+ooeH+M48Ly+67LXzxycdmua0gJgJBboIERzEMQHqSaboL1t8u&#10;maKv0ArpS8pYu1OwaYRU/1sxNt1FO4Q4p3fSU9YK29Cu7/Ap515Qt0e3VIizjn2/fMa95gP73sDf&#10;/M1/q07WtGkzzfi+zKRJO/4B8B//8X+Z8Y7jOE572G/QoXX7cGWjn17dpAsC0sl8/+egoZ9YD+w7&#10;FQZLSmFICSsMMVmEcpMUTPCzlZ4hVV+jYowE5SNYZZBW1MOg+8Oyd5cQB9mLcUVB5gMcOwQdlyKn&#10;vUC+ajMV5Ljnzocmpy+QuvRYWa9lzSmLQc8HaXRsU/lyxp1pYu2KkVN2CoacelN1Fc0/ZDYGfB/J&#10;9DotwT2CUxn5Kl6G3FfoOq2ljBC378AhI3TaZe80dyrbhx+cFd59+dTw7Jwjw+0n/jQsGNM/zBvd&#10;v+4f4i2q/6f66H7htp8fGBZfPjK8dM8x4f23p5h1NEul61UgbUDWSEEhyhJVIOTgOiQZeRKXzAcs&#10;8YJxhG1BWZRuUrIboXgCOUVelwIJBBy2D22R0pnul5RJUAbbjvwoR0pIJCXzEApLQMeh34wDaBvH&#10;APXLvOivzs/6kU+Ok+ynJSGlQL2cQ5RhjQXbhLFnnITxZesmOfkpO+n5Z9v1dQ3raPZekGXF2ivX&#10;M8bTSmOBupkPP1tpOB+pNZhap4wjWOe8Z2TfgbzXiVwPGEuuB50XWOOTapvMy/wsX65xa67l2KFd&#10;bDs+pXBrrd8UcrzkXMr2ED1n+I5BGqxdGYc2yHFEvMwHZH90uaSZ8ncn2Hv1fow9utLWaNB/d//L&#10;Tw/5o/WgvtPIFahw0hrTQTjDNb6eFCey6fSSspIW0zYqxMk0Vhka/RpYzbI3lu6SNlY30lr5CPMj&#10;DmOK9skT7SAdWvkkqXyp8Um1jXF8XSyER5wCyPbiE78Xnbh3/fUz6l5ba4G2Wnkdx3FyaFaIs05t&#10;f/jRx7+2Hsprvtz+Zfj8ky1hwzvLwouzrw23HTei8nc1TofrZ/7NXZXkRtV+r3ze/vNR4eUFM8PW&#10;jz8yy28FRSKQPGEIp0hZadoN62+XTNFXaIX0JV+xa8X3ZFL9b8XYdBcuxDm5uBDXgtCXhDgKX5Di&#10;rPi+zowZ94W/+qv/Uh2j00+/ykzT22H/x48/zYxvBXvv3b9aBz6teMdx+h6NCnH7DhgyW+b73z8d&#10;utl6YN+pMFhSCkNKWGHIEZEgF1GMw6d+FSFDqr5mxBiC8hFSIk8r6mHQ/ZHSl7yuka9M1adtpdpH&#10;mEbXz/4jQBZCPbF4eb0oLkVOe+W4Ip0+7S027vIUMN3XFGX6gjogwjHoenLKYoi1sUx7JKl8OePO&#10;NLF2xcgpOwVDTr2puoruR3zP8HsH+WV6ndYC6eVpgVYdTnv596vG1O3fO7Afqlt/d7/+9tQvrYf1&#10;ZVj74dnh1UXHhbtOG1IV4uZX0P8Yr6EQt/D4A8OSGaPCy/dOCquWt/eEuDJYokqKInFDlm0JMoRy&#10;iSWCyXgtd/B6TDyS7YNAwusURiDxyPQpUjIPkSKKjpNtQbtlewjr0NIPJBfmpUQnQf9Zro5LIdtr&#10;zR9g2bG6GZea3xQ5+TEeSKPnX7bNGk/CNGWIzTPjY+3lHAJLKotRdC8BzldqDbJ+K41sm3WvyTbo&#10;ucYa5P1mlY14lMn81vik2sZ8wFpn7DvQ44p1gesxMbLoe8JCjoXVF7RBSoCxOYuRGouctVBEqvzd&#10;SWNC3NArZfp/+emwjdaD+k4jJVBJ5KlrlKLktVTe3DoI07ZCiKO8l4LSVwwpj/FaTt1WGsZBHJNC&#10;mwTt0cIagagWywfkq2x1/am2yTiMWWxMILvFpLgiEY64EOc4TjM8+cxisXfvAKe+Vb5fsoIlxD3+&#10;5DOrrYfymu3bvggff/h+WPn0Y2HpVReHeUcOCQvH9q/+XW39zU0gxi0Y2xXmHv7T8OyNvw1b1qwy&#10;y28FOSIQXo3JNLvjtZisu10yRV+hFdJXJ4ljmlTbO6lfLsQ5ufQVIe78Sy6v26Mrf6e/WamvNcE6&#10;9v3fr3x4u/XAvtPh6XA5shPkOQhLFKQATk5D3gsvnG/m0bA+0IxgdtJJl9a1A79b6TQQ3NBetJt5&#10;UQ76hf4hXufZf/9h1XT41HF9AY7TiBGTzfhWwPnwk/gcxyGtEuL+5adD37Me2HcqDJaUwpASVhhy&#10;JRFITgw6D0OqvmbEGILyGax4QAGmmXoYdH9wyhSDltEkMh2ELBmXGgfCNLp+9s066Qykxidn7Cxy&#10;2ktREPKSFZ8adwpPsT5ZNNKX2LrIKYtBzwdpdGxT+XLGnWli7YqRU3YKhpx6U3Xl3I9yjBoZZ0h1&#10;DGXHyWmeZoW4FavP2W49rC/L20+dGO4/+5Awe2S/MG90145Xs0T+T3UAaQ7p7jhpUHjqhvHhzaUn&#10;hDUrp5plN0ul66VpRJ5gXksaYZx14pqEIo0ldMkTt6T0JK/L9BqmkTJMrkglyRFMpLSj46TkEjsJ&#10;L5a/SJCR8TouBUWzIjGQ6ay+s15r/nMoyi/7pudKioIxmRIwTRli88x43V60k2sElD2Zq2iOAddH&#10;ag2yDVYaxqXmm23Q/ZP3W2z9yvmw5jPVNuaLjVtqfFLlyvjYGrOgZAfQLyuNHJPYnMXgXAIdl7MW&#10;ikiVvztpRIjb9e/uQ5ZbD+o7jZQkJaHsBOGK1yBGMa+8rpF1QATD7ymYtlEhDq9wZZqYWGaR88rU&#10;orqL2sc4gj5KwZAiWuzUPbYRYCx53ZLYdP2ptsk4gLIoE6J9aCfjrLmW8WgX+4RyuXY6+VW0juP0&#10;HJoV4nCau86/5PGlb1oP5TXbPv8srFv+Rlh2/8Kw5JKpYc74A7OFuIU4SW7sgPD7GeeFVS88GT5d&#10;vzZs/+ILs55myBGBZBopVSxfvjxMnTo1HHDAAXWvVv37v//7qkQXe6UmT51DHvyOU8eQh3nxuzyZ&#10;rgwjR47cpT6CV8AinmnZTvRDp2V/rrrqqmgcf8f44PQ8lovxSL1eFmOIepGOeQDKwHjGpEO0BenY&#10;R5Sj+2MJJzKNBdqh82iKytDjhDFFHzmvIDXeklbk5RzhE79jTFNrXcdh/VljG5sbXMcYYCxlu1E/&#10;yil63TDzy3WEn606U5IT0nJdoW4Zl4J9xWcsjnOM+0i3s6h/oMz9RzimzAPwO67H5iLn+4Vp2R6O&#10;I+JkfZwDpo+BOmNrVs+RRI4t+oP0zC/nAmUgTo8F2md9Z6A8mc5CpieYI2u8cd1KL0mtC17LGctG&#10;6HYh7rrrnnhTP6zvdPCK1Ep3q1giGEE6KbJZQCqDUGblJ5DWZJ5GTwOTp7aRHFkL7dP5NOinfnVs&#10;7jj1Vth3F+Icx+lOdhXihl5Z+Z4oDJV098t8Pzlg6HLrgX2nwmBJHgwpAYQhJYZJcqQmiFHyuiQl&#10;xkAuY9Cni0lw2hqD1W4pojVTD4MeP3miWUzggoDD1zVabUiNA2EaXT/HGafDyetEnoSm41AWg45L&#10;kdNe1ht7laycFz1v8rWYmB8ZBzCekNlkXCN9ifUjpywGPR+k0bFN5csZd6aJtStGTtkpGHLqTdWV&#10;+k4h8n7i+kew0sZgKDtOTvNYQhzEt9o2XResv7s3bDnvTethfVmWv3BKePjiEWHuhK7qa1nwj/Kp&#10;f5hfOHZA9TS5e844OLx877HV16Wu23COWXazVLpeJUcCKRJKUqTqyW2DFEC0bENZTks8UvjIQbYB&#10;pzvx1Ch84kSqmPRCcsZItknH5UguMo28jvbyuiUjsV5LKEzBMovmR752UsfllhGjKH9s/kmqbaSo&#10;DknRPLOsFGVlOJCzPjjPqTWYan9R3wDT6LFi3UBe1zCNNdap+lP5CNPo8UmtEdzXvNfLnBCXM1Y5&#10;cxYjNZ7NlEty56u7sYS42N7N0JeFOJxKxjSLHlpYF4fTvnAdApW8LtGyVS6NCHEQsYqkshjdLcRZ&#10;p9dJsQzjLuNk2dbYIL08pU3Xn2qbjMP4WSIhx8caV0uYJHwdKygjKDqO41i0Q4h79oWXnrQeymu2&#10;b/08rHn9pfDKbbeEhy/4ZfXEt/ljdvzPaNbf3D+wXzXdrNH9w0O/Ojm8cfe8sG7ZK+GLTz8262kG&#10;LQJZyDRSXqF0lMKSQXCN8ZAoZHqA+hoV4iBv6PqAFE006Afqk+kZZwkcjMNYSAFEQ4FIktMvtMeS&#10;fTgP6CMkGJ2PoK8yn5SQLGJjJikqQ/YVc5paG9Z4tyIv5JtYXlyXfdB55Rq31iTBfFtzUzQ+wFpL&#10;AOWl1pGuU94/+v6S5aAfMi4FJShrLTCO8ivL16TqK3v/4ffUmAAIZ9ZayPl+YVr2B2sn1UYpp2nk&#10;2omBsbPyyrG1+os06KO+rsEYyjVSVohD3tTcAv29IknlleMauweaRQtxlb/T11bqa03AKTSy8H0H&#10;Dtl2XS8U4njyWUpCggwmJTKkhViG090AJCkpy1llEL4WU9KIYIY6kZcSFSiStdBmpgXoOwQ99AGf&#10;gwZN2NlPazwY187XhvZUOGYuxDmO0520SojDO9WtB/adCoMleTCkBBAGS26D2CYFJPzME7YQL9MD&#10;Si+IYz4IZ/J0tCIJhwH1QIIB+nWjuMaAuth2/VpMhGbqYbDGT742FXWyvwB95jghyDhSNA6AaXT9&#10;7CP6Ltus60WQ+QDKYtBxKXLaK4U31IMxxXX0X8+LXm9IwwDxSYqK6CNlKJkv1hdcRzuRj23Ap2wf&#10;ftZ5GOR1CQPSWvE5ZVik8uWMO9PE2hUjp+wUDDn1purCnDLodSHBfOqg06B8yJVy/eB7oUi4dNpL&#10;qRPidvm7e2jY8PG0p6yH9WVZ+faU8PRNh4f7zhwaFkw6IMwe21X9x/fZNfB/peMf6iHJ4ee5o7rC&#10;7NFdYdGFI8JbT54Y1q47B3KeWXazVLpeJSWYkCL5A1IJZBLEUy7RWPWk4jQ8hUyfJheTWSjB5KJF&#10;Mpw2pvuCMmMCSo4g06zkItPoONaPNsu+QOZjP9B+mSeFrMt6RaUk1S9ez5lji6L8sfkn8pSuWD+K&#10;6pAUzTPL0mD9ptZPETnrg/OQWoOp9hf1DTCNHivWDeR1DdNYY52qP5WPMI0eHzl2mAO+UhWfFCYB&#10;r+eQM1Y5c4braBNkPabVWHkYFyuXNFL+7qTBV6bu8nf3999t2WY9rO8kUpIUoaRlSW8Q5JjfEryA&#10;rKMMZYQ4iHBoi3ydqJb3iuhOIQ6n2Ok4kMovT77jCWwaOR86f6psGRcbNynr6Thet+ZMxut6Hcdx&#10;ytL0K1ONU9tfX/bmrdZDec22rZ+HDe+9Fd5++J7w2G/ODXMPP6h68jpOad9VgvsB/A9rVSGu8vf4&#10;fVOPDc/fcnV4/7knwuebN5v1NIOUOax4QFED0oW8jt8hO0AmkTKGlJqQV+YBUlhhuWgHrkPk0JIP&#10;06VkCgoZ+NRxso9oL6U+fFJk0sIL01t1Mo59RBqWibZLsUX3BXIL8kGAkXEYP9lOS6CR8QD1sAzZ&#10;F2DJSTK/jsulqAwp76A9UljCOpFrSa6ZZvPid84HPjkuelyJzAussUWdVhl6rQBcw9rDuHMtAL0e&#10;dLuBlImw/plG5pXCIa4zPfsJpHiUktMsUvePbB9AX2PrXfadyLHLuf/QfznXckyQR5YHKU6PqRwf&#10;loE8uK6/X9g3rh20g+tOtg+gDOYjUrhDWbE1C+QcEj22+B35AOtDmWhfI98ZcixkXg37iXrQp9h4&#10;W2Mg4zG/zIv6ZP9j+VtBW0+Iw0N3WThsu+uue+Ip/bC+0yl6Xao+iS11AhwlNSsOoCyWQxGvqEwL&#10;vJqVeSGz8eeUrCXToT/6BDiCNkLas6SsHHmwt5Izxs3iQpzjOJpGX5mKf4ivzzf0/pk3jd1mPbTv&#10;RBgsKYUhJawwaBGlKEjhhOCaFWTZRRKOFM1k0OksOYYBZbOcZuphsMYPgpWWvHTQwpqkaBwA0+j6&#10;IfSg7FiQUpzMB1AWg45LkdNejIkW8mSQcZb4lJpTBH0iXqwv8roV0A6ZXufRcYRBzwdpdGxT+ZpZ&#10;J0XklJ2CIafeVF25QhwoEj5ZTyzgvtd5nPbTjBCHv7s3bjnvfuthfVnWrD6rKrY9M/eo8NCvR4SF&#10;xx4YZo3a8X+i3za2f/VzQeXzjvEDKp9dYfaYfuGOkweFJ2+YEFa88UuzzFZR6XqVlGBCUvKHFK5S&#10;WPWk4jTWKwql7KRlFim6yOtloOhHGY9Y8lWOIIN+sgwdlyO5yDQ6Dm1inAWEGI5bDrKunirEoV2M&#10;z0HLlITxOW0smucyZZUhZ31wHlJrMNX+or4BptH9Y91AXtcwjTU+qfpT+QjT6PHButf3sKZojWty&#10;xio1Z2gTyyhC5gM5a6GZ8ncnjQlx+u/uviPEUTKLSVw8kQ2nxVnxOXVImLZIiIuB9sTkvBTdKcTF&#10;xDEQy5/TvlT9jcZZaXRcao3IfH5CnOM4zbI7hbjt27eHrVs+Cuvefj08d9PvwoKjhlb+1h4Q5oza&#10;8T+jxaAQd+uofuHe0yeGp6+7PLy39JHw6cYNZj3NIGUGK14KFZAdrDQWqXJlmSAlagCmS8kUFEvw&#10;Ka9DzmB+Kd1IIKrovqXqZBywxCMpdpUZMxDrB5BjCtFEi0D4nWKPVW/RXOdQVAbFmthYyzZqQaiZ&#10;vLJd1nrCNeYFOr5obAHbByh15SDXu24bxCfGWcIU2oG5lOvMKg9peK2sDAdS645xwFpXsj26brSf&#10;cbF51fdf0VwC5GEaXadsT6oMUNQ3tJ+vQcWnjuOassaNaWL5gaw/VkYRLMPKL8ciNg7y+0oKfRLO&#10;CforrxeNAeLl2kQ5Ok0raO8rU9Wx7yj8uusen209sO9U5GtAIYxZaSi5gZyT0WKiGUB+lAMhDeIZ&#10;Zby//dv/YaaPwVPmIKjhd7YvJWtRtgKpNhIrjTxhrpFT7ToZ9tuFOMdxupNGhTjs2TIf9vSZN499&#10;03po34lQjNInXhXFEabRpyZBTIGAxJO5EPAzrum0En1KGQQVeUIcJTJ8ynwSCDby9YixtLou/EwB&#10;jaeBNVNPzvihPuRjWgS0A+KN7LcGeRBS7WMaq36eeiXrRXrMG+YHAXE6H8fFikuR014AKU6OK4Kc&#10;F7Y3tobQftSh+2WJhbG+8DQ4LUfh99hc5owL29RMGRapfDnjzjSxdsXIKTtF0XhIUnVxvSLE1gVB&#10;PNcWPnU87gvce/J7Ae1EvZbE63QPl80YXbd/78B+qK7/7oYQt2nLeVdaD+vLsn7TueGDD84K77zw&#10;i/DM7CPCA78aFm77+U/DHLxCdfT+Ffar/kM8/u91nB535ymDw+LfjAwv339sWLPqTLPMVlHpepWU&#10;YEJi8gekC8pwEE4glWjpKlVPKk4jXwtKeQUnH+F3S3RCmUyv4xoB4ok8ZUmLKLExkqTalCO5yDTy&#10;OsYG8wAgxsl24mfUq+elCKRnGUXzQ/kQa0DH5ZYRI5VfSo+5WOPAuJw2Fs1zmbLKkLM+UGeqbSDV&#10;/qK+AabR/WPdQF7XMI01Pqn6U/kI0+jxoUyL7wvA7yx8Yg3FxjNFzlil5kyOF9qEEylj8fI6SJVL&#10;mil/d/Lsy6eLPZukhTjr7+7//H7Lm9bD+k6iSITKed2lPLlMv+YTFNWhYdqyQhxe24m2WG3IwYW4&#10;eLt1Gh2H/jDu+utn7DzBDnn4OtWyr7B1HMexeHDxvWLv3kEZIW7fgYNP0/m//PLL6dZD+Rifb9oU&#10;XrtzTrj9uEPDwrH9w5yiV6Yetn+YNxrSXL9w/9Rjwwu3Xh1WPvN4+GzzRrP8ZpDyibwO4QfSCWUH&#10;fLZKApJxlgSkYdqUTBGTQiDLMH9M9rBI1ck460QmwvZYEkyK2HzoOIgmOh7ExgGkys4lVQbaxLiY&#10;fAPYRilINZMX8CQqfMrrEswX69BxOWMr121Z6Yz5UI+8TllIi0YpZDvws+xXIzIcSK0bxqXGlvXr&#10;/jVy/1EgS9UHmE63WY5P0fdLTt/k2pDfgbJvPE3QQqbTa5v1oy+xdVdE6p7Ua0XHA64fa+6JLEfO&#10;oxQ6Y2Mg7229PlrFlHMvqNuj8Xd4pb7WBH3sOwq/7rqlV1oP7DsVCmrAigc8HQ7ymhVfBohvKIsi&#10;G15Ryvpx6ptOb8GT3tAu5mEZMVlLin+suxFyBEKNlgCtNBTBIPpZ8cjHebBO00M8xpLjy/pQXur0&#10;PbaN9WL8WA/KknPCcq0xlvOoRUKME8pnuWyXNX5aiMNrbGWf8DOu6XwatAHzLF/ji59xLTVvaBfS&#10;Mg3qYptYf0oIxDwgXrcZ1/qaQOk4raJ+H84X4vAwvS5vLxPiHMdxHKcnYwlxe3cN6l/bpuuC9T+i&#10;tUqIAxs2nxvWrD4zLH/h5PDSPZPCk7dMCEuuGBUe+vXPwj1nDA13/3JwuOfsg8Oiiw8NT84cH15d&#10;NDm899ovw7qN55jltYpK16ukBBMSkz/kCW1auCCpelJxFhS9KMBRbLFOd5Knh+nXoTZKShLLEWRS&#10;EkqO5CLTyOs8HS5VdyNwfC3hUMJ0EG90HNubO8eaWH45F9aJfRK5Tq20jMtpY9E8lymrDGUlKCse&#10;8B6y2l/UN8A0un/yfou1r0iyTNWfykeYRtfP9RlrVyNgrbM+Kx7Idafr1t9lmtRcoqxYuaSZ8ncn&#10;jQhx1t/d//ndx09ZD+s7iSIR6oSfT9wZnwNkKF1GUR0api0S4nLKKoMLcfF26zQ6ToqTFji1z0+H&#10;cxynFVhC3F5dw/eofNdkhYgQN9F6KB9j+9at4a1Fd4U7Tx4X5o7qV2XO6H5hdkSMmzWyX/UkOXw+&#10;/KtTwlsP3BE2vLMsfPHZJ2b5zSBlihiQNcrIZCAlYuRIGhKmTckUFEu01JGSoFKk6kzFETmuVnyM&#10;VL6cMpnGklsabZMkVYac1xxkG5vJC3gd7ZPXJam2544N06TqsYjlo8hnzVcMOVby9K1GZTiA+mPt&#10;SMURptH9a+T+Y/qiMeaJfVomLPP9ktO3WHm5awbfnUynBb2c+otItSNnLNiGXBoZA6YpmtNG0UIc&#10;Tmav1NeaoIU4FH7NNY9Ptx7YdyoQhCpdrUo7VrwUwCA9WWlyka85pdQkr6VEIwllI5m+qAwp/uUI&#10;VSmK6tLIMYzJbIwHOh6gzYzX4iDiKJvFgNRlCVnoA+O5FiRSHuM13W8pw2nZUJ6oZyHTAinEWe0h&#10;KcmPfUoRW8usH2Oaqp8CoQTjK0U4Te56cRynHrkP72DwaZV7qjDof5jHa9Bn3jTuKeuhveM4juM4&#10;raWMEGf93b1+y7nTrYf1DbEFJ8VNC+s3Twsffnh2eH/56eGd508JLz94XHjylsPDE9ePD88tOCq8&#10;unhyePflU8MHa86qnixnltVCKl2vkhJMSExUka/p1K8sBZDkUvWk4ixkfVLAsU79kvKNJdg0CsvU&#10;bYZ4gusQUeR1SUpCyZFcZBp5neMC8SeWtxGk9BMTHuWcWHUzLneONbH8RWtPQynKmp9YHRYpaQuU&#10;KasMOeujSEqTY2a1v6hvgGl0/+QJjpaEhfuRkpaVH6TqT+UjTKP7LoVN67uiEeRYY1x1PO4X1lvU&#10;Jnmd8PsE6Dj5vRqTfZspf3diCXGxvZvB+rv7P/9zy/3Ww/pOokiE4utQc8FpYLqMHNlKwrQuxNXn&#10;78lCHE+BQ7/w6lymw6lwkCobPbXPcRxH06wQh/8BvT7/kG1fffXVCP1Avoj3nlwcFp13Yph3+E+r&#10;r0KFDFckxM0eMzA8ccWvw5pXnw+fb94Ytm39wiy7GaTQoIEoAYEjdXIRTkyC9JKSKrSIkSNpSJg2&#10;JVPExBJeLzptSpOqMxVH5Lha8eg3ZCYKURY6T1GZgGn0OMi4VP4iUmXIk7BywLppRV7A62ifvC5J&#10;tT13bJjGqgf3Ce4XjD1PVtTofLyu+5NC3j88JQ2kTikrInb/FMURptH94/Xc+0/2rUjwi81Zme+X&#10;nL7FymNezIFMb8H8sfFJ1U9Qd9nvjJyxkGuoCH1SaGwONEyj+98q2izEDXlKF97bhDgpIFnxrRTJ&#10;KE7pk+YoEeWcQEfBCmml4MU2xqQjnvwFmj2pi6eOWVJUjFQeLY1Z40w5S48RZDvKcIiTeREn+23V&#10;reUxlIH2QIRDXNEJcbLtWoYDbBviWBbGH/l0XwDXI0GbmQ9tksKZFgOBbA/KwhgwDmMj82Nty7yA&#10;9bPdqJ9loD45nnqtyZMA9Tyg/7G16ThOGrkP7yBPiMMf7jIf/rCfefO42dZDe8dxHMdxWsv0S0aJ&#10;vXsHpYS4zdNOsx7Wt4q1a88Of3jztLDs8RPC60uOD8ufP6Uqyq1dX38q3IYt9flaSaXrVZqRgKSY&#10;AcGCYhI+US7jgFVPKs5CSjd4PSc+Y8IH4KsSAdou5RGIMfgd+SGPyHxIi+syPerGNZanBTHZX8gy&#10;uIY0UoSRaXiNIB3jLJlJp5HX0TYp30gwTuxPrNwYslx8ol8UivQcWxIUYHzuHGti+SlXpQREiVwL&#10;aLuMi9VhEbsXSJmyypCzPqQEivliOvRXClDAan9R3wDTWP2T9wfiuVZwH0kZLpY/VX8qH2EaPT5y&#10;7jWoC0BqKyvL8TuI9wauoQz8rO9H3SbOh8wLrLGS+QjjkBZ1sl7GN1v+7qIRIW7Xv7uHXvn99x/P&#10;th7WdxIpEWrRQwt3xhWd7iVfm6rT5shWEqbtyUJcTGiTY2a1ryg/iOWXp/XJ65JU/amxS8VZaeR1&#10;eTqcvO44jtMOFt41r27/BpXvn+yA/VvmhfD+VQNC3Lq3Xg0vzromLPr1L8Ltx48Ms8cODLNH7h/m&#10;ju5XZfYo/NwV5o/pCnNGdVVfm3pHJd2Ls68NH61eEb7cvt0st1lyhQYLefpTCi1i5EgaEqZNyRQx&#10;saSMcCJJ1ZmKI7FxhTTFNhUh84GcuWIaq785+YtIlQEZjHE58yppJi9gXrTPigeptueODdPoeiBv&#10;xSQ4ic4Xu55C3j+Q4ChIaVmpDKn7JBVHmEb3IyevRPbNhbgdNPOdkTMWXLepNsSIzYGGacqs8zJM&#10;PnVq3R7fUiEOr2qRhePY92uvfWyi9cC+U6H4EzsxSwpTqVdN5kApTNclpTspMGkgUrG9Whpj/ph0&#10;JEUrK74MLAufVryFPEVNx+mTyFJimR47KXDFRD8pcWmJTM5vqgzAdBzjIhkO64XxuRKinKeiMlG/&#10;jJPrIzY3SMN1WCTkWfWn8jNv7F5yHKc8V171SN0mDyp/kE+s3GuFQeeDSHfzzWOvtB7aO47jOI7T&#10;Wiwhbp+uoT+ubdN1Ydf/EW3o/Rs2nzvCeljfKjZsnhbWrjsnfLByali14ozw4QdnhnXrzwnrP5pm&#10;pm8Hla5XyRF3UqKKlGA0kDEojVj1MF1OG4gWe6S0ZpFqH0EbZR72NwYEG5kexKQ02Tf8zOsyL8gR&#10;nmQaHSfLTmG1PQXG1+qXBOMVk4mYpswcS6z8UsS0TueykHn0GPB6ThtT9wIoU1YZctYHgPzEdBq0&#10;mXKY1f6ivgGmsfqHNaBlKwnypPKn6pdl6DjCNHp80K6iNQyQRsuSKbCmYuXiOu4d/q7blMoL5DjK&#10;fCQm+TG+2fJ3F0uePLVu367uyZG9m2GX9AOGTP+/32+50npY30mkRCie9IVTvuR1CylFQY6TcTmy&#10;lYRpe6IQh7GIpcEpaDwpLdY+xjUixC1ccOPOOOvVtJgDeaKfzp8au1SclUZel3NvtctxHKeVNCvE&#10;4dl3ff4hb27btu3H1kP5FJ9uWh/Wvv5SeP2uueGRi04Ptx13WJg1uissGAv6h3mj+4WFlc87xg+o&#10;nhx327EjwsPTp4S3H74nbN3ykVlmK8gVGjRStIBIoU+nSokYOZKGhGlTMkVMLJGvlJTXi0jVmYoj&#10;sXGV19E2/SraWL6iOMI0ltySk7+IVBll51XSTF7AvGifFQ9Sbc8dG6aR9UBYolQEOQoilz5V0coH&#10;eDpXGRlJjxXWEOuHHKfrziF2/xTFEabR/St7/6HtTK/L0vCVqVpIK7OWcvoWK08KwTK9Rr4yVUt+&#10;OfXLtVn2OyNnLHLaECNVt4Rpiua0UXYV4obeX6mvNUEf+47/KLjuuidG6Af2nUylm1ViIlmrhDgp&#10;MmnpDZIR4ywJibAtluzE/LF+SNHJii8Dy7LaEQMCH+vXMh8lLoprWrTCeDGvHDvIbbyekrBkOj0+&#10;cn5TMiKQZcj+xOZMtts6jc2CY4uT3Kx4wDJ1X6Sgp8dYItPpNZ1TvxwzKRjK+csVAB3HSdOoEIcj&#10;4a18LsQ5juM4TvdQRoiz/ke0dgtxPQHKEjlCESU0fFrxkHCkYAHBDOIKRBTmteop0wYiJRPUaaXR&#10;QEZBO6QgwpPTrJOhIMVAOJF9Ql6UkRLwIKGwvwD5ZXrUxbJkPiCFLfys42UanV+OiTwNCqBv6D9l&#10;o1T5MVLjoevTUIgsM8cSzpnML8exjMDE9mvhyqojBucXn1Z8mbLKgH6iXFA0f1gPcq7wM+eJY2e1&#10;v6hvgGli/cN6w73PeWd5FMIoqFr5U/XnjCvT6PHhWOBT3+tIizKZN9V3C8wL+sT8+MTvXJccB2vO&#10;dF7Wj7FCepan8xE5zkin295s+buDVghx+B/Rvv92y3TrYX0nEROhPvl4xc7rWnCLQRlMC3Q5spWE&#10;aXuiECdPwsOJbRgnXIespl8va7WPcY0IcYBCHupCnbiGNuTUnxq7VJyVRsdJEVCCNmE8IVeyvY7j&#10;OM3QghPi6k5trwlxe1oP5VNs3/5F+HzL5vDh6y+Fl+fPDI/+2znhvjOOCbdPPiwsnHhwmH/kkDD3&#10;8EFh3hGDwh0njg5LLj6jku7GsObVF8KX27aZZbaCXKFBQxkEIo4VnxIxciQNCdOmZIqY1CFPHtMi&#10;SYpUnYxLveaSp3bpV0XyOmQeeZ2k5iNnrpjGklty8heRKgOnkzGuzCtAQTN5QY5YlhKYZL9iQhmk&#10;T6aRAqi8HltjjEc98jqlrth9ZGHdPxCteA3SlM5TROz+KYojTKP718j9R7kvdo8QptP9LfP9wnbr&#10;+1Qi141cG7l9k+n0CX45Y9vMd0bOWEhpsaxMKdddrPwykmOjdKsQh2Njr3MhriEgTaGMmGhEmQhy&#10;mBUvpS5L3GJcrB/tEOLKlkXxTQpklMYQJwUy2UeeLqdFOSkZFs2NlO7kdTm/8roF06EMqy8W8hWl&#10;qEufUKfh2OLTigdMo+c6ty8pUS+n/ti4S0kQ/U5JeY7j5HH5jHvrNvnqXpwhxP2ka9CeVr6ZM8dO&#10;tx7aO47jOI7TWs67YGTdPgywP9e26rpg/d29cct5/a2H9Y7TE6Hwo08+k0AEQhpAOclxejtSFtUy&#10;nCR1cp7TfZQV4mL/I1pvFuJw0hev61egxpB58OpOXs+RrSRM2xOFOMhnKflLnuJmtY9xjQpx+hQ4&#10;Ca7vjlem6rgUGDud13EcpwwzZ82s24/xSvPK90t20EIcTnHftm3bHtZD+SKqUtzmjWHDO2+G9599&#10;PLz50J3h5Xk3hCevujAsvnBKeOSiKWHpv08PL865Jix/9IGw9q3Xwqcb15tltYqUTJEidjoTSb0C&#10;M0fSkFB8SYlSMbFEilYxoQRSh45jHkvgYBzQJz4B2T+dPybxEI4r0HE5c8U0lmAj56Ss+EKK2kB5&#10;B/0sW0czeaXUY8lJUtwBOl72C+2w6uca0+1LCU8A7WG8Xg+yXShHxhH0TcbF7h85Bta6TBG7f4ri&#10;CNPo/jVy/xXNJWjV9wvbDax7EvPMe1b3P6dvyJ+SNVm/FUea+c6Qa0+f4kmk0Knnr4iiMUD/eV83&#10;Un4uE447SezxFQYMmV2przUB/9EgC8c/zF977WM/th7adyqVblaJiWRSMmpGiKNAFTspTMpE+lWY&#10;gMJcTMBi3lg/KDoBK74MjZZFKVCKbXxdLEU1xOF32Q9KZbrvcm4aFc1kGfK6BdOxjaDo9aA4KU1K&#10;cQBtsOYYxNopYRo917yuxUELtiVWRqr+lIgoT58DWPcYo6L5cRzHxhLiKnvziMr9lQyWEId8N940&#10;5jTrob3jOI7jOK2lWSFu06ZpP7Ye1jtOT6SyjKukXicJCY7pXIhz+gq4J7jurXjCExRdiNu93Pvw&#10;yXX7Nojt3Qixv7u//XbLROthfSchX3cpxTe+LrWMwIRXhlLWksJXrI4YLCP2WtAyZZUBJ76hXPTd&#10;iieQ4pCW7cQnfkf/Ec/rVvtSfSOp/AD1pOrnKXI6f2rsUnE6DeqT1+W8ox0yDkCWkyfr+WtVHcdp&#10;huaFuCFPyfwQ5BoV4iTbt28Ln27aGDa8+1Z4d+nD4dXbbw2v3TU7/OGJh8O6N1+tvmLVytdqpAhk&#10;xceQQgrKoCAEAUMKGqAZYQVQGoEYQkEGEoeUj1JiiWwPpDrmwyflG52P6S2Bg3EyDfuPdlFg0eIU&#10;YFsQJ6Ul5JPiCJD5QM5cMY01DnLcKddgDGKijEVRG6RcAxEIfZRjgDZgDuRctiKvFHMwjlxXuC7b&#10;TGReoNPoMqSkhbQyr5SOML9Iz3y6XJ0X/aMwhX7hvmKfUT/XtcyH6yyPbWRZcg3pMUqRun9SccRq&#10;Jyl7/+E6xgLXeZ9wTPSYomzmI7HxsWC7ZXlsH8ZPjqdVFvoj88ox1/e0NR85Y8vx41jwes53BmAc&#10;0mIcgSwHyHIwJ7KtGA+kRxut8db3BufKap+1PlpBm4U4UXCFyn8UTL/hhiV7Wg/tO5VKN6toMYhI&#10;US2WpggtCRWhTzGjgAS5KPYqSuaNtZGnrIFmxD6QI01ZyHHgCXAsi6IgpTmepCdPxtMnjqGvjOtO&#10;IQ552E6QcxIa+s42ED3PINZOCdPoueb13SnEAcwF1hslUICfm113jtMXaVSIw//FbuW76aaxE62H&#10;9o7jOI7jtJap0/KFOPxjvUyHv7vXbjl7T+thveP0RHhCHF5/iFdj8nWNAD/jGl+biFcsyryO05uR&#10;J8TxdaEyHr/jOtMUvQLYaS9lhbjY393ff7N5hH5Q7zh9DcpuRfIkT9ZLnY7nOI5TRLNCXCX9m3X5&#10;aw/arYfyjbD100/CppXvhQ9ee776OlX8/Nnmjbum/fLLXa+1ACmXWPExtHyjkXFaJCkjrAApSklk&#10;3pRYUtRWS7BinCVwMA5yCMUdDa6j3Tov6onlAbKdOm/OXDFNTLCxxiEl42hy2gB5RpYfg+JRd+RF&#10;v6XEqfPKcZOCjwbl6LwglQfzTenNWk85a4KSEUjdPxgXloU6Zb4UqfsnFUeYxupfI/cf7p3UmADU&#10;afWvzPcL2432pdpo9QugfgprMdAPLaCRnLFt5jsDSGlPItMUzRHBOpf5cvJi7FLroxUMG3e02ON/&#10;2KdbEuoKrjL4tCuvfGoP66F9p1LpZpXYSV8Q0JiGklZZeLpbGaT4JqWtXCAgyTZIsa/oVLMicqQp&#10;CzmWaIP8nUKbbCeu8QQ53R+dtki2opyVOmVOXrdgOuRB23nyG8qWr3hNgT7J9dCIkMY0Oq+UHuV1&#10;jXxlqj6pLqf+IiFOgvI59viU69pxnGIuvvR2tQ+DYiFu765B/XU+XJs5c8wI66G94ziO4zitpZwQ&#10;V58Of3evXXvBHtbDesfpiTy29LidwlsKyHBIa5XhOL2VIyfubd4PmtQrh53uYd5dJ6r9uLwQh7+7&#10;XYhznPxXzfIUORfiHMdpht9dc1XdfoxT2KubdWbQp7YLIW6bfijfCF9u3x62ff55+OKTT6pyHH7e&#10;vu0LM207oCQE4cKKTwERAoIDZR8AMYLyByUOLbvgd6bXcTH0aUMQLKQURSnFOsEIsK2yDLRbnlgl&#10;YdsxPjqO+VEeyoUkwvT4xO9WmQRxMg9AuyHvcGwQp/PlzBXTpMZB1o0xKCOpUDpLtQGwj3JtIA/m&#10;LTbmpJm8GEMpKLF/6DfysSydj+OGevG7Xm/42VoLEoyNXl+sm22KlWH1mXUiv0xbdP9IgbSozYTt&#10;s9ZNKo4U9Q99KHP/AVxHvMyDuUNdMcEMlPl+oaiFT/yONso5QF1FUh1Ae5AW7WNetLtovXLc8GnF&#10;E64PWT7blvrOILJfHEMrHfrBMSHoB9KnxpzzGxs7tB3XctdjWbQQh7erVOprPljHvlf+o2BibxPi&#10;yghIIOc0MHlamZS+Yq9LJVLwkmkphZVBC2RohxSTZBtjxNLwlaHWCWdFUAaDTMb+6hPNcA2g30yv&#10;RTYgxa7U2KYEsEaFOPyOcjmm6E8Z2YsynV53ZdajFuLkOkkJejKdnmOWnZI/pXiX0+cy4qLjOPVY&#10;Qhz+gb1yPyWDJcThH+tvuHlsf+uhveM4juM4rcUS4vbqGr5HbaveGXBNp8Pf3YizHtY7Tk8FJ8FB&#10;6OGrHwlEOVzDyVfLV5xu5nWc3g7WP06CgxQq7w+crghhzkXRnoElxFl7N0Ps7+7vv9/S33pY7zh9&#10;Cfk6VMhu8pWrEOEWPbQw8HQ4wFe7Oo7jNEKrhTg+aP/qq6/W6ofyTt+gMv1VIIBY8Y7jdAZaiHM6&#10;k24V4ngqjfXQvlOhcJV6zaQ8EQsCVErqoWxEISklH1lIwcqKj8E6tCQlkfIXyo+1B5ITBDS0xYrP&#10;qSuGfG0q5Sstu3FOGA+0yEYo5+EzJmexPPRHp5FjIq9bMJ3st+yPJe3FYN/wmXNdwjR6/DGfbAv6&#10;LOMI+s8xs+pg2cDqD/JzjabaKClzopzjOPU0KsRhv9b5sK/fdNPoH1sP7R3HcRzHaS2nTj20bh8G&#10;1kP12P+IhriNW6Ztsx7YO47jOI7TesoKcbG/u7/9dtOPrYf1jtOXgPQmhbcYOCFu4YIbzTIcx3Fy&#10;ufCyS+v247JCXGVP31aX/wch7k39UN7pG1Smv4oLcY7T2bgQ1ztomxBnHfv+gxD3+DbrwX0nkitE&#10;yXQAwhFkKAg+APEUjQBlM54Eliu4ydO3cgQ6wjxaktJI4QliE6QnnOCFPuAT9VN4siRBedoa0uv4&#10;IqS0FStHSoQkJrvJ08cwxrIstJUyHEC5Mi/InX/AdHqMMYaMk3UgHcYb64Ttx6fsn24T5yclmzGN&#10;Nddy/aDv8qQ4jA3XI7BOkZPrg2VwHSK9zK/lNqwb1C/LlXkQL9M7jlPM+dNnq304T4jDg3SdD/8w&#10;f8MNY/e0Hto7juM4jtNaLCGutk3XhdT/iOZCnOM4juN0HzfMnqz247QQF/u7+y9/2bKn9bDecfoa&#10;kOKuv35G9bWpfDUqwTWcHOcnwzmO0wq0EFf5m/pN7NW5oT4vHrQPmY7rX3755VPWg3mn91OZ/iou&#10;xDlOZ+NCXO9g4LBR5j7ddLCEOD6E701CHKSeSpeqaMFHY4laGkg/PM0MMhCvWzKWhcwDuchKY8E8&#10;RUIchCwpcMWADCfFJiJPRItJakVIqcoqR0tzsdPOiJTaYsTGUua14iVMZ42xJZoVtQt5dDnNCnEY&#10;SykBWsg1qmHZaJueJ4lVt5VO0ohA6Th9HUuIw/5cuaeSYd+Bg0/T+fAP+bNnD9/DemjvOI7jOE5r&#10;yRXiUn93b/z4vLX6Yb3jOI7jOO3BEuKqm3UkWEIc/u4OYe0e1sN6x3Ecx3HaQ8uFuNqp7S7E9V0q&#10;01/FhTjH6WxciOsdtE2Iwz/Cy4Krhdcewl933RNv6of2nQxPRLMkHw1kLchVWhaCSATpTcpdFOhQ&#10;fpnT3lh2SorSsA+54h3kP4hx8lQ7lAGZKiZLAcp0lsyVi5TqYn2kmAVyRCqrP/gZ11Kio5wjK16S&#10;GmPML+Mp8GEtIK3sC+Ba0WUAymwpCZBpUnONMUY6tglgzrB2U2uRbeW84J6QY4oyY+OZmgNLrnQc&#10;p5hWCnG47kKc4ziO43QPuUKc9Xc3hbgNW85703pg7ziO4zhO6ykrxMX+7nYhznEcx3G6l6m/+lXd&#10;flxGiLNObRdC3P3Wg3mn97PHHntUn3FeddVVZrzjOJ3ByJEjq/cyPq14pzPYZZ9ulRCH17TowvEf&#10;Boi7rpcJca2QvPoKKSnM6Xy0EOc4zu7l7PNurNuH5V6cCviPgfp8Q7bVov4f66G94ziO4zit5YRT&#10;tRD3w14sQ+p/RNvw8bSnrAf2juM4juO0nt9eN6luPwbVzToSYkIcgvWw3nEcx3Gc9qCFuH0GDHmq&#10;tiUXBkuIw/NxxH311Vez9UN5x3Ecx3G6l1336cGnVTfxZkOBEPeUfmjfyeAEskq3qpQ5ya2v4ePU&#10;+3EhznF6FlPOurpuH5Z7cSq4EOc4juM4u5dJJ9YLcfsMHLq2thXXhdTf3S7EOY7jOE73oYW42N7N&#10;kPq7+/vvtmyzHtg7juM4jtN6fn7aFLEft1SIu1I/lHccx3Ecp/v4aMvHao+u/q1ePcm16YCCdOG9&#10;VYgDfM2jn3wWhyfppV7n6XQ2LsQ5Ts/CEuL26hq+B/biVNhnwNArZR75D/kzbxq7zXpw7ziO4zhO&#10;6zji2OF1+3cjQtzGLefdbz2w700sX3F6OHLi3uGv//r/rf4dgs9f/PJfzbTOeeGxpceFrgH/EIYN&#10;/5/hhVdONtM4Tm/ishlDdn43WPE9FdyjaDc+rfgi+J2I/svr+M5EmfgeuO/Bo+rinOY5e/oRdftx&#10;sRAX/7vbhTjHcRzH6T4On3xC3R6+74Ahs2tbcmHACe11eau4EOc4juM4PYHVH6xRe3SbhTg+hL/2&#10;2sfvtx7cdzKTJp1X/ccmiHFWfF9nxoz7dr4u9fTTrzLTOJ2PC3GO07M4ZcrldfswwD5cFPBHv8wj&#10;/2HehTjHcRzHaT9aiNt34JA3a1txXbD+7t4pxH183mz9sL638U97/dfq3x8aK61zXph2/sCdY4Sf&#10;rTSO05uQa96K76lAWEOb8WnFFxG7zyHBMa7Rsp04WoiL7d0MKSHuP7/f8qb1wN5xHMdxnNYzfPxR&#10;Yv+u0KQQt3fXoP6I+/LLL6dbD+cdx3Ecx+keLCGO4nrTAe9e1YVTiLvuusdnWw/uO52//dv/seMf&#10;nKbNNOP7MhQGXZTq3eD0P8yznwLoOD2DVglx8h/yZ9489k3rwb3jOI7jOK1j9FHqhLjIK1tS/yPa&#10;xl4uxM1dOLb6twfgKUg4/QjXdVpnBxwznB5lnQ7V7KlUfYHYyVtOz8SFuHohDidD+hpuH6ecNaFu&#10;Py563Vrqf0RzIc5xHMdxug8txEFar23JhQHym8wLXIhzHMdxnJ7BsreW1+3Rcp9uOlhCXC2q1wpx&#10;juM4jtOTmHzyxXX7sPwH9lRwIc5xHMdxdi/Dxw0T+3D8oXrq7+5NW8670npg31ug6NJpr0LsyTQr&#10;4fQFMD5Ai0ZOz8SFOF+n3UmzQpz8u9uFOMdxHMfpPg742SixHzcvxOHUOMR9+eWXp1kP5x3HcRzH&#10;6R6efeGluj0adJMQt/RK68G94ziO4zitY8IxZ9btw7lCXOWP/vvr8ol/yHchznEcx3Haz65C3ND7&#10;a1txXejLQtwvfvmvTQkjzq64EFcMxge4aNQZuBDn67Q7OebkMXX7cWzvZtB/d9cJcd99/JT1wN5x&#10;HMdxnNZTvx9X/y18em1LLgx47ZrO/5OuQXsi7ssvv5xoPZx3HMdxHKd7sIQ4iutNB/wHQ33hQ7bV&#10;olyIcxzHcZxuQAtx8h/YUyEpxN007inrwb3jOI7jOK1jyMh6IQ6nyNS24rqw69/dPwhx67ecO916&#10;YN9bcHmr9fiYFoPxAS4adQYuxPk67U7GThpZtx/H9m6G1N/dLsQ5juM4Tvch9+MdDD6ttiUXBhfi&#10;HMdxHKfnsuTxpXV7tNynmw76H+blqTTXXPP4dOvBveM4juM4rWPUEafWbfL5QtyQp2Q+F+Icx3Ec&#10;p3sZOOwQsX9jL7Zf2bKrEPfD/4jWW4U4vCK10r0ojy09bpe0uAYomeC6JYrMXTg2DPoP7ZgAAP/0&#10;SURBVBv+P+vq+Ke9/mv1NLoXXjl5l/RE1rN8xenVsv9uzx/trOvIiXvX5b/vwaOq9cg6ULcsMxfW&#10;hzJkebiGOJkW7WMaa5xiWGOF/qBf7CfAz7qvuVw2Y0hdXWifnAuWrftEUCfmCXMs+8N8sr8Sjgny&#10;4HfMA/uET/wuxy0G5pRlsi9oP37X841yrTHVNDLGum7Uw/HAupD52C7G4xO/y77k0KqxZ39le/B7&#10;bM5JKh/6z/ZYeWM0ux4536l5ZlmoS8dpIQ7rUN/j19146C75CNNZ9afqBegT4nK+U5x6Dh47QuzH&#10;8b2bISnE/eeW+60H9o7jOI7jtJZt2z6s27+re/LAoRNrW3JhQFqdnw/av/rqqxH6wbzjOI7jON3H&#10;3Q8sqtuj5T7ddMAf/bJgF+Icx3Ecp3vRQpz8B/ZU2FWI++FVLzfdPPZ+68F9ETdXuOVWMD7MnjMh&#10;zJ13RJh/2xFh4W1HhgUV5i88snLt8DBn7uFh1uwJ4dZZ481yHMdxHKcvkC/Exf/uXr952mnWA/tO&#10;hzJHDCnf8BrkDp2PogmA5EGBJQbyxwQUprHqIbiuBR1NSp6xQHlSWtHo8iA6MU5KT0VjqsvBOKTy&#10;IC4mQcXguOAT46jLJBCRLCmnqA/AEr3kmKBfMj1AeyhupZBlsy9YY3y1rwWEKtkWSaNjLOtG+Tof&#10;22n1VaLLTdGqsY+VgzUeE7EgisXy4bq8r638MZpdjxTakF/HEZZhpWH+2DyS2BpivFV2Kq7oOyU1&#10;F04jQlz87+7vv/94tvXQ3nEcx3Gc1rJx07t1+/cOhoyobcmFwRLi9uoavgfivuolQtzUqVPDAQcc&#10;EK666iozvi/wwgsv7PxvYvxspXHywDrCOO6xxx5mfLvB/GE9jxw5MixfvtxM4zhO72HOwjvq9mi5&#10;TzcdcCy8LNiFOMdxHMfpXoaNOb5uk5f/wJ4KOElO5pOvemlYiLtlXJg99/Bw2+1HhocenhyefOak&#10;8NIrvwyvvzmlyvMvnRKeeOqE8PCS48O9DxxTTXfzrXZZjuM4jtPb2X/wwWoPHzK9thXXhb4oxBEp&#10;jFjxAPESyCOQcCDfAKaTwok8DQ7ihxZ1LAmJcQSiCfICWTbLgVRCQQjlSQGljGxCUQflyhPmUCbq&#10;1cKLFJAsQSlnTKUcBtlIjoc8xQptKtMXtJX58Ily2CeUw3hgtQ/50GfkkfXK+UOZMg+QYwKQFnXh&#10;OsZXjxPT6bGVyLYCOd9YW1LSkuuQNDPGum4IW6gD9SOOa5tjgjHT6x15ZJlFtHLsOR56zlG+zo80&#10;LB+fHGOdl+j8KZhftr/MeuS9hHQ6jjC/lYb5iVwHeg1hner8jLPKTsXJelEu5xNjy3Vn1efsYMCw&#10;+tedx/ZuBhfiHMdxHGf3s2Llq3X79w7yhTi8XlXn721CXKUrO7Hi+wKPPfbYzjHAz1YaJ4+LLrpo&#10;t64nWT9+ttI4jtN7sIS4yv3fmqCFOPmatmuu+f1p1oN7x3Ecx3Fax+DDjhb7cAUhtqVCSoibefO4&#10;2daD+yJwKtxd9xwdFj92fHjxlVPDuyvPCus2/Sp8svXC8PHn08MH688Ny/8wNbzy2i/DU8+eFBYt&#10;Pi4svP2ocPMtflKc4ziO0/eo24erDD6tthXXhdT/iLZ+y7SJ1gP73gLFDUtGIYgnMTFFSjmxNFJQ&#10;ssQcxgFLcIJgxHhIJZRMiGyDlT8GxwASnxWvkfVQHpLkjClFHHxa8VJSKiPOYOzZNmuMgJSAKHHl&#10;IMvWcXJMgDUuEqaLrRVQ1Bc5RtZ6amaMZd1IY42j7LMV30pyxx5tleIf4Zq0JD1ZtjVvuMZxAjo+&#10;RdEcgtR6ZLtRjrwuYV4rDfODmAzI7xVrbFJlx+Ig/DHOundRJ9pS5juqryH34+qeXCDEpf7udiHO&#10;cRzHcboHS4jbu2tQ/9qWXBgsIa4W9f9s27atv/VwvtP453/+5+p/I+JELSu+GXb3aWEAdaMNqRPw&#10;XIhrHbtbiLvnnnuqdWPefS4dp/dz7U2z6vboyt/h2yrfAa0JLsQ5juM4zu5l4LDxYh+usBuFuNvu&#10;PCo89cxJYfl7Z4RVa84NazedFzZ/+uuw/U+XhG1fXxI2fXJ++HD9tLD6w3PCH1adFd546/Tw5NMn&#10;hgcfnFR9pSpOmLPKbQUPLZoeVq9+LmzfviXIgN9x/bbbTzHzEcQz//fff1PLvSPg2qbN74Qnll5t&#10;5iVff721liNUf7bSaBrJo0HbdHhj2b1mWsnWretrqe2QO3aSd997tFruX775Y62UHQF9++STVYXt&#10;evHFObuMvw6NtEuOMwLqwJqRaTC/jQa2Bf2Tgf1FvOxX7lxjzBiQn9dzxokBZcgyc0B79ZhhTnPW&#10;leM4O7jmurH1+3cFvIalthXXhdTf3S7E/SB+xMQiAMGD6VJykEyn43g9JqZJuSZWB+NTAo2GQg6E&#10;mFTbiRSQLIGoaExRRyo/YTmpcdfkjJFsfxkpJ9VvGZcj8DFtap5y+hIb62bHWNZtCWZACp7tPu0r&#10;d+x5+ppG9kfH8cQyfOo4Il9Za8XHaHY9cn5S64R5rTTMn+qbbKMW8lJlx+L4HQeJUF538qnfj4Et&#10;szOk/u7+v99vudJ6aJ/D999+FL7704bwl68+DH/+8sPK59rw3V82he+++chM7ziO4zh9mVdff1rs&#10;3TtwIa772N1yFGD9qdPCXIhrHT1hzh3H6Tv85spr6/Zo+T+TNx1S/zB/7bWPTbQe3DuO4ziO0zq0&#10;EIfXqtW24mTAfxDIfM0KcbfOHh8eXHRcWP7emWHrl5U/LP98afjo01+bfPrFheGz7ReF9ZvOC+/8&#10;4czw3AunhAcePDbMqpRhld0s69a9XigHQeaJCW05+Rkge8VELB2sNBodrDQp0BYrQBqz0ktyA8Ym&#10;NnYEopSW4GIBolVqLnJDTruAltQYUJdMB8ms0fD/s/enwVpV5743/H48tatObVO1q956zoe9zT5V&#10;5619nqd2kvJoznl2kMadIBgEpRM1igbsg2iwQ4nYxUgacNsFFRagKCqIin3fBLvYBTsUEBAQsFuA&#10;veSc8d7/m/Un132ta4w55t2s9hpVv1przdFfY9xrupg/x0RdtKHHL/vQ8Skau15b7D3mlYlTzl7Q&#10;SBFPJh0zx3Hi/GHOuJr7N3AhrjMxoUiCfJCSUnLaARCH2J4WjYr6keKKlQ+K2rCQJzpBnIlJRSQl&#10;J4GiWMj6ORTFVJITI8AyZeKUmndRTDQsm+o/Zy4so2PUaIxz40iZDKBOmRP3ytBo7GUZncfrja6F&#10;RW49ltFj4GcpNbZYXcD6qc9QKn6ptmN53BOpPp04q9edK+7Fe4jdu5laI8RtDV+2rw07PlgVPt34&#10;cvj4vRfDJ++/HHZtfyt8vWtD2P3tVqOO4ziO4/RfLCFu/4HDv99xSy5MLsQ1hgtx/Q8X4hzH6Upm&#10;XHpFzT3ahTjHcRzH6UM0S4iT9W64Yfxs6+F9jAWLjgp33DkxPP70qeHd984LX//1ivD1/74ifNR+&#10;cfVVqR98eGHY+tGF1Ven4tquL38dvvj2N2Hz9l+Fd9aeG154aWpYcd/kMH/+kWb7jRATd6xkiUFl&#10;6jNB6LKkOJ10voVOVpkUOJEtlvQJaJoyCfJZTARMjSGWYjJbGdELKTUuEltjCGqyHMZTb+IYUkKc&#10;PskPPzPPQscVPzOvTJzKnhCXioMLcY6TjyXEVf6eHtVxK65Jqb+7399y3ijroX1fIUcYQT7IkVKs&#10;1xJK6pVPAK6zjJUPitqIgZOpWBfgdCecimUJTqk5gKKY6r6KyH2VK8iJEWAZK06YM/rkPCz0vIti&#10;omHZ1DrlzIVldKwbjXFuHHHqmZTiAMZS5uQ9SatiL8voPF5vdC0scuuxjB4D45AaW6wuYH29PySp&#10;+KXajuXxepnPrfM3Xnn9LHEv3ntPNu/dTM0Q4iC4ffPl5vDFp2vCx++/Era++VTY+OIDYe2Ty8Lq&#10;R5eEtx9eHN6ufF33zF1h82uPhk83vxa+/mxD2P31FrM9x3Ecx+lvPP7U/eLevYcfDhy6b8ctuTDh&#10;Fem6fkcWhLjvWw/nnb/hQlz/w4U4x3G6Ei3EyX87bzjtP3j48ljjLsQ5juM4Tuv50dDDxH0YYtuw&#10;mR234mRqlhCH15zevnRieOypk8MrfzkzrNs4vSq9fbLzkqoEBxlOgxPiPt5xcdj0wYyqEPfiy1PD&#10;fQ+eEOYvaK4Qh9dm6oRTtCD0sAxOB4MIh6SFOEsqgjwk6+N7S6iyZCaddL6FTlaZFJwbkn7FJeJj&#10;1SEy6dggbpDNZJJCFrFOVUNb8tWaEPMQa92e9dpQvSZSwIJ0hjHodlLzRB1ZXsdIrnUMnawyJDV+&#10;9CWTFvI0+pW2UvxL9dMock/pvd/Mfhynr3P5rLE19+89uBCnyRFGkA9ypJTeKsQBykiQ4dgOvtfj&#10;TM0BFMVUnpJn1W+EnBgBltFxwvyZl6JsTDQsm1qnnLmwjI51ozHOjSOBAMd1J2VedQtaGXtZRufx&#10;eqNrYZFbj2X0GBjT1NhidUHRZxGk4pdqO5aXquMU8/TzZ4p78d57clKI03931yPEff3l+2Hn9jfD&#10;+y8/FF686Q/hkSt+GR64+BfhwYunhPtnnhLuu7DCjJPC/ZWvT8yZHt68f1HY9vafwmcfvRO+/cal&#10;OMdxHMe5+/5l4t69Bxfiahk9enT1vxPxNZY3Z86c6s/z588PP/jBD/b+tyW+X7p0abRejIMOOqhT&#10;HYB+kKfL4vqGDRvMOhYrV66sacNCim9aiENfkyZNCvvss0/1Gr7i56IxIB9CmIwR6iIe9Yh2aI8x&#10;+e53v9upTSv2hGNHLDgu2QbqI8+qCzBezFmvB+Y2bdq0aCwsIU6uR2rMq1at2ltOjg3XMRY5fowL&#10;+1HWB7Iva36YF+Yu17be9XEcp/s547wLa+7RLRXiKv9R8ERHlgtxjuM4jtMFyPvwHg6e2nErTqZm&#10;CnH33Ddpjwy34fyq5IZT4XAa3B4BDq9J3XNCHF+Zuv2TmVUpbvO2GWHd+9PDqjenhYceOTG0LTzK&#10;7KMetOiElJJ1IE3JV05a9S3hi1jynRSUgE4yL4ZOVpkYEM1kgnCl5S+rHpFJC3FAz9mKr5SnkFKn&#10;kWkhDEmKcyBH9NInp6XWXZZFbPQYik5pAzpZZUjR+HNfm4q9JZPcuyAnTvUgXy+L/aOFx2b14zj9&#10;AUuI22/g0EEdt+KalPof0VyIyxM8cl8TKEUlffpaUT+4zjJWPihqIxcIThTj8BUngTGvSEAqimlR&#10;/UbIiRFgGRknOS6MXb86NjXusnNi2dQ65cyFZXSsy45HkxtHDfY0RDjWTc1PIsfbitjLMjqP1xtd&#10;C4vceiyjx8DPUmpssbqA9fX+kKTil2o7lvdP+36nej3VpxPHEuJi926m1N/du7/ZOtN6aK/5/ON3&#10;wgevPxFeXvIfYekvxodF4waGm8YODPPHDNjLwsrPi8cPCjcfc3B4/A/nhXceuS18/N6fw7dfbzbb&#10;dBzHcZz+xOLbF9Xcv8H3Bo7cp+OWXJg6C3HD2juy+owQR+EJX2N5EKC0GCXRYhIEI6sc0X1BXJIS&#10;mQVkKEtwspBSVAwpQOF7XoeARllKgzHGRDD0KYUtC0vgSlEURxA7+Y75mE9sXJinFdOc+KGuFYvY&#10;CXGMKeYkr0uwz1iXbWMssfUAWmSTa6nzEH9ZVyPLOo7TO9BCnHTWGk4pIe6aax4dpR/aO47jOI7T&#10;PGbPua/mJl+9Fw8ZPrHjVpxMTRPi5k0IDz5yYvVkuB2fXxo+aqcIR34Vtn184d5Xp+LnrR/N3Psz&#10;Xpv67nvTwxNPnRoWLGzeCXFaiio6bUujZS9LCNNomUmfTKaTzIuhk1UmhpwD569P9Eq9NlUma/5F&#10;MpSWyyCcaUlQo8dXj+hVRtKSp6xR1pPrmLNvdLLKkKLx69em6j1EpJiGpGXNnDjVg4wN4pwTa+wx&#10;ipg5gqHj9BdmXjqm5v5dvRcPHP79jltxTXIhLi1vIB+kpBRKQJDHrHzCcpBGdF5RP7jOMlY+KGqj&#10;DJCS2J4UZVICDSiKKaQp1m/2axVljKTEJ5HzkuIVTyiLrWFq3kUx0bBsap1y1ptldKwbjXFO3yly&#10;BVHS6tjLMjovR+CSp9dZ+TEa2Y+g6LOENlnX2kusj/XQeUTOTY8x1XYsL/d3oWPzwONTxL14D10h&#10;xH209oXw6rK51VPhFh3943DbhMFVbjliUFWCA0sqPy896qAw7/AB4e5zfx5euml2eP/VR8I3X7gQ&#10;5ziO4ziWENdxO85KLsTVSnCQmXBaF/IgG0mJjdclMTlKAvGJ7UB8kqfBoU3ZBsSumJAWg3Vj4hiQ&#10;EhXAOCivoT85BpxUpuujDKUzzEWeggahS4ptWtJKgXpYA4xFxlfH3ooJ8wjmwHJoj5IZxq3rUkKD&#10;oCbHq2OBfFkPyHx53ZLdNIyhjDFjh/lKeQ8xRmx0POVa6jzOGe0znhgL4mHFwXGcns/kKdPEPbrW&#10;WWs4uRDnOI7jON3HFbM6H/fe1ULcjfMmhIcfPTms2zA97PgCQtzFVdEN0ltVeNt2YXj/gxlh05YL&#10;qifCUYijFPfprkvDxi0zwtMrTwsLFjXvhDj9OsmYWBRDn2yWOh2OaAlJn4amk8yLoZNVJoZ8/SdF&#10;JC1SpUQpmSwhTstbRae5pU6HI1qw0kKabtMavy4TW3t9yhrHr+eFMem6Ep2sMqRo/FoijJ3ip8VB&#10;LRrmxKkssk3uhxwhTpbJEUsdp7/QiBAn/+52IS5PXsKJaiyHU+CsMg89NinZVioP4DrLWPmgqI0y&#10;xESjIgGJQkxKwqEwpU+faxQZI/Rhtc01132nZEWQeg1pUUw06BtlU7JaznqzjLV/G4lxTt8pcj5X&#10;klbHXpbReXjNMfPwGdX58rNt1U/RyH4EHJuVh5/l2NGXzAdsG1ivc0Yb3IvWWqXajuXl/C7EWGJ5&#10;/R1LiIvdu5maIcStf+G+8PDlZ4Rbfv7T0DZ2UGgbMyC0jcbJcAd2MCAsGHtgwMlxbeMHhztOHRce&#10;+93ZYe1Ty8I3n79vtun0XL7znb+vfkavvXaWmd9KWt33uHEjq+3jq5Xv9B6wR7CW2DM675WXHws/&#10;+cng6jq/++4LnfKdfBBLxBnge6uMk0eLhbh9rYfzvY1cIc4SwaR8RIFMEpOjJLKMFpgIJDmWsfpJ&#10;wXrox8oHch6QpqR4RRgLS5zi+JAXk71YP3VCWhlS4hdgHihaG0tmTJHaM7E1R0x5HfGSeTpfCoXW&#10;tRSxuMjrsTVyHKf3ceSkU8Q9uvp39/LK57w5yYU4x3Ecx+k+LCGu8gf5qI5bcTLhD3dZT/7D/Ny5&#10;42daD+8t8MrUFfdPDq+9/suw/v0LwqZtM6qvRP14x8VV4Q2y25r3zgvvrDs3bNh8flWIw+tU8QpV&#10;fP3y28vD5m2/CiufnxIWNlGI0687hWhklYtRT30tB2n5RyeZF0Mnq4yFfl2qlNXk3FInoMmk5wJB&#10;ULZjiVv1Sok6ybyU6AUpTOdjjLFT8PQpgpTKsNYyFYl8OlllSGr8RJ7ChmSNX8Zen6IHcvopA2Ij&#10;++SYcoQ4PyHOcWzOv3C0uHfv4YcDh+7bcSuuSS7ENS7EAQpILMtXokI6ka8ghfSj5RZQ1A+us4yV&#10;D4rasMC4IGZJGQjfS6FKli8SkOQ4MW9cQ3uyrDwVC/FAORkTlMWY0LclKcWQfQPMgf1iPVICkZSu&#10;kMfxoH8KW0TPGz/H8iykBMX5ISbcM0DOhdc0LGPt30ZinNs3+pXt4quMY6701OrYyzI6T56mp/eL&#10;jAPR9VPo+mX2I5BriLrcH2iDn89Ufe4zgliyDcRWtmHFjnlW27E8rB32G/Kwt7C2XE/0wTFZbTrn&#10;h2X3nlpz3waxezdTo0LcV7veC289cFNYdvqE0Ab5DSJcB/MEkOKQ3zZucLj52IPDPef8PLx+X1v4&#10;cud7ZrutYPu2t6uSDEQYilXgv/7zvuGkEyeGFfcsNus5tTBul18+w8xvJa3uG3sD7eOrle/0HrBH&#10;uF9Sed2xj/sSTz15995Y4nurjJPH3Plza+7fUmjLSbh/x+r3JyEOp3PpPIJ8YAlnMTlKwlPBUn0A&#10;lrPGmYL95wpxMfEqNRee1pbqg/Uh3Fn59cDxWP0yzzrFDcTEsRxSsciJk7XWPEFOx4enuuWKhLF5&#10;FQl5juP0TrQQd8DgYW2Vz3lzEv4hXjbuQpzjOI7jdB2XXHZr7U2+Sr1C3LCZHVmlhDiwbPlx4Znn&#10;fhFef3ta2LDp/PDhpxeFT3ddUpXe3t9yQVi99tzw9rvnhPfev6AqxCGfJ8R99tWvw6atM8KfnpsS&#10;Ft3UPCFOJ6tMCp2sMpqeJMTJU84gI8k8LarFZL/chHnqE8oArsuE+OgyFjrJPC16FaXUyX7yBD0t&#10;lUn5S8dPo5NVhuSIavqEOi0SFr0uFeTGKefUPiBPpJNSW44Q5ziOzbTpLsTlQDnDEooI8kGRwKEF&#10;EwuIIlo+IiwT6wfXWcbKB0VtWLBODP0aR0gtzLMkGgg3EGFkG0CPCSKVLmNBgScHGSMpG2ms9Ya0&#10;k1q/lDxUFBONFJ0ksm7OerNMbP/WG+MyfcdAvKx6Fq2OvSxj5afihL6lsGfVj9HIfiSpehAa+TsM&#10;fem6zEO5VHyRr+sC5lttp/LwO876HUAwFkpyTi2Lbj+55r4NioS41P+IlhLiKnnhyx1rw/Y1z4U/&#10;3zQ73DLp0HATToAbc2CNCLdXiANj8D3yfxRuO+nw8PJtV4cv29ea7TcbiHBSgosBOc5POUrDWPUm&#10;IS51WpjEhbi+Q0qIg/zK/eASV2O4ENc8fn/VnJr7N4T1SlyzkxbiZP3+JMSlJDSWsaSslBxFmG/V&#10;l/DVmWWFspz2c+QwWUbn8Xouun69sD1rbqk8wjKxOcdIrWsqT570p0+lo/CoBT75qlXsAev0Pklq&#10;LSnkAYyz7Ml4juP0PEYccWztfV783d1w6izE/e34uWtciHMcx3GclmIJcfsNHDqo41acTM0U4m5d&#10;cmx44KETwosvnx7e2zg97PzisrDry8uqQhxkt/Wbzq+CV6fyhDjIcPh+S4W166eHp55p7itTdbLK&#10;pNDJKqPpSUKcPGVMS0/6ZLTYqV25CX1ZIlR3CnEQ3GKiH9An6GmpTL+SVL8OVqKTVYbo8Vtxw7hl&#10;0qfv6bFZMmJunPQetZDjgRwo+3MhznHqxxLivjdw5D4dt+KalBLiNm09f5D10L6vQNkEJydZ+YBi&#10;R85pV5A8UI4iCsHP8qQki6J+KOWgnJUPyoyVQBZCHHiqE8D3uGbJe7jGcjG5D9flyV4QYLRYByBi&#10;6b4xB8QLkk4ZGQ5IAQk/o08pAuF7yE+6HsH6oA05HlmH8dXzzomJRo8Nc5bzzVlvlknt33pinNN3&#10;0V636qRoZexZJjUffA7knsU4MB6MCzEqqm/R6H4kOi4YJ+U/jtmKOfPYh9WO9bkkjLnVdioPWPsO&#10;80X51O/B/o4lxMXu3Uypv7tTQty3X28O7Zv/Etb96a7w1JUzws3HHBwWjx9UfTWqJcQRiHE3jx8Y&#10;Fh394/DcDZeHTze/ZrbfTHD6W2U6e8HPi2/+Y1XeAPhelimSpvo7jFNvEuJScpTEhbi+Q+6aO43h&#10;QlzzuOjyy2ru3y7EdaY7hTgpLxW9CrWorRisY42PpCQqq4y8DqmK13MoOglPg9d7QiRDnHlamsaa&#10;WyqPsExqznhVrhTJNLpOap0wF+bJccnT2yzhDWNgPoA8h5hYrz5NrSXK67kgrmVfw+s4Ts/BhTjH&#10;cRzH6aPMmNlWc5MH3SHELbzpqLD0zuPC40+eEt585+ywZfue16Zu2f6r6klwe7gwfPDhHiDE4ZS4&#10;TVt/FdZtOC+8uuqXlT9MTgxtC440268HnawyKXSyymh6ihCnhSotc0Fokin22tSySYt33SnEQSKz&#10;RDGCU9dk0mX1KWx6bhKdrDIkR4gD+rWpcnwyz3pdKsiNU2peRK6jHq8LcY5TP1OmHVZz/wYdt+FO&#10;qfPf3f1HiHP6FlpAcpzuxPejU5br2ibX3LdBZf8kU71C3NdfvB+2vbMyvHHfwvDw5WeERUf9OFuI&#10;WzxuUGirlH389+eEjX9+MOza/mb49svNZj+Nct65p+/9HO233/fCu+++YJYDeKUqxTgr39kD4+lC&#10;nNOTcSGua3AhrnloIa5yf361Etfs5EKcC3FWGXldylypPuoBMYlJcBKr31QeYRlLHOO6FiHrgaJ1&#10;4kl/kNp4jafAyWsajFGLcZDb9ClvOWuJuOr55b6S1XGcnsWQEWPEPb7qrLkQ5ziO4zh9AUuI23/g&#10;8O933IqTqZlC3I3z9khxd941MTz+5Mnhlb+cEdZtnB4+ar8ofLX7N2HXl78O7Z9fWn2N6ic7Lwlf&#10;fvubsDvMqp4e98pffhkefuykcNsdx4Yb508w268HnXAimFUuhk459bVE1V1CXOp1qUS/NtWS1WTS&#10;c0E8IJXJV4siyXa0EJd6fSnRsh6SzI8JZRiPnpMesyT1ulSiX5saE+x0ssqQ2Pg1+rWpjF2R7Ehy&#10;+ylC9meJky7EOU79uBDn9EdcQHJ6Er4fnbJ0qRD35aawZdUT4ZU7/hgeuPgXYdHPfpJ8Zerf+FG1&#10;3Pyxg8J9M04Kq+6+MWx986nw1c51Zj+NgFefVqZRBTIchDernCYlzTkuxDm9AxfiugYX4prHtAsu&#10;qLl/uxDXmZT0lsojLGOJV0VyVOzEMAtLpMohp/0ciUqW0Xm8XjSHMiA2lOEwZ0hc+kS0VL85Y2IZ&#10;PWfUYR4kNH1qm8yX14vywNKlS/fms13MDz/j1DddXoMYyD703sxZSwKZjvsKpGLlOE7PRN6jq/dp&#10;8Xd3wyn1D/PXuBDnOI7jOC3lnPP/WHOTBz8cOHTfjltxMjVTiCNt8yeEW5YcE+69f1J45bUzwuZt&#10;v6oKcRDhcCocT4b7/OvLwzf/+4qqNPfI4yeHmxYfHW64sXkyHJDCE1KOjCXR9VOvzCRaYtJykE4y&#10;L4ZOVhmNltRyknVSmEwxuUy/flW2o+MRezWrpEgqTIleENb0yWqW6KelstwU20M6WWVIavwSPUZK&#10;ezmyI8jtpwjdTm6CLGm15zjO3zhpihbihrV33IY7JfyPZ7Ks/Lv7/S3njbIe2jtOT8QFJKcn4fvR&#10;Kcvvrjle3LfT926mzn93/+3/VE8Jcd98tTl8tPaF8PYjt4ZHf3t2uOlnQ8NNOPltdMEJcWMG7BHi&#10;xhwY7j77uPDCgt+F9c/fF75oX2v20wjyNaiQ46wyuVx77axqO+PGjaz+DNkGr1bFNevkOch3OJ0O&#10;eRwDyqM+XtEqy0rYT0rIQhtyLBI9TggqLA/+6z/vmyWTYYxy7Ph+xT2Lq3m8lmqH/TJGbAN1isTE&#10;RvuWyLlb6DhrIQ79xsaSAnNgWwQ/p9aeYK9i72KtWBff41pKOGKsUR+wf1xnvFgGe1PXl7Bv7Ccr&#10;Pwbmp/cbxp2STBFPa69gjEVyKvLRPuviK37GHsOc2Z6uJ2VZ/buBeWgLP6f6kPUk/PzLNbQoE1/G&#10;Vu5HgHVOtcP1YJnU5ysG4ynng3YRKxfimocW4uTf1DlJC3HyvwFciKstY8lERXIUoPRVdEIXy0HQ&#10;svJjsP+U7JQjUckyOo9CV9nXoaawxDEN8625pfIIy+g587WisTVJrWuZNcfJcDKu+rS3FDxVTveT&#10;s5Yazje1zx3H6ZnU3qPBwVMrn+fmpNQ/zF/jQpzjOI7jtJQzzr5S3OD30J1CHMBpcbcsOTY88vhJ&#10;4S9vTAvvrDsnrHnvvLBmfYXK19Vrzw2r15wT3nhrWlj5/JSwbPnxTZfhgJaxUqeFWUDskinn1ZJa&#10;xoLUJPN1knkxdLLKSLRQlpssuUqmWPz0CWGynJblrBPGNDruWqwqEr10n9a49d7ITbGT5HSyypAy&#10;opreT1r4S+3JMv2k0O3kpnr7c5z+xPEn1wpx8v8w18mFOKev4AKS05Pw/eiURQtxqXs3E8rU1MkU&#10;4r79Zkv4YsfasH31s1WpbfGxw8Mt4weHBWMGdpLgJBTi5o05MCz/5THh2et/Hdb9aXnY9eFqs59G&#10;qEyhCuWmRqBcg7Ygw7BtIkUQyCWUZ2KgHUuokf3oPIK8WBlZX74uVoM56LqE7VvIuaMvq36qXwAB&#10;JyYTNdq3RspZFjqG7B9frXUmMbEN80rNAaRiz/VLEZPZmA/xSe8/zpPxoOxlgf3LejnyH0nFC/1p&#10;8QyxKlof1IvFOvU5w3XZtq6bkrhkHvqO9RHbxxDoYnU0uUIcyln1JXovE+5H7JvU3ozFGfNJiX1y&#10;3V2Ia4wTp55Rew93Ia4TKektlUdYxhKvcOIX8oA+3YzI12DGxC/ZTq7kRKR8ZeWDHIlKltF5Us4q&#10;O74Ycs6WKFb0qtZUHmEZPeYi+VCeqqbzcoQ4xgv9cP3LyoSxfnLWUpOzzx3H6Xl8sHWbuD/vofJ3&#10;+MTK57k5yYU4x3Ecx+k+mivE/e0f5m+4Yfxs6+F9LvPmTwi33XZsuO+BE8ITT50annthSnjx5anh&#10;xZemhj89NyU8+vjJ4a67jw+33HpMmN/WfBkO6BO2kFKnxCEPp8LxZy16IWnBTaJFLkv+0knnW+hk&#10;lZHocZRJ+hQ8mWJCnBbQ5ClwELj0aXWpk8N0W0j6VbU5opfuU7ehRbMyyXptqk46X5IzfqLFPf1z&#10;6tTCMv2ksD4HOclPiHOcYlyIc/ojl88aVv0H5r//+/9k5jtOV+L70SnLxb+dmH3vZqpXiCOff/xu&#10;eO3OG8KSyaPC4vGDwsKiV6YePiAsGjswzB99YLj7nOPCnxf9Iax/7t7w+Sfvmu3Xi5RacqWTFFpU&#10;giACgQT9II8nWUH6oQyDMlIoQp6UdPA98wj7icktgFKLVUaPE9IOJRWMUfZvCTCyPkQXCj9oQ54q&#10;BVBW15fijowL2pFyUdHY6+k7hWzbyidaGEK8OAc9Dl6XML6YJ+bLOaCsHIM1fpRnPsYhBTLsI9m3&#10;taeZRxBDjBntcq1zZDcKTti/Vr6FXjvGBl8ZE73f2Q+ArMU6eq8AS6ZjPr5yj+O6HAuRdQHKM491&#10;rTzAtUSebh9zkHUB9xDqyRjLOVnrnwLrjfXAVxkLGV9grWmje1rWl/tOrxHQsXTK0VmIG768Etfs&#10;hP+RXNZXQtz3rQf0vY2UDJQjCrGMJV5JOYlyFeQunH7GMviZAha+yleDIk+KT0WnyFlwfGibwh36&#10;l5JZjkQly+g8PQeMWbaPfiG44SS5nNeCAim8Yd5sT8cEWLFP5RGW0XOm8Mb14HXEjaepEVkPyLHp&#10;PCLnRmQ/BONizGQ8MQ7GW++J2FpiXNgLcn/hqxQPc9fGcZyeQbcKcVdf/dBE6+G94ziO4zjNwRLi&#10;vjdw5D4dt+JkSv3DfKNCHGhrOzIsvuVnYemdE8O9900KDzx8YrjvoRPCPfdODrffMTG0LTjSrNdM&#10;cKKXThDGpNgG4UeWk/UhgckE0QpikRSs0JbVj/WqTp10voVOVhmJlMFiEhuBtCSTPnFMJt0WxDAI&#10;bFo+05KWFrOQ9BognlY5S+LS5awylkjGPPQrk1VfotfWkip10vmSnPETPVYZa3xv1SFl+mkELcy1&#10;qh/H6Ysc/fORNffvMkLcAUOGvdqR5UKc4ziO43QR58w8WtyL0/dupkaFuG+/2hRWP3xLWPqLI8LC&#10;sQdWhbgFla9tETEOIhxOksPXBy48Lbz94M3h47XPha8+W2+2Xy+QNSpTqNIMSUNKMJBAKDpppAwT&#10;KyMFFi2gsB+0I69L2IdVRo4TooseA36mxKJlHplntY18KTFZUg/rW8IWkLKRFHua0XcKGRcrnzC2&#10;wJKd5PgpSRHMh3la4CIcB+YqrxfNn2V4Upclq7FvkIoP+9GCms6PnUSnwbjYb6xN7AcZTxnH2Fhl&#10;PPVayPW0Pt+4xnkAKz9WX+ahDWstuU/0OshY6P0BEAe2q/PqRe4dK5aN7GmZZ7WN319SqNOxdMpx&#10;1OSTau7hBwwe1laJa3ZyIa4xIQ5ogcpqTwpOMVAndspcCrRttSdlqZhEJZFlrHxIXkVzAJb4FUOe&#10;nqdBX3xVa7OFuKK5yDWV9UCOEAf0vrDWVsbcAmOUopyuI+clx2VR9oQ6x3G6nzVr14n78x5ciHMc&#10;x3GcPsJpZ1xRc5MHHbfhwtRqIQ6vQcXpb/MXHBkW3XRUWLT4Z9WvCxYd1bJT4TSQtnDqW27Sp7pB&#10;1NLCV06ypCmQm2T93IQ6QKaiU7owP5kwV3kCWtkUE/DKrAGTlvNIjuiVmpc+QQ/Sma4v0TG15qiT&#10;zpeUFdVip9nF4kN0P6kUexVsDjlCnPwcSTnRcfo7WoiTkptO+Mf6WFkX4hzHcRyna9BCXOrezdSo&#10;EAfWPbM8PHDhyeGmY4aG+WMHVmW4IiGubdzg8OTs88OW1x4LX366Jnz71Raz7XopEmYoplhA8NDl&#10;ZXsx2QlyCMukZCJZTksm7CcmRQEKLlYZOU6IMjofxOrnnB4mhR89dllfXtewjJTmGu27CBkXK58w&#10;NtYeILExYM1x3VoXIgUjuY+kwBmbP0iJnrwek9IIxwn0HpHrENvnGjmm3DpSboztUyDLyeuUsFLr&#10;JOep8+Q66DjKvNhaxPZTql2dr/MaIfaZlnmN7GkQWye5Z6w5O/m4EFcMTwOzTl9L5RGWiZ2uBdEJ&#10;YhcFK0hclqQFsQmv0pSiFOqg/TISmYU+2QxynRSp5Ill+F7W1WUwJisfYK6Ym5a90B9ioMWzHDB3&#10;2R7jh75SsWe8U6eesYw1Z8RHrhtAf5hDKhY8cS0VJ8BybNcqAzB/5MtxIB7YK5ZEF1tLlEWfFDgJ&#10;fk7FyHGcnoslxFXu06Mqn+3mpNT/qe5CnOM4juO0lp4sxPUUIELpk96sBGHHkqNwLVfoQhup11jm&#10;JikV5SbU0aeZQUSS/VvoudUj4yGhbynTSXDdOkUvllKSmBa9YmX1mnNeFLOQrNfaajB2nXRcdZJ5&#10;mtzxE33aHVNqnwHdTyrFRMYccoQ4WaaRvhynrzH2GBfiHMdxHKc3cdrZR4p7ce39OJb0393yAXyu&#10;ELd99Z/CSzfPCQ9cfFq44+TRYcERQ8L80QP2nBhXYcGYPa9JvWncwOr3Nx4+INx+0pjw55v+ED59&#10;/9Ww+5sPzHYbQQpvlqSREuKALp8jVBXJMBKe6KTlJfaTkqpS8kvOOGN95NQFLIPy8rqsn4Os32jf&#10;ReS2n4otYRk9Bl7PRe6R3PFBOGM5KRQCXi+KjWxDnwhGAS0lT2lS4lmMnDgD+TmVsh2vpeaaimnq&#10;s5rzOZZl5HUpu1oyHcfUzBPiQCqeObFmGR3PnLo58XLyGDnhGHH/rv138JzUH4Q4x+kO5EluEBat&#10;Mo7jOCleeW2VuD/vvU83T4hL/cO8C3GO4ziO01omn3qJuAdX78N7/xgvSql/mO9LQhyBlINTtbQA&#10;BkEHslRM5iIQkKz6kKoge+W0kSuFSSmtTB0pgaGe7DsG6skkT5Ur6huxQEwQW9lmDMiFELy0rAZJ&#10;DdfQd5HEh3WQKSaG6XJoG+sjhbiiE/RI0aly8hS3IuErd/wE8dCnxCHuVlkJ1kTONZVy94oFYiH7&#10;sebjJ8Q5jo0W4uRp6zql/u7euHX6ROuhveM4juM4zUULcal7NxPu2bKO/Lv7f+/eOtt6aK/5/OPV&#10;4YM3ngyr7rkxPHL5mWHJCYeFBWMHh5vHD6wwKCwae2BYXPm6ZMLg0DZmQFg8aWR48NLTw9sP3xK+&#10;3LnObLNRpKShxaEYKYEmlUdkGf0qVE1MNGEbKQElJamUGWes71RdwDIoL6/L07xykMJQo30Xkdt+&#10;KraEZfQY+DrTHCBEyT3CNq1XoWrYhu4/dt2CJ6zpeVLUzP3MAI69jETHsVqv8JTEZCteS801teYp&#10;iSuVZ5XReYwHYin3OORDxrdo3jHQBiTa2F7T6wk4HiuPsIyOZ07dnHg5eTRfiPvb/5TuQpzj1A9f&#10;B4sT76x8x3GcIiwhbr+BQwftuUs3IbkQ5ziO4zjdRyNCXOof5ufecESb9fDecRzHcZzm4EKc4ziO&#10;4/QuukuI+/arzeGL9rXhgzefCq/ecV147Ldnh7vPPq56Wtwtx48INx97cFh09E/CzccMDXecNq4q&#10;zb1829Vh818eD7u/bu6rUok8qanoFZIkJdCk8ogs0x+FOMQ5p75Fo30Xkdt+KraEZfQYKDul6sZg&#10;m10lxMmT17hX5asvi/avJCdmGvbTF4U4GVsLiIOp18Ra4HS8HOHSWoOc9WEZHc+cujnxcvI46NAx&#10;6h5eTog7YMjBU2V90JHlQpzj1Alex1r5CFXBq0+tMo7jOEU8vfK5mvsz6DIh7qqrHp5qPbx3HMdx&#10;HKc5HHvCDHEPrvwxP2T4+o7bcGFyIc5xHMdxuo+RR4yovYcPHr684zbcKem/u+X93oU4x3Ecx+ka&#10;jjt1XPa9m6kZQhyA2Pb5x++Gj9Y+Hza+eH946+FbwstLrg7PXHNReOjyM8JDvz49PPUfM8JLt1wZ&#10;1jy5LGx/Z2X47ON3zLaaBU/BAjmCT0qgSeURKRQViSGxk6LYT468YpXJGWesj5y6gGVQXl7PrW/R&#10;aN9F5Lafii1hGT2GnLoxcl87mnrdKa/nxAZCFsvzNDie8JcrkBLWA1a+ReyEOo0l7gFeS801teYp&#10;iStH8JJl5HWMEZ9tgLHL30H4HmMqK8MB7i20izb077PU3kvlEZbR8cypmxMvJ4/OQtywmZW4ZqcC&#10;IW6Q9YDecZw0F1988d7fcZDjrDKO4zhFWELc/gOHf796k25GgkVf07j4h3kX4hzHcRyntTRTiJP/&#10;mO9CnOM4juO0lmGj84W41N/dLsQ5juM4TtfQDCFO1tm9e1ub9dC+iG+/+SB8/sm74aP3Xgxrn14e&#10;Xl02N7y2/Pqw7pnlYdvqZ8Kuj1eb9ZoNhKHKNKrknMqUEmhSeUTKSpSMLFJSU04/KZkopz7L6Poy&#10;XjGxRYpUaEfmyfryVZE5NNp3ETlxATkCEMvoMUgxrKz0JMUv7A+rDIgJYoDXc2PDE/342aCkqfdk&#10;Ebljl7Bv9GnlE5bTJ+fxtLTUOqUkw5TElcqzysjrjEVqXGWR+z72eyW1b1N5hGVSe1pel5QRgZ00&#10;8l68537cuBD3vYEj90GeC3GOUx8/+MEPqr/fRo8ebeY7juPk0OVCXOWP/L2vanMhznEcx3Fay5HH&#10;nSXuwbUPyIsSXu9SU9eFOMdxHMfpMrQQJ0+M0Sn1d/fGLdOnWg/tHcdxHMdpLuOPHy3uxRUS926m&#10;1N/d9Qpx5Mud68Mn778Stqx6PHzw+pPhk42vhC8+XRN2f7u1tqz+uYlQ9AAQf1InxaWkqVyhiqIO&#10;vsakKCkD6TJFYpiUjyzBJWecLKPrIzasa50ShrFSxgNanpHiTkq+sWi07yJk3GLrArhfUuNnGT0G&#10;KQaVHV/R/AHGnRLByvYtxyvlsVR8LHLGjn0t8+Q+j0leUhzVc5KiliXhyfaBzk9Jb6k8q4y8zn2G&#10;z3asbllSAi0o2heN7OmidcLYKFKCZs25vyLvxXs4eGolrtlp/yHDJ+o2XIhzHMdxnO7ngUceq7k/&#10;gx8OHLpv9QbejASLvrYDF+Icx3Ecp6vQQhz+7/OO23Bh6vwP88Oe6Mj6/1x/w/jl1sN7x3Ecx3Ga&#10;QzkhLv53twtx/ZsRI/979QEZvlr5juM4TvOoT4gbvlzWkX93NyrE4TWqX3+5KXz12Ybw1ecbq9/v&#10;/mZLZyGuhWiRCkCmgegBeQPge1yTYoduB6JILE8iJSP0K09KgzwCKYj5lmCC8TJfSjWQjmRdYAku&#10;OeNkGau+FI1QjnIU5qHjqOUZIMUqtC/nj7bwM2Mt64FG+06BOLIu+sE1xFSOD1AMsmJDWMYagxwn&#10;+pGyFvrDXkN9SxyTsUO+rKtjIPMI88rERu55wNiURe5NzANzxXV85brqmMr5YMysg3VHnDg2Sy5F&#10;WdZFO/JzgraYR2RdIPcD6+bkWWXkdfSvY0owD8QA8Yi1G4NtyrnqOAFr33K/WnmEZay9Q9kO/aA/&#10;XLP6BmXn5dQi78V7KCfEVf4GH6Xb4MP2Xbt2jdIP5x3HcRzH6Rq6QYj723vTr7rqkZnWw3vHcRzH&#10;cZpDY0Jc/B/mXYhzHMdxnNYyZMRPxf27QuKhuvV6lo4sF+L6OQMH/3P1ARm+WvmO4zhO8zhk/Kia&#10;e3GOEIcyNXXE3+x//evW5dZD+94G5A0pGxVhyUpSstF5GkvI0WA8Vl0A0cSqAyCucC6W4JIzTpax&#10;6iNWUlTSoG5KngEUoFJAstH1mtF3CqttHQO2b8WGpMZQNAdiiWeoq6VHjZSSNCxTJjb6c6EFwVyK&#10;5o1xa4kPPxfFCvvEkv9A6nOCduWpgLquFNq0xJXKs8roPMSfeSlSvwM0qbkCxtHat43uacRfi28E&#10;17Fn+HMsXk4x7e3vifvwHnDiWyWu2ckS4vg6tl0uxDmO4zhOt3HHXStq7s+gqUJc6r3pLsQ5juM4&#10;TmsZc/SUmntwGSEu9Q/zLsQ5juM4TmvRQhxei9pxG+6UUq9ncSGuf+NCnOM4TtehhbjUvZsJZWrq&#10;DBm+viOrzwhxBKc3QUKh/EEgdeAaBBqeUqWRr0K08jUQQyA98XQlgO9zT4fSJ4Lhe4pQHIsl7uWM&#10;M1UfQG6CGCPHjrIcN4U3tKPrEpRFHSnSoD3GGX1Y9ZrRdwy0jfocE/rQAhD6Yp/yuoRlUmPAWul9&#10;hjVE3ZjQRpCPcjJ2qIu9G9ufgOXLxAayE/tI7ZkcuHZy3yLGqXGjDsarY1W0Twj3mewPY0A99Ilr&#10;1rzkvLVwl8rTZXTbUg7T64wxYbxyrrH2LfRc0Tf2M+aJWOEa8nU91rHyCMvE9g76kJ8d2Tfy+Xkt&#10;Mx+nlmYIcfsNHDqoUxsuxDmO4zhOt2MJcfx386ak1D/MuxDnOD2PU065rPoHFPi7v/vPYfr0uWa5&#10;VjNq1OS94/iXf/kfYdasO81yjuOk0UKcPOWtKKX+YX7u9Uc8YT28dxzHcRynOZQR4qz/G32vELf1&#10;vJnWQ3unf+BCnOM4TtfRDCGuck/f+9rzvibEOY5TCyQtSk5lTixzbCgDpmKJmKMMoOjpOJs2vyHu&#10;w3soK8RBftNtQJJD3s6dOydaD+gdx3Ecx2k9LRfirH+Y5xF011zz2Gzr4b3j9BUuuuimqlRW2e57&#10;+cd//G9m2Z6CFNHAmWfOMcu1Gh237hqH4/R2minEyX+YdyHOcRzHcVpLo0Ic/+52Ia5/40Kc4zhO&#10;11GfEDdspqzjQpzj9B9wilnlo14ldoqbkw9jqU8elECCYzkX4hxiCXH4G7uyT7IT/v6OteFCnOM4&#10;juN0HwsWL1H35y4Q4nhMrAtxTl9n6NAj9/6BJenJcpcLcY7Ttxgx7oTae3ApIS7+D/Nzbxj/qvXw&#10;3nEcx3Gc5jDg4EPEPbh6D5/ZcRvulFJ/d2/eev5s66G90z9wIc5xHKfrGDxiRO29uFEh7tttT1gP&#10;7h3H6RvwVZc42czKd8rBE+Jw6h5kQykZ4ntc44l8iL2s6/RvmiHE4cG6boOnzO3cuXOq9YDecRzH&#10;cZzWYwlx1Zt3s1LqvenXXPNIm/Xw3nH6Cv/wD/+l+geWZsCAEWb5nkBPEeL8lamO0xw6C3HDl1c+&#10;V1mp8z/M/+0/ElyIcxzHcZzWUkaIs/7u5utZ+rIQ99Bjk6p/L/z93/+n6s8LF48P/7Tvd6rX8BU/&#10;y/Kr3j4zTJ8xJPzr9/6vvX9roO6Ikf893Hn3MTVlNah7+axhNXXxPdpDXqzOL07/N7O/a/54mFkH&#10;oB+URTn8jD5Qj32ufOHUmvIYO8qyD8wddZBXJMSxLtvPjYfjOI7Tmc5CXPzezXTAkIOnyjqgI8uF&#10;OMfpw8iTyiBqWWWccrzy8mN7hbcUkOFQ1mrD6Z+8vfrFmvvwHhoX4nCPR54LcY7jOI7TfbRciEu9&#10;N92FOKcvA5Gsss33glel8nucfmbV6Qn0FCHOcZzmoIW4/3nQiHsrn+2shP+LTdYFPEb2+huOWK8f&#10;3DuO4ziO0zz0PTj1UD31d/embee36Qf2fQVIW5UpVoFgxu8JpTAAeY6yXIyYpAaxTUptGuRpKQ4y&#10;HiWzGJDULJkO42b+zybu16melNVY1gLj4rgtIc6KmUSXdxzHcdLUI8Sl/u7+6+6tr1oP7h3H6f2c&#10;d+7p1f/egpy1fdvbZhmnPDgJDrH9yU8G1/x3LUQ5XIN86PF2NC7EOY7jOE7fpeVCXOq96Vdf/chy&#10;6+G94/QFcApcZZtX2W+/QWHChKl7fwannHKZWa+7cSHOcfoWBx9+bM09+H8ddOjiymc7K+F+LesC&#10;F+Icx3Ecp2vQ92D+Y7qVrH985+tZNvUTIQ5AQIMghus4ZY3iGKQzynAQxOTJcRDl5OlqUjYjPGUN&#10;oF1KbChL4QzXWR5tUobTJ9Xp/vA984iW3NAG5DX0hzyeEIefWQbj4HV8lX0AS4jjGCHdsS7mhr7Q&#10;py7vOI7jpNH34tS9myn1d7cLcY7jOI7Teiwhjv+DWZmk26AYv3PnzpnWA3rHcRzHcVrP1dfPr7k/&#10;/9tPDv2ieuNuVkpZ8Y0Kcb/73V2Ok4W1f1oNToGrbPMqxx9/frjoopv2/gxSr00dOvTIveUg0uEa&#10;2sCrQ3kdr2OFvKbrEvSHfNSRY8H3uIb2rHoxIQ4Cn7weE/rQLsugL4yDeagDOVCOB2NBn/qVqHIc&#10;mKvMAyiPOMmT91AO7fcGic/ap07/wtoXrUALcQOGHn5H5fOSlax/mOdrz693Ia5b+OSTjQEJX618&#10;p7k8+tiV1Xgj4XuZd8utp1XXYceOreHZZxfU5PVUdu/+ujqXNWueMfN7IhgrEsZu5efQjDb6I71x&#10;v/Q19D24rBDH8pu2nr/cemjfF5BCGLBkNsBXkELysk5kA5TetKAGmY3tS+mNoD0IZfJ0ObYF4SzW&#10;nxTW9CtQpRCXaqOoH84baCFOxi7WvuM4jlOO2L04lazXnvPv7t27t623Htw7juM4jtM8mifEDWuX&#10;bew/ePhsXHchznEcx3G6Dy3E/WjooV9Wb9zNTLIDQCu+USGu0oTjZDF48GhzD7UKLY9R9tKvTdUS&#10;GJHiG6Qv+bMGebq+fl1rDEvKiwlx06fPrblu9Qtir4aVJ+ZZoF/Zjp6zzMNYpFRnIcv3RLAnrXE7&#10;/QdrX7QCLcQNGj7m7kr/WSn1+rW5149vtx7e9zbKCmbdLYhAvkLCVyvfaS4Q3Zi09Cbzest6MG3Y&#10;8JKZ3xPBWJms/Bya0UZ/hKk37Ze+xFXXjK+5/wKe+BZLnf/xfc/f3f1FiLNkNcJT3CCaWfmAEhrk&#10;MnmdryzV12NAbuOYfnH6v5llgCynxyWFOJwoJ/MIJDaWSfUTe2Uq2mX9VOwcx3GcfOR9eA/FQpz1&#10;dhX+3e1CnOM4juO0nhdferLmPgwop5dJlb/JX61pY/Dw5bi+a9eu2frhvOM4juM4XcNvZl9dc48f&#10;9NPRn1Rv3M1MMSv+mmsefUI/uC9DpQnHyaKrhTgpf0EQ43X92tTYKW0pAc5Ct6OlthRFdeVpaziB&#10;TebJ099A7BS8HEGvjBCXEx9ZvifiQpxj7YtWMGTEhNobfQkhLvX6tb4ixJUVzJi6SxDpbUJcbz+Z&#10;KyXE3bNiZq87QYuprwhxqRP8JC7E1QeTC3HdQzOEuAMGD2vD9f4ixMVOhwMsk4usGxPKYuSOCUCy&#10;Qzl9Kp0U4uR1SW4/PEXOGj/nBtCnPqnOcRzHyWf1unNr7tug6N6NlDrl1YU4x3Ecx2k9zRLi9h88&#10;7ImaNio/4/ouF+Icx3Ecp9vQQtyQEWPbqzfuZqaYFX+NC3FOF9GVQhxOfZN985WnQJ+yhtd7yrrE&#10;Er5wUhzaBvq0Nd0OBDScoIZyOK1OnkSnpTxKayQlxOm6cm5Avi4V8LWqsk1Idfo1qphvGSFOXpf1&#10;+JpYeTJdT8WFOMfaF61AC3H/PvJn2a9MTf3DvPXwvjfiQlxr6e0iUkqI640w9SbBKbWHctent+/D&#10;7oKpN+2XvoQlxB04fPgp1Rt0JMX+7n5/2/QnrAf3fYEcKUyexJYDJDFZn9dTp7BJpMxWJJjFZLWu&#10;EuJwypyU4lhOvv7VcRzHycMS4n582MjkvZtJ19srxH27td16cO84juM4TvNo2glxg4e11bQxZPh6&#10;XN+1a1ebfjhflp07d4YdO9or7NjLzp1gp1necRzHcZw9aCHuoJHjdlZv3M1Mna34vULcq/rBfRkq&#10;TThOFl0pxGkpTJ+ipk9Zs16bqmUwLZ5p6Q7lZX4RqbopIU73K0+/AxDzmCelNNkmrkMMlPUscoU4&#10;LfT1FlyIc6x90Qq0EDds9HH3VPrPTp1Ped3z+jXr4X1vxIW41tLbRSQX4rqf1B5yIa61MPWm/dKX&#10;qEeIi/3f6P1diJOvBoVoZpVJUbZubxLiCAQ4liP61DrHcRwnjSXEHXbMYdMqv1MLU+zvbuuhveM4&#10;juM4zeXxp+6vuX9X78V1nRA3fHZtO8OqJ9DsaoYQ9+kn4ZNtH4SPtrwfPtr8fvj4g82h/aMPw45P&#10;283yjuM4juPsQQtxPx51xGfVG3czU8yKv/rqR9ZbD+9z+dnPznKcLKZO/b25h1qBlMK0MAZw0hvz&#10;gfXa1JQMZpWx+gFoG+NBvmxPUkaIA3J+gMKfluWkqKYlQYB2rLmTVAy0VIifEVctH/ZksCetver0&#10;H6x90Qq0EHfI2EkPVT432UmfNoN7elvbyH2sh/e9ERfiWktvF5FciOt+UnvIhbjWwtSb9ktf4g9z&#10;xtXcv8FPx//0Vx23ZzPpf3zn393vbz3/VevBfV8gVwpjmXqEuH/a9zvVuimhTLJw8fisMQG+MvVn&#10;E/erud7VQhyBwAcRju3WEy/HcZz+iiXEHXvymOS9myl2yqv10N5pLePGjazeA/HVym81i2/+Y/jJ&#10;TwaHk06caOY7juM4zccS4n44cOi+uBeXSRDadTu4vnPnzuXWA/ocdu5oD59+uC1sW78mbHrjtbDh&#10;lRfDey8/Fza89uew5Z03w/aN68OnH39s1nUcx3EcZ1eYcekVNffmnxw+4YvqjbuZKWbFNyrEOU5P&#10;Q0th+mQ3oF+bqoU0UFaI02UwjpQEJykrxOEVpzIfIhqua+lN19OveSU4Mc6KU2p+iCHqyXyCer1J&#10;jHOcVqOFuEPHn/hk5bOSnTqfNjN8uQtxtiCyZs0z1bxPPtlY/RmCDr5n+urrz7LEklS9nPGy/u7d&#10;X1fLIn3++SfVNm659TSzDvvDHFBm+/Z3qz8jcT5Et4+v+FkKSWwvlvT433jzwWodjFMmlMOYZFkJ&#10;+2EZtCPbwPcvv7KsUz0J5ovYIM5MaPfRx66szolJzo8wBtYYmYd2Un3oehK0q2OiE9qx6lowcT/V&#10;MybORY7L2gMa5GFfcQ8zoZ3NW16P7k30xcRriEtRSrWBOWK8TLmfTQu208geBIgP2uK+QUJdjCsW&#10;G9JI3dR4mWKxQV25nogj1vieFTPN8k45miHE8e/uTdvOX68f2vcVcqUwSm36dag5UBCDvGbla+SJ&#10;dJfPGmaWAbKcfkVpjhAnXwWbEtf4StRcoQ/UU8dxHKe/88rrZ4l78B5yhTjr7+4Q1u9jPbR3Wgtk&#10;tMqSVL9a+a2G/YOnnrzbLOM4juM0l6YJcUOGT9TtfG/gyH3KCnGQ4D75cHv4YO3q8O6zT4RV9y0L&#10;L9+xKLyw+Ibw/KI/hucWXhOeq3z985J54bUVd4T1Lz8ftm/cENohxvkrVB3HcRynhi4S4mwr3oU4&#10;p68BsauytUujBa5GhTidlwJlZd0iIQ5IGQ2ns+GaPDmO1zSQ5vTpboRiHSmKAWKWkuxcinOcPTQu&#10;xA1fLuvj/1y/7rrx+1oP73sjlDm0oBWDyRJEcA0JbUHwiSUII7ouYRtWgqhCcSU23lS/SKhvCTKM&#10;A+pLOYaJ5SDApBLLSdnISnL8OXJTbL5y3PzeShi3VR/ijhTCdJJioCV7MVn7gQnzi/UBgSkmoFnr&#10;YCXE2qpvwRRbZ6TUmHA9FS8kK9aoV5TQr7U35WeC1xoR4lJ7OPXZjNHoHgT1fm4brZsar9z71v6W&#10;+TqhXV3eKY8lxB1+1KG/6bg9myn2d/cmF+LCL07/t6xyFpDVWDcmuOGEN5lHAQ9fV719Zk1ZIkU7&#10;XSZHiANF/WBcbKeM3FbmVDnHcRxnD5YQd/KZRyTv3Uz67Sr4u9uFuO6hu4W48849vdr/f/3nfcP2&#10;bW+bZRzHcZzmYglx086b9q/Vm3SJVLl/j9Lt4NWrZYW4Tz/cHra8+1Z4/aG7wkOXnxvuOG1CuO2k&#10;seH2U8eH204eF5acODbcesLocMvkw8NdZ08Oz7ZdG9Y8+2TYtn5d2NHur1B1HMdxHIkW4g47+vjm&#10;vzI1ZsVfc80j7dbDe8fpreSeyqbRJ6Q1IsTpU+owJpzqJuvK/HqEOP3aV33qnZbbNChvyWxSYsuJ&#10;AcB8LdFOvrLVcfozPxp6WM39d9SEU56rfEayk3XajAtxaSGOCSIKJSqIV1ISs+QYlGVCXZ6ypOsi&#10;WeOVkhDGwvqQYdAfT4+y6jIOTPgZp0QBOVe2ARlGtw9RiuWIjInOIxTG8BXiFK/reVunbOlxozzH&#10;hXhK6YvXY/XRP6/LeDHVK8QxoQzFJNl+UdwwLtaTc7LWsQidyowJ5SjDYQxyPbBucq10rJCPtiFv&#10;yTy0KeeKfFkPyHydh7aYrPUhsg2ksp/NFI3uwUY+t43UlTHB55n7QI8ZCWVlXawnk9yf6B9lEQNZ&#10;3qkPS4g74vhDL+i4PZvJ+sd3/N29yYW46mlqfD0pvkI4wzXm47Q2CG0Qy7T0BtGM4hnqIp/yGfqk&#10;PCZPaZOvTcVpa/iZeehLvpbUkuxyhTgp66FNzkn3AbTchj5wDW1wPviK8bCONTbHcRzHphEhzvq7&#10;+6uvtu5rPbR3Wkt3C3GO4zhO19MsIQ7ym25nv4FDB+3cufMJ6wF9DIhtbz3xYHjy2ivC4p+PCrdN&#10;GFzl5vGD9nLrEYPDHUcdFOaPHRTuv+jM8Mqdt4SNr78Sdnz6idmm4ziO4/RXtBA3+phJX3bcupuX&#10;Yla89eDecXorkLkq270uIK3JthoR4iCwyesQ3GQ9IPPrEeK0AKdlNOTrOhb6RD3ZV64QRyDGyXHo&#10;eTlOf6VxIa7zaTPXXz/2+9bD+94IZZZcuYhJCyJACiYQSiiJEPxMQcU6iYpjQRldF0j5xRov20Y5&#10;nQekPAShReaxb6RYLGR9a3wWMiZWfhEyZlbM5bitmMoxa9FJ5lltQ+6RYhDK6zJMVn2ZLMlKxkaL&#10;UuzXmpOUkfQ6FiFT2TFx/0GKi60/16OsEMV61t6TY9J5cg2t9SGyjXo+myka2YOgkc9tvXXlfK2Y&#10;Ix9zYdL7m/FELOV1p7lYQtwxk0de3nF7NpP1dzf+8X3T1unt1oP7vkCuEAcgiVGKS6FfX5pTF9Kb&#10;PqFNSm0xcHKdrGPVtfIl8hQ4DaQ4no5nCXG6vKSe18s6juP0Zywh7uLfT/yPyu/UwmT93X33/Xf/&#10;q/XQ3mktLsQ5juP0Pywhbs7Vc3605y6dn/A/pOl2Dhhy8NRdu3a9qh/Op9jw6ovhmbm/D3f+8vjQ&#10;dsSQcOv4QeGWCjeNG7iXxZWfIcnNG3NgWHbmceGpa2eF1X96LOz4pOcJcdOmTQsHHXRQmDNnjpnf&#10;avbZZ5/qvV33v2HDhjB69Ojq2B566KGaPKf1xNalr7Fy5cq9/86C760yraSv7PPUfuHvmIsvvrhT&#10;Xn8EMUKsEDMrvzfS6Jy6RIiL/UeA9eDecXorKbnLQr52FJQ9HS1WRot5kO3YNsak62lxLEeIA7HT&#10;8KzXpeK0NvSDk9wgruEavuqT5nKEOMwFsUNdKd6hrgtxjtMZLcQdftSUVyqfkexkPVyfcsbI4dbD&#10;+95ISsSxYNKCCJDSTZEwpPtDeSbrlCxCUUrXx2ldTPK6hkkLNBxXSnaCUMMUE3A0MiZWfg6xmMm8&#10;lJjDpNdMvmoyNmcZV0u4YrL2A1NsPaWspNtmstqV+daYUjDVMybuvdiYANcbspWVH4P1kMrkpcYr&#10;kW2U/WwW0cgebORz26y6+F6WJ/J3kh432mKSop3TXCwh7uenjEo+VI/93d2XhTiIapWpV8H3VhkJ&#10;pDWIYJC9WA9AFoNYVnTKHMrwtDiAduSJcRq0p+vg+6K+eEobJDwrXwOJT84J31Ps4ylykONkHZ4G&#10;xxPuCH72k+Ecx3HK04gQZ/3d/bv/mD1eP7B3Wo8LcY7jOP0PS4hbvGTh8D136XIJp7zKdiC97yop&#10;xL3xyL3hrnNPDAsm/HuYP/bAMG/0j8K8wyuMHrCX+WMODAsqeQuOOKj66tT7Lz4zvP7A8tD+0Ydm&#10;m81g6dKlNX87xtDCisyT17sK9q1lGchBzINMI/Oc1hNbl76G3GfdIaT1lX3OOVj7hXlA5/VHEKO+&#10;Fo9G56SFuHETT/im0lZzk/UP8/iPAOvBveP0VqSMBWHLKiPRrwyVJ7nFZDBJqow+sS2FFsdyhTgt&#10;ABLrdal6rBZapIvND+OR12NAvpPtOU5/RQtxE44769XKZyQ7WUe9/+yEEVOth/e9kbISDJMWREBK&#10;3CEso/vLFXti45V95yQ9/tw4UIpCQhv6FDFNTkyKSI0tZ9wsU8+ci9aFSbddlEeYdNt8Naklrskx&#10;lZWRmOoZU9kk6xaR2iepvKL1Iak2CMuk9oNFzj5iGR13Oa6cJOs3qy6vWTDJugCfe54wh684+S4m&#10;Gjr1YwlxJ0wZOa/j9hxN1j++Ww/tHcdxHMdpLpYQN+s/jiu8dyP9cODQfXXd6RdfOMl6aN+b2L7t&#10;7XDttbOqctl//ed99/6b3Xe+8/dh3LiRYcU9i816AGVQ9pWXH6u2c/nlM2raQH3kWXXB4pv/WC2z&#10;337f21sHYCwYk1UHWEIcyuMaxvTuuy/UlJegT5aT11HnpBMn1owf7aO8LAdkXzoPPPXk3dV5MT74&#10;ip9x3SrvOI7jFGMJcSvuX3ZE5fds6VT5m/xV2c7+g4cv37Vr13r9cN5i586dYfvG9eHPt7WFJSeN&#10;CQvHDAzzxwwI84UIt1eIq9A25sDQNnZQaJtwUFg69Wfh5aU3hU+2bTPbbgZSSEihhZUf/OAH1es4&#10;pUpe7ypi41q1alW/OaWsJxJbl75GdwtxfWWfp/ZLd/+OkWAM3T0W+bvayu+NNDonLcQdcfxJf620&#10;1fy0/5Dh62VH//OgEfdaD+4dpzeiXyEK2c0qJznllMtq6kghrFEhDuPRJ9BJ5Olu9QpxOOFNliPW&#10;61K1/KfBWHW92PxyXk2bE3/H6S9oIe7on5/zduVzkp0sqX3E+EOuth7e90ZyZBYJkxZEQI5kwjK6&#10;v1yxJzZe+XrDnKRPhcqNA6QXKcUhoY71KkiQK94AtIFXbVIG08kaW864WUavWU7donVhsvYDk5VH&#10;mHTbMm44jYuyEcox/oiTrJMDU9kxQYAqk2KnpaFN7FW9h2TSdWQsdB7aY9IxlKTaICyT2g8WOfuI&#10;ZXTcG/ncNlI3Jx6ASY8bQMakFMeEMaXWwSlHA0Jcp398tx7aO47jOI7TXBoR4qy/uydPOf1q66F9&#10;bwKiVmV6SSC6WXWZD0FMimQSyGCWFEepLIUU3iSWEIc+WC8l01G+w1deQ13KaxZaZEM8mCevAwp3&#10;MXR5x3EcJ49mCnH7Dx72hGwHz8Z3ZQhxO9t3hO3vbwxrX/xTePqPvw23HH9ouGncoLBgTGcZjlCU&#10;Wzj2wLD4uBHhuYXXhI82v2+23wykkACxJwZe0WjV7y445r4uXvU2+su64DPBueJ7q4xTTG/ZLziF&#10;D+PsztP4GpXHeiKNzqnrhDj1HwH/68eHPmc9uHec3og8tQxyV0wi08ROlZOvEtUnpxEpmUFw0/kQ&#10;zFBGinH77TeoKuJJgQ/XZD0p6lmimkS/8jQ2Vr4eVUtuGDeuy9fFklQMMEaMW8cP1/xkOMeppVEh&#10;DkmfNjNi3CFLrIf3vZEcmUXCZAkiOZIJy+j+csWe2HghkjHJ67mUjQPkNdZhwhh0uZyYQKyJSXAy&#10;WWPLGTfL6DXLqVu0LkzWfmCy8giTbhsxSSWISCgj6+TAVHZMcjypujEg9DHeRUnXRX9MOq9ofUiq&#10;DcIyqf1gkbOPWEbHrpHPbSN1c+IBmPS4CdYVwqb+/MrXszr1Ywlxp0wdtaTj1hxNnf/uPmSV9dDe&#10;cRzHcZzmYglxc+YeX3jvZtJ/d4868pgHrIf2vQkIcTwJTZ6sBglMntyGE+BkPcA8AlGM5dAeJTPI&#10;crouJTp8lcIcxiAlPeuEOkuIA5bsJkHbbFee/Mb+UE+OBX2jjzJCHOeM0+YYT8QE/VlxcBzHcfK4&#10;+/5lNfdv8Pjj955Q+Z1bOu0/ePjs2raGte/KEOLaP/0kbF79enjjobvCw7POD4uO+klYfMSg6mtR&#10;tQgngRR38/iB1derPnXV5WHTG6+FHZ9+avbRKL1VsuCY+7p41dvoL+viQlxz6C37xYW41tDonLQQ&#10;d+SkU9BW85P+j4AfDhm+03pw7zhO7wHyWeXjvRf52lfHcXoGWog7ZvL09bgvl0n6tJl/P/SQl62H&#10;972RMlKJlIKsE9EakW5yxZ6YfJMruMSItVsETg6TMdTiTM642DckL5TXr2FNjS1n3Cyjx5ZTt2hd&#10;mHTbRXmESbfNE9RQV8YX4hFO4Sp6VW0MpnrGxJSqGwN1mDB+fJZi+fJ6UV7R+pBUG4RlUvvBImcf&#10;sQz6kNdzxhWjK+oy6XFbIP7y5L/Uejh51C/E1f7d/T8PGr7TemjvOI7jOE5zsYS4a+dNuqfjFl2Y&#10;tNQ+cvwxz1sP7fsKEMEq065ive6TeUAKZkSKY1K2KwICGcUy63S6mBAnT50rOpVOCn68lno9rCQm&#10;xMl4WQKh4ziOUz+WEPfMyoenVX7nlk77Dxk+Ube15YOtO6wH9JJPP/oorH/1hfDS7QvDvTPPCAsm&#10;/DjcPL5YiJs3+kdVIW7+2EHhwcvOCm88vCJsfufNantWP43QWyULjrmvi1e9jf6yLi7ENYfesl9c&#10;iGsNjc7JEuLa29v3qbTX3FT5o36m7AjMnnOf+fDecZzegXz1KrBOenMcp3vRQtzEEy7YivtymaQf&#10;rv+vfx/2hfXwvjeCk4yYYq/9JFIisYSkHMmEZbQ8I19JmZJPKJzo+hg7k34dag45Uk+K2LiKYoIT&#10;pphip0qlxpYzbpbRcZWvnJTXJYglkyX4MFlrxpRaTybZthQvZdlmwFR2TICngGGt5fUcuD8g91n5&#10;qX2SysMYmVICVqoNwjKpvWTRyB5s5HPbrLqxuMnPph53jHrqOHEunzW25v4Npkw7rPChuvWP76vX&#10;nWs+uHccx3Ecp3lYQtzcm054rOMWXZj0393/9pMRX1gP7fsSlWlXscQ05p137umd8kCRUJciJr2l&#10;8iChsT9rTDxBDifCyeuU7/T1GDEhLve1rY7jOE55LCFu/cZV51V+55ZOBwwZNkq39fTK58wH9JJP&#10;P/4ovPfy8+HFJW3h3plTw8KjfhwWjR0Y5o8uOCFuzIBw87hBYX6l7N3nnBheWHxDWPv8M+HjrVvM&#10;fhqhXiFh9OjR1Tr4GsubM2dO9ef58+eHH/zgB3v7wfdLly7tVE+Tqsdrlkizzz77VPPYv5W3cuXK&#10;gNfAov53v/vdve1h7MjT9SQYA+cYA/3oepgPxRqAfidNmhRWrVrVqWwKtIP+ZWwA2rbmTLp7XVJA&#10;KkMsZHzY9rRp06prZdXDXFAOc8PPaEeuDWKcGgtij/bRL/cG62E8sb0QE+LYBtqU5TXcc3q9yuyR&#10;1D7n3tbrhGtlX39c734j9e4XriPX1spLrW0qPiAn1nJPWFj9oz7a4RqD1DpKWJf94it+5nqyPatu&#10;DNRFDDBXOSa0jTimPvMcRyO/L1sxJ3LGeRfW3JdbJsRZ/xFwyWW3mg/vHcfp+cjXrgLrta2O43Q/&#10;zRHiaqX2viTESREt9RpKKSnFxJdGpRsKR/gKsUTnS4FL15ciSkrMiUFhp566IFZfCofWnGRcLSER&#10;dRgXa2w542aZlIxkyXgYG/YEkyUOMVnyD1NKDGKSbcuYNPvVk0xlxwQ2b3m9Iyctn1kwjtjDVn7q&#10;pEZ+ZpB0noxVSgpLtUFYJrWXLBrZg418bhupK3/vWZIi2panvaX2i4apTB3HxhLiTj/78MKH6uY/&#10;vj9/pvng3nEcx3Gc5oH7rb4HlxPiOv/P5NZD+75EZdpVUkKclUdYpiuEOMDXn+rXk8rXpeqT4CDP&#10;MQ/1rdPlJDEhDsjXzKJcmZPxHMdxnDjNFOK+N3DkPrqtBYuXmA/oJTvaPw1b1qwObz3+YHh89kVh&#10;0dEHh8XjB4e2McVC3E3jBla+HhiWnTkxPD33D+HtJx8KH27ZZPbTCPUKCRRJ8DWWR9GI7WsgpOi6&#10;JFUPMgW/t4SUnDwIIlLskEDYiEkemJNVR4M2ZD05Zo0VwxgYt9WGJNZed69LDMRatmOBeFoiF/cv&#10;xpVaG4xN1wWUdFJYJ8DFhDiKWnr9JRCQWFfKSGX3CPN0rBEnLa9JyqxNI/sNNLJfWNdqn3mpuaTa&#10;zo110f7QbeOzk6qDvNjvFuyFWF1c594CVv0Ysl6MWByZX+/vy1bNiUSEuH0r7TU3Wf8RcMbZV5oP&#10;7x3H6fkMGDCi5hfShAlTzXKO43QvWog7/qRfteO+XCZZD9fxKjfrAX5vRMoyEHcg/kCugfSDr1JE&#10;S0lzsh0rH7CMJbBIQQuSCk+hQ39SGEKy6kthCflSEILgwrlgDrIeQHnW03kEY0c+xon2cA1fpfSm&#10;BS7EkIkyFOYlx0ZZCgIORSu0i36Yh2SNLWfcLGMJOpTt0A+FPKtvJEsCY7LaZrLyCJNuW8pIMmFM&#10;mA/2A8dbBqZ6xoR1Y0zwFW1wjwLsU6w/Yqr3AfevjDPAPtBzlfUA+mHSeYAJ7WDtuH6yTFEbgGVS&#10;e8mi0T3YyOe2kbry9xrGhfK4bq2JHjf6Qn3ZH/aCbBP7QdZxymMJcWeec9jzHbfmaLL+7r6ubbL5&#10;4N5xHMdxnOZhnRA3f/GJhfduJuvv7rdXv2g+uO9N4GQ1nGgGwYynpWlaJcThVauQ0CCwsaykrBAH&#10;2Y11ZZ98XSrmJ8uTk06cuLcewHhQx3r1aUqIQ3kpxQGM03qlrOM4jpOPJcS9//6bv6n8nq0r6bau&#10;vj4uDUnaP/4ofLBmdXhu4XXhpmN/Gm49YnBYMGZgJwlOsleIGzswLDvj2PD0db8Nbz/+YPho00az&#10;j0aACFGZXhUrP0aOrEIgPfBkJMhDUtaxTkySY4K4QhFK1wWWyJGTJ8uwfSmzQP7QdaUEhXFx7Pgq&#10;RSgtbknhC2IJ81EP/aOuLJ+CYgq+SglFjgFYpz5197rEwDwQNwhtaIvX0b7sE/myHpD5AONgGzom&#10;luiHfjEXxEuum9wLaFPWAXIvyDGjHV631gBQxpJ7rJ49wvI61qiP6xi/HAP6QN9l1qaR/SbXpp79&#10;kvM7JjWXWNv1xDo1FiLbRRsyXogP52z9jsDP3G/4yj2F6zKORNYtAmPBuLGn5edar4MeE5B9AoyF&#10;5Yp+X7ZyTiQixH2/0l5zk/UP86edcYX58N5xnJ7PP/zDf9n7ywenw82adadZznGc7kULcZNOueir&#10;6o25RNpv4NBBsg0w89Ix5gP83ooUS2IJUklK8miGdCOFEp0gFXGc9dRngrCk66E9pFi7QM7PSpBo&#10;rHqW3CX7gbyUSqxvjS1n3CyjpR6A9cS6WgnXIfwwdaUQh59zUizmMZjqGRNIxUsmLaQV1ZN7RNYD&#10;ct/pPBD77MoyRW0AlkntJYtG9yCo93PbSF0IcNZnkwljjY2b12MJayLLO/UB8Vzfe3OEOCRd73fX&#10;HG8+uHccx3Ecp3k0KsT9cODQfXX9F1960nxw31uAqBWT4CTNFuJwCltMgpOUFeIA5wPJjdcoqclr&#10;GoxRi3Gop095SwlxBHHlOEnuK1kdx3GczlhC3KuvPj2n8vu1rnTAkGGvyrbwIN56QG/x6fbt4dU7&#10;F4dbTxgdbh43MCwcc2D19DeIb5YQN2/0geGmcYOqX+8+54Tw4s3XhzXPPd2jXpmaEkSYByDC6HyI&#10;EczXkpKUKKy2kU+hCGD8ukxOHrAEKRkPKY8AnkBmyR+A44ZkI6+zTUusaiYydtbcu3td6oXjtvqV&#10;64X4YhwyX47bmnMK2bbOk7Gi6EPYnyVWyXwp+NWzR9i/jjXjZQmEzSS135qxX1LrzjyrHom1jZ9x&#10;vUysU2MhFARj6y5jEvsdAfR+ArjGukDn10tqHwPmgbK/L7tiTjMuvaLmHt8yIQ5p/yHD18vOxhw9&#10;xXx47ziO4zhOc2iGEGdJ7VOmHWY+wO/N8IQjLYlA/sCJVzxBKQZPSoP4Y+UDloHcZuUDyERyDPie&#10;ghHlsVR9iEzIlwIShJjUPHiCV6pd1EN9LcOwXasOQD3ElePBWLRgwzEzoSzqYE1SMcsZN8vExsh1&#10;5/hk38jHeJEgdem6rGO1ncojLCPbRr+8jnHI8gCxkhJYqn1NvWOSYD2xftbnBOO1RDqg44yEtUF5&#10;9IWEPF0PY43lEYyH64Ryej/ktMEyqb1kwf2VqscyqbjX87kl9dblWjJ2SGiHa4j1QtLjxlpiD8o9&#10;wLjLU+OcxrCEuGnTD3+949acTPof3087+0jzwb3jOI7jOM3DEuIW3nZi1r0byfq7e/Hti8wH970B&#10;nGZGeQxyGiQufSIa8kCzhTjKYugf9bV0lpLeUnmAr0DlaXDydalFr0MFiIGU3nQ/OUIcQd98jStI&#10;xcpxHMeJ8/hT99fcf8Ebbzw3r/K7ta60/+Dhy2VbI4441nxAb7FjR3t4/YHl4c4zjg3zR/8otI0Z&#10;EBaOHRh9der80QdWT5Kbd/iB4YFLpoW3Hr2/esrcjk8+MttvBCktpND1cmSVlHDCdtG/vJ5zwhbE&#10;klh9kJMXk4VSgkiRFMN83S/kF7YpT41qBakxMq+71qVe0BbbTeWhf50PUjFJkdoLqTyKk0CPScZR&#10;7oV69gjL61hTzIK4GYtJs4jFthn7JbVuzEvts1jb9cQ6NRYg56L3g4TtaGkOn0lcT3025b6y8uuF&#10;bVqxZF49vy+7Yk4RIW5Qpb3mp/0HD3tCdnbw4ceaD+8dx3Ecx2kOzRDikA4YMqxdtnP8yX1PiHOc&#10;ngBlN8hGVj6hjKTlQsdx+gaNCHH6H98PGT/KfHDvOI7jOE7zsIS4m5ee/F7H7Tkr6f+ZfNoFF5gP&#10;7nsD8vWiMVGM+ZbIlcojLCOFOAhnvI7XksrypBEhDnNh+5gjBTZIf1b5GBTrgLxeRogjPKEuNmbH&#10;cRwnTQuEuNmyrSEjxpgP6GO8u/Kx8PDl54QlJ4wOC4/8978JcIf/qMqNFeZDhhsDIW5AuGnswLDo&#10;yJ+Ex//jsrDxLy+H9o8+DDvb2822GwESRGV6SXCKj66XEkSK5BHAMlrCkOOR1zUsk5I4yuYRltGC&#10;B0+0sgQPCDGx059wchLz8BUnLbVKVOrJ61Ivqb5zxsUyqXlbpGSfVB4kK+bpU7Vie6iePcI+dKyl&#10;jIZ+YkJaM4jtqZx1ASyj5wBibcs8qx6JtV1PrFNjAXI/5KDb4fXUfHJjWpZU36k8wjL6c5BTt9E5&#10;dbEQV/sfAXhIbz28dxzHcRynOWgh7tgTqv+4WjppqX3sMSPNB/iO4zQGT+DDVysf4GQvngbmQpzj&#10;9E0sIe7s6YdnPVTXf3cPHjHCfHDvOI7jOE7zaIoQp/7uPnHqGeaD+94AZLTKlKroE9qAFMuaKcTJ&#10;dnEqnSwPIMzxdar1CHGAAhpOZ2NbENyssjFi4ls9QlzOmB3HcZw4lhD31uoX76j8bq0rHTBk2Cjd&#10;3pq168yH9BabV78e/nLPbeHx2ReFZVOPCQuP+ske8W3cwD2vUR17YLh5/KBwyxGD95wed8RBYenU&#10;Y8MLt9wYtq7P76cs9QoJKUGkSB4BLKNlidzxsIwlW9SbR1gmJUFBbOIrAvGVp3IBXpdAkqKEI9vQ&#10;feQCiQd94hQw2SbpietSBGKBmPBkKQtdJ2dcLBObN9YLJ1Vx7hapvWCtIeeg++Qe0NIkKLtHWMaK&#10;NfaHbAftYo7W3syh7H5rxn7heljrxjyrHkm1XTbWqbEAHe8i9IlrvJ6aT25MLSD8Yc9h/HrexOo7&#10;lUdYRscup24jcwKWEFe5PqrSXvOT9R8Bs+fcZz7AdxzHcRyncSwhbvbsJ/bpuDVnJ/1wfcDBh5gP&#10;8B3HaQz5OlTIbvLVpRDh8EpK+apKvtrVcZy+hSXEnX7WYRs7bsvJZP3djYf01sN7x3Ecx3GagyXE&#10;3XjziR913J6zkv67+6BDx5gP7nsDUkyDOEYpDl+l9AWaKcQBvqoV4hrzIMJBkGMeqFeIk7IfsaQ/&#10;9A1hDuVlPk6W4zgQG1knJcphTPLVs/gqxxI7Ec9xHMdJYwlx76z580OV3611pf0GDh2k23t65XOd&#10;HtDH+PTDbWHLu2+FNx5ZER77w0Vh2enHhEVHH1x9feqCsQeGttEDwqKxA6tSXNvYweGOXxwdHv39&#10;zPD24/dXT4ez2mwG9QoJKUGkSB4BLKNlidzxsIwlW9SbR1hGCx6QSmJCEIEYI+tIKKXoNiw5KgZE&#10;nqIxgJ64LjEQF/ZbhK6bMy6WseYtX9mYQu8F/BzLA1hT5lNCkye3xcS0MnuEebFYU/STAhS+t8Yb&#10;o9791oz9wj1hrRvzYnMHqbZBmVinxgLkepeJL2Hd1HxyY6rB76SYBCex+k7lEZbR886pW++ciCXE&#10;7dy5c2KlveYn6x/mZ8xsMx/gO47jOI7TOENGTKi579YvxA2bKdsBV10z3nyI7zhO/UB6k8JbLOGE&#10;uDfefNBsw3Gc3g/usfq+O/Wcw7Mequ8/cPj3dd0HHp9iPrx3HMdxHKc5rF53bs29F5QV4g4YcvBU&#10;3UZ7+3vmw/vewEknTtz74EIDIYynqzVbiIM0xjyL1CtGc4Q4+VpWtmeVw7hkOQ1ioEW6lBAn62pi&#10;Y3Acx3GKabYQ972BI/fR7S1YvMR8SG+xc+eO0P7xh2HTW6+H1x+8K/zpxivDI789P6y44LSw7MyJ&#10;4fZTjgi3nTIuLD39Z2HFjNPCk9fOCq/duzS8/8ZrYceO5r8qldQrJOTIKjF5BLCMliVyx8MylmxR&#10;bx5hGS14UJ7CSVKAkgm+4vSsMiIMysqT0HLrMm7oE3PQYlUq9qk8wjI6PvgZ14G8rmGZVHw1sm3E&#10;FRJWLF9eL8ojLKPnjZizLvL0q0Vlvl6fVB6AbMV8ClaYG37GXtHlLdBuao/wek6spRSFrxifVU7D&#10;/VB2v+WsC2AZaw6xtmVeau6ptjVFsU6NBaB8rG4OrJsaa25MJVhnrjvEP+wDvfapvlN5hGXq2Z/1&#10;zEmihbgRRxzbOiHO+o+A0864wnyA7ziO4zhO4zRLiLOk9stnjTUf4juO0xiQ4taseab62lS+GpUJ&#10;13BynJ8M5zh9G0uIO/Ocw7/ouC0nk/V393Vtk82H947jOI7jNAdLiGu75aSsezeT9Xf3iy89aT68&#10;7y1ATqOABiDBQe6CVIbT0XDNOtmMJ6ilTj1jGZxGp/Mgo7F9gLIQ9CCg8VQ1fTobYB0rTyLbTo0R&#10;80dZjhUgHnjFKk96k3BsKC+v8zQ4CnsEP6f6dxzHcYqxhLgX/vzE45Xfs3Wnyj29Xbb3m9lXmw/p&#10;Y+xobw/tH38Utr+/MWxe/WZY++KfwhsP3xOev3luePzKS8ITV10anl10XfjLfcvC+ldeCFs3vBc+&#10;rZS32moW9QoJObJKTB4BLKNlCfnqwZhYImUjS7aoN4+wjO6fYkk9wotF0Tw0srx1ihXoyesSgyJS&#10;TBRDW2y3TB5hGT1vCo5YV3mdYJ5sW885lUcwH+RjfogN9w9iaZW3SMU0dj2GPKEuNmZJI/utGfsl&#10;1nZRHqhnL6bqFPUHUZB19etQc+ApdbH2gTzN0Mq3kGuuRVPCfCtOqTzCMnqdWzUnCe7B8p7cIcRN&#10;rbTXmqT/I2DyqZeYD/Adx3Ecx2kcS4i77roH9u24LWcn6+H6lGmHmQ/xHcdxHMdpjEaEOCT9d/c5&#10;M482H947juM4jtMcmiHEWX93L759kfnw3ule5IltltjmOI7j9B4sIe6lV5/+c/XmXGfaf/CwJ2R7&#10;Z5x3ofmQPpf2Tz4J2zasC+8+93T4y71Lw+sPLg9rKt9/sGZ1JxFu586dNT83C4gOlamVFhJSgkgq&#10;j7CMFi2kWGIJUpBW5ElOZSWOVB5hGS14UGjCSV8Yh8yrl5zxEAgtLG9JVRhTSkLp7nWJIeNq5VMs&#10;AzoP/cTyCMvoebNdxExeJ6nXYOLnWB6RMpIUf8ruHdbTMY1dj5EzZkkj+60Z+yW1X3naHvaOjid+&#10;Zn6s7RixOtwrGLO8LuF8rDEVIcdriWtSMAQ6P4bcw/p0PyDX2IpTKo+wjN5TrZqTpDuEuFdlh2OO&#10;nmI+wHccx3Ecp3EsIe7qqx/6fsdtuVSS7YCTprgQ5ziO4zitoFEhTv/j+2lnH2k+vHccx3Ecpzk0&#10;Q4hD0lL73PlzzYf3TvfC173i1Dkr33Ecx+k94DRWee8FjQtxw2fL9oaMGGM+pC9D+6cfh20b36ue&#10;GLfl3bfC9vfXh08/3N6pXH8R4oCWWSiXQDCSEk2sfr15hGW04CGlJg3mAyCgaBkG1zEn+UpOyClF&#10;wogF5THEgeNDf5BLmMfx6LqMuZVHWKYV6xKDshHGL8Urq11ZD6CfWB5hGT1vKQvJ+WAtpIQH9F7A&#10;z7E8iVwTgBha5TC2snuE13Ws0Sf2qiyP76WwJcun4Pjr2W+N7hfuRatttMG6aIuyF8ZY1HY9sUYb&#10;zOMeRRm59nJMEAVRjnMGKIt1Qdx0++ifdWWscV32TWTdFOiHdbCnGSerXWsNUnmEZWQsQKvmJOly&#10;Ia7zfwRMMB/gO47jOI7TOFqIO/K4s+oW4vYfMny9bGvsMSPNh/iO4ziO4zSGJcRNm179R7aspP/u&#10;HjxihPnw3nEcx3Gc5mAJcYtuPzn73s2k/2fyaRdcYD68d7oPvAa1slRVVtyz2CzjOI7j9B4sIe7V&#10;VStXV2/Mdab9Bw+bqdu0HtL3JqSYYOXHSMkqqTzCMpZoAYlESy0S1EnVl+XK5BGW0YIHxiUloBgo&#10;Q/EEcKwxIMnIflJAsrHaIIybFXuOw8ojqbg2ui4xIO2k4ir71HXRTyyPsIyed9F8ZJ7eC/g5lifR&#10;EqWUsCSMWwxrjzBPx1rWs4iNwaKR/dbofmGe1TaQApsG8Yq1zesxrFjj82ztUd12UbyI/P2QUxdx&#10;lAKnrpsiFSfMiaf8WWvAclYeYRnrc9CqOZGIEDez0l5rkv6H+R8NPcx8gO84juM4TuMcfPixNTf6&#10;hoQ4ddrMyCNGmA/xHcdxHMdpDEuIw6vKO27Jhcn6x3fr4b3jOI7jOM3BEuKua5ucfe9m0n93HzX5&#10;JPPhvdN9/OQng6sPY3BKnJXvOI7j9C5aIcQdMGTYKN3mmrXrzAf1vQUKCRAjrPwYPEELX8vkEZZB&#10;/1Y+ZBpIGJQ12B6lC0oeVn2KK2XzCMvoU5wo9+ArxifzUBZtsq6cO+QXSDZSDkI5lCkjJxHEgPFj&#10;W4gH+sEYdP+Edaw8wjKx+DSyLikwdtRl/GS7POUKeboe52vlkVRMrPlgnSDyIJ/j0XuBY7LyJLJc&#10;aoz17BGOTccaMUMs5ZzwPa6lxhqj3v0GGtkvRUIcSLXNMeu26/08InZsE6C+VZ57WY4L7WMe6Bf5&#10;ug7RsUYbmCPiiHpsy6qbAvtZzle2G4sTiO0xCcvE9lar5gS6XogbMnyi7BDMnnOf+RDfcRzHcZzG&#10;sIS4q656ZFDHbblU0lL7gIMPMR/iO47jOI7TGI0KcdY/vuNBvfUA33Ecx3Gc5qDvvRDi1q+/cJ+O&#10;23NW0n93H3ToGPPhvdM9bN/29t6HNNdeO8ss4ziO4/QuLCHuT889srV6Y64z7Tdw6CDd5tMrnzMf&#10;1Dt9C4gvlS1QBSKHVQZAeEGZlMTj9B+wVygMYW9YZRybHCHO6d9oIQ6vMW+pEGf9w/wll91qPsR3&#10;HMdxHKcxtBA35ugpDQhxtafNuBDnOI7jOK1D3nMBhLi2tpFZD9Wtf3x/4PEp5sN7x3Ecx3Gag773&#10;1ifEdT7ltb39PfMBvuM4juM4jfP26hdr7rugUSHuewNH7qPbXLB4ifmg3ulb4ESjyhaoYuUTl3gc&#10;iXxlZOpkMKczPNEMp61Z+Y5z9fXza+7HEOIq12dX9k1r0g8HDt1XdghmzGwzH+I7juM4jtMYI8ad&#10;UHPPbUSIs6R2nGBjPcR3HMdxHKcx9D33pCn5Qpz1j++Lbj/ZfHjvOI7jOE5zGDxiRM2993fXHF9a&#10;iLP+7t60+Q3zAb7jOI7jOI3TCiEOSbeJB/L6Ib3T95AnxOH1f3wtI9GvBeQrN53+DV+bCbnLynds&#10;5Oct9bpOp3/T5UKc9Q/zp51xhfkQ33Ecx3GcxrCEuMr1UR235VLJ+of5y2eNNR/iO47jOI7TGDiJ&#10;Vd5zGxXicEqN9fDecRzHcZzmYApxW8/Zt+P2nJWsU17xKjfrAb7jOI7jOI0D8Vzfex95fMXnHbfm&#10;utP+Q4avl23OuPSKTg/pnb4JTqqqbIFC/NWYDoAkyT3hgmQePBWO4HWzqVcUO/0bnNAq78egcr11&#10;QhzSAUOGtcsOJ596SacH+EVce+2j4brrHg7XX/9gmN+2Itx8y11hye1Lw9Jlt4dld94Rbrt9WVh8&#10;y91h4aJ7QlvbfeH6Gx6o1HnYbMtxHMdx+ipaiMPPlet1CXHWw/Vp00d3eoDvOI7jOE7jNCLEIem/&#10;u8+ZebT58N5xHMdxnObQDCHO+rt78e2LzAf4juM4juM0TsuEuMHDnpBtnnHehZ0e0jt9F4hNOAmO&#10;J38RiDwQ5lauXGnWc/ofECOxN7BXXOrKQ0qn+Jz558lJERHi2ir7p3XpgCHDXpUddpxWU4prr30k&#10;3HDj/WHxLcvDivsWh6f+NDe89Jcrw5urfxfefndWeHXVleHplXPDw48uCHevuDXcuuTOSvkHVTuP&#10;qJ8dx3Ecp2+Be6y85zZbiJsy7TDzIb7jOI7jOI0xZMRPa+65x598WLjuuvHZD9X1392nnX2k+fDe&#10;cRzHcZzmcMj4UTX37ot/O7G0EIck2wBz5881H+A7juM4jtM47e3v1dx3wbIVt33RcVuuO+0/ePhs&#10;2eaII47t9JDecRzHcZzWcsddK2ru8WDDxk2LO27XrUnaij/48GM7PcAvAnLb7XcsCw8+vCC88Odr&#10;wlvvXhE2brkktH92adj15WXh/S0XVcW4l1+bE/70/HXh4cfawtJly8K8efeF6657yGzTcRzHcfoa&#10;Rx53Vs1NvuOeW5cQh6RPm8FpNdZDfMdxHMdxGqNhIW7wsDZZHw/prYf3juM4juM0By3E4XTWeoQ4&#10;/Yq1aRdcYD7AdxzHcRyncbpKiBsyYoz5oN5xHMdxnNbRTUJc7X8E/GjoYZ0e4Bex8KZ7wuNP3VCV&#10;3jZsvjS8/8HF4YMPLwwf77g4fLLzkrBl+4Xh/S2XhPXvXxrWbbgsvPnO78Kzz18X7n/gpnDrrXeG&#10;66/vvVLc3/3df64eATlhwlQz3+n97LffoOoa46uV32qOP/788C//8j/CgAEjzHyn68DnHHsBn3sr&#10;32k+fe13bAuEuJrTZsYeM9J8iO84juM4TmMMG1372rWjfz6ylBCn/+7Ga9ysh/eO4ziO4zSH8ceP&#10;rrl31y3Eqf+Z3IU4x3Ecx2kdlhC38Ja2Lztuy3Wn/YcMn6jb/WDrNvNhveM4juM4reGBRx6ruReD&#10;V19bdUfH7bo1qfJH/UzdqX6AH+XaR8Lc6x8IS++8Pby6anbY8cVl4dv/Myt81H5x2PbxzKoUB7ZW&#10;vt/+yUXh088uDZ9/fXnY8uHMsHrNb8NzL1wbVtx7S5g37wG7/QaYNevOMGrU5PCP//jfqjIFoVg0&#10;ffpcs15Z2C76svKd3g/2DPeOld9q2D8488w5Zhmna8DnnGth5TvNh/HuK79jjz1hRs39dsiICeHq&#10;qx+aWJljXel/HnTIvbK9kUeMMB/iO47jOI7TGI0LcZ3/7rYe3juO4ziO0xy0EIfXlW/ePP37Hbfm&#10;7KRPeT1q8knmA3zHcRzHcZqDvO+CZghxBwwZNkq3+8prq8yH9Y7jOI7jtIbuEeIMK372nPvMB/ma&#10;efPvD3csvT089uSN4a01vw07Pr8sfLX7N52EOHz/4acXhU93XRo+++rX1Wvvrvt1ePGlq8N9990c&#10;bpyX118ukN14qlCMZskVzW7P6Xl0txA3dOiR1f7/4R/+S1X0tMo0A3xuuJ+bJYz2NXqbENcX1pTj&#10;dyHOTgOG/XSebG/AwYeYD/Edx3Ecx2kMLcThVNZSr0w1/vF99bpzzQf4juM4juM0znGnjqu579Yr&#10;xB04/LBrZTsHHTrGfHjvOI7jOE5zkPdd0JQT4gYO/75u9+mVz5kP6x3HcRzHaQ2WEPfE0yvv7rhd&#10;tyZZ/zB/yWW3mg/yNYtvuSs8+vi88OqqK8PaDb8OWz+aWX1NKr5ShpNs/2RmVZbbvG1mWPPe5eGV&#10;v1wZ7n9gYVWss9qvF4hDlalVpTi8bpLXL7ropr2vn3Qhzsmlu4W4rgKnz3E/+0l0Nr1NiOsLa8rx&#10;91UhDq8pb0SIGzh8+BzZngtxjuM4jtMacAqrvOc2Q4h7+vkzzQf4juM4juM0TrOEuOFjjqz5uxtY&#10;D+8dx3Ecx2kOkM/lffea66/5quO2XHf63sCR+8g2wR13rTAf1juO4ziO0xogo+v7ccuFuP0GDh2k&#10;O50xs818kK9ZuuyO8PJr/xHWb7qkKrlBeuPJcFu2/yps/Qg//02IQx5enYqyG7dcEt5aMys8/uT8&#10;MH9B806IO+WUy/YKFPjeKtNM2JcLcX0XF+Ic4kJc18Px95XfsZNPvaTmftuoEPfvhw6/WLYHrrpm&#10;vPkgP8YNN04IbQuOCotuPjrcsuTYcNvtx4Q7lk6ssuT2Y8PiW4+p5i1YdFTlfn1kuP5Gux3HcRzH&#10;6cs0KsRZ/zf6A49PMR/gO47jOI7TOFqIw8/1CHFjJ06eJtsB7e3vmQ/wHcdxHMdpnK4S4hYsXmI+&#10;rO/rzJmz57nRPvvsY+Y7+YwePboaS3y18ruSDRs2VMdx0EEHhYceesgskwP2BeaEfWLlO/2bnrTn&#10;y7J06dLwgx/8oDp+gO9Xrlxpli2Lf27y6RYhzvqPgDPOvtJ8kK+5+55bw+o1s6qvQW3//NK94ltn&#10;flX9ukeQ2yPM4RQ5iHQrn5sbFi68x2y/HrpaWGFfLsT1XVyIc4gLcV0Px+9CnJ1GH/3TM2R74A9z&#10;xpkP8i1unDchLFh4ZLjtjmPD/Q+eEJ559hfh5dfODG+8fVZY9da08OdXpoYnnzk1PPjICeGuFceH&#10;W2/7Wbhx/gSzLcdxHMfpy0CAk/dbCHJlhDjr7+7r2iabD/Adx3Ecx2kcnAgn77v1CnHHnnzqCbId&#10;8PbqF80H+I7jOI7jNI4W4q6Y/buvO27LDaWBww/7q2z36uvnmw/r+zoXX3zx3ucuVr6TD+QzxBFf&#10;rfyuBBIc17WR8bAN7BMr3+nf9KQ9XwbIcNzbkmbt82a315d55bVVNfd4sHzF/Q9U4te6ZP3D/Gln&#10;XGE+yNfcuXxJeGP1H6rC24efXrRXeIPstmX7hWHD5kuq0tumLRdVf2Ye2PnFpZVrM8NzL14bFi5q&#10;jRBXrwCC16rut9+gve3gFawDBoyovnJVl2UZyhr4yle2ArQzffrcTvUks2bdWa33j//43/bWw+te&#10;UTc1B5RBWbTPNuTrYvWY0ZacF/pLnaKH8miDQpisN3TokdU+rXopUGfChKnVNmWcON/UeFLzBUWx&#10;5rrKOAOMBWOy6gBLiEN5XMOYrH1B0CfLyeuog9jK8aN9+YpfIvvSeYDryvjgK37O3f9sP4VVD2sl&#10;+wXcG6mYxMDapfoDqViwPvMYYxkX/Fy0b1P1sOdwDVh1gbW2+B7XYnHhvBBP/Ix+2D9iKutZ7eu9&#10;U3ZN6/2s63Hr3zEYI+ai62kwdvm5xPf8XcBrOe30BnB/1ffcRoS4CRN/Okm3d/msseaDfIuFC48K&#10;y5YfFx557KTw4kunh7fXnhM2fnBB+PSzS8KnOy+u3MPPr8pxL71yRnjm2dPCAw+fGJbcfkxYgJPi&#10;jPYcx3Ecp69y9M9rhbhho8sJcUiyPnAhznEcx3Faxzkzj665744/fnRdQtzv/mP2eNkOePGlJ80H&#10;+Cl2f7u1BquM4ziO4zjbwlGTT6q578649JJvOm7LDaXRx0z6srbdK8yH9X2dviLE9YSTqnqSHLRq&#10;1arkKVW5JwOiDHCxx7HorUIcT4bDV3xWcA2nwzXrhLhWfG4wNrbbrHH2BNasXVdzjwc3Lbnjsco8&#10;W5twQo3sFCfYWA/yNUtuXxqefeG68PaaK8LGzZdURbdPdl5SfS3q+x9cHN5Z+5vw1juzwtoNv64K&#10;cbi+R4i7MHzxzeVh2yczw4svXxsW3bTCbL8epFQDqaJIftFACmF9DQQVLVwxD9KIFDokVj2C61Js&#10;sbAkKcB8SCmUZzS4rkUejSWayDjGYNu6bgopy8SIiS/Mx3xjMYvFOkcQksKbhJKQzJfxQduyvIR7&#10;Al95DXVj6wW0yCbXTl4HFO5i6PIWObGR5bHmReuI+cX2bQzMm/WtfJCKhayPvmMxTv1egIQVq4fr&#10;ct5W/VS/AHnW/uS8sMes30HcE7l7p8yayr0cA31aMZPjxu9AXY9gTrou4efLQsYi9nuht4ETWOX9&#10;Flz669tPqcyxrvTL8w47Qrc389Ix5oN8C7wSFafCvf3uuWH9+9Mr9+4LqpL7p7suqdzPL66+/nzD&#10;pvPDuo3Tw5r3zg1/eXNaeGblqeG++yaHW5ccG+b5aXGO4zhdzhtvPhh27Ngatm9/18x3WsPxJ9f+&#10;zTxkxE9LC3GDR9S+dvV31xxvPsB3HMdxHKdxLv7txJr77iHjR9UlxP3p+UcHyHbA3fcvMx/gx9j9&#10;zQfh613rw5ft68IX7WvDlzvfC9988X7Y/fUWs7zjOI7j9Ge0EHfGeed923FbbiiNm3jCN7XtXmg+&#10;rO/r9BUhrieIOb1JDspdd5ZxIc6x6E17XsJ93apXmrbicyNPfWzkNcg9jQ+2bqu5x4Nrbmh7pjLP&#10;1qXZs5/Y5+DDj63p9MjjzjIf5GtuXnxPePjRBeGlV64Ma9f/Onz46czqq1O3fzJzjxC37vLw9prf&#10;hPc24DS4PUJc9ZWpH10Y2j/DtYvCsy9cGxYtap4QB6S0ApEDIkWOuCVlG4gYPJUJX9kmvso6LE9k&#10;X1KOgcAl6wGUo9gFSUeejgZJRc5DS1KAeYR9AymScAzoQ4o1lLWAjg/FG0gusm+Uk3FCvqxXBOYE&#10;AQaxkadeoY/UeADzSJlYU6LDV8yN1+XaAuuEOgo7+Cqvc7z4Kq8TtM12MT5eZ3+oJ8eCvtGHXmsZ&#10;b3kdcM5yvyIm6M+KQwr0y370GCRyb2H9db8cE5DzK0L2b+WDVCxkfYBxMO5632IOuj7KcOz4yhjo&#10;ukTXx1yZhzXWa8v9grbRpqyr28faYewYA/IY47J7R8ZE5xG0gzHV81nX48a42Ib+bMnPgFUfa8K4&#10;oA3Gi6Csrt8bOef8P9bcb8Elv15yVGWOdaWLrxj/U93elGmHmQ/ya7h+fJi/cEK49/7J4c13zq6+&#10;+vzLb39TFdUhrfOV55DYcd+GILfzi8sq9/YZ4a3VZ4WVz/0i3HX38WF+W+uEuHtWzAxr1jxTlT5k&#10;ws+4fsutp5n1CPJZf/furztq70m4tnnL6+HRx64065LPP/+ko0aofm+V0dRTR4Ox6fTyK8vMspJP&#10;PtnYUdpOubGTQLxBu199/VlHK3sS5gYZp2hczz67oFP8dapnXDLOSOgDe0aWwfrWmzgWzE8mzhf5&#10;cl65a42YMaE+r+fEiSlHgiraC0ytFKqwpkhynk5zwGeGCXvHKuM0Hy3EDTj4kNJCHE6mkW3gVW7W&#10;A3zHcRzHcRpHC3EQ0+sR4l57fWWnv7sX377IfIBvsfvrzeHzj1aHT99/JXy09rmw/Z2V4aN1L4Qd&#10;H7wevvh0TfjWpTjHcRzHqeHEqWfU3HebJcSdNm36F7LdIyedYj6s7+u4ENc8epMc5EKc0wx6054n&#10;GzZs2LuvWyWWteJz05+EuFlzrn6hMs/WJUuIG3P0FPNBvmb+/PvCsjuXhCefvr56StzHOy8On311&#10;WfXh+eZtF4aNWy4KGzdfXPn+ouqDdVyHFPfBhzPDpm0zqxId6i5YcK/Zfr1AqqDERCB8QKjQIoqs&#10;w7KQOKwykKm0SCP7KBI+KLUQnuIE+SU2Ls7DGhPbBVbfaJf5kEt0H1KWseqn4Ljw1cqvBzkeKeYQ&#10;5oGysU6BuFCEsqSb2FzlKVyW+CXzZex5zZLvLOS85HUZr9j+KUNR/HUZK1ZAimGWeBZDtm3lg1gs&#10;gKyP9bTWhGtpyYKybWv+uMZ9AnQ+5a/Y7w+5z7A3ZJ7sG2Vi68kyuXtHxsSaUw6pz7oct/U7Rs5Z&#10;7wWZZ7WNfNRh+7H91tuwhLjTpv72jMoc60rX3TB+kG7vpCnFQtzCm44Oy+8+Ljz1p9Mq9+LzqjLc&#10;V7t/U339eVVcr8pwe+7bH7ZfVJXhPv/68uqJcavXnRuef+n0sOK+SS0T4jZseKlQDoKgFRPacuoz&#10;QRyKiVg6WWU0OlllUmAsVoIAY5WX5CbEJhY7AvFLS3CxBBkstRa5KWdcQEtqTOhLloMoVG+iZKTH&#10;L/vQ8Skau15b7D3mlYlTzl6QwlQq5bRVL3JOVr5TP5RmsQdjv7+c5oP7q7zflhXi1q+/cJ/jTh1X&#10;04YLcY7jOI7TOnASq7zvQohbv/WcUjI70u7dWwcddOiYmrbmzp9rPsAHENy++fL9sHPbm2Hb6j+F&#10;DS/eH9Y8fnt464FFYdXd88Jf7r4hvL5ifnjrwZvDe8/eEz5e90L4cse6Sp1NZnuO4ziO09/QQtyk&#10;X0zZ3XFbbihdfMUfdsp2h4wYYz6s7+u4ENc8epMc5EKc0wx6054nXSGWteJz01eFOCDvxaDlQtx1&#10;1z2w74hxJ9R0ip+tB/ma669/INx08z3hnhU3hxdfuiqs3Xhp2LwND9Jnho/aL66Ch+s8GQ7f45SZ&#10;Ldtnhnff+03488v/Ee5/4OYwf979ZvuNAmlKSmEAAoaWUViWZSyRJgbrxE5KSwkpPAEpJXpQOMG4&#10;dR7bjfUtZZUiwaasbCLbtvLrJTUe5tUT6yJS0k8sDzFlf9aYuL5akKIEFBOnNLFYS/HM2tNlyYmf&#10;FJRiewrIcla+hezfygepfSfrx4SxVH2uF77qPIJ1turLvZDae9xLeu3luFK/f8runZw1LSIVM5kX&#10;2w+xzw/WiHVj6yXjir6sMr2NGTPbau63oBEhbu7ccaPwQF62hxNsrAf55IYbjwh33Hl8ePKZ08Jr&#10;b04L7206v3p//njHxVURzgL5uKdv2jojvLPu3PDnV84I999/Qpi/4Eizj0aQJ2gVJUvmKVOfCUKX&#10;JZXopPMtdLLKpMCJbLGkT0DTlEmQz2IiTWoMsRST2cqIXkipcZHYGkMOkuUwnnoTx5AS4vRJfviZ&#10;eRY6rviZeWXilHOqW64Q18oT4lyIc/oaWogDZYW4c2YeXVMfJ8ZZD/Adx3Ecx2kcLcSBeoU4/eq2&#10;iy6/zHyAD776bEPYsXVVeG/l3eGZ6y4J90yfHO4+e2K455zjw13Tjg13/vKYcOeZ4GfhwUumhNeW&#10;zg1bVj0Rdm1/K3z7zQdmm47jOI7Tn5h2wQU1990JPz/hrx235YbSnGuv/0q22xeEOEgSo0ePDvvs&#10;s8/eZyk/+MEPqlIGTkWy6uSIUatWrQqTJk0K3/3ud/eWxfe4hjxZFq8gRD7GoPMkLCf7xRhxHXKN&#10;7AttYV5Lly6taQPIuVpYQkqZ+WgYY1mPfZSVg1auXLm3nZjgwvXBPK18wH4xfnmdsZGvhZRjt9Bj&#10;53XOEV9l3NAe5iHrlAFrjjaxT9km19uKCec0bdq0TnkSluO4JfPnz98bM4KfcV2XJYwbYokxI9as&#10;izxZBnPR9SWsy3q5IB6oy7lZccr9/GGuLKfzcvohjKPeNxLUQ322B4p+L+WAfYdxWp9ja6zyd45F&#10;2fVADOW+xff8HcVr1v7DumD/ImYyJhy7/jwVjRvI8mXb7wnIezGYcdkVr1bG3LoEIe7YE2bUdDpk&#10;xATzQb7m2useDXPnPhQWLron3HXPreGpZ64Pb7z9+7Dlw1+F3WFW+OKby8OOzy+rvh4VfLn7NyGE&#10;31cfrv/51avC3StuCYtuuif88bqHzPabBWQ3yi5En1YUE12KYJ2UrMEyWkjh9VxkXVk/1ndKZCFF&#10;bcTIabseUuNJ5RGWKSv/xKSdojyIScjTJ47hhDqORcs+cq+hfpGAmYq13NcoV+ZkPE2OPJWKhaTo&#10;9DwL2b+VD1KxyBl/qg9eT+2vWP+y3Rx0/FLzkpTdOzkxKSI1tpxxs0y9c2YZlLfyexuWEHf8SRde&#10;UJljXen668dPHDZ6RE17Y48ZaT7IJxDiVjwwOfzljWlh/abzw+ZtMzpOcN1zMtwHlXs4Tofb8+rU&#10;X1XhCa84Ie69TReE198+Kzz8yMmhbcFRZh/1wlcsyoRTtKRohdPBKPtoIc6SiiD8yPr43hKqLJlJ&#10;J51voZNVJoUUmfRrQREfqw6RSccGcYNsJpMUsoh1qhra4qtCAcQ8xFq3Z702VK8JfmYepDOMQbeT&#10;mifqyPI6RnKtY+hklSGp8aMvmbSQp9GvMZXiX6qfepD7qNG26kXOycp3nN4GXkku77eglBC39Zx9&#10;rVe3WQ/wHcfpGhYuHr/3742///v/FB56bJJZrtVMnzFk7zgGDv7nsOrtM81yjuOU47q2yTX3XbDg&#10;jpP/tfJZK5V2f71llBbi8KDeeoAPILZteuWh8MLC34UlJx4ebjliULhl/KCwaOzAKgsrLK78fNuE&#10;IWHhhIPCI7/5ZXjrgZvCR2ufr75e1WrTaT6vvPxY+MlPBodx40aGd999oVNeZemr4HuZ15PA2DHG&#10;/fb7npnvNI/vfOfvq7G+9tpZZn6rOe/c06v7tbv67wl09xo4XQvEc3nfHTH+6P9dWf+G040Lb/5S&#10;tgusB/W9BQgQlWlFgaxhyScQNlhG5wFIH1Kq0CBPChb4nnlSxNJQJMFXXoOQwroxtGCSGhvQ5cvO&#10;RyJjpcE8OKeUHKThWCCqWPlsE1iSD9aU+Vro4nUZg6IY67HzOvaXHIskFbMUqCNlJgs9J44ffcrr&#10;EkhJrC8lSsQK82OeRWwdWC8WB5SR4lIsHnK90JZVxgJxYD0LxqmRzx/I7YcwLrE9X+/vpSJSn0Wi&#10;49tMIS61j7CH+L3+/QNSv3+I/KyXFeLKtt8TgJAu78UtF+Kuvvqh72sh7kdDDzMf5Md5JNx44wPh&#10;ttvvDM+snBvWbbysetLM1o9mVk+D27JtZti0dc+Ddlxfu/7y8PDjC8K8+a05GS4GxDiesASkIELR&#10;J3U6lAXbSskaVn9SmMrBGhfzYn3nCCdFbWDMkAe1UCix6qXAqU8QphBzuR4SazypPMIyMfkHewAi&#10;kT45kFiiF/eGlSdPuZJ9UgizTvYD8gQ1gPGgjnXKVmodUV6vDcaJeeqyRWD8bCMWP+ZroVST05ZG&#10;1rHyQSoWOX2m+uD11P6K9S9PmMxBnyiYmpemzN7JiQlBftnPes64WUZ/fnLnzDIob+X3Ni657Naa&#10;+y1oVIgbeUQ5Ie7GeRPCQ4+dFN57//zw2Ve/Nk6G6yzE4X6+51Wq+PnCsHbD9PDEU6eFtoXNOyFO&#10;i05IKZEH0pR85aRV3xK+iCXfSUEJ6CTzYuhklYkB0UwmCFda/rLqEZm0EAf0nK34SpEKKXWCmBbC&#10;kKQ4B6QUhWT1iXWSKbXusixio8dQdEob0MkqQ4rGn/vaVOwtmeTeBTlxKoMLcY7TfKZNH11zvwXT&#10;zhud/VAdQpz16jbrAb7j9EZWvnBqVSqrbPe9/Ov3/i+zbE9BimjgzruPMcu1Gh237hqH4/Q1Ft1+&#10;cs19F9QrxOlXt+Fn6wE++PDd58JLt1wZ7vvVSWHhkf8ebpswOCw5YlBVgru5g1uPGBxuP3JImD9m&#10;QLjrrOPC822/DRv//GD45ouuE+KeevLucNKJE8N//ed99/7+gVgF8aYnS2DN4vLLZ+ydN76XeYgN&#10;8/C9zOtJcIzAyneaB+Os90pX4Wvd/WvgdC2/v2pOzX33p+OPasorU++4a0VNu+CDrdvMh/U9HSlM&#10;QMDgyVAQTSCwUJCwpBUplug8KddAFpGSD0QjSjVoX0otMdmGYHxsVwo26ANjxDV5uhXkDbYJLIGm&#10;SMwB9c4HYAysi3IcH75S0iKpMWgoz6BPnSfjBCyBSgpMMmaA1y0pJ7XuEpYhqMfYyL0FsU3XTYE2&#10;KMMhnlJcw7rImEp5Jya7SRhTPSa2iTFj7JwH4ibjYcWL+4vgZ/QPWB7tMT8mu6XWK4bee9y36I/j&#10;lvuH+xhfeU0i9xXGw+tl+wGpz10jv5dSyBiibuxzDCwpUM5T7q1cGAuAvcZ9hLZk34B7Q4J5ox7G&#10;yrpAxsRau9xx19t+dzLiiGNr7sVnnn/Rm5Vxti5BiJt86iU1nZYX4h4N11aYd+P9YfnyJeFPz84N&#10;r/5lTnjjrd+FN1f/Nrz1zu/C62/+vnLtyvDcC9eGRx5rC0tuuzNce90jZlutRApMUupJSU8p2FZK&#10;1mAZKaTI113WK3oU1c8RTmJtQK5hTIqQ9YrQUmIMa06pPMIyWv5BvGMSnMRa/6K9wfnI/USpKCWO&#10;UUBi3wD19ClvOeuIuOr1yn2tJsF4WFfHjzA/NS+Q05ZG1rHyQSoWOX2m+uD11P6K9S9PxMudryRn&#10;jSXoI2fv5MSkkc96zrhZRn9+cufMMihv5fc2rpi1rOZ+C46edPbllTnWlSDEQYCT7UGQsx7kkxsg&#10;xD18Uljz3vTw8c5LwkefXlSV3yC84StOjNu45YIq738woyrBMQ9fd3x+afX6M89OCQsWNe+EOC1F&#10;FZ22pdGylyWEabTMpE8m00nmxdDJKhNDzoHz16fZpV6bKpM1f336mxaltFwG4UxLgho9vnpEr6Jx&#10;SeQpa5T15Drm7BudrDKkaPz6tal6DxGIgjJpWTMnTmVophDHOWI/FL22VyLnpPO419Amfka7WE8K&#10;oFhH1Jf7DzGTJwJiL6Ad5mvYFn9Ge7I+YqQFTgnrow/AmOK6FVO0hTGxHhL6Q/ysuLFckcTJcrJP&#10;/q5Aniwr8/hZxOdLfm4YW11PgvnK9YgllLPq91XOv7CzEHfEMQdnP1TfvHn6961Xt1kP8B2nN/KL&#10;0/9t73+7S3qy3OVCnOP0bZbde2qn++4lv/vZjyqfs1Lpm2+2TtQn1eDEOOsBPlj/7Ipw/8xTw03H&#10;HBzmjx0U5o8eUGWeoG3MgdWT4haMHxxuP3lMeOSKX4Z3H789fP35RrPNZrJ929vVk6YqU0sCMc6q&#10;313gVCiMC6dEWfllWXHP4r3taemtJwhxOadh8YQ4fLXynebB/dBdMhZk1f6+1t29Bk7XooW4wT89&#10;vCknxD3wyGM17YJXXssTVHoalBws+QNIkULKI0DKHfI6oECErzoPQLaw+pYijCX9yHwpbKQokkFS&#10;Yg6pdz6A7SPfGrOcUxnBB9IK6+l5SfEHWNIZ52QJLqxnSTmpdZewDMB4dL5sJ1fwAowX5hTbA4y5&#10;Xi+uEaQfeV3nSykN+x7XgP4MEM4F9XUexwJy9pjVhswvIyRRsorFCvtGtif3ojXX2OevbD+AcbFi&#10;wnXQnyUiP9OxNdFgXGw3tg4ogzmgjPWZkf3qz1wRRf0jn0ImsD57KVKfy0bGTXI/913NkZNOqbkX&#10;T54yrfVC3GlnXFHTKZg95z7zYX6Ka699tPLL8d5w++1Lwz0rbg6PPT4/PP2nueGZldeHx5+cF1bc&#10;vzjccsvyMG/eA+G66x4KV1/d9UIcqEy7ihQ0pFwiyxbBOilZg2W0kJJTN0VR/RzhJNaGrIvY6Fcz&#10;5rStgXhDeQxyGiQufaoV27TmlMojLKNjTeEH/aO+FoeYr6WdojzA11jyNDh5+l/O60IRAxlP3U+Z&#10;WKNvvsYVpGKlyZGnKPrFYkGkIKZjHUP2b+WDVCxyxp/qg9dTMYv1n9N3ijJrLCnaOznjkvXLftZz&#10;xs0y9e5rlkF5K7+3gXurvt+OOvKU31TmWFf64/Xjph7981ohbsiIn5oP8glemXrPvZPCy6+dWT3p&#10;bfO2X1Vfh/rxjkuqwtvGzTPCu+vOC6vXnBfWb7qgKsQhH0Icvn757W+qr05d+fyUsHDR0WYf9SCF&#10;DaSYWBRDCkBIWjiygBQiEwUropPMi6GTVSaGlHUoyWiRKiWyyGQJcVreKjrNTcfDQstsWkjTbVrj&#10;12Via69PWeP49bwwJl1XopNVhhSNH0KQTLFT/BBLmbRomBOnMjRTiJNtFcVWIuek8+S+0TKsTOgb&#10;sdK/H2SKjYkJMpr8bOkU229MyNdimPx8FY0PCfX17yTWsaQ2Ij//8vOaii3zMEb92ZAp9vnWv3NS&#10;yYW44eGQ0YcM6LglFyYIcdZJNavXnWs+xHec3sY/7fudvf/tLvnZxP3M8j2BniLE+StTHac1WELc&#10;+Imjs+/dTBDi9IP5kROOMR/gf9m+Nrxx74Kw9NRxYcGYA0PbmD0ynBbicDIcpDgIc4t+NjTcddax&#10;YdWKeeHLnevMdpsFZDiKNQCnw0G4gvQF8L2U5bpLBrOABMNxWfnNpCcIcezf5Z+ega9H9+Nr0L+Y&#10;O39uzX23WULc0yufq2kX9EYhTgpVVj5hGS2nxAQJiB28npIvKMRIaUmeQGXJMBRvtOhUBNu0JJOU&#10;mAMamY+sGzv5C3BesTFYpNqmPMWvQEtnKemIdax45YoxLBObd72SDmNljY1wjFouo3CkrwP5eZCS&#10;FcaPa6m1kXPRghb3RUrgA7J/fC/z5FrHJDFN0WfJomi/Wp+/evoBjIuOa6O/l2JISVTHVyLL6X1Z&#10;754FqfUlMv6p/W2RGlsj4ybNaKMVaCHu6Mmnra2MsXXpqqseGXTO+X+s6RTUI8QBiG7z5t0fFi28&#10;O9x2+7KwdNkdYdmdt4fb71gWbrr57vDHuQ+a9bqSyrSryFOupMCTIzER1knJGiyjhRSeWAbJSF7P&#10;pajvHOEk1gbFp9gpYzlta+TpfLEYM9+aUyqPsIyMNaQhXsc6y/IEsg7yLdErlQcwF7aPOTI2WF+r&#10;fAyKdUBeryfWueKaJEeeomxH+S8Gy5WJQU7/sRiBnPqyjM7j5zEVs1j/UoLUr0PNoZ41lsTGlROT&#10;Rj7rOeNmGR1X+ZrZ2NjkZxftWGV6G5YQN2Lcz6+uzLGuBCHu+JMPq2lvwMGHmA/yCYS4pXdODE/+&#10;6bTwlzenhfWbzg8ftV8c2j+7pCq9vb95RnjnvfPC2++eW82DEPdh9RQ5vDb1wrDzi0vDpuoJcb8I&#10;C5t4QpwWTsqKFvXU1zKXlFyATjIvhk5WGQtIOzJJ+UXOLXUCmkx6LpBxZDuWuFWvlKiTzJPiDpKU&#10;syAS6XyMMXYKmRanKJVhrWUqEvl0ssqQ1PgJ1kSm1GlgSIizzs/ppwxY/1hKnVpmQakqtTYWck46&#10;T3/20DaFMfQhBTbGDnFj//h88HpMQmRiOYyH9dG/7MOS6nTCvkI5jFPKbVJ2lHHF/tSfO/l7KSa7&#10;Sdh2SjSV13UeEubJ+WFs8nMu5wEwZhlXjld/Vq149QdmXjqm5n4Lygpx1oP5p5938cXp/UAkq2zz&#10;veBVqfwep59ZdXoCPUWIcxynNTzw+JRO9916hLhvv90yVQtxBx06pvbh/TdbwxefrgkfvPVUeGHB&#10;b8Pi40eEm8YNrEpvUoSTQIqbdzjEuAFhyeSR4aVb/yN8/sm7te02GSm74XWpVhmA09Osk9O6Exfi&#10;nO7E16P78TXoXyy+fVHNfRdU1r+h1N7evg/kN90uJDnrYX1PRopNOWhBQ9aX16U4kYMWYijK6BOl&#10;pHiTElosWM+STGJiDmlkPrkSSdEYYlB406dZUXaDnGWJb1LO0aIcYJ4Vr9i6a1JtEJYpI9iwTi6y&#10;rlwPvYcoy+l9x7XJRc+lzNpyrfQJdlLSSkl1ErnGZeIb21Oxz1+9/cTiIvdXDqn9Jcndt/jMsJyW&#10;7eT+KTNX0MzPjUVqbI2MmzSjjVYwecq0mntxtwlxl1x2q/kwv5hHwrXXPhKuu+7h8Mc/PhTmzt0D&#10;vsd1nCJn12sOkFpS4oQUOCBk8LoUWmJiCMrrPNZJ9ckyWvqQEktMCEnBurG+5VytfBBrw3oNqITC&#10;U6ptTdGpYVIss+aUyiMsI+Mp25VrTiDdpGQoXIvlESkVsa2yYlRsvXLWUZMzZo0W+6wyUmKKyYVF&#10;6xhDfgatelhT7ktg5TMv9nmSZXSePCUSc9D5cu5Wfe4BjBF7SuenqGeNJbH6OWvayGc9Z9wso/di&#10;0e9cxJAxBdae6K3o+22jQtxJU8oJcdffMD7ccusx4f4HJofnXzw9rNtwXlVy++yry8IHH10YNm3d&#10;88pUiHF8Zer2TyDDzQwfbMcrVX8V1rx3XnjiyVPCgoXNE+J0ssqk0Mkqo4HUIVN3CnHyJCcIKTJP&#10;i2pSqpHkJsyTMplES1S50otOMk/LOUVJCzoSKTBpqUxKRzp+Gp2sMkSPHz/rMvoULi0S6hO3rDnm&#10;xqlI9iMpIY4JcUrFu1HknHSe/OxhHHpPQ9ySyZq3bJ8SmkQma57ok8lqXyZr3YGcR6xMqh/u29i6&#10;Mh97TF5PxVbm4TOjP+tSetP9yr1qxZS/i/Tnr79w+ayxNfdbsN/AoYM6bsmFadPW8wdZD+ZdiHP6&#10;AjgFrrLNq4wY+d8rn5dhe38GCxePN+t1Ny7EOU7fBvdYfd8dMX7UTyuf91IJQpw+qQbIB/fffr05&#10;fPr+K2Ht03eGJ6+8ICw6emhYPH5QWDA2LsQBnBx38/iBYeGRPw7Pzr0sfLrx5Zp2m4mUvHJeu/ju&#10;uy9UT5Sz8roDF+Kc7sTXo/vxNehf3H3/sk733e8NHLlPZQ/UnSDEfbB1W6d277hrhfmwvicjX8+X&#10;gxaIYoKHfl1nEfokKllfnrYFOQXXrNO9AEQhlIFgQ7FIY0kmRcJSI/PJlUiKxhBDjo1iG4Uexonr&#10;LNvmqWfWayEB27Ti1Uyxh2VyBRspZeWg5TaAOSNPnnIGLHEQsHwOaEMLhmXWluuCdqT4RklNjzmF&#10;XKdciQ7EBLfY56/efmJxafT3Ugz2F9vzErat927u59miWZ8b7C/sE87HQo+tzLjrab870ULc6J/9&#10;fFNljK1LEOJmzGyr6RTgmvUgv6dTmVIVSEkQkiDAAMgslIQARAtdV4ofqEtpC18py2ipg+VTsgbL&#10;aEkH7VJGwVe0wT4BZBZIR5iLJR8V9U0RBVj5INYGY4FxSYkMUo2UVICsl0LKOWhfxleOFVhzSuUR&#10;ltGxZpwxduZBuMHcmAcsgYz7xsojUvYjci0J+uZ6ynzElePQclBsHXEdY8IcKGDhqxyLtW9SsB7i&#10;hLYYI1lGS0qch44n5slx5SLb5tjRhowB0XURW+bp9bfK6DzMg3lyn1j7E+j6WEPmYe5yXQDaw+8V&#10;xEcLd7E1lqB+2b0D2G5sTRv5rOeMm2Wsz4+UEFGO8bL6Rr6u31v50dBage3fDz3yj5U51pXmzh0/&#10;c8q02vaA9SBfgpPdbl86MTz62Elh1Ru/DBu3nB+2fPir8MGHe16Luoc9EhxOjcMJcR/vuLgqy737&#10;3nnh5b+cEe574IQwv22C2X496GSVSaGTVUbTk4Q4ecqYllQg88ik5RiSm9CXJe90pxAHwQbikKwr&#10;0YKUFpwQM5liJ24BnawyRI/fipsUnpAgIcl8PTZLRsyNk96jMXKEOCZLfGoGck46T372YmvFOeh4&#10;EtmGtVeZYp8XwD6skxeZUvKXXFtrXYksZ12HoCavAymn6c9GKrYyLzYmzlvvp1S7Ml/X6y/8Yc64&#10;TvfbA4YMG9VxSy5MEOKsB/OQ5KyH+I7Tm8ApcJVtXuWaPx4WVr5was1/y6dem/qL0/9tbzmIdLiG&#10;NvDqUF7H61ghr+m6BP0hH3XkWPA9rqE9q15MiIPAJ6/HhD60yzLoC+NgHupADpTjwVjQp34lqhwH&#10;5irzAMojTvLkPZRD+y7xOU6cV14/q9N9t8y9mwlCnPVgvr39vb0P7r/54v2wffWfwqq754WHfn1G&#10;WHTUj8PNmUJcVZwbPzg8+ttp4b2Vd4X2LavCt19trhEDmgEkuMp0qkB2s8rkAEnuvHNPD/LVqzhN&#10;Du0vvvmPZh2A17GiLGU8iGZyTHh9qyW6yDIWOPXOKo/+MFachMey7Bu88vJje6/je9mGFuLYDuaJ&#10;a/iKn2NxlG1b+YDxQFu8JuuVQc5L09XrlQPihjFh7RhTtom46vUgjA9jhnasdYmJnLjO1wKjL/bL&#10;eOBkRKseYFk5Z8YDsZVlNRgTyjGWhDGV48fPuC7LAfal2yBYS3kCJGNZ9rOOdtCH3C8AbSN2Vh3A&#10;8bEM2pFt4PtUfEmqHq+V3XdYd9TR7eJaaq/oOqn1IVxL7FW2Ifca6sf2N+CelnUQ+9Rntd6x9nQe&#10;f+r+TvfdHw4cum9lfnWn9vb2fS0hbsHiJebD+p4MJRtg5RcREzwozoB6xAlINawv5TK+rlGfngUg&#10;hlFoSmFJJjExhzQyn1wRpWgMMaQgRpGL60J5SkpzFJYoecn4Sljeilds3TWpNgjL5MZVnt6VajcF&#10;pTPAeEgJTAtt3Fdl14aUWVs5P6wbrsnPA6/lkLtOFpyz/KzFPn/19hOLS6O/l2Kwv94sxMm9m0KP&#10;LXfc9bbfncy49Iqae/GwMUdtrYyxdemaax4ddcWszn/U91YhTgoaMSiG6Lq4piUMiSWyMC8la7CM&#10;JemgPcosKbSUBJgX61vGwsoHsTaKxiXjJOsVIQUYDfqD8IPvrTmxXD2xRvyYZ8H51CvEYe/o9qxy&#10;GJcsp0EMpOwEYusor1vExpBCnlookWWwN1KfE4B11J+VHFL7jjIYf9Z1ZWytz5ouY+Wn9gnmnOq/&#10;qL4kd40l9ewdULSmjXzWc8bNMtbnp+h3Lury84fvdf3eihbiBv/0iJsrc6wrQYibNn10TXvgqmvG&#10;mw/zyY3zJoQFC44Md9xxbHj4kRPCCy+dHt5979zw0Y6Lwjf/Z1b47Ktfhx2fXxraP7s0fFrh679e&#10;Ef5P+F31xLgXX55aleFuWXJstR2r/XrQySqTQierjKanCHFaqNKCEKQWmSx5B5RNkHFkfUoyTF0p&#10;xFknWUlw6ppMuqyUh5D03CQ6WWWIHj9+tspJoRFJjk/mxeSq3Dil5iVB/3r9IL5Z/aSEsUaQfem8&#10;IpkNxKQtUtQGU2zNQGqMTKn6RWMkcv9KuU3OQX/uKctZQmBq3Kk8wjJ63FK+tT6PnG9/PSEO91Z9&#10;v91/yPCJHbfkwgQhznowj9eoWg/xNRde/OMwdvy/Ok4hZ0wbYO6hVqHlMcpe+rWpWgIjUnyD9CV/&#10;1iBP19eva41hSXkxIe6hx2r/z2arXxB7Naw8Mc8C/cp29JxlHsYipToLWb4n8uCjk8y96jhFvPnO&#10;L809lcvqded2uu8eMOTgqZXPTam0+5utM60H85s2v7H3wf3XX24KH7z+RHhl6R/DgxdPCQuP/nHh&#10;K1OrHP6jcNPYA8P8sYPCvRecEF6t1N/y+uPhyx1ra8SAZkBRA9KElZ8DX6WKdmJA3rAkEwgbzIcM&#10;pesRyCCyHkWbGGhPlsfPuK4lMMJyEEV4TUsjMg+CT2zOuG7JLbK+ziOMhyxD4assOgakO9Yrh6Ix&#10;AUvkkXGFIBRrB+tuzaloLwHMW9cDVj6lQRCTnDAOlkEceR3j53UL2QbgvrbWmsKdRWxvWMj5xIi1&#10;x/FRdNT1SErsStWTc4ytkQXib/0eIFZbWEsppFnE5sF8xDLWRuz3Bq6lPhvWZ6KRsfZ0rPvu/gOH&#10;f78yp7oThDg8hNft9kYhrhFhBsTq58oXKXhKFOUVKX7JU+MAhCEKPCgPaYiiE2FdSzIpEpYamU9u&#10;3aIxpKCoxNPQ+HNMqJLSlY4lYb4Vr9x9k2qDsEyZuOa0m0LuJcaI+806ga2RtQFl63P9tNCoT2Yr&#10;gvVA2X1LMYp9pj5/9fYTi0vu/iqLlL2sfGJJiST382zR6OdG9o2Y6ZPxUmPLGXcj7Xcnv5l9dc29&#10;eMiIse2VMbYuXXPNo6Nmz7mvplNwxtlXmg/yewOQQiCBSNECwgdOQrLEMgkEDYgXsi5EHHlinIQi&#10;SeokLpaJCUJWnwAiCASymNxT1DflHZSz8kGqDcwX/bMMQAwxHsylqO0YWAMdX8wfceBpVdZ4iuYL&#10;WMaKNcbN9gHKYn6YJ2OFfF2Pdaw8iWw7NUbMH2VlXBEP7DHEQJfn2HSsURZ5FIYIfk71XwTWgmIi&#10;+rTmXdS3NY9csHYylnJ/pPYd84C1/rKMVZ/ofSL7x14pqs/PDWPI8ohN7PdIbI01ZfcOKVrTej/r&#10;OeNmGd0nwbjl+GTfyMe4cA3t6Lq9lYMPP7bmfvtvPxn5UGWOdaUbbhg/+/wLOwtxeK2b9TBfM2/e&#10;hHDTzUeHu1b8PPz5lTOqwtvOLy6rng6HV6XixDjwya5LqtfxqtSHHzspLLzpaLO9RtCp7KlVOuXU&#10;1xKVlkN0knkxdLLKaOQrN62TogAEFJlSAhCSngviASmHr0pkku1QdmHKeZ0mpBmdZL6Uc5AoF2E8&#10;ek56zBJIQUwxGUfODd9bQg/QySpDYuPXyDVEYuyKZEeS208z0H2l4t4Ish+dVySzAe7H2PiK2mBK&#10;xTI1RqZUfaYiUTE1VgqTel9zP+tX8ILUuFN5hGV0bPGZYb/4zFHew3XZbs7vhr6IJcSVeaj+/pbz&#10;RlkP5q9rm2w+xNf8r//3n/b+t5LjpPi//5//r7mHWoWUvyCI8bp+bWrslLaUAGeh29FSW4qiuvK0&#10;NZzAJvPk6W8gdgpejqBXRojLiY8s3xO5sW2MOW7HKeK5P59m7qky6PtuM4W4t1e/uPfB/TdfbQ4f&#10;rX8pvPvE0vDE7OnVV6bePG5QoRA3f8yAqjg3v1Lu7rMnhufbfhvWP3dv+OyTd2vEgEaBNFGZShUp&#10;5ZRByhoQMORpT8iTshG+l3UBBSsCSYWCB05FkvUtgUPW13kSLdXgZ4wVSPlFylVaNJF5APPGmChZ&#10;4XsZCy1fyfryuqRoPsyzhB3CueKrzuvu9UqBcUFwwphk7GRc0Z+sA2Lrgjy0I8dsiXoYM2KFOvLk&#10;NLQrpSm9noB5cj1Qjtdjnyv0xTKyT84T4+R1tIfyWC+WI7G1lp9tSFgcO9rEWK21jUGJC1/RLq/r&#10;9ZZ7iXB8BOU5Lx1fGQei147z0HWBXIMiKPkh3vozgH50W+gXMUAd9Jv63PDzIGEeQfuci9zf1hqz&#10;bfQr448xIL66v0bH2tN58aUnO9139xs4dFBlPnWn9vb27+Mh/JARY2ravfr6/JObegpSZMl97aAk&#10;JnhIeQYSiszLRZ7YBUGFp7RZpzvpsjofMN+SqGJiDmlkPrKu1TehBBUbQwp5gp3sD9+zDOcIySoV&#10;S8I2rDHH1l2TaoOwTBnBBuNGHQqA9aClMwqVWoAClOWAFi1zKNpfGrme6I/19clsRUixi6cH5iLr&#10;4vPFNbf2TL39xOLS6O+lGDKusd8TQJaTnyHQiBSWIw5KeVV/brSkqEmNLWfcjbTfnWgh7kdDD/2y&#10;MsbWpauvfmiiJcSddsYV5oN8x3FsIPVUPlJVGhHCHMfp24wYd0LN/bZRIW7mpbV/xINcIQ7ceOMR&#10;4eZbfhYefPiE8OeXp4Y33j4rvL3mnPDO2nPD6rXnhLfeOSf85c1p4aVXzwxPPHVKuH3pceH6G9Mn&#10;0NWDFJ6QygoXun5MPJJoiUmLLzrJvBg6WWU0WlLLSZaAI1NMIpInQCHJdnQ8ck4OK5IKpUSDJGMM&#10;yUafrGaJTVoqy02xPaSTVYakxi/RY6TclCM7gtx+moGUs5Bie6VR5Jx0XkoQIxgXUmx8RW0wpWKZ&#10;GiNTqj5TI0Kc3COUOOXnypJ7U+NO5RGWsWKrRVWdiuba1xlw8CE199v9Bw+b2XFLLkwQ4qwH8y7E&#10;Oc2mK4U4nPom++YrT4E+ZQ2v95R1iSV84aQ4tA30aWu6HQhoOEEN5XBanTyJTkt5lNZISojTdeXc&#10;gHxdKuBrVWWbkOr0a1Qx3zJCnLwu6/E1sfJkup6KC3FOvTRDiBs8YkTNfbfMvZsJQhzkN9kOwMN6&#10;Prjf/c0H4evPNoSP1r0Y/nzz7HDTscPDrUcMDgvGDOwkwUkoxM0bc2BY/sufhWdvuDyse+au8PlH&#10;q2vEgEaBDFGZSpUyMomEwguEDgoeGilgaOlFCi+QN3Qb+FlKQjIPyPo6TyLFHC0PSWRMtCwi8zAm&#10;KacQijaAUhaR9eV1SdF8mJdaL87Vmmd3r1e9pOKSsy6ctyUcpUjtB8A8vR6MIcYjr+t8xJDXZF+x&#10;tdHE1prxku23Arne1p7k+IC1H+Sc9edFtq3nx3y0yfpW/zE4rlwRmJ9r7J/Y2rBNrK3O4xiBnieQ&#10;+1t/5njdEg4tGh1rTwensOr7bj2vPZeJQtyII2r/Z3W8tk0/qO/pSPkiV9aRpMQoCkeQK+qRiAAl&#10;JYgabM8S0lICC5DCjiVn8RWNKcGqkflQ4MJXq64UrupZBynBUTLS4hJjhPFzLinBiu1Z8ZLxTsUi&#10;1QZhmTKCDcWdsvUkcg5SVLLmI4XL1FxixMSvGBgD+5NzrUcOK9p7+GzovUK4T/D5YDvW5w/U008s&#10;LnL+uTHLQX5OKEJq0DfnYvXdiBRW1D/6ZsyB3mv8PaXjSOSe1mOTvwNj+6iR9rsTyOjyXgwqY2xd&#10;ghCHB/S608mnXmI+yHccx4YnXOFEKyvfcRwHaCHuf/340Of23JHLp7k3HNEG+U22ByDJWQ/yY9w4&#10;78hwy60/C3ev+Hl4+LGTw9MrTwvPPn96ePaFKdXv73/4xLB02XHV0+TmzT/SbKNRtIxVVtKBpCFT&#10;jrShZSxITTJfJ5kXQyerjEQLZbnJkqtkypGIkGQ5LcshPrKuhY67Ps1KyjlIWi7SfVrj1nsjN8VO&#10;ktPJKkOKxi/R+0kLf6k9WaafRkntgWYi56TzUoIYwbiQcvay1QZTKpapMTKl6lPELYqhfGWqFtzw&#10;MxMlTn6uYns4Ne5UHmEZPW7+PsK8UEbuX5SNSab9iUaEuI1bp0+0Hsz/7prjzQf4GhfinFy6UojT&#10;Upg+RU2fsma9NlXLYFo809Idysv8IlJ1U0Kc7leefgcg5jFPSmmyTVyHGCjrWeQKcVro6y24EOfU&#10;S2uEuOGzK22XSv9799bZ1oN5nBqnH+B/0b42vH5PW1hy4uHVE+IW4HWoYwaE+YYMV+XwAeGmsYMq&#10;3x8Y7jn3+PDSzXPC+39+IHz+6ZpObTeClFHKyCQE4gbrp8QSWU73I0WQInnDkmJkfZ0nYRspSQSk&#10;BCiZl5JTWEYLQLK+vC4pmg/zUusVi1dPWK96aXRdcveJBetZMY/lYRzM02NC3JgHeYnXIfJZ11PE&#10;Yi3FTEsQbCap9WZeSszjOMvEkMhYWusTg0Ji0e8DgvEX9YE8lLEkSI4x9rlL7W9KgbnyWqNj7em0&#10;t7/X6b67/5DhEyvzqTtRiDty0ik17Z5x3oXmw/qejhRuIIBIWQKCBn6GOGWdGgRhg3V1npSIIFhA&#10;OpKiDIQK9I12Y6c1URSjoAKKhDdIHSyDr3KMwBKaZBmeEIY2pfTRyHykcCXHh3KUUEi9ApCMEdDi&#10;kowRiYkxgGWseGGuzKdUhznp9lJtEJYpI9igL8QZ9fAV7TOmAHOFvIOY4KusS1CefTN2KUFQikoo&#10;J9cYbWGNsXZYT1kP4DrqlVlbvS8wRqtcEVJiQv8cN/Yu4sY46npA1iUyzrGyuf2k4tLI76UUsl3E&#10;WK4j2pTrLPOI3Ptl9izh7zSAuPB3iO6b+bKujLGsi3Hq/WKNjXnoB3UBf9+BRtvvLu64a0XNvRh8&#10;b+DIfSrjbE266qqHp+IB/Y+GHlbTqQtxjpMPXmVZ+ThVOeWUy8wyjuM44Mjjzqq53/7woENWVW/I&#10;dSQIcX+YM66mPYDXqFoP8lPMa5sQFt18dLjtjmPCXff8PNxz36Rwz72Tw/K7fx5uWXJs9fWqVr1m&#10;oU/YQkrJF8iDtMGfteSDpAU3iRa5LPlLJ51voZNVRqLHUSbpU/Bkigk6WkCTp8DJ1yUyWa9rJLot&#10;JC37SDkHCT/LfKD71G1o0axM4olbEp10viRn/ESLe/pnvV6SMv00ih5XStRrBDknndeVQpzc4xoK&#10;bfJ3CWFKrQVPU0ud/gdYzvo9AzgOCnD8TMR+B6Zim8ojLKNjy3Gm5tzfGTa69qH6AYOHtXXckgtT&#10;TIi7+LcTzQf4mkknHFAVnRyniKHD/n/mHmoFUgrTwhjASW/MB9ZrU1MymFXG6gegbYwH+bI9SRkh&#10;Dsj5AQp/WpaTopqWBAHaseZOUjHQUiF+Rly1fNiTuf3Oo8296jhFNEOIG3/86Jr7bpl7NxOEOOvB&#10;/N33L+v0AP/br7eEdx69NSydMiEsGDOgwoFVKS726tT5ow+sniSHrw9eNCW8++iS8MmGP4dvPt/Y&#10;qe1GkBJGGZmEpCQOTUzqoJgB5HUJy1jCTU59kJJ2JKk55c431pesL69LiubDvNR65fSfGj9o1XrV&#10;S2rsOfOSZaz8FKxnxTyVxxhqMRInhLGelrEoM7FNfVqYJrbWqMf+8RV95ohf9RAbQ1EeYRkdQ+4j&#10;IK9rWMZagxhStkPMY8IdYdlcYvVTY2QZvYch0TEPn8ciwZFlc7Ha6MlY9916XnsuU3t7+yA8hJ88&#10;ZVpNu71ViANS0ohhCTmQJpiv84AUwVLEJBuIGLIcRA6rHEjNAdIMpSctmQD0T2FHoss2Mp/U+CCb&#10;UNSx5KAcpOgDtJwGGANQJBKxnBUvoOUdoMfO67E2AMuUFWywN6w100jhR6MlHytmBHKQNWcN1lnX&#10;TYlfMTAW2a4WHMtQ9PmOxQhzluVSnz9Qtp+iuBS1B8qKgpiTXncN9lUsJo0KcUX7CJ8VxkV/borq&#10;yjxrbPp3BGF+o+13Fw888ljNvRi4EOc4PZx/+Zf/Uf1lglPirHzHcRxy7Akzau63BwwZ1r7njlw+&#10;NVOIAzfOOyLMmz8htC04MixYdGRoW3hU9XucCnfDjXadZkIZQybIOlJsg/giy8n6FGiYIJVA7JCC&#10;Fdqy+kkJNUw630Inq4xEymAx8YfIU6aQtMgkk24LYhjkGi2faUlLyjRMeg0QT6ucJdHoclYZSyRj&#10;HvqVyaov0WtrCUU66XxJzviJHquMNb636pAy/RSBfYL1x9zl3o+tW0xIaxTZl84rktkAP8+xz0VR&#10;GzJZ+0DWt+LNlFoLtMsUk0flvoi1JT/bsk1L6ASp2KbyCMvo2PLzA0FPi6nOHrQQt//g4cs7bsmF&#10;iULcIeNH1bSRK8Q5Tk9DS2H6ZDegX5uqhTRQVojTZTCOlAQnKSvE4RWnMh8iGq5r6U3X0695JTgx&#10;zopTan6IIerJfIJ6vUmMc5zu4LhTa/9eLnPvZtq9e1tbrhAH3nv2nvDgpb8It076aVhYld06i3AE&#10;eThJbuERB4WnrpwRtr7xVPhy57qw++stZtv1IiWhMjIJkcJKveJOjvTCMpZUk1MfxPrXpOSqVJ4k&#10;1pesL69LiubDPJSz8kGsf9l2d61XERgXBCD2b1HPuhTFHrIYTlVDvxTJNFbMU3kUmdCelNF4Opl1&#10;4hfKSSkOYEzWazYB42TFGuKUngvkvFiMisAYMGacqibbJNYYUuMjLKNjmLPXAMtYa5BCiokAscKa&#10;6c8GfpblisD6yfqAeakxsoy1PvLVsABrgP2qJceyYyWx/dVT0ffdel57LlNfFOIABAeIIlIygmwC&#10;OQMnB0GW0HV4olBKroIcBrFFy1hoF4JGTIYjUsJICUsAEossjz4hlUgJBmO26upTkNCO1V8j89Hj&#10;w/cUb/AV1zAGXS8HKYjhq7VeiAX7LhKs2FYsXmgfcWA5xlqWKWoDsAzGb+WnwBjQp4wpwFpgbEXS&#10;jpTO0IZVRoN1orAk62LduJYa7quya8vYgHriI9HjRts5MZKfidQ6kjL95MSlnt9LOWCcul2sY9Fn&#10;GHksX++acN/K3yEYC2OEeOGaFW+rrvw9wvnExibroqyOfaPtdweWELf/wOHfr4yzNYlC3JARE2o6&#10;xQN7/RDfcZzOzJp1595fMBMmTDXLOI7jEAjn8n7biBB3/Q3jl191zXjV3vAwbXp9Qlx3A/mDJyXl&#10;JH3aEgQOLXzlJEuWAblJ1s9NqCPFF6TUaWwA85MJc5XCTNkUE43KrAFT7JQxKecgWUJQal5oVybI&#10;Rbq+RMfUmqNOOl+SM35J7DS7WHyI7ieVIC1ZbZAybaVOTyMUFrEuZSQpOQ6d19VCHBLGw30FEZS/&#10;K/TnSNcvWnP5eUFZxghtYj+yH+wNqx8gPwPcQ6k9k4ptKo+wjI4tX5lqJcwT5bEfyuyDvsbIIxoQ&#10;4rZMn4oH8/qkmnNmHm0+wHecng7ErsrWLo0WuBoV4nReCpSVdYuEOCBlNJzOhmvy5Dhe00Ca06e7&#10;EYp1pCgGiFlKsnMpznHidBbihj1R+eyUSjEhbvHti8wH+B+tfS785c7rw2O/PSss+8X4sHDCQaFt&#10;9IBw07iBFQ6snhqH7xePHxQW4pWqoweGpaeODy/d8h/h0y1/MdtsFMgUlalUSQkrMaSw0l2CVU59&#10;EOtfk5KrUnmSWF+yvrwuKZoP81DOygex/mXb3bVeKeRJWCnqWZdU7CEDxSQ4iRXzVJ58BSqFI/mZ&#10;S0lIyOMaEEugi60TQX8Qp7TElvtKVoB5xCQ4iTWGovEBltExzNlrgGWsNSgCnwPsO7n++F7uI7mO&#10;9fQBcuqzTGoPazEO8p38LKfGShHTorcJcQcdOqbmvtssIQ4CnGwXgpx+UO84jlMvFMtyZb1WADkK&#10;YwD1ymeO00qeXvlczb0Y7Ddw6CDcr1uSKMQdfPixNZ3ilW76Ib7jOI7jOI3RWYgbjv8wrSvFhLgp&#10;0w4zH+T3BiCMUIRJJUgmlhyFa7lCF9pIvcYyN0lhJjehjj7NLEcy0XOrR8ZDQt8xOQfX9dhSSc5f&#10;I+UcpFhZveacF2UipNjrJiUYu046rjrJPE3u+Ik+7Y4ptc+A7ieVYoIY0ScJxlKODAfk2sTkNQs5&#10;J53XlUIc9rLcRzKlfgcwFa15zu8c7F2Us+oT/ZlL7ZlUbFN5hGWs2Mr1TqWiPd1XOfrnI9U9d9ir&#10;HbfkwhQT4k47+0jzAb7j9HRyT2XT6BPSGhHi9Cl1GBNOdZN1ZX49Qpx+7as+9U7LbRqUt2Q2KbHl&#10;xABgvpZoJ1/Z6jhOLRDP5X23zL2bCUIcHszXthMX4r5sXxs+XPt8WP3w4vD4788JS08bFxZMGBIW&#10;VYW4gWHhmAOrp8LhVak4Je72k0aHR2adFd597I7w5c73zDabgTyNSp82VIR87WBM4iAUTiB0yOs5&#10;0gvLWFJNTn2QI+YAKU7pOaXyJLG+ZH15XVI0H+Zp2UUS678nrFcMGRvU06+wTMU+lWeVkdex5zlX&#10;SF8Qg/TngPWsmKfyAD9flNnQPn5Gn7qsBWQnKTLpfmJrbYEYyM97LFYa9oExo38tU6bGkDM+ltFz&#10;w8+4DuR1DcvE1iAXrA33Ar7KfdBoHzn1WaZoXTAuGRsdW15vNB49maMmn1R7763jtecy7dq1axQe&#10;wmsh7shJp5gP6x3HccoiTyLj6VzdAU8Kw6llVr7jdDdr1q6ruReDFgtxj8zEA3oX4hzHcRyn9Zxx&#10;9pU191tQ77vRIcThAb1urzcLcQSCC05I0qIJZA3IUjGZi0DWsOpDTIF4ktNGrhQmpbQydaR4gnqy&#10;7xioJ5M8Va6ob8QCMYkJSBoIPJCmtCADiQjX0HeRxId1kCkm0ehyaBvrI0WmohP0COYokxaReAIX&#10;EuYh8zS54yeIh2wfCXG3ykqwJjFpS6ecvRL7/ODnsid8UfLD+MrUo5iHejoPa8Kk14dwP8fmW9QG&#10;E+Qv7CXEgzHGV/ycmg/L5uw7tI9y+rPCz0nR7xog91rRnknFNpVHWEbHVq61jilihTFyf6fa78sc&#10;f/JhNffb/YcMX99xSy5MFOL0STUuxDm9EchclW1dF5DWZFuNCHEQ2OR1CG6yHpD59QhxWoDTMhry&#10;dR0LfaKe7CtXiCMQ4+Q49Lwcx/kbeDW5vO+WuXcz/fWvW5fjwbxsB8ydP9d8gL/7mw/C15+tDx++&#10;uzKsWtEWnrn24vDgRb8Iy3/5s6r8duukkeGWSYeGJSeOCsvPmhiemHNBWHX3vLDt7WfCt98091Wp&#10;EilW4KQkq4wEMgZFEXkaUerEKeukLCL7l9clLGNJNTn1QY6YA6Q4pcUUmaeFLYLYsIyOZ6ptIk9J&#10;s/KZl5JdYnPtCesVg/OOiWK56xKLqywjr0tJEPOWeYT5VsxTeQBxZhnsDa6NFg2LoMimYxpb6xhy&#10;f6b2EJHlY3smNYac8bGMHg/lQRBb17LzKSImjfKEPKyDLJ9LzhitflPEflc0OtbegBbi6nntuUy7&#10;OoS4GZdeUdOuC3GO4zQLvjYTdNfJbBDxOIai1xU7TnfxwVbj1ehDhk+s7NvWJApxI8adUNPpmKOn&#10;mA/yHcdxHMepn3PO/2PN/Ra4EOc4jtNcmIpOeHP2AGmPKSV+SnHPyu/raCGuzGvPN249byYezLsQ&#10;5/QFUnKXhXztKCh7OlqsjBbzINuxbYxJ19PiWI4QB2Kn4VmvS8VpbegHJ7lBXMM1fNUnzeUIcZgL&#10;Yoe6UrxDXRfiHCcPLcSVuXczUYjTr26LCXFg99dbwlc714VPt7wWtr71VHhv5V3hjfsWhOfbZoXH&#10;/3BueGL2ueG5Gy8Pq+6+MWx44f7wycZXwpc71pltNQsIJTwVCaREKYgaKCvLUL7AV7QlyxOecKVP&#10;XQIQRNi3vC5hGUuq0cKRzic5Yg6Q4pQWU2Qe5mIJVHI+uj5O1mKeJcYwviyj8wHzU/Jiaq7dvV4x&#10;2CfGZeXLdU6ti86zysjrsl198hmQcqC1Zqk8gPixjBSYYkJljNiaptY6BscQG7MkJUcCzI97yhpD&#10;zvhYRo9Hfl54wp4EfcsT73LmU0RsL8m1i+2xFKybGmPZ9tEW68jrjY61N3Di1DNq7ruNCnE7d+6c&#10;iIfwv5l9dU27I4441nxY7ziOUwYIcPvss0/193J3nszGV7bilDgr33F6ApYQd8CQg6dWb9itSNdc&#10;89hsPKB3Ic5xHMdxWo8lxO0/cPj3O27LpdLc6494Ag/oBxx8SE17J01xIc5xnP4NkwtxeeBUQabU&#10;KZI5r2Tty+D+Ku+39QhxEOBkGxDk9MN7x+npSBkLwpZVRqJfGSpPcovJYJJUGX1iWwotjuUKcVoA&#10;JNbrUvVYLbRIF5sfxiOvx4B8J9tzHOdv/O6a42vuu6DyuSmVYkLc76+aYz7At/jqsw3hk82vhg0v&#10;3BdeX9EW3rhvYfX7j9a90NLXpGqkBAIgmUAUwnWA7ymtACnGyBOVUE+KPpBp5Ose0Q7zSEzqkLCM&#10;JdXIsfPULYg0WjjKEXOAbA/fx/IAhDHGAnKOlKti/UiBh/FAXRkHousCzkMKeZirlLlSc+3u9Yoh&#10;Y4f6iAmu6zGB1LroPKuMvC6FL/TDOOKrXhP8LOuCVB7R449Jf2gDMcOe4vz1vtJrEltr/IzPg1xf&#10;zAnX2Bb3TxGUMLFfGF+MC+NknjUGEBufhGWsGMrxIp9xwbzkZylWPwbGDXFMxgDfs03ky/KIHeeK&#10;r+hLfuZQF2uDtbU+NzljZBm5h/E925T9Yf4cD/YXr4NGx9obmHbBBTX33f0HD3uiMt+6kwtxjuO0&#10;EpzGVvlVU5XiHnroIbNMq4GUhzGAOXPmmGUcp6cg78V76AYhDj/rh/iO4ziO4zTGjJltNfdb4EKc&#10;4zhOc2FyIS4PeUIcXtmKk+Dkq17xClUpw+GVs7J+fwEnsMr7Lei4JRemmBA3/vjR5gN8x+mp6FeI&#10;QnazykkWLh5fU0cKYY0KcRiPPoFOIk93q1eIwwlvshyxXpeq5T8NxqrrxeaX82ranPg7Tn/murbJ&#10;NfddUPnslEp//XbbE3gwP3LCMTXtlBHiwNdfvB92bHk9fPjucxWerX7/5Y61ncrt/nZrp2vNBOIF&#10;JYoU1slkEC6sshKrnq5r5QOWiUk1WoyxyuaIOUCKU1JM0XmQgfi9BnGUAooEMkoszhRU+LNVXwpt&#10;EjnWorl293pZQHSy1pHIvNS66DyrjM6T0pUGa4V1wfeYl67LclYe0WuWE1sLxEDXia01r8eIjcEi&#10;tdcB18Za79j4JCxjxbBoX6BOqn4M3Y5GioQk9dmVUJKVMC81RpaRe1juW4vY75pGxtobuOjyy2ru&#10;uwcMGfZqZT51p5gQN2TEGPNBveM4juM4rQP3X3k/3n/wsJkdt+zmJwpxOBFOdupCnOM4juM0n0su&#10;u7Xmfgv2Gzh0UMdtuVSae8P4V/GAfsiIn9a0h1e66Yf4juM4/QkmF+LyeePNBzuilk47dmytkeX6&#10;E9Omj66534Lc155v3nr+bDyYP2fm0TX1XYhzehvy1DLIXTGJTBM7VU6+SlSfnEakZAbBTedDMEMZ&#10;KcaNGPnfqyKeFPhwTdaTop4lqkn0K09jY+XrUbXkhnHjunxdLEnFAGPEuHX8cM1PhnOcYhbdfnLN&#10;fRfk3ruZKMQdNfmkmnbwoF4/vE/y7dbw7ddbwjdfbQ7fgsr3u7/9wC7bYngaFQUTAiEFAk1M8gIQ&#10;NyAWUR4C+B7XYpISoAAGecPKByyjT0IiGDf6oQCCfrV4wlO6Ym0QiCQoB/C9lYf2+bM8/QvXESee&#10;YhXDqofxoh77SMVDn46F9ZJrkzPX7lyvGJg/4iDHhHlS2uH6xtbFytNlYuNGHzKmck0YT8xL1+OY&#10;rDwJy4HYGNEX2tGfP/wcaz+21tgP2ItyThgDylmyVxHYE+yLbWGvoJ/UesfGJ2GZ2BytfYE63KcY&#10;R6q+RWr/x9YHcCwyrgBrlPrs5OwTltH9Y29ivnIPof+i3zX1jrU3APFc3nf3HzJ8fWVudScKcVdf&#10;P7+m3SEuxDmO4zhOl4P7r7wft1iIe6QND+iPPO6smk4PPvxY80G+05m/+7v/XP2PzAkTppr5fZ3p&#10;0+eGf/mX/1H5j+5B4aKLbjLLdCVYB6wH1sXKbzWp/TB06JHVWPW1vYK1x5zx1crvyfSVz29373sn&#10;nytmLau534JmC3FH/3yk+SDfcRynv7B799dVeWvNmmfMfMcGr0vF6W84JU6mr77+LHzyycbqyXFW&#10;vf5CM4S4i387sab+IeNHmQ/wHcfpWUA+q3yU9yJf++o4Ts9l2b2n1tx3QbOEOLzKTT+8dxynf0PJ&#10;DXKSle84Tj5aiDtgyLD2PXfm+tLOnTun4gG8FuKAfkjvOI7jOE5rwSvL5b14/8HDZ3fcspufYkLc&#10;kBETzAf5TmcqYawyatRkM7+vg3n3pBjI8Vj5rSYVC+Z119haBSQ/zAlfrfyeDNejt39+u3vfO/lY&#10;QlzlD/pRlbUrnSjEDRs9oqY9F+Icx3Ecp/mcf2FnIe6HA4fu23FbTqZN285vw4N5F+Icp3ciX70K&#10;rJPeHMfpeVhCXO69m+mvu7e+igfzJ049o6YdF+Icx5HgFLXKr4wqvfUVlY7Tk5g7f27NfbdZQtyC&#10;xUtUuy7EOY7jOE5Xc+SkU2rvx4OHtXXcspufKMQde8KMmk5diMunEsYqvV2oqZdTTrmsOn+cTHXm&#10;mXPMMl1JTxbi/vEf/1s1r7ecpIbT/zgffG+VAS7EdT8uxHUP9ZzMN3vOfTX3W7D/kOETK+2UTtff&#10;cMR6PKDXQtzYY1yIcxzHcZxmYwlx+w8c/v2O23IybYoIcYNHjDAf4DuO03OQr10F1mtbHcfpmTzw&#10;+JSa+y7IvXczuRDnOE4OfKUnSL3i0nGcPDoLccPx+ao7UYi7464Vndr9YOs282G94ziO4zitQQtx&#10;+w8evrzjlt38dPXVjyzHA3otxP1o6GHmg3ynM5UwVumvQlxPoycLcb0NCI6cT0p2dCGu+3Ehrnuo&#10;J+6WEHfAkIOnVtoona7vEOJGHuFCnOM4juO0mpmXjqm534KyQtzvrjm+pr4LcY7T8/nZxP32/jc/&#10;uHzWMLOc4zg9D0uI22/g0EG4N+em3bu3rceDeQhwsh0IcvrhveM4/RMIcN/5zt9X/zsBYpxVxnGc&#10;ciy+fVHNfRfsuTPXl3bu3DkTD+BdiHMcx3Gc7mfylGk19+IuEeImn3pJTacuxOVTCWOVviBA9QW6&#10;WwzqS/vBhbjeQ3fv+/5KvXGX99s9NFeIw8/yAb7jOI7jOI1z+ayxNfdbkPtQfVNEiAPywb3jOD2P&#10;f9r3O3v/mx+nw616+0yznOM4PY+nnz+z033XhTjHcZrNinsWV/87AVLcU0/ebZZxHKccd9+/rOa+&#10;C743cOQ+e+7O5ROFuAceeaxTu2vWrjMf1juO4ziO0xrOOO/Cmnvx/oOHPdFxy25+ciGucSphrNIX&#10;BKi+QHeLQX1pP7gQ13vo7n3fX6k37rjHyntu5UY/s9JG6XR9hxCHE+Fkey7EOY7jOE7z+cOccTX3&#10;W5AtxG09fzkezF/XNrlTG/rhveM4juM4zeGV18/qdN89YMiwUR2356xEIe6iyy+raeeoySeZD/Ad&#10;x3Ecx2mcx5+6v+a+C1olxL3y2irzYb3jOI7jOK1hxqVXqPvxsFc7btnNTxTiTjtDdzrcfIjfk5kw&#10;YWpVSvi7v/vP4aKLbjLLAJYDvDZr1p3V6xB6/uEf/svefLS1336DwimnXFbThoRlLaEG9ZEXk4mm&#10;T5+7tz6+t8pgbGj7H//xv+0ty3GlJCWrHr7HNeRZdeohNQfmYbz4GesyYMCIvXHBV/xcNB7UGzr0&#10;yJq1wVodf/z5ncqmBBWufUrcQlxRBl+tfIB+dVy5R3jN2g+ptpmHMeLnVB8xkM92YnAtUsjPSAxZ&#10;XgtxGEfZsQPsZ4yf+4N1G92z9a4XQX3OkcT2H+OPPnSehOWsvVhPHFL7nuDziM+b/Bzhe1xL/S7h&#10;WFkGsZPx4Nh0PcL6sb2NfNm//j2BMabaJ6xnzS92T+BexxjwM2Mv61t9yzIW1rpKmiXEzb1+fDse&#10;0B/981ohbthoF+Icx3Ecp9lYQlzuQ3UKcYtuP7lTG6vXnWs+xHccx3EcpzFwj9X33f2HDJ/YcXvO&#10;SjEhbuSEY8wH+I7jOI7jNI4lxO0/cPj3O27PpdOuXbtm4wH80yuf69SuC3GO4ziO07VoIa7yd/r6&#10;jlt289M11zz6BB7OW0Lc7Dn3mQ/yeypSzKJ4YUERQworRXIDiAkZqXzmxWQTXE+VwZyk3GFhSTmQ&#10;ZqRwosmRS3JJzUHmYZxS8JFgrDHRBzGI1QOQXWR5zI158rrMS8kqFH1iZaQIpMFY+L0V41TbzIP4&#10;l+rDWm+AelZ5DWJp1Zc0IsTJGGhiYwdF40/tkRSpWBatF/pL1Qd6/8nYYe/KPIJ2WQbzlnn1xiG1&#10;73V+DD0WwhhAhEutL6WyWH20n/q9hN8X6CP2eUc7Vvsg9fsFIM9aD/k7IRV7vc6NCnFDRkyoud/u&#10;P3j47Eq90smFuL7JJ59sDEj4auU7reWWW0+rxn7Hjq3h2WcXmGUcx+mfXHXN+Jr7Lch9qF6vELfl&#10;wxnhgw8v7BNs2T7DnKPjOI7T3Vxg/t7urWz58Fd752YJcQcMOXhqx+05K1GI+/1Vc2racSHOcRzH&#10;cVrHiy89WXPfBS7EdS/77LNP9dnHnDlzaq6vXLly73MRfC/zeiqYA8aLOa1a5evfDEaPHl2NKb5a&#10;+X2J7p7r/Pnzw0EHHRQmTZpk5jtOb+A3s6+uuRd3iRB3xtlX1nQKepsQByhb4KuVj1OCkA+knAO5&#10;AQIDrsmThCBoSIHDElGYZwk1zNOiGJHCmC6DvijDYQzyhC2IHVLI0HUp5UAC0fUgdlhjrZfUHGQe&#10;x8O4Y35S0tHCCctQctFzkQKMFF1km7ym81KyCvJiZfR4uR8wTy36WDFOtc08gvXlXtTt69OuZJwx&#10;LubjK/cJYmXt3xSyXXxvlQGNjB1IiQxxYxmMV66zFbcUja6XjB3GwfoYn2xb1kUZXo8JZmiLZWQ8&#10;GomDHI/Ok/2hrvy84DMlY4ExyLqA68v+ERe2gTEyTsCKY2p/yDmzfcYb+SiHtWMZ+TuAYCzMl2MD&#10;cn5ol2tIZNwAynKv67lxTLH6Oi/FwYcfW3vPHTysrdJG6UQh7viTa0+cGzLip+aD/J7O5i2vV0Uw&#10;K0FO2rDhpaqsZNUFu3d/XS27Zs0zZr6kjHQGKWr79nfDV19/Vq2D9Pnnn1TH++hjV5p1GgFzRcJX&#10;K99pLVhvJl8Dx3EklhCX+1D9/W3Tn8CD+WX3ntqpDbzO7W9SQi0uxDmO4zitp+8KcUDfd0sLcd9u&#10;bceDeS3EHXToGPMBvuM4juM4jWMJcfsNHDqo4/ZcOu3qEOIgv+l2IcnJh/SOTSWMVS6++OKa6w89&#10;9NDePHwv83oqkIl625h7Oowpvlr5fYnunqvvX6cvoIW4A4YMa6/s6dakazqEuHPO/6PqtHcKcVKu&#10;oHARy9diRIwiKYh5lgiSqgdSbXOskOJiY6VoAmnDuh4TcppJag4yDzKKFFUIx4p56jx5YpNVF2sM&#10;gUWudUpQYR761HmE49FlsAYUdqz6yJfijrUfYm3LPIB2dL6MpRZzGCcrhoDjtmSnFKm1lTQydlA0&#10;Plnf2gcWja6XlKxifXI/oR95nRJVbD2Yj70rrzcSh9i+L4oDy1C+tcZctL6N1pfrgLHquck5WPUZ&#10;T/17kMj6OrYyblgPlJX5RX3H4l6EFuL2Hzx8eaWN0okP6LUQN+DgQzo9xO8NUARLJUhvMQmNCeKc&#10;lS/Jkc4g3+WMCWKcVb9ecsZWD37yXB73rJhZSq50uh7fy053Iu+3e2hciHv6+TNrHtxLXIhzHMdx&#10;Wo8LcalEIW7u/Lk17bgQ5ziO4zit4+3VL9bcd0GDQlwbHsC7EFc/lTBW6elCXM7pXTwh7rvf/W7Y&#10;sGGDWcYphwtxXce0adN8/zq9nquvn6/ux60V4l7Fw3lLiLti1jLzQX5PBmJUZVpVLKmEJwXFxIkY&#10;bFNLM7l5MZlICi66DMdqtUsoY0DYkNelkKMFj2aTmoPMs052AimhhJJNmfVKtce8mBgEKO/oMhg/&#10;243NBbFmGWvdYm3LPC1JSWJtp9qV+daYUqTWVtLI2GVc5XUNy+RKfY2uFyXDWEyBjI+UuOSJbJbc&#10;xTw5l0bjgPFb9eVYYnEAspxe65z1lf1rGbmofs7vCbah10PGM2eP6t8lctyx35WxvkEs7kWMGHdC&#10;zf22USHupCl9S4jTIhgEJUhuTJCVcE2WAUzNEOIgw+EUOCacDgc5CqeHAXzPNpCa+WrNorHVS6va&#10;dZyuxvey053I+y3Yf/CwmR235WSiEPfA41M6teFCnOM4jtO99G0hbvCIETX33dx7NxMfzGshDsgH&#10;947jOI7jNA9LiDtgyLBRHbfn0mlXhxC3Zu26Tu0+8Mhj5sN6p5ZKGKv0dCGuP4lZPYn+FHffY47T&#10;OJ2FuOH4XLUmXZMQ4i657FbzQX5Ph/KCli+kLJcSQyxYT0szuXkxUUOKILoMr+ci60q5BnEoO98y&#10;pOaQyrPKyOtFclmMlKDCPEtsITH5JdWuhGWsMcfaLsojLKPb5glblnCEOMZOxyoiZ/1AI2OXcc3B&#10;iquFbNfKJ7F2Od5cZHxkzPUpjVI8kwJWo3GIzTc3DhD3WE7vk5z1Te2Vovo5+yzWhqybg66fEx+W&#10;scafG1+NC3E2RZILJDQm61Q2pmYIccxHwutSrTLg5VeWVQU9F+Icp+vwvex0J/J+C7KFuK3nv4qH&#10;8mWFOEgKm7fN6CNcYMzPcRzH6QnYv7d7K7X3m2YJcYtvX1TTDpAP7h3HcRzHaR6tEuI+2LqtU7t3&#10;3LXCfFjv1FIJYxUX4hyL/hR332OO0zjdIsTNmNnWqdPeKsTFTmeC5IFr+jQ1AjkFZSA9UGbRQH7Q&#10;9XLyYpJHTASR8l4Olggl4wAwJ8g5+vSmRonNoSjPKhO7XkboSwkqKbGFIM8qkyu+sIy1H2JtF+UR&#10;ltFty1hBjuMa4ytPCwRl1z5n/UAjY5evy8whdy80ul48nTAHfLZ0bDkv/fuG66FPKms0DrH5Mu7W&#10;q0w1rK9jkbO+qb1SVD9nn8Xa0L/nitCCYs4+YRlr/Dn1LZotxE2ZVivEAfnwvreQI7ngpDYknN6m&#10;85gaFeIgtzHlvJIRp9XhRDkrrx5y4lAPrWrXcboa38tOdwLpXN5vywpxkN9kfQBJTj64dxzHcRyn&#10;eTRLiLv7/mU17YD29vc6PcB3HMdxHKdxNm1+o9N914W47qUSxiouxDkW/Snuvsccp3G6VIi7+upH&#10;1uPhfF8S4uTJYlJ+gDSGaxBPZHkAqSImwUm0KAJy8mKSR0wEkac1We3mAkkHMZBzw/ex8dRDbA5F&#10;eVaZ2PVYXYuUoMK8mJgDYuJNql0Jy1jrFmu7KI+wjG4be75I4MIel3VyyF2DRsYuhT15vVEaXS9+&#10;ZlJzSiFPaaS8Jn836fVoNA6x+TLufVWIo+icqpsiZ5+wjDX+nPoWzRDi2tpG7sOH8/1JiGMZJJ3H&#10;1KgQBwmOyXo1azOAdCf7gejHcafGBvGOr2ulHIiEU+rQHk6s03WQl0oyXvW0nwvaRl/yVbRsN3bC&#10;3qOPXbm3HH7GeuDEPs4JX/GzFhJ5miDyU2soTx2U19k+8uV1mYexAa4Xrlt7DzHDHFkPCTHAKYep&#10;scl+GDu5JmgTeVZdXEdCG/hZx437TcbtjTcfrFmbVPsS1GMMmPAzrlvlQb1zkzG0khV/x2k2LsQ5&#10;juM4Tu/Chbj6GTduZPXfO/DVyu9pfOc7f18d77XXzjLzLV55+bHwk58Mrs7x3XdfMMs4juM4XU+z&#10;hbidO3cuxwP4vibEzZ8/P4wePXrvM4rvfve7YdKkSWHVqlVmebB06dJqnX322WdvvR/84Adh2rRp&#10;yXosW48Qt2HDhmo99MOy6B/jKJLoMCaMDXNjXYhImLssJ+eTC+rINiQYM/q1xqz7lsyZs+d5F8rh&#10;Z8xPr5GOYS6MBeYv58t1X7lypVkP11GO80U7KM828BU/Y866riQ1l3olse6cEz8/co0BxoJ1tOoA&#10;a65cd/SLscjyEvTJcvI6x1+0z4HsS+cBrpOMBX4u+qw5TleyYPGSTvfjyn5tTeqLQhzgaUuUQCCG&#10;4WcgT40DkFQov6A8RBVck2VYV4siuXkxUSMlgvC61W49SOkPX/Uc6yU1h1SeVUZel2tWJgYpQYV5&#10;MTEHxMSbVLsSlrHGHGu7KI+wjG4b0iOuY98Duc4QrWKxLyJn/UAjY8+Na1kaXa+cORVBSZESLj6D&#10;+Bnross2GodYfe6NonalhKtlvZxYpPZKUf2cfRZrI6duipy4s4w1/nrXzYU4G0o1+GrlA5aBPKPz&#10;mHKkmFRflG6sU+iaAcYXS+iTUpI1NohCRUnPv4xEVE/7OUBuksKTlSyBSp7Wh/zYXBAzKXehPyZL&#10;aiOMtV5rJmuuTGhXj0euGcZTFE/Uj4ljTOgnFjvUx1x1XR23WMJ4i8YZkxVRj5+jWIq9bpip7Nxi&#10;689Uz950nLK4EOc4juM4vYtGhLgQ1u/DB/P9UYiDKIYw4KuV39PAWMHll88w8y1Qtp56juM4Tmtx&#10;Ia4YyDOVqZlAgNEiEcQgKTNZoF5M9mKZskIcxiElH4tYn6hLqccCMWDZVLkUsj8CabCoPchKlmyF&#10;+DAfopeuR+TYc8mZo7UGco0Q61g7EMNiAhnnZYF6lMqkJJZDd82JUlmK2FxwXedT0AMpmY5xwlde&#10;K9rnev5yLeR1gFjIuhpd3nG6CxfimoA8nQmiB08Rsk5J0mV1PmA+5Idm5QHZt5Y5KNNYr0Otl1R/&#10;9ZISUlJ5VhmdR7FLv14yRUpQyZFXeJKgll8oM4HYXOQJYNaax6SeojzCMrptxik2rnrJWT/QyNhl&#10;XHmSWjNodL0o1YJ65VHKaBTgeAocBTlJo3GI7W15glrs9xuQ5fTrX7l2qd9FUrzT8SraHzn7LNaG&#10;FGcxBpmXQyxuEpaxxp9T36IZQtx1143flw/n+4sQBwGHCQKPzmeChAOJJ0VMOoOAw4QTvGReM0Df&#10;TBgDTwjDVy0lWXFAGVyH5CRPF5NzQpJyGCmKL2ik/RgoS+kJbchT5hBvOW/0I+vKeCFJgQztQoBi&#10;0vIVx4uv8jrB/Ji0lMaUEuKYuN/QhmwH15nkaXAYN8pJuQtxYD2iE8bCuMv6lhyaihvGIdeS7WAd&#10;OEasEa/H4sd1Y9scG9qQ65ITwzJzAzl72XFaRb1C3KZt56/HQ3kX4hzHcRyna3Ehrn76gxC34p7F&#10;1To4Xe6pJ+82yziO4zhdjwtxaaQQA7GKJ1LhK6U3fJV1pEAHUYt1IAtpoUjLdIB5ZYQ4tE0ZDgIQ&#10;RDPmoQ8p6Fl1OSZ8lXXlePVYLVlJkxKKpJyEsafGrGMMtDiGeXNucn0A5qHrp8C4sI4Yk5S8ZDyk&#10;aEXkGgGUZd9oR++nVH20b+03koq7RXfNCdIa1hdf5R7Sc5LrT2J7DOPEdWu8AG2zXbn27A/15FjQ&#10;N/rQn43U/mXMMGeuE+KB/jBfXd5xugsX4poEJSFIEpScLGEiJYIAeXKSlmZAKo9SmyVSoC+OC2gR&#10;RAomKRmpDDniSVlSbeb0J8voPCklWTIPxBvEUOalBJUiSUruhZR4Ywl6HAvLWPshJvUU5RGW0W1z&#10;ryNe9cpbFnLvpyStRsaO8bKPVP2yNLpeUh611jIHGb8i4a3ROGCMrC+vF8UBoO/U7yquHbBkPtTn&#10;HkzVj80r5/dEqg2uI8aAsej8FLG4SVjG6lv+zijTtwtxNkWSi5RsKPdI6km6LykSWSJPo3COEH4o&#10;AElwYhZTWdlHjh3f6/yi+BZR1H4MzglykzVnwLFBspLXZZ+ImSWOsa6Wp2QsKXrF8vW4mIpkrtge&#10;keOOlcFcmKyT1GSy9rv8POj5FcUN5WWy+k+1L8eu2yasj/51nkxl5wYa3cuO0wguxDmO4zhO78KF&#10;uPrpD0Kc4ziO0zNxIS4O5JbKlKpYQhaA5CMlICkPQaaRZf//7P1psFRVmu+Pv+3oiBtlRfSbe1/0&#10;tfpG3IjuF7es8GLH/9+lDHaVgkWBMquliOBcCBZOqCVO5VADVgsqqIAozog4I+JYzgNO5YTILDgi&#10;aJVT912//CbnSz355LPWXpm585yT5zw74hN5zl7zs1aeLbU+tTaBiMM8lkAUKy/r1uIOT+GCiCNl&#10;JwnlIj0WebqalIQIZB8pZ5GYrCRJCUUsD7Eo1mcpTOn2Zd3on64Dv0tpSaa1QmpMco7QthVPjtuS&#10;popiwnkGqbg3SjvHlELOkV7vgPXqsco4WP2R6TKOvGfJdxaxuMiYWPPkOL2JbhXi5s5duR2b831R&#10;iKNMRdEDFAlvEEaYB59SlgCWGJNKk1KblJUgx1AgIVoEQfvMg0/UL/uPfkPGwPjwKcsiP9qWohh+&#10;luKIzE8YK2ssMVIyS47oIvPoNDk36JsUiRBD9lfWLeeM9wjizzTEgOUQV57eRSz5RQp6aIfziX5J&#10;uYrpunxK6kmlEebRdct1pkEZgDXSqCwEWA/Gh/IAsZd5Wuk7kP1HPjnPaA+/I/axdRuj1fmSeVCX&#10;/D5hzSAO6G9MNANco/LTygdaiQP6z7I6TdaLvspx6FjINMK5k3Xwb5H8uwKs7znL41OnAfk3wCoP&#10;UnVgDCyP+GJeONcAdSIGiJseXypuhHmstmXfMTe4h9jIubNwIc4mJrlAuMEJW7xiJ1Y1c+m2ckSm&#10;ZoF0xSt1+hxP72pG9uFl9T0W30bg1UhsOJ5UGQpQWp6S8yFPlpOwLC55X0pfkN9kGmC/tIQHeFl9&#10;5mWVI/J0uJgECGQ+ncYrtlZkbPBzLC0WN66H2PcpVT+/j6m1JMtraY5XM2MDZaxlx2kWF+Icx3Ec&#10;p7NoRYj76qute3Jj3oU4O09vAn0FLsQ5juN0Pm0Q4h7FBnxfEOJw0lNlSFUs6cYC4hXLpEQZmU+n&#10;8b4WhFJCHE/MsqQiQrkHApK8D4kJ92PSX4yYrCSJCUXyBC8IeTJNIvPpscm6Y7HO6WOjpOZBpsWk&#10;q1hMMAbeT8WEc90JY8ohNUextKJYMUZ6TVO+y13rsXHh7wHvQ76TaY7T23AhriQgPlSGuBtIG1Y+&#10;IMUZDSQKyiyWNMN8VhqkDC3eENQLcYO/WyIIxoB8spyFFpSsPBJL1pDxiokrFimZJZVm5bHSZYws&#10;KKGQIsElVR/GTXnIikFqPgHaRjn+rMszzao7lUZidaNfOesEeaRUmYOUqSQyTyt9J6nvIEnJZBat&#10;zldReaLXoESeIAYQTysfaTYO6D/TdRrGoYVPDf8e6bKAMUIsiuKZKh9bHzl/J4rqKPo7QfT6T8WN&#10;ME+sbSsmsbzEhTgbSi6pC3lighGvHFkrJtRIESennkYoknxIrG858LL63kq9hFcjsWn0kmVzYibz&#10;6DSOWUtfUpazhDFeKSEuFYPcWMtT6mLSWKodXjo2OXEr6mOqDpbNvXR5Xs2MDeTG13HagQtxjuM4&#10;jtNZuBDXPC7EOY7jOD2FC3Fx5MlpVrpFSu6RpE644n0tgKWkJd7PheWkWKTbKyJnrDGhKDUWTUxi&#10;ypGwmKdoPhoh1feccck8sfuxsiB3jTVCqu2cfsk8VnqK1HhSaTw9UJ9KJyVKLfDJ7zTKF4muqTVG&#10;6Q4gnz7B0HF6Cy7ElYgUFYpO7IFQIfNDOoEIIWUSfRIboIhkpQGUh+TCfPjE7xQzeF+fXERQHv3Q&#10;0gWEC9RjCSS4hzSKfAA/416sHSmlFEk7EinS6bpTaToP4mClA/QNc8BYAfxuCTwUkFL16VOx8DPr&#10;YnnUr8sBzoeMLfJyHhBj3LPWA9eRVXcqjTCPrptjwSf6J9MQX+Rn7FL1x5DjRT26jlb6LrHmGe1i&#10;raOcHlsOrcwXwdpAH1geINaox1qDEnzPOR585giJzcQB99mGTiPoq64X48D3PdUvjh2f+D0VTwuk&#10;M5+VnvN3oqgOgDHov3sYK/odG2NO3Jgn1jbmA+0yrmgfMbLykjKEuPnzx+zFzfm+LsTh1DCcxmW9&#10;WlHCK0fWigk1UgLKqacRUoKRpEj2gRAIkQrpiI11WX0vqpc0W7+FfjVn0aXFtZyYyTw6DWuGlxTO&#10;KKJZr/MEvKxx8krFgJf1KlJJany8ctrRZVP1kqL1kKoDr6fNvRBj/dpTXs2MDeSuZcdpB00LcVtn&#10;bsemfLuEuI1bK5+bZ4YNm88M6zacEdZvPLP688YP6vM6juM4Tn/ChbhaHn9seTju2Inh+9//XvV/&#10;w8Dn2LEjqvd1Xi3E3XP3krD33j+s3gP4Gfd0Oc2SG6/eXRfB77hv5ZcgD/rHcv/rn/as9v/dd5+r&#10;y8s8lhB35hkn705/+aVVu+/jZ+u+TEOM8Dva1LHD7x9ue6umnARpaBv9ZjsWV155mVlewz5xTlA/&#10;+sD6OZ96LATtIB/y4HfEiuPBfOq4sv9y3tlGzvw1st4I4yxjlpp3gjpRd25bel3mtOE4TvfhQlwc&#10;yjgQX6x0C+QHRa/oTElGvA/JRt6PlZECUA5yPLLO3NdIkpSsRGJCkbxfJBLF2knJSoR5Un2MgX5B&#10;oGL7FnruYnMUyxO7HysLYvHIobvHJMGJi5DQeCKhxhpPaqxYrywr+0XZVJ+ESOTpjAD9QRnrlMHU&#10;GkN+KcUB9BPj1HkdpyfpZiFu1+Z8XxXinHzkawdTcovTu5DzlhLGeNIbpSbHyUULcU7r1AtxQx+t&#10;xLihqy8Lcc1KLrxyZK1YW/K1pmXLNjmSEkjFAYJXTFKTlxWDVL2klfotIKHxyi0jyYmZzKPT5HzK&#10;13PydakxYY2X1WdeqfHw6qtCHNdIai2l4NXM2EDOWnacdtFrhbjNZ4b33zs1vPvmr8KaN06pfr63&#10;5tSwfsMZYbOR33Ecx3H6C60Icd98s3kvbsz3BSEOAlBlWFG04ERZCJ8QhXR+EhOjIFNJ4cgC9Vpl&#10;QapNyE5a+mKaFuKkDKfbgyzFNC1OyTSMkaKVBrKYJcVBrIqV0eQKcewT4oqfY/Xjvh4PQGyQHptT&#10;WQayY1H/UY81dtDoemOZVJtIs2S/orZ0/tTawph0fsdxup+yhbidO3euxgZ8XxLiLBknBvKD7hTi&#10;5OsbdZkiUv0oIic+MaFI3u+NQpw8SSyFjllOPGWe2P1YWZATd4ueGBPA+oxJcBJrPEVj5emB8vtG&#10;SS31HUR/tRiHcnot5qwxCHDsJ8l9JavjdAcuxDk9Ak9gcumls8BJVJg3YKUTl5qcZvG1Uz4uxNm0&#10;KrnwyhGvUm1RlsIVez1rM+RISiDWN/SFIhJO6IK8pvvHy4pBasyg1fpj8GqkDMmJmcxjpUNKw4Ux&#10;4Xd5ap08NU7Cy+ozr9R4uIZisSbylallnqKWE7ei9ZCqo6hsEbyaGRtotX3HaYUWXpla3ZQvTYjb&#10;elbYsOXM8P77p4V335oR3nxpanj9yRPD6oePCy8/dGx4ufL56hMnhj8/PzWseXtGWL/pDLsex3Ec&#10;x+nj1Atxw2Z3PZ4Lr74kxEm5CwIXpSLITJSkIBvJMlpmw2lbPD0L9clTw6xTtZAfaagXwhLFKeRl&#10;m0ALbECmQ15i/fhkvfiUZaz6pCilZTgg46IFMpkGOA6kybgBq27GD+XkSXpS+rLGnoJ9YnkdW1k3&#10;PrWsJvsMcCoayqBepDHOWB+sB3lk/5HGOQB6HoCMXe56Qx5ZJ8sAeTqhNS72Va4V5MHY0H+ZV7YD&#10;EZF1cV1a43Ecp/txIS6OFGasdAvKOEWyknxlqpZweB8yjryfEpNiZYpA282WLZKVQEwoip3uZWFJ&#10;TyBHVmKeovmQyDijnD45LzUPqTQrT+x+rCzIibtG1t2dYwLsL+YR86HXe2o8qTRAyY+nwcn1XPQ6&#10;VIBT3uQ60u3krDGCtvkaV4CyVj7H6W5ciHO6HbxKsLIcqq/8y3mlo9N7kCfEQWrUp/vx9ZvMU/SK&#10;T8fRuBBXPmUIcVddM24QN+ddiNsFrxzxKtUWyvOSp4rFgDSmxTELKWI1I1O99PLS6n1czYhcRfFt&#10;tf4YfL2mfh1qDjlil8xjpetxUUKjIGfByxonr1QM8IpfXBAMrXTCfFZfeKXa4aVjkxO3ovWQqoOS&#10;Ia6cta/h1czYQFHfHaed9AYhbuOWmeH9908Pb62eFp5bPjmsmjchrJg9Njzw29HhgctGhfsuOSTc&#10;e/Eh4f5LRoWVV4wLT98+Kbzx3NTw3runho2bZ5p1Oo7jOE5fxYW4XVAmghykZSIAgQl55D0pxBXJ&#10;ZBCPZJqUjqTYJImJUegfy8bkJIhMuk8sg3rxO/rEe1b/gRwDfo6loY/WOBgjLV3JMejYAL66VI+9&#10;iJw+sW6rbcac5a21AKTMF8sjpThKaKSZ9cb6YnOOetAf5JEn6smYxPoqYQx0+47j9C5ciIsjpbUc&#10;uQZQiIm9rpEwH07O0mlsUws1KTGJJ3BByJP3c6Bw1uipVkWyEogJRfJUO8RZpklkPv0qyhxZiXlS&#10;fdRoyUqTmodUmpVH3s+VE3OlS0lPjQnCGe/H5jm1jlJpQK4PSH6cb+t7lUKenifv56wxTTPz4zjt&#10;pNuEuNmzH92Dm/OWEId7cgPf6bvsu+/w6h9CnDZmpTu9G85fEXhtqlXecVK4EFc+ow+fWvO8dSFu&#10;F61KLrxyZK1UW/KkNFwQqHQeAlkHeVN5JJTD8GmJRFI00n1LnSYGIHvxsmJA+SomprVafwxIhbxi&#10;claMlJRl5bHSAecTfaFwmJIdeVnj5JWKAU7X4xVbG0Xx5JVqh5eOTU7cir5vqTqkZNjIWiC8mhkb&#10;KFrLjtNOeoMQt37jGeGtV6eH5++ZEu45f2RYdPjAcN2YfcP1EwaGhRUWgfEDw4Ix+4XrDx8U7j7v&#10;4PDMHZOqp8XhFapWnY7jOI7TV3EhbtfJV5XhVJEiURGUolLiEOulhEb4mlLUIe9LpMgkxS4pssVk&#10;OguWQV9wohh/j8lwQPYBP8fS5AlpEimYyfupenW6TkuR0yfAPHrssr+x2Mr1gnm08gCZT85/M+sN&#10;IhvLWPEiXJNSmsM4GmlPCoONrC/HcbqXNghx67AB3xeEOCkoxWQxSFoyDb+zTEwAkhKPJT7F0lJi&#10;khR6YtJSDHkSniX+QWqC5KPTKPWlJLyUUESJD59oQ6cDtgGRS+fJkZWYpxE5iW3GpCopSupYp+bI&#10;yqPTimIi56oTxpQSGgHGyDFb48G9WBqhgIYxsi58H6y8MWJrKWeNaXL67DjdiSXE/XDgiD0q67Tc&#10;y4U4h1SWQ/jHf/zfZprTGeDkN5wE9w//8D92Pwg5rxDmZs6cZ5ZznCJ4wiA+rXSncfyEOJsiQacI&#10;XjmCTiMyEC6INxCbcB/gZ9aBCwKUVY9GilKQeiieQY6i5MNL900KVLIsPjFmeVkxkHnYX9RJ4ajV&#10;+mOgPIU0fKIs6wZoF/GEJKjlMTkP7KdG5rHSgXxtKi/ZBw0va5y8imJA8Q6XHDNESMSfMYnJkbxS&#10;7fDSscmJWyPfAasOOT7EF/PINIwVY0TdWEuyHODVzNgAyvGy1rLjtJPeIMS9986M8OKDx4SHrqj8&#10;TTnu38PN4weFOw4dEm4aNyjcNH5whUGVe4PD0sP2DzeOHRhu/eWBYeXc8eHllceFtWtPM+t0HMdx&#10;nL5KK0Lcd99tHcSN+U4W4qQclpKNNJSPUlIb82ghjvdzkf2iTAdknUWwDGQpniSWkuGAFMx0bFJp&#10;Vh55X0phlrhGMQ391GkpcvoEYnMXE/gkuW0AxlkKas2sN9lmDnpcPJEOYIyIv0yXII39xicEzJyT&#10;5RzH6V5ciEtDkQhAsuHrHvFJOUmLLxR0AIQaloH8AymIJ7LFpCdZVt5PiUlog/XiU7YLICZBekKb&#10;WtST0hLS5es00V9KRrpNKQtRdkJdMl9KKJKvTUXMZLuoR8bekgtTdRPmaUROknIYynOOdJ+Ajklq&#10;jqw8Ok0KlWiLc2i13Slj4rrEHLO8/i4Aazy4F0sjcmxErn2Ctrn+ZTrWHfuBWMgysTWG++gTxsBY&#10;4lP2BT/LMo7TU/gJcY7jOI7Th6kX4oYt63o0Z18uxNXDq0hUAjltQa6htJS6cl6rKpGnwOkL8hBP&#10;VLP6liqLvlL4smIgxTR5ybyt1J8CslJOLCk3kSIpS+ex0gHal1fRyWK8rHHyKooB2pTSmHUhnshn&#10;leeVaoeXjk1O3Iq+A0V1QOIrGh8urCldllczYwM5a9lx2sWPDxj2/+TzNkeIW7fu3D24KV+GEPfW&#10;K9PDw1dNCLeefGBYdNigsGj0fmHxmP3CwtH7hkWVT3D9mIFhybhBYUHl3pLJ/149Se7pW48Ka9+Z&#10;YdbZX/nlyf8WBg7+p3DxZUPN9P7GilWTw/AR/7L7fyj9n3t+P8y9+mAzb18A4+VY8bNOw9pAPJ56&#10;7sSatN4C1i36/r3v/V2v7SPohFj2JB6f9jPoZz9r+NnNq68IcVKCakT8iUlVEubRQhxelck2i4CU&#10;JAUm1tnoKy1Zn2w7dcIZSMlfqTQrj07jODA+KcVBwKKQVSTsaXL6BGJzlyPEyTwpsQxY7TSz3uSp&#10;gDnoeUU7UooD6JN+ZSzByXCcA4K5SMXUcZzuxYW4NJBcpOCmgUgDqUiWwe+pMgBiji5HmAfSjbxf&#10;JCahPikYxaC8JpEilgXkP11GSngS2e+YUGSlx4id9lVUN2CeRuSxojmXaXoeiuZI57HS5SlwGghb&#10;PA2wU8ZUtLbYtjUe3IulEYxN12flk320wFrWIl1sjRWt21gfHKcn6DYh7qqrHtiTm/MuxDmO4zhO&#10;91CGEDdv3tiR3JzvK0IcT0izTpTKgYJM7BWVkty2IP3o0+BwQQSCuJY6ZSwFxC8pE+FnymD4xBXr&#10;my4LqQoiEPrKccViAPmKeXChHrz+UuZppf4UKI96ZN24EFtIU5b4hP7yws86XebB/FvpRLarx6xJ&#10;raVG1lls/eB33Ee6VQ7ktMM8OjaMCS6dRjiXsXWWUwfAerG+H6iXa1rTytgI7hetZcdpB/92wLD/&#10;ks/bnhDiXnvypHD3r0fsei3qIfuG60btWxXf8EkWVIAod13l/vW/GBTumDY0PHrtYeHdN04x6yyL&#10;//PD/173P7gRCB8zzxkSXnurvX1oBNk/K70/AREHYpWMCcC8Wfn7AncuP2L3OPGzTMNaZRp+lmm9&#10;BcxNrP+9iU6IZU/i8Wk/Aw/6WcPPbl59UYiz0mPEpCoJ82ghjrJRqmyMnHYtUIZ9gdzE31OvFk0J&#10;Zjnymcyj0+SrOS0gcDV6MllOn0AshjlrQeZpVYiTeVPIWKXGVQQEOPaJyNPrJIg92tXyZs5rVx3H&#10;aT9tEOK2YwPeEuKwKS836TsFCDcQYKQ0BKFNnhhnlcEJURR6CH7HfaRb5QAlM33CFIQ31hOT6ay+&#10;ArQL0SomNAGkQbiSkht+twQ6gn7IE8bQrjzpjSdmoU5ZToJ20TeeRAfwc1F/c+pmHn3yVxGMo+wT&#10;xsZYMEZ6HnLmiHlS/UY7cg5l2xTMOmlMXFusB/kwv/j+pOaIZYrGKuvW3xsJxoq8HCtADPBdtr6T&#10;sTWGvEiLfb9lXsfpaVyIcxzHcZw+jAtxjuM4jtOZ6OdtlhC39fQ9uSnfihC3YcuZ4b23Z4Rn75oU&#10;bp8+rHoi3PVj9qsR4SQLRu+3S5Qb/eNww5FDwkOzx4a3X51m1l0WleEWAulKn8bVU1Dgw8lMVnp/&#10;AqflcX4oV0GS682iVaukhLjrl4yri4eEJ+m1a+3k1M8T4nCSX28STTVFsWwVipydetJju+PjnFX3&#10;3G1IiPt6y0huzHeyECdP32pENopJVRLm0UJcTtkYUmaz0mOwDPoiTwyDnIcTwawyKcEslWblkff5&#10;Wk4AwUqeXoaf2UdZJoecPoFY/HNktUZeeUrxUZ5018x6yx1XLog/RDjWqdenBm3KOSqjD47jtMZb&#10;bz9f99x1Ic5xnE4Col/lz08VS2xznP7MnPkL6p7H1Qd22ZcLcY7jOI7T/Rx4yJG1z9zBQxd2PZqz&#10;r/nzx03k5rwLcY7jOI7TPejn7T5DDpzW9WiOXmUJcWvfOy289qeTwuPXHR5uOf6A6mtSk0Jc9fPH&#10;4fqx+4UFY/YN9154cHjjmV+adZdFZbhV9ClHEKvkKUgQP3qzwNMf4Wlj/UkOTAlxRTBe7TpBr931&#10;9yU4h366mhNDP3f7oxAHGawynCqNnH6VI7UxjxaOpNTWqPglTwuLiWwWLMO+yNdixk5jS4lYqTQr&#10;j7zPMaRi1wyyvdjJdxgn8+hXi+YIcbnrReaTryZtZr1BYGOZotfcNgIlt5x5kHErEugcx2k/lhC3&#10;98ADBlW+o01dO12Icxynm+Gpdzh1zkp3nP5MvRA3dPuuJ3bJ15w5K/bi5rwLcY7jOI7TPfx05BH/&#10;WfPMdSHOcRzHcToC/bztTiFuzRu/Ci/cd0xY8cdx4aaj/z3cOG5QWDx2YJ0IV8uPK/kGhkVj9gvL&#10;zvxZtfx7b80IGzafabbRKpXhVomJKVKKm3v1wWYep2fgaXn9SSpyIa5vwDl0Ic6JoZ+7Oc9uXt98&#10;s3UiN+Y7WYgDfC0kPi0xDBIT0uS9VoQ4ecpYo3KRlKNir7uEgKXTrPbkaWXyFDOSkt5SaVYeeZ9C&#10;HIS8WNlmkO2hbsybziOlN922TJP3NUXrBfAENvRD52lmvVFes+prlpw1LEFe0OiadRynfNogxFU3&#10;4F2IcxynO+ArZIF8Xa/jOLtwIc5xHMdx+jA/GfGLb2qeuS7EOY7jOE5HoJ+3OZvqmzfP3Iub8q0I&#10;cW+tnhaevn1SuO+SQ8KSo/evynDXjykW4nCS3KLR+4Xbpw0Njy/8RXj18RPDe++carbRKpXhVomJ&#10;KVJAcnmld9Ef58WFuL4B59D/pjgx9HO3vwpx8tQ1yEEUqSAeQf7hSWqyTI5MxDyWQCRfQQkZTcpb&#10;kN4gq6G8Jb3J113ixDDkZzmePqf7xfy6L/K0On1imRTMtDyWSrPyyPvoJ2OqgQiGvqNfsXpjyPYA&#10;2uDpbJhLPc+6fK4QJ4VGzKM8jQ7zKOfHOgWumfUm20SMMC4pxmHsWAsoK9cS6kMbMr+OhewjYy/H&#10;JNcVkPU7jtMzuBDnOE4ns//++1f/mwKnxFnpjtPfcSHOcRzHcfowA4eNbVmIu3r+2GncnHchznEc&#10;x3HazxVzx9U9bwcMGTax69EcvcoS4t5+dXp4/u4p4cHfjw1LJu9fleEWjS4S4vbtEuf2C7ec8NPw&#10;0OVjw3P3TAlr/vwrs41WqQy3SitCHF6v+ouJe4f/uef3d+fFz7iHNJl3xarJu/Ncv2RcTZpE5pPi&#10;E14Pinup14TiJDvKSQS/WyfcXXzZ0Gp66pWwrCvWJsqhPPI0eooeyv7y5H/bfdob+4K2rLpkXCxQ&#10;VpdJgdgypgDzxnlG+7hnjZtxS8lfrNcqj3WBcaM8Y8f2sW4wTl0GpIQ4GRtZXtZvIdc15gNjQ7/k&#10;euacWGu2qH4LOU+y3818J0gj676IWCxlGsfA7z/jgE/8rr9Pss4Y1ri4RmWc8X3BvMW+s1x7mEvk&#10;QX9YlutRfvf13ykJ8wHeS8WHoF300fpuW+Nkn2PfKdTHGKBPVh7Uy7bkmKy+FMWwp9HP3f4qxAEp&#10;/FhQrCIQh3DfEqsI81hCHKQkKcXFQL8aLaulKMA0qy+yLllOCmZaTkulWXl0mpTPUjTyilDZXmo+&#10;IZRRIpTIPuk0TU7/U31vdL0B3LPyauTYivqJuZdtcM3GKPOVrY7jNM/zLz5W99wdMHDYXpXvaVMX&#10;N+BdiHMcp92sX79+939XXH755WYex+nvXDJ7Ts2zeMCQYeuqD+yyryuuWDmIm/MuxDmO4zhO96CF&#10;uAGDh83uejRnXy7EOY7jOE730tNC3Pvvnx7eeGFqeOKGI8Ktx/803Dh2UFg8ZpApwUkgxOGVqTcd&#10;8+/h/stGhWdunxTefmW62UarVIZbRUpBEtxnHkv8gGwjRRUN0nQ55qeYYgFZinVIYYPCjyWNIJ8W&#10;gjQQY2QZKbZY4hDqlOV1OoDExPSUWKNBuVTsAMYjxy/7a4H6ZBsppOijgSzDObBizXVhpRHOhZWn&#10;aNwgJkfF0mNpRW3JtU8pKYX+ruSMxcKqo5nvRDPrvojcOKe+/1hDjaxdoNuSY7bQbRDGA+WlBEaQ&#10;R/YnJpgBlscn76XiA1C3FCot9N8b+X20/o7IvzOx7x3jhbZ5D/GxYkBif/t7krfXnlH33M15dvP6&#10;9tst07gx3xeEOADhSApBEMsgLlnCF08Bs05wI8xjnRJGdJsAkhLKWlIUgRQH2UnKbBC95IlxEp46&#10;ZvVFntgmxwM5jnVrwS6VpvOgbnlfnnamx4hxId4yJrH6NVKIw88oxzkAiA9ihjas8jw1Tfc3BtrA&#10;+kC9so3YmtE0st4IT2uTbaIc6rHmHmPFuPQaw++xtYB65LpC/YijPDXOcZyepUwhbvv27XtwA96F&#10;OMdxHMfpeVyIcxzHcZw+zH7Dxnwln7cuxDmO4zhO76dZIW7T1rMGcWO+FSEOrFt/RnjhvmPC7dOG&#10;hRvGDAw3jC0+Ie760QPDwtH7hZuO/Ul48Lejw3PLjg7vvta9J8RB6JAyiiXUSKEEIg9+ZxrkDUoY&#10;EGaktBITeySUSXS7KcmKMhPag2zCuiGXUOACeqxsy5KRUA/LAesEL54+JSWUIhArikQoJ+tFmhSz&#10;YpIU05sRWqTQg3migINP2TawYs14xsQckJorjB1xw7jlGpCClRSQSEpEKpKUUv0hGDvS0Q8pJaE+&#10;KRVZ6zanfrkO5f1WvhOcr0bXfYrcOAO2izS0Ldu0/m4Apqf6JAUx5ON8oA25Tqx4cy4IfsdaA7JN&#10;zqm11gDaZB0cI0jFB/3jXKHe1HdblpVtWYIe/84Qa51Ya4RxRLx0X5CvkXXRXbgQ5/QUlK1Sp41B&#10;5EIekCOXAeRrtIzjOE4n4kKc4ziO4/RdXIjrJZxwwkXhH//xf+/+RyZ+njlznpm3NzBhwrRqP//+&#10;7/+bme70PS677M6w777Dq3POuT/ggEPNvE5n4d/nvk0ZQty8eeNmcYPehTjHcRzHaT9/uHxs3fO2&#10;u4U48MqjJ4RlZw4PC0fvWxXiILsBS4YDN4wdFG4YMyjcetIB4ZH5h4ZXHjk+rH37VLPuVqkMNwkk&#10;ipgwQbEDn1Y6hA1KK1LwgIjB+qVkYqVLgQPEpCNZBj/LNIJxIB19kveljCTvAy2hWIIPx4h6dFoM&#10;jgNlLbEFSHFGylmEac0ILUXtSxlJxxowllYaYRupPBasG+i0lIiUSgPN9oeUUX9sbM1+J1pZ9ylS&#10;Y5VpqNNql7GISaIsn1q7/F5ZchiQ/dB9YPsgNR9ynVvfMZkuvyep+LAMxh77brN/+m8nBT2rz5Td&#10;iF4nsTXCthr5+9TTuBDn9BSV5VMFp7VZ6aAZuc2FOMdx+gslC3F7cgPehTjHcRzH6XnOufDSmmdx&#10;24S4uXMfHsnNeRfiaoEMVwlRHSNHTjHzk/POu2G3nGTxz//8f6uii1W2VdA3tmOlO30PKWxKrLxO&#10;Z+Hf577NfkNH/0U+b12IcxzHcZzejyXE7TNk6MiuR3P0KluIe/3pX4b7Ljo4XH/4oHDd6B9XZbhF&#10;CSFuybjB1der3vmrYeH5u44O775+Sli/4Qyz7lapDDeJJecAiB7Mo4UQSUz8oNxhyXQU1CyBh/Vp&#10;YYRlLJGExAQayCO8rwU8SjmU07TgIyUUSwyykCdBpSQVmc8Sh1JpKeTcpdpPyTmUrFLxjs1VESnZ&#10;qNk00Gx/JKzfinlO/Ywb0GnNfCdaWfcpcuOsvy8kNU7AtNjald9JK50wj5bmOBcpKQ0UncrG74Ce&#10;k1R8WCY2NsD4xOYTyH7LvzP8W6TlXIp4uk75tysVi97Ey6+fWvfcdSHO6Q54QhxexYnXhsrXfOJn&#10;3EMa8uDVoLJsChfiHMfpLzzy+P11z91/HXjAnpW/fw1fLsQ5juM4Tu9CC3H7DBm6uuuxXe41t0CI&#10;u+Cim+s28fsLFI3wCckN93A6XNEJcaeccvnuf5SmQL043cuqo1lcoPkblBLbJR/2BqS0yXFiTeG+&#10;zut0Hv597tv8/38y/Bv5vHUhznEcx3F6P80KcRu3nDmSG/NlCHFvvzo9PHbdYeGuM38Wbpr872HR&#10;eMhwPw4LRu9bPTVuwSh87heuH4OT4/atynILxw8K911wSHjlsePD+g1nmvWWQWW4VaS8AfmCUgew&#10;pBcphOSghR0pzGhJg2KQJWvFpCPez0VLLBTfpGRCCQVpUkiRUhEFFi3KpUjJNBr2y5KkWEdKvLHI&#10;bT8Wa8D5s9JIqnyKVP+aTQPN9kfC+q2Y59Qv130qLfc7wTZzseJi0UqcdR4rnWmxtStjkYOup5G5&#10;Zl78zZP3pSyn/wamYsD7uciy8u+MlJEpu+HvQEx8499sLcpJuRB5YhJjb8IS4nKe3by++2brLG7M&#10;uxDnNMLLL63aLbylgAyHvFYdFi7EOY7TX+hOIe72u+6p26h3HMdxHKd9nHneb2r2ydsmxM2Zs2Ii&#10;N+ddiKulEp4qjQpVUojDzzINMt3eew/anY5XXcr0VnGB5m8wDoiJld4X4Hz7KzX7Jv597tvUC3FD&#10;Z1XmuqHrmmvGzeYGvQtxjuM4jtN+yhDiIL/pOhoV4t5fe1pcvLjnAAD/9ElEQVR47cmTwp+WHBnu&#10;vXBkuOmYn4QFY/arvj51ybhB1c8bK5+3TBhc+RwYFo4fGG47+cDw2PxDw9urp5l1lkVluFW0UAIh&#10;h4IFxAst6EDWYNkctMgTO5kpJp6RmOhCYSgHjAfty/J8NaoU26SEgt/ZhoxVTEJJIWUf3Q9NbLyA&#10;dei5KyJHaAKptjkGK42kygOMHeuC+Sx0/1J9LxpXUX8I1jrmHvkoJGqsmOfUL+depzXznWh13cdo&#10;Jc46j5XOtNja5fcxFy155c41kH/LZHxj4hmIxUDOYQ5awgOcU/k3hae8oU+yDbaNNct71qme+u81&#10;xoTvXu566G7KFOKW3La4ri65ce84GpwEd+YZJ4ef/nRwzfcGohzu4ZS4D7e9ZZaNAXmO9TQi0jmO&#10;43QaJQtxe3EDfs17a+vqdSHOcRzHcbqXHhHiTj/ratHgLi69bGndJn5/AKdsVcJTRUttRaSEOMLT&#10;58oWmVyg+RuMQ18W4g444NDqGPEaXivd6Wz8+9y3+f/9+8+/ls/bVoW446bWCnH7HnhQ3Sa+4ziO&#10;4zitcfFlY2qet7so3lTfsHXmRG7MW0IcTo2Tm/dFbNgysyrFvfHcL8OTN/wi3D1rZLjlhJ+GxUcM&#10;qZ4Wt2DcvmHB2IFhwZh9w8IJkOGGhgd/NzY8d/eUsHbNaWadZVEZbhVLTJHShxR0AGURIIWQRqBM&#10;JqWQohPXYqILxaUcAcbCkmLYFsdOSYf9lWJKI6cuSSmqSEiJjRewjphUFCMm82hSbXMMVhpJlec8&#10;F6H7l+p70bhS/SFYBzEJTmLFPKd+OfdWeqPfiVbXfYxW4qzzWOlMi61dCmCx8kXkzAWRMhlizfuc&#10;C0t2jcVAyouNfi8J/85IEY918m8TpTn2V/790vIywd8a5JfrGz/H5rAnaVWI+6/vts7mxrwLcY7j&#10;OI7TfVgns7ZLiHtg5aq6jXrHcRzHcdrHSTNm/qX2eexCXLeSI7XFyCnbLtHFBZq/wTj0ZSEOIhzG&#10;6EJc38S/z30b/bxtRoibd834hdygdyHOcRzHcdqPJcTtPfCAQV2P5uhVthAHNmw5K6x977TwxjMn&#10;heeWTw5PLj4iPDxnfLj/ooPDnWf8LCw99aBw19nDwwOXjg6PXXd4ePHBY8Pbq6eH9Zva97pUUBlu&#10;lZi8QfFCyzgxIaQRpMRBMYztaQGPxESXRgQYCy3FyN/ZN/nqQdyjFCjFlRxkPUWxo7xiSTmso1Hx&#10;JnfuUjGl2JWKd6y8bB9pWiZM9a/ZNBDrD8GcM95Yh1ifWi5i/VbMi+oHjBuw0hv9TuS02QytxFnn&#10;sdKZFlu7RXEqotG4UELj3znEnu3rU/lAKga8HxtbEfLvA37m7/JvsJYkKRDyNMsipPiJz5hE11NY&#10;ryp3Ic5xHMdxej+WEPfDgSP26HpEN3S5EOc4juM4vQstxA0YPPTRrsd2udcVVzw0jZvz00/7Y81/&#10;AIBOF+LwilK8lvQf/uF/VP+HGYCfcc+S1fB6VOazwOtOdRlNjhDHk72AlY5y6COFJ4KT5VAWJ9hZ&#10;5bRAo1/RirEjT6w886YkMpxqhzzWq2RZnmmTJp21+zQ8gJ9POOGimjLoI9N1muS8827YnQ9lrDyy&#10;rhhyTpifJ/Whfa4VfFr9wZj0vOB33Nd5Na2UlXAOYsj4MC/uAbaP+3Kem11z/M7wu4F65JpDeTk+&#10;1IN2GWf0A+3G6icsJ9cTyqIt63vGPmA8Og2gPsYm9lpk1Mu2sP50OtYH2mE9gPGy8hPmL5oT/Mx6&#10;ZXmAcowhY+90Fvp5u8+QA6dV5rOhSwpxk46vFeKGDP9Z3Sa+4ziO4zitUYYQt/TeE+vqwOk1cvM+&#10;h41bwcyw4YOZYf2GM8J7b88If37ul+GFe6eExxccHlZdPSH86eaJ4eWHjgtvvXRyWLfudLOesqkM&#10;t0qOmCLFECmMyFOVGkFKZ5B95OlKlIE0MdGFQgtoVu6gVIKToSwJBbAN9Jf5LVkthRxnTPwDMh8E&#10;Fp3OtEbFGzl3qbI8IcuSiuS60GkkVp4yT0wkTMlGzaaB2NohUkSyJCjAdCtuRfWDorg1+p0oY91b&#10;tBJnncdKZ1ps/UkxEPNi5UmRMxcSPfeIPX7W33+SigHK4L485a9RKKvhu8Lvi/w7I9tHf5nf+jsR&#10;Q445No89hSXE5Ty7eX333baF3Jift2BeTT37/3x03ea94ziO4zjlULIQN4gb8C+/8lpdvS7EOY7j&#10;OE73cvz0Mz6Xz2IX4ppAyiQxIK7IMt0lxKVEFoguLB8D4owlEMkxQ0KSZSSQdqzyFHOklKNhHVYe&#10;lkdctVgl0QIYBaFUfFEny8fkqZzYyTmRc2XFS44RbabGBCB2Mb+klbIWUsCyQByYl/ewtnU59Al5&#10;ylhzqAtj0OUI8qEdKbRJYvUDlON3JoZeU/K7HJPZmM44aLjm0La8j35irbK8Bcaj+0SYJzUngLEF&#10;sjzGw3L4lPPtdA76eetCnOM4juP0fmZdOLrmeQuyhLgtM6dxY74sIc5i3fozwtuvnhJWP3JCVYR7&#10;7emp4d03fhXWbzqjJh9kOvl7mVSGWyUmpkh5SotfFJ5aOWFISmgUP1IiSUx0kXJHbCxFSAmH7egx&#10;s79MB41IKITSDD5jsWNbsfiy/WbGW9S+FK0sqUjGypJpKBRZ5TkutC3vE1lW1y1FoEbSgFxrOg3I&#10;di35TMppVsyL6gcoxzqsdCDrKfpOlLHuLVqJs85jpUvhy0rHmmR5a/0Vwe9nI2VlnxDvVP9SMeCc&#10;WWm58PuH7wi/q/rvDPvLsYKYSGyRGkNPY53M6kKc4ziO4/R+rJNZux7PDV9FQtwTTz1Tt1HvOI7j&#10;OE77+MUxv/xCPot7TIibffl9dZv4nYCUmyCYSGEEIoyUcqzToXKkthipsugHRZqYyIJ7SIOMI8tD&#10;wpGCjJb5gEwHGCdPOdPlLfkMsUIa8uk0wvJWHpYnaIMyEsYi4y4lpRzZjUJUrjjG+lJjkXMFEHfk&#10;x32sCxl/OW9YX+wnxiHjarXXStkUjLeUqDSsmyB+GBf6QWGr7DXHOvCJepnGn1EGdQMprln1Iw/n&#10;Xq5nIL9PQPYdseV96zuu5T3OiSS25mRZ9JlrGXUgpnLM1necacSaEyBjy3tog98jtGPV7/R+8GzV&#10;z9sBQ4ZNrMxrQ9f8a8Yt4wb94UePqKnPhTjHcRzHKR9LiBswcNheXY/m6CWFuMW3HV9XR1lCHE6L&#10;W7fxjLD2vVPD2ndPDevePy1s3HRm9b6Vvx1UhlslJdNQuNBilpRxIG1A2JDpkCwgh6Bc7MQtKVbF&#10;xA9JSnShxAIglMg2IYqgXpSDcCTLyTwsTzBGmUdKU8QSyoqQsUO/ZTvoN6UogDZlWcL0ZkQoGXe0&#10;RZFGtw2sWEthCfNLoQb1FJWXMUTfGT+rbS3qpCSeVBqQMhrXGNpkXvzMdBkTfMqywIp5Uf06D+9p&#10;5NzkfCdaXfcWqVim0qw8Vjr6gzT5twHfAcYcSLEM+eV3BGsGv2O8qIP3CevXay+FlNDYruyPJBUD&#10;lEGfkIZPzLmsB+PFdwDtxL7bcg0Q/XdGf1di0iT6gFjKdYGfuW6s+PU0lhCX8+zmJYW4319xeU09&#10;IyYcUbd57ziO4zhOObgQ5ziO4zh9l3ohbtiyrsd2udcVV6ycxQ36k6ZfWvMfAKAThTgIIxRSYqKQ&#10;lGz06U8AcgrSgJRscpBlY6DNRuslKQlKCjSQZizJRwpEUkoDrBv1yPsSlrXysDzQEhGQsZHiD6Qe&#10;3rfkJZkuhagUzJ8ai56r2JzI9mMCEmOPtSfvt1K2iNRaIGwbpGKRItUO+w6sNYd5ZjqQ805Yv/Vd&#10;pDCHNGs9A5bH2pb3KY5Z/eb3n+h+xdacXDOxeMqy1veAaak6gIwtfsf4XYbrG3SHEDd01PC6TXzH&#10;cRzHcVqjXULc22trT3DrZCrDrWIJPkTKGVrMscQNi5hYAiiPkJRglhJdUE7KQTEgvuiyRJfXfcE4&#10;ZHojkpFGylExYidUAeZJzV0KCkAWSCuSilJzjzIUmnT5onmSaVo2SolIqTQgRSWJjF8qJihLWcqK&#10;eU79cs5lWU0j34ky1r2mlTjrPFa6FEIlur7UfBDMiSwDitauBSQxWS9iauUDRTFAXdZa0Oi/pwRz&#10;KvNZfdHfvyJxNoYUDXsLrQpx//mfW5dxY96FOMdxHMfpPsoU4nbu3DmSG/CQ33S9jQpxO3bsCDu2&#10;fxY+/+zTKvh5x/bt4fPPPzfzO47jOI5Ty6GTT9gun8U9JsTJDfxOQQo4KXlK5tMilJReYpJUDFm2&#10;iGYEJS3JxNJi8pDsn5aAKBal+sWyVh6Wh7Sj00isPEUfqyxPkGtEGIu1I5GxsEQ8wvYtsYrIuqSo&#10;1ErZIhjvVN2sV8tijSDXVSottuaYbp0AB1L1c12k5pHl9fpg7IHsmxTWKIhqcY0inq5Tng4XGy+Q&#10;+XQa7xfNiY6Ly3B9B7yOXD9vXYhzHMdxnN7PWeeOqnnegn8deMCeXY/m6LVh65mzuDHf14U4Shsx&#10;mQJAzmA+S6qBCIT78mQl5KcUlZLhgDwJKiWAAZ6KlBLRIIpQiCEQSlAmJqAQKZnEZBpZd6syCWQa&#10;HTv8jHuWaCNhmdTcFYHxSpkKPzNGHGcsDgDjj5VHv3DPmiusKchhctyyLNebPNUKSGmpkTSZh2sI&#10;oE09hzom6CP6ij6zbCzmRfUzJhifLKdp5DtB0O9m170mFctUms6TGqdeO+i79bcC3wOMgWsCYE6Q&#10;H/HEvOgynAN86rQUsj+p73ZODLjGZZ0A/c75fiMPy0ipksi/y/iM/Z1N/Y2J9b2nsV5VnvPs5iWF&#10;uPMuvqimnsOmHFe3ee84juM4TjnoV5XvM2To9q7Hc8PXzgIhDqfGMT0HSHCffrAlfLhxfdi2YV34&#10;eMumsP2jj6r3dV7Ic/qe4ziO4/R3Dj58Us0JcfsMHrqw67Fd7jV37qrZ3KDvK0JcSq6RSClGy1BS&#10;UMLPMq2IVFkINJD0KLaAlIhlkRpf7tiZB/nlfQpW+r4kVhbkCFqxNiggAX1yHU/ziglVFqwrNZbc&#10;eWafc5F1tVK2iJx4s95UHIpAWdbTSBpheqwPqTp4PxdZVn7HpfzJtQYhLSa+8TuqRbmcmAO5nrW8&#10;xvtFcyLjQsHOZbi+gSXEVf5BP7Iyxw1d8+aPf5Qb9GOOqBXiRox3Ic5xHMdxyqYMIe6qhVPq6pAb&#10;947TV6FchU8r3XEcpx24EOc4juM4nUmZQtyOHTsmcgO+aSFux46w/bNPwifbtoSta94JG159Mbz/&#10;wtNhzXNPhrUvPhM2vfFq2LbuvbD944/s8o7jOI7j7KZHhLgpJ15Q8x8APz7g4LpN/E6Awor1+kUN&#10;8gEtpuSKUhY5ZSHGUfKK9RNlIcFIeU6jy6TEIgnz6HEzdilRJ1YW5MhCsTYQE6tuKTU1IgJZdWly&#10;51m/XjMFhCUp9LVStoiceLPuVBxIu9Yc02N9iNWBWPB+Dui3LA8Yfym28VQ4SGuyDa4BuRb1KYq8&#10;r0U5TWpt8X7RnMi4cByNrhGnd3LBRTfXPG934UKc4ziO4/R2ZsxsTojbvPWs2dyYdyHO6a+4EOc4&#10;Tk9gnczakBD37bZHuTE/4+yza+pxIc5xHMdx2od+VfmAIcPWdT2eG76kEPfAylU19YI1762t26gn&#10;eB3qpx9uC5veeiO8+egD4aWlN4TnbpwXnl54RXjymtkV/lD9fGbRnLD6ziVhzbNPhm3r1lbFOD8d&#10;znEcx3FsDhx16Fc1z+P2CXErF3KD3oW4v91PySxF5JaVr3OUohdkHI6hCFkfiIlFGubR447JapJY&#10;WZAjaKXaoKgk545xyplPCcrE2iG5cwUJCXlS44rRStkicuLN8aXi0O41x/RYH2J1SBky1f8U8mQ1&#10;3mOd/N5RNuMJhPJ1yogNy8my3S3Eoa9cS5b453QWpQlx14xbzQ16F+Icx3Ecp/1YQtwPB47Yo+vR&#10;HL1ciHMcF+Icx+kZ2inEHTttet3mveM4juM45VCyEDeNG/C333VPTb0gJcR9VpXhXg+v3HtbuO+8&#10;U8LNUw4ONx3983DT5JHh5smVnyufN00aEW448qCwdNoR4clrLw9vP7kqfLD23fD59u1mnY7jOI7T&#10;3/npIRP+Ip/FAwYPm9312C73kkLckcecU/MfAEOGT6jbxO8EpGhmpRMp2+hToHJFKYvcslJ2kfnk&#10;fUg3UpbT6fJ+UZqEeZBf3qcUpe9LYmVBjqCVagOvk2X9WlbCaV46fwrWkxpL7lzljCtGK2WLyKmb&#10;40vFAWnM1441x/RYH1J1FJUtQq4p/MzfU9IlxUx8Mg/h6XlF8ylfmapPdOP9ojHpuEhRr0jIc3o3&#10;lhC398ADBlXmtqFLCnEQ4GR9EOTkBr7jOI7jOK0zdcbBNc9bkCPEbdp21kJuzP9u7qSa8oOHD6/b&#10;vHecvogLcY7j9ASWEJfz7Ob1n99tXc2NeRfiHMdxHKf70K8q7ykhbuvad8MbK+8Nj15xUbhh4s/C&#10;bYcOCbdNGByWjBu0m1sqv99x2P5hwZhB4d5ZJ4cX71gc1q1+IWz/7FOzTsdxHMfp77gQ1wJSRNFi&#10;jyQlrOSKUha5ZaXsIvtJ4caScUBKHpJp+mQrogUhmVYkWMlXSVoyT46gxTxWecBTsCApyVg2+ppI&#10;lou1A3LniqeMgVhcY7RStoiceLPtVBzKWnM6jTA91odUHRQiWzkVTa4pym9SKJPrAN9F5teiLKAs&#10;J0+cs2A+Kd4RtpWaE2DFRa4nq39OZ3DOrIU1z1vQjBA3/5rx67hB70Kc4ziO47QfS4jreiwnr00u&#10;xDlOGD7iX6r/jsGnle44jtMOrJNZmxXiIMDJelyIcxzHcZz2oYW4fYYMXd31eG74KhLiPti6rW6j&#10;nqx76dnw+JWXhDunHxkWjIMINzDcOHZgWCy4cdygcPOEwWHBmIFh6fQjwmNzLgnv/OnhsP2TT8w6&#10;HZtRo0ZV/82ITyu9NzFjxoyw//77h8svv9xM76889dRTu/cw8bOVp52sX7++un4wNytWrDDzOH2L&#10;PfbYo7re9HexnWsRbaFetG2lO3nsN3Tkt/JZ3DYhbs6clcu4QX/oUafW/AdApwpxEKcqQ6sSE3wg&#10;JlG0sWSiXFHKIqesbF8LM5RxYidAUbQBOk0KNBCILAGLEhXa0emUbaw0/C5lHEvmyRG0mCcmA1FY&#10;Qh/YXjMyFOOI+qx0kDvPUiIskpg0rZQtIifeOW2XteZ0GmF6rA+pOrgeQKPfRcJ1hO8av3daJmMM&#10;GFNgSZjylLbYqYWQ6pjHGnMqTWLFBd9DCozoc0r6dXovlhA3YOCwvSrz2tA1XwhxQ0fVCnGHH50v&#10;xF23YEJYvPiwcOvtR4a7750SHlhxbFi56vjw0Kpjw30PTgnL7j463H7HkeGmW44I11fyXXPtBLMe&#10;x3Ecx+nrlCHEnf/biTXlDxo3sm7z3nEcx3GccrCEuK7Hc9b13Xfb1nFjXgtxODFObtw7juM4jlMe&#10;JQtxs7gBv2jJLaretBD3xsp7wl2nTg6Lxg8J140eGBaM3rfKdaP+xoLR+4VFYypU8uCVqvfNmhZe&#10;ve+OsP3jj8w6ywLyz/nnnx9+9KMf7d5LApCBJk+e3CNCUiug3+y/ld6bkPG20vsrkNAYl54Q0mT7&#10;nbCOnNbhfONvobzfzrWItli3le7kUS/EDZ1ViWn5V0qIO/CQI+s28TsFKdFA5pHSCAQlCiXAEkpy&#10;RSmLorK6fS3VUD6C7CKlHV0OyHJACjQA+dkHyD1FQpuUt1CWQhDq0G1b5XMELeaJyUBSJiLNnITF&#10;dqQ0hPFJyaloriRy/IijXDeoE31Em5aE2UrZFBwjPq10wHZj8QZlrTmdRpge60OqDsSHsho+kVfO&#10;IWKJ7xBEt5ighjGxfqKFT8aAYNwyXSJjIvuDOtEW+4s+6XaALKvTJLG4YMxFbTi9m94kxC1YMCHc&#10;eNMvwl3Ljw6PPHZiePm1U8Lba84I6zefHdZvOiu8+c5p4bmXpoXH/3RiePChY8LSZUeFRYsPM+ty&#10;OptPP90QcOHTSu8PbN7yevj8861h/foXzXTHcfL47ruvq39P1qx50kzvZI6b2qQQt/WsZdyYdyHO&#10;cRzHcboPF+Icx3EcpzPRrypvpxAnN+jJjs+3hw/Xrw3P33xduPmYUWHxmP3CQiXC7RbiKiwcvV/1&#10;hLjrJ+wf7ph6eHjxtkXhsw/jol2rQHbjyUgxtCDSU+Se1NRJQhwlxE44za476Wkh7rXXXoueGOb0&#10;Tbje+oIQ10mnZJaBfha7ENcgEES04KLR8o+kEVFKI8sWYQkxUnaxkDKOLkuBBoKUlN80KdknVQ6i&#10;ISUsq+85glaqPNESVjPCj5T7JHI+G5ln9EH3ywLxK7Nsipx4s+5UvMtYc1YaYXqsD0V1FPWPxL7P&#10;iL/MZ61/Lc3F5DqA/hTNJ0Q15LPKM09qTkAqLnJ9NypSOj3P6WddXfO8Bf868IA9K/PZ0DVv/rjt&#10;3KAfMvxnNfXlCnE33HB4uO+BY8JTz04Nr785I6zdMDNs+ejX4YuvfhN2/uWisHHLOeGdtadX015c&#10;PS088aeTwj33TQk333pEWLjo0HDNtXa9zQIhKXZ9+eWn4cMP3w133zPLLOu0BkQwXPi00vsD8rLS&#10;nfLoy8KU87fvUl+US+uFuKHbux7LyUsKcafPOrymDhfiHMdxHKd96FeV5z67eUkh7rApx9XUhZNr&#10;5MZ9km+3hm+/2hS++evmCrs+v/16c/W+md9xHMdx+jlaiBsweOijXY/nhq+dO3fO5gZ8jhD3+Wfb&#10;w0cb14U1zz4eHpt7abhx4kHhxnEDo0IcgBSHz+tH71fJ/7PwzMI5lTo21NVdFj/4wQ+q+0OQfxYs&#10;WLD7PoQg/A6prLcIcbliSicJcY5NOyUkx7HgeusLQlx/+xuon8X7DDlwWmX85V9z5z78KDfoRx8+&#10;tabR4WOPqdvE7zQguUAWkTINRBaIXfKUKQ3SmD8mtcSQJ1pZQJSB+FTUPvLIejAOSFvoD35Hmi4H&#10;iQdpFKv0CV/4OSX6EIg46CfLsW2kUTS06mEaPnUaSZUnHEdRXUXo8UMck3FnLEHuPGNNUUQjaAP9&#10;jAlZpJWyFphn1JGKEddQ0by3uuasNFLUh5w6ILVhXcr5BIgn+l0kNDJWwBLRUD/7ic/U9xMgP/qt&#10;5xO/4z7SrXKgKB6kKC7yJMxG/045PUt3CHGTjj+4bhO/jmvHhTuWHRVeXD09bNh8dtjy4Tlh87Zf&#10;hw8+Ojd8+OmssO2TWZV7vw6btp4dNn5wdtjwwTlhzftnhhcq+Vc9eny4/Y6jqq9bNetuEkpZRdcb&#10;f37QLO80jwtx46vSJa7ecErew6v+WO0LLvxs5elkeLVDmIJkhwvSnZXel+kt64aXC3F/u1JC3LhJ&#10;o+o27x3HcRzHKYeWhbhvt27nxnwrQtw3f90Y/vLpmrDzwzfDjm1/Dl98/Hb46vP3wzdfba7LW2mz&#10;7p7jOI7j9DfaJcTNmb+gpt4hw0fXbdJ//tmnYdObr4fX7l8WVl52drj+0J+EJeMGVV+LqkU4CaS4&#10;ar7x+4fH/uOisPG1l8P2Tz4OO3fsqGujFe64447de0P42crTm8gVU1yI63zaKSE5jgXXmwtxnYd8&#10;Fu/ChTinHwG5qbI8q0Bqs/I4juN0KtNP+2PN8xY0I8TJDfpGhLh588eH6xYcGm646RdhxcPHVV+R&#10;+s1/XRq+/X+XhY+3n18V4SDFbf14lxiHezv/+pvw128vqQpy76w5PTz7wtTqSXELF5X7+tSYlHXT&#10;zSdVJTieKoXr6acX1eRxWsOFuN4F1jevvrjWebVDmEKdvKz0vkxvWTe8+qIQh+erfN4OGDJsXddj&#10;OXlt3DbzUW7Mn3TaoTV1uBDnOE6nMXDwP1X/95qLLxtqpjtOb0K/qjz32c1LCnEjJhxRU9fvr7i8&#10;bvNe8u3XW8JXX64PX37ydvhk3Qth6xuPhU2rHwobX34obH51Vfjw7afCZ5tfCX/d8b5Z3nEcx3H6&#10;M/pV5QMGD1vW9Xhu+Nq5c+dCbsDnCHGfffxxWPfyc+H5WxaE+2ZNC4sm/CTcCNFtdFqIu27Uj8MN&#10;YweGhZW8951/Snj9wbvC5rdeD5999FFdG63QLhmjXeSKKS7EdT7tlJAcx4LrzYW4zuKDrdtqnsWg&#10;8m/1iZXxl3/Nnfvwam7QuxDn9BZ4mhdOqbPSHcdxOhlLiPvhwBF77Hoy519yg37fAw+qqS95Qty1&#10;EMyODA+sODY888LJ4b31Z4XPv7wo7PzrRVUZbuvHu4S4XVLcrpPiPt1xQSXPhdUT5N5674zw/EvT&#10;wj33TQ4LF7bnhLiYlCVlD7w+1crjNIcLcb0LF+Kax4W4XZcLce2hHULcUSeOrdu8dxzH6a089dyJ&#10;u/+H3+uXjDPzOE5volUhTm7M5wpxEOH++vna8PF7z4Z3H7k1vHz73PDCDb8Pzy64LDw174Iqf5p3&#10;YXjm2kvCK3dcHTa+8GD4bMsr4a871/npcI7jOI7TRbuEuEtmz6mpd/j4I+s26j/79JOw7uXnw4u3&#10;XR/uP++UsOjQn4TFYwaGBaMKTogbvW+4ceygcN3o/cJdpx8Tnrnh6vDuM4+HT7ZuqWujFaSMkSt6&#10;jBo1qpr/Rz/6kZlOJk+eXM2H/Lx3+eW7DjHhPbTJ+gBe36plFFkuhcyvZRCcfof+Mi9+zjkRj/3D&#10;62RlWfRx/fr1ZhnAV82yDMaFeOA1tDovxy/jRNAG2tJ9L2rfAn1CG7IugH4ivlYZwP4xD+rR/UnF&#10;EmOeMWNGtR0ZR8bkqaeeMsvFJCTWgTplfg1fBSzH1mg82ZYVH4wL/Wc7AGOUrx3OAe2ifpSVdaFt&#10;xL5onbJ8zpgQa9aN31E328Sn1RbuoR9y7lA/4m+tZ9JofHpDPJkXsZP3Y2sxF46NMcQnfkdf0Rbr&#10;1uWaGYucJws5tlZi1ZvoMSEOApxsFIIc0xynu8CrKitLswpeCWnlcRzH6WS6Q4jDK91kuuau5ZOq&#10;Mtyb75xefV3qh5+eVz0JbpcIh9em1oL0jz47L2zEa1PXnRlefvWUqlC3YNGhZv3NkiNl8XJxq1xc&#10;iOtduBDXPC7E7bpciGsPhx89ouZ5my3EbT1rNTfmXYhrL788+d+qp1c1e3LV9773d9V/i3biyVfo&#10;M/qOMUBasvK89tYp4RcT9949TnwiZlbeTgLjGj7iX6pzf+fyI8w83cHcqw+u9gExttJzwDgwN//n&#10;h//dTO9p5Dqz0p3+yYpVk3evXfA/9/x+9ftg5e1u9KvKu0OI++uOteHj958Lf37g+nD/rBPDkqOG&#10;hRuPOCDcdNRBYcnEYbt/v/6wn4SlvxwXnrnmkvD+03dXT4uDTGfV6TiO4zj9Df2q8n0GD13Y9Xhu&#10;+NrZoBC3/dPPwtb33wvvPPFwePSPF4brDz8wLBk3OCwsOCEOQhxOiFtQyXfnKRPDE/N+H9565MHw&#10;0ZZNdW20AgUZAMlFCzQWEChYJiYzoR7mkeIS5Q8IGLjPPBrIIrI+2WYMmR/14x4+UZfOS1KyTap/&#10;IBavVHvoj84v+yrvo24pOWm0tJMiJ35W3wD7h3jwZ4tYLIsEHWBJRjEJCaIO7qFemV8CkYdlKfU0&#10;E89YGtZ9alyNSFMcT4rYXBeNSa9RGVPMl8wLZDsoV9Q3xMCa90bj01viGUuXcWukLwDrLzY23Jf9&#10;1WWbGUsqjkDmbyVWvYk1762teRaDtglxc+asXMcNehfinN7AyJFTdn9hIcdZeRzHcTqZk6ZfWvO8&#10;BY0KcQsXjthDbtDr+lJC3DXXjg8PPHhseOvd08PmDyG87Xo96t9Ohvt12PbJubtfnbrr91lh26ez&#10;qq9M3bDl7OprVlc9ekJY1E2vTJXwSuXB61VZFy/8jvtWfoDXskLe+PLLT7tKhOrPuIc0qwxopi2I&#10;KjjhTpdDe5u3vB5tb82aJ6v5Pv10Q/V39I2vkUXZu++ZVZOf7TAPPlHWEmXYF3zi95deXloXC9zT&#10;5XJg+/xdxxltpupm+YdX/bEK+4r7lnCDujBOlsPF2OoYSVAGF+NrgdhZdRetE4A1wTZwffX1F9X5&#10;kX3iHKcuWWcOiBnaQXu82HZKmpJx5/dD1oGxIM0qWwQva/70OmfMeaEPVjmZx7q4tjXNfIcB11nq&#10;QgxlGebHGBFTzAEvjhdgTWC9oh9yrXHedNybXTetrmf5PcbP/B7zsuap09FC3D5Dhq7uejQnLynE&#10;QYCTdbgQVy6VcO/GSi+CZWeeM8RM783wNZYgJoVBsmIeiZW3k8B4ORbEwcrTHeTMQREsD6z0noZr&#10;qBXpz+lbQMClZCvpye+iRAtxuc9uXCGs20NuzO//89E1dc1bMK9m455AbHv3kdvD41f8Otw4cWi4&#10;7dAh4bYJg8NN4weFJWDcoHBL5felh+1f3TC//9wTwuql88K2N58I33y12azTcRzHcfobZQpxO3bs&#10;WMZN+HMurP3f5i0hDuzYvj1sXftuePaGeeHGo34ebh4/OCwaPdAU4chuIW7MwHDn9CPDE1f/Nrz1&#10;6APh480bzTZaQUoRkCkgQEiJRoM05peym0TKNvIUKdTN+wDCDgUT5JN9sUSbXDFFi1uol/1AOSkR&#10;yf4RKZChz8yDsaNflE60RCYFQ9TBOKI86kE/ZH7Avuq62Ae0JU9qQhuQ7hoRVVAXToDCJ8rzvo65&#10;dSJUq7FE/9Ff1C3XlYwj6pBlQGyuUQ/vW/0FlBIxZt5rJp5sR6cxZui3jCfqRbxSa1ODulAG8ZDx&#10;07G1vpNybuR6k2Vxn/llTAFigbHhPvLJfkuxE99z9k1/B4CMAWg0Pr0lnkzT842yTGukL2iDccIn&#10;y+I+2mCdRJcvY23gU6eRVurvTVhCXOXf6iMrfS//kkLcgYccWdPooUedWreJ7zjt5h//8X9Xv6h7&#10;7z3ITHccx+l0LCFu11M5/7rqqnF7yg16Xd/UGXEh7trrJoSVjxwf3t94Vvjrt5eET3de0CW+kV9X&#10;xbdd7PodshyFuQ8/Oy+s23R2ePxPJ4VF1x9uttEslFJi4grkDV4QQHQ6BA4ttugLMolVTood+rKk&#10;jmbbgshSdEFOsWQU9AMX2pUiDS8pN0FWSV1a9pGxt+rmVSQJWfCC5JOKszWnsjzSpbiDC/1lPsQs&#10;R1CKjUHGwEqHoJS6MDZr3kAqpugTBadmxaYYXDOpC+OyyvJCn6QIJy/Z90bgZX235DpPxVx/v4rm&#10;Xs9rs99hULQWeCE+shzbQ3nru8B8ep1bl/y+N7NuWlnPqbjJtW7Nb6fTrBC3adtZ67gxr4U4nBjH&#10;tL4ATwjCp5XebijrNNs+yoLeJsTlxJUnd+FkJpyYptPxekuOjyfgIV9feO2lFHJ68nQ/nLaXmoOc&#10;Pvb0dygFTgFD3wB+tvI4/Q+ue6xviqD4TvbkaY2SnhDiNr+6Kjwx97yw9ORDw6LxQ8KNYwdWN8ev&#10;H/M3bhg7KNw0fnBYMHpguHPaYeHJObPCuqfvCd/8ZZNZp9M8Y8eOqK5RfFrpTt/n4ovPCf/rn/bc&#10;/QzDWvhw21tmXgtd/rhjJ1bvv/vuc+H73/9e9d6SG6+uK+f0Ls484+Tw058ODldeeVldWif8nXj8&#10;seW719s9dy8x8/Q19Mms7RLiDp18Qt1GPfnsow/D6mVLws3Hjq4+zxeN3q96ShzEN0uIu27UftVX&#10;pl57yL7h7jOPC88vuTasfe5P4dNtH5j1twJkB8oThKJMTISgwIJ8qXRIFfK+lECQpuvH7xRIIOTI&#10;NJArpsjxFNUDGUSnsw9SJpLI8lLg4fj0uFPExBXej0mHZSFjrkUg0GosU8j1oNNSc83+Yp3J+zpd&#10;xq6ZeLJ9HRfejwl5ZZGKAdpmmrVOMa+YLzknsj6rTiuftSYA1j3z6HXB+7nxaTR/s6TiCZimx1xU&#10;LoZc31Y53ONaBTo9RVGfYn9XcimqvzfRY0LckOETahp1Ic5xHMdxyqdsIe6KuePq6psxc1TdJj6p&#10;nhC34tjwJk6I2/rrsOWjXafB4ZWokN42bT0nrN0wM7y//szqaXA8IQ6nyH346azwxVcXh00fnBP+&#10;9MzUcP3i7jkhDiKVlKFiogaFGOSD9MQ8KC/FIC1pUCZBOXlSGUQfyB2W1NFsW6gTZSCjSKEF5WU5&#10;pMtyQKbjgqSEtlEP0tA28klxELFCm7gv20AfZN1acMH4ZH1S3uH9XHihTVy6r7JuGRNdnhfmBPkw&#10;dim3SREH8WMbGDfysX1cjIkktv6AFI5k/3XdVlk5b+gjy+KT6wifsoycQysmOaBfvNAvOWascxl3&#10;jE+WBfrCOLjO5ZixDnXZInihTp0m44UL/WQMZMxwyfm3yus0SbPfYTk3sflEnaxPor9n+B1zAWQ7&#10;KI+6cV/WI+OOuPA+yV03Za5n9g/tyTWFS8euLzDmCPXK1MFDH+16NCevTUKIGzdpVE0d2KhnWl+A&#10;J2T1lpOBGgV9B71NiCsjrhgT6vBXXfYcvXV95SKFPyvd6Z/w71NvlDiBflV5I0LcV19t3VNuzNfW&#10;MywsuW1xzcZ9lW+3hnceuS0sP+2osGAMhLddm+Z64xz3F43ZLywcNyjcPGVEuH/WCeHNh5aEr79Y&#10;V19nSUh5xwKiCISRl19aZZbvVDAujs9Kd/o2WNN6rQPIRVZ+Taw80lAHf/f11fvR8yfphL8TEDPZ&#10;f/xs5elraCFuwOBhsyvjb+rasWPHo9yEn37muTX1poS4HZ9/Ht548K5w5ylHVp7rkOH2DddXP+1X&#10;py4YtV/1JLnrDtkvrLjotPD2ow+Gbe+vCds/+disvwwgzuBErcowdwNZw5JtpIyjJRaIOEzTZaUg&#10;omU4khI5ciUN1pES01iPll/k2OR9DfPIMeJn3tenZsWIjZdSIeYkFquySMW8lVgWkZrPVBqkNqbp&#10;2Mj5k3PQTDxZjx5XkZBXJrE+QELDffRF3k8hY2p9rwnrBqlYyXzyfqPx6Q3xTKWl1mIKfGdQJvXd&#10;kWvZSk/BctZYUt/pXFL19yZefuW1mmfxLtokxM2du3I7N+i1EHfkMefUbOA7juM4jtM6U068oOZ5&#10;W3nIb+96LGdfUoj7w+W1J82AIiHurruPDs++OK366tMNH5wTPvz0vPDZzguq4tuGzXgl6pnhzXdO&#10;r54iByFulyy3S4jDqXKbtv46/OnZqWHxDe05IS51SQFDAtmHlxR/JBQ5IHvI+2zXktAsWmmrCPal&#10;SERBvVYcAKUUiEpWHoor8p6MPWIs04AUbSwJKYW8rLIynlbb8ooJNrJ/sTxF7aRiT0HIEseAbB/t&#10;8D7iz0tLbwR16v7I+vCzTMsB7aakJubhyW+W1CYva97keqRQlQsva65kvVineg3LsVnzKMvrNCLX&#10;gpwvCevR32GerBYTAVNrRX7PYvNSRGp8ueumlfWcWldIx5zwsua30ylDiDto3MiaOlyI612g76Av&#10;CnGUmTp1bvoCvXV95QIRDv3HWrLSnf4JT+bsretaC3G5z25cUojbvv39mnrA8vuX7t60/+7breHb&#10;rzeHz7a8GlbfcXW49bhDwuKujXN7w3zfXSfMjBlYleKW/nJ8eGXpvPDXHe/vrrNspLxTBKSQRk7Q&#10;6s10gujSF8EpXIg7JEwrvTvAGuaaxqluXNM4XStnfcfKUxr1E+LaC2NrnejWDHvv/cNqfdYpcD39&#10;dyLn+8IT4kCu0NnpdJcQN2Vq+uSpNU8/Fh667Kxw2wnjwuJfHFB9du96nv94F4f8uCq6V5/rlfvX&#10;jx4YFh92YHhs7iVh4+svh+2ffFQV66y6ywRiHEUOok+AApRYdBrKs5yWaSBWME3elzCPJXLkiik5&#10;MgjzaNlD9jEHWR6vHWRc8IlYFMlXsb5KsQvzocXDMknFK5VGmEfHsojUfKbS5Olk8gQ0QElLS0jN&#10;xJP59bikxASJK1d+bIZYH/gdTc2LJhVTSc6cg5gA2mh8ekM8U2m5cdPE6pMgjfms9BSp+nPnMEWq&#10;/t6EJcTtPfCAQZW+l3/JDfofH3BwTaMuxDmO4zhO+ZQhxM2fP2Yvbs5ffNkYVd+wcNa5aSHuttuP&#10;DKseOz68/OopVelt+xcXhh1/uagqvW3ack5Yu25meG/d306IgzC3FafEfXRu+Hj7+WH9prPDE0+d&#10;1LYT4mKXJb8QSiopySQmefBUp5hApmmlrSJSsotMi9UJMYlXTHaxYOytU6cIr0YlF14p4ZDtp8Ss&#10;mFAGpISTmkOZT6exD3pecUoXL3lfw0vGHSIZr0bWQa7YFEO2i/5beYDMp9vhFZu3VvrIy1pLcp3H&#10;5jI2VyD1HSKtfIdTbct0a2xMy/1bY5GKe86ctLKeZdnYusK4eDX6t6ITaFqI2zpzOzfmtRB3/m8n&#10;1m3edzIuxLWHMuLa6XPTF+it6ysH+cpdvA7TyuP0T3r7um5FiPvmm817cVN+0+Y3auoBNULc1x+E&#10;ndveDBtfejD86eoLwpKJw6qvVosJcQCb5vjEK1RvnDg0vLD492Hnh2/urrNspBCnZQqIPZCEKIUA&#10;SBe4L/N1Ii7E9QzyNCsrvTuQa76Zkw9bLe+0BmPfHaeh9fTfid7wfemNlCnE7dy5czU34SHAyXoh&#10;yDHN4oM1b4bXH1gWHr/y0rDs1KPDDb8YWn2G3zhuYFhSAQL8jTjxdfzgys8Dw/UTfhKW/WpSeP7W&#10;heGjDevMOtsJRCPKXUCLIJRYkEdKXxBacN867SlH/mAeS+QoU+hhHi17yFOvctBiFWQeGTeAOmP9&#10;TfVVyoUA9SLuEO903hxQH+ZFnwRIrD6k+keYJybOoL/oN/NZ6PgUzXVMCGPsrRPQGo0n81nj0usE&#10;MUWbuafPSVAGZTEWvXaI7gPvo//yfoqimBLm0bKrJlVfo/Hp6XiCWFpu3DSx+iRIYz4rvdmx8Lum&#10;vx+aZuvvTfSYEKcbxYa9THccx3Ecp3UgnMvn7YAhw9Z1PZazryIhbtaFo+s28SU33Hh4WH73pPDk&#10;UyeFNe+fET7deX74/MsLwwcfnVtl87Zf72aXEDerKsVt+fDc6glyf377tPDwquPDokWHmvU3iyWa&#10;QPCSElNMzmHZ3EvKIlLygBCWEohAK20VkZJ5ckQfOZZG2rVir2GeRiUXXqlyqbHxSpXP6T+A3MNL&#10;C2qxOmTfci7ZT4pXuGSdReSITSlS8ZQgBry0QMkrFXdejfaRl1V3Tt+Zx5rvnPKc69xLjo9/jyx5&#10;FDJYzglxVr9zSa2NVBqR8cm55BzlxBbwkmX7CiPGD6953g4YPGxZ16M5ecmN+cHDa+v43dxJNRv3&#10;nQpew1kZahRLlHjtrVOqJ03xdCGAevDavblXH1yXPweURT2pV/ehbtkmfobsgzTeS4kddy4/olq/&#10;HDPqQBmMySrDfl182dDq76k+SIriaqFfiVpUx4pVk3f3D/2QZTW/mLh3NV8qvhLUjfyU8BAf1MGT&#10;xjjfyKfLAsRLtocYczzoqxSzeJ8xtkCMUZeMCerBOkxJXsyPfgLKhbgv1wr7i/u8xxg0SirGzaxB&#10;oMvhE7/jvpVfwrlPrRHWizGjH+iPnGvUIePM/iCddVvfA00z40e7mGfMnSyH/qFfsTUIUFauW4B6&#10;rL9Tcr51GrHWiU7D+PB7as0DxhlpbBf5i+a1kTFZFK1ra2zt/v7FOOrE2hPVmxXi3nr7+Zp6wCOP&#10;37970/7brzaHj9c+H9566Kaw6renhcW/+GlYMm5Q9bWoWoSTYEO9mm/8kPDEf1T+7f32k+HrL9aH&#10;7775YHfdZZES4iQ8qQjgRCUrTyfhQlzP0BsEH0ierfSh1fJOazD2LsT1X/b/+eia527lGT6rEqOm&#10;rp1CiMMrUmW951x4ad1GveSzTz4KW9e+G95cdX949D9+E5b96qiwZOJB1ZPiqq9EP+TH1ef94rED&#10;K8/zfw9Lpx8ZHvnjheHtxx5q66tSU8hTtbQcA/GLaTylC3KFvicpkj8A81giR66YkiODMI+WPSj0&#10;AXm/ESiZaPEM93Teor5SJpOyCn5uRMzBXMUkOInVh6L+AeaxxBn0XbYRQ4+naK4RS6ZTaJPrNSa5&#10;NRJPpseEIJTRIhdEvVjbFviexEQkie5D7H6KopgS5mlFiGN6I/FpNL9Fs/EEsbSiccaI1SdBGvPp&#10;tFbGkvO9baX+3sQTTz1T8ywGAwYO26vS9/IvuUGvG51+2h9rNvAdx3Ecx2mdMoS4q64ZN4ib85Df&#10;ZH0gJcTNmz8+LFw4Idx0yy/CvQ9MCc+9eHJ4573Tw8YPzq6+MhViHF6f+umOC6qnweF1qThB7ouv&#10;flPJc054461Tw1NPTw3Llk8KC7tBiCNSirNED5y4lHtBWNGveJQnZeFCHshM1qsgW20LYAwYE6Sa&#10;2KXL5MgoMk8jJ1DliDrM06jkwitVLjU2XqnyvBBTK52khKFYDOTay7mkUMk6UyfvWaT6mQPbtU7c&#10;0/DS8eWVE/dG+8jLqju1Fgjz6LmSabh0GmnlOyznBmuDafjkaZO4rO99bI1ZoDz+BrGMdem456yb&#10;VtZzTmwBL2t+O50yhDhZHvRXIQ5iRFEZSA8puceCogQ+U+kWFH5ATLKAuCHLaCB3WH1muxRydDmi&#10;ZZSiGMVopA4IJpRw+LssTzAu5sE4rDwaCDnIjzHj51hfcN+SdzAPSEd5OT9EluE9a+7QdyleWaAP&#10;MRmIeRAnPQb0jfnYX8B7ReJQDFmvpNk1iLFZ+YnOr+G4EQMrHbAuK04E99E/GStN7PsHmh1/rD8S&#10;aw1i/lJldRn8zjR5X2KtE52Ws+bRNym0WcSkvUbGZFG0rlE/83bX9y9GvRCX9+zGVSTEPf/iY7s3&#10;7b/+cmPY8sZjYfXSeeHBC38ZFh/20+ppMYtGp4U4vGoNJ8ktqPDABb8Mbz50U/hk7XPhqy/W7a67&#10;LHKFOCDljE5/FaQLcT1DbxB8Wu2DS0o9C2OPebDSy8SFuN5JyULcOm7CDx9/ZE29RULczh07wmef&#10;fBy2vPNm+PPD94Vnb7g6PHrFb8L9F/wq3HXa5LD05F+EOyrc+atJlf8GmBGeWnBFeOOhe8Lmt98I&#10;n+9o/6tSY1SGXcUSK3hKF0+Dg2CB3yFZ6LwgJX8Q5rHayxVTcmQQ5tGyR04fGwH9ZJyA7ndOX4kU&#10;WPAJ8c7Kp2EbKIPxacEo1Yec/jGPjqWcL+TRp+ml5jOVBqR8SdGQMpV1OqFFUTxZvx6XBuXkuknF&#10;SoJybB/CIvqT2wcKjrltgaKYEq7XorotKdGi0fj0RDxTablx08Tqk8hxyvutjgUxQ1osdq3W35vo&#10;NiFu9uxH9+Dm/KWXLa1r1IU4x3EcxymfQ486teZ52w4h7g+Xj63bxJdAirvmuvHhxpt+URXbHnns&#10;+Kro9vFns8J/ht9W5TdIcJ/tvLD6+e3/uyyE8PuwfsvZ4cmnfxnuuPOosOj6w6qvX7Xqb5aULCJP&#10;XrJencm0HNEkBgUU1oULP2uxpJW2MI6U4CIvXbYRUQiXlR4jFXvCPI1KLrxS5VL95pUqz6sdQpyU&#10;nOT9HHLiapHqZw5s14W42jTS6ne4SKiDYGuVzV0P8mTB1KXjnrNuWlnPObEFvKz57XSGjipfiFt8&#10;2/E1G/edDuSEypCTkoKUMSBzyBOhkCbFCfwsyxaRal9KKBBNKM1A/pCnKwFLyJHSGNJ5ohHqgcjB&#10;MVlts18E42J53b51UlJqXCQl2YBUHRgDy8ZkNylUpU5zklAOYmwovTD2Mm745H0ixwSwXlAG9co5&#10;AMxjzZ0UizC+2NwBrEFdnmkE9aEPKAuYr2gOmGb1kaTmqZU1yDT0XZdDXHV+CfKwXT1HEuYh6CPy&#10;AzkH7AvWPeKIsoi7/B5Y7bQ6fvQBf29k3bIc2pdlAP8eIU2uDdSDdth/wjUP5H1Jap3INBBb8xgD&#10;ZTj0LfV3VPex0TEVwXbQPyu9u75/MVoR4r77busgbspDfpP1AEhyTP/6L5vCtjefDK8uvzasuOjk&#10;sPjwA8LiMYPCglEFJ8SN3jfcMHZQuG70fmH5GUeHl276j7DxxQfDXz5ds7vusmhEiPtw21vVV6Yi&#10;b+qUOMhyFEkIfrckurFjRxTWB5jPElPQb6Szb6wPMgn6rPODHNEFr8M87tiJ4X/9056768XPuJeK&#10;FfvKPPq1s+ybLkdYHqfy4XfEDWVYHumyfbzCFn3i+NHHHFmombjxpECUw++sg+Vjbcs8Fql5iIG4&#10;Wv0/84yTzdf6FvWB8Y5RVN5CrnmWRx9lvRrms2LCubbWZCuvMkY/5fhy6mw0/gDfKeRDGfzO8bAO&#10;fOJ3vf5YLoX8Tuh20FfGDJ/4nXk5bnzyHtF/J1BOfhfxs/V3jXBcsm8SOS78zPtyLhpB1qHB+pZ/&#10;hwB+x/3Y913HMXe+2o1+7rZLiLtk9py6jXrNjh2fV097+3TrB2Hr+2vC+ldeCG89/lB44ZaF1Vep&#10;Pn7VZeGFWxeGN1beEza8vjp8tHlj2P7Zp2Zd3UVl2FWs06KkEAOZghJG7GSpmPwhYR5L5MgVU4pk&#10;EMA8WvaAGMI2tMDVLIgN69Tt5fRVIk9By5FzZNvWCXUg1Yec/jGPHhtPh4N4I++T1HzmzDVP84PA&#10;JQUfzKGV3yIVT97X44ohT8Oz0jWybZziZ+Vhuu4Dxx6LrUVOTEFu3cwHocpK1zQan+6MZyotN26a&#10;HGkxNsZWx1L0vW21/t5EtwlxV131wJ7cnLeEuNPPurpmA99xHMdxnNbRQtw+Q4au7no0Z19SiJsx&#10;c5Sqr1iIkyxYNCHcvvSo8OQzvwzvrTujegrcxi1nV0+M21D5ef0W/H5O9VWpr/351HDv/ceEaxdM&#10;MOtqlSJZRJ5spE9fyhVNcoHQQmkGn/K0tVbakkIJxqNf25kSTnJkFHnSXSOSUs6YmKdRyYVXqlxq&#10;bLxS5XnSXtGcyFem5q6hnLjHkGvWSo+RIzalyH1Vq3xlqpa4eKXizqvRPvKy6s6JN/NY851TPjbX&#10;OTC2mFsg/05ANkvFIqddOffIp1/hnFobqTSSE58YuWV5Ib+V3sloIW6fwUMXdj2ao9e6defuwU35&#10;l1/X/w3QP4U45oEEYUkvQMoclCdyiLWPdlKyDNKltGGJHSwPKUenASnCaKmD/QJoR6YBWdYSPGLj&#10;kqQkG1BUB2OOcabSLWkohhwX6rVkFyk56bHLMaXWC2A+PXeyDzFhB/1iHmt+mJaqAxTNQU4dqXlq&#10;dg3K+6kYxuDc49NKJ2wDWOuYAhfAOtJ9KfoetPIdTJGaN96XwlkK2QcrHaTak2mpNc/vDWIay8O1&#10;pOeN9eeOqQjWZ61rGY/Yui/r+xdj3CT17+WMZzcvKcTh9ag19VTYtPmN3Zv23369JezY+uew4YUH&#10;whNXnh9u+MWB4aZxgwtPiNslxOGVa/uFZb86Ijxz7SVh7VPLwxefvLO77rKAqFEZVpWYtCGB/MD8&#10;WoLA71q40KC8LEPBCsRkDtTLPJBtZBp+Z5oFhBVL1tCiiwZSl65Lo/tCWDfkGRkvjSXgyPKoX8o3&#10;GswX2qCcoomNDTQbN8YFdafq0PNcJPik+qpBv4rqQ0y0qFRUph1CnJQDW13rGE9srgHSUkJUjNQa&#10;tepsNv5A/r1JjUevP4pZKeTfL92OzAfkvPD7Zq1BmZaKk17vhOmxv62ynzJPM2sNWO0gdqm/IwCS&#10;oLV2dBxz56vd6OfuPkMOnFbpR1PXTiHEDRle+38unzM/X8Ihn3/+efhw4/qw9sWnwxsP3V0FP299&#10;752616Tu2LGj5vcygLCRkh2QVhl2FUsykrKVFDsgW+i8QNZnpQPmsUQOiBtFbYAiGQQwjx6/HFOq&#10;fKOwTt1eTl8ljco5MmaxOUyJOzn9Yx49tiJhSgqVeiw545RSj1x/GJOV3yLVDu/rccXg2gVWuqbo&#10;hDU5d7oPUtyMiY4QU2VaTkxBTt2pvsVoND7dGU8QS8uNm0a+/hVt63QZZyDTWh2LlEV1Gmi1/t7E&#10;AytX1TyLwb8OPGDPSt/LvaQQd8FFN9c16kKc4ziO45RPGULcvHljR3Jz3hLirpg7rm4TP8WixYeF&#10;u+6eFB574oTw/Isnh9Wv/yq8+ucZVQHu5Vd/FZ557uSw6vETwt33Tgk3LDm8esKcVU+rFMkiUvaA&#10;2CTTpHjUyKtCU0BE4SXlklbaorhlnXIHUsJJjowiBScdoxQ5og7zNCq58IJIZKUDxsV6tSivVLs8&#10;9QpSkpVOmM86OS0WAykZajmpCCngYW6sPBY5YlOK3HZTgiCvVNx5NdpHXlbdOeuceaz1mlO+le8w&#10;Bbhm5iW2xiQU7mJrObU2UmmklfWcI9winrxSa6dTaUqI23r6ntyUt4S4pffmy16dQJF0BbkN6SB2&#10;EhmQ+RoRIGLtQ/xgfTEJBFJJrE1ZXt7XMI8WdtivlEzGstZ4i+IKUI51WOlFdaRiJGMTk5EspAwT&#10;iztgHi3DyDEVCU7Mp+MnRceYOARkPp3G+0VCWNEcMM2aYxKbp1bWoBSOGpk/IOe+6DQu5ot9t2V8&#10;YnPBdB2jVr+DKeQ6xc8yjRJe0dyTMoW41JrH3xLkSa0l1oUxyPuNjqkI9tfqS3d+/2K0JMR9vWUk&#10;N+WX31//fyaXQhz47psPqlLcy7dfGZZMGt4lxA00RTiyW4gbMzAsm7FLiHv/T3eFL3uBECdFMZ2f&#10;EgdlGAoSOFVIlpMySkoAIlJokSdPScEIdTINdUp5o0h00WmyPaRLUUSfEGVJVKyb7SMurAN9lLKL&#10;jIUuT5CfY5NjZv2MN9KRT4o78iQs0krc5DwCxILrQI+NfYqV12m5yPFhzcT6DyzJp9U+5JRnOvLy&#10;XitrHePgfbmegFyTGDvaYVoRciyIK9uUc4lPWaaV+Mu/N0CuXZTX/ZFlCdNlbDVWO8iP+1j/8m8X&#10;v2/Were+i7HvsvW3gGmyPYnsp5VHxkOnkVQdiKlcG+gj1wf6L+uHFKfXjqybdTQ6X+1AP3dbFOK2&#10;cxNe17toyS11G/U54AS4j7Zsqkpw295/N3yyeVP47OOP6vK1Q4irDKkKhCUIRZA9AEQNSk4gJlUA&#10;iheyLisfgFjBfFY6YJ6YgMXyPBUMaNGrFYkLSLkK+aR8h/bwO2QXfYIW8uK+zA/ZJCXGxPqKutEP&#10;mR8/83WWjZwMhrwog7IUehg3pll9ALH+SZhHx1JKN0ijqIZx6HWjRSP8HkuTyP4DxDqWr9F4sk45&#10;LvQFaxxjkyIR5px9wdh4PwXaZxsow/rwye8B0bFFLCkyol30h/FFH605yY0pYFxYB/um1w36wHZB&#10;o/HpLfEEsbRG4iZBuywnv3tWf4As2+pYZB7+fUSd7EOr9fcmekSIO2fWwrpGcU9u4DuO4ziO0zqj&#10;D5+qnrmNC3Hz54+byM35qTMOVvUNq9vALwKC2+IbDg+33T4x3HPf0WHlquPCY0+cGB57/KTw0MPH&#10;h2XLjw433Hh4uPa69pwMR3JkEb6qUAtNUl4rS8KIySWttEWZBkKOlZ56nWGO6ANkjCzZB4KUjl9O&#10;7Jmn0THLS59CBmScrbp5pdqVok5MBMS4eVl1xWIgBZ9UfCwgmfGKSZDou06TfW1UWgI57WJcXCvW&#10;uHil4s4rJkfF4GXVjXu8dBphHqvfUvKLyW5lfYdj9ceIrTFJStoEcnw67jnrpp3rGXVTbsXVaGw7&#10;gSHDf1bzvB0weNjsrkdz9JJC3BPPnlJTHvQ3IS4lnmiakTZi7acEFAnzaLFDls9Bly+KC2AeSyrJ&#10;KV80xpw6GHMtpkGEYt0pqUWTO9+xvhWNScJ8zcQeQKBiHVpEitWtKepvTj05schBt0GBimm5Jy8y&#10;LlgbRXMfa5vIMVjpIFaHLJtDrA8WqXUKuY9p+FtUJGbKuqx0kIpDTowA8+QiyzY6piJYlxXz7vz+&#10;xTho3MjaZ2+JQtz27e/Xbd5//cWG8MZ914fbjx8dbhgzKFw/ZmBYOHq/6glwlhB33aj9wo14Zeoh&#10;+4Z7zzo2vHLHvLDl1UfCXz9/r67uVikSMjSx/FLY0RIMoTwBqULep1QCIUPe1+kQO+R91IP7logC&#10;ZF91n2ISDCQP1msJMswjX7+o06VEY0kirZaXQhL6qscmx2CVbyVuUoDBfKAtmV7Udo7gk0L2DXVZ&#10;eeRabEcfcsozXfex2bXO+/iU94mMe2xeNSiD/Kl6UZeMYavxl+WttQu4/mMxYvlY+0C2A/C7lQ+w&#10;Pev73up3mWVj7ct+Wnly1lqqDlk+1gfMMfNQdiOy7mbnq2zwjNXP3QFDhk2s9KGpa2eXEPfB1m11&#10;9d5+1z3mZn1vRosPFhA5pPCigbgi80M6svIB2Z6VDpgnJmBJWU0i87QicREpscWAyCPLsM4YVmxi&#10;fdVlNVK6KwJCjFUHofxkxSvWPwnz6Fhi3UixSiPTtGiUKyHp9RCLi8xjYZVjmhyX7JcFJC7KRTmk&#10;1hnqovRmrVNITZTGLPR3NzemAHWn5g6gb8gnyzUan94UT+bTaY3ETZP67iG+UhrVZVsZC2JmrQ2Z&#10;t5X6exN49urncVuEuDlzVuzFzXlLiMOpcXID33Ecx3Gc1tFC3IDBQx/tejRnX2ULceCaayeERQsn&#10;hBtv+kW49baJ4falR4bb7pgYbr7lyLAYMlwl3SpXJjmyiJRltAwiRQzIKpBDmAaRA+IR6tYiBwQX&#10;nMok8+Nn1med1NRsW5RdUKeUwyCvyDpxyXIgRxQCUphBH9g3yCqog0KPLJMTe+ZpVHLRF8pTJMK4&#10;2R98WoIRr6J2tYiDecB91IlYs52YKJiKgXwFKdKlbIS68DvWAdqQ5QDnHBfqYb/wiTK4rDZ5YVxo&#10;g+PQ+WLIPqMPco3q9SbTCK9U3Hn1JiFOCpaIL+4h1nLOQLPfYRlXfSE/wHew0TVG5PcX42Q96J9c&#10;S7isuPNKrZtW1jPXLC7ZP72mcFnz2+m0KsQ98IiW4odV78mN+06nSH6QskeRkJMrUkhiZRqVTLR4&#10;IU8vykGfhpYzFuZpViopGmNOHRRltPwEaQb3Gz2hqTcIcbyvJT9Nqq+8b82NpKi/OfXEYtHqGsR8&#10;SikOoI2iU99Ypih+gPXGxlcUHxCro9XxA/zNwRpnjC2sdarbxmtKIXBZgqBcRzqNpOKQEyN5gmYO&#10;1smUjYypCNZhzTvTitZPGd+/GFqIy3l28/rmm60TuTG/5LbFNfUAuXG/m28r/y346O1h+WkTqxLc&#10;wtH7hkVj8GkLcQtG7RduHj84XHfIfmHlpTPC+mfuCTs+eD18+9dNdv0tkJIpLGL5cVIU7llSCZFl&#10;pVghT8XSwoWUdqTog1OxeF/m11hlQUyCkX2xTlcjMp+OG+vWUpNEiio8YYsUlZdxjPUxNr5W4yb7&#10;jbmRaSTWNsgRfFJASipqH8h8Oq3VPuSUZzryyvvNrHV5X681CeMek9s0qb7EaDX+OWu3KL5M07GV&#10;yHb0Gtak1ivTmv0u835s3mQ/rTw5ay1VB2W9VP8B8+kYyLqbna+yaYMQV92AX/Pe2rp6O1GIAxAn&#10;IBVJ+QUyBE4N4slCRUjxQgsyEsofyG+lA+ZJnQoFQYOyBvsq0/F7UR3Mg/asdAD5Bfnk+NAuBDCU&#10;06JgKpYxUSvWV7QNYYXjZNu4l4pxDI5F9gt1oc+pmMf6J2EeK5aIkZwvgPhwbTG2ekz4nflT45X5&#10;UJeVBzQTT/ZNjwt9x5iZDjAmzH1KHo2B+uSaQb8QM9SVii3A/OlxoS5rfebGlKA86qHwSGLrnzQa&#10;n94Sz9h8Nxo3jf7uyf5g/nAPbVtlW1kb6KtsF/Xov0Ot1N9bsIS4Hw4csUel7+VeUojD61F1o5de&#10;trRuE99xHMdxnNYoW4g7bmqtEIfNerl53yztei1qihxZBKIKL8ouBGKGFjKsS5crurRIA5ptC1IL&#10;xSzrknXKciBHFCJSWrEuLcjkxJ55GpVceEHmiY0d9604y/JF7SK2RXMCGQ75rPJFMSiKKS7rVK+i&#10;tYKxW32KiVc6Xwy0qwUqfaHtmGTHKxV3Xr1JiANWvHXeZr/DKJf6DvNCHsqPpGiNgaJ+yTQr7rnr&#10;pl3rGXPDcabWTqfSjBC3efPMvbgpbwlxODVObtx3OjGZh0jZo5OEOAphReVj5IyFeSzpI6d80Rhz&#10;6sDJTKyDohQEGX0vl5TkIon1LXfeAPPp+PF+dwg5Rf3NqScWi1bXIMEcsg0SEx2leGUJZhrmjY2v&#10;KD4gVker45enoqWIrVPc1xIZRDP9d0yuI3lfkopDTozk9zQW6xxyx1REqi9M6wtC3LwF82rqAXLj&#10;XrL55ZXh8f84J9w57dBw45FDq2LcglE/rgABDiLcj6uC3K6T4/YN14/Zr5JvWHhq3kXhk/eeDd/8&#10;ZWP47tutZt2tUCRkaKRQJfNTHMlFloVYw9Ot9KskpbQjBRwpYeSg5ZmYBJMrd0AgYr5c2U6SintR&#10;+VRZEquj1bjlxId5rP7nxjdGUWwI5oTtaNmr1T7klGc68sr7zax1Od85FMWGUGIFVrpFq/HPWbsy&#10;j5XONB1bSU47JDWmnPGm2ordJ0X9zFlrOe2nYgV4AiHWprxf1D+dx0ovG7yWXD932yXE4bVtcpO+&#10;P0FhBmKFle447QLiDkUmCFRWHsdx+i7dJsRdccXKQdycn37aH+sadSHOcRzHccqnDCHu6vljp3Fz&#10;/vCjR9TUV5YQ1xNQ3tEnMmkoW8ReKciTneQFgQP1WvIPpBLIIaiPF37GvZg8RRptC/BkMCnVID/6&#10;gfZwIU2X48lRVpqF7hvKoV1LosmJPfOgH1Z6DF6QYyDTyLGzT1ockjBvTruoH/n0nOB33Ee6VQ6w&#10;DD6tdIDYIQ7sEy6slaL6cR/jlyIRykFeSo0dZbgu0WZqfmJgHeg+ox9FbefEnXmKvieaVN24hwt5&#10;dBphnlg89DpDDGNyVqPfYc4hPvV8Iw7oG9vV/cPv1n0N1wvnHhfaY3+K4p67blpdz7J/qId/WxB7&#10;XNb8djr7HnhQzTO3USFu8W3H15QHL79+at3mfScTk3kIpBqkAy09aGKv70wRaz9HMgHMo8WL3PIx&#10;iuICmMeSPnLKF/Uxpw7AE8EoSfF1qZgPnbeIlOQiifWtkbgzn44fx1M0bvnKRi0ExerWFPU3p54y&#10;YpEDxiglM6tPbDN37lN1gZwxxOrIKRtDrkPEVct9uesUQBCVfdHzJOuS9yWpseSOk3l0nJqhaExF&#10;pPrSnd+/GIOHD6957jYixH377ZZp3JjXQtyICUfUbd6T7VteCWsfvzM8e92l4e4zJu+S4kbtG24c&#10;NygsqbB4zH7Vz1smDK78PDBcf9hPwvLTJ4VX77om7PzoTbPOMsgRHiRS0JD5ecJQDpAu9ElKPFFK&#10;CxmxV0XKE6hy0KcbxUQX3s95/R/r1rJJqxJNUfmcOYvV0WrccgQd5rH6n1M+BctiHFY6ScWo1T7k&#10;lGc68uq0Rte6FOVy0KJdDK6RotPDJGyj2fin5sXKY6UzzYotyWmHxL4rRWkk1VbsPinqZ85ai9Uh&#10;72MNyTKaWDtF/dN5rPSysYS4fYYMHVlpv+Fr+/bte3AD/uVXXqurt78KcTzhCOC0ISuP47QLrDmu&#10;P6xFK4/jOH2XRUtuqXset12IO2n6pXWNys17x3Ecx3HKYfjYY2qet2ULcUNHDa/bwHecnoRXTEjq&#10;LeQIcU7/BqcY8orJYoCntPla6nvUC3FDZ3U9mqPXpq1nDeKmvAtxtScbQYCw8gDrpLIcYu1T6gIx&#10;4UWehKbFC1k+56QsTVFcAPNY0kdOeSm0WOk5dQAppiAmLNeImEikHBSLm4w7TvGSaUVjkjCfjh+l&#10;ryKpi/nw6kidFqtbU9TfnHpi89TqGoyREpYQC6TpeYnB/sXGVxQfEKujlfHLVwFb6Y0IcUSeOCfv&#10;59QVKwtyYgQ4N5g/K70ZUv1KwTLWvHfn9y9GWULceRdfVFNPSoj7+suN4fOtb4T1z94bnpn/m6rs&#10;dvPkEWHR+MG7TokbM7D6ulScELf48J+Eu049KvzpqgvCukr+r/+y0ayzDHKEBwmlHSDv89SrlDiS&#10;Qp48RwkLp2TxnhY6Yv3IJSa68H5fFeJajVuOoMM8Vv9zyqdg2U4W4hpd6/K0tdh8N0PROrNgP1yI&#10;+xuptmL3SVE/c9ZarA5534U4+5JC3BNPPVNXL+7JTfr+Al7XWAlPFZzWZeVxnHbBV4X66YSO0z+x&#10;hDg8s0u/XIhzHMdxnO6nXogbtqzr0Zx9zZs3bhY358ccUSvEjRjvQpzTu+DV24U4nvyF062sdMfB&#10;GuZlpROXK/surQpxVy2cUlMeyE37vgClhpSkQZEDn5ChrDxSoojlsYjJRDhxCPcB6pZpAG1QDAJa&#10;vJDSliUOFRHrl4R5UlJJKq5FIk1OH4AW1PhzMxKWlIMwlxAddR7Zby0QFY1Jwnw6flKkikmYRa+g&#10;TKVJivqLGCANcbXSQWyeWl2DMWLtyZhY82bB/LE4FcUHxOpoZfwp2QpICTRXiIuNRf6tseKA+rkO&#10;dFmQEyMgv5u5fS4it20Ny1jj7c7vX4x6Ia742c0rJcQdNuW4us17gted4rWnn21+Jax75t6w+s55&#10;4elrLw6rfnd6uO+c48KyGUeEO391RLj3rCnhkd+fFl685T/C2qfuCp9seKktr0olOcIDwaluzKtP&#10;scoRR4rgKXOUbXgylj5JC+SIIili/c19jaR8ZaqWTXJikYp7UfmcOYvV0Wrccsozj9X/VtvHaWax&#10;uiVSItOnEXZHDJiOvFZ6I2s9Z76bAW2zXivdotX454xF5rHSmRaLLWgkZrHvSlEaSbUVu0+K+pmz&#10;1mJ1SMkyFStAUVaLwEX903ms9LIpWYjbkxvwlhCH16jKTfr+gHxdJcQ4K4/jtIsVK1bs/nvipxM6&#10;Tv+k24S4uXMfHsnN+SknXlDT4I8POLhuAz/FnDkrw9VXrQzXzH8wLLr+7nDrbXeGO+68Ndy1/Oaw&#10;/O6bwp3Lbg233HpnuOHGuyrp94Rrr3swXHXVQ2ZdjuM4jtOXcSHO6W/w6s1CnDz5qy++5tEpB7lO&#10;5CtCCV9Byst65arT2TQjxG3ccuZIbsr3ByFOChUQIXAPsoMUNiBWMQ8ELylaIS/lFZA6Rc4iJvcA&#10;nHDGetFPCDa4j/alDMd0XV4KKKhf9ht14Xe0YZ2ElOoXYR6r7Zy4yjy8J8npA5FzAGIiURHon6wH&#10;sWH/ETMpIln9KhqThPms+GnZka9kRB/QHwpKMUkzVbckdw7QHiUzrBv5isjUPDW7BtEv5MdYOT4d&#10;f/1dY1uNzD3risWpKD4gVUez45fjRL2Mgf57A+R3Cj9j/Cgv5wjtcM2gPO8Tud4YV7Qpx0902ZwY&#10;AfSHfcAnysk+Ymxom/3n/WbHlIL9teYMdNf3L0YrQtx332ydxY35GWefXVPPsdOm123eS6pS3F83&#10;h692rg87P3orfPL+c2HDiw+E1+9ZEJ697pLw3KLLwmt3Xxfef3p5+Pj958NfPl8bvvl6i1lXWeQI&#10;D0SeLqYlMCnXQMSQablQRqMUxPas06goEAH9Ws8cYqKLFHkgvck0SUq4Yt2pV1FK8U7Hq0jCyZmz&#10;WB2txi1H0GEeq/855VNwTVjimCQm+IBW+5BTnunIa6U3staliJr7OtQccte6pNX456xdmcdKZ1os&#10;tiCnHZL6vjGt2e8y78f6Kk8LtPqZs9ZSY8U84T7mQ97XMJ9efzlxlHms9LJ56+3na567u2hdiLv9&#10;rnvq6u2PQtwdd9xRnUtIcZCTrDyO0y5mzJhRXX84Jc5PJ3Sc/km3CXFz5qyYyM35I485p6bBIcMn&#10;1G3gp7jyyofCdQvuCzffcme474HF4ennrgyvvPGH8O7aSytcHF778+/D089eGVY9uiDcc9+ScOtt&#10;S8O1191fUwekOvm74ziO4/RFyhDirrlm3GxuzkOAk/VBkJOb947T0/DqjUIcT4Xj9d13Xydfhek4&#10;OEEw58JrU63yTmcjn7egUSHud3Mn1ZQ/aNzIuo37TkdKGhItMuB3nUcD+UWWySElE0G00OKbBH1i&#10;+Zh4IaW6GJZAlOoXSbWdE1cZU1mW5PSBQI5hXaCZuQBSiEvFDjGTcg4pGpOE+az4QQ5KzT1AHyip&#10;aZjHqltS1F8dVyIlrKJ5amYNyn5ZIDYyP+B6kzJVEawvFqei+ICiOpoZf9F3X6ZpIU7m0yBG1rrF&#10;OrK+rwB9Q0z5uy6bEyOSakdCCRU0O6YULBubs+76/sXoKSFOU6krfPHxO2HbW0+ENY/fGdb+aVnY&#10;9ubj1VerfvvVptr8bTolLkd4gOQhhTdLHJFiR0pUSaFPXePPlrglTz+y+lNETIJJnYJH0DZP+LLa&#10;Zt3AEpxQngJKqryVBnLmLFZHq3HLEXSYx6pfSljoi04vQq4L1GXlkevIWos5Y0iRU57pVvugkbUO&#10;eDIb1k0zcbPIWevom0xrNf45a1fmsdL53UnJgTntkNh3RaaBZr7Lqb8TiD/nFVj9zPm+pMYq/27H&#10;pEfZhi6fqtvKY6WXTclC3F7cgHchznEcx3F6njnzF9Q9j7se2+VeUog79KhTaxo88JAj6zbwU1xz&#10;zYPhjqW3hYcfXRBeePk/wtvvXRo2fHBe+PwvF4YvvvpN2LTtvMq9S8Irr18enn3hyvDwI9eFpctu&#10;rZ4WN2/+isp/jLkM5ziO4/QP8IyVz9xWhbiho2r/B/7Dj3YhzuldQDLD1RtPXpNyE072enjVH818&#10;jiPByW9YL199/UXX6tl1QbDEmvJ11HeRz9tdHDit69EcvTZsnTmRm/Ln/3ZiTfm+KMQBSA3y1CWI&#10;EBCBdD6IGZBbIEIwL37GPSmlNALbjZ1wxFOaZJvIy/Yo26QkIORFGSmioD4ITChnnXBU1C/APLG2&#10;i+JKyQb9kuUIx5bqg0SOLyaqFCHlG/ysx4C4YT6smIGiMUnY31j80AbSKJyR1LyRorpJTn8xZ1IO&#10;QvtSQGJ8UvPU6BosGrvMC6S414gcVRSnnPjkxLqZ7yDu6e8+5oGyGOvSax3pui2UgySaWjOptY40&#10;3LPikBMjCccl1xRALGJ/S5sdUwzGNDVnqBfpsTWYapf9TNWfQj53QSNC3H99t3U2N+YhwMl6IMjJ&#10;jfscvv1qc/jLZ++F7R+8HnZsfSN8+ema8M2XG8287UDKDBAj8DuBnAPphMIHgMAREzOk3AERQwoY&#10;kD8g00AMSZ1WRIFEflr5gDyZCfVKmQh9xO/oB/ovywGKLpaoIutFX+U4UKccpyWZsG5ZB8aPNOQv&#10;kmBSfQNyzqzyIHd8SG8kbjkyGPNYbcu+UzBCbGQfipDxQ1uMLfqONcb1irVjrdWcMaTIKc905LXS&#10;QSNrHfFhnciHccqxIa78rsbEJwusTdaL8owlPilT6XlsJf45a1fmsdK5tuVYER/2A+S0Q1iftV6Z&#10;Rhr9LsvvGuLJeMg4pcrLccS+L6mxIi/bwadcN0iTa9n6u5yq28pjpZeNJcTtPfCAQZX2G76kEGed&#10;SCM36B3HcRzHaT/1QtzQ7V2P7XIvKcSNPnxqTaONCnGLb7g7PPHkNWHN+5eETVsvqHBe2PLRueGj&#10;z2aFj7afH7Z8eG7YuOX8sH7zhWHdpgvC22suDc+9MDesWLk43HLrHeGaa1aY9Tq9i7//+/9W/Q/e&#10;CROmmentpN1t9+TYnO6lp+f6gAMODf/8z//X11o/Rgtx+wweurCyJhu65l0zfiE354cM/1lNfZOO&#10;P7huA99xHMdxnNaRz9tdNCbEnT7r8Jry4yaNqtu4d5zeAsUViDJWeg5aiLPyOL0PypOtzL3j9Bbk&#10;c3cXxc9uXt99t20hN+YPm3JcTT3nXXxR3eZ9b0fKDEVAmNCCiwRpUhCJQbHDQp5WBCCUWPkIpZ0U&#10;lmiUkmAwDikKWVAu0WUB60YsUvGIyVKpvoEcSaWojmbjliODMU+sbSsmsbwWWkSyQN9jYljOGFLk&#10;lGd6bI5Bo2sd603mjyHFsCKKvrNSOiOtxD9n7co8VrqUAyWyvpx2SOq7wjTMTWrMsblLxZd/Q/h7&#10;rJ9WednXorEiXpTiYqA+6297ThxlHiu9bFyIcxzHcZy+S7cJcVdc8dA0bs5rIQ6vc5Ob9zGuvOqh&#10;6qtP71x+S3jl9T+EnV/9JnwXfhs++fz8sO2TWeGDj86tgp8/+uy88PmXF4a/fHNx5d6s8M7aS8Iz&#10;z10Zlt9zU7j22trXp5bNeefdsFtCqQx9N//4j/+7en/mzHlmOacWxm3kyClmejtpd9s9OTane+np&#10;uWb7wEp3+j4uxDmO4zhOZyKft7vIEOK2zJzGTfmTTju0prwLcU5vBaeCVZbvrn+ziNctNooLcZ0H&#10;TuoqY+4dp7cgn7u7aE6IGzHhiJp6fn/F5XWb970deYKQBvchSkD2aESygeRBkYRA6oBkFpPIiD7R&#10;KKddCBmoW44DQg76AOnIEj0ovOFTpxH0VdeLcRTFg2PHJ36HFIX+sA7UGZNLQFHfIBqxrpj0VVQH&#10;aCZulLhQRqcR5om1jXoh5LFdtJkSxyxQB9rR6yzVd0IJKTWGFDnlOTb0xUoHzax15EHs5HpCWYy7&#10;0e8pQawQfyleof5Ufc3GP2ftMk8qvpC8ZH/RruxrTjsk9V1hGv9uWd9leVqbBWIh1zs+8Tv7y/ux&#10;fury+vuSM1a0hfmUMUN96H/qb3JO3cyD+qz0silZiBsU24AfPv7Iuk16x3Ecx3HaS48IcRDgZKMQ&#10;5OTmfYwFC+8Ld955S3j0iWuqp75t/2KX8Ab5bevHfxPi8POHn54XPt15Qdj5199UT497d+3F4fmX&#10;5oT77r+xKtVZ9bfKZZfdWRXeKsMtBLIc8lv1OLtgrDpJiMMpXCiHU8GsdNKTY3O6l56ea4i4aH/v&#10;vQeZ6WWRu/ad7qcMIW7+NeOWcXN+3wMPqqnvuKkuxDmO4zhOO5DP2120JsQddeLYuo17x+kN8IQw&#10;0MwrFIkLcZ0HJLgy5t5xegvyubuL/ivEOeVDSQifVrrjOI7THM+/+FjNcxeUIcSdc+GlNXW6EOc4&#10;juM43U83CnErZ8U25w896tS6DXyLm25eFlY9dm1Y/fofwtqNF1XFN5wOt/XjXSKc5sNPZ4WPt58f&#10;Nm+bFda8/5vw0it/DA+uWByuW1C+EAe5jeIJgBQCOe6EEy4Kp5xyeRUII/LUuHYLKp0O49RJQhzy&#10;s6yVTpqt3+k8+stc5659p/sZMnxCzTO3VSGupq4KU2e4EOc4juM4ZXPF3HF1z9wBQ4ZN7Ho0Ry8p&#10;xEGAk+UhyMlNe8fpDUCC+t73/q767wiIcVaeXFyI6zwoQ/7y5H8z0x2n05DP3V3kC3H/+Z9bl3Fj&#10;Xtczb8G8us17p//hQpzjOE57sIS4AQOH7bXrCd3YtXPnzpHcgNdC3KGTT6jbpHccx3Ecp71cMntO&#10;zfN4wJBh67oe2+VeUojTm/O5QtzSZbeF1a//MazfckH11DdIb397Veqvq2Icfqcgx5Pitnw4K2z8&#10;4ILw5ruXhkcfvy4sWnivWX8rSBlu332HJ09/wytTIcYBK93ZBePZEyJRs23nSkHN1u90Hv1lrnPX&#10;vtP9lCnEWZvzM2aOMjfyHcdxHMdpnqaFuK1nzuKmPF6RKsufPuvwuo17x+lprl8yrvpvCEhxrUps&#10;K1ZN3v1vEvxs5XEcx2kXb689o+a5C3Ke3bxSQtyS2xbXbd47/Q8X4hzHcdpDmULcjh07JnIDfvqZ&#10;59bU6UKc0wx77LFH9fl/+eWXm+lFnH/++eEHP/jB7n8rT548uXr/tdde2133ggUL6sq1m6eeemp3&#10;n/CzTFu/fn0YNWpU2H///cOKFStq0voSGCfmg/OAzxkzZph5ne4F84D11+z3zulddJsQN3fuqtmx&#10;zfkjjzmnbgPfYvnym8I7711SfU3q519e2CXC1bLlw1/v/hliHF+luu2T88L6zReGPz1zdVh0/d1m&#10;/c3CVwUCyHBWHovzzrvBvO/sgjHtCZGo2bZzpaBm63c6j/4y17lr3+l+9DN3wOBhsyvz1NA1b/74&#10;R7E5/4fLa0+aAWed60Kc4ziO45RNGULcQeNG1pQ//7cT6zbvHcdxHMcph5aFuG+3PYpN+U2b36ir&#10;Z/n9S80NfKd/4UKc4zhOe+guIW7KVBddnMapLKsqENus9BSQelhegjSIZvwd4o8u225k+1p66+m+&#10;dRc/+tGPdo9TYuV1uhefj75FjwhxskEw5cQL6jbwLe6869bw2pt/CJu2zdp9EhxOgMPPm7edG9Zt&#10;uiC8v/GisGHL+WHLhzwtbhc7/vKb8MFHs8JzL84N1y8uV4j7h3/4H9UvBD5TJ8PlgNeooi5IdqgL&#10;gh1+B9YrVpEHr2bVr2tF3kmTzqrLTyjxpU6pY1+sdmU/8Tvakn3Az3hdrC6nSZXjvZRIhPLyNbQA&#10;v6fGTlptW8J4xNBx5n3Wj0+uI4D6cJKgLGPRyvgxVrSD9cKyiAHWU0rWZH70j6cd4nfc53iYB3Xp&#10;8hKOmeuoCPQLdaJN2W/Ug+9KLGa4zz7id9SD/KwDn6mTHXEffUS7cp5QDjFMrXXmlWuJ6wXxlnk1&#10;/P4jv7yPVzDLuWM/cF/mA2xL10H0GmIsc4Vd1h8DdVvlGE+dF/db/Tvq1FKmEHfxZWNq6gIuxDmO&#10;4zhO+TQrxG3eetZsbswPHj68prwLcY7jOI7TPsoS4t56+/m6eh55/H5zA9/pX4wdO6L6v5/h00p3&#10;HMdxmqNdQhxOhJN14hWqcoPescGJTJVQVk/LstL7G4gFaFSIw+ljLItTyPA77vM0tp4+IS4lxMm+&#10;9dUTuu64447d4+cYMUe4r/M63Q9lRZxUaKU7nUU3CnErF3JzXjYIpp/2x7oNfItbbr2zesLbm2t+&#10;GzZsvqAqun2644KqFLfxg/PDO2svDW++87uwdsNvqkLch5+d1yXEnRu+/ObisK2S79kX54QbbrjH&#10;rL8ZIKBUhlclV55KQUFES25E5oWEQyEmBuqz5BL0lek6jbAvVh7ZT/5skRKzUuUoAgErrhhTqjxA&#10;HbocaaVti0alIN6PzTPA3MYEr1bGj7JF/UXbsbljHohLev1xnKwf6bo8wfpluZRQJila78CSwuT3&#10;FOOK1YO5sL4vRfECsbVipSN2vJ+aY+aRYiH6z/sWsg7AdaLXIJBrXWPlt2h07WO8sTVPIOXF4uI0&#10;TilC3DXjVmNzftaFo2vqApDk9Ca+4ziO4zitYZ3KmrOpvmnbWQu5Ma/LX7VwSt3mveM4juM45dCy&#10;EPfd1tXYlLeEOGzU6817x3Ecx3HKAeK5fva2IMRN4wb88PFH1tTpQlweEL8qoaxipfc3GItGhTgp&#10;nOlXkvYGUkJcf4Dr3MVPx2k/eP7K53HbhbhLL1ta0yA4/ayrzU18zQ033h0efOj68PzLV4T31l0c&#10;PvrsvLDjLxeFDz+dFTZ+cF549/3fhLfXXBLWbbpolxDXdXrc1o9/HT7beUHYvPW88MxzV4XrF5cn&#10;xFEsA2UIHJRXCH6HLASkUIO2KPVAHpFCEdKkpIKfmUbY75T0wr5YeXQ/0QZPlIJ8JIUX66QpGTdI&#10;OZSQdFkgx004PsQAghDLoy1Zt1W21bZTyLqtdCLbACjHfkhhC3Ory4JWxi8lKIhWnB/UoWUxa00z&#10;jaA+xA5lAfLkyG7sR2yMFugbyqFOjhnIfmMOZRkghTjAuCEN9ciYoX5dHvHGmkcZuZ71mpF9IkyT&#10;c4F8vC9lNwnaYh7ZJseJfuq5s2IZ+x5jblm/PJWNa8j6u5FCxtBKB2iD8cI4rHZZB8bCNKc1yhDi&#10;5l8zfh0253EanKwLYMNebuA7juM4jtM6lhC3z5ChI7sezdFrU5cQ9/Lrp9aVX3zb8eYGvuM4juM4&#10;rWM9e5sR4qxTaiDJ6c17x3Ecx3HKwRLi/nXgAXt2PaIbulJCHE6okRv0jo0LcbUwFo0KcfIEMiu9&#10;p+nvQhxfZ9uXXwnrOL0FLcTtM2To6sr3r/xrzpyVy7Axf8FFN6sG84W46xbcF25femt47Inrwlvv&#10;XhY++fy88MVXF1Wlty0f7pLiAF6f+sFHu16ZCikOr0rd+MGs8O7aS8Kjj88PCxfda9bfDJR6gJXe&#10;KFI00wKLhPkglcSkEUpTQAo1gOJJThtWHqYBSyCSAhLFI4L+Uuqx6ka6jKsUiYAUeSxhC3B8aEfe&#10;b7XtIqTQY6UT5gE6PkDWo+eulfHLeYmNTdZvzS3TUnUAxjkmVjE9JoQ1Sir2ctxo14ob13Qjgh6Q&#10;deNnnc40HSspNcr7Ol0KfrKt2Pdew3Hp9c54WQJhM6TiT2QeK1ZAnp5nfTecxvnxAQfXPHNbEeJm&#10;zHQhznEcx3G6g3YIcUvvPdHcwHccx3Ecp3WsZ2/Os5vXd99tW4dN+eX31/+fyTdtfsPcwHccx3Ec&#10;p3VKFuJmcQNe1zlnfve/lrITcSGuFsaiUSGut8exvwtxEOEwdhfiHKf9dLsQd86sharBYdV7egPf&#10;Yt78B8PixcvD8rtvDs++cGV49/1LwoYPIMP9uvrq1E8+vyB8vP386slx2z6dVfn9/PD5lzgt7rzw&#10;znuXVMrMCffce2O49roHzPqbgbIJsNKllKaxRCAp5cSEFwhSqTqIzKdlHIopWpKRxEQamZaSaWJt&#10;55wehrHHymPMuJ/quxSHpPzUattFMK7ASifME5u/lGTVyvil7JcSqmQ+ncb7MdGNsJ9AtyXnISb1&#10;NUoqZjItNu+5c2fBctZ6iaWl1qJcgxDEeF/KivJ+itj3WIpnZcxBTvzwdw3pRRIe86XWuJNPvRA3&#10;dFYlvg1d87uEuKkzausCcvO+k7np5pPCmjVPhs8/3xp4fffd1+HTTzeEN/78YDXdKuc4juM47aBp&#10;IW7rWcuwKf/Es6fUlXchznEcx3HaR1lC3JLbFtfVs337++YGvuM4juM4rdMOIe6Drdvq6rz9rnvM&#10;jfpOYcGCBbslHvCDH/wgTJ48Obz22mtmfgDRadSoUdXXQrLcj370o6qstX79+pq8yMc8FpY41Eyf&#10;LNBPlJN1AfQVJ3npvpLLL9+194i+43eOl+XRnxyRDeNAW7JdnPCGNN7LFeKK4miB9nU9nDO8bhXj&#10;R/sYD8ugnaJXsabKFQlxbB8xlvdRFvf5qlHMNeaO+fGJ32NzRlCvjLkF55VwPHqucK+oPcJ+xpAx&#10;ZV7cA1yfuG+tB6wZ9Fm2gf5hDae+E7IdPWdI098pvc7les2F5VHWSifMJ7//6AvGhHtyrPz+yxhK&#10;cB/5UAa/o88cJz7lGNguPnlPg/rQnlzf7IO1pgnrtuaQcFx6/YMy1mF/o9uFOJwGV9vgsOprVPUG&#10;vsWVFa6etyIsXHRPuPPOW8Mjjy0Ir/3599XT4L4Lvw1/+faS8PmXF4btX+ziq+8uCSH8oSrMPffi&#10;nLBs+S1h0fX3hquvesisvxmk8FaUrrFkj5i8IkmJP5rYKV2UV1LtpPqS00/m0SJQjjgDmEeXZ725&#10;yBi12nYRZdbPPHqOWxl/zryBlCzF+0WxkfKWPumLwl1Zp5OB1PcilWblsdJTsJwVk1Qav5/6JD7E&#10;i+W0TIiYyTr1CYKa2JyjHNvHJ9pMSZJFoC/sl5UOmF60dvh3M3Z6ntMYZQhx8+aP247N+eOm1ta1&#10;74EHmZv4nQaEN8hvqeurr78ID6/6o1necRzHccqmVSHugUem1pWHJKc37/sDK1ZN3v3fofjZytOX&#10;ee2tU8LwEf8SBg7+p3Dn8iPMPE7n09Pr3NeZ47RXiNMb947jOI7jlEeZQtzOnTtnY/N9zXtr6+p8&#10;YOUqc6O+E4DgURmeiRRVJHwlZAwIHFLeoCQSQ7fTTJ8sKMmkgJxiiSYQUJCO9lLjRV91WYKyVhkg&#10;x5iSZyRFcbSw6mYahBwp/EgQl5h8BGkpVg7IsVnyENN036RIB5FPClESvb4kUiRKIWUo1JUqlzs/&#10;sf4SGU/ewxzocnKNo29F847ylvgImMdqh+A+2uGat8iNAUBbLBdbQ2iPefD94v2iGAJrTem1I/MD&#10;2X9+L2N/S1JxILLPEtadihfr0HnKWof9jW4T4ubOffhRbMxPP+2PqsF8Ie5vrAzXzH8g3HTzneGx&#10;J+aHNe9fUpXiNm+bFTZ9cH7YtPW86ucHH86q3n9n7SXhwZWLwnUL7jfqag0pgeSespSSklJpRLbZ&#10;rAzDOlLtpPqSSiPMo+UX2X95X8M8ujxPj8oBQo2MUattF1Fm/cyjBa5Wxs/71qtQJSmBjPdzYkN5&#10;S68Tili5p5xJMB6cPsf1ZaH7nBqPlcdKhyyG/qJd9l9jxSSVxlP0UJ+U0SiEaZEVIJ+U4gD6FHu9&#10;KOOk5wDgb5YeC9ZGLEYpita+jG/Rq1CL6nIao0wh7vCjR9TUNWT4z8xN/E4CMpy8Pvzw3fDSy0vD&#10;008vqn5u3vL6blkOp8dZdTiO4zhO2TQrxG3cNvNRbMovvu34uvLYqNeb9/0ByDmV0FTpj6KOHD9k&#10;JSuP0/n09Dr3deY4JQhx327djk35eQvm1dQxYsIR5ua94ziO4zjl0A4h7uVXXqurs1OFOCmMQWKB&#10;kIH7EJ4gX0hpiEjZBXl4uhTKSonJkk2Qn2V1GmmmTzFQF/oDeUVKNKhT9sWSW2Q6gKjCOtAXKSlZ&#10;MpIsD0GM40AdWnpBXl0+hazbSgepupkm87B/cg4hvemygNIPwBzxvixLLHmJabpvUmoCqIux1XNm&#10;iYgyXa4dGXNrXXJNoz15khjWD9qxYpiC8bHaIuwnQTvoJ8Yr15OUC7FOY983YMlnTCOcayDrZj1y&#10;naM+uVYZzyKQj2Vi4hj6zjwcE0A/0C/Mg2xPjhV94n1irR2MFfcxvxwTSM2P7BfSZUzRJxkPufYJ&#10;606tGZbXecpeh/2FbhfiTpquGxxmbuDncO01D4Q77rw1PPbENeGFl68Ir7z2h/D6m78Lb7z5h/Dq&#10;G7PDiy/PCU/+6erwwIrFYclNy8LcK1ea9bSCPMmp1VcYFqURKYv0RyGOAk+q7Rittl1EmfUzj5aT&#10;Whk/6+wuIU6eNMe1Kl8VWrR+NfI1rCl0n1PjsfLoNHzPYxKcxIpJKs06RQ/Cm75ngTR+x4gl0DFP&#10;bL1Q9NOiZaOyYtHal/FNjQsU1eU0RkmvTK1uzmshbuio4XUb+J0EpDdekN5iJ8Dhdal4daoLcY7j&#10;OE534UJcHjiRqjLs6qeVDnpaFOppnnruxPC97/1ddfwXXzbUzON0Pj29zn2dOU55Qtx5F19UU4cL&#10;cY7jOI7TXkoW4hZi8/2Jp56pqxOSnNyg7xQgWFSGZgomMSilWDIIkGKKFnTYHpD3Jc30qVlSYozs&#10;K/qiZSD8zlhAVomlWXUjXcpIjYouOXFM1c00IOUrIuuXshKQ82vVjfxSGpIiEomVl3UjfpbgxTmz&#10;ZD22q+cDoC7WretlnTF5q1FS64qwL8CKIyiKNZDjssbNNGDNtTzpz1rnsg9W+RgURmNSJdMb+Z7L&#10;danTZD+Bte5IbH6KvrfMw5hZY2PdsfkCSLfysGxZ67C/0J1C3GpszJcpxIEFC+4Pt9x6Z7jr7pvC&#10;QysXVuU4sHLVgnD3PTeFG2+8O1xzzYPhyivLe02qRMorEEqsPJqUoFIkrwApFMXkHkKJRwtQFE5S&#10;7bTaT+bRIlCu7MI8unxO2zFabbuIMutnHj3HrYw/dmKbxhLZCO/nxEZ+PyhYYS3id0veSiGFKvQf&#10;34NYuo5ZKs3KI+9jDPwe4TsOmQv3ZB6Ws2KSSgOcE8YD9eN3tKnzWmB+eKKc1U4j6wUxkKfPxWJl&#10;gXZZzkqXa6Fo7XA8uX9TnTT1Qtyw2ZX4NnRxc37MEbVC3IjxnS3EQXDjlfM61Jw8juM4jlMGTQtx&#10;W89ajU35qxZOqSuvN+77AjiJqjLs5IlU/V2Ic/oHvs4dp+dpVYjjpvyMs8+uqeOwKcfVbdw7juM4&#10;jlMe7RDicBqcrhOvUZUb9J0CTyQClnykwalFzG+lE+bR0lxKaCGN9qkVUv2RaVoSIjGxRsZJnvQk&#10;QZ3Mk5JnLHLimKqbaTHxRspFWixCGabF4iLHb4lJTNN9k+3G4pYaO+/H4sl03Scpb8XG1AixdSFh&#10;X1InHkppMtUvmU+n8X5srmU8Y20wPRZXC3nSmv4ey7UfE2stUutSphXVGZsf2efY+gMyn+4H607F&#10;imV1nrLXYX+h24S4OXNWrsPG/JHHnFPT4JDhE8wN/Fwgul173QPh+uvvDjfdvDTcetvt4bY7loab&#10;b7mzem/evBVmuTKh4AOKTt4CKUElR16Rp0qlTnGyTp8iRfIKSMlTOf1kHi2/UPgBMeEmJc/IeGsx&#10;qYhW2y4iJ64gp37m0f1sZfwUjYpkq5SQxLZzY8O6sJ7QX8plek0WIV8vaqUjTuybjlkqzcoj70sB&#10;NfZaZKZbMUmlASkfIj783uT8LZHEvq8531VJs+sfeVnOSgece6wJK50wX6MxcGxaFeIWLhyxBzfn&#10;IcDJuiDIyc37TgJyGy+8JtXKU8Td98yqvlIVYh1fq4rrq6+/qNYZE+jYNsrgd7yaFWVw4RO/6zJ4&#10;tasU+HDhd9zXeR3HcZzOp1Uh7ndzJ9WUHTx8uLl53+m4EOc4u/B17jg9jyXEDRgybGLle5l1cVNe&#10;C3HHTptet3HvOI7jOE55lCnE7dixYxk232+/6566OjtViMNpXjwRCZ8QPVIihpRnctDChywv70sa&#10;7VMrpPqT01fm0WJNTlnAPMhvpcfIqT9VdyqNME9M+NFjlqTEJcA03X5ROZ1Hp/HkLkv+kuW0oCUF&#10;PpxYlpKhcsiJEdtLzUFOPSAlkRa1g/vMY6WDojos8J3l91jPhxTKGvlup9ZHKk0Ti2tOLABizHxa&#10;vmPdqVixrM5T9jrsL3S7EHfoUbX/48CBhxxpbuA3wpVXPhyuumpl5XNl5fOhXT93/W7lLxsp+QBI&#10;HClRKSWo5MorfL0hPmNtSflJ5ykSw6Sk02w/mUdLNTjRinVbYgz6Kk+p0uWloNSIsANabbsILTdZ&#10;eUBO/cyj56eV8ct5j8mUUqS06k+lWcj+yleepuJjwfUcOzVMxl7HTMpu1nrXeeR9Wa/1itdW44U4&#10;MI+Mjz4Br4jYdzLnu6phHxpZXzlrX8qcMbkwNY9Oc5QpxA0Z/rOauvAKVbl530msWfNkl1YWTAEt&#10;BynBxS68llWXk69qhdCmr/XrX9ydF69r1SKcvpoV+hzHcZzeS7NC3KZtZ63Dpvzpsw6vKXvQuJHm&#10;5n2n40Kc4+zC17nj9DytCHEhrNuDm/I4EU7WgVeoyk17x3Ecx3HKpR1C3KIlt9TVqTfoOwnIHRRX&#10;CE6csqQSeRJVDlroaEQ4ye1TDiiH8nylpoUuk9NX5mlWrGEeLcYUkVN/qu5UGmEeHfOYTCRBmVh5&#10;wDTdflE5nUenybhAVKJshTKce+s1l0BKWgDrDyKXfmVsDjkxYjs5c4C1a6WTVNx4P9aOjJmVDorq&#10;iMG/F4ilvM+T0GKn4yHmiD3jaKHHmYqBJjY/vB9bIxK2pWPCOnLm1cpT5jrsL3S7EDf68Kk1DQ4f&#10;e4y5gd9pQO6QUhx+htwCqQVSB4DoQakHWIJKrrwiJSMIXFKeQV9kO2hXlgVSwkFfKZ7o1y+CZvvJ&#10;PJZUI8UYpFOgwTikkBYrL/OgLinXYAwQv9C+Jb212nYKKVWhHdxDf+T8gJz6mceSgloZvyyL9il5&#10;IQ4ox3Ucky1lWZ0WQ343AGPTCFKUkvOm1zvQMZPzYsVT55H3UT/vox3GC5/oB9OAFZNUGtH9j0l/&#10;qAPzinni+PEpY6O/7/we4lPfxzzItYkxye+HXFdFyPjF1j5+51rApxyHjqe1dp3mwEms8rnbqBB3&#10;1VXj9uTmvBbiJh1/cN0Gfqfw6acbunSyUJXOrDxFQIiDjAahTtYByY2y3JdfflpTBkghDhfyQoLD&#10;fYh6UqJjP5EH9bIdnE6HMrykROc4juN0PpYQl7OpvqlLiDvptENryo6bNMrcvO9Uvve9v9v9340W&#10;M88ZsjuvFoVee+uU8IuJe++uA5/4HfdlGxqko97/88P/vrs+lB0+4l+aEpAuvmxotQ72dcWqydW6&#10;2K//uef3k/1ieZTB76iHZdHHp547cXde3kcZ3tNpaJ9jRNu4hzT0QdaFsaJNpLOt65eMq6lTgrK/&#10;PPnfqtIi2wIcH9q1yuE++4Df0Qb7hU/8zjygqA/MF2tPg3Gif5QuCcaL8eTOi44X+i7Xp6bZeKEd&#10;5pXrkXWgTplfw9jqNTL36oNrYsB+yDVB2Ja1zqzvD37GvVgsHafTeHvtGTXPXpArxH311dY9uSk/&#10;YsIRNXX8/orL6zbuHcdxHMcpj3YIcXPmL6ipb/j4I81N+k4C4hAEIp6wRfTpRxRZgLyfS458Q3L7&#10;lAJ1pKQaiS6b01fm0WJN7jiZxxJjUuTUn6o7lUaYR8tFjKces6RITmKabj9HapJ5dJo8ucsCcpE+&#10;QU1CEUvKmPg51pcYOTFi/Tlz0KlCnDzxjHIsvpO8B/lLl0H8mZ5CjzMVA01sfni/J4U4UNY67C9o&#10;Ia7y7/R1lZiVf82du3I7NuYhwMkGIcjpzftOBUIH5ZMcLFEtJq9YaBnHAlKeVRZARrHKALTP06qs&#10;vuT0k3ksEQgSjJbPJBR/+HOj5YklXrXadhFW3TpOvJ+qn3ksgauV8UNyKioLISsmQzFPI7GRJ58B&#10;LQjmUDRmmaZjJmUtK546j06TkpgGYhfihZ+tmDBfKl6IB/OB2PcWdch8GsRAl+Fa1muQ92Ok/nbE&#10;sOZHt4uxakFSgzKYb1nOaZ4yhThZDzhuaucKcfLUNSu9VaSsptO0ECcFOAlfrYoLP1t52A6EOSvd&#10;cRzH6UxaFeKOOrG2PH6Xm/adjhSFLKRwJEUhiDqxspBzYmIOJCQKQzEgDlllY6CPKIdPSlQWaNfq&#10;F8tDVoKgpMtJKYr3ZFx0Wio2uE+hyUoHVt2gaK6A7CuR84bYyvyA7bF+CmgWkMFYLke+kqJdDMZE&#10;l5XzItvVYM50WVBGvGQ6ZTzUK/NLIBOyrBQLrXVFMD5ZB2CaXguIkxThNLG14zidRllC3P4/H11T&#10;hwtxjuM4jtNeLCFuwMBhe3U9phu6duzY8ai1+d4XhDgJpAt5kpqUMHLkmRTNlk/1KYVsD1KRlqFS&#10;/cnpK/NosSZ3nMyD/FZ6jJz6U3Wn0gjz6FjHZCIJysTKA6bp9ovK6Tw6jWsE9Up5E4IT5r+RU7Yg&#10;a1FIwidPm8shJ0bsW2oOOJ5UPQCSKOvTYyxqB/eZx0oHRXWkoNBKqY8noCGmOq+cW4xZnzCZWh+p&#10;NE1sfqSMJ+9rpHippT7WnYoVy+bEs5V12F/odiFOb8zjFap6877TgVgDgUbLIZBmcOqRPBVJw5Oi&#10;ck9HYlsUctgO7sXEHwnkFNlP/Iz+IY2nTll9yekn81jiH0AMIPjIvqMM+00JKVYeoK9a7MEYUA/H&#10;YVFG2zFQN8pT+kEbWoZiWqp+5kmd0tXK+NG2LovfcT+2PkFO3zXylDWUt/LkYM2bXLOxmMn2Y/Fk&#10;nlj/0Ib8rnBe0afUWs+NF/OBWB+L5s0qw77hU96HwAvpTY4JfUC+ZoRFgP4VrX2Qaju1bp3maFWI&#10;mz9/zF6xjfkZM0eZm/idQLuFOCm9aeFNpuFEOJkm2bzl9Woe9NVKB7KumDTnOI7jdB5XzB1X99zN&#10;EuK2ztyOTXmcCCfL4hWqeuO+L8CTqyw5h0hRCEAMorymJS9LUkIeynCQeqQwBHFKnv5liUox2C4F&#10;KFm37pc1PpkO0EeMC31AmjzBi3lwX9Yh02QetA+kECX7yXFi/FJ0QhldP8qhHoxNpqOvsk5ZBljz&#10;hr7hPuQ99iFHduP8xSQ0DcaF9lA32wGoX8bdOnVNpgMZL8yJXC+WRFlGvGSfUQ/vy7Ur4TwjTrwn&#10;pUDEm33BGDBGS0BkfqTL+xQ+0X/ZB7SBtnV+x+lUyhLidB3L719at3HfSTz+2PJw3LETw/e//73q&#10;3wJ8jh07ono/lvenPx28+28K2HvvH4Yzzzg5fLjtrboyBGVRb047RJdhWxdffE6yrSU3Xl3Tx//1&#10;T3tW+/3uu8+Z+R3HcZzeTTuEuOlnnltT36GTTzA36TsZeYqTlDYoswAtq+SQI9/EiPUpBYWi2KsZ&#10;U/3J6SvzaLFGxikm5zQzHpLTt1TdqTTCPLr/fA0mkPcl8mQwa/xM0+3nSE0yj7wvJSV5vxWKxhEj&#10;JlxJWG9qDij1WfKYhPmsk82K2sF95rHSQVEdKSiZcQzsq3Xqnc6rSa2PVJomNj9SLEydJJgSEIvm&#10;vpnvfbPrsL9wyew5Nc/kNgpx9sb8kcecU7d57zhO3wKiFCWpZk4e6w9QcoMkZqU7TrO0U4g761wX&#10;4mLkCnE6TSL7mHOl6nIcx3E6i1aFuIPGjawpe/5vJ5qb951Oo0IchBxIODoP65FCEKHMg7SYcMXy&#10;qVPKNFKcguBk1S3lKf2KSlke44r1DTCfJR4xDViCFmUyYPVTxtcqn0KOQafJeoGUvCRa3Eqlx4Sw&#10;Rkmtu6J5xe8U23IFPZIbLx0rthdbn0yXgh/bsuS7GGxfrzPGyxIIHacv0YoQ9803m/fChvymzW/U&#10;1dHJQhzEscrwoiCdeV9+aZWZRwJxzRLVitrR+QEEOysvgRhntQXxzcoPIMnp/I7jOE7vp0whbufO&#10;naux+T5l6oya+vC73JzvK1SGXEVKG1LmSMk+MaRIgrqsPClYNlck4clKlnwD5CliOi1HFGIeHQtI&#10;MixryXgYuzzxLnc8JKdvqbpTaYR5tIAjZT/r9bUQiRh3qzxgmm4/R2qSeeR9KcRZ/WqGnP5YFElR&#10;gPWm5qAo1kCOu5m5xn3msdJBUR0pZP+KhNqU2Afk3w89H43MVWx+ir63AN9dnnpnzS+FUXwH9N84&#10;/C6F0tx4NrsO+wvdLsTJxsBJ0y+t27x3HKdvgVO/Kn8GquB0MCtPfwYxYXz8hDSnbMoS4i6+bExN&#10;PWDWhaPNTfxOoCwh7u57ZlVPckvJa80KcV99/UVXruILr0xFX6x6HMdxnM6jaSGua1Nel/3d3El1&#10;G/d9gZSYRKQoFBOiUqIRhCDc15KPhOUhFlnpFrLNmMwm+65lM1nekvwkzGeNgWkxWSmnn0y36k+R&#10;krhkmiW6SThHlryFcSGtkbkpQsYklRaLV866tciNl05jDIDukzxBTq4jiqD6fgrm1+uAYmdKKnWc&#10;vkAZQtxbbz9fVwc26fXGfSeA09cqQ6sCuQzCG+5DMsMJbLgPwY35kY7fIarJU91kfoB0phGe8CZP&#10;aUM5iHI4vU3nv/LKy3bXh7p1GdanBTcp7aEOCnMoj3pw2pzM7ziO43QGz7/4WN3zt1UhDq9IlfXh&#10;dW1yc76TgNABQUPKKZBCpLShT0qSrxVEeVkWwgd+R3nrlCcpdiAP7qE9WUczfYpBwQZ9gYzD+6hb&#10;CmlAlgM5ohDzpMQYgHyUY6y2GxWNcvqWqjuVRpjHEnAoBMm4Ynz4WcpwsfJM0+3niD8yj07TcSXo&#10;E+YI60GuA4J0rGu5rvAz60O6zF8E2kI5a10Q9q1o7rU4ie8C7ut4Y064xiRF7eA+81jpoKiOIrhe&#10;5KeVTwpvaIvjwVzwu0z0+shZOyQ1P/LvG9qUa0J/d62/Q8jDdOTlfKFPen3qeJa9DvsL3SrEXXrZ&#10;0prGwPTT/mhu4DuO03fgK0799DMbvqIX4DQ9K4/jNEurQtxV14wbhI15yG+yHoBT4/QGfqfA15Hi&#10;avZkNVlH6mpWiIPkhiv1ylTHcRynb9KKEGdtyC++7Xhz877TaVSI06KQlUen8X4uunyMlFQlYR4t&#10;GeWWB7E6itJATjtFdcRIzU3OvBEpb+mT9HjCXZmnk6VikhMv5ukuIU6ekqfFSr4uVcuEiCNPjsMn&#10;yhXJbGxDrwMp3aGdsk7qc5zeRitC3HffbR0U25CHJKc37jsBSHCVoVWFNIpjEkhvyKPvx+ArSrWk&#10;JsU7qx0LCm+Q2qx0WSdFPkAxr5F+O47jOL2fkoW4ddh810IcNuPl5nwnQTEkBuQMq5yUvWLEpBct&#10;hQAppjTbJwvIJBSGLGRfdNkcUYh5LLEGMo81VoKyHKsWY4rI6Ztsp5E0wjyWXJSKK+5LKcgqzzTd&#10;fo7UJPOk0lJgXmQ5K48E45H5i+C8WuuCsO6iuZdCVAx816REJWGeWDu4zzxWOiiqowgpuoHYd7jo&#10;OyPT9PrIWTskNT/og5bvNFjjllhJUn8fMfbY917n1TS6DvsL3SLEzZ796B7YlL/goptrGgOnn3W1&#10;uYHvOE7f4JRT/vYQ89PP6pGvk4UYZ+VxnFYoS4ibMXNUTT2gk4W4l15eWpXNcEFss/KkkFIbhDXU&#10;F0tvVojjqXMuxDmO4/Q/mhHi1q07dw9syL/8+ql1ZZfeWysJ9RXaLcRBCuL9HKwTymLkiFOAebRk&#10;lFsexOooSgM57RTVgThCSON8Wei5yZk3AlGLeWUfpAiWe8qZBO1CGOMJdBa6TE68mCe2btsRL45B&#10;t0npLfa6WaYTxCM2H8xjrQMIdbIe1IsxaoHRcTqZMoQ4vB5V14HXqOqN+94OTkyrDKtKTDprFHlK&#10;nLyvT22TaRb33L3ErEdj1YmfeV+Kco7jOE5n0w4hTtc3Z35cjOjt4PQiCBpSNIHsASGkSL6AdIJ8&#10;UoyCmAPZAwKMdVoVwH0IIyyHMlIMaaVPFjxdTvYTdaH/kIhYvy5HicdKI8yD+qx0jBVjwxh120in&#10;OIN6dNkUkHGK+sbxWnWn0gjzxEQrHVd84neeiMUxW+Vj7XM+Uu3G5gztsl70Q6YBxBzrivXLtpGG&#10;MnKe8DPuxfqRAuVQR2xdgFgMLLCOkI8iFSn6roGidnAf6Tqekkb6aiHnBp9cIxbWdwZ/CyigsR49&#10;Lzlrh2BekC81P2gP6WwPoB9YQ6n+k9T3nu3reJa9DvsL3SLEXXXVA3tiU/6cWQtrGgO4pzfvHcfp&#10;OxxwwKHVP8g4Jc5PP6vnhBMuqsYHUhzkQSuP47RCq0LcvHljR2JjfuqMg2vqAXrzvpO46eaTdp/A&#10;lvu6UZmHp8OhrMxDyhDiPvzw3a5codpfK4/jOI7TN2lFiHvi2VPqyroQt+t/JIqJPDKPvC+Fqpjs&#10;1Sw54hSItZ9bHsTqKEoDOe2k6pCv60yh5yZn3iTytZy8x7blvRwg2KVkNIkumxMv5rHWbbviZZ2i&#10;J09ui4lpiAXK8qQ9Ygl0TIutJYp+UrLDzznz6zidQBlC3JLbFtfV0YlCnJTO5OtPWyEmxAGeRgfk&#10;K1AtZD05ID/Lol6eLodPvF4191Q6x3Ecp/dSthD3wdZtdfXdftc95ia94zjdB2U3SEtWOqFoqU/n&#10;chynM+lWIQ6nwcnGAF6jqjfvHcdxHMcpBy3E7TN46MKux3PWRSHuuKm1Qty+Bx5kbuB3EuvXv9il&#10;m4Xw5ZefRqU4yGiQ06T89umnG6rlvvr6i5q8ZM2aJ6vpuJoV4uQpduirlcdxHMfpmzQlxG09fU9s&#10;yD/wyNS6spDk9MZ9X6DdQhzg/Zjk0yw54hSItZ9bHsTqKEoDOe3E6pBxxRzpV2Wm5iaVZiHlLp4G&#10;R4nLkrdSyDHjRDR9ulwqJjnxYh69btsZL3mKHuPB16VCJtT5LVCvPC1Pt8P7eh1Y4MQ4inH4LHod&#10;q+N0Ai0JcV9vGYkNeUuI05v2nYCUzhoVxiDQHXfsxBrJTaPLoA2dH69WhbCm86Juma8IyH2yPE6G&#10;oxRHUGdZ4p/jOI7T/ZQsxG1f897auvoeWLnK3KR3HKf74Olp+LTSAU4f44lfLsQ5Tt+gW4W46af9&#10;saYx4EKc4ziO47SPVoW4+fPHTcTG/OFHj6ipZ8jwn5kb+J0GX0uKC8IbxDeIaBDV8ImT4HiSnJTf&#10;pPAGWY0nuD286o+7ZTlezQpxAKIeL/QN9TMNAt8bf36wOga0Kcs5juM4nU0rQtzi246vK4vXqOqN&#10;+75AdwhxlKoaeR1qDlKcislAUvLSclSOeEWYzxKVUmkgp51YHTztDMKTvE9Sc5MzbxoKVmhXlm/0&#10;tZyUvmKiWComOfFiHr1u2x0vnqKH8WHNMV6Q06z8FlKs0/Mdux9Dru9Ynx2nk7CEuH2GHDitssYL&#10;r2++2ToRG/LnXXxRTfkRE44wN+57O6nT3GJAaoPExnIprPIAApyuY+zYETV58HtRPUWgr3h96v/6&#10;pz1r2irr9bCO4zhO91KyEBdefuW1uvpciHOcnke+DhWym3zFJEQ4vG5XvoY357WXjuP0frpFiJsz&#10;Z8Ve2JQ/afqlNY0BvXHvOI7jOE55lCXEjTmiVogbOmq4uYHfafD0t6ILMpyU0VBOymr6kmmtCHFF&#10;7fDCGKzyjuM4TmdiCXFFm+qbN8/cCxvyVy2cUldWb9r3FaTgY6WDHFFI5tFp8hWWZUo7UpyioKTz&#10;UPizTtDKEa8I81miUioN5LQTq8N6jalEvsZTxzZn3jRSKOPpZ82IjBTFUIeVznEBnZYTL+bRQly7&#10;4yUFNLmuY0JmDJbT8x27H6OZOXac3kwZQtyMs8+uKX/YlOPMjfveDsS0yrCq5J6cJiU6nLiGk9hi&#10;6fK+BV5tKsU3+drTZmS9FBifPJ3OT4pzHMfpPMoW4p546pm6+nBqnN6gdxyne4H0JoW3GDghbsGC&#10;BWYdjuN0HlqI22fI0O2V73q5F4W4Q486taYxbNLrjXvHcRzHccrjwEOOrHn2NirEXT1/7DRszI8Y&#10;P7ymHvyuN+87GYhpkMogvvHCyXA4eQ2nsFllIKvhdDhZBvIa8/NkOSnSAfzOS6fF4Elw8kJbqf45&#10;juM4nUsrQtzv5k6qKXfQuJHmxn1fQMpHPOUKr7eUck2OdCPz6DScLkZBCp9oU544hvYgKkFiauTV&#10;nLLvAOIW+4f6KXQBSzCS5XWaJlVPKg3ktBOrQwpcSKN4hZhJqQzoucmZNw3qlXWCRk4/I+wb5luW&#10;h1CGeZL1y3IgJ17Mo4W47ogX1zKJSX/oG9LkyYR6XaJfsgzv63WANiHgyfz4mbFEuszvOJ2MfP7u&#10;ojUh7thp082N+94OZLbKsKrknppGqUyf6EaaEdlYJ06N4z0p6+nXoTYLToxjnVK+cxzHcToDS4jb&#10;e+ABgyp/1xu+sPF++1331NXnQpzj9A4gxV1++eXV16by1agE93BynJ8M5zh9i24R4q64YuUgbMqP&#10;PnxqTWPYpNcb947jOI7jlIcW4gYMHras6/GcdVGIwytSZT14harevHccx3Ecpzzkc3cXeULc6bMO&#10;ryk3btIoc9O+LyBlNYkUcnJEIZnHSoe8Y7WjaUS+kuKUlIw0WpqyylvpEubTolJRGshpJ1YHhC4t&#10;kElkmp6bnHmz0O01evoZKJpv2YYumxMv5tFz2x3xkifDAf0qXoK+yXwa1KPLME2vA1nOItYHx+lE&#10;5PN3F3lC3LffbpmGDXm8IlWWxytU9aZ9p8DXieITwphOhzSHNP7+/e9/r5ofp8PJfKSZV53y9alS&#10;iJPymrzfKqzThTjHcZzO4623n695/oJmhLjt27fvgY33RUtuqatPb847juM4jtM9zJm/QD2Xu1GI&#10;Gz72GHPz3nEcx3GccsCzVj57yxLiJh1/sLl57ziO4zhOOex74EE1z94Bg4fO6no8m9emrWcNwmb8&#10;SacdWlPuqBPHmpv2fQXIS/L0LEhDUrBBOtPwsyyr86ROqoKsBNFHC0s8SasRaQtocUqfPoafU4Id&#10;TxPLOV2Lcpd1gl0qDeS0k6qDccMJesgD5NhYVs9NzrxZsL8A68LKkwNPQ2P/WB/mObVecuLFPFb/&#10;2h0vmS/VR4wf0ptck8iPPscENvZNrwPEDLGUY8LPuJfqq+N0IoOH156sXvTs5hUT4n5/xeXmxn0n&#10;gJPhKkOrAvGMr0CFkAZpjAIc81N4w32c4sb7OMVNvpJUlgGoC/WjDMU7fMr29Sl1Z55x8u40lJUn&#10;xaEsfoeYh77IcsiL+zI/Xs+Ke6xPv+rVcRzH6f1s2vxGzfN3F0NHVv6uN3RRiNMn0Qwff6S5Qe84&#10;juM4TvupF+KG4d9u5V4U4vCKVNkQXqGqN+6d8pk5c97uf5TjZyuPUy4TJkyrxvvv//6/melOPliz&#10;//zP/zfsvfegcN55N5h5HMeJUy/EDX0Uz+bca968cbOwKS/rADNmjjI37x3HcRzHKYdmhTgIcLIc&#10;TozTG/ZOz6OFOKcc5ElpfvJYPRDuKK5Zp7w5jtMarQpxsiyYt2CeuXHfKUhRzEKKbxDJKMlZSClO&#10;tiFfpWqBcjI/KeobkCfYAQhxVj4C0U7mdxzHcTqDEoW4PbHxfs6Fl9bUdejkE8wNesdxHMdx2o91&#10;cmvXo7u8a+7ch0diU14LcUcec465ee+UyymnXL77H+b42crjlMvIkVN2x9xKd/KRscTPVh7HceLo&#10;01mbEeL+cHntxjo461wX4hzHcRynndQLccNmdz2ezYtC3EHjRtaUO/+3E81Ne6dncSGuPfD1sziB&#10;zErv7+CkOa47nAJn5XEcp3n0M7jo2c3ru2+2zrI245ffv9TcuO8kIL1JkQzSG2S0xx9bXpeXp61J&#10;MQ4nxyEvhDmWl2V4GpyW1fC7PhlOg3pRv2wPEhzL8sQ5gv5BepNyHsqiDnlqnOM4jtNZbN/+ft0z&#10;eMCQYRMrf+cbuijETT/z3Jq6pkydYW7QO47jOI7Tfm6/656a5zL44cARe3Q9vsu55nYJcbqhKSde&#10;YG7eO+XSiUIcTlZDf3HSmpXe23EhrjxOOOGiahyxJlzodJzGwWmstc/foasr36ns65prxs2++LIx&#10;qg4X4hzHcRyn3ejXlRdtqm/ccuZIbMbr02lciOuduBBXPhC8GFM//cyGry3Fq1CtdMdxWmPcpFE1&#10;z+B9Bg9dWPnOFV4Q4t56+/nashUeefx+c+PecRzHcZzysIS4fYYcOK3rMZ19bd++fS9svONEOFkX&#10;TozTm/OO4ziO43QP3SLEzZmzYuKlly2ta2j6aX80N++dculEIY797dQTwVyIcxynt1CGEDfrwtGq&#10;jmEBkpy1ee84juM4TjkMHVUrthVtqm/YOnMiNuNrylRYfNvx5qa907O4EFc+MqZ++lk98nWyOCnO&#10;yuM4Tms0K8T913dbZz//4mO1ZSvgnrVx7ziO4zhOuehncCtC3PDxR9bUdcnsOeYGveM4juM47eeB&#10;latqnsvgXwcesGfX47ucC0LcBRfdXNfQ6WddbW7eO+XiQlz340Kc4zi9BbyeXD57BwwZtq7ytyn7&#10;mnfN+IUzZqr/Ub8CXqNqbd47juM4jlMOWogbMHjYsq7Hs3lBiHvi2VNqyoCl97oY1Bu5+LKh1X8v&#10;fu97f2emO42DU88Q0+Ej/sVM7+/g1DzEB6fEvfbWKWYex3FaQwtxRc9uXhDi8HpUWRbgNarWpr3j&#10;OI7jOOWin8GtCHG6rjnzF5gb9I7jOI7jtB9LiBswcNheXY/vcq4rrnho2jmzFtY1BEnO2rx3ysWF&#10;uO7HhTjHcXoLWojbZ8jQ7ZW/TdkXhLipMw5WdQwzN+4dx3EcxymPEeMbF+IeeGRqTRmAe9amveM4&#10;juM45XLUiWNrnsG5Qtx3321buOS2xTVlgbVh7ziO4zhO+ez/89o3pAwYPHRW12M6+9q+ffugNe+t&#10;rakH4FVt1ga94ziO4zjt54mnnql7NrdFiMPrUXVDeI2qtXnfaey996BCeevv//6/VfNMmDCtLo3l&#10;mTZp0lnhH//xf+8WqvDzCSdcVFdOctlld1bb/4d/+B+7y6HemTPnZQtxaPef//n/7s4L8DvuW/kB&#10;x4V2AMvjvowH+6fHhXtIQx6UZ1oM2f/zzrshHHDAodU22Q+AGOy77/BqfcwrYTsog99RD/KzDnzi&#10;d/YrRqocxsX+WGWLYN1yPjkupMm8WBvME5srlEM6Yi7vc+0xrqhLrgHOkSxj0czakeseMWMfAdKY&#10;T66L2Jxa6wvzgXpia77MdYB1KOeqaOyNzK8EY8GYZB9TY3QcUIYQd/jRI2rqGDL8Z+bGveM4juM4&#10;5dGwELdl5jS8HlWWAS+/fqq5ae84juM4TrnUC3FDH+16TCcvCHHzFsyrKTtiwhHmhr3jOI7jOOVT&#10;lhD38iuv1dQDcDKNtUHvOI7jOE776TYh7qTpl9Y1ZG3cdyIUgVLiENJjeViechfzamKCDQQaKdZo&#10;pGhkiTMQflLtAtShywGmQ2qipENQJ/KgfikqaRgTKT7FkP3X7VlY48U9piOmsXrQ55gMBXEsVo6S&#10;En+3yqdI9QkgTYthjC/SdJ+lMKfjwXlHHrlONFJQk7SydlgO695aH8wn58uaT8Qitf6B9d0pYx2g&#10;7dRcWWNvZn5ZzspPdH7HIVNOvEA9fxsT4uZfM27ZmCNqhTi8ws3auHccx3Ecpzz087doUx1C3FUL&#10;p9SUAW+vPcPctHccx3Ecp1xOOu3QmmdwI0LceRdfVFP2sCnHmRv2juM4juOUT70QN2x212M6+4IQ&#10;Z226Q5KzNuid9jJq1Kjq3hk+rfR2s2DBgrD//vuHyZMnm+mO4zhO92DJ6nsPPGDQrqd3SReEuEOP&#10;OrWmkSHDJ5gb950IxZ5WhTgC+YinREHakbKQdXqULC9PoLPEG0sooryFvChD+Qdtob8sa/WdaQQC&#10;ENpAPQB50CekoX6IVywL6Qf5U/WmYor6UB51SmFJjhuxk2WAFKEAx4001CPHbAlNyMP68cmY6rJE&#10;l0+BmLAc5kWKURhnTHzT5XgfeSiLWVIb1w7HI9vE/HNtAGsumM4Ysk85a0eve/yOMQKZX86XXr9y&#10;fIiNXl+y/7ps2etAti3XoJxDPU8yLTW/gPWhL/w7gDxoCzGQeR1HUi/EDcNayr4gxOkTavC7tXHv&#10;OI7jOE55aCFunyFDV3c9ns0LQtzv5k6qKXPQuJHmhr3jOI7jOOVz+qzDa57DRc9uXv/5n1uXzTj7&#10;7Jqyx06bbm7YO47jOI5TPjiZVT6H9xk8dGHXYzr72rlz50i8HrWmngp4jarenHfaD2S0yrRUP630&#10;dsP2wYoVK8w8juM4TvvpJiFu5azRh0+taeTAQ440N+47EYo9lvRDkB7LI8UgS7yR4g6FHSvNqhvi&#10;jBTqtBQkBR0p50goBkHI0WksC2Lj5/hwEpiVblFUZxHsM9BpMmYYkzVu9tkSjWTdOp4A9ygvAZ2e&#10;ggIXPq10KWFJ+RFY/ULM8TvKaMEKFK09lKFwpmPR6tqRbeNnnU7kfOl4U7ZE36zxAbajYyrrbWYd&#10;MLbAKsvvHuU10Oz8yr7Gxuk4MawTWitrKfuCEIdXpMryeIWqtXHvOI7jOE556FeWFwpxW8+cpTfi&#10;x00aZW7YO47jOI5TPq0IcXojHifGWRv2juM4juOUD05mlc/hZoW4RUtuqa2ngt6Yd7qHnhbiZsyY&#10;UW3/Bz/4QVi/fr2Zx3Ecx2k/ENP1s7nyb/WR1Yd3WReEuOFjj6lpBL9bG/edCKWZlLyF9Fgeloc8&#10;o9NIrLyUcmKiDE6eYh4tFLF8rpCkxR/ejwk+gBJQSlrSsN5UTFPIPusxyzR5qpeEIhfQaRQMU/Ml&#10;58VKt0BsWEb3WRITvFBeymtSWNMiJclZezIWUu5qde2w7aJ1kZpLzkVqnbD/WsprdR0w1qm1L2ll&#10;fuVcahHScYqYftofa56/4IcDR+xRWU9Z17z54x/d98CDaspPOv5gc+PecRzHcZzywPNWPn8HDBm2&#10;ruvxbF4Q4vSr2o46cay5Ye84juM4Tvmc/9uJNc/homc3L0uI+/0Vl5sb9o7jOI7jlI8W4gYMHras&#10;6zGdfe3YsWPiORfW/p/Th48/0tycd9pPTwtxjuM4Tu/gg63bap7NoPJv9Ym7nt4lXXPnrpqNV6TK&#10;RvAKVWvjvhOhwJKScpAey8PyKbEo1kZO2ZRQxPK56PK8nxq7FPIgMMXkI0lOvSlSY06lWXl0Gu+n&#10;+oa0WPkYss0crDmXdfCksdTaaGX9tLp2ctoGsfYB7+ciy6bqtfLI+1Juy12jsq4cdFwo/wG0KeVE&#10;x0nRqhB32W/HPKPLz5g5yty4dxzHcRynPJoR4vCKVFkGJ9VYG/aO4ziO45SPFuL2GTJ0e9djOnn9&#10;57fbHq0tNywsv3+puWHvOI7jOE754FXl8jncrBA3/cxza+o5dPIJ5ua8035ciHMcx3FAjwlxRx5z&#10;jrlx34lQ7EmJMUiP5ckRg2Jt5JRNiT885SoHCFZawmFakRSEE8p0XThhLCb15NaL8qiHcbDQY07F&#10;w8qj03g/1TekxcrH0DEqAuO26uGJfCQlTrWyflpdOzltg1j7qI/3c9Cn4MXqjeWJ3c8RPEGr8wsJ&#10;T0pxALGLnf7nOOT0s66uef6Cfx14wJ6VNZR1nXfRmBd0+bPOdSHOcRzHcdqNFuKKNtU3bz1rthbi&#10;sDFvbdg7juM4jlM+v5s7qeY5nCvEvffey3X/R7RHHr/f3LB3HMdxHKd86oW4oY92PaazLwhxU6bO&#10;qKkHv1ub8077cSHOcRzHAZYQt8+QA6ftenqXdM2du3KhbgQn1lgb950IxZ6UIIX0WJ4cMSjWRk7Z&#10;lPiTc4pYCtabGjuhvMY2AX62ZKScelEX86XQ9afiYeXRabyf6hvSYuVj4FWYLBPrVw5amkoJW62s&#10;n1bXTk7bINa+fI1ozvrTxOqN5Yndj5XVlDW/EOAYO5L72lanf2IJcQMGDtursnayrrNnHbJGl591&#10;4Whz495xHMdxnPI4bmrjQlxt/mHVjXlrw95xHMdxnPJpVoh75PH7V9eWGxaef/Exc8PecRzHcZzy&#10;mXH22TXP4SaFuGl4Raqs55LZc8zN+U7jtddeCzNmzKjKZXvsscfuvakf/OAHYfLkyeGpp54yy+E+&#10;8qEMfkc9yM868Inf169fX1eWLFiwIIwaNSr86Ec/2t0uQF8uv/xyswywhDjkZ7voi8wvQZvMJ++z&#10;/xi37Afyy3xAtqXTwIoVK6rjkrHA77hv5Xccx3GaRz6bd1GyEHfBhUtu141gg97auO9EKKekpByk&#10;x/LkiEGxNnLKpuSdnPIpWG+jQhKkHgpV+MTpVzK9qF45JvRdS1+pMafSrDw6jfdTY0ZarHyMnH4V&#10;QekKMaUYZ8WXtLJ+Wl07ueVTceH9RtcfSNVr5ZH35el0uW3ntNcI6IM8DbCZGDj9g3NmLax5/oJG&#10;hLiTTz14gy7/h8vHmhv3juM4juOUR70QNwz/3Re9nnxuet2/uxffdry5Ye84juM4TvlctXBKzXMY&#10;dD2mk9cTf1pR939E27T5DXPD3nEcx3Gc8jnv4otqnsP7DBm6uusxnX31ZSGO0lYKS+TCPaZDGovV&#10;A9nNkuIolaWQwpvEEuIo6IGUTEf5Dp+8h7KpOOjxn3/++bvT5H1A4S6Gzu84juO0xpDho2uezwMG&#10;D51V+Xtb3jXznOuWywZAXxTiYmIPZCSkA0tayRGDmEeX33ff4bvrlvclkMWYR4s4snxMmkrBss3I&#10;OKl+FdXL0+Ege1npKfkolWbl0Wl8VWhqvuTpdVa6hZSs9Osyc0B5SoaImzxBLVYf15V+nahEjkWu&#10;kVbXTs66B6n54lyk+h+j1XXAWOeeztbq/Mag+FgUR6f/csFFN9c8f8HeAw8YVFk3WZcLcY7jOI7T&#10;M0ydUS/E/XDgiD26HtF1170rp9b9u3vpvSeaG/aO4ziO45QPRHT9LE49u3ndfMeNdf/udiHOcRzH&#10;cbqP319xec1zeMCQYeu6HtPZF4Q4WQdYtOQWc2O+04AIhpPR7rjjjhpxTUpuUh4jUogDyMvT1FCP&#10;lMZQvy4PaQ2nseFTnkKHk9pwmhrLol+yHLCEOGDJbhLUzXrlyW9sD+VkX9A22mhEiGPMMGaeVId4&#10;oD2MV+d3HMdxWqPtQtyMM658UjYAsEFvbdx3IhSDrJO48LsUh8oW4nDSGuvG6WAyDUCKorgDtPgj&#10;pbRmpLZWyqaEJPY5Jg7xZCwIUVZ66vWUqXatPDpNzifiq9PlnFjlU+Sc6haDa0TGRMps1lhZBmBc&#10;Oh194Fzo9dnq2mHbul5Nar6KxpciVa+VR6cVrQPEDvMp01qZ3xi5cXT6L60KcSdOG/mpLm9t2juO&#10;4ziOUy4zZo6qef6C1Kb6kjuPf0Dnf+CRqeaGveM4juM45QMRXT+Lc4S4BTdcV/fvbmuz3nEcx3Gc&#10;9qCFuNzXnsvrT08/e35tHcPC7XfdY27M9yVS4pcU4iCBSZGMUFxrVASDQEaxDH3Q6TEhTp46Z/VH&#10;pkv5j/cs+c4iFhcZE1m/4ziO0z70Ca4DBg+bXfk7XN41dcYfnpUNgEsvW2pu3HciUgyC8IKToHAf&#10;Mg0FGFK2EAd4ShYkG8hYuAfZRr6WlFjij+wjJB8p8GAsqAftWydhsVxKiEIfIC7JevGzlINkfsDx&#10;Io3lEGfGVgpvaJtyEfLK10gCPWYpOVnx0Hl0mjzpC2NgHbiPvjCN6PIp5FrCvCL2UpxCW4iljAuQ&#10;Ep4cE8pyDVjyIONMEDvGWM4RsGLVytph2/jUaRI5F7oPaIPjwyfiz/4D9AdrBWPXwmiqXiuPTkPd&#10;TEP9mDumYdz8Xsq6m51fjAtxkvnxKb8HenyOQ/C81c/gyj/oR1bWTdY1+cSR22XZIcN/Zm7aO47j&#10;OI5TLmedWy/E/evAA/bsekTXXbfedWLd/xHt5ddPNTfsHcdxHMcpH0uISz27ebkQ5ziO4zg9y7wF&#10;82qew80Icc8+98LltXUMCw+sXGVuzPclpOClT0mTaTGRLCXUFRGT3lJpkNDY3owZM2rSAE+Qw4lw&#10;8j7lO30/RmxckPB4P/XaVsdxHKc8Dp18Qs3zeZ/BQxdW/g6Xdx039Tcv1TRQoS8JcUCeFqWB4EL5&#10;xxLHcsSgVHmIM5SCNLgvJRxL/IFYI8WmGNYJYkyz+kVkHRZSJCKyzxL2v6jPKZELv8fSrDxWuhTQ&#10;NGhbikpW+RSpuiUUvxALzr8lnslY6nniukKfU/GMzW8raydn3YOi+UqtfwniKsu1ex0Aa9yNzi9A&#10;/K08BHMg23AcyezL76t5/oIBQ4ZNrKydrGvCxJ9/Icu6EOc4juM43YMlxA0YOGyvrkd03fXH+ZPr&#10;/t3tQpzjOI7jdB84mVU/i1PPbl6/+f1lO2SZEROOMDfrHcdxHMdpD/VC3DDsvTR03ffgyqt1HU88&#10;9Yy5Md+XyBXidJqVx0pP0YwQB/j6U30qnXxdqhb4IM8xDeWt0+UkKdGP0h1APr421XEcx2kPWogb&#10;MHjYssrf4PKuScf9+jXZALA27TsdSCs8FQpATqJow1PLrFOcmGbJTCRVHkCegXxDMQif+J1SDfsl&#10;T53SQNShpEQg2qBtLRMRtpc6nQoxQF9kbPAz7qX6A5FLylbom5SEIGPpmCM/+8q+6TbwO/PH2mce&#10;1GGlA4yL8wLQD/QH/UI/i8qn4HzKsaEuxACCpYwDfme6vC+R82rdxyd+T63hFM2sHcYOn1Y6yZkv&#10;rgW5XgD6hDhaYyh7HSAP60uNGzQyvwDjw3dMxxi/p757jgMsIW6fIQdOq6yhrGvUYT//VpYdOmq4&#10;uWnvOI7jOE65zLpwtHh27yK1qf6b2UfV/bv77bVnmBv2juM4juOUjyXE7T3wgEFdj+roNfP8WTX/&#10;R7TDphxnbtY7juM4jtMelty2uOb5Dboe09nXktuWLtJ1vPxK3xGdIG1BCqNoZtEuIW7BggVVCQ0C&#10;G/NKGhXiILuxrOwXX5eK0+BkfjJ58uTd5QD6gzLWq09TQhzySykOoJ8Yp87rOI7jtM6UqTNqns+l&#10;C3FHTJm5Tjbw4wMONjftHcfpXihY4dNKdxynbyCfwbtoXogbMd6FOMdxHMfpDi6+bIx4du8italu&#10;CXHWZr3jOI7jOO3hiWdPqXkOgxwhbvqZZ9b8u/vYadPNzXrHcRzHcdrD8vuX1jy/wQ8Hjtij61Gd&#10;dV1+1TUrdB1r3ltrbsx3GvJ0tBRlC3E4hS0mwUkaFeIAX4EKyY33KKnJexr0V4txKKdPect5FSwE&#10;OPaT5L6S1XEcx8ln+pnn1jyfBwwe+mjlb25516jDfrlVNjBk+ARzw95xnO7FhTjH6R9ARJfP4cqD&#10;ftauJ3TxdcDBB/2nLHv40SPMTXvHcRzHccrlD5ePrXl+72LoyK5HdN116q8P3yTzHjRupLlZXwYb&#10;t54VNmw6M6xbd3pYt/a06uf6yu+btsw08zuO4zhOfwCvKpfP4l3En928Jv9y6neyzIyzzzY36x3H&#10;cRzHaQ+PPH6/eHbv4l8HHrBn16M667rwt7Mf03V8sHWbuTHfSUhhDfKWfpVoSnpLpVl5dBplMchr&#10;1qtFU9JbKg1Q8uNpcPJ1qUWvQwU45U1Kb7qdHCGOoG2+xhWgrJXPcRzHaY5zLry05vlc+Xf66srf&#10;2/Kun4899mPZwIGHHGlu2DuO0724EOc4/YN6IW7Y7F1P6OJr8M8O+i9Z1oU4x3Ecx+kerpg7rub5&#10;DQYMGTax6xFdd5102oSa/yPauEmjzM36Mtiw7vSw5s1fhbdXTwtvvVRh9clhzZ9nhLXvnRY2bj7T&#10;LOM4juM4fR28qlw+i0Hq2c1r+LjDa/7dfd7FF5mb9bl8+/WW8M1fNoavdr4f/lrh6y/Wh2/+uil8&#10;980HZn7HcRzH6e9YQtyAgcP26npUZ12WEGdtyncaWhzTtEuIg3DG+3gtqUwjrQhxkN5YPyQ/Cmw4&#10;kc7KH0OenifvNyLEEZ5QF+uz4ziO0xyXzJ5T83yu/Dt9XeXvbXmXFuKGjz3G3LB3HKd7cSHOcfoH&#10;OJlVPof3GTx04a4ndPE1ZPjPaspOOv5gc9PecRzHcZxysYS41GvPjzppbM2/u486cay5Wd8wOA1u&#10;y8zw/vunhbdfnR5ee+qXYfXDx4UX7j46PHfnpPD07UeFp++YFJ5bPjm8/NBx4c0Xp4X31pwWNmw+&#10;o3qSnFmn4ziO4/RBLCEu9ezmpYW4319xublZn8tXn78XPv/gtfDJ+pfCJ+teCJ9ufDl88dFb4aud&#10;68N33241yziO4zhOf+b5Fx8Tz+5dNCrEnXPRpatl+eHjjzQ35TsNnlwWE8UgqyEdlCnESWENrxaV&#10;aQDCHF+n2owQByigYYysC4KblTdGTHxrRojL6bPjOI7TOFqI22fI0O2Vv7flXUMPOeoL2cChR51q&#10;btg7jtO97L33oOp/XOHTSnccp2+Ak1nlc3jA4GHLdj2hiy9ZDhw31YU4x3Ecx+ku9HM4tak+/uhR&#10;22XesoS4jVvODO+tOTW8/vRJ4YlFh4d7zj84LDvjoHDXmcPDnaf9LCw9dVhYevpBlc+DwvJf/zw8&#10;dt1h4ZXHTgjv/vlXflqc4ziO0++Qz+JdFAtx+/98dE2ZeQvmmZv1FhDcvv16c/jyszXhs82rw7a3&#10;/xQ2vvBAWPvEneGdh28Obz18U3jnkVvD2j8tD1tefSR8tuXV8NUX6/20OMdxHMcRvPX28zXPYrD3&#10;wAMGdT2qs67jTzl9jSx/6OQTzE35TkMKb5C8IKLhPoQ1+ZpPUKYQB3AqHe5DXGN5tA9BjmmgWSFO&#10;jo3o17ICtA1hDvllOk6WYz8QC1kmJcqhTxgDY4lP2Rf8LMs4juM4rTFn/oKaZ3zpQtzAYWO/kQ24&#10;EOc4juM43QdOZpXP4Vwh7ocDR+why4EZM0eZG/aO4ziO45SPfg4PGDx0Vtdjuu46YNSImn93nz7r&#10;cHOjvlHeX3taeOO5qeHp2yaGpaf/LCwcvV9YMm5Q5XPfsKjyM7h+zMBw8/jB4bpRPw53nn5QePKG&#10;I6onya17/3Szzr7Oa2+dEn4xce/wve/9XfV/zMbnL0/+t5o8M88ZEv7nnt/f/T94Dx/xLzXp3QX7&#10;ePFlQ2vur1g1OQwc/E/Vfj313Ik1aa0Qa6+7yZkjpzPBmu3J71RvAN9fxADgZytPO8H3C/HH35A7&#10;lx9h5unLDB4+PPvZzUvmB8vvX2pu1lt89ZcNYedHb4aNLz0UXrjhD+Hhy2aEFRedHFZcODU8cN5J&#10;4YFZJ4Z7f31C9efH/nhO+PMDi8OH7z4dvvj4nfDtN1vMOh3HcRynv7Fp8xs1z2LQqBB35HEnb5Dl&#10;+4oQB1mLJ6lZyDQtvUnZTadZeXQapDGmWaReMZojxGFsuj4rn+yjBaQ4LdLlnBxnEeuD4ziO0zz1&#10;Qtww/M0t79JC3JHHnFO3We84juM4TnuoF+KGPtr1iE5e/zrwgD1lOXDWuS7EOY7jOE53se+BB9U8&#10;hxsR4s7/7URzo75R3n3zV+GZOyaFey86JCw5+t+rMtxtEwaHJWMHVn8GN40fHP4/9v48WKoqzfvF&#10;//tFR93bUVX39v2j3z+qjb433hvVN6KtCBvt6hYO4IDnIIIyoyCiICIiIDKK4ohSg9brPDCDoogT&#10;CiLiPOGEosg8g2iphVZpaen79vrlN8958Ml1nrX23pk78+Q5fHfEJzLPXvOzVp7Nyf1h7eVnn+QW&#10;F849cNEp7unf93dvPznS7dx+uVlnJWjRIwuQz6z6qsG/HvuPZh8kHTJcLF1EuVoIWtI2+qTP6z76&#10;aZVQjTrLIWmOSPsFEhbmEq9W+tEAJDRZ020hpOn2j8Z5yCrEWX93ZxHivv58q/v4w+fdOw/e6h4e&#10;N8gt7N/FLSowr2/nI+DcksL1esmw09zzv5/utqx90H2x++3iznJWnYQQQsjRhiXEdereNLzlcp3q&#10;GDB81CFdfuS4bI/erGcgjkHkkseKAohb8ihT2SUNu8bpcvqxp36anwd1WOmQ0fROdMh3wQUXFAU0&#10;2VXN350NSBkrTaPrju3MhrEir4wVIAZ4xKrs9KaRvvnjkt3gRNgT8DN3hiOEkOqwYOmykms8wKYw&#10;hd+/+Rx+5SMvvta8YU8IIYSQ/Ol3zriS63BaIa5n356ddTlAIY4QQgipHd17nV5yHe7Urenmlst0&#10;q6Ohqef/1Hl/e/sI80Z9Vja9falb/bv+7v6Rp7j5AxqKu8DN79vZzT3rRDevX/ONduwat6h/Ia3f&#10;iW7JiO7usem93MtLz3Xbt1xm1lkJWrTIAnYAs+rLm4VLBx5pU6Qv7JaE85JHdiXDDkpIwzmRVmot&#10;kvh9FWQc6GueQk2ovbTksfuXniPZqc6fI9J+oRDX9kIcdpWU33NtvRtkW9BzYJ+Sa/fx3RrnF2IR&#10;PDo1NP2qJH+B515cZd6st/hi15vuvUfvdmuuH+8Wnn2Ke3Bw9wLd3P2DurqlYGBXt6zw88Nnn1S4&#10;dnd2T0w737295Ba3/71n3d++6bhC3B13zCmuwZ///KeZ0srl3XfWHfnc4b2V52jgxRceL8YVcVj5&#10;xFIzDykfiS3WsJVebaZNvdSdemq3Nmu/EpYuuavY99EXDjfT01CN3x31zqefbHYDBvQuxg6fbytP&#10;R+Hw4V0l12KQVYjrNWjYF7r8zOtuMm/Kk/pC79hmiW2EEELaP8sfW1lyjQe5CXHW49YmTP5Dq5v1&#10;hBBCCKkOeFR56bW4cUPLZTp6nNSr8fTSck1u9pz+5g17QgghhORPY9/SXWZiN9VL8hVY9NBF5o36&#10;LOw9ON1teHa0e2xaL3cfRLh+Xdzclt1m8KoppuExqkMa3LKLTnXr7hjktn7QLHvlDQQPHzz+shCG&#10;IlZ6rR4bCNELfQgJeOiL7qeVpx52iKsWlbaXh+yUNEekfUMhru2FuKOdgSP6llyPk4Q4PI6tJH+B&#10;N99+wbxZb7H3rdVu7eyJ7v4Lern5A5sfaQ7mFa7LwgLsGjegwS0Y2M09PHaAe+53U9yOF1e4v329&#10;z6yzGkCkgIjyf//zMUfW53HHHVsUbKohkM2ePfNIO1nSygXjkzo7ujQSQ8cW7608pHzaOrbSPrDS&#10;6xkIXdL3cj+j1fjdUe/o322IoZWno2AJccd3P218Yeypj1PPGvyNLn/jzbeZN+VJfSG73mHXOSud&#10;EEJI+2f12nXq+t4MdmtvvoJXeFjbvk+ZcZd5w54QQggh+YNHlevrcKfuTbtbLtPRo0tT0xhdDvz+&#10;lgHmDXtCCCGE5I8vxHXq1vRoy2W65LD+7q5UiNuzd6rb/N4E9+qD57mHxp3mFvRvcAuxC5whwwHs&#10;Fofd4+b17eIWnN3NrZrTz21+91Kz7mogkhOw0msFJDb0ISTj1JuoIn05moS4pDki7Zs81kh7h0Jc&#10;23LexQNKrseha7ccfYcObfUf0fDYNutmvc+3f9ntNq1e6B6+dHBRTNePSfWv0UifP6CbW3zuae6J&#10;KSPcB0/Nd99+tcusN0+wu5AWUUJAjLPKl0tMXKmG1HI0CHFpdsfC2JEOOmoc2hJZY20lxEFiRfvY&#10;McxKr2fwOwZ9h5SL30s6Le0Oj0ejELdt2/o235mwlvjX46xCXJfGPt/r8hTi6h88BrUwdUUefvhh&#10;Mw8hhJD2jyXEYbf24gW80sPa9p1CHCGEEFI7fCHu+O6Nh1su09GDQhwhhBDStvQelE6Is/7uXvHk&#10;xeaN+rTs3Ha5e++FMe65u4e4B0af4pYM7OoWFx+ZWnqTvZQTC3m6FnejWTmrj/vglbFu/yG7/ryp&#10;FyEuScahEFdZe3nITnnUQeoXzi+FuLYmqxB3Wr/Brf7uThLifvjbIfftlzvdH7e/5t5ecrN7YGRv&#10;t6RwjZadXH2KklxRXEf6ie7B0X3dOw/e5v765Q6z/ryAdCICDYCIAqECohTA+zx2bbKgEJc/R6MM&#10;VG9I/NtKiOuopP388jPQ8TnpjH4l1+NO3RpnFeY79aHLggVLl5k35Un9cNJJJxU/09glzkonhBDS&#10;MXjp1ddLrtEgNyHO2vb92usfMG/YE0IIISR/Rl58bcl1OK0Q19DYOK20XJN5s54QQggh1aG1ENf4&#10;fMtluuSw/u5e/dw480Z9WrZunOjWPzbSrf5NP7f0/JOLMhwet2bdaP8RCHENbkG/BvfI5Cb3+orz&#10;3Zb3JxR3m7PayJM0QtzsOY3F9F69/6X4M8rgsZk496/H/qN7dX2zRLhx88RiXgg18vhSgLwou3Dp&#10;wJJ6gdSTJ+iD345w+11nFvsiedFPPDZWxpAWKe8LanjErKSFHjeL/iFuks9CYi3IeWkPrzrGyG+1&#10;lxRfv/8WSXVIuzJ25MfPmG/pI171/Ms8+HHA2onNn8yd5EE9ug6ka5EJ84r5lTGgH2nGLOV0jPE+&#10;tFak/lDdWrQKrQuUlXasdPlsST1A4oXPnlUmy5xI3XiVcwLiLGOMzY9PteYZ763fJwLmCDsaoh3p&#10;N5A5DM1BSIiTOpIexyyx9ceG/kt8gfQjtpas+GCesU78WOBcaA20J8ZOHlJyPQ5du+U4pU+/Vn93&#10;WzfpNd9/d8AdPvC+2/Xq4+6l/3GlW3puo1s6sGvx0aj29bkZiHFLBhau5+ec4l6/d7b704H3zPrz&#10;QstueFyqlQesfGJp7juKUYjLH8pAbY/En0JcvlCII0IlQtyxDb1/psuC5Y+tNG/Kk/pgz549Rz7T&#10;t9xyi5mHEEJIx8AS4vB9evEiXulBIY4QQghpW8oV4k4+o+ma0nIU4gghhJBa0n9Y75LrcC2FuM0b&#10;JrjXlo9wq27s65aMOMktSnhkajMnFvJ1cQv6dXYPju3hnrtrsHt33UVu+5ZJZht5IhIOsNKB5IHQ&#10;AYlD8gsijojEEgN16bq1rJIXfhuC1XcB/QhJMhZSzm8rJNQIvhgUArHU5eQ8hJxQHdYYkuIbipUm&#10;qQ5pU48dApDOA6QtiD5+mo8lZQGRimJxAOgLhKlQ30P1Ay1/WVhxlrUP0UmfF+RxsyAUcxkP1qk+&#10;j7aS1g3atdZv2jkBEls/Noij5Ec/0opXec2zvLfAmKzySWsWWJ9PHS+dLvOLenV+jY6TlvViv3es&#10;8Uuav04Q99g6SPNZrnd8Ia7w9/eGwtiCRzlC3Hff7HOfbH3VffjUAvfM7AlFwS2tELd0QFc3v5B3&#10;3e+muL1vrXJ/+eNH7m9/PWC2UwlaMEnzeEU8ls9/jGElUIjLH8pAbY/En0JcvlCII0LvwcNKrsed&#10;ujXdXJjvVAeFOEIIIaR+efe9jSXXaEAhjhBCCOkgjJ1wU8l1GLRcpqMHhThC6oumph8Fjf/r//rf&#10;zTzV5vobTi+2jT785Cf/Pzdy1H+Y+Qgh+XDO+aVCXOimuvV390tvVLbLzraPLnPvrLnQrb11sFsy&#10;8mS3qH/XFEJc5+Iucrghf//oU9zTv+vv1j9+gdv24WVmG3kCiaIQiiJWOtB5AOQbiCgQRpAmuxxB&#10;GoHggTS98xHyaZHDEmpEerEEERASVTSSbokhegx6Zya8iuziS2gxQm3F+qn7AFlI4qDjExq/lBNQ&#10;l5TXAldIyEqKbxqyzBFAn9BPnMd4JR54j37iVUtcei6AtQOY9EFAfplLLWBJPPAq0hTyaTnJqh/9&#10;kXTUrfuH/DJPqFevY7Qh5SwxDeOVdNThp6Nvki79BVqCQpt63aCMXlNoQ/cJpJ0TYM0vxiKxRD/8&#10;+mNUa57RZ4kJkPMa9Blzjbr9edLj0WWAjpeODeqR81Z/gawt/RnU68maO4xL8gqSH+n6PMrjPPqv&#10;+4A20Lafvz0yZdY5Jdfjqghxf93vDm58wb27/E739LXj3KKhpxZ3aA09MvVHmndynVe4pq+68iK3&#10;8bH73KEPX3TffLXTbKcSIMEVhlcEspuVJw2Q5KZNvbTk0avYTQ71L11yl1kGlCvEoa9oD7vboR3J&#10;h8e9Ype7d99Z16oM8IUa9Bv5pQ684uc0sfAfJQvwM86HpEH0S9rBz9h1D33GObziZ8mLuCF+Oqa6&#10;Dckn6LnMgo6VxAGx1XX7SD5L+EJc0RfJAzAG5C1HpkR9mBM/1qgT/QzViRghH/qCn6VfUh7xtvov&#10;oF6ZY5kjgHGhHj1XPpJX1y9to986rw/GinzSbwHrQcdA1rq1VqUtvw6AcaFfel1lnR+pH/2x0lGP&#10;zL+1VoH+LOoxyLyhvH8uhuQFGIs+jzUufQZJcx9D6kGfME6ZL2DFG2NDHr2GQnOnxx77HaTjoc8n&#10;xRz46wjgZ+v3dDXnuVLOHjm65Hp8fLfG+YU2Uh0U4gghhJD6ZfuOnSXX6GYa+7Rcxis7KMQRQggh&#10;bYslxOGP9JZLdfBoaGq6xS9n3awnpD1yybguR748EyCcWXnrhf/v//vxpimw8lSbc875t5I+oE9W&#10;PkJIPrSlELd3/9TiY1Nfe3C4W3ZxD7d0YDe3eEBX78Z6a0SIWzrqFLd6Tj/3+sMjio9NtdrIEy3U&#10;WOlA54GMkUWKEUKiiWDJOJqk8kDSfTEE/ZU0S0ABkE0glVhpFqG2Yv0UicdqR4szWh4SJA1oYUrQ&#10;c2QJQknxTUOWOQKheYqBuRJhyY8tkD4AK44iJQHU48dS12+VF1ErtE50eawZfV7a9fuN+ZA0wZ8j&#10;kZ0A6pLzel5D8dRl/bWRZU78+UXsZKxZZbgkdBzLmWc9LuvzEEPH1E/T9fqxkv6G1oak68eqSluW&#10;fBdC2vfjIjHR9Xc0rvnN8JLrcafuTbsLYw4e5Qhxf/v2gPtsx3q3+Zn73brfTHaLh/YoXqPn903Y&#10;Ia5f52Yhrl8X99jk89z6Bb91u994yn1zeIfZTiWIzJAk6cSQR6minhAQKizZxhdX0qYltQcgYvjl&#10;tJwBgSNUD86HpDqc1zKRBYQXq7xuHwKKLgNE0tHCSwhfUtHCTxZ0nKQOjF/XrcF8S1lfCoOgJmkW&#10;iFta6QoghlY9GvQ1trYQp1i/ICb5ZUGaeIakKitdz2lobWEckkdLiVq68rFkJZyz0lB/bO2GxuOj&#10;x2JJTnqNWP0DMif4rOjzMm9AzqX5PITqsD5nQmjuY0hs0X8rljov2o79rvJ/z+j1jjHrujTSLl71&#10;eSlrzSPmXvoewo9HNee5UioR4k5o6HFMSdkCFOIIIYSQ+oBCHCGEENKBmTD5DyXXYUAhjhzt/NMx&#10;/8eRL9gE7Hh2881nmvnrAQpxhBx9jLjozJLrcOimejWEuCIHp7t3nh7lVlzWVHwU6uL+DcXHrQHr&#10;RjvALnIL+nVx9194slvz+/7uzScucNs+qL8d4ixZKy1Shy96AF/G8YmJKkKofggzklZJ/zWhtmL9&#10;DJXx063xSVpIhkmKT1J805BljrQslpVYO5IWEox0H0I7eYXq11KbFUNByvtilAiPft9EWEM5kaZ8&#10;iSsk4snOcklCleTzx5RlTnRcIOxVS4YTdHuhtNi4kQ5Cn6cQOib+PMfS9GNv/XjoHeT07xgtK6b9&#10;3SP5/XHJGrF2AuwoZBXi+gwZ1mpndusmveb7vx10Xx/e4T7d8qp7Y95v3NLhTe7+gd0K19/4Tq4i&#10;xM0tXKcfvWyYe/Xu693OVx51X3++zWynXLR8oeWbLKAOET4gPGhBCmlaKsJ7XRZY8kuaNLQJeQPt&#10;aRlKCyi+LAK0kAaQF2WkDl0e49F1Ay0UIR+EEckDYUT32SpvtY8yOI+6RE7De5THqxZm0IaOqS+k&#10;gVjcBN0PaRNowcWqG4ic5QsuWp5BH0SgQQx0XEPijIWsL6xP3U/UqcdprV+dDjBvUocfR/TPL490&#10;9BVpWgZCHbIGgD/HQNLQBzmHfHI+9HlDW5JH2tSfU2u9WZ8rEZ/8WMscIab+ZxXzqvsbA23rPvnp&#10;skYEK0ZYP0jzJSw9b/o8CK1bn0rnPobEVsDPiCXQ8dPzhvb05xh59e8RHR85j1c5p9Gx9/su5615&#10;lDGjPZTz15FVtprzXCkXjp9Qcj3u1K3p0UI7qQ4KcYQQQkj98vGhT0qu0aDwt/rwlst4ZQfMOr9y&#10;CnGEEEJI7Zgy466S6zAoR4jrfFpP82Y9Ie0NPPazsMRN6vkRoPUgxPGRqYTUFl+IK/x9fbjw+Wt1&#10;VE2IK/D+i2PdY1ecUbyJvgiyW/8uReHNutEOlgzoWuTBS3q4lxYNdR+8Otbt3HG5WXeeQLoohKKI&#10;lQ7S5EmD1GEJLDE5BsREFSFUvxZZ9PlKCLUV66dIS5bUpstZ4oykWbETJI8Vn6T4piGPOUpDrJ08&#10;+hCqQ5dNg19ey096BzgRmZBuiW9axPNFOTkfm3cg9UJi0+ezzInEBRIakPfVkq9C85CUJkiepNj4&#10;xGISS8PnUtL8eZKdCX2BT4uFeEW5pHhKG/64tHSHdkLCZ3vGF+JC1245yhHihK8/3+7ee/Ret2xk&#10;H7d0YFe3MOmRqWc1X8vn9u3iHp9ynntz4e/cntefdF9/ka8Qp+USS6BIg8ghvtSh0fIJBAudpkUM&#10;fT4pLUasnB4z+qwlFUGLXb5wousOCTmx8rr9WB0xEGf0HeWteUsTN90Pvw9Sd0hgkXRf6pLzljgD&#10;dJtW3MshJH4BHQfIRf761HHMKuvE4gckzZ8fLSXp8366lqFkHCFByiIUFzlfrgCrEXHLir1IUIL/&#10;OdCymC9extZvUtyFas69xBBYYxdkLvFqpes+6M+M/v3h/7700/1xyXl/3el4hz57EjN/bVZrnisl&#10;byFu9dp15k15QgghhNQWS4g7vvtp41su45UdlhB305wV5g17QgghhOSPJcThj/SWS3XwoBBHOip9&#10;+/74v679neI6dfqFWaYeqAchjhBSW0aPa3shbtP6S9zTv+3nlp5/kps/sEtxd7j5CUIcdol7dGov&#10;9/aqUW7n1svdvgPTzLrzBNJFIRRFrHSQJo8A2QPiD2QVEUF8LIElSYCJiSpCqH6p25dVKiHUVqyf&#10;Oo6IkYgxyCcCEqQ5XUaQclbsBMljxScpvmnIY440kIMgcoko6GO1k0cfQnWgP1I2Db7YqB+NqoUp&#10;+RxAqNJtSLoWnbRIp8ei67PQa0ufzzInEhc9H3l8Zqoxz0DyhD4TiCXmSPJZ+DFJipd8Tv1+yRzj&#10;c63PA8y7/7sQAl1oPiSPNS5/jaJejFGvm/bMb28fUXI9ThLimvoNabUzu3WT3uL7vx5wm59Z6h6+&#10;ZGBRhgMQ10PX6Xl9uxR3ksPr6qvHuo9WL3af7XjNffvnXWb95aLlEl+gSIPePSgm2Oh8fjtaXNHn&#10;k9JixKQZnRYTNCSPL8uIAJIkJ0k+XyLR7YfEsTSIlGNJKmniFosRxozzlrSFmEk5Ldbo8zq/j+Sp&#10;ZOyatOvHF4eEWByTkLrRTto0HSd//aGPkhYSpEIyk09oXCJpYX2GYpIWfOalX7ouLUFJe/7nSMZk&#10;rbHYnMbWraaacy/lYjHUcxnrp9SlpbmkXdlEULNEOynnrzuZq9hYdWz1OqvWPFdKayGu8flCW6kO&#10;CnGEEEJIfeNfpynEEUIIIR0ES4jr1ND0q5ZLdfCgEEc6KrLDGcAjQCHByc+gXh+bSiGOkKOPehDi&#10;tm+6zL2+fLhbdeNZ7qFLG93Cc7oWpTjcdF/cslscBLglA7sWH6ta3H1mWHe3ek5f98FrY92+A9PN&#10;evMmJNJo0uQBkDVCEpzGEj2SBJgkUQWE6k+quxxCbcX6qXeYskDsrN3hgOSxYidIHis+ecQgqY40&#10;cwQwxpAcpbHayaMPoTr0Dm+x/seQcckOcNIfzC1+1tKc7PAV2l1Mj6WWQhxetXhl7WiYhmrOM5A8&#10;1mcCfdZthPBjkhQvvUZEQgsJjRoRhf14WAKdpIU+6yL66d+1eJ80v+2B1kJcE8YXPCoR4sDOVx5z&#10;T115oVsy9NTio1AhwyUJcfMHdHfP/366O/j+Ovf1F1vd998eNOsuFy1AWFJPEmnlFCA7IfkSR0x+&#10;iaXFiPUrbZ9DsoyUTYqXCCK+CJK2/SRC/QNp4hbrh07zpS2R5XwhULeZhqT4pSU21jRxkDwxUSiE&#10;1G2NJZYmnwVfHsLuWlJOi0cQpKQMXpEvJGIJofWhhTzMoT+/WdBClN4ZTCQofAZCQpRIXX4MQGze&#10;0n5+qjn3odhqdD/T4NclbfifMy3LWXMnaf66k/rSomNbrXmulElXXFFyPaYQRwghhHQc/Os0hThC&#10;CCGkgzBz1vyS6zCgEEeOVq688rQjX7oBPAIUj/3U52KPAdU7yqEuyHPYcU6fx/tLxnUxy4PJU05y&#10;TU3/0kpwg6gHOQ/pVrmQEOe3rctotAiI9nUaxEBdPx6Hip/9WOhHpgIrVohLQ9f/pyQf+oVzKO/n&#10;J4SEaS3E2TfVrb+78xLidu+Z6rZsGO/efHKke/p3A9yDY3u4hWc3FEU4keAWD2hwDwzq5hYVXhcN&#10;7eYemXy6e2HBULd1Yz59SENIpNGkyQPhQwQNSB8QavxHA0odluiRJMAkiSogVL8IR0Cfr4RQW7F+&#10;yu5SKCOPuASIF/oY2+VJ8lqxEySPFZ80glESecwRkHqwXjAef9yxdvLoQ6iOtP2PoUUsrH/5GfMr&#10;eWQdyDn53PhyFMpLXbF5B7KesJb0+Sxj8uOiPzdJQp6F1FeNeQaSx4+NHjPy+I8WjcUkKV56TmS+&#10;JE4iQSaBemUNWO3I+aQ5B1pCxqv/O7e9cef8kSXXY1AYW/DwhbiTzuhn3qQP8emWl91bi39f3PHt&#10;odF93YJB3d38vp3dwsL1Gczvh/cNxWt18ZHnZ3V2D114lntz0e/dF3vfdT98/7FZbyVoacMSd5LQ&#10;0glEDSuPEJJIYuJKLA2gTexeFJM9fGlGj9lP01j91WX9RwP6hPqetn0B7UA48R9NKPjxBElxA0n9&#10;kPZ8gVHELAgw+ryIcmnJKmKhj2hDBBsLv0yaOEgeK44A4hnGinQZuw/q8MvF0mTHLdSnxTaRKP2Y&#10;A0hJfvuIR2gNWetXwJrS9aBe9CnpM2wh60QLTzIOxE0LXNJXjFnOWZ+j2LwlrVshj7kPEYut4Mc4&#10;CcQ/VF7v1hYSzwQp46+70O8PC9Ttr4VqzHOlXD37+pLrd+Hv7A2FtlIdFOIIIYSQ+qZ7r34l1+lO&#10;3RpntVzGKzsoxBFCCCFtiyXEYSeZlkt18ChXiJt5ZQ83ZsyJhKTilj+cZa6jagERrLC8i4g8BqlN&#10;zgGIYH45QeeDRKalLx+Icn55/bjWGJZoFhLi/B3uLKEOgp7Og77jPMauhToLXR/e6zR/jL5c6BOL&#10;bb1grVNCkph9Yy9zPVXKuEnlC3HvfnC5eaM+K/sOTXe79051W96f6N549Hy35ub+7rEZvdxDl/Rw&#10;S88/2S0+r3txR7hFw7q5+0ef4h6feYZ77p6z3dvPjHa7dk0266wGkC4KoShipYM0efQuSeXscpYk&#10;wEAakfK+QCKE6te7OoX6lpVQW6F+ol05r/OnRcpasRMkjxWfpPimIY85soQin1g7efQhVAeELSlb&#10;ya5oUgc+EyI+aaFMPk8QmHR+S4gU2SlJtpJ8WrwDaeIh+HHBXEn/pa9+mRDVnmcgefzPhEiI6LM+&#10;L8RikiZeIh8iNhinxD6LNKjj4/c/dD6E/t2bNMf1zqKHLiq5HoNjG3r/rDA286hUiPv6863u4w9f&#10;cBsfu8+tuWG8WzbqTLdgYDe3ZOCPu7cuLbwuG9ytuHPcAxf0dquvHec+WrPUfXN4p1lnpWhhIasU&#10;ArR0kiTThCSSmLgSS9OP8YvhSzNphRqrv7pskuAR6nva9iHBpJFYrHmLxU1I6oeOr0hbencxf75F&#10;jgH6fKWgbZmLJPyyaeIgeaw4Yo59Cc0CdfhlY2nWjltp5CHkgXzkrwuc8/Na61eD+cMc6/HhfWxN&#10;WogIqQUtqU9ELumvSF8Yn+SRtaWJzVvaz0+lcx8jKbZAxDWQNaZArwctyyXtuCZl/HUn85x1rEI1&#10;5rlSfCGuU/em3YW2Uh0U4gghhJD6ptvpff9LX6c7rBB3221rzfOEEEJIR+Xa6x8ouQ6Dagpxw887&#10;4ciXE4Qkcdmk7uY6qhahXdJ8qSy0k5nOkwa/Hl9qi5FUVs77Ehp2YtPlAM7pPFJ3GkEvrRAHuQ47&#10;y+l0n/YgxP2f/+f/ZvadkBgnn/z/muupUiZN71ty/QbWTfVqCnFg38fT3e49U9y2Dya6D14Z6958&#10;apR7ddlwt/aOQe7J6890T1zdx62a0889f+/Z7vXHzncbXxvrdmy5zO0tlLPqqwYi5wArHaTJo6Uz&#10;S+zR4o8leiQJMGlElVD9WnQKiUWQWdLu8ARCbYX6qccfEoRiSFkrdoLkseKjJR4/LS15zJGOgyUQ&#10;QRSSx0pa7eTRh1gdWgBDX/z0NOj+S1/0Z0LHQPL4O7sJepe2kJCmP3v+mNPEQ7DigjZF+BIBTJcJ&#10;Ue15BpLH/0zIWg/FtNJ4aQHN3xHQyh9Cyvn9D50PkWWO651aC3Hff3vAfXN4hzv04QvunQdvd+t+&#10;M9k9Nnl4cRe4pef1dIuHneYWD21m+cX9i9Lc2w/c6g6+/5z74bt8H5Wq0TtuZZUWtCCVJH2IkOGL&#10;HDFxJZSmpRgIHv5uYzFpJpamsaQXLan4womPCGKQRPT5rO0jbmjLF9Cs/gmxmApJ/dA7PomgJVKM&#10;tYNZmjbLQdeL9vVuWX66Pp+UJkgeP46Ya1mzmEPEwP98SN2oQ59PSgPyuZNYijykhaMYmDP92fXn&#10;MLY+fNC2jBWvWX4P6N8BeC8/63UvcqWck8+GtY5AbN6S1q1QydwnkSa2afsZQz5vEjf9mfQ/B4Kk&#10;++suy3qwqMY8V8rvbr2l5PpNIY4QQgjpOPQcMPR/6et0p25NN7dcxis7qiXE3XHHWnfnnc+4O+9a&#10;4+66e427596n3T33PO3uvXd1gcL7wrm7Cml33tWc7/bbKcIRQgg5OsF1178W4/rccqkOHp0bT5+r&#10;y3Tvle5RhxTiSBZqKcT5u6Th0Z6Shh3TdJrsoOaj8wAIYJIXkpm/25pfDwQySHmQ8bRoBpnMl9b8&#10;XeJCQhzQIhre6zTgP75Uzus6IQWiHziPV7SPcmmFOD9Nl5PHqFKIIx2Vji7E+ezeN9Vt+3Cie++F&#10;Me7Vh85zryw51731xEi38ZVL3LYtl5llqg2ki0IoiljpIE0eLcBASBEBCK+6PLBEjyQBJo30Eatf&#10;JBkAiUX3T6SjmHzjE2or1k+RrXwgHKFt9DG0y5TktcYmSB4rPnoOpA3MWSiWFnnMEdCCleSDTIR+&#10;SVqonTz6EKtDy04QqtAnLTqhTqwf9DMkqGmJDVgSoh4nCO1Ih/UpefGq++N/trB+/PJp4iGE4oI2&#10;Y22EkH5XY56B5PE/E1p4Q5rEC/Olfw8APyZp4+XPn78zn4A+Ig3rSs7p3znAX0dy3h8X2sQ60fnx&#10;Xn6vIF3nb4+sePLikusxwE3ywvjMo1IhDnz/3X73l8+2us+2veb2rH/KbXp6sXv7gf/hXrrtSrf6&#10;2kvc09eNcy/84Qr31tKb3dbnHnKfbHmlkD//nXU0WhzROxGFgCwjwoze6crapUrQ+USuEmLiSihN&#10;xIuQPBSTUXQapA6dJmB8ksePiYhDSZKH5PMFwDSijG4/FNeY4BKLqZCmH760JWPy5xCI0AVCcS0H&#10;vw8+5awfjeTx46gFoKzyUVIa0DuIYb5lPv31EkOvE7+d2Pqw0OMNrYcQsi7wWZHPph6HXmuIZWwd&#10;gdi8pVm3IFaHIHnSxkhIE1str6X5vWrhr0FZM1pC85H8/noQuQ7I7++s5D3PleILcYW/sw8X2kt1&#10;dGpo+lVpWQpxhBBCSD3Rc8DQH0qu1d0a57dcxis7OnVvGl5ScYFKhbjbbnvW3XPPM27+/Cfdgw89&#10;7J5ctcQ9+8J899Kr97iXC6x7fm7x3IpHH3T3L1vhFix8oijHldZDQY4QQsjRAYU4Us/UUojTwhlE&#10;L50GmU33S0tjGp0HaKkO+NKd/0jRGDHZDMSEOP0oWIB+SBr6qNO0pKfrxJhFiAuRRYizHvvaHqAQ&#10;R8qhWkLcjKtaC3HWTfVaC3Fg74FpbvuWSW7Tm5e6ja9d4ra+N97t3Ha523dwWkm+fYdKy1ULLdRY&#10;6SBNHuCLQBrIGrIjlC96gCQBJo2oIulW/ZBiQkIaQP9CgpOFlPPbivVTp8WwBCpJs8YmSB4rPlqs&#10;0sTq88ljjoAWrCxknqx28uhDUh1J/RMQU6u8luqAJbv5n5XY2kN91txpMBYt7glp5wTE4oIxSD1p&#10;dzis5jwDyeOv4aTPuk7zY5I2XjoeQAtvGuljCGttSJo/Ll3OItSH9kRWIa7b6WfdqPOWI8Rpfvjb&#10;x+4vn291n+1c73a8/Kjb8PBd7r0Vd7sdL65wn2x+qZC2xSyXN5AjRFwAMbENwgPy6jyQM1AOryHR&#10;QnYKQlk/T0xcCaVJfSExRMtGvjSjpQ30x5KddLt+eS2WhESptO37aQLqlTyWTIIYStwtKUe3H5qT&#10;NP3Q9WjhzaoT5yQ9q2AUQ9ZmSBSTtQD8tNjaEiSP32c9dn93PqDnCHX46bE0oOMlchHIKhNKOb+d&#10;NNKWJs16CCGfCaxJWZf+upV5lH4BK64gNm867rFYxeoQJE/W9Zo2tiJzWr/30iJxwxqR+mKCHdKB&#10;vx60XOenpSXvea6Uu+fdXXL9phBHCCGEdBwGDB/1t5JrdT0LcZDbFi5aWRTennvhPrfhgz+47btn&#10;uwOfzHIHP73K7dgz223YeIt75fU73drnFrjHnnigkP+Jwh8cdn2EEEJIR+bmW54quQ4DXJ9bLtXB&#10;g0IcqQW1FOL0Lmr6camCv7ub/8hSoNNDu53pPFY7kM4gpaG83rnNJ4sQ50tv+rGpviynx+XvSocY&#10;4Zze3U0TE+J8qRAgphhrkmhXT1CII+VQSyEOX7QX2iw52kKI238IUtx0t+fANLd3f4GD09y+g7UT&#10;4HxkN6XY7kJp8giQYLRwAgkOYgckFdmdyRJqRBAK7UAFYUjqDMlDIg2FhB30AX3x+wcpJSQ3hQi1&#10;FeqnFtIwVl0GQL6JSUdJYwOSJxQfnNc7ZCEOWSSaPOZIwHh1X9B31I84YYyhdqRMJX1IqgOgH+iP&#10;SJwAfYTglGa96HKWWIVzko558NN90B7a1WsX/cEY8JmzyoAsc5IUF2kb7VrpFtWaZyB5rM+EfNb1&#10;PKD/Eiv0A+f8mKSNl84Xi0ds3kKfPembPy7E0l+TeI9zSXPbXrCEOOvaLUeXpjPv0HkrFeKEv361&#10;232x9113cOM69/EHz7vP97zjvv5iW+u83x9qfS4ntAwDIF5ACMJ5gPdacNAShBYtUE5LKpBXtLCE&#10;eiRNiIkroTQtKyGPyCZ+e8CXe/yxQuCQ8aAeXbclvEDuEOlDykr7SNN9Rl/88rp9v28aaQMxlXxo&#10;B+1JGrD6qNsQkQx903OTph8oI3lEgAmJaUCLXeiXbg99x88oj/7rcjFkPiXWch51iSAk6HIgtrYE&#10;yePHUYtX6INIPf4cA/ysy4JYmuCvVcTYyoe+IW46nuiHCEoA/fXL4Lw/LsQR86Tz473EMsvcCJgX&#10;6YcgnwnBHyva0+mapHnTdaAd+VzoPEl1AMnjxyiJUGx9MF/SB8yt/l0B8LnDXCDm/vwJMsfy+QOy&#10;Fi0kj7Xu9OcF9eo2USf6hzFZv7dA3vNcKXkLcS+9+rp5Q54QQgghtccX4jp1a3q05TJe2VENIW7u&#10;3CfdU6uWuvVv3eY2bf2N27n3Bnfwj7Pcl19f5/781xvcgU9nuR17r3ebt89x7334e/fGW7e7NWsX&#10;uIeWP+zmz1vp7rqLu8OR+mHw4PHFf8j/5Cd/b6ZXyvTpdx/5YwHvrTzEZuLEW4rzgtiNGXO9medo&#10;ptprNwms51/+8t8KfwR3dVdfvdjMQ5qptRAHZt/Yi5BU3PKHs8w1lDexx6UKELd0Hmt3N52eRojz&#10;86BdLebFyCLEAV/oEwlNS3d+f5DHLyf4j0sFMSEOYFc4na6BmNcexDisSWutEpKEtZ4qZdZ1/Uqu&#10;36BuhDhyVCKyW5L8JOKMvzsUIaR+gHAn4ho+21Yekp3Vz40ruR6DLEJc78HDzJv0WcFOcd9/e8B9&#10;9+c97tu/7HF/+2a/+/67A2beagI5A2JGYahRrN2JtHwSIrSrUUxcCaVBwtByh49O82UvLYJZgoeA&#10;WITEE4guSbGCWOLLIkC37/dNE+sbkDGGpBwrPjpv2n74gouWsiy0pBUiJH5ZQNqJxVqP0y8bW1uC&#10;5LHiGBsL+iSSEurwy0o+K03QwhQIfUbQN53PxyonZfxx+WV9kubXAutc14E58fP469mSY4WkecN4&#10;dV1W3krnPkYothZJn2Mh9LsG61/ns2KrkXzWukv6vSlg3ftlpbzOV+k8V8rShxaVXL9Boc1UB4U4&#10;QgghpL4ZOuqSv+jrdFWFONyYt27Yp+KOZ90Dyx5x69++zR345Gr3xZ+vdR//8criznCHPpt15P2B&#10;T64qvAdXuj37r3MfbLrZvfjyPe6RRx9y9973tF13TowYMaPwD7euR0QaAGkD8gilDeLTp8/II+vE&#10;Sq8USF1SP95beYiNnhu8t/IczVR77SbB+UmPJcQd3/208YXYRY9fn9JU8sV8FiGOkHqjU6dfHPmd&#10;kRb/sapAp2cV4iCDpZXhQFYhzhf6IKf5O8dZjzFFv9BWqG/68atJQpzk8fsqQL7z8xNCwqQV4qy/&#10;uynEkWqQ5hGQWrKhEEdI/aIfB5u0WyBJjyXEHdfQo2shzuZRLSGunoDwAIFBhA8B4gMklNjORJCq&#10;IFLonYzwHudiwpXsyAbBKEsa+grpQ7eHfkLIQLpIVP7OSyKYiJSFn7X0hfMYK+rX5XwQC+TTggna&#10;RF3SBwstuPh980HcdN9QP+KJtiU2SLfKov/IK3HAuLQkk7YfWtqyBBgL6be0DdA+1hX6nRRbH4xX&#10;jwWgfrQj40CaXy62foSkOGIu9RxLHDEGmRvU4ZeTvlppGj2m0DzE1lpIYJO++eOKfU6T1mMMlJf6&#10;QjKWjBWvsd8laeZNf/YlFjo9j7kPEYptCFm/OuboFz4PSb9XgZ73JGER9SJfbN1hTVu/4zGe2O8u&#10;kOc8VwqFOEIIIaTj0i6EuLvvedotXPyYe3LVYvfBlt+6r/822/3gfuO++Opa98nns9yhz5olOLz/&#10;7PA17qtvrnff/nBj8edtO2e79W/f7p586n43d+4qs/5KwW5F//AP/+3IP94sIMlBmLPKtxVtvctT&#10;GkQuRF+t9PZMJVJRmrhQiLNJs+5lhzjA2LWmrYU47Nonc1jN+ekouyz612IKceRoAsJXYUmXhb+T&#10;nE7LKsT5u9RB0tP1J8lmSUKcP07Ujzr0uaQd2tBHvx0tBqYR4gQ8QtUS7SwpjxBiYwlx1k11CnGk&#10;VsgOcQCym37EIUQ4PD5RP1aRkg0h9Ys8tjRpx0eSjZfemFhyPQZHuxBHCKktIiallQ0JIc1YQtyx&#10;Db1/1nzFjh8U4gghhJD6prUQ1/h8y2W8siNPIW7hoifck08tca+tv8Nt3XWj++Ofri4+JlXLcADv&#10;sVsc0v/052vd/kOz3LbdN7m3N9xalOnmzstfiIMkIXISwI5wEN8gaQCII1qWs+poK9paakmD9K8j&#10;7gJVSfzTxAXrT/JR6vqR9rDu652jJYYd5TPkX4vTCHH/cUrTUl2GQhxpr8Qe45kEHvOp69JpWYU4&#10;X06DXKbLVSrEAX8nPP24VKRZZSz8euR8FiFO8HepS1OGENLM7Dn91bW7mbRC3JadU80b9YRUAqQ3&#10;LbyFwA5x2H3KqoMQ0vY88viwI59XflbzhUIcIaQtwe5ZhV8tRZJ25iKElPL4qhUl129AIY4QQgjp&#10;GIwcd/ln+jpdl0LcsgdXuFffuMtt3naT273/mqL4BuntRxnuyuLrwU+bXyHKIf3gp7Pczn3Xu/c3&#10;/d498+x8N29eBY9sNZgz55ESGS62A5wIJFZaW9EepBbpX0z8aq9UEv80caEQZ9Me1n29c7TEsKMK&#10;cYUL/azCmKIHhTjSUQjJXRa+vOU/NlWnZRXifDGvoev/c2THNqRpeQ2UI8T5u9BprJ3Z0Cb6oR+L&#10;ip3dQm3FhDgZAx7dijr0+VAZQkgcCnGkHoEUN3tOY/GxqfJoVAHnsHMcd4YjpL6R3R6xSxw+01Ye&#10;Uh4U4gghbYl+/GTWx8gScrRTiRCHa71flkIcIYQQUj+0CyHu0ccedJu2/PaI6Na8G9ysIzLcJ583&#10;S3AiyCENP0OQO/DpVW777tnuhZfvdQsXPGnWXy5aCknzSM96e+Ree5BapH8x8au9Ukn808SFQpxN&#10;e1j39c7REsOO8hn69ck9v9HX4jRCHB+ZSjoCELMKy/kIaXZJ88U0vZObPp9ViPP7kkQ5QhzwH1Eq&#10;WI9LtfL5QJiT/DEhDu91WggtyxFC4lCII4QQQtoXeGS5f00+vntjn5ZLdqujU7emm3VeCnGEkHKB&#10;APfzn/+0+Hc3xDgrDyEkDHeII4QQQjouYydN31t6rW7c0HIZr+zAH/ylFZcvxD32xANu646b3J//&#10;eoM7/JfrWqS3Zvnt4KdXuQOfXOX2H7q6+CpCXDNXuS++uqaQdq179Y073IKF+QpxsjscHolqpacF&#10;O8316DHE/eIX//3IDUPUfdxxXaO7ziEdeUXGQ15dB96PGXN9sFwIPPbVL4M+QoKx+hgSRSAASj78&#10;fPXVi13nzr2OxA2v+Bl1W+VipJVTUDfigzHpR9dK3634CNJP9EfGr+tA+STJMTbmrFJR1rj4Mg/a&#10;TBN/H+lrnnOPOKJO3ba/fpPii7ZRJ+ZWygDUgc+TPy7Up/OlJdQH1I+1pfuM9/640oCxo3+6LoCx&#10;xWRbGVPW3wFC1hgK1trV6zPWJtaC5NOxRVv+OsN7K566LWt+ZL3pzyvGGPt9qkE8pVwIqxz64reL&#10;9zgX+qzUgjyEuM6n9TRv1hNSz2C3ssJyPoK1S5oPHpOqy2ghTJ/PKsQBf7c0n3865v848r5cIc7v&#10;PwiJgL7854P+aJEuaYc4nWaRJv6EkB/5/S0DjlyHf6T1TXXr727ckLdu1BNCCCGkelQqxJ10Rj/z&#10;Jj0hhCSx8omlxb+7IcW9+MLjZh5CSJjnXlylrt3NnNDQ45jmK3b8oBBHCCGE1Dc1FeJumrPCvFmf&#10;xMMrlrt33vsfbs/+64uPQYXs9tnha4q7wEGE27n7Brdt52y3u5D+8R9nuU+/aM6DneO+/tvs4vv1&#10;b9/uFi16wqy/HLSQAXHEypMGiCMiCYWAyGGJKSKxoH1faNH4EkiSGIS6dH6MVQseFpZoAgFEp4fG&#10;CelFj0/HNkRauSSNBAXhxior6ZBjQuPHmCwhB8TmFud136zyPlnjouOPMaSNvyavudf5NbK2Y/Nk&#10;zXWaWGC8elxp1oKF1T7q1eKWTyymPmnkK/8zKZT7OwCUE0PBEuKArDHEWp/XoK9SVupOiqf/GdXr&#10;y58fjCu01oE1nz7lCHE6JiEquVZUQjlCHPLoMhTiSHtE71oG+cvaJc0Hj03Vu6xpmUwLa1qU02jJ&#10;DHKan47Hk+rHuKIt1IV2tcCH97qcFt3Qhk7TYAc2f5e4kIiGNtG2HheAfIf2/Xj5dfv1ogzK6jzo&#10;K9rQO+0RQtJRiRCHR7ZZN+oJIYQQUj0sIQ47ubZcslsd/t/dFOIIIYSQtmHtcyu/1tdkkFaIQz6/&#10;7Oq168wb8oQQQgipPRdNnLK99FpdRSHu2usfMG/WJ7H0/kfcCy/d597/8Hct0lvzzm8Q4vZ9fI3b&#10;umOO+3Dzb9yOPTcUhTk8VvVQyyNU//LtDUUh7o23bncLF6006y8HLUzEdkOKocUNSEe6HqRpgccS&#10;THwBBnmwMxLSIH1owUTOa0JSiwaiighRqC/WR1800dIKwFhFzEG9un3soKTLCpLuCzFpQf8QJ7Sr&#10;Y+DHx5J+JE1AHyQf6tNz55dFPknHq8TGH7fgl09CysXiUmn8kacac4950LGXOOn1q2VC5NV1A/ns&#10;QDDSbfvjsgQkne6nCbr//tiA/uzhdwHalXIyNpz3y1kgH+KMV4xLziMWOsbW75lKfgdUI4bIK+cl&#10;Jj6ypvSak9+n6I+/zpAP7ck5EJsfiRnGruOJehEvP3+MWDsarG3Jhzb8dvU8pF0XefLvJ51e8gc9&#10;/hd6oS/Rg0IcIe0XLeVBTksjAhJC6g9LiLNuquMxqn4+CnGEEEJI7cEjy/1rchYhDlg36QkhhBBS&#10;XSwhDju/tVyyoweFOEIIIaS+mTjj6k36Ol34O313y2W8ssP6Yr5cIQ4i28qnlrrX3rjDbds9233+&#10;1TVF0Q07wWGHuN17r3M7dl/v9h68tvgIVZyHLIfd4vC698B17tXX73LzF+a3Q5wWQrIIFhqRWSCB&#10;hOQRLcT4QouWYSyhScscIiNp0ohBIqpAYgn1UfqBvurzun2MUUsigpS1pDIg5X0hJg+SZBdJA0nx&#10;8+cmaX3gHGIiefz0JKRcLC6Vxr+ac494STqw1m8svklIv/Dqp+l6/TRB99+fPwhOkmbJTYgVxmOt&#10;maygLlkn1lzLOEE5vwNilBNDzLOct2Kj07X4Jm1Z8p1FbH6s+ssl1o6g58iKleQRETD0u66a/Mep&#10;Z3yqr8XlCHHAullPCKkvsANd4SN8hNBOdoSQ+ufW2weWXIcBhThCCCGkfskqxB3f/bTxfn7rJj0h&#10;hBBCqsvqZx8v+f4cpBXijm3o/TO/7PLHVpo35AkhhBBSe9qFEDf3vlVu2bIVbs0z893GTb8rSm9f&#10;/Pna4g5w2C0O4Jy8hwSHXeKwW9zu/de5TVt+69aum+vmzXvSrL8ctBASEiViaCEoJoHofL4QIxKJ&#10;tYOWECoLQlKLRnY2ssoLUg+kEH1eyyQhOSWpD5IWa78SYvVLWmh+YrKMxC02N3o3LSs9hpSLxaXS&#10;+Fd77pPWbyy+ScTGFUsTYm1DPMN5f8zVQuJkyVaV/g6IUW4MY2tf1rwfOxF/Y/KlJjY/Iqf5kmY5&#10;xNoR9O5wMQlP5wvVVS3KEeKsL+atm/WEkPpCP44VQJCz8hFC6p+0Qhy+pPfzrX5unHmjnhBCCCHV&#10;wxLi8Ld1yyW71WH93X348C7zRj0hhBBCqscrr6895F+TKcQRQgghHYNLp175rr5O5ybEWV/Mz5w1&#10;37xZn8Sddz7j5s1b5R586GG37vm5bsPGm92OvdcXhbivv5vtvvrr9e7wX65zX3x1rfv8y2vcV99c&#10;7777nzcVJbkPPvqdW/fifW7FiuXunntWm/WXgxZCypEb0ogWQkjwiIkyguSxZJiY1CJIelp02TRj&#10;1HmsdEmz+p8HsfrTtC15/PGlKZsm/iHS1F9p/OV8WnTZNG0nrd80dYSIxTZN3GNti/AV+9zlSSxO&#10;STEEkie2VizKjaHsLAj8nf1klzRfMoVIJmUQ35hYBmLzo0VT/M60dkZMS6wdIc16Akm751WT/+zR&#10;p/TZ6N0a5xf6ET2sL+ZxY966YU8IqQ+uv+H0I79nAB6XauUjhLQPLCHOuqlOIY4QQgipD7IKcRDd&#10;/fwU4gghhJDa89Ira0q/Py9QiRC3YOky84Y8IYQQQmqPL8Qd373xcMtlvLIjTyEO3Hbb2qLQtnjJ&#10;427lk0vdm+/e6g4cmuW+/685xcenQoQr8tW17pu/zXb/5X5XfJzqy6/e7Zbe/1ih7JpCPWtb1Vsu&#10;WoIIiRIxdPmkx0GGpJdKZZgkkUPvTpcGf0eoNDKJzmOlS5rV/7RgxykIKIiFyIU+Vv2xNEHy+ONL&#10;UzYp/jHS1F9J/Gsx90nrN23/sWObSGoWfpk0cY+1LedDOweWC3YQg8Al0piPFaekGALJE1oreccQ&#10;nzdJ021qIcyS1PQOagCfVcTY+v0Ymx8gu/gJiCl+B6TZfU6T1A6Q+KZ5FKrUFfvcVoNyhDjri3kK&#10;cYTUNyNH/ceR3zOQ4c4559/MfISQ9kFaIe6Ehh7H+PlWPHmxeaOeEEIIIdXFvyZTiCOEEELqH0uI&#10;w1PQWi7ZiYdflkIcIYQQUj9Mu/qG10uv1TkJcdYX81Nm3GXerM/CnXetcQsXPeHWrF3k3v+weae4&#10;XXuvK3CD27mvwJ7ZbvvuG9y2nTe6dzf8D/fEEw+4e+6GDGfXVy56R6Ny5AYtlNSrEKcFlnLGmEYm&#10;0XmsdEkrp30AySYkwWms+mNpguTxx5emLNIkn5UeI039lcS/FnOftH5jdUBskvJJ6HIgTdxjbcv5&#10;cuJigViHJDiNFaekGALJ4/e3mjHUj0CVc7JzW0wcw+9C5NOfWbz35yA2PzqPL8ZB+kv6fatJ047E&#10;sJ6FuF+f0ntLyfWYQhwhhBDSLvCvxRTiCCGEkPrGvybHhLjjuzf28fPvP/CheaOeEEIIIdVjw8ZX&#10;S78/L0AhjhBCCOkYXDZj1gul1+o6F+LAXXc945be/6hbuWqxe/7Fe93r6+9wb71zm3trw63u9Tfv&#10;dC+8dJ9b+eRi99DyFW7uvKcKZfLbGU7QuyD5u2OlQQt1IdFCEDkEcoc+X4kMA5KkFiDp5QgcaWQS&#10;ncdKl7Ry2sccSewgq0CO83eIitWfpm3J448vTVmkST4rPUaa+iuNv5yPtREiTdtJ6zdWh44dPhf+&#10;jmOx2KaJe6xtkddin7ssSBywVtE3X9iKxSmWJkgefx6rGUP9+03qlbilfVyollnxqj+7sfnxQTnd&#10;31isfNK0ox/RaqULWjLF2Kw81cIX4jp1a3q00I/oYX0x//tbBpg36wkhhBBSHfxrsXVT3Xo8y6KH&#10;LjJv0hNCCCGkuvjX5E7dGme1XLJbHRTiCCGEkPrg7Q0vveVfk7MIcSf2OOOvuuxt98wzb8gTQggh&#10;pPZUTYizvpifMPkP5s36csAjUBctfMI9+NDDbuWTS9zTzyxyq9csck8+tdQtX/6wmzv3SXfHHfmL&#10;cBoRTQAEECuPRosuWo6ICSIxiaISGQYkSS1AJJZypL80MonOY6VLmtX/JCwpxydWfyxNkDz++NJI&#10;U2lFGgspF+tbpfGv9twnrd9YHfJ4T+xEps8LsbUdSxNibcvuZ5C09Ply0GJt6PdALE5JMQSSx18r&#10;1Y6hyGxY5zqeWXZoC4nDsfkJUc7nLU07mDfJE/o9A3S+LDHIg1+fckbJVrAU4gghhJD65+57Bh72&#10;r8XWTXUKcYQQQkidcGh64drdWHL9zirEbd7ypnmjntQ3776z7sh3Pnhv5enoDBjQuzj+44471kzP&#10;yrSpl7pTT+3m7rhjjplOCCF5YglxuE7jep3m+M9Tz/hGl6UQRwghhNQP46Zc8bS+ToOWS3hlR7WF&#10;OOz6dtdda9x9c1e7BfNXuoULnyiyYMFKN/e+1e6OO58xyuSLliUgf8TEDJEhtDAhwhFe/Z3LBC3f&#10;+HkqkWGAFjRC7WuJJK14IqSRSXQeK11LNVZ6jCQBRcuGVnxiaYLk8cenH9VoSTKQGyUd+OlJpIlL&#10;pfGv9twnrd9YHTJ+f9dEQT43wE9Ls+5jbeu5Q106TUC/QmkavQatXcPQv5hcmRRDIHn8dVxJDNMI&#10;cbJ+0I58HrLKlaF5iM1PiDR99tHzE5Ke8btF8oTkwqR5rDZ5CXGz5/Q3b9gTQgghpCrsTnNT3fq7&#10;+875I+0b9YQQQgipHhmFOOw8o/MCCnHtkxdfePzId0N4b+Xp6Mj4gZWelbzrI4SQGDt2vFvy/Xkz&#10;5QtxN958m3lDnhBCCCG157LpV92vr9Og5RJe2WF9MT92wk3mzfr2jJYsAIQIiC2QNADSRYQAWszS&#10;ux9BFNHCBUQMLaRYck0lMgzQUolIMeif7gd+FnEGr6hHjwH9RN8wRr+PaaQVncdKl/6jbRHL0D/d&#10;hxBaZkEspQxe/Xmz4hNLEySPPz60IWmYW0m32ga6bBrSxKXS+KOuas590vqN1SGfDfRLi2SIgex8&#10;JuhyQNcbWvextrXchPYxdhHrkDf2mbOQGOt1gvowLkkDVpySYghC/akkhnoN+2mC/vwJlvQH0AcI&#10;dLKWAd5LP5Cu84fmB+9lPeq1ijFJLDFuOZ8GaQd9wbzI3Og8Wh5F/Xocfjx1Wq0oR4izvpinEEcI&#10;IYTUlFRCHA6dB1CII4QQQtqE1NduHNbf3W++/YJ5o57UNx1diPv5z39aHFtstzbZIQ6vVnpWsNNc&#10;nvXVA9xJkJD6Zev2t9b41+QsQlyXprM+1WUpxBFCCCH1Q9WEOBx+xR1RiAOQLwrDjeJLJ4IlR/mE&#10;dgGrRIYRfPHFqg8Ch8gkMfzxhaSVUB4rHTKJpGtC9fnIzlQWGJOITVZ8JF8odkDyWP1BPCTdB3HX&#10;68Yvm0SauOjYhuKl81jp1Zz7pPUbqyOpX3pd63JC0rpP6n+a9kWSSyK2ToD01YpTUgyB5PHXcSUx&#10;1L+3/DSNH+dQTHQeC6x3nT80P/q8BcarRbk0aNlNo/NgXCIYhkDb1jWgFhzfvefL+lpcrhA367p+&#10;1s16QgghhFSHuhXi9n48HbvgHGHfoRlFrLyEEELIUUQmIa5TQ9OvdF5AIa590tGFOBnb7NkzzXSS&#10;jo6+Tghpz3y05c3l/jU5ixDX/Yx+u3TZmdfdZN6QJ4QQQkjtoRCXE5AsIE74AghkFL2DlAUkDohb&#10;ImcBvMc5S8YRRMCI7XgkedAHKx39QjsixqBdSwBDPpy3xhfqJ4QbyYf3frrOg/atdODvsIQ2s0gt&#10;kFB0eRmjllis+EhMQrEDkic0PsRFizK6bYwB52Jjj5EUl7ziX625T1q/SXVgrHrtSl3oT9K4ktZ9&#10;mv5L+ygreRGjpM+7hb9O0C/UjTZQH85ZcUqKIZA81jouN4bSp1B8Bckn9Vp5ANrzY4n3OGfFPzY/&#10;+LyjLT0mzAt+P2edFwFrQ/qGekNjibWtP5u1phwhzvpinkIcIYQQUjvuvnfghrQ31f/jlKaSx7P8&#10;9vYR1k36fDh0hdu9Z6rbtfNyt3P7pMLrZLdn71S3/+B0Oz8hhBBylLDv0IzU124cFOI6DhTiSBoo&#10;xBFSv1QqxHXtedZ2XZZCHCGEEFI/jJ00ba6+ToOWS3jlx69P7lnyxfzIi681b9YTQgjpeEB0K1wK&#10;ivi7vJHa0alb4/P6WkwhjhBCCKl/sghxvz616Wudr1pC3N4D09zObZe7rRsnuE3rL3Efvl5g/Ti3&#10;5b0Jbvvmy9yefVPNcoQQQsjRQFYh7oSGHsfovOC5F1eZN+pJfUMhjqSBQhwh9UulQlznxj5bdNkJ&#10;064yb8gTQgghpPZUVYj795NOL/linkIcIYQcPWCHt8KloLi7mpVOakM5Qpz1xfyMq/qaN+wJIYQQ&#10;kj91IcQdmuH27J/mtm+e5D54/RL31qpR7vUVI9yrS891Ly0c6l6cd7Z7Yd457uXFw9zry0e49164&#10;2G3dNLG4Y9w+7hhHCCHkKMMW4ppubrlctzo6qhB3xx1zSuSpd99Z5wYM6O1+/vOfFs//3/98jBt9&#10;4XD36SebW5UF27atd9OmXupOPbXbkTK6HOqzyuE88qEMfkY9yC914DXWroB09P2444490jbKYgwh&#10;ialc0anSWOE86kCskFf6IP1d+cRSsxyQNtAmQB1SFv2ReGYF7VrtgaVL7iqmS14ZH+bKzyv5rPqk&#10;7/KzP18YS2zsmCO0K2MWUAfWXijeMl/SJ9Tjj0fm0ioXwy+DWOn+xWJFCKmcDz98vdWN8oxC3Ou6&#10;LIU4QgghpH6oqRB37qiZ5s16QgghHQs8IrRwGSiCR4ZaeUgtWHu4tRDX+HzxIh05KMQRQgghbcvd&#10;9wwqXL/TCXH/2eP0QzrfNb8Zbt6oz8qeA1Pd9i2T3IbnLnJrbxvklk9odA9cdIpbdnGPZi46tcAp&#10;7v5Rp7iHxp/m1vxhkHvn6Qvd5vcnFEU6q05CCCGko7Lvk+nGtTssxB3b0PtnOi94fNUK80Z9ewJC&#10;UGF4xdeYCATBxxKPRHaKYUlnWkqDTBSqB9JTSHiCBKbFMgvU7ZfTbVt9C1FprLSMFcIStICko10/&#10;VhCxyhXiUNZqDzKXlR+gfbSn84sMZtUn5SCHaRHOB2Pzy6YZF/pjxVvmC32COOeXEzBWXS6rEBeL&#10;VSi+hJDKqFSI+/UpvV7WZSnEEUIIIfXD+WMn3Kav06DlEl758e+nnH5QV0whjhBCjg769Bl55Msa&#10;yHFWHlILyhPirC/mJ02nEEcIIYTUiixC3K9P7Vnyd/eUWeeYN+qzsnPHZPf+y2PdiwuGuocmNLol&#10;Axvcg4O7ucUDGtySAV2Lr0sHdnXLh3R3C/t3cQ9f1tO9MG+oe+/Fi92uXZPNOgkhhJCOCoW4ZkQa&#10;EskKwpLs1gXJSNKBJfegHIQglNFSkpbcUKcuA7SUBpBX5DW/XV9Ykjwiw+k+A0hUWj7zpbdKhbhy&#10;Y4U+4TzGqXcOQx+0KKbjKEiagJigHOrypT/Jg/7o8xr0A3msfvqxl77iVeKKV10mVp/UJXFD/VKn&#10;P3Z/PjCXKAehTaf58Ua6Lgd0OkA7UoceC/BjCJBX0v1+CVrYg0gnc4f60b4fJ0JIPlQqxP3nqb2f&#10;1GVHjptk3pAnhBBCSO2xhDj8Pd5yGa/s+PUpp2/SFQ8573LjZj0hhJCOxi9+8d+LX94cd1xXM53U&#10;httuW7sbj0jV1+Jyhbhxk840b9gTQgghpBoMLFy/0wlx/3Fqz5K/u/MS4rZ9ONG9vGSYe2LmGW7R&#10;sG5u6YAGt2xQswi3uEWIWzKwq3twcHe3qH+Du//CU9zTN/V165+4wO3cfrlZ59HE7DmNxX8P//Sn&#10;f2emp6FX738p1vGvx/5jMA2vftoll/6na+j2z8U++GmEVAuuu9qB3yv4/LdVrDnXNhDiOnVv2q2v&#10;yVmFuKUPLTJv1LcntDQEYciSsbQ4JCJTGnTdfpqWjSA8+TuOAZGsIL75abKLV2g3NiDlfSkpjehk&#10;Uc1YJfVJ0gD64adr0uQLCWwYk5QPyVyIvS8phuoDUh+wxDMtlVnyY4xYu0nzhZ9F0rPaTbNOpA3U&#10;b6UTQqrDhg0v3eJfkwvX9OGFz2Oqw//+fcgFY8wb8oQQQgipPYPPH/0bfZ0GuQlxJ5zUc6OuuN85&#10;48wb9oQQQgjJn3KFOBy6DKAQRwghhNQSS4izb6r/+pTSv7vHTh5i3qjPyofrL3FP3dDXLT63u5vf&#10;v4ub2/dEReci8wosKKTN69+5kK+be2RyT/figmFu++bLzDrzAoJYYehF/umYn7s16y4w84W4/a4z&#10;jwglAD9b+Sph+szuR+q30tMg5a06IKPgPF79tFg5QqoF113tkDjj94yVXm041wEOzXg0ixCHQ+cF&#10;HU2IC4llWgyyhKYQMaFIp+nd3TS6b34aBCScj0lfUh7Skz4f61eMasYKSDlrTJKWZsexWD1CSCRD&#10;n6W8JSmGiIlpUp+1i5sg5S35MYaek1haaL5i/U6zTvTjVbPEixBSGZUKccd3a5yvy1KII4QQQuqH&#10;qgpxx3fvWfLcdApxhBBCSO2oRIg74aTGv+hyo8dRiCOEEEJqxd33DpqfVojDtV3ny0OI2713qnt7&#10;9Sj3yJTTi+Lbgv4/CnAiwwnz+3Vx8/oVXgc1uKUjT3bP3jbIbdk4waw3LwrDLsGSwmJoGQ5Yu6xV&#10;SpIQl2aHp9gucDEhToTBaoyLkBBcd7UDcQZtJcRxrgOUIcT9+8k9/6zz3z3vbvNGfXsiJhRpJE9M&#10;svKJCUVpZCOdx0+T82nRZdO0bVHNWIFYuSx1pskbEsEgrUl5fT6JmFgm9cX6g7Ry2o2VS1On5ClX&#10;iMMugLLLHF4hFIbkO0JIfrz51nPX6OsxyLhD3M26bK9B55o35AkhhBBSe/oPv3CSvk6D3IQ4/4v5&#10;XgNGmTfsCSGEEFIVNpQtxHVv+kqXoxBHCCGE1I5sQlzptf68iwfYN+pTsnvXZPfR25e6Vxaf65aN&#10;7eEW9u9SxBfhhGZJ7kS3oPC6YFCDW3VjX7flnfFm3XlRGHYR7A4n719df7GZ1we7wSE/hDSROrIK&#10;dWlIEuIkrVyhJSbEEUI6NpX+/iBVY35mIe6kniV/d//u1lvMG/XtibQikuRBfj8NUhBEKpGiLHyh&#10;KI1spPPo82hPzqfBf5xlmrYt8ogVZCnsKoZYiUjlY5WLpfmkyRsS2OR81keAhuoDafqDNMlnpWOe&#10;8FhT2RnQwi+TVCeQPFa/064T7AznzyX6mmVtEUKysXvvxmn6egwqEeK69+pn3pAnhBBCSO2pshBX&#10;+sU8hThCCCGkppQtxBXy7tXlRlxEIY4QQgipFRDi0t5U9x/PMnBEX+smfWrwuNN3nx3t1t4x2N1/&#10;4SluycCubvGAhlYiXCknFvJ0Le4W98TMM9x76y5ye/ZOMevPg8Kwi0AGkZ3WLrn0P828PiKSIX81&#10;pTIKcYSQalHp7w9SNTILcb8+5fSSx55fPft680Z9eyKNNAQkjy816R3FYvhyUBrZSOfR5yEgyXm/&#10;P2lI07ZFpbHC7mEhCU5jjSmW5pMmb0hgi4ltMWLl0vQHaZJPn4dAKHUnocuBUJ0ayWP1O8s6EdER&#10;j3yVMgDnrPyEkMrYtvP9Mfp6DLIJcY2zdFkKcYQQQkj9UFUhzv9i/rSzzrVu1hNCCCGkOlQgxDVu&#10;0OXOOb+3ecM+E/cNdvcWmDdviJs7b7CbO3+Im1eg+L7AfXMB8g5uXZYQQgg5irj33oE3p72pjvM6&#10;X8+Bfayb9KnZ8t5498Yj57un5/RzS0acXJThFqUQ4pBnQb8u7uGJTe61ZcPdR2+Nc7t2TjbbqJTC&#10;sItABoHYhvcQ46y8GuwiJ2XxnkIcIaQ9UunvD1IdDhyakfraLYf/d/ekK64wb9S3J9JIQ0DyaKlJ&#10;C0MQilY+sbSkTEwoSiMb6Tx+mpzX/UlLmrYtKokVhCmR4SBNWY/WtMqlSfNJkzcksGFnMymvzycR&#10;qg9IfbH+IM1qV59H3yBDhtL1+aQ0QfJY/S53nSCv3skuS1lCSDryFuKAdUOeEEIIIbWn2jvEedvE&#10;DrZu1hNCCCGkOjyflxDXf1hlQty8BYPdkvuHukceGeFWrRnlnnthjHvxlbHupVfHumefu8g9tXqk&#10;e+TxEe7B5ee6xUvPcXPnUoojhBBy9FKJENetVy/zRn1atrw3wb328PnuqRv7FoW4hf0guiUJcZ2b&#10;hbj+XYqPWX32jsHunacvdNs2TzLbqJTCsItABlmz7oIjP+NxqFZ+Yejw44r5RCKLSWWz5zQG04Re&#10;vf+lmAevfpolxOm+ZsGqP9b3WL8kDePDz4iZPDoW4P3CpQNblfNBOemDgJ9jc/DI48OKc+CXQ5sQ&#10;GzdunmiWk7mQ8SC2sjMgyqZ9XK6UwTwA6QfOW2IR+os2pZy0h7yhvgLUjXHqchbIJ2WyjhHtIw/S&#10;pD7kR3n0W+fVoB70TT9uODZvfgxi8H/hYQAA//RJREFUbeA88sgYLCQ2un28x7lYv6XuStetBdrN&#10;Y11KrKQ8xmWtKwH1og60q+MhMY6NR/Lq+qVt9Fvn9cFYkU/6LfifaZkX6/Mlbfl1AGtt4j3OxT43&#10;HYFyhDj8fa7zdzQhzhe0BIhukkdLb7I7HEQvnV+ICUWxNCuPnyY7cWV9tCdI07ZFJbHS532pS5B0&#10;tJMlzSdN3pDAhh3NpHyonxZphDisFz9NEIHMn085P2BA75Lzgp6TLGmC5MlTiANYH1I2zZwRQrJR&#10;qRB3fPfTxvvlPz70iXlTnhBCCCG15ZQzB7e6zldNiDuxx5nWzXpCCCGEVIeyhTj/i/lKhDjsBHf/&#10;smHuiSfPLwpw7304yW3fM90d+GSmO3Boptu6c6p7572J7pXXxrq16y5yjz4+wi1aMtSsixBCCDka&#10;yCbElf5v9EqFuO2bJ7n3nrvYrbtrsFt64SnFR6Eu6p9eiHugUAa7y61/5Hy3deNlZhuVUhh2EZFB&#10;RLyAzOHnFSBiiNQj8o/IH1Y51J1UZ5ryQM5BBpJzWbDqj7WdJk0/MtYiJEghjrFyABKNXy7N2DE/&#10;ljCj50JkHk1MpNJIfkhIshYEP1ay82AIrDmrr5CYrPwWWojLMkaU0wKVhTV/KOePW+PHEXVY+QSd&#10;F8i68GMp6M9ECMTdKit1l7tuQ+S1LmPrxfo8AJHKYqANq6yVLoIe0GtLg3FIHh1ra80J1nzKHPhp&#10;qF+LcD6h8XQUKMQ1o6UhyEeW6CWyE8Q3nQ5JCechp+n8gparfKEojWyk8/hp+lGtWWWlNG1bVBIr&#10;HYtt29aXlAFJj4GNpfnITnQxAS0ksKFv0lZIQsPudn5aqD4g9QGU9dP1fPjjk7Fgdzh9XpA1CPw0&#10;PV9+miB5rH7rOdFyY1qkbJo5I4RkY/Pm9Wfr6zHIIsQhr1+eQhwhhBBSH1RZiCv9Yp5CHCGEEFJT&#10;chPieg/qZd6wT8PSB4a5Z5690L31znj30bYpbte+Ge7gH690f/72evfnb653+w/NdDt2T3MfbZ/s&#10;3v/wMvfa+kvc6mdGueUrhrtFi85peYwqIYQQcvRw990DZ7WVELd3/zS3c+vl7vVHzncPXtLolg7s&#10;WpTiLAlOA2kOQtz9o05xq2/q615/eITburE6uwEVhl1E5Aot7oR2CxNZBHKLnAtJHUDLLn6akKY8&#10;8NOApMUEkVj9laYJkHIkZhCitMwS2xkKcUTcRRRCXj1mf1wiY0HC0eIVyutylhCl0wFkMLSNepAW&#10;mnMfXQeABIQ6UJcWqbRYpOtHX5FPpDI/vkiXNMRRpCR/jL54BtKOEXWJDIc29C5iaE9LVn47kqb7&#10;BlAHxuLnl7EgTn4M0AedF8TWHcpIv5Dut6/XHeKvywKpW8i6bkPkuS7RB6kDfdBzodeXgHSMC2m6&#10;z/540BddDkga+iDnkE/OW/0Feh6kTcRAziH20h7SUT/6qesAobnWv2f9tYl1pPvbEdl7aFrqa7cc&#10;/t/rF46fYN6ob09oaQhA9BJJDHKUfoSmL/ZoyQtpIoBBJNKiEvDFszRSms7jp6FvIkvhFe1r0Qx9&#10;QP8g6+FVl03TtkUlsdJyFWIjfcWrX69fFsTSfEROQ1zQLs5B6NLxiQlseu4g1em+yhj9crH6pC4B&#10;Y5C1gn7pefQlQ+kL0rRMh3Kye5ygywEdVz9NkDxWv4GUFwES6H6gHGKihTkdJyBzQAjJj0qFuOO7&#10;N/bxy2/fsdO8KU8IIYSQ2mKJ61UT4oBxs56Q3BgxYob75S//zXXu3MtMbyt+8pO/L/7BOnjweDM9&#10;xpw5jxT+SO5aHNfEibeYecqhkj4lMX363Uf+SMd7K097AbHHOPBqpSfRp89I9w//8N+OxEPW5tVX&#10;Lz4yB1i3frlqg3lH2+iDn4Y5w3rDmNFPP51Uj7w/O7fdtvbR8oW40nKNfcsT4u6dO8g98tgIt2Hj&#10;Ze7jT690f/zT1e5g4fXgp1e5j/94lTv02VXFnw980szBArv2TnPvbZzoXnhxjHvk0RFu7ry2f3zq&#10;/Q+MdV98sdd9+eUh99prC8w87R2M8dvv/uJwHDj4gZmnPbJ9+8vFMf3ww3dmekcCaxQHXq30aoN1&#10;g88IYm6lE0LSk0WIsx7PYt2oz8K+j6e7d58d7VZMPr0ouS0e0MXN69e5iCXDAQhxeLzqstGnumdv&#10;Hejeemqk27apNjvEQeAQeSckgohEpNNDUgcQ2cVKE9KUB34akLSYIBKrv9I0YO1cBRlH0n2JR4sz&#10;WmjSyLgxH1Z6iFifdSxRryUIpUHqALG4y1qyxCygY6TjoHeHs6QsEaQswSjtGEU4wnoO5ZFY+u1I&#10;/VpUCqHHmDbeoTnUn09rfiWPfEZjsh3Ium4rITQmoOcMApsfJz1uq88x9Hjw3k+XNH8dyxpDu/q8&#10;n47+yjkZhz6XRCgucj70e7ijU44Qd3y3xvk6/9kjR5s36tsTWhrSEo+PJQxBDvKlJI1O88WzNFKa&#10;zmOlQzQSmSqGvytZmrYtKokViJXBOOQxsGjHLyv5rDQfyFmSX6PHij7iXDnzir76klesPikHuS00&#10;XzivpTIhaY51P/2yer78NEHyhOZM70SokXQZd4jYLn2EkPKphhD37nsbzZvyhBBCCKktVRXirC/m&#10;b77lKfOmPSF5AImnsPSK5CmPVYr0CXKUlR4D45DyGJ+Vpxwq6VMSus/1NA/lIGuqnNj36DHkSBw0&#10;SKvWvKYF8677E0qrxvogYfL+7FQixPlfzGcV4u6+Z5CbP3+IW/bgMPfsc6Pd1h1T3d/+1xz3/X/N&#10;cZ8dvsZ98vmsI0Lcp19c7T778hr3529vcH/94caiFLdl+xS3/q1L3conz3fzF5xttlEJT6yc5T79&#10;dNsRAQwHhCnIPJB6IIfp/JDg5EAendZR6Khj3LPn7ZZROTO9I4F5w9FW86cPK50Qkp677hkwPu1N&#10;deuP+i07p5o367PwwStj3eMze7t5A7q4hf26FMU4MM+Q4cDSgd3ckgFd3UOXNrpXHjjXffTmOLd7&#10;12Sz7kopDLuIlkEgnOCcJYJouUSLSmlkFytNSFMe+GlA0nyhRROrv9K0mPyCdOD3DZJLqF5Bxzok&#10;zVnE4qXTstTpI3VYQpqgpTYrXZA8WppLmnNJt+KXdoyycxjyW+lA6vI/CyJnxcYvoA/Sn5AY6BNa&#10;d3pXspiMp/P5Elgl67YS9LzE0kLSYCgmaZC6rfGE0vT69WONPkqanlORLEHaz1doXCLcxYTNjkyZ&#10;O8TdrPP3HjzMvFHfnvClIX/nLby3HnMpQJ5CHSJz+WVEZvIFKvws+f00Pw/qsNKBtO8LXBCVIKBZ&#10;wluati0qjRVAui6DuKFejEN2Q/N3tAMSRyvNwu8b4qF3iJO28KrLCVZc0Ve9Y5wmVp+Ul3FiXmQ8&#10;eMXPVp2C7LgmZaQdzG1sjcgOhlaaIHlCcQDot6xv1KXzom+IiY6T5LEEP0JIPqxctWKQvh6DLELc&#10;cQ09uvrlKcQRQggh9UFVhTircgpxpJqIgIQdubCzmpWnLUCfQDlykd5JLM/d3CrpUxIU4pp39pMY&#10;YFc4WY+y61db7xAXE+LGjLm+eB79a+/z197I/7Ozdn65Qpz/xXz3XqebN+xD3HvfILfswXPdmmdH&#10;uzc3jHc79053f/rzte7Lr68rynAQ4SDEiRR36LNZ7vMvrynm2ffxzKJAt/6dCW7lqgvcvPn57hD3&#10;4aanW5Sd8OHvAgeBDsIcDmv3q3rfhezZdX8o9g8H3lt59A5xHWmHLwpxtePrr78ott9WO9QR0pGA&#10;EHd898bD+locuqlu/W/0PIS4j96+1K35wwC37KJT3YKzuzbvEAf57awT3X0F5vYFP57DDnH4+fEr&#10;znAbnrnQ7dxxudt7cLpZd6UUhl1EyyBa4PF3iBJJwxeBYrKKyC4xkSVNeeCnAUmzZBchVn810gTJ&#10;4/dNzqfF2tkqRCxeSbFMi9QRi7luKw26Li10WTKQxM8S0tKOUfKkRZcVoRGgD0nyk8h3AP2zdr3T&#10;hNZW2rHFJLxQ3RrJo+ekUmJ9TzMuyRPrdwip2xpPLC20K11ofWJepQxekS9JZgvNhxbysH5iAmRH&#10;pHDNSy2zy+H/3X3SGf3MG/XtCV/yImEYq/KQmCF+VjohhGSlUiGuU0PTr/zyL736unlTnhBCCCE1&#10;5XBVhTjri/mb5qwwbtgT0rEpfByK1NNuW9XsE4W40hjU42NjY0IcaTvqWYjrfFpP84Z9kPsGucef&#10;ON+tf2e827xzitt7cKb79ItZxUemNotwV7YCO8Uh/cDHM93OPdPchg8uc0+vvdDNX5CfEAexTQ7I&#10;O1p8gygGEQxSWNbHota7dKV3f8s6tvYOhThCSHukUiHupTcq35lnx+ZJbv3KC9zaWwe5FVNOd4vP&#10;7V6U3xb17+KWDmgovi4uvN4/qGvxFYLc/eef7J65ZYDb9OY4t//j6shwoDDsIr4MIo9c1JIGZA/J&#10;78sZIakDpBFZ0pQHfhqQNEtoEWL1VyNNkDyh+KYBYo0lUEGSg6ijZSsfv0xSLNMidcRiLjsNpkWv&#10;KUhEIhZhfCKc4bwegy9sgjRj1Gs5DdZuav74MKeQzywBCuf8ecLasPoPQmtLzluPQvWRdvw5CtWt&#10;kTyx+Q1RrXUpeUL9RowRf6TL2vGxxhNLE/ER9el5DYnBAGvVbx/xCEmtsfnQ4h1AvehTklDZEShP&#10;iGucpfNTiDu6YKzKQ2JGIY4QkhdLly1s0tdjkEWIO6GhxzF++dVr11k35QkhhBBSWw5bTzWtqhB3&#10;7fUPGDfsCenYFD4ORSjEtT/KFeJklzVgpbc1FOLqk/oS4kq/mM8qxN1732C3Zu1ot23XtOKOcJ98&#10;/uNOcCLE4Zw8OhU/I6355yvd/uIucdPcuhfGuPkL83tkKh6HKof/WNRKoBBXv1CII4S0S+4ZOLy1&#10;ENc4q+UyXXJYj2fJQ4jbs3+a27bpMvfus6PdujsGuYcva3KLhnZ38/qd6BYNaHAL+nV2C/s3uKUD&#10;u7r5/bq4pSNOdo9f2du9umy42/7RJLPOvCgMu4gvg+hH/4l8IUKKJePEpI4kkQWkKQ/8NCBpltAi&#10;xOqvRpogefy+iTATKxsCYo7Um4RfNimWaZE6YjEXaajctnR5C0hGVrk0Y9Q7qMXGkITIX1IXgAgW&#10;EpYgOPlzZ0lVksdfH3K+HoW4aq9LyWP1G3ENSXAaazyxNL1ORF7EOP1zPiLn+eKrv1sfSJoPrCVI&#10;cHp8eJ9l18j2yN5D04dXKsQB60Z9e4KSV3oYq/KQmFGII4TkhSXE4f524XdNqsMS4pY/ttK6KU8I&#10;IYSQ2lL4G721ENdyCa/8sL6YpxBHjkYKH4ciFOLaH+UKcfUunFGIq0/y/+ysuxkCnL4OlyvEAfOG&#10;fYD75g52a9eNdrv2zXDf/G22++Kra4rimzwq9eCnV7oDn/yICHEizOHxqXsOzHQvvXKJW7goPyGu&#10;WsIQhbj6hUIcIaRdUqEQt/q5cebN+izsOzTD7T0wzW3fdJl7e/Uo99y9Q9zqG89yj00/3S0f3+ge&#10;uOhUt3TUycVHqj48sck9VUh7ZfG57r0XL3a790wx68yLwrCL+DKIlj4gY+CcCBmWOBKTOmIii5Cm&#10;PPDTgKRZ/RJi9VcjTZA8ft/SlA2h4wEZS3ZPs9L1+aS0LEgdsZhX0pY8LhJyGerRYhFiFhKRQNp2&#10;JU9sDGnB50W3mzSvkJy08Of3IbQ+9KNa9XkfS+QSQnVrJE+W2OjxV2NdSh6/34i9/G7COsF4cU7n&#10;kbqt8cTSgOx0J+Ii6sfPaNPPawFxTe+W54tsaeZDQNsyVrz64+xIQIhrfe2OC3HWF/OHD+8yb9a3&#10;Fyh5pYexKg+JGYU4QkheVCrEYZcZvzyFOEIIIaQuqK4QZz03feas+cYN+/bLiBEzjggz4B/+4b+5&#10;zp17uauvXtwq709+8vfFPCHJAY9VlHqsRyxKeaTNmfNIUWhBeziHNL9dtHPccV2P1PmLX/z34q5V&#10;uk6N5B08eHzxZ4wNZaQ80nXf0RbalH6hLzG5Cvl79BhSjJeUkXKoJ/RYSYkLyuBnjEHGjVc9JvRd&#10;5/XJMl+CxFH3GXHBWDEPVhkfKSfx0XMHUH9o/EDalrnxwXk9VxZoQ5eR8+X2KQZiJvWE1rusYd1v&#10;jNNfZ4LEAGvIT9NIPhmXxp9/gJ9x3s8rSH68Wuk+6L+uPw1W+zIO6/MO0syP/xnFK36W+qQuv5x8&#10;5oDfhqShLvwca0OX0yAN86jHY+Gvd2lLl0uaPwu0j7pRVteFviOusd+TMs5K5iVWLs1nJxuWENf0&#10;aKH+xMN6pvqttw+0b9ob3HvfILfq6VHuw82Xu70Hr3AHP23eDe6zw9cUpbf9h2a6nbunux27pxXT&#10;izvGfQEh7qrio1O/+X52UZR79fXqCHE//PBd5h3iUAYHHqsq5774Ym/xXOjwxSSpIySl4bGtcuC9&#10;n45yn3667cg45MDjX7H7nT8m9LWcQ4/R5513VxTHLWPBIe3jkbRWGSD5MS70E6IaHk8rB+q0xixk&#10;HbtQrhCHsaBetKfHij6jH6G+4jwOlMHPqAf5pQ684ufY+vtw09PFeGBs+kBfYnMjscGrnJM1irp0&#10;Xh/0CQfy6/OIu55vvOJnaw1LW34dAsal509iGVs3hBy1ZBDirL+78xDiQFGK2z/N7dx+udvy3gT3&#10;wSuXuDdXjXIvLRrm1twywK2e08+tu3OQe/WB4e7ddaMLeSa6XTsnu71VfFwqKAy7iCWDyM5XEC9E&#10;AgHW7lcxqSON7CLCSDnlJS0ktIBY/6qRJkgev296V7GsUosv6PjE4pVmLtIgdcRirteM/4jdJEQW&#10;i9UfIu0YRbJDPK30ckgrrAmhdR9aW3rnRl8401g7PAqhujWSJ0v8q70uJY/fb5EnQSgmkm6NJ5YG&#10;dCzxWZXY4DNs5bdAuVA7aeZDo8fbkXeJK0eIs/7ubu9C3B13zCnO9c9//lMznfwIY1UeiBfihvhZ&#10;6YQQkpVbbrvlRP96XKkQt2DpMuumPCGEEEJqS3WFOGub2I4kxEHMKAzTxJJnJC0kOSSJEJIGkUOk&#10;DB+cF9nCSgdI8+sGIv5AVInJVegbhJFQH0LiUCi/xhq3jgvEF50f6PHoces6QNb5AoiFlV9AnBBv&#10;q6xG8sdii/iERBrJY81dkggnQLjR5eR8uX2KkbSWUWeSDOVLTug/zqNP+rwG61LKa6kJcyTrOwTW&#10;h65LkHKhNeIj/cyCNa+Shs97KFax+Yl9RnFe99MvG5s///MYaiP02YDUFirjo4U4jDNWzlpnIdLM&#10;Uej3pKSXOy8Yf2zt699TWcYUpu2EOPDIYyPca+vHu4+2TnZ7DlxRFOKwUxykN/y8ZcdUt3n7VLdz&#10;b7MQ98c/XV2U5T79YlZxV7n9h650rxSFuHPM+stBC2IQcaw8IeSAYCXnRAAKHVpM0nWEhDicl8PP&#10;I6JV7ICspEWrcoU4PUYB9SaNF+1DevLLAjnQJy3C6QPlMU6/bDljF8oV4lBf0mHNo55DxCJUDwQ1&#10;q79p5sxfV4IlxOn6rNgC9EMOSIByHv2PHboOYLUviHBnHaHxEHI0c/fdA/qkFeKsv7tXPGk/+rBS&#10;9hyc7nZuu9x98Nol7vXHznevrzjfvbN2tNv01ji3c+fkkryQ6fTPeVIYdhFLBtHihRCSQGJShxaj&#10;LIFDCydWeRFhgJ8GZMck2cnOIta/aqQJksePr45tSMQJIeMNzYXeecxPS4plWqSOWN+1BBSLkYWM&#10;AZJV6PGjIdKOUctreYlFWeMbWkOh84iF1B8SzxB3kf2suIfq1kieLGuz2utS8vj9jsl/QO+WZ40n&#10;lgb0OtZrJqvkKeX8dtLMhwZrVerqyELcvoPTUl+75cDNdp0f7D/woXmznhBCCCHVoVIhDodfnkIc&#10;IYQQUhdsqLkQN2XGXcYN+/YHZIfCEItAjBDxA7IDRApfPgKSPyQ5aNHEyiNpAtpBu0BLFCKNQEiR&#10;etBfLT1ZooovDGEMGA/SMEY5L/XjVaQl2blJ8lg7LCE/8iBNt6+lGvRRlwE6LgB5MXacR790rHBe&#10;8uk6ypkvPWbkkVigrO5zGlFK6tH1SR90XRBl/LJAl9Pn9Xj1uBATme9Q/6SckLVPMfSc6fkBaEOE&#10;IPRRrxXMk5aVdFnkk/PW+gKyBv0+S50YE8Ym45T5l3r9+IKsQpyg67XSQaxdSdN50s4P8kk6XiWO&#10;OK/7JfjlY/On04DEFGl+/ZgPXRZIPFFOz6MekxUPmUOsGS2boQ7U6fczBupCGbQpn2uAOpJ+T0qa&#10;kGVegIwf4DMr53VZIcuYQtx669pZ5Qpx1hfzv79lgHnT3gI7xC17aJh75tnR7u13x7vd+6a7L7++&#10;zv35r9cXhbjiDnF7Z7idaoc47AwHaa55l7hZxcetvvjKxW7Bwvx2iIP4o2UsvA8JXD5yWLJYWulK&#10;jnKFOMhVEJZ0Gsak29dCkxCrVyOHNUYtNKEN2dUL7fvilyVe+QfaECFMl8ec+GUrGXvaufFBexgz&#10;dsSTfgLdV2vXNR1rHMgra8zvryVlijCIVx1HxFsLieiXLgcsIQ1tymHFB6B/cujd2mSc6Kc/39Y8&#10;hYQ4jEMOjEviiToRj9COcoQczWQR4qz/jb7ooYvMm/V5sPfgdLcDO8a9P9FtLlzjt3800e3aNdnt&#10;K5zX+dpKiAP6UZUgJGDEpA4tlECakTogr2hJJlReRBjgpwFpG3XLDlGQVbQcE+tfNdIEyWPFV3bU&#10;ApCI9O5W6DtEQpT3xSeJGcaLPHIeY9Z1Al0OJMUyLVJHaN0IWiDCWLREhHWBnzF2jEWXw3kp54Mx&#10;oi7UbQlQaceIsiJx4RXldH2YD8hW+AzgVc5j/co5nR99lvr0nKFe9BdzhTHjHF61yKXrB7Ju8KrP&#10;Ax1TtKPXjb8GdJoQq1uQPEnzq6n2upQ8fr8xRimLPsic4FXXC6zxxNIEGZuA+bfyoW9YzxiznEM/&#10;cE7K+nMSmg/EEXOt8+O9xBLpOn9HIy8hbvOWN82b9YQQQgipDvkIcaX/BrjtnnnWTXlCCCGE1Jbq&#10;CnHWF/MTJv/BvGnf3hDpwxK4QiA/CEkOWjSx8kgaEAFFI5IRQL98mUPXb5XXooYlsmjhDeKGllIA&#10;2hOhwyofQ0s0fpruNwjFD4TqKWe+ZCxaWtHofvmx8JF8wIq97rcWdARJQz59XuQdK97ok5Sz+idp&#10;oJw+xdCx8edLREOsV0s4ArIWfVExaX1JOna9k3NJcQAyVpT306QvePXTYuj4WelA0v151Wkg6/zo&#10;NOvzgnMSK2Clh8rrNNRhxVRi5kthmG8pa41J1oY1D1IuJEPmRWzsQNJA1nnRdVtzjvxayLPaz0re&#10;QtzsOf3Nm/YhFi0+2z3y2HnupVcudlt2TilKbn/687VF+Q3gMaoHP8X7q1qEOOwOd7U78MnMogyH&#10;x60+8+xFuQpxAHKOluJwpBHj5IDA46ella7kCElpacU1i5CMBNLWK4c/Rl3eGj/Q0pMleunDirWO&#10;oZay0hAbe9q5yUKsTh0rCGWIi59H+mtJZTEgkomkZs1DKA4i0qGsPu+na8FPj0MEtiRC7Uu8kh7b&#10;Sgj5kUqFuDvnjzRv1udFUXZrAe+rKb9ZFIZdJCSDaKEkJIGAkNQh6F3ifFBGJB+rvO6DnwZC8pSW&#10;92L9q0aaIHms+EKK8kUhC3/HLUgxIl5Z6Dp1OZAUy7RIHaF1o9EyUAhrbUnsktDyEcgyxqRYClrw&#10;wrqy8gioT4tyuj8WmC/JK8TWFtaNL2j5oA+6z5pY3YLkSTO/QrXXpeSx+h1bY+gT1hfeW+ORfLGx&#10;+r9j8PvKyidxC2GVC82HX9bHX/cdjXKEuOMaenTV+QGFOEIIIaS2VEOIu/Hm26yb8oQQQgipLbUX&#10;4sZOuMm8ad/eEHEDhCQbH8kfkhzSihha9tFoESMkGkm6JWOIxBKSxnT/QlJKufJQbOw6LSSnCToG&#10;+nzW+cL4rHp8JE9SvyRfaO5i4weS5s9b6LyfHquz3D7FiJUV4SfUZyDz6ItRImVawpSeMz3HGB/O&#10;xdak7q+/Pspd06G1qJF0KxaSVs78SIxDn2UgcQF+WqxunRb6PRAae6xeP91PE4HPlySrgfQh73nR&#10;MQ/9jtbr2IpRVioR4qwv5rMKcXPnDXFL7j/HPbHyfPfqG5cUBbc9+68oim9/+fYG9+XX1xcFuc+/&#10;utZ9dvga9+e/3uD++v2Nbv+hK9zGTZe7518a6x55dIS7b95gs/5KgOADSUfkIjkgKIWEMTksESkm&#10;SGnkCLWhJaRQnhCxPqStVw5/jHp3uJgcpfP5aXKEdimr1tjTzk0WYn3VadYubqCSPoWks1ga+iGH&#10;3yfMpxzYvU3Oa8FRn48Rah/l5bAEQUJIa+68d2Cr63Dsprqft9pCXFsjAou/Q5UAsScpDxBBJySK&#10;AAgcWorBe5F2ZLcs1OOXkzT0w08T/Lohl2gpSfpn1V+NNEHyxGKHGPgiDcaCsiGpSXad0gIS8kPW&#10;gpiEn614pYllGtKsCQ36hf7p/kJSwrhRh+ycJoggifwYj07D2DHfIjn5Y8k6RrQNGUqvH4C+IcZa&#10;rBQwL/54UB799seCn9Enf45l7DqvIOsGr1Y6iPVBr32fNHVLnrTzK1RzXUqeUL8RDz2HWB+YVy0Q&#10;WuORviaNVY/JX5MCxo/4636gHNoPCWzSN39ciBliKesc4D3OhdrvSJQjxHVqaPqVzg/efPsF82Y9&#10;IYQQQqrD8NGjO/vX46xCXKfuTbt1+ZnX3WTdlCeEEEJIDfnqq6+er6oQh8OvvKMIcdjJRwQNvGKn&#10;oJDgICAvCEkOMZECSJolaYBKBZwk8Sepf6BceShWd5p2hVAMss6XricNoTkR0uSTPNYYQ+VlV0BL&#10;ztFxsyTAUJ0ayZMUd5/YnMn5tOiyul5fxhJZzpfAZE2mxe9vuWtaryErHUi6NQexNEHyhGIcKxvr&#10;X2z+YmlWHn0en0M5b8l00id8Rv00LZNBiksrIpeDtJP3vKRZS2nim4Vbb31mfLlCnPXF/Kzr+pk3&#10;7WPg0amLFp/jHl4x3D2z7kL3/keTio9F/cH9pvj41C++uvYI3/2vm9x/ud+63QdmuBdeudg98NC5&#10;bt6Cs4t1WHXngYhx/o5x1g5mcviyGEgrOMkREr5iolUSsT6krVcOf4wh0cknJj7JYcVPkCPPsaed&#10;myzE4pkm1jqPlR4jNhexNP34U31ePy7Vlx2xo5sciGPSzn2h9lFO2scr2oyJlYSQcoS40hvwv719&#10;hHmznhBSHSAwFT6KRWK7YCFN8lnphOSJCI2Q3ax0kjOHZhSu3RTiCCGEkPZGHkJcIf8GXZ5CHCGE&#10;ENL21EiIK/0iYOTF15o37dsjEDJEshIg5YQkBskTSk8SISQtJGLEBBchVkeSrJHUP5BUB4QYiC2S&#10;z8KvO027QiwGWeZL5Kq0hHbKEiRfORKNTvPL6/FilzqR/FCH7BLmP7ZSCNWpkTzSJ8RQzvnodpBf&#10;zuvxaCEqDdYOZyIBhh6n6u/WJ/nTgDrQR10+aU2HiK1FQdKtOYilCZLHXzNpysb6F5q/pDQrj58m&#10;8USs9ecGkqrMIT5/uozgfy4xt3rdZwFlUBb98X8vCHnPS5q1lCa+WahEiDuhoccxuhyYcVVf86Z9&#10;GubOH+wefOhc98LLY9zmbVPcngMz3J79M9zuA9Pd7sLrzn3N7Ng9zb393gT3+MoL3H3zhph1VQMR&#10;4+SAtOMLO3JYQlda6UqONKJULA+kJi0r+YdVRo5QvUAOf4xyWI9C1cTakcOKnyBHqI84n3XsaefG&#10;AiIXdrQT0cs6/L7GYmDlsdIBpDE8ytSXNeWwpLeQkAYwDhz+2pbHpeJV5wfI58cadVvCKIi1D0FS&#10;pDg5MJehGBFytEMhjpD2BXbGKnwUi1i7swnyCE1gpROSF9j5TdZaaNdGkjNlCHHW393PvbjKvFlP&#10;CCGEkOpgCepZhTj/O/gJ064yb8wTQgghpHZAiMPf5foaDVou3/kcHVmIAyJV+NKNL+UASUsjkVh5&#10;JC0kYsQEFyFWR5KskUbUiNWhd3iK4dedpl0hKQZp5wuyVayerEhd5Ug0Os0vHxPUAESf0E5akidL&#10;nyoV4nT5WLsxrMdO6sdM+kKbyE4xCSlG0uciRNJaBJJuxSKWJkgef82kKRvrX2j+ktKsPH4aPmuS&#10;ZgEJMia4oW5fjEMZf95jaPkuRt7zkmYtpYlvFiDEFa7DJf87rRIhbtL08oU4MH/hEPfwI8Pd2udG&#10;u9feGOfeeneCe3fjRPfO+xPdm++Mdy+/OtatXjPKPfLYCLdw8TnuXqOOaiPSEA5f+pGjrYQ4yEki&#10;HCUduhyI1auRo96EuErGXq4Qp9dC7PD7GouBlcdPgzgWkuD0YUlnSUKaHLK2EVc5QpIbQJoff0ug&#10;i7UP0B52EfTHl/aRrIQcVdzT3/hC/rTxLZfpVof/eJZrfjPcvllPCKkKeoc47MaFneD0Y0jxuEgt&#10;w+ERkro8IXmDNSbrTa9FUkWKQpy+bicLccc29P6ZX+bxVSvMm/WEEEIIqQ6WEHdcQ4+uLZfrVAeF&#10;OEIIIaT+qIkQ538xf+6omeZN+44A5AXZlQv4MkPovJAkQkhaSMSICS5CrI4kWSOpfyBUhy6LNH9H&#10;tVjdadoV0sRAQF2h+cpSTxqkrtDcAcljjTFUXvqP81rig5wGaSgmCYXq1EiepLj7IH+orJyPtRtD&#10;7zIHsQnnRJDyd40DSes6iXLLY3zSTysdSLoVi1iaIHnKiXGsf7H5i6VZefR5zB1ENAAxTn/+8B59&#10;islwGuTTY0g7PygnMhw+J9bjk6VOK36xNEHy+PFJs5bSxDcLt922ZrgvxB3frXF+of7Ew/pivlIh&#10;DixYOMQte3CYe/SJEe7ptaPcuucuchDkVq+50K14dIRbuOjsNhHhBC0qhaQwS+hKK13JkUaU8vPo&#10;NiCmQXAKpevzIFavRg5/jLJLWEh0EvQjU/3Ha8phxU+QI8+xx9JC6HhhzO+8uyKY7vc1lmbl8dNE&#10;KsNuaui7H8eYdBZLAzKPIrNBdMOBtvy8FuiL7CiHw5/LpPY1iIHefS4UK0KOWjIKcf71fsqsc+yb&#10;9YSQqoFduAofx0TwGEsKSqSaYH399Kd/V1xvlC9rx4ED01tdu8sR4pY+tMi8WU8IIYSQ6pCPENf0&#10;qC4/ctwk88Y8IYQQQmrHV1999WhrIa7xcMvlO5/D/2J+yHmXmzftOwoQKwrDLuILE6Hzgt7lyhIh&#10;ksrjvOSx0kGsjiRZI42oEapDdvWCiKLPC7G607QrpImBJjRfkGTkfNLjUNNgteEjeawxWuX1bms6&#10;b1qsOn0kT1LcfWJzJrvzQYDS57MgIpUIcCI4iSCn0buJ+eJTGpI+FyHSrEVJt+YgliZInlCMY33W&#10;O+35abH5i6VZefR52R0uayxjxMZhoX/PlrN7YixNkDx+fPRa1Oc1SdeBrOQtxI2bdKZ90z4D980d&#10;7OYtGFwU35beP9Q9sGyYu7/AksL7BYVzSLfK1QotKlVzhzirDgDxSg5fEPJlJp9YH/S4YuKRHH7/&#10;RIJKEqckH3YA89PkCI0dyJHn2GNpIfTjRa30WDzTxFrn0ef1jm2hXdNi0lmSkKaFRb3rXtLOfz4h&#10;QTKpfR893ti6IOSopEIhbuzkIebNekJIdcHjUiEgYZe4wkfzCP90zM9dr97/Utw5zipHSJ5gnWHd&#10;QYqLPcKX5IslxMWu3XL4ZSjEEUIIIbUlDyEO37nr8kMuGGPemCeEEEJI7WgTIa7fOePMm/YdicKw&#10;i/jCRExSwc5JerckS4QI1SvgvOSx0kGsjiTxR0suIVEjVIfsXoYY6POCfoyiX3eadoU0MfCR/Dom&#10;WpQLxSMLVhs+kscao1VeC3H+I1/TYNXpI3mS4u4TmzMtMGWtV9DrRcuLlvCmBaPYWEMkfS5CoC1p&#10;10oHsX7F0gTJ48dRi1eW9KVjBvz02PzF0qw8+rzMGwTGUNmspImzRq8dawfFpMf6xtIEyeOPUcfd&#10;+syibZE7rfLlUIkQh6OkXIE8hLi2BLuKQdTyd/vSiNCDI8sOZ75o5KcL8qhISxhCe7EdsyBn4QjJ&#10;S3rnLj8NY5cjNn45/DHKTmI4QqKWbsOKkRwx8UmOPMeO9uTw00LExD6g59vvq5bd/DQrjz6vY2g9&#10;whRrK7aGkoQ0LaDpR8LG1oRFqJ2k9i3kiK0LQo5G7rxzYKtHl0cfmeo9noVCHCGEEFJbyhfiGg/r&#10;MnfPu9u8WU8IIYSQ/Pnh+0OHqyHE9Rp0rnljnhBCCCG1oyZCnP/FfEcR4iDHQDrRu4dBroiJKFoE&#10;Qj6RdyBJaAkCWCKEpIVEjDRiSKyOJPFHSy4hUSNUh5ZQ0LaMHTHSj/oEft1p2hVCMah0vlBel0X/&#10;8TPKh3a900g9obkDkscaY6i8lig16BP6jNhau6YByVtun2LE5kwem4k0vKJ9LSZhHrBeIE9a0hBA&#10;fqlfRFPMhZUX6Dghn55r1IUYSbx0OYDzKIdXPy1GaC1qJN2ag1iaIHmsGEsaxi7pOK/7JeiyIDZ/&#10;sTQrjz6P9v3fdQLmETHG/FhtynpAHXIen0Gpz5o7C8y9tIkyUp8Vm7znBch6Rb/ls4nfJ2mvA1mp&#10;XIgr/WJ+9Lj2LcRpCQniGaQmnAN4L6IRDshCfnk5LHFH1y3SFgQ3XzTSEhLyiTwH+UmkLzlQpy4r&#10;khbyaVkKbWiRDocuJ8iBvGgXZNkFT7eBdBEGpR7pP+Io49LIEROf5Mhz7GhPDj8thBbeUF7GA2FN&#10;y3c4/L7qteCnWXn8NIkjxiXl/RjjsKSzNEKa3/+Q9Idxox60K+PHq44N3usyofbxM9a7/jxg/eCc&#10;HIitLkPI0c6kaX3/VV+DQafuTcNbLtGtDv/v7vMuHmDerCeEEEJIddh9aEommV0OCnGEEEJI2wEh&#10;DvKbvhaDMh6ZerMuTyGOEEIIqQvm+9foqgtxvQaMMm/atzdEkgkBmcovA+khJjBBiJCfLRFC0kIi&#10;hpY5rHQQqyNJ/EGfpHxI1AjVERs70Gl+3WnaFUIxKGe+gBbmQkBwscpqJG+5Ek2ovI5NDMRXlwOS&#10;Vm6fYiTNGaSkkBilCcl8wBcptbDok7T+BEuqS/pchAitRY2kW3MQSxMkjxVj/fvEB7HQkqpfNjZ/&#10;SXPr5/HTdFxi6M+krs8Ca0mLcknEPteoS6S1asxLbO3jPNax/ByKb0b6dOretFtfh49mIQ6IsBM7&#10;QruQyRESunwxC4cvBkEosvLhENlLDl+mgjCkhSj/0PXqcoKW8fSh88hhjRHth/ouB+Qq5PPLAjlC&#10;8QNy5Dl2tCeHnxYiNk84dJrfVy27+WlWHj9NrwHrkLb9tQVkfVtpAqQ0fVjyJ9Bxsw70wy8Tal/O&#10;h45QHwg5mskuxDU9qvNSiCOEEEJqy4LlF7W6dqcR4vy/2X936y3mDXtCCCGE5E9IiMOucS2X6lSH&#10;f7O9e69+1k15QgghhNSWVkIc/gZvuXznc/hfzJ921rnWDft2B+QLCBtasoHMAEknScyBjCFCBF7x&#10;s8gccl7vYCVIWmjXLBFckM9KB7E6RDAK7bSkd1ay+gdidWDskEhENgGIn0hPobGnaVcIxaDc+QKQ&#10;UpBP+gcwBghSaA/jssppYnEXQuPXabo8xiTnLZEL/caYkW61XWmfYqSZM1kPvqiGuGI8STKQFodQ&#10;h5XHB2vNlyNRFvMbku9iazqGCGmIoZUOYnOQx/zI2kUegHWLmCP2WD84Z/UvNn9p5lby+HXrOfPj&#10;jT6hv3p+dP3I738OMXdY42k+gz6oT689HRuJWbXmBbGPXQfkd2SofEZaCXG48BfqT3X4ZUdc1P6F&#10;OAAZCdKb3hEO73EuJDABEbL8XbEESFSoQ/KhTkv+8vPhFT/Ljmty3hLLZFctyYMDO36h38iPA2l+&#10;OQH9kXEjH8rqdKk3Nkak+YITfsZ5pFvlQFLdQPLkOXa0F0qLgbHoeOGABCY71IX6Kn3B4af5eUJ9&#10;wpj0Tm7IJ2tExuPPHZAyVppG+o4j1MekubbKhNpHvyG9aZEQfUA+fxdFQkgzWYU4//EsA0f0NW/W&#10;E0IIIaQ6WEJc7Noth7+r+9Wzrzdv2BNCCCEkf3744ZPd+QhxpY9joxBHCCGE1AXVF+L8L+Y7ihBH&#10;SFsjsluSDCbST2xHK0JqgaxFrF0rHUBIQx6QJEWSVFQkxPlfzJ9zfm/zpj0hpH0hkpu1yxshpD4Y&#10;NabPifoaDGI31f0/7HsO7GPerCeEEEJIdchLiJt0xRXmDXtCCCGE5E+1hDhg3JQnhBBCSG2pyQ5x&#10;3jaxg60b9oSQjMhOWni10gHkItmFikIcaWuwDpPWIiQ4yUchLhdyFeL6D6MQR0h7B7u1ySG73RFC&#10;6o9Bw07L+sjUkr+7u/XqZd6sJ4QQQkh1KFeI69St8XldhkIcIYQQUjsgxB3fvbGPvhaDrEIcHpPu&#10;1/HxoU+sG/OEEEIIqR03+xu4VV2IO7HHmdYNe0JIRvTjUCEY6ccrQoTD4yn1IyHlcYyEtBWyHiFp&#10;4pGlek3iPc6JwInHhuqypDxuvXVt10qEOP+LeQpxhLR/8OhVOWKPuCWEtC2WEIcv6Vsu0a0O/3+j&#10;U4gjhBBCastF4wblIsRdOH6CecOeEEIIIfkTEuJOaOhxTMulOtWBa75fB4U4QgghpM1pJcRhM5iW&#10;y3c+h//FPIU4QvIB0psW3kKIfGTVQUgtgbQpwlsMyHBa8CTlAyGucGE/rK/DlQhxvQf1Mm/aE0La&#10;BxDgfvjhu6IMBzHOykMIqQ8oxBFCCCHtC0uIi1275Sj8jf6oLkMhjhBCCKkdeQlxVh3bd+y0bswT&#10;QgghpHbUXogD1k17Qkh2IMUNHjy++NhUXzTCOewcx53hSD2B9YjdDeWRvwLWL85B3sS6tsqS7NhC&#10;XOOsQsxTHf4X8xTiCGnfvPPuiqIMBynutdcWmHkIIfVBViHOejyLdbOeEEIIIdWhXCHO/3L+7JGj&#10;zRv2hBBCCKkGhzZYu7vlIcS9+95G68Y8IYQQQmpH9YU464t566Y9IYQQQvKlWYgrvQZnEeL8fyQ0&#10;9qUQRwghhNSCTg1Nv9LX4GYiO8QZX+Bv2TnVvGFPCCGEkPwZOLxvZ/9anEaIwy7uukzvwcOMm/WE&#10;EEIIqQ75CHHHNfRo9T08hThCCCGkzbnZ3/wldyHO+ofEzbc8Zd64J4QQQkh+VCrE+V/Md+91unnT&#10;nhBCCCH5Yglx+IK95RLd6qAQRwghhLQtWWV2Ofy/u086o59xs54QQggh1cEW4o5t6P2zlkt1qsP6&#10;d8BLr75u3ZgnhBBCSO1oJcR16tb4fMvlO58Df/jrBgCFOEIIIaT63HbbGuML+dPGt1yiEw//i/nO&#10;p/U0b9oTQgghJF+yCnHW393vfnC5ecOeEEIIIfmT9dotB/7Tmi5DIY4QQgipJRTiCCGEkI7KV199&#10;NatNhLhrr3/AvHFPCCGEkPyoXIgr/WKeQhwhhBBSG6zHrWQV4l56Y6J5w54QQggh+UMhjhBCCGmP&#10;HNqA78v1tRhkFeLwiFW/jtVr15k35wkhhBBSG5qFuMbn9fU5dyHO+iKfQhwhhBBSfabNnNfZvwbj&#10;f7y1XKITD/+LeWDdtCeEEEJIvlh/R+NGe8slutVh5acQRwghhNQO61qcRoizbsLbN+wJIYQQkj+2&#10;ENdymU59QKDz61j+2Erz5jwhhBBCaoMtxDU92nL5zuewvgyYOWu+eeOeEEIIIflRqRBnfRlg3bQn&#10;hBBCSL5kFeKsXWlWPzfOvGFfEYdmuL0Hp7o9+6YVwOtUt//ANLf34+l2fkIIIeQoIeu1Ww7rMW2H&#10;D+8ybtgTQgghJH+qJ8QtWLrMvDlPCCGEkNpQEyHO+mKeQlxtmD79bvyjrQjeW3lIvgwePL4Y75/8&#10;5O/N9Eqpdv3V5Ljjuhb7jlc/rUePIe6Xv/y34vj8NGHMmOvdL37x34+sabzX6xrvUTdig/R/+If/&#10;5vr0GVlSByG1YsSIGcU13blzLzO9VowZd1OTfw3OtEOc8cX8rbcPNG/cE0IIISQ/rEeg4hEsLZfo&#10;Vof1eJYVT15s3rCvhH0Hp7ld2ye5bZsuc1s3Tiy8TnQ7t13udu+dUpTlrDKEEELI0QCFOEIIIaQd&#10;8v0nz1tPSWm5TGc6/DooxBFCCCFtC4S447s3btDX59yFOOuL+Skz7jJv3JN8mTjxliPyEN5beUi+&#10;QMCSmFvplVLt+qsJ5CD0G69+mowpNC7IcDqPIMLbnDmPHBHhNFZbpLrExEcLiGNZ5yuLGJokBkPG&#10;lHQf9AdrDOvLL5eErHfQlr9/KcQRQggh7ZN6EeL2YUe4A9Pczp2Ti/LbprfHufeev8i9+8yF7u2n&#10;R7l31lzo3n9+jPvwjXFu60eXuT37p5n1EEIIIR2drNduOaxy+w98aN+0J4QQQki+mEJc4+GWy3Sm&#10;o7SOJnfbPfPMm/OEEEIIqQ2WEHd8t8b5LZfufA4KcW1HexTiRGqK7RRWz1QirKUZe0cV4mTnt5BE&#10;JenY9e3qqxcXz0FuEsFJBCkgax35KILWntg8W+hd/4Alrflk+Rwk/R7U4loIfDbT9Esjoh3WbDlC&#10;XV5YQhy+bC/0LdVhfTH/+1sGmDfuCSGEEJIPd98z8LB1DY7dVLcez7LooYvMG/Zp2Xtwutu9a7Lb&#10;vGG8e+PREe7ZOwe5Nb/r71bP6etWzT7LPXkDONM9VXhd84cB7rUHz3Ob1l9S3DEOEp1VJyGEENJR&#10;yXrtlsMqt3nLm/ZNe0IIIYTkS65CXGPhb/kf66EQRwghhLQtNRHirC/mJ0z+g3njnuRLkghSj0h/&#10;Zeev9kYlwlqasXdUIS4JGXNIFqykbpIvWeYCkpnMrQCRzMqrqYYQ5/cXQqVuB1KcyJjtieGjZgz0&#10;r8H4sr0wplSH9cU8hThCCCGkukCIs3ZprbUQh8egbnlvvHvj8QvcE7POcAuGNLj7+nZ28wd0cfMG&#10;dnHzBzUUXgv06+wWnN3VPXFlb/fqQ+e5D98c5/bsnWrWSQghhHRIDk3PfO2Ww3rUKoU4QgghpEYU&#10;hbimm/V1uHBN391ymc50UIgjhBBC6gsIcbiu6+szhbgOBIW42lOJsJZm7JXU39ZkEaU02F1Lxhxa&#10;x+XWTfIny1zoXdSkHN5beTVZPgflCnGC3n0wjaxXb1RDiJs9p795854QQggh+RAS4vC3dcslutVh&#10;/d195/yR9k37lOzYOsm9tWqUe+YPA90DF57iHhjU1T08pLu7f2BXd/+gbgW6Fs51cyvOPsktGdDg&#10;Hhzbwz172yD37poLi49YteokhBBCOiQU4gghhJD2SRWFuBtvvs28OU8IIYSQ2vDVV1+N94U4XPdb&#10;Lt35HNYX82Mn3GTeuCf5QiGu9lCIC5NFlNKkWcfl1k3yJ8tcyGOCsa5HjJhxZJ7HjLnezC9k+Rwk&#10;rZ80/YWkhzx4vKuVXs8MGDqh1SNT8WV7YTypDuuLeQpxhBBCSHVpfmTqaeP9a3BMiMPh569UiNv8&#10;3ni39o7BbtnYHm7hkAa3oF9nt6h/FzcfO8IVXhf06+IWFl6XDOxa3CVu6QUnuSeu6u1efXC427n1&#10;crPO9sSadRe4hm7/7Hr1/hf36vqLzTy15Pa7ziz2Z+jw48z0tgAxKiy9Inhv5SGEtKatPzsbN08s&#10;/m7D75RHHh9m5iEZCQhxSdduHNbf3W++/YJ9054QQggh+fL9J89jpxh9HS5XiPNvuFOII4QQQtoW&#10;CnEVctxxXYtfXsUEJhE+rEc9SnlJgxAC4QLnAN4niSHYPQvti7ABUC8eRZhGJAJoV6QQAT/jvJUf&#10;yLjQDpDyOK/jIf3zx4VzSEMe67GJPrr/eGwhdmpCm9IPgBh07tyrWJ/k1Ug7KIOfUQ/ySx14xc/S&#10;rxCxchiX9Mcq65N17H79KC/rCCAGOv4hZAx63Uj8KnksJPoa6o+sEbz65aQMXuWc3pmrXHQbQPon&#10;cwf89egjfUN/kAcxkrK6v0I5sZWxSn2xOMbAZ9YvlzSn5cQkRmyeNfjdJu2hf2hLfkafrTIC+iZ5&#10;rXQNxid58d5PT9NfyZOmPUHmFHG10v244xU/W32shDMGjBzkX4MpxBFCCCH1TUiIa7k8Bw8/f6VC&#10;3MaXL3aPXdnbzcMjUvt1dnP7dj7yqoEYNxeS3NCubvn4RvfcfWe7bR9ONOvMi3899h+P/PtM89Of&#10;/l1R8IA8ZpXLwvSZ3Y/Ui/dWnlqCcUl/6kVgQT/qrU+EtAfa+rOj28fvFisPycih6WXJ7Dg6NTT9&#10;yi9HIY4QQgipEYYQd3z3xg0tl+lMh3/DfdrVN/zNujlPCCGEkNoAIc7fwTV3IQ6HbgB0FCFOJImY&#10;qIL0UB4pL3KX5PUJiWmQSLR046PFHUuygIASaxeExBRJh/ShRRqAOpEH9WsRzkdiklUK89uzsMaL&#10;c5KOmIbqQZ9DIhAknlA5EVrkZ6u8TyVCHMag82liQlFs7ABp6JdVNobumw9iKmtB1odG1qFOy1uI&#10;k8dzhgjNu/QN5a31rPOWG1uJHdqK9TM2r/rz7hNqt9yYxLDm0kL6izb8c+hvrF291qx0jf7cW78X&#10;0vRX8uD3rZVuEetj7LML/PyVYAlx+LK90E6qw/piftZ1/cyb94QQQgjJh7yEuN/ePsK+aZ/AvgPT&#10;3PbNk9wbj17gHhp/WnE3OOwE54twwrx+LcJc4XXxud3dMzf3L+4uZ9WdF4XhJgJpDrsgWeXTsHDp&#10;wGI9kOzqQfa65NL/LPbnn475eUXjypO2lnpIxwA7lWEN4dVK74i09WcHu17idxvanz2n0cxDMhIQ&#10;4goxTjwoxBFCCCFtSI5CHMrpeijEEUIIIW2LLcQ1zmq5dOd36AYAhbhmpLwAmUp2coK4oeUba4cn&#10;XR7ykJy3pBxLBBF5C3lRRgQUtKVlDqvvkiZAZEEbqAcgj94hSe90BzEH+WP1xmKK+lAedWppRo9b&#10;SzaCFmOAjBtpqEePGfX75ZFH6serxNQvK/jlk5BysbH77WCc0g/MmxbyZGwaLeAhr5akEE9Zcxif&#10;jm0SOraoQ9ar3ydgiUeylq00XbeM1SdWHmi5DjGU/mGMet3E+ibgZ8QK6LmqJLaVzqsuj7VrxR+v&#10;ukwlMYkh8YqVQxvSth4P4mSd99HjRZxi6HHiZ7+upP7qvvoxjKH76KdJbPVcSdyzSHdpoBBHCCGE&#10;tD/KF+JK/7i/6Q/nfWvetE9g5/bL3cZXx7oX5p3tll3Uo/iY1KgQV3w90S0c0MXdV3h98roz3aY3&#10;LjHrzovCcIv4O7fh0YMi1wBIcTqd5AuFOJIHsvvh0bRTGT87HZAKhLgTGnoc45d77sVV9k17Qggh&#10;hOTL958836lb06Ol1+J8hLhJM67+wro5TwghhJDa0CzE6Wt81YS40i/mLxhz9bfWjfv2hogUEB+s&#10;dID0UB4pDywBC/KGpPtyiE6z6oZkIQIO8EUQLe9ocUcjQgfkDT9NyoLQ+GV82IXKSrdIqjMJ6TPw&#10;03TMMCZr3NJnS0rRdVtiDc6J6AL89CSkXGzsug+YX1+sws9attFpICRHCbq8liyTkLihrN8noKUk&#10;5PXTpbyVpufNijuIlQdJY9Jt+OtC6o7VDyqJbSXzijQpG2ob7fnlKolJjKS5APh9JnX7Y5V+hcYC&#10;dLyyYK2fpP7qtmKSno8up8/ruPpjrwY9+583Sl9/Ab5sL7Sf6qAQRwghhNQeCHH4w7z0Gtx4uOXy&#10;HDzyEuK2bpzo3lo9yj1zywC3dMTJbsnArm7RgIZWIlwpJxbyNRR3k3tk6unurSdHuR1bJrk9B6aZ&#10;bVRKYbhFQo8y1VIcdnqz8pDKodRD8oBCHD87HYJD041rN4U4QgghpO4xhLjCNf35lst0psMX4kaO&#10;u/wz6+Y8IYQQQmqDJcThP7O1XLrzO/wv5keMvvKwdeO+vSEiBcQHKx0gPZRHykOA8dOEUHn9qMOQ&#10;VKF3W/JFECkfk1ZiQoycj0krIghBLksrfki9sZjG0H32x6zTEBudJoQkFiCCYWy+9LxY6TGkXGzs&#10;un+hmIYEH+SXsn5sNFI+NrcaXW9MfpT4WWsu1GcQm1MhVl5/Dvw0jeTxBTGpO7aOK41tJfOq5bK0&#10;4lqlMYkR6qcmFAegP0Oye5qPjlcWrLkJ9Rex1H2Jfe4tQr9LUK+czxLXcqlUiLO+mJ9xVV/z5n2M&#10;u+8Z7O6dO8jNmz/ELV4y1D3w4DD30MPnuhWPjHAPP3Kee2j5cLf0gaFuydKhbsGis928eYX8Rj2E&#10;EELI0UBeQtzUa4b+0bxpn8CW9ya415aPcKtuPMstPf+kogy3sH+yEIed5Bb06+KWX3qae2HuOe69&#10;F8a4HdsmmW1USmG4RUJCHB4HKHnwqFErD6kcSj0kDyjE8bPTITCFuORrNw4KcYQQQkgbkqMQh3K6&#10;nhEXT/zYujlPCCGEkNrQZkLc8FFXHLJu3Lc3RKSICUxID+UJiRiaUBtpysZEIimfFr+8nI+NXUs3&#10;kElCEpomTb0xYmOOpVl5/DQ5H+sb0kLlk8irfsnjrw09tjTE1pYmTVxBbM3G0tLUHyuvY5YGP/6x&#10;uoVKY1vJvJYjYVYakxhJ8YLkJvVavxPSCGNp4iUkrR/pbwzkCYmKIWJ9FDkUIF9I/MuDU888Z5K+&#10;/oK2EOLuvW+QW7jw7KL4turpUe6V1y9x77x/mftw82T3wUeT3dsbJrgXX7nYrXl2tHv8yQvcsgeH&#10;ubnzBpt1EUIIIR2dZiGu6WZ9/e3UvWl3y+U5eCCPLlO2ELdxgntr5Si35vcD3NILTirKcAv7JQlx&#10;nVvEuS5u2ZhT3TN/GFCsY/umy8w2KqUw3CIhIQ5IHl+ykd3jZs9pdBs3T3RDhx93JC/SJB8evyrn&#10;8V7XIWk//enfFX+GgId68LOcx8+oX5fzQTkIe/90zM+PtIX+3n7Xma3yor+6TStN4iGPjpX+oP5Y&#10;f6QfaFvK6HL++IVKpZ4s4xfQF/RJl5F+xvqg5x0/ow08UlfqQLou788p2oitN6lf6sDOhBiL1I+2&#10;YuWFao0P79Pslohyut8gaU7KbVuvNYs08RLQJvqh2wXou/TLotK45fnZQV45l9Sm5NP14/ONmPn9&#10;xznrsy/9teIj61+vw6R1cNRTgRB3bEPvn5WWa3KPr1ph37QnhBBCSL4UhbhSkS0vIe7c0ZfutW7O&#10;E0IIIaQ2fLR1+zR9bQadujcNb7l053f4Qtyg4ZP2Wzfu2xsiUsRkEaSH8iSJIyDURpqyMREEu11J&#10;WhJ4hKEvbEhabOxA714ldUHgCQkgaetFedQjcbDwx5wkxvh5/DQ5H+sb0kLlk8irfsnjrw1/LpJA&#10;fHX5EGniCmJrNpaWpv5YeTwqVMqnwZe0YnULlca2knmV/mXZwazSmMRIihckN6Tjd4GVDkQYsx5d&#10;DNLES0haP9JfH/QPO9hleUyqJtZHyHVaigPoR7ltxbCEOHzZXmgz1WEJcROnnPWNdfM+xoKFQ9wj&#10;j53nnn3uIvfWOxPc5u1T3b6PZ7rDf7nW/enP17rdB65wm7ZMdu++N6Eoyz299kL30MPnufkLzi7K&#10;dNhhzqqXEEII6YjkJcRdfuU5+82b9gns3jnZbXrrUvfiomHugYtOdUsGdHWL+nc1JTgNhDg8MvX+&#10;USe7VTf1da89PMJtLlzbrTYqpTDcIjFhRvJA6tDnRfaBxOLLM0DyWcKKlQZBJCT2oP6QhAaRJSYE&#10;+f3GWCVNn9dpeIXcIvl8ILfExJgYfgxALEZJZB0/0DEIgXn1y4GkeRcwDshIob6hnlj9KIu+++UE&#10;CFhWeZDX+OS9RUhowrqIlQPWnIBy205ad4iHzh8ituYF9MsqW27fhbw/O1JfbJ2gr1JWPs94ja1r&#10;K5ahtKTPZtbP+lFDUYjLfu3GYQlxK1Y++I15054QQggh+WIKcU2PtlymMx1+PX2Hnr/fujlPCCGE&#10;kNpQMyHO/2KeQlwzSeIICLWRpmxMBIHskVQ+htQbG7sg8pq0CfDeklPS1Iu6JF8Mv/5YPKw8fpqc&#10;j/UNaaHySeRVv+Tx51ZEJBAafzmkiSuIrdlYWpr6Y+Xl0b3AT0tDrG6h0thWMq9p+udTaUxiJPUn&#10;i4wLrMfApomXkLR+yolfGtL0EQKctC9Yj5GthKZ+I6/U11+QRYizvpgvR4h7cPm57tXXLymKcLv3&#10;z3B7P57pPv7jVe6Lr651nxc4+OmVRSlux97pbvueaW7jpsvdy69d4p5aNdIte/Bcd99cu15CCCGk&#10;IwIh7vhujfP19TfNTfXjuzdu0GUumjhor3nTPgW790x1bz41yj08ockt7t/gFg9I3iEOu8jN79fF&#10;PTD6FPf0b/u5Nx49323/oG12iIOUJHn83Y986QU/Iz/Q9YWEFT8NQB4RYQZiCuqRNEsiQh4RTvCK&#10;tiVNC3Z69yddp5zz06QcxBip0++PJQahHPqJMiLYAN0X1KnLgFiMYpQzfpyXtjAGnYbyWgaydrzy&#10;5x3CEXbBQpoWqnS/ZE5ltyzJo/srSP1SHvVLH1FediIDep0J1Rwf5kaXl/Ma6Z+MW9YB8ur1Y/W9&#10;0ralPF79tDQgHpA98arjhrZ03GPzJmTtO+KV52fHkt18ZNc2/btF1jDa1ONEPJDPmjdpx0+TmKHf&#10;/jpEvHR/ieLQ9LKu3Tisv7vnLZ77hXnTnhBCCCH58v0nz/t/S+Oa3nKZznT4j16lEEcIIYS0La+8&#10;9sY1+toMaiLE9Rk0ert14769ISIDxAcrHSA9lCeNiBFqI03ZmAiSpnwMqTc2dgsIICLG4dV/DGFS&#10;vXpM6Lu/c1VszLE0K4+fJudjY0ZaqHwSedUvefy5TTP+ckhbb2zNxdLS1B8rX8mcgFjdQtoYhKhk&#10;XvVub/p8jEpjEiMWL/041LRYOxVm6X/S3KSZ33LI0kdIw1pSRFkrXzk0nnXub/T1FxTaSH1YX8yP&#10;n3LWZ9bNe5N7Brn5Cwe7latGuo+2TnZffzfbffvDje7TL652hz6bVZTiAN7j3OG/XOf+/Nfr3f6P&#10;r3CbCvlfe+MS9/gTI9y8+dwhjpAQX3yx1+HAq5VebQ4c/MB9+eUht337y2Y6ISQ7lhCHL+hbLs/B&#10;w/8Sf8TFAzaZN+1T8t7zY9xj00538/pi97cuRdkNWDIcWDygaxE8MvX5+4a49wvld2y93Ky7UgrD&#10;LWJJHkBLLr7EotNiAk5IWPHTIKBoaUSQdiCv+GlaerHKos+QUXTftZSk8/ppKGeJNFoMssSeELF2&#10;YzGKkXX8WqALzRnyiChkxVzPuxaJBC28WXOq+2CVT6o/1r9ajE/PlYh+AsYqadZ8AFkH6KefVknb&#10;QMqHxl4JOrbW74tK+x6jnM+OngtLfNTpWnyTceCzpfPHkHr8uFj1kxQYQlyaa7ccpeWa3L3z7z5g&#10;3rQnhBBCSL5UUYjrM+S83dbNeUIIIYTUBkuIK1z3+7RcuvM7/H9M9B44apN14769kSRSQPZCOrAE&#10;hzQihuTxy6eRYCCLSR5fBNHlfSktDVK2HHEj1q+kemV3OMh0VnpMfomlWXn8NNnZKjZfevc6Kz2G&#10;lIvFFGlJ9Usev5+QbqSsJRmVi6431nd5RKQVP1nnVlqaeYuV148zzfLoTyFWt1BpbCuZV707nbWb&#10;mkWlMYkRi1fS51cj68XKmyZeQtL6STO/5ZClj0LsM1Iu1RDiLrq0zwHr5r3FoiXnuEefGOFeenWs&#10;2757mvvmb7PdX7+/0f3xT1e7Tz7/UYjDe5z78uvri9IcdozbunOqW//2eLfyyZG5C3EQeELHt9/9&#10;pSgWfbjpaXf/A2PN8oTUE5DRcODVSq82+rDSCSHZaXlkaskX6Wluqvt/dw8+v98O86Z9Sj58/RK3&#10;6voz3aJzurl5fU8synALIkLc0oHdikLcikk93frHznfbPpzo9u6bZtZdKYXhFvFFDoglWnCx5BBJ&#10;h1QEWcZPF0LCip8WkkZiMoyITZDU/LQQsfp0WmhMus9ZxJ60cfDTYmQdP/or7cQkHZ3P74/Mu7Vb&#10;F9BjCbUhdeA1lBaqH+h50lJiLcYHpKz/uRFB0RqXoOPjS3OVtA2kfKz9SojVX2nfY+iY+fMVS0Nf&#10;cN7qk8yVLyaK8Jr0e00j7fvjEoEwy+8nUiBnIe7O++7cbt60J4QQQki+4JGp3qYu5Qpx/r8Fepw1&#10;+IB1c54QQgghteGxlatb3SenEJcBkcqsnc7ws5bOLFEojYghefzyWmiBEKPTAMQY9Evy+CKIltKs&#10;viVRSdmYoCJ9DklFsosS5DQrPfboyli7Vh4/Tc+nJR7pObHKJ5E0dpBGspE81rrSklE5ImQIkQXx&#10;atWrY2f1K/ZZSDNvsfLoj5S30pOI1a2pJLaVzKuW8UKP28Ta1GmVxiRGLF6yxrEe/DQf/Vn2pb00&#10;8RKS1k+sv5WQpY9CNfpSqRCHwy8/6pI+262b9z733jfILV9xnnvxlYvd+x9Ocrv2zyhKb59/ec0R&#10;Ec4H6Z8dvsbtPzSzKMS99e4E99TTo9y8BUPMNspFBKKk44cfviuKcVYdpP54dt0fWmbOFd9beToi&#10;bS3Eff31F8X222qHOkI6IpYQ16lb4/Mtl+bggTy6TP/hfTebN+1TsvX9ie7F+We7x2b0cvePPtkt&#10;HNzVzTsLYlxnt6DA/L547eIW9sejUgvv+xbeF/Ksuu5M9/6LY9zefVPNevOgMNxEQjslpZVvypVZ&#10;rDz6PGQVOZ9FsEFeq76kNI3kydJupXHwKWf8accX210rad7TjCVWR1L9INRGLcYHJI8fdzmfFj8+&#10;lbSt02LlKyFWf5q2JU/a9SrE1lQsTR5/CvzdHEUm9X+/QaSUMhDpYmKlIPn9cYl0ByDF+QIkCVOO&#10;zC5HaTkKcYQQQkjNMIS4wjX95pZLdKbDF+JO6TNwr3VznhBCCCG14amn196lr83N1ECI69Fn2Gbr&#10;xn17Q0tlkGEgpuA8pAuRYwTIEX75NPKD5LHKi4QEyQTCC85BdMF7EU8ESwTRfYSgoiUvjAX1oH1L&#10;spFyVr8E9AFyl64X77U4pPMDGS/SpBziLLHVkgzaFvEIefUjB4E/5iQxxs/jp2nxCGOQOnBeyy+C&#10;Xz6JpLED3Y6c85E81rrSaxbrB3Os5S2MCXOm+5AG1CP1Yh6kz9a8WP2SsVtpaeYtVh7IzmSSRwtW&#10;GD9+xmcgtiZDdQuVxLbSedUxRhsSf7yKjOiXqyQmMULx0vHRbYVAHyS/L9CliZeQtH5C/a2UUB9x&#10;Hm3p9YFX/bvNkpzL5eQzhngX+sbDhTYyHaXlswlxT666wL2/aZLbvX+GO/jJzOJOcD/uDHelO/QZ&#10;Hpfa/B4gDY9OxQ5xEOg+3DzZPfPsaDd/wdlmG+USE4hee22B27Pn7aIMJwd2lPPzkfoDcycH3lt5&#10;OiJtLcQRQvKnXoS43bumuA9eGeteeWC4e/K6M939o05x8/o3uMUFlg7C41Eb3JKBXd2ywd0Krw1u&#10;waAGt/zSRvfcfee4LRvGm3XmRWG4JpBF8NhDXzDRpBFgQLkyi5UndD6NtCLEpKlYmkbyWGIPxBuI&#10;MBIfi3Li4FPO+KVPmF8rXSN1+2NMmvc0Y4nVkVQ/CLUhZas5PiB5/LIiWaUBu4f5klYlbeu0WPk0&#10;YAc9CFyh8Vj1p2lb8lh9B3l/dkLSqBYiLUlN7yAIMFfolz9fguSzxoXfo7ouxBSiXtrd545Wyrl2&#10;y4G/1XXZG35302bzpj0hhBBC8qWKQlyXprM+tW7OE0IIIaQ2WELccQ09urZcuvM7/C/mO4oQB0Q2&#10;sYBwIrIFJAi/bBoRI1YeUg1kFWlPg/NaQLFEEEgYvrhn4csoQNKsfgm6DgtLitF91kj/k/qs0/wx&#10;J4kxfh4rXYtfPmhbSy1W+RhJYwchyUYjeULrKjYGjRbx0hD7LEDYEgHL6lfss5Bm3mLlhVj/BIhs&#10;frk0dQvlxrbSeU36XFgSHig3JjFC8RJpL4tgp0U/kcdAmngJSesny/xmIdRHfd4C86jzV0o1hLhh&#10;I3tvtm7e+9w3d7B7Zt1ot2vvdPeX724wdoZrLcQd+qxZmDv0WfPPO/bMcC+8NNYtWHiO2Ua5pBGI&#10;nlg568jOVzjeeXeFmY/UDxTiKMQR0pHw/4YuR4g7a+hZG60b9mnZe3C627Vrstu0fpx7Zcm5buU1&#10;fdyDl5zmFg3v7hYMaRbg5g/o4uYVWHB2V7d8fJN7+vf93ZsrR7md2yebdeZFYbhFQoJKjDQCDIgJ&#10;K7E0K0/ofKisBcZq1ZeUppE8ftz0jlAx/P6WM5ZyysicUYgrf3xA8vhl5RGZsbIxKmlbp5XbPuSw&#10;NFKfVX+atiWP1fdqfXb0I1DlnLQVWyci58mcAry32pB0a1wAZXwxDrvPhQQ7kq8Qd/WNN2wwb9oT&#10;QgghJF++/6Twd3TpdbhcIQ7ldD0U4gghhJC2ZelDKxboazOoiRB3yhlDN1o37tsrEBxktzYAiUPE&#10;CxE6rB1/JA2vfpoQKw9kBygR4/CKn0W4kX7FdvuCxCNSiAApA20jzSoj7cV2MkIM0BcdG7zHuVh/&#10;IIZpuQd90wIRxBg/5sgvfZW++W3gZ8kfal/yxKQdjEvmBaAf6A/6hX4mlY+RNHYR7mL1S57YupJ1&#10;o2OIOtGe3mEsK5gD3X89L3gN9UviaaVJTEFo3mLlNTJ3skYAYoBxI25auhLS1i2UE9s85lU+Fzr+&#10;6EPSfJYTkxiheEn96I8+H0NLovI7FaSJl5D0uQ/1t1JCfUQ8kYb4Sr+AxFvnzYNupw9aoq+/+N9u&#10;hfYyHf4XAuecf8YG68a9z71zB7un145223dNc599eY379E9XK+HtKnfgk5luz4EriuARqbJDHNLw&#10;+uXX17t9H890L782zi1cVLsd4jT3PzD2yE5x3373FzMPqR8oxFGII6Qj0VqIa3q05dIcPPwb8af1&#10;613RDnFg38fT3a6dU4pS3FtPjSyKcc/eMcg9Nfss98j0Xu7hyT3d4zPPcKt/09+9uGCoe2fNhW7z&#10;exPc3gPTzfryojDcIiGRI0YaAQbEhJVYmpVHn4dMIuez9B95rfqS0jSSR7er+4mY+Lu2xcYaSwtR&#10;zvi1dGSlC3oHLeyWpdOS5j3NWGJ1JNUPQm3UYnxA8vhxT1M2RiVt67RK24f4hfp9YStWf5q2JY/f&#10;dz2fyJPnZwd1SbrsBifSn/+43BBYIyLG4dXf3U3qT/ocohzySP5YrI52yrl2y+H/3T3z2mteN2/a&#10;E0IIISRnDm1oLcQ1zmq5RGc6fCHuxNP6HLJuzhNCCCGkNlhCXKeGpl+1XLrzO/wvBLo2DegwO8QR&#10;Qggh9UrXpn6P6+tvHkLc4PPOeN26ce+DR6Y+8eQF7t33J7odu6e5/Z9cWXwc6hdfXVsU3vYemOm2&#10;7pzqtmyf6nbvm1EU4pAOIe6Pf7ra/fX7G4uPTn31DQhxtd8hTsDjU+WI7RK3ffvLR+qVAz/jPMQ6&#10;q4yA3ejwWFZId3Kg7Iebnm6VF/VJup8mfPHF3mIevIbSUA9+Rht6Jzyka5kMffv0020lYiBiIukh&#10;pJweE97jHNKsMjI26Tf6If3FEWpbysUOv0wImQvEVz82V/r+7Lo/mOVwHgfK4Gc/bnjFz7G1gLnA&#10;ePV84JB1ZJUBSJd8ck7ihrp0Xh/0CYfEXJDY6/7jZ0s0lLb8OgSMS/qII2kdEEKaKVx/N+jrLx69&#10;0nJpDh6+EHdqnzM+sG7YZ2XfocJrgb37p7qd2ya5TW+Oc2+turAowD1/39nuteXnuXfWjnabN4x3&#10;u/dONevIm8JwU4kcFmkEGFCJzOLn8dNEUsEuUH5aCC2kxNJCjzTUgo0Wd0TGQp90fqHSOFhkHT8E&#10;IGnHelSkoPNlkaJAmrHE6pA07KDlpwlafNPzVIvxAcnjf270LmDlPBKzkrZ1Wqx8CPRX+h4SxWL1&#10;p2lb8vh9r/ZnRz4naEfn9+c+hv7c++3IeWtOLNKKm0czlQhx/qPaJkyf/q59054QQggh+QIh7sdr&#10;MMhLiPv3k3v+2b8xTwghhJDacefcBcv0tRmc0NDjmJZLd36H/8V8l8Z+H1g37gkhhBCSH74Qh5vr&#10;LZfm1IcvxPU7p/e71o17Hwhxy1ec5158ZazbuOlyt2f/Fe6zw9e4w3+5rii97T04023bOc1t2T7N&#10;7dp3RbMQp3aR+/Lr6wp5rnAvv3ZJm+0QByDtyAFRyk+HCOULTP4BAQj5/LJSXqQj64A4pPOLoBfr&#10;e2x8koaxxPoN8QkCYKhvsfYhQMXGhDQrHnps6F/o8GOSpxAX67cclhSGc3LExo+YW1JcmjGEYi5z&#10;qtN1fVasAfohh17b6H/s0HUAq31BhDvrCI2HENJMHkJctzNO32XdsK8USG9bNk507z1/kXv32Yvc&#10;B6+Pdds/uszt2VcqwxVFOvVznhSGm0nk0KQRYEBMWImlWXn8NC0gWQIUJB+IVToNYw3Vp9NQzpKa&#10;ZNyQbHS69WhGjZawyomDRdbx613lQhIdysgOWtbcJs17mrHE6pA0gPH56eifCE5++VqMD0ge/3Oj&#10;palqfaZCbQNZgzGZMATWiPTd3zUPVDNu1f7saOFOPjNZYxRrR86nnXPkkzJWOplR1rVbDl+IG3v5&#10;FO4QRwghhNSE1kLc8d1PG99yic50QKTT9fz7ST2/sm7OE0IIIaQ2UIgjhBBCOjB5CHH+F/NnDUm3&#10;Qxy4f9lQ9+TqC9zrb17qtu+Z5r765jr3529vcB//8ariY1LxSFSIcXh8avMOcc0y3IFPr3QHCulb&#10;d011z70wxi1Y2HZCHJDDzw+hSKQyCFCQkER2gkind5eDFOeLUPhZxCm86h3otFSlhaa8hDg5sKuX&#10;7NSlJSrdL/QF6bLrmRzWjnnoqxyoW/cd+XW8/HjoeOFAXpHP0LbsRIZD+qTRUpolraUB/cIY0Vfd&#10;Pz0f6JcuA3TbOHTcUI8emy/0AcQeawSvOmb+uK2YW/ONNuWwRE6A/skhawDIONFPOY/6kB99lHxC&#10;aL1hHHJYn43QjnKEkGb862+am+rIo8t07Xn6duuGfaXs+3hGUX7buXOy275tktu9a4rbu39a8fGq&#10;Vv5qUBhuJpFDk0aAATGRJJZm5fHTtMQDmUbv2AapRwQeXXdMRtFpANKMlIVspQU0P2Za2kEaBCKc&#10;Rx9F+BH8seox+mkxyhm/3p0K/RJZDqA8xizpOk1Imvc0Y4nVIWkC+ig7eaE/un9W/dUeH5A81udG&#10;14/1otvAODAvKI++6XKg0rb1+hWpDe2nXVMiGup1j3WMuiQNWP2rpO/V/uygHl0HkPj4YJxYQ3re&#10;8F7mFek6P5A69bjQF3z+MDZZvwBrUGJprQHSTCVCnF/2/LHjNtg37QkhhBCSJ59/vn2jvgaDwt/j&#10;w1su0ZkOCnGEEEJIfXHTLbc/pq/NoCpCnP/F/ImnnbnLunFPCCGEkPzo2jTgZX39xSNcWi7NqY9K&#10;hLgFC4e4h5af655ZN9q9/+Ekt/fAjOJjUCHE4bGoAI9JhQSHneE+O3y1+/zLa4qyHHaPe+fdCW7V&#10;0xe6efMHm/WXS0jgCRHKryWnkIClJTNf4tK7oGkJSoA4BPlKy0p5CnGWmKWFN4hRfr8gNWlhSqcB&#10;kbdCspMuj9joNB1PjFsEKiGp7TyEuBi6f36abtuKG5DYW1JZDD1u9MFPD823zAXK6vN+uhb89Dj8&#10;+IcItS/xsgRCQkgy/vUXj15puTQHj1oJcfVAYbitRI60pBFgQExYSSOz6DxWOsQWSbfwdxnT0pA+&#10;76dp+c3HGjMkHi1D+ei0cuIQIuv40U9fMvKBsBMShpLmPc1YYnVIGuIVi2dozVZ7fEDyWH1IWgeC&#10;Py+g0rYhXolspQnFyidpLcm4rP5V0vdafHb8+tGmlU/nsdDSqV9Gj0v3ywLzpEU5UsoJJzXt1dfh&#10;NNduOXwh7tzRY9ZbN+0JIYQQki/VFOKAdXOeEEIIIbXhljvvXeNfm49t6P2zlkt3fof/xfx/9uiz&#10;3bpxTwghhJD8yEOI87+Yb+p3+nrrxr3FfXMHF3d3e3D5uW7N2gvdG2+Oc1t3TnGff3m1+/6/5ri/&#10;fHdD8dGoeIwq+O5/3eT+y/3W7Ts007359qVu5apRbukD5xbrseovl5DAEyKUH2ITjiThR/KFymfZ&#10;KSsvIS7UZy1EWbuRgVD9EKjkiAlpUt4ftxbOQjJWqG2g+x5rv1xi9eu0UNxiQl0SsXGH0tAPOfw+&#10;6bnSYiJEPjl8YTFEqH0tg1qCICEkTuGam/mmuv93969P7XnQumHfERB5BrsYWekxRDpK2uVI786k&#10;d11KSvPzoK9WOoB8gn5oGQg/W9KT7EZl1QehRcrjZ39HMbwPiVQAkg3qkJ3Z/DLSv3LiECPL+AWk&#10;+WXQV+yOFRN1UEbqt9LTjCVWhy9W+fFEmZj4JFRrfEDyxD43aF/GottH2dC85NE2Yi55pE1L4goh&#10;a0nKI36Q9xAz+exY/ZMyVpogeay+V/uzI30HsT5i/Biv7gfe41yofumbP67YGgwJeaSZPIW4Iedf&#10;+LJ1054QQggh+bJr14ZN+hoMyhXi8KhVvy7r5jwhhBBCasN1v7n5Bf/aXBMh7ten9N5i3bgnhBBC&#10;SH6c2OOski/Vay3ECXPnDXGLl5zjHn/ifLf+nfFu38dXFEW4Tz6/yh389Kri41LB519dUxTjtu2a&#10;6p55drSbv/Acs75KCQk8ISCPWfnlsHbt0lg7dWkhKam8Ji8hLlQ+jVQWqkOXTXP45dMIY7Hxp+l7&#10;JcTqT9O2zmOlxwjFPCkttKOeflyqLx/KeseBeOsdCi1C7aOctI9XtBkSHQkhrTmhe+OX+vqL/2ne&#10;cmkOHkeTEEdK8YU4Unt8IY6QPIDoJp/tLIIgaRtO6N7kXbspxBFCCCH1zu49G/fra3AzjX1aLtGZ&#10;DgpxhBBCSH1hCXEtl+18DwpxhBBCSO1pLcQ1PdpyaU59+F/MN57V82Xrxn0S99432C25/xy3+ulR&#10;xd3fPvjocrd52xS3ZcdUt2X7FLdpy2T3/qbL3VvvTHDPvXCxe3D58EK5fHeGE2ICkYUcOr+Wm/xH&#10;ofpYopcuH9pRzKKehTgtWaU58MhYXb5ehDiIXOibjNM6/PrTtK3zWOkAMYRAKbsH+oc17tB8AHks&#10;L4Q0LaOJpGntToh8WorDgbpD6zzWPnaGEylODsh5lcwPIUcLuQhxp/Tcb92wJx0PCnFtD4U4Ug2w&#10;wxvWFXZ7s9JJfdFaiEu+dsvh/909YNiIddZNe0IIIYTky8YPXz+or8HNUIgjhBBCOgJtKMSdvsm6&#10;cU8IIYSQ/DjxtDN36esvrsctl+bUR15CHIAUt/T+oe6xJ0a4Nc9e6F565WL36vpL3Cuvj3MvvHyx&#10;W/30hW75Q+e6RYvPdnPnVUeGAzGBxwdCjxyQseS8lpsqFeKyyEH1LMTpR2RmGZNQD0KcCGRJh19/&#10;mrZ1Hj8N6ywkwenDGndoPoBev7JO9e6EsbWLNKlbDkugi7UP0B7Whj++tI9kJeRoRV97mzltfMul&#10;OXhQiDt6oRDX9lCII3mDx73K5xqPK7XykPpCX4MBhThCCCGk/rGEuOMaenRtuURnOgJC3GH/5jwh&#10;hBBCasPM628q+Vu78Lf34ZbLdr4HhThCCCGk9lRDiDu1d8911o37tEB0W7T4HLfsoWHuscdHuMef&#10;PL/ABe7Rx8939z9wrps7t3oinJAk8Giwm5UckIvkvJaKtChnIbtxQQiSc9iFTI6k8pp6FuLSlI3R&#10;1kKcLo/6/Z37YvWnaVvn8dMkpthNDWP0H1MainlSGpDd3kRmg+iGA235eS3QF1nDOPz1mtS+BjHQ&#10;u8+FYkUIyUeIO+Gkpr3WDXvS8aAQ1/ZQiCN5oz/XkOOsPKS+0NfgZpKv3XJQiCOEEELaBgpxhBBC&#10;SMelzYS4E07qudG6cU8IIYSQ/PiPU8/4VF9/60GIu/e+5p3iIMbNnz/EzZs/uMDZbm7hPbDK5E1a&#10;gUfvrqVlNkEeBWntmqWRfJDrrPNJ5TVppDERjqzxJY09jdgVqkNLfv7jUNPQ1kKcfryolR6rP03b&#10;Oo8+r+XK0K5psXmLpQG9cx/akvz+ekwitK6S2vfJIpMScrRy6+0Df7x2t9Cpe9Pwlktz8KAQd/Qy&#10;e05jUZr56U//zkwn1adX738pzgFerXRCsvKvx/4j11Q7YsvOqSXXbZDm2i2H/3d3nyHDVls37Qkh&#10;hBCSL6+vX/cXfQ0GnRqaftVyic50UIgjhBBC6ouJM67epK/Lhb/Td7dctvM9KMQRQgghtccX4jp1&#10;a7q55dKc+shbiKsH0gg8kJdEWMNhSU6h3eM0sceIJpWHOAQJSafJ7l44rD7p9qzxJY1dS1tW/SBW&#10;h0hTiB3676fHqFSIQ5zk8Hd3S4O1k58mNpdp4qbz6PO639YjTBFHedyoNe7YfAAtoOlHwmaNUaid&#10;pPYt5KAQR4jN728ZcOS6K6S5qY7rvC5DIY4QQgipDRTiCCGEkPZJDYS43f7NeUIIIYTUhosmTtmu&#10;r8sU4joQP/nJ3xf/J+ngwePNdIvp0+92v/zlv7njjuvqrr56sZmHEEJI++E/Tu3zmb7+5iHEdT+j&#10;52rr5n17QgQeyFuQlDSQniRdDktSAtgRTaQ5vCKfSGBI04KXtQucFqEgPGlBCXWJBIV+yXktN6FN&#10;SfMfa4nDEpSS5CXUJ4duVxOrA2OQA/3XMQGoE1IW+o7x67KVCnFADswt2gWh+fPRwhvakX6jn35s&#10;/dikiZvO46fJOpI1iXPSd0nDYY07Nh+C3/+Q9Idxox49b3jVscF7XSbUPn6G9KnXNdZpGpGUkKMd&#10;S4grXI/7tFyag4cvxOEPfOumPSGEEELy5d0PLlfX7CPX4bKFuKZ+gx+3btoTQgghJF/WPrfya30N&#10;Bic09Dim5RKd6aAQRwghhNQXYydN31t6bW7c0HLZzvegEFd7CmEv0qfPSDPdAnnLKUcIIaQ++fXJ&#10;Pb/R199O3RpnFX7HZzo6shCXdEBEStpFC+laWLIOtCdykQ/Eo9hhPdYyVgZtyS5gvqAEZOxWGkgj&#10;diXVkTQmOSBH6XJ5CHF6BzR9WHl9MEeyw5116DQ/NmnipvP4aUkxk7atcSfNB9CiIg7Eycqn58A6&#10;0A+/TKh9OR86Qn0ghFCII4QQQtoblhCX5totB4U4QgghpG14fNUKde1uJmchboN/c54QQgghtaHN&#10;hDg0ZN24J/lRCHtmsW3MmOuLZbC73MSJt5h5CCGEtB9Kr735CHFdm5oet27etydC0hQOCD/YTQuC&#10;klXWAmIX6tTCFCS5tPVAlEJeLdYllYXgpNvDe8kvu3mhDr8czoXSAHbskiO0e1dSHUB2ApNd7nBg&#10;fJCkECtfhgPSb+Tz04TY2ARIXdKuzIOVzwJSnC6PQ8dW5siPDX6Ww0/z84TGJ+tADuRDDBGrSuZU&#10;kL7jCPVRdoPzZTb8jPNWmVD7sc9FkmhKyNHO7Dn9S67fzZQpxB2afti6cU8IIYSQ/HjpjYnqmi2U&#10;L8Sd0qf/c9ZNe0IIIYTkC4U4QgghpOMy4uKJH+vrcqdujc+3XLbzPSjE1Z5C2LnTGyGEHOWUXnvB&#10;aeOLF+YMR0cU4gg5GhHJDYKalU4IqR8sIe64hh5dWy7NwYNCHCGEENI2WEJcmmu3HK3+7u551hrr&#10;pj0hhBBC8sUS4o5t6P2zlkt0poNCHCGEEFJfUIjrwBTCTiGOEEKOckqvvcUb48OLF+YMB4U4Qto/&#10;2K1Njiy7HxJC2oZZ1/UruX6DTg1Nv2q5NAcPCnGEEEJI27D6uXEl121AIY4QQgipf5Y+tKjk+g1a&#10;Ls+ZDwpxhBBCSH0x5IIxh/V1ucZC3NrD1s17kg+FsFOII4SQo5ibb3lKXXeboRBHyNEJHr0qBx6L&#10;auUhhNQP5Qpx/t/dFOIIIYSQ2mAJcWmu3XL4f3ef3LvfcuumPSGEEELypdpC3FdfffW8dYOeEEII&#10;IdWntRDX9GjLZTvfo6MKcccd17UonQ0ePL7484gRM9wvfvHfj8hoSJ848ZYj+a++erHr3LmX+8lP&#10;/r6Y/g//8N+iwtqcOY8U6/7lL/+tmFfqRXnUPWbM9WY5IHmt+nv0GHIkffr0u4+cx3vrvE5D2/jZ&#10;Hwte8TP6rMtpkIa29VgsJJ6EEELK56Y5rbd7L0eIw810XUfnHk3LrZv3hJD6BALcDz98V5ThIMZZ&#10;eQgh9cWMq/qWXL/BCQ09jmm5NAcP6+9uCnGEEEJI9bGEuDTXbjkoxBFCCCFtw93z7i65fheuyYdb&#10;Ls+ZDwpxhBBCSH3Rd9gFfy25NndrnN9y2c73gGlX0lAHEeIgqhWGV5S8tAjnAykO8prIYz6ox6pf&#10;hLsYIaEulK5lOAhsOg39lDQt8vlpEP9CY0EcLCkOAl2ojA+FOEIIqRxLiCtcf/sUfs9mOloJcY2n&#10;z7Vu3hNC6pN33l1RlOEgxb322gIzDyGkvpg0PUch7pMZu/2b9oQQQgjJlxVPXqyuv81UIsR1Pu2M&#10;pdZNe0IIIYTkS55CXKdujbNK66IQRwghhLQljf3O+VvJtblWQhyezdqRhDgBAhvEL6RB6pLzehc1&#10;yGRIlx3WJI+12xvqQxsoI/UCyGlawLMENEnTQhzqkfO+DAfSCnFAjwXtox1Js+qWWKGcHquW60Jy&#10;HyGEkOxce/0DP17gj0AhjhBCCKl3KMQRQggh7YtFD12krr/NZBHiWv3dTSGOEEIIqQm/u/WWkus3&#10;rsktl+fMR2shrvEwhThCCCGk7eg5YOgP+trcqVvTzS2X7XyPo0GIsyQwLbxB+vIfQwqRTGQwq3yM&#10;mLwGJE0ksyQZDqQV4qyxAIkHHomqz2OcUlYkOo3Ig6jXTyOEEFIelhB3XEOProXft5kOCnGEEEJI&#10;bbGEuGMbev+s5dIcPKyd2fdTiCOEEEKqjiXEpbl2y+H/3d2l6cw7rJv2hBBCCMmXq2dfX3L9phBH&#10;CCGEdBzaVIi77ba1u60b+O0JEcCwW5uVriUyawc4IHXg1UqPIXVbO6vpNLQtP8fEu7RCXGgsepc4&#10;fT5Wr5/upxFCCCmPmbPmH7nuCuUIcfjDXddBIY4QQgipLuMmnVly/QYtl+XoYf3dvZ9CHCGEEFJ1&#10;7pw/suS6DSjEEUIIIfWPL8ThP5a1XJ4zHxTiCCGEkPqia8+z/pe+NldRiGt8vrShjiXEhWS2JBEM&#10;VFuIw2NX0+5CF+tvmrHoPPo8Hvcq5y2ZTkQ67hBHCCH5YQlxnRqaflX4fZvp8IW4hqamW6yb94QQ&#10;QgjJBwpxhBBCSPvCEuJaLs+pDgpxhBBCSNsw6YorSq7flQlxTTfrunB9/+qrrx61btATQgghpPp0&#10;O73vf5Vcm7s1zmq5bOd7tBbimh6lENdMUh143CgeKYp0Edt8YkIcHl8q73v0GNIqnybW3zRj0Xn8&#10;NBknxqClODxCNa2wRwghJD2WEHdCQ49jCr9vMx2+EHdij8YbrZv3hBBCCMmH0eN8Ia7xcMtlOXpY&#10;Qty+QzPw2FTz5n05FOpz+z6eXsJ+nCtg5SeEEEKOBijEEUIIIe0TX4jD39Etl+fMB4U4QgghpL7Q&#10;1+VmThvfctnO96AQV54Qp2WxGDEhDmkQzeTn0ONOQay/acai8/hpkPokzQKPnYX855cjhBBSHlNm&#10;3KUu8M1QiCOEEELqn/KFuNY7s+ctxIE9e6a43bumuJ07JrtdOye73YWf9x2YbuYlhBBCjgZ+e/sI&#10;dd1Of+2Ww/+7u9vpZ91o3bQnhBBCSL5QiCOEEEI6Lvq63AyFuExUU4iDHCYyHHZ5gxznC2NSd5IQ&#10;h3IQzvAz6pw+/e5W+UGsv2nGovPo83hkKtoFEOOkLwDvpY+6DCGEkMqYMPkP6gLfTHlCXGkdFOII&#10;IYSQ6jLiolIhDl+it1yWo4f1d3euQtyh6UUBbuv7E91Hb13qPlw/zn341iVuS+HnnVsvd7v3TbXL&#10;EUIIIR0cCnGEEEJI++TC8RPU9bsyIe74bo3zS+qiEEcIIYS0GR8f+qTkGt9ybR7ectnO9yj8Ub+h&#10;pLHCPwooxDUTqgM7uUnZkMAm6UlCHH5GHSLYhXZji/U3zVh0Hn1edocLxYkQQkj+VEuIa2hsnGbd&#10;vCeEEEJIPtSLEIfHoe49MM3t3H652/TWJe6dZy506x+/wL324HD36tJh7qVFw9zLS4a5Vx44161/&#10;7AK38ZWxbsfmy92efdMKZe06CSGEkI7INb8ZXta1Ww4KcYQQQkjb0FqIa3q05fKc+fCFONwbpxBH&#10;CCGEtA0U4nKgmkKcfsQodljTaQCCm6SnEeIAdpmT83iMqs4PYv1NMxadR5+XsUDIC5UlhBCSL5YQ&#10;d2xD758Vfh9nOvw6KMQRQggh1eWc83uXXHvbSoiDDLdjyyT3/ktj3Lo7h7gVk3u6hy7t4ZaPb3QP&#10;XnKae2jcaW7ZJT3cA2N6uBWXNbpnbx9UlOa2bbzM7d0/zayTEEII6YhMmXVOWdduOXRZQCGOEEII&#10;qQ1njxxdcg2mEEcIIYR0DLbv2Kmuyc1QiMtINYU4Lbwdd1zXI1IcXiG5SRpIK8QBiHCSBlFNp8X6&#10;m2YsOo8+L49MlTQNHgeLsaNfoXoJIYRkZ+yEm0ou8oBCHCGEEFL/+EIc/p5uuSxHD+vv7kqEODwe&#10;deOrl7iXlpzrlk9sdIsHNLhlg7u5Rf27FN8vKrBkYFf30JDubkG/zu7hy5rciwuGuvdfutjt2jXZ&#10;rJMQQgjpiPhCXNprtxylZZvcKX36TbNu2hNCCCEkX3whDn9Ht1yeMx8U4gghhJD6wRLiCtfmPi2X&#10;7XwP/K843VCnbk03U4hrJlaHltd8IJhBJsP7LEIcwCNTJV0/jjXW3zRj0Xn8NF/iC9Gjx5BWZQkh&#10;hGTHEuIKv2czHRDo/Dq6NDWNsW7eE0IIISQf6kWI27bpsuLjUJ+4qrdbMvwkt3Rgg1s2qFtRhoMI&#10;B5a2CHGL+ze4paNOcat/08+9+cQFbueO9iHE3X7Xma6h2z+7ocOPM9OPRtasu+DI3+d4b+WJgTKI&#10;aa/e/+JeXX+xmacWVDqOLGCsaAevVvrRyiWX/mdxLcye02imE9KRyFuIO63f4DHWTXtCCCGE5Evv&#10;wcNKrsGVCHHYXU7XhV3cKcQRQgghbcO7720svcYXoRCXCezcVhhe8dVK17u8afFMk1QHHnOqBTZI&#10;cJDL5sx55EhZf6c3IDuyWWl6xzbdbqy/acYieVC3Pj9mzPVHymI8Og3jgEgnYmCsfkIIIenJQ4g7&#10;oaHHMX4dJ51x2tnWzXtCCCGE5EP/Yd4jU7s1Pt9yaY4e1t/dlQhxH701zq266Sy3aHh3N69/F3ff&#10;WSe6eX07u7l9TyyA187FnxcW0ub17+wWn9fdPTL1dPfS4qFu2+bLzDrz4qc//bvi345pRJuYrARZ&#10;B2ngkceHtUo/GkEcKonJ9Jndj5THeytPLah0HFmQdYRXK/1oReIPrHRCOhJjJw8puXZnEeKs/4hG&#10;IY4QQgipDb4Qh7+jWy7RmQ8KcYQQQkj9UFMhrlDxYd1QRxHiSDpE6Ivt/gYxDnlAaAc6Qggh6Rl5&#10;8bXqAl+8yB/GNTnLQSGOEEIIqT31IMTt2TfVvfP0KPfI5NOL4hseiSoCnMhwwvx+Xdy8QvqCwV3d&#10;/Ree4p69Y5DbunGiWW9eFIZbJI1wFZOVsIMV0v7pmJ+7jZur2+f2QqUi2cKlA4tlIS1WW0SLcbQK&#10;cfW0W92/HvuPddMXQqqNL8SlvXbjsP7uPmPwOWdbN+0JIYQQki/5CnGNz3t1PUohjhBCCGkbLCHu&#10;uIYeXVsu2/kefkOFfxTMohB39FBYAkWsx7cKaR7JSgghJD15CHGdGpp+VVpHk+vZv9co6+Y9IYQQ&#10;QvKhXCHO+o9o+z+Zsdu/aZ/E7l1T3OZ3LnUv33+ue3DcacUd4Bb2b2glwgmya9z8ohTX4Fbf1M99&#10;9M54s+68KAy3SKVCHGlNLUWyanK0CnFc74S0DRTiCCGEkPZJnkJc4W/yDbouPH6VQhwhhBDSNrz0&#10;6usl13hQMyHu+O6njacQd/QgO8ThUap4ZCoe2SppeI9z8ghXPBJWlyWEEFIe546aWXLtxa4xxYty&#10;hsMS4s4Y0HOQdfM+yj2D3dx5g9zCxWe7Bx481z3y2Plu5aoL3KrVIwuMciufvMCteGSEW/bQuW7x&#10;0qFuwcIh7l6rHkIIIeQooPegXiXXXvyv8pZLc/TQZZrLNc7aX4YQt2PLJLdh3UVu3R2D3f0XnuyW&#10;DOzqFg8IC3HNnFjI07W4W9zjM3u7954f4/bun27WnweF4RahEJc/FOKyU09rjOudkLbhvIsH+Nfg&#10;1EKc+Xc3hThCCCGkJpx0Rr+SazD+jm65RGc+KMQRQggh9YMlxOHv75bLdn7HsQ29f9aqoe5NwynE&#10;HT1Mn373EeEtBmQ45LXqIIQQko08hDiY8roOMGBo7ybr5n2MufOGuCVLhroVj5zn1j1/kXtrwwT3&#10;4dYpbuee6W7Hrmlu40eT3OtvXuqee/Eit2rNKLd8xXA3f+GQkjruVu8JIYSQjkxeQhz+I9r+MoS4&#10;ze9PcOsfu8CtntPPLRlxUlGGW5RCiEOeBf26uIcnNblXHxxe3CUOu81ZbVRKYbhFKMTlD4W47NTT&#10;GuN6J6RtaC3Epbt247CEuL5Dh55u3bQnhBBCSL741+BKhDh8/15aV9PNFOIIIYSQtqFmQpy17TuE&#10;uNtvX3vYuoFPOibYCa5HjyHul7/8tyNfSgOIcjiHXeLmzHnELEsIISQ7Q8673L/2tpkQh53hVj45&#10;svCPj7HuvQ8muW27p7mDn850f/72evfVN9e5PR/PdFt2THXvfTjJvfH2pe75l8a4x54Y4ZYsHerm&#10;zRvi7r1voFkvIYQQ0hFp7FsqxOF/lbdcmoNH6D+i7S9DiNuyYbx7dfkIt+qmvm7J+Se5Rf0boo9M&#10;FYpCXP8ubtnYHu7ZOwa7d9Zc6LZvucxso1IKQy5SqRA3e05jMe2nP/27VmnCq+svdkOHH+f+6Zif&#10;H2kX73EOaVYZqbdX738p/ox+og2c+9dj//FIuY2bJxbzom+6fuRF2YVLB5bUq5H61qy7oIiME+f9&#10;uEg7aFvawHvkQ5rO64tkSMdYpT284me/nIC+SHm8t/Jg/Jdc+p8lY0b/b7/rzGBepEsfgMxBqI1K&#10;hTiU8ceNObHqktjj1U9DGaTF1qq0gTmy0hEXaQNY60/HxsJqH+VRj54Hq25N2rUNZOySVyNlMH9Y&#10;S6hH9wNlQnMr4PMhbYRAO1ZZQvJm4Ii+pdfgDEKc9Xf38NGjO1s37QkhhBCSL/41GP+xrOUSnfkI&#10;CHHPWzfpCSGEEFJdVq9dp67vzcBda7ls53dYQtzx3Rv7UIgjhBBCqocvxGHL9pZLc+oD1+vSOprc&#10;qDF9TrRu3sdY/shw9+bb492ufdPdvo9nFvn4j1e6P/7pavfpF7PcgU9mur0HryiyZ/8Mt2X7VLf+&#10;rUvd2mdHu+UPn+fmzhts1kvqh2fX/cHJgfdWnmpR7barXT+pL3744bviXG/f/rKZXm0OHPzAffnl&#10;oTZrn9QH5Qhxof+Itr8MIQ4SW/MjU4e4+0edXHwUahYh7oELT3Grf9PPvfHo+W7rxvoW4lBe6vLT&#10;AESkmGiENEvakXrRJuQiv5xIVUkyDwiNUdIhKPl91GOFbKRFOB+kablNi2RW3YJfzipvyWOIVyym&#10;iJfOH8srWO0k9SMG5l3X7+OLe7E1JmmxtSr1Wnms9SPo9pLi5Ndd7bUNYnGR/FhjWoTThPoAIEla&#10;ZXxQh1WekLzxhbg01245LCFu0rRJ/2rdtCeEEEJIvvjX4EqEuOO7Nx7WdWG3OQpxhBBCSNtQMyHO&#10;2vadQhwhhBBSXfIQ4nAjvbSObELc3LmD3aIl5xT+0TGqKLl99z9vcn/7rzlFEe6Tz2e5j/94VRG8&#10;/+zwNe6rv17vvvnbbHfw0yvd5m1T3Ovrx7nHV55ffOSqVX9evPbaAvfpp9vc119/URRh5BAp5YmV&#10;s8xy5EcQQznw3spTLarddluOjdQeOfbsedtMrzb6sNLJ0UFeQhz+7t5fhhC39+A0t23zJPf68hHu&#10;wUtOc0sHdi1KcZYEp8FOchDi7h95ilt141mF8ue5rRvtXcQqpTDkIhByIODEEBnMknJE7gF+GkQc&#10;SfN3q8LOVFIvhBtfDNP1Agg/EJDQH6TJLlqoF/1Cmt5ZS/cbWOKZrh9ILFCXFrZESgKQj6Qu3QbO&#10;S36cl/wA45P6UFaPzZfX/PJ4r9NQHvVJvXoHPLQhaTrWOId2kFfHQefHOOS8EOtHDF0O9Upf9NjR&#10;ri4TE78kDWX9NEHa8/PoNajnDmsFebF+dH4Q64tQi7UNYn3RdQCUlbb03KJ+v6yeI6wNaROvIpla&#10;fSekmlQixFn/Ee2W22450bppTwghhJB88a/BlQlxpXVRiCOEEPL/Z+9Ng62qzn39r7dO1a2YqvPl&#10;ng853v+pulXnfkg8ZfB8uDE0yT24iUQSG8QWsYtoEI0dIIJdbNJgrhoFlQ2oYFTEDnslsdeoGHtF&#10;ehCNki3Yi8n4r99iv/iud79jzDHXmmu3v7fqqb33Gn2z9mTt+TAm6Tv6VIjD/3yjEEcIIYS0j3YJ&#10;cadN2//b3s17jxuXHB7uvveY8OSzU8KqtdPC9k9/GT767Jfhva3nhi3vNwpxeO1v2y8I2z65MGzc&#10;MjO8serM+qlyd99zbOjsbM8JcRDdIL3lBE5t8uogO+lLaayVtrduXV8vh69eOujLsZHeR6KvhDgR&#10;c1N7kgx+Ro3dt+Ham3NTPfYf0TY2IcSBDe/MCC88+LOw9LQfhYUHDK/LbvMP2LuOJ8OBuhBXy7vk&#10;hP8KD1w2Pvz57mPDqlfae0JcGTwpR8s9Nk3EGk86ApBtRNrRQhnQ9TYr5hQJXZIG0J5NB5CbJI/t&#10;I0C/IBSJ8AZ0u+i7lqUEEZ2KZCXbb32ql1cvhCbIWFqqSpFav6L5iyEyGMbmrRvqsgJeSvyStNga&#10;AemnzSPjs+2lSPVF6K29neqL1AH0/hN0O3Y/yD7y9h+I9Z2QdtKKEOd97qYQRwghhPQO9hpcpRCH&#10;uijEEUIIIX3DLbffZa7LbRLivGPfKcQRQggh7aWaR6buM7WxjjFh3rwD9/Bu3nvctuyo8MTTU8Ir&#10;r58R1m06uy694SS4nSLcOT1A+l+7zg0b35kZ3lw9Lbzwl1PDPfcdF+a3QYjDoy/l0YiIzz7/qC7A&#10;QHgS8DNel+AjDOP0pTTWStsiROKrlw76cmyk95HoKyGOEFCVEIfP3RubFOLAXx47Kdxx9o9D50Hf&#10;DwsP3Lt++tuCA74f5jsyHMBJcjccNCLccnJHeGLxkeHVZ6aENWvOcOtuldqQS+NJOVq60a9D8pHX&#10;UzKVCD9WLNL1euJXLlIH6oulxaQmANkNeSAIeekeWiTTJ7hpYvMGUiIaBCa8nupzGVJtpdJiQLyS&#10;MmVkqpT4JWneGgrSps2DPkha7j5K9QX05t5O9UXqgNxm00Bq/YrGKOmpOSekan40flzDNbhVIe6O&#10;e+7gI1MJIYSQNtPVtabh+gtwXe6+RJeK7wzfbzevLgpxhBBCSN/Qp0Ic/ljv3bwnhBBCSDUccNiU&#10;hmtvbwtx11x7cFh+33HhtTfPCBu2nBM2vzerfirc149KPaf2/c7T4b7+GSfFza4/MnX95pnhtbfO&#10;DA8+PDksWFCtEIeT4bQMVyS6Pf/C0l3CnJdOKMSRwYME3++kL7FC3LCRY+Z0X5qjEfuPaBu3TO/y&#10;btzn8Oqfp4QH5hwYlvzsh2HBId0nxO2/d7j2p98L1+0v7HwN319/4PDQuf/3w+0zxobn7zs+rHn7&#10;9LBh83S37lapDTlbeEnJM1ru0a9rGScHW3es3rJIHd44U2mCnHYWE4c8UiKSlyeVpstrEStn3XJI&#10;9TWVFkOfqJdbBqT2mKSlxixt2jwQ9OS0M3zFSWqpE9lAqi9Az0sOth70UdL06x6pvkgdOfNi10JE&#10;T+/kPMwPT4gjfUErQpz3ufuzz7bs7t24J4QQQkh1VCnE4Qa7V9f27dtX2hv0hBBCCGk/nhAHgb37&#10;0l1d4DEttiH8w8C7eU8IIYSQarBC3LCRHSu6L83ZUSszW9dRu6Z35Qpx1143ITz4yAlhzcbp4bMd&#10;F4e/bT+/W3wTep4QB2FOHqX67tbZYc2GGeGPj50YFiw8zG2jWeQxmYhXXr3PzWNZvOSkOl4aoRBH&#10;Bg8SFOJIX1KVEIf/iNaKELfq9dPCM3ccHR743UFh6WljwvWHjwzXHfC9sOjA74cbDhoeFta+Lqp9&#10;xclw19e+XvfT74UbJv0g3P+bg8IrT/88rG+TDAdqQ66TI1alpJyY3APxSF7PwZ5yVUYagsADcQf9&#10;E5HH4o0zlSZIntgpXB45IpnOk0rT5fXrsZPnYkAMwxhkLT1sX2P9SKHXrUg806T2mKTlrJOXB6ew&#10;2X0BISw2plRfQG/u7VRfpI6ceUmtLeZCHqmKrzjRTtLkdUJ6AyvE5Vy7JSjEEUIIIX1Du4U43B/f&#10;TiGOEEII6RN6TYjDPx5sQxTiCCGEkPZShRCH/9XeUMeoMWvLnBB37/3HhzdWnRU2vTcrvPP+zhPi&#10;8FhUfN24ZWZYu2FGWL1+Rli/eUZdiMMJcVtq+fD1o88uDJu2nBMef+rnYeGiQ902mgGnw0lAjPPy&#10;lEHkOpwyB2Huvffeqv+M8OrHo1qRRz+KFd/jtZRsJe2kJB059c478U7S0D76iXp0H1A/0mw5Tapc&#10;rjQGAVEkNAn8XCQmVtG2Rp8Q6IWeZ1u/rLPUga/4Ga/rNiwyho8/3lovh0BZjCOn31hXb+5k73ll&#10;MD8ItIOf5bRDBL7iZ8mDwM+2DkG/d1DGy2PBuDA3tt+Yg02bX472G2NCYG7wM+rB9xLou14jC+qV&#10;+dJ7RuY7NU4JXb+0jX7rvBaMFSH9Fuy+R5+QF3Oq8wFpy9YBvD2E7/FabC7JwKQZIS72ubsVIW7d&#10;+rPCmy+fGl544Pjw4P8bH26Z2hEWHT4yzMdpcBDiDvh+WHTg8LD44BH1x6lef9SocPvMH4fHF08M&#10;b712mltnVdSGXCcl0wgpKScm9+hHVebKVJpcaQhyUkyC03jjTKUJOXksWjaKjV3nSaXp8jn1ekDI&#10;knIpbJ3NtJe7bpbUHpO0VtZJpEl55KzgnYCW6gvorb0NUn2ROnLmxfYT82HnwoL3li5DSLtpRYiz&#10;/xENn7u/+GLTHt6Ne0IIIYRUR5VCHP5Dmq2LQhwhhBDSd/TiCXE9/5cbGvJu3hNCCCGkGtohxOGx&#10;q1ddM36Ed/PeAiHujruODs88f0p4a/VZYf07M+sy3NZt59eFt3Wbzg5vvH1WeP2tM8Pa9TuFuPf+&#10;BlluVvjr32aHT768KGx+b2Z44qkpYdGi6k6IgzgikSMhFSGSC+QeLalI6Ly67VigHl1GkHa0pGOR&#10;8PJIQBLSgpAOyEIx0QniTqwcQkQghDevkHWsFGUDddhyoNW2PTDWVOg5RJ0SmL9YWax/TErCvKbG&#10;gIhJgSjr7S0dqBv5bFndd9RvQ8YpY/IkLAF7UyJHvkJ/igLtenXJewV7RrdrI7ZnRCpLRey9JKHT&#10;RdBDePMMMA4J/T7W+9MGxqfrAPI+sWmoP7UPYuMhA5OqhDh87vZu2mezZUZYt3FaeOvVU8Oflx8X&#10;Hr5qQlh+/k/CbWf8KPzhxNHhxmN/EG48+oe1rz8MN0/dJyy/8Kfh0YWHhxf/eGJYu26aX2dF1IZc&#10;JyXTCCkpJyb3NCNTaXKkIf1oR8g93uMwpQ5vnKk0QaShmBzlkTN2nSeVpsvjtC55PWfdgK4LY7An&#10;y8XaKkqLoU9Pyy0DUntM0lJjljZz5gX9kkfhAtvPVF9AM/OiQR+lvJeuSfVF6siZF9tPkSRxOhyQ&#10;9xG+4oS4ZsZFSKu0dEKc8x/RKMQRQggh7Wfjplcart/d1+GmhLjYqe3bt29fa2/QE0IIIaT9LLjx&#10;pobrMug1IW7OnBUU4gghhJA2Us0jU8css3WUEeJuvnViWPHHE8PKl04NazbOqMtwH358YV16W795&#10;Zli1ZlpYtXZaWL/x7J1CXPfpceBv286rS3OPPlHtCXEim0DE8dLLIvVJ4GecPgW0oKJlJOTRUg3y&#10;atEF8o2kCdJOSnqR8PLYQB4RkdA3EaIgVtmyQI9T90+XlfCkNBGUkBdlpG3IbuiLhNf3VttOIXXj&#10;q5cOtFSGkDEgDePQ/fcELeQRGQ7rrE8nwz7Q8pbtv5ag0C7GH5s7tCFpgtd3lMHrqEvay5HdZAwx&#10;Cc2CsaE91K3Hhfp1v7U8Juh0BOZA6sC49ZzJWmiQjjVFGvLL66hDv9e8sUqgD/Ia8kl4/QVoS0La&#10;xBxIeGuHfuo6QGxPojwCc2r3ENZE95cMfPbe50fmGl58U9373I3XvZv2pYAUt+GssOr1X4RXnzu5&#10;Lrs9c+ex4Y/zDwv3/vqAsPyin4YHLz84PHb9EeH5+44Lr79wcli9+oyw4Z32PS4V1IZWJ0cgSkk5&#10;MblHy1tlHjcq5EhDkLskDx6L6eWRdG+cqTRBHh8JUchL98gRpnSeVJotL+IS+qVfjyHiU6z/qbZS&#10;aTGwDlLGO30tRmqPpdIAJEhpM2c/g1SZovZ6Y28Lqb5IHakxS57YPspdV0J6g9ZOiGv83I3/iEYh&#10;jhBCCGk/nhCHU926L9GlAuVsXTi1fTuFOEIIIaRP6DUhDn8A0I3gf7lRiCOEEELay9iDjmu4yDcn&#10;xHWssHXkCnHghhsPD3fdfXR44qmfh7dWTwtdH10Qtn1yQXjnr7PCpnfPqT82dcM7M2vfz9r5yNSt&#10;eKTq7HoaTpR7/a2zwsMrJocFCw5x628GkXpSAlQZRF5BxOqEBAOJpSiP9A1fbbq0k5JeJLw8OjyB&#10;CGUktEAEIBFJeHUjv5aMtPwEtBSE73WaIO1jnvTrrbZdhMxrbF2A7gP6541B6vHWTkQmpHkCFpDy&#10;VpDS6xIbm9SPsGur+46I1YExSaC+VLqWsVohNfd63FhfO2/6PZUr6Al6Trz5kLD7TSQ8u0dtOvor&#10;r8k49GtFxOZFXo8JeWRw0VOI65jdfWmOBvLoMnuN6ujC695N+1ZYv2l6ePvN08PLT54Unl52dHjq&#10;lqPC8/cdH17988lh9arT3TLtoDa0QplGSEk5KblHTuGCfGNPbisiRxrSj66EpGTTtZzljTOVJugT&#10;z2KCF07Y0mk5IpnOk0qz5dGWpHkSIOYZ8y5pIvThpDubF6Qe/5nqRwo5VQ9fvXVH32x/UntMxuzt&#10;I/ys5yRnPwuxMjJnmEf9uqbde1tIzYvUkRqz5LHrJ0Ic5q5s/wlpFyPHjlXX4NaEOHzu3rFjywjv&#10;xj0hhBBCqqNKIc47tZ1CHCGEENJ3eEJc92W72vCOfb/qqnt3927eE0IIIaQaegpxY5Z1X5qzA/8z&#10;XdeBa/rcuQeN827ee3QumBAW33REuOf+48LzL5wS3l47LWzaMrN+Qtzftp9fPzHugw/PC3/927n1&#10;0+HwGk6Q2/ju2eG1t84ITz57crjzrmPCdRUKcRKehANEsvHCE4FEUknJTvrkqJRMpPNZUUfa8aQw&#10;QcLLIxGTaVKSEMpIxMaIcUnEysfmHOj2IV/J6622XYTMa27fYuunBS6bJsJeau2kvJWtRJIsEqok&#10;nx2H7rsnummkn15bsg4xGawZUnOm02LrnrN2MSS8NZGwaXqf2X2APkroedayot7XKWLjEuEu9buG&#10;DB6aEeK8z91r185q7ZGpESDFQX57vXZtf7V2rX7z5VPCGudUuA1bGstVSW3IdXIEopSUk5J79Alu&#10;EKDsI00h6eCELcg5Vu7KkYa08AaJSaQ4fNXlgTfOVJqA/orghX5CIJMxoP8yN7qOHJFM50ml2fJ6&#10;zOiXfgQq5lf6KuW08IY+St9Rj4hfgm0r1Y8Uuk3Mj6wt2kYfRMbSZVJ7TO8jiGiyzuiTiGmCXUvU&#10;B+lLzxPKp8RC1CFpmFO8hjx6Dtq9t4XUvEgddswayWPXT04O9EBbQO91QnqDnkJc8bVbAgJcY9kx&#10;yyjEEUIIIe2n2hPiep7ajlNotlOII4QQQvqEXhPi7P9yw811CnGEEEJIe6lCiMPNdFPHnDJC3DXX&#10;jA/XXTch3Ljk8HDHXUeHPz12YnjtzTPD+x+eF74Kvwoff35R/dQ44ct/XBpC+E3YsPns8MQzJ4fb&#10;lk0KC68/rP74Va/+ZhDhLSbRpIQ4T57JkXJS4o8GwoyElZekHa8PgkQZyUcjYaWynDFq8SpWPjd0&#10;+VbbLqKq+nUem1Y2vLKpdQOx08vKzI2Wt+wpgSLcxYTKZki9L1JpguRJrV0MCW9eJbw0+f1gT6XT&#10;MquW1TCPUgZfka9IZovtSS3kQVqMyZlkcFCFEIfP3e0S4iC6QX4D6zdPC+u7v2+nAGepDblOSqYR&#10;UlJOkdyjT1hLYU94y5WGtNhkgYwkgpg3TslXNAcQmkTi8oCUZWUoSbMikpcnleaVL5pTzInkRb+s&#10;NKbRabaton6kSK0LENFMSO0xkKoPcpeUt2spr8fwHnmKveitt6273XsbpOZF6kjtX8lj1w/7IrWn&#10;BeSx/SekXbQkxJnP3bimU4gjhBBC2k+7hTi8vn379i57g54QQggh7afPhDj8rzcKcYQQQkh7aZcQ&#10;N2/e+InezfsU11w7PixaeEhdcHvy6Z+HNRum1x+buvm9nY9NrfPOzLD53Zn1E+RefeOMcM+9x4br&#10;Og9162sFkU2sOJRCwhNkYvKKRvJAKvLSNRK2LanD64MgUVbyESSsOJUzxpR4JTJVTmBdtIzVattF&#10;VFW/zqNfx1jKhD6dTddpH4VqwbpK6Ndz+i7oU870PtGiJr7XZXJAuxDI5AQ6L2yZ2Hg0kie2dhgP&#10;JD+ki5Rmw3s/SHhp+qQ8LbaJkIivOj/AnNn2MR+x9UjtSS3eIVAv+mQFRjLwae6RqT0/d6/dcubu&#10;3k37wYDIMDgFykvXyEli+GrT5DQw1GfTBDmRS+Q0yQ/JB0KSJ9zk1CtATNJiF9qBJATpR/rujbPM&#10;HHhjQJsoa0/RgkAneezpYDaPN76c8hCcMDYZA8DPVjQD6B/mw/Zd8kodtq2cfqRA/VpIQzuYQ0+u&#10;S+0xwY4BeaUuKW/XEuuGPab3B/qB/PrUOAvGK3UClPfyt3tvSx/w1abJuqX2r+Sx6yfzga/e/kWd&#10;UtZrm5B2UKUQh8/dOz7fPM67cU8IIYSQ6qj0kam1a7+uB9d3vL6dQhwhhBDSJ/SiENfz2Pcrrrh/&#10;D+/mPSGEEEKqoZpHpn5dfmcdHbObEeLA3HkHh0XXHxruXH5MeOzJk8JzL54S/vLqaeGV106v8+LL&#10;p4VnX5gaHn3sxHDPvceFG5ccEeY69bQKRBSJXLlHwhNkUvKKIHmGqhAnMlCqfIxW2y6iqvp1Hv06&#10;9phEau49dJ29IcQB/VhOeU0ksJz9q4EwJvNbFLZsbDwayeOtHeYrJsHp8NZEwkvT6ylrokXC2DqJ&#10;nGflUHsSJCjak5DfsCZ6fPg+Z33JwKE5Ic5+7h7cQhwhZGiiH/dqZTgNhD7k8U6nI6QdtCLE7TWq&#10;o6uxLIU4QgghpDeo9IQ4c2q7EuLcm/SEEEIIaS+9J8Q5x75TiCOEEELaS08hrmNF96U5O3T5eh2j&#10;xkxsVojbyfj6I1BvvW1iWH7vseHhP54Q/vT4ieFPj50UHnrkhHDnXceEGxYfHuZ3HhKuvc4r3zr6&#10;sYP2sYcxJDxBpkheASIUIbx0wZNtBGnH64MgUVbyESSsWJMzxpR4lVM+RqttF1FV/TqPTZNIzb2H&#10;Fq2KynoiGyg7N/r9gf2I10Ti8uStFOizBN5rUp+Xrl8vShMkj107zJvIYug73kt4TeeR8OZVwksD&#10;ctKdnAaH+hFo0+b1wDro0/LsuuTsSQFty1jx1Y6TDFyaemTqqI6Vugw+d1OII4QMNnIf2Sqn+1GI&#10;I71Fa0Kcun7X2WfqF19smejduCeEEEJIdVR7Qlzjqe34jI7XvRv0hBBCCGk/fSbE4X+5UYgjhBBC&#10;2kurQtx/Dh+9uy5fr2PUmIlXzztoqnfzPpdr5x8SFi48rC6+3bL0yLB02VHh1tuOCjffOrH22mHh&#10;musmuOWqRJ/SFDvRSSPhCTI58gpEIgkrBWl0PvsIxKJ2iuQpiZjkAySsoKNP1dOva7RIlSpfVthp&#10;te0ictYPdUrE6td5bJrsN/041FxEdvIexamRfFbyzOm7ReqCyKnLl30spxXHLNiLEmXSBMlj186T&#10;+iwSzbxX9PsU+1n2kJ37FKn3a86e1LSy/0n/pakT4pzP3Zs2Td/Du2lPCCEDFX1CHB6Hah9hK4/j&#10;lTzeY3gJaQfNCnGxz90U4gghhJD2004hTv4W792gJ4QQQkj76TUhrvaPhx7Hvl9++YMjvJv3hBBC&#10;CKmGVoW4YcPH7KHL76RjXKtCHLjm2gk1Dg7XXvf1V/ney181WvJBFJ18JeEJMjnyCkQiiZgcBEFG&#10;xCmvLhHDvFOg8LMWx5qRfICElWrkBCyEN1eQjkSiQtjyWthJte/RattFyMlqKVlN75dY/TqPTdMn&#10;BJbtn15XjNXLowUtW39O3y3SX8yrtN+KzBcTxWTuETYN+0TCpgmSx75f9Hx4Eh/mUaKZ94qW2fTa&#10;Yp97+WNI2HZyfqdomllj0v+hEEcIIXEOn7jnLuEtBR6b6pUnpB30FOLGzKntw8LwhDh87v7yy81T&#10;vRv3hBBCCKmOaoW4jhW6HghyXV1du3k36AkhhBDSfnpRiGtsBMe+U4gjhBBC2ks7hLg9h48eUYUQ&#10;1x/QohUCMhrEFAglAn7Wjzb0BJlceUWLMxCBtNwEkUa3o9N0HgnkFdEH/dRlEV4/Jbw0QcKTakTW&#10;g+Qkp+pBDML3WkhDeOV1HyFI6TFiLKgHc+gJg622nQLzISF1o2+6HnwvEatf57FpGJ/0E1/Rpha1&#10;0B4kLozTSn+2LPooQiTSdP+9ucvpuwX9sSFzUwYR3qTf8rrd7whdDuhx2TRB8tj3nu4/+iBzbecL&#10;gZ91WSDhpQkyNgmsnZcPfcN+17Ic+pESHWO/UzCP+D2i8+N7mUuk6/xkYNPcI1Mbr9kos3HLjBHe&#10;TXtCCBno4OQ3nAT3r7t/s0GC+/Z3/kddmLv/4WPccoS0i2aFuNh/RKMQRwghhLSfSoU485/U9hrZ&#10;0dnV1bW7d4OeEEIIIe2nV4S42LHvV1750Dh74z6Xq66qcfUD4Zpr7wmdC+4OCxbeEa6/4fYad4RF&#10;199Vf+266+4J18y7L8yd90A9v1cPIYQQMphpVYiD/KbL1+sYPmaPuXPHz/Zu3g9EIAiJbFUUkE08&#10;oSgmr1ggMVmJxoYVhyxaorEBUUb60qzkI+GNE+IN+ucFXtfCnlce47cSlBfeaWKttp1CC2c69Dyh&#10;TolY/TqPl54agw5v/TG+orJYexHlNDl997Br5dVdRNGYdRu2LOZfwqYJksd776XeK+iTvO+bfa/o&#10;PYfA+8/LJ+/JWHjlpIwdV1Fo6Y4MfCoR4mqfuynEEUIIIb1Ds0Kc97kbr1GII4QQQtpPO4U4/FuA&#10;QhwhhBDSd/SZEId/TFxxxf2Q4twb+Cl+//sHw7x594brr78rLLtjSXhoxfzw5DO/Dy+8+P/Cyr9c&#10;Fp6qff/IHzvD3cuvD0uX3hxuuPGOMHfefaaeB83PhBBCyODjgMOmNFx/S58QN2rMRF0e4Lp+zTXj&#10;53g37wcykJAgq1k5DsKOPd3JIpIbvnrpFmlLi0JoB2KMnGSVApKO7ifqEtFJ+uI9WlTa89IEyQOR&#10;yUuXk60kH77iZ+m39CtWHmD8VhLC+NH3lAxYRdsxUEbmDoH+6DVHugS+12VtHvTLSweQyrB+WgRD&#10;YD4wlpSwhnFij+iyaKto3qRfCHzv5fHQjx1FG16eHOy6IVAfxip98+ZM2k/Np+SJ9Q/zoucLewTz&#10;r+XUZt8rQI8pNrepdYv9XpG+2XFhzjCX+v2P7/FarH0ycCkrxMX+I9qGzdPGeTftCSGEEFItzQpx&#10;+Du5LgdwXd/xxZbZ3o17QgghhFRHlUJcrVyXrqdbiNvDu0FPCCGEkPbjCXHfGb7fbt2X7moidux7&#10;s0Lc3Ln3hRsXLwt3Lb8xPP7k3PDS678JazZeEP76t3PD1m3nh7Ubzwsvvfbr8OzzV4Q/Pn5NWH7v&#10;9WHxktvDvHn3u/WR5thzzxH1R1Hgq5dOBjeXXnpb2HvvseGf/um/1/cBvo4efYibN8a4cceGf/7n&#10;f6mXl72Eer28/Y3p0+fu6je+12kYA8by7//+3XDqqZc1pJHyyB6bMGGqm07StCrE4RHnujzAPxTm&#10;XnNwp3fznhAyeIB8JcGTx3xE7ITs5qUT0go9hbj0TfXY5+71W6ZP9G7aE0IIIaRafjR+XMN1OFeI&#10;i/1HtL/v2DLHu3FPCCGEkOqoVoiz9ewzlUIcIYQQ0nf0ihAXe9za5Zc/MNW7eV/EgoV3hwceWhD+&#10;8spvw9trLw5rN54fNr83O/zto/ND18cXhE3vnhPWbrogrFpzYXhj1SXhxZd/F1b8aV64/Y4l4YYb&#10;bg9zr37ArbdZJk++cJcYY4HIASkGIse5517vlh+oYFwYI7566WRw861v/a8e+x14eT0gz3nlB4pA&#10;hn7G+qzT+P5oHZlLCJReOknTDiEOr1OII2Twg1PHEDiBzEsf6uDkN4nUCX2ENEtZIS72uDUKcYQQ&#10;Qkjv0KwQF/vcTSGOEEIIaT+eEAdZvX6RLhGxU9u7urpGeDfoCSGEENJ+eueEuMj/cmtGiLt67v3h&#10;pltuCc+t/F14v+u88OmXF4f3tp4b3vnrrAa2vD+7nt710QVh47vnhtfe/FV44qm54fY7bwrXXnuv&#10;W3ezQNKoDTOLsido9WcoxPUNkCsx75AtvfTeQEugcmoXTkXD6zavB/JKeZwyJ6fCofxAOSEuJcRB&#10;fuWpZtUh80whrjlafmTqyI7ZDeVHjVmL1+ddM36Zd/OeEDI40LIXHvfp5RnqiDCIwCNYvTyEtEIV&#10;Qhw+d6/fPH2qd9OeEEIIIdXS9Alx5nM3wOs7drzb6d24J4QQQkh1VCXExU5tpxBHCCGE9B19LMQ9&#10;ONu7eR/jmmvvDYtvWhoeeKgzvPLmpeGjz34ZvvjHpeGDD88L734wO2x5f6cMh+/x+NQPP74gfPLF&#10;xfXX31p9UXjmuSvC8ntuCPPn3+PW3yxaiLNpeJTipEkzGh4LiZO1bL6BCIW4viG133oL6UOzUp6W&#10;yezjRgcKKSGOVIvMM4W45mj5hLiRHZ0N5SnEETIkWLfuuW7VK9TlOC/PUAYC3I4dn9fnB2Kcl4eQ&#10;Vin9yNTI524KcYQQQkjv0LwQN2ZOQ7nuz91ffbVlmXfjnhBCCCHV0U4hDv9xbfv27ePszXlCCCGE&#10;9A633H5Xw7UZVC7ExY59LyvEXX/9HeH+hzrDsy/8v/DW2l/Wxbet286vnwZnT4gDODkOstymd2eH&#10;VWsuCs+tvDzcc9+icN11y936myVHUMKpVzgJS/INhpPiKMT1Df1BiJPHnTa79vqEOS99IEAhrveQ&#10;eaYQ1xytnxA3Zpkuv9eojpV4fe68g1d4N+8JIYODjz/eWpe9tm5d76YPdZ5/YWl9fiDFPfnkAjcP&#10;Ia1SVojzPnfjw/36LdNmezftCSGEEFItTT8y1fxHNPncTSGOEEIIaT9VCXHeqe2Q5LZt2zbRu0FP&#10;CCGEkPbTK0Jcz2PfO7rw+pVXPjzHu3kf45Zbl9ZPeVu19pdh45Zz6ye/2cel7jwl7pz693JS3Ob3&#10;Zoc1G88Pr77x6/Dgw/PD/AW9L8QJIpEBPFbRyzNQoBDXN/QHIa7Vte8PY2gVCnG9h8wzhbjmqFqI&#10;k/IU4gghhJD2MmrsvuYaXl6Iw+sU4gghhJDeoYUT4tzP3V99+e4K78Y9IYQQQqqjq2tNw/W7fi1u&#10;5oS4yKntVQpxxxxzzK77JZbddtst/OAHPwiXXXZZWLdunVseaV5ZAXXsv//+Yf78+W55cNpppzXk&#10;f+mllxrSb7311oY6wf/8n/8zWacG+VCvLu+146H7JqA/Xl4NxmzLadB/zP3999/fUA590vn+4z/+&#10;Izr3TzzxRMO40KaXz1K0Zugb6kqtewz0V9flzTP6rfOUwfbH2xtYM52nWbBvMA96jmVukGb7grW0&#10;+ywG1h5litYiBuZZtw3K9pcQ0jy9c0Jc5HFrV175YKd38z7G7XfeFF5/69Lw4UcXhK3bz28Q4SDB&#10;QYZ794OvX9v5c/fpce+dE9ZsuDA8+vi8sHDR3W79zVJG7tESTeqUODxmVctzAD/jdZsXj60sqg9I&#10;Pk8qQb/23HPErjwAj3ZFXpxuZ/ODHCkKj8PEyXj6kbH4Hq+lJCL0BXklD04U0/MhfbPlBBkH2kf/&#10;kVf6gDS0r4VEGb+uH23qOj2amTdpZ8KEqfWfsaYoU9S27p9Hah1ioB2v/9hLnrCp83kUPf60aAwy&#10;JzpvzjrrcjbN2wMA9Rf1N1UOay+veXs51jeUxetIx8+YZ+xHyY+v+Dm2fwTUq/eNB/rqlfXAPkR+&#10;Wyf2lTe/gqyT5Mndz5ZUOXkttRdInNaFuI4Vujyu6Xh97jXjV3o37wkhhBBSDWWFOKQ35O/+3L1p&#10;y4w53k17QgghhFRL80Jc4+duCnGEEEJI79FOIQ433Ldt2zbVu0HfDLVmsoBkA6nGlocw5+X3iMld&#10;tg4riaXaKJLa0J5XDpx33nluGSFWFv3x8mu8cjFEjhIgMel0SFM6XbAyYyyfpcyagaJ5Ejw5zSuP&#10;9fXy5WD3hhXwAPZqK/IXyubMkZ1vjNPL5yF7qEwZi7TbbH8JIc3TJ0KcHPt+xRUPLvNu3se4/Y6b&#10;wmtvXhq2fnhe/VGpEN0gvEF8w2NRN7xzXli/+bza152nxuFRqvXHqb5/Tuj66IJannPDk8/+Pixa&#10;dJdbf7NA0qgNp46XbhG5BsKHTYMEo8UvD8gyuowIKSLYeEAskfJWTpHHX8ZAPz05R/oZE7H0vMSI&#10;SXxSN/qK8dpyQkz4kXRIOiIaWfC6CE9eOkgJOK3OG8qn1trKj7LOMWLr4IF+FdWH+bF9iM2lUKUQ&#10;J3OTWgMp5+XRdWqhTYPxxPoMUS1WDuh96Qlxkmb7pkU6zG9sTmP7ByDNK2OJvT8smCOvvCa2v5rd&#10;z5pUOT3Pqb1A4rQsxI0as1aXFyFu3jUHr7U37gkhhBBSHaVPiIt87t747oxOe8OeEEIIIdXT9CNT&#10;a9dsXU4+d3+1Y8tK78Y9IYQQQqqjKiEudmp7XwhxAk730uXLylUiAqXqKCPEFUk+SPfKgSLRCwKg&#10;Vw4UiXhemRS6L1YsgyCn6wb2JLkyEljZNQNW2vOwgp5g+1/VCXF2DjSevJlL7vzY/VNGbqvyhLhm&#10;+0sIaZ5eemSqf+x7WSHu5ltuDc/8GY9MvShsfOe8uuz2wYfn1R+bChnuzdUXhddXXRJWr7sgbH5v&#10;5+NUkQenxn3yxcW1n2eHZ5+7Miy6vm+FOC1/2DQRhkRGEiEGco5uR4shKdlNEKkEgo9+XYswqFNO&#10;BUO7WtbxZBgZh5eGslIv0rV0hD5qoUdLUILULe1jXqQO9FGLVZ4kI2k6D8YEtGAj9aM/IjWhHd0/&#10;T0qqYt4EjEXKow+6bXldg/Yk3abloucAIlOs/8ATxmQM3vhyyBmDtOGtryB1eHkkTeeRtdRjtO8J&#10;Qa+T3qN2fkCzQhxAXagTaeifnhusky4LdDr6JWPSe6fsuqAezAO+6vW27zXv94ueJ9DKfsZ4vfEI&#10;di5JHlULcfIH/XkU4gghhJC20sQJcQ2fu3cJcVtmLPNu2hNCCCGkWpo+IS7yuXvHjnfXejfuCSGE&#10;EFIdlZ0QN7JjdmM9HV14fdu2bbO9G/TNUKuuAZ0GMcs+AhKPX9R5UjIbhCVPEiqS6oqEOH0qmPfo&#10;SI3NK9+DIkFIt2vLFol4Oi/QaRg/5lGnY551HjtmK3jZR7mWEcBS8w3hDOtu84DUo0hRTu8VO192&#10;zT10fuDl0ei9Zduz+zQXK+thTHp+kI61h+Rn94Dd680KaGhP14O18PKBVvpLCGmeXhLi7LHvY5bh&#10;9SuvfGiFvXGf4oYbl4WHV8wPL/zld2H1ul/WZbeuj86vnxJXF+Levji8/uavwur1v6wLcX/927m7&#10;TpDb9glOiJsdnn729+H6Pj4hLpYfIoq87klIQMpCotGvi6DjCTQ63Z7IJq9r4Uej5R3bJxFhrHwD&#10;oUXqjYk5yCOnb3lCkpZsvDEVlZeyQGQjjZQFkG5EwhH0uL3yVcwb8MZW1HbZ/WbR9ccEI70XvT7G&#10;1j6XnDFIG7E+AqnDyyNpoGgerahVNEfIr2Ut5Ld5YuV13dhH3ntdxu7tbWnXWxe9bl69zaDfz95c&#10;tLKfi35XIB11SnmvfVJMq0KcLttdfjZenztvfJd3854QQggh1dCqECfXfApxhBBCSO/QwglxXV45&#10;CnGEEEJI+6nshDhzajuEd7y+ffv2OfbmfLPUqmvApls5x+ZJyVWCPTnM5imqw6ZD7NE/x05rs7KQ&#10;LZcSluzpY6jLCl9eOUGXBV4e+2hUnWbnXbdn5TPvBLkUOWsGvBPyYnOt86Jvdu5TMp2g8wMvj0bP&#10;H9bWSoa5J+ZpWpHa+kKIq6pNQkg5ekeIizxu7corH1ppb9yn6Fxwd7j9jiXh0Sfmhjffvihs3X5e&#10;+Oizi+onv21+b3bYsPn8sHbDBWHjlvPrQhxkuHdraXh86ju1n1evuzA89sS8sHBB/xTi5BGcKclI&#10;yyVaeBFpBHKJzg/0CXK6jH5d57dIHit/iQhj+wvpRcrETqwDOp8ViqRuyD/6dY2eRys0yetWABR0&#10;WSvDCZJuJZyq5i01Nilr2wax/ZOLFoxiYwc6n02LrX0uOWOQNrw5EKQOL4+kxfaAfi/Z/SfvRRCb&#10;I70PbHkgabZvut3Y+yM1P/J6bF4k3etTs6TWW9Ka2c96DmNzgfmPlSd5VC7Edf8xwLtxTwghhJDq&#10;KP3I1Mjj1ja8O32Fd9O+FTZsmRHWvzM9bNg07Ws2136uve7lJ4QQQoYCzQtx6vpdZ5+peN27aU8I&#10;IYSQaqnuhDj/1Pbt27d32pvzzVKrroGyeXLkKivtFAlvRelWVovJVvoUNchTVjRKyUNanhPhzIp9&#10;MTkM6HzAy2PHVZQu82Lns+zjQXPWTLCSWWyudT55HKgW1nKkPckreHkEK9xhLazAV3ZegJ3bHJFP&#10;sGVT+yuF3adYLy8faKW/GsiDsl4QGnFKoJePELKTPhHi5I8BV1zx4Frv5n2Ma665N9y4+PZwz703&#10;hOdfvCxs2Hxe2PLBrPDOX8/ZKb91g5PjIMFBlHu/67y6LPf2ugvDypcuC/c/sCBcN/9ut/5mSckr&#10;Hlq20a+LWJKLFl5Sko2ITVZY0f3OwcooMUkmdz70aVa5sp1Gj9nKP/J6TKDJ6WOsDl02B1s+Z2yS&#10;x+t/Tt9T5LQPsCbSjj1tLLeOGDljSM2BIHV4eVJpguSx+ydnfKn9ByTNtl9UzuaxaXK6oSf66XJV&#10;nRAHUvORM1eSx84Ffpb+6tctkie1liROK0Lcfw4fvbsuWy8/aszEzs79dvNu3BNCCCGkOkqfEBf5&#10;3L1hy4yV3k37VtjwzvSwbu1ZYfVbp4dVr/8ivP3WaWHtmjPrYpyXnxBCCBkKNCPExT53I827aU8I&#10;IYSQammXECd/h9+2bdsy7wZ9M9Sqa8CmQ5RJ5cmRq2weyEypdFuHTcdr+hGZMdlKn6IGwc2KRilh&#10;SdcvkhEkodzyOh+w6faUN3xv89j+ymNAy4pmlpw1E2wfUNbmsXtEZCotJIJUO0DnBV4eQdctp+fZ&#10;fnh9LcI7FQ97x8tr6QshrpX+amJ7jRDi0ytCXOzY97JC3JW/fyBcM+++cOPiO8Lye68PTz3z+/DG&#10;25eGd96fFT7/6pLw8ecXhQ8/viB0fXRB+Nv288MnX1wU/h5+XZfjXnhpTrj3/kVh8ZLbwty59/n1&#10;N0mu1CGIHGLz68d4FoGT4OypaFJ+zz1HNLwujyS00pk+ASwHK9rFRBh53Xvco0XqtqJLrG5NSiyK&#10;1SvkrFmsjnbNm0byeP3P6XsKKYtxeOlCan5zxpAiZwypORCkDi9PKk2QPM2MLzU/QNJs+0XlbB6b&#10;pucO72k5wQ5l5HGqOe89D5zaiN8fsd9F3nzkzJXksXOhx6Jft0ie1FqSOK0IccOGj9lDl91Jx7ir&#10;rhq/u3fjnhBCCCHVUZUQt/HdGWvtDftmWb95eli79szw1uu/CK89e3J45Ymfh788emJ46fETw6vP&#10;/jy89dIvwhqIcTwpjhBCyBCkKiEOn7s/+2zL7t5Ne0IIIYRUS3VCXMeKhjpGjlmG13tTiLPCjX1U&#10;aEquwqld9oQxWx4UCVo2Ha/pE9yALWPlNfTFSj8xYcmeQKdPy9ISW0pG0+WBTkM/tHAHYid72bHb&#10;cTdzClrRfFt0XmDT7R6BmIbX7SlucnJcDJ0XeHkELQXqubP7LXWKn4cVFQW0h3HK2Dz6Qohrpb8a&#10;2yaFOELS9JIQ19hA7R8Fs/H6lVc+2OXdvC/iqqvuD/M77w5Lb7s5PPn0VWHdpvPDx19cVJfgtnSf&#10;EIeT4iDGffbVJWHthvPDI3+6LixYdFf4/e8fDFdc8aBbb7PkSh2CCGpWIIm9nov3mEf9SEIr0EF8&#10;kTT9ei4xEUZeH6xCXLvmTSN5vP7n9D2FlKUQ93WeZsaXmh8gabb9onI2j03TJyt64PdI2dPhkD8m&#10;wWm8+ciZK8lj5wI/S936dYvkSa0liXPIUac3XIPlqPac8IS4PYePHjFv3oF7eDfuCSGEEFIdVoiT&#10;R6DGoud/RNv5uXtji0JcXYJbf1ZY9dppYeXDPwtP3XxU+NOCw8Ifrz00PHzVweGh3+/kkasnhEcX&#10;HR6eu+/48MZfTg1r155VP0nOq5MQQggZjIyftH+pazci9h/RKMQRQgghvYMnxMnjy8sE/u7eUEf3&#10;vwO2bdu2wrtB3wy16hqQ1yHSQKixso2VfKxclQJ12dPhvDqsoGXT8Rr6p1+zspUWo0TCs9JPTFjS&#10;p4+hzzrNClfeeIDOUwT6FxOXbJ/1ejRzOhwoK8RZeS+VbkUq3V87lxbJJ3h5gJUd9RpYYbCZ09Ks&#10;4KfBGGL7xgpxMYrEQLvmKSEONNtfDfafSIYooyVQQkhP+kaI6zbrvRv3ufz+9w+Fzs7l4c67bwzP&#10;PndlePXNX4XX37okvLn64vDm25fUvv9VePWNX4eVL18WHnvi6nDr0lvCVVc/4NbVKrlSB8AJTJK3&#10;mceEpoDwJnWjHbwmp5nZU+NAmX57xPobeySsRYs90l8hZy5SYpG8HhNocsYeq6Nd86aRPF7/W21f&#10;ThFLtQ/0I1OtTJkzhhQ5Y0jNgSB1eHlSaYLksfsnZ3yp/QckzbZfVM7msWmyfqhXy5kQ2vB+t2uV&#10;g4wXMh3qLbPeOXMleexc4Ge8DvTrFsljy5M8WhHiIL81lq1dw4eP2YNCHCGEENJ+OvYf23ANLhbi&#10;VN46O/+A792wL8PaDWeFt179RXj+/p+Fe391QFjys/8brj9yVLjh6B/U+GGdRUf9ICw8fGRYcvz/&#10;Dfdeun/4853HhdeeP6Uu0nl1EkIIIYORZoQ473M3Xvvii017eDftCSGEEFItVQlxsVPbt2/fvtbe&#10;nG+WWnXZeOJWjhAHwQYSUEz6akaIA1pO07KVleUgDOH1XCFOnz5m5SUrH8VOdtN5YqCdHFkpNscy&#10;rrIUzbclNv/AnqZn+4T50+kp0UrnA14eoOu0UqDtj8iQZUE/sad0XRrvvZArxGE+dTlLWSEONNNf&#10;Qkjz3Pvgw+r6vhOc1F57v1UT3rHvEOKuuure3b0b92W46qoHwsJFd4alt/0h3Hf/wvCnR+eFJ5/+&#10;fXjqmavDo49fEx54cEFdhFu48M4wb9694crfV3synJArdeDUNn0Kk5VO9KM45YS3sogsIwKcnDpn&#10;hTOg5Tz7WM8cYiKMFqlSJ1XlCFcYj35d452IJ8jrMYEmZ81idbRr3jSSx+t/7n6LIRIV9oaXLkg+&#10;76S/nDGkyBlDURtYc6nDm6dUmiB5rJim34v6dY0+fbG3hDgtkerXW0HPo5V0hdRaFK0TkDx2LvR7&#10;KTYXRetMimlFiMP/Sm8su/MfCVddM36Ed+OeEEIIIdVRRojD/2pryFtD/iOad8O+DGvePiOsfGRy&#10;WHHtYeGmk0aHxQePCLccMircOH54jRF1Fh88Mtx66A/C9Qd9P9wytSM8Mu+QWpkTwpo1Z7h1DhXG&#10;7ve/6/+OxVcvvb9z0aUd9f5/4xv/zU0nQ4PUPr7y6p+E4SP/v3D4xD17pBEyFKlKiMN/RNuxY8sI&#10;76Y9IYQQQqrHXosHuhAHKccTaqwsFSN1KpatI1eIs3KayFj2lDDpd44QZx/zaQUuK9vFTmnTeVLk&#10;SG223yDWbg5F823RJ8ABnRabawHzp9NT+0DnA14eoMUvT0i0/S372FQBY8H4tCCpsbJdrhCXmgPQ&#10;jBAHyvaXENI8fSLE4QZ7FUIcuPrq+8N18+8ON964rC7G3X7n4nDHXYvDsttvDouXLAvXXHuvW65K&#10;IGnUhlrHSwcQvkRWA57YoQWbZsUPLZlp2cQT7LRokpJZYsREGIxV6vVOpgNoW+RAr22pG3iP9kT5&#10;1CNmpWxsHnPWLFZHu+ZNI3m8/us19ta1CL0vYgKUFq+8PuSMIUXO/IuUhnW248TPWlrz+phKEySP&#10;lbGK5gjzI/vPKw8kzbavZbeYBKbz6Nf1usTWriy6TozbpmOuc96rqb0geexcFP2uQNtFvzdJMUce&#10;N7PhGowP5rX5zArcSNdlAa7r8+aNn+jduCeEEEJIdZQR4mKfu9duOXN374Z9Gd586dTwx/mHhqVn&#10;7hsWHTEiXH/gThFu4YHfD4sOGl7n+hpLDh4ZFh7w/bDk+B+G5b/8SXj6tqPDmlWnu3VWBUSt2vDr&#10;4paX3tdAFEL/8NVL7+9Mnzlq17/FvXQyNEjtY0kDt91xRI90QoYaVogbNnLMstr7Ixmx/4hGIY4Q&#10;QgjpPey1uMlHpnbpOoaN7JiN17dv395lb843S626KBBrIO+kTvWKyVX4asWk2GlozQpxVk6Tx3Xq&#10;dvUjPK1o5PUn9bhUwT421fYX6HQgr0OAsyd5eeUtdi5zRLoYZYU4ndfOSWyuNXq8+N5Kc4LkEbw8&#10;VrDzHllrJb3YvisD2vVEM/3esEJcs+3afZorxGly+ksIaR5PiMN/Qqu9z6oJVGYbwAf9K664fw/v&#10;xn1Zfv/7B8NVVz0Y5s69r34K3LXX1bj2nhr3hauvvq+W5perEkgataHWgciigWCixR3gCV6Clj+Q&#10;D7KKpEEeQX2QS2KimRZMRGJJtadPWUO9+sQzyCj4GeW908RSIoyuF33V40Cdepw6TZC6dR0YG9KQ&#10;X5fHPNvykhYTaPSaeekgVUe75k2QPF7bGK+0LWuLudF9KMJKRjK36Dv2mMhe2EN4zZbPGUOKnPnH&#10;eCQP+it9xPh1/4E3T6k0QfJ4e0jeP5gLEcXs/KTKS5ptX6+fV87msWl27AL6hPXAe0X6m4uMB3VL&#10;n7yxeuudsxckj7cW2MNSP9Jlv9nfE7HypJiqhTicQEMhjhBCCGk/VohL3VSPfe7etGn6Ht4N+zK8&#10;/NTPw93n/yQsOGxEuO6AvcN1++8d5h/w/fpXYX6NBQfWXqulLzpyZFh62pjwp/mHhbdePdWtsypq&#10;Q68DcctL72v6qxB3/8NfP7IE33t5AIW4vqW/CJ+pffzzk/9PPe1fd/9meOn19r7fCRkIHHXiQQ3X&#10;4hwhLvYf0b74YstE74Y9IYQQQqrHXotFZisTtg6R6ryb881Sq64BL0+KlFxlT1uLyVDNCnHAk9P0&#10;z1ocs2mesGRltRy8E79sHp1mha0c4alojspQpi4roOm+2vXNJSbz2XxeHrveOUAM8+oqC/aunTu9&#10;h/qTEAeK+ksIaZ62C3Hese947fLLHxzh3bgfiEDSqA01iyKhAzJITHjRpCQ3CDE6b5EopYWUGJCD&#10;bLmUCINx2H5YtGhkkboxF6n5iM1nUbpeMy8dFNXRjnkTJE+sbW9OUvVZrFTogb57siLIGUOKnPkH&#10;qTmGlJiaJ8kXm0MgeTwxDWO34puA17Ww55WXNNu+lt28cjZPKi0F1teWjYH3oVeHIHvFW++cvZBa&#10;p6LfeSiTKk+KaUWIw4d2XRbg9avnHTTVu3FPCCGEkOrY7+DWhDh87m5FiNvwzvSwevUZ4dm7jwlL&#10;T/tRXYLDqXAiwGkhDnTW0ucfUEs7aHi4cdIPwwO/Gx/eeJFCHPrX34Q4nOQlc5c61YtCXN8ic9/X&#10;+7u/7mNC+iPNCHHe5278R7Qvv9w81bthTwghhJDq+cGPD2i4FpcV4nDt1uXrdYwaM7Grq2t37+Z8&#10;s9SaasDLk6JIroIsptM9IaeoDpuu0yBX6bTUaWRWNLJ9sfJXLmhH1wNsHptuT+9KSWmgaI7KUKYu&#10;K6BB5pM0fZpeGWInydl8Nh1rafPk4p0k1wx2j+g9hO9jaWWw+xTr5eXLIdVfQkjzPPrEUw3X5/o1&#10;ut1CHP6X25VXPjTO3rQfqGgxxgKpCDIHHm8oJx/lAEFFJBAB0kjO6U/2ZC0vjwWSDerWAlBR30V4&#10;w1ebJqCvtl70CTKTnPjlIWPHV/wMEQb9kTpQZ0wmAtJe7LGSeB3pyOelg6I6QLvmTfLE2ka9kMWk&#10;XbRZVhZCHajf7rNU3wUR1VJjSCECVmr+hdTap+YpZ/0kT0z8wx7V84yv+Fn2rvTLKx9rH3nxeqpd&#10;yYM69OtoV+pFP3QawLzo0wtTY7fIXpayeqyoB6956y1lvDQhtU4Aey21zrLfyoyHfI0V4nB0e20+&#10;swIf/L2yc+eOn+3duCeEEEJIdZQR4rzP3fhgv3HLjBHeDfsc1qw+I7z6zM/DnxYeEW46cfTOx6N2&#10;C3EeOyW579WlufkHfT/cfeFPa+WnuHVXRW3odSjElYNC3MBA5p5CHCEDh6qEOLxOIY4QQgjpPVoV&#10;4nDfW5ffSce4gSbE2VPEvNO6iuqw6TotJUnZk9usaGTlICvvlcE+itKm6zRgT4nzTpnTlJHYisit&#10;y5MNtWDoPZIzF12PYPPYdNufMkDes/V5QNZL5bXSmxYE+0KIa6W/hJDmabsQFzv2/Yor7p/o3bgn&#10;BFghjhDy9aN6i0RXOXGNJ6oRcOyJ5zdcg8sJcWPm6LJyutzcaw7u9G7cE0IIIaQ6egpxHSvqF2gn&#10;8Id2nRfgc/f6LdMnejfsc3jrtV+EFx74WXjoioPDjcf+MNwwfkS4/qDhPUS4Rr5XyzOiflrcsrPH&#10;hucfPD6sWX1m/bQ5r41WqQ29DoW4clCIGxjI3FOII2Tg0FOIi1+7JWL/Ee3vO7bM8W7YE0IIIaR6&#10;WhXivFPbu4W4Pbyb881Sa6oBL0+KHLnqP/7jPxryWHmsqA6brtNATGSz7VjRyApL+nS5lIQEioQ2&#10;nQZ0GvBEPk8SE3LmOZdUXegD5s17NKmeLys6Fslftj7vsak6Hdh0W4dN1+SImB4yN8iPPr700kv1&#10;1zEvWHO9R4CkAyufFc1JDLtPU3uxlf5qkF8ER5Sx7x1CSCOeEIf/XF57D1UTnhCHo2Mvv/yBqd6N&#10;e0IAhThCepLzvsBpa3KKHIU4AloR4vYa2dGpy4oQN++a8cu8G/dFzJ2HrxPCtddNCPM7DwkLFh0S&#10;Fl1/aI3DwqIbaiw6LHQuPCTMX1Cjln7ttRN61EEIIYQMFQ48Yj91/U7fVI/9R7T1m6dP9W7Y5/Dm&#10;i6eEp5YeHe65ZP9ww9E/7D4hLkeIGx4WHPj9cPPJHeHx648Mrzz187D67TPcNlqlNvQ6njA0dr//&#10;XU+76NKO+s9XXv2T8O3v/I9dZfD9whvH9yhXFghl0hb4192/uas/OSLRE8+cGA6fuGe9nK4DryHN&#10;K4MxIZ+0c//Dx9T78I1v/LeG8i+93vjIWimXQue3Qpy0I6/psTYL1sXWGRu75NXrCDC/ss4xUFbW&#10;o6gdwZaRtvC6l78IrAfmy+5DvCZrhTnW7XloiVHWNLXHZH7x1UsHze5jaR97z6YJUrfsT2DH7WHL&#10;4St+1uMnpL9x0hmHNFyLc4S42OfuHTve7fRu2BNCCCGkevabcIS5ho+ZU79QZ4YnxOFme1dX1wjv&#10;5nyz1JpqwMuTIkfUsid7WcGnqA6brtMA5B2dDiD12HxWNNLCku1j0UlaEIt0frSnhTadBnRZwYp8&#10;KYEqZ55zsXXlYIU/2/eiR5IW7QGg04FOs/MNOU6ne9gT7HLmrMzc2PWyQlyKVP/tPvXmSmilvxrb&#10;Zs78EjKUeeHFlxquz3KNrr1/qonYse+XX/7gbO/GPSGAQhwhPdGPQ4Xsph+5ChEOj0uW0+FA6rHE&#10;ZOjQ4glxy0zZlXi9WSEOdC44JCy+6fBw+12TwkOPnBAef/Ln4Zk/Tw1P//nk8OgTJ4UHHjw+3Ln8&#10;mHDrbUeFGxcfHq65jlIcIYSQoUkZIc773I3/iNaKEPfGX04JT992dLj30v3D4qN/GBYeMDwsqOGL&#10;cF8DcQ6PTb1p8ujw0P87OPz5nuPCqtdOc9toldrQ63hSlkg8Pz/5/+z63qNZuQmgXa9OAOFHxKeY&#10;rIS2tSRkQRoEKVtO2sXXlOQGqUkLR60IceirzqeBWKbL5YJyXn3Ajj2n77F5TrXjlcGcpfYMKDtm&#10;1KlFOIvs4bJCnKxRbOxAxhLLo9fZUrSPdVmbBvD+k3QP1O1Jcan9Bmx+QvoLVQhx8rn7q6+2LPNu&#10;2BNCCCGkeloV4nBjXZev1zF8zB7btm2b6N2cb5ZaUw14eVJYIceTjiCKpU6qKqrDpus0wdbvPUbS&#10;Sj9aELKnj8VO0tLYk+8gfUmafh3ocoLtT+oUs5x5zqWMRIV59eRAPd+pfgvYA7peYOfYpus0eyKf&#10;nusY2AO6jJX6PCD22b3k4cllZYQ4rIEtL9h9kcrbSn81tk0KcYSkabsQh2NlbQN4/corH+z0btwT&#10;AijEEdITSG9aeIuBE+ImTZrh1kGGHj2FuJ3X4ZywQpz8MX/uNeNXejfui5jfOSH84eYjw933Hhue&#10;eObn4eXXzwhrNpwdtrw/O7zz3jlh1bpp4S+vnBaefnZKeORPk8Ndy48NNy45wq2LEEIIGey0KsTh&#10;9U1bZszxbtjn8PZbp4eXHv95eOTaQ8OSn40ONxw0IuOEuJ1CHE6IW3z8D8N9vzogPHPbpPDmX+Kn&#10;QLVCbYh1RCbSWKEJJ0vJaWAQirSclDolLAbqkPKoS+rAV33SFvBEIi0+Ib+Wv3BynfQPYpgVhkRC&#10;EpkOeeW0O+TVkpLXtu576rQtK0qhHclvx1lWLNR165PadL34KvkhxEHww1c9V7Yf9tQ/Pc8oK3OJ&#10;cuiDbkOQ+jC/GJctI/Xhe1s2hgh9qFP3Ef3D+L26ctqR/sRkNyDvhaK90Mw+1vNh07TEiHxSN+ZT&#10;y6BevZKm94aUwz6w+QnpL5w5+7CGa7HIbamI/Ue0r758d4V3w54QQggh1WOFOAjr9Qt1ZtSu3+Ma&#10;ytfAqe3btm2b6t2cbxYtdaXEmxhaOoKYExPJrJykTxQrqkOnx+QrLSOhDu/EMisP6cdCakksVwZK&#10;nSqn5xXf63IanQ998/KAnPHlYuUyC/qEOcD49Kl3ghUci07TE4pOldMnutm9qMePfF6/LHa9c9cV&#10;dWNMek8AzAv2YmyPQyrT7aVI9cX2u0hma7a/GtQh84+2+chUQtJ4Qhyu27X3UDVhhTg59v2KKx5c&#10;5t24JwTsueeI+i9yfPXSCRmqQIqbMGFqXRaVR6MKeA0nx/FkOKI56ZRL1AV+J7X9khW48a7LyY34&#10;edccvNbetM9h8U1HhEdWTA4vvvyL8Nbqs8K6TWeHd/46K2z75MLQ9fGFYeO754Q166fX0s4ML79+&#10;enj2hVPCgw//LCy7fVK4/sbDwzXX+vUS0p/YunV9QOCrl95uXnn1vvDhh1vCe++95aYT0i4eevh3&#10;9b2HvX/nXbPdPKQchx3dKMSlbqrbz921vPUTYTe+O6PT3qzPZcM708Oa1WeEZ24/pv74Uwhx19fw&#10;JDgNpLm6EHfcD8N9lxwQnr6174U47zQvLQKVlbmA1A9xR4QpjZaBPOFHZCNPyAKoU6Qg1KXTtIQE&#10;iclrX8tMIhQJzQhxXju6j2VOTEM5qTc2fow5t07dD7sXZAzov349hhbotHinkTrRppfuIfsFJ6Z5&#10;6R7SDzsmjfTF22OCtO3lkbRm97G0D2xabP8Keh/qudave30ipD9ThRAnn7t37Hh3rXfDnhBCCCHV&#10;c+ixP1PX7xolhbhho8ZMbChfox1CHCGEEELKsert1Q3X551UKsSNmaMrpxBHCCGE9B7VCnFjluH1&#10;ufPGd3k37lNcO39CWHbnpPDSa6eFv/5tdvjw4wvCO389J2x+75z6153fz6rz7gezw3tbzw3rNs0I&#10;L71yenjsiZPCsjsm1U+Y8+qugsVLTgqrVj1Wlzkkduz4vC52QDBCuleOEIvsIXz10tuN3sNPPrnA&#10;zUNIO1i37rnunRfq33t5SDnKCXH+5+6NW2Ys827Yl+HFh08IS8/Yt/641OsPHB46D/h+mF/Dk+HA&#10;ogNHhIW1fEtO+K/w0O8PDs/ff1xY9XrfPTI1JUKlyqfQQldKcELbyGNFIl0+JaTJGKw0piWkmDCk&#10;pSIr/Om0VPs57UgfPVkqBvoj9caks7LE+qGFrpy25BGfqfHo+cvtvwiK9jG2KaSN1P6UNUr1NzY3&#10;re5joPeIfh2n4HmvWySPluYwp97rhAwEmhPi/M/dFOIIIYSQ3qMdQtx3hu+32/bt2+fYG/OEEEII&#10;6T3aLsThHw2m8vofAq688qGV9qY9IYQQQqrFE+LwYbx+kS4IXLMbynb/IcC7aZ9iwYJDw823HhUe&#10;fnRyWLXmrPD5V5eEL/5+SXi/67y6/IZT4ra8P6suweG17Z/+Mnz65cV1We6N1WeGZ547Ody1/Ogw&#10;v/NQt/5WgfAG+S0Vn33+Uf30I698X9HXJ5EVgfmS6G9z1076WojbtPnlevvYs+0UOSGQIvDe8dLJ&#10;0OP5F5bu2hOUMauhjBBnP3eLELfh3ekrvBv2ZXj58ZPCneeOC50HDw8LDti7fvobmO/IcODG8SPr&#10;p8ndesqY8NQfjgpvvHhKWLfuTLfuVqkNsY4nDMUkII3kSQlHHrlCWawPunwOtnxMQrJIHju+3P7n&#10;tCN5UvNsEeksVW9ZYnON0/HkpDJ8hYyXEtKknlxS86fRghgEM/toVw/Jn9qfOfMfm5vcfRArD2J7&#10;RL+egx2jSHiSZk85JKS/YoU4uR6nIva527tZTwghhJD2YIU4EdRzY69R+0zV5QFe3759e6e9MU8I&#10;IYSQ3sMT4iCy1y/gVURMiLviigfXejfuCSGEEFIdp5zxO3UN3kmuEIc/3jeUrV3Tr7pq/O7eTfsY&#10;eMzpH245Mjy04oTw/IunhrfXTQsffHhe+Nv28+sSHGQ4DV6DFIc8m7bMDG+8PS08+/zUsPze48L8&#10;BYe4bbQCZDgdeMwkpA7IHPgKuUhkub4SnGL0tXhVBOZQYijJMf19XapCnwbmpRNCWmfSCT9puH6n&#10;bqrHPndvfHfGWnuzviyvvXBy/aS3W6buE64/cmSYfxBkuO91C3HfC9f9tPb9AXvXT47Dz4sgy9V+&#10;vuuc/cLKh34W1q45I2x4x6+7VWpDdGUakJJ4BMmjy+sTxSzyCM9WRSJ9QloO9vQuLRvp1y2Sx85P&#10;bv9z2pE8qXm2yLykTu+LgbnDaWs4aU36pvH6gRPHRIoTsJbe2GP1eqDOMqKWXXeUx9rG6pB8dv00&#10;OfMv823ztLqPQWyPYH7l9RysIAhpUUtxAO1jDnU+Qvob5/1qoroWNy/EffbZlt29m/WEEEIIaQ/t&#10;EuK2bdu2zLs5TwghhJDe4Z0t7zZcn0GlQhz+0dBQ+ciOFXjdu2lPCCGEkGqpUojD49jmzTtwD++m&#10;fZRrDw533nVMeG7lqWHVumlh45aZux6JulOCw+NSRYjb+ehUpP31b+fW8p4TVq+bHv7y6mnh/geO&#10;C50Lqj0hTgtbkN5ip5jhlC2cwkYhrhwU4ijEEUJao4wQZz937xLitkzv8m7Yl2H1W6eHFx44PqyY&#10;d0i4/ex9ww1H/yDMP3DvsOig4WHx+BHh+gO/H66vfb/k4JH1r9fVfl7ys/8KD14+Prz23MlunVVR&#10;G2IdTxhKSTyC5NHle0OI022kyseISUgWyWPnJ7f/Oe1IntQ8W2LzkgJSW46sFqsTghXm3dZhH8kp&#10;4lyZvpUB8hskOC3o4XtvHSTdrp8mZ/5j8527D2LlQWyPyCNi7etlgQAn7Qv2EcKE9CeaEeK8z91f&#10;fLFpD+9mPSGEEELaw/FTT2m8hpcU4oaN7Jity9c+k3fh9e3bt6+0N+YJIYQQ0nv0iRB31VX37u7d&#10;tCeEEEJItbQixOGDuy6HP8xfdc34Ed5N+xjXXDchPPDQCWHVmmnhb9vOr4tuchKcSHDvfjBr16NT&#10;8fOW92fXf9783qyw6b1zwlu1so/86cSwYGG1J8SJuITIeaRnTp7ehEJc/4RCHCGkKloR4uQ/onk3&#10;68uyYdO0sPrN08NfHjsxrLj20HDbmfuGGyf9MMwfj1Phdj4mFafDQZC77oDvhcXH/Ve467yfhidu&#10;mRTefuMXbp1VURtiHU8YSkk8guRJCUcerYpEueVjxCQki+Sx48ttP6cdyZOaZ4s+PcxL95C5hDyG&#10;Nu2parG59sCY9eljeg7K1NMqkL1EjMNX+yhX6Z9dP03O/MfGlLsPUnMS2yOx15sF660lu9ScENKX&#10;WCFOboanwhPiduzYMsK7WU8IIYSQ9tC6EDdmTkP57s/v27dvX2tvzBNCCCGk9/CEOJzsWr+AVxH4&#10;Q7yuHP+IuOKK+/fwbtoTQgghpFrOnHG1usDv5D+Hj969+zKdjJ5CXMfsefPGT/Ru2se49roJ4cGH&#10;fhZWr58etn96Yfjgw/O7hbidAtymd88JG985O2zccnbt+5m7hDiR4vBo1XWbZoRHnzgpLFhU3Qlx&#10;kNsk8JhUL08uqAt1fPb5R901hvr3eC0lguHUOcSqVY/Vf8bjWz/+eGv9NQS+x2NbbTl5hGssICrZ&#10;MnfeNTvaR6TZ/EDmCO3hZ6lD2sdX/IwT9HQ5jKcodP4UaBOPrYVcpsctfUcfvXLN9l2D9cAa6TVB&#10;oC+yZh6eECdzgnZj8w3kEb7SbwH7CH3R/cfP3v7Sbdk0gDakj4iifWCRfRsLPW4N9rIeAwJzi/XN&#10;bdsi66r3NdrHGG1emZdY/4CMDV9tmpSXNFkTCYxFt4u9hfei9A3jTu25dtcPUB51lt3T0g/kQf1o&#10;R0L6C+R9h8D3ug5B+q37kNrPQpm1HkxYIS51U90T4tZuOXN372Z9WTZsqbF5elj1+mlh5cMnhMdu&#10;OLJ++tvyC34Slp75o/CHk/cJfzhpdLjl5I5w+9k/Dg/8bnx4aumk8NKTPw/rNpzl1lkVtaFH5ZiU&#10;xCNInrJyDeScVNuCSFe2D7q8fRxqDlo2shKVgEdQSh77OMpcEUq346UDyZOaZ4s+IQ8nv3l5NBij&#10;5Lcnugk5663Rdeo11LJebG6rRK+TXQt5PbXHctYoZx+m2oiVB7H29eNh7f5rhVRfCOkP/PrKSeq6&#10;nb52S3j/Ee2LL7ZM9G7WE0IIIaQ99BTidv4ns9xICHHuzXlCCCGE9A5tF+JqH+pXNlQ+sqPz8ssf&#10;HOHdtCeEEEJItbQmxDWWwz8Qrp530FTvpn2Ma649ONx1z3HhL6+eHtZtPDtsfm/nI1Pf7zqvLr1t&#10;2DwzrFo7Pby1+qywtpYuj0zFCXL4+umXF9VFuSeenhIWVijEiXyC8KSzXPQpWbGA8OOVhcwh6fK9&#10;F1b40EKRF1aIQ/lUGaR58grkFIlUHRBbtISj5zYWup0URWNFeBJNs30XcsYQE6tkLXU65lciJR6J&#10;JISv8hr6nwpdHug9adO0yGQjNh6LlrS8sPVgfovKYH3sPi8Cc5raH3ZfyLykxumtnaDLp+YR+dA3&#10;LXzpQJ+9Pdfu+qvY0/hd5bUr+fT7zntfot9aaPPC2wcoV2atBxM/m1JGiOv5H9E2bZq+h3ezvim2&#10;zAjrN0+r7cGzwqo3Tqs/CnXlI5PDE7ccFR66ckJ44LKD6qfHPX3HMeGlx04Kb71+Wu26flZdpnPr&#10;q4ja0Ot4Mk+OICV5UjJQDHn0Jr564pQWq7w+iNjjnQxWhJaQUI9XXsbm1Q8JTcqnZKWY7KSRPKl5&#10;tmgRK/b4SwhVkqb7i9dtXoxP1qNMP6ROvf5aUGtmX5QlJSfK6XEpaVKLZ57cqOVDb25a3cexPYK6&#10;UuWaBXVVXSchVdKcEKfz12/Az/7yy81TvZv1hBBCCGkPp519tr0elxLicO9bl8e98a6urt29G/OE&#10;EEII6V0ar9GgzULcFVfcP9G7aU8IIYSQavGEuGHDx+zRfZlORo9yo8ZMvOaa8XO8m/Ypblt2dHj8&#10;6SnhldfPqEtv722dHbZuP78uva3bdHZ44+2zwutvnRXWbphRF+LwWFU5IW77Z78MG7ecEx5/6udh&#10;waLD3PqbQQs6njySgxaVIIxA2pA0SHZaHPEkKJFMJNAnOSkLgocu752gJeVjEgtAnyRQf6yPnkSj&#10;5RYE8oisgrwi8CAg8OiytnyzwgraRN3oq+4f+iGCDMagy4BW+471griDr3rOsA5673gyZWxdZK69&#10;/gLULaGlIBkn+in7AGNAHvRR8gl6bPp1jEMC45L5RJ0og3Hp/EXE2rFouUufBidjkPEh9FwXIeuA&#10;+dTlsCaYe7vnpL+p90ts7YAeLwLtShv4qsch36MMxgm0kOZJsu2uv4o9LYGfkQ+gD5IP/ZSQvgvo&#10;o8hwGJtuB/3RfbBly671YKKMEOd97t64ZcYI72Z9Vaxde2Z49c8nh+fuOy48e+exYeUfJ4c3Xpwa&#10;1q09oyFfO6W42tDreOJSjjgjeZoRn7SIBHELkhdeh7ylH+0IvD5o8QoyEurTQhLkJohQkKLsKWpa&#10;QgKQ4kSGQj+0xBQbmy6LdoGVzWKyk0bylBWU9BxhnDJ/uv+6TpHD9Filz5JmywD8jPq0+GfnyM6v&#10;yIoA+XQ6yqJN1BuT+TzQR4xT14XvpS2k6/wAbUialMM4ZK6AFs+QT++DnH3Y6j5O7RGMV5fVa4B+&#10;42fMrx076kR+/Z7AVy33xU4KJKSvqUKIwx/md3yxZbZ3s54QQggh7aFNQtwe3k15QgghhPQujddo&#10;UOUjU0eNWasrx7Gxl1/+wFTvpj0ZOpx66mXhn/7pv9f/kDl58oVuHtI8l156W9h777G75hhfJ0yY&#10;Wk/DfMtr06fPbSiHn5EGbFp/YdKkGeHf//279fF56QMNWSNZn1bBumF+9txzRDj33OvdPAOZwbb+&#10;vcHM2Z3qAt99Lc4Q4r4zfL/depQbNWbivGvGL/Nu2sfACXFL/nBEuP/B48Ofn58a1qyfHj785ML6&#10;41MhxG14Z2ZdkluzfkbYuGXnI1NxMhxkuC3vn1P/efW6GeGPj00OCxZWd0KcFjy89CIgd4iU4skz&#10;kkcEEE9c0n0oEsq0ICVI+Vj7QEQSfPXS9Tggyug03T7yaBFFkD5449Pl2yGsaIHIprXa9xR6zrQM&#10;JMTWRQtLXn90OtrAa3oc8loRsXmR1yEV6debJTX/gu6/N1cAcyHhvQ9iSHgCl4f0N/V+ia0d0OPF&#10;HNr1wHtUR+o96+25dtefIndPI7y5EVLvednf6FtsL0s79veVRO5aDyZ6CnFj8O9GN+znbvwxfv3m&#10;6VO9m/VVUas/rFlzRnjr9V+EN186Nax+8/Swdt1Z9de9/O2gNvSdn10c6UtkIk/iESSPVz4HLVVZ&#10;IBOJEBTrg5aRUmgBCmgJKdWH1Ni1rKTReVKykyB5Um15QHDS4plFS2CgaK6kLtsPWeMYmAedHxT1&#10;TcDc27IxvPIaLYsJeM3La0+CS80Nxl+0D1vZx0V7JFW3ACFUl9F1emBtdH5C+hM9hbj4tRsR+9y9&#10;Y8e7nd7NekIIIYS0ByvEQWjrvlxnBU5p1+Uh1HV1dY3wbsoTQgghpHcZNfYAdY2vX6dnd1/CWw9f&#10;iHtwtnfTngwdxo07dtcfM/G9l4c0z7e+9b92za8AiQhpqbmHqChp+F6n9Rcwjv7exzLIWKp6Hwz2&#10;99ZgW//eoFkhDo9VteX2GtUxrqwQB/Co06W3TQqP/GlyePWN0+uS2/td59a/Qop756+N4AQ5nBIH&#10;QW71+hnhL6+cFu574PjQufAQt/5m0IKHl16EllNSkobOZwUR6UNKUJJISSoxQQXSiYRtWxOTULTc&#10;EhujlnhsWkqOqYJU/a32vYjU3MfS9Hp4J3hhHyD0OmhZzAqLMWLjKhLyypIzf/p0uJgEBXQ+L91D&#10;BK6Y7GmR/nprJqTWVY83NhYJb31Bas7aXX8RqbFLWkpmA6n3pOxv9FG/rpH+Y23162XXejAx5bTm&#10;hTh87m63ENcfgDRVG757WpScboWvNk2QPK2cNgUZSctT+B6vSVpRHyC7QRqSR1cCjEtEJivDASsh&#10;QZyK9SEF6pF20abtp5zIZU/w0kie1BhjQDxDH3Tf0Z/YuCGCyZpJvzB3yBvrB9JQn25DxupJaBrM&#10;oRXqUA/K5syvBn2364zv8ZoW/yx2bdEfb25SeyBnjZA3Vh5fY+Vz9oisG/JI/Rg7xoLycgqcIKfB&#10;2bmX/DovIf2NqzqPbbhug9r+jYb3uRtC3FdfbVnm3awnhBBCSHs496ILG67HVQhx27Ztm+jdlCeE&#10;EDLw2Lhx4y5eeeWVXTz++OMuy5cvz8Irq+uXNr0+kXzaKsThaPjGysfMueKKB5d5N+3J4AAnXdWW&#10;vn7ylZcO5IQ4QKmlWuQEOCCnjuHEODktLHVCHNZCyvbXdRk9+pB6//75n/+lPi4vz0BC5rsqeU2v&#10;72B8bw229e8Nzr9wScNFHuw5fPSI2jwmIy7EHbzW3rAv4rr5E8L1NxwWbrt9UvjTYyeFlS+fGlav&#10;m1aX3j798uL6aXFdH10Q/rb9/LB12/nhky8uCl/+49Kw8Z2Z4YW/nBoeePiEcPMtE+v1ePU3gwge&#10;CC+9iFzxJCU0pQQUQfJ4EklReS2n5IStJyW3eHlSabHyrZCqP6dtncdLT5Ga+1QahB6EPcFLPy7V&#10;CnwiEiGwD+SRozFiexPlRCzCV8iaKbmpiJz3QGouNM3IepDCJDCvReWkv6m+pPqbM14J5PXSU3W0&#10;u/4iUmNPpWlS77uyocuWXevBRKtC3MZ3Z3TaG/VkcFB0KhchhJC+YdHNJzRctwFOgatfrJ2Ife7e&#10;sePdtd7NekIIIYS0ByvE4TN29+U6KyDANZQfOWbZtm3bpno35QkhhFSPiGoilUE2W7x4cbjqqqvC&#10;xRdfXGfatGlh8uTJ4dBDD62z7777hr333rvOt7/97Trf+ta36nzjG9+oU/sV36+Qfkk/pd8YA8Yj&#10;yBgxXowbYA4wH1rGE+nOm9PBRC8LcR2zKcQNbvQJVV46aS8y/ykhMcZAEOIGGzLfg/E0N9I/aFaI&#10;wylythz+MD933vgu76Z9Dp0LJ4Sb/nBkuOe+48LKv5waNr83K3z+90vqMtxfu86t837XeXVJbke4&#10;tP541Uf+dGK4YfHh4ZrrqjsdDojggfDSi5DyOY8mlLASS45kInk8AaaovH3EYlHYU6dalcpyyucA&#10;kQt9k/F6YevPaVvn8dIB5hACDtbZC2/uU+sC2U1C90uEMHsyFoC0pqU4BOpG32xekJKiIBKJFCeB&#10;09lic5QiR76SKHoUas56eeiT5RBYJ8ylJ/pJf711EVJrV2a83vsVpOpod/1C1XtaE1tHLXzmhHdq&#10;Zpm1HkycNn1/cx2O31T3Pndv3DJjmXezngx8KMQRQkj/hEIcIYQQMjD5zeWXNVyPqxDitm/f3mlv&#10;yBNCCIkjp6FB1ILMpoU2iF1AJDaR1/qruDZQEdFOC3YQ60Sqw3pgXSDUDSSZbuzBRzZe50eOmVMb&#10;bzWhK95ZeV2IW+vdtCeDAwpxfYucoCWPSC0DhbjeR+abQhxpF1UKcT8+6EcHezfsy4BT3pbcdER4&#10;aMXk8PLrp4VVa88Kb6+bFlavmx7eXjstvLV6Wnhz9Vnh1TfODE89e3K47fajw7XXVncynKBPHGpG&#10;BhJBpD8LcfrUrWbGGJNbYnlSac20D/Q6pcLWn9O2zmPTII7FhCEd3twXrYsIaVoSE+EtJY5BZJK6&#10;JSA22XxFUhQEIuwNOz685uWPkSNfSbRLiAPIb2UpzKc9SU/6G1sXkFq7MuP13q8gVUe762/nnhZi&#10;64i2JWJ9zyF3rQcTLQtx785Ya2/Uk8EBhThCCOmflBXi3M/dEw471LtRTwghhJD2YYU4fMbuvlxn&#10;RS3/yobyIzs6t23bBinOvTFPCCnPRx991MDHH3+c5JNPPunBp59+2hReXcBrV5B+emMZKljBzcpt&#10;+mS2/iq1iXAniDAGpO8CxtMsti4g7UjbXv/6CzI3GIsn0cmpdJDovL3SbnpViNtr1D5TvRv2ZPBA&#10;Ia5vgQiHuacQNzCQ+aYQR9rFJZcuNddh0DGutu+S4f1hfsLEfY/xbtiXZX7nIfVHoC6//7jwx8dP&#10;DE8/OyX8+fmp4dkaTz59cnh4xQnhzruPDjfddERYsOCQMO9av55W0Cd12ZPRctCilpcuaBHEnuiV&#10;I5lIHk8iKSofk1NyySmv86TSWm0fY7SPEk3Vn9O2zmPTZG4hr2HurXCTmvtUGpC9I6fB6dOzsF9s&#10;fgvyQ4STsHsjJUVZMAf69LnYXHnktCN1x+ZC0PJms3ITRD/dJ9umpKX6klq7nPFKIK+Xnqqj3fXL&#10;2Nqxp4XU+04i1vcyFK31YGLGrJ5CHE6S6b5UN4TNRyFucEMhjhBC+idL7z6x4XoMYtduhPe5e/p5&#10;s47xbtQTQgghpH20Q4jbvn37SntDvjewohCkHQg9n332WZ3PP/+8zhdffOHy5ZdflsKrQ0A70i6w&#10;YpEWh7yxDBZECgKQQQR5tKM8tjCGLq/x2upNRPjy9pvsOW+/yd7ZsWNH+Oqrr+r8/e9/78E//vGP&#10;XQyWkPHocWL8mAvgva/k/WPfN96a9BbYf9ibIrrpx5GK3CUiV+1XZNsRYUwkNZGyRMwSAQ/9lMeG&#10;yiln8uhQ/T7sL++xGNI/6S/6LmPBuEQ+FPT6YD4wLyLiiXTnzWu78QQ69FXWBmPzxt8MhxwzWV3j&#10;d16na32oJhoqrvHDHx98nnfDfiCz554j6os2YcLUcOmlt9UWbuyuhUSazX/uudfX8/zzP//Lrnz4&#10;Hq8hzeYHqBv5RJqZPn1uvW48FlOXR/u2rAblYm2nBKicMUqesqBPui38jNflkZ8yXzJWfM0ZK/r6&#10;rW/9r4a2LN76eEifRDKTOZB5RJ9Qlx2LYMc0efKFu8riK362ZdB/kdsE/CxrYPPL/JTB7rccIQ5t&#10;Yx/quZXxp/aQt+8xnkmTZrj5Y8h7QeZSI3sQefAz6tb9xPfeXMvc4XQ9m6aRfJ68hjW248P3eC01&#10;L5JX1ynjQH91Xovk0/Kj7DVg96Pdh828t5CGedLj9JA1yKHM3oitv6wzvnr9x9hlnN4eGMx4Qtyw&#10;UWMm1uYiGThFzpY7ZvKPz/Zu2DdD58JDw41Ljgi33nZUWH7vseHeB44P99W4e/mx4ZalE8OCBdWf&#10;CqeBUCEndeFrjoSj82iBJyUxpUSfHMlE8ngSSVF5tCfRjPSXklu8PKm0WPkUVhyzpOrPaVvn0a9j&#10;b0jETk1LzX3RumC/SEDyE7En57RBTUw206KQfj2GHm8ZWSmnHRH3YmsoSL6yc+ARk1Vz+psS+HLK&#10;S8TmMVVHO+tv954WUu87OZ0Oc6xfb4VcMXkg04oQ9+ODf3yed6OeDA4uurSj/u/ab3zjv7nphBBC&#10;+gZPiIP0tvNq3TM8Ie7iOZdO9W7UE0IIIaR9zJ0/t+F6XFaIwyNWG8rvFOLW2hvyMXDjXwQSLQZc&#10;ffXV4d577w2vvvpqg2AkUpEWiQabNBSThbQoJMKdFu1EFrKSnSeQiMyj5RERZkSgwVpYgQTICU6y&#10;boKIOb0lAsXQghAQSUjkE3DYYYfVOemkk8KMGTPq/OpXvwrXXHNNnVtvvTU89NBD4eGHHw7PP/98&#10;WL16ddi6desuqYvRP8K+V+R9Iu8PeV/o90MMeY/Ie0PeC3gPyL5v596WPYt2ZJ/KexF9wXtUZCkR&#10;2NBnbyykOewekN+PmH9cl+R3ouwHrJe3llWD9r3+5tI2IQ5HwjdUXGPcIZMv9m7YD2REWoIkouUb&#10;QeeF4CFShgfSrMQCIMsgHV9FCPGAUBKTWaSOFDEhKGeMIueUxcpCWspKzVdMfAFeHz3QZ6+8RfqE&#10;ecD3sT7hdU9+smPSZYCWobD+Rf3HOtt9ktpXMWxfdT+9caDNIhHKk5i0jOThtRVD72ObpvepfO9h&#10;+yh7F33Ur2sgUUl5K1S18t6SdL0H9Hvc+30AsPclj647tYY6rZn3FsS13H2WK8SV3Rux9dfro+dS&#10;kPcU9oVNG+zMuWx5w3UYNCvEnT79p7/ybtg3wzXX7jwpbsHCQ8Oi6w8N1994WLj+hsPCohp43StT&#10;NVoegaQRk+Igk+AxfVrq0bKZ99hKgHIigTQrmUgeT4ARiSglmIjgg76jP16eGK1IZcCKXza9iCJJ&#10;SsuGtn+t9F33257qB6pYV1kXjFHqKistxtrJEassEjHRykPPf2xvYf4kYiKWnu8y7ceIjV/3xdsT&#10;ejze2uXMq0RsHKk62ll/b+xpkHrfaXkt9p4sS86cDXQ8IS52U93mO/ion/7Ku1FPCCGEkPZRVojz&#10;Pndff9PCK7wb9YQQQghpHz2FuDG4n5AdVoj7/pj9f+/dkI8B6aNWTSG77757GDduXJg4cWKYNWtW&#10;WLFiRZ3BFl1dXXXWrl0bVq5cWR/jsmXL6nR2doY5c+bUmTp1ah3MB+ZlxIgRdfbYY486mK/ddtut&#10;jjefpDUwr5hjzDXmHWsg+xPrgj2KdcKaYe1kv2JdAaN3Au8lvI8A1uG3v/1t+M1vfhOmTJkSjjji&#10;iPD973+/baKbFdwgUmm5bTCLbXKCoj1FUSMir5yqKOKzICcsCloI1sjJgoJIxAJkSQ+RKasC0uwj&#10;jzwSbrvttjB//vz6XjvnnHPCkUceGfbbb78wfPjw+u8Mb68Ugb3kzXMuVogbNnLMslq9rYcnxE2Y&#10;dPq13g37gYwVb/Az5AygxQyIH5IHAo4WXZBXhA3IIVZGEQlExBHkFSkHebUk4gkfWsJCeqxt4Iks&#10;uWMEui/6dU2utAMwZhGY7FhxqpQuC3Q6xiJziXqblWKkTzL/0iepW8tF+GrXzxsT+onX0Ud8RT6U&#10;0/tA9x8ykh5bTH6UtYqNUfdF2s1JQ1siw+n9B7CftBBpy0oaytm9h37a/ClS+0vGLqBdzBvS0Ibe&#10;5/I6QD/kdT0uDfYa0jEH+vVW31uShnHJa5hreT0m0ul29VhSa6jTgOxjpKFNPbfee0vmF+X0POn9&#10;r8eRQ9m9kVp/vQd1XZh37/WhQpVC3DnnH3CHd8N+ICOiBwLSGMQ3yFsQNvAVEgdeR1gxSwseEJsg&#10;nUgayor0hNBpQo5kInk8AUbLICK5oB0tm6AfEug/8ml5CXlljLaPSJOICSw6j5cugblAu8ATcjy0&#10;oISxSr/RT5HlJGz/Wu27rDn6LeWl75KG8NYuZ1312CQ8IRPjRj163fBVl7eiWUwSQj2yv+U1tInX&#10;JOweSKHnD3XgNdSn6wf6fYC+yTjtfGJ/yhiLQNvIj7HreUPbUh/2iC6DuiWQR9YV5e1+8tYuNq8a&#10;CeT10lN1tLv+du9poPeEtCFgnqUdfEVf9dph72E9ZV3l9WbWejAx+4IDGq7DwLup7n3uPvPcw6/1&#10;btQTQgghpH3c+8iUhusxKCvEPfrYAzd4N+oJIYQQ0j5uvHlRw/UYdF+us8IKcWMPnniDd0M+BmSR&#10;WjUtI4ISEDlMBCUtKQFISlZUsoiElouW1dCGCGtF0hoYrOKajAv867/+a53vfOc7hci8WHR9Gq/t&#10;gQL6j7FhP3hSnd6vsjchd4lYB+FrsIdIolpsA1YOlfcY5rKdewNyEvYyfneNHTu2fsrgJZdcUgen&#10;Wj755JNh8+bNwQpgWhIrwpZNIWKZlcuaEcw8saxIIpNTE3lyYrnA+1euNXh/y/sd73/sY/xe0PvO&#10;u37mcuyU0xqu8cOqEuLwOBddMTj82GmLvRv2Axkt4eB7Lw8QWQNfvXQIKSKVWHFGSyAQRzwRSssg&#10;WpDR9cb6hzwiO1nhB+SOEaSEFSFX2kG/PYFF+uP1VQQkT+hBXVJ3GTEmp09auhHJSNDlgR2zoOcu&#10;lifVDpC5ia2T7ottI5Um7WLOvf0HpG27x6XOmGxWhtT+kvaBt/56fHbu5D3ildPpWlCr4r2F1wHG&#10;pV+X97NXRqdjv+vXc9e37HsL45Cy3r6T/YF6bVoKqTN3b6TW31sP/C6U1+wcDxU8IW6vUftMrc1J&#10;MvYa1THOlrvk1wfc792wH8hACNFCUCwgZFhZCGWtSGMDwkZMAMuRTCSPJ8BowUSHzYv2c0LLJiAl&#10;t3h5vHQtDerw8lowv1qmsqHTbP9a7XvRnEnb3trlrKuWsxCoz8unBScvvHIxKUr6FQuslc6fg7c+&#10;dtx433j5dHjvrxR67bzA+8LuZ5BaV/Rb9qu3drF51Uh471eQqqPd9bd7T4Oi9x3W2PudZUP/zmx2&#10;rQcLrQhxMy86crF3o54QQggh7cMT4iC9dV+ye4QnxD3z5xWPeDfqCSGEENI+PCEOn7W7L9mFgUes&#10;6rITJ59yv3dDPoYW4uRErZQUQMojcpCIVwBzawUskbBENMJaQNbQIpZGS1ma/hDSF+kj+ivjEKFK&#10;RDOMVWQUzIEnMGLu+vte1Gts11fWWMap11iQeZF5iiHr76UJUpedZzvXdr5lf2Ic7ZTaPNCWtI/+&#10;oG8yRxgTxtxf9jdjaITszVZPiOtVIW7Kab992rthP5DRAklMFNIyiZVUNFKXFYq0BBJrIyb74Ht5&#10;PSWd6Hy2jzljFFLCiqD7atvSabH+ptqQ12Pyi6TbdlPk9AlIHitV6fJWdtRgfpHHSk4WySfSj0bW&#10;yksDui92DlJpIhqmpCJZFytFiZBk93UzpNZexp6aPylrx4E1w+ue0IU1l3JaIqvivSWv2/7oMlZc&#10;079P7H7KXd+y761UvTbdpqUouzdS6w+sMFokFg4V7LW4WSHu1789cKN3w34wAOkCYhzEHAmIFhDe&#10;tJzhgXTk06IH5BLINSlRQ2S61OlGkseeAiZAMJE8CLRrT+gC6Ic3PpGAvH6ibgl8b9N1HtTlpQNI&#10;OtKuzKmXzwPimC6PwBhlTWTObf+kXwibZvPE+o49oecW+TCHmCusB8Ibi5QpGqeuO7a+GD/SREiS&#10;wM+xMtI3Oy70G2ut5TRZD2/P5ID+YU5kHbBOnqxVNA6k2zJFpN53qfowVj0Hej/J3HlrF5tXjfQF&#10;eb30VB3trh+0e0/LewqB7708WBvsEb0GCOwF9MUT6Zpd68HARZce2HAdBt5Nde9z929/f/Rj3o16&#10;QgghhLSPR58+teF6DFJCnPe5e+26lzZ6N+oJIYQQ0j7uuGdpw/UYtCLETTnz7Pu8G/IxtBAH4SQW&#10;kJpEroFMA4kGAk1vCjPtRgQgT1wToUmkJi00icQkopKW1BjtCSvbaflLS18io2EdRfgS2cvbA6Q6&#10;5P0kgptIbiK66fcN3yuM/hb43SJ7GY/e9a6fuZwybVbDNX7YyI4VtXpbD+8P86eddcV73s36gUyR&#10;gAS0LJKDratIAhEkj5ZrcstCupF8VrLJGaOQ015KrkmleXlsmshi3qMmdTnvdKwYOX0CsXnKLS95&#10;9Pp5iOTjyVtFa5XqSypNXs9Fl8VayOvoe5m5t6T2V9HYgeSxc6zHbmUxkeWsaFfFe0tet/2B9Cay&#10;mN3LWpazgmqz6+vl0a/jpDV53ZPpZC68PZmi7N7ImXNZY5k/EBvvUMFei3OEODxW1Zb77WUHuTfs&#10;CSHl0ad5DXaphxDSHK0IcQv/cPzL3o16QgghhLSPKoS4jZtecW/UE0IIIaR9tC7ENZadeeElK70b&#10;8jFyhbicEEkJ9ehTqqykBCFGTqUqiwhOFhFtgCesiXxDcY1hI7Znvf06FMU6K4nK+1C/1zBf+v3F&#10;9xRjoIcW4nCd9K6fubRNiMPjXHTFYKgKcVpgycEKMLnijeTRco30L+eEJK88yBmjkNPXlJiTSvPy&#10;2DTdPuQjEYZQRk45K3taVE6fQGyecsrrPNgvXh4hNcdFa5XqSyxNy1A5eCe0iVQmYA30+uTSytiB&#10;5LF7HIhMaU8rE7EqJoq28t6KvQ5ip9aJEGn7CZpZ31gemybjRX+0FIf9KnNkT0fMoczeSK2/oAVE&#10;0EyfBhvfG/2Thmtx7UI/uzY3yfCEuMuvHO/esCeElEdOvcOpWF46IYRARLfXYtw4775U7wrvc/dN&#10;yya/592oJ4QQQkj7eOHl0xuuxzvpee2W8D53U4gjhBBCep9H/nRPw/UY4D+fdV+yC8OW/X9XX7vK&#10;uyEfo0ohjsEYyiFCaEyw05KdiHYi2wla/tQCXhG2nCDimiBtW2FUy2wyBkptjKEceC/ItbFVIW7m&#10;BZc0XKdrn9NX1uptPbw/zM+c3enerB/I5Eg4kDuQB8RElBQ5EgiQPFquqULayRmjkNPXlJiTSvPy&#10;2DQrw1gg7pQ9oSynTyA2T2XH1N+EOD2ndm+UAXVa+QnyHIQ7L79HK2MHkscbhz6tTGQsiF/ymu2n&#10;1NUuIU63LQIa+iWvefukmfWN5bFp+veYB9ayrOAooN2cvZFaf0HPm9Tj5RtKUIgjpH+BR0BKNPu4&#10;UkLI4KcVIW7p3Se6N+oJIYQQ0j6qEOK6uta4N+oJIYQQ0j6qFuLmdi7a6t2Qj0EhjsFgMBiMxoAg&#10;KtfGvffe271+5kIhrkVyJJwcESVFjgQCJI+Wa7Tko/NatPRkRZucMQo5fU3NR85c6Tw2DfILXkc/&#10;5CQtAGkJwk0Z+UrI6ROIzVNOeS066fXzkHF5IlbRWqX6kkqT14v6lgPGqvdJzr4SUvuraOxA8njj&#10;0CfhyXtAJC3vNLYq3lvyemxescZIl1POUB4/21PjhGbX18ujX8fcoE0AMU7eZwDfo//NynCaor2R&#10;Wn+A8jJnstYgNr9DhZ5C3Jg5tXlJBh6rqssACnGEVMOHH26p/4Mep8R56YQQAnDdtddi3DjvvlTv&#10;Cu9z972PTHFv1BNCCCGkfbyx+qyG6zHwrt0SFOIIIYSQ/oEnxOGzdvcluzBs2QU33uTekI9BIY7B&#10;YDAYjMbQQty+++7rXj9zuXjOFQ3X6dpn8bW1elsPCnFfo0Ub+zjUHLQEEpNOvNOkgD7VKXUyms5n&#10;pbGcMQpFwgpol7SjxSP9eqvo9vTcarAukseucc6YgDx20pOvNJJPJClN0Vql+pJKE8moytO2coUy&#10;TWp/5exTyRMTpET0kjWQufZOY6vivSWvx/ojc4R+4GeRIb21B82ur5dHvy5jSM1tlcT2RtHvFz1f&#10;eE/KfOFnO/dDiVFjJzRciynEEdJ3LF5yUvc/50NYteoxNw8hhAAKcYQQQsjAgkIcIYQQMjB59rk/&#10;NlyPAYU4BoPBYDD6LvAoYbk2Hnrooe71M5e2CXF7Dh89QlcMhqoQB0S0EVHDyxNDSyCoxysv/bD1&#10;axkvJlohvz5VyabnjhFo+Sc2znZJO1qIQz90Wivo9jC/nvyk16iZMQE5jQzEBCs9v15dRWuV6ksq&#10;TQtKXrvNUCQ3eaTK5OxTyYN6vHQ9v3IaG/D2chXvLSkf64/e07o/MTGz2fX18ujXZV6w/2NlqyS2&#10;zqn1130XgRFrhD7jtdS+GOzs89MjG67Fe43s6KzNSTI8Ic67WU8IIYSQ9uAJcbg+d1+qdwWFOEII&#10;IaR/4Alx3rVbwvvcTSGOEEII6X1aEeK+M3y/3WzZW26/y70hH4NCHIPBYDAYjdHZ2bnr2li1ELfX&#10;qI6uWr2thyfEnX/hEvdm/UAmR8IB+gQ3CDIQNrRkA5kD0pEnXGkJBECKEykFwocWqTyxRstMEHd0&#10;/eiXyHrAE7Fyxwi0lCKnWKGPWuDReWQcOWleHpumx6LBvKL/GL932lcK3Z7UJXVgDbVE5c1RzpiA&#10;lnekDdkjSNP7ICZgFa1Vqi+pNNs39AWvSTr2DeYBextf5XXUI6/p/NgPUl9sLB4pIapo7EDyeO8T&#10;gD5K/SKyxU5jA62+tyQt1h8g/dBfvXyg2fX18ujX9fpb0B/MK+YpVq8H8qJsmb2RWn+ZH7v+ukzZ&#10;9/5ggUIcIYQQMjCx12IKcYQQQkj/xl6TKcQRQggh/Z/X33i24XoMcI+7+5KdDApxDAaDwWBUH3Pm&#10;zNl1bZw8ebJ7/czlinnzG67TFOJKkiPhCJAxkLcILYcALXRo+c0S6wOkKoglXhkBAkpMFikzRuBJ&#10;abpsSsxJpXl5Umkp0EdbNoauMzX/EHLs2tnysTEJWgaKgbnUMqWmaK1SfSnqJ4Suor4BvY90nR6o&#10;z5uzGCkhqmjsQPKkBDT7XtEyp6XV95bkSfVHC5cAEp6XD7SyvjaPTdNznyLVP41uy8PbG7H11697&#10;4qH8TkKdsffOYMYKccNGjllWm49kUIgjhBBC+h57LfZuqnufuynEEUIIIX2DvSaXFeK8m/SEEEII&#10;aS8U4hgMBoPB6F9BIa4fITKMPckoBgQPSFVymhGApAFRByKJJwdZCcSePIXvc04+Qh70E+3psrF2&#10;hbJjhHCCMUo7GKsWfiCsSPtWXkml2TyoX7+OMUibaF+nAQg4+kQvfZJZCisSoX2ZEyDji4k2OWPS&#10;YBzop15jjAttFq2zCHuxtUr1JaefGCPGqvsGsH/RNubHlkntu7Jykshhdu2BrEls7EDypNYe7y/d&#10;Ty+Ppdn3luRP9Ufva3xN1dfq+koeO796TuwexBpi3UU2TNVvKbs3vPVHPimLcjq/oN/D+nfRUGHs&#10;Qcc1XIspxBFCCCEDA3stHjayY3b3pXpXeJ+7H336VPcmPSGEEELay8ixYxuuyd61W4JCHCGEENI/&#10;2LjplYbr8U46xnVfspNBIY7BYDAYjOpj1qxZu66N06ZNc6+fufQU4sag3tZjqAhxvYEV4ogPZBjM&#10;UZHEhHTkyxVjrBDn5SFkMCPvmZhwBrSYxvdJ/6IZIQ5/tNdlgHejnhBCCCHtY+99ftRwLaYQRwgh&#10;hPRvKMQRQgghAw8KcQwGg8Fg9K+YOvXrJ+hdfPHF7vUzlwU33tRwnQa1elsPCnHVQSEuDzmhCl+9&#10;dABpR06johBHSB6y/1PvGb5P+i89hbiOFbV1SgaFOEIIIaTvoRBHCCGEDCx6CnFj5nRfsnsEhThC&#10;CCGkf+AJccNGjZnYfclOxn8OH727LUshjsFgMBiM1mLixIm7ro1XXXWVe/3MxRPiILTX6m4tYM/b&#10;iinENQeFuDzkhDiAOdOPbYQIZx81m3r0pIaiDxnqyPsGMikec6rfO/ger4loikcI67Kk7zngsCkN&#10;1+JmhDjckPdu1BNCCCGkffQU4nreVKcQRwghhPQffjR+XMM1OSXEef8RzbtJTwghhJD20tW1puF6&#10;DFoR4u598GH3hnwMCnEMBoPBYDRGlUIcRHV7rW6bEHfJpUvdm/UkDYW4PCC9aeEthkg9Xh0eFOLI&#10;UAdyqQhvKSDDaRGV9A8oxBFCCCEDk1Fj9zXXcApxhBBCSH/GCnF7jezo7L5k9wj7ufsHPz7AvUlP&#10;CCGEkPbS10Lcd77znV33WCjExWPJkiVh9OjRYfz48d2vMBjNx9VXX11/z33zm9/sfoXBYPSnoBA3&#10;xJgwYeczciGkeOnkayDFYb7w2FQr8OA1yIW5J8MJEHykDso+ZKiC9w1OYZRHEwt4n+E1SKZ4/3ll&#10;Sd9yyFGnN1yLa9fnlbW1SwaFOEIIIaTvsUKcd1OdQhwhhBDSfxg/af+GazKFOEIIIaT/4wlxeLR5&#10;9yU7GYNBiFu9enVdCpI+aP7t3/6tLqA99thj3bn7LiDDSb/6Q38YAzsuueSSXfuJwWD0v6hSiMN1&#10;2V6rcf2u1d1aUIgjhBBC+h4KcYQQQsjApGP/ser6XYNCHCGEENKvoRBHCCGEDEz0NXknQ0eIg1wm&#10;7ac44YQTukv0TUyfPr3eD0h6H3zwQferfRMvvvjirnnB94M5ButYKcQxGP07KMQRQgghJIsjj5vZ&#10;cC0eNmrM2u5LdTQoxBFCCCF9jxXiho0cs6z7Ur0rKMQRQggh/QcrxHnXbgkKcYQQQkj/QV+TdzI0&#10;hTh78try5cvDd7/79VODIKUx0nM22GKwjpVCHIPRv6PdQtyw4WP2qNXdWlCII4QQQvoeCnGEEELI&#10;wGS/gynEEUIIIQOJo048qOGaTCGOEEIIGRjgOqyvy7hOd1+ykzHYhTgETmPDqWySp69PZ+sPMVgl&#10;MS8G61gpxDEY/TuqFOIefeKphus0aJsQd/6FS9yb9YQQQghpD1aIq12fu7ov1dGgEEcIIYT0PRTi&#10;CCGEkIFFK0Ic8G7QE0IIIaT99KUQt8cee+y66d8fhTjEkiVLduXBqXFDPQarJObFYB0rhTgGo38H&#10;hThCCCGEZHHsiec3XIspxBFCCCEDAwpxhBBCyMCipxDXsaL7kt0jKMQRQggh/YeBJMRBSpLHmH7z&#10;m98MJ5xwQkuntuUITzoPRCId48ePr79+9dVX1/uB/khepNl48cUX63n0qXP4Hq+lhCvUj7wYcyxW&#10;r14drRtpqUDbyIf6pR30X/dJ+pAiN2TepH6IhqNHj95VD9bYzrWOds97s2PFONC+zCPAWPC43aI1&#10;wDjQrn5Mr8xDbI/jddSty8jaQeSMBYU4BqN/R7uFOPxNvVZ3a0EhjhBCCOl7KMQRQgghA5MDj9hP&#10;Xb/9m+oU4gghhJD+w0lnHNJwTaYQRwghhAwM9ptwRMM1edjIMXO6L9nJ6G0hDuKS5NVABmo2dJ2e&#10;GIXQeaxkJBKXlZIEHVpCioF6vCgSmNAvLWFZkAYpzAt9Ap6HjLlKIU7mDQKZltksntyGaPe8lx0r&#10;xDSR9GJgDWKSGsp74xCQZqU4zF1qzQHmyZPpKMQxGP07tBC3ePFi9/qZywsvvtRwnQYU4gghhJBB&#10;Qk8hbgz+AZEMCnGEEEJI30MhjhBCCBlYWCFur1EdK7sv2T2CQhwhhBDSfxgoQlxKOIqJRkWRI8RB&#10;lpI8VirTp5oB/AxRCUA6ktDSGfLoepBXy1CQsWykBCbUJWmYo1jdkKesHKXHj3xSFvmkTZTTkTNn&#10;RSHzJkKX7jdOUtNrredRorfmPXesWurDfpHT4DCP6IMW13QfJPR40A9ZJ7QpfdT9Qx1SJ066w1gk&#10;kKbnD9/bSO0nBoPR90Ehrp/zz//8L7sW6NRTL3PzpECZvfce21DPt771v2oXg0NqF5G5bhnNuede&#10;X8+LMlIedaHOyZMvdMv80z/993q+CROmuumaPfccUc+Lr146wBiQLvVKH/7937+b1QYhhJBqOOmU&#10;SxquxaD2OzkZFOIIIYSQvuewoxuFOO+mOoU4QgghpP9w5uzDGq7JFOIIIYSQgcGhx/6s4Zq818iO&#10;zu5LdjJaFeI++uijUkKc5PPwpKmcKBKeICZp8ciGFpnwvRe6jlQeeZyn105KYBL5yROfELp9K32J&#10;bIU2RcLSIUKWjqI5ywk9b5DJbBTNR2/Ne85YdZ7YPoSkJnnseCGzSZon5aGPKKOlTxk/xuetG0JL&#10;cfZxrRTiGIz+HVUKcaveXt1wnd5Jx7ha3a3FUBXiIJzVhr+LlDRmufTS2+rCmC7vAdnNKw+Q5pXR&#10;oA20pctJ2rhxxza87iF9xFcvHeKd1BfDK0cIIaR6+pMQd938CWHBwkNqH1yOCLfcdlS4486jw13L&#10;j61xTFh2x9Hh5lsnhsU3HRFuuPHw0FnL59VBCCGEDBUoxBFCCCEDCyvEDRs1Zm33JbtHUIgjhBBC&#10;+g9VCnG33H6Xe0Pe4+OPP+63J8RBMoKoJLIU0KdwSYiYhHwxMUmfUubVIaHzWfkqJjChzVgZHdJP&#10;Lc1BkpKynogVi9iclQnpj5XtdOgxW6Grt+Y9Z6z6dLhYXxA6nw55HXJbTuh1iz1iF6HzWVGPQhyD&#10;0b+DQlw/Rk5P01j5zAN57IluOEkNJ60BfK9lOe/kOS2i4WQ2yHFSftKkGQ3pVnyLve6REuLQjtSF&#10;ucBpdZKGfqBP6JsuQwghpH2ccsbvGq7F4DvD99ut9ns6Gu0Q4q67bkJYdMNh4dalR4WHHjkhPPP8&#10;KeHl184Iq9aeFd5aPS385dXTwpPPTAkP/XFyuPveY8Ittx4Z5i841K2LEEIIGQpYIc67qU4hjhBC&#10;COk/nPeriQ3X5JQQt9eofabqvMC7QU8IIYSQ9mOFuGEjxyzrvmQno7eFOC0naVJSVVHE6tRAVIoJ&#10;dyJm4WsscuUjfYqYFdRideT0X6P7qU8mi8leXug2y5TTkTNvqXZ6a95zxprTFwTqlrrQpoSc0ldU&#10;XiKnTxJyQp49PZBCHIPRv6NKIe6dLe82XKdB7bP6xFrdrYX3h/nBLsRBaqsNvY6WzyCJefk1WnZD&#10;WS8PwAl0EMqsEAeRTcpDrItJeHjkKtLbJcSJ1IevNo0QQkjvU4UQB7wb9WVYuOiwcOddR4c/PnZi&#10;WPmXX4S31kwLG7ecE7Z9emHY9vEFYf3mmeH1t84IL778i/D0cyeHh1ZMDrfdPiksuuHQcN11OC1u&#10;fI86CSGEkMHMpBN+0nAtphBHCCGE9G8oxBFCCCEDk+OnntJwTc4V4vB3dl0OlBHiPvnkk1JCHAIC&#10;kAhEkH1wulbqVK6i0HKRBe3gBC57OpmOHBlK8niP5LQhbUNY0hETmPTpZjnoE8V0nWXmsIyQFYuc&#10;eUu101vznjNWScdeTEWsLnktddqbDr1uqb2JiM1TbD8xGIz+ERTi+ik4xa029LqwBiENp7zh5yI5&#10;DHIb8oGcR6zi1DUtvOF7tInyaDMmwwlI1ye3AWm/VSGuTD2EEELaTzNCnPeHee9GfRluvvXI8PSf&#10;p4bV66aHDZvPDhvfmRk2vzcr/PVv59U4N2x695ywofba+lra2o0zwutvnRmefvbkcP+Dx4c/3HJk&#10;/XGrXr2Dna1b19f/8YevNu2VV+8LH364Jbz33ls90nJYvOSk8NnnH9Xr37T5ZTfPYOX5F5aGjz/e&#10;Wh87At8/9PDv3Lykb9mx4/P6Gq1a9ZibngJrKmHXFz/j/YP31p13zW5Iawb0D4H+eulDkdQcI00C&#10;3+u0Vkj9zsyhlf3WDijEEUIIIQMLK8TtNaqjq/uS3SMoxBFCCCH9h74S4j799NPSQlzVkSM8paK3&#10;xKyYwKRPHSvb/2alqFbnDJEzb6l2emvec8Yq6a0KcbbtWOh1oxDHYAzOaLcQh8/jtbpbi6EoxMnp&#10;aHLCGx4Pip+BFdA0+jGrqXwxRMQDOafReUj5qoQ4L60IiIGYC5H78BU/29PwCCGE5HPmjKsbrsUA&#10;R7nXfs9Go0oh7tr5E8Ki6w8N99x/XHh91Znhsx0Xhy/+fkldgnv3g9nhnb/OqoPv8dq2Ty4MH39x&#10;Udj07szw2ltnhKeeOTnccffR4br5OCXOb6MKIGSICIGvkMW8fL0NZBIEvsbSEE8+uaBHehEoI+HV&#10;P1iBDOfFunXPufk1sbIISHWQE1NyVRlZp0iw0kJfjhQp+7tK+ag3kMhZH4ve4/Y9gvokmqnbouvz&#10;0ociqTlOrU0rpH5n5iBRxZ6oAivEeTfVvc/d9z4yxb1JTwghhJD28usrJzVckynEEUIIIQODnkJc&#10;x4ruS3YyWo15HH8AAP/0SURBVBXiPvvssyEhxOHkL2kjFfrRnfYRrTGBqZX+69PlypRtdc4QOfOW&#10;aqe35j1nrLmPPNXyohbZIOzllJco86hbeWSqlfUoxDEY/Tu0EHfVVVe519Ay2Gt124S4mbM73Zv1&#10;gwGIbLVh18FjTe1rKdFMBLBmHzOqhbqi0+Fi5PRTSAlxui9l5DzklXIeXhlCCCHF9LUQd8Piw8Nd&#10;y48JTz4zJby9blr46LNfho8/vyi8t/XcsOX9RiEOr3V9dEHY/ukv6yfGvbHqrPDscyeHu+85NnR2&#10;tveEOJyQpqO/nA6UkjukzzjlzQp8kJ4kYgKUPiGuv4y3NxCRDF9FXsMcxeZJowWfVOD0Pq98GVmn&#10;SLCyEWtTkKhSPuoNJJoRlFLSlciNEAWrmJOi9RqKpOY4tTatUOY95iHRX4S4n00pFuKGDR+zR2Me&#10;CnGEEEJIX9GqENfVtca9SU8IIYSQ9nLa2Wc3XJN7S4j7/PPPh4QQp0UoyFexiAlTiJjAhHzyeu4j&#10;NyW0CIa2c6PVOUPIvEEmi4UW2uwjXXtr3nPGOn78+Ho65LNUSD57Yl1ueYncdUuJfhTiGIz+HVOn&#10;fn0gGIW4foKcBodHlurX5dQ4+7owffrcXYuJOrw8RbQq1AHpA063w4lsKWRMnhCnxyN5UMbms8gY&#10;0L6ckge5D6JcbO4IIYQU09dC3G3LJoXHnpoSXn7tjLBu04y69PZ+13ndItw5PZB0PD71rTXTwnMv&#10;nhruue+40LmgvSfEyelZEpClvHy9TbNyR7tkk8GARDMSYEx6glwIIU3vI8hAOg8os565Qpy0CbnR&#10;yydIDLT9IFG1EFc1FOLK0a61afZ3piBBIY4QQgghzVBGiBs2aszExrwU4gghhJC+okohbsGNN7k3&#10;4z2++OKLISHEaWkN8pMXEL5SJ4WlBCY5oQxClRXHikLaxFevLKQqK3Bp0QqnlTUTMm/Ae9Qo+iKn&#10;m3nz0VvznjNWfdJeTFDT9WAtdeSUxxzptKJ1Q2jRzuahEMdg9O/QQtzFF1/sXkPLYK/VlQhx3h/m&#10;B7MQB2mrNuzaxaJRatOPM4UsptMAZDFJzzmdzUPKN/OYUkHqKEOsPUhsIrjpvDExTs9BsyfcEUII&#10;8fGEOFyja79zo+EJcZdfOd69WZ/immsPDvfce1x45c3Tw4bNM8Pm92bVT4X7+lGp54QtH+B0uJ2n&#10;xOFnOSlu83vnhPWbzg6vvnlGeODhE0LnwvYJcfoxmHj0pETq0Ze9RbNyR2+KQAMJiGsSzcxLkfSE&#10;U+YkPKmyzHrmCnE6X0rikRho+0GiGUGpN98HRetFGmnX2jT7O1OQaGa/tQMKcYQQQsjAgkIcIYQQ&#10;MjChELez/XYJcQh92hlEJQhSEhCtRGoDOk0iJTDpR2hCkIJgpQUojAvtQ4yydevT0TAGSUd5tClS&#10;mg0pg34jL7CnkKVC5k3AnMjpbOiDng9vXXpr3hGSnhqrrgfzJmORvDKPnsCGn0VwQz6sieTB2GWs&#10;WqTTa462tayHcYgMBzzJjkIcg9G/g0JcP0MLXVZ6g+AlaTj9TKeBwSjEAZzyhvF6ZeQEOEGfKgeB&#10;UKcRQghpjWaEOO8P880IcddeNyE8+PAJYc2GGeGTLy8OW7fJyXBfC3AWCHPyKNUt788Kq9fPCH98&#10;/MSwYOFhbhtVsHXr+vo/sCBQQIKTwCNJvfy9SbNyR2+KQAOJVuclR3rSUqV9lG2Z9SxqSwL5pF6c&#10;FmfbtPkH2n6QaEZQ6s33Qc7eIF/TrrVp9nemINHMfmsHFOIIIYSQgUVPIW4M/t7pBoU4QgghpP/Q&#10;rBCH0OVAGSHuyy+/HDJCHAQnLSl5QIaKSWVFAhPK6bpi2EeCInD6mJdX8PqkRTNNbsi8QebSMplF&#10;S2A6emveETljtRKfB6S3mHSH10Wa80DdVqTTeyIG+u4FhTgGo3/HrFmzdr1HKcT1A0T8ij2ydM89&#10;R9TTcWqaTetvQlxOH9BObnsixukT4/C9FQflMazSByvNEUIIaQ5ce+31uLeEOJwQd+8Dx4c3Vp0V&#10;tvwVJ8HtlN1wAhy+bnxnZli78eywZuOMsHHLzLoQtzPPzrzbP72w9vo54fGnfh4WLjrUbaNV9Ilh&#10;eOQlXsPJXoiiR1DikZuIlHghsh2+eukAMojkQ6BdkTFScoe0DwnKvlY2vMeHSp8kDfMjc4PA995j&#10;QTVI12PzQvc/F5zEBvEMcyWB7/GaJ9cUzUtqfTQ50pPOY/tSRtYpaksC+bRcFBM5JcrKR7J+Ug5r&#10;KuNAYB/IfvWQR7rG2tWn6uF7my4hbeCrXnf0L1a3nhebp6hdAEEW86nbw9jld4XGWy/dRuq9okXc&#10;WF8sGA/2u14LBNYDfbZipKwj0vXrFsmn96jMA16T9UTIey7WZ7wuYfOk1gZgjtEX/TsHgT54v68E&#10;mQ/pP+Zd14HvvfUTJFJ7GuWlHQn8nKq3WZoV4pbefaJ7k54QQggh7eWqzmMbrsmg+5LdIyjEEUII&#10;If0HK8TVPn+v7L5kF0ZjuXJC3I4dO8KIETvvIYO+EOIgIkn7MVkpFSJb4WtOQLxCXi0/QXaCuOTJ&#10;ahI5AhPKQ26T08YA2oE0VlQ/+iWSmZRDXSlJEH3SJ5vlzgHCCm26LoC6Um331rxL5IwVwhpOY9Pz&#10;CPCzPvUtFt76oY+pspgjWwbfF60d6kRejIXBYPS/0ELctGnT3GtoGey1etjIjtm1uluLoSTEiewV&#10;O91s8uQLdy0YHieq0wa7ECdAcBMx0CuLk/S0FCd57HwRQggpR18LcbffdUx49oVTwptrpoX1W2bW&#10;Zbit286vC28bNp0d3nj7rPDGqjPDmg1n14W4nbLcrPDXv50bPv3yorDp3XPCE09PCYsWteeEOAgM&#10;EiKQ6Nc8UUMQAUbECw8rZ1i0RGMD4oaIHF55T8BpVojz5A/pu4gwsYhJICiXE2WFuNScSaBtXaav&#10;hDj72N2i/aApaktC1k5EJoRtV+dP7WkP6TPEIn36nY3YHErE2i0SoySwplaO0uHtw1TdRe1C4NLy&#10;lw3Mhc4fWy+pI7XH9HsldsKfBn0rCrSr69LvAZTX9QlaENbvodQ8SHhz2Oz85/wei72H9HsstV/t&#10;+gkS8r7SYH6k/ljE6m2WnkJcz5vq/zl89O42D4U4QgghpG+gEEcIIYQMTM696MKGa/JQEuIGSgy2&#10;E72sEMdgMBiMr6NqIW7U2AMartWVCHHeH+bx2DbvZv1ABsJWbbjZQArT5fUjVZsV2rRI5qXnIOXb&#10;JcQJuq/eKXCYT6lfsHNGCCEkn2aEuNoH/nG2TLNC3C1LJ4ZHHj0xvPjSqWHNxunhgw/PC10fX1CX&#10;3tZvnhlWrZ0e3nx7Wli3SQtxO0+S+9v288P62uuPPnFS206IE8FGSwxaCknJDSLAxMQMoOUMm6aF&#10;EPRDJCZ81XITwiufEqZSsolGwpM/rPiBPkkfUaeWk6yApdvHHHpjs8JODlpWRP+02GNPgvJOkcqd&#10;lxipORekDxifTZM5RR60nwLzJmHrARKydphbCU++kkDdNi2F9FmLXTLvej0R3j6SiLWL1yW8PDbQ&#10;huwn5NdrrveDpEvYulNp2JcyXnzVp7thD0qabi+2N3JkNzmBLlemQrvoA+rWfUf9uh9aatO/1/Tr&#10;Gv3+kjkGaAt9wzzoMei5wDrI60Kz84/3LuYEX/Uc2/2m10Xwfm9JHba89ztCwtvLUhZjxthlLlCv&#10;nnevbLNMOY1CHCGEEDKQKCPEeZ+7N256xb1JTwghhJD20poQ19Gly14xb757M97j73//O4W4zJDH&#10;duL0r8EQFOIYDAYjHnPmzNl1baQQ18foU89ygQSn69CSmE3LYfToQ3aVx2l0Xp4ipHy7hTjUL23h&#10;dDwvD7AnyjV7eh4hhAx1qhLifnvZQe7N+iJuWHx4uPPuY8KTT08Jb689K3R9dEHY9skF4Z2/zgqb&#10;35tVf1Qq2PzuzkemvrcVj1SdXfv5nLDxnbPDG6vPDA+tmBwWLDzErb8VIDFIWLFCiw/6dY0IEBAw&#10;vHQgcoaXR4tGniijT0nyymsBw6alZBONhCdwSP8Qnqij24AcotNEAoLUol8XRKLxhJQYmCMp582H&#10;5BG5yGs7d15ipOYc6Pq9OdNzWiZsPUBCr52Wr+z4JMqOu2gfFM25RKxdPWdeHh12nwHIThK2f6m6&#10;U2l6HkWm0uB3BwQwfJXXYntD98/b7zrdE7yaQdbMvk/k91rsfSnpntwWo9nfQ6m0FPr3QDO/t3L3&#10;q61brxO+12mCzEXqulGWHCHuO8P3283mWXTzCe5NekIIIYS0FwpxhBBCyMCEQlz/DjxKUx71mfuI&#10;0P4eFOIYDAYjHlqImzx5snsNLUNbhDjvD/OnnPE792b9QEWf7hZ7XKqgH5tq82pJDHKbTvNAu1qc&#10;049dhVyn88awp7NJ+d4U4rwT4iwiCzbTFiGEEF+I23P46BG1363RqFKIg8h20x+OCPc/cFx44cVT&#10;w5r108PGd8+pnxD3wbbz6yfGvd91Xv1kODxGFY9ThTS3acvM+qNUn/rz1HDX3ceEzgXVC3EpeQFi&#10;ioQn4QApb6UTTUxMgZQhETutCcjpV14b0j7CpuXKJhJW/gDS95QcI2HLx8Zt0712Y2AdJFLikM5X&#10;lYQjxOYcYhRkJxF18FXLUoKMu2zYeoCEnkMtC9m5lyg7bulzah/oebHjloi1W7QmEqn3ifTRCk6p&#10;ulNpIkxBENOvp4jtDSDvY28ORb6rUqKK9UW/N6zUpX8nlRFVm53jVFoRst52j+u0Vverfl8BWSev&#10;TUGPKSbNlYVCHCGEEDKw8IQ4XKu7L9sN4X3ufv2NZ92b9IQQQghpLxTi+mfIqXCaxx77+j+RD+Sg&#10;EMdgMBjx6Ozs3PV7n0JcHwKxrTbUOjly1z/903+v57XSGuQ2SQMpuQ7yG/LaPCKpgb33Hhs9aQ79&#10;RPv2MaRSthUhDn3Ca9Onz214XdDj/Od//hc3jyXWFiGEkDyqEuIuuvRA92Z9EXhs6vwFh4QlSw4P&#10;d99zbHj0yZPC66vOCO9/eF7YEX4VPv78ovDhxxfUJTjwxT8urf1T5zdhw+azw1PPTAnL7jw6XH/D&#10;4fV6vPpbQaSXmGgjYlFMihGpIiVIxMSNXBkkVh6kBJzc+iWs/AFSbQuSx5bHyUwIT0rR0lYZ8SY1&#10;Xg1EFAlbf+68xNB9iAX2VUyGyZlToWi8EnbudTktc0qUHXdOn1PzKhFrN1UWSNhxamJzlao7lqbF&#10;sFSbllgfAPahhBWwin4PNUOsL/q9Z9vTshzy6bQUzcxxUVoRqT1Z1X61ay/15kbZMcWgEEcIIYQM&#10;LMoIcfhcbvNSiCOEEEL6BivEDRs1Zm33JbswrBB38Zwr3JvxHv/4xz8oxCViyZIlu+bmu9/9bli+&#10;fHl3ysAPnHSHcQ2WE+8YDAajytBC3KGHHupeQ8swct/9/6Gv1RTiMpHTy3JPZdOPNrUCnT7lTeqE&#10;YIbXgchmkj5p0oyG8laqg3CG9qQ88kOUk3R8r8vL660Icfr0Nwh3aFPaR190//SjXVEOdSG/iHz4&#10;ijFLfisACqhH6m32cbGEEDKYOf/CJQ3XYlAkxHl/mG9WiBMgtC1ceGhYuuyo8PSzJ4e1G2aELR/M&#10;Cpu2nBM21tiER6Ti0anvnVN/lOprb54R7nng+DB/waFufa2ipamYvCQnAiG8075EOkmJFzE5I1cG&#10;iZUHKQEnt34JK3+AVNuC5LHldfuQ42T+8FUey4jw5jWGtGVPAfOQSPUrNS8x9JzbQP8gPqVkopw5&#10;FVLrCyS8tRPJSs+VRNlx5/Q5Na8SsXZTZYGEN04hNlepumNp+vUyjzBNrVdMssv5PZQCfcX7S06g&#10;88KWEVnVnkgn78uYAIz3Kn4nyn7wIneOi9IESHroj+xnG96erGq/2v0W64MXmNsyv9tSeEKcvanu&#10;fe7GzXjvJj0hhBBC2gukdHtdphBHCCGE9H9aEeKQV5ctI8QhKMQxGAwGg9EYy5Yt23VtrEKIG/Gj&#10;n/5dX6uHjRwzp1Z3a+H9Yf6kUy5xb9YPRHAKWm2YdWKylkWX8R6NCnFMS2MxYo9VldPfvDIayGf2&#10;BDlJa0WIQ/sQ8aSuGFbm0yKdR0o41GVz+k4IIUON/iLEAUhxi64/LCxffmx44qkp4cWXTg0vv3Za&#10;ePWNM8Irr58e/vLKL8JzK08Jjz/183D/A8eHJX84Isy9ZoJbV6uIFJIb3klmIsCkxIuYnJEjg4CU&#10;3JEScHLrl7DyB0i1LUgeWx4CUJFAok8vy0Ha0pJXDAnbr9x5iZGa8xxy5lQoakvCWzt92pfMs0TZ&#10;cef0OTWvErF2U2WBhDdOITZXqbpjaakyKYrWS4QzvX9Fus3Z0xq8v2RdisKW1Y+DFuFPC3ve+1LL&#10;wanIneOiNMiBOQKatyer2q92v8nJeql628Fp0/dvuBYD76a6zUMhjhBCCOkbWhXinn3uj+5NekII&#10;IYS0l99cflnDNbkVIW7mBZe4N+MtH320828fFOIYDAaDwWiMqoW4Hx10+A59ra5EiEPoSsFgEuLk&#10;9DIIbDmPSxVEWLMymSAno4l0JqAcRLictiCc4YQ2e2IcToWDdOeVkbw5ch/qRl772FXBaz/V/9iY&#10;8XNRf3AqnOTnCXGEENKTqoS42Rcc4N6sb4Ybbjw83Hb7UWH5/ceFFX+cHB574qTw2JM/Dw+vmBzu&#10;Wn5sWLzk8NDZeUi49rr2yHBA5Ibc8B79KQJMSpCIyRkpIUMTKw9SAk5u/RJW/gCptgXJY8uLQAPx&#10;EMh84yvEoFSfYmgpx0sXINNIWLknd15ipOY8h5w5FYrakvDWDkhbmHMtPJUdd06fU/MqEWs3VRZI&#10;xMYJYnOVqjuWhpO9JFJtWorWS4to2KN4TaSvMo8OBrotvL+kPi9dvy5IuyiLn0WgxF6xefU8YQ/Y&#10;U/OameOiNL13MRZ72lpqT6bShFTbEnbtc+ptBxTiCCGEkIFFGSFu2PAxe9i8FOIIIYSQvqEVIW6v&#10;UR0rddlcIe7jjz+u/62BQhyDwWAwGI2hhbh9993XvY6WgUIcIYQQMkhpRojz/jBfpRB33fyDw8JF&#10;h4bFNx0Rblk6Mdx2+6Q6Ny89Ktyw+PBw3XWHuOWqwhNTYmgJq6x0AuRRhlaiyJVuYuVBqv2U8KGR&#10;8PqQI4BIHlteBLhU22WBNCSRWjedz4o0ufMSI2fNU+TMqVDUloS3dkCPVddVdtzSZ08KFfT7BPKd&#10;TpOI9VO/H72+SaANmybI+8T2MbXeqTTZv7HHh3rk7A2pF2PR7Zd9vKaMN9a/or7IeokAJ6fXiSCX&#10;ymtpdo5jaVrejImCqfdRu/Yr5kbClmknzQpxv75yknuTnhBCCCHthUIcIYQQMjChEMdgMBgMRv+J&#10;FStWVCrEdRxw2Bf6Wt02Ie7YE893b9YTQgghpD30RyFuXv0xqBPCdfMnhGuunVA/CU6+x2NVd6bb&#10;MtXhPbowBsQrCSvk6MdSWtkDaDHLEzfklCZ89QQLLWB45VPSi+63PdFJI+HJSinpRJA8tryIPxhD&#10;VfKIlghjIhDaknn1+p0SdHIoEo2KyJlToagtCW/tBNnrsh6IsuOWPiM8YQpzLvV740qtB9ZU5C6E&#10;1zcd3uM89ZrauUitdypNv/fwXtJpAGNGv3Vazt7Qcpm0kRK3Yuj3l5cu647w0tFvCf17zPtdUfT7&#10;Uv+eKzPHsTTbN10GFL3HW92vEnYvaXEz9Z6rmnwhrqNL56EQRwghhPQNnhD3n8NH7959yW4IvG7z&#10;PvKne9yb9IQQQghpL1UKcadMm+XejLdQiGMwGAwGww8txO29997udbQMbRTiGv8wTyGOEEII6V0u&#10;uXTpruvw13SM675Uu+H9YX7GrP3dm/UDDcgQElZwiyHCjhVCdF0QLETqgOSjhRSEJ15oEQX55ZQo&#10;CCE55YsEHAn0H30FVjCR8AQPEUu8tgXJY8vrE5hsoAyASIM+6XJF6HoxR5grSYOwouUqnSakBJ0c&#10;iua8iJw5FXLX11s7QUuEEmXHLX2WsHtVz7lXt14zCEqy5tiLIiZJeOVtYLxSB9Zc6sBXu59S651K&#10;w7gk8L7Xohj6LUKWLpezN3S9Ep70VYT8fsCYdXn7HkDochoZg/7q5dPCm557jMX+niozx6k0WVOM&#10;RdLQrt0z3vuo1f0q4b2vdFnsZdQnaWgD/UP7aFOXawUKcYQQQsjAYundJzZctwGFOEIIIaT/Y4U4&#10;fM7uvmQXxrCRHSt02Vwh7pNPPqn/jUELcRAAGAwGg8EY6gFBXK6NVQhx++x/yGf6Wr3XyI7OWt2t&#10;h/3D/JHHzXRv1hNCCCGkPVQlxOGmvHezfqCh5Q4tM6TQZbQYAyBAxAJihMhAnrgB5JQoLyBVpMoX&#10;CTgxKU3nkfDkDxFLYn0HkseWh7yixZVYII/IKjmgXivh2LCSkCYl4eRQNOdF5MypUNSWhLd2GrsP&#10;yo5b+gwZyMpWOmL9wJrFyslaSaQEJbwPU3vKvjdBar1TaSD13kbY08dy94adCxHMyoDfXam50G14&#10;5YH+vYbAPvHypdYPodPKzHEqrWjupU3vfST7FeNJ9Ts2XglvPxfNhYR3Ml2zeEKcd1Md/3Nd5znv&#10;VxPdm/SEEEIIaS9lhDhI7jbvHfcsdW/SE0IIIaS99IUQ9+mnn9b/jkAhjsFgMBiMxli7du2ua+O3&#10;v/1t9zpahp8cNukjfa2uTIizf5inEEcIIYT0Ls0Icd4f5geLECcyFaQGL90DwpbIJ54kYU9lwvci&#10;ZIl0kjoxCHlj5UUM8cpL3eibTRPQXzkBCvlsPTIu1KVfBzJXqb5LHltexoOvVviBzIP80naq/hiY&#10;F5STOhBoC5JLSrBDmgT64eVJkTPnKXLmVChqK7V2Gsy/SEIoU3bcUlbkI72nEBiLFZos6AMkIekz&#10;vuJnWSt53eubpCFvrJ7YmPC6hM2TShMwLrvP8LO8PzW5e0PyIXL2QQzMh54LhKyFjC3VF5SXsvgq&#10;a+GBebfrrn9PST12HqUfiDJpQOZeAm3InpE59OZPykjfvP3qyZOCjCX1vkLd8r6QwHygbm9vtEKz&#10;QtyZsw9zb9ITQgghpL1QiCOEEEIGJq0JcWOW6bLHTjnNvRlv+eyzz+p/U6AQx2AwGAxGY2gh7lvf&#10;+pZ7HS3Df/10wif6Wl3lCXENz00/5KjT3Zv1hBBCCGkP51+45OsL/C7KC3FTTvuJe7OeEAtkEwkr&#10;w2nk5DIRrUj/xApxpDUgekmkxCxCQK4QZz93U4gjhBBC+oZFN5/QcN0GZYS4G29e5N6kJ4QQQkh7&#10;sUIc/uNZ9yW7MKwQd8gxk92b8ZbPP9/5n/IoxDEYDAaD0RhdXV2VCnH/d9zBDSfE1a7dc2p1tx4U&#10;4gghhJC+pRkhDmHLUIgjueBEJgkvXaBoNTDgOlULTjlD4NQyL50QjSfE4eZ596V6V9jP3SedcYh7&#10;k54QQggh7aWMEIeweSnEEUIIIX3DJXN+/bm+JpcR4nDKjC5LIY7BYDAYjNZCC3Hf+MY33OtoGXpN&#10;iDvgsCnuzXpCCCGEtAdPiNtz+OgR3ZfqaNgyFOJILvqEODxC0D5O0z4KsepHDJJqoRBXHXjcpwRO&#10;SPTyEKLJFeKGjexYofNQiCOEEEL6Bk+I867dEnuN6ujSeefOn+vepCeEEEJIe/nlby7dpq/JJU+I&#10;m6PLjj34SPdmvOWLL76o/42IQhyDwWAwGD1Dro39Woizf5inEEcIIYT0Ls0LcY1/mP/ZFApxJB85&#10;BasoKAX1fyjEVYc+PRFynJeHEA1kdH0tBhTiCCGEkP4LhThCCCFkYDL9vNmNN8opxDEYDAaD0ach&#10;10bgXUfL8IP9DmoU39slxI096Dj3Zj0hhBBC2gOFONJX4OQ3nASHR0Pq+PjjrXVh7qGHf+eWI/0L&#10;Oc0PX710kg/2PueSlMET4rov0w1R+wC/TOc56sSD3Jv0hBBCCGkvV3Ue23DdBmWEuN9cfpl7k54Q&#10;Qggh7cUKcbVr9Mruy3VhWCFu1NgD3Jvxli+//LL+dyIKcQwGg8Fg9IzddtutMiFu745xjY9Gr06I&#10;a/zDPIU4QgghpHeZObtz13VYGDZ8zB7dl+po2D/MTzqBQhwhhBDSmzQrxI2ftL97k54QQggh7aWs&#10;EIfTZ3ReCnGEEEJI33DmOTO36mtyOSGuY7YuSyGOwWAwGIzWQwtxGzdudK+lufQU4jpm1+ptPfYa&#10;2dGpK97np0e6N+sJIYQQ0h6aFeLsH+YPO3o/92Y9IYQQQtpDrhBnP3dTiCOEEEL6Bk+I675cu4Gb&#10;7TrvuRdd6N6kJ4QQQkh7qVKIA97NeMuOHTvqN/wpxDEYDAaD0TN23333XdfHVoW47+2z32f6Ok0h&#10;jhBCCBkktHBCXMMf5inEEUIIIb1LiRPiGh7P8qPx49yb9IQQQghpLxTiCCGEkIHJL2bM2KKvyWWE&#10;uL1G7TO1sSyFOAaDwWAwWo099thj1/XxlVdeca+lubRNiOv53PQJ7s16QgghhLSHqoS4A4+gEEcI&#10;IYT0JsedNK7hgzrovkw3BIU4QgghpH9wxbVHf6qvyaD7cu3GsJEdK3Te084+271JTwghhJD28rOp&#10;v3hfX5NbFeLe2fKue0Ne89VXX9Vv+FOIYzAYDAajZ2gh7vHHH3evpbnY63TbhLjvjf6Je7OeEEII&#10;Ie3hzBlXN1zkwX8OH71796U6GvYP8xTiCCGEkN7lmBPHdelr8V6jOrq6L9MNYT93jxw71r1JTwgh&#10;hJD2csnvjsqS2SUoxBFCCCH9AyvE4RrdfbkujGGjxkzUZQGFuOrjxRdf3DVP+H6gxwcffBDGjx8f&#10;Ro8eHR577LHuVwdfDJVxMhiM6kNfH6sW4iCz1+ptPSjEEUIIIX0LhThCCCFkYJIvxHXM1vkoxBFC&#10;CCF9wy9/e1TWtVvCfu4+fuop7k16QgghhLSXY35+8jv6mlxGiKtd78fpsiBHiPv73/9ev+E/bty4&#10;XTf8+4MQB2nphBNOCP/2b/+2q1/f/e53w/Tp0/tUREO/pD99JVZB7sLcSD9Wr17dnVI+9Hggiw3W&#10;GCrjZDAY1YcW4pYvX+5eS3Ox1+kKhbjGP8xTiCOEEEJ6l+aFuDHLdJn9Dh7r3qwfiCxeclLYunV9&#10;+PDDLeHJJxe4eVoFbbz33lthx47P6/9ww9dNm1928xIfzOFnn39Unz/OHSFkKNKsEAe8m/SEEEII&#10;aS/lhbjGz90U4gghhJC+oWohbtXbq90b8pr+JsRB9oKwJH2JATGuL6KvhTjIGN/85jcb5qKVfkCm&#10;k/quvvrq7leri3bWXSbaPU5GdcF1YvS3GJBCHPBu1hNCCCGkPVCI6wkkOAlIcV6eVvn4463dLTSG&#10;l5f49MY6EUJIf+aI48Zt09fiYaPGrO2+TDcEPsDrfMC7SU8IIYSQ9lJWiNtrZEenzn/osT9zb9IT&#10;QgghpL2MP+qYLfqa3KoQ98KLL7k35DX9SYiDDIdT4KQfOB0OUgyEL4DvtSzXF0Ia2uyL9iF0xUTB&#10;vpiH3JA+XnLJJd2vMBjp4J5h9LfQ18dWhDic2mqv03jcea3e1sP7w7x3s54QQggh7eGUM37XcB0G&#10;OUKc/cN8x/6DR4i7867Zu05uW7XqMTdPKzz/wtJ63QipH6ed4XWbd6jy0MO/656hUP/ey6NPiGvH&#10;OhFCSH/nsGP2+6u+FpcR4t5YfZZ7o54QQggh7eOs8w7PunZL2M/d+004wr1JTwghhJD20lOIG7Os&#10;+3JdGHsOHz1ClwUDTYjTwhceCRoLOSVtKAlxcmoWJMElS5bUZaG+6EfZkD5SbmLkBvcMo7/FxIkT&#10;d+3LxYsXu9fSHNoqxKEiW/mcy5a7N+wJIYQQUj2eEPed4fvt1n2pjkbtQ/8cXWbU2H3dm/WkJ+vW&#10;PVf/xxqkOy+dNJ7+1q7H1hJCyEAnV4jzPndTiCOEEEJ6n7JCnP3cTSGOEEII6RuqFuIefeIp96a8&#10;5h//+Ef9b6N9LcRp0Wz8+PHdr8YDJ6bhRLnejr4S4iDCaUGIQhxjsAb3DKO/hRbirrrqKvdamgOF&#10;OEIIIWQQQyGu99m0+eX6P9b4mM84FOIIIaSY8Uf8eKu+FsduqruPZ3n5dPdGPSGEEELaR6tC3A9+&#10;fIB7k54QQggh7eXAIyZt1NfkMkLcsOFj9tBlQTuFOEhY8nhTnF6GE91aEdQgwUn7kN3KhJyeNn36&#10;9O5X/IBUhnx49KoO9Buv6ce14nsIOXZMOUIcyqCsrg99xBirkteqFOJk/uy8vPjii7v6jsC6YJ0l&#10;P7566y7lUnh9xmuYI6kfxNZBQvYN+o486I+UtWJls+MUGVH3Aaf06fVFW6inmZB2UB7ISYl4He3a&#10;QNv28bn4Ga/HQtqQsPsT5XHyYlEgj7dGeO+l3rdFY8RrUl+Mqt47DEbZmDp16q592G+FOO8P85dc&#10;utS9YU8IIYSQ6jnplEsarsOgGSFu731+5N6sJz2BCIegEBeHQhwhhBRzwOE/bvgf6rXP1yu7L9MN&#10;4X3ufvTpU90b9YQQQghpH1POOiRLZpcYNrJjts5PIY4QQgjpG8YefGiD1I7HmndfrgvjP4eP3r2h&#10;bI17H3zYvSmvkSgjxEFMkbwaiDHNhggzzdQhUhTqiAVEHumnFn8gOWkxyII0LULpsXuCDsQeEe9i&#10;pMSl3IBEJPW1KgpJPVa+0mNFn7UEpbFz1IzcBKHKyyfYNiRErEJ5bx11yGtF45TvLWgLfZD95tHM&#10;WkhZiHp2jtGmBNqW8caAyOeFpENaS+13KwtKFI0boO+xvS15YmOkEMfoz6GFuIsvvti9luaw6u3V&#10;DdfonXSMq9Xbenh/mD//wiXuDXtCCCGEVM/kky/61F6Luy/TybB/mB9sQhweZ4pYteqxaNpDD/8u&#10;LF5yUv0RqJ99/lH9NcTWrevrabFysbBl8PN7773VUDe+x2spSQztI9B39A/5JZCm86bGgjSUvfOu&#10;2bvyo12pH/Hxx1vD8y8sbahTg/yoQyRACZTDSXloU+dHn5sJb52EZuex2XUmhJDeYr/xP35fX4tj&#10;Qpz7eBYKcYQQQkivc9RJB2VduyXs527g3aQnhBBCSHv54bgDtzVck1sU4m65/S73prxGoowQlxJj&#10;mpG9tAxTdMqbFzHZTYecHAZZTYcWjOSUMQTkGxGHtCSk5Skr6KCsyHAoq/uCMep5a1Xu6W0hDmjh&#10;CWPVfSgSsWzdOjC/Op+cNIY2tIin5TAJK4jhZ8w7sG1KnjLjtAKZ9AVrKf1EW/I68pYNqVvAXKJP&#10;6IN+P8n+kf7JXkU/9Fp4cy1p0k89z2hLj9HbT/L+Afo0OLtGAHvdhqQJsTEiJI83DgajL2LWrFm7&#10;9mUrQtwLL77UcI3eSUVCnPeHeQpxhBBCSO9xzORzP2u8Fnd0dV+mk+H9Yd67WT9QkYAEFUuDhKUF&#10;KR2QqawsVUaIQ7tFAaFM1y+IfIZ0iGc2dF4JjCXWP7wuQlgsvHnCeIpC6pYyzQpxXvuglXmUKLvO&#10;hBDSW1ghrnZtXtF9mW4I73P3vY9McW/UE0IIIaR9WCEudu2W2GvUPlN1fuDdpCeEEEJIe7FCHJ6e&#10;0n25Lgw8jUWXBe0S4iSfRzMSixaSmpVgtKjkhaRr4Q4ik7TrnYwF2QfijhZ2dF+tOCRiF6Q4kZVs&#10;iMAV62duYJ5i/SgbUo+dez1WzJ8nOsl4rGgoEatbh6yNtwYI3Q/bBy3E4ftUSL6y44T8JenAk//0&#10;eogslhu67tg8oU+Sx1sHhPQBY7AhZYEV0BC6fjs+PT85/fPmR9JSdUjk5mMweiu0EDdt2jT3WpoD&#10;HmNur9P4e3qt3tbDe276zNmd7g17QgghhFTPhImnfqGvw0WPbJHw/jB/+ZXj3Rv2AxEJT7SygTwi&#10;db3y6n27xDJIVLYsKHpkKuqQQB4tXOE0Ni25eSej2dPY8DPKATseGzIWoE+WkzGhbTlVDf3SfdFi&#10;m6SjHIQzfRIb8mlRzRPSkF8idYqbhLdOrc6jjbLrTAgh7aZj/3279HV42Mgxy7ov0w3hfe6mEEcI&#10;IYT0PgcfvX/WtVui9vl8os4PurrWuDfqCSGEENI+9u7Y73N9PcZ/Fu++XBeGJ8QtuPEm96a88NFH&#10;X//n3L48IS5HuCkK/chNK6Np8U3LRBB38JonEMVC9xXf65BTtlJjQFrZNr2Qerx+lA2px/ZbjxVz&#10;6IXuhxeSFpsTvTapkDxWmtNCXkxClJA6mhmntBM7AS61L4pCyqUkSdnfKelP98FKc/J66gRGPZc6&#10;5H0CUnOs89mQ13NEUMkb2zMMRm/HnDlzdu3LqoU4/D29Vm/rQSGOEEII6VusEFf0yBYJ7w/zQ1GI&#10;gxhl07XspR83Koiwhq82DcKViFZeuuSRE8s8GUvqR8TqEHR4Y9Eno0Egs9KbFte88ilS89CqEFfF&#10;POpoZp0JIaTdfL/jR580XIsjj2zxHs+y9O4T3Rv1hBBCCGkf+x067qOGa3LB49YoxBFCCCH9A3s9&#10;xn8W775cZ4Ut3y4hTos3mmYeF4nQ9TUrwegTqqyUJ6KO7Z8IbEUni+lIiU/yei6thBbRbD/KhtST&#10;EsVibeg8XkhabF31OHKw9YjElbOGsTpyxlnUTk4dsZBysTlCSPu52D7I66k29FroyJ1j/ejbmJCX&#10;al+iTF4GozdCC3GTJ092r6c54NRWe53G39Nr9bYe3h/mz5xxtXvDnhBCCCHV85MJkxtuphc9skUC&#10;z0/X5cBQE+Jij9oskrlSIhjEKwmcYmbTBZ3PtiH1Q/KyAptFIjYWLX3F6pLw5iqFrtumtSrEVTGP&#10;Es2uMyGEtBsrxMUe2eJ97l508wnujXpCCCGEtI//+5P9sq7dEt7n7o2bXnFv1BNCCCGkPeDaa6/H&#10;kNa7L9dZUbumN5wSe8W8+e5NeaFZIQ4B4UaEMpx2Bums6ISuWGiZqBUJJia4oX943Z4uJm2mTs2y&#10;EROf7GM1i2hWHpTQ8pKVn8qG1GPnPjZWHTqPF5IWW1d9qlgO9gS3XFkLIXU0M86idnLqiIWUS+19&#10;nNom+YrAfrePbZW0VBtIk3w65DWsVSpScyCvp9qXKJOXweiN6Ozs3LUv+60Q5x0Te8oZv3Nv2BNC&#10;CCGkeqoU4n572UHuDfuBiERKiEsJYBKeKJUS4lKSmAaP/5Swj/tM1W+RiI0lpz8SqfnwSNWdK5tJ&#10;2LZz+g1S8yiRGpcEhThCSF/wf/5rzJf6Ohy7qe597qYQRwghhPQ+VQhxr7/xrHuznhBCCCHtwRPi&#10;cI3uvlxnRVkh7uOPP+7+q2N5Ia7KgEgnbeeITbHQJ1SJEKQfydmMJGQjJv3oE+p6Q+TR8lJZActG&#10;rN8pwUlC5/FC0mJzoh+/20wMFSFOpM5m3x85bSBN8umQ1yjEMYZqaCHu0EMPda+nOeDUVn2NBrU6&#10;qwkKcYQQQkjf8n/3O7zxkakFj2yR8P4wf9GlB7o37AciEp4MJdGsKJUS1iTNe4SnRcL2o78JcZiD&#10;9957q/7I1Vh4ZSSaEeKqmEeJ2LiABIU4QkhfYK/Dw0Z2zO6+TDeE97n7qs5j3Rv1hBBCCGkf9noc&#10;u3ZL7Dl89AhbhkIcIYQQ0rvg2muvx60KcRfPucK9KS/0FyEOIae7gWZPmtNinZwGJyeQQbyyIadu&#10;lZGMqpJ+Wg0tL5UVsGzE+p0aq4TO44WkxeZEj6OZKBLVdMT6kjPOonZy6oiFlIvNEaLMOL3IaSO2&#10;FrmPFvaEVAl5PdW+RJm8DEZvxLJly3bty1aEOEjq+hoNanVWE94f5k865RL3hj0hhBBCqmfEj8bv&#10;aLgWZwpx3h/mKcT1zDOUhTg8YlX6UhS6HKAQRwghafCYcnsdTj2yxealEEcIIYT0PvZ6XPS4tWHD&#10;x+xhyzz73B/dm/WEEEIIaQ+49trrMf423n25zoq9RnWs1OVnXnCJe1Ne6E9CnJZxch5hCvnNE+fk&#10;xDFIPEiXk7WWLFnSnePrkLzIkxsp8UkEu1Yfh5oTer7KClg2pB4rIOVIXjqPF5IWk5uwLpLHPg41&#10;J8qIYrG+5IyzqJ2cOmIh5WJzhNCPlm1GGJWyqfeWiG92/+a+TyQf3gc2pP3UGCXK5GUweiO0ELfv&#10;vvu619McIKnra3Ttc/raWp3Vha4cUIgjhBBCeg8rxBU9skXC+8P87AsOcG/aD0QkPBlKollRKiWs&#10;bdr8cj0NYdM0+lGfr7x6X0Naqn6LRGwseF3CSwcStg5dFifEoc+xdP06aFWIq2IeJWzdGgkKcYSQ&#10;3gaPKbfX4bQQ1/i/0X995ST3Rj0hhBBC2sMLL5/ecN0GFOIIIYSQ/o8nxP3n8NG7d1+us6IqIQ43&#10;/3s7tLwG5IQ3LyAcIa+XRz8iFfKPfO9JRFrGirUHEUmnpcQn3V5ZKapsQBaqqi2ppxlRTOfxQtY0&#10;JmJhXaR8jtRmY6gIcXpfNyOKSVngyaG6/7b+nPdJ0SODU2k2ivYMg9HbAUlc9nArQhyuyfoajWt2&#10;rc7qwv5h/tgTz3dv2BNCCCGkev7Pf+33d30dLnpkiwQ+9OtygEJczzxlhbhVq77+UGYFMo3Od+dd&#10;sxvS+osQJ49I3bp1fcPrQqruVoW4KuZRIjY3QIJCHCGkt8GprPY6XPtsHX1kC4U4QgghpG/xhLjU&#10;tRvhfe5+5E/3uDfrCSGEENIe7rhnacO1GLQqxJ0ybZZ7U17oT0IcQks5ACdVQcDB6wDfi5gEPLEH&#10;ocU6AKnNC8hYcqqbCHYizqE9aUtLPLqP+F4HHhMpbeMryulHR0IaQhtoMyYW5QbqjvWjbEg9VlZK&#10;jVVC5/FC5hDzgfEjIHfpedEiIfLrk+KwHvgZa4g6bEj9+FoU0kYz4yxqJ6eOWEg52y8bcoIbwHzI&#10;fCIwn3g/oH/e44GlnIC2ZK9jfvW+ldd16LZRVtYPedGulMfe9srrskUhc53aMwxGb4YW4vbee2/3&#10;epoDrsn6Go1rdq3O6sL+YZ5CHCGEENJ76GvwTvaZ2n2JTob3h/kZs/Z3b9oPRCQ8GUqiWVEqJaxB&#10;ypKIiWR4FCkeBYrw6ugvQtyOHZ/XX8fpcPp1AeOTsGmQ2CSef2Fpj3RBwrZdxTxKNLvOhBDSTjwh&#10;LvXIFvu5+7xfTXRv1hNCCCGkPTz69KkN121Q9Li17wzfbzdbBjflvZv1hBBCCGkPnhCHa3T35Tor&#10;ho3sWKHLDzQhDgGZSOSaFKnTo7RgBbRgZQPCTao9iEBa8CkSn4rqE2IyXyxEEioCbZcNKduMKKbz&#10;eIG5l3SNrU8/EjSG9yjOIlFNh9TTzDiL2smpIxZSrkgWwz7UYloMTwCVNMhysf2J12PvFezrorax&#10;PlrS0yF5coS43D3DYPRWrFy5ctc+rFKIwzW7Vmd1gWew6gaOPG6me8OeEEIIIdUy57LlDRd5UPTI&#10;FgnvD/OnTacQJ0iUFeKAftwnZC59whnkMDl5DaHThP4ixInwBjFOP47UjgGhywkSyAt5DZR5rGmr&#10;8yjR7DoTQkg7wams9jqMx6p1X6Z7hP3cfebsw9yb9YQQQghpD/c+MqXhug1S124EhThCCCGk77nx&#10;5kUN12LQfanOjmEjxyzT5Y+dcpp7U17oj0IcAuKPPQ0OQMiB7FZ0UhSkHCmTI4ihPkhEclqctKVP&#10;jJPQdcfkH5SB+GMFIowH7TQj9ti5iNGMECeClD21LmeskifVLgQnPRcYi7eGmBcrbGFNkN9bCwTy&#10;I593KpqNVsZZ1E5OHbGI9SsWchKctAcwv+hbTLSUfNiXmEfsQ2kXX/Fz0fsq9r5MrY9E2THm7hkG&#10;ozeiKiEO12R9jcY1u1ZndWGPiT3kqNPdm/aEEEIIqZZLLu35v9tq1+XkI1skvD/MTzntJ+5N+4GI&#10;hCdDSTQrShUJaxC/9OlpXljJTNNfhDhIZnJKnBdaSNPlBC206dB5JLz+tzqPEs2uMyGEtBOcymqv&#10;w6lHttjP3RTiCCGEkN5l6d0nNly3QdHj1rzP3bgp792sJ4QQQkh7mDt/bsO1GCewd1+qs8MKcYcc&#10;M9m9KS/0VyGu1YCYIwJO6iQ5BmOohLy3c05oYzAYjaGFuG9/+9vu9TQHXJP1NXqvkR2dtTqrCwpx&#10;hBBCSN9w/oVLGi/ydfKEOIQtO5iEOBG5Vq16rFSaIHm8k8fwCFEEZC2bpoGohTxaKoNEBlEMjwT1&#10;ygCRwIrqB0VjwesI5PPSQaoO9BPj1WNAvyCQYW4Qqboho8ljTZHPjinVttDsPObULXm8dSaEkHaC&#10;U1ntdbiMEHfSGYe4N+ur5PCJe+76o4TlG9/4b2H4yP8vXHRpR3jp9VPd8kjzygqoY+x+/ztcefVP&#10;3PLg5yf/n4b8TzxzYkP6wht3/k9izb/u/s1knRrkQ726vNeOh+6bgP54eTXNzgv6pPN9+zv/Izr3&#10;9z98TMO4UJ+Xz1LUN8wt6kqtewz0V9flzTP6rfOUwfYHddu1RR90nmbB2mAedP0yN0izfcHPSNd9&#10;iYF8KFPlXJTtLyHEZ9HNJzRct0GREIewZSjEEUIIIb3Lby6/rOFajBPYuy/T2YGb67qOoSrE4ZQs&#10;GQtPlWIwKMQxGK1EVULc2IOPbLzOjxwzp1ZndWH/MH/AYVPcm/aEEEIIqZaZszsbLvJgz+GjR3Rf&#10;ogvDlh1MQhwhhBDSn8E1116Huy/Pbgwb2bFC5+0NIa7WbBaQbKy8BSDMefk9YnKXreO2O45IpmuK&#10;pDa055UD02eOcssIsbLoj5df08q8WKkKYpquW7AyYyyfpUzfQNE8CZ646JXH+nr5crB7wxMWvXxl&#10;wFrkzJGd77LjaqaMRsbYbH8JIT5XdR7bcN0GOAGu9j5KBk6h0WVwSo13s54QQggh7eHciy5suH7j&#10;vnb3ZTo7cHNd14Gb795NeWGwCnHy6FM8cpHBYFCIYzBaibVr1+56D/VrIc7+Yb5KIe7ddz/sno6e&#10;sWPHV+HDDz8Jb765JSxa9Lhb/oMPdp5IEovPPvuy3sZjj73plgcfffT1aST43qb/+c9rulO/DtT7&#10;0ksbe+T1QD6MRQd+vu2259z8Gt03RG65ZucFdetA+7G5v//+lxvGhTa9fJaivqFN9C13fjU584X9&#10;1Ezk7o2NG7f2yNcMGD/mSs8x1g2vIc2uC9ZS500F5hdlqpoL9AV14f2qQ9YS86TzE0Ly8YS4YcPH&#10;7NF9iS4M+4f5n02hEEcIIYT0Bq0KcUedeJB7s75Kas2WAida6fJl5Srk1+W9OqzMlGqjSPJBulcO&#10;FIleEAC9cqBIxGtlXqxYJqeJaexJchAWtVSXomzfAOQ7ry5N7LRB2/8qT0Wz8qCQ098YufPTiugn&#10;c1LFXDTbX0KIjyfE1d5DhUEhjhBCCOlbTjv77IbrN4W45uKxxx7bNQ6cFMdgMCjEMRitRFVCnL4+&#10;g2EjO2bX6qwu7B/mxx50nHvTvhlyA6KPJ0iVCZGAiuqw6Vby0VEkp0EUisXate+7ZQRPtkIUlQNl&#10;ws4LpCsdEJ10uoByOmL5LGUC654rU+XOF35uNnQ9wAp4CPQ5JhHmgLKpPSdh57vMuFB/2TI2pF2I&#10;kXbPeIF8UoYQks8pZ/yu4SIPch7ZIkEhjhBCCOkbcM3V1+CiR7YMGzlmmc7fF0KcToOYZR9Hiccv&#10;6jxWxtEyG6QtSDg6HRRJdUVCnH4sZ9HjMW1e+R4UCUK6XVu2SMRrdV5seXs6nz0ZzTu9L0aqb5Cs&#10;sO42D0Cbuh4Nyum9YufLrrmHzg+8PBoroOk20RevTBFWUEM9en6QjrWH0Gb3gO0P5lCnl0HXA7w8&#10;oJX+EkJ8fn3lpIZrNz5P195fhWE/d+Oxbd7NekIIIYS0ByvE4b5292U6O6wQN2rsAe5NeWEwCnHT&#10;p0+vjwGnxH3wwQfdrzIYQzu++c2d/xnv6quv7n6FwWDkhhbivvWtb7nX0xz09RkMGzVmYq3O6sL+&#10;Yb4vhDgJK9WUDU8ms2HTU3JSkQSG9Fh4fdFY4UwC8pGXX1M2dF+sWOa1Z0+SKyOBNRM5p8Xlzldq&#10;TVJhT0Wzc6CjmdPthBwZDmH3Txm5TSTIVucCa557Kl3qlEZCSJyqhbhJJ1CII4QQQnqDw47er+H6&#10;XVaIGz9pf/dmfZXUmm3AplvJx+ZJyVWCPTnM5imqw6ZD7NE/x05rs7KQLZcS4uwJbKjLCl9eOaHV&#10;ecH3Ok23Z+UzewJbETl9A94JebG51nnRNzv3KZlO0PmBl0ej5w+ipl1fiH1euRRWVCySJjV2zTDP&#10;Xr4cdD3AywNa6S8hxOfM2YeVunZLIJ8uRyGOEEII6V2On3pKwzV8r5Ednd2X6ezAaTO6jqEoxDEY&#10;DAaDUWV0dXXtuj42K8Stent14zW+RuVCHP7hoBvY56dHujftm8GGToOYZWUb+1hOGzoN8px9PCfq&#10;03mADZtuBSV9KpiVpCw2r46UEGdFI1u26LQtGzotZ17smK3ghceC6igjgNnQaZDMUJd34ljqpLhW&#10;5wuylg45QS2FFtBse3af5oJ+6sCYtEiGdEhsmB8rY1ohLrW/UpSZCyvUYR70qYmoC3sF4yhaA0KI&#10;z0mnXNJwkQfdl+essH+Yx81576Y9IYQQQqrlwCMahbiiR7bYz939QYgrypMjV1lpx+YpqsOmW1kt&#10;JlvpU9QgjVlhKSUPablKhDMrsMXkMNDOebHlypwOB3L6JkA003ljc63zyeNKMW/yWo60J3kFL49G&#10;S4GYA7svpB9lsHObI/IJdn9hnr18Oeh6gJcHtNJfDSRLWS/MazMyISGDBSvEFV27JZBPlzv3ogvd&#10;m/WEEEIIaQ/7TThCXb9rUIhjMBgMBqPPowoh7oUXX2q8xtfpGFers7roKyEOWDkHodNt6DTBylU2&#10;3YZNt3KYlYBij021cpMtlxKWIIVJiEykA5KRV06w4eVJzYudd4hOkmblM3sCWxE2vDzAnviWaqfV&#10;+SojgQl6/rC2VjLMPTFP04rU1hdCnH1voKyXjxDSPMeeeL66wNcv8lmPbJGwf5inEEcIIYT0DlaI&#10;K3pki308y4/Gj3Nv1ldJrdkGbDpEmVSeHLnK5sHpYan0IjEMr+nHY8ZkKy1MQXCzwlJKiNP1i2QE&#10;SSi3fBXzYvsrj6stK5pZcvom2D6grM1j94jIVFpIBKl2gM4LvDyCXQv0Aa/bx6bK67l4p+Jh73h5&#10;LTlzlYuuB3h5QCv91cT2GiFDkZPOOKTUtVvCfu7GY9u8m/WEEEIIaQ9WiMPn6+7LdHbsNWqfqboO&#10;4N2YFz766Ot7ghTiGAwGg8HoGVqI+8Y3vuFeT4vwhLg9h48eUauzuuj53PQJ7k37ZrBRNo8NnSZY&#10;acem27Dptrx9VGZMttKnqEGesqJRSljScpU83lILWEUSmg0vT9G8xGQnK16VOR0O2PDyAAhlesyI&#10;2Clxrc5XWSHOCndysp2OsvMC7NwWiXya/iDEpU7xS6HXGkJjs/UQMhg58riZDRf53Ee2SNg/zOPm&#10;vHfTnhBCCCHVst/BYxuv4SPHLOu+PLvRH4U4K9zYR4Wm5Cqc2GVPGLPlQZGgZdPxmn08pi1jhSn0&#10;xUo/MaHNnjSmT8vSkl1KRqtiXoCtx4677OlwoGi+LTovsOl2j4iEZh+bWnRim84LvDyCPq1Pz12r&#10;84O+6zUWsNaoKyXY2f2Fefby5aDrAV4e0Ep/NbbvFOLIUOaoEw8y1+48IQ75dDkKcYQQQkjv8oMf&#10;H2Cv4bO7L9PZ4Qlx72x51705DyjEMRgMBoORjiqEuEefeKrh2gyGDR+zR63O6qIvhTiIMjZ0ug2d&#10;BuxpZvje5rFh0z1xTD8iMyZb6XZxgliuEGfHLHKQFuwQIqh52LDpOfNi+yuPAS0jmnnY8PIIOZJX&#10;FfNVRgIDum45Pc/2o6gODyvVIbB3vLyWvhDi7Cl+2EepeY4R22uEkIfCIUed3nCRh+DWfXnOCvuH&#10;eQpxhBBCSO/QsX+jEFf0yBb7uXvk2LHuzfoqqTXbgLwOkQZCjZVtrERm5aoUqMuegubVYQUtm47X&#10;0D/9mpWttHAmwpSVfmJCnD7ZDH3WaVZk88YDqpgXYPus16OZ0+FA0XxbMH86fyrdilS6v3YuLZJP&#10;8PIAu/b6RDQr4TUjdlnBT4MxxPaNXasYOetmy3h5hGb7q8Gcol9SRkughAw18LhyfS3OfdwahThC&#10;CCGkb9HX4Z3sM7X7Mp0dw0aNmWjroRDHYDAYDEbzUYUQd8vtdzVcm8F/Dh+9e63O6sL+Yf57o3/i&#10;3rRvBhs23QpC+tGdwIZOg2SjxTWEd+KWDZvuCXH28adWAoKUpQMniFnpJyYs2TFDtMLr9lQyOQnN&#10;w4ZOy50XYMdux93MKWg2vDyCnTNPzqpivnLa0WgpUM+dfWxq7HG6MayoKIH2ME4Zm0dfCHE2rwTK&#10;lDnlzdZDIY6QrzngsCkNF3kKcYQQQsjAYNTYfdX1u35CXPKRLfgf7Dp/XwhxKSA+2ROncsQvCDYQ&#10;1mzZWB05QhzQcpqWrawwBWEIr+cKcSIGASvaWflIHqdqqWJehFhdMq6yFM23JTb/wJ6mZ/ukT3ID&#10;KdFK5wNeHmDXAH3Q6Xr9QNH8eqCfWB9dj8Z7L+QKcUCX8yibv5n+EkJ8cDqrvhYXXbsl7Ofu46ee&#10;4t6sJ4QQQkj1bNz0SsP1G0Bu675MZ8deozrG2XooxDEYDAaD0VrI9bGfC3GNf5jvDSEO4g8EICsH&#10;WcmnTEAC84QiGzbdSmF4DfXosLKVFqNE4rPST0xY0rKaFYOKTnUTykRsXoDts26/mdPhgA0vj2Dn&#10;2ZOzqpivMhKYlR0h3kmaFQZzT3fTWMFPB8YQ2zdWiItFSgwEZeYC2FPidGCP5IhxWGeRDDHGMjId&#10;IYMdK8ThD+3dl+essH+Yx+PbvJv2hBBCCKmWvff5kbmGlxPigHezvkpqzWYBKcoTanLEL2DFMk2R&#10;oBUTsqwYJTKWfWym9DtHiLMnjFmBC3Xp9NhpX1XMi+CJVjmnjMUomm9L6oS42FwLmD+dnhqvzge8&#10;PMA7/U+jT/gDzYqDGAvGZwU7wbadK8TlrJ0t4+WxlO0vIcSneSFuzDJdjkIcIYQQ0nt4Qhzktu7L&#10;dHZ4Qtyqt1e7N+cFCQpxDAaDwWD4IdfHZoW4BTfe1HBtBrX6qg3vD/PeTftmKBOeuJUTEG1Sp2XZ&#10;sOmeEAe09KZlKytxySlqOUIcThTTIWUFKx/FxKGcKJoXwY5fwvYtFxteHo0OK2dVNV9lJDBdp5UC&#10;bX9EhiwL+qllPhveeyFXiCsS3MoKcaCo7SIJjxASZ5+fHtlw/c19ZIuE/cM8hThCCCGkd9DXX4DP&#10;1d2XZzfwSBdbxrtZXyW1ZqNArIHAlDrVKyZX4asVqWInsjUrxFk5TR6PqdvVj8y0wpLXn9TjUgUt&#10;ZAHbX1DFvGhsmWYlL1BWiNN57ZzE5lqjTy7D91aaEySP4OWxa64flypYqRHjtXnKgveAJ5rp94bd&#10;X620q+sBXp4UOf0lhPjY63DRtVsCn9N1uUOP/Zl7w54QQggh1fP6G882XL93Uo0Q98KLL7k35wUJ&#10;CnEMBoPBYPgh10fgXUuLuGLe/IZrM6jVVW14f5j3bto3Q25AyrECUJnyKXnLhk1H2zrkddSpQ9qw&#10;p4RJv3OEuFhZAaKUjpholBs5UpvtN8KKYGWw4eURrFxo5ayq5quMBKZFNe9Rs/rEOkTZx6YKGAvG&#10;Jyen2bCyXa4QVySnNSPEAYwT8xET+WKP5SWEpBk1dkLD9besEGf/MN+xP4U4QgghpN1cfuX4xut3&#10;jaJHtnifu99YfZZ7w74qas024OVJkZKrrJgUk6GKBC2brtM8OU3/rMUxm+aJaFreysU79ayKedEU&#10;zVEZytQFgUrnRVlJs+PIJSbz2XxeHnsiXS72sarNgDWyc6f3kN1feq7KousBXp4iivpLCPGx1+Hc&#10;x61RiCOEEEL6jmef+2PD9RsMGz5mj+7LdHbsOXz0CFtPkRD3j3/8o37/i0Icg8FgMBh+7Lbbbruu&#10;kd61tIiL51zRcG2ufU5fW6ur2sCHf90ImHPZcvfGfVlSAREI8k7sVC9gQ16H6GXFHIg+uqxgw6bH&#10;hDgra8njOrUQpR/hmSPExcpq9LjwvZXAgA15vcy8aKzklSPSxbDh5RHsnNk5qWq+ciUwK9jpx6UK&#10;VtLz1rksaNcT4/R7wwpxzbabOxcxROSz+wzhzT0hJI0V4nIf2SJh/zA/auy+7o17QgghhFTHby87&#10;qOH6vZP0/1D3PncPZCEOQBbT6Z6QU1SHTddpkKt0Wuo0Miss2b5Y+SsXtKPrAVXMi6aovjKUqcsK&#10;h/pENvto0lxiJ8nZfF4ee1JeLt5Jcs1g90h/FuJAqr+EkJ688PLpDddgkCvE4XO6LrffhCPcG/aE&#10;EEIIqZ5H/nRPw/Ub/Ofw0bt3X6azwxPiHn3iKffmvEAhjsFgMBiMdLQqxM284JKGa/NeozpW1uqq&#10;NnpTiPPypLCh06yYFBN7bNj0mBAHIGHpsDKRFsdsmhWWIFc1E56cZkOn5c6Lxs4BxuLly8GGl0fA&#10;qWI69JxVOV+5Ephd75xo5TQ9DWQyuw56PvqLECfgxLhm5EtCSCPfG/2Thutv7iNbJOwf5inEEUII&#10;Ie3noksPbLh+7yQtxHmPZxnoQpw9RQyPcdTpoKgOm67TILzpNI09uc0KS1YOspJaGeyjKKuYF01R&#10;fWXIrcuTDbVg6D2SMxddj2Dz2HSc8mbz5AKRztbnAVkPop+XBrBndL1atLP7C/Osy5ZB1wO8PKCV&#10;/hJCevLo06c2XIN3kve4Nfu5+wc/PsC9YU8IIYSQ6rnjnqXq2r2TZoQ4nCpn66EQx2AwGAxGa9Gq&#10;EHfKtFkN1+a2CHHeH+YHghAH7KlanpBjw6ZbCUmnQa7SkTqNzIpGVliy8ldueCej2bDpOfOi6Qsh&#10;DnNn+6lPZKtyvuzaeBIY+tNseCfJNYM9oa4/C3HArlEr+4aQoYq9/uJxat2X56ywf5jfe58fuTfu&#10;CSGEEFIdsy84QF27d4L/bd59eXbD+9yN02q8m/ZVUWu2AS9Pihy5yp7qVVYes+k6DcRENtuOFZas&#10;EKdPlyuSmeyjO618V8W8aHLqyyVVF0Q19MOeDAf0fFmhz86lxdbnPTZVpwObbue8aA70eoKcx6bK&#10;3ED2Qx+lDOYF7afqtPuraA+l0PUALw9opb8a5BfBEWVSe5GQwYwnxBVduyXwH9d0OQpxhBBCSO9x&#10;482LGq7f4DvD99ut+zKdHc0IcX//+9/r974oxDEYDAaD4UfVQlzt8/eKWl3VhveH+UsuXereuC+L&#10;DS9PChs23Z6Ghkew2jw2bHpKiEtJUrYtKxpZYcl7JGZuaPEO2NBpIGdeNH0hxKFPOqyYVeV85Uhg&#10;Vn4sExDDbH0ekPVSea30hnWMpfWGEIc18E7cE+y+qUoMJGSogGutvf7mPrJFwv5hnkIcIYQQ0n48&#10;Ia7of6h7n7txc967aV8VtWYb8PKkyBG17EljVhQqqsOm6zQAeUenA0g9Np8VlrTEZftYdJIWxCKd&#10;H+3pU8+qmBdNTn252LpysMKflRAhyOl0S85YdTqw6fpEOm99LbaPRdIeKDM3tj67v1IU9d/m9/KA&#10;VvqrsX2PPdaWkMHOvY9MabgGA9wYr70vCoNCHCGEENJ3eEJc9yW6VOAzu63n3gcfdm/OCxTiGAwG&#10;g8FIR6tC3LFTTmu4Nu81sqOzVle14f1h/vwLl7g378tiw8uTwoZN94S1svKYlXpsuhW3JHCal86X&#10;EuLs4z+LZCb76E4rJdnQaSBnXjR2DtolxOExmxjLRx993p36deg2q56vHAnM1mHTNbZ/EMe8fBaZ&#10;ZxHNMB94HWsD+c0+glTSQV8IcRLIg/0uewj9sqfDpeYA5URwxBjte4eQoYonxOGa3H15zgoKcYQQ&#10;Qkjvc9r0/dW1eydFQhxOobFlBoMQB1EMApDOp0+qKqrDpus0wdbvPUbSSj9aELInmMVO0tLYE94g&#10;fUlaFfOiyakvF1tXCvTPkwN1vyGq2XQLxqrrBXasNl2n2RPprKDnYUXJnH6iHbsmHp5cZvdXEba8&#10;JjdvK/3V2L5TiCNDlUU3n9BwDQa5j1uzn7uBd8OeEEIIIdUzd/7chmvwsFFj1nZfoktFM0LcV1/t&#10;vGdHIY7BYDAYDD9aFeLGHnxkw7WZQpyTxwprVhSyodOAlcFsun2MJQJSj82XEuJsH4tO0oIspcNK&#10;SzZ0mlA0Lxo7B1UKcTlhBbaq56tIAoPgpcN77KpFBC+JnDmz85wKu174OTdS/W9GiMuJ1Phtmznz&#10;S8hQANdae/2lEEcIIYT0fzwhruiRLX0hxGmpC6KUlycFxDMpDzEnJnTpfECfKFZUh06PSU0QfnQd&#10;3ollVh7Sj4XUkliuDJQ6Va6KedHkjC8X9FO3acGewBxgfPrUO8GKfEWn6QlFp8rpE+DsXtTCFtrO&#10;FQLLnioHMD6MyYqDmBesV2wtUU63l6KoL6m5sDTbX43uO/rGR6aSoUorQtxeo/aZast6N+wJIYQQ&#10;Uj3nXnRhwzW4SiHultv/f/b+Puyuqr7zx/+ba8aqxJ9ztZ1WITN+W6dTC+llQUQjgaqYkJgISFQQ&#10;IwUqkWJQlAaLQdQBFI2MdgBrjfVrsWPF2GnVdtRGK60ztYrfFqd11KYdWrEtbVqfEFHv33nfOe+T&#10;z/nksx72w3m67/frut7XnZy9ntfae+219vvs89vhw3lKhjghhBAiT9+GuBNP27R3kFa/RBvzi2SI&#10;82Yb/6Yqjz0GeZOSPw75N3dFP3vpy2ENTTZ+7k1aVPSGN/u2MI+NS5Xaxcq3Qc7cVFITUKYor77b&#10;y7eFN4H5n5j1Br1I/g1pMPFF4axg7PNjKSIyLzYxxOVMbqW2sPJGwwjUp/TGN5+nDHGSdFjXXLtv&#10;bO6FMCcPp+cqom+qRw/uJUmSJEnqT5df+ayxuRcaTs1JZmGIkyRJkiTpsG7Zd/HYHAwNp+giMsRJ&#10;kiRJ0uzkDXEnnb7xruEU3Qh8iW08nbIh7sEHH1x+piVDXB2f+9znRu2Efy86991339L27duXzjjj&#10;jKVPfvKTw09XHqulnkKIydDVEHf6lnPG5mY89x6k1S+TNMTZn8bMGW9SsvHx7ygMZMPBoJM6FqVh&#10;jU0p85U1IyH96I1l3uxEkxDMWvZzmK983Ei5t6T10S5WNfWrlf/pUQ/GAeqWMlFNor1833jDma0/&#10;xgDKYI9H8mnWmryQNuqEdrCgrzAWrZHPCqYym1+OXFlKbeHFn0e1Ywmg/KhHTVshDNoVIG/9ZKok&#10;HVZkiDvx1E3rhtNzFdHGfPTgXpIkSZKk/tSXIe7Dv395+NBekiRJkqR+JUOcJEmSJC2mZmmI+853&#10;Dj/XmjdDHExLl1566dJjHvOYUbl+5md+Zunqq6+eqREN5WJ5pm2s+uAHP7hs6nrEI468kRttcuut&#10;tw5DNMfWB2axlcpqqacQYjKsekOcJEmSJEmxZIiTJEmSpMXUiy5vbojDHO/jyBAnSZIkSdNR34a4&#10;Q4f+MnxoL0mSJElSv7ryl35pbA4+8bSNB4ZTdCPaGOIeeOCB5Yf982KIw5u8YFhiWVKCMW4WzMIQ&#10;hzaB8c3W3wvHEa4pX/7yl0cGuy7GuhSTTLsJk66n6A/1k5hHuhri/Nw8NUMcHtJHD+8lSZIkSepH&#10;V73y1rG5F3rCqWesHU7PVcgQJ0mSJEnT19GGuI2HhlNzEhniJEmSJGl2uumXLxybg2vmbnLi6Zt2&#10;jMeVIU6SJEmSpqVJGuLe+eu/ET6cp+bJEOeNX3g7HEwxMJ5B+Lc1y03LkGaZhSHuxhtvXM4PRiEY&#10;Adke+JzmIQhv1Js3WDaUVYgaNGbEPNK3IQ7PvQdp9Uu0MS9DnCRJkiRNVpMyxL3ll7eHD+8lSZIk&#10;SepHMsRJkiRJ0mJJhjhJkiRJWkzJEHcYa3bLmbvw06Ewgq0WQxyMgPipVLzlzIOfj2V5oHmD5ZK5&#10;SdSiMSPmERniJEmSJEkKdcUrbh6be6GmhrhoY16GOEmSJEmarC68dNwQN5iPDw6n5iQyxEmSJEnS&#10;7HTdG3aMzcEyxEmSJEnSYujnd10xNgefeNqm/cMpujE2HahkiLv//vuXH/bP2hBnjWYwf5WAOazN&#10;T4R2ZRaGuBLWSAiD3DzBcsncJGrRmBHzCMclFM2lOX3l3q+OzcsQ1t+DtPpFhjhJkiRJmr5kiJMk&#10;SZKkxVQbQxzmeBsHuuN3Xhw+tJckSZIkqV95Q1zN3E1kiJMkSZKk2WmWhrhvfetbyw/7mxriYAbj&#10;z5vibW14o1sXgxpMcMw/ehNaDv5sKH5ONAd+ghXh8MY1C8qNz+zPteLfMOT4OtUY4hAHcW16KCPq&#10;OAkTXVdDHNvPtwvfPofjAP2CfmZ4/I363b+1LlLUDvgMbcT0oVQ/EI4blB1hUB7G9cbKtvXEuPFl&#10;eM973jPWv8irrRmR+SA+xP7E55EpDHnbPofwf3yegnkQPz4RH29eLIEwUR/h3Mudt6U64jOml9Ik&#10;zh0harFjMZpLc5IhTpIkSZJWsCJDHF7dPpyeq5AhTpIkSZKmr/N/buvY3CtDnCRJkiTNt7oY4k46&#10;feM2Gxe652/uDh/aS5IkSZLUr2ZpiPvmN7+5/LC/iSEOxhSGtYIxpi00zLRJg6YopJECRh6W0xp/&#10;YHKyxiAvHLNGKFv3yKADYw+NdynljEttsOaoNjCuN1/ZuqLM1gRl5duojbkJhqooHOXzIKw74kf9&#10;aOFnpXry317IC2XgeIsUjYkSjAujnm9j5EmQt+3rSDDyRfA4TGu58e7NgqRUbwhlT41thknVUYY4&#10;Me9wHB5zzDHhXJrTF7/05bF5GZqIIS7amL/qlbeGD+8lSZIkSepHMsRJkiRJ0mLKG+JOOn3jXcOp&#10;OYkMcZIkSZI0O1117fljc7AMcZIkSZK0GDrv4heNzcEnnbZx33CKbsxYOgO99W3vCB/QU9/4xjeW&#10;H/Y3McTljDFtzF7WDFN6y1tEyuxm4ZvDYFazWIMR3zIGYL6hcciahKx5yht0EJdmOMS1ZUEdbbv1&#10;Ze5BnkwTebaB8XNGMcganpAvwvNYyYjl07agfW04vmkMeVgjnjWHEW8Qw//R7pDPk2Ga1NMbyFgW&#10;9CXLibz4eZs+YNoU2hJlQhns+cTxw/JxrKIcti+ituYxltO2M/KydYzGJs8fyL4NzvcRhLHu4TEq&#10;VUfAMFE9hJgVHJd9GeKw/h6k1y8yxEmSJEnS9HXZFTeOzb3QcGquJtqYf9Obzw0f3kuSJEmS1I/6&#10;MsS9672Xhg/tJUmSJEnqV94QVzN3ExniJEmSJGl26tcQt/GQTatkiPv617++/LC/iSGO4SK1MbFY&#10;Q1JbE4w1KkXwuDXcwcjEfKM3Y8HsA+OONezYsnrjEI1dMMXRrOShgStVzqagvVgebyyqhfF929u6&#10;ov0ioxPr442GJJW2hX0T9QGw5fBlsIY4/DsHwzWtJ8xfPA5F5j/bDzSL1WLTTrUTysQwUT8AlgF1&#10;8DAuFI0Tm76vn22fmvJF7cNjuTRIbTghpsWhQ4dG41KGOEmSJEmSxiRDnCRJkiQtptoY4vAW2PE4&#10;MsRJkiRJ0rTUtyHuz//ij8OH9pIkSZIk9autz71gbA6etSHuwIEDy5+lsG8682pjyqox3JSwP7np&#10;zWjW+GbNRDDu4LPIQJTClhX/tvAtW7k64FjTPFPAeEUzWckMloP18eW2dUUbRrA+UASPpdrE9k0O&#10;hvGmOWvIS5kQCdNoU0/mk3oDXG5clGC8nEmS4zvXz7YM3jTHz3NvYLRtaeF5AuXa2Ibz8PMaIyjD&#10;psaMENPGGuKOPfbYcC7NaaaGOPyMW/TwXpIkSZKkfiRDnCRJkiQtpp59wbgh7sTTNh4YTs1JZIiT&#10;JEmSpNnpslc8b2wOliFOkiRJkhZD3hB34mmb9g6n6MY0NcRB3//+9xsZ4qzxxqrNz0UCm15bE4x9&#10;Q5U35dGo48tHA1sTM1nO+MTPa9UFGJNYfpjimr6VzMLy5Ixivq7EhongsVS/4nOGqZFPhyaumj5M&#10;pVFTz1I+NWmkYLxUGwHmXytfBn6ey8P2haW2je1P36YMebn8SZOwQkyDroa4z37uT8fm+MOagCEu&#10;2piXIU6SJEmSJquLX/yasbkXC/Lh1FxNtDF//eufHT68lyRJkiSpH8kQJ0mSJEmLJW+Iq5m7yeNP&#10;PWODjQvJECdJkiRJ09EkDXE37H1r+IDe6nvf+14jQxyA4cYasmA6K72hK4U1E3UxwaQMbnyLmn+7&#10;GPPMvTXLkzI++Z/VLMmb85pi38aVeqtZLUzHt32qrhYbJoLHUv1q61EjX9dasxZgGm3qWcqnJo0U&#10;jJcb+3hrG8OVFBkkeSyXB44xnIWfoa9y5NqAn+fyJ03CCjENDh48OBqXfRnisP4epNcvMsRJkiRJ&#10;0vQlQ5wkSZIkLab6MsTdsu/i8KG9JEmSJEn9SoY4SZIkSVpM9WmIO/H0TQdtWpMyxPUJjHTMu8bY&#10;lMK+oYqGIPuTnG1MQp6U6ce+oW7SRh5rImvzE7WeVLlzBidiw0TwWKpN7M/vtmG1GOK6/jRuTR44&#10;xnAWfiZDnFityBAnSZIkSVJSfRjioo15GeIkSZIkabLa+pwtY3OvDHGSJEmSNN964YvPHZuDZYiT&#10;JEmSpMXQzz7znLE5eDCHXzucohvTxhD34IMPztQQB/h2N6jtm+assY5vg6N5DMYrD9+61cRk1Jfp&#10;py19m+FAqty5uhIbJoLHUm2Cz3PxS5SMapZUWWrqWcqnJo0UjJcbN03qGVGTR6ovUm9e9ESGVMLP&#10;c/mTJmGFmAbWEHf88ceH82hOf/CHnxqb4yEZ4nrUTTd9YKTrrnv30u7dty1r1643LuuSS159lJ7/&#10;/JeP6ZxzLj1KmzZdMKbTTjv7qM9SitKzsnmjPCwrxPKjLhDrFtVdkqTVpbe//eMjvetdd4703/7b&#10;/xrTBz7wmaP0oQ/9f40VpWPzsWVguaJyr3S94JJrxuZeLMiHU3M1MsRJkiRJ0vR1tCFu0/7h1JzF&#10;xoFkiJOko/X5L7xspE99+rJl/e5HLxrpve8/f1lv33fOSG+6ecuy9lz3tFa64sr1WdmwzAuyZWC5&#10;KFtm1gNCvaJ6S5I0WR1tiKubu4EMcZIkSZI0O83aEPfAAw/M3BBnzTg1P2EK81tknOMbx2DiwXG+&#10;WSsyjzEswtSSMz7RYNf151BTTMIMB5imNyDVmLxsmAgeS5mbUA+GafPTr02MYqmy1NSzlE9NGikY&#10;L2cAs33fxjDKuLlzi8Y3P35rzxOGw3ngYf65OpImYYWYBnfddddoXPZliDvx1E3rBun1y7wb4rxh&#10;zZrTaBSD6Qw6+eQzlk444UlLP/ZjJyzrUY96zLIe+cgfXta/+TcPXdag2qtSrD/bA22DdkKboe0g&#10;a87zxjsa7mS0k6TDovGUoiGV1yuK5xCvX9ALX/iLy7r44quXXvCCK5b1cz/3ssGxly9dccV1S694&#10;xesGN2DXL11//S8vveENty7t3fsrS29/+39b+rVfe9/S7bfvX/q93/vESJ/97N3Luvvuv1i6556v&#10;Ln31q/+w9O1vPzicjhYPlP1rX7t/Wf/wD19b+pu/+adl/eVf/v2y/vzPv7L0uc/936U//uO/XNbH&#10;Pvb5ZVnzHcx2UZ/Nk2SIkyRJkqTF1Dwb4mgiggnHmnW8YYhGn4suOWmkZ28/fumMjY9d1hNPOW4k&#10;fgYhDMQ4kWnIm4WsQQhli8otLaascQ39i362Y45jwo8xjKuffNwPLetRjz5m6eHH/OtlDU6TVSXU&#10;GfWH2B72nLPnmz/X0L7+3JLZTpLS6tsQ98d/8vHwob0kSZIkSf1KhrjDBjea1yC+4S0ChiOEjcLY&#10;n0iF+Yf/jkxE1oyVyg9GJHssZ3yy+TU1RZWYlBkOMN02RjEbJoJ9mjJioV8Yv8bU5lkthjg7rtsY&#10;xRgXisaPLb9Pv+Y8Kf1kcO6YpzRmhJg21hC3fv36cB7NaUUZ4mAUoTHEmtloZKOJzRrYVrNxbZFE&#10;c5011tFUh36mEQgmoWhsTEP2rVh8QxWNM9HbrawYjrJvt1qtb7VaiaKZjdeoyGzLa9SjH/3/LD3k&#10;IQ9d+oEfeFh4Tsyb1qxZs7R27dplrVu3bmnDhg3LCzhox44dg/Nz19KePXuWtXfv3qV9+/Yta//+&#10;/cuLOwivPIUOHTo0nOIWCxrsaKqDoc6a6Xh+T9tE5w1x+slUSZIkSVoMzcoQB7MLjW40GcE0QyPN&#10;ohmKaAayJiAagLzxh8Y6GX8mIxrb0L4cYzS00chmTWyr1cC2SKLRzhvsrLkOfSxjnbRaJEOcJEmS&#10;JC2mZm2Iu//++2duiAPWlAPhTVUw4OBzCP+mMQlKGcOssQ6CmSwCZiy+1Y0GOxrnkB/zsiYeW0b8&#10;24KfiWTe+It49qcjYRpCHsgzZSyKQDrME3Vhe0RCHk1h2t6shPR4DP+OsGEi2IZoD5YN5i7bLtZI&#10;iPD2TXHoD/wf9UYaHqaPvyWYR5t6lvKpSSMF4/lyefgGNwjtYfsa7YnzAeWLfh6Y8SjkxbGO9rXj&#10;lp9bbN6Iy/5DWOTL+BjbUXwbtwTbOjdmhJgmmBM5hhfOEHfZFTeGD++9YCKx5jZrGoHm9Y1sLBfE&#10;N6VRNHZZ8e1pFE0yVjSBUTTURPJhc/L52HKwfCizbXea1Oa1/dnmtn1RV7QNTXQwJkUmOprbYEyD&#10;Ye3OO78wuOj/32XB6ALDC94oBfPLNN+QZd9o5d9kZY03NNktyhusFl0043oj7pOe9Iyln/iJn15a&#10;u/bHF8bYNm+KTHYw2FmTnTXY0Vx31113LYTBDudyyjzHcxfjy5opIb4JEOMNf/2YtJIhTpIkSZIW&#10;U9MwxMGcQjPSIprdpilv/PGmutVm+kG9+MY2vq0NYykyt6Hd5mls4cs8lF1vUFh32C/4+DUIxS/8&#10;9C2mzzwpWx6WkWLZWR/ULar7vKpkrJNpVZqWaNrFWMMYi8LkJEOcJEmSJC2mZm2I+9a3vrV8Xz+I&#10;vqxZGeIAzEQ01+SUe3uUNVhB1mDlgeEmlx+MQNbgUzI+ldKjUma+CBqEatUUxmtjFLNhItD2PG7l&#10;07NvwEsp+inOklHNwnTa1LOUT00aKRivZBbDOLTGtJQiAyiPwSyXGp/4PHWuYFyX8kb/WJOehWFq&#10;DHG1Y0aIaWENcZs3bw7n0ZwWwhAHM9MgiYnJm9asWY0GMWukgvmAbySjOQGCWYHGhageq0newEHz&#10;hjUM0YxnjXc03NFsF/XXpPTwhx+z9OhHH7v0zGduHW14YzPavsUK5ppFBuYbGPlSRjr7BqvV/mY6&#10;juE9e96+9OIXv3ZwA3PN8s+Nbtt2/mCsnjgYqz+x9CM/8qilhz3s4eF46lP+YU3qgQ1kH5LYhyf+&#10;wY39vw3HuDZNyD9ggViuqMzzLNuWtv18u7GtagVjXq0Q3rY/29y2c5P2xTU0GsfQxS9+zdjcK0Oc&#10;JEmSJC2GJm2Iw8P+QfBWwj0K71uieyh7H8X7H/uGYPuWYHyRgf/mMYjhId4/UfY+ivdS9n6K91JR&#10;2Wcpvq0Osm+sswY7+2YtmoBoBKoRDXk1YhzmQUMb8kY5rLGN5rZpv7WN98S8d/djzo43jjM/vvgl&#10;mUV9E3UfoO78whDahOedP9/sucZzjOcWxHVU1FezFM8tjNHIUAdZQx0kQ113/e3fvWZM9/7DTUfp&#10;q/e9NdTf/9Pbq3TfoXePFB3PyefJMn3hS69Z+uiBly796juft3TtazYuXXzJKcvXOIwhP66amuKO&#10;NsRtPDBIqwpsyNu4kAxxkiRJkjQdzdoQ941vfGP5fnsQfVm4V58lMP74t8FBMOTA7FZ6UxRMOYwD&#10;k08JpAcTEd8Wx7zsG+OITTtl/kEcGH+8gQj1QT5NjT0wMdl0cqqpr4cGKf/Wupq6MkwuXxicbFug&#10;HaI+RLt4wxb6BOGjvgBsm+itaJ4u9SzlU5NGilS5UvBNcMwPQvuibCmjJcNhXKIdMQ6ZL/7i/6Xz&#10;KnVe5vqHNK1j7ZgRYhpg34pjsS9DHJ57D9Lrly6GuBpjFE1tfHsZ3wgGM5t9IxhNbDKvLZZorqOx&#10;zprqrJkOY2Vab6vjhrzdjOfGsd2E5wb8osK30nkjHd6WByMd3p5n30pn30w3a2Md8ubb/t7xjo8u&#10;a+/e25fe+tb3Ll1zzd6l66//5aXLL7966bzzfm5ZJ510ytJP/uRPLR1zzDHLivq9i/yDQz688Q9u&#10;7EObRcI+ZEE9+ICl9uEK2mVeH17Ou3Ddi84BSIY4SZIkSVpMHW2Iq3uobuNAKUMcjE+D4EeJ96y8&#10;X8U93CLfowJ7j4r7U96j2vtT3JtC8278WWRZYxvX0X5NtOhjbbXBNSD6zK//cmu/44571NIxa+br&#10;LerWVJd6Ux2NdRCNdX28rS5lKrNmLpq8rEHsn/7ljmUd+toHR/qXb3xsWV//5h+O6Rvf+syyvvXt&#10;/72sbz/wl2P6zoNfGenB7/7TSN/7/v1jmmcwHiGMR17rcW3BGOSeQ9P9BvR11GcpyRAnSZIkSYup&#10;SRrirnntjUc9nPf6+te/vny/Moi+LNxbLzIw5tCAk3uTnBCrBZ7bNW9oE0KMg7U9z6HzzjsvnEdz&#10;WjhDHDbTUpuk/qfnYNShSYc/PSetHMHo5H/SFH3PnzLlxqzdlLUPO7gRO+2HHHwIgLyxIcwHLywb&#10;HwRAKDfKD6Eui/5QAOY6+7Ov6CsKPwGb0//+3wdH+r3f+8SgTe5c+rVfu33pLW+5Zem1r71h6YYb&#10;3rC0c+dlS89//gVLT3nKqaPNTrT1pA1W9qEh+pIPdNB/uE5Bi9xvs4TnMdqQ5zLPZ/sAM3rIwv6f&#10;xhiYpFB2XjdQJ147IIaRIU6SJEmSVp4mbYjDQ/5B8GXhvkL3rHnsfWl0T+rvR1fKvWhK9v4UdeY6&#10;yK5po30bISKidR/3RV6155VL17zqqqULXvC8pQsu2D5Y75+8rOOO+9FlReNz1lqz5uGDsj16WSec&#10;8JNLp5765KWtW89c1gt2PH9ZL9l12Wg9m9oHQnvwHOJ5tNLPJdYxGg9oJwjXGsheb/u6znL9zf/D&#10;PB7NoSld9ornjc3BMsRJkiRJ0mJo1oY4CPc1g+jLwj3QIoO3ZLEuequUEDLECdEF7AfwHGpjiPvs&#10;5/50bI6HJmKIAz6jWkMc3vg2iL4sbIZ0BUYcGGz0k5HzJ5rcrNGNZjf0Gc1uMFVNAmy42c02+2AD&#10;N6Pz9jCDDyEglA/ChiCFclPcMOSGq914tZuvEOqfkg1XEtOm2J4UysUNTAibmBTbelbtzbblAx62&#10;HerBjWluSIvFgxvsdpOd574d5xy3fYvnBPJAfszfjquasWXPj+iaCskQJ0mSJEmLqWdfsHVs7u3b&#10;EIefDhwEXxbud8V0iO5Dc/egXDdx7dS3ovVidK+KskJa/4h5hecVzymeTzyXONbt/sO87fG0EfdN&#10;uDfEfQyIdY3O+Sbi9aFGNp7Nl2Vh29v2p6L6TULIC/mjXCgzrncYNxg/AOOFYfFWwGgOTUmGOEmS&#10;JElaTB1tiNu0dzhFN6atIe7UU08d3YPg3mSR4U+f4icXhRAyxAnRBezt8BzauXNnOIfmtBCGOPwU&#10;5iD6smZxE1D6yUia6ayhbl5+MnKaQj0h1Nma2iC0DYxtaCu+yY0GN4hvDlsk+CDDbrbywQU3AbnZ&#10;txI2WRddaH+7McyNYG5+ov/Ql3rIIxYJe11J/QT4pAxx1772nPDhvSRJkiRJ/UiGOCGEmC401WFf&#10;wBtVaazjfo81edGIpn2f2cru+/g9nyb7PQjPNGWIkyRJkqTVIRni+uOTn/zkqB54U5wQQoY4Ibpg&#10;1+gr1hB38slnjCqJzahFJvq5SP4kpDXbUTCPWeOdFd+e1lU2TeZH0xrEcrGcLDfrsYhmtlkTbbDS&#10;TJfaYOW3ZyGeD6tF2NSkuLmJNvEbnJA1tnGzUwY3sVLBucDzZPfu28I5VIY4SZIkSVpMTdoQ97sf&#10;vWh0H4F7ayGEEP3BL1Fy/4dfprQmu2gfKNoLsvtB3Bvh9Xslye/7QGgLu/eDtvJ7P2jjPvd90Ecs&#10;07O3Hx/OoSnJECdJkiRJi6mtz71gbA7uYog76fSNd9m0ag1xT3nKU0b3IItsiLv66quX64C3xN13&#10;333DT4VY3TziEY9YPi9uvfXW4SdCiFqwB8D5cffu3eEcmtNCGOJOO+3sUSWx4SGEOILfYLWbrHaj&#10;lZutFDddufFqN1/biGmkxE1LCuVB+VhmGtjsZqaMbELkwQMSzo+TNMRFG/MyxEmSJEnSZDVpQ9yn&#10;Pn3Z6D4C5gMhhBCLC/dQ7B6R3Sfye0WU3TPqSz4PWwa77zOvez8oM+fHMzY+NpxDU5IhTpIkSZIW&#10;U/NmiMP9khBCCCGWlj0mnB9vuOGGcA7NaeEMcTDSCCGEEGJp+ZvynB937XpjOIfKECdJkiRJi6m+&#10;DHE3/fKF4UP7z3/hZaP7CLyRRwghhBBLy8Y9zo9PPOW4cA5NSYY4SZIkSVpMyRAnhBBCzCd4MRPn&#10;x1tuuSWcQ3NaCEPcpk0XjCoJB6AQQgghlpbfvsj58fnPf3k4hx5tiNuE8I2QIU6SJEmSpq9JG+Kg&#10;QfBlyRAnhBBCHAZvruP8+JOP+6Fw/kxJhjhJkiRJWkzNgyFu/fr1o3sQGeKEEEKIw1hD3O233x7O&#10;oTkthCEOD/kH0ZeFh/9CCCGEGDfEnXPOpeEcKkOcJEmSJC2mpmGIO+aYHxjdS8zbT9YJIYQQswDz&#10;IefGhx/zr8P5MyVviMMD8UE6VcgQJ0mSJEmzkwxxQgghxHxify1txRriLrnk1aNKosJCCCGEGP/d&#10;dLxNNZpDZYiTJEmSpMVUe0PcxkM2Xs4Q91M/9e9H9xIyxAkhhBAyxEmSJEnSapQMcUIIIcR8Yg1x&#10;H/zgB8M5NKfIEDeYq7cN0usfn1GtIW7XrjeOKilDnBBCCHGYvXv3jubH0047O5xDMdf6+XcQvhEy&#10;xEmSJEnS9OUNcbUP1RsZ4o7/D6N7CW24CyGEEIfBT4lzfozmz5T6NsT9/ic+FD60lyRJkiSpX8kQ&#10;J4QQQswnGzZsGM2Pd955ZziH5rQQhrjdu28bVRIVFkIIIcTS0v79+0fz48knnxHOoTLESZIkSdJi&#10;6vyfm7wh7snrf2p0L6ENdyGEEOIw1hD3+S+8LJxDI1117flm3q6fu8ETTj1j7XhcGeIkSZIkaVo6&#10;7+IXjc3BJ522cd9wim6MDHFCCCFEf6xbt240P959993hHJrTF7/05fE5fllTMsThZ9yih/de1133&#10;7lElUWEhhBBCjBviTjjhSeEcGhniTjh165pBnGpkiJMkSZKk6WsahrgzNz9xdC9x4MCB4R2GEEII&#10;sbqxG+6/+9GLwjk0kjfEnXj6poODNKqQIU6SJEmSZicZ4oQQQoj5ZO3ataP5ccUa4m666QOjSqLC&#10;QgghhFhafnDN+fGxj10XzqFXvOLmsbkXkiFOkiRJkuZfF176rLG5t/ahehND3HnnnzG6l4DRXggh&#10;hBDjP8nSxBB33Rt2tJq7gQxxkiRJkjQ7eUPciadt2j+cohvjDXFX7N4TPqD3kiFOCCGEOBpriLvn&#10;nnvCOTSnr9z71bE5Hhqs1XcM0usfvzHfxhCHV9YLIYQQYml5Ycz5ce3aHw/nUBniJEmSJGkxNQ1D&#10;3M4Xnz26l9i3b9/wDkMIIYRY3VhD3Hvff344h0aSIU6SJEmSFlM/v+uKsTl4Foa4448/fnT/IUOc&#10;EEIIcRjOjVA0f5a0EIY4aBB9WTLECSGEEIc5dOjQaH78wR/8kXD+vOqVt45N8hA22gdxqokMca/c&#10;c3b48F6SJEmSpH7kDXFYTw+n5ixtDXF79+4d3mEIIYQQq5sdO3aM5se37zsnnEMjeUNc7dwNZIiT&#10;JEmSpNmpT0PciadtPGDTamOIO3jw4PCuRAghhFjdcG485phjwvmzpMgQd9Lpz9g1SLN/uhjiYIQb&#10;JLEsMV987nOfWzrjjDOWtm/fvvTlL395+KkQh9H4EGJyWEPcQx/6sHD+lCFOkiRJkhZTL7p83BD3&#10;hNM3/vNwas7SxBC3++oLR/cSMsQ1B2sdth/+LcSs0FjMo/YRTdm1a9dozLzp5i3hHBoJc66dg59w&#10;+qaquRvIECdJkiRJs9PRhriNB4ZTdGNkiBNCCCH6AfMh58Zjjz02nD9rZOflw5pzQxwMANMERh7k&#10;i7/iaG688cZR3+DfQlg0PoSYLDy/HvrQh4fzZ2SIg8FtEKeaaGNehjhJkiRJmqz6MsThbTXRQ3vo&#10;hhsvH91L7NmzZ3h3MT0e8YhHjPKvUcrI8p73vGf5Szg2LP6PzyfJJz/5yVF++LcQs0JjMc8k2wdf&#10;/Mtdy3Atuvrqq6uMeB/84AfDNLxuvfXWYYyjufTSS0fhtAfTHmuI23Pd08I5NJIMcZIkSZK0mLry&#10;l35pbA6WIU4IIYSYPdYQh3kymj9rZOflw5pDQ9zatWtHlZ22IY4b6/jbNyvhW6rcsMMG4KJvvGJT&#10;kXUR/TDp8cGN59yGsBArGWsYj+bPa67dZyb4w5IhTpIkSZLmX0cZ4n5249eGU3OWJoa4W2975eg+&#10;Ag//pw3zrpVfT9x3331LP/MzPxOGpWAOmRSTMtloXSosNWveSY3FlcIk28emXRL2FXHdSmG/UJhT&#10;yuiGtG04XUPaA5M42/GKK9eHc2gkb4iDBmlUIUOcJEmSJM1O82CIw5tvBtGXJUOcEEIIsbR01113&#10;jebGPg1xg7n62kGa/dPWEPf2t398ad26daPKouLTZJKGOG1azhd281EsBuwvffNZrFasIe6mmz5w&#10;1BwqQ5wkSZIkLaYuv3LcEAcNp+YsJ56+6aCNkzPEvec3rh/dR+zYsWN4dzE98KUwrINz4hvbIbyJ&#10;ycK1OoT1AI0mSNfGm9Sb4lA+5oF/94XWpcLCsZBb805qLK4UJtk+ubRxzcKXBO21CiY1fy0j9txH&#10;WimlTHU001ohf9Ec/Iw42/ClV54WzqGRbtl38di8DQ3SqEKGOEmSJEmanV59/evG5uCTTt9413CK&#10;bowMcUIIIUQ/HDhwYDQ3rl+/Ppw/a3T6lnPMHC9D3FHIELd60IOHxYP9lXs4IMRKxs6Pu3ffdtQc&#10;GhniHn/qGRsG4auRIU6SJEmSpq9pG+K2bds2vLuYL/h2LP+mN7uWTr056zGPeczycfydBJNaz2td&#10;KiwcCzLEtWeS7VObtjWr4c2WEV3Pfb4xE4bg1LVT1LFv375RX2x/7snhHBopMsSdcOrWNYN0ikTr&#10;7t/60B3hQ3tJkiRJkvqVN8Q98Wmb/3Q4RTemD0PctH8pTUyH3Nvg8cU++BBwL5/6Ao04TF9txTVT&#10;7m3sYvGw55nOpcXHGuI2b94czp81WghD3IYNG0aVlSFOTAo9eFg82F8yxInVip0fI0Pca173nrFJ&#10;HlokQ9zdn//dYU1j/vmf7136m7/9s6X//tvXhvG/+MX83Prgg99e+sd//OvlfKL4ENInCO/zwv/x&#10;uQX/RzwbLqWPfuzmpfu//fVhzCN85rN3hOGtEMZTk2+XdrFlRTiU34ehfNgojFepbEgTZUO4299z&#10;WZhGSrYviW9n1KctvjzR2PjGN/5xLExb/dEfvXPp7/7u/xzVxjgn0DZ+nKJs0TiLQDjE6bMtMJbQ&#10;b7Y92Jc41rQvJWk16Mqrzx6be6Gah+oryRCHN7uxfH69fPXVV4+OpbDxsWHaN5Naz2tdKiwcCzLE&#10;tWeS7dMkbXtuR2+u7HLu4xrHuCgHjHD8f+5nWkXM/v37R+238cyfDufQSO9676Vj8zZUa4hDOB9X&#10;hjhJkiRJmo7e+JY3j83BT/jZM/96OEU3ZiUZ4uw9pZ7BdSd3v2+Pqa3z9NVWau+VCX09UN/rfzF9&#10;7JfVzjvvvHD+rNHRhrhNewdp9o83xL3gkmuOenAfyRvi4ARMgU0ebIzT1YtvR3b9eYCcIY4bTnRz&#10;w2mKGwTmj7/4v998st8MTSkCJ679pieEOuJindrg4k/FIE+EsTcwOGbDpL6lShjOtoXddEs9ZEC+&#10;KCO/rQqhDkgvuhixfqlJCHFKeSIujte8DYD1Ssn3PcPn2hRgPGA8Ir7tM5QJcVJlbzuuLH6s4G+q&#10;vQmO+XxScWrbIDc+eIzty3T4Jgfmn4qXky9zm/YQYhGw8+OuXW88ag5ddEMczD21REawJvFhVIpM&#10;OT4NGJHs8b/6qz8ZHjmanNGOQr4RyDcKbxXFheGoZC7q0i4wYVlgaLJpU6i7JRXOq0nZANo/SscL&#10;dYjw7Yz+bYsfG5EBD/hwTZVK1+Lbu2m92sSxsI5o95o+hYnPlleSpOkY4j78u28b3UfUGOKwLuE6&#10;AIru1fuE64JonYo1BI75tZoF5WVZsW5pA9eyLAvEemMtwc+idQU+w/qGZaVQH6wT/XrOtm0kX1cY&#10;ahDHrrMZrm19AdK1Zeb6Fe2ZAvsuKAvXWxDrmYvH8Kl1mV37RWON8XEMYrnxud9PQHujXWx74d8I&#10;5/uCsP9tnJq1ZBSvlJfF1jslmz/+bT9HHn5tj/+n8ka7IBzqBVBOxkW5oz5EHD+2OfZS+dh6pWBZ&#10;kH8E0sa4sudkJKRDurZPDp92DqRv29WDdmdaTUGbIB7aBeCcZFqR+U7ksd9C33Tm48M5NJIMcZIk&#10;SZK0mPKGuCedseVvh1N0Y9oa4o455pjR/cc8GOJw78ryQKn7c1FP7n6f9+9o59K6YrVTaivurXB9&#10;m4J9gX4Ri0FN33JPAWvjNmt8MV9YQ9zOnTvD+bNGW57zgrF5fi4NcdicHySxrJwhzm/GUV1McUwT&#10;fz124wsbTNzY8sJGlz3peDLm5OHmVko+D8LyIz7C+HjAlifaZAb25gdpkdLmH9IrbVT6zTle0LiR&#10;57FtkZqoWFdsapZgfin5vq9pU5AaD1ZRm7UdVwRxovBURCmO76PaNsiNDx5DWvh3qp7+pqbpw4E2&#10;7SHEomDnx8gQd+Pr7xib5A9r47ZB+GoWxRAHvKmmaXxvjorS8GamnCGuZALLvYErKosV3gCWomTE&#10;69Iu0VvP/NvIIP82sloTWNOyAZj0orSsvEHPYsvf51vRUm9kqylvSrnxZvHjp4m5rc83xNX2Z62x&#10;UZJWk6ZtiIPJPgfWHdH9Oj7LGZ7aUjJzcD3i12oeptFmgxP1yq1lsdbkv/1ap2bNgraz67km69Ka&#10;PYVS20TYOnlF6aH8pXKjnlEfAobx7UfweS4Mj6E9/Pi05UU5o3UrFa2t2+xlgFJeNWOx6ZrXtlPU&#10;FlRqD4EPZtBm0RiweaFsufpBaDeE89hypmBZojA4J1N180I7kK7tk8OmbdsphW1fn1eu7iU4Vu1+&#10;HT9rcy1Y7eDXSdgXT17/U+EcGumO33nx2LwNYT09SKeIDHGSJEmSNDt5Q9zJTz3za8MpujHeEHfx&#10;5VeGD+e9rCFuHojWnF2etYtu9/uiHqx/0MaldRD7omaNLuaD2r4VK4e9e/eOztU+DXEnnbZx3yDN&#10;/vEb800McTt27BhVFq+tj8htGGITqC25k8tufEF2oxcbW3Zyi4xZtRtn9sYDafKBA/JAftzMi8rI&#10;8lP4P25aIF7kkQ6P280zC/JhGPvAI1cHpMsNOGws2psl9JfdOLdxbV7RJirThJCuB+Xj8WiDOkXt&#10;zUhNmwL0C/odn9uNTttnUfltm0JNxxXTxjE/VqJzweaH8rDNbV5I01LbBrnxwWMsL+vJtrLthL+2&#10;DQnTtnl6mEZtewixSNj58fnPf/lRc+ikDHF4SB89vO9b3kxjTVUw6/g3pMGoVRsfJqjIXIR0a9OA&#10;fBq+TN4kZWXf9OXjeUOTl83Xxy0Z8bq2iz/uDV7+p1ybGMByZUNbIm0fBkRvCLSycXx71bydzBOF&#10;sUK5LTZPP06byJsRbdnRdzD+oa6lN8QhjD3eRJ4oDIQxY0HZbX/iOMoPA57eECdJRwvmcz//1jxU&#10;b2KI+6P/efvoPmLdunXDszUm2gynojVJV7jeSN2vl44TlhHhm2LXPNZcY9cplF/rYE2FMFhf22N2&#10;jQVF6297PAXKg7rjr10zY71j19lYn9WCdBgP6XL9hTRRJqTrQd8zDuri11u2naK1PY/59iNcM6bC&#10;8BiF8iAc8oaI70vWDWGxBubnBMfRvvi8yV4GQDr4HHX38VC+3No1gvnk4tl2Yt6svx9z0flqj0Oo&#10;O+IjXRyz/cr2Qh7ROLFp8Bix5Uxh0/CwH33b2rGG+J6u7ZPDpo1/l7B5+fC5uudAWzAe+wrgnIw+&#10;F2UOHjw4arufOv4/hHNoJBniJEmSJGkx5Q1xT3za5q8Pp+jGrBRDHO/7sfbhvXbTe2UxTtv7fdEM&#10;rhtL+0Dsi2gNKeaT2r4VKwdriNu9e3c4f9boeRftHJvn594Qh1fjRdiJJFJbcieX3fjCDUG0wcv4&#10;0UZ97cYZbzbsBq3FpuPLwPyh3AWCG7pROQGP4ybIkqsDN4KjjVDC8tnNdYRlmn4iwiYej1F+Y4/5&#10;Qql8I2pvRmrbNEcuL9umTceVjVtbd97YpvoJafp+r22D3PioqaftS/tAg/BY6oalTXsIsUjs2rVr&#10;NMZf+MJfPGoO3fvmD45P8gMN5uMdg/DVzKshDoJByhuEbJhSfAhmLYsPU0rDm8Ng7LHk3tZmy+7j&#10;lQxL9u1jiAsDlCVnxOvaLlG72/x8+tEb5FKqKRsUvfEtlQ8+t8CIZcsPs1oUz8oThbGy7Ye+8f0L&#10;Y18ULye0haU0Rqy6xPXyRGEgf27g/1E4SZJiTcMQ9/k//+3RfUTJEGfv/73arolSYF3AtFP3+dbo&#10;4dcZFoZpWka7jojKgDUo11FQrgwRbM+oXLXr0hRY93APIdV+EczXr/1SlNoI2L6MHp7wWKr9bB5R&#10;GB6DUmWwZqFoTwXthbLZ9WbbvQzAzyOzYxtY9lxf2nZqszfFvmf8VJ1tuFSf5dbwtpwpbB4WlImf&#10;R3sDzBfl93Rtnxw27VSbWHLhU3UvgfGLOP7ctedfNPZFGvxMGdvu2ON+OJxDI0WGuBNP3bRukE4R&#10;GeIkSZIkaXa67R23jc3Bpzx9yzeGU3RjVoIhzt5H4p6V95tQaq0gyrS93xfN4NoOf3OwL9AvYjGo&#10;7VuxctizZ8/oXL3hhhvC+bNG3hB34mmb9g/S7J8uhjj7wD9liLMTtFfTDS1L7uSyG1n226mW3ASX&#10;2wgjdvM2B8P4TS6WP7eRC7ChyDT85qDdePTp5+rABwS5yYTt4zctGddv6HGTE/VCHPzbb4bSvOc3&#10;pkvU3ozUtmmOXLvZY03HVdMNT2swbLJBWtsGXesJGCb3ACU1xrQBLFY6dn4877zLj5pD+zDERRvz&#10;82KIK4Wpie9NOz5MKY0ovjWrpcxW/i1q3rSVMyzB0GXhm8EsOSNeH+2SMjshnKXJ2+GgmrJR3gSY&#10;ekucNaPx50C94a9k2vNEYays4Q594fu3abtAvm1rjHyUj5sbXyV5ojCQHyOlt/jlZPuaY02SVroi&#10;Q1zNQ/W2hri1a9cOz7IYrsMiRffpXajZbLfrGKwL7XoCx7BGxFqFYaL1fA5ruEuVwa7V/VqnRG7t&#10;WbsuzcH1WpN62z72ewIRtQ9FbDgPP0+1X249CXgst/Zn/pFRKkWXvQzuR3TZL7AgrVJZatbWtWMu&#10;1/c8p/w+jYfh/Piz5UyRKmdpLOTS7to+OUrl8uTC2zLkZMEY495YtOfBsYw+EfVYQ9wxxzwsnEMj&#10;ffj3Lx+btyEZ4iRJkiRp/uUNcU96+pZvDqfoxuAhu02r1hA3iDrS97///eFdSRrcS/JeD/eDWPf0&#10;sf4AXA/zHtKufaMvp1h4b0pwj8tyQlgjpO7JQdf4BOXkutjGzZWfeWNNhLZE3lzbQFjrldbK2I9A&#10;XzAt2ze5NYd9lpnKA2mjb2yZSnVieWwc/Buf4VgKjC/U19YD/69Z8wBbn1QctgfSTsE+RHlJqq1Y&#10;1pSQn8V/3qa/U0Ttnuor7sXgeAruM+Cvh/FZD5TZ9h37O3V9YNrsJ5xfbHcI559vuwjkmxpruXHD&#10;/FEPlBHhGZ/1LfVtpGhccezwWO58TYFj/jyMFK3PRXPsM/AuhjjMxXZuftLTt/7OIM3+6csQh1fj&#10;pbAnqFXN5JiCaUYXIpzAzCN1Mtswnpr4uMgwTI38RSlXfgtOYJ7w/pvMuEAzfX8RyNWBn9fKwgs4&#10;ZCdle2Hkv3lBBCgf4+VuAiJsW+eobdMcuXbLHSM2jMfeHKJOuZsaeyObyiuitg1ydckds+TyYvzc&#10;ZNykPYRYNKw7/pxzLjpqDo0McSed/oxdg/DVzLshzv/8pQ1TE9+Hgdksd9ynERnH7E+hgshsZQ0+&#10;+Dc+s+QMS/6nVvEZ3tBmycXvo138W+Lwb3ze1GjmVVM2CscsqTrbMUJTljcklkxWnigM5dPm2/Ns&#10;OdBe9q16NfKmOoD2rkmntq1q5InCQNFb/GBOjMKWZOFYk6SVrmtfe87Y3Au1McRdde354UN76G/v&#10;/fjoPqJkiLPrRSt81uf9NdJi2tiEymHXqSml1rglatY7teuZiNzas3ZdmqOm/B60PdsLf9G+fv1v&#10;qc3Dru39ZjI/T7VfqY15rGY92KQtmG6tLHaNjby77EcBppWrY81YtGE8tWOOYXJlAdyrwTiy5MpA&#10;UmWx14aoTRnP5wm6tk+OmrQtuT0YW/eUfP1y+3Ugd/6JNGOGuDUyxEmSJEnSStevv/ddY3MwNJyi&#10;G9OHIe573/ve8K4kxt6DWmH90Qc0eth1ND8rratYFty/22dzXimzCI+3jY97Yq5VU0rtNfA40k6Z&#10;XXA/nrqvxr0+jqficZ0EeUrrCuSZShuK6oS1Qi5Oqi6lvZZamHeqvW3/RnVOPe9PtVWurpBfx/Jz&#10;jPPUWEu1UY5SX/m6ch2YO7c4pqMwjI+/dv3nhTEdrRmZNsYv+srHo6wXw1Ozlk3tyzH/VD+AUt+m&#10;5LFjJ3d+oBxRW9l9s5JS1yjRDOsRu+WWW8L5s0YryhCHwYkThoMRA7br5mPuIpO66FpsGE9N/NzF&#10;J5Kvb678HuaF9rNExjOSqoPdrKwR+spi49uJjn2LCcVOysRuLiKNJtgLdo4mbYoyYEwyTiTf9zXj&#10;wobx4Dzwkwbyt+1IbJ2ji3uK2jbI1aWmniCXF+OjHimatIcQi4b9/fTnPOeScB61c+9hrRxDXGQQ&#10;suagXHzE9W8Yi964VSpDZIiDeczizVYoo4Vvc7PkDEv2DXT2rVu+PikzWh/tAvm6+58FbfMWtFJ7&#10;e3n8cT9G7E+VWkMf3xyXkicKQ1lToG073z65t/il5NsHoB7oi1R/Q2hHS258leSJwkAY57aNCdoa&#10;dW9iCLTIECetFkWGuMefesaG4fScpK0hbs2aNcOzLA3WNnYDF/9uujFYAmsnpl+TNtYRKIfdkMIm&#10;H9a2iM9N7Nx6IaJmvVOznsHnKItfj1h5atelAGsa1D+1WZ8rf0S0cYvyR/Wzx3Pk2in1OcnFBTyW&#10;61+GSW2+erruZQC7VwGhTZF/0z0KwDRydSy1E7BhPDVjzsYvraVT6eXKQHJl4XmJ9rR7XygPx200&#10;Hru2T46atC22fj58TT94eE3G3wjshzDN0rkqxmG7QdEcGukP/udLx+ZtqGbuBjLESZIkSdLsFBni&#10;MDcPp+lGdDXE4adTS4Y43gNG6vrcK/WM1a7Vc+sahuH9Oe5xGR73v3ZtHN0/d43PtkF8tAWfeyIN&#10;e7+Nf3t4zIZhfLvmwPrbg3A8jr8sGz63+VIehOcxXy+fdmotZPdQ8G+mhzaxxxCf7Yi4rCNhelg/&#10;sO0RBnlFdU+B+MzDg3RZPiharyM/Hmc5QK6tQM1+DmAaVJP+zsExiDb27Y4y+TJzfOTKm6sT47O8&#10;yJdjxI+/KD7TZnw7XtDu9nqDtDy2n5BWaqxBkUmM+ds0EA/y+TEs/qaw9fXYsQOhzig/8G0VrZ+Z&#10;P+KxjYEdL1Ebifbs2LFj1Cd9GuLWb9z2qUGa/dPFEGffgJMzxE2C3MlVuugCG8ZTE99eaNpQc3Eg&#10;OHmZF09kXAD4GS8KllQd7GTb9uTnpj7aADAvXFSAnTBZXk6wuMA2JXeRtNS2qb1BzMn3fapNLTZM&#10;CvQXy0qxLUltnT21bZCrS009QS4vxq8ZYzXtIcSigZ8R53jetu38cB61c+9hrQxDHIxN9o1bwJt8&#10;IvNQCphs/FvQojS8QSsyxOFzWzZvtvLGKBqDLCnDkn/7mC2zTzf1Nq4+2gXyhidvfsoZtFIqtbeX&#10;HwP+uH2bnjdSeeNfqp6QJwoDebOj7QOkb+GbAZsIafh2tqTeGOcNcSlKxkDIE4WhorfEEdTDm0VT&#10;sn1VG0eSFl3Xv/7ZY3MvVPNQ/aTTN95l4+QMcX/zld8b3UfUGOImDdae3EAqrTNqYf3sRlUNuTUI&#10;ya1nUBe/9kjJU7NGw3o7ZYKzatOOKHv0jXi/ccnPSyabXDulPie5uIDHcuvBmjCWPvYyAPYrsCfA&#10;MQ3h36m6pqgpS6mdgA3jqRlzNn60N2RJpZcrA8mVJfdtdwj7QBi/nq7tk6MmbUtuj6+mHyz+IVJJ&#10;3EsTdWBeZNt9/gsvC+dRr74NcXg4Hz20lyRJkiSpX8GE7ufhWRrivvvd7w7vSGIYNlJu3VBD6hmr&#10;XSfl3nzEMFC0brDpRGvJLvHtMfw7gvfc0b0x40JR3vZ+3Rq0gD0WrQvwmV0benLrCvusOaoXyoL+&#10;smXiuiP1DNTuv9j+tOWI1lZNsJ4DXye0L49BkemMdfBjMddWoGY/BzANqGl/52Cc2n0o5pMrb65O&#10;tpypNbFdh/q6MG0oOieRHveHfD/ZcZQqfy4+sPmn0iAMmwtn28Njxw7KHZ1PzCOqK+NG44X7FdG1&#10;RbTHGuJuv/32cP6s0RW794zN8RvOPOvTgzT7R4a4ZhMcyZ24NdRcHCy8KPGix0kpdQLn6sDPUYc2&#10;2EkeFxr+316QcXG3n0UTeC21bV3TprZdEM5PfLl2yx0jNkwJTG52srP9YW86UnlF1I6rXF1yxyy5&#10;vBi/yRjLtYcQi8b+/ftHY/mMM7aF8+iTz3jW2ER/4mkbrx2Er2aeDHE5YK6BWahpfMTL/exkyaCV&#10;MsR5c5otmzVx2beoWZAvP7eybx/z5iX/NjT7djKrPtqF8vUntl5NVGpvLx/eH0cbEV8mb9ayb9vz&#10;8kRhIJ+mNwXa8oBS+0bCWPJGQEt0LtQa4oCNF8kThbGCiRNlSoG6tGkHSVrpWo2GOGt2aWpgi7Cb&#10;r1hPNqFmvZNbz9i1JdaqfpMtt/bMHSMsH9a/CJ/a0MyVvwbUi2tuyNaTn5fysP3qyxmla8m1MeCx&#10;3JqOexxN2qIm3SZg3c29CvxtMh5rylJqJ2DDeGrGnN38LbUL19t+AzlXBpIqC8YO2g7CmLLjEv9G&#10;vFS7dm2fHDVpE9SBYdFGnpp+sNhzq1Z9XFtXC20McZ/9s5ePzduHtXHbII0iMsRJkiRJ0uw0a0Pc&#10;PffcM7rvgCHuO9/5zvCOJMY+3/KKjBq14H6a65boGSvvwSNTC2E58Dw3BderUTpd4vMZcm7tZ+/f&#10;/Tqdn6fyzt37s23wNwXLB3lyaXNNG60hIuzazadlYTvadNEmjBuNgSbYcvg25Ri2Y9nvF6TGYq6t&#10;AOuVGweAabTp7xwsd21/cR2YK2+uTnYdWbMm9tcIpp0buzYP20/WY5Bba+a8CMwf4zxVfpJrB5Jb&#10;V9t2SJU3Fb80Huxx0R/btm0btWvPhrgvDtLsn74Mcfj3NMmdXKXBD3InQE382otJipqLg4UTMi7Y&#10;gJNR5AoGuTpwks5dRHPYiRd15w2FvVjzwoTy2vB+4qwhd5G01LSpb0dPrt1yx4gNUwvbz5a77c1N&#10;7biqrWdqbOdumACPoe+aErWHEIuGNcStX//UcB5dDYY4mIy8AahJ/Jx5q2TQShnivDmNeaCcFvsT&#10;nhbky8+trLEoMnB5o1T0lrY+2oWCkSkyO7V5OxxUam8vX197LNfWEMpuyb0dzROFgeybzCJDon1j&#10;HWjzs6kU4qb6En1i+6DWEJdrA8oThfFCW8Mk6g2BJGorSVrtetObzx2bew+r/FC9iSHu69/8w9F9&#10;xDwY4rh+9JvabeGapXYT0oL1L9smBdYwDOPXOlxrpPLOrT1L61K7Rkqt4WrXazXY/Oy6i3sFqTUv&#10;YbioX6N0Lbk2BqX4oLaclq57GRGluqRgnFwd7do6lbYN4ymNOYI2RJjSOcVwfh+pppzcS4EsGOv4&#10;rM2Y7to+OWrSJhyLkH8IAWr7gZSuM8Sew6Ww4gjr1q0btdunPn1ZOI96yRAnSZIkSYup3//Eh8bm&#10;YOgJp56xdjhNN6KrIe7YY49deuCBB4Z3JDH2HtSq6/rFPo+OjCm8J4e8mYzweG79krvv7RKf6+Ba&#10;+ft3fp7Lu0vcXL1T64rUejxHanyk5NdYXGdAyLPN83bCNZDfD+CaEeOI/7b7G3b97PNPtRWp3Q9h&#10;Gm36O4dd06L+qXOFcFzkypurU25cWRjG17emvVJtXpt3zotQkz+pCZsrU2nsABvGgnHIzyNPA/Nt&#10;svckylhDHNo9mkNrdM1rbxyb46dmiHveC18ePrj3WsmGOHsBiE4eYCe7mouBp+biYLFlqjHj5drA&#10;XvRT7VOCG9GsB2QnP1tehmn7AMXezEU3e6SmTVOTPLF5+bbJtSmxYWpJlZttjL9RvdHGvh41bQBy&#10;dbHHMEEgH4+duKK24I1SZJYrUVsHIeaZAwcOjM6RU099ejiPekPcE5+29b8Owlczr4Y4GH5gPoIp&#10;KPV2qZS5Cn+9kSr1M4wlg1bKEAfZPFBefJb7CU8L8rXHoNzPpVL+zXRRvfpoFytv8mr7djio1N5e&#10;Ft+eubam/M+mpvLzRGG8wS76yVpv0ov6uamQpm83YA2TqJelS76eKExOGMeRMc4bFiVptSsyxA3W&#10;1DuG03OSRTXE2bWn3xxrg00vWkeUKJUHaxeuRaI8eCz1xTKuFyFPaV3q1+wexOEar6+1DvOzG6c1&#10;fWbLauOSXDmx7rcb8VE/5tImNeVEP9ljfexleJBOmzRr1rw1adswHrvuzmGNotH6Hdjx68tiN5Cj&#10;PkN4e15ZmC6Op+qYwtY9FdeGaUJN2jgnbdulzsvafgCl64DHXnNy+13iCNYQ97sfvSicR73+4su/&#10;ODZvQzVzN/FxZYiTJEmSpOlo1oa4u+++e3TfUWOIA7j35HoJ98i43+x6n8d7RvyNQPosZ2qty+O5&#10;NVruvrdLfK4va4Q280YrHsvlzTD+3r8mbq7eqXWF/Tz1nN5j18A18mtN9LNdi0NYw9SsOzy2LGxv&#10;rmXQB4BrJbtO4prcP5sGqbYiSMenF8E02vR3Cbv+g1APrGmjc5TjIlfeXJ1y48rCML6+Ne2VanPG&#10;jfrJw/ht8ic1YXPtURo7wIbxMH+MXXs+YpzjMxxLXRtFOzZs2DDqjy6GuBv2vnVsjn/KprP+YZBm&#10;//iN+VpDHISfSR0ksayVZIgDPIbJBRdCyE8qdjMW5bAnGcLj/zjBOHlYcuVPwZsG+zdFrg0wufEC&#10;gL+4CNkbDEx6mAA4EUT4SQPt5GEeVG6jOIetCy9YKK+/yahpU7sJjHpzkkOd7UYk5Nst16bEhrEg&#10;L5QLY4h54q8tj29rewxxubGNeEiP7WupaQOQq4s9BiEfjn1f5lQ+LAfistzoL46zNu0hxCJhDXGP&#10;f/zJ4Rx6+pbnjk30i2yIK5mjvHLxvTEJhqnIWFcqQ84Q581pMPwgH+KNY5bIsOTNWzVEb/zqo12s&#10;fBvUmOhSatLn3iDo28y2dS0pM58nCuP7u5a2b9Pz8sZE2x5oR0s0vmrlicKUhDHl+7rLuJGklai3&#10;/PL2sbkXmqQhDpol9r6e9+05cL+PNRvu/W14rDHsegvrgbZwPezXKfg310iUX+uwDDYuQHn9xrLH&#10;rpNS61Lmj7SYd1S20nrNgrBsU8J2ZnpccxFbF7Q112G+LGjLqF/tXgfyYZiaNgY8lutnpGn7Eus/&#10;5oM0OfZsGqgH88dfWzeQ28tAeNTLthX+zbbC8SbYcyNa8wI7ZqJ2AjaMB/VLHbP4dkE/sS1xzKaT&#10;eohmxwzbDmnYuJTF5u2FfuD4jerftX1y2HioD/5PoZ8wFmy5UX+2mae2H4A9d1LpWVAWhrfXJJHG&#10;brzLECdJkiRJK1uRIe7EUzetG07RjfCGuOddtDN8OG9lDXHHH398lSGub3C/zTLUCPe4ETyOe9sU&#10;ufveLvF5391kHWypyZthcL9vqYmbq7ddV9i0U5/nwLqkaZwIrBu4HqVS67wUdlxx/cd2YFrIh2G4&#10;tuEaPnreX2oTlrk0DphGm/6uAXHsfgqE9SDaxML2yJU3V6fcuLIwjK9vTXul2pxx0V8lGL9N/qQm&#10;bK49UvWw2DAee25Fyq33RTvsuvzOO+8M59AaeUPchs1n/+Mgzf6RIS6+ENlNLCuPv2hGii44NRcH&#10;jz+howmHlNoAG7apTUur1Iac3bSDorL4trEbz02xm7OUb7uaNsUFL0qLssd8u5XaFNgwFnuhj4R8&#10;I0rjy/dP7bjK1cUey+WPce1vEIgfHxTzatseQiwKd911lxnPTwzn0Gec9YLxiX7TOb81CF9NZIi7&#10;/MpnhQ/v+1YTc1SkUnyYnyyRIaeURs4Q53821Ru0fFoWb1jybx9rAkxuNq0+2sXKt0EXY1OTPvcG&#10;QftGNm+WqwV9ZPOgPFEY/3a9WqI3ybWRHyN2DKEdLX58NZEnClMj30ddxo0krURFhriTTn/GruH0&#10;nGQRDXF2XZBbe1psnJT8JltTcmtZfG7XIn6tU1oH2/VgRLSWtGsvu2EcifFL6zUL13gpRX2DekZl&#10;tcJ6LrVGz62b0X62nr6NAY+V+rqmP/ymZSkO5dfKURgrjJsmlNa8wJ4PUTsBG8aT2zD2oDyldsFY&#10;Sm0C59oVY8XuR3lK63vKj9Wu7ZPDxisJD3xym+NN+oFt2OSBFONgvIsyduP9ffsvDOdRr8gQVzN3&#10;Ex9XhjhJkiRJmo7++E8+PjYHQ6vNEFcyekSK1jY8lluj5e57u8TnmrbJOthSkzfD+HVFTdxcvVNr&#10;Fmsoy6VtSaXVFpQB646m5SBc83Mdwv9zLY01EtPGZ1gz8v/RXkKpfrXjgGm06e8moH627325eCxX&#10;3lydbNo5GMbXN5c2SbU51t78PIftU7+HUpM/qQmba4/S2AE2jAXnAdbUEK6XHMcQ/o18c+t90Q77&#10;5vY+DXFPPuOZ3xqk2T+LaojjRT7aZCpdlAHD4ARJgZMEG38Ml9rQwkmIY9zEghAPJz5OvuhEy5U/&#10;BU9qlidlRgI1bcCLvb04QCg3jFCpiw5h20BRWHtx4oTaFpQVZWL9kbefHGrblPW25Uf5eLFnHr7d&#10;atqUYZCGBXliLHBSoDhGcqBcNh7STvVPbRvk6mL7Df/GcaYLse2jcW3BTbcdW6gDx2yX9hBiETh4&#10;8OBoXP/H//iT4RwqQ9wRfHz/NrSmb1ODcoY4KGWSivKyeMMSfhq2LfanM6E+2sVqFoY43x7+TXbe&#10;1NeE6Kc7Pf64Nz82AWPEpxcJxjm0T+qNfWgrCwyDqWN+fDWRJwoDIX8/9qz8uOnLGChJK0l+/p2E&#10;IQ4/lTqItqxZwQ200trTE93nY12A9JqkkwPp2PUh10hMn2u9aN3m40JY73Dtw/QiatalSMeun2zZ&#10;0DbMrxbEQ9vZtRXSRBo5E1dpzVVaz/m62noAfh61MY/VrO3YH359nisjPm+6l4HPfD74Nz6L6lBD&#10;bs0LOJ6gVB65McfxEh2LyI0Vv7kdgbLYscvxjfZOlRNtwPA+D8RDu9sxaNuBafrPLal8S6AtEIfp&#10;W+FzlKn2mlTbD7Y+uXPTw2stJMps27Zt1F61hjjIzsGHJUOcJEmSJM27IkPc4089Y8Nwim7ESadt&#10;3GfTqTHE4SH/IOqyYIi7//77h3ck04P39qU1JO69WdYoLI/h3jMF88JfT5f4WHMxfmqNl4Nx/drb&#10;wjB+Lcj1H+7/U+Tux5FeKm2uN0p9Q7D2YFq5dmwK2z1XxwiucyBbNrtG4loOdWR4tGlErq0A0yqV&#10;k2m06e82pPof+UefW3Jtb+Onxr1dT/s1JNsrOh+JLbvNw/Ztaq0N/Biw1PYXqAmba8/S2AE2jIV1&#10;qCmn6A9riIN5PJpDa/TWt71jbI5/8jO23j9Is3/6MsTt2rVr2ARCiEWmZuIRQuSxhrhHPerR4Rx6&#10;tCHu3E8Owlezkg1xkDeseTNUKY2SIS5lZIuMQhZvWPJvQ7PHvEqGtj7axWpahjgYwVCO6KdjfZ72&#10;bXy+Lb38T51GP5vq8cd9GlGbWvm3Bdb8bCrbGXHxb/Qzj6Fd0M8WjD0eR3kspTbJyROFgdiXKBfK&#10;wjqiH9FeTdrA9nmX8SVJiyY//566cePu4fScxK+7L3vF88IH9tC/fONjc2GIE0KIEnwAkHugYx/O&#10;aY9BdGXHjh2j8bTv13aE82gkOwdDP7vlzOLcTXxcGeIkSZIkaTr687/447E5GJqVIW79+vVTN8TZ&#10;L1zUfMHFfrnFG3D4eSot+1wwMiJ1iW9NP1HaJWriMoxfb1gzXmQMQl14HPLYejVNG32A9ZI9xvUT&#10;zHQpk1RTmhiXLNYExzS82Y1mI5SXZUe9I3JtBTg+cwYvwDTa9HcbkA/Ts9ixEeVjzWRR29t0Ueeo&#10;v9nu0XjgMShqc4SnKdPnb/s2ZdhE/JxhlPlHxzw1fZtqZ1AaO8CGsdgx2sd4EHXIECeEWGhqJh4h&#10;RJ5Dhw6NzqOUIW7LuZeMTfSnb37u/xyEb4SND60kQ5w3rHmjUCkNmpSIP+5/xpJYMxNlseXwbx+z&#10;b/5KyZujbLn6aBcr3wZdDEu+bDV4A5sve+nNY759/dvmII89Btn2Rnx/3Kvpz9JCvp1z+P5CH9dS&#10;Kr8nCgM16ctS/S017StJK0Xrn3Hm2Pz75DM23jCcmpPIECeEWInwOpV7WKE9BtEn1hB381vSb1v1&#10;Om3LlrG5+xlnb3nzII0qbDxIhjhJkiRJmo7u+Zu7x+bgw9q4bThFN6KNIc4auWCI+9a3vjW8I5kO&#10;qbc/pbDl9aY1fk7h/p1pIh6NNZExB3SNTzMVBHOPNYnBvIPywngTmXdsnikYxq83rDEIZeBxfG4N&#10;OpQnt5axhkUYi9AOBPWh2cjGs32E4whn2wth0e9oR9tGKCvax4bHX2vKwr+bwjJS/otOto6Uracl&#10;11bAtjfHJ9L3YRmmTX+nQDjUFW2Evid27Pqxh/ZlPgjDvBCfBjAqMo358eXHnzVURnWlIY1Cniw7&#10;2s2eU1E72OsH4trxhHrb+PYYYf5R3Tw1fWvDeBCOx6K6ABvGgjZhH3qhz1F+tHUqXdGOtWvXjtq5&#10;T0McNEizf7oY4t7whjeOKjvtn0wVQkyGmolHCJHHGuIe/vBjwjnUG+Ke+sznfWYQvhE2PrSSDHEw&#10;PuXeVFVKw5uUojz8G81SP5FpsYYm//Yx++avlPAGOos1jfXRLla+DWrMXSn5suVA+SKzm2/v3JvH&#10;KP9GPN/GHnsM5kZL9IY5L7zRzeLf4hcJfeLLGYH6e0Mf+rgJNq6XJwoDoV38GIqoGS8WGeKk1SRv&#10;iHvqM8+8dTg1J5EhTgixEuEmOjagsfFtHy7g3/iMm9PYjBaiK/hCNufHLoa4bc/bVpy7iY0HyRAn&#10;SZIkSdPRPBniNm/ePHVDXMqok4NxcJ9uYT2QVso8gs9TZieGaRsf5iJrwEkpehMWj7U1SGFNwuNe&#10;KJM1lXlKz0tzaUNRfUpxKLu28uYqL9/ftVjTFBT1nzXNoY9TlNoqZVzy/Zr63MIwUT4RtmyRUC7b&#10;3iTXVzBasf0i05jtM2t+80oZzvA5jqNvc+dOqp1wzuF8jeJQqDfqGMH8U+Wz1PStbQ9PaewAG8Zj&#10;087JGz5Fe/oyxL3z13/DzO+HNUizf2SIE0JYaiYeIUQea4g75pjYEHfO+ZePTfKnnfmcLw7CN8LG&#10;h6ZliLOmLhiGaoxNVjY+TDSp+N48BiNPdCxKwxqbcNzGtWGsMShlaLNvGUO+/NwazhDGm50ioRw2&#10;T/tWuT7axaq2fjXy5j8PDGGoC/JItYM11dl654T0LN5oZ/vGmhUhazZDO0QGw0g2TcSLwkRCWVEv&#10;2+ZIC0a8VN5oK5tfjlJZcm3hhXzRlt7oiH7E+Ko9p1Ff0sVwKUmLJm+IO33L5ncPp+YkJ5628YCN&#10;UzLEDaKMJIQQ8wq+9R1tfHvhIUr0rXMhmmINca953fZwHo3kDXGbt28rzt3ExoNue8dt4UN7SZIk&#10;SZL61aFDfzk2B0Mnnr5px3CKbkQfhrhvfvObwzuSyYN7Z+adMplFWIOThZ/BOAKjDAw6vI/HX/w/&#10;MgSRrvEJzDc02lAw+8C4kzLmMJ/cG9AYJrXmwLNOaw7C+oR1QbnxGdLw2H4opc0yQLn6AOSJNvNm&#10;M7QN+tC3JcqJ+vu2w//bvBmOoE4sN/4iH481G+UMRTVthc9tP6Dv/fhmebr0dwT6w/cT8kedonoT&#10;lM8a0vBv9i3NlEjXY9sN5NKJYF/jL0B6drwgz5pn+Ll6585Z9lNUt4hS37KtUA5P7diJ4iMPxvXt&#10;iX5FG9nzpsmYEWmsIe6ee+4J59Aa/eYHfntsjodOOHXrmkG6/SJDnBDCUjPxCCHK8DyCojl0kQ1x&#10;kiRJkrSadfqWzWPz79O3bfnN4dScRIY4IcRKBZvo2Ez3D2ewUY3PsCmde8AgRBOw/8wx1sQQd+b2&#10;bWNz91nnn12cu4mNB8kQJ0mSJEnTUWSIe8Y5z905nKIb0cYQd/vtt4/uO84777ypGuL6hvWAqaYN&#10;XeMLsdrwhrimeEOciKHJMGfWxH4E+0IvAuqHhTfE4QF99OA+kgxxQgghRIz9qbNoDoUB3c6/G848&#10;995B2EbY+JAMcZIkSZI0eR1liNt65seGU3OSJoa4Q1878u1GSAghhBCHsYa4V1x1VjiPRtp+4dlj&#10;c/dZ520rzt3ExoNkiJMkSZKk6SgyxG173gXXDafoRrQxxN1yyy2j+w4Y4r7xjW8M70gWD9ZDhjgh&#10;poMMcdOh5toEExzDyRDXD/b5dxdD3Ic/8rGxOR6aO0Pc7t2vHFVWhjghhBDiCPaG4KabPnDUHOoN&#10;cadt3v73g7CNsPEhGeIkSZIkafLaePb4z65tPOvMTw6n5iRtDXG4nxBCCCHEYfbu3TuaI6/6xXPD&#10;eTSSN8Sdu+Os4txNTjp94yEbV4Y4SZIkSZqe7BwMnXfRJW8YTtGNkCHucD1kiBNiOsgQNx34hji8&#10;oR5vp7c/A4t/4zP+XCx+clb0wyQNcU849Yy1g3T7RYY4IYQQon9KhrgXXHLN2CS/fuPZXx+EbYSN&#10;D8kQJ0mSJEmTlzfEPX3b5j8dTs1Jmhji/ulf7hjdQ8gQJ4QQQhyhL0PcWc8/qzh3ExniJEmSJGl2&#10;snMwNCtD3M6dO2WI6xBfiNWGDHHT4XOf+9zI8JYTzHAIK/rBPv+O5s9aRYa4E0/dtG6Qbr/IECeE&#10;EEL0j/0N9RpD3FM2nvPNQdhG2PiQDHGSJEmSNHltfY4McUIIIcQssIa4S3duDefRSC988bljc/ez&#10;d5z954M0qpAhTpIkSZJmp5995jljc/j5l1z6zuEU3QhviNvynBeED+etbrjhhtF9x6Ib4mgYufXW&#10;W4efNKNrfCFWGzhXcM7g3GnD9u3bl+Pjr8iDN8FdffXVIxMhhbbHZ3hL3H333TcMLfqgL0PcH/zh&#10;p8bmeGgihji/Md/EEPfyl+8eVVaGOCGEEOII1hB33XXvPmoO9Ya4U572zO8MwjbCxodkiJMkSZKk&#10;ycsb4p7xrC3Fh+oyxAkhhBDd2bdv32iOlCFOkiRJkla+vCHuol+4/DeGU3QjVrshTgghhOiLVWuI&#10;wzf0hBBCCHGYdevWjebIyBB38YtfMzbJn/L0rQ8OwjbCxodedLkMcZIkSZI0aXlD3NO2nnnPcGpO&#10;0sQQ9+W/etvoHkKGOCGEEOII1hD3vPOeGs6jkTDv2nl42/nbinM3kSFOkiRJkmYnb4h74Ysv/73h&#10;FN2Iroa43bt3yxAnhBBCDOjLEPfZz/3p2BwPbXveCzcP0u0XGeKEEEKI/rGGuN27bztqDvWGOGgQ&#10;thE+vgxxkiRJkjR5PfuCrWPz79O3bb53ODUnkSFOCCGE6M7+/ftHc+R5558RzqORvCFu8/at/zhI&#10;owoZ4iRJkiRpdtr63AvG5vCf3/XSjw+n6EaceNqmvTadGkMcTHCDqMuSIU4IIYQ4zKoyxL30pVeN&#10;KitDnBBCCHEEa4jbs+ftR82hl11x49gkDw3CNsLHlyFOkiRJkiav839u3BD31Gee+c/DqTmJDHFC&#10;CCFEd9oa4q669vyxuXvLc7cV524iQ5wkSZIkzU7nXfyisTn85y67/K7hFN2IroY4vC3u61//+vCO&#10;RAghhFi99GWI++KXvjw2x0OXvXz3FYN0+0WGOCGEEKJ/NmzYMJojaw1xJ5y6dc0gfDV+Y16GOEmS&#10;JEmavPowxL3wxeeGD+yhLx78L6N7iLVr1w7vLIQQQghhDXGbtzwpnEcjeUPc08/aev8gjSpkiJMk&#10;SZKk2WmWhridO3eO7jtuueUWGeKEEEKIAavKEHfRRZeOKitDnBBCCHGEkiHuilfcPDbJQzLESdL8&#10;6M03nzXS9TdsWdY1rzpjpJddefrExDyYL2XLFJVZkqTp6MJLnzU2fz/lzDOLD9VliBNCCCG6M26I&#10;e0o4j0a67g07xubuM87e+sAgjSpkiJMkSZKk2ckb4l7w8zu/NJyiG9HGEHfeeeeN7jtkiBNCCCEO&#10;05ch7iv3fnVsjod2Xrn7hkG6/dLFEHfhhT8/qqwMcUIIIcQRrCFu9+63HDWHrgRDXMkstHPnk0fa&#10;8cInLOvc7T890pYtj1t66lMfuyz8m8IxhoeYRs4sJIPQ6pEddxwLdpxxfHFsnXLKv19a99OPWnrs&#10;Y39wWY9+9CNGeuQjf2BZD3nIvxppcGotpFh+1gn1Y51RfwhtAdlzzp5v/lzj+RX1gyStZnlD3IYz&#10;zyw+VJchTgghhOjOgQMHRnNkF0PcqWdu/t4gjSpkiJMkSZKk2ennd10xNoe/cOdlfz2cohshQ5wQ&#10;QgjRD5M0xL38muv+yyDdfunLELdv375hEwghhBCiZIi76pW3jk3y0NnPufT4QfhqJmmIg+EIhhga&#10;jGgsoqFons1DNAR5I5A1AdH8I+PPbERTmzVPRmON482a1qI+l6YjGu5otrMmO2+w47lF8yr6OxoL&#10;krSI8oa4J52xqfhQ/cTTNu23cXKGuE9/9tWj806GOCGEEOIIbQ1xN/3yhWNz94bNm78/SKMKGeIk&#10;SZIkaXbyhriLfuElXxlO0Y3oaoi7/fbbZYgTU+PSSw//Qt+tt946/EQIIeaHSRriXnb1ntsH6fZL&#10;F0Pcs561fVRZGeKEEEKII2zbtm00R86rIc6a3mBksWa3QfKrWtb4E5nqaPqhqW41m35QZ9TdmtvQ&#10;PpGRksa2qM3nRbiZp2BEodatW7csmF1TwnnfVj4t5gfZckAsX1T+RRDGAURTXcq0ao11Mq1K01Rp&#10;rGG+tfPvk8/YVHyo3tYQh2uAEEIIIQ5jDXHrn/L4cB6N1Kch7o1veXP4wF6SJEmSpP515S/90tgc&#10;/ryf+/l/GE7RjWhjiNu8efPovkOGuPnmPe95z9IZZ5yxbCTri8997nOj/se/p8WXv/zlUb74t+Xq&#10;q69erue8GOUe8YhHLJdzNRv35r0NJjmOZ3WOiCPMqg/ss6l77rknnENrZedm6Bevfe3+Qbr90pch&#10;bv/+/cMmEEIIIQQMLpwjaw1xOy555fZB+Gq6GOLwsB+GlEEyrWUNQ9a8441BO3bsWNauXbtG2rNn&#10;z/LPrVvhMwphGA9iWt4sZE1CURlnqX/7bx86MtV54483/9BgZ0121mgHwXjWh9D/9v9IG/lYQxvf&#10;2AbR2Aah/LM2t3Hc+fFmx5gdX/jSBh6cQXfddddIBw8eXNahQ4dGWnRYD9YN9US9cZ9OoT0ge87Z&#10;882fZ2jreTTf0bTKc4vnlQx1i6d3/tqFvShKOydc/3Ddw/UOYwbjyJrC8Tc1ZiZtiPvogZeOxjrO&#10;QyGEEEIcpi9DHDRIo4pZGOI++5mPLT3iEceM6ur1+MefsPSin9+x9ImP/1YYH5/n4kNPf/ppS//1&#10;v75+6e+++udhGr/93399LDz+78OgHDYMdO65W5NpWiEMyuDj7/7Fl4ThrXzZauN1aRe0tw336+++&#10;dey4lQ+L/ozCWZXKhmMo2/XXX7P0f/7P/wrTSAlt49OL+rPUNinVjA2k3bTckdBOaN/H/Icje0Bs&#10;G/RblAfGpC1LTozfV1u0Ka8kSePyhrjzL7n00OBcakxXQ9wHP/hBGeLmGJjE2Fef/OQnh592A+n0&#10;nWYNfDvc9u3bh58cgeWB5gGW5cYbbxx+svqY9zaY5Die1TkijjCrPpikIe7yq37pdwfp9ksXQ9xp&#10;px2ZYGSIE0IIIY4AUwnnyMgQd821+8YmeWiahjgYRQZJJIUbGhhiaDKyxiKYbObZPERDkDUD0QTk&#10;DUCLYPxZibKmNpodaWbzY43mtZVgWFsJ0GxnjXbWYMdzyxrr0NdQNBZmJRrqrGHVm+r8myBnbayz&#10;5q/3/MYvLOuO91810m//znXL+h//46aRPv6JW0b6o0/92kif+cz7lvVnf/ahMX3hCx8f6eBffXqk&#10;r3zl8yPdd99fHaWvfe3vR3rggW+GmiY0h+L6gTF60003Lv3CL1y29JSnrF86/vjHLR1zTN0DLoyB&#10;qC8uv3LcEAcNwmdpa4jDOSSEEEKIw2Bu5xzZxBB3y76Lx+Zt6ODBPWsG6RSZhSEOpqdB1lWCscab&#10;t5rEhzknMmz5NPB/exxGH3vcCgYgGzZSZNKiovBWkREP9SgZ8bq0Cwxw/rhNm4LBqSacV5OyQU2M&#10;h1F8jBsfNgpXIz82IsNiFK6pcmOGQrv4eFG4lDCum8axsnVsW15Jksb16utfNzZ/n/uCC781OH8a&#10;08YQt379+tH5KkPc0eCNWGgbvCFr1uDNaSjLYx7zmKX77rtv+Gk3ZmU04RvHMOY8P/MzP7N8LDLL&#10;zQK2z0o0xNWO73lvg0mO41mdI+IIs+qDPg1xp285Z2yef9krr/34IN1+kSFuZYLXIsIRj0nRv1JV&#10;iK7M22t5hZhHrCHuyitff9QcGhniLn7xay8ahK+mL0McTEkwsiyC2W2alEx1fKPWPJt+pqEm5jYZ&#10;2wTAGMidX7t3v3zpRS+6cHAfu23p6U/fsHTyyY9f+omf+H+WfvRHf3jpYQ/r9mbLvvXQhz5k6d/9&#10;u3+79CM/8oNLj33s2qUTTzx+6fTTn7isrVuftnTWWc9YuuyyHct6ya6Ll6551UsH58Xrlt7xjv+y&#10;9L73vXPpt37rN5b18Y9/aOmzn71zsID84mAhOG4qW83Q2MbxAmG8QLi+8FpDAyauQ30am5sY4vbt&#10;25p9qN7EEPe+/ReOyiBDnFhE9LMZYtbgIRj2w7BvsSgb8/q5oTpwL8DriwxxR+RNNU3jR2Yyn4Y3&#10;M+UMcTUmMISJ4kJReMobzqxyb22DuraLN+JF+fm3w/l2S6lp2SCUp2SK80Y+K/92slyf5OTfiubb&#10;gMJb0my4Jqptn65Gv77eENelvJIkjcsb4ra/8KIHBudPY7oa4u68886lb3zjG8M7EgFgAGL7rERm&#10;YTTBT78uUpuyrCvREFc7vue9DSY5jmdxjohxZtUH9jlo34a43a/+z58apNsvfRni8DBrmmBjC/nO&#10;iwt63rAX6pU4EYnZwrEFCSFi2hjiLnzRnl8ahK+miyEObzwaJLEsmLpE/3gTB40/NP/wjVpU9GYt&#10;vrkuJ5g/2grxkQeE/Ghoo9kvZWyDaFQRYhbY8ys6r/z5xHMJ457XvkUQz1PKnq/2nLXnLc9de32B&#10;0DY8l5uKbVySjcP8KJaD1xX2D/uI/TStvkL6yAv5o1woP8YTysUwMI9Hc+hqM8TBWMKf7IBqv3CF&#10;jRis12nygPBtZqxP+/rGtphPtCkqZo0dgzDFLQIsr/bw8mCuZlt1NcS98zcvPX6QTpF5MMRZUxUM&#10;O5HhyL7NLBcfBiqYpLzhBz/fyDClNCBviPNmsehnNCn/BjEfN4pD2XL5eKW3bXVtF19nb/BCGrnj&#10;OdW0d9TvaAMbzguGKxvWxvV9HsnGh/gGtZTQBrYNfZ41Px8bKdcvOCfQdyhrzRvi/PFaNWmLLuWV&#10;JGlc3hD33J+75LuD86oxbQxxxx9//Og8liHuaOxz6JXILNa1uZ9LnUfYPitxDVM7vue9DSY5jmdx&#10;johxZtUH2Ltnvn0b4q553Y13DdLtF2+I23LuJUc9tE/p8Y8/eVRZbEhME/4e+CQ2tlbCt5nxKlWU&#10;Hw8fdBESfTNvr+UVYh6xD9QjQ9xrXveesUke+vnLXnPDIHw1fRniYAYQQojVBA11UM6sSoOZNWxN&#10;w6wldRONhDS80dhLU2/OzIuwTKeJIe6aV5+9fhAnSVtD3KznaKwrraENqllf8qclUsLPmKzUN4fp&#10;7WiT25BbLW07Tz89tKjAuLtob1zj2JYhLo81xB1//GPDeTTSu9576di8Df32h3dl525y4umbDtp4&#10;szbEUd6cY8PUxPdvDvNhSml4cxiOWxNQ7mdTYQJiOPzb1yWKQ8FkxnAwGdm0oNwb00p1gkrt4stq&#10;jX8+faRl4+ZUUzYIhjJvtkrlA+OVDefjlsx0UBMTGGTbD3khTxsfPyMaxcvJjzWUKQqXko0LRWFq&#10;VNsWXcsrSdK4vCFuy/bzvzc4txrT1RB39913yxDnkCGuf7iGWZQ1AdtnJa5hasf3vLfBJMfxLM4R&#10;Mc6s+mCShrir9rzuS4N0+6WLIe7Hf/w/jSq7kgxxOoGFEEJ0pY0hbudLbnjrIHw1MsQJIcTssW+r&#10;8+Y6b7Djm9EgXHu90U5mu3GhLfgmN5rbILQfTW5oYxrd0A9d31xZY4i78uqzx+ZvqE9D3Nv3nXOk&#10;DIO6zgKYSbjm9iqtkfnlLAhfoOEb5fBWOGuUw5dsViLaT5hcG6yWtl3pD5ZEDPt8JT5M6pM+DXEf&#10;+YOXbh6kU2ReDXG5MDXxI0ObPV5KI4rv32AWmdP8W9RgoPJGIx+H8uYqvmnLfpYzoZXqBJXaJWV2&#10;8m9Ga/rzoDVlo2AEtGFTxjYbjuXxfYQ29PGsak1glDUo0hRpTYxN2wXybV5j5LOycaEoTI3aGuKa&#10;ltfKtmduTEjSShbmXTsPb33uBTgnGtPGEHfssceOzsFZGeK4hubLKbAOwr9ZLqyr8TObBOtu3E/i&#10;S2g4DoMV3jqWe0s74iNNvgiDwp5A9OUSm3+k6Lk9y2XzQNmQVmptxy9E8YtC2GtgvfAX/ye5LxVh&#10;T+Lqq69eLhcNZ0wDbZP6slVp/Yl0EZ9lgpCH7Y8m2C+ApdqEbY+/Hh5jn6Ectr3xb9tmKTgeGI/t&#10;xL0dC8O0WcP4/mV7so+QL9K1Y9fXCeWs+bIc4vk9rlRf2bpH8uObn7MN7PkH1ZYRfYOwdoyirhi7&#10;Udtb/Hlv8y2NY4JxE7URPk9dPyaZNkEY2+eRUFfAvkP4HBhnNl4JlJF1sG2MvkIaufOK/Ym+yPVT&#10;jj76t2+sIQ7zYzSH1grzsZ2f584Q92M/9hOjyuLhwzThiYO/fTOrwSOEEGLlMO+GuJddefqofDLE&#10;CSHEfAJzl32bHY13NN9ZA5414dGIZ814NOR50aDXl3z6Nn+WiWVEmVkP1oumtq7GtragDpwfmxji&#10;rrtxe/ahehND3Jtu3nKkDIPyzAK7AYkNQmy8sEylNTI3aFJrdZtWzWbsoqH9hMm1wWppW3uOiNUD&#10;+xz9L9LIEHdEeNNWKkxNfB/G/qRjdNyn4U0/OO5/CjUyp1mTFgxk+KzWEGfrTJORN9jRoBapVKco&#10;jG8XyJcXRr0mxrxINWWjvPkOisKhjXicb2bzfZTLB2piiPN9wbfn+bGaSyOSf9MdBLMd8ovCe/m4&#10;UZga1bZF1/Ja2TR4vkjSalNkiFtaOrhmcF40oqshDm/AmYUhjmsDrK9p4oiEcDBHpIwjWONHxhOY&#10;PKLwVn5tT9NJSj48ymWNHJEiY5Jd/+G4DQ/Z++bcGsoajFKK1pe59SfqlEu3zXrV1jFlEkLb4ni0&#10;38JjNP8xLa+orUlujKG+3rjDY23WMKX+pVAXtEdu3KXaG/FybQGhzpam45ufo91z559vO1KqG4T4&#10;qX6DWS53ftk+jdopd92gkH5UftuHfacNSnEptB+w17NcezMM+qyGUv9AqXOAx1G2VD/lxkfX/p0U&#10;+OI68+3bEHf1ddffM0i3X7oY4v7dv/vRUWVliBNCCCGOYB+o1xriLrvipncOwlcjQ5wQQgjRL/Nm&#10;iIOpcBZgsyW1uZxbI8PgVgpnN5/8xuNKQPsJk2uD1dK2uYc5YuXCPm/zMGk10ach7s4/eul5g3SK&#10;zKshzr51C8r9dKeND1OOPw6jjX9TWKkMkSEOn1ujVmROsyYtvkHMG418HMrW2f70pv/Z1NRbz3J1&#10;qm0XyNcd9bD1avMWtFzZIpXMWd6UZceH7aNSWZsY4rwpkAYw/2Y/9nsT+XJAqAfaKdXflI8XhalR&#10;k7boUl4rHz8KI0krXZEh7v777107OC8a4Q1x+Im26MG81TwZ4igYRLgWwl9ryuK/EQfrbsgaRCLz&#10;B00a+GsNGTBhWBNI9GW2mnULykAzB8pu00F+Ng+/xrPrPwj1Q574HOW14XNlQTzsPSBvlIfAYMQ2&#10;Q9k8Nn9fNpYb8Wy7IQ/4Fnz4GmraM+eN4DEKZeSbxVAeay6K3jhm80d7MYwdC/hrYXjEbYptXwh9&#10;QdMX8rTlZT/ZOqGtc/0HWG6mzf5HGra+Uflr+gMwDIV4zMeOMZwHEdbQZN8GhzRsfCgyTdl+x3lB&#10;fFzIj0vkwXZGWMRPtRHKz2PE9mHfadvjNq4dy/48QBjGSZnd0C4Mw7YugXGEvBDXxrFlgXwdAI9R&#10;TcdHl/6dJNYQd+edd4ZzaK28IW7P9Tf9/SDdfuliiPvhH64zxKFjMfDYMRgc0eTZBA4AP9gBLgg4&#10;hvwABicuKMwff/F/PzAxkHA8pwgMMJwMduChjnZQe3gR5klsL3g4ZsMgrRwMZ9uCbQBFF0iAfFFG&#10;e7KiDkgvOmlYP8SJQJxSnryApU7siKicufZlOVMnfq5teAxpAD92UG6fLy46tmxov1T9AdNCGNYN&#10;6TJf5OcvqOxjCHnlzh/ExfmG8cC8IOSBtFNl83VHHiwX/to8WR78TdHmvABoT3uBZ7ltmwixCLQx&#10;xP38L7zuNwbhq+nLEIef6xNCCCFEe0PcjW84d+cgTpImhrg91z1tVIYaQxzuk+16Af/OrUfagHt4&#10;pp9aZwGsQxguB+/3ca/fBqwnsJauWSNynZMrE/cCuBbycF3I9RGEOmDtQtruJ2CdFa2b7EZoBMNP&#10;al1ZwucJcewhL34WjRd8hvLZdR/Eevs+bNq2TdOvpc1a1ceB/Nghtn8iIZ6FfYB6MQz+HZ0HOZrs&#10;BZAm9bKgXLXnLonqibKivaLxRXiOID/CzzAOcjAc8vUgz+icrWl3tI+vO9uXn0V5iiP0aYj71Gdf&#10;lp27ybwZ4mAu8gYwGGXs26d8/JKit5nlygClDHH+bWDW/OONUTRpefMQw1v5N5shLR7zPyEavdUN&#10;6qNdKFtmazArxUup1N5epbeu2ePeSOXHj21LryYmMGsKRB72mG2jNsYulNG3s1XuDWxR+Eglo1qT&#10;tuhSXiv9ZKokxYa4Bx74m3WD86IRbQxxxxxz5DzG/2dtiMO9o7/fxP0lj0PR/Tjv23Fv3wTklbsv&#10;tmVLwbUc8k7dK7N8uMe24L6b6UO5e/+askTk4tn8fd78vMua2sP1IPo5BdsKfz08BmGd6rH18eME&#10;fcNjvh8I+tKnyzjR+Chhy4Nx5vexsM7mcSiqk+0/vy63e0E+bcL4yN9TO6YYBorOv1wZbRuk2tDW&#10;w7dBKT7ys+tPP45t2fwxYvdjfP1s/n2nzXJH/Z7rW55HUZ+CmvOsCbk2ADwG9T0+Sv07SSZpiLvu&#10;xjf9yyDdfunLEJf7SRt7EbbqMlHkLvp2gGBw2U0qKwwSOwHbEy8lj93wj+TzICw/4tvBSgFbntTF&#10;2k5SdkOvdAIiPW5wpuRPTF4kUjdNti2iExOwrtEFLAL1i9qHivLhsdSJn2sbewz157+90H8oG9sk&#10;Uip/Hkf/psYmPkf69kLolWrjVJpWUdlKdbf55c4/0Pa8wLiIwkOpvISYV0qGuBtff8fYJA+9+Iob&#10;//sgfDVdDHHXvOrI3CxDnBBCCHEYO3/v3PnkcA6dJ0Mc7qmj+3985jdSumDXJal1DiitE4hdLzSl&#10;tEb0aw27zklh6+fB2jm3xmJ7NN1PQBlz60kI+UYbZoBhJrWuzIGxldtPsOs6P17sxmVKLDdp0rZt&#10;0q+h6VoV6fN8SMnvi5TGg80H6TfdK0nRZC+gTb1IqczRPkGbvSvC47b8bGOMgRTYq2Rcv2/Zdq8D&#10;5NrNjq825+Rqoq0h7o7fefHYvA397kd/4bpBOkXmwRBXkjdg1caH2SZlhioZtFKGOKRnP7fmNGvS&#10;sm8mqzHEwUAUxYX829D4c6pefbQL5etPtXk7HFRqby8f3puzUA4e829k829ys2/b86o1gfk+8GPS&#10;9h9k31hXK/SJNd15wYAW9VsUNlLO4AY1McRBbcsrSdK4vCHuZ595ztQMcYNoI+H/szbEpe4zedw+&#10;I7bYNJrCe1i7FiE16fL+P3ePy3T8Pbpdp2BNmKNtHW0efu2aO4ay4nOsL/oi19YkF4bH0OYpcBzy&#10;/WHXgViD1ZJKrwbbvim/SKlOuT7i2i3Xnja+r3ftmGKY1PmXK6NdB6bOb2DDWez6NBXfrm99/lxr&#10;58YMYDjflrm6dU2b6abGFo/7fHPrebQRj5WuKU1gmlFZeazN+Ojav5MEz5SZb9+GuN2v/s8PDNLt&#10;ly6GuB/4gYeNKpsitxmJQd4WXgSjC5kdPBAmJm6QYcDYi1i0UZcbfBa7KYs0+cABeSA/TohRGVl+&#10;Cv/HoIV4wtgTM3Wi2EnKPvDI1QHp2guRvSCgv+wmrI1bmhCZJhRd4FA+Hmd/lGAboy19OdF3uYtL&#10;qu9ybWOPQXbsoPyolz2Gv2gvtj3KyM9TF3nGp1AH9AlkJzWbDsuJetsyII4H8ZAOymKP2zEZlS2q&#10;O8qGz9EPtq1y51/b88JeK5AGy474SKfPG0shpkEbQ9wvvPT1HxuEr6YvQxzc/EIIIYSoM8S9cs/R&#10;hrhXv+as7EP1toa4PXv2DEsWY++9vaK1bltwP8507brAw7VKtE6w2PSiNU0OrkUgu25AuZg/Pid2&#10;nZPClsfD9THStutgrLdQFt8eNr9cW9m1H9b7qXUTFK2/eYxCHRAX6mNdmcP3AfHlhnwbIG+EQZ3t&#10;MZTB9kO0B1LTtl3ST4E0Ga92rcpxg7KgXXwcpod/e+zxFDz3kX7tXkkK265ME/HxOfKx7dilXk3P&#10;XRxvs3dFeMyWBWnwc5ueheeP37NkmzPN1DkbXf9s2yD9qO5U1HbiCDLEjQuGmuhtZLXxYdZJvaWq&#10;ZNDyhjB73JqxrEHMvjHLmrBqDHGpuJQ3HkVv++qjXax8uaE2b4eDSu3tZc2FkDVnwWRlj3nzGepm&#10;j+dMfLUmMP+WPt9+/g1/3qTXRGjjqO0hjBPf91G4SH2+Ic6qaXklSRpXZIh78MF7NwzOoUZ0McTh&#10;TXH4/6wNcSl4PHUfWZNGCt7Dl+5xU/B4rSy4V+bn0f2+pW0dc3nkjmE9yWNYl2B90pVcW5NcmCbx&#10;/Vix9WkC46TGXo5c+5JSnXJpMG6tfPzaMcUwuTZgmFQZU/Ujdi1qx1pN/Fwb8fNS/9l9AMsk0+Ze&#10;QGlvKDr3uDbH2tuCdTvjcU3eB0wzqmvuGGEY34Zd+3eSWEMc9lb8/NlEz7to59g8P3eGuEH0kVKg&#10;g204r7bkBoHtfAz66GRgfL/BBWoHD08ou2Fnsen4MjB/KDeQeSGIygl4HBtollwdeOFEmqkTnuVD&#10;+gRhmaY/cbERyGMUNweJvWDXXmhYjiab1cwj1Xe5trHHorHj6+kvpsCOed8GwMbHxdfDizyEfvVt&#10;ZcsYxc9hy+ax6UK+bSzsl2jstj0vWDY/loVYVNoY4i6/8k3/cxC+mi6GuOtv2DIqnwxxQgghxGG2&#10;bds2mh9nZYi74sr1ozKUDHG8L48U3au3xa4jcuuE2rxr0/NYM0u03sDaCWs0u06y648UuXUSP0+Z&#10;Zzw2v1TdbBjkHYG1EsNE604eg6a5riyVHWtga/BJtUGK3FrT5t00XZJLPwXHR+1a1fad31MgTBPr&#10;Z09uPBLWo8leSQrbrlCqbbvUq82523bvijA/P065ZxGdV4DHfdu23etA2Rk3GnesO+P68opx+jTE&#10;feQTv/DmQTpF5tEQB3MNDEgpI03KXIXw/ucykZaPD5UMWjlDnDdrwaCV+8lTbxbi51QuLuUNWb68&#10;UKpOTdrFyper7dvhoFTZUvJtZtvEtj8MVzYe5eubMnf5fFLhrCERaUdhrKkR/64xHeaEOvvyQd4w&#10;6Y/bY01U2xYp1ZZXkqRx3faO28bm72kZ4u65557ReboaDHG4D8c9tV1HWkX3saV0o+fGOfn1VpP1&#10;X01ZcH/P9UMkn0cpf3sPD6HtsFZIrV1KsGxRW5NcmCbx/Vjh502fzyJOlF4NNf1bqlMujdRYjoT1&#10;mn+eX3PeAIbJtQHD+DLy89TalKTqWWofkIprPy/tCaXaYpJp28/teYW0ueeEPo7AuY7j6Fd7PtJT&#10;E+0flEA6KAfamut7r2gM5I4RhrFtCLr076Sx++d9G+Kuee1y3/eL35jv2xBnN8y8UgO1htwgsJ2f&#10;2rROnWCgZvDYzbwcDOM3zFh+tEFucsSFgmn4DUfES6WfqwMvFLmTj+2Dk9rCuH5SRP74HPXihcBf&#10;5NpcaBin1E4WhIdSfZdrG3ssNXbYd6kbg1z6gMdSG9d2bKbqzOO5PoyorbsfT57U+dflvOAYglKb&#10;60IsEtYQ95KXXH/UHCpDnBBCCDF/tDXEvea1Z2cfqrc1xO3du3dYshh7D+1V2lBrgl2jRGscwjB+&#10;neCpTc/DDWe/Ts1h1zkpbHk8XN/WrmNtfqm62Y3z3DrXhvPw82mvK7mxmEvXrgub9C/I9UVN25bI&#10;pZ+i6VqVbZQ7D2xdfJo1ZWyzV5LCliW3F9ClXm3O3S57V4Dl8PFzZbFj15a/y16HjYt/R6APGSZX&#10;X7F6DXElc5RXLj5MSPYNblBk7CmVIWeIg/HHHoPhxxqwvHHMm4TsMcibt2oUmdP6aBcr3waoRxSu&#10;RqX2tvJveIPscWs8q1XqjW01JjDf37Vq+zY9L2/A9P1gj0H2WBPVtEWNSuWVJGlcoSHu23+7bXD+&#10;NKKLIe7YY49d/uyb3/zm8I5ketSsDXg8dR+ZSwP3vFhT8HhK0RqgVDakzeNt7nGbrP9yZbFr2Jx8&#10;HjX543O7boewjolellICbYz4ufVWLkyT+L4/auJGIE6UXg017VsqVy4N7uU0rRMpjW/CMLk2YBhf&#10;Rn6OMZQjVc+afkvFtZ/PoyHOXj8ioX/tmt1i4zJ/u+YulcmD8BxPOUVjIHeMMIxtQ9ClfyfNqjHE&#10;3XTTB0YVXbNmzbD6Mewwr9RGUA25QVDT+TaMpya+PUFr5Ad6zSAGOEF5kvmNbpyATN9vgObqwM9r&#10;ZbEbwXZC52YsjvPf9oFB2wuN3TjETUTNmGH4VN/l2iZ3jJT6rpQGj6UufnZspSilkSJXtlK5Lak2&#10;6HJeYDxxrOMvxokf10IsEm0McVe84uY/G4Svpi9D3Nq1a4elFkIIIVY3mzdvHM2PL7vy9HAOjQxx&#10;//mGc351ECdJE0PcRZecNCrDvn37hiWLsetFK3zWZgM2hb3Pz60VGKa0zq1Nz0ODTCl9i13npLDl&#10;8djNc6xxUxtupGZdlVpPeXJGLH5u11SWXJ1IKY2ImrLXtEGKXLm7pEtq2sXTdK3KNqqVr0tNGdvs&#10;laSobdcu9Wpz7vr0SvLwcz++bX19u/FhFsprsX1SI5tn7ZiL4oqj6dMQ94k/2pWdu8lKM8RBMCLZ&#10;45Ehp5RGzhAHWXOZN2j5sN5oZI9F5q9a2bemQaU61bSL1awMcf5tePaNbP6tdbVKvUnO901kAvMG&#10;r1ql3iTXVH6M+H6wxyB7rIlq2qJGpfJKkjSuyBD3wAP37hicP41oaoi7++67R+fpSjbE8R4f6xyE&#10;8/sIPB7dx/dRthy16xSQKotNA3Xw9/+5PJrkj/WhLUOTdQ9hW/u1iCXXH7ljhGF8f1hTXxMYZ1L9&#10;W6pTLo2a9siRGlMehsm1AcP4Mtauk1PejJo6ptrI+jZK/We/kGeZZNpsG8RnGIbDeC3teTI+vSr0&#10;1OBa1wS774q8o/0gli2qa+4YYRg/Prr076Sxz79vv/32o+bQJooMcYcOHVozSLs/2hrirrvu3aOK&#10;lh6kY2BgE5kDBoOwy2YdyA2Cms63YTw18b3juyRf35pBTJiXP0l5AeDJbEnVARcIfl4jP/Ha+NbY&#10;xr7FJj0vKhBB/flZ6SLlselByAvjKZUOw6X6Lte/uWOk1HelNHgsdfHD5wyTopQG2gZtxLJGalN3&#10;kmqDrucFxg/HEoU0S+URYh5pY4h78RVv+OtB+Gq6GOLefPNZo/LJECeEEEIcZtOmp4/mxyaGuOtf&#10;f85vDuIkaWKIe/b240dlKBniAO797eYQ/l0ybTXFrlFy9+b8ZnlqrURq1jwRjOO/LJbDrnNSlMrj&#10;1zmoJzYk/SYYqFlX8TjSzZFLi5+n1oQ1bVxKIyK1FrTUtAE+R/25SRnJU5MuaZN+jiZrVZ4HNUKa&#10;fm+j9vxouleSorZdu9SLn9eeu4hr0yvJ710BHovGN+vi99PYxzi/Lf4aUJLd66jtT4Zpcj6uRvo0&#10;xP3ORy7/rUE6RVaiIQ7yJjX/86ulNEqGuJxJyufljUb2mDepNRHKYNPqo12sZmGIg8nPl9Eas/Cm&#10;N3usiWCms3lBNSYw/2a9JoI5zKfnBQMgypEK6/vBG+3sMcgea6KatoC6lleSpHFFhrjvfOdvdw3O&#10;n0Z0McQdf/zxy5+tNEOcNa34+1+SW//VlI333dH9eonadQpIlQXrD3yG+/yIXB5N8ifMD2pKTXvm&#10;+iN3jDCMHyu5L+PlYByfXg017VuqUy4Nu4aL9m5K1PQHYJhcGzCMLyP38lLjkzAczieLrWMK68/w&#10;+XP969fFHoZDfpZc+3dJG2OQ6bbFjmn0P8eSr0MJ236pc4PHozGQO0YYJjeGU+T6d5LY59+33HLL&#10;UXNoEy2MIW4WP7WWuwjmTkBiw3hq4vPiE8WvoXQRt9jBzE01e6NijWkkVQd7EWkzQQG/cci8eMG2&#10;G5csL0/aNjc9AGniRoIXRuYX9Q+Pp/ou1TYgd4yU+q6UBo+l2h+fM0yKXBr2hiunNnUnqTboel4A&#10;jG1MVH6zPXVDLsS8Yl8ZGxni9r75g2OTPDQrQ1zpTa9CCCHEauFJTzp5ND82McS96jXnZB+qtzXE&#10;7d+/f1iy2WLXKLm1QmmtRGrWPBGMk1pLRdh1Toqa8iAduxkFYX3rzUc16yoeL23E5dLi56m2qKlT&#10;KY2Imj7OldtuRJbkyaVLuqRfonatyn2L0nmQoqbvSJO9khQ17Qq61Ivp1461PvaucvHtvgn6Fdi9&#10;N39ed9nrqO1Phmlb39WCNcStX//T4Twa6cO/f/nYvA19+GMv+f1BOkVWqiHOG9aamse8qccfh5HM&#10;Hqce//gTxsJB3mhkj/mfS7XHvPxPd/qfTe2jXax8G6AeUbga1bS3Lxvk87RmuVJ5/Jvmop9N9X3j&#10;TWC+zaM2tfL9WfOzqWwb1A3/tm/+g4nPG/J8mvYYZI81UaktqK7ltbLtVWpbSVqpmpUh7s477xyd&#10;fzTEfetb3xrekUyPmntJHk/dR6bSsPfc0XNm3Cdz7ROtAbzhJMLedzdZo4DadQpI1ZH38d5IRGwd&#10;fB5N8ic1/ZXClsWvRwjXulF/5I4RhvFjBfkxbz7792CM+GOMkxp7OWrat1SnXBp2fdemfDXjG9Tk&#10;wTC+jPZLbn5fgeTWxqX4iGv3Cnz+do8LYSPaniNd0rZ1TrVLCfQZ07DXIfpWarFljM7LXP+A3DHC&#10;ML4Nu/bvJNm1a9co3xtuuOGoObSJvCHuit17YIhbO0i7P9oa4nbvvm1U0dVoiMPATcWvoXQR9/Cm&#10;gxvmPAkw0CNydeDnuZMvh9845P/tZj6/hc3PeEK2vXBZUHemh79+IsLnUKrvcm2TO0ZKfVdKg8dS&#10;7V8ztlJp2LxRPn9hz5WtVG5Lqg26nhcelINjqaZcQswTbQxxv/CyN/7DIHw1MsQJIYQQ/XLKKSeO&#10;5scmhrhrX3tO9qF6E0PcGRsfOyrDohni7IZXjtKaKkVuMz6FXeekaLKOwfrThvdlsfml2oprnFI9&#10;chtv/NyvCUlNnUppRNT0Xa4NbLkwXvzGaK7cNW3bJf0mIP/UWrWmjXK0LWNpryRFTbuCLvVqc+6y&#10;TGiPNuTi2wc+aDfA61f0AKjLuKmNyzBt67takCGuTjXxvWEN5h37RqtSGiVDHATzmw0DwYTlw3mj&#10;ET/3Zax5k5Y3G1nTUh/tYuXboGRAy8mXrUZoX1s2/za9qK2taupaMoH5N9JZ81ckX8aaNmvSNlF6&#10;UbiUcuUvtQXVtbxWNiz6JwojSStd3hAHPfjAvdcOzotGyBAXp8H1A9Y2XAtgHWHXFlB0H2/XEXwW&#10;jPts+1wS/7drFJTFrm2xXsO6F+sF//y4dp0CUnW0a2qE4RoJ+dovvUA+j1T++DfLa+uCerOuKVNZ&#10;jlR+ltyaLHeMMEw0Vmx74Lk/64a/XCv5tBn+kY985CheLV3rC0pp2DW73x9AvTDOkXbUXzbt1PgG&#10;DBO1KWGYUhnt+eHPQ4y5aI3PtTbCcW0bncOQzx95MQzjMw8cs+dVqY36Ttu2ixXSYp+xvinsmIbQ&#10;Vk3BmGF8pMf+8XWAojGQO0YYJhofXfp3kkzBELdukHZ/9GGI27Bhw7D60yN3EcydgMSG8dTEx0Bj&#10;mKZuUpArfwRNZxjcgCcxL8KeXB148uBi0gZ78qPuvCjZCw8vAiivDc8LRVeQL9P09ePnqYtLLm6u&#10;3Uip70pp8FiqfGw7KEUqDT9OPLmylcptSbVB1/MiAhd2pplqMyHmkTaGuJdcufebg/DVyBC38sE1&#10;EHM+rrela7NYfWh8CNE/J5/8+NH8eM2rzgjn0Gtfe87Y/A1NyhB34MCBYclmi12j5K43drM5Fc7e&#10;3zfZLAVcB6fWOxEoR6lMXEdBtaTi1ORXWw+GizbtmMck1pU5uBGeSze35ub+AeoWkSt3Tdt2Sb8p&#10;qbWqbSOEaUqXMubaPkVNu4Iu9Wpz7nbdu2JZU+PbjxWUDf+3e1uky16HjZtq39RYEkcjQ1ydauN7&#10;g499U1UpjRpDnH8DGRSZy3w5+LmPn3uTFuXfombfetZHu1jN0hCHevq29G9fg+HNHo/kTYu+rr4t&#10;vAkMJi0e82/ki4Qy2/SgUjkRJzJXeqH+0fiKwqaUMrlBpbagupbXyoaXIU5arfr1975rbP6Gpm2I&#10;W79+/fJn999///COZHrUrA14PHUfmUvD3qtG4j1z6nkoj1v5sHhGzHvtnPx9eO06BaTqiPvsqIyU&#10;PebzSOVvP4+EurZ9Fs40Un2JtsXxqD9yxwjDROmX2gr1soYy4MPk8vak2tdSqlMpjVKdqJTXomZ8&#10;8/NUnwGGicqINi2VEWtj3/Ykd37h89IeAY6Xzk/UOdoDKLV/X2nnhLZLYesONd2DJHYvxAv1495F&#10;NAYYrsv46NK/k2LPnj2jfLsa4i6+/MqxOX6uDHG7dr1xVNGVZojD4OIxDKQInJwME5WhRK78EbZM&#10;NRtxuTawG/ep9inBk5v1gOwEb8vLMNEmflty9bNl86CMdmLxcXPpklLfldLgsdTFD58zTIpUGrkH&#10;JiD3gKqm7iTVBl3PixRMMzdhCDFvWEPcy1/+5qPm0Rtff8fYJA9N0xAHDZJY1iwNcbwu4eZNHI29&#10;Nvd5XRUrA40PIfrnJ37i/xmdVylDXPSGuFe/7tmfHsRJ0sQQ98RTjhuVAQ/+5wG7RsmtFbDeYrga&#10;Q1LTTWK7FsY9RAQ2quwxW6ZoPYH62M2lWmw9LDX7CTX1sOlE5c4dA6nyWUppRJTKjnLb9vTjhcdS&#10;G85c00Kemrbtkn4bmJZtQ7sh2aRtCe+PoWhjOIe9N8idq5baOF3q1ebc7bp3xbipstp2tuWL2rzL&#10;Xkfpuoi07T5VmzGzmoBRnG3V1RD3ex9/SXbuJrMwxOFnFQdZLwsmGPw/CpeSjQ+l4vtw9o1ipTRg&#10;YrJmqMg0hjD2jW3RT3JC9i1jMBLxc2sSQzol8xCEN3zZctm3yvXRLla19asRzFW23F7IB4YslCVl&#10;ILOGrZq36UHoN5uPr6vtG5TB5o3+sGVOtZOXTRMqvVWOQllRL5snyoT0ckY2xLH55ZQrS64tIrUt&#10;r5Ute8rAKUkrXdEb4r734L17B+dFI5oa4uy97ywNcbxnze2dcw2Uus8upYF7bbtOQjjcm+M+lnFT&#10;63vcyyIsy4Bnk9H9LMLhc2/8wb014kf3+3b9h3/nyNWRefPZMYRyYA0AWHafRy5/xEWbMC7TxBoG&#10;+bWF/ZBac/B41B+5Y4RhUmMl6ie0G+oV7d+w/g95yEOW/zYxHNX0b6lONWkA9BfalGEh1BHpchxE&#10;1IxvHku1KUiNMYJ8EN+XEf/H56Uxhb6x5cRfnsOAYz+VP8Kh72y/I41S+9S0f5u0EYd1QT08uF4g&#10;TaZX0/ZQboyUQFn9eYGxgL7hOI3Kwfy7jI+u/TsJrCFu9+7dR82hTZR4Q9yGQdr9ceJpGw/YTNoY&#10;4vDQf9rwohBNCjgRWLbUppkNE8FjGNwYzJA/Me3JhnLYDVmEx/85QD258qfggLZ/U+TawF5I8Bcn&#10;LE8agBMGJybST52gqBfTh9BOHuZBNZkICdJAPHsS49+86ERta/sF5eREgf7zZfJtk2s3Uuq7Uho8&#10;5idNgs8ZJkUqDfSXPca6o814Qaba1J3k2qDteYGw+NyG50We6U3zYi5EVxbJEAfNipprXhd43c/d&#10;cM4zds5e1DoQXMPZ17qe98Okx8dKGXtCNMEa4q6/YUs4f0aGuNe/4dmfGsRJ0sQQ95OP+6FRGQ4e&#10;PDgs2Wyx83VpreDXY1xr4q9Np836EOsJrodxjcL1iWselIvrFL9OsptWvKYhni0PZUGaXBezHgBr&#10;Fl4jsc7yMK3cfoItE8rB9BmW6SN/1tFi40bYuqUopZHC9gHr5ctN+fHCdamNC9Cmtk2gCB5LtW3X&#10;9CParFVtXghnjyMuyoZ0o/GDNrNxAeLY/FG/pnslKWx+vr88beuFfmp67iI9hGUce54A5I10eI56&#10;WM7U+EZaDMOysb0j2u51AHzOuCgP6x6Ny6bn42qjrSHujt958di8DX3kD3b9xSCdIrMwxEmSJEmS&#10;dFjeEPezzzynF0Pclue8IHwwT+E+bRBtWZs3b17+7Nvf/vbwjkSIyYD1FMcd1wxCrDa49sZaOQfX&#10;0rk1NPcaSmmJZuzdu3d0rerbEHfNa2+cH0PcJZe8elTRHTt2DKs/PTiA8ddTs5lnw0TYjS4rj93U&#10;Sgkba55c+VNgg8+mm3uAUGoDbBxyYzEnu4FssTeDUFQW3zZ2o7QWGz+S3YAkuEnwG4oU6mxvKHzb&#10;lNoNlPqulAaPpS7Q+JxhUqTSyNUdssfa1J2U2qDNecE0U8qNdyHmkTaGuKteuXydr6arIe4hD/lX&#10;ozIObjCGJZ8uNde8LjDt3E2xmA5N5hkxH+j8EauRH/mRI2a0Roa4N57z+UGcJE0McY969JG3SMzK&#10;EFe6N6ci40dpTQJhvdCW0loWefuN41wcmmn4f4uduyIhTWvQITX7CShTqZ1QttQ6mmFS1+iae6xS&#10;Gily7YnP7X6Bn/Nr+o//jii1bdf0I9qsVWvOAyh1LkRx7frbH/OK9kpSNLlH61Kvmr5pcu5aRXtX&#10;PJYb3zRQUqV2a7PXAUrthjJynDU9H1cb1hD35PUnhPNopMgQ978+89Ls3E1kiJMkSZKk2SkyxD34&#10;4Ff3DafpamSIE4sA1g0cd6nn80KsdLg2tnsgHpwr3CtIraHtl+B0PvXLvn37Rm27c+fOo+bQJooM&#10;cYPPtw3S7o+2hrjnP//lo4rOwhDHTavo27TYMGPZ8O8IhsHJkgInEDayGC7KC2DDEMfsJh3i4US1&#10;33q15Mqfwn87Ntp4JzVtgHKhjn5TDuXGJl9pI5RtA0Vh7aYq8mgD0kBZbF74Nz5L1Qugbghj2wv/&#10;Z5vxc59GTbuV+q6UBvOOvsEM+DAG4VLk0mC/2jZD+/Ni36XupGb8Nj0v0Dd4kGDHI+IijSab+ULM&#10;C/g5cY5lvFXVz6MyxB0G1yuWYRIw7dRNsZge9r4gum8Q84fOH7EakSHuMNx8Kim3ZsH6w6eDe/s+&#10;NqGwdvDrRKwjUutvgDUO1zEQ4uL6hvBcC0X1QXn9ugZ5Ye2SygvYNRnXNR7ER5l9O6XWTBaWJ1oT&#10;AnzOvFOU0sjBPmAa+GvX3Kx7tLb0cSG0D+4Pcn1BSm3bNX0P0mu7Vo3OA6SDuLlzAX1v68DxSlAX&#10;HGc7MAw+i9o8B9sEqo3btl7sG1vu0rmLz1F32/4Q8kdaqftKtl1ufNsHnUi/BuSHetrxhfqUzlvW&#10;w9ad4xKgLviszfm4mrCGuM1bnhTOo5EiQ9ynP/eyewbpFJEhTpIkSZJmp1kZ4m6//fbRPcd55523&#10;/JkMcWIacF2AtYIQqxH7RUisoe0+BdbVWMfb/QHuQ3l4LkGpdbpox/79+0dtyzmyrRbGELdr165h&#10;9YUQQggBrCFu9+7bjppHU4a4vXsPrBnEqaKrIe6Rj/yBURlliBOTBg/72B+pB5divtD5I1Yj1hD3&#10;5pvPCufPK6+eniFuVvOzEEIIMY9YQ9yZm58YzqORZIiTJEmSpMUU5l07D8MQ993v3rt/OE1X09QQ&#10;d8stt4zuOfiw/4EHHhjekQgxOWDu4dhLGX2EWMnAvOa/EBcJX1JLfSEPafBLbDDGiX6xhji+RbWt&#10;MB/b+RmGuH/5l3/ZMUi7P9oa4s4554irUoY4IYQQYpySIe41r3vP2CQPTdsQ9+hHH3mrQe0baPDG&#10;Ar7VAH+7GmVKhjjetOJbIKm3Kvg3Wdi3XKQUGbKitz3gxht5pr5BgvAIx7dB2G+d8FtcOIb/I93c&#10;IpbhIAvLk3pbBNvFLhIQB/lH9WSZ8RaLCLtYSOVpzW2lhbmtV0qWmjYFyBffFkI9bJ9hfCBO6g0n&#10;HB+IA5AOwjMN/MX/U30OGMeORZQj90YUtJnPp9RHpTYATM/3FevJfmY6LDPz7+P8adMeQswrD3vY&#10;EbN4E0PcTW96dvahehND3MOP+dejMgghhBDiCHbj/XnnPTWcRyO9672Xjs3bkAxxkiRJkjT/8oa4&#10;rc+9QIY4seLhG7JSe/NCrHTwLAPj3z/7gfAZnoflnkvxbfCIGz1/Ed2YpCHuhr1vnU9D3J49e4bV&#10;F0IIIQRYt27daJ687rp3HzWPzpsh7q677hqWPI01r1lhgdYWm2YEj+Hm15ptrHBTa009bQw99jXM&#10;kWA2iwxSuPnGccSPvrUCbHlyi1jGx18L46KtPEg71S6UNyWhDDwWLRrsT0fRTOVheyHvEja/lCw1&#10;bQr8QihStNjBZzyOtkmlk+pztHku7yhP5BOFpXwf1bYB4Gd+fLCeSAv/TpUZn9syNz1/2rSHEPOM&#10;NcRFcycUGeLe8tbtfz2Ik6SJIW4QfCQhhBBCHGHfvn2jOfJ5550WzqORZIiTJEmSpMXUPBjidu7c&#10;ufyZDHFCCCHE+JvbV7QhbtOmC0YVlSFOCCGEGKeNIe6aa/dN1RD32Mf+4KiMNYa4nOkl922MHLWG&#10;OArhaVKyZqaUMcvGS2ENWwjHuiAfm0dkDqNxicL/YSiDbJ4psxtBnkzDm6P4ua8DykczHNJFngQm&#10;Jb5lDLKmJJtXZNCzbyODIlMY80XYWlAGppkzSdW2KfoF+eNzW0bbZ1F723JACMs2RzrIg8ei+rFd&#10;kTbamaAcKKuvm83PxrF5oQyW2jYADOM/Z75sC9aTbWXbCX+jfk6lbWnaHkLMOxz3UDR3QtMyxK1Z&#10;s2ZYKiGEEEKAPg1xf/7FX/znQTpFZIiTJEmSpNlpVoa4G264YXTPQUPcd77zneEdiRBCCLF6wfNk&#10;zpHr168/ag5tork2xJ122tmjiu7du3dYfSGEEEKAtWvXjubJJoa4W2758NpBnCr6NMTB0Z/Dm4i8&#10;2pperPkowubhjWLAxo9MeTyWM/TQFJR6e5utuzX8AGtcwr9TlN7KZo97YxI/93VgHJjTIjMTYPn8&#10;z2zCvITPozLT7Eb5dkcb8BhMT7XYdsyNl9o2zZEbV7Yc6Hvfp4BliIyWjFtbd7Z1qp9QHoSxNGkD&#10;hvPjo6aedtxF5xeP5c4fhmkyFoSYZzimH/KQfxXOndAkDXGf/8LLRmXAvYQQQgghjmANcZfu3BzO&#10;pZFkiJMkSZKkxdSrr3/d2PwtQ5wQQggxW6wh7vjjjz9qDm2imRjizjn/8qMe2keyhjhsRgghhBDi&#10;CItgiFv3048albFkiAM0jkWKTF415IxLgMfw05ERJZMVj6UMPTDxMEwOhvGmOWucSpnSQOmtbDRN&#10;eeMaYDxfB8bJmZXYvug7C3/yFLLltmY3vvnLvyWNJiqfZolSX5HaNs2Ry8seS5m4cuOS50HUV55S&#10;v6do0gZM34+DmnoChonehsdjuTHWpD2EmHcOHTo0Gvc5Q9zlVz5rbP6G+jLEferTl43KIEOcEEII&#10;MQ6+lM158kWXPiOcSyN1McT5dbcMcZIkSZI0PXlD3HkXv2jqhrjdu3cvf/bggw8O70iEEEKI1cvB&#10;gwdHc+Sxxx571BzaRKdvOWdsnp8rQ9zJJx95c4UMcUIIIcQ41hB3000fOGoehfnNzr/QtA1xp5zy&#10;70dl3L9//7DkaaxJyCplVqshZzwCPJYz5DBMZLIqxU/VKSWfDo1Lpbd4AYb1bwOzpqnIuMRjPm9+&#10;XiuLNb7ZN4PR7AZzU8r4RiNek59LBTmTmqVJm6bI5VVTDhvGY82EaKfozWvEGi5TeUU0aQOm78dH&#10;TT1BLq9U2pYm7SHEvGMNcY985A+EcycUGeIGnx8cxEvSxhCHn18XQgghxBHaGuJu2Xfx2LwNyRAn&#10;SZIkSfOv0BD3na8eGE7T1TQ1xMEEN4i2LBnihBBCiCPYPfS+DXFvfds75tMQV/MQXQghhFhNrFmz&#10;ZjRPRvNoZIjDW+NmZYirNbfDJIW3ViEO/uaMMjUgPssQwWO5fBgmMv2U4sPUxTA18oa1JsYlGM+Y&#10;jjUNld64xji2DtZEVyNvwgPsR2tsg6EJn6FMNg+2Ld5Wxs+in9jM0YdBy4MywpDFOJF8XjXlsGEi&#10;/LhBW6LN/Nvc7Phu8ra7Jm3A9P0Yr6knyOWVSttT2x5CzDv2222zMsT97kcvGpVBhjghhBBiHGuI&#10;e/lVzwzn0kiRIe6ee68+NEiniAxxkiRJkjQ7zeoNcdYQh7fF4bPvfve7wzsSIYQQYvViDXHHHHPM&#10;UXNoE821Ie6EE540qqgMcUIIIcQ4i2CIe+pTHzsqIx4szAJrGIrgsZwhh2Ei008pPg1gUBuaGJes&#10;mcy+Va/0xjXGsXWwb3grmZVS0MRkjXhMk4Y9muZYXmvqa2p26sOgZbFvJsvJ51VTDhsmBcJ4Ixj6&#10;EiY9UhrfKZqMK6bvx0FNPUEur1TaETXtIcS8Yw1xj370I8K5E5qWIW7Dhg3DkgkhhBAC7NmzZzRP&#10;djbEffWV2bmbyBAnSZIkSbPTrAxxO3fuHN1zyBAnxMqBLwHAMxF9mVuI9nCOXDWGuAMHDgyrLoQQ&#10;QgjAORKK5tGUIW7v3gNrBnGqkCHuMAwTmX5K8Uv5l2hiXAI0DMFoBuxb2FI/Ncnjvg6pz2uxP+eJ&#10;f/P/LBug6Yyf0UCIv03pw6BFbFoI59/cl8urphw2TAksnO04suW2BsJUXhE1bUCYvh8HNfUEubxS&#10;aefItYcQ885dd901GruzMsS99/3nj8ogQ5wQQggxjjXEXffas8O5NFKfhrjb3nFb+MBekiRJkqT+&#10;deUv/dLY/D0LQ9wtt9yy/Nn3vve94R2JmDbYb8R+NPYZm+yxNgF5YO8eRin0O/7aL7WLMmhD/wX7&#10;eYT74W2fqwghlpaNcJwn/RzaRHZuhubKEPdjP3bCqJIyxAkhhBDjcI58+MOPCefReTDEbdnyuFE5&#10;V6shzhqWvKmqhpyZKMKa0GCA48+lWhOah+F9Hbi4jH4OtRYu8LFApfkNC39iTVUoL8M3/blU0IdB&#10;i7CsKE9ELq+actgwtbBMNo59kx/6upYm44rp+/Fh65Aa29ikYJhok4LHcudfiqg9hJh3rCHusY/9&#10;wXDuhDDf2vkXGnzeuyFu27Ztw5IJIYQQAuzatWs0T1732q3hXBpJhrjF1H3/8IVlfelLn176zJ98&#10;dFkf++j7l+54376RfvVXb17WG9943Zhedc2Vy3rJ5ZeM9IILto+0devGkeznkI0DMS0v5IsyoEwQ&#10;yonyRnWRJEmS2skb4n5+1xWryhBn9xZTX6b2cM8YSu19erjnW7N/mfvCNL78zbS8UC7EqS2Txe5z&#10;1u7DN4W/4uIl6plGP/UBnwnlnskIIfJYQ9w999xz1DxaKzs3Q+/89d+YT0McHhwIIYQQ4jD299Mf&#10;9rCHh/PoVa+8dWySh258/R2IU02fhjh8034WwGjDMkTwWM6QwzDRYtoaviKsIajNIq2JcYnYMnGh&#10;nSofYPl8G1jDUZuNBGDfWMfNEm92Y3lZV6jNz2DaDZyc+bCmTbnxklq00mgI+baxC/NUu9kwtaTG&#10;MtsVfzHePGgXX48m44p5+vFh64A+jDbNbJmjtiidPzlS7SHEPIMvenHcNjHErX/GmUu3/cr2uwbx&#10;kvh1d8oQ9/Z954zKsGPHjmHJhBBCCAGsIe7Nb9kezqWRbvrlC8fmbuj/3vvK7NxNZIjLy5rWaFyz&#10;pjVrVoOJjCYzmtJOPfWUpRNOeNyy1h736KU1a45Z1qDpF16oD+qFOlrjHQ11NNOh3aK2lSRJkmJD&#10;3IMPfnXf4DrbiKaGuPPOO290PZ+lIa5mH9Niv4wNRaa1CIb3+4sRuX1LW96c7Beya7BGuyZfOq7F&#10;thvTxz5ubg97tVFjzrRviJtEP/UJx5P6WIh2HHfccaNrQt+GuMHn2wbp9kdbQ9yjHnXEYX7w4MFh&#10;1YUQQghhDXE/+qOPDufReTDEnbv9p0flXKmGOC7QrSEIixxr6LLGMoS3iyAufPm6dE9uAyCFNaEx&#10;35zBjGF8G9iNAPzFcZsO6ouFJ/JJLUDtG/Iob9qi+Yzq8kY6mwbygbwBr6ZNUR+mhXqzzKizL68f&#10;FzUbSTaMBZ+zPW1bY4ywL/xGky0r6sRxiDKj7IxnaTKumLYfH7YOEPJhWyNvX64IlgNxo/OnTXsI&#10;Mc9YQ9y6n35UOHdCkzTEvenmLaMyyBAnhBBCjIO5kfPk3pvPCufSSN4Qd9qWLSveEEejGs1qfMNa&#10;ZFirMa2tZOPavAjtifaleY5voUN/RX08Xf3dEX33H5b1ve/eZ/RPDXU4HtNa1nL6Ud7zp9L5Zc8x&#10;f675c87Lh/NieswHsvnTnIqyRWWXpEXTPBnivv/97w/vSKaH3d/Dv0v4fVGI+6Y5GNbvL0bk9i1z&#10;5cV+oX0LW5sv4E4K1Btlwn6miGk6FucdnivauxaiHccff/zomnD33XcfNY/Wys7N0FwZ4h75yB8e&#10;VVKGOCGEEOIImBc5R/7IjzwqnEeveMXNY5M8dMON7/uXQZxquhridrzwCaNy4pv2s4CLTSiCx3KL&#10;cYaJFmJYaPO4lQ9Lk1pOMP54chsAKWAssumWDGYMF7UB0qLxKCdvOiPYELHhorJ40xzMT22x5kMr&#10;S02botx2A8XLHvN9XbN4t2Es9vNI6AtrDCOl8dXGFEiYhh8ftqy5/DGuozKD0vnTtj2EmFf2798/&#10;Gr+nnPLvw7kTuvDScUPc6Vs2L932tuccGMRL0sYQN6u5meBaS0M4yoO/87RhvVrQJu3qheZ1nHse&#10;3APiPgHjQnOtWE1YQxzeqhrNpZGue8OOsbn7zO3blv7vV6/Ozt1kEoY4mFas8YzmMyuYoiga0qwp&#10;jcY0aqUZ1Fgf1o91RhuwXdhWth359rWUycgalLys6Yjy6TB99h/yt32Dskb16UusP+sIM1T5DXOH&#10;jWxHjGuHlr73vX8Z6GtL3//eN4f61tL3v//tgR4Y6MFlLX3/u4OzDuaP6RtADjPId1CGw+VBuVC+&#10;gVDWZX1jWajHcn1Qr6HZzhrsvHHNmtVsv3IM8fyz59uin2P2XOJ49ecQxzXHvjXbdTPYDY2UkDFA&#10;0hR5ZFwOxya1PEYp9PERse+PjF8zjq04ZkZj2+vwWLdaHveRRudCjZoSpWEUlWeg8bLbepl6j7UJ&#10;28meO8PzZ+wcMueROZdSSp1j9hqKsVW+VsWCAc7Ow/j/9x68d+9gbDfixA6GuNtvv335s1lg9964&#10;H5fC7vPavcDUvrCFYXN78CS3b1kqL8qIvUiGwf/nAe5Z1+zFrlaajMVFwD7zEEI0xxri7rzzzqPm&#10;0Rp95d6vjs3x0G9+4Lfx0pkNg3T7Q4Y4IYQQol+sIe6xj/3JcB6NDHHX3/jeewZxqvHxmxridu58&#10;8qics3oLTe5BH+BD+JwJi2H4BiuP//YZFrbRg0Ms5PBQkelBWKAjPPKPFuhtH1Lb8qB8OUptgHJh&#10;s8IbxFBubH6UFqh2gyTa9ED6LAP+dn3oijy48YH0fNvVtinrbTdR0Abc5GGZ/biwhsTUmGEYpOFB&#10;+igb04eQLzZOcps4iIc+YRzET/VPbRsAlsOPD79JgToxXQjthvbLlRmUzp+27SHEPLJv377ROJ6V&#10;IW7PdU8blWHWhjg/r1CrEVzPcJ2113EI/+e8MymYJ/6K1QXmaY41jz2GfwuxWti2bdto7C+yIQ4G&#10;m0HSK0LWuEbzkDWs0WREAxcEkwTMEt5w0810M3+iQYTmEBpEaDyima4vEx36YcOp6wfnyTOX9uy5&#10;ZqBXDe5v37H8FuS77rpr4Z7h4NcXIJQb5Uc98AUWCPfte/fuXf61A9wzY08L14cNGzYsrVu3bllr&#10;1qxZVtRWUjetXXvcstatO2HQ5qcO2n7roA9esCz0B/oFQj9B6DP0nx2LeqY4W/z5BfnzK32OnbCs&#10;pucYrlHRtbIkb4jDG+NkiIvBmhXhsEeHNSz3TLG2L8E8atYWuTVqTXmxhmaY0r74tNC6u0yTsbgI&#10;YH973sahEIvE+vXrR+fQqjDE4cZJCCGEEIfBJgLnyB//8f8UzqORIe6Nb/qdvx7EqcbH72KIw6aG&#10;EGLlsNI2KYSYBtYQ99SnPjacO6Hzf27r2Py7bIj7ledkf7LFr7sve8Xzwgf282KIw2Ygy0HDLTbU&#10;V+MmIQzF1nwdCQbnSTGpjfkm5uvVhn2QNEtyhjieoyij5nmxmmhriLvq2vPH5m4Y4u6595X7B+kU&#10;mYQhbpDsREWTArR27dqRQQiCmQHtCMHgAOGegyYWmiAiEwuNLDRSLDP2pqLhm4lGbyNKvcHLvH2o&#10;8Oah1aHDb8/6x/u+vPTlL3126f13vHvpHe/4r0uvetXupR0vOH/Z5Bb1c1txXGAslMYDxTHBccGx&#10;wX9DPA5xHEFMg+lCzAv5WhMbysWxG5V9HsTysR0Pn2OHDUI0h1nt2HHBmHbt+oUGunykw/EPm86Y&#10;NvuQsu0IReWfV4235/i1yo9POy7t2IQ4Nv21i9cvitexaT/btPlStlyQLXPqPLPnV+7c4rhAu3Lc&#10;Ru0/LbV5S9x5F79obA5/9fWvW3rwgXuvHaTXiKaGuM2bN4/KDUPc17/+9WEvTpcm+3v8UhvXp/aX&#10;OkpfcGa4aRjibJgmX+5JfSkY8BjW79i7QLp2HY91b/TFaMZLycfB/9G+Nm38O/WlZ8L1N8qO8iE8&#10;49s1OdLHZ1yLot8QluVEXqgb0iAwGNovNKbqSlBOpMl+pFJfcOb6uKmifiJYz6Kctv2Zf26stu3n&#10;FEyvyTgUQhzGGuJwTkdzaUlf/NKXx+Z4aGiIWztItz/aGuL+zb956KiSuGkTQgghxGGwYcE58oQT&#10;Tgzn0cuuuHFskoduetNv/+kgTjU+flND3MuuPH1UTmyUCCFWDjUbUEKIcfBAgedNE0PcxrO3TMQQ&#10;h4cbswKbgSgDN2FXM3az3xoC8W+78TqpN8XlHjZ0YVLprgQ4/qFZMi/lEGKewIN9nhfvff/54Vwa&#10;yRvitl94Nj7Pzt2kb0Mc3ho2SHYka+SArPHBmjpSxg5rqlh8jvw04JjBbsxkd+Tn/sbMdiPDnTXd&#10;HTbeUaOf//MaGtKOUhDWpndYzGeYN8sy/CnCsZ9yXK4L6nT4Jw6X67r8k4j10BxDQxDOiUUzPk1b&#10;NFrRLGYNVjQRWWOVPff8ubbIoPw0W3EcQbz2cEzRVEVD1aIa7CYpGstqFMVfaUI9c+eYbYdoXiwp&#10;MsQ98MC9OwbpNeKk0zbus+k0NcR94xvfGJ5N06V2fy9625X9rGT4qQ0HcmvJmvLaME3W0YwTlZHH&#10;YMKy63Qr7G94s5Q1ZEWy4e36LCUYuiLYZjhuzWsU8W1jw1ghPRjCaLSLFLU/6hOFtUKbWFNcW0Nc&#10;1E+lMkPIPzUuGKZpP6fIjWUhRJ4tW7aMzju+SbWpIkPchz/yMdy3zp8hTgghhBBHwMYS58gmhrjB&#10;51U/2UJ8/MuvbGaIu+ZVh2/4IWxyCSFWDjUbUEKIcawhbsuWx4VzJxQZ4n7lV7Znf7Kl1hB3xZVH&#10;vl03S0Mcv0muTcHD3+ROfbPZXmsRbhJMaoNWG79p7IOOWTIv5RBinrCGuN/96EXhXBopMsT9zb2v&#10;rPq5tUka4mAgEKJPvGEOhhScN4tonCuZbLyRzZvYVo5RdP7ImevQHylzHWQNdqvFMDZvQrv78wt9&#10;w/OL5xj6sHSO1WDzjubFkrY+94KxOVyGuBiu4WESstB85T/3MA++6SwnphmtJXGcaeHfESwr1ORt&#10;XoyTM8TZMDR1wVxF41uqHUrrY2tOQxhbbhgQrckt2j9g+jYNxINsfWz7QdYcBoOjzYd1wl4E36qG&#10;9Pg5wnpQbhxHH9j+4dvWmDaOe2r6FjBM1E/2zXjIg+VG/rafoGhs8BjVtJ89LA/iCSGacf7554/O&#10;xVtuuSWcS0vKGOLWDNLtj8Gi/i6bSa0hbhB1JCGEEEIcAZsDnCOf+MTTw3k0NsR9pOob6sTH72KI&#10;w+aHEGLlULtJIYQ4Ajb8ed7kDHHPviB4Q9xt27M/2dLGEIcHD7OitBksjsD+mlRbTaov1Mdp7IOA&#10;WTIv5RBinsC6lefFpz59WTiXRsK8a+dhGOL++t7dVT+3JkOcWIlYM5M3NNHUZI1N1txEg5OVNdFY&#10;MS7Tg5iHN9hAMrGtXmiy49jk+CyNTY41jkE7PmnCoxGPoiGPpjwvXqP7VJSPLQdkywjRpJY6z1Ln&#10;FtrLn1s0sE37/EJ+bIO1xz06nBdL8oa4N77lzUsPfvtvtw3SbEQXQxxMRvNuiOPbsryRyb7dK2c+&#10;Y5gmitaSpfLCvNTUtESYbmS04jGIBjKLXVvRhGXJrY9tmVPrZ4RhH0T1Yvq5NIBtP+Tp+8y+9Q+C&#10;octTqmuOXDvUjkWG8f1k40d9CFBfhonqxmNQm3722PBCiGZcdtllo/OnrSHus5/707E5HoIhbpBm&#10;v3Q1xD384ccMqy2EEEIIgI0HzpNPe9rWcB69+MWvGZvkn3zGswaff6zqG+rExoeaGuKuv+HIK22x&#10;8SKEWDnYDYTchpcQ4gh4oMDz5tztPx3OnZA3xG19zpalt71te/Yb6rWGuIsuOWlUBjzUmDbc5E3J&#10;Xk8YFp9B3DjF59HmJh4i4JvLNg98Y9l+KzjC5oNNZqTNjWYcwyapjY9NVvsTHMgDeU8ClIf5dHlD&#10;nC8z6sc2zG1II3884MAxtgmEdkF6Ub1t+0eyfdcm/VrQZ+h7my7yiTa10fcMk4IPelC2CLYx6886&#10;2I182weRoj4Abcc2wHGMYVsu/J9jnel5bJvg3x60I8pk3yAAoQ7RGwsI24BhkI5No3Q+sdw+Dj7D&#10;MSG6gnUrx1YXQ9wLX3zu0l/fe3XV22X6NsR96UufHtVB63AhhFg50HA2bdPZPAMj3mjO69MQ9+C9&#10;GwZpNsIb4p530c7w4Ty1SIY4G8avDXAPzmORwYgwTBNF66NUeVEOtKNd/zVdTzKeXbMSHvOGQFJq&#10;R9QFx6I6YU3EuLky23A+D6aP+ufWRbacqbyYFtZZEaW65sitQWvTZRjfTxh/PJZrAxvOw8/b9rMn&#10;V18hRB5riLvhhhvCubSkyBD3sU988t5Bmv3SxhB3000fGFVQhjghhBBiHHwbj/Pk6advCefSeTDE&#10;vfnms0bl1Ea8EEKI1Q6+Zc95cccLnxDOnVBkiLvttnOz31BvY4jD/cS0sYaeSHZznZ/BOOPj2U1k&#10;bHSWjEaIHxmhAMNE+VD4HPnYzUyvaNO8Kza/phvNJFdmbHDTWBRtzJfaFfL1LvWxDd8m/RowjnLl&#10;8A9q7KZ2CtuOHvtgIhIp1df3QdexjQccuTFt0/bkNvppDswpGk+AD1fwgIH/jhTVCe1hjXBebcaK&#10;EB5riPv8F14WzqWRIkPc//3b3VVvl5EhTgghhGgH3k7HOe+EEx4XzoslRYa4+++/d+0gzUY0NcSt&#10;X3/k7e24b//mN785rNV0yd33ExqIUgYpriuwxkjBPGru2blOiNYUtrwp5dZIORg/KmPuGGGYqB1z&#10;dcqtNS32S0v+S0i59C01/V1KqyaNFLm61qbLML4vatvArme9wTOVtoVhaupu69u0rYRY7UzKEPeR&#10;3//EFwdp9os3xD3vhS8/6qG9lzXEPepRjx5WWwghhBAAb3ThPHnGGeeGc2lkiHvrW3+v6hvqxMaH&#10;uhji8Kp+IYQQYjWDn5/hvJgzxMEAZ+df/P+WX9me/YZ6rSHu2duPH5VhFoY4UrNRyXJS2ITHBiI2&#10;tu3mtv12r31jFswzCGcNQX6zE/AYhQ1LxIVs2kwHDwG4kYn0rEEHcfoA6dq88e82oJxMA+Vk2+Cv&#10;N1pFfYEw+BztaN9EhnRL9a7p4y7pp0BY9hX+2m+92/Fgx4JtpxS5jXumiX7y4w/f0Pfk0rJ0Gdu+&#10;HThm8bnNn/LYNmFcggcIqBf+2nz9uIreOMBxQSE86+X73Y4JwAcXqI9Nm+cL6iVEV7Bu5RiM5tGU&#10;IkPcPfe+surtMjYe1KchDj+JJ4QQQqxUrCHu1FNPCefFkn72meeMzcMwxC0tHVwzSLMRXQ1x3/rW&#10;tw5Xasrk7vsJ1xXehEVQfqaBdUoEj9fcs+fWkra8XlhL2HVTU5hOVMbcMcIwUTvm6sRj0drRwzx8&#10;OXLpW2r6u5RWTRr4HGs0u77z8tSkCxjGtwE/L+2f5PLh52372YN0moQXQhzhla985ej8aWuI+4M/&#10;/NTYHA99+CMfu2uQZr/IECfEZMCmr91sxs1S6mZTCLGyqDHEveCSa8Ym+dO3PBefV31Dndj4UFND&#10;HDRIZlkyxAkhhFjtWEPczp1PDudNyBvi8Ma4W27Znv2G+ko3xKU2I+1GZioM1k0ME22M8hgUraew&#10;zuJxbObCUGSxZWi7HrNltELekamoFrYzHmD4cgP7zehcX0TYekcbuzV9nKOUfgo8AGE8a9YieDiC&#10;frQPSWxeKexGtsXGjdo4IpWWxabbZmzbPKL2w2d8sAV5bP5R/BTWiBeVm+MCis5Hm68/nxgXfSzE&#10;pOD4g6J5NCUY4Ow8jP8fvPeqqrfL2HiQDHFCCCFEHQcOHBjNeVu3bgznxZK8IQ7z8CC9xnQxxN15&#10;551L999//7BW06V03497ch6vEZ5ZRvB4am1jya0l265TasiVMXeMMExUrlydeGwlGOKwHmT8kjw1&#10;ZQMM49uAn8+rIU4I0QxriNu9e3c4l5YUGeIO/MEf/tYgzX5pY4i77rp3jyo4S0McNkhx4bQb4NjY&#10;w8UcG3C1m51C9A3Gpt28pko3OysZnI94oGNvttBGuAHHTXvN+YoHCmxX/J3EOY6+s9eUJpv5qAfq&#10;Y/se9UW97QMdsfLZs2fPaAw885k7wrk0MsS95S0fqfqGOrHxoTaGuIc+9N+MyiqEEEKsZrZt2zaa&#10;E5sa4vbt25r9hnobQ9z+/fuHJZs+vGfPrV9YztSGOsB6neFy9+42nIefp+7L7QZmKg8ez22a5kgZ&#10;4iDc+7dJF2VlGrk1B7+x3WYtyfSj8tX0cYlc+im41sqNG4/dEE9hx4HF9l3qjQmeVFqWrmOb/Yq/&#10;KTAuorgg95CgRK7veSxXLubr+x19is/Rx5NYqwsBOP6OOeah4TyakjfEYR6elSHuM3/y0VE9ZIgT&#10;QgixksGXvDjnveCC7eG8WJI3xL3pl9987yC9xqxUQxzvwZsoulfnsZq1XW490WWdUiJXxtwxwjBR&#10;uXJ1yq3LLHbtmfryUJS+pab9Smnl0rBrXaxVUWaLPe6pKRtgGN8XtXsb9ouB/rlqKm0Lw+TKSHL1&#10;FULkef3rXz86f/o0xP2Pj3383YM0+2VRDXE1rveai90koBmmdrNVrDx4g4SxwHGIiXtWY3LW4Hy1&#10;JrFI2DT3N18ee+MJTeIc480kVbo5Ayi3NdFFQv39TbBYuVhD3DnnXBrOpZEh7pZbPly1IU9sfKir&#10;Ie7QoUPDGgghhBCrD2uIe9mVp4fzJuQNcWed98xvDuJk8evulWSIy21E1qQD7IanXxOU8qnZwCyl&#10;0RSs7XBvb9cA2ExuAtaGjJtbJ9a2YQTTj+rdJV2SSz/CmgCb9IVtqxS5ccCNdwjhSl9WyqVFatsv&#10;Nbb5Wa4dcuWoHT8RubLX1IthfNntTzGhzbu8PVGICKxXOcaOPfaHwnk0pcgQN0inChsP+vX3vit8&#10;YF8rGeKEEEKsFqwh7iWXXxLOiyV5Q9zrb37jwUF6jWlqiDv++CNrcxjivv3tbw9rNV1y9/12fVV6&#10;Vmbv1aOwPJZbn5DcmqHLOqVEroy5Y4RhonLl6pTbr7DYcH7NmUvfUtN+pbRyaXBtnPqCWh9rUIbx&#10;fUHzJp6V5rBftPKk0rYwTK6MhF9gK5VJCHE0b3jDG0bn286d+Tk1pcgQ99/e/99fNUizX7oa4v7T&#10;f3rcsNrTAxMJ88fF217UMBlh0sGFsuZiNwlYttwFWaxseEOSuqlYTXjzKm4wcPON8xN/YXKjWa50&#10;M+hNdTj/+wRlQrrIhzeGpTLhmmPLhfCoM9KCcB2wD8rE6mDXrl2jPn/+8+N5FfOtnX9hiNu790D2&#10;7TIeGx9qY4j7oR/6/43KKkOcEEKI1cyGDRtGc2LOELfx7HFD3LbnbfnnQZwstYa4MzY+dlSGlWCI&#10;Y5iSWYz34RD+beHnqXzwOcOkKKXRFjyA4LoB8mXPkauzpdQXKAP2QHDcr5eoqN41fQzaph9h69zE&#10;LGXjpciNA99PEOqT+sJSkzHVdmzzs1zb5cqRSteC+mFPIvXlrajva8YFw0Rl9+t/jBms+UsmRCFq&#10;OHjw4GhsHXvsD4bzaEreEHfR5duLczex8aA+DXG49xBCCCFWKnv37h3NeW0NcX4efvUN//muQXqN&#10;WYmGuJwBK4Lruei5GtPJrU9Ibs1Qs05pS66MuWOEYaJy5epkPQmpZ75Yc3LdFaWRS99S036ltHJp&#10;cAyk1rE0o0EePAvlsdx6nmF8X9i1IsZuhM1jEv3sqe0XIcTRvO1tbxudb20NcR/+yMcursNoAAD/&#10;9ElEQVTG5njoXbf/5hWDNPulqyHuP/7HnxxWe3rYt0Rhkpk3WLbcBVmsbLjZvtrHgL3xwo1W6tsT&#10;OI9xo5W76bDfYKFrH+pzY503rOi3mhshlNs+FEo9UAFIE2HE6mDHjh2jcVFriNtw5vYHB+EbYeND&#10;bQxxj3nMj4zKigcMQgghxGrFGuKuedUZ4bwJeUPcOc9/ZvEnW/y6+6przw8f2MsQd/SmJT9P5cP7&#10;bChFKY0u2HVKk/Rzdbbk+gLrD7seSSkqV00fd0k/orbOHhsvRc04QH1Ybyp6oFGTFo/PoyEO6+6U&#10;Cc4q6vuaccEwqbJjjW6/+Abh376cQjTlrrvuGo2px/3UceE8mtL2C88em7sve8Vzq39uzcaDZIgT&#10;Qggh6rC/ovKqa64M58WS/Dz8+r1v+PggvcZ0NcQ98MADw1pNl9x9P59DRga3CPts3T9X4+e59QnJ&#10;rRly5e1Kroy5Y4RhonKV1kG27bCGtM86sSdgv4AVPQctpU9q2q+UVi4NGt6wPrPPM30doAgeQ1g8&#10;H4X8c1GGifrC5oHjHIdMh2tIrGfxmSeXNmGYVPtZmB/6VwjRDGuIO++888K5tKTIEPfeOz7wnEGa&#10;/dLGELd7922jCs7CEFc7ccwKtk3ugixWNhoDh+G5CqXMcJZcGN6oIU37jYy+blT4bRrcaIGa6wz6&#10;l+VIfaPBUtMGYmVgf3LtkkteHc6l3hD3tK3nf2sQvpoTTt26xsaHuhri8IBBCCGEWK3gZ8s4JzYx&#10;xD3rec/84iBOljaGuAMHDgxLNn1q7oVZztyah5uduXRA7pvtpXzsPXmKUhpdsJvNkbkqRW6T2pLq&#10;C/vlHKxhsHnsN4yZflTvUh93TT/CruOa9IVtqxQ144CgHFxfQr4sNWl1Hdv8LNcOuXLkxg/7Fv2H&#10;NPw5lev73DHCMLmyE/tQA3+jhxpC1GINcU968k+E82hK3hB38Uu2F+duYuNBMsQJIYQQddgvjf/q&#10;r94czosl+Xn4Fdf80u2D9Bqz0gxxeNbEz2ueTQEbxz9X4+c19/i5NUNundKVXBlzxwjDROUqrYOw&#10;jrFryEhY73hzGCmlT2rar5RWLg2MAa7PIlnDWoQ1BlpZ+FnUF8jf5hEJ+w+pZ6kM07afLXZ/IvfG&#10;OyFEzHvf+97ROdSnIe6mN7/1yYM0+2UahjhMFLhI8iKLi12Xiwsv9k0205h3yTyDCy3C2RsI5IGL&#10;q71I49/4jPnbG4mUoosvLrj4RjHzhfBvfOY3LQk3VLnZjnTtRIyy2UmX5WceaAukX9t2lmnkjfhI&#10;07Y3hH7P3dixHGxnjDGOFYh9loJltfkyTk1blcYA6k4Ylp+hrGwj/I3OD3yGOnIsQygfxnRqrPh8&#10;ON6YBvLy9UP72zZAnqmbjxy2PZBnF1A+psXxxTKiDl1B+mwTtn3pphLYdhTC0sYQd/qW51b/ZAvo&#10;yxD3Uz/170dllSFOCCHEasYa4q6/YUs4b0JH/WTqczZ/fhAny2o1xHGNxvVICoaL7qtL+eBzhklR&#10;SqMLWD+0Sd9uvubicd3j+8Lmm1qv5dIv9XHX9FNwDYU+rwVrfOYV7asAuzFfS6ptUZ9SWl3HNv4f&#10;5W3J1SnVJnbtnNo/yfV97hhhmNp+t2Mp1X9C1IB5kWPplCf9WDiPpuQNcRe++Nzi3E1sPKhPQxzu&#10;PYQQQoiVijXE3fG+feG8WJKfhy9/xZW/OkivMSeetmm/TaepIe473/nOsFbTxT5ns+syPqvFeiT1&#10;fDAitQbiOi33DJZwjROt6VLl7YNcGWvKzzBRufAME8dK61Q+v2ZaENo095wW5NrMUtN+pbRKafjn&#10;xEwLazXGxbEUWAdyPYtwvhxMN9UXWLPiGNeVFP6Pz+3zak8pbcAwqfYj6EvmnctTCBFjDXGbN28O&#10;59KSIkPcE049Y+0gzX458fRNB20mTQ1xJ510yrDaafxFjaLxpCm40DGNWqMNJ4jcRdxu0rFsuAjy&#10;BiESNwDtBJOS3/jDxZYX5kg4Fl2wuTmLduUkHQnhED9VfqTf9CI/6bxt36aEvCM4ztB3ubJFNwm1&#10;/ZyjNAbs2LOb13bSpWx+KBvHb0pIm0YxSykfCm1XyqfpxrXty7bnOoluTOxnTcvm4YMGO7Y4nlLj&#10;zfY34gthsT+5tmvXG8O51BviTtu8/e8H4auJDHFXXn12+OA+J2uIm+WDdyGEEGLWrF27djQn5gxx&#10;p2/ZPDb/bjzrzE8O4mSpNcQ98ZTj5mJeLt0LA5Yzt1ay9+ypDUt7Xx2llTsG8DnDpCil0QW2FdR0&#10;XcJNZPyN1sd2Xev7wq63oo33Urty7Yd1cETX9FPYOiEND9fm9hjyz+WFdseamGFqSY1zW/eoX0DX&#10;sV1qB79+99i1vh13Nk+k4UF9cma8VJtYGKa231NlFaIp1hD3jE2PC+fRlLwh7twdZxXnbmLjQTLE&#10;CSGEEHXYL423McQdOvSXY3MwdN5Fl7xhkF5jFtUQJ4SYDNwTiTwDQogyfRjifvMDvz02x0MLaYiz&#10;m3Fe2IRrg93AYzrRRp8lMrt5uCFpy8WNUGyu2nioF8JHG4DMJ7c5aNsFF1u7AYp8aM6KjGNIl3Eh&#10;hOWmIv7ajWD+G3GQDmQ3d5saeSadN46j/fHXtgk2wK1ZK+pDbsoyX9uuPr7vmzb9nCOVD0FbMQzz&#10;RVh8jrKwTYHdKLffMkB7YtzbNrdtBqJ8eK4gHY4zHsNftBPzQFvwc4Rtgm1vlLULLCfagiBNpm8/&#10;bwrqynRs+5UeBNixHI1Hsbqxb5jBnBnNpd4Qt+HMc+8dhK+mL0PcySf/xKis+/fvH9ZACCGEWH1Y&#10;Q9ybbz4rnDchb4h7+tYzPzaIk2W1GuKAXXMgbGo9g3VgtG4o5YPPGSZFKY0UWB+gXFiHYW1ly4dj&#10;ds2Ta6sUqD/j23WYTztKH2GiuPhr2wSK6m3DcI2INLkW7Zp+Cpsu2taupVAOfIZjdk0M7DjCWgyg&#10;P3xZIAuOo+2QNvsPf+16jukRu47mWhP19uu+LmMbYRkX6bC+UftCHltG31Z2Dc9jvkxQNGbxWeoY&#10;YRjf70gb5wr6mODfbCccF6IL+/btG43f7c85MZxHUzpz+7axufus87YV525i40EyxAkhhBB12C+N&#10;f+yj7w/nxZwiQ9yzd1x85SC9xnQ1xD344IPDWgkhFh2sj3l+cz9ECNGMj3zkI6PzaEUa4vC2m0HU&#10;ZZUMcdFGnlVbsKnGjVIK/89duLjxh83cCB63Ri1u9EXmrRQsj98ctHBzO1UWXIxZHr85a9sUG4t+&#10;YxVtwONQ1CasF9qsCbPM27ZJ1LZMF4oMUojPMePzbtPPOViO1Biwm9eQ38AmNlwqLftAwdfbxkfb&#10;2Y1pYDfho/jA9jk3+Guw/dEFW0b/AILnEerWllTf83P8jbDtkuo/sXqxD9Svu+7d4Vx6zvmXj03y&#10;T37Gs/5yEL6avgxxP/vUnx6VVYY4IYQQq5k1a9aM5sQmhrj1GzcXf7JlNRvirCEmJazP/FqFMEwq&#10;H3tfnqKURgq/XkoJ7eTXxrVgDRalCWG9g3UK/h31RS4u1khc/0b1Rt24vrayYbukn8PvG3hF61KM&#10;j6i8EMphDW4WOz4iYWxGRGPW90HXsZ1rB6SbqhOwa32/Hi21L8scjSl8ljpGGMb3O9NPSV8kE12x&#10;hriLLjkpnEdT8oa4n92y5TcH6VRh40FdDXFf+tKnR/VYJEMc5jnMS7gGaB9svin1FedT/8xhnuAc&#10;iLI22Y8WQswX9kvjmP+ieTGnyBB34umbdgzSa4w3xF18+ZXhw3lKhjghVi5cM+M+QwjRjkkZ4vDs&#10;e5Bmv3hD3AsuuSZ8cG/VxBCHjT+G9cLGYBewuMMGnN8URbrRYo8byZDfrMbGHI/ZzUoabpBm7QY3&#10;00ltCiMdhsltIHCTEWWw2A3dVJl4PGXwsmk0YZZ5A7YJ/np4LLWhDWzedjHdpp9zMA/kF4F+Z5jc&#10;5oN9AJErlw1nsfmkNp9L7WbTyI1XD9OFusA+i25M7HkbmS9LsG5I27dvbqwBO5aatItYHbQxxD3x&#10;aVv/YhC+mr4McVu3PnFUVjxgEEIIIVYr1hAXzZmUN8SdeNqmvYM4WdoY4u66665hyaYP1xd+LWrh&#10;OrzmYSrutRHOrhEg/B+f59Y6pXzwOY5H6wXSpKwerBtZdqYDYe2I9unD5IO1jDVW4d9c33CjNtUX&#10;Pi7KhbUK2pTr3FS9sffBMBDS8fXpkn4OrKEQ37Yp/s96R/jy2rJw78mPg9LYS4F4OA9YPublKaWP&#10;4znYDoxn60RDpq8TsHttdg+L+HSRBurD8YzPcNzDONExwjC+/ZAn8kAdmC/+jc+iMgrRlL17947G&#10;VldDXM3cDaJ190owxNk98pzsuYtznJ/jGifml1Jf8Vg0r80Ldl5FfYQQi4ndI190Q9x3v/vdYa2E&#10;EIsO7zPm+V5IiHlnVRniTj75ScNqp7ELGKs+No4BNgpx0bKbbpDfSLUbhv4YN/yx0WuxhptocziC&#10;4VMXUrsorZFfuCJdHkvB46ky1KQRMcu8AceSbxOQO0Zs29vFdJt+zsG0Um2QKoenpk6AG9pQarMq&#10;lU8pj9qyepgu1AWe1ymDJR9Q5DbsUzBtv5EPSu1ix3GTdhGrA/tAPZpHoaMNcc/81CB8NZMwxOEB&#10;gxBCCLFa4XwIRXMmtRoMcUIIIcS8YQ1xV1y5PpxHU+rTEPdbH7ojfGhfq3kwxNk9u5zsfhcMtdyD&#10;i/bRRHvsM4s+DMSlvmJeqX3rSVNjvuZeN/ZuS+ZyIcT8Yg1x9/3DF8J5Mad5MsR973vfG9ZKCLHI&#10;2C+e6R5DiPbIEOfABQVmFi7E+jAcRdAYx7JFFzN+s9mbXHKLRJjnmCbTRX1w0YxguNSi0qdXkjcC&#10;2Tqm4PFUGWrSiJhW3mgjLIq9yZGKTEolAxPImbua9nMOppFqg1w5LAwDw2aOVHo1+ZTarSaNCKYL&#10;taVmQwh9xDBN+spurESU2sWO4ybtIlYHHBtQNI9C3hB34mkbDwzCV9OXIe65zzttVFYZ4oQQQqxm&#10;OB8+/OEPC+dMqo0hzq+7ZYgTQgghmrFnz57RHLnnuqeF82hK82qIg1FgFnDPC/vk2NNKSUwHtDXH&#10;xDTanXml9q0nTWnPVQixcuD1BormxJJkiBNCCCHmExniZow1yPg3wdEEA9E8Y98OljLU4HOkS+Mc&#10;hH9Hi1QeTy0qbRnaLHJrDGU8nipDTRoRk84bpqeUCc4qWjDXLKZLGwxN+jkH46baoFQOwjCLaIiz&#10;52GTeBa+ubFWkaE1AkZZ9nHbdrHXjVQ/i9XJoUOHRmPjB3/wR8J5FJoXQ9y52580Ki8eMKwWct9I&#10;xvUL537tNcXD60vb+PPMSq5b39/KnxaY0zCOMWbbzLeLWm/CcxkP81KgXgwH4V7TrxGEsPP3ox/9&#10;o+GcSckQJ4QQQkyfHTt2jObIN928JZxHU5IhbpzSnpeYLm33XtvCvGa1n6nxJ8TqwK6x1x736HBO&#10;LOmev7l7bA6GpmWIW79+/aj8MsQJIYQQ47zvfe8bzZMyxM0Au4j0Czs8NOQxPsyl6SZ6KB6BB2h8&#10;IIy//i10TL+rGSoF0mX8FDyeKkNNGhGTzpsLYrQrwnmDYm7BXLOYbtL2pX7OwTxSbVBbjtQbDT0Y&#10;y0zPtllNPqV2qy2rxxrGYC5pA9u/VrmH4RZbpyayRgF7LanNV6wODh48OBob//bf/rtwHoW6GuKe&#10;cOoZa218qI0h7oUX/uyovNM0xNnrVq0JB+cdrwtdDVm5ax/LBbWBcVNzwCKzkuvWdr6bNbbcpfuF&#10;iEWtN2HZoQjcF0X3E23aSqxs7Gb9scc+KpwzqT4Mcde9YUf4wF6GOCGEECLGGuLevu+ccB5NaZ4M&#10;cfjJuEHSy5IhToBpr8mY16zW9Rp/QqwO7B75CSc8LpwTS5IhTgghhJhPVpUh7ulP3zis9vxgF5HR&#10;2x/smyTsw/Umb4qwZh+/UOXnqUUlHswxTBujENJl/BQ8nipDTRoRk8zbGoxSRofcgpnHcuYk+9ay&#10;GoNbrp9zME6qDWo3OjhWMUZzMJz/+c+afEqbELVl9dhzC3+9uTHChrFtXzLL2H6tMdYgDMM3kU+b&#10;bQehvCVq2kAsPnh4zXFx7LE/Fs6j0LwY4i67bNOovLt27RrWYvLY87B2LsQ8zTg153qO3LWPZuRa&#10;o7yHZUzNAW2w7dW17l1oWzcaIEvz2SxpO98BznddjZptsIavNvl3qfekqakX74FS5yvvEZAW64c2&#10;m7e6itljN+uPO+64cM6k1j/jzLH5t09D3E8+7odG5ZAhTgghhDjCtm3bRnPkSjHErVmzZli7NNhf&#10;wz0t742xXq3Zg8pR2gtMEd2f87PSup7horUk7s1xP88wEOqJsDX7tymwh8D1AoR9U3wxPrc/h7rZ&#10;/T4I/8fnqbJwvY7yA6SPfFgf/MX/fXykafOJZGF4rn3QPswD7WXrxc9tXxGmzb7AX/uLLUg/tV6y&#10;exMpWE62B2GZmsinYeG5wT0chkf5c895fDty/DENtEU0TpvQZOwxrK0HxHGXA3HteK0Z423PtzZ5&#10;idWN3SPv0xB30ukbtw3SbEwXQxzm3e9///vDmgkhhBCiD0PcO3/9N8z8flgyxA3Aogs327mFv70x&#10;j27IrdGGD8mgJgtsLBwYzy8QuZjIbQRwgYOwTfIFWJww7xQ8nlq81aQRMcm87YI6WrSindD3OI4+&#10;9th+x2LMg/jsmyh+RK6fczBOqg1q00U7MFxqAWzbzedXkw/bLdUmtWWNsH3tN2Ys6Bv0GfqHcNMA&#10;fV7CtkFpA66WUrsA2zYoe659uNmCsoqVjV3s/9iPnRDOo9AkDHGv3NPNEIdv3E8TXtNrznPA6wKu&#10;J12pOcfbwvZMzQFt6HIt7pO2dbPzwbzSpY0Zr88+nxbzMrYi+mhXnuu4fgiRo5shbuO1g3hZZIgT&#10;QgghumENce99f/zT4ymdtmWLm7sXxxDH+1mvLqa4tuth5m3vz7lOt3t6HrsX78tt9+YjYf3fdO8c&#10;YJ8xSg9CWf3+HP7P/fqUsHcR7evZNRX2crn/7OXrwr3CnCxcV6PfovrZ9Rw/i9ZSPObNZF7R/ryt&#10;awqW04dJtUtJERhHpfTQTtHYse2YG3/R84Uamoy9mjGQOk9z+aTitD3f2uQlxIEDB0bj5NRTTwnn&#10;xJL6NcRtPGDTaWqIE0IIIcQR7rjjjtE8OfeGuMHNwyGbybwb4uyiCzfoWDTgMwj/5sN1KGeM8Qum&#10;1AIH4ZCOXajYBTKOe7AI4DHGww2TNQPZjQCUGQtMu9hAfZCvXySB1KLSwuPRohfUpBEx6bzZL2hf&#10;tAFAu/jNhGihxXansCHDNrd9BjFtgrSb9nMO5pNqA+SfKovHlhvpsU6+XTCO/IK1Jh+2W2rx2qSs&#10;EbZfUFacaxj/SAt/Oc5xnKYY1INxcuexhe3ENLpSahdixzOEcYd+Qf0gHLfXpZQpUKwc7GI/Z4jb&#10;cu4lY5P8rAxxV1111qi80zbE2Y0/P9d57HUB8bpSe463geVMzQFt6Hot7ou2dbPXynmlSxszXp99&#10;Pi3mZWxF9NGuvD9YxL4R08Ua4tatWxfOmZQMcUIIIcT02bBhw2iO/N2PXhTOoynNkyEOGiS9rJIh&#10;DutkhvXqsv/Vdj3MvO29td3jxr8jaKbxZbZ7AkgztefZtJxIi+kib6aLvzTw2S/MID+7B4xycY8V&#10;cWx6qAOPEbumYhooP0BYXx5P7ZrMpgOhLNyDtO0HGAafe2waDMO4SMvuRfu9GlvWFLacETXjL5cG&#10;ymT3ku24wzH2MWT7mdi0IdSX7W7HCMR+rMWmXTP2+DwLf21b+3L4c8teG6LxGtW77fnWJi8hgN0j&#10;37p1YzgfljRLQxwe7g+iLSs1vwkhhBCrlfe///2jebJPQ9wgvf7paoh7xjPOHFZ7enDRlFO0uLTA&#10;ZGPDp25obJhIUTx8FoX1C1osNKJwXlycELuwSsHjCBtRk0bEpPMutQkX5NGCmeMCYezC3SsqVxTO&#10;qukNL+Ol2sBuHvhx4cGiM1cfCAtnu2gmNfmw3aI2BU3KGoFFMje+crJ1sAv0qF4RNk4fC5RSu1hs&#10;3inZzTCxstm/f/+o308++YxwHoXm0RCHb9xPE8xvzLtkfrXzg58X29DkHG8Ky5maA9rQ9VrcF23r&#10;lpv754Uubcx4ffb5tJiXsRXRR7v2kYZYHXhD3Dt/7cJw3oRkiBNCCCGmz9q1a0dz5Kc+fVk4j6bU&#10;1hAXrbv7NMRBOew6KlJb2q6Hma+/t6aRJrUfz+N+3c/Psa8WYdcqtfuD2IdknJRRB/nZstp2Tq2J&#10;7N6f39+z5USdorKyzbH/6aldk9lyIh8akyIYLloH8RgU7VWi/Dzu+9SWNYUtZ0TN+Mulwfi5NrBm&#10;styzFey5+zTwf47N0jMmS5uxl8OWw/cj64Dy18K0mp5vbfISAuzbt280pl5wwfZwPixpkoa4K3bv&#10;CR/OU9YQ96EPfWhYKyGEEEKAhTbEXfzi14QP7q2sIe6JT3zysNrTBTfoWDxgEcmy4N/4LLdwJHZh&#10;h8VAilw+uYU4DDnWxISFWvQAH5/59FEehMcmQRSHC/BcuUsLnJo0IqaRN9rcLloRDm2EtmDcaFHp&#10;F9NYrNl2RZzU2GjbzymYTqoN7PirSR8LYKTFOlL4Pz73C3dSkw/bOrVQb1rWFFEbo2+Rr998YZma&#10;LLQxPjj2/CZBG0rt4kH+OGfteQ+V+kisPOxifxEMcddd99xReWsMcRjPPI/xt+v5xnMGaeVIXRdw&#10;/cCx1LmXgtdT/PXUnP/I1+aJf9OMy8+ituG1kPnb+LiG+GsF6mDDRYpA+Xwe+H+02e1pW7cItmVK&#10;UfsD1Dsqf+31tE189A3Dpu4XLHZ+TClKB/FS9xw1+UaU7r1Q5+i+CGWprXebMcVyIZ9cGSw17RrJ&#10;nq+lNFAuwPKVDLksc6p9xcrA/uQ5DHF3vP+qcN6EJmmIe+Ipx43KIUOcEEIIcYR+DXHluRtMyhC3&#10;Zs0xo7rkyN3X4h61Lf6+PhLCeHjMrwexlsHnvM+2YC3JePbe336eg2Fq78WxPmEcv9ZIwft9rH1z&#10;MJxvG7um4trZgzZjGE/tmsymUaobw/m+AjyWWwdxjPhxZsuaIldXwLSjMUZSaWD/lZ/nym/D+Taw&#10;aaf2B2rK6Gkz9kqkyoHzoUleXc63pnkJQewe+UsuvyScD0uaF0Pchz/84WGthBBCCAFkiFsAsNip&#10;fQgmFoM2C1UhhOibvXv3jubI0047O5xHoXk0xOEnaHLYTUOrLvOo3TBMbfxizmYYa76xm3IppeaE&#10;3JxRmk94PBIfBEB+0xUbhzZsJNyb2A3ZmjpaEDdXPghlTNG2bimaGuLQRtaMFwkb8qlN2C7xax9C&#10;kJr+9OmkziGrNucT40b9ggcBfHATyfZrVO8uY4rHMY5TZcCYt/1R066R7FgqpcEHdRyf0YM7Yh8c&#10;pB5uiZWBNcRhPpQhTgghhJgv8POinCM//4WXhfNoSn0a4n7/Ex8KH9o3kTXEHTp0aFjDmNS9eJd7&#10;09L9PWS/cEJ4zK877FrKl4vrDW82q1kbWdWuQbGeYpxaavNIrR9q1pI2jKcmPrBtVoLhojrljpFU&#10;Xrl6kFI5Of7sGs5Tk3+urQD6CeH8WC6VDzBMroyeNmOvRKqt7BfD8Rd7ZXYvyWPrXCOEJ03zEoLY&#10;PfJFNMSdd955o/Lb/WghhBBCLC294x3vGM2TmDOjubQkGeImjH0Aj5t6sfjULKaFEGLStDfEbdo/&#10;iFNNX4a4m974wlF5S4Y4boBFajuXYhONaaRMNXbOtptuNNngrzXUoCzWiBU9KMjNGbljdhMR5WV5&#10;sBHrjVh2AxGgjGhDbJLajVukYdONDFG1m752g95uUqJNbB6+bKBL3UrYtFMgP+aD8qNfU+VHv/MY&#10;6Rq/to0jGC/XLnYcY2zZMYsxatsYZW8C40X5czz7dFEef05H9e4ypnjMhmF8mz/6I8LGS5E7X0Eu&#10;DbQ7j6ceKPIBXqqMYuXgDXG//TvXhfMm1MYQ59fdMsQJIYQQzeD8CEVzaE6LbIjD/TPWiLx3xroh&#10;de9aS+keOgXLHN1b434Zx7z5iOX2axzeZ9eqts6sG9qpBrsOxBolB+rNsJaataQN46mJD1L5RzBc&#10;1Fe5Y6SmrilK5awZf6k07OdYk+ZI5VMqH2CYXBk9zK927Fkw9nDu8DzyisrBPSYbDudVNIa6nm9N&#10;8hKC7NmzZzReXnXNleF8WNK8GOKa7tMJIYQQKx37JtidO3eGc2lJC2OIe9KT1g+rvVhwcdFmgSLm&#10;k9QiVwghpold7G/adEE4j0JdDXEnnrppnY0PdTXE4SfiUthNz0hdNsGs4SaCx/3Geg48NOBmHTYy&#10;Pbk5I3XMphnFw3G7yRjlmyNXJtv+qbbGBiXDWLOVhZu6vq0nXTfmC6WwYVJ1xAYUw/iHFV3j17Rx&#10;CsZLtUupfQHC8P60qfkqlb+tU1Q2PECwRjxf7y5jCjAuFD1csn0WPczgsVS7gtx5A0ppsF9S1xce&#10;j4yqYmVx4MCB0XiBIe7jn7glnDchGeKEEEKI6cP58eHH/OtwDs1p3gxxa4979Kg+JUPcJCjdQ6dg&#10;maN7a/t2LKxtgP0Cir/f5zof6pOmdbNrJhnijlBT1xSlctb0USoN+/m8GuKaxME6O2WCs0qliXMN&#10;+xw+DW/e6eN8q81LCLJr167ROPnVX705nA9LmqUhDg/3B9GWhWuCEEIIIY5gXw6zIg1xu3ffNqrg&#10;Ihri7MKttNAVi0ObRacQQvSNXew///kvD+dRaNEMcYDGkEiljcgcmIuZjv8WKjbceKzpnJ2bF9oc&#10;s5v5qW+n2/I23SzJbcrWbJDzAURUJ2LTsQanWdaNcFO19GUFhvP17Bq/po1TMF6qXXJj3GLDNSkD&#10;4/j8o4dSHtv3Ps8uYwrw85SZrNTmPJYbbygbwqTKWEoj10a2bVKGQLFy8Ia4P/rUr4XzJtSHIe6m&#10;X74wfGBvDXEokxBCCCGWlg4ePDiaHx/16GPCOTSneTbEoW7TpnQPnYJlju6tsSfA41y780tV0ZdP&#10;kAbD94n9IlcNTda5NBVhTWkprWuADeOpiQ+atBnDRXXKHSOpvHL1IKVy1oy/VBq59auHe1gYE5ZS&#10;+QDDNDlHmo49wLZAWZGn31uraSuC9kh94a2mzk3I5SUE2bFjx2iMyBAnhBBCrCzsy2F2794dzqUl&#10;yRA3QfjgC4vX1MNBsXhwUyLaZBFCiGlhF/uLYIi75dYXjcpbMsTZDTSrlNmlFszFqY1KGoRwvOmc&#10;nds4bHOsdgORYZpuluTSx+Yij6U2GlnuWrXZHGWYPutGatPmfI8xYekav6aNU5Tyrqk/gOmK4Zp8&#10;y5pxfP65cU5y9e4ypgA/z/VJKi6oiV+qYykN2+bedMsHGiWTpVgZWEPctm3bZIgTQggh5ghriPvJ&#10;x/1QOIfmNG+GuBNOeNyoPivFEAdokOHeLNf5/j4b2C8D5b401BSso5hu7ZdaWM7SnjLD+X2L3JqK&#10;2DCemvgA7Z5Kw8NwUV/xWG4vh33p10I1ZbVfOoqoGX+putaumXPrvJp2ZJgm50jTsWfNmKm6ND1X&#10;UwbPSZxvqbyEIFhXc4zc8b594XxYUp+GuEG8u2w6JUMcHu4PommMCyGEEAH25TC33HJLOJeWNEVD&#10;3HgmTQ1x69c/ZVhtIYQQQtjF/iWXvDqcR6FJGOKufe054YP7nKwhbu3atcNapMEmHd+whb99bQjQ&#10;eOJNSjQv+Q1nCzb2EI7l8oo2DnObiqlj3BCFcjBMqm2waYz62G/TenlqNp1T9Y+EdrbfPO6rbilK&#10;6dv6RQ9LLFFaXeODmjZOwXipduGYQh+VKKUVkYqTG+ckV+8uYwrwWK4uDBO1eU38Uh1r0uC56NPg&#10;A6/cgxaxcvCGuM985n3hvAnJECeEEEJMF/yMOOfHlWaIm8VPpNesEyJY5tS9tTUEWQNO9OU2a6Zp&#10;Wo4c9k11KYMb9xAI9yOglJHJ1s2vXXJrKmLDeKx5K2dWQrun0vAwXNRXPAZF62dbVh/ftm+UNuJy&#10;HQVFcJ/Hm+0subpynYq/0dgCzANl8WFq2pFhmozNpmMvZ9oDKDfr2qQcTNP2z6TOtygvIYjdI//Y&#10;R98fzoclTdIQd81rbwwfzlPWENf1y+BCCCHESsO+HEaGOCGEEGIVsWiGuHf9v0dc/DWGuElhf/aC&#10;G8B2wy7aFMbmYY1hJ9rsw2dNj9VsmgKG8RuCqA/TLslTs8HOTeeoTiW61q1EKX1bv2gj2BKl1TU+&#10;qGnjFIyXahf2O8ZriVJaEak4qbFsydW7y5gCTDdXl1TeoCZ+qY41adiHWzT12WuSN/qJlYk3xP3Z&#10;n30onDchGeKEEEKI6WLnacyV0RyaU1tDXLTu7sMQd+qpp4zqs5IMcdYQxLV67stt9k1iKItd92P9&#10;jP8jPtYlTaAZCkIevJ/HX5rfbN3xOdc++Is1JfLnMdSX6UVGp5q1pA0TwWMwiSFvyK9tbTlKMFzU&#10;Vzxmw7C+aHPbFvzcYr/cxy8PIZwtHxVhw7GO2N+xbZerq12roSx23CAd2//Rl5tyaROGaXqONB17&#10;bGvUg/Vn3/OYjwPwf6Rn627zgNAWlrbnW5u8hAAbNmwYjZHP/MlHw/mwpFka4m644YZR+WWIE0II&#10;Icaxz8Jvv/32cC4taWaGuMuuuDF8cG9lDXHHH3/8sNpCCCGEsIv9XbveGM6jkAxxR8PNPmyqAWwA&#10;4v9+M45gU47HsVnJjUbC4/jraXOsZtMUMAzCW2x81NFvGObSr9lgz9WpRNe6lSilj83X2rS5wWzN&#10;ZV3jg5o2TlHK224858CYYDj/8CMH4/j8a8ZErt5dxhRgurk+SeUNauKXyliThh0/fGDCzf3ogZdY&#10;mXhD3Be+8PFw3oQmaYg7Y+NjR+WQIU4IIYQ4jJ2nMVdGc2hO82yIm8V83/Y+n2XO3VtbQxBkTTQR&#10;1lSTUs0Xiyy4v7emLS/sIfj1OMrJPYmU0F5I21OzlrRhIuya0cqCdo8+j2C4qK94DGufXJ1TfYe2&#10;S8VDX9kvHEVg7yaKb8taqqs9nlLKwFLTjgzT9BxpOva475US0/Ll4DmcUqrubc63tnkJsW7dutE4&#10;+dKXPh3OhyXN0hCHt90Moi3r+c9//rBWQgghhAAr3hB33XXvHlXwhBNOGFZbCCGEEHaxj/kymkeh&#10;eTTErVmzZliL2cANYGwQAm6k0yBniQwsHm7aRRuYbY7ZjcrUJrctl93MBdzITBlscpuyNRvsdmMz&#10;2qTP0bVuJWo2nLkhXjIgMZwfF13j17RxCsZLtYt9IOAfvFhsOG/wzME4Pn87JlLgIQfD+Hp3GVOA&#10;cXPjhWGiNq+JnzuXQU0agNcbnKeoK8dJE2OiWGzsg3aY2w/+1afDeRNqZ4gbn7NliBNCCCHq2bdv&#10;32h+fPb248M5NKc+DXF//CcfDx/aN9HWrRtnOt/z3re0dvLwHjm1Bgd2fYF76xqwFkBZmD4EUw7u&#10;8ZFXm7UI4mANYM1JSBP7Dqm1Fj7HcRsHZULZcusC+8Wm1HqPYZBeCpQXZbT5WrhezKVB2JZRX/EY&#10;6ot2wrqPn+Ev/p9btwIc5ziCUG6UH+nV1NXHR5tbA15NXTFuUFa2GYR/47Pcmr4mbYbxfVBD07HH&#10;8c+w7AOETZUjN1ZTRkbS9HzrkpdY3eCL1xwzi2iIw8P9QbRlbRncRwghhBDiCPblMLgnjObSkmSI&#10;E0IIIRYQu9iXIa4Z3DSFuOkHRRuxNmy0MY0NPG6KRkaZnIkmdQybgMzTb0YC5Gk3CL0Bh5uN2NiM&#10;QJqM67H1TW044nOG8XmX6Fq3ErY//eYqQbswTNTnwKbjN7i7xsf/U8dKsG+xSRxRal9QGrM5mLbv&#10;F2t0RN09aCe7Ce7r3WVMgZq4DBO1ealdQe5cBky/VH5bV+THf6fGq1h5zKMhbv/+/cPSCSGEEKsb&#10;a4i76JKTwjk0p3k2xGm+F0IIsRJZdEOc3SeSIW5lY/fdU3vKKxE+i0jtVUdgnxThsQ/bdP9cCLGy&#10;sC+Hufvuu8O5tKSFMcTN+ufVhBBCiHnCLvZvuukD4TwKdTXEPf7UMzbY+FAbQ9wd779qVN5ZG+IA&#10;DUE0wuD/KRgGRi0uwLAogwnImnwio0zORJM7Zk1XMNjQLINNEmsY43ELF5komzXxRXEjeAxhkS/r&#10;arHpoKx2EQ9TFsKjXtFCt0vdSqB/GBf5AJQHaRP8n/3GNmIZcAx5Mo2o/F3j2zI2XdBzzCBftjnq&#10;hnyJNVkhf9s3vo2bbr4wXtQv9pzieOHYYXtRUb27jCnGy40XhonyrmlXhsHfCKZfM2Z9e3Cs1sB2&#10;rslHzCfeEPeVr3w+nDehPgxxt+y7OHxgj7feDIIvSw/IhRBCiMPs3bt3ND+uBEPcCy448mUozfdC&#10;CCFWInaP/L5/+EI4H5Y0S0PcnXfeOSr/U57ylGGtpg/2w1iOpvuFoo4ue8KLTGlPNcK2VZN4QoiV&#10;h53nV6QhDg/4B1GXJUNcO/jALXpbR1/gwSTyiB5QCiGEmAwwlXGOjOZQSoa4GGsagnJvhoIRx4b1&#10;opEnWpzlFny5YzASeXOYFcwwjO+NMdi08IYbK5tuhG+bKGypfFRk9OlStxqitH0bw+yUayMIcWh0&#10;83SJ32XzA/naPKJ0kCfvzVJC2WlaawLjR/2SG3f43JY9qneXMcVjufHCMFHeNe3KMenHEmGcmjHr&#10;zzHkX4PdnEyVQ8w/3hB3331/Fc6b0LQMcXgbjuiXrg8TcvFpEG5ips2h9fzR5NqYb4HF3NYnnEPb&#10;7N10HW+TYlJtJcQksYa4K65cH86hOc2zIU7zvRBCiJWI3SOP5sIa9WmIO/H0TQdtOiVDHB7uD6It&#10;67jjjhvWavpgD4zliPbOuqJ1pwxxTfYy7RfSJ+lvEELMP9YQd88994RzaUlTMcSdcOrWNT6Tpoa4&#10;eXh4voiw/do8UK6lzWQmhBCiG7y+Q9EcSk3CEHf9658dPrjPyRrioFljF1X4a98EFYFFqjUZIQ4e&#10;kiIeH/ZFC/rcYj93DMAghPmbb4RiWC6YkT8+ixaFKBeOs442Lh+a4lgKmy/CpcrIB8bMA4KpCeFz&#10;hqsudSuBtG3dkUd0H4Q2gjHJmrBY1xqzWNv4XR9awzxl80T7R+MXZUBZ2A4Q4qHMUfgamFaqX/y4&#10;w1/8n/mxv3P1bjOmSuUCDJPKu9SuyB+f428E61YzZu0YQLlqwfnBeOhHsZjcddddo36cpSEOb70Z&#10;BF/WLB+Q89zMKXXezTP2fOXc1oRcfHuNbJO2h+nhrzhMro1xT8FjfcI0o3uWErnxMksm1VZCTJJd&#10;u3aNxu2e654WzqE5zZsh7iWXXzKqjwxxQgghViKc56DvPvh3R82FNZqlIQ4P9wfRlnXMMccMazV9&#10;Jr2m0Lpzftdtk0Z9L4ToAq+bUDSP1mhmhrgrXnFz+ODeSoa47rD92myq1qLJTAghpsuhQ4dG1/dH&#10;PvKHwzmUmkdDnOZ0IcRqBqZNmoCaGNtKb9kTi4E3xH3ta38fzpvQajDEsQw5LeI6s+tGdy4+rhv4&#10;HEZcXE+6ovX80eTaWIa4eibVViWTuhBd2LFjx2jcvunmLeEcmtM8G+Lw9jshhBBipcF5DvvN82iI&#10;u2HvW496MO81iLYsGeJWNvO6bps06nshRBd43cQcGc2hNZprQxw0iL4sPTxvB9tPhjghhFg5HDx4&#10;cHR9lyFOCCEWC7zpjtfDJm/rowFA99yLzTwa4mb5gJxlwNsVsSEcqe1bLWcJys264d9N6Rq/CVrP&#10;N0OGuHom1VYas2KSWEPc2/edE86hObU1xEXr7j4Mca+65spRfWSIE0IIsdKwXxrHT6otqiEOD/kH&#10;UZeFOs2CSa8pdA8vQ5zWb0KIpthn4ccee2w4h9ZIhrgVDttPhjghhFg52Ifpj3rUY8L5k5IhTggh&#10;5gv+vCp+orUWGIIQB2+WW0RzkDiCDHHjsAwrbTO460b3NDfKtZ5vhgxx9cgQJxaRbdu2jcbtrA1x&#10;f/4Xfxw+tG8iGeKEEEKsZFaKIe74448f1QN7BjXgvh/7SoiDvaJLL7200xvES2sKfkkTX2YD+LIn&#10;84fwb/yygYe/kJBStP7Bvhfqw/0zCP/GZ6k9sc997nPL4ZAfQFkYH39t2drWhaAMeKs41iO2fiwj&#10;yhLRZt3G9FPrRJtmKl+uy1C+CLQD11gU/o/PU2OqSXvn1m9oe9aR/UFSnwMeQzlQRtSR+UPo41R7&#10;EJSRYyEl1q8GlomgTHZcof65cYW+xPjxfYE0MN5SfYH2QTiOEdQb9WJ5OC5L1wfkb+Mxb6SbimvP&#10;JYRBPoyLYxafPv7i/7XnglidWEMc5spoDq3RwhjiINEcth0vhJMgN5kJIYTon0U0xL3r/901KrMM&#10;cUKI1YrdqMKmTy3cUJjkPb2YDv9/9v493LKqPvPF/8tpLx2qH84xJodLmcQm3SJVHBtQtKyLF6ii&#10;yiqhpFRuBVEChYGiLaNEoRBNRAUKWm00EUttJUaB0o63GKA0TWJahfJEPAm/qOR3TKuJtPWLHZMY&#10;hfVb79rrnfu7vvs7xhxz3dfa7+d53mdXrTnmuM8x5hjj3WvbOXz16tWtH//4R+G8CTU1xEXr7pQh&#10;7so9a6p8yBA3fOyz3k/ZBr2/CVrPNwPjMNtmmDDOfsb5cfaXJoyqrtRnxSixhriP3nVuOIfmNM2G&#10;uL1793ZLKYQQQswHSwxxP/1+OB/WadKGuDVrFtfnBw8e7JYujX3/t4J5pV/q1hR8B6cRjGG9/F6X&#10;NddE8usfa5CKhGuR0cnmH3HYeyCbTr9lIXVlgqI6rKvjCBqOUmY2lIFxptaSNGVhb9GCerSGrUhI&#10;d1j1jZ8WmMMYHvnwpqsoLsJrMGJZI5xVqq8AW285IY5SeA8Mk7l6jQx+yGcU1gp5iYxpqB9cx0+a&#10;4yKhnlLGtrr6iNoH2GcpKjOJ+oiVECnsPvpcG+Ie97gnTuSB4KCRGmAAH3TvciW4jxNjNHHiuh8k&#10;EB7xpSZawLwxXQxyTAdxWYc8440mDDvA+UkBkxniZ7zMVzRJ+8kMk5gtE/6dcz0T5AETsp288G98&#10;lns5QL4QlmGQFvPE9KPyE7QDrvs847NU2wshxCTBwpjj1VOfuiqcP6lBDXFY/Nv7oUENcdigEEKI&#10;5Qjfv3ObEBG4B++nYvaxv9k2DkPcBz96aXhgbw1xpQfkWGdy7QXh36nNxVIYV2691y9cyxK/5sOa&#10;MbVOtZuRKeyegQfl4f34N553rGvt+hr/T/12u7/fkkuX4B6fXul6Htg0UnkE3NTM5cWDe5AX2xZM&#10;H+l6WAaMnzkYzq79WQ92fwBC2ogvNQ7n6hjxMx4P4sO9SM/uayAelDm3L8KwzD9+2jhS7QfwOcOl&#10;wiBv/hlgvlL3lID+EfVtpse0IvrtCymx7sAgbZEjqkf8G5/hWgrmhfdALGfqvkHHId7Paygz6wI/&#10;fR2gLfFc2PpCHnP7k2x/ew/+jc9yY0d0X11a4wLf3so8ffbuV4RzaE7TZoi78cbrqvLIECeEEGLe&#10;mBdD3K5du6py7N+/v1u6NHifZXivft+n6tYU/l0WeeD7HsLb9+PoPZD342cK+/6L+O1+A95dmQbe&#10;b/07tM0/w+AdHZ/jndmWadCyIG68yyJPNh+oe1zDfYjDY/No85MDcfIeWx/Evk9HaSL/vG77BvJt&#10;69OuS3CPXcshjWHUt217lMXWlY8fMG7E6+E1G4Zx2HZA3j0273bdgp98tnB/lKccjJNpI0+MG2na&#10;fmXrB7A+sB6z15AH2xbRvgiv2/rkWs/fHz1/XFNCNs+419ZldK9/lvB/pA0hLsI4bH0z/qiNhCD2&#10;LBzm8WgOLdFYDHGnrD1tpU9k2g1xduK1kwTBg8rrqbzhged1PuAE1zgApISBA+l4OHjhOgYPf58d&#10;LPmZHXgABk1eQxwWlJfXInk44KXyQ0X1SOyAnFI00AOmjzrNpY+JzIP6tZOQl683IYSYBuxLwKpV&#10;zw7nT2oUhribbj47PLjPSYY4IYQQotcQh/lwVgxxWDdF61d85te6TWA8fjNwGDBu5C+35sPmnwf5&#10;4fUUdg3rsfcj/tTaH59Hm9r2fl83uXRB3Xrer8vtep7Y/ZCofgjrFT9LsButKdl8ALshncLuveDf&#10;wJYhJcSZ23OBPLlrzGtOqT0GXse+R66/Rvsquf4CUBf2oCRSbr8mRW5fC5/b+vD00xdSaVG2bgdp&#10;ixT97B+h7nP3QGibunEgRa4/2vujccHmF+nn6tfvGwLEmbsH16Jy1aUV9eFxArM68zJvhrjdu3d3&#10;SymEEELMB94Q9+hPHwnnwzpNkyGu5BvcGTZS03dcUrem4LoRit4N/bunJ1p3evgOj58Rdl/Cr1Nt&#10;+lDunXLQsuQofT/P5c+CMvMe37bY6+A1yu/P2HWXXfvafKbyYu/19WDLkosD+La36wGslaI1OWDc&#10;UZ/mNShqI1s+Xyf0R6SMWKk+VgfTg6I8ody8HvW7HLnnx5Y1VZ92fezro668tq39+s4+S1HegL0/&#10;1dZCpLBn4Zs3bw7n0BLNlCEOLzfjhBuG0eSLwYz5grjpaqE5yw+qdrDHNXsvrtmBKUrbDm6MA/nB&#10;oIJrdjBjGDth2LxHgy7zhmuMC4MU7osmCDvgQcgz70Oe7OafH2iBzQ/isgMq6sbeHw3ITJ/5RvqM&#10;A+nZ+rT1ADih417fDii/Dy+EENPAgQMHqnHtmc88LZw/qWkxxN367kuqPMsQJ4QQYrliN+zxJ8Qn&#10;ZYjbe90LqnyUGOLsRqhX0408SxQfhDUgNimj9WMpjIvrRLtW9utU/N9iN+xSIL5UGHs/hDxg3cvN&#10;P/yb+cIa228K2vt93krTRfm4Lkb8vA/pWrie9puXrB/8jEBdMi2UpwT0I5QXP+2636/b7doc/44+&#10;t0R7L4gfZUU/snVo6wKKfvEuV8e5aygD6hH1Yfsu0rf9zbc34DUK6aT6q607YNvdlhUgLdQLriEO&#10;v+9h693fmwPxsg/jJ+/19Ut5+ukLJNVnLYO0RQqOgyivr8do/whxMy3cg/uZHvJk66luHEiR64/2&#10;fgh5QHh8jrzYNrNtactmxyrbTvg340Vd22u435bbl4vtizD+PrQZ8zUpsFZl2b745VeFc2hO02aI&#10;u+22W6ryyBAnhBBi3vC/cDYNhrj2fYdtPCWGuNtvv70qx86dO7ulS2Pfl71K12Ye++4YvY/xHRzv&#10;cCl4v38vBnXv8Hhn5P2590HGgzqw2PzjXTfHoGXJkavH3LUcfLf2+eX6BOXhO7tvf/YVX192jZiD&#10;4Xy79VPf+Il1EPOKtP1awcL4ozbgtWg9D3J1bfMTwetN257ppfIEGDfqtQnIC+P32Gup+rT1YfsI&#10;1mD8PAfD+La25UmlbdeOdX1FCA++NZX955xzzgnn0BJNzBD32te/Ozy495qkIQ6DFtP2cMOVig4B&#10;OKj7wY8DRLQxROwLjd28A3Zwy8UBGI4DNwY6fhbl2Q6KuXgtLE9JnH4yRhqsJ8QTgTCcdKNJoi79&#10;3P28NzdBCSHEtGFfApob4jYebN9XjAxxQgghxPCYVUOcXXN5pdZxJUTxWWGt2O+Gvo0nisNuyvl1&#10;pF3DpshtSNr7UQZr+iDcvIZ8/uz9+Lclly43ylObkYjLb3izbX072vzV5b907yCH3Rvg/gXh59F6&#10;H/B6k3V9qtwgV8e5azlybQp4DRqkv/q42U6pPgFYF/6QJIeth6g8+IztAjUh1xdAru1KyNVXDqZb&#10;2s/q6giUjgMpcv3R3g+l8mD3PqNnHXuSGDfs3mTqYI3YNkQZLUzLGu+miUkZ4qJ1twxxQgghRJ5Z&#10;MMS983feFx7OW1lD3LZt27qlS+Pf86g6c1MOG2f03ljyDs4w/bzDp8qUko+nLv+WurwAhonKkiOX&#10;jyZ5tNg1Q/ROjuvR+zneyXmfX2vw87ryMV6821ualIV1if7JPQv8TK1PCeOP8pi7RhjG5w/raXwe&#10;PS+5dUwdTC+XJ1xjuCbk7iuNk2Fs/uy9JbL3gpJnCbDdGYf3vQiRwp6FX3bZZeEcWqKpN8QdeeST&#10;q4KO2xBnnbF+o4YDIicDb7Sym5V2QwkPOT/PbaLZcH6AsQNUtFllsXHY8qQ2km2+Swd7O5mlYJy+&#10;LJiEeS23GWbD+cmrJH1bZ9ELQ25zWAghpg37ErB+/Vnh/EnJECeEEEJMF5wPoWEa4qJ1d4khruSA&#10;3G7AeqXWliVg/ek3wrDeswYNqJ/NMt6bW3dzLenX83ZzN4VdY3rs/bl1LsM0MTil0rV7CE02blMb&#10;mHbzPKpDbmjaDfdBSeWFG9Z+Ex7YfY66/RFLrv36vVYH70McHl4btL/6/sJ2itIkLFNUvykYb24f&#10;xj7HTUn1BZC7VgrzlasXT9P9I4RD+FwdAYbz5bHtmiLXH+39uTGB6Zc+y3Zs8P3Nwnby8dr91Gnk&#10;2JXHVOX7+kOvDufQnIZpiMPhfHRo30R33rG4d1DyjTNCCCHELLHUEPeDcD6s06QNcd/+9rercuAX&#10;50rAexjfyfF+hTXTIGec9t0xescreQdnmOgdu+5+ewZcIr9uqsu/ZdCyAKy/kQeGi+Tz0SSPFrvW&#10;t8Y2vldjHWzrj9i1st1Tsfmw8UWk1htNysI64roDqlsjAYaN2iB3jTCMz5/NO54b1g1+cs0H2Tor&#10;gffl8pSqT4K8IU98tiN56uIkDGPzx72WUvn9rZJnCWBs8mXCPXX9Twj8GXH2mWVjiMPLzbjhhIJB&#10;gdA0hmvWQGY3X7nxhwHe0mSSSG0SlQ5ugOEQR1SWCDsoIa26Qb9kwGMYO9CC0rLYevYbeSXpp+rd&#10;vhCg3LnDCiGEmBbsS8AsGuJWr17dLYkQQgix/MAGN+fEv/3b74TzJjRKQ9xNt2yp8lBiiMPmFdeT&#10;Vvis6SZhKdaEV7eGjeC9fg1qSa1H7foxRW4tW7ruT61lc/en0rVr21yantx6mpvBfl8Dbc60hrmG&#10;LqkPnx43cEs21C259uv3Wh28D3F4ctdIKu1cf+HnpSqF4fvJbwm5fpm7Vgrzlcu/p+n+UWkafM4w&#10;nlpsu6bI1XGuXxBrbiutCxtviXw7WaMkym73UqeBFSt+tspfNH/WaakhbtO+dly1yBAnhBBCNGde&#10;DHHQEUccUZVl3F8OA+reHUvewRkmeq+su9+u/1Pvrjnq8m8ZtCz2fTYnn48mefT4X2JhXFxDRGv0&#10;1FrZ5mOchjj8tMY9b2r0MFzUBrlrhGF8/rAGsua8SP0YtXhvLk+p+kSeWE918qTi9DCMzR/XonX3&#10;prBtWwLq1ZeTfVqICHsWjjEjmj9LNPWGuKOOWhyUJmGI44RhN4A5MfMh5cBpBxGayvzGvR2Y+jWa&#10;lQ5ugOHs4F43yTR16qbyaWEYW0eAn9v6TcG8pOLIpZ+bnO0EDOEFAnU0qoMdIYQYFPsSsGnT+eH8&#10;SQ1qiDtpw6ad9n5IhjghhBCif8ZpiLvzk5eFB/bWEFd6QI71kd0sw79HbWTgOrZkvehhPv360ZJa&#10;W9v1Y4rcujy3/rSk1rK5+1Pp2s+xpi8lt562BiCbD+6JeANPKViDo//YfQqrKC8M6zdLkQd87n9x&#10;jiDf2JfxexxWnlzb5q4B1D3ygjIwb16Iw5O7RlJpp/qLPRQpkT8oycF7+smvpZ++kOuzln7bIkfp&#10;/pFtk9ReGilp1xS5Ok71C4sNU2fwI74O6hTtQXKvlUL7o62ajF2jwuYrmj/rNM2GuJI/wSaEEELM&#10;EvNkiDvhhBOqshw6dKhbwvFR9+5Y8g7OMNE7dt39Je+uOZrcP0hZbDoI49+hc/lokkcP3ql5L96Z&#10;+X/rQfC+hNRaGfczrrr1EPeA/J5Mk7L4+rZrgdxaiWGiPOauEYbx+bN1B7Ge8BPlbdo2hOnl8oRr&#10;DGexnyNPfq8tdR/IXbMwjM1f6b0pfNuW4vcXbZ6EsOCXuG0/iebPEkWGuFVrt65oxzs8Tlq7abVP&#10;ZFYMcXajhwMQH3BOIhy8uXloNx39ZGgHF79h5kkNJE0GKIbDPXaSKdnoQtmZB8pvPoNUPi0M4wc1&#10;fu4n0wjmIRVHLv26yRltgUnQbpLi3/1OfEIIMUr27t1bjVV1hrjt517eM/9OyhB3y3/aVeV53bp1&#10;3ZIIIYQQyw8YwzknPvjg/eG8CU2bIW4ScK0HNYX3+fWjJbW2tuvHFKl7Qd36k6TWsrn7U+nm8pOj&#10;bj3NNTL2E4jfaC8Feyop45NVlBd/AACsYc/vryAMy1YnT64uc9ewh2L3FFJCHJ7cNZJKO9VfUN/8&#10;PBdvP5TEm8ovGKQv1PVZMEhb1FGyf2TbJHfIA0raNUWujlP9wlISxoO90Kb3ROBeu08JYWyp2ysd&#10;NczLzx7xr8L5s04yxAkhhBDjY6kh7nA4H9ZpuIa43nhKDXFr1qypynLw4MFuCcdH3XthyTs4w0Tv&#10;2HX34x2Q6eNduyl1+bcMUhauS/H+H5HLR5M8euzaDutgrsntWoNrA+TNho/er7mWic78LQzn1/5N&#10;yuLrG2t15p95jWD8UX/KXSMM4/PHMjVtgzqYXq7/stz4aeHnqfZg20Iee417JR67d2L9Ieg/0eel&#10;lDxLOVjufu8X8w/2rNlHsRcRzZ8lmilD3CRc8dYpjUHM/p+TiN+E5eYQBlWPDVs32KYmmtzA52E4&#10;3FM6yXhQppxTt2TAYxh/L18eoBx28vabiSXpN5mc7cYpfqYmECGEmBTWELd9+6Xh/EmNwhD3jnft&#10;CA/uc/rtt1xY5VmGOCGEEMsZa4i77757w3kTWmqIyx+qNzHEvXf/9ioPs2CIi9bWdbB8fg1qSa2t&#10;7foxRepeULr+TK1lc/en0rUbmbk0PXXrab/hbw8qSvcUiG1PlMNvzOfyYtPlngDNNNGmsa0nhPN5&#10;zbVfP9ewb8B9BBi9kEe/l8D7EIcnd42k0s71F36ei7cfSuJN5RcM0hdy18CgbdGE1P4Rfpamwf02&#10;/4uitl1T5Oo41y+Ifa5K66Ik3iagrmw5Uu06DvDnyZiPo44+Ipw/63TGjm0983CpIS5adw/DEHfP&#10;3XdVZZIhTgghxLxh5+5pNcThED46nPfatWvxl8nx12HGTd07Xt07OGCY6L2S77zeCGSx59f+/b2O&#10;Ju+og5Ql9e5Ocr880iSPEfyFIuYNsusoe47OMKl82l9MSa3rh1WWqL6RJtdRaPeovRl/1J9y1wjD&#10;+PwxXdRB036Wg+lB3LOw2Drz+bZ5irAeDQ/i4rVUXbIN/LOFf/Ne2z6lRG3bhEHvF/OPNcThuYrm&#10;zxJNzBB39bX7w4N7r6c+dVVV0EkY4oCdqGlo85MI84gJguGjgctOSAibwobzA6cd3OpgOA6uJZNM&#10;Cr6M+IGpZMBiGD/I2wk1NekCGy61UYr8pbDGu5IyNzEuCiHEuLFfE3veea8J509qWgxxu3e/uMrz&#10;NB+8CyGEEKMGxnDOiZ///KfDeRMalyFuWg/IsW7j2hVr7KawfP38dm7J5m7ul7vs/anfsrUbjz6P&#10;ufRT+wGlew2euvW8jRdlYfqpjfUUtryp/NXlhe3F/sD+EW02+7Ce3L5KP9fsHkJqb4PXEYeH14bd&#10;X3lo4u8ZFHsYkyL1jAzaF+r6yaBt0ZTU/lHp+MVwfg8x166kdBxK3Q+ajrPWRJfrr03JlWVc2G+Z&#10;kSFOCCGEmH6sIW7FihWtRx/9+3A+rNM0GOJuvfXWqiyT2Duve3esewcHDBO9Y9t1FNdveFe3adn3&#10;aqw3EM6e5yIs3hnx/urf8+vybxmkLPasGteYP+QH79O8Bvl8NMljhDWxQdEaj+/2VOp9He/0DIuf&#10;tq5xzbZXtE4YRn0jzVwavBb1p9w1wjA+f3bd4YU8Qmhn2/dK8HHZ/oG+bevbx82+w7YguI/7AJTH&#10;thWE8Cwz2tL2m6i+bH2g7EiTIJ/4P+JA3jyptrUgTVy3fQw/7bOU2hcQAmtY9hP0oWj+LJEMcQXY&#10;QZkPt9+o4mDF65AdtCzcOMRPP+gRO/j5MHZwq4Ph7CBny+PLkSM1sKU+tzCMH2ztRlo04QGUP7fZ&#10;yrihqDy4nxNNLo+WJpO5EEKMG+uKnxVD3CteubHKMwx9QiwnuMCLFo7LGbyT4t2syfuoEPOANcR9&#10;4hMfCedNqKkhLlp3z7Ihzq57U2vrHLw3db9d8+XWqf4awL1cY0IeGzfCRaYcWz6/5rT3+2v2Pk/d&#10;XgPygWsWrqdza2VuwGLNzjRSG+spkDbug6L2qFv3A7thavc1orKyfVJzDPdcIE+ujlPXbN7Qfzy2&#10;/FGf4jWoaX/N9Re7ue2vDQLqlfFG/du2D2QZtC+w7VImv0Hboimp+q+rI2Dz6ttnmOOQj9tSl0+0&#10;B+raXuOYgPSj568fUs/WOLGGuKcd/3Ph/FmnYRriDh/+Vnho30QyxAkhhJhnRmmIw9zcjrcxPp5S&#10;Q9ztt98+0Tm77t2xZN3IMNG7K95t7bsr5cP6dURK/j2/9N0XDFIWvhszLS97zeejSR4jrGEQitbk&#10;9t0eSq1DgDVppYR6iN73h1Xfdr2KtZGFn0f9KXeNMIzPH8pTV24IYaL1ZAreh/VqKn58bg1nBO2U&#10;y5PtVx7UAa/59rfK9ffcfZTfSwK5tiU2f5FQNiFSDMsQ97GP/0HP3AxNrSFuEn83HdhNKMoPWHYT&#10;i0ptCtlJCw+6jQuDnt2Y9RMAsINHHQznJwU7uNk0EA4DFzoV84+ftnw+TyUDHsP4fAA74aHsdoJG&#10;3diBPpq8GbeNg5MUwudeQDDBIH0br70H14UQYtqwLwEXX/zGcP6kBjXEnbzh9N32fmhQQxz+5KsQ&#10;y4km727LCfsO189GkBCzip3H77jj/eG8CW3Ysrln/u3HEPeZey8PD+w/ete5VR4mdUCOzTSsxfD8&#10;27Uz1mN2TZxbZ+bg/RTGYqaDdSY3G/EzWrvbdSTXwAhnx3TKgzLZ60iDxh+/vo7KZ+/342NuTvHx&#10;cp3LfLPMFo7FuXq28VJNNoYJ00fdslzIG+qG16BUXuzeDA1T2NuIYB+ydQ/8HgPkydVx6hrqmp/b&#10;PQn89H0G//fY6wzDflnXX3P9BenbexGvbTvkG+2L+mQ/L8G2hW3PqLyQh3nqpy/Y+Nm2KAfjGbQt&#10;UiBfTfaPkB7Lgp/IK9vO5wX5jLB9le2DOErqONcvLLa+0A/sHiXyzGfNxoEw9h5bNoCwqCuU29YX&#10;PmdfY7sA28dTdTEO8IvYLJcMcUIIIcRswHlu1g1x3/72t3vKMm7sO6F9fyNcX+Xe1Rgmta5AvAwD&#10;4V3XvnsSvCdincf3UAjvilgb4B3TvkeSuvxbBi0L38dt/lAWrk34Xuvz0SSPKWya0Ts+PuN15KkO&#10;1CXq1K47kH+Un+WJGGZ9M22ka2E9Rm2Qu0ZS7cD08NOuYQDCIk7em+sjHoSH0DcQL/ow48FP/D/q&#10;u4T9nvcwfbQp6xvXPHZtCPBM2fbEv3NtSZAO0rPpo7/huUOd+LoCdW0LcB/uRzyMF2K8QuSYKUPc&#10;M9aets4nMkuGOGAHD8g/+Bio7PW6QTLavPLCJBThB7ccDId7PLZMnBDq8oV7PBzE8DMFw0T5QF1y&#10;0EwJA3BqwGbcyJtvJ6so7SicVfQyJoQQk+ZFL9pajVOTMMRFh/Z1OvPMNVWe9+/f3y2JEMuDJu9u&#10;ywm866JOsLiOFtVcgGtxLOYN+02v+/b9VjhvQvNuiLObbClhnRiNDyXYOFJp4fPUmg9r5NR9GLcw&#10;NvH/HrsJjXUs/+2F+KMNUXs//m2pm1Owgcrrkfy6umQ9jzawcUT7AiXk6gLiej6XF7930E/7QXbv&#10;wJOr49y1XN0jLzy8yO1NoF/l8h2VN9dfQF1dUKk9lxS59kT95p6RQfoCnpmoPLZeB2mLFD4er6ht&#10;8Fld3aOMqXFuWONQ1C8sde2B+vTU3UPZMc7mKRLKGo2J48Ia4p516rHh/FknGeJEE/CMYwzA3DbJ&#10;vi+mE/UPIcrgPAc9+ugPw/mwTphz/TzcjyEOh+s+nlJDHNSOoqNJGOKEWA5gfcbnLLfXxD3r3N6E&#10;h/E2WWMOg9wehRCzjjXEffrTnw7nzhJNzBD3pt/6vfDg3mtaDHF2oyc1AOJzhkltylqwEYRNJW7E&#10;Qfg3PsttVnHDCxtFdXDjDPd47CYiFlYAEwDC2rJA+H8UB+CGNOOIYJhUHAB1jHB2sw+boCnHP2Fe&#10;2S4Y/G2dIs5UfebaAItOIYSYRjZv3lKNWbt33xjOn9S0GOJe+MKTqjzLECeWG1qY9gfrbNwbCUKM&#10;GvzpcPbvq6/5j+G8Cc27IQ5rPDzfWMfZNWDJmrgExoc0sM5FnEwHP/H/usNFrAm5lmXeGB+uMS4P&#10;ryE8/+/jwTo3Z4JhWPzbUrIfgLW1XdOzvFGdMl/4mcPmP7eurwN5sHHZtmDZcnmxG9jYL8iBOG27&#10;M27kIdd+uTquq3/UvTXb2T7Dckf1xzwiz6n+6vsCyfUXgjiRD5s3CP0k1TdK8O1py4uy4LNUXQ3S&#10;F1BOey/K5ffh+m2LFMgv8od4bJy5tgEoD553mxeUFXlAHuvwZbXlYNtHdcxrUC5/hO2BuHhfXR75&#10;jNk6wf3oV6m9PMTn00Hd5MbEcYF9Z+Zp3Ia4aN09D4Y49l38FEvBs8z2wb+FsKh/CFEGzGN8VqbR&#10;EIdD+OhwPtIRRxxRlQV/DlYIMVzs3JqD+yn4WQrjHfecXVomIWYRa4jDnk80d5ZIhjgx8/QzMQkh&#10;xCyzadPmam6cFUPcqaceX+X5wIED3ZIIsTzQwrQ/WGfa/BfzBv50OPv3q161M5w3oaaGuGjdPc2G&#10;uFHD8mkMGQ52Lpu0aUUIIUaBNcSdtvG4cP6s0zANcdGBfVNZQ9y6deu6JR0fo9yzbWr6nEZo8oZB&#10;tF9j8rRQZxgXzRll/5iH50cIYg1x//N/fjucD+s0LYa4E044oSoLvrlWCDFc7C/Y4Rc2/PzKXxJi&#10;mJJfYCK8Z9x7UDp3EPOMDHFCdJEhTgix3Hj2sxf//OisGOJWr/63ms/FskUL0/5gncnMIuYNfFMq&#10;+/fWrS8I501oGIa4P/6z/xge2MsQJ5rCb4DCt0EJIcQ8IkPc8Bnlni0OLFm2WTeTzQNa884Wen7E&#10;PLFy5cqqP8+6IW7NmsU9f+2fCzEasKfB5ywnfIN1E3jfuPeg9A4m5hmsYdm/ZYgTyxoZ4oQQy41n&#10;Pes51dx41VXvCedPalBDXDv8tfb+NaefER7a1+nJTz6yyvPDDz/cLcn44G/28M8i+T+h5H8jiH/+&#10;h3/Kh3+aqI7ozwbh3/gs+pNBAN+ygnxhHvN/bgj5woteCtyLfNmy4N/4zH97i/0N4BS53+rm/byG&#10;fDG/+BnlE/XMeZrC/5v8dlUpqF8sVBE/2415Q/2nfuvZl8u3PX7i/3XfhpO7r9+FKdsD/QCgj9rf&#10;UkNb27pkWmyX0rwD9kHGDeH/+Dx1/6B1F/U3209TijbscR/Sss8Q2z63wW/HBuQT4Xk/612IYYNv&#10;SmU/27DhWeG8CckQNxgsX8n8LfJgrmF95t5LhBBilrHz80t2nBDOn3WSIa4Xri/wc9jgHZ9ly73v&#10;i/HQ75pXTAY9P2KesIa4b33z6+F8WKdhGeJOWXvaSh9PE0PcOeecU5VFf2FFiNGBPQ7s+9p9ZAh7&#10;7dgbTp0j5OB+OPaYx0m0vy7EvDBThriTN2zc5hN569vuDA/uvU48cfHQX4Y4ETHKzRUhhJhGnva0&#10;p1dzY1NDXHtOPtS+r5h5McRxroBhyprHvLARiBcrLmC8cnMNFlKp+yBcixZT1uCUUnSYD/NOriz+&#10;HrvhmSK3iW3vtwfjlE0PeWOdp4TF5TDJ1T0VbfT6cqXiQV2njF25PoPPbRs3ge2BurRGLS+EQ99K&#10;9QfkIZX33H0UNgeivjto3UX9DenYeyP5drTxpJT6rb66sUGIUYA/fcI+hm9QjeZNSIa4wWD57Pwk&#10;+oNjJeYDIYSYV0ZhiDt5/cb97fhq8etuKDqwb6r7v3J3VSYZ4sQoidZ2YnrR8yPmidWrV1f9eRoN&#10;cZ/5o3vCw/lIu3btqsqyb9++bgmFEEKI5Yk1xN13333h3FmiqTfEPeMZ+opYkYeHzPoWDyHEcuHf&#10;//vjq7nxuus+FM6f1DQY4m6+5cwqvytWrOiWYrxwI57CnMFvbONv0UA09OAnDD6A33rFMNE3o1gT&#10;D+K25iGEp9EmMiYhPPKH9JgngE1Ja9Dx99nf/rF5QtrIrzcA2A3PFLlNbHs/hHQRHp8jL3YTlXMz&#10;65F5R/lsGj6Pg4C0UG7Uha0ra9RCfXqicrHtEY/Nb2TiQxjGj5+sB38v1QR/P/LP+PGT6UL8N+5B&#10;2pDt25EhDGFs30R4fAZ8W8EEwWtk0Lqz1yN4DeFSID2Gw3OUevYglM/jxwb8H/dBuXSFGITDhw9X&#10;fQ6G8WjuhMZliJvEAfk44LgYPfuiHIzn7CuqSyHEPGP/pPmkDXHPe9H28MC+qZoY4jDeY83A+RPv&#10;0Xad2Q9818ZPD9fQSA9w3c308RP/92sQu8ZJKQLrhujdn+uXCK5ruU5Cfngvrtkw0VrTwnC2Luw+&#10;gl3HWFgv9htM8G98ZvcPCOsvtZaxa7hUmlynlRjhWa6UfNszf0gbYpvgc5tn5BNl9G2GekY/9f2C&#10;sH+wfRCPzSPKVLfO4z22L+L/+DwF+pFPp66N6uoA1xgf/m1hORke122emf4wnp9+6kOIcWINcQ/c&#10;/6fhfFinaTHEXXXVVVVZZIgTQgix3Fk2hriTTlpbFVSGOCGEEKLV+pVfeVo1N9YZ4l5+4Wt65t/m&#10;hrhN++z9/Rjirr5mcQMTmxSTwG6iYlPQg894HZt7frMRm4jc/Ivu58YnfkbY+7EBWQo2GJkvv9nI&#10;MqW++cpj40rBje8ojL0fSm1+5jZtCdNBnYyD0nJFbQ9Y19GBgI07qhN8xraHmmDjxsa/38y2ZjAo&#10;OswZJO/Abpj7+IdZdxG8hnAR9rlCOhEIg7QRJsoD85eLQ4hhYw1xT3zi48K5E2pqiIvW3Q987TXh&#10;gf1yMMQJIYQQTZhHQ1yTP5lq34utBjHFMc7oPduuJbDOsGsmK78Oamrowb2pslHRGh/wvty3Sdv8&#10;pNa/yAPD2PW7rYNoPZarFyhag3FvIlr7AKTP+1PrLJY1VS8WppeSb3t+jnrzZWNYlMl+Hgn32n5B&#10;uMZEXLasXqmy+TW2V4TdT/KK2ojXcnUAcv2D5cTP3DOBfjDI89NPfQgxbuxh+b33fjacD+s0jYa4&#10;vXv3dksohBBCLE9GaYjDnN2Od3jgxcEnIkOcEEII0R//5/95dDU3jtsQh8P56NA+p50XnlLld+fO&#10;nd1SjBduZGNjN8JuNKY2/BmH3aAEdnM72sQmvD9lmkvBuP1mtd3ojjaCPbaMKbipGoWx92MTNQU3&#10;nX09WWxcqUODYWLT821kr6XaPlcvPCxI9S1gN+KbYNNNtTGv24MVSy7vNIrl8g4YzrfpoHWXuwZ4&#10;DeEi7OZ87qDOhvPtz+ey9DkSYljgG1PZL6O5E/KGuLpDdRnihBBCiP6xhrhXXHxyOH/WacdFZ/XM&#10;w7NiiMsZkPCe3C98147WhnYtAcEYhPd2gPdyu1aIzEv2fv+Ob+G6mfHznd9/I3a05mD+Kfwf6w6I&#10;4REfr6fWZHY9Yr8xLFcG2yYog103I32uQ70xzKYVrbW5toOidSDyx+tsjxJsXeZgGApti7IjLaaH&#10;fKNcqE9bL75fRPVtr0MoI+NA2ayBLyofDWrIF9sK6SJs9CzY9Ow9Ni38tDC8vc/XAcBnDGPrATBd&#10;5hfl5JrY11Pd8+fjtjStDyEmwbZt26r+fNddHwnnwzpFhriTN5y+ux1nI05au2m1j6eJIe7WW2+t&#10;yrJ79+5uCYUQQojlif0W2Lk2xJ1yyqLzT4Y4IYQQYvYMcWfvOLHK76QW87mNeFCyGZiKw95bolQe&#10;UvA+bGhasNnJa3bzM4XNZwq7aeopqSPAeipVLq5hkct7SblsGA8/9+1jydVrjpL7eD2Vfi6OunuJ&#10;PUSyDFp3deXjtX7KZrGHSd7MmXquhRg11hCHPy0ezZ8yxAkhhBDjA3+ajHPj+A1xvevurS87Pzyw&#10;b6pSQ5x9r47UL7l3bbtOwDojMm/x/sh4U7IWseuAKH7Asvu1DmD6UG69wPVSyiDE696AlitDykxF&#10;YEqiWcmucfA54/TrKBiaeI2iyYnYbxBDXKWUrs0YBvL5KyXXr2w+UN++DLbeYPKy2PYoKbut61Q7&#10;oT59OrwHytVBrn/UlROwD0G+nXNxk6b1IcSkwF4z++r73veecD6s0ygNcX/8J18MD+cj3X777VVZ&#10;JvVL5UIIIcS0MCxDHMzpfn4eiyFu382fCg/uvZ71rA1VQWWIE0IIIVqtX/iFo6q58YYbPh7On9Q0&#10;GOJWn7iY3wMHDnRLMV5yG6agZDMwFQd+M5b3lij6LWZsLmKjFHFzc9Yr2ij1aeNexO83O4EtYwq7&#10;qeopqSNgf+O8TshvlNd+QVwoP9sqks97SblsGA8/z21k5+o1R8l9vJ5KPxWHLZP9LfSIkjj6qbu6&#10;8vFaqmxs55LfTE/FlXquhRg1dkGPPy0ezZ8bz9pi5u+2ag7Vo3W3DHFCCCFEGfNuiMM36KSwxjGv&#10;Qb4FKveubdcJqV/uyq0XStYiWBvieu5d38bjTXPMP+ogZwiy63IfhzVN+V/OSZXB3pMqG2D+vBkL&#10;Bil87g14NLvhPu47+LVgnREvRd3ajjBM0/gtubTstVSbsd58v7DPgW+riFy75+A9dXWQ6h+gpJz2&#10;ft/OubhJ0/oQYlJYQ9xNN70tnA/rNI2GuNy8LYQQQiwH7P75gw8+GM6dJZp6Q9yzn/28qqAyxAkh&#10;hBCt1r/+1z9bzY2jNsRhA9/e348h7uijFw1ehw4d6pZivKQ2PEnJZmAqDm4q5+7NgY3JlAnOChue&#10;ETSB2Tjwb58XW8YUuY3lkjoCzEeqrkcFDzvqlKuXVLlsGA8/T7UPyNVrjpL7eD2VfioOWya/Oe4p&#10;iaOfuqsrH6+lysZnUoY4MYvAhMZ++eo9G8L5U4Y4IYQQYnxYQ9yVe9aE82edZtUQB/he7FX3TeQ5&#10;cu/ag64lSu5PlSklH08u/xYYkrgOxrrUYk1T3riUKoP9vEQ+f3aPwv4CGs1uuB4Z36wRr26N6Klb&#10;2xGGSa3xSsilVZIPhonalWZCCOFyv8Bn9yCaYOPPkeofoKScgGF8Wrm4LU3qQ4hJsXfv3qqfzroh&#10;zv41EBnihBBCLHdmyhCHFwefSKkh7sQTT64KKkOcEEII0WuIi+ZOq2Eb4nA4Hx3a53TkkU+o8vvw&#10;ww93SzFe6jaySzYDU3GUbiRG2I1zmHqw6ew3yRl33WYpsOY6/LRx2XymyG2qlpazrq5Hgc0b0vWH&#10;Nrm8l5TLhvHw81z75Oo1R8l9vJ5KPxWHPezI5R3wsMQbzwatu7ry8Voqf6UHEPY32/3BziT6qxAA&#10;f/6E/XLnhaeE8+cwDHF/+c3XhQf21hCnjXYhhBCi90B93IY4v+6ehCEO6wP7i1YwwgxihgO5d+1B&#10;1xIl92P9wjB1Qrm92afJWgF/FpPxWCLjGUmVwZroSuRNeCgHr9n1D9sW6yObBrFGjKbGp7q1HWGY&#10;ujUoQJ2gXq0py8tTkg+GidoVz4FPD+H8OhKwfyB8ExhvXR3k+vig9Z2L29KkPoSYFNbQvvea14fz&#10;YYnsPLyg5oa4Z6w9bZ2Pp19DnH5xTQghxHJnpv5kamSIiw7tI8kQJ4QQQvTCeRGK5k6rSRvi3nL9&#10;liqvK1eu7JZg/HCjMtrwBCWbgak47Gaz34iuw250pP7EBq/XbZYSG6ctS0kZcwajkvsBDwIga8gb&#10;Jcy3P3wgubyXlMuG8fCQJdW3QK5ec5RscvN6qn/k4uCBSHQ4Y2E4tK1l0LqrKx+vpcpmv/kg9ydq&#10;Ut+QAOrGBiFGhf2zLmfvODGcQ2WIE0IIIcaHNcTtve4F4fxZp2EZ4s555SXhYX1T3XnH/onO97l3&#10;7UHXEiX3cx3T77t+k7WCXYfj38D+ElJkIEqVYdBvoQdcp3Ktx7S4Zrb7GMwv1/JNDV6gZO0KGCa1&#10;xgOoN9Z9nTwl+WCYXLuivXwe/Lq5Sf+wML5cHYBU/wCD1ncu7oiS+hBiUhw4cKDqlzsvOC+cD0tk&#10;5+EFDccQ98BX/zw8nI+Ew/52NB3JECeEEGK5s2wMcc94xjOrgsoQJ4QQQixuaEHR3Gk1qCHupPWb&#10;Dtj7mxri8Gfg2tF0NMmFfN1GZclmYC4O/sYsNpebmMByRh1gv9mqbrOUpMpiN7yjuBCWBwaQp6SO&#10;gD0IKM3zoGAjFun5bzAjuQOFknLZMB5rAIxMWdg45vXo/hwlm9y8nqrrXBx1eQejrLu68rE/poym&#10;tk+nNuPxPOZMi3VjgxCjwh66b9lyfDiHNjXERevu6LAeuuPARVX6MsQJIYQQrdY1e19fzY3zaIjD&#10;t9OOm9y79qBriZL7B33Xb3o/1x38RSKuBWlC86TKUFK2OuwvZWFNxP/bX3LiPgY/4/oLa8CmlKxd&#10;AcOk1q/AxoW8+bVqLq2SfDBMSbtizcn9Bsjm266nmxDFFZHrByXlBAzj0+q3j+XqQ4hJYQ1x27Zu&#10;CefDEtl5eEGTNcTBBCCEEEIsZ5aNIe7kk0+tCnro0KFu8YUQQojlC+fFxz3uieHcaeUNcSdt2PRw&#10;+95ivCFu60ubGeLwrTftaDrCt+FMirqN7JLNwFwc1gSGTXBsfFtjHOLEBjQ2mO1mrjW8YVORpjj8&#10;tBuckN9oRFyI08dnzXke+6cuuMmNfPq0IE+TDVObjt/ARtn428WRickeGpSaC61pC2XhfUjXbtZC&#10;Pu8l5bJhPCgPr6HcjCNqQ6gJ9v4UvO77B8nFgTzy0AM/bb/1+Y/aatC6qysfnznkjX0IzxryRuxB&#10;D/Jo+xrC2r5or5Hccy3EKNm/f/GA+tRTnxLOoaM0xO3/wOKfbJUhTgghhGi1rtj9qmpuHJYhDuvp&#10;dny1jMoQd9ttt1RlWo6GOGtYKl1bWpquFbg24Vqca1EazjypMtg1JuLsB6x9GIddF2HNR7ge43qL&#10;4e16q5S6tR1hGIRPwbxGa1CQS6skHwzTZA3IPNl77D5EtNZMwXtydQByfdyWM9W37T4V/m3JxV1C&#10;VB9CTAp8kQr787p1zw3nwxLZeXhBzQ1xJ2/YuM3HI0OcEEII0R/4khXOi1NviDtp/cZrbQLPOe3F&#10;4aF9JBnihBBCiF44L86CIe75zz+uyu++ffu6JRg/dRvZJZuBdXHQyFUnv7lsN+m9sDHN3zL3m6U+&#10;rJff8ATYpEWcUXikYzd0PU02TLEha41IKUUHA9bAVroxW5eevebjLCmXDRORa3uknavXHCWb+bye&#10;2kyviwP9JNUnKPT5aJN90LoryRuvW9m0kC/bZyKhfPbgx1L3XAsxKuxvsa8+8ahwDh2pIe6DF1fp&#10;T8oQhzkJzx6e4X4OXjm24hmfNTB2cX7PHXRjHLRzGP7N8Zifpw7ZRwnnDbSBEELMC5M0xPl1twxx&#10;C+TWEt7wFWHXE6n1Uo6mawWbJ7tGTOUvVwec5zHnRmuxEviuwXJA9p3L5pdhcE8/2DVvLr8Mk2sP&#10;vmek3nHs+s9Tt8YEDFPariDqC9a4mDLvoR/4a7ynrk/m+octp30/tDDPUR8qeX5yRPUhxKR4+OGH&#10;q/68evWqcD4skZ2HFzQcQ9xffeOb4eF8pAcffNCURYY4IYQQy5tRGuJOWrtpdTve4TGIIe6Zz3x2&#10;VVAZ4oQQQohmhrgLLr66d5IfsyEOh/ztaDrC4f+k4IZpapPSbgbi3xF1cQBsiGLTlhvPEDYfsUmI&#10;A+/UgT82Se2BN+7HBic2LZmuP3TGhqhPC//GZ6kyAFxjnD4t1gPy7CmpIw/KxY1SCuVE+nUGJSi3&#10;ke5BWJTD1gfSYjrcVPd5LykXw0T1QtAeqXrlRnnu/ogSswfLlTIllMSB/KF/2j6I8Ll2AoPWXUne&#10;vBkE/SN6jpBP5Jf1AeG+3HMH2Gb4KcQ4sb/FftxxTwrnUG+IqztU9+tuKDqsh6bBEGcP8vDvptj7&#10;Zw17wJk6SLSH+FY8ELWfjRum20+7CSHEtDJNhrhf231leFjfVNYQN4lvbOfaLprr7FzIuc1jw0Tw&#10;Gt77se6C/PrFriX8WhnrBIRH/qL1QC7/KbgetT9T5OrAvgcgDuTTro8RHmsdrH9SazGUl3FAqAuP&#10;XT9BOaN+DlsWpAtQv95sxTC5dwiu0ZA3255+bQh5St4PGca3Kz7HZ7au8ZPrVsivu5lXyK498ZP1&#10;79Nh+Lr3qFz/sOWEUC8MY9OGUunYe6Pnp5/6EGISHD58uOqTK1asCOfDEtl5eEGTNcStXLmyW0Ih&#10;hBBieSJDnBBCCLFM4bw4HkPcxoP2/qaGuCOPfEKVX/zGnhB1cIO7yaGDEELMGva32DFXRnPooIa4&#10;9Vu2hIf10Af+y2VV+pP4xhjAg14cdvpDvhLsQeA0UWIWxmEiD8pTB4mcD/GTh6s2Pl7nofM4Yfnq&#10;DnKFEGKWsIa4m25Jz6E5XXjZ2Y3mbjIqQ9yNN15XlWkeDXEwIPG6lQVzLufMnKL5NJf/FNYsBOUM&#10;ZnV1ACOSjSslvid4vLk+yos1TkGpd5cSonr2dcfPc+8QyIM36lnZdDwl74cM4/Nm742EdD11/Ssy&#10;LPJa3XtUrn/YvPo2tMr13brnp5/6EGJSsF9O2hB30oZNO308MsQJIYQQ/WENcVjbRHNnicZkiNu0&#10;zyawYcvLwkP7SE972tOrgsoQJ4QQYrljf+ttEoa4l5y/NTy0T6kdRSUh6sBGMftLdCAghBDzgp3P&#10;H//4nwnn0FEa4j74oSur9CdliBsUe0g3TdQdbpfCOKbxmzeYt7qDXCGEmCUuv2LRVDJ+Q1zvunte&#10;DHG5b2O2a7+UCYthYCpKgbmIJnOEi9ICMJfR4EbB0IPw9luxLLn8p4A5jWYu/EyZ1UBJHfDbvlhG&#10;xouy2G8kS2Hvi95L7HvLoAYnmMOQV5Yfaft3BV6re79huRkeQjsgv7l+QUNidI0wjG9XfvuZ7yf4&#10;fy6/uA/ltMY4lD3VPqV1kOsf/j3Yf3se/p3q15bc89NvfQgxCWCEYx995PsPhXNinew8DGF93Y6v&#10;EZEh7jvf/V54OB9JhjghhBBikWEZ4v74T77YMzdDU2WIO+GEE6qC6ptlhBBCLHdmyRB39TWLm2ar&#10;Vp3QLYEQafibzbnfohdCiHnh8U/436p5MppH8a2sdg6uN8T1rrvP2LEtPKyH3vmfF78FR4a44TIM&#10;QxwOIAeNY5Qwb/6QWwghZplpMsTtecMbwsP6prKGuL1793ZLKoSYdab1PViISbF69erqmbj/K3eH&#10;c2Kd7DwMTcIQ9+1vf7sqx3IzxOVMwDDh4vOc2bkfSg3K8wz2G1gPMJsIIcQ0MVOGuJPXb9xvE2hi&#10;iDvmmGOrgsoQJ4QQYrljDXFHHvnkcO60GtQQd/KGjYfs/ef+arkh7tV7NlR5xYuLEDnwm9PoK1iE&#10;wwgghBDzDr4ZjvPkzbecuWQeHaUh7l23Ln5D3CS+MWYYzLMhbhhxjBLmTYY4IcQ8cf4FL6/Gt3kx&#10;xF1z9Z6qTPv27euWVAgx68gQJ0Qv9sC8X0Pc81603c3hzQ1x+DOrNg5oVg1xWIf6byjFt0/il5i9&#10;YW0Y5NbAoxrzGOdyXtfautX6XggxbWzbtq0ao2bOEHf6mReEh/aRjj1WhjghhBCCzJIh7uwdJ1Z5&#10;ndXDdjE+uADXb6MJIZYLRx+9+Ceg8K2qfh6dd0Nc7jfAif9zWfiJ//NPU/H+FNGfsEIc/JNbEcwX&#10;woFcHiz8rfWmsr+N3k8cyEsKlBFlZd4h1AXqpM58jj+z5f/0FudofqYNcyHEPDFJQ5xfdw/LEHfF&#10;5RdXZdq/f3+3pEKIWafkPViI5YQ9ML/n7rvCObFOozLERQfzKU2DIQ7rRP+nkiMN+697yBA3fEq+&#10;WQ91jetQao9ETCfY60H7+j8BL8Q8sWwMcZj021F0BBOAEEIIsZyZJUPcqac+pcqrNt+FEEKIRX74&#10;w79rHXfck6p5Et+q6ufRpoY4v+7OGeLe8tZdVdqTMsTlNrwBNjqskcsKn3PzD4qAsc3+NnskmL48&#10;Nl+4nsoDDGLWVNavIc5uvvcTBw4rInBAEYWnfP4tuQMQGPD4bxnihBDzxDQZ4t74lt8KD+ub6oLz&#10;F+dKrcmFmB9kiBOiF6xp+Uzgz4VHc2KdZIhbMMPZX4rCehprVKyRIfzbrhWjdXy/2HW4j1eGuP7Q&#10;XDHf8FlM7QkJMQ9YQ9ztt98ezp0lkiFOCCGEmCEGNcSdvGHj4fa9xcBAZ+9vYohbfeJRVV4PHDjQ&#10;LYEQQgghHnnkr3uM4zsvPGXJPDqoIW7HRWeFh/XQ9W+9vEp7Gg1x2IinEc3+pjI+t5u6lAfhaIaz&#10;32wGYJSzZjqfts0XhPRpnPPpR9/OliuXhWGizfeSOHKbn9ZYh/jxLXcA+bcmv+heXz7cA5APezgC&#10;RXkXQohZZd4NcVqTCzE/8F0P73RCiFZr79691XwnQ1z/cI0J5b6JnL+8llvvNiW3BrZr1GHCOOd1&#10;XTuqehPTQW5PSIh5YaYMcVj82wS2nH1xeGjv9cEP3tdasWJFVVAZ4oQQQix38OfDOS9OwhB30aUv&#10;XnJgn9KRRz6hyqv+7LkQQgixCAxxz3/+cdU8iT8z7ufRURri3vq2V1dp4/BgEpRueEeb7PiMpi7I&#10;w0NCmOJo6PJw89D/eQmbL6QR/TlX3ov4PblyWRgm2nwviSO3+cm6QT1E2Pht+VBXvDeKF9f1DXFC&#10;iHnFGuLeu397OH/WqV9DnF93D8sQt3XrxqpMMsQJIYSYV/AtqJzv8OfCozmxTsMwxOEeG8eGLdvD&#10;g/mUJmmIs2vEkj/BiF+6Sq21+yG3Bh6VsYtxzuu6dlT1JqaD3J6QEPPCzp07q3Fs2RjiJg0md/+V&#10;sNgsxssBfsu6dPK3f7Yltbldgv8TMva33nMMqxxCCCHGz6wa4mRqF0IIIRb5zne+3tqy5fhqnsS/&#10;/Tza1BDn1904lI8O66HXv+GyKu1pNMTxm8jwM4X9k6Ae3p/b2ObmMNbCFpuv1Bo7t7GcK5eFYaI8&#10;lsSR2vxEnnlvDoaxpjl7b6rs2C9gmFz9CiHErHHBzvOq8W14hriNB9vx1eLX3Te+4+bwsL6pZIgT&#10;QgixHMAcx/kOc180J9ZpGgxxDz74YFWOOkMc1olc92JNa7/dux/st6jzG8b7xZ8/Q/g/Pk/lMbcG&#10;zq2/7Xm3PXvnmXfu3Jxhua7FTxsH7k+txy1IA2HteT3aBnsWubpkePySGsQ6w+d2rY1ze8TP9qZY&#10;px7blk1kf1mOceT2ZADDIS8e1F1ULyhbP32VabEf2V/WwzVPP+kjboRj/aNObBzoHyXPGu5DONuf&#10;eG+uT5WU0ZYnku07APHgM9t/BmkHIcbJKA1xz1h72rp2vMOjX0Pc7//+f68KCU0S+2dFUsJgZieM&#10;CLvBDEWDdAkYpHx+/CAXMaxyCLHc4XMUvXAKMUqaGuJeedmbeib5poY4hLf3NzHEtW+vJIQQQohF&#10;Hnro851vheM8iW+L8/PoUkNc/lC9X0Pcvn37urkaL9gEZB78hiA/z61xcY3hPPy8VJZcvogN4ym5&#10;HzBMVMaSOLhZ7jeebb2UyKafq1NLdK8QQsw6wzDEveo3Xt5o7iajMsStXXtqVaaDBw92SyqEEELM&#10;F5jjON9h7ovmxDoNxxC3aZ+NY8tLLwgP5lMqNcTZ9aJVnXkpB8+7BokD58rWdBMpdf6cWwPn1qk0&#10;EOWUWrfyOoxruXzjXD0C5/R16aNeU/czDM4Y/bk91/k0aOXk9wRK6iSSrXebbsovgPIzDOrQYn+B&#10;MRLqu6kZi3sgqfay9Js++xp+5uoe/TiVf9tfU/L1RUrKWOfxsP0decz17dSzIcS0YA1xt956azh3&#10;lmhMhriNB20C28+9PDy09/r4x+/veTAnBSYrmw84cmFsw+SAnxiYOAD5iccTTURNB33AAZWDI1Q3&#10;cA2zHEIsd/gc6YVBjBtriDvqqF8K50+rYRviLrm8zBB38y1nVvl80s+t6OZeCCGEEACGuJ0XnlLN&#10;laee+pQlc+koDXFveMMVVdrzZojDb2Dz8xJhc9CSyxexYTwl9wOGicpYEgf3Avza3f4GcYmwF0BS&#10;dephGK2FhBDzxNZtW6rxbdyGOL/uHpYhbtWqxW+jPXToULekQgghxHyBv0zC+W7lsUeHc2Kdlhri&#10;Nu1rx9eIYRriVq9e3S3dUnKGp5T5KgcMT7w/ZdSpwxpvcM4MMxHPvrFGt2vNyEyUWwPn1qmoC6yJ&#10;UW77bWyIwxqBonN4XqOQDuPw90emMLv2Rr3xXqSF/FjjUnQ/r1GID+niXrYj6hH1hZ82DqRl+4Fd&#10;15OS9X2q3lEGfp7qE8gjw9i6t0YyW6e+Xpr6ELgHQuH/KDeEdMgg6bPOGAZ9gHWL+22dRvfbOsF1&#10;22aIx/Yp5NNTWkbAsFE+COsC5WE5APKF/ubjFGLaGJYh7oGv/nnPHA9NpSEOfzp1EtjJAANGNGkB&#10;DISceFPYCcROlJzYSsHgzXtt/nID1zDLIYTQIZCYHOM3xNl7yw1xb7l+8TDhF3/xyd3cTw4s3DC3&#10;RQuNaYQLWiySpp1ZymspeE9i/029M80Ss9b/mzDPZRPzzde+9unWrl3PqcaayBD3kvO39szB9Ya4&#10;3nU3DuWjw3ro8stfWaW9f//+bq7GS2rjFfDz3Ls2rjGcxY7h/byr5/JFbBhPyf2AYaI8lsSBsQ/X&#10;/drdboo3JVWnHobpp36FEGJamSZD3Hve957wsL6pYApoR98R9hKEEEKIecQa4lasOCKcE+s0DEPc&#10;yes37rdxjMoQxzCRBl0D97vGs2vJ1BqW5hzIn4vn1sCl61RPLk7Aa1B0Tm/3FnCmb7Fxp+osdz/g&#10;tVwcOXCeT+NWdH9JveXqiHsLMORFpM4EmKfUXq1Ns8m+O/dAIL8PYhkkfVtnKBfq2GP3XKwR0LZH&#10;Kn8Ig/pEmKheS8sIGDYXjmFSpkYhpp3du3dXz8TUG+Lai/pDNoGXX/ia8NDe6xOf+LOqkHV/L31U&#10;2MGnZGDOheFkjwHRDnpND5A52HICZf5yE+YwyyGE0CGQmByTNsRdvqfMEHf1NYvzzi/90i90cz85&#10;mBdoFpil/M5SXkvJbQbMIvPYRmRSZcNGgk3bCu/deD+INk1I3eaMhe/++OnBxgvjgup+0Qbv+AiH&#10;e8Rk8Ya41ScetWQuHaUh7vwLXl6lPW+GOFByf4qSOcCG8ZTcDxgmymNJHFzj46clVy91lN7LMP3U&#10;rxBCTCuTNcQt3gPJECeEEEI0A1+qwjnvke8/FM6LOW192fk9c/EwDHEvf8Wu8GA+pUl9Q5xdf/a7&#10;xis972Y4v47NrYEHWePyvqhcvJYzC3Hd7c1L9ktvcvt/NpyHn0f7faWk9gVASb3l6h19ide8ZwBl&#10;5jW7t4lvIePnOaJ767BtkarzQdO3dZZKw9aZfd5sfdlvY/PYcL7OS8pIcm1POFaUxCfENGINcddf&#10;f304d5Zoqg1xH/7w56pClhji8DBj4uKhECbe3KBTBw+MoMi93RTkx8ZlD9KsizgHB1qUkfcwjtSL&#10;yrDL4UG9I22WD8K/8ZkfYG1eUljjoMcf4qEOUCa2OQZ1ny4mF5s3TAB+8rYwLoRh2RAv00V6tr3Q&#10;JvYFtK7fITzi4GRl70Of8HVGWC98OUK+mFfcizzZusv1KU64CFeCr3eUj3WCn1F5kYYvI/6Pz1Ow&#10;PMT3K9xf8kwjDOqJ8UGs31y9MDzKCzH/+Bx5YT3k5F9g2D8YN37i/z6cEKXMiiHu1Xs2VPlctSr+&#10;LaJxwrGEY+gk4XiQW/Ahn7n8lsQxDIaR11kEYzTKBM3DeD1N/X/YTKps/h0nEp4fvDtEMAzeL+pg&#10;WvjpsX2Vyr3r2PBistx//x09c+UwDHF+3f3aa88ND+sha4g7cOBAN1fjJTfWcq0R9Xti19Me3o8x&#10;oim5fJHcs1RyP2CYaBwoiSM1NtjN1ZK1k8Xem0oX61WGKRnDhBBiVpgmQ9yHP/rB8LC+qfAtOe3o&#10;OxJCCCHmGRjIOOfd/5W7w3kxp2kwxN13331VGXKGOLtetOpn/QtsfP2u8Urv5z4y9swsuTUw4uS1&#10;pvC+KF+5aySVdm6vzsIzW8jvEfLzujrLkctHSb3l6h1rf54NYP/FYvcO7Jm2TbNETcpeUueDpl9S&#10;ZyC6v/Ree87sz1xKykhKwmJPiGlhfGi6RyTEpFkWhriPfezeqpC5yZ/w4ffq9wG3E9WggwQOpnxc&#10;9jM/6KbgoZ8NXxfHMMvhwUTHPEXyebKTa4rcpGHvtxOuF/oC8saXq0h+cie8jnrjZO+FzxG/zatX&#10;1B4lhirG7WFaKBsMdf4+lCc3kVrYZqUvyHX1bsuKvKeeRSplzOR1PBu5fpUqW12bQ6hflCGCYaK2&#10;R5lK2s/2q1wfhYToh3Ea4lat3bqi995NrT2/edaSA/tI9ltvXvjCk7q5F4D1Es0TpQwjjhLGlc60&#10;Yee91PuCWN7wXQc/LXiH4TsbhPeJyKDG6yXPViotYPsq311S71nAhheT5U+/+IGeb1M97rgnLZlL&#10;R2mIs4f+02iIs+sdv2kM/Hu2x5rlmo7juXwRG8Zj1wy59TfDRONASR5SYwPWRLw3Gjdy2D2KyGiM&#10;uO06bbm9Hwgh5pt5NMS1o64khBBCzDPr1q2r5rx77r4rnBdzGoYhrn3PARvHqAxxAOtErs2wH4Q1&#10;dHSuWIJdf/azxrP3p87eiN0zs+TWwKl7CMqNMz2sf/25HhWVK3eNpNLmZ7k9OJArFz/PpU9Qr1ij&#10;85f/vKK1f129gVz+APdmUK8WnsP6fQO7l1OiJp6F1B6IZdD0S+oMMIxtO+YPbVRHdD8oKSMpDev3&#10;z9CWdV8eI8S0sHfv3qrvTr0h7qQNmx62CVxw8dXhob3X/v0frwpZN/nnjColg0+ENdb0+yJBuCHv&#10;88IXlpI8ctBCWJsf5jE1aQ6zHB68ZCBeDKB24kB7YOLxebKTa4rchGPvh5AuX7C8iYovPig/B3bk&#10;kZ8jbATvp5Af1BtkJ1MbD18UUG6bB1/fuI770B/sywXC2XJ7tz2w1yH0A5Qd8eAay8j0U+Wzhxys&#10;uzqiekea+Bx9wJaF/Q1hED/rAOnaMuDfHhs/w7BcSMPWrU2T2PaxEzrygLwwXght4eE1CvEhHdzr&#10;64phonIQpod4fF76HZeEmBVD3M4LT6nyuf0lG7q5F4D1khs/6hhGHCWMK51pA2M/yx7NN0LUbTrw&#10;HRmK3ut4reTZyqVl+yri4r9T/daGF5Pl81+4tfWW6xcP3o8++t8smUsb/8lUt+7OGeK2bdtWpT2N&#10;hji7ZrHrLb+moDwIx3dx/MQ9fB8HWAvgOcU7OX5acvkiNkwEryHveP/nGsDCMNE4UJKH3NjA/Qde&#10;t2t15AX/xxoFdeOxayrkDeEB7rHrMV4XQoh5YVKGuGjd/YlP3xke1jcR/lxcO/qOSv7yihBCCDHL&#10;7Ny5s5r3brvtlnBuzGkUhrhXXr4nPJhPyRriYPAbF1jzMd1ofVmHXb/6da/HructuTVw6h6A9Oy5&#10;X0rR2jV3jaTS5mdYP+fIlYuf59LH3gX2LRg2pajdcvVGcvkD2Afgde4r2P7i29v6EYZNbg+EDJp+&#10;SZ0BhrFtx/yVnP1G94OSMpImYbEfhn0i+6zg31GbCzFNWEPcVVddFc6dJZpqQ9yHPvTJqpB1k78d&#10;pCL1AweTfu+3cMLyB2L2sCwy6BBMMByo7GY24P1+4CTDLIeHcUcHfRF2ck2Rm3Ds/agPX2f24ASK&#10;XkZs/PZQhNj7o5c3+/LBAw6LzWPdy58nN4HZfKPsPl1S16fs9VQcHlsmKDVJIj2GSfVnlgNl8PBe&#10;KKo7G79vW5vH1LOQux/wWi4OUhfO5qe0noUoYXBD3CbcW8Qpa09b6e8tNcSdvePEKp8yxPXCeqkb&#10;Z3IMI44SxpXOtGHH8NScJ5Y3uXc2wndGvC962L9Knq1cWravYo3A9UIqXza8mCzeEHfkkU9YMpcO&#10;aoi77u07w8P6//G3b+oxxB08eLCbq/FSN9ZiPcDrXniu7LomAu/+fCZy8uuOunyBumfJGtKsLPws&#10;GgdK8lA3DlljW0rRRi3WLt74ZoX8Mu3l9n4ghJhv7Nw4LEMcvr21HV+WURnivvGNL1flkSFOCCHE&#10;vGP/rNqNN14Xzo05TYMhzpqPxmmIA3YN2PQ8C+F5b90akYYlvxbNrYERJ69ZkC7X/IgPa3ufd94X&#10;5St3jaTSZn2l1uPE7lv482h+nkufa2+UE+F8HLl9gVTeLSV7D9zf5Jkq92qiM96SNPslV1YyaPql&#10;9zMMwhO7D5TDnlP7/aiSMpImYS1Ik88NfjZ93oUYJ8vCEPfe9/5+Vci6yd8OIF7RJm8JHEygQbAT&#10;CvJpsS8KkUGHcBCOBjbebwdey7DKEWFfXkoGTVsXKXITjr3fGwMJyxsdPoK6CZ7XUiY/m79UmXk9&#10;1SYpcmW313w/stg+FZWBL2pou1JsneEFLgUn/NwEbOPy5eDnqboHbF//XNsDn1xftOE8/Lykbhg2&#10;1cZ2TMrVmRBNmbQh7vV7ywxxW7YcX+XzVa96STf3k4PzVfR88xqfVSwK7CYA/p2acwDGHIwF/h58&#10;xvEo956Sk81vSRx2XuOCOzcmR/UyjLx6ECfGXy6gIfwbn0VzMRm0bfjbT6gDLvRs2shXhJ2rcvmL&#10;YDqIG+K8hc/tnIGyoHy2PBDCl8wbvJ/3sUyR2Z/hojYq6b8WWz7ey3bFNZ8H1J/NZ12bNSVXNl7r&#10;t//kYLvmni+GgTz83PaJFLm0fF9FfPx/VDYbPqJpfxD987nP3dC6+ZYzq3p+/ON/ZslcOipD3He/&#10;f0PPn5M5dOhQN1fjBeMI85Abj+0YgvGG/RFjDT7D2JMi6tMQnqfUHFSSL4bJpY107fjoxymOp9GY&#10;z7Ll8pAb/wjrj2lByBPKj3RTzzXrjflnOqwv1B0+K5mvhBBiVpiUIS5adw/DEHf/V+6uylP3l1eE&#10;EEKIWcceml9z9Z5wbsxpOIa4jQdtHLNkiMP6j2nnzucI1ox2Pck1Z259ChgOa0qL3a/y63SbN4ut&#10;r9S6mdcRh4fXcuXlXgJ+WrgeR3lyMBzW1h6mH+UNoH4ZJrX2zu0ZpurNkqt3wnNflpVl8m0IsPfK&#10;+Ia5/wtyZSWDpm/rLLVfYvudTQNtxM9T/RHYcH4fv6SMpElYjy1Dqt2FmAb27dtX9dVhG+Laa/Vt&#10;7XiHB/48m00Ah/PRob3XBz5wR1XIksmfD79Xv4OujW8QuFnsJ0xSN3HWbYbzWmrSHFY5IuygifLV&#10;1bWdXFPkJumSybluEqiLg9dS9VnyElEXR4pc3CXpktRLlu1LTZ6LknoHqWcwJR8XP8/VW6oe6tqd&#10;5F5K+HlJu5WEtQdvCOdfboToh6aGuFdd+VYzwS+ofW8RgxjiTj31KVU+X/e687u5nxy5MYLXaJxi&#10;vr2woPJgYWSfdS+OERhvout1svkticOOqxwvozITlrdpOpFS6TAfOaU2Hpi/ftoGcJMlp2heK533&#10;Ingf5hufPuvIzkUppeoT8N0yEtL08xvrzsdZ2n8tvBaVj8LniDvX9lHc/ZAqG+C1fvtPjly6hGH6&#10;2fSy5NLyfRX1TgNLlK4N7+mnP4j+6ccQV3eoXmqI+94j7+wcjLdv6WhShjghhBBimhiGIQ5/rtzO&#10;xf0a4u79wqfDw/omuufuu6ryjPtQXQghhBg3Bw4cqOa9C87fEc6NOY3CEHflVXvDg/mU7Hkr3kvG&#10;CfaE7D4f9v1SYG8JYW0Yu1fp9yWJ3Q/1+61+f8ti9xctNr7o7M3ucUd7WrwGRXuDNk/+fmu8StVV&#10;afqp/TZ7f+pcgnuA0Z6hrR+EjcjVO/H54L+jM2akw+u5PdN+yO2PkkHTt30Ne6RRvTEf3P8m9vwd&#10;Z/QRCJ9rs5IyEvoAkM+mlLS7ENOANcTt2rUrnDtLNNWGuHe/+wNVIUsmfwwkOPDipI1BoInpx8OB&#10;BxoE5ic1KdqXnGhSy7mtAe9NTZrDKkcKOwFCKC/aIXoBsYNsCjvheEoG6boJoy4OXkvVZy5/pC4O&#10;pIv2zB06ekrSJbZP2TLyBQht1IS6OiOcyEuEPPg+wmupegOpeuBnqeeE5MrCz3Ppk5KwGJN8G6Nf&#10;Rs+5EKWM0xB30tpNq/29/Rji3vzmS7q5nxy5uYHXKMy7HJ8wTtjn2I9bdly17xxYKGI8isYIxpUb&#10;P3L5BSVx4FouDjCMdHJx2HcEXEe9ENSXrdvoPYlxU03aBqBd0A5Iyy5QkS9cw32Iw5ObK+rgfRTS&#10;RxxIk+M/yoo5Ez9tnaAMfO+DbJ8ibFfGzXLbe/HTkmqjQfovhTCoWwj38HNbv6xDxGvbzLZJv6TK&#10;BgbtPzly6QKUzabr4TX2j5yYzygtXGdc+Dewz51/rmx4Tz/9QfTPH3zyus58yfYYhiHOr7tveNdF&#10;4WG9N8Th3UIIIYRY7syzIW7ch+pCCCHEuLGGuK1bN4ZzY07eEHfy+o3723E1YlBD3O23316VYefO&#10;nd2SjQ+7ZwRhPwp7Rfgcwr/tXhv3OQH21bgXiJ+4xn0/XLP7mdE+mU0b/7bYey3Yr+Lnds/PpwdF&#10;e1r2OsMwz9gXs+WJ9jDtviLuZfoIi/LzfuwBR/fbe1MwDqTFevHxQ3V7htjXA8ij3fPL1buFZ7/2&#10;Zwr4Axgn8mXTQ97xf+QH+W8C+15UVssg6ft+Y+sddYf7eC1qN5s2+qTd90e6ts/Ya6S0jMDmlc8i&#10;4rTtiDIiTzYt/Jv5aNoGQoyb/fv3V/18EEPcX33jm71zfEdDN8T1JlBqiHvb2/5TVchJTP524MpN&#10;BDkwCDGOEvkXAU5GGJSiCRPw3tSkOYxy1IGJAOkgn0wL//bpsTxQCjuIe+z9qbLUTRh1cfBaqj5z&#10;+SOpONCGzF+dPCXpWtgWfNEBnOTsZyWU1DtgmiWTdQTTSNU9SNUDP6srW64s/DyXPmkSFuOAb/fo&#10;pV+IEiZtiLv2zduXHNhHmlVDXDSG2HGDiwvCezEHlsK4cuNHLr+gJA6Ol6k4wDDSScWBOa9uXkCY&#10;3EKacUNN26YO1g/kyc0VdfA+KFdvKWy9+ftxjXGn5hFsTvm6SrURP++n/0JRnbM9Ibx3IM+WQdos&#10;IlU2wGvQsPtPLl1g+1cUN681UZRWqq/ajQ3bBja8h2Vq0h9E/9AQByMc28TPpef+6mgMcX/3g/e2&#10;Vq5cWaUrQ5wQQggxOUNctO4ehiHutttuqcoziX11IYQQYpzYPfNVq44P58achmGIw7xv47j6zW8N&#10;D+ZTmrQhDmDfiPuSOUV7RzD81N2LvSe/VwhS+1sgt4eL/T5e80JeuE8Z7dEyHPZSc/m2hiqLNRal&#10;hPQj4xNgmNz+MfYUbXxeTD+1Pxnlz4bN1buFv0RL1e0d5tqFis4CcnDfMlVWS7/p276WiyOVB/Rt&#10;7NlH91Doa6l96CZlhC8j6re2P/lrXqm+LcS0YA1x55xzTjh3lmgihjgczkeH9l433fTOqpC7d+/u&#10;Fn18YCBg+v0eDNUNfJHsy4AdfEuFAdAyjHI0AQM5B2H8LD2EI7bMnpLJuW7CqIuD11IvIbn8kVQc&#10;9l5Mpv5FKBd3SboWtDXCsj9gcuT9qRewFCX1DppM1hFMw9ebJVUPdS9+xL64oU4s/DyXPmkSliA9&#10;OyY0uVcIMouGuOvfenk395MjNz7xGsaRFCyLf275TGMBFS3mI1JxWXL5BSVx4FouDjCMdFJx2AV7&#10;bnFlw/k5hnH30zZ15Oa20nkvgvelDGsllNRpk7k8Fd8g/Tf1Tsl+B6Xi5PWmbRaRKhvgtVH0n1S6&#10;aBe+g+XS5vUmisqY6qv2c1s2+7mnn/4g+ufOu17bmS+tIQ5/QtXOpc0NcTbsptat+18ZHtZ7Q9zh&#10;w4e7uRJCCCGWL9NkiPvSVz4fHtY3kTXETWJfXQghhBgnWNdy3lux4ohwbszpnFde0jMXT8IQd+ut&#10;t1ZlmKSZHXtC/tvgIOxxYc/Ln6tZcA1hEJb34YwSe04pExDAfhrD+z1Pnun5s2+CeG162NfCXhjK&#10;wb0uxOHhOTbyjLA4s+Vn+Bmd4XpSdYX/4/Pc/hrTivJmwV4eywExb8g36wbXI3y5WDckV+8WpGXr&#10;JtcHCPPN+5h+Sd1EsA5SZfX0kz7qhmEBzjRs38K/c/2YIIxPu+T5aVpGtBnvYRr2HAZ1gPZHuRkG&#10;/y7p20JMAzNjiFu1dusKn8CVv3FLeGjv9eY3X18VchILdwyGTQd4Gwb3M/91E5o1rdmwnMyaCHm1&#10;DFqOfrDlwYBL8O/oc4s9RPSU3M8XD/yMqIuD11IHo35CjEjFwYkzNZnl4i5J12JfZNAevB+TXVNK&#10;6h1gEmW4pi8zgPeiD6RgHeKnhZO+7/8ehovqgen7dotoEtbDMqT6qBA5xmmIe8ba09b5e9/ytpf0&#10;HNantPrEo6p8zoohLvdMMox/5u185xccKRg+N37U5akkDlzLxQGGkU4qDqYP5bDzlX9fqssfYJhc&#10;HiNyc1vpvBfB+5rmx5Iqd+4dKUcqvlH035J2r4ujCamygdw1wjBN88L7ckKY1PsQw5SkmytHrq/a&#10;PPLd3ob39NMfRP/QEHfkkU+o6n1chrgf/P2drRUrVlTpCiGEEGJyhrho3T0MQ9yNN15XlUeGOCGE&#10;EMsBznuTMsSdtGHTwzaO6/e9MzyYT8ka4jR3CzF+Sva1hRDjw/459Lk1xF1//durQk5q8reDHw6G&#10;UkYxHHbRZU2sma3EYEbTGtJpAtPIHagNUo5+SB3OIV1+HuUXYVkPkCcVryV3aAjq4uC1VH3aukyR&#10;ioNlQx1HWCe3pyRdD9oa4REvHeA5s1mKknoH9iA1VX85eC8UuextPnz8CM9rKQOqNV1E+ctd87At&#10;+6nPuj4qRA4Z4voj99yVPJMME40PdvyBMD5gbEjNtQyXG2vq8lQSB67l4gDDSCcVBz8vMWKn0qnL&#10;H2CYVB7RDmgPhovk57bSeS+C9+XqjPC3xThHe/lyswxN3xV5n48PDLv/4nOGSVEXRxNyZctdIwzT&#10;NC+8zwv1hzaN3mMsDF+Sbq4cub5q37v57mnDRzTtD6J/hm2Ii9bdH/zopeFhPQxx7VsqCSGEEGK6&#10;DHF/8ZdfCg/rm+iaq/dU5dm3b1+3lEIIIcT8AiMc575Hvv9QOD+mNA2GuOuvn+yXxAix3CnZ1xZC&#10;jA9riNu8eXM4d5Zo5Ia4U9aettInUGqIu+qq11eF3Lt3b7fo48ceeOFQCAdKMP7gQAk/cUiEz3Hd&#10;HvrSjFR6aIl4mE6TQyfeU3eg1m85cvCQzH61Jv7NsuO6h9cgGpdgxLMTDeXJHfqR3KEhqIuD11L1&#10;WTIhpuKg4Q31Yg9KUf+2XiBPSbqe6BsG+znQLKl3YsuBPmb7BtJGudE2qAsP76NQZn6zCuqI/RM/&#10;o29csWnjXpYVYZEu70f/ju6399bBfoY4WUbkkWkiDoRBukwLP22bpIx7QuSwhrgjj3xyOH9aDWKI&#10;wwuBv/emm8/uOaxPyRri3vmuq7q5nxy5uSF3jTBManzAs2/nUQj/7meeAXV5KokD13JxgGGkk4qD&#10;n0/SEGffrXLy7dRk3vPwvlydYd5ImeCsUnWaq4+IuvuG2X/xOcOkqIujCbmy1ZUbMEzTvJTEnQP3&#10;lqabS6uur+JdjNfRzjZ8iib9QfRPZIh7y/VbeubSURniDv9w8ZdY8E1xQgghhGh1/jQZ58d5MMRd&#10;cP7iL93iT82IycM9Uf6yioV7xtF+6bSAfU2uY7FeELNNrs/l+qoQ08zq1SdUc9/9X7k7nB9TkiFO&#10;CFGyry2EGB8zbYh77evfHR7ae73hDVdXhZzkb7JhsWcPk1LCgpDGGPzk56WmF3tPk0Ul76k7UOun&#10;HHVE91vBIORB3PaAzQppW8OQp+7QD+QODUFdHLyWqs+SCTEVR67skDV0efqZiNHmvAdC/P1QUu8E&#10;aXpzX6RoQc1rWIin6gmfR/0KoH7r0s71b4ape5YA8mDjpVg/tr0i9dsWQgzDEIdD8/b9tcgQtwjD&#10;lIwP1oCLnxgXLfi8Lq66PJXEwXGopFyDpJOKw5rRcmBMZjjUnaUuf4BhfB7t3IUwfu7IzW25a3Xw&#10;vpI6Q/9AOJqpSarc9j2uCan4Igbtv/icYVLUxdGEXNlKys0wTfNSEncO3Fuabi6tur6K9mN74n4b&#10;voS6/iD65/c+8uud+XJYhrho3Z0yxP31tz9apbly5cpujoQQQojlzSgMcTgYb8eXJVp3f/tvHgwP&#10;65vIGuJwkDBp8B6JPV++20J4v8QeIN45l8N7pi27f3fPvfNPC3YtMc35FGXk+hyvQdE6U4hpZe3a&#10;NVXfvefuu8L5MaVhGOLac/phG8c7f+d94cF8StYQN8kviRFiuVKyry2EGB8HDx6snsm5NcTBAd+O&#10;oqNp+E02vPzjIJK/CQXZhbuFpi5c94ecOWjmabKo5CFVqfGuSTnqiOLCv/FZynQEcA3p2Xsw0WDz&#10;gwfjyJPHHpqn4me8+BlRF0ddfdq2TZGLA/0B9cMwEPKKusyVvSTdCFvPpX3EU1LvHvQlu3iG0L+R&#10;n1Q/Yzj2BVtP+In/1z1P0QYbhP/j89wGG9MqrSeYK6wBD2kwf3X5EKJfxmmIO2nDpp3+Xhniykwz&#10;1jTrNw/5eS6uujyVxIFrDJei7r2jJJ1UXjHW8f7c3GHDlRrDLAzj80hDXmreRLswXd9GuWt18L5U&#10;nWF+YJjUfDBonXpK6tEySP8t6Xd1cTQhV7aScjNM07yUxJ0D95amm0urpK/aNilpH0+uP4j+oSHu&#10;6KMX1wTDNsTd+cnLwsP6r339w1WaMsQJIYQQC8ybIW7r1o1VeSZtiMM+IPfcUsLecJM1zjio22Nu&#10;CteoKKvfnxx0fTEoJXu/yDPPALS3Ofvk+lyurwoxzVxwwTnVWHbbbbeE82NK02CIu+qqq6r8yxAn&#10;xPjh3nvqPEEIMV6sIW7NmjXh3FmiyBCH8+92vMPhpLWbVvsESg1xdiNCX+0uRH/Yg89pX8Ayn00P&#10;pYVYTjQ1xOHPlPt5eByGuOOOe1KVz+VoiMuZVHgQkPs22Lo8lcSBQ4dUHoA1Vw2STiqvMLcx/tQB&#10;gt1Qj/KQitvCML5teHiB+CNs+X395NqvDt6X6iv2oCEyiOfqpKROEae/VlKPllz5+XmqfPicYVLU&#10;xdGEXNlKys0wTfNSEncO3Fuabi6tkr5q+5Q9iCylJA3RnEka4r7+/9xRpbl69epujoQQQojlzTAM&#10;cde9fWfPXFxiiIvW3cMwxK1de2pVnkOHDnVLOX7suhTCL7viFy7wXomfWGvyHbXfd+tRMeg7fxPG&#10;mVaE3vmXH5Puc0KMgiuu2FWNZTfeeF04P6Y0HEOcub+tQQxxk/yraUIIIcQ0gHUs58WZM8Rdfe3+&#10;8NDe6r3v/Xxr27ZtVSGn4avdhZhFeACKDadph8/7MA7IhZhXJm2Ie8e7dvQc1qe0XAxx2LjHBr79&#10;DWr8m9+8husexoVrvA8HAfbb0eryVBIHTDAIw3Dc1EYYmsWoQdLJ5RV1wzSQpq0nxGO/ZdNeI7m4&#10;CcP4trGGN1yjKRzp+PL7Df9BDgN4X24uQ30iDMrP+JE//80JUblt3lG/bAv8xFwf3ZeqR6TVtP8y&#10;7VT58DnDpKiLowmpsoHcNcIwTfNSEncO3Fuabi6t0r7qDyIhTz/9QfRPP4a43KF6tO5OGeL+9M9u&#10;r9KUIU4IIYRYYJoMcYcPfys8rG+iVauOr8qDfYRJYN9V8S5p3zMtWAthndPvu/WoGPSdvwnjTCui&#10;dF0h5odJ9zkhRsE11ywayq65ek84P6bkDXEnrd90oB1PI+z90Ps//JHwYD6lXbsWDX0yxAkhhFju&#10;zL0h7oMfvE+GOCEGxB5+wngw7TCvwzggF2JeGach7uQNp+/299qD+pysIe4DH3xTN/eTI7fRV7IJ&#10;yDB+fGIZU4rGXnwWhbWbznV5KokDRCYYCnHTsDZIOrm88mDD32+FgxHkMyIXN2EY3zZI2xruvOw1&#10;X2/4f+paHbwvN5fl2gVi3lJ1mitXdNCUqkd/r1fUf3ktVT58zjAp6uJoQqpsIHeNMEzTvJTEnQP3&#10;lqabS6tJX/X9xmOvRYr6g+ifEkPcRZe+uGcObmqI+8y9l4eH9Z/57O9Uaa5bt66bIyGEEGJ5M2+G&#10;uJXHHl2VZ1KGOL7HQikznKUkzDgZ9J2/CeNMK2KQNbCYTSbd54QYBe97363VWHbF5ReH82NKozDE&#10;fezjfxAezKdkDXH6q2lCCCGWO9YQd8IJJ4RzZ4m+893v9czP0FANcc9Ye9o6n8Cbfuv3wkN7Kxji&#10;sDnfjqIj/I1YIUQzuLBN/bm4aYPP+zAOyIWYVw4fPlw9KzLElUNTFn56ctcIw+BbxyzYKMa3cvHb&#10;OCH8G5/lNvNhLLHmFIzX9lvXSvJUFwfx4fBvGtD4LWqDpFOSV6SH6zBrMR7Eab/hLKIkbobxbQNg&#10;HsOcYtvHlp/58W2F/zN800MZxhnlx4K+w7xDuA/9BvVR1y4sl20XlDFVn6l67Kf/1pWPeUe4FKV1&#10;VEKqbCB3jTBM07yUxJ2jSR3k0mrSV3GdbY2fnn7HM9EfkSHu6mtO65lLR2WI++zn3l+liV9CE0II&#10;IcTkDHHRujs6qG+qFSuOqMpTAtYYWE/wPRVrjUF+IcK+p+J9chAQV+o9NWfeYllwf7Q2xPt19J7L&#10;+1Ky+5YsJ+4BqDOmgZ+2DnNrJe7h4ifIreMjuGbI7amyXHYNwjw1VW4dg7wjP7Yekf+69T/DN22v&#10;UpA28mDjRH1H9cqwuG7LgXvr1ke41/fXVDokWuMjXZQ518fr8PsOyBP7iO9zllxfRV5xHffZMjK/&#10;deMG+wfvi+TTZXiki/RRvwyLa4RrWpaNYv/DvREsL+Py9eafP98/kV+km4of9NMvRHPuumvx29C3&#10;bt0Yzo8pDWqIw367vR9qaog755xzqvzLECeEEGK5Y78gZi4Ncb//+/+9xxAHB6AQohwswPj85DYp&#10;pgksHmcpv0JMglkxxNkD/mkwxAkhhBDTxLANcdG6+4//7D+Gh/W//9F3VGni8F8IIYQQvYa4m27Z&#10;Es6hdZomQ1w76koleAMJVWduSUGDySBxAJhObH4iwegSwevIizWhWGEv0pubuD+ZEg1FAMYZfg5j&#10;iw0H2bC2LB7WP35as48XrkXwfpueh3HYMLadmihKB3vRJUanlAGIYZq2Vwm4J9euvl7r+gAUGdXq&#10;0kndkyov1Y9pyvY3Lxi8aL5D3/Hk+mpdG0OpfohnNQrvhTq0sH/jfmsapADq0X/uhXgj0xrLW/f8&#10;IRzSifIApeLvp1+I/rj33sW/dNHUEPdru6/smYubGuJOWXvaSns/NIghTn81TQghxHLHGuKOOeaY&#10;cO4s0cgNcSdv2LjNJ/DWt90ZHtpbwRC3evXqqpCT+mp3IYQQYpoYpyHupPUbr7X3rTn9jJ6D+pym&#10;7RvihBBCiGlikoa43/3dt1VpyhAnhBBCLDBPhrhvfOPLVVlWrlzZLWGanJEERp1+sKaZ3Lcm5bAG&#10;MxhVkE8Ck501pUS/XMtrFMwszAvipkElVUaacCLDELGGOAhxIh18jjxZowtNN5CHaVGoP5YX3yxl&#10;6zMqK+9HGil4fxTGliNnzsnFYY1EMC4h3wB1busbsm1JeI1CGk3aKwXi4L34aQ2aNl6bJ3yG8iCs&#10;7b82PPqfh+2Ea76/oo183SJumuFwj80b7rftnmsXj21PxMu28H0Jivp3rq/iftyDumC8AGnaZ9LW&#10;G7B5Qt1GeULd+vuAfz7wf9QVxL6I+sL96Hu2rhCfLU9koLXXIZSDceAn2xziv9k/IWssjeJv2i9E&#10;/3zzm1+r2mLVquPDOTKlURjiPvNH94QH8ylt3ry5yr8McUIIIZY79jx8Lg1xH//4/Z0FezuKjmSI&#10;E0IIIWSIE0IIIeYBGuLsfDmIIS5adz/wtdeEh/Vvv+ENVZq7d+/u5kgIIYRY3kzKEOfX3c970fbw&#10;oL6J7v/K3VVZ8AvndXgziFc/WANLP8BkQuMJ4opAGJqJIpMU04dg3vHYcltjD2EZUukDa/KBcsYW&#10;m57H1pf/tjJQV1bejzRSMP4ojC1HrgypOOz9qTzACMQwURl5DeqnvVLAoMT7rBmJIC5rGqvD5sPD&#10;z62xLQeNVGhTtHEE2xamqlJ4T8pgZg1cUf/OlTFHrh+xHaL+C/i85wyfUJTfEhhHXXnRF3ydoT/y&#10;OhT1T8afG4tK+4Xon//5P//fqr7xp8OjOTIlGeKEEEKI6cKehx9xxBHh3FmikRviEJlPoB9DHAos&#10;hBBCLHfsC8DjHvfEcA61GswQt2mfvW/Dls09B/U52QP+d77rqm7uhRBCCAHuvOu1S+bLcRnibrjx&#10;jVWaMsQJIYQQC2BO5Pw4T4a4devWdUuYxhqVvFLmlTqsgaUfrAElZyKx4bwBh59H39gEcuYdkDPQ&#10;EBtHZOSx5ExGTAtmnBQ5QxjvR5gUvDcKU1cXJBWH/Xa4lLEL2HAeft5ve6VAH8Y9TQxlOXL5oKmr&#10;NC20N8Ln2o3tjrhLQP0zf6m6BEw76t9ME2oK7/Nlqnuecn2Y13LGwTpyZbLXUvHzeqpOc/E37Rei&#10;fyZpiDtp7abV9n5oEEPcwYMHu6USQgghlidzb4j79Kf/7/YLy4qqkEIIIYSYTUPczbdc2c29EEII&#10;IcCwDXHRujtliLv6mtdWae7du7ebIyGEEGJ5MzlDXO+6e+vLzg8P6pvonrvvqsqybdu2bgnz0HDi&#10;1e83Gtn4+iFnLrFYM583pPHzyGBDGCYyWLEM+JmiiUkrV6ZB0+L9JWWNwpSWIxVHSf6B/WYy/21t&#10;qbgtDFNX18Saw3LxNiFXV/wWNAjmp+gb6SwMW6oSStsy12aoqyZpWnifr2+aISPTJ9qp5Bvi6vpX&#10;jlyZSsrL66l+lIujab8Q/fPoo3/fMcKxvqM5MqVRGOL++E++GB7Mp7RmzZoq74cOHeqWSgghhFi+&#10;cF6cOUPcvps/FR7aW91zz9erAkJCCCGEGI4hDl/h3r6/lpPXb9xv72tiiFt94lFVPmWIE0IIIXqh&#10;Ie7ooxcOfqBJGOL27dvXzZEQQgixvBmFIe7kDRsPt+PLMgpD3G233VKVBX8KtgQYUmDaoCkFppVB&#10;/rwfDSxQP/D+km+oYzreqJL63MIwkXGoxIRTaj4COcPMoGnx/pKyRmFKy5GKg59HfwrVkkuHn/fb&#10;XhE2vab9Gd/Ch2eCdRspyof9FjwIfRgmL//NY4jfhqtT7tsDLbk6tuT6XK6vApQFZcK9HDO8fDva&#10;fKGO+C2H+AmTGK/5bz8Eubx6kA7i5zfgRfLUlRfweqp/1sVR2i/EYHhD3CPffyicJyNNgyHuhBNO&#10;qPIuQ5wQQgix+A421Ya4kzecvtsn0NQQh2+KE0IIIURzQ9xrX//unjkY6tcQt/GsLT0H9TlZQ9yb&#10;33xJN/dCCCGEAOMwxP3lN18XHtZffsXiYcz+/fu7ORJCCCGWN5MyxPl19zAMcTfeeF1Vlkn9eXT7&#10;jUg5U04KGmBkiFsklxbvLylrFKa0HKk4+Pk0G+JK7wG2/+aUihOfewMUDFrW7GW/3TBX5qaUljnX&#10;55AfxuHBnylOmeCsfJlg/MLzHIWlEHdEyfOB+BmuTp5ceQmvp9qqJI6SfiEGA4a4VauOr+r3G9/4&#10;cjhPRhrUEPeMtaets/dDgxjiHn744W6phBBCiOUL50UomjtLFBni4GFrxzkcIkNcdGDv9eEPf64q&#10;3MqVK7tFFkIIIQTnx2k2xJ166lOqfMoQJ4QQQvQSGeLecn3vPOsNcblD9WjdnTLEXbDzvCpNGeKm&#10;C3xzif02C/x7lv6kUu5PXfEbVqJrs0quvLMM+pz9phYcXqcOqJcz1sigP302H1hD3N7rXhDOoXUa&#10;hiHunFdeEh7UN9E0GOIwpzEPmAOaYg1JOeyz6Mcqfp4ysACGiYxDJSacUvMRyBlmBk2L95eUNQpT&#10;Wo5UHHx/yeUfYM5kHN4ElIrbwjB1dU2QRkm8FlsXKI//ZrnSugIwaSFdG5+Fn5fmrYTS/LHPRG1m&#10;82xBefj+w/cD/w1nvM+Xic80DGEQ48FPvHf0m1di84z4/dycKhPIXSO87stFSuIgdf1C9A8McWvX&#10;nlrV7f1fuTucJyONwhD3wFf/PDyYT+mYY46p8i5DnBBCCNHqfDMc58Zo7izR1BriPvaxe6vCrV69&#10;ultkIYQQQnB+HLUhDgt/e58McUIIIcRw+INPXteZL0dpiIsO6qGt27ZUaR44cKCbo8nQ1FBkv1Eh&#10;dRjlobEHP+vgIS3yFWHNalYIj4OsQUxD1jhgVVrOaSCXZ1umeSFX3lkFxgE+l1Y6qF1KE0OEmA2G&#10;YYi74V0X9czFkzLEXXP1nqosk/rz6NY4g58l34Bkw1jjVM50OkqDVYkJp8lYgHwwrIdp4V0jhTUJ&#10;ehNSXV4RnvdG9VFajlQcfN9KvUMRhou++S8Vt4Vh6urawn5Y8i4IWM+psjRpc5IyePIb03Lt3pRS&#10;E2DOxJjqq/Z9NfVc8rpPm+3QpO1IXf8GLE+qnVNlArlrhNdTdVoSh6fU+CvK8Ya4e+6+K5wnI02b&#10;IQ5/JUYIIYRY7lhD3Le//e1w/qzT1Bri9u//eFU4GeKEEEKIRTg/jtsQt/Wl/RniXve687s5F0II&#10;IQSgIe7II59QzZfjMsRt27atSnPShjjmI3WwZLEHuVDdgSspOUAjdQdZvJYTDuP8IXUJPMTDTx7o&#10;46AxZwKYNlgHUXvWHVLOIrny9gvam/FOou2tCYAH1uiP/RxezzI0bOT6az+GCDHdTMoQ59fdwzDE&#10;XXD+4rc8TvLbYO28auc3D+ZNfmMUsaae1LOI+2goiuZ53p8bpxkmeo45FiDvKZqMBbn3DL6vQKgL&#10;D8pKQ1FUVv7SAML49xDWL+OP6sPOP/4b0SypOPBLAbyW+kUHm0aUh9w1wjBNxl1b9mhuRf2gjXmN&#10;7R6Z9oA1YZbmI9X21hDVpEx18LnAT98fgK2TqD+l8pszoIJcG7P/Iu0oTzn4fER5JTb+CLYr5EmV&#10;18Lrqf5ZEoenn3tEHhjitm7dWNXrnXfsD+fJSEsNcRsPtuMopj3nb7P3Q3/1jW+GB/Mp2UN/GeKE&#10;EEKI4RjiID9HD9UQ135puNZG/pzTXhwe2Ht96EOfrAq3bt26bpGFEEIIwflxmg1xz3/+cVU+ZYgT&#10;QggheikxxF1y+WgMcVhft2/p6ODBg90cTQbmI3WwZLEHcFTuwJaUHKCRukMpXvP5xeGfPWTLHZyn&#10;4L2pQ+RZgGUoac95YBTlbWKsGAV8XlLmk+VCybgx6bYSw2daDHE4kI8O6pvImgEmbX7n8wTBsAKz&#10;CuZvPDf4CUMQjSzegGTNQhiXrJkJ99JsDUVGJ17LjdMMEz3H9r2A3wKLdGzYJmOBjc9j6wlCea1B&#10;3pY1Sgf1wesIy3sR1t4LperD3g/DEtTkz9DadHCdeWA8tp0jQ1QubsIwdXVtQf3xPqRt3x+RL5rH&#10;GKd950RemFfEY9/37D0A/0ZcuN+axZAey+7nV4TjNfy09QaQJuJjvKVYg6LvS74M0VyHfPC6xdal&#10;jRc/7T2Qb0f7PHshDxDKGPUNPh9RXgnLhXq0/daPFZAnVV4Lr/tykVQc/fQL0T8wxFlT+G233RLO&#10;k5GmzRAnhBBCiFbPt6fOnSHu1ltvrwonQ5wQQgixCOdHKJpDrWSIE0IIIaaPz33uhs58OSxDnF93&#10;r9+yJTyo/x9/+6YeQ9yhQ4e6OZoMzEfqYMnCgywcGPHwKPUNEJaSAzRSdxjGa6n82gNGe9haBw7+&#10;eF+TA95pg2Uoac95YBTlRfsz3kn0BT5ny6UNU5SMG5NuKzF89u7dW7XpPBniJm1+xxxnv40qJRhG&#10;YLax4F47t0by5hcLw+TGNIaJnmOYV/jOYWXjazIW4D6G9XDcgWnIm3escD1Frp5xH9NI1UfKsGTh&#10;Z1EcaL9c3qGonQnD9NteOaxBLJJ9p0S/y5XDXrP5sH0hEvqSNUQR1EfUz7xS/TxFrj/guWJ7R3Nd&#10;rq/m4kU50Mb4t29H1GtJOaN6KpmX6+rRtpsnV17C66n+mYqj334h+gOGuCsuv7iq3yaGuD1veIOZ&#10;vydjiGtHU0kIIYQQvYa4Bx98MJw/S+Tn6CEb4jbts5H3Y4jDn3QRQgghxAKcH6FoDrUazBC38aC9&#10;7yXnb+05qM/JGuIuuWRrN+dCCCGEAJEh7uZbzuyZS0dliFu9enWV5sMPP9zN0WRgPlIHSwQHXAyL&#10;QyV7EIfDtRwlB2ik7jCM11L5xWEWw+QOrD32oMwerM4aLENde84LoyjvpPvCKMo0i5SMG/Py3IpF&#10;5skQt3btqVVZJm1+J3hOMH/TLAPBCAJjTp3RB9etIR6CuQVzbc5IwvC5b9ZimJRJC59bUx7StaZ3&#10;+46SioMgHwiHND1Mg3WBcdjWFa6XmO2j+zhGMY1cfdj72T6WujrFexmucRyl8H98nntvG0Z75UA9&#10;oDyMA8L/o/6HfPq6RNszbCofub6aKzvTs6YtCPWG56bfeQb5sXHaMuAnPvNtDNAGuIZyRPh4UU/I&#10;P8qB+PCZb0eGx09fF6hHhGe9+TwxziivFowHqC/fxqg/PqtRmerKCxhnqn/m4ui3X4jmeEPcjTde&#10;F86TkQY1xJ20YdNOez/UryFuxYoV3RIJIYQQy5sTTjihmh9nxhC3YcvLwgN7r337frcq3M6dO7tF&#10;FkIIIQTnRyiaQ61kiBNCCCGmj89/4dbOfDluQ9x3v39Da+XKlVWaTQxxOGDiYRSEf/dzGGlhXDhA&#10;y8FvsMBhG8CBMO/loV6KEmMLQT4YbwSv5fLLMCXp8eAsJXvox7C5eNk+9j7C+3mNh8JMiweZdfgD&#10;UPybB/T8LIonlzde4wFjLo0UuG7LEyl3yJmi3/KifnEgy/5n748OP+v6AmRpGn8OHhCnZOvNHyaj&#10;LmgWwM+onVA2n0/8H5+n8unT8Qfc9uCd+LZCf2g6RjH+lGxbow34Of6NvNg84if+X9cWuI54bd5x&#10;L/KPeMX4mJwhrnfdPQxD3Mpjj67KMmnzuxBC4P2AY1JuXuQ7f+59V4gcMMRdc/Weqr9N2hD3ne9+&#10;LzyUj4Q/A9eOpiOs2YUQQggx54a46667sSqcDHFCCCHEIvgtMc6R0RxqNSlD3JYtx1d5lCFOCCGE&#10;6IWGuMc//meq+XIwQ1zvuvuMHdvCg/p+DXE4uIqMIvgs980sdTCeyFBkoeEGh2SEn9UdmNGIU3Kw&#10;hnwwTxG8lssvw8AIU0edCcqax5i3XDlyZbX387AxUi7fjD8S7uO/o/rJ5Y3XkK9cGinzY648Vuiv&#10;Tei3vHUGMwh5sQfCTQxx/cSfoy4+W2/WBIb2sOEgWxeI15q8IuE5jkxrdelQaCOUM2eGbGIqQ1mj&#10;OChbPptHtF/qXtRBqi1Qdo5lKaX6vRg+02KIw4F8dFDfRDLECSGmCb6HQjn47oWfQvSDN8Th39E8&#10;GWnShjgc8rej6UiGOCGEEGIBa4i77777wjm0RH6OHqoh7uT1G/fbyEsNcb/92/uqwu3evbtbZCGE&#10;EEKMyxB38oaNh+x95/5qf4a48857YTfnQgghhAB/+sUPdOZLa4jzc+k4DHGHDx/u5ihPzqxTYvxK&#10;wTgiAxWx3yhhzXfWBJUz5fFgDaYUGFhysianCF5L5dfmFXVWCtLmffh3BA8ScweEuUNEexAJsT6A&#10;//a/yIBj70c90eCDOLzpKaqfXN54jUJe2KY+ft/Wtu6QL163ZWpiDiODlBcmJ6SJPso6BojDxovr&#10;Hlsee69lkPjr4L1RGwKbPwj5QFh8jj7P/CAvrCeEwTXWIdrG5hOGMF4jUTrsl7jftgGu4aftN3gW&#10;+TnCNiXXX0kuj74tonESYWiGQx7tt+uhje0zyXoVo8Ua4q7csyacR+s0LYa4FSuOqMoihBCTxr4j&#10;Y37z8xr+b+c9mcFFv8AQh2+FY1/Cn0+N5slIgxricLBu74f6NcStXr26WyIhhBBieTOThrjTz7wg&#10;PLD3uuqqN1aFkyFu+PBAAxt2Hmy8YdPPbiaK/kBdsh/j32K0cOHcz4a3qAebF/bgAf/mwQU/jzb6&#10;2S74KYaDNcTdcMPHw3mUigxxJ63dtLp9by2DGOLO3nFilUcZ4oQQQoheJmmIs+8RpXjDklXOMFIH&#10;40iZbwDeLxHGv+PbtVbOfJbLe04RvJbKr02ryVraGmtSxheaa3L1zfSjMNacY9/jCf5PA5F/p7fX&#10;orhxne0ERfWTyxuvQdF6wtaPPyClMRLGogjmu4lBcRjlzZGri5K+UEcu/jqYdqpMNn9QXX/NheG+&#10;FOTb1aaDtvD7KXi+eB2K+o3NQ9O9rZI6rMsjYDxR/2T5I0Mg4f1aS4+HSRni/Lp7GIa4drSVhBBi&#10;GrDvTjn1Y+gXgsAQd9ttt1T96YLzd4TzZKRRGOKiA/mUcMjfjqYjGeKEEEKIVuuxxx5rrVmzppof&#10;ZYgbEdxcrdOsmZ3sxqDHXkttgooy7AZpahNYDA/WNSSGi/1NPiv2a/uZp+QwQTRjFgxxOy88pcrj&#10;mWeu6eZcCCGEEICGOM6VkJ9Lmxji/Lo7ZYj73iPv7EmzFGtc8YqMKKUwjtS60xqTIkMTfykjZYYC&#10;fBdtqghe8/nFO7FNp+lBXsm6kev03Dt17r3brvPrzDf+frsWsN9iZUGcDBO1Zy5vvOZNj5ZU3Ll4&#10;Aa9HeUoxjPLmsG3hKekLdeTir4P3pcpk85czGdpvPsvBcL79bDqpNqjrN4PUZV2/AiV5zLUFx69c&#10;/+H9GAfF6Nm3b/GvlUzSEPfGt/xWeFBfqke+/1BVDvzp1FbrsYUCCiHEhIEBHiZvzv8U5kSsKfSF&#10;AmJQYIi78479Vd+aVUPcunXruiUSQgghli9zb4i77LJXV4XDb+hNCm6C1anp5tqkyW3KcfMXG26z&#10;Vq5pY5ANWNFL7iCM6JvIRgc36/GTv11vNyl4PToQLTlMEM2YBUPcrl3PqfL4whee1M25EEIIIcD9&#10;99/RmS85V+Kb4vxcOmpDHN4nSrHGNCt8Nsi3ijOelCEEh2YME5m4rFEvdYDW5F00t04GvJZTP99q&#10;UbJuZN5y5ciVta5sIJVGyb2AYRDek8tb7hphGB83v20E6xGP7be5daRnGOXNkYt/GHsIpfmP4H2p&#10;MpXmry4ewjU82slSkk5dvynNa0RJnyyJ34bx8PNSidEzGkPcJsSXZdiGuG9848tVOWSIE0IIsZzw&#10;hritWzeGc2WkSRvi7C/lyBAnhBBCLDXEYa6M5tAS+Tl6KgxxV1zxmqpw2JCYFNwEw+YqNrJSmjUG&#10;2SAV5aBvsJ5nsZ9ME6zHug11MRpY/00OkkjJYYJoxsqVK6s2GaUh7qQNmx629/VriHvmM/9dN+dC&#10;CCGEADDE3XzLmdVceeSRT1gylw5iiNtx0VnhQf1D33x7lSbeJ5oA4xvNKxD+Pei3ODCu1Dt+3S+8&#10;2G/pSn1TXZN30bp1Mq954VsukH6/a76SdSPzlitHrqwlewCpNEruBQyD8J5c3nLXCMP4uG3doQ1o&#10;0PT9tYlxcxjlBcgb8sRfHorkKekLpJ/46+B9uTIxTCp/Noz/U6ieVF2XpFPXb0riSFHSJ0vit2Es&#10;6I/8vESR4VMMn3k0xK1adXzrscd+0i2hEEIIMd/AEHfP3XdV86AMcUIIIcTsMkpDXHuev7Yd53Do&#10;1xB30UW/VhVu//793WKPn5JNsFmkdINXDMYgG7CiF9ZjamNejA570NhPP57XcXSSNDHEXX3t/p5J&#10;HpIhbvzkDvTrDvv7AQYF1v9y/pMT/OagQb/BSAghhs3Xvvbp1luu31KN1WWGuPSheqkh7ssPvLFK&#10;s6khbhQwL9E7flPDiP+GKdLkXbRuncxrw16TlKwbmbdcOXJlrSsbSKVRci9gmKh+cnnLXSMM4+PG&#10;WsX/2S2vOlOWZ9DyIk/Mb508JX1hkPjr4H1RG4KS/NkwMsQthrHYd/VUXYvxYw1xr7j45HAerdM0&#10;GOLu/8rdVTkWDHE/7pZQCCGEmG8e/enhuTDEbdu2rVsiIYQQYvkCQ9zmzZur+XFqDXEnrd90wEZe&#10;aojbvn3xz8fIEDd8Sjd4xWAMsgEremE9arN4/Azaj+d1HJ0kkzLEXXTpi5cc1qf06j0bqjw+/elP&#10;6eZ8esDhHAxo/DNaEPooDFSjME7lnoNRPCOafxZg3S73ehBCTB8PPfT5iRviVq9e3c3N5GBeond8&#10;++dQS4WNEU+TebZuncxrw16TlMzbzFuuHLmy1pUNpNIouRcwTFQ/ubzlrhGG8XHjT9Tic3xTGsR3&#10;O/zEu14/8/+g5bX3I0/+lxNy8TfpC1DT+Ovgfb5MpCR/9heqUvEQ/mIITI2WknTq+k1JHClK+mRJ&#10;/DaMh5/X1ZEYH9h/Zrv0a4i7df8re+ZtqB1fllEa4tauPVWGOCGEEMuGSRricLBu74eiA/mUbr/9&#10;9irfO3fu7JZICCGEWL4sK0PcgQMHusXOg003bIZyAxR/UiDaEG9CySZYBPOQ2hSr++YW3o9rKBc2&#10;yOxvPWPTMLrPggN9vyGM/zM+xuXJ5Y3XEBfIpZGC7VT3W9xN/jQjjQ3+T4Wg3XLxcPOVYRCPjaOk&#10;D+Xap2SDNMLXM/LA+PEzyhPyzv5K4f+538hmuxGUw5Yf95c8QwiDMjM+CPGgnXPGEoZHeSHmH58j&#10;L6yHpkJePMNoa+TH9veUEK4E5ol9A+nbNkSeUA8pbJnQD5E33hvVAfNv+yr+jc+i/ol4Ga5UiMvD&#10;MuFnCqSPPPs+hPLnxhPf71meURiapglriLvuug+F8yg1KUPc1dcstss0GeLwHNhnIBL6YW7s7Ifc&#10;c1DyjDSl3/lnluAYGI13hOMY2jw3lojpg/MB520h5g0Y4uxcefTR/2bJXDoKQ9zdn39dlea0G+L4&#10;rp4b5wHGd8YThW0yzyIfjCuC13Lv6P1QMm/X5Q2wzqKyltzPMP5+vBfx3lT+bDtE9ZNrh9w1wjA+&#10;bs4Xw3zfGbS8dX031xYlfWGQ+OvgfVEbgpL8AbZL3fPLcH4dWZJOXb8pzWtESZ8sid+G8XBNgvYU&#10;08GkDHF+3T2oIc4aATqGuEf/sVtCIYQQYr4ZpiEOhvV2HMV4Q9yGLdvDA/mUbr311irfMsQJIYQQ&#10;Sw1xMI9Hc2iJMC/beXqkhrgtZ18cHth7vfCFG6vClRriuGHlVWLoSVGyCRbBtEs2xaIwvIZDwNTB&#10;PTYOU8YblJkbi9F92JTk/z25vNlr2CROpYENvejgGSaV1D1epQegJaadVPuxfWHcSvUfKGWMQHly&#10;xgps6vLfUTun8PXMf1N2cxr1nMs7FJmUAK+jHNxUj5RqC6Rt+1IktHeq/hgG8ft+gTKhf9vPShW1&#10;96BtjWcqCh+p1BDHfCBu21e8UocItkxR+1nsoUhKiMdS8mx55eo+ugaQro/HKjWe5Ooslda8gANs&#10;lnVaDXH2W29+8Ref3M35ZMGzacca9BM88xhzITwndkwfJrnnIHetX+w80mT+mSVGUW9iemD/TR3I&#10;CzHrPPzXX56IIe7eL+yt0ly3bl03N5ODefHPul0HpN7PLXZN4t8bm8wX9p05gteGPTaVzNt2XRiF&#10;se/uUVnrygYYxt+P9SLvjdYmqHO7HonqJ9cOuWuEYXzcfLfD2iBaM/TDoOW1eYqw/dVj+35qL2uQ&#10;+OvgfVEbgtJ3TLtWS62PbZ/1cZWkU9dvSvMawTpEO6coid+G8dh1cNP8idEwLYa4G99xc3hQXypv&#10;BHjs0R91SyiEEELMN94QB2N4NFdGmiZD3O7du7slEkIIIZYvMMSdc8451fy47A1xdtPQC4fb/VKy&#10;MRvBtEs2xaIwvEZhM5Kbu9gI5wZoVDaE43X8ZPz4HPHYeCFPLm/2GoT4eUDh4482Z1mfuM9u7toy&#10;pTZeU2ATFfWAn3ajFZvYdiM42kxmfiiEx30AZbWb3PzcYu9H+sSWh/J1mSOqZ9QLPkc6Ni6WkW3B&#10;foL82vaI6tXGzzCp8kf5t5vc2MzlvciDr4NoE5zXKMSHdHAvZGGYXP/IPa+DtLV9phCOZfF9Pqqj&#10;HMwT40aeGDfyYPtvVG5fJvwf/Ryy4VGXNoxtC4S1Zbf9mKBcvJ4qI/OCn57cNaTHuG3/833I34sy&#10;8D7E4fs96m6emTVD3JOedEQ355PDPseQH2MsfK6HSb/PSL+UPLezzijqTUwP7L/R/CfEPOANcccd&#10;96Qlc+nle8oNcX7dnTLEHfivr6nSnGZDnDWK8D0vB95pGd7P8U3mC74DQBG8NuyxqWTeRj0wDN5p&#10;GM6vG6CorHVlAwwT3W/XfgjHdvHrCV735Nohd40wjI8798s1uAey64VSBikv2wPtZPtjdG8EryEs&#10;0oVsPIPGn4P3RW0ISt8x0S/57s18sg65ZmM80dqtJJ26flOa1wibP9Yx1qA2npL4bRiPryOkic8I&#10;0kPf5X6XGD3WEPeSHSeE82idpsEQd+cdi+W44Pwdrcce/YduCYUQQoj5ZhBDHL6h1c7H4zbEXX/9&#10;9VW+ZYgTQgghlpkh7uDBg91ip7GbVZH6pW6DLQXTLdkUi8LwGmQ3OIktr90wA/ZaFDc+46Yb5Mnl&#10;zV5DHNZYQ1hn3qyHzU/eG5WJxhjEOyyQJsuKevEwr1Bk4LPl9Xm216K40S52M9rXZQ4bd+5eawqK&#10;2gKwP0T1ynuhqE1s/L5+6soPcvcDXsvFQUrC5Z7XQdraHrD55w3wQCLayM9Rlyf0XzxHuB6ZX+39&#10;UZmBfQZyYXLp2LpJ9UXmJUojd415S23w27RtH2e/xjO2HJkFQ9zNt5xZ5XEaDHHsM1DJgVJqTO2X&#10;fp+Rfil5bmedUdSbmB7Yf+veD4SYVb7zna+3Xr1nQ9XXh22Iu/Cys8OD+lkxxPEdscn7Ne/x74dN&#10;5gv7vhDBa8Mem0rnbaxTGM4L5aM5LCprXdkAw0T3Y83gzVZWuJd1HdUPr0Vx566RVNx2vZMTwkRr&#10;uRSDlBfvkbk82XgjUiY/Mmj8OXhf1IagyTsm1tF1bYM6RF17StKp6zdN8upBX4nybuulJH4bJqKu&#10;Lalov0YMn3kxxN122y1VOWSIE0IIsZyQIU4IIYSYH7whDt+mGs2hJZpKQ9wzn/nsqnAlhjhsIjG8&#10;V2TwKIUbbDlFm2+8VrIpFoXhNWyERuTu5+YnfqawG6yeXNz2GjY3I7BByDCWXLzAXh8muU1SXsvV&#10;FfPkN4RtHUYbuMAaqaIyp7B1kTNu5A48iI3LGzz4eaqfAdaRf45g4OL9qfIDG87Dz0sOuhg2tTEP&#10;RtXWqT5NeD3XDhElebJp+wMc3o+2SbWBPTRLPbPAhvN91fahVD9mXqI6SF2zz0cOhrHPAg20kO/X&#10;ywFriLvqqveE8yg1DYa4Jzzhf+vmvBy0sTVq5p79EnjQNMg7AcCzhjGTcy2EuDGO5Q6q+nlGAJ57&#10;pIdr9rAM5cD4mur//rlFvhGeceAn/l9yMIy2YB4p/B+fp8YePqMc39F+TBt1x3RxP+Nne0Os02jc&#10;svVQKtxjYRy5+Q8wXNT/0N5RvfR7YMm00KYQ48bnw0ofdYpwHMtRvzYOtE3Js4b7EBfzzHtRn7k+&#10;VVdGfMb4UvLzENJDX7b9p64ehJgGvCFu9YlHLZlLR22I27ZtWzc3k4PjAuYCYseC3PurB2MQ77Nw&#10;7OOclIPzF/IVEeV3GGAsY95R/hyoE/segn9zzPPzr6WubCB3P8C8jfHajrkIy7GZa7+ofnLtkLtG&#10;GMbHzbrAT/9egrpEeLZbLv6IQcrL+Ylp23vZx3NtYdNFOJ/3QeNPwTSjMgH7fNb1VYB89vPuXJIO&#10;4sB1XzekaV49uIdpQCiDHZNK4meYXFuwn9k6gvA+gzb27z5idOAvlLD+58UQd8XlF7ceffTvuyUU&#10;Qggh5hsY4u7/yt3VPDirhri9e/d2SySEEEIsX2SIC7AHelZNNtE9qTitos03XkttXOHzXBhew6ZY&#10;itT9JffiGsN5cnmryzewYSx2kz9qE+apn03bHGxD/PTkrhGG8fVZcm9JfUWU3sc8lMrHxc/76Ssl&#10;5QfYSOf9fpOYn+fSJyVhc3kqyS/D+DSwUc/0/SEL4H2pjfgUJXnK9YWS+1Pt57Gb+f7wo6Q/5vKS&#10;umbzViLbLhhPePiDn2ijqG3mlXEZ4toL/8P2viaGOKgdRUdNDXGpvlFnXkph+3e/cQDMXex3KaGf&#10;58aJJs8IqEsPip5L+9zag2AvfJ47wPMHc144NI3uZxuiTDwstmKe7SFjSvbZByV1EsnCdBFXCrQ3&#10;77XvLWhftllKKHNTeG/UXrZvDJI+70N5onahUvMZ0q5rM+Q9dcDNMKky2mc1JdvfET7XH1JzlhDT&#10;wCOP/HVr167nVP311FOfsmQeXQ6GOCEGwc7VubUAzZJ2PhVCCM/cGuJ+erhbQiGEEGK+mawhbtM+&#10;e39TQ9xVV11V5VuGOCGEEGLBELdr165qfpQhrg02QLHRyYMx/9ub/cCDw6Ybp8x76iDOHlRHYXjN&#10;HwJbUveX3GvNBp5c3uryDWwYD+sTbWTbBgenbLd+DpEB4sAhrf3tbauoDUval2F8fZbcW1JfEaX3&#10;pcoaCfULE5GF1/rpK/ysrr1yZeHnufRJSdhcm5S0F8P4NDC22HGF5g98busnZQBIUZKnXP01KRP6&#10;Sh1Mx5c/lweSy0vqWs6MEcmP55ERAnGm8jhP4E+csczjNMRdcnkzQ9zjH/8zVT6b4NvVyo9jJVhj&#10;br/vBba/4Xmy8eCaNQlFZqJ+nhGANNGvkZ496LXzJsYlj31uIYTFPYzD3o/y2LgB/k8zHMKhDhkG&#10;bWDHvuh+e51hkCbyhWtsR9QVyo1rtm0RzprxfPwgV2/E5sOC+uTnqT7BMcqPn2xrX6e+XvDvJvA+&#10;iuMZ0oDIIOmzztj2iItzGu5n3Kn77biNd262GfKAvDBeiPFaeI1KlREwTK4emV87NwO0KcqKuIWY&#10;Vn74w79r7bzwlKqvj8sQd9cnrqjSlCFOzDp23stR8s4ghBDWEHfaxuPCebRO02mI+0G3hEIIIcR8&#10;M02GuC0vvWDJYXxO1hC3b9++bomEEEKI5csMGeI2HrSR92OIO3ToULfY46ffjVPmPXUQh89zYXgt&#10;dwiYur/k3tzGcS5vdfkGNozHmhIi4UAzOvTOgQNQHFZH8VlFbVjSvgzj67Pk3pL6iii9jwfPuTzk&#10;YBr99BV+hsPsHLmy8PNc+qQkbK5NStqLYaI0rEkgUl09RJTkKVd/TcrkDR0RTMeXP5cHkstL6pqt&#10;037BeIFxxY8B+GyemUVD3OHDZb+VbvtbpFQfzGHHsX7uB+zHGHdT85Tt09bcBfp5Ruqw5fLYekSe&#10;I3OSnZO9Gamkzkrvz9VZDluGKA8l9ZarI86hqfGb1+23CqIeGV9Up4Bp4v4mMF4IcUQMmj7rDIrK&#10;jXbieOrnDdseJfmL4ue1XBykJBzDpEyNQkwz3hD3/Ocft2QeHYUhbv8HL67SlCFOzDrW4I73MP++&#10;gP/b9zP/viKEEJZJGeL8unv4hrjmazEhhBBiFsGfCb/n7ruqeXCWDHH2wH///v3dEgkhhBDLF2+I&#10;w58Xj+bQEo3VELf93MvDA3svGeIWrpUcAvr7S+7FNYbz5PJWl29gw1hgDsDhLIRDdPvNL/g38tTP&#10;gTnbCPEijmGbEBjG12fJvSX1FVF6X0kecjCNfvoK268ubWuY8G3Dz3Ppk5KwufooqSuG8WnwoIX9&#10;1JqvcE+/Byslecr1hZL7+eeBoBzWxODLU9Ifc3lJXUv1rX5B3uy4ksrrPDArhrgjj3xClc9SQxzA&#10;eM77vPw4UoLta/30C6TJ+605ymPD+XGkn2ekjtyzaa/lzEIM481LHOfwTOVguNzznTJulcA4fH2C&#10;knrLjTMoMz6PjGP2gN3mn2NqLk1b903KzntwcJ9i0PRZZ7l2tXVmnzfWF5R7X7PhPPw8V0bCsFHb&#10;E44VJfEJMW38+Mc/ap2948Sqr8sQJ0R/2Hknp9w7nBBCgHkxxN1443VVOWCI++lP/rZbQiGEEGK+&#10;8Ya4rVs3LpknU5q0Ie6cc86p8i1DnBBCCLHAXBviTj751Kpws2yISx3i2YNWf4gN6u4HqftTh9OW&#10;nEnGHqT6uHPXiA1joTGqaV3mwIEs00L8Ebk2zF0jDOPbInfgS+raOUVJPYPSw+kUvDd3OECDkT88&#10;52/aR0YCC8P5b5oBTD/Xz0lJ2FG1NctQks8mML2cMcE+q76NS8pkDYk5Y0bOuFjSH3N5SV2D8Y7x&#10;5gw7TbBjwrDba5qwhrjdu28M51Fqkoa4o49eNLY1mcvRdrzPqt+DTBtfk7GYlI7JIGXQ6ecZqSOX&#10;r9I8p9LmvXXPUWousHU+CLl8lNRbLh+2jvwYxPnVj89Ms1S5uvfwnlydD5p+SZ2l+k7JvSA37/Dz&#10;un4FSsLaORJ9sYkBUYhJ4w1xW7Ycv2QebWaI6113yxAnlhNYV2AesL+4BGEex5yu+UEIUcLBgwer&#10;8WOShrj3vO894UF9qWSIE0IIsVyBIe7OO/ZX86AMcUIIIcRsI0PcGCg9/PPkTGkwm9BkBEWHpbyW&#10;OwRM3W9NUtHGrzWhQJ7UQSjIXSM2jIUHpDg0T93bFJSPaUXf0gVzTK4tStqXYXxb2HqMzHjIG40R&#10;UJMyl9QzsIa7ksNlD++Fovqz+WhafmDbJ8pf7pqHdZkzxOTac5C2puEDz603iw0C04Pw3HrQf1nu&#10;fstkv7HKG3RI3XNS0h9zeUlds+a16L5+YZz9PBOzwrwb4gDGFfZL/BykPXEv85EbU1PY++vGgFR/&#10;T30OctcA0sTYx3CRfLlKnlsQpW3vjeYGi60bS+rzCIwFaG/kwc6bVlH7R3n31OWDfcyPj8yHn98Y&#10;vkSIo8mcwfuispJB0y+ps1Tf4WfRfGXJ9T1+nisjKQ1r33sh1BHaDf1KiGkHJjj23UkY4nbu3NnN&#10;iRBCCCHm1xD3vW4JhRBCiPnGG+IuOH/HknkypWkyxOFba4UQQggx54a4X/mVp1WFm0VDnP3GChzU&#10;8VAOB8v+sNcfFgJeyx0Cpu63BhgYeHgdn9uDYcqTO8jMXSM2jAXppw66cXiJOkZdpeJNwThtWVHf&#10;vq6jNixpX4aJ2oIH00iHpoEobahJuWwd1t1nzZWoP2uCRJ0jLyhDZIbifRTKyL4Ksx3LgJ/RwbJN&#10;G/fy4N3XAeoput/eWwfbAXGyjMgj0wS59sxdIwzj82ONh16oA9yHZ97mpQSmR6GNGAfKaOs36gcl&#10;ZQK5b9BB2Ww69hop6Y+5vOSu2bzhOvJD0Gfwf/RrtLsFYfG5DY+6w2eMLyrLvIBvdGE5p9kQd9xx&#10;T6ryicOFSWGf4ZLxxoN7eH/dc57q76nPQe6afUZy8s9myXMLorTtvZzbUti6saQ+90TzZaSo3XL1&#10;RuryYevXzn/8zLc385pLs1+YZlRWMmj6JXWW6jv8DONsjlzf4+e5MpImYZGOHf8hzG1N52Uhxo01&#10;xOHb4vw8OpI/mfqBnVWaMsQJIYQQi1hD3LNOPTacR+s0vYa4xxYKKYQQQswxMMTddtst1Tw4S4a4&#10;zZs3V/mWIU4IIYRYYK4NcccdN9uGOByqWpOJFQ4zcQDM//vDQsBruUPA3P02fi/kC9+cwf97cgeZ&#10;uWvEhvHYg+mccEBdSq6sENshasOS9mWYqC1guEkd5ONze6ieqq+Iknomub5mFR1g8xpMUnXliPCm&#10;rUgww6WMSQxTctht69LK1k+uPQdta16rU6quIhgn6jBXj6n6KSkTQB9BG/t4rTguRZT0x1xe6vLp&#10;TQyR0I8sjDOlJmPILDKoIe4Za09b1763lkENcatPPKrK5yQNcXgGmA88a01pMpZzLPVjbj/PiH32&#10;cM2PL7lnM3fNEqVt66tufObY4p9R3Mc4UiAd1hfuxxiEzyyMIzcu+3qz1OUDhile5xjIMQll85Sk&#10;2S/MR67OB02/5P5U3+E8VZe2fcf0hjR+XtevQJOwBP3Htnm/9STEuHjhaYtr3p0XnrJkHpUhTggh&#10;hBgf02KIu/EdN4cH9aUKDXGP/bRbSiGEEGJ+8YY4zoMlkiFOCCGEmD5m0hC35eyLwwN7r2kxxPGg&#10;NzoUrQOHcjhU5WEvfuL/PBzk55FZiNf8n+qy5O4HOMS0JhgcNuOQEPniATDi8CA+3uPjzl0jDOPj&#10;toYCb7xBnpBfHtTm4o/wZUXarGsezEZtWNK+DJNqC6SRa2fUOz5vUp6SevagTm39QTi8Rv5TRieG&#10;Y7/IlSMF7kPd+LTxf3yO6ymYVq6fW9CHrHEMadj85dozd40wjM8Pv0EI+fXtgfSRL7YzwpTCOsNP&#10;gHZgPBDyY80InpIyWdAPEJb1DqE+Ub5cO+Maw6f6Yy4vJfnkM2zzhrpI9SPkCfm2/QH3Ig5vGppH&#10;rCHu4ovfGM6j1CQNcaee+pQqn5NeyPN5g0r6iH0m7JicG69sOD/u+ufdkrpmx54IPDdMz48V9lqq&#10;vHiuGMabSPks5p5bwHCYLyzWlJQC+WKY1NjC64jPk6tTUpIPjiMsK8sUzZ0oJ+PLzW/9wHijspJB&#10;02edocwp2O98GqgffJbqj4ThMIZ7GG+ujKRJWI8tgxDTzHPWPLXqq+MyxN32/pcvpilDnBBCCFGB&#10;/WfOkcM0xK1au3VFO84k4zDEPfbYT7qlFEIIIeaXeTHETfIXy4UQQohp4rLLLqvmRxnixNTDA2d/&#10;6G6xh/M5I5AYDqzrfg6blwu2T+ZMNNbYUUqJmUOICBxgs79NsyHu+c8/rsrn/v37u7mfDNYgBkNP&#10;bo6B6Q3hrEmLZlX8TBmRrGHIh8k976lrOWMRYD6hnCEO+YkMZ9Ys5u+3xquUWS2Xvo07hb0/MuVa&#10;g2E0T7F+cuaupvmACY7/jtrZjvXDnjtL4h00ffY1yJsYAcpMQ6Dvj7ZuUGcRdW2Wu+ZhPnLvjSkQ&#10;P9MSYppZu/bfVX11167nLJlHR2GI23fLmVWaMsQJIYQQi8yLIS4yAjz22I+7pRRCCCHmFxjiImN4&#10;iWSIE0IIIaaPuTbE/dt/+++rwj388MPdIotZhu2ZOwS1B/j+cF0Mn5I2We6U9sl+Dt9TJhgh6phF&#10;Q9y+ffu6uZ8c9jmFYKiCyQfPNoTrNL5B1qRljUgwYFmDLExANGdBkVko97ynrlmjFvJGg5ZPD/Lj&#10;kx27IJiL+I1niMfGHeUJZachifcyfVyzdYm8eErGRGueQhysbx8/hP97bBiWDXHauijJB9JjGLZ/&#10;ZBYjNPgzHNIkiAt5QZ1G9ZKDcUZltQySPvsaZesd8di4fZ8C9jryyXvRN5Au+0zKOGrvrYN5RZws&#10;I547pon8IR30ZX4GEIb5aNoGQoybk09Z/IY4GeKEEEKIyWINcU87/ufCebRO02aIu+D8HZ3PZIgT&#10;QgixHPCGuGuu3rNknkxp2IY4HLxHB/IprVmzpsq3DHFCCCHEAjNiiOvdmJchbvnCQ1QerNvDS/zb&#10;H6SK0cNnrORgermCA33WE/owDtrtIT8O6a3hImei8PCwHz+FaII1xJ133mvCeZR602/9Xs8kD43L&#10;ELdly/FVPqfBEAesESwlzlMe+6ynlPo2q9zznrqGscYakLxy5iVriENZ+G8vlNXOxxZrLEoJeY6M&#10;T7aucmDMtPFZIW0a1KJ5CvmO8mfDluYDxikbhzU8eurahWoyHwDeF5XVMkj67Gu4PxdHKg/eNBcJ&#10;bWZNehaGqSsjQBvYeCn2ddvHI+X6thDTwiQMcTfdsqVKcxYMcZy38UwLMW9gvuTzmJo7hRDjA/vP&#10;fCbHaYg7acOmh234QQ1xd96xvypHZYh79B+7pRRCCCHmFxjiYILjPAhznJ8nU5omQ5z+apoQQgix&#10;wOgMcZv2teMcDv0a4p761MU/HyND3HyADd66g3Uod5AqhgvrvORgejmTM5NYpYwhKVImGCHqmEVD&#10;3N69e7u5nzwwycC45o09eBZx8J57jmHCgdGIRi0I/8Zn3pRmoeEq+saq3DXkBWO0TQ/5pmGP86qf&#10;N3nAivv4f2v6wueog7oxK6orpIm4ItMgaWJgQDw2fuQNZUbemGfEF+HLhXisma00H9Z8hThKQL45&#10;jtt76+omBdsyVVZPP+n7ecf3Ldyb68cA7YI8+rTxf3ye61NNy4h2sX0DaViTG8qJPDNeCOFL+rYQ&#10;08Azn7m45n31ng1L5tHIEJc6VJ9XQxzGKeZXiHnDmrvr5t8mcH60czzmSr4jLLc5Mnp3Wc71IdIM&#10;wxD3wY9e2jNvQ5M0xG3durHz2WOP/qhbSiGEEGJ+gSEOfyaV8yC+NdXPkynJECeEEEJMH3NtiPvl&#10;X/4VTf5zCA/W/SEqNiPxmTYjx0vTg+nlDE0w9mAewiEDNtJz3yaUAvchDvwUogm7d++u+uA4DXEX&#10;XdrMEHf2jhOrfCLPQojJwvcv/BRCTJ6nP/0p1Tx59TWnLZlHR2GIe+/+7VWaMsRNP1ovzHcdDNsQ&#10;hzisCS4l7ANg72UWwd4Fy1ACysl9j5RQZ/qlzMGYl+d0Xgxx99x9V1UOGeKEEEIsJ2CIw7ejch6E&#10;SdzPkyl5Qxzm53YcxeBPr9n7mxriTjjhhCrfOhMXQgghFoCviPPj3BniVq06SZO/EEIIETAuQ5zf&#10;mG9qiNt54SlVPmfh0F2IeUeGOCGmi1/6pV+o5slhG+J2XHRWeFBvDXHbtm3r5mR6We6GOI3b810H&#10;wzTEwfjFuFhfMI8hXgi/wIVNRGsOm0UTWJMxwdcJfsEN9RDVx3J+xobBvDyn1hB31NFHhPNonabN&#10;ELd27amdz2SIE0IIsRyAIQ5mcM6DMsQJIYQQs81cG+JOOGHxW5gOHjzYLbIQQgghrCFu+/ZLw3mU&#10;mqQhbteu51T5lCFOiMkzL4eVQswL1hD3luu3LJlHmxjiTl6/cb8NJ0PcfKBxW4a4EmDuYjwweNXF&#10;heeqJNw0Ujom2LpFWVPmP/yFAnyrmd6NBmNentPDhw9X/WaShjgcyEcH9aW6/yt3V+VYter4zmeP&#10;PfoP3VIKIYQQ8wsMcTCDcx6ESdzPkylNkyEOJn0hhBBCzIghzm/Mn37mBeGBvdeznrWhKpwMcUII&#10;IcQis2iIm4VDdyHmnXk2FQgxizz5yUdW8+S4DHEfvevcKs1169Z1czK9yBCncXue62AYhjgYuvhn&#10;UnPGL883v/nN7r9mi9Ixgf0GKqkT/cnUwZiX53RShriTN2w8ZMMPaoj7xje+XJVj5bFHdz579NEf&#10;dksphBBCzC8wxMEMznkQJnE/T6YkQ5wQQggxfcy1Ie6UU9ZVhTtw4EC3yEIIIYSYlCHu3F/duuSw&#10;PqdX71k0t8sQJ8TkwTeg4HnETyHE5Pn5n//fq3ny5lvOXDKPjsIQ99m7X1GlOS2GOBhz8KcM+acL&#10;8RP/h9GnxPzCcP/hPyx+yzziwFiXMhnB/IJwNG8gDqRpjUW4P2eSwZ9jRBibLuPEn6pMwbEYYZgu&#10;7+X4zLpICeUlLAvuAb4+USaER1oEebf5risrwX3WaATh//g8BfOB+NlWrGcolXaTOqhjGG0FfL3h&#10;3/h2thy5Mg/DEIc8MY5cWUrwfQllY77x05Z13HXK+1JCuoTlgPAsDALismMDhH/js1ybDdp3+n1u&#10;PEi36TMLkCby7vPsx5JhPqfTgDXE/ewR/yqcR+s0DYa4R77/UFWOFSuO6HwmQ5wQQojlAAxxMINz&#10;HoRJ3M+TKQ3bEAdFB/IpHXPMMVW+ZYgTQgghFphrQ9yaNZuqwskQJ4QQQiyyd+/eao4cpSHOb8w3&#10;NcRdfc3i4cssfAuNEEIIMU6e+MTHV/PksA1xZ+zYFh7UW0Pc6tWruzmZHDCEpAwV+NyaYCJgCLEm&#10;kUiR8YNGJBhD8O9cHiLTC4wiUXgra9Cx0JyCDR1rNqFAE5MJywKhrDacFdKFkSVnLEoZfHAf851S&#10;ynjE66izVFuhvN7c06QOcgyrrXLlT5mLYE7M9U/UGf+dqvs6mC/UlzUq9UNdX2KdT6JOmxjibP5y&#10;prM6UF6bRiSUI6LfchJeb/rckEGeWdwbjU0UrrGvDes5nRbm2xD3991SCiGEEPOLN8RhTvTzZEqD&#10;GuJO3nD6bns/FB3IpyRDnBBCCLGU17/+9dX8OHeGuBe8YHtVuP3793eLLIQQQohZMcThz7+1o+lo&#10;1aoTurkXQgghBLCGuGgebWKIwyLehksZ4r745VdVaa5cubKbk8kAQwXNFPhJQxA+j4woHoSjUQQG&#10;DWt8gUnEGmi82YjGH5s+jCk0eeDf9ho/JzSp4Kc1pMAAZdONzDjepIL/IxzkzSMMi58prIkJYlkA&#10;8mONLSwT8ohrAOnyc4SNYJkYN+sDcdi2iswvvGbDRPWM+owoqYMcw2wrW2+od1u3/Nxi70f6xJab&#10;8n20FN6PvA1K1JfQXvgc+WceJ1mntr+lsHnwz24paCPGgTzbcqJcNp+2bcmg5bT3Qk2fG9ZBP8+s&#10;77e81+bbl5n34OcsMy+GOAhGuHbUHeH/MsQJIYRYDmC+4/zHObBUMsQJIYQQ08dMGuI2bHlZeGDv&#10;ZQ1x+/bt6xZZCCGEENYQt2nT+eE8Sk2LIe7YY4/t5l4IIYQQgHMkFM2jozDEff2hV1dpTtoQZ00Z&#10;NNpY8Jk1DXlgyMDnMISkTC80acAcYkHcjBdpWLMLYfwQDCWlIC/Md53ZpM48UmIyqSsLDDC8DkXf&#10;CmXbwptzEB+vRfUEeD/S9/BeKKrHXNqgpA76pUlbRfVm696XzV6L4kZZrSkK4Zti2zZKoyk2z/3m&#10;aZR1Cmx/SWHT6AdbhlS/QxiMPQgTmdIGLSevpa7behjmMwuzH++NjH4oN8rj88TypuprlmD5J2mI&#10;2/OGN4QH9U1kDXH4dhwZ4oQQQiwH8CfCOf/hm+KiOTKlaTLEwaQvhBBCiBkxxPmN+VJD3Pr1Z1WF&#10;kyFOCCGEWGRShriXnN/MEIc//9aOpiNsyAshhBBiEc6Rj3/8z4Tz6KgNcStWrOjmZDLQDISfKfDn&#10;BplfD+/PGYFSpg9rRom+xYowTGRoyZEzh/BazshHSkwmJWVhPKm6tnHg3xa2QWkevAGHn6f+tGQu&#10;bVBSB4OQi5/Xcn2Ueff90PbdVDtb81FU9jps3UXPgTVGeeGZ8EYqG19khiplVHUK+ExDKZhGLkwO&#10;mL14f258sOF8+w1aTl7r57kZ5JnFWIfP/JhZB8ubS3NWYL2M0xB30vqNB234YRjiVq06virLN77x&#10;ZRnihBBCLAu++c0Hq/lvGgxx3/nu98JD+UgyxAkhhBBLeUN7fcz5ce4McTjgb9/eEQ7+hRBCCLEA&#10;jOKcI0dpiPMb8zLECSGEEMPB/lm2I498QjiPDmKIW79lS3hQP02GOOYjMoOQnPmFn5fKkjOTWPo1&#10;eeTuaxJnSdiSstTFk4uD95bK38/Pc+2cuheU1MEg5OIvSZthfPlK7s3VewnW8BbVb84QB/k0B80P&#10;yZW9pF4YJipTbkwgvD8XJkdJGsDWbz9/QjRXTsYbXSMM49vKlr9E9n4ajXP5jigp76xg6yaaR+s0&#10;jYa4+79ytwxxQgghlgX3339fNf9hLozmyJQGNcS1w++090NNDHFHHLH47a4yxAkhhBALzKQh7jmn&#10;vTg8sPeSIU4IIYSImRVDHNSOppIQQgghFnj44Yer+XE4hriN19pwKUMc1A7e0Swb4uyfiiyR/5am&#10;UuNPnckD3xCFP8fKP53oFd3XxDhSErakLHXx5OJIlS1S9K1jvNaPsQeU1EEJo2orhvHlK7m3pO3q&#10;4P3+zwKnyKXZND/jrlOQGhMsvD8XJgfvR7nqYDr9tH+unKl4LQzj22qQZ5afp76ZLkVJeWcF1gEU&#10;zaF1GoYh7td2Xxke1DfR2rWnVuW45+67ZIgTQgixLLj33sVvYMZcGM2RKU2TIU4IIYQQC/z6r/96&#10;NT9OsSGud2O+1BC3ffvC1/RDu3fv7hZZCCGEENYQhz8xHs2j1DANcVtfuiU8sM8JfwauHVVHQggh&#10;hFjAGuKOPvrfhHPoqAxxRxzx+KmYm5mHnOEjZX6p+2asOkqNPymTB9IvMZ1E5pAmxpGSsCVlqYsn&#10;FwcMM7l762C8/Rh7QEkd5Bh1WzGML1/JvSVtVwfLVvonLnNpluZnUnUKUmOCxf652n7qlemjjHUw&#10;nX7aP1fOVLwWhvFlHOSZLUk3oqS8swLM4qyHaA6tU3+GuE0HbPhhGOIuOH9HVY7bbrtFhjghhBDL&#10;gve979Zq/sNcGM2RKQ3+J1M3brP3Q3/1jW+Gh/KRZIgTQgghlmINcbfeems4h5ZoKg1x5533mqpw&#10;MsQJIYQQi+zfv7+aI0driOvdmB/UEKevexdCCCEWOHToUDU/jsIQB0UH9dARRzxuKuZm5iFnvMA1&#10;hvOU3J+i1PiTMnnwcxhPkL7/VrScOSR3zVMStqQsdfHk4ijJQw7Gm2unVNpg0PR5/6jaimF8+Uru&#10;LWm7Oqz5C9/YVkcuzdL8sGzjrlOAz3ANSvGpTy1+M0jTbzoDtk5zWGOur/tBy8l4o2uEYXxblaSd&#10;gkbHpvcOkua0YQ1x+DPj0Tya07QY4q64/OKqHDfeeJ0McUIIIZYFN910fTX/YS6M5siUZIgTQggh&#10;po9hGeK2vPSCnjl6pIY4KDqw97r44jdWhdu5c2e3yEIIIYSYJUMc/gxcO6qOZIgTQgghFigxxO35&#10;zbN65m8odah+8obTd/uw0UE9dPTRi4f9k5ybS4wXOWMK7/d/DrUEa/yBeSbikUceqcJYU439/N3v&#10;fnf3015y5pAmxpGSsCUmprp4cnFceunit/ej7E3hvf0Ye0BJHaQYR1sxjC+frbcU1riVars6YEZj&#10;HDCowaSVI9fWuWtkknUK8BnTT4E88lvS8NMb9iJsGJSLaeTq04ZrYgokuXIy3n6em0GeWfwJXNyH&#10;emtCSXlnhUkY4k5ev3G/DX/OKy8JD+qb6Jqr91TlwL9liBNCCLEcuOaaq3rmv2iOTGkUhrgHvvrn&#10;4aF8JBnihBBCiKWcf/751fw4tYa4aGM+OrD3soa4bdu2dYsshBBCCGuIe+YzTwvnUWoQQ5zfmN94&#10;VnNDHA7521F1hMN/IYQQQrRaBw8erObH4457UjiHjsoQ97Tjf75KG3+6dVJY00ZkOsE3LvE65LFm&#10;uZR5J4U1/qRMRNZ4Y+PPfSsUgAElZ/ZrYhyhOSVn+rNlSdVDXZq5OKxpK2fOSVFyL8NE+S+pgxTj&#10;aCuG8eWz/TcyjiFvNG1BqbYrwfZVxJmLK9fWuWtkknUKrAktZ/aydYK+kzLFIQ6MRdYAZk2G6H8R&#10;oy4n04+uEYbxbTXIM1vXbwHqy18b5DmdNubFEIc/k9qOuiN8Q86jj/6wW0IhhBBifrnggnOq+Q9z&#10;YTRHpjRNhjj9UrkQQgixgDXE3X777eEcWqKpNMTt3n1jVbh169Z1iyyEEEIIGeKEEEKI2WbYhriT&#10;Nmza6cP+5TdfFx7WP+vUY6dibramE5goaOrA59bMQnkQjoYi/MQ91vQC4w5MGzCtePOGNf7wfpp7&#10;YHSxppvI0MJ0bb5xH+LgtdS9JUYZYuuB+UO5rAHGlsV+bqlLsy4OlJPXYYZBHgjqHHlD3JF5iPf1&#10;Y+wBJXWQY9RtxTBR+WiY8v3Lpw2VlieFNZhCyBf6MeKFYJKCiZR5itLE/1PXLJOsU5tHlBmgD0bf&#10;9Mh4IOQL4REOcbA+mF/Ui8UabtGvbZ/HvfaZsNfIoOVk3P0+N/0+s2hH22/Rh/AZQDqpPOP/TI99&#10;vclzOk2sXLmyKsukDHFbX3Z+eFDfRHfesbhnsHXrRhnihBBCLAu2bt1czX+YC6M5MqVBDXHYb7f3&#10;QzLECSGEEIMxE4a4aGN+382fCg/trW644eNV4bAZIYQQQogFDhw4UM2R4zTEbdiyOTywzwmH/O2o&#10;OpIhTgghhFjAGuJWn3hUOIeOyhD3kh0nVGkjH5MExgnmxQuGDmtMi4DhwhpwUqJBg3hTjQ1rBWOI&#10;NdmRXL4hmlEiMwwNJdE1D9KOymfNKLYsKfNJXZp1ccAQYw02KdGgZOG1fo09JXWQY9RtxTBRfnL9&#10;E5/DWMX/p9quCXheSp4HCH2bRidS1w/IJOsURH0xig/lyz3fFOrCm9pwL7/1LCXUtR9byKDlZBr9&#10;PjeDPLN14yri9X1n0Od0mpiEIQ4b8Tb8MAxx99x9V1UOGeKEEEIsF6whDnNhNEemNApD3B//yRfD&#10;Q/lIMsQJIYQQS9m6dWs1P861IQ5fVy+EEEKIBcZliPMb84Ma4iZ96C6EEEJMC3YuH7ch7hUXn1yl&#10;vW/fvm6OJgfMHNZ4AnMKTBQwXMBkgc9gtEiBcAjvzR8wm8DsEZlFvPEHBpBUHlL4fCOPSA95ppHP&#10;f/sS4D3RtQifN5TTfhsWrvOaN/WQujRL4gAw/9DEQyE/iDdlDKJJBnWSgmFSaePzXB3UMcq2YphU&#10;+ZAG0mIZbdoAfQ2f5+q9CeizyAvaiWlS+AzffJarZ4aty88k6xRltHXK5zUF8orwrGsI9yKdVL8l&#10;uI5wti7R/1CPbMOIQcvJ9FJ1ABgm11b9PLOA/dbWGe5DflLjIvLBMjF8k+d0WrCGuC9++VXhPJrT&#10;tBjivvGNL1flWLXq+NZjj/5Dt4RCCCHE/LJ69eIvf2EujObIlAY1xJ20dtNqez/UxBB3zDHHVHmX&#10;IU4IIYRYYCYMcdHfTS8xxEGPf/wTqwIKIYQQYgF7iL5q1bPDOZQapiFuzelnhAf2OeGQvx1VRzLE&#10;CSGEEAvYufzUU58SzqFNDHHRuvuBr70mPKy/cs+aKu29e/d2c7S8gEGGdYB/CyGEEGD16tXV/DAp&#10;Q9zzXrQ9PKhvoke+/1BVjhUrjmg99uiPuiUUQggh5peVK4+t5j8Z4oQQQojZxxri8Et30RxaorEb&#10;4t76tjvDQ3uvo45a/E1EvQAIIYQQC4zPELfxWnvfoIY45FsIIYQQrdb+/fur+TFliLt8z4t75m+o&#10;iSHuj//sP4aH9TfdsqVKe/fu3d0cLS9kiBNCCBExGUNc77p7GIY4qB11pcce/cduCYUQQoj5xc59&#10;0dyY06CGuFPWnrbS3g995o/uCQ/lI8kQJ4QQQixl3bp11fw4U4Y4HM5Hh/Ze1hB36NChbrGFEEKI&#10;5Q2+aY3z47Qb4nDI346qIxnihBBCiAWGbYjD3O7Dpgxx792/vUp727Zt3RwtL2SIE0IIEWENcZ+9&#10;+xXhPJrTMAxxUHRQ31T4Zrh29B394Aff65ZQCCGEmE8efvjhat5beezR4dyY0ygMcR/7+B+Eh/KR&#10;ZIgTQgghlmINcffdd184h5Zow5btPXP0UA1x0cZ8qSEOh/ztKDrSn1kTQgghFpiUIQ6KDuxzsoY4&#10;HP4LIYQQotcQ9/znHxfOoaMyxH30rnOrtLGpsByRIU4IIUTEJAxxJ284fbe/Jzqob6pVq46vyvLA&#10;A/+9W0IhhBBiPsGXqnDewxwYzY05DWqIw3xv74f6NcTB3CeEEEKIGTbEXX3t/vDQ3mv9+rOqAu7b&#10;t69bbCGEEGJ5Yw1xT33qqnAOpQYxxEUb89GBfU445G9H1ZEMcUIIIcQCwzbEnbR202of9jP3Xh4e&#10;1n/9oVdXaa9cubKbo+XFV7/61aoO8G8hhBAC2M32sX1D3IZNO/09hw9/Kzysb6K1a0+tynLvvXd3&#10;SyiEEELMJ3a/HHNgNDfmNApD3Ps//JHwUD6SDHFCCCHEUuwvrU2tIS7amC81xG3adH5VQBnihBBC&#10;iAXGZYiLNubf8a4d4aF9StYQp7lcCCGEWABzIufHSRriVqxY0c2REEIIIebJEHfF5RdXZdn/vtu6&#10;JRRCCCHmE/tLZxecvyOcG3Ma1BAH7P1QE0PcCSecUOVfhjix3MGfDYbwLED4BkgKZ2MHDhyohGd/&#10;VEL8SI9iHpgv/XljIUaPNcQ9+OCD4Rxaoqk1xG3ffmlVwL1793aLLYQQYhTwJdO/bHr5cGL84KWb&#10;86MMcUIIIcTsMWxD3ClrT1vpw975ycvCw3roZ4/4V1X6QgghhFjAGuLwJ8ajOTSn/v5k6sZt/p5h&#10;G+K0FhdCCDHv2DU25sBobsxJhjghmsHzQfRXGsWsSQ3PJLwdu3fv7mjnzp2dd20IBhcIf7UAwi9r&#10;QnwGZlUsB8vFcqLM27Zt6wj1gPpA3aCOrPGOZjsxmzz22GOVHn300Uo//elPO/rJT35S6V/+5V86&#10;+vGPfzwUMT4I8TNNyOYFeZs18CzxGZtaQ1y0Mf/a1787PLT3uvjiN1YFxCAhhBBi6Yumf8m0L5gY&#10;O6OXzFG9YOZe+OxLH1/8ILz4UdFvXvAlUOa7RVAnrPOjjvqlcA6lBvuTqUs35m+6+ezw0D6lLVuO&#10;r/KqTXghhBBiAbtZj7kymkMHNcThUD46rIeedvzPVenrHUsIIYRYAPsWnB8naYj79t88GB7WN9GN&#10;N15XlQX7LUIIIcQ8g7mO8941V+8J58achmOI23jYxvHO33lfeCgfSYY4MSmis0bsWfGskUY2nvWN&#10;6mxRWiqetaLe7bkqz1PRRjhP5Vmqxo7meAObNazRbPbP//zPHf3TP/1T60c/+lFH//AP/1Dpf/2v&#10;/9VRNLZPs2wZ/vEf/7EjlNGa7Gium6SZbiYMcVj028ihK3/jlvDQ3mv37hurAuIhF0KIeQUvnXjh&#10;5EunfeHE+McXTr1oLsi+CFqjHV4G+dsV9oVw3gx2s2qIQ5sIMctg3LCbBBDGFW4W0JhMoc+nTMpW&#10;3FCworGY4mZDnfx9kWw6Nh8cS+2YSrEcdozlOMuxluOtHXM57nLs5fg7y2OwEMMAzw/nx2EY4qJ1&#10;d84Q96xTj63Sx/MpxCxTMj/bOTqanyE7J1J2zoT8nBrNxVY+fE5Mw6Zv52XIzs12fs7Nzbn5mXOz&#10;5mchFsBzxvlxkoa4v/jLL4WH9U105x2LfzoO5RKzDcdoKzuGl8jfL8SswX6Pdxi81/Cdh+9DfLeD&#10;+O4UvdPx3avk3c3eV/KOZt/L7PuYfQ+z72B6FocH6p/z3m233RLOjTlNkyEOfUSIfsG4gj5kx0qO&#10;kRwXORZi3GO/mxb58diPw6mxd5hivBDrjGLdUdNah8gn64jzEuYjzEOYf+aNyNRmDW2RmW0WTWzT&#10;IGui8wY6mueGCZ4z9u25NMRdd92HqgKisIPwz//8k3Zh/6n1/e//sKNvfevvWn/xF99pffWr/29H&#10;X/rSt1r33fdQR/fc8/XWpz/9f7c+/vH7K/3+7//3Sh/84H09eu97P79EPgzFOBgv0oGQJoT0kRcK&#10;eUM+kd+/+ZsfdIT8oywo06ThApqLES5IKAys3HiFuADgYsWKA3JO0cTkxcnP3sc07AIEsosQyC5E&#10;oEmDNobYb9H+7Lu2/7Lv2v7r+zBk+7GV759evJ/xznKfnQToS+hf6HPs6+infHma9AsTXzAp+zJX&#10;oknnfxiyZY9ervny23RsseOLHWP8WNN0zMG9zPu4DXFvedtLwkP7lM7ecWKVV9TZOPjxj3/U0Q9/&#10;+HcdPfLIX1f6zne+3nr4r79c6aGHPl/pa1/79BLdf/8dof70ix/IKrrHy6dl8wLZfCLfFMvC8kEs&#10;s8iD5wzPD8dkiO8l9j3CL3DnYZybdtlx2I/Fdjz2Y3LduFw3NqfGZCFGDfor+z/mymgOHdQQd+v+&#10;V4aH9dBpGxf/pDmeiXHw6GP/VOknP/1B619+8p1K//zjb3X0j//8/1T6h3+8v9L/+tGfLNHf/8M9&#10;Q5dPw+YBsvljnimWBWWjWF6RJ5qfOZ5zrMf4z7lZ8/P4pPlZLDfQl9n/x2WIw/rc3zMMQ9w9d99V&#10;lQXPqxgdHKM4l2E84xiH8Y5jIMZDjpEQxkzOb9EcR7EdR6nUWO/HeI7rHMvt+I3yTz/4Zou2Hvtp&#10;67HHfmL047b+eUGP/mNXP+rqHzp69NEfGv39gn562Kj97lfpkVA//en3+1YUX2+aNi9tMY8d/bAq&#10;x4JQLpazrU7ZUQfQTzr101GnvkYPnh++B/KZ4TPCZ2Ncz8Ikxecw9fzZ9ys+g/Zdis/hcn1nQl2x&#10;LmEKj+bGnEZhiLt+3ztb0aF8JBniRA47TkIcJyGOk3x/YD8atZBWNG5xvIL4DmTHK5SD45Vd780L&#10;LA/Lx/Ki7JznII7nqC/UG+oPGnc7Ij22m51jkF/kfxJ4cxu/rY3f1AYjFo1ts/rtbPOkb3/72x3B&#10;rAbdd999Hf3pn/5p64tf/GLrs5/9bOsP//APWx/72Mdad9xxR+uee+5p3XvvvdX7ixfHB44L6KPs&#10;r0gnykOJxm6Ie9WVbw0P7b1uuOHjPQ+lfSB/93dva33qU3/YeuCBBzvGG2sMohEIRh6YfGBQi+Kf&#10;F9GAh/J++MOfb3eo+9o/P9cesD7e+tCHPtm69dbbW+985/ta7373B9ph/0vrHe+4tXX99W9vvBDn&#10;IEzZtlkOshM76oj9EfVmJwlOFBAnPGvItGZMa2KzhjUaK6P2nhfZfkuzHU12OXMd6nGaDKF8obEv&#10;oegXo3wBtX2R/ZF9EfIvmJxA7CTCiWQUMH72f6bNvCBfFPLJsYjjEcoC2XGIY1BUH8tdozTERRvz&#10;gxjiILal7cPPfe6ajjZv3tjatOmFrdNPf15r+/bNrTPPPL21desLWuedt621Y8dprV/9VfT1M9r/&#10;f2HrFa/c2Lrwoue1XvWqTa1LLn1+6/LLn9fRq/dsqHT1Nad19Jbrt3R08y1ndhTlcx71/g9c1NHv&#10;feTXK91512tbf/DJ6zr63OduqPT5L9zaUWTos2a9EoPeqMx5dmzhmOLHEY4hfJfh+LFc312k4Yj9&#10;h/OvH8M4X0F8R+TcTHGOhjjnQei7nLetOE9y7qTsfE7x2RCTx45RkB2jILQ/xyf0IfaxYRjigA+b&#10;M8S94uKTe/p51LfXrntuR1u3ntF60dbTWy960Qvbc/CLW+eet6V1zrmbWpe9akfr0l1bW6+96uWt&#10;177u7NZvvPbM9nvHjtZ1bz6rdcs7zm3d/I4drdve//KOYCqgPnv3Kzr64pdf1dHXH3p1R1E+51H/&#10;42/f1NF3v39DR9975J0d/d0P3tvRI4c/1NEP/v7OSod/+KnQuOeNejmD3qjMeX5+5vjFvm/nZ46V&#10;dn62/VCSmmiY87Odm5vOzxzzIc3P04kdo9BmdoxiH7BjE/vYe/dvD8fxnPoxxJ20dtNqf8+XvvL5&#10;8LC+iR75/kM9zwz7P/s5+zDqZrni5zDfP2wfSc1jmsticWzmGGz7HsdTjqH5PujNa9a0tmBY6zGp&#10;Vca0BcNYx0z2k7/tKn5WpFK167DHnGdMeEtMd4uGux/84G9bDzzwpdZdd93R2nfTje3n6YpOf9D7&#10;4Phk35Xse1L0ftT7XnRNp832v++2pA7cdWetDt57T/t5x8G319JzAopjMIS82LEY+bXjcdSX7v/K&#10;3UEfzssb4k7esPFQO65GwERn47j6zW9tRYfykawhDmWyYyfqZLnP2dMC/7xiJBp4UmK4H/wAX3zy&#10;rfbY+EB7bLyr0//tewf7eNS3RyGOEbbfIR/Mk5+ztc4ZL6n3VI7VdlxEO0ZtPAwhbs4dfmxC/nJ9&#10;wj4fqW9u07e2jVbWtEbD2u23397RrbfCN3R9R1dddVVr165drXPOOaejNWvWdIQ5CjrmmGNaRxxx&#10;RKWor4xSU2uIAzZyqNQQBz3ucU8MCxzpyCOf3DEGrFr17I6e+czTWps2nd/R9u2Xts477zUdXXzx&#10;G9uDOV6+b2w37Hs630TnBTNeP7JxIG6K6UFIn0J+kDcKeV2//qyOkH8IZXnqU1d1hPJRKC/qh4rq&#10;RJouoc0gtCX7qO2nvn+yL0bPhrQob66z32aX+yY7Gu4oGO8WDLZ/1friF7/a+sM//ELHRHrttb/V&#10;0StecWnrWc96TutpT3t66+ijj2n97M8Ob7D/1//6Z9v94t+1J5bnd3T22Re0J53XdnTTTe9vvfOd&#10;H22/XHymY3il6XdYYl15se5sHfp6jOqS9UgTI8RvCRyWoZEblpBdPHPRzJdBLpTtSyFfDMexmBiH&#10;MB9EzwU1iCEu2pi/9s3bw0P7lHbtek6Y72nR4x//Mx0deeQTKh199L/p6LjjntTR6hOPqnTqqU+p&#10;9PznH9cR/tSdFYwN0M4LT6mEeoCsYc+a9rx5z5v4psXM5/MD+Tzb8qCMKDfMiq94xZqOefH889d0&#10;dPaOZ7c2b/4PHT3v+Sd29Mxn/rv2/Ih3uV9q/dIv/ULrl3/5qNaTn3xk64lPfFzYfuPUE5/4+I5+&#10;/uf/9/Z4fUxH/9f/9Sut5z73Ga3nrFnVOn3jszra/pINHcG8ecklWzvas2dHex7Z2frtt1zYo1v+&#10;067WDTde2KNb331J6z+944JK//nWc3sEk2OqLVLybUT5tmJ7Wdl+DLF/2z7PZ4HPBp8XPkMQnys+&#10;Z3z2orqWhiPMcRTnPYgbxhDnRW5oWHH+hLj5DHGOteImGcX52IpztRfm8Tr90R99tkef+tSBHn3i&#10;Ex/p0R13vL9H7/mdty/R22/Y23rLW15X6Td/81WVLr30nPZ7+bZKMGdDGzY8q3XSSSd0dNxxKzv6&#10;hV94Uvs97glhG5QKz5Yfb6FBDXE3vOui8LAeunLPmjAv06KfPeJfdXTU0UdUetrxP9cR/twrhG+5&#10;s3rJjhM6gtmPQjmpvde9oKObbtlSCWYHyBr2vHHPmvesaOSbtJnP5oPyebVlgVA+lBtmxX3teeK6&#10;N2+ttOc3NrUuvmR9Ry99+bNbG884sbXpjGe0nv2cf9fR8U8/tvX0pz+ldcwxT2odccRgfX8YQh6g&#10;Y475udbTT/jFjp6z5umtMzY/q62TWy8/Z31Hl+7a3BHMm2/+7XM7ese7Lm598ENXtj7wXy5rHfiv&#10;r6l07xf2tu7+/Ot69OUH3tj60gO/Wekv/j+vX6KoLSL59rHy7USxr1K2H7Nv2/4O4RngcwHxWeEz&#10;BPG54nPGZy+qa2k4Gub83HSOjuZnKJqfoWhOtrr33j/s0d33/Nce/dHdd/Toc390e6WPfuzdrd//&#10;6DuW6N3vubbSW9/26krXv/Xy1lW/eVHHjE3BnL15y3M7WrPmxPbz/8sdHXPsk9vjwhM7itqgVHjW&#10;onE3J5jR/Xw8LYa4OrEf2r7GfoR+wnY/dGi8BlDGbfeBmAcIeWKfZV9HnvFMoAwoC54lPl8oJ5/B&#10;qB6mUXbcgOzYwXaL5MNZMa4ovUlq5cpjWqtWHd9au/bU9vv3xtYF5+9oXXP1no7wJxAhfPsh9I1v&#10;fLnTz6P+L41HqH+0A8xH+EauG2+8rnXF5Rd32g/tuGLFcA9KEd/q1as62rbtRe3n/NdbN910Y0eV&#10;cWv/+9rjAQwmdy0ZtyA/bkHEfsZwlI3DmrqYFoxfNIkhP3v3Xt3R7t2Xt8ei8zv5XbfuuR0h/ytX&#10;HtvRsOtIWhD6ZdRncxqGIQ732Dj6NcTVCeM3xnk7X3OuZv+eRWgYs+YZK/wpPv4pRH5rFL85yorf&#10;IkWzDYRvlOK3Svk/m+jFb5wq+eYpmkyswYTmEppKaCahkSRq02EK/WPVqlXteXRrR1dccUV7XLqp&#10;845kx0WOd2L+4DyG92OMDXynx3iB92K8C0Z9Zxg69thjO31+y5YtrXPPPbd12WWXdUxWeCbwbHzq&#10;U5/qCMasQcxN8y6OLTSwoc4iAxvGGY41mzdvrsYbb16L2mrWhHJEdVWqMRjier8m9pWXvSk8tI8E&#10;k1A7CmkKBRPe4x+/oP/j//j51pOe9AutX/zF41q//Mu/0tEznvHM9uLnha31609rPe95p7de/OId&#10;re3bX9oxFUG/9mu72oPg6yu94Q1YJMSbdjlxA88L12x8v/7rl3d0zjnndbRp0+aOYHB65jOf3fqV&#10;X3la67jjntb6hV84qvXzP39U64lP/Nm2/nVY9kmJps+UoY7GTxrqaPhczqY6mlVpTrVGVJpPreF0&#10;2OZSGlYRN9oM6dl2Qp5kelw0NTYxNuZMeNaAB/NdiQHPbnYsbG4sLA64sZoaW3j4gJdJbrZyw9Uq&#10;tymJRQpfTGC0hGCSrBuH0LfQl6I6pSZtiIMZB2aYdnTSiERj0SDyJiWrKM1ZFMtDYxYNjjRz0cQI&#10;E5g1K9JUFvVvabjyBr6cWc+b9HIGvTqTnjXqyawnjVvoi6kxJjLEte9J4tfdOUMcTDkwv7Rvk0Yk&#10;GotGoSi9WRXLRGMWzY00NdLECGOKNSrSXBb1b2m48kY+b9iLjHqRSY9tWmrSs0Y9mfWkcQt9sZ8x&#10;ph9D3ClrT1vp77n3C58OD+ubCiaidhITEQ1XkN3/sHsjfo/E3hPFOa1iGVke7gthj4h7RpDfz8Ze&#10;kz2YhrgvNYlD6sV9sW+18/JA69AD97fuvffu1l13faytj7be9773tG666a2tvdf8ZuuKK3a1Lrjg&#10;nNbWrZtba9c+p7V61dPbdXBMuy4m93658tijOyYsa6bLGepg4pKprlfe4GZNbtboNkyzG+Jh27Hd&#10;kBbSHV078VsDSxTdPxqx/tkGKD/bAX0XdcL+jDpiH0e7sG1Ql9ByNdqh3KiTqH7rNApD3JVX7e05&#10;jM8JZod2FEMVzhpgTnnuc5/bMaecd955Hb3+9a/v6Hd+53dan/vc5zp66KGHWt/73vd6zGSRaDCz&#10;otmsX9NZVB/jlDeeWPOJNbdB1mwyLpMJz42QJgwvML4gL9ZghDyXGozYBmgfthnaEe1LUyHNhjAh&#10;QjQlwqwo5ge0J76tEN9UCN12222tq6++unX++ed3xg0YK8fRz5EGzFsQ+jmeMwj9nX2eQt+HwY4m&#10;Oz4HEJ5ZPA8Un4tIfNZLZOP0siY1jhcQv2mNomGNpjVvXJtV8xrzbNuPYjltW+Zk68XWCdNBnUZj&#10;Wqmm2hBHwdRDIwuMPzABwcACg1A7CaktGm/4LWQw4FjzFA1UNAFBNFHRoGO/nYwGIn7jHY1F4zTv&#10;8E+HWrNMnew9UBRvP0K5UQ+oE9QP+yP7JIQ6Zd+kwWra+ij7B/No+wb7B8vDfuH7RtQ/crJ9J5IP&#10;z7htXbO+2V8hW+coA+sc4vMQ1cGwxOcN6SF95AX5Ql5ZNyhf1J+kyYljA8cM/qni1Lfm2W/Js8a8&#10;lHxYxsO4mR7HqyiPw9TV1+7vmeShUkNctDH/+r1nhYf2paozvFjTize86FuplrfQbmhDtinbm/2A&#10;fQT9Bf2IfQv9LGU2kaQm8uOXHcPsOGaNeyVjWTSepca0aFyzY5vGt8mJ9c9xCm2F9kNb2jGK41PJ&#10;2DSoIe66t+8MD+u9vNml1PBSanop+VYqmV1mV2gztB/bNDK0Qegv1tCGftaP2USSvErGsNw4VjeW&#10;2fEsNabVjWsa2yYn1j/HKbYfxyk/Pg06NvVjiMN1f88nPn1neFjfr2CuoKmCZgoYT2CggHGinY1l&#10;qTojG34J0pvXDhnj2rgNazE4mPZ/VvTHbfHPik7mT4vS2ENDjzXz0MhDE8809UFrzkLe8JxANB4h&#10;73yGUB6a7Ph80WxHwdREQ5cV6qfE4MVwkXycTIt1busdQt5Z93z+oWEb3LwQL81uSJ/1xnpBWaKy&#10;S8OV7TNRX2F/YZ9hP2e/Yd+pE5+ZnOyzRfF+mx5knzf2HeQ1er4G7UtD+ZOp6zcetHE0McRRMGrQ&#10;ZAFzBQwAMFLAJABzQDuZsciaG7yhoc6YQoOIlTeRpJQzotj4vPmEYn68EcUaLWi2oJEjKv8oRfMI&#10;8sH6RD5ZBtYXyk+zXtRXJi1rcLTGOsh+Yx+MdfhGP5nrhkv0bYr22xNZ/zSy0qzKNmtqRs2NTdA4&#10;xyepuey4w3Hdjj9QNJZzLIJoJpzmcSmnpYa4jde262Z4+L+bfsHFV4eH9oOKZhprVrJGJWucoXnG&#10;GmhoFLKiqSZSFB5ifJQ3HlE0H1E0IEGlJiQaiqL6kKZPNH+hDb3Jy5q7bN9En2o/RtIYheebzy+e&#10;VbQLn00+h3r2pFnRIIa4aGN+z28OZoibVnmjize4eJNLncElZ27JGVwio4s3u0Dt5hmrfPqQz6Mv&#10;A80gNITQFAKhjlhvrEfUK+ua9U/DSJ1pRJKkWHx+7Pjmx7ncWJca7/yYR/EZp+wYaGXHQy8/Pvar&#10;KG7K5sXnGeWw5ZzkGNXUEOfX3a+99tzwsH6W5I0uTUwupQYXmiMig4s1uXijCzUpw4tNl/J5s3mn&#10;UCZvCKFQR6w31iPqlXXN+qdhZBDTiCQtd/nxzY9zubEuNd5Rdtyj7LMOcQz0smNiJD9GliqKy8rm&#10;weeVZbBl5PgETdMYNSxD3Ic/+sHwsH6UoqGABgmYDmhEoMnBG2j4TUQQTC/DNtTYb4zjt8jRvAbh&#10;2/ijb2OLvoXt0MiMbF1DWteURi2a04xBjXJGtcce/YeOegxrPaa10RnXpk007dh+SHMODTm2H06T&#10;mW45yhoIMUagjdBeNCvJ7CbNkoZjiNt0wMbxysv3hIfywxBMCZExhWavdnakMcib2yCaS2gqoaGE&#10;RpKoPaUfdgxaNGvxGwa90c5+ix3Fb7Oj8c6a77wJLyWay5oqisuLeWDeaFizpjWI38LoDWzWxEYj&#10;2zR8s2JK1jhnx6jIQKexKhbGlX4MbKh3b2DTmLOokRvi/NfEvvzC/J93kyQpFg11NH16Qx1kvy0N&#10;olGz/SguS9G8SnMqDW40uaH+aHKjyTSqe0maVQ3bEIfD+ejQXppOWTNMU0XxSZIkSeNTH98Q17Pu&#10;ngdD3HIQTRsliu6XJEmSpkf9GOKAv2cShrhRCYYY+81EEL/Vx3+zDxXFsyiawdqCOSwhGsiaKIqn&#10;I5tmR1G+pEmL/cx+65U1dtJQZ82dNHS2H0OpLW9w4zd28Zu5aHTjMxu1gyTNqkZhiHv5K3aFh/Lj&#10;FAwRMEakzCkwWCx3I13KeGLNJzK3SdJohecJzxXHLJq77NgF0QDGcYzmMDyrdkyj+FyXyt6bEscH&#10;O05wrKBRDbJmNQjliExrHE80poxWYzfEbT/38vDQXpKk0ct+S5011tFc5w12/NY6b7SD+C1qVjTg&#10;5ZT6pkUfFw1sEPNAMxvyxm9to6nNG9tkbpOkwQxxwN8rQ5wkSZIkjUeDGuJe9RsvDw/rJUmSJEka&#10;jWSIk6TZFk11EIxf3lxnv7HOmuxotKNouOM32VE04EH8VkX/zYr2cy97v5VNg3mgmQ1CXpFvGttQ&#10;HprbZHCTpAUNwxB38vqN+20c02CI61dNzCnWmGJNKTlFJpOU/L3efJIyodCIQhOKNaDIfCJJkrS8&#10;NPo/mer+broMcZIkSZI0Hg3bEHfJ5TLESZIkSdI41PhPprp1twxxkiRJkjRe9W+I23jY3vOe970n&#10;PKyXJEmSJGk0GtI3xO2zcWx56QXhobwkSZIkSeOVDHGSJEmSNKca3BDXuzEvQ5wkSZIkjUfNDXG9&#10;f57lwsvODg/rJUmSJEkajSJDXHeaziJDnCRJkiRNVqMwxOHwPTqUlyRJkiRpvBqDIa53Y37L2ReH&#10;h/aSJEmSJA1XkSHupLWbVnen6Fr8xvxFl8oQJ0mSJEnjUOM/mer+PMuOi84KD+slSZIkSRqN+jXE&#10;nbRh08P2nhvfcXN4WC9JkiRJ0mg0HEPcxmttHDLESZIkSdJ0aOSGOL8xf/qZF4SH9pIkSZIkDVeD&#10;GuL8xvy5v7o1PLSXJEmSJGm4kiFOkiRJkmZLA3xD3CF7Dw7lo8N6SZIkSZJGo1EY4qDoUF6SJEmS&#10;pPFqHN8Q574m9mXhob0kSZIkScPVEL4hrmdjXoY4SZIkSRqPcqZJlgAAEohJREFU+viTqT3r7jN2&#10;bAsP6yVJkiRJGo2GZYjb84Y3hIf1kiRJkiSNRsMwxJ284fTdvXHIECdJkiRJ06CxG+Kec9qLw0N7&#10;SZIkSZKGq4G/IW79xoP23pecL0OcJEmSJI1Dgxri1m/ZEh7WS5IkSZI0GvX9J1PduluGOEmSJEka&#10;r4byDXEbNu3sjWNT6zvf/V54MC9JkiRJ0vg0BkNc79fEyhAnSZIkSeORDHGSJEmSNJtqbojrXXfL&#10;ECdJkiRJ41X/hrhNB+w9v7b7yvCwXpIkSZKk0Wg43xC3cVtvHDLESZIkSdI0SIY4SZIkSZpTDW6I&#10;692Y3/rSLeGhvSRJkiRJw9WghjgoOqyXJEmSJGk06vtPpq7fuN/ec84rLwkP6yVJkiRJGo1GZYh7&#10;4Kt/Hh7MS5IkSZI0Po3cEBf93fTo0F6SJEmSpOFqUEOc35jfeJYMcZIkSZI0DjU2xAV/nuUvv/m6&#10;8MBekiRJkqTha1iGuK0vOz88rJckSZIkaTQahiHuGWtPW9cbhwxxkiRJkjQNGv03xAUb8/tu/lR4&#10;cC9JkiRJ0vA0hG+I22fv3bBlc3hoL0mSJEnScCVDnCRJkiTNlgb4k6k9624Z4iRJkiRpvNrzhjf0&#10;zN/DMsT98Z98MTyYlyRJkiRpfBrDN8Qt/ZpYGeIkSZIkafQatiFuzelnhIf2kiRJkiQNV5dc3swQ&#10;F/55lq+9JjywlyRJkiRp+BqWIe55L9oeHtZLkiRJkjQaDcMQhz333jhkiJMkSZKkaZCfn8diiHvT&#10;b/1eeHAvSZIkSdLwNLghbuO19l4Z4iRJkiRpPBqGIe6P/+w/hgf2kiRJkiQNX/0b4nrX3TLESZIk&#10;SdJ4NQxD3ClrT1vZG8em1mf+6J7wYF6SJEmSpPHJz89DN8RFXxMrQ5wkSZIkjV7DNsRB0aG9JEmS&#10;JEnDVVNDXLTu/sy9l4cH9pIkSZIkDV/9GuJO3nD6bn9fdFgvSZIkSdJoNAxD3Kq1W1f0xrGp9bGP&#10;/0F4MC9JkiRJ0vjk5+ehG+Kir4nFAX10cC9J0miEP1Ncp7e+7c5awcw6akXp1ikqDxXVhyQtFw1q&#10;iIs25t/xrh3hwb0kSaMRnrk63XTz2bV6y9teMlJFaZYoKg8V1YckLRc1NcRF624Z4iRp/PrLb76u&#10;VvhzxnXCNzyOWlG6dYrKQ0X1IUnLSX1/Q9yGTTv9fYcPfys8sJckaTTCM1eib//Ng7X6i7/80sgV&#10;pVunqDxUVCeStJzkDXEnrd94sDtNFxMZ4t7/4Y+EB/OSNAv6zne/V+mvvvHNSg989c97hD8NTOFb&#10;Ea1gCrXCMzFO+fRT8vmGbLm8fB1Ato4oW4dUVNeSJI1Wfn7G2Xd3+h4O0cb8BRdf3Xrt69/dOaiH&#10;rAlGBpb5lDcpQdbQRHlzFMW+QqH/RLryN25Zoldd+dZQr7zsTT1Cv4z08gtfs0Tbz7081JazLw51&#10;+pkXhNqw5WVLtH7zjkehZ79wK/VT6NQXbv3JqS940b8sasuPIf98SWV6zmkv7lHUFhDbyranb3fb&#10;N9hvfP9iv2O/ZJ9ln2Zf57PA5yR6niTJy46r7EvoX+h7vu83+oa4YGN+z2+e1br2zdsreWNLdKgv&#10;za68QYmy7U5FJinI9hfo9XvPCoW+ZXX5nheHgknE66JLY537q1uX6CXnx9r60i2hNp4Va8OWzUu0&#10;fvMZ7Tn8jEeffdqmBb1wY3sO39iewzf95Nkv3PQv1Kkv2NiewzdqDu9Dzzlt02P4881WUVtAbCvb&#10;nrbNfd9gv/H9C/3O9k30V9un2df5LPA5iZ4pSfKy4yr7EvoY+mRv/994uDs9h0R/nuW1157buvOT&#10;l3WMcZA1wMjAMp+y5iQra2iivDkKYl+xQh/y+uBHL10iGEEi3fCui5bourfvDIU+6/Wq33h5qAsv&#10;OzvUjovOCnXGjm1LtOklWx+F1p6xeUGbzvgp9NxNm3/y3I1n/AvVnmt+DPlnTCrT+i1behS1BWTb&#10;i+3p2932DfYb37/Y99g32W9tv0Z/t88DnpPomZKkSHZs5fiJPoZ+6ft/d5rOEv3Z8098+s7Wl77y&#10;+UrWACPzynzKG5Qga2aivDGKsv0FuvcLnw6FvuX14Y9+MNR73veeJbrxHTeHeuNbfmuJYDDx+rXd&#10;V4Y655WXJLX1Zecv0ZYd5z4Krd98ZkfrznjxT7v6ydpN2/6Feu7GrT9es3HrP/tnTKrXhi1nPYY/&#10;4WwVtQXEtrJt6tve9g32G9+/2PfYN9lv2a/Z3/k88FmJnilJimTHVo6d6GPos7b/92OIAzYO6Oo3&#10;v7XHQEOTTHRYL0lNRYMV+hRNWTRzweRFU9g7f+d9rev3vbMj9Enoyqv2tl55+Z6OXv6KXR1teSnO&#10;rLd35PuyNFqx3q3QHl5sKyu2oxXaNyX2AS/2kZTQj0plTYnTrCjvdYrqJqeorlOK2itS1OYlivrP&#10;uBTlB4rKR0V1BEX1DEXtRS197oZsiIs25psoMqtYQ1HOpOKNKt6wkpI3soxaUR5yispkFdUDZevL&#10;y9arla17K2smsoraUZKkwYXnyz6DeD75/PIZt2MBxgs71lhDHk151mjqTXk05kUGLKlc1qxmDWuo&#10;cxojIbSJNezaMd+O33Zs7mfcbfYNcUs35psoMqtYQ1HKpJIyq0DW7BTJG1lGqSj9nKLyeEX1QNn6&#10;8rL1amXr3opt4xW1oyRJgwvPl30G8Xzy+eUzbscCjBl2vLGmPJpIZcobrViHNKtZwxrqnO3AdrGm&#10;XTvu2/Hbjs3Nx9y8IS76bfQmiowqkTklMqh4kwpljU6RvIlllIrSr1NUJquoHqxsnVnZevWy9W9l&#10;zURWUVtKkjS4+IzxGeQzimfYPuccDzhucMzp15QnY95gYh16sxqEOmc7sF3YTnae4Pjux2yOxVF/&#10;yak7TWcZdN0dGVWsmShnUPEmFW9WScmbWEapKP06RWWyiurBytaZla1XL1v/lDUSWUXtKEnScMTn&#10;jM8hnk8+w/Y553iAMcOOOdaQV2LKkzFvOGId0rDGeramNQhtQuMk5Md9O4ZzbO5n7O3fELfxcBRf&#10;Stb0QsOANQH81g3/6Z9v/s+/80/QR+78+I8+9NE7v/+JT33mb+/5wn/7LvSlrxz6H9Bf/OVD34b+&#10;5jvf/f9CP/zhDx92OmwUmquk4Soyq0EwR9aZ1iC0P/oCTSPoH+gnNEtF/UmSJEkq1ZANcYNuzEuS&#10;JEnTIxqwvDGPomnLmvQisx4Ne5Q17nnRJDaoorghmw/K55VlsOWz5bb10Y9JbZwapyFOkiRJmh7R&#10;+OqNeRRNW9akF5n1aNjzpr1INIkNqihuiPmw8nllGWz5bLltfbCOovqbvEZriJMkSZKmT96YZ815&#10;NOhR1qhnzXrWsGdNeynRJDaoorghmxfK5hViGWz5bLltfbCOovqbBnWn6SzPWHvauuheSZIkaXZl&#10;TXk05lE0bFGRUY+i4csb9yJZo9ggiuKGbF4on1+Ww5bPlp31QZNaU6PauDQuQ9zohfxsPHzShk0P&#10;Q+1/H4JQvpPWbzoAPfuFWz+55vRtH37elu0fe8GLX3YbtOWlOz905rkXvfvlr9j1fuiiy678yKv2&#10;XHXbq39z7+3Q665984E3v/3m299687s+Dt186+/+4X/5yMfugX7vjrv+7DN/dM8h6o/u/cJfwbz3&#10;+f/2J/+L35Y3CtFkZmX/JCZlvx3KmtEiQxpNadaYRnMaRUMjjWoyq0mSJM2CZIiTJEmSpLlVE0Oc&#10;NuYlSZIkaVqUN8SB+D5JkiRJkiaj+rkbYI0e3y9JkiRJ0iQ0gCHuUBSfJEmSJEnTpCEb4gA2AOLE&#10;JGmSWvjtCC/+toRV+/POb054LfwmhdfCb1ZEOnn9xv2R2tf25bXx2jrh4S1Ruzw769Qu27ZpVpTn&#10;SGH5g7pbUG+dB21k2nKxvdv5WegLS/tMt09FfU+SJqGFPok/Zd6dnmtZ+LPn6sfSNIpjbK/8WNwd&#10;j5fM35Adyxdlx/pe+XmhOzf0zB2xojmnV9F8FaldnnC+s2qXLZw7p0VRniMtKXtQbwtaWudBO3Xb&#10;sbe92/lZ6Au9/cX0qajvSdIktDC+dafnJAt9OLpfkiYtO7Yuyo6/VPvzJXM25MfwBfXO1VZ+LujO&#10;B0vmjKWK5ppe+TkqpXZ5wjnOql22cL6cJkX59grLH9TdgnrrPGgn05aL7d3Oy2J/6O0z3T4V9T1J&#10;mpTK5m6w8Mvk6sPStGpx3ray4zDV/rxn7qbsWL4oO9Yvys8JVPtaz9wRK5pzehXNV5Ha5QnnO6t2&#10;2cJ5c1oU5TnSkrIH9bagpXUetFO3LXvbu52fhb6wtM90+1TU9yRpUmqPce1+252mG7HQ36M4JWmS&#10;Wpy72z/d/Lw4/2JcX9DifNm+x8wXi3MMvkjBCr/gYYVzJQrvunXqPkJDIYo/ks2jly8P5csN2Xqx&#10;snW3WIf9zbl+vqXa16p3qEX1zsFW7XxV7U+189UzN3u1w1Tvf3lFfW+WFJWpXlGdpdQOv6T+U4ra&#10;z+pZL9jy3/ANn2s3nfmH1PO37riX2njWOf/NasuOC/7M6sxzf/X+l150yX/zOu/iX//vwxbSsmIe&#10;TjvzZV973ovOPgStO+PML1PPPm3r16FnvWDzn0NVnQR1CrWvhW0TtzM1AkOcxQ4yHDzamVoyOCwd&#10;CJY+9HUPeDvO3s4TVJJVO0xQWZNRlD+vdrie8kWK6mVBtu56ZevYqn2tZwBelG2nBdkB3aqdbzf4&#10;L50k/GRC+YkHshMU5Sc1qtsFhZgo6Iu2v6Ifs4/b52DxGek+O9XztfDcmeey++wuPNvtexee/cVx&#10;oj2mRIO9NN1anAuqNjVjtx2T7fjaDleNoRwjhzkGsv9G/RbpL+TB99ml/ba37y72XyuWm0Jd5NQO&#10;0zOPTlJR/qzaYXrKllJULwuyddcrW8emrrvzdSTbTgtiG1q1890zf0PtPFZjFsV+YcU528uOhRT7&#10;q1W3+wkxUdgf2VfZj9nP+Qz0PiP5sbD97/Zzu/hst+9fePYXx4r2mBLNEdL0qncuQHtCC228OE5X&#10;fcGMse1wnTHUjpGDjIO+v/bbTxf7KrXYZymWk0LZc2qHqepp0ory59UO11O+SFG9LMrW36JsHVu1&#10;r3Xn6Ei2rcrX3VA7nz1zNsQxzIp90Iv9yYp91KrbBYWYOOiPtr+iH7Of2+dg8RnpPj89z5mft6HF&#10;57t9v5u3oWh+kKZXvfMB2hRaaOPF8Rp9AbLjbDvcUOduYvsu+y3SgpDuQtpxf+3ksdtne/ttb9+l&#10;WF6K9ZBSO0w1h05aUf682uF6yhcpqpcF2brrla1jq/Y1M2d72bYa3xzOvmTFfurV7YJCTBz0R9tn&#10;0ZfZz+1zsPiMdJ+fnucsPYe37114/hfHisOnbNj0/4vnCWl61TsfVO3qxuv2z84YbMfZdriRzOEW&#10;9mP2X6QJIf2OXF9dyPNiH10sV1R2af6U78+97xnj789CCDEvaHwUQog5hwO93VDgoqxkU+HUF2y7&#10;Hlqzcftt6ze/9EPrNm3/xIbNL/sM9MKt59zT/vlnz3/Ry+9ft+nsv4DWn/HSv4Ket+XlD6874+zv&#10;Qs8+7czD///27WcnjSgMw7hXVaWBWmAozDnMn04tBmlJ26th2RvgIli5cs+GNQsWxnThshntAnb9&#10;Pk9PZ5wQa5AmjX1+yZPYhVFPJ3lzzNgIs9xXC+K19rITbcptvxg8vcO2vXWZm9+1TP6iZa+06qXD&#10;5y+k/hLiLyK+4kJy/1LiLybuLItfWvqz55ICAHiMp254vRtOjo352gj701bUlw03s1ZsZb+t7Led&#10;a0FsF01rlvLxyvfaWtlvV71nZcOt7LerFhjZcCMbHsp2u7Zt7746bIey33fJfkuy327DjWy4+Wsb&#10;rmeqVTfc/1+w4QCAbcq7/dB2+912m+N2Wzu2/UnwNplqvSyZ9U/Tcy0bpRd2kM61ZJgueifJUj5e&#10;adEwvey+i699zSj63orj3Ffv2nWjZzflylu7z2pvzI9ax9xqR0F4c1fb5Jrcw6803W1N97rcrttd&#10;nCPbDQDYjd+IP+235nfHbU+x4c1+Nulmw6lmToaz9Gx8rg3GXy6S0/E8+/B5odnBaJkMP660bPTp&#10;0g7Orn1B+j73NcJkrb0Kk025bfu7j2qdvuy36yiwsuFS2+a1TvTtsG1lw93v0OUM7u239tCGF9u9&#10;24b/z/tdfSarz6M/P3eGxbPoevwfeWjy79JL6NufkedV8fOWzmCHZ9qdd/mZls/neQYAAAAAAAAA&#10;AAAAAACAf5V/kcvnX9Qrv7BXzr8Mtu+qX0erfi/V71X79WMAAAAAAAAAAAAAAAAAAAAAwHN1cPAT&#10;KJQ3WoFlKxsAAAAASUVORK5CYIJQSwMECgAAAAAAAAAhALJyWF18BAIAfAQCABQAAABkcnMvbWVk&#10;aWEvaW1hZ2UyLnN2Zzxzdmcgd2lkdGg9IjExMjIiIGhlaWdodD0iNzgzIiB4bWxucz0iaHR0cDov&#10;L3d3dy53My5vcmcvMjAwMC9zdmciIHhtbG5zOnhsaW5rPSJodHRwOi8vd3d3LnczLm9yZy8xOTk5&#10;L3hsaW5rIiB4bWw6c3BhY2U9InByZXNlcnZlIiBvdmVyZmxvdz0iaGlkZGVuIj48ZGVmcz48Y2xp&#10;cFBhdGggaWQ9ImNsaXAwIj48cmVjdCB4PSIwIiB5PSI1IiB3aWR0aD0iMTEyMiIgaGVpZ2h0PSI3&#10;ODMiLz48L2NsaXBQYXRoPjxjbGlwUGF0aCBpZD0iY2xpcDEiPjxyZWN0IHg9IjExIiB5PSIyMTci&#10;IHdpZHRoPSIxMyIgaGVpZ2h0PSIxMyIvPjwvY2xpcFBhdGg+PGNsaXBQYXRoIGlkPSJjbGlwMiI+&#10;PHJlY3QgeD0iMTEiIHk9IjIxNyIgd2lkdGg9IjEzIiBoZWlnaHQ9IjEzIi8+PC9jbGlwUGF0aD48&#10;Y2xpcFBhdGggaWQ9ImNsaXAzIj48cmVjdCB4PSItMC45NjMzNTIiIHk9Ii0xLjUwNzczIiB3aWR0&#10;aD0iMTkuNTIwOCIgaGVpZ2h0PSIyMC41ODg2Ii8+PC9jbGlwUGF0aD48Y2xpcFBhdGggaWQ9ImNs&#10;aXA1Ij48cmVjdCB4PSIwIiB5PSIxLjMyMDU5ZS0wNSIgd2lkdGg9IjE4IiBoZWlnaHQ9IjE5Ii8+&#10;PC9jbGlwUGF0aD48Y2xpcFBhdGggaWQ9ImNsaXA2Ij48cmVjdCB4PSIxMSIgeT0iMjgwIiB3aWR0&#10;aD0iMTMiIGhlaWdodD0iMTMiLz48L2NsaXBQYXRoPjxjbGlwUGF0aCBpZD0iY2xpcDciPjxyZWN0&#10;IHg9IjExIiB5PSIyODAiIHdpZHRoPSIxMyIgaGVpZ2h0PSIxMyIvPjwvY2xpcFBhdGg+PGNsaXBQ&#10;YXRoIGlkPSJjbGlwOCI+PHJlY3QgeD0iLTAuOTYzMzUyIiB5PSItMC41MzIyNDkiIHdpZHRoPSIx&#10;OS41MjA4IiBoZWlnaHQ9IjIwLjU4ODYiLz48L2NsaXBQYXRoPjxjbGlwUGF0aCBpZD0iY2xpcDki&#10;PjxyZWN0IHg9IjAiIHk9Ii05Ljg5Mjg5ZS0wNiIgd2lkdGg9IjE4IiBoZWlnaHQ9IjE5Ii8+PC9j&#10;bGlwUGF0aD48Y2xpcFBhdGggaWQ9ImNsaXAxMCI+PHJlY3QgeD0iMTEiIHk9IjM0MyIgd2lkdGg9&#10;IjEzIiBoZWlnaHQ9IjEzIi8+PC9jbGlwUGF0aD48Y2xpcFBhdGggaWQ9ImNsaXAxMSI+PHJlY3Qg&#10;eD0iMTEiIHk9IjM0MyIgd2lkdGg9IjEzIiBoZWlnaHQ9IjEzIi8+PC9jbGlwUGF0aD48Y2xpcFBh&#10;dGggaWQ9ImNsaXAxMiI+PHJlY3QgeD0iLTAuOTYzMzUyIiB5PSItMC44MjM0MzciIHdpZHRoPSIx&#10;OS41MjA4IiBoZWlnaHQ9IjIwLjU4ODYiLz48L2NsaXBQYXRoPjxjbGlwUGF0aCBpZD0iY2xpcDEz&#10;Ij48cmVjdCB4PSIwIiB5PSIzLjk0Nzg1ZS0wNSIgd2lkdGg9IjE4IiBoZWlnaHQ9IjE5Ii8+PC9j&#10;bGlwUGF0aD48Y2xpcFBhdGggaWQ9ImNsaXAxNCI+PHJlY3QgeD0iMTEiIHk9IjM3NyIgd2lkdGg9&#10;IjEzIiBoZWlnaHQ9IjEzIi8+PC9jbGlwUGF0aD48Y2xpcFBhdGggaWQ9ImNsaXAxNSI+PHJlY3Qg&#10;eD0iMTEiIHk9IjM3NyIgd2lkdGg9IjEzIiBoZWlnaHQ9IjEzIi8+PC9jbGlwUGF0aD48Y2xpcFBh&#10;dGggaWQ9ImNsaXAxNiI+PHJlY3QgeD0iLTAuOTYzMzUyIiB5PSItMS40NDMwMiIgd2lkdGg9IjE5&#10;LjUyMDgiIGhlaWdodD0iMjAuNTg4NiIvPjwvY2xpcFBhdGg+PGNsaXBQYXRoIGlkPSJjbGlwMTci&#10;PjxyZWN0IHg9IjAiIHk9Ii0xLjk4MTg5ZS0wNSIgd2lkdGg9IjE4IiBoZWlnaHQ9IjE5Ii8+PC9j&#10;bGlwUGF0aD48Y2xpcFBhdGggaWQ9ImNsaXAxOCI+PHJlY3QgeD0iMTEiIHk9IjQzNyIgd2lkdGg9&#10;IjEzIiBoZWlnaHQ9IjEzIi8+PC9jbGlwUGF0aD48Y2xpcFBhdGggaWQ9ImNsaXAxOSI+PHJlY3Qg&#10;eD0iMTEiIHk9IjQzNyIgd2lkdGg9IjEzIiBoZWlnaHQ9IjEzIi8+PC9jbGlwUGF0aD48Y2xpcFBh&#10;dGggaWQ9ImNsaXAyMCI+PHJlY3QgeD0iLTAuOTYzMzUyIiB5PSItMC4xNTIwODciIHdpZHRoPSIx&#10;OS41MjA4IiBoZWlnaHQ9IjIwLjU4ODYiLz48L2NsaXBQYXRoPjxjbGlwUGF0aCBpZD0iY2xpcDIx&#10;Ij48cmVjdCB4PSIwIiB5PSItMS4xMDQ4OWUtMDUiIHdpZHRoPSIxOCIgaGVpZ2h0PSIxOSIvPjwv&#10;Y2xpcFBhdGg+PGNsaXBQYXRoIGlkPSJjbGlwMjIiPjxyZWN0IHg9IjExIiB5PSI0ODUiIHdpZHRo&#10;PSIxMyIgaGVpZ2h0PSIxMyIvPjwvY2xpcFBhdGg+PGNsaXBQYXRoIGlkPSJjbGlwMjMiPjxyZWN0&#10;IHg9IjExIiB5PSI0ODUiIHdpZHRoPSIxMyIgaGVpZ2h0PSIxMyIvPjwvY2xpcFBhdGg+PGNsaXBQ&#10;YXRoIGlkPSJjbGlwMjQiPjxyZWN0IHg9Ii0wLjk2MzM1MiIgeT0iLTAuMTMyNjc1IiB3aWR0aD0i&#10;MTkuNTIwOCIgaGVpZ2h0PSIyMC41ODg2Ii8+PC9jbGlwUGF0aD48Y2xpcFBhdGggaWQ9ImNsaXAy&#10;NSI+PHJlY3QgeD0iMCIgeT0iMy4wNzA3N2UtMDYiIHdpZHRoPSIxOCIgaGVpZ2h0PSIxOSIvPjwv&#10;Y2xpcFBhdGg+PGNsaXBQYXRoIGlkPSJjbGlwMjYiPjxyZWN0IHg9IjExIiB5PSI1MTkiIHdpZHRo&#10;PSIxMyIgaGVpZ2h0PSIxMyIvPjwvY2xpcFBhdGg+PGNsaXBQYXRoIGlkPSJjbGlwMjciPjxyZWN0&#10;IHg9IjExIiB5PSI1MTkiIHdpZHRoPSIxMyIgaGVpZ2h0PSIxMyIvPjwvY2xpcFBhdGg+PGNsaXBQ&#10;YXRoIGlkPSJjbGlwMjgiPjxyZWN0IHg9Ii0wLjk2MzM1MiIgeT0iLTAuNzUyMjU3IiB3aWR0aD0i&#10;MTkuNTIwOCIgaGVpZ2h0PSIyMC41ODg2Ii8+PC9jbGlwUGF0aD48Y2xpcFBhdGggaWQ9ImNsaXAy&#10;OSI+PHJlY3QgeD0iMCIgeT0iMS43NTExOWUtMDUiIHdpZHRoPSIxOCIgaGVpZ2h0PSIxOSIvPjwv&#10;Y2xpcFBhdGg+PGNsaXBQYXRoIGlkPSJjbGlwMzAiPjxyZWN0IHg9IjExIiB5PSI1ODIiIHdpZHRo&#10;PSIxMyIgaGVpZ2h0PSIxMyIvPjwvY2xpcFBhdGg+PGNsaXBQYXRoIGlkPSJjbGlwMzEiPjxyZWN0&#10;IHg9IjExIiB5PSI1ODIiIHdpZHRoPSIxMyIgaGVpZ2h0PSIxMyIvPjwvY2xpcFBhdGg+PGNsaXBQ&#10;YXRoIGlkPSJjbGlwMzIiPjxyZWN0IHg9Ii0wLjk2MzM1MiIgeT0iLTEuMDQzNDQiIHdpZHRoPSIx&#10;OS41MjA4IiBoZWlnaHQ9IjIwLjU4ODYiLz48L2NsaXBQYXRoPjxjbGlwUGF0aCBpZD0iY2xpcDMz&#10;Ij48cmVjdCB4PSIwIiB5PSItNi44NTUyMmUtMDYiIHdpZHRoPSIxOCIgaGVpZ2h0PSIxOSIvPjwv&#10;Y2xpcFBhdGg+PGNsaXBQYXRoIGlkPSJjbGlwMzQiPjxyZWN0IHg9IjIzNCIgeT0iMjE3IiB3aWR0&#10;aD0iMTMiIGhlaWdodD0iMTMiLz48L2NsaXBQYXRoPjxjbGlwUGF0aCBpZD0iY2xpcDM1Ij48cmVj&#10;dCB4PSIyMzQiIHk9IjIxNyIgd2lkdGg9IjEzIiBoZWlnaHQ9IjEzIi8+PC9jbGlwUGF0aD48Y2xp&#10;cFBhdGggaWQ9ImNsaXAzNiI+PHJlY3QgeD0iLTAuMjU1Nzk5IiB5PSItMS41MDc3MyIgd2lkdGg9&#10;IjE5LjUyMDgiIGhlaWdodD0iMjAuNTg4NiIvPjwvY2xpcFBhdGg+PGNsaXBQYXRoIGlkPSJjbGlw&#10;MzciPjxyZWN0IHg9IjcuNjI5MzllLTA2IiB5PSIxLjMyMDU5ZS0wNSIgd2lkdGg9IjE4IiBoZWln&#10;aHQ9IjE5Ii8+PC9jbGlwUGF0aD48Y2xpcFBhdGggaWQ9ImNsaXAzOCI+PHJlY3QgeD0iMjM0IiB5&#10;PSIyODAiIHdpZHRoPSIxMyIgaGVpZ2h0PSIxMyIvPjwvY2xpcFBhdGg+PGNsaXBQYXRoIGlkPSJj&#10;bGlwMzkiPjxyZWN0IHg9IjIzNCIgeT0iMjgwIiB3aWR0aD0iMTMiIGhlaWdodD0iMTMiLz48L2Ns&#10;aXBQYXRoPjxjbGlwUGF0aCBpZD0iY2xpcDQwIj48cmVjdCB4PSItMC4yNTU3OTkiIHk9Ii0wLjUz&#10;MjI0OSIgd2lkdGg9IjE5LjUyMDgiIGhlaWdodD0iMjAuNTg4NiIvPjwvY2xpcFBhdGg+PGNsaXBQ&#10;YXRoIGlkPSJjbGlwNDEiPjxyZWN0IHg9IjcuNjI5MzllLTA2IiB5PSItOS44OTI4OWUtMDYiIHdp&#10;ZHRoPSIxOCIgaGVpZ2h0PSIxOSIvPjwvY2xpcFBhdGg+PGNsaXBQYXRoIGlkPSJjbGlwNDIiPjxy&#10;ZWN0IHg9IjIzNCIgeT0iMzQzIiB3aWR0aD0iMTMiIGhlaWdodD0iMTMiLz48L2NsaXBQYXRoPjxj&#10;bGlwUGF0aCBpZD0iY2xpcDQzIj48cmVjdCB4PSIyMzQiIHk9IjM0MyIgd2lkdGg9IjEzIiBoZWln&#10;aHQ9IjEzIi8+PC9jbGlwUGF0aD48Y2xpcFBhdGggaWQ9ImNsaXA0NCI+PHJlY3QgeD0iLTAuMjU1&#10;Nzk5IiB5PSItMC44MjM0MzciIHdpZHRoPSIxOS41MjA4IiBoZWlnaHQ9IjIwLjU4ODYiLz48L2Ns&#10;aXBQYXRoPjxjbGlwUGF0aCBpZD0iY2xpcDQ1Ij48cmVjdCB4PSI3LjYyOTM5ZS0wNiIgeT0iMy45&#10;NDc4NWUtMDUiIHdpZHRoPSIxOCIgaGVpZ2h0PSIxOSIvPjwvY2xpcFBhdGg+PGNsaXBQYXRoIGlk&#10;PSJjbGlwNDYiPjxyZWN0IHg9IjIzNCIgeT0iNDA2IiB3aWR0aD0iMTMiIGhlaWdodD0iMTMiLz48&#10;L2NsaXBQYXRoPjxjbGlwUGF0aCBpZD0iY2xpcDQ3Ij48cmVjdCB4PSIyMzQiIHk9IjQwNiIgd2lk&#10;dGg9IjEzIiBoZWlnaHQ9IjEzIi8+PC9jbGlwUGF0aD48Y2xpcFBhdGggaWQ9ImNsaXA0OCI+PHJl&#10;Y3QgeD0iLTAuMjU1Nzk5IiB5PSItMS4xMTQ2MiIgd2lkdGg9IjE5LjUyMDgiIGhlaWdodD0iMjAu&#10;NTg4NiIvPjwvY2xpcFBhdGg+PGNsaXBQYXRoIGlkPSJjbGlwNDkiPjxyZWN0IHg9IjcuNjI5Mzll&#10;LTA2IiB5PSIyLjc4MTQ3ZS0wNSIgd2lkdGg9IjE4IiBoZWlnaHQ9IjE5Ii8+PC9jbGlwUGF0aD48&#10;Y2xpcFBhdGggaWQ9ImNsaXA1MCI+PHJlY3QgeD0iMjM0IiB5PSI0NDAiIHdpZHRoPSIxMyIgaGVp&#10;Z2h0PSIxMyIvPjwvY2xpcFBhdGg+PGNsaXBQYXRoIGlkPSJjbGlwNTEiPjxyZWN0IHg9IjIzNCIg&#10;eT0iNDQwIiB3aWR0aD0iMTMiIGhlaWdodD0iMTMiLz48L2NsaXBQYXRoPjxjbGlwUGF0aCBpZD0i&#10;Y2xpcDUyIj48cmVjdCB4PSItMC4yNTU3OTkiIHk9Ii0wLjQ2NzU0MSIgd2lkdGg9IjE5LjUyMDgi&#10;IGhlaWdodD0iMjAuNTg4NiIvPjwvY2xpcFBhdGg+PGNsaXBQYXRoIGlkPSJjbGlwNTMiPjxyZWN0&#10;IHg9IjcuNjI5MzllLTA2IiB5PSIxLjE3NjU4ZS0wNSIgd2lkdGg9IjE4IiBoZWlnaHQ9IjE5Ii8+&#10;PC9jbGlwUGF0aD48Y2xpcFBhdGggaWQ9ImNsaXA1NCI+PHJlY3QgeD0iMjM0IiB5PSI0NzQiIHdp&#10;ZHRoPSIxMyIgaGVpZ2h0PSIxMyIvPjwvY2xpcFBhdGg+PGNsaXBQYXRoIGlkPSJjbGlwNTUiPjxy&#10;ZWN0IHg9IjIzNCIgeT0iNDc0IiB3aWR0aD0iMTMiIGhlaWdodD0iMTMiLz48L2NsaXBQYXRoPjxj&#10;bGlwUGF0aCBpZD0iY2xpcDU2Ij48cmVjdCB4PSItMC4yNTU3OTkiIHk9Ii0xLjA4NzEyIiB3aWR0&#10;aD0iMTkuNTIwOCIgaGVpZ2h0PSIyMC41ODg2Ii8+PC9jbGlwUGF0aD48Y2xpcFBhdGggaWQ9ImNs&#10;aXA1NyI+PHJlY3QgeD0iNy42MjkzOWUtMDYiIHk9IjIuNjIwN2UtMDUiIHdpZHRoPSIxOCIgaGVp&#10;Z2h0PSIxOSIvPjwvY2xpcFBhdGg+PGNsaXBQYXRoIGlkPSJjbGlwNTgiPjxyZWN0IHg9IjIzNCIg&#10;eT0iNTMzIiB3aWR0aD0iMTMiIGhlaWdodD0iMTMiLz48L2NsaXBQYXRoPjxjbGlwUGF0aCBpZD0i&#10;Y2xpcDU5Ij48cmVjdCB4PSIyMzQiIHk9IjUzMyIgd2lkdGg9IjEzIiBoZWlnaHQ9IjEzIi8+PC9j&#10;bGlwUGF0aD48Y2xpcFBhdGggaWQ9ImNsaXA2MCI+PHJlY3QgeD0iLTAuMjU1Nzk5IiB5PSItMS4z&#10;Nzk5MyIgd2lkdGg9IjE5LjUyMDgiIGhlaWdodD0iMjAuNTg4NiIvPjwvY2xpcFBhdGg+PGNsaXBQ&#10;YXRoIGlkPSJjbGlwNjEiPjxyZWN0IHg9IjcuNjI5MzllLTA2IiB5PSIyLjIyNzM3ZS0wNSIgd2lk&#10;dGg9IjE4IiBoZWlnaHQ9IjE5Ii8+PC9jbGlwUGF0aD48Y2xpcFBhdGggaWQ9ImNsaXA2MiI+PHJl&#10;Y3QgeD0iMjM0IiB5PSI1NTMiIHdpZHRoPSIxMyIgaGVpZ2h0PSIxMyIvPjwvY2xpcFBhdGg+PGNs&#10;aXBQYXRoIGlkPSJjbGlwNjMiPjxyZWN0IHg9IjIzNCIgeT0iNTUzIiB3aWR0aD0iMTMiIGhlaWdo&#10;dD0iMTMiLz48L2NsaXBQYXRoPjxjbGlwUGF0aCBpZD0iY2xpcDY0Ij48cmVjdCB4PSItMC4yNTU3&#10;OTkiIHk9Ii0xLjM3MTg0IiB3aWR0aD0iMTkuNTIwOCIgaGVpZ2h0PSIyMC41ODg2Ii8+PC9jbGlw&#10;UGF0aD48Y2xpcFBhdGggaWQ9ImNsaXA2NSI+PHJlY3QgeD0iNy42MjkzOWUtMDYiIHk9IjEuOTI0&#10;OTdlLTA1IiB3aWR0aD0iMTgiIGhlaWdodD0iMTkiLz48L2NsaXBQYXRoPjxjbGlwUGF0aCBpZD0i&#10;Y2xpcDY2Ij48cmVjdCB4PSIyMzQiIHk9IjU3MyIgd2lkdGg9IjEzIiBoZWlnaHQ9IjEzIi8+PC9j&#10;bGlwUGF0aD48Y2xpcFBhdGggaWQ9ImNsaXA2NyI+PHJlY3QgeD0iMjM0IiB5PSI1NzMiIHdpZHRo&#10;PSIxMyIgaGVpZ2h0PSIxMyIvPjwvY2xpcFBhdGg+PGNsaXBQYXRoIGlkPSJjbGlwNjgiPjxyZWN0&#10;IHg9Ii0wLjI1NTc5OSIgeT0iLTAuMDk3MDg1MiIgd2lkdGg9IjE5LjUyMDgiIGhlaWdodD0iMjAu&#10;NTg4NiIvPjwvY2xpcFBhdGg+PGNsaXBQYXRoIGlkPSJjbGlwNjkiPjxyZWN0IHg9IjcuNjI5Mzll&#10;LTA2IiB5PSItMS41NjA4NGUtMDYiIHdpZHRoPSIxOCIgaGVpZ2h0PSIxOSIvPjwvY2xpcFBhdGg+&#10;PGNsaXBQYXRoIGlkPSJjbGlwNzAiPjxyZWN0IHg9IjIzNCIgeT0iNTkzIiB3aWR0aD0iMTMiIGhl&#10;aWdodD0iMTMiLz48L2NsaXBQYXRoPjxjbGlwUGF0aCBpZD0iY2xpcDcxIj48cmVjdCB4PSIyMzQi&#10;IHk9IjU5MyIgd2lkdGg9IjEzIiBoZWlnaHQ9IjEzIi8+PC9jbGlwUGF0aD48Y2xpcFBhdGggaWQ9&#10;ImNsaXA3MiI+PHJlY3QgeD0iLTAuMjU1Nzk5IiB5PSItMC4wODg5OTY2IiB3aWR0aD0iMTkuNTIw&#10;OCIgaGVpZ2h0PSIyMC41ODg2Ii8+PC9jbGlwUGF0aD48Y2xpcFBhdGggaWQ9ImNsaXA3MyI+PHJl&#10;Y3QgeD0iNy42MjkzOWUtMDYiIHk9IjMuMTA0MzdlLTA1IiB3aWR0aD0iMTgiIGhlaWdodD0iMTki&#10;Lz48L2NsaXBQYXRoPjxjbGlwUGF0aCBpZD0iY2xpcDc0Ij48cmVjdCB4PSIyMzQiIHk9IjYxMyIg&#10;d2lkdGg9IjEzIiBoZWlnaHQ9IjEzIi8+PC9jbGlwUGF0aD48Y2xpcFBhdGggaWQ9ImNsaXA3NSI+&#10;PHJlY3QgeD0iMjM0IiB5PSI2MTMiIHdpZHRoPSIxMyIgaGVpZ2h0PSIxMyIvPjwvY2xpcFBhdGg+&#10;PGNsaXBQYXRoIGlkPSJjbGlwNzYiPjxyZWN0IHg9Ii0wLjI1NTc5OSIgeT0iLTAuMDgwOTA4MSIg&#10;d2lkdGg9IjE5LjUyMDgiIGhlaWdodD0iMjAuNTg4NiIvPjwvY2xpcFBhdGg+PGNsaXBQYXRoIGlk&#10;PSJjbGlwNzciPjxyZWN0IHg9IjcuNjI5MzllLTA2IiB5PSIyLjgwMTk4ZS0wNSIgd2lkdGg9IjE4&#10;IiBoZWlnaHQ9IjE5Ii8+PC9jbGlwUGF0aD48Y2xpcFBhdGggaWQ9ImNsaXA3OCI+PHJlY3QgeD0i&#10;NDU3IiB5PSIyMTciIHdpZHRoPSIxMiIgaGVpZ2h0PSIxMyIvPjwvY2xpcFBhdGg+PGNsaXBQYXRo&#10;IGlkPSJjbGlwNzkiPjxyZWN0IHg9IjQ1NyIgeT0iMjE3IiB3aWR0aD0iMTIiIGhlaWdodD0iMTMi&#10;Lz48L2NsaXBQYXRoPjxjbGlwUGF0aCBpZD0iY2xpcDgwIj48cmVjdCB4PSItMS40MzM4OSIgeT0i&#10;LTEuMzQ5MDIiIHdpZHRoPSIxOC40ODEzIiBoZWlnaHQ9IjE4LjQyMTQiLz48L2NsaXBQYXRoPjxj&#10;bGlwUGF0aCBpZD0iY2xpcDgyIj48cmVjdCB4PSIzLjA1MTc2ZS0wNSIgeT0iMS44MjQzNGUtMDUi&#10;IHdpZHRoPSIxNiIgaGVpZ2h0PSIxNyIvPjwvY2xpcFBhdGg+PGNsaXBQYXRoIGlkPSJjbGlwODMi&#10;PjxyZWN0IHg9IjQ1NyIgeT0iMjM3IiB3aWR0aD0iMTIiIGhlaWdodD0iMTMiLz48L2NsaXBQYXRo&#10;PjxjbGlwUGF0aCBpZD0iY2xpcDg0Ij48cmVjdCB4PSI0NTciIHk9IjIzNyIgd2lkdGg9IjEyIiBo&#10;ZWlnaHQ9IjEzIi8+PC9jbGlwUGF0aD48Y2xpcFBhdGggaWQ9ImNsaXA4NSI+PHJlY3QgeD0iLTEu&#10;NDMzODkiIHk9Ii0wLjIwODQ0OSIgd2lkdGg9IjE4LjQ4MTMiIGhlaWdodD0iMTguNDIxNCIvPjwv&#10;Y2xpcFBhdGg+PGNsaXBQYXRoIGlkPSJjbGlwODYiPjxyZWN0IHg9IjMuMDUxNzZlLTA1IiB5PSIt&#10;Mi4zNzExMmUtMDUiIHdpZHRoPSIxNiIgaGVpZ2h0PSIxNyIvPjwvY2xpcFBhdGg+PGNsaXBQYXRo&#10;IGlkPSJjbGlwODciPjxyZWN0IHg9IjQ1NyIgeT0iMzAwIiB3aWR0aD0iMTIiIGhlaWdodD0iMTMi&#10;Lz48L2NsaXBQYXRoPjxjbGlwUGF0aCBpZD0iY2xpcDg4Ij48cmVjdCB4PSI0NTciIHk9IjMwMCIg&#10;d2lkdGg9IjEyIiBoZWlnaHQ9IjEzIi8+PC9jbGlwUGF0aD48Y2xpcFBhdGggaWQ9ImNsaXA4OSI+&#10;PHJlY3QgeD0iLTEuNDMzODkiIHk9Ii0wLjQ2ODk4NiIgd2lkdGg9IjE4LjQ4MTMiIGhlaWdodD0i&#10;MTguNDIxNCIvPjwvY2xpcFBhdGg+PGNsaXBQYXRoIGlkPSJjbGlwOTAiPjxyZWN0IHg9IjMuMDUx&#10;NzZlLTA1IiB5PSItMi4zNDA5NGUtMDYiIHdpZHRoPSIxNiIgaGVpZ2h0PSIxNyIvPjwvY2xpcFBh&#10;dGg+PGNsaXBQYXRoIGlkPSJjbGlwOTEiPjxyZWN0IHg9IjQ1NyIgeT0iMzM0IiB3aWR0aD0iMTIi&#10;IGhlaWdodD0iMTMiLz48L2NsaXBQYXRoPjxjbGlwUGF0aCBpZD0iY2xpcDkyIj48cmVjdCB4PSI0&#10;NTciIHk9IjMzNCIgd2lkdGg9IjEyIiBoZWlnaHQ9IjEzIi8+PC9jbGlwUGF0aD48Y2xpcFBhdGgg&#10;aWQ9ImNsaXA5MyI+PHJlY3QgeD0iLTEuNDMzODkiIHk9Ii0xLjAyMzM1IiB3aWR0aD0iMTguNDgx&#10;MyIgaGVpZ2h0PSIxOC40MjE0Ii8+PC9jbGlwUGF0aD48Y2xpcFBhdGggaWQ9ImNsaXA5NCI+PHJl&#10;Y3QgeD0iMy4wNTE3NmUtMDUiIHk9Ii0yLjQ4NTA1ZS0wNSIgd2lkdGg9IjE2IiBoZWlnaHQ9IjE3&#10;Ii8+PC9jbGlwUGF0aD48Y2xpcFBhdGggaWQ9ImNsaXA5NSI+PHJlY3QgeD0iNDU3IiB5PSIzNjgi&#10;IHdpZHRoPSIxMiIgaGVpZ2h0PSIxMyIvPjwvY2xpcFBhdGg+PGNsaXBQYXRoIGlkPSJjbGlwOTYi&#10;PjxyZWN0IHg9IjQ1NyIgeT0iMzY4IiB3aWR0aD0iMTIiIGhlaWdodD0iMTMiLz48L2NsaXBQYXRo&#10;PjxjbGlwUGF0aCBpZD0iY2xpcDk3Ij48cmVjdCB4PSItMS40MzM4OSIgeT0iLTAuNDQ0MzgiIHdp&#10;ZHRoPSIxOC40ODEzIiBoZWlnaHQ9IjE4LjQyMTQiLz48L2NsaXBQYXRoPjxjbGlwUGF0aCBpZD0i&#10;Y2xpcDk4Ij48cmVjdCB4PSIzLjA1MTc2ZS0wNSIgeT0iMS4xNzIyM2UtMDUiIHdpZHRoPSIxNiIg&#10;aGVpZ2h0PSIxNyIvPjwvY2xpcFBhdGg+PGNsaXBQYXRoIGlkPSJjbGlwOTkiPjxyZWN0IHg9IjQ1&#10;NyIgeT0iMzg4IiB3aWR0aD0iMTIiIGhlaWdodD0iMTMiLz48L2NsaXBQYXRoPjxjbGlwUGF0aCBp&#10;ZD0iY2xpcDEwMCI+PHJlY3QgeD0iNDU3IiB5PSIzODgiIHdpZHRoPSIxMiIgaGVpZ2h0PSIxMyIv&#10;PjwvY2xpcFBhdGg+PGNsaXBQYXRoIGlkPSJjbGlwMTAxIj48cmVjdCB4PSItMS40MzM4OSIgeT0i&#10;LTAuNDM3MTQyIiB3aWR0aD0iMTguNDgxMyIgaGVpZ2h0PSIxOC40MjE0Ii8+PC9jbGlwUGF0aD48&#10;Y2xpcFBhdGggaWQ9ImNsaXAxMDIiPjxyZWN0IHg9IjMuMDUxNzZlLTA1IiB5PSItMS41NTUyN2Ut&#10;MDUiIHdpZHRoPSIxNiIgaGVpZ2h0PSIxNyIvPjwvY2xpcFBhdGg+PGNsaXBQYXRoIGlkPSJjbGlw&#10;MTAzIj48cmVjdCB4PSI0NTciIHk9IjQ2MSIgd2lkdGg9IjEyIiBoZWlnaHQ9IjEzIi8+PC9jbGlw&#10;UGF0aD48Y2xpcFBhdGggaWQ9ImNsaXAxMDQiPjxyZWN0IHg9IjQ1NyIgeT0iNDYxIiB3aWR0aD0i&#10;MTIiIGhlaWdodD0iMTMiLz48L2NsaXBQYXRoPjxjbGlwUGF0aCBpZD0iY2xpcDEwNSI+PHJlY3Qg&#10;eD0iLTEuNDMzODkiIHk9Ii0xLjI2MDczIiB3aWR0aD0iMTguNDgxMyIgaGVpZ2h0PSIxOC40MjE0&#10;Ii8+PC9jbGlwUGF0aD48Y2xpcFBhdGggaWQ9ImNsaXAxMDYiPjxyZWN0IHg9IjMuMDUxNzZlLTA1&#10;IiB5PSItMS41NzM5ZS0wNSIgd2lkdGg9IjE2IiBoZWlnaHQ9IjE3Ii8+PC9jbGlwUGF0aD48Y2xp&#10;cFBhdGggaWQ9ImNsaXAxMDciPjxyZWN0IHg9IjQ1NyIgeT0iNTEwIiB3aWR0aD0iMTIiIGhlaWdo&#10;dD0iMTMiLz48L2NsaXBQYXRoPjxjbGlwUGF0aCBpZD0iY2xpcDEwOCI+PHJlY3QgeD0iNDU3IiB5&#10;PSI1MTAiIHdpZHRoPSIxMiIgaGVpZ2h0PSIxMyIvPjwvY2xpcFBhdGg+PGNsaXBQYXRoIGlkPSJj&#10;bGlwMTA5Ij48cmVjdCB4PSItMS40MzM4OSIgeT0iLTAuOTU5NjYzIiB3aWR0aD0iMTguNDgxMyIg&#10;aGVpZ2h0PSIxOC40MjE0Ii8+PC9jbGlwUGF0aD48Y2xpcFBhdGggaWQ9ImNsaXAxMTAiPjxyZWN0&#10;IHg9IjMuMDUxNzZlLTA1IiB5PSItNS4xMjc0ZS0wNSIgd2lkdGg9IjE2IiBoZWlnaHQ9IjE3Ii8+&#10;PC9jbGlwUGF0aD48Y2xpcFBhdGggaWQ9ImNsaXAxMTEiPjxyZWN0IHg9IjQ1NyIgeT0iNTI5IiB3&#10;aWR0aD0iMTIiIGhlaWdodD0iMTMiLz48L2NsaXBQYXRoPjxjbGlwUGF0aCBpZD0iY2xpcDExMiI+&#10;PHJlY3QgeD0iNDU3IiB5PSI1MjkiIHdpZHRoPSIxMiIgaGVpZ2h0PSIxMyIvPjwvY2xpcFBhdGg+&#10;PGNsaXBQYXRoIGlkPSJjbGlwMTEzIj48cmVjdCB4PSItMS40MzM4OSIgeT0iLTEuMjM2MTIiIHdp&#10;ZHRoPSIxOC40ODEzIiBoZWlnaHQ9IjE4LjQyMTQiLz48L2NsaXBQYXRoPjxjbGlwUGF0aCBpZD0i&#10;Y2xpcDExNCI+PHJlY3QgeD0iMy4wNTE3NmUtMDUiIHk9Ii00LjQ5MmUtMDUiIHdpZHRoPSIxNiIg&#10;aGVpZ2h0PSIxNyIvPjwvY2xpcFBhdGg+PGNsaXBQYXRoIGlkPSJjbGlwMTE1Ij48cmVjdCB4PSI0&#10;NTciIHk9IjU0OSIgd2lkdGg9IjEyIiBoZWlnaHQ9IjEzIi8+PC9jbGlwUGF0aD48Y2xpcFBhdGgg&#10;aWQ9ImNsaXAxMTYiPjxyZWN0IHg9IjQ1NyIgeT0iNTQ5IiB3aWR0aD0iMTIiIGhlaWdodD0iMTMi&#10;Lz48L2NsaXBQYXRoPjxjbGlwUGF0aCBpZD0iY2xpcDExNyI+PHJlY3QgeD0iLTEuNDMzODkiIHk9&#10;Ii0xLjIyODg4IiB3aWR0aD0iMTguNDgxMyIgaGVpZ2h0PSIxOC40MjE0Ii8+PC9jbGlwUGF0aD48&#10;Y2xpcFBhdGggaWQ9ImNsaXAxMTgiPjxyZWN0IHg9IjMuMDUxNzZlLTA1IiB5PSItMi44OTUwN2Ut&#10;MDUiIHdpZHRoPSIxNiIgaGVpZ2h0PSIxNyIvPjwvY2xpcFBhdGg+PGNsaXBQYXRoIGlkPSJjbGlw&#10;MTE5Ij48cmVjdCB4PSI0NTciIHk9IjU2OSIgd2lkdGg9IjEyIiBoZWlnaHQ9IjEzIi8+PC9jbGlw&#10;UGF0aD48Y2xpcFBhdGggaWQ9ImNsaXAxMjAiPjxyZWN0IHg9IjQ1NyIgeT0iNTY5IiB3aWR0aD0i&#10;MTIiIGhlaWdodD0iMTMiLz48L2NsaXBQYXRoPjxjbGlwUGF0aCBpZD0iY2xpcDEyMSI+PHJlY3Qg&#10;eD0iLTEuNDMzODkiIHk9Ii0xLjIyMTY1IiB3aWR0aD0iMTguNDgxMyIgaGVpZ2h0PSIxOC40MjE0&#10;Ii8+PC9jbGlwUGF0aD48Y2xpcFBhdGggaWQ9ImNsaXAxMjIiPjxyZWN0IHg9IjMuMDUxNzZlLTA1&#10;IiB5PSIyLjI2MDAzZS0wNSIgd2lkdGg9IjE2IiBoZWlnaHQ9IjE3Ii8+PC9jbGlwUGF0aD48Y2xp&#10;cFBhdGggaWQ9ImNsaXAxMjMiPjxyZWN0IHg9IjQ1NyIgeT0iNTg5IiB3aWR0aD0iMTIiIGhlaWdo&#10;dD0iMTMiLz48L2NsaXBQYXRoPjxjbGlwUGF0aCBpZD0iY2xpcDEyNCI+PHJlY3QgeD0iNDU3IiB5&#10;PSI1ODkiIHdpZHRoPSIxMiIgaGVpZ2h0PSIxMyIvPjwvY2xpcFBhdGg+PGNsaXBQYXRoIGlkPSJj&#10;bGlwMTI1Ij48cmVjdCB4PSItMS40MzM4OSIgeT0iLTAuMDgxMDc2IiB3aWR0aD0iMTguNDgxMyIg&#10;aGVpZ2h0PSIxOC40MjE0Ii8+PC9jbGlwUGF0aD48Y2xpcFBhdGggaWQ9ImNsaXAxMjYiPjxyZWN0&#10;IHg9IjMuMDUxNzZlLTA1IiB5PSItMy4yMDgwOWUtMDUiIHdpZHRoPSIxNiIgaGVpZ2h0PSIxNyIv&#10;PjwvY2xpcFBhdGg+PGNsaXBQYXRoIGlkPSJjbGlwMTI3Ij48cmVjdCB4PSI2NzciIHk9IjIxOCIg&#10;d2lkdGg9IjEyIiBoZWlnaHQ9IjEzIi8+PC9jbGlwUGF0aD48Y2xpcFBhdGggaWQ9ImNsaXAxMjgi&#10;PjxyZWN0IHg9IjY3NyIgeT0iMjE4IiB3aWR0aD0iMTIiIGhlaWdodD0iMTMiLz48L2NsaXBQYXRo&#10;PjxjbGlwUGF0aCBpZD0iY2xpcDEyOSI+PHJlY3QgeD0iLTEuMTAyNjciIHk9Ii0wLjYyNzg1OCIg&#10;d2lkdGg9IjE4LjQ4MTMiIGhlaWdodD0iMTguNDIxNCIvPjwvY2xpcFBhdGg+PGNsaXBQYXRoIGlk&#10;PSJjbGlwMTMwIj48cmVjdCB4PSIyLjMzOTQ0ZS0wNSIgeT0iLTguODI3NzJlLTA2IiB3aWR0aD0i&#10;MTYiIGhlaWdodD0iMTciLz48L2NsaXBQYXRoPjxjbGlwUGF0aCBpZD0iY2xpcDEzMSI+PHJlY3Qg&#10;eD0iNjc3IiB5PSIyNjYiIHdpZHRoPSIxMiIgaGVpZ2h0PSIxMyIvPjwvY2xpcFBhdGg+PGNsaXBQ&#10;YXRoIGlkPSJjbGlwMTMyIj48cmVjdCB4PSI2NzciIHk9IjI2NiIgd2lkdGg9IjEyIiBoZWlnaHQ9&#10;IjEzIi8+PC9jbGlwUGF0aD48Y2xpcFBhdGggaWQ9ImNsaXAxMzMiPjxyZWN0IHg9Ii0xLjEwMjY3&#10;IiB5PSItMC42MTA0ODkiIHdpZHRoPSIxOC40ODEzIiBoZWlnaHQ9IjE4LjQyMTQiLz48L2NsaXBQ&#10;YXRoPjxjbGlwUGF0aCBpZD0iY2xpcDEzNCI+PHJlY3QgeD0iMi4zMzk0NGUtMDUiIHk9IjEuOTky&#10;OTdlLTA2IiB3aWR0aD0iMTYiIGhlaWdodD0iMTciLz48L2NsaXBQYXRoPjxjbGlwUGF0aCBpZD0i&#10;Y2xpcDEzNSI+PHJlY3QgeD0iNjc3IiB5PSIzMDAiIHdpZHRoPSIxMiIgaGVpZ2h0PSIxMyIvPjwv&#10;Y2xpcFBhdGg+PGNsaXBQYXRoIGlkPSJjbGlwMTM2Ij48cmVjdCB4PSI2NzciIHk9IjMwMCIgd2lk&#10;dGg9IjEyIiBoZWlnaHQ9IjEzIi8+PC9jbGlwUGF0aD48Y2xpcFBhdGggaWQ9ImNsaXAxMzciPjxy&#10;ZWN0IHg9Ii0xLjEwMjY3IiB5PSItMS4xNjQ4NSIgd2lkdGg9IjE4LjQ4MTMiIGhlaWdodD0iMTgu&#10;NDIxNCIvPjwvY2xpcFBhdGg+PGNsaXBQYXRoIGlkPSJjbGlwMTM4Ij48cmVjdCB4PSIyLjMzOTQ0&#10;ZS0wNSIgeT0iLTcuNzg5ODdlLTA2IiB3aWR0aD0iMTYiIGhlaWdodD0iMTciLz48L2NsaXBQYXRo&#10;PjxjbGlwUGF0aCBpZD0iY2xpcDEzOSI+PHJlY3QgeD0iNjc3IiB5PSIzNjAiIHdpZHRoPSIxMiIg&#10;aGVpZ2h0PSIxMyIvPjwvY2xpcFBhdGg+PGNsaXBQYXRoIGlkPSJjbGlwMTQwIj48cmVjdCB4PSI2&#10;NzciIHk9IjM2MCIgd2lkdGg9IjEyIiBoZWlnaHQ9IjEzIi8+PC9jbGlwUGF0aD48Y2xpcFBhdGgg&#10;aWQ9ImNsaXAxNDEiPjxyZWN0IHg9Ii0xLjEwMjY3IiB5PSItMC4wMDk4MDc3NSIgd2lkdGg9IjE4&#10;LjQ4MTMiIGhlaWdodD0iMTguNDIxNCIvPjwvY2xpcFBhdGg+PGNsaXBQYXRoIGlkPSJjbGlwMTQy&#10;Ij48cmVjdCB4PSIyLjMzOTQ0ZS0wNSIgeT0iLTIuNTQ2ODRlLTA1IiB3aWR0aD0iMTYiIGhlaWdo&#10;dD0iMTciLz48L2NsaXBQYXRoPjxjbGlwUGF0aCBpZD0iY2xpcDE0MyI+PHJlY3QgeD0iNjc3IiB5&#10;PSI0MDgiIHdpZHRoPSIxMiIgaGVpZ2h0PSIxMyIvPjwvY2xpcFBhdGg+PGNsaXBQYXRoIGlkPSJj&#10;bGlwMTQ0Ij48cmVjdCB4PSI2NzciIHk9IjQwOCIgd2lkdGg9IjEyIiBoZWlnaHQ9IjEzIi8+PC9j&#10;bGlwUGF0aD48Y2xpcFBhdGggaWQ9ImNsaXAxNDUiPjxyZWN0IHg9Ii0xLjEwMjY3IiB5PSItMS4x&#10;MjU3NyIgd2lkdGg9IjE4LjQ4MTMiIGhlaWdodD0iMTguNDIxNCIvPjwvY2xpcFBhdGg+PGNsaXBQ&#10;YXRoIGlkPSJjbGlwMTQ2Ij48cmVjdCB4PSIyLjMzOTQ0ZS0wNSIgeT0iMy4xODM5NmUtMDgiIHdp&#10;ZHRoPSIxNiIgaGVpZ2h0PSIxNyIvPjwvY2xpcFBhdGg+PGNsaXBQYXRoIGlkPSJjbGlwMTQ3Ij48&#10;cmVjdCB4PSI2NzciIHk9IjQ0MiIgd2lkdGg9IjEyIiBoZWlnaHQ9IjEzIi8+PC9jbGlwUGF0aD48&#10;Y2xpcFBhdGggaWQ9ImNsaXAxNDgiPjxyZWN0IHg9IjY3NyIgeT0iNDQyIiB3aWR0aD0iMTIiIGhl&#10;aWdodD0iMTMiLz48L2NsaXBQYXRoPjxjbGlwUGF0aCBpZD0iY2xpcDE0OSI+PHJlY3QgeD0iLTEu&#10;MTAyNjciIHk9Ii0wLjU0NjgwMiIgd2lkdGg9IjE4LjQ4MTMiIGhlaWdodD0iMTguNDIxNCIvPjwv&#10;Y2xpcFBhdGg+PGNsaXBQYXRoIGlkPSJjbGlwMTUwIj48cmVjdCB4PSIyLjMzOTQ0ZS0wNSIgeT0i&#10;LTYuNjM5NjNlLTA2IiB3aWR0aD0iMTYiIGhlaWdodD0iMTciLz48L2NsaXBQYXRoPjxjbGlwUGF0&#10;aCBpZD0iY2xpcDE1MSI+PHJlY3QgeD0iNjc3IiB5PSI0NzYiIHdpZHRoPSIxMiIgaGVpZ2h0PSIx&#10;MyIvPjwvY2xpcFBhdGg+PGNsaXBQYXRoIGlkPSJjbGlwMTUyIj48cmVjdCB4PSI2NzciIHk9IjQ3&#10;NiIgd2lkdGg9IjEyIiBoZWlnaHQ9IjEzIi8+PC9jbGlwUGF0aD48Y2xpcFBhdGggaWQ9ImNsaXAx&#10;NTMiPjxyZWN0IHg9Ii0xLjEwMjY3IiB5PSItMS4xMDExNyIgd2lkdGg9IjE4LjQ4MTMiIGhlaWdo&#10;dD0iMTguNDIxNCIvPjwvY2xpcFBhdGg+PGNsaXBQYXRoIGlkPSJjbGlwMTU0Ij48cmVjdCB4PSIy&#10;LjMzOTQ0ZS0wNSIgeT0iLTQuNjk0MDFlLTA1IiB3aWR0aD0iMTYiIGhlaWdodD0iMTciLz48L2Ns&#10;aXBQYXRoPjxjbGlwUGF0aCBpZD0iY2xpcDE1NSI+PHJlY3QgeD0iNjc3IiB5PSI1MTEiIHdpZHRo&#10;PSIxMiIgaGVpZ2h0PSIxMyIvPjwvY2xpcFBhdGg+PGNsaXBQYXRoIGlkPSJjbGlwMTU2Ij48cmVj&#10;dCB4PSI2NzciIHk9IjUxMSIgd2lkdGg9IjEyIiBoZWlnaHQ9IjEzIi8+PC9jbGlwUGF0aD48Y2xp&#10;cFBhdGggaWQ9ImNsaXAxNTciPjxyZWN0IHg9Ii0xLjEwMjY3IiB5PSItMC4yMzg1MDEiIHdpZHRo&#10;PSIxOC40ODEzIiBoZWlnaHQ9IjE4LjQyMTQiLz48L2NsaXBQYXRoPjxjbGlwUGF0aCBpZD0iY2xp&#10;cDE1OCI+PHJlY3QgeD0iMi4zMzk0NGUtMDUiIHk9Ii04LjQxNDQ0ZS0wNiIgd2lkdGg9IjE2IiBo&#10;ZWlnaHQ9IjE3Ii8+PC9jbGlwUGF0aD48Y2xpcFBhdGggaWQ9ImNsaXAxNTkiPjxyZWN0IHg9Ijkw&#10;MyIgeT0iMjE4IiB3aWR0aD0iMTEiIGhlaWdodD0iMTMiLz48L2NsaXBQYXRoPjxjbGlwUGF0aCBp&#10;ZD0iY2xpcDE2MCI+PHJlY3QgeD0iOTAzIiB5PSIyMTgiIHdpZHRoPSIxMSIgaGVpZ2h0PSIxMyIv&#10;PjwvY2xpcFBhdGg+PGNsaXBQYXRoIGlkPSJjbGlwMTYxIj48cmVjdCB4PSItMC4wMTU3MzAyIiB5&#10;PSItMC42Mjc4NTgiIHdpZHRoPSIxNi45NDEyIiBoZWlnaHQ9IjE4LjQyMTQiLz48L2NsaXBQYXRo&#10;PjxjbGlwUGF0aCBpZD0iY2xpcDE2MiI+PHJlY3QgeD0iNy42MjkzOWUtMDYiIHk9Ii04LjgyNzcy&#10;ZS0wNiIgd2lkdGg9IjE2IiBoZWlnaHQ9IjE3Ii8+PC9jbGlwUGF0aD48Y2xpcFBhdGggaWQ9ImNs&#10;aXAxNjMiPjxyZWN0IHg9IjkwMyIgeT0iMjM3IiB3aWR0aD0iMTEiIGhlaWdodD0iMTMiLz48L2Ns&#10;aXBQYXRoPjxjbGlwUGF0aCBpZD0iY2xpcDE2NCI+PHJlY3QgeD0iOTAzIiB5PSIyMzciIHdpZHRo&#10;PSIxMSIgaGVpZ2h0PSIxMyIvPjwvY2xpcFBhdGg+PGNsaXBQYXRoIGlkPSJjbGlwMTY1Ij48cmVj&#10;dCB4PSItMC4wMTU3MzAyIiB5PSItMC45MDQzMTYiIHdpZHRoPSIxNi45NDEyIiBoZWlnaHQ9IjE4&#10;LjQyMTQiLz48L2NsaXBQYXRoPjxjbGlwUGF0aCBpZD0iY2xpcDE2NiI+PHJlY3QgeD0iNy42Mjkz&#10;OWUtMDYiIHk9IjEuMDI1MjllLTA1IiB3aWR0aD0iMTYiIGhlaWdodD0iMTciLz48L2NsaXBQYXRo&#10;PjxjbGlwUGF0aCBpZD0iY2xpcDE2NyI+PHJlY3QgeD0iOTAzIiB5PSIyNzIiIHdpZHRoPSIxMSIg&#10;aGVpZ2h0PSIxMyIvPjwvY2xpcFBhdGg+PGNsaXBQYXRoIGlkPSJjbGlwMTY4Ij48cmVjdCB4PSI5&#10;MDMiIHk9IjI3MiIgd2lkdGg9IjExIiBoZWlnaHQ9IjEzIi8+PC9jbGlwUGF0aD48Y2xpcFBhdGgg&#10;aWQ9ImNsaXAxNjkiPjxyZWN0IHg9Ii0wLjAxNTczMDIiIHk9Ii0wLjA0MTY1MTEiIHdpZHRoPSIx&#10;Ni45NDEyIiBoZWlnaHQ9IjE4LjQyMTQiLz48L2NsaXBQYXRoPjxjbGlwUGF0aCBpZD0iY2xpcDE3&#10;MCI+PHJlY3QgeD0iNy42MjkzOWUtMDYiIHk9Ii0xLjIyNTY2ZS0wNSIgd2lkdGg9IjE2IiBoZWln&#10;aHQ9IjE3Ii8+PC9jbGlwUGF0aD48Y2xpcFBhdGggaWQ9ImNsaXAxNzEiPjxyZWN0IHg9IjkwMyIg&#10;eT0iMjkyIiB3aWR0aD0iMTEiIGhlaWdodD0iMTMiLz48L2NsaXBQYXRoPjxjbGlwUGF0aCBpZD0i&#10;Y2xpcDE3MiI+PHJlY3QgeD0iOTAzIiB5PSIyOTIiIHdpZHRoPSIxMSIgaGVpZ2h0PSIxMyIvPjwv&#10;Y2xpcFBhdGg+PGNsaXBQYXRoIGlkPSJjbGlwMTczIj48cmVjdCB4PSItMC4wMTU3MzAyIiB5PSIt&#10;MC4wMzQ0MTQiIHdpZHRoPSIxNi45NDEyIiBoZWlnaHQ9IjE4LjQyMTQiLz48L2NsaXBQYXRoPjxj&#10;bGlwUGF0aCBpZD0iY2xpcDE3NCI+PHJlY3QgeD0iNy42MjkzOWUtMDYiIHk9Ii05LjAxNDA0ZS0w&#10;NiIgd2lkdGg9IjE2IiBoZWlnaHQ9IjE3Ii8+PC9jbGlwUGF0aD48Y2xpcFBhdGggaWQ9ImNsaXAx&#10;NzUiPjxyZWN0IHg9IjkwMyIgeT0iMzExIiB3aWR0aD0iMTEiIGhlaWdodD0iMTMiLz48L2NsaXBQ&#10;YXRoPjxjbGlwUGF0aCBpZD0iY2xpcDE3NiI+PHJlY3QgeD0iOTAzIiB5PSIzMTEiIHdpZHRoPSIx&#10;MSIgaGVpZ2h0PSIxMyIvPjwvY2xpcFBhdGg+PGNsaXBQYXRoIGlkPSJjbGlwMTc3Ij48cmVjdCB4&#10;PSItMC4wMTU3MzAyIiB5PSItMC4zMTA4NzIiIHdpZHRoPSIxNi45NDEyIiBoZWlnaHQ9IjE4LjQy&#10;MTQiLz48L2NsaXBQYXRoPjxjbGlwUGF0aCBpZD0iY2xpcDE3OCI+PHJlY3QgeD0iNy42MjkzOWUt&#10;MDYiIHk9Ii0yLjA0NTFlLTA1IiB3aWR0aD0iMTYiIGhlaWdodD0iMTciLz48L2NsaXBQYXRoPjxj&#10;bGlwUGF0aCBpZD0iY2xpcDE3OSI+PHJlY3QgeD0iOTAzIiB5PSIzMzEiIHdpZHRoPSIxMSIgaGVp&#10;Z2h0PSIxMyIvPjwvY2xpcFBhdGg+PGNsaXBQYXRoIGlkPSJjbGlwMTgwIj48cmVjdCB4PSI5MDMi&#10;IHk9IjMzMSIgd2lkdGg9IjExIiBoZWlnaHQ9IjEzIi8+PC9jbGlwUGF0aD48Y2xpcFBhdGggaWQ9&#10;ImNsaXAxODEiPjxyZWN0IHg9Ii0wLjAxNTczMDIiIHk9Ii0wLjMwMzYzNSIgd2lkdGg9IjE2Ljk0&#10;MTIiIGhlaWdodD0iMTguNDIxNCIvPjwvY2xpcFBhdGg+PGNsaXBQYXRoIGlkPSJjbGlwMTgyIj48&#10;cmVjdCB4PSI3LjYyOTM5ZS0wNiIgeT0iLTIuOTkzNTFlLTA1IiB3aWR0aD0iMTYiIGhlaWdodD0i&#10;MTciLz48L2NsaXBQYXRoPjxjbGlwUGF0aCBpZD0iY2xpcDE4MyI+PHJlY3QgeD0iOTAzIiB5PSIz&#10;OTAiIHdpZHRoPSIxMSIgaGVpZ2h0PSIxMyIvPjwvY2xpcFBhdGg+PGNsaXBQYXRoIGlkPSJjbGlw&#10;MTg0Ij48cmVjdCB4PSI5MDMiIHk9IjM5MCIgd2lkdGg9IjExIiBoZWlnaHQ9IjEzIi8+PC9jbGlw&#10;UGF0aD48Y2xpcFBhdGggaWQ9ImNsaXAxODUiPjxyZWN0IHg9Ii0wLjAxNTczMDIiIHk9Ii0wLjU2&#10;NTYxOSIgd2lkdGg9IjE2Ljk0MTIiIGhlaWdodD0iMTguNDIxNCIvPjwvY2xpcFBhdGg+PGNsaXBQ&#10;YXRoIGlkPSJjbGlwMTg2Ij48cmVjdCB4PSI3LjYyOTM5ZS0wNiIgeT0iLTQuMzY5M2UtMDYiIHdp&#10;ZHRoPSIxNiIgaGVpZ2h0PSIxNyIvPjwvY2xpcFBhdGg+PGNsaXBQYXRoIGlkPSJjbGlwMTg3Ij48&#10;cmVjdCB4PSI5MDMiIHk9IjQyNCIgd2lkdGg9IjExIiBoZWlnaHQ9IjEzIi8+PC9jbGlwUGF0aD48&#10;Y2xpcFBhdGggaWQ9ImNsaXAxODgiPjxyZWN0IHg9IjkwMyIgeT0iNDI0IiB3aWR0aD0iMTEiIGhl&#10;aWdodD0iMTMiLz48L2NsaXBQYXRoPjxjbGlwUGF0aCBpZD0iY2xpcDE4OSI+PHJlY3QgeD0iLTAu&#10;MDE1NzMwMiIgeT0iLTEuMTE5OTgiIHdpZHRoPSIxNi45NDEyIiBoZWlnaHQ9IjE4LjQyMTQiLz48&#10;L2NsaXBQYXRoPjxjbGlwUGF0aCBpZD0iY2xpcDE5MCI+PHJlY3QgeD0iNy42MjkzOWUtMDYiIHk9&#10;Ii0yLjY4Nzg4ZS0wNSIgd2lkdGg9IjE2IiBoZWlnaHQ9IjE3Ii8+PC9jbGlwUGF0aD48Y2xpcFBh&#10;dGggaWQ9ImNsaXAxOTEiPjxyZWN0IHg9IjkwMyIgeT0iNDcyIiB3aWR0aD0iMTEiIGhlaWdodD0i&#10;MTMiLz48L2NsaXBQYXRoPjxjbGlwUGF0aCBpZD0iY2xpcDE5MiI+PHJlY3QgeD0iOTAzIiB5PSI0&#10;NzIiIHdpZHRoPSIxMSIgaGVpZ2h0PSIxMyIvPjwvY2xpcFBhdGg+PGNsaXBQYXRoIGlkPSJjbGlw&#10;MTkzIj48cmVjdCB4PSItMC4wMTU3MzAyIiB5PSItMS4xMDI2MSIgd2lkdGg9IjE2Ljk0MTIiIGhl&#10;aWdodD0iMTguNDIxNCIvPjwvY2xpcFBhdGg+PGNsaXBQYXRoIGlkPSJjbGlwMTk0Ij48cmVjdCB4&#10;PSI3LjYyOTM5ZS0wNiIgeT0iMS40NDU5NGUtMDUiIHdpZHRoPSIxNiIgaGVpZ2h0PSIxNyIvPjwv&#10;Y2xpcFBhdGg+PHBhdHRlcm4gd2lkdGg9IjgiIGhlaWdodD0iOCIgcGF0dGVyblVuaXRzPSJ1c2Vy&#10;U3BhY2VPblVzZSIgaWQ9InBhdHRlcm4xOTYiIG92ZXJmbG93PSJoaWRkZW4iIHBhdHRlcm5UcmFu&#10;c2Zvcm09Im1hdHJpeCgwLjk5ODkzMiAtMi4xMTUzMmUtMjMgMi4xMTUzMmUtMjMgMC45OTg5MzIg&#10;MCAxOTEuNzk1KSI+PHVzZSB3aWR0aD0iMTAwJSIgaGVpZ2h0PSIxMDAlIiB4bGluazpocmVmPSIj&#10;aW1nMTk1Ij48L3VzZT48L3BhdHRlcm4+PHBhdHRlcm4gd2lkdGg9IjgiIGhlaWdodD0iOCIgcGF0&#10;dGVyblVuaXRzPSJ1c2VyU3BhY2VPblVzZSIgaWQ9InBhdHRlcm4xOTgiIG92ZXJmbG93PSJoaWRk&#10;ZW4iIHBhdHRlcm5UcmFuc2Zvcm09Im1hdHJpeCgwLjk5ODkzMiAtMi4xMTUzMmUtMjMgMi4xMTUz&#10;MmUtMjMgMC45OTg5MzIgMjIzLjc2MSAxOTEuNzk1KSI+PHVzZSB3aWR0aD0iMTAwJSIgaGVpZ2h0&#10;PSIxMDAlIiB4bGluazpocmVmPSIjaW1nMTk3Ij48L3VzZT48L3BhdHRlcm4+PHBhdHRlcm4gd2lk&#10;dGg9IjgiIGhlaWdodD0iOCIgcGF0dGVyblVuaXRzPSJ1c2VyU3BhY2VPblVzZSIgaWQ9InBhdHRl&#10;cm4yMDAiIG92ZXJmbG93PSJoaWRkZW4iIHBhdHRlcm5UcmFuc2Zvcm09Im1hdHJpeCgwLjk5ODkz&#10;MiAtMi4xMTUzMmUtMjMgMi4xMTUzMmUtMjMgMC45OTg5MzIgNDQ3LjUyMSAxOTEuNzk1KSI+PHVz&#10;ZSB3aWR0aD0iMTAwJSIgaGVpZ2h0PSIxMDAlIiB4bGluazpocmVmPSIjaW1nMTk5Ij48L3VzZT48&#10;L3BhdHRlcm4+PHBhdHRlcm4gd2lkdGg9IjgiIGhlaWdodD0iOCIgcGF0dGVyblVuaXRzPSJ1c2Vy&#10;U3BhY2VPblVzZSIgaWQ9InBhdHRlcm4yMDIiIG92ZXJmbG93PSJoaWRkZW4iIHBhdHRlcm5UcmFu&#10;c2Zvcm09Im1hdHJpeCgwLjk5ODkzMiAtMi4xMTUzMmUtMjMgMi4xMTUzMmUtMjMgMC45OTg5MzIg&#10;NjcxLjI4MiAxOTEuNzk1KSI+PHVzZSB3aWR0aD0iMTAwJSIgaGVpZ2h0PSIxMDAlIiB4bGluazpo&#10;cmVmPSIjaW1nMjAxIj48L3VzZT48L3BhdHRlcm4+PHBhdHRlcm4gd2lkdGg9IjgiIGhlaWdodD0i&#10;OCIgcGF0dGVyblVuaXRzPSJ1c2VyU3BhY2VPblVzZSIgaWQ9InBhdHRlcm4yMDQiIG92ZXJmbG93&#10;PSJoaWRkZW4iIHBhdHRlcm5UcmFuc2Zvcm09Im1hdHJpeCgwLjk5ODkzMiAtMi4xMTUzMmUtMjMg&#10;Mi4xMTUzMmUtMjMgMC45OTg5MzIgODk1LjA0MyAxOTEuNzk1KSI+PHVzZSB3aWR0aD0iMTAwJSIg&#10;aGVpZ2h0PSIxMDAlIiB4bGluazpocmVmPSIjaW1nMjAzIj48L3VzZT48L3BhdHRlcm4+PGNsaXBQ&#10;YXRoIGlkPSJjbGlwMjA1Ij48cmVjdCB4PSI0MDgiIHk9IjE1NiIgd2lkdGg9IjE2IiBoZWlnaHQ9&#10;IjE5Ii8+PC9jbGlwUGF0aD48Y2xpcFBhdGggaWQ9ImNsaXAyMDYiPjxyZWN0IHg9IjQwOCIgeT0i&#10;MTU2IiB3aWR0aD0iMTYiIGhlaWdodD0iMTkiLz48L2NsaXBQYXRoPjxjbGlwUGF0aCBpZD0iY2xp&#10;cDIwNyI+PHJlY3QgeD0iNDA4IiB5PSIxNTYiIHdpZHRoPSIxNiIgaGVpZ2h0PSIxOSIvPjwvY2xp&#10;cFBhdGg+PGNsaXBQYXRoIGlkPSJjbGlwMjA4Ij48cmVjdCB4PSItMS4xOTYxNyIgeT0iLTAuNDM4&#10;NjQiIHdpZHRoPSI1Mi42ODc3IiBoZWlnaHQ9IjUxLjY0MzMiLz48L2NsaXBQYXRoPjxjbGlwUGF0&#10;aCBpZD0iY2xpcDIxMCI+PHJlY3QgeD0iMS40ODA5NWUtMDUiIHk9IjMuNTk4ODNlLTA1IiB3aWR0&#10;aD0iNTAiIGhlaWdodD0iNTAiLz48L2NsaXBQYXRoPjxjbGlwUGF0aCBpZD0iY2xpcDIxMSI+PHJl&#10;Y3QgeD0iNTk2IiB5PSIxNTUiIHdpZHRoPSIxNiIgaGVpZ2h0PSIyMCIvPjwvY2xpcFBhdGg+PGNs&#10;aXBQYXRoIGlkPSJjbGlwMjEyIj48cmVjdCB4PSI1OTYiIHk9IjE1NSIgd2lkdGg9IjE2IiBoZWln&#10;aHQ9IjIwIi8+PC9jbGlwUGF0aD48Y2xpcFBhdGggaWQ9ImNsaXAyMTMiPjxyZWN0IHg9IjU5NiIg&#10;eT0iMTU1IiB3aWR0aD0iMTYiIGhlaWdodD0iMjAiLz48L2NsaXBQYXRoPjxjbGlwUGF0aCBpZD0i&#10;Y2xpcDIxNCI+PHJlY3QgeD0iLTMuMzQyMjgiIHk9Ii0wLjk0MTg5OCIgd2lkdGg9IjU1LjYxNDgi&#10;IGhlaWdodD0iNTIuMDk2NiIvPjwvY2xpcFBhdGg+PGNsaXBQYXRoIGlkPSJjbGlwMjE1Ij48cmVj&#10;dCB4PSItMC4wMDAxMDI5OTciIHk9Ii03LjgzNzM2ZS0wNiIgd2lkdGg9IjUwIiBoZWlnaHQ9IjUw&#10;Ii8+PC9jbGlwUGF0aD48Y2xpcFBhdGggaWQ9ImNsaXAyMTYiPjxyZWN0IHg9IjgwMyIgeT0iMTU2&#10;IiB3aWR0aD0iMTciIGhlaWdodD0iMjAiLz48L2NsaXBQYXRoPjxjbGlwUGF0aCBpZD0iY2xpcDIx&#10;NyI+PHJlY3QgeD0iODAzIiB5PSIxNTYiIHdpZHRoPSIxNyIgaGVpZ2h0PSIyMCIvPjwvY2xpcFBh&#10;dGg+PGNsaXBQYXRoIGlkPSJjbGlwMjE4Ij48cmVjdCB4PSI4MDMiIHk9IjE1NiIgd2lkdGg9IjE3&#10;IiBoZWlnaHQ9IjIwIi8+PC9jbGlwUGF0aD48Y2xpcFBhdGggaWQ9ImNsaXAyMTkiPjxyZWN0IHg9&#10;Ii0zLjA5NTk3IiB5PSItMC40MjAzNjQiIHdpZHRoPSI1NS45ODA3IiBoZWlnaHQ9IjUyLjA5NjQi&#10;Lz48L2NsaXBQYXRoPjxjbGlwUGF0aCBpZD0iY2xpcDIyMCI+PHBhdGggZD0iTS05LjMyNzY1ZS0w&#10;NSAxLjI0OTUzZS0wNSA0OS45OTk5IDEuMjQ5NTNlLTA1IDQ5Ljk5OTkgNTAtOS4xNTUyN2UtMDUg&#10;NTBaIiBmaWxsLXJ1bGU9ImV2ZW5vZGQiIGNsaXAtcnVsZT0iZXZlbm9kZCIvPjwvY2xpcFBhdGg+&#10;PGNsaXBQYXRoIGlkPSJjbGlwMjIxIj48cmVjdCB4PSIxMDg0IiB5PSIxNTIiIHdpZHRoPSIxNSIg&#10;aGVpZ2h0PSIxOSIvPjwvY2xpcFBhdGg+PGNsaXBQYXRoIGlkPSJjbGlwMjIyIj48cmVjdCB4PSIx&#10;MDg0IiB5PSIxNTIiIHdpZHRoPSIxNSIgaGVpZ2h0PSIxOSIvPjwvY2xpcFBhdGg+PGNsaXBQYXRo&#10;IGlkPSJjbGlwMjIzIj48cmVjdCB4PSIxMDg0IiB5PSIxNTIiIHdpZHRoPSIxNSIgaGVpZ2h0PSIx&#10;OSIvPjwvY2xpcFBhdGg+PGNsaXBQYXRoIGlkPSJjbGlwMjI0Ij48cmVjdCB4PSItMS41MzAxMiIg&#10;eT0iLTAuNDQxNDUzIiB3aWR0aD0iNTIuMTM4OSIgaGVpZ2h0PSI1MS42NDM0Ii8+PC9jbGlwUGF0&#10;aD48Y2xpcFBhdGggaWQ9ImNsaXAyMjUiPjxwYXRoIGQ9Ik0tMC4wMDAxNDMzMDMgMi4xNTU3M2Ut&#10;MDUgNDkuOTk5OSAyLjE1NTczZS0wNSA0OS45OTk5IDUwLTAuMDAwMTQ0OTU4IDUwWiIgZmlsbC1y&#10;dWxlPSJldmVub2RkIiBjbGlwLXJ1bGU9ImV2ZW5vZGQiLz48L2NsaXBQYXRoPjxpbWFnZSB3aWR0&#10;aD0iMTgiIGhlaWdodD0iMTkiIHhsaW5rOmhyZWY9ImRhdGE6aW1hZ2UvcG5nO2Jhc2U2NCxpVkJP&#10;UncwS0dnb0FBQUFOU1VoRVVnQUFBQXNBQUFBTUNBTUFBQUNEZDdlc0FBQUFBWE5TUjBJQXJzNGM2&#10;UUFBQUFSblFVMUJBQUN4and2OFlRVUFBQUJJVUV4VVJRQUFBT3ZyZ09Qc2UrWHRoT2ZyZnVicGZ1&#10;ZnFmdWpzZnVmc2Z1YnFnT2JxZitmcmYrWHFmK2JxZ09icWYrYnFmK1hxZiticWdPYnFnT2JxZnVm&#10;cmdPYnFmK2JxZnVicWYybWxkaVlBQUFBWGRGSk9Vd0FhR3gxQlIwbFBYM2lIalp1c3JiL0Z5dXIy&#10;L1AzK1JncU1Dd0FBQUFsd1NGbHpBQUFPd3dBQURzTUJ4MitvWkFBQUFFTkpSRUZVR0ZkOXlra1Nn&#10;Q0FVQTlHZ09LSGlDTG4vVGZFSGQxYlpxN2RvL05UdktZNlZEYTFaWHVRb1A4amtLYS9rUWQ3eWNO&#10;bXp5ZkRtdGhwZG1OekxiMEFCQkxVRGVkZU9CWFFBQUFBQVNVVk9SSzVDWUlJPSIgcHJlc2VydmVB&#10;c3BlY3RSYXRpbz0ibm9uZSIgaWQ9ImltZzQiPjwvaW1hZ2U+PGltYWdlIHdpZHRoPSIxNiIgaGVp&#10;Z2h0PSIxNyIgeGxpbms6aHJlZj0iZGF0YTppbWFnZS9wbmc7YmFzZTY0LGlWQk9SdzBLR2dvQUFB&#10;QU5TVWhFVWdBQUFBb0FBQUFMQ0FNQUFBQnhzT3dxQUFBQUFYTlNSMElBcnM0YzZRQUFBQVJuUVUx&#10;QkFBQ3hqd3Y4WVFVQUFBQmFVRXhVUlFBQUFBQUFBS1JKTjU5Z1FKNVBQcDlUUUo5VlBwdFRQYUZU&#10;UGFKVFBKeFVQWjVUUEoxVlBwNVVQWjFTUHAxVFBwMVVQNTFVUFo1VFBaMVNQWjFUUFoxVFBaNVVQ&#10;WjFUUFoxVFBaMVRQWjFUUFoxVFBaMVNQWjFUUGQ3WkJ3Y0FBQUFkZEZKT1V3QUJEaEFkS0MwdUxq&#10;ZERSRTVQWTJ0NmZZR2V1YnpTM2ZYNy9QMys5TXpqVlFBQUFBbHdTRmx6QUFBT3d3QUFEc01CeDIr&#10;b1pBQUFBRWRKUkVGVUdGZFZ5amNDZ0RBTUJFRUJKcGxnaytQOS81dm9CQTFiVGJIeUw2dDkvcW85&#10;QWZUR1RZV1o2aWpzcVRJYUVaVHVObzQ4VnVxcXlHSTVnSW5TeXFGSlBqS1JCeVRiQk9Bc2hIb0JB&#10;QUFBQUVsRlRrU3VRbUNDIiBwcmVzZXJ2ZUFzcGVjdFJhdGlvPSJub25lIiBpZD0iaW1nODEiPjwv&#10;aW1hZ2U+PGltYWdlIHdpZHRoPSI4IiBoZWlnaHQ9IjgiIHhsaW5rOmhyZWY9ImRhdGE6aW1hZ2Uv&#10;anBlZztiYXNlNjQsLzlqLzRBQVFTa1pKUmdBQkFRRUFZQUJnQUFELzJ3QkRBQU1DQWdNQ0FnTURB&#10;d01FQXdNRUJRZ0ZCUVFFQlFvSEJ3WUlEQW9NREFzS0N3c05EaElRRFE0UkRnc0xFQllRRVJNVUZS&#10;VVZEQThYR0JZVUdCSVVGUlQvMndCREFRTUVCQVVFQlFrRkJRa1VEUXNORkJRVUZCUVVGQlFVRkJR&#10;VUZCUVVGQlFVRkJRVUZCUVVGQlFVRkJRVUZCUVVGQlFVRkJRVUZCUVVGQlFVRkJRVUZCVC93QUFS&#10;Q0FBSUFBZ0RBU0lBQWhFQkF4RUIvOFFBSHdBQUFRVUJBUUVCQVFFQUFBQUFBQUFBQUFFQ0F3UUZC&#10;Z2NJQ1FvTC84UUF0UkFBQWdFREF3SUVBd1VGQkFRQUFBRjlBUUlEQUFRUkJSSWhNVUVHRTFGaEJ5&#10;SnhGREtCa2FFSUkwS3h3UlZTMGZBa00ySnlnZ2tLRmhjWUdSb2xKaWNvS1NvME5UWTNPRGs2UTBS&#10;RlJrZElTVXBUVkZWV1YxaFpXbU5rWldabmFHbHFjM1IxZG5kNGVYcURoSVdHaDRpSmlwS1RsSldX&#10;bDVpWm1xS2pwS1dtcDZpcHFyS3p0TFcydDdpNXVzTER4TVhHeDhqSnl0TFQxTlhXMTlqWjJ1SGk0&#10;K1RsNXVmbzZlcng4dlAwOWZiMytQbjYvOFFBSHdFQUF3RUJBUUVCQVFFQkFRQUFBQUFBQUFFQ0F3&#10;UUZCZ2NJQ1FvTC84UUF0UkVBQWdFQ0JBUURCQWNGQkFRQUFRSjNBQUVDQXhFRUJTRXhCaEpCVVFk&#10;aGNSTWlNb0VJRkVLUm9iSEJDU016VXZBVlluTFJDaFlrTk9FbDhSY1lHUm9tSnlncEtqVTJOemc1&#10;T2tORVJVWkhTRWxLVTFSVlZsZFlXVnBqWkdWbVoyaHBhbk4wZFhaM2VIbDZnb09FaFlhSGlJbUtr&#10;cE9VbFphWG1KbWFvcU9rcGFhbnFLbXFzck8wdGJhM3VMbTZ3c1BFeGNiSHlNbkswdFBVMWRiWDJO&#10;bmE0dVBrNWVibjZPbnE4dlAwOWZiMytQbjYvOW9BREFNQkFBSVJBeEVBUHdEblArUXovd0JSNysx&#10;LysyWDl1YlB6OG5UNDkzdnYzZng3L3dCOFVVVjlYR0NtcnN3UC85az0iIHByZXNlcnZlQXNwZWN0&#10;UmF0aW89Im5vbmUiIGlkPSJpbWcxOTUiPjwvaW1hZ2U+PGltYWdlIHdpZHRoPSI4IiBoZWlnaHQ9&#10;IjgiIHhsaW5rOmhyZWY9ImRhdGE6aW1hZ2UvanBlZztiYXNlNjQsLzlqLzRBQVFTa1pKUmdBQkFR&#10;RUFZQUJnQUFELzJ3QkRBQU1DQWdNQ0FnTURBd01FQXdNRUJRZ0ZCUVFFQlFvSEJ3WUlEQW9NREFz&#10;S0N3c05EaElRRFE0UkRnc0xFQllRRVJNVUZSVVZEQThYR0JZVUdCSVVGUlQvMndCREFRTUVCQVVF&#10;QlFrRkJRa1VEUXNORkJRVUZCUVVGQlFVRkJRVUZCUVVGQlFVRkJRVUZCUVVGQlFVRkJRVUZCUVVG&#10;QlFVRkJRVUZCUVVGQlFVRkJRVUZCVC93QUFSQ0FBSUFBZ0RBU0lBQWhFQkF4RUIvOFFBSHdBQUFR&#10;VUJBUUVCQVFFQUFBQUFBQUFBQUFFQ0F3UUZCZ2NJQ1FvTC84UUF0UkFBQWdFREF3SUVBd1VGQkFR&#10;QUFBRjlBUUlEQUFRUkJSSWhNVUVHRTFGaEJ5SnhGREtCa2FFSUkwS3h3UlZTMGZBa00ySnlnZ2tL&#10;RmhjWUdSb2xKaWNvS1NvME5UWTNPRGs2UTBSRlJrZElTVXBUVkZWV1YxaFpXbU5rWldabmFHbHFj&#10;M1IxZG5kNGVYcURoSVdHaDRpSmlwS1RsSldXbDVpWm1xS2pwS1dtcDZpcHFyS3p0TFcydDdpNXVz&#10;TER4TVhHeDhqSnl0TFQxTlhXMTlqWjJ1SGk0K1RsNXVmbzZlcng4dlAwOWZiMytQbjYvOFFBSHdF&#10;QUF3RUJBUUVCQVFFQkFRQUFBQUFBQUFFQ0F3UUZCZ2NJQ1FvTC84UUF0UkVBQWdFQ0JBUURCQWNG&#10;QkFRQUFRSjNBQUVDQXhFRUJTRXhCaEpCVVFkaGNSTWlNb0VJRkVLUm9iSEJDU016VXZBVlluTFJD&#10;aFlrTk9FbDhSY1lHUm9tSnlncEtqVTJOemc1T2tORVJVWkhTRWxLVTFSVlZsZFlXVnBqWkdWbVoy&#10;aHBhbk4wZFhaM2VIbDZnb09FaFlhSGlJbUtrcE9VbFphWG1KbWFvcU9rcGFhbnFLbXFzck8wdGJh&#10;M3VMbTZ3c1BFeGNiSHlNbkswdFBVMWRiWDJObmE0dVBrNWVibjZPbnE4dlAwOWZiMytQbjYvOW9B&#10;REFNQkFBSVJBeEVBUHdEa2YrUXgvd0JSMysxdisyWDl0N1B6OG5UNDkzdnYzZnhiL3dCNlVVVitj&#10;MWFzcVR0SDllOXVqWGIra2RTVnovL1oiIHByZXNlcnZlQXNwZWN0UmF0aW89Im5vbmUiIGlkPSJp&#10;bWcxOTciPjwvaW1hZ2U+PGltYWdlIHdpZHRoPSI4IiBoZWlnaHQ9IjgiIHhsaW5rOmhyZWY9ImRh&#10;dGE6aW1hZ2UvanBlZztiYXNlNjQsLzlqLzRBQVFTa1pKUmdBQkFRRUFZQUJnQUFELzJ3QkRBQU1D&#10;QWdNQ0FnTURBd01FQXdNRUJRZ0ZCUVFFQlFvSEJ3WUlEQW9NREFzS0N3c05EaElRRFE0UkRnc0xF&#10;QllRRVJNVUZSVVZEQThYR0JZVUdCSVVGUlQvMndCREFRTUVCQVVFQlFrRkJRa1VEUXNORkJRVUZC&#10;UVVGQlFVRkJRVUZCUVVGQlFVRkJRVUZCUVVGQlFVRkJRVUZCUVVGQlFVRkJRVUZCUVVGQlFVRkJR&#10;VUZCVC93QUFSQ0FBSUFBZ0RBU0lBQWhFQkF4RUIvOFFBSHdBQUFRVUJBUUVCQVFFQUFBQUFBQUFB&#10;QUFFQ0F3UUZCZ2NJQ1FvTC84UUF0UkFBQWdFREF3SUVBd1VGQkFRQUFBRjlBUUlEQUFRUkJSSWhN&#10;VUVHRTFGaEJ5SnhGREtCa2FFSUkwS3h3UlZTMGZBa00ySnlnZ2tLRmhjWUdSb2xKaWNvS1NvME5U&#10;WTNPRGs2UTBSRlJrZElTVXBUVkZWV1YxaFpXbU5rWldabmFHbHFjM1IxZG5kNGVYcURoSVdHaDRp&#10;SmlwS1RsSldXbDVpWm1xS2pwS1dtcDZpcHFyS3p0TFcydDdpNXVzTER4TVhHeDhqSnl0TFQxTlhX&#10;MTlqWjJ1SGk0K1RsNXVmbzZlcng4dlAwOWZiMytQbjYvOFFBSHdFQUF3RUJBUUVCQVFFQkFRQUFB&#10;QUFBQUFFQ0F3UUZCZ2NJQ1FvTC84UUF0UkVBQWdFQ0JBUURCQWNGQkFRQUFRSjNBQUVDQXhFRUJT&#10;RXhCaEpCVVFkaGNSTWlNb0VJRkVLUm9iSEJDU016VXZBVlluTFJDaFlrTk9FbDhSY1lHUm9tSnln&#10;cEtqVTJOemc1T2tORVJVWkhTRWxLVTFSVlZsZFlXVnBqWkdWbVoyaHBhbk4wZFhaM2VIbDZnb09F&#10;aFlhSGlJbUtrcE9VbFphWG1KbWFvcU9rcGFhbnFLbXFzck8wdGJhM3VMbTZ3c1BFeGNiSHlNbksw&#10;dFBVMWRiWDJObmE0dVBrNWVibjZPbnE4dlAwOWZiMytQbjYvOW9BREFNQkFBSVJBeEVBUHdEMkQv&#10;a1pQK3ByL3dDRWcvN1lmOEpQNWY4QTMxOW4waUhmL3RlYnYvNWFlWi9wQlJSWDRaaU1STER5NVll&#10;ZlZyWnRkR3UzNkxTeVhhbGMvOWs9IiBwcmVzZXJ2ZUFzcGVjdFJhdGlvPSJub25lIiBpZD0iaW1n&#10;MTk5Ij48L2ltYWdlPjxpbWFnZSB3aWR0aD0iOCIgaGVpZ2h0PSI4IiB4bGluazpocmVmPSJkYXRh&#10;OmltYWdlL2pwZWc7YmFzZTY0LC85ai80QUFRU2taSlJnQUJBUUVBWUFCZ0FBRC8yd0JEQUFNQ0Fn&#10;TUNBZ01EQXdNRUF3TUVCUWdGQlFRRUJRb0hCd1lJREFvTURBc0tDd3NORGhJUURRNFJEZ3NMRUJZ&#10;UUVSTVVGUlVWREE4WEdCWVVHQklVRlJULzJ3QkRBUU1FQkFVRUJRa0ZCUWtVRFFzTkZCUVVGQlFV&#10;RkJRVUZCUVVGQlFVRkJRVUZCUVVGQlFVRkJRVUZCUVVGQlFVRkJRVUZCUVVGQlFVRkJRVUZCUVVG&#10;QlQvd0FBUkNBQUlBQWdEQVNJQUFoRUJBeEVCLzhRQUh3QUFBUVVCQVFFQkFRRUFBQUFBQUFBQUFB&#10;RUNBd1FGQmdjSUNRb0wvOFFBdFJBQUFnRURBd0lFQXdVRkJBUUFBQUY5QVFJREFBUVJCUkloTVVF&#10;R0UxRmhCeUp4RkRLQmthRUlJMEt4d1JWUzBmQWtNMkp5Z2drS0ZoY1lHUm9sSmljb0tTbzBOVFkz&#10;T0RrNlEwUkZSa2RJU1VwVFZGVldWMWhaV21Oa1pXWm5hR2xxYzNSMWRuZDRlWHFEaElXR2g0aUpp&#10;cEtUbEpXV2w1aVptcUtqcEtXbXA2aXBxckt6dExXMnQ3aTV1c0xEeE1YR3g4akp5dExUMU5YVzE5&#10;aloydUhpNCtUbDV1Zm82ZXJ4OHZQMDlmYjMrUG42LzhRQUh3RUFBd0VCQVFFQkFRRUJBUUFBQUFB&#10;QUFBRUNBd1FGQmdjSUNRb0wvOFFBdFJFQUFnRUNCQVFEQkFjRkJBUUFBUUozQUFFQ0F4RUVCU0V4&#10;QmhKQlVRZGhjUk1pTW9FSUZFS1JvYkhCQ1NNelV2QVZZbkxSQ2hZa05PRWw4UmNZR1JvbUp5Z3BL&#10;alUyTnpnNU9rTkVSVVpIU0VsS1UxUlZWbGRZV1ZwalpHVm1aMmhwYW5OMGRYWjNlSGw2Z29PRWhZ&#10;YUhpSW1La3BPVWxaYVhtSm1hb3FPa3BhYW5xS21xc3JPMHRiYTN1TG02d3NQRXhjYkh5TW5LMHRQ&#10;VTFkYlgyTm5hNHVQazVlYm42T25xOHZQMDlmYjMrUG42LzlvQURBTUJBQUlSQXhFQVB3RDZjLzVH&#10;ci9xY2YrRWxQL1h1ZkZ2bGY5OWZadEZnOHovYTgzZi9BTXRQTi8wa29vcnlwU2NYWkdoLy85az0i&#10;IHByZXNlcnZlQXNwZWN0UmF0aW89Im5vbmUiIGlkPSJpbWcyMDEiPjwvaW1hZ2U+PGltYWdlIHdp&#10;ZHRoPSI4IiBoZWlnaHQ9IjgiIHhsaW5rOmhyZWY9ImRhdGE6aW1hZ2UvanBlZztiYXNlNjQsLzlq&#10;LzRBQVFTa1pKUmdBQkFRRUFZQUJnQUFELzJ3QkRBQU1DQWdNQ0FnTURBd01FQXdNRUJRZ0ZCUVFF&#10;QlFvSEJ3WUlEQW9NREFzS0N3c05EaElRRFE0UkRnc0xFQllRRVJNVUZSVVZEQThYR0JZVUdCSVVG&#10;UlQvMndCREFRTUVCQVVFQlFrRkJRa1VEUXNORkJRVUZCUVVGQlFVRkJRVUZCUVVGQlFVRkJRVUZC&#10;UVVGQlFVRkJRVUZCUVVGQlFVRkJRVUZCUVVGQlFVRkJRVUZCVC93QUFSQ0FBSUFBZ0RBU0lBQWhF&#10;QkF4RUIvOFFBSHdBQUFRVUJBUUVCQVFFQUFBQUFBQUFBQUFFQ0F3UUZCZ2NJQ1FvTC84UUF0UkFB&#10;QWdFREF3SUVBd1VGQkFRQUFBRjlBUUlEQUFRUkJSSWhNVUVHRTFGaEJ5SnhGREtCa2FFSUkwS3h3&#10;UlZTMGZBa00ySnlnZ2tLRmhjWUdSb2xKaWNvS1NvME5UWTNPRGs2UTBSRlJrZElTVXBUVkZWV1Yx&#10;aFpXbU5rWldabmFHbHFjM1IxZG5kNGVYcURoSVdHaDRpSmlwS1RsSldXbDVpWm1xS2pwS1dtcDZp&#10;cHFyS3p0TFcydDdpNXVzTER4TVhHeDhqSnl0TFQxTlhXMTlqWjJ1SGk0K1RsNXVmbzZlcng4dlAw&#10;OWZiMytQbjYvOFFBSHdFQUF3RUJBUUVCQVFFQkFRQUFBQUFBQUFFQ0F3UUZCZ2NJQ1FvTC84UUF0&#10;UkVBQWdFQ0JBUURCQWNGQkFRQUFRSjNBQUVDQXhFRUJTRXhCaEpCVVFkaGNSTWlNb0VJRkVLUm9i&#10;SEJDU016VXZBVlluTFJDaFlrTk9FbDhSY1lHUm9tSnlncEtqVTJOemc1T2tORVJVWkhTRWxLVTFS&#10;VlZsZFlXVnBqWkdWbVoyaHBhbk4wZFhaM2VIbDZnb09FaFlhSGlJbUtrcE9VbFphWG1KbWFvcU9r&#10;cGFhbnFLbXFzck8wdGJhM3VMbTZ3c1BFeGNiSHlNbkswdFBVMWRiWDJObmE0dVBrNWVibjZPbnE4&#10;dlAwOWZiMytQbjYvOW9BREFNQkFBSVJBeEVBUHdENk8vNUduMThZL3dEQ1NIL3IzUGl6eS84QXZy&#10;N05vc0htZjdYbTcvOEFscDV2K2tsRkZBSC8yUT09IiBwcmVzZXJ2ZUFzcGVjdFJhdGlvPSJub25l&#10;IiBpZD0iaW1nMjAzIj48L2ltYWdlPjxpbWFnZSB3aWR0aD0iNTAiIGhlaWdodD0iNTAiIHhsaW5r&#10;OmhyZWY9ImRhdGE6aW1hZ2UvcG5nO2Jhc2U2NCxpVkJPUncwS0dnb0FBQUFOU1VoRVVnQUFBRElB&#10;QUFBeUNBTUFBQUFwNFhpREFBQUFBWE5TUjBJQXJzNGM2UUFBQUFSblFVMUJBQUN4and2OFlRVUFB&#10;QUZaVUV4VVJRQUFBUC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Ly8vLy8vLy8vLy8vLy8vLy8vLy8vLy8vLy8vLy8vLy8vLy8vLy8vLy8vLy8v&#10;Ly8vLy8vLy8vLy8veVhTenUwQUFBQnlkRkpPVXdBQkF3UUZCd2dNRFE4UUVSSVRGUmthSEIwZklp&#10;TXBMQzB3TVRRMU9qcytRRUpFUlVkTFRVNVFVbE5VVlZ4ZFhsOWdZV0prWm01dmNYVjJlSGwvaFll&#10;S2tKYWVwcXFyckxDK3c4Zkl5Y3JNenMvUTA5WFcxOW5hM04zZzRlUGw1dWpwNnV6dDd1LzA5ZmIz&#10;K1BuNisvejkvcjBPV25jQUFBQUpjRWhaY3dBQUN4SUFBQXNTQWRMZGZ2d0FBQUZnU1VSQlZFaEw3&#10;WlBIVWdKUkVFVkhVUkV4RVl5QXFDZ0d6RG1MRWJOaXdvZzVZRUx1L3k5c2F1N0NCVXF6c054d1Zu&#10;MWV6YTJhOTdyYnlQT1grSmM3V0drSkFIR1dTcHczUUpTMURzY1JrS2lucVBCY0Fza1FSY1ZRQW5q&#10;cHBtZ29XZ1J3NWFOcHNLOUxZck9hcHNFbEY4ZFNNVTFEWFJ4SVRWRlVlTzZBajE2S0N1K2pQRlZP&#10;YzlMd0FEd0hLQ3Bxcm9HblpvcUtpaE1aa2hhS0NvdjA0NzJkb21OQlhyZWZ0WTVCNmVBc2F4MytO&#10;MkMxZ0tLaTloNDRzRkpVT0M2QVd6ZEZSZVd4TkwySm9zSytKenZZUlZGaDI1SG5IYUdvc0czSjgw&#10;NVFWSlJ0UzJLYWtwSGgwMGxXSnVXN2twaWhaRVlXWXY1Ynh5cjNKWkZsQ1Zma2swZ3B4YWc2bEp1&#10;UFUzNmlaRTB5c1VaVEhESGdjOVNzZjZFd25BSmV4OUkvNXpxVGZ2U1p4Ny9US2ZPRWlOVnduOHVD&#10;OVBBd0M4NE55VVI5TWxldlFSNWx4UktXakpCbzQ0R0dnWTkwb3BXbUk1VE1OV0VZd1RrdnF6ei9p&#10;MkY4QVhjZ1VVcVZHLzJ0QUFBQUFFbEZUa1N1UW1DQyIgcHJlc2VydmVBc3BlY3RSYXRpbz0ibm9u&#10;ZSIgaWQ9ImltZzIwOSI+PC9pbWFnZT48L2RlZnM+PGcgY2xpcC1wYXRoPSJ1cmwoI2NsaXAwKSIg&#10;dHJhbnNmb3JtPSJtYXRyaXgoMSAwIDAgMSAwIC01KSI+PHBhdGggZD0iTTcuNTkxODggOTAuNzAz&#10;QzM2LjkzNzggODkuNjEzIDYxLjQ3OTQgOTMuNTA3MiA3Ny4zNTcyIDkwLjcwMyA5My4yMzQ3IDg3&#10;Ljg5ODggMTE4Ljc5NSA4Ny42MzU5IDE0Mi44MDcgOTAuNzAzIDE2Ni44MTkgOTMuNzcwMSAyMDIu&#10;MDQ5IDkxLjMzOTkgMjIzLjM2MSA5MC43MDMgMjI2LjE0NiAxMTIuNzUxIDIyNC4wMjMgMTI0Ljgx&#10;NSAyMjMuMzYxIDE1Mi45ODggMjIyLjY5OSAxODEuMTYyIDIyNC4zNzYgMTg4Ljc5NiAyMjMuMzYx&#10;IDIwOC4zNTMgMjIyLjM0NiAyMjcuOTExIDIyNS4xNjcgMjQwLjI2IDIyMy4zNjEgMjYzLjcxOCAy&#10;MjEuNTU1IDI4Ny4xNzYgMjI0LjY5MyAzMTAuNjM5IDIyMy4zNjEgMzMyLjkyNCAyMjIuMDI5IDM1&#10;NS4yMDkgMjI0LjMzOCAzODIuODU5IDIyMy4zNjEgNDAyLjEzIDIyMi4zODQgNDIxLjQwMSAyMjUu&#10;MTk4IDQzMS40NTIgMjIzLjM2MSA0NTcuNDk1IDIyMS41MjUgNDgzLjUzNyAyMjMuOTg3IDQ4NS44&#10;NzQgMjIzLjM2MSA1MTIuODU5IDIyMi43MzUgNTM5Ljg0NSAyMjEuOTIyIDU1NC43MjEgMjIzLjM2&#10;MSA1ODIuMDY1IDIyNC44IDYwOS40MSAyMjEuNzA3IDYyMy45MjUgMjIzLjM2MSA2NTguMTkyIDIy&#10;NS4wMTUgNjkyLjQ1OSAyMjUuNDg2IDY5MS4wMzQgMjIzLjM2MSA3MDYuNjM2IDIyMS4yMzYgNzIy&#10;LjIzOSAyMjQuOTEzIDc0Ni40NSAyMjMuMzYxIDc4Mi43NjMgMTkyLjc5OCA3ODUuMDIyIDE3OS4y&#10;MDcgNzg1LjA4IDE1MS40MzggNzgyLjc2MyAxMjMuNjY5IDc4MC40NDYgOTkuMDk1NiA3ODEuOTA2&#10;IDc5LjUxNSA3ODIuNzYzIDU5LjkzNDQgNzgzLjYyIDI1Ljg2MjcgNzgzLjg3MSA3LjU5MTg4IDc4&#10;Mi43NjMgNi4zNDQwOSA3NjEuNTkyIDYuNTk3MDggNzQwLjk5NiA3LjU5MTg4IDcxMy41NTcgOC41&#10;ODY2NiA2ODYuMTE3IDcuODA5NDggNjgyLjUwMyA3LjU5MTg4IDY1OC4xOTIgNy4zNzQyOCA2MzMu&#10;ODgxIDUuNjA1MTEgNjE1LjI4NCA3LjU5MTg4IDYwMi44MjcgOS41Nzg2NCA1OTAuMzcxIDEwLjMx&#10;NjIgNTU2LjQxNCA3LjU5MTg4IDU0MC41NDIgNC44Njc2IDUyNC42NjkgNi44ODY2MiA0OTguMDE4&#10;IDcuNTkxODggNDU3LjQ5NSA4LjI5NzEzIDQxNi45NzIgOS43MzU1MSA0MTQuOTEgNy41OTE4OCAz&#10;ODguMjg5IDUuNDQ4MjUgMzYxLjY2OCA5LjIzMDYxIDM1Mi41MjcgNy41OTE4OCAzMjYuMDAzIDUu&#10;OTUzMTggMjk5LjQ4IDkuODEzMzQgMjk3LjQ0NCA3LjU5MTg4IDI3Ny41NTkgNS4zNzA0NSAyNTcu&#10;Njc0IDguNzYyNzEgMjQwLjkxNSA3LjU5MTg4IDIyOS4xMTUgNi40MjEwNSAyMTcuMzE1IDEwLjE4&#10;MDggMTc2LjM0NyA3LjU5MTg4IDE1Mi45ODggNS4wMDMgMTI5LjYzIDYuMjUyODggMTA5LjA2MSA3&#10;LjU5MTg4IDkwLjcwM1oiIGZpbGw9IiM5NTk1QkMiIGZpbGwtcnVsZT0iZXZlbm9kZCIgdHJhbnNm&#10;b3JtPSJtYXRyaXgoMSAwIDAgMS4wMDA4MSAtMC43OTkxNDUgMS44MDA4MikiLz48cGF0aCBkPSJN&#10;Ny41OTE4OCA5MC43MDNDNDAuOTAxMyA5MS42MzA4IDYzLjE4MjUgOTEuNzY1MSA4My44MzAzIDkw&#10;LjcwMyAxMDQuNDc4IDg5LjY0MDkgMTI4LjQ0NiA5MS42MzA4IDE2MC4wNjkgOTAuNzAzIDE5MS42&#10;OTIgODkuNzc1MiAyMDQuODk1IDkzLjM3OTMgMjIzLjM2MSA5MC43MDMgMjI0LjYyNCAxMTcuMDg4&#10;IDIyMS42MjIgMTM5LjUzMiAyMjMuMzYxIDE2Ni44MyAyMjUuMSAxOTQuMTI3IDIyNS42OTkgMjA0&#10;Ljc5NyAyMjMuMzYxIDIxNS4yNzQgMjIxLjAyNCAyMjUuNzUxIDIyMi4xNzEgMjU4LjkgMjIzLjM2&#10;MSAyNzAuNjM5IDIyNC41NTEgMjgyLjM3NyAyMjYuNDcyIDMyOS4wODEgMjIzLjM2MSAzNDYuNzY1&#10;IDIyMC4yNSAzNjQuNDQ5IDIyNC40MTYgMzgwLjE1OSAyMjMuMzYxIDQwMi4xMyAyMjIuMzA2IDQy&#10;NC4xMDEgMjIyLjQxNSA0MzYuMzU2IDIyMy4zNjEgNDUwLjU3NCAyMjQuMzA3IDQ2NC43OTIgMjIy&#10;LjM1NyA0ODUuNzQ5IDIyMy4zNjEgNTA1LjkzOSAyMjQuMzY1IDUyNi4xMjggMjI0LjI4NyA1Mzku&#10;ODM0IDIyMy4zNjEgNTY4LjIyNCAyMjIuNDM2IDU5Ni42MTUgMjI0Ljg5NSA2MTcuNzE3IDIyMy4z&#10;NjEgNjM3LjQzIDIyMS44MjcgNjU3LjE0NCAyMjMuOTI2IDY3My4yNzYgMjIzLjM2MSA2OTIuNzk1&#10;IDIyMi43OTYgNzEyLjMxNCAyMjMuNTg2IDczOC44NjEgMjIzLjM2MSA3ODIuNzYzIDE5MS4wNDQg&#10;Nzg0LjQ2MSAxNzMuMDgzIDc4My4zNDUgMTUxLjQzOCA3ODIuNzYzIDEyOS43OTMgNzgyLjE4IDEw&#10;My4xMTkgNzgyLjQ4MyA3OS41MTUgNzgyLjc2MyA1NS45MTEyIDc4My4wNDIgMjMuNTI1MSA3ODMu&#10;NTU2IDcuNTkxODggNzgyLjc2MyA2LjA1MzE5IDc1MC4zMzkgNy4yODQ2NSA3NDcuMzMgNy41OTE4&#10;OCA3MTMuNTU3IDcuODk5MTEgNjc5Ljc4NSA3LjY2MzMgNjcyLjEzNiA3LjU5MTg4IDY1MS4yNzEg&#10;Ny41MjA0NiA2MzAuNDA3IDUuMzUzNjkgNjE0LjA2MiA3LjU5MTg4IDU4Mi4wNjUgOS44MzAwNSA1&#10;NTAuMDY5IDUuNDIyMjggNTI2Ljc0MiA3LjU5MTg4IDUwNS45MzkgOS43NjE0OCA0ODUuMTM2IDEx&#10;LjIxMTQgNDUwLjUxNCA3LjU5MTg4IDQyOS44MTIgMy45NzIzOSA0MDkuMTEgOS44NjgzMyAzNzMu&#10;NTEzIDcuNTkxODggMzUzLjY4NiA1LjMxNTQ3IDMzMy44NTggMTEuMzMxMiAyOTcuNTEgNy41OTE4&#10;OCAyNzAuNjM5IDMuODUyNDkgMjQzLjc2NyA4LjM1Mjc1IDIyMS44NTkgNy41OTE4OCAyMDEuNDMz&#10;IDYuODMxMDEgMTgxLjAwNiA0LjQ1OTYzIDEzMi4yMDYgNy41OTE4OCA5MC43MDNaIiBzdHJva2U9&#10;IiMzNjQyNEEiIHN0cm9rZS13aWR0aD0iMS45OTc4NiIgc3Ryb2tlLW1pdGVybGltaXQ9IjgiIGZp&#10;bGw9Im5vbmUiIGZpbGwtcnVsZT0iZXZlbm9kZCIgdHJhbnNmb3JtPSJtYXRyaXgoMSAwIDAgMS4w&#10;MDA4MSAtMC43OTkxNDUgMS44MDA4MikiLz48cGF0aCBkPSJNMjMwLjU1MyA5MC43MDNDMjU5Ljkg&#10;ODkuNjEzIDI4NC40NDEgOTMuNTA3MiAzMDAuMzE5IDkwLjcwMyAzMTYuMTk2IDg3Ljg5ODggMzQx&#10;Ljc1NyA4Ny42MzU5IDM2NS43NjkgOTAuNzAzIDM4OS43ODEgOTMuNzcwMSA0MjUuMDExIDkxLjMz&#10;OTkgNDQ2LjMyMyA5MC43MDMgNDQ5LjEwOCAxMTIuNzUxIDQ0Ni45ODQgMTI0LjgxNSA0NDYuMzIz&#10;IDE1Mi45ODggNDQ1LjY2MSAxODEuMTYyIDQ0Ny4zMzggMTg4Ljc5NiA0NDYuMzIzIDIwOC4zNTMg&#10;NDQ1LjMwOCAyMjcuOTExIDQ0OC4xMjkgMjQwLjI2IDQ0Ni4zMjMgMjYzLjcxOCA0NDQuNTE3IDI4&#10;Ny4xNzYgNDQ3LjY1NSAzMTAuNjM5IDQ0Ni4zMjMgMzMyLjkyNCA0NDQuOTkgMzU1LjIwOSA0NDcu&#10;MyAzODIuODU5IDQ0Ni4zMjMgNDAyLjEzIDQ0NS4zNDUgNDIxLjQwMSA0NDguMTU5IDQzMS40NTIg&#10;NDQ2LjMyMyA0NTcuNDk1IDQ0NC40ODYgNDgzLjUzNyA0NDYuOTQ4IDQ4NS44NzQgNDQ2LjMyMyA1&#10;MTIuODU5IDQ0NS42OTcgNTM5Ljg0NSA0NDQuODgzIDU1NC43MjEgNDQ2LjMyMyA1ODIuMDY1IDQ0&#10;Ny43NjIgNjA5LjQxIDQ0NC42NjggNjIzLjkyNSA0NDYuMzIzIDY1OC4xOTIgNDQ3Ljk3NyA2OTIu&#10;NDU5IDQ0OC40NDggNjkxLjAzNCA0NDYuMzIzIDcwNi42MzYgNDQ0LjE5OCA3MjIuMjM5IDQ0Ny44&#10;NzUgNzQ2LjQ1IDQ0Ni4zMjMgNzgyLjc2MyA0MTUuNzU5IDc4NS4wMjIgNDAyLjE2OCA3ODUuMDgg&#10;Mzc0LjQgNzgyLjc2MyAzNDYuNjMxIDc4MC40NDYgMzIyLjA1NyA3ODEuOTA2IDMwMi40NzcgNzgy&#10;Ljc2MyAyODIuODk2IDc4My42MiAyNDguODI0IDc4My44NzEgMjMwLjU1MyA3ODIuNzYzIDIyOS4z&#10;MDYgNzYxLjU5MiAyMjkuNTU4IDc0MC45OTYgMjMwLjU1MyA3MTMuNTU3IDIzMS41NDggNjg2LjEx&#10;NyAyMzAuNzcxIDY4Mi41MDMgMjMwLjU1MyA2NTguMTkyIDIzMC4zMzYgNjMzLjg4MSAyMjguNTY3&#10;IDYxNS4yODQgMjMwLjU1MyA2MDIuODI3IDIzMi41NCA1OTAuMzcxIDIzMy4yNzggNTU2LjQxNCAy&#10;MzAuNTUzIDU0MC41NDIgMjI3LjgyOSA1MjQuNjY5IDIyOS44NDggNDk4LjAxOCAyMzAuNTUzIDQ1&#10;Ny40OTUgMjMxLjI1OSA0MTYuOTcyIDIzMi42OTcgNDE0LjkxIDIzMC41NTMgMzg4LjI4OSAyMjgu&#10;NDEgMzYxLjY2OCAyMzIuMTkyIDM1Mi41MjcgMjMwLjU1MyAzMjYuMDAzIDIyOC45MTQgMjk5LjQ4&#10;IDIzMi43NzUgMjk3LjQ0NCAyMzAuNTUzIDI3Ny41NTkgMjI4LjMzMiAyNTcuNjc0IDIzMS43MjQg&#10;MjQwLjkxNSAyMzAuNTUzIDIyOS4xMTUgMjI5LjM4MyAyMTcuMzE1IDIzMy4xNDMgMTc2LjM0NyAy&#10;MzAuNTUzIDE1Mi45ODggMjI3Ljk2NCAxMjkuNjMgMjI5LjIxNCAxMDkuMDYxIDIzMC41NTMgOTAu&#10;NzAzWiIgZmlsbD0iIzlBOUI1OCIgZmlsbC1ydWxlPSJldmVub2RkIiB0cmFuc2Zvcm09Im1hdHJp&#10;eCgxIDAgMCAxLjAwMDgxIC0wLjc5OTE0NSAxLjgwMDgyKSIvPjxwYXRoIGQ9Ik0yMzAuNTUzIDkw&#10;LjcwM0MyNjMuODYzIDkxLjYzMDggMjg2LjE0NCA5MS43NjUxIDMwNi43OTIgOTAuNzAzIDMyNy40&#10;MzkgODkuNjQwOSAzNTEuNDA3IDkxLjYzMDggMzgzLjAzIDkwLjcwMyA0MTQuNjUzIDg5Ljc3NTIg&#10;NDI3Ljg1NyA5My4zNzkzIDQ0Ni4zMjMgOTAuNzAzIDQ0Ny41ODUgMTE3LjA4OCA0NDQuNTg0IDEz&#10;OS41MzIgNDQ2LjMyMyAxNjYuODMgNDQ4LjA2MiAxOTQuMTI3IDQ0OC42NiAyMDQuNzk3IDQ0Ni4z&#10;MjMgMjE1LjI3NCA0NDMuOTg1IDIyNS43NTEgNDQ1LjEzMyAyNTguOSA0NDYuMzIzIDI3MC42Mzkg&#10;NDQ3LjUxMyAyODIuMzc3IDQ0OS40MzQgMzI5LjA4MSA0NDYuMzIzIDM0Ni43NjUgNDQzLjIxMiAz&#10;NjQuNDQ5IDQ0Ny4zNzggMzgwLjE1OSA0NDYuMzIzIDQwMi4xMyA0NDUuMjY4IDQyNC4xMDEgNDQ1&#10;LjM3NiA0MzYuMzU2IDQ0Ni4zMjMgNDUwLjU3NCA0NDcuMjY5IDQ2NC43OTIgNDQ1LjMxOSA0ODUu&#10;NzQ5IDQ0Ni4zMjMgNTA1LjkzOSA0NDcuMzI2IDUyNi4xMjggNDQ3LjI0OCA1MzkuODM0IDQ0Ni4z&#10;MjMgNTY4LjIyNCA0NDUuMzk3IDU5Ni42MTUgNDQ3Ljg1NyA2MTcuNzE3IDQ0Ni4zMjMgNjM3LjQz&#10;IDQ0NC43ODggNjU3LjE0NCA0NDYuODg4IDY3My4yNzYgNDQ2LjMyMyA2OTIuNzk1IDQ0NS43NTgg&#10;NzEyLjMxNCA0NDYuNTQ3IDczOC44NjEgNDQ2LjMyMyA3ODIuNzYzIDQxNC4wMDYgNzg0LjQ2MSAz&#10;OTYuMDQ0IDc4My4zNDUgMzc0LjQgNzgyLjc2MyAzNTIuNzU1IDc4Mi4xOCAzMjYuMDggNzgyLjQ4&#10;MyAzMDIuNDc3IDc4Mi43NjMgMjc4Ljg3MyA3ODMuMDQyIDI0Ni40ODcgNzgzLjU1NiAyMzAuNTUz&#10;IDc4Mi43NjMgMjI5LjAxNSA3NTAuMzM5IDIzMC4yNDcgNzQ3LjMzIDIzMC41NTMgNzEzLjU1NyAy&#10;MzAuODYgNjc5Ljc4NSAyMzAuNjI1IDY3Mi4xMzYgMjMwLjU1MyA2NTEuMjcxIDIzMC40ODIgNjMw&#10;LjQwNyAyMjguMzE1IDYxNC4wNjIgMjMwLjU1MyA1ODIuMDY1IDIzMi43OTIgNTUwLjA2OSAyMjgu&#10;Mzg0IDUyNi43NDIgMjMwLjU1MyA1MDUuOTM5IDIzMi43MjMgNDg1LjEzNiAyMzQuMTczIDQ1MC41&#10;MTQgMjMwLjU1MyA0MjkuODEyIDIyNi45MzQgNDA5LjExIDIzMi44MyAzNzMuNTEzIDIzMC41NTMg&#10;MzUzLjY4NiAyMjguMjc3IDMzMy44NTggMjM0LjI5MyAyOTcuNTEgMjMwLjU1MyAyNzAuNjM5IDIy&#10;Ni44MTQgMjQzLjc2NyAyMzEuMzE0IDIyMS44NTkgMjMwLjU1MyAyMDEuNDMzIDIyOS43OTMgMTgx&#10;LjAwNiAyMjcuNDIyIDEzMi4yMDYgMjMwLjU1MyA5MC43MDNaIiBzdHJva2U9IiMzNjQyNEEiIHN0&#10;cm9rZS13aWR0aD0iMS45OTc4NiIgc3Ryb2tlLW1pdGVybGltaXQ9IjgiIGZpbGw9Im5vbmUiIGZp&#10;bGwtcnVsZT0iZXZlbm9kZCIgdHJhbnNmb3JtPSJtYXRyaXgoMSAwIDAgMS4wMDA4MSAtMC43OTkx&#10;NDUgMS44MDA4MikiLz48cGF0aCBkPSJNNDUxLjkxNyA5MC43MDNDNDgxLjM3MiA4OS42MTMgNTA2&#10;LjAwNCA5My41MDcyIDUyMS45NCA5MC43MDMgNTM3Ljg3NyA4Ny44OTg4IDU2My41MzIgODcuNjM1&#10;OSA1ODcuNjMzIDkwLjcwMyA2MTEuNzM0IDkzLjc3MDEgNjQ3LjA5NCA5MS4zMzk5IDY2OC40ODUg&#10;OTAuNzAzIDY3MS4yOCAxMTIuNzUxIDY2OS4xNDkgMTI0LjgxNSA2NjguNDg1IDE1Mi45ODggNjY3&#10;LjgyMSAxODEuMTYyIDY2OS41MDMgMTg4Ljc5NiA2NjguNDg1IDIwOC4zNTMgNjY3LjQ2NyAyMjcu&#10;OTExIDY3MC4yOTggMjQwLjI2IDY2OC40ODUgMjYzLjcxOCA2NjYuNjcyIDI4Ny4xNzYgNjY5Ljgy&#10;MiAzMTAuNjM5IDY2OC40ODUgMzMyLjkyNCA2NjcuMTQ4IDM1NS4yMDkgNjY5LjQ2NiAzODIuODU5&#10;IDY2OC40ODUgNDAyLjEzIDY2Ny41MDQgNDIxLjQwMSA2NzAuMzI5IDQzMS40NTIgNjY4LjQ4NSA0&#10;NTcuNDk1IDY2Ni42NDEgNDgzLjUzNyA2NjkuMTEzIDQ4NS44NzQgNjY4LjQ4NSA1MTIuODU5IDY2&#10;Ny44NTcgNTM5Ljg0NSA2NjcuMDQgNTU0LjcyMSA2NjguNDg1IDU4Mi4wNjUgNjY5LjkzIDYwOS40&#10;MSA2NjYuODI0IDYyMy45MjUgNjY4LjQ4NSA2NTguMTkyIDY3MC4xNDYgNjkyLjQ1OSA2NzAuNjE4&#10;IDY5MS4wMzQgNjY4LjQ4NSA3MDYuNjM2IDY2Ni4zNTIgNzIyLjIzOSA2NzAuMDQzIDc0Ni40NSA2&#10;NjguNDg1IDc4Mi43NjMgNjM3LjgwOCA3ODUuMDIyIDYyNC4xNjcgNzg1LjA4IDU5Ni4yOTYgNzgy&#10;Ljc2MyA1NjguNDI0IDc4MC40NDYgNTQzLjc1OSA3ODEuOTA2IDUyNC4xMDYgNzgyLjc2MyA1MDQu&#10;NDUzIDc4My42MiA0NzAuMjU1IDc4My44NzEgNDUxLjkxNyA3ODIuNzYzIDQ1MC42NjQgNzYxLjU5&#10;MiA0NTAuOTE5IDc0MC45OTYgNDUxLjkxNyA3MTMuNTU3IDQ1Mi45MTUgNjg2LjExNyA0NTIuMTM1&#10;IDY4Mi41MDMgNDUxLjkxNyA2NTguMTkyIDQ1MS42OTggNjMzLjg4MSA0NDkuOTIzIDYxNS4yODQg&#10;NDUxLjkxNyA2MDIuODI3IDQ1My45MTEgNTkwLjM3MSA0NTQuNjUxIDU1Ni40MTQgNDUxLjkxNyA1&#10;NDAuNTQyIDQ0OS4xODIgNTI0LjY2OSA0NTEuMjA5IDQ5OC4wMTggNDUxLjkxNyA0NTcuNDk1IDQ1&#10;Mi42MjUgNDE2Ljk3MiA0NTQuMDY4IDQxNC45MSA0NTEuOTE3IDM4OC4yODkgNDQ5Ljc2NSAzNjEu&#10;NjY4IDQ1My41NjEgMzUyLjUyNyA0NTEuOTE3IDMyNi4wMDMgNDUwLjI3MiAyOTkuNDggNDU0LjE0&#10;NiAyOTcuNDQ0IDQ1MS45MTcgMjc3LjU1OSA0NDkuNjg3IDI1Ny42NzQgNDUzLjA5MiAyNDAuOTE1&#10;IDQ1MS45MTcgMjI5LjExNSA0NTAuNzQxIDIxNy4zMTUgNDU0LjUxNiAxNzYuMzQ3IDQ1MS45MTcg&#10;MTUyLjk4OCA0NDkuMzE4IDEyOS42MyA0NTAuNTcyIDEwOS4wNjEgNDUxLjkxNyA5MC43MDNaIiBm&#10;aWxsPSIjRTNFODdCIiBmaWxsLXJ1bGU9ImV2ZW5vZGQiIHRyYW5zZm9ybT0ibWF0cml4KDEgMCAw&#10;IDEuMDAwODEgLTAuNzk5MTQ1IDEuODAwODIpIi8+PHBhdGggZD0iTTQ1MS45MTcgOTAuNzAzQzQ4&#10;NS4zNSA5MS42MzA4IDUwNy43MTMgOTEuNzY1MSA1MjguNDM3IDkwLjcwMyA1NDkuMTYxIDg5LjY0&#10;MDkgNTczLjIxOCA5MS42MzA4IDYwNC45NTkgOTAuNzAzIDYzNi42OTggODkuNzc1MiA2NDkuOTUx&#10;IDkzLjM3OTMgNjY4LjQ4NSA5MC43MDMgNjY5Ljc1MiAxMTcuMDg4IDY2Ni43NCAxMzkuNTMyIDY2&#10;OC40ODUgMTY2LjgzIDY3MC4yMyAxOTQuMTI3IDY3MC44MzEgMjA0Ljc5NyA2NjguNDg1IDIxNS4y&#10;NzQgNjY2LjEzOSAyMjUuNzUxIDY2Ny4yOSAyNTguOSA2NjguNDg1IDI3MC42MzkgNjY5LjY4IDI4&#10;Mi4zNzcgNjcxLjYwOCAzMjkuMDgxIDY2OC40ODUgMzQ2Ljc2NSA2NjUuMzYyIDM2NC40NDkgNjY5&#10;LjU0NCAzODAuMTU5IDY2OC40ODUgNDAyLjEzIDY2Ny40MjYgNDI0LjEwMSA2NjcuNTM2IDQzNi4z&#10;NTYgNjY4LjQ4NSA0NTAuNTc0IDY2OS40MzQgNDY0Ljc5MiA2NjcuNDc4IDQ4NS43NDkgNjY4LjQ4&#10;NSA1MDUuOTM5IDY2OS40OTIgNTI2LjEyOCA2NjkuNDE0IDUzOS44MzQgNjY4LjQ4NSA1NjguMjI0&#10;IDY2Ny41NTYgNTk2LjYxNSA2NzAuMDI1IDYxNy43MTcgNjY4LjQ4NSA2MzcuNDMgNjY2Ljk0NSA2&#10;NTcuMTQ0IDY2OS4wNTIgNjczLjI3NiA2NjguNDg1IDY5Mi43OTUgNjY3LjkxOCA3MTIuMzE0IDY2&#10;OC43MSA3MzguODYxIDY2OC40ODUgNzgyLjc2MyA2MzYuMDQ5IDc4NC40NjEgNjE4LjAyMSA3ODMu&#10;MzQ1IDU5Ni4yOTYgNzgyLjc2MyA1NzQuNTcgNzgyLjE4IDU0Ny43OTcgNzgyLjQ4MyA1MjQuMTA2&#10;IDc4Mi43NjMgNTAwLjQxNSA3ODMuMDQyIDQ2Ny45MDkgNzgzLjU1NiA0NTEuOTE3IDc4Mi43NjMg&#10;NDUwLjM3MiA3NTAuMzM5IDQ1MS42MDggNzQ3LjMzIDQ1MS45MTcgNzEzLjU1NyA0NTIuMjI1IDY3&#10;OS43ODUgNDUxLjk4OSA2NzIuMTM2IDQ1MS45MTcgNjUxLjI3MSA0NTEuODQ1IDYzMC40MDcgNDQ5&#10;LjY3IDYxNC4wNjIgNDUxLjkxNyA1ODIuMDY1IDQ1NC4xNjMgNTUwLjA2OSA0NDkuNzM5IDUyNi43&#10;NDIgNDUxLjkxNyA1MDUuOTM5IDQ1NC4wOTQgNDg1LjEzNiA0NTUuNTUgNDUwLjUxNCA0NTEuOTE3&#10;IDQyOS44MTIgNDQ4LjI4NCA0MDkuMTEgNDU0LjIwMSAzNzMuNTEzIDQ1MS45MTcgMzUzLjY4NiA0&#10;NDkuNjMyIDMzMy44NTggNDU1LjY3IDI5Ny41MSA0NTEuOTE3IDI3MC42MzkgNDQ4LjE2MyAyNDMu&#10;NzY3IDQ1Mi42ODEgMjIxLjg1OSA0NTEuOTE3IDIwMS40MzMgNDUxLjE1MyAxODEuMDA2IDQ0OC43&#10;NzMgMTMyLjIwNiA0NTEuOTE3IDkwLjcwM1oiIHN0cm9rZT0iIzM2NDI0QSIgc3Ryb2tlLXdpZHRo&#10;PSIxLjk5Nzg2IiBzdHJva2UtbWl0ZXJsaW1pdD0iOCIgZmlsbD0ibm9uZSIgZmlsbC1ydWxlPSJl&#10;dmVub2RkIiB0cmFuc2Zvcm09Im1hdHJpeCgxIDAgMCAxLjAwMDgxIC0wLjc5OTE0NSAxLjgwMDgy&#10;KSIvPjxwYXRoIGQ9Ik02NzQuODc4IDkwLjcwM0M3MDQuMzMzIDg5LjYxMyA3MjguOTY1IDkzLjUw&#10;NzIgNzQ0LjkwMiA5MC43MDMgNzYwLjgzOCA4Ny44OTg4IDc4Ni40OTMgODcuNjM1OSA4MTAuNTk3&#10;IDkwLjcwMyA4MzQuNjkxIDkzLjc3MDEgODcwLjA1MyA5MS4zMzk5IDg5MS40NDcgOTAuNzAzIDg5&#10;NC4yNDQgMTEyLjc1MSA4OTIuMTEgMTI0LjgxNSA4OTEuNDQ3IDE1Mi45ODggODkwLjc4MyAxODEu&#10;MTYyIDg5Mi40NjEgMTg4Ljc5NiA4OTEuNDQ3IDIwOC4zNTMgODkwLjQzMiAyMjcuOTExIDg5My4y&#10;NjEgMjQwLjI2IDg5MS40NDcgMjYzLjcxOCA4ODkuNjMzIDI4Ny4xNzYgODkyLjc4MSAzMTAuNjM5&#10;IDg5MS40NDcgMzMyLjkyNCA4OTAuMTEyIDM1NS4yMDkgODkyLjQzIDM4Mi44NTkgODkxLjQ0NyA0&#10;MDIuMTMgODkwLjQ2NCA0MjEuNDAxIDg5My4yOTMgNDMxLjQ1MiA4OTEuNDQ3IDQ1Ny40OTUgODg5&#10;LjYgNDgzLjUzNyA4OTIuMDc4IDQ4NS44NzQgODkxLjQ0NyA1MTIuODU5IDg5MC44MTUgNTM5Ljg0&#10;NSA4OTAgNTU0LjcyMSA4OTEuNDQ3IDU4Mi4wNjUgODkyLjg5MyA2MDkuNDEgODg5Ljc4NCA2MjMu&#10;OTI1IDg5MS40NDcgNjU4LjE5MiA4OTMuMTA5IDY5Mi40NTkgODkzLjU4IDY5MS4wMzQgODkxLjQ0&#10;NyA3MDYuNjM2IDg4OS4zMTMgNzIyLjIzOSA4OTMuMDA1IDc0Ni40NSA4OTEuNDQ3IDc4Mi43NjMg&#10;ODYwLjc2NyA3ODUuMDIyIDg0Ny4xMjYgNzg1LjA4IDgxOS4yNiA3ODIuNzYzIDc5MS4zODYgNzgw&#10;LjQ0NiA3NjYuNzIxIDc4MS45MDYgNzQ3LjA2NyA3ODIuNzYzIDcyNy40MTUgNzgzLjYyIDY5My4y&#10;MTcgNzgzLjg3MSA2NzQuODc4IDc4Mi43NjMgNjczLjYyNiA3NjEuNTkyIDY3My44OCA3NDAuOTk2&#10;IDY3NC44NzggNzEzLjU1NyA2NzUuODc2IDY4Ni4xMTcgNjc1LjA5NiA2ODIuNTAzIDY3NC44Nzgg&#10;NjU4LjE5MiA2NzQuNjYgNjMzLjg4MSA2NzIuODg0IDYxNS4yODQgNjc0Ljg3OCA2MDIuODI3IDY3&#10;Ni44NzIgNTkwLjM3MSA2NzcuNjEzIDU1Ni40MTQgNjc0Ljg3OCA1NDAuNTQyIDY3Mi4xNDMgNTI0&#10;LjY2OSA2NzQuMTcgNDk4LjAxOCA2NzQuODc4IDQ1Ny40OTUgNjc1LjU4NiA0MTYuOTcyIDY3Ny4w&#10;MjkgNDE0LjkxIDY3NC44NzggMzg4LjI4OSA2NzIuNzI3IDM2MS42NjggNjc2LjUyMyAzNTIuNTI3&#10;IDY3NC44NzggMzI2LjAwMyA2NzMuMjM0IDI5OS40OCA2NzcuMTA4IDI5Ny40NDQgNjc0Ljg3OCAy&#10;NzcuNTU5IDY3Mi42NDkgMjU3LjY3NCA2NzYuMDU0IDI0MC45MTUgNjc0Ljg3OCAyMjkuMTE1IDY3&#10;My43MDMgMjE3LjMxNSA2NzcuNDc3IDE3Ni4zNDcgNjc0Ljg3OCAxNTIuOTg4IDY3Mi4yNzkgMTI5&#10;LjYzIDY3My41MzQgMTA5LjA2MSA2NzQuODc4IDkwLjcwM1oiIGZpbGw9IiNGQ0ZCRTgiIGZpbGwt&#10;cnVsZT0iZXZlbm9kZCIgdHJhbnNmb3JtPSJtYXRyaXgoMSAwIDAgMS4wMDA4MSAtMC43OTkxNDUg&#10;MS44MDA4MikiLz48cGF0aCBkPSJNNjc0Ljg3OCA5MC43MDNDNzA4LjMxMSA5MS42MzA4IDczMC42&#10;NzQgOTEuNzY1MSA3NTEuMzk5IDkwLjcwMyA3NzIuMTIzIDg5LjY0MDkgNzk2LjE4IDkxLjYzMDgg&#10;ODI3LjkyMiA5MC43MDMgODU5LjY1NyA4OS43NzUyIDg3Mi45MTQgOTMuMzc5MyA4OTEuNDQ3IDkw&#10;LjcwMyA4OTIuNzE3IDExNy4wODggODg5LjcwNCAxMzkuNTMyIDg5MS40NDcgMTY2LjgzIDg5My4x&#10;ODkgMTk0LjEyNyA4OTMuNzk2IDIwNC43OTcgODkxLjQ0NyAyMTUuMjc0IDg4OS4wOTcgMjI1Ljc1&#10;MSA4OTAuMjU2IDI1OC45IDg5MS40NDcgMjcwLjYzOSA4OTIuNjM3IDI4Mi4zNzcgODk0LjU3MSAz&#10;MjkuMDgxIDg5MS40NDcgMzQ2Ljc2NSA4ODguMzIyIDM2NC40NDkgODkyLjUwOSAzODAuMTU5IDg5&#10;MS40NDcgNDAyLjEzIDg5MC4zODQgNDI0LjEwMSA4OTAuNDk2IDQzNi4zNTYgODkxLjQ0NyA0NTAu&#10;NTc0IDg5Mi4zOTggNDY0Ljc5MiA4OTAuNDQgNDg1Ljc0OSA4OTEuNDQ3IDUwNS45MzkgODkyLjQ1&#10;MyA1MjYuMTI4IDg5Mi4zNzQgNTM5LjgzNCA4OTEuNDQ3IDU2OC4yMjQgODkwLjUyIDU5Ni42MTUg&#10;ODkyLjk4OSA2MTcuNzE3IDg5MS40NDcgNjM3LjQzIDg4OS45MDQgNjU3LjE0NCA4OTIuMDE0IDY3&#10;My4yNzYgODkxLjQ0NyA2OTIuNzk1IDg5MC44NzkgNzEyLjMxNCA4OTEuNjcgNzM4Ljg2MSA4OTEu&#10;NDQ3IDc4Mi43NjMgODU5LjAwOSA3ODQuNDYxIDg0MC45ODEgNzgzLjM0NSA4MTkuMjYgNzgyLjc2&#10;MyA3OTcuNTMyIDc4Mi4xOCA3NzAuNzU5IDc4Mi40ODMgNzQ3LjA2NyA3ODIuNzYzIDcyMy4zNzcg&#10;NzgzLjA0MiA2OTAuODcxIDc4My41NTYgNjc0Ljg3OCA3ODIuNzYzIDY3My4zMzMgNzUwLjMzOSA2&#10;NzQuNTcgNzQ3LjMzIDY3NC44NzggNzEzLjU1NyA2NzUuMTg3IDY3OS43ODUgNjc0Ljk1IDY3Mi4x&#10;MzYgNjc0Ljg3OCA2NTEuMjcxIDY3NC44MDYgNjMwLjQwNyA2NzIuNjMyIDYxNC4wNjIgNjc0Ljg3&#10;OCA1ODIuMDY1IDY3Ny4xMjUgNTUwLjA2OSA2NzIuNzAxIDUyNi43NDIgNjc0Ljg3OCA1MDUuOTM5&#10;IDY3Ny4wNTYgNDg1LjEzNiA2NzguNTExIDQ1MC41MTQgNjc0Ljg3OCA0MjkuODEyIDY3MS4yNDUg&#10;NDA5LjExIDY3Ny4xNjMgMzczLjUxMyA2NzQuODc4IDM1My42ODYgNjcyLjU5MyAzMzMuODU4IDY3&#10;OC42MzIgMjk3LjUxIDY3NC44NzggMjcwLjYzOSA2NzEuMTI1IDI0My43NjcgNjc1LjY0MiAyMjEu&#10;ODU5IDY3NC44NzggMjAxLjQzMyA2NzQuMTE0IDE4MS4wMDYgNjcxLjczNCAxMzIuMjA2IDY3NC44&#10;NzggOTAuNzAzWiIgc3Ryb2tlPSIjMzY0MjRBIiBzdHJva2Utd2lkdGg9IjEuOTk3ODYiIHN0cm9r&#10;ZS1taXRlcmxpbWl0PSI4IiBmaWxsPSJub25lIiBmaWxsLXJ1bGU9ImV2ZW5vZGQiIHRyYW5zZm9y&#10;bT0ibWF0cml4KDEgMCAwIDEuMDAwODEgLTAuNzk5MTQ1IDEuODAwODIpIi8+PHBhdGggZD0iTTg5&#10;OS40MzggOTAuNzAzQzkyMC44MjMgOTIuMTMxOSA5MzguMDA1IDg5LjU0ODIgOTcwLjIzNCA5MC43&#10;MDMgMTAwMi40NyA5MS44NTc4IDEwMjIuMzEgODcuNzA5NCAxMDM2LjY2IDkwLjcwMyAxMDUxIDkz&#10;LjY5NjYgMTA3OS4wMyA5NC4yMDg4IDExMTguNCA5MC43MDMgMTEyMS4xOSAxMTIuNzUxIDExMTku&#10;MDcgMTI0LjgxNSAxMTE4LjQgMTUyLjk4OCAxMTE3Ljc0IDE4MS4xNjIgMTExOS40MiAxODguNzk2&#10;IDExMTguNCAyMDguMzUzIDExMTcuMzkgMjI3LjkxMSAxMTIwLjIxIDI0MC4yNiAxMTE4LjQgMjYz&#10;LjcxOCAxMTE2LjYgMjg3LjE3NiAxMTE5Ljc0IDMxMC42MzkgMTExOC40IDMzMi45MjQgMTExNy4w&#10;NyAzNTUuMjA5IDExMTkuMzggMzgyLjg1OSAxMTE4LjQgNDAyLjEzIDExMTcuNDMgNDIxLjQwMSAx&#10;MTIwLjI0IDQzMS40NTIgMTExOC40IDQ1Ny40OTUgMTExNi41NyA0ODMuNTM3IDExMTkuMDMgNDg1&#10;Ljg3NCAxMTE4LjQgNTEyLjg1OSAxMTE3Ljc4IDUzOS44NDUgMTExNi45NyA1NTQuNzIxIDExMTgu&#10;NCA1ODIuMDY1IDExMTkuODQgNjA5LjQxIDExMTYuNzUgNjIzLjkyNSAxMTE4LjQgNjU4LjE5MiAx&#10;MTIwLjA2IDY5Mi40NTkgMTEyMC41MyA2OTEuMDM0IDExMTguNCA3MDYuNjM2IDExMTYuMjggNzIy&#10;LjIzOSAxMTE5Ljk1IDc0Ni40NSAxMTE4LjQgNzgyLjc2MyAxMDk4LjA0IDc4NC42NDMgMTA2Ny44&#10;NyA3ODIuMzU1IDEwNDUuNDIgNzgyLjc2MyAxMDIyLjk2IDc4My4xNyA5OTEuNTg4IDc4MC4xNTYg&#10;OTcyLjQyNCA3ODIuNzYzIDk1My4yNjggNzg1LjM3IDkyMS45NSA3ODEuMDQ1IDg5OS40MzggNzgy&#10;Ljc2MyA4OTguMTkxIDc2MS41OTIgODk4LjQzOSA3NDAuOTk2IDg5OS40MzggNzEzLjU1NyA5MDAu&#10;NDM3IDY4Ni4xMTcgODk5LjY1NCA2ODIuNTAzIDg5OS40MzggNjU4LjE5MiA4OTkuMjIyIDYzMy44&#10;ODEgODk3LjQ0OCA2MTUuMjg0IDg5OS40MzggNjAyLjgyNyA5MDEuNDI4IDU5MC4zNzEgOTAyLjE2&#10;MyA1NTYuNDE0IDg5OS40MzggNTQwLjU0MiA4OTYuNzEzIDUyNC42NjkgODk4LjczNSA0OTguMDE4&#10;IDg5OS40MzggNDU3LjQ5NSA5MDAuMTQxIDQxNi45NzIgOTAxLjU4IDQxNC45MSA4OTkuNDM4IDM4&#10;OC4yODkgODk3LjI5NiAzNjEuNjY4IDkwMS4wNzYgMzUyLjUyNyA4OTkuNDM4IDMyNi4wMDMgODk3&#10;LjggMjk5LjQ4IDkwMS42NiAyOTcuNDQ0IDg5OS40MzggMjc3LjU1OSA4OTcuMjE2IDI1Ny42NzQg&#10;OTAwLjYxMyAyNDAuOTE1IDg5OS40MzggMjI5LjExNSA4OTguMjYzIDIxNy4zMTUgOTAyLjAyNyAx&#10;NzYuMzQ3IDg5OS40MzggMTUyLjk4OCA4OTYuODQ5IDEyOS42MyA4OTguMDk1IDEwOS4wNjEgODk5&#10;LjQzOCA5MC43MDNaIiBmaWxsPSIjRjJGMkYyIiBmaWxsLXJ1bGU9ImV2ZW5vZGQiIHRyYW5zZm9y&#10;bT0ibWF0cml4KDEgMCAwIDEuMDAwODEgLTAuNzk5MTQ1IDEuODAwODIpIi8+PHBhdGggZD0iTTg5&#10;OS40MzggOTAuNzAzQzkzMC44OTIgOTAuMDA5MyA5NDIuODcyIDkyLjU5MyA5NzYuODAzIDkwLjcw&#10;MyAxMDEwLjczIDg4LjgxMyAxMDIwLjE2IDg5LjQ4OTkgMTA1NC4xOCA5MC43MDMgMTA4OC4xOCA5&#10;MS45MTYxIDEwODguNzQgOTAuMzc2OSAxMTE4LjQgOTAuNzAzIDExMTkuNjcgMTE3LjA4OCAxMTE2&#10;LjY2IDEzOS41MzIgMTExOC40IDE2Ni44MyAxMTIwLjE1IDE5NC4xMjcgMTEyMC43NSAyMDQuNzk3&#10;IDExMTguNCAyMTUuMjc0IDExMTYuMDYgMjI1Ljc1MSAxMTE3LjIxIDI1OC45IDExMTguNCAyNzAu&#10;NjM5IDExMTkuNTkgMjgyLjM3NyAxMTIxLjUyIDMyOS4wODEgMTExOC40IDM0Ni43NjUgMTExNS4y&#10;OSAzNjQuNDQ5IDExMTkuNDYgMzgwLjE1OSAxMTE4LjQgNDAyLjEzIDExMTcuMzUgNDI0LjEwMSAx&#10;MTE3LjQ1IDQzNi4zNTYgMTExOC40IDQ1MC41NzQgMTExOS4zNSA0NjQuNzkyIDExMTcuNCA0ODUu&#10;NzQ5IDExMTguNCA1MDUuOTM5IDExMTkuNDEgNTI2LjEyOCAxMTE5LjMzIDUzOS44MzQgMTExOC40&#10;IDU2OC4yMjQgMTExNy40OCA1OTYuNjE1IDExMTkuOTQgNjE3LjcxNyAxMTE4LjQgNjM3LjQzIDEx&#10;MTYuODcgNjU3LjE0NCAxMTE4Ljk3IDY3My4yNzYgMTExOC40IDY5Mi43OTUgMTExNy44NCA3MTIu&#10;MzE0IDExMTguNjMgNzM4Ljg2MSAxMTE4LjQgNzgyLjc2MyAxMDk1LjkzIDc4Mi4zMjggMTA3My41&#10;NiA3ODIuODQ0IDEwNDUuNDIgNzgyLjc2MyAxMDE3LjI2IDc4Mi42ODEgOTkyLjM0NyA3ODEuNzY0&#10;IDk3Mi40MjQgNzgyLjc2MyA5NTIuNTA5IDc4My43NjIgOTI4LjA1NSA3ODQuNDE2IDg5OS40Mzgg&#10;NzgyLjc2MyA4OTcuODk2IDc1MC4zMzkgODk5LjEzNCA3NDcuMzMgODk5LjQzOCA3MTMuNTU3IDg5&#10;OS43NDIgNjc5Ljc4NSA4OTkuNTEgNjcyLjEzNiA4OTkuNDM4IDY1MS4yNzEgODk5LjM2NiA2MzAu&#10;NDA3IDg5Ny4yIDYxNC4wNjIgODk5LjQzOCA1ODIuMDY1IDkwMS42NzYgNTUwLjA2OSA4OTcuMjY0&#10;IDUyNi43NDIgODk5LjQzOCA1MDUuOTM5IDkwMS42MTIgNDg1LjEzNiA5MDMuMDU4IDQ1MC41MTQg&#10;ODk5LjQzOCA0MjkuODEyIDg5NS44MTggNDA5LjExIDkwMS43MTYgMzczLjUxMyA4OTkuNDM4IDM1&#10;My42ODYgODk3LjE2IDMzMy44NTggOTAzLjE3OCAyOTcuNTEgODk5LjQzOCAyNzAuNjM5IDg5NS42&#10;OTggMjQzLjc2NyA5MDAuMTk3IDIyMS44NTkgODk5LjQzOCAyMDEuNDMzIDg5OC42NzkgMTgxLjAw&#10;NiA4OTYuMzA1IDEzMi4yMDYgODk5LjQzOCA5MC43MDNaIiBzdHJva2U9IiMzNjQyNEEiIHN0cm9r&#10;ZS13aWR0aD0iMS45OTc4NiIgc3Ryb2tlLW1pdGVybGltaXQ9IjgiIGZpbGw9Im5vbmUiIGZpbGwt&#10;cnVsZT0iZXZlbm9kZCIgdHJhbnNmb3JtPSJtYXRyaXgoMSAwIDAgMS4wMDA4MSAtMC43OTkxNDUg&#10;MS44MDA4MikiLz48dGV4dCBmb250LWZhbWlseT0iQ2FsaWJyaSxDYWxpYnJpX01TRm9udFNlcnZp&#10;Y2UsQXJpYWwiIGZvbnQtd2VpZ2h0PSI3MDAiIGZvbnQtc2l6ZT0iMTgiIHRyYW5zZm9ybT0ibWF0&#10;cml4KDAuNzk5MTQ1IDAgMCAwLjc5OTc5NiA0OC4zNDQzIDY3KSI+WUFSTlM8L3RleHQ+PHRleHQg&#10;Zm9udC1mYW1pbHk9IkNhbGlicmksQ2FsaWJyaV9NU0ZvbnRTZXJ2aWNlLEFyaWFsIiBmb250LXdl&#10;aWdodD0iNzAwIiBmb250LXNpemU9IjE4IiB0cmFuc2Zvcm09Im1hdHJpeCgwLjc5OTE0NSAwIDAg&#10;MC43OTk3OTYgODcuNTAyNCA2NykiPiwgPC90ZXh0Pjx0ZXh0IGZvbnQtZmFtaWx5PSJDYWxpYnJp&#10;LENhbGlicmlfTVNGb250U2VydmljZSxBcmlhbCIgZm9udC13ZWlnaHQ9IjcwMCIgZm9udC1zaXpl&#10;PSIxOCIgdHJhbnNmb3JtPSJtYXRyaXgoMC43OTkxNDUgMCAwIDAuNzk5Nzk2IDk0LjY5NDcgNjcp&#10;Ij5JTlRFUlZJRVdTIDwvdGV4dD48dGV4dCBmb250LWZhbWlseT0iQ2FsaWJyaSxDYWxpYnJpX01T&#10;Rm9udFNlcnZpY2UsQXJpYWwiIGZvbnQtd2VpZ2h0PSI3MDAiIGZvbnQtc2l6ZT0iMTgiIHRyYW5z&#10;Zm9ybT0ibWF0cml4KDAuNzk5MTQ1IDAgMCAwLjc5OTc5NiA1Ni4yNTU4IDgyKSI+QU5EIFdPUktT&#10;SE9QUzwvdGV4dD48dGV4dCBmb250LWZhbWlseT0iQ2FsaWJyaSxDYWxpYnJpX01TRm9udFNlcnZp&#10;Y2UsQXJpYWwiIGZvbnQtd2VpZ2h0PSI3MDAiIGZvbnQtc2l6ZT0iMTgiIHRyYW5zZm9ybT0ibWF0&#10;cml4KDAuNzk5MTQ1IDAgMCAwLjc5OTc5NiAyOTIuNDEzIDY3KSI+Q1JPU1MgQ1VUVElORyA8L3Rl&#10;eHQ+PHRleHQgZm9udC1mYW1pbHk9IkNhbGlicmksQ2FsaWJyaV9NU0ZvbnRTZXJ2aWNlLEFyaWFs&#10;IiBmb250LXdlaWdodD0iNzAwIiBmb250LXNpemU9IjE4IiB0cmFuc2Zvcm09Im1hdHJpeCgwLjc5&#10;OTE0NSAwIDAgMC43OTk3OTYgMjg3LjA4NiA4MikiPkNPTExBQk9SQVRJVkVTPC90ZXh0Pjx0ZXh0&#10;IGZvbnQtZmFtaWx5PSJDYWxpYnJpLENhbGlicmlfTVNGb250U2VydmljZSxBcmlhbCIgZm9udC13&#10;ZWlnaHQ9IjcwMCIgZm9udC1zaXplPSIxOCIgdHJhbnNmb3JtPSJtYXRyaXgoMC43OTkxNDUgMCAw&#10;IDAuNzk5Nzk2IDQ3Ny42ODEgNjcpIj5RVUFOVElUQVRJVkUgTUVUSE9EIDwvdGV4dD48dGV4dCBm&#10;b250LWZhbWlseT0iQ2FsaWJyaSxDYWxpYnJpX01TRm9udFNlcnZpY2UsQXJpYWwiIGZvbnQtd2Vp&#10;Z2h0PSI3MDAiIGZvbnQtc2l6ZT0iMTgiIHRyYW5zZm9ybT0ibWF0cml4KDAuNzk5MTQ1IDAgMCAw&#10;Ljc5OTc5NiA1MTAuNzI2IDgyKSI+QU5EIEFOQUxZU0lTPC90ZXh0Pjx0ZXh0IGZvbnQtZmFtaWx5&#10;PSJDYWxpYnJpLENhbGlicmlfTVNGb250U2VydmljZSxBcmlhbCIgZm9udC13ZWlnaHQ9IjcwMCIg&#10;Zm9udC1zaXplPSIxOCIgdHJhbnNmb3JtPSJtYXRyaXgoMC43OTkxNDUgMCAwIDAuNzk5Nzk2IDcy&#10;NS43MjYgNjcpIj5DT05UUklCVVRJT04gPC90ZXh0Pjx0ZXh0IGZvbnQtZmFtaWx5PSJDYWxpYnJp&#10;LENhbGlicmlfTVNGb250U2VydmljZSxBcmlhbCIgZm9udC13ZWlnaHQ9IjcwMCIgZm9udC1zaXpl&#10;PSIxOCIgdHJhbnNmb3JtPSJtYXRyaXgoMC43OTkxNDUgMCAwIDAuNzk5Nzk2IDc0NS4yODUgODIp&#10;Ij5BTkFMWVNJUzwvdGV4dD48dGV4dCBmb250LWZhbWlseT0iQ2FsaWJyaSxDYWxpYnJpX01TRm9u&#10;dFNlcnZpY2UsQXJpYWwiIGZvbnQtd2VpZ2h0PSI3MDAiIGZvbnQtc2l6ZT0iMTgiIHRyYW5zZm9y&#10;bT0ibWF0cml4KDAuNzk5MTQ1IDAgMCAwLjc5OTc5NiA5MzEuODM1IDY3KSI+U0VOU0U8L3RleHQ+&#10;PHRleHQgZm9udC1mYW1pbHk9IkNhbGlicmksQ2FsaWJyaV9NU0ZvbnRTZXJ2aWNlLEFyaWFsIiBm&#10;b250LXdlaWdodD0iNzAwIiBmb250LXNpemU9IjE4IiB0cmFuc2Zvcm09Im1hdHJpeCgwLjc5OTE0&#10;NSAwIDAgMC43OTk3OTYgOTczLjEyNyA2NykiPi08L3RleHQ+PHRleHQgZm9udC1mYW1pbHk9IkNh&#10;bGlicmksQ2FsaWJyaV9NU0ZvbnRTZXJ2aWNlLEFyaWFsIiBmb250LXdlaWdodD0iNzAwIiBmb250&#10;LXNpemU9IjE4IiB0cmFuc2Zvcm09Im1hdHJpeCgwLjc5OTE0NSAwIDAgMC43OTk3OTYgOTc4LjI5&#10;IDY3KSI+TUFLSU5HIEFORCA8L3RleHQ+PHRleHQgZm9udC1mYW1pbHk9IkNhbGlicmksQ2FsaWJy&#10;aV9NU0ZvbnRTZXJ2aWNlLEFyaWFsIiBmb250LXdlaWdodD0iNzAwIiBmb250LXNpemU9IjE4IiB0&#10;cmFuc2Zvcm09Im1hdHJpeCgwLjc5OTE0NSAwIDAgMC43OTk3OTYgOTMzLjQxOCA4MikiPkRBVEEg&#10;SU5URUdSQVRJT048L3RleHQ+PGcgY2xpcC1wYXRoPSJ1cmwoI2NsaXAxKSI+PGcgY2xpcC1wYXRo&#10;PSJ1cmwoI2NsaXAyKSI+PGcgY2xpcC1wYXRoPSJ1cmwoI2NsaXAzKSIgdHJhbnNmb3JtPSJtYXRy&#10;aXgoMC42NjU5NTUgMCAwIDAuNjMxNDE4IDExLjY0MTUgMjE3Ljk1MikiPjxnIGNsaXAtcGF0aD0i&#10;dXJsKCNjbGlwNSkiPjx1c2Ugd2lkdGg9IjEwMCUiIGhlaWdodD0iMTAwJSIgeGxpbms6aHJlZj0i&#10;I2ltZzQiIHRyYW5zZm9ybT0idHJhbnNsYXRlKDkuMDAzMjFlLTA3IDEuMzIwNTllLTA1KSI+PC91&#10;c2U+PC9nPjwvZz48L2c+PC9nPjx0ZXh0IGZvbnQtZmFtaWx5PSJDYWxpYnJpLENhbGlicmlfTVNG&#10;b250U2VydmljZSxBcmlhbCIgZm9udC13ZWlnaHQ9IjQwMCIgZm9udC1zaXplPSIxNyIgdHJhbnNm&#10;b3JtPSJtYXRyaXgoMC43OTkxNDUgMCAwIDAuNzk5Nzk2IDI5LjYyMjMgMjMwKSI+WWFybmluZyB3&#10;b3Jrc2hvcHMgYW5kIGludGVydmlld3MgPC90ZXh0Pjx0ZXh0IGZvbnQtZmFtaWx5PSJDYWxpYnJp&#10;LENhbGlicmlfTVNGb250U2VydmljZSxBcmlhbCIgZm9udC13ZWlnaHQ9IjQwMCIgZm9udC1zaXpl&#10;PSIxNyIgdHJhbnNmb3JtPSJtYXRyaXgoMC43OTkxNDUgMCAwIDAuNzk5Nzk2IDI5LjYyMjMgMjQ0&#10;KSI+d2l0aCBjb21tdW5pdHkgbWVtYmVycyBhbmQgPC90ZXh0Pjx0ZXh0IGZvbnQtZmFtaWx5PSJD&#10;YWxpYnJpLENhbGlicmlfTVNGb250U2VydmljZSxBcmlhbCIgZm9udC13ZWlnaHQ9IjQwMCIgZm9u&#10;dC1zaXplPSIxNyIgdHJhbnNmb3JtPSJtYXRyaXgoMC43OTkxNDUgMCAwIDAuNzk5Nzk2IDI5LjYy&#10;MjMgMjU5KSI+QWJvcmlnaW5hbCBhbmQgVG9ycmVzIFN0cmFpdCA8L3RleHQ+PHRleHQgZm9udC1m&#10;YW1pbHk9IkNhbGlicmksQ2FsaWJyaV9NU0ZvbnRTZXJ2aWNlLEFyaWFsIiBmb250LXdlaWdodD0i&#10;NDAwIiBmb250LXNpemU9IjE3IiB0cmFuc2Zvcm09Im1hdHJpeCgwLjc5OTE0NSAwIDAgMC43OTk3&#10;OTYgMjkuNjIyMyAyNzMpIj5Jc2xhbmRlciBoZWFsdGggc3RhZmYgPC90ZXh0PjxnIGNsaXAtcGF0&#10;aD0idXJsKCNjbGlwNikiPjxnIGNsaXAtcGF0aD0idXJsKCNjbGlwNykiPjxnIGNsaXAtcGF0aD0i&#10;dXJsKCNjbGlwOCkiIHRyYW5zZm9ybT0ibWF0cml4KDAuNjY1OTU1IDAgMCAwLjYzMTQxOCAxMS42&#10;NDE1IDI4MC4zMzYpIj48ZyBjbGlwLXBhdGg9InVybCgjY2xpcDkpIj48dXNlIHdpZHRoPSIxMDAl&#10;IiBoZWlnaHQ9IjEwMCUiIHhsaW5rOmhyZWY9IiNpbWc0IiB0cmFuc2Zvcm09InRyYW5zbGF0ZSg5&#10;LjAwMzIxZS0wNyAtOS44OTI4OWUtMDYpIj48L3VzZT48L2c+PC9nPjwvZz48L2c+PHRleHQgZm9u&#10;dC1mYW1pbHk9IkNhbGlicmksQ2FsaWJyaV9NU0ZvbnRTZXJ2aWNlLEFyaWFsIiBmb250LXdlaWdo&#10;dD0iNDAwIiBmb250LXNpemU9IjE3IiB0cmFuc2Zvcm09Im1hdHJpeCgwLjc5OTE0NSAwIDAgMC43&#10;OTk3OTYgMjkuNjIyMyAyOTIpIj5TZW1pPC90ZXh0Pjx0ZXh0IGZvbnQtZmFtaWx5PSJDYWxpYnJp&#10;LENhbGlicmlfTVNGb250U2VydmljZSxBcmlhbCIgZm9udC13ZWlnaHQ9IjQwMCIgZm9udC1zaXpl&#10;PSIxNyIgdHJhbnNmb3JtPSJtYXRyaXgoMC43OTkxNDUgMCAwIDAuNzk5Nzk2IDU2LjA5NCAyOTIp&#10;Ij4tPC90ZXh0Pjx0ZXh0IGZvbnQtZmFtaWx5PSJDYWxpYnJpLENhbGlicmlfTVNGb250U2Vydmlj&#10;ZSxBcmlhbCIgZm9udC13ZWlnaHQ9IjQwMCIgZm9udC1zaXplPSIxNyIgdHJhbnNmb3JtPSJtYXRy&#10;aXgoMC43OTkxNDUgMCAwIDAuNzk5Nzk2IDYwLjA4OTcgMjkyKSI+c3RydWN0dXJlZCBpbnRlcnZp&#10;ZXdzIHdpdGggPC90ZXh0Pjx0ZXh0IGZvbnQtZmFtaWx5PSJDYWxpYnJpLENhbGlicmlfTVNGb250&#10;U2VydmljZSxBcmlhbCIgZm9udC13ZWlnaHQ9IjQwMCIgZm9udC1zaXplPSIxNyIgdHJhbnNmb3Jt&#10;PSJtYXRyaXgoMC43OTkxNDUgMCAwIDAuNzk5Nzk2IDI5LjYyMjMgMzA3KSI+UEhOPC90ZXh0Pjx0&#10;ZXh0IGZvbnQtZmFtaWx5PSJDYWxpYnJpLENhbGlicmlfTVNGb250U2VydmljZSxBcmlhbCIgZm9u&#10;dC13ZWlnaHQ9IjQwMCIgZm9udC1zaXplPSIxNyIgdHJhbnNmb3JtPSJtYXRyaXgoMC43OTkxNDUg&#10;MCAwIDAuNzk5Nzk2IDU0LjM5NTggMzA3KSI+LCA8L3RleHQ+PHRleHQgZm9udC1mYW1pbHk9IkNh&#10;bGlicmksQ2FsaWJyaV9NU0ZvbnRTZXJ2aWNlLEFyaWFsIiBmb250LXdlaWdodD0iNDAwIiBmb250&#10;LXNpemU9IjE3IiB0cmFuc2Zvcm09Im1hdHJpeCgwLjc5OTE0NSAwIDAgMC43OTk3OTYgNjAuNzg5&#10;IDMwNykiPkFDQ0hTIHN0YWZmIGFuZCBzdGF0ZTwvdGV4dD48dGV4dCBmb250LWZhbWlseT0iQ2Fs&#10;aWJyaSxDYWxpYnJpX01TRm9udFNlcnZpY2UsQXJpYWwiIGZvbnQtd2VpZ2h0PSI0MDAiIGZvbnQt&#10;c2l6ZT0iMTciIHRyYW5zZm9ybT0ibWF0cml4KDAuNzk5MTQ1IDAgMCAwLjc5OTc5NiAxODEuNDYg&#10;MzA3KSI+LCA8L3RleHQ+PHRleHQgZm9udC1mYW1pbHk9IkNhbGlicmksQ2FsaWJyaV9NU0ZvbnRT&#10;ZXJ2aWNlLEFyaWFsIiBmb250LXdlaWdodD0iNDAwIiBmb250LXNpemU9IjE3IiB0cmFuc2Zvcm09&#10;Im1hdHJpeCgwLjc5OTE0NSAwIDAgMC43OTk3OTYgMjkuNjIyMyAzMjEpIj50ZXJyaXRvcnkgYW5k&#10;IG5hdGlvbmFsIDwvdGV4dD48dGV4dCBmb250LWZhbWlseT0iQ2FsaWJyaSxDYWxpYnJpX01TRm9u&#10;dFNlcnZpY2UsQXJpYWwiIGZvbnQtd2VpZ2h0PSI0MDAiIGZvbnQtc2l6ZT0iMTciIHRyYW5zZm9y&#10;bT0ibWF0cml4KDAuNzk5MTQ1IDAgMCAwLjc5OTc5NiAyOS42MjIzIDMzNSkiPnN0YWtlaG9sZGVy&#10;czwvdGV4dD48ZyBjbGlwLXBhdGg9InVybCgjY2xpcDEwKSI+PGcgY2xpcC1wYXRoPSJ1cmwoI2Ns&#10;aXAxMSkiPjxnIGNsaXAtcGF0aD0idXJsKCNjbGlwMTIpIiB0cmFuc2Zvcm09Im1hdHJpeCgwLjY2&#10;NTk1NSAwIDAgMC42MzE0MTggMTEuNjQxNSAzNDMuNTIpIj48ZyBjbGlwLXBhdGg9InVybCgjY2xp&#10;cDEzKSI+PHVzZSB3aWR0aD0iMTAwJSIgaGVpZ2h0PSIxMDAlIiB4bGluazpocmVmPSIjaW1nNCIg&#10;dHJhbnNmb3JtPSJ0cmFuc2xhdGUoOS4wMDMyMWUtMDcgMy45NDc4NWUtMDUpIj48L3VzZT48L2c+&#10;PC9nPjwvZz48L2c+PHRleHQgZm9udC1mYW1pbHk9IkNhbGlicmksQ2FsaWJyaV9NU0ZvbnRTZXJ2&#10;aWNlLEFyaWFsIiBmb250LXdlaWdodD0iNDAwIiBmb250LXNpemU9IjE3IiB0cmFuc2Zvcm09Im1h&#10;dHJpeCgwLjc5OTE0NSAwIDAgMC43OTk3OTYgMjkuNjIyMyAzNTUpIj5JbmRpdmlkdWFsIHBhdGll&#10;bnQgam91cm5leSA8L3RleHQ+PHRleHQgZm9udC1mYW1pbHk9IkNhbGlicmksQ2FsaWJyaV9NU0Zv&#10;bnRTZXJ2aWNlLEFyaWFsIiBmb250LXdlaWdodD0iNDAwIiBmb250LXNpemU9IjE3IiB0cmFuc2Zv&#10;cm09Im1hdHJpeCgwLjc5OTE0NSAwIDAgMC43OTk3OTYgMjkuNjIyMyAzNzApIj5pbnRlcnZpZXdz&#10;PC90ZXh0PjxnIGNsaXAtcGF0aD0idXJsKCNjbGlwMTQpIj48ZyBjbGlwLXBhdGg9InVybCgjY2xp&#10;cDE1KSI+PGcgY2xpcC1wYXRoPSJ1cmwoI2NsaXAxNikiIHRyYW5zZm9ybT0ibWF0cml4KDAuNjY1&#10;OTU1IDAgMCAwLjYzMTQxOCAxMS42NDE1IDM3Ny45MTEpIj48ZyBjbGlwLXBhdGg9InVybCgjY2xp&#10;cDE3KSI+PHVzZSB3aWR0aD0iMTAwJSIgaGVpZ2h0PSIxMDAlIiB4bGluazpocmVmPSIjaW1nNCIg&#10;dHJhbnNmb3JtPSJ0cmFuc2xhdGUoOS4wMDMyMWUtMDcgLTEuOTgxODllLTA1KSI+PC91c2U+PC9n&#10;PjwvZz48L2c+PC9nPjx0ZXh0IGZvbnQtZmFtaWx5PSJDYWxpYnJpLENhbGlicmlfTVNGb250U2Vy&#10;dmljZSxBcmlhbCIgZm9udC13ZWlnaHQ9IjQwMCIgZm9udC1zaXplPSIxNyIgdHJhbnNmb3JtPSJt&#10;YXRyaXgoMC43OTkxNDUgMCAwIDAuNzk5Nzk2IDI5LjYyMjMgMzkwKSI+Q29sbGVjdGl2ZSBBY3Rp&#10;b24gZm9yIENoYW5nZSA8L3RleHQ+PHRleHQgZm9udC1mYW1pbHk9IkNhbGlicmksQ2FsaWJyaV9N&#10;U0ZvbnRTZXJ2aWNlLEFyaWFsIiBmb250LXdlaWdodD0iNDAwIiBmb250LXNpemU9IjE3IiB0cmFu&#10;c2Zvcm09Im1hdHJpeCgwLjc5OTE0NSAwIDAgMC43OTk3OTYgMjkuNjIyMyA0MDQpIj4oPC90ZXh0&#10;Pjx0ZXh0IGZvbnQtZmFtaWx5PSJDYWxpYnJpLENhbGlicmlfTVNGb250U2VydmljZSxBcmlhbCIg&#10;Zm9udC13ZWlnaHQ9IjQwMCIgZm9udC1zaXplPSIxNyIgdHJhbnNmb3JtPSJtYXRyaXgoMC43OTkx&#10;NDUgMCAwIDAuNzk5Nzk2IDMzLjYxOCA0MDQpIj5DQTwvdGV4dD48dGV4dCBmb250LWZhbWlseT0i&#10;Q2FsaWJyaSxDYWxpYnJpX01TRm9udFNlcnZpY2UsQXJpYWwiIGZvbnQtd2VpZ2h0PSI0MDAiIGZv&#10;bnQtc2l6ZT0iMTciIHRyYW5zZm9ybT0ibWF0cml4KDAuNzk5MTQ1IDAgMCAwLjc5OTc5NiA0OC44&#10;MDE4IDQwNCkiPjQ8L3RleHQ+PHRleHQgZm9udC1mYW1pbHk9IkNhbGlicmksQ2FsaWJyaV9NU0Zv&#10;bnRTZXJ2aWNlLEFyaWFsIiBmb250LXdlaWdodD0iNDAwIiBmb250LXNpemU9IjE3IiB0cmFuc2Zv&#10;cm09Im1hdHJpeCgwLjc5OTE0NSAwIDAgMC43OTk3OTYgNTUuOTk0MSA0MDQpIj5DPC90ZXh0Pjx0&#10;ZXh0IGZvbnQtZmFtaWx5PSJDYWxpYnJpLENhbGlicmlfTVNGb250U2VydmljZSxBcmlhbCIgZm9u&#10;dC13ZWlnaHQ9IjQwMCIgZm9udC1zaXplPSIxNyIgdHJhbnNmb3JtPSJtYXRyaXgoMC43OTkxNDUg&#10;MCAwIDAuNzk5Nzk2IDYzLjE4NjQgNDA0KSI+KSA8L3RleHQ+PHRleHQgZm9udC1mYW1pbHk9IkNh&#10;bGlicmksQ2FsaWJyaV9NU0ZvbnRTZXJ2aWNlLEFyaWFsIiBmb250LXdlaWdodD0iNDAwIiBmb250&#10;LXNpemU9IjE3IiB0cmFuc2Zvcm09Im1hdHJpeCgwLjc5OTE0NSAwIDAgMC43OTk3OTYgNzAuMzc4&#10;NyA0MDQpIj53b3Jrc2hvcHM8L3RleHQ+PGcgY2xpcC1wYXRoPSJ1cmwoI2NsaXAxOCkiPjxnIGNs&#10;aXAtcGF0aD0idXJsKCNjbGlwMTkpIj48ZyBjbGlwLXBhdGg9InVybCgjY2xpcDIwKSIgdHJhbnNm&#10;b3JtPSJtYXRyaXgoMC42NjU5NTUgMCAwIDAuNjMxNDE4IDExLjY0MTUgNDM3LjA5NikiPjxnIGNs&#10;aXAtcGF0aD0idXJsKCNjbGlwMjEpIj48dXNlIHdpZHRoPSIxMDAlIiBoZWlnaHQ9IjEwMCUiIHhs&#10;aW5rOmhyZWY9IiNpbWc0IiB0cmFuc2Zvcm09InRyYW5zbGF0ZSg5LjAwMzIxZS0wNyAtMS4xMDQ4&#10;OWUtMDUpIj48L3VzZT48L2c+PC9nPjwvZz48L2c+PHRleHQgZm9udC1mYW1pbHk9IkNhbGlicmks&#10;Q2FsaWJyaV9NU0ZvbnRTZXJ2aWNlLEFyaWFsIiBmb250LXdlaWdodD0iNDAwIiBmb250LXNpemU9&#10;IjE3IiB0cmFuc2Zvcm09Im1hdHJpeCgwLjc5OTE0NSAwIDAgMC43OTk3OTYgMjkuNjIyMyA0NDkp&#10;Ij5TY2hlbWEgYW5hbHlzaXMgdG8gdW5kZXJzdGFuZCA8L3RleHQ+PHRleHQgZm9udC1mYW1pbHk9&#10;IkNhbGlicmksQ2FsaWJyaV9NU0ZvbnRTZXJ2aWNlLEFyaWFsIiBmb250LXdlaWdodD0iNDAwIiBm&#10;b250LXNpemU9IjE3IiB0cmFuc2Zvcm09Im1hdHJpeCgwLjc5OTE0NSAwIDAgMC43OTk3OTYgMjku&#10;NjIyMyA0NjMpIj52YWx1ZXM8L3RleHQ+PHRleHQgZm9udC1mYW1pbHk9IkNhbGlicmksQ2FsaWJy&#10;aV9NU0ZvbnRTZXJ2aWNlLEFyaWFsIiBmb250LXdlaWdodD0iNDAwIiBmb250LXNpemU9IjE3IiB0&#10;cmFuc2Zvcm09Im1hdHJpeCgwLjc5OTE0NSAwIDAgMC43OTk3OTYgNjQuNzg0NyA0NjMpIj4sIDwv&#10;dGV4dD48dGV4dCBmb250LWZhbWlseT0iQ2FsaWJyaSxDYWxpYnJpX01TRm9udFNlcnZpY2UsQXJp&#10;YWwiIGZvbnQtd2VpZ2h0PSI0MDAiIGZvbnQtc2l6ZT0iMTciIHRyYW5zZm9ybT0ibWF0cml4KDAu&#10;Nzk5MTQ1IDAgMCAwLjc5OTc5NiA3MS4xNzc5IDQ2MykiPmluY2x1ZGluZyB0aGUgZGV2ZWxvcG1l&#10;bnQgPC90ZXh0Pjx0ZXh0IGZvbnQtZmFtaWx5PSJDYWxpYnJpLENhbGlicmlfTVNGb250U2Vydmlj&#10;ZSxBcmlhbCIgZm9udC13ZWlnaHQ9IjQwMCIgZm9udC1zaXplPSIxNyIgdHJhbnNmb3JtPSJtYXRy&#10;aXgoMC43OTkxNDUgMCAwIDAuNzk5Nzk2IDI5LjYyMjMgNDc4KSI+b2YgPC90ZXh0Pjx0ZXh0IGZv&#10;bnQtZmFtaWx5PSJDYWxpYnJpLENhbGlicmlfTVNGb250U2VydmljZSxBcmlhbCIgZm9udC13ZWln&#10;aHQ9IjQwMCIgZm9udC1zaXplPSIxNyIgdHJhbnNmb3JtPSJtYXRyaXgoMC43OTkxNDUgMCAwIDAu&#10;Nzk5Nzk2IDQzLjYwNzQgNDc4KSI+QmFidW55PC90ZXh0Pjx0ZXh0IGZvbnQtZmFtaWx5PSJDYWxp&#10;YnJpLENhbGlicmlfTVNGb250U2VydmljZSxBcmlhbCIgZm9udC13ZWlnaHQ9IjQwMCIgZm9udC1z&#10;aXplPSIxNyIgdHJhbnNmb3JtPSJtYXRyaXgoMC43OTkxNDUgMCAwIDAuNzk5Nzk2IDg3LjIyNzUg&#10;NDc4KSI+dHJlZSBmcmFtZXdvcms8L3RleHQ+PGcgY2xpcC1wYXRoPSJ1cmwoI2NsaXAyMikiPjxn&#10;IGNsaXAtcGF0aD0idXJsKCNjbGlwMjMpIj48ZyBjbGlwLXBhdGg9InVybCgjY2xpcDI0KSIgdHJh&#10;bnNmb3JtPSJtYXRyaXgoMC42NjU5NTUgMCAwIDAuNjMxNDE4IDExLjY0MTUgNDg1LjA4NCkiPjxn&#10;IGNsaXAtcGF0aD0idXJsKCNjbGlwMjUpIj48dXNlIHdpZHRoPSIxMDAlIiBoZWlnaHQ9IjEwMCUi&#10;IHhsaW5rOmhyZWY9IiNpbWc0IiB0cmFuc2Zvcm09InRyYW5zbGF0ZSg5LjAwMzIxZS0wNyAzLjA3&#10;MDc3ZS0wNikiPjwvdXNlPjwvZz48L2c+PC9nPjwvZz48dGV4dCBmb250LWZhbWlseT0iQ2FsaWJy&#10;aSxDYWxpYnJpX01TRm9udFNlcnZpY2UsQXJpYWwiIGZvbnQtd2VpZ2h0PSI0MDAiIGZvbnQtc2l6&#10;ZT0iMTciIHRyYW5zZm9ybT0ibWF0cml4KDAuNzk5MTQ1IDAgMCAwLjc5OTc5NiAyOS42MjIzIDQ5&#10;NykiPkdyb3VuZGVkIHRoZW9yeSBhbmFseXNpcyB0byA8L3RleHQ+PHRleHQgZm9udC1mYW1pbHk9&#10;IkNhbGlicmksQ2FsaWJyaV9NU0ZvbnRTZXJ2aWNlLEFyaWFsIiBmb250LXdlaWdodD0iNDAwIiBm&#10;b250LXNpemU9IjE3IiB0cmFuc2Zvcm09Im1hdHJpeCgwLjc5OTE0NSAwIDAgMC43OTk3OTYgMjku&#10;NjIyMyA1MTEpIj51bmRlcnN0YW5kIGV4cGVyaWVuY2VzPC90ZXh0PjxnIGNsaXAtcGF0aD0idXJs&#10;KCNjbGlwMjYpIj48ZyBjbGlwLXBhdGg9InVybCgjY2xpcDI3KSI+PGcgY2xpcC1wYXRoPSJ1cmwo&#10;I2NsaXAyOCkiIHRyYW5zZm9ybT0ibWF0cml4KDAuNjY1OTU1IDAgMCAwLjYzMTQxOCAxMS42NDE1&#10;IDUxOS40NzUpIj48ZyBjbGlwLXBhdGg9InVybCgjY2xpcDI5KSI+PHVzZSB3aWR0aD0iMTAwJSIg&#10;aGVpZ2h0PSIxMDAlIiB4bGluazpocmVmPSIjaW1nNCIgdHJhbnNmb3JtPSJ0cmFuc2xhdGUoOS4w&#10;MDMyMWUtMDcgMS43NTExOWUtMDUpIj48L3VzZT48L2c+PC9nPjwvZz48L2c+PHRleHQgZm9udC1m&#10;YW1pbHk9IkNhbGlicmksQ2FsaWJyaV9NU0ZvbnRTZXJ2aWNlLEFyaWFsIiBmb250LXdlaWdodD0i&#10;NDAwIiBmb250LXNpemU9IjE3IiB0cmFuc2Zvcm09Im1hdHJpeCgwLjc5OTE0NSAwIDAgMC43OTk3&#10;OTYgMjkuNjIyMyA1MzEpIj5Db250ZW50IGFuZCB0aGVtYXRpYyBhbmFseXNpcyB0byA8L3RleHQ+&#10;PHRleHQgZm9udC1mYW1pbHk9IkNhbGlicmksQ2FsaWJyaV9NU0ZvbnRTZXJ2aWNlLEFyaWFsIiBm&#10;b250LXdlaWdodD0iNDAwIiBmb250LXNpemU9IjE3IiB0cmFuc2Zvcm09Im1hdHJpeCgwLjc5OTE0&#10;NSAwIDAgMC43OTk3OTYgMjkuNjIyMyA1NDYpIj5zdW1tYXJpc2U8L3RleHQ+PHRleHQgZm9udC1m&#10;YW1pbHk9IkNhbGlicmksQ2FsaWJyaV9NU0ZvbnRTZXJ2aWNlLEFyaWFsIiBmb250LXdlaWdodD0i&#10;NDAwIiBmb250LXNpemU9IjE3IiB0cmFuc2Zvcm09Im1hdHJpeCgwLjc5OTE0NSAwIDAgMC43OTk3&#10;OTYgOTEuODg4OSA1NDYpIj5oaWdoPC90ZXh0Pjx0ZXh0IGZvbnQtZmFtaWx5PSJDYWxpYnJpLENh&#10;bGlicmlfTVNGb250U2VydmljZSxBcmlhbCIgZm9udC13ZWlnaHQ9IjQwMCIgZm9udC1zaXplPSIx&#10;NyIgdHJhbnNmb3JtPSJtYXRyaXgoMC43OTkxNDUgMCAwIDAuNzk5Nzk2IDExNS4xOTggNTQ2KSI+&#10;LTwvdGV4dD48dGV4dCBmb250LWZhbWlseT0iQ2FsaWJyaSxDYWxpYnJpX01TRm9udFNlcnZpY2Us&#10;QXJpYWwiIGZvbnQtd2VpZ2h0PSI0MDAiIGZvbnQtc2l6ZT0iMTciIHRyYW5zZm9ybT0ibWF0cml4&#10;KDAuNzk5MTQ1IDAgMCAwLjc5OTc5NiAxMTkuMTkzIDU0NikiPmxldmVsIGZpbmRpbmdzIGFuZCA8&#10;L3RleHQ+PHRleHQgZm9udC1mYW1pbHk9IkNhbGlicmksQ2FsaWJyaV9NU0ZvbnRTZXJ2aWNlLEFy&#10;aWFsIiBmb250LXdlaWdodD0iNDAwIiBmb250LXNpemU9IjE3IiB0cmFuc2Zvcm09Im1hdHJpeCgw&#10;Ljc5OTE0NSAwIDAgMC43OTk3OTYgMjkuNjIyMyA1NjApIj51bmRlcnN0YW5kIHRoZSBkaWZmZXJl&#10;bmNlIElBSFAgaXMgPC90ZXh0Pjx0ZXh0IGZvbnQtZmFtaWx5PSJDYWxpYnJpLENhbGlicmlfTVNG&#10;b250U2VydmljZSxBcmlhbCIgZm9udC13ZWlnaHQ9IjQwMCIgZm9udC1zaXplPSIxNyIgdHJhbnNm&#10;b3JtPSJtYXRyaXgoMC43OTkxNDUgMCAwIDAuNzk5Nzk2IDI5LjYyMjMgNTc0KSI+bWFraW5nPC90&#10;ZXh0PjxnIGNsaXAtcGF0aD0idXJsKCNjbGlwMzApIj48ZyBjbGlwLXBhdGg9InVybCgjY2xpcDMx&#10;KSI+PGcgY2xpcC1wYXRoPSJ1cmwoI2NsaXAzMikiIHRyYW5zZm9ybT0ibWF0cml4KDAuNjY1OTU1&#10;IDAgMCAwLjYzMTQxOCAxMS42NDE1IDU4Mi42NTkpIj48ZyBjbGlwLXBhdGg9InVybCgjY2xpcDMz&#10;KSI+PHVzZSB3aWR0aD0iMTAwJSIgaGVpZ2h0PSIxMDAlIiB4bGluazpocmVmPSIjaW1nNCIgdHJh&#10;bnNmb3JtPSJ0cmFuc2xhdGUoOS4wMDMyMWUtMDcgLTYuODU1MjJlLTA2KSI+PC91c2U+PC9nPjwv&#10;Zz48L2c+PC9nPjx0ZXh0IGZvbnQtZmFtaWx5PSJDYWxpYnJpLENhbGlicmlfTVNGb250U2Vydmlj&#10;ZSxBcmlhbCIgZm9udC13ZWlnaHQ9IjQwMCIgZm9udC1zaXplPSIxNyIgdHJhbnNmb3JtPSJtYXRy&#10;aXgoMC43OTkxNDUgMCAwIDAuNzk5Nzk2IDI5LjYyMjMgNTk0KSI+RGV2ZWxvcG1lbnQgb2YgZnVu&#10;ZGluZyBhbmQgPC90ZXh0Pjx0ZXh0IGZvbnQtZmFtaWx5PSJDYWxpYnJpLENhbGlicmlfTVNGb250&#10;U2VydmljZSxBcmlhbCIgZm9udC13ZWlnaHQ9IjQwMCIgZm9udC1zaXplPSIxNyIgdHJhbnNmb3Jt&#10;PSJtYXRyaXgoMC43OTkxNDUgMCAwIDAuNzk5Nzk2IDI5LjYyMjMgNjA5KSI+cmVwb3J0aW5nIHBy&#10;b2ZpbGVzIGludm9sdmluZyBzaXggPC90ZXh0Pjx0ZXh0IGZvbnQtZmFtaWx5PSJDYWxpYnJpLENh&#10;bGlicmlfTVNGb250U2VydmljZSxBcmlhbCIgZm9udC13ZWlnaHQ9IjQwMCIgZm9udC1zaXplPSIx&#10;NyIgdHJhbnNmb3JtPSJtYXRyaXgoMC43OTkxNDUgMCAwIDAuNzk5Nzk2IDI5LjYyMjMgNjIzKSI+&#10;QUNDSFNzPC90ZXh0Pjx0ZXh0IGZvbnQtZmFtaWx5PSJDYWxpYnJpLENhbGlicmlfTVNGb250U2Vy&#10;dmljZSxBcmlhbCIgZm9udC13ZWlnaHQ9IjQwMCIgZm9udC1zaXplPSIxNyIgdHJhbnNmb3JtPSJt&#10;YXRyaXgoMC43OTkxNDUgMCAwIDAuNzk5Nzk2IDcyLjc3NjIgNjIzKSI+LiA8L3RleHQ+PGcgY2xp&#10;cC1wYXRoPSJ1cmwoI2NsaXAzNCkiPjxnIGNsaXAtcGF0aD0idXJsKCNjbGlwMzUpIj48ZyBjbGlw&#10;LXBhdGg9InVybCgjY2xpcDM2KSIgdHJhbnNmb3JtPSJtYXRyaXgoMC42NjU5NTUgMCAwIDAuNjMx&#10;NDE4IDIzNC4xNyAyMTcuOTUyKSI+PGcgY2xpcC1wYXRoPSJ1cmwoI2NsaXAzNykiPjx1c2Ugd2lk&#10;dGg9IjEwMCUiIGhlaWdodD0iMTAwJSIgeGxpbms6aHJlZj0iI2ltZzQiIHRyYW5zZm9ybT0idHJh&#10;bnNsYXRlKDcuOTY5NzNlLTA2IDEuMzIwNTllLTA1KSI+PC91c2U+PC9nPjwvZz48L2c+PC9nPjx0&#10;ZXh0IGZpbGw9IiNGRkZGRkYiIGZvbnQtZmFtaWx5PSJDYWxpYnJpLENhbGlicmlfTVNGb250U2Vy&#10;dmljZSxBcmlhbCIgZm9udC13ZWlnaHQ9IjcwMCIgZm9udC1zaXplPSIxNyIgdHJhbnNmb3JtPSJt&#10;YXRyaXgoMC43OTkxNDUgMCAwIDAuNzk5Nzk2IDI1Mi4xNTEgMjMwKSI+Q09MTEFCT1JBVElWRTwv&#10;dGV4dD48dGV4dCBmaWxsPSIjRkZGRkZGIiBmb250LWZhbWlseT0iQ2FsaWJyaSxDYWxpYnJpX01T&#10;Rm9udFNlcnZpY2UsQXJpYWwiIGZvbnQtd2VpZ2h0PSI3MDAiIGZvbnQtc2l6ZT0iMTciIHRyYW5z&#10;Zm9ybT0ibWF0cml4KDAuNzk5MTQ1IDAgMCAwLjc5OTc5NiAzNDYuODgzIDIzMCkiPjE8L3RleHQ+&#10;PHRleHQgZmlsbD0iI0ZGRkZGRiIgZm9udC1mYW1pbHk9IkNhbGlicmksQ2FsaWJyaV9NU0ZvbnRT&#10;ZXJ2aWNlLEFyaWFsIiBmb250LXdlaWdodD0iNDAwIiBmb250LXNpemU9IjE3IiB0cmFuc2Zvcm09&#10;Im1hdHJpeCgwLjc5OTE0NSAwIDAgMC43OTk3OTYgMzUzLjcwOSAyMzApIj46IDwvdGV4dD48dGV4&#10;dCBmaWxsPSIjRkZGRkZGIiBmb250LWZhbWlseT0iQ2FsaWJyaSxDYWxpYnJpX01TRm9udFNlcnZp&#10;Y2UsQXJpYWwiIGZvbnQtd2VpZ2h0PSI0MDAiIGZvbnQtc2l6ZT0iMTciIHRyYW5zZm9ybT0ibWF0&#10;cml4KDAuNzk5MTQ1IDAgMCAwLjc5OTc5NiAzNjAuOTAxIDIzMCkiPkFib3JpZ2luYWwgPC90ZXh0&#10;Pjx0ZXh0IGZpbGw9IiNGRkZGRkYiIGZvbnQtZmFtaWx5PSJDYWxpYnJpLENhbGlicmlfTVNGb250&#10;U2VydmljZSxBcmlhbCIgZm9udC13ZWlnaHQ9IjQwMCIgZm9udC1zaXplPSIxNyIgdHJhbnNmb3Jt&#10;PSJtYXRyaXgoMC43OTkxNDUgMCAwIDAuNzk5Nzk2IDI1Mi4xNTEgMjQ0KSI+YW5kIFRvcnJlcyBT&#10;dHJhaXQgSXNsYW5kZXIgUEhDIDwvdGV4dD48dGV4dCBmaWxsPSIjRkZGRkZGIiBmb250LWZhbWls&#10;eT0iQ2FsaWJyaSxDYWxpYnJpX01TRm9udFNlcnZpY2UsQXJpYWwiIGZvbnQtd2VpZ2h0PSI0MDAi&#10;IGZvbnQtc2l6ZT0iMTciIHRyYW5zZm9ybT0ibWF0cml4KDAuNzk5MTQ1IDAgMCAwLjc5OTc5NiAy&#10;NTIuMTUxIDI1OSkiPnN5c3RlbTwvdGV4dD48dGV4dCBmaWxsPSIjRkZGRkZGIiBmb250LWZhbWls&#10;eT0iQ2FsaWJyaSxDYWxpYnJpX01TRm9udFNlcnZpY2UsQXJpYWwiIGZvbnQtd2VpZ2h0PSI0MDAi&#10;IGZvbnQtc2l6ZT0iMTciIHRyYW5zZm9ybT0ibWF0cml4KDAuNzk5MTQ1IDAgMCAwLjc5OTc5NiAy&#10;OTIuMTA4IDI1OSkiPuKAmTwvdGV4dD48dGV4dCBmaWxsPSIjRkZGRkZGIiBmb250LWZhbWlseT0i&#10;Q2FsaWJyaSxDYWxpYnJpX01TRm9udFNlcnZpY2UsQXJpYWwiIGZvbnQtd2VpZ2h0PSI0MDAiIGZv&#10;bnQtc2l6ZT0iMTciIHRyYW5zZm9ybT0ibWF0cml4KDAuNzk5MTQ1IDAgMCAwLjc5OTc5NiAyOTUu&#10;MzA1IDI1OSkiPnMgIGluaXRpYWwgIHJlc3BvbnNlICB0bzwvdGV4dD48dGV4dCBmaWxsPSIjRkZG&#10;RkZGIiBmb250LWZhbWlseT0iQ2FsaWJyaSxDYWxpYnJpX01TRm9udFNlcnZpY2UsQXJpYWwiIGZv&#10;bnQtd2VpZ2h0PSI0MDAiIGZvbnQtc2l6ZT0iMTciIHRyYW5zZm9ybT0ibWF0cml4KDAuNzk5MTQ1&#10;IDAgMCAwLjc5OTc5NiAyNTIuMTUxIDI3MykiPkNvdmlkPC90ZXh0Pjx0ZXh0IGZpbGw9IiNGRkZG&#10;RkYiIGZvbnQtZmFtaWx5PSJDYWxpYnJpLENhbGlicmlfTVNGb250U2VydmljZSxBcmlhbCIgZm9u&#10;dC13ZWlnaHQ9IjQwMCIgZm9udC1zaXplPSIxNyIgdHJhbnNmb3JtPSJtYXRyaXgoMC43OTkxNDUg&#10;MCAwIDAuNzk5Nzk2IDI4Mi4yODUgMjczKSI+LTwvdGV4dD48dGV4dCBmaWxsPSIjRkZGRkZGIiBm&#10;b250LWZhbWlseT0iQ2FsaWJyaSxDYWxpYnJpX01TRm9udFNlcnZpY2UsQXJpYWwiIGZvbnQtd2Vp&#10;Z2h0PSI0MDAiIGZvbnQtc2l6ZT0iMTciIHRyYW5zZm9ybT0ibWF0cml4KDAuNzk5MTQ1IDAgMCAw&#10;Ljc5OTc5NiAyODYuMjgxIDI3MykiPjE5PC90ZXh0PjxnIGNsaXAtcGF0aD0idXJsKCNjbGlwMzgp&#10;Ij48ZyBjbGlwLXBhdGg9InVybCgjY2xpcDM5KSI+PGcgY2xpcC1wYXRoPSJ1cmwoI2NsaXA0MCki&#10;IHRyYW5zZm9ybT0ibWF0cml4KDAuNjY1OTU1IDAgMCAwLjYzMTQxOCAyMzQuMTcgMjgwLjMzNiki&#10;PjxnIGNsaXAtcGF0aD0idXJsKCNjbGlwNDEpIj48dXNlIHdpZHRoPSIxMDAlIiBoZWlnaHQ9IjEw&#10;MCUiIHhsaW5rOmhyZWY9IiNpbWc0IiB0cmFuc2Zvcm09InRyYW5zbGF0ZSg3Ljk2OTczZS0wNiAt&#10;OS44OTI4OWUtMDYpIj48L3VzZT48L2c+PC9nPjwvZz48L2c+PHRleHQgZmlsbD0iI0ZGRkZGRiIg&#10;Zm9udC1mYW1pbHk9IkNhbGlicmksQ2FsaWJyaV9NU0ZvbnRTZXJ2aWNlLEFyaWFsIiBmb250LXdl&#10;aWdodD0iNzAwIiBmb250LXNpemU9IjE3IiB0cmFuc2Zvcm09Im1hdHJpeCgwLjc5OTE0NSAwIDAg&#10;MC43OTk3OTYgMjUyLjE1MSAyOTIpIj5DT0xMQUJPUkFUSVZFPC90ZXh0Pjx0ZXh0IGZpbGw9IiNG&#10;RkZGRkYiIGZvbnQtZmFtaWx5PSJDYWxpYnJpLENhbGlicmlfTVNGb250U2VydmljZSxBcmlhbCIg&#10;Zm9udC13ZWlnaHQ9IjcwMCIgZm9udC1zaXplPSIxNyIgdHJhbnNmb3JtPSJtYXRyaXgoMC43OTkx&#10;NDUgMCAwIDAuNzk5Nzk2IDM0Ni44ODMgMjkyKSI+MjwvdGV4dD48dGV4dCBmaWxsPSIjRkZGRkZG&#10;IiBmb250LWZhbWlseT0iQ2FsaWJyaSxDYWxpYnJpX01TRm9udFNlcnZpY2UsQXJpYWwiIGZvbnQt&#10;d2VpZ2h0PSI0MDAiIGZvbnQtc2l6ZT0iMTciIHRyYW5zZm9ybT0ibWF0cml4KDAuNzk5MTQ1IDAg&#10;MCAwLjc5OTc5NiAzNTMuNzA5IDI5MikiPjogPC90ZXh0Pjx0ZXh0IGZpbGw9IiNGRkZGRkYiIGZv&#10;bnQtZmFtaWx5PSJDYWxpYnJpLENhbGlicmlfTVNGb250U2VydmljZSxBcmlhbCIgZm9udC13ZWln&#10;aHQ9IjQwMCIgZm9udC1zaXplPSIxNyIgdHJhbnNmb3JtPSJtYXRyaXgoMC43OTkxNDUgMCAwIDAu&#10;Nzk5Nzk2IDM2MC45MDEgMjkyKSI+QWJvcmlnaW5hbCA8L3RleHQ+PHRleHQgZmlsbD0iI0ZGRkZG&#10;RiIgZm9udC1mYW1pbHk9IkNhbGlicmksQ2FsaWJyaV9NU0ZvbnRTZXJ2aWNlLEFyaWFsIiBmb250&#10;LXdlaWdodD0iNDAwIiBmb250LXNpemU9IjE3IiB0cmFuc2Zvcm09Im1hdHJpeCgwLjc5OTE0NSAw&#10;IDAgMC43OTk3OTYgMjUyLjE1MSAzMDcpIj5hbmQgVG9ycmVzIFN0cmFpdCBJc2xhbmRlciBIZWFs&#10;dGggPC90ZXh0Pjx0ZXh0IGZpbGw9IiNGRkZGRkYiIGZvbnQtZmFtaWx5PSJDYWxpYnJpLENhbGli&#10;cmlfTVNGb250U2VydmljZSxBcmlhbCIgZm9udC13ZWlnaHQ9IjQwMCIgZm9udC1zaXplPSIxNyIg&#10;dHJhbnNmb3JtPSJtYXRyaXgoMC43OTkxNDUgMCAwIDAuNzk5Nzk2IDI1Mi4xNTEgMzIxKSI+V29y&#10;a2VycyBhbmQgUHJhY3RpdGlvbmVycyA8L3RleHQ+PHRleHQgZmlsbD0iI0ZGRkZGRiIgZm9udC1m&#10;YW1pbHk9IkNhbGlicmksQ2FsaWJyaV9NU0ZvbnRTZXJ2aWNlLEFyaWFsIiBmb250LXdlaWdodD0i&#10;NDAwIiBmb250LXNpemU9IjE3IiB0cmFuc2Zvcm09Im1hdHJpeCgwLjc5OTE0NSAwIDAgMC43OTk3&#10;OTYgMjUyLjE1MSAzMzUpIj50cmFpbmluZyBwaXBlbGluZTwvdGV4dD48ZyBjbGlwLXBhdGg9InVy&#10;bCgjY2xpcDQyKSI+PGcgY2xpcC1wYXRoPSJ1cmwoI2NsaXA0MykiPjxnIGNsaXAtcGF0aD0idXJs&#10;KCNjbGlwNDQpIiB0cmFuc2Zvcm09Im1hdHJpeCgwLjY2NTk1NSAwIDAgMC42MzE0MTggMjM0LjE3&#10;IDM0My41MikiPjxnIGNsaXAtcGF0aD0idXJsKCNjbGlwNDUpIj48dXNlIHdpZHRoPSIxMDAlIiBo&#10;ZWlnaHQ9IjEwMCUiIHhsaW5rOmhyZWY9IiNpbWc0IiB0cmFuc2Zvcm09InRyYW5zbGF0ZSg3Ljk2&#10;OTczZS0wNiAzLjk0Nzg1ZS0wNSkiPjwvdXNlPjwvZz48L2c+PC9nPjwvZz48dGV4dCBmaWxsPSIj&#10;RkZGRkZGIiBmb250LWZhbWlseT0iQ2FsaWJyaSxDYWxpYnJpX01TRm9udFNlcnZpY2UsQXJpYWwi&#10;IGZvbnQtd2VpZ2h0PSI3MDAiIGZvbnQtc2l6ZT0iMTciIHRyYW5zZm9ybT0ibWF0cml4KDAuNzk5&#10;MTQ1IDAgMCAwLjc5OTc5NiAyNTIuMTUxIDM1NSkiPkNPTExBQk9SQVRJVkU8L3RleHQ+PHRleHQg&#10;ZmlsbD0iI0ZGRkZGRiIgZm9udC1mYW1pbHk9IkNhbGlicmksQ2FsaWJyaV9NU0ZvbnRTZXJ2aWNl&#10;LEFyaWFsIiBmb250LXdlaWdodD0iNzAwIiBmb250LXNpemU9IjE3IiB0cmFuc2Zvcm09Im1hdHJp&#10;eCgwLjc5OTE0NSAwIDAgMC43OTk3OTYgMzQ2Ljg4MyAzNTUpIj4zPC90ZXh0Pjx0ZXh0IGZpbGw9&#10;IiNGRkZGRkYiIGZvbnQtZmFtaWx5PSJDYWxpYnJpLENhbGlicmlfTVNGb250U2VydmljZSxBcmlh&#10;bCIgZm9udC13ZWlnaHQ9IjQwMCIgZm9udC1zaXplPSIxNyIgdHJhbnNmb3JtPSJtYXRyaXgoMC43&#10;OTkxNDUgMCAwIDAuNzk5Nzk2IDM1My43MDkgMzU1KSI+OiA8L3RleHQ+PHRleHQgZmlsbD0iI0ZG&#10;RkZGRiIgZm9udC1mYW1pbHk9IkNhbGlicmksQ2FsaWJyaV9NU0ZvbnRTZXJ2aWNlLEFyaWFsIiBm&#10;b250LXdlaWdodD0iNDAwIiBmb250LXNpemU9IjE3IiB0cmFuc2Zvcm09Im1hdHJpeCgwLjc5OTE0&#10;NSAwIDAgMC43OTk3OTYgMzYwLjkwMSAzNTUpIj5BZGFwdGluZyBhbmQgPC90ZXh0Pjx0ZXh0IGZp&#10;bGw9IiNGRkZGRkYiIGZvbnQtZmFtaWx5PSJDYWxpYnJpLENhbGlicmlfTVNGb250U2VydmljZSxB&#10;cmlhbCIgZm9udC13ZWlnaHQ9IjQwMCIgZm9udC1zaXplPSIxNyIgdHJhbnNmb3JtPSJtYXRyaXgo&#10;MC43OTkxNDUgMCAwIDAuNzk5Nzk2IDI1Mi4xNTEgMzcwKSI+dmFsaWRhdGluZyBhIHRvb2wgdG8g&#10;aWRlbnRpZnk8L3RleHQ+PHRleHQgZmlsbD0iI0ZGRkZGRiIgZm9udC1mYW1pbHk9IkNhbGlicmks&#10;Q2FsaWJyaV9NU0ZvbnRTZXJ2aWNlLEFyaWFsIiBmb250LXdlaWdodD0iNDAwIiBmb250LXNpemU9&#10;IjE3IiB0cmFuc2Zvcm09Im1hdHJpeCgwLjc5OTE0NSAwIDAgMC43OTk3OTYgNDAwLjc5MiAzNzAp&#10;Ij4sIDwvdGV4dD48dGV4dCBmaWxsPSIjRkZGRkZGIiBmb250LWZhbWlseT0iQ2FsaWJyaSxDYWxp&#10;YnJpX01TRm9udFNlcnZpY2UsQXJpYWwiIGZvbnQtd2VpZ2h0PSI0MDAiIGZvbnQtc2l6ZT0iMTci&#10;IHRyYW5zZm9ybT0ibWF0cml4KDAuNzk5MTQ1IDAgMCAwLjc5OTc5NiAyNTIuMTUxIDM4NCkiPm1l&#10;YXN1cmU8L3RleHQ+PHRleHQgZmlsbD0iI0ZGRkZGRiIgZm9udC1mYW1pbHk9IkNhbGlicmksQ2Fs&#10;aWJyaV9NU0ZvbnRTZXJ2aWNlLEFyaWFsIiBmb250LXdlaWdodD0iNDAwIiBmb250LXNpemU9IjE3&#10;IiB0cmFuc2Zvcm09Im1hdHJpeCgwLjc5OTE0NSAwIDAgMC43OTk3OTYgMzAwLjEgMzg0KSI+LCA8&#10;L3RleHQ+PHRleHQgZmlsbD0iI0ZGRkZGRiIgZm9udC1mYW1pbHk9IkNhbGlicmksQ2FsaWJyaV9N&#10;U0ZvbnRTZXJ2aWNlLEFyaWFsIiBmb250LXdlaWdodD0iNDAwIiBmb250LXNpemU9IjE3IiB0cmFu&#10;c2Zvcm09Im1hdHJpeCgwLjc5OTE0NSAwIDAgMC43OTk3OTYgMzA2LjQ5MyAzODQpIj5hbmQgbW9u&#10;aXRvciA8L3RleHQ+PHRleHQgZmlsbD0iI0ZGRkZGRiIgZm9udC1mYW1pbHk9IkNhbGlicmksQ2Fs&#10;aWJyaV9NU0ZvbnRTZXJ2aWNlLEFyaWFsIiBmb250LXdlaWdodD0iNDAwIiBmb250LXNpemU9IjE3&#10;IiB0cmFuc2Zvcm09Im1hdHJpeCgwLjc5OTE0NSAwIDAgMC43OTk3OTYgMjUyLjE1MSAzOTgpIj5p&#10;bnN0aXR1dGlvbmFsIHJhY2lzbSBpbiBQSE5zPC90ZXh0PjxnIGNsaXAtcGF0aD0idXJsKCNjbGlw&#10;NDYpIj48ZyBjbGlwLXBhdGg9InVybCgjY2xpcDQ3KSI+PGcgY2xpcC1wYXRoPSJ1cmwoI2NsaXA0&#10;OCkiIHRyYW5zZm9ybT0ibWF0cml4KDAuNjY1OTU1IDAgMCAwLjYzMTQxOCAyMzQuMTcgNDA2Ljcw&#10;NCkiPjxnIGNsaXAtcGF0aD0idXJsKCNjbGlwNDkpIj48dXNlIHdpZHRoPSIxMDAlIiBoZWlnaHQ9&#10;IjEwMCUiIHhsaW5rOmhyZWY9IiNpbWc0IiB0cmFuc2Zvcm09InRyYW5zbGF0ZSg3Ljk2OTczZS0w&#10;NiAyLjc4MTQ3ZS0wNSkiPjwvdXNlPjwvZz48L2c+PC9nPjwvZz48dGV4dCBmaWxsPSIjRkZGRkZG&#10;IiBmb250LWZhbWlseT0iQ2FsaWJyaSxDYWxpYnJpX01TRm9udFNlcnZpY2UsQXJpYWwiIGZvbnQt&#10;d2VpZ2h0PSI3MDAiIGZvbnQtc2l6ZT0iMTciIHRyYW5zZm9ybT0ibWF0cml4KDAuNzk5MTQ1IDAg&#10;MCAwLjc5OTc5NiAyNTIuMTUxIDQxOCkiPkNPTExBQk9SQVRJVkU8L3RleHQ+PHRleHQgZmlsbD0i&#10;I0ZGRkZGRiIgZm9udC1mYW1pbHk9IkNhbGlicmksQ2FsaWJyaV9NU0ZvbnRTZXJ2aWNlLEFyaWFs&#10;IiBmb250LXdlaWdodD0iNzAwIiBmb250LXNpemU9IjE3IiB0cmFuc2Zvcm09Im1hdHJpeCgwLjc5&#10;OTE0NSAwIDAgMC43OTk3OTYgMzQ2Ljg4MyA0MTgpIj40PC90ZXh0Pjx0ZXh0IGZpbGw9IiNGRkZG&#10;RkYiIGZvbnQtZmFtaWx5PSJDYWxpYnJpLENhbGlicmlfTVNGb250U2VydmljZSxBcmlhbCIgZm9u&#10;dC13ZWlnaHQ9IjQwMCIgZm9udC1zaXplPSIxNyIgdHJhbnNmb3JtPSJtYXRyaXgoMC43OTkxNDUg&#10;MCAwIDAuNzk5Nzk2IDM1My43MDkgNDE4KSI+OiA8L3RleHQ+PHRleHQgZmlsbD0iI0ZGRkZGRiIg&#10;Zm9udC1mYW1pbHk9IkNhbGlicmksQ2FsaWJyaV9NU0ZvbnRTZXJ2aWNlLEFyaWFsIiBmb250LXdl&#10;aWdodD0iNDAwIiBmb250LXNpemU9IjE3IiB0cmFuc2Zvcm09Im1hdHJpeCgwLjc5OTE0NSAwIDAg&#10;MC43OTk3OTYgMjUyLjE1MSA0MzMpIj5VbmRlcnN0YW5kaW5nIGhlYWx0aCBuZWVkczwvdGV4dD48&#10;ZyBjbGlwLXBhdGg9InVybCgjY2xpcDUwKSI+PGcgY2xpcC1wYXRoPSJ1cmwoI2NsaXA1MSkiPjxn&#10;IGNsaXAtcGF0aD0idXJsKCNjbGlwNTIpIiB0cmFuc2Zvcm09Im1hdHJpeCgwLjY2NTk1NSAwIDAg&#10;MC42MzE0MTggMjM0LjE3IDQ0MC4yOTUpIj48ZyBjbGlwLXBhdGg9InVybCgjY2xpcDUzKSI+PHVz&#10;ZSB3aWR0aD0iMTAwJSIgaGVpZ2h0PSIxMDAlIiB4bGluazpocmVmPSIjaW1nNCIgdHJhbnNmb3Jt&#10;PSJ0cmFuc2xhdGUoNy45Njk3M2UtMDYgMS4xNzY1OGUtMDUpIj48L3VzZT48L2c+PC9nPjwvZz48&#10;L2c+PHRleHQgZmlsbD0iI0ZGRkZGRiIgZm9udC1mYW1pbHk9IkNhbGlicmksQ2FsaWJyaV9NU0Zv&#10;bnRTZXJ2aWNlLEFyaWFsIiBmb250LXdlaWdodD0iNzAwIiBmb250LXNpemU9IjE3IiB0cmFuc2Zv&#10;cm09Im1hdHJpeCgwLjc5OTE0NSAwIDAgMC43OTk3OTYgMjUyLjE1MSA0NTIpIj5DT0xMQUJPUkFU&#10;SVZFIDwvdGV4dD48dGV4dCBmaWxsPSIjRkZGRkZGIiBmb250LWZhbWlseT0iQ2FsaWJyaSxDYWxp&#10;YnJpX01TRm9udFNlcnZpY2UsQXJpYWwiIGZvbnQtd2VpZ2h0PSI3MDAiIGZvbnQtc2l6ZT0iMTci&#10;IHRyYW5zZm9ybT0ibWF0cml4KDAuNzk5MTQ1IDAgMCAwLjc5OTc5NiAzNDYuODgzIDQ1MikiPjU8&#10;L3RleHQ+PHRleHQgZmlsbD0iI0ZGRkZGRiIgZm9udC1mYW1pbHk9IkNhbGlicmksQ2FsaWJyaV9N&#10;U0ZvbnRTZXJ2aWNlLEFyaWFsIiBmb250LXdlaWdodD0iNDAwIiBmb250LXNpemU9IjE3IiB0cmFu&#10;c2Zvcm09Im1hdHJpeCgwLjc5OTE0NSAwIDAgMC43OTk3OTYgMzU1LjIwNyA0NTIpIj46IDwvdGV4&#10;dD48dGV4dCBmaWxsPSIjRkZGRkZGIiBmb250LWZhbWlseT0iQ2FsaWJyaSxDYWxpYnJpX01TRm9u&#10;dFNlcnZpY2UsQXJpYWwiIGZvbnQtd2VpZ2h0PSI0MDAiIGZvbnQtc2l6ZT0iMTciIHRyYW5zZm9y&#10;bT0ibWF0cml4KDAuNzk5MTQ1IDAgMCAwLjc5OTc5NiAzNjEuNyA0NTIpIj5JbXByb3ZpbmcgPC90&#10;ZXh0Pjx0ZXh0IGZpbGw9IiNGRkZGRkYiIGZvbnQtZmFtaWx5PSJDYWxpYnJpLENhbGlicmlfTVNG&#10;b250U2VydmljZSxBcmlhbCIgZm9udC13ZWlnaHQ9IjQwMCIgZm9udC1zaXplPSIxNyIgdHJhbnNm&#10;b3JtPSJtYXRyaXgoMC43OTkxNDUgMCAwIDAuNzk5Nzk2IDI1Mi4xNTEgNDY2KSI+UEhDIGRhdGEg&#10;ZW52aXJvbm1lbnQ8L3RleHQ+PGcgY2xpcC1wYXRoPSJ1cmwoI2NsaXA1NCkiPjxnIGNsaXAtcGF0&#10;aD0idXJsKCNjbGlwNTUpIj48ZyBjbGlwLXBhdGg9InVybCgjY2xpcDU2KSIgdHJhbnNmb3JtPSJt&#10;YXRyaXgoMC42NjU5NTUgMCAwIDAuNjMxNDE4IDIzNC4xNyA0NzQuNjg2KSI+PGcgY2xpcC1wYXRo&#10;PSJ1cmwoI2NsaXA1NykiPjx1c2Ugd2lkdGg9IjEwMCUiIGhlaWdodD0iMTAwJSIgeGxpbms6aHJl&#10;Zj0iI2ltZzQiIHRyYW5zZm9ybT0idHJhbnNsYXRlKDcuOTY5NzNlLTA2IDIuNjIwN2UtMDUpIj48&#10;L3VzZT48L2c+PC9nPjwvZz48L2c+PHRleHQgZmlsbD0iI0ZGRkZGRiIgZm9udC1mYW1pbHk9IkNh&#10;bGlicmksQ2FsaWJyaV9NU0ZvbnRTZXJ2aWNlLEFyaWFsIiBmb250LXdlaWdodD0iNDAwIiBmb250&#10;LXNpemU9IjE3IiB0cmFuc2Zvcm09Im1hdHJpeCgwLjc5OTE0NSAwIDAgMC43OTk3OTYgMjUyLjE1&#10;MSA0ODYpIj5SZXNlYXJjaCBwcm9qZWN0IG9uIEludGVncmF0ZWQgPC90ZXh0Pjx0ZXh0IGZpbGw9&#10;IiNGRkZGRkYiIGZvbnQtZmFtaWx5PSJDYWxpYnJpLENhbGlicmlfTVNGb250U2VydmljZSxBcmlh&#10;bCIgZm9udC13ZWlnaHQ9IjQwMCIgZm9udC1zaXplPSIxNyIgdHJhbnNmb3JtPSJtYXRyaXgoMC43&#10;OTkxNDUgMCAwIDAuNzk5Nzk2IDI1Mi4xNTEgNTAxKSI+Q2FyZTwvdGV4dD48ZyBjbGlwLXBhdGg9&#10;InVybCgjY2xpcDU4KSI+PGcgY2xpcC1wYXRoPSJ1cmwoI2NsaXA1OSkiPjxnIGNsaXAtcGF0aD0i&#10;dXJsKCNjbGlwNjApIiB0cmFuc2Zvcm09Im1hdHJpeCgwLjY2NTk1NSAwIDAgMC42MzE0MTggMjM0&#10;LjE3IDUzMy44NzEpIj48ZyBjbGlwLXBhdGg9InVybCgjY2xpcDYxKSI+PHVzZSB3aWR0aD0iMTAw&#10;JSIgaGVpZ2h0PSIxMDAlIiB4bGluazpocmVmPSIjaW1nNCIgdHJhbnNmb3JtPSJ0cmFuc2xhdGUo&#10;Ny45Njk3M2UtMDYgMi4yMjczN2UtMDUpIj48L3VzZT48L2c+PC9nPjwvZz48L2c+PHRleHQgZmls&#10;bD0iI0ZGRkZGRiIgZm9udC1mYW1pbHk9IkNhbGlicmksQ2FsaWJyaV9NU0ZvbnRTZXJ2aWNlLEFy&#10;aWFsIiBmb250LXdlaWdodD0iNDAwIiBmb250LXNpemU9IjE3IiB0cmFuc2Zvcm09Im1hdHJpeCgw&#10;Ljc5OTE0NSAwIDAgMC43OTk3OTYgMjUyLjE1MSA1NDYpIj5TaXR1YXRpb25hbCBhbmFseXNpczwv&#10;dGV4dD48ZyBjbGlwLXBhdGg9InVybCgjY2xpcDYyKSI+PGcgY2xpcC1wYXRoPSJ1cmwoI2NsaXA2&#10;MykiPjxnIGNsaXAtcGF0aD0idXJsKCNjbGlwNjQpIiB0cmFuc2Zvcm09Im1hdHJpeCgwLjY2NTk1&#10;NSAwIDAgMC42MzE0MTggMjM0LjE3IDU1My44NjYpIj48ZyBjbGlwLXBhdGg9InVybCgjY2xpcDY1&#10;KSI+PHVzZSB3aWR0aD0iMTAwJSIgaGVpZ2h0PSIxMDAlIiB4bGluazpocmVmPSIjaW1nNCIgdHJh&#10;bnNmb3JtPSJ0cmFuc2xhdGUoNy45Njk3M2UtMDYgMS45MjQ5N2UtMDUpIj48L3VzZT48L2c+PC9n&#10;PjwvZz48L2c+PHRleHQgZmlsbD0iI0ZGRkZGRiIgZm9udC1mYW1pbHk9IkNhbGlicmksQ2FsaWJy&#10;aV9NU0ZvbnRTZXJ2aWNlLEFyaWFsIiBmb250LXdlaWdodD0iNDAwIiBmb250LXNpemU9IjE3IiB0&#10;cmFuc2Zvcm09Im1hdHJpeCgwLjc5OTE0NSAwIDAgMC43OTk3OTYgMjUyLjE1MSA1NjYpIj5Eb2N1&#10;bWVudCBhbmFseXNpczwvdGV4dD48ZyBjbGlwLXBhdGg9InVybCgjY2xpcDY2KSI+PGcgY2xpcC1w&#10;YXRoPSJ1cmwoI2NsaXA2NykiPjxnIGNsaXAtcGF0aD0idXJsKCNjbGlwNjgpIiB0cmFuc2Zvcm09&#10;Im1hdHJpeCgwLjY2NTk1NSAwIDAgMC42MzE0MTggMjM0LjE3IDU3My4wNjEpIj48ZyBjbGlwLXBh&#10;dGg9InVybCgjY2xpcDY5KSI+PHVzZSB3aWR0aD0iMTAwJSIgaGVpZ2h0PSIxMDAlIiB4bGluazpo&#10;cmVmPSIjaW1nNCIgdHJhbnNmb3JtPSJ0cmFuc2xhdGUoNy45Njk3M2UtMDYgLTEuNTYwODRlLTA2&#10;KSI+PC91c2U+PC9nPjwvZz48L2c+PC9nPjx0ZXh0IGZpbGw9IiNGRkZGRkYiIGZvbnQtZmFtaWx5&#10;PSJDYWxpYnJpLENhbGlicmlfTVNGb250U2VydmljZSxBcmlhbCIgZm9udC13ZWlnaHQ9IjQwMCIg&#10;Zm9udC1zaXplPSIxNyIgdHJhbnNmb3JtPSJtYXRyaXgoMC43OTkxNDUgMCAwIDAuNzk5Nzk2IDI1&#10;Mi4xNTEgNTg1KSI+R3JvdW5kZWQgdGhlb3J5IGFuYWx5c2lzPC90ZXh0PjxnIGNsaXAtcGF0aD0i&#10;dXJsKCNjbGlwNzApIj48ZyBjbGlwLXBhdGg9InVybCgjY2xpcDcxKSI+PGcgY2xpcC1wYXRoPSJ1&#10;cmwoI2NsaXA3MikiIHRyYW5zZm9ybT0ibWF0cml4KDAuNjY1OTU1IDAgMCAwLjYzMTQxOCAyMzQu&#10;MTcgNTkzLjA1NikiPjxnIGNsaXAtcGF0aD0idXJsKCNjbGlwNzMpIj48dXNlIHdpZHRoPSIxMDAl&#10;IiBoZWlnaHQ9IjEwMCUiIHhsaW5rOmhyZWY9IiNpbWc0IiB0cmFuc2Zvcm09InRyYW5zbGF0ZSg3&#10;Ljk2OTczZS0wNiAzLjEwNDM3ZS0wNSkiPjwvdXNlPjwvZz48L2c+PC9nPjwvZz48dGV4dCBmaWxs&#10;PSIjRkZGRkZGIiBmb250LWZhbWlseT0iQ2FsaWJyaSxDYWxpYnJpX01TRm9udFNlcnZpY2UsQXJp&#10;YWwiIGZvbnQtd2VpZ2h0PSI0MDAiIGZvbnQtc2l6ZT0iMTciIHRyYW5zZm9ybT0ibWF0cml4KDAu&#10;Nzk5MTQ1IDAgMCAwLjc5OTc5NiAyNTIuMTUxIDYwNSkiPkNvbnRlbnQgYW5hbHlzaXMgdG8gc3Vt&#10;bWFyaWVzPC90ZXh0PjxnIGNsaXAtcGF0aD0idXJsKCNjbGlwNzQpIj48ZyBjbGlwLXBhdGg9InVy&#10;bCgjY2xpcDc1KSI+PGcgY2xpcC1wYXRoPSJ1cmwoI2NsaXA3NikiIHRyYW5zZm9ybT0ibWF0cml4&#10;KDAuNjY1OTU1IDAgMCAwLjYzMTQxOCAyMzQuMTcgNjEzLjA1MSkiPjxnIGNsaXAtcGF0aD0idXJs&#10;KCNjbGlwNzcpIj48dXNlIHdpZHRoPSIxMDAlIiBoZWlnaHQ9IjEwMCUiIHhsaW5rOmhyZWY9IiNp&#10;bWc0IiB0cmFuc2Zvcm09InRyYW5zbGF0ZSg3Ljk2OTczZS0wNiAyLjgwMTk4ZS0wNSkiPjwvdXNl&#10;PjwvZz48L2c+PC9nPjwvZz48dGV4dCBmaWxsPSIjRkZGRkZGIiBmb250LWZhbWlseT0iQ2FsaWJy&#10;aSxDYWxpYnJpX01TRm9udFNlcnZpY2UsQXJpYWwiIGZvbnQtd2VpZ2h0PSI0MDAiIGZvbnQtc2l6&#10;ZT0iMTciIHRyYW5zZm9ybT0ibWF0cml4KDAuNzk5MTQ1IDAgMCAwLjc5OTc5NiAyNTIuMTUxIDYy&#10;NSkiPkF1ZGl0aW5nIG9mIFBITiBwdWJsaWNseSBhdmFpbGFibGUgPC90ZXh0Pjx0ZXh0IGZpbGw9&#10;IiNGRkZGRkYiIGZvbnQtZmFtaWx5PSJDYWxpYnJpLENhbGlicmlfTVNGb250U2VydmljZSxBcmlh&#10;bCIgZm9udC13ZWlnaHQ9IjQwMCIgZm9udC1zaXplPSIxNyIgdHJhbnNmb3JtPSJtYXRyaXgoMC43&#10;OTkxNDUgMCAwIDAuNzk5Nzk2IDI1Mi4xNTEgNjM5KSI+aW5mb3JtYXRpb24gPC90ZXh0PjxnIGNs&#10;aXAtcGF0aD0idXJsKCNjbGlwNzgpIj48ZyBjbGlwLXBhdGg9InVybCgjY2xpcDc5KSI+PGcgY2xp&#10;cC1wYXRoPSJ1cmwoI2NsaXA4MCkiIHRyYW5zZm9ybT0ibWF0cml4KDAuNjQ5MzA1IDAgMCAwLjcw&#10;NTcwMiA0NTcuOTMxIDIxNy45NTIpIj48ZyBjbGlwLXBhdGg9InVybCgjY2xpcDgyKSI+PHVzZSB3&#10;aWR0aD0iMTAwJSIgaGVpZ2h0PSIxMDAlIiB4bGluazpocmVmPSIjaW1nODEiIHRyYW5zZm9ybT0i&#10;dHJhbnNsYXRlKDMuMDg3NDllLTA1IDEuODI0MzRlLTA1KSI+PC91c2U+PC9nPjwvZz48L2c+PC9n&#10;Pjx0ZXh0IGZvbnQtZmFtaWx5PSJDYWxpYnJpLENhbGlicmlfTVNGb250U2VydmljZSxBcmlhbCIg&#10;Zm9udC13ZWlnaHQ9IjQwMCIgZm9udC1zaXplPSIxNyIgdHJhbnNmb3JtPSJtYXRyaXgoMC43OTkx&#10;NDUgMCAwIDAuNzk5Nzk2IDQ3NS45MTIgMjMwKSI+RGF0YSBGZWFzaWJpbGl0eSBBc3Nlc3NtZW50&#10;IDwvdGV4dD48dGV4dCBmb250LWZhbWlseT0iQ2FsaWJyaSxDYWxpYnJpX01TRm9udFNlcnZpY2Us&#10;QXJpYWwiIGZvbnQtd2VpZ2h0PSI0MDAiIGZvbnQtc2l6ZT0iMTciIHRyYW5zZm9ybT0ibWF0cml4&#10;KDAuNzk5MTQ1IDAgMCAwLjc5OTc5NiA2MzMuMzQzIDIzMCkiPig8L3RleHQ+PHRleHQgZm9udC1m&#10;YW1pbHk9IkNhbGlicmksQ2FsaWJyaV9NU0ZvbnRTZXJ2aWNlLEFyaWFsIiBmb250LXdlaWdodD0i&#10;NDAwIiBmb250LXNpemU9IjE3IiB0cmFuc2Zvcm09Im1hdHJpeCgwLjc5OTE0NSAwIDAgMC43OTk3&#10;OTYgNjM3LjMzOSAyMzApIj5ERkE8L3RleHQ+PHRleHQgZm9udC1mYW1pbHk9IkNhbGlicmksQ2Fs&#10;aWJyaV9NU0ZvbnRTZXJ2aWNlLEFyaWFsIiBmb250LXdlaWdodD0iNDAwIiBmb250LXNpemU9IjE3&#10;IiB0cmFuc2Zvcm09Im1hdHJpeCgwLjc5OTE0NSAwIDAgMC43OTk3OTYgNjU4LjkxNiAyMzApIj4p&#10;PC90ZXh0PjxnIGNsaXAtcGF0aD0idXJsKCNjbGlwODMpIj48ZyBjbGlwLXBhdGg9InVybCgjY2xp&#10;cDg0KSI+PGcgY2xpcC1wYXRoPSJ1cmwoI2NsaXA4NSkiIHRyYW5zZm9ybT0ibWF0cml4KDAuNjQ5&#10;MzA1IDAgMCAwLjcwNTcwMiA0NTcuOTMxIDIzNy4xNDcpIj48ZyBjbGlwLXBhdGg9InVybCgjY2xp&#10;cDg2KSI+PHVzZSB3aWR0aD0iMTAwJSIgaGVpZ2h0PSIxMDAlIiB4bGluazpocmVmPSIjaW1nODEi&#10;IHRyYW5zZm9ybT0idHJhbnNsYXRlKDMuMDg3NDllLTA1IC0yLjM3MTEyZS0wNSkiPjwvdXNlPjwv&#10;Zz48L2c+PC9nPjwvZz48dGV4dCBmb250LWZhbWlseT0iQ2FsaWJyaSxDYWxpYnJpX01TRm9udFNl&#10;cnZpY2UsQXJpYWwiIGZvbnQtd2VpZ2h0PSI0MDAiIGZvbnQtc2l6ZT0iMTciIHRyYW5zZm9ybT0i&#10;bWF0cml4KDAuNzk5MTQ1IDAgMCAwLjc5OTc5NiA0NzUuOTEyIDI0OSkiPkRhdGEgU2VsZWN0aW9u&#10;IGFuZCBFeHRyYWN0aW9uIDwvdGV4dD48dGV4dCBmb250LWZhbWlseT0iQ2FsaWJyaSxDYWxpYnJp&#10;X01TRm9udFNlcnZpY2UsQXJpYWwiIGZvbnQtd2VpZ2h0PSI0MDAiIGZvbnQtc2l6ZT0iMTciIHRy&#10;YW5zZm9ybT0ibWF0cml4KDAuNzk5MTQ1IDAgMCAwLjc5OTc5NiA0NzUuOTEyIDI2MykiPkFuYWx5&#10;c2lzIDwvdGV4dD48dGV4dCBmb250LWZhbWlseT0iQ2FsaWJyaSxDYWxpYnJpX01TRm9udFNlcnZp&#10;Y2UsQXJpYWwiIGZvbnQtd2VpZ2h0PSI0MDAiIGZvbnQtc2l6ZT0iMTciIHRyYW5zZm9ybT0ibWF0&#10;cml4KDAuNzk5MTQ1IDAgMCAwLjc5OTc5NiA1MjQuNjYgMjYzKSI+KDwvdGV4dD48dGV4dCBmb250&#10;LWZhbWlseT0iQ2FsaWJyaSxDYWxpYnJpX01TRm9udFNlcnZpY2UsQXJpYWwiIGZvbnQtd2VpZ2h0&#10;PSI0MDAiIGZvbnQtc2l6ZT0iMTciIHRyYW5zZm9ybT0ibWF0cml4KDAuNzk5MTQ1IDAgMCAwLjc5&#10;OTc5NiA1MjguNjU1IDI2MykiPkRTRUE8L3RleHQ+PHRleHQgZm9udC1mYW1pbHk9IkNhbGlicmks&#10;Q2FsaWJyaV9NU0ZvbnRTZXJ2aWNlLEFyaWFsIiBmb250LXdlaWdodD0iNDAwIiBmb250LXNpemU9&#10;IjE3IiB0cmFuc2Zvcm09Im1hdHJpeCgwLjc5OTE0NSAwIDAgMC43OTk3OTYgNTU3LjQyNSAyNjMp&#10;Ij4pPC90ZXh0Pjx0ZXh0IGZvbnQtZmFtaWx5PSJDYWxpYnJpLENhbGlicmlfTVNGb250U2Vydmlj&#10;ZSxBcmlhbCIgZm9udC13ZWlnaHQ9IjQwMCIgZm9udC1zaXplPSIxNyIgdHJhbnNmb3JtPSJtYXRy&#10;aXgoMC43OTkxNDUgMCAwIDAuNzk5Nzk2IDU2MS40MiAyNjMpIj4sIDwvdGV4dD48dGV4dCBmb250&#10;LWZhbWlseT0iQ2FsaWJyaSxDYWxpYnJpX01TRm9udFNlcnZpY2UsQXJpYWwiIGZvbnQtd2VpZ2h0&#10;PSI0MDAiIGZvbnQtc2l6ZT0iMTciIHRyYW5zZm9ybT0ibWF0cml4KDAuNzk5MTQ1IDAgMCAwLjc5&#10;OTc5NiA1NjcuODE0IDI2MykiPmluY2w8L3RleHQ+PHRleHQgZm9udC1mYW1pbHk9IkNhbGlicmks&#10;Q2FsaWJyaV9NU0ZvbnRTZXJ2aWNlLEFyaWFsIiBmb250LXdlaWdodD0iNDAwIiBmb250LXNpemU9&#10;IjE3IiB0cmFuc2Zvcm09Im1hdHJpeCgwLjc5OTE0NSAwIDAgMC43OTk3OTYgNTg2Ljk5MyAyNjMp&#10;Ij4uIDwvdGV4dD48dGV4dCBmb250LWZhbWlseT0iQ2FsaWJyaSxDYWxpYnJpX01TRm9udFNlcnZp&#10;Y2UsQXJpYWwiIGZvbnQtd2VpZ2h0PSI0MDAiIGZvbnQtc2l6ZT0iMTciIHRyYW5zZm9ybT0ibWF0&#10;cml4KDAuNzk5MTQ1IDAgMCAwLjc5OTc5NiA1OTMuMzg2IDI2MykiPktFUSA8L3RleHQ+PHRleHQg&#10;Zm9udC1mYW1pbHk9IkNhbGlicmksQ2FsaWJyaV9NU0ZvbnRTZXJ2aWNlLEFyaWFsIiBmb250LXdl&#10;aWdodD0iNDAwIiBmb250LXNpemU9IjE3IiB0cmFuc2Zvcm09Im1hdHJpeCgwLjc5OTE0NSAwIDAg&#10;MC43OTk3OTYgNDc1LjkxMiAyNzgpIj5tYXBwaW5nIGFuZCBkYXRhIGluZGljYXRvciA8L3RleHQ+&#10;PHRleHQgZm9udC1mYW1pbHk9IkNhbGlicmksQ2FsaWJyaV9NU0ZvbnRTZXJ2aWNlLEFyaWFsIiBm&#10;b250LXdlaWdodD0iNDAwIiBmb250LXNpemU9IjE3IiB0cmFuc2Zvcm09Im1hdHJpeCgwLjc5OTE0&#10;NSAwIDAgMC43OTk3OTYgNDc1LjkxMiAyOTIpIj5pZGVudGlmaWNhdGlvbjwvdGV4dD48ZyBjbGlw&#10;LXBhdGg9InVybCgjY2xpcDg3KSI+PGcgY2xpcC1wYXRoPSJ1cmwoI2NsaXA4OCkiPjxnIGNsaXAt&#10;cGF0aD0idXJsKCNjbGlwODkpIiB0cmFuc2Zvcm09Im1hdHJpeCgwLjY0OTMwNSAwIDAgMC43MDU3&#10;MDIgNDU3LjkzMSAzMDAuMzMxKSI+PGcgY2xpcC1wYXRoPSJ1cmwoI2NsaXA5MCkiPjx1c2Ugd2lk&#10;dGg9IjEwMCUiIGhlaWdodD0iMTAwJSIgeGxpbms6aHJlZj0iI2ltZzgxIiB0cmFuc2Zvcm09InRy&#10;YW5zbGF0ZSgzLjA4NzQ5ZS0wNSAtMi4zNDA5NGUtMDYpIj48L3VzZT48L2c+PC9nPjwvZz48L2c+&#10;PHRleHQgZm9udC1mYW1pbHk9IkNhbGlicmksQ2FsaWJyaV9NU0ZvbnRTZXJ2aWNlLEFyaWFsIiBm&#10;b250LXdlaWdodD0iNDAwIiBmb250LXNpemU9IjE3IiB0cmFuc2Zvcm09Im1hdHJpeCgwLjc5OTE0&#10;NSAwIDAgMC43OTk3OTYgNDc1LjkxMiAzMTIpIj5TdWJtaXNzaW9uIG9mIGRhdGEgcmVxdWVzdHMg&#10;dG8gPC90ZXh0Pjx0ZXh0IGZvbnQtZmFtaWx5PSJDYWxpYnJpLENhbGlicmlfTVNGb250U2Vydmlj&#10;ZSxBcmlhbCIgZm9udC13ZWlnaHQ9IjQwMCIgZm9udC1zaXplPSIxNyIgdHJhbnNmb3JtPSJtYXRy&#10;aXgoMC43OTkxNDUgMCAwIDAuNzk5Nzk2IDQ3NS45MTIgMzI3KSI+ZGF0YSBjdXN0b2RpYW5zPC90&#10;ZXh0PjxnIGNsaXAtcGF0aD0idXJsKCNjbGlwOTEpIj48ZyBjbGlwLXBhdGg9InVybCgjY2xpcDky&#10;KSI+PGcgY2xpcC1wYXRoPSJ1cmwoI2NsaXA5MykiIHRyYW5zZm9ybT0ibWF0cml4KDAuNjQ5MzA1&#10;IDAgMCAwLjcwNTcwMiA0NTcuOTMxIDMzNC43MjIpIj48ZyBjbGlwLXBhdGg9InVybCgjY2xpcDk0&#10;KSI+PHVzZSB3aWR0aD0iMTAwJSIgaGVpZ2h0PSIxMDAlIiB4bGluazpocmVmPSIjaW1nODEiIHRy&#10;YW5zZm9ybT0idHJhbnNsYXRlKDMuMDg3NDllLTA1IC0yLjQ4NTA1ZS0wNSkiPjwvdXNlPjwvZz48&#10;L2c+PC9nPjwvZz48dGV4dCBmb250LWZhbWlseT0iQ2FsaWJyaSxDYWxpYnJpX01TRm9udFNlcnZp&#10;Y2UsQXJpYWwiIGZvbnQtd2VpZ2h0PSI0MDAiIGZvbnQtc2l6ZT0iMTciIHRyYW5zZm9ybT0ibWF0&#10;cml4KDAuNzk5MTQ1IDAgMCAwLjc5OTc5NiA0NzUuOTEyIDM0NykiPkhhcnZlc3Rpbmcgb2YgcHVi&#10;bGljbHkgYXZhaWxhYmxlIDwvdGV4dD48dGV4dCBmb250LWZhbWlseT0iQ2FsaWJyaSxDYWxpYnJp&#10;X01TRm9udFNlcnZpY2UsQXJpYWwiIGZvbnQtd2VpZ2h0PSI0MDAiIGZvbnQtc2l6ZT0iMTciIHRy&#10;YW5zZm9ybT0ibWF0cml4KDAuNzk5MTQ1IDAgMCAwLjc5OTc5NiA0NzUuOTEyIDM2MSkiPmRhdGEg&#10;ZnJvbSBmaXZlIGRhdGEgc291cmNlczwvdGV4dD48ZyBjbGlwLXBhdGg9InVybCgjY2xpcDk1KSI+&#10;PGcgY2xpcC1wYXRoPSJ1cmwoI2NsaXA5NikiPjxnIGNsaXAtcGF0aD0idXJsKCNjbGlwOTcpIiB0&#10;cmFuc2Zvcm09Im1hdHJpeCgwLjY0OTMwNSAwIDAgMC43MDU3MDIgNDU3LjkzMSAzNjguMzE0KSI+&#10;PGcgY2xpcC1wYXRoPSJ1cmwoI2NsaXA5OCkiPjx1c2Ugd2lkdGg9IjEwMCUiIGhlaWdodD0iMTAw&#10;JSIgeGxpbms6aHJlZj0iI2ltZzgxIiB0cmFuc2Zvcm09InRyYW5zbGF0ZSgzLjA4NzQ5ZS0wNSAx&#10;LjE3MjIzZS0wNSkiPjwvdXNlPjwvZz48L2c+PC9nPjwvZz48dGV4dCBmb250LWZhbWlseT0iQ2Fs&#10;aWJyaSxDYWxpYnJpX01TRm9udFNlcnZpY2UsQXJpYWwiIGZvbnQtd2VpZ2h0PSI0MDAiIGZvbnQt&#10;c2l6ZT0iMTciIHRyYW5zZm9ybT0ibWF0cml4KDAuNzk5MTQ1IDAgMCAwLjc5OTc5NiA0NzUuOTEy&#10;IDM4MCkiPklBSFAgZnVuZGluZyBkYXRhIHJlcXVlc3RzPC90ZXh0PjxnIGNsaXAtcGF0aD0idXJs&#10;KCNjbGlwOTkpIj48ZyBjbGlwLXBhdGg9InVybCgjY2xpcDEwMCkiPjxnIGNsaXAtcGF0aD0idXJs&#10;KCNjbGlwMTAxKSIgdHJhbnNmb3JtPSJtYXRyaXgoMC42NDkzMDUgMCAwIDAuNzA1NzAyIDQ1Ny45&#10;MzEgMzg4LjMwOSkiPjxnIGNsaXAtcGF0aD0idXJsKCNjbGlwMTAyKSI+PHVzZSB3aWR0aD0iMTAw&#10;JSIgaGVpZ2h0PSIxMDAlIiB4bGluazpocmVmPSIjaW1nODEiIHRyYW5zZm9ybT0idHJhbnNsYXRl&#10;KDMuMDg3NDllLTA1IC0xLjU1NTI3ZS0wNSkiPjwvdXNlPjwvZz48L2c+PC9nPjwvZz48dGV4dCBm&#10;b250LWZhbWlseT0iQ2FsaWJyaSxDYWxpYnJpX01TRm9udFNlcnZpY2UsQXJpYWwiIGZvbnQtd2Vp&#10;Z2h0PSI0MDAiIGZvbnQtc2l6ZT0iMTciIHRyYW5zZm9ybT0ibWF0cml4KDAuNzk5MTQ1IDAgMCAw&#10;Ljc5OTc5NiA0NzUuOTEyIDQwMCkiPkhhcnZlc3Rpbmcgb2YgSUFIUCBmdW5kaW5nIGRhdGEgPC90&#10;ZXh0Pjx0ZXh0IGZvbnQtZmFtaWx5PSJDYWxpYnJpLENhbGlicmlfTVNGb250U2VydmljZSxBcmlh&#10;bCIgZm9udC13ZWlnaHQ9IjQwMCIgZm9udC1zaXplPSIxNyIgdHJhbnNmb3JtPSJtYXRyaXgoMC43&#10;OTkxNDUgMCAwIDAuNzk5Nzk2IDQ3NS45MTIgNDE0KSI+ZnJvbSBzaXRlIHBhcnRuZXJzIGFuZCBw&#10;dWJsaWMgPC90ZXh0Pjx0ZXh0IGZvbnQtZmFtaWx5PSJDYWxpYnJpLENhbGlicmlfTVNGb250U2Vy&#10;dmljZSxBcmlhbCIgZm9udC13ZWlnaHQ9IjQwMCIgZm9udC1zaXplPSIxNyIgdHJhbnNmb3JtPSJt&#10;YXRyaXgoMC43OTkxNDUgMCAwIDAuNzk5Nzk2IDQ3NS45MTIgNDI5KSI+cmVjb3JkczwvdGV4dD48&#10;ZyBjbGlwLXBhdGg9InVybCgjY2xpcDEwMykiPjxnIGNsaXAtcGF0aD0idXJsKCNjbGlwMTA0KSI+&#10;PGcgY2xpcC1wYXRoPSJ1cmwoI2NsaXAxMDUpIiB0cmFuc2Zvcm09Im1hdHJpeCgwLjY0OTMwNSAw&#10;IDAgMC43MDU3MDIgNDU3LjkzMSA0NjEuODkpIj48ZyBjbGlwLXBhdGg9InVybCgjY2xpcDEwNiki&#10;Pjx1c2Ugd2lkdGg9IjEwMCUiIGhlaWdodD0iMTAwJSIgeGxpbms6aHJlZj0iI2ltZzgxIiB0cmFu&#10;c2Zvcm09InRyYW5zbGF0ZSgzLjA4NzQ5ZS0wNSAtMS41NzM5ZS0wNSkiPjwvdXNlPjwvZz48L2c+&#10;PC9nPjwvZz48dGV4dCBmb250LWZhbWlseT0iQ2FsaWJyaSxDYWxpYnJpX01TRm9udFNlcnZpY2Us&#10;QXJpYWwiIGZvbnQtd2VpZ2h0PSI0MDAiIGZvbnQtc2l6ZT0iMTciIHRyYW5zZm9ybT0ibWF0cml4&#10;KDAuNzk5MTQ1IDAgMCAwLjc5OTc5NiA0NzUuOTEyIDQ3NCkiPlJldmlldyBvZiBxdWFsaXRhdGl2&#10;ZSBpbnRlcnZpZXdzIDwvdGV4dD48dGV4dCBmb250LWZhbWlseT0iQ2FsaWJyaSxDYWxpYnJpX01T&#10;Rm9udFNlcnZpY2UsQXJpYWwiIGZvbnQtd2VpZ2h0PSI0MDAiIGZvbnQtc2l6ZT0iMTciIHRyYW5z&#10;Zm9ybT0ibWF0cml4KDAuNzk5MTQ1IDAgMCAwLjc5OTc5NiA0NzUuOTEyIDQ4OCkiPnRvIGlkZW50&#10;aWZ5IHByaW9yaXRpZXM8L3RleHQ+PHRleHQgZm9udC1mYW1pbHk9IkNhbGlicmksQ2FsaWJyaV9N&#10;U0ZvbnRTZXJ2aWNlLEFyaWFsIiBmb250LXdlaWdodD0iNDAwIiBmb250LXNpemU9IjE3IiB0cmFu&#10;c2Zvcm09Im1hdHJpeCgwLjc5OTE0NSAwIDAgMC43OTk3OTYgNTg1LjM5NSA0ODgpIj4vPC90ZXh0&#10;Pjx0ZXh0IGZvbnQtZmFtaWx5PSJDYWxpYnJpLENhbGlicmlfTVNGb250U2VydmljZSxBcmlhbCIg&#10;Zm9udC13ZWlnaHQ9IjQwMCIgZm9udC1zaXplPSIxNyIgdHJhbnNmb3JtPSJtYXRyaXgoMC43OTkx&#10;NDUgMCAwIDAuNzk5Nzk2IDU5MC45ODkgNDg4KSI+bWVhc3VyZXMgZm9yIDwvdGV4dD48dGV4dCBm&#10;b250LWZhbWlseT0iQ2FsaWJyaSxDYWxpYnJpX01TRm9udFNlcnZpY2UsQXJpYWwiIGZvbnQtd2Vp&#10;Z2h0PSI0MDAiIGZvbnQtc2l6ZT0iMTciIHRyYW5zZm9ybT0ibWF0cml4KDAuNzk5MTQ1IDAgMCAw&#10;Ljc5OTc5NiA0NzUuOTEyIDUwMikiPnRoZSBwcmltYXJ5IGFuYWx5c2lzPC90ZXh0PjxnIGNsaXAt&#10;cGF0aD0idXJsKCNjbGlwMTA3KSI+PGcgY2xpcC1wYXRoPSJ1cmwoI2NsaXAxMDgpIj48ZyBjbGlw&#10;LXBhdGg9InVybCgjY2xpcDEwOSkiIHRyYW5zZm9ybT0ibWF0cml4KDAuNjQ5MzA1IDAgMCAwLjcw&#10;NTcwMiA0NTcuOTMxIDUxMC42NzcpIj48ZyBjbGlwLXBhdGg9InVybCgjY2xpcDExMCkiPjx1c2Ug&#10;d2lkdGg9IjEwMCUiIGhlaWdodD0iMTAwJSIgeGxpbms6aHJlZj0iI2ltZzgxIiB0cmFuc2Zvcm09&#10;InRyYW5zbGF0ZSgzLjA4NzQ5ZS0wNSAtNS4xMjc0ZS0wNSkiPjwvdXNlPjwvZz48L2c+PC9nPjwv&#10;Zz48dGV4dCBmb250LWZhbWlseT0iQ2FsaWJyaSxDYWxpYnJpX01TRm9udFNlcnZpY2UsQXJpYWwi&#10;IGZvbnQtd2VpZ2h0PSI0MDAiIGZvbnQtc2l6ZT0iMTciIHRyYW5zZm9ybT0ibWF0cml4KDAuNzk5&#10;MTQ1IDAgMCAwLjc5OTc5NiA0NzUuOTEyIDUyMikiPlRyYWZmaWMgbGlnaHQgZnJhbWV3b3JrIGFu&#10;YWx5c2lzPC90ZXh0PjxnIGNsaXAtcGF0aD0idXJsKCNjbGlwMTExKSI+PGcgY2xpcC1wYXRoPSJ1&#10;cmwoI2NsaXAxMTIpIj48ZyBjbGlwLXBhdGg9InVybCgjY2xpcDExMykiIHRyYW5zZm9ybT0ibWF0&#10;cml4KDAuNjQ5MzA1IDAgMCAwLjcwNTcwMiA0NTcuOTMxIDUyOS44NzIpIj48ZyBjbGlwLXBhdGg9&#10;InVybCgjY2xpcDExNCkiPjx1c2Ugd2lkdGg9IjEwMCUiIGhlaWdodD0iMTAwJSIgeGxpbms6aHJl&#10;Zj0iI2ltZzgxIiB0cmFuc2Zvcm09InRyYW5zbGF0ZSgzLjA4NzQ5ZS0wNSAtNC40OTJlLTA1KSI+&#10;PC91c2U+PC9nPjwvZz48L2c+PC9nPjx0ZXh0IGZvbnQtZmFtaWx5PSJDYWxpYnJpLENhbGlicmlf&#10;TVNGb250U2VydmljZSxBcmlhbCIgZm9udC13ZWlnaHQ9IjQwMCIgZm9udC1zaXplPSIxNyIgdHJh&#10;bnNmb3JtPSJtYXRyaXgoMC43OTkxNDUgMCAwIDAuNzk5Nzk2IDQ3NS45MTIgNTQyKSI+TXVsdGls&#10;aW5lYXIgcmVncmVzc2lvbiBhbmFseXNpczwvdGV4dD48ZyBjbGlwLXBhdGg9InVybCgjY2xpcDEx&#10;NSkiPjxnIGNsaXAtcGF0aD0idXJsKCNjbGlwMTE2KSI+PGcgY2xpcC1wYXRoPSJ1cmwoI2NsaXAx&#10;MTcpIiB0cmFuc2Zvcm09Im1hdHJpeCgwLjY0OTMwNSAwIDAgMC43MDU3MDIgNDU3LjkzMSA1NDku&#10;ODY3KSI+PGcgY2xpcC1wYXRoPSJ1cmwoI2NsaXAxMTgpIj48dXNlIHdpZHRoPSIxMDAlIiBoZWln&#10;aHQ9IjEwMCUiIHhsaW5rOmhyZWY9IiNpbWc4MSIgdHJhbnNmb3JtPSJ0cmFuc2xhdGUoMy4wODc0&#10;OWUtMDUgLTIuODk1MDdlLTA1KSI+PC91c2U+PC9nPjwvZz48L2c+PC9nPjx0ZXh0IGZvbnQtZmFt&#10;aWx5PSJDYWxpYnJpLENhbGlicmlfTVNGb250U2VydmljZSxBcmlhbCIgZm9udC13ZWlnaHQ9IjQw&#10;MCIgZm9udC1zaXplPSIxNyIgdHJhbnNmb3JtPSJtYXRyaXgoMC43OTkxNDUgMCAwIDAuNzk5Nzk2&#10;IDQ3NS45MTIgNTYyKSI+UHJpbmNpcGFsIGNvbXBvbmVudCBhbmFseXNpczwvdGV4dD48ZyBjbGlw&#10;LXBhdGg9InVybCgjY2xpcDExOSkiPjxnIGNsaXAtcGF0aD0idXJsKCNjbGlwMTIwKSI+PGcgY2xp&#10;cC1wYXRoPSJ1cmwoI2NsaXAxMjEpIiB0cmFuc2Zvcm09Im1hdHJpeCgwLjY0OTMwNSAwIDAgMC43&#10;MDU3MDIgNDU3LjkzMSA1NjkuODYyKSI+PGcgY2xpcC1wYXRoPSJ1cmwoI2NsaXAxMjIpIj48dXNl&#10;IHdpZHRoPSIxMDAlIiBoZWlnaHQ9IjEwMCUiIHhsaW5rOmhyZWY9IiNpbWc4MSIgdHJhbnNmb3Jt&#10;PSJ0cmFuc2xhdGUoMy4wODc0OWUtMDUgMi4yNjAwM2UtMDUpIj48L3VzZT48L2c+PC9nPjwvZz48&#10;L2c+PHRleHQgZm9udC1mYW1pbHk9IkNhbGlicmksQ2FsaWJyaV9NU0ZvbnRTZXJ2aWNlLEFyaWFs&#10;IiBmb250LXdlaWdodD0iNDAwIiBmb250LXNpemU9IjE3IiB0cmFuc2Zvcm09Im1hdHJpeCgwLjc5&#10;OTE0NSAwIDAgMC43OTk3OTYgNDc1LjkxMiA1ODIpIj5IaWVyYXJjaGljYWwgY2x1c3RlcmluZzwv&#10;dGV4dD48ZyBjbGlwLXBhdGg9InVybCgjY2xpcDEyMykiPjxnIGNsaXAtcGF0aD0idXJsKCNjbGlw&#10;MTI0KSI+PGcgY2xpcC1wYXRoPSJ1cmwoI2NsaXAxMjUpIiB0cmFuc2Zvcm09Im1hdHJpeCgwLjY0&#10;OTMwNSAwIDAgMC43MDU3MDIgNDU3LjkzMSA1ODkuMDU3KSI+PGcgY2xpcC1wYXRoPSJ1cmwoI2Ns&#10;aXAxMjYpIj48dXNlIHdpZHRoPSIxMDAlIiBoZWlnaHQ9IjEwMCUiIHhsaW5rOmhyZWY9IiNpbWc4&#10;MSIgdHJhbnNmb3JtPSJ0cmFuc2xhdGUoMy4wODc0OWUtMDUgLTMuMjA4MDllLTA1KSI+PC91c2U+&#10;PC9nPjwvZz48L2c+PC9nPjx0ZXh0IGZvbnQtZmFtaWx5PSJDYWxpYnJpLENhbGlicmlfTVNGb250&#10;U2VydmljZSxBcmlhbCIgZm9udC13ZWlnaHQ9IjQwMCIgZm9udC1zaXplPSIxNyIgdHJhbnNmb3Jt&#10;PSJtYXRyaXgoMC43OTkxNDUgMCAwIDAuNzk5Nzk2IDQ3NS45MTIgNjAxKSI+SW48L3RleHQ+PHRl&#10;eHQgZm9udC1mYW1pbHk9IkNhbGlicmksQ2FsaWJyaV9NU0ZvbnRTZXJ2aWNlLEFyaWFsIiBmb250&#10;LXdlaWdodD0iNDAwIiBmb250LXNpemU9IjE3IiB0cmFuc2Zvcm09Im1hdHJpeCgwLjc5OTE0NSAw&#10;IDAgMC43OTk3OTYgNDg2LjIzNCA2MDEpIj4tPC90ZXh0Pjx0ZXh0IGZvbnQtZmFtaWx5PSJDYWxp&#10;YnJpLENhbGlicmlfTVNGb250U2VydmljZSxBcmlhbCIgZm9udC13ZWlnaHQ9IjQwMCIgZm9udC1z&#10;aXplPSIxNyIgdHJhbnNmb3JtPSJtYXRyaXgoMC43OTkxNDUgMCAwIDAuNzk5Nzk2IDQ5MC4yMjkg&#10;NjAxKSI+ZGVwdGggY2FzZSBzdHVkaWVzPC90ZXh0PjxnIGNsaXAtcGF0aD0idXJsKCNjbGlwMTI3&#10;KSI+PGcgY2xpcC1wYXRoPSJ1cmwoI2NsaXAxMjgpIj48ZyBjbGlwLXBhdGg9InVybCgjY2xpcDEy&#10;OSkiIHRyYW5zZm9ybT0ibWF0cml4KDAuNjQ5MzA1IDAgMCAwLjcwNTcwMiA2NzcuNzE2IDIxOC40&#10;NDMpIj48ZyBjbGlwLXBhdGg9InVybCgjY2xpcDEzMCkiPjx1c2Ugd2lkdGg9IjEwMCUiIGhlaWdo&#10;dD0iMTAwJSIgeGxpbms6aHJlZj0iI2ltZzgxIiB0cmFuc2Zvcm09InRyYW5zbGF0ZSgyLjMzOTQ0&#10;ZS0wNSAtOC44Mjc3MmUtMDYpIj48L3VzZT48L2c+PC9nPjwvZz48L2c+PHRleHQgZm9udC1mYW1p&#10;bHk9IkNhbGlicmksQ2FsaWJyaV9NU0ZvbnRTZXJ2aWNlLEFyaWFsIiBmb250LXdlaWdodD0iNDAw&#10;IiBmb250LXNpemU9IjE3IiB0cmFuc2Zvcm09Im1hdHJpeCgwLjc5OTE0NSAwIDAgMC43OTk3OTYg&#10;Njk1LjY5NyAyMzEpIj5SZTwvdGV4dD48dGV4dCBmb250LWZhbWlseT0iQ2FsaWJyaSxDYWxpYnJp&#10;X01TRm9udFNlcnZpY2UsQXJpYWwiIGZvbnQtd2VpZ2h0PSI0MDAiIGZvbnQtc2l6ZT0iMTciIHRy&#10;YW5zZm9ybT0ibWF0cml4KDAuNzk5MTQ1IDAgMCAwLjc5OTc5NiA3MDkuNTE2IDIzMSkiPi08L3Rl&#10;eHQ+PHRleHQgZm9udC1mYW1pbHk9IkNhbGlicmksQ2FsaWJyaV9NU0ZvbnRTZXJ2aWNlLEFyaWFs&#10;IiBmb250LXdlaWdodD0iNDAwIiBmb250LXNpemU9IjE3IiB0cmFuc2Zvcm09Im1hdHJpeCgwLjc5&#10;OTE0NSAwIDAgMC43OTk3OTYgNzEzLjUxMSAyMzEpIj5jb2Rpbmcgb2YgaGVhbHRoIHNlcnZpY2U8&#10;L3RleHQ+PHRleHQgZm9udC1mYW1pbHk9IkNhbGlicmksQ2FsaWJyaV9NU0ZvbnRTZXJ2aWNlLEFy&#10;aWFsIiBmb250LXdlaWdodD0iNDAwIiBmb250LXNpemU9IjE3IiB0cmFuc2Zvcm09Im1hdHJpeCgw&#10;Ljc5OTE0NSAwIDAgMC43OTk3OTYgODQ0LjU3MSAyMzEpIj4sIDwvdGV4dD48dGV4dCBmb250LWZh&#10;bWlseT0iQ2FsaWJyaSxDYWxpYnJpX01TRm9udFNlcnZpY2UsQXJpYWwiIGZvbnQtd2VpZ2h0PSI0&#10;MDAiIGZvbnQtc2l6ZT0iMTciIHRyYW5zZm9ybT0ibWF0cml4KDAuNzk5MTQ1IDAgMCAwLjc5OTc5&#10;NiA4NTAuOTY0IDIzMSkiPlBITjwvdGV4dD48dGV4dCBmb250LWZhbWlseT0iQ2FsaWJyaSxDYWxp&#10;YnJpX01TRm9udFNlcnZpY2UsQXJpYWwiIGZvbnQtd2VpZ2h0PSI0MDAiIGZvbnQtc2l6ZT0iMTci&#10;IHRyYW5zZm9ybT0ibWF0cml4KDAuNzk5MTQ1IDAgMCAwLjc5OTc5NiA4NzUuNzM4IDIzMSkiPiwg&#10;PC90ZXh0Pjx0ZXh0IGZvbnQtZmFtaWx5PSJDYWxpYnJpLENhbGlicmlfTVNGb250U2VydmljZSxB&#10;cmlhbCIgZm9udC13ZWlnaHQ9IjQwMCIgZm9udC1zaXplPSIxNyIgdHJhbnNmb3JtPSJtYXRyaXgo&#10;MC43OTkxNDUgMCAwIDAuNzk5Nzk2IDY5NS42OTcgMjQ1KSI+c3RhdGU8L3RleHQ+PHRleHQgZm9u&#10;dC1mYW1pbHk9IkNhbGlicmksQ2FsaWJyaV9NU0ZvbnRTZXJ2aWNlLEFyaWFsIiBmb250LXdlaWdo&#10;dD0iNDAwIiBmb250LXNpemU9IjE3IiB0cmFuc2Zvcm09Im1hdHJpeCgwLjc5OTE0NSAwIDAgMC43&#10;OTk3OTYgNzIzLjY2NyAyNDUpIj4sIDwvdGV4dD48dGV4dCBmb250LWZhbWlseT0iQ2FsaWJyaSxD&#10;YWxpYnJpX01TRm9udFNlcnZpY2UsQXJpYWwiIGZvbnQtd2VpZ2h0PSI0MDAiIGZvbnQtc2l6ZT0i&#10;MTciIHRyYW5zZm9ybT0ibWF0cml4KDAuNzk5MTQ1IDAgMCAwLjc5OTc5NiA3MzAuMDYgMjQ1KSI+&#10;dGVycml0b3J5IGFuZCBuYXRpb25hbCA8L3RleHQ+PHRleHQgZm9udC1mYW1pbHk9IkNhbGlicmks&#10;Q2FsaWJyaV9NU0ZvbnRTZXJ2aWNlLEFyaWFsIiBmb250LXdlaWdodD0iNDAwIiBmb250LXNpemU9&#10;IjE3IiB0cmFuc2Zvcm09Im1hdHJpeCgwLjc5OTE0NSAwIDAgMC43OTk3OTYgNjk1LjY5NyAyNTkp&#10;Ij5lbmdhZ2VtZW50IGludGVydmlld3M8L3RleHQ+PGcgY2xpcC1wYXRoPSJ1cmwoI2NsaXAxMzEp&#10;Ij48ZyBjbGlwLXBhdGg9InVybCgjY2xpcDEzMikiPjxnIGNsaXAtcGF0aD0idXJsKCNjbGlwMTMz&#10;KSIgdHJhbnNmb3JtPSJtYXRyaXgoMC42NDkzMDUgMCAwIDAuNzA1NzAyIDY3Ny43MTYgMjY2LjQz&#10;MSkiPjxnIGNsaXAtcGF0aD0idXJsKCNjbGlwMTM0KSI+PHVzZSB3aWR0aD0iMTAwJSIgaGVpZ2h0&#10;PSIxMDAlIiB4bGluazpocmVmPSIjaW1nODEiIHRyYW5zZm9ybT0idHJhbnNsYXRlKDIuMzM5NDRl&#10;LTA1IDEuOTkyOTdlLTA2KSI+PC91c2U+PC9nPjwvZz48L2c+PC9nPjx0ZXh0IGZvbnQtZmFtaWx5&#10;PSJDYWxpYnJpLENhbGlicmlfTVNGb250U2VydmljZSxBcmlhbCIgZm9udC13ZWlnaHQ9IjQwMCIg&#10;Zm9udC1zaXplPSIxNyIgdHJhbnNmb3JtPSJtYXRyaXgoMC43OTkxNDUgMCAwIDAuNzk5Nzk2IDY5&#10;NS42OTcgMjc5KSI+U2VtaTwvdGV4dD48dGV4dCBmb250LWZhbWlseT0iQ2FsaWJyaSxDYWxpYnJp&#10;X01TRm9udFNlcnZpY2UsQXJpYWwiIGZvbnQtd2VpZ2h0PSI0MDAiIGZvbnQtc2l6ZT0iMTciIHRy&#10;YW5zZm9ybT0ibWF0cml4KDAuNzk5MTQ1IDAgMCAwLjc5OTc5NiA3MjIuMTY4IDI3OSkiPi08L3Rl&#10;eHQ+PHRleHQgZm9udC1mYW1pbHk9IkNhbGlicmksQ2FsaWJyaV9NU0ZvbnRTZXJ2aWNlLEFyaWFs&#10;IiBmb250LXdlaWdodD0iNDAwIiBmb250LXNpemU9IjE3IiB0cmFuc2Zvcm09Im1hdHJpeCgwLjc5&#10;OTE0NSAwIDAgMC43OTk3OTYgNzI2LjE2NCAyNzkpIj5zdHJ1Y3R1cmVkIGludGVydmlld3MgdG8g&#10;PC90ZXh0Pjx0ZXh0IGZvbnQtZmFtaWx5PSJDYWxpYnJpLENhbGlicmlfTVNGb250U2VydmljZSxB&#10;cmlhbCIgZm9udC13ZWlnaHQ9IjQwMCIgZm9udC1zaXplPSIxNyIgdHJhbnNmb3JtPSJtYXRyaXgo&#10;MC43OTkxNDUgMCAwIDAuNzk5Nzk2IDY5NS42OTcgMjkzKSI+ZGlzY3VzcyBjb250cmlidXRpb24g&#10;Y2FzZXM8L3RleHQ+PGcgY2xpcC1wYXRoPSJ1cmwoI2NsaXAxMzUpIj48ZyBjbGlwLXBhdGg9InVy&#10;bCgjY2xpcDEzNikiPjxnIGNsaXAtcGF0aD0idXJsKCNjbGlwMTM3KSIgdHJhbnNmb3JtPSJtYXRy&#10;aXgoMC42NDkzMDUgMCAwIDAuNzA1NzAyIDY3Ny43MTYgMzAwLjgyMikiPjxnIGNsaXAtcGF0aD0i&#10;dXJsKCNjbGlwMTM4KSI+PHVzZSB3aWR0aD0iMTAwJSIgaGVpZ2h0PSIxMDAlIiB4bGluazpocmVm&#10;PSIjaW1nODEiIHRyYW5zZm9ybT0idHJhbnNsYXRlKDIuMzM5NDRlLTA1IC03Ljc4OTg3ZS0wNiki&#10;PjwvdXNlPjwvZz48L2c+PC9nPjwvZz48dGV4dCBmb250LWZhbWlseT0iQ2FsaWJyaSxDYWxpYnJp&#10;X01TRm9udFNlcnZpY2UsQXJpYWwiIGZvbnQtd2VpZ2h0PSI0MDAiIGZvbnQtc2l6ZT0iMTciIHRy&#10;YW5zZm9ybT0ibWF0cml4KDAuNzk5MTQ1IDAgMCAwLjc5OTc5NiA2OTUuNjk3IDMxMykiPlJldmll&#10;dyBwYW5lbCB0byBkaXNjdXNzIDwvdGV4dD48dGV4dCBmb250LWZhbWlseT0iQ2FsaWJyaSxDYWxp&#10;YnJpX01TRm9udFNlcnZpY2UsQXJpYWwiIGZvbnQtd2VpZ2h0PSI0MDAiIGZvbnQtc2l6ZT0iMTci&#10;IHRyYW5zZm9ybT0ibWF0cml4KDAuNzk5MTQ1IDAgMCAwLjc5OTc5NiA2OTUuNjk3IDMyNykiPmNv&#10;bnRyaWJ1dGlvbiBjYXNlczwvdGV4dD48ZyBjbGlwLXBhdGg9InVybCgjY2xpcDEzOSkiPjxnIGNs&#10;aXAtcGF0aD0idXJsKCNjbGlwMTQwKSI+PGcgY2xpcC1wYXRoPSJ1cmwoI2NsaXAxNDEpIiB0cmFu&#10;c2Zvcm09Im1hdHJpeCgwLjY0OTMwNSAwIDAgMC43MDU3MDIgNjc3LjcxNiAzNjAuMDA3KSI+PGcg&#10;Y2xpcC1wYXRoPSJ1cmwoI2NsaXAxNDIpIj48dXNlIHdpZHRoPSIxMDAlIiBoZWlnaHQ9IjEwMCUi&#10;IHhsaW5rOmhyZWY9IiNpbWc4MSIgdHJhbnNmb3JtPSJ0cmFuc2xhdGUoMi4zMzk0NGUtMDUgLTIu&#10;NTQ2ODRlLTA1KSI+PC91c2U+PC9nPjwvZz48L2c+PC9nPjx0ZXh0IGZvbnQtZmFtaWx5PSJDYWxp&#10;YnJpLENhbGlicmlfTVNGb250U2VydmljZSxBcmlhbCIgZm9udC13ZWlnaHQ9IjQwMCIgZm9udC1z&#10;aXplPSIxNyIgdHJhbnNmb3JtPSJtYXRyaXgoMC43OTkxNDUgMCAwIDAuNzk5Nzk2IDY5NS42OTcg&#10;MzcyKSI+SW50ZWdyYXRpb24gb2YgcXVhbnRpdGF0aXZlIGZpbmRpbmdzIDwvdGV4dD48dGV4dCBm&#10;b250LWZhbWlseT0iQ2FsaWJyaSxDYWxpYnJpX01TRm9udFNlcnZpY2UsQXJpYWwiIGZvbnQtd2Vp&#10;Z2h0PSI0MDAiIGZvbnQtc2l6ZT0iMTciIHRyYW5zZm9ybT0ibWF0cml4KDAuNzk5MTQ1IDAgMCAw&#10;Ljc5OTc5NiA2OTUuNjk3IDM4NykiPm9uIEtFUXM8L3RleHQ+PHRleHQgZm9udC1mYW1pbHk9IkNh&#10;bGlicmksQ2FsaWJyaV9NU0ZvbnRTZXJ2aWNlLEFyaWFsIiBmb250LXdlaWdodD0iNDAwIiBmb250&#10;LXNpemU9IjE3IiB0cmFuc2Zvcm09Im1hdHJpeCgwLjc5OTE0NSAwIDAgMC43OTk3OTYgNzQxLjI0&#10;OCAzODcpIj4sIDwvdGV4dD48dGV4dCBmb250LWZhbWlseT0iQ2FsaWJyaSxDYWxpYnJpX01TRm9u&#10;dFNlcnZpY2UsQXJpYWwiIGZvbnQtd2VpZ2h0PSI0MDAiIGZvbnQtc2l6ZT0iMTciIHRyYW5zZm9y&#10;bT0ibWF0cml4KDAuNzk5MTQ1IDAgMCAwLjc5OTc5NiA3NDcuNjQxIDM4NykiPmhlYWx0aCBvdXRj&#10;b21lcyBhbmQgPC90ZXh0Pjx0ZXh0IGZvbnQtZmFtaWx5PSJDYWxpYnJpLENhbGlicmlfTVNGb250&#10;U2VydmljZSxBcmlhbCIgZm9udC13ZWlnaHQ9IjQwMCIgZm9udC1zaXplPSIxNyIgdHJhbnNmb3Jt&#10;PSJtYXRyaXgoMC43OTkxNDUgMCAwIDAuNzk5Nzk2IDY5NS42OTcgNDAxKSI+SUFIUCBmdW5kaW5n&#10;PC90ZXh0PjxnIGNsaXAtcGF0aD0idXJsKCNjbGlwMTQzKSI+PGcgY2xpcC1wYXRoPSJ1cmwoI2Ns&#10;aXAxNDQpIj48ZyBjbGlwLXBhdGg9InVybCgjY2xpcDE0NSkiIHRyYW5zZm9ybT0ibWF0cml4KDAu&#10;NjQ5MzA1IDAgMCAwLjcwNTcwMiA2NzcuNzE2IDQwOC43OTQpIj48ZyBjbGlwLXBhdGg9InVybCgj&#10;Y2xpcDE0NikiPjx1c2Ugd2lkdGg9IjEwMCUiIGhlaWdodD0iMTAwJSIgeGxpbms6aHJlZj0iI2lt&#10;ZzgxIiB0cmFuc2Zvcm09InRyYW5zbGF0ZSgyLjMzOTQ0ZS0wNSAzLjE4Mzk2ZS0wOCkiPjwvdXNl&#10;PjwvZz48L2c+PC9nPjwvZz48dGV4dCBmb250LWZhbWlseT0iQ2FsaWJyaSxDYWxpYnJpX01TRm9u&#10;dFNlcnZpY2UsQXJpYWwiIGZvbnQtd2VpZ2h0PSI0MDAiIGZvbnQtc2l6ZT0iMTciIHRyYW5zZm9y&#10;bT0ibWF0cml4KDAuNzk5MTQ1IDAgMCAwLjc5OTc5NiA2OTUuNjk3IDQyMSkiPkdyb3VuZGVkIHRo&#10;ZW9yeSBjb2RpbmcgYW5kIDwvdGV4dD48dGV4dCBmb250LWZhbWlseT0iQ2FsaWJyaSxDYWxpYnJp&#10;X01TRm9udFNlcnZpY2UsQXJpYWwiIGZvbnQtd2VpZ2h0PSI0MDAiIGZvbnQtc2l6ZT0iMTciIHRy&#10;YW5zZm9ybT0ibWF0cml4KDAuNzk5MTQ1IDAgMCAwLjc5OTc5NiA2OTUuNjk3IDQzNSkiPmFuYWx5&#10;c2lzPC90ZXh0PjxnIGNsaXAtcGF0aD0idXJsKCNjbGlwMTQ3KSI+PGcgY2xpcC1wYXRoPSJ1cmwo&#10;I2NsaXAxNDgpIj48ZyBjbGlwLXBhdGg9InVybCgjY2xpcDE0OSkiIHRyYW5zZm9ybT0ibWF0cml4&#10;KDAuNjQ5MzA1IDAgMCAwLjcwNTcwMiA2NzcuNzE2IDQ0Mi4zODYpIj48ZyBjbGlwLXBhdGg9InVy&#10;bCgjY2xpcDE1MCkiPjx1c2Ugd2lkdGg9IjEwMCUiIGhlaWdodD0iMTAwJSIgeGxpbms6aHJlZj0i&#10;I2ltZzgxIiB0cmFuc2Zvcm09InRyYW5zbGF0ZSgyLjMzOTQ0ZS0wNSAtNi42Mzk2M2UtMDYpIj48&#10;L3VzZT48L2c+PC9nPjwvZz48L2c+PHRleHQgZm9udC1mYW1pbHk9IkNhbGlicmksQ2FsaWJyaV9N&#10;U0ZvbnRTZXJ2aWNlLEFyaWFsIiBmb250LXdlaWdodD0iNDAwIiBmb250LXNpemU9IjE3IiB0cmFu&#10;c2Zvcm09Im1hdHJpeCgwLjc5OTE0NSAwIDAgMC43OTk3OTYgNjk1LjY5NyA0NTQpIj5Db250cmli&#10;dXRpb24gYW5hbHlzaXMgYW5kIHNlbnNlPC90ZXh0Pjx0ZXh0IGZvbnQtZmFtaWx5PSJDYWxpYnJp&#10;LENhbGlicmlfTVNGb250U2VydmljZSxBcmlhbCIgZm9udC13ZWlnaHQ9IjQwMCIgZm9udC1zaXpl&#10;PSIxNyIgdHJhbnNmb3JtPSJtYXRyaXgoMC43OTkxNDUgMCAwIDAuNzk5Nzk2IDg2Ni4zNDUgNDU0&#10;KSI+LTwvdGV4dD48dGV4dCBmb250LWZhbWlseT0iQ2FsaWJyaSxDYWxpYnJpX01TRm9udFNlcnZp&#10;Y2UsQXJpYWwiIGZvbnQtd2VpZ2h0PSI0MDAiIGZvbnQtc2l6ZT0iMTciIHRyYW5zZm9ybT0ibWF0&#10;cml4KDAuNzk5MTQ1IDAgMCAwLjc5OTc5NiA2OTUuNjk3IDQ2OSkiPmNoZWNraW5nIHByb2Nlc3M8&#10;L3RleHQ+PGcgY2xpcC1wYXRoPSJ1cmwoI2NsaXAxNTEpIj48ZyBjbGlwLXBhdGg9InVybCgjY2xp&#10;cDE1MikiPjxnIGNsaXAtcGF0aD0idXJsKCNjbGlwMTUzKSIgdHJhbnNmb3JtPSJtYXRyaXgoMC42&#10;NDkzMDUgMCAwIDAuNzA1NzAyIDY3Ny43MTYgNDc2Ljc3NykiPjxnIGNsaXAtcGF0aD0idXJsKCNj&#10;bGlwMTU0KSI+PHVzZSB3aWR0aD0iMTAwJSIgaGVpZ2h0PSIxMDAlIiB4bGluazpocmVmPSIjaW1n&#10;ODEiIHRyYW5zZm9ybT0idHJhbnNsYXRlKDIuMzM5NDRlLTA1IC00LjY5NDAxZS0wNSkiPjwvdXNl&#10;PjwvZz48L2c+PC9nPjwvZz48dGV4dCBmb250LWZhbWlseT0iQ2FsaWJyaSxDYWxpYnJpX01TRm9u&#10;dFNlcnZpY2UsQXJpYWwiIGZvbnQtd2VpZ2h0PSI0MDAiIGZvbnQtc2l6ZT0iMTciIHRyYW5zZm9y&#10;bT0ibWF0cml4KDAuNzk5MTQ1IDAgMCAwLjc5OTc5NiA2OTUuNjk3IDQ4OSkiPkRldmVsb3BtZW50&#10;IG9mIGZpdmUgY29udHJpYnV0aW9uIDwvdGV4dD48dGV4dCBmb250LWZhbWlseT0iQ2FsaWJyaSxD&#10;YWxpYnJpX01TRm9udFNlcnZpY2UsQXJpYWwiIGZvbnQtd2VpZ2h0PSI0MDAiIGZvbnQtc2l6ZT0i&#10;MTciIHRyYW5zZm9ybT0ibWF0cml4KDAuNzk5MTQ1IDAgMCAwLjc5OTc5NiA2OTUuNjk3IDUwMyki&#10;PmNhc2VzPC90ZXh0PjxnIGNsaXAtcGF0aD0idXJsKCNjbGlwMTU1KSI+PGcgY2xpcC1wYXRoPSJ1&#10;cmwoI2NsaXAxNTYpIj48ZyBjbGlwLXBhdGg9InVybCgjY2xpcDE1NykiIHRyYW5zZm9ybT0ibWF0&#10;cml4KDAuNjQ5MzA1IDAgMCAwLjcwNTcwMiA2NzcuNzE2IDUxMS4xNjgpIj48ZyBjbGlwLXBhdGg9&#10;InVybCgjY2xpcDE1OCkiPjx1c2Ugd2lkdGg9IjEwMCUiIGhlaWdodD0iMTAwJSIgeGxpbms6aHJl&#10;Zj0iI2ltZzgxIiB0cmFuc2Zvcm09InRyYW5zbGF0ZSgyLjMzOTQ0ZS0wNSAtOC40MTQ0NGUtMDYp&#10;Ij48L3VzZT48L2c+PC9nPjwvZz48L2c+PHRleHQgZm9udC1mYW1pbHk9IkNhbGlicmksQ2FsaWJy&#10;aV9NU0ZvbnRTZXJ2aWNlLEFyaWFsIiBmb250LXdlaWdodD0iNDAwIiBmb250LXNpemU9IjE3IiB0&#10;cmFuc2Zvcm09Im1hdHJpeCgwLjc5OTE0NSAwIDAgMC43OTk3OTYgNjk1LjY5NyA1MjMpIj5Db2xs&#10;YWJvcmF0aXZlIGFuYWx5c2lzIHdpdGggcmV2aWV3IDwvdGV4dD48dGV4dCBmb250LWZhbWlseT0i&#10;Q2FsaWJyaSxDYWxpYnJpX01TRm9udFNlcnZpY2UsQXJpYWwiIGZvbnQtd2VpZ2h0PSI0MDAiIGZv&#10;bnQtc2l6ZT0iMTciIHRyYW5zZm9ybT0ibWF0cml4KDAuNzk5MTQ1IDAgMCAwLjc5OTc5NiA2OTUu&#10;Njk3IDUzOCkiPnBhbmVsIHBhcnRpY2lwYW50czwvdGV4dD48ZyBjbGlwLXBhdGg9InVybCgjY2xp&#10;cDE1OSkiPjxnIGNsaXAtcGF0aD0idXJsKCNjbGlwMTYwKSI+PGcgY2xpcC1wYXRoPSJ1cmwoI2Ns&#10;aXAxNjEpIiB0cmFuc2Zvcm09Im1hdHJpeCgwLjY0OTMwNSAwIDAgMC43MDU3MDIgOTAzLjAxIDIx&#10;OC40NDMpIj48ZyBjbGlwLXBhdGg9InVybCgjY2xpcDE2MikiPjx1c2Ugd2lkdGg9IjEwMCUiIGhl&#10;aWdodD0iMTAwJSIgeGxpbms6aHJlZj0iI2ltZzgxIiB0cmFuc2Zvcm09InRyYW5zbGF0ZSg3Ljc5&#10;NzdlLTA2IC04LjgyNzcyZS0wNikiPjwvdXNlPjwvZz48L2c+PC9nPjwvZz48dGV4dCBmb250LWZh&#10;bWlseT0iQ2FsaWJyaSxDYWxpYnJpX01TRm9udFNlcnZpY2UsQXJpYWwiIGZvbnQtd2VpZ2h0PSI0&#10;MDAiIGZvbnQtc2l6ZT0iMTciIHRyYW5zZm9ybT0ibWF0cml4KDAuNzk5MTQ1IDAgMCAwLjc5OTc5&#10;NiA5MjAuOTkxIDIzMSkiPkVtZXJnaW5nIGZpbmRpbmdzIHdvcmtzaG9wczwvdGV4dD48ZyBjbGlw&#10;LXBhdGg9InVybCgjY2xpcDE2MykiPjxnIGNsaXAtcGF0aD0idXJsKCNjbGlwMTY0KSI+PGcgY2xp&#10;cC1wYXRoPSJ1cmwoI2NsaXAxNjUpIiB0cmFuc2Zvcm09Im1hdHJpeCgwLjY0OTMwNSAwIDAgMC43&#10;MDU3MDIgOTAzLjAxIDIzNy42MzgpIj48ZyBjbGlwLXBhdGg9InVybCgjY2xpcDE2NikiPjx1c2Ug&#10;d2lkdGg9IjEwMCUiIGhlaWdodD0iMTAwJSIgeGxpbms6aHJlZj0iI2ltZzgxIiB0cmFuc2Zvcm09&#10;InRyYW5zbGF0ZSg3Ljc5NzdlLTA2IDEuMDI1MjllLTA1KSI+PC91c2U+PC9nPjwvZz48L2c+PC9n&#10;Pjx0ZXh0IGZvbnQtZmFtaWx5PSJDYWxpYnJpLENhbGlicmlfTVNGb250U2VydmljZSxBcmlhbCIg&#10;Zm9udC13ZWlnaHQ9IjQwMCIgZm9udC1zaXplPSIxNyIgdHJhbnNmb3JtPSJtYXRyaXgoMC43OTkx&#10;NDUgMCAwIDAuNzk5Nzk2IDkyMC45OTEgMjUwKSI+UmVwb3J0aW5nIGFuZCBjb21tdW5pY2F0aW9u&#10;IG9mIDwvdGV4dD48dGV4dCBmb250LWZhbWlseT0iQ2FsaWJyaSxDYWxpYnJpX01TRm9udFNlcnZp&#10;Y2UsQXJpYWwiIGZvbnQtd2VpZ2h0PSI0MDAiIGZvbnQtc2l6ZT0iMTciIHRyYW5zZm9ybT0ibWF0&#10;cml4KDAuNzk5MTQ1IDAgMCAwLjc5OTc5NiA5MjAuOTkxIDI2NCkiPmZpbmRpbmdzIGJhY2sgdG8g&#10;c2l0ZXM8L3RleHQ+PGcgY2xpcC1wYXRoPSJ1cmwoI2NsaXAxNjcpIj48ZyBjbGlwLXBhdGg9InVy&#10;bCgjY2xpcDE2OCkiPjxnIGNsaXAtcGF0aD0idXJsKCNjbGlwMTY5KSIgdHJhbnNmb3JtPSJtYXRy&#10;aXgoMC42NDkzMDUgMCAwIDAuNzA1NzAyIDkwMy4wMSAyNzIuMDI5KSI+PGcgY2xpcC1wYXRoPSJ1&#10;cmwoI2NsaXAxNzApIj48dXNlIHdpZHRoPSIxMDAlIiBoZWlnaHQ9IjEwMCUiIHhsaW5rOmhyZWY9&#10;IiNpbWc4MSIgdHJhbnNmb3JtPSJ0cmFuc2xhdGUoNy43OTc3ZS0wNiAtMS4yMjU2NmUtMDUpIj48&#10;L3VzZT48L2c+PC9nPjwvZz48L2c+PHRleHQgZm9udC1mYW1pbHk9IkNhbGlicmksQ2FsaWJyaV9N&#10;U0ZvbnRTZXJ2aWNlLEFyaWFsIiBmb250LXdlaWdodD0iNDAwIiBmb250LXNpemU9IjE3IiB0cmFu&#10;c2Zvcm09Im1hdHJpeCgwLjc5OTE0NSAwIDAgMC43OTk3OTYgOTIwLjk5MSAyODQpIj5OYXRpb25h&#10;bCBzaXRlIHBhcnRuZXIgd29ya3Nob3A8L3RleHQ+PGcgY2xpcC1wYXRoPSJ1cmwoI2NsaXAxNzEp&#10;Ij48ZyBjbGlwLXBhdGg9InVybCgjY2xpcDE3MikiPjxnIGNsaXAtcGF0aD0idXJsKCNjbGlwMTcz&#10;KSIgdHJhbnNmb3JtPSJtYXRyaXgoMC42NDkzMDUgMCAwIDAuNzA1NzAyIDkwMy4wMSAyOTIuMDI0&#10;KSI+PGcgY2xpcC1wYXRoPSJ1cmwoI2NsaXAxNzQpIj48dXNlIHdpZHRoPSIxMDAlIiBoZWlnaHQ9&#10;IjEwMCUiIHhsaW5rOmhyZWY9IiNpbWc4MSIgdHJhbnNmb3JtPSJ0cmFuc2xhdGUoNy43OTc3ZS0w&#10;NiAtOS4wMTQwNGUtMDYpIj48L3VzZT48L2c+PC9nPjwvZz48L2c+PHRleHQgZm9udC1mYW1pbHk9&#10;IkNhbGlicmksQ2FsaWJyaV9NU0ZvbnRTZXJ2aWNlLEFyaWFsIiBmb250LXdlaWdodD0iNDAwIiBm&#10;b250LXNpemU9IjE3IiB0cmFuc2Zvcm09Im1hdHJpeCgwLjc5OTE0NSAwIDAgMC43OTk3OTYgOTIw&#10;Ljk5MSAzMDQpIj5QYXJ0aWNpcGFudCBzdXJ2ZXk8L3RleHQ+PGcgY2xpcC1wYXRoPSJ1cmwoI2Ns&#10;aXAxNzUpIj48ZyBjbGlwLXBhdGg9InVybCgjY2xpcDE3NikiPjxnIGNsaXAtcGF0aD0idXJsKCNj&#10;bGlwMTc3KSIgdHJhbnNmb3JtPSJtYXRyaXgoMC42NDkzMDUgMCAwIDAuNzA1NzAyIDkwMy4wMSAz&#10;MTEuMjE5KSI+PGcgY2xpcC1wYXRoPSJ1cmwoI2NsaXAxNzgpIj48dXNlIHdpZHRoPSIxMDAlIiBo&#10;ZWlnaHQ9IjEwMCUiIHhsaW5rOmhyZWY9IiNpbWc4MSIgdHJhbnNmb3JtPSJ0cmFuc2xhdGUoNy43&#10;OTc3ZS0wNiAtMi4wNDUxZS0wNSkiPjwvdXNlPjwvZz48L2c+PC9nPjwvZz48dGV4dCBmb250LWZh&#10;bWlseT0iQ2FsaWJyaSxDYWxpYnJpX01TRm9udFNlcnZpY2UsQXJpYWwiIGZvbnQtd2VpZ2h0PSI0&#10;MDAiIGZvbnQtc2l6ZT0iMTciIHRyYW5zZm9ybT0ibWF0cml4KDAuNzk5MTQ1IDAgMCAwLjc5OTc5&#10;NiA5MjAuOTkxIDMyMykiPkludGVybmFsIGFuYWx5c3QgbWVldGluZ3M8L3RleHQ+PGcgY2xpcC1w&#10;YXRoPSJ1cmwoI2NsaXAxNzkpIj48ZyBjbGlwLXBhdGg9InVybCgjY2xpcDE4MCkiPjxnIGNsaXAt&#10;cGF0aD0idXJsKCNjbGlwMTgxKSIgdHJhbnNmb3JtPSJtYXRyaXgoMC42NDkzMDUgMCAwIDAuNzA1&#10;NzAyIDkwMy4wMSAzMzEuMjE0KSI+PGcgY2xpcC1wYXRoPSJ1cmwoI2NsaXAxODIpIj48dXNlIHdp&#10;ZHRoPSIxMDAlIiBoZWlnaHQ9IjEwMCUiIHhsaW5rOmhyZWY9IiNpbWc4MSIgdHJhbnNmb3JtPSJ0&#10;cmFuc2xhdGUoNy43OTc3ZS0wNiAtMi45OTM1MWUtMDUpIj48L3VzZT48L2c+PC9nPjwvZz48L2c+&#10;PHRleHQgZm9udC1mYW1pbHk9IkNhbGlicmksQ2FsaWJyaV9NU0ZvbnRTZXJ2aWNlLEFyaWFsIiBm&#10;b250LXdlaWdodD0iNDAwIiBmb250LXNpemU9IjE3IiB0cmFuc2Zvcm09Im1hdHJpeCgwLjc5OTE0&#10;NSAwIDAgMC43OTk3OTYgOTIwLjk5MSAzNDMpIj5EaXNjdXNzaW9uIGFuZCBzaGFyaW5nIG9mIGZp&#10;bmRpbmdzIDwvdGV4dD48dGV4dCBmb250LWZhbWlseT0iQ2FsaWJyaSxDYWxpYnJpX01TRm9udFNl&#10;cnZpY2UsQXJpYWwiIGZvbnQtd2VpZ2h0PSI0MDAiIGZvbnQtc2l6ZT0iMTciIHRyYW5zZm9ybT0i&#10;bWF0cml4KDAuNzk5MTQ1IDAgMCAwLjc5OTc5NiA5MjAuOTkxIDM1OCkiPndpdGggSFNDRzwvdGV4&#10;dD48ZyBjbGlwLXBhdGg9InVybCgjY2xpcDE4MykiPjxnIGNsaXAtcGF0aD0idXJsKCNjbGlwMTg0&#10;KSI+PGcgY2xpcC1wYXRoPSJ1cmwoI2NsaXAxODUpIiB0cmFuc2Zvcm09Im1hdHJpeCgwLjY0OTMw&#10;NSAwIDAgMC43MDU3MDIgOTAzLjAxIDM5MC4zOTkpIj48ZyBjbGlwLXBhdGg9InVybCgjY2xpcDE4&#10;NikiPjx1c2Ugd2lkdGg9IjEwMCUiIGhlaWdodD0iMTAwJSIgeGxpbms6aHJlZj0iI2ltZzgxIiB0&#10;cmFuc2Zvcm09InRyYW5zbGF0ZSg3Ljc5NzdlLTA2IC00LjM2OTNlLTA2KSI+PC91c2U+PC9nPjwv&#10;Zz48L2c+PC9nPjx0ZXh0IGZvbnQtZmFtaWx5PSJDYWxpYnJpLENhbGlicmlfTVNGb250U2Vydmlj&#10;ZSxBcmlhbCIgZm9udC13ZWlnaHQ9IjQwMCIgZm9udC1zaXplPSIxNyIgdHJhbnNmb3JtPSJtYXRy&#10;aXgoMC43OTkxNDUgMCAwIDAuNzk5Nzk2IDkyMC45OTEgNDAyKSI+UGFydGljaXBhbnQgZmVlZGJh&#10;Y2sgaW5jb3Jwb3JhdGVkIDwvdGV4dD48dGV4dCBmb250LWZhbWlseT0iQ2FsaWJyaSxDYWxpYnJp&#10;X01TRm9udFNlcnZpY2UsQXJpYWwiIGZvbnQtd2VpZ2h0PSI0MDAiIGZvbnQtc2l6ZT0iMTciIHRy&#10;YW5zZm9ybT0ibWF0cml4KDAuNzk5MTQ1IDAgMCAwLjc5OTc5NiA5MjAuOTkxIDQxNykiPmludG8g&#10;dGhlIGFuYWx5c2lzPC90ZXh0PjxnIGNsaXAtcGF0aD0idXJsKCNjbGlwMTg3KSI+PGcgY2xpcC1w&#10;YXRoPSJ1cmwoI2NsaXAxODgpIj48ZyBjbGlwLXBhdGg9InVybCgjY2xpcDE4OSkiIHRyYW5zZm9y&#10;bT0ibWF0cml4KDAuNjQ5MzA1IDAgMCAwLjcwNTcwMiA5MDMuMDEgNDI0Ljc5KSI+PGcgY2xpcC1w&#10;YXRoPSJ1cmwoI2NsaXAxOTApIj48dXNlIHdpZHRoPSIxMDAlIiBoZWlnaHQ9IjEwMCUiIHhsaW5r&#10;OmhyZWY9IiNpbWc4MSIgdHJhbnNmb3JtPSJ0cmFuc2xhdGUoNy43OTc3ZS0wNiAtMi42ODc4OGUt&#10;MDUpIj48L3VzZT48L2c+PC9nPjwvZz48L2c+PHRleHQgZm9udC1mYW1pbHk9IkNhbGlicmksQ2Fs&#10;aWJyaV9NU0ZvbnRTZXJ2aWNlLEFyaWFsIiBmb250LXdlaWdodD0iNDAwIiBmb250LXNpemU9IjE3&#10;IiB0cmFuc2Zvcm09Im1hdHJpeCgwLjc5OTE0NSAwIDAgMC43OTk3OTYgOTIwLjk5MSA0MzcpIj5G&#10;aW5kaW5ncyBhbmQgYW5hbHlzaXMgYWRqdXN0ZWQgYW5kIDwvdGV4dD48dGV4dCBmb250LWZhbWls&#10;eT0iQ2FsaWJyaSxDYWxpYnJpX01TRm9udFNlcnZpY2UsQXJpYWwiIGZvbnQtd2VpZ2h0PSI0MDAi&#10;IGZvbnQtc2l6ZT0iMTciIHRyYW5zZm9ybT0ibWF0cml4KDAuNzk5MTQ1IDAgMCAwLjc5OTc5NiA5&#10;MjAuOTkxIDQ1MSkiPmVsZXZhdGVkIHdpdGggZXZlcnkgY3ljbGUgb2YgZGF0YSA8L3RleHQ+PHRl&#10;eHQgZm9udC1mYW1pbHk9IkNhbGlicmksQ2FsaWJyaV9NU0ZvbnRTZXJ2aWNlLEFyaWFsIiBmb250&#10;LXdlaWdodD0iNDAwIiBmb250LXNpemU9IjE3IiB0cmFuc2Zvcm09Im1hdHJpeCgwLjc5OTE0NSAw&#10;IDAgMC43OTk3OTYgOTIwLjk5MSA0NjYpIj5jb2xsZWN0aW9uIGFuZCBhbmFseXNpczwvdGV4dD48&#10;ZyBjbGlwLXBhdGg9InVybCgjY2xpcDE5MSkiPjxnIGNsaXAtcGF0aD0idXJsKCNjbGlwMTkyKSI+&#10;PGcgY2xpcC1wYXRoPSJ1cmwoI2NsaXAxOTMpIiB0cmFuc2Zvcm09Im1hdHJpeCgwLjY0OTMwNSAw&#10;IDAgMC43MDU3MDIgOTAzLjAxIDQ3Mi43NzgpIj48ZyBjbGlwLXBhdGg9InVybCgjY2xpcDE5NCki&#10;Pjx1c2Ugd2lkdGg9IjEwMCUiIGhlaWdodD0iMTAwJSIgeGxpbms6aHJlZj0iI2ltZzgxIiB0cmFu&#10;c2Zvcm09InRyYW5zbGF0ZSg3Ljc5NzdlLTA2IDEuNDQ1OTRlLTA1KSI+PC91c2U+PC9nPjwvZz48&#10;L2c+PC9nPjx0ZXh0IGZvbnQtZmFtaWx5PSJDYWxpYnJpLENhbGlicmlfTVNGb250U2VydmljZSxB&#10;cmlhbCIgZm9udC13ZWlnaHQ9IjQwMCIgZm9udC1zaXplPSIxNyIgdHJhbnNmb3JtPSJtYXRyaXgo&#10;MC43OTkxNDUgMCAwIDAuNzk5Nzk2IDkyMC45OTEgNDg1KSI+U3ludGhlc2lzIGFuYWx5c2lzIGFj&#10;cm9zcyBhbGwgZGF0YSA8L3RleHQ+PHRleHQgZm9udC1mYW1pbHk9IkNhbGlicmksQ2FsaWJyaV9N&#10;U0ZvbnRTZXJ2aWNlLEFyaWFsIiBmb250LXdlaWdodD0iNDAwIiBmb250LXNpemU9IjE3IiB0cmFu&#10;c2Zvcm09Im1hdHJpeCgwLjc5OTE0NSAwIDAgMC43OTk3OTYgOTIwLjk5MSA0OTkpIj5zZXRzIGFu&#10;ZCBmaW5kaW5ncyBmcm9tIHZhcmlvdXMgPC90ZXh0Pjx0ZXh0IGZvbnQtZmFtaWx5PSJDYWxpYnJp&#10;LENhbGlicmlfTVNGb250U2VydmljZSxBcmlhbCIgZm9udC13ZWlnaHQ9IjQwMCIgZm9udC1zaXpl&#10;PSIxNyIgdHJhbnNmb3JtPSJtYXRyaXgoMC43OTkxNDUgMCAwIDAuNzk5Nzk2IDkyMC45OTEgNTE0&#10;KSI+YW5hbHlzaXM8L3RleHQ+PHRleHQgZmlsbD0iI0ZGRkZGRiIgZm9udC1mYW1pbHk9IkNhbGli&#10;cmksQ2FsaWJyaV9NU0ZvbnRTZXJ2aWNlLEFyaWFsIiBmb250LXdlaWdodD0iNzAwIiBmb250LXNp&#10;emU9IjE3IiB0cmFuc2Zvcm09Im1hdHJpeCgwLjc5OTE0NSAwIDAgMC43OTk3OTYgMjQxLjU0MiA2&#10;NzQpIj5QUklNQVJZIERBVEEgU0VUUzwvdGV4dD48dGV4dCBmaWxsPSIjRkZGRkZGIiBmb250LWZh&#10;bWlseT0iQ2FsaWJyaSxDYWxpYnJpX01TRm9udFNlcnZpY2UsQXJpYWwiIGZvbnQtd2VpZ2h0PSI3&#10;MDAiIGZvbnQtc2l6ZT0iMTciIHRyYW5zZm9ybT0ibWF0cml4KDAuNzk5MTQ1IDAgMCAwLjc5OTc5&#10;NiAzNTcuNDE4IDY3NCkiPjo8L3RleHQ+PHRleHQgZm9udC1mYW1pbHk9IkNhbGlicmksQ2FsaWJy&#10;aV9NU0ZvbnRTZXJ2aWNlLEFyaWFsIiBmb250LXdlaWdodD0iNzAwIiBmb250LXNpemU9IjE3IiB0&#10;cmFuc2Zvcm09Im1hdHJpeCgwLjc5OTE0NSAwIDAgMC43OTk3OTYgNDYxLjg2OSA2NDcpIj5QUklN&#10;QVJZIERBVEEgU0VUUzwvdGV4dD48dGV4dCBmb250LWZhbWlseT0iQ2FsaWJyaSxDYWxpYnJpX01T&#10;Rm9udFNlcnZpY2UsQXJpYWwiIGZvbnQtd2VpZ2h0PSI3MDAiIGZvbnQtc2l6ZT0iMTciIHRyYW5z&#10;Zm9ybT0ibWF0cml4KDAuNzk5MTQ1IDAgMCAwLjc5OTc5NiA1NzcuNzQ1IDY0NykiPjo8L3RleHQ+&#10;PHRleHQgZm9udC1mYW1pbHk9IkNhbGlicmksQ2FsaWJyaV9NU0ZvbnRTZXJ2aWNlLEFyaWFsIiBm&#10;b250LXdlaWdodD0iNzAwIiBmb250LXNpemU9IjE3IiB0cmFuc2Zvcm09Im1hdHJpeCgwLjc5OTE0&#10;NSAwIDAgMC43OTk3OTYgNjg1LjQ5OSA2ODkpIj5QUklNQVJZIERBVEEgU0VUUzwvdGV4dD48dGV4&#10;dCBmb250LWZhbWlseT0iQ2FsaWJyaSxDYWxpYnJpX01TRm9udFNlcnZpY2UsQXJpYWwiIGZvbnQt&#10;d2VpZ2h0PSI3MDAiIGZvbnQtc2l6ZT0iMTciIHRyYW5zZm9ybT0ibWF0cml4KDAuNzk5MTQ1IDAg&#10;MCAwLjc5OTc5NiA4MDEuMzc1IDY4OSkiPjo8L3RleHQ+PHBhdGggZD0iTTYuNzMwMjkgMTkxLjc5&#10;NUM2LjU0NDEgMTkxLjc5NSA2LjM5MzE2IDE5MS42NDQgNi4zOTMxNiAxOTEuNDU4TDYuMzkzMTYg&#10;MTY4Ljk1N0M2LjM5MzE2IDE2OC43NzEgNi41NDQxIDE2OC42MiA2LjczMDI5IDE2OC42MkwyMjEu&#10;MDI2IDE2OC42MkMyMjEuMjEyIDE2OC42MiAyMjEuMzYzIDE2OC43NzEgMjIxLjM2MyAxNjguOTU3&#10;TDIyMS4zNjMgMTkxLjQ1OEMyMjEuMzYzIDE5MS42NDQgMjIxLjIxMiAxOTEuNzk1IDIyMS4wMjYg&#10;MTkxLjc5NVoiIGZpbGw9InVybCgjcGF0dGVybjE5NikiIGZpbGwtcnVsZT0iZXZlbm9kZCIgdHJh&#10;bnNmb3JtPSJtYXRyaXgoMSAwIDAgMS4wMDA4MSAtMC43OTkxNDUgMS44MDA4MikiLz48cGF0aCBk&#10;PSJNMjMxLjI5IDE5MS43OTVDMjMxLjEwNCAxOTEuNzk1IDIzMC45NTMgMTkxLjY0NCAyMzAuOTUz&#10;IDE5MS40NThMMjMwLjk1MyAxNjguOTU3QzIzMC45NTMgMTY4Ljc3MSAyMzEuMTA0IDE2OC42MiAy&#10;MzEuMjkgMTY4LjYyTDQ0NC43ODcgMTY4LjYyQzQ0NC45NzMgMTY4LjYyIDQ0NS4xMjQgMTY4Ljc3&#10;MSA0NDUuMTI0IDE2OC45NTdMNDQ1LjEyNCAxOTEuNDU4QzQ0NS4xMjQgMTkxLjY0NCA0NDQuOTcz&#10;IDE5MS43OTUgNDQ0Ljc4NyAxOTEuNzk1WiIgZmlsbD0idXJsKCNwYXR0ZXJuMTk4KSIgZmlsbC1y&#10;dWxlPSJldmVub2RkIiB0cmFuc2Zvcm09Im1hdHJpeCgxIDAgMCAxLjAwMDgxIC0wLjc5OTE0NSAx&#10;LjgwMDgyKSIvPjxwYXRoIGQ9Ik00NTMuNDUzIDE5MS43OTVDNDUzLjI2NiAxOTEuNzk1IDQ1My4x&#10;MTUgMTkxLjY0NCA0NTMuMTE1IDE5MS40NThMNDUzLjExNSAxNjguOTU3QzQ1My4xMTUgMTY4Ljc3&#10;MSA0NTMuMjY2IDE2OC42MiA0NTMuNDUzIDE2OC42Mkw2NzAuOTQ1IDE2OC42MkM2NzEuMTMxIDE2&#10;OC42MiA2NzEuMjgyIDE2OC43NzEgNjcxLjI4MiAxNjguOTU3TDY3MS4yODIgMTkxLjQ1OEM2NzEu&#10;MjgyIDE5MS42NDQgNjcxLjEzMSAxOTEuNzk1IDY3MC45NDUgMTkxLjc5NVoiIGZpbGw9InVybCgj&#10;cGF0dGVybjIwMCkiIGZpbGwtcnVsZT0iZXZlbm9kZCIgdHJhbnNmb3JtPSJtYXRyaXgoMSAwIDAg&#10;MS4wMDA4MSAtMC43OTkxNDUgMS44MDA4MikiLz48cGF0aCBkPSJNNjc3LjIxMyAxOTEuNzk1QzY3&#10;Ny4wMjcgMTkxLjc5NSA2NzYuODc2IDE5MS42NDQgNjc2Ljg3NiAxOTEuNDU4TDY3Ni44NzYgMTY4&#10;Ljk1N0M2NzYuODc2IDE2OC43NzEgNjc3LjAyNyAxNjguNjIgNjc3LjIxMyAxNjguNjJMODkwLjcx&#10;MSAxNjguNjJDODkwLjg5NSAxNjguNjIgODkxLjA0NyAxNjguNzcxIDg5MS4wNDcgMTY4Ljk1N0w4&#10;OTEuMDQ3IDE5MS40NThDODkxLjA0NyAxOTEuNjQ0IDg5MC44OTUgMTkxLjc5NSA4OTAuNzExIDE5&#10;MS43OTVaIiBmaWxsPSJ1cmwoI3BhdHRlcm4yMDIpIiBmaWxsLXJ1bGU9ImV2ZW5vZGQiIHRyYW5z&#10;Zm9ybT0ibWF0cml4KDEgMCAwIDEuMDAwODEgLTAuNzk5MTQ1IDEuODAwODIpIi8+PHBhdGggZD0i&#10;TTkwMi41NzEgMTkxLjc5NUM5MDIuMzg3IDE5MS43OTUgOTAyLjIzNSAxOTEuNjQ0IDkwMi4yMzUg&#10;MTkxLjQ1OEw5MDIuMjM1IDE2OC45NTdDOTAyLjIzNSAxNjguNzcxIDkwMi4zODcgMTY4LjYyIDkw&#10;Mi41NzEgMTY4LjYyTDExMTUuMjcgMTY4LjYyQzExMTUuNDYgMTY4LjYyIDExMTUuNjEgMTY4Ljc3&#10;MSAxMTE1LjYxIDE2OC45NTdMMTExNS42MSAxOTEuNDU4QzExMTUuNjEgMTkxLjY0NCAxMTE1LjQ2&#10;IDE5MS43OTUgMTExNS4yNyAxOTEuNzk1WiIgZmlsbD0idXJsKCNwYXR0ZXJuMjA0KSIgZmlsbC1y&#10;dWxlPSJldmVub2RkIiB0cmFuc2Zvcm09Im1hdHJpeCgxIDAgMCAxLjAwMDgxIC0wLjc5OTE0NSAx&#10;LjgwMDgyKSIvPjxwYXRoIGQ9Ik0wIDEuMjIwNkMtMC4wNzczOTY2IDAuNDk4NzQ1IDAuNDcwNDYy&#10;IDAuMDI4NjIyNSAxLjIyMDkzIDAgMTMuMDA3LTEuNjgzOCAyNS4wMDA0LTAuNDg4NDcgNDMuNTg0&#10;NiAwIDYyLjE2ODcgMC40ODg0NyA2My43NjE1IDAuMTUwMTM3IDgyLjY4OTIgMCA4My4zMDYxLTAu&#10;MDMxNTU4MiA4NC4wNTgxIDAuNjE2OTA0IDgzLjkxMDMgMS4yMjA2IDgzLjYxMjIgMTkuMzE3NSA4&#10;NC4zOTQ1IDI2LjM3MDYgODMuOTEwMyA0OC42NjYgODMuNDI2IDcwLjk2MTUgODIuNzc3MSAxMTQu&#10;OTQ5IDgzLjkxMDMgMTQwLjc2NiA4NS4wNDM0IDE2Ni41ODMgODMuNjkyMSAxNzIuODY2IDgzLjkx&#10;MDMgMTg4LjIxMiA4NC4xMjg0IDIwMy41NTYgODUuMDAyNyAyMzguMTggODMuOTEwMyAyODAuMzEx&#10;IDgyLjgxNzggMzIyLjQ0MyA4NC42MjMxIDMwNC4zODEgODMuOTEwMyAzMTYuNTkzIDgzLjE5NzQg&#10;MzI4LjgwNSA4NC43MzEgMzYwLjc4NiA4My45MTAzIDM4Ni4zNjYgODMuMDg5NSA0MTEuOTQ1IDg0&#10;LjE0MzYgNDI5LjI1NiA4My45MTAzIDQ1Ni4xMzkgODMuNjc2OSA0ODMuMDIgODEuODM4MSA0OTMu&#10;MTY5IDgzLjkxMDMgNTE0Ljc0NyA4NS45ODI0IDUzNi4zMjYgODMuNjk5MyA1NzEuODY0IDgzLjkx&#10;MDMgNjA2Ljg0NyA4NC4xMjEyIDY0MS44MyA4Ny4zNTQ2IDY2Ni4yMDggODMuOTEwMyA2OTguOTQ3&#10;IDgwLjQ2NTkgNzMxLjY4NSA4NS4wNzIyIDczMC42NjcgODMuOTEwMyA3NDYuMzkyIDgyLjc0ODMg&#10;NzYyLjExOCA4NS4yOTM2IDc5Ni4zMDkgODMuOTEwMyA4MTYuMTY3IDgyLjUyNjkgODM2LjAxOCA4&#10;Ni44NjMxIDg2NS42MzQgODMuOTEwMyA5MDguMjY5IDgwLjk1NzQgOTUwLjg5NSA4Mi4wODM0IDk0&#10;Ni40NiA4My45MTAzIDk3OC4wMzQgODUuNzM3MSAxMDA5LjYyIDgzLjUyMzUgMTAwMS41NCA4My45&#10;MTAzIDEwMTQuMzIgODQuMjk3IDEwMjcuMSA4Ni4xNDU1IDEwNzcuMSA4My45MTAzIDExMTcuNTgg&#10;ODQuMDM1NyAxMTE4LjE4IDgzLjM0MjkgMTExOC44NCA4Mi42ODkyIDExMTguOCA2OS4yMjc2IDEx&#10;MTguNyA2Mi4yMjMxIDExMTcuMjUgNDIuNzY5OCAxMTE4LjggMjMuMzE2NSAxMTIwLjM1IDEwLjY1&#10;MjggMTExNy4wNiAxLjIyMDkzIDExMTguOCAwLjQ0NTkyMSAxMTE4LjggMC4wOTU2NDQ5IDExMTgu&#10;MzQgMCAxMTE3LjU4IDIuOTA4ODcgMTA4OC42NC0xLjA3NDEyIDEwNjYuNTUgMCAxMDQ3LjgxIDEu&#10;MDc0MTIgMTAyOS4wOC0wLjUyMDY5NyAxMDEyLjU4IDAgMTAwMC4zNiAwLjUyMDY5NyA5ODguMTUx&#10;IDMuMTE5MzUgOTUxLjkxOCAwIDkxOS40MjUtMy4xMTkzNSA4ODYuOTM5IDAuMzk2NTI2IDg4Mi42&#10;OTYgMCA4NzEuOTc5LTAuMzk2NTI2IDg2MS4yNzEtMi43NDUwNiA4MTUuOTI3IDAgNzkxLjA0NyAy&#10;Ljc0NTA2IDc2Ni4xNjMtMC43OTEwNiA3NjcuNDE4IDAgNzU0Ljc2NSAwLjc5MTA2IDc0Mi4xMTEt&#10;MS45ODY1MiA2OTcuOTA5IDAgNjczLjgyOSAxLjk4NjUyIDY0OS43NDktMC4wNjIyOTQ4IDY0MC41&#10;MjEgMCA2MjYuMzg0IDAuMDYyMjk0OCA2MTIuMjQ2IDEuMzQ5NjEgNjA2LjQxMiAwIDU5MC4xMDIt&#10;MS4zNDk2MSA1NzMuNzkxLTAuNzgwMzYzIDU1NC40MzMgMCA1NDIuNjU2IDAuNzgwMzYzIDUzMC44&#10;NzktMi4xNzc4IDQ4Mi4wMzUgMCA0NjEuNzIgMi4xNzc4IDQ0MS40MDUgMS4xNjQwOSA0MjguMTQg&#10;MCA0MTQuMjc1LTEuMTY0MDkgNDAwLjQwOS0wLjU1ODk3NSAzOTYuMDkxIDAgMzc3Ljk5MyAwLjU1&#10;ODk3NSAzNTkuODk1IDIuMzU0NTEgMzQyLjIwOSAwIDMzMC41NDctMi4zNTQ1MSAzMTguODg1IDEu&#10;MTM3MDQgMjkyLjA3MyAwIDI3MS45MzktMS4xMzcwNCAyNTEuODAzIDAuMDc2OTc3MSAyMjAuMTE1&#10;IDAgMjAyLjE2Ni0wLjA3Njk3NzEgMTg0LjIxNy0xLjIyMzQ1IDE3My4wMTYgMCAxNTQuNzIgMS4y&#10;MjM0NSAxMzYuNDI0LTEuNzc5NDkgMTA2LjE5OCAwIDYyLjYyMDUgMS43Nzk0OSAxOS4wNDM0LTEu&#10;OTc1NSAyMy4yMTY2IDAgMS4yMjA2WiIgZmlsbD0iIzUzNTQ1MSIgZmlsbC1ydWxlPSJldmVub2Rk&#10;IiB0cmFuc2Zvcm09Im1hdHJpeCgxLjgzNjk3ZS0xNiAxLjAwMDgxIDEgLTEuODM4NDdlLTE2IDEu&#10;NTk4MjkgMTAwLjE3NikiLz48cGF0aCBkPSJNMCAxLjIyMDZDMC4wMzE2NzE3IDAuNjU3NzkzIDAu&#10;NTg1NjEzIDAuMDE2NDYwNiAxLjIyMDkzIDAgMTAuMzM2MyAwLjQ4NjQ3OCAyMS45MzQxIDAuNDU1&#10;OTY4IDQxLjk1NTEgMCA2MS45NzYxLTAuNDU1OTY4IDY3LjY2NjUgMS4wMzYzOSA4Mi42ODkyIDAg&#10;ODMuMzY2OCAwLjEzMzA0NyA4My45NDYyIDAuNTE0MTU3IDgzLjkxMDMgMS4yMjA2IDgzLjQzMjQg&#10;MjAuMDIzMyA4NS4zMTI4IDQ0LjkxNzYgODMuOTEwMyA3MC45OTMzIDgyLjUwNzggOTcuMDY5IDgz&#10;LjE1OTkgMTI5LjA0NSA4My45MTAzIDE2My4wOTMgODQuNjYwNyAxOTcuMTQxIDg1LjM3NTkgMjAz&#10;LjE5MyA4My45MTAzIDIzMi44NjYgODIuNDQ0NiAyNjIuNTM4IDgzLjQ4MDMgMjgxLjYyIDgzLjkx&#10;MDMgMzI0Ljk2NSA4NC4zNDAyIDM2OC4zMSA4MS4yOTA3IDM2Mi40MjkgODMuOTEwMyAzODMuNTc1&#10;IDg2LjUyOTkgNDA0LjcyIDgxLjg3MDggNDA3LjM5NSA4My45MTAzIDQzMS4wMiA4NS45NDk3IDQ1&#10;NC42NDUgODAuNTUzIDQ4NC40MDIgODMuOTEwMyA1MDAuNzkyIDg3LjI2NzUgNTE3LjE4MyA4MC4x&#10;NzExIDU1OC43ODYgODMuOTEwMyA1ODEuNzI5IDg3LjY0OTUgNjA0LjY3MSA4Ni44ODc5IDY1NS4x&#10;OTUgODMuOTEwMyA2NzMuODI5IDgwLjkzMjYgNjkyLjQ2MyA4MC45MTExIDcyMy40MTkgODMuOTEw&#10;MyA3NTQuNzY1IDg2LjkwOTQgNzg2LjExMSA4NS4xMzQ1IDgxMC4xOTcgODMuOTEwMyA4NDYuODYy&#10;IDgyLjY4NiA4ODMuNTM1IDg2LjU2NjYgOTA0LjEyOSA4My45MTAzIDkyNy44IDgxLjI1MzkgOTUx&#10;LjQ3IDg1Ljk3ODQgOTY0Ljg0OCA4My45MTAzIDk3NS4yNDUgODEuODQyMSA5ODUuNjQyIDgzLjQw&#10;MTIgMTAyNC4xIDgzLjkxMDMgMTA1Ni4xOCA4NC40MTkzIDEwODguMjYgODYuMTAzMSAxMDk5Ljk4&#10;IDgzLjkxMDMgMTExNy41OCA4My43NTEyIDExMTguMjkgODMuMzc0OCAxMTE4Ljg0IDgyLjY4OTIg&#10;MTExOC44IDY1LjQxOTcgMTExNy4xMyA1NC4xNDA2IDExMTkuNTUgNDIuNzY5OCAxMTE4LjggMzEu&#10;Mzk5IDExMTguMDUgMTcuNTMyNCAxMTE2Ljg4IDEuMjIwOTMgMTExOC44IDAuNjY5NjE3IDExMTgu&#10;NzIgMC4wNzgyMzU1IDExMTguMTkgMCAxMTE3LjU4LTAuMTg1NDE2IDEwODcuNzYtNC4xNzM3NSAx&#10;MDU2LjYxIDAgMTAyNS40OCA0LjE3Mzc1IDk5NC4zNDUtMy4yNzcwOSA5NjguMDM3IDAgOTMzLjM4&#10;NiAzLjI3NzA5IDg5OC43MzUgMS4zOTEwNCA4OTguOTc1IDAgODg1Ljk0LTEuMzkxMDQgODcyLjg5&#10;OC0zLjUyNzczIDgzOC43NTEgMCA3OTMuODM4IDMuNTI3NzMgNzQ4LjkyMiAwLjk3OTcyOCA3NjYu&#10;NTUzIDAgNzQ2LjM5Mi0wLjk3OTcyOCA3MjYuMjMxIDEuOTY4NjkgNjk4LjM3MyAwIDY2NS40NTYt&#10;MS45Njg2OSA2MzIuNTM5IDEuMjIxNjcgNjEzLjU1MyAwIDU3My4zNTYtMS4yMjE2NyA1MzMuMTYt&#10;MC44MzU2MzQgNTUyLjIzMyAwIDUzNy4wNzQgMC44MzU2MzQgNTIxLjkxNiAzLjQ3MDk5IDQ4MC44&#10;ODMgMCA0NDQuOTc0LTMuNDcwOTkgNDA5LjA2NiAzLjA1NjU0IDM4My45MTcgMCAzNTIuODc1LTMu&#10;MDU2NTQgMzIxLjgzMy0wLjkyNjEzOCAzMjcuMDcxIDAgMzE2LjU5MyAwLjkyNjEzOCAzMDYuMTE1&#10;LTEuNzYzNzYgMjYzLjUzMyAwIDI0Ni44MiAxLjc2Mzc2IDIzMC4xMDgtMS45MDc2NSAyMTAuODkx&#10;IDAgMTg4LjIxMiAxLjkwNzY1IDE2NS41MzItMC44NTcwMjcgMTQ2LjY0MyAwIDEyOS42MDIgMC44&#10;NTcwMjcgMTEyLjU2MSAwLjU3MDgyNiA4NC40MjQxIDAgNzAuOTkzMy0wLjU3MDgyNiA1Ny41NjIy&#10;LTEuNzQzMSAyMy4yNjY2IDAgMS4yMjA2WiIgc3Ryb2tlPSIjMzY0MjRBIiBzdHJva2Utd2lkdGg9&#10;IjEuMzMxOTEiIHN0cm9rZS1taXRlcmxpbWl0PSI4IiBmaWxsPSJub25lIiBmaWxsLXJ1bGU9ImV2&#10;ZW5vZGQiIHRyYW5zZm9ybT0ibWF0cml4KDEuODM2OTdlLTE2IDEuMDAwODEgMSAtMS44Mzg0N2Ut&#10;MTYgMS41OTgyOSAxMDAuMTc2KSIvPjx0ZXh0IGZpbGw9IiNGRkZGRkYiIGZvbnQtZmFtaWx5PSJD&#10;YWxpYnJpLENhbGlicmlfTVNGb250U2VydmljZSxBcmlhbCIgZm9udC13ZWlnaHQ9IjQwMCIgZm9u&#10;dC1zaXplPSIxNyIgdHJhbnNmb3JtPSJtYXRyaXgoMC43OTkxNDUgMCAwIDAuNzk5Nzk2IDE1LjMw&#10;MzQgMTQxKSI+R2F0aGVyaW5nPC90ZXh0Pjx0ZXh0IGZpbGw9IiNGRkZGRkYiIGZvbnQtZmFtaWx5&#10;PSJDYWxpYnJpLENhbGlicmlfTVNGb250U2VydmljZSxBcmlhbCIgZm9udC13ZWlnaHQ9IjQwMCIg&#10;Zm9udC1zaXplPSIxNyIgdHJhbnNmb3JtPSJtYXRyaXgoMC43OTkxNDUgMCAwIDAuNzk5Nzk2IDcw&#10;LjQ0NDQgMTQxKSI+LCA8L3RleHQ+PHRleHQgZmlsbD0iI0ZGRkZGRiIgZm9udC1mYW1pbHk9IkNh&#10;bGlicmksQ2FsaWJyaV9NU0ZvbnRTZXJ2aWNlLEFyaWFsIiBmb250LXdlaWdodD0iNDAwIiBmb250&#10;LXNpemU9IjE3IiB0cmFuc2Zvcm09Im1hdHJpeCgwLjc5OTE0NSAwIDAgMC43OTk3OTYgNzYuODM3&#10;NiAxNDEpIj5jb2RpbmcgYW5kIHJldmlld2luZyBkb2N1bWVudHMgPC90ZXh0Pjx0ZXh0IGZpbGw9&#10;IiNGRkZGRkYiIGZvbnQtZmFtaWx5PSJDYWxpYnJpLENhbGlicmlfTVNGb250U2VydmljZSxBcmlh&#10;bCIgZm9udC13ZWlnaHQ9IjQwMCIgZm9udC1zaXplPSIxNyIgdHJhbnNmb3JtPSJtYXRyaXgoMC43&#10;OTkxNDUgMCAwIDAuNzk5Nzk2IDI2My4wMzggMTQxKSI+KDwvdGV4dD48dGV4dCBmaWxsPSIjRkZG&#10;RkZGIiBmb250LWZhbWlseT0iQ2FsaWJyaSxDYWxpYnJpX01TRm9udFNlcnZpY2UsQXJpYWwiIGZv&#10;bnQtd2VpZ2h0PSI0MDAiIGZvbnQtc2l6ZT0iMTciIHRyYW5zZm9ybT0ibWF0cml4KDAuNzk5MTQ1&#10;IDAgMCAwLjc5OTc5NiAyNjcuMDM0IDE0MSkiPmluY2x1ZGluZyA8L3RleHQ+PHRleHQgZmlsbD0i&#10;I0ZGRkZGRiIgZm9udC1mYW1pbHk9IkNhbGlicmksQ2FsaWJyaV9NU0ZvbnRTZXJ2aWNlLEFyaWFs&#10;IiBmb250LXdlaWdodD0iNDAwIiBmb250LXNpemU9IjE3IiB0cmFuc2Zvcm09Im1hdHJpeCgwLjc5&#10;OTE0NSAwIDAgMC43OTk3OTYgMTUuMzAzNCAxNTcpIj5wb2xpY3kgcGFwZXJzPC90ZXh0Pjx0ZXh0&#10;IGZpbGw9IiNGRkZGRkYiIGZvbnQtZmFtaWx5PSJDYWxpYnJpLENhbGlicmlfTVNGb250U2Vydmlj&#10;ZSxBcmlhbCIgZm9udC13ZWlnaHQ9IjQwMCIgZm9udC1zaXplPSIxNyIgdHJhbnNmb3JtPSJtYXRy&#10;aXgoMC43OTkxNDUgMCAwIDAuNzk5Nzk2IDg4LjgyNDggMTU3KSI+LCA8L3RleHQ+PHRleHQgZmls&#10;bD0iI0ZGRkZGRiIgZm9udC1mYW1pbHk9IkNhbGlicmksQ2FsaWJyaV9NU0ZvbnRTZXJ2aWNlLEFy&#10;aWFsIiBmb250LXdlaWdodD0iNDAwIiBmb250LXNpemU9IjE3IiB0cmFuc2Zvcm09Im1hdHJpeCgw&#10;Ljc5OTE0NSAwIDAgMC43OTk3OTYgOTUuMjE3OSAxNTcpIj5zdHJhdGVnaWVzPC90ZXh0Pjx0ZXh0&#10;IGZpbGw9IiNGRkZGRkYiIGZvbnQtZmFtaWx5PSJDYWxpYnJpLENhbGlicmlfTVNGb250U2Vydmlj&#10;ZSxBcmlhbCIgZm9udC13ZWlnaHQ9IjQwMCIgZm9udC1zaXplPSIxNyIgdHJhbnNmb3JtPSJtYXRy&#10;aXgoMC43OTkxNDUgMCAwIDAuNzk5Nzk2IDE0OS41NiAxNTcpIj4sIDwvdGV4dD48dGV4dCBmaWxs&#10;PSIjRkZGRkZGIiBmb250LWZhbWlseT0iQ2FsaWJyaSxDYWxpYnJpX01TRm9udFNlcnZpY2UsQXJp&#10;YWwiIGZvbnQtd2VpZ2h0PSI0MDAiIGZvbnQtc2l6ZT0iMTciIHRyYW5zZm9ybT0ibWF0cml4KDAu&#10;Nzk5MTQ1IDAgMCAwLjc5OTc5NiAxNTUuOTUzIDE1NykiPnBsYW5zPC90ZXh0Pjx0ZXh0IGZpbGw9&#10;IiNGRkZGRkYiIGZvbnQtZmFtaWx5PSJDYWxpYnJpLENhbGlicmlfTVNGb250U2VydmljZSxBcmlh&#10;bCIgZm9udC13ZWlnaHQ9IjQwMCIgZm9udC1zaXplPSIxNyIgdHJhbnNmb3JtPSJtYXRyaXgoMC43&#10;OTkxNDUgMCAwIDAuNzk5Nzk2IDE4NS41MjEgMTU3KSI+LCA8L3RleHQ+PHRleHQgZmlsbD0iI0ZG&#10;RkZGRiIgZm9udC1mYW1pbHk9IkNhbGlicmksQ2FsaWJyaV9NU0ZvbnRTZXJ2aWNlLEFyaWFsIiBm&#10;b250LXdlaWdodD0iNDAwIiBmb250LXNpemU9IjE3IiB0cmFuc2Zvcm09Im1hdHJpeCgwLjc5OTE0&#10;NSAwIDAgMC43OTk3OTYgMTkxLjkxNSAxNTcpIj5yZXBvcnRzPC90ZXh0Pjx0ZXh0IGZpbGw9IiNG&#10;RkZGRkYiIGZvbnQtZmFtaWx5PSJDYWxpYnJpLENhbGlicmlfTVNGb250U2VydmljZSxBcmlhbCIg&#10;Zm9udC13ZWlnaHQ9IjQwMCIgZm9udC1zaXplPSIxNyIgdHJhbnNmb3JtPSJtYXRyaXgoMC43OTkx&#10;NDUgMCAwIDAuNzk5Nzk2IDIzMi42NzEgMTU3KSI+LCA8L3RleHQ+PHRleHQgZmlsbD0iI0ZGRkZG&#10;RiIgZm9udC1mYW1pbHk9IkNhbGlicmksQ2FsaWJyaV9NU0ZvbnRTZXJ2aWNlLEFyaWFsIiBmb250&#10;LXdlaWdodD0iNDAwIiBmb250LXNpemU9IjE3IiB0cmFuc2Zvcm09Im1hdHJpeCgwLjc5OTE0NSAw&#10;IDAgMC43OTk3OTYgMjM5LjA2NCAxNTcpIj5qb3VybmFsIGFydGljbGVzPC90ZXh0Pjx0ZXh0IGZp&#10;bGw9IiNGRkZGRkYiIGZvbnQtZmFtaWx5PSJDYWxpYnJpLENhbGlicmlfTVNGb250U2VydmljZSxB&#10;cmlhbCIgZm9udC13ZWlnaHQ9IjQwMCIgZm9udC1zaXplPSIxNyIgdHJhbnNmb3JtPSJtYXRyaXgo&#10;MC43OTkxNDUgMCAwIDAuNzk5Nzk2IDMyMC41NzcgMTU3KSI+LCA8L3RleHQ+PHRleHQgZmlsbD0i&#10;I0ZGRkZGRiIgZm9udC1mYW1pbHk9IkNhbGlicmksQ2FsaWJyaV9NU0ZvbnRTZXJ2aWNlLEFyaWFs&#10;IiBmb250LXdlaWdodD0iNDAwIiBmb250LXNpemU9IjE3IiB0cmFuc2Zvcm09Im1hdHJpeCgwLjc5&#10;OTE0NSAwIDAgMC43OTk3OTYgMTUuMzAzNCAxNzMpIj5ib29rIGNoYXB0ZXJzIGFuZCB3ZWIgY29u&#10;dGVudDwvdGV4dD48dGV4dCBmaWxsPSIjRkZGRkZGIiBmb250LWZhbWlseT0iQ2FsaWJyaSxDYWxp&#10;YnJpX01TRm9udFNlcnZpY2UsQXJpYWwiIGZvbnQtd2VpZ2h0PSI0MDAiIGZvbnQtc2l6ZT0iMTci&#10;IHRyYW5zZm9ybT0ibWF0cml4KDAuNzk5MTQ1IDAgMCAwLjc5OTc5NiAxOTEuMTE1IDE3MykiPik8&#10;L3RleHQ+PHRleHQgZmlsbD0iI0ZGRkZGRiIgZm9udC1mYW1pbHk9IkNhbGlicmksQ2FsaWJyaV9N&#10;U0ZvbnRTZXJ2aWNlLEFyaWFsIiBmb250LXdlaWdodD0iNDAwIiBmb250LXNpemU9IjE3IiB0cmFu&#10;c2Zvcm09Im1hdHJpeCgwLjc5OTE0NSAwIDAgMC43OTk3OTYgMTk1LjExMSAxNzMpIj4sIDwvdGV4&#10;dD48dGV4dCBmaWxsPSIjRkZGRkZGIiBmb250LWZhbWlseT0iQ2FsaWJyaSxDYWxpYnJpX01TRm9u&#10;dFNlcnZpY2UsQXJpYWwiIGZvbnQtd2VpZ2h0PSI0MDAiIGZvbnQtc2l6ZT0iMTciIHRyYW5zZm9y&#10;bT0ibWF0cml4KDAuNzk5MTQ1IDAgMCAwLjc5OTc5NiAyMDEuNTA0IDE3MykiPnRvPC90ZXh0Pjx0&#10;ZXh0IGZpbGw9IiNGRkZGRkYiIGZvbnQtZmFtaWx5PSJDYWxpYnJpLENhbGlicmlfTVNGb250U2Vy&#10;dmljZSxBcmlhbCIgZm9udC13ZWlnaHQ9IjQwMCIgZm9udC1zaXplPSIxNyIgdHJhbnNmb3JtPSJt&#10;YXRyaXgoMC43OTkxNDUgMCAwIDAuNzk5Nzk2IDIxMy40OTEgMTczKSI+Li4uIDwvdGV4dD48ZyBj&#10;bGlwLXBhdGg9InVybCgjY2xpcDIwNSkiPjxnIGNsaXAtcGF0aD0idXJsKCNjbGlwMjA2KSI+PGcg&#10;Y2xpcC1wYXRoPSJ1cmwoI2NsaXAyMDcpIj48ZyBjbGlwLXBhdGg9InVybCgjY2xpcDIwOCkiIHRy&#10;YW5zZm9ybT0ibWF0cml4KDAuMzAzNjc2IDAgMCAwLjM2NzkwOCA0MDguMzYzIDE1Ni4xNjEpIj48&#10;ZyBjbGlwLXBhdGg9InVybCgjY2xpcDIxMCkiPjx1c2Ugd2lkdGg9IjEwMCUiIGhlaWdodD0iMTAw&#10;JSIgeGxpbms6aHJlZj0iI2ltZzIwOSIgdHJhbnNmb3JtPSJ0cmFuc2xhdGUoMS40ODA5NWUtMDUg&#10;My41OTg4M2UtMDUpIj48L3VzZT48L2c+PC9nPjwvZz48L2c+PC9nPjxnIGNsaXAtcGF0aD0idXJs&#10;KCNjbGlwMjExKSI+PGcgY2xpcC1wYXRoPSJ1cmwoI2NsaXAyMTIpIj48ZyBjbGlwLXBhdGg9InVy&#10;bCgjY2xpcDIxMykiPjxnIGNsaXAtcGF0aD0idXJsKCNjbGlwMjE0KSIgdHJhbnNmb3JtPSJtYXRy&#10;aXgoMC4yODc2OTMgMCAwIDAuMzgzOTAyIDU5Ni45NjIgMTU1LjM2MikiPjxnIGNsaXAtcGF0aD0i&#10;dXJsKCNjbGlwMjE1KSI+PHVzZSB3aWR0aD0iMTAwJSIgaGVpZ2h0PSIxMDAlIiB4bGluazpocmVm&#10;PSIjaW1nMjA5IiB0cmFuc2Zvcm09InRyYW5zbGF0ZSgtMC4wMDAxMDI4MDEgLTcuODM3MzZlLTA2&#10;KSI+PC91c2U+PC9nPjwvZz48L2c+PC9nPjwvZz48dGV4dCBmaWxsPSIjRkZGRkZGIiBmb250LWZh&#10;bWlseT0iQ2FsaWJyaSxDYWxpYnJpX01TRm9udFNlcnZpY2UsQXJpYWwiIGZvbnQtd2VpZ2h0PSI0&#10;MDAiIGZvbnQtc2l6ZT0iMTciIHRyYW5zZm9ybT0ibWF0cml4KDAuNzk5MTQ1IDAgMCAwLjc5OTc5&#10;NiA2NDMuMTU5IDEzOSkiPuKApjwvdGV4dD48dGV4dCBmaWxsPSIjRkZGRkZGIiBmb250LWZhbWls&#10;eT0iQ2FsaWJyaSxDYWxpYnJpX01TRm9udFNlcnZpY2UsQXJpYWwiIGZvbnQtd2VpZ2h0PSI0MDAi&#10;IGZvbnQtc2l6ZT0iMTciIHRyYW5zZm9ybT0ibWF0cml4KDAuNzk5MTQ1IDAgMCAwLjc5OTc5NiA2&#10;NTIuNzQ4IDEzOSkiPmlkZW50aWZ5IHJlbGV2YW50IHRoZW9yaWVzPC90ZXh0Pjx0ZXh0IGZpbGw9&#10;IiNGRkZGRkYiIGZvbnQtZmFtaWx5PSJDYWxpYnJpLENhbGlicmlfTVNGb250U2VydmljZSxBcmlh&#10;bCIgZm9udC13ZWlnaHQ9IjQwMCIgZm9udC1zaXplPSIxNyIgdHJhbnNmb3JtPSJtYXRyaXgoMC43&#10;OTkxNDUgMCAwIDAuNzk5Nzk2IDc5MS44IDEzOSkiPiw8L3RleHQ+PHRleHQgZmlsbD0iI0ZGRkZG&#10;RiIgZm9udC1mYW1pbHk9IkNhbGlicmksQ2FsaWJyaV9NU0ZvbnRTZXJ2aWNlLEFyaWFsIiBmb250&#10;LXdlaWdodD0iNDAwIiBmb250LXNpemU9IjE3IiB0cmFuc2Zvcm09Im1hdHJpeCgwLjc5OTE0NSAw&#10;IDAgMC43OTk3OTYgNjQzLjE1OSAxNTQpIj5tZXRob2RzPC90ZXh0Pjx0ZXh0IGZpbGw9IiNGRkZG&#10;RkYiIGZvbnQtZmFtaWx5PSJDYWxpYnJpLENhbGlicmlfTVNGb250U2VydmljZSxBcmlhbCIgZm9u&#10;dC13ZWlnaHQ9IjQwMCIgZm9udC1zaXplPSIxNyIgdHJhbnNmb3JtPSJtYXRyaXgoMC43OTkxNDUg&#10;MCAwIDAuNzk5Nzk2IDY5Mi43MDYgMTU0KSI+LCA8L3RleHQ+PHRleHQgZmlsbD0iI0ZGRkZGRiIg&#10;Zm9udC1mYW1pbHk9IkNhbGlicmksQ2FsaWJyaV9NU0ZvbnRTZXJ2aWNlLEFyaWFsIiBmb250LXdl&#10;aWdodD0iNDAwIiBmb250LXNpemU9IjE3IiB0cmFuc2Zvcm09Im1hdHJpeCgwLjc5OTE0NSAwIDAg&#10;MC43OTk3OTYgNjk5LjA5OSAxNTQpIj5hbmQgZXhpc3RpbmcgcmVzZWFyY2ggdG8gPC90ZXh0Pjx0&#10;ZXh0IGZpbGw9IiNGRkZGRkYiIGZvbnQtZmFtaWx5PSJDYWxpYnJpLENhbGlicmlfTVNGb250U2Vy&#10;dmljZSxBcmlhbCIgZm9udC13ZWlnaHQ9IjQwMCIgZm9udC1zaXplPSIxNyIgdHJhbnNmb3JtPSJt&#10;YXRyaXgoMC43OTkxNDUgMCAwIDAuNzk5Nzk2IDY0My4xNTkgMTY4KSI+YXBwbHkgb3IgZXhwbG9y&#10;ZSBmdXJ0aGVyPC90ZXh0PjxnIGNsaXAtcGF0aD0idXJsKCNjbGlwMjE2KSI+PGcgY2xpcC1wYXRo&#10;PSJ1cmwoI2NsaXAyMTcpIj48ZyBjbGlwLXBhdGg9InVybCgjY2xpcDIxOCkiPjxnIGNsaXAtcGF0&#10;aD0idXJsKCNjbGlwMjE5KSIgdHJhbnNmb3JtPSJtYXRyaXgoMC4zMDM2NzYgMCAwIDAuMzgzOTA0&#10;IDgwMy45NCAxNTYuMTYxKSI+PGcgY2xpcC1wYXRoPSJ1cmwoI2NsaXAyMjApIj48dXNlIHdpZHRo&#10;PSIxMDAlIiBoZWlnaHQ9IjEwMCUiIHhsaW5rOmhyZWY9IiNpbWcyMDkiIHRyYW5zZm9ybT0idHJh&#10;bnNsYXRlKC05LjMyNzY1ZS0wNSAxLjI0OTUzZS0wNSkiPjwvdXNlPjwvZz48L2c+PC9nPjwvZz48&#10;L2c+PHRleHQgZmlsbD0iI0ZGRkZGRiIgZm9udC1mYW1pbHk9IkNhbGlicmksQ2FsaWJyaV9NU0Zv&#10;bnRTZXJ2aWNlLEFyaWFsIiBmb250LXdlaWdodD0iNDAwIiBmb250LXNpemU9IjE3IiB0cmFuc2Zv&#10;cm09Im1hdHJpeCgwLjc5OTE0NSAwIDAgMC43OTk3OTYgODcwLjk3MiAxMzkpIj7igKY8L3RleHQ+&#10;PHRleHQgZmlsbD0iI0ZGRkZGRiIgZm9udC1mYW1pbHk9IkNhbGlicmksQ2FsaWJyaV9NU0ZvbnRT&#10;ZXJ2aWNlLEFyaWFsIiBmb250LXdlaWdodD0iNDAwIiBmb250LXNpemU9IjE3IiB0cmFuc2Zvcm09&#10;Im1hdHJpeCgwLjc5OTE0NSAwIDAgMC43OTk3OTYgODgwLjU2MiAxMzkpIj5hbmFseXNlPC90ZXh0&#10;Pjx0ZXh0IGZpbGw9IiNGRkZGRkYiIGZvbnQtZmFtaWx5PSJDYWxpYnJpLENhbGlicmlfTVNGb250&#10;U2VydmljZSxBcmlhbCIgZm9udC13ZWlnaHQ9IjQwMCIgZm9udC1zaXplPSIxNyIgdHJhbnNmb3Jt&#10;PSJtYXRyaXgoMC43OTkxNDUgMCAwIDAuNzk5Nzk2IDkyMi4xMTggMTM5KSI+LCA8L3RleHQ+PHRl&#10;eHQgZmlsbD0iI0ZGRkZGRiIgZm9udC1mYW1pbHk9IkNhbGlicmksQ2FsaWJyaV9NU0ZvbnRTZXJ2&#10;aWNlLEFyaWFsIiBmb250LXdlaWdodD0iNDAwIiBmb250LXNpemU9IjE3IiB0cmFuc2Zvcm09Im1h&#10;dHJpeCgwLjc5OTE0NSAwIDAgMC43OTk3OTYgOTI4LjUxMSAxMzkpIj5zeW50aGVzaXplPC90ZXh0&#10;Pjx0ZXh0IGZpbGw9IiNGRkZGRkYiIGZvbnQtZmFtaWx5PSJDYWxpYnJpLENhbGlicmlfTVNGb250&#10;U2VydmljZSxBcmlhbCIgZm9udC13ZWlnaHQ9IjQwMCIgZm9udC1zaXplPSIxNyIgdHJhbnNmb3Jt&#10;PSJtYXRyaXgoMC43OTkxNDUgMCAwIDAuNzk5Nzk2IDk4Ni44NDkgMTM5KSI+LCA8L3RleHQ+PHRl&#10;eHQgZmlsbD0iI0ZGRkZGRiIgZm9udC1mYW1pbHk9IkNhbGlicmksQ2FsaWJyaV9NU0ZvbnRTZXJ2&#10;aWNlLEFyaWFsIiBmb250LXdlaWdodD0iNDAwIiBmb250LXNpemU9IjE3IiB0cmFuc2Zvcm09Im1h&#10;dHJpeCgwLjc5OTE0NSAwIDAgMC43OTk3OTYgOTkzLjI0MiAxMzkpIj5hbmQgY3JpdGljYWxseSA8&#10;L3RleHQ+PHRleHQgZmlsbD0iI0ZGRkZGRiIgZm9udC1mYW1pbHk9IkNhbGlicmksQ2FsaWJyaV9N&#10;U0ZvbnRTZXJ2aWNlLEFyaWFsIiBmb250LXdlaWdodD0iNDAwIiBmb250LXNpemU9IjE3IiB0cmFu&#10;c2Zvcm09Im1hdHJpeCgwLjc5OTE0NSAwIDAgMC43OTk3OTYgODcwLjk3MiAxNTQpIj5ldmFsdWF0&#10;ZSBob3cgZmluZGluZ3MgY29udHJpYnV0ZSB0bzwvdGV4dD48dGV4dCBmaWxsPSIjRkZGRkZGIiBm&#10;b250LWZhbWlseT0iQ2FsaWJyaSxDYWxpYnJpX01TRm9udFNlcnZpY2UsQXJpYWwiIGZvbnQtd2Vp&#10;Z2h0PSI0MDAiIGZvbnQtc2l6ZT0iMTciIHRyYW5zZm9ybT0ibWF0cml4KDAuNzk5MTQ1IDAgMCAw&#10;Ljc5OTc5NiA4NzAuOTcyIDE2OCkiPnRoZSBzdGF0ZSBvZiBrbm93bGVkZ2Ugb24gdGhlIHN1Ympl&#10;Y3Q8L3RleHQ+PGcgY2xpcC1wYXRoPSJ1cmwoI2NsaXAyMjEpIj48ZyBjbGlwLXBhdGg9InVybCgj&#10;Y2xpcDIyMikiPjxnIGNsaXAtcGF0aD0idXJsKCNjbGlwMjIzKSI+PGcgY2xpcC1wYXRoPSJ1cmwo&#10;I2NsaXAyMjQpIiB0cmFuc2Zvcm09Im1hdHJpeCgwLjI4NzY5MyAwIDAgMC4zNjc5MDggMTA4NC40&#10;NCAxNTIuMTYyKSI+PGcgY2xpcC1wYXRoPSJ1cmwoI2NsaXAyMjUpIj48dXNlIHdpZHRoPSIxMDAl&#10;IiBoZWlnaHQ9IjEwMCUiIHhsaW5rOmhyZWY9IiNpbWcyMDkiIHRyYW5zZm9ybT0idHJhbnNsYXRl&#10;KC0wLjAwMDE0MzMwMyAyLjE1NTczZS0wNSkiPjwvdXNlPjwvZz48L2c+PC9nPjwvZz48L2c+PHRl&#10;eHQgZmlsbD0iI0ZGRkZGRiIgZm9udC1mYW1pbHk9IkNhbGlicmksQ2FsaWJyaV9NU0ZvbnRTZXJ2&#10;aWNlLEFyaWFsIiBmb250LXdlaWdodD0iNzAwIiBmb250LXNpemU9IjE4IiB0cmFuc2Zvcm09Im1h&#10;dHJpeCgwLjc5OTE0NSAwIDAgMC43OTk3OTYgNDI3LjA1OSAxMTkpIj5MSVRFUkFUVVJFIEFORCBE&#10;T0NVTUVOVFMgUkVWSUVXPC90ZXh0Pjx0ZXh0IGZvbnQtZmFtaWx5PSJDYWxpYnJpLENhbGlicmlf&#10;TVNGb250U2VydmljZSxBcmlhbCIgZm9udC13ZWlnaHQ9IjcwMCIgZm9udC1zaXplPSIxNyIgdHJh&#10;bnNmb3JtPSJtYXRyaXgoMC43OTkxNDUgMCAwIDAuNzk5Nzk2IDkwNy41MDEgNTk2KSI+UFJJTUFS&#10;WSBEQVRBIFNFVFM8L3RleHQ+PHRleHQgZm9udC1mYW1pbHk9IkNhbGlicmksQ2FsaWJyaV9NU0Zv&#10;bnRTZXJ2aWNlLEFyaWFsIiBmb250LXdlaWdodD0iNzAwIiBmb250LXNpemU9IjE3IiB0cmFuc2Zv&#10;cm09Im1hdHJpeCgwLjc5OTE0NSAwIDAgMC43OTk3OTYgMTAyMy4zOCA1OTYpIj46PC90ZXh0Pjx0&#10;ZXh0IGZvbnQtZmFtaWx5PSJDYWxpYnJpLENhbGlicmlfTVNGb250U2VydmljZSxBcmlhbCIgZm9u&#10;dC13ZWlnaHQ9IjcwMCIgZm9udC1zaXplPSIxNyIgdHJhbnNmb3JtPSJtYXRyaXgoMC43OTkxNDUg&#10;MCAwIDAuNzk5Nzk2IDg1LjM2MTUgMjEwKSI+TWV0aG9kczwvdGV4dD48cGF0aCBkPSJNMTU3Ljgz&#10;MSAyMDMuMzgyIDIxNS41MiAyMDMuMzgyIiBzdHJva2U9IiMwMDAwMDAiIHN0cm9rZS13aWR0aD0i&#10;MS45OTc4NiIgc3Ryb2tlLW1pdGVybGltaXQ9IjgiIGZpbGw9Im5vbmUiIGZpbGwtcnVsZT0iZXZl&#10;bm9kZCIgdHJhbnNmb3JtPSJtYXRyaXgoMSAwIDAgMS4wMDA4MSAtMC43OTkxNDUgMS44MDA4Miki&#10;Lz48cGF0aCBkPSJNMTcuMTgxNiAyMDMuMzgyIDc2LjA0NDUgMjAzLjM4MiIgc3Ryb2tlPSIjMDAw&#10;MDAwIiBzdHJva2Utd2lkdGg9IjEuOTk3ODYiIHN0cm9rZS1taXRlcmxpbWl0PSI4IiBmaWxsPSJu&#10;b25lIiBmaWxsLXJ1bGU9ImV2ZW5vZGQiIHRyYW5zZm9ybT0ibWF0cml4KDEgMCAwIDEuMDAwODEg&#10;LTAuNzk5MTQ1IDEuODAwODIpIi8+PHRleHQgZmlsbD0iIzlENTMzRCIgZm9udC1mYW1pbHk9IkNh&#10;bGlicmksQ2FsaWJyaV9NU0ZvbnRTZXJ2aWNlLEFyaWFsIiBmb250LXdlaWdodD0iNzAwIiBmb250&#10;LXNpemU9IjE3IiB0cmFuc2Zvcm09Im1hdHJpeCgwLjc5OTE0NSAwIDAgMC43OTk3OTYgNzU0LjQw&#10;NiAyMTApIj5NZXRob2RzPC90ZXh0PjxwYXRoIGQ9Ik04MjAuMzIzIDIwMy4zODIgODg0LjY3OCAy&#10;MDMuMzgyIiBzdHJva2U9IiM5RDUzM0QiIHN0cm9rZS13aWR0aD0iMS45OTc4NiIgc3Ryb2tlLW1p&#10;dGVybGltaXQ9IjgiIGZpbGw9Im5vbmUiIGZpbGwtcnVsZT0iZXZlbm9kZCIgdHJhbnNmb3JtPSJt&#10;YXRyaXgoMSAwIDAgMS4wMDA4MSAtMC43OTkxNDUgMS44MDA4MikiLz48cGF0aCBkPSJNNjgwLjQ3&#10;MiAyMDMuMzgyIDc0Ny42NCAyMDMuMzgyIiBzdHJva2U9IiM5RDUzM0QiIHN0cm9rZS13aWR0aD0i&#10;MS45OTc4NiIgc3Ryb2tlLW1pdGVybGltaXQ9IjgiIGZpbGw9Im5vbmUiIGZpbGwtcnVsZT0iZXZl&#10;bm9kZCIgdHJhbnNmb3JtPSJtYXRyaXgoMSAwIDAgMS4wMDA4MSAtMC43OTkxNDUgMS44MDA4Miki&#10;Lz48dGV4dCBmaWxsPSIjOUQ1MzNEIiBmb250LWZhbWlseT0iQ2FsaWJyaSxDYWxpYnJpX01TRm9u&#10;dFNlcnZpY2UsQXJpYWwiIGZvbnQtd2VpZ2h0PSI3MDAiIGZvbnQtc2l6ZT0iMTciIHRyYW5zZm9y&#10;bT0ibWF0cml4KDAuNzk5MTQ1IDAgMCAwLjc5OTc5NiA5NzcuMzcxIDIxMCkiPk1ldGhvZHM8L3Rl&#10;eHQ+PHBhdGggZD0iTTEwNDEuNjkgMjAzLjM4MiAxMTA3LjkxIDIwMy4zODIiIHN0cm9rZT0iIzlE&#10;NTMzRCIgc3Ryb2tlLXdpZHRoPSIxLjk5Nzg2IiBzdHJva2UtbWl0ZXJsaW1pdD0iOCIgZmlsbD0i&#10;bm9uZSIgZmlsbC1ydWxlPSJldmVub2RkIiB0cmFuc2Zvcm09Im1hdHJpeCgxIDAgMCAxLjAwMDgx&#10;IC0wLjc5OTE0NSAxLjgwMDgyKSIvPjxwYXRoIGQ9Ik05MDYuNjMgMjAzLjM4MiA5NzEuNzY5IDIw&#10;My4zODIiIHN0cm9rZT0iIzlENTMzRCIgc3Ryb2tlLXdpZHRoPSIxLjk5Nzg2IiBzdHJva2UtbWl0&#10;ZXJsaW1pdD0iOCIgZmlsbD0ibm9uZSIgZmlsbC1ydWxlPSJldmVub2RkIiB0cmFuc2Zvcm09Im1h&#10;dHJpeCgxIDAgMCAxLjAwMDgxIC0wLjc5OTE0NSAxLjgwMDgyKSIvPjx0ZXh0IGZvbnQtZmFtaWx5&#10;PSJDYWxpYnJpLENhbGlicmlfTVNGb250U2VydmljZSxBcmlhbCIgZm9udC13ZWlnaHQ9IjcwMCIg&#10;Zm9udC1zaXplPSIxNyIgdHJhbnNmb3JtPSJtYXRyaXgoMC43OTkxNDUgMCAwIDAuNzk5Nzk2IDg4&#10;LjA2MSA0MzApIj5BbmFseXNpczwvdGV4dD48cGF0aCBkPSJNMTUyLjIzNyA0MjMuMTQ3IDIwOS45&#10;MjYgNDIzLjE0NyIgc3Ryb2tlPSIjMDAwMDAwIiBzdHJva2Utd2lkdGg9IjEuOTk3ODYiIHN0cm9r&#10;ZS1taXRlcmxpbWl0PSI4IiBmaWxsPSJub25lIiBmaWxsLXJ1bGU9ImV2ZW5vZGQiIHRyYW5zZm9y&#10;bT0ibWF0cml4KDEgMCAwIDEuMDAwODEgLTAuNzk5MTQ1IDEuODAwODIpIi8+PHBhdGggZD0iTTE1&#10;LjU4MzMgNDIzLjE0NyA3OC4yMjUzIDQyMy4xNDciIHN0cm9rZT0iIzAwMDAwMCIgc3Ryb2tlLXdp&#10;ZHRoPSIxLjk5Nzg2IiBzdHJva2UtbWl0ZXJsaW1pdD0iOCIgZmlsbD0ibm9uZSIgZmlsbC1ydWxl&#10;PSJldmVub2RkIiB0cmFuc2Zvcm09Im1hdHJpeCgxIDAgMCAxLjAwMDgxIC0wLjc5OTE0NSAxLjgw&#10;MDgyKSIvPjxwYXRoIGQ9Ik02NDIuOTEyIDQ1NS45MTIgNjY2LjIyMSA0NTUuOTEyIiBzdHJva2U9&#10;IiNFNkVBN0YiIHN0cm9rZS13aWR0aD0iMS45OTc4NiIgc3Ryb2tlLW1pdGVybGltaXQ9IjgiIGZp&#10;bGw9Im5vbmUiIGZpbGwtcnVsZT0iZXZlbm9kZCIgdHJhbnNmb3JtPSJtYXRyaXgoMSAwIDAgMS4w&#10;MDA4MSAtMC43OTkxNDUgMS44MDA4MikiLz48cGF0aCBkPSJNNDU4LjMxIDQ1NS45MTIgNDgxLjI4&#10;IDQ1NS45MTIiIHN0cm9rZT0iI0U2RUE3RiIgc3Ryb2tlLXdpZHRoPSIxLjk5Nzg2IiBzdHJva2Ut&#10;bWl0ZXJsaW1pdD0iOCIgZmlsbD0ibm9uZSIgZmlsbC1ydWxlPSJldmVub2RkIiB0cmFuc2Zvcm09&#10;Im1hdHJpeCgxIDAgMCAxLjAwMDgxIC0wLjc5OTE0NSAxLjgwMDgyKSIvPjx0ZXh0IGZpbGw9IiM5&#10;RDUzM0QiIGZvbnQtZmFtaWx5PSJDYWxpYnJpLENhbGlicmlfTVNGb250U2VydmljZSxBcmlhbCIg&#10;Zm9udC13ZWlnaHQ9IjcwMCIgZm9udC1zaXplPSIxNyIgdHJhbnNmb3JtPSJtYXRyaXgoMC43OTkx&#10;NDUgMCAwIDAuNzk5Nzk2IDc1MS42NTcgMzUxKSI+QW5hbHlzaXM8L3RleHQ+PHBhdGggZD0iTTgx&#10;Ny45MjUgMzQ0LjgzMSA4ODUuNDQ1IDM0NC44MzEiIHN0cm9rZT0iIzlENTMzRCIgc3Ryb2tlLXdp&#10;ZHRoPSIxLjk5Nzg2IiBzdHJva2UtbWl0ZXJsaW1pdD0iOCIgZmlsbD0ibm9uZSIgZmlsbC1ydWxl&#10;PSJldmVub2RkIiB0cmFuc2Zvcm09Im1hdHJpeCgxIDAgMCAxLjAwMDgxIC0wLjc5OTE0NSAxLjgw&#10;MDgyKSIvPjxwYXRoIGQ9Ik02ODMuNjY5IDM0NC44MzEgNzQyLjg0MiAzNDQuODMxIiBzdHJva2U9&#10;IiM5RDUzM0QiIHN0cm9rZS13aWR0aD0iMS45OTc4NiIgc3Ryb2tlLW1pdGVybGltaXQ9IjgiIGZp&#10;bGw9Im5vbmUiIGZpbGwtcnVsZT0iZXZlbm9kZCIgdHJhbnNmb3JtPSJtYXRyaXgoMSAwIDAgMS4w&#10;MDA4MSAtMC43OTkxNDUgMS44MDA4MikiLz48dGV4dCBmaWxsPSIjOUQ1MzNEIiBmb250LWZhbWls&#10;eT0iQ2FsaWJyaSxDYWxpYnJpX01TRm9udFNlcnZpY2UsQXJpYWwiIGZvbnQtd2VpZ2h0PSI3MDAi&#10;IGZvbnQtc2l6ZT0iMTciIHRyYW5zZm9ybT0ibWF0cml4KDAuNzk5MTQ1IDAgMCAwLjc5OTc5NiA5&#10;NzguNzI5IDM4MikiPkFuYWx5c2lzIDwvdGV4dD48cGF0aCBkPSJNMTA0MS42OSAzNzUuMTk5IDEx&#10;MDQuODYgMzc1LjE5OSIgc3Ryb2tlPSIjOUQ1MzNEIiBzdHJva2Utd2lkdGg9IjEuOTk3ODYiIHN0&#10;cm9rZS1taXRlcmxpbWl0PSI4IiBmaWxsPSJub25lIiBmaWxsLXJ1bGU9ImV2ZW5vZGQiIHRyYW5z&#10;Zm9ybT0ibWF0cml4KDEgMCAwIDEuMDAwODEgLTAuNzk5MTQ1IDEuODAwODIpIi8+PHBhdGggZD0i&#10;TTkwNC4yMzMgMzc1LjE5OSA5NzMuMDc5IDM3NS4xOTkiIHN0cm9rZT0iIzlENTMzRCIgc3Ryb2tl&#10;LXdpZHRoPSIxLjk5Nzg2IiBzdHJva2UtbWl0ZXJsaW1pdD0iOCIgZmlsbD0ibm9uZSIgZmlsbC1y&#10;dWxlPSJldmVub2RkIiB0cmFuc2Zvcm09Im1hdHJpeCgxIDAgMCAxLjAwMDgxIC0wLjc5OTE0NSAx&#10;LjgwMDgyKSIvPjxwYXRoIGQ9Ik03LjU5MTg4IDUuOTkzNTlDMzQuNTA3NiA1LjQyODc5IDM4LjU2&#10;ODcgNi4yNzgyNyA2NS42OTk3IDUuOTkzNTkgOTIuODMwMyA1LjcwODkxIDg4LjA0MTggNi4zNTk5&#10;IDEwMS42NzEgNS45OTM1OSAxMTUuMzAxIDUuNjI3MjggMTQ4LjM4IDMuNjYwNTcgMTkyLjk4MyA1&#10;Ljk5MzU5IDIzNy41ODcgOC4zMjY2MSAyMzYuOTQ1IDguODMwNTYgMjUxLjA5MSA1Ljk5MzU5IDI2&#10;NS4yMzggMy4xNTY2NSAyOTAuMjI2IDcuNDE3NzIgMzA5LjIgNS45OTM1OSAzMjguMTczIDQuNTY5&#10;NDYgMzYwLjc4MyA0LjA2MjEgNDAwLjUxMiA1Ljk5MzU5IDQ0MC4yNCA3LjkyNTA4IDQyOC4xODgg&#10;Ni42MjgxNyA0NDcuNTUyIDUuOTkzNTkgNDY2LjkxNSA1LjM1OSA1MDguMTI0IDQuMDQ2IDUzOC44&#10;NjQgNS45OTM1OSA1NjkuNjA0IDcuOTQxMTggNTg1LjEzNCAxMC40Mzk0IDYzMC4xNzYgNS45OTM1&#10;OSA2NzUuMjE4IDEuNTQ3NzQgNjcyLjk5IDYuMjI3MzggNjk5LjM1MiA1Ljk5MzU5IDcyNS43MTQg&#10;NS43NTk4IDc2OCAxLjg5ODI3IDc5MC42NjQgNS45OTM1OSA4MTMuMzMgMTAuMDg4OSA4MzQuMzMy&#10;IDYuNzkwNDEgODQ4Ljc3MiA1Ljk5MzU5IDg2My4yMTMgNS4xOTY3NyA4NzkuNzk1IDUuMDI1MTkg&#10;OTA2Ljg3OCA1Ljk5MzU5IDkzMy45NjEgNi45NjE5OSA5NTUuMTM4IDcuMTMyIDk4Ny4xMjggNS45&#10;OTM1OSAxMDE5LjExIDQuODU1MTggMTAyNC45NSA2LjUwODAxIDEwNDUuMjMgNS45OTM1OSAxMDY1&#10;LjUyIDUuNDc5MTcgMTA5OC4yOCA2Ljk2MTA1IDExMTQuNDEgNS45OTM1OSAxMTE0LjgyIDE0Ljkw&#10;NDkgMTExMi44MyAyNS40MTcyIDExMTQuNDEgMzcuOTU5NCAxMDg0LjIzIDM2LjY3ODQgMTA2Ni42&#10;MSAzNy4zMDEzIDEwMzQuMTcgMzcuOTU5NCAxMDAxLjcxIDM4LjYxNzUgMTAxNC42MSAzNy4wMDcz&#10;IDk5OC4xOTYgMzcuOTU5NCA5ODEuNzc0IDM4LjkxMTUgOTczLjk2NiAzNi44NjMxIDk1MS4xNTEg&#10;MzcuOTU5NCA5MjguMzQzIDM5LjA1NTcgODkxLjk4MiA0MS4wOTQ4IDg1OS44NCAzNy45NTk0IDgy&#10;Ny42OTkgMzQuODI0IDgwNy4yNTcgNDAuMDQ4MiA3OTAuNjY0IDM3Ljk1OTQgNzc0LjA3IDM1Ljg3&#10;MDYgNzYwLjEyMSAzOC4zNTI5IDc0My42MjUgMzcuOTU5NCA3MjcuMTI5IDM3LjU2NTkgNjk3LjQy&#10;OCAzNy4wNjM3IDY3NC40NDggMzcuOTU5NCA2NTEuNDY5IDM4Ljg1NTEgNjU0LjM2MSAzOC4wMDEx&#10;IDYzOC40NzcgMzcuOTU5NCA2MjIuNTkzIDM3LjkxNzcgNjE3LjQyOSAzOS4wODk4IDYwMi41MDUg&#10;MzcuOTU5NCA1ODcuNTgyIDM2LjgyOSA1NjIuNzM0IDM2Ljg4MTUgNTMzLjMzIDM3Ljk1OTQgNTAz&#10;LjkyNSAzOS4wMzczIDUwNy4wMTEgMzguMjk2NCA0ODYuMjkgMzcuOTU5NCA0NjUuNTY4IDM3LjYy&#10;MjQgNDIzLjEyOCAzOC45MTc0IDQwNi4wNDYgMzcuOTU5NCAzODguOTYzIDM3LjAwMTQgMzcyLjk2&#10;OSAzOC4zOTUyIDM1OS4wMDYgMzcuOTU5NCAzNDUuMDQzIDM3LjUyMzYgMjk2LjAxOCAzOC4yODEx&#10;IDI3OC43NjIgMzcuOTU5NCAyNjEuNTA2IDM3LjYzNzcgMjYwLjExNCAzOC41MzY4IDI0Mi43OSAz&#10;Ny45NTk0IDIyNS40NjcgMzcuMzgyIDE4NC4xNjUgMzQuMTIgMTYyLjU0NiAzNy45NTk0IDE0MC45&#10;MjggNDEuNzk4OCAxMjUuNjI3IDM2LjQwMzQgMTE1LjUwNiAzNy45NTk0IDEwNS4zODYgMzkuNTE1&#10;NCA5Ni44MjY4IDM4LjI4MzEgNzkuNTM0OSAzNy45NTk0IDYyLjI0MzMgMzcuNjM1NyAyMy41NDU3&#10;IDM1LjMxMjYgNy41OTE4OCAzNy45NTk0IDcuMDMwNTIgMjcuNTAxNCA2LjA2MjU0IDE1LjIwNjQg&#10;Ny41OTE4OCA1Ljk5MzU5WiIgZmlsbD0iI0VCRUNFRCIgZmlsbC1ydWxlPSJldmVub2RkIiB0cmFu&#10;c2Zvcm09Im1hdHJpeCgxIDAgMCAxLjAwMDgxIC0wLjc5OTE0NSAxLjgwMDgyKSIvPjxwYXRoIGQ9&#10;Ik03LjU5MTg4IDUuOTkzNTlDMjEuMjE0MSA3LjI5Nzc2IDQyLjYzNjIgNi44NjM2MyA1NC42MzE2&#10;IDUuOTkzNTkgNjYuNjI2OSA1LjEyMzU1IDk0LjA3NjIgOS4zNDk1MiAxMjMuODA4IDUuOTkzNTkg&#10;MTUzLjUzOSAyLjYzNzY2IDE3My4wNyA3LjczOTE3IDIwNC4wNTEgNS45OTM1OSAyMzUuMDMzIDQu&#10;MjQ4MDEgMjMxLjYxOSA2LjU4ODI5IDI0MC4wMjMgNS45OTM1OSAyNDguNDI2IDUuMzk4ODkgMjYy&#10;LjUgNS41MTA2NCAyNzUuOTk0IDUuOTkzNTkgMjg5LjQ5IDYuNDc2NTQgMzI5LjgzMSAyLjAxMTA3&#10;IDM2Ny4zMDcgNS45OTM1OSA0MDQuNzgzIDkuOTc2MTMgNDE2LjExIDkuNDE1OTMgNDM2LjQ4NCA1&#10;Ljk5MzU5IDQ1Ni44NTYgMi41NzEyOSA0NjEuNjU2IDYuNjYxNTIgNDcyLjQ1NSA1Ljk5MzU5IDQ4&#10;My4yNTQgNS4zMjU2NiA1MTkuNiA4LjE2OTI2IDU0MS42MzEgNS45OTM1OSA1NjMuNjYxIDMuODE3&#10;OTIgNjA3Ljc0NSA3LjMwNDYyIDYzMi45NDMgNS45OTM1OSA2NTguMTQxIDQuNjgyNTYgNjcwLjc0&#10;NiA2LjAwMTI4IDY5MS4wNSA1Ljk5MzU5IDcxMS4zNTYgNS45ODU5IDcyMi4yNDggNy4zNzg2NyA3&#10;NDkuMTU5IDUuOTkzNTkgNzc2LjA2OSA0LjYwODUxIDc5MC4wNDkgOC4xNjY1NSA4MTguMzMzIDUu&#10;OTkzNTkgODQ2LjYyMyAzLjgyMDYzIDg3My4yMjYgMi43ODE5MiA4OTguNTgzIDUuOTkzNTkgOTIz&#10;LjkzMiA5LjIwNTI3IDk1OC42MzkgOC43MDk4OCA5NzguODI1IDUuOTkzNTkgOTk5LjAwMyAzLjI3&#10;NzMzIDEwNzAuMDIgOS4zNTM0NCAxMTE0LjQxIDUuOTkzNTkgMTExNS40NiAxNi44MTEzIDExMTMu&#10;MjIgMjMuODg1NiAxMTE0LjQxIDM3Ljk1OTQgMTEwMy45MiAzOC4xMzI3IDEwNzcuNzggNDAuMTcg&#10;MTA2Ny4zNyAzNy45NTk0IDEwNTYuOTUgMzUuNzQ4OCAxMDExLjc1IDM5LjA4MzEgOTc2LjA2IDM3&#10;Ljk1OTQgOTQwLjM2MiAzNi44MzU3IDkzMy4zMyAzOC4wNDIgOTA2Ljg3OCAzNy45NTk0IDg4MC40&#10;MzQgMzcuODc2OSA4ODMuMzQzIDM3LjI4MTggODcwLjkwOSAzNy45NTk0IDg1OC40NzQgMzguNjM3&#10;IDgyMi40MjQgMzcuNjA5MyA4MDEuNzM0IDM3Ljk1OTQgNzgxLjA0IDM4LjMwOTUgNzU2LjE5MSAz&#10;Ni4yMTIyIDc0My42MjUgMzcuOTU5NCA3MzEuMDU4IDM5LjcwNjYgNzEzLjczMyA0MC4wODYzIDY4&#10;NS41MTYgMzcuOTU5NCA2NTcuMyAzNS44MzI1IDY1NC4wOCAzOC44MzcxIDYyNy40MDkgMzcuOTU5&#10;NCA2MDAuNzM4IDM3LjA4MTcgNTg1Ljg5MSAzOS4xNzI2IDU2OS4zMDEgMzcuOTU5NCA1NTIuNzEx&#10;IDM2Ljc0NjIgNTE3Ljc0NSA0MS4zNDEgNDg5LjA1NyAzNy45NTk0IDQ2MC4zNjggMzQuNTc3OCA0&#10;NDkuODc4IDQwLjcxOTIgNDE5Ljg4MSAzNy45NTk0IDM4OS44ODQgMzUuMTk5NiAzOTQuNDg2IDM4&#10;LjgzMDUgMzgzLjkwOSAzNy45NTk0IDM3My4zMzMgMzcuMDg4MyAzNTQuMzQzIDM3Ljk2OTEgMzI1&#10;LjgwMiAzNy45NTk0IDI5Ny4yNiAzNy45NDk3IDI4MC42MjggMzguODMyMSAyNDUuNTU3IDM3Ljk1&#10;OTQgMjEwLjQ4NyAzNy4wODY3IDIxMC4zNTIgMzYuMDAwMiAxOTguNTE3IDM3Ljk1OTQgMTg2LjY4&#10;NCAzOS45MTg2IDE0OS4yNjggMzQuOTg3OCAxMDcuMjA1IDM3Ljk1OTQgNjUuMTQyNSA0MC45MzEg&#10;NTcuMzE1OCAzOS4zNDYyIDcuNTkxODggMzcuOTU5NCA5LjA4NjI4IDIzLjUwMDUgNy4wOTA3NCAy&#10;MS41NjY5IDcuNTkxODggNS45OTM1OVoiIHN0cm9rZT0iI0FEQjFCNSIgc3Ryb2tlLXdpZHRoPSIw&#10;Ljk5ODkzMiIgc3Ryb2tlLWxpbmVqb2luPSJyb3VuZCIgc3Ryb2tlLW1pdGVybGltaXQ9IjEwIiBm&#10;aWxsPSJub25lIiBmaWxsLXJ1bGU9ImV2ZW5vZGQiIHRyYW5zZm9ybT0ibWF0cml4KDEgMCAwIDEu&#10;MDAwODEgLTAuNzk5MTQ1IDEuODAwODIpIi8+PHRleHQgZmlsbD0iI0VCRUNFRCIgZm9udC1mYW1p&#10;bHk9IkNhbGlicmksQ2FsaWJyaV9NU0ZvbnRTZXJ2aWNlLEFyaWFsIiBmb250LXdlaWdodD0iNzAw&#10;IiBmb250LXNpemU9IjIzIiB0cmFuc2Zvcm09Im1hdHJpeCgwLjc5OTE0NSAwIDAgMC43OTk3OTYg&#10;MzYzLjU2OCAzMCkiPkZpZ3VyZSBDPC90ZXh0Pjx0ZXh0IGZpbGw9IiNFQkVDRUQiIGZvbnQtZmFt&#10;aWx5PSJDYWxpYnJpLENhbGlicmlfTVNGb250U2VydmljZSxBcmlhbCIgZm9udC13ZWlnaHQ9Ijcw&#10;MCIgZm9udC1zaXplPSIyMyIgdHJhbnNmb3JtPSJtYXRyaXgoMC43OTkxNDUgMCAwIDAuNzk5Nzk2&#10;IDQyNS4yOTYgMzApIj4tPC90ZXh0Pjx0ZXh0IGZpbGw9IiNFQkVDRUQiIGZvbnQtZmFtaWx5PSJD&#10;YWxpYnJpLENhbGlicmlfTVNGb250U2VydmljZSxBcmlhbCIgZm9udC13ZWlnaHQ9IjcwMCIgZm9u&#10;dC1zaXplPSIyMyIgdHJhbnNmb3JtPSJtYXRyaXgoMC43OTkxNDUgMCAwIDAuNzk5Nzk2IDQzMC45&#10;NTYgMzApIj4xPC90ZXh0Pjx0ZXh0IGZpbGw9IiNFQkVDRUQiIGZvbnQtZmFtaWx5PSJDYWxpYnJp&#10;LENhbGlicmlfTVNGb250U2VydmljZSxBcmlhbCIgZm9udC13ZWlnaHQ9IjcwMCIgZm9udC1zaXpl&#10;PSIyMyIgdHJhbnNmb3JtPSJtYXRyaXgoMC43OTkxNDUgMCAwIDAuNzk5Nzk2IDQ0MC41NDYgMzAp&#10;Ij46IDwvdGV4dD48dGV4dCBmaWxsPSIjRUJFQ0VEIiBmb250LWZhbWlseT0iQ2FsaWJyaSxDYWxp&#10;YnJpX01TRm9udFNlcnZpY2UsQXJpYWwiIGZvbnQtd2VpZ2h0PSI3MDAiIGZvbnQtc2l6ZT0iMjMi&#10;IHRyYW5zZm9ybT0ibWF0cml4KDAuNzk5MTQ1IDAgMCAwLjc5OTc5NiA0NDkuMzM2IDMwKSI+TWV0&#10;aG9kczwvdGV4dD48dGV4dCBmaWxsPSIjRUJFQ0VEIiBmb250LWZhbWlseT0iQ2FsaWJyaSxDYWxp&#10;YnJpX01TRm9udFNlcnZpY2UsQXJpYWwiIGZvbnQtd2VpZ2h0PSI3MDAiIGZvbnQtc2l6ZT0iMjMi&#10;IHRyYW5zZm9ybT0ibWF0cml4KDAuNzk5MTQ1IDAgMCAwLjc5OTc5NiA1MTcuMjY0IDMwKSI+LCA8&#10;L3RleHQ+PHRleHQgZmlsbD0iI0VCRUNFRCIgZm9udC1mYW1pbHk9IkNhbGlicmksQ2FsaWJyaV9N&#10;U0ZvbnRTZXJ2aWNlLEFyaWFsIiBmb250LXdlaWdodD0iNzAwIiBmb250LXNpemU9IjIzIiB0cmFu&#10;c2Zvcm09Im1hdHJpeCgwLjc5OTE0NSAwIDAgMC43OTk3OTYgNTI2LjA1NCAzMCkiPmFuYWx5c2lz&#10;IGFuZCBkYXRhIHNldCBkaWFncmFtPC90ZXh0PjxwYXRoIGQ9Ik0xMy41ODU1IDY1My43MDFDMjgu&#10;NzcyNiA2NTUuNzIzIDU3LjYwMzggNjU2Ljk4NSA3OS43MzM0IDY1My43MDEgMTAxLjg2MyA2NTAu&#10;NDE2IDExMi42MTIgNjU1Ljg2NyAxNDEuNzkgNjUzLjcwMSAxNzAuOTY3IDY1MS41MzQgMTk1LjM5&#10;MiA2NTAuNjQgMjE4LjE2NyA2NTMuNzAxIDIyMC41ODUgNjY5LjA2NCAyMjAuMzA5IDY5NC40MjMg&#10;MjE4LjE2NyA3MTIuMDQ2IDIxNi4wMjQgNzI5LjY3IDIxOC41NzcgNzU2LjQyMyAyMTguMTY3IDc3&#10;Mi43NzMgMjAzLjEwOCA3NzUuMDMzIDE4My42NDYgNzcxLjk5NyAxNTQuMDY1IDc3Mi43NzMgMTI0&#10;LjQ4MyA3NzMuNTQ5IDEyMC40ODQgNzcwLjAzNyA4OS45NjIyIDc3Mi43NzMgNTkuNDQwNSA3NzUu&#10;NTEgNDMuOTYxMSA3NjkuMjg2IDEzLjU4NTUgNzcyLjc3MyAxMS4wNjAzIDc1OC40NTcgMTIuMzc2&#10;NyA3NDEuNTE0IDEzLjU4NTUgNzE2LjgwOSAxNC43OTQzIDY5Mi4xMDUgMTIuNTg5NyA2NzMuMzg3&#10;IDEzLjU4NTUgNjUzLjcwMVoiIGZpbGw9IiNGRkZGRkYiIGZpbGwtcnVsZT0iZXZlbm9kZCIgdHJh&#10;bnNmb3JtPSJtYXRyaXgoMSAwIDAgMS4wMDA4MSAtMC43OTkxNDUgMS44MDA4MikiLz48cGF0aCBk&#10;PSJNMTMuNTg1NSA2NTMuNzAxQzMzLjQ3NDQgNjUxLjk5NyA1Ny42MjI2IDY1MS42NDIgNzkuNzMz&#10;NCA2NTMuNzAxIDEwMS44NDQgNjU1Ljc1OSAxMjIuODkxIDY1Ni41MjEgMTQ3LjkyNyA2NTMuNzAx&#10;IDE3Mi45NjQgNjUwLjg4MSAxOTMuNDExIDY1NS41OTMgMjE4LjE2NyA2NTMuNzAxIDIyMC4yMiA2&#10;ODEuNjQgMjE4Ljk2NyA2OTYuNTQyIDIxOC4xNjcgNzEzLjIzNyAyMTcuMzY3IDcyOS45MzIgMjE3&#10;Ljc3NCA3NDguNDk5IDIxOC4xNjcgNzcyLjc3MyAxODUuMjkyIDc3Mi43ODEgMTc3LjMwOCA3Njku&#10;NTgzIDE0OS45NzMgNzcyLjc3MyAxMjIuNjM4IDc3NS45NjQgMTEwLjUzMSA3NzQuMTIxIDg1Ljg3&#10;MDYgNzcyLjc3MyA2MS4yMSA3NzEuNDI2IDMwLjE2NTQgNzc1LjI3MyAxMy41ODU1IDc3Mi43NzMg&#10;MTEuMzUwOSA3NTMuOTk2IDE0LjMyMDQgNzQwLjYxMiAxMy41ODU1IDcxNC40MjggMTIuODUwNiA2&#10;ODguMjQ0IDE1LjQ3MTEgNjc4LjM0NyAxMy41ODU1IDY1My43MDFaIiBzdHJva2U9IiMwMDAwMDAi&#10;IHN0cm9rZS13aWR0aD0iMS4zMzE5MSIgc3Ryb2tlLWxpbmVqb2luPSJyb3VuZCIgc3Ryb2tlLW1p&#10;dGVybGltaXQ9IjEwIiBmaWxsPSJub25lIiBmaWxsLXJ1bGU9ImV2ZW5vZGQiIHRyYW5zZm9ybT0i&#10;bWF0cml4KDEgMCAwIDEuMDAwODEgLTAuNzk5MTQ1IDEuODAwODIpIi8+PHRleHQgZm9udC1mYW1p&#10;bHk9IkFyaWFsLEFyaWFsX01TRm9udFNlcnZpY2UsQXJpYWwiIGZvbnQtd2VpZ2h0PSI0MDAiIGZv&#10;bnQtc2l6ZT0iMTciIHRyYW5zZm9ybT0ibWF0cml4KDAuNzk5MTQ1IDAgMCAwLjc5OTc5NiAxNi4y&#10;MDAzIDY3MikiPuKAojwvdGV4dD48dGV4dCBmb250LWZhbWlseT0iQ2FsaWJyaSxDYWxpYnJpX01T&#10;Rm9udFNlcnZpY2UsQXJpYWwiIGZvbnQtd2VpZ2h0PSI0MDAiIGZvbnQtc2l6ZT0iMTciIHRyYW5z&#10;Zm9ybT0ibWF0cml4KDAuNzk5MTQ1IDAgMCAwLjc5OTc5NiAyNS41MjM3IDY3MikiPkludGVydmll&#10;dyB0cmFuc2NyaXB0czwvdGV4dD48dGV4dCBmb250LWZhbWlseT0iQXJpYWwsQXJpYWxfTVNGb250&#10;U2VydmljZSxBcmlhbCIgZm9udC13ZWlnaHQ9IjQwMCIgZm9udC1zaXplPSIxNyIgdHJhbnNmb3Jt&#10;PSJtYXRyaXgoMC43OTkxNDUgMCAwIDAuNzk5Nzk2IDE2LjIwMDMgNjkwKSI+4oCiPC90ZXh0Pjx0&#10;ZXh0IGZvbnQtZmFtaWx5PSJDYWxpYnJpLENhbGlicmlfTVNGb250U2VydmljZSxBcmlhbCIgZm9u&#10;dC13ZWlnaHQ9IjQwMCIgZm9udC1zaXplPSIxNyIgdHJhbnNmb3JtPSJtYXRyaXgoMC43OTkxNDUg&#10;MCAwIDAuNzk5Nzk2IDI1LjUyMzcgNjkwKSI+SW50ZXJ2aWV3IHN1bW1hcmllczwvdGV4dD48dGV4&#10;dCBmb250LWZhbWlseT0iQXJpYWwsQXJpYWxfTVNGb250U2VydmljZSxBcmlhbCIgZm9udC13ZWln&#10;aHQ9IjQwMCIgZm9udC1zaXplPSIxNyIgdHJhbnNmb3JtPSJtYXRyaXgoMC43OTkxNDUgMCAwIDAu&#10;Nzk5Nzk2IDE2LjIwMDMgNzA5KSI+4oCiPC90ZXh0Pjx0ZXh0IGZvbnQtZmFtaWx5PSJDYWxpYnJp&#10;LENhbGlicmlfTVNGb250U2VydmljZSxBcmlhbCIgZm9udC13ZWlnaHQ9IjQwMCIgZm9udC1zaXpl&#10;PSIxNyIgdHJhbnNmb3JtPSJtYXRyaXgoMC43OTkxNDUgMCAwIDAuNzk5Nzk2IDI1LjUyMzcgNzA5&#10;KSI+U3lzdGVtIG1hcHMgZnJvbSBDQTwvdGV4dD48dGV4dCBmb250LWZhbWlseT0iQ2FsaWJyaSxD&#10;YWxpYnJpX01TRm9udFNlcnZpY2UsQXJpYWwiIGZvbnQtd2VpZ2h0PSI0MDAiIGZvbnQtc2l6ZT0i&#10;MTciIHRyYW5zZm9ybT0ibWF0cml4KDAuNzk5MTQ1IDAgMCAwLjc5OTc5NiAxNDguNTkyIDcwOSki&#10;PjQ8L3RleHQ+PHRleHQgZm9udC1mYW1pbHk9IkNhbGlicmksQ2FsaWJyaV9NU0ZvbnRTZXJ2aWNl&#10;LEFyaWFsIiBmb250LXdlaWdodD0iNDAwIiBmb250LXNpemU9IjE3IiB0cmFuc2Zvcm09Im1hdHJp&#10;eCgwLjc5OTE0NSAwIDAgMC43OTk3OTYgMTU1Ljc4NCA3MDkpIj5DIDwvdGV4dD48dGV4dCBmb250&#10;LWZhbWlseT0iQ2FsaWJyaSxDYWxpYnJpX01TRm9udFNlcnZpY2UsQXJpYWwiIGZvbnQtd2VpZ2h0&#10;PSI0MDAiIGZvbnQtc2l6ZT0iMTciIHRyYW5zZm9ybT0ibWF0cml4KDAuNzk5MTQ1IDAgMCAwLjc5&#10;OTc5NiAyNS41MjM3IDcyMykiPndvcmtzaG9wczwvdGV4dD48dGV4dCBmb250LWZhbWlseT0iQXJp&#10;YWwsQXJpYWxfTVNGb250U2VydmljZSxBcmlhbCIgZm9udC13ZWlnaHQ9IjQwMCIgZm9udC1zaXpl&#10;PSIxNyIgdHJhbnNmb3JtPSJtYXRyaXgoMC43OTkxNDUgMCAwIDAuNzk5Nzk2IDE2LjIwMDMgNzQy&#10;KSI+4oCiPC90ZXh0Pjx0ZXh0IGZvbnQtZmFtaWx5PSJDYWxpYnJpLENhbGlicmlfTVNGb250U2Vy&#10;dmljZSxBcmlhbCIgZm9udC13ZWlnaHQ9IjQwMCIgZm9udC1zaXplPSIxNyIgdHJhbnNmb3JtPSJt&#10;YXRyaXgoMC43OTkxNDUgMCAwIDAuNzk5Nzk2IDI1LjUyMzcgNzQyKSI+Q0E8L3RleHQ+PHRleHQg&#10;Zm9udC1mYW1pbHk9IkNhbGlicmksQ2FsaWJyaV9NU0ZvbnRTZXJ2aWNlLEFyaWFsIiBmb250LXdl&#10;aWdodD0iNDAwIiBmb250LXNpemU9IjE3IiB0cmFuc2Zvcm09Im1hdHJpeCgwLjc5OTE0NSAwIDAg&#10;MC43OTk3OTYgNDAuNzA3NCA3NDIpIj40PC90ZXh0Pjx0ZXh0IGZvbnQtZmFtaWx5PSJDYWxpYnJp&#10;LENhbGlicmlfTVNGb250U2VydmljZSxBcmlhbCIgZm9udC13ZWlnaHQ9IjQwMCIgZm9udC1zaXpl&#10;PSIxNyIgdHJhbnNmb3JtPSJtYXRyaXgoMC43OTkxNDUgMCAwIDAuNzk5Nzk2IDQ3Ljg5OTcgNzQy&#10;KSI+QyBzdW1tYXJ5IHJlcG9ydHM8L3RleHQ+PHRleHQgZm9udC1mYW1pbHk9IkFyaWFsLEFyaWFs&#10;X01TRm9udFNlcnZpY2UsQXJpYWwiIGZvbnQtd2VpZ2h0PSI0MDAiIGZvbnQtc2l6ZT0iMTciIHRy&#10;YW5zZm9ybT0ibWF0cml4KDAuNzk5MTQ1IDAgMCAwLjc5OTc5NiAxNi4yMDAzIDc2MCkiPuKAojwv&#10;dGV4dD48dGV4dCBmb250LWZhbWlseT0iQ2FsaWJyaSxDYWxpYnJpX01TRm9udFNlcnZpY2UsQXJp&#10;YWwiIGZvbnQtd2VpZ2h0PSI0MDAiIGZvbnQtc2l6ZT0iMTciIHRyYW5zZm9ybT0ibWF0cml4KDAu&#10;Nzk5MTQ1IDAgMCAwLjc5OTc5NiAyNS41MjM3IDc2MCkiPkZ1bmRpbmcgYW5kIHJlcG9ydGluZyBw&#10;cm9maWxlczwvdGV4dD48dGV4dCBmaWxsPSIjRkZGRkZGIiBmb250LWZhbWlseT0iQ2FsaWJyaSxD&#10;YWxpYnJpX01TRm9udFNlcnZpY2UsQXJpYWwiIGZvbnQtd2VpZ2h0PSI3MDAiIGZvbnQtc2l6ZT0i&#10;MTciIHRyYW5zZm9ybT0ibWF0cml4KDAuNzk5MTQ1IDAgMCAwLjc5OTc5NiAxNC43ODQyIDY0OCki&#10;PlBSSU1BUlkgREFUQSBTRVRTPC90ZXh0Pjx0ZXh0IGZpbGw9IiNGRkZGRkYiIGZvbnQtZmFtaWx5&#10;PSJDYWxpYnJpLENhbGlicmlfTVNGb250U2VydmljZSxBcmlhbCIgZm9udC13ZWlnaHQ9IjcwMCIg&#10;Zm9udC1zaXplPSIxNyIgdHJhbnNmb3JtPSJtYXRyaXgoMC43OTkxNDUgMCAwIDAuNzk5Nzk2IDEz&#10;MC42NiA2NDgpIj46PC90ZXh0PjxwYXRoIGQ9Ik0yMzcuMzQ2IDY3OC40NzRDMjYwLjg0NSA2NzUu&#10;NjM2IDI4MS45MjYgNjgwLjA4OCAzMDMuNDk0IDY3OC40NzQgMzI1LjA2MiA2NzYuODYxIDM1MS42&#10;NTIgNjc2LjcwNCAzNjUuNTUxIDY3OC40NzQgMzc5LjQ0OSA2ODAuMjQ0IDQxMy41MzggNjc3LjY0&#10;MSA0NDEuOTI3IDY3OC40NzQgNDM5Ljc4OSA2OTguMTU0IDQ0My42MzkgNzA3Ljc5NyA0NDEuOTI3&#10;IDcyNC42ODEgNDQwLjIxNiA3NDEuNTY1IDQ0MS43MTIgNzUxLjk1NSA0NDEuOTI3IDc3Mi43NzMg&#10;NDE0LjgxMyA3NzIuNjY2IDQwMS4wMzQgNzczLjgxNyAzNzcuODI2IDc3Mi43NzMgMzU0LjYxNyA3&#10;NzEuNzMgMzQxLjAzMiA3NzIuNjA0IDMxMy43MjMgNzcyLjc3MyAyODYuNDE0IDc3Mi45NDMgMjY1&#10;LjUzNiA3NzAuNjEgMjM3LjM0NiA3NzIuNzczIDIzNy40NDcgNzU4LjQ1NSAyMzYuNzY4IDczOC44&#10;MTUgMjM3LjM0NiA3MjguNDUzIDIzNy45MjUgNzE4LjA5MSAyMzcuNjM5IDY5OC42MyAyMzcuMzQ2&#10;IDY3OC40NzRaIiBmaWxsPSIjRkZGRkZGIiBmaWxsLXJ1bGU9ImV2ZW5vZGQiIHRyYW5zZm9ybT0i&#10;bWF0cml4KDEgMCAwIDEuMDAwODEgLTAuNzk5MTQ1IDEuODAwODIpIi8+PHBhdGggZD0iTTIzNy4z&#10;NDYgNjc4LjQ3NEMyNTYuNDUzIDY3NS4xODggMjc4LjI4OSA2ODAuNzI5IDMwMy40OTQgNjc4LjQ3&#10;NCAzMjguNjk5IDY3Ni4yMiAzNDkuMzU5IDY3Ny4wMDYgMzcxLjY4OCA2NzguNDc0IDM5NC4wMTYg&#10;Njc5Ljk0MiA0MjQuOTg1IDY4MS41MjYgNDQxLjkyNyA2NzguNDc0IDQ0MS44MzEgNjk4LjcwOSA0&#10;NDAuMjIzIDcwOS4yNTkgNDQxLjkyNyA3MjUuNjI0IDQ0My42MzIgNzQxLjk4OSA0NDIuMTE5IDc1&#10;Ni4zNTEgNDQxLjkyNyA3NzIuNzczIDQyNy42OTEgNzc0LjE4MiA0MDIuNjg3IDc3My4zODMgMzcz&#10;LjczNCA3NzIuNzczIDM0NC43ODEgNzcyLjE2NCAzMzIuMjA1IDc3MS4xMTQgMzA5LjYzMSA3NzIu&#10;NzczIDI4Ny4wNTggNzc0LjQzMyAyNjcuNDggNzczLjUxNSAyMzcuMzQ2IDc3Mi43NzMgMjM3LjA2&#10;NCA3NTYuMzIgMjM1LjA2MyA3MzcuOTU5IDIzNy4zNDYgNzI2LjU2NyAyMzkuNjI5IDcxNS4xNzUg&#10;MjM3LjYyOCA3MDAuMjg2IDIzNy4zNDYgNjc4LjQ3NFoiIHN0cm9rZT0iIzAwMDAwMCIgc3Ryb2tl&#10;LXdpZHRoPSIxLjMzMTkxIiBzdHJva2UtbGluZWpvaW49InJvdW5kIiBzdHJva2UtbWl0ZXJsaW1p&#10;dD0iMTAiIGZpbGw9Im5vbmUiIGZpbGwtcnVsZT0iZXZlbm9kZCIgdHJhbnNmb3JtPSJtYXRyaXgo&#10;MSAwIDAgMS4wMDA4MSAtMC43OTkxNDUgMS44MDA4MikiLz48dGV4dCBmb250LWZhbWlseT0iQXJp&#10;YWwsQXJpYWxfTVNGb250U2VydmljZSxBcmlhbCIgZm9udC13ZWlnaHQ9IjQwMCIgZm9udC1zaXpl&#10;PSIxNyIgdHJhbnNmb3JtPSJtYXRyaXgoMC43OTkxNDUgMCAwIDAuNzk5Nzk2IDI0MC42NTggNjk3&#10;KSI+4oCiPC90ZXh0Pjx0ZXh0IGZvbnQtZmFtaWx5PSJDYWxpYnJpLENhbGlicmlfTVNGb250U2Vy&#10;dmljZSxBcmlhbCIgZm9udC13ZWlnaHQ9IjQwMCIgZm9udC1zaXplPSIxNyIgdHJhbnNmb3JtPSJt&#10;YXRyaXgoMC43OTkxNDUgMCAwIDAuNzk5Nzk2IDI0OS45ODEgNjk3KSI+SW50ZXJ2aWV3IHRyYW5z&#10;Y3JpcHRzPC90ZXh0Pjx0ZXh0IGZvbnQtZmFtaWx5PSJBcmlhbCxBcmlhbF9NU0ZvbnRTZXJ2aWNl&#10;LEFyaWFsIiBmb250LXdlaWdodD0iNDAwIiBmb250LXNpemU9IjE3IiB0cmFuc2Zvcm09Im1hdHJp&#10;eCgwLjc5OTE0NSAwIDAgMC43OTk3OTYgMjQwLjY1OCA3MTUpIj7igKI8L3RleHQ+PHRleHQgZm9u&#10;dC1mYW1pbHk9IkNhbGlicmksQ2FsaWJyaV9NU0ZvbnRTZXJ2aWNlLEFyaWFsIiBmb250LXdlaWdo&#10;dD0iNDAwIiBmb250LXNpemU9IjE3IiB0cmFuc2Zvcm09Im1hdHJpeCgwLjc5OTE0NSAwIDAgMC43&#10;OTk3OTYgMjQ5Ljk4MSA3MTUpIj5WYWxpZGF0ZWQgdG9vbCB0byBpZGVudGlmeTwvdGV4dD48dGV4&#10;dCBmb250LWZhbWlseT0iQ2FsaWJyaSxDYWxpYnJpX01TRm9udFNlcnZpY2UsQXJpYWwiIGZvbnQt&#10;d2VpZ2h0PSI0MDAiIGZvbnQtc2l6ZT0iMTciIHRyYW5zZm9ybT0ibWF0cml4KDAuNzk5MTQ1IDAg&#10;MCAwLjc5OTc5NiAzODcuNDM0IDcxNSkiPiwgPC90ZXh0Pjx0ZXh0IGZvbnQtZmFtaWx5PSJDYWxp&#10;YnJpLENhbGlicmlfTVNGb250U2VydmljZSxBcmlhbCIgZm9udC13ZWlnaHQ9IjQwMCIgZm9udC1z&#10;aXplPSIxNyIgdHJhbnNmb3JtPSJtYXRyaXgoMC43OTkxNDUgMCAwIDAuNzk5Nzk2IDI0OS45ODEg&#10;NzMwKSI+bWVhc3VyZTwvdGV4dD48dGV4dCBmb250LWZhbWlseT0iQ2FsaWJyaSxDYWxpYnJpX01T&#10;Rm9udFNlcnZpY2UsQXJpYWwiIGZvbnQtd2VpZ2h0PSI0MDAiIGZvbnQtc2l6ZT0iMTciIHRyYW5z&#10;Zm9ybT0ibWF0cml4KDAuNzk5MTQ1IDAgMCAwLjc5OTc5NiAyOTcuOTMgNzMwKSI+LCA8L3RleHQ+&#10;PHRleHQgZm9udC1mYW1pbHk9IkNhbGlicmksQ2FsaWJyaV9NU0ZvbnRTZXJ2aWNlLEFyaWFsIiBm&#10;b250LXdlaWdodD0iNDAwIiBmb250LXNpemU9IjE3IiB0cmFuc2Zvcm09Im1hdHJpeCgwLjc5OTE0&#10;NSAwIDAgMC43OTk3OTYgMzA0LjMyMyA3MzApIj5hbmQgbW9uaXRvciA8L3RleHQ+PHRleHQgZm9u&#10;dC1mYW1pbHk9IkNhbGlicmksQ2FsaWJyaV9NU0ZvbnRTZXJ2aWNlLEFyaWFsIiBmb250LXdlaWdo&#10;dD0iNDAwIiBmb250LXNpemU9IjE3IiB0cmFuc2Zvcm09Im1hdHJpeCgwLjc5OTE0NSAwIDAgMC43&#10;OTk3OTYgMjQ5Ljk4MSA3NDQpIj5pbnN0aXR1dGlvbmFsIDwvdGV4dD48dGV4dCBmb250LWZhbWls&#10;eT0iQ2FsaWJyaSxDYWxpYnJpX01TRm9udFNlcnZpY2UsQXJpYWwiIGZvbnQtd2VpZ2h0PSI0MDAi&#10;IGZvbnQtc2l6ZT0iMTciIHRyYW5zZm9ybT0ibWF0cml4KDAuNzk5MTQ1IDAgMCAwLjc5OTc5NiAz&#10;MTkuNDA3IDc0NCkiPnJhY2lzbSA8L3RleHQ+PHRleHQgZm9udC1mYW1pbHk9IkNhbGlicmksQ2Fs&#10;aWJyaV9NU0ZvbnRTZXJ2aWNlLEFyaWFsIiBmb250LXdlaWdodD0iNDAwIiBmb250LXNpemU9IjE3&#10;IiB0cmFuc2Zvcm09Im1hdHJpeCgwLjc5OTE0NSAwIDAgMC43OTk3OTYgMzYwLjg2MyA3NDQpIj5p&#10;biBQSE5zIDwvdGV4dD48dGV4dCBmb250LWZhbWlseT0iQXJpYWwsQXJpYWxfTVNGb250U2Vydmlj&#10;ZSxBcmlhbCIgZm9udC13ZWlnaHQ9IjQwMCIgZm9udC1zaXplPSIxNyIgdHJhbnNmb3JtPSJtYXRy&#10;aXgoMC43OTkxNDUgMCAwIDAuNzk5Nzk2IDI0MC42NTggNzYyKSI+4oCiPC90ZXh0Pjx0ZXh0IGZv&#10;bnQtZmFtaWx5PSJDYWxpYnJpLENhbGlicmlfTVNGb250U2VydmljZSxBcmlhbCIgZm9udC13ZWln&#10;aHQ9IjQwMCIgZm9udC1zaXplPSIxNyIgdHJhbnNmb3JtPSJtYXRyaXgoMC43OTkxNDUgMCAwIDAu&#10;Nzk5Nzk2IDI0OS45ODEgNzYyKSI+Q29sbGFib3JhdGl2ZSByZXBvcnRzPC90ZXh0PjxwYXRoIGQ9&#10;Ik00NTYuMzEyIDY1My43MDFDNDc5LjgxMSA2NTAuODc5IDUwMC44OTIgNjU1LjMwNSA1MjIuNDYg&#10;NjUzLjcwMSA1NDQuMDI4IDY1Mi4wOTcgNTcwLjYxOCA2NTEuOTQxIDU4NC41MTYgNjUzLjcwMSA1&#10;OTguNDE0IDY1NS40NjEgNjMyLjUwMyA2NTIuODcyIDY2MC44OTMgNjUzLjcwMSA2NjMuMzEzIDY2&#10;OS4wNjQgNjYzLjAzNyA2OTQuNDIzIDY2MC44OTMgNzEyLjA0NiA2NTguNzQ5IDcyOS42NyA2NjEu&#10;MzA0IDc1Ni40MjMgNjYwLjg5MyA3NzIuNzczIDYzMy43NzkgNzcyLjY2NiA2MjAgNzczLjgxMSA1&#10;OTYuNzkxIDc3Mi43NzMgNTczLjU4MyA3NzEuNzM2IDU1OS45OTggNzcyLjYwNSA1MzIuNjg5IDc3&#10;Mi43NzMgNTA1LjM4IDc3Mi45NDIgNDg0LjUwMiA3NzAuNjIzIDQ1Ni4zMTIgNzcyLjc3MyA0NTMu&#10;Nzg1IDc1OC40NTcgNDU1LjEwMiA3NDEuNTE0IDQ1Ni4zMTIgNzE2LjgwOSA0NTcuNTIyIDY5Mi4x&#10;MDUgNDU1LjMxNSA2NzMuMzg3IDQ1Ni4zMTIgNjUzLjcwMVoiIGZpbGw9IiNGRkZGRkYiIGZpbGwt&#10;cnVsZT0iZXZlbm9kZCIgdHJhbnNmb3JtPSJtYXRyaXgoMSAwIDAgMS4wMDA4MSAtMC43OTkxNDUg&#10;MS44MDA4MikiLz48cGF0aCBkPSJNNDU2LjMxMiA2NTMuNzAxQzQ3NS40MTkgNjUwLjQzNCA0OTcu&#10;MjU1IDY1NS45NDIgNTIyLjQ2IDY1My43MDEgNTQ3LjY2NSA2NTEuNDU5IDU2OC4zMjUgNjUyLjI0&#10;MiA1OTAuNjU0IDY1My43MDEgNjEyLjk4MiA2NTUuMTYgNjQzLjk1MSA2NTYuNzM1IDY2MC44OTMg&#10;NjUzLjcwMSA2NjIuOTQ5IDY4MS42NCA2NjEuNjk0IDY5Ni41NDIgNjYwLjg5MyA3MTMuMjM3IDY2&#10;MC4wOTIgNzI5LjkzMiA2NjAuNTAxIDc0OC40OTkgNjYwLjg5MyA3NzIuNzczIDY0Ni42NTYgNzc0&#10;LjE3MyA2MjEuNjUzIDc3My4zOCA1OTIuNyA3NzIuNzczIDU2My43NDcgNzcyLjE2NyA1NTEuMTcx&#10;IDc3MS4xMjMgNTI4LjU5NyA3NzIuNzczIDUwNi4wMjQgNzc0LjQyNCA0ODYuNDQ1IDc3My41MTEg&#10;NDU2LjMxMiA3NzIuNzczIDQ1NC4wNzUgNzUzLjk5NiA0NTcuMDQ3IDc0MC42MTIgNDU2LjMxMiA3&#10;MTQuNDI4IDQ1NS41NzcgNjg4LjI0NCA0NTguMiA2NzguMzQ3IDQ1Ni4zMTIgNjUzLjcwMVoiIHN0&#10;cm9rZT0iIzAwMDAwMCIgc3Ryb2tlLXdpZHRoPSIxLjMzMTkxIiBzdHJva2UtbGluZWpvaW49InJv&#10;dW5kIiBzdHJva2UtbWl0ZXJsaW1pdD0iMTAiIGZpbGw9Im5vbmUiIGZpbGwtcnVsZT0iZXZlbm9k&#10;ZCIgdHJhbnNmb3JtPSJtYXRyaXgoMSAwIDAgMS4wMDA4MSAtMC43OTkxNDUgMS44MDA4MikiLz48&#10;dGV4dCBmb250LWZhbWlseT0iQXJpYWwsQXJpYWxfTVNGb250U2VydmljZSxBcmlhbCIgZm9udC13&#10;ZWlnaHQ9IjQwMCIgZm9udC1zaXplPSIxNyIgdHJhbnNmb3JtPSJtYXRyaXgoMC43OTkxNDUgMCAw&#10;IDAuNzk5Nzk2IDQ1OS40NzIgNjcyKSI+4oCiPC90ZXh0Pjx0ZXh0IGZvbnQtZmFtaWx5PSJDYWxp&#10;YnJpLENhbGlicmlfTVNGb250U2VydmljZSxBcmlhbCIgZm9udC13ZWlnaHQ9IjQwMCIgZm9udC1z&#10;aXplPSIxNyIgdHJhbnNmb3JtPSJtYXRyaXgoMC43OTkxNDUgMCAwIDAuNzk5Nzk2IDQ2OC43OTUg&#10;NjcyKSI+NzkgPC90ZXh0Pjx0ZXh0IGZvbnQtZmFtaWx5PSJDYWxpYnJpLENhbGlicmlfTVNGb250&#10;U2VydmljZSxBcmlhbCIgZm9udC13ZWlnaHQ9IjQwMCIgZm9udC1zaXplPSIxNyIgdHJhbnNmb3Jt&#10;PSJtYXRyaXgoMC43OTkxNDUgMCAwIDAuNzk5Nzk2IDQ4Ni4zNzYgNjcyKSI+ZGF0YSBzb3VyY2Vz&#10;IHRocm91Z2ggREZBPC90ZXh0Pjx0ZXh0IGZvbnQtZmFtaWx5PSJBcmlhbCxBcmlhbF9NU0ZvbnRT&#10;ZXJ2aWNlLEFyaWFsIiBmb250LXdlaWdodD0iNDAwIiBmb250LXNpemU9IjE3IiB0cmFuc2Zvcm09&#10;Im1hdHJpeCgwLjc5OTE0NSAwIDAgMC43OTk3OTYgNDU5LjQ3MiA2OTApIj7igKI8L3RleHQ+PHRl&#10;eHQgZm9udC1mYW1pbHk9IkNhbGlicmksQ2FsaWJyaV9NU0ZvbnRTZXJ2aWNlLEFyaWFsIiBmb250&#10;LXdlaWdodD0iNDAwIiBmb250LXNpemU9IjE3IiB0cmFuc2Zvcm09Im1hdHJpeCgwLjc5OTE0NSAw&#10;IDAgMC43OTk3OTYgNDY4Ljc5NSA2OTApIj4xMCA8L3RleHQ+PHRleHQgZm9udC1mYW1pbHk9IkNh&#10;bGlicmksQ2FsaWJyaV9NU0ZvbnRTZXJ2aWNlLEFyaWFsIiBmb250LXdlaWdodD0iNDAwIiBmb250&#10;LXNpemU9IjE3IiB0cmFuc2Zvcm09Im1hdHJpeCgwLjc5OTE0NSAwIDAgMC43OTk3OTYgNDg2LjM3&#10;NiA2OTApIj5jdXN0b20gZGF0YSBzZXRzIHJlY2VpdmVkIDwvdGV4dD48dGV4dCBmb250LWZhbWls&#10;eT0iQ2FsaWJyaSxDYWxpYnJpX01TRm9udFNlcnZpY2UsQXJpYWwiIGZvbnQtd2VpZ2h0PSI0MDAi&#10;IGZvbnQtc2l6ZT0iMTciIHRyYW5zZm9ybT0ibWF0cml4KDAuNzk5MTQ1IDAgMCAwLjc5OTc5NiA0&#10;NjguNzk1IDcwNSkiPmZyb20gPC90ZXh0Pjx0ZXh0IGZvbnQtZmFtaWx5PSJDYWxpYnJpLENhbGli&#10;cmlfTVNGb250U2VydmljZSxBcmlhbCIgZm9udC13ZWlnaHQ9IjQwMCIgZm9udC1zaXplPSIxNyIg&#10;dHJhbnNmb3JtPSJtYXRyaXgoMC43OTkxNDUgMCAwIDAuNzk5Nzk2IDQ5OS4xNjIgNzA1KSI+MyA8&#10;L3RleHQ+PHRleHQgZm9udC1mYW1pbHk9IkNhbGlicmksQ2FsaWJyaV9NU0ZvbnRTZXJ2aWNlLEFy&#10;aWFsIiBmb250LXdlaWdodD0iNDAwIiBmb250LXNpemU9IjE3IiB0cmFuc2Zvcm09Im1hdHJpeCgw&#10;Ljc5OTE0NSAwIDAgMC43OTk3OTYgNTA5LjU1MSA3MDUpIj5kYXRhIGN1c3RvZGlhbnMgPC90ZXh0&#10;Pjx0ZXh0IGZvbnQtZmFtaWx5PSJBcmlhbCxBcmlhbF9NU0ZvbnRTZXJ2aWNlLEFyaWFsIiBmb250&#10;LXdlaWdodD0iNDAwIiBmb250LXNpemU9IjE3IiB0cmFuc2Zvcm09Im1hdHJpeCgwLjc5OTE0NSAw&#10;IDAgMC43OTk3OTYgNDU5LjQ3MiA3MjMpIj7igKI8L3RleHQ+PHRleHQgZm9udC1mYW1pbHk9IkNh&#10;bGlicmksQ2FsaWJyaV9NU0ZvbnRTZXJ2aWNlLEFyaWFsIiBmb250LXdlaWdodD0iNDAwIiBmb250&#10;LXNpemU9IjE3IiB0cmFuc2Zvcm09Im1hdHJpeCgwLjc5OTE0NSAwIDAgMC43OTk3OTYgNDY4Ljc5&#10;NSA3MjMpIj41IDwvdGV4dD48dGV4dCBmb250LWZhbWlseT0iQ2FsaWJyaSxDYWxpYnJpX01TRm9u&#10;dFNlcnZpY2UsQXJpYWwiIGZvbnQtd2VpZ2h0PSI0MDAiIGZvbnQtc2l6ZT0iMTciIHRyYW5zZm9y&#10;bT0ibWF0cml4KDAuNzk5MTQ1IDAgMCAwLjc5OTc5NiA0NzkuMTg0IDcyMykiPnB1YmxpY2x5IGF2&#10;YWlsYWJsZSBkYXRhIHNvdXJjZXMgPC90ZXh0Pjx0ZXh0IGZvbnQtZmFtaWx5PSJDYWxpYnJpLENh&#10;bGlicmlfTVNGb250U2VydmljZSxBcmlhbCIgZm9udC13ZWlnaHQ9IjQwMCIgZm9udC1zaXplPSIx&#10;NyIgdHJhbnNmb3JtPSJtYXRyaXgoMC43OTkxNDUgMCAwIDAuNzk5Nzk2IDQ2OC43OTUgNzM4KSI+&#10;aWRlbnRpZmllZDwvdGV4dD48dGV4dCBmb250LWZhbWlseT0iQXJpYWwsQXJpYWxfTVNGb250U2Vy&#10;dmljZSxBcmlhbCIgZm9udC13ZWlnaHQ9IjQwMCIgZm9udC1zaXplPSIxNyIgdHJhbnNmb3JtPSJt&#10;YXRyaXgoMC43OTkxNDUgMCAwIDAuNzk5Nzk2IDQ1OS40NzIgNzU2KSI+4oCiPC90ZXh0Pjx0ZXh0&#10;IGZvbnQtZmFtaWx5PSJDYWxpYnJpLENhbGlicmlfTVNGb250U2VydmljZSxBcmlhbCIgZm9udC13&#10;ZWlnaHQ9IjQwMCIgZm9udC1zaXplPSIxNyIgdHJhbnNmb3JtPSJtYXRyaXgoMC43OTkxNDUgMCAw&#10;IDAuNzk5Nzk2IDQ2OC43OTUgNzU2KSI+SUFIUCBmdW5kaW5nIGRhdGEgZnJvbSB0aGUgPC90ZXh0&#10;Pjx0ZXh0IGZvbnQtZmFtaWx5PSJDYWxpYnJpLENhbGlicmlfTVNGb250U2VydmljZSxBcmlhbCIg&#10;Zm9udC13ZWlnaHQ9IjQwMCIgZm9udC1zaXplPSIxNyIgdHJhbnNmb3JtPSJtYXRyaXgoMC43OTkx&#10;NDUgMCAwIDAuNzk5Nzk2IDQ2OC43OTUgNzcwKSI+ZGVwYXJ0bWVudCBhbmQgPC90ZXh0Pjx0ZXh0&#10;IGZvbnQtZmFtaWx5PSJDYWxpYnJpLENhbGlicmlfTVNGb250U2VydmljZSxBcmlhbCIgZm9udC13&#10;ZWlnaHQ9IjQwMCIgZm9udC1zaXplPSIxNyIgdHJhbnNmb3JtPSJtYXRyaXgoMC43OTkxNDUgMCAw&#10;IDAuNzk5Nzk2IDU2My4wMjcgNzcwKSI+R3JhbnRDb25uZWN0PC90ZXh0PjxwYXRoIGQ9Ik02ODQu&#10;MDY4IDY5NC40NTdDNzAxLjgyNyA2OTIuODkxIDcyMS41OSA2OTcuMDc3IDc0OC42NjYgNjk0LjQ1&#10;NyA3NzUuNzQyIDY5MS44MzggNzc5LjQyOSA2OTUuMzIyIDgwOS4yNyA2OTQuNDU3IDgzOS4xMTEg&#10;NjkzLjU5MyA4NjUuMjQzIDY5My4wNTIgODgzLjg1NSA2OTQuNDU3IDg4MyA3MDUuOSA4ODQuMDU0&#10;IDcxOS43MDYgODgzLjg1NSA3MzIuODMyIDg4My42NTUgNzQ1Ljk1OCA4ODMuNzE5IDc2NC43MTEg&#10;ODgzLjg1NSA3NzIuNzczIDg1Ny44MDMgNzcxLjc5OCA4MzkuNzAyIDc3My42MzcgODIxLjI1OCA3&#10;NzIuNzczIDgwMi44MDUgNzcxLjkxIDc4OS42MzkgNzcwLjg1NiA3NTguNjU1IDc3Mi43NzMgNzI3&#10;LjY3MSA3NzQuNjkxIDcwMi4wMDMgNzc1LjIxOCA2ODQuMDY4IDc3Mi43NzMgNjg1Ljc5OSA3NTku&#10;NDQ2IDY4Mi42MjkgNzQ4LjU1OCA2ODQuMDY4IDczNS45NjUgNjg1LjUwOCA3MjMuMzczIDY4My40&#10;MjMgNzEwLjIwMSA2ODQuMDY4IDY5NC40NTdaIiBmaWxsPSIjRkZGRkZGIiBmaWxsLXJ1bGU9ImV2&#10;ZW5vZGQiIHRyYW5zZm9ybT0ibWF0cml4KDEgMCAwIDEuMDAwODEgLTAuNzk5MTQ1IDEuODAwODIp&#10;Ii8+PHBhdGggZD0iTTY4NC4wNjggNjk0LjQ1N0M3MTUuMDYxIDY5NC4xMiA3MjcuOTUyIDY5MS40&#10;NTQgNzQ4LjY2NiA2OTQuNDU3IDc2OS4zOCA2OTcuNDYgNzg0Ljg4OCA2OTIuNjk4IDgxNS4yNjQg&#10;Njk0LjQ1NyA4NDUuNjMyIDY5Ni4yMTYgODYxLjM1OSA2OTUuODI0IDg4My44NTUgNjk0LjQ1NyA4&#10;ODMuMDE2IDcxMC42NjggODgyLjA0OSA3MTUuNTE4IDg4My44NTUgNzMzLjYxNSA4ODUuNjYxIDc1&#10;MS43MTMgODg1LjIyOSA3NTcuNDM4IDg4My44NTUgNzcyLjc3MyA4NTYuMzMyIDc3NC4yNjcgODM2&#10;LjczNyA3NzAuMTQ3IDgxNy4yNjIgNzcyLjc3MyA3OTcuNzc5IDc3NS4zOTkgNzgzLjI5NCA3NzQu&#10;OTE4IDc1NC42NTkgNzcyLjc3MyA3MjYuMDI0IDc3MC42MjkgNzA3LjY3NCA3NzUuODE3IDY4NC4w&#10;NjggNzcyLjc3MyA2ODIuMjE1IDc1NC42MTIgNjgzLjA2OSA3NTIuNDg4IDY4NC4wNjggNzM0LjM5&#10;OCA2ODUuMDY4IDcxNi4zMDkgNjgzLjYzOCA3MDguMDAxIDY4NC4wNjggNjk0LjQ1N1oiIHN0cm9r&#10;ZT0iIzAwMDAwMCIgc3Ryb2tlLXdpZHRoPSIxLjMzMTkxIiBzdHJva2UtbGluZWpvaW49InJvdW5k&#10;IiBzdHJva2UtbWl0ZXJsaW1pdD0iMTAiIGZpbGw9Im5vbmUiIGZpbGwtcnVsZT0iZXZlbm9kZCIg&#10;dHJhbnNmb3JtPSJtYXRyaXgoMSAwIDAgMS4wMDA4MSAtMC43OTkxNDUgMS44MDA4MikiLz48dGV4&#10;dCBmb250LWZhbWlseT0iQXJpYWwsQXJpYWxfTVNGb250U2VydmljZSxBcmlhbCIgZm9udC13ZWln&#10;aHQ9IjQwMCIgZm9udC1zaXplPSIxNyIgdHJhbnNmb3JtPSJtYXRyaXgoMC43OTkxNDUgMCAwIDAu&#10;Nzk5Nzk2IDY4Ni42NTcgNzEzKSI+4oCiPC90ZXh0Pjx0ZXh0IGZvbnQtZmFtaWx5PSJDYWxpYnJp&#10;LENhbGlicmlfTVNGb250U2VydmljZSxBcmlhbCIgZm9udC13ZWlnaHQ9IjQwMCIgZm9udC1zaXpl&#10;PSIxNyIgdHJhbnNmb3JtPSJtYXRyaXgoMC43OTkxNDUgMCAwIDAuNzk5Nzk2IDY5NS45OCA3MTMp&#10;Ij5GaXZlIGNvbnRyaWJ1dGlvbiBjYXNlczwvdGV4dD48dGV4dCBmb250LWZhbWlseT0iQXJpYWws&#10;QXJpYWxfTVNGb250U2VydmljZSxBcmlhbCIgZm9udC13ZWlnaHQ9IjQwMCIgZm9udC1zaXplPSIx&#10;NyIgdHJhbnNmb3JtPSJtYXRyaXgoMC43OTkxNDUgMCAwIDAuNzk5Nzk2IDY4Ni42NTcgNzMxKSI+&#10;4oCiPC90ZXh0Pjx0ZXh0IGZvbnQtZmFtaWx5PSJDYWxpYnJpLENhbGlicmlfTVNGb250U2Vydmlj&#10;ZSxBcmlhbCIgZm9udC13ZWlnaHQ9IjQwMCIgZm9udC1zaXplPSIxNyIgdHJhbnNmb3JtPSJtYXRy&#10;aXgoMC43OTkxNDUgMCAwIDAuNzk5Nzk2IDY5NS45OCA3MzEpIj5JbnRlcnZpZXcgdHJhbnNjcmlw&#10;dHM8L3RleHQ+PHRleHQgZm9udC1mYW1pbHk9IkFyaWFsLEFyaWFsX01TRm9udFNlcnZpY2UsQXJp&#10;YWwiIGZvbnQtd2VpZ2h0PSI0MDAiIGZvbnQtc2l6ZT0iMTciIHRyYW5zZm9ybT0ibWF0cml4KDAu&#10;Nzk5MTQ1IDAgMCAwLjc5OTc5NiA2ODYuNjU3IDc1MCkiPuKAojwvdGV4dD48dGV4dCBmb250LWZh&#10;bWlseT0iQ2FsaWJyaSxDYWxpYnJpX01TRm9udFNlcnZpY2UsQXJpYWwiIGZvbnQtd2VpZ2h0PSI0&#10;MDAiIGZvbnQtc2l6ZT0iMTciIHRyYW5zZm9ybT0ibWF0cml4KDAuNzk5MTQ1IDAgMCAwLjc5OTc5&#10;NiA2OTUuOTggNzUwKSI+Q29udHJpYnV0aW9uIGNhc2UgZGlhZ3JhbXM8L3RleHQ+PHBhdGggZD0i&#10;TTkwNS40MzIgNjAwLjk1N0M5MjguOTM1IDU5OC4xMjMgOTUwLjAwOCA2MDIuNTY4IDk3MS41Nzcg&#10;NjAwLjk1NyA5OTMuMTQ2IDU5OS4zNDYgMTAxOS43NCA1OTkuMTkgMTAzMy42NCA2MDAuOTU3IDEw&#10;NDcuNTQgNjAyLjcyNCAxMDgxLjYzIDYwMC4xMjUgMTExMC4wMSA2MDAuOTU3IDExMDkuNDggNjI0&#10;LjgxNSAxMTEwLjM5IDY0My45MiAxMTEwLjAxIDY1Ni41MTEgMTEwOS42NCA2NjkuMTAzIDExMDgu&#10;ODUgNjk3LjgwOCAxMTEwLjAxIDcxMC4zNDcgMTExMS4xNyA3MjIuODg2IDExMDcuOTIgNzQzLjM1&#10;NCAxMTEwLjAxIDc3Mi43NzMgMTA4Ny44OCA3NjkuNjIyIDEwNzQuODYgNzY5LjkzMyAxMDQxLjgy&#10;IDc3Mi43NzMgMTAwOC43OSA3NzUuNjE0IDk5MC43ODggNzczLjgzMiA5NjkuNTMxIDc3Mi43NzMg&#10;OTQ4LjI3NCA3NzEuNzE1IDkyOC4wMjMgNzc0LjA4MyA5MDUuNDMyIDc3Mi43NzMgOTA2LjI3OSA3&#10;NDcuOTIgOTA1Ljc5MSA3MjcuOTYgOTA1LjQzMiA3MTUuNTAxIDkwNS4wNzIgNzAzLjA0MiA5MDcu&#10;ODQ1IDY3NS45ODIgOTA1LjQzMiA2NTkuOTQ4IDkwMy4wMTggNjQzLjkxMyA5MDMuMjQyIDYzMC4w&#10;OTkgOTA1LjQzMiA2MDAuOTU3WiIgZmlsbD0iI0ZGRkZGRiIgZmlsbC1ydWxlPSJldmVub2RkIiB0&#10;cmFuc2Zvcm09Im1hdHJpeCgxIDAgMCAxLjAwMDgxIC0wLjc5OTE0NSAxLjgwMDgyKSIvPjxwYXRo&#10;IGQ9Ik05MDUuNDMyIDYwMC45NTdDOTIyLjg1MyA2MDQuMTA1IDk0NC41OTggNjAwLjE2OSA5NzEu&#10;NTc3IDYwMC45NTcgOTk4LjU2NCA2MDEuNzQ1IDEwMDcuODQgNjA0LjMyMiAxMDM5Ljc4IDYwMC45&#10;NTcgMTA3MS43MSA1OTcuNTkyIDEwOTIuNDEgNTk5LjM0MyAxMTEwLjAxIDYwMC45NTcgMTEwOC43&#10;OCA2MTguMTM2IDExMTEuNDkgNjM0LjcwMiAxMTEwLjAxIDY1OS45NDggMTEwOC41MyA2ODUuMTk0&#10;IDExMTEuMjMgNjk2Ljk1OSAxMTEwLjAxIDcxMi4wNjUgMTEwOC44IDcyNy4xNyAxMTEwLjg1IDc0&#10;OS4wMzEgMTExMC4wMSA3NzIuNzczIDEwOTQuMTggNzcxLjc4NiAxMDY3LjA0IDc3Ni4xMiAxMDM3&#10;LjczIDc3Mi43NzMgMTAwOC40MSA3NjkuNDI3IDk4NS4zMzggNzcwLjg0MyA5NjUuNDM5IDc3Mi43&#10;NzMgOTQ1LjU0OSA3NzQuNzA0IDkyNS44MDIgNzc1LjM0OCA5MDUuNDMyIDc3Mi43NzMgOTA0Ljg4&#10;IDc1MS43MTEgOTA3LjQwNSA3MjguNjAxIDkwNS40MzIgNzE3LjIxOSA5MDMuNDU4IDcwNS44Mzgg&#10;OTA1LjI4IDY3OS44MzggOTA1LjQzMiA2NTkuOTQ4IDkwNS41ODMgNjQwLjA1NyA5MDUuMzg0IDYy&#10;MS44OTEgOTA1LjQzMiA2MDAuOTU3WiIgc3Ryb2tlPSIjMDAwMDAwIiBzdHJva2Utd2lkdGg9IjEu&#10;MzMxOTEiIHN0cm9rZS1saW5lam9pbj0icm91bmQiIHN0cm9rZS1taXRlcmxpbWl0PSIxMCIgZmls&#10;bD0ibm9uZSIgZmlsbC1ydWxlPSJldmVub2RkIiB0cmFuc2Zvcm09Im1hdHJpeCgxIDAgMCAxLjAw&#10;MDgxIC0wLjc5OTE0NSAxLjgwMDgyKSIvPjx0ZXh0IGZvbnQtZmFtaWx5PSJBcmlhbCxBcmlhbF9N&#10;U0ZvbnRTZXJ2aWNlLEFyaWFsIiBmb250LXdlaWdodD0iNDAwIiBmb250LXNpemU9IjE3IiB0cmFu&#10;c2Zvcm09Im1hdHJpeCgwLjc5OTE0NSAwIDAgMC43OTk3OTYgOTA4LjE1NyA2MTkpIj7igKI8L3Rl&#10;eHQ+PHRleHQgZm9udC1mYW1pbHk9IkNhbGlicmksQ2FsaWJyaV9NU0ZvbnRTZXJ2aWNlLEFyaWFs&#10;IiBmb250LXdlaWdodD0iNDAwIiBmb250LXNpemU9IjE3IiB0cmFuc2Zvcm09Im1hdHJpeCgwLjc5&#10;OTE0NSAwIDAgMC43OTk3OTYgOTE3LjQ4MyA2MTkpIj5Qcm9qZWN0IHByb3RvY29sPC90ZXh0Pjx0&#10;ZXh0IGZvbnQtZmFtaWx5PSJBcmlhbCxBcmlhbF9NU0ZvbnRTZXJ2aWNlLEFyaWFsIiBmb250LXdl&#10;aWdodD0iNDAwIiBmb250LXNpemU9IjE3IiB0cmFuc2Zvcm09Im1hdHJpeCgwLjc5OTE0NSAwIDAg&#10;MC43OTk3OTYgOTA4LjE1NyA2MzgpIj7igKI8L3RleHQ+PHRleHQgZm9udC1mYW1pbHk9IkNhbGli&#10;cmksQ2FsaWJyaV9NU0ZvbnRTZXJ2aWNlLEFyaWFsIiBmb250LXdlaWdodD0iNDAwIiBmb250LXNp&#10;emU9IjE3IiB0cmFuc2Zvcm09Im1hdHJpeCgwLjc5OTE0NSAwIDAgMC43OTk3OTYgOTE3LjQ4MyA2&#10;MzgpIj5DeWNsZSA8L3RleHQ+PHRleHQgZm9udC1mYW1pbHk9IkNhbGlicmksQ2FsaWJyaV9NU0Zv&#10;bnRTZXJ2aWNlLEFyaWFsIiBmb250LXdlaWdodD0iNDAwIiBmb250LXNpemU9IjE3IiB0cmFuc2Zv&#10;cm09Im1hdHJpeCgwLjc5OTE0NSAwIDAgMC43OTk3OTYgOTQ5LjQ0OSA2MzgpIj4xIDwvdGV4dD48&#10;dGV4dCBmb250LWZhbWlseT0iQ2FsaWJyaSxDYWxpYnJpX01TRm9udFNlcnZpY2UsQXJpYWwiIGZv&#10;bnQtd2VpZ2h0PSI0MDAiIGZvbnQtc2l6ZT0iMTciIHRyYW5zZm9ybT0ibWF0cml4KDAuNzk5MTQ1&#10;IDAgMCAwLjc5OTc5NiA5NTkuODM3IDYzOCkiPmludGVyaW0gcmVwb3J0PC90ZXh0Pjx0ZXh0IGZv&#10;bnQtZmFtaWx5PSJBcmlhbCxBcmlhbF9NU0ZvbnRTZXJ2aWNlLEFyaWFsIiBmb250LXdlaWdodD0i&#10;NDAwIiBmb250LXNpemU9IjE3IiB0cmFuc2Zvcm09Im1hdHJpeCgwLjc5OTE0NSAwIDAgMC43OTk3&#10;OTYgOTA4LjE1NyA2NTYpIj7igKI8L3RleHQ+PHRleHQgZm9udC1mYW1pbHk9IkNhbGlicmksQ2Fs&#10;aWJyaV9NU0ZvbnRTZXJ2aWNlLEFyaWFsIiBmb250LXdlaWdodD0iNDAwIiBmb250LXNpemU9IjE3&#10;IiB0cmFuc2Zvcm09Im1hdHJpeCgwLjc5OTE0NSAwIDAgMC43OTk3OTYgOTE3LjQ4MyA2NTYpIj5D&#10;eWNsZSA8L3RleHQ+PHRleHQgZm9udC1mYW1pbHk9IkNhbGlicmksQ2FsaWJyaV9NU0ZvbnRTZXJ2&#10;aWNlLEFyaWFsIiBmb250LXdlaWdodD0iNDAwIiBmb250LXNpemU9IjE3IiB0cmFuc2Zvcm09Im1h&#10;dHJpeCgwLjc5OTE0NSAwIDAgMC43OTk3OTYgOTQ5LjQ0OSA2NTYpIj4yIDwvdGV4dD48dGV4dCBm&#10;b250LWZhbWlseT0iQ2FsaWJyaSxDYWxpYnJpX01TRm9udFNlcnZpY2UsQXJpYWwiIGZvbnQtd2Vp&#10;Z2h0PSI0MDAiIGZvbnQtc2l6ZT0iMTciIHRyYW5zZm9ybT0ibWF0cml4KDAuNzk5MTQ1IDAgMCAw&#10;Ljc5OTc5NiA5NTkuODM3IDY1NikiPmludGVyaW0gcmVwb3J0PC90ZXh0Pjx0ZXh0IGZvbnQtZmFt&#10;aWx5PSJBcmlhbCxBcmlhbF9NU0ZvbnRTZXJ2aWNlLEFyaWFsIiBmb250LXdlaWdodD0iNDAwIiBm&#10;b250LXNpemU9IjE3IiB0cmFuc2Zvcm09Im1hdHJpeCgwLjc5OTE0NSAwIDAgMC43OTk3OTYgOTA4&#10;LjE1NyA2NzQpIj7igKI8L3RleHQ+PHRleHQgZm9udC1mYW1pbHk9IkNhbGlicmksQ2FsaWJyaV9N&#10;U0ZvbnRTZXJ2aWNlLEFyaWFsIiBmb250LXdlaWdodD0iNDAwIiBmb250LXNpemU9IjE3IiB0cmFu&#10;c2Zvcm09Im1hdHJpeCgwLjc5OTE0NSAwIDAgMC43OTk3OTYgOTE3LjQ4MyA2NzQpIj5BcHBlbmRp&#10;Y2VzIHdpdGggc3VwcG9ydGluZyA8L3RleHQ+PHRleHQgZm9udC1mYW1pbHk9IkNhbGlicmksQ2Fs&#10;aWJyaV9NU0ZvbnRTZXJ2aWNlLEFyaWFsIiBmb250LXdlaWdodD0iNDAwIiBmb250LXNpemU9IjE3&#10;IiB0cmFuc2Zvcm09Im1hdHJpeCgwLjc5OTE0NSAwIDAgMC43OTk3OTYgOTE3LjQ4MyA2ODkpIj5t&#10;YXRlcmlhbHMgPC90ZXh0Pjx0ZXh0IGZvbnQtZmFtaWx5PSJDYWxpYnJpLENhbGlicmlfTVNGb250&#10;U2VydmljZSxBcmlhbCIgZm9udC13ZWlnaHQ9IjQwMCIgZm9udC1zaXplPSIxNyIgdHJhbnNmb3Jt&#10;PSJtYXRyaXgoMC43OTkxNDUgMCAwIDAuNzk5Nzk2IDk3Mi42MjQgNjg5KSI+KDwvdGV4dD48dGV4&#10;dCBmb250LWZhbWlseT0iQ2FsaWJyaSxDYWxpYnJpX01TRm9udFNlcnZpY2UsQXJpYWwiIGZvbnQt&#10;d2VpZ2h0PSI0MDAiIGZvbnQtc2l6ZT0iMTciIHRyYW5zZm9ybT0ibWF0cml4KDAuNzk5MTQ1IDAg&#10;MCAwLjc5OTc5NiA5NzYuNjIgNjg5KSI+aW5jbDwvdGV4dD48dGV4dCBmb250LWZhbWlseT0iQ2Fs&#10;aWJyaSxDYWxpYnJpX01TRm9udFNlcnZpY2UsQXJpYWwiIGZvbnQtd2VpZ2h0PSI0MDAiIGZvbnQt&#10;c2l6ZT0iMTciIHRyYW5zZm9ybT0ibWF0cml4KDAuNzk5MTQ1IDAgMCAwLjc5OTc5NiA5OTMuNDAy&#10;IDY4OSkiPi4gPC90ZXh0Pjx0ZXh0IGZvbnQtZmFtaWx5PSJDYWxpYnJpLENhbGlicmlfTVNGb250&#10;U2VydmljZSxBcmlhbCIgZm9udC13ZWlnaHQ9IjQwMCIgZm9udC1zaXplPSIxNyIgdHJhbnNmb3Jt&#10;PSJtYXRyaXgoMC43OTkxNDUgMCAwIDAuNzk5Nzk2IDk5OS43MzEgNjg5KSI+bWV0aG9kb2xvZ3kg&#10;YW5kIDwvdGV4dD48dGV4dCBmb250LWZhbWlseT0iQ2FsaWJyaSxDYWxpYnJpX01TRm9udFNlcnZp&#10;Y2UsQXJpYWwiIGZvbnQtd2VpZ2h0PSI0MDAiIGZvbnQtc2l6ZT0iMTciIHRyYW5zZm9ybT0ibWF0&#10;cml4KDAuNzk5MTQ1IDAgMCAwLjc5OTc5NiA5MTcuNDgzIDcwMykiPklBSFAgaW5mb3JtYXRpb248&#10;L3RleHQ+PHRleHQgZm9udC1mYW1pbHk9IkNhbGlicmksQ2FsaWJyaV9NU0ZvbnRTZXJ2aWNlLEFy&#10;aWFsIiBmb250LXdlaWdodD0iNDAwIiBmb250LXNpemU9IjE3IiB0cmFuc2Zvcm09Im1hdHJpeCgw&#10;Ljc5OTE0NSAwIDAgMC43OTk3OTYgMTAxMy4zOCA3MDMpIj4pPC90ZXh0Pjx0ZXh0IGZvbnQtZmFt&#10;aWx5PSJBcmlhbCxBcmlhbF9NU0ZvbnRTZXJ2aWNlLEFyaWFsIiBmb250LXdlaWdodD0iNDAwIiBm&#10;b250LXNpemU9IjE3IiB0cmFuc2Zvcm09Im1hdHJpeCgwLjc5OTE0NSAwIDAgMC43OTk3OTYgOTA4&#10;LjE1NyA3MjIpIj7igKI8L3RleHQ+PHRleHQgZm9udC1mYW1pbHk9IkNhbGlicmksQ2FsaWJyaV9N&#10;U0ZvbnRTZXJ2aWNlLEFyaWFsIiBmb250LXdlaWdodD0iNDAwIiBmb250LXNpemU9IjE3IiB0cmFu&#10;c2Zvcm09Im1hdHJpeCgwLjc5OTE0NSAwIDAgMC43OTk3OTYgOTE3LjQ4MyA3MjIpIj5JbnRlcm5h&#10;bCB3b3JraW5nIHBhcGVyczwvdGV4dD48dGV4dCBmb250LWZhbWlseT0iQXJpYWwsQXJpYWxfTVNG&#10;b250U2VydmljZSxBcmlhbCIgZm9udC13ZWlnaHQ9IjQwMCIgZm9udC1zaXplPSIxNyIgdHJhbnNm&#10;b3JtPSJtYXRyaXgoMC43OTkxNDUgMCAwIDAuNzk5Nzk2IDkwOC4xNTcgNzQwKSI+4oCiPC90ZXh0&#10;Pjx0ZXh0IGZvbnQtZmFtaWx5PSJDYWxpYnJpLENhbGlicmlfTVNGb250U2VydmljZSxBcmlhbCIg&#10;Zm9udC13ZWlnaHQ9IjQwMCIgZm9udC1zaXplPSIxNyIgdHJhbnNmb3JtPSJtYXRyaXgoMC43OTkx&#10;NDUgMCAwIDAuNzk5Nzk2IDkxNy40ODMgNzQwKSI+Q29sbGFib3JhdGl2ZSByZXBvcnRzPC90ZXh0&#10;Pjx0ZXh0IGZvbnQtZmFtaWx5PSJDYWxpYnJpLENhbGlicmlfTVNGb250U2VydmljZSxBcmlhbCIg&#10;Zm9udC13ZWlnaHQ9IjcwMCIgZm9udC1zaXplPSIxNyIgdHJhbnNmb3JtPSJtYXRyaXgoMC43OTkx&#10;NDUgMCAwIDAuNzk5Nzk2IDMwNS4xMjYgMjEwKSI+TWV0aG9kczwvdGV4dD48cGF0aCBkPSJNMzc3&#10;LjU5NiAyMDMuMzgyIDQzNS4yODUgMjAzLjM4MiIgc3Ryb2tlPSIjMDAwMDAwIiBzdHJva2Utd2lk&#10;dGg9IjEuOTk3ODYiIHN0cm9rZS1taXRlcmxpbWl0PSI4IiBmaWxsPSJub25lIiBmaWxsLXJ1bGU9&#10;ImV2ZW5vZGQiIHRyYW5zZm9ybT0ibWF0cml4KDEgMCAwIDEuMDAwODEgLTAuNzk5MTQ1IDEuODAw&#10;ODIpIi8+PHBhdGggZD0iTTIzNi45NDcgMjAzLjM4MiAyOTUuODA5IDIwMy4zODIiIHN0cm9rZT0i&#10;IzAwMDAwMCIgc3Ryb2tlLXdpZHRoPSIxLjk5Nzg2IiBzdHJva2UtbWl0ZXJsaW1pdD0iOCIgZmls&#10;bD0ibm9uZSIgZmlsbC1ydWxlPSJldmVub2RkIiB0cmFuc2Zvcm09Im1hdHJpeCgxIDAgMCAxLjAw&#10;MDgxIC0wLjc5OTE0NSAxLjgwMDgyKSIvPjx0ZXh0IGZvbnQtZmFtaWx5PSJDYWxpYnJpLENhbGli&#10;cmlfTVNGb250U2VydmljZSxBcmlhbCIgZm9udC13ZWlnaHQ9IjcwMCIgZm9udC1zaXplPSIxNyIg&#10;dHJhbnNmb3JtPSJtYXRyaXgoMC43OTkxNDUgMCAwIDAuNzk5Nzk2IDMwNy44MjYgNTI2KSI+QW5h&#10;bHlzaXM8L3RleHQ+PHBhdGggZD0iTTM3Mi4wMDIgNTE5LjA0NSA0MzUuOTM0IDUxOS4wNDUiIHN0&#10;cm9rZT0iIzAwMDAwMCIgc3Ryb2tlLXdpZHRoPSIxLjk5Nzg2IiBzdHJva2UtbWl0ZXJsaW1pdD0i&#10;OCIgZmlsbD0ibm9uZSIgZmlsbC1ydWxlPSJldmVub2RkIiB0cmFuc2Zvcm09Im1hdHJpeCgxIDAg&#10;MCAxLjAwMDgxIC0wLjc5OTE0NSAxLjgwMDgyKSIvPjxwYXRoIGQ9Ik0yMzUuMzQ4IDUxOS4wNDUg&#10;Mjk3Ljk5IDUxOS4wNDUiIHN0cm9rZT0iIzAwMDAwMCIgc3Ryb2tlLXdpZHRoPSIxLjk5Nzg2IiBz&#10;dHJva2UtbWl0ZXJsaW1pdD0iOCIgZmlsbD0ibm9uZSIgZmlsbC1ydWxlPSJldmVub2RkIiB0cmFu&#10;c2Zvcm09Im1hdHJpeCgxIDAgMCAxLjAwMDgxIC0wLjc5OTE0NSAxLjgwMDgyKSIvPjx0ZXh0IGZv&#10;bnQtZmFtaWx5PSJDYWxpYnJpLENhbGlicmlfTVNGb250U2VydmljZSxBcmlhbCIgZm9udC13ZWln&#10;aHQ9IjcwMCIgZm9udC1zaXplPSIxNyIgdHJhbnNmb3JtPSJtYXRyaXgoMC43OTkxNDUgMCAwIDAu&#10;Nzk5Nzk2IDUyOS41NTMgMjEwKSI+TWV0aG9kczwvdGV4dD48cGF0aCBkPSJNNjAxLjM1NyAyMDMu&#10;MzgyIDY1OS4wNDYgMjAzLjM4MiIgc3Ryb2tlPSIjMDAwMDAwIiBzdHJva2Utd2lkdGg9IjEuOTk3&#10;ODYiIHN0cm9rZS1taXRlcmxpbWl0PSI4IiBmaWxsPSJub25lIiBmaWxsLXJ1bGU9ImV2ZW5vZGQi&#10;IHRyYW5zZm9ybT0ibWF0cml4KDEgMCAwIDEuMDAwODEgLTAuNzk5MTQ1IDEuODAwODIpIi8+PHBh&#10;dGggZD0iTTQ2MS41MDYgMjAzLjM4MiA1MjAuMzY5IDIwMy4zODIiIHN0cm9rZT0iIzAwMDAwMCIg&#10;c3Ryb2tlLXdpZHRoPSIxLjk5Nzg2IiBzdHJva2UtbWl0ZXJsaW1pdD0iOCIgZmlsbD0ibm9uZSIg&#10;ZmlsbC1ydWxlPSJldmVub2RkIiB0cmFuc2Zvcm09Im1hdHJpeCgxIDAgMCAxLjAwMDgxIC0wLjc5&#10;OTE0NSAxLjgwMDgyKSIvPjx0ZXh0IGZvbnQtZmFtaWx5PSJDYWxpYnJpLENhbGlicmlfTVNGb250&#10;U2VydmljZSxBcmlhbCIgZm9udC13ZWlnaHQ9IjcwMCIgZm9udC1zaXplPSIxNyIgdHJhbnNmb3Jt&#10;PSJtYXRyaXgoMC43OTkxNDUgMCAwIDAuNzk5Nzk2IDUzMS40NzQgNDU0KSI+QW5hbHlzaXM8L3Rl&#10;eHQ+PHBhdGggZD0iTTU5NS43NjMgNDQ3LjEyMiA2NTkuNjk0IDQ0Ny4xMjIiIHN0cm9rZT0iIzAw&#10;MDAwMCIgc3Ryb2tlLXdpZHRoPSIxLjk5Nzg2IiBzdHJva2UtbWl0ZXJsaW1pdD0iOCIgZmlsbD0i&#10;bm9uZSIgZmlsbC1ydWxlPSJldmVub2RkIiB0cmFuc2Zvcm09Im1hdHJpeCgxIDAgMCAxLjAwMDgx&#10;IC0wLjc5OTE0NSAxLjgwMDgyKSIvPjxwYXRoIGQ9Ik00NTkuMTA5IDQ0Ny4xMjIgNTIxLjc1MSA0&#10;NDcuMTIyIiBzdHJva2U9IiMwMDAwMDAiIHN0cm9rZS13aWR0aD0iMS45OTc4NiIgc3Ryb2tlLW1p&#10;dGVybGltaXQ9IjgiIGZpbGw9Im5vbmUiIGZpbGwtcnVsZT0iZXZlbm9kZCIgdHJhbnNmb3JtPSJt&#10;YXRyaXgoMSAwIDAgMS4wMDA4MSAtMC43OTkxNDUgMS44MDA4MikiLz48dGV4dCBmaWxsPSIjRkZG&#10;RkZGIiBmb250LWZhbWlseT0iQ2FsaWJyaSxDYWxpYnJpX01TRm9udFNlcnZpY2UsQXJpYWwiIGZv&#10;bnQtd2VpZ2h0PSI0MDAiIGZvbnQtc2l6ZT0iMTciIHRyYW5zZm9ybT0ibWF0cml4KDAuNzk5MTQ1&#10;IDAgMCAwLjc5OTc5NiAzNDQuOTQxIDEzOSkiPi4uLjwvdGV4dD48dGV4dCBmaWxsPSIjRkZGRkZG&#10;IiBmb250LWZhbWlseT0iQ2FsaWJyaSxDYWxpYnJpX01TRm9udFNlcnZpY2UsQXJpYWwiIGZvbnQt&#10;d2VpZ2h0PSI0MDAiIGZvbnQtc2l6ZT0iMTciIHRyYW5zZm9ybT0ibWF0cml4KDAuNzk5MTQ1IDAg&#10;MCAwLjc5OTc5NiAzNTQuNTMgMTM5KSI+Z2F0aGVyIGluZm9ybWF0aW9uIDwvdGV4dD48dGV4dCBm&#10;aWxsPSIjRkZGRkZGIiBmb250LWZhbWlseT0iQ2FsaWJyaSxDYWxpYnJpX01TRm9udFNlcnZpY2Us&#10;QXJpYWwiIGZvbnQtd2VpZ2h0PSI0MDAiIGZvbnQtc2l6ZT0iMTciIHRyYW5zZm9ybT0ibWF0cml4&#10;KDAuNzk5MTQ1IDAgMCAwLjc5OTc5NiAzNDQuOTQxIDE1MykiPm9uIGEgc3BlY2lmaWMgdG9waWMg&#10;b3IgPC90ZXh0Pjx0ZXh0IGZpbGw9IiNGRkZGRkYiIGZvbnQtZmFtaWx5PSJDYWxpYnJpLENhbGli&#10;cmlfTVNGb250U2VydmljZSxBcmlhbCIgZm9udC13ZWlnaHQ9IjQwMCIgZm9udC1zaXplPSIxNyIg&#10;dHJhbnNmb3JtPSJtYXRyaXgoMC43OTkxNDUgMCAwIDAuNzk5Nzk2IDM0NC45NDEgMTY3KSI+Y29u&#10;Y2VwdDwvdGV4dD48dGV4dCBmaWxsPSIjRkZGRkZGIiBmb250LWZhbWlseT0iQ2FsaWJyaSxDYWxp&#10;YnJpX01TRm9udFNlcnZpY2UsQXJpYWwiIGZvbnQtd2VpZ2h0PSI0MDAiIGZvbnQtc2l6ZT0iMTci&#10;IHRyYW5zZm9ybT0ibWF0cml4KDAuNzk5MTQ1IDAgMCAwLjc5OTc5NiA0ODkuNjggMTM5KSI+4oCm&#10;PC90ZXh0Pjx0ZXh0IGZpbGw9IiNGRkZGRkYiIGZvbnQtZmFtaWx5PSJDYWxpYnJpLENhbGlicmlf&#10;TVNGb250U2VydmljZSxBcmlhbCIgZm9udC13ZWlnaHQ9IjQwMCIgZm9udC1zaXplPSIxNyIgdHJh&#10;bnNmb3JtPSJtYXRyaXgoMC43OTkxNDUgMCAwIDAuNzk5Nzk2IDQ5OS4yNyAxMzkpIj5wcm92aWRl&#10;IGFuIG92ZXJ2aWV3PC90ZXh0Pjx0ZXh0IGZpbGw9IiNGRkZGRkYiIGZvbnQtZmFtaWx5PSJDYWxp&#10;YnJpLENhbGlicmlfTVNGb250U2VydmljZSxBcmlhbCIgZm9udC13ZWlnaHQ9IjQwMCIgZm9udC1z&#10;aXplPSIxNyIgdHJhbnNmb3JtPSJtYXRyaXgoMC43OTkxNDUgMCAwIDAuNzk5Nzk2IDQ4OS42OCAx&#10;NTMpIj5vZiBjdXJyZW50IGtub3dsZWRnZSA8L3RleHQ+PHRleHQgZmlsbD0iI0ZGRkZGRiIgZm9u&#10;dC1mYW1pbHk9IkNhbGlicmksQ2FsaWJyaV9NU0ZvbnRTZXJ2aWNlLEFyaWFsIiBmb250LXdlaWdo&#10;dD0iNDAwIiBmb250LXNpemU9IjE3IiB0cmFuc2Zvcm09Im1hdHJpeCgwLjc5OTE0NSAwIDAgMC43&#10;OTk3OTYgNDg5LjY4IDE2NykiPmFuZCBsaXRlcmF0dXJlPC90ZXh0PjwvZz48L3N2Zz5QSwMEFAAG&#10;AAgAAAAhANIqAiPjAAAADQEAAA8AAABkcnMvZG93bnJldi54bWxMj8FuwjAMhu+T9g6RJ+0GSaAg&#10;1jVFCG07oUmDSdNuoTFtRZNUTWjL28+cxs2WP/3+/mw92ob12IXaOwVyKoChK7ypXang+/A+WQEL&#10;UTujG+9QwRUDrPPHh0ynxg/uC/t9LBmFuJBqBVWMbcp5KCq0Okx9i45uJ99ZHWntSm46PVC4bfhM&#10;iCW3unb0odItbisszvuLVfAx6GEzl2/97nzaXn8Pi8+fnUSlnp/GzSuwiGP8h+GmT+qQk9PRX5wJ&#10;rFEwkXI1I1bBPKFSN2IhkgTYkSa5fBHA84zft8j/AA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egtf/UoDAACyBwAADgAAAAAAAAAAAAAAAABD&#10;AgAAZHJzL2Uyb0RvYy54bWxQSwECLQAKAAAAAAAAACEA/QFNhqQSDACkEgwAFAAAAAAAAAAAAAAA&#10;AAC5BQAAZHJzL21lZGlhL2ltYWdlMS5wbmdQSwECLQAKAAAAAAAAACEAsnJYXXwEAgB8BAIAFAAA&#10;AAAAAAAAAAAAAACPGAwAZHJzL21lZGlhL2ltYWdlMi5zdmdQSwECLQAUAAYACAAAACEA0ioCI+MA&#10;AAANAQAADwAAAAAAAAAAAAAAAAA9HQ4AZHJzL2Rvd25yZXYueG1sUEsBAi0AFAAGAAgAAAAhACJW&#10;Du7HAAAApQEAABkAAAAAAAAAAAAAAAAATR4OAGRycy9fcmVscy9lMm9Eb2MueG1sLnJlbHNQSwUG&#10;AAAAAAcABwC+AQAASx8OAAAA&#10;" o:allowoverlap="f">
                <v:shape id="Graphic 1" o:spid="_x0000_s1070" type="#_x0000_t75" style="position:absolute;top:84;width:103028;height:7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imxQAAAOIAAAAPAAAAZHJzL2Rvd25yZXYueG1sRE/LasJA&#10;FN0X/IfhFrqROkmkJqSOIlKhWx/o9pK5Jmkyd0Jm1Pj3HUFweTjv+XIwrbhS72rLCuJJBIK4sLrm&#10;UsFhv/nMQDiPrLG1TAru5GC5GL3NMdf2xlu67nwpQgi7HBVU3ne5lK6oyKCb2I44cGfbG/QB9qXU&#10;Pd5CuGllEkUzabDm0FBhR+uKimZ3MQpW2ZqHJGtMU/6NT2Z8/km/jgelPt6H1TcIT4N/iZ/uXx3m&#10;T+MojZN0Co9LAYNc/AMAAP//AwBQSwECLQAUAAYACAAAACEA2+H2y+4AAACFAQAAEwAAAAAAAAAA&#10;AAAAAAAAAAAAW0NvbnRlbnRfVHlwZXNdLnhtbFBLAQItABQABgAIAAAAIQBa9CxbvwAAABUBAAAL&#10;AAAAAAAAAAAAAAAAAB8BAABfcmVscy8ucmVsc1BLAQItABQABgAIAAAAIQDVkpimxQAAAOIAAAAP&#10;AAAAAAAAAAAAAAAAAAcCAABkcnMvZG93bnJldi54bWxQSwUGAAAAAAMAAwC3AAAA+QIAAAAA&#10;">
                  <v:imagedata r:id="rId55" o:title=""/>
                </v:shape>
                <v:shape id="Text Box 1" o:spid="_x0000_s1071" type="#_x0000_t202" style="position:absolute;left:1207;top:862;width:100582;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z5xwAAAOIAAAAPAAAAZHJzL2Rvd25yZXYueG1sRE9da8Iw&#10;FH0f7D+EO9jbTCubnZ1RRBwMhGGtDz5em2sbbG66JtP675fBYI+H8z1bDLYVF+q9cawgHSUgiCun&#10;DdcK9uX70ysIH5A1to5JwY08LOb3dzPMtbtyQZddqEUMYZ+jgiaELpfSVw1Z9CPXEUfu5HqLIcK+&#10;lrrHawy3rRwnyURaNBwbGuxo1VB13n1bBcsDF2vz9XncFqfClOU04c3krNTjw7B8AxFoCP/iP/eH&#10;jvOz7OU5TbMx/F6KGOT8BwAA//8DAFBLAQItABQABgAIAAAAIQDb4fbL7gAAAIUBAAATAAAAAAAA&#10;AAAAAAAAAAAAAABbQ29udGVudF9UeXBlc10ueG1sUEsBAi0AFAAGAAgAAAAhAFr0LFu/AAAAFQEA&#10;AAsAAAAAAAAAAAAAAAAAHwEAAF9yZWxzLy5yZWxzUEsBAi0AFAAGAAgAAAAhAAmj7PnHAAAA4gAA&#10;AA8AAAAAAAAAAAAAAAAABwIAAGRycy9kb3ducmV2LnhtbFBLBQYAAAAAAwADALcAAAD7AgAAAAA=&#10;" filled="f" stroked="f">
                  <v:textbox inset="0,0,0,0">
                    <w:txbxContent>
                      <w:p w14:paraId="00ACCD2F" w14:textId="156C2292" w:rsidR="004851C1" w:rsidRPr="004851C1" w:rsidRDefault="004851C1" w:rsidP="004851C1">
                        <w:pPr>
                          <w:spacing w:after="0" w:line="240" w:lineRule="auto"/>
                          <w:jc w:val="center"/>
                          <w:rPr>
                            <w:b/>
                            <w:bCs/>
                            <w:sz w:val="24"/>
                            <w:szCs w:val="24"/>
                          </w:rPr>
                        </w:pPr>
                        <w:bookmarkStart w:id="58" w:name="_Ref137110619"/>
                        <w:bookmarkStart w:id="59" w:name="_Toc138851309"/>
                        <w:r w:rsidRPr="004851C1">
                          <w:rPr>
                            <w:b/>
                            <w:bCs/>
                            <w:sz w:val="24"/>
                            <w:szCs w:val="24"/>
                          </w:rPr>
                          <w:t xml:space="preserve">Figure </w:t>
                        </w:r>
                        <w:r w:rsidR="005B4A4F">
                          <w:rPr>
                            <w:b/>
                            <w:bCs/>
                            <w:sz w:val="24"/>
                            <w:szCs w:val="24"/>
                          </w:rPr>
                          <w:fldChar w:fldCharType="begin"/>
                        </w:r>
                        <w:r w:rsidR="005B4A4F">
                          <w:rPr>
                            <w:b/>
                            <w:bCs/>
                            <w:sz w:val="24"/>
                            <w:szCs w:val="24"/>
                          </w:rPr>
                          <w:instrText xml:space="preserve"> STYLEREF 1 \s </w:instrText>
                        </w:r>
                        <w:r w:rsidR="005B4A4F">
                          <w:rPr>
                            <w:b/>
                            <w:bCs/>
                            <w:sz w:val="24"/>
                            <w:szCs w:val="24"/>
                          </w:rPr>
                          <w:fldChar w:fldCharType="separate"/>
                        </w:r>
                        <w:r w:rsidR="00165B17">
                          <w:rPr>
                            <w:b/>
                            <w:bCs/>
                            <w:noProof/>
                            <w:sz w:val="24"/>
                            <w:szCs w:val="24"/>
                          </w:rPr>
                          <w:t>2</w:t>
                        </w:r>
                        <w:r w:rsidR="005B4A4F">
                          <w:rPr>
                            <w:b/>
                            <w:bCs/>
                            <w:sz w:val="24"/>
                            <w:szCs w:val="24"/>
                          </w:rPr>
                          <w:fldChar w:fldCharType="end"/>
                        </w:r>
                        <w:r w:rsidR="005B4A4F">
                          <w:rPr>
                            <w:b/>
                            <w:bCs/>
                            <w:sz w:val="24"/>
                            <w:szCs w:val="24"/>
                          </w:rPr>
                          <w:noBreakHyphen/>
                        </w:r>
                        <w:r w:rsidR="005B4A4F">
                          <w:rPr>
                            <w:b/>
                            <w:bCs/>
                            <w:sz w:val="24"/>
                            <w:szCs w:val="24"/>
                          </w:rPr>
                          <w:fldChar w:fldCharType="begin"/>
                        </w:r>
                        <w:r w:rsidR="005B4A4F">
                          <w:rPr>
                            <w:b/>
                            <w:bCs/>
                            <w:sz w:val="24"/>
                            <w:szCs w:val="24"/>
                          </w:rPr>
                          <w:instrText xml:space="preserve"> SEQ Figure \* ARABIC \s 1 </w:instrText>
                        </w:r>
                        <w:r w:rsidR="005B4A4F">
                          <w:rPr>
                            <w:b/>
                            <w:bCs/>
                            <w:sz w:val="24"/>
                            <w:szCs w:val="24"/>
                          </w:rPr>
                          <w:fldChar w:fldCharType="separate"/>
                        </w:r>
                        <w:r w:rsidR="00165B17">
                          <w:rPr>
                            <w:b/>
                            <w:bCs/>
                            <w:noProof/>
                            <w:sz w:val="24"/>
                            <w:szCs w:val="24"/>
                          </w:rPr>
                          <w:t>1</w:t>
                        </w:r>
                        <w:r w:rsidR="005B4A4F">
                          <w:rPr>
                            <w:b/>
                            <w:bCs/>
                            <w:sz w:val="24"/>
                            <w:szCs w:val="24"/>
                          </w:rPr>
                          <w:fldChar w:fldCharType="end"/>
                        </w:r>
                        <w:bookmarkEnd w:id="58"/>
                        <w:r w:rsidR="00E800B3">
                          <w:rPr>
                            <w:b/>
                            <w:bCs/>
                            <w:sz w:val="24"/>
                            <w:szCs w:val="24"/>
                          </w:rPr>
                          <w:t>.</w:t>
                        </w:r>
                        <w:r w:rsidRPr="004851C1">
                          <w:rPr>
                            <w:b/>
                            <w:bCs/>
                            <w:sz w:val="24"/>
                            <w:szCs w:val="24"/>
                          </w:rPr>
                          <w:t xml:space="preserve"> Methods, analysis and data set diagram</w:t>
                        </w:r>
                        <w:bookmarkEnd w:id="59"/>
                      </w:p>
                    </w:txbxContent>
                  </v:textbox>
                </v:shape>
                <w10:wrap anchory="page"/>
                <w10:anchorlock/>
              </v:group>
            </w:pict>
          </mc:Fallback>
        </mc:AlternateContent>
      </w:r>
      <w:r w:rsidR="00C71147" w:rsidRPr="00C71147">
        <w:rPr>
          <w:noProof/>
        </w:rPr>
        <w:t xml:space="preserve"> </w:t>
      </w:r>
    </w:p>
    <w:p w14:paraId="0AD11BDA" w14:textId="77777777" w:rsidR="009D3D46" w:rsidRDefault="009D3D46" w:rsidP="00224123">
      <w:pPr>
        <w:pStyle w:val="Bullet1"/>
        <w:ind w:left="0" w:firstLine="0"/>
        <w:rPr>
          <w:lang w:val="en-AU"/>
        </w:rPr>
        <w:sectPr w:rsidR="009D3D46" w:rsidSect="00C71147">
          <w:pgSz w:w="16834" w:h="11909" w:orient="landscape" w:code="9"/>
          <w:pgMar w:top="1440" w:right="1440" w:bottom="1440" w:left="1440" w:header="720" w:footer="720" w:gutter="0"/>
          <w:cols w:space="720"/>
          <w:titlePg/>
          <w:docGrid w:linePitch="360"/>
        </w:sectPr>
      </w:pPr>
    </w:p>
    <w:p w14:paraId="0B6C1979" w14:textId="560D5D9D" w:rsidR="003C708A" w:rsidRPr="00945382" w:rsidRDefault="00AA35E2" w:rsidP="00651D06">
      <w:pPr>
        <w:pStyle w:val="Heading3"/>
      </w:pPr>
      <w:r>
        <w:lastRenderedPageBreak/>
        <w:t xml:space="preserve"> </w:t>
      </w:r>
      <w:r w:rsidR="003C708A" w:rsidRPr="00945382">
        <w:t xml:space="preserve">Qualitative data </w:t>
      </w:r>
    </w:p>
    <w:p w14:paraId="4D19F05A" w14:textId="77777777" w:rsidR="003C708A" w:rsidRDefault="003C708A" w:rsidP="003C708A">
      <w:pPr>
        <w:rPr>
          <w:lang w:val="en-NZ"/>
        </w:rPr>
      </w:pPr>
      <w:r>
        <w:rPr>
          <w:lang w:val="en-NZ"/>
        </w:rPr>
        <w:t>Key qualitative methods used across the evaluation included:</w:t>
      </w:r>
    </w:p>
    <w:p w14:paraId="77268BC7" w14:textId="5F14836E" w:rsidR="003C708A" w:rsidRPr="00090BBE" w:rsidRDefault="003C708A" w:rsidP="00580736">
      <w:pPr>
        <w:numPr>
          <w:ilvl w:val="0"/>
          <w:numId w:val="19"/>
        </w:numPr>
        <w:spacing w:after="120"/>
        <w:rPr>
          <w:b/>
          <w:bCs/>
        </w:rPr>
      </w:pPr>
      <w:r w:rsidRPr="00090BBE">
        <w:rPr>
          <w:b/>
          <w:bCs/>
        </w:rPr>
        <w:t>Community yarns</w:t>
      </w:r>
      <w:r>
        <w:rPr>
          <w:b/>
          <w:bCs/>
        </w:rPr>
        <w:t>:</w:t>
      </w:r>
      <w:r w:rsidRPr="00090BBE">
        <w:rPr>
          <w:b/>
          <w:bCs/>
        </w:rPr>
        <w:t xml:space="preserve"> </w:t>
      </w:r>
      <w:r w:rsidRPr="00245C5F">
        <w:t xml:space="preserve">The evaluation team drew from yarning as a methodology </w:t>
      </w:r>
      <w:r w:rsidRPr="00245C5F">
        <w:fldChar w:fldCharType="begin"/>
      </w:r>
      <w:r w:rsidR="00F8760E">
        <w:instrText xml:space="preserve"> ADDIN ZOTERO_ITEM CSL_CITATION {"citationID":"m6S9y9cC","properties":{"formattedCitation":"(Bessarab &amp; Ng\\uc0\\u8217{}Andu, 2010; Fredericks et al., 2011)","plainCitation":"(Bessarab &amp; Ng’Andu, 2010; Fredericks et al., 2011)","noteIndex":0},"citationItems":[{"id":3744,"uris":["http://zotero.org/groups/5010721/items/UPJE4ENI",["http://zotero.org/groups/5010721/items/UPJE4ENI"],["http://zotero.org/groups/5010721/items/UPJE4ENI",["http://zotero.org/groups/5010721/items/UPJE4ENI"]]],"itemData":{"id":3744,"type":"article-journal","container-title":"International Journal of Critical Indigenous Studies","issue":"1","page":"37-50","title":"Yarning about yarning as a legitimate method in Indigenous research","volume":"3","author":[{"family":"Bessarab","given":"D"},{"family":"Ng'Andu","given":"B"}],"issued":{"date-parts":[["2010"]]}}},{"id":3828,"uris":["http://zotero.org/groups/5010721/items/6PET5VVV",["http://zotero.org/groups/5010721/items/6PET5VVV"],["http://zotero.org/groups/5010721/items/6PET5VVV",["http://zotero.org/groups/5010721/items/6PET5VVV"]]],"itemData":{"id":3828,"type":"article-journal","container-title":"ALAR: Action Learning and Action Research Journal","issue":"2","title":"Engaging the practice of Indigenous yarning in action research.","volume":"17","author":[{"family":"Fredericks","given":"B"},{"family":"Adams","given":"K"},{"family":"Finlay","given":"S"},{"family":"Fletcher","given":"G"},{"family":"Andy","given":"S"},{"family":"Briggs","given":"L"},{"family":"Hall","given":"R"}],"issued":{"date-parts":[["2011"]]}}}],"schema":"https://github.com/citation-style-language/schema/raw/master/csl-citation.json"} </w:instrText>
      </w:r>
      <w:r w:rsidRPr="00245C5F">
        <w:fldChar w:fldCharType="separate"/>
      </w:r>
      <w:r w:rsidRPr="00245C5F">
        <w:t>(Bessarab &amp; Ng’Andu, 2010; Fredericks et al., 2011)</w:t>
      </w:r>
      <w:r w:rsidRPr="00245C5F">
        <w:fldChar w:fldCharType="end"/>
      </w:r>
      <w:r w:rsidRPr="00245C5F">
        <w:t xml:space="preserve"> to design and implement interviews and conversations with Aboriginal and Torres Strait Islander community members and staff from Aboriginal and Torres Strait Islander health services. Interviews and yarns were conducted through facilitated roundtable discussions that employed cultural protocols.</w:t>
      </w:r>
      <w:r>
        <w:t xml:space="preserve"> This included Aboriginal and Torres Strait Islander community yarns to generate data on what Aboriginal and Torres Strait Islander people value in health care and how people experience the health care system. </w:t>
      </w:r>
    </w:p>
    <w:p w14:paraId="1D7EA9DF" w14:textId="213B69F5" w:rsidR="001B4B3D" w:rsidRPr="001B4B3D" w:rsidRDefault="001B4B3D" w:rsidP="001B4B3D">
      <w:pPr>
        <w:numPr>
          <w:ilvl w:val="0"/>
          <w:numId w:val="19"/>
        </w:numPr>
        <w:spacing w:after="120"/>
      </w:pPr>
      <w:r w:rsidRPr="001B4B3D">
        <w:rPr>
          <w:b/>
          <w:bCs/>
        </w:rPr>
        <w:t xml:space="preserve">Individual patient journey yarns and interviews: </w:t>
      </w:r>
      <w:r w:rsidRPr="001B4B3D">
        <w:t>The</w:t>
      </w:r>
      <w:r w:rsidRPr="001B4B3D">
        <w:rPr>
          <w:b/>
          <w:bCs/>
        </w:rPr>
        <w:t xml:space="preserve"> </w:t>
      </w:r>
      <w:r w:rsidRPr="001B4B3D">
        <w:t xml:space="preserve">evaluation team held individual interviews with community members. The purpose of the interviews was to hear and include the stories of people in ‘hard-to-reach’ groups or those with complex needs. Individual interviews were held onsite at the health services and there was a balance of genders. Participants were primarily people with complex health needs who had experienced PHC and the broader health system, and variously understood how different system parts interact. The interviews focused on a single episode of care or a person’s experiences with repeat visits for the same health concern. Participants were recruited through the site partner ACCHS and often in liaison with the local evaluation coordinator (LEC). In some cases, participants were recruited through the community group yarns, when community members suggested people who might be relevant to talk to. Ethical consent and information about the procedures of a patient journey interview were discussed with participants prior to the interview. </w:t>
      </w:r>
    </w:p>
    <w:p w14:paraId="779CE356" w14:textId="63C1BF27" w:rsidR="001B4B3D" w:rsidRPr="001B4B3D" w:rsidRDefault="001B4B3D" w:rsidP="001B4B3D">
      <w:pPr>
        <w:numPr>
          <w:ilvl w:val="0"/>
          <w:numId w:val="19"/>
        </w:numPr>
        <w:spacing w:after="120"/>
      </w:pPr>
      <w:r w:rsidRPr="001B4B3D">
        <w:rPr>
          <w:b/>
          <w:bCs/>
        </w:rPr>
        <w:t xml:space="preserve">Interviews with site partner staff and other site-based representatives: </w:t>
      </w:r>
      <w:r w:rsidRPr="001B4B3D">
        <w:t>Semi-structured interviews</w:t>
      </w:r>
      <w:r w:rsidRPr="001B4B3D">
        <w:rPr>
          <w:vertAlign w:val="superscript"/>
        </w:rPr>
        <w:footnoteReference w:id="11"/>
      </w:r>
      <w:r w:rsidRPr="001B4B3D">
        <w:t xml:space="preserve"> were undertaken in each evaluation cycle with health service and PHN staff, </w:t>
      </w:r>
      <w:r w:rsidRPr="001B4B3D">
        <w:rPr>
          <w:lang w:val="en-NZ"/>
        </w:rPr>
        <w:t>including chief executive officers (CEOs), other senior executives, practice managers, commissioning managers, chief medical officers, and other clinical staff.</w:t>
      </w:r>
      <w:r w:rsidRPr="001B4B3D">
        <w:t xml:space="preserve"> These interviews focused on gathering staff perspectives and experiences of IAHP and how the IAHP works to support the delivery of comprehensive PHC and the operation of Aboriginal and Torres Strait Islander health care organisations. The interview questions were structured around the KEQs and evolved over the evaluation cycles from a focus on understanding how the IAHP operated in each site (Cycle 1), to understanding the difference the IAHP was making (Cycle 2), to understanding the actions and changes needed to improve the IAHP and the wider system (Cycle 3). The interviews were also tailored to each site in relation to identified information gaps, and inconsistencies or nuances in need of further explanation.</w:t>
      </w:r>
    </w:p>
    <w:p w14:paraId="78D1D277" w14:textId="77777777" w:rsidR="003C708A" w:rsidRPr="00FC3750" w:rsidRDefault="003C708A" w:rsidP="00580736">
      <w:pPr>
        <w:numPr>
          <w:ilvl w:val="0"/>
          <w:numId w:val="19"/>
        </w:numPr>
        <w:spacing w:after="120"/>
      </w:pPr>
      <w:r w:rsidRPr="00630594">
        <w:rPr>
          <w:b/>
          <w:bCs/>
        </w:rPr>
        <w:lastRenderedPageBreak/>
        <w:t>State, territory and national level interviews and engagement</w:t>
      </w:r>
      <w:r>
        <w:rPr>
          <w:b/>
          <w:bCs/>
        </w:rPr>
        <w:t xml:space="preserve">: </w:t>
      </w:r>
      <w:r w:rsidRPr="000D37F3">
        <w:t xml:space="preserve">Semi-structured interviews were undertaken with </w:t>
      </w:r>
      <w:r>
        <w:t xml:space="preserve">participants from </w:t>
      </w:r>
      <w:r w:rsidRPr="000D37F3">
        <w:t>state, territory and national organisations across the evaluation.</w:t>
      </w:r>
      <w:r>
        <w:t xml:space="preserve"> Across the evaluation, this included staff from peak bodies for Aboriginal and Torres Strait Islander community-controlled health services, state and territory government departments, staff from the department, the National Indigenous Australians Agency (NIAA), the AIHW’s Indigenous Group, the Department of Social Services and professional organisations working within Aboriginal and Torres Strait Islander health.</w:t>
      </w:r>
    </w:p>
    <w:p w14:paraId="24842761" w14:textId="77777777" w:rsidR="003C708A" w:rsidRPr="004C2DCB" w:rsidRDefault="003C708A" w:rsidP="00580736">
      <w:pPr>
        <w:numPr>
          <w:ilvl w:val="0"/>
          <w:numId w:val="19"/>
        </w:numPr>
        <w:spacing w:after="120"/>
      </w:pPr>
      <w:r w:rsidRPr="004C2DCB">
        <w:rPr>
          <w:b/>
          <w:bCs/>
        </w:rPr>
        <w:t>Collective action for change workshops</w:t>
      </w:r>
      <w:r>
        <w:rPr>
          <w:b/>
          <w:bCs/>
        </w:rPr>
        <w:t xml:space="preserve">: </w:t>
      </w:r>
      <w:r w:rsidRPr="004C2DCB">
        <w:t xml:space="preserve">Collective action for change (CA4C) workshops were an important </w:t>
      </w:r>
      <w:r w:rsidRPr="00873112">
        <w:t>part of the PAR approach. The purpose of CA4C workshops was to bring data and findings back for discussion with site partners and other stakeholders, provide an opportunity</w:t>
      </w:r>
      <w:r w:rsidRPr="004C2DCB">
        <w:t xml:space="preserve"> to share knowledge and understanding between organisations and services, identify PHC implementation enablers and barriers, and to identify spheres of influence for change (to leverage strengths and overcome barriers).</w:t>
      </w:r>
      <w:r>
        <w:t xml:space="preserve"> Ten site CA4C workshops were held, one CA4C workshop was held at the national level, and two cross site CA4C workshops were convened to discuss: (1) partnerships, networks and alliances, and (2) funding. </w:t>
      </w:r>
    </w:p>
    <w:p w14:paraId="7CE7695C" w14:textId="2E2E2F29" w:rsidR="003C708A" w:rsidRPr="00C1434D" w:rsidRDefault="003C708A" w:rsidP="00580736">
      <w:pPr>
        <w:numPr>
          <w:ilvl w:val="0"/>
          <w:numId w:val="19"/>
        </w:numPr>
        <w:spacing w:after="120"/>
      </w:pPr>
      <w:r w:rsidRPr="006F6726">
        <w:rPr>
          <w:b/>
          <w:bCs/>
        </w:rPr>
        <w:t>Cross-cutting collaboratives</w:t>
      </w:r>
      <w:r>
        <w:rPr>
          <w:b/>
          <w:bCs/>
        </w:rPr>
        <w:t>:</w:t>
      </w:r>
      <w:r w:rsidRPr="006F6726">
        <w:rPr>
          <w:b/>
          <w:bCs/>
        </w:rPr>
        <w:t xml:space="preserve"> </w:t>
      </w:r>
      <w:r w:rsidRPr="006F6726">
        <w:t xml:space="preserve">Five cross-cutting collaboratives were undertaken as part of the evaluation. The collaboratives were intended to focus on system-level issues and bring together groups of stakeholders to problem solve and identify actions to address a common issue. </w:t>
      </w:r>
      <w:r w:rsidRPr="008E1CFF">
        <w:t xml:space="preserve">The need for specific collaboratives arose through the analysis of data and information gathered through the 17 site studies and the state, </w:t>
      </w:r>
      <w:r w:rsidRPr="00C1434D">
        <w:t>territory and national engagements. The collaboratives also emerged from stakeholders expressing a strong interest in working on a specific issue that aligned with the evaluation aims, objectives and questions. The cross-cutting collaboratives examined</w:t>
      </w:r>
      <w:r w:rsidRPr="00C1434D">
        <w:rPr>
          <w:b/>
          <w:bCs/>
        </w:rPr>
        <w:t xml:space="preserve"> </w:t>
      </w:r>
      <w:r w:rsidRPr="000D36F6">
        <w:t>(1) COVID</w:t>
      </w:r>
      <w:r w:rsidRPr="00C1434D">
        <w:t>-19 response (2)</w:t>
      </w:r>
      <w:r>
        <w:t xml:space="preserve"> Aboriginal and Torres Strait Islander </w:t>
      </w:r>
      <w:r w:rsidR="00D87462">
        <w:t>H</w:t>
      </w:r>
      <w:r>
        <w:t xml:space="preserve">ealth </w:t>
      </w:r>
      <w:r w:rsidR="00D87462">
        <w:t>W</w:t>
      </w:r>
      <w:r>
        <w:t xml:space="preserve">orker and </w:t>
      </w:r>
      <w:r w:rsidR="00D87462">
        <w:t>H</w:t>
      </w:r>
      <w:r>
        <w:t xml:space="preserve">ealth </w:t>
      </w:r>
      <w:r w:rsidR="00D87462">
        <w:t>P</w:t>
      </w:r>
      <w:r>
        <w:t xml:space="preserve">ractitioner </w:t>
      </w:r>
      <w:r w:rsidRPr="00C1434D">
        <w:t xml:space="preserve">training pipeline (3) institutional racism (4) understanding health needs (5) improving </w:t>
      </w:r>
      <w:r>
        <w:t xml:space="preserve">PHC </w:t>
      </w:r>
      <w:r w:rsidRPr="00C1434D">
        <w:t>data.</w:t>
      </w:r>
      <w:r w:rsidR="00AA35E2">
        <w:t xml:space="preserve"> </w:t>
      </w:r>
    </w:p>
    <w:p w14:paraId="2DAD3027" w14:textId="439D18DD" w:rsidR="003C708A" w:rsidRDefault="003C708A" w:rsidP="00651D06">
      <w:pPr>
        <w:pStyle w:val="Heading3"/>
      </w:pPr>
      <w:r>
        <w:t xml:space="preserve">Quantitative data </w:t>
      </w:r>
    </w:p>
    <w:p w14:paraId="681D1EA2" w14:textId="2E20D1D3" w:rsidR="003C708A" w:rsidRDefault="003C708A" w:rsidP="003C708A">
      <w:r>
        <w:t xml:space="preserve">The approach to quantitative data collection and analysis commenced with a data feasibility assessment guided by a conceptual causal framework. </w:t>
      </w:r>
      <w:r w:rsidRPr="00AF7B7B">
        <w:t>The framework was developed through the identification and mapping of key constructs, indicators, and assumptions inherent in the IAHP</w:t>
      </w:r>
      <w:r>
        <w:t xml:space="preserve"> program </w:t>
      </w:r>
      <w:r w:rsidRPr="00AF7B7B">
        <w:t>logic and funding models</w:t>
      </w:r>
      <w:r>
        <w:t>.</w:t>
      </w:r>
      <w:r w:rsidR="00AA35E2">
        <w:t xml:space="preserve"> </w:t>
      </w:r>
    </w:p>
    <w:p w14:paraId="402D1E38" w14:textId="77777777" w:rsidR="003C708A" w:rsidRPr="00FB7C25" w:rsidRDefault="003C708A" w:rsidP="003C708A">
      <w:r w:rsidRPr="00FB7C25">
        <w:t>An environmental scan was undertaken to identify and consider data sets. Five strategies were utilised to maximise the potential data sources identified, and to ensure the relevance and comparability of evaluation findings.</w:t>
      </w:r>
    </w:p>
    <w:p w14:paraId="1DED1D5E" w14:textId="77777777" w:rsidR="003C708A" w:rsidRPr="00FB7C25" w:rsidRDefault="003C708A" w:rsidP="00F16837">
      <w:pPr>
        <w:pStyle w:val="Bullet-Number"/>
        <w:numPr>
          <w:ilvl w:val="0"/>
          <w:numId w:val="48"/>
        </w:numPr>
      </w:pPr>
      <w:r w:rsidRPr="00FB7C25">
        <w:t xml:space="preserve">An examination of the evaluation documents, including materials provided by the department in relation to </w:t>
      </w:r>
      <w:r>
        <w:t xml:space="preserve">the </w:t>
      </w:r>
      <w:r w:rsidRPr="00FB7C25">
        <w:t xml:space="preserve">IAHP. </w:t>
      </w:r>
    </w:p>
    <w:p w14:paraId="2C8C5C84" w14:textId="77777777" w:rsidR="003C708A" w:rsidRPr="00FB7C25" w:rsidRDefault="003C708A" w:rsidP="003C708A">
      <w:pPr>
        <w:pStyle w:val="Bullet-Number"/>
      </w:pPr>
      <w:r w:rsidRPr="00FB7C25">
        <w:t xml:space="preserve">Data sources used for the Aboriginal and Torres Strait Islander Health Performance Framework were captured. </w:t>
      </w:r>
    </w:p>
    <w:p w14:paraId="1FC604BA" w14:textId="77777777" w:rsidR="003C708A" w:rsidRPr="00FB7C25" w:rsidRDefault="003C708A" w:rsidP="003C708A">
      <w:pPr>
        <w:pStyle w:val="Bullet-Number"/>
      </w:pPr>
      <w:r w:rsidRPr="00FB7C25">
        <w:lastRenderedPageBreak/>
        <w:t xml:space="preserve">A systematic interrogation of key data custodian sources was undertaken. This included the Australian Bureau of Statistics (ABS), the Australian Institute of Health and Welfare (AIHW) and the department. </w:t>
      </w:r>
    </w:p>
    <w:p w14:paraId="0AB02612" w14:textId="77777777" w:rsidR="003C708A" w:rsidRPr="00FB7C25" w:rsidRDefault="003C708A" w:rsidP="003C708A">
      <w:pPr>
        <w:pStyle w:val="Bullet-Number"/>
      </w:pPr>
      <w:r w:rsidRPr="00FB7C25">
        <w:t xml:space="preserve">A series of face-to-face and telephone meetings were conducted to identify any additional data sources that had not already been identified. This consultation was with representatives from the </w:t>
      </w:r>
      <w:r>
        <w:t xml:space="preserve">department </w:t>
      </w:r>
      <w:r w:rsidRPr="00FB7C25">
        <w:t xml:space="preserve">(including the First Nations Health Division), the HSCG, the AIHW, the ABS, and other data experts. In addition to the identification of potential data sets, issues relating to the process, timeframes, costs, and security requirements of access were discussed. </w:t>
      </w:r>
    </w:p>
    <w:p w14:paraId="22B1337E" w14:textId="77777777" w:rsidR="003C708A" w:rsidRPr="00FB7C25" w:rsidRDefault="003C708A" w:rsidP="003C708A">
      <w:pPr>
        <w:pStyle w:val="Bullet-Number"/>
        <w:spacing w:after="240"/>
        <w:ind w:left="714" w:hanging="357"/>
      </w:pPr>
      <w:r w:rsidRPr="00FB7C25">
        <w:t xml:space="preserve">Expert consultation was undertaken to draw on the knowledge and networks of the broader data assessment team to support data identification and quality assessment. </w:t>
      </w:r>
    </w:p>
    <w:p w14:paraId="03113009" w14:textId="77777777" w:rsidR="003C708A" w:rsidRPr="00FB7C25" w:rsidRDefault="003C708A" w:rsidP="003C708A">
      <w:r w:rsidRPr="00FB7C25">
        <w:t xml:space="preserve">Five assessment criteria were developed and applied to each identified data source to determine fitness for purpose for use in the evaluation: </w:t>
      </w:r>
    </w:p>
    <w:p w14:paraId="456C72C8" w14:textId="77777777" w:rsidR="003C708A" w:rsidRPr="00FB7C25" w:rsidRDefault="003C708A" w:rsidP="006649C3">
      <w:pPr>
        <w:pStyle w:val="Bullet-Number"/>
        <w:numPr>
          <w:ilvl w:val="0"/>
          <w:numId w:val="66"/>
        </w:numPr>
      </w:pPr>
      <w:r w:rsidRPr="00FB7C25">
        <w:t xml:space="preserve">relevance in addressing the </w:t>
      </w:r>
      <w:r>
        <w:t>5</w:t>
      </w:r>
      <w:r w:rsidRPr="00FB7C25">
        <w:t xml:space="preserve"> KEQs</w:t>
      </w:r>
    </w:p>
    <w:p w14:paraId="6C7C2E42" w14:textId="77777777" w:rsidR="003C708A" w:rsidRPr="00FB7C25" w:rsidRDefault="003C708A" w:rsidP="006649C3">
      <w:pPr>
        <w:pStyle w:val="Bullet-Number"/>
        <w:numPr>
          <w:ilvl w:val="0"/>
          <w:numId w:val="66"/>
        </w:numPr>
      </w:pPr>
      <w:r w:rsidRPr="00FB7C25">
        <w:t xml:space="preserve">relevance to Aboriginal or Torres Strait Islander people </w:t>
      </w:r>
    </w:p>
    <w:p w14:paraId="73079561" w14:textId="77777777" w:rsidR="003C708A" w:rsidRPr="00FB7C25" w:rsidRDefault="003C708A" w:rsidP="006649C3">
      <w:pPr>
        <w:pStyle w:val="Bullet-Number"/>
        <w:numPr>
          <w:ilvl w:val="0"/>
          <w:numId w:val="66"/>
        </w:numPr>
      </w:pPr>
      <w:r w:rsidRPr="00FB7C25">
        <w:t>geography</w:t>
      </w:r>
    </w:p>
    <w:p w14:paraId="04FAB0BD" w14:textId="7353D986" w:rsidR="003C708A" w:rsidRPr="00FB7C25" w:rsidRDefault="003C708A" w:rsidP="006649C3">
      <w:pPr>
        <w:pStyle w:val="Bullet-Number"/>
        <w:numPr>
          <w:ilvl w:val="0"/>
          <w:numId w:val="66"/>
        </w:numPr>
      </w:pPr>
      <w:r w:rsidRPr="00FB7C25">
        <w:t>timeliness</w:t>
      </w:r>
      <w:r w:rsidR="00AA35E2">
        <w:t xml:space="preserve"> </w:t>
      </w:r>
    </w:p>
    <w:p w14:paraId="205AF7F0" w14:textId="77777777" w:rsidR="003C708A" w:rsidRPr="00FB7C25" w:rsidRDefault="003C708A" w:rsidP="006649C3">
      <w:pPr>
        <w:pStyle w:val="Bullet-Number"/>
        <w:numPr>
          <w:ilvl w:val="0"/>
          <w:numId w:val="66"/>
        </w:numPr>
      </w:pPr>
      <w:r w:rsidRPr="00FB7C25">
        <w:t xml:space="preserve">demographic characteristics. </w:t>
      </w:r>
    </w:p>
    <w:p w14:paraId="5CE66B48" w14:textId="77777777" w:rsidR="003C708A" w:rsidRDefault="003C708A" w:rsidP="003C708A">
      <w:r w:rsidRPr="00FB7C25">
        <w:t xml:space="preserve">Based on these criteria, each dataset was given an overall rating as fit for purpose, not fit for purpose, or conditionally fit for purpose. Each dataset rated as fit for purpose was also assessed according to its accessibility for utilisation according to the following </w:t>
      </w:r>
      <w:r>
        <w:t>3</w:t>
      </w:r>
      <w:r w:rsidRPr="00FB7C25">
        <w:t xml:space="preserve"> categories: publicly available, available via special request from the data custodian, or accessible via secure access through a data platform.</w:t>
      </w:r>
      <w:r>
        <w:t xml:space="preserve"> Through this process a </w:t>
      </w:r>
      <w:r w:rsidRPr="00FB7C25">
        <w:t>total of 79 data sources were identified.</w:t>
      </w:r>
    </w:p>
    <w:p w14:paraId="0EAE92BC" w14:textId="77777777" w:rsidR="003C708A" w:rsidRDefault="003C708A" w:rsidP="003C708A">
      <w:pPr>
        <w:pStyle w:val="Bullet1"/>
        <w:ind w:left="0" w:firstLine="0"/>
        <w:rPr>
          <w:lang w:val="en-AU"/>
        </w:rPr>
      </w:pPr>
      <w:r>
        <w:rPr>
          <w:lang w:val="en-AU"/>
        </w:rPr>
        <w:t>Following the data feasibility assessment process, 10 customised datasets were requested and subsequently received from data custodians. These datasets were:</w:t>
      </w:r>
    </w:p>
    <w:p w14:paraId="5A3FE726" w14:textId="77777777" w:rsidR="003C708A" w:rsidRDefault="003C708A" w:rsidP="00F16837">
      <w:pPr>
        <w:pStyle w:val="Bullet-Number"/>
        <w:numPr>
          <w:ilvl w:val="0"/>
          <w:numId w:val="50"/>
        </w:numPr>
      </w:pPr>
      <w:r>
        <w:t>MBS data</w:t>
      </w:r>
    </w:p>
    <w:p w14:paraId="60938720" w14:textId="77777777" w:rsidR="003C708A" w:rsidRDefault="003C708A" w:rsidP="003C708A">
      <w:pPr>
        <w:pStyle w:val="Bullet-Number"/>
      </w:pPr>
      <w:r>
        <w:t>National Health Workforce data</w:t>
      </w:r>
    </w:p>
    <w:p w14:paraId="16B3CD2A" w14:textId="77777777" w:rsidR="003C708A" w:rsidRDefault="003C708A" w:rsidP="003C708A">
      <w:pPr>
        <w:pStyle w:val="Bullet-Number"/>
      </w:pPr>
      <w:r>
        <w:t>PIP data</w:t>
      </w:r>
    </w:p>
    <w:p w14:paraId="0AD28560" w14:textId="77777777" w:rsidR="003C708A" w:rsidRPr="008C60A2" w:rsidRDefault="003C708A" w:rsidP="003C708A">
      <w:pPr>
        <w:pStyle w:val="Bullet-Number"/>
      </w:pPr>
      <w:r w:rsidRPr="008C60A2">
        <w:rPr>
          <w:lang w:val="en-AU"/>
        </w:rPr>
        <w:t>Australian Childhood Immunisations Register</w:t>
      </w:r>
    </w:p>
    <w:p w14:paraId="4953616E" w14:textId="77777777" w:rsidR="003C708A" w:rsidRPr="00756E99" w:rsidRDefault="003C708A" w:rsidP="003C708A">
      <w:pPr>
        <w:pStyle w:val="Bullet-Number"/>
      </w:pPr>
      <w:r w:rsidRPr="00756E99">
        <w:rPr>
          <w:lang w:val="en-AU"/>
        </w:rPr>
        <w:t>National Perinatal Data Collection</w:t>
      </w:r>
    </w:p>
    <w:p w14:paraId="1ECDA396" w14:textId="77777777" w:rsidR="003C708A" w:rsidRPr="00395F0A" w:rsidRDefault="003C708A" w:rsidP="003C708A">
      <w:pPr>
        <w:pStyle w:val="Bullet-Number"/>
      </w:pPr>
      <w:r w:rsidRPr="00395F0A">
        <w:rPr>
          <w:lang w:val="en-AU"/>
        </w:rPr>
        <w:t>National Hospital Morbidity data</w:t>
      </w:r>
    </w:p>
    <w:p w14:paraId="5209772D" w14:textId="77777777" w:rsidR="003C708A" w:rsidRPr="00395F0A" w:rsidRDefault="003C708A" w:rsidP="003C708A">
      <w:pPr>
        <w:pStyle w:val="Bullet-Number"/>
      </w:pPr>
      <w:r>
        <w:rPr>
          <w:lang w:val="en-AU"/>
        </w:rPr>
        <w:t>nKPI data</w:t>
      </w:r>
    </w:p>
    <w:p w14:paraId="502DD057" w14:textId="77777777" w:rsidR="003C708A" w:rsidRPr="00395F0A" w:rsidRDefault="003C708A" w:rsidP="003C708A">
      <w:pPr>
        <w:pStyle w:val="Bullet-Number"/>
      </w:pPr>
      <w:r>
        <w:rPr>
          <w:lang w:val="en-AU"/>
        </w:rPr>
        <w:t>OSR data</w:t>
      </w:r>
    </w:p>
    <w:p w14:paraId="089E6F07" w14:textId="77777777" w:rsidR="003C708A" w:rsidRPr="00395F0A" w:rsidRDefault="003C708A" w:rsidP="003C708A">
      <w:pPr>
        <w:pStyle w:val="Bullet-Number"/>
      </w:pPr>
      <w:r>
        <w:rPr>
          <w:lang w:val="en-AU"/>
        </w:rPr>
        <w:t>Cause of death data</w:t>
      </w:r>
    </w:p>
    <w:p w14:paraId="411615B7" w14:textId="77777777" w:rsidR="003C708A" w:rsidRDefault="003C708A" w:rsidP="003C708A">
      <w:pPr>
        <w:pStyle w:val="Bullet-Number"/>
        <w:spacing w:after="240"/>
        <w:ind w:left="714" w:hanging="357"/>
      </w:pPr>
      <w:r>
        <w:rPr>
          <w:lang w:val="en-AU"/>
        </w:rPr>
        <w:t>Estimated Residential Population (ERP)</w:t>
      </w:r>
      <w:r>
        <w:t xml:space="preserve"> </w:t>
      </w:r>
    </w:p>
    <w:p w14:paraId="37255EB3" w14:textId="7EDAAD64" w:rsidR="00D37C8E" w:rsidRDefault="003C708A" w:rsidP="003C708A">
      <w:pPr>
        <w:pStyle w:val="Bullet1"/>
        <w:ind w:left="0" w:firstLine="0"/>
        <w:rPr>
          <w:lang w:val="en-AU"/>
        </w:rPr>
      </w:pPr>
      <w:r w:rsidRPr="00222374">
        <w:rPr>
          <w:lang w:val="en-AU"/>
        </w:rPr>
        <w:lastRenderedPageBreak/>
        <w:t xml:space="preserve">IAHP funding data </w:t>
      </w:r>
      <w:r w:rsidR="006863F1" w:rsidRPr="00222374">
        <w:rPr>
          <w:lang w:val="en-AU"/>
        </w:rPr>
        <w:t xml:space="preserve">were </w:t>
      </w:r>
      <w:r w:rsidRPr="00222374">
        <w:rPr>
          <w:lang w:val="en-AU"/>
        </w:rPr>
        <w:t xml:space="preserve">also formally requested from the department, however </w:t>
      </w:r>
      <w:r w:rsidR="00D37C8E" w:rsidRPr="00222374">
        <w:rPr>
          <w:lang w:val="en-AU"/>
        </w:rPr>
        <w:t xml:space="preserve">the department did not provide this data due to concerns over data accuracy. </w:t>
      </w:r>
      <w:r w:rsidRPr="00222374">
        <w:rPr>
          <w:lang w:val="en-AU"/>
        </w:rPr>
        <w:t>The department agreed to provide higher-level data aggregated to the level of state, territory and national level for the period 2014-15 to 2020-21; and IAHP grant funding data by funding stream at the state and territory level for the three-year financial period 2018-19 to 2020-21.</w:t>
      </w:r>
      <w:r w:rsidR="00AA35E2">
        <w:rPr>
          <w:lang w:val="en-AU"/>
        </w:rPr>
        <w:t xml:space="preserve"> </w:t>
      </w:r>
    </w:p>
    <w:p w14:paraId="07D610DE" w14:textId="77777777" w:rsidR="003C708A" w:rsidRDefault="003C708A" w:rsidP="0035030F">
      <w:pPr>
        <w:pStyle w:val="Heading2"/>
      </w:pPr>
      <w:bookmarkStart w:id="60" w:name="_Toc137208889"/>
      <w:r>
        <w:t>Overview of activities across each evaluation cycle</w:t>
      </w:r>
      <w:bookmarkEnd w:id="60"/>
      <w:r>
        <w:t xml:space="preserve"> </w:t>
      </w:r>
    </w:p>
    <w:p w14:paraId="3A51CA00" w14:textId="77777777" w:rsidR="003C708A" w:rsidRDefault="003C708A" w:rsidP="003C708A">
      <w:pPr>
        <w:rPr>
          <w:lang w:val="en-NZ"/>
        </w:rPr>
      </w:pPr>
      <w:r>
        <w:rPr>
          <w:lang w:val="en-NZ"/>
        </w:rPr>
        <w:t>The approach to the evaluation involved a multi-phased approach that continued to layer and build data and analysis to support the evaluation across 3 cycles.</w:t>
      </w:r>
    </w:p>
    <w:p w14:paraId="6EBF2210" w14:textId="627343F0" w:rsidR="003C708A" w:rsidRPr="00394828" w:rsidRDefault="003C708A" w:rsidP="003C708A">
      <w:pPr>
        <w:rPr>
          <w:lang w:val="en-NZ"/>
        </w:rPr>
      </w:pPr>
      <w:r w:rsidRPr="00394828">
        <w:rPr>
          <w:lang w:val="en-NZ"/>
        </w:rPr>
        <w:t xml:space="preserve">The main evaluation activities across the 3 cycles and the number of participants involved are shown in </w:t>
      </w:r>
      <w:r w:rsidRPr="00394828">
        <w:rPr>
          <w:lang w:val="en-NZ"/>
        </w:rPr>
        <w:fldChar w:fldCharType="begin"/>
      </w:r>
      <w:r w:rsidRPr="00394828">
        <w:rPr>
          <w:lang w:val="en-NZ"/>
        </w:rPr>
        <w:instrText xml:space="preserve"> REF _Ref137110157 \h  \* MERGEFORMAT </w:instrText>
      </w:r>
      <w:r w:rsidRPr="00394828">
        <w:rPr>
          <w:lang w:val="en-NZ"/>
        </w:rPr>
      </w:r>
      <w:r w:rsidRPr="00394828">
        <w:rPr>
          <w:lang w:val="en-NZ"/>
        </w:rPr>
        <w:fldChar w:fldCharType="separate"/>
      </w:r>
      <w:r w:rsidR="00165B17" w:rsidRPr="009C6A0F">
        <w:t xml:space="preserve">Figure </w:t>
      </w:r>
      <w:r w:rsidR="00165B17">
        <w:rPr>
          <w:noProof/>
        </w:rPr>
        <w:t>2</w:t>
      </w:r>
      <w:r w:rsidR="00165B17">
        <w:rPr>
          <w:noProof/>
        </w:rPr>
        <w:noBreakHyphen/>
        <w:t>2</w:t>
      </w:r>
      <w:r w:rsidRPr="00394828">
        <w:rPr>
          <w:lang w:val="en-NZ"/>
        </w:rPr>
        <w:fldChar w:fldCharType="end"/>
      </w:r>
      <w:r w:rsidRPr="00394828">
        <w:rPr>
          <w:lang w:val="en-NZ"/>
        </w:rPr>
        <w:t>.</w:t>
      </w:r>
    </w:p>
    <w:p w14:paraId="7795036B" w14:textId="1F378DDE" w:rsidR="0091635E" w:rsidRPr="00881976" w:rsidRDefault="0091635E" w:rsidP="0035030F">
      <w:pPr>
        <w:pStyle w:val="Heading2"/>
        <w:sectPr w:rsidR="0091635E" w:rsidRPr="00881976" w:rsidSect="009173B7">
          <w:pgSz w:w="11909" w:h="16834" w:code="9"/>
          <w:pgMar w:top="1440" w:right="1440" w:bottom="1440" w:left="1440" w:header="720" w:footer="720" w:gutter="0"/>
          <w:cols w:space="720"/>
          <w:titlePg/>
          <w:docGrid w:linePitch="360"/>
        </w:sectPr>
      </w:pPr>
    </w:p>
    <w:p w14:paraId="65BFEC1E" w14:textId="0A0F5775" w:rsidR="006D5039" w:rsidRDefault="009C6A0F" w:rsidP="006D5039">
      <w:pPr>
        <w:pStyle w:val="Bullet1"/>
        <w:ind w:left="0" w:firstLine="0"/>
      </w:pPr>
      <w:r>
        <w:rPr>
          <w:noProof/>
          <w:sz w:val="16"/>
          <w:szCs w:val="16"/>
          <w:lang w:val="en-AU"/>
        </w:rPr>
        <w:lastRenderedPageBreak/>
        <mc:AlternateContent>
          <mc:Choice Requires="wpg">
            <w:drawing>
              <wp:anchor distT="0" distB="0" distL="114300" distR="114300" simplePos="0" relativeHeight="251658287" behindDoc="0" locked="1" layoutInCell="1" allowOverlap="0" wp14:anchorId="099AE718" wp14:editId="3E1975A5">
                <wp:simplePos x="0" y="0"/>
                <wp:positionH relativeFrom="column">
                  <wp:posOffset>-748665</wp:posOffset>
                </wp:positionH>
                <wp:positionV relativeFrom="page">
                  <wp:posOffset>165735</wp:posOffset>
                </wp:positionV>
                <wp:extent cx="10283825" cy="7201535"/>
                <wp:effectExtent l="0" t="0" r="3175" b="0"/>
                <wp:wrapNone/>
                <wp:docPr id="283847602" name="Group 283847602" descr="Figure showing evaluation design"/>
                <wp:cNvGraphicFramePr/>
                <a:graphic xmlns:a="http://schemas.openxmlformats.org/drawingml/2006/main">
                  <a:graphicData uri="http://schemas.microsoft.com/office/word/2010/wordprocessingGroup">
                    <wpg:wgp>
                      <wpg:cNvGrpSpPr/>
                      <wpg:grpSpPr>
                        <a:xfrm>
                          <a:off x="0" y="0"/>
                          <a:ext cx="10283825" cy="7201535"/>
                          <a:chOff x="0" y="0"/>
                          <a:chExt cx="10342245" cy="7242810"/>
                        </a:xfrm>
                      </wpg:grpSpPr>
                      <pic:pic xmlns:pic="http://schemas.openxmlformats.org/drawingml/2006/picture">
                        <pic:nvPicPr>
                          <pic:cNvPr id="236214146" name="Graphic 3">
                            <a:extLst>
                              <a:ext uri="{FF2B5EF4-FFF2-40B4-BE49-F238E27FC236}">
                                <a16:creationId xmlns:a16="http://schemas.microsoft.com/office/drawing/2014/main" id="{2FA750E1-E49B-41EF-CC25-F71AE3D02FF7}"/>
                              </a:ext>
                            </a:extLst>
                          </pic:cNvPr>
                          <pic:cNvPicPr>
                            <a:picLocks noChangeAspect="1"/>
                          </pic:cNvPicPr>
                        </pic:nvPicPr>
                        <pic:blipFill rotWithShape="1">
                          <a:blip r:embed="rId67">
                            <a:extLst>
                              <a:ext uri="{96DAC541-7B7A-43D3-8B79-37D633B846F1}">
                                <asvg:svgBlip xmlns:asvg="http://schemas.microsoft.com/office/drawing/2016/SVG/main" r:embed="rId68"/>
                              </a:ext>
                            </a:extLst>
                          </a:blip>
                          <a:srcRect t="3068"/>
                          <a:stretch/>
                        </pic:blipFill>
                        <pic:spPr>
                          <a:xfrm>
                            <a:off x="0" y="0"/>
                            <a:ext cx="10342245" cy="7242810"/>
                          </a:xfrm>
                          <a:prstGeom prst="rect">
                            <a:avLst/>
                          </a:prstGeom>
                        </pic:spPr>
                      </pic:pic>
                      <wps:wsp>
                        <wps:cNvPr id="854354446" name="Text Box 2"/>
                        <wps:cNvSpPr txBox="1">
                          <a:spLocks noChangeArrowheads="1"/>
                        </wps:cNvSpPr>
                        <wps:spPr bwMode="auto">
                          <a:xfrm>
                            <a:off x="130358" y="177449"/>
                            <a:ext cx="4025735" cy="510425"/>
                          </a:xfrm>
                          <a:prstGeom prst="rect">
                            <a:avLst/>
                          </a:prstGeom>
                          <a:noFill/>
                          <a:ln w="9525">
                            <a:noFill/>
                            <a:miter lim="800000"/>
                            <a:headEnd/>
                            <a:tailEnd/>
                          </a:ln>
                        </wps:spPr>
                        <wps:txbx>
                          <w:txbxContent>
                            <w:p w14:paraId="6EBF6E99" w14:textId="58833A84" w:rsidR="002D3851" w:rsidRPr="009C6A0F" w:rsidRDefault="002D3851" w:rsidP="00E733A0">
                              <w:pPr>
                                <w:pStyle w:val="TableFigure-Header"/>
                              </w:pPr>
                              <w:bookmarkStart w:id="61" w:name="_Ref137110157"/>
                              <w:bookmarkStart w:id="62" w:name="_Toc138851310"/>
                              <w:r w:rsidRPr="009C6A0F">
                                <w:t xml:space="preserve">Figure </w:t>
                              </w:r>
                              <w:r w:rsidR="005B4A4F">
                                <w:fldChar w:fldCharType="begin"/>
                              </w:r>
                              <w:r w:rsidR="005B4A4F">
                                <w:instrText xml:space="preserve"> STYLEREF 1 \s </w:instrText>
                              </w:r>
                              <w:r w:rsidR="005B4A4F">
                                <w:fldChar w:fldCharType="separate"/>
                              </w:r>
                              <w:r w:rsidR="00165B17">
                                <w:rPr>
                                  <w:noProof/>
                                </w:rPr>
                                <w:t>2</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2</w:t>
                              </w:r>
                              <w:r w:rsidR="005B4A4F">
                                <w:fldChar w:fldCharType="end"/>
                              </w:r>
                              <w:bookmarkEnd w:id="61"/>
                              <w:r w:rsidR="00E800B3">
                                <w:t>.</w:t>
                              </w:r>
                              <w:r w:rsidR="009C6A0F">
                                <w:t xml:space="preserve"> </w:t>
                              </w:r>
                              <w:r w:rsidRPr="009C6A0F">
                                <w:t>Evaluation activities and number of participants by cycle design</w:t>
                              </w:r>
                              <w:bookmarkEnd w:id="62"/>
                            </w:p>
                            <w:p w14:paraId="102A9EBD" w14:textId="4102CC42" w:rsidR="002D3851" w:rsidRPr="009C6A0F" w:rsidRDefault="002D3851" w:rsidP="002D3851">
                              <w:pPr>
                                <w:pStyle w:val="Caption"/>
                                <w:rPr>
                                  <w:bC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9AE718" id="Group 283847602" o:spid="_x0000_s1072" alt="Figure showing evaluation design" style="position:absolute;left:0;text-align:left;margin-left:-58.95pt;margin-top:13.05pt;width:809.75pt;height:567.05pt;z-index:251658287;mso-position-horizontal-relative:text;mso-position-vertical-relative:page;mso-width-relative:margin;mso-height-relative:margin" coordsize="103422,724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oKDFOgMAAIAHAAAOAAAAZHJzL2Uyb0RvYy54bWycVdlu&#10;GyEUfa/Uf0C8J7MnziiTKM1iRepiNan6jBnGgzIDFLDH7tf3At7iVMoSKWPWyznnngvnl8u+Qwum&#10;DZeiwslxjBETVNZczCr86/HuaISRsUTUpJOCVXjFDL68+PzpfFAlS2Uru5ppBEGEKQdV4dZaVUaR&#10;oS3riTmWigmYbKTuiYWunkW1JgNE77sojeOTaJC6VlpSZgyM3oRJfOHjNw2j9kfTGGZRV2HAZv1X&#10;++/UfaOLc1LONFEtp2sY5AMoesIFHLoNdUMsQXPNX4TqOdXSyMYeU9lHsmk4ZZ4DsEniAzZjLefK&#10;c5mVw0xtZQJpD3T6cFj6fTHW6kFNNCgxqBlo4XuOy7LRvfsFlGjpJVttJWNLiygMJnE6ykZpgRGF&#10;yVMgUWRFUJW2IP2LjbS93W7N8jTNt1vzdJT4hESbo6NngBSnJfyvVYDWCxVedwvssnPN8DpI/6YY&#10;PdFPc3UECVPE8invuF1580FqHCixmHA60aEDgk404nWF0+wkTfIkP8FIkB68P17bLHP6uI1ubdhJ&#10;HLOvkj4ZJOR1S8SMXRkF7gWF3ero+XLffXbstOPqjncd0tL+5rZ9aImCIxNvSje5ZgzWP7DOf0QL&#10;tryRdN4zYUOdadYBeSlMy5XBSJesnzJgqe9rj5CURtOfgNjVWBafjIIJjNXM0nZDYQMz8Ddgu7cb&#10;7TW3gIba2DGTPXINgAZoPH+y+Gqsg7BbspY0IPBygsKuAuAaMhuxoPdCrndVms8CQHBhd8YYFXlW&#10;5PnOGI+umr7IJUqdaOvFriaRXcLwJo1GHThEazm0jNSAMrhkb2uI4/ih6fBN1mAGMrfS63FQ2EkW&#10;ZwXc01DAyelpnp+F1G1KPI/T4hSK2ld4kcQ5VHsQcxPnXbqTUkjnVAhByk6gocJnBYR03b2Znlt4&#10;GDreV3gUu78AytG9FbXfbAnvQhsS2wlIqeMfUupadjld+kpMPCM3NJX1ChSBIvH3GTxc0Gil/ovR&#10;ANVZYfNnTtz90N0LUPUsyXP3avhOXsD1Bs7fn5nuzxBBIVSFLUaheW39SxOYXYH6Dfc23CFZYwbL&#10;+Za/5qH17B3Z7/tVu4fz4h8AAAD//wMAUEsDBAoAAAAAAAAAIQCr1LbsEiQKABIkCgAUAAAAZHJz&#10;L21lZGlhL2ltYWdlMS5wbmeJUE5HDQoaCgAAAA1JSERSAAAJxAAABw4IBgAAAM4/s7IAAAABc1JH&#10;QgCuzhzpAAAABGdBTUEAALGPC/xhBQAAAAlwSFlzAAAhlQAAIZUB+73x9AAA/6VJREFUeF7s/QmU&#10;E3W/7//us869//u/9+67tuuctf9n+GsnPTOLMokKtjgwiNo4KyCtiLPYziCgLQqioi2DICBGRARE&#10;bKFxALoJMooMUQaZ1KiIiKhxfJ6zzx5+t76Vqkol/Us61RNJ9/u11md1k6STSlWlKs9TH3+/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JRC&#10;n69rns9Xnp/jr8zL8QeNhIzfI1bC1m1VxmPKrD8BAAAAAAAAAAAAAAAAACAz5Pt8Jbmn+SrM8pvP&#10;r7xEynFSorOeCgAAAAAAAAAAAAAAAACAlidFOBkJzhz9TVN2k9utEeIC5qhwOf6gjBKne6wU6qyn&#10;BQAAAAAAAAAAAAAAAACgZciIbtoiXHRa1Eq53+fznWI9XEumVTULcq6/l/JcfX8HAAAAAAAAAAAA&#10;AAAAAECTyPP5yhKLcFJsS6cEp2ONMueMGielOOsuAAAAAAAAAAAAAAAAAACanpTd8nP8AV0RznpI&#10;g8lzu0eLk9+tuwAAAAAAAAAAAAAAAAAAaDo+n8/vHsVNRoiTKU+tu5uEVYoLOaU4n6/MugsAAAAA&#10;AAAAAAAAAADAySLFHhk1K9/nK5VIcSg/x18pkZGvpPRjFn+kYBRLJCFh63Hy+Crj3wEjlbmn+SrM&#10;KSt9vhLr5YBmVaeoZvzuZVS4UCRyimTv8T+77j8W8Vs3a8lryb5vl+6smwEAAAAAAAAAAAAAAAA0&#10;J3fpzS68maUhu8zTUokW58zCnJTlKMqhKWnKcFVym3W3lpTfdv/we+meE38EjIT3nvgjsvenP9Q+&#10;M39GY9z+uXH/3p9+qzMKXLTw6ezfldbNAAAAAAAAAAAAAAAAABrLXXwzR2fL8QcbVXrL8UekYGRF&#10;Rn8zR4BzR8pt1u3R15IR43TPlSrRvwtIWc/LaF6Am7k/WvuU7I+pynDmKHAn/qzc8+MfkT0n/lBS&#10;gnPHXYj73M7Pf6r9Rj7/+Y/A/khs9Dhz/43ux4wSBwAAAAAAAAAAAAAAADSEXX5LGPEtvTKaPC46&#10;WpuU2CrlOaIjXflK5DmN5/bXN7JWOuR5EkalS7ugJ+UmRpFDusx9LLbvhFLtv58d/61st1WEs+Ol&#10;EOdKpRTrop8d67WN362XAQAAAAAAAAAAAAAAAJCMFHxcI7+lV34zHuMuvbkKb40uuzWWVZQrs4py&#10;zjSXyWIX5BhBDonM4qX9eTB+JttHzOlRT/xZufvEH0rS2ELcAclPf4QXVtf0ce+n1ssBAAAAAAAA&#10;AAAAAAAAEFb5rcQssUWnJE2nMCbTmjqjqmVjccxV+Avq3mNcolOslmVCuQ8nl+wL9n4hnxnr5jhS&#10;hvvsp9+q7DJckxXirHRq3/GwtV8ybSoAAAAAAAAAAAAAAADaNs+jv1kjv9nlt9ZaCku3IOdeF9af&#10;oo0wPzvW58XYD5KOzhY6/lvFZyd+d8pwTV2IGztx8t/t/dFYJr/1sgAAAAAAAAAAAAAAAEDrJ6O3&#10;SdlLRrYyC3BWkUabaPlNSnIy7WlZW54yNK40qFtXVqQYxehxbYP5ObK3e7LR4Y7/ViZluOYsxAWW&#10;r3DtgxQzAQAAAAAAAAAAAAAA0IpJiU3KOh4KcObUp/J3lLqSk9KbrFNZZ9p1acRYl0EpE1JSap3k&#10;s2Jua2Mf0I3MZk6V+uPv4eYuxL2/ZUdsn0tSzAMAAAAAAAAAAAAAAACyjhTY7AKcVcZKOf2pWZBj&#10;9LdGk8JbmtOrOmVD60+RxYzPTtjertZNccypUn+MluGasxC34+tjzj7WrWu3+dbLAwAAAAAAAAAA&#10;AAAAANlFCnBSxkqrABcd/c0swMnfNOXob5Wh8ClW/JKZe8NdJS/tDpdKZn4WLpPM2hMu1+VlM9+Y&#10;mb33m7K5CZmz79tSyStG5u0Jl0RzpGTu3u+6SgKS/WG/E2NZ7FiL2KKM9WtOSZtyexiRIpVsOwpy&#10;2Ue2mbMtjc+UdbNDRof79PjvkZYuxI24edQ+axEAAAAAAAAAAAAAAACAzCdTM1oFuKqUhatoAS4o&#10;I5I1tgBnld26Tt8dLp32Wbh85u6vK2fs/jowfffXoRl7vg7P3PN1xIiy85Jk79dq1t5v4jI7IS/v&#10;i2aOmW+dzLUy7/P4vBKXI2q+ZP8R9WpCAgl57cB3ZhZI9n8XsfP6gSNhK6HXD34XfP3g0eDCg99V&#10;vWFk4aGjAckbB7+vXHjwSIXkzQNHyo37yiQL9x8pWWzmWJ2pMt3iCou67eSKbFN7e1l/jgxllh6d&#10;becrtW52hH74vfRTKcO1cCGu/OFH/1c4EmGqYwAAAAAAAAAAAAAAAGQmexQ4a0rOUKyEkxBXAU5G&#10;r2pIAc4qvpUYKX/xs6+qpu3+KmQkMm13WEmmW5mx++to9kTjLsNlfCHOldetLDxo56iZNxKy6FA0&#10;b8ble7XYncPfqyWHj4aNn6GlX3xfZebw94HFB49WLDl0tPytg8fKlh0+VtJ3wCW3Wtuy3oKcsU3D&#10;RgKU5DKPlBzt7SQlVetmx6c//lZ1MgpxDzz6mDr4059l1mIAAAAAAAAAAAAAAAAAJ59dgpMylBTd&#10;7LJLXBpZgJPy23OhwyXPh74of2H3V4EXPvsqZCRS+VlYvSixSnDuUIirrxAXzdKEvHX4mHrri2Nq&#10;mTuHvw8bP6vumzqj9vJhZes7d+6avOzoDiW5jGB+Nq1toi/E/R5uqULc+1t2OPvHhMnPqkO//BWw&#10;FgMAAAAAAAAAAAAAAAA4OawSXKlMm5msBGeOEJfjr5QiVEMKcFNDh0ufC31Z8fxnX4aMRF747Csl&#10;qTQTdkIhrgUKcUbeTsjyL4+p5955Xz1UOevEVTeN+uLM7j1/1O0HdUJJrsWZn1Nr/Vs3OULHI12l&#10;DNdShbhla4LOvvDa8pXq0C9/VlmLAgAAAAAAAAAAAAAAALQceyS4pCW4hFHgrD9Liz0CnBTgpn76&#10;Zei5T7+MPP/pV0piF+EoxGVeIW75lz+odxLy5OtL1X3PvqiuGXn7v/Tsfc6vdfYTXXL8YdmvZGpP&#10;r/sO6iefS3s9Wzc5Qsd/K2vJQtyUGbOd7f72mvXq0M9/haxFAQAAAAAAAAAAAAAAAJqfFOGk5JYn&#10;I77ZBSY7VglOiky6qRiTsQtwz4QOVzz76ZfBZz/9IjL106+UOxTisrMQV+XOVz+od4089fpb6v5n&#10;p6nhd93/W/eevX+usx9pIgU5RpFrGvZnV35aNzk+PfF7ZUsW4m67u9zZxhv2HlIHf/4rYi0KAAAA&#10;AAAAAAAAAAAA0DzqGw3OVYJLeypUKcE9LSW4XV8Gntn1ReS50JfquU9joRDXegtx7351XK1IyKSF&#10;b6nxs+era0fdeeSckguOJe5jiZF9ztgXZQreUi/7HeopxP34W1VLFuIuuniAuT3l58Ff/lKHfv6z&#10;zqh1AAAAAAAAAAAAAAAAQJOQUd7MUbly/GF3GclMjj/idTrUp0Nh/5TQF+VTdn0ZmrLri8gzoS/V&#10;s1YoxLXtQtzKcCzVViYvfEvd9dgk1affRSfq7H+JkX00xx/wOjphW5S6EPd7uKUKcTu+PuZsv2Fl&#10;I61CHFOmAgAAAAAAAAAAAAAAoAm5RoMLSenNKRxJrClR0x2V63EZBW774ZJJOw9XPL3zi9CU0JdK&#10;SnDuUIijEJesECdZFf7RyYvvfqDun/LC3/oNvPSbovzCv+L2zYSY+2l0BDmmWE2QrBAXikROsctw&#10;LVGIe3/LDmd7TZj8bLQQ98tfAWtxAAAAAAAAAAAAAAAAgIZrqtHgpAT35PbDJU/v+rJy8s7D4ad3&#10;faEkUyRWCY5CHIW4hhTiVn39o3rPyvtGlu/9Uo2dNvtE6fU37urUsfNXdfZbV/Jy/FWMHheVtBB3&#10;PNK1JQtxU2bMdrbPa8tXmoW4w7/8rdJaHAAAAAAAAAAAAAAAAMA7GUErT0bTsoopTjyMBicluEk7&#10;DpdO3nU4MHnn4chkqwTnDoU4CnFNXYhz5wPJNyfUYy+/uqf0hht3Febl/1Fnn7ZiFsLa8Ohx9ue9&#10;TiHuWKSkJQtxt91d7myTDXsPmYW4gz/9WWYtDgAAAAAAAAAAAAAAAJCeuGlRrUKKkxx/WEaDq28k&#10;LSnBTdxxsGzSzkPBSTsORybv/EJJEc4OhTgKcSejECf50MqMFR+qUQ+N3XbGGWfuqbOfu2J8DszR&#10;46xdu9WzC3FSerVuMoV++K28JQtxZ/c+x1z/F108IFqGM7I/8vc2P4IfAAAAAAAAAAAAAAAA0iRF&#10;uGTTokpJRqZETTUa3FPbDnZ9cvvBiid3Hg49teNQ5Kmdh9UkM18oCnEU4jKtECdZ7cr4GXM/vnjQ&#10;Zat1+78dqxzXqkcpi46OF32/7s97Sxbidnx9zFnnt99dbpbhDvz8V1xBDwAAAAAAAAAAAAAAANAy&#10;R4STEkyOP2KXUMzIv3P8ASnCWQ+NI6PAPbn9cMkT2w9WTNxxOPTkzsNKSnDuUIijEJcthTjJmm+j&#10;eeb1JRuvG3V7Vfui4q1xnwl3Wum0qmYp1nqP7s/+pz/+HmipQtyyNUFnPT8zY7ZdiIubwhUAAAAA&#10;AAAAAAAAAACII2WeZEW4ZNOiSgnu8W0Hy57YcSg4cfuhyJM7DisnCWU4CnEU4rK1ECdZ++1PZtZ8&#10;81Pw9ofHv9uxQ8ftcZ8T1+dFPkfJiqPZxjgulMbeX6zw9+mPv1W1VCFuyozZzvp9bflKsxB36Je/&#10;AtaiAAAAAAAAAAAAAAAAADFScsnL8YdipRcrOf5wns9X7p4m0SzAbd9f8vj2gxVP7DgUMqIkE3cc&#10;NkMhjkJcay/ESWpiCd145+gPC3Lzd9f5/BiRz1WyMmm2kOOD836M44F18z98evy3YEsV4oaNGOms&#10;051f/2AW4g7+8rdKa1EAAAAAAAAAAAAAAADQ1pnToiYpwhm3Bd1FOLME9/GB0orthwIVnxyMGD/N&#10;Epw7FOIoxLXRQpyqOfKTqjUye+XqdVeNKHtTiqSJnynX56rM/ABmkeixIvoepNxn3SxTpoZbqhB3&#10;du9zzNe/6OIB6uDPUob7Sx048VeptSgAAAAAAAAAAAAAAABoq6TcIqWWOkW4HH9ECjv2NI/jtu8v&#10;mbDtYMVj2w+FHvvkYOTx7YeUFOHsUIijEEchLr4QZ2edkafmLVjWp+/5y8zpU92fs9jnrTKbRo2z&#10;34dxjKiybmqxQtyOr4856+2BsROcQtz+yN+zdtQ9AAAAAAAAAAAAAAAANJJdhKtT0JF/5/gDPfv3&#10;7zNu6/6Sx7YfrJyw/WDY+Kke235ISRHODoU4CnEU4tIrxK078rOVn8Jjpr64skunLsviPndWsmXU&#10;OKdAaxwvrJv+4dPjv0daohAXWL7CWV8zX3uDQhwAAAAAAAAAAAAAAEBbZk53mOOv1BXhios7Trn+&#10;uRnXjd9+sHL8tgORCZ8cVI9JzDIchTgKcRTiGluIC34Xy/rvfq66asTNSadUlc+pPUJjpjGPIdZy&#10;WjfJCHFOGa45C3FTZsx21tFHew5GC3E//xm2FgMAAAAAAAAAAAAAAABtgRRrzBJLQhGuwOf/tdeA&#10;S2bev3rronHbDkTGf3JQSaQMRyGOQhyFuGYtxDl5et6CZdk0apw5uqS1fHJsCUUip7RUIW7YiJHm&#10;657eqbM6YPxbCnEHfv4rZC0aAAAAAAAAAAAAAAAAWrN8n69EV4QrKig6NvCu+7c9WLvj13FWCc4d&#10;CnEU4ijEtVwh7iMnv9Q7apzP5zvpU4NKQS+2XL6S0LGIv6UKcWf3Psd83dIrrnYKcYd++StgLRoA&#10;AAAAAAAAAAAAAABaIympyMhSsdJKNF16nh2+/KEJ3z20bocat+1gNFYJjkIchTgKcSe9EKc+OvqL&#10;2vDdz+GJM+e+1r6w3aLEz7DE+GxXyWfc+ri3OOO1S51l8fnKQscjXVuiEPf+lh3OOnhg7ASnEHfw&#10;l79VWosGAAAAAAAAAAAAAACA1sLn850iJZm8HH/ILo3Y6dr73CM3v/LmH49uO6Ak48xQiKMQRyEu&#10;Iwtxrmz6/pfKfhf1f043apx81k/GdKrmFMz2Mvh85aFjkZKWKMQFlq9w3rv8bhfi9v/8R4W1aAAA&#10;AAAAAAAAAAAAAMh2UoTLPc1XoSvM9Lig/x93LH1Pjd12wAyFOApxFOKyqxC30cqGoz8H7xwzfnp0&#10;dLj4z7mZFpxOVV7Hfl059oSO/1bWEoW48ZOedd7vR3sOxgpxP/3Z4qVAAAAAAAAAAAAAAAAaRIo+&#10;ibHuAtq8fJ+vREowRiJ2SURSVFj8v3r2H/yvty+JFeEoxFGIoxCX3YU4ySbz58+hSXPmP2Z87gPu&#10;z72TFijG1Rkh7offyluiEDd0xEjzNc/ufY5ZhrMLcQ+Ne3yltWgAAAAAAAAAAAAAAMRzFc/8csHb&#10;jlm88flKJTI9m5VyiTUylZRyJAGJjGBjJGglZMe4L+xKpE7sC/rpJva3zvNar2W/tiyHGeM+c9lk&#10;ea1lL7PeV0lzlweApiKfT9lnjX26zrSoUoS75N4xf7+n+iM15uMDZijEtb5C3GNLVqrHJUujefq9&#10;deqF9dvNzN6xn0KcK62xEGfme/Pf4U3fRcxzsXn+SzgeyHmvuc5tcgxyXsc4l+768fdASxTiunTq&#10;bL7msBEj4wpxpVdcbRYBrcUDAAAAAAAAAAAAAGQ7d4EtP1ZYM8tqcoFYYpXC4gpq5gX0xpTRWmui&#10;pTqzQGeV58ziHKU5nEyy/yWbFrVr73OPlI578m/31+5Qj3y83ynDUYhrXYW4mds/VwOvGx637VOl&#10;Y4dOqmPHTqpbz97q7H4XqUuuv9HMlbfcqW4eN1Hd+fQL6oEZc9WTy6qNrFIzNuygEGckWwpxm76P&#10;qM1mfolsPPpzhXn+1xRl5XzW1Oev6HnRfg1f6a7jvwWbuxD3/pYdznuaMOnZuELcRRcPiN5HKQ4A&#10;AAAAAAAAAAAAsoMU3lxlN7PklmcV24zfM6/I5i7ZxUZsc4/aJnFGbrNjPNYcwS0h9shziTHvd/29&#10;+7kTR6Nr2sKf8VzG8zuFOWO7SFmOqVzR5GS/kv3L2p/j92F/3u9ShLv1zerfH/54v1mEs0MhrnUW&#10;4m6d/Hz8sagZ071nb7M8d9WoO9XI8RPVQzPnqUnLVqmXNu6gEJdxhbhotkTLcZVyzJDzU+I2lfNW&#10;UxXjzO8i1vPK95NdP/4ebu5C3JQZs533Eli+Iq4Q16dvyT77vg6nnvpfrMUEAAAAAAAAAAAAAJxs&#10;TvnFVXozftYZDapBqVtOswtqiWU0s3DmmlbUnFpUYiybTJlqTjFqT6UqF9etmFOtWm8lo8nyJoym&#10;V2aNvGUW7WS9GD8btN7tdekqyjGqHDyT/SbZaHAF/txvSm64aeudK4K/Pbx1v5IyHIW4L7OyEPfi&#10;J/vUs+u2qSera82MX7JCPfTKomjmRzN62hwzUoaTEd9kH5CfF115w3328cuIOXW16zhmH8vM43tx&#10;UfHWDh07fdWpU+c/EvenxkRKc4Ovv1FdPeouNWr8k+rpt1eplzftpBB3EgtxdrYe+6XSPM/JeT1x&#10;2xm3Nfbc5H7eiS/OHBRKKMM1RyFu6IiRznv4aM/BuELcayve72Ls6+Z3G2sRAQAAAAAAAAAAAAAt&#10;RUpjrjKWXXzzPtJbdJQyufjrntqzXEpYEldZLa2i2ulVwVM6vBXs2untYGnnt4LlXd7eUNll2UdV&#10;Xd7+KGj8HjKzbEO467INka7LN6gzJG9viBgJS858e2PYuC14xvKNVUYCZyz/qOLM5R+Vd3t7Q2m3&#10;ZRtLrJfJOrIOrW1ll+YaVJhzbyfZPvK81ksAJvmcyr6hPR4Y/y7Izd94zTMzlt1b88mvD0kRzg6F&#10;uIwpxD3/8V5VsaJGVaysUffPe0ONnDRVXTP6IXXZyDtUyeBSddb5F6oze56lOshUpla5rSG54cGx&#10;/5bOcV0neo7wq4uvuFpde1e5uvf5GV/JtKkPzJinZBrVYeWPmKPCXXDpELPwlvja6Ub+9tIbblS3&#10;jn9SPfLSK+qZ5e+p1z89TCHuu5YqxEWz5WikPEUxrsHTixp/a54D5Xi18/hvFS1RiDu79znmcsv0&#10;qHYZzi7E7Y/83fy+k+vzPWEtIgAAAAAAAAAAAACgObjKVFJ8kyKVt+JbtPQm5atKu+xmFd0aNRKb&#10;lN86LguWdHwrWN7prY+CnZZ9FDJ+Rjov+0h1edudDer0hHSV2IU4V85cvjEu3d6Jprsr3ZZvDHd/&#10;Z1OV8XvA+L2iW9XGkl5Vwawuhlnb1yzLWdvKc1HOKsmVyv5iPS3aENnuVtmy7r5j3FZY3H7KsDmv&#10;P/jAls/DD27dr6QMRyHu5BTintu6Rz32bo0qn/uGuumpqerq0Q+q86yim5Tc6my/Zsj19z6kRjz6&#10;hLlvNPRcIOeS+Of1lbx+4GjpwkNHA28cOBp54+BRZWfRoaNq5sYdasJri83cMn6ikSfVhZddYaZj&#10;R+/v+7IbblTX3nqXuveZF9Wzy9+jEGekuQpx0fwS2vRdxBzV1fwe4toW8m85h1m7RlqipX7rOYzv&#10;J7uO/xZs7kLcjq+POcv8wNgJdQpx4UjE/Cx06NDh/zAXEgAAAAAAAAAAAADQOFJKkEKBVXzzPuJb&#10;jjmVqYwgZhbfmqL0ZrNHfmu3JFjefun6QMdlH4U6vPVRpNOyj5Q7UoZr7kKcpMc7m1SPqmh6uvPO&#10;xnCvdzZV9Vi+saJX1Udlxv1drbeQlYz9ocFFOdkXXCPJNcl+gMziHDOi+0ad0eDM2437b1rwzuAH&#10;tn4eenDr50rKcBTiWqYQ98zWPerhRVWq7Knn1JA77lV9BlyqevQpUe3atf/3uG2VZtq37/DvXc/s&#10;8R+9+vYzy3P9rxuuLh95h7r23ofMjJr0vJm7p81xpkydsGRFXCavqjXzyuffqvMHD4k+dxOX4qy7&#10;/mHh/iMlRioWHjgakkKc5M24fK8Wu3P4ezV700712GtLzKlTrxl1l1mWi3/+1OnRq7dZkrt9wlPq&#10;uXfepxDnSmMLcR+b+dX4/dfKUDhyivVdJe64I8ecdPel6Pkp+ncDLrn0VinDNXchLrB8hbOsM197&#10;o04hzlo0AAAAAAAAAAAAAIBXcrHYHGGlIUWnaMnFnuK0Mt/nK23K4ptNym/tlwRL2y9bX9lu6fpQ&#10;+6XrIx3eWq/sdFz2kZlMK8T1SshZ70o2q97vbgobv1f1qtpY0btqc2mvqq3ZPqKcFCdj+49uX0lM&#10;dN+hJNcKyLaztn3cKE32dpb75Ljw4Ka9XR/Y8nmVERUtw1GIa45C3OTNn/36yNLqAyOfnf7xwBtH&#10;bu3ao/fhjp1P/6bOtkmVhGO7uX01I3rKT/d2N15nY2UofMrs/WG/ZO7ecNfZe8Ilkjn7vi21M3fv&#10;N2VmPv+m3Izxe/Qc4rx+s5TibIFw+JSFB46ULzp4NJiqELfEytKEzNm0S1UsWKrGvPSKunXCk+qi&#10;y65Q3XulNxWrlOQuv2GEWZKb+s77FOKMNKYQJ9lmFuMi5ohwcfuRRPblNEaLk33Ofvzq3funtEQh&#10;bvykZ53l/GjPQQpxAAAAAAAAAAAAAOCFFAukxJAfm+pURnzzNhWm8Vi7HCHP0RzFN+GrCp5SvDhY&#10;Urg4WNFu6fpg8dL1kfZvrVfuuMtw2VmIi8/ZVozfQ71Xbg70rtpYcU7VxpKzs3hEOWPf8FOSa71k&#10;28g2so4JyUaDkylzT7k3GDrlgc37Kh/Y8nlEynAU4pquEPf0lj3//mRwx74bJz6zst+V131YVNju&#10;QIHP/2vc9kieP+zfje2ljM/rKw05rsvjjb93SnGy7a27PJPzi/08xu/NWopzW3TgaOmbh74PpFuI&#10;e+vwMfXWF8fUsoTINKlPLFhqTpsqI8P1ueAi1zIkz8WXX6FuemCMeur1t9SS3V9QiHMl3UKcxPg9&#10;tC3JNKrG/hSwNncdxv5Raj+uY/uOU3b9+Hu4JQpxQ0eMNF+zS6fOcWU4sxD3059ha/EAAAAAAAAA&#10;AAAAoO2RwoARf2LhTS7+mheEpfSWWFhJFbvM0szFN1vhW8GuRUuCpYVL11UWL1kXMhIpXhpUxUvX&#10;q3aSt+LLcK25EGdmxWZ1jpVzV2wxY/wePmfFlqpzV24JGL9XSPqs2FQmpbnzqjZ1PS9LRpiT/ZSS&#10;XHaT9S/bsE7ZxNpWsp3kmGE9/B/u3bin5P7N+8J2EY5CXOMKcZM271b3zH/z8IXXDvu6XXEHVeDP&#10;j98GukQ/Q3IuqHNMl8+U+7Gybc0N55G5X2R5Kc4m5bjFh7+vXHzo+0hDCnHuLP9S8oOa+PpSdd+z&#10;L6qy+8eoi9OYdlVGkbv+trvV+Nnz1dI9X1CIs1JfIc7MD7+q7e5pVN3r1vwuVHc/kP3Vvv/5eQse&#10;s8twzV2IkyKcvK4U4yjEAQAAAAAAAAAAAGjV5OK/xC64ScyLutGSmzmymxQPzPKBeXHXdbHXS6Il&#10;Caf4JheJjddttmKVLxA8pfCNYNf8RcHS/MW1FYVL1gWLlqyLFC0NKjvRIpwdCnF2Ic5OH8nKaPq6&#10;cp6TrfLvcMnKraGS6q1VkvOrtwTOW7G5QtJvxdayfis3l55XvbXkvFWZUaSTfU5KOB5LcuZohZTk&#10;Wo6sY3N9S8E2YXvIdpNt6N4O927a2/W+LZ9X3b/lcyWhENewQtxTmz5T9y5Y9sdld94X7nxGt2MF&#10;/rzfE9d/XKLHdeezkU6hWR7nfg7ZltZdnsjrGK/dKkpxtsWHj5S8eeho+eL9325sTCHunYRUGZHp&#10;UqUkd/nQEapTx2gxKlnkfinIPfDcNPXWni8oxNVTiPvEyrZjkTL5DLj3S4l857E2cdzocMa+Ftj5&#10;4++hlijEvbdlh7M8MnVqYiHuwM9/haxFBAAAAAAAAAAAAIDMJBfzjcSN4ibJzy+eldfp9BX5HU/f&#10;k9ehy3f5+YV/z8sv+l/OxdlGxHye4g6RvDN7hvN6nbs/9+LLPswddtv0vPueeCznhcBQ38K1JWbe&#10;WN3Vtzjol8KatbhpkcfXiVl4qynNW1xTlvdmTXn+4nWVeUtqg/mLa0MFi2sjBUvWqYIlQVVoxV2G&#10;oxDXNIU4SUl1LOe70k+y6mMnF1i5UH5Wfxy+oHpr6MJVW6vMvPdxwPh3xUWSVVvLjN9L+n/QMgU6&#10;+axIKacRJTmZqjMrRs3LdLIezXJSYvnW+LesazmmWQ81yfSo92/eV3nfls8jRswyHIW49AtxEzd9&#10;psoXvqOuKH8k0qVbjx8LcvOcaU3rJFp+O+K67aica6xN4YnxmaEUVw95/Stuuu2rUeOfVNM+3NDo&#10;QpyTr35Q7xp5dcunatys+ermB8aoPhdc7Freuul/+ZVq5ANj1YtVH1CIS1GIk8hocbL94vYnI3L8&#10;svZX5xwzafrs+3b9GCvDNWch7ukZs51lCSxfUacQd/Dnvxr82QEAAAAAAAAAAACABpGLqBJXwa3M&#10;LLhFiyMyVak5ilu+L/ebPH9u6hF9vKa4g8rv2l3lndVX5Q0YovKGDFV5149SuXeOUblPzVK5UwPK&#10;P79a+RfVOvGlmzdjyXmzJuKO+z6/ldzFdtaZyUtIvsQswblDIS4TC3HuXPReLBe/t81JfycfR/q/&#10;/3Go//vbqga8/0mg/3tbK/qv2lrWvxlLc+YoP8bnTD5j7gJDfTEeW2V+Jq1REK2nQz3MElGSIpys&#10;S105SaZHvW/zvpAU4exQiKu/EPfQO6vVsInPql79Lo4UFRT9PW59uxMtwJmlT/k82NvA3E6xxzRZ&#10;cUw+b9ZdnsjrR89/1vO0slKc+72NeHDMyqWHj1a89cX3wbcOH4s0phD37lfH1QpXluz+Qk1a+Ja6&#10;87GnVN96CnJDho5QD02dppbv/ZJCXGIhLlqKC237LmKNuutad8Y+5fq9cufx34ItVYiTaVLt116/&#10;52CdQtyhn/8KWLsdAAAAAAAAAAAAADSOXOy2S24SbclNCiKJJZHGRApupycpuN0/UeU+OUvlPhdQ&#10;/hlLlf+VauV/ozZ5FulTp/iWLK7SW6pQiGvrhTgj729TA1wZaOYTM4PMn9siAz/4JDTog0+qLnn/&#10;k8DA97ZVDPpgW9klHzRdaU5KLQ0pyRmPjxtNLnGUs7bMOAZqR4Qzj3/JinDB0Cnlm/dVGonct3mf&#10;U4ajEJe8EDf69eXqqocfU937nP8f7vUcl2gBLqgbiS+Ruc1if0cpTiPxvcm/rbs8SXxvxjI5xaWq&#10;cPiUtw8fLV12+GjFsi+OVb39xffhhhbiJCvDsVQbmbzwLTXygTEpp1gdcPmV6pYHxqpp735AIc4u&#10;xJn5TX1yNFJufsdL/A5n/HvlJ7vu3HX8N9VShbize59jvvaFFw9Q+xPKcJKDP//NHNkOAAAAAAAA&#10;AAAAAJKSC9hG/NEL4rGiW16Ov8q8sC2jhDRVyU0KbkacgptECm53jIlm4iyV+2zAjH9etfIvrI1F&#10;V3LzkkX61Cm+JYur9JYqFOIoxNVXiDPzQTSXWBkcl+1q8Ifbw5d+sL3qkg+2VVzywfaSy5ugKGd9&#10;zkulRCQlHPOzrfucamI9PmAV5drUaHJyjJRjYuJx0FwnKdaFjApXvmlvuHzzPiWhEKcvxFVs/FTd&#10;8/pydfldD6jTu/X8d/c6joux/hNHgEuXuf1iz0MpTiPxvTX0c+71vUlJ7u0vjpW98+WxyuVf/hBs&#10;aCHOzqrwj+Z0qQ8+N82cPjX+PcXnlgfHqukrPqQQ98NvaoeR7cciMlWq3739OrbvOGXn8d/CLVWI&#10;C+4+6Gyf+8dOoBAHAAAAAAAAAAAAoC65MG2P6iZFN7PMEi27xUZ0sy48NjiF7f4tv7j9f+T1skpu&#10;pUNV3nWjVN4dY1TefRNV3hOzVJ6U3OZVq9yFtXUSV3pLFV3JzUsW6VOn+JYsrtJbqlCIoxDXFIW4&#10;Sz+M5TJ3PtheZfwMXP7hJ+WXf7C9SYpp1vGh0aPJSZHCespWQY6fsk4Sj5PRdZSiCBcMnTJ6877K&#10;e60iHIW4uoW4xzd8qm6bvUD1u2aoat+hU/x+ZUfWe45/lrFvHrZvk3VvrWbPzG0Ze25KcRqJ7y3V&#10;fp5KY99bVfiYv+rw0dLlXx6rmLNu2xGvhTgnX/+o3jPy9BvLzJHhUo0eN+rBsWrGig/bdCHOzPHf&#10;gtb2M78nfvDpvilmGa6FCnGvvr3C2SaB5Su0hbj9P/3ZoM8cAAAAAAAAAAAAgCwhFy3dhTe5KG5f&#10;xDR+b1TZLc+f+3tecYev8k7vfjiv70Xf5w0Z/mPurQ/9La7kNrc6mtdrU2dh8mjLb7roSm5eskif&#10;OsW3ZHGV3lKFQhyFuOYsxF1uZ7VkhyqNJli6emfl5R/uKL08GGpQESaRcWxxjyZXJSUb3XFCF+vx&#10;AfOY1MBCzclklkGiBcHEIlxI3pP1MK27Nu4pGb1pb1jKcBTi4gtxj20IqVtnv6bOGXR50hKcrOPE&#10;UeCsck5GF8coxdXV1O/t4suuUNfdepca8+Ls3945dHS3l0Kc5H0rMl3qQ1OnqZ69erveYyydO3Y2&#10;y3EzrXJcGyzEyc9QKBI5pey22wYZv0dashA3ftKzzrZYv+egthD38utLxlu7BgAAAAAAAAAAAIBs&#10;JBeUm6XwZvxtrj93d167Tuvyep23Mveiyz7Mu6Zsfd7YqaG8p+Ye8M9Z+WvuglrlRFdy85KFyaMt&#10;v+miK7l5ySJ9tOU3XVylt1ShEEch7iQU4swMcbI9PGTNzsAVq7eVNVVBzmYdixo8mpwcx+SYZj1d&#10;xjHeX4l5fE1cdmO5UxWM7FHh7tm8L2KX4SjEHVYTNkRLcOdfnWQkOONcJPuRXYKzVmcd2VAcoxRX&#10;V3O/t5XhH0pXfHmsYuVXx4PVX/0QSacQZ+cDIzJd6t2PT0pZjrvVKse1qUJcNOGdP/wW2mmX4Vqo&#10;EFd6xdXmuj+79zlmGU5XiOvTt2SftVsAAAAAAAAAAAAAyGRyYdcuvlkjMjW89BYtGISMVOXnF8/K&#10;Pavvc3mXXD0974FJz+VNmT/fP+vdjXkLakO5C2oicaW3VNGV3LxkYfJoy2+66EpuXrJInzrFt2Rx&#10;ld5ShUIchbiTX4jboa5Y48rq7ZEr1+wMDPlwR3lTF+SEcfxyjyYXlLKK9tiUEDlGyd8Yf3vSR5GT&#10;Y7BZuHEfc+VYWk8RTty7aW/X0Zv2Vo3evE9J2nohbsJHIXXXgrdV/7JbtSW4An/u32Q/SWfduslj&#10;5dxmP488h3WXZ+a2tpepEcWx6Hk79t4oxdXVku+tOnyspDr8Q/mqr44H0ynEffDNCTMfGpHpUu9J&#10;UY4778KL1eiKyWrJJ7vbRCFOinB2WqoQtz18zFnfQ0eMTFqIk/3A2uQAAAAAAAAAAAAAMoEvWhwp&#10;kSKAXNCTC8NyUdd90bXeuAtv8hzGc+V27Hxn/rUjr819JjA0N7C2Ive12qq812pDea/VRIyfKm9B&#10;3WiLb8miK7l5ycLk0ZbfdNGV3LxkkT51im/J4iq9pQqFOApxGVeIM3Llmp3uhK5cu7Pyig93lFqH&#10;pmZhHOvskS0D7kJMssgx7WQU5OT1Eo/DcmyW47X1kKTu/uizsns27YuM3hQtw7XVQty4j3apO1OW&#10;4PL+dP+7NRXHKMXV72S9NxlBrjp8vOK9r48H6yvE2ZFpUmVEuFTluCuHlamJcwIU4hLS2ELc0tVB&#10;Zx3L1Km6QtxnR386JucWaxMDAAAAAAAAAAAAaElygVYuHMeVQbyM9uYqvZmjLvl8ZXLR3Xhevy8Q&#10;PCU/UFNqFd+CccW3ZFlQN9riW7LoSm5esjB5tOU3XXQlNy9ZpI+2/KaLq/SWKhTiKMRleiHuKjtr&#10;d6qrjRg/q65cvb3iyrXbm72IJkUGZyQ53bHPFfMxZvnFV9rQQk8qVkmnKuE1Q+mULWSK1Hs27a0y&#10;oswyXBssxEVLcMuSluCKCgr/VpBbsFHOg7KuW3NxrKnem+E/F5922v80lsMvy9Lhnzv8o3W7Z/mn&#10;5hfIviwpyMm9qkOHDv+HdZcnxt9ndSnO7b3wD6XvhY9XvP/1j6FUhTh3pBwn06bK9KnOa7py24OP&#10;qlkrV1OIM9LYQtzT02c76/WtNcFkI8RJWfn/tDYpAAAAAAAAAAAAgOYiF2LlgrNd8nBf8K030eKb&#10;Wfowy3M+X4lVfDMv7kr5zRdYW5IXqCmPjfpWqy+9pcqCutEW35JFV3LzkoXJoy2/6aIruXnJIn3q&#10;FN+SxVV6SxUKcRTisq0QZ+caK1ev3VV1zZod5dd+EKp3hLTGkmOnHPuM42BcMU0XOVbKcVaOkdaf&#10;N5hZ8nGXlOVYbBW3rIckddfGPSV3b9wTljJcWyvEPbp+l7rjtWVq8J33a0twknbtO2y31mWd/ac1&#10;l+IKcnI6WOdzKcE/Lv+27sp6si2t92WNapu9pThbVThyyvvhH8uX7T4cSlWIW/NtLM8telsNu/2e&#10;6GsmpFevs9VtDz2qlm7fTSGugYU4mSZV1mWXTp2dMlxiIc74N9OlAgAAAAAAAAAAAE0tejE/Vn7L&#10;T2fUN9dob3IBV4oC7tKbmzP62/y1FXmv1obyXq2J5AVq9SU3L1lQN9riW7LoSm5esjB5tOU3XXQl&#10;Ny9ZpI+2/KaLq/SWKhTiKMRleyHumrW71LVOdkaurd1VeU3NjtLLg6EGFYW8kGOjU5BLdXyV+8xC&#10;jLdijhx3o38Xey45lqdTspNR4e7etLfSiFmEa0uFuNHLPlClD05Qp3fvFb8drHQ96+xw197nvpzO&#10;eoyeR2N/25pKcW3Jeeed9/+wfvUkE7fbeRcPHHzLA2PVjBUfpizErf32Jydjnp+uBpZeGX3thFw1&#10;rEw9Ofc1CnFW0i3End37HHP9lV5xdfJC3E+/NXT0RQAAAAAAAAAAAADCLE7Eym/pTXlqld/kIm2q&#10;4pvNKcC9WhswC3BSftNFV3LzkgV1oy2+JYuu5OYlC5NHW37TRVdy85JF+tQpviWLq/SWKhTiKMS1&#10;qkJcTTTXOdkZvL52V+W1LTC9qjDLMz5fmVl8SV2QC9RXjrOKOLGR6OR47W1UuJCU4dpKIW7M+p1q&#10;2HMzVffzLqi7vo307HfRf5x72VWbe/bv38daTWnLglLce//tv/23/691F5pYM263Bpfi5PhhP8+o&#10;B8aqpbv2b0xViKux8lrtFnVvxWTtlKpy2+0PPaqWbd9DIc5KskLcqi07nPV2/9gJSQtx+078Xu+U&#10;1gAAAAAAAAAAAABcohfofaX50WnBnAu1SRMtvznTndZXfhOuAlxlygJcYnQlNy9ZUDfa4luy6Epu&#10;XrIwebTlN110JTcvWaSPtvymi6v0lioU4ijEte5C3C51vSs31O6qun7tzopr14ZapCBnl5Sl+JLk&#10;uByWY7JxLI6brtMsu7j/xizX+dIqVtzx0Z6KOzfujdhluNZeiLstsExdcud92ilRZYS4/iPviPTs&#10;d1H0fmM9yrnPWlWeZGIprvDUU//vhhaq4I2MMJd/mv8yY3s9LtvM2P7V1l2eyWfe2ZeaqBQXja/k&#10;w29/KF3z7YlAskKcmSM/qVojz7/5thqeZErVq4aXqTnVayjEJSnETZ4+21lXry5fkbQQtz8Safap&#10;vAEAAAAAAAAAAICsJRdL5WK8FNnyolPz6csVdlzlNylRpFN+E2YB7pXYFKj5gVol0ZbeUkVXcvOS&#10;BXWjLb4li67k5iULk0dbftNFV3LzkkX6aMtvurhKb6lCIY5CXNsqxIUSsitopPL6mlDpiGaeYlXK&#10;KtYxPKg7blslmzqjy8ntxvG73lKFTJF618Y9gbs27lWS1lyIezi4U13+4HjtaHBSfDtrwOB/vXX+&#10;4hW3vLrYHA3OLCXaj2llpTicPB3+ucM/Wr96Fv1+5uyT2lJcdH+T0ls01s1xovfF9kn349Z882P5&#10;mm9+CiYrxNl5a/tu9ejzM1SvXme7nieakgv7q0lzX6MQl1CIGzpipLOOgnsOagtx+3/+I2RtCgAA&#10;AAAAAAAAAABCLozKRU1r+lMptqWc/tS8sJ5jjvxW5uVCf1wBbn5tKP/VWmUmEB9t6S1VdCU3L1lQ&#10;N9riW7LoSm5esjB5tOU3XXQlNy9ZpE+d4luyuEpvqUIhjkJcWy7EDXVlmPys2RUZum5XYHhNqPyG&#10;YKhBpal0yHE65chxVqRAl06Z+c5Ne7veuXFP2C7DtcZCnJTgbg0sU93Ou0A7GtzZgy5TV0546m/3&#10;v7dxyuOhcJ11lvGluEaMOIbsJN/bnH3JOBbk5uZ2sb73JZ32Xr4TJu5zqUpxYnX4eNe135yoWPvt&#10;ibCuELfOzM9mXnhzuTk6XPzzRXPHQ49SiLMKcWf3PsdcJxdeNEB97irDxRfi/qyyNgEAAAAAAAAA&#10;AADQNiUU4JJeCDVj3CcXRKMXUn0l6ZQlbHYBLl+mQHUX4BITiI+29JYqupKblyyoG23xLVl0JTcv&#10;WZg82vKbLrqSm5cs0kdbftPFVXpLFQpxFOIoxMUKcWbWhdTwdZ86uXHdp1XDa0MVQ5tpmlXjOG5O&#10;fa073sv5QEpx1kO1btu4p+SOjXsid7rKcK2pEDcqsEwNSjIlqtxW+uB4dfvry7dP+ORAua4I55Zp&#10;pbh//ud//se80/y3yfN5OZej9Yh+l3P2pX93/Z468j3R+Fvraeotxdlqvj1RuvbIiUCyQlzwu2he&#10;D25RN96hn071jofHqXd27G2zhbh1uw866+L+sROSF+JO/FFhrXYAAAAAAAAAAACg7ZAL4FJ0sMpt&#10;9Rbg5EK+14vmhYHVXa0CXCBlAS4xgfhoS2+poiu5ecmCutEW35JFV3LzkoXJoy2/6aIruXnJIn20&#10;5TddXKW3VKEQRyGOQly9hbjEhI0ERgRD5UaadBQ5OSfk5/h+TXIucMovtjs27a28c+MeFU3rKcQ9&#10;uG6Huurxp83R4BLXg5Tgeg+6TN30UkA9VPPJxvEfHyitrwjnlmmlOLRd5n8MES3E/c29L8kxwPje&#10;VyX7ao+zzhp6zc23jr/suhum9OzZ+424xxmR0qy9D6dbirPVfPNjee23PwV1hTjJeivjXpihep1V&#10;dzpVuxjX1gpx899e4ayDV43fkxXi9p34vdRa1QAAAAAAAAAAAEDrVWcUONdFxbhEC3DmhVAvBThz&#10;9Ld5a0vy5teU53stwCUmEB9t6S1VdCU3L1lQN9riW7LoSm5esjB5tOU3XXQlNy9ZpI+2/KaLq/SW&#10;KhTiKMRRiPNWiBsRjKXMzrrPqkbUhipGBJtmFDmz2BI/cpT7HFF5bzB0yu0b91Td4ZThWkchbvSq&#10;j9SgO/SjwUkJ7vIHx6vy9zaYU6f26n/Jdmt1eUYpDieb8d3OL9/13PuPkT3G/hi49Jobtq84eGTR&#10;+1//GDKiJB9Ivjlhpqz8wfVFeflH3H8rZVp5Xq+lOBH87njX2m9OVNQe+SmiK8RJPjKSrBh358Pj&#10;2lQhbtykZ533Htx9MPkIcZGI31rFAAAAAAAAAAAAQOsiF8udAlyyUeASRoCz/jQle+rT3HlrK/Lm&#10;1wbN8tv8WuVEV3LzkkB8tKW3VNGV3LxkQd1oi2/Joiu5ecnC5NGW33TRldy8ZJE+2vKbLq7SW6pQ&#10;iKMQRyGuCQpxwc/UTXbWm6m6Kdg0BbnoqHH+cOK5o99t96rWUoi7JfCW6nvVDXWKcPLvC0fcqu56&#10;632ZQjXy6JbPN/a8cOAB+345d1qrybPmKMWZ5/Lc3J7WXYCW/IcO5vdC1/6X7/OVVoePlaz6+seq&#10;96wSnDvuQtyHVkpvuHGX8xzW/ifP35BSnC347YnSdd/9HNQV4qL5RU2a91qdYlznjp3V08btbaEQ&#10;d/kVV5vv+eze56jPf/pTW4jb//MfIWuVAgAAAAAAAAAAANnPGgWuND/HH9AVGOyYF0LN0X98JalG&#10;gJPiW+Hc6LSndvnN+D0SV37TRVdy85JAfLSlt1TRldy8ZEHdaItvyaIruXnJwuTRlt900ZXcvGSR&#10;Ptrymy6u0luqUIijEEchrukLcTcnZGS0IFd+SyOmWJViXFFR8XH3uaRTt57q8skvZmUh7v7aHWrk&#10;q29pp0XtPfAyc8rUh9btVI9+fCAydtv+ike3HTTXXWKZyC4BNURTleIKCgr+uaF/i7bF2n+dkeFk&#10;/5XbqsM/lK/6+nhEynDpFuIkz76xzPnc2M8nr9OYUpwIhiP+4JETFbpC3EdHf1EbjIzXjBh3/oX9&#10;VdWOva22EPdJ+HvVpVNn870OHTEyaSFu7/FfV1qrEgAAAAAAAAAAAMhOPpn2yucrNy/QN3AUOHfx&#10;LX/e2ooCKb7Nrw0VpFN+00VXcvOSQHy0pbdU0ZXcvGRB3WiLb8miK7l5ycLk0ZbfdNGV3LxkkT7a&#10;8psurtJbqlCIoxBHIa5FCnFOblm/OzJyw+5KL+W4EcHQKbdt2Ft5+4Y9atC4p1S79h3jzjFd+/ZT&#10;w99YmRWFOCnCXfrAeNWle6+49yA5a+Bl5mhxD67boR79eH9k7Nb9FY+HwnVK45lYigPSEf2PIZz9&#10;NuSU4cI/qlVfR8twXgpxq428uW236t6j14/u57VeZ5l9myQ3x/ea7O/mPi/3RxMwHl8lnyErIevv&#10;w3Y6dej4S/duPf5Dym8yEpwd+fclpVc5z+/OhMoZrbIQt3S18V3Ieo/jJz2btBA3b/E766xNDgAA&#10;AAAAAAAAAGQPGWlDLiiaFw1dFwDdkQuLdgFOLnjK35lTnc5bW1Iwt6Y8/5XayoJXaoP582rCxk8V&#10;l/mxaAtv9UVXcvOSQHy0pbdU0ZXcvGRB3WiLb8miK7l5ycLk0ZbfdNGV3LxkkT7a8psurtJbqlCI&#10;S8iiNar7m9F0m18VzcxFqrsd49+SHq9K3lW9Fq+NC4U4CnFpFOLULR85CY/asLvytmDIb55cNMwy&#10;3Ed7qqQMJ7nDihTjEs87F9x2r7p19baMLMRJEW7AHeWqXYf4Ml90WtRR6o6l75nTp46VItwnBwKP&#10;bN2fdJ0ISnHINvIfUMj+Ze1n4bgyXCMKcZKqfV+ps/uU/M3ZjzMglwy5Sq099G2rKsRNnj7LeX+v&#10;vr0iaSHu+Zdfedra7AAAAAAAAAAAAEDmkouW9ZbgrFHg8ny+Mnm8b3bQ74z4JsW3V2TEN1fpLVXm&#10;x6ItvNUXXcnNSwLx0ZbeUiWx4OY1C+pGW3xLFl3JzUsWJo+2/KaLruTmJYv00ZbfdHGV3lIlWwpx&#10;nV7/IJq5y1Wn6QvNdHxmjupYUWmmwyOTVPvR41QHI+2H36Y6GGl31XBVfMmVqqjfQFVspPDs82I5&#10;o7uZgnYdzGg/002UQuP5i8/ooTpeepWZzteMUKff9oDqNu5p1ev5V1TvWYspxLXRQtyouHwWHBX8&#10;rMJdjrsluLfrrRv2hO0ynLsQd8fGPeqW1R+rvsNG1tnnSie/mDGFuPtSFOFkpLgH1u2IFuGiCT66&#10;bW/aZbTmLMUV5+Z2tu4CmoTsn84+ZnynXBU+3nXVV8cjTVGIs0tx557X719ir5FmpKQXTVg+T1bs&#10;EePsyDSvq/JzfL92Mj675/QtMUeHk1HiEqdNdUdGkpu/am2rKcQNHXGz+b5k2tTt4WNJC3GPT516&#10;rrXZAQAAAAAAAAAAgMxil+Dyc/wB80JhwkU+M3J7ftGi/MHX3JI7edGd+fNqK42ECubVRLRFt3Qz&#10;PxZt4a2+6EpuXhKIj7b0lirucltDsqButMW3ZNGV3LxkYfJoy2+66EpuXrJIH235TRdX6S1VPBXi&#10;AqtUgSv5s5epAitFlQucFD49WxVJHnveyguq6KGnVNHDRu55NJZht0Zz5TAzhf0GmCno3ddMYdeW&#10;KaxlSqQ01+nSq1TX2x9Q3cdNUWc9P59CXBsqxN3qipTjbt2wO3Dbhj0RI04ZLrEQJ7nTyPA3VqhO&#10;3eKnIJVpVG+uqj1phTizCHd73SKc/PuKx542R4wb83G0CCfTpF5406jHrNOvJ01Ziss7zTfGLP/4&#10;fGV5eXn/ZN0MNJqMOujaR6uqwpFTVn51POiU4ZqgECdZ863x89sfI9OXVfcx/+MMK7k5OYPt15fI&#10;v+V2a/HSlvh5e/DJKYc3Hv1FSap27FXTFy9XT897TT0w8WlzhDj7cfLv1lCIO7t3tPx3+RVXR8tw&#10;ukLcT3+ErdUFAAAAAAAAAAAAZAa50Jfv85XKBfFkJbhcf+7u3J59Xyt44JmX86et2F0wtyZSMK9W&#10;xUVXcvOS+bFoC2/1RVdy85JAfLSlt1Sxi20NzYK60RbfkkVXcvOShcmjLb/poiu5eckiV+ZXm8md&#10;GlB+ybip0dw1JpqbRqu860fFMmRoNAOHRHN+/1jO6uskv2v3WIo71I1m/8+22IU6c0Q41whxxRcM&#10;VO0GX+mkw9XDzXQcfrvqeGM0nW69X3UuH2+mixW5zbz9NlduvCMuna6+MZpromlvvFb7CwaZhTfd&#10;MtYX+bsu14xQ3e5/TJ39wnwKcVZacyFOctsGyR4z9RXiotmrLhk3qc7+0/++R1u0EFdeu0P1lyJc&#10;+9RFOMkD63Zt73vV9c5jpIhmnY49SSzpyDncugvICHEjEPp8JSvCx8qqw8djZbgmLMTZpbi13/xU&#10;tfbbEwHj9orV3xwvm7VizdVDrr8x1LNXb2c5rMXzRPd5++jIT+VSittk53tJdKrUd3fuU9OXvGOO&#10;FJfNhbjqLdut9eZX94+dkLQQZ6TKWlUAAAAAAAAAAADAyZNOCS6vXadQ3sVXri94fO4BbQEuMbqS&#10;m5fMj0VbeKsvupKblwTioy29pYpdbGtoFtSNtviWLLqSm5csTB5t+U0XXclN8kq1yn0uEM24qSr3&#10;zjEq1y60DRii8kpipbXWVEyrL3ZxrUBGhbNGiCuS6U6NFF85XLUbdls0o8pV+9GPmpFpUmW61E7P&#10;zDHTefpC1WXuO+r0Nz5UXY2csXyDkzOXb4xLt3ei6Z6QHu9sUj2qounpSq+EnPWuZLPqnZCz3Vmx&#10;WZ1j5dwVW+LSO7DCnC61x1PTzRHhZBrVDhcO0q4bXTpfepU6o+xOddbkGapkWS2FOApxZiHuLiO3&#10;rt6m+g67JW5/OaNvPzWyqrZZC3H31u5QV0+ZXqcI16V7LzXEKsI98vF+M2M+PhB+eMvn5fcGQ6e4&#10;R86SUIpDa2R8vwyb+6bxU/698qsfQs1ZiJOs/fYnJzXuHPlJ1Vr54Ivvjq078lPVuiM/SwK1R05U&#10;BL/5qSx45ESJmXBEO4qc7vMmj9149JdAYiHOTraPEDct8IZznJr/9opUhbhKazUBAAAAAAAAAAAA&#10;LcsqwZXk5firdCW4PH/u73lduh/OG3rP4YKJr/6uLb2liq7k5iXzY9EW3uqLruTmJYH4aEtvqWIX&#10;2xqaBXWjLb4li67k5iULk0dbfptXrXKfDUTz6FSVe8eY2GhtVsHNGYUtYV9r1tiFOtdIcHbZzow9&#10;apw9kpyZK8zkXzGsboaOUgWu5I+810zB3WNVwT3RFD70pBNnytSnX1bFVtq9+Ho0c942037B+6rD&#10;W+uddFz2kZlOCelspcvb7mxQpyekq8RVhMvUQlwfycpo+rpynpFzXluhej41Q515/2PmyHDtzjlP&#10;v31dKT6zhzr92hGq1/hnVL9ltRTiXGlrhTg7pZNfrFNOGzx+UrMU4srmL1Fn9u0X91p2EU6mTn3Y&#10;KsI9snV/xC7CWadjE6U4tGZx+3eOv3Jl+IdSKcNlQiFOss7Mz2aC38Wy3pWPvvu5asORnwPBIz9X&#10;mEW5YxF/ss/bpu8iXTd9/0tVayvE3Xq38Z3Heq/rdh9MWojbd+L3UnPDAwAAAAAAAAAAAC3BLsHl&#10;5/gD2hKcL/e3/K49w/kj7v2ucEa1KtQV3dKNruTmJfNj0Rbe6ouu5OYlgfhoS2+pYhfbGpoFdaMt&#10;viWLruTmJQuNSMltxlKV92xA5T06VeVJyU3iLrmd3sQlN6u85hTW7JKaVa7LtadIlelSn5oVnT7V&#10;iG/mUuWbXx3LolrlezO9+K3kLrazzkxeQvIlS9apgrgEVaGVoqXxKY7LetVO8tZ61T4h7jIchbho&#10;IS6arWZKqmM5a9IMc9rUTpdepQrbpd7vCtt1VF2vHaHOmvCMuuDtWgpxVtpSIe7uTXvVbWu2qfOG&#10;1x0t7paqdU1SiBvxyhJ17pWxKU8lUsJzinBb95tluGg+Dz6ydb/fOiXXQSkOrZX53dPZt32l1V/9&#10;GMjCQpyVX9RHR39RG6ys//bEN7Or3v/1/ieeViPuuEddOfTGkPW2/2Hj0Uh5ayrEXXjRAHMbys99&#10;dhlON0JcJJL0OAcAAAAAAAAAAAA0CVcJrlJXgjPya37nM/bnD7/3u8Lp1apwbq1ZhLOjLbulE13J&#10;zUvmx6ItvNUXXcnNSwLx0ZbeUsUutjU0C+pGW3xLFl3Jzc7c6mjJbezUaKTkdt0olVc6NFp062VN&#10;VVp3X2lYjOcyy20yHapEim0yTarkyVnm1Kn+GUvNqVTjplZdpI9ZdksnrtJbqlCIy55C3Pmu9JPb&#10;ltWqnuOfMadObX9OiX7/s9LuzB6qm/G4cybPVBe+vY5CnJXWXoizM0QzWtylMlrc5oYV4kbXbFf9&#10;by+Pe075vd+No1R57Q71kBThYgk9tHlfWiMmNVUpThh/W52X46+S57RuAk4KY18st/dp2R+rvzoe&#10;bi2FOMlGV8zpUiXmlKm/VG3+/pdQayjEbQt/7xyXho4YmbwQ99OfEWuzAwAAAAAAAAAAAE0rjRKc&#10;ymvXKZR/3R27C59Z8ptZgnNnXizasls60ZXcvGR+LNrCW33Rldy8JBAfbektVexiW0OzoG60xTd3&#10;5lSrvGcCKm/MVJV338RY0U1KaL36Nm3RzS652UU3KbkZr5d7/0SVO3GWOXWqtuTmJYv00ZbfdHGV&#10;3lIlWwtxxu+Rzm9vCHUx81Gwy7KPqiRdl20IdF2+IXDG2xsqu0x5eX37Ufep9sNvUx1G3PG3Ls/N&#10;e+zMtz8qM7P8o3JJt+UfVZh5Z1Nlt3c2Brqb2VTV451NQSfLgkczsRDXb9XHTi4wcv6yWnX25Bnq&#10;zDQKcp0uHGQW5M6dPJNCnJXWXIi7x8jtSUaLG/XuOk+FuKufnlanXNdr4GVq1JL31INb95tlOMmD&#10;m/f+rpsetT5NWYoDMoHxXTRg78/3Pf/iILsM1/oLcbHR4bK9ELdktfEdyNqG4yY9m7QQZ/zOiJQA&#10;AAAAAAAAAABoWlKCyz3NV5Gf4w/bF63ckRJc3qDrthY88ervdUpw7syLRVt2Sye6kpuXzI9FW3ir&#10;L7qSm5cE4qMtvaWKXWxraBYkxF12K5+ockeMjpbdzmvCEd3kOU7vHi3PWSU3M1KsmzjLHFVOplD1&#10;z6tW/oW19UdXcvOSRfpoy2+6uEpvqZIphbj2S9dHjJ/hjss+ChmpaldReazd6HGqeNitqnDYbfs7&#10;LguWdHgr2PX0xUH/6VXBtAs27pF5pCDb0NGizJKO8fdFZ3RX7S4YqDqPHjO9V9Wmsl5VGyt6v7u5&#10;8qx3N1UZP4Nnv7spfLIKcZILE5J2Qe6iQar7TXeq814MUIhrpYU4O1dMrltou+LpafUW4m5ZvKrO&#10;9Khn9u2nhs6Yrx7c+rlZhrMLcTfNX6q6dD/rt0Z93lyvQykO2cw4d1Ta+/KK8LEyCnHZV4ibPH2W&#10;czya//aKVFOmVlqbHQAAAAAAAAAAAGg4GQ1OCi95Of6QfaHKnbz8oq15F1+5vuCxuQe05Tdd5sWi&#10;LbulE13JzUvmx6ItvNUXXcnNSwLx0ZbeUsUutqWbl6tV/hSr8Hb7GJV/3SiV31Rlt8SimxTppOQm&#10;o8g9YRXd5lbHT6u6MHm05TdddCU3L1mkj7b8pour9JYqzV6Ie2PN34qWrg8XL1kfKn5rfVX7Zesr&#10;jdsr2i0JlhcvtkpuVcFTdCU343MdtLej/G7d7FlTl+KcZaqnpNOraqu/d9Xm0rOrNpWdU7W54pyV&#10;WwLnrtgcPHfFllBLFeIuei8WmSq194RnzJHhCtvFF6IS0+GcEnXGdWXqrAcfVxctfI9CnCvZXogb&#10;vWmfumPNJ+qchHJbyfBbtIW4u2uMbTlhcp3pUS83bpOpU6NluGgh7oGt+0OD7nl4ifO8jf282c9j&#10;hFIcspW7EPfqll1jKcRlXyFu6IibnWPRJ+FjKaZM/Y3jFAAAAAAAAAAAABrGnhI1L8df5S6nxJL7&#10;TW7Pvq8Vjp+9vXBOTURbekuVebFoy27pRFdy85L5sWgLb/VFV3LzkkB8tKW3VLGLbolxF99GjG58&#10;6c34u7ii2+1jzBHkkhbd0s3C5NGW33TRldy8ZJE+2vKbLq7SW6p4LsQtro3kL6kN5y+uDRUsXlcl&#10;KVy8rrJoSbDcSmn+Q0/dkn/Oeb/ntzO2qxEppFkfX8+yvRSXiryf4jN6qI6XXqW6lN2xv8+KLeV9&#10;Vmyu6LtyS6Dvii3Bviu3hkqqt4SbqhB38XvbnPQ3cpFVkJPiW1E9BTm5//TLrlY973xInT8toAa+&#10;E6QQl8WFODOb96lLx0+K285SdBv+yhKnEDdy8SpzWlX3Y2R61DtWBNUDWz43YxXiIg+6pkc1R2u1&#10;/4ZSHNo4dyFu4fbPF1GIy75C3Nm9zza334UXDTDLcMkKcftO/F5qbXZkt3ONbDeiXJF/y+0AAAAA&#10;AAAAAABNS0pw5kVFXQlObssvWlRw/zMvF8ypDWmLbulmXizasls60ZXcvGR+LNrCW33Rldy8JBAf&#10;bektVawCnFl+kxHfrh3lvfhmld3yBwwxR4xzym7PBFTutKUqd061yl1Qq4+u5OYlC5NHW37TRVdy&#10;85JF+mjLb7q4Sm/JkvNmTcRvpjaUu7i2SpL31Kz1eXePVfk3jFL5Vw3/K/ehibf43gh29S0O+n2B&#10;9Kcq9fl8fvdnlVKcXrrv7byqrf7zVm3qet7KzaXnrdha1s/I+dVbK+ycO/ONbb3GP6PMTHjuX0re&#10;eH/FBdUfBy58L5qL3ttaedF72yovMh57cfXH5Xb6r9padvF7H5dKeo9/7rqOFw16tajj6f9SUFAU&#10;XU/1pCC3YFV+YfspRZ273tllwGXXXf7BVv8lH2wvGWw835nXjdjTXUaZu+shdf4zs45dtnpHkELc&#10;ZxlViJPc9GZ1ndLbxXc/pC6+vVw7KpxdhHMKcVv2BR/ctLfOZ6k5SnHyGTn11FP/i3UXkBWM/T9g&#10;fw5WfHW8ikJcdhXiancfdI6D94+dkLIQtz8S8VubvbUZZGSSkQ+N/GLEXRST2+Q+eUxr8bAR93u0&#10;I7dnozwjtxmZZUS2V+L7krLfEiPXGfmvRgAAAAAAAAAAQHOT0eDkonqebkrUHH9ELo7nnXvhzMLn&#10;l80qfLkmUjjHVWxraObFoi27pRNdyc1L5seiLbzVF13JzUsC8dGW3hIzu1rlPT5L5d0YHfktrfKb&#10;XXq7fKg5YpwU3swS3RzjuRYYz+mKtviWLLqSm5csTB5t+U0XXcnNSxbpoy2/6RJ4719z3qwNGanK&#10;WVRbedqitRW+N2vKfQvXlvjeWN01VbmtqYpjlOLSk+nvLTfH9657GdOJPN5IVd5p/rDrtq3WS/zD&#10;5R/uKL38w0/Kh6zeXjXkw+0RCnEnrxB3r5WLbi+vsx3t9Bx4mbp9RVDdH1+Gi9znGhVOp6lKcfmn&#10;nlrQ0L8FTibzuGwdT+WYSCEu+wpxr7y9wjkWzjd+T1aI+/ynP8LWZm8tpBglBbDEAlyqfGFESlXZ&#10;rrUU4qSkqCvApYpsbynPAQAAAAAAAACApuaaEjXkLmXYkdtzC9tPKbjjiccKXq4NmSU4d3QlNy+Z&#10;F4u27JZOdCU3L5kfi7bwVl90JTcvCcQnaQHukalmAS6t0d9O767y+w+JFt8qZkWLby8bz/Ga8VyJ&#10;WVA32uJbsuhKbl6yMHm05TdddCU3L1mkj5TdchbVRHIW1YZy3oiW3XwLa8p9b9SUSdEtt+8F2+1t&#10;YXxWTnq5ilJcerLlvcnt8rtVVPZUkotLjj9s/H2VxPi9Mr+4/ZQzr7xheskTU5dd8Mzs0KWLP6AQ&#10;18KFOMnVU2epAn9u3LaS0eNus8pwdiHu/s36UeF0mqoUB2QbOVY6x1Hzp6+UQlz2FeLGTXrGOR6u&#10;230waSFux7c/yChbrcXpRqTcpitMpRMZiSybtYZCnIzap3sP6SbbtyEAAAAAAAAAAJlDSnBmMcJV&#10;wnAitxn3FQ64ZlDhnNpKZzQ4XXQlNy+ZF4u27JZOdCU3L5kfi7bwVl90JTcvCcTHGf3ttjHRUpsU&#10;4BK3kTtSyDqvv1N+S1p8S5YFiamJ5C6oCee+unpf7sSX/zVv7FSVd99E47lnrs9dUBvQpMpIMPf1&#10;2lDu68bf6UpvqbIwebTlN110Jbd08kq18s9YqvwvLT3sX1QbMBItvKUxspst08pVbawU1+YKf+b2&#10;9flK5XWdolxObGS4xqZd565/P/3iS9SZpdeontffpM65+2EzFzwxVQ2c+bqZ0iUfUohrgkJcuZFb&#10;VwRVpzN71NkOg+4fJ4W4ekeF06EUh7bIOaYb+7x9/Fz51Y8BCnHZVYgbOuJm89jVpVNntc/4d7JC&#10;nJFKc8NnPxnhTVeQ8ppsHimuNRTidMvvNa1htD8AAAAAAAAAAE4OuShuFSiST4kqoxE9Pndwwcu1&#10;VSmLcHZ0JTcvmReLtuyWTnQlNy+ZH4u28FZfdCU3L5Ei3NMBlS8FuHSmP7VHf5PpUo2/81yAc1IT&#10;yX3NLLJV5gVqyn2BtSW+QNBv7S6mxpSr5Ll8ASmVGc/7ek1p7nWj9ueWjVZm7nvyiFWmk9cP5i6s&#10;CUfTlIW4mohxX8j4vcr4GTB+xpXdci+9rktD31si50K8PE8GlKsoxaUnC96bp1HwXGW5Mpk+1XhP&#10;zjIZabLSnJ0O3XqqrhcPVt1Lr1W9brhZ9bnnEXXhE1PV4JdepxBnpb5CnJ2Rb1arzt17xa3fwsLi&#10;v7zuAzZKcWhLjGPfKa793SlKrfzqeCWFuOwqxJ3d+2xzO0oxLmUh7qffGnRszDDnGtEVoxqSbJte&#10;1I1CXDQySiAAAAAAAAAAAEiXXCSUskaergRnREogcn/ugEu7FM6uKdNOi5oqupKbl8yLRVt2Sye6&#10;kpuXzI9FW3irL7qSW32ZVa3yH56q8i8bGi24abaNGWv0t/xrR5lTppoFOBlFzh2n4JY6ua+u+T33&#10;tdqq3MDaimhRrf7Rz8TJKFdFy3RGpLz2ek1pQsr8dz36Zl7pUGVm0JV/5t4/8RZrRDf5u1My+b3V&#10;R5bBfp7GFFla83vTFMcoxWkke2/mviGjhFrlObM8FR0xNCCPMyJTaDdJgU7KcmfdcLPqe88j6uKJ&#10;z6shgXcoxFlxF+Luk2z5XA1+9Mm/FeYX/rt7Hcr2aMh+QCkObYV817X3ddnvrZv/oSp8vCuFuOwp&#10;xFVv2e4c9+4bOyF1IS4SifsPOLLQfzXyixFdMcqOTKM5yIiblOhkes7Ev6UQd3K5l1uKbbLssq1s&#10;sr1lBLj6tnni9gYAAAAAAAAAAG7RC4O+EqvU4BQrnOT4w3LBUC6OS3GocPbaisI5NWFt4a2+6Epu&#10;XjIvFm3ZLZ3oSm5eMj8WbeGtvugKb4mxCnDmqG6ppkC1pz+1R3+T6VMTC3CJsQpvuuTOWhEyp1Lt&#10;1YdyVRK8t/Rk2nuTv2tD763JS3HpkvOJ7Ed5fv98+3k6nlvyv7sOuOxbGR1ORomzb/eSHqXXqnNv&#10;uUcNmvqyuvqtNRTiJFs+j9y7aa+5z8gIf4nrTLafbAtzw6TJKcVF96c3Tj311P+3dRfQqhj7uPmZ&#10;MT4nIesmU/VXx6soxGVHIW5a4A3nePfK2ytSFuJCkYinqaQz0BIjukKUREpT7jKVjhSspBhn/w2F&#10;uJNLSnAfGqlvu+UZSVWKy+btCAAAAAAAAABA85DSgpTg8qOj/DhFCidyW44/IEUL87Gz15YUzq6t&#10;LHq5JlI0p1ZJtIW3+qIruXnJvFi0Zbd0oiu5ecn8WLSFt/qSrAD32KxYAS7ZNKjuAtzjs1R+OgW4&#10;xFjlt2ii06BGp0BdbRYrzP3Cfr1GlHSkiOHetzKkgFRmP08rfG8ZV4oz9qUnjfdUJZHfrZs9K/D5&#10;zpDlkOT6fHcUFBT8s3WXJ4Wnnvp/G+/tJSMysllVbm7updZdnmXadpO/S9huJ60UZ9O9t2tqdpRe&#10;u3ZnxXVrd4aHLPlQDXhutjltqkyfeobHwlyPIdeqC8c+qW5YtbmtFuIkAWt1y3bbmriOzBj7u3yu&#10;rYfVK/9UX6mXxwPZSD4X1ucjYt1kWuUaJY5CXGYX4m69+17nOFe7+2CKQtwfcaXHLFTfVKmnG0mX&#10;PJcUrLJ5ZLHWUIjzwl1kTAyFOAAAAAAAAAAAbPk+X4mMAJOnmxI1xx+R8oMUKXwyyk9l0CzCFc2u&#10;DRW9XKvMzIlFW3irL7qSm5fMi0VbdksnupKbl8yPRVt4qy9eCnASuf+aUebjzb8LGH/virb0liqx&#10;ElxZsqlCZT9xXr8RJZ1MLI615vemKyBZd3nyP/7H//j/5J2Wd66sK3mOhhbQWjtrHUWnEc3Jvcq6&#10;2bOm2m7ydwn7ZEaW4qy7/kHKcdfX7qq8bu3OyPU1u9QNtSEnVy5drQZOfdmcOlWKcsXtO0afI0nO&#10;7D9Y9bnlHnXpi6+0tUKcOVLc/Zv3lco6dW+3OsnxV5orHoAcm5yCvBynrJtN1V/9EKEQl/mFuMuv&#10;uNrcfhdeNEDtNctwSUeIq7I2bbaSqVB1ZShJthaipJgnRS8ZJc39fmTkNBkNT6YLTaYpCnEy8tpt&#10;RuT1E0dgk9tkndc3eltLSVWIlHUIAAAAAAAAAEDbJcWdpCU4I3IBXS4G2iPCSBHOnBb15ZqwU4Sj&#10;EBfL/FjqlN1SZVJA5d86RuVfNjR1AU7u6z9E5d87UeVPNv4mcTS5QHy0pbfEvFoTyX21tio/UFOa&#10;rASXSMpQzjI1oqRDKS49TfXepLwm78dYtlPy8vL+yboZGc7YXmcZ2/1xY38KGPtndUFOTgfrLk+y&#10;rRRnuz5ajgu4S3FDXRlm5Kqlq80pU88bPUad0X9w9PmS5PQ+/dQlU2a0lUKcul+yeZ9ZeEvYbn/Y&#10;v5sx1n9j9gmgNTE+D2H7c2HdZFr51Q8hCnGZXYj7+KvvVZdOnc3j2tARN9dXiMvmMrBMdaorQkmk&#10;yCX3N4YUzxILYVJKS7cMJo+Tx7v/fruRZKPWye2JJbhkSTaSXWMKcYlTx9YXWVYvI/A1h1SFuGwt&#10;RAIAAAAAAAAA0HBmGcbnK89LUoKTi4BSknMXE5xpUWfXROoU4ezMiUVbeKsvupKbl8yLRVt2Sye6&#10;kpuXzI9FW3yz81K1yn94qsobbo0Cp9sOEvc0qLoCXGIC8dEW4CQynerjs1Te4Ou+SrcEl6g1F8cy&#10;8r25RmUznve/WzcDnsj+k7BPZkUpznZ9TcgsxyUW4sysC6nh6z51MnjqHHNkuGQjyMnIcQOffKFt&#10;FOKMPLDl88iDm/Z2Tdhu+411Hi3+xG4LNfSYB7QWcmx0fSacUcRWfXW8kkJcZhfiVm7e7hzPxk16&#10;JmUhbt+J380RNLOUFMJ0RSiJjGLWWDIam+655fZ0JBu9TlfUkvKd7rH1RUZzc2toIU6KbVLW0/1t&#10;fUk1Yl1zk5HsdMskOZnLBQAAAAAAAABAy5ESXL5M3yclOFcZwoncluMPWGUbsyClnRY1VebEoi28&#10;1Rddyc1L5sWiLbulE13JzUvmx1KnACfToNoFuGSjwCUW4GQaVF3xLVkC8YkrwUVHgjOnQ83vePoi&#10;+zVlnzB3kgaQgpaz7PUUWVJpzaW4vLy8/8t4jjeM56iU91Xg851h3QWcFFKoNPbHl8zPSo4/nG2l&#10;OJuU44bW7gokK8Td6ErvoTdHnztJzhs1Wl3x8qLWXogzY9wmhfi47Ra3/u0wjSraMPkubHw2XP/h&#10;iO9RuX1l+IdSCnGZXYibNH2Wcxx75e0VqUeIi0TMEbCzVKrRzHSjp3mVqqSWzuhziaPL2UkcVS1V&#10;sa++JI5W15BCnLyXxJHsvETe58kaKS7Vcjd2hEAAAAAAAAAAADKXVYIryZdp9lxlIyfGbXk5/irj&#10;MaV2CU6knBY1VebEoi281Rddyc1L5sWiLbulE13JzUusMpxZiLNGgcu/eEjqaVClIHfNKLMw57kA&#10;lxirCOcU4mIluPLEkeDM/cJaBrnoa93smbmP2e+lEcWxzC/F+b5u6FSVQKbr0KHDP1q/etZUn7eG&#10;lOJsQ2tC5cNqdwV1hTgZKc5+XhktbuDkaersJAW5Ln3OV4OeeqFVF+Ik92/eF0zcbuZ3Btd5wbqd&#10;0eLQZpnfS1yfh9wc37tV4cgpFOIyuxA36q57nW1Wu/tg8kLcT3/GTYebhVJNL9oUZSh5jmSlNhmZ&#10;LJVkJTcZhc0t1Wukk6YoxCUbCc9LZFu0tGQj8EmaYoRAAAAAAAAAAAAyi6sEV+kuFzmJluBkNJgy&#10;dwlOpDUtaqrMiUVbeKsvupKbl8yLRVt2Sye6kpuXTAqo/HRGgZOS3OiJKl8eb48iJ9GV3LxEinCv&#10;1kTykpTgErnLD1J8sG72LL441rpKcVIUSvysAIjXVJ+3xpTixIhg6JThNaHyG97/+ICU4a55a40z&#10;Zar8HPz8HDUi+Kkqs3LR2CfNEpzzmlbsYlxrLcSZ2fp5qOfFg7ab3wtcx1pZ58ZtYff6kGnUrbuB&#10;NiXu+40R4/i2v/qrHyIU4jK3ENf7rLPNbXXhRQPMMlzyEeL+aPD33gyRrEgmo4Y1lWSlq8RiW6Jk&#10;o9clFumSFdgkUjJzj7wmv8vj3e+7sYU4+Xvd4yVSlEt8/VQltMRlaQ4yRayM3JeqDCnbn9HhAAAA&#10;AAAAAACth1ywkwvWiRex7UhBQS5464o9nqZFTZU5sWgLb/VFV3LzknmxaMtu6URXckuVmdWqYMKs&#10;aAmuZ986692MFOD69o9Ol5pYgEuMruSWTuZ88Pe8V2urZDrU+kpwiYx9pvWW4ny+ecZ7qjLfY07O&#10;XdbNAJqBcQx40j4HncxSnK3vnfff3LH7Wf9mP1fJ6DFmGc5diCsLfqZuMnLF7EXqnKEjo6/pyul9&#10;zleXWMW41laIe3BrNHfXbNeO9GMeN13rojHbFMhm1vebv7k/Dw8+N41CXAYW4j7+6ntnG916970p&#10;C3H7fv4z26eF1pWhJE05WlmqwpiUs5JJNpVn4t8kK/VJGS0ZKXtJMU3+NrH45bUQl2x0uFQjrCV7&#10;jaYelS3Z66SKFBVP1vStAAAAAAAAAAA0HSm35fl8ZVJicl+ksyMXr6UkpysTRKdFrSkzi3Cza5UZ&#10;XcnNS+bEoi281Rddyc1L5sWiLbulE13pLTFSgnuonqlQ3aPAydSpuvKbLrqymy7zayJ5L3+wNa+s&#10;/O/5vfqYr9eYEXzcxQfZn6ybPcvEUhyAlmccC0qNDLD+6VlTlOLMkrj1HMUdu6h+D0xQw9du/0tX&#10;iDOz/jN17evvpijGVbbKQtyDW/erB7bu1xZD5DtG3LHYOD8wYibaotzc3M7uY4KkU8fOauQDY9WC&#10;jz+jEJchhbjFH65zts+0wBspC3F7f/qtzNq82UpXiJI09fSdycptyUpmUsjSPT5xVLlk06pKGjrC&#10;mZdCnLyG7rFStEtF/k5X5GvKkflEqlHgEiPrVkaOAwAAAAAAAAAgu5mlo+RTooaTleBEtAhnTYtq&#10;F+EoxMWiK8BJZlar/FFjoqPAJSvBGfcVXDPKnDa1wEsJzh1d+U0iBbj5tSHj98r8eWtL7FHgEotj&#10;rakUd+qpp/6XXJ/vDrOQYTxnQUHBP1t3AWgDGlOKixbyrL/1+Y/m5/h+lSlTr122RjtCnF2Iu9lK&#10;8mJcP3XdwndbXSFO8tCWz4P3BkN1ym5m+d5dvDe+ZzT0uA5kM9nv3ccDd3r26q1uuO1u9dDUaWra&#10;ux+ohR9/ppbv/ZJCnFOGa5lC3KTps5xt8srbK1KPEHfi91Jr02YrXTFK0tSFuGQls2QFsHSnS032&#10;uMaMtOalEJeskCfLVZ9kZbWm5KUQJwU9Ge2OUhwAAAAAAAAAIPtI8UnKTnEXpe3k+CPG7VVyoS7Z&#10;yC0yLWrSIpwdXcnNS+bEoi281Rddyc1L5sWiLbulk4QSnDkdarISnNzWt785XapZgpO/mR+LtvBW&#10;X+ILcMHEApxOay7FAWjbGlKKk/Ogc0w0f/pKe15yeZ/BL8z738mmTE0sxNVXjCu5dbQatrymdRXi&#10;5OeWz8MPbtpbZx1bpbigsw44rqONsktxvc4+1yzBOZ+JeiKPlZx3wcVqwOVXqiuGlalht99t5p7H&#10;J6nRFZPUzBUfmqEQ1/BC3A0jbnbW+bbw9ykLcaFIJNtHu9QVoyRNXYiTaU51ryPRTc+Z7nSpyQpf&#10;jSl1eSnEeXlsIint6f62Kacr9VKIc0fWP9OmAgAAAAAAAAAym3lR3+crNUtw9sV9V+TitJQFkpXg&#10;ZDQ4KcIVuadFTRVdyc1L5sSiLbzVF13JzUvmxaItu6UTqwQnI70lLcHJVKj3TIw+1l2ga0wh7qVq&#10;lffYy/+a+8zrL9dXgNPJyFLcqacWRMssvpLcU3M7Gzf95+g9AJA+r6U447hVZT/ePhbeuO7TSrsM&#10;56UQN9KKFOPO1RTjBjz6VKsqxEkelp+b92lHTnKv22h8JdZdQJthl+KeXrjMjEyb2veCi12fi6ZJ&#10;z15nqyuHlanht9+j7q2YrKa++bZaun03hThJkkJc77PONtfdhRcNcMpw+kLcHw3+fptBdGUoSVMX&#10;4kSyclbiaGrpTpcqkhXnzjXSUF5KbslKbY1JY5Y9UbL3kk5kxDhKcQAAAAAAAACAzGOOrpV8StSI&#10;XOBPVQgwp0V9aW1FUbpFODu6kpuXzIlFW3irL7qSm5fMi0VbdkuV8bNU/rDR0dHgEte5PRJcshKc&#10;O/Nj0Rbf7LwSHQEud97aivzrb7/FKd+lUfZIxhrBxxlBMBNKcQDQFApOOy3fOBY9biSY6jjpLs/J&#10;Y+W4OLwmVH7julgZriGFOMkt63eb06V26tYzery2ItOoXvpUZasqxJmluK37tOcQY/1Xut+/rHPr&#10;LqDNkGNQp46d1Zy1m9Sqr39U71mZ8sYy9djLr6q7H59kZuhtd6uht99tjgonkRHiZKS4zsbfuj9H&#10;XiNFuRtvv0c9+vwMNXvlGgpxRj7+6ntn/dx6972pC3En/ghYmzKb6YpQEl35rLFk1DbdayVOmyrT&#10;ouoelzhdqtA9TtJShbiGjsCWKk1ZiEtGXkOKiFJ60y2DHdk2/9UIAAAAAAAAAAAnl1lm8vnK3IUm&#10;JznmlKhBGS0u2WhwonDm6q71TouaKrqSm5fMiUVbeKsvupKbl8yLRVt6S8yM6uQlOImU4EaNUflT&#10;l+rLb7rMjyVZAa5w7uquiSPAmSVI+3UzqRSX4w8bz1eVd5pfdyELAE6K3JycSwoKCv7Z+qdJjpty&#10;/HQfR4euDZUMr/000lSFuFs+ikZGhrOPs3bOuuI6NXx5TaspxD38sfHvjz8PWqs3jpxb4t5/jr/S&#10;ugtoM5xSXM0mpxD3fkI+kHxzwsyHrqx2pWrfV+ZUqc8tWmZOnTq6YrIaWHqlmbjPWT3pddbZ6qrh&#10;Zeq+JyarOdVr2lwhbvGH65x1MS3wRupC3I9/tIYib6pCVFOTYlWy1xtkxCZlPN1jEqdLFbrHSbK5&#10;EKd7n81Ftkl9o9zxv98AAAAAAAAAACePLzrVpXY0OCnBycgrqUpwonjG2pKil2qDxbMaWISzoyu5&#10;ecmcWLSFt/qiK7l5ybxYtAU4yYzq6GhwUoLTTIlacHp3lT98tCqYFNAX3uqLVYYrqKcAp5OJpTgA&#10;yAbWcS9oH/fk3DkiGPLbZbimLsSNsnLusLrTqA4c91SrKcRF83n4ka37y6xV7Yg7ZxmR9W/dBbQZ&#10;ZhHX2P9HPjCmwYU4yZpvY1n77U9Oaqws+WS3OWWqTJ0qRblevaJTg9aXq62C3NzqNa2+ECclOPt9&#10;v/L2ipSFuH0nftdOC51lUhW6mmO6zGTlK7ldSBlMd3+yKVx1j5VkayEucfrYlpJs6llJc4wWCAAA&#10;AAAAAABAanIh2bx4n1iEk3/n+CvrK0PJtKjFM2vKimfVhowoO9qiW7rRldy8ZE4s2sJbfdGV3Lxk&#10;Xix1inDjZ6mCq0dpS3ByW8GlQ1XBU4H6p0RNkvxZ7/9LwYRZZpkuv3e/A+kU4HQoxQGAd3EjluX4&#10;AyOCoVOG134asstwzVWIk9yw8F1zdDjn9Y2c3refuvGd2lZRiHvEztb9VYnFOLMM5PoeI+cdKfpb&#10;dwNtgl2Kk6lQb3lgjFr66cFvmroQZ+bIT6rWlXVGnn9zuTlt6u0PPaoGpTGi3CWlV6k7Hh6nXly8&#10;vNUV4h596hnnfdbuPpiyELf/WKQ1HKekgKUrQUmaY2QwKdnpXktGjhPJpkuV6VZ1dI+VnOxCnO6x&#10;mSzZe7YDAAAAAAAAAEDzM0tKyadFDaczGpwU4QpfWltR9FJN2F2EoxBnZF4s9mhw+fdM1E+JKsU4&#10;mRLVuN8cNc7+G03ZLWnm1USMv6nKm1tTJgU4KWHYzy/b2NpknjVVKS4vL++f8nJ8S4xlqbL2LUoK&#10;AFod45hZ6jpmhs+/8wHf8HWfVrnLcM1ZiLvVim4a1csmvdh6CnFGxnx8QCIjxjlTpCYWsBtz3gKy&#10;lV2Ks9Pr3L53VoePlbwX/qH0g/DxsvfDP5YbPyvMfHuics23JwKS1d/8VLX6mx+DEuPf4Q+/Of6r&#10;l0LcuiM/mwl+F0vlm8vVuBdmpFWQu3r4Ter+J55Wr6xak/WFuBtG3Gy+py6dOseV4eoW4v5o8Hf0&#10;DCNTleoKUBIZNaw5JBuNTEpvyaZLlak9dZI9PlmBLh1eCnHJCoXZVoiTAqHufdgBAAAAAAAAAKD5&#10;yMVic/SaHH848UJUnjnFm68k3SKcTIuqK8LZ0Rbd0o2u5OYlc2LRFt7qi67k5iVWGa4w1WhwUo4b&#10;NSa+BOeOrvjmSv4rtaH8FNOgZlopDgBaszplLJ+vdNi6TyuHJ5ThWqIQJxm+vEZ1H3CptSzR9Bk2&#10;Uo388OPWVIgzM3bbARk1zhkxTsrX7vct/wGAdRfQJiSW4hr6GZDjWpdOp++WEeeuHFamht9x957V&#10;3xwvW/vNiYraIycCtd/+FKw5ciKcrBC33pWPjCzfvkdNmvuaOTJcr7NST7UqBbkJlTPV2kPfZl0h&#10;rrf13i68aEDqQtyJPwLWqm4NZHQ2XQlK0phiWTLJRoFLVm5bYiSZZCO02VOwNoSXQlyy95JqmTOR&#10;bGfd+7ADAAAAAAAAAEDTcxXh6kyLKrenU3Iyp0Z9qbayviKcHW3RLd3oSm5eMicWbeGtvuhKbulm&#10;erUqGDUm+WhwFw+JTomqK8G5k1iCk1HgXqkNFsytKZcSnLVZUqIUBwAtI2Gq1MrhNaFyKcOdrEKc&#10;5LYNu9XAcfGjxRUVtVPDFq5odYW4aGKjxck2cL9v2T7WXUCb0JSlOHfZ1/g9aN0VJxiO+Gu+PVEa&#10;/OanstojJyrWHfk5sP67n4Prj/wUtgtx0fyiPjr6i9pg5MOD36jxL8wwy2/uZU3MJUOuUg9MfFot&#10;+ejjrCjE2cs96q57Uxfifvyj3Fp9rYGUx3QlKImU5WSa03TJY6XYlmqEtDwjutdKllSlvGTlNVnu&#10;ZKPK1cdLIS7VyGryPrNFqn1ASocAAAAAAAAAADQduYhlXhROUoST+62HJuW1CGdHW3RLN7qSm5fM&#10;iUVbeKsvuqJbfRmXYjQ4mRI11WhwukgJbtJrKv/WMSr/8htf040Clw5jWzdtKc7cl3wb8k89tcC6&#10;CwDaNPP4aJ9nc/zh0rnLBg+r/TSSCYW42zbsUUMXrlBd+/aLOy/1u/XeVliIM+OUdaQA5H7PyYo8&#10;QGvV0qW4VIJWWe7Z15asn7tqjXpnx16zFCfZaGXa4uXqgSeeVpeUXuUsc2I6d+ys7np4nHr1vbUZ&#10;WYhbsXm7s6z3jZmQvBB34s/I/mMRv7V6WoP6CmoyxWk6pTgZLc0eba6+EpWMoJb4OsmSqtgmy6X7&#10;G0l9o8TZy5v43rwU4kSyEfakGNjQUl5jyPuSbZbu6H71jQ4nzwcAAAAAAAAAQOOlKsLl+Xzl6RTh&#10;imcH/Q0pwtnRFt3Sja7k5iVzYtEW3uqLrvCmy/RqlT9sdNLR4AouHZreaHB25tZECubWBvPnrK0o&#10;fGJuH/fFx8aMbmNs9yYpxcl+k86+AwBthVUUCdrH2G6Dr7xvaO0upwyXCYU4uxRXmF8YO0dZ6Xfb&#10;veqmqtrWVIhTYz/eH3p0215zJFOzEOT6LiTnQM5jaEsyqRRnc4+oOfiKq/6Y937NYx8d+bliw9Gf&#10;g5uO/qLMfP+Lmr7kHVV2p/E923qsLjcZ989c+k7GFOLmLVvhLNsrxu9JC3E//+mMaNmKJCuBuSMF&#10;s0FG3CUvKZPZBSz3Y+srxNVXwrKTztSjia/tjvy9u/Am5b/E5U0sfHktxE0yonu8RF5Hnj9xtDhZ&#10;hzK6nKwHWa/yOCnWNQX3NLLynPZ2cy+DvL7clk4xMZtGugMAAAAAAAAAZCK5WGVeZKpbhAu3VBHO&#10;jrbolm50JTcvmROLtvBWX3TlNzvTq6OjwV06NOlocDJlauEM43G60ltipAQ3r7Yqf05NaeIocIkX&#10;HzOhFAcAiJFzq31sLSwsWjSsdldo2LqQU4bLhELcje/Uqk7dejrnKffvdi6winGtoRD3aLQUFxm3&#10;dX+JbCPjXOpPKPJQikObkumlOPnfLbKM1l3/EDwW8W84eqJ049GfKzYf/SW4+fuIWY57cOLT6qyz&#10;znbeR2KkHPfaezUntRB3+RVXm8vSpVNn9fFX39ctxJ34I7KndU2VmkhGNNMVohqSdKbZTDaymjvp&#10;jHImxS7d36abxKKb10KclMvSeS/pREpyjeUuxDU2yd4zAAAAAAAAAAD1My9QydRgOf6w+8KQXLRK&#10;twhXOHN1V7MI91JNxPipLbl5ibbolm50JTcvmROLtvBWX5IU4VKNBif3FT4ZiD52Xix1CnBG8ufV&#10;hoxUFs5d3bW+qVATLz5SigOAzGAcn/1S5DCPq8bPa6qCq4bVhlQmFeJGfvixOuuK65zzlUyVeotx&#10;26BxTyUtxt1sFeOyuRAnGSc/Pz5gFk+sc6kzkp98X0rnuxHQWmRbKS7R1mMR/6bvImWbv/+lcvbb&#10;Kw9LOe78C/s77ycxdz88Tr32fk2LFuLc06XeMOJmtce4zS7CffbDr7/v/en34N7jfyZ9j62EFLua&#10;qhSXTpFKRi7T/a077tHoUknnuZKlsYU4ke6Id/WlKQpxqUas8xJZpwAAAAAAAAAANEy+z1fivjBl&#10;JsfD1Kgz1pbEFeHsaEpuXqItuqUbXcnNS+bEoi281RdXCU5Gg5NR35KOBnfLmOjj7L9JVogbbzzP&#10;E6+8JiU4a9WnLfHiYyNLcS/JxUsjj/v9/mLrZgCAR8ZxtMo+Lve47sYqswyXYYW4geOecs5Z3Qdc&#10;ahbk+t06WnXt009d+eK8Y5dNflFbjDv7iuvV1dPmZX0hbty2g2rs1v3OOVPOf877zPGHUxVwgNYm&#10;20txiTYfjZSu3LVvygNPPHV48JCrnPfljozUds8j0XJccxbitn71vTM6nGTxh+vMQlz1lu1q3KRn&#10;1MX9B/7eho43UkBLZxrNVJERytIpsslUprq/t5POdKm2xpT5EktoDSnEiaYoxbmnd20oeT+65/YS&#10;KdUBAAAAAAAAAOBdkxThZtZW1SnCUYhTBc8tNUd8K+jSPbZu7SSOBqeLlOHm1kSM34NSgsvv2cf1&#10;HD5zCjevmrIUBwBoHONYXmofj4s6dF53Q82uSKYV4oYufFcVt+9oLmM746eU4W7bsLfSXQrrdvGg&#10;7Xds3BO43CzG9TJvc6dr336q1Lgvmwtxkke3HXQKO+7377WAA2S71laKc7vvsYpHLhlypTr7HM1o&#10;zkZkulUpx7294ZMmLcS9+WGtuvCiAc7rXD/85mOfHf+tQkaDS3xvxW3rP0aRUpXXgtkXRtKZ4tQt&#10;VflOpkL1KlmZTReZ5vQ2I4nkdeW9uB8r/05neaTQ1tApS+U1moosR0OKjbLsTTFKHQAAAAAAAACg&#10;rbGKcM6oNPYFFiOVPp/Pbz0sKSnCFb1UG9SW4NzRlNy8RFt0Sze6kpuXzIlFV3jTZpo1GlyyKVFl&#10;NLgHp9YdDc6dOTUR47mChXNrytxToco2i39OSnEAkM1cx+JfL5+7+MBQuwyXQYU4GRHOPl9cNulF&#10;GTEuNCIYMs9NUl6x75Pf79y0t6sU4656cZ7qO+wW5+/sdO7eSw2xinHZWIgb98lBNf6TA6FHtu43&#10;vyfFfY+iFIc2Ji8vL0c+A/LZNxLKzcm5yrrLk0wsxbkLf+f2LZER4v5ynteVfhf1V488OUW9/+n+&#10;Bhfi3vygVl3mGhVO0r6o/QFZL9bimBLe20vWzW2JFKukZCZFqcSSmBTK5Ha5v6Ejm0nJzP2c7udu&#10;qDwjUnSTZZPncT+v3CZTgTakbOdFqvUmkdvkPimtyeOaq4Qm60JKivKe5fUSl0NKj7IMsr7ksQAA&#10;AAAAAAAAeGNe4MnxV8pFItdFlYhcfErnopE1NWqoTvEtWTQlNy/RFt3Sja7k5iVzYqlTfEvMuFmq&#10;4KpR2ilRzRHi6hsNbk5NpGBObSB/9toSdwkuEaU4AGgdZEQl+xjc6+phX0gZLtMKcZc+Vemcb866&#10;4jp124Y9kduCobjSvHx/sB9jF1mkGHfXxj2BG99Yqc4bXrcYJyPNXTF5WpYW4uT3A5FHtx00vzMZ&#10;36ECznujFAc0yD//8z//o3FMnGd/ljKtFBeNb0rH9h2ndGrf4UT87dFcOuQqsxz3waf76y3Ebf7y&#10;qFr0Qa26/sab6zyPsczyHydp/7dA7L35Sq2b0HSSjWImtwMAAAAAAAAAgEwlF1bkAotcGHJfdGm2&#10;IpwdTcnNS7RFt3SjK7l5yZxYtCW4adUqf+jolKPBmSW4JKPBFcxeszt/ztqKwrmru6YqwSVq2lKc&#10;b4OxD1RJMcP493+37gIANCN3Kbkgv/BvVy1dbZbhMqkQd/MHW1Wnbj3N84xMmXrj22t/u3XDbm0J&#10;Q75L2Ockd5Hl3mDolLs27qm4e9NeNXj8JNd5KxqzGPf0tKwrxFGKA5qXfLfNOy2vwSNVNVcpzp4a&#10;Vgpp8r+rivIL/nTfb6f3WWebZbcxT05RT06b5WTMU8+Yt8v9iX+T7v8myzvNN8Y4h9Q7mjc8+a9G&#10;dGU4idepVwEAAAAAAAAAQEtoTBHOVxk8pcFFODuakpuXaItu6UZXcvOSObG4S3DOlKia0eDy+/Q3&#10;S3IFzy7VluAKn3r9mIwWl9+zj2yDkGwfa3V70lSlOMN/sn4CAFpIns9Xbh+/z73zwb/bZbhMKsRd&#10;eO9Y5xxzYflY47bPyq3F10pWirPdtXFP+d2b9kZSFeOyqRBHKQ7IbM1dirNZ5bjY599j+vY9/wjH&#10;i5NOpunUleEkUpYDAAAAAAAAAACZxBxdwTUtpiT679TT7EgRrmh6TWnxjEYU4exoSm5eoi26pRtd&#10;yc1L3IW4FFOiym1yX+HEQPwIcnYJbk5t0B4JTtav+6JZhpTiAAAtxCqqh+W4XVjU7l+vqd7klOEy&#10;pRAno8PJqHCyjPLzpuqNq6zFT6m+Upy4R4pxG/eEL9UU487o20/d9GZ11hTizMSX4iqd92P+hwic&#10;l4GTKe+0WPlYPpPNVYqzyf/GkuPAmWd02+N+vDtdOnVWF1w0QI196hk19613/wpFIg363wFoUl8Y&#10;0ZXhmC4VAAAAAAAAAIBMIhdt8nL8VXEXYHL8ERmRJlX5yizCzagpbzejJtxuZq2SaEtuXqIpuXmJ&#10;tuiWbnQlNy+ZVq0KUk2J2qe/KrhrYnTUOHcRLpq4ElwiY3tQigOANsg9alHfex5RN7jKcJlSiHOP&#10;DnfBPQ/9/Zbg3rRLJOmU4oQU4+7ZuFdbjLvo9vKsKcRNsDJu637z/CtlGOe9MFIckBGkqGYcjx43&#10;flYX5+Z2tm72JN1SnJvx/d6/YNXqFVWbPlGS1Z8dUJu/PKo+/fF386dMnZrqOIkWcboRXRlOwnSp&#10;AAAAAAAAAABkAmvUmfjpUY3f5eJ7fUW44hlrK9xFuDZbiHuxWhU+muaUqLoS3OzkJbhExrZp2lKc&#10;lB5z/MGCgoJTrbsAABnEOk+b5+iidh3+Q0aHy7RCnHt0uE7deqphb68eay1+2oz3uNg8L0XPbynL&#10;HlKMG715n1mCs/9GIqPFXTftlawpxD1mZNx2SnFAlvjP1k9PGlKKE6Hjka67fvw9HPrxd7MMF/rh&#10;t1+vun7oYed5KMWdTLOM6MpwEqZLBQAAAAAAAADgZJORD/KtKdjcF1dSXYQ1i3AzayuLZ9ZEEotw&#10;drQlNy/RlNy8RFt0Sze6wluSSAmu0OuUqJJp1Spv9NPr0y3BJTK2WZOU4oy/++8N/VsAQMvQjQ6X&#10;aYU49+hw599RfmJEMNSgc0tuTu5V9vOkU/a4d+OecpkutXP3Xs7rSy6+vTxrCnGPbY8rxTnndynF&#10;Gedov/lGAWS1hpbiROhYpMRMJHKKfG+X7/7O81CKO1l+MaIrwzFdKgAAAAAAAAAAJ5OMDua+mGJd&#10;UDH+7Su1HlJH8Yy1JfUV4exoS25eoim5eYm26JZuNMW3uLyYekrUgj79VeEDU82pU+NKcC/XRApn&#10;r9mY37vfAbtAJyUHa/V61lSlOABAZrPP1+7R4TKpEHeTa3S4jmf2UGdeNFDKHuXW4jeI/L11fkur&#10;7DF6877KxNHipCSXLYW4FKW4MOd3oHVoTCnOjVJcRvjQiLsIJwU5KcPJVKoAAAAAAAAAAKClyQWU&#10;fM30qHLhOdkFVynCtZtZG0ynCGdHW3LzEk3JzUu0Rbd0k6QEl2pKVCnBFYwcowqfWaqK5hiPt2KV&#10;4YIFL9eU+wJBc/0mXsSiFAcASMYcydU6zrtHh8ukQtwFrtHhzrri2v9t/97YUpz1nSWQbtnj3k17&#10;u5a9/s5R92hxl02YnDWFuMe2H1KPbztoFmTkPTvr0Ti/m28QQNajFAcAAAAAAAAAANCEzIsmMtqK&#10;uwhnXTwx7qszHZc5LaqMCDejNqQrvNUXbcnNSzQlNy/RFt3SjasIV9+UqHJf0ROBuL8xy3AyGtyc&#10;2spkU6ImXsRqylJcXl7eP1l3AQCynHFcr7KP8aWBdzKuECejw3Xq1tNcvuJ2Hf6928BLz3F/12hs&#10;KU5IgSTvNP8j1j/rVb55X6VdimvXvqO6u2Z79hTiJB8fMEfrle9oznqk7AK0GkU5Obn2Z9v8fFOK&#10;AwAAAAAAAAAA8C7J9KhBud16iEOKcEXTasobWoSzoy25eYmm5OYl2qJbuklnStS7JpqPiyvCGSl8&#10;uTZY5BoNLpUmLsW9ZG3T0uLi4v+fdTMAIIu5RxLqXnptXBkuUwpxpS/Mdc6RXfr2e02WW4r2TV2K&#10;E/mn5hdYv9ar+8WDHrNf/8ZXlmRXIc7M/hLKLkDrJt/bjc/14/I5b4pSnBwjjH//d+suAAAAAAAA&#10;AACA1kkukOTL9KjWhVQzSaZHNUeEm7a2onhGTaTdDH3JzUu0JTcv0ZTcvERbdKsnhWNnqcIr9aPB&#10;mVOiDh0dnRI1oQRnFuheWBEqnKkfDS6VxIvdjSnFAQBaFzkn2OeHAc/NzshCXLf+l5rLV1TU7l+N&#10;c5oz4qz83hyluHSZ34Gs15ZpU7OvEGdk28Guid8TpPBivUUArYh81gtycjpY//TE+Nv/0+/3F1v/&#10;BAAAAAAAAAAAaL1klAH3hWjz9xx/QC62WA8xFVcG/cUzayudIpwdTcnNS7QlNy/RlNy8RFd400bK&#10;bDeMVvk9kowGN3ho3SlR7cxa84c5klyPPtbf1B1xLx2JF7spxQEA5Nxgn8c7n3u+ur5mV8YV4q5f&#10;+K5zzmx/+hkbrUV3GO/hpJbi7NftcfEl32djIa7ik4MRuxRnrMew/X7k+5z1FgEAAAAAAAAAAACg&#10;9ZPp1fJy/FXORVMjMpqI3G49xCSjmWmLcG2kEOeMBleUZDS4kWO0U6JKCl+uCRfNqimXUfWkBBf/&#10;95TiAACNJ1Pp2eeEPvc8kpGFuHOHjaz3/JdYiivw+c6w7mp2rvPqr1lZiIsvxcWtR74nAAAAAAAA&#10;AAAAAGj1rNFDKt0XS+X3xOlRi2esLUlZhLOjKbl5ibbk5iWakpuX6EpwUnArvHOifjS4og5mQS7p&#10;aHBGCl+uDRbOrimTIpy1Ok3NVYrLO803xroLANDGSJldzgVFxe3//YolH2ZcIa7sg62quH1H83xV&#10;3LFzyFpsLafMZXxPsW5qEeb3IuucetMbK+ZnZSEumvDjofAp8h832O9HIqMBW28VAAAAAAAAAAAA&#10;AFoXKWC5i1TmRdIcf1AuQFsPMYtw7abXBrXlN100JTcv0ZbcvERTcvMSdxEu7dHg7L/RFeFmro4b&#10;YS9Rk5bifL55iUVGAEDb4S4+dS+91izDZVoh7oJ7xzrnvHSKWaeddtr/zMvL+yfrny3CfW4uyM3f&#10;mMWFOPWEVYprqu8bAAAAAAAAAAAAAJCRpDDlHv3ETHRUOOfCtDki3PTakLb0liqakpuXaEtuXqIp&#10;uXmJORrc2FlJR4MrGDw0OhqcqziXWIhLpwjnxkVqAEBTkOkw7XPJgOdmZ1whTkaH69StZ/Rc58/9&#10;PZML3HmuaeSNZf55dM327CzE7TBjjsQX933D+N6XOC0+AAAAAAAAAAAAAGQlKb3JRVD3BVEpx9kX&#10;pRtchLOjKbl5ibbk5iWakltaqaxWBTeM1hbhtKPBJca4r2DCK38UTpjbx1zRHlGKAwA0lnE+D8s5&#10;pH3Xbv969cqNGVeIK31hrnOek/KetdgZyfqPB8z1KSkubv9vtyxela2FOCMHg/K+ZCRZ+z3Jd0Dj&#10;fTqjAgMAAAAAAAAAAABAVpFRQGQ6VOciqBH5tz06SHFl0F88vbZSW3LzEk3JzUu0JTcv0ZXdUsUu&#10;wiVOiyqjwfXpn3w0OCc1kcLxc7/J79HHXqehho54QykOANBQxjmj1D5/9LnnEacMl0mFuG79L42e&#10;3/y5f2ZDEUvO54nfnS6fMDlLC3GxUlx+jj/gvKccf9h8szhpTj/v8lMkvc7r7+9x3qCukm7n9S/p&#10;2W9gqaRHv0FlPfsNKJf0OH9gRY/zB1VKep4/MCAxfq+KZmAwMcbfh+zo7o/G/vtBVa7nNF5DXisa&#10;87WN5Yguy8BSWT5ZTllmWXbrrQBoBPdxQD5n0diffd3nPvoZtj/jEuMzGm5I3M9hPk9ax4j6jxN2&#10;7OMFxwy0JPf51f5s2edYieynkth+G/28RT9zsfOtxN73XZ8B53MR/Zw0Ju7niiXh9ep85iSJnzv3&#10;Z4/PHQAAAAAAAFo9a4STShkFxHXxU6ZHLZf7Tq8MntJ+em1l8fSaSLvptfqSm5doSm5eoi25eYmu&#10;9KZJ0dNLVeGVo/RFuBtGq8IpSzXlN3dqIkWzagP21Kjui8tNWYrLO+20c627AABIyjj3OFN8XhZY&#10;nnGFuOtefzd2bsvx/e9smq7T/B5lLbvk/BtHZWkh7pCauPNwpbwnd9FPfjffKDxzF1gk9sXo2AX1&#10;2IX06EXvaHmlR7SAEolmkGo9GRiR9xZ9r9GL+c4FfFdJxr5Ib61GoNWTY0XsGGEfG5wyWys7DniJ&#10;dcywSnn2scM+fsQdQ1zlH1mPlH6yn2yvxPOobFPZvpLottYXwqP7Sey8au4/rfbc2vRJ9bmLruf4&#10;z1zi583ahAAAAAAAAMDJI+UqKWe5L+LKRU8ZlUWKcO2m1ZS3m14TaS9FODu6kpuXaEpuXqItuXmJ&#10;pvzmTtGYWUmLcIU31zMtqpmaSOHs2qri2cE6/ydgU5bi5O/t0qJ1MwAAWnKusIvvHXv3+ZfrXGW4&#10;TCnElYwaHX/eNZY3q0pxrhH4JGf27afuWBnMvkLcjsNq4raDZfKe3N8R5fuh+UZbMd2Fd0nPFBfe&#10;3Rfd5aKxeeHYueCuv8hMvMe8MG9dkI+u82iBzr4Az8V3ZAs5xpjHFmP/NY8h0eMGx4uTEm9lO4ld&#10;/jEezwh3Ft25U9aJrCNJdH1RWmu7iX7OzG0bdx63PltyLOR8DgAAAAAAgKZkXRivMyqcXMyV+4sr&#10;15a0m14bkiKcndZeiJMinEyB6qwPK3KbFOFk6lTzcdoSnCRahLNHhEvGWM9NUooDACBd7rKWTJea&#10;aYW4Ee9vUcXtO5rLl5vj+8Ze1mwrxcmyGssctpe/XfuO/zF0xqvZV4gzc6BUvqO4S3HGezNHj0uH&#10;ddE7rljgTvRCaOOT5LnN17UvskvkQqw78RfcuejeWhK76E5xDiefXX6LFoEov7XNxM4zcnyyY+0L&#10;VkEoWhJyJ+GcZp3zoqU8iV0wa2hiz5X8nGr82zmPOssbW37OnaQFohtVdmBFWyudAgAAAAAAwAMZ&#10;Xcx9sda6wBmQi566IlyrLsRVVptFuPwefWPrwooU4Yrum+oU4exoi3CzaoP1FeHcZH3br0MpDgDQ&#10;3IxzjTNd6pAlH2ZcIa7fvWOc82+ez1dmflex/m2cM7OqFCfc61tyyf3jsq4Q96Rk++ES4zuKX7aB&#10;/V5k+1hvM6XoBXPdxU3S/IkvXxi/O0VAiV1wSCdxfxd7vqwvQtjrxX2B3bitRYpz4UjkFF32R/7u&#10;1+Vg5M+u9WX/iT9K0smBE3+VnqzolicxuvcmSVwnievOWrUnnew3xn5VKvuT7F8t+zlJ/rmPfp71&#10;Zat04v7baPTHCddrZ/0xgpD0Y+/v8aVH67PgfA4liZ+ddJL4HHYSXqdNfeYotwMAAAAAAKAOKV3l&#10;y6hwrgu00VE/fKUyPWr76bWViSU4d1pVIU6KcPdNTVqEK64IxJXg3HGKcC9Wq8InFx3xUoRzoxQH&#10;AGgJ1vnfLDS1737Wr1KGy6RC3NC31zqjwxnLGbbPh9leiss9zVfhLL+RXgMvy8JC3KHIU9sOdjVH&#10;vnO9F9k21ttMSncBkyRL9CK6eYHbvABul7SsEXvsEX2sacWMx5lT9dlT08mFYYk9bZ21CVqM/br2&#10;csiyyTJKossbmyYvVq6JXuSPvm/dOsmcXHTFDX+/5pa7IjeXj/n17kcn/vzYC7OOzXjj7W8WVK85&#10;/nbtpmMb931x5NDPf4YP/vxXRJdDv/ylSMvGWffGdonlr5DEuD0oOfTLn1Wx/BWQHP7lb5UHf/6j&#10;QnLgpz/KD/70Z5nEXeiTgt68FTVdLr3hpsHRfbu5Rn4zCy6u0mb0WJB4DLA/+9bHMWMlHid002rG&#10;Hy9iI5i5jxvuY0f0+NF2SkCk/px/6VVmBl1XZubqkXeauWNMhZkHn3zWjHEcNzP99aVOXln+npk3&#10;3qv9U47tkqVrNxxesWHbOsnanfuWSTYdDE+RfLT3y7G644Nd2rV2/ZMq2eeu/s9e9HMX/ezpPnf6&#10;9d9SkfdhvUUAAAAAAABAMypcjj+S5/OVy0Xn4uk1Ze2m10R0JTh3WkUh7oUkRbiiDqrgwiEpi3B2&#10;pAxXMP6VP/J79LHXZdrThyUy/pZSHACgWUnx3T7XnH3bfZFMK8Qljg5nLbYpvhTn+8y46T9H78kO&#10;1vcvZ3S1M/v2U3etXJ89hTirFPd4KHxK/LZIXVCUi666C5itL9ERWaxSRr1lNvsidCaWWBJH3LJH&#10;4oobpcu64O8e9cspDP30R7kdu1Ak5SKJXTayy0dOIckqKEXzZ1iKZau37/ldyggvv7XiLykoTHk5&#10;YJYWpMgw4p4HzYKDfltkRuwChrt8Ie/BLlu8u+ETtXbnPrXlQFhb5CKZkdCRE+Z2Wvxh0Nx2sg/K&#10;/ifbVso2um3fkPS++NI/+15yxeGLrxy68Zqb73xt+F0PPDZ6/ORBT74459xMKdRkE++FO3fZjsJd&#10;SyWd0ppdWLOPn/YxVD6Tchx1H0sl8pmV6D7PJzuxcm60kFtfETdZGdcu3NmlOzuJ52/r49Aoic/p&#10;fj3394L3Nn86+JXl1dcten/drU9Of2X845Wzpj848dlXxj477c1bHxr/4V2PTlw/4u6H9kmG3Hjr&#10;McngG276VYrmun0j3VCIAwAAAAAAgEkKVonTdhn/DspFzFTTo+qS1YW4F6pV4c1j9EW4G0aroqeX&#10;astviSl6KTo1qrVeQ87zNEEpTrZL/mn+y4yb/lP0HgAAGs/9PcCeLjVTCnHJRodzs4tY6U7VmWmM&#10;9+R3f2coLm7/bzfNX5o9hTj5987DIXkv8h9T2O9DSnHy3sw3mSBaQoi/eGlf+JbYF8N1cf+N7v5k&#10;cT+/fXHdjhRZJPbFdsl9FVP+RTLu2Rn/a8zTlb9NnD4nMnX+wp+fmbPgO4mMADbv7VV73vxgfUiy&#10;cuOO7et3H9y67tP9q7eHj66KXdB2xy5+NWV0rxONXSxzJ75kFi2auWM8ptWMXiYlCClFSEFCihJS&#10;nJAiRTYU59yx91t7H7XLIIlFOncBJFOLH5keuzRjl91k3SYW3mRbyDFFt60aE3lOeX55LXlNWYZ0&#10;t6P5WXU+x9HPtnFb0lHuUhVs7JJNOkUbibsUYx3is577PUnc79dd9rHXjb2+1n926M7ltRsfND6L&#10;EwPvrn7uxQVLZj73yutLXlywdOWkWfNXSx6rfGnbmCmV+yXjnpsRvv+JZ4889NTUH2V0yXvHT/pD&#10;zju3PTThf8tn3T432bHPWfYxwd4Xm2N/dMd+DYn7te3lkWWzz51yfEpVWNOV1tzHLY5dJDGyb9jH&#10;ZPf53D6nyz6YuM9SiAMAAAAAAIBctCyTi5XuC5dyIbP9FXf62k+vrUxnVDh3srIQZxXhCrp0j64D&#10;Ow0swlmr1tSUpbi8vLwc61cAAJqMnKvs7wIde5+72y7DZUohLtXocG7ZNl2qjruYKBny2NNZU4h7&#10;cudh9dTOQ0F5H8b+FDe6rfnmEkRH4Ym/eCkXO3UXQglp7rSW4lyyuMsrutKKXSywCyvusopdWJF1&#10;lOmFFXvZ7PKExL1d7VKOXdSxt7FdMGruUlFi7O0h616WtTUWgdzlWjvuAm7dJBZ2GxPd87edqYvt&#10;z0NDo3tOQjIxcoxPPL7Kf3hhfeUEAAAAAABAWyMXjRMvuhr/dkaFaz+9JqwrvNWXrCrEvVCtCq4f&#10;nbQIV1xZrS2+JUZXhHNrylIcAABNzT1daq/ht+3PpELcDa7R4Qr8ud/IOdVa7FZLvic43xmMDLij&#10;PIsKcZIvquR9yPdK+z3I7+abc4lOExp/8VJKLLoLnYRkSpIV56TU1FrKcw1J4shRUvRKjKyfhibx&#10;uezXsV+3pYtsXiPLJ8st+4rsM7IPUTgihJCmiRxTE4+7FOIAAAAAAADaKHMqK82ocIXl0/u0m7a2&#10;Sld0SzdZUYhLVYQzbpf7dcW3xNRXhHOjFAcAyFTGOckZzeuyRauOZFIhLt3R4Vobd0lRctbAy7Ko&#10;ECf3HSzTfPcJWG/P1PP8gYHEi5e6i5yEZGt05Tm7QGcXvdpqga41xi4EynZ1F99a68hvhBCSKaEQ&#10;BwAAAAAAgKSjwhX1u7RLe5keddraSPtpNdqiW7rJ6EJciiKcTJlqFuHsx2oKcHaKpq4IpVuEc6MU&#10;BwDIRMb5KCznpYLCogPXWkW4TCjEuUeHK8zNO9IWRodzk+9txrZx/gOG03v3+dvtS97LikJctBR3&#10;oFS2mfs9uEuNPc4fVOW+cCmjJ+kuchLSVmJP8ykFOl2Jzh6Fzh4hzf35Ic0fe5Q32QayLWTKVZl+&#10;ldIbIYSc3FCIAwAAAAAAaOPkAqT7gqT8LqPCyfSo7abVhMwinB1Xwc1rMrIQZxXhpPjmvH+Jrghn&#10;R1eEGzNL5ffoY/29r0H/51piKa4gxz/ZugsAgBZnlq6sc9IZF1+6PpMKcW11dDi3xO8NRUXF/9td&#10;isvkQpyZbQe7uvexaHyl8t569hsYcl+4lJKJ7iInISR1pEjnHo3OLtNJWUvKdFLcchfqJO4pR92f&#10;w7YUe0Q3KbnJurFLbnbRTdYhZTdCCMn8yHG67nF+oPl9EwAAAAAAAK2YdSE16ahwcUW41laIa0gR&#10;zo67CGdNjSoluLjnaVQpzrfB2A6PG7/7rZsBAGhxuaf5KuzzWsnYSbWZUohzjw5XkF/4L3LutBa5&#10;TUr8Ljfy1beyohA3acehyNOh/f7E71BSkuvRb1DYfeFSCju6i5yEkJaJlL7scp2UCxILdnbJzi7a&#10;2bFLZPIZtmMXzOzYRbzESBnNHd1j7Lifz34d+7Ul9vLYyyjLK8tul9ok8t7kfVJwI4SQ1hMKcQAA&#10;AAAAAG2QefFRMypc+8qa0vbT1oa1ZTiJq+DmNZlQiCt+vloVXjGqYUU4O7NqInYRzlqdpqYqxRn+&#10;k/UTAICTRkry5vnM+I5wzdqd4UwpxLlHh5PIclqL3GYZ26jSvU6ue2ZG5hfi5OeOw2FZfnO0Ynv5&#10;jf2tR0n/uAuXUmjRXeQkhBBCCCEkWXSFuB79BrXJ0aUBAAAAAABaPRlFJT/HH3BfNJULyYVlYwa1&#10;m7a2SluCc8dVcPOak1mIkyJc0RWjVEFjinAv6Ytwbk1YigMA4KQxvy9Y57KC/IJVUobLhEKce3S4&#10;onYd/m4vI6W4+BH9JJePfeLnTC/ETdr5hcTcdu7vp+3adYy7cCmjOekuchJCCCGEEJIsMvqn+zul&#10;hEIcAAAAAABAK2SNChd2LpbKCHHtOo1tN3nZrHbT1ka0BbjEuApuXnMyCnFNWIQLpCrCuVGKAwBk&#10;O+PcVWqfx3pcM2x8phTizhk60jm/tuvc9U5nFDsjlOLqfgcZcMd9xzK9EDdZsuuLKll+YxuG7GXv&#10;1LWHc+FSpjbUXeQkhBBCCCEkWSjEAQAAAAAAtHLWqHBxU2nJBcei68tvaTetJqQtviWLq+DmNS1Z&#10;iEtWhCvo0j39Ilzlqn8vnLpySvHsoN9alWmjFAcAyGbu0boGvPT6xEwoxF3x8iLnvNqxR29zqk2R&#10;UIoLWTe3WYnfQc7s2+9EFhTi1FM7DpaZ31n9uX/Zy961Vx/zwqVczNRd5CSEEEIIISRZdIW4nv0G&#10;lFtfmwEAAAAAAJDNzIuijR0Vzh1Xwc1rWqIQl7IId9MY835t+c2Vohff/5eC60ebo8jJupOLs9bq&#10;9CTugrSx3o3n8VysAwDgZLC/O0jB7Nq1u6oyoRB3Zv/Bznm9Y+9zB1uLaoovxfk2WDe3WYU+X1fz&#10;O5+1Trr2PvdIphfiJJN2HC7t0q3XTHu5C3LzVbe+F1GII4QQQgghnhM6coJCHAAAAAAAQGvjjArn&#10;uhgqF7UL+18zvv20tWFt2S2duApuXtOchbikRbgefZ0inPNYTQkumppI0Yyacl9lUNadMzKOlAIa&#10;WorLO+20c431/nhD/x4AgJZmfoeInQMD16zdGT7ZhbjLnp/jnNtPP+/CL6xFjWOX4uS8a93Uplml&#10;OOc/iujcvdfhTC/ESS4b/cjLnbv1crZ3UX6h9gInIYQQQgghqUIhDgAAAAAAoJWRC6BSfrMvJJrJ&#10;L57V7qlls7QlNy9xFdy8pjkKcVJ0K7x+dFpFOOdvEopwRTNrwnYRzlqFpnz3NLONKMUBAJBN3COc&#10;duzd58Fr10bLcCezEOceHe6s62+8xVrUOqQUJ9+DrH+2efLdxf2dsH2nLqFML8SNW7P13+RiZfsO&#10;nZ1tPqxspPYiJyGEEEIIIclCIQ4AAAAAAKAVyff5SvNdo8LJ7+aocC+uDbd/UVNw8xpXwc1rmrIQ&#10;Z44Id/tEcypU570acU+NmliEs+MU4V6qDeqKcG6U4gAAbU2ez1dun/vOf2TifSe7EDfwyRec8/xZ&#10;1wzXjg6H5BJLcZ26nrkxkwtxTxu59413VY+S/qqosJ2z7V96bZH2QichhBBCCCG6UIgDAAAAAABo&#10;BczpzdzlLYk/f6OMCtdBinB2dCU3L3EV3LymqQpxxY/MMkeAc79XGSGuviKcnXSKcG6U4gAAbUle&#10;jr/KOudFrl69s+JkFuKGvbdFdezW0zwHF7fvqC6d+vKt1mLCA+O7i1+2p/19pkv3Xm9kciFOMqR8&#10;jOrW9yLnu57kw607tRc7CSGEEEIISQyFOAAAAAAAgCxXZ4rUHH+k4OwLZ3Z4cW1YynCtpRBX/HDj&#10;inDFTyw64qUI50YpDgDQVsh5Ts53Mv3otWt3VZ3MQtz5o8c45/ySux/6+4hgiPNvA9UpxfU+9+VM&#10;LsRJSoZcqwZffYOzD5zeqbPa9c0P2guehBBCCCGEuKMrxPU4f2CF9fUYAAAAAAAAmSzP5ytzX9zM&#10;9+fuLr590gd2Ea41FOKSFuGuH53eiHCPvvJH4RWjVL7xN1Jss1adZ/K3zjLk+D4rKCj4f1l3AQDQ&#10;KkjJPnau81des3Zn+GQV4oa9t9kcFU6WRX5e9/bqKdZiooHitq+RbiUXPJfJhbgnNn6qzj3/InX7&#10;PeXOMg8rG6m94EkIIYQQQog7FOIAAAAAAACykHaK1PZdN7Z/ZsWviWW4bC3ESRGu8IIhsfdnxCzC&#10;GbcVT1qqLb8lxJwa1X/DA76EEfQaXIoryPFPzvP5yhkhDgDQGplFe+t8ecbgK+8zy3AnqRDnHh3u&#10;orFPGreHulqLiUZILMX1HDD4sUe3fv5HJhbiJPe+vlwNufJqddHFA5xlXrB8pfaiJyGEEEIIIe5Q&#10;iAMAAAAAAMgidaZI9fl/LbysbL2uCGcnmwpxxVOrVdEVo8zym+s9qoJz+6viCQFd8S0xZhHOPTWq&#10;FNgSSnEB6y4AAGCR86N9rrz4hVcePFmFuOuWrXFGh+vYrae6ZPJ0JYV0azHRSPk+X4nzncjI4Lvv&#10;v9YuxWVaIW6KkasffkxdcullzvLK1Km6C56EEEIIIYS4QyEOAAAAAAAgS8jF4HzXFKl5he0Otx8z&#10;96iuBOdOthTiim6fmLwIZz9OX4JTxTNqQ4lFOLfEUpzxe9C6CwAAGIzvGGHrHBm6Zu2uwMkqxJ09&#10;9Gbne8DAJ19QPYdcGz13U4prMvk+X6m9juW75S2vLu6TqYW4KaEv1QXXDFVn9ejl7BdMnUoIIYQQ&#10;QuoLhTgAAAAAAIAMZ02R6ozaIik8u/++ZFOkJibTC3EyPWpBj77Oe5PIv4vunVr38YlFuJk1kVRF&#10;ODdKcQAA6JnfNezzsPGd4+q1O8MnoxB3rWt0uDP7D1ZlNbuOGP/+1Tl3U4prMu7vlvKdaPzHB0oz&#10;tRA3cdNnqmuPs1TH9rH/cIKpUwkhhBBCSKpQiAMAAAAAAMhgMkWqPWKLGX/u74VX3b5bV3xLlkwt&#10;xOmmR5XfC8vGmPe5H+vELsJNX/NH8czaynSKcG6U4gAAqMs9YlhR5653XmOX4Vq4EOceHW7I7EVq&#10;RG2owjh3+2UUM/t2SnFNR74H2evVWMeVEz45FMjEQtwzRsoXvuPsGxKmTiWEEEIIIalCIQ4AAAAA&#10;ACBD5fl8Ze4LwPnFnb5p/+j833Wlt1TJtEKcWYRLNj3qpKV1S3DuSBnukVkqv0cf4298Jdaq8qRO&#10;Kc7nq7buAgCgTZKSmX1ePG/i89edjELcVQuqnO8E5uhwwc+M20N+WT5Kcc3DHBnQ/R9e+HylE7Yd&#10;DGZiIU4y8KbbnH1E8tjkZ7UXPwkhhBBCCKlbiBtUaX0NBgAAAAAAwMlgXZysdF/wK7zgin3tn1mp&#10;LbzVl0wqxGmnRz23v3561MRMrw3mX3P7Le6/bWwpTkZGkVH4rJsBAGiTjPNhlXlezfFHrlmzo/xk&#10;FOLiR4d7Q5Wt+6zKWjxTYikuNydnqHUXGkG+S9nrVNZvz/79+0z45GA4Ewtxk7buVad36+nsJzJK&#10;3Ma9h7QXQAkhhBBCSNsOhTgAAAAAAIAMYhW1ohelJf7c34tuuP/nDpX6sls6yYRCXPFz1apoyCjn&#10;Aqak3ulRndSEi6bVlNvTo8ZduDXTsFJct27d/p/WrwAAtGn2KGFSFL967c6qli7EuUeH6znkWlVm&#10;TqEaKrUWz+EuxRnL+rh1MxrJHJXYWv+yLzy+7WDXTCzESca9u9bZVyS331OuvQBKCCGEEELadijE&#10;AQAAAAAAZAgZqcy+IG3Gn/dH8Z1T/jTLcFlaiGsnRbiyMXWmRy0cNLTe6VGLZ9RE3EU4t6YqxQEA&#10;0NaZ3z/s82mOv/LqtTvCLV2Iqzs63KeREcFQnfO/sEtx8tO6CU3A/R9k5J7mqxj/8YHSTCzESUY+&#10;+rizv0gYJY4QQgghhCSmbiFuYIX11RcAAAAAAAAtJc/nK7dHPJEUdO5+uF3F4t+cMlwWFuLaTQio&#10;gu51p0ctNm7XFeDiMr02WDhzdcqpTCnFAQDQeO7z6ennX3zrNWt3qpYsxN2warMqbt/RfP0z+w82&#10;R4crW/dp3HSpiU477bT/af2KJiKjFLv/wwwpHD62/VAgEwtxlZ99pQYOvsz6/udXl5Veqb0ISggh&#10;hBBC2m4oxAEAAAAAAJxE1sXHSvuCnqSopHRX+ykrY0W4LCvE6UaFS3d6VBkVrnh6TZm1eupFKQ4A&#10;gMYxS/nWefSc2x8Y39KFuJLRY5zz+IAnX0g6XSqan/E9qtTeFjJ97uOh8CkTth8KZ1oh7lkjSw5/&#10;r844/Qxn3/lw607thVBCCCGEENI2QyEOAAAAAADgJJEynHt6KiO/Ft1w/846RTg7rpKbl7RkIU5G&#10;hSu8YIhzcVJijgr31FIZ9U1bgpMUP7/q3wunrBirmx61PpTiAABouPwcf8A+hw546fWJLVmIk9Hh&#10;Onbrab62/Bz63uaU06Wi+cV/N/WVytSpmViIk6z5bL+1nH519XU3aC+EEkIIIYSQthkKcQAAAAAA&#10;ACdBoc/X1T0tVX5u/tHiOyYf1xbh7LhKbl7SUoU43ahwxbdNNO8zy3ASXRnu4Vkqv0cfJetDSoLW&#10;KvLEXYqTEU06dOjwj9ZdAAAgBacAZZyHr167s6olC3GDp85xvjfISHEj0pguFc3LHL3Y2ibGPhGR&#10;fz/2ycFgJhbi3jh4VA0rG+nsQxv3HtJeDCWEEEIIIW0vrbIQd/p5l5/S47xBXbud17+EEEIIaYr0&#10;Oq+/3zrNAAAAAI1mTk2W4484FxuLO4XaVSz+TVuCc8dVcvOS5i7EJRsVrt1TS2OPseMuws2oiRRN&#10;q5F1EZsythGlOLNk6PMxxRoAAB7IuVfOwVIov3rtjnBLFuJ6DLnWPP8Xt++orl22xizEMV3qyeee&#10;RtfYPwKPb93vz8RC3HNG3t74sfP9c8TIW7UXQwkhhBBCSNtLqyzE9Th/UFXiGyOEEEIan4H8n3EA&#10;AABoFHPEDXf5y0jhOf3Xt5+y4ldtAS4xrpKblzRnIU5GgEscFU5Gikt8nLsQZxfh3NOjNlUpDgAA&#10;pM89GlhR+07LomW4linEyXSp9mv3HHKtVYb7VPUdeecga/FwEtlFSYn8RwePbT8UyMRC3NzPv1Vn&#10;9z7H2ZcYJY4QQgghhEgSr/W3jkJcv0HhxDdGCCGENDbMKw4AAIDGkAvOzpRkkhx/pHDIre9qi2/J&#10;4iq5eUlzFOLaPVdd76hwcY+PJVg4c3VXa7XEoRQHAEDLio6uGj33dh08ZH5LFuIuHPuk8x1i8PNz&#10;zDJc6ew3ot+RjOWyFhEniXs6evle9ngofMpj2w+FM60Q99ynX6pJ815z9qWHxldoL4gSQgghhJC2&#10;lVZ5rd8uxBk/y2T6VEIIIaQx6dlvYKjVnCQBAABwUpgXm12jbMjvxTeNf01beksVV8nNS5q6EJfu&#10;qHDuFE+PjgpnrZKkjHVDKQ4AgBaS5/OV2efds+96sEULce7pUoe+t9ksxJWMHmN/B6AUlwHc/zGH&#10;7CuPbztYlomFOPcocad36qy9IEoIIYQQQtpW3GW4VnOt312Is24CAKDBjJNjsNWcJAEAANDizNE1&#10;cvwR52Jijj/Y/oklU7SFt/riKrl5SVMV4ryOCidpN70m0n5abcA9PWp9KMUBANAy8ny+cvucO2Dm&#10;gnUtVYhzT5cqxTh7utTe14+4zr6dUtzJ555S1/gOG5LbKrYfCmVaIU5S+epCZ5966bVF2ouibT2V&#10;r7ym/umUU5SxGVVObp6q3bVX+zjSPJF1LutecsPNo7SPaYqs3PCxs50lst11jyOEEEJae9xluFZz&#10;rZ9CHACgKVGIAwAAQEOZF5ldZTgpejW4DCdxldy8pCkKce0eekkVdO7uXGi0R4WTkpyuCCdp9+j8&#10;SIdK/fSo9UksxeXl5f2TdRcAAGgiuaf5Kuzz7aWLVh1pqULcgIkvON8pBk+NTpd647pPI7JMCVN1&#10;Uoo7yYxtELC3h2yLx7cd7JqJhbgFnx509qlhZSO1F0WTZdCQq5zykOShiqe0j5PMW/pOXNlI/lb3&#10;uExMn34Xpv0+SdPHve5lW+ge0xRZ/P7auNdiOxNCCGmrcZfhWs21fgpxAICmRCEOAAAAXpmjabgL&#10;XUbkgnP759dWaItu6cZVcvOSxhTi2j27UhUNGRU/RWp9o8JNfe/f5G/ksTIinrVaPLPXoTxHQU5O&#10;B+tmAADQRNxTYl7tlOGavxDXe+jNzveKa95aYxfiqqzFohSXQYzvtX57W8j+IrdVbD8UzrRCnOSW&#10;u8qd/Wrj3kPaC6O6yAhaxttyIoW3T744on1sNpfKKMSd3LjXPYU4QgghpPnjLsO1mmv9FOIAAE2J&#10;QhwAAAC8kDKc++KyXMTN8/nKGl2Gk7hKbl7S0EJcu/EBVdgvNkVqOqPCyfSo7W94wGesg5D9d1Jo&#10;s1aPZwWn+s+zfgUAAE3M/s5SkFdwtCULcTJNqrxux249pQhnFuKG14bi/r+3xFJcsd9fbN2FFub+&#10;bisFuce3HSzLxELcwy/Nj+4vRp6ZMVt7YTRZ3NNZSnQlosSiUariXCZm4gvTmTL1JMa971CII4QQ&#10;Qpo/7jJcq7nWTyEOANCUKMQBAAAgXTJ6ibsIJhdv832+UrMM90KNvuTmJa6Sm5c0pBBnTpHqHhXO&#10;+L149FR9Cc5Iu+m1ofbTa0qtVWEXA5ukFAcAAJqH8V0lLOfpwvYdv2rJQlxx+47m9wMpxtmFuBHB&#10;kPM9wuYuxRXk+CdbN6OFyXdcezsY+0xAbpNR4jKtEPfs1j3RZTQy5MqrtRdGk0U3SlziY264eVTc&#10;YygaES9x7zsU4gghhJDmj7sM12qu9VOIAwA0JQpxAAAASId5wdYswDkFsJCMoOGU4bKkEGdPkWq/&#10;D0nBOf1VuyeXJCnC1UTaTaspP70yeIq1KhyU4gAAyGx2Ia7zeRdua6lC3BWvVTnfMfrcco+7EFfn&#10;u4SIleJ8dQpzaDnu73TWKHEVmVaIm/rpV2r47fc4+5eXaVMliaPESUnOvk9GU3Pfl22jw5GTH/f+&#10;QyGOEEIIad6EjpygEAcAQH0oxAEAAKA+eT5feUIZLihlMCnDdbTLcFlQiJMpUgu693EuIppTpI54&#10;xCzJmY9JLMRNqw12qFzd1VoNWpTiAADIXPb5uduQ6/a1VCGu/8QXnO8ag6fOMQtxRkLWImlJKU5K&#10;WNY/cRJIIdHebjJK3OOh8CmZWIgbH1ji7F9ep01NHCVOCnL2fbff/1Dcfe6SkRTj5G8HDbmqTqmu&#10;0xlnmiPLJZue1H68FOzkMSs3fGyWpezb5i19J+lj5XVlOeQ13K/nLvK5435/8hzyWu77G/v8duR+&#10;+z2kikzhqvt7O+7llbjXhR15D7K89mN0yybvxf0Y3evK3yVuP/kbuS3V+/Wy/eznlSQW4uRv3a8t&#10;vyfeL/uge1vIY2T5pADnfqyuEGdvS/dr6P42MfJ3sr5ked3rUJ5H9utkfy/rwX6sLLPcplsGeV7d&#10;drVjbxf3a8vf2O9J9zeEEEKIhEIcAABpoBAHAACAVHJP81U4FwejFwgr3WW4bCnEFd/6RPwUqd37&#10;qOLRz8U/zirCpRoVTodSHAAAmcc9DWbP4aP2t1Qh7oKxTzrfN655a41diDOn4URms0cUlP8QRAqK&#10;T+w8FMi0QtykzbvV6Z06m/vXsLKR2gukqeIu60jswo+7kCO/22Uc+em+L1nkMbrij/sxUjxKfC4p&#10;/iR7rLsclRgpT7lfRyLP5X5MYpnJfV9Dnl/WhV0GSyfu96aLrC/346WAlfiYxPck5anExyQW69yF&#10;uHSXWdaFlNLczytxP8bL9pPXdD9P4rp2v4/E0p8u7mVLLMTJcyXu1+4kK6TJ66b6OzuyXRLLaYnL&#10;UN9z6fanxCmKE6PbHwghhBA7FOIAAEgDhTgAAADoSMlLRsewL+jKhcE8n8/8/yI6Pr+m3C7DZXoh&#10;TkZ/Kxw01LkwLTGnSLVHhXNHynBPLdtfXBn0PEILpTgAADJLbCpSvyoZN/lESxXizhs9xvnO4SrE&#10;Vf7/2fsT6Dqqe90XzRvnjnP3e+O+sX3GeXuMe/ZNJFlWY3WW3LeyZGMj2xhb7ltsucN9A9jINuAe&#10;9yBCAoSEINObgBGYxhjJEYEAIQYEhM6QHaUPaYhISLKzm7Pnq69WzdJcc82qVbW0pLWW9H1j/Ias&#10;qlndrNJSueqn/3R2i0nj4F5XnjtUSN772oc56SbEgSm1c+x9hBhnekHqhy5PQSbSp6mSky7++AGp&#10;Sd0WMLVTUUUh03w/ICGp2wojxAVBXz/21dTOC1VMMwHJSm0PoUpvY5LZ9Da6WCX3G+v3k/500FZf&#10;t6mditf5U4U4/bxgO6pgFkRKU89lmGsSmK5L9FE8CU9FF9r0fQiyLvUY9J85E7pUSAghhKiYhLgR&#10;E6dss36HZHYoxDEMwzDJDIU4hmEYhmEYRo8jdzXJF4KQ4TCMFObpMlw6C3H2EKllw9yX0nKIVL2d&#10;3VYR56T4FzauFBeRBzP/IRTDMAzDZHBUIW7y8btETwlxo5esdO89HBlOLG9ts++jmPSO8wch1n2v&#10;ff/bjmn737jUmm5CXN0NB9xr7PnX3jS+JPVDF5BU6Qpijyor4d+YJsU5vVKXvi5V+gHqPBNeFcYk&#10;UirDdnW5S5eUEhHiwqxflZ7QVvYF5Cp12TAik75NXcJT50n041LPgSrV6f2BeWq1NJxPXeTSJT51&#10;ngmv8yf7APuqTsc+qNeXPl+txob+xfqxj/p1py4D0Eb2C77qx6VXiVOveYDvVZFQ7zugnhuvfUCf&#10;Yr7pelKr4uk/c3LfAfYV81khjhBCiB8U4hiGYRgmQCjEMQzDMAzDMGrs4cXkcFEWELyys7Ptimkm&#10;GS5dhTiIb/oQqRDk1DYKrfkz66bJtvZxJyjF/dM//dP/VfiVr/yz8y3DMAzDMCkKZH75e70nhbjh&#10;sxbY2ywsKlGFuGpnt5g0j3Uf7FZIxj3w3tcv1aWbELfx7vvde9ZjX7vL+JLUD7/qVKrgFARdHIon&#10;VKnyDwQjVXTS2+oSE75X50vpSqLviyoZAXUeCLN+XYDS1633qTrPD/SXupzaf/o2Jeo5Qv+p81SJ&#10;SpcVddkO6PsNiUudr84DQc8f+k7KlOqy+j7ox6ifExP6Mlivuh9Ar+bn12e6pCfRK++pgqRpH+Id&#10;G5DzVCFO73NCCCEkCBTiGIZhGCZAKMQxDMMwDMMwMvaLY1kVwwLDfqJSBuZBhiu+pbkj3YU4VHor&#10;mLXGfUkI8L1piNSBX23uGNjwwrbyhlb7GG0ZUFkuUSmOYRiGYZjUB7/H5e/0qV+/v8eEuME10+1t&#10;lgwdoQpxoYdjZ1KTqPvBrJxGTNt/8VJHOglxN7/yrnu/urRulfElaTx0WQpA6jGJQX7oEpoqHgF1&#10;Xrz1q2112S1ImzBCXNj163KTvu5EhThIVOpyahUx/XgkqkClb1cKZfp6vY4XqO2A17yw5w+o03Rh&#10;DOj7iW3guHXBTUU/F/o1F6+NLiGalgf6OvyuB72aoET/OZPXDc6zOh3rDiIDEkIIIRIKcQzDMAwT&#10;IBTiGIZhGIZhGKT/V7L3uS//Ii8AG6QMV3zyfJ2XDAfSRYgbePC0yJ84yz0GVIgrvHp/jAjn0Frc&#10;cL7CPngllOIYhmEYpnckVULcoMoJ9jbxVQpxzi4xGRK3WnJWTge+3//mx43pJMSBy2ZE7nnLS8uM&#10;L0njYaoS5yUGAYhLkH50yUlHX4c6TxWKTARp69cG21bnS/lIos5LZP3qPEhpUtrCdlTxCf9Wl4uH&#10;Lk3J6di+nKZXPJNiml7FTC6rC1t+51bdDlDnqdO9+kyittXxq4Kmb1+C6fo5BEGOza9NvOtERW2n&#10;Hn/Q/tWPTW5LX14ihcCwYiohhJC+B4U4hmEYhgkQCnEMwzAMwzB9O5DeUP1CvjDGi7/c7Gz3AUrR&#10;yZZaPxkOpIMQN3D7HSKvbFjkGCzsIVJ33BEjwulV4UyhFMcwDMMwmR/cz8jf5dPvfbzHhDhUhsM2&#10;h9RMt2W4+d95wR6C3tktJgOCPwyR186A7OzqvW98VJtuQtzcLdud/csRL7/3sfFFaTysQ43CS8LR&#10;ZSw/dDFInRdGqPJq69cmnuikzktk/UH7wUuO8kKX2uR+q9NwbtTvZTUxCFRymlpdLqiwBXCcalt1&#10;njrdq88kalsIcOq+Aa8KaDg2fR9U1GFgQZBj82sT7zpRUdupxx+0f/XjUrcFKVXvIwmmmyrqEUII&#10;IRIKcQzDMAwTIBTiGIZhGIZh+m4gw+Vm5TS5L/zs4VKza53ZX0IFtXgyHEi1EFewvN6uBiePI29s&#10;jccQqS1thQ3N1c7h+YZSHMMwDMNkdlQhbsbpcykV4ux7CUpxGRP7D0acawd/OIJp+y9+3J5OQtzG&#10;u++P7J/Fsa/dZXxRGg/rsKIwtdGHl4yHLgap88IIVV5t/drEE53UeYms31RVT0eXt4IAUUxdB45D&#10;Fa7kfuCrnAY5Tx9uFOdKrjOosAXU9QJ1njrdq88kelu9vyB5+VU+wz7rcqBE3f8gx+bXBv9W56Gt&#10;uqyK2k49/qD9q/etvi30B85bsoYwJoQQ0nd49aP2GCGuVzhkFOIYhmGYZIZCHMMwDMMwTN+MLXzJ&#10;4aAs8JI2Ozs7x5kdWIYDqRLiio6dFQVTl7gvA0H+gi1GGa7o9gsNflXhTKEUxzAMwzCZG3U4+JQK&#10;cY++8Jl7L0EpLmPi3ic7w6YeePOThnQS4m5+5V33HnVp3Srji9J4WIcVhakNKn2pbSDvyKFCgS4X&#10;6WKQOi+sUBW2TTzRSZ0Xdv0Qk9RqXqjGpn6PthDA1HUFBeuW6wHoc/VYZJ+q09BGlxXV86ILW17H&#10;C9R2OCaveX7rAKa2+KpODyIMoj/0c6kOQxtERvNro6/btDzQ15FIBT71GgHqOdLBOvWft0SvKUII&#10;Ib0fCnEMwzAMEyAU4hiGYRiGYfpeUAUuUg3OfTnbikoYzuxQMhxIhRBXdEOjPSyqPAZUiCvcciJG&#10;hIMclz9t6V8htzmHFyqqFId+Ki4u/u/OLIZhGIZh0jjpIsRddeHtVlQZU+4nKMVlQKxz5g6bij8a&#10;wbCp6STEgYrBQ+39m3z5FOOL0nhYhxlFvDYmISqeXKTOS0SoCtNG3xcIRup8dV7Y9avyGaQldZlk&#10;gG2p21bFKHkcuoSltlGFMYnaFphkLL2Kmy6sqfO8+kxiaott6lKYfl680OUwOV3vB5OM5tdGn2fq&#10;O6BXq1PlNH0dOEZ9iFNTG3W+CVO1QFM7QgghhEIcwzAMwwQIhTiGYRiGYZi+FfXlsE1WTkNXZDjQ&#10;00LcwO13RA+ROqxSDDxwOkaGK7z58d9g+FTnODsSleIK+/cvU4eSZRiGYRgm/ZMqIW5Q5QR7m1KI&#10;s7CH3KQUl1nRhk1twLQDFz+xh01NFyFuZPUke//KS8uML0rjYR1SFKY26lCOEHog+WC6HOpRl516&#10;qxCnrtskP3UVvdqbitpO728JhlBV2wFd6IJgpp4/CF76+hLpM4lXW/284JrC9jEP28P3aKP2KcQw&#10;dd9UCRHLqOvTr7kgbdTrGqD6mxQG8VXfZ+yL3Gegr1+2kf2Hr3rfqrIh+gfbxHHK9WK7+jnDfLkM&#10;IYQQokIhjmEYhmEChEIcwzAMwzBM34j9Uk95EQtBLDc7e5sz204iMhzoKSHOHiK1dk1k/x3yJ84S&#10;A63pRZgfLcS1YojUKAGwC1IcwzAMwzCZFdznyHuA6fc+3uNCHL6qQhxCKS6zYp0v47Cp6SLEzVy3&#10;JXKPa/HWzz41viz1wzqkKExtdEEnHrp4pM5LVKgK2kaXmKScJFHnhV2/SYBSgWCF9hDTTJXY4gEZ&#10;zLRefT8hUZnamcQpU3U2P1RhS6LO9+oziV9bvdqbFPji9atEva70ZfRrLkgbvRJbPPShS4PutwTn&#10;Qb0u0D+mdiq6hEcIIYSoNL/5fowQN2Li1Mz/Y94eEOLGWfzRQv7SXWthykILtR2+ZxiGYTIsFOIY&#10;hmEYhmF6fyDD5WblNMkXZnipp1c8Kz6emAwHekKIgwwH+U0egz1E6vL6yDyJrAzX0LwPMpxzaNFV&#10;8SjFMQzDMEyfSG52dp38/Z9iIa7J2SU7uhT3v/7X//r/OLOYNIt1rqKGTT3gDJuaLkLcgvq9kftb&#10;i83XXW98WeqHdYhRmNpAyNFlJhVIO2q1rd4qxAFIXOp8P3SBKgh61TKg96epkhzOgdpGBaJdECnO&#10;VGEOqG26cv5MAhkEsSBimS7qxZPdgrbRh4s1gb4znUt9/RAVvfrZtA70j6mtBMskuwohIYSQ3gWF&#10;uMRzvYX6i/d5Cz3lFmobMM2CYRiGybBQiGMYhmEYhundgfw1QFa3sMCLV7zQc2bbsWW4k4nJcKC7&#10;hbiiGxpFXtkw94UfZLiBm090zncY+NXmjqKGFuPDH0pxDMMwDNO3ogpxU79+f48LcSVDRxiFOEST&#10;4m51JjNpFvwBiXuenMrKGDY1XYS4TXffH7m3dTh48qvGF6ZeqFIOZCxTGwApDkKRKsahPSQqzFOr&#10;lunijyp5mSqQqQRp69dGFZxMQlFX1h9PDDQRtlKcLruZjgHrVPcRmGQvFew71q1LWDgeHCPkLtNy&#10;IEifSeK1xX7K+UBeK/iKa0hdHseOaaZ90yU//ZoL2gagP3Ed6+cWfYXpXufQJNyhn3Hccrv4iu9N&#10;65DbNZ0TuS59GUIIIUSFQlziCSLEXbRQ29xpwTAMw2RgKMQxDMMwDMP03tgv8exqcO4L11ZUi3Nm&#10;23FluFvMslsQulOIG7j9DluAk8eQN6xSFB04HdXGluFua2krbDgXJfrpoRTHMAzDMH0nqszUk0Lc&#10;4Jrp9jYLi0o8hThESnGo4utMYtIsuG+W15A8Txg2NV2EuMOvvBu5r43sn/31B5/8zPjSlHQNiE3W&#10;6beB6KSLWhCwdKnKNIwp6R2YhDhTO0IIIaS7ePKlH1KISzDxhDh9PuS4/2nBMAzDZGAoxDEMwzAM&#10;w/TORMlfICunwVeGS0MhDkOiqjJcQe0ae+hUvV3Rbc2N6hCpfqEUxzBMH0+uxWkL9fnujy3WWjBM&#10;r4oqxE0+flePCXGVqze79y5+QhwCKY5CXHrHOkeRSsvWfSO+x7Cp6SjEDSops78e+9pdxpempGtY&#10;p97Fa3hRrwpopPdBIY4QQkiqoRCXePyEOH2o1D860xiGYZgMDYU4hmEYhmGY3hW7koUyDBde3skh&#10;ntTEyHBpJMRBeiuYusR9wQcgx6kSnNu2oTn0fWy0FJf907y8vH9yZjEM0/cyzeJmCzwDxbNO9dkn&#10;pmEe2vSWjLNQj1E91kwNzg+eaeMYIPepx4XvMR3CH2RApg9lQHZ2tfx9P3H/yR4T4qq27HTvXxY/&#10;84qvEIdY92qbnX8yaRjr/DTI82ndZ+fsbWvvly5C3C0WI0aOtvdtxszZYvLlU8S6zduML01J17Au&#10;BRdUiFOrv2F4S8hv6hCdwGu4TZL5UIgjhBCSakxC3NCqmmrr91JmJ4VCHKrA6Q8UFlr4BQ9Y8BeH&#10;6sMkrANDrOoPIPBwSbbxE+3wgMOvnbr/+DfDMAzjEwpxDMMwDMMwvSd4SYdhUeVLO8hwqI7izHZj&#10;lOHSRIiDDJc/cZb7IhkV4gZuPhErwqFd7eoPnUMKHUhxVl+1mfqHYZheHzznxHNDXYDzA8804z0L&#10;zYT0FiEOz5bxjDnMOQR4Bs3RTvpIcF8k7yeq6vf3mBB32a6D7n3MnFNN4qoLb7c6u8RkYNRKg/KP&#10;TA5e/KQ9XYS48Zddbu/bmNFjxVs/+1Rs2Had8aUp6RpZ/XNNv1M8mTZrrnE9pHdAIY4QQkiqoRCX&#10;eLyEOFVYA3jg4BU8VNBL75tQHyLhr/TUeV7r19erC3HqPMAwDMP4hEIcwzAMwzBM7wiG/hwgh3TC&#10;C7usnDa8CHZmu/GU4dJAiCu6oVHklQ1zXyLnDau0p8XIcMef+Q8pzUEAdA4tdKz++QfnnwzD9J3g&#10;WaL+R79h8HsmmgnpDUIcjiGsCKdy0YJSXB+I9Xu+n7ynGLvp+h4T4q44ebd7LzPzzgchxLU7u8Rk&#10;YNTryLrXbsS0g29+0pAuQlzNzDn2vkGIw8vRtp//NuaFKek6Z1/6QUwFOC8gw6FqnGk9pHdAIY4Q&#10;QkiqeeT5VgpxCcYkxOkPSuI9NMCDIbW9H1g3gr/qU6fjoYYp6sMOPLzSo64DMAzDMD6hEMcwDMMw&#10;DJP5QbWKSDW4yMs6SGJ4eefMduMrwwFFcgtDMoS4gZtO2NXg5DHkj62xq8DFyHC3NXcUNjRXq5Xw&#10;uiLFMQzTp4I/ztWfHSZCJleK6w1CXJA/xI5HplXEYxKMvD8aWju/x4Q4SHDyHmXSroMQ4jqc3WEy&#10;NO4fnVjXE74/8PqlunQR4mYuWW5fa+WlZe4L0o/+8EXUC1OSHCC5Hbj1dlE5cVKMHFc6eIhYvHKN&#10;LUqZliW9C12QVIfQJYQQQnoCkxA3vGpahfV7KbOTAiEO8psqoeHfXsOZIvpDFchx6vCoeGCkrg8P&#10;MGTwIEJdFsOjqlGHSwWoWqdHnQ8YhmEYn1CIYxiGYRiGyewMyMppkC9dnRd1DQnJcECR3MLQVSGu&#10;YP6Wzv23KKhd4yHDtbQVNpxzq95RimMYJkS8RLBEwPPTTE1vEOL0Z8iJ0huGwGXixLo/aMN9Qum4&#10;CT0mxC165hX3nqZy9WaxzJq2vLUt5t6MyZxY99eN8pzi+71t7f3SRYibf/VGe79UIY4QQgghhPRu&#10;KMQlHl2I0zFVZVOj/oWeV1t9+FUZ/a809SEI9MpzJjFP3X+TMMcwDMMooRDHMAzDMAyTmbGHb1Je&#10;zqFiRW52tvFZQcmJ5uq4MhxQJLcwJCrEFR09KwqmLnFfGqNCXOHy+hgRzpHhWssbWmNeJlOKYxgm&#10;QDDShfoHuibw3FH/41zIY3i+qC9LIS61SZYQp/6hNtNLI+8TCopKekyIA4XW9rDd4bMWUIjrBen/&#10;lex98n4zPzvbftF48OIn7ekkxAHTy1JCCMkUfvzZr8VP/3C+T/PxH/8Y0y+EEGKCQlziiVchDvg9&#10;9In3cMmEDB5OqdOxLjUQ7OS8eGIewzAMEyAU4hiGYRiGYTIv2dnZOaoIBhluQHZ2rTM7KoFlOKBI&#10;bmFIRIiDDJc/cZb7Ag8y3MDNJ4wyXPFtFxpMMpwMpTiGYeLEb4hNPH+EJOYXPLNU/8CXQlxqowpx&#10;eEaMc6OfQ8iN6rNkL5heHlTOlfcIPSnEDamZbm8TYpwjxGX+y6k+HNxnu/ea2dnbMO3gm580poMQ&#10;t+LanfZ+gbd+9qnxhSkhhGQCP/6sXfz6d3v7NJACTX1DCCE695x5NkaIG1lV446qkbFJgRCHBwx6&#10;5TbgNWyq3i4I6pCqehU4+ZeZ2J46ndXfGIZhkhAKcQzDMAzDMJkVVKUYkJXT7r6Uy8ppgyDnzI5K&#10;KBkOKJJbGMIKcUW7G0Ve2TD35V3esEpRtP+0QYQDFxqcw/ENpTiGYTziJYBJvJ5xmoJ1QaDTK8ll&#10;UnqDEIfn15Dd4g15GqQyINPLo1b2mv3USz0mxGGoVLndxc+8AiGuu97nMD0QuzKzcz5xTWHagdcv&#10;1VGII4SQ5EEhjkIcISQ4FOISj0mIQ9S/vFOn61HbBAEV6NTggZI6Xw6bqu9XmIdVDMMwjEcoxDEM&#10;wzAMw2RO7OoUdjW4TvELL+ic2VEJLcMBRXILQxghTpfh8sfW2NXi7PmaDFfU0BzqHtWV4qw+6p/V&#10;f64zmWGYvh39j29VMrXSG6Q2/LGw/rwWkhiq4fmJYskQ4iCaYRvYll6FDc964+1DT0at7GeC6eVR&#10;K3tN/fr9PSbETT95t3uvM/POB8XUg7e95uwSk6GR9+DW/WYTvt/b1t4vHYS4dTcdcq+1l9/72PjC&#10;lBBCMgEKcRTiCCHBoRCXeLyEOFRxU6eDtRZ61PlhHqSoUf9yD//GQxY8TJHT8KCFYRiGSUIoxDEM&#10;wzAMw2RGMDyTKsNZ/25IqgwHFMktDEGFuIHX3WEPjSqPoWDqkk4ZDkgR7pbn/1rccD6h5x5WPz3t&#10;NXwswzB9LnimKJ8n6shnjl0J/mBXF8KwXtMzU1P0Z57Ar/IZtqdLcF5gP0yV7LoqxOHY1Ge3fuBY&#10;Ul1NT3/WrcP08tiVdZ37jqr6/T0mxEGCk9udtOugmH7L3fa9m7NbTAYmNyunzT6nWTntzqQvHbz4&#10;cUeqhbgNe5IjxF36wxfio08/Ex/+6vfig1/+Vnxgff3wt38UH//+z8b2hBCSbCjEUYgjhATn9vsf&#10;pRCXYLyEOESfh4cf6nCniD4/keh/uadvl8OlMgzDJCkU4hiGYRiGYdI/eIEqX3RBioMc58yKScIy&#10;HFAktzAEEeIK1+yPluFq10TLcAAy3LGzomDqYmEdI4cWYximq9FHolCRo1J0JZDDTOsO+kwU4ptp&#10;eZOc5tU2Hvqz20SFOMh7qPxmWjYeyejrREMhro9HHepyaO38HhPiMEyq3O7wWQvEkmed7ynFZWxQ&#10;Gc45hx3OpC8deOOTtlQLcWu373Kvta4IcR/+6nfiRx//i3j7vQ9E27vvibfee1+880m7+PAXvxWX&#10;fvcn4zKEEJJMKMRRiCOEBIdCXOLxE+Lw4EP/q0f9YYn+V414yBI2+GtHdR36Xx36DZeq7j/FOYZh&#10;mDihEMcwDMMwDJO+sV/iZuU0ypdceAHnV/2s+Pj5ioRlOKBIbmGIJ8QVLquPluHmbzG2K7r1/J/z&#10;J85y21GKYximi/EbLjMZlctMI2pIgqzfSzDTK8z5iX3x0J/NJirEJSrDSVI1hKrfNRDvmJlekoLC&#10;os/s+4+ikh4T4pZZDKqcYN/PFFrbXd76tv3VvsehFJeRwXmT96iySvPBNz9pSLUQt3z9Zvfe2fSy&#10;1MSlz/4iLv32c/HBLz4Vb3/wkbj4w9fFa60XxCvPPS1eOvuEeKnpO9bXx8XLzz4tfvBiq3jnR++L&#10;D37+qbj0u8/tZU3rJISQrkIhjkIcISQ4JiGuvGqmcSSRjEqKhTjE9NBEfUij/2UkZDY88FCHIMA6&#10;8DACcp3+gEdGF+8kmO4XvT3DMAzjEwpxDMMwDMMw6Rm8aHMrUYDuluGAIrmFwU+Ig/wmjwFSHCrF&#10;mdoV3drcUdTQUqsObQYoxTEM04Xguab+rFDS1eFSZby2AYHML9i+aTmg7hv+rf+xcBiSIcR5VcIL&#10;A44hWX0eJl7PmAGegzN9IGXjJpyV9xU9KcRVru4UlRY89oKomHj5R/J7SnGZF1RolucP96uYtv/i&#10;pX2pFuKumDXXvc5ML0tNfPTbDvFe+8/FD1/5vmhuvFM8eeh6ceaGzeKJG7eIx3dtsNgoHt+5Xjxm&#10;8eTBHeK7D3xbvP7qq+LdH7fby5rWSQghXYVCHIU4QkhwKMQlnnhCHKL/RSAeaMjy+3iwoVeJ88Pr&#10;wYPXg5Z4Vd/09gzDMIxPKMQxDMMwDMOkX7Kzs3MGZOW0y5dbuVk5bZjmzI5J4ZFzOSUnmtuNklsY&#10;FMktDCYhDsOhFkxd4r6g85Phim9tbi9sOOceH6U4hmGSFC+RLN4f3IaJ31CmfgKYV9U3XaTTn9Wq&#10;4LmtOpIG/o326nF3VYjzE/LwDFithIfnw/r2VbyeA3dXvI5Vog8ny/TSDCgsOirvKa689/EeE+Km&#10;n7zbvZeZtOugWPz093bhnk5OoxSXWcEfprjnLju7GtMOvPFRbaqFuIEFA+19GjN6rPFlqYn3f/Zr&#10;8cbFi+LCw43i0WvqxH3zxosH51eJe+dUisa5421OWdMeXlgtvj2vWjxx01bx4qMPiosXfyg++NXv&#10;jeskhJCuYhLi3r90vfjHfv9g37u1tK6LmZ/JbNlWaR8XvsppFOIIIUE5+o3GGCEO96cZnzQR4kwP&#10;Qu60kMHDl6BSnFe5fK8hB/yGS0X09gzDMIxPKMQxDMMwDMOkV2wZLFqGa5XDMplS3tDar+RkS5uF&#10;WXILgyK5hUEX4kwy3MBNJ6IlONn21pY2VYaToRTHMEwSoj8nlPhVQwsbP2HMb5hQPEsNsozXuv0q&#10;0GGfsH4sq0t5YYU4rz9axrNffd0yXttIpogYJDgm034A9Vk208ujikxV9ft7TIhb/Mwr7n3MiFkL&#10;MK3JqQBMKS4Do15H8r700OuXKlItxMl9Gj5kmPFlqYm33/9QtD76oGg6VC/uX36FOL1ogviOxUML&#10;qiyqbR5ZOEE8vuQycf/8KnF68xLx3NePi1ebz4n3fvor4zqTyYW33hPrrt0hSgcPcT+3/7FfP7F4&#10;5RrxyHPNxmVM/PDHv7DXI9dx9qUfGNuFxWv/ps2aKxruOWVchqQenB+cK5w303ySekxC3LET0+3z&#10;lpPzP2LmgdcubrGFsvKKf1Z+Hv9BLK8bJp58eoVxGZW77p4jZtSWuNIdwLqwXch4pmV00A7rqZ4w&#10;wF2HXA/2A/toWg6Cn2wr21CII4QEhUJc4sEDC/VBi9eQpng4o7YzPTRBGzyc0R/coC0qvWFbftEf&#10;WgR5aKIKffGqyTEMw/T5UIhjGIZhGIZJnyQiwxWfbGm1Zbg0EeIgw+VPnOW+nLNluOvuiBHh7La3&#10;trThGJzDiYnTHx1uf1CKYxgmXNTniipe8lei8ZLb/LbjJbqpkplXFTngJaPFS1ghzuuPnuP90bL+&#10;XFfSU1XZ/PoOfc/qcH0ouJeS9xIjFq3oMSEODKqcYG+3sKgE33fI/aEUl3lR/1gDw6di2t629n6p&#10;FOK++ubHkWvI4fEXXjS+MNW5+Mor4uzh3eLBVbPEvfMniEa7Mlyl+PacceLeueNtUCUOMty354wX&#10;D62eI57Yc41o/c6D4kf/8lPjOpOFKrB5EUQ6+9ajT9iSmrpcGJnOiyD7l9U/N2nyHUke6jkyzSep&#10;xyTEQYTDOYOgps+TFdb8gKimLwcgo8l1ewGhLZ4UF2Q9N+6ZZFwWSJFPVomjEEcICcqeW++kENcL&#10;AqFO/aVBwY1hGCbJoRDHMAzDMAyTHtHlL7wcjVsZ7kRzkyvDpYEQZ8twY2vcl3J5wypF0f7TXjJc&#10;q58MJxPVL/g6YECeM4thGCZe1OeKKskW4rwkM2ASr4IOl4pnoaZ2XaluFkaIg3RnagtJLl70UUgk&#10;8f5AOhlBn3sJh8DrD8CZXpzC0kFf4F6ioKikR4W4ytWb3fui2rseFMtb2+yquJTiMi/WOcuR56v/&#10;V7Lt56ipFuLu+eDndmU49zqyiCfFffTbP4qXnzkrHr12hfj2bEeAm1Np820FOXzqty1OLakRpzcv&#10;Fefv+bp499InxvUmA0hkVrfaVE6cZItvkNggt+F7OQ94CWeoCicrgel0VYhDhTq5Lsh2kOOwTrmP&#10;6nzsr2kdJHXEqxAn5+M8muaT7kcX4h54eLH7M6WLaWp1NVRmg/iGinBYRq/UZhpqFVXhMA+V4SCj&#10;YVkAeU2tFod2+rISrFe2xVdIe2o1OKwP68Y+qcupyAp4WB7fU4gjhARFF+Iqp83+D+vzJPPTx4Q4&#10;/S8J8bCIYRiGSWIoxDEMwzAMw6Q+A7KzqxOQ4RqjZLgUC3FFR87aApw8BluGO3rWKMMV39rcFESG&#10;k4lIcdk/xVBVziSGYZggUZ8rqiRbiEMwsoVpWyb5KuhwqV5V1vR2YRJGiAtbTU6N/ofOkp6Q0byq&#10;2gG/oWaZXpwhV857S96jzDx9rseEOHXY1DFLVkKIsyuLIZTiMis4X/JcSSEOOfjGxx2pEuLu++gX&#10;Yszose41JjFJcZc++0J88Kvfibd/9J5oue9b4sG1c8X988eLU5DeNBlOcq9dNS4ix9131VTxzK03&#10;i7b3PohZd7KAzIbqal7imiq6eUlLalU4tFErunVFiNux75C7HghV2FdTOwyniv2kEJd5SOmS5y51&#10;6EIchhvFOYHgpk4HEORQmc1rWFQpvAGsR58PUQ2YKsCpsh3wGvJUVneDzGaS7oKAdcvtQJyjEEcI&#10;CQqFuMwP/pLP/SVggb/qYxiGYZIcCnEMwzAMwzCpDYYB1WU4Z5ZnIMOV6jJcCoU4XYZDlTgvGa5o&#10;/6MPhpHhZIqLi/+780+GYZigUZ8tqnSHEOdVEc1UTS3IcKmIl2TXlSprYSQ3L6mtK6CfujNesiFA&#10;fyY61CyT4Rm1bM0ReZ9SVb+/x4Q4UDJ0hL1dZ9jUJmeX7OhSXN6Xc6qcWUyaRRXi1Pv1A29+0pYq&#10;Ie7u77dF9seibtXV7r/BDz75WdRL00u//7N49+Mfi9daL4jnbj8mHqi7Ujy0oFrcNw/DosbKcJJ7&#10;Zo8TD8yvtivFPXmoXrzx+utR6+1JILRZXW7jJS1hHkQ4iGn4XhXZEhXisC4p2uGrlwynwiFTMw8K&#10;calHF+Jk9TXTcKnxgCgnf/ZNQl081CpzJulOrV7nNSxrUKRYB3GPQhwhJCjbDx6PEuImz178r9Zn&#10;SeanDwlx+GtB95eJRVeGAmAYhmE8QiGOYRiGYRgmddFlOLXahFdKjr+wDTJcughxxUfOivyJs9yX&#10;b34yXOGynXiB2IGKb87hMAzDdGfUZ4sqQYb8DBv9j3tV1GFTyy1MbUyVy0ztQE8JcV6SX1foTiHO&#10;T4aDhIi+Z/popn7zkenyXmXEohU9KsSpw6bOvOO+L5xdcqNKcfjqTGbSLOkoxJ184px7bd1x6iG7&#10;Mpz8/tjX7op6aXrpd5+LN99+R3zvie+Is0duFKeumhJYiHtwQZVonFspHt+1QXz/mafEu5d+LD74&#10;9LOo9fcUVpfbeElLUoSTJEOIU9eBYVxNbUjmQyEu9ahCnCq0JVp9TS6fiBCHoVPl8iYhTlagQ5U6&#10;fV5YUKkO64IASCGOEBIUCnEh85vf7M35xW/2VqcL//AP/8evrN1yf9lMmVZ0wNROBceAY2EYhmGC&#10;h0IcwzAMwzBMaqIPkwo5zpnlGVWGSwchTpfh/IZJLVh75EXZjlIcwzA9FK9KbKA7AqnMtK2bLWTw&#10;b1Mb0zCopnYgk4W4rgz36hf9j6t1utJnTC/IzNa2fsVDIpXaCopKelSIMwybGnPPp0px1r/5niMN&#10;4y3EfdyaKiHu4N2N7rV135mz9stRKcXFCHG/7RAXL74hLjx8n3hi/3Z7CNQH5leJU/O8h0yV3G+1&#10;gRB3eusy8ULjneIHL78sftT+86j19wSoumZ1uU1QaSkZQhyGSJXrCFIdzg/sAyrYYWhYuU5UncMw&#10;q377JyvUycpzB269PWq/0B/fevQJtz32E8eubgfb8Kpch/XJNvge7bCfcrtYD75Xjx/7qw5jizbY&#10;ppyvI9eFbZnmA7k+uR+meXJ5r+17nSPTutVrygscN9rK/Tftm4q85tDeNF+ibtuvT4CU9dRt4/gx&#10;JLCcJ8F20c7retLPNa4beZ3gq3odoQ2mJ9rnQL+WAPbZJJeqQpwqpKnyWFDUYU8TEeLUIVdNQpys&#10;XgeZTZ8XFrXa3NPfa4npF0IIMaELcZNmL/qr9TmS+ekuIe5Xn+7dZvoQThXyFwnALyrTGN46OAb7&#10;YBiGYZjAoRDHMAzDMAzT84EMpspwgSrDnWiutuhIFyEujAw3sOEF+//rOE7ZnlIcwzA9EC9BDXRH&#10;tTCvIUYxVKeMaRhUiHumoTz1dpJMFeKwje4YsjTe0K7dJeExGZZRy67+k7wPmXn6+R4T4oA6bGqd&#10;NmyqjJTicrOz+Z4jDZOOQtyNt3wtsj8WL7/3sfuCFFIcKsapL00//v2fxNvvvi9eOvuEOHvsJnFq&#10;2TR7KNRTcwMIcY4499CGheLZrx4V33/2rHjno0+i198DQKCxutwGIpCpjY6Uk4CXIBQPuXxQCc8L&#10;SEFyXV5I+UpHzoespIpwOugjCEhScNKBlIT5+vplP0lRSV9Ogm1DfkL/m+aDeMeAbZnmAyl3mfpa&#10;zsPyfn0p99FreXXdYYQ4dZt+AlhQcQ7I84R9Ns0HJnEuyH4Dk3QW71yr56erfY7r1dReou+fKsTJ&#10;IUsTkdkAhjGV20lEWkPlN7m87iiosl1Xh0sF6vpu+1a0zEwIIV6s37kvSoibvnjF59bnSOanrwhx&#10;iUAhjmEYJnwoxDEMwzAMw/RsEpHhio+fr9BluFQKcUYZzpqmi3BFtzZ3FDecj3p+QSmOYZgejFc1&#10;NoCKYt0Rr6p0EPC8hkvFUJ+mmNqCVAtxprapitfxSCjDMW6qdh26IO9BquoP9KgQN35N57CpNftP&#10;eFZvcKS4W51vmTQKKvfJc6jev6dSiFuzcZt7XekvSd/4ya+ivr/02Rfig1/8VrS99bY4f88d4v66&#10;GeLhBRPiDpkKbCFu7njx4Lp54pkT+8T3mr4j3nn/o6j19wRSzgEmqcuElH9AIkIclpHLe4leQVAF&#10;MkhQEJuwboB/qwKbSfaT86RsBQEJMhGWV9eN+bIN+gtCEtqoVb1UIUwi+0kuC7BeLIvtYHtyutxX&#10;tMVyso26LKbp25DzVOFKR55j0z7KeXI7+vbVfTRtw2/dQeZjO3L9UkzTUQUwtdKaF7Lfgdc1rZ5f&#10;KZ1haGAcP65JbEeV0dRzga9yukRu09SPOC51v7va53I5tFOHM8Y2sG6sQ22vCnGycA4qtakuQFCk&#10;UAfCDrmqDtdq2r46H/+GFId2arEfCHUQ8V67uCVmeRNyuev33hjVJ4QQ4oUuxF2xcPln1udI5odC&#10;nDcU4hiGYcKHQhzDMAzDMEzPRZfh1OoSXilvaO1XerKlTZfhQCqEOE8ZDvM0Ga6ooaXWOYyoUIpj&#10;GKaHMs3CfcGkoVZtS2Ygt5m2h+legh7205SLFqb2XZG8wghxXv2XLkIcBEO/YXEpwzFRmf7A2Q3y&#10;/mNo7YIeFeKWPNs5bOqQmunGYVNlIMUVFhb+f51vmTSJfR/vnMN0EeJmzZln78/ky6cYX5Sa+ODn&#10;n4oXHz8tHlq3QDw4v1rcF3fI1PG2NNdofX1kwwLxbMMh8fLTTeLdDz8xrr+7UGUkL2HJhCocYR2m&#10;Nn6o2zUJP0GACCTXATHIVEkL01QpTpWHgJwOIEHp69Crd5nkPSk3AX15tZ8gMel9pR6DbKMLXGpf&#10;+Ul9fv0o99F0jtX91wUrgGNSBSx1HvBbd5D5IF5FN3kesB+m+Tpqv5r6DMhtBqk4J4FoJtern0v9&#10;XPvJpV3pc/V60PfBC1WIk8ti6FTVBQiCKqwlUmFOlelMw6Wq61clOBOYH0TIk+upnFht7BtCCNGh&#10;EBcyFOIYhmH6ZijEMQzDMAzD9EwSleFKTjQ3mWQ40NNCHGS4gilL3Be6kOGK952OyHAggAwnEyPF&#10;ffnL/48zi2EYJpnpaWHKqwoc9sNruFSvQDzT2wOvinJBEkaI8zuWVAf75nduu6sCIJPBmdna1m/E&#10;ohXufUytHDa1pfuFuOWtb4sxS1a625734FPnnd0yJi8v7/90/smkSQZkZ1fL85ebne2+n0uVEHfH&#10;ez8TY0aPtfcHYpzpRamJS7//k/j+s8+I09uW2VXfILthONRGj6FT75ldaYtzGF71kS1XiZZTd4uL&#10;r74iftT+S+P6uwNVFoN8o0s5fqSDEKdW+PLbB7W6mF6BTE73kqLU/fRqE1SS8hKkVDnKq408Tyap&#10;TC7bVSEO29CFPokqBurz/NYdZD6I109SDvOS20zI7ZokOmxDbi9IxTmJej34nWu9QpuO3LdE+lyV&#10;/bwq6ulIIU4dQjSsEIfhTeVwp5DMglZokxw7Md3dttdQq7oQt7xuWJQ4h21iv2Ub7I+6vAkp4VGI&#10;I4QEZfnm7VFC3KxlV//G+hzJ/FCI84ZCHMMwTPhQiGMYhmEYhun+OMNftcmXaEFkOKTkRHOjSYST&#10;9KQQFyPDlQ2zZTh7nsSW4VraChvO5TiH4BspxeVmZ/P/8wzDdFe8KrYBCFUQq4IGbVG1DUOJ+sUk&#10;vnnhJ7d5DVmK/f6fFokkjBCHmNqCVFZfw7F7Vc8DXREGmV6eiTcd+6u8l6mWw6a29IwQV3vXg+59&#10;FOS45a1tge6XmPQIJDh5/gZkZ7t/+HHgzU/aUiHE3fbiRfd62r57j/FFqRevtV4QZ27cIk4tmSzu&#10;nVNpy3B+QtxDCyaI++dVicd3rhfff+6s+NHH/yI+/PSPxnV3B+pwn/EEHh1V/vGT0bxQxaIwkpOK&#10;KhWZ5qvIbelSm5zuJ5PFaxNUklKnqwRp4yeVyWX9jsFveb95Er99jLd8kPX7VXRThUO/qms66nK6&#10;9Ba24pykq+daEqRPgvQ5wLHE6xcpxKnCWVghDkOXymUxlKmpjReqiFde8c+2XGdqp+7fAw8vNrYB&#10;EOVkO1WYM0EhjhASFl2Im3nVml9YnyOZHwpx3lCIYxiGCR8KcQzDMAzDMN0bR4Zrcl+gBZXhjr+w&#10;zSTBqfSkEOclwwEpxEGGQ1U75xACxeofDpfKMEx3JtfCfRllAPJaECkOFcdkRbJ4Q4airb4dL7yG&#10;S0WwX6ZlQDzpS+6vfmxhhbjTFqb2YWXCZMarch6gDMf4ZtaZlofk/UzF5dN7VIgDJUNH2NsuLCqB&#10;EMf3GRkU/AGHvHZQLc6Z/KWDb3zSngohbu99p519yRH3nTlrfFHqxZtvvSma7/maOHPDBvHQmjni&#10;1MLLxL2zK+2KcaBxjvXveePF/fOrIt/Ptb5fOkWcPXqT+OGrr4oPP/3MuN7uQK0+lYiQpso6uhgU&#10;BFWA8pOC/PCrmqbjtS053U8mi9eGQpz/8kHWD6SgqQuOcrrXcKp+yMpyuN5N072ufZxHLCP33UQq&#10;hThUldP3Df2GinGminNdFeJUAc2rupsXkOHksKXxKsup++cnuqntUHnO1EZCIY4QEpZ5qzZQiAsT&#10;CnEMwzB9MxTiGIZhGIZhujcDsnIa5csqVImDIOfM8kzx8fN1JgFOp6eEuCgZrqBYFO9qjJoPGW5g&#10;/T0dYWU4hmGYHopXpTUViFSQ09TKaxC+IJbpFd/iCXHxJDwJpLJ48as2B1lNldKwXX1/8b2asEIc&#10;+sTUHmD/b7YwiXHYDpbFfFnNLRkCHdah70dXwDEkWm2PycDMO39xX8ywqS09J8RN2nXQ3XbN/hN/&#10;dXaLyYCoQpx1P+9W9zv4xscdqRDi1t10yL2WXn7vY+OLUi/e/9kv7WFPv/vIfaJp/3bx4JrZ4t55&#10;VeKB+VXioQXV4gHr3w9aX08vmmBPO7X4cnH6mlWi+dRd4p0Pwm2rK6iVs3RRKCiqrJOIEAeklBS2&#10;SpdELh9PtAJyX/W2crqfTBavDYU4/+WDrB+YKrpB7pLTgg4PqqKKn1IUU4fQNVVWU5fxI5VCnAT7&#10;oO8vxDj9uLoixKEanFwGYpypjReoBIeKcFgWMhzkOFM7ibp/flXowhwHhThCSFh0IW7uivUfWp8j&#10;mR8Kcd5QiGMYhgkfCnEMwzAMwzDdF/XFWQgZrqLkRHOHSYDT6QkhrnBZvfuyzSTDRdrstOdZx9jq&#10;HAbDMEy6xW+IzbDEE+IQr8pqKkGqmfkJaUHQh3cNK8QhfhXZwhBvqNkg8dr/roB1Mn0kM1vb+l22&#10;/6R7b2MPm9rSc0LckmdfcbftVIlL6nsepvuiVnx2Jtk5qMlwPSXEzV68zN6X8tIy40tSPy797k/i&#10;/Z/9Wrzx+g9F86lviicPXC9Ob1kqHlwxQzQuniwaF00S9y64THx7frU4tWya+M72q8Wztx8Vrzz/&#10;jLXcb4zrTDaqdKQPHxoGVdZJVIjrypCtQEpFYYZM1SuCyel+Mlm8NhTi/JcPsn6JXtFNvV5Nlc/i&#10;ATFMLi+vMSmQmSrOqceJ61M/n10915IgfRJmfegbtb1+bIkKcaoMhyFTTW28UGU4EE+GA6geJ9v7&#10;7R8rxBFCuhMKcSFjEuLkBzVsaH1eKsEvJ7lfaslSCnFu5AM3fO3rwV944uEi/toTfSL/cpVhGCcU&#10;4hiGYRiGYbonUcMqZeV05AcYGrTwyLmcoDIc6G4hTpfhiq69I6ZN0S3N+yDCyXaU4hiGSdPgGVGy&#10;pLggYtdCC9OyKn7DparBsy3T8kFIhhCHqmzy2VpXoBDHpEVmP/m9z+V9S+m4CT0qxIHxaza791eT&#10;6w/0jhdXfSDW/Xy7c6/b5kz60t7XPsxJlRBXMCDPvoaW1q0yviSNy+//LN776S/FGxffEN9/7hnR&#10;evp+8fxdDeLssZvEEzduEmd2bRRN+64TzzTcLC48fEq89uJ3xdsfXBKXfvu5eX1JRJWLIMwkIhhJ&#10;VPlGF4OCospFkNqC7A+GWpX/VitjqdN11OPWxTs5HcejTleJ16arklSQNn4ClVxWSmQmcL69lu+q&#10;nBVv+SDrl0BYlNvB9SCX7Yq8KY9dXvNSujNVnJPb04UySVfPtSRIn4RZn8RrGSnEATk/nhCnynAQ&#10;2+AQmNqZ0GU4v2pvOjk5/8Pdpmk+wL7LdccT7eRwrRTiCCFBmbawLkqIW7hm8+vW50jmpyeFOFjU&#10;1izf0qL45SCtZQm+D/JLAzIb1i1/aQD8G9P8xuYGpn2jEOdG/tVmkL9W7e3xetDZ1wIJEMeNITOS&#10;MQyElC7Rv0yGh0IcwzAMwzBM8jMgO7saEpz9stP+ml3rzPIMhhstPdnSqktvfnSnEAf5DRIcjsGW&#10;4TaeiJpffEtzR/HJ8+6zCUpxDMNkQPBMJEjlNj/wvC3osxU/iQzzgqYrMp8ueyUixCHJkOL04VsT&#10;CYU4psuZ98KbrSMWrXSlNDlsak8JcUtjq8S5w28y6Rt5zqx7+0Zn0pcOXvykOhVC3K6mF9xraMv2&#10;ncaXpPH4xOKjz74Qlyw+/PQz8e6//FS8+VabeOX8s6L5vm+K5sY7xfee+I74wUvfE29/8JH4wGpj&#10;Wk+ySaYMB1TxRheDwiDFIADpyWu/MF1WlJPTVDnJSyzCcpDt0AYilL5+uTyOR52uEq9NVyWpIG38&#10;BCopfJmOT+03r+X91i3x28d4y8v5XpKZCsRGuR11m3II1URQr311nXpfgXjHAolOLp+OQpx6rOp0&#10;kxDnV/EtVTIc2LKt0ndZCHBScoP7oM/Xketaf82WqD4hhBAvKMSFjC7EqeU+TdYyflHoIpyO3y8f&#10;/HKQvwi88Pvl88DDi912chsU4txQiItE/Utc+ReoeIAY9K9ve1PkNQGS8ZBPrgswGR4KcQzDMAzD&#10;MMkNhkVF5Qj5kio3OzvQ/99LTjQ3mqQ3P7pLiMOwqFKGAwPX7I+R4YpOtsRIfpTiGIbJkODZSFjB&#10;DH9kiGdNYQIBzLQukMgIBni+ZVqXCchrJgEt10I/drQNUr0Nz9W6Uq0O2+5quiIHmsCxJ2O/mAzK&#10;/Bfe2Hb58bvc+5xxm+t7VIirs1CrxE3ctvtlZ9eYNA0qPcvzNSArp8GZ/KX9P/x4WyqEuGUHj7vX&#10;z5gxY8VbP/vU+KI0LB/+6g+i7f0PxWsvvShe/96Lou2tNvHuJz8RH/22I6rdpc/+YqNOSwbqsJGQ&#10;piAXQebxwlRtDetQ26jV2SAJqfP0Zf3AtmTFLrl/qBIm14V9xbZkG314VCkWyXnqvmA96rr16nBA&#10;zoN8pM+TxGuDbck2+Lc6L4jUFKSNn0ClLo8+wHFiP9AX6vF7Le+3bonfPsZbXr1WsB7sG/bRVKEN&#10;qIKf/GpqFxSIb3L7cp1eFef061pKc7j+1XkgkXMt6UqfY7/QR+hD9WcVPyvy+PT1qkKcdBC8KrDB&#10;XZDbhW8AbwAj33mhF+KRhXcAiu+YllFRlwVYn+o5QJCTbVEZTp2HfdOXV1GP5eAtx6L6hBBCvNCF&#10;uLkr1/eO/1P0lBAnzWavXzTqLwr8UpK/aCCxqUa1ydzWf0nhF4P8JaEa1cAk40nkLxM57jaFODcU&#10;4iKRD+jC/MVtJkb+da7fQ1lWiAsW/LWzvGbw7z4RCnEMwzAMwzDJTf+vZO8zvTDzS8nxF7aVnjBL&#10;b350hxBXvO+0yCsb5r5kK5y5JpAMJ0MpjmGYDAr+7w8RDM/Q8MwEzwQkeDaA6Zif6DMCPINR16mS&#10;6Dohb0F0w77JZ0ISTMPzsO7+Y1C5D3g+ZJLTZN/J/sP+JON5FMMkJTNb2/rNb35LFA8ZYd+vFBSV&#10;9LgQxypxmRVUe5bnS638fPDNTxpTIcTNWLXevX7A5MunJEWK++gPX4iPPv2DeO+nvxLv//SX4oNf&#10;/c6W4S5Z003tk40q1gTBJAuZ2nmhi0LxgNQjJSg/IHtBTFKXhbAUZFmTDAfkfPSRaT6I1wbHK9sk&#10;IkkFaeMnUMXrA4hccihS0/J+65b47WO85dX+UfGS0nCu1HbYd1O7MOgym1fFOV3Q1EE/y75OlRCn&#10;TjeB/dd/TlQhTvUF5DQVdTjSIOi+gqmNHyZfAU6Eqa2KX/Efibqep7/XEtUnhBDixYQr50YJcYvX&#10;XXPe+hzJ/PSUECeHMTWNzQ1xDfOAaThVvcyo/ktCWt0Q2uL9AvErhYpto42U9ijEucHDJvQNvvbl&#10;9JV+kD8vQf6Sl/GPOuxGnxkug0IcwzAMwzBM8mIPlSpfTmXltKNanDPLMyUnmqtLjjd3pIMQV3zk&#10;rMgbVum+XNNluJJbmtsLG87FfWGrSnEDsrI2OpMZhmH6WrwqxEEYYxgmhZnX/Gb7uE317j3PZftP&#10;9qgQB8YsWeVuf/zVW3rHEEe9NBgmVZ4r6/7evRc+8MbHrakQ4oaOGG3vS8WgcvcaSpYUl0pQUcrq&#10;1sCYRCU/SUhHl3GCAhEK25ZDnAJsF9O8hDYJ5kMuUvcT4hJEKFPFO4ls71WtDMRrg+OV29SPXfY9&#10;1qFOVwnSBn2ANl4SGaQ4iFJq36GtlLbkNkzLx1s38NvHIMtDQFOlPfxbF8okOBbZ5yDR60lFlfL8&#10;+hngesF1o/Yl9ldeg/J4EznXkq70OfoH80zXO+RBzFfbA1WIU0eKg5cgp0tQLEfOD4LuG6gV3ILg&#10;VcAH0+ErqOuDYwGhT69K54WU/7COH3/265h+IYQQE7oQN2/1prPWZ0nmpyeEOHx4W5M8P+CliAa8&#10;hkRVf1Hhg1xOV4diVafrqEJdkG1gvRTi3FCIi4RCHBM2FOIYhmEYhmGYLiVKBMvOrnYme6bwyLkc&#10;V4ZLsRBXfPisyJ84y32pVjBliS3IdcpwLW1BZDgZuy+ychqCSIEMwzC9NF5De6KKG8MwKcy882/U&#10;zX3qZfe+p3TchB4X4pY++6ooGRqpUocqcWM3XNtnnkdmWvCHLjhP1v1tmzPpS3vb2vsdvPhxR08L&#10;cbuaXnCv2+2794h1m7e530OKe+eXvzO+NCWEJB9ZQQ1Smml+WFTJDrKbqU1vRhXi4AagH4CpeE9v&#10;QjoRkPYoxBFCgkIhLmRUIU6WGYWJrH4gS6Tl7Fe9Dch2qAgnp6nGtpdNDdR2JvMbqL8M0Z5CnBsK&#10;cZFQiGPChkIcwzAMwzAMk3DUoZRys3KanMmeKW9o7Vd6oqXNleFSLMRBgJP7jypxqgxXfEtLK/bX&#10;2XWGYRgmfsot5DMGne4e0pRhmDjBsKkLmt8SIxetdO9/Zp1+vkeFuLrWd8TUg7e626+YcPlvnd1j&#10;0ij52dkV8hzhjz2cyV868MZHtQff+ET0tBC37OBx95q578xZ+4WoKsUdue2OmBemhJDkgwpt1keB&#10;TTKGSwXqMKxew6X2ZlQhDsBDQF/IkeJ6I2ohIYygRyGOEBIUVYYDFOLiRBXi5JCmqsgmUT+Y4xnZ&#10;cj1ATlOry6ltddRhWf22o1rTAYU4OVTBafu7L30p1wJ/lYmhCjAdX/E9ppsil/cb2kB94IV/q5Hz&#10;5PL/0+Jmix9byOnYN3U5r33EsqboIhjEHqwT09TlvY5RRm5X7hvAv4P0j+xfPOCTy+Nr2Ad+2A76&#10;R/+LWhzbQgs9aK+2M6GfE1NM5wnCmbof+LdpH2QwD32l73sy+tBryI14yOMxRV4n6nWG701imLye&#10;5D6qkfOwj4hpvX7Hj77GslhGHrcEfYnz4HXte21bLo/1mZZX23ih7y/Og7qcX3+ldSjEMQzDMAzD&#10;dD2ogoaKEc6Lsg68OHNmeabkRHNTlAyXQiGu8KrOIcPyyoaJ4n2nXRlu4Jr9Iq9i5AZntxmGYZhg&#10;wbMP9bmC+vyAYZg0yPzmtxpn3HvGvQcauXhljwtxKywGVU5w96Fk1LiTzu4xaZLc7Ow6eX7wBzDO&#10;5C/tv3hpXyqEuEnzl9r7Ul5aFjVEqpTipCRHCOle5FChIBnDpQI5RGmQ4Ux7I7oQB0FM9nHQ4Ucz&#10;DVkgCEWGUAiIQhwhJCiqDAfmr9xwyvo8yfz0hBBnfWtjEtFUUQ1DlurzVaS5DeQ0KcnFs7nVYVv9&#10;hDi5DYzHHVCIgwyDZaRQ5W5HAw+nTOKUXB54BUKMbKPLMeo8rF9KQjpy+9hHrzaQg0xikCrEqfur&#10;43WMiF/fSEwyWLz+xfygCbIPeh8kS4jTz5MuZqngAaeeIMJavGvMrw8TFeKAKZAOTW0l+rlWrzE9&#10;ch7202+9XscfRE6Ld+1j214PnoG+fFghLl5/ecl+aRkKcQzDMAzDMF1P1IsypXKEV0qOv7AtRoZL&#10;kRAXJcMVFIviXY2uDFe4fPffMQ3zcIzO7jMMwzDx4/U8z/QciWGYFGTB+TfqUCWuWBm2dO7Zl3tc&#10;iFv0WLN7L1Y0aLD1Nf6w+0zPBZWf5fnJzs7OcSZ/6eDFT9p7Woi7+ZV33Wtlad2qmBej23bsipLk&#10;CCHdB4ZJtT4KkjZcqlpxri8Olwp0IQ7I0eggjunzegOy8A8KCuF7CnGEkKCoMhyYsXT1N6zPk8xP&#10;dwtxqohm+uUCCU7O9xrKVCKHXgVymvxgN1Wf05HL+glx6jZCCnHqQyk8iIIApVd8Msk+cnnglaBC&#10;nNwHbBPb1revSljqPkLmkdOxP3qkFCTBdtDOdIzYhh60kfOxXVVawr/V9evij96/6rYhcWHdQaLu&#10;A9YBAQnrAJCz1H1Af5gi25jOY7xgO+r25XqwbXkscjrQhTF8j76V+y0DCUu9hnAu9ITtQ7kutPGK&#10;uk09qlyHfcb32Ba2I/sQ+6DGr2/VZeRX2Q9YZ7zrD9cczin2Q732cK2py2K+HtO2Zd/hnMT72UE7&#10;OR//NgX7JNtgX6VYh6/yvFOIYxiGYRiG6UPRq8OpL8pMKT5+vq7keHNHOghxRRtP2BIc9h1f8b2U&#10;4Ypuad5nDxFlHZN88UYpjmEYJlDwfEA+O9AJ+myMYZhujhw29bL9J13JqLr+QI8LcWDsklXuPhSX&#10;U4pLl+A+X94LQ4xzJn/p0OuXKmwZroeFuI133+9eJ3ecesj4cpQQ0v2gIpz1UWCTrOFS1YpzfXG4&#10;VGAS4qQHgMI4+rxMR3UyZAU8CnGEkCC0/eL3MULc/FUbTlifJ5mf7hbi1ApwJuFNFdDCCHGyrfw+&#10;jBDn11aWEgWHj15xu/U1XlQxCLKMSXqRUg3Qq1D5iUUyflKNOg+YpB4INWobXbbCPknhxySDqfuP&#10;+foxIKpYpK9fbh8SkylYn2wDIUiN3r+mCmBBItfvtw6/Y0BkP+Br2OjnybR+VYzC/oYJ+k0uqyds&#10;H8q2JsFLxuu6Va8lHIPpWpEPcdX49W1Xr794kddGkG3rYpp6vKafHb+fXZkgnwEZFQpxDMMwDMMw&#10;XUtudvY2+WKq/1eyfe+pSk40V3vKcOBkOLoixBXvbHRlODBw9X5bhCu+pbmj+OR595kDpTiGYZjQ&#10;UZ97qOCZBMMwaRQMm4qqcGqVuFQIcVc992rU0KkRKMWlOup9vnG41B4W4uRwqeDl9z42viAlhHQ/&#10;Ul7D0Kao7GZqExY5XGrp4CHG+X0BkxCHYURllbh4XkKmsWVbpX1c+CqnUYgjhATBJMRNX1x3wPpM&#10;yfx0txCnCmbJFOJgOWOa/D6MEIdhUU3zAfZBtktAiPMSjaQABHQpJogM4yfVqPNMMhyibsOrjZ9Q&#10;JaUgL8EJgSgkl1elNnX//KpcySEjdalI3fewopOMWh0O6/MKjk22w4NGPbIfTOJUvAQ5T4h6HsJU&#10;BfO7jsL2oWzr11de21P72m9b+rH59W1Xrr8g6eq2/X52/H52ZdTPh0SFz7QKhTiGYRiGYZjEo1aN&#10;cKrD9XNmxaT4+PkKXxkOnAxHokJc8eGzIm9YpftCrXDmmsh0TYaToRTHMAwTKupzGAmeWbA6HMOk&#10;WeY//0btgpa3xLjNnUPIo0pcTwtxK158Ryx+vHPo1Py8AufflOJSmdysnFb7PGj3+Qfe+KQtFULc&#10;4OGj7Ovissk1xpejhBCSyZiEuL4GhThCSBBe/aidQlzYSCEunvB2191zfOerqOuS01DSFN8na8jU&#10;LgpxXvGTYrq6vN88mSBt/PbDTxhSIytlqe1MD+zioSZI/8SLuo54kpk8VtNf2AbtB1OCnAMEslyQ&#10;dnr8+ilsH8q2WM4rXutUp3sJZKb49W3Qfjddf0HS1W379W+Q845+kvuOr1hfGBky7UIhjmEYhmEY&#10;JvEMyMpplC8u/arDBZLhwMlwJCLEQYbLnzDLecmqyHAnmzuKTra4lS/0UIpjGIZhGKa3JTJs6psd&#10;epW4VAhxKy1m3Hq3e4+W33+A829KcakI+l2eC3W41ANvfFTrynA9KMRtUIZLveHQMePLUUIIyWz+&#10;KH7+h8f6NBTiCCFBMAlxs+rWbnduVzM7qRbiVAHtgYcXx8xXWV43zG0rp0GEw/flFf8c1VYHY2XL&#10;ZSnEGeO3H0GkIMTUTl1vEPwqxCUavwpeeuQxmNoG7QdTgpwDJF47VBND9Tr0k2ynoydsH8q2WM4r&#10;XusM09dq/Po2aL/7tYN0BtkQ8+QQqTqm5fzWKePXv0HPOyrD6fuFbSZaFTGloRDHdFfy8vL+z/wv&#10;f/n/6Z/Vf1Jedv+DuTk538YDRIgDEAbUoSYYhmEYJt2CChAWObYEZv3OgvyFIZNUrN9pdyovyVq9&#10;qsPFHSZV5WQ4EhHiIMDJ/UaVOAhy8WQ4GV2K69+//whnFsMwDMMwTEZmwYW3GlAlrlKpEjdp/8mU&#10;CHFg5KyF7n50Qimup6P+4Yva//sv/rgpFULcpPlL3OuBw6USQgghhPRdTELc5FmLNji3q5mddBLi&#10;/EQ1IOU3VIXTpwG1rY66HVSlM7UBFOJs9ASRghBTuyDH55euLo9AIAu6DnkMprZB+8GUIOcA8WoH&#10;octPglPRE7YPZVss5xWvdYbpazV+fRu0373aQTaTFdj8SHTbfv0b9LzLQICT25Tg+zDV9lIeCnFM&#10;smP/BS0eGiovy334fGDpyMfG3HC2Ycyup1rH7jrbNnb30+1jdj/dNHrX040j65/mA1+GYRim2wKB&#10;TQpvkLUhtVm0BfwdpvJXr5eUJcdf2BZYhgMnwxFWiCu8qvNFb17ZsFAynIwrxWXlNDiTGIZhGIZh&#10;MjZ2lbiWt4RXlbieFuKWPfeqGFQ5wb1n64RSXE8Ffxgj+12tDre3rb3fgYsfd/S0EHfolXdEcXGp&#10;vT+jJ0w2vhglhBBCCCF9g+Y3348R4pLtj6UsqRbigJw/o7bEOF/yj/3+Iaaduv6W1nVR7VWOnZge&#10;qB2FOBs9QaQgxDRkpbpeiElhE6R/4kVdR9AhU/VKdUjQfjAlyDlAvIZMldsGOB69L/36KWwfyrZY&#10;zite61Snp8OQqfpwpBDO9Gugq9v269+g510P9lGVC2+2yJhQiGOSFefluPLXs+6DwzY8PMRLcwDZ&#10;IC+v8BO1TWHFODFy/Z1i7O6zNmN2P+0yetfTbRTjGIZhmK4G8hteIjqV3fD7KBHxzUhuVrbx/rPk&#10;WPM+o/Tmx8lwhBHiiq69Q+QVFNv7jK/4vvjE+T+HkeFkUAXW+SfDMAzDMEzGZ37zW40LW8xV4npa&#10;iAOLH2+2pTy5L51QiuuJRD/fUqvDXdp3QJXhekiIU4dLrbvhgPHFKCGEEEII6RuYhLgRE6f2jlG5&#10;uluIUwUzLyEOw51iPoS39y9db2yD4VTletQKb+p0vwpzchtqdTkTqjiXAiHOS9aaZuG1fBDhJkgb&#10;v+OQUpBJEpOBoCWXV+Uddd8TGf4xSP/GC7YbZB/Q/7Idhv7UE0SO8op6DtAnXlElKFUok9O8xCi/&#10;fgrbh7ItlvOK1zrD9LUav77tyvUXpN+DbNs0T8avf4P87PklyPbTLhTimGQkNzu7TpUKIL2h0g4k&#10;OaeJnbH1TdWVO59sq9z1lBi17k5RNmGB+0APDFl4Q4wQN2b3MzYjdz3Na5RhGIYJFFV+w+8k63dU&#10;u/r7xhPrdxlEOYtOkRsCnbUugN9rwJp2Qi5jtX0tJycn29m0nfKG1n4lJ5objcJbPE6GI6gQV7yz&#10;0ZXhQNHGE3Z1uPyxU77Qf18zDMMwDMP0taBKHIQ4VImT90uySlwqhDiw4P4n3X2JhlJcd8auDuc8&#10;48L/JZzJX9r72oc5qA6XCiFOHS71+ntPG1+MEkIIIYSQvgGFuARiEuIgm+kCGlAltC3bKmPmQ5KD&#10;yIb5JmlOVo7D19cubomaB9T1xxuWVa049+JLG2+wvsZLENnIT4pRhTGTgIT5ssKVafkgwk2QNn7H&#10;IaUcgH+bKn+pbdTqZWqFrh8734dJkP6NF71KmNc+qDKaqZ+6Iiep5wCYZDG1DfZFjZxuukYQv6FK&#10;w/ahbOtXlcxrnapU6HW+pTSnxq9v1WsLUpxpnWob9fqLd+1jXdhPzPfbtmmejF//qtv3EyG9AjEz&#10;3vbTLhTimK7GqbQTkeEgEljfQ0RwZtup2tvUb9yuJxvG7Xyyo3LXkwJC3DgHiHEFxUPcB3tDlx0S&#10;Yw1C3GhIcbuf6R0lfxmGYZikxiDAxa38JsU3CNxSdtN/f+Xl5f2TNa/WarfXWucdhTk5hWin/t7T&#10;ZTJHhmsyym5BOBmOIEIcxLe8YZXusRfOXCOKj537W95QZ5rhOBiGYRiGYfpaFnpUiUuVELfKYs43&#10;HnL3JRpKcd0V+/8Tnf3svlg88OYnDZDhelqIU4dLnTR/qVh28ITYvnuP8eUoIYQQQgjp/Tz50g8p&#10;xIWNFOKA9a2NSXYDqvAGMCQqKr9BpoPMps4zSXWq8AYpDt9jWaxjed0wdx7W41WBToJty/XgGKx/&#10;x0sQ2chPylFlLQABBm0gz6iSk0Rf3m/dMkHa+B2HKhsB7C+G9sS6sJ/qfJO4o64bQhOWUaUmrAfy&#10;FcQkff+C9G+QqOvB/mN72BbAsUgpCpiqwyHyOBORk7AduX4Jzi/6AvOwf+p1oPeD3D+0UcUqvf+B&#10;nrB9qG4L8prcP3Wf/NaJvpXzsC71WvES9/z6Vj++MNefKujh2pOyHK4/HJt63v22bZon49cX+vbl&#10;+cY1Jn8G0CfyWpDT8FUdPhfbyJhQiGO6kkjVnMhDQogF+CtaZ5abqvqmnPE7n2iKiHCSTiEOjNn+&#10;qD1sqlzXyPV3GYW40Tc8K0bverZ33NQxDMMwCSeUAGfNc9rY1d5M4ptf1N91A7KyP7e+XpTfY57T&#10;zE6XZThwMhzxhDi7CtyEWW5/QIYrOdncXthwLif62CjFMQzDMAzTt7PgXFuOrBInhyvF1zmPnk+Z&#10;EEcprmcDAU72r/V/iCZnsl0dbv/FS3Z1uJ4W4tThUpcdPC6mrVhr/5tSHCGEEEJI38QkxA2tqukd&#10;/zfoCSFODldaPWFAjIAmaWld51Z688JLqAOq+GYCMhy2YVpWRcp3EON6SIhDZMUsE5B//JaPt24k&#10;SBu/45BSEEQnWbHKhFf1LkSVpPzQ9y9I/waN375LvGQ4JIgc5RX1HEB0UuU3HVP1OMhSprYS9dj0&#10;hO1Dtb0K9lvGb524BmRfeaEfo1/fqvMSuf7iXXtynfG27ZV4/SvXoSPlPK/5Er+fq7QMhTgm0agV&#10;ciAamOQCyHCVu55oH7+rSZHhIqhC3LjdZ8Xo7Y+6leLw1UuIG7X72Q5n9QzDMEwfCn7vhBHg5NDd&#10;8vdT8T8V/1/2ihKIFMes9brbUV+QIbYMd7yLMhw4GY54QhwEOLnPqBJXcujJn0GGc3ZbE/4oxTEM&#10;wzAM07ezoPmtJkhxqAwn75FGLV6ZUiEO1Ow+5O5PNJTikhX7j26yctrtftXui/e/+XHj/jc+tmW4&#10;nhbiKq+YaZ9rVInb88KrYsk117vnn1IcIYQQQkjfg0JcAlGFOIhs1iQbVT7TQfU2tJUCHYAkBzkN&#10;Fd9My6igIhzaqmId1oVhUONVhgNoI5dDlbmAQpys4gTBySsQX+S61eEc1UCYUqtnoXIVRBspwkiB&#10;Sl8+yLqDtPE7DrlfUoiCzARJR64T/1b31Ss4RshHalUuACFIVmzTE6R/w0T2s7oP+DemmbavRvYD&#10;voYN1i23h3+jchj6Qp5XfI23D3Lf5TJyX+QymG7qp0T6EOdT7SNsB/ssE2SduE5U2QttcczqemSw&#10;frkdPXId+Iokcv357Yv8+TBt22+/ZOL1BfZLP9f4Xgb7gOtf3T+A7+XPXEaFQhyTSLSHhO3xZLgg&#10;QtxYi+GrbnEf6lXMvtYoxAEOncowDNP7Y/+uQYWGrJzG3KycNvn7IQYPAU5mQFbWRnt5p50zOXAg&#10;uoG8orLbB2T3j2wzp/9/FU6eO6/4+PkKScmx5sbS4y1myS0MJ8PhJ8QVLrrW7ae8smGi6KZH/oR9&#10;dQ7NDaU4hmEYhmGYSOadb6uAELfIonjoCPdeSq0SlwohbvWL74q5d7NSXHfGug9ukH2K/1s4k7+0&#10;942PaiHDpUKIu+aBJ9zzjMpwJ9/+ibjwL78Sky+fYk8rLy0TP/rNZ8YXpYQQQgghpHdCIS6BqEIc&#10;RDVrkk0QsS1VqPuJanIBhTiGCRJdiGOCRxfimDQPhTgmkeDBoP1ALgsVeswPXit3nmmVMpxJiIsa&#10;NtUR4kDJ2Bn2Q738/KJYIc6R4gJUiftvzleGYRgmQ+IIcNX4HdMVAc4UtJfL498Q3CCGlR5rqS07&#10;cr6u7OgL20qPXWgoO9bSatFWeqy5A5QdbxGg9OBZkT+mxt2H4vUn7On2PB2T5BaGk+HwEuIGrtpr&#10;7asj8FkUXrni70UnWzyHHacUxzAMwzAME8mCljfbIMRNOXGXey81rHZByoW41d+LleKse1vn35Ti&#10;uhLtXtj9w8+9be39MFRqqoQ4OTwquObBJ2wh7u3f/Vm89bNPbSluz+ETxpekhBBCCCGk9/LI860x&#10;Qtzwqmm941luTwhxQFZt8xv2NNXIYVcxbCq+pxDHJDEU4hIPhbgMC4U4JmxsYaGzOlyjMzkqVdef&#10;2TZ+5xOuDGeW4sxC3Kitp9yHfSO33mcU4uwqcfWdw72ZUpCV1T83NzfL+ZZhGIZJw0C6cgU4W7J2&#10;XkJpOPMbggpwiD2E6ZHmaim7le586IuSG0+L0gNnRdmxFjPHzRTO3eLuy8AZa6LmpaMQV3Tdnda+&#10;dspwUdiVL8wvTCnFMQzDMAzDfOlL81veqIUQByDCyfujqSe/kXIhDsxjpbikBve87v9F7K+d/Xjg&#10;zU8apAzX00Lcwe+/Yw+Tiv3CsKkn3v4XW4h7/w9/sV+Etv38t+KdX/4+5gUpIYQQQgjp3VCISyC6&#10;EKfLZumIlPYwxCq+pxDHJDEU4hIPhbgMC4U4Jmzcl+UeL8oxVOr4+jMdVQkKcaCgeIj9wK90wgJP&#10;IW7E7qfj/t7Pzs7Osfb3hPMtwzAMk+LYUrUzDKpFRK42Yf2Oyc3KabI+w+ukACeXzcnJudxemZPy&#10;va39CTtdvwAA//RJREFUig+dr0ClN1nlrfRoc0eM7BaE47GUXt8o8gqK7f3KLx1mV4uLmq9jktzC&#10;cDIcuhBXvLNzf0FeccX/dvtVAZIhZET8rnS60g6lOIZJz5RXzewHRlbV5OAhpwRDYkhGTJxaq4Pn&#10;h/EwLQfUdavbxD5I5H4BZ1cZhmF6RRY6VeJmn37evX/CEKpBhLjFz/1ALHFY9ESrmP/wObHgkQhz&#10;G58Q8yzmfONhm7kWtbfdK2q/eq+YeewOl+n7b7GZuuuwzTSLKdfeZDN5ww4xoW6DGDy6+j8Hj66y&#10;vnYydPzlbdZneFysz/92P6w2HcBjXuz6JkxtjTCtSTJiwtRGYP27IcLUfWDExCnbrPXYv4PU3zPq&#10;7xbnNHR78H8M+49vnHOMe2Fn1pf2vn6pTpXhelqIm3/9HvfaW33rnbYQd8d7PzO+FCWEEEIIIX0H&#10;CnEJRBfiMASpNdkG/1bnpQPqcKmvXdxiT6MQxyQxFOISD4W4DAseVtm/VyjEMQEDQcF+SGh9dSZF&#10;pbL+zD7IcF0R4gbVrLAf+KnDpsZUiIs/bKqdyMPN7NN8oc8wDNPzcSS2zmFQZeUFnYgA5w6D6izu&#10;5itf+co/o01efrHIH10jBq442FR2tKW17EhLmy2/HW0RNibJLQzHo/EbKtVto2OS3MJwMhx+Mlzh&#10;zDWi5JYXttm/CyG6eUiI+J0O+dDpbkpxDNMNwct9PJwc4QpnU7bZQoArCUAewP/NIpKC9dUWESJE&#10;P+TMDDr3H8cjsb6PkSaihYmILAFUYcJaLkbQS4U4wTBM5kdKvPj8wGcJwOcKPmdA5DNnyrYxs5ce&#10;mHb462LyzkNi5JXzRNnQUaJ8+Bgxdv5yUVW30aZy8SqbsbOX2IyeNtvG/LlIwuP8DnF+Z0T9rnB+&#10;P+Dc4Vw6pzdUHBnOfsbl3Pc2OLMgw1Xs+2HnUKmpEOIqho+y9wtV4g698o4txH3rg58bX4oSQggh&#10;hJC+A4W4BKILcaB6wgBbCEK1OH1eqplRWxKzbxTimCSGQlzioRCXYcFDJfv3CoU4JmDky3RIC84k&#10;N1Vbm/rJ6nC2EKdJcUGFuNHbv+O+pB+88EajEDcKUlycYVNlHCnuJb7QZxiG6f44Elyt/XLJS4Cz&#10;UAU4LOMsHhVUf7OHPT3SvK/s0PPvlx04+1+DjrYI4EpwKibJLQzHo/EbKlWSLkKcSYYrWHbjr5yu&#10;dANBES/7jOfG+h0vxThKceaYXqIDKeb4IZf1w9kMk2HBucN1EJEpIpKbLXl1Vs7JUKktU4kIFLL/&#10;pUghZQpdvvMS79Sfbf589u1kN7b2i+KR1hwv8h88X+GFqb2Lsn5ns30+8ncjfgbl71sprnX+zOIz&#10;Fz/LEbnY+fm2BWNgfwZ0Crn8LO712CK29bkv5bmIOIfrRv8c12U4699t8v8ke9va++27+HGbRZQM&#10;15NC3IZv3O/eo8+v32PLcODRH//G+FKUEEIIIYT0He4582zMvTD+v2Tf6GZ6Iv956xkh7smnV0gh&#10;KGp6qnn/0vX2PmHIVFkdDlCIY5KYcgt5/ePfTPCctkC/4SuTAYk8IKQQxwQLXobLB3KmF+NV9Y/X&#10;SRmuK0Lc2N1PxwybahLiRux+LtTv/tzs7Ke9pAuGYRgm8dgvlLKzt+FFkqcEZ03HSycIV34CXOnN&#10;LbW2AHekpa3saHOHFOB0uluIizdUqttOxyS5hUGR3YIAGa7omjtiZLiBq/fb0yAeOt0bE3f4WnmO&#10;JI4Yl8lSnHx5Ll+cAzxHwYtz08tz0wt0+4Wq+wI9VS/RO6tr2ftj719iVbWk3EOxJ/Gg79CP6NfI&#10;dWSdh8i1QsmiTxH5TJA/l0D92Yz38+l+Dik/p17In9+uguvWhBT+VKSEpOL8CKQsuogmBbMBDzRX&#10;D3iopRbkPthSl/twyzbQ/6HmfQMeutDg8vCFRpD78IWm3IcutNo8fKFNYi3fbvNwS0c0F0TqcfbF&#10;2Ud3vyPH0ASsdvbx4biB3Q9Wf6Bf7D6ykNKd06VJjbxO5DUkry9ce7iOI9e5+fdv5GcmnX7vkt6O&#10;/RldPeWhQUNGfVhcWiEK8gdGyXDIvosfN0GGS6UQV3nFTPseHNXh9rzwiivENf3kt8aXooQQQggh&#10;pO9AIS6B/PK3e+t+9bs97ZkMjsE5HIZhGCZgIg8eKcQxwWJXlXFejGdnZ8dUZxu/80xjsoS4sqhh&#10;U81C3MgbnjMO2+qX3KycW51/MgzDMF0I5CjfoVAjApxnFbji4uL/Xn7ofEXZ4Re2DTrc3AgBziS+&#10;edGdQlyQoVIlqRbiTDJcyS0tonDVwV/klQ21p/lJcTJR8pvEOof9c3IeVr/PFCnOftGuPBQiXnRK&#10;Pfh/gf2S2BV5ogU7q40r56jijNPlvSo4LjxIxDFHBA6Kb4SYkeKS/bPx+fCJV/xs+KTpvxg+efqv&#10;wLDJM34zbOqsn9hMm/2zYdPn/nLojIWfDKld3D6kdukvwOCFq342eNGaX1csWfd7m6XrP6+4auNf&#10;K1Zf80X51df9m83aHQKUbbkphtLtB73ZfdxI8f7b41J05G5fCk+eSgmmfZGYjsN0/HbfbNvTYfXf&#10;b8pXX/vj8lXb3q+o2/JW+VUbXhsyZ/nLQ2csOjfsivkvW+fvtcjvhk5hDURLa/a5N1wbJFnIYVjB&#10;uNlLbKoWr3aZuGKTzYTl6/9j5OQr3x88uurfLASoGFlpfa3+WUQ8jEX+zg+DaT3yOlGvFVwn0deK&#10;+fjSAWu//+TcAnzpptcv7ZMyXKqEuPVKdbhpK9a6Mhx46ZefGV+KEkIIIYSQvoNJiMNzOueWNrMT&#10;+U9E8oU4hmEYpm8m8rCKQhwTLHYlGeehnDMpKuPrzzRV7TwTXoiziBbizoqhy252HwCO2v5YjBAH&#10;Ru56xn1oGSa5X8nlcNgMwzAJBGK0K8E5n9FROBIc5CpdgEP1t7Kbn7usePOdp0u2feuLsgNP/+9B&#10;R1pEFEeD051C3MAl9e4xFdYsiRLgdFIpxA1cFakCJ/e1YN4WW4ZTKbr2Dnv6gIpRrzmnwjdGMS47&#10;52/uv7sgxVnXxP/t/LPbg3tb9aEQ6X6UF98xleysr3aVrGE1tUeHTJu7oWLOsu2Dl224pmzVttVl&#10;G3duK9514hqbm766p/DoPdsLbzl1AAy4+4mjNoZKT0BWR3KRlZ8UBtzzzMug4Ovfea3glvsvFh7+&#10;Rlvxvq/+qKT+yJul2/a+CxmkYvnGnw2ZfdVvhs5c+Nnwy6/8N9PxdR+uVBIRCGL6LdJ3bnWlibHV&#10;/1RkZSYdvXJTPNR1YlsSuf3O/VCrPql0VoCKlSg6pQlrHRkjTBBC+i6jptT+py2lzVwoho6baDNk&#10;7EQxcd12l8nX3Chqdt5sM3XfLeLKo3fYzGy412b2Nx62mdv4hJjnsPCR58Uii6VNL4qlT74orrJY&#10;/vzrNitffEesUlj94rti9fcirFG4OpqO1a1tFdb9+Dn33s0iNzvnE9MfNaYqsqKg/H0T8zvG+V3S&#10;+buj83eG6fx0mQlT/5KXlXN47w8/2rZXkeFSJcSNU6rD7XzifJQQ9/bv/mx8KUoIIYQQQvoOFOIY&#10;hmEYJmAiD5UoxDHB4gpxWTkdzqSojN/5eHuyhLhR27/jPrwdtqqhs0qcIsSNuuE5UTqpbpqzeYZh&#10;GKYbArEtgAQXMxSqO/zpzc7wp0eaO2IEOJ2jwekuIa7kptOuZIavXkOlSlIlxA28qj66Mpz1PYZP&#10;1YU4laL6ezqKTjTvK2w4F/cBiYcYF6ELUhyWwwtH59tuS+TFavSDIdI7GD5llsvQmYtc1OkS0/I9&#10;wfAptf819MoF/zFk1tK/oeIVpDvId6U7bn554IGvnRt46M5vFDTcdxtkv6ihDZXhDeWQkHKISDlk&#10;pHOJZ1zcIS+BNuylO/QlcPoh7+unl+TdcWaDFCQHHvj6iaLdx75eev3Np0t3HTtrc+3+8+jTsi03&#10;vj5ow84Pyzbd0D7o6u2/qFix+TcVK7d+hkpjgxes/GLwglX/OnT2Vf82dMaC/w1wfkznjRCSyUSk&#10;2si7EykYm+TsWMkY9wyqUCwFYjkULD7DFjS3VS++0CbAuNWb3XuiUYtXiqXWNJvvtomrvvu2yzKN&#10;5a2d1Lm8I1ZIXnzHluBUEhDixNqX3u1Y2/qj6jxz9d8G/Y9Wgkb9DI/6/HY+t+1hi+MMXWwU2PWh&#10;iwMOX1xw9xOi4GuPuNURUfkQlSQHL7navi8wXyfeTFu7VUCGS7UQp1aHm7XpOnHCmiZluNve/Ynx&#10;hSghhBBCCOlbUIhjGIZhmIChEMeEiVohzvQQdXz9mbZkCXEYNrWgeIi9rYrZ13kKcSUTF/81U4Zv&#10;YxiGyZTgMx6Cmy3BZZmHQ8ULNXz+oi3kt5KDzdVlh1/YVna4pbXscHO7UXiLx9HgdJcQpw6VWrRy&#10;f4wAp5MKIU6X4VApzpbhgEGEM1F8S0trEDnOS4zLzcr+U1ekOHkNOZOSHrzAVh8KeSHFKbw4HTJn&#10;2X9Cmhk8d/nvMXyfPYzfwlVtGEJu8MLV520Wrfo6GDp3+QlUOUO1Mzyf8UO+dPcD9+KxdFbXirzQ&#10;jx6OzFq3U1lr2uf6cZGeAdcOXrzbwzbuPm4PZ4gX9Hmnnot5cd89OKKAKhFYSLkgClU+SATTOi30&#10;bUcLDMC03+kDzpUtVThihT4sZdSwk84wnDjfcgjPihVb7GtAMnReXYykabp2COnTXD7j31GNc9iU&#10;2R32ULpTZ/1k6JTZbcNqZp0fMXnGQ2HENVVa6+4svvBWk5TiioeOcO+JZjc+kVZCXKT9u6L2/JtX&#10;5y5csWXAqEoxYOqsCLOWiAGL14j+1x9qihLWpKymfOZHf66bP0MzAXy+4/NcFeZM1+U1T7WmXIg7&#10;8P13xIjqSfZ1hepwN51/JUqIe/DjXxlfiBJCCCGEkL4FhTiGYRiGCZjICzUKcUywQHqQD31NL8HH&#10;7zzTmqgQN84gxBWPnRF5EGh9NQtxz4qKRXucB9HZ1c5uMAzDMAkk8hmfXT0gK6fRlpWcz3uXiMDU&#10;iM//onW3V6L626CbLzSUHW5pKzvc3DHocItZcgvD0eB0hxCnDpVaUD3LKMDp9LQQp8pw+BolwwGD&#10;/BYPyHHFJ8/7PmMwiXG5Wdl/77IUh3V1kxg3Qht+EeKKlJW6R1hyBCDnBbIqDUWJRWFQ1uG+mHZf&#10;Tse+oA4i96hij5R6dJmHEk80JvGt56Q30puQnz/uz6nzs6ojf3a7gvy5NyFFPx3780HH+bxQwc+C&#10;jvw8UcHnror8rFGxP3d0HKlQRQqGKqafVxIOvU/dPlfOhzxX8jzK8yvPvX1dONcLriNcY/I6dK9r&#10;61qX17/pZyOWyO9T53ehXVXMmt4IiQvI6pp2hU1ZYdKprqlW1nRuCZKS5a1t/Ra3vNUOIe7KOx9w&#10;74dKho7wFeIWt7TZLLHaLGh5y2beC284vClmP/+GmHHuh2LG8z8U05573ebyZ39gM/HpV0XVUxHG&#10;PfmKGNn0fTH08Zdtyh97yab00VZRePq7NrH9SEzgmtR/FlZ948GUC3Erb7nTva7mX79HHIcMpwhx&#10;Z9s/Nb4QJYQQQgghfQsKcQzDMAwTMBTimDBRhThUi3Mmuxlf/3hDcCHuybhC3KDp6+1t5ecXeQpx&#10;I3ac+S+/fWIYhmH844hJDa6cpGJNy83Kac0rHrKk9NrGJYMONzcOurm5vRzymwmT5BaGo8FJthBX&#10;cmO4oVIlPSnEQYaT58YowwGD8BaG4lsvNHhVjbPvAyBMyuvDwro+/jMvO/sap0moRElxOKbs7MHO&#10;rKRE3udK8FLf9FKU+KNKO7pMo8oxUn6JklwciUU9D+mILYFY+4v9dwWP3RTfCMlUpHil436e+SEF&#10;Lg+k6JVqTPvmoh2TqS9M/db7iRbXVVQB3Y/8R777Sdlj3xOg4J6nxIA7HrUpbHxGlChiGuW09AY/&#10;A/q9wPKGb6ZUiDNVh9OFuIuffm58IUoIIYQQQvoWt9//aMz9LIU4hmEYhjGEQhwTNgOyctrxgK7/&#10;V7Jjrpmq+sfrkinEDV12s/vCfdT2x4xCHIZNLSge+ifZDkP8ObvDMAzDeERWg/McEjVnwMv5oyZ9&#10;vWzX6aODDre0QYDTiZHhgElyC8PR4CRbiENFOHn8qBRnkt9M9JQQZ5LhMD3ZQlzJrZLmJq+qcRDQ&#10;rf34TO6PvU9Z2U/hunKaBI4uxfXPzl7vzOpy7CFHlQdDkJ5ML0VJz4EX0FI4kVKHlOxU0c6W7Tyq&#10;U0lhTVYoUpHzJO5yWtUiVRrpu2IIIYQQ0nfRhf3Fh29PqRA373o5+kGO/W/IcKoQd9u7PzG+DCWE&#10;EEIIIX0PCnEMwzAMEzAU4piwyc3KacIDOnx1Jrmpqm/KCSPERQ2bahDiRm3/jvtAcNiqhogQp0hx&#10;Uogbdt13dtlSh9MWw7o5u8QwDMMogbAEoVnKzVH0H/Cr/HEzni/dcvdHgw43d5gkOJXeJMQlMlSq&#10;pCeEOF2GK9pwwp3XfUJchOJbmju8qsYNyMp+Ue4XyM3K/nMiYrouxSXr9zjub9UHQwAClOmlKCGE&#10;EEII6TugMqx6j3jl5vqUCXE3nH/FrgqH+2B8RbU4XYh78ONfGV+GEkIIIYSQvgeFOIZhGIYJGApx&#10;TNjYIgVeWGfldDiToqIKcbYUpwhxsVKcvxA3xqKgeIj9UHDQ9A2eQtzIG55rguShSnGmCnYMwzB9&#10;NU41uCZDNbjP88pGtNsS3N6zRvHNi94ixJUeOBs9VOr1jUbxzYvuFuIgw6n7p8pwoLuFuGiam3Qx&#10;Ljc7+4RyPdng93HYanHdIcWNmDi1Vn0wBFAdzPRSlBBCCCGE9B0wvLt6jzhp6ZqUCXHjrpjp3kev&#10;vOVOccyR4VQh7nu//Mz4MpQQQgghhPQ9TEJcedXM0CN3pGUoxDEMwzDJDIU4JmycYdLsB3Wml93j&#10;68+0JVOIK52wwN5W8dgZ3kLc7udsOc+R4lrl/g3Iymm0d4phGKYPxv5MzM7epsrCLjm5XxROX/Ob&#10;0vpH/lR+c4twORyc3iLEFdYscfulcO4Wo/TmR3cKcboMJ4dJVelZIU4SLcbhOnOvLYktt2VXO00C&#10;JdlSHB4EqQ+GAIbONL0UJYQQQgghfQcMra7eI469Yk5KhLglB46598+XzV9iy3C6EIfhUt//w1+M&#10;L0MJIYQQQkjfg0IcwzAMwwQMhTgmbCBYyId1eHHtTHYzvv7xhmQKcYOmr49sK7/IU4gDI3Y9W+vs&#10;AoZ1daU4/NuZzDAM0yeCz2mvYVFRDa647tBP7GpwqgjXR4W44nUn3L7JH10jSg+eNUpvfnSXEAf5&#10;LZ4MB1IjxEk6xTijFGcRVmpLthQ3/LJpf1YfDlWs2GJ8KUoIIYQQQvoOpdsPRr1ABLtfeqdHhbj9&#10;L78dNVTq9U+cNwpxZ9s/Nb4IJYQQQgghfZM+IcSNmDC1MTL8ByGEENIl2vB7hUIcEybKS+oYQb9q&#10;x+O1UUKcJsWFFeKGLrvZfak+Yut9nkKcRVQ1OFSHc/eTUhzDMH0gtrCcldOgykQOnxdMXPha2bZv&#10;/9kowakcDk6mC3H2UKlDK+0+gnBWsvUOo/AWj+4Q4kp2NroyHPCS4UBqhThJRIyTUpz1e9fdd+f7&#10;UL+HrWs5J1lS3PDLZ36kPhzC8Fiml6KEEEIIIaTvUHTk7qgXiOCap1p7VIibufE693553vV7XBlO&#10;F+Le/t2fjS9CCSGEEEJI36RvCHGEEEJIEqEQx4SJfEltekFdtbWpXzKFuFHbv+M+IBy2qsFTiJPD&#10;pqqxxRBn2dysnDZnMsMwTK+KIw8ZRbjCaXUvlu156nOj/GbicHAyXYgbeOUat68K52yJTD8enmQL&#10;cTEy3FX1RhFOkh5CXIsotii6tblxwJhJB+S+q+D3sKmyrFeSJcUNnbnwwah73imzjC9FCSGEEEJI&#10;38EkxG06/WyPCXHr7rrPvU8eUT1JHPj+O0Yh7sFLvzK+BCWEEEIIIX2X3i3ETZi6b8TEqR2EEEJI&#10;soBsPbSqptr5VcMwcYOX2nhohyH5nElRGb/zTHvXhbizthAHCoqH2A8Jy6Zv8KsQJ0bufiamYp09&#10;bKDzkBH7jQpKziyGYZiMzoDs7GqjCJeV054/atLXB9305LtG6c2Pw8HJZCEO1eBkf+WXDrOrxdnz&#10;jocnmUJc8Z7TIr9smLtvhTPWGCU4lXQS4mwaWsTA+m++nlc21D4G63fvf8rjsb8PIbYlQ4obUrv4&#10;G/oDorxTzxlfjBJCCCGEkL4B7gf1e8TlDd/sESFu9/PfF0XOUKlg6wNPRMlwqhD36q87jC9BCSGE&#10;EEJI36VXC3EMwzAMwzCpzgBnONLcrJwmZ1JUxu880xhaiLPwEuJKJyywHxIWj50RJcRFpDhFiLvh&#10;OeP+qFKcLYqEqFDDMAyTbvGqCGd9JrcOyC/dVXrDmYeMslsQDgcnU4U4dahUYA+VKucfD0+yhLiS&#10;Q9H7FUSGA+koxEkKl+10rs3sv8vjsrGuX+dyjpuuSnGDl224Rn9AVHjylPHFKCGEEEII6RuYhLjF&#10;h2/vdiFu/8tvi4nzl7j3xbUbrxNHFRFOFeKe+JdPjS9ACSGEEEJI34ZCHMMwDMMwTDfGFjHwUtpD&#10;iKuqf7wumULcoOnr7QeF+flFvkKcLcXVn8txdiMqdiUl54EjXqxTimMYJtOCCpf2569JhLM+40q2&#10;fHP6oEPN7UbRLSiHg5OpQhyGR5V9h2FTo+YfD0+yhLiCCbPc/SqcskSU3HzWKMDppLMQB4qOnhUF&#10;UxfjuP4mjw9Y123gqq1dkeJKrj20Wn9AVLz/duOLUUIIIYQQ0ncYe8XsqHvE+XuOd7sQN/f6Pe79&#10;8LgrZtqCnEmIa3jnJ+L9P/zF+AKUEEIIIYT0bSjEMQzDMAzDdGMUIa7VmRSVqq1N/RIR4mKHTY0I&#10;cUOX3ew+MByx9T5fIW74rmeNw7gilOIYhsnEQBqyK116iHDle1v7DTp4oWHQoeYOo+QWhsPByUQh&#10;ruTG0yKvoNjuv6ihUiXHw5MMIW7g0nr3vKJKXFAZDqS7ECcZeN0dYkBJxV+sY/yVPFbrmm6H7OZc&#10;6r5JVIrLO/ngdP0BUenu48aXooQQQgghpO8waemaqHvEKzfXd6sQt/au+9x7/orhoyIynDXdJMSd&#10;/QmrwxFCCCGEEDP3nHk26j4WjKyqCfSMlWEYhmEYhokTOQQpqrs4k2Iyvv5MR3wh7slAQtyo7d9x&#10;HxoOWXZYE+K0YVN3n+twdsEYSHByXRGyq51ZDMMwaRWIcNZnVC2kIfVzC5+9UgYq33suZ9Ch5qby&#10;Qy3CxiS5heFwcDJRiMsfXeP2Y9GK/bFtjoenq0LcwFX73X2CrFe857RRfPMiU4Q4Sf6Mlf9qHetF&#10;ecxhBPVEpLgBDzRXD58yK+oBUdmWm4wvRQkhhBBCSN+g/DsvxghxU1Zv6TYhbtfz3xdFxaWR/4dY&#10;X9fddZ84AhnOIMR94/2fszocIYQQQgjxhEIcwzAMwzBMN0YKcZA0nEkxGb/zicZkCXGgoHio/eCw&#10;bPoGfyHuhnOQ4uqc3TDGluLUSks5OTOcWQzDMGkRyLoQ39zPKWB9bkEAgiiHNuWHzlcMOtjc7spw&#10;FOJiBTeFgUs6q7AVVM8ytjEJb/HoihBXUt/oVqzD16L1J4zSmx+ZJsSBwuvu+o+8/MJX1Ws7qKAe&#10;VoqDEDd0Xl3UA6KKFVuML0YJIYQQQkjfAEIcKsKp94hVc5Z2ixC37+W37eFR5f0rhk2FDGcS4m59&#10;5yfi7d/92fjikxBCCCGEEEAhjmEYhmEYphsTRIirqn+8LplCXFnNCvvBYfHYGfGFuBvOeVauk3Fe&#10;qEeqLmXl+FaVYxiG6alA2M3NymmSL0vkZ5QqwiG2DIchUlUZjkKcWXKzwNCoqnhWuqPR2M4kvMUj&#10;USGu5NBZkT+ms2Idhk21550MRyYKcaDo6Nn/yh85oVOKs0m+FAchbvCSq6MeEEGQM70YJYQQQggh&#10;fYNhZ14W8/Yci7pHHHvFnKQLcfteeltMnL/Evd/Fv6UMpwtxkOG+98vPjC89CSGEEEIIkZiEuOFV&#10;0wKNwMEwDMMwDMPESSAhbmtTP5MQFyvFBRPiKmZfZz88zM8vEqN3PxNPiBMj68/F/WsIyCWyAlPQ&#10;4doYhmG6I/g8sj9bFcnH/ndWTiPkH6eZnfKDzdVGGY5CnFlysxh45Rr3JVThnC3GNjbHw5OoEFc4&#10;d0vnPtUs6Zx3MhyZKsRJ8i+b+67sB5Cbne1b5VUmqBQ34KGWWgyRGvWAaMos44tRQgghhBDSNxjT&#10;9H2x+PBXo+4RQbKFuCl1a9373OHVl4n9L7/tKcQ999PfGV94EkIIIYQQovLI860x97EU4hiGYRiG&#10;YZKUIEIcMr7+TIctxSVBiBux/hvuQ8QRW++LK8SNuOG5Rmc3fCOluHhDrjEMw3RXTMOjWt+3mkTd&#10;8kMvbKvwkuGASXILw+HgZIoQV7zuhNuveUMr7WpxpnY2x8OTiBBXvPaIyBtQYO9Tfukwu1qcO/9k&#10;ODJdiAN50+t+Jc8RCPo7OYgUByGudPvBmIdEeaeeM74cJYQQQgghvZ/qp14Vyxu+GXOPuPuld5Im&#10;xM3Zsce9v60YPkrsev77UTKcKsSd+ZdPjS87CSGEEEII0aEQxzAMwzAM040JLMTtfKIxWULcqO2P&#10;uQ8Sy2dfF79CXMAqcTIDsrMPOv9kGIbpkUDItT5HG1ShB//2koGkDFdhEuEkJsktDIeDkwlCnD1U&#10;6tBK9/dHydY7YtpEcTw8YYW44j2PigED8t19yh85UZTUN3a2ORmO3iDEgcJNJ34u+wTgXsO59H0T&#10;T4qDEFe8//aYh0QFX3vE+HKUEEIIIYT0fiY/8wOx9tTjMfeI1zzVmhQhbvH+Y+59bVFxqdh+5rw4&#10;rMlwUohbf+d9xhedhBBCCCGEmKAQxzAMwzAM040JKsRV1T9elywhDhRWjLMfJpZMWBhIiBux+zlW&#10;fWMYJi2DqnD4DJUvSUBuVk4T5B6nSVQiMlyLkBhlOGCS3MJwODiZIMRheFTZvxg2VZ8fw/HwhBXi&#10;CicvdPdJxR029WQ4eosQBwq3ffWvUf2SldPg/Aj4xk+KgxBXdOTumIdEhSdPGV+OEkIIIYSQ3s8V&#10;z71uFOI2nX62y0LcIk2GW3vXfbYMZxLiVn/12/Z2TS86CSGEEEIIMWES4oZW1VQ7j0MZhmEYhmGY&#10;riSwELe1qZ8txGlSXKJCXFnNCvuBYn5+UbAKcbvPdTi7wjAMkxZxqsI1yhckIDJcanat0yQmFQcv&#10;NKgyHIW4CPGEuJIbT4u8gmK7j/PyBvoPlSo5Hp4wQlzxtjvc8z4gN18UTl7Q+T3209rf4mvuMIpv&#10;XvQmIQ4U3dAY1SddHT4198GWuoK7n4h5SFS6+7jx5SghhBBCCOn9QIjb9tR3Y+4RV33jwS4JcZDh&#10;IMHhflSX4XQhbtnRr7nbbfvF740vOwkhhBBCCNGhEMcwDMMwDNONwUtm+4VzHCEOGV9/piNZQtzQ&#10;ZYfdF+QjdzweX4izGL77XJ2zKwzDMCmNUxUuZnhUSHJOk5hUHGxu1GU4CnERdBmudP9Ze0jUgUvq&#10;7WpwA/KL3N8ZBZPmmwU4nePhCSrElRyKHr4Vcpw9vb4xajoonLHGKL+Z6G1CXPFtRiku0O9ykxQH&#10;IS7v1HMxD4lKtx80vhwlhBBCCCG9n9rnfyh2vfR2zD3i8oZvJizE6TLc1ZDh3uyU4Vwh7uJH/zHv&#10;+n1R26UQRwghhBBCgvLkSz+MupcEFOIYhmEYhmGSFLyYtl82Z+XErcA2fueZ1sSFuLNRQtyo7Y+5&#10;L8eHrb7NKMTpUtyw7Y9919kVhmGYlMSpCtcgP79AblZOa352doXTxBgvGQ4YZThgktzCcDg4qRLi&#10;yvafFaXbG0Xx2hP2kKj5o2tEfukwt2918gpLzfKbiePhCSrEFc7tHL7VFt70+da0qP0eWimK95w2&#10;SnAqvVGIAwO3K9X0LBKV4vpv3v0wXnoOnzIr6iFR+dodxpejhBBCCCGk97O05S2jELf48O2hhbib&#10;XmoTMzZe6963QoarO3mHuBkynC7EvfnjtpsfePxVfbuvftRufNlJCCGEEEKIDoU4hmEYhsmgLN/a&#10;0M9m7ZGcxRuOV4AlG09US+Q0sGBrQ44KlnNWw/RgMLSf/aAvgBBXWX9mX2AhzsJPiBuz+xlRUDzU&#10;fsBYNn2DMmyqtxA34sbnRd6QcdOd3WEYhunRQHqD/CZfjuBzM15VOMRPhgNGGQ6YJLcwHA5OTwlx&#10;EOBKttwhBs7ZIgpG17jDoAajvyiu22uW30wcD08QIQ7V4OR+Q95DtTh3/vGWVutrG/6NanH5ZZ1y&#10;H5Yp2nDCKMJJeqsQZ5Li/IYWVhMlxc1aYr/0HDqvLuohUcWKLTEvRgkhhBBCSN8AQtyei5ei7g9B&#10;WCHupu+1iQnzrPtN5341UhnulLj5zU9ihDjr+9a9be39brvv0bP6dpvffN/4spMQQgghhBAdCnEM&#10;wzAMk4Is37rXltqWbzhUsXz9zbXLNxypW77x8La6DUca6jYebly26Wjrsk1H2pZtPNoOrtp4tGPZ&#10;pmMCXLXpeCebT4ilLidtlrjcYrMYbLnVZhHYfGu7RevCLbc2LdxyW+P8zQ3bFmxs4C//boorxFnE&#10;kzqqdjxe2xUhLnrY1GdEWc0Ke7vF42YGFuKKJywK/BKdYRgmWbGraSqVqqx/twf5LIonwwGjDAdM&#10;klsYDgenu4Q4W4Bbe8IW4PKHVsYV4DAfVeIwTCqGSy2s6XwhVViz1Cy+eXE8PPGEOH2o1KL1J9T5&#10;beUNre7v0dJjLbXF+x+7M79qxr/L9vZx+Ayh2puFOA8pLtD9nSvFLV5jv/QcvOTq6IdE8+piXowS&#10;QgghhJC+wYrWt20hbuwVc6LuEefvOR5YiDPJcJvuf9wePjVKiHvzk47Db3y8zblN/RKFuOTzwx//&#10;QlROnCSs7rXZse+QsR0hkmmz5rrXS+ngIcY2Js6+9AOR1T/XXu4f+/UT33r0CWM7wr4ihJDuBPeO&#10;+v3kiIlT+Q6UYRiGYRKJLbpZrN5wqGLl+gO1K9bt37Zqw8GGFesPNi5ZdePLcxdv+Wjekm1/njFn&#10;jZg6s85m8rRFFovF+OorbcaMrRFjxtWIIUPG2IwYOUEMVxg9bkoU4ybMtKmaPN/m8tpVNlPnbRRX&#10;Lr5WTLeYs3qfzbz1R8SiLQ0uC7fcFsX8LV9tt2icv7Vh20xWlEtK7JfMzgO/eEP+VW1t6hdGiIsd&#10;NjVaiBu67LD7sHHkjseNw6bqQtzgNbfb7YMOt8YwDNOVQBQeYBgiNZ5AjFQcvNBgEuB0jDIcMElu&#10;YTgcnGQJcbYAt/kOMXB2RIBT+00H8huqxEGWQ9U4DJ1aBonOofTA2U6BbkDhfxTf9NidpUebO4zy&#10;m4nj4YknxHkNlQpRLn/89E+cUx+TvDGTvi6XAziugav29zkhzpbiNp9w+yFCCClu6dq/4aUnhkhV&#10;HxINnbnI+HKUEEIIIYT0fta++K5RiJu9Y18gIe6ax58X5cNHuvenw6svE/Xnvm/LcKoQh6pwh9ou&#10;RT03O3HP/afVbQJU+TC97OwuGu45ZQtBkFSsXbKBuAKp7MCtt9uCmWm5dOWR55rd45CY2hEiSfR6&#10;gWypLoefGVM7wr4ihJDuhEIcwzAMwwRMRHTbW7Fq7d7qq9fvrV29bu+2q+quv3PuvHXfnTVnzSdX&#10;1tb99vIpc/9WXT1djB07WQwdMlqUlw0VJQPLRGFegfJiMj0oLhpkUzF0nBg26jKbkZVXiHGXL7Sp&#10;nl4nLqu9+kcWj1XNWrfQ6QYmZGzZw+33+C+lK+vPtHkLcU+GEuJGbX/MPd/DVt8WSIgDcqhVDFXo&#10;7BbDMEzS4wyR2uZ+RjpDpDqzfVO+v3mfSX4zYZThgElyC8Ph4HRFiIMEV7S4PjIEar53BThbgKue&#10;ZQtwtvxmLecOpSolOAhvR1taS49caMgbMem0XLb/V7L3lR19YZtRfPPieHj8hDgMgSoFPX2oVCnK&#10;4XpxLoGY4HqKVBaM7peCCVafOHJcXxDiQOHy+s4+sH6u4gn5Mv2/9vABvPQs23JT1EOi4VNmGV+O&#10;EkIIIYSQ3s/ml39kC3FVc5ZG3SNeubk+rhC37MQddjU4eW86dtpMseelNleGs4W4Nz7uOPTGx9sw&#10;RKpzW+rmrkfOnFK3CXpKiIPohmpY1m74kmkV1npaiLvw1ntRMiEkQlO7TKA3HUsY5PFKTG1M9ITk&#10;pf6MQlw1tckEKMQRQkj38epH7VH3khGm8N0nwzAM07eydfnefqtX765Yu/aG6rVrb6y7+uqbti1f&#10;vuPOBfPXXpw546qfXHHFor9OmTpPTKiaJoYNHiXKy4Z0WXLD8gDC3KCyoTaRinDVdlU4VIkbXz3D&#10;/qpWhFOrxQ0eMtalbNAwUVI0yFpnoXF7ySA/N+/fCwYUfJafW3B+QFZOI16gA4heQar59NXgZTT6&#10;L4joMb7+iYZkCXFAym1l0zcEFuJKp2/4pTznOL/OrjEMwyQt+DyUn43252NWTltQaceW4Q6a5TcT&#10;RhkOmCS3MBwOTlghzq0CN8S7ChwqxBVevkQUr9hvC3BSfuuU4CLyW9mR5n0lR5qry4+cy3G6sHOI&#10;TKwrK6e9aPaG7FDV4cDx8HgJcXYFuDE17rFFDZV6vKU1v6j8ITnPT4pD7GvLaauT78hxvV2IAwUL&#10;Oqvt4VzjnDtd5Jnch1u24aVn6faDMQ+K9BejhBBCCCGkb3Dtqx/YQtykpWui7g/9hLgbvveWqKm7&#10;OupefMbGa8VNmgx36M2PWw+9Hl0VTs2Dz134hrpN8MjzrcaXnckmiAwHMk2I00W/7t5/XcDLZNGn&#10;Nx1LGNRjBqY2JtBf3T0MaKL7lm70RF8RQkhfpe0Xv4+6l4xAIY5hGIbphYH0BuFt3dW7t21Ye0PD&#10;qpXbX160YO1Hs2qX/WXalLliYtVUMWzwSFFRNkQMTEB2g9xWOrDUluVGjqiyq8RVVU8XNVMXimkz&#10;lonZCzaKBVddKxav3CmuunqvWLHxsEudzRGX5ZuORrFs0zGXqzYd72TzCbE0ipNiicstYsG6w2LO&#10;qr32cKkYOhXDqE6Zt0lMmrVGTJi+TFRevsBioRg5bpoNqsUBWT3OdJy+ZOV05GblNFlfG3Kzs+uC&#10;DtPV2yMrIAWRy8bteLzWT4iLGjY1gBBXVrPCPjfF42YGFuKG73r6GWufW5Xz2ujsHsMwTJcTIyxZ&#10;nzFBpWpXhuuFQpwtwU1fY1dHi+ofB1SHs4dAnR2pAKcLcLYEd6SlbdCRCw22ALe31bNP0edyvfh9&#10;bbXfZ5Te/DgeHi8hbuDSzopmqOgmp5ccb+4oPn7efkEWtc9xpDgE11nU7zINW45bvd8sugVFkdzC&#10;0BNCHCiYusQ93kB9JoW43cdjHhTlnXrO+IKUEEIIIYT0bqQQN2X15qj7wymrtxiFuA33PRY1RCoq&#10;xC3cd0wcfOMTcVAR4Q688VHcoaqeefXN29RtgnvOPGt82ZlMMEyqtXkXCCoQVuT8sy/9wK4OBrEs&#10;04S4noZCXOajHjMwtUkV6bxvhBBC0gf9fnL4hKksBMIwDMNkZrYu39pvw+rdFZuu3lW78eqd21Yu&#10;v+bOpQvWfDSndslfpk2ZLS4bP0VUlA4WAweEE94gu0F0GzVivBg3dpKorpompkydL+YtWC8WLdkq&#10;6tbcKFZvOOCyasNBhUM2K8HGm21W2HS/EAcWgy23uiza0hDFwi23dbL1q2KBy+02M9ccElOXXC8u&#10;n79VXDZrnRh7+SIxonK6KB9aaVMQpCJdVk57blZOE15OB6lQ0ttiHX8D+gF94EzyTNXWpn6qEBcr&#10;xYUT4gYvvNE+B/n5RYGFOFC+t6mfKhLg384uMgzDJBRIb/Lz0AYStfV7wZkdNxUHLzS4MlwvEeIg&#10;tvlVgrMluKpZorhuf2QIVFWiUwS4siPn6/wEODWQ1eX68dmOynGhq8OB4+ExCXHFe067Q6XiqzpU&#10;asmx5qiHE2GlOJl4clzhzDWieO9ps/TmhyK5haGnhDiQP7az8l683+X9H2reh5eeRUfujnlQVPC1&#10;R4wvSAkhhBBCSO9mzw8vBRLiUBXuyo3XxgyRes3jz0dkOBvv4VFNMQlxt9//qPFFZzLB0IvW5l0g&#10;yJnakfhQiMt81GMGpjapIp33jRBCSPow4cq5UfeTwydMa7B+bzAMwzBM+gcC3MZV9dWrrtp09Kr5&#10;qz+advnMv102vkYMHzxClA0scR/AxAMV4VAZbvSISrtS3NQp88T8+VeLJYs3iVWrd4m16/eKq232&#10;2ayx2e+iynARekiIswgvxEVLcfGEuPkuX7OZB7Z93WauzR1i1sZbxeQF28T4K1eKYeOm/VtxyZBf&#10;mPrZBcO02VJEdty/Bu0NiQwrGzluZ5JvKnc+0ZEsIW7k9sfcfh+2+rbAQtzw3efqsC+afEApjmGY&#10;hAIZzvoMaZKfJ/bvgYC/AyB6VRxsboyS4TJYiCvbd1YULar3lOAwXVaBi5HgLMoOt7SW3dy8r/xQ&#10;pHJa2ESLYdnVZces9ZmEt3gcD49JiFOHSkWlOCnDWfNbyxtiJT/t91JgKU4GFfGirkUF7EuoqnGK&#10;5BaGnhTiio6dFXnDOq81PwnVT4grPHnK+IKUEEIIIYT0bqQQhyFS1ftDDKEqZbj1px4Tw6ouc+85&#10;ZVW4G7/XFhHhLn7csf+HwUU4me9faj+qbhP0hBAH0cnavEuiwxdCpNPXJavKYehS0zLqsIkX3nrP&#10;bof2crpchyrpmdpA6kMlO3XdErXd4pVrjG38wH6tu3ZH1NCrWCe2KSvpYdtynh9qP+jHjnXI/lOH&#10;kcRXubzX8JJqG+B1Dk3HgnXiWGQfhz2WZOwfzos6D+tWp5kqE6Lvsd/YpmyHPsVyOE69vQq2oV6r&#10;WA5VEDFPTpPoy3qBflP3RRdL9WPENP1nBvth+nlR1+uF3qcgkT4Kcl0CuT4g+04Hy6vblu3i9ZVE&#10;/qyr1yvA/piWUftY7r/eBsupbbAvehv9+NQ26FNsR/YTwP4Fue4IIaSn0IW4EROmclQshmEYJj0D&#10;AW75orVLZk6dfWrKpOm/rBxV9W+DSyviVnzD/NKBJWL08Eq7Sty0KXPEwvlrxNLFG8XqVdeL9etu&#10;Euui2CPWStbvjRHiIlJcpxAXK8UFEeI6pbhkCnGdUlxEiLOluG4W4iRztt0ZxfS1R8X4mWsulFWM&#10;PR39Aj4avJiOSGO9c4hVSB/yWIMMC1i564nWZAlxoy0Kiofa2y6bviGwEDfihufdG8KIvOieq9Dy&#10;AcMwfTsGGa496Oe9I8M1xchwGSbEQYIr2XSHXe0NVd/cvnDANHcoVE2AsyW4Iy1tXZHgZNTfRzgn&#10;pcdaao2yWxCOh0cX4oIMlWpKV6U4Gchhkeux81xIAlWNUyS3MPSkEAeKDnRW4YtgllGlEIdqcFEP&#10;iSyK999ufEFKCCGEEEJ6L+XfedEV4mbt2Bd1f1g1Z6nY/tzLYvqGa5X7zBxbjFt95ylx4I1PxIGL&#10;H3ccfPOThrAinMz33vuXXeo2QSoqxEHu0IUcPyCL6MKKjpd4oraRw7Kq01QgcukijY4U1Ly2AZFG&#10;n+9HvO0BSDDYrmmejrp/6nQcu74dKYHhq2m6SpA2EIHiHQv2L+yxJGP/VClMF/aAet5wberXrAkv&#10;yUqVpnTU/ZCY1mFC77d4x+h3DDh+dVlTGx11e13pI3W+13WpHyvkMH09AMur7aQQF6+vAKS0eNer&#10;/lmFflXnm45PP8dyn1T0a0R+dqkynQmvfiCEkJ5m3qoNUfeTwydMizuaF8MwDMP0SCDATZ84ffXE&#10;ysteHDpoyBeQ39SHLDoQ31AdDlXipk+ZLRbNWyWWLV4vrl61XWxYu9viBpf1625UyFwhLnrY1PQS&#10;4uZcc5eY7fINMeuau5pGT1l2umTQyFN4gW06hzaR6nG9Ro6zhwl0jy/+cVXWn9nXdSEuIsVBiCur&#10;WWFvu3jcTF8hLkqKu+FcVDU7t8qdBc5dELGPYRgmPzu7QhWOnM+PQENn+8pw4FAwjDIcMEluYTCI&#10;bzqDUA1u+hpPCQ6CnFcluNKbz7+bDAlOxhETI797s3I68kdMrCw72tJmlN2CcDw8qgxXfJM2VGp9&#10;Y6cQpw2VakqypDgEv5vV9akUTFniLcYpklsYelqIAwO33xF1XPjZdA7fjRTi8k49F/WQCJTuPm58&#10;SUoIIYQQQnovqhA3b8+xqPvDUZOnRw2PCmrqrraHTt3/xsegde/rl7r0f5mP/vDFNnWb4Og3Go0v&#10;OpOJLq0AiCiQP+KJcZgfT4aTYJ36+kzt/IgnyJiEFHW+KlYFQa0C5QXkHggzpnk66vGb5qtA7kE7&#10;yELqdJM8FK9N0P1L5FiSsX8mEU1FFcT8hDYdHI+6nXhCkwl1eT/iSV7xjlFHFbXiXfdArRDXlT4y&#10;tVGR16W+T6bqaPoxyzbx+iqIiCpRf6b1ym7oB3W9QJ0PTJ8J6s899gPTsO/qcl7o6yKEkFRAIY5h&#10;GIZJq4woG1JZNabqnrHDxvymoqT8P9UHKyoDB+Tb8tuk8ZeL+bVLxfJFa8XaldeKTWt3uWy02W3T&#10;W4S4GCkuiBCnSHHBhbiIFBdGiIuR4jQhLiLFgbttpm+45Zlh42fck98//yG8nI85z51Dq2a8HCeP&#10;z2+oMpmq+qacZApxgxfeaPdnfn5RcCHOYmT9uShpRZXirONpN71MZxiGkXFkOPezPTcrpzWoTAsJ&#10;rOJgc7tRhJMcCoZRhgMmyS0MBgFOUrrpDqMIZ0two2vsIVONw6Eeae5IpgSnxq6GJvfF+t1acqR5&#10;n1F0C4ojuYVBFeIKqme5/aIOlVpyorndNFSqKdZxdEpsWTnbncldilfVuPwJs2LFOEVyC0MqhDgw&#10;0LpXdI/J+tnUfx4HPHShAS8+jULc9oPGl6SEEEIIIaT3MuzMy55C3PDqGvfecsy0mWLb4+ccEe5S&#10;l0U4mVQJcRCbvMQvyCCQVXSRTaKLTpB4ZFt8Nc1Xl1fn6W28pBhMkxKPLtYALOe1DZP84oW+bsg1&#10;8tggx+DYsC+qCKQv47c9tZ0JKQnpfSinq8Rro4tJOBa53+qxqH0X9Fi6Y/905LZN50Ttfwhv6jWD&#10;KmlyHtCvc3lOgV5dTKIu74e+b0GOUd0+/q3O06vEAXU+0OeDrvaRuqwJeVz6/uo/2zgmdb56PGH6&#10;Cvuqyn44Fr36nbxu9W1iWbkc0LcrUdtg/eo8HCem69ewerzYPtqZhFxCCEkFyzdvj7qfHDFxKkfC&#10;YhiGYXoueBk3auioa4YNGtI2qKjsb+6LOgXIbyMqhospE68QS+bWibpFV4stV9eLzS47bTZJQgtx&#10;NyYgxEVLcYGEOEeK6y1CXESKS1yIq5Vc+02Lu9uq5249N7RqxvP5uXm/ibkO8HI6K6chaGWhdAtE&#10;EByH9TXQXx5U7nqiPVlC3Mjtj7n9OHT1bYGFuBG7n4+R9+wqOp3npKOwf/8yZxbDMIwb67OiFp8R&#10;yucFPr+TJ8OBQ8EwynDAJLmFQZPgUA0OIlz+kEr3M1eSXzosMiTqrtNiENoCVYQ73NJadviFbaiK&#10;53RDUoO+t3+PRs5FR+mqmweVHm3uMIpuQXEktzBIGa5ofaeYpQ6VanOsxTicp1es42nEsQW9voLG&#10;uYb9xThFcgtDqoQ4UDB1iXssemU9KcSB4VNmRT0oKttyU8wLUkIIIYQQ0rsZ3fR9W4jb+eKbYsY1&#10;u6PuDwGGR12w76jY98NLHckU4WQgxE24cm7UNvfceqfxRWeygdDhVw0NYokuvABVrJHiiI5aQU6X&#10;quR0CWQddT62qc7H9nThTRdz9HWo8/Tt+6HLM6qU44W+jN/21HYAx4blMQ/HKCUmXcTR5aF4bbAu&#10;dV5QaSfosXR1/4AqQEnk9YZ+kOdcFaG8jkMX2+R0/XhMy+v7CfQ2Xujrj3eMstKaRJe5gDofxJsP&#10;utJHQJ0OvK5LvRqbfn3o1fjUzw+/vtKvV/3nGeh9pS7vJcsB0/kF8viAvt9y+/qy2Ae5DCGEpBvr&#10;d0YP/T984rR267OLYRiGYboveGlZOXLsjSX5A39TmJsXUwVOCnBTJ0wTKxauERtWbBNb1+wQW66+&#10;XqF7hThXinOEuIgURyGu+4S4b4qZNt+ymXTVjWLE5EUdhQXFf9WvD8hlqFaW7Jff3Rm3ulpWTtRQ&#10;pF4Zv+uJhvBC3FmjEAcKiofafVc2fUOUEKdLcaoQN/yG80Z5T5fiiouL/7szi2EYRlbYipLhnFlx&#10;U36wubriYHOHUYDTORQMowwHTJJbGBQRDrKbSYRzq8FZbVwRzsGuBne4pbU7qsHpsc5Jndwn/D4q&#10;PdrcaJTcwqCIbkGRQlz+mM5qEsXWvYNSHS6hcvW5X8kd5/wz6cHvPMjscn8lOIbifaeNwls8UinE&#10;gbyxnf2vivp+QlzFii0xL0gJIYQQQkjvpvKJl0Tt9htF+bCRorRieNT9Idh+7vt/2nfx46Zki3Ay&#10;JiFu+8Hjxhed3QEED0gfquSmo0o8urgSBF2a8ZsHdHHG1EYXVVQ5BqjzTMt7oR8f+gXrlkKQiSD7&#10;K1HbYd1egk2844vXRpcKTcubCHosXd0/gHWr81VBScXv2vRCLhtkP4HaBpjamND7K94xqvOCtlHn&#10;meaDrvQRUKf7XZdA35baVhdV1Z8bv77Sr9cg+C2vinh6/0rUzzV9v+Ux6euFbAhZzq9/CCEkVeD+&#10;Ub2fHDFxaqD3tAzDMAwTKpCXqkZVrkYlOF2C6xTgpoqVC1eLjSu2im1rtttAhJN0pxAXPWxqeglx&#10;uhQXTIjrlOICC3EW4YW4aCkumBAXkeL8hDgw49p7bCYs3CFGXLbAvV5USoeM/3Xl/GvPXXHNt/dN&#10;tbjiusZqULO1Ma0qyakSmfWzEHffxu1qqo0rxFnEE+KkFFdWs8LedmTY1GBC3Igbnve8KbSHQnSO&#10;J8gwsAzD9I1oQyt3hPl8KN//wrbAMhw4FAyjDAdMklsIIML5DYtadl1jpzSninA3N7fbw6IeiR6W&#10;ujuDSmDynBRf27ik7Ki1HybJLQyK6BYUvTpcYc2SThnu0FmRV1X7DWeX0y7OEMCdQ7TKY5i5xii9&#10;+ZFqIW7gMauvh6kCZ7ZdlW/Awxca5cvPofPqoh4UUYgjhBBCCOl75O884t4zlg4aEnV/CNY98nSl&#10;fbPcTbn0h7/UTVsYfV/ak0KcBIIHBBMIH9ZuxSBlJV1qCYJesUqdZxKu9G2Y2mBf1Ta6iKTOk8v7&#10;STeQfOSyXgINpst+UAmyv5Kg7eIdX7w2+jzTfpsIeixd3T+g97M6T0VtExSvSnte/aC2AaY2JvT+&#10;SuQY47VR55nmm9oEQZXV1Ol+1yXwq86oynL6z71fX+nnKQhqdUocizpPPQZ1ulolTx3OVf3cU5fF&#10;56KXbIjt+4myhBDS06DCsHo/SSGOYRiGSWpGDh62cPTgka+V5g/8t84XbxEJbmTFcDGjZobYtGKL&#10;uGbNdTbbbCIyXHAhLiLFhRHiYqW4IEJcpxQXXIiLSHFhhDiTFJcuQpwtxfWwECe58rpvi+pF14uh&#10;42e615GkqKhCjJiyXEzZcpe4Yvspm2nguvvap22/r2nqdY37aq5trKu5rrF65tbGlFSWG+AMvRZE&#10;EKna29QvESEuetjUTiFuyLLDbl+N2HEmmBB343kxfLd35SJHDuiAIOBMYhimjwbSe5QsFJHh6pzZ&#10;vsEwoRUHm5uM0psfh4JhlOGAQXILwqC9Z0XRFWYRDpXiynaddkU4VYgr3nTXfxSta9jSXcOiesUe&#10;+tPZRwiLZUdbWlMlxJUcPCvyhkZErLyCYlG857QrxBXO3eLuo7PraRmTGIdjGbhmv1F+M5FqIa7I&#10;YuCB0+7+4+fVPi5FiBu85OqoB0UQ5OQ8QgghhBDSR9i4075fLCouFZevWB91fwhGVtV06x/5QIib&#10;t2pD1DYx5JXpRWdPYZJTpHyiSy1B0IeJVOeZ5JsgUpa+j7qIpM6Ty8eTbuSykGCwjKkNUEUcEGR/&#10;JUHbxTu+eG30edhHdVkvgh5LV/cP6H2szlNR2wRBFZ2C9oPaBpjamND7K5FjjNdGnWeab2oTD7WP&#10;9OX9rkugD5sqfx706or6z71fX+nnKQj6cMa6zItp6jZxXPq+42dd32+1uhzAfC9RGJiGdyWEkFRw&#10;9BuNUfeTwPqcYhiGYZjEM23CtOwxg0c+X15U+jf3ZZvDyIphYtqEqWLdknXi2tXXimuAI8N1pxAX&#10;keLSU4iLSHHpKcR1SnHpIcSpjJmx1hbh9GusYvQUMW7utogQt/0+l6k297tM2XF/65QdDzTWXHff&#10;vprrHqh2Lt9uy4CsnAZ7H7MCD5vaGE+Iix021SzEjdzxeGf/LLopsBA3bPfzvvIeqt1Zx/Os8y3D&#10;MH0wkOGihpSEKOtUnIoXZ4jUdqPwFo9DwTDKcMAgu/kBEW7grC0xIhyGSsWwqKgYp4twoOymJ9vy&#10;KmvbIBw5h92jwTDj8rwUbbx1uy3DpUiIk9IbwL/d6nDHz/9sQEHJu3JeuktxiD0MrSO6S/KGVYri&#10;XY1GCU4lHYQ4ULils1qffSyKEIeKcOpDoqEzF8W+ICWEEEIIIb2asj0nxfy9R8X13/3hu4tuvvXb&#10;6v0hGF41rVv/j5OOQhzQBRUpycQTgIKgLm+Sb/RtmNro+6fvhzpPLh+0QpwE+wHZx9Re3V6Q/ZUE&#10;bRfv+OK10edhH9VlvQh6LF3dP4B1q/PVeSpqG78+MxG0H9Q2wNTGhN5fiRxjvDbqPNN8vU3YPgJh&#10;l1erpsmfHbX6GoBIpi7j11dBz5Mf+vaxDnW9cntqGwhy+ueCvt8SiG/6uZIksr+EEJJsTEJcedXM&#10;lBROYRiGYTI4W5dv7bdizuLpE0aN+8XAAfn/pb4gRDW4aROmiNULVoprV19ji3CSvijEdUpxyRbi&#10;IlJcGCEuRooLIsQpUlxwIS4ixYUR4mZqQtwMTYibft29NhOX7RFDx9d2vtSV111xhRg+aaGo2Xq3&#10;hxD3gEvNjgcjbH+wafJ1D+y7rBsEOXXY1CBihKwSFy3EPZmQEDf6hmdFQfFQe9slExYGF+JuON/k&#10;7I5ncnNz/9H5J8MwfSx6ZTgMzRlkWOhIVbgLDUbRLSiHgmGU4YBBejMBEa54+X6RXzrM/f0CIMb5&#10;iXCDbm5ptZa3xcCqqqr/wz7wHo5aHW5A/4KHyo60tKVKiCtFdbiCiEyIr6gWJ4W40mMttY5YGRna&#10;1SITpDgEVV/dPnaIN4xqughxRV9tEfkTZ3Xu+55bf+a+/NxyU9RDouFTrHbKy1FCCCGEENL7mfrM&#10;D9r3vn7Jfn41YuLUWvX+0L5HTIEQt3zzduOLzp5El1ekJKNPnzZrbsyy8VCXN8k3XttW0QUaVa4B&#10;6rwggo8fcjhZdZ3qcJBB9lcStF2844vXJsjyJoIeS5D1x2uDdavz1XkqahuTuOhHkP0EahtgamNC&#10;769EjjFeG3Weab7eJmwfAXV5v+tSooui6AdUnZPf68OlAr++0s+TXqUtCHr1Nwhyat9i+2inTkMb&#10;fIbJ7037rYNhUtVlgF41khBCUsE9Z56Nup8E3V3pmGEYhulFqV++NWfFnKW3TRpT9SeIb/KlWmRI&#10;1GFizYIVYkvdRnHd6mtskifEXZ+AEBctxQUS4hQpLrgQdyABIS5aiusuIS4ixaWnEBeR4lQhTqsS&#10;5yHERWgUV1iMnrHWFuHcl7sOQ6pmierl++MLcQ6X73hITN7+YPvkHQ811NQ/krQbI7eaTMBhRlEl&#10;LllCXFnNCrsv8vOLAgtxw294PuhY+v/N+cowTB+KKsPh8y2YDNdcXXGgpc0ouYXhUDCMMhwwyG8q&#10;EOFKN91hV4Bzj9EijAiX6rjV4SyKrj72DVeGS4EQN3DGGrcPBy6pF6XWNFuGO97S6uyurDaYcVKc&#10;LoaCPJ9qcekkxA08flbklTmy5/YD7stPCnGEEEIIIST34RZ31IChVTXV6v0hwDRndrfko9//tRYC&#10;nLrNnhDiIH74SSe6oCKHP4Qcpk6HfINp+vJ+qMub5JsgUpa+f7qIpM4LIvgEQRV+gJweZH8lQdt5&#10;DUspQZ/rwziqfaAv7yX6YL3qkI9Bj6Wr+wewbnW+Ok9F73cpNgVB3099qFCgVxYDehsv9P5K5Bjj&#10;tVHnmeaDrvQRUJf1uy4ler/qgpj8vFDx6yt9fUH2wYS6Dq+fV2xXTsM1qla7Cyq26Z+Die4vIYQk&#10;k0eeb426nwTd/YcdDMMwTIYH1eCuW7WxeumVc9suH1v9d12Eqxl3mVgzv05sX73N5jobVYjrlOK6&#10;U4iLSHEU4tJViHOluCQKcTbbT4kJy/eJIVWxVeOKy0eJsXOviSvE1ex4yJbibK5/WEze8VDr5O0P&#10;1jk/AgnHHmLN2Zcg4giqxOlCXNSwqUGFOIsR2+53+2H4tgcCCHHPi+E3nheo5OTsDsMwjJsBchho&#10;kJXTEe8zDZ8l5fub91UcaO6oONBiltzCcCgYRhkOGCQ4ia8It/dspF0ai3CIWpV0QP+8Z0qPNnek&#10;Sogruem0Wx0Olfbs6nDWdHu41BPNUS/RMlWKQ1D9FWKo2+8WBfO3pLUQZ0txNzZG9vfGk+7Lz9Lt&#10;B2MeFKkvRwkhhBBCSO8n98EW9zmYSYhD1ThndrfEJMShYpzpRWcysTbtihwQoqTUhq+moUXVYQR1&#10;+QXiCYQWOR/rwPeQSyCb6EMQqsuaRJIgUpYqtQBdRFLnhZFVsG1IMlifut84HlWcUcUqXY5Rj1kX&#10;k9R2fvuF5dW2QPYx1qnLPkDvA3V/Ac4Hqlvp61CXC3osydg/HL86X52nol+P2Cf1mgXYJiQsnDtV&#10;9EQbUz9gOsC/1XkSuXw8sF11uUSOMV4bvS+lwIhzIPugK30E1GWD/rzo/aoirxmVeH2lrw+fM+p6&#10;cO3imDAdbdVlJfpnk0Q9JtO1K1E/xwD2Ef2P7cqfHfSp3t8mAZAQQnoakxDX3X/YwTAMw2Ro6pev&#10;zdmxYuO+ZbULfjOqIjL8ogQi3BXVNWLb8g1i+6qtEbpZiIseNnVnpxSXhkKcK8VRiOt+Ic6R4qY5&#10;jJq5zlg1btikxeKyDV/zkOKihThbirN5pGPyjkcanB+J0LGryMh9CF4lriEZQpw6bGpZzcrAQtzw&#10;3ef5lxIMw0QlapjIrJyOeMNAl+89l1Oxv7nJFuEkJsktDIeCYZThgCbBAchuRVd0VjIDEOEGztrS&#10;KcJJXBGuub388Avb0k0ezs3KaZLHULjsxlNRMlwPC3GFNUvc/ixafyIiw1mUnGg2DsudyVIcEiWL&#10;WuShWty+02krxIGC5fVxhbi8U89FvSAlhBBCCCG9nIc6/+AHVTT0+8PhE6d1+Q9H/QIhbv3OfVHb&#10;7EkhLgi67AGhxE+G0YEIoy6vzjPJN7o4Y2oDUUVto8s16ryggg/Qt+2Fvj29GpqKKvWo0+Ptl986&#10;Jep50PdJl3a8kIKVJOixdHX/cPxqW3WeCgQkk2Dnhb4dfG9qp6Jfz+ryfsSTvIIcY7w2XtIekGJb&#10;V/tInRf058VLPsN1YWofr69wHarz46EuK/G65vVteX1+qQIhCHLtAP0zjhBCUkHzm+9H3U+C7r6P&#10;ZRiGYTIs9cs3Vtev3NSwonbhF7oIN6iwWMy6fLrYtny92LFqi4Ujw3WDEBcrxQUR4jqluOBCXESK&#10;CyPExUpxQYS4TikuYSHOIp4QZ0txUUJctBQXTIjrlOICC3EW4YW4aCkuGULctO332VQu3ikGV82K&#10;un5B+ZipoqruQFAhzuWyBMU49UV50Cpx43Y92Z4MIc40bGo8IW7Y7ufdITIYhmF0GW5AdrZvVYDy&#10;A+fr3KpwaSzEFS/fb8tv8thsEW7yElG283RMWzBo/zP/mY4iHGJXKpPnaEDh+ZjqcD0oxBWvP+H2&#10;aUH1LFeGc4Q4z7/Ey3gpDhX67J8P5zxYFC6rT1shDgy4+Rvuy8/S3cdjHhRRiCOEEEII6WMoQtzI&#10;qpoc/f6wJ4S47Qej70unLawzvuhMJpBPgkhtXpWP9IppfsjKShJ1nkm+SXchDoKSvhz6w9QWJCrE&#10;+YmHmI5ziHXIaXofAD+ZCpj2IeixdHX/1HlAnaeDbQUVvnTBL54shv3Qj1ld3o+eEOLw8+PVz2ql&#10;t670kToP+6PO8wLrUJeTeH1mxOsrgGlqGy+8pDv0lam9LqyZZD5MU9uAIPuj9yUhhKSKtl/8Pup+&#10;MsIUvvdkGIZhIiLczhUbWlfOWigqh41yX+gBiHGzLr9CXLN8nSPCSbyEuIgU11uEuIgUl55CXKcU&#10;l35CXKcU1/NC3FSb+8Wk9beL4VMjYphKUfloMXretYGFuEk2p0OLcXaVOOclOSr4OJN9M7a+qTq8&#10;EBeR4lQhbtjq29zjlcOmqkJcrBR3XlRsbvyGsxsMw/TxhJHhyveer4ipCqdiktzCcCgYRhkOOGJb&#10;2bWNomBUjfvZCPA9pqsCnEqpM6Rqblb2S87hplWsc9Moj6Wobv9jMTJcDwpx+WM6+7Z46x2dMtyx&#10;5rhVUnUpLvfL2QudWRkR5/e9ey5A4cw1aSvE5X/7BfflZ/H+27WHRNNEwdceiX5BSgghhBBCejcP&#10;dP4BS3nVzH76/WF3v0hMlRAHII9AqNGFHHwPqUUX2XTk0IH68pB3MA0yiWkdamUxk1ymC0AmcUYX&#10;mPC9Oj/eNvyA4AI5Rl0H9gfTdLFGBfug9gWW0bcddr8gOWG7sj/kOmW/qmKP3gcS7LO6DoD99BN5&#10;ghwL6Mr+oZ2c5yU46chzox4LwL7imvU7P7iOVGEM/5Z9gOOQ04PuC8By6r7ofRrkGIO00fsZ4HvT&#10;z1cifRT2ugT4+VevEYD1mPYJxOsrCZbHfupyH9aN48Jnjl7JTQVt9OX0NrgW1X3Bv00/P+pnnNoe&#10;61Svc0IISQdMQtzwCVMz6o+vGYZhmCSnfvna6vqV69vWzb9KTB03QRQNyHdf5NkV4SZHRLjrV222&#10;oRCXWiEuetjU9BLioodN7U4h7t7AQpzKyNr1McOpRsS46zyEuE4pbpIjxNlSnMXE608HfhCYm51d&#10;J7cXb6hBmcqdTzZ1VYiLGjZ1+sZAQtyg5cf/Peg+MgzTexNUhkPFtMEHLjQYq8KpmCS3MBwKhlGG&#10;s5DDo+pV4YoW1ccOj+ow6FBze/mh83WQnHKzclqDVPns6WCfIufHOqbcgtfKTNXhekiIU6vDYdhU&#10;RYbrKD4ebDhuVYrL1N9FUT87FnkYQjUNhbi8U50vP4uO3B3zoIhCHCGEEEJI3yL/wc579lQIcR/+&#10;/otqXYibcGVspSJCCCGEEEL8wD2kek85YsLUuH+szTAMw/Sy7F2+tR9EuJ0r17ddt2xNjAg30Pr3&#10;7MlXiGuXrRXXr9zkynDdLcRtoxAXI8TFSHFBhDhFigsuxEWkuDBCXIwUF0SIU6S47hTiIlJctBA3&#10;ZccDNuMW7xYDiwe717t9zVvf22JcQCHusvpHra+Ptk+sfyTQkBEDsnLasR286Hcm+aZz6NSuCXH6&#10;sKnxhLghG++R8ovn0HYMw/Tu2BKvlKx8Zbjm6sEHWtoszBKciklyC8OhYJhkuNKNd4j80mFRn/l2&#10;VbidHsOj3tzcUX4oPYdH1YOhReUxFS3ZdWGQSYYDJsktDIr4ZqL04FmRN7TS3o+8gmJRctNpV4gr&#10;PXEhdGXV/tnZ+51vMzL2MLbO7327T4ZViqLdjWbRLSiK5BaGIEJc4clT0Q+JLDBNfUFKCCGEEEJ6&#10;N9mPtLp/AJQqIW7PrXdGbZNCHCGEEEIICcu8VRui7imHT5gWaPQuhmEYppcEItyuFevbr7tqdYwI&#10;h3/PnjxNXLvsalG/cpNNYCHOkeLCCHERKU4V4qKrxAUS4hQpLrgQd2NcIS4ixalCXLQUF0iIc6S4&#10;3iLERaS49BDiooZN3X5KkeLiC3EAQ6WOrzsoBlfNdq9/ydDJS4IJcQ4T6r/TVFX/iG/lIAglcv2Q&#10;TZzJvqmqb8rpqhA3bMPdnce1+ra4Qtyw65v+S7anFMcwfS9RMpyF6fNKVoUbfKC5AzJcugpxg/ac&#10;FQOtz/POz7QcW4wrWXPCKMKBQTe3tJYfClbNLB3iSle5+b8p239WpEqIK5y7xe1j/BvTbBnu6Pkv&#10;yhsSEgv/m/M1Y6NWuwMQBQded4dZdguCIrmFIYgQh2pw6kMigKpx6gtSQgghhBDSu6EQRwghhBBC&#10;egOxQtzUVueWk2EYhunNiYhwa9u22yJctacIt3PlRlFvk3whzpbi0lSIc6U4CnFpKcTFSnFBhLho&#10;KU4X4iQT1pwUFZoYl583UIyavz2QEAcm1n9HTNjxqO849Bhyz15/Vk6HMyluxtY37XOFOItoIe5s&#10;XCEOyGFTSyYsiqkSpwtxwy3iyTAMw/TOOFWt4shwqArX3C5FuHQV4vSqcHGHR3WqwjmHmRFRReuC&#10;K1a2Q4ZLhRBnV4criAxFi6/43p5uERHl+rZcbf3ub5LnCRQuqzcLb/FQJLcwBBLi7n4i6iERKN5/&#10;e9QLUkIIIYQQ0rvJbuz8Q5Z0EeKA6SUnIYQQQgghXizfvD3qfnL4xGntzi0nwzAM0xuze/nqil0r&#10;1jVuv2qVmFE1KUaEu7J6srh22RpbhJMkS4jrlOLST4iLHjY1vYQ4XYoLJsR1SnGBhTiL8EJctBQX&#10;TIiLSHGhhDiLnhLianY8JC63qDaIcUXlo20xbpIixNlSnEGIi/Bo28Qdp43DC2ZnZ+fI9YYRzcbu&#10;eqo9qBDnSnGKEDdoznZ7m6ZhU01CXNHs67LVqjbWvmaUJMIwTPjoMhyG4nRm2bGrwu1vbtJFOIlR&#10;glMxSW5hUKQ3PyDDDZy1xRbg5LHkD6kUZdc2GkU4YFeFO3LOt8pnOkYVrUpvOG3LcKkQ4tTqcAOX&#10;1LvTSxRRrq9LcerQtqBwzX6z9OaHIrmFwVOIu7/z5WfeqeeiHhKB0t3Ho16QEkIIIYSQ3o1z62on&#10;FULcpY6/VBz9RqO2TQpxhBBCCCEkHLF/ZDE1cJEShmEYJoOyd/nyfjesXNuwfenKz5dfOUsMKixy&#10;X8RBhJs0apzYsniF2LVyg9jpElaI2xJeiNOkuG2aFBdMiItIcX5CXESK6xTiYqW4IEJcpxQXXIiL&#10;SHFhhDiTFJcuQpwtxfURIU5SffUtMWJc2ZhpomrjXQGEOPCYmHD9Y42mYVRdgSFclbhqLyEuethU&#10;sxA3YscZ9zgqFt0UV4gbvvt8hT7Umy7HMAzTe2LLunLoTZCV0+DMsuNUhXOHRzVhlOBUTJJbGDTx&#10;zUT5nrOicPws9/MOFF2xxh461SjCHXjuX1EVDrKfc6gZE1Wwzh856ddShutpIU6tDoeKfLI6HCja&#10;fs8puY8R+rYUh+NX+yO0FKdIbmGgEEcIIYQQQuLTEvWMikIcIYQQQgjJVCjEMQzD9IHcsHxV9Q0r&#10;1ratmTVPDC0pU15G5ojR5UPE+nlLxK4V620ZjkJc9wtxnVJcRIiLSHHpIcRFD5t6uyLFpV6I04dN&#10;DSbEdUpxiQpxl1//sJhsUVl3SAwsHhz18zNk8lIx8ZrG+EKcQ9X134l6YGhXYXLXl22sJGfK2J1P&#10;NdlSXAJC3CgLDJeKbWL41CBCHLbpSHGRYV6BJskwDJP58fs5t6vCHbjQYBLgdIwSnIpJcguDQYBT&#10;KTMMkVqy5oQ7hKouw5VustoPqcxY2VetOFay9oQrw/W0EKdWh8O/5fTS483t5Q2t/XQJjFJcF6Q4&#10;RXILQxAhDkQ/JJomSrcfjJpPzLzy6R+FTPuf/2psQ7qHLd9/T/ztP//T6X0h7r/0C2O7ZIB1y2Cb&#10;2LapHSGEEJKxPNQSNYxUOglxbb/4vfFFJyGEEEIIISZM95S4v3VuOxmGYZhMDqrC3Vi3pmHVjDlf&#10;mES4DfMWi90Q4STdIMR1SnEU4rpfiItIcWGEuBgpLogQp0hxwYW4iBQXRoiLkeJ6TIh70CjERXhE&#10;jKjdFCPGDbemBRHiJux83Pr6eFvV9u/YkhniVmIKIZiN2d1U0RUhbvCyI+6+D9v2oK8QN/SGc1HC&#10;girL4N/OZIZhekGsn2l32E3rM6kRghym21Xh9je3D95vFuB0jBKciklyC4Miv6mgKhyqwKlDpBaM&#10;qhFl9ac7ZTjgiHCDbm7uGHTjE7sG5Je86xxzh3XM7udzJgTnSP4eySss+0KV4XpSiEM1OCkhokqc&#10;Wh2u7Ph5d1hwSnHRSViKUyS3MAQV4oZPmRX1kKhsy01R88PyYccXjj4UScsvf29sB772o/YosQnL&#10;mtqlI3oOvHHJ2I4kH/S1Gr9rrKtg3Wp4ngkhhPQ60kCI+7DjX3Nuv/9RbZsU4gghhBBCSDjuOfNs&#10;zD3l8KppGfUOgGEYhjFk9/LVFWtr512cPHKM8tJRFeHWOSRXiNvRY0Lc9QkIcdFSXCAhTpHiggtx&#10;B3yFuGVX7xVX2ewTi1buspl31XVi4crdLkvW7rdJthAXkeLSU4iLSHHpKcR1SnGPuECCU3+2isrH&#10;iMq1DfGFOItqi6r6x+xKRBDh7HWEGDYVGbvrqfZEhbhRNzxnV4fDdlEtLowQh0CUkcdNKY5hekdy&#10;s7O3KT/XbRCt3Kpw+5s7bBkujYW4Qdc0CnWIVEhxRQvrI0OkWvN1IW7QzS1t5Yc6K2D2z8p5NhPl&#10;LGufa+UxF87a+K+pEuKKVu53+16tDme1j/kdQSkuOglJcYrkFgZPIe6B6JegyRbi1IpaCIS38U+9&#10;YmyLympqulNsSjZ6KEr1HBTiCCGEkOSR+/CFNudW1Q6FOEIIISRV/FH8+LNfpxzzvhGSGTzyfGvM&#10;PSWFOIZhmAzPuto506eOqfx70YA89+UaKsQtv3KWuGHFWkWG04Q4R4rzE+JsKU4R4mKluCBCXKcU&#10;l0whzpXiHCEuIsV1jxC3YvVusWjJVpva2atEzdQFNtXVV4hxYyeLoUNGi/KyoaIwr8BFfdmZKIV5&#10;hTYlRWVi8JCxYvjIiWL0uCli3ISZomryPHHZFVeJy2tXiSsXX2NxrZi7am/aCnGuFJeGQlzUsKke&#10;Qtyk60/bw6VWVM2JOkeDMYxqACHOpv5MW/GoKdfIZbOzs3OcH+O4GbuzaVtgIU6R4qQQV1az0t5m&#10;Xn6RhxD3vC3EWV+NQ7m6Ip8F5BlnMsMwGRhVhoOci+Gcy/eerxi8v6XNFeHSWIjDEKlqVTj8u1Qd&#10;IlVj0M0XGiD7OYcv8/9yvmZUICXbx51b8PfSG05HyXA9KcTlDa2M9H1BsSi56bQ7vfRYi/l3CKW4&#10;qOj9MXDTCbMIJ1EktzAkKsSVr90RNT8ROv7+744+FIlJWNKlJj9xLh1p+/2fnD3nkKk9DYU4Qggh&#10;JHnkPnQh6o9aUiXEmap5vPpRu/FFJyGEENIbgYz269/tTTk/+cPrxv0jJBN48qUfxtxTDq2q6dPP&#10;ohmGYTI20yZMyK4ZU/miKsLh33Mn1YgdV62yZbjeJMRFD5uafCFu2fJrxfz5V4upU+eJCVXTxLDB&#10;o0R52ZCkyW09SXHRIDFs1GVi1LipovLyBWLSrDVi+uLrxOzV+wMKcZ1SXGAhziK8EBctxSUkxDlS&#10;XBghLlaKCyLERaQ4UHn1raJQGUY1P69IjJh/fawQ50hxrhC384yovPbBzuVCDNU3tr6puitC3Igd&#10;Z9ztli/a4ynEDd99zh3qTk//r2Tvk+uAFFdcXPzfnVkMw2RI8LkDCc7+Wba/ZteW731hW1RVuDQW&#10;4ooX1scMkYqhUzEvRoQ71NxRfuiFbn1x05Oxz51z3PnjZ/y7LsP1lBBXvP6E2/9qdbjS483t5Q0x&#10;4qEbSnHR0fujaHejWYYDiuQWhqBC3NCZi6IeEiVDiDNVidPbqEIZ0p1SE+ldUIgjhBBCkkc6CHHt&#10;HR39KMQRQgjp61CII6Tr4P5Rv6ccPnGa53tPhmEYJk0zcfio1RUDi75wX6INyBMzqy4T1y9dKW6o&#10;u9qV4TJZiIuV4oIIcZ1SnEmIW73qerF08UYxZ1admHzZDDFs8EhRUTZEDAwpvRUOKPgvyHJg5Igq&#10;UV09XVRZoGrcFTOW2cyYs8Zm1oKNX9RazJy37j/mLNoiwKxFW/5zzpJrfiWZMX/jb8D0uWtFhHVi&#10;yswVNjUzV9rV4ACqw6FKHKrFlQ0aJkqKBhn3Lx5SmKu8fKGomb9F1K45SCEuhBB3Gah/VAyZtjqq&#10;XweWjxHjN33TV4gbrwhxZZVzVzs/0nFTtbepX1eEODBwxOWR/bS+moQ4e9hUHyEOiZLivpKz1ZnM&#10;MEwGBFUpB2TltMuf4QH5pbsG729uMopwkgPxMUpwKibJLQyHIugyXNGsLe48XYgbdLBziNTeEvXz&#10;t2TtiRgZrqeEuPwxNfY+6NXhSo4120OD+0WXwKxr8v92ZvXJQEiVfYH+LDp6NjVC3Ly6qIdEFSu2&#10;RM1PFL1KHCQ5OW9h85vO1EgyrTocSS0U4gghhJDkkfvwhSbn9tQOhThCCCEkNVCII6TrYMh9/Z6y&#10;u+9lGYZhmCQG1UFK8wtfVl8mji4fLDbNXShurLvaxl+IWxdeiNOkuGBCXESKS6UQt3rldZ8vnLvq&#10;55MnXiGGV4wQA/MK/3deTv+/qn1nJCunA9WvLJqsfzfYQ8tlZZ/qnJ/9szBDXaqx1tco14Nhz5zJ&#10;MVm+taHf8rVHcpZsPFK9dNOx2iUbj+0DV2061rp083GLEyLCSZslFhguFcOmTp23UYy/fIHN4KHj&#10;bPnN3fc4DB01SVRNrxNX1t2UFCGuU4rrnUIcqFzbYItwaj8OnrYmkBA3auVxUVl/Jq5AIOMvxEWk&#10;OD8hrmLRTe62h2170CDFnRfDdj8f98ZQCg34GXEmMQyT5rF+b/XD7x35GZBfMvTBwfub240SnMqB&#10;+BglOBWT5BaGQy2i6Io17ucXpLiSZfujZDhViBt0qLnJMERqRgfnL1LRzzr+wWP/0yTDge4W4tTq&#10;cAXVs9zppceaO/yqw6lxpbisnHYclzO5z0a9N8wfW9OrhDi9ShwEOTnvlU//6EyNRBWaIMs92f4b&#10;exhSiHJqMA1tveQ5KeFhOaxny/ffs5eR0772o3a7HabLdf/mr3+3p6E9qtapIt+HHV94ClBqhTv1&#10;2EAy1g9wnDherCNesE3TOiTq/sr+0duo5wxtTOtEH6oxtcF6cGzqsWJ9mKaKkTpBz188IQ7t0F4G&#10;x67Ox/L6uUAfY5reLyYhTp5LuQ18NS2rg/m49uUxyWDbmO61PH4eZNAO00z7gP71ug5wLcmfKxks&#10;g+/9zgkhhJA+QaNza2pnZFVNjnpvGKFvCnGXPvuLuPTbz8WHv+sQH/72j+Kj33aIS7/7k/j4D38x&#10;tieEEEK6AoU4QrqOSYgbPmFq4PewDMMwTIqCF4YDBwzYVZCT+3f50kyKcDfVrRE32iQmxHVKcREh&#10;LiLFZZYQt3Htzo4l81dfnFYz6+ywQcPO5+cO+GhAVs7nsq9iMEhvkA39XsyqVTywfJjhLtVge3I9&#10;2IdEXwZj31EpDhXjJk67qn3J5lsaF2++pdX6KhZvudVlkU2DDYZNrZm32a4MN3LcNFE2aHh0vygU&#10;5BWKMRPniMnztwYW4ub0mBB3b2ghTpfigglxnVLcJA8hDmCo1GGzNkf1HyS5cWu/GiPEAdlmxNL9&#10;omrnE5Di2qp2N8W9nsbuPtveFSFOHTZ10JwdRiFu6A3nAt0Y2kKD9XPgfMswTJrH/n3n/Pznlww7&#10;V777qc+NApzOgfgYJTgVk+QWkPKbzoqBk5e4n12Q4UrXnIiR4cCgPWdF6Yavf9055F4V9R5k4Jwt&#10;RhkOdLcQBwlO7kfJ1jvc6UGqw6nB7xDr3oul6p3gflD2a0Htmu4X4h6KfgmqC3GDl1wdNb8rqMIR&#10;IuUvKfEg+LcU3HTRyStYr0keUgP5R90OIsUpfTu6QKVHilgqutSkzkvG+iE26f3nF9m3XugSokmC&#10;0o8Jfai3gYSlRhWwcB71dZgCASyZ508V4rBefTn1OFTpzxT0uWwLdCFOldD0YLqX1Ibt+l0DMqY+&#10;V/dBCmx+69KvJ5yXeFIlpThCCOnTpK0Q1/zm+8YXnT3FR7/7o3j/p78U737yE/HOpR+Ld3/cLj74&#10;2afiw08/M7YnhBBCugKFOEKSw6jJ079Q7ymHT5jW4Nx2MgzDMOkYiFf5Of3fly/KMDzqvEmXi/ql&#10;dbYMF1aIixo2Nc2EOF2K8xLi1q28VixbePWfJ0+c9smQsiGvD4grv2V/ZOHKhP2zspY43RsqblUT&#10;Z72JSnFRw052QYqz9sFYcW7B1oacRZtO1i7afMs+i9ZFm29tl1Lcwi23dbL1q2KBBYZNrZ6+3K4Q&#10;J9enM3riHDHj6pujhLgYKS6IEKdIcckU4jqluIgQF5Hiek6IA9XX3ifKq+dG9dvgy5cpUpxZiBsP&#10;djXFrRbXVSEOlExYZG+7oGKcUYgbfuP5wDeGjkSaULVEhmF6LnalU+dzZ8DAsl8GluHAgfgYJTgV&#10;g+gWBMhwheM7BSxfGa7+tNI2u9o59F4TKTTm5Q3836U3nDbKcKA7hbjS6xvdc6FVh/u8/Mg5/i7o&#10;QnAfiPtK2b8DN53oUSEOApz6kCiZQpwuH8kKYWpUmUmXj/yCdanbAvEiq2sFFe9kIB/p2wojxMWL&#10;af1BqsKp8aoMJoEkpQZil95GD45Rb6NKeup+B5Gu1KCtul4QL17nT72G9POiHidktSCR7UGYaxIx&#10;XZf6NR8vutCm7kMQqQ5tpGQKdInRFLUPCSGE9DEeuhD1HCgVQhySLkLcR7/7XLz/y9+KH/24XbS9&#10;+65447VXxQ9f+p74wXcviNe/96K4+IPXRNs7PxLvtf9CfPTbz43rIIQQQhKBQhwhyWHUpCv+rN5T&#10;Dp8wjaNdMQzDpGOcl2MNeTn9v5AvyMaUDxbXLlwibqpb7RBfiIuV4oIIcZ1SXGAhzpHiwghxESku&#10;vhC3fuU1YsncFWJ6zSwxZNCQf8vvn/s32SdR2PJbTiv6Ta/6BnHHmt4u2yZamSRKirNJ7MU7tu+u&#10;owtyHY5VrieeXLdoU0Ptgk0NdQs2N+xbuPm21oVbvtoOIa6T28V8i8vnbxHjLl8kSgeNUI4zQvnQ&#10;SjH+ypUpF+Kihk1NEyFOMmbFUVFYPNjts4EVY8TYtbfbMty4zd9yp2PIVFWIs6W4nU+0jfGoFhc7&#10;ZOrZ0ELc4GVH3O1j2FRdiBt2wwtRfxkcL3l5ef/k/JNhmDRMlAyXm/e38q2NZvHNiwPxMUpwKgbZ&#10;LR6Q4QpG1bifV/lDKm3pzSTDWbTmDama7h6nhfXZ9GWnCzI+9v2Lc1wQ0UwinKQ7hbjCms5KfWp1&#10;uOLNX/3c796DCRb1/jKvoFgU7W5MmRCHinHq/K6iVzlThSVd3IHohGkQeCAFqfNMUpGcJ4kXKf2Y&#10;hDVsF9PlfF080iWlsEJcmPVDblOD/pB9gXbqskFFJiyvButQ55v2GVHb6EKZKpvp4hjOu3pMOH/6&#10;MevV0OLF6/zJ6fo+6HKaPl/dPvocxxOvQhyiVrjDOvSo1y3+rR+3OjwqvmI/1ejnxmsf/K4n9djU&#10;qPuOfcN5wTHjq2xPCCGkj5EmQtwjz7dq2+xZIQ5DoX7wi09F2zvviZeebhLN994pzt15Qpz72jHx&#10;XMPN4uwt+8Qztx4Qz956UJz/5m3i5WfPirfffU+8//NfW8v2fjHuH/v1E9ZpEgduvd04P91Ix/09&#10;+9IP7H0C+LepjYlEl0s1ydrvabPm2uvAV9N8QnoTXkJc9YQB9s/BsRPTjfMTpbzin+31PvDw4qjp&#10;FOJIplM5ddZH6j0lhTiGYZg0DOQoyE3yxRiqwi2tmSb2LF8l9rgynFmIs6W4NBXibCkuoBC3YcU2&#10;Mb92iRg7fKwYOCDffQkbhSPAoeKaKr95BfPVfoUo4MwKFWwL2+7cl+xaZ1aoRMl1XZDiulpxbv7W&#10;htoFWxvqLp+z6f2pS3bYUtz8rV+zmV53kxhbs9geQtXdV4choyaLCbM39IgQFyvFBRHioqW4QEKc&#10;I8WFEeJipbjHxASLQVq1uIrLl4nRK4+734/dfE+MEGdLcbueFGPrm6KqxY2sb8oZt+up0EJcRIrr&#10;FOL0YVNjhbjzvDFkmF6SqN9VuXl/K1t1wiy9+XEgPkYJTsUgvPkxaFsjhnV1P6t8ZbiDFxrK97ba&#10;v/Ps36n28Sb2Ozldo/6OL1l7wijCSbpLiCu56bQtadnnY0yNK8OB/NE1Xap2y3RG/WOJvLJhPSbE&#10;VazY4j4gAskW4vyqY0mRKSi6hKZXRdMDSUhKQ2grRSBdqEI7OU+iDzGq72sYIS7s+nUBSl0OqBW/&#10;sB/6fC908UrtP5N0hcj+A/q5VCUqXXzUzw3Ql9erxOkJev6w7/o0rFsV04B+jPp8E/oy+j4DTFPj&#10;12emCnJA7z9VJjTtQ7xjU68LNbLKHiGEECLp/1Bz9POnPirEffCr34u2H70nXnrycXHmpq3ivqVT&#10;xKkFk6yvNeJ+69/3LakRjYsuF9+eXy3ur7tSPHXkRvHy00+Kt95+V3zwm98b15ks1l27wxYWIHmZ&#10;5vcE2D7Yse9Q1PQf/vgXIqt/rj0P+6nOS5RHnmt2hbZvPfqEsU08vPY3leC45H7h36Y2JhJdLtUk&#10;a78rJ06y14GvpvldAcIk1o3rLZNkQ9J7MQlxLa3r3J+l1y5ucadDjpPTg4J1qeuW68jJ+R9R0ynE&#10;kUxn/BVzL0bfV05ts651hmEYJh2Cl4kDUBUuK9sdAvTykaPFziXLIzJchglxnVKcnxDXKcWtXLha&#10;TJkwTQwurTBLcFnZ/46vuVn4PvtiIi9fdSkOL5qdWaGiS3FJqTgXeZGfNhXnikoGvz9/6+2187be&#10;Xjdn69f2Vc1YeaFiWPUn7nYURlbP/vv0q4/8ySzERaS4UEKcRboKcbYUF0CIA+PW3i4Ki4e4/ZSf&#10;X+R+hQznJcTZ7Hyyraq+yR6GDlXjgghxrhTnIcQBOWxq0biZMULckOse+6t9ITAMk9Fx7ifcqqjF&#10;8+vNwls8DsTHKMGpGKQ3LyDDYWhUud+oEle+56xBhmvuKD/0QsxLmYKCgv+f889eE+uepRV9ASGt&#10;bP9Zowgn6S4hrnDuFvecFK8/4cpwpfX3/UZOpxSXnFj9aA+PCwqX1XeLEKe/BI0R4mZa9wlam66i&#10;yz4IZKcgQpKKLqGp4hFQ47d+k1AVtk0YIS7s+nW5SV0OJCrE6dXM1Cpi+vHIqAKVul1E9i9kNTV+&#10;+6THa16Y84d9RHsZXG+mZfXjl5XR/K5D/Vxg22Ha6BKiaXmgr8PvetCrFQLIgnrkPLVvEJxHk7BI&#10;CCGkbxJEiBs+cVpCzzzD5MFnL/xF325PCnE/+uRfxPfPPSueve1m8cCqWvHoogniscUTxUMLqsXD&#10;C6vtr48snCDOLL1MPDC/Sjx6TZ144VtfE69/r1V88PNPjetMFlIIAqb5PYHcvi6YqdJTsoQlbMNr&#10;e0Hp6vLdQaKCWLLEsp4mWfvdnUKc+rPVcM8pYxtCehKTELe8bph9jc6oLYmafuOezus3KE8+vSJq&#10;He9fut6dp1aJoxBHMp0JV85/TL2ntO5l263rnGEYhkl1IDCpohaqwq284kqxd/nKThkuqBCnSXHB&#10;hLhOKS64ELclvBCnSHGbVmwRV81dJqY6Epw8dgmGRs3L6f+yrACHfhqQldMo5+Mlsd15CUS+YLax&#10;1ulMDhVdrktWxbncr3xlnDMrVKz9wbCwDSAvK+dwbm5uljMrVIJUnMOxqseutG+SUh/6FZXlQHHJ&#10;0Ndmbr0rZ+bWb1ZYX6tnXnt3bYRv1l15zd37wIxrvtV45TX3tF557bfae4sQN2Hn4zaoDqf208CK&#10;sfGFOJun7Gpx43Y11UKIix02NbwQV75oj70PeflFMULcsOubuvRzxTBMeiTyWRz5vCmqWfF3o+wW&#10;hAPxMUpwKgbxzYQuwxVdscYeOtUowx1o6VVV4Lxi3x84/THwyjVGCU6lO4S40oNn3epweUMrXRnO&#10;FuKOtdTid73cR697BiZ40H9WX7p/GFO0/7RRdgtCUCGufO0O9wER6A4hTq+ShajCjw6EH0g7euUt&#10;PbpcpMZPytKFKtO+xGvTnUKcPg99IaUtvS8xTy4XD12aUvtIjVq9Tq2IpoqN6rJBjlfi129qwpw/&#10;PV5V0NCHuhwmg37Uq/gBHIsabDtMG7/jVfHrwyD7APTI6fryMlIIVNdBCCGk75H7cEvUs8y+KsS9&#10;cfGieO72Y+KRzVeJxoWTxP3zxtvi26m5leK+eVU291vfQ467d06leGjtPPHUoV12Rbn3fvoL4zqT&#10;RToLcawQF5xEBbFkiWU9Tbz9lkOqxqvO1p1CnFoh7sJb7xnbENKT6EKcl7Am50Fwi4ccbhVgGXUd&#10;AKId5qnCHYU4kulMmrX429H3lVM7rOucYRiGSWUgF6lCFKrC7VqyzJbhgghxESkuc4S4ZXOXicsr&#10;JxurwGHasEFDfjawoGCD10tVW/py2nfl5asqDCQqAWHb2Ae5nkQrzn35y1/+f+fm5v6j823KYx0X&#10;BM29eNFtXZ93D/jyl/OcWVFxZD73fEjQJ3bVOu1cOYsFyszt36y48tp76q645lv7Jq881BFMiOuU&#10;4oILcQ+GF+I0KS6eEFdtMVapFgdBLpgQ96SwK8PtfKojcSFOHzb1Cfc8DV5ze5QQN9wCQkqiPw8M&#10;w6Q+9j2F8zOeXzH2PytuOGuW3YJwID5GCU7FIL/pmGQ4d74qwx1sbi8/2JxQJdVMTNRwqVvuMEpw&#10;Kt0hxKnV4YpW7u+U4Y43u39Zh3sF2Qa/6xO9L2MiwbC/sj/zx9YYZbcgJCrEDZ8yK6ZNMtBjqsqF&#10;abpA5BddDFITRqhS5aOgbfxEp2SsP54MKKP3QTz0an2Ypu4LjgtCohqcF70KnFpdLsjxSvz6TU2Y&#10;86evE9KbSW4DOA69D9ToghiORY2pv/3a+B2vil8fBtkHoEedp0qOekxDsBJCCOk75D7YEiW79VUh&#10;7tWW58V36teJe+dPEPfMHmdLb/fOrRTftr5KMO3UvPHiXghyy6eJ71y3SrSculv86OOfGNeZLNJZ&#10;iEtX0nF/ExXbEl0u1cTb76DH1Z1CHCHphi7E3XX3HPfnRJ0eFAyxKpdHpTlTG3UbUpijEEcynVgh&#10;bhqucYZhGCYVwQtD9SVi0YC8/1rlVIVT0YW4Tiku/YS4TikuWojbXLdZTJswVQwuLXdfrEpQHW5y&#10;5WSxfH7dR0vm1FU63eObIFXMgkR7idsVKa7VWleH/TU7u09UrtHjiJ3uEH1Kv76m/LtL56pidI0Y&#10;OWW5uHzNyS96UoiLSHFdE+IinBEVV1wthi3YGUqIc0mCEDfyhnOioHiofT5Kr9wUI8QVVFR2+Vwx&#10;DJOa2MNwO4J9Xn7Rf5XvOG0W3YJyID5GCU5FEd9M+MpwwJXhWtrK956zh5HuK5G/U/OHVhoFOJ1k&#10;C3GlB86K/NJh9nnBV1SLk0JcybHooZXwO1qeQ/7+6HqsPuwcOvXq/UbhLR5BhbiyLTdFPSDqKSHO&#10;1EYfXjJedDFITRihyiRwxWvjJzolY/2oWBYviVT30sUo7IcqXMn9UANBTh9uVB1yM8jxSvz6TU3Y&#10;86f3l9/yAH2n74sM1i/bqX2DqPOCtPE7XhW/PgyyD0CPPh+SoD68rEy8/iKEENJ7SRch7r6nX/it&#10;vt3uFuIuffYXcel3n4sfffwvovXR+8VDGxaJ++aNF42aCKfSOHe8uAf/nldtD6167o4T4p0PLhnX&#10;nywoxIUnHfc3qACmk+hyqSbefgc9LgpxpC+hC3Gm6m1hUIdVbWldZ2yjVqGDHIdpFOJIplN1xeyj&#10;+n1ledVMPqtmGIbp6TgvrV15aFRZ+X9sX7BI7Fu+wiZaigsixHVKcYGFOEeKCyPExUpx3kLclrpN&#10;Ytmcq8S4YaNjqsHh+6kTpoqVC1eJrauv+2Lr6u3bti7fGuoXkl2BTK4zK6dDDqsaNtaySak4x0Ri&#10;VzZRXozHYF33Vh8nJDWo5yo/r+jdK65p3DZt+6mOZAtxnVJc8oW4KpfUCXGlNSvtPoSEogtxpTOv&#10;fVL2MX8eGCZzgs9V/C6UP79lK0+YJbcwHIiPUYJTUeU2jUH1p0V+SUS4AjEyHDjUIsr3n3+3z8lw&#10;SpWwgXO2GAU4nWQLccXrTrjnBpXi3Opwx5o7yhtaY343/P/Z+xPoKsq8/xd9z73nrPPeu846zXvu&#10;uned855uEiEBEgIJQ6AdgIDKEIaEMRBAAojiBEEBJ5AAKiBqbBVnDTM4RnFASOjY2k7tgOIAqN3R&#10;dhYxjt399r///+fWt3b9av/2s5+qXXtnT0l+37U+K3tXPVX11LB3itSH38N/98vvj/YFx46OJYas&#10;LVgX/9CpHU2IQ4UqHkg7ELF45SpdLtLFIB4/wcdPPgraxk90au/6+TwcBy4K0nu04esLil79DYIU&#10;3xdaL5+GNrwPqLDG16nvi9+x58G+eM2L9/zhOtFFryDCICQxXcTkw9Bi3Tym4+7XRr9OTMsDfR28&#10;Al+QPugV/PRzpINjox8vr6p6giAIQidnV3PEf+rtUkLciR/VO3/5RP3pjy+qZ++sV9sXVKid9jCp&#10;w40yHECVOFSQgzi3tepM9cTG1eqNNw8b158sRIiLn2zsb1ABTCfR5TJNrH4H3S8R4oSuhC7E0Wdk&#10;0+YJEdOD8qtu/24vj2FTTfOJ4pL/tNuReCdCnNDROXvyrAv1+0rc41rXuUQikUjSEfsBF6Qe56F1&#10;79xT/lF15lnqqtlzXRkum4Q4W4qLU4ibN3WOKh85VvXrE674AiDBDSkpVQtnLlQXz1+ili26zBbi&#10;Ti89zZqfk9AQaLZYSNtohxSXrIpzknCc4VSjxLgeObl/s37+LZkC4/jlDbXll21tDSrERUtxQYS4&#10;sBQXWIhzpLh4hLjhmhA3LBEhjklxJiFuwDkb3fNRuvIxV4qDEDfo6v11yZJNJRJJeoLvQev70K0o&#10;VThukRpQ12yW3OJhXWyMEhxHF9wcilfvU/kDQxUpgVGGs+i/rEH1zO97pKv9Xubns+jqvUYBTifZ&#10;Qlyvssnu+em7eq9ndTge/ntf7qfaF/67OH/UZKP05odJiOtza2whDuhtkoEefb5JctLbxJKLeOIV&#10;quJto/eFz2vv+rmgBRmNL5cMePShWakN+kOBXMXlKS6MEXpMchUkLB59PTyJnD9d9kOfgwwFqsuY&#10;fNv8OCDYNl82Vht9nunYAX0YV3789HWYhjjV2+Aa4vNNmKoFmtoJgiAInZwsEeIeaNz/F327qRbi&#10;jn3zvXrr3ffVC08/oZ7avEZtPWec2lVVprZNH2GU4QgIcTtmlNnV4h5dtUS91Nyk3vvkS1uwM22n&#10;vfgJcfuef8We/qtu3ez3f/roU1sC635KD3eZ8snTYopUh958V1UvWOS5HE0zCWbYNuatu/lWdxqW&#10;xTTqlxdcisK+YBrtE5+mk+z+6lD/8VOfh20svnRFxHkBWC/vg2k5auvVxoS+XKLnGKAN2tIxAEUD&#10;Btrrw3pNy+BYYz72ly8HMK3+vq3G5fR+03Q6tn5gm9SejjN+0nr5OnAc/PrvB64BrMPvOsV60U4/&#10;37GOW5DrGPhdjzQPy2M7uOZpnTgG1I72g6bR54OWx0+858fVC5xPfV+9zjOtn/fFBI4T9cM0n+DH&#10;zO/zCaiPfNu4NhL5bNJ2qX94T+vANPSf2ibjWGP9fBlAx5gLcY8/Od+dj9c0PSh8KFSq/ObFktph&#10;djsIdHgvQpzQ0Rk/Y85s/b6ydES5POOUSCSSdER/YF3cu8/3546foNaeUxMhw3VUIa5m6hw1tCRc&#10;6YXAtIrRk+xhU5ede6ktwoHFcy/Y2adn/vfUDg/+nEMVV3QpLlG5DkN+4uEthKu87qdM+/Wvf/3/&#10;cmZJ2hkcW+u4Rg+n+pucexKRrbjAiPVany3b7h93aUNl+fJtjR1JiLOluAghTq8Sl3whbsiKx9xz&#10;MGDRrRFC3OCrDzTiWCZLNpVIJKkP/07sNXSMKrG+H7JZiIMM13t4WLbqc9Zse5rerv/KvSdpONWu&#10;JFdhP0P3M8GHSwXJFOL6rtrrnh+IcRHV4Tb4V+uz+h4hxeXl5f3vzixJnOmZe8oROpZ9LtlsFN+8&#10;CCrEFS1fH/EHIqC3SQZ69PkQgHgg/ZAUhJ+6vIPoAg9PRxbi+LpN8lN70SuiUfgx0yuO8UA84+sD&#10;+pCl6DedH/TfVJGM5hM8iZ4//bxwMQzt0C/0ha4t9E0fDpZLiFiGR+9zrDb6dY2gPZ1THGf9fOj7&#10;rq8f4Z8Pvf8Ir46H447zw/uF7WIdPMm+zgRBEIQOQlcW4r5uU6+9/rpq2btDNa5bobafM07tQIW4&#10;6d4V4gi0gxD34KUL1KGdD6jXX31Vvfvx58bttBcud+jzuHQEyYILFjpe4lKs5Uhmodf68qZ52BZN&#10;v/fBxyLacyCVoA22T9P4PpkEllT0V4eOOX7y6dg2Le+H6VjH2i8v+HKQcSBi0Xsdr3MMIOCYliFw&#10;TLF/+nJ+x5rAuvXlvPaXzrkfXCbi54KfWx0cl3ilOL4+0/xY1xrwOm5Bzze18btW8RkynXdqR/uB&#10;Y8Q/ezpefQU4dn7XFtCPMb+m/I49HUMur3lBoie2ZZoP+OeQxDk+zY9Yn03TOeffA+091jiXpvbE&#10;Lffe6UpqfLhTmhYPubn/YS+Ln6b5HFSgo229/NoSEeKEDs+gEWPK9PtKTLOucYlEIpGkMrZc4jzc&#10;BMNKBvxydfUcW4az6aBCXO28C9X08slqYFGx++DUfmjXM9+uEndu1QJ16bnLLC61cYS4tqXnXWr/&#10;wcWRBA/TchCn7AMWZ5xqZO7xTVSKk6Q21nkxDqdqXQMt8QqR9rpoHZqwVb68oWTcZdsaslGIC0tx&#10;mRPiQK/CQfaxK5p4sSvE2cOmXv1sm3MYkyabSiSS1IV/F+blF/wPV4bLUiFOl+FQJc4kw1nLHi5e&#10;0wIxjMlVOXutXf6fQnveecPPadDhUkEyhbje1napD4UXbHaFuH43NNnSdKxEnLff5J7vTJbEGQj/&#10;dBzzBg8zim9edDQhDuhVsmIlFUJV0Da6eMXntXf9JgGKByITtg8RKhGJySRQIXo/dYGNYtom5Cyv&#10;9qbEqjKX6Pkz9YMEvljHlYL10/r0Zfi8oG1MMqdX0HfIanz5oP2m4PrgyweJ3/EWBEEQOjk7miL+&#10;zoPqGfq94ZBR4yKkuVQkUxXi3njjTfXcw7tV47WXq23nlKvt00Oim0mC45A4t/vCWWr/HTeqF599&#10;Rh354M/G7bQXEoKAPo+LHCRxoD2kC8xDtSQ+X5dW8J5XGoPgguX0ZQk/aYfPw3ppukmW0ttgWzSd&#10;7xNe68ukor86dMy5CAMgauE4Yrs4xvx4Qo6hc4CffDngt19+8OWIeM4xoDaYj/3mwhnWQ8cUP/ly&#10;ANMgMmH/+HLYNheodPkn1v7Gmk/w6x/QPmAZ9In3we+cmkB7WlafR+ea5tM5x3bxE+9pHtrxYwOC&#10;7h+1MfWd5lE/6LwD/pmh/dD7S33lEqJ+TRN0HHG+cVzpOsJPSGe0bqyXluH76FXRDdunNnhtasPh&#10;58QklAF+zVM/k/XZ5PuJ6ViW71t7jzUth+Otfw7RngtxGL4UbalqWzzw6nIQ60xtOHo1OhHihI5O&#10;pu5nJRKJpMvGqfLhDpGan3vKzzNGjvrbunPmhWU4h/iFuLAUF1yIWxxTiAtJcUyI06S4kAh3gRpf&#10;NsYW3+hBHQhVg5uoltRcpC6zRTiChLhlLUvPXxpRWUSX4lDpxpkVV3QpLtGKc5LUxz7nHlXj8HkJ&#10;Wo1MF7b05SqWNnQbu3xbbdcQ4kJSXFAhrmjMAvu4FZxRGSnEWTiHz47IphJJ9saWZejz2bP3f+u3&#10;YHNYhstSIQ7V4Oj7JJYM5+ymLVd1pQpx1r7a1YRRHS/ocKkgmUJcflGo4m9eL6sP6/e5QlzfDZEP&#10;zPyC84brE9epM0mSQHqe0msXfWbiqRLXHiEub+szUe3aix5TG4hAflKVXtFKF494OrIQB+FMX79X&#10;TAJVLExVyxD9eJoqyfkNxRnr/FG8hoHlac/5w3seiJam6abwymqmZfRjFLSNXkHPFPTTdC719fut&#10;y7SOWMHnSqrDCYIgdGGyRIi7ZduDR/XtplqI++Dbn9Q7f/5EvfLCC+qZLZvVjnkT1a6qkWrbNP8h&#10;U8F2R4jbdf509dRNa9ULTzyqjhw9Zt5OO+FCkD6PixzAJKVwwUQXUtCe5pmEHAgpsYQjr3mQRGie&#10;SdKCaELzufjC9wmv+TKp7C+HjrmXPOQF3ye973775QdfDsR7jiHdeM0jcNyoDfbB1MYEX7d+PGPt&#10;b9Djwa9/XSICuLa4ZMTnxYIfN30ev369jgm/HtGezwu6f9TG71oF+vo5fD9wLEzb48dR/zzSdYtl&#10;9eNL8H3lbUim9Dr2dByxbtN8HX5NcemPQ9sMUnGOCPrZBH6fgfYca74d03KAD5laNrKn3RY/ubwW&#10;BJLpACq+mdpwmlsWu+0h0IkQJ3R0TBWPh4wam1AxHolEIpHEiCN6uUOkFuX3+nLZlKkKMlw2CXFh&#10;KS62EDd/SrUac8Yoowi3qGq+Wn5urbrMJUKIa1t27rLapfOWGh9mO8eqhdaXqBSHh64Rcl1OzgXO&#10;LEmWxq6EY64adxjXQawH6RFSnE20sDVmaUMuKsbFL8SFpbizAgtxD8UvxGlSXDqEuOJZ19jHC8KF&#10;LsSVXnUgQiwU2VQiyb7ovzcLKpZEynBZKMQVjF/kfE/nqvy+g1X/y/dGzA/R1FZ8beR3EPJ//V//&#10;1//bedmpg995dIx6jZhsFN+8SJYQV7h4s3ueek9bEq4Ot6n5sNPNwLF+d1zivJQkGHzW6Xzk9Rts&#10;lN9MZJsQxwUvEpRMQNaC8MOrxUHYQVUzzCfhyiSC8WVMFcgIXdzSJaggbbiUpO9Pe9evz4sVv+Pp&#10;hS67mdaBymq8H3htGi6VA7EK50oX+nAOccxMshiRzPPHt4+2WIb3jS+P7WJ7NAQpB+um0HoSaQOw&#10;79gO30+0R3/8qv2ZhDtsg59DrBPtTOug7epCKbZrOnaCIAhC1yJ/Z+S/vUxDTGVKiHvpWKvxIWey&#10;OH7yZ3XsxE/qnY8+Vr/fu13tPG+62g0hbnowIQ6V5HYvrrKFuOefeEQdOXrcuJ32wuUKfR4XLEyi&#10;FOCCiS7d0Lr9ZBUIHV7LA695kK9onkkwoUpKukjjJ42ksr8c2g5+muZ74dd3v3l+8OUSOcd4j+mm&#10;6m8cEgm9JCQvvLYba3+DHg86F+i/LnIRXF4zzfeCjo2+HL+GYl0DdNz0azLo/lEb0/VI87ANr30H&#10;fD+8qqr5CWF0jP2kO35MuFgZa9s4LpgXz3VF/TF9zrm86SV4mvA7H3ye3zEA7TnW/HPq9VnmQhwq&#10;w6FtvEIcBDjazryawcY2JmgZEeKEjs7xk7+0FY+o6KbfV4oQJ5FIJCmILemw6lfDiks+XFVd7cpw&#10;mRTiIoZNDSjEQYT7bUloiEUCUtyo3w5Xi2bUqOULl9oynFGIW7js8NJzlwaq+MUf7uO1Mzmu9OjR&#10;41fWsjdD2sFDRGeyJMsDCcCrahyuBcxzmkbFUMXM+Me6s5fvLBm7fEdruoW4sBSXPULckBWPucd3&#10;UO2uCCFu8FXPRh1r+/wkYXhjiUSSnFjfefX0eex1xqR/RslwWSbEFVZd7n7nQMT1lOHWNXfp8uX2&#10;70HnOPU9f7NRfPMiWUJcr7LwkLZFKxvC1eE2NSX0nxUk7Y/1eXf/40DQKnFGIe52gxB31Q3aH4hS&#10;I8QJweHCFCQmXdTSRTVEKnx1XoJUoBMEQRCERAkixGGaMztlyYQQRxz96jv1/L5GtefianvI1O3T&#10;h9uy2wOeQ6cOVztmlNni3O6LqtWBu29RLx86qI589LFx/e2F5BCgz/OTPDjURpduaHqsSktey8ea&#10;51XJyU8M8dsnmp6q/hJ0zGPJUDp+ffeb50fQ5aiNvl/8+glCvPtMy+nbjdXvoPsV5Fxg27Qu03wv&#10;vJbjffOrFgb4OrggFXT/qI1+/GLN4wTZf7/+0PSg8P7wz7IuvXExzEseM8GX06W3eCvOEX777zdP&#10;p73Hmn8esS/6ceFCHLWLV4hbUjvMXRbDn5ramKBlRIgTOjoQ4qxr+d/0+8rSkePk79oSiUSSzDhS&#10;jy3n5HXP+X7ysGEfrj/nHLXOhgtxkVJcICHOkeL8hDhbimNCXLQUF0SIC0lxCybPUgP79ncfjNoP&#10;4nrmq8mjJygMm7oCIhxHF+IWXlrvVRXOK/yhX6JSnKRjx6tqnHNNNFqfsagKZfm//vX/3bN7zsdu&#10;O58qZqOXb6sdvXxHa6qEuIhhU1MqxO2LW4jjUlxefoF9rPpNWxEpxF19oNE5VBGBYMqluEQrOUok&#10;kvYF32/0OczvU/z3Euu7IJuFOF2G63fhFk2EC9HVZTgEv+Pc47R2n1F88yIZQlzRun32MKn2tXXq&#10;mHB1OIv80pG3ON2UpDmJVIkTIa5jAtmJx6sim16BzVTdTOgciBAnCIIgpJKcPS0RozKgGpx+b4hh&#10;VJ3ZKctN9+96Q99uuoQ48GLTs+qRKxarB6aPUFunDbeHQ8VPkxB335Rh9tCqO2eUqYcuO1c9/9hD&#10;6q33jqqjn39rXHd74QKFPi+oyEFtdLHGa7qOXzu/eRBkaD7EGZrOh1/UK1/57RNNT1V/iVgSFvoF&#10;mYWfGx2973775UfQ5aiNvl9+fTRhquSFc4fpWBdV/NLRtxur30H3K9a5ANg2rcs03wuv5fyqqenw&#10;dfC2QfeP2ujHL9Y8TpD99+sPTQ+KLqlRtUe9CqFXFcgg0HWmV2yLVXEO+5bKz2Z7jzW+7/S+4bjh&#10;OxHz2ivEvXd8pVtZrrjkP41tvKDtiRAndHhO/txqXcu4p23j95WlI8vrMV0ikUgk7Yz9sIpJPHk5&#10;uT8uGDv2a8hwHU2IWzB5ZpQIN7CoWE0ePV6FRLglDmYhbknNRerM08pOoHKXc3jiinUc3co3EHCc&#10;yZIuGD85LnSdRA6Rar0fSe0hpzqTjTn7sh11UUKcI8XFI8RFS3FBhLiwFBdYiLOIV4gLSXFmIa7P&#10;kNH2cSw4ozJCiCu9+ln7f1GYIlKcRJLZoFqj9R0XqojZI+9v/RdvMctwwCS5xcO62BglOAbkN8hd&#10;6C9+Fp272SzDrT3Y5atOcunJHi51g1l88yIZQlyf2WF5sWD+WleGK7wgNIyqfOdnLvxeKEiVOBHi&#10;Oia6EIcKcXwITohvuiCFinJ8HULnQoQ4QRAEIZXoQlzpqPIa/d4wHULc+lvvOqJvN51C3Gsvv6ye&#10;rl9vV4nbds449cD0MkeAOyPElDPUA9OG2ZXjMB2V5B6YMVI9vna5evW5FvX+Z1+r49/+ZFx3e+Hy&#10;hD4vqMhBbXSxxmu6jl87v3l8eENeCY6GmTRVevPbJ5qeqv4SfhIWVaiKhd73oOdKJ+hy1EbfL799&#10;CQKXw/zQtxur30H3K0j/sW1al2m+F17LcWHTr2+Ar4O3Dbp/1EY/frHmcYLsv19/aHqs7XhhqujG&#10;h1jVq0AGgX/OSJrFummaqeJcOj6b7T3WvI3eX4hxT/6hOUpQi0eI27R5grvcnXdPNbbxgpYTIU7o&#10;8HgLccYiIBKJRCKJIxC/uCRS0DPv8Mpp034gGa6jCHELJ89UgzQRDkOlQoRbNm+xWrnwEibDmYW4&#10;i8+54HC/3qGH33hon6gUh4eu1AccWzwodmZJumgguFnXgjusLr8+IMdBFHGa2rFlul+bh0+lYBjV&#10;0St2NcQjxNlSXJYIcZHDpj4VluICCHFFYxbYxw+SSoQQZzH08v0Rx1IPPw947UyWSCQpjCOkup+9&#10;wqkr/mYU4QiT5BYP62JjkuCI/tZ3JclwwEuGK1l/SP6HlhVe+c8eLjUDQhyqwmH7qBKHanFudbiz&#10;Zv6F+iZSXGbChckgVeJEiOuYQHiLN4+3fmlcl9A5ECFOEARBSCVBhLihI8b4/n0oGbmmfsur+nYP&#10;f3rC/KAzBbzzwUfqxWefUgfuvFk9fMUFavu88bb4tmPGcLWrqsweRnWn9XPPzJHWtJAMt2vxLPWs&#10;1f7Nt44Y15ksSAgC+rygIge10YUXmp7KIUhJfqMqUag2RsvolaaA3z7R9EwNmYplaHn0Qe+fX9/9&#10;5vkRdDlqo+8X7Uu8Q0wCvm2cP5wvvaKf13Zj9TvofnmdCw4/L6b5Xngtx/sG2YvP0+Hr4Mcm6P5R&#10;G/34xZrHCbL/fv2h6bE+V37oFd24JKdfM0HgMi2dAxLITBXn+DFI5WezvcdaB8eGr7NfSXGUoBaP&#10;EJeb+x/2MqgSZ5rvB21PhDihwxMW4g7z+0oR4iQSiaSdsR9gUrUWi1OL+h1YPWvW9+vnznVluLAQ&#10;F5biggtxC+IX4jQpLpYQt3BylVGEm3L2eLXsnPNtEY6IFOKWMCFuSdvyc5faFV5QtctdVxKkOAgA&#10;eTk5C6xJ/4/QHElXDsQ3yHHWtdXqXmcO1rViHFI1Vs5evrPGojXbhbjoYVODCHGRUhwJcQPO2ege&#10;t0G1uyKEuMFXPRuzWpN1/Fnlvpz1zmSJRJKicFE8v+SMowNNEhzHJLnFw7rYmEQ4ULxqn+r125Bc&#10;BQrGLzKIcM2q3wW3v1e8pkWEdyv4/YVjZVfSu2pv2oW4ohUN7vnqPWZ2aPoN1vRNTW0F1ZflWP1z&#10;/+MHJHSn25I0hv/eLVi31yjCESLEdVy2H//UUZ9iB7KUaR1C50GEOEEQBCGViBAX4tjXJ9U7H/xZ&#10;vdzye/XsnTeph5afq3bUTFQPzCizq8I9MDVUHc6W4aaNULsvqFJPXHe1+sNjD6t3/vyxcZ3JgoQg&#10;oM8LKl5QG12sIVlNH+qQw8UUfXngNw/waluQ4ei9l6Dlt0/J7C+JOyZoO7qERefCJOQAv777zfMj&#10;6HLURt9nr2Frg4B10bJeUhPN17cbq99B9ysTQhyXNv2uE4BrEe30a5Lvn5dUh2NKbfTjB/zmcYLs&#10;v9/xDvK5igW/zrBfdN7aI9lRv/AT6yTpzlRxLl2fzfYeay/4eklQgwiH90GFuB27q911QGoztfGi&#10;uWVxxLIixAkdGkeIKx05roXfV+I9pkskEokkztiVGrgQ0j23bcqwM+6/ds6ctmshwxEpEOLCUlxI&#10;iAtJcfELced6iHBzJ05Vl55zvrp8wcVqJYglxC1Y0rJ03tKIP5BAguPr1Ye2DJrCwsL/zXkpkUTF&#10;rgIXIWYxDEOqxopdLS6IEKdJccGEuJAUF58Q93jKhLghKx5zj1XxrDWRQtzVBwL9j4nQMbaPtecw&#10;qxKJpP2xRXNHvu+Rk/tDyZVPfJ/NQlyfs2a73y94Xbx6X5QM17+2IVRBTuQquqe0z687XGqahbje&#10;U5e456zv0i2h6RDiNocq+DkVCkWKy2DwHwLo+PcaN9sowhHtEeJ63W3dH2jthPSCSnEvfvWdav3x&#10;F0eDCgfTMA9tTMsKnQsuSP7tX/+S8y4IgiAklZyGyP+cNGTU2Fr93rArCHHHT/6sjn3znXr76Afq&#10;peYDqnnbPerpW65XT6xboR5ecZ7ac8lstfuiWWrv0nPUo6suUc/ctkn9ofEh9dprr6mjX6S2nyR6&#10;AH1eUPGC2uhiDZdYTJIJ5DKSUEzLA795gEs/2B4JRHhtau+3T8noL0k2aKdLXngPgYeW1yUsOhf6&#10;dILLf3rfg54rnaDLURt9n/ny8cpJWBcta5rvJx/G6jefb6oUSMQ65iBWP73wW462C7yOOz/f+v7z&#10;697Udxw7uhZNywO/eZwg++93Pvjyps9VELhEyNfnd25jwavM8XXqn1sQ6zpJ1mezvcfaC76vJKmR&#10;EBe02hu1By+/tsTYxovHn5zvLguxToQ4oUNz8pfD1rUcJcShYhymSyQSiSSOOA+m3epUqGC2rKLi&#10;/mvnzlGQ4ZItxEUMm5oEIQ4i3G+LB7oPPgGJcBg69XKbi2MLcQsuObxiwVLPISltKc55wGsfpwQq&#10;d0kkQYPrC59Ffl3b11333MPxXHsYRvWsFbtauRAXkuI6lxAHevUdZB+jwlGzIoS40qufDSy4QYrA&#10;OvCg3pkkyd7cYfGdBf1DF68xTZLF0UWkvlVXHoIMl61CXGHV5e73b/7AYUYZrrjuwJGe+X2PULuu&#10;LlfZcrdzLPpMWZJ2IQ7Do2KYVGw/b9Cw8LwbmlXfDU2uWC5SXObTM+eUT+zzZJ0vkwhHBBXiCtfe&#10;yv44FEKEOEEQBEEQhK5BECGueERFyit619ZteFnfrvEhZwo5fvIndeybNvX+p1+qIx/8Wb3xxhvq&#10;pUNN6vcPblf7t2xWz9y6UTU33Kmef/JR9aeXX1Zvf9Cqjn550pbpTOtLFlzM0ecFFS+oDWQOPh0S&#10;CxfIIJxhPYCGJwTURl8eUBvTPIIkM74tCEGmtn77lIz+cqEFch5EFCwPYYavG+hyDd8G2pOYg33h&#10;84Ded7z3mudH0OWojWmf+TWkDyeJfYC0hP5j//lyXNLBfBx/TMdPbIcfL327sfqNddB8iGHoA9ph&#10;O1x4iiU6AX5OTfO98FuO9x+gX9RHHBd+TKmCmb4O3gavaXkudhKm8+Y3jxNk//n+4DWfh77r55J/&#10;PnGusM+4dvzOA5dN6aepXVDQL+oTrdNL6uSfv1R+NttzrNEvHCMcS/osAVwXtH/DRpW5khoqtdF6&#10;3ju+MkJg0+EV3ubVDDa28WPT5gnu8liXCHFCh8YR4oaMHNfA7ytLR5XbleMkEolEEiB4EGjLHyR5&#10;WT/79Ox55dUzpu26zpbhkiPERUtxQYS4sBTnJcRdOL1anfXbM0IPMR3CItyFtgwXS4gLSXGXtC2f&#10;f0nt0nlLY/5RxK5mweXBnJyYQzFKJO2J/cDeY0hVfH5xTTpNfXP2il312SDERQybGlSIY1KcnxBX&#10;NGahfVxQpSlCiANXHQgsEWIoxw4ovBZbrLR41uIjC/cffxavWUAUm2nx/7HoLOH7yJFkcfC9Rd9h&#10;+f1Pe5hkuGwU4ooWbg5VfXO+V1AFTpfhStY3tRVfe6AkQq7q4mKVdRzs4VKBO1xqGoW4wsWbQ78j&#10;LVApjs2L+t9zEecNiBSX1uB3rXuuzltrlOGAUYjbIkKcIAjZy5gnn1A1TQ9lHFPfBEEQOiu6EFc6&#10;clydfm/ozEppzl+55k19u8aHnGnk2Ikf1bsff6pef/019cdn9qkXnmxUr77wvHrr3aPqvc++jmib&#10;SimOSzX6vKAiB7UxiTVcetKBpMHlH9Py1NY0j4DwQe2A39CMsfapvf2FKMMrc+lAniFhSZd/ILGQ&#10;uGIC66V1630Peq50gi5Hbbz2mV9HfujL+h0rHAuSHfXtBum3V5+4jEVt9HPBwbZpWdN8L2It53et&#10;ETg+JF/pYD/8rhcIUrR/pvNG7UzzOEH2P9b5QF+peqMffudBP174HJnaxYMus+G7xNQuXZ/N9hxr&#10;vqwJ9P/JPzS7khofAhUV3LjApgMJLmhbE7Q8VaMTIU7o0LgV4srrI+8tx8kIVxKJRBIkqHbWg1Wf&#10;wsPAot69Z187d3YjZLiwEBeS4rJJiFs6a54qP6NMFfTMdx94YqjUqWeNU5eds8iR4cxCnC3FOSLc&#10;pfMu+G8rFl5cH0SE49EfnooUJ0lXnGqOUUOqhuSD2MOp2tXiVu45HBLiwlJcYCHOkeLiEeKipbjU&#10;CXEl8za6x2RQ7a4IIW7wqoNRIoRfrM95H+dltgeSmy7A+YEqahDnOoMYZ9o/0FmC88Qr4AG8P8Oi&#10;Q4ZXDrO+y1pLrmh8IVuFuP7W9yLJcABynFGGW9fsVpbF/cEpOTlr8dOZ1OWCfce5xTFDRT1Xhkuj&#10;EJd/6hj7nKHqWN9Ve93pfTc11TndjIh+XydSXPpiXy/Occ8bPMwowwER4gRB6Ghc/NzuqIczmeCM&#10;x5429k8QBKEz4txiusmUEDfv4hXv8W2Wz6wxP+RMM8e/+UG9/9cv7KFU3z56XL3z0cfq6BffqOPf&#10;/mRsnwpICIEsoc+DxIJ5gEtEOiSKQMAxzceyEJuoHX5iu1TFiKQn0/Kx1k1wsQrijKkNCLJP7ekv&#10;gMAEOYULQFiG5BUsR9P0ZbENbIsvi32jfaJt630Psl8mgi4X5Dygj/y4AbyG5ITjQcePQ8eKnz/s&#10;O6ZhHh0rfbtB+o3lcSz188jb0PE0nQuC+oDlTfO94IKSaT6g8833n46Z33VM0PL6Pga5VmkZv3MK&#10;gux/0POBdZGkR+B8o5+YhzamZQHmUZ/9thMPXC7z2z+Qjs9me441P778OKGPkAcx/6OTX7j/JkFV&#10;OGqDanH83ys6ENnQrrjkP43zY4HlsPykyr72exHihI7M8ZO/tFjXswhxEolEkkjsagxs6E8INuUj&#10;R+aEZLjZtgyXjULcirkLVfkZIyJEOLy2Rbi556or51+grnRlOG8h7rJ5F/xzQtlo1cdaFlKgc1ji&#10;SsTD0+65rdb73zqzJJKUx7reclHFzP0MO+CaDFLZ7KyVu2vPSpEQZ0txGRLihqx61hVY+k1bESHE&#10;la46qIZevr8zDYMKoQ3V4Nx/UMYJqsZ1dCnOtF+go6fYAufHtG8AolyHC7633HsP62ffSReu4jJc&#10;Nglxxav2qfwBw9zv1oLKJaF5mhBXvNYoWP1Pzs8uGc/hUtMkxBWtaHDPW6+yyeHpG5vaijd4/w6I&#10;uK8DIsWlLfh3CB33gnV7RYgTBKFTIEKcIAhC+nFuL91k6uHhnAuWHebbzRYhThCEzksQIU6ID5Lp&#10;IKWZ5scLl+x0WbIzwoU4QKJa2cieEdOTCRfvMHQqpokQJ3RkwkJc9H/yKB5R0WX/Q75EIpH4Bg/7&#10;+EMnPJAmeeb6ubMbQjJccoQ4XYoLJsSFpTguxK2Ys8AR4fLch5whEW6sWj53YUiEI3yEuJULLmpd&#10;Of8ie2hUfhwSleKQU7qfMg3H1XkrkaQ9qFBoXc9Rw6nGqlyIanFnrtxzuL1CXFiKyw4hrnDUrNB3&#10;xBmV2rCpB9Xgqw82OLvf0QNhSq8clggYRrUjx7RPoCMHsptpnzgdUoizfte6w2ie0rNg48C65sPZ&#10;KsT1Hj7Z/S7tc9Zsd3qkENfU6OyahIXL2hHDpaZJiOsz+3L33GHoVHfextjnS6S4zMSufusc817j&#10;ZosQJwhCp0CEOEEQhPTj3F66GTJyXAO/LywdVd7qzEppps2/4Cjf7vSFFxofcgqCICQLEeKSCyq0&#10;0fFMxnCpANXdaJ1ew6V2JnQhDoIa7T/ENT4vWdx591R3Gy+/tsSeJkKc0JEhIW7IqLG1/N4SiBAn&#10;kUgkhuhV4SCBoVoL5l03p7r+eleGC0tx8QhxISku+ULceZXT1KC+/dyHm5DiJo04yxbhrpq/2CaW&#10;EHfF/AtbSISzD4YTPOhkx+OwiG2Sjhy7Ko8+nGr33NZYFeNQLc5fiHsofiFOk+ISE+JCUlw8Qhwo&#10;nrXG3ndUiitd2RgpxF359N+c3e7IQVW3ZMhwABXmOnJM+wQ6YjAMql9VOE6HE+Jscdf5XsL9R8my&#10;3VfqMly2CHGFVWGhClXiUC0uWohrai1e0yL3DIbg94597PThUtMkxKEqHLaP4VKL1u1zpxdtCg9t&#10;6xcuxeGnM1mS4tB1g/OWdCHutj1R7QRBEFKNCHGCIAjpx7m1dJMpIa68at6HfLvzLllufMgpCIKQ&#10;LFBxzPr6iTkUpxAMGk4UxBp6NCg0zGlXOUe6EAdBjY4pxDU+L1lgmFSsn1ehEyFO6Mi4FeJGldfw&#10;e0tQOqK8BPMkEolEYiU/J6ekB6vK0jNUFa6W5K/rZ8+svX5OtYpXiAtLcakR4iDCjRg0xH0oDfC+&#10;dtY5rgjnJcS5Utz8C1sun3dRmX0gPMIrmThSXGcaUlHSBYPPvC7GhR7u53jKAHa1uMsfbOwMQlzp&#10;ysfc/YYcx4U40Lfissed3e6oiTVMKubPtODDoaKi3PkWH1nobTty+L5wOlJwnq6zMO2HFx1KiHO+&#10;k9yhUvMHjho2sK6pLRuFuKKFm93vD0i1/WsbwjIcCMlwbcXrm3zvLbpq7HPtHL+o4VLTIMRBgINQ&#10;he1HDJe6qam1uD64wOhKcdbvUmeSJMWxjrX7n1RMw6YGFeIKNtwd8cchIEKcIAiZQIQ4QRCE9OPc&#10;WropHVneGHlvOC4t/+Hl7CmzPuPbFSFOEIRUgCpme55pipC3IF2Z2grxgWFScTyTNVwqrzjXFYZL&#10;BboQB0hYw099Xnvhw6Vy4U6EOKFj87M94ol1D1vJ7y2BCHESiUTixK8qHOLKcAGEOFeK8xXiIqW4&#10;QEKcI8WREHf5nPlq/OnDI4ZHPbV4oLpoerW6ev75DpFC3FVMiLtiwQVt1s+W5fMuDPzLwD5Ozrbs&#10;h/U5OfKLRNLh4yHGNfpJn6NW7q0NIsSFpbjsE+IwbGqvvoPs/S0cVR0lxA1a+Tg+5x1VcoDU5v7j&#10;zgDmxwraUIU5EeIyn3hlONBhhDhHLGpxv4NycmoHrGmqM8lwwCjCESbJLR4c6c2L4pV7bQkO/cRP&#10;yHERMhxYb7Vbe9B3OOquHP6fDPpesiXtQhyGSKXt9566xJ3ed0NTndPFwMG1e0r37rOdt5IUx65y&#10;S+du3uUdQojrtbtZFT14UA159Fk1at+Tqvypx9Xk/Y+pKfsfVROfblRn73tCDXv8aTXksf1qwEPP&#10;qj57o/srCELnRYQ4QRCE9OPcWrrJlBA3rHzqCb7d5etvMDzgFARBaB9UcYwDQc7UVggOKsLR8UzW&#10;cKlcWuwKw6UCkxD3+JPz3eNAQ5omCxqSNTf3PyKmixAndGxCQtygEWPK+L0lwDTMk0gkki4biDAQ&#10;X+jBEiQvPIR2ZtuJkOEcMinEXT6nRs0eWx4hwuH19LPG2EOnhmW4ELoQd9ncc9XEEWep4YOHnufs&#10;YlzpmZNTxo+XSHGSzhJnKFV7KDJ2jdd7iXEjljZ2G3bRnfsjpbh0CXH74hbidCkOQlzRxIvt/bSH&#10;TdWEuMGoEjfxElsQdna5oyTWUKlBZDhKDwsMzwkZqyPHdBxAR4qp4h8q+ZVr0zgdRojjghREVAwz&#10;6lUdDhhFOMIkucXDOm9KVu1TvYeHhtoEBZVLomU4i/7Ldz7s7JrEEPpdk180OFqGS4MQBwmOzmHf&#10;VXvd6b0mLz7X6WJcGTRo0P/ivJSkOBAQcf9tXz+jJme9EJe355AqeWi/Gvn4k6qm6SF13asPqIYj&#10;W9QTx+rVgQ9uUg+9d5u65Y171FUvblPn/X6PmvzMY2roY89Er2e3SHKC0FkRIU4QBCH9OLeWbkSI&#10;EwShM8Mlq6IBA7uMaJVq6LhiaFNUdjO1iReSF3GeTPM7IyYhDmA4UxyLVdecZZyfKMUl/2mvd8fu&#10;6ojpIsQJHZuQEIdqcPzeMsQ4zxHBJBKJpFPHeZhUTw+UgF4VDtlQXVWzYfbMtmwR4s6vnKoG9+0X&#10;fhDtiHAr5yywZTg/Ie7K+YtbFk+ZtbmgZ/737j7n5NQ4uxpXXCnOEQhHjBjxPzuzJJIOH1tMYd8N&#10;ANOc2XYgw515+Z6ykSv21MUvxIWluMBCnEUsIc6V4hwhLiTF+QtxfNjUAYtuixLi7Cpx1rwOJsVh&#10;GFT7H3YGOmqlN4h5kLvQfy774TWmQfLjQ7/q4ceAE08gnt1hAUGQrwNSWpA+tDe6EIfjQdvj0zkd&#10;Qoizf6fSd0733Fbco/hVhwNGEY4wSW7xsM4bCHD0nQExrnjVvmgZrrbBqSCXI//7ypCI4VInLMqI&#10;EAcRD9vPGzTMnVa0osE5t3Lesj30n3kw7G0gIe6OzAlxfR88qMbue1xd8twu9bvX71b7j9+kjnx6&#10;nfrqZJ368W/Xq4+/rFPP//kG9fD7t6otb96lrnlpq5p94CF16mPP2JXiINSZ1isIQudBhDhBEIT0&#10;49xWuikdOa6F3xfivTMrpTl19MSf+XavufkOwwNOQRAEQei8eAlx6UaEOKGDY490NXTEmFx+bwlK&#10;R5Un5EFIJBJJh45TFe4wPYwkqcuZ7eba6uoSyHAb5syKkOFMQlxYikuNEHfF7Hlq/OnDnAeVIU4t&#10;HqCWzZyjVtUscmU4XYi7av75bRDhrpp3rlvFDQ/a+f6b9j1IrPX8nz169PiV81Yi6bCxBdmcnEpI&#10;b/ZnQ5PhiLy8gr+cVr3qrlGX7z185uV72zBkavSwqekT4iKHTU1MiOPDpvadeHGUEEdV4jAfxwbH&#10;yjls2Rxd2OKcYdGeFFtAAOPrhJQWtOocBC6TUAaJzxS0h4TG2/vhJYCZ2oIgwTHT99kLHItUSWh0&#10;HCDG4Tzw6P0gsl6I038n47vIqQ7XahLhCKMIR5gkt3hYZ6bfwvAwm/l9BxtluJK1B37KH8DvV0Su&#10;0oP7Ljo+fc/fnHYhDhXhaPt9Ji5yp/eZfYU7Xc5bdgf/ocU9h8u3ZLUQN/Sx/eryF7arfUdvVm/8&#10;9Xp19LP16pOv16hvv1+r2n6+Vn15ok59+MU6deTT69Vrn2xQzR/epO45fIdaYS0z9dlH1eBH9hvX&#10;KwhC58EkxNEQQb/q9u9R89rDe8dXuuvVhx4SIU4QhK6EfVPJgopw/L4wXUIc3yYQIU4QBEHoaogQ&#10;JwhJwVOIGzJqbEIOhEQikXTY2A+QmOzSI1QVLkrwuLZ6uivDERFSXBAhjklxISEuLMUFF+IWqPMr&#10;pqji3n3ch5QQ4eZPqFCraxa5RAhxFrYIN29RHRfhePQH8Hr1K4mks8aR38psIaF7bkOkiKJzyo+9&#10;C0o+LC6b9s2ps67+efh5N6uzVu61JThOuoS46GFTgwhxkVKcSYgrGrPQ3l992FQS4gZd+fTf8x1p&#10;rgNIcRDISIbSgdTV3kB8M60bIliQeFWvg+SlB9IXrwYXFJNcZ2oHYgVCmWm5WED6S3a1OFTJ00U4&#10;iqkPIOuFOG2o1HpMi1UdDhhFOMIkucXDumiKre++UNW30HdF0cLN0TIc2q07UIPvWH2fJOFY36Pu&#10;UP391u5LuxBXMH9t6NxYFC7eHJ6+YP0qmh5CpLhsTeheJnSeelUuSkiIK1x7q/bHoeQLcQUPNqmK&#10;ZxrV1iO3q8+/vkb913/fpL79fp0twdEfXL88sUZ99W2d+ua7teqHX66zX7/28Qa13Vpm5R93qFFP&#10;PGlcdzJ5vPVL9bd//UsheG1qkyjrXj+uDp/4QbX945/2+hG8xjTMMy0jZJbhT7zonq8Xv/rO2EZI&#10;LiYhblJlX/tebl7NYOP0oJiEOq91ixAnCEJXwvoejEi0EFduDzuVyhSPqOjGtwlu3f6g6QGnIAiC&#10;IHRaRIgThKRgC3Gm+0sR4iQSSZeJ/eCoe26D+5AvVBXOWCZzzbyKbhvmVB3mMlwmhLgrZ5+jRg89&#10;1X0wieFRZ5w1Wl0xp0atrjnXKMRdXXNe21XzzqtdM29eTGHFkeJa2DGxf2FIJJ0tdlXInJxa+3r3&#10;qP4GIHvl9+73QvHIac8OW7jx2JnLGtTZK/eos2z2upypSXHBhLiQFBefEPd4WoS4knkb3WMwsHZ3&#10;lBA3eHWTKrm44QX3WFnHEMfUObzZFgzrGfEgjHGdRXsDKcu0boBtx8peC9OyeoU5bCcRGQ6YJDBT&#10;O+AXL/kvKKjolq6Ytg+yWoizfg/nut9JzlCpQarDAaMIR5gkt3hYF0nJqn328Kj0HYBhU00yXMm6&#10;Q678ZovH3XMbsU/OJIkTnGscx7yS0/7LKMOBjcGJV4jrVRY+l6gWh2lFG5vaiutbbGGc5oUQKS5b&#10;415H2rCp2SLEDXh4v5rw9GPq8he2qf0f3KS+/X69+uf/uEF99+N6W3qDCIc/uEKOgwx38of16uf/&#10;2mD/PPLZdarx6C1q7Stb1eh9TxjXnwyW/PFd9eUv/7DFJ0rzZyeMbeMFUlXrj784a/UO2qCtaR1C&#10;ZoCoSMH5MbURkosuxKFym/U1Z9PcsjhiXtnInvw+LxB8ebBjd7U7DxXjaLoIcYIgdCWs78CIlI4q&#10;b424Nxw5LuV/IzZV8Ljv0adNDzgFQUgyn564L+L+yMRnJ+4yTs8WPjrZatw3QRAEoUviKcSVjhwn&#10;BYEkEknnj/1wz3loBCDF4CG0Mzsitgw3u6px45yZETJcuoW4xRWTI6rCnVY8QF0ydYa6puZcG12I&#10;u3zuwn9dVl1zZRARTg+X4vDamSyRdNg4AhyqQTZYmAU4SLHW9Y7qTH36Dpww8oLbN45esevw6JW7&#10;FTjbZo9LZxbiSlc+5h6X/rPWGIU40Hfc4nP58ctSKc6volkQYS1IUM3NtH7Ibn7xq16nV1Pz2kYQ&#10;kiHEoRKbqX28tHeI2qAxbRtktRAX8fvXkfQHrjlYaxLgdIwiHGGS3OJhXSQQ4KifEOMgyBmEuMOQ&#10;+ewdc2Lda/2781LiBN+bdCz7TFhkluHAxuDEK8TlFw22t583aFh4+sYmtwKESHEdI9bv4Xo6RwWb&#10;9mWdEDfy8SfVyhe2q+1HblOvfrxRffr1Glt2gwxnepiB6age95nV7sin16knj9er6195QI3d97hx&#10;/e0F4pspyRDiILhx0Q7VxlB5DqIV2H780whZLlkSnpAcglSIo4qCOJem+UJ86ELcktph9n1cccl/&#10;RkwHkOUwnGosUBnOax2A5m/aPMGdJkKcIAhdCdxP8mRCiCsdUV4SsU2LPc+2mB5wCoKQZESIEwRB&#10;EDoTH373N/c/6uv3lyLESSSSTh1UJbEfFoWrr6AqXK1ftZKNs2c2QIbLlBB31ey50VXhzhytrpg9&#10;T10zb2GUEHfl3IV/rxgxym7Xox1DGVrHxq2eJ1KcpKPF/qzn5FTiOsbngK7lCJgAByFhQHl1zugV&#10;2yvHrNhxeMyKXW2jV+xSNlkmxEUMmxpUiGNSXBAhDvQqGWYfp74TL/YU4gatbrK+JyKGQrS+W7NO&#10;lPCqwAZQdS0Z8Rr2FPgNE+pVvU4X6SCRmdoBDPvKxT7sE/qD6dQmGUKcl5CHqnXYHu0nfurb55iG&#10;gk1FTNsGWSvE4X6EPkvWd5MtI9nV4a6JXR0OGEU4wiS5xcO6MP0Wbna/RzFUKmQ4TI+U4Zraitcc&#10;yNaqkVkVft77nr/ZLMOBjcGJR4grWtHgns8+ExeF5208GFE6XqS47A8fbrng6obkCHF3PxbVLlEm&#10;P9Oo7nnrTvXaXzeov3yx1hbdvj651q4M97nzAIOqxOE9VYrD6w+/WK9ebt2o7nrzLlX5dKNx/e3h&#10;aNtPtsyEQEyDrEZJhpzGZTcMjWpqAyDHQZwTIa7jQZFzlxx0IS439z/s+7hV15wVMT0od9491b0X&#10;xGtTGwyXivlcmBMhThCEroT1HRiRIaPGtfH7wtKR5e5DxVRl0IgxZXybQIQ4QUgPIsQJgiAInYlI&#10;IS7997USiUSSkdgVorrnNtKDIkgysaoZXT97Ri3JcCEhLlKKCybEhaS4RIS4uWPG2mIb9RlV4ZZM&#10;naHWQIQjHCFuVc25bVfPW1iHinB2JSxnGQgqiVZtspZ1K0306J4Tq9KRRJLR4DrHw2BbgCPplaMJ&#10;cJDmRixt6Dbmsh1lY1bsrLdos1AhHBnOV4gLS3GBhThHiotHiIuW4tIjxBWNWWgft4IzKj2FOFC8&#10;Zn8ujmfk8c4qUcKvslqyAgnMazhTyGFewRCiQZbxkvognfkJd5C/0C9TVTbT+oApXtXhsG7MM8Xv&#10;mCRLRPSLabsgK4U4R9h3ZX36vT1wzYGagWvMApyOUYQjTJJbPKwLUWx910GCo8865Diax4W44rWR&#10;MpXEO/zetOiqvWYZDmwMTjxCXMH8te75LFy82Z1evGF/VOVkkeKyO9b5qKRz03ve5VknxM09+JA6&#10;8MFNdlW473++1pXgQEiAQ1W40E+ahypxeP35N3Xqwy/WqUfe/52a+ewjxvW3BwhrAEIa3vMhMtsr&#10;ON32TquzpmDDbaIa2cymN4zzhOyFIkJccuBCHIZItb7ibPThUoNCw6qiCpxpPuDDpqLqHKaJECcI&#10;QlfC+v6LiH5fmCkh7vHn/2R8yJlOjp/8WX1w4kd1/Jvv1bGv22yOf2u9P/mTsb0gdEREiBMEQRA6&#10;E35CXDoqH0skEknaYwtiXJDpntsQq3Lahuqqmo2zq1wZLp1C3NXVcwxV4c5WV84+xx4+lQtxq2vO&#10;bVvtiHBO1+1EPLRkD9fjjV1tontufaKV5iSSVMWpAlfmSnB0vbPrXhfgnEX/bczShtwxl22rG7t8&#10;R+vYFTsUCMtwmRXibCkuG4S4iRfbxxHyCwlxrhTHhDhUicMxtaU49j2L7137YGc+6RDiEC+5za8i&#10;mpcwxiU3vDa1Ae0Z8tW0PmDKdRamtudb+AXymWk5P0kwWTFtF2SlEIf7Evrs4DsL00LV4ZoPZ4sQ&#10;h0pwGB6V+llYvsiV4SKEuLWh7wRJsFjn3h7Cv0denw+NIhyxMTjxCHF9Zl/untO+q/aGpm9sPux0&#10;LyoixWVvQvdFofOSN2724WwT4uYcfFjt/+Bm9U3bWvXdj+vV519fY1eBA59Zr//y5Vr1wRfr7J+f&#10;O9MBhDhIdF+frFPPfniTmtP0kHH97UEX0JIpxPHqcCK6dV4oIsQlBy7EoSqc9RXnK7P5wYU6vwpz&#10;7x1f6bajYVNFiBMEoSthff+5KR5R0U2/L0zH0FKlo8pr9O2+dCzzggsEuPf/+oV69y+fqHc+arV+&#10;/lW9/+lX9nRTe0HoiIgQJwiCIHQmNCHuML+/LB1Zbo/OI5FIJJ0mttBFD+0gyASQNG6onl6ysbqq&#10;LRNCXO2Uaaq4dx/3QeNpxSVqedUsR4QjHBnunAUta+bNi6rgQdGlOHloKenocSQ4eyjU0DXtXN/s&#10;Oke1HXzOdYmzwq4G11A2bvm2lrHLt7eRCJdpIS4sxSVbiAtJcfEIcVyKK5m30T2ug1c2egtxqw62&#10;OYcY5yeXy4nWeciGKlHpEuL8hjU1VUQLOlyqVztUh2tPTOsEprxmYWrrV50O8Tom6ZDSTNsFWSfE&#10;2d9p9JnpnttC311udbgsEeIKKpe43wm9fjvGHSo1UohraoXIZ++YJGZ4dc380jMPGEU4YmNwomQ4&#10;oIlwRO8xs93zSkJc0aZDvtUfIu4vbeT+Mlvi3hsVDX4l24S4ymces4dMffWTTerPX663Rbdvv19n&#10;D4v68Vd16s2/Xq9e+PMN6s2Pr7feYzjVOrdC3I9/u87ievX7j25U81IgxOkkS4hDtTcKhkI1tYmH&#10;7cc/tYd3/du//uWsVam2f/zTHobVS7Zb8sd37XZYBu/Rpxe/+s5ejqZjnWhHy2BdWCdtBz/xHstS&#10;Gw4NOYuhZvEeVfH4MLSmYWCxL5hOwWssx9sQtA8I76cO9Zf6YZpHy5u2j2n6coRp3XxoXa9gnbz/&#10;pr5xSKDE8TPNJ/i2/Y4Jzpmp7+gXzik/Bkis64m2S/3DOaNrCT/5OWzPMedCHFV3w0/+wDMoNBQq&#10;oMpvXmC4VLSbVNnXfi9CnCAIXQnr+8/N0BFjcvX7QshqzuyUZciosbX6djMlxB379id19KuT6t1P&#10;vlBH3j+u3nzjDfXaH19Ur77wgvrTiy+p119/Q71tTYcYd9xqa1qHIHQkRIgTBEEQOhMixEkkki4R&#10;W5xhFVcgaUDWcGZ7ZkNVVS5kuE2Q4Yi4hbiQFBePEAf4EKn4WXXmWeqq2XPt4VO5EHfNOQvbVs1b&#10;UOl02Tf8YWsIeWgp6VjBZxlilS1aGSQ4Z3q9XgWOAhFu3GUNdWMv23Z43PLtihO/EBeW4s4KLMQ9&#10;FL8Qp0lxmRDiBl10r3uMB9bu9qsQZ03f39c53KHzxaW43+Rc4czKVNIlxCGQ1EzbMVVSCzpcqleV&#10;NSzfnpjWCUwxtQOxAhHQtFw6huA2bRdklRAX8Xlh4npEdbgsEOKKaxvcoVLxU5fhQPHapu+L1zTJ&#10;PUYcgbxN35V9Jl90v1GEIzYGJx4hrldZqOpfftFgd1rRpuaY95gixWVn2O/f77NNiDvriSfU6pe2&#10;qofeu029+dcNtujW9tP6kBD3ZZ16/ZMNquWjzeo162er9f7rk2vVVydDQhzanfxhnWr68EY1twMJ&#10;cckU63RxyRSTXMT7ADGJJCU9mI75WIdXG/TBJMWRxIV9hEzlFZLqeNU8PbH2Aa/1+QTFdKwpELb8&#10;jiX6qC/Ll+frDirEoS1JY9g2La8TjzgHYY0CwdHUBpjEuSD9putBXx/2H8E5xL7p4ceHksgx50Kc&#10;9dVm41fdzQsIcLQ8xDhTGw5EOLTNzf0P+70IcYIgdCWs7z83pSPKS/T7wkwJcYc/PWF8yJkyrN9L&#10;73/+jXrr3aPqxYP71aHdW9XB+29XB+6+RT17x03q6dtvUM9YPHvnTapp693qpaZn1VvvHVXvffq1&#10;Om4ta1ynIHQARIgTBEEQOhPHT/7kVjcuHTmuhd9f4r0zSyKRSDpunAfMjfSQDq9Nooye+nkV3TbO&#10;nnEYMlyyhThXinOEuLAUN0+tqp6tJp52hvtQETLcueMn2CIcARHu6jk1f7/mnAX1+vCosZLFQxlK&#10;OllwreH60sF0p0mg4PPaMyen0n6wq0tw1ntrujsUqrNIVFANrvyyrfXjlm9rK1++TQER4lIjxA28&#10;+uAFzmG3o0tx1vt/d2ZlIukU4rzkNVRY0xNkuFTES5xrr9hlWifQ4yW1tQe/YWSTFdN2QVYJcVoV&#10;W/d/LQ1cc7DWleEyLMSVXL1P5Q8Y5n4f9Fu4OUqGAwVTL2sLcq8lCQfnnI5r4dK7bjGKcMTG4MQj&#10;xEGEw/bzBg1zpxXXB6vyJ1Jc9oVfUwUbHv8km4S4Ux97Rs1vfkjd+No96g9/uUF9812d+vm/rlcn&#10;2taqT79eoz744lr13qfXquOfr7Peh6rDQYqDEPfFiTr10Rfr1MPv3aJmHnjEuP5kkiyRjeQhxCR6&#10;BYXLRCQioY8AMhQX2PQqa3xfqB2qe6Ed4JXcSNpCIClhWV1mMh0PEtxo/fgJ6QrL4yfvH68mRvvB&#10;jxPa6tId3we85vM4FFMfKdQXvn29j6ZtULyuB4rXfL6PJtEM4FxSTOKhDj/upvmAzh0X8bDf2H9s&#10;j+8rtsn7aapSR/PpeOEnptFx5NcfJZFjTkIcH+6UhjGNBxpuFTz+5HxjGw5vj/cixAmC0JWwvvvc&#10;mIS4IaPGBfqP2e0JhmXVt2t6wJlKjn15Qr31/jH1wlOPq8ZrV6odCyrVtrnlasf8SRYT1fb5E9SO&#10;mglq6+zRaud509STN61Vf3zmKfXWu++ro199a1ynILSHfc+/osonT3PvUbqf0kPV37c1os29Dz6m&#10;igYMdNvg9aE3341oEwuTEEf3RlQ9N1uEuB27q+1+obovny5CnCAIgkBECnHljZH3mOMOO7MkEomk&#10;Y8YWabrntroP57rn1gd5QAsZ7obZ0xs3zZ5hy3DpEuIgw40cGHoYCTBE6ooZM+3hU7kQd+Xsc1TZ&#10;oNKIB+bxxDoG2TiUoaQTBJ8vW+owVG/TgZyKtrgencXd2J/dkATXGLUuR4KDXOf3ebarwS27v278&#10;ZVsPj1++VZXbhGS4bBLiwlJcBxHiLrrPX4hb3WQsMYxzFlpHRiUJPyEu1pCf8cZPHuPDphZbmNqY&#10;Kqd59T9dQpzfULCJIkKclQhZ3bpvoe+2UHW4ptZsEeIKyxe53wV4bZLhIMnp+yGJHfv3nXPc+l/f&#10;1GAU4YiNwYlHiKNzi6FT7Wkbm+P6g4BIcdkVLtn2WVq/M5uEuOKHnlVj9z2ulvxhl9rz7m3q2Bfr&#10;1Fffhh5cfHmijhGedqJtnfrs6zXq6Gfr7eFS61+/W0146nHj+pMJ5ByKl+AUBC4X6cJPUCAQUbyq&#10;l/HKYpCO+Dy+LwhEJD4fYBkebJPPhyhF8hIXqwhe8Q3z9eE2+T4gaKMLX/xY+Ul9fseRYjpnPFSp&#10;js/n2zBVXKN4XQ8Ur/lBKrrReYg1XCrBj6t+zADfpum8e4HjQ9Hn8fOEa8JL7gM88R5zEuIgsVlf&#10;bTZBhDadX3X7d3tZqvgWC0h3fHsixAmC0JXIaQj/p5hBI8aU6feF6RHiyuv5NkdOnGZ8wJlK3v7w&#10;L+rFpv3qmS2b1a5FU9WDs0aqh6tHqV1VIyzKbPbMHKkenX2m2j59hHrwsgWq6YE71Ksv/EG99+lX&#10;xnWmEshR1qGzgRRlauMHpKnFl66IkKl+1a2bLWDp0pWJP330qVp3861q2KiwVA7wHtMxX18G66V2&#10;kL30+TrUN/TJNL8zg/OD80HHi8DxpTY4zvp8sKLu2oh1xcIkxNG91J13T7XfQ4jj/2EhKPw/NlBF&#10;3qCgD7QsR+8bECFOEARBIPyEuNJR5a3OLIlEIul4wUPYHmzosXikr83V0+tvsGU4Ik4hziJeIe7C&#10;SZNUce8+7kNEVIm7unqOLcNFCHHnzG8ZUFD4MrWDZOJ0O65EHB8LPDRzZkkkCQWCmit0EHjP4fMY&#10;IREAD9ItMLyxYT241vE5jiVYjL/s3rIJlz1QX37ZA23jL2tQkOHMQlykFBdIiHOkuHiEuGgpLogQ&#10;F5biAgtxFpFC3L6YQlxIigsLcboU5wpxtbvccxElxDEpbhBY1dTmnIqo4Nxa53GN8zYTgWQW9QcV&#10;B8heyY6XwHadBQWvTW304VKRzijEtXe41yAxbRdkjRCH77fwd16O+3AhqjpcBoW4/hdscb8H8vsO&#10;Ng6VOmBdU1t+nwF3uPsSkuIyWRWywwTHCscM10L/DU2NRhGO2BicKBkOaCIc6Ltqr3t++0xcFJq+&#10;0Sw4+0WX4pzJkgwE3yV0HvInnrMhm4S43nut76pHIMU9oWr/sFPdc/gO9Yc/b1J//bJO/e2fG9Uv&#10;/7VBff/ztartp2vVyR/Xqx9+uU79N7VZtVnT/vDnzWrTn+5Xcw88pIY+mnpBhYs6XoJTELg85Cdy&#10;+UEVviAf6UIRh1cX45IS3xcvKYr306uNnyRFQhyELq8+UrzacHlLP+Z8H/yOI8V0zih+shkJadgf&#10;fR7F63qgeM0HfhXduNRokttM4DiSqGjaL5xLit+1o8OvB795ujipQ0nkmJMQpwtq9LAzCHg4Ssvy&#10;B6V+6AKeCHGCIHQlYglxmObMTlmGjBzXwLdZPrPG+IAzlbzxxptq/x03qQcvXaC2zjpb7ZwxQu2y&#10;2DZ9uNpu/QQ7LCDFNUwbpnadP0Pt27RaPb/vMfXux9HyVyrhYhmAOGZq5wVEOL68CQh3XtIatm+S&#10;tTiYr4t1ELVo/p5nmiLmmaC2XALrKvBzRMcKkhw/bnQOeFU4yJH0Oii6EEf3UlxIgxDH75eCwoe+&#10;LxvZ09jGD1qWs6R2mD2PV4kTIU4QBEEguBCn32OKECeRSDpsDDJc4GFBN86eVgsZLp1C3Mwzz7SH&#10;RkV/8fOcMWPU2nPmuTKcK8SxIVIhltBDLjw8tTsfZ3Qprsevc0wChkTiG1xH/HrEZw6CJSoemeQ1&#10;PCyH2Na7d9EL7jIe4NoOIsGhGtz4ZffXTbj0/sMTLntATYAIR6RZiLOluCwV4lwpLl4hzm/IVF2I&#10;W92MP0J4Ji8nZ4HzMhOBABXxhxTG+RbJDr5TTdv6yIKC1/p8DKFqqljX2YQ47Dsq5KU6pm2DrBDi&#10;8B3HvvNcAclYHS5DQpw+VCrkuGgZrlkVr2u2ZT7r94A9VCPuMfLy8v53e4cknrErBDrHFscuI0Lc&#10;0rDwWDB/rT2t6NqnExJWuRTnTJJkIPw85PXtd2E2CXFEwYNN6rTHnlEzn31Y3fL6PerIX6+1Zbgf&#10;/3a9PUQq8d2P69U//8cN9tCpO9+5XU3d/5gqeuiAyttjXm8ySYUQF1Ry0qF4VYcjvMS3IDJZkDZ+&#10;khSJXiaRjAjShqIf8yD9AxTTOaP4nU+/PlK8lqf4rd+vohsJhyZZzg8uKurSW7wV5wjsAyWeeTqU&#10;RI45CXHxDnnKwcNRLIeHuO8dX2lsoyNCnCAIXRkuxJWOKq/R7wsxjKozO2XJBiHupUNN6pErLlQN&#10;M89UD0wbrh6YOsz6OUzdb/0kMG3rdGve9BH28KkPrzhPHdpxnzrywZ+N60wVfBhNIqgEVb1gkbsM&#10;hCqIV5CsAGQqPt8koukyHtpjOVoH1sdlOb5sZxHiIAqiX9jPIJXuEiFWdTwcPzo+iVQI5OhCHN1L&#10;QTyjaTRkKu6TYkHCGsAQp7SOl19bYmyvQxXg9GFRCV6pDq8xTYQ4QRAEgeBCnF6FeMiocZ4FPiQS&#10;iSRr40heoWGnLOKR4W6onl6zqXp6WzKEuMhhU+cwKS4sxK2urlZjhgx1H0AO7luklk2ZqtbZMhwT&#10;4ubWtK2ZNy+qHD09cLb3s3tuwuNcW8foSTyQd95KJIHjfN7cykZ4bU2LGgKVp2Lp7SWTl93ZOGXZ&#10;XWqyxRkTF6qCgmL3c9B/8Ah16ti5aszC9ari0nvVpGX3NlYsvSfqj222BHfZvWUTL7u/ccJl97WF&#10;RDhChLgQyRHiBiy61T0/pasOtEuIy3DKLdw/kmiYhihNRiC3mbYHEcxruFQvCSWbhbhsjqm/IONC&#10;HL5DIRHbny/rJ5d/B6xuqouS4TIkxBVULHG/A7yGSh2w7lDEMO6hexQZMjNIeCUvvM6EEAcJzj3H&#10;izfb03qNn/8JvybjiS1jWde081aSgXDREvf5hbc0tWabEAfy9jSroY89oxY171Vb375dPf+XG9Sf&#10;Pt6gXvt4o3rd+vnqx5vUC3/epA59dJPa++7t6tLnd6ohj+43risVcAHLT+aJBRegElmPX9U0Ha8+&#10;B5HJgrTBOin6PD+RjAjShqLva5D+AYrpWFH8jqNfHyley1P81g+oopsuONJ0r+FUveCV5XjFtiAV&#10;59AeshxVITRFXwb7R9Hn6VASOebtFeLQlpbjD3FjwZfDaxHiBEHoSsQS4oaOGOP7d79kRB/OKl1C&#10;3PGTP+OhqXr3L5+o5x7apXZdONOuCAfpjYtwnIZp1jwIczNGqp2Lpqr9d9yo3n7/uHH9qQBDkVqH&#10;zIZXEcPwmab2HC6kQbgyDWsKINdBxNJFNC5h+clgWC9ti0/vLEIcPw5B9iMRaP04Zqb58Q4/6wcX&#10;4iCt0Xr5PRgJcUHAkPVYPujQ9ZyglX5pG3S/J0KcIAiCQIgQJ5FIOlUcOSdRGa4kJMNNVyHiE+Ki&#10;pLgYQtzqWbPUyIGD3IePpxeXqFXV1bYMFyHEQYabEy3DUVCJy93f7rmHE31wKZHEG8PnLaZUOWXp&#10;nTVTlt3ZBhmOhLgQd6tRMy9TYxesU5WX3mNTYXOvy8Rl97VMvPSemoqld+ZOXHZv3cRL7z888bL7&#10;FSFCnEVCQlykFGcS4vpNW2Gf4159BzlCXEiK64BCHKquuX9IMdDDItmB3GbaFqZ7DZcKcc8Ur/bt&#10;HXbUtE6gx+/4ZXNM/QUZF+Iifoez71CnOlxbNghxxUsbVF5+od1Hz6FS1za3oM9O9yVxBueergPr&#10;d2tuJoS4PrMvt7cPMHwqpvUqm9yue8sev/lNKoailgQMriU6p/iuKbzlUH02CnEgf0+zGt74tJrX&#10;tFdd+cdt6pbX7lH3vXWHajiyRd315t1qw6sPqAtb9qhJTzeq3z66X/Wx2pvWkwq4gBVLcPKDS0nx&#10;VukCfPlY/fDqcxCZLEgbPxHKTyQjgrSh6PsapH+AYjpWFL/j6NdHitfyFL/1A1NFNwhrFJxzfZlY&#10;UCU4iG00jYbQNVWcw3b9JDgefVnsH0Wfp0NJ5Ji3V4ibVNnXXQ4PdE1tTIgQJwhCVyZnT4srvA0Z&#10;NbZWvy/MhBA3feGFxgecyebYtz+pd1s/Va+99LLaf1e92nFupT0s6lZIbwYZDqBK3H1TzlDbpo+w&#10;q8ntu2G1evPNt43rTwVchIJ4hqFN8Ro/Te0JSG5UuQ0/vWQ4ji5aUdUyEEQE05cXIS44tH4vIY4f&#10;S9P8eOBCHA1bz4dLBUGFOH5PhXWZ2vhBw6rq29ehKnQk3YkQJwiCIBDW/Z373KV05Lg6fo8JnFkS&#10;iUTSMRJRMS2OimcbqipyN8+e1hqW4WILcSEpLjEh7hpNhpt02umODHdOpBAXQ4aj8Afq1jFoRUUI&#10;Z5ZEkrJY11p42N4An7fJS++onbLsThUmUoirJDyEODDp0vvCMBkuuBAXluKCC3E7YwpxISmOCXGa&#10;FBdMiAtJcfEJcY+nRYgrmnixfZ57lQwLJsRNf+j/6Zz2bAwqwbl/jNFor1hmilcVOFSO8xou1SsQ&#10;uPT2gA/BmkhM6wSm+FW8y9aY+gsyKsTZskq4Olwrl448q8OButgYRTjCIL350WvoGPd+pd/CzdEy&#10;3LqmtuI1+1P+QKQzx5XLnYpqmRDieo+ZHT7PzrT8otC9qvyHi44ZnDM6p9a1VV9Yf6AmqBBXdNUN&#10;EX8YAqkU4kDh3mZ1+qPPqAlPNqp5TQ+pJc/tUkv/sFst/v1uNfPZR9Tpjz2teqVRhCO4gBVLcIoF&#10;Vf5CUPHN1MYPSjxDpvKKYEFksiBt/EQoP5GMCNKGoh/zIP0DFNM5oyQiZwGK1/IUv/UDU0U3kuS4&#10;0BYPGCKXQtcYSXKminO0nwj6q0t4mEbh02PN06H4HROvY94eIY5XNIEYZ2rjhQhxgiB0ZWIJcc6s&#10;lCZjQtzX36u33juq/rj/SfXkjXVqe814tauqzJbdTDIcASFu54wyu1rcY9csVa8816Le/+wbdezE&#10;j8btJBN9KE1eJc6vUhgXqCDVmdr4wSUwDJNqahMLEeKCQ+tPtxBHQpp+LxVUiKP/nBDP0PUEHwoV&#10;94KmNgSGYqW2WE6EOEEQBIGIJcQVj6iQv3tLJJKOEV5dAw99nMkxUz+votsNs6a1bI6Q4aKFOFeK&#10;a6cQd+nkyaqkdx/3oeOU4SPUeluEIxwhbu45gWQ4ij00VXj/20SKk6QyEcO7Bfi8QYabGiHDxRbi&#10;QlJcdgpxYSmuawhxhaNm2ee695DRnUGIm2nh/pHEAOYHDSqmQbDDUKZ+MYlvXvhJeX5DlranEpNp&#10;fcAUr2FbUyETJium/oKMCnHWdyeXit2Ktr7V4UBdbIwiHGGQ3rwonBGuGtZ72OTQdE2IK17XHPhe&#10;RWKOdS202teBM/x9JoQ4VINDH/KLBtvvizY2tUVcoyLFdcjQ+cO5LKw/UJLNQlyeRcFe6zvlwYOq&#10;9OH96rRHn7EluFOtn4Os9wV7m4zLpRouYMUSnGLBBaKgVeK4OEdiE37yNjq88hhfPohMFqSNnwjl&#10;J5IRQdpQ9GPO+8eHBeWg6hnFdM4ofufTr48Ur+UpfusnqDobfqLfJE1CbDO1jwXfdwhw/HiZKs5R&#10;vIZnxT5Q4pmnQ0nkmJMQpwtq+kNQE1QpJJ5lCKqGQsuKECcIQlcif+cB92/KmaqiYW23hW9z3iXL&#10;jQ84k82xr9vUG2+8oX7/0E71+PoVats5Y9VOW4jzrhBH2JXkrHYPLT9XPbd3u3rj9TfUe598adxO&#10;sjj05rvu7yuS2iDB0TTIcfoyBK/uFqQ6nA4X7+598DFjm1gkW4hDPyAGUjtUvsP7RCS1IOvi873A&#10;OaL2OEeQB/mxB6jmh+m8LbXn7RIhEVmRC3G0Hl1ICyLE8f+cMK9msLGNH1iGlo9V6ReyHbXFfZwI&#10;cYIgCALBhTjTf/YQIU4ikXSI2DKYU2WlR/fclqAP7CDDba6e1mihQPxCXKQUF0uIgwxX0DPPfjCF&#10;n/NGj7ZlOF2Iq5sz95c18+bFLbSJFCdJR/D5woPxoJ+36UtvL5lae0dbLCHOleKyUIiLGDY1y4S4&#10;iGFTgwpxTIoLIsQVnFFpf6/0HbMwmBC3Zs3/7Jz+bI2foIYKaEGkOAhofD1+Od+Cb8MPr+FSKV4V&#10;2l6zgKDnFeov+qLHtD5git++xCMTpjOmvoKMCXH89zW+R53Jdnyrw4G62BhFOEKT3rwouXqfO1Qq&#10;fmLoVHsel+HWNtU53Za0I3QtQFrC+2wQ4qx2tpwnUlzHDvv3UWNxfUu39ghxeVufiWrXFeBCURDB&#10;yQ8uPCF+64O8BEmKy0FcQPJallcd08WiILJbkDa8H/o8L6mJE6QNRd9PLnyZlqfjRjEdJ4rXMQR+&#10;faR4LU/xksw4kPoo/LhiP03tg0BCJMTJWBXnKF77AnGTos/j/dXn6VASOeYmIS7IcFt4KIpKJGhP&#10;Q2fFA69Ih3WJECcIQleCC3FDRo5riLwvHGdXtU51MiXEHf+6Tb3+uiPEXXu52jp3nNqOoVB9hkwl&#10;SIjbc3G12n/HTerFpmfVkQ/+bNxOslh3863u7ysutQUZNpWWS7TaGpajdZjmByGZQhwX9Ezospkf&#10;QdcVjxDHz5UXkO54Vb9MC3F+/yEhiBAXj9Cmk4hMR/d+aC9CnCAIgkCIECeRSDp8cnyGHIuVzbOm&#10;NpAMl2oh7pJJEyNkuEXl5Wr93LlRQtyq6tlq5MDBcQ35ygMJjh5chsgpc2ZJJElJxBC9Aa6vKbVb&#10;WqbW3qFA/EJcpBSXkBDnSHHxCHHRUlwQIS4sxQUW4hwpLh4hLlqKS70Q16tvaNi8/rPW+ApxYODl&#10;+046pz6b41dpjUAlNAhePSwoeI1ppippfsFyensTfsOlUlCJzbQsgBTHhToIcnp/UdFOD18HxxSs&#10;09SWQP9MUh+GVMVxh4RG/THJeYkG29T7kgg4B/ycpySQ4EzfozGrw4G62BhFOEIT37woLF/k9M+6&#10;b6lYEp5HQtzapkb01+m6JMHY97F0LTgVVzMhxOWfGhoa160Qt6nJlvMQkeI6bpgQZ4u3Bbc0tYoQ&#10;5w8qqkEEI/gQlJCL+LxEpCUMYcoDaQnboHVCkOISErZJy+pCHcQhtMdyWC+vDId2ekUwtKPgNZ8X&#10;Txs/EcpPJCOCtKGYBCpaHsFr7Dv6CgFNj2l5SiJyFqB4LU+V/HAO6Pygrel4csGPzm3Q6oFe8GuM&#10;1ulVcY73lQ+vi9f8OCN8OYB9oujzdCiJHHMS4oD1NWaDym/84acJXuHtzrunGtv4wYf3wnsR4gRB&#10;6FLsaHL/jaoLcaWjyludWSnNkFHjDvPtXnBFnfEBZ9I58aM68sFf1Cstv1f7b9ukttdMsIdM3TrN&#10;f8hUsN0R4nZfUKWeunmdev7JR9XbR4+Zt5MkSHyDmMWnx6reBvmM5ic63Ckt7yfdxYILcRDG0C8/&#10;qK0uxPGqeNgfkgPxE1IZ+hhUiEtkXbxveM3nEbQszg1vg/Xy46CfS4Lmo61pPl+HaX48kBDH76cw&#10;DCm/V4olxPH/nIBhV01t/EhkuHwa3hU/RYgTBEEQiIghU0eV1/B7TDB0xJhcZ7ZEIpFkX/BADg/m&#10;nIeIcVVEu2Hm5Fouw5mEuLAU1z4hrnrUqAgZ7jyS4QxC3ORhIz5zHzq2R4ojSdAmR4YzkyQt9Jmz&#10;fjY6kzwzZemWSpLhRIgLJsSFpbiQEGdLcRkU4gZddK/zPZKrSuZtihDiXCmOCXElFzcoSJPOJZDN&#10;uc7C/eNKEogViGim5ThBhh2FrOVVJS4IkNH0mNoBr0BqM7WPF1NfEk2y+gTaM/xszOB3Mn2m9O/R&#10;mNXhQF1sjCIcwaQ3L4pX7HWrw+X3HWxXi3PnozLcFY/8XWS45IT/RwYaOjcTQlzeoGF2H/AT74s2&#10;HYoYDl2kuI4Z67zRcLyOENfcIkKcP7oE5Bc/uccPiFEkKvkFfdGlO0husZbFfF2GA9guxSRnBW3j&#10;J0J5SU2cIG0opmMc6xhA/qJtmJanJCJnAYrX8vz48HhJaVxkRLiYligkulG85E0uz5nC+6Yvy/dT&#10;n6dDSeSYcyGuuOQ/7Xu1IA9VURUObfEgFg9kTW38oOUhxuG9CHGCIHQpmBBXOrK8MfK+cJxdSTrV&#10;gXjHt7t8/Q3GB5zJ5vjJn9Wxr3+wpbiWPdvVznOnqt1VI9W26cGEOFSS23n+DPXk5jXq+ccfVm8f&#10;PW7cTjLg4hZkK695JuGNC1xeglUsaPlEK8wBLnHFg77NZMpgiawriBAXC5wnv+3SPK/zlcxjQEIc&#10;l9L4fRKIJcS19z8nJFLpl/5DAxAhThAEQSAiK8SNq+T3mKB0RLmMtieRSLI3eJBMD+fikb4gw91Y&#10;PVXdqAlxm1MgxFWPGun0L1eV9u2rLp8+TV1LMly0EFcfIflZJCqW2BVH8BCse24bPWCVSNobLnLw&#10;qkZemVp7R6OfEBeW4kSIS70QF5Li4hHiQMm8jeHvsJWNMYW4ommXh9o7Q/9lefyqrcVDELELldpM&#10;y3JiDZdKCbIuL5IhxKFKHKrRmZaJhy4pxEFMcT4jESJ/8Zr9uTGrw4G62BhFOIKJb17w6nBFc9ZG&#10;zCtZtU/1GjrGFWwk7Qvu0ehY071s/+ubGowiHLExOIkLcc1R99X4Xqe+4l5VpLjsD75nnPNly7cF&#10;txyqDyTELV8f8YchoLfprPDqbLHiJTgFAYISiVtc7qJhLr1kNIBlIRaRQETBe0z3kp8gklFMwlzQ&#10;Nug3gn7r8+j4+VU5C9KGjonXMUYlPxwnaoefeI/pmE/bMC0fa93Ar49Blsd54FIa1kN90+ESItZt&#10;ahMvXFbzO84A20cb2i8E7+kaxHRTv/yuAx1adyLHnAtxqAxnfZXZ8IefOqhgQu2CVJPTgUBHy9Pw&#10;rCLECYLQpdgV/rdAVxPiiKNfnVQv7GtUuy+qtodChRD3wLThFmYZ7v6pw9X26WVq27QR1jKz1LN3&#10;3qRean5WvfNh6qQcXgWOqphxqHochuHU53U2IY4PLcqHHE2ERNaVDCEultBG89IpxHHBjN8rgVhC&#10;HP3ngkSGrodAR9uNR6bjAp8IcYIgCAIhQpxEIumwQfU0eijX0xliKkhuqJ5Ss3nW1LaQEDc1fiGO&#10;SXGxhDizDDfHKMRZRMgj7gNzC3qIFW969Ojxq545OSOdtxJJu4Nr0bkmY/4BrGJpfbeptXe0cSFu&#10;atqEuAfiFuJ0KS6YEBeW4s4KLMQ9FL8Qp0lx7RXifnvlU22/vfrpw7+9+qlG62fD0Kufru8//fLn&#10;+o6cqYomXKRK5lx3csiVTx2BEFc0ZqH9PdSrZJga4spw3kJcwdhzj7Lvro4gzLRXpPrIAsOBBolf&#10;Zbcgw6XyJCrzYX/1mNoBvyRDijMN35poOoQQFyE/afcuA645VG8U4HTqYmMU4Qgmt5ng1eEgvunz&#10;CyouDleyFSmu3eH3s/jPDJjWf8OheqMIR2wMTlAhDkOlog8YOhXv+24IV4Xg4VKc9bpVpLjsDjtX&#10;9r8zetc31YkQJwjZBQRGEsYg9ZnaxAuX7DBsq6lNR4ELcTt2V7v3a0GHzkoEvh0aHkyEOEEQuhI9&#10;dja7/7G6dOS4Fn5PiPfOrJQm00Ic+OPBZ9TDKxapB6YPV1unWTg/TULcfVOGqV1VI9XOGWXqwUsX&#10;qD88ske99fY76v3PvjauOxmQ8OY1xCYXpPQKclzggljH5wWFli8aMNA4Pwi8j0FEMmqrC3EQAiH+&#10;YR5+Yr1Bh0jVSWRdnVWIoyFIAb9XAn5CHL+XgqRmauMHVQWOt9KvCHGCIAiCiVhC3KARY2IWf5FI&#10;JJK0R3ugHLgK0Q3VFSVchkulEKfLcGtmzXRkuJAQ50pxkOHmzm1dM29e1ANFko+APHSWZEPw8Nv5&#10;3MWUUKcvvb1kWu2WsAwXVIhjUlwyhbiwFBcS4kJSXOcU4k69ovHH06/cd/j0q55sPO3qp+p/e8UT&#10;tUMvf7LstKueKhmxptFTXkBFSvadc3jg4juG9ep/6hG8hxgXRIgbtOrZSnwvs/V0hO8uDEMaZEhT&#10;DgQ2SFgQw4LmfAvTugCGcI03qCgXz/Cp2Iapv6Z9Dyqr4RgkOoQrKt0lKzgWpm3EC/YF10PSA3GI&#10;fYe2kfyEBK4OB+piYxThCE1w0+lz1mz3/qXfws3a/KYG7Ae+HzrYZzxrw78vMynE6RXiCm844Pk/&#10;43ifcU2LFJe9YefJvm8rqG+ujBLitogQJwiZBMIaJRnDpQI+1KlXxcCOAhfiAA2flUjlt6DMqxls&#10;b4NXNBEhThCErgQX4lARjt8TomKcMyulyQYh7k8vv6SevGG12nNBldo6++xQhTgIcFPOsLnPAu/t&#10;qnHWa1SSu3/KcNW45lL1Sssh9f5fv1QfWL+TTetuL/c++Jj7dwxddiMgcVEbXZrj8xKt8EZCHjDN&#10;DwKXuNojxAFUc+N9onZex8ePeNcVjxCHdeB8QCTk6+eYlqN5HUGI48vFO3Q9/tMDLRvv/Z4IcYIg&#10;CIIJLsRBfuP3mECEOIlEknXBw0I8SMbDHTyQDfoQDjLcjbOmRMhwqRLiqkeVhR4+WYRkuCp1nSvD&#10;RQtx6+bM8RzulT90lIfOkkwGnzW6FoMMUTxl6e01mRTiIoZNzTIhLmLY1CseYVJc/ELcGVc80WZx&#10;eOiSB/b3H12jepecrvLzC74PMqStKZHCcc73Pbrn/IjXfSdccL+nEEdS3KqDbcVrWuzvZDx8p/XE&#10;812d4UCEgrQGGcxU/QxDfEIqCzq0qR7IaPo6iaBV5vRgnRDL0GdUq+PrxD5gOubHI+7FG+oDqtbh&#10;GPE+EJhOxw9tUyKdZXO4cKoPhz7gmqYGo/xmoi42RhGOiBDcIvGvDtfUSp9vfJ65FMeHfpXEF+s4&#10;hv7zQ/fcVmfSv/W7rqnOKMIRG4OTqBBXvGG/K2yawu9P0fcO8h3fpWKdk1x2juIS4votWR3xhyGg&#10;txEEITnQUKFBhh4NClWc04cf7YjoQpxJVks2JN3xiiYixAmC0JXosbvZfWioi2lDRo4L/B/T25Ns&#10;EOLePnpcPf/EI+qZ321QDy0/V22bO84W4CC+7bLYPn24/Xr3zJH2zweml6ld589QT9+2Sb3x5mFr&#10;HT9HrTNZVC9YxP/eEgh9WFVeBY1PDwqkLlp3osOUJlOIIyCcYT61pfamYWVjEXRdQYQ4LOMnwXFM&#10;y9O8bBfi+ND1uG8ztfGDD9P68mtLjG28ECFOEARBMCFCnEQi6VBxHsCGhhLtntsW9AFsfVVF7o3V&#10;U1pvqp6irJ8JCHEhKS6IEGeW4Wb7CXExK23hIRatswOJJZJOFghWdB3iIasz2TPTlt5Wm04hLlqK&#10;CyLERUpxgYQ4R4qLR4iLluKCCHFhKY6EuGFXPNZmcfiMKx+vH3ZFY+1pVzVGVHzDdyK+G+k8JSrF&#10;8XMNIMXROR981bO1nkLc6qaI/ymsV5yT7y7PCnHxDpcq6WDBte9+NkPV4dzPQvGapjKj+OZFXWyM&#10;IhwRIblFwqvD9b9gC5vX1IZ+Ol22g33A5xpClzNJkkCs68GuGohj6Uz6t34bDtQYRThiY3CCCnEY&#10;KhX9wNCpeB9LiEOsvosUl8WxzocrxJGE27u+qSwRIa507OSoNoIgtJ+ZTW/Y4hqSrOFSecW5jj5c&#10;KtCFOP6QlYYzTSZ8iC/+EFaEOEEQuhJ+QlzpyPKYf8dORrJBiDv65Qn19tEP1EtNB9Qzt21SDy2b&#10;r7adU24Pkbpt+nDVMA0/R6hdVWXqganD1a5F09Tj6y63h0t956NPjOtMFiSzxYNe3YwLbV6Vz/xY&#10;d/Ot7vIQ9ExtYpEKIY5AFTy+j4kODQtirSuIEMfFOuy3LhHGEtr4sqb52SLE0X9eAPHeq+Hei5aF&#10;GGdq44cIcYIgCIIJLsSVjigv4feYIcbFLAAjkUgkaUuEXJGT436B+aV+XkW3m2ZNboEMl2ohLkKG&#10;K+QyXEiIC0txISFu3dy5h01DpZoiYokk00FVOLoGnUm+ia9CXEiKi0uIs8hWIc6W4pIgxA2//NG2&#10;4Vc82jLs8kfrTr+8sQzyGz77eMhty2+2uIbzklOJym74Xjyle85dPbrn/IN9Xxy1aGE0AnynYBkv&#10;sZhLcdb6/on3zqx/Q5WokBjHhLhVB9tKr4oeYg99ovVAmOjilaRMVecAKqtJOnH473ASUygDrmlu&#10;MYpvXtTFxijCEUyA4xQvbQh9Ti306nDFaw4a77l69Ojxq9zc3N7OW0kCYUKcWwW46LrmSqMIR2wM&#10;TrxCXF6vQvu905WYESkuexO6TwidG/p3U2H9gRIR4gQhe3i89UtHXUvecKlUcQ7p6MOlAl2IA/Rw&#10;NpGqI7GgqiT6ukWIEwShK3HKrib336z8ntC+L+xCQtzxb39SR7/6Tr313jH1x6efUgfvvU3t27ha&#10;PXL1RerBZTVq1wVVatfiGWr3hTPVIyvPV0/etE79/sEd6rVXXlHHvjxhXGcygLxmHSKbWCIbHxoV&#10;1cn4PC5xYXjQIBXUsD56jfZczAtSJY4vD1IpxBEkosWzjBde6woixNF8LzEvG4U4Lpjx+yJgEuIw&#10;PCq1x/2aPj8WGCKVlsfQqaY2fvDqciLECYIgCEQsIc6676xxZkskEklmY8sZ4eoqgf7xDRnu5pmT&#10;G0mGS6UQN1uT4epmzlDXuzKcQYibM6ft2urquMQQyCu0DRyLLi6WSNIc9/qzrj1nkm+mLN1SKUKc&#10;txA34tLtatjF96gzzr9V/XZOnRo0eYkqGbfwH/2GVf6joOQ0ldezt/VZ7/lVj+65hyEZuN9/KYIk&#10;OXzX2g/RWWXKMNEV5waterZy4FUHamgoRVO4XNeFv7swJKr7hxmNRIdglXSA2FWawvcvEcJQ3NXh&#10;QF1sjCIcwUQ3jmd1uHWH0vLAo6sG1wSOOb6DnUkZEeJ6lU22z328Qhxi7YNIcVkYTYiz/7DTu35/&#10;bhAhrvj8FZF/GBIhThBSAslrX/7yD+P8RKDhUl/86jvj/I6GSYjDA1LrK81Gn9ce6CEuhkzVh+gS&#10;IU4QhC7FrvC/Afk9oX1fOHJcxH/wSlWyQYgDx7/9WR378lv1butf1eF331evvvSSevHZp9ShHfep&#10;p+qvU0/evFYdvPd36rlH9qhXX3hevfX+B+q9T79Wx7790bi+ZMArlQWR2EjiArqQxudhvV7rw3Ta&#10;Lp/OJSwId35SHLXlwhhfPlVCHA0vG88yXnitiwtx9z74WMQ8guZ7CW38vJrmx1qeH0vT/HgwCXF6&#10;tTeTEMfb33n31Kj5fuA+jIatT3RofPpPE8Ul/ylCnCAIguDChbihI8bk8ntMIEKcRCLJiuDBmi2F&#10;xPmg7eZZU+pvnjVZ3QTiFuJCUlwQIQ4yXEHPPPuBkyvDzan2FeLOnzDhfqebcUXEEkmmEq8QV7G0&#10;vluqhTh92NRgQlxYigsuxO2MW4gbuaxBDTu/Xg2dsUKVTr5EDTh7rupbeqbqU3yays8rsHE/y+0F&#10;sk2IVnxXOt+XT/XsnvM9tbGmvWzNrwcQL9DWXd6fnfa6nff0UD3eyHeXXQXO/cMQQ4ZL7eSxP3ce&#10;n5+4q8OButgYRTiCSXCET3W4w36yq6T9cb9fu+c2OJP+re+GpjKjCEdsDE5QIa73mJAQmYgQh6D/&#10;dA1Zr0WKy4K49202OXbp/+L6lm6JCHGDKmZFtREEQUgHU595TD3/580ZR4Q4QRC6GPa/TYpHVHTj&#10;94QhxgYasaW9yRYhTufY123qnT9/ov706ivq+Scb1fOPP6xefu736s23jtgiHG97/OTPEe+TAcQ0&#10;6/DYBB2mlFeUwzCnfB4EOV7lDa9RwQyCF4Dche1QG1SS48sDiHC0PEB7LEfrwPqwHM3nUl6yhDjI&#10;ZADbJakPP/mwrl4imU4i68I+0TwcD9p/HAtaBx0DHEvMp2XxmouJgOZxaF46hTj+nxAwrDyXz0xC&#10;XHuEtk2bJ7jbilemI2j7qBQnQpwgCIJAiBAnkUg6RGx5I/SArc1UociUm2ZW1EKGS6YQ50pxjhAH&#10;PGU4HyHuvPJyu327xRLreJySk1PtTJZIUho8TKXrzpkUM1Nrb2/1FuJCUlw8QlyUFJclQtyI825W&#10;p81erQaVn6v6lo5SBY70Zh+voFjH1ZHZ7CFNLT7EdOsnvis+DD3YtodHtSu45eTk5EI48JMOMM9a&#10;voW2oQ/ViGCd1rpreTsbfL9Y7Z1t5FrzQ1KyBdo7i8cVXq0mRLDv804SiG/uH3cYMlxqJw4+P6F7&#10;F/uzfNiZbGfQmuZKo/AWi7rYGEU4golwhLk6XFNb8ZroYZAlyY37fciEOEiIRhGO2BicoEJcn4mL&#10;3GugaN0+fDfFHWsfwpVFRYrLePC7ms4Hfo9jmlGIu12EOEEQBEEQBCFMj92H7OrVmXxgmK1CHDj2&#10;zffqndZP1eF331NvHXlPHfngL+q9T79Sx09EVoVLhRDH5TYuVfkBIctPaIPMpUttJrCsqQIc1k+V&#10;0/xAH/QhXpMlxOlCmQ72j8S0WCS6Lq/l6JjhfJnmE/wY6usGNC+dQhwfAhXV37h8pgtxkNi82gYB&#10;Eh2WhdSG7Zra+IHqvrR9yHUixAmCIAgEF+Iy+R8+JBKJxDP8YY5J5jCFy3CpFOIWnH1mhAy3dub0&#10;sAznIcStnzP7e2uZI7RPiYolvU85pd8p3buPd95KJCkPHqbSdUsPVmNlau2WhvYIcSEpLruEuLJF&#10;N6ohlRepQWfPVgXFp6r8vD72MfEir0f+/8jLK/isZ27PpyA8QBgIfa9Fim3OIYsIlwt0mSaecNkN&#10;r53JxqAvpj7hPZfign4f67GlOEcQAtZ6/09nVmfOTAv3DzMaMlxqJ05oGGLns5eM6nCgLjZGEY7Q&#10;ZDgIcNTH3sMmu9OL1xyUfwimOPhepWOP73tnsh2jCEdsDE5QIa731CXudVC0ogHfTQmF/96yXosU&#10;l8FYv7ND/6HIwplkHjJVhDhBEARBEASBQUJc6YjyEn5PCESIc0Q3CwyLCo5/+5P93tQ22dCwmiax&#10;zQ9UacNyQB82lYCshvXzam6Q2DBNF9lMUEU0Xa6DKIbqaiaJjAt+fsOtErRu9IlPxz5hH3UpjbbN&#10;28Yi0XWRGEjyIX7iPW+DY4S+UxuA9yQDYjrgyxC0jFcfqIKd1/LxQEIcwPCjWC+GI+UCmi7EoSpb&#10;aPvRQ8/HAsOxYlmwpHaYsU0sUMGO1oH1iRAnCIIgECLESSSSrA4XJ/BQJ8hDtfrqipKbZla23Tyr&#10;Mn4hziKoELdi8kRVqMlwGD41lhC3bs6cymSJJRJJOhPx4N4ZeitWKpbemRuPEOdKcckW4hwpLh4h&#10;Dpxde58aXrNeDa28UBUNHhlTfutdNPingpLTP+rd/7St+X2KrnTnWd9j+D5zDktciRBqrO+NROUC&#10;qw/ucHbWenylOK8k67urR48e/78eOTl3h/rUJarE7bVw/zDDkOFSO3Hs70wamlgTgxKuDgfqYmMU&#10;4QgmwwFIcPSZpupwfauuSLiKrSR4rGvCFc2tayRCiOt3fVOrUYYDG4MTVIgrXLzZvQ76Lt0S1Z94&#10;gmXZfokUl6Hg2OMc4Pe2M+nfCusPlAQR4krmL4n4w5AIcYIgCIIgCF2HHrsO2X8zMglxQ0aNC/T3&#10;wPYmm4U4QejscCEOgpr1kbThApppyNRMQv2EkIf3IsQJgiAIhAhxEokka+OIF6GqRt1z2/DQ0Jnl&#10;GchwN7syXOqEOC7DoULcVdOm2DJcbCFutjscVsT+hfYx4QePEkm6Qg9XrZ/utRwrU2rvOMyluPiF&#10;uEgpLpVC3Nm196oRNetU6bj5vgIcpvcdVPbfSoZXfjrgzJnPlU5YdO6A8uocZ5fdQPZyl0uSFIdz&#10;kOh68D1D6+EPyOONtV/rcQ3Y6+ve/SJnssQ7Ky3cPyA5PGsh1eE6cSCU0edNl0cTrg4H6mJjFOEI&#10;JsMVL20Ifa9YUHU4TMvLLwx9T4gUl9JwIU6/Rvpd39xilOHAxuAkIsT1mX156HUSpbi8vLz/1Zkl&#10;SVNw3HH8rd/3doUPxCjE3RpAiJteE9VGEARBEARB6KTsam7FveOgEWPK+D2hfV9oTbNvLFMcEeIE&#10;IXNwIY5Xb0MVNpqebUIcDbk6r2aw/V6EOEEQBIE4fvKniL+783tMUDpynBQtkkgkmUmEABKgGlV9&#10;VUXuzbMqW+tdGS4xIS5y2NQZTIoLCXFrq6apIYV97X5BilsysdyV4XyFuDmz29bMmxdVIYNLcXjt&#10;TJZIsjI9aAjjgJIqMmXplspsFeJGL71blc1bawtwhcW/Vb18BDgIcgPOnNV62syr7jpj/vUTRixt&#10;CFTxxq50GbG+xCqipUKugxTXo0ePXzmzJBJJEoPPF31eIcE7k/+teE1TmVF0C0pdbIwiHMGEuIKK&#10;8DCZ/RZutqY1tfWdtqKKpgGR4lIX/vsBv1+dyXb6bzhUb5ThwMbgBBXi+q7a655zV4gDSZPict52&#10;JkvSEC5b8nPYu76pTIQ4QRAEQRAEwZ/mNtw7ohocvye07wtFiBOETg8X4kyyGcgmIY5Le48/Od+e&#10;JkKcIAiCQIgQJ5FIsjL2A8LuoaFSgzyIq59X0e3mmZMa62dVqHiFuCgpzkeIW1c1TZ05cID9cAky&#10;3OJxo9WGOTMDCXHXzp3tWXLT2sd2D2UokaQjkDrca1V7eO+XqbVbWr2EuLAUlx4h7sxzN6rfVixW&#10;/QaXeQpwmF582jg1ZNL5f/9t5ZKfiodNUn0KByQ8RGjEd5pFooJJsqQ4PCjHslzSkUgkyQtEfvZZ&#10;jbiPGXBNU6NRdAtKXWyMIhzhyHAlV+9zK8HlDxhmTytec8D+buKiFhApLjXhx1n/ndrvuqY6owwH&#10;NgYnqBBXtG6fe757lU1WPXv1PULvg9yLewXL0nry/u+8XzuTJSkOv1/gn9/e9QdqRIgTBEEQBEEQ&#10;/AkJcaWjymv4PSHAMKr2jWWKI0KcIGQOXYjbtHmCLZvRcKQgm4Q4Gi4V4h5NEyFOEARBIESIk0gk&#10;WRcIGm7VtO65rUGEjZtnTaoPyXCxhbiQFBe/EMdlOLDg7DPVRluGCyLEVceU3PgDQ1SVcSZLJFkX&#10;61oNCZzdc+0/kAXJlKW317hV4oIIcUyKS1yIe8AW4cYuuVMNn3W5Gjii0q4CR58zji3AnTpOnT5t&#10;mRox/7pjYy7bVnf28p0lqAIX8Z1kkagUBwkN32m0nniEQh5dVEm04pxEIkld+HcGF1eL1+zPNUpu&#10;8VAXG6MIRxiqw+H1gHWHIqQnkeJSH/v3gnN8o4ZM3XCgxijDgY3BCSrEgfyiwXZf8k8dowpW3DMM&#10;96PUP9ynOl2LO3SPm+jvPUn80Sptu/cJfeoP1gYR4gbMPi/iD0MixAmCIAiCIHQtchpaupmEuKEj&#10;xgQaLaK9ESFOEDKHLsS9d3ylLcNZH011591T7WnZJMTpfQMixAmCIAiECHESiSTrgodl7AFO7KFS&#10;Z1bUhmW41AlxlaeGRRq8hgwXSIibU912bXV1oP89pw9lGEQGlEjSHVyX7nUa8OF2xdL6bukU4s5e&#10;eL0aOnae5zComIYKcUPG1aiRCzf8OG75tpYxl26vKV/e4PlZ5YILXjuT44oj17mCQaJyQM9f/zov&#10;r3vu9Vge0sqgQYP+F2eWRCLJcCKqfnXPbXQm2xlwTVODUXKLh7rYGEU4whHiUBUOfUSVuOIrHz9S&#10;vKYl6p5Dl+J+/etf/x/OLEkSwn+f6kJc0XXNlUYZDmwMTlxC3KljQtdEr0LVd0NTmf47q91SXPfc&#10;VuetJMVx71m0/7xQcEtTgy7EAf0BqC7E4b3eRhAEQRAEQei8QIgbMmpsLb8nBCLECULnRxfiwKpr&#10;zrKls7KRPe332SLE7dhdbferuOQ/I6aLECcIgiAQIsRJJJKsSk6oghINldrgTPZM/fSKkluqJrbF&#10;L8RFSnGxhLg5I4e7D4NtGW52VWAhbv3sWXF9kUZUdOie21ooD58lWRh8Pp1rNHCVOHfY1BQJcWee&#10;c40rwbmfIQcuwGHI1NFL7voBElz5pQ01FUsbAoun7n5bJEuK0yUIiUTSscO/J3hlJrs63OqmNqPk&#10;Fg91sTGKcMTaZtVv4Wanf7mqYOJFfy9e0+RZaZKkOF3uk7Q/XIizrpsI2QyColGGAxuDE48Q12fi&#10;Ive66HPBjeehH8mW4nCv77yVpCj8utI/t31uaWoMIsShIhz/w5AIcYIgCIIgCF2L/J0HSvBwkN8T&#10;Aue2MuURIU4QModJiNPJpgpxJkSIEwRBEIgPv/tbxN+z+T0mKB1ZnvDfuyUSiSTuQDBxHra14WGO&#10;M9mY+qqK3FtmTmy9ZeYkJsOZhThbiktQiOMyXHlpqVpbNS2wELd2VtWHa+bNi7vKGx6g2w+xZHgy&#10;SZYm4mFrwOt0au2W+mQKceMvud2W4IacVeUpwZWcOladMW2pPWzquGX3/n3kvDo1cHgl5n0CycPp&#10;WlzBA33aBiQBZ3Lccb/vQusR0UQi6QSxvxsdsR+fcWeynQGrm+oGXtNsltzioS42RhGOWNuseg+b&#10;7H5X9l9Uv9PpomdCUpwMz5yK0Hmwrpuo/wjSb0NTWzqFuMLFTJScvfJ2pxtJleKse4ZZzktJioIK&#10;2+650qptF9zS1JqIEFcyf0lUG0EQBEEQBKETs6OpDA8H+T0hcG4rUx4R4gQhc4gQJwiCIHQmooW4&#10;cW38PlOEOIlEkrZg6D96eBNLsKmvqOh2S9WkRshwJiEuLMW1T4i7vHKCKuzZ0+7TkMJCtY5kuIBC&#10;3On9+ycsteXl5f3aeSmRZGXw8N7+zAasEjd56ZY6fyEuJMX5CXETLrlNnTl3tRpyZpXnUKilZ1Wp&#10;Uedco8YtuUONv+yBtvJLH3ArwZFsamP1O1lSXCyB1ytWf9Zby69Bvwr/v4X/mzNZIpF00EQMfc5+&#10;/6Pal10dLguEuOKlDeHvzNPG/2IaKlWSvuB3kfO7JEqM7nd9c0s6hbiiFeFrI3/snGedbthJphQn&#10;1Y9TG1xLdJ6s8+ZW5Cuub+lmy3AGIS5vV+QD0EEVs9w/CgER4gRBEARBELoWPXY21wwZOa6B3xPi&#10;4aFza5ny6A8qRYgThO/UZyduThM3qc9P3OjLZ4Zpsfj0RIP66OQXaQHHy3wcBUEQhK6GCHESiSQr&#10;goc1fg8E9dxSNameZDibFAhx66umqJJeve2HSfi5alqF2kQyXAAh7pwzR/1AD6Mg+zldl0g6TWgY&#10;vRCRFUhMmbJ0S2WiQtyYhdeq346dq/r2H+psLwyqww0de44avfA6Vb5ki5pw2QNqwqX3t4xfdn+t&#10;aTjUZElx+vDG/KGzRCLpeoEwhO8C9p3gfv+41eGyQIgrqFjifn/2HjljldNFSYbid//bf8Oh+rQK&#10;cev2uddG/tCzvnC64QbXNJfirNcJDR0uSW3oewjnyplkp6C+uTJRIa74/BUR8wVBEARBEITOTY/d&#10;zbW6EIeqbc6tZcojQpwg6HxnrITWkfjsxBbDfgmCIAhCyokYmUWEOIlEkpHggZr9cK17gKFSZ0ys&#10;/d3MiWEZLqgQx6S4WEIcZLgzBw6wH/ahQtwFY89Wm2bPMApxISkuLMSB62ZXt04ZOTIn4qGhSHGS&#10;Thj20DXmQ/GpS28ri0eIm3jJrWrE1IuNElz/wSPUbx0JbtJl96uJFhMuu691/LJ768qXN8QU3CJl&#10;PpDYUIAQAd11tEOuk0gkHT+oCEffBxBmnclUHa41G4S4kqv2qbz8QruPeQUDvnO6KMlg6F7R9Hu0&#10;6LrmynQKcSBv0LDQ77S8Pv9yuhERkeKyO/z+hn8PIYW3HKr3FOJ2RD4AFSFOEARBEASha3PKrqa6&#10;0pHljfyecMiocRH/4SKVESFOEHREiBMEQRCEBBEhTiKRZDYQxdyHajGksfrp5SW/q5rQlmohbvKp&#10;YQFnzsjhjgwXEuJcKc5PiJszy66WpT801B9MSSQdPVwAsa533wppFUvru0ULcSEpjoS4SRf/Tp09&#10;92o19MzpUUOi4v3QM2fY1eImXXqfzfhLblejz9vcWr78nhJTNTi/2A+Nnco8APvizIorkRXncj7u&#10;+etf5zmzJBJJF4r7+16T+wetaq50ZbgMC3G8Otwpp+T/QyTezAdCGV03ziQ3xdceKEm3ENdn4iL3&#10;GvH6vS5SXPYmonqtJvsX3tLUGlSIKx072f2jEOi3ZHXEfEEQBEEQBKHT0yBCXDTHvv1JHT/xg/rA&#10;4vg334c48aM93dReEJKHCHGCIAiCkBg/R4zMIkKcRCJJa/BAjYSUHjGGSq2vqOj2u5kTWyDDpVKI&#10;mztyuPsgEGLcDa4MF1iIi/ridB92BthPiaSjxfoMB6oS5yfETbr4FnXqmDlR1eAgwaEa3PCpl6gJ&#10;l9ymKi6912Zi7T0vDB0z5zOS5hKVTfGwn/oPYkm5XoEEhwfPXIKRSCRdJxFVJ7vnRtwHDFjd3JIt&#10;Qlz+gFD1r7zcntRXqWyZ4eB6oWtH/x2C6oLpFuIKF28OXRugT9GVTleiIlJc9oX/uwr3Ns5kO4X1&#10;B0oKSYYzCXHbIx+AihAnCIIgCILQtemx+1Bj6chxLfyeEO+d28uUB8Oz8m1nTYW4Ez+o9z/7Rr37&#10;8Wfqvda/Wj8/V+9//o069nWbub0gJA0R4gRBEAQhMUSIk0gkGYz7EDDAA9nfVY2vIxkuuBAXluKC&#10;CHFXVJTbQ6SiT0MKC+2hU4MJcSEp7vrZs1rXzJtnFGIgwslDQ0lnDB82NFaVtam1W1p1IW703KtU&#10;QUFx6OG7Q/9Bw9WpY+eq8sWbVeWl97gi3KRl97RULL3H/a7AZ8nddoKfq6iH+jK8sUQiiTNeVZmK&#10;1xwoiZDhMijE9VsQFp16/Cb3Zbe/IsVlNPzaMZ2Hftc3taZTiCtat8+9TnoWlLzgdMMYkeKyK/xa&#10;0v+jQJ/6g7XxCHH8j0JAhDhBEARBEISuRY9dh1pQEY7fE6JinHN7mfLoQtwFV9QZHm6mj+Pf/KCO&#10;fnFCvfPBn9Xht95Wb7z6qnrt5ZfVa9bPw2+/Y08/+vk3xmUFITmIECcIgiAIiSFCnEQiyVD4MIOx&#10;qjvVV40vu7VqvD1UaqqEuGtnTLYlOPQHUtzqaZPUDbOn20JcWIrzF+I2zK6KGJpIT8/uuQ20z/LQ&#10;UNKZYl3PYeHTRyibWntHA6rEkQw3bOLCiKFRIcKNW7BOVS672xbhiEmX3t1Wcek9RtkuYttJkuJi&#10;fSdJJBIJD6oxOd9BEUPIDFjdVJctQlzvYZPd71rrOw/VMd3KZCLFZS6aVB71+7P/9U0N6RTiQN6g&#10;UCXBnj3y/uZ0wzMixWVHcB7oewifZ7x3ZtkpvKWp0VeI2xr5AJT/UQgULV8fMV8QBEEQBEHo7DS3&#10;6VLakJHjGpzby5RHl/EyIcQd//YnW4J7++gH6pU/tKg/PP6w+v3uBtW89W518L7b1cF7fqcO3Hub&#10;OvjAHapl7zb1ynMt6u1jH6r3Pz+hjn37o3GdgpA4IsQJgiAIQiIcP/lLxN+rdSEunfe4EomkC8V5&#10;eBaq7NQ9t1V/aMODoVJvrZpw+NaZE1wZLtlCHGS4swaU2A/yIMNdOPYsR4aLS4gLZBDzB9B4gDho&#10;0KD/xZklkXTY6A/ErevceAMxdeltZSTEQYaj9hgqddyCtWrysrttIoU4yHB3VzqrMAbbo3W152G8&#10;+70UWo8MbyyRSGKGC01cpsVwlwNXN7VlgxBXctU+lZcfkv75dxu/J7FeixSXgdgik+H6ofS7rqku&#10;3UJcn4mLQteETbjioVf0e4D2/B6WJBZU6KXjr19HxfUt3QpuaWoLKsTlbX0m/AchBxHiBEEQBEEQ&#10;uhrRQlw6q2dkgxB39MsT6q2jx9Ufn31K7du0Wu2+cKbaubBS7Tx/mtp13lS187xpaueiKWrn/Elq&#10;z0XV6ulbNqgXD+5Xb71/TL3/1UnjOoXOyYq6a1X3U3oo69K1KZ88Tf3po0/d+XhdvWCR+lW3bvZ8&#10;/MQyfB2xMQtxZSN72uvctHmCcX6mWFI7zO4XftI0EeIEQRCETCBCnEQiyUhQAYMe2uBBsjPZGAyV&#10;ChkuuBAXkuLiEeKqzjjV6Uuumls2TG12ZTgfIY5JcRvmVB32GirVFDyowrZkaEZJZ0qE6Aq657bh&#10;Aa0z282U2i0tw5kMVzxouKq4+BY1edldBiHu7raKpXfGfBiPcLEDD+b9RFu/WMvebLFGxBCJRBIk&#10;XMjl3xsDVx2oiZLhMiTEFVQscb9z9fsukeIyHzr+1u+eKBG76LrmynQLcRHDpnoI7npEists3GMf&#10;qg6X60y2U1DfXAkZzk+Iy28IP/w0CnFX3cAejgqCIAiCIAhdAes+8Ht+T9jVhLgjf/5YvdxySB24&#10;u17tOn+G2jtrpHq4epTaOWOE2llVZrN75kj1yOwz1bZpw9VDyxepg1vvVn/644vq/c++Nq4zWay7&#10;+VZXvtIpGjDQlq/2PNNkXBaQvAVxyzSfc++Dj7nr3vf8K1Hz6+/b6s7Hek1tOJjvt76OxuJLV7j7&#10;w6HjDxmOy3IcfV3+RAtxzS2L3XW9/NqSqPnvHV9pi3IkzRGTKvuqO++eGtXeC2xnXs1glZv7H+46&#10;ftXt3+31eq3H1DcR4gRBEISMcPKXiFF9MlkFWSKRdJHgIQ0e1jgPy3wrMNFQqckW4kJSXEiGu7Ji&#10;nF0VDv2ZfOpQe/jUeIS4DbOrfoo1VKopp5xyyhDnpUTSqULCJ4GHtFyMy8/vc2V+z17/wry+/YfY&#10;MtwUW4bThLhld8WsDKeHbxvb1R8KSyQSSTIDCci6p/EYLrW5JVuEuPzCgf/d/m4MyTJRsrA1XaS4&#10;DIbJTK3OJDeoNJhuIQ7kFw0O/S7Nyf3B6UrM4Npy9wXLihSXlnhVqaQU3NLcEo8Q1+vux8J/EHIo&#10;XHtrxMNRQRAEQRAEofOj3xOWjhwXda+ZqljbauHbnnfJcvMDzhTy5uG31YF7blUPrVikts4eo3ZB&#10;gLPYPn242jFjhA2kOIhy26YNU7svrFJPbV6jXnjycfXux58Z15ksho06y5WN/ICsZVqe5mM9pvkc&#10;VDKj9ibJTu9LrHViHX7r60hAdqN94VXhIBHSay4v4jWmHXrzXbsNrScY0UIcJDWsF4KbPg+iGqQ1&#10;2rYJLK8vp0OV3vwwLQeKS/7Tnk9V4kSIEwRBEDLCyZ8j/uYuQpxEIkl5elIlFUMFA57QUKnj7aFS&#10;UyXEXTejUg3r389+gFTSq7c9dGq8Qtz0YWdYy/tXuZNIulogU7ifdY4jjoA+fYpPkgwXLcTdhcpw&#10;UdXlgoQPG4bvGRE7JBJJquIlohRf3VRmlOGASXKLh7rYcBmu34LN7newSZahaDLzTmeyJA2BOGYf&#10;d+t3ljMpIv02NLWlW4jjw6bGI5eLFJfe6Mdbv+fh1eH8hLhe94cffIoQJwiCIAiCIAD9nrCrCXEv&#10;//6QemTVJWrr7NHqgekj1ANTh6kHpg1T91s/CUzbOn24emBGmdpeM1E9csVidWjnA+rIB382rjNZ&#10;cAkNUhkHEhwNzQlMQ3PSvFQIccBP9sI6qJ1pfcmEjgOq2Jnmt5dY1fMAHR9U7jPND06kEIfqb7Tt&#10;HburI+YBkuFQ1Q1V4h5/cr4NSXSE31CrvC2qwWF5moeqb5Du/KQ6rBvLoi94L0KcIAiCkAmOn/wl&#10;4m/uIsRJJJKUJlYFA57bq8rrb60a78pwvkKcRfxC3JSIoVIvHHtWSIbzFeJCUhwJcUsnjv9vBU51&#10;OdPQkBJJV4/1mS9zH/QzMA0PcacsvbNmyrI72yKFuMRlOAq2625PpDiJRJKiWN9ljfRdw6WhAdc0&#10;NRhlOGCS3OLBkd784EJcrzMm/ZP6GOu7kKQ4uadJb7iMaDpH/a5vbkm3ENd31d7Q71DQPTeuoZFE&#10;iktfIkRWw3kqvKWpMW4h7rY94T8IOYgQJwiCIAiC0LUwDaM/ZNTYWuc2M+XRhbjpCy80PuBMNsdP&#10;/mz/RIW35x7dq3ZfXK22ThthMTxChOM0YJ5FQ9WZauf509Wzd96s3jp6PGrdyYRLaKb5kLNIBsNP&#10;qlZG0LLJFOLwk7aJIUL1dkQ6hTjajkkKTAb82Jjmg3iGp/UnUoiDjEbb5tMJCGxeshuJagDCnKkN&#10;JDtqE6SSnAlIc7QOrE+EOEEQBCETiBAnkUjSFv5wjGQYZ1ZUbqsaX2ahkinE2VIcE+Iih0odEpbh&#10;AgtxM1qnjDw1J+KBX05O2v4wIJF0pEAUgRALycL0sH/K0i2VFUvvqA3R4PndEP6bVmAAAP/0SURB&#10;VE86qxRXPKKim4mhI8bkBkVf1lm1RCKJM9Z3S9RwqRjicuDqpjajDAdMkls8ONKbHyTDlVy1T/Xs&#10;0esf9vdgz4IDVt9yY9Gzz+BNRedc19963Y1wdk2SouD3E/2+Mt1L9t9wqD7dQhygYVMtvne6Ejgi&#10;xaU+9nVj3d/Yx9j6LtL/bVVYf6CEy3B+Qlz+vc3uw0+TEFew4e6IB6SCIAiCIAhC58ZUNTi9Qlx5&#10;I992uoS4Y9/+pN775HP1+quvqoP33qp2njvFHhp1m48Qhypx9005Q22dPkxtnXWWempznTr81jvG&#10;9SeLWEIcQKU4aqOLZzQ92UIcb+tVla2rCXHJ60OkEIdhUrFe03CpQaB+AdN8Gu7US5gLCq0HUp0I&#10;cYIgCEKmsH4XuREhTiKRpCx4wEcPxSCqOJONuXVGeUt7hbiwFBctxF0/o8IdKnVAr1720KlxCXHV&#10;VW0bZlfZ+6A/8ItV+U4ikcSfvLy8/9V5GVfyuncvPCUn5wI/ATfRkEwGwax0RHkJGDRiTNmQUeMq&#10;gXVTVQPwB0OAoSVKR5bXE7jJwh/48L9eQ//zddxhAjdkoZuycW1h2A1aygltk/rh9OVwqK/oc3kj&#10;+u/sg7U/2LdxdfZ+2vs8rhLHApCE5xw2SRaHS5J0bXPoOk8UfX2Ab8/pRocJl5h4ZaaBqw/WGkU4&#10;wiS5xQMT37wgIa6gYolz35Wr+tXcqAauPpQcVjW3ObTarD50GAxYfajFotGhwWbVofoBVzfVgYGr&#10;m2ut9jWDVjVXYlhZm6sOlDgyXpcW70hssu4pG51JbvptOFCTCSGuz+zL3esnkaqBIsWlLs6xZRV4&#10;cyqdWXYwv3Ddg9uDCnG97gkLcb1v3Bp1XyBCnCAIgiAIQtfCJMTh7z3O7WbKY//diW07bRXivvnB&#10;ru724rNPqydvWqe21YxXu6rK1LbpI4wyHAEhbueMMrtaXOOaS9UrL/xBHf3ihHEbySCIEAchjdqs&#10;u/nWiHk0PdlCHN5TRTRTZTogQlyiRApxtF6/IU/9QAU5Woc+r7llsTsPlej0+fGwpHaYvR4MmypC&#10;nCAIgpApWtva3GcPoeed7D5XhDiJRJKM4KGM34M+nltnjKuEDBdLiIuS4oIIcY4Ux4dKvWjsmerG&#10;6qk+QlxIiuNC3Ibqqog/AEQ9lOqeK1+eki4bSFBBBSovicpehybTFPQfUKVPiwXWg/US2E5oW1xS&#10;C4tqrI9RopqzTxmQ0zoXOI422rVB54KuB34dkDjlXGLtCq965RBVIcsDdxlnVSkLCWIkjZmuZxwj&#10;EHktx76OAZ0D67VzPWfjNR0tZALaH37tOPtq73voOEReS4S1vPE7ho4zGFC9Psfmgi39bVHLAvIW&#10;gMhlC10WkLwKRtc8R7/3+1avfceVwlY1/d0owhEmyS0eHOnNDxLi8voU2/3Lyy9UAy5/0iy3ZRNX&#10;PqMGXPn09wOuePqTAVc+dWTAZQ+9PPDSBw8MXLbn4UEX3btz4OI77hq0+PbNAxf97pqBM6+oBQMm&#10;L56Jc0tEnvPQ5yPycxL+rAC6hsKfmfDnhsC1x7HW7V6bhDWdfZ5ioy9fUND/JF1PA4ePfiG8fas/&#10;o6c9lQkhrmjdvtB9rUWPnNwPna+ouNLVpTj6Po/8DqfrkeT40DVmX0fWe2dR30T8RyPt3x22rFvQ&#10;/6mCTfsiZDg/Ia73Xf5CHKbxB6SCIAiCIAhC5ybTQpz9bzS27fKZNcaHm8nm2Ndt6s0331QtD+1U&#10;jdderradM1bttIU47wpxBCrJYWjVh1csUs89tEu9efht9d6nXxu3016CCHGQ4KjNvQ8+FjGPpqdC&#10;iOMinkkCa48QB8EOle9IugNFAwba2yH5ju+3F7x63aE337WXR/9pyFcC00yV7vj2EwXb1dfrT1iI&#10;e/zJ+e568JoLaEGBoEbr0OfxIVXfO74yan488KFXDz53lWG/BEEQBCH1+Alx+Pu7M0sikUgSD6qm&#10;OQ9sfIctrK+o6HZr1bjDqRTiLht/dsRQqZDh4hLiqqvcKjB6uBTX1R74SSSU0APf8M1EMikqHmSc&#10;LnQ1JvxcenblCYuTpWOmfTZ4/JxPSyct/KS0YtEXg6de8qXNtKUnB8264gebuWv/DgbPW68GL7zB&#10;ZdD5t7YLex0LNvxtcM31J23mXNM2aM7qLwdVLf908IxLPwKlkxd/aDNx/keDy6tbwZAxUz4BpaMn&#10;/2XIWZO+LD1zwuelo8b/AMz7K2QFoyfblJbPsikoGmj/vs/rkaesa1CVTqpRg2fUmiU4jklyiwcm&#10;vnkBGa6o+pqQLGPR99RxavCc1RGUzlzhz7Ql3lSeF421/1E4x4qgYxiB6Vh3QYpLT3PPF17r8/uv&#10;fzrtQhzoPWa226+i4oHb8BAMUpcul5JUapKXO6oUx+VkEmhJagsdh7CMHBYqIwTKNv08xiLIH2Cs&#10;45lL/9EIP3F8nVl2evzmN2f0qloSJcOJECcIgiAIgiAExTSMPu6DnVvOlCeTQtzrr7+ufr93h2pc&#10;t0JtPadcbZ8+wq78ZpLgOLYQN3242nPJbPXsXbeol5oOqCMf/cW4nfZCEhowzQfVCxa5bfY9/0rE&#10;PJpOEpsf8QpxwK9KXKJCHAQyXVjjYH/RLl4hzm+dBK2byLQQt+qa8Pnn8llQXn5tibs8hjTV59Nw&#10;rO0dLhXwanNb7llg2C9BEARBSD1H2/7ujmIlQpxEIkl6tIc2njIZ8rsZY2tvqyq3ZbhUCHHXT5+k&#10;hhYW2A/jaKjUuIS46um+/UesfWzoaA/8JJJkJpVCXMnQYapPn77GeYIgCOmitGyMyjslJNcXFPZz&#10;pw+uWW+W4DhcbksETX4zASGuV3G4Gm7vXgUR/ReyD1xTdL4Ki0qi5g+45HcZEeKKVjS4/QIDTh0R&#10;1Td/QhXxBo8Y80l+Xq//ovX0yu/T5lbAc7AfejlY790qfpGEq0CGMbULo603qgqgI69lRSVY9M25&#10;nTLGkQvD/wHHMJRt7/r9uQU3H/gpUSEOw6Pq/cIDUf6AVIhk+BMvqtYff1GU5s9OGNsJAnG07Sfn&#10;alHqy1/+YWxjYvvxT9Xf/vUve7m2f/xTzWx6w9hOOKSW/PFd+xghOGa3vdNqbCcIgiCYyTYhbuTE&#10;acaHm0nnxI/qyLEP1cvNB9VT9dep7fMm2EOhbp3mP2Qq2O4IcbsWz1BP37ROvbDvMfX2+8fN22kn&#10;sYQ4XqXNJL3RPFRXg5TmBxfr8F5fl0mIQztaRpfJ+DzT+rwonzzNXgYCG18Osh+2oW8H0HZMleoI&#10;yG1YN44Zl9SwDRwfWocuFQIuC+rzCJrv14dghIU4EtZQ5Y3LZ0HhQp1pyFUaThU/Ic9h2FOIc7QM&#10;QB+CDqdKy1x1TaVhvwRBEAQh9Rxv+9kt1hT6W3D4PjPW32MlEokkZnh1OL2CAQ+qw902o7w1lUJc&#10;1em/dR/oXTR2lCvDBRLiqqfX188LNmQfxD/aTs+cnJHOZImkSySVQhzold9H9SksMs7rGISHywvd&#10;eDkP4pkYoD28Zw/2Qw//abg1E6ha44WpPaD1hghvT+uHKxDY/bX6D7Av5v0UhM4LpCD6PV9UUupO&#10;H7R0q1mC45gkt3jQ5DcTJSsfVnk9QsIeITJx9tOrZ759riBb6vMGnrs+I0IcyC8aHHEtxS/FhYD0&#10;h9/htB65JqPB71jndioqjgzX6J4LbahUSsEtzS0mGQ54CXF97ggLcYVrb43qV7KFOEg9EIJI7EEg&#10;rkAqe7z1S1swMy2Xrax7/bizF+GY2gkCocfUxgQXLxGRL73BseHBsTO1EwRBEMyYqgYPSaMQZ/9N&#10;im07XULc8ZM/q6Nft6m3j36gDu18QO1cOEXtrhqptk0PKMRNG652nT9DPbV5jfpD40NpEeIgbhEY&#10;GpULbDRfX57PjwfTukxCHJ8OdNHMb31e0DLxiGWJLMNBv/3WkSkhjgtrXDwLAoZApeFS8dM0JCqt&#10;nw+r6sW8msFRy+vQekaMLDDslyAIgiCknqMnfiqzfhfZCT2TDd9n4tmnM0sikUjiDx7cQITDQxuI&#10;cc5kY26dMa4yJMOFhThbimNCnC7FBRPiQlJc3ZTx7lCpU+yhUqd4C3EWXIjbNHtGQ1AZjmKLgDEq&#10;4kkknTEmIY4PndfeIfLwQB2Y5iUOVYSJFNVCAlikpIY/yoUIi2kh2Sw8hBwNrUbDxxHOIcqaFK9p&#10;6eaQW3zVgRKbq5vKBq1qrhy4qrlm4OrmWjBg1aF6m9WHGixawMDVhw5bbVot2qzXyubKZ9SgFY+p&#10;Qcv2qIFLtqpBF93tDi1qD1dq4Q7FSMMsJuGaEBycISjps+YOW0nHmoa7dIbEjBhC0zk/fEhZe0hY&#10;bZhYG5zXeDGsJ2JbtH2gD+lpGqZTG44z3dcQJDiSUlw5aNI8swCnY5Lc4kGT30wUjpjs9i/fkayA&#10;CEgOzmcl6jMD6HNj+uzo0DXqEPGZwjVcddl/lc5Y9hOGcC6dctEnNhhCufK89wZPWni4dNL8V0sn&#10;znuhdOysV0rHzHihsN/gz+lcDRx29mskINu/j0ZP+SRTQlzh4s3uNUSYhnUNgkhxDMP3lp8Qx//D&#10;DYagNf1Hoz71B2tNIhzhKcTdHkOIu/uxiAekiQLRDdWwYqWjST7pFuJQFYzLhJAITe06AqjaRcE+&#10;4Via2nU29JjamEi1ENeZri0R4gRBENqHSYjD37uc286UB39349tOW4U4h6NffKuef+JRtfvCWWrH&#10;9DK1bdoI9cC0YeoBgwgXYrg9tCoqye2+YKbaf/sN6qUDT6sjx/9sXH974bKZF6ikBkHOtLypfRDi&#10;EeK4+IYKbKbp8QhxNEwpX1csaDvtkdH81pEpIY4Es0SEOKouB3bsrja2ISEOoDIcKsGhUhzNx3K8&#10;YlysSnG0PhHiBEEQhExx7MQv7n/sCD0DZve5I8cZ/9OxRCKRBIpWHc4dn9mU22eMa7k9hULc+NKB&#10;9gMkSHHXz6gILMRdXjH+X6f27TPB6WZcsfb5352XEkmXiUmIgxzlSlMcEqh0iQroAg1NjwN7u1in&#10;tW4Xa1vY7oArn/5+wBVPf2JLXasPHSbRy6LRocGFhLCrm+oIksVsII9pQCprL1Hr5du0cPtD/QtL&#10;awD7EJbXwgJbSGLjIlsWYRLqQIQ0RbIUhBQuSDFJypVdtGsxbeiijS7ZaEJNhEiDfXREMX7tR13P&#10;zrVsYziWXRrnuPDvF7qu3GuLXV/uNUbQtcauOQLnq2DA6fY9RV6PfPdcDjr/d2YBTkcX3OKlLjYk&#10;HKHS2OBR41WvXqHh4kGfgqLw54Nfo17wa1eHPn8EXdcc5xo3XusEP9b8PFjwc+SeN/Z5iPhMEHTe&#10;+WekA3xO+tXc6J6nvtOuCM8LfWe39t/Q9N8zIcQBvUocKBYpLgR9luhz4Vz77vXtXMfutUrXpXVu&#10;8bnh6/IS4nrk5NS6x757bqvp31XF9S3dCm5pajOJcISnEHdreoS4IDIc0tGEOF30S3X/dQGvI4s+&#10;urTU0c59ougxtTEBQY2EtVQMmdqZri3siwyZKgiCkDimYfS7khAHXnz2afXQZQvV/VPPUNumDbeH&#10;Q22wfpqEuPumDFO7qkbaw6s+uKxGtTy4Xb35xmH1/qdfGdfdXvyEOMxbd/Ot6k8ffWpcFvC2pvkc&#10;Ln3FI8QB03CriQpxvB/Ylpfsx6H27ZHR/NbB+6TPI/yWj4+wEEfrjFeIw/CotKxfZTcS2CC9meYD&#10;CHJB+yFCnCAIgpBpjn/7c431u8iOCHESiSRpcarDteLBDYb3cSYbg+pwkOFSJcRdNv5s96Fb1Rmn&#10;qptsGc5fiMOwqZdXhqvK9czJSds/+iWSjpy4hDhBSCdMjOHCTAQ+Yo0Jvk4b03aFTkd+35Ac1OeM&#10;ye60QSb5zYQuuMWLQYDj9JsflqoKJy6x+zbg8idV/oDh7vTeQ8a4/RayB/s8OddWXn5h1Pzia5sz&#10;UiEOmKrEgX4VF7nCoisycsFxDqv2CEgWm7hA9erTz11P78L+roTJhU0X7b7CE8OynoKnLnLq0ibt&#10;jyO0kYgZIbW183s/iBDXIyenBv+5yD5W9k/zv0kKbzlUb5LgOEGEuKKrbojoE0iGEIdhUnn0amBL&#10;/viuLftALOsqUlSiiBDX8dFjapMJOtO1JQiCILQPkxCHkRCcW8+UJzQqQ+T2TQ83U8lrL/5RPbnx&#10;arXz3Mlq66yz1P3ThhsrxGHafVPOUDswrOqU4apxda165VCTev+Tz9Xxb34wrru9kIQGTPNjQcum&#10;WojjQ47S/ESFOLD40hXusgBV8DCND8nKoXaxZDQsj/Wgj1gn34bfOjqSEIcqbrScn+gGSGALKrqh&#10;Yp1pPiFCnCAIgpBpjn37U631u8iOCHESiSRpsR/eOA+5YslkVB3OKMRpUlwwIS4kxZEQN7xfkd2P&#10;Ab162dXhTEJclBQ3e9rhUQP7DXMfQFlgn5wuSyQSj5iEOPshsuFBsCAIQkej5KIG594mVxWOXWRP&#10;G7S6OWuEuD7Dprj9Q1+p3yLFdQxwTdE56n/eHRHzStY2Z0yIA3mDhrl94xRVr4voZ1DkmowW4jA8&#10;rnM7ZSc/J6ckLMPl/NP6N9XXpqFSC+qbK00CnI6XEAfydoUefpqEuLytz0Q9JI2Xo20/OYpNKBDk&#10;TO2E2IgQ1/HRY2qTCUSIEwRBEAhT1eChI8b4jv6SzGSDEPf2+8fUc4/sVk/eWKceXHqO2jZntC2/&#10;bZ8xQu202DZ9uNph/dxVVWZPgxS3c+Fk9cytG9Qbb7yhjp/40bjeZEASGjDNjwUta5LYdNojxAEu&#10;sWH59ghxgOQ1Lq7hdf19W6Pa0nw/GQ3LUTs/OrIQ19yy2JbWsAxkuPeOrzS2I0hgy839D+N8gtoB&#10;03xChDhBEAQh0xw/+VOd9bvIzpBR49oi7jNFiJNIJImmR/fcFjy8iVUd7vbp5SW3V42zZbhUCHEX&#10;jxnpPmg7p+x0W4YjvIS4G2ZNa6mfV2E/bMKQRNY+HKZ1YMgiu+MSicQYEeIEQejMQP6hewIMcRma&#10;nh1CXPHyvW7fePU6QgSk7AfniM5PwajZkfOt6yeTQhyvEteLXUdApLjEQGW6yHumsBCH/1DE/2OO&#10;S2jIVFeKCw2V2nzYJMDpBBLilq/X+lQe9YA0ESDW8CQ6fCFEOn1dVFUOQ5ealuHDJmKISbRDe5qO&#10;YB1c0jO1gdSHSnZ83QRvd/jED8Y2fkBEwnJ6nzCNhsXEtoOEjgPa0/CaWBem4bjTNvCT1o3pFK/h&#10;JXkbxOscYp0vfvWdvU0K1onjR8cY1QBjhfoMktE/HEsK5uE48WkmGQ/nBf2m44jguPHz4gW2wa9V&#10;LIf9xjw9+rJe8EqL6JN+PdK5xTx+rfNzgde6kBrvtcVJxmcS26d10PnVzycdOx0sz88PtePXP6Lv&#10;M2E6Rgj6Y1qG+o7wa5TDryu0N7XBZ4SCfvJ5Qb4PBEEQUo0Icb+o9z/7Wh1+9331x/1PqadvXq/2&#10;Lpmrts0erRqmDbNFOAyjChFu98yRaqv1eseCSvXYNbXq93t3qHc+bDWuM1l0JCEOQ7eSvIY27RXi&#10;OJDZaN34qVeKo+14yWi8L0UDBtrDsOpDzfqtoyMIcVyGg+AWS4YDGE6VtmGaT5DoJhXiBEEQhA6A&#10;K73pQhyG6ndmSSQSSfDY1QzcBzc5lc5kY26bPqYulUJcRHW46ZNiCnFchqPgoZNIcRJJsIgQJwhC&#10;Z4ZX8CpZ9qA9DTJcNghxBZOWuH0Ly3qRiBSX/fBhU+kaI/pfbxbfvEimEAd6lU12r52+FUvd10Ck&#10;uPjxEuLwb40IGa57br1N+L0rxRXe0tRokt9M+Apx20MPP1MlxOkV4iB3eMkyJiC36MKKHkgluiAE&#10;eGhYVq9AUtFFGj2QVfy2AZFGn+8Hl5xMIaFGr97lFeqf3t60HWoLIYjHJIcFaYNt+B07BNvU1+UV&#10;Wm8y+selLV3YQ/h5w7WpX7OmeElWXIjSw/tBMa3DhL6PdP4IniDXOi2nXyte4dtL5mdSv2awn3qf&#10;vMQyLM9DQpy+vOmagXQX63rFPvLvKn2fTYKaHtMx4LIb+kDTg34fCIIgpBpT1eBMC3GHPz1heriZ&#10;Mo5/+5M6+uVJdfjIe+r5fY+p/XfcqJ5Yv1I9tPxctfuimWrXoilq54JKtXPRVLW3tkbt27BKHdpx&#10;n3rljy+oo59/a1xnsuhIQhzg64i1vnjxE+xoupeMxvuii3CE3zr48vo8wm/5+AgLcSSYxRLiuAyH&#10;n3hvaqfDh1fdsbva2AZiHa17UmVfYxuC2okQJwiCIGSOn93iTSLESSSSpOSU3+TUOQ9r2kzD+lDq&#10;Kyq63TZjXGu0EBeW4gILcRa6EMerw108ZpS6adZkTYiLlOJMMhxFl+Kwj84siUTCIkKcIAidGVRe&#10;w30ApCWalg1C3ICr9rkiFe+bCV1AKlm6x9hOyAy8CmHfaVdEzCtZf8govnmRbCGuaN0+t28Q9vov&#10;qHffA5Hi4sMkxOkyHP83hy7F9bn+sStN4psXQYS4fktWa31KjhCnSysIJBDIH7HEOMyPJd5QsE59&#10;ffEmliBjElJ44hHiINMECdpCqgkS2v8gkhOEILSNJZMFaRO0f+iX6XrQg3MedNtB2phENB6+PT+h&#10;TQ+XxEAsockUvrwf+j7q2443JGrFe22l+jNJsp7+WTTJZ/p5pTaxhDjsc6zPOoV/pnllN0SXIk2f&#10;O33b+uce8qVpulf4ugRBEFKFSYgrHmH+m3kqMmTU2Fp9++kW4sDxkz+p9z//Rh05/mf15htvqVda&#10;DqnnH39EHbx/i3py8xq1b9MqtX/LDerQrgb1UtMB9eaRd9W7H3+hjn2buuFSQUcT4iCbdT+lh92O&#10;D3WaDCEOVeG81kfTMcQqn07EEtr2Pf+KOz8bhTi/ymyJynAAshv122uIVV5FDgKdPp9D7S6pHWPY&#10;L0EQBEFIPcdP/tJi/S6yo99jihAnkUgSCh7QOA9qfL9EtswYVxmS4ZIvxG2cPlENLSywHxihStzN&#10;sybbeApxs6Z4ynA8PZyhYIH12nc4WImkK0aEOEEQOjOQgHAPQEOSkgyXaSGu3/wbQ5KMReHEJVH9&#10;1iEBCftjmi9kDpwbus7081NSl1khDhQsWOtea/gclFzU4L4HIsUFRxfiCvsP4lXh2nrk5NQ4t1du&#10;SIrrNa7aKL354SvEbQ09/NSFuNKxk6MekCYChBheEYkHUgqEEV2aIXQJCDIVF3NM8/nyplAbLykG&#10;00g2MgkuJBKZthGPEOfXd2yDhk3ky+j98dqeqd96aB/1fuC9vr5YbXQxiQ/viJ9oj+PKj12Q7QZt&#10;F6uN3j89dBz146YPUwkBil8zJDMR+nWO5XGdAl2movDl/dD3kc4fYQpdU9gHXWLjVeJA0GtL70cy&#10;PpM8dO50MVFfD7bFw6VGfV/8rgecT5JDAY6VXiGQrlt9KFf9/Ov7jujHUZcmSarzO25e3weCIAip&#10;ItNCXOmo8hp9+5kQ4nSOfv2dOvLhX9SfXnpJ/aHxIfXcw7vUyxDh3jis3vn4M+MyqaCjCXEAw5vS&#10;evzWZwJiGoQ69AWv+XQMdYp1QbTTq7xxCQ/bx/awDtou71P1gkXukKv4iXZc3jMJbfzY6PMIv+Xj&#10;IyzErbomfP5NshqmYXhUarNp8wT1+JPzPTHJcktqh7nLQ4qD9Ia2qBhHQh7N05flYN3UduONswz7&#10;JQiCIAhp4OTPrdbvIjv6PSYqEzuzJBKJJFgwRKr7ICcnp8yZbMztVWMbkynE8WFT55Wd7j5Qu2z8&#10;2f5CXEAZjgIRjtYNQc6ZLJFIrJSOKC/RbyhEiBMEoTPAxR8MnYpp2SLE9R461u4XBCp9mE0vICAV&#10;jD3POE/ILKaheQmT+OZFKoS4fjc0q7xBw9z+YXjebJTiBqzcZ5yeDeCc9jvnBlU6c0XoDy9lY1Rh&#10;UUn4GNoV4nIqnVurqOSPmLizYNO+KOEtFn5CXH5D6OFn8fmhPrn3cBWzoh6QJgqEDi8pDoGUogsv&#10;gMtHEEL0+YCLPrp8okev6IRt8ujSFtDFHH0dPF4SkQldgCGpyI+g0pLeDsFxIrkL82l7ej90eShW&#10;GxwvnqDSTpDtBm0Xqw0XoCh0veGY0DnnIpTXfuhiG03Xj7lpeb2fiN7GC31ZbI/P18MlL6DLXPq1&#10;E/TaSvZnEuujfcF5oGs0Vn91sYx/f+j7wq8H/XrVP89Al+348nz/8ZovZ7rOEN5G/z6h/dXPb5Dv&#10;A0EQhFRhGkbfuRVNS0xC3EvHWs0PONPM0a/b1Lt//kS9cfgtW4R7+9gH6v2/fqmOn4isCnf85M8R&#10;75NJRxTiAMlrfuszgXZ8OROQ2/TleN85626+1W2j94kDIa588jT7dTYJcZDSaL2Q1LiABjCN5gfB&#10;VGkOUh1kN1N7wqt6HIcPv3rwuasM+yUIgiAIqef4yV/arN9FdvR7TBHiJBJJ3OnZPbcBD3J6dM89&#10;7Ewy5s6qMblbqsa2hYW4kBQXjxAXJcW51eEmqAG9etkPlM4eUOzKcLYQx6Q4CHEbqipfjkeGo9B+&#10;2vv6mx5nOJMlki4fEeIEQeis8KEsIQFhWjYIcf0X3uz2iyrXBebqg+bpQkaBMOV1TkuujRbfvEiV&#10;ENd39V63f7aEeVFDVkpxRTOutvuBdZrmp5sBVz2r+oyYHt63fqVq0BmjVEFhP3daLBmuuL6lW8Et&#10;zYdNwlssMi3EAQgekD64UKKHV63SxZUg8ZNvTIJPEAlIF1W4HAN4TMt7oct4EKgg5/iJMEGlpaDt&#10;QKz9i9VG3w/T8iaCbDdou1htsP88JGDp+F2bXqFlg/QT6DG1MaGvX98HHq/zzaO3CXLNJPsziePt&#10;d73r54O39RLLgL4v/Fzo12uQ8OW9qscBr3A5kYvBvKpdIt8HgiAIqSLTQtyQUeMq9e03vfGe8QFn&#10;uoHodvzbn9Sxr9tsjn/zgz1EaioFOB0MAWodJlvYMs2PBVVOg+xlms+598HHXKGJV2cjqC9B1kWV&#10;3tAeP/WKbn5AeMM2aHlaByq7mfpFQETjy2AdVAkOoA9ow8U4tMc0zIM8h2lcoiNont95oCpzpuXj&#10;IyzEQUKjvqJaHBfQAK/KFgS/oVdRXU4X4yZV9o05TCpBleawjc9ObDHslyAIgiCkB+v30b+h4rF+&#10;j4mh+jFPIpFIAiUnJ6db6CFOrjrlNzm+Ru1t08fUbYmQ4ZInxM08faj7UOmqSWM8hbhLx5+tCnv2&#10;/D4/J6fE6VZcsfa1HjhvJRKJFRHiBEHorPSddoV7fwFhictwmRTieg8a6far/3l3GPsudDwgwrnX&#10;20UN7vSStWb5zUSqhDjAh07N7zs41LcslOKo2h7WUVhRqwauajK2Sxf6vuXlnuK+zu+Z/9+tf0/l&#10;OrdUUYEMV3hzU6NJdguCnxDX6/7Qw8+S+ZHDuCZbiCNIjONiCA+JPrrUEiR6VS4ek+ATRALSRSQu&#10;xwAeWl6XZnhomEUcBy8BC7IPF3yIIP01tdP7zIm1f7Ha6PPo/MUiyHaDtovVBseJh8/jJBKvCl9e&#10;x0GPqY2JWOvn8bouePQ2Qa4tvU2QxPuZ5PhVZ+SfHX0bej/59aAfxyDhlfD0ynS0br5N7Bevkkei&#10;L64VHt6vRL4PBEEQUoU+jP6QUePcqhrpSDYLcYKQGcJCHCBJDcOX8unZBvUTEp0IcYIgCEImaW1r&#10;6yZCnEQiaXf4cKl+D3OQLTPGHE6FEBddHa7SKMRtrKr8sLBnz9ADqO65bYlKcdZ+/rvzUiKRWBEh&#10;ThCEzgoXlPA+G4S4AVftU3m5zv2MRaICkpB98CpxEKj4PJP8ZiKVQhzoVRb+TFAlu2yW4gDkvWRU&#10;jMM6ShIclrXk0odUXn5ft0+gT5++qnTEmO+d26mo2JXhbm5qKKw3y25BSEiIm14T9YA02ZjkFJJP&#10;EpFveIU5wBNE8DG10fvIJRbAQ8vjp1f4NlBdyksMRPThHIP019RO7zMn1v7FaqPPw7b5sl4E2W7Q&#10;drHa6OeDz+PEG17hS++D13HQY2pjItb6ebyuCx69TZBrS28TJPF+Jjn6sKn03aBXqtO3ofeTXw/6&#10;cQwSXuFNl9poH/h68Rp9otB1oleB49XlQLzfB4IgCKlCrxqcDULc48//yfhwUxC6BpFCHCq3WR8V&#10;m1jDlmaKl19b4vYRFeVEiBMEQRAyyfG2n0uGjhiTq99jihAnkUjiSo/uuS14oGP9bHQmGXPb1DFl&#10;W2aMVYkIcboUpwtx5505zH2wtHz8WY4QF5bibCFu1pTDGCa1Z05OGbUNkVPmdFEikSQYEeIEQeis&#10;QKTB/QLJSdkgxBVWLGH3MSFEius8cAmThukF/TeYBTidVAtxRev3qbxB4XtvuvY6sxRXfME99jCx&#10;tK549w1VHOm7hAMhzutBo1sZDjJcJxTigC6okGDiJ7UEhSeI4GNqo/dP7wcPLR+kQhwHoguWNQV9&#10;pHZB+mtq53fsYu1frDb6PN5fP4JsN2i7WG30Y8vncXi8jq0Xeh+8joMeUxsTsdbP49V3Hr1NkGsr&#10;nuvKC54gx5hXTcNrTOOyGaKLZX79DHqe/ODV3xBMw75QsE69D6gAx78XaF9MBP0+EARBSBW6EFc6&#10;avwnzq1pWjJoxJgyvn0gQpzQtYkU4nTZjM/LFkjaw3CpkPZEiBMEQRAyydETP5WZhLjSUeU1uP+U&#10;SCSSmEGFtfBDnZxKZ7IxW2aMbQgqxNlSXBxC3NDCArsPqA5X78pwTIibOdmW4ZyuhPrtDPMapO8S&#10;icQ/IsQJgtBZIQkGkpIuw2VKiCOxJi+vj3MfE0KkuM5BRJU461y70wMOm5pqIQ70Xb3XeO11ZikO&#10;UhutBwTZN2wL2+cyXe9+Q1SvvFBlawApzrmdchMlw6VIiMu/t9l++Dlg9nkR93B4rz8gTQW6OEKS&#10;jD7dJJLFgieI4GNqows0ugTEY1o+HlB9Spfp+HCNQfpraucnLsXav1htgixvIuhyQdrFaoPjxMPn&#10;cXj8hCUTQfoJ9JjamNDXj3PM5/N4XRc8epsg15beJhWfSR1c/zzoAxfS9OFSgd/1rx9HVG3jywZB&#10;F/L0SnbUjgdtuNzHP9dexPo+EARBSBVRQtzZEz53bk/TEtPfFvc822J8uCkIXYNIIQ5gGFLr42L/&#10;1OdlAzRc6ryawfZ7EeIEQRCETHLsxC+VIsRJJJJ2pUdOTq39MKd7bltOTo4rnOmprxjR7fbpY1u9&#10;hLiwFBe/ELdkTJn7QAnV4XQhTpfhKLoUZ+2LfPlJJAlGhDhBEDojXO6B1JINQly/+ZvDfZq4JGkC&#10;kpBdFIya7Z7TiCpxG80SHCcdQpwtxS3dEnHtQRhDH0WKC/Ud83hVOEhx9vfI7NWqtGyM6pUfFlpR&#10;cdu5pTLLcB1UiIOw4ied6IIKDX+Iiko8kEkwTV/eD54ggo+pjd4/LtcAniCCTyz0/ebrDNJfUzu9&#10;zxyvYSkJ9EcfxpGvT1/eJCgBrJcP+RjruBLt7R/AceLh8zh65S8cR1M7E3o/+XCqhC5SIXobL/Tj&#10;pfeNx+u64NHbBLm20vGZ1NGPqy6I0fcFx+/619cXpA86+vr5dcPXh9cU/doKOvyp3/eBIAhCqoga&#10;MvWs8T85t6hpiQhxgqATLcQ9/uR8WzgDqBinz88kzS2Lo/omQpwgCIKQSY59+1Ot6R5ThDiJRBI4&#10;eHjjPMTxHS51y4zRlbYM5whxkVJc+4S44f2K7AdJVB2OC3E3zZzcVl9dUeJ0IyqQ+Ky+H3YfRuXk&#10;yJjREkkCESFOEITOCJdf+tdsTpEQZ20roj3eO6y23mt9KlnxuOo77QpbDoJ4ZE8TKa7TAaGKzmdE&#10;lbhrzRIcJ11CHBApLnrfMJ/3GWB7JDYOnrc+9IcXgxTnKcOlWIjDEKn8Hg5DqOoPSBOBApEDEggJ&#10;NPgJUU4PH/5Ql18glUBooflYB95DkoKcow+dyGMSSYJIQLHELZ54ZBWsB/uDY4JKUJhmOiZc+NHl&#10;GL7PXJDyE4J0sLweOsZYjy7yIPr6eOUrBOeD9omvgy+ni0log/0D/Dwmo384Lzx8Hkc/9tgvfs0C&#10;bBPnRBc90cZ0HGif8NoUWj4W2Cce9IPP5/G6Dnn0Nugjj9e1lerPpAn9uPLo6wfoL0+s6xX7xNeD&#10;axfnHdPRli9LePWJb8v0/UbBceLrw3I4lvF8HwiCIKQKQ4W4vzl/9ktLTNU77nv0aePDTUHoGkQL&#10;caBsZE9bOlt1zVnG+ZliSe0wu1/4SdNEiBMEQRAyiZcQN2TUOBk5UCKRxE48w6XeMX1MY9xCnCbF&#10;mYS4JaN5dbgzVf2sCleIu2lmZduNsypifqHpUtwpv8mpc2ZJJJKAESFOEITOSN+qVXZVJ1B8/p0B&#10;hTgsa/0EeI91+QhuyUKkuM4HrxLnnk/rmjJJcJx0CnGgz+zLI669rirFYRqGVubT8d0BgZVvh4Q4&#10;wKW4vF6Fqs+y208YZTjAJLd48BPiet3jCHEVsyLu4fAwVH9AmgjxRJc9IKn4yTB64pWEdHHG1EYX&#10;kXS5hieo4AP09XpF3ye9GhoPF5h49D7r+K2Tws+Dvj4/8YcHsg8tA+nHK7qE1N7+4bzw8HkcCEgm&#10;wc4r+naCnFP9eubL+6GvO95rPUibINdWqj+TJnQJj4L+mtrHuv5xHcYTvizh1Se+vzhWpuAa4+sC&#10;Qa4dRD+egiAIqaDfktUR94SlZ0/8u/Nnv7TEJMTduv1B48NNQegamIW4joQIcYIgCEImOX7ypzoR&#10;4iQSScKJZ7jULTRcapKFOKoOh58hGS4sxN1YVRG43KUjxdnV7px9anBmSSSSABEhThAEIfOIFNe5&#10;gERF5xJiVcmyB+3p/TeYRTgi3UIc0KU4SGDoa2eW4vR9y+vZK/zaOl8QGumccQYvvCHifglSXP5v&#10;R31QsHavWYQjmOQWD5kU4iCfBBFovCofodpUUAGHKisRPCb5RhdnTG10UUWXa3iCCj4giADDBTJC&#10;r6zGk6gQ5yc5YTr6gX2jmNbnVQGNYjo2OOemYJu8XXv7x+chfJ4OthVUitPPTyyhDv3Qzx9f3g/9&#10;etHFKB7TsQ7SJsi1Re28zoeeeD+TJnCcTfH6zghy/evH0yte0p1Xn/R2puPEKwsSQfqjX2+CIAip&#10;Qhfihoye9E/nz35pSfGIim4R27cQIU7o2ogQJwiCIAjt4cPv/lY/aMSYMv0eU4Q4iUQSKCSQWT9j&#10;Dpd6x4yxCiRTiFtRPsp96HTemcMihLhNMybd4Ww+rnApDq+dyRKJJEZEiBMEQcgORIrrXOD80bkk&#10;CaxkrVmEIzIhxIHe05ZEXHuFE5eE+ttJpThUhOs1MFytmkC/sM+mZYAuxJWce7UquOngD0YJjsMk&#10;t3gIIsSVjp0c0Sc8DNUfkCYKpBhIILqYhPeQWnRpRoeGDtSXh2yCaZBJTOvgFa8gbOnzsQwXVkzi&#10;jC4J4T2fH2sbXvB94n3A+rAev2OCPvBjgeX5tnWBLIhIg2VoiEiE1kn94BWx9GNAQETi60DQT7/t&#10;45hziQz7bxKG2tM/tKN4CU466LO+Lwj2B9esLqRx9H3CazoG2A9K0L4ALE9Bn7igBoJch0HaxLq2&#10;iFR9Jk1gW/p2sB6vz0jQ6x/L41zqEiPWjXOP/cO2TctiOt8XxLQ/OA48Xv1uz/eBIAhCsomqEDem&#10;4r87f/ZLS0SIE4RoPvr2WIfHtF+CIAhC8vjrtw+rT0/cl1FaT/zB2LcsoMEkxGGacwsqkUgk5qCi&#10;WvjBT+zhUoMLcWEpLpYQd/aA/vb2B/TqxWS4CrV8/FmqsGfPI35V6/yC6nC0bz1ycp50JkskEp+I&#10;ECcIgpA9iBTXuYBgReeyX82N9jSTCEdkSogDhRdsjrj2XImvk0hxaIO+8z7oxNq3QeffGrpXGjNZ&#10;lVyy2Sy/mWCSWzz4CXG97woJcfo9XDKFOEEQBEEQBKFjECXEja38H86f/dIWvn2w8a4G04NNQRAE&#10;QRAEwQHVOE1VOtMJpDxT3zLPz40ixEkkkoQS33Cpo1uTLcStmni2+9DpfFYd7saqSb9AkHP61pqf&#10;k1PidCWuWMvWYx09uueucSZJJBKfiBAnCIKQXegCUr9zNhnbCdkPht2k80hDp5Zca5bhQCaFOFC0&#10;ssHuJ/UZ8hiux44sxeGYoy3fLwLb7zdzTcQ0v32DEDd48jzVb9VWs/jmBZPc4iERIa5o+fqoB6SC&#10;IAiCIAhC5yZaiJuschpaEvoP54mGbx+IECcIgiAIguCPCHF+/NyI4VH1e0w803ZuPyUSicScHt1z&#10;G/GwBz+dScaEhksdY8twyRTiJgweYD9sgvy2adp4dUu4Qlxlz5ycMveBVPfctkSluB6/yalNtMqc&#10;RNLVIkKcIAhC9sEFpD5nTDa2EToGfaddEXkurzHLcCDTQhzou3qvyh84zO0zgFDWkaQ4Xg1OF+Hw&#10;HkPCYn9oPUH3reSyrX8vvOFps/TmB5Pc4iGWEJe39ZmI+zdQdNUNxoekgiAIgiAIQufFJMTl7zyQ&#10;1oeFQ0aNa+N9uObmOwwPNtPL8ZM/W/ykjn0bBu8x3dReEARBEAQhnYgQ583xk7+0iBAnkUjijj1c&#10;avfcttDDniDDpcYS4kJSXFAhbv3kMRgS1X7QNOv0ofbwqRDibp41qd7Z7L/pUhzeO7MkEkkKIkKc&#10;IAhCdkKSDqQf03yh48AFMAyd6lUlLhuEOFBk0Wf0bLfPACJZ34qlEdOyTYrL69Nf9So921gNDsIc&#10;5ETPSnJ+Utw1h1T/Dda2bjzwP4zCWyyY5BYPsYS4Xnc/FnH/BgrX3mp8SCoIgiAIgiB0XkxCXM8d&#10;TWn9m7ouxC1ff4Px4WY6Of7tj+roFyfU+3/9Qr37yefqvU++UO9/8a06/s0PxvaCIAiCIAjpRIQ4&#10;H07+crh0VHkNv78EIsRJJBLfaMOl5jqToxIeLlUT4hwpLlEhbtbpQ+wHTJDi7OpwthA3qbV+XkVE&#10;NTdUhuMPpESKk0hSFxHiBEEQshdIOhCoTPOEjoM+dGrxZQ9mvRAH+q5oUPl9B7F78lyV3++3Ee8z&#10;KcXhuEJy69X/tIg+ETjW9rCo1mfIS4TjRElxc69XxeubVeHNFibRLShMcosHEeIEQRAEQRCEIJiE&#10;uB67m2udP/2lJaWjylt5HzIpxKEC3Ptfn1Tv/uUT9fa776k333hDvfH6a+qNN95Ub713VL3z0Sfq&#10;6JcnjMsKgiAIgiCkCxHifPAQ4oaOGOPpt0gkEkkCw6UmT4i7YVp5dHU4i/qqihpnsxGxpTi3mp3V&#10;55wcYzuJRNK+GIW48281PigWBEEQEgeyjWl6TK4+aJ4udCgwTCfd10IE63/9oawX4ojCqsvdvptI&#10;lxSH9v3Pu8M+lny5KHrkq8LJlwaS4HRIiss/bYwquLKh/TIcYJJbPPgJcb1uf0b1um1PxP0bKNhw&#10;t/EhqSAIgiAIgtB5MQlxp+xqqnP+9JeWDBk17jDvwwVX1JkfbqaI4yd+Use+Oqne/vAv6rVXXlZ/&#10;3P+U+sNje1XLnm2qefs9qmnr3ap52z3q0O6t6oXHH1GvvfiSeuejVnXsy2+tZX80rlMQBEEQBCGV&#10;iBDnw8mfW4eMGlvL7y+BCHESicQz8QyXeqc7XGpyhDjAq8OtmzzWEeImtjibNAZV7Hp0zz1MD7dQ&#10;4c6ZJZFIkhQR4gRBENIDqlUlLMUJnQIIX3Rf23vYlA4jxBVttljRoPqMihxGldP7jMm2rGbabz+8&#10;pDiS31ABDsOioo1pKFRAleD48U3483bNIdVvzeOqcMO+kAyXhUJcnxv2qbzzrxIhThAEQRAEQbDR&#10;hTjQY/ch3/8Qn+xkWog79vVJdeSDP6uXmg6qp2+5Tu1dVqN2XVCl9i6Zq/ZcVK12XzRL7bpwptq1&#10;eIZ68NIFav+dN6uXDzWpI+8ft5b9zrhOQRAEQRCEVCJCnDfHT/7SZhLiikdEjjookUgkbuIZLvXO&#10;GWPawkJcSIqLR4izpTgmw22eNk4N6NXLfjh19oD+rDrc+JhDoULk41LcKb/JSev/bpNIOntEiBME&#10;QUgP7ZJ0hE6BLX/1HexKW4U1azuOEOfQb+VeW1Lj+6GDeQWjZtuV3FA9DkOWQm4DGObUxvocAMwr&#10;mrFK5RUMCK+jZ29P+Y2AIAdRDuvkleAwjdrE9Xm75pDqf12z6nuTxc0hslGIgwyXP2qy6jl5tup9&#10;49aI+zeAaaaHpIIgCELHxfTQoiPxxl83GPdLEITkUbR8fdR9YY9dh3z/I3qyowtx8y5Zbny4mSre&#10;+csn6pU/Pq8O3H+72nXBTLV7Zpl6cNZItX36CLVjRohdVWXq4epRqmHacPXQyvPVoR33q1dffEm9&#10;99nXxnUKnYvyydOUdanaP03zhc6PXAOCIGQbJiFu1TVn2d9Vkyr7Rs1rD0tqh9nrxU8+PZuFuNKR&#10;4+r4/SWw9kEikUjM6dE9twUPhoIMl3pnhAwXLcRFSnHlTIozC3FLR4erPqwsHxUS4qomBf5faiLF&#10;SSSpiwhxgiAI6YHuY0SK69pABqNrARQtb+hQQpwtxW06pAassX7W3Kj6nF4ZsT+pApJdnzMm25Jd&#10;rM9PXFIcRLgNhyJEuGwV4mwZrtyp0le9SIQ4QRCELgJ/WNERESFOEFKPSYjrubu5zfnTX1pSOnJc&#10;C99+uoW4w2+/o5q33qUeueoitW32GLWnqkztmVlmi3A7rdc7ZpTZQtxD1aPU9unD1a4LZqknb1qn&#10;/vjMk+rdjz8zrjNZ1N+31X4ADbqf0kPte/4VYzsC86l9rLapYPGlK9y+/umjT41tOiLDRoUEA/w0&#10;zRc6P13tGtjzTJP6Vbdu9j7f++BjxjaCIGQWkxD3q27/bn9u77x7atQ8zo7d1bY0R+1Bbu5/2NMe&#10;f3J+VPvmlsVuu5dfW+JOz+oKcSPHNfD7yyGjxqX1/lYikXSgoCIcPRSKPVzq2Y1JEeKYFDeiX197&#10;26gO97uZEwNXh9NDUh/Aa2eyRCJpRzDeeuQNhQhxgiAIqQAiD93HiBTXtYFIxq+Ffmv3dSghjui/&#10;oVmVrD1kX8u0PyC//6kR7+Mit4f7Or9oiL1uXgEuKLGkOPTbS4QjskmIcyvDOfvUc0GtKlx7a8T9&#10;G8AwqqaHpIIgCELHhT/E6IiIECcIqScbhbjpCy80PtxMFa8+/5xqvKZWbZ87Vt0/o0zdP/UMh2Eu&#10;D0wbprZNH67unzZC7VhYqR658kL1+z3b1JGPWo3rTBYk4RCxZBxILNQWr01tUgnvbya2nyq6mgwl&#10;RNPVroEVdde6n2W8NrURBCGz6EIcJDh8ZiG58emc946vVGUje7qfbxOYb1q2uOQ/7fm8Sly2CnFA&#10;F+JKR5W3Wv2XSCSS6GjDpXqOrRwaLnV0m0XShDi9OhyEuCvGn/WTXz/8Yu1DA61PpDiJpP0RIU4Q&#10;BCF9iBQnEBhSlK6FXqeO6ZBCHIGKcf0v1yrfVa+zr28MaWoPi2q9BxhuFZ8D/MR7exhVqx2Jb/aw&#10;sgPC/37oPWSM8fgFwSTFQYQr2nzIKMDpZIsQp8twef0Gq/xbnzALcXc/FvWAVBAEQejY8AcYHRER&#10;4gQh9ZiFuEMqp6Elob+/J5LSkeWNfPvpFOLe++tX6g+ND6k9l8xRDVOH2UOi2gIck+HovT3PYuvM&#10;s9SuC6rUs3fVq7ePfmBcb7LgghnhV60plUIcVYtC1TrTfCAV4lLHuptvdY+taX57oeqCOM+ZqC6Y&#10;7SR6DXTU44rvD78Kcam+HgWho5DJz4IuxJmENQ5kOGpD7VD5jebj9abNE+xhV/lyBOZhOS7cZbMQ&#10;p99fYoh+q/8SiUQSHaqsZv30Hab0jhmjayHDJVOIo+pwQwv72DIcOLukP+S8VlSuczYdVyKkuJyc&#10;J53JEokkgYgQlzq+/+WfinLkrz8Y2/ix95VPnaWV+vs//6WuePBdd974m15Un3z7izNXqeeOnohY&#10;Nl6wbmyDgm2b2gnZxb0treqDr35yzlroOknkWosFrg+6nrENbNfUTgiGSHECAdmLrgVIcR1ViCP6&#10;Xbdf9Z50rsrrVWjvE4Q3037HIqlS3ISLVP5pY1SvGUtU4VXbjOKbF9kgxPXZpMlwg4epPuv3ql73&#10;WMf8qhsi7t+ACHGCIAidD/4AoyMiQpwgpB4vIS5/54ES589/KY9ewaN8Zo3xwWYyOfbtT+q9T75U&#10;r7/+mjp4/xa1c9EUe4jUragCp8lwBElyEOMaqkerp26sU4ePvGNcf7LgEg7JKX4P3VMpxNF6u2K1&#10;qERlqGTCK3aZ5reXVF47nYFEr4HOelxTfT0KQkchk58FLsRhGFPqh2nIUwABjtrEGlLVBN8GhlzF&#10;tOwW4iIrEOO91XeJRCKJTH5OTgk9QAk2XGpIiIscNnVsWIrzFeLCUhyEuGsmnuU+vDn/zDNsGa5+&#10;xoSfC3v0DE3vntuG/jmbjyvWsvVYR4/uuWucSRKJJIGUjigv4TcUIFNC3Fc//MMWboKkIwg5PJDX&#10;TG38gOTGc8PTx915eK2HLxsv+vraK9gJqYcLk3pM7duDfi0mcj0LkYgUJwBb/Oo72L0Weo+e3aGF&#10;OE7BhZttOa5o7vXGfY9Fu6S4a5whUa9HNTiz7BaETAtxkOEgwNExsGW4G/bZQ6h6CXF5W5+JekCa&#10;TPL3HFK99zSpwocOqgGPPKsGP7JfDXn0GTX00dDPAY8eUMUPPauKrPkFe5tU/u5m43oEQRCE4OgP&#10;MToaIsQJQurxEuJ67mgqc/78l/LoQtzIidOMDzaTyokf1dvvH1cvNT+rnqq/Vm2fP17tqipT26aP&#10;iBLhOPdNOUPttIdVHa4a1y5Xf3rhj+rYV9+Zt5EEuITDH7p7VWlLpXxD6xUhztwm1YgQl1kSvQY6&#10;63EVIU4QQmSLEGeq3sZBdTjq57yawcY2QaAKc7SObBbiTj17whF+fylCnEQiMeaU3+TU2Q9RYgyX&#10;emfVmNywDJccIa769CH2w5vCnj3VDdPKQ0Jc1XirPzll9GCnPVJcj9/kXJFolTmJRBKKUYi76G7z&#10;A+YUggpU8aS9whaX71Bhy9SmvfCIENc5gIhJQaU0fk7SDa/op8fUvj0EEeLS8ZnqbIgUJ4CSZQ/a&#10;55+uhT4TF3UKIS6CVQ+p4mubVcm6Q2rANc3G42AisBR3zSFVbK27v7UN7HPfGy1uYjDJLR4yKcQV&#10;rNtrD41K+85lOJB3X9OXng8+U0jfBw+q0x59Wk155lFV+4cd6vpX7ld3vHm3uuetO1T9a/eoK/+4&#10;VS3+/R5VdeARNXrfE6rk4f1R68gTSU4QBCEu9AcYHQ0R4gQh9XjdF/bY2Vzj/Pkv5SkdWV7Pt58O&#10;Ie7Y123qzTcPq+ce2a2euO5KtW3uWLXTFuK8K8QBCHGoJIcqcQ+vPF899+iD6s2331FHPz9h3E57&#10;0SUcVIfDe1SLMw1Jmkr5htYrQpy5TaoRIS6zJHoNdNbjKkKcIITIFiGubGRPuw+TKvtG/HuKIGEO&#10;oNKbqU0QqMociXfZLMQNPXP8J/z+Ev8Bw+q7RCKRRKZH99zD9oOU7rm+XxJ3TDvLHS41GULc5mlj&#10;bREO24YYR8Ol1ldV2AJbhBRnk5O2/7EmkUjCyRYhziR4+aW9FeL0mNq0F55kC3EYMpULSO0V2ESI&#10;C4Z+TjJ1nHSBFMOZ4prAvFRIelhnrCFT9ejzBUHwBjJkhBRXfXnnEuJujKb/hmZbkiteFxLlUNFt&#10;wJrmSGHumhD2dAu0gfhWvN5a3kt+M8Ekt3jIlBBXcLV1PXAZ7vQxETJcn981Hz5lR9PGdAtxffY2&#10;qeGPP6nmHHxY1b3ygHro/VvVq59sVB9/tVZ99W2dev+z9Wr/BzeqB96+Q2149X615LmdasLTjarf&#10;QweN6xMEQRCCoT/A6GiIECcIqcdTiNvdXOv8+S/lyZQQ9/prr6nf79mhGtctV1vPKY85ZCqx3WrT&#10;MG2Y2nPxbHXgnlvVS4ea1DsftRq30150CQeV4fAemMS0WPINlq9esEgVDRjotgMQ7TD90JvvRrRf&#10;d/OtEe2CAmGPr4eDbSy+dEVUH7CPXpXvAPWlfHLo+sB60GcaShY/TftAQCDEOrA8iYUE+oLjaZIM&#10;QaIyVCzQH34cTOeB9s8LfQjdeM8xjgdvZ8J0THF9YVnev1jH0Q9sA8viGOv7HOvaoPb7nn/Ffo+2&#10;fP/x2m95gD5j+17LxXsNpPO40rZwPeE92tLyWNZ0PeFYYX24Jmg7WA+1w3yaTseVL++Ffj0SOI76&#10;fnldk5wg/aU2vP8mcFzQDu1N8wH6gm2gb7QdE2ijL4v+4RzQtUJ4nT9+jOnceUHrNO1jOq8ZvI/3&#10;86Uvr3/vYd/uffAxtz36jP7wc4D+8uvQBC3H141tY1nT70NA5wDt8N5r26blab+8MH0W9H0P8hnw&#10;gwtxtM5V15wV8e8pAqIc5qPCm2l+UDBUKm2ruWVxdgtxo8q/5/eXuN+0+i2RSCThREpnMYZLnXbW&#10;4WQKcfNH/NbeLqS4ayePDglxVRMbnc3ZsYdz7Z7bFrSPEokk+clmIc7ULlnoMbVpLzzJFuKSjQhx&#10;wcgWIS4bz5ceUxtBELyBFBe+J85VBfPXdmohzg9bcuOYJLd4YJJbPGRCiNNluPxxs6NkuOL6lm6n&#10;7Gqq67dkdcT9W+nYyVEPR5PJwIf3qwt+v0fd//YdqvnDm9Thv16vWr9eq777cb366e/Xqy9PrFHv&#10;frZevfzxJtX00Y3qwfduVRtefUAtaH5QjX7iCXsoVdN6BUEQBH9MDzE6EiLECULqMQlxGEof94zO&#10;n/9SntKR4+r0PpgebCaTY9/8oN56/7h68cAz6qmb1qvt8ybYQ6FuneY/ZCrY7ohzuy+ospd9fl+j&#10;vS7TdtqLScKhB/V4GK/LDnhoj3lAf4CPB/E0zwusk0sHQZbxgm+bgDRhasuBLGCSOCApYD6Ohd96&#10;9H0gSADxw2vbpvPQXrgUocNFiniki0TOcZDjossaXEoy4XUO/Ii1n8AkIQGaD6nG77h6LY9z7rcc&#10;jhHND3oNpPO40vWJz4hpHfy7gKZ5HStq5/VdEs/1CGIdW8JLqKL5fv3l+2z6/BLUd5wb03wc2yDX&#10;IdCvpSDLms4ffZ9j3/h0DpahdeAzzudlwzVD6Mck3uVxDaCvdEx0vPYFYHqs42/qH7/OY61Dv0Zj&#10;bU//LPjtu942KCTEPf7kfHddeK3/mwqgohvmt2e4VAAJjrZ1591Ts1qI0+8tRYiTSCRRQVU4+2FK&#10;99xWv+FSt8wYXXnX9LOZDOcjxDlSXFiIC0lxuhA3tKCP/RBn9ID+6taZE0LV4WZMiBLedCmuR05O&#10;2kq5SyQSEeIopjbthUeEuM6BCHHe6DG1EQTBn/7n3eGKUMCW4kySWzzcED8ixIVItxDXZ/kWldcr&#10;XCmwV+Ui1WdTtAyH+7eeuw7VF5+/IvL+rWKW8QFpcmi2h0C94/Dd6qMv1qm2n9bbf0T77Otr1Off&#10;1FmvQz8/+3qN+tTiq2/XqL98tVb94c83qLsP36Vq///s/XmUVdW594/e8Xv/uOeOccc4Zvzue+94&#10;8x7ZZSEoNgGlMR0UEBUojaI0dknEGBMTE0ISTatQ9Igoii2KAqJ0St8IUkjse7FDGpuKggKilIoa&#10;jyfnnXd/V+2nePZTczW7rV1V32eMz9i11+znWnuzqPWpOf9+v6tZucZTb9vny381bWG+smGvN73S&#10;qMT+jn7i8Mq3+NmXx0e+5VqbYvW7rV17JH/sAwwg2+lg2xxfemsh2+/gVY5RiCOk9Jzw1+lZ94UA&#10;Qlw6rWzbSrWKEPfRIbd938fulW07Xf29d7kFl57jFp43wM0fkVCIG97P3X/5SLd2xjj32IoH3Mvb&#10;dnjbKRSfiKUf4NsH/GESC8DDfDx0x+psOg0CichmIEwWkXTk9aUDXY9NgwwhaRAJpB8AfZOxAp8c&#10;InVrCQHjR3nUrQUkPV8C8qJeCCVaqoCUpMta4QT4zkMhaHFNt4e+YJxR4wc2TSjkHCO/pOuyFtSN&#10;PDgPqFNLXTgPIrPkKnggP/qFMeg60RctkviEGEmTawN1oR6Uxfzqa8Y3NnvtYBy+spJuy0eBeqSs&#10;r22hkHmV69M3ftSr60K6zivjBcgr+eL6neR6BPrcoS3pl/RNzy/6YMtLWlR/dV99n1+A/JLH1w6Q&#10;OUaf9ZjRZ2lfz5GA+dXjwHcN2kAdeMV7SUM+fT5Qn6Tp4xqdRwt/chx1lvOa0XmTfL5secyvbkun&#10;Sx45z8gT992u51/K6TTdBtrVZVG/pPnatv3zCZdJPguYJ8mjr1H0D+V93/lJECFOb4cKYU3+L6WR&#10;dKwgB2kOYlxV1Teaj0OYw7EwoU6j66pUIW7r7gNZ95UA95vpfjMYDEZTpFKpKhHNjjoyFfkFcfvw&#10;U1cUU4gbc3rf5gc5f6wd0CTEnffDrZnmWgRkveatXdNUp1JlW86dwejo0V6EOGwXue7lvYF4JoGt&#10;HfF+8TO7m/PhWFzo7SBRL8rv2neoectICWxZ+up7n7pL57zYnF+jQ4Q41KW3OsXPYTKTla+sEKf7&#10;g37oNIB+Pfv2waz2UAZjsXX5BCuMHa+6HV9ZAX2QkDm040VdUreU881J3Ja40jddDmHPtwbbjMr5&#10;Rzkcwxyh33FjxLUVF1JnLviuLfQRx3zjSNIP5LHlfORyfei5Q+i+5fqZEtAG2tLl0X7UZwrInOly&#10;OO/2uiKkrVJ0KW567lCIa6JcQly3a1cH8ps+780yHNKNDIcopxB3wpKNrv+qNe6XWxa6VTtmuoOf&#10;TXL/7Wa4xkOT3P6Pxwcrw+GXadg29cOD493B9PEvv54WpL+6Z7Jb9sZNbtxT89zpa1Z76y+EvV80&#10;/Ru2vfGQN70cSNTvOZB1fMILO5uFpZtfa8hKy5di1Clh+9uaYFwS+NmXx0e+5VqbYvVbohTnEpId&#10;AtdbW5IN2yv24YX+i/6nnx/dIl2DdJHn8IDEl8fie7iCn3Esrj1f3yjEEVJ6woS46oWbs3ZrKWX4&#10;hDg8yPQ94Cw22z844B5dsdQt/NX5wZap84f3c/cM6xvgk+HuHtbP3TsiI8T98gL30Kxp7on1a9xr&#10;O9/21l8oIi1YCUCOAy0u6If7+FmXiUNLG750ScPDe186iBIDRM6AVBC2yo8WH6y4oOtGHb7x6XmJ&#10;WinKh/TPzjUIOw/5kk99SaSLOKLOcZJrB9ea5NHSiQbnVvLYc5gvul3f9SdpAGO0516PDYKLTtP9&#10;9Z0P1BUn5ERRjnmV6wlArIm69iUfwFz58oC4fie5HtFPyRPWlh6XT9yStKg6gHx+w8Qiufbx3eFL&#10;jxuvHoudX6kbhF3zWojS49Dn3l6bgowN16Eca81rJpfPF4grr+dP8uh0oPsbVj5KKpPPsL3GdN+B&#10;T6jU17pvrpN8FqT/uX5/xCFCHMQ06YP+/5VG0mWluCiw8puvDkHqwP8VK1WIe2pHQ9Z9Jeg9sJaL&#10;KjEYjMMBCS54oNKpqjFqdbhbRpzWAzJcMYW403t8K3iQc8pxxwYyHJh53hmRUp6V4uIkPgaDUZzo&#10;WTOov72paGtCHCQYK0bZEIEnSUCskXqTyD7I4xN+dKB/WtazIcKcBv3QYSUlHba8FZh8oaUjO/9W&#10;0rLhG68eH0Qr1BEWmI+48ybnwYK248Ym9etydoxx9egx2nMRFrq9KNC3qOtBAuPQ5ylJP8LmTVPo&#10;9aHbSBI6P8YedW1I+IRALV36wieGEtIWsVLcsRf9yS+7JWF67lCIa6IcQlywKpzaIhUrxB1z8Z+C&#10;tECGQx4jwyE6L9w8t8clo7Pv30aM8j4gLZS+y9e4X21Z6G596Q73+NvXuvf3j3WffD45S4YT9h6o&#10;C45jG1W8f3X3ZLdyx0w3+Zm73aA1q7z1F4JEw2dfeNPLgYSVkvBeoljCUjHqlChWn4pBvoJYscSy&#10;clOsfkuU4lziMyVx787d3jykfOjvWQAxLf1PgTtr6PEt0jT6oYrgyyds2/nHZnkuDDw4CVuxQOje&#10;45tBXlkljkIcIaXnuPGzsu4LQdfZy131/Zu3pD+PZYk+AwePsX0olxC36+PP3ZMb1rqlf/ipu2d4&#10;30CIw3aoc9OvPiFuzrl93f3nDQi2V10y5hK3ZdE89+LzL7g33tvrr79Awh6i64f4WpKIkzqiiHuo&#10;L2k+IUkIqwMSQZLyEB0knx4X0HVD9NBpgpZWch1/lLAQlZYPInBAzogSUTRx5ycJUXUkuXakvE9c&#10;0kBMQb4wwScfpG++60fS7DWjEanInsMk1xWQMeV6DZRjXuX6jJJNBelLnAQV1++oa0mQ/oatrCVg&#10;PFKX7b8cj+tv3HlEH5AWdk3q8cal6/nQ31lx14aeD99x3/nHWKR+LWO1xjWTz+cLxJXXcxuWJ+q7&#10;XY6HyYhA/xukryPdtk+GA3FCbpLPQj7f+UkQIQ7/t5M+6P9baSQdIP+ChRcG/4dDGl4hwWlZLuqP&#10;meT/fZUsxG16cVvWfWUTQ1rsRMhgMDpoQC7DNqnBg5VOVZH7Kd8+7Ad1xRTiJg89vfmBziU132kS&#10;4s47o3Hm2WeHSnkSGSlui5RP971sy7ozGB012oMQFyfJIETIiZOAECJC+foUFqhX9wnkGlZkwnsd&#10;6I9O12GFuCiZTULXl8tYEb7xJhG8dCQ5F3alsCQil4Sdk0LGWMwV4uJEQBu63mKtEFfo9aGv1STn&#10;Q8uFST6vEroPEOTiwp5zQtoyJ/7i1uZ7anDMsNF+4S2O6blDIa6JUgpxwapw543O2iL16F59Xbe/&#10;zT2cJ82xN7aU4RCdyyjEnbl2pZv5wp1uy9sz3PbdE4NtUQ80Tgjkt/eDX6SNzfxCDdumNklxBw5O&#10;CPLteH9iutx0d9NLd7ofrlvprb8QJCpRiIPoxBXikpGvIJZvudYmrt+yOlvjV1+3SNNIlOJc6hXi&#10;zt/0ojcPKR/6wQUedKT/GQjAAxCdJkBYEynN4ssv4AGK5IN0h/qxWhyO6/qwWpyvvCDb/ciKdBTi&#10;CCk9oULcws2hO7YUO7Bih+0DVvbwPeAsBc8+/qhbNfEqd99Pf+jmnj/Q3T3s+xErxPV1942scXOH&#10;9XPLrv6Ne+rhh9y2f+x2O/Z/4q27UERa8EkGelUdEQT0w30rDcQR91Bf0nxCgBBWhz4OuUCnWbSo&#10;oY8nkQ4KGX/UXEel5YPuJwQJiBxxkkSS8ccRVUeSuZN5SEqx5gtInRhDLmlC2DmU4/Z6s4SVj6Mc&#10;85pL36SOqLkCcf1Ocj1Kum/FL41uy0pJcjyuv1ErrWmZKkz+0n3wfUfpOsKEqighC+g50/2I6p98&#10;z9vrs9Kumaj6kpSPyxN2PerjSQkrr49bJI+vf/q82jRBt5P0Oz8JIsTpP0zS/7fSSLr84ZEP/X86&#10;/IGULw9oC0Lcyseey7qvbIJCHIPByER1KjVKHqx0SaV6ZA63iJln1xxx+4jTGuOFuCYpLkqIEynu&#10;wu/2Dto9rrqzu274kMx2qWfktDy7luLwc+Ywg8EoQfiEuJNHz/M+nC8luchKkKJ0WR16RS2IR5Bo&#10;IP/Y1aZs6DQB5SH7YDUrlLcrZlmpSMs7wBciK6FuKwZpAQvkK8TZuUQ7aA9pGAPqRVtRK4AhkEfa&#10;xKsVn7TkBHxCnLQNwiQwmRP0x86plbt0G+iP7gPK25XH9LVSjDHac6LFsKTYOjBm3Q6uNdsPOw92&#10;LLn0w5bN5/rwtWfDpgNf27odO3acT0mz5x51SRrmD+moT44R0h448fJbmmUp0LX/OX7pLYrpuUMh&#10;rolSCXGQ4boMPCf73A69LDiu84XJcIjOCzfPPemin2fdv+G9fThaDC7c+KBbvWOm2/Nhkwgn0ht+&#10;gdb0c9N2qXhtEuSa3uPn9/bXuTfen+QWvn6zG7lhmbf+QpCoRCGuUpGgENd6xPUb50bCpmkk2sq1&#10;R/JHP7jQDzj0cUFvWQohDQ9BkjxcAagbeX0rCUDE01uoQpSzeQSUl3yQ6ijEEVJ6uk2dnXVfCLre&#10;vCidVt+Y/iyWJXxCHFb28D3gLAVbX33dPbJ4vls55S9u4RUXunkXnhYIcdgadUFme9R7R9a4+87r&#10;7+aPaFo5bsFPh7p1Mye7F194we388FNvvcUgSjLQAoikJ3m4jwfxWIVHVg7y4SsnaVFSQ5gYoOU9&#10;fdyHjNnmzVU68I0fAgKEG7QhKxpZfHMtffKl5QvOAyQX3TbmKey8JRm/kM85TnLt6HOThLDVuMLA&#10;NY0yaMfOjeC7/qLShLBzGHbckjSfpRzzmkvfpI6ouQJx/Y67HvX3Uy5t2bxJ6wC45pEXn23fcXwe&#10;9HGLfCcgnx6z/qzaOUYajoOw8yvoOdN58b0kx608KO2GnfOklPqaiaovSfm4PPoa0XOnjycB86mF&#10;x7B6LZLH1z99Xm2aJtfv/CTkI8RFiW5A8kWtKN5WhTg8z073m8FgMA4LZenXSBFNrw6XqxCXLcU1&#10;CXEzhg8KRDi0DTFOtkudNfLMnI1drA4nD4goxTEYpYu2KMRpEQbowFadOi0MG748cVixyUpLNqyU&#10;BwnJik96bLb+qHFHCXFW6vJhy1ghCmBudVgpygpxVk6CnGbDzgne69B12PK2LMCc6tB9LMYY7Tmx&#10;6Umw0p8VPIGdB7v6nB1LLv0oxvXha8+GTQdaWMQ8+PLYcyDH9fVl54OQ9syJv5+btYpYl+8M8otv&#10;YUzPHQpxTZRCiAu2SNWrwmGL1J+Pz8oDukXIcIjqhZtXYEU4ff+GFeN8D0gL5Seblrr6N2e4T7+Y&#10;HBBIcJlfoAXS275x7t39dcGrCHKyepwIdGt33uB+9PAD3voLQYJCXHIkKMS1HnH9phBHLPrBhWyl&#10;E/ZwA6KaiHCyfU5SIS4OvQVr3EMYWVEOK81RiCOk9FSCEIcVO2wfyinEbdu9z7348ivu8dXL3Zrp&#10;49yiX13g5l54WiC/3Xdejbs3/bpgZI1bdP6A9LH0+1Fnugf/doV7ZOF898qOt7x1Fos4aQGSA9IB&#10;HqpHPdyHdBElSGl0OUHSoqSGMDFAhBR73IeM2eZNIh1EjR8rL4VJVhrfXMedh3wRQc/KeVZeAUnG&#10;X8g5jpo7oVTzALRYFIXv+otKE8L6nnRMSfNZyjGvuZSXvkTNFYjrd9z1iM+bpOfSls2btA6gryHZ&#10;XlTLZmFbYgr6+9QHvj/sCm6oU9LDzq+g58zmle9ItCHH9Daftt1Ku2ai6ktSPi5P2PUYdjwpSctL&#10;Hl//9Hm1aZZcvvOTkI8Qh/9j+dIFyYc6femgLQhxc5aty7qvBKfUDKpK95vBYHT06JxKDZUHLPg5&#10;c7hFzD275og7hv+goZhC3JjT+zY/3Bn7wx9gq1SsEvd/Bp54Yt9MszkFtnuV+qo7VZVtiXcGoyNF&#10;e1ghzkplkKh8kpHGhi9PHHFylI4wgQd91aHrsPVjjnRZHVqIs+IY5gd1WflLk0R4istjhTidJtiw&#10;6bYNPS4Ih7mG7mMxxoj3Onx1RGHPjR6fxYZOSzKWMEp1fdiw6cB+VpOElLWr/2Huksh8hLR5xm52&#10;J/4hW4o7umdfd8KE1X4BzjI9dyjENVFMIS7YInXoZc3nEHT53iDXbcLiFjLccTdunhklwyECIe7s&#10;C7Lu37r/4qoWD0eLwbCHlrsFr93iXt8zyb23f7z74ECT6Lb/4/Hu3X3j0vcyk92z/5jqXnlvUvAe&#10;q8PJCnFNEt0kt/mtGYFY56u/ECQoxCVHgkJc6xHXbwpxxKIfXKT/CQjAtqT6uAAJTkQ4oVhCHFZ7&#10;i2tfwDY+yAc5j0IcIaUnXIjbjM9iWaK1hbidHx1yb7x/wL308qvu7w8scuuun+iW/e3XbvFvfuTu&#10;u2yYW3DJD929o85w8y8+093/q/PdivF/cJvuuc09/fdH3Bt79nvrLBZx0gIerovkhTxRD/elLoAH&#10;+FawiHuor8v60kFYHfq4bztCjfTTruYU1z8QNn49T3iFOGP7ETXXUWnFAv3VMpsIPUKS8Us/AfLn&#10;co6jrh1B6tfSTjHQbWMOMHacM51H0jEGfTwuTQg7h0nHFFY+jnLMay59k75EzRWI63fUtSRIul31&#10;zKLbste9HI/rryCfc2lTS3L2mtLIinYoj7b0ZxE/45ivvO472rLpGj1nti4tv8kcYAx4b78LQaVd&#10;M1H1JSkflyfsetTH44RHH2H1WiSPr3/6vNq0KNBe1Hd+EnIR4mTF7ijRDUg9bX2FuFn3Lsm6rwQU&#10;4hgMRhBYFQ4PWOIEstkjBw69Y8SpzTJcSyHu9JyFuNN7nBg83Pl2t2PdzeedEQhxvz29n+vcqaox&#10;auvWqDjqyFTd4QdHqQGZwwwGo0hRyUKcL58PKylJYAUq3ypiwIYvjwCBCKtWWeHLhpWEdISJT7bv&#10;ug6bhjnSZXXY+sP6iuO2HpBEeIrLY9vUaYINm27b0OOy85Ek9ApzxRij7YOvjiiS9EGIms9c6vFR&#10;iuvDhk335UkSIurZPkiI0CfbvhLSLhm72X2rbnUgwsl9MQS5E66a65fgNNNzh0JcE8US4oJV4U7s&#10;lXXujrn4Ty22SO1246bGY2c+PCZzixYZ5RTiBq1Z5SY9c49btWOme+W9yW7P/rHu408nuA8P1rmG&#10;fRPccw3TXP2b17tn/zHNNextEuVEiPvk88lpJrnNb89wP3l4ibf+QpDwCXErG5pE+u2Nh4L35296&#10;0W098Kn78l9NcjZe8R7HbVmNlGv86vAKr6hTRCYJKyWNfuKwgI6f5bi0L/0KQ6Qo5JdjYXVq8u0v&#10;kL5h7myagLoQvv6jjSf3HQzOhw7Uq/vgKycRlseHLddv1ZPBuMLGHsW9O3e36Dfe47gvP0C9xRyv&#10;zH9YYFy6Hgk5l+jr3i++yhx1wc9R/Y9CPj/6+rNgvpHPjh/tok9I95VLch2DsOtRykvf8F76gGP6&#10;2i7W94BcW3p+UTbsPEv90m4YqBOB/L50QR5aYPW39D8BAVFbllqKJcSJ5AawNasvj6DluUUbSrOC&#10;KSHkMD4h7pgZ84K01NzoP7QoVvh+v4itrnwPOEvFjo8Oudff2+de3b7TPf/M0+6JjevcliX3ug23&#10;3+BWTfmrWzHxj27dzIlu07w73BPr17gXX3rJvd6w2+3YX7rtUkESaUE/jNc/24f7cjxsJZq4h/qS&#10;5hMChLA6tJQSJY3obRatRBPXPxAmN+jjYdJB1FwnOQ/FQIt7dp6TjF/S8znHYXOn0StoxYmNuaD7&#10;FSYtSbqdl7g0IewcJhkT+iQrOuV6DZRjXnO5PqWdqLkCcf2OupYEmTO8+tIFEb+AHb8cj+uvoOcS&#10;503mBiuw+fILUg6vvvQwor6zLHHzYWU+ee8TvSrtmomqL0n5uDxh1yPOsRyPm38fcde5IHl8/cMx&#10;SbdpcUR95ydBhDi9Grf9v5WAleEkj/0jKEH/nzHqj5jwh0vI09aEuO41Z5flvpbBYFRwpFKpKshn&#10;eNACkSxz2BuzR5y6JVchrlmK8whx15vtUkWIO73Ht5oe/gT9SuW1t3MgxaXLp8fHLzoGo8jh+wvO&#10;tibEAbvNog6szmZlGRs6TRNVrw0rCenQYpcGZXToOmyaFZV02Pox3jDpCWG3M00iPMXlse3pNMGG&#10;Tbdt6HHZ+UgSegWxYozR9sFXRxRJ+iBEzWcu9fgoxfVhw6b78sSFXVkRgmvYKnM4HrcyJCFtmowU&#10;hy1TRawC3S4Z7xfhhOm5QyGuiUKFuGP/cKs7utdhiRHgfbe/zc0S4USG6zazPnR1bxvV92/e0nvw&#10;OVn3byeOvqbFw9Fi8P2V69wvtyxyt750h3uy4dpAhDv01RR3oHG8e2//OLdt92T30rtT3bY9k4P3&#10;kOH2f9wkxH2Yfn1vX51buX2mu2DDg976C0ECMoxNE9FEpKawgIgSJuXguIgtvpA2EFrCAWHSE+Qb&#10;iTBhCPiEmrA6hUL6CyR8aYKIR3bORVKKC5+gFTeuMHQ5iE9aVrIRJobhHESVQyDdnqtSjDfq3CHC&#10;hDhIebhOwgLXnC6XBH2t+NLjrjUE0pHPlk16viWiPlu+fuhrU8ZRyu8BhJ3jQj7nPuShRZKHJD6K&#10;IcRBgJOHJtgO1ZdHg/zS5pRbzveOixBSPCC/6ftCIEJcl/s25vVH6rlGJQhxFqwY9/Ibu9wzj21x&#10;W5be7x5ZNN89tWGde+G559zr77zrLVMKkkgLWtaRB+vAPtyX42EP3eO2NZW0KGEkTAzQD/3xivc6&#10;XdB9sP1PIh2EyQ1hxwU9h765TnIeioX0w54nPf6w+ZP0fM6xnqMwaVDniROMciHu3MZtvxmVJoSd&#10;Q70yl29MmGu9ilOu10A55jWX61PaiZoroPuEn226Pmdh16POE9aePre+/seVt2hBTbcft/qWzCE+&#10;f7kKZlIW+OYK6K1Vw8aiJTed3ze/lXbNRNWXpHxcnqjrUc+/XRUzjqh6NZLH1z8ck/Swz0IUYd/5&#10;SfAJcWF/fKT/6Mi3bSokOfxfTfI8/fzoFnkEyYM/eqpUIW7aHXOz7itBus8MBqOjR/NqajHy2O3D&#10;ftB/diDDRQtx2dumRgtxv1PbpU4eenpGiKttxHapcryJ/KS4zv/xH0dnfmQwGEUMnxDX83eL/A/j&#10;S4gVbhC+fFFgJSkIbD5hRotVwIZOE3LdotNKQjps+wLK6NB12DTMkS6rI6x+lLHbskrotpIIT3F5&#10;ogQuwYZNt23occXNRxzFGKPtg6+OKJL0QYiaz1zqiQL1FOv6sGHTbZ6wazYOyHz4bGIFSBv47HOl&#10;ONKuGVvvTpxW7479YfbWm3jvleHA9NyhENdEvkIcRLguA8/JOkdhq8I1yXD1W4+Z+VBOS/5DiLP3&#10;b6US4k5+YIM7a91y98cnFrjVO28MpLdPPp/YvArcnvT73Wnwivd7D9S5Dw+OD35+64OJwcpxd269&#10;3Z2zfrm3/kKQsHIWEBFGiyyQVCDT3PxaQ5ZA5CsPiUWvNCZlAQQkG1HSDn6W42hbIkzS0nnwsxwP&#10;qxMU2l8g4UsTMFcIO2dYYQtzjXbRZy0BYZxyHvCqy4GocUWhy0mgX2jfjhvt+sQkkeEwd+in5MEr&#10;JDvpN8aly5VyvHLtImyaxoaMAXXqviN87UQR1QcZu4TMAdrAK95LIJ9dfS1u/IJE1GdL+oE2cRzj&#10;1yvKyThsf6Wvcd8Deqxybek0fY2hbUnTfdT90aAuCV2vD3logS1v0v8EBGKafpgRRyFCHB6q3D57&#10;WLMMh9e41eEEaXP0X4Z4x0UIKR6VIMT1rqntYfuwaMMW7wPOcrJj/8futTffcS+88EIgwr28bbvb&#10;1vC+25n+90Dn2/nx51nvi0lSaUGvwCbYh/tamtNyCH7WQgHQ5QRdHu2hfjzA1+1oMUCXtWmoA/IH&#10;ygLIH1I/8K30E1W3gLokj+6XlmQgN4k0AXkBY9Ft++Y66jyIxII6bFoYyIsx2j7imPRDpwF9jiHA&#10;IB3nTguK+hzleo7tHKEM2kCftOSh65F+SBryoRzKoA9yPA49NpQVIQmvOO+oS9Lx3paPShOizqEW&#10;3jAmGbtuW1595aMox7xGjc0ibUTNFUD7klf3RUhyPaLf+tyhf/LdIeORNOTzyUySHtdfjZxPfe58&#10;+TSoX9qyoD70Hf31zYWeK4B8cp4xXn1uUZc+7xotB0rfMbe+vEDX29rXTFR9ScrH5dFzbM+BTsNY&#10;MefyHQIwr/g3BnNv64+qVyN5fP1L8lnI5zs/CSLE6ZXdIL7Z/1sJWnjD/w+RF2XxfzbZUhVAdPOV&#10;B/qPl7CKXKUKcVdOnJ51X9l7YG1Dus8MBqMjBwS4XFaH8wlxLaW45EKcbJeKV8hw4KbzzliB9rBd&#10;qvQNVKdSo4KOMBiMVo/2JMRpfCtJydaLwIYuK2B1Kh2QcHQdkIJ0WElIR5j8s2tf9moOeotXWz/m&#10;SJfVEScXQRKy9UEokvQkwlNcniiBS7Bh020bely2/zgfumwcxRij7YOvjiiixmfRgWtZpyUZSy4U&#10;4/qwYdNtHjumfEC/7Oc0bJtkQtoLJ42rb5LiLvpTtnDVs687YcJqCnE+lOSWC7kKcd2mrXZdh14W&#10;yG/N5yX9M+S4bhMWtxDhMjLclu4zc9/Gqnrh5q32/u2EKye2eDhaDLot2eROWbbeDXtomZv49N1u&#10;1Y6b3EvvTnG7P6xzn34xOeDgZxPdx59OdAcaJwQ/f/n1NPdR+r3IcKP/fr+rWbnWW38hSPhEFi30&#10;QGjxiTcoJ2FlKUgsElbIAVg1Sq8sFiXt2LZFXEN5fVwQoQj91sej6iy0v0DClybInPnmPArIQhK2&#10;71HjikKXQ/jEI4xFwkpH0ifMs5W2BD2vYXl8FDJe3WebptGBa8Zew7odiFs6LY6oPmjhTUtgGj1v&#10;yK/T4sYvSNjrUZdHhPUB6HHk8z0gYw37rAKR6vC51sfz/Zz7kAcXIrbhVT/QiCNXIU4/SNHggUvY&#10;1jw+RKL7Tk1X77gIIcWj682Lsu4LAbZRDdIXbMrrj9NzDZ8QN2fZOu8DznKy86NDbseHn7jt+z52&#10;O8D+T9yu9HfwrhIKcJZcpAWRQAT7cB0P6HW6RT+Y1+UEiAA6v6C389N5dFlBtxEG8vjKxtUNMGbJ&#10;Y8cv4loY0jffXEedB0kDNi0MyR+Gbw6sXCRo2aXQc6zHotGiEvoRls+i647DXr8ajBGiCX72CSmS&#10;z5cmRJ1DjM83twKuHbn+fOXjKPW8Ro3NInVEzRWI+iyBJNcjiJtbgHQ9FxrJE9dfjRaUgBaTwsB4&#10;oq5Bja8vtk0fUTKcYPuAen35QCVdM1H1JSkflyfuesQ8xV1nwNYfV68QVh4k+SzYNEvYv3txiBCH&#10;/2dJXVgtzv7fStArd4fhWz1OA3lO8qK+ShXifvnnuqz7SgpxDAbDrg4XusKArA4nFEOIw3ap8tBn&#10;zOl9m4W4WSOHNG/7gz5Vd6raKvmqU6kxmSQGg9GK0V6FOGC3O0UbkmZDl/Pl8YlLcXKUDSvqQEKy&#10;0p7e8tHWr/sPdMQJcYKVh+R4EuEpLk+phThsf6oj6ZiFYozRnhNfHXHY0JKlgGtFRz5bmOZDIdeH&#10;DZsObP2o15cvF+x1Uay5IKSSCaS4a+vdCVfNbSFf4RiFOIOS3HIhqRDnE+FAl+8Nct3+2nJ71MNs&#10;npmPDIfoPHftq/b+rVRCHDh6Yb07+YGNbtCale7yLQvdPa/c6nZ8MNF9/X+muy//a1qzEPdx+vWz&#10;L6ekv42vd598Pskt336Tu6R+qfv2svWu2+JN3roLQSJOiAvbCjFKWhJJJkpWgTwjESXt2LohJ0n4&#10;JCu0ibASU1SdhfYXSPjSBGnHN+dRRPU9Ki0KXc4nwwHMr4Qdl4zFClsaPWdxq3hpChmvvnZtmkYi&#10;artNkbJyPV9hfdDzEVenCJj2mowbvyBhz5suH3XugB5HPt8DElHSnV7pTQt1cW2Hfc59yIMLefDR&#10;WkIcQF1JV4iTdinEEVJ6KkGIO6VmUJXtQyUIcZWASFxRqwQJEEpkhTC8+sQLPPBHXfrhvV5ZCMf1&#10;Q3wLZABpQ8rqlXhkm7+oOqQPuh78rPvhI0ndmAOp0yfYQJrQAgnqgoiAMUhZ9MOWw7GwNF2fTQsD&#10;40S7Wn5BX1A/pDZfGYA+Sl8A5k0LiaCQc4xrBv2SsngNEzUwl7Yd/Iz5wHWir4skoG2U03OC8eEY&#10;0uT82/EC6YMvTZB5w6svXcZur2+ZN2k/rHwUpZ7XuLFpkswViPssSR5pG/iuRyDnVn9WgIwJ6baM&#10;kLS/GtSn5y+s/xqUkWvPSmiYc3wu9bXp+65CPpxX+7nGOG2dYWipFfPpy2OphGsmqr4k5ePyJLke&#10;MU78m6nnH+A9zovvHCSpFyTpn8wBsJ+FfL/z4xAhDsjqb3H/34M8hxXg9P/b8H9FiHBYLc5XRoOy&#10;Ugbv24oQ12fgkK3pfjMYjI4auawOd8fwH6wothD305pTgoc+x1V3djOGD8oIcbWNM88+O+sBD/qp&#10;pbi4vjIYjNJHexDiIJVBGNJyDcQyK9/orRTDVpVCOcmnt2REG1I/0rE6mZXZrIjjC1nVDBKU7QPe&#10;6/KoT4eVh3RoOQz50HeU14IdxCHdZ92enX+fVBSXp9RCHLBzjhX29BgxrziXOI68umwxxmjlK8wh&#10;rgeg+xGF3aIUdaBdpKEe9N+OU9KFJGMJA2VLcX0gvw7fZwrXvw60h3ySDtAWZFb0Ua8CiGsB5xX9&#10;lPw433Y+kS5lCGnPyEpxWBUOq8PJ/TU4ZthoCnEaJbnlQpwQBxHumJ/8yR19Yq+s+YcId+yvrzuc&#10;14hw3W7c1HjczI0FrZjd9fYHdtv7txP+Or3Fw9Fic+ziTa7fynXu948ucGt2zHTbdk9yO96f6N54&#10;f7Lbnmbb7onutT1T3Ovpnx97e7qb+Mxc1zed31dXMZDwiTlJpKIoMUciSjYCElHSjq1bS1pW5NJy&#10;jpVoStnfuDRBJLJcBauovkelRZG0nIQdV64RNS+WqL7F9RvtSNg0jUQpzldYH3TfoyQxoOvQ13Lc&#10;+AUJO76k5UGSuQyrTx9PGrq8/pw/aaS3qM+5D3lwkf76T/SAxJKrEGfBQxU8XJE6QNQ2PgKFOELK&#10;h0+IO278rCCt+r76suzU0r3m7CNsH2bdu8T7gJOQSkMEqiRiCSGkPIh8l1QqE5kpTFQEkOaQB0A0&#10;8+UhpJxoIU5ENaD/X1VsRLzDCuB4X6lC3MW/uTLrvrL3gCFb0v1mMBgdNXJbHe4HzTJckxCXLcUl&#10;EuIyUpwIcTUnNq2G0LRdaq2sEBdsl2qDUhyDUVlRyUJcVIhsA5KEFausRKNDJJyoPL6wklCuYUUe&#10;1KcDc6TTdVghLkno/iYRnuLylEOIw3nPJXTZYowRAlZYWAEvDNRhhbeowHVo60gyljBs2bDQdSZp&#10;L8lnCiKbFeeiQrdjry9fYF61XEdIu2fsZvetqZsD8e3YH16WJWVBkjv+6sVe4S0OCnFNhAlxwYpw&#10;I0e3EOHwHoIc0rPKZMlw9Vu7zaxvXkU73/AJcfLQs9Qcv/hhN3jNKvf7R+9zNzx/p5v3yi1u6Ruz&#10;3INv3OQWvn6Lu+OlO1zdU/PczzcvcoPS+Y5f+rC3nmIgUUohzso4FolcpR1ZPctusyjbL/q2WSxl&#10;f+PShDjBCv3Cql2Szxe271HjiiJpOQk7rlzDt0Ic2i32eNFPCZumkSjkfIUR1oeo1dQsug6dN278&#10;goQdX9LyIMlchtWnjycJrPhmV3wM20416nPuQx5cpL/+A8otxAkQ46QeWU0gCgpxhJSPrrOXZ90X&#10;6ntDCnGERIMVh9KXcLDSj28VJkJI+cFnEZ9LkGS7VJ3ft/KbRvJRiCOVgBbisBK3XJ9J/gApH55+&#10;fnRzG9g6FccqVYirPX9U1n1l7wG1Xu+EwWB0gMisDtcQPIjpVDU3c9gbdwarwxVXiBv3wwHND4Ga&#10;tkttEuL0dqm+qO5UtUXK4efMYQaDUeboPbB2lL6pAK0hxGEVqVxCizJxIat46faipKSk8g7K61Xk&#10;rCSkA3XqvDZ8ghGO6YCUpNN15CrEWckqifAUl6ccQhyw8xIWmG9drhhjBHYrXomkQhzA9Z5EikNb&#10;vvJJ+hmGLeuLfK6PJJ8pgLEnleK0+BonxKFtveIdIR2J7pPrAynu+N/e2mLbzmMv+pNXeouCQlwT&#10;Vog79g+3erdGxXuvCCdkVoU7dubDY/LdItVG11kLP7P3b83bYpWBby3Z6AauWu3O2/CAG73lPnfN&#10;k/MCCe7Pj9/rLtu82J26apU7fknpRDhBwif7FCLCAAkr41gkcpV2sDKchKwQpbej9G0BWsr+xqUJ&#10;UYIVxLAkYfseN1dhJC0nYcclETdnYZRqvOiPhE3TSOR7vqII64O+bqPmHOg6dN648QsSdnxJy4Mk&#10;cxlWXy7thKEFQhEq4z7nPuThRfrrP6C1hDiAVQSkrrjteCjEEVI+IoW4hfVj0p/FkgeFONJWkdXh&#10;KMcQUjlgq0p8LkHUNpgCJDjJH7W1qc5XyDaXhBQLLcQB2QYVK3Tr48Xi2uvODOrHHzhh61Uca0NC&#10;3Mx03xkMRkeM5tXh0nRJpXpkDreIO0ec1uPOQIYrrhB30XebVkY4vF1qkxA387xBoSvVSUDgk75T&#10;imMwWie8QtxVy70P3EtNLitHaVEGsg4EHlseAo3OZ4E8I1trSuA9xB7JAykO8o+uG6IVRCWkIb+E&#10;bUvqxSvqlLq0GIfy6L8uJ+jV0Hyyj67HCkwoi7p1HtQR1p4VtHzzFpdHrxBmZTRBz6NPdrNSVZgQ&#10;hnxIs+cc7WKMELCsBFmMMQq+a0JLX0lA/1DGil6oF3MZdl2ApP0MA/mLfX1IPtSh8+K9/kwJ0ged&#10;F4H5wLm1/ZBz7psvnA97vgnpaHSfUB9IcdhC9ZhBFzXLWgCrxXX76Xiv/OaDQlwTkOG6TU3P52Xj&#10;3dG9srelDea163HBSnGhIlyGbjfWbzlu5sbQ/6flE60txHVduMmdsHSj67NsvRu4co0bvHaVq01z&#10;+urV7vsr17sTS7gqnEailEJcKbZMBVqKeTKznaKWZ5Buy5Syv3FpQphgpecbfbD9i+p7VFoUSctJ&#10;2HFJxM2Zj1KOV9dt0zQS+ZyvOML6oPuey5ap+nqOG78gYceXtDxIMpdh9enjScU1H1g5DgGBEu/j&#10;Puc+5OFF+us/oDWFuKvHNm1dBSjEEVI5HD1vfdZ9IZDt9MslxCFsH6bdMdf7gJOQSgFCTPrSdSec&#10;dLI3nRDSOoiomnS7VIBVHlEGrxBc9YqP+BnHJA8/86RSsEKcFtb08WIh26Vq4a5ShTh7X0khjsHo&#10;oKFXh6vuVBW5VOTs4T+Ye1iIOyzFJRfimqQ4K8R9u9uxwQOhw9ul1rpZ552xNdNsbKT7P1MeKmEr&#10;1cxhBoNRpqgkIY4QQggh+dOjrmn71GAL1Yv+lCVvAYhyx18Tv40qhbh6d1zdYtf17JarwYEu3xsU&#10;vSJchm43FHdVOB3HzJiXde8GyinEVQoSpRDiwrY01WBlN4l8pB2IVAhpQ96HCVql7C+QEHHHh7Rj&#10;51zEq7AtIKP6HpUWRdJyEnbMSeYsjFKON8m1CyR851KQfvo+I1GE9QFbgkpEXScA84qw86vHHybV&#10;aWHUji9u/jRJ5jKsPt2HuLFGAeFVAnXKOclFxJQHFSKYtaYQJw9QQJwQh4c4yEchjpDSEyXEHXX/&#10;prr0Z7EsYftAIY5UOrXnDA8EmSQrUBFCygM+j+l/UgKSbJcqyPbHcUCG42eeVApWiMOqbfL/KNnS&#10;tFjoLVmxdaocr0QhbtOL27LuKQGeZaf7zmAwOlpUp1KjDj+cSfXPHG4Rd46oCVaHK7YQp7dL/d3p&#10;fd0tGSEu/ZqTpWulOIh+mSQGg1HioBBHCCGEtB9OGlfvvjX1sBhnV4sDx551WaQY11GFuOOmrnbd&#10;fn+rO8YjwgWrwQ25yHX761yv/GbpdkP9lmNmPhS7Yna+4RPicMw+HG3vSPhkn0JEGKAlFt/qUJDL&#10;ZOUnRD7SDrZQlNBbUcrWipZS9heIIIZ8duUqvBdhD2HnPE680uOzfU8yVz6SlpOwY9bXSK4rgJVy&#10;vLpf9jxoJHznUojrZxi6DzZN6kSEzbsev+2fFs18/cK1KtciwpaPmz9N1DiEqPr0WNEvnZYULRHq&#10;/oR9zn3IgwoR23JdLSCpEIftebAigS8N4IGM1IO8vjwayfvTXw/wjosQUjwqRYj7/qChX+k+jL3h&#10;Nu9DTkIIISQM2S4Vsqpe5S0JyA+Jru/Aw6saS10QYKO2UyWkNbBCHJBVuXP9Q6g4Ro/pG9SLV328&#10;EoW4lY89l3Vf28SQoen+MxiMjhaQx/CAJnZ1uGEDgtXhii3EXVpzSvCACNulXj98ULMQN2tk7l9K&#10;eutXrHpXXV3dKZPEYDBKGBTiCCGEkPZHj8wWqoHg9se5wbapzffaGbr2P8e7lWpHEuKyJLgTe7WY&#10;IxxLshqcIKvCZW6zShKpuVuOOG78rKx7N9D15kUtHo62dyR8Uk2hIgwkFi2QQThDHoDVoiQkT77S&#10;jpTXr758IKrOQvsL9JxhVS+s3oXykJt03Qg757oN5BeRCxKRTkPYvuO9hE2LImk5CTtm9FGPC+la&#10;esKcYg4gApZzvHpLTbSNPJCncE51PgnfuRRE6PJ9RqLQ14JN0/1HYLzoH46j79ImAmKbT+rTefCz&#10;lNdip4Qdn24fP+s0S9Q4hKj6dBquFYwP14Wk43zj/GOcUedBy6by6ssXhjyo0NuVYuUA/RBDg5Xb&#10;NHZVNwErBOhykgeyGx6SSL4FCy8MttSRdIBjuqxFrz7w16lDveMihBQPrxB35cQgjUIcIYQQQkhl&#10;4hPiyk0lCnFzlq3Luq8Fp9QMKtkfHjMYjAqNzqnU0MMPa8JXh7v97Jqq2cMHNpZCiBvU48SgfWyX&#10;ChkOzBg+yH3n2GPPzDSfU2SPqeq+zGEGg1HCoBBHCCGEtE+C1eKmbW4W3Y775XWuywke6atn3ywx&#10;rr0LcVErwQnYFvXYK65z3dJ5feKbj1KvCicRKsTNXt7i4Wh7R8In+xQqwgAtJtkQOUbEnnylHSsA&#10;QS7y5QOl7C+AuKRX5rKBvkl/7ZxbIc8G6pW6bd+TzpUlaTkJ35ghNMnWnlFRzvFaUU8Cx3Q+iSgR&#10;S8637X8ccZ+fqGtNAuP3yXAA8x41f5DMwq7VpOcdxI0DxNWHsUb1VSLqPNj5snJjHPKgAhJa+p+B&#10;AIhq+iGGgOOSJwm6rBbuokiydY9eTW7RhtHecRFCiou9NxQhrvP9m3PayaWQ6Dt46H/qPlw5cbr3&#10;ISchhBBCCPnCvfXRDvfORy+7PQfuTnNHq7A73fZ7H91XML7x5cuse5dk3dcCCnEMRgeM6k5VW/Cw&#10;Bq+ZQ96YPWxA3Z3DB7qAnIW400OFuBuGnx6sDIc+XPTdXs1C3JjTZfWJVF5LV0LuK6Q8g8HILfoM&#10;HDzG3lhQiCOEEELaD3q1OHD8b2/1bqUKsJ1qexTikkhwR/fq67qOHO2O+8vcpjKCR37LYsqK7cfM&#10;3BT6B0rFjtSiLVXYAsvev3VEIU5EJqyiZdMg1CCsRKSBlCOBn8PyoH4RYvAKMUxWiZJtRNGeLScR&#10;VjfQYhVeo/ImqRPH8+mvAIEJYo+WxFBGRCGZVxyzZdEG2tJlIUVBBkK6tG37nmRcPpKWk7mIGjPS&#10;RMCSwDjQZ6T5xK5SjhfHpTwCbdj+x40LSB149aWHkUQkk/GL+IdAnzCPMgdRSPlcr9Uk8yegLAJ1&#10;+9JBkvrQJ0hseqwIvEef48ZrJce4fltEMsOqcOl/BgIgr2kBTdArs8Xh23r16edHB6vD6VXlAN7j&#10;ONJtGR+yHQ/aePG9qd5xEUKKi703pBBHCCGEENI2+ODDKS3+T9W2mOIdV77gHlLfU4LM7SaDwego&#10;0SWV6nH44U24ODb37Joj7sTqcEUU4kSK+93p329+eDR56KnNQtyPv9enUY5Xp1KjMl3JKaqPPPL7&#10;qVTqiMxbBoNRwvAJcSf/Zb33gTohhBBC2i5WjMNWqmFiHLZTPfaiP7njrlnsl9xyYUZuFEuIO+7P&#10;c123K65zXQdfFLkSnJbgNHFC3IlXz3Mnj/i5w2q7mduqskSYEIetsuyDUUIIyYckQhzJDREuITf6&#10;0qPQDxpEVOs/oHPW8UpD+nnW0OMpxBFSJuy9YbMQt3Dz3OAmsgzxg6HnH9J9oBBHCCGEEBIPhbhs&#10;fvnnuqz72j4Dh2zN3G4yGIyOEkcdmaoLHuJ0qmqIEsfuHD5wzF0iw+UpxGVvm3pYiMOqcOjDt7sd&#10;6245b0izEDd68Pe/Vd2paqs8ZKpOpcZkusNgMCowKMQRQgghHQsrxgHIb77tVAFksmPOuswdN+ZW&#10;v/AWx4zcyEeIO25K0wpwXUeMdl2+OyhUgANREpwmTIgLRLgLR6t7p8Fl/f9Ol/s29sADTn3vBvQD&#10;UUIIKQQKccUFK8xJ5LpdKtAPGq697sxANANYMU6nVQpYRU76iK1TKcQRUh7svWFrCHFnXnjJJ7oP&#10;eJjpe8hZLnZ+/Lnb+dGhLHbhWBpffkIIIYSQ1oBCXDYX/+bKrPva3gOGRO6WyGAw2llAgOvcqSpY&#10;hQ1iXOawN+4aNmBrnBDXJMUdFuJaSnF+Ie7krl2CB0ojTjm5WYi7+bwmQxd91FJcXD8ZDEbrBYU4&#10;QgghpGPSY/xm132yR4z77qAsgczSdcA57pjho5MLcjNyI06Ig/wWCHBY/W3E6GCr0ygBDiSV4DRZ&#10;QhyOTd/0X92uWdDX3je1hhB34uhrTB8oxBFCige2AUVEbTVKkiNbtyJy3S4V6AcNVjbTaZWCSHvY&#10;LhXSHoU4QsqDvTekEPeF2/nRZ27H3gPujff2BWzbvc9t3/uR23ngM29+QgghhJDWgEJcNrXnj8q6&#10;r+0zYEjZ7mcZDEYFhFodrjGVSlVlDreI2efWDL1r+ABnhbjDUlz+Qlzdmf2bHy5h61S1QtzMTPNB&#10;VHeq2iL50v3llxWDUYFBIY4QQgjp4IytD1aN+9a0zYEUd0KGbr+8LlgZ7uiefZvv/cOARCei3LGX&#10;jg9kuePGZrZbnZEbx01e3bTd6a/S7f/4T4H0hm1Pg5XfEshvSA/6ky6HVeOOm7raK7zFEchw16fn&#10;ZXK9O2lcfTBX3WvOPsLeN/UeMKSsf/zTecGm/t1/cVVWH3qefUHWA1FCCMkVrGI24YWdWfLW9sZD&#10;3rwkN7BNKiKf7VKBfdiAbUjT/xwErzatEpDtUi8e1St4TyGOkPKg7w1BRxfidn74qXu9YY97bftO&#10;9/Irr7mXXtrqXnr5VfdK+v3r/9jjtu876C1HCCGEEFJuKMRlo+8nQe8B2f4Jg8Fo5yErr6VfV2QO&#10;eePO4QO2lEqIu7Rfn+Bh03HVnd31w0/PCHFD3KyRQ4Zmmm8O9FMeTkGQyxxmMBgVEhTiCCGEENLM&#10;2HrXHXLclPpmMQ5S2/GTVrtjf/SnQHqTe/ukdDmxV2LiZDcfgQCX7hcEOIh0WD0ua1U5I7rFki6D&#10;LWW/Nak+PR/Z89N93BYKcYSQdgnkNxsQ5Hx5SXKwIpxEPtulAvuwYeWaS5pXicOKcTa9NanfcnmL&#10;vlGII6Q86HtDUAlCHLa78j3kLAU7Pz7ktn94MJDdIL898+gj7vG1q9xjK5a4LUvuc48smu8eWTLf&#10;Pbp8iXvyobXuxRdecK837HZv7P/Y7fyIW6gSQgghpPWgEHeYp3Y0ZN3Tgt4Da0dlbjcZDEZ7j86p&#10;1NDDD39S/TOHW8SdI2p6NMlwSYW4bCkuTogb1OPEoA94FRkOzDxvkHfFOqwOJ/2mFMdgVFbgIa69&#10;uaAQRwghhBAQbKs6sd59a+phOQ4Eq8cNHx2sIIfV2Lqc0Cvzf5TSAOntaAhzvfoG8tsxZ1/mjv3Z&#10;+ECAy5LffPikN0s6HyS47h4JTtMkxA1p1PdN5f4rRQhxPS4ZnXXv1nPEqKwHooQQkit6Zbi9X3zl&#10;bn6twZuP5IbMK7afxSp8vjxx+B449B/QOZDOrh57qje9tRg9pm/QL7zKMQpxhJQHfW8IsMV+Jq1s&#10;QtzwS355QPehnELc9n0fuVd2veOe+fsW99Bt17sH/ny5W/L7n7qlf/iZW/r7S9ziMaPcojEXu0W/&#10;/Uk67Vfu4btucc8++nf3ys633PYPG711EkIIIYSUAwpxh9n04rase9omWi7IxGAw2mnIamvp162Z&#10;Q964a9iAuVqIa5biiiTEYWU49OPSmlOaZbibzxsc2afOnapmygMt9D+VSh2RSWIwGK0YXiHO8wCY&#10;EEIIIeQkbK+qJbmMICdgm1TIctg2NRDmBjVtdZqUYNvVsy4LtkoNtl7Fim/jFrdc9S0XfAJcmhOu&#10;25weQ9NYoiQ4TfdxW6paXYi7v34ohThCSs+6nTcEIk8Um96c4T1eKXR/YKN3bKRt8f3l69o8vnER&#10;QopL78HnZN0fdjQh7rV/7HbPPfWU2zRvtlv06x+5+87r7xaf39/NH9HP3TuiJv1a4xaMrHFLLhjo&#10;7h7W1y376xVu8/3z3PPPPOveeP9Db52kfVF7zvBA2sarL520f3gNkLbC6seeCa5VgJ99edobHf3z&#10;6RPi5I+grr3uzBZprYnvj6CKKcTNWbYu654W9KwZFLpIFIPBaEfRJZXq0SyUpVKhS0POPbvmiLuG&#10;D2gslRA3/sz+zSs1TBl66mEhbuSQ2P9cH3Vkqq55DJTiGIyKCApxhBBCCCmEk8YdluRElMuS5Wbk&#10;xvEWn+SWCxDg0q9agDuprt47lji6/3VjDyvE9RkQ//+gYgaEuJMu+nnWvRve6weihJDCeezt69Qv&#10;d/08849p3uOVAoU4QgjpOHR0IW7rq6+7zQvudivGjnH3/mSwW3R+f7fkggHuvpE17v7z+geC3MLz&#10;B7gHLhwYSHKLfnWBW3/jVPfEhjXBNqu+OovFzDnzmsWGTkdVx8oNrS1CXP77q5r7+txbu7152iJ9&#10;B54ajAuvvnTS/ulo18Ci9Zvcvx9xRDDmu5Ys9+YhlQnOHc4bwM++PO2Njv4dbYW4+i2XN18DTz8/&#10;OisNbNv5x0CUE2lOOGvo8e722cNa5I9jwcIL098X/9ZcT1Qd/r4VT4ibde+SrHtacEqNf4dCBoPR&#10;zqJZJutU1Rglkt05vGbMnGYZLkqIOyzFJRfiBrlL+/UJhDasEndrRoYDs84blGj/5upUaoxIcemx&#10;NED0yyQxGIxWiMoW4updn3EPu5rJG9xZ1691F9223F121wPu1/OXuN/MX+x+Nmepu/DWFe7cm1a7&#10;Idetc/2nPOT65PmAmxBCCCGlIRDmJmx23Sc0bUn6rSkZaW5avTtx+uamrVhnFCjEpfM1CXibg3q/&#10;NSX9mm4Lol6+8psPCHG9B9Y2ZN07lVmIq76vfhRWhNN9wIpx+oEoIaRwKMQRQghpS3R0Ie6Zxx5z&#10;KyZc6e4ddYa7e2R/d8+wvgFzzv1+8IpV4e4Z3i9YKe6e4TXu3p+e7R7822/c35fMd6++1eCts1jI&#10;Q34h7mF/a4sQur/tScTo6LIF6XjXwFV1k5o/y/jZl4dUJhTi/HnaM1aIu3hUr2A+ILjp4wCympbX&#10;fKC8LRcG5Dpb39VjT/XmFbr3+GaQ7/AqccUT4qbdMTfrnhak22IwGB0hII9lJLLILXnuGt5/RSmF&#10;uEE9TgxkNrxqIW7mecnt3M6pVH8lxTVSimMwWi+wzZe9ufA9AG4NILedOu0hd+Gty93VSxe4u7fc&#10;5ta9MNM9vf1a98zOacHPc+rvcJNXznV/WLDQ/ej25W7AlA2mHgpyhBBCSJth7OFtWTWQ6sIItjtN&#10;uOVpoXT/26b+fQYO2arvm9L3Uisyt1VliUCIO/uC5vZB919clfVAlBBSOBTiCCGEtCUqQYg75yc/&#10;36v7MOLSX3kfdBabN/YccI+tXu4W/fbHgfQ2N40IcRDhBLxH2t3Ic8FpbuEVF7iNd97kXtm+y1tv&#10;sZCH/Jqo1ZpKKULIalFYtc6XDrhCXOmYcMOs5rn1pReKrC6I89xRtlnMhXyvgbY6r/j+iFohrtTX&#10;I8mf9iTEJf38VMJ3dGuihTgIanL+sXKb/j8+EHmtquobwSpxK9dcEiASnZB0q1XZAlUkNxAnxKFu&#10;5ENfmo4VT4i7cuL0rHta/GFyui0Gg9HeQ2+X2jmVGpo53CKwXeqc4f1dKYW4k7t2Cfpx0Xd7BUJc&#10;kxQ3uDHThcRhpbjqI4/slUliMBhljBZC3OnneB8AtwYDp6x3l81Z6q5dNdctfeoW99SOae6d98e7&#10;Tz6f7D77cop7+/0J7olt093q52508/5+q5u6eq77+d1L3eDr1rvvTtjkeo2tLBlu3ct7HeKfX//L&#10;m05IUsp1Le3adyhoB6++dELaA/gcIfC58qUToqkIIW5h/RgKcYSUHgpxhBBC2hKhQtz9myP/uL6Y&#10;ceHlY97VfSi1ELfjo8/ctvf2upde2urq593h7v/5cHfviBo3b0S/LBFOc89wee3n5v9okFt3/aRg&#10;u1Vf/cVCP+QXOSVKQCmlCCH1dsTVoipBttArdvnSC6U9STSlIN9roL3Oa6mvR5I/7emaSzqWSviO&#10;bk20EIcV4GTO9P/vBWyTGia7iagGIMz58mj09qeQ6uTnOCEOW6VK3iZpr3hC3C//XJd1T4vfw6bb&#10;YTAY7T1y2y41QojLSHG5CXGnN8tw48/sn5HyqtxfBvdrFuLG/3DAq5ku5BRa9KvuVDUuc5jBYJQx&#10;KlmIG3nzSjd702z3/M5r3c73Jrq33x/v9qRvtg40jncffZL+eX+de2v3eLf9vUnu1YbJ7rFt17n5&#10;j93mxj54r/vx7ctdv0l2tbjCEXHCBo6/+9EXgVBxxvVPesv+ffuBTG7nTW+raDnr0jkvevOQ4lKu&#10;awnXNAKvvnTSPtj36VfBee6o4qMEPle+dEI0Pa+uH9pSiBuyJXNbVZaAEBexAkhJOXphveu6qN4d&#10;s7jeHb94kztx6Ub3rTQ9HsDrw+6EJQ+749LHj03nQb4uaXz1ENIWoBBHCCGkLdERhbhdBz5zr+x4&#10;0z1d/7Bbf9MUN//iM9z95/UPtkW1IpwG26jeN7J/8PPKCVe55596yu388DN/G0VAP+TXAkrYKm2l&#10;FCGkXgpx/jylhkJc65LvNdBe55VCXOXSnq65pGOphO/o1kQLcdgmFXPh2y41CTLfwJeugVyHfLLF&#10;qpSLE+KArCjXVLZ4Qlzt+aOy7mn7DBhSttWOGQxGK0Z1p6qtGSEu8kPftF1q6YS4S/v1CeS146o7&#10;u1tHDm4W4rBaHKS9TDdyikCKaxL9Em+5ymAwihe4mci6uagAIa73uHo3YOpD7vcLFrnNr1zvPv/P&#10;qe4//3u6O9A4we37qK75hgs/f3hwvGs8NMl9/tVU9/7+ce6ZHdPd/L/f7q5aeL87bdpD3vrzZfq6&#10;nRltIjo++eJr9+clr7co316FOJGmEJgjXx5SXCjEkWKiw5fe3pGgEEcScXX9KAhw+t6pNYQ43T4o&#10;lxB33OKHXZ9l692Za5e7y7csdn97cr679tk57obn73STnrnHjXl0gbu4fok756HlbuCq1a77Axta&#10;1AGpzh4jpBKhEEcIIaQtYYW45hWE2/MKcfsb3Usvv+IeXbbYrZryVzf/J0PcfYEQF75CHIAQt2Bk&#10;jZs3vJ974E+Xu8dWPuheeWOH27H3I287hWIf8mN1OLzHanG+LUlLKUJIvRTi/HlKDYW41iXfa6C9&#10;ziuFuMqlPV1zScdSCd/RrYkW4mS+km55ahHJDfjSBb3tKbZpxTEpl0SIk61Wm7ZNLZ0Qh0Vd0u0w&#10;GIz2HLlvl1o6IW5QjxOCfgzqcWKWEFdz4nHB8XyluP/9v//3f2R+ZDAYZQ4rxPWuvcD/ALhM9Bq7&#10;2Q25bp375T1L3K0b73IvvDnNHfrnFPfl19MC+c0nxB38bFKQB0Lci29OdUufvMVd/cACd/r09d42&#10;8kULca++92nwXlj8zO4sMQyrpdmV4tqrEMcV4soPhTiSBIi5CHw2fZKuwBXimoJCHElG/RgrxJV7&#10;6X6fEHfClRNbPBQtNl0Xb3LfX77WjXzoAfe3J+a5+1+/2T3ecK1784MJbvf+OvfK7slu1c4b3R1b&#10;b3fjn57rLn9koRu0ZqXrtmSTtz5CKh0KcYQQQtoSlSDEnf+zX7+l+4AHmr4HncVi5/5G9/wLz7tH&#10;Fs13K8Zf6eb/eEiT6BYjxIF703nmDu/rFv3mR+7hu2a5Z/7+iHvt7X942ykU+5AfK8PhPfCJaXHy&#10;AMpf+NPL3AknndycD0C0w/HNL2VvATvhhllZ+ZICYU/Xo0Ebl//+qhZ9wBjDVr4D0pfac4YH71EP&#10;+ixbyeLVNwYBAiHqQHkRCwX0BfPpkwxBqWQL9EfPg+88yPjCsFvo5nqOMR86nw/fnOL6Qlndv7h5&#10;jAJtoCzm2I457tqQ/KsfeyZ4j7x6/Pg5qjxAn9F+WLlcr4Fyzqu0hesJ75FXyqOs73rCXKE+XBPS&#10;DuqRfEiX4zKvunwY9noUMI92XGHXpCZJfyWP7r8PzAvyIb8v3RL2nYN+6z5EiVoCxi/XkBB3XaNe&#10;fFfacuh/VLs4Lnl9eVCnpNv271qyPKhb0uPaSkqu51/3IQxdzn4+0V9dB9qK+gwJvnMcd53KZ0Wu&#10;K7yX/uAY2pW8aB/zr+uP+3wnQYQ4vW0pfrb/x08CBDWpw5cOIMBJPi3eSbkkQhy2SpX89Vt+4x1X&#10;rjy1oyHrfhb0HjAkL/eEwWC0oahOpUaJEBe1Xepdw2r6+4W4JikuFyGupRTXJMSd3LVL0I8ffbeX&#10;EuIGNx7fufPj0sfqTlVlXSGBwWAUFhUnxI2rdz++fZmb9dAc99CLN7ht/5jk9n9c5z76ZILbe2Bc&#10;IL1ZkI7V4979oM69+NYUt+rZG934ZfPdkOnrvG3kixbiwsQJiHISNk97FeJI+aEQR5Kgv7Pwsy8P&#10;oRBHcqV+TO8BtSv0vVO5hbjOs5dPy26/1p3w1+ktHooWm5Mf3OgurV/sbn1ptlu74wb3/LtT3Tv7&#10;sFLvxGClXtynvbZnsnvs7elu7c4b3PxXb3Xjnp7nLti41PVfsdadsIRiDmlbUIgjhBDSluh59gVZ&#10;94cixB11/6ayPUQstxC368Cnbuvr290T69e61TPqgi1TF4zs7+YNj94yFdybEecW/ep8t3bmZPf4&#10;2lXule27/O0UiH3ID+RBOh602wfoUSKEyB1RoE4tvyQpE4ZuW4AU4curgRzgEwNEZsFcRNVjxyAk&#10;ESzC2vadh0JBW7Z9AedY8mE8vjyCzpvPOc5VPAFaSvIRdg6iiBsnQLu+spIOmSdqXsPK45xHlcMc&#10;SXrSa6Cc8yrXJz4jvjr0d4EcC5sryRf2XZLL9Qji5lYIE8MkPaq/esy+z68gfce58aVb7HdO1NjD&#10;+p9k/Ei3/cZ59uW1+NqN+ndAf3faz4MW5XyECWFR5Hv+c/386O9oOW8+fHMt6LkJI26+cd7sdSLf&#10;Gehv1DUU9v2UBBHiIKJJffb/90l4+vnRzeWxpakvD8A2p8iD1eT0cSmbRIir33J5c/7bZ5/vHVeu&#10;bHpxW9b9LOg9sHZUug0Gg9GeA9ukZkSzyActdw6vGZOvENckxUULcePP7B8Ib+D3p33vsBA3smmL&#10;IOknpTgGo21FpQlx2C71dwsWuYdenOl27Z7odu+tc3sP1KmV4cYGD1z3fdR00wUhDmn7D453e/bX&#10;uTfTZZ544zp300N3ux9ev9bbRr4kEeKwKpyElYgoxJFiQSGOJIFCXDIkKMSRJJz0t011VojrPbC2&#10;IXNbVZboOnP+jbp9cNz4WS0eihabH6xe7Wa9cKfbvmdi8IcIe9L3YHvS92J7DzTdm72f/hkrxb2X&#10;Po7XXR9McPVvXe9ueXG2u2LLQtdvxVpvvYTkyugnXnfbGw9lvr2da/zqa3fvzt1ZeW5+rcHt/aJp&#10;BVQEfj5/04tZeeLwCXHyy+mzhh4fvK8UIU7+Mtv+wptCHCGEdBw6ohC386NDbtv7B9zWV1939fPu&#10;cPdecrZbeN4AN39EQiFueD933y+Gu7Uz6txjKx5wr7yx09tOoeiH/HJMP3y3D9DjRAjIKpAedBrk&#10;AC0QhMkiko68vnSg67FpEFokDVKA9AOgbzJWAGnBlpe6tVCA8aO8XdVIz5eAvKgX0piWiiAp6LJI&#10;1+WA7zwUghbXdHvoC8YZNX5g04RCzjHyS7ouaxFpBucBdWopBecB7SPdilFxID/6hTHoOtEXLdT4&#10;hDBJk2sDdaEelMX86mvGNzZ77WAcvrKSbstHgXqkrK9toZB5levTN37Uq+tCus4r4wXIK/ni+p3k&#10;egT63KEt6Zf0Tc8v+mDLS1pUf3VffZ9fgPySx9eODxmj7iO+R1Be+i/HgZ5nQcYv50RkLLzq68t+&#10;l6MupEl7WuJCPVIOr7oc0POBn+U4yslx254W8JCm+4ly6L9vfHEUev7DxmKRz4CAenH+UAZt6n7g&#10;uC2vrw+MX3/P4Gddv50H3UcZD+qQtuWalO8Z5NFjQf3Ib89JLogQh981NLWBbUiz/9+fBC3UhW25&#10;qlehg9Sm0+R4EiEOHM4/2DuuXFn52HNZ97NNDAndPZHBYLST6NypqiEQzTpVRS5vftfw/iuSCnGH&#10;pbjkQtwVA78dyG7HVXd2M4edprdMbe4X+qikuLKulMBgMPKLFg91W1mI61O3yY174F73yjuT3edf&#10;TXEHP5uYdYMFAQ6vePAKOQ7vmwS5uqa09M8735vk5m253Z1702pvG/mSRIgDn3zxdZAH2xTq4xTi&#10;SLGgEEeSQCEuGRIU4kgSIMS1+GOCMgtxx0696z7dPiilEHf84ofd91ascz/bvMit2D4z2Kr+v90M&#10;13gIq/iOz9yTHd7KHse//K9pwetreya5B9+40Y17cr47bfVqb/3FBKLUl//6V/CZxmuuAhSY8MJO&#10;t/XAp4FkJYGfcQxpvjKafquedCsb9rqGzw5vpY/AexxHui2DuhHos02zYEwyRtTny9Oe0ePXgfmV&#10;PJgXX9TvOZBVVxw+IU62FLl99rDgfZgQh+1HRo/p2/zLYftL5ijwF9345TPkNikP8JfbOI66feVs&#10;3wCFOEII6TiECXHYbj/970NZwgpxIy79lfdhZ7HZtvtD99jypW7h5ee7BSP6u/kj+rl7PBLcYfoF&#10;0tzc4f3cwl+e79bfOMU9sW51WVeI08eBfjivH8zrB+5JwMN4KetLlzSfTCBESTIi9EAG8ElNQItJ&#10;EAl0mq7bCgWCnhctkCRB+mfnGoSdh3zJp76ouU1K1DlOcu3gWpM8YVKRFmvsOcwX3a7v+pM0gDHa&#10;c6/HpqUvoPvrOx+oywpzNk8U5ZhXuZ4AxJ+oa1/ygSgBJ67fSa5H9FPyhLWlx4XPoE2XtKg6gHx+&#10;MX5fulz7+O7wpfuw3zm+7y3ITpLH9k/Gj7JWohJ0+bA8PvTc2vPjO3dx56IY3y+WYpz/uOtQsJ8B&#10;O5f4TOA8SLpOA3L92O8HAeUljx2L7iPAuHW6IOm+77BCESEO/+9HG3bltiTobVDxGva7A/ldA35n&#10;YdNkjEmFOGmv/4Au3nHlypxl67LuZ8EpNYOq0m0wGIz2GtgiVQSzzqlUpAF71/D+jaUU4gb1OCHo&#10;R/8Tj3O3QYbLCHG3nDcoa6nKo45M1WkpLmqbVwaD0frRQog7a5T3AXC56D1uk/vL4vvcMzuvDVZ9&#10;238QK8Q1PWTFSnHv7h3ndr030W1/d5J7ew9WhTuchhuwT76Y7Hanjy164hY3/KZV3jbyJakQBxEO&#10;se/Tr7KOR0lMWFlu3ct73a59h5qFOgnUg7LIY8sBlEGgPN6jn3IMgfpKWR7lEFYA1GmoD+8vnfNi&#10;sK2szBFe8R7HbVkB7aJ9zENUoJ++8prFz+zO5Hbuz0te9+bR4wnrl67Hpsm5FJlMIu48oj8ImUe8&#10;lzpwDGUlL36WkGMC6tdt2zHctaUh6/yibrz3CVNWiMv12hDQh2ffPtjiHKJezKWvDAi7fvRnJKzv&#10;AuZRX3OIuHajkDmQ+qLmT0Ca7XeSckhHYB7wXtqWCJt/nSeXQDldj64r1z4IktdXt6A/c750gPrR&#10;jr6GkswhiLtuJFC/LUuI5aSrN89M3zvN1PdOfQYOaczcVpUlfEJct6mzWzwULRbfXb7WXbZ5kbvx&#10;hTvdo29PD/744LMvpwTym9x/Adyv4b1Icfj51d2T3aodN7qJz851g9eUXogTsUziyX0Hvfl8QFSz&#10;EpsvkMcntQGsUuaTtXQg3a5mptvVx31AypPIVfBqD+CcSoigCElOy4pyDvSqcFgxLldB0gpxEM3S&#10;H8HgF75yzCfEYbU2+aWwgL/Atvl8oA1b1hJWlwh4epU4CnGEENJxqAQhbvglv9yu+1AuIW7Hgc/c&#10;Ew+tdYt/N8rNG9HX3TuiaTtUCG8+IW7OuX3d/SP7B9urLv7tT9zmBXPc888+49549wNv/YUiD/mt&#10;hKMfwEPW8R2Pkgd8xAkRkhb1MD+sDr36TlR5SAeST48L6Lp9YgqIkkTiCJvruLR8EDkHgkWUvKSJ&#10;Oz9JiKojybUj5X3iikZWYwqTS/JB+ua7fiTNXjMakVnsOUxyXQEZU67XQDnmVa7PMGlLI31BXVHX&#10;Xly/o64lQfqLfkW1hfFIXbb/cjyuv3HnUWSoXK7JpNeGXFv2/Ml5CZPBgP7OC5MhfUSdH5uWREzT&#10;eeKuoaQU4/xHjVMjc41zENaWfO8CfVy3ESUlSj8xLn1cl48613KdRH1P5YsIcYcFs9yFOFldDuD3&#10;Er48WDUO6WjHJ8xJ+aRC3GGBrzhC3Kx7l2Tdz4J0/QwGoz1H51Sqv8hlqVQq1IC9c0RNj8MyXBO5&#10;C3HZUpwV4k7u2iXox8hTTj4sxKW5+bxB/TPdaA4txWGFu6i+MxiM1o1KE+J6ja13v7pnqVvy5C3u&#10;hTenubffnxAIbx9/OtHt+7jOvbVngntuxzT3xLbp7pV3pro9+8ZlVidpEue++M+pwTZeDz59sxs+&#10;q/xCHMQLCSuAoIyEPg5EGokKiCA+6USkJdQP6SMsSlU+alySJgJSWEBs8QlqaM9KVGEB2cWWt+jz&#10;g7758uj2wqQpOV/Iq49jDBhLVISNVV9fvnowh5I3as71ObT9h5QWFZgfnV+uDbzqNm2EXRsg6rxL&#10;xF1bcv1Eza3vXEH+i4qw8xtG3Pz56ov6TEkgjy0HZP4xD7l8NpN8n/hCX2NCvn2w5X11C1HXM0jy&#10;uQqbw7iyum387KuDEM1J12ye29pCXLe6Gx/Ibr+0Qlzt2lVu+nN3uY27ZrjX90wK/hgB91q498I2&#10;qSBYtTfzM47LlqpvvD/RbX5zRiDT/XDdCm/9xcTKaFjZzZfPAsFNb6+JclhlDJIVgMCmpTWfiIY8&#10;OiDnQcKSOp7cdzCrf7psexHiZGW2pPOeD3KesGWqL13PD+bflycpVojz/RW1FuLwy2T9C2hNEiFO&#10;hDtQVfWN4BfY8gtqvOL9xaN6BSvI2bIAq9BJeVmRjkIcIYR0HEKFuPvqs/6YvZTRWkIcePbRLW7F&#10;+N+7+T+pdXdnVn+LEuLuG4mV5Grcg3/5lXtq43q37Z333M79jd66C0Ue8vskHP1wX0SBpPKAjzjB&#10;RdKQz5cOwurQx+NWQdJyjz4e1z9QyPij5joqLR90PyFJQEaJEkZAkvHHEVVHkrmTeUhKseYLSJ0Y&#10;Qy5pQtg5lOP2erOElY+jHPOaS9+kjqi5AnH9TnI9SnqUJAR0W3bLUzke1198r0heK73lK3slGSPQ&#10;Kwjq43IsKXFj1ESdH52mZbOo84DvH5EG8Yq+5LJinY8k7YKo8x81Tk2Sz0DY+dTHk6LLJ+2jbgf9&#10;zEWAjEOEOKk/VyFORDeA3xv48uD3CiLc6ZXlNVJHawlxv/xzXdb97Ck/OOPddP0MBqM9R3UqNUak&#10;sswhb9w1rKZ/nBDXLMXlIcRNOLN/k9yW5venfS9LiLv9PP9SlVjRTklxjV1SqR6ZJAaDUUFRcULc&#10;uHp30e0r3Iy197jVz93oXm+Y7D48OMF98vkkt++jce7tPRPc87uudU9un+5ea5jSJMQdHB9Ic7gB&#10;azw00e3ZX+cWPXFr2VeIs/KWXbUoSvqAzIGyWClJy1IQlLTcIqs0aUQ4EekDr2gL7UPQ0X3y9bvQ&#10;8lHjkjQtpGCsqNuuVOYTZkTAQXktG6G89AuvukwcskqUrxzOoQ70LyoPBCk5jnNlx4kxylhlLAjk&#10;s/IZ8klIPTJXGLs+92FzrtuwchauKwnkE3kJr8iLeQkT4iTQr1yuDS2koSzmC2WlvK7fdz7Crh+Z&#10;Vyuo2f5LOdSt01Aebds5ikJWMUNgrvAefZC6EGhPl9H902UAfpZrEaGvJUHXK6+5zD/ySeBnmy5I&#10;O3gNS8u3D1F1C3KeETZNf65QB+Zbp+k5tucT17aeY/k8AXvtIHz9J8Ry0jWbV7T6CnETbn4ou/1a&#10;d8yMeS0eihaL8zc86Fa8caN7N/NHCCK94b6r6edxwR8t4FXe70+/x8/vfjjevbZnilvw2i1uxIZl&#10;3vqLBeQniSfVKmLYRtWXX6OFNIhsvjwAshWELCuiaQkL0ltYmxDvUBahj7cXIU7GhvClFwOJsLFr&#10;MTHJuY9CC3GQ0NIfvwAtt2khTq/shl9A6y1T44Q41C/lId75/lI7CRDpUIdIexTiCCGk49DRhbiX&#10;XnklWOlt5YQrg21Q555/qrtneN9gpbh708xL/wwBbsHIptXj7hmePn7xmW7NdXXu+WeecTv2H/TW&#10;WwyiHvJrAUTSkzyYhxwCgUNW7/HhKydpUdJGmHCg5T193IeM2eYNq1sTN35IHxAu0Ias1mPxzbX0&#10;yZeWLzgPIqAImKew85Zk/EI+5zjJtaPPTRJyWY0L4JpGGbRj50bwXX9RaULYOQw7bkmaz1KOec2l&#10;b1JH1FyBuH7HXY/6+ymXtmzepHUAEdPsSm1y3K7sFUfcGIWwfHIsKT5BCnOD74Woa8SeHz2fulzc&#10;5xGyoP1eRHl8n/jyR1Gs86/T7Dg1ST4DYedJH09C1ApxUX0EWlAE+J7DsULlw0KEOP3HdXrFeAt+&#10;T4E8+L0BfkfhQ+pBXjnmq0sothB38W+uzLqf/c5pZ76arp/BYLTn6Nypai6EsupOVVsyh7xx9zk1&#10;Y6wQl71tamFC3BUDvx2IbcdVV7uZw05rFuJuGTE4UtTTK9xRimMwKjN6DxiyRd9g9B76c+8D4HLR&#10;a+xm98Pr17rfLVjs7tw8273w1tRAhvvsn1MCIe69vXXu7d0T3K7dE13DB+Pd+5ktU/GAds/+se69&#10;fePda+9McXduusMNvWG1t4180XKJFiuAlVt88keU9BGH1O2rV4QThBV/AKQQEUp80lGh5aPGpdNQ&#10;B+bK5tHti6QlSPhEFfRTQksycWgRxo4VQo0N2yedR8uLUTKaoKUq5Ndp+vpChNUBfHMe134+11+h&#10;14Zct8ij50qjpUjbb3v9+OoIm1M9n77rLhf0ODEme00AuS7kvb4+MTe+Mjimvzfs/BY6/0nnQNrB&#10;a1gaIp8+RNUtRF2bcl376hbkGsJc6uP62vB9h+B6Qr0SvjyEWPxCXHmX7z/hqsmP2/a73ryoxUPR&#10;YvHjh5e6+jdnuM++nBwA0U1+8YWfd++vC9jzYZMEJ1un4ucPG8cHaat3znQXbXzQW3+xkO1SZZtM&#10;iSjBDWiRDmKaL48GUpvdelOvLgdhTaf5sKIWhbjkSISNvZh90EKc3lZEjgEtxCFdr+CGv6jGMRD3&#10;S2Qtz4WtAJcEqQe/4MZ7CnGEENJx6D34nKz7QxHiOt9fPzT9b0NZ4pyf/OJV3YdyCnHb3v3Avfji&#10;C+6x5Uvc6ql/c4t+eZ6be94P3IKR/dz95/UPpLj70q+LLxgQbKk6/0eD3QN/+qXbvOBu9/Ibu7x1&#10;Fou4h/z64ToexEc9mIcMFiVIaXQ5QdKi5IYw4SBsBSUfMmabN6xuTdT4IXuESVYa31zHnYd8EUHP&#10;Sig+cSXJ+As5x1FzJ5RqHoBexSsK3/UXlSaE9T3pmJLms5RjXnMpL32JmisQ1++46xGfN0nPpS2b&#10;N2kdQF9DIpfhMyHH7OpjccSNUQjLJ8eS9N2HFomjsOfHnjv9/ZtEbkMeuaYEvMdc+vL7KNb5t2PR&#10;aZokn4Gw8xR2PClJ+yiI+Kv/PcLP+YiHQr5CHFaHT/rHdSKv5UrU7zOKLcTVnj8q6362z4Ahc9P1&#10;MxiM9hzVnapWZGSyyA/8Xef0rbt7WE0eQtxhKS5KiBvU44RAaut/4nHutpGDlBA3aEWmC6GRJcUF&#10;pFpsscpgMFovKk2I6zm23vWfvMGdd8sKd83Se93q5290O9+b6N7f37QSCcS3Dw+OD14hwuGBK37G&#10;lqrv7atzW9+a4lY/d5ObsGyeGzx9rbeNfLHCUlhAzvDJL/kISUISYSVM1AFalrJphZaPGpdOCxOi&#10;RCRCWGlHIkzmkchFZEE/JCDM6DQZZ5SkJXm0fIN5k4gSf4AIOJCI9HF9faENnWaxc67Pj0+GA3qe&#10;w86FpZBrA5KiRNT50XNnV+RLcv0A9A+hz4kW0ux5zhU9lrD5BVoW0+JllIym67b9LPSzqa+pqD5I&#10;O75rt9A+RNUt2OtZIxE173oOdR+lbftZ0+jrL5fvEdJxOemazVvS9051+t4JZG6ryhJeIW728hYP&#10;RYvFiA3L3aLXb3bb358YSG/YHlXuxd7bP869vmeye/G9qelX3Is1/aECgBCHP2oA9W9e536y6QFv&#10;/cUAkpoEtu3EMZHUsGKbza/RMpoV3ZKgBbU4+S4MCnHJkSi3ECe/5MWWqHIMaCHOimy5CHHyC+yw&#10;rU2Sgm1VpU38YpxCHCGEdBw6uhC386ND6fvVD91LL211f19yr1tz7TXuwat+7u6/fKSbP+pMN//H&#10;g928Hw1y8y463d3/s3Pdsqt/7R6afaN7atPDbtt7+7x1Fou4h/wQFOShOvJEPZiXugAEALt1YJwU&#10;oMv60kES4SBuJRzpp12FJ65/IGz8ep5EPLD9iJrrqLRigf5qmc2uFpVk/NJPgPy5nOOoa0eQ+jGH&#10;vvR80W1jDjB2K99IOsagj8elCWHnMOmYwsrHUY55zaVv0peouQJx/Y66lgRJz2XLTHvdy/G4/gry&#10;OZc2tSSXi9AFkowRhAm/cgzp+ngSdNsob89B1PmxaRi3SLeYH/u9EAa+I/XYfKJuFFKukPMfNU5N&#10;ks9A2PnUx5POjSZpH33g+pRrFq/5rhSXjxCnZTj8UVzcSvP4fYbUnwtox1cfKLYQp+8jAf4oOV0/&#10;g8Foz4GtUjNCXOQH/u5h/VaUUog7uWuXQGYbecpJWULcrSMGJfoiwspwWCFOSXFl+484g8GIjkoT&#10;4kDvunrXb/JGN/Lmle4vS+539zxyu3vqjWsdtt/6z/8z3X3+FVaNm+waD01yB9N8+fU093/cjOAG&#10;bPVzs9xfl9znRqTLfn/iw97680XLJTYgi0AKiZJOoqSPOKKkkkKFk0LL55smREk7Ej4ZRgtPuawQ&#10;B0SgsqtOyUpXqE/ENZxXXx69xaUeQ5S4A/ScaMkrah4suo6oLSM1EH+k73hFHXa1L0sh14Y+nrQd&#10;Ky6F1W3RAqM+LvUicB6TioAW3Y8wKcwibWtJLwwJKwQWMv8g6TUV1U6hfSikvO5/0tDjlLDzapFA&#10;P3zphBi2trYQd+Loq5+17ZdSiBuyZqWb9uzdbv2uG9xruye7PfvHuYOfTXQHGie4hn0T3HP/mObq&#10;37zePfuPqa5h74TmP1oIhLgvJqeZ5Da/db37yaal3vqLgd4mU6Q2iHESWAXOlgFapINA58sTx5Nq&#10;e9awduIothCHfmxvPPxvI6RAvE+yep0lSV04FhWNX32dVSfOF+RBvbIeAvlw3IqJ+vzmG/nIilqI&#10;S3/0AiC5yTGghThLUiEOv1yWfBDafHmSgl+AS11Y1Y5CHCGEdBysEHfi6Gua0hZsKtsfp5914aUv&#10;6j6UU4gDOw98FqwU99Irr7ln//539/iqB139/DvdupumuZUTrnLLx/3Orb72Grfhjpnu0RUPuOef&#10;edq9sqvB7dj/ibe+YpHrQ379s30wL8fDpIYwWUCQNOTzpYOwOrSUErUKDmQAyWclirj+gTAxQR+3&#10;woUQNddJzkMx0OKeneck45f0fM5x2NxpUK/kyVfc8KH7FSYtSbqdl7g0IewcJhmTFopyvQbKMa+5&#10;XJ/STtRcgbh+R11LgswZXn3pgl4JzY5fjsf1V9BzifMmc1OolBZ2XQL5zFqJVwTXuPH7kH7bOoWo&#10;8+NLg+gl/UR/osZjyeX60hTj/EeNU5Okj2HXLP5NkONR/z6FkbSPYRRaHogQd1gwixbitAyH1yhp&#10;LRdkHPZ3H2FIH4ohxG16cVvWvSzoPbC2bFv/MxiMVoqkAtnd5/bbUiohbsKZNZk+VLnfn/Y9u0Jc&#10;4i+ijBTXJPilqU6l+CXGYFRA9Bk4ZGvWDUYFCHHCt8dvcoOue8j9Ys5SN+/R292buycEW3UdaGza&#10;KlX46JMJ7vOvprjt705yN6y/x51x/bpgpTlfnYWg5Yx8xIkoaQRAtMEKURBHRNiy4ZNKChFOQKHl&#10;800ToqQdWXkKopSWvZBPr7SWVFIStEQmZfXKcTqPlrT0SlRarkLfJOwYLHpOdN6oebDoOuT8IeLE&#10;QPTZXlsoHybSFXJtRK0aZtFj0MeTXD8gLB/Ora4bgfHjc5bLNZPLWASZ56i5EyRsXul7VB1Rc5T0&#10;mopqp9A+FFJe9z9J4LOq5UsJ1K/rtUjE5SMk4Or6hkoU4o6et77FQ9Fi0W/lWvebvy90s7fe4Z56&#10;51qHLezlfuzdfePS35GT3XMN09KvU4L3+z7G6r2ZLVMPYkv7Ordm543uwodLt2WqCFtaakuybWox&#10;VlvLRWYLo5hCnBb0fJHLKnhJ68pFiNOiYligPr2tbGsLcZDZ0h+9ACu2FUOIk+1YQSHbpQp6tTkK&#10;cYQQ0nEIE+K63LexR/rfhbJEawtxmh2Q497b67a+9oZ7cvMm98iiecH2qE+sW+Wef/pp9+qut93O&#10;9P2Br2yxSfKQX8s6IjwA+2BdjoeJJWGrHAmSFiZbgTDhAH2UvuE1TMbQfbD9D6tbEyYWhB0X9Bz6&#10;5jrJeSgW0g97nvT4w+ZP0vM5x3qOwqRBnScfwSiMuHMLmUfSfWOLShPCzqGWYXxjwlzrlftyvQbK&#10;Ma+5XJ/STtRcAd0n/GzT9TkLux51nrD29Ln19T+uvAVClS4jP4fNfRS6PL63fKuH6Tx2S9aotDji&#10;zinqk7rt+Qk7d1pMTnKtCCKs5VIG6PHjZ1+euPOvxxJ1DuPmC+j+6OO4fvOVBUHYfCdFX7P5lAdW&#10;iMP/6+3/9YVSyXBAxpFUiJP8o8f0944rF1Y+9lzWvWwTQ7jAEoPRniOVSlWJPBa3zeicYf0aEgtx&#10;GSludkIh7oqB3w76cFx1tZs57DQjxJ2W03+o02M6orpT1VYZ19FHHtk5k8RgMFopWghxw0f7HwC3&#10;Ej3H1bvB09e5qxYudAsfv8U98sr17olt091T26e7p7df6x57/Tr38NYb3PJnb3a3bpzjLp3zYCDS&#10;+eoqFC1n5CNOREkjEJUgc8RFpQkrhaQJUdKOFtDCIm5FNh9afpPy0leZB51HRDOR5CA7SV0AgpVE&#10;lHgE9JzovFHzYNF1QOwS+QrXkBb1wsCY5bxL4L2VxAq5NsJWbfOh+6KPJ7l+QFw+zKeW2hCYsyRz&#10;BXIZiyCf56i5EyRs3kLmHyS9pqLaKbQPhZTP5TPhQwL1+9IFibh8hARcXd/oE+K615x9RObWquTx&#10;rV/9ebtt3z4QLSY9H3zInfvQCvfXJ+a7dTtvcLs/hBA3KVgJDtLb7v3YOrUueMV7bGcPEQ4/v723&#10;zr34jynunldudec8tMxbf6Fo8U22SxX0CmRYDU6nAb29JqQrm54ECbsKWi5oIQ7CWxRaKLNCHCQy&#10;CQhgMma8YnzoY1IhLp+69Hzq4xopC9kO45HjqFeXh+SoywkSPhkQJOlDUkSI08Ka/UVzMYQ4nQ8r&#10;vKE9+SW40L3HN4PjcVugAP0X5RTiCCGk4xAmxKUWbalK/7tQlhgy8uJndB9aU4gTtu/9yL28fVew&#10;GtxzTz7lXn71NffaO++6nfsbs/Lt/PjzrPfFJMlDfqBFB8E+WNfSnBYL8LO0I+hygi6P9lA/BAPd&#10;TphwYNNQB8Q6lAWQO6R+4NtiL6puAXVJHt0vLRxAbhKxBeIDxqLb9s111HmQFalQh00LA3kxRttH&#10;vVKSTgP6HEOaQjrOnRYU9TnK9RzbOUIZtIE+aUFE1yP9kDTkQzmUQR/keBx6bCiLvuA4XnHeUZek&#10;470tH5UmRJ1DLbxhTDJ23ba8+spHUY55jRqbRdqImiuA9iWv7ouQ5HpEv/W5Q//ku0PGI2nI5xPO&#10;JD2uvxo5n/rc+fLFgTalfUF/b9n+6/MJ7PhRnx4jrg3MB+bPnjtdN74fpW6U12nAnh+8D0uT7yug&#10;zxX6INe+tIVXLd4lPQcy/8Mu+nHW+PM5/7l+fqI+A/p8RqVJO7p+tIn5wnesnVO8l7I2TcDYUNZe&#10;A/hZX6+6zVwQIc7+fsD+fx/HsD2q5MHvCfD7hjByleWk3iRCHOo+3I+h3nHlwpxl67LuZcEpNYPK&#10;dh/LYDBaIYIV1TLiGOS4zGFvQIYrlRA3qMcJQR/6n3hcRoY7LMTNPLsm5wc/zVJcp6pG/Jw5zGAw&#10;WikqXYgDfeo2uR/OWOsuv2epG7v0Xjfrobvc3ZvvcHPq73CzNtzlxj64wF18xzJXe906972JG11P&#10;Tx3FQMsZ+YgTYdIHJCSRZ/AKWcluMRkllRQinIBCy+ebJkRJLyJ6oR7pJwLHITjFbcUZhcy5bKco&#10;K85BbrN50BbeS3/0dqlAjyFO0NNzogW0qHmw2HnV8h7GkXT1M8yflr3suAq5NvTxpFum2i1sw+q2&#10;JBXWMC+6TtteGLpM0rmVMeGa8aVrJIo5/yDpNRXVTqF9KKS87r/+XCZFQj7jYUigH750QrK4ur6x&#10;z8DBY/S9EyinENf9Z79/y7ZvH4gWk+OXPOy+u3ydu2DDg276c3PcxjdnuNf3THK7948Ltq9v/HyS&#10;+/jTiQ4r9kKEw+uhr6YEW6q+8O5UN/+1W9xVjy1wA1au8dZfKFoQs4KWTvMJb1qe0nJWLkhAavOl&#10;J0ELcbmElcKKKYPlU1cx2od8J+FLl7BjF4o5ByLE6V9I218AF1uIk7/yDgNiXJwUd9bQ4w/npxBH&#10;CCEdhkoQ4k4994LXdB8u/s2V3geeZeXjQ27H/oNu+/sfum27P3Tb9x10Oz78xO386JA/fwlI8pBf&#10;kIfqgn0wjwf8Ot2i5QRdTtDCgEavfBQlHAArcvhAHl/ZuLpBlJigRRAf0jffXEedB0kDNi0MyR+G&#10;bw4gSmi5RMAxyVPoOdZj0WiBA/0Iy2fRdcdhr18NxghZBz/jOrBlJZ8vTYg6hxifb24FXDty/fnK&#10;x1HqeY0am0XqiJorECf5JLkeQdzcAqTrudBInrj+arSsB7T4lQtyzoGtUxPVfxwXUTUKe+4ggkXN&#10;Gz4v8pmx5yfu3OnrDOOyx3ygraSylpRBnYWefxDWN11G8uBVl9Xo8+lLj/s3Qsh1vm2eMORc5IMI&#10;cQsWXthcn+/3CDim24wjaqU5H1IuiRB3++xhzfnrt/zGO65cmHXvkqx7WUAhjsFo54FV4ZIIcXeO&#10;qOlRSiHu5K5dgj6MPOWkLCFu/Jn9XXWnqi2ZbuQcR3Wqmpn5kcFgtGL0HljboG8wKlGIA9/B9qnT&#10;H3Ijb17hLpuz1I2+d5H77b2L3eX3PODOu3mlq5m8wVuumGg5Ix9xIon0EbblZZRUUohwAgotn2+a&#10;ECbtyOpwSaWlXNErhkHYktCrhkkeSE1aOtP9BLq8yHNhiFRnRamwefDhm1eIeBJxApAl7Boo5NrQ&#10;/YmSBKPmTtcdJaKJuJiP4OZLt+QyFvnZXl86nyaq7kLmHyS9pqLaKbQPUt5e7xpZeRGhj+OcS8R9&#10;rnzgekBEta0/1xiHLw8hltYW4npcfMW7uu2eZ1/Q4oFoUbm/3nVZtMn1enC9O2vdcve7xxa4+16b&#10;5d78YIL72k13//yvawMx7uBnTRz655T0J+oG9+mXk92qHTe6X2xeGGy7evySTf76C0RWgdPbpQp6&#10;9TjfimNanmoPQhykPwm95Wg+5FNXMWS0uDok7NiFYvRBECFOC2b2F8DFFuLwl954r/+KGz/rPmAr&#10;VF3eouujEEcIIR2HUCFu7pay3acOPGtk1h/dVoQQVwHIA3rIQL50jRYv8OqTF/BQHnVpQQHv5SE+&#10;jgNbToBQoOUOlIW4IemymlBUHdIHXQ9+1v3wkaRuzIHU6RMsIBxouQJ1QRLDGKQs+mHL4VhYmq7P&#10;poWBcaJdLYGhL6gfUpuvDEAfpS8A86aFRFDIOcY1g35JWbz65DyAubTt4GfMB64TfV0kAW2jnJ4T&#10;jA/HkCbn344XSB98aYLMG1596TJ2e33LvEn7YeWjKPW8xo1Nk2SuQNxnSfJI28B3PQI5t/qzAmRM&#10;SLdlhKT91aA+PX9h/Y8DfZM68F4+W3IM48V5jLvW0R/0344f5VEf0nxzgHrtNYnPh4hT0hc7vrhz&#10;h7bkc4a6cQxt4d8b3znKZe6BLov3aC/f8w+QHvf5kbnAqz6uwTikvC8dyHeznnOAvmJ+5PtAEzff&#10;gny2dd34Ge1FlUuCCHH4Azip2yel6VXZkpCrECd/pIeV53zpmtFj+qo2pnjHlQtXTpyedS87ZORP&#10;/jtdP4PBaM/ROZUaKkJc5pA37hpW0z9eiGuS4nIR4sCEM2uC9sEfTvtelhD3l8H9guNY7Y0rvTEY&#10;bTdaCHHnX+V9+Nva9Bpb706p2+S+O2GT6zdpo+s/5aGAfpM3uu9NfDhI95UrJlouyUecCJNG4qQV&#10;SCEiUZVSWMm3fL5pQtj4dVnfvBSK3o5VVhiz4ozOI/ME+UrnESQdEdZfvbUqxqfTwubBR9i8agnL&#10;1h+FlLPXQCHXBq5bEdXwGia06dXd7Lh13ajDt8WpzpN0FTEtofnSLVrawzXiG4vUKe/1+QybP/3Z&#10;9s1RIfMPdB/CZFsQ1U6hfdCym++61mURNl3aR/jOfxS6bd+1gfrkGkWgLzYPIT76nHbuX/S9E2jX&#10;Qpzi+MUPu4GrVrs/PT7fPbzrevf2BxPdOx+Md7vSr7s+mOB2fjDJ7dwzMX18vHv+H1Pd9Ofvdv1X&#10;rfPWVQyitksVtGwWtcXnza81ZKUlRcIn5CVF99GXroG4J2GlMGw7+uW/mr7X8Ip0O+ak5FNXMWS0&#10;uDok7NiFYvRBECFOb19qfwFcii1TfXmA3hbFly5QiCOEkI5JmBCX/vegbNHvjHPf1H2gEEfaCiI3&#10;RIkYhJDyIvKVCF/5YIU4Eg/EOpmzXEU6kj8ixAGsDI/5x+8i9P/1Kw3pJ/6ArxhC3C//XJd1L3vu&#10;JZf/K10/g8Foz1GdSo0KZLROVY2ZQ964+5yaMcUQ4pqkuGwh7mf9egfS23HV1e7GYadlCXF/G9Jv&#10;q8hylOIYjLYbbUWIqwS0XJKPOBEmjWjZBisaifQBOQaSjQgziFIIK4WWzzdN0POqhRl93AbmBP2F&#10;TGVX1coFLcMgfKtQ2Qhbqcr2F/kgIeE4+ijzjMB5tvJT2Dz4iJpXWRULoSUozBXAMWkbr1GSXjGv&#10;Dcw1BCWMDaBdfW375lWXl9B1iMiHsEIZ6sdcYO71Cm0Yv5z3qHFZtFyFfqN+9AH1aalPl9HnXJcB&#10;qE9ff77ruND5t98tcj1i3vRcRbVTaB/QngTGi7w4hvHqa1Uirrw9n/i+lHONunVZ5NNzHHXtIGx5&#10;QsLoVXv+BH3vBMopxJ10wWUf6LZ7jhjV4oFoKcEWqj9ct9z95fH57raXbneLXp/lVu24ya3ePtM9&#10;uO0mN/eVW9z05+e43z26wJ21bqU78YGHvfUUgyf3Hf5uDpO19EpnVprTaWGCVRyNXx3+t8yXnoRi&#10;CXEAq7npPiFQv2/L2DhyrSsXGQ11YNU+WeHPF75yEu1ViPOlCzqfXkHOQiGOEEI6Jn4hrj7yuUKx&#10;o++Qc3boPuDBpu+BJyGVBFb8SV++wYpDcatEEULKg5ay8t0uFVCIyx2sdob5wgp0vnRSGrQQh9XZ&#10;5LqN+qO51uTp50c39xFbpxZDiKs9f1TWvezv6qb9Z7p+BoPRnqM6lRqTEeIaMoe8ka8Qd1iKCxfi&#10;BvU4IRDe+p94nLu9WYZrEuJuHTFoZrO019TPxi6pVI9MtxgMRhsJCnHJ0WJGPuJElDSiZRtfiLxR&#10;CmGl0PL5pgl6XvGzTtPSSlRE9T0KW78WyAQtOyF8eQTIOnEBccfKcCBqHixR84q6RfDBqwiWcp7D&#10;wtevQq8NkOQcIo+vrK47am71OH1lfeErEwXmJm4OrdSGMj7py4YtJxRj/sP6rMce1U4x+hB1DWB+&#10;9Ln1lUe6XNNRgX74yoYF6kS6jNFXnhAfvc66bKy+dwKn1AyqytxalTxaW4gD3ZducINWrXIXbVzq&#10;/vDYAjfxmXvc5DTXPDnP/eqRRW7ImlXpPBtd10X13vLFwspacWFXcYPwJeHbUjUJKCeR7zalxRTi&#10;BAhnul4E3mPlN1/+KJLWlURGQ5koCU6Hr7xEexXi8EtlXx6QT30U4gghpOPgFeLur498rlDsoBBH&#10;2iKyOhzEGV86IaT8yNaYoJCtKCnE5YYWEX1bi5LSoYW4lrJZy//3tzYi7WG71CZpr3AhbsAPh2fd&#10;y/556sxP020wGIz2HEmFuLvO6VvnF+L65yHEZUtxJ3ftEshuP/puT58QV4f2O6dS/SnFMRhtN/oM&#10;HNKobzIoxIWjVxvCikS+PFGgDAJ1+NK1mIFAPogkaBfyCgJyli0nwpYvTYhqu9Dy+aYJMjaEFZRE&#10;pLHCFEQjSGPSd0Q+MouW0NBHK4QBCHASUeMQcL7QXy1CoRzOLc6xrwyImgdL3LyiPNIQMnfoF8RL&#10;fY0h8B712TpAodeGIOdKrwiHn3EsSv6zopU956hDPiO2LM4l+obxyVwgcF4wD75znYSoz6kvP5Ay&#10;th9x5Yox/xgn2pG2pb86T1Q7xegDwBzoz4SIcEiTaz+qvFy/ug6EzGPcZwv9t3Mgcy9jDPscENKC&#10;c381Td87gbIKccMvPqDbPumin3sfipaSLgvrA+HtO8vWudPXrHJnrVvuzl63wp25dqUbsGqN676k&#10;9BKOltlyCbuSnGwLishne1GsOiex9cCn3jxxlEKIEzAmLe09ue+gN18S4upKIqPpsSK/lQjj6pAI&#10;G3uSPiSlXEIcfsGdJJ+ujyvEEUIIsfiEuOqFm7em/z0oW3z7tB/u1n24cuJ07wNPQiqFu5YsD+6Z&#10;uBISIZWFiKqFbJcKKMTlBlbjw1wVsiofyQ8txAFsQ4pz0bQdafb/+SsB2S714lG9MscKE+Ke2tGQ&#10;dR8LJsyaXdaVjhkMRitEUiFuzrB+M0shxE04o1+T5Jbmr4O/30KIu2XEoFGZLrSQ4vA+k8RgMCo8&#10;rBDX60fX+B/+ElJmRLKB9ORLF0SQgXDkSydtl7iVxwghpFVoZSGu19kXfKLb7nHJaO9D0VJz9ML6&#10;gC6LmgS5APycBsd9ZYoJ5DOJOJENK5xJRElcSVeJ0+1hxTMt1SVZJc72t5RCnCBt4NWXngthdSWR&#10;0STCxLy4OiTCxp6kD0kRIU4LZvoXwKAYQpz+6+/RY/p68wAR8/AX2L50QX5xDijEEUJIx4FCHCG5&#10;U3vO8GCr1EJWoCKEFBd8HtP/pAQUKmZRiMsNfB9CEH7urd3edFI6rBCH3yHItRu1knxrgD/Qa9m3&#10;woS4TS9uy7qPBbctXn4g3QaDwWjPkXjL1GH95iYV4pqluARC3M/69Q4Et+Oqq93tI09vuULcyNOH&#10;ZroQBFaGa5LhMmIcpTgGo00EhThSqchqYnErv8lqXRTi2h8U4gghlUivEb+bpe+dQO+a2rKtkt2r&#10;dvgXuu3uv7jK+1C0vSMSmt0G1YeW1rDNalgaIkoyg+yG9qJEMKRHSXGSF2KbHBPBDKHz+shXiBOB&#10;sBhCXFhdeh7sdqqCRFjf9Qp0vnSJsPK6D770XPAJcXZltmIIcUD+uhqym2/1N72K3OG/wPYj4hzq&#10;pBBHCCEdB68Qd//mLel/E8oWp/zgjHd1HyjEEUIIyRXZLhVyFrbw9OVJiq7Ll05IpWCFOP1/e/xu&#10;waa1JvhDPvQr+w/6ChPiVj72XNZ9LJi/5uH96XYYDEZ7jmIIcXMKEOIG9zghENsGpV99QtwtI05r&#10;8dDHSnHpMTSvIsdgMCoz7E0GhThSKUjY7R012A5StkHEdoq+PKTtQiGOEFKJpO+VKMS1Mje/dng7&#10;c6z+5stj0SvKWWFN14eANIetUCGfAbShRS3f1qgQ4XQgD+qVOrAiGuqV0KvEFUuIQx8B2hUhDa96&#10;W9cwkcyST116JT6URV9RXq8GJ3MACRFpchw/63lASJpGopxCnP7L7AULL1S/8M0W4iCyIa8AcU3K&#10;XXvdmVlpug6AeiUvpDidX9eDtLi/Dkce5MVKcRTiCCGk46DvDwGEuPTxuel/E8oWpwyszVrJeOwN&#10;t3kfehJCCCGEkMP4hLi2RWFC3Jxl67LuY8Hj297anbnFZDAY7TVyEOJWiBDXUopLIsQdluK0EHd8&#10;dXUgtf3ouz09Qtwgd/t5/m2BUqlUVXWnqq1KihuTSWIwGBUY9iaDQhypFHbtO/zgGVLcn5e83pwG&#10;EW7xM7ubV5GDFHfpnBezypO2D4U4Qkgl0vPi8Xfb+6dyCnF9Tj/ra9125mFnh0LLbWErkVm0SOYT&#10;2pCuV4oLC0hbvjZxTPcrLNCGlfiKJcRZocwGpL2k85VPXXjvm0MckzwQ36JCz6GuW5AopxC3becf&#10;m4U0+5fZWoiTPEnwSXFafPMRtnqcRm+/CqmOQhwhhHQc9P2hukcsqxBn+zDtjrneh56EEEIIIeQw&#10;DQcebdO889Gz3nElZda9S7LuIcGjr725LXOLyWAw2mu0phA34Yx+gcwGpp09wCvEZZr3RiqVOkJL&#10;cUcdmarLJDEYjAoLe5PR6+KJ3oe/hJQbCHCy+ltUIM9dWxq8dZC2DYU4Qkgl0vOSyYvt/VNZhTjT&#10;dkcU4kS68oltUcgqbnbbVAFCF1ZAgwymxS7kR1uQ0XzlNMiDvHbFONSJun1CmkhgWhwLAyvLSd9Q&#10;n03DamxWZpO2dd448q0Lq+9hdTgJWW1P58EcIY+eY1lRDuk4HjYXYWMXcBwRVj4XRIgDsqUptizR&#10;ApoW4mRltiSEiW1YKQ4ru+m8aBtyG8Q8XxmNXmkObVCII4SQjoO9Rzzhyomu8/2bZ6b/TShLdK85&#10;+wjbBzzc9D30JIQQQgghRMA2+/Y+ctfHX2zN3GYyGIz2GomFuHP7bSm2EPezfr0Dke246uqMDJct&#10;xN064vTIPiEoxTEYbSPsTQaFOFJJYCW4dS/vde9+9EULOQ7HkIY8vrKk7YPzi8C596UTQkhrUGlC&#10;XPCw0/NQlBBSGFqIGz2mb7NopgU0LcRVAtJPyHl4TyGOEEI6Dr57xKPu31S238efUjOoyvYB21/5&#10;HnoSQgghhBAi/PLPdVn3kCMu/RWFOAajI0RyIa7v1pyFuIwUFybEDe5xQiCxDUq/HhbiTtcrxCX+&#10;EqruVLVFpDj8nDnMYDAqIHx/vUkhjhBCCCEknJ4/vXa1vX/qWTOof+b2qqThe9B4wl+nex+KEkIK&#10;QwtxWG0t/REMwCpscrzShLiqqm8EfcT2q3hPIY4QQjoOLe4Rr5zoqu+rH4V7yHIE/kDE9oFCHCGE&#10;EEIIiePi31yZdQ+J9xTiGIwOEK0lxN147g/c8dXVgcB2xcBve4W4W0ecnpPYlh7DXJHijupUVbal&#10;2hkMRnR4hbhLp3sf/hJCCCGEkDS/uPkhe//UmkLcceNneR+KEkIKQwtxPtkMVJIQp6W9lWsuCY5R&#10;iCOEkI7B0fPWZ90fgqYtU+uH4h6yHOET4hZt2OJ96EkIIYQQQohQe/6orHtIbKG68+MvuMgSg9He&#10;I6kQN2dY34ZiCnF/G/z9QFwD084ekCXEybapuQpxiPQ4ZmbGQyGOwaiQoBBHCCGEEJIbJ11+2+P2&#10;/qlcQpzvQSOFOEJKgxXirr3uzEA2k+1IQSUJcbJdKsQ9OUYhjhBCOgZeIQ6rCJdRiMP9sO3Dysee&#10;8z70JIQQQgghRLBC3NgbbqMQx2B0hKhOpUZlBLLGzCFvJBfimqS4OCHuZ/16BzLcyV27BNun+oS4&#10;Geec+kim+ZwCMhzGlXnLYDBaOXyrjFCII4QQQggJp9KEuG5TZ3sfjBJCCsMKcdt2/jGQ4dIfRXf7&#10;7GHBsUoS4mzfAIU4QgjpGIQJcV3u29gjuIksQ/QeWDvK9mHTi9u8Dz0JIYQQQggR7D0khTgGo4NE&#10;51RqaLmFODC4xwmBEIfXMCHuD6d97+suqVRe/6FOpVLHZn5kMBitHD4hrucvZnkf/hJCCCGEkDS/&#10;vGNri/unMglxvpU3KMQRUhqsEAeuHntqIJ31H9A5eF8pQtyChRcG/ere45tZxynEEUJIxyBMiEst&#10;2lIV3ESWIfoMHDzG9uGpHQ3eh56EEEIIIYQA3C/ae8g5y9ZRiGMwOkI0C3FpMoe8UYgQd1iKOyzE&#10;YWU4tHlenx6hQtwVA78d5En3sSwPfhgMRmmCQhwhhBBCSG70vOLON1vcP7WiEHfMjHneB6OEtEe+&#10;v3ydW7fzhkgWvnaz93iuPPLWde7Rt/2M/vv9btj65e6ch5YHr5WKbw4JIYS0P7rOXp51fwgqQYjz&#10;PfQkhBBCCCFEwIrC9h5y0YYt6bTPV2RuMxkMRnuN6urqXiLEpVKpIzKHW8Td5/bdGi7E9c9JiLvp&#10;3IEZ0a3K/eHU74QKcb8e+O3/lHwQ9zJdYTAYbSx8225RiCOEEEIIieDXc/a2uH8q15apnq2out68&#10;yPtglJD2CIQ4vQKaj5d3T/EeLyajNi319o8QQghpDcKEuMwtZFmiz4Ahc3X7teePavHAkxBCCCGE&#10;EM3Kx57LuocFFOIYjA4Sxxx55DdFOkulUqF/zVVMIe7qwd9rFuKuPat/qBB33Tmn3t25U1WD5K1O&#10;pUZlusNgMNpQeIW4K2b7H/4SQgghhBB38m/uOdTi/qk1hbjZXAWKdBwoxBFCCCEt8Qlxx119w4HM&#10;LWRZoveA2hW6/RGX/qrFA09CCCGEEEI02B5V30MCrBpHIY7B6ADRqVOnb4hw1iWV6pE53CJyFeKa&#10;pTiPEHdZv15Be9g2FTJcmBB364hBM7FqXXWnqq1KihuT6RKDwWgjQSGOEEIIISQ3ev7yts9b3D+V&#10;SYjzbUVFIY50JCjEEUIIIS3xCXHd/jbj3cwtZFmi94AhW3T7F//myhYPPAkhhBBCCNHMundJ1j0s&#10;eGpHQzqNQhyD0e7j6KOP/n+KbNY5lQp9wGKFuJZSXBIhrkmKG9zj+KC9wT1OiBXi0LaV4o46MlUX&#10;dIrBYLSJoBBHCCGEEJIbuFdqcf/UikLc0fPWex+MEtIeoRBHCCGEtKQihLiBtQ26/SsnTm/xwJMQ&#10;QgghhBDNtDvmZt3Dgkza3MxtJoPBaK8xYsSI/1FuIQ4rw6G98/r0iBHiTssS36o7VW1p7munKn5B&#10;MRhtJPDw1t5oUIgjhBBCCAmnNYW43gOG1Nm2fQ9FS8XRC+sDuqTpuqjeHbN4kzsm/Xrs4vTP6deu&#10;iza5LsFrOs+ipvy+egjJFwpxhBBCSEu63rwo6/4QHPfn6dszt5BlCSvEjb3htqyHnYQQQgghhFjw&#10;RxT6HnLAD4dLGn0TBqMjhBLihmYOtYhiCXE3nTsw01aV+8Op34kU4m4beXqL7VGrO1WtkPIQ5DKH&#10;GQxGBYdPiDt59Dzvw19CCCGEENLaQlztTNu276Foqei2eJPr9eAGd/rqle4nm5a43z56v7v6qflu&#10;/NNz3Z8en+9+sXmhu2Djg6523QrXb8Va962lD7eog5IcKQQKcYQQQkhLfELcCVdNfjxzC1mWsO1T&#10;iCOEEEIIIXFYIa72/FGSRiGOwegI0blTVWMgmKVSozKHWkSxhLirB3+vWYi79qz+OQtxCKwORymO&#10;wWg7QSGOEEIIISQ3fEIctqHP3F6VNPoMGDI3q93B53gfipaCrgvr3XeWrXfnrl/mrnp8gZv76q1u&#10;89sz3Ot7Jru3P5jgnn9vmnvwjVnulpdmu6ufnO9+9shi94PVq4NV43z1EZIPFOIIIYSQlniFuL9c&#10;uzpzC1nywL2wbX/OsnVZDzsJIYQQQgix/PLPdVn3kCMu/ZWkUYhjMDpCKCHOK6AhmoS4frkLcRkp&#10;ToS4y/r1CkQ2bJsqMlxLIe70SCEOke7zTCXFbU2lUkdkkhgMRoVFn4FDhuobDUAhjhBCCCEknEoS&#10;4nqefYH3oWgp6PHABvfjTUvdjOfvdA9uv8k99Y9p7u29493Bzya5L/5zaiAJbd09xT3y1gy3fMeN&#10;7s6tt7s/Pj7fnfvQMvfd5evc8YtbrhZHSK5QiCOEEEJa4hXi/jh5ceYWsuTh+4PbRRu2ZD3sJIQQ&#10;QgghxHLxb67MuofEexx/8+CXMzO3mgwGoz0HhDKIZUcdmarLHGoRd5/bd0sxhLihPb8VSGz9T+hW&#10;kBCHQH8pxTEYlR8+Ia7n7xZ5H/4SQgghxaJm8qMtOPP6J71ccOuzWeCYr858QLuo87J7XioI20fB&#10;12Yh2Dnz5SGlp+cvZmXdO4FyCXG9B9Su0O32HDHK+1C0FAxYtdZd//wc9/J7U9yeD+vc7v2gSQ7a&#10;91Gdez/9+u7+8e6dfeNdQ5rX90xy63fd4Ga+cKf7xSNL3PdWrPXWS9oP9XsOuMavvnYS2xsPuX6r&#10;nmxOx89bD3zqvvzXv4J0vKKMriMOnxC3becf3b8f8W8u/RFx9VsuL5oQh3pRJ+p++vnRWWkU4ggh&#10;hFQSPiHuxN9eMyu4gSxD9B5YO8q2v+nFbS0eeBJCCCGEEKLBinD6HpJCHIPRwaKcQtzgHscHAtvZ&#10;Pb8VKcQ1bZsaLcQhsKqdSHGdO1U1dEmlyvKQiMFgJA8KcYQQ0v4QWconlEHe+v3CV5sZt/wNN2P9&#10;rgD8jHRfnbmAtu9/6j23Y+8h99k//6uZYgfa8LWfFMwH+ljqKLSfMp/5zKGef8v7jf9sZssbHwbn&#10;39d+LuD6Wf3SB+6Fdw4mAu0ifzHaLic+Ie6UmkFVmdurkkZrCHHdFm9yfZavdxdvWuwefOMmd/Cz&#10;ie6/3QzXeGiS2//xeLf3QJMgBCnuw4NNK8Z9+fU0dzCd/uruyUGZa56a705bvdpbfyFAuAqLhs++&#10;cE/uO+jO3/SitywQeQv1+NI1N7/WEORFjH7i9RbpEL0k0LYWwXysbNgb5IUU5ktva2CufTHhhZ1B&#10;OuZDy3I6bF1R+IS4a687MxDXqqq+EbwXIe6soccHx5MC8U3Xq+u4eFSvrOMU4gghhFQSx8yYl3Vv&#10;Crpf8cep6X/DyhJ9Bg4eY9t/akdDiweehBBCCCGEaGrPH5V1D3nlxOnBcQpxDEYHiepOVVsyQlno&#10;hz43Ia5JivMJcVgZDm2d16dHlhDXUopLJsQhOqdS/ZUU1/gf//Ef/69MEoPBqIDw/QUnhThCCCkc&#10;LaX50vMB9c1+5J1AJILIJTKTlpyKEagbbfn6kAT0r1yB+fD1IQmYu3IFpC9fH5JQzvksREyDtFdI&#10;YJy+eiuR1hXihmzR7Z500c+9D0WLyXeWr3eX1C9x1z1/p/v729cF4tvnX011BxonuL0H6poFIYhx&#10;IsV98vnk4OdX90x2q3bc6CY8fY8bvKb4QlySgHB2787dkeUhsPnSNVjJTEIkL42NuJXPdH2+9LYE&#10;ZDcJvSocJEL5WQRABH7GMciKyCP1JMEnxEGES388AjEO70WI6z+gc5bwlgRdL1iw8MLmNKwYJ8cp&#10;xBFCCKkkfELciVf8OdHv74sR6XvUOtu+fdhJCCGEEEKIxQpxY2+4LThOIY7B6CChhLi5mUMt4p5h&#10;/VYUIsSJFHdy1y6BuPbrAX2KJsQhtBRXXV3dKXOYwWBUQHiFuKuWex/+thaQMrCKj6x0BEQ08eUn&#10;hJB8wHcLZCAIVhB7BIhMACtZQdgRII35pLSwQFoh8hZAH8oV+Qpc+L4uZ2BOfP2IA/+GlDNwrfj6&#10;EUe5+4lr2dePJBRDyCymQFpKWlOI6zNwyFbdbjmEuMGrV7qpz97t1u64wb26e5Lbs3+c++iTJhkO&#10;26RacByyHPJt2z3RbXrzenfD83e6M9eu9NZfCBJ7v/gqkNQESFZ6xTZElMRWCiEOIl7U6nTlFOJk&#10;i9IwMbBQ4lbPA5hjBM6VLz0pVojzCWsixGGb05VrLolFtlvt3uObWXULki7CHaAQRwghpJLwCXHf&#10;+tHl56f//SpL9BkwZK5uGw827cNOQgghhBBCLPoeElCIYzA6WFR3qlpRLiFOpLUrT/1OUYU4BLZL&#10;Rd2pVKosD4oYDEayqGQhDg/FIZ0kfcAuMgoe5kNiKYYwh63fsI0gJBaLbDFogVATht6msBjbEgoY&#10;q2yFWGyKKSeUsp+o19dmPpSyn6AY1yZAPbLlpcV3bfrwXdsC6va1mwvSR3wmtUwmiFRmEclMkM+3&#10;oAP1FNpXzIWtt1SRb1/LLZrhnPn6kQScw3IEzhk+U74+JAHSX7kCn0tfH5KAa7xcgc++rw9JwGe1&#10;kMD5pBAXH1aI63HJaO9D0WJy3sZl7oFtN7q3944PRCBIb1j9TX6WleHwKu+xlSp+bthb5155b4qb&#10;/+qtbthDy731F4JEmNAGAUzCl0eimEKc3sYVUp7NJ5RTiJNAm770Qkkylly2p43CCnHYyjT90QhW&#10;g5NjIsQl4fbZw5qFOvzsyyNtaGGOQhwhhJBKorWFOLut/4hLf9XiYSchhBBCCCEWfQ8Jpt0xNzi+&#10;8+NDdZlbTQaD0Z7j6NRRE4OV1TpVrcgcahH3DOs3N1qI6x8rxE0/q6ZZiLt68PfcHSNOLaoQh4AU&#10;xxXiGIzKikoW4goVAPBg3ldvEiDxlGslpkIkCQB5odQiD+pvK8JRofOJ8oVKHUmiEOkElGs+ITb5&#10;2k9KOVc0ayuiWb4rr+F7qVyB816ImISyUbIZrl2LyI8WkSQ1+PcB9RdDhMV1g7pQZyH4+gnwGShG&#10;P/GZRzt23ooVqAttFCLs4rzn+5nHuS7035ly0uvS6Vn3TqBsW6YOrG3Q7Xb/xVXeh6LF5CcPL3Gb&#10;35rhPvtySprJgegmUhB+3rN/rNuTeZU0WT1u/8d1bvf+8cG2qRdufMBbfyFIRAltWJFMwqZJFFOI&#10;Qz7UJxG2SlxHE+IkCu2DFeJ8q7flIsTJtqqox5cO9Cp0WHUOxyjEEUIIqSS6TZ2ddW8KetfU9kj/&#10;21WWsH+0cfFvrmzxsJMQQgghhBDNUzsasu5fwax7lwRpFOIYjA4SR3c66sxSCHHNUpxHiJt4Rt9Y&#10;Ie6XNadsyDSfa/xfmVcGg1EB0Wfg4DH2ZqMShLhiiR/5rhwEKaCcka94AnmgnNFW+pmvfILrpZzR&#10;VgQufB58/Yij3POZ74pm5RTNIB0VsqIZzj3EobjQwpSVyiBVQVoSIIMBzB/AdVmIFGVBXcWsj+SO&#10;nIMofOUKAdd5UnBdl6IPpcQnxHWvOfuIzO1VSaM1hLjmFeI+mJARhMYGK8BhVbj39o13b+yZ5La+&#10;Nzn9OjH9XlaLaxLiPvl8kms8NNHVvznD/WRT6whxeutUu52nRLGFOEhwEmF1J5HIioVEoTJaGEnG&#10;IlFoH7QQh+1O0x+LgPotlzcfTyrEoYyUv3rsqd48AFuxSj4R7yjEEUIIqSRaW4iz96hXTpze4oEn&#10;IYQQQgghGp8QN2fZuiCNQhyD0UGi+sgjv58R4rZkDrWIJEJc9raphQtxP/puz8g+MRiMthE+Ie7k&#10;v6z3PvwtNxAzCgmIIPkKXFi9q5yRrxjVVvpZbiEu31Xiyt3PfEWzcvcz39XsILiUMyDW+PqRhEK/&#10;b3xhhbRirRQmoC6A77lSik2EkJa0phDXZ+CQRt3uiaOv8T4ULSa1a1e5656b4za+eb17ffdkt2f/&#10;OPfxpxPdgcbxrmHfBPdcw9RgBbln/zE1eC+yHIS4T7+YHKwqt/nt69zFm5Z46y8EiSihTW9h2m/V&#10;k1lpEsUW4vBei3i+/EkksjAg9qH+L//1r0wNTWPAFrGSZ2XD3kxKeOj86OOT+w4G9ehAG5hD3xhk&#10;G9RCImwFvTC0EAeJLf2xCJBjIKkQJ1uhAln5LQxsl4p8Zw09PnhPIY4QQkglUQErxGXdo4694bYW&#10;DzwJIYQQQgjRbHpxW9b9K6AQx2B0sEilUt0yQtzWzKEWcc+wfjOtENdSiosW4iae8f1mIQ5yXBIh&#10;LtMvSnEMRhuOShbiAMQm2YoOUgkQySQskIYyhYonaLMcgXbylVhQLmouihmF9rOtzGc5+5mvsAlw&#10;jZcj0E6+8wkgqSVZ0SzfkM97vrKmBt8Z+M6BAAggLAIcA2gD6FWtREijlEZIx6J1hbjsdsshxPVf&#10;sdaNefR+d9fLt7unG6YFshskNwhx7+4b517ZPSV9/Fr3ynuT3bv764JtUgGEuI8asarcWLdu5/Xu&#10;Rw+3zgpxIm1B7LJpEqUQ4uJWictXiLv5tYZMKX+I5JaLEAfBLklogQ60thAn253iVY6BJEIcBDiU&#10;BRDjfHk0EOGQt6rqG8F7CnGEEEIqiePGz8q6RwTl2tIfYduedsfcFg88CSGEEEII0fiEuEUbtgRp&#10;Oz46NCZzq8lgMNpzVP//qv+/gajWqaohc6hFQIhLU1Yh7tcDvv205I+S9RgMRmVH7wFD6uzNRiUJ&#10;cblQChkF8guEGBFkNLK9oEW2H/ShtylEXkg2xegv+ggpqBSgr6i/o/UT9fnaSYKc4zCK1U9cn7gW&#10;fdeavS7DsNe1gD4WKpVqRCKziFRmEcnMJ5sJvnYIIaQc9Lp4Yta9E8jcWpU8bLsnXDnR+1C0mPRa&#10;tsENf2iZG/vkPLdh1w2BDHTon1OCleB2768LpLh39k4IXrF6HLZLRRqEOKwYB1Fu3qu3unPXL/PW&#10;XwgSYUKbXqVNRDWNxN4vvgoktyjiVnyT0O1o6c3KZPkKcbIqHPqsZTKIcpgH2w6Q8M0BQD2oF2NE&#10;PXolPdQnbfqkQpBkLBJhfUiKFuL+/Yh/CyQ1WbVNSCLE6dXlsPWqL4/GrkZHIY4QQkgl0ZpCHNqx&#10;bcvKHoQQQgghhISx8rHnsu4hAYU4BqODxf/6X//r/1MOIe7qwd/NSYi7beTpY9J9mqmluFQqVZZV&#10;ERgMRvHCK8R5HvwSQgghhJAmev3omqx7J5C5tSppYBU62+4Jf53ufShaTI5f8rDru3Kd+/HDS9yN&#10;L97pHn37Wrfjg4luz/6xwdapBz+b6D76ZII70Ni0XSpesVUqfn5x91S3ZNvN7m+Pz3Onrl7trb8Q&#10;JKzQBokLcpgERC67Xaoun2skFeLQpshkWE1N589HiEO7Er4+hCGRr4yG+ZTwtdtaQlz6YxEAWU2O&#10;gSRCnMh0suJbHNded2ZzexDoKMQRQgipJFpTiMPWrLZteZBJCCGEEEJIGD4hDseQRiGOwegg8T//&#10;5//8f2eEuMbMoRZx9zl965qEuGwpLpEQl5Hifj2gT7MQNzuQ4aKEuNPdLSMGjULbRx2ZqpNykPZS&#10;qVTZlmJnMBiFB4U4QgghhJDcaCnEDQn9v1oxw7f6Bh5++h6KFpVFm92xi+vdt5etc8M3LHd/ffJe&#10;t3TbrGBVuK/ddPfPf13rPvl8kms81MShr6Y4524ItlVdv+sG99tHF7ofrF7tTlz6sL/+AkgSkOWw&#10;JWi+5X2RVIgDWhbDNqa+4zp/FHobVl1XHBL5ymhxIl6SsUjk2wdBhLj6LZfnLcTdPntYc1n87Mtj&#10;gQQnZSjEEUIIqTTwRxL2PrFcQlzPmkH9bdsU4gghhBBCSBy4Z7T3kSLE7fzo88BFYTAY7T/+hwhn&#10;YSuwzTn3+0MLFeIu69craOPkrl0SCXG3jjx9aKb5/0fnVGqokuIau6RSPTJJDAajwqP3gNqZ9mbD&#10;9+CXEEIIIYQ00fv8q7Lundq9EKc4celGd/qa1e6ap+a7LW9d597bXxdskwo57p294wPe3pc+9mGd&#10;e3X3ZHfjC3e6U1ev8dZVDMICq7Jtbzzk3T5UIxG25apGS1+5CHEAq8Mh9Ep1SSQyH3rlO2xxGib7&#10;aSTyldEqUYjTglquQlz3Ht8MymGVuG07/+jNY6EQRwghpJJpTSGu98DaUbbtTS9ua/HAkxBCCCGE&#10;EI1PiJP7SApxDEbHif9LZLMw0Wzu2TVHFEuI+063Y5IIcY23n5f9H+rOqVR/SnEMRtuLFkLc6ed4&#10;H/wSQgghhJAmrBDXe2BtQ+bWqqTh246q29TZ3oeipeRbSze6cx9a4cY/PdfNe+VWt3z7TLd+50y3&#10;Ydf1bk36ddFrN7tbt852Vz8x343csMx1f2Cjt55iIJFEaPMhUWohTm85KulJJDIfEOq0FIeAcIcV&#10;43zbwgKJOBkN44JkZ+vX0daFOF1u9Ji+3jw+KMQRQgipZHxCHLbbT/+7VfLoM3DwGNv2UzsaWjzw&#10;JIQQQgghRDNn2bqse0h9H0khjsHoQCGiWXUqFfrBv3tY34bkQlyTFKeFuKE9Twza6H9CN68Qd4cW&#10;4kactiLTbFZkSXEBqf6ZJAaDUaFBIY4QQgghJDd6Dx+d9YuajibEgZMe2OBq1650l2xa4v7yxHw3&#10;7dk5bvpzc9zEZ+a63/79fnfWuhWu14MPBVut+soXC4lKF+IAtm5FyCpxSSSyKERe0wExzrdinESU&#10;jGbrCou2LsSdNfT45nJPPz/am8cHhThCCCGVTKUJcVt3H2jxwJMQQgghhBANhTgGgxFE505VDYFg&#10;1qlqbuZQi7hnWL+ZhQhxg3scH0hsQ3t+KxDimqQ4JcSlaRbihv0gVHTDynBYIU5Jcc1bqzIYjMqL&#10;PgOGzM262aAQRwghhBASiRXi+gwcsjVza1XS6FkzqH92u7XumBnzvA9FS02XRZvcSUs3uO+vWOdq&#10;16xwIzYsc+dteMCdu36FO33VandyCVeF00i0BSEOZSSQJ4lElgQr10G8s3kkwvqmy2OrWTs+3fe2&#10;LMRBgJMyEON8ecKgEEcIIaSSaU0hrveAIXW2bfuwkxBCCCGEEAuFOAaDEUTnTlUzM0JcY+ZQi5g7&#10;oqZHIUIctkpFG+f16REtxI04bWamydCwUlzUynYMBqN1wwpxvWsv8D74JYQQQgghTbSWEJduZ2h2&#10;u60nxIEuiza7rgH1wUpwxy7aFID3SPOVKTYSbUGIA2gHgVXintx3MPgZ4cubK1FSmkRY36RfPpkO&#10;VKIQB9Ifi4CkQhy2SJUykNp8ecK49rozs8pSiCOEEFJJnHDlxKx7RJD+N6ssYXef+PZpZx6yDzsJ&#10;IYQQQgixRAlxOw58wUWXGIyOElhlTeSyVCpVlTncIu4e1m9FPkLcrHMHZFZzq3JXnvqdcCFuxGkz&#10;Z55dk+gvy9L9PKK6U9VWqbc6lRqTSWIwGBUUFOIIIYQQQnKj99CfZ/2ipveAIVsyt1YlDZ8Q1/Xm&#10;Rd6Hoh0FibYixGE7UwlIcRK+vLly787dmdrChThIeDYNiBAXNg8rG/YG6YhKFOLsam8+IW7bzj+6&#10;fz/i34L8VVXfaJEeB6Q7aQ91UYgjhBBSSbSmEGd/t/i9QUP32oedhBBCCCGEWGbduyTr/hVQiGMw&#10;Omh0TrBt6tyza44IF+L6hwpxV5367WYhbvpZNUqIO9XdeO4P3Pjavo1R26SGRQsp7kiuFMdgVFpQ&#10;iCOEEEIIyY3WEuJ6D6wdpdsFXWcv9z4U7ShItBUhDmw98Gkm5+Hw5fMBMQ2ruEF+O3/Ti83Hb36t&#10;oVmw842l8auvgzTkQVn0H/2Uceg+oQ1sw4rjEPhsfytJiOs/oHMgqHXv8c0sec0nxOkV3m6fPaxF&#10;ehyQ7lAWUh3eU4gjhBBSSbTyCnErdLt9h5yzwz7sJIQQQgghxEIhjsFgNAe2HRWxLHKVuHNqxiQV&#10;4kSKG9zj+KDe/id00zJc4xX9+mz9dmYr1epOVXk95MlIcVuCvkfIfAwGo3XC/tKq91mjvA9+CSGE&#10;EEJIE7hfyrp/St9PZW6tShoU4loi0ZaEOIhsenU4hC+fD90HX6BeSGxJy0F+Q7qvTzog4QFEJQlx&#10;egtUOQZ8QhxWhUM+CG1Y4c2mxyHlZTU6CnGEEEIqidYV4oZs0e1SiCOEEEIIIUnwCXFbdx8I0ijE&#10;MRgdLCCWySpxcXLa3cP6zfUJcdnbpjYJcZNqvx8Ib2BorxPn3DnitB5YaS5TFVammynpWO0N/cgk&#10;5RToc5pxmbcMBqNCgkIcIYQQQkhuYEVdff+EFXczt1YljT4DB4/JajdNRxfiRNLa3njImx6HrJyW&#10;pDxWYZPwSWfSF5HMosAqbSKg5dJ3rNyG+iHwaYENbWM7VFnZzQdENBkvAu3qVebwM1aD03lQL/qK&#10;dORH+MaOPiHQJ5smSH+TzE8UWohbsPDCZiFu5ZpLmo9bIa5+y+XN+SDR6bQkQKCT8lhpDscoxBFC&#10;CKkkThx9TdY9Ikj/u1WW6DNwyFbdbr8zhj9vH3YSQgghhBBioRDHYDCyonMqNbRZTktFbz9697B+&#10;K1pKcS2FuKE9T2wS4jpVNYTJbkcdmaorhhTXNZU6NvMjg8GokKAQRwghhBCSG72HnPff+v6pNYW4&#10;o+et9z4UJaS9ooU4LapdPfbU5uO+FeIKQYt3kOtwjEIcIYSQSqKlEDekMf3vVlmi98DaBt326cMu&#10;XGUfdhJCCCGEEGKJEuK2HzjUP3O7yWAwOlJUd6paIXJa51Qq8otgzrB+M6OEuKtOPSVTT5WD9JYp&#10;5o3qVGpMc7udqhq6pFI9MkkMBqMNB4U4QgghhJDc6HPa2VlCXPp+ambm1qqk0XvAkDrdLvA9ECWk&#10;PaOFOIAtTNMfD9e9xzebjxVbiLt4VK+gDWybKscoxBFCCKkkKMQRQgghhJC2BoU4BoPRIrA6G1Zp&#10;a5bTYqS4O8+tGXXXsP4NVoibXPt9d3x1dVBHl1TV40lWfUNbSoprpBTHYLT96D1gyBZ9o0EhjhBC&#10;CCEkGn3vFNw/UYgjpGxYIe722cOaV297+vnRwbFiC3H/fsS/BfXrVegoxBFCCKkkWlOIQ1u67drz&#10;R91nH3YSQgghhBBioRDHYDC8AXkNq7QpOS32Acydw2vGzBk2YGuTDPe9ZhkOr7mIbVaKixPyGAxG&#10;ZUcLIW7oz70PfgkhhBBCSBP63im4fxowJHK17WIFxLusdgef430gSkh7xgpxQIS1a687M3hfTCFO&#10;b5cqwh2gEEcIIaSS6P6Lq7LvTwfWNuD+sRyh2wVn/ehnd9iHnYQQQgghhFgoxDEYjNBIpVJVWorD&#10;qnHY9jRqpTeknVjd+e6uVUd9iTLHHnXUf/2iX8/NmeTEAYGuWYoLoBTHYLTVsEJcr7N/9l++B7+E&#10;EEIIIWSz63nV8qxf0jQxeEzm1qqk0WfAkLm63Z5nX+B9IEpIe8YnxGHltvRHpHlL02IKcbIlK7ZN&#10;1ccpxBFCCKkkWkuI615z9hG6XUAhjhBCCCGEJIFCHIPBiA2sDpctpwVy3JY0KyDICTjWtKJbJl/T&#10;6m5DIdZlqsopAilO1VedSo3KJDEYjDYUFOIIIYQQQpLjE+J6D6wty/+FKMQR4hfitu38Y/MqcSvX&#10;XFI0IQ71ok7UrVeHAxTiCCGEVBKtJcSdUjOoSrcLRl76q+vsw05CCCGEEEIsc5aty7qPBE/taAjS&#10;djZ+nniHQwaD0c4jI6fNbZbdouhU1WhXkkv/nNcXCmQ6rEwndVenUmVZGYHBYBQv+gwcslXfaPQ6&#10;66eHfA9/CSGEEELIZtfzd4uyfkkDKMQRUj66P7DR/frvCyO5/JFF3uPFBGKer3+EEEIqgxtfvNPd&#10;/fJtbRrfuMKoJCHux1f8Yax92EkIIYQQQoiFQhyDwcg5sFIbhDcIcplV4RoCaS39/qhOnX7UqVOn&#10;b2SyZkX1kVUXZ37MKSDWaSkObWeSGAxGGwgrxPUeevkB38NfQgghhBDiF+LS91NDM7dWJY3eA2pX&#10;6HZ7jhjlfSBKCCGEENLR2fX+xKyVPdsa6L9vXGG0lhDXu6a2h24XXHbV1b+zDzsJIYQQQgixUIhj&#10;MBhlDaw0l/kxp7BSXPWR3D6VwWgr0UKIO+vSd30PfwkhhBBCSJrR87J+SQN61gzqn7m1KmlQiCOE&#10;EEIISQaFOApxhBBCCCGksqEQx2Awyh7HHHnkNzM/5hzVqdQarFCXectgMNpAtBDifnjJW96Hv4QQ&#10;QgghxPW8YnbWL2mC+6ea2rL8gqb3gCFbdLsU4gghhBBC/FCIK48Qhz8M0e2CMeMm/cw+7CSEEEII&#10;IcSyaMOWrPtIsOnFbUEahTgGg1Hq+B+ZVwaD0Y4DvyDTNxq9z/jJdt/DX0IIIYQQstn1/MWsrF/S&#10;gFNqBlVlbq1KGlaIO+min3sfiBJCCCGEdHQoxJVHiOszcMhQ3S6gEEcIIYQQQpIQJcRtb/xnWX7f&#10;ymAwGAwGox1HCyHurEue9T38JYVzxvVPunc/+sJJ/H37AW8+UhoWP7M7M/PO/fPrf7k/L3ndm68Y&#10;vPrep5mWnPvki6+9eQghhLRNeo2a8rG+dwLlEuLsyr4U4gghhBBC/FCIK9OWqQNrR+l2wdiZt55n&#10;H3YSQgghhBBi8QlxKx97LkijEMdgMBgMBqPgaCHE/fDix30Pf0sNBCUJ/HzXlgZvPgCRTMe6l/d6&#10;81Ua09ftzPT4cPjykdJgrxucD1++YqDFR4QvDyGEkLZJr1ET9+h7J5C5rSp5WCGuxyWjvQ9ES8kx&#10;i+vdSQ9sdANXrXbnbXzQ/fyRRe53jy1wV6X5zZaF7sf1D7hz1y93p69e5b67bJ07YcnGlvXcX9/y&#10;GCGEEEJIEaEQ13pC3C3zF9fah52EEEIIIYRYIL/Ze0kKcQwGg8FgMIoWLYS4My7a7Hv4W2r0iloI&#10;CEW+fFhlTctziFKKTcWEQlzrQiGOEEJIMeh1wZ8+1PdOIHNbVfJobSGuy8JNrs8D69wP161wYx69&#10;z83eept7aNcN7oV3p7jXd09yj79zrVv4+s1uxvN3uj8+Pt/9pH6p679yjeuyyF8fIYQQQkipoBBX&#10;ri1TB4/R7QIKcYQQQgghJAnYHtXeS2LVOKRRiGMwGAwGg1FwWCGuz5ALHvI9/C01l855MaMOHQ6f&#10;sGSlpjBxrhKBzLfv068yPeeWqeWGQhwhhJBi0GvYb/bqe6dyPWxEtLYQ133JBnf+xmVu0tP3BOLb&#10;4+9Md7s+mOAOfjbRffGfU92eD8e5F9+d4jbsusEtTqfPevFO99vH7nNnrF3pej+4wR27aJO3XkII&#10;IYSQYtPRhDjcF+r7xNYU4h74+zN97cNOQgghhBBCLD4hbs6ydUEahTgGg8FgMBgFR4sV4k4/9wHf&#10;w99yYFeJ27XvUIs8n3zxdSa1KdrK6nCk9aEQRwghpBj0PvuyD7LuncooxNn7NqwE4nsgWir6rVzr&#10;pj47xz3bMNU17Bvv/rF/gtvzYZ3b+1Gd+/DgePfBgXHuH/smuDffn+B2fTDebX1vilv5xo1uWrrM&#10;Tzcvcd9dvtZbLyGEEEJIseEKcRTiCCGEEEJIZfPUjoas+0hAIY7BYDAYDEbRos/AIY36RqPXaWff&#10;5nv4Ww58q8ThmKQvfmZ35mhTtKXV4UjrQyGOEEJIMeh91qXv6nsnrNqWua0qebSWEHfM4nrXc9lD&#10;7qKHl7olr89yH386wf23m+EaD01y+z+uc3sPND243ZcR44IV476eFry+vHuyW7LtJve3J+e5U1et&#10;8tZP2j7bGw8F9zx49aWT9g+vAUJIpeET4voP6Iyt7t21153ZIq01GT2mb9AvvMqxtiLE9R4wpE63&#10;C3Y2ft7DPuwklcnMOfPcvx9xRHD9dTqq2m1+6XVvvkqgLfU1KYvWb2oeE7hryXJvPkIIIaS9snX3&#10;gaz7SDDr3iVBWkNj4xHpfx8ZDAaDwWAw8o9KEuKAXSUO7yVNbzeK0ELTn5e87p59+2ALEemfX/8r&#10;OAaZTvJqUA55EKgfx+7a0tC8Eh1eRcrTQh7awjH0ASvZSR14RZ+1yKfRK9zpsYFi1A+Qhjx2NT0b&#10;qMtXXqPrkPmxoC0J5PflwXgkfO1iO9l1L+8NzpWMFYH6UH+YvJbL+YsT4my6vWbwXp8LBPqLcui/&#10;zusT4uRcSqBvvrIWlMMc2OsfbWDOwsrrtjAnOObrA+oOqwNzh3On20YZ1BF2TgghpL3T68wfZ2+Z&#10;OmDIlsxtVcmjtYS4U5atdxdtXOKmPHu32/zWdYEE98XXU91Hn0wIJDgR4vYeqAveH2ic4D79YnIg&#10;x726Z7Jbuf1GN+Hpe9yg1cUX4rYeOHwf0vDZF67fqie9+YSVDXuDvF/+61/e9FKz94umf1PbmzSE&#10;uUfg1ZdO2j8d7RrQ3yXnb3rRm4cQ0rpYIa5+y+XN0snTz4/OSgPbdv4xEOVEmhPOGnq8u332sBb5&#10;o1i55hJXVfWN5vK+PBpf3yjE5Q8kowt/epk74aSTm+cVQDzqO/BUN+GGWe65t3Z7y3Y0MB96jq6q&#10;m+TNVwm0pb4mBWNob2MihBBCcoFCHIPBYDAYjJKGFeJ6D6id6Xv4Wy4g4OiAfARZB+KTDshAUsaK&#10;TGGhywiQenRoKU1CxB/djohQYYF++6Q1HbY/xagf/dfCVlzY8hYrYcWNCYFzZfNAopJA/3Qa8uv0&#10;sPCJW/meP4QWuiCM2dDj0NKfL5AueQHOnw4tBNoIEw1BVDkJzKcei6D7gLFH1eW7nrRsGBa+64EQ&#10;Qto7vQcNO2TunVZkbqtKHq0lxEFkG//0PW7F9huDbVD37B/XLMO9/+G4FkCMgxSHfK/vmew27rre&#10;TX9ujjtj7Qpv/YVgo37PAW8+AekSvvRSo8OX3lahEEc62jUg40VMeGGnNw8hpHWxQtzFo3oFwolP&#10;UIPw9u9H/FuWmGJBeVvOAqkO9etyEOx8eS3de3wzyC+rxBUqxOH3fen6Sh74PaJtd/uBQ/3tw85y&#10;gBXDrDQVBuQ4iHG+etoDWGlMjxWSoC9fnGSWtJ5CKFZf2yKlFOLKce4IIYSQYpB9L1nrpt0xNzhO&#10;IY7BYDAYDEbB4RXirq5v9D0ALhdWPsIqWPaYFoCsfBQVqEu3ZYUqX8jqWlGCmi+wipZuC+iIEuKS&#10;hK0fclIuMpwV03xYicqumuabP4xD50G/dOh+J5GudKA/uu5Czp9cQ5DsbB/0OH2SnQ17LnO5JhH2&#10;ugRxEp4O9N/KaboPSebYjiGJpKg/h4QQ0lHoffq5n+p7pz4DhszN3FaVPOx924mjr/E+EC02Izcs&#10;c4ten+V2vD/R7dnXJL1BhsPD2iYBruk9XuX9/o/HBz+/s2+8e+m9qW7uK7e6c9cv89ZfCDbiVmsq&#10;lRA3+ommP95A+/jZlwdwhbjSIVt2YtVAX3qhJD3HHZV8r4G2Oq9xK8RJeuNXX7dII6QjUerv5ii0&#10;EAdRLX0rFbBg4YXNxwWR4bCqG1aJwwpvQCQ6IWqrVdTrk+qSCnGoG/lRB97nKsThvlDfJ5ZLiMO9&#10;sG4Xf8DRGkLc6seeCaSfdJdyAivJ+epr6yQVrSAFyrz5tiEtpbAlFKuvbZFSzm8p6yaEEEKKyYAf&#10;Dlf3sLXuyonTg+MU4hgMBoPBYBQc+iYDZIS4Bt8D4HJhBSqsoKWFHp9IBnkHspQWdCA6WaHLlk0i&#10;VEmdPmENfRMRCVKTDbuimQ7fOGzkUr9NF8kKeWxaUpHJrpxmJTxfn+24rFCmZTPk1YH3sjIb+u2r&#10;X6/cVsj5k+O2DzJvgk7HdajnDvOD9LgV4hDIgzEBK7vZVeLsuNAu+iXnG+koo8OeG18fkCfqepK5&#10;te1L35GG8phLn4RHCCEdgT4/OOsre++Uua0qebSWEPfjh5e6+jevc599OTkAops8vMXPFhzHKnH4&#10;GaLcu/vr3MrtN7kLNj7grb8QJOSBOyLqoXuphDisECXREVeLqgQhrtR96OjnOI5857+9zmtrr0ZJ&#10;SKVQ6u/mKLQQhxXg0rdSAXJMA2ktTHYTUQ1AmEuSB3KcvE8qxGGrVCmD8hTikoPtT60Mh/cz58zL&#10;2hoVK2bZbVQBjuv62gPFkqHKIVWVo41KpZRj78jzSgghpG1Re/4odQ9b637557rgOIU4BoPBYDAY&#10;BYe+yQC9BwypO/mazVvtw99yE7U6lhaSkqADEo9Os+IPQktoSBcRyApVVmICVlKyfdUBYUmnFVq/&#10;FqBs3UCv+IW2bHoYWka08+eTrhA6jz2XMrd41YH+yVxHlderxBVy/pBmj6EtqVvQY/SdEx92XuzK&#10;duiTDZ1ux2wlPWDnD6Hnz/YhbmwIuS7svMoqe4QQQjZn3TfJvVPmtqrk0VpC3PkbHnAr3pjp/rF/&#10;vNv3MVaGGxusAAfZbfe+8W7HBxPcq7snB6/vpd/j+L6MENd4aJI7+NlEt+nNGe7Hm0onxEE+kYfu&#10;iLBV4ijElYbWFB6EUveho5/jOPKd//Y6rxTiCGmi1N/NUWghTrYx9W2XmgSUFXzpV489NRDhIN7J&#10;McmfVIgDsm0qVqZrK0Jc7wG1K3S7rSHEXf77q5rnG2D1MC3CWezWm8jvy9eWKZYMVQ6pqhxtVCql&#10;HHtHnldCCCFtixGX/krdw1KIYzAYDAaDUcTQNxkAD3VPumbzFt8D4HLik30QEHh8+aOwodOs+BNV&#10;v0+oyjWPDttWofVruck3jnyFOKwqpkOv0BYWWqDS7WqhzK5QFtanqHMUlWaxc2ff2xXWBDt+tBEn&#10;iOlzgcg1j5YQETpNY+sIux4QPtnQrt6HMjiOc6wD/cF8iWhICCEdlZ5XLc+6bwrunQbWjsrcVpU8&#10;bNvlEuLOWLPSzXz+Trf5revcG+9PDES3jz+d6D5sHO8a9ta55/8xzT3y1vXuufRrw77xzbIc8n32&#10;5ZSAR96a4S7etMRbfyFIQD6BBCcR9uCdQlxpaE3hQSh1Hzr6OY4j3/lvr/NKIY6QJkr93RyFFuLS&#10;t1EBUVueRgGpTerwpWN1N3tM8ucixI0e0zcog21TCxfialFXycMKcX0GDtlaTiHOtzrcovWbvHkF&#10;bLWp8wNsuarz6JXkINDpNF8e/GzTUSdkPSvgob84hhXsbBkpJ2OSetFnbO8KeU/qqT1neIuxYltR&#10;Sc8VtCnbkCapx44ZK+2hj3peAPpcyr5qIRLHw84/+qfrsOcc1xKkMdv/qHOVBNTrO3fofxJprRTz&#10;Wui5I4QQQorJxb+5Ut1L1gbvcTz9bxGDwWAwGAxGYaFvMkBGiFvhewhcbuwqWQifJAYg+0Dugbyk&#10;BSxf6HJWqIoSxaxA5etLXB4dIh8JhdZv02RVMcyN3TpWb1sah5Wm0A6O67nDWPTqdbIimhUbpSxI&#10;Ml5Bh5433QeErt9i27MRJrnZNiREEvOJZlZGs+lxeXTY60QTNYdJ+mDHptuy5SVwPOpcEUJIe6bn&#10;7xZl3Tc1MWRo5raq5GHbLpcQN2DVGnfl4wvcvFdvdc/8Y1rwwPbTLyYHQty7++rc1t1T3JPvTA9e&#10;/5ER4vZ/3CTEffTphECOe2jnDcHWq776C0EC8gneY7tUCZ9cEyep3Ltzd1DH3i+yV+Vt/Orr4Lhd&#10;eU5v1ZpLoJyuR4M2ntx3sEUfIBOgf74yQPqysmFv8B7j1/3DGDD+fquebFEW4DjKogzy6kBfosqW&#10;SnhAf/Q82PMw+olsid8XegvdfMao5zAsfCsSyvx/+a/Df+gQN49RoD5cFzLXEqgf7YTJZDJHyIf3&#10;aBt90OOPKi9IOX0+8LNck7leA+WcV2lLPhvIK+VRVrcjxzFvqE9/p6AeyYe6EDKvtnxYYN51foB2&#10;UJ89t3HjsucW76UOHENZHJc+6f77QH6EHZPGN/++8H1X5frdJnOMwNhsuoD5kf7IOdaU8popxudL&#10;6pUxok09R5ifm19raM4f1kbUHAEpp+tG21H9y3d8Ui4q9HezYMeOdnz/9iZFhLiVay5pljvwsxbQ&#10;kgJBTerwpfuQ/LkIcXqr1dWbrvCOK4wTrpyYdZ8I0vWUPHxC3I4DXwy1DzpLhZWcIPD48lms+GNF&#10;JJ0GdFqSPFZ0CsMn20E+0nkwRhHkfCBdyiZtNwwRn5LWI+1a6S8MPc+l6ivELmlDA7FL59NCXNwc&#10;A1wzUSsP+tByowXH467DUs5rIW0QQgghxQQrwun7SawYh+Ppf38YDAaDwWAw8o/uNWcfoW8yQEaI&#10;m+t7CFxurKwTtl0lVrOKk+B06LK2jVyEKp8UFJdHhxWdCq0f8pldWcwXyOOTuMKwUpv0W/cFP2vp&#10;Ts6VXQVOry6XZLyCDj1vKKMDdepyGtueFb6itkOFFBg2tziuxwVs3TotSR4deryWqDlM0gc7f7ot&#10;XCO2Dh2+LVgJIaTdM3pe1n1TE60nxOHBp++BaLHp8+A6d8GGB92EZ+a6h3dd5/Z+NM4d+mpKIL7t&#10;3l/nGvaOd2+neSfNnv3j3N4DdUEahLj39tW513ZPdve/frMb/tCD3voLQQIP6PEeD80lfGIO8knY&#10;NC1fhAWkAC0diDSRa/j6BiCFxAVkAZ/EISIMxqglHhth5ZOMJa7tsHHlg5YibIhUlKt0kc8Yk5Sx&#10;skbU/CPsdRRHknEifFIRRBUJ1CPyjS985QHmI+p8YI4kPek1UM55jftsaJlHAgKSb8ySL+y7JGp+&#10;EXLtCnHnBBE2rrhzK+dCj9n3+RWkPM6NLz3J95OEvZby+W7T3+cQ6XR9Gv3dbeep1NdMMT5fEmHX&#10;nATKow0to+kIGwuI6xsC47Tl8h0f8saFbS9q7PZzkxQR4rCdafo2KsAKaEnA6m9SHlua+vL4kDK5&#10;CHH1Wy5vLjfztpHecYXRekLckC26TbwvpxCXVIay2HKQpXS6TgM6LUmepJIRwIpeuqwV4uKAWCVl&#10;C1l1DYhklusqY770MEREK1ZfUZ8+HiZFhuWJktYsPoExCrTjqycMK5358oSRy7wWeu4IIYSQYnLl&#10;xOlZ97ADfth0X5b+t4fBYDAYDAYj//AJcX0GDh5z0tWbZ3ofApeZKFlHgLSTiwyH0OULEaq0fJQ0&#10;jw47nmLUHzcXPnkrCXr1NwSOaVkK/QA6cG70dqNoW9eZZLyCDj1vtk3UqctpfO3Z+Yoqj/FA8PPN&#10;sZUMrUim60mSR4e9TjRRc5ikD3b+fG0hj2+1RkTUfBFCSHuk5xWzzX1TretdU9sjc2tV8rBtl0uI&#10;O2Hpw67/yrXukk1L3O1bb3NPN0xz7+wb797fP84daJzgPvpkQvD64cGmrVLx2nhoUiDGvfLeFLfi&#10;jZlu/FP3uEGrV3nrLwQJSAtyTIsqVkAIk1gA8uKhO8QLLchA0NDlfLKIlgZ0WYtIFj5pCDKEBKQD&#10;6QdA36QsAuKALS/pIizgFf2W8lo20PMlQE5AHsglWqqAlKLlJaTrciBqXPmgBRfdHvqCvkeNP6oP&#10;hYwx6TnGeUPI/GupC+dYZJZcBA/UgfrQf9ShpSGcW33OdTmg+y35MEeoB2nSXwTSfcKUnhtdFvMk&#10;dUrkeg2UY17l2pC+Ig/mTcav65KwcwWQV/KhDxJyTBOXDuS8Ssj5Rb/wivcSyKf7CfTcST0og+MY&#10;n1zHOp/v2gZoTwI/23S0LYHrQfpivx99ZXXd6CfmEX2Sfsr5QdjPtnxvRX1eJI8tW45rRs+t5JVr&#10;RvJKIN33+ZKQ8hiHbksC6b427OfT1o++2nI6TbeBdnXZYowP+RG+vgm4LiX0NYr+4dzZc5sUEeLO&#10;Gnp8IHJglTcroCVBC3W5bLkqZXIR4oCUu+pvp3vHFUYlCXE7P/p8lH3QWSqseJZ0FSsrxFnRSacB&#10;nZYkD+qHDIXtPEXcAlhhTG/xCWzbPiEOwpbUg1crcOlV4oAdX9i82Hy6r770sHowBkhWkLG0NIVt&#10;QePOUdI2bD7dVyueWXHLriSIcyBpun+YVz2X6H/UynJRYJtVXc6eQ58sZ8dejnktpA1CCCGkGIy9&#10;4base1gKcQwGg8FgMIoS7UGIwzaXOiBuaSkI2NBpto1chapc8+iw4ym0fp2GedASGyQuSE1Y7U3X&#10;lxS75aqdd8mnA3n0qmp2RTE7FrzX6YI9R5DswtLC6gC+ubPlEUnmCOWsJKi3oU0io0XlsaHTNLYO&#10;LTsm6YNdwS9q1TcIf3YOcV358hJCSHul5y9mmfumWndKzaCqzK1VScN331YuIa7Lwk3uuCWbXN+V&#10;69yPHl4arBS38o0bAynu6/8z3f3zX9e6Tz6fFEhw4NA/p6T/lbjeffblZLdx1/Xuqsfvc2esXelO&#10;emCDt/5CkMADczmGB/Ly4N6KDkkklTC0nGLTtDSAn22CRiR0AAD/9ElEQVS6ECUGiJyBvmtZS6PF&#10;BysuSN0IyANa/gB6XvKRC6R/vr5HjSsf8qmvGH2IGmOSc4w5l9DSiUavnGTPYb6gHgnbN91vhE+I&#10;ihKadH9984LrKk7IiaIc8yrXBgLXvk/aEXTgM+/LA+K+S5J81+jvlLBrQYtCtj/23EZdT3Jth332&#10;pS/4jvCly3jCpCcp76u/kO82fW37zr2+NqxIJVHKa6bQzxfQgXm0benrBGGvA6D7G1Y+6ntf5h/n&#10;Sh8vxvikb1HfDUny5IMIcRDS0rdSOYtpYNvOPwYiHcrjFe99+XygTD7tSnt9+x/tHVcYJ/w1e2UN&#10;gPvHdF0lDQpx0XnC0OUgSuk0yFI2HXKSzmOlOjtuO76webH58hXiorDjsavxFaOvcfOBlQN1uohf&#10;eNXHIbHpcgASo86TdA7stWnrRr1WbExaNyjWvEYR1wYhhBBSDKwQB3A8/W8Pg8FgMBgMRv4RKsT9&#10;bVOd7yFwubGykhXIgE9ysnls6DTbRq5CVa55dNjxFFq/ls8go+lyhWLnSctgehxawooSxnx1hslV&#10;dnUyXY+tI5/zZ2U/33Xmw0qBum09DwhdLkkem2bnDtitbO382Tp8spvNA0HO5rHY8+rLQwgh7ZVe&#10;l7Z80NgRhLjD1LseSze42jUrAinuqXemBSvCgff2jwt4d984tzvNR40T3K4PJrrbXprtBq1Z5Y5e&#10;5KuvcCTwQF4f1w/o9QN8fVznT0JU2SRSDwh76A+JQMKORQPRQQICg06TuiE0hMkbWqzwpUcRJSxE&#10;peWD9DNqLJZi9CGqjiTnWK4RK5VYIKYgntwXvg1kLkT1Taf5ZBag5SF7/enrPkxmAjKmXOe/HPMq&#10;5zVKyBIkoiQooOcln3T9WY6bMxmXldX03PkkKU3ceUTdiLBrUsqH9TVsvIV+t+njvjHimpbQ50v6&#10;U+prptDPF5Cw3+mCbiMsjxYH7edIIkqY1OdJz2MxxidzGXWd5/OdnwQR4kQwy0eIk9XlwIKFF3rz&#10;hCHlcm1XBL62IsT1GThkq26TQlwyospaCck3prg8dnxh82LzacnMlx5WTxS2r3aui9FXK7bpLUGB&#10;Xo0NP8vxfLZtTToHtpwvT9Kx+yjWvEYR1wYhhBBSDKbdMTfrHhZs3X0A//YwGAwGg8Fg5B94gGtv&#10;MiDEnXxNfRr/g+ByYmUnyDs2D0QhHZB+ZOtKrJZlhR+ELl8MoSqXPDrseAqtX0fUSl/5ooU7HXrO&#10;7IpjOvSWogIkLh1Y/U1WaMOrHa/dmrQY5w/12bFpMQznCf2CACdto29W1NMSor3u5LgmKo+9rtE/&#10;LcWhLSum2bH7rn35fADbf4TMPeYG5wZ16lXn0K6eK/RB0gghpCPQ6+LW2YoKURlCXBM9Htjoznvo&#10;QTf9uTluyeuz3PpdN7j6N2e4+reuC1aEW7H9Rjf/1VvdtGfnuB8//EBJVoYTJHwP4fFgHQGhQR6w&#10;iySBsPnjiCqrpQErI2jCxABdN+QCnWbRoobveJR0UMj4o+pP0nYu6PnEeYTIESdJFKMPUXUkOcdS&#10;PmkU0ldNVN+S9BtI2M+SjMleb5aouYsiSf8Knddc+iZh58ES91mKS9fjjhKVgK5Ly1lJzy3Q0pKV&#10;v7RMFSZ/SR/CBDMRmiCY6eO67/l+t0ndvmtQvufDBOGkke81k/QcSGA+ckkTJMLyhPVDH08aYeX1&#10;cYuEr39J5lK3k/Q7PwkixKVvowJyFdOwPaqUvXhUL2+eKPJtN18h7rjxrbOScUshrnYFhbgmsAIY&#10;VgXDqlq+7TE1upyVkHxjistjxxc2Lzaflsx86WH1AKxiB8EMc2lXPtPkK27F9dXOsayqZ2U5rBYn&#10;ZWydSdDlo9BlwkSyJGMv9byCfNsghBBCisGcZeuy7mEBhbiOG79I81YafROyOE11GgaD0XrRPc3z&#10;afRnE5/V2jQMRsWGT4jrPbB21MlX14/yPQQuN1Z2sgIZsKtkJQldvhhCVS55dNjxFFq/T4DSgXSI&#10;Xb7VxpKAsr7QfYA85YswccqushYXtu9oW0e+58/2A9KXyGFx84qwop4tI8c1cXms8BYVyKvbB0n6&#10;rQMr5UlZO69hETXfhBDSHul9/lX2vqkhc1tV8qgkIQ70fnCDO2vdcvfzzYvc2Cfnueufv8vd+MJd&#10;btozc9yVjy1ww9cvd99ett4dt/hh12VRvbeOYiDhewivJQ9Jx6uEzS+gHOQKWTnIF7ZMUmkgTAwQ&#10;4QOhj/uQOhC+41HSQdz4ISBgFSDUIaKJDV/9SdrOFZwHCDA6ME9h85u0D/mOMck5lj4kDSsmxYF2&#10;MQdR7di+Jek3kLCfJWnLNyeapPksSfoXNV5f2HnNpW8Svu8UTdxnKS5dfz9FnReg69J5k8ydBt9r&#10;CCu1yXErs2m0UIf8Irfh86T7Z+etGN9tevUyzJsch7wnYbfqLNc1k/QcSNj5iUsTJMLyhPVDH08S&#10;+M7V4mIxxpd0LnP9zk9CIULc7bOHNZfr3uOb3jxx5NMuKKYQ17umtke6rpKGT4jb8dGhMb6HnaXA&#10;bpWZVFay5fBep+s0oNOS5IGEFSfBaXTZtijEQfyLEqk0+YpbcX2151S2KLWrwN21ZHlzGVtnEnT5&#10;KHSZMJEsbuzlmNdC2iCEEEKKwaINW7LuYcGmF7fh3x5GB4wNaVrchKT5fhpGePzfaSAOHkwjcwZ5&#10;ifOWe2Auz09zWxp7PWJ+ceyPaSCIdaTAmPVcCDjeHgLnE58hPTa872jnud1FmBDX8+r6ob6HwOXG&#10;SjkQfHz57GpaNqxYpMsWS6hKmkeHHU+h9UNGsyuuhYVPoIojbJ5tPrvaGiJqK86484ewK6QJxTx/&#10;ViCTVfbixDL0Ta+i5iuj05LmwflJIsWhHt+59I0nLGwddl59IfNDCCEdid7DR2fdN+EBYOa2quTh&#10;FeL+Ot37QLQcdF1U705+4CHXf+UaN3T9cnfhxgfcjx9e6s7fuMzVrl3lej5YulXhNBJhkoDeatCK&#10;GzYv0qMkOB22bFJpIEwMECEFoY/7kDoQvuNR0kHU+CGXWBnBF776k7SdDyKvWXHNyisgSR8KGWOS&#10;c1yqeQBaLIoK27ek16aE/SwlHVO+Yy/HvOZSXiLsO0WI+iwlScd1LRF1XoCuS+dNMncaLeGJQIbP&#10;mETYlphC3Pcj0lGfLlOM7zYgn1vUJ8fwPYBAms4LynXNJD0HEr7rSiLqmpMIyxPWj6T9CyNpeQlf&#10;/3I5F7l85ychXyGufsvlTrZZhQy3becfvfniyLVdIV8hrtvU2Vn3iaAcQhz+QCSr3QFD5pZTiLOy&#10;k90qMwzk0+VEnhJ0GtBpcXmwMlwuMhzQ9bY1Ic6uwBZHqYQ42w+szIfj+lxD/NJl4uosBF1vPkJc&#10;Oea10DYIIYSQYuAT4lY+9hz+7Wn3AfEmTADLhclp2ktQiMsvIG/55g0CFyNZYBXCsHkMA9drR7k2&#10;27sQZ2U4AWIpow1HpQtxWKFLC15RAg4EHqxgpmUs2eZSr1qG+nQ5pOkyPulK0OKWT4JKkidqPIXW&#10;r9OSRK5CE4QpK9z56rDiGcrIamthIB0rlFkBDKIWjoeVL+b5s9ebXCvSNyuYoa8Yq09Gw7xISD35&#10;5AHot722kT9utT/bXxyzW63i57A6pF09J+gDjlmZkBBCOgq9h/48+75pwJAtmduqkkelCXFHL6wP&#10;pLhjF21yxy9+2J2wZKM7fmmaJZtct8WbgjRfuWIjkUQSQB4gYfPKQ3sE8tmtA6PKJpUGwsQAXXfS&#10;bQXtak5hdWvCxgAJQYQTvEKcsf2Iqj9J24WCedVCTtiKUGF9KHSMSc6xlPcJOoWgzxuEINt+VN+S&#10;9BtIoC19POmYouYuiiT9K3Rec+mbhJ0HS9hnKWm6Hrde9cyHrksLZ0nPrUY+AxAs8V5LclZm00g+&#10;zCHKamEJx8LGoPue73cbgBAlIf2UPiDN5pe6Sn3NJD0HEr7rSsKXJkiE5Qnrhz4eJzz6KMb4ks6l&#10;Be1FfecnIR8hTstwVVXfyFuGA7m0q6EQlxs+oUe2ygzDymQAEpvOY9N1WlwerCCmj0PIsqKVTgc6&#10;zfbPJzLF5UkiQ/ny2X4mqce3Sh/Oi6TbvpZKiANWRMR51e/tCoK2TgiWOr0QdL3Alydq7OWY10Lb&#10;IIQQQooBVoPLup9Mc9+6zZ+n/+1p9wGRJusf2zyBlNNegkJcfhElVjLiAyvC6dX1cgXl23u0dyEu&#10;6vwz2nBUuhBHkgNpSwdkKy1q4Wes0qYDMpSug7QvfEIcIYSQwuh91qjs+6YOLMRVChJRIoEWI7RU&#10;YfNJ+OQKgDYkbFpSaSBMDNBSSpQcA6FEQoQWIYl0EDYG3f8w6SCq/iRtFwMttdlzHteHQseY5Bzr&#10;6ytO/skF6ZdPFAJRfUvSbyBh5zXJmHBeRE4Km/8wkvSv0HmNOq8WiajvFBD1fZAkPeqzbJG5xas+&#10;nvTcavRc4rzJ3OiV13yImJSrlFSM7zagt0dFPfq9lZdBua6ZpOdAwnddSURdcxJhecL6gXMsEXed&#10;+SjG+HL5/FmivvOTIEKcCGZxYpqW4fCK9758SUE9Sdq1SB+KIcT1rBnUP11XScMnxO38+FCd72Fn&#10;qbASFAQ0K7gJOG5Xh/Nts2rzWMnOrkwHJM2KSD5xS6cDnWYlJJ/IFJcniQzly2f7mqQeSFI6j02P&#10;k6qK1VdgBS+sEqff2+1OrbxYTOHLXkO2bVxTdqtSPfZyzGuhbRBCCCHFYOvuA1n3sGDm3IVfpv/t&#10;afcRJpjkCoW49hFY6c9KOVi1KklQiMs/cl0VLgysMNeeo70Lcb6xCYw2HGFCXPe/bervewhMKhe7&#10;Kptv1TKgI2pVMtL2oRBHCCHFp3ftBVn3TXjgl7mtKnlQiPMjEfWgXIsT8mAdYfNJhNUVtfWflgai&#10;hJEwMUA/9Mcr3ut0QffByglJpAOMTUIfj5Me0J8o4SlJ28VC+mHPk/QhH2kMxI1Rlw87xzpPnGCU&#10;C3HzG7X9Zty4BQk7rxirhG9MmDe9ilOu10A55jVu/jQSUd8pIOyz5EsP+zxLvxBh50afW9unpOdW&#10;o8Uz3cc40U0C8x82Hh/IW+h3myDXGV4hd8nPvrzlumaSngMJ33Ul4UsTJMLyRPVDX2c+eTCKYoxP&#10;2g87V3GEfecnwQpxEM2sfCYUW4YDqAvkKsRJuctH13jHFcYxM+Zl3SeCjiLEWakJQEbSAhJEOGyL&#10;auU5CEm+FeWsSAURCHUAKxoJUhbt6OMQ7kTQw+pbVkICUhZYCcknMsXlsXMikiDQK4DZsVjJLEk9&#10;GJ/Oo1dZQ3k751aqKlZfAfLrPBq7XapgpTSce90urg+cUxwPq8OH7S/KSp/xatsF+jyWY14LbYMQ&#10;QggpBhTiCodCXPsI37hBkgiTut5KwwiPYn0GQXu/Rtu7EBe2ZWp7+n7tkBEqxP11Yw/fQ2BSuVgh&#10;DivE6W1GsT0otrrU4dvulLQfKMQRQkjxaXHfNKB2Zua2quRBIc6PRNyDcpEndNg88tAd0oaWQ/Cz&#10;FgoQuhzQkgke+qMM5AG0qwWQKMkCY5BAH7DCEeoAkGKkfwjfSj9RdQu6DX3c9l+kCfQdqzHptn31&#10;R7WN+hC5rE6E9pBfCxjooz6PVs7QaRgn0tF32Saw0DHmeo4REHF0P5EP5VAG51iOx6HHhvFIexiD&#10;TkPYecF7CZumkfB9luQcIjAmGTvyatkJ4Zu7KMoxr1I2Sd8kfPOgCfssCbimJKS/6CM+15IHx3Sg&#10;/zJ+lNdjxtzo+bDl9XzEIedTnztfPo3uiw2kAYwN59OW1XOFtnL9bhO0HCh9l8+3D93nUl0zSc+B&#10;hO+6koi65iTC8kT1Q6dhrLi29HnC9wjmEdeFrb8Y48McSyAd9ejvZpDPd34SRIi7euxh+ci3BSqO&#10;YXtUyXPtdWe6lWsuCcUny6EOm0/q697jm1nHn35+dIvyAuqWchOuPcs7rjBaS4jrM3BIo24T98dv&#10;Hvxypu9hZymxYk9SIDr56rNSmw8rNElZCFT6eBJ023GyW5I8UX3QUlecZJakniRzpbFSVbH6KvhE&#10;M4BrxJc/1/776vAB8SysLxqdR5/HcsxroW0QQgghxULfT4LJt8z5Z/rfnnYfxZJxsLJYewkKcS1J&#10;Ev93Giv0PJ+mexqGP3BN6fmyYLU+fLb0HGKea9P4BEQKcW07cJ7tZwjv+Rlq40Ehrv2w+JnDD1yS&#10;BiQ5X12kfUAhjhBCik+L+6YBQ+oyt1UlDwpxfiSiRAKAB+siUEjYPJAjokI/mLdlgZYvdOgVeeIk&#10;C91GWCCPr2wSgQPzJGHT9BaDvpC++eqPalsiql+WuPDNgRY3dECEkTyFjBHIOG3ocwzRJiyfDV13&#10;FL7rVwdEFpGcrDSi5yVKKJHwfZYwvqj2Ma9ybeVynoVSz6uUS9I3ibjvlKjPEkB/fXOGYzqfFufC&#10;wifDgaTn1mLbxPnz5dPEXQMSyIPvUlu+kO82AXNgwyfgCeW4Zorx+ZKIuuYkwvLE9QPnPMn5s/UX&#10;Y3y6Dh36uzku4q6NMESIW7DwwubfZ0JIsxKalteS4FtpTkt3cUStGHf77GHN+VZvusI7rjC63rwo&#10;6z6xiSFD03X9/9n782irqjPfH/73977jHaOs8RvjN8Z7/7ivt6pualRV6trAMVWpKJ2K59gr2KQT&#10;YxKNSYimNBWNSieKfcTExNiAKCI2iCgIAmLse2xAwA4VFRAR2ySVyr3z3d99zoPPfnjmXHPt7uxz&#10;zvcZ4zP2OWs2a3Z7sWB9mKul4Qlxr3z4+Sz7kLMdWGEqF70rliYl2UEMsjtw6bJFohF269K/67LN&#10;EOKAfX2oUFYyy6mnSEjU/fWkqma1FcTagvny8oPctYMd07zyMVLrAH1DOsZDjtl5bMe4NnoOQggh&#10;pBmMOnScuoftCadPnvGflT97Bn2khLihGhTidoXR/IDYht3zvPEGkAmLXoGKdL1eKcQxGB0YUSFu&#10;0qrdvYfApLPBjm858cc//yVcu2qjWwcZPFCII4SQ5jLszAU190xy39R3W9XyoBDnIxJQapcgQQsB&#10;+kG8Bg/ukabFAb2zEI4DWw5AvsBDeymLT/sQH3UhYucH0ga9axJ+1u3wyKlbdliK9QFjpAUS6QOk&#10;EwgxCK/+1LklcmQkAf3EeWV+EWgL6vdkGwFpugx+tmNWbx9BzhwLOA/qkbwI/IxzQxpJiTweyI9z&#10;6XWB/uE8SJc50BIZkD4hbJpG2hn7Lknf9flxThlfWVuxsUvR6nGVsclpW9E4CEXfJYDxlnMjMHZe&#10;vTK3dr2jTzK/Hrlza8F46/HLKYs8KANsfvyOdkqd+MQ5dB5Q77VNo6XW2BqxtHLNoO8SqXGUc3vz&#10;n0oTivLktAP9xPjpdYbA7xhLb601o3+g6NqMn73vAMY/dc0vQoQ47N5WuZWqAnHNSmh6V7YcPCEO&#10;u8p5eT0OO+KfdikvTDxt32oenAPt9/oVg0JcL9gVC4IbxB1IP5Um7gTHkAb0cUnzBCsISloIws+Q&#10;mJCmX8+J47Ys6pPXbEo+/A4xS5e1khXSdBk5X9k8wLYf59ICoBa2UJ+8StNSVA+wchfqg2yFOvWY&#10;45guJzSrrTiOspIX5IhcWDsQyHQbAOrCvKEt2PXNK5sC7dHrQMYF50M60uRc3jy2elxBo+cghBBC&#10;GmX8Saeqe9iecPKZ5/658mfPoA8KcbsGhbhdYTQ/Ut89iHIQ5nLj5ArYTa5IoBvoQSGOMSAjIcTt&#10;5j0IJp3PxYs3VMW4LR/X/iM3JDgIUouf3xwOvuxRtywZXGhBEuvBy0MIISSfYaf3z0NGCQpxZCAC&#10;AUMiJXsQQtqLSKEQ0rx0DeQ2kdhSgh7EJYlcwY2QViJCHMBrSyu3U8nd2ToBaSekuWYIce34zxu7&#10;nLMqxH12l/egs5OAACSCkgbykJefEEIIIYS0jhN+fEbNPeU3T/3pf1XuzQZ9DHQhDtLQcRXw+khP&#10;ZMMuW3jlIIShXFloIAhxreg3wtYjtDNS/cIxpCFPM0PG054Tv2MMy8hpuZHaHa7Vaw3141Ws6B9E&#10;On1uvXZa0W8vsEbRHpxb2oF2oR16rpshxOFc6JvXd1lf9Y6/vMpW9wPg90bqzQ3Ub88v49iKc2Ms&#10;MfZF8zbko2tEz576BgNQiCOEkProvnjxkGbf85e540LIoGHi7Jp7JjBsxNiRfbdVLQ8KcWQggh1/&#10;ENj1x0snhLQfLarmvC4VEpyEly5AgpOgEEc6AS3E6R3csGOcltA6hcefnrizjXh1amkh7pr+2c14&#10;l3MOECEOYIcuvSsWyNlJjBBCCCGENJczpl1cc0/Zfcy3/zfuNQd7NFuIQ31WMoH4A1EkJ5DPikL4&#10;3coc+B3Shc6XQ444Y6UoISaUeH1G24oi1tfUWDW73xBavPzNAuOSO/eQlOw4pkBelCkK9NEKSno8&#10;MKZ2Hiw4V2z+6wmMiXcegPXXqsjpqwWiWivFONTvnVeDMUEbMG9ees73GuVzziXgnHtUyIky44p6&#10;sSa9QD2eTFe09tDO2HUrF/tdstcn+13O+b6i7bG+DqmgEEcIIc1j2XOXuw82NI+svcQ9Phi49J7r&#10;3XEhZLAw7OSZNfdM1fumyr1U321Vy4NCHBloaOmGcgwhnQN2a5RIvQZTwGtFJbzXiwo6n/fKVELa&#10;jRbirGym/x7TKYi0h9elQtobuEJc9+SBIsQJeLUpXgWJHePwykwvDyGEEEIIaR3nXX51zT3lyEOO&#10;/j99t5uDOmKCCagnYrJWruQTkzq0iIGdh7w8uWAHpVTE2hCTUry8oEhiKSv3tKLfkFq8vM2kaO4h&#10;KjUi86BfKWEL8+CVQ5Qd06I5zY2UmNWqnbXKyGCWVolNVv5KAfkqdn0pEuIgjJU5l6ZoPur5XsaE&#10;2bLXBAT6ViSm5WC/p15bJA++czYtBtrWSqFyQIQnxMmrv7wHwYQQQuJQiKMQRwY3w0+q/Z+KAK+f&#10;r95UtSEoxJGBBnaeQuTsQEUIaR/y+tOc16UCSHMSKIMd47TwhnTZDRLB7zzpFLQQB/Aa0sotVfVT&#10;H+8U5HWpJ0wYXv29rBD3d7OX1Nwn9nLQadUbyRaGPSeEuA3bP1/lPegkhBBCCCHEY8ZvZ9XcU4K+&#10;281BHTEBA9QTKcGqSIpAulcOaBmnEXlKSEkusfr7W4hrRb9T898srGijA3Ner6ikSUmOMSGuHpEJ&#10;O2Y1I1J9boU8VEZgioE2N7NtjQh6lth3BoE2l90VTwOhK7ZTHK5L9chose9E2WsC+tYMGQ7YNnlt&#10;QZ561lLq+zkkgkIcIYQ0DwpxFOLI4Gb4CdPMPVN7/2GGQhwZaPzhL3+pviqVO0UR0jloua2MuKaF&#10;t1Ss2/Epv/OkY7BC3MJ7Ttz5b4LYMU6n9TcrVp2yS9sGshD3yvbPV3sPOgkhhBBCCPGYOWd+zT0l&#10;wL+F9t1yDtpICVH1BAQRry5Q705LEHF0NEMMS4lNsfoHgxBn+93fO8Q1U4qKra+YEFcvRes4J7x6&#10;gV3rzYjU61nL0iyxCYKZV3+9xL4ziHpeMWyJreF6RcNYfWWvCbH8aJdIxPjMGQPbpljd9aKl5iEX&#10;FOIIIaR5UIijEEcGN13HnWnvmXZUb6jaFK4Qd0a5B6WEEEKGNvK6VAirqdefeuDVxxDjILrqwK5x&#10;OM5XI5NO4/wnrq+yeMNlO9n7a39f/ffAE888pOZ4f3PsKWOq7cKnHLvr5V9W23/Ww3Pc/lkoxBFC&#10;CCGEkIHKvKWrau4pq/eVI3r27LvlHLTRqPTgiWWx3a9irwmUiMklkLZ0WDEM9UJSsrs4QQRK7cQV&#10;EzRs/UKnCXHN6Dd+9vI0k5j8k5KisOsVxkG3Ff2KzQ2ISY45QhzGUsYR50yJTkXruChS/W6WcCZR&#10;tDsazqfXD35O9R3Evjdlomh85Rz4zJEmY9+Z1NzrOUcU9d37Pnu7s+EYvpd6Nz2U1XXHvhNlrwne&#10;+WPrM/XdAVb0jLVFo7+jGL/Udcdex4dUJIW4c1bs8B4GE0II8aEQRyGODG66xk2suWfqGt2zsXpD&#10;1cbQ5wcU4gghhBBC4uxx+zL37y4DiWffvtDtm8UT4iCn9d1Gtiy8c76y/bON3oNOQgghhBBCPDwh&#10;btiIsSP7bjkHbeRID0VoqQQR23UM8kYqPLkDWAEHbUZeLWPEIvVKwZiwFhNHYvm9vCCWXyI29jju&#10;Rav7jfDyg5xAvV7ZmPwTk4/QbrumdKSkJUhzNmLtEmI7vkEs8vKndhfMiVR7YnNfb6Bv3nlArN+I&#10;VDkIao0E1qZXL4jJXKn2gNi4xeYQaygWqCu3jJcvNT743qJNsX7Gzu31L7aOYtcGb6fA2HcTEWsL&#10;iH1HUwJmaswHfQwUIW74eSvCv0y5P+x3wbJwwEVLQs+li8Ohly4Kh152b/VnHBt5wZKw77Sl4V+n&#10;3h+6Jvn1EEJIK6EQRyGODG6sEFe5Z1pdvaFqY9Sen0IcIYQQQkiKoSTEAXuv2GohztvBmEIcIYQQ&#10;Qggpy/Jn19bcU/bS+7x6MEdKesjFClYQMrx8wBOWEJ6sAZrxCsmYFONJJohOFeLKRtl+I7z8ICdi&#10;gk5MuvHygpSohUhJN56MFGsXSO1aBeHHKwMaiVR7mjX3ErG1nCMnxdZPo9/J2HcdpETPlBTnjVtM&#10;vIPMlYqYTOqJkDYPaET8KnNN8MajqG82P4jJp7G2gJSwGhOiU/LdoI+BIMQNP29lGDF9aTj88nvC&#10;qbNuCxfePTv8bsU14dbHfhVue+yqcM2K34bz75oVzpg7N5x03Z3hiF/eHf5t2rKaOoadtyLsDdQx&#10;QghpNhTiKMSRwU3XYRNq7pm6RnWvqt5QtTH0+QGFOEIIIYSQOBTi2i/E4TWtFOIIIYQQQkgZVm/a&#10;Zu4pe+8r+247B22kpIdcPDmirIgTey1iM16zV0YyQQwWIa6e+r38ICfKCHGxvEVCj0RsvZQ5V47Y&#10;5ZUDjUSsPaBZcy/hnQOkhCaJlLjWSJSZOxtlJM9Y+1M7uEnErgE2vDyg3utWme+sl7doDG1+ELtO&#10;xdpSNH5lrgNDJgaCEIdd346ZeVc4c+7c8Nv7rwkrXrg0vPzm+WHLB5PC+x9OCWvfnB6Wrr4i3PTQ&#10;1eHyxdeHM2+5JYyfeXf46tT73foIIaRVUIijEEcGN109x9feM43qnlW9oWpj1Jy/AoU4QgghhJA4&#10;FOL6R4jbsP3zHd6DTkIIIYQQQjwoxNVH7PWRsd2cYvljO34VvRo0J8pIJoiYDBMTR7y8IJZfomy7&#10;ykY99Xv5QU6UEWFibYu9StJG7FzARiOCjlcOYBexeiPV9mbNPSJ2nlzpEOGVBxBbveMeOJ/+Hse+&#10;Xzl9L7Omy+S1EeufFQkhVXr5AK5puA6WWSuN9i92fZWw+QHWiRf1jl9s3TVjt88BGwVC3EbvYXC7&#10;OezyRdVd4e59+pfhyVdmhHVvnR/e2TIp7Pj0/PDRZ9OrP0OKe7qS9vuXLgkLnpwZLrv3+vDDWfPD&#10;kVfcE746pXa3OEIIaRUU4ijEkcGNFeK6RvVcUb2hamPo8wMKcYQQQgghcYaaENc1+uCP9b1iq+9X&#10;ozvEOQ85CSGEEEIISTHq0HE195Wt/s8dnRAx6QE0ErHXFQIrleB3L1+OQIHzYCco7FoE0SYm1nnE&#10;xI6BIMS1ot8ILz/IiZgI44lnMeEop++I1Gt5bZRplw2vHCia21TE2gNy+58TMSk1p98SsXX1pHMs&#10;hR6vst8vHWW+M2WkvVxsG1OvcRUgBKItOXJvmf7F1lFMwIvtmBdrV5m26Eit7yEbnS7E/euU+8P3&#10;r58f7n3myvD+h5PDx3+4oPqPge9u3ZUtH0wO2z6aGl5/d2pY9eKl1deq/uSmeWHMhUvcugkhpNl4&#10;Qtw55+1f/bPmsCP+qfr7YBHi1m74WbVff7Xb/xUef3pi9RiFODLYsfdMnSDE/fPEc92Hoa3k729d&#10;Hva8fWnYd+HicNjiu8I3lt0evrvy1nDyA7eGCSvmh6OX3Bm671kYRt59b/jKgiXhH+ff79ZDCCGE&#10;ENJqKMRRiCOEEEIIIQODXYW4nrv6bjsHbcSkB9BoxF5vaF+5F2tD6rWDkD5QDrKJVzaHmNhRVtjx&#10;8oIiwSfW71i7EK3sN8LLD3IiJsJ4AlZsjFNts+GVBzbKtMuGVw4UzW0qYu0BOa/zzI3Y+srpt0Rs&#10;nhoR4rx0kDOmsT556ybW9kbw2ljmPBDjYsIaokz/UI+XN7aGvHamdpQr0xYdqfU9ZKNThbhh560I&#10;oy68Lxz/6wXhgoU3hCfWXxT++F8zwp//z8Xhg4+mVuW3zdt6/2GwKsLtmBo++nx6+MOfZ4Qt2yeH&#10;Z1+dEW599Kpw9vybwoEXtVaIO/iyR8OTr38YJH4+f42bz3Lx4g3hlS2fVtr9576SIfzxz3+pHkOa&#10;V6YeUNeLb39ccx78jGPNPA9pHlhTMl9YW14e0pl4QhyEscolNfzmmqOrv8eEOAhmE0/bd+efTStW&#10;neLms6DekaP+dud5wO67/3U4YcLwnaJajIX3nFjNh/xlywJIfiiD/PidQhwZzAw7c4G5XwLt37a/&#10;cp+2Q7eh3ULc/5xXGYs77qsKb6euuiVc+cw14a6XfxkeeePi8MxbF4QVr14Wbnjh6nDBEzeE039/&#10;Uzj+/tvD1xYudupa4RwjhBBCCGkuFOLaL8SNOXTcWd4Dzn5j+2dh/dYPw7p3Pwgvv/N+WPfeB2Hd&#10;1h1hwwef+vkJIYQQQki/MP6kU2vuKynENRa5r02NvXYwtnMRdpRLvaowl5jYERNcYsKOlxcUCT5l&#10;hZNW9xvh5Qc5ERNhMJ42YmOcapsNrzywUaZdNrxyoGhuUxHbERHktCk3YuurzDli8zRUhTjvmgQx&#10;LSb/ekBmtbtkSpTpHyK106K0FZ+x9sXqRZRti0Ts+waGbHSyEHfsrxaG8++aHW577KrwwhvTq9Lb&#10;h59MC5u3Td7lHwchx73/4ZSw/eNp4a3Nk8Mzr14Y7nxiZjjv9jlh7EWL3XM0g2tXbaxKbDpyJDPI&#10;aEWBPF7ZXCBVvfXB5321xQN5kNerg/QPWEMSmB8vD+lMrBAHWa1yOa3KanLME+JuuuXrNUIbgKxm&#10;82kg0O2x53+rKeMhIp5Fy3ceaE+RlId2S360h0IcGcwMO32euV/qCV2jeyZU1n9bwz7kbLcQ98+3&#10;LQtHLbkznP3I7DDrhavDA69fEta9O61yDzY1fPafF4ZNWyeFJ9+aEe5df3mY89KvwsVPXxdOeWBe&#10;2P/uu8Oety8Lf38rRbjByrodn1bvXfDppZPBD9cAGSgs3Li5ulb/8Je/uOmDkaH8/YwJcfhPRZVb&#10;q3DRJYe46f2F/D0Nn3KsESFun1Hds6o3kS2KgSDEQYJ76dU3wosvrw+rX3o5rF67Lrz02saw9u0t&#10;4ZVtn7hlCCGEEEJI+znhx2fU3FfuM7p7dd9t56CNmPQAGo3YDkZAyxpeeux1qaizGVIYiIkdMZEm&#10;Jux4eUGR4FNGOGlHvxFefpATMRHGE7BiY5xqmw2vPLBRpl02vHKgaG6LwqsTQJZqVsTWV06/JWLz&#10;VOZ1pOiTFsm8PCBnTMt8Z2Jtr5ei3fvwStLcVxcjH77TNsr0D4E66t0tEuW8NkiUbYtE7PsGhmx0&#10;qhA3/LwV4dRZt1VlOMhtr787pboTHKQ3/GMgXpH63vvn9f3j4Hk7X5mK9E1bJoe1b54fVrxwWbj4&#10;nutDz6X3uudoBAhk2MnNiyIh7sF12/pyhmodJ1337M40CHZbPv5TX2qeXOeB9ul6sNvY4uc3V+sD&#10;tz6xqUaWQ5u8ekj/kLNDnIiYmEsvnfQPVogTYU0/zNBCHCQy2WXNUiTEyQMcgNeyoi4cxyckOBHs&#10;8ClpAh76SFnUI+JbTlmL5EWdFOLIYMYT4uSeqZ3R30Lc1xbcG6Y+dkN46I2Lw/p3p4U3Nk8Nm7ZO&#10;Dlu3TwnYxRf3ZW9smVqV5Na+c3544s2Lwq1rrwpTnpgdvrX89vAvd3q7xTXG6m1f/EeDjZ98Hva7&#10;+1E3n9DfIsTmz3vv0QablICxR+DTSyeDn6G2BvS15Ljlz7p5SGey4p0v/k7upQ9GhvI12hPi8Pef&#10;ym1VlaKdsZEuf/fC3328PJqc/7QEYuf12lZKiNv/kE36XrE/hLhDvj5hqveAsx1s2P5Z2PD+x+Hl&#10;d7aG59dtCM88+0x48qEHw+P33xcevmdhePjuO8JD9ywIjy5bEp74/e/D82teDmvf3ho2UIwjhBBC&#10;COl3zph2cc19Zdfono19t52DNmLSA2hGxHYmktehxnaRi70uFce9/ADCCmQMK3mUFTtiIk1M2PHy&#10;giLBp0y72tFvhJcf5ERMhPEErNgYp9qmIyZSAhtl2mXDKweK5rYoUnJjbPewshGb/5x+S8QEr0b6&#10;30idZdZ0o2us3kA/cnaM89pRpn8IrJV6hDiUKVpnZdsiEfu+gSEbnSrEdU1aHs657abw1KszqjuO&#10;bNvRK8LJa1LxsHXLB70SHI5BiMPOcfh905ZJVV7ceGH43YprwuFX3OOeoxH0rnDYyU2/MrVIYhPR&#10;CcKalw5BTqLeXeK07JaqA21FOyjEDTwkOHedhRbi8PCicimtouU2LcSJTAbw2lG9a1tKiNN1a9lO&#10;I7vTAbtLnJwXD2v0cQHnlrKQ7bw8AtotdVGII4OaibPN/VJPGDZi7MjK+m9rdI3p+US3YY+Tz3Qf&#10;hjabL81bGfa8fWk4duntYe5LV1Xvzf4SLgkffnL+zvsxXBNwPwY5Drv2Yse4Dz6aFla/PT3Mq5Q5&#10;+9Ebw/733OPW3wg2IDp4+YT+FiF0eOkDlaEsW5BehtoakP4ipj6zwc1DOhMKcX6ewYonxMnfYfCf&#10;k2yaBn8XQj6Nl09j88dI7cZt/2NVKSHugEPe1feKQ02IW7/1o7DmzXfCk489Hpbf+Ntw9/Szwl2T&#10;fxruOu+0cOc5Pw53/OJHFX5YZeH0n4cH5s4KTz3+eHjxtTcrZXe4dZJepl4+s7ou/2q33dx0siuL&#10;Hnoi9Bw5buf3/r//j78JV1w3281LOpNWrnt+pwghZFfOu/zqmvvKfUZ376hcKwd1xKQH0IyICW+y&#10;A1xMHNE7SumIiUQpmaas2BETaWLnqKdNiDLtake/EV5+kBMxEcYTsCDxeXmx81hOxM5lX8eLKNMu&#10;G145UDS3RRHrP8gdg6LAjmVe/d4YxcIrD2Lfz5xoRFQrs6ZjY5xznmYEBNVYe4E3D2X6V+/ucLiW&#10;5EiXZdqiI/Z9A0M2OlmIO/f2OeH5N2aET/94QfWhKv4RUF6X+u6WydVXo258b3J4e/MXQpykI/+b&#10;m6eEuQ9fHY6+8m73HI2AgGgmu7vpXd+KhDiJlMgku7vV87pM7DInkVMeu5HpXerIwECCQlxnoYU4&#10;2YXN7iKghTik42GM/M9//cAlJcRpYS2WDzu7SR4ttenXnMZepwrkIczuu/+1my7o+s66doY7LoQM&#10;BoadPNPcL/WEr4wYu3tl7bc19tn/4E91G9olxHXdcV84dukdYcrjN4T7X720KsT98b9mhA8q91ye&#10;EIfd4j6p3MPhlfcvvn1+WLjul2HKYzeEsYsWufU3go2i3ZpaJUJMfGRNtU6cHz97eQB3iGsd8kpA&#10;7BropTdK7hwPVepdAwN1XIt2iJP0HX/68y5ppH8ZTEJc7jrrhGt0f2GFOP33JPxdRqcJkNViO715&#10;+TWSD38fxN/VYnhlBft3yUaEuK5RPXdV6mpZdJoQt/at98IzzzwTHrj1xjD/9BPD7PH7hZuOGRGu&#10;P+pr4Yaj960ye9x+Ye6xI8P1x4wMC849Lay6bW545ulnwsvvbnPrbCUQpCrDWOXa+QvcPJ3CmZPP&#10;39lWL70diFz25b32dtM7iZXPramKTjJmwr6j93fzDwW0AIbx8fJ0Gq1c953wnSKEkE5jxm9n1dxX&#10;gsp1clBHSthoRkDa8OoGZV+XiiibH1FW7CgrxJXNLxGT3Lx2efma3W+Elx/kRBnxLLbjXa6sFZOd&#10;IFjaKNMuG145UDS3RQEhyatXaEQ4k0idI6f+mFAHCauRiEmw3tzZiJX11nRsjeWcp5mRmgcbZb6z&#10;3ncAfYOEbMcJ1wqIlpjT3Kjn+oGIfd/AkA1PiOsa3TMBaf0rxK0IP7np1rDk2V+GdW9ND29v7t39&#10;DQ9V8fn6O1PCc69eGJ565aKw7s3pVSEOD197pbhJ4bM/XRDe/3BquP2xq8L4K5svxFmBrB4hLrVz&#10;m+xAV88OcXp3OIpugxcJCnGdhRbi5LU6dtcBLcTZ1+TUI8TFpDb9qh2dJ/ccere61GtT9QOlo3/4&#10;bXdcCBkMDD+pdst+0B9CXNfYI7bpNrRLiDtg0aJw3qOzwu1rrwzPvHVheKdy74Xd33Bf9m7lWmDB&#10;PRnu25DvpU3Tw30bLg8XP3V96Ln3brf+RpAQGQqREqJaJUJghyiJobhbVCfIFq1uw1Cf4yLqHf/B&#10;Oq5DcReygcJgmpvcvrT6+tjJWCFO76Stjwv671EQ0vD3J/m7XayMRvIVSW8p9I7gkPZKCXEHHr5e&#10;3yv2hxB3zEmnXmIfbraL59euDw/eNjcsnH5WuPGEnnDr8aPCbRXmHjsizD1uZFWEm3fcqHDHN8aE&#10;OceMCPN+/I2w+FcXh0dXLK3KdF6drQI7hVWGcCedLnl1gryjx8tL7yS+/p3v7WzrvCXLq8cggcnP&#10;QxHIgHZMOh0KcYQQ0l5mzplfc18JcL9ZuVYO2ohJD6BZEZNYYsdjr0tFePmLxKbYeWJiR7OEuFQ/&#10;IKd4ZYDXLi9fs/uN8PKDHIGqjHiWkoSKpJ3UzliQgWx0ohCHiL06FEBgsq/ATQXGDGNi2xUbJ8hU&#10;RRFb143uYJd6/W+qz6lrlbemY/MOmiEclonYWNqI9dHrnyfUlhHeiqJMW3Skxn3IRqcKccMnrQgT&#10;rrkzXH3/tWH5C5eHl9/ufR0XXp+KV6W+umlqeHzdjPD7ly4JL7w2PbyzZVJ4/8Mp1TwQ4rCrHH6+&#10;7bFfhXFXLnTP0UzKCHEirEF6+/n8NbukL36+9394I4rqsmC3N4nYK1nLcOsTm8IrWz6teUUsXvmq&#10;d8ezoE8IlMHvaBNeKSuvisVx1Kn7jrpQp5wHn/gdZSWPBuURGCv8jl3x5BjCew0s+iI77yHwM8rp&#10;PIL0AeHNkSDtlXZ4aVLeOz+O2XKCV7deG7FAnbr9Xts0sh4xfl66oM+dGhPMmdd2tAtzqscAUbSe&#10;7FxjXqV+1KXLNTrmwK4l1Infc7+LWoirXEar6N3ZgBbiLLmyGiQ0/dpTT1iDiId05NPpuefQD4qK&#10;HubI7gl77ruPOy6EDAY8Ia4//kFm+EFHbNdt2PPEie7D0GYz7r4F4eaXrgpr3p0e3t46qSq6bdne&#10;e9/VK8DhVfa9n/I7/rMCfn5985Tw9FsXhuuevzocdd9dbv2NIAEpQB74I2K7xFGIaw2dIFu0ug1D&#10;fY6LqHf8B+u4UojrXCjE+XkGK1aIk78nxV6Xir/7iAgnf49qtxAH5O9Y2FGcQlw+Tz32WFg045xw&#10;8/eODDccOzrMGocd4Xp3hps1br9wQwXsEFfdNe7o/cLN3z06LJj00/DgHXPDmo1vu3W2Cv0qTaGT&#10;d83qBHlnIO0QJ7v/oc1e+lCEO8TV0qq68apeGWf87OUhhJBOZd7SVTX3lQDPsSvXtUEbMekBNCti&#10;r02NkZJVvPyQfmIiTVnxDBGTV2ISVEw8g/DktSslBAGvXV6+ZvcbUUY0sxETYWLiWUwIi42bRKxv&#10;sfEo2y4dXjkQWwtlouh7gfalxgGBdL1TmJ3b1DqAlBiLVNsa7XtKhozJdkVjFVvTsfVcVjj0AuVR&#10;P9pcVFdsrdtAP7x8udcE9Cs1r2WiTFt0xL5vYMhGxwpx560MR/1yUfjFbTeFmx76dXj+jQvCjk/P&#10;D5/8cXr1Yeub700JL2+8ILxQOf7Kpt7dR/DQFRJc9QFt5fOVt6eFWQ9eHY78ZfN3iLOUEeKQLgHZ&#10;RueHrCMBSUiXy0HX3cjOYZCarLjkhScX6TZATBJJyQaOIx11xPKgDZ4UJxIX+ohxioVIdXrXPBtF&#10;fdDzY5HwxloCglVqLGPzLKHrzhXikFcERJxbylvKiHMQzyQgOHp5gCfO5bRb1oOtr2iu9fxI1Dvm&#10;6FcqYtKeRoQ4PPyoXEar2AchzRDigM6LhyV6tzk8NJE0u4Nc7jlSfbDIQ6X/+//7/7jjQshgYPg3&#10;z625XwKVdd/2GH7IuHd0G9olxH3r/tvCytcuCx9/Pj188ofpVdFNrgG9P5/X9/t5O9NwP9Yrx00O&#10;b2yZEu5ad0U4btntbv2NIAEpABKcROyhP4W41tAJskWr2zDU57iIesd/sI4rhbjOhUKcn2ewYoW4&#10;yu1UFbyWVB8XIMHZ/3DUH0Kc7NgNOa+UEHfQEa/qe8X+EOK+derpv/IecLaadVs+DA8vvjvMP/07&#10;va9I7RPhwPUKkeOuhxz3zQPDrT/5dlh23VXh+fWvuPW2gqde27RzrZzy0zN3/gxhyMvfCXA3q3LI&#10;WGHcvHQyMBiIQhx235N6h/KOhISQgYknxA0bMXZk5Zo2aCMmPZQFUlgsIIt4ZTwgdKQiJpagnBZ1&#10;sFNSTGwTYmJHWSEuJbhpQQWiX0ye03jtake/EbGyOL/uBwQlOx4xEQZ1epFaezgfzqFFo6K+xXY9&#10;K9suHV45EFsLZaNoriBcoV/eWOO4Fb7s3Mb6DlAW+bWAijlOSXRF38/ciK1ngPNLm/CZao8QW9Na&#10;FrSgDfju6v4jsOYwblh/ODfyYaxs2LFFXqxRvWaRJ/ad98Yy9p3w+pdzLRGwzgSU8/pto0xbdKTW&#10;3JCNThXihp23Iuw/475wwjV3hosW3RAefPGS6mtRP/hoavUfBvGzBQ9dsUvcpi2Tw7q3zq+UuTRc&#10;es/14ZBL7nHP0Uwg60ikBCrBSmDYgUrvSpUSjlLodniiVy5aJoKQhLrQL4C26bbbXdaQR0LyoW/I&#10;Z3ffEmkLAUkJZa3M5MlmIklJ/fiEdIXy+NTtk3PgU/qhxwl5rXSn+4CfdZpGwmujhLRFn9+20TuH&#10;hFd3TrruoyeaAS2AeeKhRY+7lw5k7rSIh36j/zif7ivOqduJtSFpgp1rPY6oT0tqEvWMuZYDRaTE&#10;cXxK+8sIcXi4UrmMVsErd/SDjWYJcUC/1hTgd9lJAA9OvNepatEN4pxNF/BqHskXe1gk6HZ740LI&#10;YKDruDNr75e6j/3flTXf9hh26DGbdTvaJcQdf//t4e51l4dNWyv3WzumVL7751XvvQCOvfLe1LD2&#10;nfMrn5V7scrvva+x7xXi8J8aPvh4alj26mXh28tvc+tvBAlIAfgdr0uV8OSaInlgzoZN1To2f14r&#10;V+/405+rx+3Oc/pVrWUC5XQ9Gpzj0S0f7tIGiAxon1cGSFsWbtxc/R391+1DH9D//e5+dJeyAMdR&#10;FmWQVwfakirbKtkC7dHjYOdh4iNf/BkeC/0K3Xr6qMcwFt6OhDL+f/jLF/cgReOYAvVhXchYS6B+&#10;nCcmk8kYIR9+x7nRBt3/VHlByun5wM+yJsuugXaOq5xLvhvIK+VRVp9HjmPcUJ++pqAeyYe6EDKu&#10;tnwsMO46P8B5UJ+d26J+2bnF71IHjqEsjkubdPs9kB9h+xRDxkDqxThivJqxttCGorJlr9eC9BNh&#10;09AWPQ+2jqte2lhtl0ROO3NAX1CPzBUi1Q+dzwu7zuz3U75HEsifWmuCN8dF423XCcZQyuMTv0te&#10;nB/XOV1/0fegCC3ElflPP5r+EOL038fmLc2/3xuKQtyG7Z+Gde9tC6tfWhtWzPlduPmU8eGm8b07&#10;wWkRToOd4q7Dz5XPG7/dExb/8oLw/Np1bv2tQL8uFXKc7CaGTy9/J0AhrhwyVhTiBjYU4gghpL0s&#10;f3ZtzX1lL91HVK5pgzZi0kM9pCJX3oCokYocOSaXmNgRk5QgengBscTLXy9eu9rRb0RKILKgTTpi&#10;IgzG0wuIQ1boqhfUo0UkHWXbpcMrB2JroWxg7TRrDIA3t7H1XA/N6nfRjm9lia3pZq4x2/fYusrF&#10;u9ahH15er3+QFxvtG9ZGTIwr0xYdqXEZsvGVEWN3tzcXnSDE7X3uivDVKfeHsRcvDt+99vZwxeLr&#10;wuJnLw8vvTE9bP1gcvjsTxeGj/8wvfqAdfvH0wJEOfz+p/99UXh3y6Sw8oXLwi+XXBe+f91tYeQF&#10;9zn1Nxct9XhykwfkGm8XK4g7Xv4c6mmHBfKPRGwnLS0PQRTSaTivDq8/KKMD59TpkJBEXtJilSCS&#10;FALpVlTSfUAgjxW+9FilpL7UOEqgrlgaQgtWgj6HJ0BKeHXnpGNMJLz6gcyDJ6J56HG1Ywb0Ocus&#10;Y4yPhE2zc23HUaOj7Jjr9aCPl0WEOC2I2QcbzRTiAPLJ61M1VsTT7L77X+/MB4lO7y6H+nBM14l2&#10;6fIWLQB+acKV7tgQMtDpGjex9n7pkG//pbLm2x7DDj+u5pWpe33j++7D0GZzyOK7wsxnrw0PvX5J&#10;WP/OtKrohnsw/GeENzdPDs+8PSM8WEl75s0Lw8bK77JzL/LJrnIPvHZpmLC89UIcHshLyIN/TUqE&#10;kIf2qYCEAOlEymihoEx4bQOQIooCcoAnBojwgD5CTohFrHxOX4rOHetXPVjJRQdkCeQRISgVGAup&#10;s54+5pSxIkhq/BF2HRWR00+EJ0xCfJFAPSmRxisPMB6p+cAYSXruGmjnuBZ9N7TMJAFJx+uz5Itd&#10;S8qKSkVzgoj1q2huZS50n73vryDlMTdeukXGAOfB2kn1I7a2cvqvv8NCPddrIfXngB4r2+ZHt6R3&#10;lI4JYSmKvlsSti1FY2bXmXwH8Kn7b8Ne/zRoQ1F482zXiQ2kIx/GL9Uvbx3koIW41N/TUvSHEIe/&#10;z0ldF/zqOLdvHrsKcd2rKnW0LDpCiNv2SXjx1dfDkw+uCvdddXG4acKhYe6xI8ON4/Fa1F1lOOG6&#10;o74WbjpmZLihku/u838ennn6abf+VoBXflaGb+frNPUucZ36ikMKceWQsaIQN7ChEEcIIe3lsfUb&#10;a+4reznotMo1bdBGTHqoh1TkCjBFuxbVK59hNyZ7LCZ2lBXiEPUIayjjnctrVzv6jSgj+VihLFbW&#10;5tPRqFQEIAXJ7nVe1NMuCa8cSK2FstEMsUnw2tUsKQzf4WaGtzaLQD88uTa1ppsl39mxbWTtYtc5&#10;T+CMXY9j/WvG2kF577pbti0SqXEZstG5Qlwvw89bEUZesCyMn7kw/Me8W8KCJ2dWdx358/+5OHzy&#10;hwuqIlyVj6eFz//zwhDCZeGtzVPCdSt/F4771V1h3+nLKnUsd+tuJlqmSQlUAkQdCDkSeucqhCfz&#10;5FC2HR4i6aFNqTbo9usdyLR0FJOidDtjeXIkKQhdsTZKxPJoectKZboPqXGUsOV1Wko2EyEN/bFp&#10;El7dOelA765m07TU6MltHhhHWatevzCXEmXWr14PNk33IbbTnSBRz5hr2a/oPClEiJNXiAL7YKOZ&#10;QhxENv1wRkts+DkmsuHhiifRxShqC9IlL4U4MljZRYg7bALWfNtj76O+VbNDXLuEuDGL7gn/8cic&#10;cNNLvwpPvTUjvLdtUvjos/N7hbgtU8Jzb10YHnr94uorvd7c0ivEbd3eK8SJOHffhkurr1716m8E&#10;CXmgDvTDfvtwXqfp4wB5IRFAetCCDOQAXc6TRbSYostatJRg0yDgSEAKkHYAtE3KIiAt2PKSLkIB&#10;PtFuKa+lCz1eAmQD5IFooiUSSApaXkK6LgdS/aoHLbvo86EtaHuq/6k2NNLH3DkWaUbGX0sydmck&#10;XS6FiCJoP+rQwgrmVs+5Lgd0uyUfxgj1IE1LPkj3ZBg9NrosxknqlCi7BtoxrrI2pK3Ig3GT/uu6&#10;JOxYAeSVfGiDhBzTFKUDmVcJmV+0C5/4XQL5dDuBHjupB2VwHP2TdazzeWsb4HwS+NnLY5E+xvqg&#10;1xbCtl/3X8ZZp+ny6I8ui98xj8iDc8nxnOt1bG70eNvz4XohgXzyPcGntMX2Lwd9XcYYoC70R8ZP&#10;j603LznrDMh3QAL1oizOg3MW/fmg1wf6r6+f+FnXb8dB2ih90efGepR+yXUG6XpOUT/OCeRYGbQQ&#10;J39Pw9+F9N9niqhHiLPgPyVhh+4yopyUnXhWt9s3j2E9417S94r9IcR99/SzrvcecLaKDe9/FJ57&#10;4cXw+4V3hLsvPCfM/tZB2ULczceOCLPG7RvuPPvU8Mjie8JLr7xeffWqd55msfK5NTvnFjvF4Rgk&#10;ODkGOc6WESTfX+22W/V37C4HqUZ2mAOQ7FISDM759e98b6eUJ6AOHEf7vHKevKPbXfS6131H9/57&#10;h0iAwrXzF1SPST3oW6wPks/WIZSpKweMBebDjhX6InOn0Tv/eci8FWHnGb/L+OGYJ9mhj+gr0uV8&#10;aDfyYp3Y/BpbFp9F44axwXrRa69oDWGNSP1yrBlrCDTSf8yb1A3QDynnrfsy1Fs30jEe6JMeYxDr&#10;F/LqfB56buq9FhBCSCtZvWlbzX1lL4NbiGtE6rCkAvKHV0aT+zrGmKjhAdkDQoxXJiZ21CPElZWO&#10;ZHe1XCEO0ep+S8T6b7FCWWwtFYlnaGe9Ug/KpWQ4RL3tQnjlQGot1BPoQz2CmCb2ylgE6k+9prSI&#10;ZstwCEhYZeYd7Uc/6lnTzZDi7DrLuaZ5pNZs7Dvu9Q/nb3TNCN53oUxbdKT+TBmy0elCnPAvU+4P&#10;R15xd7hg4eyw4vnLwotvTA9rNvby0pvnV36/MKx+/cLw9IYLw91PXRnOmDsv7DttqVtXK9BCT5GI&#10;BtlGS2cihKGcyD+Iot2wPHQ7ciUniwSENC9diIlvOTJZTp4cScpKTZqcPBJWKstpH5Cw5YvShFQb&#10;JWLlJVL1p3Z0E+HQk+VSaFHRrk+RzXJ3nBPQBwmbljOPgkQ9Y65lP3yiDrvzYA4ixKUemDRLiMMr&#10;dERqw8MVyY/XpOod4GKvRV274Wc1r1gFqA9tRx36FT0U4ghZWRXgau6Xjvh+2GPSqt0q676tsde4&#10;E7bpdrRLiPvKgiXh68tuD+c/eUN1pzfIbp//5wW9r6vfOjm8sXlK9bWp+Hx3W++rVCHFQYjbtHVS&#10;WPfOtHDLmqvC+CV3uPU3goR+gA9BQR68WzlGHswj9PEctCxh0/DwXkI/yLeINIBPm4a2ItB2LRto&#10;tJhkhQ0tJEBusFKCHhdPKCtC2ue1PdWveqinvma0IdXHnDnGmEt48grQYo2dw3pBPRK2bbrdCE+I&#10;0t8L227dXm9csK6sMGfzpGjHuMraQGDti8zkoSMl4BRdS3KuNfqaElsLmC8J2x47t6n1JGs79t2X&#10;tuAa4aV76D7Grlup9ss5U9cjWVv2Wl6EHlub5s2Nzu+NY858lkV/b+3YCHpde2OQ2y77HSj754Os&#10;H0h6Ng2gvOSxfclZJ0AC+b30etFCnPw9DZ/67zNFlBHicv7jUezvaBap619HfMntm8eQFOK27ghP&#10;P/1MeGDenLBw6pnhxm91h5uOGRFmj4+/MlWYU8kDIW7+aSeE5bN+E5585KHw0utvuedpFiIFAS20&#10;iPSCT51fA+lHykIk0vKPxRO29LljoE7UbcvG5B1pN6QafVwTk570zngeVsgRsQif+jgoW1cRRXIb&#10;QJ/1HBaV0SJYiqJ5tv2HvKTTLbE5BUXj5q2jnLHxyrViDYFG+p8qi/Zoycwrn6KRunPkNrv+yghx&#10;jVwLCCGklXhCXOV+dnLlujRoA1JFrgCVArs2FQWklJjAgeMxScQLvG7Qq0ej67RCDKSUngpeQPiw&#10;og7qKtq9DucqElRQr5aL0A99Lkg/sXYhWtlviVzRxr7yEeNjy6E/ur+xQHvLrkNIhWhrUXjtwjgU&#10;iT0Iby3krPV6A2NaVlzDuOUIehirsjsZou4y38uy4c2NB8Zc5hrrV89JzppG1LPGBMyJF1jbdn2k&#10;0P3wAv2w8x+7JtSzK2UKO89l2mLD7uKX+30btDFQhDjwb9PuD1//9YJwzm03h6uWXhtueujX4Y7H&#10;rwq3P3ZV5effhJn3XRvOvvXmcOI1d4SDLllS3V3Oq6cVaKEnJVBBuhEZDvKQtxOV3mUrRwLSaAEq&#10;JQXFSO2aZtHSmM6bI5Pl5NFjatNyJKmcPBK2rzntAxLeWEmkxjHVRolYeYlU/UAkLys4yvHY61Rj&#10;6J3lsN684zEZE/khy8l3wAtbJmceBYl6xxx9EKlPAvl0P4tolxCnd3jDuSC36XT8jocsUldsp7gU&#10;kOKkvH6lqgeFODIU6Oo5vvZ+6bgzIcTtXln3bY29jv/ee7odw8ZPcB+GNpt/vn1ZGHP3PeF7K+eF&#10;61/4dXju7QvCW1snVYU3iG8Q47aCys+bIcRtn1zdGQ7XiBc3TQ+LN1wRLnzy+tB9z91u/Y0gYR+g&#10;6wfwWgDKlQc8UmVzpB4gUoKVhvTuOykZANKBhN35SOqGlBATflKSSBGxthel1YO0M9UXSzPakKoj&#10;Z45ljXjiigbCCSIml5Ql1Tad5slwQAtndv3pdR8TWYD0qez4t2NcZV5TMo4ggbpSa0+PSz3p+rtc&#10;NGbSLyur6bGLCVVC0TyKDFVmTeauDRGl7PxJpEQ+fW3MvRaA1PjbNH1djLVFy2tFaygXPa+pvmFO&#10;JOy5i9aZIN+B1DU19ueDXmdWpNNIO9EvfVy3MTXXsk7sn22NooU4/XcoOZZDGSEOf3fC39fsMfsf&#10;l/Cfk3QeDzlvGSFu70OPWafvFYfKDnGrX1gTHrr7zrBoxrnhxm/3hJvGjwyzx2UIcX3i3NwfHBcW&#10;XzkjPLzknvDC+lfd8zQLkX8gr+jjWkzCTmc6TdCilEhSkKOQH2m6DqTbHaQgKeH8yIf8chz5tKxk&#10;2wZiMpM+niNdSZu04ARxSI7jU9qZK8TVU1cKjKfUh3GU8QKoT9oBYhKXpGN8vPQU3jyjX3J+TypE&#10;PpxL9xP9kPWGTzkuaCkK6fgd50A56SPq1WX02KBNes7xsx4bO+axNaTXR2yevDWkjzej/xhbGWPM&#10;q6QJtnyKRuvG2CIf6tFjjP5p8Q3puhzQ6wc/23SAdqBdsrblOMZWz5N3LSCEkFYz6tBxNfeWXaN6&#10;rqhckxgdGJBpIFlYyQW/50hYrQqcG0KIFmUg/aCtOQJXUbSr314/8DPOY2W4ZgWkHOmbFY0g48i5&#10;MQaDOSAdYce32DhgXuodB5RBWdRhhSeZX5wbc9Gu8NYa2gbpqxW78ckas/2X8yIN7UG+nPNjvtBW&#10;lNN1yXiinmau2dgubDifJ6zh3CiTkuha9Z1mVKJAiNvhPRDuT/abviwcccXd4Tu/uyOcOW9umHzn&#10;nDClwn9Ufj7p2jvCgRdBhPPLthIIOBIpgUrLbql8ehcuT5qLoaWksrt0AV2+SLTS0pjOmyOT5eTR&#10;Y2rTciSpnDwStq857QMS3lhJpMYx1UaJWHmJVP3A29ENwppEmfUliDQGsU2OySt0vR3ntAhaFLZs&#10;zjwKEvWOuQABTvJJ4He7I55Hu4Q4/aofK8Np5IEL8nnpKUSoyylLIY4MBawQN/yb54Y9zl62Z2Xd&#10;tzX2/MYpNTvEtUuI+9ItK8KX598fRi68N5y0/NZw8ZPXhsUbLqu+LvU///dF4Y//NSN89Nn0sOPT&#10;88OHFT794wXh/4TLwid/mB5WvnZZOOfRG8ORSxaEYbff59bfCBJ44G7T5OG6lg1y5QGPVNkcqQeI&#10;lGAFGF13SjgAWu7xjtu6NY30P1V/zrnLoMcT8wiJokiGaUYbUnXkzLGUz41G2qpJtS2n3UDCfpek&#10;T3a9WVJjlyKnfY2Oa5m2SdhxsBR9l4rSdb9TkhDQdWkhKndugZYerfRWr+xV1EdB7yAox3Tbc6Oo&#10;j5pU23Sals1S84Drj0iD+EQdRdfqIiSKZEY9VlZqzZ2DnO9ArC59PDdi5fVxi86HdsZ2gyyLFuIq&#10;t1JVWinEpcDf3UTKA6m/y4GBKsT98Kwpt3gPN1vFhu2fhrVvbQ7PPvNsWHbdr8KcCYeHW44dVfjK&#10;VCBC3M2njA/3XjI5/P6u28IL69a752kGWtyCkBJLgwyj0wQtugBPhtEyC4Qgm54C55WyNi0mM0HQ&#10;keOQa3SaIFKSlmti9aWICXH11JVC2gvJSstIGi0l2bkEkoa22bQi7Dx79QM99rG5jq05iE8i26G/&#10;WjITkB/p+piMTWyuUY/kseu42Wuokf4D6T8+vf7r9gKbnqKVdQMZD/tdADlCXBGpawEhhLQaK8Tt&#10;M6p7VuV6xGAwGAxGR0RMbMsRYq20J0DaY7QoPCFO3sfeiULc8POWh3+btiyMvvC+cPAl94Qjrujl&#10;0EsXhzGVY1+Z3L5d4TQQcCRSApWWbLx0QQtZRcKTRXb+QtTzykcJu6OYRbdR7wiWI5Pl5NFjatNy&#10;pKacPBJ2jHPaByS8OZJIzV+qjRKx8hKp+oGWHGWnM5HktNBWBi12yhoTSc7bcU76iUB7rYSHYxL6&#10;OMiZR0Gi3jG3oG8QSyVydtNrlxAneYoe5JR5BatFHtTkvM6HQhwZCtj7pY4R4g4/3n0Y2iq+NK9y&#10;r3X7knDYkgXVHd+eenNG+PCTaWHbR1PDO1sn9VK5LmzeNqkqw0GYu/b5q8Mh9y4MX7p1hVtno0jg&#10;QbpN05KHpOc8mEc5CByye48XtkyumBKTEmI783hIHQjvuK1bU9R/SB8QLlCHCIU2vPpzzl0WzIMI&#10;KBIYp9j45rah3j7mzLG0ITesmFQEzosxSJ3Hti2n3UDCfpfkXN6YaHLzWXLal+qvF3Zcy7RNwrum&#10;aIq+S0Xp+vqUmheg69J5c8ZOE3v9qBy3O3sVUdRHwcun254TuBZ4Alo912vdHr22igQsyIL2moHy&#10;aIOXP4UWFNEeL4+gx8rmzZ2DnO9ArC59PCdSO8Tp4x5aUERg3nGsEfmwk4Q4gJ3hpK6iv6PVI8QN&#10;O+y4V/W94j6ju1dX6mhZdIIQJ7z89ubw4B3zws0nHxPmHjMy3Fj4ytT9qtLcrMrnLT84Jtx7+bTw&#10;8D13hRfXverW3wxkNyvgSTIiuUCisWlAiy6eDAe0JFRWxooJS0Vpsd3EgBaStLQkshWISWeWmBBX&#10;T10x0EapKzV+mD/J5+2ilVNHDD3PMTkSyJxg3XjpguxIpmUz3U8rimmwnuRn3S593CLr3O6el1pD&#10;0kavL7E11Ej/c75LQH9nvXSPVtYtxL4LQJ8fP9v0HFJzRQghrWb8SafW3Ft2jeq5q3I9YjAYDAaj&#10;IyImteUEdv/zyjZzd0mGCe8frjpZiOtUtNCTEqi0GOSlC1rIgnzk5Ymh25K7S5wW50RswqfOY9E7&#10;j+nyOTJZTp5GJamcPBJWoNLti70uE7uFSXgCloSXJqTaKBErL5GqX5Dd2fCJdos0WXZtCbrvkMT0&#10;eHk7zknEhDL0QcKm5cyjIFHvmMcoU0aEOC2i2Yca/SXE2df2pCgr0l10ySE781OII4OSs5aYe6We&#10;MPyEaWGPXywfWVn3bY09v/OT7bod7RbihL3uWBq+cf9t4cpnrgkL118RVrx6Sfj96xeH3792UXjg&#10;tUvDfesvC7etmRmuevaacNLK+WHvSn6vnmYgYSUBQSQJPFSHCJV6MI/0lFShw5bNFVNiUoK3g1IM&#10;qQPhHa9HeACQPayA5oVXf86560HkNSuhWOEJ5LShkT7mzHGrxgFoaTIVtm25a1PCfpdy+1Rv39sx&#10;rmXKS8SuKULqu5STjnUtkZoXoOvSeXPGTqMlPJG/8B2TsLuPFVHUR8HLV7btlkau17o9qEeuL7g2&#10;5OyQh3GUNSWB31GXl98D55FAe7w8gh4rmzd3DnK+A7G6cs8Ro2x5yG+4xutrNX6uRzwEnSbE3XTL&#10;13fWhb93eXmEeoS4vY/61ov6XrE/hLjv/OTnC72Hmy2n8uckXnk6/ycnhBvH9cpueG3qrMirU687&#10;at9w8zEjq69XvfXH3wwrZv82PPXow2HNxnf8+puACG+x1xBqCcWTlHJFF8mD+rz0GCkJJpWmhTS7&#10;U5fsNGVlOQhlehct1J+SrEBMAqqnrhi6n7ntsX0DUgfqs2lF5M6znD8XPW66n56c6aHL5BIrr4+D&#10;lNQYW0PN6n9Koky1OUYr6xak77pPQu76SdFI2wghpFEoxDEYDAajkyMmxBW9lhWvbLav4M0ty2gg&#10;kkKc90CYuGihJyZ4AS2R5eYr+0pLLTwhUnIQ6oYkpUUf3ZdYWb3rmJWEtBwV62NOHt0Om5YjKOXk&#10;kbD91MKXV17GTcIbJ4nYGIJUGyVi5SVydi2D1CehxxX99PLnIGsU4mTRjnMSsb7oXdhsWs48ChL1&#10;jnkM6V9OGU+IsyJaM4Q4/SrUZr8y9TfXHL2zDbkPinS7/9cZd7ljQ8hAZtiZC8y9Uk8YdvLMMOyc&#10;FUdU1n1b459P+Y/3dTu6DjrSfRjaav7ulhXhX+5cHMbdd2f48YNzw/lP3BBmPntN+HWFy5/+XTj7&#10;4dnhG0tvDyMW3lt9EP33LdodDkhYSUCwIkHqwbwWHJDPihGpsrlyR0xK0HUX7YQjddhdeGJ1a2J9&#10;gMgh8oGIB7Ydqfpzzt0oGFctwNjdnIra0Ggfc+ZYyqN+L71e9LxBnrTnT7Utp91AAufSx3P7lBq7&#10;FDnta3Rcy7RNwo6DJfZdyk3X/S4SfXRdWrrKnVuNfAfkNZ04t0QZoQsU9VHwhF/d9rIiHpA5RaAd&#10;Za7XNk3LabjG5I4Drh+6b56om0JC5iKGHit73cudg5zvQKwufTxHGLTkttED61PWLD6L/nz06DQh&#10;Tv9nolbsELfXuG/XvDK11UIcovZ8PeH7Z56z1Hu42Q6eWLUy3PmLH4dZXz8gXH/U1wqFuLnHjqoK&#10;cXf8/NTwyOJF4aVXXg/rK99lr+5GydmRCwKW5PGkuVzRRfJAavHScX7ULztnedgyRYKMCGl2RzM5&#10;rnfnEiALiSQoQPCJjU9KAipbV4wyr4qU9nh55XhsDlLkzrM+fw56Dsr0U9BrIIcyO8TpHfdy11Aj&#10;/S9az0JuPk2z6saYYIc59NOubQFptlzu+gH1XAsIIaTVnPDjM2ruLdtxP8tgMBgMRm7cWsG7cX6t&#10;wskV9qigA7/jeEyGg2DHaGFQiKsPCFEQuQQtsGHXLZ1my0lAWkNevbsa0nVduTu8WfAKUx2QlnS7&#10;IEhpCQnnlLJWqIMEhPwoh3p1+5APbdbnRj4J2/8yebS4ZdNypKacPBKeQCXlEfgZfUdbIaDZ8MpL&#10;1CtnScTKy05+mAOZH+T1xlMLfjK39a4tQa8xqTO245xuq369Ln7W44zQ5UBqjCwS9Yw5xgOgTSIK&#10;4hN9kkjVK4gQhwcblctoFewAoB9qaCEOshzyCng9qZTDgxKdpuvQD1EgveEcWozD7/qhDfLr8hDk&#10;Djvin2rOARFOl0Gex5+eWFMuBupCmf/X/+f/7Y4LIQOdYafPM/dKvULc3uesmFBZ+22NThHiwN/f&#10;siLsc8fSsP+iRWH80jvDiSvmh5MqfGv5beHwxQsqaUvccs1GAg/cvXQgIgAepkNYkLD5JGJSQ+qh&#10;fq6YEpMStJSSkmMgA0hYiaIR4SElXAip+nPO3Qy01GbnvKgNjfYxZ471+qpH3Igh7bISpJBqW067&#10;gYQd15w+YV5kl63Y+MfIaV+j45qaV4tE6poCUteDnPTUd9kiY4tPfTx3bjV6LDFvMjYQu7z8KXQf&#10;UxKZfGf1+kV+iaL+e0jUc7320vQ1uOxYlFlfmti8WjA+Enb9F60zIaeNsbpwvZRI/fkUI7eNMepZ&#10;5xotxMnfd/Cp/z5ThP57kpdeBl1X0d+38Hcy5KMQl8+zzz4X7r92Zrjz7B+Gud87Ksw6dky4/miI&#10;cftWmXV05XO87B6HY/uFWV8/MCy68Jzw1KOPhvVbPnDrbQZaQMrF7tyVK7pIHgg3+jjqS4kvGl0O&#10;FMk7un/Sbi0BpnbKgpRj5Sb8bvsveTwJSMitKwbkICnnpWv0eWyaHLdzkEPuPOeMR4wy/RRyRa8Y&#10;ReWlTXonuNQaaqT/uX2pp8/NqBt9FREwhdf3nPXTyLWAEEJazQ9+Prnm3rJrdM/GyvWIwWAwGIyO&#10;iK9VcG+c6wCSHHeHa3FQiKuPMmEFJb1bVyog7DSygxfOK6JSKrzzQHIrKot0K8MBnFfCk7Ny80A+&#10;krBpMalJk5NHwhOdisYAopScwysvUY+cBSRi5fX46IhJaVpkRGgxrV5EdJOIrVctz3mh22bL5syj&#10;IFHPmMvxWMjrZnUZDxHiIKdVLqNV7GtwtBAneXKwUpyW51JMPG3fmnJAHqzE2GPP/1bqFauyE92e&#10;++7jjgshAx1XiPvhNZW0FdV7pnbG/zr15x/btngPQ9sBdon70q0rwj/OXx7+1233h71uWxb2un1p&#10;2LPCl+e3dlc4jQQeuHvpQO/+I2IGwuaTiNXl7XIk6Af2MdkKxKQELXrhMyaX6DZYMaAR4aFIOEB7&#10;UsJTzrmbhbTDzpO0oR5pDBT1UZePzbHOU49gFKNofFOv3yzqtyBhx1XLMF6fMG56576ya6Ad41o0&#10;fhqJ1DUFxL5LXnrs+yztQsTmRs+tbVPu3Gq0iKfbmLpuxdDlcd3ydg/TeexOcLr/ZXcek7BjIqSu&#10;17pN+rgWz2L1eki5smtftyN2Pv3nl1e/riO2zoCMdaqNsXFBvfLnE66RqfN4xOrNRa/Z3HWu8YS4&#10;Mjtog2YJcWV345a83/nRKLdvHnuNP/G12nvFoSXErXlzU3jqsUfCyltmhQWTfxpu/u6R4YbxI8JN&#10;x4wIc4/F61FHhJsrn7ceP6p6DDLc/H//Trh/1tXhhbUb3DqbRY7cYrG7m+WKUpIHwo0+LgKRpFnB&#10;KCXoFEk+qEvSpd0iydmdwmJghzwtasV2BMsRoIrqiqH7mfvKVK9/Uoedgxxy51nOrwWyXHQ/c2VB&#10;XSYlOMYoWkNafpNX76bWULP6n+pLUZs9Gq0b8yHXC3zi+2TXYuq7kLN+pDxAO8pcCwghpNWcd/nV&#10;NfeWlfvZHZXrEYPBYDAYHRPTK+y8Ya4T7Chnd5NjtCA8Ia5rVPfkPSat2s17IEx6yRHNJDxpDLvC&#10;YacxK+FAMMIuVZDmbJl6kB2ucB7dZpwHElJMRgMoC7HIthG/43hMDkJ/Jby+5+aRnbnQbpsmu9ul&#10;djnLySNjEpPIME8YJ8mHT/wuu/rJObzyRXWDVBtzymMetJSGevSOgxotIaJuL09ZtJSXGmeA8yOP&#10;9AuB32UN4rjXLuSRvDbNkjNmsfpi30n8nqrPIkIcgFRWuczu8qBDC3FFYprGE9QgyUGMk3MJ+B3H&#10;rURny4nIBtAW7PSGhzRemRha/jv6h992x4WQAc/E2TX3SgDH+kOI+/Jp5+2wbfEehg4lJGIygaBF&#10;BwmbR2QoPPjXcgh+1uIGQpcD+oE95CCUwYN7nFfLAykpQUsDaAN2PkIdACKJtA+Bem35RoQH236R&#10;U9B27Aikz+3Vnzq3yFJem2PgfMiv5Qe0Uc+jFSN0GvqJdLRdJJxG+1h2jhGQcnQ7kQ/lUAZzLMeL&#10;0H1Df+R86INOQ9hxwe8SNk0j4X2XZA4R6JP0HXlFlJFPb+xStGNcpWxO2yS8cdDEvkuC3XEM7UUb&#10;9Y5mOKYD7Zf+o7zuM8ZGj4ctr8ejCJlPPXdeviL0GEjo65ZemzhHqv1IR5+xHiQd6xvrHe2189HI&#10;9To1d3qt63oxh7L2pR/4RPskitaMIOdYu/3TnXOAQLsxBhgXnMeOn1yzNDnrDOR8B1LjotPQfj0O&#10;AOfFOTEv+DlWVh/XoG8oi7y6n/hZr1e7hnLQQhz+s1LldqqK3mHbgr8vafTft/Rx+3c0+TsVzoNd&#10;uyWftxt30X9AQrrkP/vCI9y+eex13Elv6fvEduyooc8H+lOIe+X9j8PaN98Lzzz5ZFg++5pw16Sf&#10;hnk/+kaYM+Hg6mtUZx23f7jh2NHh+mNGhhu/dVCY/+/fDYt/eWF4dOm91XJunU0AQktlqKpYyc2i&#10;X5tqJaBcUUryQGrxjsfksJQEkyPIyI5T+NRSD1776OWPEZN9UhJQjLJlcudKz5N9xSeQNDsHOeTO&#10;M+ZR8hXJe5Yy/ZSfc177myJnDcmakTFNraFG+p/bl3p20mu0bj3/IgZaUus6Z/1Iej3XAkIIaTUU&#10;4hgMBoMxEKKnAqS2nTfOmWBXuJ9V+L8rMNoUtTcWFOIIGYxAYBRhDFKfl6csWrJrlsQ50NFCHHZm&#10;q1xiq+gHG1qIGwzgQY/086czJ7vjQshAB7vB2fsl7Bq31y+WT66s/baGJ8T93ez2vJq0U5EoEhEg&#10;WWjxAGHz4AF/KrScYMsCK2FI6If7RVKCPkcskMcr26jwAJkhFdI2r/7UuSVS7bIUhTcGWq7RAUlE&#10;8jTSRyD9tKHnGMJGLJ8NXXcKb/3qgDAi0oiVUfS42DSNhPddQv9S58e4ytoqM89Cq8dVyuW0TaLo&#10;mpL6LgG01xszHNP5tNAUC8ytJwLlzq3FntPKU7noMUj1A33Wc6lBudTakrDz0cj1OjV3et50u4vW&#10;XmyOPCRQZ9F3C5Eav9x1lvMdKFrTRddPCbsWi+oFei3HAmvFK1uEFuL0310gqum/1wg4Lnly0GVz&#10;/sMT/lNSzm7ceje5eUsnun3z2POEH/a7EPfDs6c+6D3cbBcbKt//NRs3VaW4h+9dFFbMvSHc9+tL&#10;w90XnB3uOPvUcNt/nBLuPO/0cO/l06ppjz2wIrywdn1Yv/Ujt75moMWXnN24RHYBWvTJFaUkj5Wx&#10;YseFlPyTI8hoyUrnz92BTJBdwazsk5KAYsTqimF354q1XY+VNxeSFhvrFLnzrPOhPV6eGFro++//&#10;42/cfsp8yu96bGJlUuSsIS25QYKTn71zNdJ/1CdlY32RtSPY9BiN1l00/6gP9SLdW9e6fEyok/R6&#10;rgWEENJqZvx2Vs29JahcjxgMBoPB6MjYowIEt6UVnq6w80a6DwhwSMOucpDoGP0Q9saiT4jb3Xsg&#10;TAgZmOhX9TbjdalAv+o053WiQwEtxOn/0Y8HL3J8sAlx8upWPNi59J7r3XEhZKAz7OSZNfdKYNiZ&#10;C/pHiPvZBdttW4a6ECcSkOwClkKLF1qS0uChPNK0YCC77iAdx61oIEBMgIQhZfFpxS3UhYidH0gb&#10;9I5l+Fm3wyOnbtnNKNYHjJEWP6QPELIgZCC8+lPnlkiJGBb0E+eV+UWgLagfIoxXBiBNl8HPdszq&#10;7SPImWMB50E9kheBn3FuCCJ6J6wckB/n0usC/RNJRObAijPSJ0RMqgHSzth3Sfquz49zyvjK2oqN&#10;XYpWj6uMTU7bisZBKPouAYy3nBuBsfPqlbm16x19kvn1yJ1bi5WoypTVWNFJrl0S6C/6VbTWkQ7Z&#10;Svcfgd9RPjYGcj7dF/wuaxLHvfkpmjuMh9Qp61DaqK8dCPxetFYsEiiL3zEfGEuvbhxHuq1Dk7PO&#10;JB2f+rgmZ01jbDEm+jqAQFsxPjL2mpx6gXy3dd2yhupdo0ALcXp3a+zipv9eI+i/xxUBAU6Xffzp&#10;ieGiSw6p7gan5Tj8jGOQ3FI702nkP1ih7LNvX+j2zYNC3Odhw/bPwisVNnzwSVi3eVt46bWN4dln&#10;nwuP3HdvuH/2b8L91/06PLjg1vDEgw+E59euC+ve2+bW0yy0HCO7XhWhxTK9M1aRKCNIHiu7iEQD&#10;qUmLMvhZZDNBlwM5MpPuq4hTMVEJxwHOLcIQPrUEZdsfE+LqqSuF7iv6AUkL4w1Qp4wjiM2ppJc5&#10;r5A7z0DPG8ZA58cYYEzQRvRDlwNaPkOf0DeURxnUJWm6jB4b7ASoxxygPOpFfbbtuqw+rtGv3i1a&#10;Q6BZ/Udf8L1DeXzq74rkseVTNFK3lhVRVl5niv7o8sB+F7zyGAOcG+Mgc6XbgHQpi5/1mAJJI4SQ&#10;djFzzvyae0uAt51VrkkMBoPBYDAY5cPeWFCII2TwIa8K9V5LWi+y41zO60yHClqIA/JKUkhjcmyw&#10;CXHyoAcPlCjEkcHK8JMurrlXAlUh7pyVV1RvptoY/3jO5dtsW750zQL3gSghnQAkEomy0gghpHWI&#10;fAXhyEvPwQpxpBheE9uPFuKAvP4Ugpo+3mlIO/EK1lJC3Ik/3qzvE/tDiDvpp7943Hu42Z9Aenvu&#10;pZfDE79/MDz+wMrw7LPPhBdffT2s3/phTT7IdFWhTh1rFAgslWGqosWTFJBWRJaBuCLHIbVIXVr8&#10;sUgeK2Ph/JLmAWFGftblQI7MBHQdINZnK91YIPJo0UqXsRJQPXUVYfvhgTxeWSB5Wi3EoV9F/Rfq&#10;KYv1a8tp2SuFbXvuGsJ86Xq8NgiN9t+eS4N69XfGlk/RaN1FYyzrE/XYsiA2JiLXNXItIISQVnPd&#10;nYtr7i3BV0aM3b1yTWIwGAwGg8EoH/bGoirEnb1sT++BMCFk4HHSdV88dGnW61L1jnN8XeoXWCEO&#10;uwNULrNVaUyODSYhTr9yCLshUIgjgxVPiNv7rCVhr3NXzsK9VDvjH35xac2uH+BLV81zH4gS0glg&#10;Zx8Ednry0gkh7UdLWfW+LhVQiCsPr4ntxwpx8nc0kLtbW7vB362kjdhVrpQQ952f1Owm3B4hrrvm&#10;lf6dKMThNarrN28La958t8I74eV3tob1W3c0XX7zkJ22tNiWgxZi5LWpevcsEVs8RKbTu8sJkJTQ&#10;Jr07ld5ZC8eBLSe7rXlpGi1zpfKiT+ijFXfwu9duIGOJT328nrpykLHSO3LhZz1eMWR86zl/7jxr&#10;II2hXXJegJ8xBhDRZA15oKweO5SDEJUqg/4jjx4bgHowF9745K4hLWvlfm8a6T/StbyGn0XCk7ko&#10;anOMRupOzYuUtd8FAUIe8sp4SFmdR9a35JH6ZO5wHOgyhBDSDuYtXbXzvlLoGtGzZ+U6xWAwGAwG&#10;g1E+drmxGNVzBYU4QgYPi5/vfUUNolmvS5Ud5xB8XeoXWCEOD1hkBzU8yMCxwSTEYbcC9E12wKMQ&#10;RwYrw0+YVnOvBHB8r3NX3lW9mWpj/MPUX71h20IhjnQqWrrxXqNHCOkf5BWWiEZeRUkhrhy8JvYP&#10;VoizsplO6xT0f6zC3ylLCXHfPf1TfZ/YH0LcyT+b9Jz3cJMMDSDiiGBjBRxCCCGEkCIoxDEYDAaD&#10;wWhq2H+4qgpxv1g+0j4MJoQMTERe2/Lxn9z0epDXpT75+odu+lDFCnEArxKtXGp3vpJnsAhxeDCD&#10;fuEhDR4q4RiFODJY6TruzJp/hNnnwCOrxynEEZIGO08hGtmBihDSfPCaVEQjr0sFFOLKwWti/2CF&#10;OCD/sQefNq0TkNelyn88KiPE7fH9f//P2nvF7h3Vm8gWBoU4osGuVpVlUSX2ulRCCCGEkBgLH3pK&#10;3cv2MmzE2JHVG09Gcewx4vDdNHjfrAZ2oQaDK1Ru7I8A+lgKW5eHPjfa09dMBoPBYDDaFhTiCCGk&#10;HPuev+tDlYHG6tcvdPtGCNkVK8R19RxfPd4fQtzfz/jdq7ot4O8vne0+ECWkv/nDX/5SfS3gfnc/&#10;6qYTQtoPdoSTaFTMohBXDl4T+wdPiFt4z4k7hR35zz2dwopVp+zStjJC3D//6Bd/qr1XpBBH2gte&#10;uVhZFnzVIiGEEELqYlAKcSKniSSGDol81jW6ZwLYZ/RBp4GuUd2T8aAe7DOqe1bl867KsVWgkn81&#10;wDbQvTfhQu2ADRx624/+9PVptfS1t9+9YBz6xqIyLhif7snVsaqO2xcCn4h3fcPOYDAYDEY1dvmz&#10;svJnyrBzVhxhHwYTQgjphUIcIUOLrnET1d/Te0LXYROqx/c6d+WqvtuptsWXLpvztG4L+IcLr3Ef&#10;iBJCCCEWeV0q5Cy8wtPLk4uuy0snpBPwhDiAHbwrt1bVHb299P5i4mn7VtuFTzlWSoibeG7NfSL+&#10;za96E9nCsP+uSCFu6LLyuTU7hU6+LpUQQggh9bD82bXqXlboPqJ649lfYYU2NKgXkdi0wOaJa7ZD&#10;pD30ynbVuVBynRbrINUB2fGOQt3ACPlOYr5ioqknmQoiWfathz75clcZM4Uq31fvF7Jm9bx9awvt&#10;0esL7e7rBoPBaFNUvouVPwvUnw+V7+7e56yYYB8GE0II6YVCHCFDi5gQV2F13+1U28IT4v5xykz3&#10;gSghhBBCyFAnJsQNJAaaEHfCj85c6z3cJIOfqZfP3CnE8XWphBBCCKmHx9ZvVPeyvcApqd54Niu0&#10;SKPlGUgtvYJLr9TW+wCdQtvQBPPeK9J9IT31CnR6R7q+JcUoGSK0icyG7yHQ30X9fRyc30ktbPaK&#10;eH393SlrUtRkMJoT+J7p7x++bxTiCCEkDoU4QoYWXUd8X/09pXKvVPm9L639QtyvbntctwVQiCOE&#10;EEII8YEQ98tnfzegOf+J692+eXSCEPed08561Xu4SQY/8rrUL++1t5tOCCGEEFKEJ8TBj+m988wI&#10;iCOVG9Tq7m0i1QxOmYZ0Elhbu0hNVbmrd3ewwSg0eVJbb5+/2DlxcAtt7adv/JSoWSvPUZxjDIQo&#10;lNIrx/uyNi3wvan5LkGIO3fFafpB8MBlhXOMEEIag0IcIUML7AhXc68kQtw5Kzb23U61Lf72+nvu&#10;1W0BXz77YveBKCGEEEIIGVr0hxDX+2/yX5yTQhwhhBBCCKmX1Zu2qXtZoYQQh4fru1YwsPiX0d2f&#10;ga+O6d6235iD3hqx/0HvgIP2H7sOHHzA2NeOOPDAtceO7eX4sQe89p3u/TcKP+wZ8w740cGjt4Mz&#10;Dh39OfjZoaMDOPewUTuZdtjI0ujyKeR84LRDevlBz5idnNR9QPjWQb0cM/bAKocf2EvPgWOrjNm/&#10;u8q+Y3rxxmugYaUmLTZVpRAl0ukdwpqFCGyou/f7sqvItlNMqbQRMhtAm6vtptQ2AMD8GHGuT5rD&#10;3ENI6rtkMhgNh5Zjv7iu4FqC69oXUnofhdcO1NNXddOi99zqHB0oxHVNWhn2mbQifHXa/WHE9KVh&#10;1IX3hf0vXBIOmLGk+vN+5y8N/1ZJ++rU+8NXJi8Pw8/z6yGEkGZAIY6QoUVXz/G192PjJvam9YMQ&#10;9z+vu2eubgugEEcIIYQQQgCFOEIIIYQQMpBpWIiD8LNrBa3lq2O6/wuM3L/7jwceMPYPBx8w9tMj&#10;Dxz70dfHHvDpCd37f3xyz5g//vjg0X8QGU3EsosO7+WXR+4Xrj6ql+uP3pdkgLHCuGH8tICnpTuR&#10;7USyE7nOm0MyFKhKYn30vCX865ietb10rxf+bUz3q+BrY7rf0EBQBZBVQeXY9n8d3f2HL84xsMBf&#10;5nuFx13FOYDrad+llTGEwu7g1ssXsizWi5Lc5DvlrrF6aIUQ19tedY7K73v9Yvlk+zC4v4Dctu+0&#10;ZeHgS+8J373ujjDpjjlh5n3Xhhse+E2Y9eBvw5X3XR/OuW1O+PGN88O3f7sgHHL5PVUxTtcx7Dzs&#10;FMfd4gghzYFCHCFDi12EuOPO7E07Z0XLHzDa+Nu5K6/QbQFfPmOa+0CUEEIIIYQMLSjEEUIIIYSQ&#10;gY6+twRwNPpuPYsDD/JtBbnILmTYmUx2LMMuZpCrIFpBuNIym4hsnrBFOh8r1Wmhzop03nohreUr&#10;o7s//ero7q0ioh2w/0HPHnLA2CcPP3Dsg0cdeODjE7rHPAgq8/Xw6YeMXnn2oSMfnn7oyKfB5UeM&#10;WAt+deR+b4Hrjv7aDsFbC81E1pWsLb2rItaYCJuyQ6KsM9kR0RuL/gZzAUFw5Jjuh0eOOejuUWMO&#10;+iWozMuplOc6O6zcBuFR797WJ0J21CuN2ybEnbPyCvswuL/4t2nLwlFXLgoTb7w1XLX02nDfs1eE&#10;59+YHt7ZMim8+/7k8MLrF4R7n76iKshdtGhWOO2mW8MRVywK+0xa7tZHCCGNQiGOkKGFFeKGf/Pc&#10;3jQKcYQQQgghpIOgEEcIIYQQQgY6+t4SlBLiEPaBPiQ3CCciuAGITxBURG6j2EZygOQkgpPITfLK&#10;V8pztfzbmO4/jxhz0OcHHHDQpwC7Jh439oDtetdEvMqXkumuiFRnJToR6DpZngOj9u/+L+yWiTk/&#10;5sADNuO1zhMO2n/djw4e82ylHw//xyEj7zvzkJG3n33wiN+ef+i+v7z8sH1nXH/kvqddd9S+E3r5&#10;2hHg2qP/bST43fiv7glmHT5i9z52A32X/EEdWmizO7bFdm37Qmzrf7mtHtohxGGc9jp35Sz7MLi/&#10;wM5w2BXu9sevCg+vvTiseXN62LRlcvjos+nhkz9cUPl5UnjxjenhsfUXheUvXBZuefjXYfrCWeGk&#10;a28PB192b/jXKbW7xRFCSKNQiCNkaLHPgUeq+6T+FeL+x9zlk7sOqm0PHnx6D0QJIYQQQsjQYlch&#10;rif03Ua2LKwQ9/VTTnvLe7BJCCGEEEJIDqMOHVdzP4tn/X23nnlhH3xDHvGkE0JaiSfPaalJBDoI&#10;m3q9dgJoE9oG8P3Ruyai/VosRd8otfUfMUlzoAqasu7Qfrvm5DuEfqK/QNbelENHfnrh4SM+ueDw&#10;Ee8C2SXw0sP3e/zXR+738FVH7HcvqIzZXb18bZZw3dFfuwJce+S/TdZA0hO+kPV6ueTwkadedNjI&#10;b4BzDx31fXBaz6jTwQ+7R3/3hINGn/b1sWPOAUeNPWAGOPzA/X8Fuvc/cPaB+3ffDvbf/6D7sPPe&#10;vqMPWi2v6v3XMd2bsSufNz4DDdl1Va4hVkrHz7ZMK3YbhDBYe56qEHeXfRjcH3xlyvJw0nV3hIVP&#10;XhneeX9S+PCT88O7lc933z+vT+o4r/pzdbe4rZPClm2TwiubpoX7n788/Pr+a8OPbpwfRl94n1v3&#10;UObn89cECfzs5cnhj3/+S7WOxc9vdtOHMhgTBMbISycDm5gQN3LU3+JhQ7jokkPc9P5i4mn7VtuF&#10;TzlGIY6QfGrvkzpPiNvj5DPdB6KEEEIIIWRo0R9CHP4dUZ+PQhwhhBBCCGkEK8ThjW59t555AYNO&#10;V4AH8logIaRTkZ3BvFdtNgoEFBHYRCTCebTERpFt8II5lrVk5cyBKM41A/zZUBavnqEExkALbiIr&#10;ajm2jBiLMvYc7RDi8D87+1uIG3beirDf+UvDuJkLw9S7bgyPrbso/PEvF4U/h4vDBx9NDVs+mBw2&#10;b+uVOvDzth1Tw8efTw9//K8ZYev2KeGZVy8Mtz7yq3DWvJvD2BmL3XPUCwSyMiLYk69/WM3bSWLU&#10;xYs3VNuEwM9enhwkHly3zU0fymBMJLx0MrDxhLgVq06pSmfg8acn7pK+dsPPqqKcSHMCfv/NNUfv&#10;kl/4q93+r5r8RRx2xD/tUofXNgpxhOSj75PA8BOm7UyrfK/aGn9zy4rThh1e+wrXPU+c6D4QJYQQ&#10;QgghQwu8Sl/fJ4K+28iWhRXivnXqv7/nPdjsNz74NKzf+mFY9962Ki9vrnxu+bB63M1PCCGEEEL6&#10;lZ7jJtTcz+I5dt+tZ17gHau6AkDRhxBCihFxDkBy0uLcUJbnBiOQ2zCfegdIvYNbPYJbWdolxMGs&#10;1+foE+JW6QfB7QZC3PiZd4dJd9wYbnn0V+H51y6oinA7Pj2/RoYD+Hnztsnh/Q+nhA8/mRbe3jI5&#10;PPPKjHDH4zPDubfPCWMvaq4Qp2WyHBHsrQ8+78vdOWIUhbjWQyFucOMJcSdMGB4V0iC8FYltKG/L&#10;AS9vCgh2Xj177PnfqumySxyFOEIyOWtJzb0Y6E8h7m/nrjhi2PjafxSiEEcIIYQQQkB/CHH2jVTj&#10;TvzBNvtQsz9Zt3lbeOm1N8OL618Nz69dH1a/vCG89Mbb4eV33g8btlOKI4QQQgjpNMafdGrN/Wxp&#10;IW6f0d1H6AoAHuh7D+MJIYSUB3KUludk5znIVCLQQbSiQNdaZOe6lNgGMEetltvqob+EuMp9wo69&#10;z125eueD4H5g+KQV4eTr5oe5D/86PLF+RnhtU++ucJDeIHLg9ah4XWr1lamVn6uvS0X6jilh03uT&#10;w5qNF4T7V18eZiy6IfRcQiHOUiTEyes+P/r8z7ukaSQoxO0KhbjBjRXisPtb5XJa5aZbvl6TBnbf&#10;/a+rafjELnEL7zmxirzKVPB2isPubpI/BspJHfq1qBqcF+kQ8/A7hThCMvGEuJMu3ple+V61NSDE&#10;7fWN79e0B797D0QJIYQQQsjQYqgLcRu2fxY2fPBJWP/eB+Gl198Mq9esDU8//nh4YtWK8Nj994VH&#10;lt4bHl12b3jsgZXhqcpxSHLrNn9QKUMxjhBCCCGkU2iJEAcRwHsYTwghpD1AxIKQheuxSHQi0mmZ&#10;DkKX3pFuMEp1VmTTMpu8hlQLbRgnjFsnSm2NgL7ZsWnRK1NrXqVeFeLOWbGx5mFwm+matDycfevc&#10;8Pj6i8L726eErdsnVwUO7ATXK3ecF7Z80CvBYYc4CHFIw++bKj+/tXlyeP6NGeGa5b8Lh19+j3uO&#10;ehkKQlyuzCVBIW5XKMQNbqwQp4U0fVzA7mwQ0rw0EdVAbHe3ImR3OuC9rhXguOSBtEchjpA8hp25&#10;QN0j9TLs5Jk70/eYtGq3yveqbfG3Ny0faYU47BjnPRAlhBBCCCFDi04Q4g75+okfeQ8228H69z8K&#10;a996Lzz91JPhgXlzwuIrzg93X/iLsGj62WHh+T8Ld009o8KZ1c97LpscVt02Nzz99NPVHePWb93h&#10;1kkIIYQQQtrLCT8+o+Z+FvebfbeeeYGH6boCgIfu3sN4QgghAwfZmU7EOkF2qtOiHRChDIh4pwU8&#10;kfAEOZZCyuu65XzSBi2vaYFtMEhszQRjZ/+83mPE4U1/6LqrENcT+luI22fy8jDpjpvCC29MD5//&#10;5wVh+8fTqkKHvCr1nar0Nim8+d7ksGnLlJ1CnAhzeL3qxs1Tw80PXx2OupJCnIVCXOuhEDe4sUIc&#10;XpNauZy6r0vNAWUFLz0FdqeT17EWnV9emwqBjkIcIXl0mhD3P29etidekVrTHgpxhBBCCCGkQv8I&#10;cT136fP1pxC3dtOW8Nxzq8Oq2+eG2372/XDDuH3DrAo3HDMyXD++j6P3CzeOHxFmHX9AWDj1jPDg&#10;HbdWyjwX1r33gVsnGZhMvXxm9d8//mq33dz0TgRtRZvRdi+d7MqZk88P//1//E113EDPkePCU69t&#10;cvMOdAbimh6MYI3JWvPSCSHNoWEhDg/TdQUA8oL3MJ4QQggh/UP7hLjuyfY8e521+CP9MLjddE1a&#10;EU6/eV5Ytvry8Oo708I7W3t3f9u2o/fVqW+8OyW88MYF4ZlXLwzr3kL6edVd5HqluEnhsz9dUPl9&#10;Srj9sV+FcVfe7Z6jXijEfYEEhbhdoRA3uLFCXOVSWiW2C1wRIqrJ60zLoHeYw+tTvTyCvKIV56EQ&#10;R0genSbE/f9mrdptj5PPrG3P4ce7D0QJIYQQQsjQYqgLcS+8vCE8tPCOsOii88KNEw4J848fFW7/&#10;+ugw99iR4Zbjepl33Khw5zfGhJuOGRFu/cm3wtLfXB4eX3l/ePntzW6dzQSiDgSeL++1986/x0Pm&#10;OeWnZ4aVz61xy5D6wDjLGHvpnYi0F2330j2wpkQIwzry8gxW0F8ZM828Jcvd/AOd/l7TA32tNav9&#10;+47ev1oHPr30dqIlSf4ZQgYbDQtxCLwOTVeCnX+8h/GEEEII6R/aJcTtM/qg0+x59j5rSc3D4HYz&#10;fNKKcOLv7gi/W/G7sOrFy8L6t8+vim7bP4YQNym89s608MT6S8KDL15aFePe2TIpvP/hlJ2vUP20&#10;KsRNDrc/flUYf+VC9xz10ioh7tYnNtXkReB3HPfyA7Tlydc/3KXcH//8l/DKlk9d2U3KSeg8KJeK&#10;jz7/c009EjIOaOuWj//UdzRUf0613wP5JX4+f42bZ/Hzm6vpaO9J1z3r5tH1xNIxRrrP6N+Lb38c&#10;rRNIfrTt4MsereaXQH2SLyXEoZyeM3s+pKO8HsuiOUV7JJ/8LufAsdhalf7otntIf6R+gHbjOM4j&#10;9UgUrV3JXzSOtl8yNpgridS4AJTB90SXwdiiHqR5ZYrQQhwktMqltEqRkOaBHd6kfD07zO2++19X&#10;y+LTS9fgValyrvn3TnT7RgipZdjp82rukUB/C3H/PPHcmvZ0HXSk+0CUEEIIIYQMLfpDiNtnVPcs&#10;fb79jzr+c+/BZjt46rHHwj2XTg63/OCYMOuYMWH2uP3CjRVuOBo7xe1XZfb4/cLNx44M1x+1b7j5&#10;e0dXX6H64B3zwpo33nbrbBaLHnpi5w5gMa64brZblpRnqAhxkL+kXCcIOu0C8o/0W+8Kd+38BTt/&#10;Hmz095oe6GutWe3vJCFO2gIGqwhKhi4/+PnkmvvZfUZ3r66s9XKBQrqSY8Ye6D6MJ4QQQkj/0LYd&#10;4kb3TLDnwW4o+mFwuxl+3sowbubd4bw7bgrzHv519dWpOz6dFj794/SqELfxvSnhxTfOr+5w9Ep1&#10;h7hJ1R3hIMRB+tj64ZTqznJzHvx1OOqXi9xz1IuWyWKSkUaLT146hBwtPnmBdCvuiChUFJ6U1Gwh&#10;DrIRpKRYQHbS5VJAspKIja8er5h0Je1BXn08Z7wRsXolrl210a1H8qHtEro80PKXPQ/mtWgevPHU&#10;c+rVgXVoywDdlpQcJvVpWa2onYjY3EsUjWNRv3R4c4b1lCpTZm1qtBB3znlf/OODHCsDXl8q5SGs&#10;eXli/Oaao3eWxc9eHs2KVafszD/jyuPcvhFCanGFuB9eszO93UIcgkIcIYQQQgjxGMpC3Ib3Pw6P&#10;LV0c5v/7d8MNfRJclXG1/96KYxDlrq9w4zfHhltPOyGsmPWb8OL6V916mwEEHS3DYXciyAsAO/zI&#10;rkUDUTLpVIaKEDfQd+2qF8ijMl6QTb08g43+XtMDfa0VtR/rCGm4VqfWVCcJcUU7xMnrXb/+ne/t&#10;kka+QP58ppTeWVCII4QQQoYAeJ25/rMatE2IO31ezcPgdjPsvBVh7IzF4aRr7wyX3nNdeGTtRVXZ&#10;7cNPplV3gHt366TqrnBVKj/jd6Rjl7hNWyaHVzdNCw+vvThcvuTacMhli91z1IsWdCDT4PcUWvbx&#10;6pN0yGYQekRKwid2QhOZx4o7IvrgOKQiLTOhHimHT10OoF0S+Nmmp2QujQ3pA+rUbUd454khO3lh&#10;bGwa+qlDC1peHsh6Ok3Ph+xihrYB5NVtxrjqskBC8qEO5AP6XLExxHxJWIFLy1tSr05D/RK2LNov&#10;IXXI+kRezIfO75WL5UE7JHSbME8Yf9SP9slx1KnHGSKbpAkSRePo9UvyIk2PCdL19wCIGIk05Jfj&#10;aBPGx36vctFCHHZ1q1xKK395Lve6U8hpUhZAjPPypRg56m93nhs7zXl5LHK+n/xHt9s3QkgtnSjE&#10;ffmnU/5o2+Q9ECWEEEIIIUOLfnpl6hX6fPt2H/ln78Fmq1i//dOwbsv28MK6DWHl3Flh7inHhjnj&#10;R/RKb86/twIIc9dVf94v3DTh0LD4ygvD82vXufU3A5EWAH728kB2gbzgpZHyDBUhbqgyEOe3UYZi&#10;n9uJ3kEutdtaJwlxRQyktvYnMu+89nYWVojrGt2zsTJP5QLvWdWV9Bw4dpebQkIIIYT0H54Q1/fH&#10;eFNjn9HdR9jzdIIQ99Wp94eDL1scTp01P/zm/mvCiucvDevewqtTJ4dP/nBB+Oiz6VVB7oOPpoZt&#10;O6ZWfj8//OHPM8K7WyaF3790abi6UuZHs+eFURfe556jXrSgUzZsXRCJEJB1tFCkkdeDImJ5PKRu&#10;hBaBgO6DTQP1CHEQi6yMpM+jJacitORk+6z7JWHPq/NoGUsfj4lQyC8B4cum60jJVN4YIr8E2qLz&#10;63RPBBRE8LJts+vSqz9GSkAE0i6sUy/dA/MmgbGw6TpS42j75Ul7eqy1sAckvDY0ghbiRErDpxbP&#10;LHo3Nw1ktrI7wwG921sZmQ7nQ5mv7vclt2+EkFo6dIe4zbZNfzd7iftQlBBCCCGEDB2GohC3Ydsn&#10;4aVX3whPPvRgWPLri8NNJx4abjqmQIircN1RXwtzjsFrVEeERRecHZ595hm3/mYgu/QAL500Hwpx&#10;gxsKcX4eUj8U4oYuMu+89nYWZ0y7uOZ+ti4hzm5jvO+YbvfGkBBCCCH9Q38KcXtPnF3zMLi/6Jq0&#10;POw/477wjasXhPNunxMWPf3L6o5w/xUuCZ/96cKqELf942nVT8hwIVwW3t48Kcx+8Orw7d/eWZXh&#10;UIdXd71YQadM2Lqw0xUiJQTp3c6s7JNCtxM/56aBskKct0ubILIV+uqle2gpzQpQImeJGIaw8pfk&#10;sdKY7Frm7SSm0UKe3d1MAnWl6rBjKG1CxGQ1iZTMhjUgoc+v5zS1njx0W21/AcYLUUZqBBKejCZR&#10;NI66X7Ed7FLynay/1BqtBy3EiWBWrxAHUAdeveqVi6Fftfr40xPdPB4i8FGIIySTyj2RvU/qdyHu&#10;36e+attEIY4QQgghhAxJIe79j8LqF9aEhxYtCItmnBNmf7s7zD12ZLhx/Aj331sFCHE3V/LNGr9f&#10;uOOcH4VHly4OL73+Zli/dYd7nkYQKQHgtX1eHtJcKMQNbijE+XlI/VCIG7rIvPPa21k0RYjb5SaV&#10;QhwhhBDSUbRLiBs2YuxIe55OEeKEf5u6LIy78u5wyT3Xh0fWXhI2vDUtbNg0Lax/+/wq694E08Pa&#10;jdPDstVXhLPnzw0jzl/m1tUoWtDxRB+LSG8Im1Y2cs4npKS3VBrQgpRN00ik2iX9LyPEgdiuZSJn&#10;QQwTwc0KYDGBS6JIGNPjYyUsiaK50GOoBbuY7KbPmRt67ormNIUWyuyYob0SniyXQsIbK4micczt&#10;l4StT88D1mAZqTSFFuIql9EqRUKcBRIbJLndd//rnXXssed/c/Na8HrUes9LIY6QklCII4QQQggh&#10;A4T+EeK6J9tz2oearWTd1g/DM08/E1bNmxPumnJGuPFb3b07xI2P7xAnzKnkmT1u33DrT04IK278&#10;XXjqkUfCSxubL6xpkaXeB+4QNLDT3F/tttvOur68197V+mKSnexMJ69plTqk/H//H3+TLA8WPfRE&#10;+Pp3vldzXsgVV1w3280PUB/qRfukDMrj3CnRpAiv3tgY4Jjkwe8rn1tT0w984ncc1+U80FcRS4Si&#10;MRBsWYx57LySB223aahH2o7yOk2Oe6/jlTTMI35HPXb8ivrhrT2PnPHQYM7QZju2sTkFGD+d1xJ7&#10;JbEFfTrlp2fucm70MbVOMY6SD7/LmtTtKlrnGCfMoZ4HkFobwK5pIO0BRX2XvqJ9+jjK6bak2pFa&#10;a+Da+Quq9UtdReNpwdhIWVmzFpxb6o6Nla5HH/far9sbQ59HxhGf+F2+H5IX4xdbvzmUuebqsZBj&#10;ek3EsNcQIGtZr4Wy86eRtqE8fscY4rzt+K7Yc2Ndynnxid8lTwo95rH+yDzhM9UmoZ5xttcd/C7r&#10;EMdQn86PtuZ+pzuZ8y6/uubecp/R3Tsq/SkX3k2qd0NICCGEkP7hpO4Dav6cBn1/jDc1ukb07GnP&#10;ox/0dgr7nb+suuvb1Dtnh2tX/Dbc9uhV4e6nrgx3P3llmP/or8PvVlwTpi6YHU69YX449LJ7Qtek&#10;FW49jaIFnSKZBzRTiPNkHrQHgpc+jw0rEhVJRloismkaidQ41CvEaYlMdhDTO8fpPPpVnnoHNS1w&#10;Fb3CU5OaY4miOvQY6rmJCVn6nDmBPuvXyRbNaRGxV7HKcSsmCmgD5gF9FBHRhjdWEmXmItUvCa8+&#10;vZYQaCeO6fErSzOEOI1IauCiSw5x82iwm5zkL/u6VQpxhJTEEeL0fxzoDyHuyz+dssy26UvXLHAf&#10;ihJCCCGEkKHDUBTisEPcc6tfCA8uuC0suuAX4cZv94Q540eGWYlXpgoizt1y6vFhycwZ4dH7FocX&#10;N7zmnqcR8BC6MlQ7wYPpMrIE8uvyFjwQ9+QReWCOh+WpOvDg3GsPpAEvv+AJGmgH2uPlF9AWW64I&#10;1KtFCovtA/osaehHrE2xsQOoz4oYltjY4ZiMv4d3XkmzcoMeU+98sXI6DWOQ6ktsTrRYVIS3HmLk&#10;rBNvjFJrAEAE0fk9UKdX1uL1B8KKpBf1wSufI+F4/QZ6TevjMiaYX31co/usxyi1JlCvrgNImrfW&#10;IBjq8pYcGUdfK71zAN3m2JqDXIR0OyZe3ZI3hW67fK/xqefEgnN714YUZa+53prIWd/2+160lkHZ&#10;67a0DeOEdvfHd0XObcshPad+3a6iOoVYm0C941x03UGbJG/Z73Qn0xQhbp/RB51WW0lPuPqo4htE&#10;QgghhLSHXYW4Ov7Az4ivjBi7e+15esKwk2fWPgzuEEZOvy+Mu3JhOPn628I5828KF949O0y/a1Y4&#10;746bwymVYz2XLg5fmdwaEU7Qgk6RzAO0DGXTJHLq8dCv4UyFFYmKJCO0R8KmaSRS7a9XiNPym+yq&#10;Ju2SunQeEc1EfrJil85bNN6pOZYoqkPaioDQJzveQcbSop5QNCdFNFpe7wQnY4l2S3ivK9VlUuGN&#10;lUSZuUj1SyJWn4h7WtrDz7Ed+4pothC3YtUppeqR17RidzkvPQWFOEJK0olC3FkXLbJt+tJV89yH&#10;ooQQQgghZOjQKULc6k3b3IebrWD9B5+ENRvfDc88+WRY+ttfhpsmHBZuOXZUuHFc+pWpYE6fEDf3&#10;5PHhnksnhYcW3h5eeHm9e55GsQ/Q8UAbAkmRJCKSCfLjgbzOD3lCZBjvQTcekktZXQcerqM9+sE5&#10;jtvyUg757HlFCtD5kUfKIB35dJoWZmzZFJBKpJ8AwgDqRj/QbjmnFn1EXtCgHMqgrJZgtEygkfHB&#10;udFekVvwiXPJeT2BwdaP8jLu0hfk0WUkv54LLT/EBBuvnE2TOqQvaIvuA8AxXRZzJmloq6wBtEGP&#10;r57nHPQ6AXo+8YnfJQ355LwafX6bVoScX86rxxRjI23Dpy4H0EbdNnzKWkeaXuNIt/Ml8498erzt&#10;mNq1AWJ91sdjIo5ul7RJC0H6u4PxQZ1Yb3JMkPxI18dxXknDuMo58Cl99ubRQ74f3vlRn5wHeOOk&#10;86DfOk2O2/YDPbd6biyYb8kHMM+oD2XQV7luAO88KWRNoQ49Xlhfch3R+VG/nEsfF6St+PTSgXwf&#10;JB/OpdPqvW5L26RuoL/rul5g10czvitybj1HWOu6j0DqQh59XBPrD+pEfWiHHPfGu5FxxjkkTeqQ&#10;cyOvfH/r+U53Mk0S4rqPqK2kJ1x0+Ej3ppAQQggh7addQtweIw7frfY8PWH4SRfXPgzuELDr277T&#10;loUDLlocjrhiURg/864KC8ORv1wUxl68JPzL5Pvdcs1ECzpFMg/IEeKwC5dNK0ILVyhvZaGUSJRK&#10;A7pum6aRSI1DvUIcEHlJxkdekarlLMkjr0EV8Qzyk+QRJMq8MtXu6CZRNPd2DLWQh37IrneCPqcn&#10;nxVRNKc52LHUwluqvegPxsnmkfDGSqJoHHP7JVFUH0C/pK/4rGenuGYLcSC3HrxmVfLm7CZnoRBH&#10;SEkKXpla+T61Pb78s+m32jZRiCOEEEIIIf0hxHmbb7RTiBPWbnw3rJo/N9x88vgw95iR4cbCV6bu&#10;V5Xmbqh83nLKMWHx5dPCQ3ffEV5Y94pbfzPAA3CRPTRaINHgIbbksQ/wBS2i2IfoIkMAK1gAnFMe&#10;rtsH5foBPH7WaTHQD68ujUgDGAcv3UNEBKAf8gvoB86pZQZdBn30+qDHx44/xlLK2nETtHyg8+ix&#10;82QNgLGy0oSUkX7kyHDAlvPSgLfOdFutPCRjiDZ4586Zbw8pB+yaFfTYIr9N1/Nr0xpF5h7YdaPH&#10;C3jrUbct9r2NocfGpsX6rK8Tdg4Fue7o9Sjr367DFHIeu9aaOR9aDLLfPT03Quy7C6wgKMdt+4Ge&#10;Wzvvmkauqylyz68pGvecOc75Hjd63cZ4eLJm0fc8Re53JXZujeT11oVg6/TmSK8Nuy4bGWe9NkDs&#10;upkz3wOJXYW4Ou5pPSFu2mEU4gghhJBO4VsHUYjrRLSgkyPfpIQ4EbzsbmY5SL2xV1mmRKIiycjK&#10;XDEkUuPQiBCnd8CDtCShd1iTPBhDLZ15/RJZrmi87Xl1mkTR3HtjqAUzK0Hq3diKhD2PojnNQb9a&#10;FO2RufOETd0/K8IJEt5YSRSNY26/JIrqExodLy3EiWDWiBCH156ijpx69tjzv1XzYZe4tRt+5uZJ&#10;IbvLUYgjJJMOFOL+6fRJ59g2/f2ls92HooQQQgghZOgwlIW4De9/FB6+9+5w60++FeaMHxHmjNuv&#10;+trU+KtT9ws3HzOymnf+j78Z7r/+V+HJhx4Ma954y62/meBhthXjvIf28gC+SELAA3bkszKMPBxH&#10;eU9oAjGpQEs2nvTjIfljD+sBBCHJF2uTRfqXGgfUpevT8kJMhtDijJUbZOxSkgbOJ+W1+JQSejQ2&#10;Tcqg7WizlmpSY6XLxdJiYh6QtWglChnDmFyhx9hL99BjViRtyLxjHGxaPefOJSUm6bTY90J/d7w5&#10;SZHqVypN1qs3VlhLUk6vU/nup64PFqnH9isloZVFt9eOsbRZxCFgrze6X/o4kDLevKTmXSNjXc91&#10;NUU919zUmgDS1tR3Tco3+7qt25ZaE3L98eYrRarvOi3VL0HyeutCyOlP6s8UOV7POOu1mfozqZ7v&#10;dCcz47ezau4tQaV/5WLYiLEjbSUU4gghhJDOwQpxXaN7Nvb9Md7UcIW4E6bVPgwmO9EiTY58kxLi&#10;tFRUdlewItEM9UlY4adIBtLtislOQCI1DkXtTIFdxyQgZSGszKbzyLmw65fOI+h+xdqspTqvzRKp&#10;PgN9Ln1cy3a2Dmk/wnutaoqiOc1BS4e6/XaXPBDrn6DH0RsrCS9Nk9sviaL6BN3XesbLE+Igmmnx&#10;TMAubsjz+NMT3XRIbSK5AewA5+UDC+85cWe+EyYMd/MUIeVPOnWU2zdCiIFCHCGEEEIIGSD0yytT&#10;R/dMsOd8bP1G9+Fmq3l85fKw4BenhhuOHRNuOPpr1dehxoS4647aN8w9dlS46ZiR4Y4zTw4PL1oQ&#10;Xtrwali3+QO37laAB+MiAwDILFqSEpkhFys95MgQKalAnx8P2lNSg35gn0tKOtFI/tjuVx6pfgm6&#10;zTF5IRctUsi4pXYC8pC6MNa5MhyQcp7MkUoTYutExjAmqoh8UaafesyLRBU9h3bt6TR9vBmk1kUq&#10;TSN5UuPukepXKk2LOFp6AzJPVpbTfcEco4561xrKyZrFJ9JTMmgRcl20a0vOgT6KMIn+eXm86wWO&#10;A29ecuc29n3RpOYqhdQNiq65oOg8RW3Vfc4lNTaa3DHQcqOXHiNVf9nxl7wo56WDnDpja6jRcY7V&#10;a9H5cr/TnUxThLivjBi7u63kZ4eOdm8MCSGEENJ+2iXEIbD7nD7X8G+eW/swmOxECzo58o2WnGwa&#10;ZDN5dSMC9WkRCtIOdhWDDGblLC1WQX4TcQ3ldRrCCj9FkpHdyQx5IEXZ15BKpMZB+u/JZTno8UF4&#10;u6fZiO2wZscbbUJfpX963JDPk9IkiuYe6RI2TXYGRGjZTM8Lzo+26R3q0B7MNcrb8xfNaS7SNhkn&#10;fHr59BrBuEk78Ym26XH2xkqiaBxz+yWh68N4QaDEMT2X+Fn3MyV9xtBC3DnnffGPFd6ObTr9sCP+&#10;qSq8QWwDkOV23/2vd6ZDjLPlNSgveWOCXYoVq07ZWf4X5x/h9o0QUsuw0+fV3I+BnULcOStasntv&#10;UfyvH/3iWNumf7jwGvehKCGEEEIIGToMdSHu2aefCvf9+tJw+xnfC3O+c1i44ZhR1X9jndXHDfgc&#10;t1+vKFf5eTZ2kDv+wLBo+lnhyUceDus3fxA2bP/MrbtV4GG1iB1Ayx1ajsghtkNcTIYAqYf8aJtt&#10;Ax6yY/ci+5C97AN/SCs5wky9u201Ii8AOZ6LlpBE5kmNu4fUpcc8RzaTvN74pNKE2DrRYw9pReYL&#10;c6/Ht8y8aHErJXYAfQ6bV6fp42VAnfi+2TWusefF77E0jeSJjQ3GAWOqv/sWW6aozyKClRHE0A5J&#10;F1A+1jfJ4/UL8pasfQFji3PYvEXoXRblWoP65ZjOg/ZLOb3DlieTSZrX/ty5jX1fNPWuzzLXXFB0&#10;nqK26j7nkHvdBrljUJSvFd8Vi+RFOS8d5NQZW0ONjnOsXo+y3+lOxhPisLlLpU/54e0Gc9ohFOII&#10;IYSQTqE/hbiu487c5YEw6UULOkUyD0gJcUCknaKwQhnEIy0d2YDwI9KPFYmKJCMrjklYOUoiNQ6N&#10;CnFW7vN2K5Pd4yS8PALGOzVuCKRrgUojUTT3SJewaXp87bkgmhW1D2HPXzSnuWjRDWElSI2sLy/Q&#10;B5kXb6wkisYxt18Suj5dNhbor64nFy3E6dedQnLTAhqAuKaltxiQ4VKvQEU9krfe17NCxpM65t87&#10;0e0bIaSWThTi9vr2D/6XbdM/TpnpPhQlhBBCCCFDh/55ZWr3Efacy59d6z7cbDV43ekTD64My2/8&#10;bVjwix+Hm75zeLhh3H7hpmNGhLnHjgw3jR8Rbq583nr8qHBz5djs4w4It048ISy77qrw/Ev902YA&#10;0aEylFW0uFAkMxSRUz73IT8eqEs+AElDCydlHtiXQUswKVnB0oi8AOR4mXMKIiOUnTd9Tggw8rsV&#10;nCy6XJk0IbVOUhIKQLon6sTQ/SpaJ3oObV6dpo/nYtdzDHve1JrRSB477hirojEVdDlQ1GfdJ5mT&#10;IkEMIC/mxcpsZXdYEyDkyJoS8HuZdaK/9yLUSf9lneo8IqSKJIe+SF0aye+1P3duU98XoWiuisD5&#10;i665oOg8RW3N7XM95I5BLF8rvysWyYtyXjrIqTM2no2Oc9nyZb7TnczMOfNr7i0BhThCCCFkkNFm&#10;IW51zbnGUZSIoYWqnNecQihCoIyXDiBIoS4tzyEgykEq0jvAaSDFQRjTQh0kJZF8REiychd+l4iJ&#10;XziuRTOcw/Y3ZxykDnx66UVoqQnn88YBApxEapwF1AFxyo43fsdx7xxC7twjHRFrj15Hdkc7zCvW&#10;jRXO8DvyehJXzpzmgL5LuxCpumQcdTtlRzakyRh4Y5U7jrn9itWHscLa098R/IxxbGSctBAHia1y&#10;Ga2C3eC0gKaBjIYd3vBqVcmPn2XXOK+MBrvJSTlIeF6eIiaetu/O865+/UK3b4SQWgqEuJbdm6XC&#10;E+K+fPbF7kNRQgghhBAydBjqQtz6rTvC2o1vh6cefSTcf92vwh2/+FG45eRjwuxvHBBuOGZEhZFV&#10;Qe6GcfuGWcftH+b95NvhnkunhEfuvTusefMdt8524YkLckzvgFSGIhkClBEH8JBd54esIGn6gT0e&#10;xOtyjSL1lnmY34i8AOQ4dibSx3OQcdfjk4OcU6QM/SrB1C5btlxumhBbJzinHIeco+UKHEu1KYYe&#10;86Lyeg6tTJUzvzF0WYyxnfvUukilaSSPHXcZa0krIzgV9dmTyESqyl2L6JOWkPTOh0CO2355YIcr&#10;vYbLyjgilsp3UNqlry+SB/3E77JGY+dCGvDanzu3se+Lpmiuckldc0HReYraqvvc7Ot27hjoNaKP&#10;t/K7YpG8KOelg5w6Y2uo0XGO1ZsD8qe+051My4S4H/SMcR/IE0IIIaT9HDP2wJo/pyGt9f0x3vTo&#10;GtW9Sp+r64jv7/JAmBAyNBBREOKYl05qhTiA3d0ql9K6d25rF9JOSHgU4gjJY9iZC9S9WC/DTp7Z&#10;m95PQpz37zkU4gghhBBCyFAX4sCG9z8JL732Znjq0YfD7++6rSrGLb5sWrhr8k/D7Wd+P8z/95PC&#10;7WefGhZd+Itw/6yrw6PLFofnXlgT1m3Z7tbXLipDWUWLC7LbEch9TZ2mSIYAZcUB4JWBuCHHRE5p&#10;FiK54NNLF/QYNSIvABEIis7poXd2Ss2bTZMyImVgTLXIYIUQwZbLTRNi60TO3UyBAn2WNhWtk9S8&#10;58xvDOmvlYuE1LpIpWkkjx13OR4TtlL9yumzzBk+sX5EGCsj4ehysfbb4ylyrkMe9nskP+vvgeTB&#10;GtFCYGxuJN1rf+7c5vQnZ67KEKuv6DxFbW3ldVu3Defx8gBZa/b7KGVb9V3RSF6U89JBTp2xNdTo&#10;OOeuzRip73Qn0xQhDmEroRBHCCGEdA79KsQdNmGXB8KEkMEPdqeTSL0udahjhTi9e1vqtaf9iX7l&#10;KnakoxBHSB5JIe7clS27N0sFhThCCCGEEOLRKULcwoeech9utoXtn4VXtn1c3S3u5bc3hxfWrQ9P&#10;Pf54+P09C8L9180MS6/5ZXhg/pzw2PKl4bnnXwhrNm0NGyr53bqaAEQOPIhO7YalH7RrcUU/BJdd&#10;ksrQKnFDdg6zZeR8ICZv1YMWYzyxBw/7IVPoB/2NyAsgNic56PGJzRv6ZOdFyuh+YBxFZMCnJ5Z4&#10;5XLShNg6kbLoQ0poKYteJzG5A2Mueby26/mxaUXE+ivoc9v2pdaMRvLYtseOC7HdskBOn/Xa0/nL&#10;zp/IiGXb7yHf39h4x9Cve5VxsXKkziPziu+JzqORvF779dymJNCi9QNy5qoMsWtu0XmkrTH5E0ge&#10;0Mzrtm4b5sSrW+ex11k57s0VaPS7opG8qV0Mc+pMXR8aGefc606K2He6k2miENe9Q1dyUvcB7gN5&#10;QgghhLSfdgpx+4zqnqXP1dVzfM3DYELI0EBec4po5JWigx0rxFnZTKd1CiLt4XWpkPYoxBGShyfE&#10;DT/pYknvFyEOYduEh5/eQ1FCCCGEEDJ06A8hbtiIsSPtOftViHNY+/aWsPqFl8LjK5eHR5cvDU8/&#10;+UR4Yf0ru+wKtwEynfq9GeDBd2WYquCBNB5G44E2gOSgH5LLrk66vE6HAKAfhiMvxA0IJ54EImXx&#10;adOE2EN+yAloD9qodzLD+UTQsvXqh/bIY8tiLKTeMg/lRSqUutFftAPnQ32SpuuM9Uuj26vHFWBs&#10;9TlRn5YY0Cb0D3PijS/6KGWRjrw4Bz4lzZbT59LHtfSDsjoNxMoVpQloB/LY9shxD6QBCCR6jnPQ&#10;4w70fGJ89HnRX0/mypnfGCJoAawfqR/zq9OAXRe67TZNI3nsuIuUgrWFPstx/GzHW5cDOX1GXySP&#10;rF+sUS8v2oL+6n5gLvUY2D7KcdsvnAOgHzKe+MT4xsrkoL+DAG2zeXR6LI8geby2oO+SjnUnaxL1&#10;6TUo84RPXV6TM1eWeq65RefRc4m86A/qx7kkD45JHpzHnr/e67Zum4DrBc4n4yrHcV49xqDV3xWN&#10;Phf6j/bJeEmenDr1WOqyNq3sOKfq1dTznfbAGEs79Z977ea6OxfX3FuCr4wYu3ulbeXCCnHfOohC&#10;HCGEENIptHeHuJ4ras514JE1D4MJIUMDvCYVwdelprFCHMBrSCuX0+qnTesE5HWpJ0wYXv2dQhwh&#10;mZy1RN2L9SJC3F7nrlxVvZHqh7BtohBHCCGEEEL6Q4jrGtGzpz3nvKWr3Ieb/QV2gHv5nffDS6+/&#10;GV56bWN4+c33wrrNH4QNHzZfgPOAKFIZqiR4CK4fjguQBOzD/xi2bCPihj7uEXtQjof8SPPKaOwD&#10;/yKK6sX4aaGiUXkBoH8iSqTwxreorDd+kuaNje4P5AadliqXShNi6wTty5lL5NHCSg6YT68ujZ1T&#10;Tc78xsD3rGgtAfxs10XRmhEkjx13EU1iaHFFlwO5fdZ1gNjc6Dwedp3pMrZfsoZipOYyRU5f7PU1&#10;tRYlT+z7EOuH/q7Gvi+aetanLuPhXTOKzqPXq8ZKkq24buu2pb7vXr9AO74rQmzstTiYU2fR9aHe&#10;cS573Ynhfac9dF9T52s1TRPiukb3bNSVUIgjhBBCOofDD6wV4vBa074/wpseuwhxFXZ5IEwIGdRg&#10;RzgJvi41jSfELbznxJ1/WcSOcTa9P1mx6pRd2kYhjpBMPCHuhGnVtP4U4roOOOxPuk3/PPFc96Eo&#10;IYQQQggZOlCI61zwUBkPo0W0AXgwDjEBD8m9MhrkQV79MB0/Q8rAw2tPphNRxMoPGjzwl7r0ccgr&#10;SEP9+pxoP3b5ScktaAvy6L5KWYxBTn89ZKcbLZqhTq++WL80kDCkHk/IAHocJC9AGzCuSIuNBY5j&#10;bvQ4oByOeWVknFGnTQNaANHznSpXVCeIrROMCcoDOz74Xcsd+EytCQ+ZTz0+qAdjXbRG0B/J76UX&#10;UbSWZEy8fkt+m6aRcfHGHdcC1C95AH4X8QTHvX7l9hn1SL2pvKlrUkwqQzry2X7Jd95+T/B7au0V&#10;YfvirTEtThWNTaz9AurHmEg+fOJ3nUfWBj71cU3uXGlwbpQrc83NOQ/GR88xfpa1ppE51HklP8ag&#10;7HVbS1X4HeeUsQP47qFefS2zSBk9Hvhd2o/jXt/rGX+0V18PcB7dtpw6c64P9Yxz7nUH44I6dN1o&#10;L/qSEkUteu68tdIumrlD3GpdCXai8R7IE0IIIaT9tFeI656szwXwAHiXh8KEkEGLvC71j3/+Szjp&#10;umfdPKQXT4gDI0f9bfUvi+ect7+b3l9MPG3farvwKccoxBGSj71HUkLcXdUbqX6IrgMO/aNu0x4n&#10;n+k+FCWEEEIIIUOH/hDi8HDSnhMPMb2Hm4SQgQHkG5FDUiKMlpH6U5wgX4C5gwSDObEyFyHtwgpx&#10;ZOCA6wbmrYxQ2AooxBFCCCFDgLYKcaN7JuhzAQpxhBASp/vixQMer1+EkF3Bq+T1PdLwb55bPb7X&#10;uStn9d1KtT2Gjz1sq27TnidOdB+KEkIIIYSQoUN/CHF7jDh8N3vOmXPmuw83CSEDA0hwla93ocwC&#10;CU7yUYjrDPTcldkVipBmQiFuYIId7Drl+tG8V6aO6l6lK8GDd++BPCGEEELaT8+BY2v+sG+lELfP&#10;6O4j9LnAsNPn7fJAmBBCCCFkqGGFuK7jzqwe3+uclVf03Uq1PboOOuJV3SYKcYQQQgghhEIcIaQZ&#10;aJkl9UpDnc97pSNpP/Jayv7e3YkMbSjEDUxkdzi8utdLbyeeEIfX9FfaVy6sEIcH794DeUIIIYS0&#10;n12FuJ6WvZbLE+L2njh7lwfChBBCCCFDja7DJtTcI3WNm1g93q9C3JiDX9RtohBHCCGEEEI6RYib&#10;8dtZ7sNNQsjAYNFDT+yUWfDqVOw6poU3pIs4AU756Zk15Un/oHd34utSSX9CIW7ggWs85gsybUqE&#10;bhfzlq6qubcEdQpxPXfpSijEEUIIIZ1DO4W4YSPGjtTnAhTiCCGEEEISQtwvlk/uu5Vqe3SNOfhh&#10;3aa9vvF996EoIYQQQggZOvzzxHNr7ltB3+1jS8Oek0IcIQMfLbylwI5k3B2uM5h6+cyd88LXpZL+&#10;hELcwEOuHxCgvfR20zQhbp9R3bN0JWP273YfyBNCCCGk/bRTiMONhD4XGHbyzF0eCBNCCCGEDDW6&#10;jvh+zT0SBLlq2jkrJvTdSrU97I7/FOIIIYQQQkj/CXHdO/Q5z7v8avfhJiFkYDFvyfKqGPflvfbe&#10;KbcA7BqH40j3ypH+QV6Xivny0glpFyJX8dW9pF4oxBFCCCFDAPy5rP+cxp/bfX+ENz281xsMP+ni&#10;XR4IE0IIIYQMNbqOO7PmHmmfA4/sTesgIW7Y+AnuQ1FCCCGEEDJ02FWI697Rd/vY0rBC3BnTLnYf&#10;bhJCCCGEEFIEhThCCCFkCEAhjhBCCCGk/xn+TfNgsU+IG3bOiiP6bqXaHtg5WLeJQhwhhBBCCOkv&#10;Ia5rdM9GfV4KcYQQQgghpF4oxBFCCCFDgHYKcYiac1UYfsK0XR4IE0IIIYQMNXBPZO+T9j5rSdjj&#10;F8tH9t1GtT0oxBFCCCGEEEs/7hC3Wp/3Bz+f7D7cJIQQQgghpAhPiBs2Ymz5f4e1Qty+YyjEEUII&#10;IZ1C+4W42tcbYDcU76EwIYQQQshQYtjJM2vvySpUhbhJq3bvu41qe9h/zxl2+PHuQ1FCCCGEEDJ0&#10;oBBHCCGEEEIGOk0T4rpG9VyhK6EQVx9/+uTjILF1wxo3Tw4oK4E6vTyE1MNrv1/Wt7JC+K8//THc&#10;e84P3Xzt4IHLJ+38zqAtq2+f7eYjhOxb/XNZ/zmNP7f7/ghvSVghruu4M92HwoQQQgghQ4lhP7ym&#10;5p4MDDt9HoU4QgghhBDSUfTbK1NHda/S5z3hx2e4DzcJIYQQQggpYtAIcdvffK0qxSAgyMw/Zbyb&#10;D6xdcmdfzs6TaHR8/N4mN08OKKvDy0NIPdi19fj1V7r52sFbTz3S14reaOQ7Q8hgpx+EuJr/zdk1&#10;bqL7UJgQQgghZEgxcXbNPRnAsb5bqH4JK8R1HXSk+1CUEEIIIYQMHTpFiBt/0qnuw01CCCGEEEKK&#10;GDRCnI2UpGMlGvzu5esPdHhyz2cfvN+XGqoSoE0XhroQB8lRAtJjf0pbgw0KcYQMTCjEEUIIIYT0&#10;P8POXFBzTwb2/u7l2/puofol7L/nUIgjhBBCCCH9J8T13KXP23PcBPfhJiGEEEIIIUVQiKvEQBLi&#10;bNh0YagLcZ08xwOdThLicG6+MpWQPPSf0aDVQpz935xdh01wHwoTQgghhAwpzlpSc08Ghk+Y9k7f&#10;LVS/BIW4zufRLR9W/96L2PjJ526eTmHOhk3hD3/5S7WtO/7053Dc8mfdfAOJhRs3V/uDQN8GQ58I&#10;IYSQIvY4+cyae9Z2CXF29+JRh45zH24SQgghhBBSxMKHnlL3s700RYgD3gP5VmGDQhyFOB0U4ppH&#10;JwlxhJB87J/RXaO6J/f9Ed6SsP+bs6vneP+hMCGEEELIEGOfA4+suS8bfvSPN/fdQvVL9JcQN/WZ&#10;DWH1to/D5s//1Pe3y96AcATpCxLSfnc/6pYdatjA2Hn5OgHMnY4V72xz8w0kbJ86efwJIYSQZtFf&#10;Qpy9N6UQRwghhBBC6qWJQlz3ZFuR90C+VdigEEchTgeFuOZBIY6QgYn9M7rVQpz935x48Os9ECaE&#10;EEIIGWpg51x9n9R12Elv9d1C9Ut4/8HReyjaLLC7lhWMYgE5DmKcV89gQO/8ht3UYgKgDStk5dbT&#10;CFe9tLHvDL3zEpPCKMSVI3dcCSGEkHZjhbiu0T0b+24fWxrevan3cJN0Dj1HjguVqat+eunNZurl&#10;M6vn+6vddnPTW82ih56onh/gZy9PEWg7yqMvXjppHu1en/1Bf38nCCGkk6EQV4mULLV2yZ27CECf&#10;ffB+tcz8U8a7Ze4954fhtd8vq5bDaxx14FiqrA7kleO2Hi/06yJtm3EMY7L9zdf6joTqqyZTbUmB&#10;Pr774jPVsZBAfag/NfbSBt0flNu6YU21Tq+M4J0T9aA+zBPyYNyLAuVt3QB1oC55BSfC1u+hX9mJ&#10;Nj5w+aSd449jZV/jKe3QY4Q2o++xMaq37THQB90GfOL8WCt2bcXmG23FvHptSq0Rb55Rh1cO7dTj&#10;5PUVbcY61/XFAvXZemW9eP0p6kuKZrUL60vahE+7RnAe73qEvOhPrP2oVwLlvHWs8yBsHoyPhKTh&#10;fPq4tKOe6xDJ5+qj9qv58xm0YYe42n+8ohBHCCGEEFKl64jv196XHXjUx323UP0S3r/neA9Fm8HE&#10;R9ZUpZ+ygZ3kvPoGOrmiFfovgTI2vZXClgCxTUdMdIPAKHM8WF6Z2srxzR1XQgghpN30nxC3672p&#10;93CTdA77jt6/KuPg00tvNmdOPr96PuClt5p5S5bvPD9+9vIUIeXRFy+dNI92r8/+oL+/E43y5b32&#10;rrZ9MEuLhJD+g0JcJfC7zQPxpEhUgSQiooqA8+aEJ64AHVqIywndDystQTCKhYg1uWgpJxaelKMl&#10;mFjE5C0cLzonxt7ObSx03WibHS8vME5FcwbxyLbTW18eOe3QayK3DCLWdg+MdSywboEO77uWMw+Q&#10;oGy5smvLft/sWKM+295USF9svZC5Uu3yZLEUzWqXN1eSt8x5PCHNzqG3jovy6LWJtNR1COObu0ZJ&#10;eTwhbp/RB53W90d4S8K7L/AeCBNCCCGEDDWGf/PcmnukfcYc/HnfLVS/RLuEOOxaZmU4/D5nw6aa&#10;Hc2wY5Z9jSoCx3V9g4FmiVadJMQNRijEEUIIGYr0lxCHf7PU5wWrN21zH3CSzoBCnJ8vhZSnENd6&#10;KMR1PtL2gdp+QkhnQyGuElbigBhSJMNJQOLQIomtOxUQxPR5gQ4tPxVJQggt5eRIUjogcknZInIE&#10;Gzv+EG5yw5aF1JMTKFd2h7gyc43QZYWigARky3jkCIN6TTSj7RYISWXDzldKqLNhv3tl1xZ+1mHr&#10;KzM+CKw1r96iwPdTn7eIVrZLrgMok3PdkLDrtOg6mZNHX4dy2qLXN2kuHSPEnbXEfShMCCGEEDKU&#10;GH7CtJp7JLDHiMN367uNanu0S4jTr/VEFL3a00pIyO/lG8hQiBsYUIgjhBAyFOm3HeJG90zQ5wWP&#10;rd/oPuAkecgrI7/+ne+56Y1CIc7Pl0LKU4hrPRTi+g95vTBe5Zp6vfBA3iFOXn98xXWz3XRCSP8z&#10;aIW4MmElDit5QLIS6Q2fXrqUhbAC8QMCGMQULct5opCkCTo8OcSGTRc8IU52gQJWUMuRpYAVcvTO&#10;UpCpMDbof2oXL5TR6Xb3NysK2r7o8vqcIg0BO0f4XdI0Nh+ELC0W2rYhrDxYFLFza+wY4Zy6HfgZ&#10;46DHphltt3jrQsYaZW19CLRdymMt6Dwor+cFebUMhrw6TUc9a0uPNc6rQ9eHcdLttHNk60Ugv/QV&#10;n7o8Qo99ima3y4a00X5v8LvMBc5n1w+i7HeoKI93HcIa1mvKhm4DaR6/PLIfhDjnH68oxBFCCCGE&#10;rAzDfnhNzT0S6BrRs2ffbVTbox1CnLc7XJFUhFdt2sArV3W6rtMTiWweSHk2D+rEcSs9oRyOYQc7&#10;W0bKSd3Y0Q7HcD683hTynsS6HZ/u0lccqzfkXLn16D5jHtAflNNtRKBetN2+4hSvQK03MD5SnxYi&#10;cTw2/9gJUIeec4A+YK7tLoKpucoB58G4yJziE23G+YqEuFaNq55rgLFBXbbvOCfO3UxRjxBCCNnz&#10;xIk194ft2yGu+wh9XrD82bXuA06SR6uFoHYLRxTiSBnavT77g04V4prxXel0pH/8LhPSuVCIq4SV&#10;OLSQAllFpwla6oH04eXxsIKIlT90ePXasOmCPY/d/QlCjA2dHsMKOTkSkN75DNKWl8e+SlGOW3ko&#10;Vt6SI/MAuyOZJ+NYkdHKgza0OIX6tMAVw+4Oh3N6+TTNaLvFhm27J2RJX4EVnLy+Y83okPL1rC1b&#10;Rs+zXQO6HNDyn/2u2Xoxp7Yvds3G1pilme1CYE6lbUjHdxu/68BaEelOo8+F0NcJ206vf0V57HXI&#10;u57aPN55SON4QhyEtb4/wlsS3j9eDTt9nvtQmBBCCCFkSDFxds09UvU+qZ5/iGlStEOIs5JT7m5v&#10;VvzR0hvkHx2QlnTZnDx2d65Y5NSNPopM5YV+5asVrMpGmXqk7Z6U6AXy6LbmjlEsRNKy9UDsknNo&#10;rOSnhbiiMUZgzaCvus4iILPFAmvVSm5aPGv1uEr+3DWjvyOEEEJII1ghbp/R3av7bh9bGhTimk+r&#10;haB2C0cU4kgZ2r0++wMKcf2H9I/fZUI6FwpxldAChhWwcsJKKyms/AGBRafr8Oq1YdMFe55681js&#10;+EAUwvh54pOgBcPckLJWsMqVZZBPh1fO9iU1jzZiaeirJx4VYcfIy6NpVts1VraK1WnXjV7DVuzL&#10;CSlfz9qybdbzbNeALgfKiGfe+snJ49HMdsXmKPd7k6rPttOroyiPXSved8NKm7E+kcagEEcIIYQQ&#10;0kGctaTmHqmX1u7em4p2CHG5MpTFloMsJWnNEOJyJSMEdvTSZW3dRQEhSspa6atslKlHdogr017d&#10;1kZ2iEOIPAaxTUdMitSh8+gd+YrCWwsxsHNb2ZA+gVaOq94hrkzYXfUIIYSQeugvIQ4PKGvP21N9&#10;kOk94CR5tFoIardwRCGOlKHd67M/oBDXf0j/+F0mpHMZtEIcRA8vH0hJHFYQyQlv1zLsbgWxRe8k&#10;54Vtpw5PDLFh0wUrotSbx8OWk8Bxb9zrCZGg7Fyl5lVTJOoAO9deHiE1VjqQT6floiOnjkbabgPi&#10;GfLl1mnr03NSdC4v9G54sfI47s19qs02Dd9HEbKshGV3LssZi5w8Hq1uF8BxHSjn5QM6MM5y3Nbh&#10;nasoj51PnSbYPuk2kObRH0Kc949X2A3FfShMCCGEEDLEsPdJ+DeVvtuotof37zl/N3uJ+2C0Xqx4&#10;lruLlRXitOhkRSRPgirKg/ohXUEa05ITdv3Sr/hE2LKeCAXhSerBpxW49A5hwI6LbkMqX1G6V4/s&#10;ZAaJDjui6Vd4In9qFzRg5yI2hzafrseew4pbGB8dIvMB3Uf0Q48l+pLaWS4F5EwdkNBkbCCt2TlE&#10;6D61a1zRf7QNbdJ9w/ns/MfqIIQQQsrQX0Jc14iePWvP2xPmLV3lPuAcyky9fGb48l5775Qx/vv/&#10;+Jvw9e98L6x8bk01fdFDT+xMi4H8Ut9Tr22q1tlz5LhqXTofzgPZA3kkvyYlHKEdUh8+bTrai3bo&#10;c9q+WKz8I3X81W67VY/hM1VekD5L+4Wi/uZIPl6/MLaSX46lJBrkRRnpFyhqG/IjH/qF35FXyqOs&#10;HpNr5y/YmR8gn25jLqgT58E46rYCHLviutluOSD5sU7wO/LqdY2fU+UBxgLnj5VLrc8cvLmMrVGM&#10;u+SRPnmgzdJ3mSuANqNe3RdQ9juhkTbhfDZN0NcL2275nmBt6DEAaKe3HvW6KgPK6Xo0WJd2HnLW&#10;rLRFxlm+V1IH6vP6kELPcwxv3ZZZS0I94y/YvtvvvJTXZbzvIMrpPIQMNCjEVUJLHFbOyAn9mkGI&#10;LTGpxwvbTh2eGGLDpgs5IkpOHo+iPlqJp2zo13rauUrNq6ZI1AF2rr08QmqsdHhzloOOnDoaabsX&#10;yJdbp61Pz0nOuXRAxtM7wJVdW0VtLhJSJXQfQM5Y5I6XRyvbBXBch61Ho0OvPVuHd66iPHYudZpg&#10;+6TbQJrHRYePrPnzGbRaiPP+8WrYD69xHwgTQgghhAw1unqOr7lP6hrVc1ffbVTbYygLcUXogPSk&#10;02zdSNcyFLBSne23HRcrS8XyFaXH6klhx9ruiGfTY3No8+m2FI2HldNE/MKnDohnuhyAmKYj1j6L&#10;DTuHdp4RZcbXjke945rCthFynpePEEIIKUN/CXFfGTF299rz9oTr7lzsPuAcqmhZwQJhAnm04BID&#10;EobUqSWJGDivJ17EhCPklbZCXLGiDcQLXb+HJ5Vo+QeihohFFu+cAo7Hygmx8hBqJI8n4hTVrdtv&#10;ZRQBc6PLWGJtk7lAvV4d0t5TfnrmLmmamJzjUTSOQK81jaRjHlPrOlZerzEPrGtJr0eIK7tGMW5y&#10;HGOs69JooUrmMUeyis27XlNl0oTUmq7n2pBTxiM2R0XfBxBbI0XfCcH2IUU9Qly917tmXJuL+o40&#10;lJf8Hl7bCBkoUIirhJY4coWTGGVfGWnbqcMTQ2zYdCFHRMnJkwJth6DkhR43HWVlFztXqXnVpOZY&#10;KDPXqbHSUbZ/go6cOhppu41W7hCny5UBdeasraI2x+rQoXeoE3LGIne8PFrZLoDjOlDOywd06LVn&#10;6/DOVZQnZz3YPuk2kObhCXF4pWnfH+EtCe8fr4adPNN9IEwIIYQQMtToOuL7NfdJlXuzHX23UW0P&#10;vK61ti0U4gQbOs3W7fWpKE+uyGbzFaXH6klhx9q2tSg9lk+3xYpt+pWgQO+mhp/leM7rRW3E2qex&#10;8xNbH42Mb9G4FaXnkNsPQgghpAx7fWOX+9W2CHF7jDh8t9rz9oSZc+a7DziHIlrEkF1/AEQcSA8Q&#10;I3R+IJJDTDYBECJQFnVq4Qb1aiFDn1Pw6teikifxQICSOnFunY6ftZhh5Swt+AioAyKP3QHJ6zPq&#10;0xIXyqKclMfvkoZ89vwpeQj91rs4SbuAJ6GhL7o8kHw4N9L1+dE+qV/kR42Mm/QPeSCyyPlRF8YX&#10;aQDtE5EGn8iLMrbPKZAfY46yuhzOKWsA2DUAJM1rL9aaniccs+XtXMs82rKSbsunQF1SFuOUu0al&#10;z978CJIHn3JMxh7zpPuKedFrHn2WNEGnl0kTcD7JY8cZfUc767k2pOrVyFh6c6S/NxgfnAd1AfyM&#10;Y5KOvLa81C3rAZ8YE5THmOs1iuO2fBE5ZetdS6CR8ff6LuOHT/0dkXHEp3wH9dpBXrlWEDLQoBBX&#10;CS1xWDkDgpsumwK7W+mAaIRXp8rrEEFKJgI6PDHEhk0XckSUnDw5oH92TPVrZHWIfJVLkXATI6dc&#10;GRFHh+2DjlQdKWx4eTTNarsmt067bvQatmkPXD6ppmxZitaWbbOeZ52GfmtZVX7Xbdek6i2Tx6PV&#10;7QJ2zGL5bH36epdTR1Eeux50mvDa75f1pfaG3QWQNIf+EOK8f7waftLF7gNhQgghhJChxvBvnltz&#10;n0QhzsfKQlr0yZGAcvJgZzHsOIZdtezrLW3ocrZur09Feey4IL9Oj+UrSo/VAyClYac2W8aGbaud&#10;C6+/Xj7bFjvGsiObleWwW5yUsXXmhC4fI2cOQc74tnpcAcYKciDO4b3KVQLpXnlCCCGkDFaI6xrV&#10;varv9rGl4f2b4ozfznIfcA5FUuJIjHrKWESW8Oqw9UOaEMkEEoWWOASpzxNYAOqQPBBCdJqVNCBu&#10;6HQgbQJW4kB9kgbxQ6cJkEUkjz0/zidp9ty6nCfIYCxSAg4kF0mDRKPTBNQheWz7db9xHk9g0eNn&#10;05qN7o83HpIGMM62vXqs7VrR4+CtS9RlhTmbJ0W9axRzIuf05lCPiScxxdDr1qal5jRnvlNruojU&#10;tSG3Xlm3tg49VrH1rOcBoIxOl7qlDpuO8iKGIV2n5SB1e+tbqHct5ZAa/6K+67UqeewY6/UTuyYR&#10;0ulQiKuEljg8qU0LbSlyZJWUTAR0eEKSDZsu5IgoOXnKYF8DGTuemhsLhEIdWobSQKLRO2oViTqC&#10;Df36TgH16rDCjg5vznKwY+TtDga5DPnkdxv1tF1j1z7Crn07Hwg9n3h9sI7YuJcltrZS3zktmunX&#10;GueQ813OyePR6nZ5+VLfGx163dm5tmsHawP16rDtsdcYb/3ZPBDkbB7SOB0jxJ0wzX0gTAghhBAy&#10;1MB9kb1Xwg67fbdSbY12CHH2VZk5shKw5fC7pFmZyZOAivJAYiqS4HTosjkyVVEeK095opWXryg9&#10;Vo8dz1TUK27ZfLYttg3y+lO7C9xVL23cWcbWmRO6fIycOQRF49uOccU4pSQ4HXadE0IIIfXQX0Ic&#10;Qp8XUIj7ApFiIEF4cohHTDYpQ6oOnYY2QarA7zEZTksyVtDQQB5BHiupaEHDqx9o0UOLOGifHC8a&#10;D90PfTwl+chY2DIa3QYr0UjfML/6uEXaZgUbff6csYnlaSZyLk8YkjRv1zMhJvzkrAMgY1U035pG&#10;1qieX09u0tJk7ncY6P42K01IrekiZM1545tbb6wOGd+i8noHNisZSt2pa2ZKNixCynnrG+gxqOd6&#10;V0Rq/HP6Lm2L5UGbJU+sj4R0OvOWrqq5rwRDWogDWlhBQMaBHCLpEEHwO+QOCHOyCxaEJB0oJ5IS&#10;Pq0shLDt1OHJVTFxCm3Q8lKO7JaTx4L2QoLBmOndvzAeGAsJLW7ZHaCQD+3W7UW9GB/UbYUYXS8C&#10;4y7jinIyJnoercyDPDgf0O22QhDyyZwgL9ppz192znLwxkjWHNqh16yUaUbbLXZNoE4Za9tGCV0n&#10;xtYG2i51SB7Uhbr1jmSop+zaQhkdeg3ovqAMxkTSikjVWyaPR6vbJVhZDWOtr0coqwNjrNvizaWs&#10;SbQDbbdh22PXEwLrFucBdg0j9FohzWPaYe0X4hD2nBTiCCGEEEJ6GfbDa2ruk0Bd/xjThGiHEGdl&#10;J/uqzBjIp0PkKWBlJk8CSuXBznBlZDhEqm5PZCrKkyuy2XxF6V49ZV87Wq+4ZfPZttid4LAzH47r&#10;uYb4pcsU1VkvRfMjpMa3HeNqx6wo9DonhBBC6mXY+Ak194ftFeK6d+hznzHtYvcB51BEyxUQGCA3&#10;FUk1KWEilxzpAp9aIotJSlrQySVWXh/XxEQcfRxjp8tY9Hl0X2J1AzmeEryA5LOCiYxlLnY+9Fzo&#10;4xqsF8wP8uETbUiJOo0ibbV9LUoTYn2S4yn5EOSMiUXPfS66vAhWXttE8CtaIxbdpmalCak1XURq&#10;fHPrjdUhxzFm+riHnMeOa6p9Qs4YxZByqMNL13Xn4tUTI9W/nL7n5JF2xfpISKfjCXFdI3r2rKzr&#10;cjGYhDiIIFYkSoU+l5VQisK2U4cnV3kCiYQWyayIousok8dihZxY6DGF+OLJM7Gw8xETsWzo3a0g&#10;1cQCc6vzlZlrjL+UFXR4c5YDxihn7SCPlGlG2y0582vPaddwao3a0ONVz9qyZXQafk4F1iTOj/Wl&#10;RbCiesvk8Wh1uwQrhRaF/v4IOWtSrwfbHnuNKYqyO+aRfDwhrh0PXPcZc/Dn+pxdx53pPhAmhBBC&#10;CBlynLWk5t6sl4NO67uNamt4/57TbCHOE3rkVZkxrKyEgMQWS/ckoFQe7CCmA0KWFp2ADZ1m6/ZE&#10;pqI8OSKbl68o3avHyoUQufQcFIlZRemxfF5brIiIedVhdxC0daLtOr1e7Px4awikxrcd42p3oMP4&#10;4Dsl6bn9IIQQQsqwqxDXc1ff7WPLo2t0z0Z97h/8fLL7gHOoApFLhCYBAk5MOMkRHgBEKeyuhHwi&#10;7Vi8OqR+yHBatIpJVmUFEbtjUo68EhNxYjvHeejz6LyxuoEcLxJHYvlkLHOJ7RDnzZMGgp+dY5Qp&#10;kgRjYK7RFtRh16bgjUkqTYj1KXbckptPo+c+B7tG9Y5lekwx7nI89vpJ5IfUJXKphy2j21smTUit&#10;aVDvtaGoXiE2R3KunLmT89i8sbo1OWMUQ8rF1nCjawk0em1O9T0nj5wj1kdCOh0KcZXwpBK7K1Uq&#10;9I5GRTKdFcNsO3V4clVKguoUIc4TrzAuuVKcJ+YUSVbeWHk78iEwfjpfrgAZk3V0eO3IpagdSJMd&#10;unLLSJQRjVJjDUEK59Rh1zAkLrvLYiz0Wqlnbdky+ruMdtg1HguMIfqVU2+ZPB6tbpcG36WiwDm8&#10;7xxIrS8pp/ti22P7mVpbyGsFQNI8+kuI6zrgiG36nBTimsfP568JH33e+yDxj3/+S7h21UY3HyHg&#10;4Mse3bleEE++/qGbzwN5Jd764HM3D+nl1ic2Vb+PCIz3Sdc96+YjhBBB3ydV75VGdU/uu41qa3j/&#10;nuM9FG0UK0FBJNKCmwbHrWhkJSkrUaF+nQ6w+5gOLQpZEckTt2zoNCsheSJTUZ4ckc3LV5Re1BdP&#10;mCoSs4rSY/m8tljBy86Tfd2plRe99teDXUMIuybtuRG6TzpaNa5F82/XWbPGhxBCyNCmP4W4fUZ3&#10;r9bnphC3KyJIWDnCClIgR3iAqBMTmTReHbp+LfxA7EA7bf5G5BOQUz4m4mDMvOMe+jw6b6xuIMeL&#10;xJFYvpy5SlG2POQrKSPgd2/eYmjJMIU3Jqk0Idan2HFLbj6NnnsvPQf5Pukdy+S1mEjTeQHGPCXB&#10;aWzZVHtz+pJa041cG1L1amJzJOfNmTs5j80bq1vTyHxLudgabnQtNevabNOEnDxyjlgfCel0mijE&#10;9VxhK/IeyrcKLeBA2kmJFVoSgdRhJSMBdUAys1IHyuAY5A8twwk4BvFD764EGUyENRFM8KllF6DL&#10;WPlHQBn0V+pB6NchAi2eoE5dvkweD4wfzqfbirbgGIQdr4wgZXXbERhPSFup8kizZVEuJvMAzJEW&#10;8dBmLQ4KsblGWYxTql05c5YL2uG1GfV6a03K1Nv2GPhO6PrQBrRLvlcyB/i0a1jAeXF+PT4IaZc3&#10;b2XXlhW2dJ0pmcsLnDOn3jJ5PFrdLgvWDb5bek0h5DsXW1cCzqm/d/jU6xFpEvZaatckjiGPbgt+&#10;zh07Uj/nHjaq5s9nMJSEOMhAi5/fXJV5dGz5+E/hlS2fViUWr1wn8+C62gdnFJVIiosX1z4kLbNe&#10;bKAuLx9Zucs1Bt9TLx8hhAhdPcfX3J+18yGjjnYJcZ5YBOlNy0+QkfBaVCvP4RWa3o5yOK4DohWO&#10;I6+VrBBaFMJ5dEC4ExkKu29ZCQkhZYGVkDyRqSiPt/MXjqP9ur9FQlROPXpMMW4idaHP2NXMjqVt&#10;q50/ERqB3q3MCl5aHhNSrwC1r0sVbPswv/q86CfmFMdjdXjYsUW/ZMxir0PVfWrHuGI+degd8lDe&#10;fl8oxBFCCGkGww7vv3vVyv3pKn3uE358hvuAk/QC0USLNHbnqSLhASKOCBf4hOBkd3dL1WHTtHSG&#10;netsfi2IQPaw6UXkCCYxEUcf1zt3eejzaEEsVjeQ442+MhXzoI/nkpqnFJhvtFna5YmVHnossAax&#10;9qxMJ+meTJNKE2J9yh2resZEz309axSI/AZkTERgTYmrAOe359Vt0scbSRNia7rRa0Pqu6KJ1SHH&#10;MW76uIecx45tqn1CzhjFkHKow0vXdZddS82+Nnvk5EE6iPWRkE5n0AhxhBCi0VIdpCsrfkHMsmKa&#10;CH+tpFPb1Qo8IY70D54QV9cf9iVjn7FHvVVzznET3YfBrQQ7qcmOTakYaJJPu4U47EAngfEcyFKU&#10;3vEMu3hBmPTyDSY6WYgbTGuLQhwhpCxdR3y/5v4MO2H03Ua1NdolxAEr9uQGRKd669NCkhaFID2V&#10;DX3uItktJ4+V8nRA7JJ8RUJcTj1lx962NTVeWkDLEeKAFcUkROazpProhVeHh50jL2xbdZ/aMa5l&#10;+04hjhBCSDOwQtw+o7pn9d0+tjysEDf+pFPdB5zkC7Q4YaWFIuFBSyux1zim6vDSIMJJnRDkdP7Y&#10;6yRzyZFXYiIOZBI57sl6GpGXrIyTknxETEwJPJBipLydKy1RWfElh9Q85VC2vJ4LK8IJku7JNKk0&#10;IdamnLFCm2Qey4xJo2sU6HlGHfp3T4ySNE+WA6l1n5sWGyfdX72m9Vqv59qQ+q5oYnXo60jq+4Dx&#10;lXx2vlLtE1LjV4SUi63hRtZSo+Of0/ecPNKGWB8J6XQoxBFCBh3YTU6H3blMsMJW0W5pjdKp7WoV&#10;FOI6h6EqxOF1hTkyHGKgSThobztfmWoFvIEs+lhpaSALWLmgjzrKCHEvvv3FQ95WiJeDaW1hJ0q5&#10;5vCVqYSQHIZ/89ya+7N9Rnfv6LuNamu0U4gDVpjKDb0rloBdtOyrVXVg5zR9PisKFYlGtm5dthlC&#10;HIi1v4wQB4rqKRoryFd6pzGvrXYnOol6hLiYSKZ3DLTYumOBfnjlY6SkNtRld7TTfWrXuBaJd7oN&#10;FOIIIYQ0g/4U4nAufe5Rh6Z32yK9iPhjpQURHiBr6eNCkbRSJBV5QgXK6F3rdL1a3kO9MZEqRo68&#10;kuqTtNdLE/Qud3Y8U3VrScuKgAAilPQdpOou2mXOw5uLMoiAlFu+aC5S8h9IpQmxPmnRyBsruwbL&#10;jEmja1SQ8+NTxjb2PZR2xsZC7+Bn01LzoMfJqxvpek3qNZ1a6wDjkro26PIxoQvE5liXj82fbgP6&#10;YecqVrcmNX5FSLmYyNjIWmp0/HP6npNH2pD6nhLSyVx35+Lae9oKTRHi9h3T7T6UJ4SQVmPFM+zE&#10;hld/SjoEM7wCVod+NWmr6NR2tQoKcZ3Dzw4dXfMHPRgKQpwWeRB4RaoWVCAJYbcwiCtDQYpqBApx&#10;A5tGhLhWM5jWFiGElGX4CdNq7s/AHiMO363vVqpt0W4hDmBXLAhuEHcg/ejAMaQBG0izghWEJMhC&#10;WjqCBCb5dD0Qj3RZgHzIr9uB3yFmaRHKSlZI02Ug1+n03Dxe+yE36X5qGcq2Q8ipB3kgZGl5Cvkx&#10;LkhDvyW8tgKvvJYVtWSIvstrPy04rtuKyBG5sHbQXt0GBOpC+9EW9MUrmwLzjfNLoD70VeqSefT6&#10;1I5xBSir24i2YM7RHr3OcUyXI4QQQuqhf3eIq33eSCHuCyA/QKzRcgR2TtI7KVlxQqdBaEA6dioS&#10;YQvlJR2yjuxeBdkC+US4AGWkC9QrIgg+9Q5PWkDBOSHLaFEEbYRggnPb/uTIKygjeWx5nQYwPjg/&#10;jqO/0h+AtlmBJVW37jNAH5AH6HmQPJ5gos8PCUqfA21BW1EX6tDlQGwuNKgT6DHHZ0oCjIHxkjJo&#10;k8wxPlGHHguvzlSakOoT5kfqkD5hvPS55TM1Jh6oQ+ouu0YFPabSDk+UBPI9Qz6cS47jZxkDQZcD&#10;uq02DW3W84B5QntRr5bsBN0XzKMcr+faYMvL/KANeixTc6z7jvNh/FAHwPjrvqFNsfJe3UJq/IrQ&#10;84bzo12oT49jvWup0fHP6XtOHjkH+uGlE9LpUIgjhAw6IJaVjdd+v8ytq5l0artaBYW4zsET4r4y&#10;YuzufX+Etyx2EeKO+L77MLhV2N3huFtT/VCIG9hQiCOEkA7lu5dv0/dK1fulNvynBRv9IcTlAgFI&#10;C2USkIe8/IQQQgghpDl0HXRkzf0hngH23T62PLz7U+8B51CkMjxJIJrYMhAsvLyQYSQPZAwvj4B6&#10;8VlWutDnhtChJZCicwpaEAE58oo+ry0PtMgVw7ZXaKRukWZkzDzBBOeU9CJs2dRcCEV1x/odA/m9&#10;egD6K9KV11fJlxJtUn2yO+5ZsMZkvaTGJEa9a1TAONq8Ig1aIEnZvBr5DgJbtug7UbQmU2u6kWsD&#10;iK03kbt0Hq8OjGFqjQnooy0LUnULReOXQpfVWPGx3rXUyPjn9D0nj5wr9T0lpJPxhLi6npHbLYwp&#10;xBFC+pO1S+7se1RSHNiVzaujFXRqu1oBhbjOob+EuK6Djlmnz9luIc7GwZc96uZLgTIQdLC7nA4I&#10;Rbc+sckt8/P5a3bKeCiHY5DxsGOdlvRe2fJpjYxl8+ATv3vt1udAxNqSAmXQBl0P+oX+yjnxCsii&#10;kD5KnRLYfQ/HUJ+cQ4tYSJeIvV5S50EdMakR44ixktfIIvAzjskYo69FIW0GzWiftEfSMG8i5OGY&#10;96pbjKHkkcAY63mJYdcqfkb/GxHiMIYS6I9OS611PRd2rYOya0to1ncSYy9tlPm182nbLKCsDtSP&#10;43r9o7wct3hjhPzeOOm2I/Qa1ei6ULeXR48ZzqXTcq4HhJDmM+yUX72h75XAsBFjR/bdSrUtOlmI&#10;A9gRTO+KhcjZSYwQQgghhNRPfwpx+4w+6DR9brB60zb3IedQA7IEBAgtiIh0BKHGKwOQpsvgZyte&#10;aFFL6sW5IPBAXsExLdEJIjx5aUDLOFZakf7onY4A2gERxLYRyK5baJ9NE6S9QIs3GvTLG0ucOybX&#10;gJy6cRzjgfqkXhlLpMuYxXYLA2iDrkPqQfsgpnhiVdFcAJTD2Oq5Bvg91Z4YEJbQHj2OmE8cQ5rM&#10;l1e39C113qI+4Rx2DSGvrB05f2pMUtSzRjVaaEI9Xh4BdaGdes51X3Ac2HLSRy9NkLqlXj1HSJdz&#10;emu63msDkPmR+qWsziPtitUBpA1SD8Cak3Z4ZUBO3TnjlwLjaNef16Z611K945/T95w8Muap7ykh&#10;nUzLhLgx+1OII4T0L9iR7d0Xn9lFzELgGNKQxyvbSjq1Xc1m64YvXi+E18N6eUh76Dchbuy4l/Q5&#10;+3uHuJgkEgPSi63DBgQTK4tY+aioHqRrkcYGyhadA9KKTi9CS05eyFih3pyQenV+yDTeeSSvlb48&#10;+Sgnj5aYYuHV5QXySL3NaJ8OCGB2Heh5g/hkJS8bKO9JVlgfqbK2nbqfRdiyOs2uw5y1LmXLri3Q&#10;rO+k931DHtum2DXDypUyJ7a8t2Zy+q3Pi77ogPim6wO2fxgjmwcSng4txOVeDwghLWDinKf1vVIv&#10;3Uf03Uq1LeyO/8B7KNrf4NWfeBUkdox71Hn1KSGEEEIIaR72/rCtO8SN7plgz7/82bXuQ05CCCGE&#10;EEJiUIgjhBBCBjmnHdIhQtxhE/yHwS3CSisIyDJayolhd2VKhZWLrJxSFDnnsUKKPYcWq4pIyXcS&#10;0qeyu3jlyD4iK1nRypOHivLktA+BvN56sKF332pG+4pCzlcktOnAerHCV5HQZEPmNwfbR51m12FR&#10;aFGr7Npq9XcS1wWcQ4cnnwEdOk+REJfz3ZPQ32m7NiC36Xq9713RuTH+3nEvyqwXQkhJTp93u75X&#10;qt4vje6Z0Hcr1bawQhx2A/EeihJCCCGEkKGDvj+s3iOO6p7cd/vY8sB/ErHnpxBHCCGEEELKQiGO&#10;EEIIGeR4QtweIw7fre+P8JZF10HHP6HP2W4hzsotOiCxQATxygEtAUHC0RIdZJTYDlHAk29Qhwgq&#10;MQEF0ouILlZw0SKRdw4tzxRh+6bFGfQT6VbAs+2Jnc8Tc2xIXt0OhBV4ivJACrOCFCQfkcUwJ+iH&#10;Hbuc8+bmK8pTFDKOdtx0P/Dppcs57M5fCElHmm0jAsekfBG2vE5Df23oNYVPO0dWSLV9kzGx6Hag&#10;zka/kzakzfrVowhdD8B5dWiJ0vZF6gR2veL7btuoxTe9bu0uiHr+gTfHdhytNCnXGjuuus2x6wEh&#10;pHns9bOFV+t7pV4OOq3vVqptQSGOEEIIIYRo/m72EnV/KrTvPnXYiLEj7fkXPvSU+5CTEEIIIYSQ&#10;GE0T4rpG9dylK6EQRwghhHQGQ1WIA5DPrJCjA/KLFkAAJBUdnjgHuUWHlk9Qnw6c30o1Vt6BCCMC&#10;lGDFHBFYgD1HTCLy0AIMzuvlsVjRJ3Y+mw8BmQZ9A3qsrcRj56EoD6QgHbnSTs55c/MV5bGhhSOs&#10;CZlTvUZj/dCyFM4rx+2Ye+VtO3X5ImxZnYa+6EA/9DoFVuayaydnbTX7O4nAeEpbkS7fv6L2Ynx1&#10;6O+27YteD3a92nECVrbTa0UHrh+6nBd2jvX1BD/LcT2/udcDQkjz8IS4du68IWH/gyOFOEIIIYSQ&#10;oc2XrllQc4/aS/uEuK4RPXva8+NhpveQkxBCCCGEkBgz58yvuacETRHieg4c6z6UJ4QQQkh76Tch&#10;7uBvrNTn7Oo53n0Y3GognliJxYbebcqKKzmRkm88wceKM14eKyJpuSbnHDGsjIfz6P575LS3TD6Q&#10;6l9OHtsPr7xHznlz8xXl0QFZzEqPwMpOOYHzSvmcduKYDl2+CFu/TrP1evNdlCdnzTT7O5nqv50P&#10;K4nFxDJg+6Lnwq7XnNDltTSJn+W47ZsOWW+4BurQu9rVcz0ghDSTFafpe6Xq/VIHCHHDDj/efTBK&#10;CCGEEEKGBp4Q185X++PfLe358TDTe8hJCCGEEEJIDApxhBBCyCBnqAtxgohxWiyR0LKSlVpyQu/K&#10;VSQAAXsOL09KdIqdw+ubhLxmMSbQoCzq8aStnPZ6+XSbLan+5eSxabpcipzz5uYryqMDeXWagDJl&#10;I7bDF0LXLdhzxNrikarf1uuti6I8OWvL5smJst9JjZbeELKbm5Xl9DmAbSfOK2l2HHNC74RnpV6p&#10;W5/T7m4nYpt9TbNulx0bidT1gBDSRM5ZMWGf0d07au6XRvVc0Xcr1bagEEcIIYQQQjSdKMTN+O0s&#10;9yEnIYQQQgghMTwhrq5n5BTiCCGEkM7kBz1jav6gB31/fLc09uk+/r6a8x54pP8wuM1A8PB2axL5&#10;pB75Ru+olCPf2HN4eaxAk5JYpHwq9DnQ15g8h+P6NZAgp71ePt1mS6p/OXlSolaKnPPm5ivKowN5&#10;dZqAMmVD7/CVMw72HLG2eKTqt/V666IoT87asnlyoux3UmPFMrk22J3q7E5qtp04r6TZcSwKfA/1&#10;a1Wt1CZ90PXifPrVurJO9PUO9UqdQtnrASGkeQw7Z8URVoiDnNZ3K9W2sP+es/fR3/6L92CUEEII&#10;IYQMDb501bwv7k930n1E3+1jW8LeJ1OII4QQQgghZaEQRwghhAxy+kuIG37It26vOW+HCHGCFVRE&#10;MElJLTnkyDf2HF4e2z7djtg5YlILQnaIEyAG4pjdDQuBevTOUDnt9fKlxi7Vv5w8Nk2XS5Fz3tx8&#10;RXl0IK9OE1BGR2xsY+SMgz1HrC0eqfpz2l6Ux64Zrw6bx45zEWXH2O4EB6EMx7Vs5ollqXbmzFMK&#10;fB91yBzqwO+6DfK6V31dkL5YylwPCCHNY49fLB/ZNbpnY839UgcIccOO+tZ/eg9GCSGEEELI0KAT&#10;hbgf/Hyy+5CTEEIIIYSQGE0U4rpX6UoOP/BA96E8IYQQQtoLhTgfK6+IJGOPW5GsiBz5JnZujRVo&#10;tFxTVvApAvVp2Qchu2KBnPZ6+XSbLan+5eTJKe+RW67R9gEdyKvTBJTREROWYuS0054j1hYPW79O&#10;s/V666IoT87asnla8Z20WDHMCmn2danAtlPPhR3HenZds99R7FAnIXNq+2p/19/rGCiTuh4QQprH&#10;HpNW7d6JQtzeR37zD96DUUIIIYQQMjT4+0tnf3F/upO2C3Gr9fkpxBFCCCGEkLJgl2F9Twn6bjfL&#10;BYU4QgghpDMZikIcZBMILVpIsVhBRV5/qCUTRBl5CFgBJUfw8fLY9um+5JyjLLbfus6c9nr5UuMf&#10;ey2lYHfpQuj6bHlPUILEBLFHv3oyNa6aRtsHdMTWkRWtyu7GZdspr8nUWLmpzJq246XTctZhUZ6c&#10;tdWO76TFjqt9zbJcLzS2L3o92Ppy2mCx9et51fXpsHOvvwspUtcDQkjz8IQ4yGl9t1JtC/vvOXuP&#10;P3GH92CUEEIIIYQMDTwhbtiIsSP7bh/bEvYedfxJp7oPOQkhhBBCCIlBIY4QQggZ5JzUfUDNH/Sg&#10;74/vlsbwQ06Ybc/rPQxuBVqAgSil5RUIITimw77+UL9iEAEZRu/ohDogSOG4LZsj31ixxcuTErfq&#10;EXwE1It2Y0xEvPLGRI+ZlWMg2aAs0ONi+6XbbMEuXzogMEpdGFs7BwhdnyekoU7pk65Dl7Nikoh0&#10;GAMtCzXaPqAjJXFZ2Qrjq8cffcLvaCvOq8fcrgWE7KCG/lghClFGKLPrUKfZc3vrsChP7tqy493s&#10;76TFW18Stn4htf69+pBfrznkwdxhDNAPOa7TY6HPZdeTBOrV9YF6rgeEkOaxx6RVu9mdLzpBiNtr&#10;3AnbvAejreB/3rIi/MOt94e9blsa/uXOxWHEwnvD/nffEw5YdE8YXfn82l33hn3uWBL2vn1Z+Ofb&#10;loW/n7fcrYcQQgghhDSPf5wyc+e9odA1omfPvtvHtgR2Ttbn7zlugvuQkxBCCCGEkBhNE+LsP+JS&#10;iGuMBy6fFP7rT3/sewQVwtold7r5Umzd8MVDsz998nFNGurHMQTOs/r22TXpZWlGe1vNa79f1te6&#10;3j7fe84P3XyEEDLYsELc18Z0/5++P75bGsO7v/5bfV7gPQxuBVaAKQore0CsKRO6bI58Y8UZL48V&#10;kbTwknOOGLZeLyD8iBwDIMjEQstBtl+6zZZUnRJWgrL1xcQfG1o6Ss2tlpCa0T4dKQkNopOtKxX2&#10;PLlzKpFqi8XWrdNy1mFRnty11ervpEdsTkSitBStfyuZpSI2R7E26TxW5pTwdg/MXTv6ekAIaR64&#10;X+oEIc62Ye+jvrXZezDafFaEf56/LOy38N7w9aW3h7MfmR2uevaacMuaq8IdL18Zrn/+12H6k9eH&#10;nz50U/j2itvCIfcuDMPvuG+Xev6uUo89RgghhBBC6scT4r4yYuzufbePbYnKffEV+vyjDh3nPuRs&#10;Jxs++DRseP/jsGHrjrDuffBhWL+t8nvluJefEEIIIYT0L+ddfnXNPS3ou90sF/YfUI8ZSyGuER6/&#10;/sq+R1C98dZTj7j5Unz8Xu2DQ52G+nQgr04vSzPa22rseKDNXj5CCBlsWCFu3zHd7dkhrh+FOGB3&#10;AvMCogdEG6+8lVtigZ3DdLkc+cbW7eWxooqWa+oVfECRAIMxgaBly8XGE/klj+2XFYIsKclJdmTT&#10;YeuDpOPtgKbDG5tYGbsrV6Pt0xETnARImTHZyYYW/ECRUIe503NT1BaNXS86LWcd5uTJWVvArq9Y&#10;1POd9IgJbLHd0mz7vPWaK3HGpDuvTXY+7bqU8L7X9V4PCCFN4JwVG3G/1IlC3F7jT3zNezDabP7h&#10;1vvD/nffHb67cl64+KnrwsJ1V4TnNl0Q3n1/Uvjwk/PDa5unhpWvXxrmrrkqXPH0NeFnj8wJRy+9&#10;Mwy7c2n427mU4AghhBBCWsWXz754572h0H4hrnuybYP3kLOdbHh/R3j5zXfDS69tDC+98np48bU3&#10;w9o33wvrt37o5ieEEEIIIf3LrkJc946+281y0TW6Z6OuaDALcdhZTO+Ghp3HvHyNQCGu+VCII4QM&#10;VTwhbtbhI3br+yO8ZeEKcWct8R8KtwiIHJBttAAFwQMSiH69ZgyIR7Y8AsINxBavDisnecIdhBoJ&#10;5PUEGy0JIY+WoHLOEUP6ZEUY9BFCT2pMkK7HAuMgr+cEWiBD+3JEGvRdtwV16nZIP+0YaHBeXQfy&#10;Yn6skCSgbohFOJcE+uXlb6R9uv6Y4KRBnRhPOzeoG8dw3tgYeH3SY6B3Dctpi6AFLNSt03LWYe5a&#10;LVpbgqzfZn8nPVBOjycC8+DlBbnrH3Ni5wqBPuF4qn0oq/uC8PLbNRRrdyPXA0JIw6zG/VInCHH2&#10;33PaJcTtc+eScPpDc8P8tVeGR9+4KLz0zvTw1tYpYfvHU8Mnf5getmybFNa/NzU8+/aF4ZE3Lg6L&#10;XrkizHz2mvDDB+aGQxffFfa6fdfd4oY6Czf2/nn/h7/8xU0nuzLxkTVh3Y4vhPUdf/pzmLNhk5u3&#10;k0C7JfCzl6cIrBME1o2X3kzaea7BgqxLfHrp9dLoXHTqXPL6R0hz8YS4PUYc3vJ/S9ThCXGrN21z&#10;H3S2EuwAt+69D8KaN94Oq9esDc8++WR48pGHwhO/XxWeePih8PQTT4bVL70c1rz1bnX3OK8OQggh&#10;hBDSP7RMiPvWQQe4D+UHA1b+alQm82i1EIf6m/nKVApxhBDSueDPZP1ndLuEuK5DT7hEnxe0W4gj&#10;hBBCCOlQOleIO+6k1d6D0WbyP+ctDwffe1e49vmrw9tbJofP//PC8P6HU8J770/ahS0fTA7bP5kW&#10;3tk6KTz+5oww68VfhzMemhNG3X2PW3czgWgk8gc+j1v+rJuvU1jxzhe7lXrprWa/ux+tCmWIR7d8&#10;6ObpJDCfMr86Nn7yuZu/k5j6zBc74OJnL08RElg3+ngr5lHCnmsoUzTOWIeIZq9HiXrnQqLT5rK/&#10;r3+EDDa+fMa0nfeGQt+tY9uicp98hG3D8mfXug86W8GGDz4JazdtDc+/uCY8vHhRWDH7t2HZb34Z&#10;7vv1JWHJlReExZdPC/decX6495cXhvuvuyo8suSeat61b20O69//yK2TEEIIIYS0lzOm2f/oQSGu&#10;kMEgxDUbCnGEENK5WCFuzP5VIa7lrzkY3nPcVH1eQCGOEEIIIWRl2Ovclatwv2T/LWUoCHF73L4s&#10;HHjPwnD6QzeFezdcFrZ/PC38V7gk7Pj0/LB1+5SwedsXIhwkuQ8/mRY+//OM6mtUX3xneliw7pdh&#10;0mOzwthFrRfiVm+rfVV1p0te/S2EaElrIEhlen5FKoMkV69g1k5aKcS1Yh4lOk2i6k+KxplCXDn6&#10;+/pHyGDjnyeeu/PeUOi7dWxbeELcwoeech90toKX390WVr+0Njy0aEG4c9LpYfa3Dgqzjts/zPl2&#10;T7jxhO4wp/L77G+ODbOOHRPmfOfwsOiic8PD995dleJe3tz+newIGWhMvXwmrivhr3bbzU1vFj1H&#10;jqueB59eOiGEkMGNFeLw76DVm82yAZNOV4TXs3kP5QcDFOJ2hUIcIYR0Lp4Q97vxX92z74/wloUn&#10;xA07c4H7UJgQQgghZCix17krq+KbldH2GdU9q3oj1caw/56z1zdOftB7MNosRtx1bzj99zeF657/&#10;dXhs44zwztbzwoefnh+2bJ+8y+5wIsZBmnv3/cnhhU3nh0XrrwjTn7w+HHTv3W79zcTuHobdnLx8&#10;nUJ/CyEDbYc4aWuzX0nZDlopxHGHuPbAHeKaS6uuf/Iq1k6//hPSbPY4+cwv7k+r1LmTRgPRNaJn&#10;z9o29IR5S1e5DzpbwYuvvREeXXZvWDLzwnDTd48M848fFW7/+ugw99gR4ZbjRlY+R4Z5x40Kd35j&#10;TLjpmBHhtp+eGO6/dmZ48qEHw9q3t7h1NgrEocrQlObMyee79RHSn2Bdyhr10pvFvqP3r54Dn146&#10;IYSQwc2gE+LuPeeHYeuGNTtfB4rAK0G3v/laUoBCuXdffCZ89sH7faVCtQ5d7oHLJ/WlpGP+KeNr&#10;6n3t98uqMhbaoQPHII7p/IInmCEfPnXfUEfsdacpIQ590e1Zu+TOmnSQMyZCbnuL5gHUO4cA/UI+&#10;6Rs+0Qe0hUIcIWSoQiGOEEIIIaSz2OvclVXxrTOEOHX+Cnsd991l3oPRZnHokrvCr1f/Njz65sXh&#10;lXenVl+Fip3gNm+bHN6tSnDn9e0Sd171dxxHOvJteG9aePiNi8LVq68Jhy9e4NbfLK56aWPfvx70&#10;yioSeI2ql78TaJUQMliRGIiSViuFuFYgMRDHur+gEFcOtEfCS6+XVtVLSKdjhbi6Hxw2EF8ZMXZ3&#10;3QYwc85890FnK3jmmWfCkl9dFOb95Fth1vEHVKW3myvMHrdfuHH8iCpzKr/fctyoMOvofcPcU44J&#10;iy74RXjo7jvCmjc3uXU2SmVY6oJCHOlEKMQRQghpBz/4+eSa+8kGhLjaG9P+EOIgXxUFRCtbzsph&#10;XkDSstJXLES0ys0P8Qv16zbZspC8tCBmA33X5UFKiLP12/K5YxKrr6i9MYmv3jkEkPpigbbY9sg8&#10;EULIYMcT4q49+t9G9v0R3rKgEEcIIYQQ4rPXOSuvwP1SJwpxex7/3Vu9B6PN4hvL7ghL1l8Wtm6f&#10;HLZ/MrVPeuvdDU5+xq5w+OwV5Hp/x8+btk4K69+dFm5dMzMcu/ROt/5mIa/T3Pz5n6qv0ZTAcS9/&#10;J0BxoxwSnSb25EAhbvBDIa4caI+El14vraqXkE5nzxMn1twf7jO6e3XfrWPbYo8Rh+9W24b2CnGP&#10;LV8Wbv/5D8INx44O1x31tXDD0fuGG8bV/psrjs0ev1+4AXLchIPD/DO+G1bc+Lvw0itvuHU2yqKH&#10;ngjzlizfhcpwVfn6d77npq98bo1b30BAXneJvnnpZOBCIY4QQkg7sEJc3fe1tZX0hB/0jKm5MWw1&#10;KRnKhpW/UuKWBOSpsjvE5chdEhDIdJusYJYTVvBqRIjLHZNYfUUB2U6fDzQyh5DzyoYdL0IIGawc&#10;M/bAmj+j+1OI2/usJe5DYUIIIYOXcVfeHRY8MXNAM+WOOW7fCKmXThHivAeNe377B9d7D0abxTfv&#10;vy3c/+rl1degfvTZ9J27wAHsAvfm1inhjfcmVz/xu6Qh37aPpoXNH0wO971yRaWe2936mwFeZSiB&#10;1+XhGMQ4BF6javN3ChQ3yiHRaWJPDhTiBj8U4sqB9kh46fXSqnoJ6XQ6QYhD1LahJ8z47Sz3QWez&#10;2LD9s7D+/Y/CS69tDA/Mvync8oPjwo3j9wuzx/v/5gpmjdsvXFf5vOGYUeGmk44IS399aXhx3Qa3&#10;/lZRGaoqg3EnOMpMgxcKcYQQQtpBU4Q47x9Q2ynEQUDTu5nhFZ+Q1yQd4pN+7aeWsazIhd3HRGiD&#10;ZAXxCvlTu6FBPJM0DfKhLOrEjmhSL/DkL1vWBurCcaSjPbpPCCvV1SvE2bR6xgSh24tP/K5D7xLX&#10;yBwCtFEH8kr78Mpae26EtI0QQgY7VojrOXAs/mfjEX1/jLcs9jngqLP0eQGFOEIIGXp8+7cLqjs8&#10;DWRu+v3Vbt8IqZe9frF8cvV+aXT3Dn2v1DWqpyrKtSu8V1HtcdLpM70Ho83iyKV3hRteuDo89/b0&#10;sHHLlPDu+5PDth1Tq69FfWvr5PD8punhsY0zwvOV9Le2TK7uJCc7xH38+fTw8R+mhwdevyScsHy+&#10;W38zmLPhi39Pwe5wOAYxTgKvU7VlBMm3bsen1d9RHrvKQaRD4BO/S70eOD/yiIQnseNPf06W9cQN&#10;vOJVQuS+GCLgSNsFlNNtSbVD+hk7V5m6coAMhvKoRwJtQB88UUzPrRe5wmNsnnU7Ym0Ael5Sr+GN&#10;jacV4iBxYv71+THO6K8up5HwxKaieQSoW9YMIjWXEvpcGB9E0Zjrvua+srjsd6iRtmDsMU6oQ48/&#10;AudHn5HH1gVS45wS4tB+1Is0qUMCx8rMO/La72SqzRJ6Li0YJ4yHblvRWOTgrTmpE58Stlw9c2TH&#10;1Qbq0fnLrjlCOp29vvH9mvvDrlHdq/puH9sa/zLm4I91O/BA03vQ2Sw2bPskrNn4dnj60cfC0quv&#10;qApueFUqXpPq/ZsrwC5x2EEO4tysY8eERRedF55b/bxbf6uoDFUVCnFkIEEhjhBCSDs44cdnNH5f&#10;6wlxpx0y2r05bAUQnnRoUUuAfKVDi1o6Yq/y1NgyMSGuCCusWQFMB4Qune7lQej0Zglx9YwJ2mvn&#10;4d0Xn+lL7Q19zkbmENiw5b2x0uUJIWQwQyGOEEJIf0IhjhCHc1ZMqN4v9bMQ1zWiZ099frDnCafO&#10;8B6MNouxi+4Ok5+YHRasuzI899YF4Z2t54UPP5lWFeI2bpkantp4UXjgtUsrnxdWf9+6fcpOIe6j&#10;z86v5D0/rHj1svCt5a3bIU7kGIgNcgwygwTkBp1fI1KGSCmxgGzhyT2QNooiVjYmhIgAovtjQX0S&#10;Ws6xcocOK4QACbTFppWtqwjMQ1HYuUrNCQJjq/PHsPOckmeQbstboc2mCxJ2PHV5zFdqbGPrVcKb&#10;KwkvDeKQlpJseOtTQten5yIlmebKakI936FG2iLHUoH58UQwCW+cZYzxadNS602iaN4f3fJhsu31&#10;tBkUfS+99ZFDql60VffFlq1njorGWF+zGrluE9KpDBs/oeb+sHKPelff7WNb46tjD1+r29FqIQ67&#10;w61e83J4ePGicO8lk8Lsb3eHuceODDeOH+H+m6sAIe6mY0ZWd4tbcO5PwhMPVK49b2+pCnbeeZpN&#10;ZaiqUIgjAwkKcYQQQtpBU4Q4738U/+zQ9glx2BmtbIgMZV+DCpELopYnZAlWrmqWEKcFLXsOyGS6&#10;rGBfbarrqFeIa8aY6Ppy8jQyh7be2HykxpuQ/z97bxpmV1nl7fuxvzV+9cNfGtTuVruJZsBuxQwM&#10;SUrmwUZaJUqriN15sQVbbUkqVZkZAmEMBBLITOZ5qAoBZIYQCAQSIIRMJCFzIIDo+67/+e2qlazz&#10;1NrDmU9V/dZ13dc5tZ/5efau2mTfPJuQrowvxJ0VPYStZFCII4QQAijEEeJwQojLv1eqByHuGz++&#10;7tfeg9Fy8e2Fy+Vna2fJ7S/dL0++O14+ONQox/88RvYfHiE79jbKm7ua5dUdo6PPHXvbZDhIcRDi&#10;9u5vlHdzeSDT/WD1PLf+UrHimxXDgJWOPFEEQBJBWJkCIgcEJog2VszwRBeIORAtIKtYUQrtad0I&#10;1GPLAZsedzxOyEB7Gjo2K3nYudDdqTAfekzRQLo9XkxdSdj+Yr5QJ+YL4DuOaSCvV4dG2Ncs6JyG&#10;64w1Rh9s/xDh7lDIo2HXOUQj7KMtr4HzSdvHHNi+eVKehjd+DS8tPIdRN9rUcxcRnp8atj6cZ9pH&#10;73zWPBpx6xhSzDVk24kTyeL6gvw4fzHn9vrCmtu5sue9ouHNc5IQh/GhbozVnlsYr/095V3vYaAu&#10;u4a2vDcXGl6f9bzHuiLd9g3npp4f+LTl0sDcaST1VyMsX8oa2XMmTFPQD/SrkHOOkHqn50U/yLs/&#10;rPZr/TW+M/jiZ20/rrjmOvdBZ7nYvO+wvLR+vTw2e5osav6tPPyjQW07xF0Rv0OcgnwQ4ub85qey&#10;duYUeen552XT9vfddspNbqoi4oS4/+/vTovSGy653E0Hf3vKKVGea//7RjcdaD1eO2tffj0q+/Vv&#10;fPNEfwAkpAmTp3bIn8SSJ5/Lq8Pjqp/+rEO5F97ZGfXN9gHjwrhnrWjpkF9B/1Bf2HeMF8cxNq9c&#10;020To3w6r+g38utcann0S8ugH8hv2yhUZER/tTza9PJo39CXuP7besI09Bl1qEymYI7QXzsmi64d&#10;2tWftQ4cs2PFd61Xjymo37YdjuGBOQvy5jFpnbUefOLnuDWIG5NS7DkenieoB+eFXk+alnSOhudW&#10;lnYJIYS0gftHez/ZKYW4UHTKEnhlaVp5HPekqawCloKdzfBKz/AVp2HYtsI2PMEMJEleYZotl1Z/&#10;qXNSqBAX115S6BpmaRskzRUhhHRlPCHuwUvOur79z3jFgkIcIYQQQCGOkI70/GNrtFtveK/Uu//g&#10;6FWq1YqefQf2C/tQaSHuG3NXy/eWL5ZfPzld5r1xu7y7t0kOHBkhe/a37QIXguPYPQ7ft+xukqfe&#10;HSf3rJ8kFy5f5NZfKla8CCUmmwYBwqYpVn6AFGLlCEVFFwSEiTA9CYgdGmFanLiBcWjESUUqqlhh&#10;I0nIiUMDfbHHi6krDjseSC7eHOKYjgkRriXQCPuahXCdPfHIni+hWITzQsM7RxSNsI+2PMI7H9En&#10;DU9A0vDGr5HUbpzcg7GG66wR1mfPZ28dMS4Nb46LIe4aqlRf9Dz0zn0Nbw2KvWbs9ZG0tojwvARp&#10;145GWLdtN26XPXtOxv0O9VBxEp/e2qAvNsL0NJLWyNYdpmUl7pwjpJ6pFyGu/wXfn2v70XDlEPdB&#10;Z7nADnHrX94g6x6dIQshxP24QR65ok108/7N1aLi3MzrfiCr7r5Vnl69Uja+tdVtp9zkpioiTqyC&#10;SKN5vHTIRZoOScfLo6ITQH6bZsWqOCARpQlHim0rDowpLGNlIY+wDFBZKQnUi/rDsip0qZgUllN0&#10;7JCpvHTg9S0OCFVaLm7NrbQVJ02pFIa89niWuYybE0hdmserR6U0kCTE2XM27H/SPIJQnkObOI5P&#10;22ZI0jlayjkenidJc+utlb0+PeLWlxBCSBsdhbgidj72/o/iehbiwtd5zrn2isQ6ILPZ9kIBC2Vt&#10;upJWbxhW0CqH5BWm2XJp9Zc6J5UW4uwalmOuCCGkK0MhzqfnsNYca6VXQM8Taa25fMAvTwghJBsU&#10;4gjpCIS4M/pedEp4r1QPQtw///DaK70Ho+Xi72e1SK95q+SC5QvkD08/LDNemyjPvDdWdu4bIR99&#10;OkY+/GS0HP4Qr0ZtlgNHm+XwRyPlz/93XO5YszyzbZzcsf5++VnrbPnOwmVu/aWiuw3hM0yzwkec&#10;DGTliThpxoo1STKUR5KckZSmcg2EkjDNSipWZFGJA7KIJ6F4aKAv9ngxdcWhu1AhkuYPY9Hwdn7S&#10;CPuahSzrDFS0wac9bsWypDFohH205b2xKVbEySo2JaXZuQ/rs2RtK20cunuXdz0Wi107e9yeL56s&#10;VWxfksQ2DW8NksqloZG0tnG/w4D9HRXOhUZYt85reK6H6O/YODk3JOu5bs9NLz2JpLmOO18KoRx1&#10;EFJteg+6JO/+sNq7GGucc8lVD9p+9L8gfoezsrD/mLz2znvy7JNPyPK7bpZHrj5fZvxbf3n48uRX&#10;poJH2oW4Gb+4Qpbf1iR/WjxPNr652W+nzOSmKiJOjrIyTyizgVAw8kQnm8dKP1bWgeiDfJCiANpV&#10;GQmE4lUWrMzkpQMIUCoZIZ8do+7qpX0I5SH8DAlQ+63HMUYrT+nuXhZNt4KT1oN6rZSmu4EhL8pp&#10;HlvWtp+G1ufNKfqudQKv7zYP+qzH7VwCiGmYT/QNn1ZUQ75QPkM+m6516HghIGpeO7+2jiQZDuem&#10;piGfnov41LWME+KUcA3sOuG4LQtKPce988TOqz0/Qdh/LYe6bRrKo+1wjgghhOSD/6HC3k8W9T96&#10;eELcTRf2d28KK0GS+FUIEKQgenlhJatQwEL7th6l0NeAWkGrHJJX0rxkrR/5ipkTr76kPKWsYdax&#10;JM0VIYR0ZS46j0Kc0vOmVvmXphY5Z+wK+f6di+SXU+bI72ZNl8b5j0jT/Iflf2bNkF8+NEd+dN9C&#10;ueT2JXLeuOVy5ogWty5CCCHZoBBHSEfO+N+Wfp4Q12fAoIrfo9noM2DwxWEfvn7Nrxu8B6Pl5utz&#10;Vku/RctkSOscuefl+2TTrpHy6V/HRa9PPXCkSfbnwOeR46Pk/8otue/NMmfTRPnBqnnSY95q+cqs&#10;VrfeUrDCW5x4oeIEwhOCsogPWWUoj6T6k9Ks4BLu3qTSVCjL2X5CckEdaTKbBvpijxdTVxy6Bmni&#10;DdDw5B+NsK9ZyLLOQCUqhD2e9RzQSJrPpPI4jzXCfBre+DXCNJ37QqUwDa8trCMirDPL9VgMSWun&#10;fQnPl1L6kiRbaXjzklQuDY1C1tZiJdkwn0Z4XPubNbKOC+1oJMmnNp+XnkTSXJdSr1KOOgipNuH9&#10;Ya2EuL7fu3Rs2BfvQWe52HLwI9m8/0N57Z1tsm7WIzL951fITAhxV2QT4rCT3IxffF+W3TxCnlw4&#10;Vza+ucVtp9zkpirCk3mAlZ8g4oTpKlcpVpAK84RylRW9PJEO6E5koFB5R2UjfHrpQAUqT0ZStA/o&#10;r5ceh5WzwjQrdGH8kJtsOuQlTdc84RyhjKZ78x6HlahCgQpzrGmKimNeHtsnO964tbK76oXnkx1P&#10;Uh3Azp8eS2vfK5NGKKyF84W5sdKZTQOlnuPheeLVETendj7D84sQQkg2yiLEef9HcS2FuMduG+7m&#10;ywp2R4NUZePTY0dPpIcCFtq35QHqsIEdzfDqVBzXPEmCVlbJC/XasDvfJUlmWetXCp0Tr76kPKWs&#10;YVivtx4gab4JIaQr4wlxD1zy7YrvPoIHurZdUGsh7lsjWuR7Ny+Xn94/T8Ysyv1dfuZOeeqN8fLG&#10;9pHyZo6nNo2XWU/fJRNXTpY/zn1E/uPBeXLe+JVuXYQQQrJBIY6Qjpzxh9U9zuw78NTwXqn3gIYh&#10;7bdSVQm0F/bhGz/+5T97D0YrwVdmtsq/Llgh/7luRiS7vbR9jLy6c1QbO0bJyzle2j5WnntvrCzb&#10;crv8/qmH5V8WrHTrKgdZdr+yYpknxmQRH7LITGgHUo7upuRFWCatbX3tIAQ477i3YxP6oekaKB/X&#10;bw30JUwrtK44VFrKItRoeHk1vL6mkVVwicuX5RwAGmEfs5ZPyqfhjV8jTCtk7i0aXltW2rPXnT1e&#10;jDxZzDUU9zsgrS84hjyYF52jMAo9B5EfETfX6B/6i/TwutIoZG1DNMJ8GuFx7W/W8H7feKAdDS9d&#10;SctX7BplbR8Uc84RUq+E94fV3sVY4+wLLu/wP9tu2LnffdhZTjbvOyR/WrxAZv3qquiVqY9c8d1I&#10;dnso9tWp35VpV/SLxDm8MnX1fRPk2dbV8vo777n1l5vcVEXECXFAhR0IOfa4lbbipDGbx8o+dues&#10;pLatkIc2vDxxZBHitO4k+cr2NZTDkkgSsGxanChlZay4PCpcJY0xBHVpvXbXNaBSWZKkpXnsWtt1&#10;SusLxDHkC88nK3CFslxIOLdpMhzAcc0TN58hugYYa9za27bt8XKc41nOE6DngV0Te+2F60wIISQb&#10;FRPimi/s59wUVobdG19q/0/KtkiTu7Ly0YEP2mtsCz2eRcDKIoglCVpheYhvoSTm5bHpYf02LUv/&#10;PLLOSaFCXClrGMqHCCseAsiIYaA/Ng8hhHRVQiEOP3dXIW7g+BXy6+mz5d41k2T5SxNk/Tuj5b09&#10;jXLs49Hy4aejZfueEfLiW2Ok5dVbZd6zd8rda+6X3+TyX3bHYuk/ZqX0aex6u8X9bs7J//sf3708&#10;9US99nf5K20PyT757K9uehzFlqs15eh3Zzv3SPF4QtymLb+Vvz3lb6J/1Gtdd22H9FpyRo8vRP2a&#10;NvOqE8coxJFyc8bwdad6u+13NyEO/MOsVjl78RL5xdpZ0vzcg3Lvhntl2sY7ZeZrE+WhjffIbS89&#10;IL954hG5ctU86bt4mXx19hq3nnIQJ0nEhbdLVhZ5IklSgrSRJFPYsOVAWtv29Zkq9djXRMbtvqQi&#10;STg/ntCigb6EaaCQuuJQ+SdOFLJoeHk14vqaRFZJJi5f0jlg0Qj7mLV8Uj4Nb/waYVohc2/R8Nqy&#10;u6/Z80Cvg3C3tjRKuYbszmg4T/V4Ul9QJk5Is1HoOYj8CK8cxKssUcjahmiE+TTC40n9LQW0o+Gl&#10;K0n5SlmjLO2Xcs4RUo98aeqKvHvDNqq7i7HG977/w38P+9KyfpP7sLPcPNuySub+zy8iCW4quKLt&#10;0/u318mXnhW9WnX69/vJo7/5D3li/hzZ8NomeXPPAbfucpObqogkYceKRJB89LjuTAXByco/dhct&#10;u3uVFYqs6BPuuhWiUlIoUKWh5eIErXBHsiwUstNWKG1lTVOy5EkbYxwqUIW7mmGOcRzrqeJaKKdp&#10;HrsrnZ3LJLkQ2HFZycvWkTbPtg67411S2zj/tO/4RB1Zz72k+Y1bJ3u82HM8ru4QKzDa41ovwDpm&#10;FQEJIYS0gVfu23vJonY+rrUQB1EsDAhVdrc05HnnidWR0IVXmepxSFHY6Qz5rXAGgcruvoZymubt&#10;/qZlVbJC2zZQXvuDz1AAQ1hBK5THEGhH8+DT9g+BOrU8KFaIQ1qhc5JUX5Y8pawhCMdq5xtlvEB/&#10;bB2EENJVoRDXzrBW+eG9C2X6E/dEO8Lt2NsYCXC79g2XvQcaI3bva5Rtu0fI1t1NsnVXk6x/e4zM&#10;f26ijF08Vf7j/kel36jy7hZ3zeT1kVCEgGDk5ak045effEiG7zbNSk/oq00rllLrTOpvLXn8zZMP&#10;Srz0OIotV2vK0e9yreX3bn1ajhxve6i+ccdRNw+pLZ4QN+7m86N/zDv11M93SAtZtPQnUT7kv/Di&#10;r7l5QiDc/XHYOSfkNgABD+VRn1dG8fpGIY6UmzghDq8wzZ1/VQvvfq3aQhz42uwWOWvhcrl4xQL5&#10;2dpZ8psnH5H/efJh+T9PzJAfteTuwRYtk7/P5fHKlgsrwhQS4U5yWeSJJElJpRIE6goltaT609q2&#10;Y4RQg2MqyUHmCPN7oL9W/Ahfv6qBvtjjHml1xaFzBKnOS7doFCPvJZE21woEKg17POkcsGiEfcxa&#10;HlKXRphPwxu/Rpimc5/1fFE04uZa50nX1EpyWc8LpZRrCOg5qWNM6gtEKBWt8InrKvydoP3Bpz0O&#10;NLx5iStn1x59RJ/QD5tHw6tXI24tgP1dEebTCI9rfzEP9nipoB2NcC0tNp89XuoaxdVr0fII5C/0&#10;nCOk3vjKpAV594ag2v/ThoYnxC168gX3YWe5eeGZZ2XZhCaZ+asfyMM/GiQPXq6vTf1OG5d+Rx66&#10;/Kxo5zj8jF3kHrqinyxq/I08//g6eWPXPtl84Jhbd7nJTVUExBsvHdgdrKwEpRIOyto8djcqlarC&#10;na/idtXysFKPlx5HmsxUqBAHWckTmyBhYXw6Vo+wTBbRKUuetDHGYSUyFRXtznE2j5W0rPho5Sor&#10;TRYis9m8xQpx9vywwqYH+qwyoC0fJ9Jlmd+4dSrHOZ7lHABx+bC2tm6A8eMa1XUnhBAST3gvWZQQ&#10;h3+wDSsad1H1hDiwb0v2f7i0O7qFklZchIIXhLG4UIksKY8XVtDK2i8NiGpWHgOlCHFZIqlMOF9Z&#10;8hS7hiBLn0OBEGVsHYQQ0lXxhLjJl32n8D/4BUa9CHE9h7XKt0askcG3LJffzZ4uT2y6WT75y1j5&#10;i4yXA0eaIhFOhQd833+4SY58NEo+/mys7Nk/XF54e5zM+NPd8j+zZsh5Y5e7bRSLFYIgGHl5Kk2S&#10;lLT9wMl/2C9FWLKUWmdSf2sJhbjCKdda2nogxnl5SG3xhDgV3CCfhWkKpDYIbMin9Ot/upvXgh3n&#10;tP44rh7Syy0L0K7m013iKMSRcgMhzvufC+tBiPvilHWneA9HK8mXZ7VGO799Y+5K+dcFy6T/oiUy&#10;YNFS6btwmZw5f3kkzHnlyondPS2UJULs7kyhaJVFfEiSmTTidkxLqj9L21b2saKI3Q0rDVsObdo0&#10;jfB4HEl1xZF1rew6qQBo0cjarsXOdSgjWXRsKlcp9hzw+gZQr0bYR1s+SRizQl7YTw1v/BphWta5&#10;D9M04uYaY9DAd51fzJ+XPwmNYq4hYCVCjEN/9vqSZR2SZCsNb17iytn+x517Gl69GnHzA+wchOPS&#10;COtGfRppv0MLwZ4bcdcKyCKfFrNGaecL0Cj2nCOk3vjKnbPy7g1BrYS4f/uP/zwr7MusVevch53l&#10;ZuOWt+VPyxfLyrtvlnk3/kIevrpBHrrsLJn+b31lRg4IcNgRbtaV/WXa9/vKg1f0kxnX/pusvneC&#10;vLzhVbfOSpGbqggINV66ovKbfSWjllV5SfPormNWkguFI80L7HGPOFkojTSZqRABywPjS5LgLGHZ&#10;LKJTljxpY4zDym+6Ntqe1mXzqGimkpw9D4DdCbAQmc3mLWQ9bB1YB5XcIO9ZUS8OjFnnTsHPoSSW&#10;ZX7j1qkc53iWcwCk5cN8WkEPYM6yzBUhhHRnwnvJ3v0HF75hjPeKjWoLcdi1DbuGZQmIV1oui0hl&#10;8yveKzg1VIjDZyhh2cAuZjasoBX2a9OK+bF14Tj6o2WVSgpx4Zwk1Zc1T7FrqCQJdZATw13o0J+w&#10;DkII6Yp0dyGu17C1csFtS+S/Z8yUBx67T15+e4wc+WikfPjJaNl3cITs2X9SiMP3vQcb5cDRZjl6&#10;fJTs2jdM1r89Vh59ZqL876PT5Lxx5d0hzoo89SjEcYe47FCIy+etvW0PpJJ2bCvXWtod4p7fesjN&#10;Q2pLKMRBMsv9mYiAfGbTbB59paolTYhDfVaGg/iGHeEA5DtbZ5KMpyKe7khHIY6UmzOGrzvFE+Jw&#10;LHfuVS3wf0WGfcBx7+FoVydOXPKwEle4S1kW8cEKGvhu0zQ8kQXESR8gS9tWErP5k6QuD33ladhP&#10;jbj+e8TVFYedP09gARiP1ou18sanUUhfFTt3qN/bucrmCYVD9EfDGwPqU3kREfbRzgHa90Qhmwfn&#10;TZiu4Y1fI0yz549XJ4A0F45Jw2tL0fVCef2eJG3FoRHXVtI1BOzaoP2kviRdy8Ceh946a3h9RX5E&#10;WA55NexxJWl3N2DDGxP6rL/f8Bmma4R1p51vxWLXA3OJn8M8VtRE2LRS18jOt9c20PDmG6Sdc4TU&#10;G54QV+3/aUPjjL4XnRL2ZeIjc9yHneUGrzvduGWrPLu2VVbefYvM/c1/yLSfnC9TrugbvT4Vchw+&#10;p32/X+77d2XGtd+XxaN+L+vmz5HXt+5w66wUuamKgFDjpStWeIJEozuF2d3DbB7spGZ3DQtFIyvw&#10;ZH2dpIp2WUmTmayAZXe1y4qVmDCeUC5KkpTSBCaQJU/aGJPA2qEsxC38rHKfnQvNo69NVfHM7hQI&#10;7FzG7bam2HHZ86JYIQ4/W3kP4wjPtzhw7llxLRxXlvmNWyd7vNhzPMs5ALLKd5gXW2eh1xQhhHQn&#10;Nuzcn3cfCcomxN1+if8u/UoDyQliVLg7G+QzHIdYFpbBMYhYtgwkMxxLkqYgoVnpDGVCUQu7toX9&#10;QV/wGk+kq+SGTxXpgJW3kN/WZcvg53BnOAVpGmjfpoWyXjgvhc5JWn1Z84Bi1lAJ1wR1QLyDbId0&#10;bR+fdr4JIaQr4wlxD172nSntf8YrFripsO2Cmghxw1vlp/fPl/ta7pfHXr1FNm9vPrETHHaA272v&#10;I5q+fU+jvLJ1tCx/aYKMXDhVBt/cvXaIq0fqtb8U4vLRnQDx6aWDznbukeIJhThIark/E7Fym76y&#10;FEBuswJdmhCH16Rq3nsnXdYhHbvHqRSHzzBdQVmtB5IdhThSbnLnlrvbPl6jirRqRZ/+g6fktT+g&#10;YRuOew9HuzJZdyCyWAHDylBpsgpIEjRUzICIYnczwncVZDRsOZClbSuXqPQSJ6+gLxin7SN2frJj&#10;D/uvEYohxdSVhJ0L1A3hDOUBJB8dGyJuTTXiJJYk7FxroF3tgx0X+uKJNHYM+I411v6HEfYR+cLA&#10;OmodyG/nAMdseaDhjV/DS7OiFj12tQAA//RJREFUHvqN+UX9+NQ0HLdlNLz6FB237bcnGqZRyjWk&#10;qMCU1hecwxoYu+bBemM+tC+IcE6Ahjcv2tewHOrVwHmmu7HhM1z3pLXVQL/tGto+J5VP6jMCc2jP&#10;O8wJ1gB9Rh9tuTTsNRHXXztuW7bUNUIeDR0TxoE+aZ5ynHOE1BN/f8vUvPvTNupHiBt73xT3gWe5&#10;2XLwI9n8wWF55Y0t8mzrSmmdep8sv61ZFg7/tTx6w3/IrP+8SmZdd6XMHvojmfeHX8qKiWNl3fzZ&#10;8uLzL8jmPQfcOitFbqoiIMl46QqEHs0LaUh3ClOZKswDKUolHU8msrJckkBl61QpKytpMhPkoGLr&#10;Blo2lKiUJJkpi+iUJU/aGJOwO4bZebZin+bR3cQ0TyisFbJOKtXh0x4vRYgD9pyy52UW4uYxy/zG&#10;rVM5znFbd5Lkp+JiVsEty7lFCCHdnWc2b8u7j2xj0PW5352FRT0JcYQQQgjJp7sLcb2Ht8oNM2bI&#10;uo23yHt7RsjufcMiEe7kq1KH5b63/ayCHHaKw+5xO/cMl627m+SFLePkrlUPyAW3LXXbKBYrBFGI&#10;y0a99pdCXD4U4oglFOJUSIvboQ1SG0Q4K7QhP0gT4nR3uDN6fMFNB0OvP+tEffpK1BD72lT0g0Ic&#10;KTe5c8v9txQKcbXBykueuOQBKUID5fU4JBENm99iy1phBECgSArbV1sOZGkb2DoQVuCwpIUdd1gm&#10;lGXSwqsrCayTyldJAZnFKw80PLEnDTvXVpgJA4JMnNSF41biCQOSn8o0YR/Dcyipnrg50PDGr+Gl&#10;od9WIgrDG7NG0lxbcQmB9fXypVHKNaSEdWC8Xj7gCYw2tD1PttLw5kXX3iuXdO5j/lXoS1pbnBdJ&#10;9cRdkxpe3bguQwEsLsKySaRd72jTrllYvpQ1Qtve9YVjmqcc5xwh9YQnxFV7F2Mb/S+4PK8vw267&#10;x33gWQm2HPhQ3tx3SF5/b7e8uvkteenFF+WZltXy2KyHZeVd42Xp7SNlzUP3yJOL58rzzzwjG996&#10;V958f39UzquvUuSmKQKCjJdu0R3E8KlSUyj6aB4ViYC3+xrkHpV48Bkn+9idr9IkqRDtQ5IkZPsZ&#10;7vCWhpaLm7ukXbuyCElZ8mQRtuLQXf6A9jWU1GwebQvrZfModi7j1sruIhjOW6lCHLCSX9y6eGi5&#10;cB6zzG9cX8pxjtu6UYd3jto8WXc6tLKel04IIcQX4vDvsbnfnYWF90o0CnGEEEJIfeALcWctbP8z&#10;XrFwhTjngXCl6dPYIsPnPSyvvTtKjn82Rg4da86THnRXOLweVb9DjNNXqUKMe3tnszz8xL1y6e1L&#10;3DaKxQpBFOKyUa/9pRCXD4U4YrFCHF5dmvsTEYHd2vS45dkXh3Y4pmWShDjUp/mSXodq80G+8/IA&#10;SHXIg9emUogjZeWPrYdz55YrxJ3Zd+CpSKtW9O7fsDC/D4M34Lj3cLQro7JDnAAShwoaVpaBxISw&#10;skQIZCENT5aC4AShxUoYdrclHPfqz9I2sDJVUl7kw5xYEQX50Zc4iQ7piPAVocXUlQVIPZBYtF0E&#10;2kBbunNWHHF9zQJkIA38rGumgXMiSx+QjnzaF3zaclpn2Ec9h5A/rh57znhoXm/8SWkAkhDmwK4n&#10;xoxjSAvzp9WnWJmqmHVRdD20XYSdDxwHYTmLHVuSWAn0PNRA3bqOulZoPyyXNC+69l65tPlHfQiv&#10;Xm0T/dJ6UFYD40gab1KfFZQP5x/fUTfaS7su4gjHjO/a1/CaCCl2jQDSdT0QmK9w/OU45wipF/5x&#10;zCRzb9hGPQlxv/xdo/vAsxps3n9MXtu2S1588UX50/Il8qclC+T5Pz0hL7+2Sd7YtS8vL3aYsz9X&#10;ktw0RWSRh6zMpGB3K5vHyjlxeby8kH2w0xqEIIC2VLoDabuOeYRyFOqFCGSlIRzTPOgD0m1/ISAh&#10;P6S6cI60fygHcUyP47uVw4AtB+zYwzQlS54swlYS6Lu2Abx5tulxeYCdS82HudB5t3OC+QwFMVse&#10;321aSNLcqJQJ7LpAPAM4pm3j057X4Rpnmd+kvti0Ys5xW16xddhzHPXbOdXzNjynMX5d92LPG0II&#10;6Q60rN+Udx8JyibE3XMphThCCCGkHujuQhx2iPufmTPlT5tull17h8v77bIbRDd8vvd+o7zx3kjZ&#10;+O4oeXtnk+zap7vFtQlxxz4elftslEefuUsuv2Ox20axWCHIE+Le2tv2j+7LX9lzIr8eQxw5/llU&#10;7nu3Pt2hrEXLffJZ2z/O43PjjqNyzeT1iVIS2kUgvx773ZyTD3C1X3GoFIW29ZhXZ0g5+xti+4/v&#10;Yfrs53ZGbe09evJBCwJzrX0Iy4ByCXGoH+14Yw/LWnAOoC7bb5TFPIbzZCnneO3cxgXq1PzhWuoY&#10;0LZGWv8Vna+kcxJjeX7roQ5jxXmKefDKAPQBYc/jkKRzT9O0/APrtp0YIz7xs+bVtnQcGLseQyA/&#10;5ijtmtfzyM4lvntrqv1DeNeEgjazzLOHFeLsK031WBa0TJIQZ19zCvHOy6NkqU93ksOOdhTiSFlp&#10;F+K8f0upvhA3eJ1tHz/j+OkzWw97D0hJ1wASjEobEEK8PCQZiDkaXjopDjuvxUpThBBCSuOrIybm&#10;3Z9G94hV3sXYxhXXXJfXl1oKcWDzviPy2nu75JVNm2XDpjfl9a3bIxku3BWuXoU4+2pH4O28Zl+r&#10;GZfHYoWeOOIErDQgDHn1QYqy+SAMhWKYRzhHEIu8fIodmy0HkiQqJUueLMJWEuH8W4FMsTuYxeVR&#10;MJc2r4cnwwG7XvgepluS5gZ163riU3dV07mKw+tXlvlNW6dSznFbd9Lc2nF6ZT28MoQQQk7iCXF9&#10;Bgy+OPc7tLDwHniHD+MJIYQQUhu6uxDXa1ir/Hzyo/LIk/fKM2+Oj6Q3CG8HjzbLvoON0c/PbR4v&#10;T75+i7y6dVQkzX1wqE2Ww05xx/88Ovdzk8x99k75/sTqCnEqlCENIktcQPCJE2Qg+sQF5BYIQhqh&#10;eORJT0AlG7Rrj1vixLm4OpVK9Ndi5zwsb8WguEAfPGkoS9sethzEKBWOwohrF+B4XDkNK6Ip5R6v&#10;XfO4iBPi0JdQVLORJKwBDfTLS086rzTirqMsu90lrb+mqXgXhu1zpa95DTufEOQ0cH3Zuiz2fIk7&#10;F+OwQhwEtNyfiNRXn4agTFo5K9vhladeHkVf25pUH3aZ0/pundXkjo2Qovhja/RaUk+IO6PvRacg&#10;rVqBHeFs+xTiugfYKUmjlN3ZujMU4iqD7lSGnb+8dEIIIZXHE+Kq/T9t2Pjhdf/9F9sXCHLeA8/u&#10;jIpDdte0JKxUBOHGywOxSPNkqRfyE6Qru1sWvuNYmhiVBuQt2x989+qE7Iedt2xezQ9ZCTJSWAZo&#10;33Uege03joOwnO5K5qUpWfKorIZPLz0N9FP7jXY8Uc2Kf0l9UTCXmDM7lyiHcyduHoGVKdNErbS5&#10;QXmkIY/KZrrGoRiHn+PO0yzzm2Wd9Dwp9BwPZTutx9aB8dkd4BSsJfqG8elcAKwL5sFba0IIISdZ&#10;9OQLefe0bVCII4QQQroU3V2I6zmsVa68e5GMXjxVFjw3UV7bNloOHGmSI8dHyd4Dw2Xr7iZZ/9Zo&#10;eX7LWHlj+6jolanYPQ7SHISIg8eaZfueETLzybur/spUlWNUdsIn8qEchBYrEHnlraBky0K8srtO&#10;aYSCGPJr2ONWSovbQczmseJOXJ2gUv21oIxGWB5zCtkPfbdp6L+tW3f6smRp28OW04AI5Y3bE7Iw&#10;/3p+IN3uNoY0uw5WggKVHK+eu16fFbsWGjoGpNm+Y4xxAhjQQL/CNNSngXp0vABzoH1FeJJnlrEk&#10;zYem6TrZcxuSmV0zbcvLm+Wat2PFeWTFNXy3Y7XXrm1Xj4Vo294cpWGFOBXR8BpSPZYFlAFZdnQD&#10;Xroli5hnX+96012/ccdGSFG0C3HevRKOVzN6D2jYlteH/oOn4DiFuK6NvvqPr+8rHgpx5UdfW4lI&#10;eh0nIYSQyvL1P4zPuz8FtRTift049s+2L3iFqvfAkxBC6pG03ecIIYRUDk+I69l3YL/oJrOQ6N2/&#10;YUJYUfgwnhBCCCG1oeG8gXl/o7udEHdTqzTcslyumzJH7l79gLywZawcOtYUvQoVO8Dt3Nso23aP&#10;yNEo2/cMj4Q4yHCQ4rBbHNJeemus3L3qfrnw1toIcQhIKKF8BkFIxRlPUrEyFdoK0yHPaHlEmEdF&#10;HoQ9jn5oQC6yaYruIhfKVHF1gkr112Ln3GsjCbtjV5iWpW0PWw5j8/pkz4NQCtM+JUlKOq9YEy89&#10;jlLGq33Gp5cO7FogIIeFeWw7VhwL0UD+ME3PRcxv3M5m9twLxcEsY0maj3CN4/oA7FoXc83rWOOu&#10;S5TXPFhfPY4xa3jzbK95b53SsEJc7s9DBHZzs/JZGlouSWBTyQ146ZYseVvXXXsiz5XXXuKOjZAi&#10;2ZA7r5x/SxkcvUq1mkEhrvuB11Bq8HWpxUMhrvzgfNTg61IJIaR2eEJctXcxtvG/4+/81PaFQhwh&#10;pDNBIY4QQmrHrFXr8u5pQe++DT2im8xCIvxH3LPOHtzhYTwhhBBCaoMrxF16VvQ6rEpGPe0Q992R&#10;K+XSO5bIjTNnyKyn7pSX3xkdiW4QHvDqVOwYt/9wU/Sq1L0HG6Ofj3yE16c2yvObx8qsP90jv5s9&#10;Xc4dt9xto1isEOSJPCrHQGCJ2x0rSVrSCKU0i91RKpSxkiQfyDgI9C1Mszu9hXJNUp0aleivYuc8&#10;LJ9GUv1Z2vaw5eJEKSsrhX3WCCUui52zuPPIo5TxZpHI7FrESVZWxEKbXh6gEeaxY08qj3nRCM+/&#10;LGPJOldJ6wRKuebtfIYinUV33rNCHdpS0c67/uzrUgs5hxQV4qxgVi9CHHas89IVrY9CHCkzkRAH&#10;+czeJ0FOw/Fqhm0/6kP/hgk4TiGu64KdtzT4utTioRBXfrBjIYKvSyWEkNry9Rua8+4PQXTjWKMY&#10;ddfkT8L+eA88CSGkHqEQRwghtWPy/OV595CgqJ2Pw3/EPfscCnGEEEJIvdDdhTgAKe7bTWvkwtuW&#10;yH9OmS23r3hAHtt4i+w50Ch/kZvl+J/HyJGPRsrhD9v45C9jReQ22b1vmDz67F3yn1NnywW3Lpdv&#10;5erw6i8WK7B4sk4pIk4W2QjYfPhu05IkHytphSKXCjsQbOxxUKv+Kknl00iqP0vbHqX02R7PGoWM&#10;uZTxZjl348YVooE2vXSgEeax/UySxID2OTxvS7kO09JCSmnLHs8atrwV7ULpDYIeIklWTUKFOPsK&#10;0koIcVcP6XUin5duUSEuqT6g9VGII2VGd4hbmH+vNDg6Xs3Ibx9C3OBGHKcQ13XR16VSOioNFQv5&#10;2tnyYF+XSlGTEEJqS70JcROmzPw47M+Gnfvdh56EEFJvUIgjhJDaQSGOEEII6QaEQtz3B1ZLiOv4&#10;SnXngXBV6TVsrQwYvUp+fN98mbTmftn47qjo9ai79uF1qW2vTX3v/SbZmfsZr1PFq1JHL3lYzh27&#10;0q2vVKwQBJklTC9FjskqGyXlSxJ57I5a9tWLQHea8l7bWKv+KlnagewH8Ud3wfMiLJOlbY9S+myP&#10;ZwmsiyeFVWK8Wc7dLGsBNNCmlw40wjxJOyiGaJ8R3vFirsO0tJBS2rLHs0T4ylW7s6PdyS5px8es&#10;VEuIQ52ab9OW37p5lFNP/XxqfUDroxBHysk3blob3YfVWojDPwDltx/tUjcEaRTiCCGEEEK6J/80&#10;9Ka8+0MQ3TzWKKYvX/tR2J+W9Zvch56EEFJvUIgjhJDaMfGROXn3kKAoIS78R1wKcYQQQkj9UDdC&#10;3Hl1IhMMWytnj1khv5oyW+5dc7/Mf36irN5wm6x99RZZu/EWWbl+gsx79k6Z/Nj90rTgYfnB3Qvl&#10;zMZWv64SsUJQKPKAUuSYrLJRUr40kQcSFcLuqGVfUem9ArSW/QVJ5SH5JUlhNmw5kKVtj1L6nDSW&#10;LFRyvFnO3az910CbXjrQCPPoOYqwxz20zwjveDHXYVpaSCltFdJOHLoTnJXl9BWr3o6PWamFEIe2&#10;vDyK5sOucl66ovkoxJFyclKIG7zO3ivhZxyvVvTu29DDth/1gUIcIYQQQki35oxf3Jh3f9hnwODD&#10;0c1jjeLhpWv25fenQRY9+YL70JMQQuqNptsmRv+u9LennOKmE0IIqRyeEHdG34tOabvLLCBCIQ4P&#10;3r0H8oQQQgipPrUS4sIdZOtGiMvRc3irDBy3Qq6etEBumD5Txi6eIneueiBi/NKHomNXTFwi/Uav&#10;ljMby/uaVIsVgkKRB5Qix9i6K/UKUiu/6c5RuiNXuPuUUsv+gqTyOt8I1BUKfUn1Z2nbo5Q+2+NJ&#10;cxZHJceb5dxNWguLBtr00oFGmMf2M+srU8NzN8tYSpkrSylt2eOejJoFnEcaOl8qyXk7PmalWkKc&#10;rX/czee7eUDrumsz5QOaj0IcKScqxGFHOHuvVG0hrmffgf1s+20MvhhpFOIIIYQQQronoRDXe0DD&#10;tujmsUax8vlXd9v+ALz+ynvoSQghhBBCiDL2vil595Cg/RazsKAQRwghhNQv9SLE9W74gftQuFZA&#10;dOs/ZqVcNGGJ/PCe+XLNA3PlP3L8eNICuXjCUvlOU+VEOMUKQZBZwvRS5JikV5parAATSklZRB59&#10;Paq2oT/HCVrV6m+c/GQlvrC8Rpz4kzQfWebKI0s5e57YPmedszg0KjHeLOdu3LhCNNCmlw40wjx4&#10;9aeGfQ1oCM4XjXAudSwQw+xxi+6ihgjTsqyxUso1b8/tpLEmYc8pjMmuUbGSHVAhzgpmlRDi8JrU&#10;LPmGXn/WiXzPvjjUzQOsOEchjpSTEzvEDWjYZu+VcO+E49UKT4jDMaRRiCOEEEII6Z7UmxD38vZ9&#10;221/AHb78B56EkIIIYQQogy77Z68e0jQfotZWISv+bjovPPcB/KEEEIIqT6hEBf9naYQJz2HtUqv&#10;4a3SJ8eZjS3yraYW+ZcRLXJmjj7DW6I0r1w5sbKJJ/uUIscA+zpMT2axshAilJKyiDxWBLKyGsQa&#10;L38l+2uFIG8+ka7CHiIsr+GVBUmv38wyVx5ZytnzJOyzniOIQoUljUqMV/sVt1MgSBqXRSOun0Aj&#10;zIPzUNccn3HnpR1r2Bd7jnv9tHOBSEoP00JKuebtWCHvxY01DQiBWod+T1rHLHhC3IUXfy1PPktD&#10;yyWJbgD1at5pM6/qkG4lt7S67I5zN4y7zh0bIcXwjZvWLsydVzUX4vB61Lz2c+A1qkijEEcIIYQQ&#10;0j3p8ZOhefeH2NU4unmsUVCII4QQQgghxdBRiBt8uP0Ws7AIX/NBIY4QQgipH/B3ucPf6SoIceEO&#10;svUmxNUDVgjyZJ9S5BhgBTGIMhDW0CaOa91JglgWkQcSlobWBbnIywsq2V8rBCEg82h5KzxphOX1&#10;1ZCoA2X0uG1fw5YDWebKI0s59FMj7LNNQ78hDdrd8bA+mEcITWjLlq3keFWkQiAv+om+oS+aJ2lc&#10;Fo2w/xYNL4/tK8aqO58B9EfnARHuDgdsP1HejsdKnBphedt+mBai845PLx0k1WfT0DespRXj0G+M&#10;H2PGd1tWQRkNjBdh160YrBAHCS33J0LO6PGFPPnMgp3eIKNZUEbL2ePhDm9WeAPYDU7z4vvfnvI3&#10;J9KQ15YNwetUNe+oB//gjo2QYlAhDv8Ik3ev1L9hAo5XK/oMGHS9bR+c2XfgqUijEEcIIYQQ0j2p&#10;NyHurYMf5f9PJDnw+ivvoSchhBBCCCHKDc3j8+4hyybERa9icx7IE0IIIaT61I0Qd+EQ96Fwd8aK&#10;NhBZwvRS5RhgxaQwIMVYoS0UZLKKPKEUBFHIywcq2V8Q7iJnA3KPnfOwvBWBvLB9s+VA1rkKyVIu&#10;qc8AY1ZxKSnQli1XyfHaPtuwsmTauBSNsP8Wjbg8SeeVBvJ4ZUFSeZz/9rwLy2ZZY6Uc17zd0S4p&#10;kubcSoKIYnebU6wQZ19XauUzC16nqnnS8HZ5u3fSZW5eBVIc8oTlQq4e0utE/mlP3OOOjZBiOCnE&#10;nbxPiu6V6kCIO6PvRacgrVpC3Jdy/MOsVvn6nDXyzbmrpM/8lfIvC5bLtxeskG/l6DVvlXzj0dXy&#10;Tzm+OnuNfHlmi1sPIYQQQggpD9/495/n3R/iDVHRzWONAkJc/wsuz+sTHm56Dz0JIYQQQghRQiEO&#10;b+tov8UsLMLXfPxo0LnuA3lCCCGEVB8KcfUL5K6kHZh0V7OkHddQDoF6vHQQ7vgF2QVSjUou2gf0&#10;x5bLUjewYhXq9vIoleyvAtHH7ghXSHktq3kQ+FnlIRz3+p51rkKylLMSYNyYsSscRKhQTsTPkLni&#10;JMVKjhfraPuD71ovyDIuoH1Dm1460MA6e+lAx2plL3y3400CcxiOR+dVx1LsXCnoCwKfXjrIUh/G&#10;g3W3Y0XgutId8rxyipXukvqSFSvE4TWmuT8REdi1zQpoit2ZLY24V69i9zcIbaee+vkTefEdx8Jd&#10;5eLAbnTaBoU4Uk7ihbjBjTherUB7YR/akz7nPRytBF9/tEW+vWC5XLZivvz3E9Nk3AuT5f5X7pOp&#10;r94ld66fJH98eopct26GXLl6rgxauli+MXdlhzq+NLO1wzFCCCGEEFIc9SfEHd9wxTXX5fXpl79r&#10;dB96EkIIIYQQolCII4QQQroBFOIIIV0djSQhjmQHwpxGnExZCFaIw+tQc38iIrATnBXQ6gnbTwh6&#10;FOJIOYEQh1eT2vukNgZdnzvnqhZ9+g+eYtu3/yjkPRwtN/84e430W7RMftzyqDQ/95DMffMOeWH7&#10;GNm+t1E+ODRC3ny/WVa/datM3XiXjHtxsvyfJ2bIhSsWyD/PWe3WRwghhBBCSqfnFUPM/SmEuIbo&#10;f+aoVVCII4QQQgghxYB7RnsPWbQQh3et2oquGUwhjhBCCKkXaifEDV5n2+198c/dh8KEEFIqGhTi&#10;yoN9RWypr0sFVogD2HEt92ci2oHNHq8n7GtXsaMchThSTr5x09opnhDXe0DDENxDVSs6/M8LVRbi&#10;es5bGe3+NnXj3fLY1lvklR2j5b29jXLo2Ej58NPRsvfAcHljV7M8t22crH37Fpn3xkQZ/8KD8h9r&#10;Z0e7xfV4dJVbLyFdgUXb2naE/fivf3XT0/ju4qdlw/6jUXmt5+m9h9y8hIChT53cvRnfvTyEkO5B&#10;PQpxV//XDXl9giDnPfQkhBBCCCFECYW4PgMGb2i/xSws8iuhEEcIIYTUExTiCCFdGbwuViPptaok&#10;O/qa2nK8LhWEQlwom9m0ekGlvX79T49+phBHygmEuN59G3rY+6Q2Bl+Me6hqRSjE2X8U8h6OlhO8&#10;5nTg0kVy38v3ybt7RsjR4yNlz/7hsju6Boe1feZ+3rWv7dgHhxojWe7JrePlgQ33yPVPzpB+C5e6&#10;dZfCtmMnX9kexuFPP5M3D38YiUqQjbzypD6xctmVLevdPPVG666Try/30tPYczz/NfoaXl5CQNNL&#10;J3cIxvcwTeXKO1/blpdGCOl69LzoB+b+MEf/wVPabxFrEhDiwtddNVw5xH3oSQghhBBCiFIxIe6X&#10;DWe7D+QJIYQQUn1CIa7hvIE4XvH/uxM3FrZdCnGEkHKC13qCvUdPPvD93ZzX3bwkO3hFqkY5XpcK&#10;QiEO/O0pfxMJZ3gdaZhWa+zrUiHv4RiFOFJO6keIC/7nhdzPOP7FKetO8R6Olot/enSN9F+8VH61&#10;boYs2XxbtCPc/5Wb5fCHI2XfwRGRGIfrbu+BtlenHsod//izsVH6aztHyfw3bpfGZ6bIeUsWu/WX&#10;QtaAGALJyquD1B9WdAxFn3qlFCHukS0n/5ajHhyDxEmRiSSRJMTZ81HPKUJI16Uehbhht92T16f+&#10;F1zuPvQkhBBCCCFEKYsQd0bfi07Jr4RCHCGEEFJP1I0Qd/lQ96EwIYQUCsS3MLYfOO7mJYWBXeE0&#10;yvG6VOAJcX8cdk4knJ166uc7pNUaSHph3yjEkXICIa5n34H97H0SwLHoJqpKgVek2vb1dViVFuK+&#10;u2i5/NfjM+Tel++Vp7aOi3aAO/JRvgyn4Od9Bxvl4LHm6OeNO0fL4s0TZNSzD8qgZZUT4rC7FoQQ&#10;CySQcAc5vJLSq6dUdCcmiE1eOimM7rZDHM5LBMbrpZP6ol6ud/ye08D3ME37SbGSkK5PZxDigPfQ&#10;kxBCCOmqbNi5XxY9+YJMnr9cJj4yJ4+x903JA383PbDjahwQhwC+o45nNm9z+1Eo2m+0j1ege2jb&#10;pYK+Yz68fhQL+u7NcRx2XeLAGoagHcyV14diQX0t6zdFdSeBPJZyrX09gPMr/x6yCCHuzL4DT82v&#10;pEGuP39Ah4fxhBBCCKkN3x9IIY4Q0rWAqHXk+GfRQzm83nPjjqNlk7e6O/q61Oe3HnLTi8ET4rAL&#10;m+4St2jpTzqk15Izenwh6te0mVedOEYhjpQTCHHYDc7eJ0X3Sn0bekQ3UVWKUIjTh51fnLXuVO/h&#10;aLm4YPkiueOlSfL41vHyxu6m6LWo2Aluz/7GE69Mbbv22l6diuNIR77NufyPb71ZJr50f66ehW79&#10;paAB8c1LB1YMQVRityQN7sTUfSlFiFNxM+k8JvWDRq2v9yQhjhDSveg96JL8e9T+DROim8caBYQ4&#10;PGC2fQLlfmhMCCGke6CC1qxV6yJUSLLCkspNnkgG8crKXFdcc90J8EpvBflQh9eHQoGkhPrDv4WV&#10;BvPi9acQMA9e3ZUEO8lizrz+ZAXnSS36Xo5zBn3HeYt58NrIAs43XB9e/Z2JUIjTt2MUFJ4Q99sL&#10;KMQRQggh9YIvxH2n4v93Z4ddR6680X0oTAghpGvjCXGdDQpxpJxEr0wd0DDE3idF90pVFuL6DBh8&#10;OK/99oedlRbifrB6rizdPCG6tg4caTohveHntu9tr0vFZ5sg1/Yzvu/8oFHe3D1SZr5+l3x/5Ty3&#10;/lLQSBOJhj71+gkpDp/l3nVMg0Jc94VCXPdBg0IcIaResPeH9h6xVgEhDg/kw35RiCOEkPoBv5MV&#10;7C4F7I5TVkDLKqEB/Fyq2KSUQxIqBohFXn8KAYKdV3elKfUV5Vh3r95qAJnN61NWcE569VaDUkVE&#10;XDdevcWANfTa6CyURYjDP9jaSgCFOEIIIaR+oBBHSPfl3pb7OzUj5j3ijot0Ls4auTpay87MdVMe&#10;dcdGSDHECXH4Hw7bb6OqEmH7vfsPbsTxSgtxP255VFrfvjV6TerR4yNPSHAAu8Bt3ztc3tvXFH3i&#10;57a0NiFu/2EIdMNk+ZYJ8sM1c936S0Eji0hkhaVyiywaFOK6LxTiug8aFOIIIfVC3D1irWLLwePr&#10;IE+E/SqXIFFO8NAYD6HtTkLAih2KCiAqhdTjeAghlQeSlkpjCn6XhFiZzKK/QxT93WLB8XK+AhH9&#10;gWxUTUkLv0u9vhQC6vDqrgZYZ69PWUBZr85qUKpUVsu+42+t16es4Lrx6q0Gpfa9nOc6fod4bXQW&#10;KibE3XRh/w4P4wkhhBBSGyjEEdI9gYSku1vF8fauZvd4vfDUGze7YyOEkM5M2ytTB11v75NANYU4&#10;b7d/9AlpX56+uof3cLRcXLZygTyy8U55befoSHp7f3+b6Lbv4Ijo5407Rspz742NPvEzdofTHeKO&#10;Hh8Vsfadm+Xqlkfd+ktBI4tI9N3FT7fnFtlz/NMO6Y9s2Skb9h+N0mwc/vSz6Hi4q9yibXvac8QH&#10;6tT8EFae3nvohPykgR3r3jz8YVFCC3a+0zr0Z60fxzxhB+2gPd0xD4ExIy/mKMxvCctm6TvmDfOH&#10;edSIm1NF51bHBXSsCKTb/CE6B+hbmFbK+LGedv0wDi2HTw2vbAjGnhYYM/IWu87hvGdZL6QjdI7v&#10;fG3biWMInStbBvNirxt8RzmbpxC8cwbjtdeT4p0rIfbc0Tm1YP1wbdr2wnOi0OtdwVhQt50fRNx4&#10;QrxrTq8dpGmEa5o2ZrSNesJ+Zb020Sf8rGvl9S8sq6A/tgwi63wQQnzCe8R6FeIgZHgPPmsBHviX&#10;4+EzHtqWIk0oEGog4GFXIrsTEr572Ff8eaCeOCBLoK1yyTYYPyQE1In5qBToN9YMbXn9KAb0HRID&#10;6vXaLBeV6DuuJ/Tda6+caN/Ldf1izvH7AXXjfPTOXw/vOojDXqPof7nmHXOAPtv6Kw367/WlEDDf&#10;4bxUi1LnvtrzraBdrz+FgLF7dVcSXFfl+N2Ocx3XnddGJcD5ib6X4+8p/hZ5bVQSnC+l9h33AV7d&#10;hVKOvtQanAt2TEUJcT37DuxnKwEU4gghhJD6wRPiJl/2nYq/7iB8DVevH97kPhQmhFQGCnGEEFKf&#10;xAlxZ/S96JT226iKh/c/N2LXOqRVWogbuHSxjHxuiizecoe8smOU7Mr9vj94tEk+ODRCtu1tkhfe&#10;GxsJb/jctqdNlFMh7shHo+TwhyNz6bfKj1tqu0McsPKHPZ5FdoG8YcWSQgQZK6ckRaFCiBVi0IYV&#10;TBDhvEBCSYpwjBZIPUnh9R3H0sIrFyeXqbCEdbTHLXausUY2rZTxJ5VFf6w05pUPgTCUFtqXcq8z&#10;AnlsGQV1IbAGSfUgDbKY5vei0PMZoEw4Phthv+POFUuSOIZ1yNJeMUJclvMf506ciJlUHn2212Q4&#10;rqQxF/P7TtH5xrqn9c8rD1EyKcI5JISk86WpK/LuD9to+58mahUQ4rwHu5AyvAeftcAT9oqlVGEF&#10;D66rKR4oEBCwTl6fsgLxohZ9L5d8UAtJCA/6vf4UAnb/8equNOXYdQjXi1d3pSlVzKrV+QJKnfda&#10;CEJKqb/3IWZ59VYKrDHmq1xCEX5HYv0gr6JeC45ZkM8D524cmF+AeSr197kH+o+6PbTtUkFd5e47&#10;6sP8hHMcR7g2HhCDQ3Ac/S/3+YLfk/hbkQT+DlpQBmU7uwwHMB57XZZNiGu+sJ/7QJ4QQggh1ScU&#10;4s4+ZzCFOEK6ARTiCCGkPolemdp/cKO9TwLtt1BVCU+Iy927XYy006e19PMekJaL7yxaLtc+NlPu&#10;enmSPPXueNl3sFE++nS07D88QnbsHSGbdo2Ul7ePjj53tO8QBykOQtze3CeOLXrzdrlq9Ty3/lLQ&#10;CIWgOKy0ZHcwgoQB2QqCiZVHwp2/dFekEA3k9dJVuoFcAyHECjBoW4UcfNpyaVjpRetAGziOeq0Q&#10;pvIM8qGfdvzok8pm+NTjihVokI6f0QbKqRAV9t2KL+iTlWPw3YpUti8gTnKyAlBYxstj57mc48fc&#10;6hyHO2whwvJp6FzEncfFrDPCrhXAdx0nAnltO8Cup35qHfjU4wg7Zzondu2QN0728sB5oYGy6J/2&#10;HePVsOdS3LliQXkNfLdp+jsB7dk0tIE2gc0PNNB2mKbY8z8cC+bKnv+e4BnOBdpCWdRrf49phOPC&#10;zxphGtrHmmmf9HiW33eajj5p6LkY9s07n7Ucxhxeg8iPvtn8hJB06lWIw0PdsF94OO09+KwFeGAc&#10;9q9Y8ODWayMrEAK8eqsBHuh7fcoKHr579VYDtO31KSu1ErMArg+vT1mphYQIIAuVIltAUvHqrQad&#10;+TqFdOP1KSsQdrx6KwnOlVKvUUUlIfy+wnULrJCkqNyEvIoVx1TkUgFLQf2gK4hEhHQFOgpxDQvb&#10;bzGzB/7B1FYCKMQRQggh9QOFOEK6JxTiCCGkPmkT4hom2Psk0H4LVZXw/udGHENapYW4b85dJRcs&#10;Xyg3PvmILN5yu2zfN0IOHWs+sQvcrn3DZWcOfOLnPfsbo93j8P3t95vk2W1j5b4N98glKxa49ZeC&#10;RpxIFGJlj1ASScLKOF66RpIgkwQkEI1C+oW8NuJkEognGhBPvDxWwLH1QJJRiQUSjSc4af/tMZWl&#10;POkKoB7NE0pHdp3scTuOuHq1TivzlDJ+oOPHpzd+219EmJ6GylFx53Ex6xy385idd4SVkoD2BRFK&#10;S0DXWsNrx85H3Hx72Lat9KbgGNbAXiNx54rFzl94fWkUcu1qJJXROUZ/vbEAK4+Fa2rTwj4DzKue&#10;l4gwT9KY00j6fWfnO1wLxa6jPTdK6RMhJJ6vTFqQd38IdBfhWgWEOE84K5ccUS4gSYR9LBRIHxAt&#10;vPqzgrmq1c5TkEe8PmWllpJQqfMOgcart9JgrUsV4kJZoFpgVyKvP1nBuV4rma/Ucx19r8W8Y87L&#10;IWpB/EJdtm6ciwrWBWCMCvKrgJZVQsPv1XLumEUI6X6Ev2vLJsSNu4hCHCGEEFIv/GjQuXl/pyHE&#10;PXDJtxvb/5RXLGybgEIcIdWFQhwhhNQn0StT+w+eYu+Teg9o2NZ+C1WVwINN237Uh74NPZBWaSHu&#10;H2e3yLfmr5RLVyyQxmenyPw37pD120fLrg8a5djHo3OMkkPHRsrBo81y4EhTJMt9/Jex0c/PRTLc&#10;ffKfj8+Q7y5c7tZfChpxIlGIlTkKETLSpBuNQqQaS7GiiC3n7WSlaP8h6XjpCuQmhJXNIN5oxIlY&#10;wIpTtl+hUGVBOwi0a48nzbf20RuLldqsiFXK+O1Y7E5sIToWhJeehApEcedx1nW2fUg6j+yahmPS&#10;vmCuPKEOaMTlsWJe1msC9WgkjTE8n5LOFcXOXzgvGAPC2w0tDo24sdn5TRq/HXPYvkZSv2w74biS&#10;xpxG0pzatDjRz0qTtm17XiRdS4SQwuhMQlypQkqlgFiluwgBFTtU9AAqf1ghBHnLJX1AVkG91ZKF&#10;IMCUS1BEPV4blaKcfcece21UCghGpYp8AOddNfuOOUffSxX5AOqoVt+13+U6XwDqQp0glMdCrExm&#10;wfgt+vtFUcEMvxe8PhBCSFemLEKc94+ot1/yXfeBPCGEEEKqTyjEnXX2YHnwkrMq/roD2ybodXWz&#10;+1C4mvS8qVXOHLFG+o9ZJZdMWCI/vX++DH14jtw4c6b8Nsd/PTxbhkyaJ/9212K54NalMmDsSjmz&#10;sdWti5B6h0IcIYTUJ9+4ae3CehTizuw78FSknT6j9WLvAWlZmdEqPeaulvOWLpGfPzZbJr9yj2ze&#10;3SR//n/j5ePP2uQ3BZKcyK1y5KORMv/NiXJ166Ny5vyV8g+zWvy6S0AjqxCnsg/CS48jTbrRSJJf&#10;kihWXslazo47S9j5tGOPE6RCbJmsEVfeHgdWtgmFHN3ZCjtX2ePlGn+cAASS+pyG9s+2ayl0ndPE&#10;P6ARCldpfQFZ8mhgXrz0EDtGKzOmkWXek+bPlsd4srStETc2W2eSEAp0Lu05a/ubJI4ljSspLY2k&#10;OS11vnW8CFyvSdcUISQb9SrE4YFm2K96FeLqGYhPcehr/uLQ1wGGIA3lvfZKAfXaVxJWAvS/En33&#10;2io36LvXdilgLry2ykml5hzY8zUOtF0oXluEEEI6BxTiCCGEkG7ANYOrL8Sd0feiU2yboNc1492H&#10;wtUEctt541fIj+9bII3zH5FpT94lra/eIi9vHSOvbB0ta1+9VaY+fo/cvOwh+Z9ZM+Tq+xfI2WNX&#10;unURUu9QiCOEkPoEQhz+ASb/XmnwhvbbqKpEnwGDrs9v/6QQd9r01iHeA9JK8A+zWuWshcvk+iem&#10;yeI3J8jGHaPkzZ3N8vrOkbIpx2u7RsvGnWCUPLb1Fhnx3FT5zqIVbl3lQCNJzLHoDmAILx2yFQQh&#10;my8Mr5xGnCCjQA6BBGKlkDAKkVeSxBNLUnte2B3SVDJD2DqTsNJMlihkh7ikncT0FZK2/6CU8WcR&#10;gEDWfB7av7jzOOs6625ncfVYNMK8aX0BWfJopF0TStyuYmlkmfe0+bM76yFwHuFYnMymETe2Qq4Z&#10;nUuEHsu63kn5stRRzO+7Uucb168dMwLnLcS/rMItISSfr9w5K+/+sI3BF0c3kDUKFeKwO5PtF3Y+&#10;Ch96EkIIIYQQopRFiPP+EZVCHCGEEFI/eELc5EvPquj/3YkHqrZNUA9C3NljVsivpsyRCSselAXP&#10;T5QXtoyV994fIUePj5Jjn4yWbbtHyDObx8uK9RNkxp/ukdtWTJZfPTxHLrh1mZw1co30Gtbi1ktI&#10;oTywbpvsPXryYRG+/27O63l5Hn9zvxw53vYgEvHW3g/z0tOIE+L69T9dcpepjLv5/LoS4oZef1bU&#10;L3zqMQpxhJCuSD0Icb37D27Mb78Bv4OjqKYQB/5xTosMXLJY/s8TM+TmFx6QB1+9R2a/cafMfWOi&#10;TH/tLrl7/SQZ9vRUuaZ1tpy3ZKl8dc4at55yoJEk5ihWpArzIy1JCrFhyykaSfKPlWSSIk5e8cgi&#10;vQAVULLMUwiEGQ0v3SOLNJNEWnntk91Vy74+Mtx1qpTxZx1LKWNO61/WdVYhMMs4NcK8aX0BWfJo&#10;JF0TFghRGoVcA1nmPcv8QX6DBKdziMB3SGNhXo24sRVyzehcIvRY1vVOypeUVsrvu3LNN46HvxMh&#10;xnHHOEIKpzMJcXg1YPjQkxBCCCGEEKViQtw9l1KII4QQQuqFUIgDky/9TkX/McsT4nr+YqL7ULia&#10;XHnXAnlo3b3y6tZR8u77TZEAt+uD4fLBoRERu/c1yru7m+WtnU2yefsoeXbzOJn91N3SvOBhGXLf&#10;fPnuqFVuveVk9nMndzOAJOXlSQN1QJ765LOTD2BQ1/NbD8k1k9e7ZSzIg7xW2EJdqBN1e2VU3Moi&#10;bUEG0wglsO6AHb8NCHCaB/PoxfjlW/LqSsIT4lrXXRtJZ+DZF4d2EOI2bfltJMqpNKdcePHX5N5J&#10;l+Xl9UD5Pw47p0P5M3p8ITqOdK8cCPuGYxTiCCFdkTYhbvA6e5+En3O//6oWvfs3TLDtg/akz502&#10;s/V67wFpJfn6nDXSf/EyuWLVfPnV4zPkf596WG56Zqr89k+PyE9b5sjZS5bK1yoowikaSWKOYkWO&#10;8DWEVkpBvlDKSJNANOIEGVseskwoiWQRSDyyltPxWYEsK7bvWXdwsmWKEVzS5tvKb/qKS5Vrwt3m&#10;QLnGnzSWtD4nof2LO48LXedCXpkKCcweT+sLyJJHA/PipYfYMVbzlakekOBUjMNnuFOcRtzYbJ+y&#10;vjLVnre2v5V4Zaq2iUBfC/l9V+75xu8UW6d3/RJCkqlnIa7hyiF5/frl7xrdB5+EEEIIIYSA8P6x&#10;KCHO+7+KvYfxhBBCCKkNv2w4O+/vNOhuQtyZjS1y7rgVcsOMGbLutZvl48/Gymf/b7zsP9wkew80&#10;nhBy8B1i3JGPRsrxP4+Jjj2/ZaxM+9M98tuZM+W8Krw+1e4IhoA85eXzgFwWlvcCsptXHiAtLdBG&#10;KLJpbD9wPO+4B8QvjUIEr66CioaYRxUUMZ86p/jU2LjjqHzv1qcj4mTEODwh7uohvSLhDIIbfrZC&#10;HIS3vz3lb05IaR4or/lDILSllUc68nnlAcQ55NNd4ijEEUK6IhDisCOcvU+qthDXp//gKXntD2jY&#10;1p5UEyHuy7NaIymu97yV0nfxMjlvyRIZtHSJnL14iXxn4XL5+qOr3XLlRiNJzAGQUqzgEopdGqEc&#10;pKRJIBrI56V70oulEIHEkrUcxqWRJuiE2FdZertlKbZeK6wllYkji3Sj66mvTdWfPYGolPFnHUsx&#10;O+kpen7EncdZ19nuuJU0zqQ1TesLyJJHI+6aCEF/NXRNPXDt2uvXnitxY7ZrmPX6SppzjbixJc2v&#10;JW7MGJ9G0lwk7aqXpf/F/L7Lcm0mtR1HlnoJIT5/f8vUE/eHJ6kPIS7c4YNCHCGEEEIISaJMQlzH&#10;/6vYexhPCCGkOKb9ePAJ5vzyig4s/M1P8/DqKAS0g3pWDBtaFLYv6J/XRiHo2L00kg1PiHvgsm/3&#10;a/9TXpHo3behR9hmz19Nch8KV5pew9bK925eKkMfmS2TWu6Xl94eI0c/HiUf/XlMJL/t2X9SiNtz&#10;oFH2HRwhB481y7GPR8vuvcNlfS7/o8/eKX+cO10GjlvutlEurAilASHKyxuCsnZHOIhpEKggnIHl&#10;r+zJk+U8EQ1taaAuyHFaHmKeTQ/FN43OLsTpzmxZ571QILZpYE28PHZ+kN/Lk4VQiMPubLnLM2La&#10;zKuiY1aIU5nt1FM/H+0St2jpTyJUolOQpmUU1K3l8Wl3k8Nub9gdTstj9zhb1oK6tQ78TCGOENIV&#10;+cZNa9dBQMu7V+o/eEru91/VAv8AlNe+eWXr381oafQekHYHNJLEHOx+ZF8P6AlTGnGCS5rspBEn&#10;mKQJREliSxJZxRObD2Px8sRhpR3sPBbKhEAFIP0ZeVRQiyuTRBY5xkpudv68tkoZv5WT4sZiRTRE&#10;mJ5G2vlRzDrH1YX+YxwITw5N6wvIkkcj7pry0H4hvN34cAx9tnNgZTevLaTruYhImj+LPe/DMhpx&#10;1zvmVNv05lixv1fCNuzvLG8urHSHCMvjZ424/hfz+y7LtZnUdhx2PF46ISQeT4jr2XdgRf8NMS3i&#10;hLir/+sG98EnIYQQQgghoCxCXPh/FZ91NqUFQkjXxAppKny1jvtDJIGVImyh/MFtb8mH+/bInz/6&#10;8ASlxOtLH3XbSuO5KRNLbjsMjK0YMQ5z+tZjK1L7Y+dMwVx6YF6KXSusN8q/9/yTsaC/4OU5D5VF&#10;BiwXnhB300XfPav9T3lFoq6EuOGtcvX9C+Su1ZNkzYbb5I33Rsq+g41y4EiT7Nk/XHbv6wjSsXvc&#10;9vcbZcPWMbL0xdulecEjMnh8ZYU43Z0N4pqKWRDTvLwWSFNWhkvaSQxpyBuKaFbCwg5mcSIWdjRD&#10;37qqEIf+I7KMoxgwXo24sat4mGXtkwiFOEhqucszQo9ZIQ6imie7ARXVAIS5MN3WrbJdiBXr9JWo&#10;IThu66EQRwjpitS7EHf6jLUTvAek3QENyCMQLyyQpKzYgYjbbckKQhBo9Di+q/yjYcsptjzEDrQP&#10;cQSfSLfCFPqlggxEl1Cm0jJZQF6NtHJ2HJgXmx/9wVjRF4zBlgNWPsNYMQaUR5k4ecaKM1gf5LVi&#10;EMqjXtQX9j2LdIO501D5CH3x8oJyjR9j0TXGp117jbB8GmmCGdrSCOcqxI7TrhXAOGw/0f+48nF9&#10;AVnyaMRJVx5YAw30E/21fdewc4C1s2PCGiI9PDc1bFmcQ5gj9NFKZ/iuQhrqtuctsGvuXe/AnsPh&#10;WLAmWgcCfbb1g3Au7DWn82/HbdsG+FkjTLP9R3163NatYcuBLNdmXNsYg14/djc/tKtjSTqnCCE+&#10;9SzEQYCz/aIQRwghhBBCkgiFuKL+/TUU4s4+h0IcIaT+gdwEaQmCEwQmyEzvv/5yBASuUFDLEpDJ&#10;vLaSgAyXtf5C48m7RrttxgGBq1J9wbx6bSaBdalEYF299pLA+VLo3CB/vUhx158/IP8Pfo7fDxrw&#10;z+1/yisS+MeysM1aCXG9h7fKb6bPkjWv3ipbdzbJrr3Do13hTr4qdVgkxu09kPveLsghHTvFIe/b&#10;u5rk2c3j5c5VD8oFty5z2ygXuoMbxDiIaxppr8q0rzmFbOblsUBqs8IbflahDp9ZdiXT13sqGhTi&#10;kskixJWrD6EQh9ek5i7PE69LBVaISwNllTDN7gAXpikQ3DQPdp7z8gB9bSoEOgpxhJCuSD0IcUmv&#10;bD195top4cPR7kLWgGzhyT+KlU+8sNKaV95KIjYggCAd8oeVV8KAJKICTiivJJEkvYRA6glll7go&#10;pqw3v1ZiSoqw71mkG6BzppG0xqWOP2zLBuq151BYPg3tFz699ELXOamvGnFzldYXkCWPBtbSS48j&#10;7Zzx5DGMJS5w3cXNnz0eF948pV3viv29ERfeeJSk8pDarBQanhdxYwal/L4rRYiLmzcNrJUVEwkh&#10;2fjHMZNO3p/qfWLfhh7tt4k1CRXi8IpU2y/sGBc+9CSEEEIIIUShEEcIqRnYpUt3XNPd1iCHYcc1&#10;AJkLghlQcc3Ka6BQ4UuppIRWqABVKekLgTny2owD81nJKHRntkqtEQLngNdmHJjLYgLr69VXbTwh&#10;7ueDzvlO+5/yioQnxH1z6FT3oXCl6dPYIsPnPSIbt42Wjz8bI4eO5QtAEOAgxQHdIa5NkGuMvu89&#10;MELe3jVSpj5+j1xy+xK3jXKAV5JqQDaDlKaBHdm8MsDuDgehzsuThhXU0uS7ODQoxCVTSyEud2lG&#10;2F3gChHisIOc1hGmWSEubvc3u8tcXB4w9Pqzojx4bSqFOEJIF2VDnwGDD9v7pN79GybkfvdVLZKE&#10;vNNmrl3oPSDtDqiY4wWkIOwQBaEFkpBX3gJxA/mtuGZ3EsNxEJZTIHvYXZ9Q1u6ChO8QTWwe9FGF&#10;G93NqhAhxAoxWcuhvXCc+I65xBhsn0NQ1s45ymFMSWUwf+G4EahHd80Ky0AsQiTNN7BiD+r38oSU&#10;Mn6kW9nMrp+uRVqfPXTt8emlF7vOGJMdJ/qbtl5pfQFZ8mi7oSSWhbRr0UPLaOB8wHrpta91hfOn&#10;54M9P/Ed85Q012nXu6L9CutPG4+Cc9xecyibZVxp50zaHOM4CMtluTbj2kafUd47L/G7IMvvaUJI&#10;RzqTEIcHnOFDT0IIIYQQQpSyCHHhazYazhvoPowvJ5AqIMmoIANZBuAYhA6grzEsVHogpCui8pkC&#10;acuiQpoV04DKaSqolXI9oV3IQeWWnPA7wGsvCez+VqkodJc49L9SUaiMhXWuVGDdvTaTqKQQh7F6&#10;bcaBHe6KiWJ2xqsEv72goxB35YDK7hDXZ8Dgi8M2ayXE9R7eIr+bOV2eeWNctAMcXoeqO8Dhc/ue&#10;Rtmyozl6leo7u0bIrkiCa8sDOefI8VGye1+jzHnmLrn8jsVuG+VAX5NppTZ9bSoibtc2K9Jhpzgv&#10;Txp4RapGlt3hPDTKJcQtf2VPXr8wL5gj7Gbn5U8irS4IiGmB/Fof5gh1Yn10Vz8NtIPxhfOo61tK&#10;FCorWiEOO7LlLs0IuztbIUIcBDWtI0yz9WNntzB905bfRq9aRTrEujDdYneSm7rw1+7YCCGkk0Mh&#10;jhBCCCGE1B31LMTd0Dw+r1/9L7jcffBJCCGEEEII6JRCHKSaQnfqgfxS6K5NCiQgfY2iRXeoskA+&#10;CVFpT8W9QiUMC8aO8rprVqmUKguiPOpRIbEUUA/G57WTBUhcdmwWr700UJ/XThZQFnWE54J3zgDv&#10;/LKgbLHnL9ao3PJXsdcTxlKpKPTcqWQUeo1XSkKDTFbMNV6pdcI14bWXBM79SgTmptBzGP0vJooZ&#10;dyXwhLhK/2OWJ8T1/PUs74Fwxek1rFWufehRmfnU3fL8lnHyzu6mSHg7eLQ5kuPe2dUkz20eJ396&#10;fbxsfHd09JpUleWwU9xHfx4j+4+MkHnP3imXT6ycEKe7vFmpLctrU8ux25pGKTuSaZRDiLPyWhiF&#10;7oKXpa5ChTgrKsYF2rVSXK2FuLhXmmYV4rCjm5bHK029PHYHOUhxkOBwHJ/6GlRIda3rru1Q1oJ0&#10;rafxln93x0YIIZ2cmgtxtu2w/dNmrF3nPSAlhBBCCCFdm6+OmJh3jwjO7Dvw1PbbxJqECnHDbrsn&#10;r18U4gghhBBCSBJlEuIGr7OVXHTeee7D+HJRrDwC8cirL4liBYi0KGZHK8gbH+5r20a+nAG5yWsv&#10;DcxnuQOSSjEiGqS3SuwkBRnSay8JCEiV6AvqLFT6wlxWoi8IiEpem3GgL5WMQuWmSu0QB5msGLET&#10;53BSYB0V/B6wYCwhuD5LkTrRHxUySwV9QX1eO1nA70uMs1znMuopRkzGuhb6ew/jL0X0LSc3Xdg/&#10;/w9+jkoLcb0HNAwJ2+x54wLvgXDF6TW8Va66Z6GMXzJFFr1wh7y+bZQcODJCDn80UvYeGC5bdzXL&#10;S2+NlWc3j5dN204KcZDmIOcc/nCk7NjbKLOeulsuu6MyQpwV3yBn6XEIVRoQrGwZRV+viShm9zT7&#10;Ck8rfRWKBvqJOpOwchh+tvVg5zUNfNfjGBtEurh58CimLp3PJLEP/UdZ1GnXC/VaWc62qWC8GuHY&#10;lSx9yIIV4i68+GsnhDQ9BrIKcVaos69ctUB8s1Ic2kI53VkOO8SlyXCK1vHL33zPHRshhHRq/tia&#10;vztbjtoLcYMb25OwQ9wG7wEpIYQQQgjp2lCII4QQQgghXYWyCHF9BgzeYCuptBBXrKQGCcKrL4ly&#10;CRheFCrwQAqpVBQqflVqRytEMeJiPa1TJURBjUKlojTJqpSAoOS1GQekoEpFoX0BxQp6ONeAFdFU&#10;+sLvplLlJ5RXvHQSj507BddviFe2EFAHfgfGgd+nAOcY+uDVUQu6uxDXM8f3bl0m//XwLLlvzSR5&#10;8a3RcuSjkXLs41HRDnA79zbK1t1N0U5x2/eMkN3tr0yFFLdr3zDZ/n6jbHhnTK7s/XLhhKVuG6Wi&#10;EpW3+5kVrDzhzQpxYVoWrKAFSczLk4ViI5TCyiWDgWLqKkf7+hpVr45aCXEqqoWvK80ixEF0U6kN&#10;n7rzWxwQ5pDXAhkurZxF2zvzO3/vjo0QQjo1rhB3UkirdOChZth+nwGDrm9P/tzpM1q3eQ9ICSGE&#10;EEJI16aehbix903p0LfwoSchhBBCCCFKRYS47w+srBCHHbiKiXoSeBAQJ7x244B4U6kodLevehKt&#10;Kr3zWKGvnKzkOhW6s2CldjhEFCMuVmJuIKcVei1ZIC7hfFaJCXVhzXFeAchPKld55QnpLHhCXM++&#10;A/u1/ymvSOChaoc2ayXEDWuVvqNWyRUTF8nvZ0+Thc9PjHaJ274HO8ANk/2HmyI+ODTixM5w+H7o&#10;WLPsyOVZ//ZYmf/MRBk2b5oMHL/cbaMU7C5w9nWpit09zttxTOUpRJiWhXoT4nT3OEhl9pWjxVBM&#10;XeWQ0ZLqqJUQp4JZMUKc7i4Hps28ys2jLFr6k0h+0/zaLsDxtPKKCnwU4gghXZI/tua9LhXUWojD&#10;/8zQnkwhjhBCCCGkm/L1P4zPu0cE9SzEbdi53334SQghhBBCSHlemTqgIe//bP7RoHPdh/HlpJjd&#10;0op5ZV+l5CZIPIXuVFTJHeIgTnltxgFpqFKBOffajKOS4mIx6wS5sFJRqJyHvlciMC+F9gWgP3YH&#10;PdQDvN3WAOYS5z3AOYprWOU1nIP1tgMXIfVM84X98v/g56iFEPfN36/wHwpXgd7DWyM56NI7Fstv&#10;ps+Ue1sekCdfvzmS3z6T8XL8z2PkyEejotejgo//Mjb3m+rWSMxZ8PxEuWHGTLnk9iXy7RGr3fpL&#10;Ie51qQpErk8++2uU7u0gp/IUohiBzApanpCXFY0sEhfEO41QCrP9wXgxP8WKccXUVQ4ZLakO26dw&#10;7Eo5+gCsEJe7LCMKFeLsbm9XD+nl5lHsa1XRzrMvDo12hbOvTQX3TrrMLW+hEEcI6cp84/fLj4T3&#10;SXaHtkoHdgru2P7gi9uTP+c9HCWEEEIIIV2fehbiJj4yp0PfKMQRQgghhJA4Oq0QByDEQI6BKKNA&#10;nIFEAyDUqFwDgcarIw0IPJB1yh3op9deEhB/IA+VOyAhFSMVVUIWLFa0wvpWIgoVBQHmstznDOal&#10;GKETQBrDdaDymYI+KiqjKchvxTQF1xXmBHV6bRFC6hdPiLMPPSsR9SbEKX0aW+SccSvkmgfmyeTH&#10;7pM3to+MdoLbe6Dt1am79rZ9QpQ7/GGzvPruaBm/dIoMurn8O8Mpe49+Gv2+92Q3RXc6Q4TSnE2L&#10;E6ySwGtYNUoRsDSy1JEkxAGIayoBamCcxYyv0LqyymgQ67BjH/Jh7bzw6kC7GqX2IY1ShTiIa1ru&#10;jB5fcPMoNu/Q68/qkA45DnVoHuwkF+axUIgjhHRlai3E4X+M6Nh+273hF6esO8V7OEoIIYQQQro+&#10;nhB3Rt+LToluImsUKsRNnr+8Q9+e2bzNffhJCCGEEEJIuV6Zmveqj2sGV0eIqyYQ4yABQdayQMoL&#10;0VcvKrqrlVKKTATZCnVaCbAUUFcpO2xhvF69xYC5KXQ3Ngvm1au3GEpdJxCeC/YcsYTnlAV9AKWs&#10;ESGEgHEXVV+Iw2u/wja9B8K1oFeO88Ytl+unzZQpj98rK9ZPkHUbb4l2jHvy9Vuk9dVbZdlLd8jM&#10;J++Sm5c+JFdPmi9njmhx6yoVK6NljXAXN0hZGt4rVbOgwhg+vfQsaGSRuNKEOKDCWSibFbOLXSF1&#10;ZZHRICWGkp0XXh2dRYhrXXftiV3dILJhpzcvnxL3SlYLpDjtB17D6uVRKMQRQroyeI18eJ9UTSEO&#10;94Fh+7p78BdnrTvVezhKCCGEEEK6PvUsxM1ata5D31rWb3IffhJCCCGEEEIhjhBCCOkGeEJc7wEN&#10;Q9r/lFck6lmIA70bW2Twzcvkmgfmyu9mT5dbl02W+9ZMipiwfLL8IXfsh/cskHPHrpR/GbFGeg5r&#10;despFSuzZY1wJznIWRpJu8wl8dbek7vQYkc1L08aGlkkrixCnAV5dCc9xAPrtrn5spBWV5qMBrnO&#10;CoSYL4iNNk9SHZ1BiLMy3Kmnfj5VhsNub1o/Xo/q5VFUdANeukIhjhDSlfGEuErfm9lAW2H7+iqs&#10;L09f3cN7OEoIIYQQQro+FOIIIYQQQkhXoUxCnKkgB4U4QgghpL64/ZLv5v2tbqOyu5D07t8wIa+9&#10;8y5xHwjXkm+NWCPnjlspl92xWH56/zy57qE5EXidKo59Z+Qat1w50R3Lsohs9tWocRIXIssucZC6&#10;gP5sJS30xabFEUpgGlkkrkKFOGBFNJT38mQlqa40Gc3OVZyYl1RHrYQ4FczShDgrw+ETP9t0j2KE&#10;ONTtpSvaBwpxhJCuSK2FOO/V9irEnT6tpZ/3cJQQQgghhHR9vn5Dc949IohuIGsYFOIIIYQQQkgx&#10;VESI+2XD2e7DeEIIIYTUhnsurb4Qh5uKvPbqUIjrmaP38NZIjPvXptWRPAQJ7ju5z2+NaJGew/xy&#10;5cLu7JblNaBWpIIcF5cG0StpBzWkIU+cCIbAjnFxUhyO645y9rhGFomrGCEOqEBYqhAH4urSecAu&#10;cva4kia0YX60bm8u0soD7UOWuUzCE+JCEc0KccXIcMC+CjUU7iyFvDJV8/3452e7YyOEkM5Mz1/P&#10;MvdkbdRaiNOdPyjEEUIIIYR0XyjEEUIIIYSQrkLJQhz+wTSvghzXnz/AfRhPCCGEkNrgCXF4pWn7&#10;n/OKRCjE9W74gftAuDsDCU4j3G0tDhWtILSFabY+BGQqvM4T0hXAznH2VaHhq1HRB901DYHvqFPL&#10;Q6SDiKd50BdbXiOLxJUkxKFetGOPo292h7ywTBzF1GXT0E+kY6505z2U18B8QmzEcYhwyKdrhKgn&#10;IQ47t+UuzQj7ClQV4nAMr0fVPONuPj/a+S2OUJaD4KZlIcUhj6ah7nsnXZZXf5JshzTNd2PjZe7Y&#10;CCGkM+MJcX0GDL4493uvKuG92r496XOnTW8d4j0cJYQQQgghXZ/OJsQtevIF9+EnIYQQQgghJQtx&#10;eKVGXgU5KMQRQggh9Uf497rSQlzv/g0L89qjENcBFafidiLzsCJZKLQBSFtZIm5HOsheVpqLC/Rd&#10;RTBFo1QhLi0grNn8SaSFV5cV1mxgVzzNE8qHYahUV09C3LSZV52QzKyspkIcjml6FsKd5iC9ndHj&#10;C25eC8pBjrNlQ5Cu+acu/LU7NkII6czUXogLXm0/YPDh9qTPnTaz9Xrv4Wil+PKsVvnKrBb5x9lr&#10;5OuPrpYec1fLN8H81fKN3M//PGe1fC3HV2evlr+f3SJfme3XQwghhBBCSqeehTjIb2HfKMQRQggh&#10;hJA4KiLE/fYCCnGEEEJIvXHW2YPz/l7jQWj7n/OKRAch7sIh7gPh7op9XaontsVhd3GLE8OQB8KW&#10;SlUaEN1wHOleOQv6BAHM7naGdnEsrr+a14pjcWC3OY1QrIMkhrFZMU/bTnoVrEexdSHNlsH3UF7D&#10;PNg5Rr1oC/Or6+vNhV37cOwKyiGyzGUSVoiDsJa7NCOwW5weVyHO7sqWhVCIUyCzYbc4uxscwK5x&#10;Q68/K3ptqlfOgnzaxlNv3OyOjRBCOjVDp+bdl7VRPSGuw06+Axq2tSdVXYj72uw18q35K+SiFYvk&#10;unWzZPgzU+S2lx6QiesnyZjnJ8sNT06Xa1pny6Wr5svZS5ZIj3mrO9TxpZmtHY4RQgghhJDC+aeh&#10;N5n70zbabxNrFhTiCCGEEEJIMZQsxPXu29Ajr4IcFOIIIYSQ+iMU4gr+o19gUIgjpPZYIQ7oDm6Q&#10;0/SYCnH1hPYTYh2FOEJIl6TGQlx4n5Zre0N70udOn7F2gvdwtBL8w+wW+fbC5XLlqrky7JkpMuv1&#10;ifLMtrGydc8I2Z37e/DarpGybPNt8sAr90rz8w/JdetmyuCliyKJzquPEEIIIYSUBoU4QgghhBDS&#10;VaiIEHfThf3dB/GEEEIIqR0N5w3M+3uNB6Htf84rEr37D16X1x6FOEKqTijEjbv5/Eg0A9gxDsfq&#10;TYjDDnLaR+w2RyGOENIVqYNXpsYLcTPXTgkfjFaKb85dJf/ROkvu23CfrHzrVnlp+2h5d1+jHDo2&#10;Uj76dIzs2T9cXts5Sp56d7ysyKVPf+0uGfHMQ/LDNXNlwOIl8k9zOu4WRwghhBBCiqejEHfy1fq1&#10;iiQhbtaqde7DT0IIIYQQQkoW4nr2Hdgvr4IcFOIIIYSQ+qPmQtzFP3cfCBNCKkcoxIWyGY7VmxCn&#10;0h5elwppj0IcIaQrUnshLrhPy/3cnvS502auXeg9HK0E5yxeLHeuv082v98sB442y+4PGmXXvpN/&#10;E7BL3I69beD71j1N8tg7N8vdL98n//n4DPnuoqVuvaS6DH3q5Ovg8d3LQ8iibXuic+Tjv/7VTe+s&#10;vHn4w2hc+PTSCSGks1GPQtxbB49vwAPNlvWbgr5RiCOEEEIIIfFURIhrvrCf+yCeEEIIIbXjovPO&#10;y/t7bR98ViKw00heexTiCKk6oRAH8BrS3CUafeLnehPi9HWpVw/pFf1MIY4Q0hWpuRA3oGGbbdv+&#10;jxKnzVi7zns4Wk6+Ome1nLVwmfx87UxZ9Obt0Y5w/1dukcMfjpR9B0dEO8Phb8DeA43ywaGm6PjH&#10;fxkbfeI1qvPfuF2GPfuwnLdkiVt/KWw7djySW7w4/OlnkfQCsee7i592y3dHml7a0j5DEn338nQ2&#10;MA6IW4g7X9vm5iGF0bprfzSfCC+9s6K/M/AZpqkst+f4px3SsvL03kNRHfj9w987hJBqQCGOEEII&#10;IYR0FSjEEUIIId2E7w/MF+IgrLX/Oa9IdBDiLh/qPhAmhFQOT4hbtPQnJ3aJw45x9STEta67Nq9v&#10;OEYhjhDSFfGEuN4DGobkfv9VJUIhzv5j0Gkz127wHo6Wk28vXC7XPjZTJq6fJE9sHRf9vj96fJR8&#10;cOikDAfwfc/+xkiSgwyH76/uGi1LttwuI5+bIoOWll+IyxqQpSDGeXV0N7qiEGflLXz38pDC6I5C&#10;nI0wLStW0u0q1xchpL454xc35t2jUogjhBBCCCGdlZKFOPwfzHkV5Bh3EYU4QgghpN740aBz8/5e&#10;40Fo+5/zikSHnUcoxBFSdTwhDvTrf3oknf1x2Dl1JcQNvf6sqF/41GMU4gghXZGeNy7Iuy+L7pWq&#10;KMThwWZe2/0bJrQnfe70Ga3bvIej5aRh6SK59cUHpPXtW2XTrpHRa1L3H26KhDe8GhW8/8GwE99x&#10;HOnI98buZnns3VtkwkuT5ILlC936S0EDOzpBPrFA6LFyCmLD/qNuPaWiu5M9smWnm15PYG408N3L&#10;09nAOLhDXHnhDnH5aSDLdc4d4ggh1SYU4ir974dZgkIcIYQQQggphlCIs2/JyBT4B1tbAaAQRwgh&#10;hNQf1wzOF+Iq/X94dhDirrzRfSBMCKkccUKcpd5emRpCIY4Q0hWpvRAXtG2FuJmth72Ho+XkB6vn&#10;yqI3J8jOfY3ywcERJ6Q3/N5v+z5c9h5sjD4jOS73uS/3M75v39Mor+8aJdNfu0uuWDnPrb8UNDy5&#10;RbGyFKISO4hpdIbdybqiEEfKT3cU4tLQ6AzXOSGk+0AhrvYsefI5+dtTTjmxg/6EyVPz0q/66c9O&#10;pP1/f3daXlo9g3Ghv+g3xvfAnAVuPpLOtf9944lz4KwB57h56p0X3tkZjUPPCfD1b3xTZq1ocfN3&#10;JuyYcL16eQghhFSHighxt1/yXfdBPCGEEEJqB4U4QuqHH9+3QEbMe6TijFk0VdZsuC2RFesnuMfT&#10;mPnU3XJvy/0V55alD7pzSAghnZn6E+IGN7Ynfc57MFpuftwyV1rfvlmOfTxKjuaIpLd28B2i3I69&#10;jdGnCnK6e1y0U1zuc+mWCfLvq2sjxIGhT71+QorD55Ut6918xaJBIY50FSjEdUSDQhwhpJ6gENcR&#10;CDqQWqzkAqGr4ZLLKyJ1oT1tB9zYODIvHQKUTbdp9QzGYfvdWUWuesDOI+hsEhlkOMhv4ThAeL53&#10;Rux4eJ4TQkhtoRBHCCGEdBN+2XB23t9r0P7nvCIRvoqr1w9vch8IE9IdgaymD/47KxTVCCGkeDwh&#10;rs+AQde330ZVNM7oe9EpcW1/cda6U70Ho+Xm8lULZOZrd8qbu5sj6Q2vR/3g0AjZd3CE7Ng7XF7f&#10;OVJe3D42+tye+3nvgcYICHFHPhoZgdet/njNo279paCRRW6xgk+5hRYNCnGkq0AhriMaFOIIIfUE&#10;hbiTYEezUD7zQB4IPl4dxdDZhLi1L7+et6Nd020T3XwU4tKxO79BwIw7r+w8gs4mxOEcCcegUIgj&#10;hBBSTkoW4vCPprYCQCGOEEIIqT88IQ4PRNv/pJc9KMQREg+FOEII6eb8fkXePVkb1RHizuw78NSw&#10;bd2d7svTV/fwHoyWm0FLF8uY5x6S5Vtuk407R8mufcPl0LHmaPe3bXub5Pn3xsrad26R57eNkW17&#10;miJR7qQQNyoS4ta+c6v8uGWOW38paGSRW767+On23CJ7jn/aIf2RLTtlw/6jUZqNw59+Fh0Pd5Vb&#10;tG1Pe474QJ2aH/LZ03sPnRByNLBj3ZuHPyxJTsPYIOnYvuM7jiHN5s0qxKHvYV/xsx1TSLFjxA5+&#10;mg8/63gw9xpZyiPw3Usrtm4F6ciHepIiaX4sOJ/QD8xVWGfaPGt+HSvyhmufpR/IY9cKc6LnDD41&#10;vLJxlGNcuLa8dIA1QODTS4+7FrRdHS8+w7Je3Vmucy8wFls30Pp1fHpOadj5D8sq3vi8QF1eeUJI&#10;14NCXBvha0vTKKfE09mEuLC/cQIQ8vGVqcmEaxsnutnX5nZG4Qq7K9pxqkQJuRKE+TsbdmwU4ggh&#10;pLZccc11efeOZRHi7rmUQhwhhBBSb1x//oC8v9egskJcflsU4gg5CYU4Qgjp5tRQiOvdt6FH2LYK&#10;cadPa+nnPRgtN2ctWi6/enym3PvyvfL01rGy72CjfPjJaNl/uG2HuNd2jpSX3hsjG80OcZDiIMR9&#10;kPvcta9RlmyeIFfV8JWpipVI7PEs0gsEFytbFSLEWWErKbJITCGo28pdYWDMVrCBhKPhSWDImybb&#10;hHWCUsZo+4R6QpHKRlr5cEyl1g1wPGtkXcOkfmhAxPTKatz52rbEtYorD5AWF6jTilpe+TjKMS4I&#10;X146SBLa0s5djEnTvfJe3cUKcQhbN9D6Mb60+Q+vL5Dl2tSgEEdI94FCXNvrHEMZDj9PmDz1xI5d&#10;kHbws+ajEHeyPxSAiierENfZqbdzuNzYsfF6IISQ2kIhjhBCCOkm/PaCjkIcHoi2/0kve4Rt9bq6&#10;2X8gTEg3hEIcIYR0c+pMiOszYPDFSDtteusQ78Fouek5b5VcsmK+/P5PD8vSLRNkV+7vytGPR8re&#10;dukNr1HduTdH7hM/79nfGL1SFd/ffX+EvPjeGJn8yr1y6YoFbv2loOHJLR5W8rE7vkFigkCC3c2s&#10;UAUBBfKKBsprmkUjTuRBWxCFIMFAYrKyC9pWiQiftlwaqMfKcFo/xoC+aL26IxVIkseACjeoF33T&#10;vuIT9WidodRUyhhtnzQf1lTHgnXRQLqtOywfjqnUujEuDay/njfIZ88N1GfLpYH5RX2YG3suok9W&#10;eoLEZ8sBDR2PrhXK2jVChPMBrORly+LTE67C8kmUY1xx1xFQqcy75u31bdc4nBOEVz6pbqCR1D97&#10;ToRpWr/2BZ/I782914ZKdCiH/Hrczi0+bRlCSNenoxD3ve3RTWQNQ4W4RU++kNc3UAkhzr62EkB6&#10;w45xXl4IctjtKu41ocVAIa77QiGua2DHxuuBEEJqS8lCXO/+gxttBcB7CE8IIYSQ2nLThf3z/l4D&#10;CnGE1AYKcYQQ0s2poRDXs+/AfmHbOIa002a2Xu89GC03X52zRv5lwXL5/sp5MvaFybLyrVujXeF2&#10;f9AYvQ4Vr0U9eLRZDhxpil6jiu8ffTom+v7Ce2Nlyqt3y2+emCb9Fy116y8FjTiBJcTKKpBIvDwe&#10;KqIgvHSNJFEmCcgtGoX0y47HSm8KpC0IMrZfqF8jbEv7AeHGykwWK1PF5fFIGqPtE8Ibix1rKJ8l&#10;janUujUNcxLKckDPjXKKSJhXDbt2ig20nyQIQvizacAKWd6Y7HwgwvRiyTouL02Jk9bsDoXe7wOM&#10;MxTmwjxxdSsaSf2zcxemaf0InC/h9YM+6tp455OG176d20LlTEJI56a7C3He7nDYCc7LmwbqgigH&#10;IcbWideG4pWXcbJTuYQ47GKHdvQ1pQD9gMCXJlqhLMTAr3/jmx3K6nxAEtS0YtBXpuLTHo+TC9En&#10;O49ePvQtnB+MAXOou/sVAtr01hDgWJZ6MdfhOoTnQPgK0ULA+MI2FW3briNA3zGuuL6jjObVdQrn&#10;FmModF7DOQxBelimXGNAPnssvK7SyHJNKJoO0E8cQx5bFt/DchZcX2jPzjlAmzgWV9a+7hlt4Jj3&#10;uyDt9wDmC3MUzrtHKAzHlU3qNyGEVAoKcYQQQkg3wRPi9OFnuQOvYg3b6nXNeP+BcNVplW+NaJG+&#10;I1fJ+bcuk6vuXijX3D9XrpsyR36V46e57z/IHbvk9iUyaPwy6Td6pfQe3uLUQ0jxUIgjhBAS3ivh&#10;31fab6UqGtgNrkPb7f+TRLWEOPCV2a3yzbm5+7Fli+T/PDFdHnntLnnr/Wb5TMbLJ38ZK4c+HCmH&#10;jjVH4HWqIrfK0eOjZPHmO+Rna2fLdxYtl6/OaXHrLgWNOIElxMoqoTiVRJLkAjSSRJkkkoSuJCDN&#10;ILArl5cOINlY6SmpLRV2IFnZ4xbUpVGIeJPUrk3zhDWQJFNVsm5d+7hzLO3cKBYN75zSgOAVpik4&#10;JxBhv7PMB7A753npxaKRNC4vTdFzNByXXQdv9zlFrxlvPePqVjSS+mf7EaZp/Vgbe01akuRbjfAc&#10;D9OT+kcI6Xp0EOLOPX93dBNZw0gS4nAsfPBZCpA1ck2eAAKJly8NCCJWPokDkkoo9EBSsXlCcScU&#10;ZGyagjI2jwfa9spiDtLEJfQx7Geh6LjCeuLmHPKTzWeFOMx3mriDMYXiThJZx4f+Qjjy6gh3G/RA&#10;vnBNCyVsF2RpG3OCcYZlbX9QT5Kwp9JVFrzyITZ/OcfgyVlhmTiyXhOa3x5Hu0nri77ZtkCW6xd4&#10;YwjPW8iASX1X4dGS9feXYsee1h7AnMSJjIQQUm7KIMQ1TLAVnHX2YPchPCGEEEJqy7iL+uX90W+j&#10;7fVY5Y4z+w48NWyrXoS4Po2tcs64lfKDuxfIH+ZMk8mP3SfLX5ogT785Tp7bPE6WvXi7TGqdJKMW&#10;PSy/nj5T/v3e+dJ/9MqgntbgZ0IKg0IcIYSQ8F6pWkJc7wENQ8K2ce+GtNNnrJ3gPRitJF+b0yL9&#10;Fy+V3/5pWrRT3Fu7m2XrnibZvKtZtrzfLG/mPsFb74+UZ7eNlbHPPyj9Fi9z6yoHGnECS4gKKQgv&#10;PY4kyQVoFCuiJAldSWh4u4DFkdRWoVHIeJPaTUqzaITtVrJuXfs46bASO8QBDW+ONZLmP07u0vEg&#10;ksQxm89LLxaNco9Lj2OHNXs8JK58WhrQSOpf0ryl1Q+SymvY16Uq3CGOkO5Lj58MzbtP7G5CXCjg&#10;xEljSUAmSRNCLKEQEwothQpxodSXRFg3+u7lC0Efs+aNw7YdzpcnmIXj1jwQa9JkOAXtZBVxskpJ&#10;AMJYWD4U+OJA3lJ2iANh23YntDQwJ+F8JwlcHlZOTCLtukC65q30GLKKfIVcE1rGS08Cbdg2C5n/&#10;cO7D3x9p2DlXsl5PivYfn2lrrGCMYbuEEFIJShbi+vQfPMVWQCGOEEIIqU9uv+S7eX/0AR6Itv9J&#10;L2t4QlzPX0x0HwZXm/5jVsp/TJ4rYxZPkTlP3ynPvjletu5ukiMfNcuxj0fJ1l1N8tSm8bL4hTvk&#10;ocfvzeWbKj97cJ4MGr9S/mVEi/Qe5tdLSCFQiCOEEBLeK9WFEDdz7ZTwoWg1+NrsNdFOcf/zp4fl&#10;rvX3yczXJsrCN2+XRZtvl7lvTJSHXr07EuGGPj5DLli+SL7+6Bq3nnKgkSSYWHR3KISXDtEEu27Z&#10;fGF45TSSRBkAIQsClYoxXiRJW5akXc2SSBLECg1PvClmjEl9smiE400qX2rddp5xbuBnHMcOX1Ze&#10;KmQNFNQFmRFzpa/KDMOrVyOpTZ3/8NqwfbbHQ7Lm86jFuOKOhyTlS6tDI6l/SfOWVj9IKq/yJebU&#10;SnE4r/V3FtLidp8jhHRNQiGu17kX7oluImsYbx38aBseaOL1qLZvoNxCXCiihMJYFsI68LMKI/oq&#10;QZsOrBBTihCH+q2QArElrNvKLqEME9YNKUlFI3yiLyiT1F/UoWmWpHGF8lMo+WBcNt3KTOF8oqxK&#10;b958Z5W30F+MFX3TV25qmicd2rLhOgDbL8wf6k2bf/TBpsfls2nhPKMN2zbSQ+EpFPrC+gH6izpA&#10;uF52PbKQ1H9QqTFYkG7zxxHWg7GnXRM2v6LnHcqEfQ+lWNSJHdpw3J4DGH8o7YbjCOcOoH9aDz7x&#10;s023u8RhHDZN1x1p4e5v9hoGdq6Qz9aLcYfip50zQgipFGUX4s4+h0IcIYQQUo/cc2lHIa7PgEHX&#10;t/9JL2vUsxD3/TsXyn1rJsnzW8bJlh1N8s6uEbJr3zDZf7hJDhxtyn0fLm/vapY33hspG7eNlide&#10;v1mmrrtXbpr7iPz7PQvkuyPD3eJIV+F3c16Xt/Z+GD34QRw5/pnMfm5nXp4H1m2TvUdPPtDG92sm&#10;r8/LkwVPiFu09Cft/2DwNx3SasmmLb890a9nXxx64jiFOEIIKY3wXql6r0wddH3YNl53j7TTZq5d&#10;6D0YrQb/PGe1nLtksfxg1Tz59RPTpPGZKdL83EPyv08/LNc9NksGLVkk//zoGvmSU7acaCQJJop9&#10;1WeYH2lJEpwNW07RSBJl7KsQkyJJ2rJgdy+NpHZDkgQxjULqsxQ7xqQ+WTTC/iWVL7VukHZuIL1Q&#10;CQlCU5bw+qORtE5x8hXKaNjjIVnzhdRqXHHHQ5LypdWhkdS/pHlLqx8klYeAmhbe7nGEkK5NByFu&#10;4IX7opvIGkaSENeyfpP78LNYQvklFD7SgPRhy0NqUZnEEgpFVogJhZYk6QTYNEg3Nk3FHQskFZtH&#10;RZlQhIl7dWlI2N9Q0InLZ8cV9imsIxTQVC4CVtDBvNpyihWQ4vpXKOE6WLknXIe4foWEderapOWz&#10;aeG5ZedKCc9TYM/TsP5Q2EJemw5sehpJ/QeVGAPQelA2i4xV7DVhywArhoG08z0NWxbnv00LrzOk&#10;h78HQqnOXov4btNsOWDXxvY7nCtcs7YcCM+bQn+/EkJIMVCII4QQQroJ1RTievdt6BG21fNXk9yH&#10;wdWi1/CW6NWnv54+S9a+eot89OkY+fP/HS8fHBohew80npB88H3fwRFy6MORUR4Ics9uHicPP36v&#10;3DhzppwztvxC3Cef+bsc4Pj2A8dl+St75Hu3Pu2WhcSl5ZHPy2N5fuuhKC/KeOmQwDSQ18tjUYEM&#10;n156ZwFSm7cOmH/Ng/n14vE39+fVlQVPiLvw4q9F/xhw9ZBeHdIAhDmknXrq50/8wwG+D73+rDxR&#10;LSt/HHbyH4Ygu7Wuu9bNB7y+UYgjhJDS6HPeJXn3Svj3ldzv2ooHxLu8dnO0J33utBlr13kPRqvB&#10;V2a1yj89ukbOnL9SzlmyWC5YtlAuXLFQGpYtkn6LlkYynFeu3GgkCSaKFU0WbduTl6aiCgL5wldJ&#10;JkkqQAP5vHRbHruMFStthWiU+5Wp6KM9noVSxpiUZtEI57mSdavghXMEwh9enaqBY8UISLZPkOkg&#10;OoVCnYZ3Tml4aYqe0+G1Ydep3K9MreW49HhXfmWqnnvIo3UhcBznpu5eSAjpXnQQ4hou3d5+q1iz&#10;6ExCXChCxZVPksiSxDEQ9tGmFfPqTZWusvY9JGksSfnC+q3YBqzcFApSKviEEk4W4vpXKOE66DyC&#10;cB1sWhJJdSbls2nhPNo0S1JbSfUXkieOtLKVGEPWNbAUe03YMuhHsXnisGWBTcM4bZrX56Q8+G7T&#10;bDkQJ8SFc5WFrPNJCCGlQCGOEEII6UbYv9mgUjuR1JsQ12vYWhk0fplc++CjcteqB+TFt8bIh5+M&#10;lo8/G+sKcTgGIe7DT0dHx9a/PUYefeYu+eOj0+S88SvcNopl/PKTD3mSAqIa5Lek8lnELAheGmGa&#10;1xccC/NZtD4rjnVGVBRE6JghydnxqzBnd4XDjnHl2CEOQlvu0okIxTTs0Nav/+l5/2AQkia0hehu&#10;dBYc8/KCaTOvOpEP/cExCnGEEFIavS8cknevVPA/yBQZSULc6TNat3kPRqvNl2a2dsDLVwk0kgQT&#10;AFFEX93ovVJQI04sS5JUgEacKKPyCiQhLz2rtBWiggw+vXTFijJJbelOaGn1eZQyxqQ0i0Y4z5Ws&#10;W+fEez1ssdjzKW5nOQ3vnNKIO9+Arkd4bdhdxpJkPkiNGl66R7nGBbkrTFN0PcJx4drViBPD0Ce9&#10;ZsLyIG7OFI2kebdzEKal1Q/iyuu6xV1fhJDuSwch7vzLd7XfKtYsVIibPH95Xt/AM5u3uQ8/iyWU&#10;aAoVNkKZJEnCsfmsWJImtIR9TErLgu7kVEjfLWF/7ViS8oXjCqU3u8OUFaTsLl1hnVnIusuXgt28&#10;0LfwNZchdr6S1iiJsFzcGiTVb4/HrQVIWu8s/S92jCCtrE2r5BjSKPaasGXi+p+WB0IorgHIlThn&#10;bf4QWw59tGnhdZaWJ0zDua9yarhTI9K0XDhXWbDlCSGkUpQsxKGAraAehLhNK+bLwffekb98+kn0&#10;H/aIT48dlaPv75R3nlgtc669wi1HCCGEdHX+dcCgP9u/27m/4xPa/6SXNepOiBveKj+6d77cvmKy&#10;rFg/QTZtGyX7DjbKgSNNsmf/cNm9ryNIx2tUt78/Qta/PVoWv3CHjJj/sAy+uXJC3MYdR6OfFbyu&#10;0wpsELLCneJs+UoIcZC/wnyWaghxujMbpEAvvRzoa1DjdrqzcwMJzstTCKEQh13ecpeOnNHjC3nH&#10;wbibzz/xDwXYoQ1yGuS1eydd1mG3OJXV0kA72p6WTxLiAKQ75EN/8DOFOEIIKY3eF/88716pd//B&#10;63K/ZyseuP+z7fYZMPhwe9LnTp/Zeth7MNqd0EgSTLALlko0iHB3OKARJ7qkyUEacUJdmgiDPmkk&#10;SVsh9hWl3rggAGHsdlxJgpiVcbz6kihljEl9smiE65RUvtS6NXAOxElehWLn2UtPex2uhpemxK0H&#10;xqABOcwbU/jq2zA9jlLHpdepJ63iZ3sdhuOyoh/y2TSA8vb3gHeexs2ZohF3nYOkOUirH8SVt8eT&#10;zmNCSPcjFOJ6XvD9Pe23ijWLagpx4c5e4asi0yhEoLH5rBCTJrQkiT5hWhr2dYqF9N0S9jdOAEob&#10;V/gaSZVlwl3gkl4vm4WsawoJqJD5tPOVtEZJhOXi1iCpfns8bi1A0npn6X+xYwRpZW1aJceQRrHX&#10;hC0T1/+kPDjn0yQ4iy2LPtq08DrLkidN/lTsfIRzlYXwVbKEEFIJOgpxBf77ayjENZw30H0AXw0g&#10;un104IP2/5SPj+0vPOWWrya7N77U3ps2WY+SHulO8PwnpHb864DBn9q/25V6NVfPvgP75bWTo5ZC&#10;XO/hrfLrabMjGW7LjpGyY0+j7NnfaHaGGxaJcXsOtIk/EOKineIOjpBd+xply85meWrTeJmwcrKc&#10;f+syt41iySK0QZTTCPNUSojTV6EiIOaFeZVqCHEYl4aXXg404uYQc6Dh7dRXKKEQp2IbXmNqjwMI&#10;cNghznstKgQ4K8VBkgvzhKhgB8HN7vyWJsRBxkM+lfYoxBFCSGmEQlyfAYM35H7PVjzCnf57D2jY&#10;1p70Oe+haHdDA6ILJBELBCwr0CDidp7SXaMg4tidwPBdJRYNW06x5bHrFtqHwIJPpIfimso+EIRC&#10;+UjLZMHufIdAXeizjl/TrHyENI2wLfTL1ody9rWaaA/jw7yGUk8pY0zqk0XDjgcklS+17nD9bSAN&#10;QJCK25XMQ1/DisDcaFl8ov1wDcLyGl6aov0O1wmgvxq4dvScxac9lzXC8nGUOi4c00A/tF/2XNbw&#10;xmWFN5yjei3YtvXTK580ZyDtOgd2DLYsSKsfxJVHG3GBfqFOjBn9suUIIV2fDjvEXfhvH7TfKtYs&#10;qinEhVJHobuJFSLQ2HxWiEmTVZJEn1IkoEL6bgn7GycApY0L2J3g8B3HILDZcpCFNH+WOoul0NfP&#10;2vkqdh3CcnFrkFS/PR63FiBpvbP0v9gxgrSyNq2SY0ij2GvClonrf1weiJiFyHDA1os+2jTvmkjL&#10;AxnVpnvYHRxBsXNFCCGV5ur/uiHv3rFTC3FZZDhEPQhx2K3OxrMP3uHmI6QrwvOfkNox4JyBH9i/&#10;2/g73v4nvazhCXHfHDrVfRhcDfo0tsiwudNk49ZR8tGno+XQsaY80QcCHD4hxUGOw8/4DikuSst9&#10;37xjlExZd69cescSt41iySK0YVc4jVA8q5QQh13Q9BWhSTuzdRchrtx9sEIcXnWau2wiCnntqQKJ&#10;Tst7Qp0FAp3u9AZ5zr46NU2Is/Ic5DwKcYQQUhq9fnhT3r2S3amtkhH+O44KcV+cte5U76FodyNr&#10;qMDi1QHs7lJeWKHLK28lFhsQeZAOISgUemxA5FGZx8o1WcC40upWOQ1YscZrCwKbij9JEUo9pYwx&#10;rU+KBubbHk8qX2rdmI+kcWkgj5Up09C58AJ1qcwZ9gdoeGlKknwV7pYWBsrYayIsn0Qp40rrF65D&#10;lfm8caWtFcqiXYRXPmnOgJYNQ6/zMI8tC9LqB0nlQ7E0LpLqJ4R0PTrsEHfRlQejm8gahgpxEx+Z&#10;k9c3UG4hLtyNDBQidoRSiCejgFBIgXwVlxbWkST6hGlWHksja99Dwv7GCUBp4wKhiIMydreqUFBM&#10;msdSgJRk64Wch92s9NWRIJxr9CVLWhJZy4X5bJo9HqZZwjrsuZJUfyF54kgra9O8dKXUMaRR7DVh&#10;y6AfheQJd0rE+R+eBzYd2LTwmvD6nJTHpuG8t2Ko/uydl+FcNd02sUMeQgipBV1GiMNrUm3gdalW&#10;snnstuHR61IhzVGII6S28PwnpHb0P2fQHvt3u7sIcb2Ht8gf5kyX57eMkw8Oj5B9h0acEN6wU9yO&#10;vcPlrZ1NsmXnSHl3N3aFO5kGEejI8ZHRsVlP3SWX37HYbaNYsgptkNIQkNTs8UoJcfhud0WLq5tC&#10;XHFYIU6FNohqeqwQrNSWJsRdePHXonzYcQ4/FyLEQabTvNhljkIcIYSURr0Icboz3Zenr+7hPRTt&#10;bqhg4gXEGt0xyQphcUCWQn4r1OBnlahwHITlFIgsViRDWd0hC+A7hBabB31UUU9FIbsjW1bS6rag&#10;fo24tjBfkHzC+UX96KfdAc5S7Biz9Ano2lgBCSSVL0fduvZe3VZIxGeWcw0gH84ZK4Bh3nBM5x8R&#10;9gfE9dWic41PLx2E7du10nlDW2G5JEoZly1vzyGMQa9DLR83LpQPz8Gs5XEsLk3x+mavc63fm7cs&#10;9SeVVyEOn/Y4xqy/vzTQT5uHENJ16bBD3EU/OBLdRNYwkoS4DTv3uw8/SyF8XSB+tiKUBcchcenr&#10;PUPRJG6HuVD8srstpQktSaJPuJtaVoEHhCJOUt+T+hsnAKWNC4R9CHdpC1936olrcWtVCFn6Gq4D&#10;ymhauA56fljQT5xb+spakFSnJekcCNPCnbwA2rR5wrVOqr+QPHGkla3WGNIo9pqwZdAPmzctTyiW&#10;eeeATQc2Lcu5m5THXnNZXy8MwrmKGzchhFSbMghxg9fZCmolxB187532/zxvCwhyXr56gUIQ6c7w&#10;/Cekdgw4e9Db9u92pV7NVW9CXK9hrXLd1EdlzjN3yktvj5Wtu5si4e3g0ebo851dTfLClvHy1Bs3&#10;y2tbR8uuvcNl30FIc5DihsvxP4+R/YebZN6zd8rlE2sjxOlubXuPfpp3vJJCHI5ZEQ871YVlihXi&#10;lr+yJxqLBtrBq2Gvmbz+RB4dc1yEO9dB4EMdtl6EV7fmLzVQr60zK1aIg5yWu2xOSGqFoq9ABUlC&#10;nJXfdCe6QoQ4gNelIi/EOgpxhBBSGr2ubs67VwJn9L3olNzv2YpG+O84ej94+rSWft5DUUJI+YBo&#10;pPKTJxcqdjc1Fa8IKScqyuF89NIVFRG5Sxwh3YcOO8Rd/O8fRjeRNQwV4sbeNyWvbyB86FkOQlkE&#10;QISB8KKyFT7xM44j3cofekyBYKLSEz5D4SWUuNKEliTRx9vhDuWtdIU82L0JMhb6ZsujL7YsRB8t&#10;i36pLGj7hL7bMqhDd+pCGc2XNi4l7IPF7gCmhNIc+gg5R9PRP/yMsdi+JRHKVlZcw2covAE7Vm8d&#10;MOe6zjh3dJy2XJxIhza1fZB0DqBum4Z2rKyFudB1VAo5xwrJE0da2WqNIQvh+ZjlmrD50Q89bonL&#10;E44d7el5g/MqHBfQsiDLdZaUx9aPsdnfTWmEc4Vr015vmDeMD8eR15YlhJBKUXYh7qLzznMfwFea&#10;ULDZMHeqmy8NiHRhXbqr3Jxrr3DLKJB69m15XT49dnK7eXzHMRV+QnHPi90bX+pQN9rGDnfoG3a/&#10;0wjrD8HOeJof48AxzI32EZ/L/virDuWSKGaOtD30Be0hH/Lb19zie5rI6LXtBeZKy2AOMKdhOfQF&#10;xyrRpoJ1wZp7axY370jT0PMYfbBzhTrC+Q7z4HvadeCtAyJpXrxzCmMJz32MOzwviz3/CSHl49xz&#10;Bq23f7f1FVnljroT4oa3yr/fs0BuXf6QLH3xdtm0bZR8cGiEHPlopOw9MFy27oQQN1aefmO8vLat&#10;TYhDOmQ5SEDYIW537tisp++uyQ5xELk03tr7YV5apYW4tF3iihHiQmHNhpXcChHiINilBer73ZzX&#10;T5SpFyEud8lEpO3uFsfVQ3qdqAOvNfXygFNP/XyHdgoV4nSHOdRFIY4QQkqj5y8m5t0rgVoIcfoP&#10;QadNbx3iPRQlhJQPSHAaXroCCU6DQhypBCpmpu38prs6UogjpPsQCnHfvOSHH0c3kTWMagtxAIJI&#10;runMqLgEwp2S0rCiD0gTWtJEH/TFpicRyjqQtrx8IWGfQwnQokJMFlEHhIKbErc7F+oPRZwk0A+v&#10;npCkMXmE9caNI8SKbqEMZUF9mi/tHAhlsSQ86Smt/qx54shSthpjyEIx14Q9jn7Y+tLy4HywaVmw&#10;9Wa5zpLypP3uw1yjv1bwVJLOXw9blhBCKkWXEeJC0QaiTpyc5QHJJ5SCwoAEhHxeeUg8aYF8WcQq&#10;5LF1o00rGsUFhKRwzBCSbEByCiNOpgspZY5s6Ktr4yJOCMwydxqQvFAOn1kinPNS2tSyWeQvTzqz&#10;bWIukurR8zxpPm2/LJDlrKjnhdZvy4XnVFo9VsrLMp/eWhBCysd55wxca/9uV+rVXLl6L85vp0F6&#10;/nqW+zC4GvQatlbOv3WJ/Pf02fJA633y8tujIxnu2CejIyFux55GeXtns2zZ0Szbdo+Q3e2vTN13&#10;sDH3fZjs3DtCNr47Wu7Plb14whK3jWJJE9qwK5sVyFRUU2x5yFn4OQlbl60nrAvf9biV6MJd1goV&#10;4qy4hu96HPVi/OifzQ9wXCNMUyC3QZB7fuuhvL5j/mz5UChUNLw1AFn6UAgqxGGnttwlE4Gd3kIB&#10;LQ28xhSvWkX5pFeu6mtZIbKhjB4vVIjTegCFOEIIKY2ev5qUd68Eevdt6JH7HVvRwI5weW22v0L/&#10;tJmt13sPRQkh5QPykYZ9LWaIzYdd5bw8hJSCRvi6VAvOPX2d7tN7D7l5CCFdjw5C3GU//mt0E1nD&#10;UCFu2G335PWt/wX5u5uVG8gdWUQryCHFiCGo20o0SprQkib6oC9ZZSwr8ilpQp0n+CRJgIUKcXFz&#10;l/T6RrSfVYqzAloSaaJdKGyFQhzWIU3q8uYgrkwhQlyWtoF37oK0+rPmiSNL2WqMISuFXhNJaVny&#10;pP3+COfFli1ViMNchnMXB64PuwMcQF1e3pA4wZUQQspNyUJc+A+ptRLiIFmFAUkHwlEo9ISkCUU2&#10;UGdYn9e2F8hb6A5ZkMvSpCUboUwWyktepO0iBkqdo0IjlOqyCIc2dLe2QoS2cIe3YtsEdpe3tAiF&#10;xEL6jMhyfoS70RVyXoWCWpZzygba0bLcIY6Q2tNwzsAl9u92dxHieg5rlX6jV8mVdy+Sm+Y+Iktf&#10;nBAJcLv2QfIZFr0eVYEIh9ek4vuBI82yY2+jvPLOGFny4u3SNP8RGTR+mdtGsVgJLRTaIIxB8tLw&#10;pDNbvtBIqgvfvePhjmiFCnGF5gflkNHQbw0vXaPaQlyhQlqIFdTidph79sWhotJcuINcoe3b17P+&#10;atzv3LERQgjJyNCpefdK0f1S34H9cr9jKxrYITiv3f6Dp+A4hThCKs/Qp07+exF26MKOcVZ4QzoE&#10;JQ1KSKRSvHn4w/azrE2Kw7mnaTgncW7qLnKQ4pIETkJI16Kehbgbmsfn9a3hyiHug89yAjkEOyFB&#10;ELFyFGQOSDKhBGWBeAWJK5RXUBeOx4lZoYgVSnNWzkmSStA35A13OkN/cNyT8RSUhYBl+4F+J5WB&#10;lGZFGpRFO5qeNi7FE3IwhjSRza6VLYs2cQyiTlYZTkH+cA4xf2gH6ToefIZikIJxhvOCuY07dzAO&#10;r02bH+malnQOoO1wHZEfx5LWMkv9WfvgUUjZSo6hEAq5JtCe5kE/wvQsebz28DOuM5xreiwcW5br&#10;LClPmJaGN7dxv/uQF2PwdpcjhJBKUXYh7vsDayPEQcCK20UNQg52yQolLSXcRQxik+bFp5euZZEe&#10;ikW2PMQjyFFWCgKh9BS3S1uYDz+rLOb1DWFlsizyUlzbllLmCHiheSBrhbJdKEXZOUZeFbwwVls2&#10;lLfQL5wXqM+OE30OhbewbLFthnOO9bdCGiRNWzckMVs+XHOE7v4HwrnSsPMZXgvhetg20BcrRaJ8&#10;KK6lnVOoQ+cXn3Z8iFC6DMdo14YQUlkuOPfc2fbvNmj/k17WqDchDvRpbJW+o1fKv921SP53znSZ&#10;+vi98uyb46Nd4P78/8bLR5+OkSMfjZLDH46UQ8dGyvHPxsj/k1siCQgy3B9zZa7Mlf1O8xq3/mLJ&#10;KrRhZzPsdlZseS+S6rJCHFCRDWFfO1qo4KZiGkQ/bzwe5ZDR0urQqLYQZwWzQoU4u7vcGT2+4OYB&#10;+prTfv1P75BWqBBn81OII4SQ0sC9UXi/1HtAw5Dc79iKRpwQd/qMtRO8h6KEkPJihbekgLDE3eFI&#10;pYAAp7u/JQXy3PnaNrcOQkjXJBTiel4xBP8GUNPYcvD4YTzQrIUQRwgh3Qkr6kFoCyVSbzdGym2E&#10;kHqmywhxANJO0qtFIemEYhCw8g7EozAdxAlQqM9GXPmQLEIQxCQbGJtKaBa0acPKZJ68ZOUupHt1&#10;hpQyRyCMUJDCzzZs+XAM4VyFr4G1aWnYwBj1eCltWpkMa2bTlFDGs2nhuRHON87zMMJXr4b9s3WE&#10;5cOyAOeEDYiFmhbODebNCn8gHJ8tD7Kc/4SQyjD4nPOm2r/b4Iy+F53S/me9bFGPQpxyZuMaGTR+&#10;ufziwUflkSfukbd3NkWvTj1wpClP/Dl4tFmO/3mMvLl9pExYPlm+d8sy6TX8MbfOUkgS2iCN6a5x&#10;Xllgy8fJXBYrtoVpSUIcXmmqYeW3QoU42wbGh1edpolxXVmIszu8FSLE4bWneP0pymH3N8hxXj4r&#10;sGGnuKR0CnGEEFJlfr8i716pjUHX537HVjRy92mHbZu9+zdMwPHTZ66dEj4QJYRUhqaXtkRi3J7j&#10;n7bfYbYFduTCcaR75QgpJxAuF23bI9uOHe8gx+EY0ihlEtL98IS4L05ZV/Z/OywkVIj75e8a8/p2&#10;xTXXuQ8+CSGEFA52pcv9yj0B5DcvX7gLY6E7LxJCSDUJhbh/OfeCP+V+d2WPehLiAEQeyDdW4ArD&#10;CmOeXJQWVtYKd9LKKvZkEYJC2S6UipRQUEqSyWxaVkqdI2Ajrg82ksYQzlW5hDiEHi+lzaRzLy5s&#10;eYzdhk1TwgjTk9Y9PK+yRJIQ552XaXnCMYbzSwipHIPPPfdm+3cbVEKIw+4mYTv1IsSBXsNbZdDN&#10;K+R/Zs6QWU/dJY9tvEWe2jQ+2jHu2TfHyZ9y31tfuVUWPX+H3LP6fvnZ5LnyraYWt65SKVRoC6mW&#10;EAfsa0c1vVAhDkCC++Sz/AcuSeJfITIa6sZuenuP5j9ctOGV0+gMQhxkOOwIp+XC16BaVJrDLnGo&#10;P8TuUIfvOBYn1wGka34KcYQQUiKOENe7/+DG3O/YikbHNtuEuNNmrl3oPRQlhBBCCCHdB0+I+/L0&#10;1T2iG8kaBYU4QgipPKEQhx3i7KuAIb7h1cM2j/fKVEIIqSc6CnHnb8z9/soe9SbEKSrGxe0YpwJO&#10;KO5kCbvrVxZ5ySOLEIT+20iShmxY+SkcnycvpVHqHAEbtn9Z89gId7iza+ztyIZzAQIb5MW480HD&#10;lrNRSJvFhN1hLcs5FUaYHq6Znc/wvMoSdoe5LOdUWp5wjMhv0wkhleOyQef+2v7dBr37NpT9H7Vc&#10;Ie7GBf7D4BpxZmOLXHDrErluyhwZPvdhmbjyfnlw7b0yee19cveq+6Nj19w/X86/ZZmc1bxKeg1r&#10;desplUKFtpBCy5cixGGXOBXZVIArRogD2BVu+St7ol3ibDy/9VCHvFlkNNSXJMHZ8MprdAYh7uoh&#10;vU6UuXfSZW4eRfMVilcXoBBHCCHlpc95l+TdL6mcVsmw7bW12SbhnTZj7TrvoSghhBBCCOk+dBDi&#10;LvpB3Qhx4QNN/Bw+9CSEEFIcEN5yv3ILoum2iW5dhBBSL3RZIc7iCUAq+ITiTpawO8xlkZc8sghB&#10;Yb+TpCEbVn5KE5OyUOocARu2f1nzhK/gjItwfGmv0Q3Dli22zUIDsp0tn+WcCiNMD9fMzqd3PaSF&#10;fcVtlnMqLU84RuS36YSQynHBeef93P7dBt1ViAP/2rRGBo1bLv9210L5+eQ58utHZsn102bJLx+a&#10;K1feuUj6jlrllisnnUmIA1YMQ55ihTgL6rEy2wPrtuWlZ5HR7LiQ/3dzXs9LT6tDI24Os/ShEIoV&#10;4qwMhx3dvDwWvE5V82cFZby6AIU4QggpL44QtzD3O7ZigZ2BbXttbbYJcafPaN3mPRQlhBBCCCHd&#10;hzN+cWPevSKEuNOntfSLbiZrFCrEYUc42zfsGBc+9CSEEFI8EyZPzft34iSwW5xXByGE1BPhDsNd&#10;UogDoQSkglAWuSeJLPKSRxYhKOxzkjRkw8pPpY4PlKMOG7Z/WfOEryj1wu5iBrAzXCEyHMKWL6ZN&#10;YCNurEmE54aXJ4wwPVwz249CziuPLOdDWp5wjIX2gRBSPJcMOPdK+3cb9Ow7sOz/qNVZhLiew1qi&#10;neK+3bRa+o5cLQNGr8qxMhLhvt28Wno1+uXKSaFCW0ih5UsV4rATm90lrhxCHLD1huPIIqNpeDvM&#10;gbQ6NOLmMEsfCkGFOCuYpQlxVobDdy9PoRTSPrCvWKUQRwghpdP7wiF590u1EOL6DBh0PdIoxBFC&#10;CCGEEE+IO21665DoZrJGoUJcw5X59843NI93H3wSQggpHuwUd+1/3yhnDTj5P3IrOIY05PHKEkJI&#10;vdFthLg4QSg8jtdqhmWTKFbsyVIuFJfiRLSkMYRpcXUkUeocARtWzsqSB2LbXz79pD2lrX37M/JC&#10;XrN1AexqZgM7sYXzHIYeL7ZNYANlvDxJhOeGlyeMMD1cMzuf4Xn1zhOr88qmkeWcSssTjjFcF0JI&#10;5fjBOec02L/bbQy+uP3PetkCD1bDdupRiKsHOpsQB/CqU43wFaqloK9PDcdhZTSIczZN0Yibg7f2&#10;ftieo36FuKQd3yohw4FChTi7o13TzDvcsRFCCMlO74t/nne/1HtAw7bc79iKxZl9B55q22tvM3rA&#10;6T0QJYQQQggh3QtXiJvZGv0PFLUKCnGEEEIIIaQYQiHuXwdetKn9FjNb1IsQh53AksSeUALSV3pC&#10;fLIBgQnHwvJxhK/V9HYMQ32QsZb98VcnjmURgkKpCGMM8wC0acOKWlnkpTRKnSNgw8pZWfJgXTXC&#10;14smEa65N8dh6PFi2wTIb6NQ2Ss8N7w8YYTp4brb+QxFwbj1iCPLOZWWJxxjoXNECCme7w0YeJb9&#10;uw30IWg5g0JcdjqjEAdUXtPIKsSh3MYdR/Pqv2by+uiYRtj27OdO/t2A2IZ0vFbV7gan/YGgZ1+5&#10;iu92zAhNs2hUW4gDuUsmYuj1Z+XJZ4rdle2MHl+IxLUkNm35rVuPB/Jr3fju5bFcePHXorx4reot&#10;Sx90x0YIISQ7vX54U979Up8Bgw/nfs9WLOKEuC/OWneq90C0Wnx51lr5yqxW+YfZrfKPs1vkq7PX&#10;yFfnrIm+/8OsFvn7ma1ROjh9hl8HIYQQQggpHU+I+7sZLdEr9msVKsT1v+DyvL4Nu+0e98EnIYQQ&#10;QgghoMsIcRoQbSCEqbCFTys3aTx22/ATZbH7lw0ITZCGNB114GeIZ5DBbFl8DwPtafvoi+4sZqWf&#10;OJEO0pwV58JXfqKvmo7PUPoKZbUs8lIWSpkjYCNOwLJh89gxenXHgbm3gb7p3KCOUMpCaNli2wTh&#10;+Yby9pwEWBecA57IGfbLpilhhOnhuodzjj7ZwPraMeLcQp91ZzxbNss5lZYn6/lPCCk/Vw4Y8M/2&#10;73Ybba/JKmd4Qtw3f7/CfRDc3bESWmcS4iCa2cgqxKUFxLiwjH2dqg0c0zxhf8Kwwp2tW9GohRAH&#10;yS132Ui//qfnyWcKjiM9K0k7zYUUKsSdeurno7wQ4yjEEUJI6fS6ujnvfgngtaa537UVid59G3qE&#10;7WG34C9PX93DeyBaDSC/9Zm3SgYvXSQ/bZ0tN/xpmox4doqMeu5B+d+nH5brHpsh/75mrpy/bIH0&#10;XbxM/nnOqg51fGlma4djhBBCCCGkcEIhrvegS+pGiLP9AmPvm+I++CSEkPrlkLxz8P1ODcbgj40Q&#10;QuqPLifEZQndHU6BCBQKQkkB2ceWD2WxuLCiTyhr2UB9mi/czSstUK+WBVnkpSyUOkc2ChXiwjGE&#10;AakM+bGudo7xvdAotU0A8S3cJS4pwjVBvTZsmhJGmB72P5zzpPPPC1s2yzmVlifr+U8IKT8/bWj4&#10;ov273QaFuFqC3dFU9sKrSL08SfxuzusFlceuaggrkym2L6g3TA/RuhBZ+w7RDnLa3qOftpds6wt2&#10;frM7u4WgP/a1p9gRLmwTdSOPjgGhO8ohHce9cWsaIm4cOI6IK18oVojDznC5yybCymeK7sqWlUKE&#10;uNZ1154oh+9eHgU7z9k2KMQRQkjp9PzFxLz7JYBd3HK/aysScULc6dNa+nkPRCvNV2a3yL/MXy6X&#10;rZwvv3vqYXn49bvl8a3j5c33R8q7e0bI+h1jZMGbt8td6++TYc9MlZ89NkvOXbJE/h47xTn1EUII&#10;IYSQ0vCEuNzxKe23kzUJPMx8ZvO2vH6BiY/McR98EkJIvQKhzPt3187Erv13u2MjhJB6pMsIcRBs&#10;sghboQynQDzLKnwVI0B50lBcmVAIyiIvoe+hDAeyyEtZKWWObIRyVpY84Y5iSWHnIW3uwjUoR5sA&#10;AmFWKS4sWw0hDuBcyBLhq3rLIcSBrOc/IaS8eEJc7/6Dy/5/eVKIIyQZK8RNm3nVCdEsyy5ttcL2&#10;E/IchThCCCmdnr+alHe/BHr2Hdgv97u2IoG6w/ZqKcR949FVcnXLozLhpUmyaPPt8tz2MZEId/jD&#10;Zvnoz2Pk/f3D5dUdo+TxrTfL4s0TZPIr98jvn3pYrli1QL6zcJl8bc4at15CCCGEEFIc/zQ0/5X+&#10;EOJOm7l2YfvtZE0CDzM9IW7y/OXug09CCKlXKMQRQkh1CYW4b517wc72W8xsUS9CHICEhddPhkIR&#10;fvZ28gqB2OaVhwSGY5B6kuqA2GTLohzkHshBXn60h1dF2teiQhLy8qNdjCGUiNLGFu7sFspXhVLs&#10;HNkx6usxs+YpdMc1hO0D5hPrYOcBP0Pww/xoWPGr1DYVzHfYNkLXzVtrjF0jlNEU2zfUFaajL7ZN&#10;tBXm0XzeeYV20W+sNebClslyTmXJU8j5TwgpH21/u0/+3QaVEOJQZ9gOhThCTmKFOPC3p/xNJJph&#10;tzh7vJ64ekivqI94bSp+phBHCCGl0/PXs/Lul0DvAQ1DohuqCoQnxOHYadNbh3gPRCtN/8VLZMKL&#10;98vGnaNkz/7hsnNfYwS+7zkwXHbvGy47cmzb2yTv7W2UN3ePlFVv3yp3rH9AfvnYrEiK8+olZOhT&#10;r8ubh0/uLnz408/kkS073bxdhUXb2nY0/vivf3XTCSGEkCzUqxDXsn5TXr/ArFXr3AefhBBSr1CI&#10;I4SQ6hIKcf8y8KLd7beY2aKehDjSNbGCGCSrUJjydmOD7GbzFEot2iSEkGrQ/rf7sP3b3bt/w4To&#10;j3oZg0IcIcmEQlwom9UjKu39cdg50c8U4gghpAzk7o/Ce6ZKvM5eA7vBhe1FQtzM1uu9B6KV4h/n&#10;rJFvzV8hP2mZLfPfuF0OHRsp/1dukcMfjpR9B0dEQhz+1uw90CgfHBohh3LHP/5sbJS+ccdImZcr&#10;g1eo4vWpXv2lsO3Y8fb/yu8Ye45/Khv2H5UrW9a7ZWvBdxc/HcleiKf3HnLzdDewPpDCwsDaevm7&#10;Cq279rePVDqkWVmuns5fi1039NfLUy80vbTlRF/vfG2bm6e70xnOOUKIT4wQt6H9drImgYeZi558&#10;Ia9fgEIcIaSzQSGOEEKqyw3N4/PuHynEkbrDRtxOZ+HrP0vdCc9GtdokhJBq0P63O0+I69N/8JTo&#10;j3oZg69MJSSZUIjDK0hzl04Evtu0esC+LvXZF4dGxyjEEUJIeQjvmSqxe6+GJ8T17tvQo9pC3L8u&#10;WCE/bZ0tt744SR5/5+ZIgPvwk9Gy/3BT7nvjib8/OK5S3JGPRkbfX901Uha9ebs0P/eQDFy6yK2/&#10;FLJGvew2BjFHo6sLX1mBtKiB+cExCDn6vauSJMRZ0bNe56Eznct2rvHdy9Pd6QznHCHExxPiTp/R&#10;uq39drImgYeZkN9svwB2jQsfehJCSD1DIY4QQqoLhThS99jAbm12Jza8dhMimn09J8J7fWkh2KhW&#10;m4QQUg3wt7v3gIZt9m937/4NZX/tAYU4QpIJhTjQr//pkXCG3eLCtFpz4cVf69A3CnGEEFIe+px3&#10;Sd49UyX+ZwUNvI41r60cZ/YdeOrpM9ZO8B6IVorBSxfJ2Ocny4ott0avS921b/gJGW537m9MxL5h&#10;J77jONKRb9PukdL69q1y20v3y/nLKifEYTc4SBwKdoGyohWiHiQP7hDXEZ0PvDLVS++qlLJDnL5e&#10;Fud4mFYOtH2sjZcOuEPcSSq9HtWAO8QR0nlxhbiZrYfbbydrEniYOXn+8rx+gWc2b3MffBJCSL1C&#10;IY4QQqoLhThS93x6LP8fnNPi4HvvuPUUQi3aJISQauD97aYQR0j18YS4RUt/EklnIEyrJZu2/Dbq&#10;E16ZqrvDAQpxhBBSHnpfOCTvnqkS92YasULczLVTwoehleTKVfNk3qbb5d09eD1qmwSH3d/w96VN&#10;gGv7GZ/6M16liu/v7R0RSXQPb7xbLl+5wK2/FDTidqjCznAa3U246ixodLedu5KEuDR0N69K7cxW&#10;St+6I5VeD0IISSIU4kA9CHETH5nToV8U4gghnQ0KcYQQUl3KLsRddB6FOFJeHrtteIfd2OICYhp2&#10;cPPqKYRatEkIIdUAf7t79x+8zv7txs/RH/UyBoU4QpL58X0LZNoT93RqrpvyqDs2QgghhdH74p/n&#10;3TNV4t5Mw7tHgxB32sy1C70HopXixy2Pytp3bpZjH4+Sozkguuk/ruP7rn3DZOe+tk8V4lScgxi3&#10;c1+jLNk8Qa5aPdetvxQ0kkQU3YEM4aWT2qJBIS47FOLqCwpxhJBa8vUbmvPuFQGOt99O1iTwMNMT&#10;4jbs3O8++CSElMbfnnJK9D/HNt020U0vB6gbbaAtL72r4glx+J+R8T8iYz5a113bIb2WnNHjC1G/&#10;ps286sQxCnGEkM5EyUJc+FCdQhypBBDO3nlitRx9f2cHUe2jAx/Ivi2vy7MP3uGWLZZatEkIIZXG&#10;+9sNuT36o17GoBBHCCGEEJKN3lfemHfPhNfbt99SlT28e7Qz+l50SrWFuH9bNU/mvH6nvP3+CHl/&#10;H/5RfZh8cGiE7DvYKDv2jpA3do2Ul3eMkk25zx1723aLAxDijnw0Ug5/2Cytb98iP26pjRCnsgrC&#10;Sye1RYNCXHYqLWBRiCuMSq8HIYQkESfEfXHKulPabymrHniYOey2ezr0K3zgWU5eeGdnJOycNeCc&#10;SAZRGi65XCZMnuqWIdUD6/P//d1p0Zpc+983unlI8ej5fmPjSDe9HKBubcdL76p4Qty4m8+P5uHU&#10;Uz/fIQ1AmEOefv1PPzFnAD/fO+kytwxQyS4rF178tQ51eH2jEEcI6UxQiCOEEEK6EW1/uxsW2r/d&#10;lXjo6r2Oq+eNC9yHwIQQQggh3ZlePwxfSzW4Yq+kihXiZqxdFz4MrSSDly6S8S88KKveulVe2zVS&#10;du0bLgePNcv+w02ybW+TvLB9rKx95xZ5YdtY2banKdoVToW4o8fbdpV7bOvNcnXrHLf+UtBIElF0&#10;h7iP//pXNx00vbQleqUq8mjsOf5pJAZ9d/HTeXmRD5FUH0CdGkOfev3EcW1j0bY9efkthfTHvhbW&#10;tmNBWwjUd2XLejePrcdLTwL93bD/aN5ufGgLY0BamN+25UXa3IaE84VP9EfHqsfD+bHzYo9bUEbD&#10;m1+MBW1hfWxgLmwfQpKkM69fth9xgfY0P84T1IN5seuCiDuXdJ4KDXsul3p9APQL/bNzivrizqc0&#10;ktZQ07S/2radM6/dQtdDKWZsYR/xs0p4OIb6cBzfEajLlg9BfoTWB7JcCwDnu7atgZ9xPMyL8SOS&#10;6tTzBfPhpQOtJ/w9j3lAmo4bEdcXQroysULcrHWntt9SVj28h5kNVw5xH3qWAwhvukNWHFf99Gdu&#10;WVIdZq1oObEWkBa9PKR4dG4pxJUfT4iDbIZ5gHwWpkF4SxPbrh7Sq0M54OVNAoJdWAdkPE3XXeIo&#10;xBFCOhPhPeS3zvnesdzvtOwRCnEN5w10H8ATQgghpPbgb3ef/oOn2L/dFOIIIYQQQmpHr6s7PnRs&#10;v6Uqe/TuP7gxbAtC3OkzWreFD0MrSd/Fy2ToEzPk/g33yjPbxsneg8Plw09Gyf7DI2T73uGyccdI&#10;eS53/NWdo6KfsXMcgBCHPPhctvk2+ffV89z6S0EjFCUUK914cgpQ2SIuIFtAvND8Vua687VteXVZ&#10;VPQIZRANlVhCCu0PhCuNuDqtfBMni2QRUzzS+osI597OoRdJAk1IUl2ox54DoXCkYhDCHrcklVeJ&#10;KCnC9VKS2vbSUEda2HnW9UwKrLWV4tDXYsKed6VeHxhnWj/C8ymNpDW0aWlt22un0PXQMsWMLa2P&#10;+vsPZTVC2dGi5bEGeiztWkB99veIF+H5ZM+FcN4B8tqIk0e1v0/vPXTiGM6tpLBrRUhXJ06I+/L0&#10;1T3abymrHniY+cvfNeb16YprrnMfepYDleGwAxl2iYN8BSDB4bhSyddJkmTSdohb8uRzURrWEt/D&#10;dJKMnuMU4spPKMRBMtN5gHxm04DKcviEMLdo6U8ihl4fPes5gbdTHF6/qvnjQDmtA3WGdQDsHId0&#10;3UGOQhwhpDNRBiEuf5cZCnGEEEJI/dL+t3uC/dtdiV1IKMQRQgghhGSj1zX5/zADIKm131aVNTwh&#10;DserLcT1mrdSLlu1QG56eoqs3HKrvL9/uBz7ZGS0Exxktx37hkc7xeF1qfh5z34IcW1pOL5hx2iZ&#10;uvFuuXTlArf+UtAIhTiIFRA8VKTApydbQLDQdOS3eSBc6C5R+NTjVuKIE3NsHitxAA0rESnF9Afo&#10;cU9mC6UTK8F4ecL+JqH9RaAPEMQgvgB8134h4urV8OYjDSsl6ZyhbcyVJ4SFUg7ya9jjFpTRCMtD&#10;usEYMTabhvm0dXtzntR2Wr9wviPiRFCAcxPnA9YB86THcU7ZuUG6LQeyzAvQQH49Vsr1gb7pNYux&#10;WaEOafZ8K0R4SlpDmxa2jTTbJtLRd1seZFmPUsbm9RFzi+PIq2uIOjXi5sfmsX1IW3OV4XC+o26d&#10;B3yifdsvLYNxadh1VmxfEN65GNdfbQ/9Qjs2P+a3kPODkM6OJ8R9aeoKOX1aS7/ohrIGgYeZV//X&#10;DXl9ws/hA89ygR3H4mQ3HM91KQJClpeH1B67gxy+e3lIPDp3FOLKTyjEYXc3zIG3Oxs4o8cX3J3j&#10;gL7ONKl8Gto+ePbFoW4eK81B2qMQRwjpTISv3f/Wued/mPt9lj3CXWbOPmew+wCeEEIIIbUHf7sp&#10;xBFCCCGE1A89fzUp754J9O7bUJEdOGKFuJmth70HopXi63Na5NsLl8m/r5krE166P3r96Zu7m2Xn&#10;B41y6FhzjpFy4EhT9ArVDw6NiD6PfTxa9uW+v7R9tMx8/U75/VOPyNlLlrr1l0KWgDBhhSDFyhpW&#10;tLBY4coKFpA+NDxBBnk1wrY1rEQESumPlWmsHAJsXzTCPif1Nw7bX8yxNw84ZqW4sG9AI5yPLFix&#10;KxSdAOZRxRlEmCeL+GVlJK+NJOx5EqYltZ3WrywCVhq6Ll4dWeYFaIRrV+z1oeVwPtn8Fl1z9N9L&#10;90haQ5uGSBMEvWszy3qUMrawj/baD9F1jWtH+4Hrwh5PWnNdL5TxrmGAedOwedAPhLde9jxBeH32&#10;+pu0noR0R+pNiNt2+PApeJiJV6TaPmG3j/CBZ7XIdesEXjqpPRTiSkPnjkJc+QmFOH0dapz0lobO&#10;IfDSk4Dcpu3r7m8e9rWpkOMoxBFCOhNlF+LOOptCHCGEEFKv4G933IPQcoYrxP16lvsQuPq0ypnD&#10;W+Q7I9fIwPEr5dI7lshVdy+QH987X4bcv0B+cPdCueT2JfK9W5bKOWNWyFmj1kjv4a1OPYQQQggh&#10;ZWDo1Lx7pui+qe/Aijxw7Pg/RqgQ5z8QrRRfyvEPs1qkz/wV0S5v//Onh2XWpjtl654m+UzGyyd/&#10;HSeHPxx5gg8/GS0it8mxj0fJ8i0T5L8enyH9Fy2Vrz+6xq2/FNLC25lLUQEkTaxRocPucAQpRsOT&#10;U1Rs8QQPjVAiKqU/VpQLhR4VSqw8FvZZ86S1bbESXpKUYufKk400wvnIgkbSOtv2w34mSUBKKfJN&#10;Uv3FpoFyCHFJdWSZF6CB/PZ4sdeHRpLwZev2ZDuPpDW0ad75Caz8GY4VZFkPjWLGZvuIa9WWCUmS&#10;Y4EKovb3B0hacx1fUtvorwbGocetKBfKtirv2d9NYZ81j23brkfcmhHSnfj6HzruXhwJcTNaL45u&#10;KKsccUIcHm6GDzyrBXaQy3UtwksntYdCXGno3FGIKz9WiMMrS3UO8HpTK6FlBTvIoTzENi89CbvD&#10;HPri5VG0HYhzFOIIIZ2JkoW48B9TKcQRQggh9Uvb3+6OQly5X8vVZ8Dgi8M26kWI6zN8jQwYvUKu&#10;mLhIbpw+U+5ec7/MffZOWfvqrdK68RZ5NPf9zlUPSOP8h+U/p86WK+9aJN8dtSqvjp7DIMhRkiOE&#10;EEJI6eAeKbxvwr1U+21VWcPbKfiLU9ad4j0MrRZfe7RFzl2yRP7w1FRZ+87N8t7exuhVqe/saZKt&#10;749o+9zTLDv2NcqGnaPkthcfkAGLy78znKIBsQbSCIBwogIHIk7isHmyRCi7WJnDHk+TNTRCsaZc&#10;/QklIxVgIKmoTBfOSZwkk4T2N4tEp+GJaxqeaJREFpEJ2Hz4btOSJCAlqXwaSfUXmwZ07sNzoBCS&#10;6sgyL0AD+cO0Qq8PO89ZI+t6JK1hUppFwxtr2nrYNrKG7UvWPoKk3z/43agRymlJa15o2Dmy/YmT&#10;eG0eKwzaPFayAzrnCPw+C8dDSHciTog7bXrrkPZbyqqGCnFhn2opxP3tKaeckEi89Cy88M7OSAj6&#10;+je+eaIufMcxpNm8S558LkpHu/qzSnk45klLkMCu+unPote6av3I23DJ5amC2ANzFkT5spYrNH8S&#10;eCWtnRP0H+NY+/LrHfKiHeSxr7e1/YjDqwt9RVmtE8StRxyoV8vGvXJX1xJg3rw8th5vDnGsmLXV&#10;udG+YWw6XozVzovW651bEyZPPVEO/bBpGB+O2XnEuYoyNh9A3ZoHP6N9WxafcWsfgvrD9Us6d0B4&#10;XcVdk17fFZS59r9vzFuLtPPGCnF/HHZSrrXyWVbszm1JO7zFceqpn4/K4tNLtwy9Pnq2lJuvv6EQ&#10;RwjpVJRBiOv4UN17AE8IIYSQ2oO/3X0GDLo+/NvdnYS4vqNXytWT5svweQ/LtCfulj9tGi9v78Sr&#10;uZrlyEe5/8jf2SSPv3aLzHvuLpnUer80zn9Err5vgQwYs1J6D2+RnhThCCGEEFJG8Fr58L4J92vt&#10;t1VljXCX/0iIm7XuVO9haDX5p0dXycUrFsjwZ6bIg6/cLfM23SHL3pogK7ZMkMWb75AZr90pE1+6&#10;P3pN6mUrF8g/P7raraccaHgiit11KJQpgBUqskQoi8XtxAQJRcPbwUojFGvK2R9t1wolNo99/aDd&#10;laoQqUSFpzgJyKLh5dXwRKMkskpCSfmSJCAlSzuQeHC+qXDoRVgmqe20fum5kjb3OA9wPiKfrlcY&#10;Xh1Z5gVoeGtX6PVh5zlL4By29SaRtIZZ1hdoeGNNW49Sx5a1j4qeh6Gsqr8TQ2kWJK15oRH+vtX+&#10;2Hb1PNA50zxWoPR+Xyk4d3TeNTBe1Ov93iWkKxMrxM1srcj9aVpAiHtm87YOfZo8f7n70LPSWFkJ&#10;4ouXJw2IOFagCUG9VqaB5KRpKGulHwDhyNYPCcimeyCPLaNA7vHyK6FcVGj+JKyIFIL5CvNrmpW2&#10;ihHi0uYL8415t2Xi0HUN10Sx8xW3BhDWNE8oVZWytipRYr68eqxMp8fs3AJ7/oXnKQQ/LecRimWo&#10;W9NQNjyvlaT5R/tJ543iSW3hdZV0TXpzivMors8gbh2sENev/+lRXnxa+SwrVw/pdaK9aTOvcvPE&#10;gVefall89/JY7G5yz7w0wh0bIYTUIxUR4u659LvuQ3hCCCGE1JYpF/U9xXud6Zl9B57a/qe9LFHP&#10;QtxldyyWO1ZNlidev0Veey/3H/W7mmXXvuFy8GizHDyW+753uLy1o0lee3eUvPTWGFnzym1yf+v9&#10;8tuZM+TKuxbKd5pXu/WSzs8nn7XtZLL8lT1uOun68BwghNSE36/Iu2dqozpCXO6+cFs9CHHgG4+u&#10;ksHLFsnVLbPlt396REY//6CMfe4BGfHsFBm6brpcsGyhfGPuKvn72S1u+XKh4YkokCJ05zNPAEmT&#10;WNKwshkkDD3uiR0WjVCsKWd/dJcllVy0TptHpRWVTkJ5Jg2d2yz91fDyaniiURJZJaGkfEkSkJJU&#10;HueYrnda2HIgqe20fmU5V7DWukZJ4dWRZV6Ahrd2hV4fSfNcKkl1Z21Xwxtr2npkbSOOQstb6RDr&#10;gGM4VzXseihJa67hjT0Ltj8q+umcaZ02jwpteq4kvaoV84F0G/hdpuMmpDtQj0Jcy/pNHfpUKyHO&#10;Sjxxu4AlAYHHijeQZiADQc5B3SrY2LqtuKPpKIfjEH1sXitcoR2kIR/Ad9s28mo5AClI01C/yk74&#10;RDsoa2WyQvMngb5pXXY8KI958eRDzR9KW8DOGb6H6YrOF+YV9dj+Yl10vvBpy8WBedB2dT4sVt5C&#10;m2G6zROOuZS1BXZXQa0D64TyyG/HrvXYuU2S4YBNC+fR2yUOdWs7ip7XKGPlxjjB0M6ntqFzgjFp&#10;nwDqtGWRR9M0n60Dc2rLh/3X/iEP8utxzBPGAWx+xQpx2G0NdRS6uxter4oy2jeIcV6+JFTGQx+w&#10;05yXx2Jf77pg2X+7YyOEkHqkZCHO22WGQhwhhBBSn0CI82S13n0berT/aS9L1KMQh9ec4tWn//Xw&#10;LFmz4VY5+vEo+eQvY2XfwRGyZ3/jif+4w/e9BxojQe5YLs/OvcPlqTdulinr7pPfzJgt54xd4dZf&#10;CkeOn9xd4fmth9w8lrf2tv2f+Pj00ivJNZPXd1lpSOPxN/e76aTro9FdzgH9XbL36KduOiGkeoT3&#10;TfifD9tvq8oanhD35emre3gPQ6vNV2atlR6PrpRvL1wug5YskktXzpfLViyQi1cslHOWLJEec1e5&#10;5cqNRpyIYkWJUCRRIcPbfSgrKmzgEz9D9tDwdqUDGqFcUo7+qAClspH2zwowmkclE905DGKc5smC&#10;9jeLSKfhtaFRqGxjJSFP8FGSZKIkCUhJKq9zgEBdoYSTVH+xaUDbxaeXbmVQfEKQDHdTS6ojy7wA&#10;DeT30gu5PrKuZzEkrWFSmkXDG2vaepQ6tqx9VKz8ptecfV2qCmeWpDXXiJN80wjlSNs/vWZsHj1f&#10;NeJ+l1pQpx2DnnOEdAc8Ie4rkxbI381oqcj9aVpAiFv05Asd+jRr1Tr3oWclgQCkggw+PeEpDSsB&#10;WfFLQZ2QfKyIZMUdEIo5CiQkzeMJSwDHrDhlxSXbN1smjkLzJ6GyVpz45KFt27lS7JxZWcli5yuU&#10;pRQr/cXNuwX1xOW37SlhuzZPKAbq8WLWFugcJ9WhaD6d2zQZLst8h9jzJ5TKFNvnsE3Mr6bFyWd2&#10;/TA3Ns32GXjrm1Rej3vnXxJWiNM68OpUPeZhd3OzQGYrdGc4AKFO68gq09kyfxh2sTs2QgipR8og&#10;xHV84D3uon7uQ3hCSPl47Lbh7f8kI9F3Lw8hhIR0VyGuZ47zxq2QaybPkwnLJ8uLW8bKR38eI5/8&#10;dZzsP9wUCXD6H3f4/sGhEXL4w5FyPJdnz/7hsv7tsfLo03fKH+ZMj+rx2iiW8ctPPozQwDEvr7L9&#10;QNsDEnx66ZXE9rcW7VcSDQpx3ReN7nIO2PDSCSHVo895l+TdN0Fca7+tKmt4Qtzp01r6eQ9Dq82X&#10;ZrbmgBjXmqNF/j73GTE793020v1y5UYjTkSxkkW4y5DujIYIZaGsQO7QQB36c5LUphGKNeXojxUA&#10;rVBiRS3No7soaWQRbSxhW14eYEUc3bnOohEnVcVhpZpwbS12jcIxWoEmbgyQcTTC8hpxMmGSZFRs&#10;GihEwIqTiZLqSGtf0UB+L72Q6yPrehaDnY9wDZPSLBreWNPWo9SxZe2jBfIaQoVV/TlOaktacxUb&#10;s8ivcah4i7r0mgrPA82DObLnjs2TRtZzl5CuxFdHTMy/L81RayEO8lvYJ+wa5z30rCR2x6o4gSoN&#10;yEQoH8o1Fog/Vv6x4k6c+APsDmJJUpKVtqx0ZQUjiEC2jEeh+ZPAuFAP5iVJ1LJo28UKcSpkJa0F&#10;0DXzdl3zUHEM54s9rvOF+tAmvofraefUCm2lri1QuQz9S1svrQNzhLxJMhyIE/mSsEJcXH/sfITj&#10;1nVB35LOGTt3th17jiT1Wc9NYNdE1zBc5zRUiLOCWbFCHIAUl1Y+xL5q9dkXh7p5PLQMhThCSGci&#10;FOJA7ndZ9vAeeDdfWBsh7tkH72j/z1M/jr6/U3ZvfCnK55W3HHzvnajMRwc+cNO7O5yf0njnidXR&#10;/P3l009k2R9/5eZJw57vWc5pQggBcUJcz74D+7X/aS9LeG18c+hU9wFwNeg1vFV+eO9CuWXZQ7Lk&#10;xduj16FiZ7gDR5oj4c37D7y29CZ57/1GefntMbLw+YkyfN7DMnD8creNYvGEuLTdmiolxGHHNwR2&#10;rPPSAXeIqyw6t7Of2+mml0qWNe7OaBR6DnTWeU3bIU7TN+446qYTQspH74Yf5N039e7fsLD9tqqs&#10;gXrz2qkjIa5e0IgTUYDKHAiIKXrcSibF7nxkRRdIUSp0xAlSQCMUa8rRHytvhUKMl0dFniSBLw7b&#10;3yQRSOcEbdj5VzTipKok7Npa6U+xMh4ilInsXHjtIx391gjLa8T1XdcAEaYliTtJaUDXLW4XLLs2&#10;YZ+BXRdv7Wz73popGnHjL/T60HEhvPUslqT5SJsrRcMba9p6gFLGlrWPFntuW7kMx738Wc9H1BWm&#10;ZwFrrqHXRSgHah5cc3ptF/q70F7zXjohXZE4Ie70GWsntN9SVjUgxOH1qGGfntm8zX3oWSkgzOS6&#10;E5EkpaWhdWSVq0AWuQuo8JQmeAGtz8o8kIpUfMInhKVwlzFLlvwQkLQtDxWU7BjRf4hQaWKc5ke7&#10;YVqWObO7j2UB+b16QqxAZcegQiXWXiWtcK00D2Qve7zUtQVaR5ZxaB0Yi65xnAyn2PlEuTjJTbFC&#10;nJcOktZRj6ddj7YOK75lOUeAvfZtPtt/jD2rJKtCnH0FaaFCGyQ2SHKnnvr5E3Wc0eMLbt4QvB5V&#10;y+C1qV6eOLQchThCSGdi7H1TOtxH5n6XZQ/sKBNW8NsLBrgP4SvN9heeav/P0/SAHJckItnw0rs7&#10;Nrx0kgzOP41iZTYKcYSQYoAQB/kt/NtdbiHOa6OWQlzv4a0y9OFZsvTFO+T190bKtvcbo1ejQnrD&#10;f8zt3jcsEuPa5LhhuZ9P7hS3Y0+jbN4xUp7YdLPctuwhOf+WZW4bxWKFOJVPEElCVKWEOEhAGl56&#10;V0ejlkKcRqX60N3XOA2NQue/q85rpX7XEEI60vvCIXn3TdUS4voMGLzh9BmtF3sPQ7srGp7Uo1hB&#10;IpQ5rKQC8cLKJpB5II9A2kgSxlTusOJUkvCikSTWIIrtj+0HwtuRKgwvTxZsfyE7YX7RZwC5xfbF&#10;2x0OaMRJVUlY6Qdtafs4bvumYecTYE5tHzEPWl7X1UZY3sp+KKPHvfZtOZBVQArTAPqpgbzoF+ZX&#10;z2+7OyDEIj0fMV7k034j0E9bN7DXjJ6HGFMosmkkrV0h1wfa0UB+9MPu3IdyGCPGVMj5YusN1zAp&#10;zaLhtZu2HsC2U+jYsvYxROfcfnr5ANrUCNPC6wR57RpiHBgP1to7nwDyh4EyNo8dp0aYB+g8hXOI&#10;c1T7GdcPQroi9SjETXxkToc+bdi5333oWQnsLlWhqFQIdhctT+KKI6u4oztWFSI8hXkhMWk9Ng/m&#10;wObLmj+rEAdQRuUrBbJT3Jg1T7WEuKwSo92lzUpSOjb0x+bROYBspsfCHcvKsbY63kLr0O9p5z76&#10;b/MD9Btj8US6UoS4Qq4lW4fNG1d3SFI+u/scwBrjWJJIWg4hzgKpTesZd/P5bh4L2tL8hb5uVctR&#10;iCOEdCZKFuLO6HvRKWEF159feyEOO3BBElI2rZgf7Q6HHbk08D3uVZPcAS0Zzk9ppO0Qp/O7b8vr&#10;HdIUCnGEkGKYclHfUz2ZHTu6tf9pL0vUmxDXp7FFhs2dJhveGS3HPhkV7QyX/x907ULcgbafIcTh&#10;Z0hx+L47d2zT9mZ5cO19cvGEJW4bxWKFuAfWbTuxQ1jSTlMU4iqDRqVktCxoVKoP3X2N09AodP67&#10;6rxSiCOkevS++Od59029+w9e135bVdbwhLjTprcO8R6Gdlc0kuQHK3NABArTQnEpLmw5CyQMG2Eb&#10;IRqeWFOO/lg5B2FFLSWUvbw8WUB/dSenpPCkFkXDm48shOO1oZKehicToW9xgfMmSUYK1z4M2zdb&#10;DiQJSElpwBOHEFhXzWN35PJC++ZdO6EApYFjNp9G0toVen1gPby2wyjkfElaw6Q0i4bXbpb1AMWO&#10;LWsfQ8JzAGvu5QNp5xyENitSxkXS7+KwPM6zME84P14e21cvUIcV9gjp6vzjmEnmXrGNr9w5C2kV&#10;eaV/WkCIu6F5fIc+eQ88KwFkpaw7ZKVh5bBKCHHaz0KFJy8dclooN+HnuPEXmj8O5IdAFUp2noym&#10;aaUKcfj00ktB10J3L7P9CfPo2KwkFwpV5VjbQsardWBu7Q5pabuxAYwV+bQMwHpa+RGgbk23xy1x&#10;61jItWTrsHnj6g5Jy4e1whrqGgF8j5NIyy3E2VevZtnxDa9YRV7sLuelJ6HtUIgjhHQmKiLE/bLh&#10;bPchfKWxQlycIDTn2isiyUgDQhKOeXkJqRW6gxw+vXRAIY4QUgzdVYjrPbxF/vjodHnx7bFy6MNm&#10;2X9kxAnhDZ879oyQrbua5O2dzbJt94h2Ia5tFzn8x97hD0fKzr0jZNZTd8tldyx22ygWK8ThO3aG&#10;04iTcijEVQaNQmWocqJRqT509zVOQ6PQ+e+q80ohjpDq0fvyoXn3TXiVafttVVmDQlw6KmOF4kmI&#10;FUPsjkIKRBXUYWUMfIfcAfnCK2OxUliS/AW0Dbt7VEgp/bHyDMp4QomVlJAnTC8U9Bd9s/3FnEDA&#10;SZs7LZM0H2lgPGhfA+IN5gljzyIT4TjmW8OWR7r20ZNstKwdO37WtnAchOVU1Cs0TcGY7XmH7+H4&#10;dF00UJ+uie7Yhb7aMgrSwzkJ1wj1IdLWrpDrA6B/uGZtOYSeU1nqsOhYEeEaJqVZ0saaZT1AMWPL&#10;2scQtKX9xmdS2SznHK4H5LPnFALnBs4VpHm/bxQrsqEOL4/9XR13btp+6PgQmEOUT+oDIV2RehTi&#10;fvm7xrz+NFw5xH3gWW6sDAehpxQZTkFdwBO84sgq7qjwhL566Zas/YDso6/xrET+JDBWSIhaV/hK&#10;Sj1eqhCHNfbSS0HnQOvGPOBn+xpTzaPrpRKZtxNbOda2WCEOP9s1jRO9QnC9WOktHJdNs8ctSeuo&#10;x9MkPVuHPYeynCMg7pWpHnaXQ3x6O8WVW4gDWk+aEIfXrGreLLvJhWhZCnGEkM5EyUIcos+AwYdt&#10;BT8adK77EL7SZBHiFCvFYec4Lw8htYJCHCGkUtx/xb/2OLPvwFPt323Qe0DDkPY/62WJehPieg1r&#10;lf+cOkcWPHenvLp1jLz3flMkwx040vYJGe7Ft8bJM2+Oi16pumvv8Oh1qm1S3HD56M9jZP/hJpn/&#10;zF1y+cTKCnE4ht3hENgt7nu3Pt2hTJKkgvzLX9kTvX5V69HYe/TTSNwJ69Rd6QoNtGPrsWAsG3cc&#10;zesD2kG/dJwe2pffzXk9+hmCIPqtge9Jr5O9ZvL6aIyYm3BcOJZUVqNQGSoJzPXzWw/lzUO4DpjH&#10;tLD9LmaMaWuM/oVlAOpCnTbS5jEJlMN5YdcUgfZxHGPzyukc4fzBz8iH/DoufCaVV7ScXQ97Tmpk&#10;PQeqOa/aFq4NnDsYh4bOC0A6Avn1Z20Lx+zYUA7hlU8KtK35FcwtzvVwbdPGFa4tdsrU9cEnfrZ9&#10;Svq9A3SsdkyEdAZ6X3lj3n0T/p2l/baqrOEKcTNbrw8fhBJC4oGUpOEJSoQQQkhnxhPi/v6WqXLa&#10;zLUVeaV/WkCIu/q/bsjrD372HniWEyvD4TPc3apYIDShzjSxyYo0WcUduyuXJ+IokHY0X1a5qRCZ&#10;ChSaPw5IVboOofimYyhWiFNJDSTNVzHYOYaEpWKffRWqzYP248YJyrG2hayJ1qF9wTpYObGQ6yFO&#10;fIs7bklax6zXUtzc2bpD2dJiZcAsUmzauadCnBXMShHi8NpTrSdNiDujxxeifNglbtOW37p54rA7&#10;0VGII4R0JsolxG2wFXx/4HnuQ/hKU4gQh13h9PWp3CWO1BsU4gghlSJOiOszYND17X/WyxLeLnQ9&#10;fzXJfQBcDXoNb5Uf3Ttf7ljxoKx4eYJsem9UJLwd/rBZ9h4YLu/sapLnN4+TJzeNl43vjo6EuA8O&#10;jTixg9yR46Nk1weNMvvpu+SyOyr3ylSVciCPaHhijgof+AzTVHBJCggrVopLk3riIk4asqJOXHhC&#10;DdCABBOKNTbiymcZS1rbWWWoNCAIJfVH+1GoEFfMGNPKhOIWzo+k+UeE51EaWcaJfkJ+CstiTRAq&#10;V8VFXHmA40nzoG0gsp4D1ZxXjbhrQ/PZ3ynemO3vDe93iZXP4iI8v5LWRCNuXGlrq2uhkhzqCetQ&#10;bN/TxDlC6o1eP7wp776JQhwh9QuFOEIIIV0ZyG/594u1F+KwI5ztD16h6j3wLBeVkuGAlXOsHKWo&#10;eGSlqDTBRrH54qQn1K8iEcaWRfAB2u+sgluh+ZPQ/oaiGI55x4GdizjZyeaxO7eVA8yrrVu/WyHL&#10;5lFZDXjnWznWVtvIsibalp3b8LrIeu5YSc8eL1WIs+W9cwCgz5onHLetG4QCYZgn6zmCNdYyYZ+B&#10;J8RdePHX8uQzBbu4QXJ79sWhbjqkNpXcAHaA8/IBuyPd1UN6uXmSsOUfmXVdh3ERQki9UhYhrnf/&#10;wetsBQ3nDXQfwleaQoQ4gJ3hNDbMnZqXdvC9d6Lj+LTHFeTXPAhIdfg5qV2kIY8V8eLKaN34DNOU&#10;d55YHeVBPV56oX0sJL/mw2eYpiz746+iOf7owAdRXg1IXptWzHfLAB2X1o16sKOfnTf8jONhWQWC&#10;I9r+9NjJB/LoB86RrPKjlk0ao/YpaZdBrQdt6zFv7R67bXh0LCkwbs2PddHAd4wLbdgxx62fB9Yf&#10;gT5lLUMI6XxAiPNed14VIe4XE90HwNWg17C1cuFtS+WGGTPkoXX3yYZ3RsmR483y4aejIyHuvfcb&#10;ZcuOZnnzvVHy7u5m2Z37jzzIcPsONua+D4teofrGe6Nl8tp75ZIJld8hDqioggh3vfIkFgWiCoQR&#10;yCBWDEIdVpbzZBErBIVpFg1PGsIOURoQWNAOxgXwXaUWBPKG5TVU4kF+SDJa3so9dr4U5Mc4UcbO&#10;G/JaicjOjaKRVYZKQ+cbfbZ9RdtYp1AqAhpJfShljFnXWOvR+VeRCZ92HbwxxIF6UB/W3c4H6rT9&#10;wthsOaDpdv3RNuqBIGbPbe+6QBtoW0PLAnvOahR6DlRjXjU0D8aJsQN7LWFMGrY+HEebaEfzJv0u&#10;yZIO0L4G2tP11fa0DgTGH5YP1xafOIby6Cvqt/kQ3rkN7Frq3BLSWeh1dXPefRNov60qa4T/fgMh&#10;7u9mtDR6D0MJIT4U4gghhHRlOoMQN+y2e9wHnuXASkUA0hqkljgKleXsTmAA4hiELdSFtjTNCj5I&#10;0/z4busLsWIVxmH7jx3RbNuhAAThB6A/KjvhE3VoGduvQvMngb5iLuz4MFdWIAzHntSGlZIgGOoc&#10;oz7tK7DzhbHYNpAP5VAG86bHs4L6tG6AMYZ5bPtxeZRS1taWx2eYFqL1hHOL+dA0+wpU9AU/o10r&#10;/SG/9itsF3VrXfa45f9n71+jrKrOvA/0fDv95Zw2n84YPcbppk06/XZiHxQo7DctAgUCVSoXb/Ea&#10;MSbe0iGYiDEqUICi4gWjiYkRA1EBr6AiKAIh0RiNN4yXKN5QUQERES/RGN93nvpv6imf/dQz51r7&#10;vov9f8b4jV215n2utXYtWT/nxNgkjz43AOdHjxn1o33kk/Mmachn71VdtyDXM9LQP12/bh914Rwg&#10;j64XP8tKeiirrzVBC3GQ3ZAXUpuWzwSsHCftQ5qD8AYxDUCWGzDgS73psToElJe8McEuBdqT8vf/&#10;7tw+4yKEkGbFE+Lwnrz7+yx/DB3ZsVBXMGxUh/sSvtaUKsSJAITQshJIrdClRTovPFErq4wVxPKs&#10;EKbHa9NK7WOp+bP6h/FkBQQ1T06TcaHuVD0QtyCR2fLoq4hqXmipLIXeVtdL19cPJDQvj5bckF+O&#10;e+euEiEOgp0VD3WkBERBJEeEvR8IIXsO1x3+3yPqIcR5q9A1UogbPGNtGHnRveHYny8Ps5ctCqs3&#10;XBFefRvS28zw1raugvy2ezW43eA/8vA7tkndvKUrPL1pbrjvySvCRXctCgdfuspto1y0vIKfveNW&#10;jskjqcQQKcgrm1fqkUB+fRxylgTEF09IsWKSlf10YNy2Dj0vWgLKg+6f7TuQ8NLKQaKU+iTK7UPW&#10;GHFMwqYJkJgQEJPs+REgKknE8pQKzreETdP9Rr/0vSJo8cpeN7q/3rxAsNIyYanzX4951eEJc4K+&#10;RxBo18sHsr5LstKB3M8YV0xU08Ki7Y89t7E69LUdu/elL55USUiz4wlxJf/jTI7whLgvL14333sZ&#10;SgjxoRBHCCFkT+arVy9Vz4q7wTaqey9et77nkbKuASHO9qeWQpwnyaSA9OLVkwLSjhZtLBBqtEij&#10;+6SlHA+UEyEnRUqYimH7VWr+FF55DeSmWBlPiAOx/mmBCf3LGoeg684D5liXh7Rm82h5MJZHqOTc&#10;AhknPr10jdTlza0W2eS86GMenpCmy+jjmqxrH3Wm7iXgtQ103TgPqXrsnOqyMWLnQQtxU6YO680v&#10;xzQQ17T0FgMyXGoLVNQjebO2VY2BVeVQHtutvrn95+7YCCGkGamKENc2snO+rqC/CHFaQLKSVEz4&#10;smVE6MInpCOIUVYek9XAEEjH7+gfBClpR68UBmLta2JCXKl9LGdMqf5pUQzjgmyH8QLUJ2URkLhs&#10;eRmXltrQL5kzLW557Us6yuvrAONEPUDnj4G+SmiZTbASIepP5ZF5BbFzJ6TmV8DYbCA/+oo03Tbm&#10;QrfvQSGOkNYAQhz+duu/26BtZEdX4Y96lcKT7oacPM99AVwv9u9aG9ovui8c/4vlYc6y34SbH/p5&#10;ePzFSwqrwH36+SWF1eLe/+iC8N6H3XwwJ3z06UXh83Bp4T/4Vj4xv1AGZQ+8YLVbf7loecVKPlrw&#10;0ZJIHkklRqpsHqkHSFhpSK/O5AlLgl5RSq9WBSRSQktK6stCwhOeJLy0cihHzpGopA8SXh04JmHT&#10;BLlGUtIVhDMJWcGrUlJ902kxYUqEM0TsXoJwpY9r9JhKnf96zKtETDYV9HdKqi0gfYrdS1np+l5O&#10;zZkel70f9Nyl5D0g/fHOI64LiWpdk4TUEzwn2Weneghx+J1CHCGlQSGOEELInkyzCXGnn/WT/5/t&#10;z4I7VrovPKsBxJnuZnMDicarJwtZ/QyrTEldkJ08iUb3yRN7PFAPxCct+aB+tKlX8NLgOIQsK4jh&#10;dwhDleZPAcEIfdPCF/ouK3Z5ZWRssbYgkKFOyYdPEbgsmC+0pecLP2MsELdic5YC7ev6PKEL9eo8&#10;ec5vOecWyIp1+PTSNVJ3bG7RlrSNNjFW5PX6hWsE6bYO5Ece5LdpQp5rH3XjHHnXIY57bQMtteFn&#10;jMNeL5gr77wBuWb0PYyfUUfqPGoh7sYlx/aWxapvctyCleGwwhtkNMmPn2XVOK+MRq/uhja9PFnI&#10;1qxok0IcIaQ/cdUNtxQ9R4IyhLiOLlvJNYcd6L6IryWlCnFAwopHMSEpS2SyQEISsQtimScliXil&#10;j8Xa18T6UmofS80PUv3DOBEYtyeJAS1fYfw6TffHSm2CtI+wcyqBevTxUkG9Ep5EJ+OUgIAWy4Px&#10;6uNZc57n/FshDqKlzaPb8aQ+jYiMsTknhOwZLDjsgIn4223/breCECf895w14dDL7gn/s+iWsPgP&#10;V4dX35wV/vrZxQURDnLcbmaFXR9fGP72f+aFl96YHa5evSBMmH9PGNq1Ngya0Y1Tb7mkhDi9IpIW&#10;UrIklRSpsnmkHiBhBRipGyKYPu4hYeUYiZRcU8n4Jbz6JVJtl4KeT/Q1j6QjUUkfJLw6dJ9smlBq&#10;1GK+SkkTUveSRJacKFHqmOoxrxJZfUvNgyXrXspK1+POWilQ6rIyW565E7T0aO8nWWEwJT0S0sxg&#10;JV377IQt6HseraoWrhC3ZN1C+yKUEBJnyh++kLDxs5eHEEII6a989dplRc+k4GuzrmqYEPfN7/zP&#10;MNufpfetd194EkJIXqwQ5+WpBVqIw6pu0gdsj6oFtGZC9xNyHYU4Qkh/oipC3ND2jom2kksmjHBf&#10;xNcSLf/USojTq4bFZC+NSEYIK35pSt2SFMSkqlL7WGp+EOufHm9KSNOyWUoWi/VH99me65iEVg4i&#10;7kES08dxviQkD9qN5bHnPnbuhDznXwtxngwHdB9S54MQ0jp8IcR17NR/t7Haa+GPehVD1w+wFZj3&#10;ArgRtHWtDQdfuiKcf+tNYfnDV4U/Pj8vPLrx4vDYixeFxzZeFB55YV548LlLw/1PzQ+L1v8ynLHw&#10;lvCN2dVdGU7IkldE8kBIepakgtWYsPIa0mWVMhte2bxiioQVc0pZuU3C5pVIST8og4i1AzEHq9Uh&#10;HXKMF179Eqm2S0WvmodAf3AsJg9JZPWh3DHimIRNE0qNUlfjgtQEMU1vUWrDlsnT79S9JJE1rxJZ&#10;+Sz1mFeJrL5lfadosu6lrHT9/eSla6QuhD6eZ+40cr3b1e/kOO4LfZyQ/sLg711b9NwEKMQRQggh&#10;hJB602xC3KHHnnSI7c+dDzzqvvAkhJC8NIMQB7DiGvqAFdj08WYCq9DJXGH7VQpxhJD+RM2EuDnj&#10;m1+I00KRlYViQpJe8Q2fKGdlNo3uk7c6XIw8QpSuWx8vtY+l5gex/uk+5a0DberjsXFp9Lmz51qX&#10;RxtZK6Ol0OKdrke2wcWWr1oC1GPWW+Xac581xtj8alJzoJFAm146IaS1WHDYsMk9f7uLhLihIzsW&#10;Fv6oVzGK6u9m8AmzPvFeADeK/5p1f5h05V3hBzcsDXPvWhSuXXNtuOF314Qbf39NuHbttWHu8kXh&#10;jIW3hsN/encYOfe+MLjKK8MJWfIKxCcRPURKSUkq2DYwJkjp8MrmFVMkrJhj+5lCwuaVSEk/qfHr&#10;FaRS4dUvkWq7HERe0+cFP3vbQ0qk+lDJGHFMwqYJEtWeB4iaKQlOhy2bp9+pe0kia0wSpY69HvMq&#10;kVU+6ztFk7qX8qRDbJTw0jVSF0IfzzN3Gi3hydaxkAclYlvqEtL0TFlU9NxUeHYaPraw1X01wxPi&#10;9l6ybrn3MpQQQgghhLQeX1m0quiZFOxz7ryGCXEHTTrmDNufP76wyX3hSQgheWkWIc7KZjqtWRBp&#10;b8TILxd+pxBHCOlPVEWI23/42AG2krMPbXdfxNcSLRmlBCEhtZpZSkjCqmV2u0zks6uAAWy1KWHT&#10;UuQRolJSVSl9LCd/rH+ljFfqQOjjWbIYyJLBsH2pDkh3OJYl6VkgsknoLVFlVTj0VefRK7VBlkN4&#10;K9VljTE2vxoKcYSQchAhrq29c1PR3+6aCHHF0t2QY8/71H0B3EC+MWd16Lx0ZTj+mmXh+4uWhrOX&#10;Lg7TliwOU35zcziu+9jIufe65apJHnlFCyPIE5NUIIeIdCXClV2JLCW45BVTJKyYI3WXsmWqXc1J&#10;IiX9xMag5xLiFSQZEWYECa9+iVTblYJzos+RPT8SsT5UOkYck7BpgkTW9qKlIucNgX5YcSnVtzz9&#10;Tt1LEs2wZWq58yqR1bfUPFhi91LedD1uey1bpC5ct/p4nrnT4LqREKlUJDlbNyH9icFnLv3iuayX&#10;jsLKvtUMCnGEEEIIISRFswlxow494ie2Pxs2b3dfeBJCSF6aRYgD/7jXPxT6ge1IbVqj0dulQt7D&#10;MQpxhJD+RFWEOBSwlUw9pPmFOC1N2fx5hCTIYlrqQuB3vRqYiFMIXTaLPO3nEcfy9LGc/JIHn/p4&#10;KePV7ejjecaVRwaD/IZzLKvfIfBzTPKL4W2JKiFtSx5IcPhdS3JeexTiCCENY9KwqfjbbYW4tpGd&#10;ywt/1KsYfbZl/eaP/ua9AG4kQ2auCf971v3hwAvuC6MuvjeMuWRVGDtvVRh90arCsbbudK9cNckj&#10;r2jRDVJJTFLRdcW2sYyVBXnFFAkr5uiVm1JyjF7hTIQWQSIl/cTGoPtvJTFBwqtfItV2NUidc4lY&#10;Hyodoy5v0wRZxS2P2FgKErEtLVN9y9Pv1LzmGZMWrby5S1GPeZXI6ltqHiyp74M86al7WYPvAwm7&#10;1WmeubPIXOJTfz9iq2gvPyH9gcHT+m5N1f28VvgfGaoZrhC3eB22TXVfiBJCCCGEkNYiKsQtWbeh&#10;55GyrnHAuImLdV9GHnqE+7KTEEJKoZmEuPNnjC70Y8CAL/VJazSQ9GzfKMQRQvoTVRHiELaS0ztH&#10;+S/ia0gpQhyEJRGl7JadII+QJEC80iKYXklM9ykmoXnkaT+POCak+uiRlT/WP92nrNXYpA6RyIQ8&#10;48orgwmQ0vT5zuqbRm99ipX0ZGVBfd3oPKgb7Ul45z1rjHnOP4U4QkhZ9AhxQ9s7Nui/27UQ4vpI&#10;d0ed+aH3ArjVySuvQPSQ0HKczpNVF8QRyDgIT3DRYkpMtgISVszR7ccEGt0HjMO2I5GSfmKSTpZY&#10;kyU8SaTargZaDrLnSaIcaQxkjVGXj51jnaeagpFEbH5T229mjRukrn/Mp4Q3Jsyb3FeIWB9j1GNe&#10;JbL6lpoHS+xesukQz7x0jFXmzbufBX1ubZ/ynFuLFvHyzD0h/QFPiBvaPq7w3FbNoBBHCCGEEEKy&#10;0M+LYJ+z5jRMiPvGmAn36L4cefIZ7stOQggphbsfeKRXiMPPXp5a4AlxWIVNVom7c8VJfdIbycB9&#10;/6nQrxuXHNt7jEIcIaQ/UUUhrngVmKPGjvFfxNcQLRllSVJ6dThPFMojJFm8MlqMSq1MZgUtqUuv&#10;SmbRY/DSPUodVyx/7Hgp45XANqs6rRZCHCinDNB9xZzLvEMY9PJg3CITxuaZQhwhpFFcN+m/u3r+&#10;btdciOvTxmHf+9h7AdzqlCKviEgmYSUWLVpBYIHkg+OQRCCQ6PKeAKMlEwgs6A9WmitlW1MRaBBo&#10;D+IP6gGoR0tH3opSEinpR9qwY9D9xypUskodPlFflvAkYdNQXsp6ffbA3GP8qEvOgxyX1a08gUjL&#10;gmgL84Y65NqodIy6fOwca8kJYceAtlAPynvXUQw9Nr2CIX7W1w1ClwPog4RNEzAWCZkvQZ9DBMaL&#10;PECvbCh5vLlLUY95lcjqW2oeLLF7SdBzg3ZRH/qohT59bjA+PbfIp7937OpwtrxNi4G5lJA5xbx5&#10;eQnpN/yk70ocdRPilqzb4L0IbQRfWbI2ipefEEIIIYRUH/28CBopxP3vgw55WvflxO+f5b7sJISQ&#10;/oAnxPU3KMQRQvoTnhC3//CxA3oeNfOHfendzEKczgfhzFvBK4+QZIHYZctoUSrWlkhk+piW3byx&#10;6DEgbHoMr48pYvlj82NX3outiqdXn7Pjy5LFQF4ZTKPPRd4yAlaxQ+AT5xFhhT/JI3ODwMpxOo+Q&#10;NUapw66ep8k7BxJo00sX9Mp3pc4PIaT/IEKc9zK08Ae9itFHiJt0+vvuC+AWpxR5BYKNDk9igYyS&#10;ChFcvLJW2JHAMZ1PwhNzUIcIX6mAVGPLAomU9JOSeFJtYxyQZhBe/RI2TZ+jVL80ukwsvDlA/V5o&#10;AamSMeY9xyL0ZUVMpPKw168NLV/ZsnpebJqQdS9pac0Gxo90ubbynmehHvMqkdW3rHnQpO4lELuO&#10;rXymz10sPBkO5Dm3HrZNLVkS0i9pYSHufy1dGwbdfm8Yfffd4ejVt4XTfrsknPXgjeEnf7ghTP39&#10;4nDSmlvC4d3//T1uxZ3hv5evDPvccn/fehZTmCOEEEIIqRb6eRH855TpAasK9zxS1jX2H3Xw67ov&#10;Z82Z577sJISQ/gCFOEIIqS8L7lhZ9FwLyhLi7D+qdo4Z676IryVaMoKIBKlHgOwDyUxkJgTEH2yB&#10;6dUVE74gcgHUJ7IXPvWWmVY80nIb2pe+oQ4thukySJdAP1EnjkHCEvFKhy5bah/LGVNsfoA+D+g7&#10;xi/nAXXqc2BXh7PlbZqg5wc/y3GcT9SPOvS5xc8ybylRL4aeCwkIdjqP7reEzePl9dJFREQgr5x7&#10;9EPyxObAIoF6vHRBX4tZeQkh/ZcFhx8w3/u7DXmt8Ae9imHbGDL+29wy1UGvXKVXi4qhhbfYtota&#10;7EGgfsgjaAttIGKrKSFdhCoE5B3bjvQ31j6QPmhJCCKX9MMrA/LULf3zxgAxCYKNlsYwBhxDGupF&#10;ePXH2tZSUCmiFOYAfdQCFH7GHKTONdrQZVCHnrNKxgjynGMgdelrCYH8KI805LHlUmAuUVZfF/hd&#10;xC0cB7acjMlLE+TaRsTmV8Yu7eNTX5MyL7G5S1HreZU+Z/UtzzwI0l98eukAopm+1vCzJ9rJucU4&#10;JGRMXn4B40Gkzq0H6pQotSwhzYp+bgLdz1KF/5GhmmGfz/D7lxev3eS9CK0H/7ZkTdj/jnvDhFXL&#10;wo9+f1P41VPXhNUvXhqeemNueP7NOeGPmy4ONz/703DlE9eGnzx0QzhxzS2h/a4V3eUowBFCCCGE&#10;1Iq2cZOKnksbKcTpfoAZV1zjvuwkhBBCCCHEUjUhbujIjoW6kmGjOtwX8bXEE5JiAZErJUXFhC85&#10;HgtIV7Ze/J5Vzq42BrQUZQPtyMpyCF2u1D6WMyYpg099XEj1XcKT4UCWLAZiMpg+HgtvrrPQq8sh&#10;MCc2D6Q7HV4eIWuMsXFAWvPy6DmwSFCII4Ts5oCF+LuNLVL13+16CHFtBx//V+/lLyHNjl5ZLEsw&#10;IoTUB0iDIglCavTyENLf0M9NhWenFhDiBt56Xzhm9W1h7p8WhKXPXhX+sOmS8NKW2WHHB3PCx3+7&#10;KLy1fWZ44vW5Yc3Ll4db/3JV+NmT14YzH7gpjL9nWUGk+4+bndXiCCGEEEJIRVghbuCp0xoixOFl&#10;pe4HwEtN72UnIYQQQgghliquENc5X1fSCCEuJUNhVTDIW1itLLYqnEbkIC0gAYhRqMNKZPhdr97l&#10;ARFLl0OfIIXFVhEDKAOxSgI/i9AlAhbq0WVK7WM5Y4rNjwbnA+l6RTj8jGMpgUtWY7Pj0mj5zJ5P&#10;zI/XLuY6z7mPoecnJozpc5W6HvKMESv22XOv5y01Bxq0gUj1B6A9BPKnzg8hpL9TTyGuuA0KcaS/&#10;IiteYXU+L50QUn+0qMrtUsmewtAxxS8e8e8sPY9VVYtmE+IOXL4iXPKnBeHx1y8Or2/tCq918+Y7&#10;XWHruzPDth1d4a1tM7uPzQqvbJkdXu7mz5vnhrs2zg/zHl0QvrPulvDfy1a59RJCCCGEkPIZPOGY&#10;oufSRglxg4ePHaH7AZbet9592UkIIYQQQoilmlumdtmKrjnsQOdFPCGEEEIayPLdf7eNrNbeuanw&#10;B72KYVePbRt31N+8l7+ENDMi3WAlqlK3ByWE1A7Z7pXbpZI9CSvE4Vmq57GqauEKcUvW7vRehNaS&#10;f795bWi7/d5wwv23hFufuyrs2DU7/J9wWdj54QVh245ZYcv2meHtd2aGre92hXfemxXe+2BO+Otn&#10;F3d/XhD+vPmCQpnpD90QDrrrLrd+QlqdOzft3pL8r59/7qZXC9SPQHteOiGEkP6JFeL2PWlKQ4S4&#10;tvbOybofYM0Tz7kvOwkhhBBCCLFUT4hzHkwvmTDCexFPCCGEkMZREOL6yGp1EOKGjp7wuffyl5Bm&#10;ZuuuTwsv+bgCFSHNw8kLnijclwhul0r2JNo6i1884n9g6HmsqlpYIQ6rBDdCiPuvZSvD8fffEi7+&#10;03Xhty9fVlgNDlukbt85O2zZ3lWQ4QB+hhSH47s+vrAgyz2z+YJw5/NXhtkP/zqMvbu2QtyBdz1U&#10;EH02ffBxr/iDwM84hjTk8coS0kjWvrm952oNbnq1kEB7XjohhJD+yeAjJ6vnxcYJcUPbx03V/QB/&#10;fGGT+7KTEEIIIYQQS9WEuKHtHRNtRRTiCCGEkCbjsGGFf7yqhxCHbb6K2jhowt+9l7+ENCvn3PJs&#10;4QUfhRtCmouVT+1e9QZBWZXsSbSNL37xWBshru+2+d5L0Foz5u47wwUP/zrc9cL88NQbc8Ob22aG&#10;d9+fXZDf3npnZh8gxkGKQ75n37wg3P/SZeGyx64LB69Y7tZfDSC7aQkuFshz9TOb3DoIaRQU4ggh&#10;hFSCK8QtWVf1Z9Os8Ham8l50EkIIIYQQ4lE1Ic7by3/OeApxhBBCSFNBIY4QQkg/R7ZLxQqOXjoh&#10;/ZW+QlxH1VfhaBYh7qh7bw+3PHtVePHt2eGtbbulN8hwWBVutwC3+3d8yu9YHQ4/v7p1dtjwxtyw&#10;6Omfh8PvvcOtv1Ie2vpe4XtGYsP2XeGGjZvD7Mc3FpBV43Qg3aurmXl+5+7vU4zPSyf9FwpxhBBC&#10;KsEKcfsdd0qDhLjiZ9fOoye7LzoJIYQQQgjxqJoQh0K2oqmHtPsv4wkhhBDSGA4btgF/t/tsZ9re&#10;sbPwB72K4f1fnN7LX0JI/6Jj3srwrV8u69dgDN7YCCGkkbRNPKXouWlPFuJOWHNbWPfypeHDT+aG&#10;D7qRLVJFiLPI9qn4GaLcG9tmhbs3/jQcc//tbv2VgNXeJLD625Q/POvmA5DgJJD36DVPuPmaFZH6&#10;8Omlk/4LhThCCCGVAAFOPzPi9+7jC3seKesWdrv/I08+w33RSQghhBBCiIcnxLUN79y353Ezfwwc&#10;PmEvWxGFOEIIIaS5WHD4AYWV4OzqbXUT4n6yyn0BTAjpP0xbsqRIXOiPXLbiendshBDSSKwQB1mt&#10;57GqamGFOKwSbF+A1oOjV98e7vjLT8OmLbPD1u1YGW5GYQW4guy2dVbY+Oac8OfNF4bnuz/x++7V&#10;4nYLcTs/vCC898GcsOaly8O31tzm1l8JOz/9rEfxCUkZTtDiUX9baY1C3J4LhThCCCGV0DRCXPez&#10;qu7HWXPmuS86CSGEEEII8aiaEIewFZ3eOcp9GU8IIYSQxrDg8AMK4ls9hLih7eOmFrdBIY6QPQEK&#10;cYQQUhvajphS9NxUCyGu77b5B79uX4DWg4PvuTNc/viCsO7ly8Nf3rygILrt2DUnbN85K2za0hUe&#10;ff3i8NuXLwuPvnZR2LR1Vq8sh3y7/nphN3PDb1+5LJy45ha3/nLRq8Nh21QvjwdWh0Pg00tvVijE&#10;7blQiCOEEFIJ+55U/FyKLVS/vHjd/J5HyrqF7gOYccU17otOQgghhBBCPJbet77oeRKULcQdMGrc&#10;/9EVHTV2jPsynhBCCCGNoZ5CXFt75+TiNjrD4DOXui+ACSH9BwpxhBBSG6wQhxUxeh6rqhbNIsSN&#10;XH5P+OEDN4Vf//nn4eHXLwlbtkN0u6AgxL2+rSs89caF4Y+vXhKe2jw3vL61qyDEbduxW4jb8f7s&#10;Qv5VG68Ix99/q1t/uUCCk8izOpyAleEkZj++sSjt+Z0fFo7fuWlL4XekyzEEVqSDTHTgXQ8VlbNg&#10;O1a0o1eww884VspWrRhXVngr3aF/6OeWjz/tybVbAMRY7Jg12FYW9elyiKy+Y74QqB+/o9/IL/Kh&#10;lNfzFptbSc8D6kSk5EZpA2Py0oHU48mG6DPGJ0KiBOpLXQty7qRv+F3qwDE9VvwsIccE1K/btucA&#10;fdPnK3WuJKRtnG9dFj/jmC1nQd24/3RZBPqZKi/nwt5fcp3gM9Z3QgghcfoIcROOqbsQt//wsQN0&#10;H8DFv1zovugkhBBCCCHEo6pC3NiDxv5NV0QhjhBCCGk+8De7rxDXWThezRja3jHRtkEhjpD+D4U4&#10;QgipDW1HTyt6bqqTELfLewlaa9ruuDccde/tYebDC8PqFy8vCG4ffjq3IL5t3tYVXtsyK7y6ZXZ4&#10;bdvs8Oa2mYXtUpEGIe617vSn37gw3Pj0z8IR997h1l8uWhLy0mOIvIWw8o7UCWFIJCkvIALFRCjU&#10;mRV5pCNQjhCHMiIYxcKWAXpeYoF6Ub8tK0KXCFGxkHnTMqMNr28xdFue6Ie2dMREK5kvu9JgnrmM&#10;zQn6I+HVg7mSvCkhTl+H9rqxQpoOiHE6L5DAOLWMaCN1DvJc37H7Q99fqWsgNqeEEEJ8Bp5a/Fza&#10;CCEOLyp1HwC2vPJedBJCCCGEEOJRVSFu/Jgxf9cVTRhDIY4QQghpNvA3u21kR5f+mw0Kf8yrGJ4Q&#10;N2jKIvcFMCGk/0AhjhBCaoMV4mqygq/5nyIaJcTtc8vqcOCdK8LktbeGa578ZXho0yXh5S2zCvLb&#10;u+/P7tk+dXZ4573dK8Ph8/2PLihsm7rhjQvD7X/5aZj58KIw5u673PrLRUKLRXnQopKslCWIsCPy&#10;Ej6RB2UgAmkByZYFehtXSEVa6sHPUj+i1FWwpGxqvKhT+o586I9O0xKSlavwOyQq5NFyGcQmLWxB&#10;pNLlgKRr6UvqsfOGNhB2bnVZ3X4KjEkC7dl0fT4QsjJZLI+dL90nnE+ko2/41KIa8tnziXwSUg/K&#10;yHh1X/T86jp0G/Z8aYFR14V+oD7Muc4PbOBcoF70CXVknQM9V8gr51jGpK9vr31Jl3Z0HahbS3qe&#10;0EcIIcTnP6dMV8+k3c+M4yaFf128pqvnkbIuMXj42BG6DwAvNL0XnYQQQgghhHhUVYg7YsyYz3RF&#10;o0Z3uC/iCSGEENI4Fk4Yvlc9hDjvH64oxBHS/6EQRwghtWHI8cUvHvdkIe4rS9aGry29P/z38lXh&#10;mPtuK8htdzz/07Bpy6zw2f+dFz75/JKCALfzw918+MncEMLl4YO/XhjuffGK8KMHbgpjV9wV9r11&#10;tVt/uUikBDEPyDcSEId0mhV6rOQEOUxkHk/4EdnLk7MAykseyE5enhjSt9R4RaDy+iaIdFSqcKTl&#10;LJumhS7Mj5WptLiGQB67Apg+L7H588BYEd54dJ8R3rxIHvTJO46wMpqgpTTk12l6PIhYHcAT4rLa&#10;z3M9WHSgfruKW9Y5kGvXO3+Cltpsv+395a0ilypPCCHExxPi9l6ydmrPI2Vdoq29c7LuA/jjC5vc&#10;F52EEEIIIYR4VFWIO27s6KItU4eNohBHCCGENBsxIW7g8Al79fxJr0p4WxsMPvUq9wUwIaT/QCGO&#10;EEJqQysJcb0sXRcG3np/GLfirtD18MLwh1cv6f2ufm1rVzezCtunvt79M1aKe+HNOeHnT14bxqy4&#10;u1DWrbMCJEoRgkAeIQ7ijyfrAC0q6eO6XivSaSAaIVLSmkceAUoiJRLpVb5iY/TwpC0vLSZKaRkq&#10;lkeEq1LOqZbSbL1Sn5as7LmRPFpow7xIZPVFhDwr1OnrwcpyFju3WTKczpO6Vi0SmA8vHcTOgb5u&#10;7H2j0XNn25FrINVnLU9mzRshhJDd7HPWHPVMupu9b1o7ueeRsi4xtH3cVNsHCnGEEEIIIaQUqirE&#10;ndxxUFFFzSDELTzywPCb44eHxaccFG7/YWe4a/r4sOKCw8K9Fx4RVsyaGJb9+JBw+w86wtLTx4Sb&#10;vj0qLDp2uFsPIYQQsqewcMLwAd4/KlVbiNt/+NjudorboBBHSP+HQhwhhNSGvkJc9Vfw9f6nCO8l&#10;aL0ZeNt94cj77ghzH7k+LHnm6rBi4xXh/hcvC2tfvDzc2/3z7c/9NCx46ppw4R+vD8euvj3se1t1&#10;V4YTJEqRp0AeIS5VZ0wM08fzhi6fRVbf9LjyBsp4dXnExp2VJuTJk2f+LVqg0quaQY6T0Hm0YKbz&#10;QPiS43ous1Yp0+PSQp6uI2uedR0iTCJSbev6IZghb5YYJ4H2vHQQOwe6jynhE0gdVhLMe35RLk8+&#10;Qgghu/GEuK/8/I4zeh4p6xL2f+QA3ktOQgghhBBCYnhCHHY463nkLC1O7xzVpzLvRXzdOHJYuOHE&#10;keG2H4wL9158ePjDkpPChrVnhOef/GF48elp4bk/TQ2PrjglPLDwW+H++UeFu6ePD0tPG9O3niPM&#10;74QQQkg/5ldHfmPfeghxqM+2MeTkee4LYEJI/8ET4u5ccRKkjfCPe/1Dn7RG8tzGs3v79fBjU3qP&#10;U4gjhDQjQ07s++Kx8FBVxfCEuK8sWuW+CK03g2+/Lxy6cnn4zrql4fw/LAqXPnpduOKxXxUkOWyR&#10;etiq5WH/O1aFry1dE/5t6Vq3jkqRlbkQXnoMLfZYUSmPsKPLx47niWqvEKcFqTwB6cgTmyBWYWUv&#10;Pb82bJnYnGjy5Mkz/x7SVz2nsnKc1CV59KplIp9ZcQtzIFGKzKbz6vNRSh0yBwgt6XmgnyKPSWBV&#10;tVh7EmjPSwexc6BXrdPHPfQYvOO2bkvefIQQQnazz7nzip4XC8+MP7v5uJ5HyrpE28jO5br9zqMn&#10;uy85CSGEEEIIiXHnA48WPdOCsoW4qYe096nsmsMOdF/G1wOs9rZs2sFhzdXHhEfv/G74y2Nnhk2v&#10;/iRs3zkrfPTp3PDWthnhpWenhWcenBIeX3VqePCGE8O9lxwebv3+uHDD8SPDr49sXN8JIYSQWtFQ&#10;Ie7EOe4LYEJI/8ET4sZP/HpBPDtx8pA+aQP3/adCWhZaWLP84trDC21AbJP8qPeSSw8pSG9eGcHr&#10;G4U4Qkgz4glx1X4+854Bm0WIg+S23+33heF33hPGr1oWjrnvtnDc/beHo+67I4xbcXcYdNt9brlq&#10;ktoGM0WqXB4RJyZ25RG+KiGrb6UIWB5YXSwlwemwZfOMPU+ePPPvobdNlXMqdYn8pfPISmoyXrs1&#10;p85bisym85ZyPnQd6JtsWwrZLba9rID86K+UkdCr5QkSMicesXOg7xt93EPqQHjHbd2WvPkIIYTs&#10;5muzrip6XgRfu+CXp/Q8UtYlrBB35MlnuC85CSGEEEIIiVE1IW7hhOF7nX1oXyHuykmNk8puOnlU&#10;+O0vjwsvPHZmeG3TueGNzeeHN7dMD9t2dIV3d80Ob2/v6j52Xnjt1XPDay//JLz4zFlhw5ozwu8X&#10;nBBWdE0KS7472q2XEEII6c9cd/h/j2hr75xs/2Zji9OeP+tVC9sGhThC+j9WiIPI1n27F1i7/rSi&#10;NCBpWXhlcWzAgC+5+QWIcSkp7sYlx/bmlXwU4gghzQhW0rXPTq0kxH158drwb0vWhn9fuib8xy33&#10;h69183V83tr9+833h692p7nlqoiWllKCjwbykKyopVcTE/KIOFpeih3PkpjKIatvWsDC3Hh5Ukj9&#10;CIzFjiE27qw0IU+ePPPvobc+xdhxniVkHDoPVlaDOCdhV2LTc4m8Os2ixyWiHShXiMPvuq+4TnW9&#10;KdCOlhrtuCTQnj6uiZ0D3ccsAVXqsPdY3vMr92hWPkIIIbv5j4uuLXpeBF//4QXf6XmkrEu0tXdu&#10;0u2f+P2z3JechBBCCCGExKiqEDd9/Mg+lV0yYYT7Mr6W/PrIYeE3x40Iy358cHj8nlPD1u0zw+fh&#10;0rDzwwvC1ne7wpbu3/EibMv2rrBtx6zw7vuzw0efXhR27JodXt14TkGKW//LY8OtU8a59RNCSB5+&#10;e8XMwj+4IvCzl6fa7Hjt5UJ7+CwljbQWCw47YGL9hLiOnbqNIcdPd18AE0JK55PPdr/Yu/mRzW56&#10;rbBC3JSpw3rFNH1cQBrAam7YWjWGV1ZWd8PKcGhH8p4/Y3TRanHI55UXJC/6gN8pxBFCmpF6CHHe&#10;M+BXr13mvghtRbTQBIEmjzQkW2QiPNEpj7ATE7sgH0lkSVTlkNU3LYHZFc/yIOGtLAZi485KE/Lk&#10;yTP/MWSFNEhYci5wXXh5MD9aqNR5gL62suZS6sSnPl6JEAdwDUnobV6zwHUgQhnq1WkS9rgmdg50&#10;f1LXd2rupG5PRhW0DBi7FgkhhBTjCXH/v+NPO7rnkbIuYYW4GVdc477kJIQQQlqFDZu3h6X3rQ8X&#10;/3Jh4e+i5qw583o5/ZyuXiCUe2Dl1Rgohzr/+MImtx+lgn5fdcMthbpHHnpEH7AterWodt8BhCrU&#10;qecV6Dm3yHnxwPnzWHDHyqr2G2Du0X9cN3lB/mr3o5F4QtzQ9o6JPY+c+QNC3JzxI/pUhmPey/ha&#10;cuOJ7WH5jw8trA733B9/UJDePv38krBj15yoEPfhJ3MLn5te/kl4+vdTwu9//a1w25mdbv2Vcs/5&#10;3wtvPf14+Ojdd3r+OSaEv3/6SUFSefj6n7plPDbctqhQBmUlPv1gV8n1kGwwnzLPmHcvTzOB6wuB&#10;6+GW045085Dag+tGol735K63d/+DMj5LSRNZDt9LNo3seTRSiGs7epr7ApgQUjoSv3t+u5teK6wQ&#10;Jyu4QVLTxwWkgZj0lgISHPBWgMPqcVI3SG25iu1SkUekPQpxhJBmpD4rxHVMtG189eql7ovQVkUL&#10;blkraWnpKCbk5BGyYmKXFpEgR+UR9Eohj0wkeRCyMlpeJGKyVGrLzNicaPLkyTP/MfS1IH21Qpbk&#10;wXnCPCJispmey5jQllqlsFIhDqD/ErHz4iGSni0jkaordg709Y3P2PWtrxM7bj2nsftV5yn1GiaE&#10;kFbl3y9bVPS8COotxNn28QLZe8lJCCGElMOaJ54rYGUhSEmQtwSISiIyiewkQpSVy0TKEtELeVCf&#10;136poK+o2/59rDWYH68/pYB58OquJZh/zJnXn1LA+fbqryW45ry+lAquWcyD10YecE1X4/w3GlwH&#10;fcdXnhA3AKvB2cqwapz3Mr6W3PK9sWHdNceGJ1efFl567uzw5pYZvTLc29tm9AFi3Padsws/b3rp&#10;nPDcI1PCQzdNDrf/6GC3/koQUSkVz626wy0rQHASsSUWnvBCyuf1R//QM7Oh8LOXp5nQ1wflyMbR&#10;n4Q4HTaN7HksOGzYZE+IaxveuW/Pn/WqRfdDxYaiNo6Y4r4AJoSUjkQjhTgtpXlbngJJL0eIy2LE&#10;yC/nql9vmwpxjkIcIaQZoRDXHECoEbEJAVEH0hNWCIOMAyD/iCCEQJ6YaBOTgTQxecmmoV/oh5Z+&#10;0B/0D/3JkqQsVo5CeazUpbdHxTEJjBPpentLjBv50TcrRckcoZzeahM/a0kJocuB1JwIefLkmf8Y&#10;emUxCbuSmZ4fidhqZzYv5l+uK5TRc+LJXbo8ftZpltTc6OtbnxecL/RJ141zra8T266EPfea1DnQ&#10;/ZR7DW0AXFf6PkM/bHk9ZwjUgXIob68zr31CCCE+eD60z4yDxh91XM8jZc0D/9Oubb9aQgEhhJDG&#10;g1WrAFahAlpO04IavvurLeRAcqtEEiqHakjdkJO8umsN5srrT158Gak+QGbz+pQXXINevfUAbXt9&#10;ygvuHa/ecujvq8VVVYi7ctKBfSo7+9B292V8LbnjrEPCo3efEl558cfhzbenh7ffmR627ehZGa4g&#10;wM0MW9/FCnFf/I6V4vDzG2+eH175y7Tw2IpTw53njXfrLxesDCcBIQXiGyQZWelNB/J6dUCG0yvL&#10;QbDTWzHi55d/v7pfSFv9CZynZlkhTvqREie5Qlxz0J+EOK4Q12JMGjaVQhwh/R+JRgpxWBWu+1Yv&#10;bEmqBTQN0kEthDhpP6t+rDAn+bBtKoU4Qkgz4glx1V7B1xPisAKI9yK0lYGIpFelSgUkGy2IWUTI&#10;Sck4WWKXXqksFVZWygL5vbArnEHWgmiUFVaKgpCUCi1a6XIga05Anjx55j+FFrIQ3gpkdm68PALm&#10;Mis8GQ7o85V1rlNzg7qlz/gUmTMrPCFNwp57TdY50NdBLLy2ga47VU9sTgkhhPhgS337zIh/S+x5&#10;pKx5DB4+doRtv9IXw/UEkofIHUCEDxFAvDKEENLfgKiGlaz0qmnelpx21TT7/Z4HlK+GGAcZzqu/&#10;HlQiFeFvh1dnPcA59PqUl0ZKZbgmvT7lBde3V289qHSVuGquyof7xmujv+AJcWU910KIu+awvkLc&#10;1EPqL8TdPX18YavUnR9eED7464UF0a33hVjh590S3Be/Q5DbvXocVot7863p4ekHvh9WdE1y6y8X&#10;SG4QlGJijJbiYkKbXmEuayU5smciQemx+elPQhxpMeooxLWN7Fhf1MbEU9wXwK3OwZc/VJCatu76&#10;YrUGL97/+DO3/M2PbA4vbv0wfPLZFy/jkPfpN3aFkxc80Se/5EMZm6ZBnxDIb9O8PiMf6py3cmOf&#10;/OCcW3avsiH14ffX3939EgvHtNi18qnd20VJHzEOjEf6js/Y+IAtj7Z0eZkfjEPKoN/IL4E8eWQz&#10;KSd1IzAvKKvr10g76Cd+j7Vty8u4UoHrQZexY0dg3m2+vGghTlZow6ccsyAd1EKIGz/x67nrx3ap&#10;yIcyFOIIIc3I4FOvKno2A9UW4ryXixTi4kA6gmSjV9RC4HcczyOgiVgX20YTyDaZkJO8dCB9sYIW&#10;RCBZVcsrlwWkNT0+/OzVBekP7cTmIrUqGsaupTH8Lm3guDfuPHOSJ0+e+U+hxbKY0IV5kcjTjqy6&#10;pucSY0D9sXkEesW62IqEQtbcoDzSEOgLjsk1ZvuFMemV5DRSB9rz0kGecyDXib6+8TOOedejoIU4&#10;/I750/3HzziHlOEIIaQ0vrJoVdHz4m7GTe15pKx5eP9uWe0VgmoBXriWuoKPCCKQPfDyupqrsECg&#10;wLzJtn9YLcYDsoIHysbQwl+tJD/UKzJhrfDarQbsexqv3UpBv3E9yjXqXdMW737w0PdQtfuPvkJ8&#10;wf2v0WKZFcw0Iptp4Uyw3zXV+o7BXKMuXX+9qLT/mCev3nrQX/teje07ca16ddca3LNef/KC7xSv&#10;3nqA7yivT3nBqoReveVQaV8aDe49O6ayhLhfHfmNfZtFiFt+7qHhz7/9Xnhr64yw/f1ZhRdgEN4A&#10;tk99441zw6ZXfxJef/3cQh5IcABC3I4PLgg7ds0Ozz/2w7DygsPd+muFlmc8YQUrfUls2/hsn3TS&#10;GkhQiGt+KMSRZuW6Sf/d1TAhbvxk9wVwKwPhKUuEk7BCXN6yVnyCHCURE7aACFQilQkQrLRc5QXa&#10;0GUApC8Jrw5IWpIXMpgcQ/9jgTpQl26nlPKYP8zBn16Jr7zijUXQc+lFrH8iAqKfqTqkf1KuVCHu&#10;uvXplVnKkeK0ENd9mxfASm1yzCJ5aiHEDRjwpd76sQqcl0cQeQ5lKMQRQpqReghxeN6zbfzHRde6&#10;L0IJIaTZsUIcIYSQ6tCMQly1JZRqA0GkWrICBBmvjVLAy+t6yhOQHar1whwCAuQfK/TUCqxsVa3r&#10;C+cOc1GvvkN4wLXn9aVUIL3UU1qpxhaSAOeu3nJWpdswCtUUVvKCa7PS6x1yoFd3PahUcMJ3i1dv&#10;ranG9Y7zVs/vdVwrONdeX8oB9029vhvxXVbptSLge73e816N6wV/G6rxnY7zVq2/M40C944dV9lC&#10;HF6y28pO7xzlvoyvJbed2REeWvrt8MKTPwyvbTo3vLVtRnh315ywfefs8ObbM8Irz/84PP/Ej8JL&#10;z50d3nzr/MJ2qbJC3PsfXRA+/GRueOGps8KquYe59dcKLbxhtTibjq1QJWJbqpI9HwkKcc0PhTjS&#10;rNRTiBs6smNhURudx7gvgFsZkaEgTmk5CfKYyG741GUELcOJ+IVyAIKXFs4gRkk5LUnFhCidR5fF&#10;imxSL9q0aVoss3VrIU7qwPhxHHlltTQgQpseg+RFm3o1NfRDtxMrj75JW3ruIBoikBflJI8ui2O2&#10;DRmrlNOr1aGPUq8VGYEIcdKGbVv3D8dteSARSwdSP+qz/ZNrRufPgwhxa9ef1iujYRtSK6AJkscC&#10;Me3EyUPKFuVQTuqC7Obl0ejtVSnEEUKakXoIcajPtvG1WVe5L0IJIaTZoRBHCCG1wRPi2kZ2dPU8&#10;UtY8IN/Z9qslLNUKyGC2z+UCucdrIy+Yq3pJB5ZKZb5G9R1tVvrCH/KFV3etgfDg9acUGiFmgWqI&#10;ZY0SnCrteyNXnqp0xa9GXS+g0u+Yes877k9IZdUUivD3Bt83snIhwO8a5BEwZx6YCw98D9dagEL9&#10;FrRbDVCX12alYG70vAI77xZ9jiy4Dy04jna89ssF/UDdeLYoBdznuE68OvsbuCb63p9l/I8ezSTE&#10;LT19TFhz1dHhiVWnhpeenRawRSq2T92+c1aPEHd2eOHJH4VXlBC3bUfPCnEQ596fHZ5/9Mywck59&#10;hbgNty0q/CMOAvKbTZctVT96950+adUEYh7aF3lGAu1CwkK6V+63V8ws5Pv7p5/0/i514JgVuCAI&#10;YUxIS4XeGhZlsG2s7RvqQF0x6cj2DWNAf7CFrUSe8gj8bNNRH/ql60vNF8aEVf6QRwfK47gVHrUM&#10;WUrIeD3QBvps+4C5TW3HK30RaRP1oM9yHvHpjUGDOdRlEFntesi1ir7ouUdkXa8og5B7Ta5HCdSX&#10;Ki/Y61iPH2kSsWvLo5Jxyb2Bz1LSZOz4tGkYC9pEOX3OEDiWOm+SX+4b5NXXHH7Oc96RR/qPiN0r&#10;GntuEFnzB/BdLPOBQHn8Xso5bHYWHH7A/EYJcUPHTHJfALcyEp7UBIFJQotnACKTBEQxnSZgZTIJ&#10;K2WJrBWT7bSo5x2PlQMiq9k2IXvpSMlYmA8J9MET0kQqQ9iV7rLK67lFII9dyU33F/KbTkudG0HP&#10;vx2r7ruV1QDGo2U2nSZIxIQ43X9v/spFhDgtpKWktn/c6x9688WAGOeVTSHbtYI8Uh2kPcn/vUvO&#10;ccdGCCGNpB5C3MDhE/aybexz7jz3RSghhDQ7FOIIIaR22GfGegpxaMu2773gbCbwEt72uVwqFZzw&#10;kt6rtx5UKgnhpb1Xbz2AiOD1KS8QCLx66wGuP69PeWnUVowQEb3+5AXiiFdvPejP92mlq081ou/V&#10;WjUL4H5BXbINLT6BiED4HgPIA0RUEiAYiRBl5TItZdVKzCKElEbVhLjrDv/vEXjJPmxUR1FlJ3cc&#10;5L6MryU3ntQe7po+Ifz+1yeEvzzyg7Bl+8zw8d/mhnd2zg5vbZ0ZNr95fnjttXPDG5vPL2yhiu1S&#10;IcVBiHur+/fXu9OeWndGuHvGRLf+WgA5QyQRyBee5CFSByQQm1YtIK1oecQLpHtSmJZ/vHq0hAO5&#10;JW+ILIM684Qn12T1TUdWeSvF4Fyl6rPnK4/cZuc4T5lY6LaFPPOP69GThiATIUSEikXsOtHipxfe&#10;/MfQ0lIsYuMQuQrjwTmKRaw8yBo/hEOJUmSqaoxL32+VpqWub4nY95IEzrt8x3kRK48xSt+8iF1n&#10;qXOKiJXT58yLlIDXn6inENc2snN+UTsU4vogEROWJKz0BEkKAWkqte2pXrFNC1/6uJWxgMhYVgST&#10;SMlsEMQkdN+0oBWT+AQttHlbjgItBdr5y1NeS2mxPCIOIq8+LvV7q79p5DzZeZS2UT52/kQ+RHjp&#10;EjEhTkt7evW9ShEhTgtmKSHt4cemFFaTs8d+ce3hRVueTpk6rChPCt123nJa4KMQRwhpRjwhrtrP&#10;ZxTiCCF7EhTiCCGkdrSNm1T0zIh/4+t5pKx52P/BdljHpM+8F5zNBsQJ3e9yqVTM8l/81odKhZVG&#10;CnGQW7w+5QUCjVdvPWhVIa6R13ql8mej+o45r8YKVJV+36EfAq4/iGmCldPwvVDtVbMIIa1DzYW4&#10;E8bVX4j7zbHDw61njAurLjwsPHrndwsrwr215fyC8Abx7Z33sCLcrLB1R1dBhsN2qVgZ7u3tM8Nr&#10;L58Tnnv4B+Ghm04Mt//oELf+amNFkZgQJAGBB3INhA+9ehQEDxwrRbzRWLELdaFvqA+fWjBBPiuG&#10;IJ+E1CP9wZhkJS6Uk4D4I/VAfBHZCoE2df3SP+mXloFQv7SJT10OeH2DZCPj0xIM0q1opMvjZ50m&#10;8hLK6TTINugr0PnRV5w3tKnz2/GjXl1OkEBeLx3oemwaxiyBPks/APqm5SNcl7a81C3ziJDzjLq1&#10;zJWSq1C3voZQFvlj178H2kU9uLa03IR6dT/k2tPIOKU/+MTYZB70PenNNdqT0GXtHEggzdYRoxrj&#10;8ua+3DRcr2gX86LPGcak58kTzCRknlEX6kFZ9F+OI7w5steTlMWnfP8hjy4j97OcF3udSTl86nL6&#10;nOIcyPcAPqU9XVf/5oCF9RPi+v4fnd4L4FZGwhPMUquQSWSJZVpC01JUSpbSopkWxXRdeUOLarq8&#10;FdgsWmjz0kGqvjzl8+QRcc0KcVqmyxOx8va4Jqt/EjEhDuh+4lqJiX+lIEKc3oI0zwptHs9tPLto&#10;BTn87uXT6K1aB+77T7nKAApxhJBmZ/D3ri16ZgI1WcHXtLHPWXPcl6CEENLsUIgjhJDaYYU4SGo9&#10;j5M1j7aRnct126MPO+Zj7wVnMwKpCgKHrDwE0UMQ+UOPTcBxlKlUhhNQj9dOLcEYKxWz8NIa8+bV&#10;X0vQJtr2+pSXRq1WVqmECLDClVd3rcFKW15/SgF1eHXXEtyrlV4vAPOO+8Zro9qgHQhmld6jFnzn&#10;4Rxw1TRCSDNjvxPLWvlYhLhRo4uFuKPGjnFexNeWXx85LPzmuBHh5tPHhFUXTgp/uGlyeObB7xdW&#10;hvv080vCJ3+/OLz/0YWFbVTf6+aDv14Y/m+4LHz46dzwwhM/DOuvPyEsP3d8uOnbtdnuFaKFFxBL&#10;PKFEkNACSSwgb3h1pND9ipWHwCKB/DoNkoqOWB1aqLLiGZB+YD5sWgq0J2HFGts3TySSfiEgzeg0&#10;Xd7WLeFJU+Wgz4OXLpFqT4/FpokMhPmPXW9aQrLnUdeNOux8AJGrEPocp+axFshYUwIYAteaFZ3Q&#10;b7nXvGtRz5E3FlxD+l6t5njzjKuaaSkwbxLeNakD17a95/U1AZEtlmalNwF16j7r/tj7WNDim76+&#10;U/fNHsjyhgpxP1nlvgRuVWQVMKzIpqU4CF6xVeC0zJaSoYCWxmxeqd+uciZbntqtOnVdeQL91qvP&#10;pQQ2Sx5ZLVVfnvJ58sTENS2a5YnYCnG2Xk1W/yTsedXgurF9xfmGBJlaWTBFNYU4gBXe8tYDGU4E&#10;OnxipTkvnweFOEJIs1M/Ia5jp27jP6dMd1+CEkJIs/P8zt3/3YJPL50QQkj5DD6yWNKApNbzOFnz&#10;sELcwUefuMN7ubknADlERBEvvRIgokBSwepKkKYAZD0PWY3JAvHHQ1ZyAsgHAa+aY0B9aEdkwlqB&#10;NqrZd8w55rkefa/2vKPvqNNrq5rINYP2vH6UA+rCdS7XJ+rPwrsPLHLfCGgDole171d8B4hMZqUy&#10;DcZpEdlMC2eC1xYhhLQi+rkSlCXELTjsgIl4yd45ZmxRZY0Q4gSIcTdNbg/Lzjo4PLDwhPDSM2eF&#10;9z6Ys3s1uG0zdvPO7i1TP/xkbnhr64zwxMrTwrKzDw2LvjncrbMaaOHJBkSXmMShA3II8olcgk+I&#10;HVrAKWUlI5SXyBJiZEUotKWPa3kFY9RpGpFOYu2UK6Xo9q18pNM8GQ6kxJ5U3SInxYSdUskav4Tt&#10;oyZWB64ZiVR5fT3Ycem6Y0JdTE7Ucxw7D9UkJXlJGs6flbSElJwokTrver7tdVMJecZVzbQsJLxr&#10;SiI1TzHBT6/cmPo+02lyfaJOncci32NawtPXbUpO3kOomxCHZWdtOxTiitHbi8bCrh6HVb4kUjIU&#10;0NKYzQspSkJWDoMkJWFXjitFaPMopXweWS1VX57yefLExLU8QluKPOWz+idhz6sH5kdvwYqAGFfO&#10;inHVFuJuXHJsbz2o08sDsBIcVoRDPshwdhvWLCjEEUKanUYJcQNPnea+BCWEEEIIIa1LY4W4jvW6&#10;7UnfOmWL93KTEEIIIYSQLOwKvd3PtfN7HjvzRzMKccKNJ4wMd8+YGP5487fDMw9OCX95fGrY+OQP&#10;w4tP/aiwItyzf/xBeGr998Ijd3wn3HfJkeGmk2qzMlwMiBeQOLTMZldKAhJemqCFjpTwZNHCl14x&#10;ySMmRKWkMU2WsCISUqkrxKXaz9s3CTt3qfJ6PiD0xITGvOj6vHQJ20dNrA59PEuYFEHKio9Z/QOp&#10;+ZJ6ETjXtRSPpC0rWmWlCbGx6vGlxL7UPFRCueMqNy0LCe+alPDShFjbcryU7wIpkzd0mxAj5XsY&#10;n+hz1n3Sj6nfCnFOO4OnLXNfArcqkJIQkJpEkkLgOAQmvcKaRqKULVPttqtafpMVzPR2qXYFMV2X&#10;leXykBLYLHlktVR9ecrnyRMT1+Q4VsHTx/MSq1eT1T8J5PPSPXBOdb12FcA8VFuIu+TSQzLr0TIc&#10;KFWGAxTiCCHNTh2FuA26jX1PmuK+BCWEEEIIIa3LfsedUvxcOrJjfc/jZM2jrb1zk2772NOmvu69&#10;3CSEEEIIISSLPV6IW3D4geGmb48Oy39yaFh92VHhgYXfCg/fenJBgPvj0m+H3/3q+HDP7Enhlu+N&#10;DTd8a2T49ZEHuvXUGi1jIKwoJJESS4BEKSuWxVb08tCSkM6bV/7Rq4ShjyKcYPy67tg4UTdEqpT4&#10;YtvP2zcJ23ZWeb2SFQLnEcdSMg3mHOOXlaq88MpJpK4DPY/6eGrFM4ueX308VrcmNV84z/bcQY6E&#10;WBZbqS0FyqAs6pSVxmxo6UmQPnhpQmysWdeDkDefRy3GVW4awLWMaxrp+ntKh3dNSqSu11jbMu5Y&#10;nzykrrxhBWN879r5Rp1ZonC/47Bh6+u3QlzHRNvO4DOXui+BWxFZHa4cKUlEOnx66YJeFcyT62R7&#10;VKlHfsenzasFuiwRz2NPEuIgEErEpMUUjRLihDxjjyFCnBbMKhHiRoz8cm893haoVob7xbWH98mT&#10;By3eUYgjhDQjFOIIIYQQQkizYIU4PEP2PE7WPKwQd+L/THvOe7lJCCGEEEJIFlaIGzqyY2HPY2f+&#10;WHDYsMl4yT5hzJiiyvB7nxfxDeDXRx0YFp80KtzyP+PCnecdGu654LCwcu7hYcWcSWHZjw8Ji799&#10;UPi1U67eQICRsAKJBKQmfdwiUYpEotvNEne0JKTzliL/pCQwBNI9OUoLXamw7eftm4Sd+zzlRRjS&#10;shB+tiINxpU1fgldTpBICUb6HOnjEPAk9HEPLRbp47G6NXnmC8ft+YSIVMqKccgbk7N0ePeCjC91&#10;n8TGmmd8IG8+S63GVW6aFmZT4V2TEqnrNda2zIHXpxipcZQCxix1SeD3cqTNpqTBQtygKYvcl8Ct&#10;iJaSsgQxiy4bE6L01qox8Upv2aq3ULWryQkiciFK3W5zTxLidNuePJhFrF5NVv8kZHW/UtArAXrp&#10;KTwhDrKZFdDyALlN6oAYZ9OrJcMBvaLd7CU/dcdGCCGNxBPiBg8fO6L7e6uqYbegwnZY3ktQQggh&#10;hBDSuuB/mtDPjJDUeh4nax66XXDq2TOf9F5uEkIIIYQQkkXn0ZOLni33TCHuiG6OPDAsPGZ4+M3x&#10;I8KNJ7aHG781Mtx4Qnv4zXEjwq+PGu6WqzdaoLECSd7VkiRKWSFOt5u1EpKWhLQcklf+EbkG44AQ&#10;pVdjwrFY+7pdjM22kWo/b98k7NznLS9gDCLz4FOvFKclG7RjBTA9Tn1ckLB91MTq0MdTq9cB6afd&#10;rjKrf6CU+cI1pOu07cVAOT3HmHM7JhkDPvXxrDQhNlY9PsikOk1T6nUDajmuctL0GHBusCWwlcIk&#10;MF/6eFaaEGtbjue9JoCUwdx56aWCudciqV1Rrt9y2LAN9RLi8BLXtkMh7gu0VGUDK7ZBloJsBXnJ&#10;lsVqbdiuUwJ5kQ91QmbTK8MhX0pek3r0p5cP6D4jH9rUK6ShHYh1WPXOinq6LH7WaZZmF+J0GgLn&#10;SfcB50fOgzefqXqFrP7JKoFyHtA+ykg/5DzYc4R+yblOtR9DhDjQfZsXmDJ1WJF8JvzjXv8Qxk/8&#10;ekFGu3HJsQWJDkBs0yvDIZ+3DSrKSp4TJw/pLR/DltdIXWjrshXXu2MjhJBGUi8hDv/oU9TGhGPc&#10;l6CEEEIIIaR1GXjqtKLn0kYKcVO7LnrYe7lJCCGEEEJIFlaIaxvZubznsTN/NLsQ11+AbCFhBRK9&#10;mpYVUoS8oo4F0odE1gp0IrDhUx/PK//I6mgQa7z0GFlyTKr9vH2TsHOft7wmVkYiJtbEJCxBIiUY&#10;xeoQGREREw9B6nrI6h8oZ77y1KvRbcSupZholZUmxPqE+08idb+UsvKiUMtxlZOm5yD2vSOBvKWk&#10;CbG29XeelQI1Ok1/h6bKlEqsj/2WOgpxqNO2g5e93kvgVkWLa6nwxCXIZyI2xQLpWSu56e0/EVnb&#10;oUKwymoXATlLl0sJbJY8slqqvjzl8+RJiWuQ3iQ9K2zZVL1CVv90ug6IcKl0iTzXhocW4mT1Nm91&#10;NwD5DOkpBgz4kivDAS9/ilg9AO0gD8Q4CnGEkKZkyqKiZ6bCc1NNVojrnK/baBs3yX0JSgghhBBC&#10;Wpf/nDK96Ll0aHvHzp7HyZrG/sPHDihutzPMnH/Nnd7LTUIIIYQQQrI48uQzip4tyxLirp80bCpe&#10;slshrnPMWP9lfAuCVYYga8SkErtNopU5IMdIeBIO6hXZDFGqDCLCByIm76S2dNUiT0r+kcB8xObC&#10;I0tISclHpfat3LFpMP8SuoxETBDSq1F56RKplapQt4Q+jvnWq4/F5l/3wY43VremnPnSsp6Xbslq&#10;A2NLraqYdT2B1Fj1veZt86rHg8g7D7UcVzlpWecbY5fwrmkJL02Ita3nENekThPwXajL6fmLlSkH&#10;kfNsH/srCw4/YFO9hDjvH7EGn3qV/xK4RREhzkpokK0geWHlMQkITjqP5MNxK2bhdxxHui1jweph&#10;IrjllaRQBiIdViDTgd8xFkhztgzqlchqQ7ZvRX+8dJCqL0/5PHlk/lPbomKsSJc5ROBnOQd6dTYh&#10;T715+of6ZaU4BOqT9nDuUQf6ofuGc4Rzl+fa8NBCHFaG677VC2j5THj4sSmF7VQhzGk5Dj/jGFaK&#10;w7aoXlmQR6jTxIQ4tCF50B8KcYSQpqRuQlxHl23HewlKCCGEEEJal0YJcd7/XEshjhBCCCGElEtV&#10;hbijxlKIiyHSB0QkyBUQ3CBvAMhNWoaLyU5awoHsIXVAHNFbj6ZkqRhaJEHoPqJ+6T8C/bAylS6P&#10;n3WaRtdjA2kA/bdCnwgpCMhv0j6EHJ2GsO3n7ZuElXdi5dE25h35tRSFn+VcWfFMzhOO6xXA8LOd&#10;G0nT6PI4L+gP2tf9wu8SuqxNQx2Ya5QFmFd9HWFeU+VtmoC6JHS/UD/mBf3W5xdjl+sfcyDHU2jh&#10;EHXK/GOu7f3g1SlznWovNVb0WQJ9x9gwVn0eZUwIPQ8pajmuctLQpgSuBzlv+MT86DHid10WSHhp&#10;Qqpfch8hkC7XPD4lzZaT+hD4ntRzj3nEOcJY0HddDnnle1XuWXxq2TY1jv5EPYW4gcMn7GXbGXLy&#10;PP8lcAsiwhOEJi9dEOkstZoYIfVCC3HYBrX7Vi+QtWVpI9H9hDRHIY4Q0pTUSYgb2j5uqm3nK4tW&#10;uS9CCSGEEEJIa7LPWXOKnhdBz+NkTQPPv7bdSxfccLP3cpMQQgghhJAs+gpxHet7Hj3zB4W4bLT0&#10;kwpPQhIgx2TVkSqfhZZfYgEJRWQRDaQTiZT8k2cMCOTBnEk5CDipcuiXCDK2/bx9k7DSS6y8Ph4L&#10;zKmuC2NKBc6fhC4noG9eQNrx8uiygm4jFrHrKKtuEJuvWN8lcH5FAMsDZL5UyDg90UqkKS9NqGQe&#10;Ia5hLBJ6HrKo1bjKTdNSmg2cM0hkCMyXLSvhpQmptjGHWgK04V0z+H6SOrNCl8sqE/vu648sOPyA&#10;nRTimgNZ2ctb+U0jq79RiCPNgBbigKzihtXi9PFm4sTJQwp9xLap+J1CHCGkKambENcx0bbz1auX&#10;ui9CCSGEEEJIa+IJcfh3vp5HypqFJ8Rd+Zubf+a93CSEEEIIISSLE79/VtGzJYW4GiKrDVnxAsIH&#10;JJc80gzqgDCjJRFIIXnLZwHxDHVpCQb1o89W7tJo+SclNSEN9XkiC35HG0hD4FMLKNI3PXb0U/ol&#10;Yo5Xr4RN00i7Wi4DqfJoG+3qPsn5jLWF84Qy0h4Cv8v5w3FgywmQi3R7KCsrdwFZ0SpVh/TB9lv3&#10;wyNP3bH50te/HjvOIa7pcmQjzL++n1Av5h7zIf3AmGw5HIulCXnGCsFRt485xPmRscg4Y9dCjFqM&#10;q9w0jETKcKEAAP/0SURBVAVj0t8JepwyT/i0ZWX8XpqQahtkte+VAXJvSh8Q+BnzirL6ngH4Hdeh&#10;nncEfk/1vz9STyEOYdsZcuIc/yVwCyJht0vVYFtL2e4S21x6eQipJ1aIs7JZMyLS3vkzRhd+pxBH&#10;CGlKHCEO8lrhgaqK4Qlx/37ZIvdFKCGEEEIIaU2+NuuqoudFsP/wsQN6HilrFt6z6sI7V1/qvdwk&#10;hBBCCCEkCyvEdT9vbuh59Mwf10367y68ZKcQR1JAXhEBSyQ2D72KWjUkP0IIIV9QfyGuY6duZ8jx&#10;0/2XwC3Ii1s/7Plrt1uKO+eWZ3vTIMLd/Mjm3lXkIMWdvOCJovKENAIrxGEL0u5bvQB+1mnNgN4u&#10;9eHHphSOUYgjhDQjg89cWvRstpvqC3F45rPt4IWn9yKUEEIIIYS0Jv9x0bVFz4ugVv92qMP7N0sK&#10;cYQQQgghpFxOP6er6NmSQhypGZDgJLx0ARKcBIU4QgipLo0W4tqOnua+BG5FIMDJ6m+pQJ7r1m9y&#10;6yCk3lghDowY+eWCcIbV4mxaoxk/8et9+kYhjhDSlNRphThvS/t9zp3nvgglhBBCCCGtiSfE1WI7&#10;fxvev1nese7Bs7yXm4QQQgghhGRhhbju581NPY+e+YNCHMkDtimUsNsVanS+1JaIhBBCysP7x6Va&#10;bXvQNuqQzbqdtiOm+C+BWxSsBLfyqS3h9Xc/7iPH4RjSkMcrS0gj8IS4O1ec1LsKm01rJM9tPLvQ&#10;J2yZKqvDAQpxhJCmpJFC3Flz3BehhBBCCCGkNcGW+vaZsR5C3ND2cVNtuxTiCCGEEEJIuZw1Z17R&#10;s2VZQtyCww+YjxfsFOJIit9eMbPnFX8obJ2KFeO08Ib0bRuf7ckRwltPP15UnhBCSHWoqxA3+tDn&#10;dDsU4gjp35yx8Naw4ZWL+jWzbr/BHRshhDQUR4ir1UtHu4Lvf06Z7r4IJYQQQgghrclXr67Pdv42&#10;PCHud39+8Qzv5SYhhBBCCCFZWCEO/y7a8+iZPyjEkbxo4S0VO157mavDEUJIjainEDfkoImP6Xba&#10;Jp7ivwQmhBBCCGll6ivEbdDt7HvSFPdFKCGEEEIIaU2+eu2youfS3Yyb2vM4WbPwhLg1jz9/nPdy&#10;kxBCCCGEkCzOm3f1p8XPl2UIcdcffsBCvGCfMIZCnGXJKQeF+y47qqWxc/Lw9T8tiHEfvftOj/62&#10;O7BqHI4j3ZYhhBBSPbx/XKqZEDfmsKIXrm3jJ/svgQkhhBBCWpkGCnH7HXeK+yKUEEIIIYS0Jl9Z&#10;tKrouXQ3tRfi2kZ2dNl2X9j+8UTv5SYhhBBCCCFZnHPR/F3Fz5dVFOLwu30J32rcM/uw8PY7M1sa&#10;b14IIYQ0juGjxv5E/70GA4dP2Kvnz3pVo63z2Cd0O22dx/gvgQkhhBBCWpk6CnFtIzvWF7Vz5GT3&#10;RSghhBBCCGlNPCEOslrP42TNom1k53zbLoU4Um3ufuCR8I977RW6L7kC8xcscvN5IK+U/ed/3Tus&#10;e/JZNx8hhBBCmoO+Qlwn/o6XFhTi4lCIoxBHCCHNRl2FuPEn/amorTGT/JfAhBBCCCGtTF2FuOIX&#10;jW3jJrkvQgkhhBBCSOvSNnbC/yl6ZqyDEDd0ZMdC3SZW8GiUEAfxqXPSEUXiFASoYe2jw+wrrgqP&#10;vrzZLUean6Wr1vSeUzCt6wI3nwfOf7llCSGEEFJ/ZlxxzZbi50sKcVWFQhyFOEIIaTYOGNlxsf57&#10;DXr+pFc9hhx2xsNFbVGII4QQQgjpw+DvXVv0bAYoxBFCCCGEkEbRNmbC5/qZEbJaz+NkzcIKcW3t&#10;nZvqLcRBdNtnv0FF0pMHRaj+C4U4QgghpHXwhLiSF4m5/vBhy/GCnUJcXyjEUYgjhJBmo65C3BFT&#10;nytqq8FC3OAZ3XStDft33R8OvHB1GH3xvWHcvHvCwZftpmPeyjD6olVhxEWrwwFzVof/mnV/GDxz&#10;rVsXIYQQQki1qK8Q19Fl28K2WN6LUEIIIYQQ0poMnnjch/p5sW1k5/Kex8maBdooarO9c9Pz2z8c&#10;4b3crBV5ZDhAEar/UokQh9UBuWUqIYQQ0n+45NrfvKmfL0HZQlznmLFFFVGIoxAHvHkhhBDSOOoq&#10;xB17zvO2Le8lcL0YMnNdQYQbf/nd4fSFt4S5dy4Kv1zzq7D0wZ+FpX/4WeHn2csWhR/etCR8+1e3&#10;h4lX3h2+Mef+ojoGz1gbBgF1jBBCCCGkEjwhrm145749j1RVjbb2zsm2ra9evdR9EUoIIYQQQlqT&#10;wROO3qGfFxshxA1t79hQTyEO26R2d6MXiE+QpyT97gceKQhRkOYoxPVfKhHiCCGEENK/uPCa618q&#10;fr6sohB31FgKcRTiKMQRQkiz8b/bO6/Rf6+Htnfs7PmTXvUYfNx5m4rb6gyDfrLKfRFcDw64YHU4&#10;6qrl4Uc3LSnIb2s2XBaefe3CsOXdmWHbjlnh2VcvDPc9eUW48fc/D1fcsyCctXhJOPKqu8L/nrXG&#10;rY8QQgghpBrUU4jrfvabaNv698sWuS9CCSGEEEJIazJo4vGb9fNi28iO9T2PkzWLRgtxnZOOKBKl&#10;IMh5+Uj/hkIcIYQQ0jpc+Ztb+izcsv/wsQO6nwHyx/UU4qJQiKMQRwghzUY9hbghk+cW/d+koJFC&#10;3KFXrAhz71wY7n70yvDICxeHv7w2J7y5bWbY+dGc8P7HF4bNW2eG5zZdGB7deHH43TOXhtsfvirM&#10;W/HrwmpyE7vLfmN28WpxhBBCCCHVoJ5CHP7Rx7a1z7nz3BehhBBCCCGkNdnviG+Zl4cdG3oeJ2sW&#10;kO50m/i9nkLcsPbRRaLUdbcsc/NlAZHO1iWryj368ma3DLbfRD6sSodtOJEP+fUWrvg5Jemh3Gk/&#10;nFZUBvVC9NMr3VmQhjyyFaiUO/bb3y1rS1CspCd1oS84hnpQn27D9svmwSd+j80Z8mPFPsy1rhfg&#10;WGy+s4Q4nHddH/ogaXoVQeTBWHXZapxH4F1DHhi/V54QQgghu7n8+sVP6OfLwjNmqf/men2PEDdq&#10;dEdRRSeMO8h9Ed9KUIijEEcIIc3GN9o7F+u/123tnZt6/qRXPQZ954rtui0weNoy90Vwrdl/1v3h&#10;lAW3hXse/2nYtqMrfPDXud1/p7rCW9tmFgFBbuu7XWH7zlnh1TfnhN/++bJw7dprww9+szSMuqhx&#10;Mh+pLZ989nlArHxqi5tO9nx4DZD+wotbPyxcq/j00kn/pJ5CHLYFsG3tc9Yc90UoIYQQQghpTQYd&#10;fuKD+nmxlv9+KOEJcRt3frSv93KzFtgV4iAuxWQsD8hRWnzy8CQqoPPItqz6mAbSmy2vJbQYVm7D&#10;2OyYPbLkLYsVzqxgZkG6Fs0sKGvPg20jBgQ1O+6UEIe8tq9aOkNenaaFPqDTyjmPGGceEU6wMh8h&#10;hBBCivnlrcsf0c+XhWfMkoW4w4atxwt2CnF9oRBHIY4QQpqNegpxg0+9qujZAAw+c6n7IrhWDJ6x&#10;NoyYe284+ufLwoV3LgwPv3BJ+OTvF4fP/u+88O77swvy25btu/9m7RbhZhdWi/vrZxeHrTu6whMv&#10;XRxufujqcO4tN4Yx86ovxL3/8WcFsQHxp1fec/NoGilCnLzgiT1WGpL43fPb3XSy5yPRKteAfJds&#10;3fWpm06al9ff/bhw7vDppZP+iffMVCshDoEVgnVb+540xX0RSgghhBBCWpNBR550t35erOUOExKN&#10;FuIgMHV3owjIUZC1ssQ4pGfJcIIneHn5UsRWJkth5S2sfObl87BlU+SV1YSULCfoVdqAFdNSQPrT&#10;ZVNCnJXRstpNCXF5sOcRkpyXLwZXiCOEEELS/Gzx7ev082XhGZNCXPXwhLjnNp7d/YD3D4WHlbXr&#10;T+uT3p+ZMnVYYVz4lGPevBBCCGkc9RLiBs5cP8Bb7aQRQtw3f3ZnmLN8Ubj1j1eHP786tyC9vffB&#10;nLBle1fR3zEAOe6d92aFHbvmhNe3dIXHX7oo3PHIVWHGrTeEsZesdNsol3krNxakBh045uUVGilC&#10;6P7uaSKGBIW41kWiVa4BHV46aV4oxO2ZNECI26Db2u+4U9wXoYQQQkh/YL/bfx9Oe+DpcMETLxbx&#10;02de7eXXL7xRxO2vvN2H+ze/4/LItvcKn8hz9iN/cftQDug3+ob6//Lehy5Iq5Ra9f3YtU8W5tnO&#10;rZ53D3ueNOijBe14fagE9P+Qe/9UEsPvesita09l0GEn3KafF0HPo2TNotFCHCS1mFgGaQsyVEyM&#10;s6IURCXJi08vXZfXaTYPVi2zsp1eXcwKXnqbUZRF2+i/XinNK6PTIQFqUc1KZSk8IQ51iTwWWw0O&#10;Y5Q+2PlCedsGjqHfWGFOnxevfltWp6EtHLdtemO2eWRMgk4T8p5HoOdcz4ddfRDini5HCCGEEJ9F&#10;d6++Vz9fgsHDx47o/nuaP0SIGzaqWIg7uYNCnCfEXXLpIYUHlgEDvtQnzXLnipMK+ZB//MSvu3ks&#10;EO7OnzE6DNz3n3ofjiDgoTzq88oIDz82pSCzlVMWQPCTcqgLx7x5IYQQ0jj+q73jHv33umZC3Lmr&#10;9/WEuEFTFrkvgmvFkBlrwxm/vjnc8sefFeS2V96aVVgJDtIb/k5hm9S335nR87dsRuF3Sd+8tSv8&#10;5bULw7qnrwiX3H196LzsHreNcvGEuKzVmmolQmDFNwRWrPPSAVeIqy0ytzc/stlNr5Q857iVkSj1&#10;Guiv85q1QpykP/3GLjedNA4KcXsmnhC3//CxA3oeq6oeQ0d2LNRttY2b5L4IJYQQ0npAFIL4A7QM&#10;BCkJ0hkQUUkkJkhOWojSgplIWSJ44RjyVEsuQj92/e3vheejegXG4/WlFDDPmI96B86L159SQN8x&#10;B/UMzBWuQ68/pYC+4/qr5JpBea/uPY3Bhxx1pX5eBNh6v+dxsiZh/6eNegtxAOJRarU1CEveqlxa&#10;ZLKrigkpoUmOC5C8dDp+1+m6vBW8bFkPvVUqxuvlsauVeXk8bH8wN3YlNLtVK+bGyob2PGhhLwu7&#10;0ptu3xPi7DGvP6BUIa6S82jrtqKfTiOEEEKID4W4GuMJcSK4QYyzaQKkNkhoyCeMGPllN68GQprU&#10;H+PEyUPcsrK6W4pfXHu4W1YjMp2sEufNCyGEkMZhhTj8Y1P393bVY+B5a0ZAfituq/5CXNvMNeH8&#10;W24Mj794cXh31+ywvUeEk21SIcFtfXe3BIdjEOKwchx+37x1Zti8ZWZ45tW54VdrfhkmzF/htlEu&#10;WogT+QSREqJqJUJAApLw0vd0JBopxEnUqg+tfo6zkCh1/vfUeaV01bzw3OyZ1FuIaxvZOd+2570I&#10;JYQQ0jgg7gienOaVKReRhOopaEFIqlRwQvl6y3ASEAG9PuUFEmGjolIZEVJdI2LzR5+4/SkFCJnV&#10;iGpIkc3OoIlHz7bPi60gxAFZ0U1Lbha9shdkKy9PipQQZ9Oy8tj20W/0PyWQpcYWw6vHwxPObB4r&#10;lnl5rNRmBbEUqbK2fziXej4g4nkyHLD9tn3SaaWeR9svWzeFOEIIIaR0blv74E36+XI3HRO7/5bm&#10;DxHibEUU4voKcTcuObb3YQXSm07TeWRLVU2WEIf6tAwH8Q2rugHId7pOK+NhNTdJQzsQ31AOfbFi&#10;nqz8FkNWwEN7+N2bF0IIIY2jXkLcoPPXTsb2qMVtdQasGue9CK4VQ7vWhOm33hD+/MpF4YNP5ha2&#10;QsXfJ9ku9a13ugpbo256qyu8sfULIU7Skf+1t2eHmx78eTj8qtoJcdet39S7QlhqpalaiRCtLktJ&#10;1EpGy4NErfrQ6uc4C4lS539PnVdKV80Lz82eSd2FuPbOyba9r167zH0ZWk1E6hDBw8tDCCH9Hchq&#10;sVXTION4q6ZB9AGQu0oRvKq1UlW1JKFSA+16/ckL5rlRUenco3yjAqv8eX3KSyNWtpOoVOarZuzp&#10;zzLe82Itt/RH9BXiOpc/v/OTAd7LzXogYlxsxTgRlqzIlAe7KptOK1WkAlYA0/msWAW8vFn86uY7&#10;3OOCrMJm56OWQhxWXMOKfHr1PQ9dNut82W1MNbUU4mwaxiRSI9rR16G9fgghhBDiUy0hbgNesNuK&#10;Tu8c5b6IbyWsEAdJrXvKonKbyGQAcpsW6LKEOGyTKnm9ldywepxIcSKrCZDc0F5sW1QtxaEdL4+g&#10;5Tr035sXQgghjeO/RnY8WPw3u0ZC3PS1U5tBiGubuTacecPSsPLx+eGFN+aEN7bsXv1t+87Zhc9X&#10;35wVnnz5ovDYxovD869fWBDitu2Y1SPFzQwffTq3sH3qbQ//LBz507vcNspFC3H4GSvDScSknFqJ&#10;EK0uS0mUKkNVE4la9aHVz3EWEqXO/546r5Sumheemz2Tum+Z2t4x0bb375ctcl+GVgPIIXh5npI8&#10;kCZCCBBJBLIEtsPz6i0XvMDGqkKy9R9AHz1kNSYLXsh7UPYjzQauR7k+vWvZ4t0HGn3fCCjntV0J&#10;aAuyk8hkgmzFKYhgJohoZoUzjf6uqeZ3DOYY9dc7MA9ef/KC89eowDny+pQXXCeNCPzNQtten/LS&#10;qHlH33Gten3KS6NkPvS90r+xqWeRUqIafWlqFq/d5D0vtpoQp7EiFJCtUbMEKw8rXem0ckQqyHtW&#10;INPYbVy9PCkgZ2WNU+Qwm68WQlzWeC26rO2frQerxcVW16u1EGe3qY3hzRchhBBC+uIJcfgfP7r/&#10;nuYPCHHXHHZgUSVg6iHt7ov4VsIKcSKkxbZLhWwGMU0LbcgPsoQ4WR0OW5Z66UBviwpZzcvjAVEu&#10;bz+AbJsKAdCbF0IIIY3DCnHYfqD7O7vqsd/0dQsHT1tW9GwA8MLXexFcK4bMXBsmX3tH+MXqa8O6&#10;P18R/vL6BQURbscuCHEzw0ubZ4eHn78k/P7Zy8KfX5kb3tw6syDAyRaqH34yN2zp/vm2P/4sHPHT&#10;O902ysUKcTiG1eEQWC3u4Msf6lMmJUIg/8qnthS2X5V6JLbu+rQg7tg6ZVW6UgPt6Ho0GMvTb+wq&#10;6gPaQb9knB7Sl3NuebbwOwRB9FsCP6e2kz15wROFMWJu7LhwLFVWolQZKgXm+k+vvFc0D/Y8YB6z&#10;Qve7nDFmnePYioSoC3XqyJrHFCiH60KfUwTax3GMzSsnc4TrB78jH/LLuPCZKi9IOX0+9DUpkfca&#10;qOe8Slu4N3DtYBwSMi8A6Qjkl9+lLRzTY0M5hFc+FWhb8guYW1zr9txmjcueW6yUKecHn/hd9yn1&#10;vQNkrHpMKWQOpF5cCzgm843Pcq8t/JwqW873tSDjxKdNw3zpObTppHmptxCHum17+5w7z38hWiGQ&#10;Zarx8rlSaULAik3VehmeFWgH0kC1XphDvoBsU4/+V1MSwvghNtWz77juvL6UCvqOc1jPvlcqqgiQ&#10;berVbwTaqlQQAphzzEO9A216/SkFiGmNCJzjSr5nULZRUY3vmXrLWRApq/X9iHsG9dUr8Le0Wt+P&#10;9b7ecZ1Xo++ooxpR6Za5zc7eS9ZtGDx87Aj7vIhjPY+TNYlmFuKAlaFEZsojgGWhy5cjUgnoC+Q3&#10;nVfQ/dLHY3VZsraGrecKcZ2TjihKy0KX9fpn5yw2J7bful6g08o5j3ZbVA8rNxJCCCEkzj1/fOJK&#10;/XxZeMYsR4i7clJfIe7sQynEaSFOS2VYrU0LZIK3HamUSYloqE/yxWQ7oPNlrfSmeW7j2b3lsFqc&#10;l0cj4h0EQG9eCCGENI46CnHLB/1kVdGzARhy8jz3RXCtGDJjXTjsp3eH82+7Kdz0wM/Dn1+dG97/&#10;6ILwwV8vLAhxr709Kzy76cKCDPfi5tnhzcIKcbtXkXt7a/fP3Z8vvjEnLPrdNWHSlbVdIQ7HII9I&#10;eGJOSoQQuSMVEC20ZCHiR6kRk4a0qBMLT6gBEpBgrFijI1Y+z1iy2s4rQ2UBCSbVH+mHCEGp0EJR&#10;OWPMKmOlGVwfqflH2OsoizzjRD8h89iyOCcIXPP6/rARKw9wPDUP0gYi7zVQz3mViN0bkk9/p3hj&#10;1t8b3ncJymSFvb5S50QiNq6scyvnQgQv1GPrEHTfs8Q5QeYA7UDoi0Xq2sozfn0PC+V8XwveuQP6&#10;Gkv1mTQn9RbiBg6fsJdtb5+z5rgvRCulmmJLpS+fITA0IiAKef0phUZtCwiB0OtPKTRqJaFKxYlG&#10;iVmISldcg1RXLxHORqVCH665RkWlfW/UnEOo8vpTCo2Qm6opFOGewbWjt6mV3wW0p8HfBA98d1gg&#10;rgG0U4l8mAJ1ZyH9KIdqybYa1Ik5s3Nr594i58gD16IGx1BnNfuPuUS9sVUkU+DvAsp79e5JQIjD&#10;anD2eRGrxvU8TtYkml2IsyKVyEz2OGQtWzYLXb4ckcoi273qMnqbTX0cK6LpspXiCWc2j+2blwdj&#10;1HlEPsPY9HH0H1un4nhWWeD1D2VRjz4OOU3KCLbful6g00o9j7YPuI7078jr9YkQQgghcSjE1Rgt&#10;xOktTbU8loWUSQlxWFFO8sW2PRXy1GfRW7emhDtB5+8aPcidG0IIIY2h7z8u7dlC3OAZa8Poi+8N&#10;J/7qjnDJ3b8Ov3/m0sLfKqwQh09skQogwsnPkOGwStzmrV3h+dfnhN91l7l8xfXhkMtXuG2UiyfE&#10;AZEdEHZ1oZgIASCqQIaADKJFCNSh5QtPFtFCkE3TSHjSkBZKILCgHYwL4GeRWhDIa8tLiMSD/BBJ&#10;pLyWe/R8CciPcaKMnjfkFUkE4UkiEt64ykHmG33WfUXbOE9WKgISqT5UMsa851jqkfkXIQef+jx4&#10;Y4iBelAfzrueD9Sp+4Wx6XJA0vX5R9uoB4KYvra9+wJtoG0JKQs8CarUa6Ae8yoheTBOjB3oewlj&#10;ktD14TjaRDuSN/VdkicdoH0JtCfnV9qTOhAYvy1vzy0+cQzl0VfUr/MhYpKXPpcyt1lI/3T7MgZ7&#10;beG82fJ6/Jhn3Tf8rMdvv8uRH3OCcepyeb6vvXODMcs1hnHE5ok0L3g+ss9MtRTiEG2jOj/Q7e17&#10;0hT3hWil4IVztQIvxL028tIouQkBGcHrU17quYKQDkgrXn/y0siVpyrtOySYRgUkEK9PecG90qho&#10;5fsUck29A9c5rlWvP6WCc4cxoE6A7x0tAiEN50cQWUmA6IQ6gJbLRMgSqasWYhYhpLrsvXjdem9F&#10;4ZJfHpYY3fVvKmqvzkIchLHZV1zlpgErQ8m2p56gpeWsPOjypYpUKbDVqS4XO27FrkrwhDObx86l&#10;lwdj1Hmkj3nqj5UFsfKQ6vRx7zzafut6gU4r9Tzi2pPjOD+6DCGEEELK4w8bN12sny93M25q99/b&#10;/AEh7pIJI0wlnWH6+JHui/hWQgtxENC6p6skEQ2gTFY5Lds9t/FsN48g27bm7Qfqky1QUdZbxc6i&#10;V6I7dej/cueGEEJIY/D+can7+7rqMej8tZtcIe7EOe6L4NqxNnxj1v1h7LyV4bsLbgs/XbUg3Pvk&#10;FeHpTXPD1h1d4aNPLwq7Pr4wvPfhBWHHrjnh3fdnF37/9PNLwlvbusK6P19WKHPq9beGkXPvdeov&#10;H0gXEvjZO27lGE+EyItIQV7ZvFKPBPLr45A4JCBleEIKjmkxyQoiOjBuW4eeFy0B5UH3z/YdSHhp&#10;5SBRSn0S5fYha4w4JmHTBEhMCAg19vwIEHQkYnlKBedbwqbpfqNf+l4R5L5A2OtG99ebF4hDIhIh&#10;Sp3/esyrDvudoNH3CALtevlA1ndJVjqQ+zklYGm5y/bHnttYHfrajt370hdPqoyhr5vY91aq/9Jm&#10;rE/6Oy913jyknDf/9tygHcpw/R9PiMMqbj2PVTWJtoMOfU63VyshDuIDxIpKA3VUKqtUU84rNSrt&#10;eyOFuP66FSMEHq9PeWmkEIdr1etTXiAiNSoqlbMgVTUiKr1eAK73at6rIqYBK6dBSMN1QrmMEFIj&#10;FnorCpf88rDEsP9mOXRkx8JNO3fu5b3crAXdXSgASQkrcYkMhU8tKwmyRSiwW3hCaIJgJemoA79j&#10;u0uIVros0GVLFakgZUHmg6yl60V7eoUxLVnZ8SCfHjNAvZD+skRBS0w401ixzMuDMeo8Ip+te/LZ&#10;ouMYF45JGvqs04EW11L9s23a1f5sv3W9QKeVeh513d41QgghhJDS+f2zr/yk6PmyAIW4qqGFOBHR&#10;8mw5qkEZkBLYZItS4KVrShHzsNKbyHAAK9F5+TykzBH/+a/u3BBCCGkM3j8udX9fVz0KQtz0dUXP&#10;BqD+QtxuhsxcG0bMvTccdfWd4cdLbwp3/Omqwqpwn4V54YNP5oZ3e2Q4SHEf/+2iEMLl4bUtXWHB&#10;2mvDMT+/Mwy74P4wZMYat+5y0fKKlXy0qKHlBitClEKqbB6pB0hYaUivzuQJS4JeUcmufCSRElpS&#10;kkgWEp7wJOGllYP0sxQ5R6KSPkh4deCYhE0T5BpJyTuQbyRkBa9KSfVNp8VEHxHOELF7CaKQPq7R&#10;Yyp1/usxrxIxaUvQ3ylZApb0KXYvZaXrezk1Z3pc9n7Qc5eS94D0xzuPuC4kSrkmpU7cr7F51TKe&#10;nlM91ykxVL4bce689Bip+ddp6DdluD2DRghxQ8ZOWq3baxs3yXsZWhUgiUDcgMQhckcpgVWJqrEC&#10;EvqBPtQ7Kl3tCzRKcKpUzAIYfyMCc+b1pxQacb3g/qh0O75GXevVuF5APa8ZzDfaw5x5fSkHfF/J&#10;1pCyYpqsmoY0AEkW6FXTAPpRzb4QQkhZLF43v5WFuDzI6nAC5CUtn2VRTZHKCl4xtPgF8c2uEpfC&#10;E9ZipIQzwYplXh4rp+k5g6Sn07LQZVP9g1Bnz6MWG22/db1Ap1X7PGLMyI9rTwRAQgghhKSpmhA3&#10;Z3xfIQ7HvBfxrYQW4rqnqgBWc9PiWBZSLiWwieQGvHRNKu+Jk4f0pmkgxWHVN5s/hQiA+/x/vuTO&#10;DSGEkMYwtL1jp/573Tayc37393XVQ17wDh0zqbctMOT46X1eAteT/5p9f5h05V1h7p0Lw7o/Xx6e&#10;ee3C8NwmMDc82/35zKsXhj+/Mjc88eJF4e7HrgzTliwJwy5Y7dZVKVqosBKPljC0EJGSJLJIlc0j&#10;9QAJK8BI3RBL9HEPCSvHSKTkmkrGL+HVL5FquxT0fKKveSQdiUr6IOHVoftk04RSoxbzVUqakLqX&#10;JLLkRIlSx1SPeZXI6ltqHixZ91JWuh53SggDUpeV2fLMnaClR3s/QVRDpKRHj6wxCqjX5tN9zxu6&#10;zixSfdNplOH2HPA/DOjnJdDzSFWzGNx51PW6vVoKcVmIACJCiAgioBZiCMQUiDt66z9IdzEgFlmw&#10;WlMMkf5QFm1VawyQaFBnrQN9xxir2XfUhTprHTLv1RAoBfQd57VaIdeHBfODaxHXvdePckDfMR9y&#10;bcr1mwL5U+j7RsD9VOkqiBZ8F0Agwxg0OKYRwUwQ0Uyjv1OAfNcAr21CCGl5Fq8r/FuhflYsPC+O&#10;7OgqPEjWKBotxGGFtDxSm5XhBLsiWworNOm0aotUACvT6boAJL68UhzmxpaPkRLOhEqFuCwB0Y5L&#10;l83qn+0bRLRYmq4X6LRSzyPwVreLUco5IYQQQlqVF979cGrR82U3JT/TQojDanC2IgpxXwhxegvR&#10;ZhHiIKzZtJgQBwYM+FJhxThbJoa0QyGOEEKahwWHH1Akw4FaCHEDZ64fIC94rRDXdvS0Pi+B680B&#10;c+4Px/18WTj/1hvDz1ZfF2588OfhjoevDrc/fFW46cFrwtX3Lgjn3XJTOPm620PHpStDW5dfT6Vk&#10;ySsieSAkPSVJAKwWhJXXkC6rlNnwyuYVUySsmFPKym0SNq+ErVuDMohYOxBzsCIT0kViseHVL5Fq&#10;u1T0qnkI9AfHYvKQRFYfyh0jjknYNKHUKGU1LgCpCWKaSDxe2DJ5+p26lySy5lUiK5+lHvMqkdW3&#10;rO8UTda9lJWuv5+8dI3UhdDH88ydRq53u/qdHMd9oY9nkTVGwcun+54nvBXiyv2+lv6gThk7PrPE&#10;RNLcNEKIGzJ24sW2za8sWuW/FCWEEEIIIS3D3kvWFlbNqNf/VCthhbju9pbXU4gDENWwPaiVsfB7&#10;npW5ZHtVWx7yFo5BqPLq0CueefJaVh7IUdjeU+dBmzhmpS2LlLWCmYw5q7zFymqeuAV5UNKRV6/C&#10;Jmg5DHnsvOF3zIMeM0Q42d5V+oBPvf1onv7p86fLI693XKjkPJa6ah/Iuh4JIYSQVmfjux9N1s+X&#10;u58xSxTiFhx+wKazD20vqgRgG1XvZXwrIULcnStO6n1AqYUQp0U2L10jolqqPgEiH/orq70BbM/q&#10;5bVQiCOEkObDF+Kq/393Djx39b7ygret85ji9ppAiAPDL1wdDpt/d0F6wxaqs+/4TZh1xw3hnO6f&#10;v3PdbWHMvFVhyEy/bLXIklcgN4jsIFKEiBCeJIHVgSR/KryyecUUCSvm2H6mkLB5JVLST2r8egWp&#10;VHj1S6TaLgeR1/R5wc/e9pASqT5UMkYck7BpgkS150Fv65gVtmyefqfuJYmsMUmUOvZ6zKtEVvms&#10;7xRN6l7Kkw6xUcJL10hdCH08z9xptIQnW5xCHpQodYW0rDEKXr5S+26p5Pta9wf1SOAek3kh/Y9G&#10;CHGDxh91nG3z3y9b5L4UJYQQQgghrcPeN62djOdFR4hbXniQrFF0t7fBtldvIY6QRgE5rvs2KADZ&#10;zoqIkO+sMOeJhIQQQgj5gpoKcVdOOtB9Gd9K1EuIQ52S77mNZ7t5BKz0llWfBXVqKS7P9qkU4ggh&#10;pPm4YuKwzfbvdcl7peeIgeetGSEveJtViBsy4/5wwOzVYdRFq8Ihl98TJl25Ikycf1c49PIVYXT3&#10;sf271rjlqkkeeUVLF8jjiRkAEoTIFSJc2dWCYmVBXrlDwoo5UncpW6ba1ZwkbN2a2Bj0XEIKgSRj&#10;xRAJr36JVNuVgnOiz5E9PxKxPlQ6RhyTsGmCRNb2oqUi5w2BflhxKdW3PP1O3UsSzbBlarnzKpHV&#10;t9Q8WGL3Ut50Pe6slcmkLly3+nieudNo+UukUpHkbN15yBqjIPetzqf7XqqIV+n3tU3DKnMSdvU8&#10;0n/AlvL6eQkvH3seq2oWgw7/zrDiNjvD12Zd5b4UJYQQQgghLcTitRPxvOgJaoUHyRoFhTjSynTf&#10;Ar3EtuW1W7Z6q9sRQggh5At2C3EVrnoMIW7qIRTiPBohxKEtL48g+bCqnJce45JLD+ktm2cMFOII&#10;IaT58IS4tvbOwv/1Wc0YdP7ayfKCt48Qd8SUPi+BW5U88ooWJyA/xCQJXVdsG8tYWZBXTJGwYo5e&#10;uSklx+gVzkRoESRs3ZrYGHT/rSQmSHj1S6Targapcy4R60OlY9TlbZoAqQiRR2wsBYnYlpapvuXp&#10;d2pe84xJi1be3KWox7xKZPUtNQ+W1PdBnvTUvazB94GElbXyzJ1F5hKf+vsRUpiXP4WMEXV56UBf&#10;G/r61SvTpcbvoc9TOd/XXpr+Di5nLkjjaYQQ9x9nzPmX4jY7wz7nzvNfihJCCCGEkNahR4hrG9mx&#10;Xj8r4vfCg2SNgkIcaWW6b4FesEKcXv0N26lCftNbvQJumUoIIYSkqakQd81hFOLqJcTp+iGueXkA&#10;VnbLk8+j1DFQiCOEkOZj7oThb9m/190PAoV/5KpmDJq+dqq84G0bP7moPQpxX5BXXtGr/3grFYGs&#10;uiCOQMZBeIKFFlNishWQsGKObt+rH+g+YBy2HYmU9OOJICBLrMkSniRSbVcDLQfZ8yRRjjQGssao&#10;y8fOsc5TTalGIja/qe03s8YNUtc/5lPCGxPmTe4rRKyPMeoxrxJZfUvNgyV2L9n0mCyGscq8efez&#10;oM+t7VOec2vRIl6euU8hY0SIYJfKg2tFjuvx43utlPazzhPqSn1fS590GsqILIjIOv+k+cAKukXP&#10;S+2dm3oeq2oW/7Jw/V5t4yYVtTvw1Gn+S1FCCCGEENI63LhmBJ4XrRAHYa3wIFmj8AQ8CnGkVfjn&#10;f9279x1sHjonHeHWQwghhJAv8IS4oSM7Fnb/Lc0fEOJO7xz1RQU9eC/iWw0R4kD3VBWohRCHLU3z&#10;5JsydVhvvocfm+LmiaHL5hmDbLFKIY4QQpqHGYeMeMn+va6FELffeWu6el/wUoiLkiVFaESOkLCS&#10;hBatIEWIuAFJAgKJLu8JFloygcCC/mDlolK2NRVJA4H2IP6gHoB6tHTkragkkZJ+PBEE6P5jpSRZ&#10;pQ6fqC9LeJKwaSgvZb0+e2DuMX7UpQUa/CzCiicQyTlCGtrCvKEOuTYqHaMuHzvH6JOtR48BbaEe&#10;lPeuoxh6bHpFLPysrxuELgfQBwmbJmAsEjJfgj6HCIwXeYBeVUvyeHOXoh7zKpHVt9Q8WGL3kqDn&#10;Bu2iPvRRC3363GB8em6RT3/voD5dvy1v02JgLiVkTjFvXt4s7LWH+uR7y16b3jzp/uPeRhl9X6Me&#10;zAnmAT/LcZxviXK+r6VfNk1f6/jE7zqdNDeNEOIQg48sfk7b96Qp/ktRQgghhBDSMvzbTav3xbMi&#10;VmjTz4q1fkalEEdambsfeKTPCnAxIMNh1TivHkIIIYR8wQvbP56IZ1j9jFmWEHfCuIO+qKCbYaM6&#10;3BfxrYYnxI2f+PUicSwLKZcS3QDqlbw3Ljm2T7peHc7WhbIQ3iDW6eMCyorgBvLIdJL34P/1/3Xn&#10;hhBCSP3xhLjBw8cW/q/PasZ+09ct7H3BSyEuCgQJCS1LeEC00OFJEhAvUiGCi1fWCjsSOKbzSXhi&#10;DurQKxTFAsKHLQskvLqFmAgCUm1jHJBmEF79EjZNn6NUvzS6TCy8OUD9XmgBqZIx5j3HkHO0kBML&#10;7xzEsNevDS1f2bJ6XmyakHUvYb5jgfEjXa6tvOdZqMe8SmT1LWseNKl7CcSuYyuf6XMXC0+GA3nO&#10;rYdtE9eXly8LPQepceC+w3n26sj63pWw56OS7+vUudPnLdVv0nzg+ajoealOQtx+x51S1O7gCce4&#10;L0UJIYQQQkjr8C9L1w/AsyK2k9LPilhdo/AQWaPwhDgc915uErInAslt9hVXhWHto/vIcfvsNygc&#10;++3vhqWr1rhlCSGEENIXT4jD//SBZ8zccf1hwzZYIW7UaApxQAtxsoXowH3/qUgc00BIw9akGpSR&#10;cvq4ldK08AYguEle/KyFNuTVZaVvyHPi5CEFoS5WFr/rsh66L9/a7yvu3BBCCKk/Zx7c/rr+ew3a&#10;hncW/q/PasZ+09ct733BSyEuil7NR68WFUMLFFqS0mixB4H6IVagLbSBiK2mhHQRqhCQd2w70t9Y&#10;+0D6oCUhiBnSD68MyFO39M8bA8QPCDZaGsMYcAxpqBfh1R9rW8slpYhSmAP0UQtQ+BlzkDrXaEOX&#10;QR16zioZI8hzjoHUpa8lBPKjPNKQx5ZLgblEWX1d4HcRhXAc2HIyJi9NkGsbEZtfGbu0j099Tcq8&#10;xOYuRa3nVfqc1bc88yBIf/HppQOIZvpaw89W7AJybjEOCRmTl1/AeBCpc+uBOiVKLauR84BP/I77&#10;1o5X7i1bVoP+4FrS40egXnxvx+ag3O/rrHOHeiXws5eHNB9WiKv1dlQS/zllelG72ELVeylKCCGE&#10;EEJah2YR4uSZ2Hu5SQghhBBCSBYQ4vBMqZ8xyxLijho7Rj2kdobOMWPdF/GthhbiIJJ1T1cBLY9p&#10;sBWp5MnCWzHuF9ce7uYVILYhjy0HAU5LbzEgy9myHrofXaMHuXNDCCGk/vzg4FHP67/XYP/hYwv/&#10;yFXN2G/6uvW9L3itEDfxlD4vgQlpVrRYkiUYEULqAwQ1kQQhkHl58mCFOEIaSaOEuH1+OOuT4nY7&#10;w1cWrXJfjBJCCCGEkNag51ERglqXfVbsSapJ2C1aKcQRQgghhJBKoBBXY7QQB+mse7oKYOU1LZAJ&#10;l1x6SG+eLGJbr2J1NohrAwZ8qTcvfsax1FanWJ0O7ctqcbZsrM8eIv9BsvPmhRBCSGM4rXNUny1T&#10;ayHEDTp/7abeF7wTi7fiohBH+hOy4hNWefLSCSH1R4uq5W6XCijEkWaiz/NSz/ZQtY7/uPCaj3S7&#10;4KtXL3VfjBJCCCGEkNag51HRFeIGDp+wV09y1YNCHCGEEEIIqSa+EFfiv7tCiJswpliIw+/ei/hW&#10;QwtxEM66p6sAVoLTAtmeBrZ3xTgh7XnzQgghpDF4Qlwt/iGLQhzZExDpBitRlbo9KCGkdsiWoZVs&#10;lwooxJFmos+Kug0U4v79skXui1FCCCGEENIKrO3dFrWtvXOyfVaspxDX3f4mHPdebhJCCCGEEJIF&#10;hDj8O2vRM2Y5QhxWhNOVYMU470V8q6GFOABBrHvKCsKYPr4ngVXoMEaArVO9eSGEENIYJo8b3WfL&#10;VPwtr3YUveClEEf6KVt3fVqQZSpZgYoQUl1OXvBE4b5EVLJdKqAQR5qJvkJciUv3lxlfvfKmt3S7&#10;4D8uutZ5MUoIIYQQQlqCxWsLEhpiaHvHRPus2Da8c9+e5KrH0JEdC4vaohBHCCGEEEIqoGpC3KjR&#10;Hb0VgBPGHeS+iG81rBAHQax7ygqkti/tz8i2r9guFaviefNCCCGkMRwxZszr+u/10PaO3v/rs1ox&#10;cOb6AUUveK0QN35y0QtgQpqRc255tiDKVCrcEEKqy8qnthTuTUSlsiqFONJMtHUeU/S8hJeBPY9W&#10;NY2v/uK2zUXtdvO1WVf5L0cJIYQQQsieD4U4QgghhBCyh1A1IW7YqGIh7uQOCnHACnEAolj3tBXE&#10;MZu2JyDbpZ44eUjhd29eCCGENIbDxh5UtGWq/MNSNWPguav3LXrBe8SUomcECnGEEELKRbZLxQqO&#10;XnopSF349NIJqSeNEuK+vPCep4va7Wafc+f5L0cJIYQQQsgez95L1m3oeVT8fwwePnaEfVbEsZ7k&#10;qocV4uR/5PVebhJCCCGEEJJFtYS4ogoAhbjdeELc+TNGF4SxAQO+1Cetv7N2/WmFsQFZAc+bF0II&#10;IY3h0IPG2hXiev+Rq1ox8Lw1I4pe8FKII6RfcsbCW/s86/U3bvz9Ne7YCCGk2Rg6ZlLx89LIzvk9&#10;j1Y1Dbzw1O2Cfc6a474cJYQQQgghez5aiMNqcPZZEavG9SRXPfAMbNqiEEcIIYQQQsrm+e0fjrBC&#10;XMnvxn8+6cAHiyvoDKd3jnJfxLcay88ZH575w5QiHlx5Svh//7/+nwVp7DfXHNEnvT/z3W+1FcaF&#10;TznmzQshhFSTW3/QWfi+TbHs7EPc483Cb04Y6Y6t2tRDiBt8/tqJ+gUvhThC+icU4gghpH7oZ6XC&#10;81Idhbi2ccUy3n9Ome6+HCWEEEIIIXs+ey9e17tixv7Dxw7Qz4mgrb1zck9y1YNCHCGEEEIIqSa7&#10;hbjO5eYZs7R345dNOPDh4go6w9mHtrsv4gkhhJBq89hdp7gihObZh37gHm8WIMV5Y6s2B40eu1n/&#10;vS55WdgcMej8tZP1C94+QlznMUUvgAkhzQmFOEIIqR/6WanwvDSyo6vn0aqmgReeVojb96Qp7stR&#10;QgghhBCy56OFuIHDJ+ylnxN3M25qT3LVg0IcaRb+ca+9Cot/zL7iKjedEEIIIf2DqghxFx464rHi&#10;CjrD9PH1WemGEEIIoRCXn2GjOnYV/c0e2bGw58951WLQ9LVT9QvetqOnFT0jUIgjpH9AIY4QQurE&#10;T1YVPSsVnpfqKMQNPnJyUdsU4gghhBBCWpe9l6xb3vOo2ARCXCekpLoKcUtXrSmIUFnss9+gonIQ&#10;p3AcItW6J58tSiPNx6Mvbw7//K97F87ZaT+c1iddzvO0rgv6pDUT6Dv6ibFgTF4eQgghpJWpihB3&#10;7qEj+myZSiGOEEJIvaAQl59vtHd8qv9e4x+aev6cVy32O29Nl37JSyGOkP4JhThCCKkPg6ctK3pW&#10;2k3tXjTqgBC333GnFLWN372Xo4QQQgghZM9HC3EI/ZwIavk/bqBu2x6Oey83awUEqO4mM4GApMsN&#10;ax/dmwapTqeR5kOLjzh3Nl3Sml2I43VHCCGEpPGEuLb2zk3dfzvzhyfEzRk/wn0RTwghhFQbCnH5&#10;sX+vayLETV+3UL/kpRBHSP+EQhwhhNQHT4hra++c3PNoVdPAC08KcYQQQgghRFG0mwS2LdXPirX4&#10;t0SJZhPisOobJCOPux94pKgcV4irLZhvmV879+XQH1aIk21b5y9Y5KYDrhBHCCGEpIEQh93S9PNl&#10;yULc6Z2j+ghxV0460H0RTwghhFQbCnH5wN9m+/e6Fi9b95u+brl+yTvk+OnF7Y6ZVPQSmBDSnFCI&#10;I4SQ+jD4zKXFz0oFOib2PFrVNCjEEUIIIYQQQ1KIwwvFnqSqR7MJcRDfvDyk/uBc1PO8SFuNFOKa&#10;oQ+EEEJIf6cqQtx3Okb9SVcAmkKIO3JYWHTM8HDjt9rDktMOCrd8f1y47cyDw+0/6gy3T+0IN39v&#10;TFhyykFh8bfbww0njAwLvzncr4cQQkhTQyEuH5dMGFH0t3o31X/ZaoU4u0IchThC+gcU4gghpE5M&#10;WVT8rFSgPkIcXnhaIW7wkZO9F6OEEEIIIaQ1sELcBv2siC2nepKqHp4QN3D4hL28l5u1gkJcc0Ih&#10;zs9DCCGEkDRVEeImd4z6na4AXHNY44W43xw3Miw9/aBw98wJYf2vjgt/Wv7d8NS6/wlPPzAlPLH6&#10;9PDQ4pPCup8fHVbOPTws+/HB4cZvj+5bzxHmd0IIIU0Hhbh8YDtz+/d68PCxI3r+nFctBk1ft0G/&#10;5OWWqYT0TyjEEUJInXCEuFo8o3mBF54U4gghhBBCiKJhQtzQ9nFTdVuAQhwBFOL8PIQQQghJUxUh&#10;7tixBz2sKwDei/h6svDo4YUV4VZdfER46KbJ4ekHvx9e3nhO2LJ9Znj/owvCW29PDxs3/Cg8tfZ7&#10;4ZHbTg6//eWx4e4ZE8Li74wOvz6S272S1uS3V8wMEvjZy9NK7Hjt5cJc4NNLJ82DJ8SdP2N04T8Y&#10;x0/8euH3ZhHintt4dqFf/7jXP4SHH5vSe7weQtzZh7YX/a0G+w8fO6Dwx7yKMej8tZv0S14KcYT0&#10;TzwhDt9h+P7qvtXD2vWn9UlvJAP3/adCv25ccmzvMQpxhJD+wODvXVv0rFR4XhreuW/hwarG8eXF&#10;6+bve9KUorYpxBFCCCGEtDRFQlzbyI71+lkRv/ckVT36sxA3+4qrev7Nd6/eY3c/8EhvXUjX+S3D&#10;2nf/W3bnpCP6pKEfOI66pb599htU6OujL2/ukz8vtl584vfUuJF27Le/G/75X/fu7UueckhHXpkH&#10;aVvqQH3eeHSeGOuefLZPfmkHdcr4MGc6rxz3zo3ULTLa/AWLCuXleKy/QqpuQfqKTzmG/NJGKaA9&#10;XbcGYz7th9OK+g9wzWFcXhkgfZH+oR6cexkbPvG7ntNSkTr19RTrF/JizpEufcgqo8F47DnM6r+9&#10;R0Cee++6W5b1nl+A8vg9dY8QQgipDZ4QN7S9Y2f393P+OHT0mKL/Q2TU6A73RXw9ufGk9rBm/jfD&#10;n9d9L7z07LTw2ivnhM1vTQ/bd84OOz+6IGx9tyu88fp54dUXfhxefOas8NyffhAevfO7Ye2VR4fl&#10;5xwabvp2u1tvtbjn/O+F1x/9Q/jo3XcKwo3Errc3F47fctqRbjmyZ/Hy71cXzvvfP/2kcE14eerJ&#10;w9f/tNAfBH728rQSuB8R+PTSSfPgCXEibPzi2sMLv2cJcRAopIwuFwMy24mTh4QBA77UWwY/45gW&#10;3Twg6SE/8sqxeghxUw+pmxC3U7/kpRBHymHeyo3hk88+L3wPX7d+k5unmfjTK+8V+vr+x5+Fgy9/&#10;yM3T3/CEuEsuPaT3+86mWe5ccVLvd6TIyVnguxd59fcxRDe0CxnPKyN4faMQRwjpDww+9aqiZyVQ&#10;i2c0LyjEEUIIIYSQIrqfD3seFQthhTisGNeTVPXwhDg8F3svN2sFRJfurhQoRV7R5fRxEX0g0ejj&#10;mpQ4B2FH0jwg2qC8LpMHCFJefYInF2X1BSCPLQdE+MM8perBPGnRSEtFMbTQlNWOPqdyDHnlmE3D&#10;PKX6YPtry3t1C9JXfMqxcoU4oOsWcB69vJrYGOSaFtnMlhPKvQZRpxXbNPZaSuUVYtcfxujlB7hH&#10;vTKp6xTExp11b1UiEBJCCCkdCHFtIzvnFz9jlijEjRs99nldQeeYse6L+Lpx1IHhtqmdhS1S39oy&#10;PXzy+SXh3fdnF1aH0y/NtmzvCtt2zCoIckh75blp4clVp4V1Pzs63Pb92kl9z626oyBApYIyUmsg&#10;whWiGc45hbhiKMT1H6wQB6Gi+89T93+U/EPvsZQQp1c8ErDCnJcXoH6b35IS6iDfST4RPOohxJ3e&#10;OUr9sd9Ndx+qHvYlb9sRxS9ZKcSRPPzu+e2F72AEfvbyNBOvv/txT29DQebz8vQ3PCFOBDfIZzZN&#10;wPeaiL/CiJFfdvMKWG1O6o4BMS4lxSFN8soqcRTiCCH9gSEnzyt6VgIU4qrPlD88G/76+W7ZHnHD&#10;xs1F6Ru27+pJCWHnp58VpTUzGIeMC/0+es0Tbj6SzUNbd/8PDohNH3zs5ml2DrzrocI4cC1IbPn4&#10;0zD78Y1u/v6EHhPuVy8PIYSQKtBHiOtcrp8VS95iqoTornuybgs0UoiDnASBysMKRLqcPq7lmJgI&#10;o/PoeuU4xBvUr8tjBSqR7WJCTwwtXaGsjBN1iqSFNnUZ3UddBuBn6QtAXl0W6HrlE2NCeYhRWljC&#10;cVse+SQdP9t0wbaDfqF+lEG/9BxKfV57kiboemx/PQlL0ry6BekrPr30PHUgTfLZNJxPScN8YPzo&#10;v4xB2gcYjy0vdctcAowV5e0KaLExxNASqO2bFtG0cIZzgDbRd30eUUafDyup6esdP8tx1IExemOX&#10;612u07z3nh4XxiH3Mz7Rb+TXdRFCCKk9VRHixo4a+7SuoJFC3G9OGBluPbMj3H/lUeHpB74f3tk5&#10;K/w9XBp2fnhBQX6DBIeXY/h8571ZYceuOeHjv10U3vtwTmEVuad/9/3w++tPCLd11+HVXymQ4SQ+&#10;/WBX2HDbot7V4PCJ37dtfLYpVgsjtSdrhTjZshPXhE2rBRTiiqEQ13+wQpxsmzdl6rDeYykhDvmQ&#10;X8qBmBAHaUPyQIpDPqyCBKQeIbWdoAh1IpXUQ4g7YdxB6o99bf4Ba+DM9XvZl7x9hLjxk4vSCfFo&#10;phXipB83P7LZTQetsEKcJ/Na7GqbQpYQJwIdyuK7VL5X8R2r68taaU7qkXwU4ggh/QFPiMPWUN3f&#10;ZzWPf128pqtRQhwEHUgtWnKB2PX8zg/D1c9scstUAtrTsfbN7UXpEKB06LRmxvbbjovkx0Z/k8gg&#10;w0F+82JPuC509FdhkRBC+gVGiKt4i6kSorvuicVtdYa24Z37ei83a4UWjFIgX6ycPg75RY57ohgQ&#10;uQayjxzT5SDg6PyClm8g23h5LBBztCxmxT6AupAuv+u+QB7yyuCYjANY6cfKVzZd98sTlCA9SXn8&#10;bNMF247XV0Hy2XOp04AnvGWNV457dQvS15hMlqeO2HUHpH+YVyuJCVpqs9eQrht1ePOu5zs11xZd&#10;zusbjsXa9NDXqJ2vrHm26LpKvfdS54MQQkhjqIoQd+Coca/rCiaMGeO+iK8HS087KNw//5vhsRWn&#10;hI1PnxXe2jo9vPfBnLB1x24RzgIxDqvHvb1tRnj1xXPCM3/4fnjghhPDHT882K2/EiA8ycpw2CqV&#10;26KSLOotZFGIK4ZCXP9BC3HYrrT7T1MByBRyPCbEacEN+eXnmBAHqQPpEDQ84U1WpwMpcQPbpSIP&#10;JDz8Xg8h7qixY9Qf+8If/KpvcTBw5voB9iUvhTjS35HoDyvVVRMrxMn3Vkxuky1LAVZ70wJdlhAH&#10;CQ54op3+ngapban1dzDqohBHCOkPDDlxTtGzEuj+HqtLNEKIw0ptVuLyAnkg+Hh1lEN/E+IgBUpA&#10;FIzJWRTistErv0HAjF1XNvqbEHfnpi09Pe8bFOIIIYTkpu8KcZW9QCwh+pMQp1easuX0cQAxC8ch&#10;KNk0LdZo+Ubq88popO6YbGdBG9JeSqLTgpeslgVSgpKu286PSEkYT0yc0iuD2bRShbiUBCZIfVag&#10;0mlaUrSIOAjsXMpxr24hS9TKU0fsutPnIlUe50Ly2bHqumNzqecgr7ym2/RkQ8FKhllInXa8cl2l&#10;rj2NjLuce0/PR9b1RwghpD68sP3jiRU/z36jvWObrgAr0Hgv4uvB7T/qDA/ffnJ48emzwuY3zgtv&#10;bZteWAmusDLcthmFF2W9W6d2/46fkY6f33j9vIJEh61Wl/24+mLCW08/3vPPNoErwJFcUIhrLBTi&#10;+g9aiBMhA8KaHAMxIU4EN4ge+B0/A0+I07IdxA2bLuiV5lKrKEke1FsPIQ7Cuv573TayY313+1WN&#10;geeu3te+5KUQR/o7Eq0uxMlKbbHtUvG9CRFObxmN/CBLiMtCvquBlp0tettU9INCHCGkPzDk+OlF&#10;z0q1fMloY+8la6f2EeImHOO/HK0CdtvSrKimxNPfhDj0T0dsLiBBccvUNPbcxkQ3vW1ufxSusLqi&#10;DlwbOI5rYk+4LnRQiCOEkBrSQCFu8PCxI4rb6n427T7mvdysFVoCyiv4AF3OpqUkGZF1IHDp4yJL&#10;5SUmVVl0P/Ou6CV9yRKEgNRt5aos+Quk5rBUIS7PfEh9aLeUNEHLjDZfnvJZfc1TB9IkX+x4llgm&#10;/bDXYKxuTd7zotFlYiuwlYPUaedLt4drGPdj6tqX+ciLPn+oF/OI4/hEX0oV+wghhFSXmghxJ3c0&#10;Toi787zx4dkHpxQkN2yT+vY7uyW4Aj0C3NZ3u3ZLcT2CHH4v/LxtZti8+fzw5/X/E+6eOdGtvxJk&#10;dbh6bX9J+j8U4hoLhbj+gxbiRJqwq7N5QpyW50Rcw+/AE+L06kep7VB1vpi4oaUN5K+HEDdqdIf6&#10;Y9/NyI6F3e1XNQaet2aEfclLIY70dyRaWYjTK2jGvv+8ldukTKVCHL6Tpa6UEAdESsbfAQpxhJD+&#10;QNvR04qflWqwrX0s9r5p7eSBpxa3XyshDqtyWRkOv9+wcXPvil2QdvC75KMQ90VUcy5ajbxCXH+n&#10;2a7haqODQhwhhNSQPkJcR5d+VgQ9SVUPrAZn28Kqcd7LzVqhJaC8gg9IyUOpFbFEnrErvJUq5eRd&#10;IS61ClsMSETIHxO3NFK3zSvjSdWRmsO84lWedgSpzwpUWWmaWL485bP6mqcOpEk+fbyU8yz9sHlj&#10;dWvynhdNOavKCZDLcK2jz3LvWLz5Qps2P+bIa1/PRx7svQdRUu4ZAXWiDzofIYSQ+lAVIa64cGOF&#10;uLvOmxCefaBYiMPqcOCtbTPC5jfPD2+8cW54Y/N5PYLc7jT8jK1TUe65P00NK2dPcusvl99eMbPn&#10;n2xC2HDbIjdPNYDEtOO1l3vlO3zi95TchDRIep9+8MX/CZunHNIRL/9+deF3jEuOIbAt7OuP/qGo&#10;zHOr7igcl8DPsfmQOUNf8Du2mMUqe9JP6SPySRmsvIex6PHj99j2tNJffHrpAONDSD+8NCkfaz+2&#10;IqBXt75WYoE6kVfaSfUf4DwgvDFocL4l8DPmDWX1tYFzhvPolQcoh/MkMpkE2kY/U9eUPccIuY5S&#10;WwyjP7Y9/J7qJ5Dx2WtSypUjxMk1oMfghZxDYK91/C5t45i9jwD6iPmUawCBNlPXG5D8ct96oF6E&#10;d11JmpTH+dT9wGdWH+x3Bcrg99S1kYUW4rr/LBWwQpsV4iCkeasdxcoD2S4Q2DRNnq1XgZY2GiHE&#10;4QGgu/2qhivETTyluN3u322eVufgyx8KK5/aEl5/t/gl1tZdnxYkLKR75c655dlCvk8++7z3d6kD&#10;x6zANW/lxvDi1g8Laam4+ZHNRWX+9Mp7ffqGOlAX0nUbAsaDQB78fvKCJ8LTb+zqbRuf+B3HbVkg&#10;Y0PgZ5uOOUG/3v/4s55c6fnCmNAe8uhAea8f0v9SA+PS9WjQBvps+4C51XNuqXQuAeZQl0FktauF&#10;OC2k6e+xLKRMpUIcvielriwhDit4Ih++4ynEEUL6A/Z/Hhhag23tY1FPIU5vW4mA9IYV47y8EOSw&#10;2pWscFUNKMS1LhTi9gx0UIgjhJCaUvQ/0HpC3MDhE/bqSa5q7D987ADbVlt752Tv5Wat0BJQKbJO&#10;ljyEFdOQBilHjultLe3KcSLl4FMfrxTpB/DSPUQkytMXqdvmzTOe1BzmFa/ytCNIfZ5AlUrTxPLl&#10;KZ/V1zx1IE3y6eOlnGfph80bq1uT97xosJ1uqWWAFulSxOYLYiratrJaTEbNcw2lQH/13EqdeVdm&#10;JIQQUh0qFuLw4FtcuDOc3jnKfRFfD+740cHhkTu+E156dlp4Y/P5BQlue4/o9ubb54dXX/hxePGp&#10;s8Krf/lx2PzW+WHbjq7eFeJ2fXxh+PCTC8OLG34UVs09wq2/XER8QqREkUrQW7J64clBEFeyQos7&#10;GhF2IOuk6kEaxCPJ74XXN8gxEhCEtPijA8eRjjpieSA5eUJVHuEJ45OIpaE82o+F9DFWHiHHRI5K&#10;hZwTPe8pYUzmxROcNHrOcc1qUcyGd13k6TvCO9+4L2LnD+G1hzGn+oiInfusspgrSU9dH5rUdWpD&#10;jyfrWtft5xkzwptjIOFJdkLqvpA0lE9958Su+azvqXK/H0WI0yKaFSasECdym5U0pLwnssnqcxDZ&#10;bJoGqyel6hFE8MAWg/UQ4uzf61oIcYPOXzu5z0teCnFJICppSckLpHtSGGQ0Ca8eCE+SF+JT3hBJ&#10;CnXmCU+qgpiGEOkqFnnGZqU7iF+pOYP4pfPnkdtsP8oV4hC6bSHP/EOU82S+SufyuvWbenL44Z0/&#10;oIU4+f4rVWxDmXLKWfA9KXXFtqIW9Cqdly+d7Y6NEEKaiT7PSjXY1j4WX168dmI9hDhvdTisBOfl&#10;zQJ1QZSDEKPrxHah2PIyJjtVS4hDPZD1vLaztqVEOsTALR9/IcejHtQn84GxlRuoS/qgBUQcj83L&#10;1c8UPydYSRHzjbnSfUZgvso9h+ijdw4ROIb2ZNXAGGjbngf0EeOWObBbiJYSqMu2KUjbOO8S9jx6&#10;SH45T97c4udS59XOoQ2k2zK4HnDNeucV5yY2/3pbWVw7yKePlSpuSj/0XMbuZR3oJ45hrkqZP1zf&#10;uEZQXgfmCMdiZXFcAuVxzH4X4BP9luvPA2l2vF5456wW9yIhhEQoEuKGto+bqp8VQT2FOLTvvdys&#10;FVoCKkXWyZKHtPwm20TKKl777DeoT34RabRAVw10P/OKOdIXiEReukbqLkcySs1hXvEqTzuC1OcJ&#10;VKk0YU/bMtVeh7G6NXnPi0aXybtlqi6DfqKcvX4lPTVfAupDPVJG90Pmo1r3HuZfC4p5V3MkhBBS&#10;HSoW4rwH1LMPbXdfxNeDW84YE377y+PChjVnhJf/Mi28tXVGeO+DOQUhbvNbM8JLfzk7PP/4meHl&#10;Z6eFzW+eF7btmFWQ4iDEvffBBYVV5V7oTl954eFu/eWixScILZCNRCyRgOSC4568k4UW7rBKFH6H&#10;ZIOVmKQdCCq6jBZTdBmAn/UKV8irywJdr3xKHfjUUo/UhU+IOsij5wR57biRR0LqgqSEMdkVpnRf&#10;IRqhLPJoccgTgGQM+LRpgu5nLE2PVbev++i1kaobZPVPzxHm3MuDfkjgZy+PoOuTQNsohzR7Xq10&#10;JVIb5gBl9DlFXimLT10OyFwhDW3JcUhVqE8LZIKcX7mupD25x6Q9r6w9N7ExImLzb5HrEP3SY9Bj&#10;9+4lPe+6zziOsvrc6msa/UI68gHUrfvunW8J734QUC/CG7ekSTv4RLtoH+3Z+1KX1cIkxqfPF8aB&#10;/JUKcaktTbUQp8U5m0+OeyKbrOiWR+xI1SPoFZdqLcRdOenAor/VAP+HZXfbVQ0KcaVhxS6IXJCX&#10;IIDhE79LIJ9dAUxLY1IPyuA4JCdIXdKOBFYZk3ogX4lshUCbun7pn/RLy1qoX9rEpy4HpF7Jg5C+&#10;oS70Q0KLe4IeG37WaVIWdes0yGBoA+j86CtWgsPqbDq/Hb+swGaRQF4vHeh6bBrGK4E+Sz8A+obx&#10;S0CKs+UrnUsph7r1NYSyItnp/IIW4mRFTYi8+nssC5QBlQhx+js7T/s6//Sf/cgdGyGENBPYTr7o&#10;WWkPFOK0TIKADOLlywIyS5ZIgoBwYoUeyCs6rLhjBRmdBlBfHsEqJdSIOBML9BH9qiREIrL1YE5s&#10;n4AdkxbiIDxl9RlyTkye8rDnIRY4z55YhLbsubKBdOTNypcV5bSNwJx4fdcB6cyKTTpEuspDntD5&#10;UXdW4LzLtaTR40c9npxly8TI0w+dXwfaTZ0Lb/7y3lveGHRZpKfqwtx55z/Pd4AOXbYW9yIhhCQo&#10;XiGuvXOyflYEeC/Yk1zV8Bbg2FOEOCArrcm2qfI7Vq2yeSHNSH1ZQlMp6FW2Uls46jb19pupvqTq&#10;zpK/QGoOtRCVOi952hGkPk+gkrSUvKRXOrNilxyXc+0hQlasr1JHSvCKzVkp51ny2b7muabznhdN&#10;qk0NhDeR3nRfYiKnpKfmS4N65B7UZWp175VybRJCCKkeFQtx3p7+08ePdF/G14ObTh4d7pk1KTx4&#10;44nh+cenhi3vzgwf/W1u2L5zdnhzy/Tw+uvnhldf+kl4/bVzu3+fUVgdDlJcYfvUd2aGN9+cHp7+&#10;/ZSwomuiW3+5aPFJCyteQHjRIlEWyCt1QijxykI2QcjvkE4kYu3hmAg+CCuqiBiDQB02XdqU8NrR&#10;82LlHS0JITzhS/cPgTZ1up4btK/TQEr8EVLSmj2v6LPNo+cpNX59XMjTP5kDb3wA4hEC/fPSNXbO&#10;7XwCLTWhbZueQl8Tdq4kMCf6eAypC+OKSVS4ZiR0Hj0Gb25xnrJkRoueO+860GO310GeeQe6Dk/y&#10;A1nnRyI1z6nrTtIQse8OPXd6LFnXeyWIEKcFMytIaCFOxDZsq6fzACnviWySVooQl8qrBb65xx/g&#10;jq1aXDJhRNHf6t10TOxuu6oxaPraqX1e8lKIiwKpSSImJemVyqzoBSFKR6wOLVR5K5BJPzwZKwXa&#10;k9CiGdCCmBXXBC2C2X7psdmyEilBrRT0efDSJVLt6fHaNNnWFfPgreAGtNRmz2Mlc5maxyy0ENd9&#10;exdISb4eUq4SIQ5lpR67+qeHXqXz6NMmuWMjhJBmoq3zmKJnpaEjO4peQtYyvnzjmhH1EOKs+BKT&#10;s1JA1CpFJrFCTKVCHPqcN6xIhL7nCZSrZIU4hLRt24xJiDp0nlLmuxQJKq+UhICsZ8vnkRKlP3ny&#10;pkK3C9EoJbDZQF5dHpQaWk5MkXWekC55S7mOUc6KXfY+seGN2yPvda7LlBp2/rL6rgP902VLuW4R&#10;9trFPJby/aXPWa3uRUIISWBWiOuYqJ8VAd4L9iRXNTwhDlu2ei83a4UWb6otxGnRRstUnuCjRSOs&#10;LmXTy0XLSFjxzWtbZCr5XfclJvOgHtmKEpKRrTePDJSaQ92H1KpipUhHUp8nUEka8KQ4LVPh06aL&#10;7ObNBX7XK4bF+irpKSkvNme2f7YPgu6Hvd7zXNP6vNjyKeRaAXa7YIBj6LfUmdWX1Gp9KaQfuowe&#10;UzXvPRFL81ybhBBCqkfFQtzg4WNHFBdurBB3w/Ejwu1TO8LqS48MT64+Pbz+2k/CO+91FV6ObdkO&#10;ugqf8sIMP2P1OAhxr71+XnjhyR+GR24/OSz/8aFu/eWiRRBIKvgd4oqk42ctkcRkFw+IZBIxkQZo&#10;IUivDufJO4Ku2wppIsZgPJ4UAyRiedAnCSvoaEnIk+GAntdYHhHCEDYtJf4IKYlHp+nzqdESk53r&#10;VN2g1P55fRAh0FuZzJJnzoGe05iM5qHrt3OBawSB+0AfjyFzk7pXcM1JaOEyz3kDEL4QqfkX9Niy&#10;0u3YdVpqPNIfnNPYPQf0/W3HJ4E50Mc1qetO0lL3vb6v9Xj0vZCa93IQIU62IAXyPS+IECcSGlY7&#10;8rbdk/LVEuJSqxnpVYxqLcTNGV8fIW6/89Z09XnJa1c9OWJKUXqrAmlJwlvVSwNRDQEZSh/XspOV&#10;5TQiVMXaSclcKVKyla4zJoGlhLpU3SKYxVZ0K5Ws8Usgn5cOYnXo1eFS5fX1YMdVyVzq1QFlxcC8&#10;iBCXdxtoDylXrhCnxWFPYo4hZSjEEUL6A0PHTCp+VqrBtvaxqJcQZ0UUK6PlwdaB30V4gazkCSta&#10;iKlEiLNlIRVpUciu/GRlGFu3Lo9P9AXldX/teGJzZvNpGc+upmcFIbtdqpYIdZ/RN+SVNPTZyma2&#10;7hjoH+rDHMiWm5JmVxJE2LI6bL/wM/qdNf96jlL5dJqdZ8ytbttb/ctKVV5IHsypFe6s1JlFqv/A&#10;mz+0L+cA6bYPWXNpA+k6vwfa8+ZK+oFrCdcH8uhyXpQyfziHOG84rq8BtItjOuw47PlHoD25j9EP&#10;G/ratunSb+Sxafb61HNur/lK7kVCCImx95J1y3seFQtRTyEO0aetPUiI09KOyEop4UbkLsmn+wPB&#10;CWIYJBvUpctlocU8CEGQ81A36tOClC6j+6LLANQn4wHeimRSPiUDpeZQi3yyZSbaxvi17JWnHUHq&#10;8wQqSRPQJsaFNvGphS6vvB4L8kpZzJueKxDrq7SB/FIe9eJT8qTmTKehDpwnlJV+6DF4K7Wl6hZQ&#10;l+TR/coC50/K2b7p61PqxPjlGPoqK7fhE/3Uc4rfdVsYJ8ro/qEcjkkZ23e5jkAp9x7yAqTLdYlP&#10;LcDa/hFCCKktla8Q5yyXjFVovJfx9WDhNw8MN3yrPdw2tTPcP/+o8PiK74YXnjwzvPnW9PDx3y4K&#10;H3Xz/kcXhPc+vCDs2DWn8PNn/3de2PXxheHFP08Lf1x6Ulh5wWFhySmj3frLRQs4KZFFpCCEl+6R&#10;t26Nllq8dI2EFZVS0oyQJ4+EFXRSAlEpefT82LQ8/UuVT6UJqT5mlc/TPy0fWelNC0ix0CvH5ZlP&#10;oFdeS+Wz5J0LjNeuGGgpNVC/lJV5zVo1L8/8C3psniSoz4W9T1PzopFISXNA12fFRgk9H5bUuPPO&#10;iYiYOh/GLcfxiT6UIlSmECFOryJk5QgIcRDgZNu/X1x7eJ88QMp70seAAV8qpJUixKXkkXoKcdjO&#10;3P69rsX2BhTi8qOFr9jKbkJMiEpJYxopD5HMSy93hbhU+zFBTJMqn7duSH6QznR6qWT1VQL5vHQQ&#10;q0Mf19uVesgqb1Z8zOofSM2XXj0O5zom1VlEiNPfVfUU4rSIh5U9PYk5hpSjEEcI6Q/o56TCs1Id&#10;hbh/u2n1vv1BiIP0oQNSi5ZNBLv6lRZirAxk+2D7qNO0cKJXUdNYoUaOQ07REStvsQJObM5sPi3T&#10;2D7ZOux8iUhj+wzZS5cDmH8dsf6Vij0PWu6x4o/XLw9bpxWOYvl0Gs6bDk86skKfXS3NhhabAH7X&#10;gf7o9CxS/Qf2fIuUpbH3GkLfa7YNhNSDst68WKwAhn55+Sw2qj1/OqyMZ+8ze26BFfL0dabnzeuX&#10;vr70vdTIe5EQ0rrkEeKwUEZPctUDLyh1W8M6D7/Ge7lZK7QEZCWZFHnkISArhwkQfbx8ACKNFnNS&#10;eOVj5KnX9gtlbN89YuOR9mLyF8iaw1if9QpjedoRpLwnKEkaxpMatyeSgaz5QjkRv2J91fOhgVzl&#10;5dFlBS19xYiNIc81jXtE8pRyvwAtvnnYfqXmE2KayJz2fNq8Fm/85d57WWUwBtStyxBCCKktG9/9&#10;aHLVhbgrJx3ovoyvJ4uOGV6Q2lbMGB8eWjI5bNr44/DXzy4OH316UWFFOOG9D+aEv4dLw45ds8OG&#10;dd8Ld0+fWBDqrj/Sr7dcssQnQefLu4KSXq3LS/cQ8S5LagESNm8eMSZPHgkr6OSRhPLkSc19nv6l&#10;yuc5r6k+ZpXP0z8gqwtawVGOi4TkhZbC8swnyMqHY7gupf9eeOX0ymYI9A3HPGmq1NCCXd55zZtP&#10;kPsKK7np8UGGk3Pg1ZU1n0CLj/Zesej6bF6JVB2pceedk1g+fK9p8ReBPJgjna9U8gpxJ04eUkiD&#10;2AbBw0PKI68ckzqkfogZum7Lw49N6a2nWYS4qYfUSYg7f918+5KXQpxPanU0ixaidN6UBKXRq4Rh&#10;9TERs7Aqma4bP9uyAHVDpNJilQ3bfqUSVyoN/OmV4he8kMhwLCWdYc4xfllxzwuvnERsfkBsvFnb&#10;sWr0/Orjlc4lzrM9d5AjsWKc3l7V0kghDjKcCMz4xPeqly+GtEshjhDS7AyetqzoOWk346Z2f4fV&#10;Jf5l6foB/UGIswJNrLyV3rR4UokQZ1ezyhNSNm/fLcinI1bO5tMSjpVprMSjJRwt6tk+54m848rC&#10;ngc9HnsedLkUqTpT+eS4nUd9XVlsxNJidehIteMR67+Qd/5sPXq+Uml5sWJj3jp01GL+bOi01H2W&#10;J4+eN69fMSGukfciIaR1sUKct0tUPYW4A8ZNXOy93KwVeuUqbyvHGLIClF0xyqLrx8pVXh4LpCzI&#10;PnoVLPwM+Qbyj6yWVSqoVws8qBNyUKo+KaP7Asknq5zISvj00kHWHEIkQjvStvRX58nTjiD1aMHM&#10;puEaQLuYZ72iGuYgJv8JXjn0S8QxGW+qr155Pc95rju0h3K6Hvys++KRp2696mEp94sgfZP5BrF+&#10;yXxqMQ7jwDGkSX/t+URduE50ObSHdnA/6ryWUu89/A7RT99XAL/bfhFCCKkPFQtx+Ifa4sKd4ZrD&#10;Gi/EgV8fOSzc9O32sOrCw8Pj95waNj51VnjlL2eHl7t55fnuz+emhY1PTwsvPPmj8PRv/yes/flx&#10;Ycl3x7h1VYoWn1IrIul8MTHGorda9dI9UnKORcLmjQkvmjx5JKygk0cSypNHz6lNy9O/VPlUmpDq&#10;Y1b5PP0DevUxEb+wGpdEavtTTZ75BKl8WtBMRax+3B+Q4LTEh5+tMCVhr5s85J3XvPkEK/TZwDg8&#10;0TXPvKOcRNaYdX02r0SqjtS4885JVj6cT8kjgd/zrnJpySvE6fRSECkuVb9GyyOxlehAPYW40ztH&#10;Ff2tBt3tVj32m75uoX3R29Z5TFG7FOJ2AxlJwhO+NFqI0nlTEpQlJYEhkO7JUVroSoVtv9ZCHID8&#10;BgkOMpwEfrYr7mFcWeOX0OUEiXKEOAh4Evq4R62EOJ3Hnk+IcbEV4xolxGElOIjHKAcZDnKcly+F&#10;tEshjhDS7HhCHP7Hw+7vsLoEhLh9T5pS1H4zCnF5ZBRBhxZPUEaH7YPto04rJ2QrxVL6rrHlYnOW&#10;Vb9d2Uz6ZSUvvUqXrTNP5F3lS8BqXihjV9Wyocejw5OKYthzGzsHsWsg69rR5L2OYv3XUcoYQapt&#10;oCNVd+qaymojD+XWoSPWfx1eHqymhlXWIOXZe8OGLpd1n2XlsWkQ3XAc/bErOepV4Gy5PFHqvUgI&#10;IZa9F69b3/OoWIgGCHEbdFvfGDPhHu/lJiGEEEIIIVlUvkLcyI6u4sKd7ov4RrHwqGFh6Wljwj1z&#10;JoX1vzg2PHTzt8PjK04JT6w8LTx653fDH248May+/Kiw/JxDwtJTDwqLjh7u1lMpWliKCS9AC1J5&#10;V4jTZWq5ZardjjNLeAF58khYQSePJJQnj54fm5anf6nyqTQh1ces8nn6J4hAJttp6msu73WRZz5B&#10;bMtUPR6ImraOvPULGIOMC59aJpWwW/nmQeYVdXrpQinzLyu4oU7MA1aJk8DPOBY7D3nnRaKULVPt&#10;1rMS6I8+rkmNO++cyHnLyod501Kv/Z7JS14hbvzEr/eml4LIGBBB7DGPSy49JFe+egpxJ4w7qOhv&#10;dVt756budqseuYS4o6cVpbcqWmAqZctULa3lkaCArEYH4QpCFCQoCRyLta/bhdhl20i1X6nElUrz&#10;wBhEjMOnXilOi2bolxXAsvoqgXxeOojVoY+nVq8D0k+7dW1W/0Ap84VrSNdp2xMaIcRpGQ6UI8MB&#10;KU8hjhDS7Aw+c2nRc9JuOiZ2f4fVJf5l4fq9+ghxR052X45Wgl0RCgKIly9GHhlF0KGFmCypKSXp&#10;lBp6JbZS+q6x5Wx/Y/ls/THZxq48pbeftHXmCbt9ZQwIQHauU6HHoyMmRHnY9mLnIHYNZF07mrzX&#10;Uaz/OkoZI0i1DXSk6k5dU1lt5KHcOnTE+q/D5oEEmiXB6dBls+6zrDwQUfOsNIk8eovaWt6LhBAS&#10;wwpxbcM799XPirup3fMqhThCCCGEEFItKl8hbmTHQl141OgO90V8I1l09IFh6XcPCref2RlWzD4s&#10;3H/FUWHNld8M9112VLi7a2JYevqYsOio2q5qJ7IMIiV8iGySJepotPiEn708QMtEehUvfdySqjuP&#10;GJMnj4QVdPJIQnnyaEnLpkn/UmKgXvXLpqXqFlJ9zCqfZ/4E3U+IV1K2FGFM99WKVBotMGnJS9qE&#10;AKbzC3nOlyVWRoSzPFKnRc9V7PrHuGRrz1LmP3V/x8g7L9KfrDGn7m+JlFQnc+uNO+scA72aXd75&#10;kHrzzLWHCHFaWLNyBIQ4e8xDynvSx41Ljk2mCyJzYGtWL13Q4lythbijxo5Rf+gLf+w3dLdb9dhv&#10;+rrl9kUvhTgfyFESkNS8PIIIbPjUx/NKULI62nXrN7npMWKClpBqv1KJK5UWI1ZGAqvJ6fxCVl8l&#10;kM9LB7E6REZEpMTH1PVQ6VzGyKpXhDjQfXtnfvd5SLk8QpyV4VIrbKaARCd1UIgjhDQ9UxYVPSeB&#10;Wq64YaNeQpyVOvT2nHnII6MIOrQQkyU1pSQdHTERJ0YpfdfYcra/sXy2frsSHOREHNcrs0HC0WXK&#10;7XMerByZFbptHaWcB3tuY+OJXQPIryN2LkCl15GOUsYIUm0DHam6U+c/q408lFuHjlj/deg8kMxK&#10;keEQut4890RWnqz2cR/iftVlankvEkJIjL2XrCv6N8P9h48doJ8VQS1XNG4b2bFet/W/Dzr0Qe/l&#10;JiGEEEIIIVlAiLNOW0lCXNvIzuW6cOeYse6L+IZyxIHh1988MNxwwsiw+OTRhZXglp46Jizp5qaT&#10;RoWFx9RmVTiLSCaQ3bzV37R8lrUClEbLdhBlvFWopG75XQs4MQFFC0Hos603j8CSJ49EI4Q4LUZ5&#10;5XVZRCrdpgmpPuYV4lLykaCvA11vSmyz6L7inHuCpc5jZbus8x1bWS6FHpcuo8eYd0tYAXMi4QmD&#10;uNblfkWkrl9Bxo57JibZxdBzmpoXPWb87OXRMprXb/09ZO9p/K5lR6+8jBOBumwdNk/elS5F4vPa&#10;zIMnxNlVhaohxAFs34d0fD782JQ+6VpyyxJHdH9v+ME4d2zVAn+f9d9r/ONSd7tVDwpxpaFXLotJ&#10;THprVStk5ZWgJLDKm7ctagzpHz699NS2r5VKXHnHptFSmS4jYedPyNrWVCIm1IHYeDHfeuW62Pzr&#10;PtjxVjqXMbSs56V7QhxW2tTfY1lIuSwhrloyHNAr2p11yRnu2AghpFkYfOpVRc9JAC8du7/D6hb7&#10;HXdKUfv43Xs5WglWykKUInZYKQS/e/lQpw6Rv7w0W0dK0tFh5bEs8vbdkreczefNqxVxIAfpsFss&#10;2jple8dKse1iLrGalV4Ry54HPR4bcjyLVJ2pfHLcXjtatLLosNeKjlgdOlLteMT6L9iw6YKtR0ta&#10;WW3kwdYROx8WHbG50aHz4DrTASHUtmtDp+W5z1J5dBra1kIq7k/cg7KdsaZW9yIhhKRoPiHukKe9&#10;l5uEEEIIIYRk8cK7H06tUIgrfjidMGaM+yKeFEs4kFEg8UB+AXpFJ6SVKtRosQtCjtSNNrXgosto&#10;aUWXAagP/ZDwxCgpnxJY8uSRsIIP+iGBn3VaKXm0RGTTdHmMF3lxDOPVQpSELZ+qW0j1Mau8vi50&#10;32ICmJad5NPLF0P3VQLXD64jpKEP+rqw49H9RR9FloIUpdMQuizScQ2ifi1Q4eeYwIWfdV9sWdxD&#10;mCv037v+9PmNjVE+U9evgHKxQFuoA3Ng5wzgmISXLtgxo06MEWXQf/s9oudD0P3EnEt5nC9dN8Ib&#10;N47pQBn9faPTbXnMs8y1nEt8orwE+qfL5EWEOC1BYDU3LUhUS4jTwhukOPyOdtHeiZOH9KZhdTgI&#10;Hl4dgmzhinqWnzPeHVu1wAqu+u81/vh3t1312G/6uvX2RS+FuDhaYkJgZTCs4objkJW0MIdV2qxM&#10;lVeC0vXYQBqA7GW39ER/JCC/SfvYclSnIWz7tRLi0DZWykP9eutT/Cwr4VnxTFbYw3G9Sh5+tnMj&#10;aRpdHucF/UH7ul+p8eo01IG5RlmAeZX6Ed5qgZXMJerHvKDf+vxi7OgLAnMgxzVaiJMtqSGt6e8x&#10;Db7z8H2oQRkpp49boVhvaY3vUp3XQ5e16O/pC68/1x0bIYQ0C0NOnlf0nATqLcQNOvxbn+v2ayHE&#10;AS2AIPC7FqE0OA5BREQtKyTFVphDfh2yPSiwdUA00WVToo/tuyfDxLAiTqrvur9WhLH9jeXz+vaQ&#10;2TbVrtJmt1i0fY7JR6WSdQ5ASpay50HPlwB5C/n0sVSdqXw6zYYnL6E/OuT6FXTE5lRHqfOe6r+X&#10;7s0fxqXDXq9ZbeTBXo92ngC+A3Ae9TzrKHX+8twnNnRanvKpPJAjJez9lqJW9yIhhCRZvHZTz2Ni&#10;IeovxBUvwvFfBx262Xu5SQghhBBCSBaeENf9LFv0vJsMZNaFsSWb9yKe7MZKQTZiEksWkEqsqGID&#10;4ost40lfNmw5Qdqz0osmTx4JK8LkkYTy5NECkJeeOieYH4xfwpbNqhuk+phVXpfVAanIy6/7iih1&#10;+07bVytI6fCuC0hoqTKYT7nm9FzExqnDaw/3CqSurPCuP5RN9RVzJ+cndf0Kee8nRDnXupDVb0Tq&#10;eySrn7gfRLD1xq3v6ax7B215ZWPhlcmLCHGQMbr/NBWwQlu1hDigxTcPyHB2hToP5EN+iCC1FuL0&#10;32qA/dK72656eEKcbXvI8dOL0lsdvUpXLDwZDsQkKAtkMZGfUmGFMQhUqXLol0hotv1KJK5Umj4e&#10;C8yprgtjSoWW+3Q5QY9FB2QzL48uK1iB0AtPhgOVzGWs7xI4v1os1GghbsrUYb3fcfp7TKNXvczC&#10;rhjn5UmR+o6V72jIxjf+/hp3bIQQ0iwMOXFOn2el7u+wuoYV4rCFqvtytEIgh9iAbAMpR8Q4fOJ3&#10;HEdo+UOOSUDqElkGn1ZGgYCihTvbvpWxUqIPVmXSgbp1vwHqh+iDftpVnLQMg4AAJH1HORG9dJ+s&#10;CIM8aA/oFbvyiDreCn0SdhUzwfYZ863bRf8xBzgeq8OCMjq08IRPK0oh9Hi88yByEeZFz4WUAbZe&#10;EbDQprQPUtcAyuhA36VvaBtzYefMngsdMbFJR6nyU6r/AH3Ugf7imKRjLuValCjlPsmLdz3i3Mr9&#10;pOdSz6GOUufPjh3nU9pDf+y4EFIW5LnPUnl0eAJgCntdVeNeJISQNGuLVswYOHzCXvpZcTfjpvYk&#10;Vz3sC8v/GnXwLu/lJiGEEEIIIVlUXYg7YdxB7ot48gVYHQlCkw6IIHpFrXKBNKSlE4gxkFZSK85J&#10;GS3ZoD9Z5WQMMTkL5Mkj7WL8+jiEHomY3JMnj6w+hXa8dIA50JIQfhYBS9rwyuepO9XHPOVxvdi+&#10;xaQpXD8yn4jYnMSwY8X5x3UgdeIT5zIlbUkZLarp+ZRrwvYN6UjT5fAz6kqNA2PGPFrZCmVRH9Ji&#10;9xWO277q8cn5wTFb1oK65DzJWAXMiT2Peg5l3hF5zhnaglRnx4zfcTw2XkHKlzNuaROf+N27d2J9&#10;wDxAtvP6jTZt/lIQIQ7IlntWtsgrxMmWqFhhyEsXsCIcRDbJD9A2hJCsleGAlvfQVi2FuCsnHdj7&#10;d1poG9nR1d121WPQ9HUb7Ite2zZe/No8rQ7EM8hQIpchICph5S4rd2kgMknEpCYgQpwnP+F3tCHi&#10;Gz61fCd906uYyYpjSJetPm29sp0q6tPHNSgj4fVLwqahbbSr+4Sf0U+bV4AkhjIyTgR+F3kMx1N9&#10;hVim20NZveJanvFKH2y/dT88KplLnEuUx7Wkx45ziJXqPNFS0EIcvvO6b/ECsRXa9MpsWditV/V3&#10;aR5SQpz8HUAbFOIIIc0OVs7Vz0kl/YNMlWLwod/8u+5DrYQ4YIWRrNDiiBXEskKLPgByio5SRB+I&#10;M1YUSoWt24pcsdB9huQSCy295BF1gJVqJGJyjhWIssKrw8OKjVmhx4PzkKc88ug2U2OBRCT5UtcA&#10;zkdsDr3w5lVHqUJXHlL9F0q5jpFXpDEhTxt5wLznCS0s6ih1/lL3Uyx0vXnus1QeO282kI45sd9b&#10;oFb3IiGExGmsEIf/iVe3RSGOEEIIIYSUS8VCnC4ITu6gEEdIIxHZCLKTl05qA+QxBAQ7Lx1AEpOw&#10;q8T1F6wQ1yxoIS62ilFeIa5eaLkEYkcthbhLJowo+lsNuv/Y12Rrg0FGiBs8bVmftrE1mM5DaguE&#10;JxGwUnKdXkUtJWeR1kELcakVOJsJKxtTiCOENDttR0wxz0odG7q/w+oaQw456m+6DwNPnea8GK0e&#10;kDvyiEUQRKyMk0cMQd2eVFKJEAewIlNemchrH4JUKrS8I3grpiHKEeJi7csKax627lhYAS0F5jF1&#10;/u0c2/FklUeaN6bYucsrxIGstiVw3mxZoMM733nzxMjqP8grd6Iue/+BPG3kIU8/7D2qo5z5y/r+&#10;sP3RZfPcZ6k8uHbyyqDoh537WtyLhBCSoucxsRCNFuKA93KTEEIIIYSQLDbu+LCrqkLc6Z2j3Jfx&#10;hJDagxW4JErdLpWUj5731Op5QIJCXHXRQhzksu4/TwUgncnxZhPiZEs/bJuK3+stxA1t75iIv+PV&#10;jkHnr92kX/J6QtzgU68qehFMagskOAkvXYAEJ0EhjgAtxAGsuNZ9mxdWYNPHm4lfXHt479+Ahx+b&#10;QiGOENL0tE08peg5qW1kx3o8U9Uz6i3EAcgeWDUNwooWjCBzQNyKSV0AKz1BOLLyCurCcb2ilMbK&#10;TFZa08JYSipBOdmaUIe0n+o70mxZlPMEOgEijB4r+qa3ZNWSD+rFOHV5wRNyrDDkEZtv1IWx6K0u&#10;84I6Md+6P6hfxiXzExsP2vPmBXXGzj/KeG3q85XnGtDXrg7UhfKp86/bRt5y88TI03/Bu45RBsdS&#10;12MpbeQBbem5RH/QB28eqzF/3j2I3yFR4lqTsGPLc5+l8ui0POH1vRb3IiGExPiXhev36nlUbIAQ&#10;19Fl2/NebhJCCCGEEJJFRULc/sPHDtAFwdmHtrsv4wkhtUe2ukTk2XqTVAdIcBJ2u1SNzoctVL08&#10;zU5/EOIAJLPuP1MF6UyONZsQJ9sDykpLtRTi5ozvK8QNHj52ROGPeZWjjxB35tK+bX/v2qIXwaS2&#10;YKtPCb3Fp0XnS22jSVoHK8RZ2UynNQsi7cm22RTiCCHNTlvnMUXPSW0jO5fjmaqeodsH/zlluvti&#10;lBBCSOlAZNMB2U2LayJZ6oD0pusghJB6kyXEQVrrSa56QLaz7W3YvN19wUkIIYQQQkiKioS4tuGd&#10;++qCYPr4ke7LeEJI7cE2qQhul1p//v7pJ4W5xydWf8OqcZKGn3FM8nz07jtFZfsT/UWIwzZ53X+m&#10;CtKZHGsmIU5vlypSSS2FOMjq9u81/objb3m1wwpxg6Ys6tM2hbj6cs4tX6x0gK1TsWKcFt6Q/vQb&#10;X6z08KdX3isqT1oXK8QBkXnxPWvTGo3eLhXyHo5RiCOENDtWiMM/0OCZqp5R1H43+5w1x30xSggh&#10;pHTsdqexVdx0VGP1PUIIqYR/Wbp+QM+jYiHs82Ithbi29s7Jtr0/vrDJfcFJCCGEEEJIioqEOKwu&#10;owsCCnGENAasCCfB7VLrD1aGyxOQ4frz6n39RYiDFCHShkgRzSTEyQpGegW7WgpxUw/pK8RhldfC&#10;H/MqR58V4r53bZ+2sWqczkNqjxbeUvHi1g+5OhzpxRPisKpl963eu91zMyEytO4bhThCSLNjn5Pa&#10;RnbOLzxU1Sm8FT/2OXee+2KUEEJI6VghDivE6a19sbUqtjzVEdsSlhBC6sW/3bS66H+ktc+LtV0h&#10;rmOibW/NE8+5LzgJIYQQQghJ8dJ7f51fthDnPZhiWzbvZTwhpLbIdqlYhUyvTkbqB+YdMqJIYxI4&#10;Jzteezm5nWp/AeNA4NNLbxRWiAMibci2ec0ixMkKRhD29JaD9Rbi8PKz8Me8yjHo/LU79Uvewade&#10;1aftwdOWFb0IJvVh3sqNBTFu665PC/exBFaNw3Gke+VI6+IJcVo4vnPFSX3SG8nAff+p0C+swinH&#10;KMQRQpoZPBPZ5ySsiFF4qKpT4H+SsH342qyr3BejhBBCSueGjcX/RpQnIMl5dRFCSN24cc2InsfF&#10;QtjnRQpxhBBCCCGkPwAhrm1k5/Li58uODT2Pnunwli6+ctKB7st4QgghpFZ4QpylmVaI86ilEHd6&#10;56iiv9Wg50951cMKcUNOntenbQpxhPQfOuat7Pd44yKEkGYAq+ba5yS8AOx5rKpLYBt92wcKcYQQ&#10;Ul2w4lue+Ovnn4ern9nk1kEIIXVFCXHeisK1FOK8nanufOBR9wUnIYQQQgghKSoS4oa2j5taXJBC&#10;HCGEkPrz+1+fEF55/sdJNqw5wz3eLNRSiDth3EFFf6tzLwVbRuQR4gb9ZFXRy2BCCCGEkFbEXUl3&#10;+Nii1ThqHZ4Q9x8XXeu/GCWEEFI2sx/fWBDjtnxcvGI3JLhNH3wc7ty0JRx410NuWUIIqTd737S2&#10;d9ViT4jDu8Ge5KqH93y69L717gtOQgghhBBCMljYNrJjvX62xO89j57pwP8FogsC70U8IYQQQhrH&#10;UWPHFP2trqsQd+KcoraBTieEEEIIaVW8/3EAW5j2PFbVJbwVOP79skXui1FCCCGEENIa7L1kba/w&#10;Vm8hztvSf8EdK72Xm4QQQgghhGRRvhA3dGTHQl1w2KgO90U8IYQQQhqHFeJyLwVbRlghru3oaUVt&#10;t3UeU/QimBBCCCGkVfH+x4GeR6q6BbZotX2gEEcIqTYDb1sdDl+1rF9zwLKV7tgIIWRPpJFCnNfe&#10;VTfc4r3cJBH+ca+98N8VYfYVV7nphDQzw9pH9/vrF33HGHAveumE1Ip99htUuPauu2WZm05Ia/LR&#10;crwX18+WZQtxo0ZTiCOEEEKaDQpxhBBCCCHNR5/npBqu4huL7jYn6z6Ar167zH0xSggh5QKh7O13&#10;ZvZrrn/qGndshBCyJ/Kvi9d09TwuUojr5thvf7cgGIDTfjjNzdNMSF+ndV3gppP+Aa41nMd//te9&#10;w6Mvb3bz7Gnc/cAjvdfvuiefdfP0B3DvyTi89GanFa+9PQWRMXHuvHRCWhNPiOtc3n2vZAcy6oLj&#10;Dhr7ufcinhBCCCGNY8IYs2VqXvO9jOgjxB0xpbjt8ZOLXgQTQgghhLQq9jmplv/TQizwMrO4DxTi&#10;CCHVh0IcIYT0Mxavm9/zuFh3IQ5h27v4lwudl5v1AVJOd5eKaHZBRPpJIa5/IyulgaWr1rh59jRE&#10;Pu2cdISb3l/o70JcK157ewr4+yTnjqvEESJ8tBz/E7J+tixBiCvea3X8mDF/917EE0IIIaRxNFSI&#10;m3hKcdvdv+t0QgghhJBWBf+jQNFzUg2f0WLhCXFfWbTKfzFKCCFlQiGOEEL6HQt7HhcbJMR17NTt&#10;zbjiGuflZn2Q1XY08xcscvM2C9LPRgpxsm1rs89Vo8gzP622SteeJPI0sxC3p197kCnRd8iVXnor&#10;IHPQ38VSQqpHXyEOO6F23yfZYQseMWbMZ96LeEIIIYQ0js4xY7/4I99NXYU4+6KXQhwhhBBCSAFs&#10;Ja+fk3L/Y0wVo/u5sKuoD904L0QJIaQiKMQRQkj/Yu8l63pXzWgGIe6sOfOcl5v1YZ/9BvXKFSKS&#10;NLtkgD6CRgpxzdCHZobz0xcIWjIvXnp/opmFOOnXnnrtyep2+PTSWwF9L7WCTEtIFht3fLy+akLc&#10;cWNH/817EU8IIYSQxtFXiMu5FGwZ0UeIMy96246eVvQimBBCCCGkVRk6ZlLxc9LIzt6tqeoV+Aeg&#10;oj6Mm+S+FCWEkEqgEEcIIf2LvRev6/2fafcfPnaAfl7cTc2FuA26vdPP6XJfcNYavV0qVqyS7RwB&#10;0rwyzYD0kUJc88L56cuetKoVhbjGQSGueLVFrtJJyG4hzv7PFrn/DdYWPKlj9Kfei3hCCCGENI5R&#10;ozt6/1aDRgpxQ46fXvQimBBCCCGkVdHPSACrtfU8UtUtrBA3eMIx7kvRWvHVpWvD129ZEwbffl8Y&#10;vnxFGHv3XeHgFcvD+JXLQ+c9d4b2u1aEA5atDENvXxn2vfW+8L9uXuvWQwhpbijEEUJI/2LvJes2&#10;9DwuNoUQd+L3z3JfcNYa2TYQK8Phd0hx+B1gK1Wbv1mQPlKIa144P32ROWnmeysvFOIaB4W43cjq&#10;ptw2lZBudnzc/VxZthD3RSFwaueoT7wX8YQQQghpHFaIq+V2XIPOX7sp9aKXQhwhhBBCyLoweNqy&#10;Ps9Jbe2dk3seqeoW+B8ldB8GHznZfSlaC76ydF0YeOt9YeRdK8K37r81zH7k1+G6p64Jy/4yP6zc&#10;eHlY8uzPwuWPXRfO+cNvwnd+uzRMWLUs7L9sVd96llCSI6TZoRBHCCH9jMVrN/U8LrpCXK2fW9tG&#10;dqzX7R158hn+C84a88//undBKMDKcHJMtk2FbKDzWiTf3Q88Uvgdq/SIoCDlUyv3YAU6CCuQOqQu&#10;AcdSZSWfFl5k9S2R+2IsXbWmt7z0HeBnvW0ssP2AyCRpMfKuViR1icxh28e5we96O0D0XcYpefJI&#10;P1JOjw3nB2WzthvEeUI/5FqRdnHMriKYZ348vHNm50f6IWPAp9cHDcaGMerr0gPjsWXRvi4XG3Ne&#10;9HWHn708QilzjutG8qDPOs0iIpXMKUBfIMZKmoD5Rb5YXzGvktem6T7pe8wi59LrN+4jjNeeu3pc&#10;ewLawNzYPmR9P1Xj2rXoOY2BOm057x7IOreg1PkX7Nhr+b1mhW5CWpqCEGeeZfMIcQOHT9jLFvz+&#10;we1/9V7EE0IIIaRxNJUQd+KcopfBhBBCCCGtyOAzl/Z5Thra3jGx55GqbmFfNu533Cn+S9Ea8PWb&#10;14RxK+4Op/92SZj/2K/Cyo1XhKffvDBsfbcr7Pr4wvDq1lnhgVfmhVuevSr87Mlrw7l//E04dvXt&#10;Yf87VhVWlvvyYopwhPQXKMQRQkh/Y+3OnsfFBglxxf/TRufRk/0XnDVECxZYGU6OQ1aQ4ylhQ5e1&#10;0oQG9XnlRZBIESsr6VqagMAhx/V4LCJeaIlCr4znIfJLHukmJcpoRCgSucbWI2BuIY+I/OERmyeg&#10;z6cH5iEmLaX6JejxlislAd0uyDs/sf5jzlLXpQYCji6bKmfz5kXGA7x0odQ5B+gTjqPf+rhG3+84&#10;T/ZYCtseSI0HgpOkpaQryaPvY5DnOrLnvZrXHshzHuTetGUrvXY98pwr+z2AMmjDyyt43x3lzL+Q&#10;d+yVfq8B3c9S5EJC9kh2fLRJP1eCXLt0eA/BZx3a/rH3Ip4QQgghjWPYqD5bpuZbCraM0EKct/LJ&#10;4FOv6vNCmBBCCCGk5ZiyqM9zUiOEOLsdVT2FuKG3rwrTHrwx3PXC/PDY6xeF59+aE17fNiu8+/7s&#10;8P5HF4Qt22eGjd3HnnrjwvCn7vTVL10efrnhF+GH3WUOu3dZGHL7vW69hKT46+efB8Sdm7a46dUA&#10;dSPQlpfeinhC3HMbzw7/uNc/FF7SrF1/Wp/0RjJw338q9OvGJcf2HqMQRwhpNQoPi93RNrxzX/28&#10;uJvaPrfabf1HHvrFik31QkQpiA36uJbDICvoNI3kEeECUg4ECAgwEBW0iOFJMcgPOQ1ltMyAvFpI&#10;8qQLSdMiDeQKaVNWJ7Igj5TVY5NyaFf3BXMRWw1K6rEyT15EHNHzhD5h/GhPz4EIT8iLcpIna45F&#10;NpFydmxSLz51OUmXunGt6POAnzEvku7JKJKWmh+ZAxBL02NEPzBO9E2vKIW+2PL6+tbnT19f+NRl&#10;gJZs8LMcxxjRJ69MHjwR01LunGupyDsXNo9IXMiL/qAttK3lLn19eX1OnTvMsaR516Ugeew1grZx&#10;Tcr9IMfRP91u7D6P1atJ9V+fB4xd+gHQN30evOtB6pb5A6Vcu1lI+6mycm4lH9rVafp60PcHqGT+&#10;vbFLPai3Gt9rAtLy5COkFXjy9W2v6+dKkEuI8x6CKcQRQgghzUddhbjp6zakXvQO/t61fV8IE0II&#10;IYS0GPifBOxzEv6dpeeRqm7R1t5Z9H9JDjx1mvtCtNr8r5vXhENWLQsLn/55eHPbzPDp55eE7e/P&#10;LkhwWkrZsr0rvPPerPD+RxcWfn70tbnhhmd+VhDp2u9a4dZdKUeveSI8tPW9sOXjTwtSEwJi0/M7&#10;PwyzH9/olqkFaA+BfnjppDwk1r653U2vBqhbwktvRTwh7pJLDym8oBkw4Et90oRfXHt4GDHyy0HE&#10;Ocl/4uQh4eHHprhlBJQdP/HrRWUhup0/Y3RBxvPKCF7fKMQRQlqNf1m4fq/u78KGCHH4t0vdXiOE&#10;OJEOIGrE0jxRSkC6gDq0TAO0rAAhQqdlAWFDykKUsOmxNPRD0mx/AGQLSRfZqFypQsp4/cuDiCMA&#10;823b1nMgebQgBVJzrMtrGUaD+iSPlWJEVomdO8yv5PGuIak3NT96DlJp3vwALSbZ8y3HvfZTc5NH&#10;NiqHPPWWO+d6PLGyUi4mkXno+8XOf+rc6evSO2+C5EldIx76PvfS89Sb6r/MlXfPCVpqs/eOrruc&#10;azeLPNeSzFFK4JQxYLxeeozU/GeNvdLvNY3+/ir1GiJkT+PJN955Xz9X7mbc1O77Ix3eQ/B540d8&#10;5L2IJ4QQQkjjsH+v6yXEeS96sT2YpBNCCCGEtCpDTp7X5zkJK/H3PFLVLawQ959TprsvRKvJfreu&#10;DgevuDOc9cCN4d6NV4R3d80Jn4V54b0PLgjbdnT1SnHYOhUy3HsfzAkf/+2isKM73zObLwjLXrgy&#10;dD28MIy5+y63/kq4YePm3hXEYoE8Xtlqo8NLJ+UhQSGuvnhCHGSz7q+hgnxm0yCsySptKSC92bJY&#10;bU7qjoG6U1Ic0iSvrBJHIY4Q0mqIEDd4+NgR+nlxN7UW4jq6bJveC85aoVdA8mQpLTzEhBBJTwk2&#10;IpakxI0YUr8nOsTStEihV/cSRADRkogWNLwyMaRMuSKGFkdic6ylmVie2BxL/Vmyi6zYpMUTPY+Y&#10;H51fgzLI40k3Uj41P3oOUmmxsaeErdhxm277J9c+5q1UUSkFxB/UG7sXKp1zOY/e+dbiUEyO9NB9&#10;svOYOnepchrJk7pGPFJtgzz1xurQ342p8rg2JJ/9DtR1l3PtZiHfC6nvVanbynoaPdZSrvXU/OcZ&#10;eyXfaxapJ3WuCGkFHvzLq7vsc2Wu7f+9h+BZh4740HsRTwghhJDGYf9e51oKtswYpIQ470UvtlGV&#10;dEIIIYSQVsV7Tup5nKpr2D7UQ4hrv+vucNaDN4bfPPOz8PCmi8PmbTML0hsEOCulABzHNqpYSe7p&#10;zReGFS/MD3P/dH0Yd/edbv3lMuUPz/YoTCHs/PSzcPUzm3rT8LNeMa4eK8VlrRAn4l69BL09BQkK&#10;cfXFCnGQzLq/ggp4YhpWhZN0vaIbPiHByapv+LTlsXqcpE2ZOizcueKkAhDv9GpxyKfLWbC6HPLh&#10;E79TiCOEtBr/dtPqwurF3rtAHENarcIT4jZs3u6+5KwFIv1A0vHStdCCvF4eSU+JCHnEjRip+lNp&#10;IlJYYSglvmlBA+ONSRoayV+uiIFyUoeXDvLkic2xHlMedHndbl5020COp+YnNb48Y0+JV3LcE4L0&#10;tWAFMV0nriWUr4YYJ3Xa8yRUOudasLLXb9b9HiM1v6nzkyqnkTypa8Qj69rIU2+sDn08JSYCucfs&#10;vGb1D+SdIw9pN3Yt6brzUkofUuPLM/Y8ebLGKEg9qNNLJ6RV+OMLm4qeKUEuIQ7/B4gteNGE4R94&#10;L+IJIYQQ0jjs3+taCnH7TV+3vvdF74lz+rStXwQTQgghhLQqbUdP6/Oc1PM4VdewfdjnrDnuC9Fq&#10;MnHVHeFXT/4i/Om1i8Irb+8W3bASHLZEfatHRJFV4vC7bJuKn198e07446Z54Rfd5SeuWu7WXy4i&#10;oEE0w7apNv3Aux7qldA2ffBxn/R6I1FLsWtPRIJCXH2xQpxIaxDf9HGArVCRBiC02XQAKU7y2FXi&#10;UDfKeaIdVo+TcsCma3QbqItCHCGk1RAhznsXWOut/vGS0rZZLyFOr2wUk92AiGUxiUbqSIkIWVID&#10;hBOseIV0WUHL4tWfSoPsJulaaNHHreCE36WvAsaPMjEZSvKVK2KgnNThpYM8eWJzbMeThV4hTreb&#10;h1qvEGfThJRUpCUwLcUhn6ymhjTv/CK/vR5RXynSkEXqsedJqHTOU/e1jEWfYw3GhTKpa8aOPXV+&#10;kDdWTiN5YtcIzgNWX5Pz5eGVk7RYvSDWf7lu7HEPPV/6eGpuhLxz5CHtxq4lXXcecH148l85859n&#10;7HnyZI1RkHpS55qQVmDNE88VPVOCXEKc90A6f+KBu7wX8YQQQghpDNccdmDR3+rd5NgbvczQQlzb&#10;EVOK2m3rPKbPy2BCCCGEkFbECnFt7Z2beh6n6hbYolX3AXxt1lXuC9Fqcvz9t4TVL11eWPVt54dz&#10;eiU4sFuA270qHD4lDb/jZ/DSljnh1ueuCkffd7tbfzlAdpPYsH2Xmwc8tPW9nlzBlebqiQSFuNKQ&#10;oBBXX6wQJyu1edulYjU3pAH8bNMBBDXJgxXkvDwx9OpzsfqBbgNyHIU4QkjLceOawipw3rvAWm/1&#10;70l4eJnpveSsNnolqbx42yxKWkpESEkNefvh1Z9K06t/aQFIpI7UFq8QSbQQAyDGeSvGSXq5IgbK&#10;SR1eOsiTJzbHqbnPIk+7WUj51Pyk2snTh5RUpLeDjIFrUJfRQDCDECliqBCTyrKQ8rHzUY05ly2B&#10;ITjJMT0P3nVsr/cYdn5T/U2dF43ksdcI5j4lYWl0OUHSbL2aWP9lDu1xD7nHbN485zLvHHlk3duV&#10;1A0qmf88Y8+TJ2uMgtSTOteEtAKeEJdr+3+8TLcFKcQRQgghzUVTCXHjJ/d5GUwIIYQQ0orY56Sh&#10;7R0beh6n6hZY2aO4D/UR4o67/9Zw74tXhO07Z4edH1zQI8FBgOsKb26bEV7d0hVeentW4RO/Sxry&#10;7dg1J2zb0RVWvXh5OH7NrW795YAtUCVSohS2TpXQW6o2AgkKcaUhQSGuvmghTgtvWLFNS2g23a7+&#10;JuiV3mJ5YmD1OCnrta8ZuO8/FfJh21QKcYSQlmPx2sKLQu9d4J4sxGnhIy92xSkgaSkRISY1aGED&#10;4gWkHbtSV6r+VBqQMUJmwu9akvPkPgv6oqUN9NHmkbRyRQxdv5cO8uSJzbEc13JUXnS7ebaP9ZDy&#10;qflJjS/P2FPij4hsqEfmAuA4rmdvRawYqFsLQnmuIYuUtedJ+P+z96ZxVlVnvv/bfhf7bb+4fzvp&#10;NjdDX41QmNuJQqERq+KAigmaQRKTaJIOTdKSaxKFYpDJAcURRUGZxAFQAUUKcZ5HHAAnVFBAQJxj&#10;TN+7/ud3OA8856lnr73PsM85VfV7Pp/v55zaa157nVOb2l/Wrseca/lN+ijCm7eGdZv4zNg5jM1v&#10;7PzEymkkD+rSx/X5Qpqdj1jbQJf10kFSHfp42hqRftq5TesfyDpHHtJu0lrSddvHQ2ehlvnPMvYs&#10;edLGKEg9qNNLJ6S/sPyBJ8quKfdSpRB3xYmHf+DdjCeEEEJIc2iCELds343ezlPL2sVOKPpGMCGE&#10;EEJIfwX/UaDsOqm9Y13pcqph4QlxX5s6278hWkeGr1oarnnuqvDkm1PDG+/iUahdxd3i8FjUN7d3&#10;hWffmhIeemNGeObtKYWfxxcFONkh7qPPzg8f/fX8sPaNC8PpTRDisCucRDVCFSQ6eTQrAo9gxc9o&#10;3+aVfHiVY8s3bysei8WNm7aU1QPQb+x8t+fzL0q5QvE9jmXd6U7K6v5Y5JGy2EnPSwdSjzd/mAfb&#10;z9gcCTJXmB/8jLqlL9s+/bxsjBJe+5g7KWd3Chz90IvFY5KOwKNzvflG3RL4WeZfyuI169yjfoxP&#10;t5vl3El+9Bs/ox70VwJ1oJ/YHdGWFTCfmD+JLO0moYU47OhW+AoqouUzATuzyQ5yENK8R59CUEM6&#10;8nnpMURyQ1kvXSPyHPJSiCOE9De+vKi7+PdD717gwYNPOABpecWAwcOG2DZxM9O7yVlPtBjmSW4W&#10;vTtWJcKakCQ1aCHC1ivE6o+lASsGSXuVymG6nzZNjif1IY1Y3UKWPElzjJ3MpGwl8hfQ8xfbRS2G&#10;lI/NT2x8WcaeJBVJ/z0JrFqwTuXRo7ExJZF0noR6zDmQPsrnW372xCjpU9I8xaSt2PnR5ZLGgvmU&#10;PHY+5XjSbnxpa0PSYucpqQ69c2XsPMS+S9P6B2Jzm0baWtJzm+V73iJlq5n/LGPPkidtjACintSD&#10;Or08hPQXPCEO15qFz0c82to7umzBOSd/d493M54QQgghzaGVhLiBPz6vx81gQgghhJD+iL1OGtTe&#10;Mbd0OdWw8G40fvXCee4N0XryvTvuCOMemRtueenS8PTbU8LWHePD+x9NKgpxm7dNCE++NS3c++qF&#10;4ck3pxV+7go7dk8I23fvFeL2fDy5uEvcPa9dFH7aBCEOSKTls+jHrXphJSORl/Aqx6oR4vBzWnhS&#10;lwUilISXrnfPgzjl5YGcJWF32NP1JwXy6DKCzBXOiVePlukk7PlD30QigwSmRTE9Ni/s/KFuCZTV&#10;MpsOHBdhzYL2tYyWFEnnTgLtaxHOhh2rEGs76fzG0EKcPLIUr1o+02hpDgLbo0+O3pd2+qiB+9Iq&#10;3R0O+aUsZDcvjwaPdJX801ZMdMdGCCF9FRHivHuBOJ5neP9xY/Hd69ybnPUEUkyh+SIQcLw8Gi0u&#10;WDlEjsdEhCSpIU2ISBMdYmmCyHwQQuR9pY+71HKMTZPj1T5CM20OQJY8SXOshRvs/qXT0tDyF+Yu&#10;SVqMIW3H5ic2vixjT5KKdNlKZaMYso5Qv5ceQ85TkpRZjzkHmG8Zu/68e/UlrR1Bl7fzGDs/aEvS&#10;vLrx+dY77tn5TDoupD3WVNKqWXv6POA16TzoPlQyN0LS2s2CnLeY8Cl5gN3hLQ0pV838Zxl7ljxp&#10;axPoOczy+4yQvsyc21aWXVOCTLsdt7V3zrQFvRvxhBBCCGkeTRDi5uIm74CxS3u0O/D0Se4NYUII&#10;IYSQ/kaPnXTbO2eWLqcaFm1DO0fpPoCDLlvs3hCtJ/++dFX4efeScNGT14T735gR3nu/K3zy+ZSw&#10;c8+EsGVHV9j07qTw4tbzw6Z3JhZ+nlDcHQ5SHIQ4CCqvF9JvffnScOrqW936q0UiJvtAHJKI7ZRm&#10;0SIYhC0RkPAKoQltZhHiNBIxMU+LXGhXy1d4r0WptF2/tFhnZTZghT9P9NJ5tISlj2MuIP5BYgN4&#10;j2MS3u5zMg4Rz5Af/UV55Ndjk9Dzhr4myXBAp+m6RDaLCXESmH/0B2VkRztE0vnVQpq0IXOCMWnJ&#10;zjsfEnpOZF5Rl67fioZavMR7OY6xY2woq/NnQQtxsvsbdnmTYx760aYAP+vd3SqR4SDUWckuy85y&#10;+vGt58z9L3dshBDSV/nnhWu6Ct9/7r1AHM8zcJPStombmd5NznoiEgqEGy/dondBslKVHE+SJkCS&#10;1KBFMwhrsoMZXlGfCClJ9cfSBBGDdF2eGALpB/OCPumd1CBYSFlPyhA5CnlQFnIG+pNVbkFe6ZeX&#10;DrLkiYkjkgZw/nTfIPpgjJh/jEGXA7ptzA/yajkIdWGOMQ/emLPMT2x8WcaOuiSPrlcft6BfmBfM&#10;B/ql6wNIx5zo+rAucEzq0GlZ0eNJkqxqnXOgZVJZv/azK+gx4XMgbaEOnQZse2nnR689vMdYpP9y&#10;XEBduqxeOygnx/Fe1wt0OaGeaw91oM8oCzBPUj/APMXK2zQBdUke3a8s6HMj48I40TfJo+uXedDf&#10;bzjH8t2HOuQ4qGX+s4w9Sx5pB69eOkD/pZ5KpT9C+hqzblxSdk0JMglx+N/L5QU7uDscIYQQ0mJ4&#10;Qhz+Z2fp13nd41vnrp2Jm7wDfr+4R7sDzpzl3hAmhBBCCOlv2OuklhHiZi91b4jWk0NuvTscc+ft&#10;YfT9C8OSl2eFV97F41K7wrad4wvgde/7d8F7e4/t3DOxuJPcxncmhftemxFmPX1NOG7lMrf+atE7&#10;i0FAsvKYFbOSRCYPLUh56R6oH5HUjkRMiJP+ehIZgPgleawUZUFeCS+vnhuE16bk0TIhJCsJT0YD&#10;up8IK+/JXCGS6hAkZN7SZDgIZBJ4r9OS0OcbdXvldJ9tm1o+TDov6LcE5sam6/DqiM1p2tqrBi3E&#10;Fb5+ikBQk2NJQEgTgU7Tve4sN78AAc6WEbK0K6AdKTdizInu2AghpM+ycG3x+tTeCyxcQ27G8TwD&#10;j2TVbQLczPRuctYLyBCFpotA8PDyeGgBQgsVcszKFJqY1CByngdEDNmFyKtf8sXa1uMFaM/Lp+UM&#10;D/TFky2SymkpJYYu76WDLHlicwzBSZ+/GLYs8OQlD0/oyTI/sfFlGXtMKrJCVxJ23rw8Gk+AygJk&#10;IqnDmy+hljkX7GfLE/8APiNY3zqvBvVIXba9tPODz0ysbqwDWZuoS5fVc+Whz60uJ9S69kCW9ZO0&#10;Fmpdu2noshorPuK8x86BUM/5zzL2LHli32uC9ANj9NIJ6U94Qlymx/97F8HejXhCCCGENBf9+7r4&#10;O7sBQtyho+f1aHfAb2e7N4QJIYQQQvob9jopz+uzpMCuwbYf/zJvlX9DtI58dcmacOgtd4fOO5eH&#10;/3pgfpj73BXhwc0zwtvbu8KnX0wLn/xtavjgk8nh/dLjUT/49Pzw9zCj+LjUB16bHi54ck44fc2S&#10;8O3b6ttXCEJ616y0iIloFi04adEuRpqUJJHUDy1yWYFMA3ENkWXXL9nZDJKXPq6lNsljJS2dR++o&#10;Ju0jYsKZ3u1O71oGZK7Qr7T5lcC8pclwQPfbtpuEFuKS+qPXhB23rEP0zeuToOfOtiMR28lQ90Gf&#10;E5FDcQ5j7VeCCHFaMEsT0yC1yeNVgRbj8D5WPibEATx2NcsOcUDKUIgjhPRDio/0b2vvXKavF5sl&#10;xE27eq57k7NeyG46SYJXElqO0GKNiBYxAUykNm+HKshaECO0vIOdiXAMadJfr/4sbQMtgyXllbaQ&#10;V8sj6BfkJNk1ywN91btFYZxaGowh44vJHFnyxOZYwHlDuh4f3mPMGEOsz5BvIJ7ocQKUlZ2zvHIg&#10;bX5i48sydqxjqduuaZFlrLSE84k+y7wB9FPSZbx6XaIPyI/Pgq6rEtCu155HLXMO9GcWdXh5BJwP&#10;2xbGLp91mSc7v1nOj9SNPJIXP8sakLpRly0r50jKAvwsY8fxWNu1rD1B+qDrwXvdD49a124WcI71&#10;GsV7r08YM9aMziv5cS6SZMlq5z/L2LPkQVvSppcOZEyxPIT0F3ANaa8rC5+P9KAQRwghhPQO9O/r&#10;4u/sRuwQd+asHu3iMar2ZjAhhBBCSH/EXic1Q4hDm7Yfzo3Q3Pj6knvCd5euCKetvjXMenp2WL/l&#10;/PDZF9PCx3+dEt57f8I+IML9PVxQfGzqohcuC6fcfWv4tyWrw7/e1O3WWyuQnkSwksDPkJy0HFWJ&#10;EAepSMQrvEpdXl6hViFOS1lZw6tHowUq/ZhOzBkCIpcW1/QYJQ9CS1YyTm+XM4uElbzS5kojAekr&#10;TYYTpH4EyqVJd3ruvXSghUUrxEkk7Q4n6DqsrCcRW6cYh4TOp+vFecF5r1WMEyFOP4I0JrTNX3Ra&#10;EAHuwAP/sVgOx/GYVPwsdUBss2U9IL+hTivYQZzz8mskP4U4Qkh/48uL1i4rfP/1EOIGDe14Fsfz&#10;jvI28xfi+iOQYgpTXUTLMKRvI8JNmgwmQg1EMy+93jS6PUL6Klowxefdy0NIf+LsSTPKrinx5NPC&#10;5yM9vItg7yY8IYQQQppL+e/rnIW4v6zpwk3egWfYCwwKcb2J71/0cHhr1/4bf/dt2OnmaxUef33/&#10;7hjot5entzBj5abw1y/23pxFXLtus5uPEEJI78ZeJzVlhzj7Hx2Pabzs8a+L14bDlq4KZ65dHOav&#10;vzw8vHlGeOqtqeGpN6eGpwuvT2yeFh55Y3q4//ULw60vzQpnPzA/HHbbXW5djSBpl7MsQD7Sj6hE&#10;QLRKqidN8pKolxCXZYc4SFES+pGosisc2tR5tKQlu55ZmU3mpBKZzeZNmyuNhJRBpI0dY9L5Eeg3&#10;xueJYnrubZqQJMRVIl3qOmxeibQ6JGw+rEsRBiUg6Om+VkIlQhx2kRMZDgKb3ckNP0OES6snCeSX&#10;sscP/4abRyN5KcQRQvobIsTh3l/ZNWN7xzoczztws1K3i5uZ3k1OUj2ysxNEJC+d9E3kvKftxAYx&#10;DfkaJaiJqAdiOw8SQuJgZzv5LFF2JqSnEJd5t2MrxB02tHO9dxOeEEIIIc1F/74Ghd/hM0u/zuse&#10;IsS1jRzbo117I7gZ3PRY4R/T2z8OH3xafjMSP+M40r1y/Q1IWTa8fK2CDfTfy9cbgHyoo9VlREII&#10;IVXwp1U9rpNaQYgbcMKp7s3QvPnqTd1h8PKV4efdS8K5j8wLlz41O1y//spww/orwjXPXR2mPz4n&#10;/O6+heGkVcvCd5auCl+76R63nkagd0hL2yUsCdRh5Sr8bMUqyYNXfVyQSBKecFzCS68W75GoEiJL&#10;SR4RzbQkZwVAka6SxqmRsHnT5kojgfnRu9al7cYGMD7k04F5sGshy9xrmU1LZkm7tnnoOmxeibQ6&#10;JLx8OG+YIytyahkyK5UIcZDUkA4pLvZYU9kpDvm89Bgi3AEvXSP5KMQRQvobX164tii+4aahvmbE&#10;NSSO5x22XQpx9UU/kpA7CPUv5LzjkZBeOoCQJo+DxCMlvTz1BuKO9C3pUZWEkHTkkarcbZGQvfz6&#10;nK7917FFMu52jP8Fogt+u73jQe8mPCGEEEKay+FHdqhf9PkKcYee1z0GN3rbRowub/P4Uf4N4QYB&#10;QcpKcEmBfL1ZqEpj+4d7d+dAQAL08mQR4rLUUyt65zecF+xc5+WzQSHO54w5T5ftPrfyuW1uPkII&#10;ITnjCHGDhh4zpnQ51bCw/9FxwCmj3JuhjeDri/H41JXh2BVLw8/W3BT+8/4F4Q8FfrtuYTh19a3h&#10;O8tWhoMW+2UbiSeDVQt2ApP6EFYySpO8JJKEJxyXqFbe89ASGeqVR6RCbPPyYJxaJEwS/7LMqUSl&#10;c6WRkHnT58DKeklgDHp+7Q5zOk0f1yQJcUCikkem6kfYAomk9QEqle9klz+EbS+NSoQ4ScfucF66&#10;oHd6k0eqZkU/OtVL10g+CnGEkP7GlxetLd4stGJann9X1GF3psPNTO8mJ6kOyFCFaS7CHYT6FyLL&#10;AKwDyJGSBhEOMprsIgcprpHrQ/qGVy+dEBJHPy6VYikhezn9d2fvu54EmXc7phBHCCGE9A4aKsSd&#10;2z0KN3rbhv+qvM3Czz1uBjcI7PpWTfTV3eJseHkgnmnhzZOybNj0eqAf24pIEt3Wv71/p47e/sjU&#10;PIU4Kzr29rkihJBeS8sIceV/1/nWj37l3gxtBHh06tcXrw4H33xXGHTrXeG7y1YW+felK8PA2+4O&#10;X1vcvF3hhNhuXLWQJHOlSV4SSX0RUQ2RVfTKgn6kJ8Q0gIBY5uVB2yKdeWPRO66hnE0XtFRnx5M2&#10;VxoJmTfIbVr0qkQeRB0SWY5rYkKc7MiWJgnG5k7CyoMaLS5mEdwwV7KjX6WfARHitGBWTyEOj1n1&#10;8nhg1zkpB7w8AuqVfBTiCCH9joXdxcdJ6etF0CwhDjczvZucpDpk9y8+LrX/AQFOzn8M5Ll2yVK3&#10;jrxYvGrNvvYpahJSOfLoYUitXjoh/ZFTzviNuZbNKMTZi9HvDO1c7d2EJ4QQQkhzaaQQN+Dc7uG4&#10;0dvWeWp5myPH+jeEc8bb6Qyi17XrNu/LA/kL8pveOQuBn7Gjlq6vL2DDy5MFG16eWskqxPUlKMQR&#10;Qkg/oEWEOPt3nWYKca0OJCkRgfBqdzmrBZGarMyVJnlJJAlPWl6CWFXPPotAhleRt6ykJnlkHAgI&#10;WDoP0GJY0ljRd2nHm/+0udJIaKGr2vOrJT19vFYhTpdPEs/07m7euHV4O83p9YFXm56EnId6CHF4&#10;NKqWzwT9KNRKH5kKgQ3HYzvGnT5q4L4+4L2XR9A72v3n5b9xx0YIIX2X7j0HDz7hAH29CNoa9Kh/&#10;+583cDPTu8lJKkc/LrXRwhNpDbCLFMQZPFLRynE4hjTk8crmDdpHP8Z2TXbTCSHJQHLmdzsh5XSO&#10;HFV2LZv58f92m2QKcYQQQkhrYoW4zL/sqwgR4sraKzDwx+f5N4RzRu9yhog92hNinJXisPOYl7c3&#10;Y8PLkwUbXp5aoRBHIY4QQvokrbJDnPm7zsFnjnVuhPYfsIsZJC6IPhCUAHbN0rtwISp9VCRA3QBl&#10;RbbCq96hywpGaZKXFsQgZqG/0nfJg58lMDbdPkBeCHWoS5dLQ/dbwu5QptuWSNoBTsaKQF9QP/oj&#10;/RNxC2HFO10+aa40Ena+MTcSmCs5jr7gZ7Sr+4/80i/brh67Pq7B2CTs3GtZDYH65RyjXb0mkc/b&#10;1c6GjAF14FXWD8LOBdLQhu4Xxq7btX1OQwtx8rjSgw/5pzL5TJh+wbH7bshCbpu/6LQyMQ4/60ee&#10;Ir+kaYEN9SMNx8BVs08uKweR7tEnR+8r66H70nXzn92xEUJI36V7z2GDhx2orxdB4RpyVOF7Mfew&#10;j/enEEcIIYQQQirFCnGZN42xfzg94siOW7yb8IQQQghpLo0U4g7+y5ohA8YuLW+vwIAzZ/k3hHPE&#10;yj+Q3SC9eXkF+3hVlNHp2FlOAml6pzkvDyIpD2Q7K+x98OkXRWkvSfzS/Xv89feLx5AXZUTmwyvq&#10;trvbSXo1IW1lrUePGf1Y+dy2onxly+IYhC97XjCeagNzKvXo+cXcJp1/jE8CfbTpGAPmFHVIIF/s&#10;XMVAP2x9qAvtZBHiKl0/5yzZv4NILPT8oAzmxUqJGDeO9dVHChNCSCPwrpUoxDUfeaxnUkA8gozk&#10;lU1DC19eQFbSopoukyR5ecIZwu7CBqEsS1QiOEGO0qEFMkHvYIbw8ggYO9LTwpPhQNpcaSSsBAb0&#10;nMquaknzLOEJabqMPq7BfEt4c693rUuKJBkOSOD8x+ZWxumVTQqvTBpaiBs95vB9kpmWzzR6F7cY&#10;qMuW1dJbEpDhsjxmVfqB/Nc9d6U7NkII6cu0De48RF8v7qVjeOG7MffA3y91u7iZ6d3kJIQQQggh&#10;JAl9PQkoxBFCCCF9jCOPaqAQ9+fVhwz4/eLy9goM+O1s94ZwnmjJCQGByMungRBkQ8tFWWSltDxW&#10;MEqKtLpFJksKiEtaiqsl0FYl9UjfMXdZAiKX7mvWOUqKpHqSJC4t6lkhLjbHElnWlgDRTLenA8et&#10;5GbXQTXrJ+t5kLWeZcwIvS4IIYRkp1WEONuHfxt9nnsjtL8AycuThyBZQTKzwlolSN0ibklI3V4Z&#10;EfTw6qUDiFd6py/k1buYCRCuIDHpvAi0j35VutsX0GPx5DKg5zJpnBoIb6hXi2CoA333xiVkmStB&#10;6k7qD9qSQJs478jr9Qtz560L5Ecgv00TtDCYJLWhbsytnmsEfsbx2JqUkHx2raCOJMFQ1os+fxgL&#10;5rdaKVQLcdjhrfAVVCT2aFOkQUjDTm+SH+BnHM9SVh6rKkCWw65vsUexaqRtPN6VQhwhpD/yv447&#10;7Vh7zThg8LAhhe/G3AM3K3W77ceNcG9yEkIIIYQQ4vHslp1l17Eg8+P/Bw3t2KMLDj2qY4F3E54Q&#10;QgghzaWhQtz4dQceOnpeeXsFcMy7IZwnWWUoiy2H3c0kzYpCVlbKkqeSgDyly2YVlSSwW5iUTZKw&#10;soQWn7LUIzvEVdJf3Ve8ryWkHpw7HZ64ZmUxncfuGBgLby146F3hskQ91k+lO8Rlle4Q+vNBCCEk&#10;G54Q16hHT+mwffjm2ZPcG6GEkN6HRJKs2Gi0EAcZrfAVVOTccUeVCWithO4nJDoKcYSQ/sihnSN+&#10;Y68Z8RjVwndj7kEhjhBCCCGE1MIjGzeXXceCzH+DpRBHCCGE9A46jx5W/su+vXNZ6dd53ePg8esO&#10;GHjGjLL2AG78ejeE88SG3ukthpWBtJBkBS9PgkrLg/qxCxhEIi28YYe0WNvA1o1AXbK7mhXAEPYx&#10;oTZ0mkaHFuK8dIRNB5hzCHSQzCDJ6b54spkuC+x8JJ1Dm0+OY150oC+6HLA7CYrMh75q+Q/zrM8X&#10;+qJ3c/Pqttgxo4yMCa+eLFfP9YM2dHjnFaAc+oK50XOOObHzlVQHIYSQZFpBiMONTNuHb54z9TPv&#10;RighpPch0YpCHMCOa4WvouIObPp4K3HV7JP3CXGPPjmaQhwhpF9y6PCRE+01Y+OEuI4u27Z3o5MQ&#10;QgghhBCPNU+/VHYtCSjEEUIIIX2Mhgtxp08qaw94N4PzxoYWe2LEpCIrpFnhKGueJKywpHdNA7Zu&#10;iFE6HWhJC2HHbUOnaXR40pMNm54FO9da8PLSk86hzafT0uZDS2haarNyoX6kqwB5TkfaGrP9tLsW&#10;WgkPUc/1Y9O985oFHVlEQEIIIeW0qhD39XEzP/VuhBJCeh8SrSrEWdlMp7UKIu3hMav4mUIcIaQ/&#10;cujw066214y4lmxEDBp6zBjbNh575d3sJIQQQgghxOIJcYOGdgwvXW7GwxY8+qiOW7yb8IQQQghp&#10;LiccfXTZ7+y29o51pV/nuUTbyLHl7XWe6t4MzhsbabKSYKUlLSRlkd2y5EkiTViydXtjSstjQ6dp&#10;dHjilA2bngU717avaelJ+XSaFduww5mk2R3k9ONSq3lsa1L/BBtenjzXT1p6Vmx4eQghhCTTCkJc&#10;2+DOQ2wfvjb58h3ejVBCSO9DolWFOPClA/6hKJzhcaQ2rdnox6VC3sMxCnGEkP5I27EjbtfXi4Vr&#10;1s24lmxE4PpYtw3w2CvvZichhBBCCCGW5Q88UXYtCQYMHjakdLkZD1uw46ij53k34QkhhBDSXKwQ&#10;N2hox7OlX+e5RNvJv/tCt9d2/Cj3ZnDe2EiTlQQrV2khKYuslCUPRCyIWmjL7gimwwpLtm5vTGl5&#10;bOg0jQ5PnLJh0zXYSQ2ymd2tzYbtqz0XSefQ5tNpVnrDjnCSZmU5vWObrTNL2B3fLDq8OQV5rh/M&#10;n46kPgDsVofxQAz0HuWqwytPCCEkmVYQ4vDHH9uHr028/A3vRighpPch0cpC3LnjjioKZwce+I89&#10;0poNJD3bNwpxhJD+yMDv/+DB8mvGfP+mqMMT4rDLh3ezkxBCCCGEEMuc21aWXUsC/Cfh0uVmPGxB&#10;CnGEEEJIa/KDYQ0W4jp++H91e20jRrs3g/PGyldpspJgy0HmkrQsslJaHvQjJjHpsMKSrbvVhThI&#10;VSibNfIQ4oA9p/L4U7sLHPorZSrpNwLnVOpNQoc3pyDP9ZNViMOja9MkOB1eHYQQQpJpVSHuq9Ou&#10;edW7EUoI6X189t97rxeXb97mpjcaT4jDLmyyS9zyO3/WI72ZHHzIPxX7NX/RafuOUYgjhPRHBhxz&#10;0rP6ejHvp07owOOsdNuAQhwhhBBCCMmKJ8QdNnjYgaXLzXjYgsd973s3eTfhCSGEENJcfnLM98p+&#10;Z+f9eINB3zuhTIgb+OPz3JvBeWNlJ/2ozCQgRNnQklOarJSWB6JRJWGFJVt3qwtxlT52NC8hzu4E&#10;h5/tuUZfdZm0OqtBhzenIM/1k0WIw7xUIsMhbB2EEEJS+NOqsmuzvRwzpnQp1ZDwdtw46KIbn/Ru&#10;hBJCSK0Mu/P28PTbU3sVz22ZUsa1z10Vvrt0Za/COxeEEFIJA4cdv6PsmrG9Y27pcjL38IQ4PPbK&#10;u9lJCCGEEEKIZdaNS8quJcHBg084oHS5mRzIZAtSiCOEEEJakzM6yoW4QUM79pR+pdc9YNaXt9UZ&#10;Bp4+yb8ZnDNWgtKPykzCykjYWSyWrmWlLHkg5enAY0QhOUl6mrBk6/YEsbQ8NnSaRocnTtmw6VY4&#10;w65m2G0vtgub7WtaelI+m24fm4r86IsOu4OgrVOfp2qx4eXJc/2kpQM7L/gMVLuGCCGEJNCqQtzl&#10;Nz/q3QglhJD+CKQ4vWtcb8QbFyGEVELbsOE79fViW3vnzNLlZO7h7WhMIY4QQgghhGRl2tVzy64l&#10;QelSMx6eEPfDo7+3yLsJTwghhJDm0kghDs9eL2+rMww4c5Z/MzhnrASFgEDk5QUQi+yjKK0kZWUh&#10;W5+3u5YWmtLErTRhqTcJcXYseh4EOx+2r2npSfm8PPaxqbHHpQIrn3n9r5TY43gB1qxdg/VcP2np&#10;IMsas2HTCSGEpOAIcW3tHV2ly6mGBAQ82wcKcYQQsh8KcYQQsrbsWhE0W4hbfPc692YnIYQQQggh&#10;lrMnzSi7lsx8f5xCHCGEENJ7+HXnkWW/s0HpV3rdw/tj1YDfzvZvBjcAKzUhIELpXbUgIUECsiKS&#10;3R0OoJwNkZogDlnhCaGFJgh0OrCLnaShHivTWWEpi6yUlsf2UaQ/jE1LYTo8cSqtHiskIj+OIQ9e&#10;vXNj++rtiCblpS6QJooBu2OgDvu4VOCda8ytbhd5UC/G5tVhsecGa07GjFe7BhH1XD84LzrQHsaA&#10;NOkHzqMOtCnrAnntXCOkfkIIIdmx10utIMR95bo7V3g3QgkhpD9CIY4Q0t85aPbSsmtFgF2GS5eT&#10;uYf3n24pxBFCCCGEkKxYIa5wLbu5dKkZDwpxhBBCSO/BE+IyPSO9ivAevzVg7FL3RnAjgMjjSWpZ&#10;QotPGisdeaHFJi00WdkoLfIQ4qxUpUMLVjo8IS5LPVnmSofta2y+tICWRYjzBDcJkfkssTHa8ObI&#10;gvXoSW828lo/IHZOMEdY95WGbYMQQkg6g44+sex6qZG7bSAg4On2wVcWrZ1rb4QSQkh/hUIcIaS/&#10;c9Bli8uuFffSMbx0OZl7HDZ42IG2/Tm3rXRvdhJCCCGEEGL59TldZdeShWvZZ0uXmvHwhLgfDTtq&#10;mXcTnhBCCCHNZcyxQ8t+Z4O8hDhvtxE8Fsy7EdwoICHZx2NmCUhJnnAGaShJasJxSEta0NJCE0iT&#10;rLTAZ4WmeghxEJ6S+l+JEJelnthcIays6I0nSWisVIgDSTKY7IBmqWTt4Lx6dVhiUlve6wfYx/7q&#10;wPlCnjTxzp4T2wYhhJB0mi/Edc7U7eORAV+hEEcIIfugEEcI6e98bepsda24FzwZonQ5mXt49yFn&#10;3bjEvdlJCCGEEEKI5fTfnV12LdnW3rGudKkZDwpxhBBCSO/hj8f1FOLwvyxLv9brGt5uI95N4GYA&#10;2QeP4LTyFCQkSE+QgDzZCMfsbnGoC2VE9sKrzqclKnmkqsZKT1Ie9UImk8AxW04CZURgqjSP7T8C&#10;P+txannM9kPIUg/eo7yuD0KVSHNSNqmvkNK88lqeQ7oE8unyGsyN7ivCCmceaMv2AYF+4Djq9col&#10;YecNr6jHWz9e3ThWzfoRsCa98joPxuydW5RFOxKx+SaEEJKMFeIGtXfMLV1ONSTQnm4fjwz4ysK1&#10;M72boXnyr4u6w9duWhMOvuXuMGjpXeHwZSvC0NvvCEcWGLL8zvDvS1eGtltXhUMK6d9ccnc4aPEa&#10;tx5CCKk3FOIIIf2db/65/BFTIK+/J3pBIY4QQgipnme37HR5ZONmlzVPv1QE7736agVto/7lDzyR&#10;ivSlUtCG1zbpv5xyxm/KriXb2juXlS4140EhjhBCCOk9eEJc2+DOQ0q/1usaPW6udp7q3gRuZSDN&#10;eeHtXkYIIYQQUg24Riq7Zsr6B5k6Bdora78pQlx3+ObN94TDl68MP7z7lnDOg/PCpU9dE25cf3lY&#10;8tKscO3zV4VJj10fxtw/P/x0zc3h+yuWhYG33dWjnn8p1GOPEUJIrVCII4T0dzwhLq8nTnjh3Yec&#10;dvVc92YnIYQQ0kisYKalLJG66i1noU48/hGCT+fIUUXajxtRhv29WQvjLr7S7UelYE7sLl15gnlZ&#10;fPc6ty+VgnOLeUCdXlvAngONnCcPnEcNzm09Hw2P9Yd5QP9Rt3D2pBmp4HorLzGy0WCuy85Z1v+Q&#10;7F2I/vSYI+/2bsITQghJZ/5PO8KSX59SZNl//byMVeNG76N7+p978MDlU8pAPq+NrKD8Y3NnVYXt&#10;C/qHMXntZAHzYufAzo8g8+eBerz6+wvnHd9e9jsb5CXE9bi5evwo9yZwqwP5ze4GlmUnMUIIIYSQ&#10;LOAaqeyaqclC3KChHc/+88I1Xd7N0LzAznBH3nFnOKP7pjDt8Tlh+cZLwzNvnx+27hgf3v9oUnj1&#10;nQlh7WsXhAUvXh4ufuqacPYDN4aTVy0L37pltVsfIYTUEwpxhJD+zsFnjlXXinv/A0XpUrJhodsH&#10;FOIIIYTUCsQy7DgKUQiIBCTCEOQtIKKSCEwiOdnfTTFQXz3EOPTXqz9vav29i7H3EJIaRK1SHPqO&#10;8+/VnSdo0+tPJaDv9ZAQ+8J1l/3MtrV3zixdZsaDQhwhpK8AUcqT0SBeWeFMpK9nllwfXrzz5iKv&#10;3LuqCI559aeBtlHP3z7Z/3i8esTuza8Ux+O1GePNxx8o1VDfwDx67cXAefh4x/5H/9UjUF81fQE4&#10;T5hXnKs0MI9YM149zcAT4gYMHjak9Gu9rtFXhDgBj6aUx1d6jz4lhBBCCKmG5gtxHevK2+9Y12gh&#10;Do9CHXPfgrD4xVnhwTemh/Vbzw9vbu8Kuz+cGD767Pywbef4sPGdyeGptwr/Htt8Qbh908ww88lr&#10;wq/XLQrHroAYd7dbLyGWz/577yPgl2/e5qb3JRox1tEP7X98Pt57efoCnhA3pP0rofAVGqZfcGyP&#10;tGYyeszhxX7hVR/3xkUIIVk55Gejy65X8R8oiheSDYzy9inEEUJIKwMJB2BnKb1rmuyYBkEJYBcs&#10;AMkL4Ltd5DQR1EROQ1q9dqqqlyRUKfUQnCoV8eoF2vX6kxWcd6/eRoD14/UpK82SEAHa9vqUFXyO&#10;vHqrAZ9hr43egh0PhThCSMuQJqrh1SuXhbwkNNSHur02k4Bgl1dA1PPaTAJzmldgbrw2Y9RbhtNR&#10;qSwI4bGaaBUpbtLxQ8p+Z4O8hDj8cUy30zb8V+5NYEIIIYSQ/gyukcqumdo71pUupxoSzRbi/nVx&#10;d+hcsTxc89xV4e0dXeGTz6eEHbu7wjvvje8BxLhdH04MW3aMD49unhbmrr8y/NeDC0L78jvcuusJ&#10;pKL+IlONXPN0nx2rRPfWnW56X0Iiz7FOfGpTqZVQfO/l6QtYIa573VlF6Qw8+uTosjQL0kWe+9IB&#10;/+Dm0YjQlsZVs092yyf1zRsXIYRk5Vs/au71KkK3D3CD17vZ2SpAthC5QyPSh0ggIoWIJNLbbzYT&#10;QuqHSGUaEcw0IpsJ8n0C5DtGf9d4bVUL+oTvNohe1eyaVg1oz+tLJUC08+puBDhnXp+ygPn26mwE&#10;tcp8zew7zrfXp6zg97VXbyOodb3XU/ysVc5rNnY8hevZrtJlZjw8IW5Ux5H3eTfh8wJijOzeJHIM&#10;EGlGJBqvLCGkJyKgCfIZAvpz5ZXNAuqE/IWds9598Zki2G0LQHwCsrtWJVGNcARRLK/AGL02k4CY&#10;l1dgrr02k8B3aV5RqRCH9ZJnVLpuqt05r9JzkBfTT+gpxA0a2jG89Gu9roHHJ+h22kaOdW8CE0II&#10;IYT0Z6wQ1+gdN3r8J4b2zmVfXtQ9xrsZWm8OvvmecPQdt4cx9y8Id74yM+z+cFL473BB2PPx5LBj&#10;94SiAAeRY/uurvDe+xOKj0/97ItphdfJxV3klm64JEx4bF4Ydsedbv31ALtebfv089JV/d7o6zKV&#10;lpw2f/Spm6e3IkEhrj70VyHu9FEDi8LZ8cO/UXbccu64o/bJaYKXTyPyXBqxnekOPuSfinn0LnHe&#10;uAghJCsDTjhVXasWaO+YW/ieaWgcNrTzA92HVhbicMO4VimknuODAIP65NF/QHZc8pBHBlpQh4eW&#10;/WoRPTwgUEDiEZEwL+otCQGISb2573rXrlqRNWLJQ85Ce1iX3hq2eOvfoj83+vOD/nt9qAb0G30W&#10;qcz7Tqg3mCevL5WAz3uzHoFZ63dNs/qN84vz7fUpK1i7Xt15gn7j+8zrTyVgnXv15wn6Xut6wTnD&#10;59OrP0/Q91q/J3HevLorpR59aSY4hz3HdcyY0mVmPDwh7hcdRz7u3YSvN5AkKhUTIN5UI/KgLUgT&#10;kGfQpkYek2iB3KLBrkIaCCdeW1lAf1BeHttYK7XusIXyXr3VgHmuRbaCrIU6vLqroZa5QV9Qh10L&#10;3nrR2DUmoGy1c4NxJD3isdpAfTj/XntJVPO5zRoYi9dmjFrGnxaVfsbzktAwxmq+b/B9mUdgHXvt&#10;xcDnIo/A3FT6map2hziU8+prNJeceETZ72zQNrRzVOnXel1j0NCOPbqdgT8+z70JTAghhBDSn2kb&#10;0dxHUNn/xIAbnF9e0D3KuxlabwYvWxHGPDA/XPv8VeGRN6aFrTvGl2S4rjK5Q4AYB2nunfe6wvNb&#10;Joc7Ns4M5z9+XThmxe1u/bUCkciL3ixTYcc3xJ7Pv3DTAXeI6xtIUIirHS3EvbTpj/uktPmLTiv7&#10;jhKwS5tIaRYvv0aEOEh3y+/8WSLoh1ceQJZDHXpHOm9chBCSlbJrxQKZHzFVx+gtQhxEItw01n2t&#10;lnoIK80QJ9Cm15dKwfjrNZdZgQTm9aUSRG5qZN8h99RDVGiG9IH28Lnx+lMJOHeNXi9or9a+Y84h&#10;2Xn1502tghOkQK/eRlBr35slldXjOwbg+9FrIwm07YHvDgs+kwLWJr7P6vEZFVAX6tSSaVZ039IQ&#10;cRWfMa8flYJ6sG4wR94c1xuMt14CWqXrxYK1Uq+12ywgRdpxZb433kwhDtJTNYHdp7z6YuQlY0A4&#10;8dqLAckqj8cHtprcVI2IBvksD8GpGoEH6zOPvlQj8ECGyqMvCHw2vDaTwPrNMyqdm7w+25XOi4B1&#10;g+8FfMZl1zwN0gQtSwpoVwMJC3PutZUF9Ad1iMxZCbYvOFaLYIrPtx6/4M0TkN0Gk0DZaucGY8n6&#10;mUI+jL/S79e8uPKknkJcZgu+wrDtUIgjhBBCCOkJdtHV10wQ1EqXUw2JZgpxx61cFi5/+urw0Obp&#10;YdM7E4tCHHaC27Zz7yNT331vXGmXuHGlR6bu3SkO+Ta9Myk8+MaMcMWzs8MJq5a69dfChj37r/ex&#10;S5qIZIjeLFOh7xJeel9HgkJcfeiPQhweVVr46kyU2/QjSyGkYZc4veubV0YjeVHOS88CHpUq7Ym0&#10;542LEEKycNDspWXXqnvJ52+JsbBCXL2kq3pTr51YAG66e21kBdKBV28jqPXGeT3nsVJq3UmoWZIQ&#10;hIVaxY9mSEKg1rWOcWP8Xt15A+nG61NWmrnWaxWLUd6rN29wruux4xfOnVd/paA/gpXKIDWhnXpL&#10;ZQLmQcCYNF5+ki/2HGj0ubJgbWiQ36u/VvB9o8Hv6jQg5eXVn0aCebaf3V4hxFW7Sw/Cqy9GnlGp&#10;IALpJa+odAejaqXELAGJxGszCcgmeUalohVkm7yi0vMEkSivgHjktZlEnucJ0pHXZgz0B+UksO4A&#10;hCkRq3AurXQm0hfOBeZXwGeiFgGN9D6whtLwyjWLRglxhw0edqBtZ+AZM9ybwIQQQggh/Rn8p4Hy&#10;66aOPaVLqoaEJ8R9ZWH3cO+GaL350epbw12vzAw7dk0Iuz+aWJLe9god8h67wuF1ryC392e83/Je&#10;V9j47qRw00uXhR/efZtbfy1AggMi+Wjxh0Jc70WCQlx96I9CHB6TWvjqTHxcKnZvExFOdnFrtBAH&#10;ZIc67DSHn71xEUJIFg66bLG6ThU6hhe+Yxoahx35/bd0H1pViMNNY93PWujNok2t56dZog2odWc+&#10;SDBevY2g1t2EmiWVgVqECwgkXp2NAOfb61NWmvk5rfWxr55gkjeYb8yZ159qwGcG0g8+9wJ+FmEI&#10;6UBEJRGYsF77giRESH/B/z2R8XrWE+LO7DxyvXcTvt5AMoC0UmlUI81k3Qmomqj0UYZ5ilYQfLw2&#10;k8hTiGsl0QrRSkIc5t1rMwlIl3lFpXIeqFTQ05JakqiGOltNPCKkVbG/t9vaO7pKv9brFp4QN+DM&#10;We5NYEIIIYSQ/kyzhTi0p9vHI7AaJcT95J6bw+pXLgzvfzQ57Pnk/H27wAHsAvfm9vHhjW0Tiq/4&#10;WdKQb+cHE4vvIdT9+J5b3PprAY8N1T9TiOsbSFCIqw/9UYgrfG0WwWNJ5ZgGEpx9nGkzhLjRYw4v&#10;1iOPTfXGRQghWfjqhfPUdapAIS4G5And12qAmFSr3ARZo1mCU62iDYQUr95GUKts05t3zWqWzIdd&#10;tLz+VEKjHmNoqXWt43PajHnHnNdD6IJk4u20hvUo6B3TgOyaBvBdDvC5ETCnWk6TXarQFiU0Qkg1&#10;1F2IG3XMURu8G/B5AAEGQg4kNxFjIMkAkWa0RIO81UgzeQlF1ch5efUFwlGlO1thLjGveQQEJ6/N&#10;GDj/eUQrnSeMsZo1XImEJgKaFdGsjFaLhIZykEEB5gpg/QHIh0ivtm5CSJzDj+wo+72Nm56lX+t1&#10;i7bBnYfoNgCFOEIIIYSQngw8fVLZNRMoXVI1JGzbjRTiTrrrtjD3+SvDs1umhDe3Y4e4rrBzz8Sw&#10;4/0J4a0dXeG5LeeHRzdPL77i5+27C5R2iPvw0/PDR5+dH+597YJw+polbv31pJ5CnDyOFY9hxc+o&#10;Wz+idc/nXxTbOOL2h3uUBTiOsiiDvDq2ffq5W/az//7vUo7KQvrogX4/u/PDsj6gHfQrJkdJX0Y/&#10;9GLx5xs3bSn2WwLvccyWEyArYozYwc+OC8diZSVi51DGg3F46UDafXj7+246kHq8tqqdO1kncl5Q&#10;t/QF86ZFTgmvfcyRlEM/dBrWDsal+5a0rtBXCbxHOvLpsmljEtAn5NXnFPWgf1ZQ1Uh+vZ6wDiRQ&#10;h9f3ShAhDru/Fb42i+C9FtBiNEOIw6NSpU08xtUbFyGEZOHrE2aVXSsC/EfYwvdLQ8MKcbXuntYI&#10;IFZB7BBE9hABRIQQyCECfkbeWsUmATeAGynbQH7B2OohrWCuvDbyAn1Hm15fKqEZghP6DmnI608l&#10;YN01WizDXGGdev2pBNTRyL5jziFseX2pBtRl+482LMhjEdFMsN8pGqzxeu6wpsHap7BGCGlFvP+s&#10;MGDwsCGly8z0sIUbKcQ1GhF4NNitywOykAYynoCfIQB5bWQB0hDqkcc21gr6U4t8hPHWqz+op5ZH&#10;TuKcVNsXlNNgXmrpC/DWgl4nHnaNARHGvDYqQUQzjZePENJ3sUIcHotV+pVet3CFuN/Odm8CE0II&#10;IYT0Z/BYeXvdhP98WLqsyj1s29g9+Cvz1wzxbojWm2F33hEmPDo3LN1wSXjmrSlh645xYfdHk8J7&#10;708Im7dPDE9snhrWvnpheLzwip937J5QlOIgxO35ZHLY8/HksOa1i8JP1tR/hziLFn88wagSRNZB&#10;PZB9kgISkifxiBQVC1tWS0aVRNJYY/2WsKKVIHHZC5uL/UyKpPJZxpLWduwc6rF56ei3BGQrLw/k&#10;LAnk12m1zF3a2tHimYQdK/omc2jXCcSz2PzafunPBSS92PlMEhXRfqycRFJ5CcyzFuFs2LFWgghx&#10;kNQKX5uZxDZNM4Q4SHDS5lWzT3bHRQghWfjmn3teqzZDiPvf3zt2ve4DxA7vhidJBjeDNfJIQA/Z&#10;lckiuzZpRPjD+3qITRrUp2XCvMij75jHRvW9XgKlgHNdz77LGtGg31iH9RaoYutXo9e7h/28aLBW&#10;KH4RQkjvAd/r+joS1CTE/bzjqM3eDXhCCCGENJ8jj+qxQ9yy0q/0ugWFOEIIIYSQbGAXXXvdhGup&#10;0mVVruHt+j9o6DFjGiXEfWfZyvDLtYvDJU9dEx7cPCO8935X+ORvU8POPRPC29u7woatk8Jzb08N&#10;G96ZXPh5QnF3uB0lIQ7vN2+bGJZtmBlOXd07hTgRj/CKOtEGpB8tB3ltQUpCHghIsisWgMykZTlv&#10;dzfUJ2HTNBJe+9g9TAJCGNpB3wHe693BvB3UJGT8yI9xS3ktZOGYLY/8GCfK6J3DkFfPnZ4bQSJ2&#10;DlGvhJXZgB4/wmtH59ESVq1zZ9eOnjvkT9shLibDAVk/yKPnHuWw7mJCnAT6iHmTPkmgTk9I0+cM&#10;ZWU8Ul6vB+98SOg5kXlFXbp+2/+siBB3/PBvFAUzeQxpVqoR4ixoE+1DbvPKeUhZyHXeuAghJAsH&#10;nznWXCs2djdjCQpxhBBCCCGkGiBC6+tIUNHfXm1hCnGEEEJI69J59LCy39sU4gghhBBCmgeukex1&#10;U6OEOOzuYduGEPevC1Yf4t0QrTffunl1+P6K5eEP988Pt758adi8fULY9cHEsG3nXunNguPYPQ7v&#10;N70zMTz0xoxwxdNXhxNWLXfrryda/InJVFnQu1hB1rGPg4Q0pKUlnZYFkarQjk2rVYhDXyU8oQrg&#10;mBa77Ph0QFCydei59qSwGLp/3nmSiJ1D9EfCE6j02BBeHyUPBDM5Vo+5s2vHq0OQkLGmyXBemTT0&#10;uUJARLN5UJeEFdq0fJgkq6HfEpgbm67DqyNtTrMgQpzIani18lmMSoQ4ke5iHHzIP4WXNv3RLa+B&#10;RIf8aN8bFyGEZOGQn40214odzxa+WxoeFOIIIYQQQkg1eEJcRTse28K/OOaobd4NeEIIIYQ0n55C&#10;XMe60q/0ugW2mtVtAApxhBBCCCEOo+eVXTMVr5sq2ba/hvCEuLahnaMaJcT9z8VrwsBb7wrHr1oe&#10;/vzwvLD4xcvCo29MDVt2jA8ffz41fPzXKcXHor7/0aSw68OJxfef/9/p4f2PJ4WH35gWZj19TThz&#10;7eLw3WUr3PrrSR5CHCSdJKEJYo+Elx5D6s9DiNM7fmFOdJoG4pOElaQktCxmEYHJG0MaEt55kkg7&#10;h3qnNH1cS22Sx0paOg+ELzlej7mTc4t+eTvTaSQw1iwyHJB5j50bjf5ceDIc0PNh5x19QaBvMblP&#10;z50dt0Ssz1q80+ckKyLEacHMymcxKhHiILotv/NnPY7NX3RaWT2Q4nQeD8lPIY4QUgvf+tGvyq8V&#10;c/g7YpaAiKf7QSGOEEIIIYRkoQ5CXMceXfgnw773nncDnhBCCCHN54Sjjy77pd8oIQ43e92bwE1i&#10;wLju8L8nrAlHTl0VTrns9nDWdUvC2QsXhnG3LihwQxi7cFH41Zwl4cdXLQ0nXnJn+N70VeHbhfxe&#10;XYQQQggh1TLg94vLrpn20jG8dFmVazRbiBP+7ebVof32O8LPupeEq567uviI1M//e3r49G9TizvG&#10;CR9+en74f+HCsOvDSWHJi5eF01bfEr51y13hoJvWuPXWkzyEuJjshTYkvPQYsfqz1ithxyp1WwnM&#10;Q8KKShKxecwyR0lIePVLxNoGWqDSu5pB+kJA5NLimt51TPIgtORVj7mrZF4kIFdmkeGAXh9ow+7o&#10;ZtGfi5jkJ2HnXSJpdzghJt5JxM6p3mUu7dx7iBBX+NrcJ5hZ+SxGJUJcGrouSHJeHoFCHCGkHgw4&#10;4dSya8VB7R1zC98tDQ8KcYQQQgghpBooxBFCCCH9iB8MKxfi8Ael0q/0ukVvEOIgt3VcsDL8fPYt&#10;4fxl88KSRy4LD758YXj5zSlhw5uTwwMvzgiLH7wiXHLXnPCXmxeEM+bcEo6esdKtixBCCCGkWgaM&#10;XVp2zQQgpZUuq3IN7zH3aPv/W7zuQO+GaJ4ctGhN+M6yleF36xaGW16aFZ55a0p4Ycvk8Pzb54f1&#10;W6eE57ZMCU+9PS08+da0sGrTzPCXh+aF7yxd5daVB60mxEFqghiEOmRXLxte/Wn1ChJ2rNJWrO+C&#10;hM0rEZtHlEEktQMBDbuGIV1kLxte/RKxtgHmV0I/ElV2hUN5nUdLWrLrmZXZ6jF3afOikZAyCPTN&#10;y6vRu7EhML84pqU/oRYhLrZznCX2+ZNIq0MiLZ9HKwlxkOCkrnPHHeXmESjEEULqQdsxJ5ZfK7Z3&#10;zix8tzQ8Cteom3U/KMQRQgghhJAs1F2IO73jqA+9G/CEEEIIaT4/OeZ7Zb/08Qel0q/0ugV2NdFt&#10;gFYT4o6evjKMufGmcMXq2WHFU5eGp16dFt7a1hU++mxy+PjzKeGtdyeEJzdND/c8f3G4+dHLwmWr&#10;rwm/X7A4nHTpnWHIlLtC23juFkf6N3/9Yu/N55XPbXPTSf14Zfvem+949dIJIb2cP60qu2bayzFj&#10;SpdVuYYnxOE6rhlCHMAjVI+6487w67WLwvmPXR+ufubqsOCFy4qPUp37/OXh0qevDWMfmB9+tPqW&#10;0L58Rfh6Ib9XTx60khCnH38ZC6/+WL0aCTtWabdSIcs7HpvH2Bzp3dti4dUvEWtbEPlN7+gmIfKX&#10;5BHRTEty9tGc9Zi72LxYJDBWvWtd2m5sQIRDvc7w3o6pFiGukl3bKMTtB49PzdoPCnGEkFo5aLbz&#10;HzfaO7oK3y0NDwpxhBBCCCGkGmbduKTsehbUJMSdNux7H3s34AkhhBDSfM7oKBfi8Hu89Cu9buEJ&#10;cXgcmHsTuBmMWxt+dNWysOCBK8KGtyaHt7Z3hTff7QrvvDc+7NjdVWBC2LpjfNj87oTw2jsTw2tb&#10;J4anXp0abn10Vph6+9zwizm3hCHn3+XXXQdmrNx/w8eLt3Z9Gh5//f1iPq+85r4N+296xgL1eeXB&#10;TY/tv+m4/cPP3Tyk/yGBNealNxuIegiIe2fMedrN01vAZx6BVy+dENLLcYS4Rt1oTBTi5q47wLsp&#10;2gi+sWRNOHzZinDiytvCr9YuCn986MZwzkM3hD/cvyD8dM3NYcjyFeF/NuARqZaYkFMpWaQmtCGh&#10;j0O4EklJBCW7c1es/qR6LRJ2rFJ3JY/91Dus6eOxeUwagz4P8thSzInOI+HVLxFrW9ASGeQteUQq&#10;5t3Lg/OgZT3br3rMXdK8eEjIWEXeQ1ixLQby6jWn15s+H3ivy2kk7LxLVPLIVPsYV4nYOe1Lj0zt&#10;XnfWvrq4QxwhJG8Ouqzno/0btZOxDSvEnT1phnvDkxBCCCGEEE3NQpy9EKUQRwghhLQu/VuI6w7f&#10;nnBPOOaCFeH/3LQg3P/iBeGvf58W/h5mhF0fTAzbd3Xtu3mA9zv3TAwffHJ++OyLaWHbzvHhiU3T&#10;w4IHrwj/Z9HCcPS0/B6fmlViQ0CQick+ItKkxfq3P3TLgw8+LX8M17XrNrv5SP9ColWFOL32s8ij&#10;rQyFOEL6PoOObs6jqLzH3DdbiPvXApDiDr3l7vCdpSvC0DvuDENvvzMMuX1F+PbSlcU0r1zetIoQ&#10;FxODhFj9SfVaJOxYIS5JWBFPo8UwK19JxOYxaQy6/1Y4EyS8+iVibQsYnwTENIDQj0LVeTBOkc68&#10;ua/H3MXOrUVCxor5kse5IiCJ2TJJJIlvScctEnbe5TGyaZJgbO4krDyo0eJi0ucmhghxWjCTfzdm&#10;oZ5CHCQ4qeuq2Se7eYQvHfAP+/rrjYsQQtL46oXzzHXi3mvFwndLw4NCHCGEEEIIqQZPiDt48AkH&#10;lC4z06NwAfysLjzi6KO/8G7AE0IIIaT5/LrzyLJf+qD0K71ugf8tattoBSFu4Li14biL7wy/n78o&#10;XLv26vD0q1OLwtvHf51S3BVu2879QhzeY7e43R9OCh9+en7YumNccZe4Wx6eFc69eX4YNj2/HeK0&#10;EIddriDzCNitDbu5yeMqEXh/zpIX3bqsFJREklSHem3E5DlSHbKbGeRDL70VkejLO8Tp9Z/0GWsE&#10;FOII6ftYIW5Qe8fc0mVVruEJcTjWTCGuVdHiTxaZKkYWqQltSOjjaQISpCeRjLz6db1JQhmQsGPV&#10;7Sf1X/cBO4rZdiRi85g0R0nzIqTtBCYRa1sjAhleZUxWUpM80mcEBCydB9Rj7pLmxUNCjxXzo3d7&#10;i60BjRb/9LpLW4+ChJ13fT6Tzok+p964dXg7zWGMesw2PQtWiINoJv9uzEK9hDjsDieSG17x+FQv&#10;nyBtjh5zuDsuQghJ4+sTZpVdJwLsMFz4bml4UIgjhBBCCCHVQCGOEEII6Ud4QlxFv/gzhCvEjV3q&#10;3gBuJAPHd4efX3NruHrNNaF7/YVh41uT9+0Ehx3g3tnRE0l/a1tXeO71KWHl05eGSUvnhY4LGrND&#10;HGQ1L8/3L3q4KKZJQPrBMZtPC3E2LQuQ7xAQtV7ZvnfHC7Tl5SXVo8+5l96KSLSqEJeGzHlsPePz&#10;J5H0WWwEFOII6fu0HT+q7Lqprb1zWemyKtegEJcMBCAIPoLeYQrSjU7LKhUJWaQmLQrp41pMgogl&#10;u3yhDxC1RKZCePXr3cewmxn6jx2zKnmsqfQfgfYwNzIXqEfkI4SVx4BEkgAFkuZI9x/nQXYLwyvq&#10;02179UvE2tbo8y4hbQqoy4bNI9Q6d0nz4iFhxyqPfkVgDclxrCX0CfllXclxkf7QP73e0W8JvJfj&#10;FgnbFy2rITAujBt1oZ96Zzjk0/0SbKCvUgde9Wci63m3iBCnd2eLyWjL7/xZGQcf8k/7yunjENx0&#10;ueOHf6OYF+1g9zfJN3/RaeH0UQP31QHSdofTj1adfsGx7rgIISSNb/55Rtl1Iqjo8VJ1DApxhBBC&#10;CCGkGuouxP1g2NHuDXhCCCGENJ8xxw4t+6UP+osQ1za+O4xdtCjcu/7CsPndCWHrDuwEt1d623vj&#10;YNy+n0WQ27tT3ISwZdv48MY7k8LjG6eHy+++Nhx30Z1uG/UgixAnaCkO8ppNr1WIk8elom7sTieB&#10;915+Uh0U4hpPljmnEEcIaRQ9hbiOdaXLqlwjSYhDmndTtD+hxaW0qFSyySI1oU4JmyaP7kwKkYi8&#10;+q2AJIFjOp+ENzbUIYJULDyhC0jE5i02R7G2MQ55bKlXv0TWc6YFRIQWyARIWjq8PEKtc5dl7QgS&#10;3lhxTEJ2VdNyW1LYftUqxAHMn7cmdSTJcEACn4vY3Mo4q0GEOIhpha/HIhDVtIAm4LjkyYIuCyHO&#10;y6PBznBpMhxAHikDOc4bFyGEpPHNsyeVXSeCwvdKU4JCHCGEEEIIqYaahTj8oVYXPuFoCnGEEEJI&#10;q/LH43oKcfX+352tKsQN6loTxt96Y3hh8+Tw2d+nhT0fTy67aWB3h9srxO2V4pAOMe7VLZPCDfdf&#10;FU665A63jXpQiRCHXeGwwxXC2yWuFiHu2nX7d4/A4yJRtwR2i/PKkOqgENd4KMQRQlqJtuG/Krtu&#10;wn88LF1W5RqFdoaXt7v/MVjeTdH+hEhVWcJ7PGYMqRuvXjqQncmsqCZATBI5CoF8smOaCFpJ9SNd&#10;j092KtN5RFCKjU36oGUmCEnSD68MyFJ3bI4glUGs0vKT7GyGNJk7r/4sbVv0PHtCF9B9yVJ3tXMX&#10;mxdL2ljRloS0iX6hbr2rGt4jryekyVpDJAlrIK0vck71XCPws5xXrxyQkHx41f1HHVbkqxQR4rAr&#10;XOHrsQh2cdP/lhT0zmxp2Eevon6IbBDjDjzwH8vy4rGraPPRJ0eXlUkCj0nVbXjjIoSQNA4+c2zZ&#10;dWLh2nFP4bulKYG2dV/GXXyle8OTEEIIIYQQTd2FuM6jh7k34AkhhBDSfM47vr3slz6QG5/1ikFD&#10;jxlj22iNHeLWhP+zaGF48KUZYcsO7AS3fwc4vL75bld4+c3J4cU3JodXt0ws7iC3d7e4vULcR5+d&#10;X3jtCjc/fHkYMet2t416UIkQB+SxpghIbDqtFiFOdp/DLnFyTB6bivAe0ZoFEfhEstO73HmiHfJg&#10;TrZ/uP9GI+pA3qT5Qd2SDz97deB9lp3ukAdtSb8RmBP0+4w5T7tlQJZx6jq90HOfBtrAWpBd/RAY&#10;I8aNNJ1X5geB9zpNI/1b+dy2HmkSqB8/Y570/KIfXtuCnh/8jDZ0eaxdvZ7lHOrxYR6T+o/6EGhH&#10;H0+b86zhnXvMgf7MIfBz2jqTsSWtT6kTr7YsIaRv0DZidNl1E3bAKF1W5RoU4gghvR2JJFmxHogQ&#10;B+TxpxDU5FgrIv2EXIefvXERQkgah/zMXqN+/y1cJzYjdD8AhThCCCGEEJKFaVfPLbuOBBUKcZ3L&#10;dGEKcYQQQkjr0iwh7tA/rXJvADeSgeO6w6+uuznMf+CK8OiGGUXpDcLb7g8nhR27u4o/P7Zhenjg&#10;xQvD+jemhK3bx4f33t8ry2GnuE//NiW8t2diuPXR1hLi9E5uIicJWs7Rx7Mg4pB+FCsEHYk0yScJ&#10;CfRbC0ASOi9kpzSBCaKZLgP0zl6oQ0tUNrzyAJKS1z8bSfMgERtn2tiyCnGQs2J12THq+YmtMQm7&#10;rnQa1gfEtKTA2D0pTiJpfiQwv7FziHF7Upz+HOnjaXOeNbQQl2WtJM1DWlnMraRTiCOk7zLwx+eV&#10;XTc1aveNuBDXvce7MUoIIa2ERKOEuOkXHLtv1zbs6CbHWwnsIid9lMereuMihJA0eghxR35/feG7&#10;pSmh+wFwY9O74UkIIYQQQojGE+JKl5jZwgpxRx7V4d6AJ4QQQkjz8YS4AYOHDSn9Wq9LtKoQN2Bc&#10;dxh5xfIwZfm8sPTxWWH95vPDrg8mhg8+Ob+4W9zr70wMz7w6NTy+cVp4+c3zi49Mxe5xkOZwEwHi&#10;3NvbJoaFD14eTm6RR6YCyEASVnzSQhzqSkKXAVp807IR5B0JSDq6TFYkRExCHyFFAS3faclL8ug0&#10;vTOeldIwJgldB/IhDbuHaTHKk9q0pKTLArSty+u+CRJp4wRJ8lZWREhDW/p84txhTeQpxElAWJM5&#10;wqueP086lJD5QX4pr88t0u0cIo+W8HDc1p82p1nmPOs8yVhlDkR8w6tea9482HHI+OwaRXjjJIT0&#10;DZolxHmPuZdH6VOII4T0BiQaJcR5slmrIdIeHpcq0p43LkIISWPAKaPKrhMHfu/4R3Gd2OjADh66&#10;HwCPvvJueBJCCCGEEKKpWYgb1N4xVxemEEcIIYS0LpOOH1L2Sx/UW4hra+/osm20hBB3XnfovHBl&#10;+O3cm8KVq68JT74yLbz/0cTio1CxA9yW7V1h87sTwhvvTAhvbRtfFOIgw0GK27J9XDHtqVenhivv&#10;uTYcf1HrCHFAwgoz+DlL2HZE0vF2KNMCj/fYyDR0eIKQgDRETLxL6qcWmRCQlHQ60CKhLY/8Ekl9&#10;jJUHOmLjBLUKcRKeuOah5ye2xiS8enV444MMhnmRsGtFB8qLRCbI+Zfw2tDr25ZPm9Msc55lnmSt&#10;QF5L+jzI41sROo9eQ57shjGliX+EkL7BwNMnlV03gYq27q8yKMQRQno7Eo0S4gAeQ1r4mtz3ONJW&#10;Qx6XevqogfuOeeMihJA0Bpxwatl1YlvHSbfgOrHRgetT3Q9AIY4QQgghhGShHjvEzdSFDz+SQhwh&#10;hBDSqkw/oacQh8dllX6t1yVcIc65+dtosEPcEeffFU669PYwdtGisOSRy8Kzr00Jb747Ibzz3viw&#10;64NJBSaGnXsmFh+VChluZ3EHuclhy7bx4YmN08Lihy4Lf75pQRg2PT/BT4s6MVlJI1GtEJe0C5zd&#10;yQxoWQyij01PQwKim5WYNBKezCZgNy0JXZcWmWJ91NKVFpVkxy9ITrE+6p3M9BwCibRxgixyVgwR&#10;zyBPeemWLKIXkIgJcbE29Vqx51EiqbzuY1IeXb8dR6OEOPmMecKeoD9TWLNyXPfBrh+NrEcKcYT0&#10;XQaeMaPsugk0XYhb2L3ZuzFKCCGthEQjhbjld/6sKJwB7Bin05pN97qz3L554yKEkDTsdeKAE0Yu&#10;KHy/NDw8IW7ObSvdG56EEEIIIYRoKMQRQggh/QhPiMPN0NKv9bpEqwpxYOC4teE7k+4OJ1x8Zxh9&#10;w01h1qprw7r1F4Vtu7rC38MF4dO/TS0KcHs+3stf/z4thHBxeHfHuHDzw5cVyxx/0crw7xPuceuv&#10;B1qSiclKgpZ2rLikhTh9PIaWjDxJB3KPPMrR2xktDQnbV40eU9bQc6XLx+ZQ79yl80nEJCeg27Hi&#10;nURsnII+5156Gro8zrmWrjyyzo+ENwaJ2Pj0Dmg2n0SsvERSntg4UEZCH8+aDrLMU6WhxyKfT3ye&#10;dJ0WyUchjpC+y4AzZ5VdN4G2wZ2HlC6tcgsKcYSQ3s5n/7333yXLN29z0+uBFeLAkPavFKWzc8cd&#10;1SOtmYwec3ixX3jVx71xEUJIjH+Zt6rsGhEcOvy0q3Gd2OjAdbHty+K717k3PAkhhBBCCNGMu/jK&#10;sutIULrMzBYU4gghhJDewyUnHlH2Sx/0JyFOGDi+Owydclc4/epbw+w1s8P6N84PO3Z3ha07xoW3&#10;tnUVd43D69bt44vHn351aph6+w3h6Bl3ufXVEy3qxGQlQe+SZsWhaoQ42Y0qJrvpndViO1t5SNi+&#10;arSIlCXs4yqziEzAy4d6JGJ9BLq8zSuRVgdAHgkvPQt6tzoE5gTHvMd4Zp0fCW8MEmnjk6hmfiSS&#10;8sTGgTIS+njWdJBlnioNLStmFd0oxBHS9xnw29ll102AQhwhhLQGnhDX2/DGRQghMQ6avbTsGhEc&#10;cvpvphUvIhscFOIIIYQQQki11EGI63nT27sBTwghhJDm4wlxg4YeM6b0a70u4Qpxf8rvEaPVMuC8&#10;7nDU1JXhP+bdFGavuSYse+LSsPrZi8O9z18Y7l1/YVj9zMVh6WOzwvXrZodJy24IP7pyWThswhq3&#10;rnqiRZ2YrCRoEcrmr1SI0zJY1vAeqxpDIiZCZRGRYmQt7+WL7Wpm0eVtXom0OoA+5156VnD+cD5k&#10;Bz8E3tvHlWadHwlvDBJp45OoZn4kkvLExoEyEvp41nSQZZ4kYuNIgkIcIWQfo+eVXTeBAYOHDSld&#10;WuUWMSHuy4vWPuvdHCWEEEIIIX2fgy5bXHaNCA7+xe/PLV5ENjhwXWz7svyBJ9wbnoQQQgghhGis&#10;ENd+3IjahbgrTzrCvQlPCCGEkOaC39H293a9hTjUZ9toRSEOYKe4YTNWhp9efVsYu3BhmH779eHy&#10;u68tcE2Yccf1hWOLwymzlof2KXeFw7rWhEPHdbv11BMt6sRkJaAfX4pXm16pEKcfIZo1Kn1sqkRM&#10;INIikn0UaRayiEygno9MtY8plcgiSmWRsyoFEpxeG9XsoCfhjUEiNr7+9MjUV7Z/7KbHkM+n99nV&#10;UIgjpO8z4Pc9bzgOGtoxvHRplVtQiCOEEEIIIR5fvbDnf9g4+Ld/nFq8iGxweNesa55+yb3hSQgh&#10;hBBCiMYT4jbv2XNA6VIzPbyb3hTiCCGEkNaEQlxPDht/Txg6dVUYPvOO8JOrbgu/vPaWIqfPXlo4&#10;dmf4zsR73HJ5oUWdmKwE9O5wnjRUqRAHuQ2RRXLTj021MlgMiSTJCUD0k0iT0jy0yBTrGyQmCbQp&#10;x7POg54D+2hSidg4hSxyVjUkCV36uN09TtDnwBuDRGyHQC0cViMMSiTlSRofSJvTLHMeq1/I8ojh&#10;JPTn13u0LcB5kPVIIY6QvsuAsT0fSVXv6zMvKMQRQgghhBCPr03t+Uj/r5936bjiRWSDw/s74yMb&#10;N7s3PPs7dzzwWPgf//xl7HoSvnTAAeHaJUvdfL2V037+y+LYAMbp5ekr9IWxzpwzr7gOZQxrn3nR&#10;zUfyRb4TANaVl6ce4PtHzjfA+ffyEUJIo6EQRwghhPQjPCEOu72Wfq3XJbybq7jR690AbgUGjNu7&#10;Uxx2gPv2hHvC/564Ovz7xHsK79cUjw1wyuSJFnWSJByg80GY0UKXUIkQp3fzyvIYVC0LVSKtSSRJ&#10;ToLuO/rm5UlC9w3hSV86j93dS89tUj/1fHmikkTaOIFuzzuP1aIfgavXkpbdvL5jbCJ6Ibwx6PDW&#10;C9qI7V4oEZsfiaQ8+hzq8QE9p/q4l54057r+JHFQ11PpboaQBCW8HebQL30eKMQR0of506qy66a9&#10;UIgjhBBCCCHN4esTZpVdI4KvTptzdvEissHh3YP0bnbWm7Fdk/eJHQCiR0zwgOwjMgheIYd4+fLE&#10;9vnwoUe5+XorGI8en5enr9AXxmrHgPXp5SP5os9Bnt8Ji1etKWuL55sQ0irULMR5f0C95EQKcYQQ&#10;QkirYn9v11uIwyO+bBt4FJh7A5j0wAo2kHIECDSQj2THKARkoyRhrBIhLstuVRbpR9ojHzUSSZKT&#10;oGUk1A8hSfcLY8b8QBiydemyEhCOMH9IQ36RtRA4pstrmQuBeUT7cg70znBJ8y+RNk6AuiXQT2kn&#10;i5iItnEe0I7uB96LTIU+WulLrw28l7nR60DCG4MNtCVzhFe9RmPlY/MjkZQHbUngvU5DGQl9XMgy&#10;51ooxPhkjnD+ZT7tWkG7+jygDrSFNjyhTQtvSWtUXr3yhJA+giPE1fv6zIuoELdw7Trv5ighhBBC&#10;COn7fPPPM8quEcFXL5o3sXgR2eAY1N4xV/cDNzG9m531Ru+qpEkS3awMgp+9fNWgZTsw8eJZbj4K&#10;cX2HVh4rdh6UfmFdJq11CnGtgT4HFOIIIf2ROuwQ1/Om9/QThrg34AkhhBDSfOzv7bb2zpmlX+t1&#10;CQpxtaFFnrSAIGNFJ42Wnrx0jQhMEHS8dA/dV0g/Xh6LBMp66RrUqWWjpLB1aVEK0lysjqR+Q2pK&#10;axvpWn7SSGQZp5WqJHDMy6/RY00Kb4xp48O8yfrxxiCBurXUZSNp90CJ2PxIJOXRY8d7nYYyEvq4&#10;kHXO9WdIhz7veK8FwKTwhLa08wBBT8bilSeE9B0GHX1i2bVTva/PvKAQRwghhBBCPL559qSya0Tw&#10;5UXdue9g7EXhuniZ7kfnyFHuzc56U2jaJemRg3kKcbbuJKkF+UTkg6jU1x6ZSiGuNbDiZZL4BHFT&#10;RE4+MrV56HNFIY4Q0h+hEEcIIYT0Mw4/sqPs93YjhLhDR89zb/6SnsQEJ4gzkGIgySSJWBrZ7ctK&#10;PhbUJZFVbAPY/UpknqyPTZX8WR8viTYwDitd4We06fXXilKoA3mlbbzKrmC2rAbSFGQkK0XhZxyP&#10;yYiVjhPnAH2SgGCVtSzmAGW1lIX3GHNsnXjzgp9xHOnSH68fUgb1yzzp9jFHsbWUZX7S8uh1a8eJ&#10;MgjUoY9rssw5xubNkc4j+VDWrhXUiTaQlrRepA09fygj61PGgmO2LCGk72CFOOyEUbq0yi0oxBFC&#10;CCGEEI9/G31e2TVi2zEnhn9euCb3HYy9sELcKWf8xr3ZWW8KTSfiiT2tIMT1dSjEtQZZhTjSGuhz&#10;RSGOENIfyUWIm3Q8hThCCCGkVclbiBsweNgQXT+gEEcaiRXivDyEEEJIK9F2/Kiyayfc+CtdWuUW&#10;FOIIIYQQQojHwWeOLbtGHHDCqc0T4oZ2btZ9Of13Z7s3O+tNoel9WDnJ2yWOQlz+UIhrDSjE9S70&#10;uaIQRwjpj9QsxHk3vSnEEUIIIa2LFeLqvQMJhTjSbCjEEUII6W1QiCOEEEIIIa3CIT8bXXaNOOCU&#10;UeErC9fm/kh/L6wQd/akGe7NznpTaHofkEi0oITHQD7x2pay/FmEODzCFDLdN791aFlePE6y88QR&#10;Pcrc8cBjZfkqJemRqdjh7qw/jO0hXaFfOJ70aMuZc+bty4t8OIY+o+/yaEy8YoxJdWDeUA/KyONd&#10;BbQfK1sPScz2F6AfXrsYo+RBfu+cAsyz5AM4bzie11h1e+iXd55tn5LyVLIe8QhUna8S0M+kseJ4&#10;s9ajh64XeHOHcyxtAJSxedCmzoP5s3m89YEyOObVKUh+5EU76I/MH47pPku9AHl0PSir28Z7m465&#10;1WskaX3gZ8kDIMThM4BX3YZX1oJymC/0V88h6sH5TCqvvzPRZxzz+oB6vfNKCOmbWCEOVCTEtQ3u&#10;PMRWcN7x7e4NeEIIIYQ0nyOPyleI864NBvx2tnvzl5A8oBBHCCGkt9E2/Fdl105t7R3rSpdWuUVU&#10;iFu0dpl3c5QQQgghhPR9XCFu0drcH+nvhe4HwE1N72ZnvSk0XSZPWEnG7n5kZRArbIiskoau19ZZ&#10;KbaPAOPQgkkSnryD+iQd49E/W0TU0eUhpmRp2wo9gp1Dmx4DbUPE0eU9tIRkxwcRR9cp2Hoh5eQ5&#10;Vtsv7zyn5almPdo6K8WTmJq5HpPA+dBlvfNu28IasHnsd4YeA9ZHlnMAqcvrt86Deu0c6vOmj6NN&#10;XY+VIfU4rPTnoftmv69Ql5bQLElCGtqNlRNwXjCPuqztQ1pdIlISQvo2066eW3YtCTbs+Wvx75+Z&#10;An8stRX88bih7g14QgghhDSfpghxZ85yb/4SkgcU4gghhPQ2miHEDRraMVy3WWy3cB2HNApxhBBC&#10;CCH9l2/9qPzaFD/j+rB4EdnA8O4/zrpxiXuzs94Umt+HSCRarIAoomUMK2JY+UenpQGJA2Xw6qVn&#10;RUsxwAo6aVhhJSYceVhJyM5RDMyvLgusQGTTY0Ce0WVjyLmz84/zb+sFXp48x2rPgz3PWfLotDRk&#10;PUK88tKzYj8TzV6PSeBzrct5592T2Wweu+ZkHlG/FdFiyE5nGi+fRote+rgW4uz8oR39nRYTyQR9&#10;TitZ88Bb95ijNAlPY4U224csddl1SQjpe+QixI05lkIcIYQQ0qrkLcR51waH/nLmp97NX0LygEIc&#10;IYSQ3kbbiPJdOAYN7Xi2dGmVW1CII4QQQgghHtgRTl8jYse4Zghx3n+6XXz3OvdmZ70pNL8PkUis&#10;wKMlIytiWMkCdUA4gVQkYgzADktWrrHykq1bSy2xfLoeiC5WDoFMIjs84RXCkE63woonIGFMUocn&#10;TGnBRvqAdjCXdncpK+B4c6jTdVoMOy8QlXTb6IueGy1O2T7pcwfsbmIi6OQ5Vnse7HrJkqeW9Zil&#10;fS+fHmMrrMcYqEeXs+ddpwn2HOpzjPdy3PYbaVr2s+sRYCySDnSahz4n+rh8d9jPBPqg58am693Y&#10;ML+oH32UufbKAOSRecGrHZeVHO3aw88y92jfO+f63CT1AXOKdPTXnlv9eSeE9E1qFuIOHnzCAbYC&#10;CnGEEEJI62KFuLb2zrr+Qcu7Nhg4aspu7+YvIXlwzpIXSzpcKL738hBCCCGthBXi2oZ2bi5dWuUW&#10;FOIIIYQQQojHgBNOLbtGPPjMseHLC9fmvoOxjQGDhw3R/QDNFOKAllwgWogkYkUMkUCyYMtaQcOm&#10;6/7E8mkpBkKITkuSQPT4gBZWrIwCsUSXBVY2qWQebP1WArKyjE6LocUqLSZpIGN5ddvjek5B0i5g&#10;adQyVlvW9ilrniTS1mPWum0+vRZafT1amU6fHzs/gp4HiFc6DetE0uyYvDVj58eOTacBLZ6hPi2q&#10;6XxYV/jO0mIa3ts+2DFacc3DlkG9uh8g9nmyc4Z50pKeYD9zIqECrw9pYwM6nRDS9/CEuGtv7/5f&#10;hc9/tqAQRwghhPQuOo8eVvZ7uzFC3KSt3s1fQgghhBCyNrSNHFt27dQsIQ43HZFGIY4QQgghpP/i&#10;CnGL1ua+g7GNwjXxKN0P8MjGze7NznpTaH4fWkCzooqIMlaywM9SJg1b1gpvaelJ+bRsoqUwkNQ/&#10;KxnpOmyaV0eWPEnE2gYxSSyGln+yImUh0+jjVkzSclOSbOdRy1jTymbNk0Taestat82n10Krr0d7&#10;3rWwZ+sU9Nqw3xMilNl6kz7LQOcDSWlY3544Jui8aM+uLSuMAdtPtIFxW8FNY9eNPldZ8lgJ0SsP&#10;bB16Dm2aluU0VkrMui4IIb2TmoU4hK3g151HujfgCSGEENJ8miLEnT7xVe/mLyGEEEIIWRsG/vi8&#10;smunQUM79pQurXILb8cNEeK+smjtXHtjlBBCCCGE9A/ajjmx7Brx30afF76ysDv3/7BhY9DQY8bo&#10;foBmC3FA7zolEpQVMTzBAjIJpA/UF5O0bHsxASSWTwslKKPTdDlNrA6812neGLPkgWwDUcX2yWKF&#10;mKxjsOgyWdHij5VnJM1KQ3oXMCGPsdo5tmWz5ql2PWap28un10LWc9mI9ZiEPe9yXPfd7ngmYprd&#10;xUzKxsZjic2RPm7Pj0XntVjBU2PbF3Dcm8csY4vlqeRc6Xx6/Fnn144t1hYhpPcz68YlZdeSoAoh&#10;rmOPruCMju+5N+AJIYQQ0nzyFuIQun4w8LRzNng3fwkhhBBCCIU4QgghhBDSOthrxG+ePalwvDv3&#10;61Mbg9o75tq+eDc686DQ/D6scGKlC+wGZY9ZwQJ5su5UltaeTU/Kp2UQK4DocppYHVmElbQ8ViCK&#10;YWWWrGOw6DJZsJKQ7TPOJY7bHa3sYyXzGqudY1s2S55a1mOW9r18ei20ynqMYaU2KauPQYDTP8sa&#10;0HOrd5eLjccSmyN93J4fi86LtW3Pe9LjUDE22weNFUCzjC2Wp5JzpfPp8WedXzuuWFuEkN5PLkLc&#10;T46hEEcIIYS0Ks0Q4gaM/OOz3s1fQgghhBDiCXGd+MNsruEJcXiMKtK+QiGOEEIIIaRf8i/zVpnr&#10;w+YJcfibpe5H58hR7o3OPCg0vw9PONFCBd5bEUMLFnYnsTRse7Zurz9ePi2D6P4CXU4TqyOLsBLL&#10;YwWyNKzMknUMFl0mae5i2PMngpPeKRCSkS6T51jtHNuyaXlqXY9Z2vfy6bXQCusxDYhiuizq0v2R&#10;edFjgQRp5xdrQeqMjccSmyN93J4fi81rH+eKtRt75Cr6bOVAQfc/y9hiefBepyGvLqvR+fT4s86v&#10;ndtYW4SQ3k9dhLi2oZ2bdQUU4gghhJDWpTFCXLksP2DE6Ge8m7+EEEIIIWRtGHj6pLLrM1C6rMot&#10;2gZ3HmLbpBBHCCGEENK/cYW4P88opDVDiOtYp/txyhm/cW905kGh+X14wokVL6wApQULu1MY5BJI&#10;M0l12fbS0pPyaRkkqwBipRQt82QRVmJ5tEAGULd+NKktq/sP7Bh0WgxdxoprWbGPz7Q7g9ndsvIc&#10;a1rZtDy1rscs7Xv59FpohfWYhj3HOKe6PrxHPn0Meex3gT7vaXOr0fnsutVpsTqAl9fOv12/HpgP&#10;O5/yyGhgxybzo4nlsXV75YGto5od+OwuefocEUL6Hp4QN+mS2d8tfP6zx6ChHc/qCn4w7Gj3Bjwh&#10;hBBCmk8zhLiBx5/BHeIIIYQQQhLwhLiDB59wQOnSKpegEEcIIYQQQiwHzV5qrg9FiFsLcaChYTfj&#10;OHvSDPdGZx4Umt9HknCipRIrTEHM8PIBXQewEodtLy09KV9MNkkSYOw4YhKXHmOWPPq4NwZbVvcf&#10;pM1jElZO8/qdhpXIIOHon+1jJ3Vavcdqdy6z5xLikj2Puv60eUxbb2l9T8qn592mNWM9ZsHOlV5L&#10;UpedL51HC2OCzgs8Gcvu4mbnR6d560vj5UWbVgrLOjf28yTH7Tx46yKWx6Z5cwcwFzqfPMIY2Dow&#10;Ri17JuXR6YSQvsec21aWXdcCCnGEEEJIH6YRQpz9g1Xb93+6wbv5SwghhBBC1oaBZ8wouz4DeQtx&#10;hw0edqBts3ANNwppX6EQRwghhBDSL/GEuK9PmFVM+//mrsv1+tRGqwtxVqzQIE3yWYFD73IFuclK&#10;P7Y9u1OVljx0O7Y/WjaBAKPTJB11Ix31WcnL9iOLXBTLo8eJMUga+oA5sYKO7j9Af3S6Tothd+xC&#10;O5BoZOwAfYH0hj7q8yNgfnQdGk+oyXOsXl9EyEM7VlgCuv5a16MV8tAexgW0fBRbC62wHrNg145G&#10;57PnU8Ca0vmAnX/Mn14fWJu2PttvnWbnxZKU184NzrvMP9rDz8ijzynOve4b+i5pKKPrQ1lJy5rH&#10;rj2sAREG8Wr7jL5In4GtX/LI/OHVzq2VDQkhfY+6CHF22+ITjqYQRwghhLQqDdohrkyWb+s87Wnv&#10;5m+zGDBubTis654wZMpdYfjMO8Oo2UvDb+ctCWfPXxjOXrgo/HbuTeGnV98WTpl1ezj2ohVh6NS7&#10;w6CubrcuQgghhJBaGXDmrLLrMwBhrXRplUtEhbiFa2fam6OEEEIIIaTvExXiFq/L9frUhu3HuIuv&#10;dG905kGh+X3EhBOk6byCCBjA7vaUhteeFUU0IqykySZ2l7MYkEa0CAOsjKLHmCWPFYHSsP23c63T&#10;YkCY8SSxJGy7ghVpBE+oyXussfUg6P7q+mtdj57MJqBNyRdbC6DZ6zELaFOXF+ycWHlPEFFRg/lL&#10;Wkse3vrS6d73hSaW134uRODDPOnjSeh1ZcvotKx5rGyZht4dDmTtt4DzIMIdIaTvkosQhxvt3g14&#10;QgghhDSfhuwQZ64N2oaNeMG7+dssDuvqDkdPXxV+cuXSMO6WG8KND1wRup+7KDz16rTwzGtTwj3P&#10;XhTm3ndlmLHi+jB20cLw09m3hSOnrXTrIoQQQgipFU+IwyNNS5dWuYQnxA0aeswYpFGII4QQQgjp&#10;nxx02WJzfbhfiPvXBatzvT7V4V2rzrpxiXujMw8KXdhHTDhJEjBwXOdLE6S0mOK1FxNFsgpxIIuo&#10;BdnKykcgi1wUy5MmpkFO0aKX7T/mRefXaWlgPFmlOCvZCElz50lPeY8V40mSqnAcY9B12PprXY9J&#10;MhvaljxZ1ksz12NWPPnQzqe3k5yeC0vs/Gm8HeaAzuOdH00sL+ZDpwMIYt5xC85drC47R1nzZBE2&#10;ZY3bsrZ+iIpJ85xUByGk7+EJcaPPndJZ+C7IHriRriugEEcIIYS0Lk0R4o4+8Q3v5m+zOGrqyvDr&#10;65eEi1ZeF5Y+Nis8sWl62PzuhPDhZ+eHj/46JbzxzoTw2MbpYdXTM8P8B64MFxTy/XbuknDshSvC&#10;dyfdEwaO9+slpL/w1y/+OyBWPrfNTW8VXtn+cbGfePXSSf3AWkBgbXjphJA4zRDi8EhW2yaFOEII&#10;IYSQ/o0nxH1t6uxiWiOFOFwL237ghqZ3ozMP9I5PSVKKAKlCSxcQaPRj/HQ+LSmhDKQSyDFaqLGi&#10;iQDxyisv6VaySZI9II2gnBZ9UA51ox9e3wHq0/k9SSktD+qGBKOFK/QDc4w0Pe+2/+izLqPTsoI6&#10;PUkGY0cfMDdeOYCxWDnKCkaavMeK/uix4BXlZMcrXb8n7aHNWtajNzaUk/S0tSA0cz1mQc9FUj2Y&#10;c7s2PNlLg3Ghbn0OAOYU8xFbi7qtpPMjpOVFPyUdyFrEK9aQPS845vUNc4J0W0+leQDmE58Tvb6A&#10;fE6TdnVDv3R+jA3zjHFLu3jFz0l1EEL6HovvXld2PQkqFuIGtXfM1RUceVSHewOeEEIIIc2nIY9M&#10;NdcGg446fpt387dZjLx8ebhu7VXh2demhDe2TiwKcO/sGB/ee78r7NwzMWzdPj68Vjj+ypaJ4eW3&#10;JodHNkwPix66PExcekM4/erbwhGT73brrQczVm4qSiVJ8dauT8Pjr79fzOeVt3z/oofDfRt2hu0f&#10;fl6qIYQPPv2iWMcZc552yyB/1vDKa85Z8uI+eQqvSW2S3oUE1oqX3irg84LAq5febPA5ls/Htes2&#10;u3l6C/p7w0snhMRpxiNTKcQRQgghhBBLTIj7yvw1Q4oXkg0IT4jDDU3vRichhBDiCXFePkJI/yIX&#10;Ie7wIynENZu/f/7X4s2o1+5f7abnCdpEoA9eei3kWTdpLrvffK14bvHqpedFs9olybz1xEPh848+&#10;LJ4XBM7NkrNOcfO2Mq38fdWYHeI6Z+o2Cnzk3fxtNIO6usNR01aF/1qwMKxbf2H47Itp4Yv/N6Mo&#10;wW3f1RXefW98Ebx/7/0JYc8nk8Onf5taODYuPLZpWph//5XhjwsXhqOn3eXWXw8qkdEg+cQEMy2j&#10;JcVNj23pUU4koixhy1rWv73/84yAiOflI70LCQpxtaE/760+l2lQiCOkNlpFiGtr7+hCGoU4Qggh&#10;hJD+yVcvnFd2fQj2CXELu4cXLyQbEAMGDxti+7H8gSfcG52EEEIIhThCiEddhDh707uZQtyj111a&#10;ug3jx4fvbgnvrH+qmM8r31tA/0V6e/aWeT3SJSCW2LS8QZsSXnot5Fl3JaTNP6kcfDYRePXS86JZ&#10;7eaNiH6f7HrPTW9V8P3sRW/8zm6V7yuPJglx7s3fRjJw3Nrw/QvvDL+74aZw9T2zw1OvTA0ffXZ+&#10;UXiD/LZtZ7kQt2P3hPD+R5OKj1B9d8f48NSr08Itj14Wzr15QRg2faXbRj3QUgkeQYgdpATIaxDK&#10;tOSG9xDfbD3YGU7nk13lAOrFLnEITxTSQpxu38OWtVghD+16+foiOC+IpHPUm5GgEFcb+AzJZ6Ta&#10;HeJknSGauc4oxBFSG80Q4hC2TQpxhBBCCCH9G0+IwzGkfXlB96jiRWQDom1o5yjbj0c2bnZvdBJC&#10;CCEU4gghHrkIccC7Ad8ItICQFhBgVpz7W7eeVkePE+9tuoSXljd5SiB51l0JafNPKodCXH3R4aW3&#10;Ivg+ltC7wkE67Y07xLXK95VHY4S4ji7dBjj0T6vcG8CNYuD47vDTq5eGK+6+Nqx+9qKw4c3zw47d&#10;XWHXBxPDtp3ji49MtSAdu8e99W5XePa1qeHOpy4Nk5bNCx0zGiPEJQlnkN30zmsQanBM54H0JoH3&#10;Ok1AW69s/7jHcS3E2bRKgOAjASFPoq/JYUng/ElkkQd7ExIU4vJFvg/wGffSQausMwpxhNRG84S4&#10;jj26Tfx9B8cpxBFCCCGE9E+iQtyi7uLj9RsReJS/7QeFOEIIIUlQiCOEeHhC3Omj/zgS15uZw7vp&#10;7d2AbwRaQMDj6rCrkPDSqtuKuw/Jzl4IvL/34vFuXbUi7aBdL70W0nYok2iGrJWnBNIqgkna/JPK&#10;oRBXX3rjDnH4rpTI63u5XmT5fu/vQpz3R6tmC3Ft47vDHxbcFFY/e3F4bcvEsHV7V3FXuP2PSh1X&#10;FOO279q7SxyEOKRjp7it28eH17ZOCo9smBEuvevacNxFK9w26kEWIU7QUpx9FClENwl9PAv1EuKk&#10;f9s//Lz4aFcJHPfy9zUoxDWfviLEIbx0QCGOkL7BwDNmlF03gWYIcYPaO+biOIU4QgghhJD+SasI&#10;cd59R+8mJyGEEAIoxBFCPPDIfXtNWRch7sqTjnBvwueNFhAgLXl5sNPQjk37Hy0EsSGP3YckmiGl&#10;STSj7TwlkFYWTEhtUIgjvenzLRH7jm3l8TRGiOsYrtsAA36/2L0B3CgGda0J4269ITz/+t7HpOJx&#10;qPKIVBHgIMWJHLdXiNv7+FS8x+srWyaHefddGU685A63jXpQiRCnH4tqd4nTUpvdPS6NeghxaFNC&#10;dqiDGIeI7XbVl6AQ13woxDUOCnGE1EazhLi2oZ2bdZtyXUghjhBCCCGkf/K1qbPLrknBQZctLqb9&#10;88I1xcfrNyLwHzV0H74z7IS/ejc5CSGEEHDHA4+FLx1wwD4h7tolS918hJD+RV2EOG8XmFYW4gQt&#10;xWHnOC9PLUjEhIm8kGhG23lKIK0smJDaoBBHetPnWyL2HdvK4znyqI6y39myE0g9oxWFuLbxa8I5&#10;ixeERzfMCNt2dYXtu/fuEIfHouL1rW3jw6a3J4WX35wU3tgyIWwtSXBIgyT3wafnh3fe6wpLHrk8&#10;jLj0dreNelCJEAf0o0jxiFI5ruupVFqqhxB302N7v18R2B0Ox/RjXHVfK0HqkEe9om7sOPfBp18U&#10;jyOQljR3tjz6IWXx6vULY0F+kQ8RyIt2ZWwavTtfUnjl0Gc7FrQZG48GeXQ/s5StdGyCRKVrC+Ac&#10;iByJiLUn/RKp0kPmG682zQpxMkcSqD82Vskr7WN96PIYh50DzKkeH94nrXc8PlhCP0pYn49aImmd&#10;YQy6DRlHmjyLsenvB5w7KYdXCa8sISSOJ8QdPPiEA0qXVrlF4ZrtWd0mhThCCCG9ncG3PxxO634m&#10;nPXA+jL++NjLZUx++pUeXPrCGz24fuPbPcBxtOO1Xy3oM+q+9fV364btN8ij78fe9bg7xxZ7TjQY&#10;fxpe2/XgW7fe7+Ll7Q/EhDhcIxYvIhsQVohrP+6UPfYGJyGEEEIIITHWPP1S2XUtOO3Xo39VuuTM&#10;Fm1DO0fZSi45sfWFOOwKJ4+9y2OXOImYMJEXEs1oO08JpJUFE1IbFOJIb/p8S8S+Y1t5PI0Q4gYM&#10;HjakrI0Ch/7u+o+9G8CNYuC47vDr65eEhQ9eHp54ZXp4feukovC2+8NJRSnuta0Tw+Mbp4cHX5wR&#10;Xnh9SvExqXhcKoQ47BT3yd+mhvf2TAi3PnZZGDGrdYQ4iDYSWsyBCKMD0k/WneLqIcSJNATRRo7p&#10;PqE/On9WZH7QR8g5MXEI6Wnlbeg5xHxpsSkpbDtamEoKKyphPtIiNmdajPTC9rHasQkSer6yEGsT&#10;cpXNLxFrR9YrXmNpcu69wDrSQpotj7KxcySfL8nvhTeX+IxL6M97XkJc2jpLmoe0sjivet175Qkh&#10;cZolxLW1d6zTbeJnHMfuH/bmKCGEkP6NSEKQqQAkKCCykohNIj9pyUwLWRC17tnyXvEV+by2qgF9&#10;ePn99H+L1TMwBq8vlYA5xXw0Ouox983oO+a8HrIa6sDaxJr58G9/L9WePVCunuu3lfj6hFll16Tg&#10;oNlLJb3uf0NMCvxHDd2H75106lbvJichpFm8H7buvLhX8/auBc64CCGE9CU8Ie77P/jxj0qXnNnC&#10;E+KmnzDEvQmfN1pASBPiAHaGk3j2lnlunhXn/ra4m9znH+2/CYT3OIY0nfe1+1eXciTHS6tuK6sb&#10;fYaMI3KeBI7pvJp7Lx5fyhWK7226REzWwPzsfvO1snY/2fVesUyaHIh+iUiEwHxIOX0OvLJp1Fq3&#10;5MNYJDBGjDW2JlAO60Gf56T5SJt/YMeRFHoNoY8IrCP8LOdIQs+FlMlKtWsNSH4ZK/Lq+cX7WHng&#10;nRddTuYKr7ZsDK9vet7T5izWbjPnrNbysm7wmpRWyzrD3NjvRS+QxyuvSatD+imgXzimzzMCcxLr&#10;N+YSgbmVn6UOHENZW0ZT6fc76pPAzzJncm7x6v0e8UC9drxpazBGI4S4tsGdh5S1UWDAr6/8xN78&#10;bSQDx3eH065YFmbcOTfc/uSl4YU3zw8790wIH3w6OWzfNT68vnViePKVacUd5F58c/I+IQ7SHHaI&#10;2/Px5LBl+4Sw+KErwsmXto4Qp3eYssKUFb4gu0Cc8naN0mipB33wSJJmgBbf7M5eWojKKuhpZH60&#10;MIRxQwxEv6wYZsdqy+MVx1AWfdU7eem+Yk4wnzJ+tKP74O0AhnwSeG/TBd1nSGHoh7SD9zgmgby2&#10;PPJI6PLok5xL9FWXqXVsEpg7m5aE7ifey3GcI9SDPun8QCLWjowRr0lpEvp8Y1xa4vKEPD1/8irz&#10;i1c9T3Ke8CrzibYkkNeueeSRwHudBnR5myak1SHIOpM50J8NzIXuvy4H9LnT48OrXksStjwhJJ1W&#10;EeKwYxyOU4gjhJDWBjJPPaQgD0g+j+14vygJCXnGlk/+WvNYIOjl3c+kqFWKgjTYrKh1pzgIZc0I&#10;rE+vP5UAsa4eUQ8pstWICXFfXrS2uJtwI4JCHCGtzvvFv5n3ZrbuvMIZFyGEkL7EIxs3l13XFq8r&#10;Tzz1N6VLzmzhPRattwhxkOAkPBkCskFaaCGhUmFCxIhYeEIJxibhjVMiSfBAnbFAv0TEqaQshBQt&#10;1njlY9RaN/qcNqfefEJIiZWzZdLmP21+dWgZRoQXnLe0uYjJSh7VrjUggc8L2k6KpPLoa6wczquk&#10;Yw68OpKQQN+sMKQjac6kjNduM+dMotrysXFJWrXrLMvnTCKpf5pKhLgsbSPd+/7Sn1uvHm+uNLUI&#10;cTiPSf1O6i9I++wgks5TjEYIcYcNHnZgWRsFBo6astu7AdwoBhT4/kUrwn/eeFOYvWZ2ePKVKeGD&#10;TyaHjz47v7gD3JbtXeH1dyaG17ZMDG9tmxDeKT0yFVLc1h3jio9Uffb1KeHq7mvC8TPvdNuoB1qA&#10;icktGglPCNKiiw7Z0crmB1YiSgqvLNDyjBXSdBpkGp2WBSsYeWKebsNKglnKA/RNwtYhaBnRk4iy&#10;iEpaHoRY5J0THNPnUM8p0kTKQh6vvIzF/oyodmwSmE+bloSsK2+dJiERaydWr17LSfOrpTi7Jm15&#10;u571XCK8NvSas3Jh2hrRZW2aUOk68wRHoM+5nQdZY3j15lD3E2HTCSHpNE+IK7/R2Da0czOOU4gj&#10;hJDageSVtGOa3jUNQg3ATlsQfQB2nxIgjMXkNORBvV4fKgX9aUbUKhU1UyrDnHl9ykqz5hxRq8yH&#10;tdesqEXmw2eznpGXnNosWkeIK/+PG50/PP1V7yYnIaRZUIgjhBDS+uQmxE06vncIcZAQJKy4AYFB&#10;AmlaWMB7kUoQ3g4/EklSGoAIAhkIEoWuA33XEoSVJdKELAmvbdkVDxIG0nW7GLPIKXjV5YAWQpCO&#10;fqN9vHrShi0fo9a6tdSGc4Ox6DS9GyDq1GVFtEN5PZ+Yd5x7uzZi84+6JTC/IqqgD7odPe+CrCkZ&#10;h5wjbx5i68qj2rUGJKRf+vzgvMlxhJ0PIONGyLnxyiLSpCSLhO4b6vXmzJOzZM69dps5ZxLVlo+N&#10;S9KkDrxWss7QFwTy6bZRVurE502XyQLakvDScQ70uHE+ZS3hFT9LIJ/9jCGfhNSDMjJuzKvOH0Mi&#10;9jnU45GQ9tBf+7nw6pBzIedfvk/wqteBt7ZjHH5k/kIcbuCWtVFg4KhJW70bwI1iwLjuMPj8u8KI&#10;WcvDn29aEJY9Xjj3b54f3t7RFd7ZMS68t2di8ZGo770/ofgIVTwqFe/f/2hSeHtbV3j61anhtkdn&#10;hfG3zA/DZqxw26gHWixJklssEjHRCIKLFeOShDAtASUFytpyguwYhVebpsUciEg2PQ09P0kyG5Cx&#10;WplLl7fSj0bGkCQACXp3N9ufLKKSLh8735CYJCD8ecdj49EiVz3GJoH51MdjQL5DJIl7HhKxdmS9&#10;eutf0mJt6jVpBcEs5SWS8uj67TjS1oherzZNyLLOpB77ebDI2sC5l2O6fr32LHq9eOmEkDgDT59U&#10;dt0ESpdVuQauA3WbeQtxeLQebvzjBrqIHRA9BBwXGQRiiABRAvIIxBKv3lrATWx5/J8H0i1ePYT0&#10;Zrx1bvE+Hxav7lpBvSKViVCmEbnMSmYaEc4E/f0i3zc4Xq8xYL7QbqMD4/f6kxV8Rzcr8P3v9Skr&#10;WCPNCjyq1etTVprVd/wOrnXN43PTjEDf8Tnz+pQFlK1n5PX91yyiQtzCtcXH6zcicF2q+3DiT89c&#10;793kbAq7Pwmbdn4UNu36KLxSeAWbdn5c+PkTPz8hfRIKcYQQQlqfZ7fsLLuuBUceN+JPpUvObDFg&#10;8LAhtpLeIsQBCSskiPSRJHZASJA8nowgERMmYkDmkLB1aLHDG6eELafr1MKYBnKPBAQMnSbyBV69&#10;HYmsAGLTY9Rat8gwEEhsmiACCs6bPi6R9VzF5j8mIoHYupKyCIzDCj2YF5mn2DgrJbbWgA7Msz0/&#10;ej7suPR68uYEdWURg5LQ4X0OUb/MOcLOadr5SiLPOQM6qikfG5ekISpdZ7G1D/CdIWH7nIb+jHvp&#10;8hlH2O8mAZKYhF0Puu+IpDqyIBH7ztDjwXx686XPhZ0vmUuUtedI0ONNyuNhhbi29s6ZpV/pdQ3d&#10;Bhjw4/O2eTeAG8nAcd3hiMmri488PXvhwjB7zTXhwRdnFHeC+yLMCJ/+bWr44JPzi49HBZ99Ma0w&#10;uxcV/4G87PHLwthFi8NJl9wRvjNptVt/PdACTJLcotGySkwaEqwYBylKy1JAC3H6eBa0/JMkz+j6&#10;bdtpZBGEgN71Sx/PWl4iaQc1ISYL6bSkc6mFKy9dI6FFQj2eSiWzWsYmkWXNCbrMd+pZAAD/9ElE&#10;QVQ+jBdrMa3PErF2ZA7xWkmaBp8DL1+W8lnySNhxpK2RLOs1rQ4gfcwaeiy6DzEJNUtfCSHJNEuI&#10;w3Vgebsde3A8DyEOooW3s1GlgZvvXv2VAoEhj51tRPTTQLapdRceDeYS4gv6nyf1loQA5h31on4t&#10;Q9YbtAEhqZ6CE/pud+6yeH2pFLRR776jPvQP6zHvQP+xRr2+VAr63Yg+64Bk5/WlEpopCXn9yUq9&#10;JaFKolaZD+Bz38jAfNdjvQDU08hA3+vxewlrBt8tjY56zHu95hzfU179vZmUHeKKj9dvRFghbuQv&#10;f/e4vcHZLDa+90HYUPjOeXHz1vDim1vCC29uDS+/szNs2vGBm5+QvgmFOEIIIa0PhbgCEloc0eJE&#10;TDKAiILw5CSJmDCRhoStQ/fPG6eELSfzY4UwC8aD0KKNbjO2k5LMCcJL96hH3RIxyQUSoISWT0SY&#10;gpil8ycRm38RXJLOu6Tr9WbT0J8kmUhLQV56tUh4/ZaIzY/MoR2XrDmEt5OaIGvOm5cYErG+aUnL&#10;ro/Y+UhDot5zBiSqLR8bl6RVs8702tfHvXT72UhDrxWbhn5KeGPSyFqCSKaP675ZWa5SJJI+5yDL&#10;2tdrM+m7JNZXPS9JkrNH44S4jj26nYGn/p/3vBvAzeCw8WvC96atCj+/5tZw/b1XhQ1vTS7uBAcx&#10;buv2ruLjU8GOws8Q49a/cX64cMW80HHBKre+eqKlkiS5RaN3CLOyTRKQkGQnKETSrlgIfTwLepeo&#10;JNkNIpREbMcpj6zSTVK+LOVjO3pZtIxk82YRlUROjMlUgoTOK7uuIXTeJOo1Nom0Oiw49yKfSWAM&#10;SfMjEWtH1qs3h7E0TVK+LOWz5JGodI0gv4RNE9LqANLHrKF3iMvSB5A1HyHEpz8IcfUUFWq9iY/d&#10;eBot2SAgCnn9qQRIWc3oez3EiUYLHxK17t4EmiE44TzXKpZBqoNk1+hA32sV+iBINStq7Xsz5hyB&#10;eff6Uwn4nmpkoM/1ksoAvt8hKOF3jgWfYwF5LFhzHuifBd8r9ZJWNbIbYr1I6jtENq/9akG/MVcy&#10;l3quLd65EbD+kkA66q6XcAvQb9SNzyzWYgwd+BkiIOaz3nPZCrhC3GWL96Yv7C7uJtyIsH9XPO2s&#10;36/2bnI2kk07Pwwbtu0KL7z6Rnju+fXh6SefDE8+9lh46oknw3PrXwwvbHojbHhnp1uWkL4HhThC&#10;CCGtT12EuLbBnYfYSs47vt29CZ83WkDIImNoQUKLDbqerKHrBRIxYSINCVuH7rc3TglbTgSLrKHF&#10;Ez0nMbFJ5/PSPWqtW89H1tDzpuvFmNPEktj8p0ksIjFVuquXUM38ZkEC9VeSJiT1XY5bOcmSZewe&#10;ErG+6V3qbL5q2wUS9Z4zIFFt+WrTBLQroY/rte/JwlrwSpLtkkhqE+h2Y9Ir0PXo75PY57ZSJGLn&#10;JzYeIdanSiPWF4v9nd0wIe7k3zV9hzjNwHFrw9EzVoU/LFgc5t1/Zbj7mZnh/vUXhIdemlHggnDv&#10;CxeFVU9dEhY/dHmYueq6MGr2beGwCWvcuuqJlkqS5BaNFtCy5BcgxUlYkUfLM/p4FvTuc1nCe6xq&#10;jFrlnCzlsQuWBPJ7eQQtI9m8WUSlpJ3JPCR03qSd8JKo19gk0urwwNqDCGnXipawBIlYO7JevTmM&#10;pWmS8mUpnyWPRKVrBPklbJqQZZ1l6WMSWfoAsuYjhPg0T4jr6PLazUOIw03segVuunttZAU31ZsV&#10;tQoUuHHfjMDNf68/WYEwYIWCRgXOt9enrEC+aFZAHvH6lBXIGs0KtO31KSvN/JxCkvH6lJVmCXG1&#10;zrmAerzPK44BjA/IzogiKwlYtyJGASuVQdTCHOOz1RdlIkJ6O1+bOrvs2hDsE+IWdRf/80Qjwvah&#10;WULcxl0fFyW49ZteC48/eH948I7bwrrFN4S1N14b7rnu8nDPnFnF1+55s8O6JQvC4/ffF57f+GrY&#10;+O6usPG9D906CekbUIgjhBDSO7DXlYO/f9K00iVntvCEuD8eN9S9CZ83WkDIIjzoHcO0TKDryRK1&#10;7BAHqQRyFOQUeUyhDVtHmtghYcuJCJM1tLSl50TXacmaT1Nr3Xo+soT3CEK9+xwCeXDMk35i86+F&#10;IPRXpCDUg92+JLzzVouolIVq1hqQ8NKEpL5nGRPIms8iEesbkLD50tptxpwBiWrLV5smoF0JmyZS&#10;J7739DrG2pc5itWdRKzN2E5qFl2Pzov3Eml1pCEROz+x8QixPlUalewQZ39n40Zo6Vd6XWPQ0I5n&#10;y9oZftZO7wZwMxk0fk3ovPDO8Itrbw5/WTI/zFx5fbj6ntnFR6lCgvvLkgXhx1ctC0dPXxX+feI9&#10;YeB4v556oqWSJLlFgFgkQhVevTwxkiQZOY7Qx9PQslUlUcljU7NKN814ZCp260tKSxOVKnlkatLu&#10;XWmPHxUkahmbBNrXxysFbejdCqtpJ2kdp6Vp+ssjU6v5ntB94CNTCcmPtpFjy67PZKe2vMMT4g4e&#10;fMIBeT0ytR4BGaPWHb/qKedVGr1VtEHUIvNBemlWQNjx+pQVnLNmRa1CHESkZkWta71Zn1Osl1ol&#10;rUZIlFpOg4RWj50QPTAXlNYI6V+0ghCH61Hbh5//5znLvRucebNp+67w/IZXw8Nr7gp3zhgXFv5m&#10;ZFj4y5PCol//ICw485Sw4FcjCj+fHOb//IRw0+ifhLsum17M+9xLm8LL23e7dRLSN6AQRwghpHdg&#10;rysrFuIOGzzsQFtJbxHitASl82cRGdKQiAkTWvKIha0jJlEACVsuiwiTRNY5qWbuaq07bT6yIvKT&#10;Fp/w3u5IFWtPP8IwKZJ2j6tVVIpR7VoDEl6akNT3LGMCWfNZJGJ9AxI2X6zdZs0ZkKi2fLVpAtqV&#10;sGn6e9MLfGZiOz0mEWsTj1KWSPuM63p03tjntlIkYucnNh4h1ieJWBvVYn9nN0yIO+70lhPiwLcn&#10;3BOOnrYqjJh1ezjj2lvDb+YuKfKLObeGEZfeHg6fdLdbLi+0VJIktwh6dzgr2mRBwoo8Is8g9PE0&#10;9OM70yQ3/dhUb2ewJPT8xAQwEZzsDnRZpR3ZvSxNVIuNOYuolHXO9Hzhfdpxi667HmOTqGbdWbTY&#10;aeuTiMl7ItR5Qpqs5dhOhFrktGtRynt1C1nySNjxpa2RLOs1yzrT3xVpn02LfixzbI1VulshIaSc&#10;thGjy6/PhnY25HFUg4YeM0a3C/IS4gAkkVp2fYL8gZ2FvLorAXIH6mp01EO0aZYkVKuYBZq1u12t&#10;OwrinDVDRKyH/Nmb1zrKo55GBtZoPR+Did3Q5BGRsV3T5PGWkAhxzgV8ZwL0CWBOap1XQghJIy7E&#10;rW3ILsbePcezJ86YY29uNoL1r78ZHrvv3rB69iVh0Vk/DItPbQ83F5j/g8FhwQ+HFFk0sj3c+qMj&#10;ww0jjgi3jP1VWDPvmvDEQw+Hl7fucOskpG/gC3FD2r+C74kw/YJj3fRmMXrM4cV+4VWOUYgjhJD+&#10;QftxI8quKw/vPPnK4kVn1vAuTscc2/pCHMQlEZ/wqtN0PdWIHUAiSWbQIgR2WsLuPvYRgxK2jphE&#10;ASRsORFh7HizkHVOdD4v3aPWuvV8QJzRadUCGUqvD71TXGz+Ibsh8Iod4XQd+Nk7X0KtolISur+V&#10;rrW0NCGp71nXXJaxe0jE+oY1JWHzJbXbzDkDEtWWrzZNQLsS+jg+BwicT+TB3EjgPY7ZecpKUptA&#10;nw8rqFp0Pbovuo7Y5zALEmjLSwex8QixPknge0Mfr5UrTzqi7Pf1Xo4ZU/qVXtdoa+9Yp9tp6zz1&#10;A+8GcLPBo1OxU9z/nrAmfGfSPWHw5NXhiALfLbz/311rwsDx3W65vNACTJLcAnQ+iE1aDoPwAsEo&#10;Jq/o8nh8pU4TwQehj6eRJKF5aAkqTczS6H6jvLdjVWxsOk0ft+h8eO/l0SKVJ0NpUcnufOblSRKq&#10;MFcisWHM9lxL2HUgiDQnP9djbBJJ5StFxmfrE9nNjhvgZy1hef3UaxnvvfnReex6kjSvbiFLHgk7&#10;vjSZTZ8rr+9A15H0mdd5MGdeniTQrkTSGtPyJMKmE0LSsUIc/mNB6ZIq1yi0M7y83cI12+DOQ/IS&#10;4jSQOkTyACJ+iAgCMQSIKIK0eosgkFIgwMjj/ywQiTwqDZRBWxin149KgUDTqEDfIe7UY+5RB6Sg&#10;RgX6jrny+lIpOHeN6jv6jXWJz4HXl0rBZwd9x5r2Au2lYT8bSUD8wpzX87OK7wGsQS2TaZCmEclM&#10;I98jIp0J8n0D6v39QgghvZU0Ie7/m7vugNKlZG7RSkLc0888F+659rJw8/85K8w77eiwEAJcgRtP&#10;OaIoxYkYt+TUoeGGwrHFvx4ZVlzYFR5acXt46c133DrryROvbQljuyaHb37r0KLsA/7HP385nPWH&#10;sWHtMy+6+ZGOfMhj0wnJTk8hrnvdWfvW4aNPju6R7iECHTjwwH9083hAuPvSAf9QLJdFvvP6RiGO&#10;EEL6B1aIa2vvnFn4fZA9vO2Le4MQp3c5slKDfpRqmnyRhESSMKH7miSQSNg60sQOCVtOj1kLXlnI&#10;Oif6saBeuketdWP+JJJ2X6uGpHlOOq77UY0UVIuoFKOWtZaWJiT1PcuaQ5/kMZyxsXtIoB0vHejd&#10;xbDWdFpSv5s5Z0Ci2vLVpgl6/Pq4nM/YfFdLUptARDxE2mdc1hJe9fGkz201SMTOT2w8QqxPIhva&#10;cdTKJSf2FOLahnaOKv1Kr2sMau+YW9bOsJM/9m4Ak3K0AAOZCyKLAKkKOz2JPITwpDAtMyEv6pQ6&#10;IMxoAQjCkRVcdLpu30PKZN1FSqMlGjuGJPT8SGBOpD+6Tk+i0uX1cQvKobwE5gTjQhsYq23H67+W&#10;1TDPKCd91P3S843zpc87xqb74c2t3v1Ll0d73q5d9RibBObTpiWBvqFutCPHMEe6PZ0G9PlCeekn&#10;xqjHgMA4dFmg5xaBMnp+dHqsvJcmZMkjYecL/ZCwYwcYrwTOpfQb51zyVLPOpC5JQz4595gjOS7o&#10;NYY25DzgFecFoc+HLU8ISaet89Ty67P2jnWlS6pcwxPiBgweNqQRQlxfBVKNxctXD7RImBd59T/v&#10;vtdLPvSI9R1ptZLnmiGEEELSaAUhDv9Bw/Zh/MwrZ3k3OPPm0XVrw23n/WeYe9rR4fpTBofrTvpu&#10;uO5ksP/vrdcXmHfKEeG6U4YUH516yzm/DmsXXB9eePUNt856cccDj4UvHXDAPsnHY+aceWVlFq9a&#10;sy/t8KFHlaURUhk9hbjTRw0srq3jh3+jR5rHueOO2rceBS+fBmLbwYf8U1kZ1OPltUg52SWOQhwh&#10;hPQPrBCH+9eF3wfZozcKcTofZAMrvOBn2dnLS8+CRJI4kiZLxHa1ShM7JGLlKt11CHMgkTQnsjua&#10;hE1Poh51i+SDqHZXP4uWcPQ8J82/Pm7nPgu1iEoxallrQCI2pqS+a9nRW3M413qXsdjYPXR4ohTq&#10;17v02fSkfjdzzoBEteWrTROSxi9l8TmtVKpNI23OpW2E/txptPxo5y7pc1sNEjExMG08INYnXb5e&#10;O1+CRgpxMOzL2jrquL95N4BJOZ7wlRQQXLTwotEiVFJAbIFMY8tqcSYtRKrRUlNSnywoK4HyXh6L&#10;nh8tC9lIErl0eZtmQXkrXdlIakdImktdBvOFc5EWGK+uW5dPO2e2bK1jk7CCV4y08NZA2tygjMha&#10;mANbXuYFefQatYE2vHUr5b26hSx5JCoV4tAn7zzhmM4nfbBh11lSPhu6bikbOw+oF0KdhC1PCEnH&#10;CnEV/2GmyoD8VtZuAQpxhBBCCCH9l1QhbvG6A0uXkrmFd43aSCFu0+5Piq8vvrk13L90SVj0H6eF&#10;eaccHuaOOKL491UIcPZvrsW0AnN/eGRYeNYPwt1XXRye27CpR931Aju9aRkOu71BdgMTL561bxc4&#10;K72l7RAHyQ5pqBvvbTrZC+YY84S59NL7B+VC3Eub/licEzB/0WllaR7YpU12eNOCm5dX8AQ6kFWI&#10;w05yyI928TOFOEII6R90jhxVdl1ZFyHu151H9rggbARWIIBgIEDMgbwAkUMCgkySPKXr8h6ZiDql&#10;PisyAGkHbWDXM+RBnZIXxyQg8ohcglfkE4kHgZ913ahDwmtbwpYDWiqBoKTLY3wYJ/rjyUMYrwTm&#10;RMaFVz1eCVs+Rq116zmROdfCDs4z1gTq1vOC46gfx/RawHsRtVCfPfcSdv50H3XgOOYeoB+6PkHO&#10;DV5tmoB+SnjpHpgLiUrXGpDw0oRY32UeEVhzWGOYN922vMbG7mEjae0gvP4n9bvZcyZRbflq0wS0&#10;K5F03AbmHnVivvTnIitJbQr6c4dAO7KWcL5kXAj0xX7GdPlq+qdJ+34HaeMBsT7Z7xPUp7+jsBbR&#10;Nj5TsXNpmX7CkLLf16BhQlwB7wYwKUcLMjYgwUA8gdwTk7AE1AUJSIssqAOyXJJcBSqR8qQfIu1k&#10;FdsE6Rt2mfLSLVZowxi1/Ce7kHmiH8DuYAgrFCUBEQhtWpEIP+O4J1FpkI7+yPzgNWmOcE5Qr+RF&#10;YH5i49FIeQlpK6lsLWOTPmI+vXSP2HqETOWVAdJP2YkMoXc4k3OKY7asrA3pJ+ZIt4/3sbFKea9u&#10;IUuepPnC50ci6TON49IGAvNg66l0naE+yYvAeznvsbWGdDt/8l0iY0FdthwhJB17zVTx1v1Vhvc4&#10;KlwbUogjhBBCCOmfpAlx/7pg9SGlS8ncwhPiJs2ac653gzMPNu76OLy0+Z3w1BOPh3vmXBYW/OKk&#10;MP8HQ8INJSHOA5LcnJO+G+aNODzMPe17YcUFXeHZ515w668HImQBvPfy4FGqnSeOcNOS0DvI4b2X&#10;h+ydW5knL71/UC7EXTX75H1zoo8ngV3kkBePTNWim5cXSH4pI3IbyCrEQcKTMpD2KMQRQkj/wApx&#10;be2dywq/CyoLXQFoBSEuLSAQeFKSRktasfDkiqS+6J1+tChkAyIERAcE6tJ1xyQKIGHLAYxZiyOx&#10;8MrG+ox6IahI2PIx6lE35BAtkCSFnhc9l0mBenU7sflH3iwBoUYkK0HOC171cY1eV156EtWuNSDh&#10;pQmxvkPiiZ0XfM5kXLGxe0igjtgYIU955WP9buacSVRbvto0Qc4HQh9P+5zqiPXdI6lNTZbPF/rn&#10;fbenfW9Wgu6rDv39nmU8aX0SYTctYufS4glxeFRW6dd5XaOtvaPLtnXon1a5N4EJyQqEHAkvnRBC&#10;COltDBi7tOx6aS/HjCldUuUa3n9wRNsU4gghhBBC+ieeEPfVC+ftS2+EEOc91r+RQtwrOz8Kz23Y&#10;GB6+566w8uLJ4YZR3w8Lfzgk3IBHpjp/bxUgxC34wZDibnHLu/4rPP7AA2HDtl1+GzUC0a0wVUW8&#10;9GqhEJcNCnGgXIgTYS3L41KX3/mzffMHSS2LEAcJDqAsftZ1ZBXigOxGh8e7UogjhJD+wSln/Kbs&#10;urJXC3FaLrABgQXSAMQZvctOGqgTMo2VEqSumFgBIUKXg0CjJShIG8ijBRPkxzGkQa5AaMkCoP8S&#10;3lhEPrLlNLKzkBaVZI7QvpW1NLbPeC/SmPQNddlyWai1bvTbk6PwM86j1KWRudDnCu+R35vf2Pyj&#10;LgTas1IO1grGJ2ElFhGs8KqPa2RNVDq/1a41IGsktp7S+o427OcIeeXzI+3Hxu4hIePAq24Dc+yd&#10;cyHW72bOWa3lq00TZGx2nWHcMh92XvHZg7Sq5yv2/WhJatOCdrCWdDsok3auY5/barBrDfOpvzez&#10;jCdLn2StYXw60DbaRBryeGU9Jh3fOCEON1NtWxTiSK1QiCOEENLXGPD7xWXXSyCvHXy96NF2e0cX&#10;hThCCCGEkP4J5Dd7faiFuK/MXzOkdBmZW+Ba2PZh1o23/d67wZkHG3fsCc8880xYd8vCcPv554Qb&#10;fnpMWFAU4pJ3iBPm/2BwUYi7eewvw/23LArPPvt8eGnLdredWsCjUAtTVQSPQfXyVAOFuGxQiAPl&#10;QpzMB3Zu08cteLTqgQf+YzGviGxZhDiIc/rnaoW40WMOL5bBY1MpxBFCSP+gTkJcxx5dyRkd33Mv&#10;Bgnpy2i5JSYUQtiT8NJJdiQgJ3nppL6ITAchzUsHkLMkeF5aD0+Iw2MISr/O6xre/+bEDV/vRjAh&#10;WaEQRwghpM8xuudNx7z+w4IX9u85eFwrhThCCCGEkP5JqwpxC1fd+yvvBmceQIh78sknw7qb5oel&#10;E88O837aGW48Za/o5v29VQMhbt4pR4TFv/tRWH31JeHR7nvC+tfecNupBS1k4b2XJ4kvHXBAsZx+&#10;1KrecS6Jtc+8WFYPgDSHslIn+Oa3Di32qRpRT/ohfbP14/W0n//S7QvAcbQNYVD3CeDYzDnz3HJA&#10;8t/xwGPFvqMdKYs+6DxJ/I9//nJinfgZ7WN+JD/ex/okYFzoD+rXbcXmQh6rK32/dsnSfeXxip8l&#10;L/qHuvT40uZLC3FaTpMd3JIQ+Q1SHOQ4fQzY/ElUK8ThUalS7p77/uyMixBCSF/j9N+dXXZd2dbe&#10;sa7we6CyoBBHyOFFSQhhd36zQBKS8NJJdiQoXuUPJE+JtJ3fJHheWo/zjm8v+6UPGinE4YaveyOY&#10;kIxQiCOEENLXGHDmrLLrJdA2uDP3R1FJOELcMgpxhBBCCCH9k1QhbmF37v9xw3vqRCOFODwy9fkN&#10;r4RH19wTVlw8Odx4+rHFR6HOGxF/ZCq4sSTELTzrB2HFRZPCg3csDc+/vMlvpwYgQRWmah+QmbIK&#10;aFJGi3QiosWw4pUWxjwgV4kIlhXZ+Q59O+sPY3vUKSTVnSasAfTblgOSDlFMS2sC8qTVb4U4OZ5U&#10;p5DUJwApzSuj8cQ1zCHSRGyzZeT8o282TZMsxe0X4rIKbdjlTfJpca6RQlz3urP2lbvimp874yKE&#10;ENLXoBBHSJ2QRxriUYZeuiD58MhHL51kR4LiVf5AgpOIPZpU58MjVL08pHl4QlxeN1wh2tm2KMSR&#10;WqEQRwghpK8x8IwZZddL4LDBww4sXVLlHoOGdjyr26YQRwghhBDSf0kT4r68oDv3R/t7Qtyapzb8&#10;yLvBmQebdn9S3CUOItvaG68L839+Ylj0w/ZwwykZhbgRR4SFZ/4grLhgfHhg+S25CHHASk6QtSCR&#10;Je0YJkh+LcQJWR+ZKrIa2kQ9uk27E5kul4YIcSKeyZjQF9SrxT2vbhxDHsyN7hPKayHNk+kkTdpG&#10;X9AmQB90XpHNgD5usXWif+gb+oMd3OQ48OZby2qQ5nS/8V7mC9jzLn3Uc4lj0jbqRj5Jx/zY8ygy&#10;nRwrZ78Qd/zwb5Ta+Icy+cwypP0rxXzIr483UogDUu7P44Y74yKEENLXsEIc/hZa+D1QWVgh7ifH&#10;UIgj/Y/X7l9dukW/d5c4KwPhZ5HhEJSFakeCQlxj+Pvnfy3ON14x5/rRwHiPY5KHwmdr8sfjhqpf&#10;+HvJ64Yr6rVtYQcU70YwIVlZ+dy24nfMX7/4bzedEEII6W14Qlzpcqohgf8VqdvGzxTiCCGEEEL6&#10;JwddtrjsuhR8bersfen9QYgTNm3fFe5fdktY9OuRYf4pQ8INIwaH60ccHq53/ua6lyOKj1bFTnIL&#10;zxoZVl02Izx894rw4iv1f2SqAGlJ5DNNbMc4yVOtEAdpSvKIVGWBrCV5koWqnmjBC4KWNwYtxVVS&#10;t+63N3ZJA7Ed20ClQpzUacej59tKd0DOrZcGUJ/ksX3WfYT05kmAWc53MvuFOBHd8KrFM408qhTS&#10;HHaK02mNFuLQB5Qb3P41Z1yEEEL6Gr8+p6vsurIqIa5taOdmXQmFONIfWXLWKUUJKEtQ4KoPEpzP&#10;xoCd4bIEPgf3XjzerYM0l0YKcQcPPuEA2xZu+Ho3ggkhhBBC+ittI8eWXS/h7yuly6mGBHaEs+1T&#10;iCOEEEII6Z8cNHtp2bUp+PqEWfvSv7yoe0zpMjK3aGvv6LJ92Ljz0+HeDc48wU5xD9+zKtz8hzPC&#10;dSd/N9ww4oji41DnFl69v7vOOenwsPCH7cXHqy75/ahw35IbwzNPPxNe3rLdrb+eQAyzYlySBCXp&#10;1QpxIlqhPS9dkB3ZkmQuDxHiUHeS0KfFtjRxzSLlYkJckoinqVSIg8TnpQM5bxi7Pq7Phd39TYP5&#10;RR70Wx/XfUwSB/VcYtc4L08y+4U4EcyShLiXNv0xHHjgPxbzePJao4U4EfgoxBFCSP/g7Enl/xm5&#10;qr+9UogjZD+Qhna/+Vrx0ak6IAm9s/6psl21SG3IbmTYnc9LJ/UH6xfrWO92iMC5wLqPPU6VNJ8x&#10;x1KII4QQQghpJdpGjC67XqrqfynWEG3tnTNN+3u+snDtTH1jlBBCCCGE9A9aQ4iz16fNEeLAEw8/&#10;GG4//5yw4BfDw9yRR4Y5JyfvEDfnpO+G+T8YXEg/Itz2l9Hh0e57wktvbg2b3vvQrTsPrBgHKc7K&#10;VJJWrRCnd3HLghW9YkjdaWXkMZ+V1A2kTzEhzkuzVCrExepMGrNuIytJ5fVxi7QPIBh6EqXPfiFO&#10;yicJcSK8QYqLpQMv3YNCHCGEkKzkIsT9YNjR7gUhIYQQQpqHJ8RBXCv9Oq972LYGnj7JvRFMCCGE&#10;ENJfaRv+q7LrJTyytHQp1ZDwbjhSiCOEEEII6Z/8y7xVZdeF4Jt/nrEvvTlCXMeeZglxz7+0Iay7&#10;ZUG484JxYfGY08MNPx4Wrj/p8HDjDwaHBQVuOOWI4vuFPxxSfIUsN/+Mk8KqS6eFp596qqEynIDd&#10;zWR3NmB3UZPjnqSVhxBXzQ5xVg6zxPJBAESbSBNxzuKNPZZmySqbZakzaSy6jSzEdojTxy1YL9IH&#10;AVIldoyL75SXTYjD41ElHeIaRDbL6aMG7ssjx+xjVS3Io+v18iRBIY4QQvoX4y6+Ul1X7r22LPwe&#10;qCzwP5h1JRTiCCGEkNbj151Hql/4eyn9Ks8lcFGh28IjwbwbwYQQQggh/ZW2zlPLrs0GtXfMLV1K&#10;NSS8R1L96zXLr9Q3RgkhhBBCSP8gTYjDo/VLl5G5hSfEbdj58RDvBmfevPzOe+GZF18KD911Z1hx&#10;8cSw+D9+HG740dFh3ogjirvBiRC3aGT73mM/Hx6Wjft9uPem+WH9ptfdOhsBRKbCVBaxopUc9ySt&#10;SoQ4W289yFp3Uj7skCf9j+GNPZZmySqbZakzaSxZ20ii0vI435AnpQyAGJe8Y1w2IU6La5WQtNuc&#10;QCGOEEJIVijEEUIIIf2EMzq+p37h76X0qzyXsDvI4pFg3o1gQgghhJD+ir5WKl4vtXfOLF1KNSQK&#10;12ujbB8oxBFCCCGE9E9cIe7sSfvSGyHE4T+IlPeheULcpt0fhw3v7grPvvhSeGD5reGuyy8Iyyb8&#10;Idz8hzPCot+MDPN/MbwowS34xYlh8X/+JNwx9c9h7Y1zwmMPPhA2vLPLrbNRJIlWOAY8SasSIQ67&#10;r3nptZDUZ4v3yFTdd+yWdu2SpT12OJN0b+yxNEtW2SxLnUlj1m1kf4zpfrL20YI502XtznP7ySbE&#10;da87a196JRw//Bs96tJQiCOEEJKVnkJcFffGKcQRQgghrU9PIa4KC76CsNcHFOIIIYQQQvYzYOxS&#10;dV1Wul4a2jmqdCnVkChcrw23ffifU69doG+MEkIIIYSQ/oO9Nmy2EIf/cNssIQ5s3PlReHnre2H9&#10;ptfCU08+FR69d224b+mSsHrOZeGOGeeFO6b8Jdx12fRw74Lrw8Nr7grPPLc+vLj5nUK5xj8uVVOY&#10;yiJWtJLjnqSVRYjD40glDx5P6uWpFpHDkiWsT4tymLSvH8eqJa6kR31Kujf2WJpFt+WlC1nqTBLi&#10;IPRJeex8p9OykLWPSaSX3y/EiWCWtqtbEhDapC0v3aMWIe5LB/xDsRyFOEII6R9Mu3pu2bUtKPwe&#10;qCzsDe8TjqYQRwghhLQaPzmmXIjDH5RKv8pzibb2jnVl7Q3/lXszmBBCCCGkXzJ6Xtm12V46hpcu&#10;pRoSAwYPG2L78LWuS27RN0UJIYQQQkj/oe2YE8uuDf9t9Hn70xeuzX0341YT4iwvb98dnt/0Wnj8&#10;4YfCfbfdFO67ZWF4pPvu8PTTz4QX33zHLVNPIKFhh7SYJKVlpokXzypLk+OepKWFOAhZNt3m6Txx&#10;hJunWkQOA5DiPLFN59E7p6UJXFqk88YeS7PotpLkO5ClziQhDvXKTnh4dGmsHY+0+UhDP37WS/eE&#10;OIhmWjzLSqOFOCn3uzHDnHERQgjpa3hC3MGDTzig8Lsge1CII4QQQlqfxgtxncvK2us81b8Z3GAG&#10;jFsbDuu6Jww+f3X4/kUrwsjLl4WfX3NbOOv6m8Ovr18Sfjb71sKx5WH4zDvDMResDIOn3B0Gda1x&#10;6yKEEEIIqZYBZ84quzYrXi8N7jykdCnVkEB7tg/f/MOE1fqmKCGEEEII6T9QiEtnw4494YXX3wzP&#10;PPtcUYR7fsOm8NJb74aNOz8uy7dp9ydlP9cDLXZBlIL4BEkNQGJKk8okzZO0INvpspDiUO9pP/9l&#10;WT26DUhxyCNpyIdyKFPpY1V1vQDlIfShftSp061ApgUutC271+EVYxW5DHhjj6VZdFsyfvRP71gH&#10;stQpY7LjASgndcj50OcB7aJNrAN9DmxZfVyDuUW9GI/e7Q/tyHx5/drLfiFOC20vbfpjmXyWhSxC&#10;3KNPji5KcML0C47dV+b0UQPL0mJ90I9wnXbhqc64CCGE9DVm3bik7NoWVCzE2R1gKMQRQgghrQce&#10;aa5/X0NoL/0qzyXa2jtnlrV39InuzeBGM2h8dzhq6spw6uXLwp9umh/mrL063PnkJeGhl2eERzZc&#10;EO544pJw9ZrZYfKyeeH3CxaHH121LLRPvdvU021+JoQQQgipjIFnzFDXZXs5bPCwA0uXUg0J/AHI&#10;9uF//fac+/RNUUIIIYQQ0n+wQtzBZ47dn94AIa7Hf7BtQSFu4+6Pwys7Pwqb3vsgbNjxfti444Ow&#10;cdfHuQhwHpCwClMVBaKTlpwESU+StLR0ptG7sUHKSspn0XWnoeUwSG22LsET/QCOe/kBBC+ZN2/s&#10;ki8mrwloWwt2Ao7pfHI8Vqces5euH1EboxohTufxwHj0eS9nvxA3f9Fp+8pASNMCWhayCHGyC10W&#10;YjvGXTX75H357rnvz864CCGE9DUoxBFCCCH9BApxe2mfclc4Y84tYcqyuWHxw5eFRzZMD6+/MzF8&#10;8Mmk8OFn54fXt04MD700Iyx//JJw3bqrwpTl88IvCvmPmb4qfHvCmjDAqZMQQgghpFLaRo5V12V7&#10;KV1GNSxcIe6sPz6rb4oSQgghhJD+w4ATTi27NjzkZ6N1+tzSZWRuYYU4/P2y1YS4VgACFKQxLYGJ&#10;9IUdv7wyQEQu+yhVAbKX7O4mdeJnLy/aQXuSV/JD7oJs5Ql5Mawchvr1+PAe9XoyHMBxpOsysose&#10;0jBmHPPGnjYvFohiWkxEO7ZsljqlDrx66UDONdqQ9gDmCcKcleGAjBV9sGmCzAnq0ecQ84d6k+Z5&#10;L/uFOOzIJmUrfXwpkN3eYo9cPX74N/a1kQbq8+oAo8ccXsyDtrbuvMIZFyGEkL7GnNtWquvKvVT8&#10;H5IpxBFCCCGtD34/69/X+P1d+lWeSxTq79LtAe9mcKM5ZdbycNWaa8KjG2eEjW9NCm9snRS27hgf&#10;dn0wscjW7ePDq4VjL785Oax//fxw/wsXhLnrrgrn3jw/nHbFbeGIyXa3OEII6f28sv3jgMCrl07q&#10;y1+/+O/ifK98bpubTupHK6/tthGjy66T8v7PCklRaHeP7sfBZ4x5Sd30JIQQQggh/YgBp4xS16cU&#10;4kjjsEIcaWX2C3Hg4EP+qXjusJObPt5qSD8h2FGII4SQ/sHiu9ep68q9tA3uPATXnZmDQhwhhBDS&#10;+nQePaz8F34zhLg/rXJvCDeCgePWhCFT7gr/Of+m0P38heGTz6eGv/3f6eG99yeEbTu79v3DeNuu&#10;rrBj94Tw/keTw8efTwlbd4wLj26YHm6476owduGicNS0u9z668GMlZuKN+2T4q1dn4bHX3+/mM8r&#10;Twgh1YLvF/me0ce/f9HD4YNPvyim4ftHp5Hqkbhvw043vdlA1ENA3DtjztNunt5C0tpuBdqOL7/Z&#10;mPe1WVLgMVS6H98aecZb6qYnIYQQQgjpR1CII82CQlxvolyIk13eAHaM02mtwqNPjt7XRzw6lUIc&#10;IYT0DyjENYnX7l9d/KP83z//q5tOCCGE1JueQlznstKv8lxi0NBjxuj2QLOEuIHj1oZhM1aGM6+7&#10;OVx297XhyVemhY//OiV89sW0ohC3fdd+IQ7vcez9jycXpTkce+rVqeHmRy4Lf7l5QTh6Rn5jgBiR&#10;NXBjv7dLCoSQ1iFJGtKibisKRb0ViVYV4mQ9IHq7hJ20tluBts7yx1ENau/I/QajF7jJqPtBIY4Q&#10;QgghpP/yrR/9quwaFT+r9AYIceX3G/Ezhbj+AYW43kS5EGdlM53WKuhHs0LaoxBHCCH9A0+IGzB4&#10;2JDC74TsQSGuct564qHiH+URXnqr88mu94p93/3ma246IYSQ1uPIozrKfuHnfdO1bWjnqLL2CgwY&#10;u9S9IZw3A8d3h59ctTRcctecsPLpi8NLm88PO3Z3FR+Rum3n+PDOjp4gfeeeieGtdyeEp1+ZEm5/&#10;4tIw4bYbQscFjRHisDsPJAThpse2FHdnksfsIfD+nCUvunXVgjxebv3bH7rppHchOz1hly8vPQ+w&#10;LhF5rdG+QjPOTRJJ0hB3iMsHib68Q5x8DyCa+T3QykKcvU5qa++cWbqMamjYv+kMOGHkbnXTkxBC&#10;CCGE9COwI1zZteEpo3Q6hTiSGxTiehPlQhzAY0hx/vBq01oBeVzq6aMGFn+mEEcIIf2D5Q88UXZt&#10;CyjENYDeLsTp8NIJIYS0Ho0W4gYN7Rhe1l6BAb9f7N4Qzpu28d3h9zcuCiufmhk2vj0pvL29q/iY&#10;VEhv+AfwO++NK4pxoPjzjr07xe14f0LYuqMrbNoyKTz40gXhklXXhWMvWuG2UQ+0EJe0Iw/kFIhq&#10;EpAVcMzLWy2tLA+QytHrykvPA6xfiaS1TJpzbpLg576xSLSqEJeGrF38DvLSQat8D7Tq2sZ/ErDX&#10;SfjPBKXLqIYGrgnL+nH0cX9TNz0JqYjRD70YPvvv/f+B48ZNW9x8HsgrZfd8/kUYueZpNx8hhBBC&#10;8uPgM8eWX6Mec6JOpxBHcoNCXG+ipxC3/M6fFc8fwI5xNr2ZdK87q0ffKMQRQkj/gEJck2hVIe7e&#10;i8cX+4RHueK9lwdwhzhCCOl9HH5kuRCX9y4krSTEDepaE8bdMj88/8aU8PFfp4bdH04s+0fxOzu0&#10;EDeuKMThPaQ4vH+38H7j2+eHufddHU6aeYfbRj3IIsQJWoqr965NFGP6FhTiWhcKcf0Xid4uxCG8&#10;dEAhLoXR88qukfbSMbx0GdXQwDVhWT+OPv4LddMzFyA+bdjzcZk4BQFq80efhuWbt4Ujbn/YLUda&#10;n4lP7f/sI7q37nTzeeD866ikLCGEEELqw7+NPk9dnzZeiLOP86cQ13/oPHFEUVjCq5dOWomeQhwY&#10;0v6V4jk8d9xRbnqzGD3m8GK/8CrHKMQRQkj/YM3TL5Vd2+6lwr/BUoirnFYV4h697tJSr0LxvZeH&#10;EEJI70T/rgZ5C3Ew7G2buPnr3hTOmbbxa8KflywIT2yaHnZ+MDHs3DNhn/CGneLe3j4+vLJlYtj0&#10;9qTwxjvYFW5/Gv6B/MGnk8PW97rC4ocuDydfervbRj2oRIjDrnDYmQdR713iKMb0LSjEtS4U4vov&#10;EhTi8qdV1/aAM2eVXSOBtsGdh5Quoxoabe0dXbYv/zJvlb7xWTcgum379PPiOYkFRajeC4U4Qggh&#10;pHdjhTig0psgxHUu27jz0+H25iYhpJn4QlxvgkIcIYT0DzwhruKndFghrvPoYe6NeLIfCnGEEEIa&#10;jf5dDXDzs/SrPJfwhLgBv53t3hTOm4HjusNv5t0cbn7ksvDMq1PDG1snFIW33R9OKr6+vmVieHzT&#10;tPDQyzPCC5unhK3bx4cduyHNQYobHz7929SiSHfro7PCiFmtIcQB7Awnce26zWVpKI90EQEkIM+9&#10;sv3jHvWfs+TFUo7kwK50kv+MOU8X+4v6RcyTwLGbHttSVn9WpC70xz4eFv22+dEP5Png0y9KuULx&#10;PY4hzebXYA5QpxYLdTndF11Oz5VN00j5lc9tc9MB5smeoyzzhzq3f7hfKPDGLO0nBcroOkGWemNg&#10;PtPCqwvnwp5H9N9bq5Vi5zg2piznTMborUeQ17kBGItes4is5wifJ3xmdd/wXtaazBFebdnYvFT6&#10;XSPI5wj58LP0T6+BLOe/1jUroH2MQ7ePetEnKxzX4ztAAvXjZ5wHOw6vbUHqlvbtPOB86N8LSfOb&#10;1H/Uh5DzI0i7tYZ3fuxnFYGfZY0mIWPT48f7LGu7mQw8Y0bZNRI4bPCwA0uXUQ0N/BHI9iUvIS6L&#10;DIegCNV7qUWIw+6AfGQqIYQQ0ly+efaksutCc21IIY4QUuS1XRt7Pd64CCGkr/L2rlvClp1zory9&#10;a4l7vF68uWu127c8eWTj5rLr2uL1Za1CHHeIS4dCHCGEkEZy5UlHlP2yB3kLcdjlxLbZNCFufHf4&#10;0ZVLw8Urrg8rnr40vPTmlPDe+xPCnk8mh+27xishbvp+Ia6QDlkO/2Psg0I+7BB308OXt5QQB9lB&#10;QqQKoGWNWGjJIEsZSCaSP4sUofNnRQJj03KDhM6L/qdFkkgRK4uxYf4l7LmIpWkk9LkRIHB449OB&#10;dE+GiZWD7CL50s6RzltJvTEg2KSFFWGwTtKimrWEubNyjQ7Mj5WBJLxzJsTkmrzOTZb1gkha72nl&#10;cd4k3RuXhJ2Xar5rBP05Qj2xOUkaVz3WLMCajLVv1189vgMkIOHFPjcYo/c9IJH0XSmBucP8Yj68&#10;8D4HAH2W0MfT1m7W0N8DWdZ30jzUurabycDTe95oLF1CNTzwmADbl4MuW1x2Y7Qe4DGpOiA+QZ6S&#10;9NEPvVgUoiDNUYjrvdQixBFCCCGk+Xzzzz3/48Y+IW7h2lyfNoFoG9q5WbdNIY4QQgghpHawM6bd&#10;LdOy5b30PLXw9q4Fbt/yxBPiBg09Zkzp0jNbtJoQt+Lc34Ydm14Mn3+0/+Ya3uMY0nTeey8eX8oR&#10;wmv3ry5Ls3z47t4/3u5+87V9x15adVux3k92vVdMk0hqT4gJcegH4u+f/7VHmqD7jfc2vdJ+YUzV&#10;hJ4LC9p4Z/1TPfqAeUT/vDJA+iLnA2Ke7h/GgPlbctYpPcoSQgjxueTEnkJcxb/wKwzscmLbxOPB&#10;vJvCeTNw3Npw3EV3hj8sWBzmrJ0dnnl1SlFy+/jzKUUh7u3tE8KrWyaFV7ZMLj4y9Z3SI1N37O4q&#10;vB8XtmwfH17YPDVc2311GD7zDreNeqAFhJhkIWgZRQsbInfgGGQJLRFAjhChAa9yXBMTfgTIFRAN&#10;UJ8WG9BvLSd4okUMCekj+oAxAIgjkg8/S2Ccuh28lzEgrICl5w3tYN7Rb9TpiSn2XOBnidh5kvBk&#10;GJkjzCPmUM4RXrEzk4zfijiyaxNC7zqFMaId1KvzgySxRVNNvTGyzhHOqQTmAm0jP8B7LfHo858F&#10;fS6xHjDPqBevUi/y6DIS3jkTkj4f1cxhlnMD9GdKjwVgXmS9ILCObXk7F8gjc6zLIuy4gISdF4wN&#10;5av5rkH7EpJP902vDaTrukE1852EzA/aQdtyHN8VGJv9HOq+6/wWCW892ZDvAtSHV33Obfu6vMwd&#10;8kt5O3fe/No1YetPW5tZ1m7WeZKxVvp9CGpd282kbeTYsmsk3PgrXUI1PLxdfb964bweN0drZcOe&#10;/ecLAUHOy0d6NxTiCCGEkN7N1yf0fLT/vv8s0QQhblB7x1wKcYQQQgghtdFfhbhnt+wsu67dSy8W&#10;4iBapYWVsUScg7ilj2s8cU7EtVhAavOEtZgQl2X3uNhObtX0q1ohDnKbblvIch4w357UJuIh5gHy&#10;XlIklSeEENITT4ireEvYCuPgwSccYNvE48G8m8J5M2Bcdxgy5e4w8vLlYfytN4YVT10SXt0K8W1c&#10;4SJsXPHxqHvpKopweEwqft71wcTw9vau8NxrU8KdT14SJi29MXTMWOG2UQ+0YBCTBzQSldzoh3Ag&#10;4bWDuhDVygMQUiQ8ESSGDk9+EERoSpKkIFJIHluPFii88UOo0CKFzYOfJWLnScLOgcw/2sBc6TRB&#10;yz46TzXnJou4Uus5t2SZI71OIMRY4Qno84hImi+Lbh/n28uDdWHHKxFbt0lzVc0cZjk3+vOa9JnQ&#10;kifmKynN6xvmOE2Okqj08xz7rtHnCKGlNkHPDz6XOq2a+U5CIuv4sqxvIOHVq8M7r2lrXwfK288P&#10;junw2pA5RNjyaWszLR1kmadavg/rsbabSduI0WXXSHg0VOkSquHh/ScG3Ai1N0drZfNH+9cc4rIX&#10;Nrv50oBIZ+uSXeWOuP1htwwev4nArnR4DCfyIb9+hCvexyQ9lHt4+/tlZVAvRD+9050FacgjjwJF&#10;oNyzOz+s6pGgeqc99AfHpA0JtGXrt3nQh5ishh37UL+da9SNY0lzlSbE4bzruUA/JU2PDXnQB122&#10;HucRIN2OywvsWOiVJ4QQQvoyX5s6u+y6EFCI28+m3Z8U+Di8UmDjLvBR2Fh4j+NefkIIIYSQVoBC&#10;nKaXCnHP3jKv9CerUBSptPCF9yJaIfQOadjFTCJpRzedRyQsSF+Q6ZCmpTSka6nN20UtTyGuln7F&#10;6tXIXHpCnD4PEO+kHwB90+fBkxAlHWXlFf2W8nrHORy35QkhhPRk+glD1C/6vfQnIQ4MGt8dhpx/&#10;Vxh5+bLwl5vnhxvuvzI8umF62L67K/zt/84In3w+tbhr3J6PJ4f3P5ocPv3b1PD/woXFi7Q7n7w0&#10;nFsoA6Huu5PvceuvB1owiEkWGolKbvSnSQoiSdQiD0hkFUwEiSRBCuj+xwQp2SUJdenjEkmiFIB8&#10;I2HnKG3+BAk7BzK/SXITwNgltAgkkgtEmaT5sWQRV6qpN0aWOdK7WMXmUZ8LT5ry0HXH1kiSZBRb&#10;t0mfj7zOjeyeBWEoVq8eM0QhOa7b0Mct0o73uZeIzYtHbB3otKTzivMjYduu55oV8Sz2naCJjUsj&#10;4c2bRKxNLRTivU6TSCqv+5iUJyYspq3NtHSQZZ5q+T7Ufah2bTeTtuG/KrtGwt9VSpdQDQ/vmg2P&#10;yrI3R2vF7hAHcSlJYPOAHKXFJy88iQrokMeyJsXDJclMgzq1xOWFldswNjtmL9LkLQsEMAlIXfpn&#10;GyKOQTpLCtQRayMWXtmYEIe+2HnU0pltF3VJGtBRzXnEOckiwknovhNCCCH9BU+I27d7MIW4sGnn&#10;R2HDOzvDy29vDy9u3hpeeuvdsPHdneGVwvWWl58QQgghpBXor0IcKLu2LNDW3tFVuvTMFq0ixMlO&#10;bxCwvHQIYZIHwpwchwQnkVRWynkSWRJ6dzOblqcQl0asX1nrjQlxMldJu+MBvSMdJDedZoU5Kyni&#10;PIos5wl1hBBCeuIJcYOGdgwv/SrPLWybA0+f5N4UbiTfnrg6dFywMpx53c3hxvuuKD4q9eO/TgnY&#10;DU5fmL3/0aTw2RfTwoa3JodL7poTjr1oRRg4/l63znqhb+7HJAtBywaecJFEmqSQJPxUgkQl/QIS&#10;sXJ6nrKGlNVjj8lVsTlKmz9Bwo6l0tDldduQeCC0pMlAer68dFBNvTGyzJGsM7TnpWsksgpLUreV&#10;IdOQiK2/pM9HXudGIiYMAd2+XtvSXwh1Or8laVxAIjYvHrF1EEvTSNi2dfla16w+Dxi/3Y3OUmvf&#10;09IEvQOazScRKy+RlCc2DpSR0MezpoMs81Rp6LHUY203k7bOU8uukQYdefzC0uVTw8MV4s6e1OPm&#10;aK1AYLIBOQpCWJoYh/Q0GU4Cddr6Ko2kncliYeWtmIRmw5aNkVVWk0gT+RBWyqtEGrO7qMWEOFuv&#10;3h0OVCLEZQl7HiHJVRJ2bIQQQkh/APKbvTYUIe6fF66p7OZhFTFoaMce3XZbe+fMVhHiNux4P7z4&#10;xtvh+ZdeDs8882x48qknw1PPPBOee3FjeOG1Nwvpu91yhBBCCCHNhkKcvr7shUKcFrmSdnkDEN4Q&#10;VqSSXccgc+njAFKXBHY/s+lJVCu95S3ExeqvVYjTu8OhHZ2mgdQmYSVDqRvnAvl0mhCT+gghhPSE&#10;Qlw5A8etCR0XrAjnLF4Ybnr48nDf+gvDwy9PD49tnB4eLfDgyzPC2ucvDnc8fmm4+p7Z4ZfX3Rq+&#10;PWGNW1c90YJBTLIQ9M5ZnvCAOiDRiAzghddOVnkAuzdhVyrkg5DghdevGBKxcnqesoSWorIIGiCW&#10;L2sdEnYslYaVcyD+2PnGeU7qi54vL12otN4YWeYIEhMii6QikSUvqKRujURs/aFOhFd3vc9NbIc0&#10;i55znTfWX00sn0RSH9B2pd81ur9J8wMkvLbruWb1DnsI1Itj3g6D9ei7RNp5lbD5JGLlJZLyxMaB&#10;MhL6eNZ0kGWeKg39fViPtd1MBh19Yvk10vdOuLJ0+dSUsDce/230eT1ujtYKJLUksQzSFmSoJDHO&#10;ilIQlSQvXr10Xd4LyYNdy6xsp3cXs4IXJC5pG2XRNvqvd4jzyuh0CGhaVMNOcpKWhh0rAv2X+pNE&#10;POk3sDvX2fbRBs4V5kFLaShrpTK7S1ySEGf77Y3Z5skixGU9j0DPuZ4zu/ugt/MdIYQQ0l/A41H1&#10;dSGQx+k3S4jbtOuTUd7NzbzZhEei7ng/rH/9zfDUE4+Hh++5Kzyw/Jawbsn8sHbB9aH7xmvD2vlz&#10;wr033RgevGNpeOKRR8P6VzeHDdt3h1cKZb06CSGk88QRofB1V3z10klrcccDjxXPF8B7Lw8hvQFP&#10;iDt33FHFtX388G8Uf66XEDd6zOHFevGqj1OIqwEteWUNXR67lEnYXc1EvsKuZPp4GtVKb7E0oVWF&#10;OF13TEwEUoed16S6NVnmiBBCyH4mHd8sIa78j1gDf3yee1O4GRw2YU047qI7w2+uXxLG33pDuOzu&#10;a8J1914Vrr/36nBF4f34W+eHM669LRx34Ypw+OTVYeC4breeeqIFg5hkIWiBw+aHFJIlvHayyAMQ&#10;UbJETNbwkIiVyyJiJJFF0ACxfFnrkLBjkah0bjTYCQu7gIn4JYE1YfNWMl+V1BsjyxyJyJRFUpHI&#10;KrRUUrdGInZu0j4f9Tw3sR3CLHrOdd60/gqxfBJeH6r9rsmyRoBE0vjrtWaBSL5assN7fN/pfPXo&#10;u0TaeZWw+SRi5SWS8sTGgTIS+njWdJBlniRi40iiHmu7mejrI9B2zA8uKV0+NSXsNdshPxvd4+Zo&#10;PYB4FNttDcKStyuXFpnsrmJCTGiycdkLm8vS8bMOXd4KXrashxbOMF4vjxXLvDweVhrDuEXQE/R8&#10;IeycQQTTkdTHJHSgLZ3mCXH2mNdnUKkQV8t5tHVDUtSh0wghhJD+xL/MW1V2nQrkcfr9TYiDDPfC&#10;K2+ER7vvCasunRqW/GFUWPTb08Li//xpWPQfhdf/+FGBwutvRhbSzgh3X3VxePTe7vDcy68Uy3p1&#10;1pMnXtsSxnZNDt/81qH7ZI3/8c9fDmf9YWxY+8yLbhnSe8H5xvnFecY59vKQ3sHhQ/cKKHj10nsr&#10;+N750gEHFMc28eJZbp7eyOJVa/Z9x+K9l4eQ3oAnxH3pgH8oru2rZp9c/BlCXPe6s/at+axMv+DY&#10;snp1HY8+OXrf8WYJce3HjSi7tsX1ZaFv2aNwgfqsrqA3CHF2hzi9Y5l+nCqQx3MmPU4VMh12OZNd&#10;5rywZWJCVxbZK4u4Vk2/ahXiKtm5TepAeMcpxBFCSP3whLgBg4cNKf0qzy16/BFr5Fj3pnCz+PeJ&#10;94RhM1aEkZcvC2detyT84cbF4Q/zF4ffzL25cGx5GHz+ardcXmjBICZZAEggIm3gVafpevCISVtX&#10;mqSQJg/o8th9DTv2oD86j0SlkoNErJweH4QhL08Suu/6sZKW2BzF0jQSdiwSWR//mQb6gPMgYXeU&#10;0/Olj6eRVm+MLHMk6wwik5eukcgqOUndjXxkqkc9zo0ExDMvXdBz7u2iZb8nLLFxSdh50f2v9Lsm&#10;lqaRiJ0TAfVUu2Ytevc5vOqd4urRd4nYuPrTI1Or+T6sx9puFgPGLi27JgMDj/3p2aXLp6aE/btO&#10;XkIcgAgF8clKWzoeVjt7QaKrNGJCXNLuXzp0Hts++o3+6x3fLLGxJYVXj0eaNAbQfx1eHhs2PYYN&#10;nWbFM5xLPR+Q7zwZDlQixFV6Hm2/bN0U4gghhJC9xIS4Ly/qHlO6fMwtWkmIe2nz2+Hxhx8M91x/&#10;RVj021PDopFDwpJT28ONpxwR5v9gcJGFPxwSbj5taJh78hHh1nN+He5dcH1xp7iXtu5w66wX2KVI&#10;xJMkZs6Z55YlvRMt5fQ1kaq/0VeFuL66RinEkb6CFeIgwWFdQ4qTYxDilt/5s31rPivYaU7XDQ4+&#10;5J+KaXqXuFYR4ga1d8wt9C17tJoQ56VnAfIYQu9Yph8BaneOg0QXk8106HIgTyGuln7VKsTJHCL0&#10;cQ8KcYQQ0jjOO769/Jd9gQYJcWXXCG0jRrs3hpvFwHFrw7cndIfvTFpdlN+OnHp3aJ96Vxgy5e7i&#10;sbbx+e8Kp9GCQUyyABCDJKzsIDf/k2SgNEkhTR7Q/bQinCBh+5aGRKwcJBcJu3NTGuivREwwgiwn&#10;YedIz19S+7odOxYRdrKIYFnRgqRtT58vfTwLsXpjpK0xoHcW8x5LKejdCLOe76x12zSJ2NqQ85dV&#10;rqn13MjOZ2nrJWnM+rsiaS7QR2nHG5eE7X8t3zVZ1giQyLr+ql2zHkl91Mer+Q4AEjHJU38PWblP&#10;IjZGiaQ8sXOAMhL6eNZ0EKtfqOX7sB5ru1kM+H3Px1ANOPk3vy9dPjUl7M7/A04Z1ePmaL0RMS5p&#10;xzgRlqzIlCXsjmc6KhWpgBXMJHDcilWgmnjw3d2ldz1D78LWKCEO5weSGHa7SzpHErpc2vl62DzG&#10;VJOnEGfT9CNT0Y4eo10/hBBCSH9DXxeCb549qXj8ywu6R5UuH3MLK8ThhmWzhLjn1r8Y1sy7Otz6&#10;l/8I8340LCweOSTcVAAi3IIfDikiQtwNpxwRFv1mZFhx0cTw0N0rwgtvbnXrrAfYKUzLcNgtDJIG&#10;wK5MsouYJ6TIo/9QPq9H/0nfWlnI6w19tKTtENeIc0vqQ28U4vDdgj5jDXrpgDvEEVIf8vodZYU4&#10;T1iTR6ZCiktDHosK5i86bV8dAnaNQ5oW7vqMEPeDYc0V4qy4lhUtv+E9jsmOZ3ZHOaCFLrRv261W&#10;essie8XEtVr6VasQp+vO+shUO7dJdWuyzBEhhJD9eEJc2+DOQ0q/ynOLVhfiWg0tGCTJA0Dnw41+&#10;3PDX6SKpJN38j8leIE1ySRMhKnnMo0UiVk4LL9740xABA+HtMKcFLISdIy26eHOMOnUbdix6/mK7&#10;1FWKSB+x9iqdK5BUbwwtwiTt0qXzJK1V9FfaxznP2n99DpN2noJAZtuV8+a1hZ9Rl0RSnz1qOTc6&#10;T9I50J852y8tkHpzgXb1evXGJWHbR15E0lxkFUttmkYiaewe1axZD0hWErqPmDMJb+xp3wFAhyfF&#10;oQ35nsOrTZeIjVEiKU/sHKCMhD7upSetXV1/kjio66n0+7Aea7tpjJ5Xdk0GDh0x5hely6emRFt7&#10;5zLdnwEnnNrjxmieWBEKIY/5TBOsvHjYSFc6qhGpIIdZyUyHfSRppQE5y5sDHVJ3I4S4tEfb2tBl&#10;7fmyfYHcl7S7Xt5CHNZFlkA/dDlCCCGkv9F2zIll16r/Nvq84vH+JsQ99sB9YWnXH8INP+0I1/+g&#10;PVx38nfD9eZvrtePOLwow103YnCYf8bwcNtf/iOsXTwvrH9ts1tnPRAxBSRJJ3iUaueJI3ocb4TY&#10;IfWjD156K9Ab+lgplHZ6D71RiMNnRdaXl96X4WeLNBpZb/X+HaWFODzGVNqB3CbHRYjLwoEH/mOx&#10;PF69dN2GCHPNEuI6R44qu7btlUKcltnwqFAvTxbk8ajy2FT5+bX7V/fIK5H0KNWYtJU1LUkq0+O1&#10;4ppENf2qVYjD3EvEzgPGJWEfUUshjhBC6s8fjxta/su+QCOEOLvbSNvwX/k3hkkRKwZAJhBw4x/S&#10;hIgeCEgSntCld4pCPSIrIK9OQ1gJwpZHn5AHMoPIClo2Ql7ZmQevyC8SBwI/67rTkEgrp+cKwgPm&#10;R0sZ6LPMlx2jlijQV5lrHBfBR4c3Rzof3qOstGnDjkWLLgik6/OIecQcQ/CwAgfGgznXfUJ+fc5s&#10;f60cJmPVEk419cZAWQk5PyiP+vR50vOIPuh1j/7peUoSapKwIgzKo168SpqdX72u0B8pg37pviAa&#10;dW7setFjQV5dP/J53wl6LtCOnA+MV+qWVzsuIGHXsm670u8a/Cxh0zQStu16rVn0FXXZzyHey7xh&#10;bvS6BZgnCbyXOc3yHQBsoC29RtEniVh5L02QSMqDtiTsXKGMhD4uZFm7Wb4H7PpGu/o8oA605X0f&#10;glrXdrMYcOassmsy8K1fXjKydPnUlMCjqHR/cBPU3hjNGytDicxkBatqZCUd1YhUAvoC+c0L3S8d&#10;SXVZlm/eLxHbaOQOcZD/KpHhELpe73zZOUuak7Sx6ajmPNrHonph5UZCCCGkP2KFOHmcfrOEuI27&#10;Ph7j3dzMk5ff3hYeWH5LWDz6J2HuiCOK4G+sPYS4AsW0AvNGHhUW/2ZkWD37kvD8hlfceusBRLfC&#10;VBXx0mM0QuyQ+inENRZKO70HCnG9C362SKOR9ZanEOft3gayCnGQ6KSfqMvLA2QXutNHDSz+3Cwh&#10;7pQzflN2bYv/GFzoV/ZoBSEOjwkVee3zjz4s/uzlSwMSmQQkOAmvPgnIWTYNxB4fGhO6tOzm1Y10&#10;GSsiSYirpl9aiJNd8jySpDV9HvCadB50H2z/KcQRQkj98YS4wwYPO7D0qzy3oBBXGVpASAvc2LeC&#10;hgCBQAsGNiAQiERgJQiAY15ANpA8WkKwgbaRF5EkYiQhkaWcJ5544Y3Ryjo6IKJA7pHwykPYiM0x&#10;yosw441FJJy0sAJHWmBcOj+wwokEjkmetPDqTUPGb0PLLuhbbC1JQIjRdWchbY4xft0XkNYfzIOs&#10;u0adG5C23hDeeLKWx5jk+8eOC0jYtVzLd43+nvE+Y4KEbTstsq5Z3Y+k8NZf2pymfQdIoO60NWfL&#10;6vJe3YJEUp7YOUAZCX1cyLp2s3wP4H0134dStpa13SwGnjGj7JoMDPz11b8qXT41JawQB+yN0byx&#10;IpXITPY4HuFpy6ahoxqRyiKPe9WhH7OpQ8ts9SBvIe6yF/b/xwEEdq+LiWkInWbPF/qL+cI86ICc&#10;psuBPIU42wesI/0z8np9IoQQQvojeHy+vi4UIe4rC7uHly4fc4tmC3Ebd30UXnr73fD000+Fe66/&#10;Iiz45UnFR6TOwy5wzt9cAXaJwyvEuHk/Orr42NRnX3jRrb8eiEwD8BhNL08SjRA7pH4KcY2F0k7v&#10;gUJc74KfLdJoZL3lKcQNaf9KsY3jh39j3zGQVYhDOZSHUPfSpj+6eYA8VlXEOwpxNaIlKTyGE0KX&#10;FrIgXkF4gzCXtPsZHi8qIWIX5C0vL+pBIJ+Wx/BepC4JXQ7EhC4tlSGwgxr6i3q1SCZhx1JLv/TO&#10;bTKHqB990HMZk9b02NAHzDnqAJAMpX8IuzsciNUtUIgjhJDKaBkh7vhR7o1hspeYmIEb/riZj5v7&#10;WiRIQnZK0pIBpAsRO0RYS6oLu+xoSQPvtTABGQKSgc6DtnAMaSKU4VXXm4aIDVnLoU92nAiZKyt5&#10;aDBGLWvo/utzkVSHzLH0Ga/4GceRLnOcNBaZJ90HBPqBskhDHl1GxqvnHe0iP8aj82pwnqU/CLSh&#10;+1VtvTHQd29+vLxYl5gHyYtAX/R8VgP6EFunsTJ6TWEeZB1g3uSYLpfXuRGkX3a94OfYeASko3+V&#10;jgvIefH6Ve13DX6WSPoeAklt13PNoq8op8eA96g/1rdavgOkDOr31hzOq8yhR9K8aNLyxM4ByiBQ&#10;hz6uQRkZIwL9t23JupO+4BU/6zySD2Ur+T7UZVGnnj+UybK2m8XA0yeVXZOBQ8/Nf7eNWBSu2bps&#10;n/5l3qoeN0drAcIYdkHz0oCVoR4uPfYUIpMOSEw4ZsvH0FGpSBUDspiOpOOekFYteQtxWeq3odOQ&#10;Xwfqw3Er2nnnMU8hTu/Ah/OjyxBCCCGknG/96Fdl14X4uZjWD4S4V3Z+FJ57eVN4pPvusGLm5HDj&#10;6d8PC384JNxwymD3b67CnJO+Gxb8YEjh/RFhWdfZ4cmHHg6bduzx26gRLaZkvVmud5VLYu0z+yU+&#10;SB9n/WFsmXwHvnTAAcW6rBSiH+OaxMw588rKALR52s9/Gf7HP395Xz68xzHdn3rQyD5KW/LY2muX&#10;LN1XHq/4WfLKuZHH3+KcYp5x7JvfOrSsDTmuH5Vb6bkVcA7tuJLOryZLfyUPjtvyGrQjbd/xwGNu&#10;nmpAH9AvrF/pm4Bj3nkWJL/0B3kxLimP97HyAKIq2k8qV60QZ+ce86fPP84l2k0SZauZF5svK3qN&#10;WtAO+q3rTvtMgVrPDearku81XU7yJuWJgT7ZNj3q8TmV9YA8Nk2jx+R99rw+J60RQZ8frEH0W8qi&#10;X5IPa0Mfw7iRV8rjNbYWUL/kw89oC+dV5gjHUbceV1IbaVK5lNPzn7ZWqx2flIth5x9j1HWD2HnS&#10;QpzkP3fcUfuOgSxCnH4Uquz8lgQelSp5u9ed1XuFuLahnZt1BT855ns9LgYbhd7hLRZWItNABNOR&#10;9OhPyGKxgOwlYcumCV360aM2IJmh/xJ2LLX0C1hpTgKyoM2TJK3pNpLCk+EAhThCCKk/Y46lEEdI&#10;JUCkkBCpghBCCKkHbSPHll2TtXWeWjjePaZ0+dSUaBvaOUr3CRw0e2mPm6O1IAFJCTtxiQyFV+9x&#10;oaMfenFfWezmpQNCEwQrSUcd+BmPu4RopcsCHZWKVJCyIPNB1tL1oj29w5iWrOx4kE+PGaBeSH9p&#10;oqAlbyHOPlYUcyr9xvht3QgpC9CWDhHigC1rd/vLU4jTdXtrhBBCCCH7sUIcdowrps1fM6R0+Zhb&#10;NH2HuB17wjPPPBvuu3VRWD75nHDDT44JC4pCXPIOcQBCHHaSwy5xt/zxzHD/0pvDs+tfDBve2em2&#10;Uwu4iV6Yqn3gZnjaTX2RJGLIzXmRDdLQN9yruZGPn718mqSb+tXQyD5COkKaiAm2DNIlr0gnOIZz&#10;afNq6UWO6fKVnFvBa8eCPLqMkKW/esxa/rNI3yFzeOnVouWQJJLGJ+not5atLEnl8VmMlcOYJR1z&#10;6dWRRNrcC6jf+06oZl6ylPHQa1RImxvB+0wBSa/m3FTzvSZoecyT0GLEzpOlHp/TWj97Wc5R0vqS&#10;9KTzI/mwNvBz0vejgL5pqU2wMl/SGpXyaCMpT9JYQKxvgrdeqh1fpb+jMM9eHsHrmwhx+nGneK8F&#10;tixCHCQ4KQ85zssjQIKTvFfNPrlpQtzpvzu77NoW964LfcoerSTEAQhikK30TmQICFayW5lXTtBC&#10;Gerw8gioC7u26R3d8LO0gePAlpPHsXppgtQtgb5ABJOd2qRNLarZspX2C6B+zJ+UxauV16RfeNXH&#10;NdIHfR7wXvfDI0vdWeaPEELIfjwh7uDBJxxQ+lWeW/CRqaS3QiGOEEJIXrSiEDdoaMdw3Sdw0GWL&#10;e9wcrYVKQnaHEyAvafksLeopUlnBKym0+AWBzO4SFwtdNo00aQxY8czLY0OOj1zzdOlI9tD12vnS&#10;Y0Pd9jxqsTFtbDrqfR4hJiI/1h76qeskhBBC+hsHn2muV485sXj8XxesPqR0+ZhbeELcpt0fd3k3&#10;N/MAQtxTTz4Z1i6+MSybeHaY99PO1EemCjcW8swdcXi46Xc/DquvuSQ8eu/a8MJrm912asXeZMeN&#10;deyQY4UKSxaxA3WgPogWuOGuZQG0K2IBXnU5Qer3hBhB38hHO1oKwHsRf0DamKpB6s6rjyJE6LnC&#10;Mcw5pAfULXmlHsmL3Ycwz8hrzynSgdfvLOcWoE7Jh7bQH+SXvumdkJDXls/SX6wZSYd4Y+sAyBNr&#10;pxbQJ7SLfun5Qx+1qKPPqSBp3vgwP3Ic4JgtL6IRwFzhXHtlJd2Wj2HnHq+yrtBHPTZvjdQyL7Km&#10;gU3TSB6vfd0GxiLzCrAG9Pzoz4ggaZKvknOD8SK9mu811JVUbwzUK+UwH9Im+qKFNH0uhGo/p/pz&#10;ZWU5L4/97Mk5krmVPuNVz7FXt9QpeWT9A92OrCXJB1Afxoa89jOk2wD6fEgdKCNt6fJ6nnQbaZ8V&#10;5NHlavn+lzqyjg9Iutc3QerHWHQf0IZ8vnR+IELc9AuO3dcGhDUtsKUJcXg86v/P3p9GWVWeeR/w&#10;x7fXete72v7aH57YppN+0p08olCkn06UwQEpJ4zgGCO2nURjQhtb00aZi0EQRXHEiXmWeRCoQpxQ&#10;FAVlxgkQlVnEIRqTfq63/qfOhde569rDmU9V/a+1fquq9j3u+773OVv2z3vj9acoi9euenlCtC3s&#10;RkchjhBCCCFl4cb6s3K+7AGFOEKioRBHCCGkXNT1HZBzT4YddE+7s3Fo9vapKtG5W6/utk/gn8ZN&#10;bvVwtBiw81gaqS2U4ZRwR7a4CIUmG6UWqRDYRc3WBSDxpZXiMDZh+SjKLcSBcJe4MMLzsmXD8Qpl&#10;v7D/ENGi0sJ+28h3HgHWVtrIZ04IIYSQ9saPBgzKuS9UIe47s9aW/20TwfPGigtxh47Lm9t2ykvP&#10;LJNl9w6XKddekHkV6uS+8a9MBVOz4tys31why8ePlBeWLMy8ftVrpxTgobd92K/gwbtKDCFWJMDv&#10;Xp4krOTh1aFpcQ/ytd+hjKGg/5oH5+PlKYZy91GFCABpwROMFCtWQGyImjug+bx+p5lbSBOaJ6ot&#10;e14glD3S9hdjovm8PHYdxY1PqbFj4I2jpgHvWrLjHK4NnIemeaIL6kojw0QRjn04N6jfSjI2LYmk&#10;cbFrOkyzRNVh5zvqmrbjhzUYpmua1pHP3CQR97mW5try0PmKmueoz5hir9NCrz09jjUUri0FUpyW&#10;DfPocRA1x8CuJbTljald63HzDNAnmw7s2ACcm01HnXHXStTcKHb8w3Mt9vyApnnXIih0TaoQBzFN&#10;y4fyWpIQZ2U67Pjm5QmxAh2FOEIIIYSUBU+Iy36NlzUoxJG2CoU4Qggh5aIWhbi6bvWdbJ/APw+b&#10;0OrhaLFAVMPrQUNhC3+n2ZlLX68alocoh2MQqrw6IF1pePJaUh7IUXi9p82DNnHMk80sWjaU+fSc&#10;k8qHWFkNdXqv/rTiF/rsjYmV2uzrXhX0K+w3/oaYiDY1rNAGwt38PLHMzp89h6RzK2Ye8921D5G0&#10;HgkhhJD2yg9vbci5LwQ4Xi0h7p1P/jTee7hZDnYe+Vx27D8ib23dKY1THpPp118iMy/vIVP6pRTi&#10;+p4pM27oJ8vGDZHnFs6Vt8ooxCl40B8+/MdDeE8yKvQhuiWpDk1L8yA/SroAEBGQJ1+xJw3l7qMV&#10;IkIRI0TFiKg5s2idXr+T5gVof+PyALs7UiibpO2v7Y8nrKgYVo75TUL75Y2jpqF/YZqi11soOtl5&#10;jxsbnLNXPgkde7TvSTTAylBeehxazhsXe25hmiWqDj1nrJuovgO7RsMx1OOFzE0ScddPXFocOl/e&#10;eNr0sK/FXqf2uPf5E3XtaX/iZDbMndaNdmyaHke9cXOc5jpROQ/EzYf32QJsG1F5oq4VW3+xn/+F&#10;nB/QtKi1g35pnqjz81Ah7qI+/3KifCivJQlxJ5/8d5ly+Omle0CEQ5laEuK69uy9qblP6SPcwvj6&#10;3hTiCCGEkFqCQhwh+UEhjhBCSLnA/VB4f3TawDXjs7dPVQnsHGz7BH54x9hWD0cJaatAjtOAbBeK&#10;iJDvQmHOvs6VEEII6Uh4Qtw/Tl4h35m0tvxvm6iyEKds/+iwPL9wrsy48YrMK1On9D1Tnrr0jAze&#10;v70+eemZGWluEoS4G6+UFfePlnXPLJO3drzj1l8OQjEO4kn4MN8+6PcewqchqQ5Ni3qQb2WBtHj1&#10;FIPWW64+2vL2uEeUFOOhdXr9TjO32hbWiZdu0bpC+Sif/up6DIWRQmWOUqFte+MYl6ZEjYEex7Vn&#10;j4fkM4aWNOXyWXshWs4797T1RtWhx+NkK2DXcbg29Hghc5NE3PWT5try0L5EnbNeHxCr7HEtV8x1&#10;qnWHx+OuPT2elqg5jpsfkGYtFTsfafJE9cMeT0tUeXvcktQ/TYsbS10nAGssTsJVVIhTQQ2E8lqc&#10;EDdt5lUnymGXOS+PRy0IcTfePjTnvpZCHCGEENLOwHez/a7+6Vnn/U/2a7ysQSGOtFVun/Ptzif4&#10;3ctDCCGEFEJd/ZU592XYMe60QWsmZW+fqhKuEHdrg/uAlJC2iI2o1/KGr2z1drcjhBBCOgLYKTi8&#10;N/z+xMyOM2UPT4h7+5MvgfuAs1zsOvqFrFu5XObccp1M6nuGTOl3ZuZ1qBDevH97feJnZ8iMy3tk&#10;Xq86++ZrZc2MSfL6hg2y/YP9bv3lArvy6E5MIBQx0kgCCtJR3j50DynkQX6+skEoU5UCrbtcfbTl&#10;7XEPHV/89NItWqfX7zRzq5JMPm2FefPpL4QbrcfKmfZ43E5SxYD2IBqhnxDUtD2LN45xaUrUGKQd&#10;m7T5QtKUS1p7hY5LUr2KV4eVsOLGFdh1HOZNU0fSGBXyuZbm2vKwu4Chz7rWMR66S5tXZymuU7vL&#10;XNprT4+nJWqHuKQ5Rrrm9dJB3JinmY80eaL6YY+noZDP/6T+aVrcWGL+wnWMtYM5jvpcLVaIs+W2&#10;7fqDm8ejnQhxtjCFOEIIIaTWwOvM7Xc1hThCCCGEkOrQSoi74jYIcQuzt09VC9snQCGOtCdsYIc4&#10;u/sbXqcK+c2+6hXBV6YSQgjpqPxg9MSc+0Lw/QkzP8veNpY1akWIA+tfeE4WN9wq06+7UJ66vIc8&#10;1feMSCEOO8RBhpvct5vMH/hbWde4Qrbt3ic7D33q1l1O8CC8eSgzhJJEGkkAQBjRfHEU8iA/jSxQ&#10;bsrdx3zKq9CQj/zi9TvN3KoAlU9bYd58+mtFKLsLlkqb4e5VpcKKSHF44xiXpkSNQdqxSZsvJE25&#10;uLVXzLjE1Wvx6sDOVd5xD7uOw7xp6ogbo0I/19JcWx72sziKUFoGpbhO7ZjbneDirj3NnzRHUaQt&#10;j3TN66WDuDFPMx9p8kT1I03/4ij2/ICmJY0lQPlwbUOM83aMK0aIa1p7w4ky1/bv4uaJohaEuFsb&#10;xubc1+J+s7lP6cMWBngtm39DSAghhJBqEApxPc7u/Zfs13hZg0IcIYQQQkguoRDX5eeDIMStzd4+&#10;VS3C3f9P/fVt7gNSQtoix77+Jqu5pYsdxz536yGEEEI6Ap4Q909jntifvW0sa/hC3BcLvYeb5WbT&#10;5i2yZuYkWTzyjzLrt1fJpCvPzfw7K3aLm4Yd4/qeKVMv6ybTL++eOYa06dddJMvubZA3NmyQXYeO&#10;u/VWgigpJF9JANJEmC+pDk2LepBv60/zirdyUO4+2vJeuiVqrjy0Tq/faeZW24Is4aVbtK6o1zmm&#10;6S/QnbC0TSvJhTtMlQI7DpB/0EbUTljeOMalKVFjoMdr8ZWpxY5LVL0hUXXocU8As9h+FrIDWdQY&#10;2f7n+7kWlxaHSkr4iTZVdMNPrw+KnkMx1ylQ+Q0/8XfStadp6FuYlgYtHzc/IM1aKnY+0uSJ6oc9&#10;Xq7P/6T+aVrSWFpwPdu2dd4txQhxkOC0DOQ4L08UFOIIIYQQUnYoxBFCCCGE1Ab23ghAiGs+nt9W&#10;/WUIvC7A9qvTdQPcB6SEtEUGvLS11Q5wUQEZDrvGefUQQgghHYF/Gjc5534V/GD4g+9nbxvLGrUk&#10;xOF1pxs3bZIXFs+XpWMHy8wbr5ApV56dkd8gwU2FGHdZN5l1RY/mY91kyrXny9N3/FbWzJwsW3a9&#10;59ZZKZqHMkMohaSRBFTG8B6mg2If5EPE0DzYscrLU27K3cc0QoQSJfB4aJ1ev9PMrd1FyL5GMcTu&#10;JBaefz79BXYs8buOTZI0Vih27EPhS9F0bxzj0pSoMYh6TaUFfYLo5JVPIs3Y2/OPOl7IuETVGxJV&#10;h55zkuQVt0aj6rZEjZEeL+RzLc21FYIx1jJR4x1FKa5TEL6yWP+OuvZUoEsj4nloW3HzA9KspWLn&#10;I02eqH5U4vM/qX+aljSWHnHtqxA3cHDL9QBCec0T4vB6VM0PqS1MT+JvT/qbE2XbpBB3areLT7KF&#10;AYU4QgghpLa4rNe5Od/Vvc7p9efsV3lZg0IcIYQQQkgu9t4IdLm2QU4f2JTf/5lYhqAQR9o7kNwW&#10;7d4vuz/7spUct//Lr2XT4eMy/PVdbllCCCGkI/H9iQty7lfBD+4ctzd721jW8IS4XUe/XOs93Cw3&#10;u458Lts/Oiyb3twsz82bKcvuGSbz77xJZv/2Kpl2/SUyrf8FMuXa+gwzbrhMFgy9RVY98ZCsX/us&#10;bNt3wK2zWCA1QGaIe0hvH4bbV+UB+xAeD/1tmpIk3VjJIu5BvrdjEYAcojslQbzIVxYpBeXuYxoh&#10;Qkkab4vW6UkSaebW5olqD+eq8hLGIDz3fPqraH0QffT3qLEvlqSxt6+S9MYxLk2JGgMr0ni7bGEs&#10;VTryyieRZuyjzr/YcbHl466HqDpsea9+YPvgnWNSeRA1RkljF/e5Zq8b7zPPw5aJ669HKa5TzaP1&#10;4HpLuvbsHIXfHWnQsknna9vx0kHcmMel5ZMnqh8Yt3J//if1T9MK+Zy0omSY5glx4W5vnhBn8z8y&#10;8dJW6Ulo2QE3n1EzQhzektHcp3ThCXE3X9DTfRhPCCGEkOpAIY4QQgghpPp0vq31w8Uu14+FEJf+&#10;H2LKFOF9W+d+/d0HpIQQQto2/RvnyvJd97ZpfvvcTPfcCCGl4R8nr8i5XwU/+q/h72RvG8satSTE&#10;AUhxkNs2bd0ur61bJy8+s1TWzJoiKx4aJ4tG3i4Lh98my8cPl9VPPSQvLF0kGza8Llve3dNc7jO3&#10;vmKxwgge1OPBOx6mAzwEV+kDQLwJH+RDqLPpEHhQFqKS5rW7E0GK0ONo26YB70G+lTTQJ+TRfmoe&#10;KwxoP2xfkVcFDq8NoPIR2kHfvDxRlLuPtqw97pEk6li0TtQfpqWZW2DXCPqOOUY+PR8VQYAnXubT&#10;XwX1ooytO82caTn000v3sDIIzl132MJPjJvtgzeOcWlK3Bhg7LUOSHE6D7Zt/ZnPGII0Y492tH17&#10;vNhxseX1dZ84N8yRzRdVB9agbQPnoNce6rGfLcjnrQ9N9/qnRI2RrT/fzzX8HZUWRXi+FhxH/4Dt&#10;i0XPAxRynSqYK21T80dde2GfMc42L9YK2kKd4fgCWy5MsyBd83rpIG7M49LyyRPXD5tWjs//pP6h&#10;XqRhPvQ6Qb2aF+sB/UKaXssA/dQ59OZIhbhFS6870f60mVflyGueEKc7vJ188t+1SksCwp22Nebu&#10;C6omxA2+9+Gc+1oKcYQQQkg7g0IcIYQQQkj18YS4zr+eUCNCXP3CnH5dfKX7gJQQQkjbBjKZ97Ci&#10;LTFi/ZPuuRFCSoMnxP2fG/5QkVf8u69MPfrlJu/hZjXY/uEheWv7Lln//FpZM3eaPDtzsqxbuUxe&#10;f+012fLeHrdMqVHBIQ48KLcPyS1WtLCo+IByVooIQd0q/XgP8q0MYMEDfJtPZackvDaAbScqTxTl&#10;7mMaIULR+fDkhRCtE/V76UlzCyB16PzFESXZ5NNfBWvK1o32vXwh9ny89Cjizg9rW68hbxw1X9QY&#10;g7gxwFjHXT9YU7o+8hlDENeuErf2ihmXKMELx2w+Pe7VkTQ2AOl2vVo0TyFzU8znGv7WfPl81uAa&#10;0nJxQH4KP6+LvU4VCFI2f5JcirFXGSsObw1qWtz8gLg1qsSNeZr5SJMnqR/l/PxP6p+tw6LfUVHp&#10;StR1pEKcfQUqdn+z/50VCnHYES4qbxpsechxbVKI+3G3XifnFq6XP1xIIY4QQgipJS4+N1eIu+Cc&#10;c7/KfpWXNWpViOs6uFF+2rBSeo1dIZfct1iueHCR/OLRBXLto/PliocWySXjl8j541bI2aNXyBnN&#10;+boMaXTrIYQQQgjJh86/n5VzTwY63zQxk5a9fapa1PWoH2/7VXfeJe4DUkIIIW0bCnGEkDTY+0JQ&#10;XSHui93ew81qsf3AUdn89nvy+usb5PVXX5U3t22XLXs/lLcPH8/Jt+voFzl/lxI8QMeuRlaYwANw&#10;CC1JggREC5RVOQQ/8bfNAzkDx6wYgba0bhVnosQVPKy3ZZE/FD6AnkcoYEC2gIzgiQKKFQLi8kVR&#10;zj5CWkAejG2YFqJjiZ9eukXnLBT3lDRzq2AucQ6aF2COkd8bByWf/lrQlrYT1f8QW8ZLjwLjgPm1&#10;1wfmD8eQpvPj9SNpjEHSGOg8hOtL14q2n+8YJrULtG6cR5hWzLgAXO/aBy0b5k0aP+2DnVuAv7Uf&#10;XjlQ7NwU+rmGvzV/1GeeB+rVNsLzwlrA+Wq9OH+brhR6nVrsfOu5xqFrIZwjjBvGCGnePKWZH4B0&#10;5PPWqBI35mnmI02eNP0o1+d/mv5hfdh2MfY653aOwrWBfkVdRyrEgVM7/X2mTPce383576xQiLuo&#10;z79k8mGXuFc2DMhJSwNek6rl8TeFOEIIIYSUBQpx39JlyGrpMeoZ6Tdhkdw2fYY8tOpxmffKg9L4&#10;5r2y5q17ZO4rD8j9zzwuQ56eKjdNniOXP7hIzhy5MqeOzoObmn+C3LoJIYQQQuKIE+JOHbL2pOwt&#10;VFWCQhwhhHQMKMQRQtKAe0F7b3j6Vb/alr1tLGu0BSFu1+HPZOeBY7LjwNHmn80cOia7Dn0q7zh5&#10;SfmApNC8ZGKlA1I7WPknrcijMognNxFSy1jhKW69213IvHRCSokV4lRUA/a/s7xXphaDincQ6/A3&#10;hThCCCGElIX6c3vlfFdXSohrvqnYZNutBSGu+8iVcu0j82XIvCky9fmH5cVtY+WdfQ1y9LMGOfb5&#10;CNm1b7g8t+UemfvKBHmk6TEZ8vQ0+cWj86XnqGcyO8V1HuzXSwghhBCSRG0Lcb2Hhn3D67K8B6SE&#10;EELaLhTiCCFpwOvz7X3haX1/sSN721jWaAtCHKk+EEyal0sGvBLQy0NqC5XbsIORlx6iu2tBeEwr&#10;0BFSK6iwG7Xzm2JFUS+dkFJihTi8vlTX3rSZV504XkohDjvKaRt4dSqOtUkhrq5bfafcwhTiCCGE&#10;kFojFOIuPffcL7Nf5WWNWhTiLr1/sdy/4gl5Ycs42bx7pLyzb5jsOzhEjh4fLp981iAfNv++a+8I&#10;eev9kbLh7dGyetO9MrFxotw2c4Zc8cDCzKtWvXrJGrl9zlbRwO9eHpLL+fesk80fHJevvvlrZtzw&#10;89X3PnHz1hra5+Vv7nfTk3j7wOeZ8vjppZeSSrbVXsC8IjDPXnqhFDsXtTqX/PwjaYkV4u5Y1Sl7&#10;C1WV6NrzvJvDvlVKiPvHmU0ZvjdrjXyv+ef3Z31L5lgzmscrTwghJD0U4gghaejcr3/OfeHpF1/1&#10;Rva2sazhCXG7jn55LHywSTo2aWUTUhvY3bKSXqeoqEAHYchLJ6SW0deNYh176YrmSyuKElIMVogD&#10;J5/8d5n1d23/LieOlVKIG3P3BZn68brUbbv+kDnWboS4QRf1cB/GE0IIIaQ6nHV275zv6qoJcX0H&#10;tHowXCnwmtMzRqyU306ZLas23SvHvxwpX/3lLjl4dJjsP/ztTdr+w0PlwJGhcuR4QybPBweGykvb&#10;75ZJax+VW6bPlLNHr3DrLxeQpTRqXZQau3xXtqeS+d3LU25Uljlw/Gs3vdZAP73w8tYaGs/tOOym&#10;J7H3yJeZ8vgZppV6HuPa6shY6e36J97IScO8atjjxVLsXNTqXNbC5x9pG8QKcXc2ds/eQlUlmu/b&#10;+oR9+/4Ds9wHpKXkB7Mapcu8Z+TcJYvl56vnyu+enym3vzhZBq2bIv/1wlS5fs0cuWzlfOm9dJH8&#10;dNFy+dHcVa3qoChHCCHpoRBHCEnDaVf/Kue+sHN93y3Z28ayRijE1fWoX0ghjlhee3df9gE7dw5r&#10;K6jACNLMGXb9Q15KQqStAvFT1zykt3AnS/ytMhzgTpekEoRCnBXW9FgphTh9XaoV7ijEEUIIIaQs&#10;hELcVb3O+Tz7VV7WqBUhrnMz54xZIdc99rTcu/wJ2bDrLvnyz6Pl67+OkcPHhmcEOL0hw++HPhmW&#10;eX0q8kCWe/3du2TOugfkjjnT5dzmerw2ygEElTCwo5iXtxaoBSHEhpdeS8xevy/b02+lMszv42t3&#10;t8pbi2iUQ4izEaYVQq1KVNVGxwURXrMU4vKDQhxJzYDJOfdkoCMLcd+b2Sg/nr9CLnlmgfzXC9Pk&#10;qc0PS+M7d8vmfaPk7Y+Hy6t7Rsu8bRPk/jcekz++PEX+fc1s6blkaWYXOa8+QgghyVCII4SkodN1&#10;A3LuC7v0uuhg9raxrNHq3xJ71C/0HmySjouKJnilppdOag/Ii5iztIJb/SV9M2Wws5yXTkitA3EX&#10;6x3rPgnugkgqRSjEYdc2yHBYh/pK01IJcfaVrHh1qh5vk0Jc5269uucWphBHCCGE1BodXYjrMqRJ&#10;rn5kgdy99ElZsuE+2fL+qMzOcNgFzu4OZ8mkfzpc9nw8RDa+M1oWvnq/DJ0/VXqNXea2UQ509yYb&#10;kKi8vLVALQghbWmHON39r9SvpKwUGtwhru3CHeJKR7k+//RVrJgjvoq1neAIcTiWSRvY1D97C1WV&#10;8P5955/GTXYfkJaKTnOfkatXz5Oxrz0uc7dNkJd33yXv7m+QTz5vyPyPCR8fHCybPhgtTe+Mk6d3&#10;3C+PbHxEbn1hmlyyYoH864IV8s+zV7v1EkIIiYZCHCEkDaf++rac+8K6s+o/y942ljUoxBHSvrCv&#10;S+UuWKSjAXEXgqe+AliBLHfDLbdxl0tSUUIhDgwc3LJTYfce3838XSohbsDNZ2TqxU97vHaEuHr0&#10;L114/2DacFF392E8IYQQQqpDKMRd0euco9mv8rJGq9ccXHFb6wfDFaBuSJP8bsosWfzq/bJ190jZ&#10;ux+vSR2akd5wE/bRQbwqtYWPDw3O/K07xX2wf6js/KBBnt8yTu5Z9pRcMK5yQpy+ThPiFGQIBEQh&#10;L28tUAtCXFuiVsWetGiUQ4grNW19rKsBhbj8KNfnHz9X2yFxQtygppuzt1BVCe8NAD8YPdF9QFoq&#10;ui9aIne/+oRs3Dta9h0cJnsPDJEPmmm5TxvafE82WPYeHCrvN9+7gS0fjpSlu8bLuA2PyS/XzJaf&#10;Lljm1ksIISQaCnGEkDT8aMCgnPvCup7nH8/eNpY1KMQRQgghhJQeT4gLKeUrUz0oxBFCCCGkLHR0&#10;Ia7r0EYZNG+abHxvtBz/00g58mlDcCM2OCPDHTjS8rcKcpDi8PuHB4bIjr0j5Ik1j0qf8UvcNkqN&#10;fV0qXqGpu4khwp2cagWKG/lRq2JPWjQoxLVPKMTlR7k+//i52g6pYSHux916nRz27Z+HTXAfkBbL&#10;/57VJD9esEJ+0ThH5m67T45+1iD/I+Myr6zH/7CgO/jq/6DwyWcj5E/f3JX5uXnfSJm7fYIMenmK&#10;nLN4iVs/IaTtMeClll1REfjdy1MKFu1u2SH3T3/9q5veEfCEuEVLr8v8H/x4ZU6YVk3wGh/tl33V&#10;DoU4QsrPD29tyLkvBJmbxjJHKMT933MufNF7sEkIIYQQQtJDIc7e1xb5ylQKcYQQQkhtccZZuULc&#10;Nb3OOZT9Ki9r4KbCttvl54NyHwpXiLohjTJw7nR5/e2WB6mHP2150IqHrPj5wf5h8u6Hw+SdfcNl&#10;90fDskIc0oZmbtLwcHbfgWEy+6WH5NL7F7ttlJpX3/sk86BGX6cJKU4DrzkM89cCFDfyo1bFnrRo&#10;UIhrn1CIy49yff7xc7UdEiPEnXZn49DsLVRV4tRuF58U9u2Hd4x1H5AWy/9dsEKubZwtY157XNa+&#10;Ny5zT/bF16Pl8LHhJ+6/AH5HGo5/+uXIjCwHIW7RjvukYf0k6bVksVt/qXlgy+6MPKMxddc+N1+p&#10;2XGs5RXi+7/82k0npD0x/PVvv/Pwu5enFDR9+O09jpfeEfCEuIv6/EtGPLu2f5dWaQDCHNJOPvnv&#10;MvkAfscrcKyolgQEN319Dmhae4Obz+L1jUIcIeXHE+Jwv9h8PZY16nr0XmvbpBBHCCGEEFI8FOLs&#10;fW0eQlxz5j65hetlzMUU4gghhJBaonpCXO49QrWEuC6Dm+S3U+fIgvUT5K33R8mej4dnHq4e+bTl&#10;53sfDpcNb98lr+wYK1t2j8jsCNeyO0mLMPfFn/GAdpjMf+VB6TuhMkLcp19+k3lIg53h9Ji+NhWv&#10;UrV5QzTf7XO2Zv6evX7fidevIvA7joXlFEgXEPJUPNFAvXhla5SUESVupH3dqwo4KgEqkAFRViOu&#10;H5ovqi2MiX0FLQLnGTcecWC3PoyVHV9EVJ1257+o0HmLA3kQOlbn37MuM375zLOOQZxgGTeeGirE&#10;hesMaxhp6FtYFsSJTUnzCDD/SNfziFsXXls4b424MUf/04yVBX3I5xoqti8Ye6zrcB1iDnA8aldJ&#10;bRd1hmlxQhz6gbI4F/2s0kAf8pl3nUcN9CWuz95chqAs6rB9SxqLNHhrTutEmkY4vyDfObJjEhW2&#10;DNos5HObVJ7ON03MuTcCJ4S4gWvGZ2+hqhKuEHdrg/uAtFh6LV0sI9c/KUt3jpe3PhgpHx4cInpf&#10;9tGhIa3APRmkOOTb+uEIaXznHrlnw+Ny/tKFbv2l5MzF63JkOASEGi9vqbHhpRPSnqAQVzlCIQ5C&#10;W/PXgCuoQWDr3uO7J9I9sHtbGrFt2syrMnltWYh2Xl4Lyml+9AfHKMQRUn7wP0aE94YU4gghhBTK&#10;u0d3ywdH5lWdd49+7PaPkPbO+0febObVBDY4x0rHu0d2un0rNxTiCCGEkHZONYQ476Fql2sbWj0Y&#10;rgRdhjTJNY/MlwkrnpAVG++T7btHtLx+6/MGwWtS3/1wuLy6c4y8uHWsbH5/VEaIQzoeykKIw44k&#10;Hx0aKnPWPSCX3l/+V6aq7ISADKbHIU1oxEkdGigbyhc2UF9Y1rYdF55oFSWE2H5HSTJAJRPIG3pM&#10;d8qLinAc4mQZu8ueF3HymAfyJwXG354z+psUcUKUYsca+UMpyYY3z0BDhTaPuPHUwBzFyTvhGChx&#10;dcelgaR1Ec6lV5+dC9Rn81vSympKIddQMX2xx6IC15bX9zjpLS4tjayVZt5tG2FE9dmbS0ua6zLf&#10;ax3E1Yu+2jUZymeFzFE+Qlwha45UD0+I6/z7WZm00watmZS9japahH0rlxB3+cqnZe62++Wdj4dn&#10;duaF9Ib7LkgOLQLctzv56t/4nxXw++4Dw+XND0bK5LcelEtXzHfrLyXrDrRc39ilTaNSQlzSDnEq&#10;6lVqx7q2iL6GE2NVztdwkuKhEFc5QiFOd2w7tdPf5xwHY+6+4ISMhh3aIKdBYntk4qWtdotTWS0E&#10;x3WXt5A0QhxQkQ79wd8U4ggpP3h1fnhvWNetvlPztVjWoBBHCCHtE8g44T1eNYCY5/WPENJ+KUqI&#10;q+tZ3z+3MIU4QgghpNYIv6srIcT9uFuvk8N2O/96QqsHw5Wgy+A1cvH4pXLrjJkyae0jsvHdUfLp&#10;lw3y+VejMkLcno+HytsfjJDte0fK+x81ZHYfwUPYA0eHtjykPTBEtu8ZKU+seVQuaa7Ha6OUqEAG&#10;QcIet0JXnDSjgfIIyFIQISBpQMzQ44hQ3IBggXT0Ae1ZoQV1aNmwb8BKWrZeexzt2zKKPTf8jmNW&#10;8kB/tC/4ib7gvFQIUeJkGe07RB1bDu0hfz6yiO0v6sV84DwB6tF+INCeV0dcX5OwY6rnpeeAtHCe&#10;vXPTKFaI07DrDD9x3hqelBdXd1yalYvQJv5GmzqPiHB9RtUXld+i5xE1jyGFXkPaDs7JHrd4fUGd&#10;KKNrUI+jXSucWdFUKVSIw7mhDxh7K3Hh3K3I5V3vOuYaGAe0pXNoy3tjETWXwF6X6KPtG363bYef&#10;HXHYz6K4/mrYeQDFzBHya4T1KoWuOVIdEoS4hdnbqKpF13Mv+sb27UcDBrkPSIvlmtVzpem9u+Wz&#10;r0bKZ3/C/3jw7T9O43fw4cHBJ37HcewSh99xf/bBgWGyeOd9ctWqeW79pUJlKoSVdSolxCWhUSv9&#10;qUUqJVmR4qEQVzlCIU7FtoGDz845DiDAYYc477WoEN2sFAdJLswD7K5wkOrsK1PTCnEoh/wq7VGI&#10;I6T8/GB06/vWaghx/9br4m3eg01CCCFtCwpxhJBqcWtDuPNxkULcfZec6T6MJ4QQQkh1CL+r/+O8&#10;s/dnv8rLFvhHsrDdaglxnQc3Sc/Rz8jVDy+UhgVTZNXGe2X3/qFy8MgQ+ejg0Bb5LbMLSctOJPgP&#10;I/yNV3Pta863+f2RmTKjFk2S88etcNsoJSoveBKRpsVJMzZQh5UjgBUs4sQ6D8gVGqGcESduoL+I&#10;KKkI/URYYSNOyIkiSpaJ61sh6Pmgv1a6sVhRBuMWpseJPUnY80F49VuJx1svGhjnME2J66MNb61i&#10;3ek4IUIBKa7uqDTUaa+BcG0DXaP2WFR9dj1DJLJpAH3W8OSuQoi6hsrVF722EGFa3DVWyPWn6LzH&#10;zS0CnwfeHMZdO1FzCbTdqM81uya9NRuF7Y/3+YH50nWJyPczJm6O7LWeb71K1Joj1aHWhbjOF/T7&#10;yvat03UD3AekxXLFqvny9Pb75f39w2V/8/3Yx4cGZ3aAw/0XZLcdH47I7AKHn/hb79UgxH36xQj5&#10;5LMGaXrnHvlFY3mFuN2ftXzmbDp8PPO3BoW4tgOFuLYDhbjKYYU4vOq0+eM/Q5rXnoZAotPynlAH&#10;kAahTaU6WyatEGdfm4p6KMQRUn48Ia5zt17dm6/DskZdj/qFts1aE+J2Hf1C3s6y68jnLT+zePkJ&#10;IYS0QCGOEFItQiGurmf97uytZ3JQiCOEEEJqn/C7umpC3E0TWz0YrhRdh6zOSHE/f2S+jFgwRWav&#10;e1A2vH2XHDw6VL7665jMbnGZB6yftzxk/eLr0fJXuTvzH0krNo6XhgWTM69dPWPESrf+UgGxQsOT&#10;Yqw4ESViaXi7DSlxwkoccXJGXJqVa7x+q0xiRRYrcUSda0iULFNKscnOUZxMBvlGw5uLOLEnCTvW&#10;cedj10sopGkUK8TFrTM7h/mITVFpduzD+ixp5Tsr2HnngbHV8MStQoi6Tux68WStQvtSqPQWl5ZE&#10;1HjbtCihEdjrNRyLqLrtuIbzb8FnDCJKzvXQiFvrdm2Gn39JxI111HrJh1LUQUrIgMk590YAx5B2&#10;2qA1a7O3UVWLzn2u/tz2rVxC3PnLFsm41x+XxnfukW0fjsjsznv0eIMcPjYs80rU13aPljXvjsv8&#10;xN8qy0GIO/5ly65yz753t1zbOMetvxQs2t3yuYtXbZ65eF3mmAaFuLYDhbi2A4W4ymGFOJXTsIub&#10;HssHCG0oD6KEuHB3uUKEOOxGp2Xw2lQKcYSUn38a1/q+lULcl7LryGey8+PDsm3fQdn2wX7Z/uEB&#10;2XHgqOw8dNzNTwghpAUKcYSQakEhjhBCCGnnhN/VlRDi8I9kYbv6wLea/KRhtVx47zL57aTZMuvF&#10;h2T3R8PlT3+5S459PiLzsFXBw9Zv/t9YeXffcHlo1RPSZ/wy6Tq0MbPbnFdvqVCBCZKOl27FBk+a&#10;ARqFik5xxIkVcWlWcAl3b4oS36yshJ84nzjRBcSdl6YhMHZpJbsQK6+k7Y83n3F9TSJurC1Wogrz&#10;aRS6TjTiymOMNcJ8cXVHpdmxz0cKi2tLrzlEWKeKo3EiVL7EzV3c9V9oX+yYlSotibjxjkuz6LUf&#10;5osqb/ubNmz5KOx8xcmncfOaRNxYF1OvUoo6SAmJEeKa2ZS9japanHb5v+cIcadd/Sv3AWmxdF+8&#10;TH7/wnR58s2HZP2euzK79H72pxEZIW7vwaHy1r5R8sruMfLmvpGZv/E/MAAIcUc+HS4fHx4iK96+&#10;V36+eq5bf7FAgIMIh4AYp8c1ihHQHtiyW3Yc+3bnSbSDvz0BSPPhpx5TUS8upu7al1MPuKLxjcxO&#10;d8e+bvk+QeB3HENamD8J7Yf2zas/6rwAxhh1II8tg9j/5deZMVYRMUTHRecGeXW+UBZ90TxxYc87&#10;rBP9tnWgj3F9UpCOfOiHRtwcA301L/Lp37o7IY4lrTech4b2P8S+/hdr0Mtj6/H6imPhHCedGwjH&#10;1psvHEcdGl596w60SO2IcI3j/NA3rReBMfSuBbSvgb/Rvi2Ln2mvC9SP87PtJl1X4Xx7awa/e31X&#10;UAbjYecCZVBP0hoFVojD61CbP/4zP+2DwrRATkN5ECXEhRQixAG8LhVlLurzLxTiCKkA339gVs49&#10;awu9+zRfh2WNUIj713Mu3Oc92KwKhz+TbXs+ks07mr8T39osGzdtko1vbpbNO9+RrXs+lJ0Hj/nl&#10;CCGEUIgjhFQNCnGEEEJIO+bhn52Z8z0Nbqo/68PsV3nZAv9IFrarrwSrNl2HNskF9yyTgfOmycLX&#10;7pdXdoyRDbvGyOvv3CWvv32XvLprrLy07W5pfPMemfzcw/KbyXPl34avcusqJZBxNKJkN6BijCfN&#10;AA1IFl46SJJSIE2gD5rPi1CsSJIuIPIg0H/vuLdjE4QqPV8N9Clqd7C488L4hueDuiG55CNXWYHK&#10;S7fY9qLSvL4mkTTWSlw+jULXiUZceaAR5ourOyotn7G3xLVlpT27ruxxb7fGJDDe+V5DUTvgpekL&#10;8uNawnUUFWGZOBErLg3gmsG1g/MLr1ENb7zj5sISlS/quO1vmki7Q1zcNWRJk6+QOUrbPkB6vmuO&#10;VIE4IW5gU/p/jClTnHb59TmvTO3cr7/7gLRY6uavlH7PPC1D1k+SVW/fk3llPXbrxf+UsO/gUIEE&#10;9/7+FjkOu8dBmEMahLg9+4fKWx+MkqlbHpK+z8x36y8WyCwICDX2uEaSoBQFBJa4CAUalaJsPyAV&#10;JUUo0uDvpIiTbzxUKlLpyApBYXh1W9ksKiD4eHKPjgv6oHNlAzJVmvrteCfVqRHVJwDRKW4cEKg7&#10;LGdFMK8OO/9RqBgVldeuPa8PwK6t8BzjxkQjqt4084V8cUKcXcNhOxD84iJcf7p2ESgbNWc4jvmw&#10;ZRWMjxXYosJb++F8W6ktDG9MsW7j1lnUPFisENf80Z+XzBaCV6FqHXitqZcnpFAhDiIcypx88t9R&#10;iCOkAnx/4oKce1aA54HN12FZo2uP3pNsm9UU4nYe/Vx2HvxEtuzZJ29selPWv/C8rHtmmbywaJ48&#10;N3eGrJ0zRZ6dO12eXzBX1q1aIRs3bpStzXlRJvM6VadOQgjpqFCII4RUixtvH5pzT9u1Z+/0/1My&#10;hThCCCGktqmeEHfezWG7nW9b0PrBcJX412Gr5dL7lsp/Tp0loxdPlomNE2XaCw/LtOcflscaH80c&#10;u2nSXOl7/xLpMeqZsu8MByBL5BueHKMRJypFSSXASkdxEYoVSeKGPT/tt5UA43ZfQtlQ8sDfocgW&#10;d16KSiM2IPRAOvLyh6jAh/DSLbbPUWlxfY0iaayVuHwaha4TjbjyQCPMF1d3VFo+Y2+Jawuo0GUl&#10;KX21ZpR4Gkeh1xDQndFwrnosri+4BuIEKxthWSuR5ZOGa0X7GRf5zG1IVL6o43H9LYZSXGvFzFHa&#10;9otZc6Sy4H8OaHV/pK+UH9h0LHsbVbXodM1NX+b07eIr3QekxfIvc1fLmYuWyTWr58iDGyfKi7vH&#10;yNsfN8hHBwfLkU8bMq9PxU5wh461vC710CfD5NMvRmZem7rxg1Eyb/sEGfzyZDlnyRK3/mIIZRWb&#10;pgGhxh5PA+rSgLCiwhF+QpqBFJNGiLNoxPXHykJo154Tftc2EFE7WnmoVGTFHNSP9jCGofwX1o28&#10;EIogYdk+IZ+V2bwdz7TP2jbGDmOo7dq27Hzid1uPJawTP3GOKIO6rfzkjTfa1LKoy+7ChjQ7HqEk&#10;ZfuodWB8tG1vDEKQX8MT9mz/0UaYbvPgpz1u+46xRn/QN4DfrdCFvLYsSDtfdhzwu5ZHXg2cpx5X&#10;tF7028495gBth+Ota9eGjjfK2PWH8rasYsdT20B5PSftE8KuBWDPU/PZOjCmtnzYf+0f8iC/Hsd1&#10;hPPwxihEhbimtTecENOw01v4sDAJvMYUr1pF+XxeuVqoEGfLUYgjpPxQiPtSdh48Kpvf2S3rn39O&#10;nnn0Xpl/529k7q3/IfNu/aXMveV6mXPLdTL79/1lzs3XytN33CSNTz6Ukea2vP2e7DzE3eJIa4bf&#10;OyH7vXmSm05INVnywvoT91r43ctTDJ4QZ+8ncW8apheKvm4fdYev76cQR0jHg0IcIYQQ0o6pJSHu&#10;9D+uaPVguJr8pGGVnH/PMrn6oQUyYMoc+e9ZM5qZLv85ZbZc/fAC6TFqpVuuXFjZJ21Aggjr0YgT&#10;ldJIJehPKE/EyRlxaYpKNNpvK8mFcpsHXlFqxyl8/WrUeXmgPXu+aXeMsmXSvjLVqzufvoakGWvA&#10;V6a2ENcWsOOkc6qSXLjGkrB9zPcaAiq/IfQc4/qi54ZA26HYaftjjxeahj7pdYyfuIbD6yBuvJPm&#10;QtE2wnxR5W1/08qtabDzFSftxs2r9hmR7xwlrRdgyxey5khlqXUh7tRf/defbd/qzrvEfUBaLP84&#10;s0l+MLtR/u+CFXL5yqdl4LpJ8vT2++W9/UPlGxkrX/11jHz6xYjMK+3B51+Pal7B98hnfxopz+y6&#10;V37//Aw5d8kS+T9zV7n1F4OKLp7YoxEnoEVhJRwv3UNFoigpRyOuPyoreecDIE9pnjQijWLPB2KO&#10;ldoUiD0a+dQNtE/eueu4IDBfngCmWPnIykMhYZ1WrAJoQyUlpNs0gPOLSlNUZMK52eO2j4hQgEoD&#10;pCuNsDzOJYxQ0rJ5rIBnj0eNtV1DiHDs0s6XN1c4Fw1vDaWdX0u4dr1yts9hf5P6BHA9aBQy33Hl&#10;NQr5HFJUiIOM1vzRnyEfMU2xglo+O8wVKsTZ17P+cuLt7rkRQkrHP05ekXPP2sJ5Nzdfg2WNWhLi&#10;tu79SF575RVpnPKYzPrdz2X65d1k1hXdZXLfM2VKv24Zpl3WTeZc2UOe/NkZGSnu2ZlTZMP69bL9&#10;o0NunaXktXf3yW1DR8gPTzv9xOfj//qHU+SGW26TNRu3umVIdcF86Vx56e0NrFGsSZwv1qWXh9QO&#10;s1Y0nlif+N3LUwyeEKf3d9gBOEwLwX0j8iE/dg728lh0d2HsaGyPU4gjpONx7e9uNfez9VLXo/fa&#10;5s+HdOE97KYQRwghhNQO+F4Ov6tvqD/rnexXedki/AcsED4UrjadB6+Rfx3aKGeOWClnj1khvcYs&#10;l3PvXiHn3LUic6xuSPl3hVMglGh4kluICjKIUAzSgCRhj1uipBI9HiWHxYkVaaSLUPbR9iBxePmj&#10;SOp/eDyOOBnFw0p8+N3LA5LmtJC+Knas417naeXBqHUSt950VyuvjxpxwpgVzcJ+xp1/VFo+Y2//&#10;jmsLYGw0cD52fPOVq7StQq4hYCVCnKP92+uLRtQ8xK3vQtLSrL248U4aH2DPOTyvqLrRF424tZEv&#10;dm3EXStp5NNC5ihpvYCkMU1TB6kc2C03vD/q/OsJJ9Kzt1FVix8NGJTTt3IJcZYfzVsl5y1ZlNnx&#10;7cX37868IvXDQ0Nk9/7hsvvAMHn/42HNvw+Vjw8PlW0fjpQJbzwmZ5dhZzigAhckGU/a0ShERLES&#10;jSePeaiUg59eukZUf6x4E0pKlnUHWu7P4mSuECsVxZ2PilKh1JNE3LlrWpSIZ0krTGmd6GeUsKXS&#10;GyJM0/DkJsVKa7YN28d8xUGLCnsQ7+xxXXuYX52PsB27Pu1a0bWBiBs/e25WqANp5yucK9unqHGJ&#10;EvniSLN2bdvheWMcEVGfE4odO9uOPc+4Ptv1ZudE5zCc53xQIc4KZvkKcXZ3uVM7/b2bJ4pChTjk&#10;1XIU4ggpPzUjxJ11/nHvwWYl2LRlm6yZMUkWDrlFplzTW2Zd0SMjv02/rJvMuLy7TG9mZvOxeVf1&#10;lCmXnSkzf3uVLL9vlLz0zDLZuudDt85Sgd2bsMtY85BFMv6JyW5ZUj06mhBnBaszep7t5iG1QzWE&#10;OBXc4nYrxm5vKrcp3Xt8181rwev8NT/q0OMU4gjpeFCII4QQQtoxnhD3n+eftSP7VV62qOtRv9C2&#10;WXdR/5wHwiSXOHHIwwoUofyhgTz2uCVKKok6rsRJH2mkCyuJ2XNIc84WiCmIfPvvYSUrLz0Egozd&#10;ISsUzRQro3njUUhfFTvWCE8Asnk84VBlN+8c8Lftv9dHG57oE45TmB53/lFpdv1ACvXGXufTHotr&#10;S9E1hXr19zhpK4qktuKuIUXnBj+T+qIRdb3beQzT4kSsqDS7rrz+Y05U2PXGQMcHgd+9ObR5QglQ&#10;08K67XqLWhuFovOB8KRE+xmCCMdFo5A5suNdiIAI0qw5UjmShLhTh6w9KXsrVfH4zqS1J4VCHPAe&#10;kJYa7PR26TPzZcQrT8m0zQ/Iop3j5Zld42TV2+NkefPvc7fdLxM3PSpDX54kV66aL6fOXenWUwwQ&#10;W1QoipKaNAoR4mz9+Ik64iQ1ECeFAY2o/ljxJ2149XjYur10xb5+0kuPIu7ck8bFEkpWXh6Qps6o&#10;c7ZtpA3bl7R9TMIKVFbU0jlYd+CTE5JWKChqnlCK1HFJIzRqhKJW2vmy46D9RCRJglo/AnmTJMk0&#10;azduTjSS+mXrsOJbXN0WFXQRNp/tP8493O0vDSrEFSqm4YGiPrzEa6jyfb0VhThC2gaeEFfXo/fQ&#10;5muwrFHXo368bbOaQtxrL70kC4ffJlOvu0CevKy7PHXpGRme/NlPT/w+Kbtb3FN9u8n0/7hE5g8c&#10;IGvnTJEt7+1x6ywF2HXLynDYeQvyCsArOXVHLk9A0lcionw5XokItG8U8lpTjBBXf0nfTLmr/v2X&#10;bnotkrRDXCXWI0lPpYW4KGEtzKOvVLWkEeKAlrXCHYU4Qjoe/a7/TXhPW5wQh1ezeQ/kCSGEEFJ5&#10;qifE9V5r26zr86ucB8IkFxUuIHJ46SFWDAplJ40o+QJECRQq3yAgUahUAgnEpiFCscKKG3HShZ5r&#10;nCwFcF4AEoj2Az+t3BGeY9R5oQzahbhidw9D3dqPKJnEw8pCKK+7igG0pUIQAuPm1RHV1zTYsdbQ&#10;sUIa+qfnhfDmw54D+oux0f7bsgivj2Ho+KIO/LRj4K3FuPOPS8NYa6AN9Bdt4tyjxKK4+hSU19Dz&#10;R91e3jiKuYYUlNNI6ouOM/LhHPQ4ftfz1rDlgF0DadPsZw/mXAUxnGc47954h31Cv+0c2vS48l6a&#10;7TP6hvp0/AHawPpBH6PG3iNcG15/dZ4QYd3FzFE43iiD+rGW9NxKseZI5fCEuC7Xjz2RXlUhbtba&#10;k394a0Or/uFhqPeQtNScPm+FXLBskfx702z540tTZOxrT8i4DY/JyPVPyS3PT5c+yxdK3dPPyA9m&#10;N2VeuerVUQwqE0H8gXzioYG8esyrKwqIOrq7kwaEligBL0kk0oAg46VbcSZNFLpDnJeuxOWDtAXp&#10;B+cXjouGd+5J42Kx8xY3X2nqjDoX20aagBBpZci0fUzC7tJmJSkVMVG3zaPiGOZBI9yxTOclzVhr&#10;hHnTjC2w46BlEOsO+K/7VdB/mx+BfuNcrBiopFm7UXNid6RDPbZMiK3D5o2qOyQuH8bEBuYYx5Ik&#10;W6UYIQ4PK7EjnJbDQ0ovXxwU4ghpO4T3hVUR4s4+/zPvwWa5wStPn186X2b95y8y0hs4IcQZVIp7&#10;spnJV50rM39zpax67H55a+c7br2lANJb81BlwO9eHohXEKjC4+UWXoDWjz546R2ZYoQ4CI4o1552&#10;WqvEeiTpKfd8hEIcXmWKtqLkNrubMf5nDCvQpRXitA27ozGFOEI6HvVX9A/uaesXNn82pAsKcYQQ&#10;QkhtUzUhrmf9bttm3RW35TwQJt9ihYeoV+p5WJHCSl4anoSkREklqMeKHWFAyACIUKzA3xpx0gWk&#10;GRtR5xyKImGgH1Z2sWXC87KijBc4Z2/npzhC0cQL5PHKgqi+psGONQSYuDnDeHt1YOx0Lr1A31U+&#10;8/qogfqT6gnLgrjzj0tDvzU9KsJzjqvPYmUuRLi+0lDMNaSg3TDsNW6xspYXdp2GZQsR4oCVEr3Q&#10;Nr3x1rlAHbZvYXjXty0fNZdJfdOI+4zyiOsr1g0+PzTCuouZI6DnHIZ+ZpVizZEK8sfWO20EQtzJ&#10;2Vupisf3pq/q9MM7xrbqX6WEuO/PapLT566SMxYuy4hxl698Wq5YOV8uXblAei1ZIqfPK/2ucJZQ&#10;qEkbcUJLFBDgwvbwdyjvaB78tMcVjSgxJ434Uyhp647KBxlLRa248M49aVwsaeWjNHVGnUvaNqIo&#10;trxFx1R3L7N1h3nWZUUzK8mFQpXmTTPWGmHeNGMLwnGwuwtGSaMWlFGxVQNiXLhjXJq1G/ZFj6Mu&#10;DdRjy4TYOmzeqLpDkvJhrjCH9jrC72nGqhghTh8qgkcmXurmSYJCHCFth/C+sCMIcTuPfCbb9h2Q&#10;NzZuksbJj8r0X14qU/t1k8n9op97PtU3+/PSM2XqNefJ8ntGZF636tVfCnSnMOClx1EJAUnrpxDX&#10;GgpxuVRiPZL0lHs+QiHO273NgntGiHD2nlP7l1aIsxLdKxsGZI5RiCOk4xEKcXhFf/PnQrqgEEcI&#10;IYTUNmMu7p7zPQ3+cGHPLdmv8rJFKMR1+fmg3AfC5AQQmhD5SllWsrACkIoRqNfmt+hOWvgZpkGu&#10;gKBh5SDIFNqGlg37aoWQuPOA5GLljai86AfkllAGwd9R5xZ1XmgTZVDWto3zQhuFiE8AcgnasmOF&#10;33EsSTyJ6msaULcGftc503PDzzR9wHlDfLL9t+V0bXp91LYwf149GOsoGQ/EnX9cmoK67dpAfzAG&#10;njiWpj5gJbCkvHEUeg1ZrNiFurw8CuYLddq1jb91HnEchOXsZ08+aSBu/PWzwBtDPXe9hlGPyloI&#10;/I55iLomtbxXt4LzDscfgf5iXJOuiyjCHd1Qv+0rxgDhzWuhcwRQP85Hy+JnuCZKseZIhUgS4u5Y&#10;1Sl7K1XxgBD3z8MmtOpfpYQ48L2ZTfL9WY3yv2c1yT/PXn2Cf5rdKN9rPuaVKRVWvsknQtkmHyC0&#10;2HbXBTthJYlEGlFijhV/iumnRxqpCNjz02MQ/1TiUYEnFLHizj1pXCxp5aM0dUads20j3GEtDWn7&#10;mAYdb4wr/saaQuB4mAeyGP5WiczbIVDHRfPGoZHvOlbCccA60R3qcD5p1zDK2bkKzyvN2o2bEw2V&#10;DqOwddgd++LqtkS9MtUD15C9ppJ2iitUiLMyXNSDyzRQiCOk7VB33iU594WQ1ZqvwbJGKMQB78Fm&#10;udh1+LPM7m4vN62WZfeNkqn9L5AZl3fPvBbV+3dX5Ymf/VSmX9Y98/vihj/I66+8kqnLa6NYVIwC&#10;eCWllyeKSghIWj+FuNZQiMulEuuRpKfc82GFOHtfF/X6fRXYLFomrRCH3Y21jN6/UogjpOPh7BCX&#10;/p6WQhwhhBBS21RLiAvb7HJtQ+4DYdKhUakE8oaXTuKBRKNRqNxDWmPHVUUiQggpKZ4QZ+6RqinE&#10;fXdaY3dPiPv+A7PcB6QdEQ0INV56oUQJQ0kikUZUf+zOX2l2jcoHKxV5r6VUVNKxUlKUKGSJO/ek&#10;cbGklY/S1BklUuH8NZIkKY+0fUwD5lkDY4txR1hRz+aBOKVz5K0ju+NanGRl6wzXWtr58sYBEpz2&#10;D3Jc3FoLiZqvqOOWuDlRSS9JEowaO1t31PoHViZNc95xfQ5RIc4+iEwS06wMh9+9PGkpVIizr82i&#10;EEdIZaiOENd7qG0TeA82y8XOg8dk46a35LkFc2TJyDtkyi96y/SMEBf/3BNC3LTLusnkvmfKvP++&#10;QV5YPF/e2r5Ldn58xG2nGKxUlVY6s7vKRbFm49YT+SHD3HDLbTnyHfjbk07K1BXKMvY1rlGMf2Jy&#10;ThmANq/691/K//qHU07kw+84ZvuTFgiC6Av6aOsEPzzt9Mx4RUmEOkb6Glqcox031BdXXsF52nGz&#10;5ezceWVDlryw/kT+KDBWYblCxlXnEOeMvx+fs+BEefzE35o3HCucF9YGjmGcbRt6XPPa8nF4/cSc&#10;hOcVtSYtafqreXA8LG9BO9o25sfLo/Omdencoy0ti9+9ayIkXE8Af8eVRR/zuX5tOc3r5UGdmp6m&#10;7yFWiLP3g/Z+Lwktk1aIA/q6/4v6/EvmbwpxhHQ8wntLCnGEEEJIO6IaQtyPu/U6OWyz868n5D4Q&#10;Jh0W7GSkgd2avDwkHgpx5QE7bGlE7VBGCCHFEt4j5QhxdzZ2z95OVTxOmd7U/wejJ7bqH4W4b9Hw&#10;xKFiUHEmFIaSRCKNcEcuBRJNoTJRElYqQhve7l02jxWyksQd9FOlI+/ck8bFklY+SlNnnEil5RH5&#10;7saXj8iUBMZOwwpVVsiyeZL6bfsWNTZ2vrAWwnWWZmxB1DhY2S6pDostZ48XK8TZ8vjdpikYS42w&#10;z7ZuRCgQhnns7n5xYI41wj6HeEJc3I5vpZThQKFCnC13x6r73XMjhJSWjijE7Tp4TF5/fYM0zZws&#10;C4feKlOu6d0iuiUIcWBqc55Jfc+Q2QN+IY1PPCDrn3tWtry3x22nGCDvNA/VCSAIJUla+QhIaSQs&#10;YIUYlaniCAUa/O3ls+Qr3aQ5T4hI3nipPARxCWMallOiyoOkcrZ/XvmQQoS4QsdVZT2VrcIySNe8&#10;SWNlZSo9Zsvnsx6VuLFVwrFQ0vTXnrOV/0K073HinBXLMIdW4AuJ6jPWmBXoPLy1WMj1q8QJcXZ8&#10;ovqchBXiILShrnzENqB9yKccRDiUwetX8TeFOEI6Fi/v3J1zX9nCeTc3fy6kCwpxhBBCSG3TcFHl&#10;hbi6bvWdwjY73zQx52Ew6bjoqxgRfH1fYVCIKw/6Ssq413ESQkixdD0398Gifa18LQpx/zRusvuA&#10;tCOiESXBxAGpBUDKUmEIP+1rEcN6k0QiKyFBqoEEgzqsDGPlHewWZtsHyAuhDnUlSTQWW68G6kEd&#10;wO6OFUpSVtxBn1TEQh6ch54Xwjv3pHGxhG3h/LV/tk9p6rTnHKahTg2dDyuh4Rwx1+hDOM+2LH63&#10;aYVgRTgExjPMo+er4eVRbF7kw3mgnwBzjvPV8OSuNGML4sYB7WhYAVTHNBxvzLP2K2w3bh6VuL5g&#10;3dhzRv16/aHdcO2HoqGtW0M/G5CG/tn6bfuoC3OAPLZe/I5xQKCsXdseKsSB5o//DANuPuPEMYvd&#10;lQ27a0BgiwOvpQrrwGuwbJ7w1as2LSxr0YeZf3vS38iI9U+650YIKS21IsRt2nfYfcBZFpo/x9/c&#10;ukNeXL5Ylo4bKlOuPV+mXdZdJveNf2UqmJoV52b95gpZft8oeXHZ4szrV912iiQUliDnYPcmb1ct&#10;S5zwoqAO1AfpBWKQFW7QLtK0TVtO0fqtABWCejUf2oHEo2n43e5slXROFtQFSQiCnq0TdVgJy+5W&#10;pmib9vxwDhgnnLeVk7xzs1IgBCiU8coqYfkktH/46aWDYsYV54Tj3vnj3KwkFo6VPd9wHSIdeGOG&#10;/JqO38N0xe5MhrbQH+TXvlnhDHnD8mn6i3Wu6VgrYR0AeeLaUex5aZ3og7aJPutxgONhHbpmtK96&#10;HeKnLR/KaTgXpBVy/dp+43c9jnJ6PGwvH6wQh/s51Ke7tqVF+5GPEBfuRkchjpCOhSfE1fWs79/8&#10;mZAuKMQRQgghtY0nxN16Qc/12a/ysgRuJsI2Tx8wOedhMOm44DWpCL4utXAoxJUevCJVg69LJYSU&#10;k1CIq7vithNpnQc29cneTlU8TpnZdDPkN9s3QCHuWzRCoSkNViryAjJLKLEkiURW7LFhd2MDViaK&#10;i1D8icO2DRkoKjwhCCT1KWrXPJA0LiGaPwzbrzR12nP20jEOVmSKinD9WEEqnzmIIpwPK5ApVsRE&#10;eHkUrEuVreIC7Xrl085X0jjYedS2oq4BDW/9Jc0jSOoL6kya66i1b+vGPMTVE46pLRsVUfNgsUKc&#10;vkIq6qGi7t6RFm+nOS9fFHFSHHb1QB48OKUQR0hlCIW4rj16T2q+Dssa3jPHSgpxu45+Ljs+Oiwb&#10;39oijZMekWnXXSwzL+8hU/qlFOL6nikzbugny+8eKs8vmJt5barXTimA7GJFIAXCipVgLFHCSz5Y&#10;OcarQ9M8AUrRfkdJRei/5ilGwAnROj2pzMpikJFCYQx9UpkI6TYNWNHIG38VzpQwPQntn9d3pZhx&#10;tf3DOViZLiQcq6j1BjRfoUIc5kHzRLVlzwuEc5e2vxgTzeflsWs/bnzseQGUC/OgvKaj7zZN28E8&#10;hOeiQIrT8lF5POKuX28+bP5ir0UrxGmdkNXs/V4SWi4fIc7+Dx6416QQR0jHovGNbTn3lS30Tv/v&#10;rxTiCCGEkNrGE+LuuLD7i9mv8rKEd3/Q+bYFOQ+DSccEO8Jp8HWphUMhrvRgVzgNvi6VEFJO6i7q&#10;n3OPVNd3wLfpA5vS/x+KJY5/mNE4FK9HtX0D2DXOe0DaEVFxJRTO0oDdqyAdWakHgb+j6tOdvvDT&#10;SweQe+yOashrd8pSINJAMrN5EWgf/fKknzhCqQjl7c5kaAfteX1RIO7Y8cD4ahmIRAjv3NOMiwVC&#10;F+rV+dN2bJ40dapEhvJeOtB5DgUy/I02PVlJzxXhCVT5Eu5g5s0t+mnzpGlX58uW0/OKm+e085U0&#10;DlbMw/rSY5gXr1+YB6SH9aSZxzRzgrpxHdg1jMDfOO61DazUht8xduH6xFhFXZOYB6Tba1mvtzTz&#10;CKwQh53hmr8CMtgHh4ruypYWT4jTHUDSgN3kwvIAO89pHrRBIY6QytARhThl275D8vz8OTLzxstl&#10;Wr/uMiXxlalnZqS5SX3PbC5zhay4b5S8tGyxbC7TDnEWCCtWBgJRQpMnvORLUh2aFiXE2fJxIg+k&#10;LuTx5LNCiZPKNA1jmUaYssftOUFUsmkWPaewfBri+g6KHVcrxHkCl0X7kiTOAa2zUCHOjllUHmB3&#10;xwvnIG1/k+ZRdxlMWpNJ9Sh2Pdk50/7GCWhYo1rW7t6XRNyYh2mllOGACnG439N6KyHEQYLTchTi&#10;COl4LHrhtZz7StC5W6/0b+igEEcIIYTUNtUQ4rzXG9gHwaTjoq9Lxaspr3/iDTcPScaKhXztbGnQ&#10;16VS1CSElJtaFeK+O2PN+O9PXJDTN/DPwya4D0hJxybNLluEkNaEQpyXp9xYIW7azKtyHhDah4e1&#10;hO0nHqJSiCOkMnS++Mrce8MKCHHeWyfwqivvAWc52XXkc3npmWUy95brZHK/M2Rqv5bXoUJ48/79&#10;9YmfnSHTL+ueeb3q7P/8hayZ+oS8vv4V2brnQ7f+chCKcd7uUnEyTFqS6tC0KCHOildp8eophDip&#10;LC5NsX2POh4nXEWVT0NS/4od13z6lmasFK0T9YdpadajthXuouahdYWvPM2nv3oNhdIbriWtP05y&#10;A2nOC6AeL58eS4s3tlHE9c2mWRGxFDIcUCHOCmoU4ggh5eaJ+ctz7itBXbf6Ts2fCemCQhwhhBBS&#10;21Rlh7gevSfZ9urqr8x5EEwIIYQQ0lGp6/OrnPsy/P1tetPN2dupisd3Z66Z5AlxP7xjrPuAlHRs&#10;KMQRUhi1JsQB3cENu8XZ47XEtf27ZPqI16bibwpxhFSGjizEgfXPPysLh94iU37RW57M7v6WJMRh&#10;l7j5f/yNrFu5XLa8t0d2HTzm1l0usGsURJ7mocwQiixxMkwI0lFeZSIPrw5Ni5J08hW38t0hDmMA&#10;0Qj9DnfOUzwxKo00FSWNRR0PSZvPI6l/xY5rPn1LM1aK1on6w7Q061HnMJ+2wrz59NdKalYotcej&#10;dhBU0pwXiMqnx9Li7RCH+vK9fm1/bDnIcTZfoVCII4RUgwlT5+TcV4Ifd+t1cvNnQrqgEEcIIYTU&#10;NtXZIa5+oW0PO6HYB8GEEEIIIR0V7AgXfZ9UPSHulJlrFv7j5BU5fQMU4ogHhThCCqMWhbhQNqtF&#10;VNrTh6YU4gipDNUQ4rr27N0np81mGt/Y5j7gLDcb33xLmqZMlIVDfy8zbrhMJl91jjx16RmZneLw&#10;CtXJfc/ICHDTLmvZPe6pS8+UqdeeL0vHDpE3XntVdh381K233NhXKYYCUJSAEwKRRvPF4dWhaZ4A&#10;BYqRwpLA7mzYGU/rj8ITo1QA8tKUqL6nPadizj2pf8WOaz7l04yVonWi/jAtzXrU+cynrTBvPv21&#10;O8FZEUxF03D3OY+011lUPj3mjVkaCr1+w/7oK2JB0mt000AhjhBSDe56dFLOfSVo/jxIH54Qd98l&#10;FOIIIYSQWqEqO8T17L3Jtpe78wkhhBBCSMel7orbcu7L7E66p93ZODR7O1XxOGXGmrUU4khaKMQR&#10;Uhi1KMThFaTNXwMZ8LtNqwXs61Jf2TAgc4xCHCGVoaMLcVv3fCSvb3hNXnh6tiwe+UeZcUM/eeqy&#10;HjLtsjNlxuXdZWq/M2V688/ZV/bIvFJ1ys/Pk3n/fWPmdalv7XjHrbNSRAlAUQKOxYpREGKSpBmb&#10;BjQtSuax9ce9XjRfIAKqPIWfEHjCV8bGiVFxaYrte9TxWnhlaiHjmk/f0oyVonWi/jAtzXrUtvJ5&#10;ZWq4o1k+/QUqgmmbVpLzdmMLSXNeIOmVqWnkuxA7j/lev2EarindoQ/XVLHXK4U4Qkg1uLVhbM59&#10;ZV3P+t3Nnwfpw9u+mEIcIaQjMO0XvU8w58Z+bp60LPyvf5eNc56St59dcYI9r76Q4eOtG3M4uvtt&#10;l88P7j8Byr3w4Ci3rSRWDB6Qqe/PX3yeiG0zjq1L57ptJYGxXT9pwolz1zGJwo5fCPqAMS50XAD6&#10;0zTmjkyfksA4enVUA0+I++8Luj+T/SovS+CGwraHB7/2QTAhhBBCSEely88H5dyXdT33khNpVRXi&#10;Zq7Z5Apxtza4D0hJx4ZCHCGFUYtCHMBDxeavgsxucWFatbmoz7+06huFOEIqQ+cLL/9Lzr1hlYS4&#10;RS+85j7gLDe7jnwu2z48KG+8/oasnTVVloy6Q+b+1/Uy/VeXytRr62XqNb1l8s/PlUlXniPTr79E&#10;5t9xk6x85D55uXGVbP/ggFtnpWgeygyhABQnwygqD0W9qjSpDk3zBCgAoUjzlGLXKcX2K0paihOj&#10;4tKUKGks7TnZHbe89DiS+lfsuNaqEGd3OwsFRwvOWfOF559Pf4EdS/yuYwMpzMsfkmYtArse7GtY&#10;dTe6NBJgiJ5rIdevl2Z3XUR/kl4XG4cKcUDbqYQQN+buC06UoxBHSMfjxtuH5txXYkOX5s+D9EEh&#10;jhDSVoGEBnEJkhRkKaDyFOSqUECD2GVlMC9Ql9dWHOhHVH3FBuQtr80oIPaVqy8YS6/NODAn5QjM&#10;p9deHIXME9ZMsbJkKaiGEBe2hwe/9kEwIYQQQkhHpZUQ14ymVVOI++6Mpt148Bn2jUIc8Vi0e3/m&#10;v3n+9Ne/uumEEJ8BL23NXDsI/O7lKTc/XbA8I8VZLn3g2weMYVo1+Y8lj2X69P/5//1/5Rcz7ztx&#10;vNfSxe65EUJKS5cLLvuzvS+s61G/EPeN5YzO3Xp1t22CaglxYNfh47J97355Y9Nbsn7ts/Li4qel&#10;cfJEWX7fSFk47L9kwaD/lMV33SkrHxkvzy2YI6+9/Ips3vWe7CzT61IhBOnuZ146sGITdqCyaWlE&#10;nSR5KGpXK0XTwl26FLuTW7GCjcWTeSx2tyvv3JLOG0RJY6hbj0edU/gayzA9Ce1flOhU7LhWW4iL&#10;Wo82T1R7dm4xBuG559NfRevDvOnvUWs6xPYZeNerzRPuBBd3DSeRdK5x16/tk02zsmE+YxjiCXH4&#10;Hx+svJaElstHiIN0p+W27foDhThCOhjX/u7WnPvKuh691zZ/HqQPCnGEkHyBWKRgFy1IWwA7d9kd&#10;tkJRTXcBU0kNvyPNayMJ1F8u8Qvn5bUZBc6tXIEx8tqMAvNQzsAOa167UZRrjhD57uCGsSwk8p2D&#10;clBpIe7H3XqdHLbX+dcTch4EE0IIIYR0VLpc25BznwRO/+OKTNppA9eMz95SVTy+O7PpGB581p13&#10;SU7ffjRgkPuAlBBCCCGEtG8697n6c3tfWC0hbtbKte4Dzkqz68hnsm3vx7Jpy3Z5Zc1qaZo5KfN6&#10;1BeXLpRXX35ZNr/9nuw8dNwtWyqwW1PzMGWApANxBuIKgLSiMgyAOBWKQfbVj0iHhISykH40rxW3&#10;IM/ocbQdSl1WmlGsmIQ+IY/2U/NY4Uf7YfuKvJCPUJfXhkd4bvp6R9SLfmi/gCf1JIlEwPY7TEN/&#10;NQ3t67nbtlVY88onYcdexxN1W2GqmHGNO7eQNGOlaJ2oP0xLsx6BtgfQd5wz8un52HHFmNg2bPk0&#10;/VV0Pm3daV8Zin5pGQXSm54fxsLWi2O2PM7dpiO/bRvjhvNEneE5FXP92n6HaXZ943eblhYrxOnu&#10;xKd2+vscec0CeQ07ulm0Dyhnj+tr9T10t+G/PelvMn9TiCOkY1F/Rf+c+8q872erJcRBZLA7N+lO&#10;ThAPFN3pCVJNMa+ug8BhBR7s9uOBfCFefaTj4K0J4K0fi11vwKs7H7D+Q9lMwfVhUQHNimiKXlfF&#10;vIoTO2aVOgrZeawc/dDAuHptRoFxLldgTr02o8D6LFcUsitbOecp393zsPYLiVoQ4gZd1CPnexqU&#10;U4ir61bfKWyv800TWz0Mrh5NUjdktfzb8NXSY9QKqR+3XC4ev1j63r+omcXS596l0vvu5XLOXcul&#10;28hV8pPmfF2GePUQQgghhORPl+vH5twngdoQ4loefFKII4QQQgghoPPFVxy194WVEOK8f1esFSFO&#10;2bH/sLy5Y5e89srL8tpL62TTW5tly3t7ZFcgw+06+kXO36XCvmYxCshFkGa88lYusqhwg3JWxglB&#10;3QC/h9IMsGKVxYpbwAo2cXhtRJFUpwpBnhiVRpqKk8YgHum4eKBeCFH6d1g+CSsrWcLdxQod17hz&#10;C0kzVorWifq9dK0rxApgSWOreDIcyKe/ipX1ANr38nnYucK6j7ueovqM87cSZxThORVz/dp+h2nA&#10;zlVUv+OwQtyAm884UZceC7E7uyURt2PcySf/XSaP7kZHIY6QjkUoxHXt0XtS82dC+qiGEAdhqJBd&#10;gwqReCAjlVrIgBxRqKAHcQZSCc6/FKAvxchNpewLxhnn57WVBOYJZVGHV3chYGwKkdEgFKEvqKOU&#10;UcjYoC84j3JEvjIR+lLqMbGB+r12oyiXaIVzzHfdoO+4lkoZuobzHReg13YpA9JiIZ975ZIoIbd5&#10;7cWBec03MA/5XivlwBPihl3YfXH2q7zk4f2fnKcPmNzqYXC1qBvcKN1HrpJLxi+WAVNmyT1Ln5Kp&#10;zz8ki169X5a8dr9Mee4RGbPkKfnj7BnyyyfnZkS5MxpW5tTReXCTnA7MMUIIIYSQNGDn3PBeqfPv&#10;Z2XSqiXEfWfW2pP1wWcoxJ3669taPRwlhBBCCCHtny4XXX7I3hdWS4h7Yv5y9wFntcBOcTsPHJUd&#10;Hx6W7R8dkp37j8quQ5/K22US4Dwgq0DuspIQJBjIUUmiCuQilFVpBj/xt80DqQbHrJCDtrRulfKs&#10;tGSB/GTLIr8n6Ol5hOIPxBuIXZ6UkwT6aMUdPT+0j/7iWCiRAT0nL02B3KR1eukA527nxY6bth9X&#10;Pg4IdWHd3hgVMq5pzk1JM1YK6kPeUIhU0qxHRedW8wKMgc6vVwbk01+LXUdR/ffA+Go5/K7Xkz1H&#10;9MWbBwvGBu3afgDMK8ojDXnCcoVev7o+vTRgxUTUHaYnYYW4aTOvOtEWdnjT45Yxd19wIk8SUa9e&#10;xS5zmgf14RiFOEI6FuF9ZfP9bH7/9loNIQ67LxUSEBO8+uIopzQDsc9rM4pCzztN5CtsQAzBOZQj&#10;ChFVSi3vaOAc8xWKCt1FKk3kKy+Wc83g2vDajAJiU7mikHkq1atB0TbAeBQqUSroE+YY4HcFY2dB&#10;Gx52l8FCRDgP1BOHbTMK5PPqzgc9dzsuHjp+HrgeAMbKayMNOBfUAUE1CezOV0xbpaTSQpx3b9D5&#10;tgWtHgZXizNHrpQrH1okt8+aLk+seUSe3TJOdn7QIIc+GS5HPh0u2/eOkKY375FZLz0oE1Y+IbfP&#10;ni6XP7RQzhixyq2PEEIIISQfsHNuq3slFeIGrcnv/1IsUXxv+qpO+uCz88VX5vSNQhwhhBBCSMek&#10;84WX7bf3hZUQ4n7crdfJtk1Qa0IcIaRjYHfNixPuQkIhzsvTEbFCnBXVsBOcHi81VrxrWntD5hiF&#10;OEI6Di/v3J1zTwnwDLv5MyF9dO3Zu09YyZiLu7sP5EsFpIhCAtKKV18UEB/KGTgPr90oyrXTFyJf&#10;Ca2WRCsIJ+WMfOepXHIeApKN12YUEHLKFViPXptR4Hoqx9jguobs5LWZBNYO1jLGSWUplacgV6mE&#10;hXzACl6lkLwIqRSeEDfowh7Ts1/lJY+uPc+7OWyvloS4PuOXyNilT8nqjffKG2+Pll0fNMhHB4fI&#10;J583yKdfjJB9B4bK9r0NsvHdu+TlHWNkyYb75P5nnpABU2fLz+5bJP/WQDGOxHP+Petk8wfH5atv&#10;/pr5rsLPV9/7xM1bCFrv8jf3u+mE1DqFrOHb52zNlEHgdy8PIW2GAZNz7pOA7qZbLSHuu9Mau594&#10;8BkIcZ2uG9Dq4SghhBBCCGn/dKn/2V57X1gJIe7UbhefZNsEE6bOcR9yEkJIOdEd1rArmpceBYU4&#10;HyvEAezqhjE6tdPf5xwvJdf275JpA69N1WMU4gjpODS+sS3nnrKF3n2aPxfSRzWEOJCv6ANpBoKL&#10;V1cc5ZLQ0B+INV6bUUCGKldgPL02oyinhFaIaIXxLEeg3nzFp3LNE/qSr5xXrrGB2IY14LUZB/qD&#10;8cHrM1EHfmK+FYiZSFdCUU13AbOiGsU0QpKptBBX16P30LC9Vg+Cq8RPGlbJDU/NlRUbx8vR4w3y&#10;xZ9Hy4EjQ3P+I0k59Mkw+eSzEbLn42Hy/La75Yk1j8rvp82Ss0Yvd+suBWOX78p+0rYOCCR7j3wp&#10;s9fvc8tWi7cPtHzPHDj+tZveEcFYeOHlLQSN53YcdtMJqXU08lnD9vMRv9s0SKiffvlNJq2U8ikh&#10;5QK7wYX3SniNKtKqJsTNaOqjDz479+uf07dyC3H/e3aTnDZvlXRftFT6PjNfrm+aJb99bpb85/Mz&#10;5IZnZ8mVq+fJRSsWyFmLl8i/Llgu/zxntVsPIYQQQggpLV16X/K+vS+kEEcI6SjY14fm87pUQCHO&#10;JxTiHpl46YlxemXDgJy0UvG3J/1Npn67Cx2FOEI6DoteeC3nnrKFNiLEKbpzkwoyKszoLk8q0eQr&#10;n1kg46jAo2AXMw/IRyE28DfqQp+8tpIo9es40R+cn9dWEhjb8PyKCR2bQgQnrAHMS6mi2HmCyBW1&#10;HsI1E2LXmQJZrBABTUF/QtnMSmcWFdCU8FqihEZI26PiO8T16D3JtlVXf2WrB8GVpvPgJuk5eoVc&#10;8+iCzO5w63eNkT99c5f8+X/GyOFjwzNS3P7DLf9BhN9x7NMvRmby4O/X3x0tc9Y9IHfMmSbnjlnh&#10;tlEKIIekCQhXEEC8OiqNDS+9owFhUUNlH8zV42t3t8pbKBoU4khbRaNUQpxNgzhs0wipSf64Iue+&#10;DHS5fmwmrVpC3CnTm/rrg89KCnHfn9UkXZ5+Ri5YtkgGPD9dHtn0iCx7+17ZsHe0bN43Up5/b6xM&#10;3/Kg3P3a43LbS1Plmsa5cuaipfKPs/z6CCGEEEJI6ag7r8879r6QQhwhpKNw1b//8oSslc/rUgGF&#10;OJ9QiAMqrI25+4JWacViX5dqhTsKcYR0HPDa/fC+sq5bfafmz4X04QlxDRdVTojrqEBIKgVe3YXg&#10;1V0IXt354tVbCF7dhBDSFqn8DnH1C21bdRf1b/0guMJ0GdIkVzy0UEYveUrmr58gm98fldkBDrvE&#10;7T/s7xB38OgwOfJpg+zdP0Ref2e0LGguN2TeFOk1tnw7xFkhDq8ShOSh4G/dAQlRK9IHd4jLBa9K&#10;RWBHPy+9FGhQiGsb4NpF4Pr10jsiGqUS4pJ2iNPXreK6bMuvW+Vaakd4Qty1DZm0qglxM5tu1gef&#10;p139q5y+4W/7YLSU/J95q+WylU/L0FcmydTND8jz74+VXR8Pz9yjffnn0fLhocHy+p7RsuKde2Xm&#10;1gfkvtcfk989P0POW7pYOs9bKf80p9GttyOzaHfLZ8Wf/vpXN52QWmb46y3f9219/aL/CFyPXjoh&#10;5eCBLbsz627/l1+76YQUQt05F26z94WVEOIQtk1w16OT3IechBBSLv72pJMyIlW+r0sFFOJ8PCEO&#10;O7dhnOwrTUuFvpIVr021xynEEdJxwP9UEd5X/rhbr5ObPxvSR+duvbqHlVCII4QQQmoHCnFrpMvg&#10;Jvnt5DkZGW7T+6Pl/Y+GZXZ+g/SG/wj66GDLfwy17BI3OPM30iHN7TswRLbvGSHPbrlH7l76pJw/&#10;bqnbRimwQlwofABIH/Z1nG1Z7GivQFRElFNY1KAQ1zaw17WX3hHRKJUQl0QxZWsJrqX2RddzL8m5&#10;N+uoQtwZi5bJyPVPyiu7x8h7Hw+T9/c333vhPuxoy30Y7slw7J2PG2TXRw3yxt5RMn/7/TLy1Sel&#10;f9Nc+bf5y916S8mAl7aekFvw84rGN9x8tULTh99+VnjppG2AddYRpaodx1r+Z5tNh4+76W0FDVyP&#10;Xnot01HXXntB527qrn1uOiH5QiGOENIRsa9LfXzOAjdPHLY8fvfydEQ8IW7brj+c2CVu0dLrWqUX&#10;CupFnag7fB0rhThCOg6eEIfdiJs/H9IHhThCCCGktvnDhT1zvqfBHed3ezT7VV7y6Nqz9ybbVl2f&#10;X7V6CFxp6oY0yp1zpsob794ln3w+Qo58OjznP4IgwUGG01en4uErdo7D3/j9wwNDZMueUfJ406PS&#10;597qCXHAeyUnqR0oxJEQSkyt0chnDVOI41pqb4RCXN0Vt2WOV0uI+4cZjUP1wWclhLjvz1otpz/9&#10;jFy5eq7M3johc2/2PzJOjjXfp+n9GO7RcD8GMe6Tz1p2jMPOcW9+MFLmbJsgd740Wc5eutStv5RA&#10;zLGx7sAnbr5agUJc+0B3SkPs/uxLN097AyKWBkRUL09bQaMtCnEdce21J/AdheAucaRUtPo3vooJ&#10;cb2P2XYH3/uw+5CTEEJI28ET4qoBhThCOg74nyrsPSXI3m6mD0+Iw0403gN5QgghhFSeSgtxdT3r&#10;d9u29AFvNYEQN2jeVNn07ig5/qeRJ4Q4PGTFA9d9B4bK+x8Nlfc+HCp797dIcC1pLa9ThUS3d/8w&#10;mfniQ3Lp/YvdNkqBlR2ipA0rdlCIqj0oxJEQSkyt0chnDRcjtRVTtpbgWmpfYAfdnPulvgMyx6sl&#10;xH135ppJ+uAzFOI69+vf6uFosdQ9/YxctXKujFj/pDS9My4jvf3pm7sy92ihEHfw6FA53Hz8sz+1&#10;vPJ+84cjZdGO8TLs5aek15LFbv2lRHfb0Tj29TduvlqhFoQ4fW1rrY9VtUgzPh1xl672JPJo1JoQ&#10;197XHkRKBPrf1qXKQtExQHTUMSAlZEbT7lb/xkchjhBCSIFQiCOEVJpbG8aeuJ8EuLfN3m6mj7pu&#10;9Z1sJYBCHCGEEFI7eELciAvPuC/7VV7yCNvq8vNBrR4CV5q6IU0yYOpsWbLhftm2Z5TsPdDysFUf&#10;ur730XB5453Rsn7XGNm+Z2RmRzi8TlWFuS//PEoOHxsmT69/UPpNqK4QZ3eIW/7mfjfP9U+8IZs/&#10;OC6ffvlNNqdkfscxpNm8eO2qRlR9ispebx/4/MQx/B4eC8mnP0DzxdX51TctD2lefe8TNx1oPfmK&#10;Y+gT6rWvp0Xg/DH+Xv6kyOf1tt54YSx0TWjEnRf6iTI6Toi4MQ9BeZ1vRFxZbSNu/cStE03T8o+v&#10;3X3iGALzEJ4r+mfnB7+jnM3jEZ4XImpeFT0/nUOvba+8HXsvMKZhGYyBrTufObNgrWANh+eKPmFs&#10;oz5f9PMA+fA3XtOMsY9ai1GUYg2HoKyG1763Du06igpvbFE/yto5xLygvxiTMD/QtrR95NXyKKvt&#10;4CfSMDe2fkTUWgzzhRGuJW8sQrS/+BmmaXmsB5wv5lLDy+/Nd6FrtyOBHXTt/ZK+Yr4WhLhO1w3I&#10;6Vs5hLheS5dkhLb5O8bLxg+a770ODhG9L/vo0JBW4J7s8LHhmXxbPhwpz7x9j4x99XE5f9lCt/5S&#10;8cCW3dlV3bIznEYtSwa1IMRxl7p4OD4+kLQQtSaRFYJGrZ1Le197dnc7/O7l6QjotYTvLS+dkLSc&#10;MnPNploR4n4/9K4/ew85CUnLniOrqg4lHNLRwTXgXRuV5u1PPmnVN0JI++TG24eeuJ8EFOIIIYSQ&#10;dkjVhbhrG1o9BK40XYY0ybUTF8iDKx+TVZvule17R2Z2G8Hrtw4cGSLv7GuQ9TvHyAtb75bN74/O&#10;CHHYgUR3KPnsTyMz//fQnJcfkL73V1eIs4KLJxpApkiKULhQiQHShj1uiRLntD/4afMrhfTHyhf2&#10;uALxSSMUQRTb3zSilJKmvxgnK8VgHpJCZaokkC9OfrFrBL+H5dEvK1RFRTjmtrxdY2Ggb+G5aHj9&#10;UeLWiaahvJ37MJCW1L+480oal3BeFQ2so7g60D9bLl+JKa7uqHXuYdd+XHhjZaWzpLUYNdbFruEo&#10;koQ4DVunSl9xEX6Oxq1BhHcNgKR1rH1OWheIYteSRtz4xl2TGlFr3uZN85kZtVY6OthB194v1dVf&#10;mTleLSHulJlrFurDz0oIcf1WzpeZWx+QHR81yL6DLdIb7rtwv9UiwJlX2Wf/xv+sgN/f3z9cNu4d&#10;LU+99bBc+kx5hTh9XSp2rLKvc8RxL38tUAvCC4WveDg+rWlvu1ppUIirLBTiWliXFbi5SycplmoK&#10;cWG7FOJIcXySsztUtXj/yKtO3wghhBBSLkIhrmvP3puyt5vpwxPi8ODdeyBPCCGEkMpTSSHux916&#10;nRy21fnXE1o9BK40XQavkUvuWyJ/nDVDpjz/qLz53mj59IsR8vlXozJC3J6Ph8n2PSNk656R8s6+&#10;lt1HIMxldinB61MPDZFdHzTIpLWPSJ/x1RHiICZYEcjbGc2KYhAqrLSB3215K4GgLo2o3XxsHisN&#10;xUkVhfbHChaoQ48rti8IT06J6m8ctr8QUFAH5gGgT7a/kES8OuLGIwn0U+VEBMZM2w/PGeHJLlZe&#10;QR/Qb1uHFWu8sbUCkS2Pn9q3cIcojULlG03TvuEnpEu0i5+2z9oH/NS+2esGeb351nHRcpoHP20b&#10;oYgENDSPbTvsH46F5W3/wjQF9Wjgdz2O6wLlo9abB8qgTzgXzLEdD/Rb+4ufthxA/zU0H+YH9SDN&#10;rkOkh2ONv3WOEIWs4Shs3/B7mK7h1ZlUVtE+4txQj/1cwhjY9WfLgXAd23WCerUuHMc1hDRbP/LZ&#10;69f7XEuzloBG3PjGXZMa4RoAOBfNh7818vmMJy1gB92ce6ZzL8kc7yhC3LWN86Tp3XGZ16DifzyA&#10;6KYPivB7y9+Dze8tghx+x8+9B4fKoh33y5Wr5rn1l4IzF6/LruBvXxsIMQ6B1/GF+WsFCnG1D8en&#10;NTomtXxt5YMGzstLrxbtfe1RiGvB7m7K16aSYjhlxpq1oZjWtUfvityr4mGlbffXtw36xnvISUg6&#10;KMQRQgghHZF+1//m2/vYZup69F6bvd1MH96DbwpxhBBCSO3gCXENF3Qfnv0qL2l4onwtCHGdBzfJ&#10;2aOXyy8eXSCjF02SZzffndmNBK9BxcNW7DoS/iMFHrZil7gP9g+VbXsapOnNcTJmyVNy/t1L3TZK&#10;gZUd4iJKclBZwwoLFiurWPEHooJGVFktF8pQcVJFof3BcQ17XNEyGl79Uf2NQ8tAAvFkFGCFMQgt&#10;YXrceCRhpShvjtEnK8yEedAfDW/cAOrQwPnaNCsNRY0b6g3PTaNQ+UbTEDi/UJyx54VAnlDEstcO&#10;JB2bpuUxr1FSjh37MI8NnH/Yth03by3avoVpStz4lBo7nqEcZs8FYeU8JW6si13Dcdi+hf0GGl6d&#10;SWWB/RwMz0ux1094/YfrOFwnabB98M7Djn2YZtGIG9+4NWcj6rME6Gdmvp/xpAXsoBveM+F41YS4&#10;GWvW6sPPVkLcxVe2ekBaLFeseloW7bgvc591sPl+C/dj+j8j7Ds4THZ93CBbPhyV+Ym/cRyvTYUQ&#10;d+zzEXLkeIM0vnuPXNNYPiFu6q5vPy+xOxyOQYzTgHAQllE0345jn2f+RnnsKgfZB4Gf+Fvr9UD7&#10;yKMSngZ2/Ikr6wkvdvctlfui2P1Zy+eD9l1BOdsXrx96flGRz25FWpfKHGH76KedAwiMOHd9VSAC&#10;55Akg2g5WzfaRtk0Qg3mScdMA3/jeJg3aXyiwpuzcHzQnj0H/O71wYLzw3km9SusB23a9YyIOue0&#10;6Bjip5du8fqN88U8Yj5tXuRDIK89HmJFKh1T1IWxRx12XSGi2lM0kCdM0z7hZ5imoF2E129cc6gX&#10;YxXOXSXWnoJ2wnlI+nwCmr+YtRuiYxoXXp/yWUtKIeOvhOdezs81jbg5JCQFkyjEkfYBhThCCCGk&#10;I1J/Rf9v72NBIfeynhB38wUU4gghhJBaoepC3E0TWz0Ergb/Omy1nDtmhVw38Wm5e9mTsvi1CbLp&#10;vVFy4OhQ+fKbuzI7lOABK16jevR4g3z21Sj55v+NlY8ODZbVm+6VsUufkusff1q6jXzGrb8UWNnB&#10;Cwg9UTKHFT6ipB8AcQEBYcMeV0kllKSAlUBCUSRKqii2Pyqe4ZztcSuMaJ6wzzZPKK1EYXc6ipNI&#10;rKznSWNxkkkSWjY8Z4ttP+ynziHKx8k4OuYIzK13PG7OwjSNQuUbTcM8RvVbIyqPnfOwH1p/nJBj&#10;xzVc4xpRkiBQ6cc7P3tdh2kK+oaIG4NSESeH2TRPhgNpxrrQNRxHXL+BhldnUlmg8xR+noTodRZK&#10;YPbc7XWVLxreeWgfEWGaRSNufLW/3prVwLlGrUc7pnGfF1Gf8WSNdLl+bM79Ejj9jyvktIFrxmdv&#10;qyoaeCWWPvw89de5r3MthxB34fJFct8bj8vad8fJzg9HZEQ33H/hf0bYvX+obNh7V3Pa3bJhz12Z&#10;v/G6VN0hrmVXuVGy9r1xcm3jXLf+UqCCBWQFPQYRQgPSh81vgcCAUDkiKiBHeGKDyjBxEVVW20bY&#10;4ypU2PMJQX0aVqKwwkYYqFfzhXJIGDZvEhqQQ+Lax/ii31YYsRE1TgDHk/ocNc8QTuL6hUC6lWqS&#10;2ooKzKltG2gkjU9U/+PWZRhW8EF7cREnA8Wh4Z2rBecTF+F82/O0olGIXu8oHx6Li3COFQ3vfPC5&#10;gMDPME2Juo5BmnUUznsp116atY+IWgsaha5djzRzFQpx+a4lpZDxVzTK+bmmaD/zGUdCWjFjzfha&#10;EeJ+/ptb/uI95KwGOw9/JjsPHJHtHx6SbfsOyrbmn9sPHJVdzce9/KQWoBBHCCGEdERKIsSd2u3i&#10;k3IqaYZCHCGEEFI7VFKI69ytV/ewrVoR4kDnwWvkzJEr5Wf3LZFbps+UuS8/IHv3D5E//88YOf7l&#10;SDl8bPgJvvh6lPyPjJP3PxoujzY+Jv0mLJafDF+d2W3Oq7sUWNkBMgqEAwChAJIFIkq2sGXThi1v&#10;d40K61dZx5NcoqSKUvbHCkq6AxXkCiuxWSHD7lKVVi6y/Y2TO4AVX6LSPMkkCY048QpohLKLRtJO&#10;TFZksdKT9j1fcUUj7I8lblzSjFmaPBpR45I2osoXen4opxGmKXZOIGRh/ZdLjLNt4fe0aRaNqLEq&#10;dA3HkdQ3Da/ONOelc5g2wrmOWwP5oOGdR5q1BDTixjeuvxpx5W1f0oZXT0cG90et7pl+P6vDCHE9&#10;lyyVW1+cJlM2PySv7rkrs1vvp833YoeODZM9B4bKpg9Gy0vvj5WNH4xq/ntYRojDDnIZce7TBjnQ&#10;/PfKt++Ra1aXR4iz4lu4u46VGDwRBqjMYsUJSAnYjQgihJU3PCkGMgREiHUHPsmU0eNoz4oyqMeW&#10;A1EijT0eJVKgPQ09Nyvn2bHQXZIwHnpMiepDPmjoGKIdjAvGw/YT6ZpHd1fSXZ80vDFG/8NyNs22&#10;4Yk9ug4wT0jX8cJPjJPW7ckoacdHA/mj0rQd7QfO3baPsGsI2PWNccLfOB6uLzsmitaL89dyAHkx&#10;jt5YJYH1qBFebxadE/QB/QzbV3kIP/U4zkkjSgyyedCGHkd+nCf6ZK8ZtGvXl9dnDW/uME4Ib10q&#10;cWsE54f2MdZ2DDDPui4R3nUeV69Fw+u/bUPnHG0DjJ9de94a0ihk7SaB/BpxZQtZS0ox46+h54j8&#10;eu72Mwfpmkc/n5An6XPNkmadEZLEP8xoHFotIQ6vs7LtXnXDzV95Dzkrza6jX8j2Dw/KlrfflTe3&#10;7pBNm7fKxq3bZPM7zfd3+w7KrkPH3XKk2lCII4QQQjoi9n4S1PWoz//fXSnEEUIIIbVNtYW40wdM&#10;dh8EV5N/HdYoF9+7RIbPnyLPbLxPNr07Wt56b6S89f4oebOZjc1/b9g1RtZtv1vmvvyg/H76LPlJ&#10;w2q3rlJiBYNQ2rC7tHnCUr5yQliH3bUpFKpUxgt3RAJRUkUp+2Pb1V3hUL/NY8Uu1IVIknIsKv0h&#10;vHSLnjMiKs2TTJLQwLl56YqGzRe3a1eIlYNs3rhdzuLQiGs3blzSjFmaPBphP/KNqB3iCj0/lNMI&#10;0yyQ4PRa08C6jBK4kkA5lNe+eRHWbddGXLsaUWMdN1ZAIymfJalvGl6dac4rbpy8iNohzlsDIbhe&#10;UR55wznX8M4DxzTCNItG3PjG9VcjrrztS5rIV7TtEDTfH3n3TNUS4r47o2m3PvyshBDXdf4zcuXK&#10;eTJ8/SRpfGecHDw6RD7/elTm9an7Dg6V9w8Mk3c/Hp75+eHBIZnXpUKKgxD3QXP61n0jZMbWh6Tf&#10;ygVu/cUCKUPDCg9hGkQGm6ZY6QRSgydmqKyAUJkqLRB1NMK0KOEF56Gxzkg/FpVAIF3osUKkirTS&#10;TRw2cL7hGNkxQHiyU9wYa3kIKfa4ReWTUIrBvCMwt+H6UOLWUNrx0UD+qDSENz5YcxrhfGv76L+3&#10;9qLGxtbprelCSVOvXb+eZAWsWGevTbtWvPPV+UR4ElMUer1414aGN3dprqlCryE7Tl7baevVCOuw&#10;Y+Vdc8DOgyeU2ch37SZR7rWURNL42/DO3a5VhDfGcZ9rFivPeemEpOGU6U39qyfE1S+07V5y7a/+&#10;7D3kLDtHv5C3Dx2XbR/slze37ZANr66XV55tknUrlsqLi+fLcwvnyPOL58mLy5bI+rXPypubt8q2&#10;vftl16FPM/KcWyepAhTiCCGEkI6IvZ8EdT16D83ebqYPT4i7sf4s94E8IYQQQiqPJ8QNu6Dbrdmv&#10;8pJGXc/6/mFb2O3EfRBcZSC4Xf7AQvnvmdNl/PInZdJzj8jslx6UWS89IJOfe1juXf6U/Ne0GXL1&#10;w/PlnLtWSJfBjW49pcQKBp60YdNDacem2eP5oLKZ3fnM7sLm7UwXJVWUsj/2FYYaOj6aR2ULK8ml&#10;fV0q0HoQXrpFzxkRleZJJkloYOy8dEXD5rPCZFJ5KwfZvCrm5Nt3jbh248YlzZilyaMR9kMjaVyi&#10;0Cj0/FBOI0wLwfqF3KlyooYno8ZhBc+4CD9n7NrwPoMUjULHWiOfOUnqm4ZXZ5rzSrPG4khb3u5+&#10;GRfeeeCYRphm0Ygb37j+asSVT9sXEk3n2xbk3C9l7pl+PaEmhbi68y5p9YC0WH44d7V0X7RUrl8z&#10;WyZuelhe3TNadh/ADnCDT+zWi9enQpDDq1Ihw33y+YiMGLd530hZvOM+GbH+KTl3ySK3/mLRXX48&#10;WcoKD1Ycs1jpJEqwsWJJlLgRRZzUEpemIgVEqDDNCiBWElFBA2JLnHxhietDWjSixtiKL1F54sZY&#10;I052wTho2HPXcfRkFQX5NULpJu34aCB/VFrUuYMoYUvbjxKyovpn1763K1qhWHkw6lrQPnmClUWv&#10;XStS2Xn05lvFoTg50kPXgTeOGt7cxZVTouYgDRpe22nr1Qjr0PGNkikVjL9G+BmoUcjaTcJ+LpRj&#10;LaVBwxt/jXJ9rlnSzjUhcdSSEHdev2uq8srUnYeOydbdH8hr616SxqceksUNt8n8O38nCwb+Tub/&#10;8TfN3CRP//FGmfvfN8jC4bfKmqlPyIaXX5bN7+6WXQePuXW2dYbfO0Gap0j+9qST3PTaxBfiuvf4&#10;buZcxtx9gZteKKd2+vtMvdNmXpVznEIcIYQQUjle3rn723vYLHiGjXvNvCOsiEIcIYQQUjt4Qtxt&#10;9T0HZ7/GSxquEHfbAvdBcC3w0xGr5MJ7l0r/iU/LLdNnyaB502XQ3Kly24wZzcdUhCvfK1JDrGDg&#10;SRt2F7BQYrBlPXEtDVZ+U+FOxZqo3X2ipIpS9Me++hR1aP+ssGfzYHysbAK5yNYXh+1v2lememMS&#10;NR5p0Eja2U4DffaOY87s8RArB1mxMu684tAI+2OJG5c0Y5Ymj0bUuCSNaxQahZ6fXVthWhyYJ8yF&#10;hp2rOGx7OOfws8TOfz5pFo1Cx1ojbkxDkvqm4dWZ5rx0Du3nSz6kWaO2H5hbzGn4OaXhnYed2zDN&#10;ohE3vnH91Ygrb/tS6Gd8h+ePK3Lul0CX68fKaXc25v9/KpYgvjuz6Zg+/KyEEPe9WWvkX+asljMX&#10;LpdfNM6VkeufksW7xsvuA8Pkz/9vrHz1lzHy6Rcj5djnIzJ8/tWo5tV2j3z2p5Gy+p175PaXpsqF&#10;yxbJaXNXuvUXQxrpR4UWBPKH6WlEhDTiRhRx9celWZEilLRUfAtlOdtPCCSoI0mMK4WIoYG6vHSg&#10;EZUnaozt8bRhy+cbYf/Sjo+Gd34aceMTJV5p+1FCkK4FTxCzax/5ooTPfLDjYcfZYttNE+E5q2AV&#10;SkbFSH5R4ws0vPmJK6fYMfHS49Dw2k5br0ZYh0acDArsNRaOq4bXPyXNGHnYdsu1lpLQ8M5PI+7c&#10;NaLypDlHgPIaXjohqZjR1KdaQhzase2ee+nPq7JD3NY9H8nrGzbImulPyZxb+suUfmfKjMu6yVOX&#10;niGT+p6ZAcdmXtFDnuzbTeYPHCBrZ0+TDc1ltn14yK2zXIx/YrLUX9JX/tc/nJKRsZQzep4tN9xy&#10;m6zZuNUtly+3DR1xom4vvTZpLcQ1rb3hxHm8smFAThpENk2L49r+XXLKKRDskH7yyX+Xc5xCHCGE&#10;EFI5Gt/Y9u09bJYihLjex2xF1/c+x30gTwghhJDKU0khrmvP824O26plIQ6y20+Gr5Ieo1bKeXcv&#10;kwvGNXPPMul993LpMXqldB1aORkOWMEgStqwO5lZcUtlMUQ+O6OF6C5hKlXp3/aVpJYoqaIU/bEC&#10;IHbIAggr29g8aEfHJ05K8bAiXVx/bXueeBYnmSSh8pPdES8kbic43VUsrjywu4fZNRR1PCRM04gT&#10;8fTcvHFJM2Zp8miE45JmXOPQiJOD4vpnr+swLQnIUnoNxrVv0b7gvL30ODksLs2iUchYx63hOJL6&#10;puHVmea89PMFEbf+o0izRu1aiBJ2NbzzsOXDNItGodekRtz8lOo7p6MT3jN1ubahwwhxCsS40+eu&#10;lAuWLZIRrzwlr+y+q2VnuKPD5IMDQ2XfwSGZV6jitamfHG/IvEb1kTcflfOWLpLvzWxy6yyWdWZn&#10;I092A1Ys8ySaNCJCGqkB7UDg0Z2KvAjLJLUN4Q0RCi16HOdvjwP0Q9M1UD6q36UQMTSipBCgEZUn&#10;aozt8TSBc7drId8o5w5xceMTJRVZCQzrS88NoqPtm1c38oRCEWQzXAdJomQUts2oNZWvxBSu46jr&#10;Gv3W8PqPY8iD9lWqCyMcX6DhjaGei1dOsWPipeMccE6oI7w2Nby2k+pVNGwddt14dVvsNRbm1Yir&#10;I80YeURd8xatO214n4mFjr9G3LlrROVJc44A5TW8dEJSMa2xe/jsr4I7xI237Z5Zf8lfvQed5Qav&#10;SV07Z5osbviDTLm2XmZf2UPmNjP9sm4y4/LuGWZd0UOevvosmXrZmTLrt1fJMw+MkZdWrcjIdF6d&#10;pWbWisZWElwUkNm8OvKhvQhxkNlwDhf1+ZdWaQMHn33iHOPwyoJtu/5wIo/dJY5CHCGEEFI5PCGu&#10;+d62T/P3c/5BIY4QQgipXaotxGEHFO8hMGmNlR2ipA0rIdjXKFpxBjJKPrujWawUYndfi6ovSgIp&#10;VX9U2sBP1IMI5QsrdmhECXxR2P7iZ1R/rZDozVHUeKQhHPswHSKR9hERyip2/USJLFZGCvtopcCo&#10;Hb4g2ITldPy9ccPfdsy8cUkzZmnyaMSNS77rAmhEjSmI659tv5DrQNd9XPuWpLGy13W4htOIY0Aj&#10;7FOxaziOpL5peHXasvgMDdPDPFHrP46kcQd2LXjpSbKgLR+3loq9JjXi5gf16FwW8xnf0el67iU5&#10;90x1V9zWfLzp5uxtVUXDPvyspBCnYKe3K56ZJ+M2PC5Pb7tfVu4aJ2veHSfPNrP63Xtl8Y7xMm3z&#10;g3L3a4/LtY1zpdO80u8Mp0RJL1Hh7aKVRkSIkxog4cRJcDZsOZDUtu7+hVAByL5SMmrHLxWDwvFZ&#10;58gipRAxNKKkEKARlSdqjOPGPg0acX2LI+34aHjtaMT1IU4qSlpfSPcEMQXjZtcSAmujkB3j7HhE&#10;zUfcuaTBvhLYSqw6Dt7rKVEmSnay4fVJw5ufNOcSt0askBsXXttx9Vo0bB12DL26LfYaC/NqxNVR&#10;6HynubYLrVspZvw14s5dIypPmnMEKK/hpROShu/MWntyRxfiXnvpJVk86o8y7d/7yKTLe8qkS7Ez&#10;HP699afyVN8zm2nZKW7qZd0yO8RNv/4SWTD49/LcvBmy5b09bp2l5PE5C3IELewGh1eaQpID2DXu&#10;qn//ZU4e/O3VBfAaVORBOS8dtAchLkpYU1SIw6tPFy29LpJwZzkLZDnUYaU5CnGEEEJI5Vj0wmvf&#10;3sNm6dytV/fm7+f8I7wpvuY8CnGEEEJIrTDooh45X/jg5voev89+jZc06nr0Hhq25T0AJj5WdoiT&#10;UVSQgYxgj9vyECIgflhJAXVCWEH5qPqtkKGyQ5wcEieBlKI/Vt7RCHdvsu1oFLLDk60H546+oV8A&#10;/dBxR0TtvJRGiokCfdYxR9j27e5tmgf9teWtoIJAHyC5oTzGPqwDc23LAxVpELY8fmpaeG523DBG&#10;WgZjZvuD8MYFx6LSlDR5NJLGBen23DHu6DPWuVe/RlivJa5/qFsDbeh8YH41D8YN84M0PYZ+2Tmz&#10;aXHYMpgDveZwzjYNEdaJvzXi2tMIx6TYNRxHUt80vDrRLw39LNI+2c8knUeEzpWmIZ9eR+i/Hlfi&#10;1oBi1wLqQb9wHD/R73CdxpWPWksAZTUKuSY1kubHtlPoZ3xHp+6i/jn3THV9B8jpA5sK27q/yLAP&#10;P6shxIGuTz8jfVYskBufnSlDX5ks41+fKPc3M3bDk/LfL06Vy1Y8LT9ZsEJ+OGe1fH9WeXaHs8JH&#10;PmF3nAJpRIQ4qUGFDQTqCiWjuPqT2rbnCLEDx1Rs8uQ+D/TXClWF7oAWhwbq8tKBRlSeqDG2x60c&#10;lRYNT6JKQ9rx0fDOTyNufKLEHxV6cBxzbyVHHNN1kQZIc/Z80q4hiy0fXguKngsENS89DbpmtY92&#10;x7NwDeO8VIbDT4xJeJ1HjS/Q8OYnrpxix8Qet2sX54F+h+Kihtd2VL0hGmEdGlg39niI7Wc4thpe&#10;/5Q0Y+Rh2y3HWip2/DXizl0jKk+acwQor+GlE5IGT4iDqJa9fSxreP++6D3oLCc7D34iLy5bInNu&#10;uU6e/FlWgLv0jAz231319alPNjP56l4y67dXy+onHpTNu95x6y0VeAWqCmwgTmJb8sL6nLwQ6bx8&#10;mh63k1x7EOIemXjpiXOwxxUV4rr3+K6bngbbBgQ8HKMQRwghhFSOkgpxdT3rd9uKKMQRQgghtUNl&#10;hbjc/4MTO594D4CJj5UL4uQBmw+ig02DfJAm4uq3UhQibMOSJIEU2x8rsiDQtzCPlfgQXp60hMKQ&#10;F8jjlQVppJg4rPASBkQWpGsbnqyCsQiFlzCQ7slwWt6Kf2F4ZSHAhGvGBsZL14E3LmnGLE0ejahx&#10;iTsvDa9+Da9eJa5/GB9vTnBM8yRF3JoLCaW0MDBXOl/hdYe/NeI+IzS8MSl2DUeR1DeNqDq1zTDs&#10;esZcReULw9YN4taAJe5awfhAdEN455FmLWm+Yq5JjTTzU4rvnI5MXZ9f5dyfQZDryELc92c1Spen&#10;n5Gei5fIz1YskGtWz5NrG+fIVauflguWLZQuZdwVTrE7XoXyS4jdJWhdsEtaGhEhTmrQCOtV4upP&#10;07YVg6z4k48cZsuF4kYpRAyNsG6LRlSeqDFG3zWSxB4PHT+IZF56EmnHR8M7P4248YmSirT/oahU&#10;DGnPySPuWlBwLWgkXZtRYH1roA792xOjbJ+ixilO2tLw5kfLxa0fe772uB3nUMRSNLy2086TRliH&#10;ypNJaz/us1TD658SN7ZxlHstFTv+GnHnrhGVJ805Agi7Gl46IWn4zqS1J9WSELdp32H3YWep2XX0&#10;c9nx0SF5c8tWaZryuMy4oV/mdaiTIb05/+4KsFOc/j7lF71l2b0j5c2t2936S4Xd+Q27wnl5LNgx&#10;TvPjFateHk1v70Kct3ubpRRCnN2FDnIcjlGII4QQQirHrJVrc+4lQV23+k7N3835R/NN8SZb0WW9&#10;zs25GSSEEEJI9aikEIdXJ9h26uqvdB8AEx/srqMRJSwBK7x4ogzEAxwPBSCID5AXksQE2w/U4eVR&#10;VN7ATy8dFNsfFU0QUYKGlT+wC5KXJy3oD87H9he/645MXhklzXgkgblHeZ1j/MT46W5S2kbUeUKG&#10;wTjZcUPgbxxHuldO0fJ2THH+cWW1jB0zO17oqx4Ly+r5eGlKmjw6XnHjgrRwXHRukeadX1K9IKl/&#10;OqcaaNPWp9eIHXO0izK4Hm1dacBaCa851K1yq/Yl/JzB3xpxn0FJY1LsGvZI6ltSnzC36EPYJy8v&#10;xsn2H4Hf9RrS87DoOeFnmGbRayXq+kL/EUljqxGuJUXbsWsA5dJck0ljGaLr17aFwHil+YzvyOAV&#10;qfa+Cf8jQeeBTX2yt1UVDfvw80cDBuX0q1JCHIAU97+b+eGcVfKjuavl1HmrMz//ZXZjJs0rU0pU&#10;8IIw5KVbrBAWyiFWmrDHLXFSg0aUEBEnOqRp28p8Nn+U4BGFyjFhP4upU9GIGgOgEZUnboxVuEGE&#10;O/AlYc+vkB3m0o6Phnd+GnHjEyUVaWAdFTo/IXZNeelx2HmKGk+bp9Cd+XCuGusOfHJi/eL3MG/c&#10;2gGoS8t70paGNz9oT8Or264PRFSaPa4kvdbUli9k7dnyXv3A9iHfsVGi1m4Sdt6iRMZi1pI9fy89&#10;afw14s5dIypP0tpUdAzTfJ8REgXuEaslxHXted7Ntl1QMSHu8Gey+e335JW1a+SZCWNkWv8LZcbl&#10;3WVKv27uv7sqT/zspzLtsu6ZneIWjbhdXn+1fPLTa+/uOyFb/fC00908HvWX9D1RDrvGhema1t6F&#10;OO3/mLsvyDmulEKIA3jlKupR8Y5CHCGEEFI5npi/POdeEvy4W6+Tm7+b8w8KcYQQQkjtUuEd4hba&#10;dijEEUIIIYT4dPl5rnhWLSEOu3/Yh5/VFOKqCeQJjbSvjLS7IFmpKkmaAHFSg4o2EO6s1IHfVXLQ&#10;sOVAmratGKRSX5QYgr7gPG0fsauSPfew/1aOQr1IR9898SgKjXKJIzYNY4A+292iMJ+QsyCThPVj&#10;/HTcEEi38496UB/O3RN60o6Phnd+GnHjEyUVhWvIBtIA+hLunqXjEY4V+q7jEbaVFo24NWL7reOm&#10;aZgT9APrEn2x5Swoh7DzZ+dOwflp4Jw1D9rB+es1ivDOWcObn3DtIQ+OoV60FYYta9cOzlXnAT9R&#10;T7gubdmwfCFrL1z7OHfUqfXYzwXk88ZWw+ufonOd73oK5w19Qt/QL/Rd8xW6loodf424c9eIyoO+&#10;ath+h2hfcH5eOiGJzGjajftEe0+YuS+s1A5xPev7h22/vHO3+7Cz1Ow69Km88eZb8vyCubJk9ECZ&#10;fM15qYW46Zd3k0l9z5Cn77hJXlq2WDbvele2HzjqtlMMeOVp8zBlSLM7nILXqmo5ld5QXo9FYV/H&#10;GgpxeHUrdqvTV7LiJ/7GcS0TBeo9o2eLfKbg77jXv2o7EPogBtqd8iD8eWWsELdo6XUn8uN3PW4p&#10;lRA34OYzMvX87Ul/k/mbQhwhhBBSOSZMnZNzLwkKFuLqevReayu6+FwKcYQQQkitUFUhDq/+ch4A&#10;E0IIIYR0dLpc25Bzfwb+z4DpF2RvqyoWFOJasCKHFSfisGICyutxiAwaNr8lTmqAjBEXtq+2HEjT&#10;NrB1INCmly8p7HkroTSjEcolcWiUUxyB3OL1Mwyvfog+VoqKCk/oSTs+Gl77GnHjEyUVoe9pzht5&#10;7LpAW3GB/J4AlQYVweIEKIybFZniwisPwmsLc+jlA5DE4kKvIa/PGlHzE15/NlQ61AjLetKcBuZA&#10;pT+v7VKsvTTrJ24taBSydtMQtUZsf4pZS8WMv0bcuWtE5Un6XANWDCxkF0tCMtSgENf4xjb3YWep&#10;2XXwmLy+4XVZM2uqLBh2q0y5prdMu6ybTO4X/cpUZWpzHghxs//zF9I46WF59YXnZfP7e912isFK&#10;aXgVqpfHAxKZloNIhmPFCHEQ81RQC8Fxbxc6AJENO9t55RSkI19YVtPRtldHmL+Fb4U4ld2AHgsp&#10;lRCHHei0rVc2DKAQRwghhFQQT4g7tdvFJzV/L+cfFOIIIYSQ2sUT4m7q3fM/sl/jJY3wnqCuz6/c&#10;B8CEEEIIIR2dzjdNzLk/A6dddefl2duqigWFuBZU8PAErzhUjrBiDQQERCiZWCBnaHjiCEQHiBVW&#10;PLE7GeG4V3+atoGVKuLyIh/GxEogyI++REl0AOekYggC45OPmIE2EHFlkvIkjTGAOALxKZRc8DfO&#10;G2KSVw5AqkHboViDc8W5Iw15vLJpxifu/NKMj9aPn/Y42kZ5EI4L/raiIH7qOdjz1XQExgpjGHWu&#10;abDymZduQf9wTrYP+B39gkSku3ZFYec6bn4B0u38oh2sC7SBsUKE4wu0b3Hzg7ptX/C79kfrRj1h&#10;OYwzztOWxfrBMZ0jRFTbqLuYtQe0D+Ha1zmIWwtpxiZq7aYBbWOOtB38jPpcL2QtFTP+ac49KY+u&#10;DQR+9/JY8TMqDyFJnDJzzSbcJ9p7wsx9YY/eQzM3kGWOrj179wnbrpQQ93bzZ8amzdvkhSULZMmY&#10;QTL5F/WZV6FO7ptCiMuKczN+c4WsuP8ueWn5Enlr5zt+O0Vgd1Xz0uPQcqgjKk13j/OwQpwCuQ5i&#10;HiQ1+1pWrw2gItv/+odTMrKdim/4CUFPJTuV9ixat+ZBG2gX3HDLba3yt/CtEIfXl7aUb9m1zcNK&#10;cyGQ5CC6bdv1B7esJdyNjkIcIYQQUjnuenRSzr0kaP5OLizC3WDqz+3l3gwSQgghpPJUUogLX6NO&#10;IY4QQgghxMcV4i654YrsbVXFgkJcxwTihooXUbIIaX9g3iHvIOJkMCvUqIRZTirdHiHtGRVM8Rnv&#10;pROShlNmrFmL+0R7T5i5L6yiELfohdfch52lZtfRz2X7voOyceMmWfXEQzK1/0Uy8/Ieia9MBRkh&#10;ru+ZMvOGfrLs7qHy/MK58ta2nW47xVArQhykNG+HOtu/cJc3CHBaNuq1qnbXujCPHgeeMOfzrRAH&#10;oQ1l43Z/szu7RQGhrmntDW55BemaH5IdhThCCCGkcpRUiOvao/ckW9FZZ/d2bwYJIYQQUnkqukNc&#10;z/rdtp26vgPcB8CEEEIIIR2dzr+flXN/Brpc8Itbs7dVFYtQiDv117fl9KnzxVfmPCAl7QPIUBpx&#10;O72R9oWddy9dsTsIVkpQU0ETMo+XTghJh0qvlJ1JMZwyc81C3Cfae0JQKSGuc7de3cO2KyXEKds/&#10;OCDPPT1bZt5wuUy/rHvmdajev7t+y5kZaW5S889Zv7lcVtw7Ql5aulA272i/O8RFvRJVpTcQCnPa&#10;9ziZDRKdlsfObzZNj0e9UtXnWyEOIhvKJ70OFTu6hbvA4di1/buc6APqwqtQbZ4QzUshjhBCCKks&#10;g+99OOde8ie9LvpT83dyYREKcWecRSGOEEIIqRU8Ie763meV5XVcrYS4K25zHwATQgghhHR4/rgi&#10;5/6shfNuzt5WVSwoxHVM9JWE3EGoY4HXOmrEvVrU5sOucl6eUgN5BwGZx0snhCRjX6nK3RZJkUw6&#10;tdvFJ9l7whYqc69a162+U9j2rJVr3Yed5WLX4c/kpeXLZPbNv8js+gbZDa9DnRTx6tQnfnZGRpzD&#10;61VnDbhGGidPlA3r1smW3R+69RdDrQhxXjqABKd5QiFOj6cl7EvU8Xi+FeK0fJIQF4d9peqAm89w&#10;8yiaj0IcIYQQUllubRibcy95Rv2lh5u/kwuLuh7143MqoxBHCCGE1AyVFOK69ux9zLbT5eeD/AfA&#10;hBBCCCEk5/4MVGrXDRvfmbX2ZPsAlEJc+wcilAZ3EOpYWFkG4hl2jLPCG9JVTENUcrc22zf87uUh&#10;hMSjr0ulWEqKZsaa8bUmxD0xf7n7sLOcvLJ2jcwfOECmXtNLnrr0jIwMFyfEzbi8h0zt102evv1G&#10;eWnFEtnyzm7Z0XxdenUXww233HZCtPJeWRqFFdU8oSwuTam0EBe1Q1w1hTjsHJe2Hs1HIY4QQgip&#10;LBTiCCGEkA5CZYW43HYoxBFCCCGERNP13Ety7p3qetRnXk9VyQiFuE7XDcjpE4W49sei3fszwgSC&#10;r0vteFjhLS6wi2CldodTdn/2ZaZtipqEFIa+ehiyq5dOSGqqLMT9uFuvk8O2qyHEvbHxDWl88kGZ&#10;P/C3MuNXfWXyFWdlxDjsGAcm4fd+Z8rUy7q1/N23+e+re8nSMYPktZdflp0HSy/DgeH3TjghWuH1&#10;pF4ej6RymlYJIS4/oe1bCitfWiEOnNrp70/U5aUrmodCHCGEEFJZbrx9aM69ZM8+l+9t/k4uLPB/&#10;MNvKgPdAnhBCCCGVp6pC3LUN7sNfQgghhBCyRuou6p9z71STQly//rkPSEmbR1+Xuv/Lr9100v7B&#10;qxQhnWEN2MCuUjherVctol0NL50QEg0EZwQ/20kp+IcZjUM9Ka1SQpwn402YOsd92FlOtuzelxHb&#10;np09RRYNv01m/OpSmZR5LWo3mXF5889+3WR688/ZV/bI/D75qnNlzi3/IY2THpW3tu906ywFS15Y&#10;f0K08l59GoV91epr7+5rla5plRDi6i/pm3M8LVq+2kLc3570N6nq0fYoxBFCCCGVpexC3MM/87cN&#10;JoQQQkhl8YS4S3qec0X2a7xk4f1DWZfrx7oPfwkhhBBCyBqp6/OrnHunrj17b8reWlUsvjNp7Un2&#10;ASiFOEIIIYSQjs0p05v6e//OV9ezvn/2FrKsUStC3K5Dx2X7B/vl9VfXy5qpT8ii4bfK7P+8RqZd&#10;d5FMuvoceeqKs2TSFWfLU3hV6rXny9zbfikrHhwrL61cJtv27nfrLBX/6x9OOSFbhdKZB149qvmv&#10;+vdfunk0vZxC3A9POz1zHP23x9Oi9RYqxEFgQ/lihLhFS6870Y9r+3dx84CmtTecyEchjhBCCKks&#10;1/7u1px7yaKEOPxfIbYyQCGOEEIIqQ2qKcR1/vUE9+EvIYQQQghZI3VX3JZz79S1Z+9j2VurikUo&#10;xJ12da6kRyGOEEIIIaRjUW0hDhG2fdejk9yHnWXn8Geyde9H8vqG1zOi27OzpsjKR8fLkrsGybyB&#10;v5X5d9yUEeWW3zcqs5Pc+ufWypvbd8rOg8f8+kqEFdz+9qSTMrvGefkA8iKP5l2zcaubT+u74Zbb&#10;3HRQrBBny+MVrjYtDVq2WCEOO7xZeS0t23b9Ied1qZDjvHzAinPTZl5FIY4QQgipIKEQd/bPrtzS&#10;/J1cWOAm2FYG7ruEQhwhhBBSCzRc1D3nOxpQiCOEEEIIqT5dfj4o596pFoU4/G3TCSGEEEJIO2dG&#10;Ux8Kcd+y6+gX8nYzOw9+Ilve3yuvb3xT1q1eLk1TH5fGSQ/Li4uelvUvPJcR4bYfOOrWUQ6w01vz&#10;UJ0Af49/YnJGQgMQzuxrUgHSvbqA7joHaU7rgXhmpbZihTi8qlXlPID6rMwHWQ9t45Wq3utgbbkw&#10;LZpvhTjs1KZ1QG6zAhsYc/cFcvLJfycDbj4j8zukNgXH9FWpIG53OIDymhe7xVGII4QQQipHSYW4&#10;rj1797GVgTEXd3cfyhNCCCGkslCIy6Xz4CbpMqRJ/nVYo5w5YpWcNfoZ6TV2hfS+e7mc3wx+P2v0&#10;Cuk2apX8pGF1c77VmTJeXYQQQgghxdDl2oaceyeAV0Rlb68qEhTiCCGEEEJIDjOa+tR1q+9k7wlB&#10;ZYW43sds24Pvfdh92FkNdnx0RDZt2yGvvvSCrH/uOdm4cZNseXd3q13hINJlZDpzrNRYQS0OyG6h&#10;nBYSVZfdya1YIQ5AgLOvfI2iHEIcdmrTOrzd3azEFgfkuLBsCIQ55NXd6CjEEUIIIZWDQhwhhBDS&#10;QfCEuLPOOveC7Nd4ycL7h7JaFOK6DGkR4S68d6nc8NQcGbFosjy6+jGZ8eLDMuvFh+SRVRNl+Pwp&#10;8vvpM+W6x56WPuOXyr81rM6pIyPIUZIjhBBCSJHgXim8f8I9Vfb2qiIRCnF4RartD4U4QgghhJAO&#10;xrTG7t6/8+FZYPYWsuwRCnG3Nox1H3ZWg11HPpcd+w/Ltr0fy9bdH8r2Dw9lZDgc9/KXG+yqhtec&#10;hrvBQTrDTmtxu8KFQDSzshrK21esQo7DcezyZstZILxp+ahXuWKnOG8HO+0z0pAnLKe7y1lJL5lv&#10;hTjsCqdtYbc4PW6BNAeZzb4aFeBvHMdub165EC1/UZ9/yfxNIY4QQgipHP2u/425hy1SiOvcrVd3&#10;WxnAw3fvoTwhhBBCKktVhbibJroPf6vJTxtWSt/7F8kt02bKw6sfk9Vv3itbd4/M/MPEwaNDm38f&#10;ISs3jZcpzz8s45Y/Jf81Y5Zc2pwfO8V59RFCCCGEFArulVrdP3Xr1T17e1WRSBLiOl03IPcBKSGE&#10;EEIIadd8b/qqTjUgxG2ybd94+1D3YSchyXwrxFlRrXuP7+YcLyVWvMOuczhGIY4QQgipHKEQ1/uy&#10;a9fjHrOg8IS4QRf1cB/KE0IIIaSy+ELceVdnv8ZLFm1FiLvwniUycuFkWfLa/fLKjjGyfW+D7Dsw&#10;WD79YoQc/3KkfHhwiGzdM1Je2zVGntsyTuatf0DGLH1Kbpg0Ty66d4n823CKcYQQQggpDZ1/Pyvn&#10;3qmFyj1oRFCII4QQQgghlu/MWnsyhTjSfsgV4uxrUSGu2bRS8cjES0+08cqGAZljFOIIIYSQyhEK&#10;cedeevWLzd/LhYV3Y/yHC3u6D+UJIYQQUlnwGvPwe7qjCnE/HrZafvnEXFm6YbwcODJEPv1yhHx0&#10;cIh8dKgZ/Mz+Dilu/+EhcuiTYfLuh8NlzVv3yCONE+V3U2ZLz9Er3LoJIS0sf3O/IL765q9ueql4&#10;+8DnmXbw00snhJA2wR9X5Nw7tXDezdnbq4qFfQDa+eIrc/pz6q9vy3lASgghhBBC2je1IMTV9ei9&#10;1rZ97e9udR92EpJMrhAHQa15iWWAuGbTSgVek4r67S50FOIIIYSQylFSIe7H3XqdbCsDFOIIIYSQ&#10;2sAT4srxD1jejrG1IsR1Htwk3UetlMsfWigjF07K7Az31V/ukm/+31g58ulwOXBkaEaAwz9O4PfD&#10;x4bLp1+OlD99c1fmNaqvv3OXzH7pAblj9nQ5967lbhvFoGJPvrH3yJdufYRUk+d2HM6uUHHTSwXW&#10;P4LXASGkTeMIcXU9eg/N3l5VLOwDUApxhBBCCCEdG+wg7P07XzWFODzU9B52EpJMrhAHVFjDzzCt&#10;WOzrUq1wRyGOEEIIqRz1V+S+AaMoIe7UbhefZCsDN1/QPoW4g7u2Zh68Ib7+7LibJ45n7x2SKYf4&#10;y9dfyaZ5k918hBBCSKmophB3+oDJ/sPfCgMh7rIHFsnwBVNlzroH5K33RmWkt08+GyH7Dw/N+UcL&#10;oLvDHT3eIHv3D5HX3xkt89dPkEFzp0qvMaUX4lTsyTcoApFahEIcIYTkR9dzL8m5f6rrUT8+e3tV&#10;sbAPQCnEEUIIIYR0bHB/6P6Pr83HMjePFYjme+KFtm081PQedhKSTGshbtHS605Ia/pK01Khr2Q9&#10;+eS/yzlOIY4QQgipHKEQd/7l/Z/BPWZBUStC3EebX888FEsTyOvVkcTxj/dla2gJL08ce197KVuy&#10;JVCfl48QQggpFZ4QV9ezvn/2a7xkUctCXJfBTfKbSXNk1roHZcPbd8l7Hw7L7AQH6Q3/IIFXpX58&#10;aHD2HygGZ/7W9H0Hhsr2PSOl6c17ZOySp6R+3DK3jWK4/ok3ZOzyXa04cPzrzP0Cfnrpt8/Z6tbX&#10;FtBd8TZ/cNxNJ20XCnGEEJIfdRfl/gMNHv5lb68qFvYBaN15uYLejwYMynlASgghhBBC2je4P6y2&#10;ENe1R+9Jtm0KcaRwWgtxAK8zbV5qMnDw2W56oZza6e8z9U6beVXOcQpxhBBCSOUoqRCHsJWBG+vP&#10;ch/KlxPsuJY2QhHtiyOHsikiR/e8m5NmoRBHCCGkrXHfJWfmfEeDjibE1Q1plDvnzpANu+6Sw58O&#10;PyHC6WtSIcEdONIiweEYhDjsHIe/9x0YIh8cGCqb3x8lE5smysXjl7ptlIP2LPxQZmq/UIgjhJD8&#10;qOvzq5z7J7weKnt7VbH47symY/oAlEIcIYQQQkhHpukY7g+rLcRh12Tbdo8L+7oPOwlJxhfiKg2F&#10;OEIIIaRytH5l6lWLs7eZhUXXnr2P2Qqv732O+1C+nOQT4Q5xYdg0S7FC3CtP3s9XphJCCKkolRLi&#10;8BrWsJ3Tf/fU596D30rTdWijDJ47Vd58f5R8/vUoOXK8IfMPEfq61A8PDpY9Hw9pZqh8sP9bIU7T&#10;8erUPR8Pl+kvPCSXTqAQVwooM7VfKMQRQkh+1PUdkHP/1Hyftjt7e1WxoBBHCCGEEEIyzGjK3It6&#10;/85X162+U+bmsQJBIY6UDgpxhBBCSEcD9472XrLkQtw151VfiIN85uXzCMPLA4oV4gghhJBK4wlx&#10;XXued3P2K7xk4f1DWef/nP6R9+C30tQNaZLfT5slK94YLzs/GJF5DSp2fzt8bHjm5/sfDZM33x2d&#10;eZ3qjr0jM0LcwaPDslLcEPni61GZXeXmvfKg9Lt/sdtGOWjPwg9lpvYLhThCCMmPLj8flHP/hH9f&#10;yd5eVSysEJfbFwpxhBBCCCEdipoR4noPDdsPH3QSko5P5IMj86rOu0d2On0jhBBCSDkIhbj6K/pP&#10;z95mFhb4P5hthRTiCCGEkNrg4Z9VT4g7/ebpO70Hv5Wmy5Amue6xp+WR1Y9J05v3yPa9IzKvSD16&#10;HELcEHln33B5eccYeX7LOHnrvVHy4YEhGQFOX6H62VcjM/nmvfKA9L1/kdtGOUgSfjZ/0LLr7Fff&#10;/NVNB28f+DyT58Dxr910oPV47Zx/zzpZ/ub+E33RQH0Qn5Aeloni9jlbs6WjA30Jy6ENtIU2NXDO&#10;OLexy3e1yq/MXr8vU58th/j0y28yx69/4g23HM4XgfrxN/qN/GgToeXtuaMfOtYI5EGfNT0N6K8G&#10;2vTyaN/Ql6j+23rCtELnU+dO1xr+1jpwzJ4rftfQYwrqt22H5/D42t054xg3z1oPfuLvqDmIOicF&#10;fXj1vU9arRPUi7H0yoBwnaAerAu0qxHVdyVcW4ikdgkh7Y8u1zbk3D+B7O1VxQIPPvUhaNiXH97a&#10;0PpBKSGEEEIIaZecMnPNJtwf1qIQt2nfYfeBJyGEEEIIIZaSC3HNN8ebbIWX9TrXfShfTsJII8Th&#10;taVJYV9r6glxaOfonnezRyTzStS9r70kc27od6Kc8uy9Q3La3LZifqs8YNnAmzKvdf3iyKFszpZX&#10;rKIdrwyOIc3Wjb5G9YMQQkjHoVJCHF7DGrZz+oCpG7wHv5Wmy+A18rP7FsugOdNkxosPyVvvjpRP&#10;v2iQz/7UIrrt+WiYbN09St56b6S8s69BPszsENeyi9zHB1p+f3vfcJm89mG5pLker41yEAo/IVZ8&#10;8qQbiEA2ogQqlXEgBdnjkHWsqOMF0qPkrRCVquICclBYJqkPYRmgslJcRPVdhS4Vk6ICAhXGGOMW&#10;FV7fosD8aFjBzGKlrShpSqUw5LXHi5lPrC8Nrx67RuOEOIyHRtj/uHFEhOvXXh+2zTB0nmxZJW5+&#10;NaLKh+skbmy9uYL8FxdR80sIaX90uX5szv0TOLXbxSdlb7EqEirE/ePkFa36QiGOEEIIIaTjoEKc&#10;9+98P+7W6+TMzWMFAv92GbZPIY4QQgghhKSBQlyWNAGpTPOHQhyktaiAzGbbAuiTDVu3ArktSdSz&#10;53ZwV/zDZaTb+gkhhHQsqirE3TJnlffgt9J0Htwk59z1jPSf+LTcveQpeX7L3fLxIewQ15D5iVek&#10;QoID+B1AhsMucXi96q69I+T5rXfLPUuflAvuWeq2UQ6s8OOlW4EqlNlAKNxAEovLg9/1OOq2gg9E&#10;JqRDjMJPKzYhX5RsF0XSuQHbB+QL+2cFqlAewt/YqQt5rCwIscnKU7q7l0XT7flrPajXSmm6Gxjy&#10;opzmsWVt+0lofaHMBkLB0eu7zWPXRLHziXwaWg/K6PnatWXH19Zh2wjnC5KdBvKpgIafOpdhn3QN&#10;aYRzYOcJx21ZgPPWQFmdYy1v6/fmw1sndlzt+kSE/ddyqNumoTzaDseIENJ+6XzTxJz7J1DJ3TcQ&#10;ePCJB6Dfn7igVV/+edgE92EpIYQQQghpf5wyY81a3B9WW4jz2m98Y5v7wJMQQgghhBBLKMSdfclV&#10;T2ZvMwuLuh6919oKLz63Y+wQlxTvPr8qp70kIQ47yKUJPTfIc0mBPts2CCGEdCw8IQ6vHch+hZcs&#10;XCHu5hlPeg9+K0+T/N9hjXLe3cvkV0/MkwnPPCHPbLxXtuxu2SHu869Hy/EvR8onn4/ISHJHPh2e&#10;+fvrv47JyHHPvnWP3P/M43Ljk3Olx8hnnPrLgwo5+OmlA5V+IAyFaVZAQnhSj+aBnOMdR0SJOXYX&#10;NuT38kSR5ty0D16/Fd0NzTv/OOz5hWlW6MK4QG6y6ZCXbCBPuKsaymhYMS0JK1GFAhXmIQwVx7w8&#10;tk/Fzqc9H0ScrOUJcUnte2WS0DWECKUygLGx0plNAyofevOn6PpChP0O14lXR9SY2vEM1xchpOPR&#10;+cYHD4b3UJ279eqevcWqSJwQ4h6YldMPQCGOEEIIIaTjUCtCnPfKVgpxhBBCCCEkDWUX4urP7eU+&#10;lC8naSOU1LyyYbriCXHYgQ2vJQXhbm3hLnFJQlxYP+rD61ORhp/ID4kP4lyYH8etBAiRD+ncIY4Q&#10;Qoj9jgaVEuI6/27Kfd6D32pRN2SN9Bi1Ui5/cJHcPnu6LHz1fvnwwGD5RsbK51+NyshwypffjG7+&#10;dr1H9u4fJk+ueVSueniRnDlypXQZ3OjWXQ7SSGNWuAmFHBV+rNQTSkOax8o6dpexuLaBCnkQgrz0&#10;KNKcm0acfGV3+QrlsDjiBCybFiVKaf8RUXl0bJPG0IK6NOyua0ClsjhJS/NYQbAU82kFLrtWPMKx&#10;1T4houYSxzWixjNE5wDnGjX3tm173K4b9NemWezYhTvypVknQNeBnRMrVYbzTAjpeHS+6bF3Wt1D&#10;1ZAQ94PRE92HpYQQQgghpP3RfF+4EPeHtSjELXrhNfeBJyGEEEIIIZZQiOtx4WXzsreZhUVdj/qF&#10;tsKzzu7tPpAvJ2nDe01pGGG6EgpreGWqTYcUF4ZNjxPiwt3hvv7seE5ZD9sf7xWthBBCCLDf0aAc&#10;Qhxewxq2U2tCnILd4n52/2K5a/EkeXbzPbJtz0jZvmeEbNvdwub3R8pb74+Sje+OkmWv3yd/mDlT&#10;zhix2q2rnKjwEycxWbHG7kRmxSqbxwpJNg8EIT1u5ac4GQ2klYJCks4t3JEsTeSz01YobaVNU9Lk&#10;STN/HipQhbua6W5nmCsV10I5TfPYtVCK+bR1JI2zrcPueBfXNsQz7Tt+oo5Q3gxJM75R82SPp20n&#10;lASj6g6xAqM9rvUiMI/5XD+EkHbG72fNC++h8AAye4tVkcBOIHgA+k/jJuf0A1CII4QQQgjpOKgQ&#10;5/07XyWFOPwPImH7FOIIIYQQQkgaSi7Ede3Re5KtsJaFuFLuEJdvnjghDv2y4Yl7IUf3vJvN3RJo&#10;277ilRBCCAFnnNU754u/rkf9+OxXeMnC+4eyLjc++iv3wW8NAMHt6ofny+B50+Sh1Y/JjBcflAWv&#10;TJD56++XmS8+JA+tekwGzp0q//H4PKkft0LqhjS59ZSTNMIPUDnKClS6c5yW1Tx2lyuVlULRx+7W&#10;lY/8lI+QlnRuVsBKEzgHT2zCueCc9fy9CMukEZ3S5Ek7fyFWItOdz6y8aPPYubO7nlm5qhTzaecj&#10;nzp0DBBWuvRAn1UG1ED5KJEuzfhGzVPUznEe9hzs8TRrAETlw9zauhE4f1y7UTveEULaJ6f9YdHD&#10;4T0U7quyt1gVCRXiIL+FfYEkFz4oJYQQQggh7ZZJuD/0/p3v1G4Xn5S5eaxA1HWr7xS2P2vlWveB&#10;JyGEEEIIIZZy7BA33laIB+/eA/lyEoZ9fWgSYXh5QDmFOPxuI03/w/o08PpU1Icd67xyhBBCOhbV&#10;EuJOv2X21d6D31rhzBGr5JL7lsj1j8+V22fOkIaFU2T4ginyx9nTMiLceWOqI8IpaYQfYF+bqlKY&#10;loWME+ZR2SZqlzGbt1CBKomkc8tHwPLAOcZJcDbCsmlEpzR50s5fiJXfVAbT9rQum0dFM5Xk7Ks5&#10;QSnmM5/5sHVgHlRyg7xnRb0ocM46dhr4O5TE0oxv1DxF7drmYftij6dZAyApH8bTCnoIjFmasSKE&#10;tA863brgrvAeqhy7+cYFdgLBA9B/HjYhpx/g+xMXeA9KCSGEEEJI+6QmhDjsRhe2/8T85e4DT0II&#10;IYQQQiwU4gLC8PKAWhPiwLYV8zMCnBc4jlexeuUIIYR0HEIhDju7Zr/CSxbeP5T96LdPneE9+K0V&#10;ILv9pGGVnH3Xcrnw3mVyyfglGUHuwnuXyjmjn5F/HdbolqsUaYQfYOUo3V1KQ6UamwfCkX2Narhz&#10;l5WfonbnUkL5ycvjkXRutg84Jy9PHFZiQh9DuShOUkojOqXJk3b+PCCPIXRHP5X77FhoHhUaVTyD&#10;GKd5QCnm09aB322ZkHBs7NrDeaRdJ1ijVlwLzyvN+EbNkz2e9pWp6Ls9nmYNgLTyHcbF1hm2Rwhp&#10;xwxs6t+1Z+9j9h6qHP/zQlyoEPfDO8bm3MsBCnGEEEIIIR2IGWsy96HVFuLQVtj+hKlz3AeehBBC&#10;CCGEWOqv6J9zH/nT8/rMyN5mFhb4v5dthcB7IF9OwugoQhzATnB45erXn+XuLoGAFMed4gghpGOD&#10;V5nnfE9XSIg77aqG77gPfkkq8hGqVIaCRKOvzrSv07R5IFDZXcNsHmBluXD3uBCtEz+99CiSzs1K&#10;fUl98NAIJSolTmZKIzqlyZPP/IXYHcPsfFixT/Ng7K10FgprpZjPYoQ4ABFPQyW/tESNY5rxjZon&#10;2584STBu7GzdcZKfiotpBbc0a4sQ0r7oPLCpTyjEleNeLS6+O3PNJDwA9YS4f5y8wn9YSgghhBBC&#10;2h9ZIc575pe5caxQUIgjhBBCCCGFQiEuIAwvD6ikEGfT8gFtfHHkULaWlsAucl5eQgghHYNQiKvr&#10;Ub8w+xVesvDuBSjEFUca4UfR12UidEeqUODRPBB0IOcgouQkbRsRJUBZqQ4Sj5cnCq0/ThKyfQh3&#10;eEtCI6pfcbt2pRGS0uTJZ/5CVGpEaF9DSc3m0bZCCVKxY1nIfBYrxAEr+UXNi4eWC8cxzfhG9QUC&#10;m4pq+BkltNl1Ep63rRt1eGvU5km706GV9bx0Qkj749Q7G7t37dl7k72HKse9WlzgwScegP7w1oac&#10;eznQ6iEpIYQQQghpv9SIEIcI27/r0UnuA09CCCGEEEIsFRHiHv7Zme5D+XIRRlsT4jbNm5w92hLY&#10;7c2WVQ7u2poouIV1FSrXEUIIaR/Un9sr5zu6UkIc/m/O0wc2HfMe/pJk0gg/it0hTCPc+cpKTRpR&#10;u2OFeSElQcDCcZTRviEgtcXtkOURylFar5WGbB8gHCHdvt4S54z8aD8UrHSnM5Szr4TF77bvCFsO&#10;RElUljR58pk/DxW2NELBEYTh5QHFzqctj99tWkjc2KiIibDzAvEM4Ji2jZ9xkl6a8Y3ri03DWEMY&#10;xbkBtKtrCOGNqy2vYeuwaxz12zHVdRuuaZy/znuh64YQ0vY4dcjak5vvo9baeyj8nb3FqkioEPej&#10;AYNy7uVAq4ekhBBCCCGk3fIPMxqH4v6wNoS43F2UB9/7sPvAkxBCCCGEEEvJhTjvNWltSYiL2lHt&#10;2XuH5LxutJxCHMDrTW1Afls28KYTZbWfWg5tHd3zbkaA034iP8rZQLq2QQghpONRCSHOuxfICHGD&#10;1mwKH/ySdKQRfixW4EF4klooWXl5FMg6SVGIDAcgDHkBKcrmQx/CPnsRylIQi+LCykq2HIiTqJQ0&#10;efKdvxDbR4QVyBS7gxnCy6MUM592vvB7mG6JGxvUrfOJn7qrmo5VVHj9SjO+SfMUjrEXngwHbN1x&#10;Y2vP0yvrhVeGENJ+8YQ47BiXvcWqSODBJx6Anvrr20wf6qXzxVe6D0oJIYQQQkj7pJaFuFsbxroP&#10;PAkhhBBCCLGEQty/nXvxsuwtZmFR17O+v60Q3HdJdYW4uIAwZsuGApmNd59fdSJfuYU4tJUmVNgL&#10;2/ICkp2V+gghhHQ8Lj733Jzv6HLsOhIlxJ02aM1a7+EvSUZlp1ASi8JKNlGSUPhqVS+PBbtXQQiy&#10;O3tB1kH9kIC8MmmBvGXrxe+ebIU+oN82LwJ/o29R/UBdOEcVsBD4W9vAcRCW013JvDQlTZ585y/E&#10;SmhoxxPVrPgX1xel0Pm0OxAmiVpJY4PySEOobKZzrJKbBv5GfWEdIM34ppknXSdWKMXvOOatRyWU&#10;7bQeDdSB87M7wCmYS/QN56djgcC8YBy8uSaEtF8y91E9ek/KvY/qfSxzg1WhUCGu03UDTB8oxBFC&#10;CCGEdDS+FeLqx9v7QpC5caxg1PWs323bpxBHCCGko/Pyzt0ya+XaDE/MX36CCVPn5IDXjCvYYTUK&#10;fLd6lPo15YteeC3T3o23Dy0raAPj4fWhUDbtO5wZbzuu4Xhb7Lx46PxZMD6Nb2xz2y8W9B/rJgnk&#10;U7x62hr9rv9Nzn1s0UJc1569+9gKwZiLu7sP5ctFuLtaXEAks2Wxq1pU+UoKcSBOzkPYvicJcTgn&#10;7HJn6yeEENLxqLIQN8l7+EsIIW2ZpN3nCCEkFQObduM+ASl7jAAA//RJREFUqvUDx8oKcafMbLoZ&#10;D0BbCXH9+rsPSgkhhBBCSPsE94W4P6z2/Smiuc1Ntg940O098CSEEEIKRQUglYIgJQEISkCFJZWZ&#10;VHoKRTNIZCplXfu7WzM/cQx1eu3mC+pBnfZ7sdz0uLBvSSQtjJdXfzmBDOX1JV/Qd4yD10Y5wK5m&#10;WG9eX/IF6zeUwvIB661U67cahOde9JvTakGI+2jz69lHUskR7hAHII7h9aNWjMPf+spSYGW1rz87&#10;nlM+TR60YevXnd5CIM6FfYH8FuZH33DeoRiHV6tCtuPOcIQQQkAoxOEflLJf4SWLSCFu4Jrx7gNg&#10;Qghpw1CII4SUiMw9WbVfSaVC3GlX/yqnD/g7fEhKCCGE1CLdFq+TEW+8LU/t/CCHp9/7OIfV+w7l&#10;sP7gJy7bP/ncBWVQr9eHQjjt6ecz9aHu43/+Syv2ffFVyUDf/7B+u9uPQkDfdcx1PMPxDtF58bh/&#10;y/uRXNW00e1DMVzwzKtywwubE0HbFpy3V197gUIcIYSQamF3qFJBzctXDJCEIKxVUnKCSOf1JR/Q&#10;Z6/uclPsdy+EOq/eSgAh0etTWiCmefVWgmLXPtacV2++4Dppq1JcRYS4hosqK8QRQgghxOeyXlUU&#10;4u5sHOo8/CWEkDYNhThCSCnAq+VxH+UJcbiPytxkVSBOmd7UHw9AsSOc7QOFOEII6XhA9oEoBCD/&#10;WDEIMhUEKAWikhWaIDypGBWKZSplqeSFPJDYvD7kC/qCeisZOAevL/mA80c9lQ7Mi9effKhG39Ee&#10;1qXXn3zAGscYFBNY6+1VjKslIQ5vuLB9gAzgPfAkhBBSeSCtQRjSHdPS7JoGIKkA7IQFINwkyWml&#10;2qmqVJJQvuD8vP7kg1dvJSi279WUyoq9b6jGznZKsa+sxTXj1VsIGAevjVqn5EJc5269utsKAYU4&#10;QgghpDa45rxzcr6j63rWZ17PVcqIEuJOH9jU33sATAghbRkKcYSQUnBCiOtZ3z+8j/pxt14nZ26y&#10;KhDfndHUBw9AO198ZU4fTv31be6DUkIIIeUDkg2AcASi5LRS71SFuiC1VVosw3l4/UkLylcrIOJ5&#10;fUoLhMJqRbHjDqGxGoH16fUnH4qV4TQgenr1t3VUiOvao/cke19YC0IcHmx6DzxrBcghEEDQTyt3&#10;qOyh8ofKICqH4KE1pJFiH357oE/66j99DWCI7sIUors0Wbw2CKkVvDXrrW2Ld02E6Kszkd9rtxjQ&#10;R5XK8BlgsWKZBZ8XFhXOgH6uKPp5gzSU9fpQCOif/ZyrBGgP4+X1Jy0YB6/uSlDs+sH3h1dvucEa&#10;8/qTFsxZtfqOder1KS247r16K0Gxr03F9e7VWwil2OGwGuAz0J4H7iuzt5iFRV23+k62QjDooh7u&#10;Q3lCCCGEVJZQiCvHP2JFCXGdBzb18R4AE0JIW4ZCHCGkFJw2aM2klvuo1rvu499ZMjdZFYhKCXEq&#10;eKjcobIHUAHEK0cIIW0JfJZBWNMd03TXtHDHNN01DYKPUkigbq8f+VIqSSjfKLb/kNKqFZhjr09p&#10;QflqBdao16e0YP1WK4q5X0DZUgbuYbx22jLYORj3h6EQV47/uTYpsJOH7QMeqHsPPGsBPPAvhWgB&#10;4QMCjtdGPqAOSDBeG6UG84JzL5UshLGExID+o+5yUmpJCOOO+tB3FSHLgfa9lJKCvkYybty9vhRC&#10;KfuO9YIxR/+89VkOipVsFEhwGA+vjXKBcSpWKqvWLmugWEmoUp+LIbi2vP7kQ6XlLL1Wi10vAN8P&#10;qMtrpxyg76Xa1ayUYllaICEWO+4Y81J8vuCaKcUaqAYU4gghhJAOxPW9qyPEYWeTU+9s7O49ACaE&#10;kLbM8jf3Zx6AfPXNX910QghJw2kD14xvuY+qshA3rbE7HoDWnXdJTh9+NGCQ+6C0EPCavXxfraaC&#10;CGSJYqWDEDzAhgygr/1D/zx0J6YQ7KwThQp/wGu7FOCBvhUKS43XZqlg36Px2iwFqDtcp966DvGu&#10;CYtePwB1em0XCsYabeDax2eARcUyi5XMFHzmWKx4BjSQVqrPGFz3qK/SAenO609a0O9qBebU61Na&#10;qtV3rKFi1z2uzWoE1iiuMa9PaanW7nYYd68/+WCv/2IC9RQ7jrVILQlxYR8gcngPPGuBUr4SDtKA&#10;10Za8OC6knKQggfvxcp86Hs1hBW06fUnH3DulZabQLHrBVTrtYClkOIqKdlYihWzqrVeQLGiEGQd&#10;r95KUOy4V2PHL0g5pRKKUA+ETN0dUIG0FYJ8CuY8ClyHIeXaERF1ou4QzGupQH2lFrhwvWJc7Jh6&#10;Y66E8xOCzy0PlEX/vT4UAsYBdWIN4r4gCXwmKfhexPoo9VhWklCI69qz96bsLWZhgQfeuRXWyx8u&#10;7Ok+lCeEEEJIZamEEBf1qq9T71jVyXsATAghhBDS0YkT4jp369U9c5NVgfje9FWd8AA07MMPb21w&#10;H5TmC6SWUgQe4Hv15wvEl1I9DE8TkD1KJTtBPILoU4kopSQEYaCS444xwrrz+pIvle475C7IaF5f&#10;8gWyTqXWi0Ypxh1jjnGodKBNrz/5UI1+axQj5qBsNQLXVSnWe6m+Z9IG5rlUEiiEPnxPVCIw3uh7&#10;qb6TIGJWMkq1XjB3xQb6UqrvmVqjxnaIG2/7gAe03gPPWgAP4W1fi6FYOauUfckXPOj3+pQWPHz3&#10;6q0EkB28PqUFMoNXbyUoVlyBCOHVW26KvaYhqXj1VgKMmdentFRzrUOQ8fqUFlwrXr3lptjPFwXC&#10;kRVlrASEecVnsIJ8KiupzKTSUyibqUymUhbWZ1uWiQhp67T+Xi6DEHfzBRTiCCGEkFrgxvqzcr6j&#10;QfYrvGQRKcQNWXuS9wCYEEIIIaSjc9qdjUNxHwX5LbyPqrQQ9/2JC3LaB/88bIL7oDRfSvmgH0KY&#10;10ZaUL4aUQqZr1p9L3bnKVAp2SOMYmUFSEKVFso0ipVtINlUSuILo1jZBgJitaLYvlcrsE69/uRD&#10;JcddxaxSSWUKZCl8VlrwOaAg3YL2PXD9RFGMeJgE6g7BmiwVqM9rt1jCcQV23EPCObJg57kQHMe8&#10;lLL/qAt16yuN8wHXCtaCV297gEJc4bTeiaQwIFh49acFcpRXbyUoVrRBea/eSlCsEFeq+S+EYncU&#10;wrXl1Vtu0G4xwhDKevVWAogWXp/SUq2+Y8xLsQMVxDCv/mJB/4DuWAUpDWPd1neqIoRUnpILcad2&#10;u/ik3AopxBFCCCG1gifE4bs7+zVekqAQRwghhBCSL003Z+6jutV3Cu+jsGtc5iarAvGdWWtP/v4D&#10;s4L26+UHoye6D0rzpZSSBR5ee22kBQ+yqxV4mO/1KS3VeA2jRjESAspWKyDdeH1KC6SOagXWqten&#10;tEAgqVagba9PaamWhIiANOT1KS3V+IzBOi/280XBmocgBFkN84CfKgEBpOEzXVFZCajspEJUKJdZ&#10;KauUYhMhpLSoEFfXo36hvS+sjhDXe6jtA/AeeNYSkDYgcIT9TgMkkFJJH9UQy0oh2lRL5oN4U+y4&#10;49y9ussN1pvXn3yolohYrEAJyiVmxYG1jt2/vP7kA653r/5ygbWC3cu8vhQC1nz46si4HdMUjB3A&#10;9Q5w7VF2I4SUmlCIK/pelkIcIYQQUrvgOzn8nq6UEIc0/wEwIYQQQkgHZ2DLA0dv133cWyGtEvGd&#10;SWtP+qdxk3PaB6US4iA+lEJwgfRRrKxSSjkv3yi279US4jDubVWIK3bXrGoKcVirXp/SAjGpWoFx&#10;8/qUlmrJfKXYDRHrHfUUE7jmAK55gHWscpoV1NAOxopyGSGklEQJcUXvqlFAeEJcW5MmVPRQ8QOo&#10;DKJyCGQR/F3qc0O9kIWwcxmADOOhOzF56G5NlnBOcAz14xy8fuQL6qmU5KR9x7x4fckXzCfG1Gur&#10;1KDvEJBKtW6KkTnzAf1GO2jP60choC7Mo7dmwzUdotdBHHoNQa6A8FXKaxV1QRpDvSEqlllUMrOy&#10;mUU/VxT9vCn15wshhNQ64b0EhThCCCGkHfOHC1sLcSqrlSpihbiBTcfch8CEEEIIIR2ZGCGua8/z&#10;MrvHVSIgxOH1qGEfsGuc96C0UCBu6K5DQGUPlT+iAmkoV6xQpqCuSkexchPATkvViGJ35QOoo9KB&#10;dVOsmAWqsV5wXZRivVe67xjzUqx1UCkpDn3G51GpxTLsiKY7pumuaeGOabprGtpVvLoIIaSS1JIQ&#10;h/vh3D60PSGOFAfmu5x4bZYKr71S4rVZKrz2SonXJiGEEFJKWsv1vY9lbzELC0+Iw+vZvIfyhBBC&#10;CKksgy7qkfMdDfBqruzXeEkiYYe4Ta0eABNCCCGEdHA6D2zKvBbV+zeVSgpxiB/e0XoXhu9PXOA+&#10;KK0EKoeoLOLlKQbIKZC0IO9gl6Uo7KsCLRCNolDhDyBvKaQsBQIN+qUyYTkpdd9RF8bHa6uU6Lhj&#10;rLx+FILKnF57pQRtYF2Wcs2j71gzuj51DSdhr4MocP0oaKeUY65g3YSoWGZRwcyCzw9FP1MUry1C&#10;CCE1tkOc82+NpdrJixBCCCGEtF+wi2rufWSRQhwit0IKcYQQQkitQCGOEEIIIaT2iBPi8IoopFUq&#10;fnj76D+FffjHySvcB6WEEEIIIaR9Uls7xPXuk9uH+pK9lpMQQgghhLRfKMQRQgghHYiGi7rnfEeD&#10;zt16dc9+hZckPCFOpbvTBq1Z6z0EJoQQQgjpyJx6Z+OJ+7FW91EVFuJ+9Ns7vw774D0kJYQQQggh&#10;7Zdvhbjea3PvDSnEEUIIIYSQtsFdj07KuYcE2VvMwiOskEIcIYQQUhvUgBC30HsITAghhBDSkTn1&#10;jlUnduzF/6mYcx/Vo358Nqki0ek/fv+5bb/zxVe6D0kJIYQQQkj7pZaEOPzbZW4f6mXRC6+5Dz0J&#10;IYQQQghRKMSVkHefXyWIv3z9lZtOSsez9w7JjDUCv3t5CCHlB593CHz+eemk9hhzcWshDgJb9iu8&#10;JOH9X5tGiJvkPQQmhBBCCOnIxAlxXXv0npRNqkh0+vmNn9r2O/fr7z4kJYQQQggh7RcKcYQQQggh&#10;pK3jCXGndrv4pOxtZmERVlgtIW7bivly/ON9GVkDAXHj4K6t8sqT97v5i2Xvay9lWxI3vRY4uufd&#10;TP++OHLITW8rYA41yjWf7R2MG66Hrz87nh1Jyfz+0ebXZdnAm9wypP2A+VeZbdO8yW6eNGjg889L&#10;Lxfov65dfK55eULwnYC8et4IfBai73Nu6OeWaY/cd8mZOd/RLZx3c/YrvCQRK8QNXDPeewhMCCGE&#10;ENKROXXI2pMzN1LNUdezfnfOvVSFhbjTLv/3nB3iTrv6V+5DUkIIIYQQ0n6JEuLwd+amsYKBf1e0&#10;fQCzVq51H3oSQgghhBCiTJg6J+ceErR5IQ5iAySHuIAI5JUthrYgxNnw0tsKFOIKB9eHFUW9gDDE&#10;nffaN/bzqhiZTaNSQhzWr4q9GljPXl4Fa9mKn17gO6OjSHEP/4xCHCGEEEJIrWGFOOy6kXMf1aN+&#10;YTapItH5gn5f2fZP/fVt7kNSQgghhBDSfqklIe7H3XqdbPsAnpi/3H3oSQghhBBCiIJ7xvA+EveW&#10;2dvMwiKs8Pre57gP5cuFlX0gTmD3I0hT4Y5xXtliaAtCXCl2iNM68NNLrwQU4gpHX+2LgBhqr49w&#10;t7hKCELaH7TnpZPygDmP2yEu7bxoVEKIQz/t7m4aSUIc1jkCZbEDIs4d4BxtfeUQpWsRT4ir69F7&#10;aPYrvCQRK8Td2TjUewhMCCGEENKRqSUhrkt93y9t+z8aMMh9SEoIIYQQQtovFOIIIYQQQkhbpyxC&#10;3Bln9c6psJJCHHYC0ogStiBVlEO+aQtCXBIaEEW8dKBSYZKEUk4gs2jgdy8P8cH6x9x5r0WFAGel&#10;OEhyYZ5S0x6um/ZI2nnRKLcQZ0VOrFGsY400QhxEOE/wtN8ZiDC9vWK/owGFOEIIIYSQ6nLqkLUn&#10;tuqvthBn2wYU4gghhBBCOh61JMThtVa2DwCvv/IeehJCCCGEEKLgNfvhfaQ+sy4oJl3c7aRqCnFW&#10;mqi0KNWehLg4uYVCXPvGruNyS06gPVw37ZG086JR7rWC+iHCWUlTo9jPIv1MQ3SUz5Pwe7prj96T&#10;sl/jJQlPiOvcrVd3pJ0+qOlm7yEwIYQQ0l7oNvJ5Fy8vIUqtCHHe7hs/vGOs+5CUEEIIIYS0XyjE&#10;EUIIIYSQtk67E+KsxOG9BrCctAexRyNObqEQ176xY1tuyQm0h+umPZJ2XjTKvVa8HQ01iv0swu5x&#10;GtgxzsvT3jjr7Nzv6VI/ZIX8ZusHJ4S4gU39vYfAhBBC2g+llr9Q37gVb8uMlz+QtdsPZXj9/U9y&#10;2Ln/8xw+OvZVDp999RcXBNInPvu+23Y+/PKpjZm2td5SB/qJMfDazgeMJ843HLNwTBUdc48lGz9u&#10;Beq+4J51btv5gjHF3KdlyILtJWu70tSKEId/ELJtg38eNsF9SEoIIYQQQtovFOIIIYQQQkhbZ9EL&#10;r+XcQwJ9Zl1QTLq428nVFOKszJOvJKG7y/3l66/cdGBfrxeKE6FAAoEDr+pDfRp4jWuUwKXt66te&#10;Ub8tj92R8Ld97R/qQn4N5IkTUzSvfZ2s3VWvmEDfbFtAx8C+hlPPwxNcLHpuev74qeXsPEeNZxLY&#10;acrWj4jrm+azY+eh6wD5w7RCxiNcF/rKXwR+llr8tOuhUMkJdXxx5FC2Fv8c7bh7gTK2TswX6rD1&#10;IpLGD3jj7gXyhGVxvWEcbLvoO+Yjbu2hHEQr2ybqQF3eqzs90B+Et5YU9AOBur10oPXYz8Soz7J8&#10;50VD1wrmyY4Vfi/Xq3c1ihXitL9x49zeqD+3V873dCWFuM4Dm/p4D4EJIYRUB8hRt8zcnBGJgIpF&#10;kJogXwEVnSBAqSSlElUonIVRrMAFuQn1VyJwjl4f0oAxrFRgHrw+pAHjWS5hLwysJ68PacC6xHkW&#10;GqUQBytN5iYqG9V86Ojdx/1g9ET3ISkhhBBCCGm/nDKz6WbcH9aCEIewfQB3PTrJfehJCCGEEEKI&#10;0vjGtpx7yBZ698neYuYf1RbiQCigxIkyFhWZEF46iBOxbHlISnFiiSeIaHnIHUiPCpyTyjZR4Yk9&#10;AHUjrEBSLiEu7hw0okSZuLIYV3vu+QpxGDsr7ERF2DeVihBxQpPOeyjOFToeSetCRaRSYc+zENku&#10;bmytTJWPeJVmjaK+UFIFOJbUlka4htOU9a41fObElfPKeNj59tY51qGNqM867QuuGz0W9VmWdL5R&#10;QhzqVjnPi7TnnA8axQhxdozt+LR3Lj733Jzv6VL/Q5b3IFVvLijEEUJILhB/AESlKx969QTYGQuS&#10;lcpqVlTDMa+ufECbkIYqEcWIZsVIUYWE14c0VLqfhe6ChvVTycA68/qRBNZ6sVGMkFcNMjdR2ajm&#10;Q0fv1ffff2CW+5CUEEIIIYS0XyjEEUIIIYSQtk7JhbjH+v1bp2oLcZ7EAhkjSZwqpRCnoe2CUGAL&#10;5RUtb/uOMigLacOKRir9IS/KaR5bNuwf8IQ4i0acZJVUB4BIpYExsKISftc6EOE4IF3Dnh/q9IQb&#10;7zzjsOOIfmDcUAfAeNsxtEKYPSeUsXV6eaLK5jse4bqwYwJRzLZTLBCsbDtenjisuIbf9TjOCX3G&#10;2Nv8QM8PEaYpGG+seb0e9Dj6a8uHEiLQawVt27L2evFEKPRZ0zE/dpyRZq/ncD3oOkV52ybmGvMP&#10;bP4o0I6G10e7rhB2zL089hzQLw3bRyXNvIAwMN56TaE/OoYIr51i0Ij7LIpC16QG1kec6NreCIU4&#10;vJYr+zVekvBetVUrQhwezKtgAiCcABVQIBgAFVS8OgghbR+9xoFe94UKRh6oF+JRvrup5RMoj88t&#10;r/00VEqGQ6CvXh/SgHGrZBT62V/J8UQUul4r3U98x3r9SAISZbFRjIhZDTI3Udmo5kPHup71/W3b&#10;4PsTF7gPSQkhhBBCSPul9oS43sdsPwbf+7D70JMQQgghhBDl5Z27T9w/Kvj3z+wtZv7hCXHXnFdZ&#10;IQ6EkpEGjlkZyZJGAImTSGx5SCBeO1YYCqWYsHxYv5VjEF4btn+eQKNjEiWQaKAvXjpIqgOohOT1&#10;AUA80TzhOFjpzRNoIPUUKtlA1NGIkpIwphroo02zcpU9rqBOBPpnjxczHmnWVamwbcWtgSjSrI0Q&#10;26aXngYdd4Q9bq8Hb53Y9RDKUFpn1FwDXavhOtEoZAxD0D4ibAPY80Z4fY1ak0ljk3ZebKCtcBxt&#10;O1Hrv1A00qy38PPTRinmqa2B72X7PY1/UMp+jZck4oS4U+9s7O49BK4EkFMKEVAgs5RiNybIC9jx&#10;BjKCgj556E5Qir7KMMSKfYVKHB6oS3eoKjVee4XCfpZ23tFHXVvhGgzx1q1i17iuc5Tx2swX9BF1&#10;qmAWimYWlc6UtIH6vbbTgj4W8llTSOA8vT6kAWUrFRgPrw9pwPqpVBQz95j3SkUxohc+NyoVmPdC&#10;P6PwmVFsYO14ddcqmZuobFTzoWPXnufdbNsGFOIIIYQQQjoeFOIIIYQo7x95Uz44Mr3qeH0jhJA4&#10;Nu07fOL+8VvOy9znFhSPX/qT7rUgxCmQMVTSsRHu6ATSCCBxEoktHyctqfgUCi5pyttzicqj9XuS&#10;iJaPEkg04gSRpDrsGEFC8fIAyDGIUOLR8Hb7UuyuV+E8xKFyEeSguN2gtG8IO872uHduKupZ8afY&#10;8bDrwlu3pQLnqeGJVWlQ+QprMG58LWmuuySi6rBjb4976eE60ogbc7sO7fnqNRi3htNiJdrwmrft&#10;aIRrTPNgbuzxuHMHaedFI+5c4z6TikEjTb1xQhzCk/naM9i51X5Pl1qI+3G3Xifn1v+tbV8tIQ7S&#10;WLEB2cGrOw0QjCohyBQr8kDaq8Rr/4rtJwSLttLPUuxylBTF7oKEflZiFy5cA8VcRxB5KiWaFTOm&#10;lX51ZqHCUSXWpkaxYlK5+4r1DwGr0LFUsL4x/56QGVJIoN5S9BPfSeUO9LVYmbyYawkye7HjVGky&#10;N1HZCB86Nt+rlXQ337jo2qP3pNy2690HpIQQQgghpH1T60LcrQ1j3YeehBBCSs+eI6vk40NDqo7X&#10;N0IIiaMiQlylX5nqAeFDRS4N+/pAkEYAiZNI0gokVl6xx9OUT5MnTliLSwMaaMdLB0l12D6mDS1r&#10;x9d7/aMSNw9xaIRyUEhUP6xUE/bP7jZmxaVixiMsb4+XEohAKi0VswudHTfUhzFJkoxKcX5Rddj+&#10;eDKinTPbT1subdh1aPuD6yT8rMkHu+asaGkFRpvHCnw2T9gHe46270raedFAfi8dJH1mFIpGIfVi&#10;vjEm2jcE1r63TtojN9aflfM9DbJf4yWJWhTiIDYVG4UKMnggX6j8UEhAdPD6kQYIBJWKYkSJSgpH&#10;xYxnJYWjYgSuSvYTc+f1IQ2VnHdcs14f0lAJuVAD16zXhzRAgC1XqPSF/pVqd0B8ltpdMS0Q0UJw&#10;fhaU9/Da6ihgXOyYheNq0bH3wOekBXWVamxRv7fzZBzoQ5ub24FNOf9zQl2P+oW591KVE+LCtjtf&#10;fKX7gJQQQkhp6LV0sfRvnNumOXXeKvfcCCFtm3+Y0Ti05f6wNoS4up71u20/KMQRQkjloBBHCGmr&#10;eEJc8/1s5j63oHjiZz/tE1ZYC0KcojtYISDs2LQ0AkicRJJWIInKl6Z8mjxx8klcGtBAO146SKrD&#10;9jFN2N3IkiQdJW0+i5WG4s4P2PrDvLrLXLh+VHSM2+EtTcSVt8dLBcQgPSdEMfIWgJClO+Vp4LqL&#10;mqd8zg91Y5xtf8MIy6johzK2D7af4Vq2858mPJHK7iaIQB4cK0S40vO1a0N3jtO+ax67U5v2AW3r&#10;McWeozc3aedFI7xOLEmfGYWiUWy99lzjdrprT3hC3KndLj4p+1VedHhCnNr2p96xqpP7ILjMlOLV&#10;a3jI7tWdBB7KVzIKFY4gRlQyihGjKhnFvJKykiJkMf1E2UpFMf2spGiGtrw+pKFSr/jE+oKo5PUh&#10;Lfh8Qn8hReKaxE8rFuGzU4FkBDlJBSkrUlnhzGuHEJJALQtx/fq7D0gJIYSUhvveeMx92NeWgBTn&#10;nRshpG1T60LcjbcPdR96EkIIKT0U4gghbRl7DwlKLsThwbv3QL5aWJnGHk8jgMRJJGkFkqh8acqn&#10;yRMnnySJKRpox0sHSXWkHQePJElHSZvPYnfLijs/YOsP83qvsIRUphHuHFfMeIBiyydhJVG7u1gx&#10;YDwwDiqjadgdzpQ05xdKe3ERlg3FtDAgi4U74hWyvjwgv6F9Fe8Q+D3fcbZrToU6vQ51fdo8GC8c&#10;0zHzdkRMOse0605D++GR9JlRKBqlqNfOkZfe3vjDhT1zvqcBJLbsV3nRAbkurL/aQhwoRqYpVjyp&#10;pHDUVsS9YnY0q6RoVoy4V8l5L2ansEqKZsWMZ6VEM0Sxu5ql3XUPa1nBesFcAMwnxkqxohrGAWIa&#10;5TNC2hG1JMQFDxpPu/pX7gNSQgghpYFCHCGkVqk1IQ73xLYfFOIIIaRyUIgjhLRlelzY98Q9JKjr&#10;UT8+e4uZfzzxszP628pArQlxUaJHGgEkTiJJK5B0pFemhqJREnZ8Q7HMkiTzRKGRzytTwx3TrPym&#10;ghcEJw2VkZRixgOkmfNCsTJc3HgXA8bSymzheOazphHIH45jVB26KyBkJ+Sx/cDvOBbOF0i7DvPB&#10;7kiHn/nsFIfz1UB/7BrUsbB50JaeO8Lb9S/pGvr/s/em4VYV17r/1/vteL6eD/d6k9Mn92+D25wm&#10;SqOCe8de7NJJ4kl/wjGNueZE6VFsIkaN0SiCoDQ2gILYAGrsY4c9oFFEVEBE7OPJyX3qv96198Cx&#10;xh5Vs+bq9+Ydz/N71lqzulGjaq412fVSlTMuQAz5vXRQ9J1RL2LNqFfPMS99uHH2UaNrfqdBz8i+&#10;fQd+yhu2bhXEAexwBEEJBCYQnAgiQoEgBWiRCtKxA5JXXy4Q07VDHIU2GhHJID7tMMS1kZhCDNQO&#10;g5+NCCGHip/t2h0Q9xLa8nzIBfdvoyb3tiD3PcB3A8bNa7seMC7A20mNgjZCyG66WBC3z3fOcBdI&#10;CSGENAcK4gghXcv1a6sLhRTEEUIIoSCOEDKUsYK4A0f3zh14xCxvFxw96vs1lVU4/Ygx7oJ8p4gJ&#10;H7QAJCZWgbBEzIpIdHlPZCOIKAaCHH09R4CSkyclPkmlAbFGxC06RmV3wtJCn5RoTe+G5Yl5YsiO&#10;Zfa4U4sWinlzQUSNUo989o5bbCQeIGfM60H3sUgg2CgYV5n3dm7l9E/M22EOxOqQ3eFi5WLkzsOy&#10;FInQUuijX2VOIaZeHvis7xGdRyjyJXfeidlx1RR9Z9SLWKP16vGGeXmGG54gbsTIcaMGfsobNk8Q&#10;J9vPdloQ12kgtNFHEGKnJw/ZCUqDHaI8ZAcp1NcMgQ1EO6hXCwabBfxEXxoVRYGh5Cfq8topg4yz&#10;BfOlGX4CzCGZa3gtws5bQc9xAaKwZgrARGAmIAYaLToTvHoIIaQrKBDEQaQ2kNRy0+2C/zPxbH+B&#10;lBBCSFOgII4Q0rV0mSDO+nHqD3/qLngSQghpPhTEEUKGMiec9v3dz5AAf3sdeMQsb9OPGDVNVwZw&#10;NJu3IN8KIAiBMCMmSNMiECte0sIlT9yBdBH1wKyIRAtI4Ie3G5jOY3ee0mn6uiYnT0p8UiRMEUsJ&#10;iKQOEYNZtPgJeWJjEUPv4uXFUO/GBisjLNLxw3svj95pKxYnPVe08AjXbd5G45Ez5mVppxhOQN9h&#10;Nu66f7HYiMXGLLbrop6rZXZkA1IW5s3DetC7tpWZt0DEfTDprx07yYP5JveRJ9IE+rvQ8yVnXIBY&#10;bGyAxDJ2P9WLWKpejB3GPxXvTtwPnWb6UaNqfqdBMwVxMFs/BXGEEEIIIRG6ZIc4HKFf225f+Mep&#10;l/gLpIQQQpoCBXGEkC6munMGBXGEEEIoiCOEDGWGlSBOhEd4hTgEAiUIIfCqRQ9ItyIXLVyCIb+U&#10;1YIbMSuw0AISMfiAfMC2b0Umury+rsnJkxKfFAlTRLQE/yA8g99oU/dV90PSkFcL/LSfsqOV7i/K&#10;IDaeUAV5xeAH6kUeXBf/9TjZ8insGKM+6WfOHNFIPfrVywcaiUfOmJdBC/jgC9pLYedpCvgv941c&#10;gwhMx1WnAS1wxH2GdMQH8ZA8el4iTa7rOSEmaUDHzhr6jrLWXwHXxNAu/NSiOswNxBL1oB19Hf7i&#10;mp4/eI+8Ul+ZuAKUtwafdB7ts5jN4+X1+p8zLkBMx8AiY4RXLz0HxAs+aMTsPNbjZPPJ9wlAH/X8&#10;wbiUFU4OVc47erAg7sAxvccM/JQ3xWz9FMQRQgghhEToEkEcjtCvbbcv/MO5V3qLo4QQQpoEBXGE&#10;kC6mqwVxWNj0FjwJIWQ4Mu2iS0Llq7DKX+y1V1j75HNuvlbhCeKWr/jGgD//Y1BaIyxY+OVqvfvs&#10;+1eD0jzfCCGkCPxHCv0c2dDz7H9+aeQVujLQTkGcFvvEDKIHiCG88loEYk3Kidk6RHwDgUXKD9Sj&#10;hTK2PMymCTl5UuKTVBrQ9WtDfySPjoE2uxMVhDM55o2FFlBZg9hIi4NiYxkDZTEGKYuNkcb2Dz57&#10;+YR645Ez5mWQOZBreuyLKDIvRlakKIZrkgdCrJTp+WLrFhFakSHOuizA90HRXIHpsrH7Q1tMpFaE&#10;CAPFPFGd9TcmvNN+evdQzrgAMS9+QtH3Tg6x7ybPbDs5cx79KrrnhxMXH3twze806BnTN2Hgp7wp&#10;duCY3l019Y/uqx6zQEEcIYQQQoihSwRx2DG4tt2+8HcXzvMWRwkhhDQJCuIIId3KZxaure6cYYVo&#10;7Xo2tWafkTshiFu0anX48je/Ff7n//5MjTCl79jx4aolS90yGin/+f32311e6jhozKFVwUtK5PLo&#10;H7bUtI12vXyaesp4oH9SR5m60B/0z5YVdN/hq1eHBfmQH+Vs3YgtYlw0Hl5/LGX9At/98RmD6kEd&#10;Nl8qJinQP6kD8ZfrGGPxE/NMl8kdc/ipy9163yPV6zmxErR/mtlXz6v6ofsNn+uJsQZlvTng5R3q&#10;IFa6nxhnL5/Fm5MeiKNXXvAEcUcd87lq2VMnHDAoDWI224bHw49NHFQWQGSH9N9ceXzNdc83Qggp&#10;wgriGnqePfvI0dfVVtYXzj5qtLsg3yqwww/ER1YEgc8Q98QEIgLEIXpHONntScqJSMSKJ0QEJ8Iw&#10;rx4Id2I7EEl5KzjR5OSRNq1ArShNQF+18AZ5rc8QKGmhkezQpPMAXEOfrZAHY4Ex8soIdvev3HHI&#10;AXWgLm+O6DZSICbiA15z/KgnHjljXgaZA7mG9r16PKR/em7Ab7SJ8fTKAMRO+4X42HZRN/JIzGH4&#10;LDHDdRsjjKP4YkVoGD87j734y/eJzgfDZ/TVE7fhGnzT44z3yN+I6ApzUwxzxsujhZfwwcsD4IdY&#10;zKeccZHxSM0TqSPlTxFyH+SY147MTe/eQ9059/xw4vLjBgviDhxz+OkDP+VNMSuIO3B0b/V/lVIQ&#10;RwghhBAymOoD1IB1bIe4MX0TatvtC3975VJ3gZQQQkhzoCCOENKtfCqI68yzqTXrR9/JE9wFz1YA&#10;YZAVo3ggjyfsgSgsp7xwxpQZg+oAVugEvHyaesp4WBGfULRLlRVZpYAgR0RYMTwBVAz4HKtPi8mK&#10;yPELYOy98hB+2bxevlxidYhACr7atBzBmRZO6jJlYgV0nagjNnc0sTmfIiW29PIPdeoVxJX57vHK&#10;C1YQByGblFtzz3dr0oCuN4VXFkw8/aBqut0lzvONEEKK+N6ZU9SzbHWTmE2V75j67P8eMep2XRlo&#10;tyCOEEKACLEghPLSAYRQYhCceXkIGW60QxCHh4ma+imII4QQQgiJUn2AGrBOHUuF50HdLqAgjhAy&#10;3Fm/64OBvwqFsPWjT9w8rcQTxLXq+KlGeX7jz3b7pXfzoCCOkOFJtwni8LdF7Ue7BHEQF+UKsIAV&#10;9pQtL2CXM10P6JQgDsIjW4cAgZpXRkA8vHIxEKuYeAsx8cqkiInZyoiEAOopEv9hFzSvLLA+1DMn&#10;gN79zKZpgZQVt8E3SfOwIjq9q1yZWNnd2XLEcKAeQVxqPnj5hzqtFsRhTnrlBSuIiwnWBKn3vAuO&#10;qD7bxvDKAgjlpA4tmvN8I4SQIn46/Xz1LFt9nq05raOU/eeRo+6vrawvTD9qlLsgTwghrQI7u4l5&#10;O79pxCiII3sS9re6Z3TvlIGf8qaYFcThj2e4TkEcIYQQQshgqg9QA9YxQZxZZATe4mgrmPb4xrBu&#10;x3th1yd/GvjXWQgf//nPVaHKpc9ucstopDzELNpQx6b3PwrLN20NJ69+wi0LDr7lwZq20a6XT1NP&#10;GQ/0z1pOXV45bfAN9czfuMUt74E+IVaIGWKnDbFFjIvGo8gvmIwJ2vPq8Hhw2zsDpT811GHzWb9z&#10;TQuhEDcxxFH8XPP6joGr/ea176Hrg39yPSdWYjGhFsYX9et+w+d6YjzxgecG3Yd4j2u4x7wywwFr&#10;Xp4Y+p7RVib+niAudfwUwOIh0vbe+y93LxTiPRYmY8dOCRC1YWFy1OjP7i4L8NkeSeXh+UZBHCHD&#10;k89cv7b6DNqtgrjRR9Z39GcZIMyywiV8hrhIRFsQSeGz5NPCHuSxwiRbHuBISk84ZI/97JQgTu/y&#10;ZuNhBVAWK4iz8fF2kPPEW14+iLa00Axj4QnwPB+tSMj6pcdUwNGTug6L3kmtbFmQipWHzgu0QMoe&#10;k6kFbh42vnoMUrFKgTp0OcRE+4ixQ7sYn9w6BS3SRL32/vHKDHWaIYjDey9PDlYQJ8+hZ006tOa6&#10;IG2mRG9FSBt4xpVrnm+EEFLEpIsuV8+y1efZ+gVxPz1izCO1lVEQRwhpPxDBiXnHmgo6X+pYV0KG&#10;G/98SO8f9W91z+i+2QM/5U0x/HHM1E9BHCGEEEJIhOoD1IB1ShBnFztHnDDBXRxtJhDgWCGJZ8jj&#10;CUsgcsspLwZBk60DQOxjzcunqaeMhxXxiaUEfECLrIoMbRQJcyDeyRWToT6MnVdPGb/QXqweDXz3&#10;DGItm7cRi9UhYjDESFtMpKbBOGrTZcrECqbrRUxic0dbbM5rUBdEb0VWRlw5lLDm5fFAPIrumZw5&#10;bgVxqeOnIGazQjYLdm+LHT0FwRvSvXJCTIQnLFj45d154Q+uURBHyPDkMwvXVoVv3SKIw98utR/t&#10;EMRZURGEN95uYwAiKoiOIPCRa1bgBHGcFsJZrODFHrXZKUGcFvVhVy4t/AKxmIAckZfd6cvmQcys&#10;wEzH2eL12YrsckReVtCVEhPZXfSsoA7vvXKanFhpdF5gxWY2PTX3rKBM582JlYedJ3YMGkH7hLlg&#10;ffTKDHVsHzspiIvt3qaR9EYEcbILHYRxcs3zjRBCihgsiOvD90t99rMjxzxrKzvvaAriCCHt578/&#10;+WP1D5B4xe5v2DVO0vAe1yTPh2+/VVOWkOGOFcTJkabNsqgg7herR3mLwIQQQgghezLVB6gB65wg&#10;rrbd/b7ybXdxtFlAJJIrwIJZYU/Z8mIQ/uh6QKcEcVYspQ3iK6+MUEYICEN+rx6QI4ayFhP6lPUL&#10;9RSJ/yA8ipn1oZ45AdNCNWsiiPPGq8h3K6LT41omVlZ8lyOGg+UI4nLrgkkshhPWvDyWZuzuJ1hB&#10;XOr4KezshjQA4RrEaVhkhNDN7hYnYjWN5MGrPr5K2hSKdooTUR3qwGcK4ggZnoggzu7MhlMhcL3d&#10;1m5BnCfCKiPo8coXCVisqMqW8YReurxHPWU0VliFXeusUCy1+1mOyKsoj03PEfVYkZ0tY8VFnl82&#10;dql27Q5rGH/rg93xz1IUB4vOC+z8srsTxtq3887uJpcTKw9brqj/uehxEdGobcuWyQFxEHGdvXdx&#10;Df2OiQol1iiHepAP+bXQEO+LvkNwvyH+0j5ecX+hPttHO94xdDm89/LkoAVx2BUO9aWO95c2GxHE&#10;6f+IIcI7zzdCCCli1hVzdz9DCvuMPHqvyvdLefvRl8ZstpVdfOzB7mI8IYS0EuwMl2MQw9190WS3&#10;DkKGK188pHeX/q0WwVqzLLaQS0EcIYQQQshg9pl8z+4/wgz+jwVtEsSZI+/3+c4Z7uJoM8COVFa4&#10;hM8QPslOZhAa6R2YtLAHefSxjjBbHkC04ol97LGfnRLEabGUjUeRiMaKqbRQCbHzRG6eeMsKtmDY&#10;uUwLzVAO8bfm+Wj9suPm7aqF41B1HRa9k1rZssD6XiQSs6Zja+dTkXDR7gKnxyAVqxRWIIiYaB8x&#10;dvALvubUKYY5I/7h1bt30B9bfqhjzctjkTmF2OO9/t7ydv7zxKOCFcSJaM07fgqLgtghzjsWFQI4&#10;LYrzRG0Q2YmIzaLFdmjDyyNAjId8ItqjII6QYcr1a6rCtz1VEGdFX3a3tiIg/qmnvN2pS4uP6hG3&#10;1VNGo3fJgzgH1yDO0fWl+gb/dV5PTFUkHLMxyREm2vgDnW7FRZ5fNnYpMZH2UQRl1gf005bT5MRK&#10;o/MCK5CyOxzG2rdz3cY3J1Yedoc4xCgmKCuD9kd8tT7aMkV494kH5joEb7a8zgNRnZ2zmpiA1I6D&#10;Bu0Cfc2Odwwdm9QcLkIL4mTH4tQzo7TZiCAOz7dSjzzDer4RQkgRl8xfsvsZUqhfEHfkmB22Mgri&#10;CCGdAjvBvfHM4+G9N2v/YIyd4Xa++ofkcaqEDGdGHnr46/q3utWCODlOgYI4QgghhJDBpAVxzX1O&#10;i5luE/yfiWf7i6NNACImbRCVxAQjEJpAYKKFRyJGEYM4TgvhLFZ4ZI/a7JQgTov6IEayQpqUiCYl&#10;iBOsaNDmQcyswCwl8PL6DHGWzpMj8rKCLpSxeQQIjLRZQR3ee+U0dr54Pmms6bhZAWFKuIj4arN5&#10;6xXE2Xlix6AsmCdWJAps7GE58R5qWPPyWDAPMH7e944dd5h3fwpaEJdz/FQK2a0DeIK6IqQs8NIF&#10;vVsHxHkUxBEyXFmzq3KfDxLEVZ5Vq9fbbe0WxOWKiWJYcVNueVtO79ZVj7itnjIaLcLRfbACpNix&#10;qSmRF8RRdmc1CIl0eaDTgSdI8rDltI/Wf0/klTuGdoc1LSjT10VQGCMVKw+dF1iBlN3dL9a+Fa5Z&#10;0VpOrDzs2AL4gPjUK4zTojEtxLQ+6jI52Nin0Pek4OVLYe8XO4dy6KQgTupLPW9KnkYEcUB2JpZj&#10;/T3fCCGkiKtvvk09y/bzhZHj9q58v5S3f//SmJ22MgriCCGEkO5izCGHv6R/q5u98wgWbnX9FMQR&#10;QgghhMTptCAOfwTSbYLP/3S6szDaOJ4Iq4ygxyufEpsAT9ijy3hCL13eo54yGojdtEGQZIViqd3P&#10;cgRxRXmsUCwlTBPsznO2jG3TE3nZ2KXatQI0jL/1wRNzaZopiPPmkieKAnY8rdgwJ1YetlxR/xvB&#10;2yXOy5cCMRMBmb13cQ399mKIe0Tyi5gQdWH8tdgTAkFv/msQIx03lJfxsGbL1oO1lH9aEJdz/FQK&#10;LDiiPKhHEIcd33Lat7t1UBBHyHClXxBnhWjdIogD3oJns6hXBCTUW94Kc7SApd2COCuo0kIvK3aK&#10;7XpVRmgEwZkVSjXivy2nBUSp8YE4yfM7JvqzsdCCPSs2Sx0batvUPnnovMATSNldxWz7iLdO98Re&#10;NlYxbFnUbdsXIIxD/8oK43R9ej5aH3WZHBA7+IQ5iBhpv7QIL1a/TQeYF0jDfLA7xtn7Be3qdOSX&#10;eYR64JtOB954e6TGD/HEuOXUJYI4/R84YjsPA92OBjsaQ9yWK5Szu9F5vhFCSBGL7rin5hkS9Izs&#10;27fy/VLefvilMR/byi4/joI4QgghpJsYfcjh62t/r/sFa82y2HEKI85ac4y3CEwIIYQQsifTaUEc&#10;/gik2wT/OPUSZ2G0caxICMIUL18MCFu05Za3wh4tPrICLZgu61FPGY3eJU923YIoSFuqb1YU5Qlu&#10;tGgIZkVHNiY5wkQbf5hOt355Ii8bO5SxeQTtI4RPuGZ9gEDKltPAB21FwjNrNra5cbPCPYi5dHpO&#10;rDzsDnHwJybKaxTbV3z28sXw7hPPMFdtfGxZjLsV1GlDui4v2HHQZscA5tVRBit2hc+p8dGCuJzj&#10;p1LoY0/LCuK0yO2oYz7n5tGIeA55KYgjZPhSuc+7SBDXO6XWDwrigC7rUU8Zwe6Sp0VCdkcrvVuX&#10;xvYnBerQIifQiP+2nBb9pERCHtYvjRY72R3urJgqtsscsLEqmjM6L/BETUU7HdpjXb1+5sZKz1UB&#10;IsKYKA5A6CXCsSK08NDON+ujTmsGtn4rjtRpwAoPbZxtrHQa0KJK4N0H3nh75I5fam4CEcTp/4CR&#10;ErXJzm4pZNe3FHjWlPz47PlGCCFFeIK4ESPHjap8t5S37/UdMqgybyGeEEIIIZ3jsEMPf6L297q1&#10;gjj5YxkFcYQQQgghg9GCOPxHAv0c1Q5BHP4IpNsE/3Dule7CaKPY41KLxEwWK27KLW/LibgKeKId&#10;XdajnjIaLVbTfbACndixqTafFm3JLlravN3mrFlBUgxr2scckVfuGMIfbVp4pk0EhTFse55PGms6&#10;tsDuWqfnkkaLtzwhWb2CONs+DG0hPs0Wxllr9H5NmY2jd4+lzJsHVoCbY7aOXBB7tKfHHVY0rloQ&#10;V/k6rlLP7m4Ai4pSB4419fLEKFtWFiexywcFcYQMX/7X3Hv2oiCun1xBm1BveSuK0sKZesRh9ZQR&#10;tJDJ2znM7nrl7aBm+5OD3j2rEf9tOS0gyhUJIV9KeGSFgVbcZXdggwBMp2tsrIrmjM4LPD/tLn9W&#10;SGZ3JvN2bMuNlTdHAOpEX7xdzoTYDoMC6tDlbV+tjzqtGdj6bfs6DXl1WlEe1BVL0xT5EAPjosul&#10;SI2DCOL0f8BICeJwrD52k7PXfnPl8dXnR6lj4ukH1eSxyA7KAJ893wghpIjl9z1a8wwJ6hLEzT16&#10;5F6n9R42qDJvIZ4QQgghnaP3sHH3699q2cGtWRb7Y9n+Z62Z4C0CE0IIIYTsyewz+Z69qw9RFbOC&#10;OPxHg4GkllmlzQk1bVb42yuXugujjVKvCEiot7wV5qAeSWu3IM7uIKWFXlbsFDs21cYhZhDneDFq&#10;xH9rWjCWGh8I3Ow4wGKiPxsLLdizu6TFdgcDtk0vHhprun/ACvVgVohmd7GT4zk1uWNohWJoy+7+&#10;Jybj3QxhnCcms7EoAvnhE4R0iIn2y6vflrWGusQHqVubnQc2TvADPgArzhXT5Yuw7WtDmjfuFhHE&#10;5R4/FQM7vMlOHGWOXEW7eueNnJ06gF6cpCCOkOFLvyBusBCtcu+33SiIa68gzgqpvJ3D9I5dwNth&#10;yvbHxgHteIIdEdfV6z+w5bSAyI5PDAjIPKGfYGNgd/YCtn+x3eaKYmXReUFMIKWFjUD3R4vMYoK2&#10;Ru8FQYRx1h8h5j/QsdH3hGB9tOm5YCc3zGMr9rRYX3Wa518qj53jsfjaPqbipUHcbV7MU8xDT6So&#10;82lEEKefAXOPPbXo51aAz14+QEEcIaQZrH7i+ZpnSIC/hVa+W8rZ3KNH7v21w2sFcYcc2usuxBNC&#10;CCGkc4w9dNxa/Xvd7P/dSUEcIYQQQkg+nRbEHTjm8NNr2qxAQdzgOjT1lBGsEEeLhKzYCoIeXVbI&#10;FVPBkFdEREIj/lvTdZfxC6bFgBZ9XKfdYc2KqVI7l9mxL5oz1mzsgD1K1PbDjrEW8wm5sdJzVYCI&#10;MCaKg+WKsWJgTtr6PT8axcZAiyPtHEWfbBxtnPXY2vLevWTnBszmSZEyCBlTQk1BBHG5x0/F0IuF&#10;eO/lAdiVQ/JpsChZZlc5vTtI7+xpbt8IIUOf/7Xonr27WRC3bssOd9GzGVgRU9EOVpaioypj2HK6&#10;XSucAbqsRz1lgPUjB2/3My1kAjGxj4235IOYR18HnujM4pXDNUm34iJpD3VbXyDg0mU1RcIpj5jw&#10;LDdWgs4LYgKp2JyycyMm1IvFqhFsX0HqHkntDgesjza9CIyvrSOF9UGnoR6dVpTHjkMsvta/2HiX&#10;wQpfU/U2UxAHsDNcTj0UxBFCmsFDGzbVPEP2c/jple+WcvbbE/5l3xPHja2pqG/sOHchnhBCCCGd&#10;o+/Qcbfq3+vmC+L8P5btf/aa071FYEIIIYSQPZl9/vPOfasPURXDc5l+hsJ/NBhIapl5z27eomgz&#10;sAKYInGSpd7yVviixT31iMPqKSNooZF33KYVW3k7qNk45JgW5zTivzXUJWm5fiGfLmexwkAr7oJg&#10;SxvEUjpdY8e+aM5Y8/y0u9dZQZ4eY++4VJAbK2+OAMQAfUntUhbbYbAI9Ecb2ojt5NcINgY61naO&#10;euOWypM77ta8PDFSsRdLiTWBCOJyj5/y0LvL7bPvX7l5hJggDkAUlxLTabSAj4I4QoYvf3Pdnft6&#10;z4n7jDx693H/7bJ2C+KsYAeiKC9fDLtzGIRTXj6LFVhpkZIVzgBd1qOeMsDbOSoH7LCl67FxjIl9&#10;UE7n04Ih64ttw8PWZ8fPiousX3YXM89vT0yUiyewy42VoPOCmJDJ+imxsEK5mOivKFb1Yvurx1zj&#10;zeFcUrv7aawIsggba50W60csj+1fLL52HGLjXRZdZ6reZgvi8B8xpJ7U8ycFcYSQZoBnRvscWbcg&#10;7uixtYI4fPYW4gkhhBDSOTohiMMfyyiII4QQQggZTK0grvYZqh2COOxCp9s8oO+497xF0WZgBTAx&#10;kUqMestbcQzqkTQrqoHpsh71lAEQFWnzdkgrEluBlJAIQPxmhXVaNFav/8Cabtv6FTMIxlICKxsD&#10;b4c1e2xqbLe5XGGUYM3GFljBno6tHePYTm2N3guCCOPsjm5inv8p7O57sFhsc8F8xDy2c9Ka9tXO&#10;US8+qTx4ry0WB2tenhwwDt59B0sJE0UQV+/iIo6Y2nvvv6yWg6AN4jgvX4yHH5tYFclJHaBIVAco&#10;iCNkD2HB6lHeTsKdEMR5frRSEFdm5yQPr3zRzmZWGAO0SMlL1+U96iljxWRlsLt85Yq8bJt6FzUr&#10;VsrZbc+Kh/ROe1669QtCRJ3uCSLr2UVP8HZjy42VoPOC1Py0Aj/MRX0ttmsdKIpVvdi5qUViqXxl&#10;SMVEwD2my0CAifmo770iMZpOi/Ujlic3DkU+1IuuM1VvswVxuf8ZhII4QkizsM+RWMeufLeUs6uO&#10;/9dROCJVV4Qd47yFeEIIIYR0jlYL4mJ/LNvvF6uneIvAhBBCCCF7MmlBXB1/oClpPaP7luk2Dzjq&#10;pLfcRdEmYEVMZXewskckFu2+JNhyul0rqoHpsh71lAHWjxzTYiuhSBAHvGMvJZ/dYQ3mic4sXjlc&#10;k/SYyAt127GHb7qspkg45VlsJzUrjPKEVRprMSGV9VF24LPtxeLaLEGcxrYNy71HgCeGK3uPajC+&#10;uSJJmI61vce8+KTy2FjExtGal6cM6LO977x7WGhEEAcxHMRrUq7Mkaceo0Z/dnddWKT08ggUxBGy&#10;h7Bg9aieMX0T9HMi+MLIcbuP+2+XtVsQB+xubfgc20UL1yHU0mItK0IqKm/bs8IvK5wBOt2jnjJo&#10;V+dP7bJlhX/22NRckZdtU+ez4jQQO94TePmtGNGKizy/7PjZNnW67bfF7hjoCdByYyXovCAlkLLi&#10;PRvvVDxzYuWB+KDfXhqw/bWiRQH3Rr07FubsEGfvEa9/RWI0nRYTtMXyoH86DdjvCU+kmhrvXLzv&#10;h9h3lAji9DNgI4I4/dyJ/6Dh5QFHHfO53fnw2fONEEJyGH3k+JrnyLr+A/LVx33xGCuI+9rhh7kL&#10;8YQQQgjpHGMP7b1R/143fYe4yB/L9jtr7WxvEZgQQgghZE9mn1+sHoVnKPwHAvsMVdcW/iWtZ3Tv&#10;PbrN/Y/56hZ3UbQJWJEKhCNevhh25zCIkrx8Fite0jteWVENTJf1qKcMyDli0TN93CnIEcQBK8DT&#10;giHri23DA3m02fErEnlZoZBNB3aHtTLmCezsnPPa1FiLxTa2k5+ea6n52QpBHLD9RTtePosX9zJi&#10;Og8rgiwyHWt7j3nxSeWxcYiNozUvT1ls27BY+40I4k6dcMDuMtjlzctTBn30KhYpvTwCBXGE7CFc&#10;v+YY7298PSP7dv9njnZZJwRxnlgEIh+Ih0Q0gld8FnGUFrp4IhaI3nBd8tjyAgRAVpji+aPTPeop&#10;o8VHRUIvYH3X/SsSeUGoZvMAK2CzYkGAcjofxE9W6CX5dF0gR+Rl/YIPkmaFgKkd1gD81PmBHV/b&#10;nueTRucFKYGU9ddifdHkxMpD8qO8vWesQBDkiNdiWB+9PDHs2GCcZV7h1dsJ0MZap+nvgNw81n/t&#10;gxcrkBpvAWVRF+Kv44sxwDUrNLQiXI0niCv6DxQx9BH+Rc+cIpyTHYw93wghJAcriMNpGZXvl3J2&#10;9XEHDXowPq2XgjhCCCGk22i1IK5S3zG19ff/sWy/s9fO9RaBCSGEEEL2ZEQQh/9AMOgZakzfhOoD&#10;Vgut0sYm3eZ+47++3l0UbQKe6CYmFPHwyhftbGZFMzAtnPLSdXmPespYMVkZs8KkegVx+vhOK1bK&#10;ET/Zdu3uYUUiL7sDmSeIrGcXPTHvaE8rTrI+WazFYmuPTUVf7LXYcamgVYI4OzdzBHG4r6xAslEx&#10;HO4xbagf94C+91Lz2PbDi08qT+64W/PylMW2DUOMvbz1CuK0GK7exUgPqZOCOEII+Mx1aybE/sZX&#10;uf/bap4w76ENm9wFz2ZiRUpFWEGJJ9AqAiIVTxzkidtiyM5cZctYEV9KICPYPuoyZeMHvJ3CEA8r&#10;3skh5r8VIHkiL4iGdB4gIiQrkoK4yJa3WOGgLWNjVSQ803lBkUDKti8UiflsrFKgDSnnpceI7Q6X&#10;i/XRy5MiFpsYNtY6zYrdcvLk3Kd2/heNNyhz/6H+lDBSBHFAykw8/aCa50MBx/hjZzc832IHYzw3&#10;Agjh9M5wOcf9Iw/yoj589nwjhJAcTjjt+zXPkTgto/L9Us7mHHvQoP+h8b2+Q9yF+KHOzlf/UP1j&#10;Bl69dEIIIaSboSCODEcWP/LpAusf//TncOaS59x8Hr9/+dOF181vf+TmIYQQQlpF1wniTj5tnbco&#10;2izsbm347O3sBXAdwhwtzrG7jBWVt+1ZoY8V1cB0ukc9ZdCutphABljhnz1yMSUk0thY6Xze8Zie&#10;oEzw8lsxYo7Iy/pk29Tptt8Wu0ubd2xqrjBKsBaLLfDmlraUWLNeQRzikxLa2f4WHXkKH5sthgP2&#10;HvH610pBnBWgYqx0WeCJL22eerD9Ss1jEcRpgVmRIE6L4fDey1MPWLCUeosEcRDhSV4K4ggZvnxm&#10;4ZrT93RBHPB2UvKAyMUTlECUkivmQh2xnbJw3SvjIWKqsmWsuE3v9hbDiujQV0mL7W4VIyUCQ1+s&#10;8CkGfEjVZeuJ5Y2J/ayAKiUkEqyIzgrR4INOT/kPdF5QJJDydjoDRWI++OmViyHlcu+bRsVwwI6n&#10;lydFkeDS7lDYbEEcsHNNg/lm7+UcQVzu/Qd/ZEe6GFoQJ0f2x54XRcSWYu+9/7JQDIejVCW//AcQ&#10;zzdCCMmhKYK46UeMmqYrAT87coy7EN9KHp7zq4E/NxQb8np1FPHem/1/BMSrl16ECOo+fPstN72b&#10;QIy2b3wufPL+p3/Uw3tcqzd+wx3E5b8/+WM1VutunOfmIYSQTtIJQdyIkeNG7Xf22mXeInC7+NIv&#10;Hwy3PbW1KnjStu29T8KL2z6oCqq8cmRocO/62sW/82/b6ObzsFamLCGEENIoI85acwyeobC4aJ+h&#10;8FxVfcBqodk29/na9x/2FkWbhRWxwCDygTBKhG14xWcRR0FgIuW9ndYgdsF1yWPLi0GYYsVznj86&#10;3aOeMlp0VCT0AtZ33b+UkAhAUGd3gEN9Og+wgi4YREVayIW6rNALliNw8vLgmjYtVLJCQE/gprE7&#10;ssHs+Nr2PJ801mxsNVaQp80TYGlyYuUhhvL2nvH8SQkvUcbOAXy2MawHOzaoV+YVXj0xmo61vce8&#10;+KTyoA+e0A/XgTenYbr+GLiXMDcRf3uv2PsOlhIYeoK41I5v9YrhUCcWLbGw6KU/v/Fnuxc3QdER&#10;rHpHu1NunuP2jRAy9Pnf16+egr/n2WdFXKvc/221TgriAARPEJdAOKKFMxCqQMhSJE6JlQcQ2+TU&#10;AawwJwbaqqeMFj/p3b6KsAIxiHdwHSKbIlEUYgJRVJEgR0CcEC/bL7SDutCPIoEa8uhyMeEf2tL+&#10;i4hNXxORXBFWdIX3Oh0CMp1WJEa0Y1XUZ8TXjlNOOSt4TGHnDNqUea/zlR3zIrSYzPqQC3xBPTpG&#10;mGNyL8nY4VXmt6DLxOZDTh7EWscKZSCMlDFK+RADcxixtmMg3ztF80zQgjjsDCf16OdDAc+b8uyp&#10;xXF4j2t4zsSzp1dWo/+zhojnPN8IISSHU3/405rnyJ7RvfdUvl/K2X9+aeQVuhJw9lGj3YX4VrL5&#10;0QcG/txQbJ0SxGnz0ruBJd89YXc/U4Y8yOvVsaei5yDee3kIIaSTjDm09zr7mz3wc94Ui/2xrJOC&#10;OOwWhl3DioxCqKELBXGEEEKGLGetqe4C1wlBnLcr3T7fO+MOb1G0mViRUpFZQUlMzJIyiGM8cZAV&#10;1aRMduYqW8aK+FICGcH2UZexYqoc04I6AfGwoqEci/mfI/KCGMmaCKGsSAqCI1veYoWDtoyda55P&#10;Gmvim4cnyBNL7eIGyoyhFjOWsaLd4RCrslYUP40dmyLTsbb3mNduUR479p7Z+a/LxyhjqD8lMBRB&#10;HKh8JVeJHT+ld2WDeE2On4qhFxq1gA1HTmEhUvKhXuzSoevW7XqgDuTFwuaE1Te4fSOEDH0oiCOE&#10;EAK0IE4L1fAsqZ8Rm4kI7/C8Kdc83wghJIfvnTml5jkSp2XgGbOU/d8jRt2uKwHTjxrlLsS3Ei1G&#10;+sPv7qyK3mJYIdfdF02ulsPuXniv0zSNCuK6fYc4xAW+iWFHOB3L51fdXCOWo+irFsSo0R3iZC7C&#10;UnOREELqodWCuNhi7n5nr73HXQRuMadd/USWGA5GIdTQpRFB3DOvfbrgzCNTCSGEtJ0BQVwnFhy9&#10;57bP/8ek5d6iaLOBGCdHjAXhkCcogdglV8yFOmI7ZeF6rongpmwZK27zxGkWK6JDXyXN24UqZiiX&#10;ag99yRVnoS4rOtLkCOJATOxnBVQpIZFgRXR2Vzn4oC3lP7CWEsQBu8OamN45zKPMGMKkXO59UySG&#10;AzY2OYYx9uryKBJc2tg1WxCH+RMbHxj6Yu8zXT5G7v2CfEXzQAviio6fwnWk56J3msNOHVr0FgM+&#10;5OzYIXVBGEdBHCHDmrmd2sHYmncaxeonnncXPAkhhDQXLYgDsvNb7D9yNAN53tS7Inu+EUJIDj+d&#10;fn7Nc2Tl2bL8yWn//qVDnqitpC9cfOzB7kJ8K9GCOAiTvDwxkF8sVbZRQVy3o8VuOBrVywMQIwjn&#10;KIgrh8xRiOa8dJA7FwkhpB4OPXTsoF1dB37Om2LeTiP4n5z7n7123aAF4DagxU4wHJEKkZykQzj1&#10;+5ffCe9+9CcK4oYwjQjiCCGEkM6y5nQ8Q3kLfa0WxHkivM/9ZOocZ0G0JUCwgp20IBzRwhkIoyCS&#10;KhIjxcrDIITJqQOkRDPa9K5fZcpo8ZPe7asIKxATUZ8V8VhDLBATtJ0jKgOIE+Jl+1WmLuQRQ7mY&#10;EA9t6fESEZu+JiK5IqzoCu91ut4FLeWTYMeqqM+oT7cPs6I8j6Ix1GbnDERWiDXGRRs+QwhXJMIS&#10;rKAsx3KEdhr4grHUcxlzDP4jXWKHV5nfwI6r3fkvNw+AUE7Pa7yXvKhDrMy9ifLe/YLPuF40zwQt&#10;iCs6fkp2ZctFC+IE7AyHeuzxVbJrnM3vAcGcboOCOEKGL59ZuHZZ7G98le+AthoFcYQQ0jmsIE6O&#10;8YdoTV9vFjgiFfUDvQud5xshhOQw6aLLa54j6xLEfafvkGdqK6EgbiiCHc3EcvqH3eRWnvUDN434&#10;6DnqpQMK4gghraTVgrh9Rh69l63/wDGHn77/WWs2+YvArcXuDqfFcGT4QEEcIYSQoUu/IM47Cgq7&#10;clQfsFpkXpt/P+2yC7xFUUIIIc1FC+LadfxUo2g/sVhJQRwhw5fPXL/2Hk8Qh7/xVb4D2moUxBFC&#10;SOewgjgtWMN7ndYM5D+KWMGd5xshhOQw64q5Nc+RAM+YpezEsYdttZV4i/CthoK4xpC+wSh0aw0U&#10;xBFCOs3oQw6/2P5mD/ycN8W6TRBn7Uu/fNDNlwJlILjC7nLacLzm4ke2uGXOXPLcbjEeyuEaxHjY&#10;sQ670Ym9uO2DpHgLabYM6sO1mLivHn+L0DvtXXXPpuo11KXbgI9oV8fY5sF7Ke+BNLRlfUfdqVgV&#10;CeJsuo6D7hva0eWaNY6xMfEMbXp1EEIIGa7EBXFYhKw+YLXI8Ixm2/y7X86b5i2KEkIIaS5aEAfa&#10;cfxUo9gdQSiII2T48pmFa9fF/sZXfZBso1EQRwghncMK4oAc56+PNG0W8kxsdzD2fCOEkBw8QRye&#10;c6sPmrl27Nhx7+oKDjm0112EbzX1COJ2vvqHgRJx0+IwK4hDO7qOT95/r+oHdk+TMhrJi1cvHUid&#10;OFYThld8jvUJO7tpH4rye8BfMRyF6uXJBXX94Xd31gjsYHLEaiw2d180uZpPjhNFvjeeebwaU7mO&#10;fiGflMHY4GhXHSt8Loo//MNnGzvvGNjnV91cvS6G9yin8wjSB5j2U/xr1Dyhop0vsKJYCxI/iTEM&#10;73EtJYpE33TcYRhvxMrLTwjpHlotiIPZ+ntG907xF4Bbj90hDkImL18MCLRsHdYgcrJCO4ijtBXV&#10;44nEINpKmRVvgXr9LQJiOjEcMQsBWMyk/pT4C+KwVBsp88qmBHGIiTUtOrPtynXQjHFEW1o8V2Qp&#10;YR0hhJDhx36/WD2l//lpsDitE4K4zyxcc7q3KEoIIaS5WEFcq4+fagayQHnWpEOrnymII2QYc/2a&#10;TRTEEUII8QRx2NG48vVcxaY1guxGvM++fzUozfONEEJyuPrm22qeI0Hpv7kecdjYP+oKjh471l2E&#10;bzXtFsTp9qxBkOSJkXR5mwYgAEuZFRwV5U+JmjSIl5gVhJUBQqki8RfStVhM0D6k6pHyiEUsT1H8&#10;0UcIumImojrJ75kn/tJ90HOwKCa5Zscz1QdYLNYA/heZ10d9tK5nXhlCSPfQHkFc7y5dfycFcZ5w&#10;C0ItT7hk0buDFRlEVbqsFVIVGdrR5bELWY7pMo34W0SuWE0sxw+7w10Zs7uoxQRxEOZZX+wueWUE&#10;cUVmxxGkhIGe2b4RQggZ3qQEcaX/t2JJO3B079zaNnt3URBHCCHtwQriWn38VKPo41Iffmxi9RoF&#10;cYQMZ9bsqtzvlWdU/azY/zc+XG+nURBHCCGdwxPEdQLPN0IIyWHRHffUPEeCnpF9+w48aubZ6EMP&#10;/3+6gq8dfpi7CN9qtEANO4BBkOThlcV1sVgeYAVSEByhXZSBEEjvJOYJy1KCOPgshl26pA8QIEk5&#10;tCf5IXQSEwEXruMVvqCOXEGcjl29gia0pYVf8Am+Sx+0eAv5rG96DKQeCBZRFmjxot7RDPVKG7nx&#10;l/rxKnHGq/Zf2sArYoI8Ok7Ia0V3ug94r9OALm/ThKI6BBFDwg/Uq+OJWGj/dTlJF0P8tGgO7/U8&#10;t+MkMUKsbZsoR0EcId1NRwRxY4+70VsAbgcQF8UMu3ZZcZRGC6UgdNIiOoi5rNhOC5k8IRXqEKEW&#10;Xq1QS9dvBV63PbV1dxrakSM75RpoxN8iPEEcfIDgLLUbnPiN9u0uabpP0gbqwXXtG8ra9u0ucTFB&#10;nC1n2/Ty6LRGx9HOP4kZ0pBPl7V9IoQQsmew31lrZ+P5CYuL+vkJVB+sWmg9o/uW6fZ6xvRtoiCO&#10;EELagxXEgVYeP9UoRx3zuUG+URBHyPAGz4v6WbH6vEhBHCGE7FH8YeemsGnH7zqO5xshhOTQFEEc&#10;jkjVFZzW23lBXMo8kVGuCEkLhawgCEAgpQVDOg1Iebzq67ocBExWaAUgNILJ5xxxVS66rlT/U2jB&#10;W0wUpUV/yK/T9BjAkFenAxF5idl2cuMP88ZPYiyGPHYsdKwgAtNpRfMoZ8yK6gDwW8z6IGjBpI2T&#10;xBGiOn1dQJ8ljx6nHN8IId2NJ4hr9u4jWEzV9fcceuyd3gJwu4DozYqWtEGoJQInwQqZPOEchE3a&#10;tKDJCqnQvt0RDUePatPlrcBLRFQxGvW3CCsas0fP2vZh1gd81lbm+FobT4j7dLqNF/Lba7H2ygji&#10;Gh1HXQ7AJzH4YdMJIYQMf/Y7e+1cPD95u7VVH6xaaFYQV2lzHQVxhBDSHjxBXKuOn2qU5zf+rOoT&#10;jkyV3eEABXGEDG/+19x79hr0n15H91X/M0c7jYI4QgghhBBSL54gbsTIcaMGHjWLbe7RIysPxbUV&#10;fK/vEHcRvtXkCuK8IyRzhT4iqIqJ1oAWhtm0mCBO79gVE5MBLeDS4i2vT2VoVBCHWIjZvlkgMoNB&#10;uKav6zHwxHBA+xnLkxP/1PiJxfJoMRr80WlF86hZgjipBz566YLEWgvfdP1WEKiRHei0sFD3PRZ/&#10;Qkh306Yd4tbp+nsOO/5ubwG4nUDEpMVHnumdvbCTWFnTQigrpNJpOXls+7KbXUwY16i/RaREY4I1&#10;m277W0YAVlTWCs/sZyug05QRxJUdR+uHLgcoiCOEEBITxOE/GFQfrFpog/4Tw+jeeyiII4SQ9vDz&#10;++eH+16+YEhDQRwhw5u/ue7Ofa0gDs+sA4+SbTNPELf8vkfdBU9CCCGEEEI0eG60z5KlBHGnHHpo&#10;n63gZ0eOcRfhW00joq4cERKICdo0KdFTrLwuExNqWZBPdkPDK+pICZxS6PZjO46l0PFLCfqAbksL&#10;+XLGICdPPfHX5OQRQ1v6epF/Kd+EnD6Kj7mm+6J9yLVY2xAfNirGJIS0ly+O7p1lf7cHftKbZlhM&#10;1fUfMPa4dd4CcCcQYZy3YxyuieDMCplyTO9A1qiQCn7EdrVDO3aXsnr9tceoatMisnYJ4tAviPuQ&#10;Fus/zJYt6r8WO1pSfWt0HG0aYi5zrJEd8wghhAwf9jt77bL+56fBu7VVH6xaaFYQhwXO/3396ine&#10;gighhBBCCNnDWLB61OD/QNFXfXZtp1EQRwghhBBC6gU7C9tnSTxfDjxqFtsp48b8m63g7KNGu4vw&#10;rUYLfWJCohg5IiSQI5aqR5CV2tUsBcRIcrSlGOouEqVZ9G5zVuSVgy5fFPvYOOWMQU6eeuKvyckj&#10;ZmNV5F/KNyGnj+Jjrukd4rQPOaZ3iAMQYtr2MQexY1yumJMQ0jk6IYjrGXvsK94CcCeBKMkTg8kx&#10;n/UIzLToqlEhFcAxpNgZLmb6SNJ6/bViMG1adJYSjQnWbLrtrxW1oT8pEZw2W9b23/q77b1PavJr&#10;Un1rxjii7RxDPbocIYSQPYNPBXHm+anyufpg1ULT7fW32TebgjhCCCGEEFJlwepR+E8a5nmRgri3&#10;Pwgbtr8T1r+xI7ywZXt4/vXt1c8b33rPz08IIYQQQjpGw4K4I8aOnWQruPjYg91F+FYTE1rlkCNC&#10;AjliqXoEWTtf/UP1OkxfzwWCNCtSwudcgRKEdWLwxcuTAmIosaLYx8YpZwxy8tQTf01OHjG0pa8X&#10;+ZfyTcjpY46PMXJ8yAG+aSEnDMI47hhHSHfzz2P6Lre/2wM/6U0zu8NJz2HH7PAWgLsBK4YSMZMV&#10;WJUVKzVDSCVAKGb9FBO/6vW3W3aIg/ivjOmywOu/FRPG4pvqW84YFeXBzm9FpsWNhBBC9iz2O3tt&#10;VfjW7sXGfUYevZdur5/DT6cgjhBCCCGEABylT0FcLRvf+TC8sGVbeHbjS+GpZ18I655+Nqx79vnw&#10;7IuvhOc3bw0btr/rliOEEEIIIZ3hoQ2bap4jQc+YvgkDj5rFdvTYQy+zFVAQV16Qpcs0sssWjkzV&#10;4jq9M1gRcvwqrOzRqzp+ZY5M1X3NGYOcPPXEX5OTRwxt6etF/qV8E3L6KD5izLz0FNqHZojXMIa6&#10;TrujHCGkuxgsiOvdNfCT3jTDcVu6jZ5DjvjYWwDuBqyQSsRM9jqO8bRlUzRDSGXBcaJWwCbHbDbq&#10;bxGtFsT9/uV3Bq72G/oFkVxOWWD7j/y2DMweNQtaKYjTadj9To+ffEYeXR8hhJA9CxHEeceXVh+s&#10;WmRfGDlu75r2KuCPQZ+9fu1sb0GUEEIIIYTsWUAQ14ldjK2NGDlulPYBtEsQtxG7wb31Xnh+85th&#10;3XMvhEcffig8vHZ1eHDlLeG+5TeEe25eHO5dtiTcv2J5ePjuNVWB3AuVvCjz4s4P3Tr3ZP5ir73w&#10;H7PDtIsucdNJaxhOce87dny1L3j10rsVxB5+Yyy89Bxuve+Rah0A7708xIexI2TPxhPE4T8FV74T&#10;8mzsoePW6sIHHdLrLsC3Ay3KiQmJYuSIkECOWColeoqV10eOpgRluUK1HD8t2u/cXeLEH7yKYdcw&#10;m08jR7ziVV/PGYOcPPXEX5OTRwxt6etF/qV8E3L6CKGjWFnx4rob5w2ULBYvliGnb4SQztMOQRyO&#10;29JtdEoQJ0eOpgRHVgwlx57iVZsVYBXRqJAqBo561SZ+NepvESnRmGDNptv+ah+L6k+VBZ4gDtet&#10;0M6LS6rtRsdRC+Dgiy5HCCGEDLAOz094Jqt5fqo8T1UfrFpkPSP79tXtVdukII4QQgghhAyAnYOt&#10;IA47xg08TrbNOimI2/DWrvDcy5vD7x94INx51aVh2ZQfh5v+8/vh5l/8INz0f79X4bvhxp99O9xw&#10;xrfD0qk/DmuuvSo89uCD4ZmXXgkbt+9y62wWIgzKFdg0Q5DTKGgfnDFlhptOWkMs7otWrd4tlrtq&#10;ydKatG7loDGHVv3Fq5ferSD2Mg5eeg4YL6kD7708xIexI2TPZt2WHTXPkf2UEMQddujhT+jCfWPH&#10;uQvw7UALcmJCohhahATBkJcH5Iil6hFkaUEZhGLeLnEimrPXPeQoy5SfFrSpd4mzYi8NdhbDTmC6&#10;fukbLBZ/fbSqrT9HCJaTp574a3LyiJXtg/YtthOgriMmWNN5yh5xq8c5NtfqQYs6vXRCSHfwL2P6&#10;rte/29iNZOAnvWlmBXHAWfxtOVqohB3HROwGsFOYPcoSO3bp8visDeImvWsZ6sBRl7huyzYqpML7&#10;be99Uq1fdjWDGA47v2nTIqtG/C2iSLAGrNl0218tTrNjoXe4w7jZ409zBXGImY2L3T2vlYI4XTfG&#10;E/7osoQQQsj+Z62pPovZZ6dOCOJwHNVnF66daxdDW83fLl4b/nHJ6rDvjbeHf7n5tjB6+Ypw2K0r&#10;wrhbbwmHVF6/uGxl+MLNq8L+lfT/c8Od4e8Wr3HrIYQQQgghTWUujkg1z4t7lCDu+VffDI8/+mhY&#10;e901Ycnpp4b5J44M1580Ksw9/qAwb/zBYW6Fa08YGRadPDrMOf7gcNMv/j3cvWRBePyxx8ILr7/l&#10;1tksRBgEvHRLMwQ5jSLtUxDXXmJx13NiqIwJBXH9dVDUVQ7GjpA9m4YFcSMPPfx1XfjosWMHLb63&#10;Cy02gvAKoqEYVgSkBWkQekEUh3wQlum8OWKpegVZetcvCJWkD/BFH4Mq+XENIF18xGtKdFaE3j0M&#10;pv0AED1pX/RucEjXhjSJI8pJ32GIsR0DXR7vdVqZPPXGX8jJI2bjW+SfFo0hjsiDGOmjbcvORZjU&#10;JWnIh3Io4x2rqmMkbei6URd8wvjrejEXkB/90DvTobyI7FJxI4R0nvYI4nqn6DbA/j9f5S8CtxAr&#10;VCoyLZgDEI+VMV22USGVFXjFDHVImUb8LaLVgriyvucK4oDdPQ8COX10aisFcUXjCJEc2odIj2I5&#10;QgjZQzlrzSbv+NJSf5ipw7yFRVzDwqdZCG0pf71wTVXkNnLZyvCVO28IZz84L1z25BVh0XOXhJtf&#10;+FWY9/Rl4dxH54Sf3Dc/nLpmSTjytuWh5+bb3XrsNUIIIYQQUj+fWbh2GY7x18+Lrfg7YpF1UhD3&#10;1HPrwz2LF4Rbpv8sXHtqX1h8yuhwQ4XrBoRxAGK4m75ySJh/4sFh0b9/Oay6dFZ4aPXt4blX33Dr&#10;bBYUxLUeOWYRu6gN5WMWY3GHMIg7xLWHovtPdnz88je/5aYDirrqh7EjZM/GE8RhHbvynZBnXzyk&#10;d6cu/LXDD3MX4NuBFvkUmScU0wIjbdgNzeZJiX7qFWRBkBTzQQxCJMlflNcTneUAAZTeKS5maN/W&#10;rwVfMYv5hXbFtAirbJ564y/k5BGz86jIP/Tbi60VrYkP1vRczJkvYrpuQQswU6b7UXSPoR/aR0JI&#10;99EOQRwWcHUboBOCOGCPzPQMAikIsrzyucI07GCmy7VaSAXzfK7X3yJaLYgDdpc4axCPiZURxAHr&#10;P9qKpelyjY4jRG62/phhHuod/QghhOwhnLVmlyeIw/GlA49WLTHsBjeozZF9+2Lh01sQbRX/uPiu&#10;6m5w31qzKJz/6FXhlg2zw7rXZoY33pocdn0wI/zhzWnh7pcuCAufuzRc/PiV4f8+cG0Yf8fN4YCb&#10;76AIjhBCCCGkhVSeC9cNPgWid9fA42Tb7Mgvf+OIWh/aJ4j7/YP3h1tm/jwsOO3oMPfkMeGa4w+q&#10;7g435/gvhmvGH1QFu8Rh57g540eG6751bFg66fTqLnHPvvyqW2ezoCCu9QwXEc1Qi3uK4SqIy+kX&#10;RV31w9gRQuyzZClBnC18Wm/nBHFajFRk2OnKlofASHbUguFV74AGZHc0vOrrGtmhzYqcQE55u5ua&#10;+KF35AL4DFGTFUXhs9e/MiAWqAN1STxg2DEMvsTEaAB+IQ+Eb2KoA3VpQZ8FQiqxmKgqJ0+j8c/J&#10;IzGxcc7tg7QBk134dJ6cuSggpqhP8sLwHvGGgM3OGw3GEfXCB20oi7llxzk2LzDWyI90nZ8Q0n20&#10;ZYe4MX0TdBtgxI8W+YvAbQAiIwjjtKAK4iMIlXJ25sJuYrY8DKIyHD/q1YE29VGdnngtlQf1oV74&#10;qPOgTYi59A5nlnr8LUKL1WJiupRgDcAv3Rd93KuAGGgBGfKjbcQKfotpQZuUE0MZKyxD2/BbTPch&#10;1bdGx9GmFVkstoQQQoYxZ63ZFTu+dODRqiXmPa9BmNduQdyBN60KP75vQbjxhV+Fh16dFZ7bMjO8&#10;un1KePvdaeG9j2aGrTumhA2vTw9PvHZOeHDTeWHlhovCpU9eGSbee304cuWy6jGqXr3dxPpdH1R/&#10;5/HqpZPOsHxT/7Plx3/+s5s+VBmu/SKkCMx5GO4BL72b4e9E62nG/Ngzv18rz6l7sCBuw7Z3wv0r&#10;bwlLfvyN0C+AO7gqiAP6b61VkVwlbU6FeV8ZFxb98CvhrqsuDc9sfMmtt1lQENd6houIZqjFPQUF&#10;cUN/PnYCxo4QMvrI8TXPknjGrXwnFJv3R9ufHTmm5mGQEEIIId3DP43pXVn72927buBnvWnm7TjS&#10;SUEcIZ1Ci/AgGLRCRhznagVzZcWKhBBChj7eMVCtFsR5O/pWBXHXr73HXxBtPn+3aHX40spl4eqn&#10;Lg9btk8OH/9pVnjrnanhzbcmD2Lb21PCO+9Pr+4c9/DmWWHuM78OZ9w/P4y5daVbd6uYv/FTEf7W&#10;jz5x81g2vd8v9serl95NiCgjt285THt8424hwqXPbnLzdII1r3+6w7CXPlQp2y8Z87I2FOZzpzn4&#10;lger44H7SWzXJ38KD257J5y8+gm3TLcA3+ErDP56eRoF3wdiEx94zs1TBjHE3EvvZrr9d2Ldjv7/&#10;RJYjBMPc7kZxolgj82O4/m6k8QRxfRAUtNVOnfizk60PrRTEbdz5QVj/xo6w7ulnw5prfxuu+874&#10;6g5w10L05vytFWCnOHl/7dcOD7fNnhGeeu4Ft/5mQUFc6xkuIpqhFvcUFMQN/fnYCRg7Qkjdgjjv&#10;j7ZnHzW65kGQEEIIId1D5Ud+We1vd/MFcd7zwf4T57kLwIQMV+xRqhC/efnskaqp3f8IIYQMTw44&#10;fPz37bMT/gPiwKNVS8wTxO0z8ui92iWI2+fGO8K4W28JP7rvurBy/UVh53vTw3+HC8I7H8wI23dO&#10;DVt3fCqEg0gOYriP/jSr8jojPPv6zLB0/a/C5IfmhnErVrj1twoRiIjlCLyGkiBOm5deD1pA0E1C&#10;leEqbCjbL5mfZW0ozOdOAoGXiIJiBoGtV7YbgJBVrFVjrecq2vPylEGsm75ncun23wn9PeGla/Tc&#10;6aaxEGvEp7Lfr8OFA8YdM8s+Mw48TrbN2i6I2/F+eObFl8Mj99wdVv1qVlgw4chw/UmjwrUnjHT/&#10;1ipcfdwXw4ITR1V3kls+88zw2COPhI07P3TbaAbNFMTdet8j1et/sdde1c+P/mFLNf///N+f2V2m&#10;79jxhUKStU8+F778zW9Fy8m1lDBr9tXzavoG8BnXvfwAbSDftIsuqX5G/egLrn1+v/2rfkneq5Ys&#10;3Z0fIJ/tm06PoeuEb+g32tJ5EAdc13k18Bf50B4+S/zEd7ymygtSrmzcZdwB3ntpjc4JpCOf9ClG&#10;anw1Vjgm9Us98A9+wl9bViP90WPmzQVLvWONtiSvXNPxj4E6JT/8kut4X++YeDRrvAHy2DFHvHLG&#10;xZvLRbEVbLt4lXJIk/q8PqD/yKt9LvreIYQMLawg7sDRvXMr93qxeUdsXHxs/H9JEEIIIaSztEMQ&#10;5+0gO+IHV7oLwIQMV6wgDjvE6aNcIXy7d/2nf1CH8chUQgjZM/EEcditbeDRqiXWM7p3im0T1z97&#10;/ZpN3mJosxm1fGX48e+uC9c8fXl46JVZ4fXtk6piNwjg7O5wIox7+73+HeKe3jIz3Lphdpj5+znh&#10;8JW3uPW3AghcrGHXHC+vptuFDhruEDf0Kdsv7OaEMbLIrmZ49dKbsaPXcAW7q2kxHHZYk7hhxywR&#10;1nrfCfI9g/KdjHHODnHSx3qFfXquIjZenjKINSJ46hTd/jsh/sG8dA3GUqybxkLM8yn3viv7/Tpc&#10;2P+YL19hnxnxnyiqD5RtsrYL4t56Nzzx1NPh3puXhFvO+UWY/7XDw3WZgrjrThoZ5o4/KNz08++H&#10;B1bcEp7Z8FLYsPVtt51G0aIxL93iCXIELRaBMESLQiwxgUhROd0+3tvyEMpYkZEF6Z6gRmKBeiFq&#10;seVEAPPdH58xKE0jghuIarx0jeQVUVsKxAXxEX8FiYkIb2w5IVYeNBL3lEioGXMi1SdLrvBIxhqv&#10;um+W2FwBRf0BmEe2XDPGGsg15NNlPbQfekzgS+p+yY2n0IzxBt79p4nFB+TMl1jbqbJoU9/7dq5D&#10;JKvzW8rGkhDSnfSdPKHmWTJbEOf9j2IK4gghhJDupR2COCzg1rbRF0Z85xJ3AZiQ4QoEb2Xttqe2&#10;unURQggZ3hzQd/I0++zUekGcf/xVuwRxR69aFn6z7orw0Kbzwotbp4XXt0+u7gS3dceUqujtzbcm&#10;DewSN6n6GdeRjnwb35weHnjlvPDrJ64IR9223K2/FUAUAoNIRIRjWDz38mq6XeiwpzJchQ3N6hfn&#10;bf1A9CYWOzIS44TvEXtdi4maIRJrJWKewCgHPVcpiKMgrtWIeT7l3nd6znrpw5X9TjntMvvM2G5B&#10;3OmTZ/yb9aGlgrjtu8Ljjz0e7l40Pyyd+tNw7dd6w4ITR4Z5JxSvfc6v5IEgbsl/nBruuubX4ff3&#10;/S4888pmt51GaZUgToQwqB9CEaRpMQnSrdAIn/WOThDFoJwtK1hhFhBxD+qBAEXawCvEP+KXJ1SS&#10;WEgeqUPah3hNi49Qh64feVHG7kCl44L3Ok2QsmhH50G9OuYQ2elyQNLFbyCxszvZoY+2PNpoJO7I&#10;J2nad5tWz5xALCUd/ZDY2rigPl2uCD3vAdpGffAJY6FFYra/AH7Y/ug03S/Up8s2Y6yBTQPSL2+c&#10;BT0mQpkxSaHrrme8geSRMdH3E+qRuYpXXU7SpX7MYy2aw3uJD9D1SrqkSdvwGXV64lak6fLSX8wd&#10;6zPatfOAEDI0OeG079c8S2KtvHLvFxuUc7rgIYf2ug+BhBBCCOkOekb33qN/u/F54Ge9aYY/jOk2&#10;wAGnne8uABMynFn8yJaBP5cXG3aL8+oghBAy/Dmgd/DOGwOPVS0z+/ecnjF9m3D9swvX7PIWQ5vN&#10;V+66Maza+Mv+41A/6N/5TY5JlffYFQ6v/QK5/s94v6UqipsRljx/STjpjpvd+luB3i0JOyKJFe2O&#10;RGFRdzJchQ3N6hfnbf2IYBbmpafIFeZ0A2L1ip70XG1GX8Xq9aeTdPv9Jv7BvHSNnsPdNBZink+5&#10;952es176cOX/fPeMq/UzI2j1f9yw1m5B3Is73gvrnn0+3L9iebj1/Mlh3tf7qkehzhufIYgbEM5d&#10;//2Tw6qLzw0PrLwlPL3hJb+dBtECES/dkhLkaDEMgADN5tHlIRTRaXrnLOTTaQCClZRQCYITXIcw&#10;xYpdBN2GzaNjgXY8sU6q/zF0XKyIJheIe2Ltap/Qd68N3Tfbr0bjnuqfTgNl54SkoV/eeEhc4J9N&#10;S2HH2s4FtKUFTjoN5LQrIipPuJUid6xtGpB+4dVLB42OSYpG68Y4xNIELVyzIjMRy0FUp68LGFfJ&#10;gzjrNC16s/MYwB+ZEzaP7rdXlhAyfKhbEGd3mekbO859CCSEEEJId0BBHCHtBTvF/f7ld8Lmtz9d&#10;RBDDNaQhj1eWEELInkHP4eNv0c9NIk5rpdm/53wqiPMXQ5vNV++8Idz54kVh5/vTw7sfzti9CxzA&#10;LnCvbp8aXt46tfqKz5KGfDvfmx62vj0l3P7i7PDVu2506282OOpTDMep4ThBMW+XJw2FRd3JcBU2&#10;NKtfnLf1o8VD+K7w8sTIFeZ0A2L1ip70XG1GX8Xq9aeTdPv9pue0l67Rc7ibxkLM8yn3vtNz1ksf&#10;rnzuJ1Pn6GfG6nPjyL59qw+UbbIzZ/1q0ElVLd0hbucH4YXXt4cnn3wq3DXn8jB/wlFh4UmjC49M&#10;BVVB3PiDw8LvnhBWXjAl/G7ZDeHpFza67TSKFgZ56ZaUIEeLQjwhDNCCF9Sl08QXiE70dQ0ELUXl&#10;rdBFo8tbwY1uH6IbnSaI6A7E8liaIZZJxV2n5fhtfWg07qn+6bR65oT0DT7q6zYdeOkxpM8QR6Fv&#10;Xp6UME2up3b9wvySfLE2PFJ9Kuqv9CsWL9DomKRo1ngXiQhFoKmFb7pttKHza2QHOitmlLLeznyC&#10;HlM913WfYv0mhAwPTv3hT2ueJbPXxvEHU13w6LFj3YdAQgghhHQH7RDEwXQb4IBTp7sLwIQQQggh&#10;ezo94068v/bZqflH2luzgji0+b8W3bO3txDaCo5dtSzMefry8MRr54ZN26aGN96aEnbsmlbdMW7z&#10;9inhqddmhodeOS+s23JO2LxtSti+c8ruHeLe+2hmeO/jmeHuly8Mp65e4tbfbNbteK+6AI5d4uSa&#10;3gUqJXqxQgcstuuyOHYV9Z+8+olBZTVIx+50Wz/6ZKBkv6He1C51cnyjCPcg7pPd7vCKz5JX/IqJ&#10;/OADfJXyMUMeKQMBoRje6/okTY6eRRwhOND1w5eUQAF9R3s2LqgjFdd6hQ3wETGFXzYO8AH1xuaD&#10;xFeO0bRzAfWlygvosxao6HL19sti520MiYf2B1YUCzv2+Cx14BrKSt4yc1iwMYLhc9GOjmhLzyXU&#10;n3N/avQY6H6k0PMgZtoHO5fQDuIGg/+SV8YH+SVmYkVjJPVJG0DGImVFMRZ0nGL3eJnxEPNijvy4&#10;jjkg/RJLzYtmfEcBKaf7gvfSrsxVvNqygnxfaP+LxjB3nhQh/sG8dA38FEN7Xh5QT3/qHUcgpn2S&#10;+KRMxwhlxfAZaZiP4gtey35fDAU+/7OZi2ufGYe/IE544bVt4d6bFoeF3z0pXIcd4gqPTD24Kpqb&#10;W3ld9P2Twm2zZ4b7VywLz6wfWjvEabGIRfJYMYxcTwlSQFH5XGz5HDERhE2ySxReUUdKfANy45Ii&#10;FfdUmpDyQa7XG/dU3ak0jeSxdUvfYgKpnJ3aPHLGOhZX3adcUn23pMYzlQZy+tXomKRotG7xPxfd&#10;Tx2bXKSs9jslaEv1T/uOeZkrmCWEDC2aJog7rfcw5yGQEEIIId3CF8b0PaN/u7O3hS1pB47p3VXT&#10;zslnuAvAhBBC9iwOmnFneGnL9CHNnU9e5PaNkHo5YOxx62qem1r0Hxa0ef9J4m+uu3NfbyG0FRx2&#10;661h8kPzwk0v/Co8sfmc8Pr2SeGd96dXBXGbtk4Nj746K9z9hwvDo5sgmJsWtu+cGrbt7BfEYUe5&#10;d96fEda89MvwtTbtECeL3RCkyTUsvIulFuG10EEvpltDG1YwJui2YgYhgScikDZFLGBNiwO0r7oO&#10;AN+sACFmEARIOS2OsKIRnVZUvxfjHHFOLK5W2JBLjoAiNhYSX7SNGMUsVh4UldP+eeVzSc0FIWdO&#10;xOJfNPa63TJzGHFDHFIWi2+qHARQNn8MiGG0Ycxi4ymUFeYUzSW51xqZr2I6vu0UxJUdDzHtr1A0&#10;T2H6e0to9DsKFM1JjJGkx+631H0Pi91nufOkCKkH5qVrdMy8sQD19qfecQRi2qey952esxDixvyJ&#10;+T9U+cdJFz2inxnBiJHjRg08UrbFOiWI2/j2B+H+VSvCkv84NVw7vl/sBlHc3MjRqVcfd1BVOIfj&#10;VRdN/GpYM+/K8NhDD4XnXn3Drb9RtIjDS7ekBDmNimFi1y1F5XOJ7RCnRTYeELrIsYsCysR2C8uN&#10;C0AdEKbJDlgetkxqTISUD3K93rin6k6laSSPrVvvvIW4iPgQwkTd7yLfLTljrevX13WfcoBw0hNN&#10;tmKsc/rV6JikaLRu8T8XvUOcjk0OWkSZ63cqH+ak9R/fExDYldkhkBDS3VhBXNZ/RvaOQ6MgjhBC&#10;COluKr/Xm/Vvd6sEcVY03zN+orsATAghZM8Cgrg335o8pHnghQvcvhFSLz2HHrVdPzcdOLp37sAj&#10;VcsMf/jRbUIQ99kFq0d5C6Gt4F+Xrgr/tnZRmP3Eb8P9r1wQ3npnSvjov84NO3ZNDVu2TQkbXp8R&#10;ntlyTlj/+vTw2rap1d3hIIqTo1Vf2TolLF1/cTjlzpvc+puJFuDoBW6IHMQgZtBlNFpIAMNCORbV&#10;IRrAgrpekPdEHsgjhrIQ5aEsgG+6fs8PWcCXhXvdPsQtenctqQuvug4gOyKhDZSV6/BB6taCQQF5&#10;xXQ5myZ1oG34hDTUJ4Z0K9pB2/BLYiLXkU8LFxBjXQ7odJuWAmILxACx0/MBogk9lrIjk0bi640F&#10;+iKiGBiu2/JajIR+o4xXVsyWL0NqLgD0V/oBQ1xk3PCqBS/Ip0UlAPnEpB6Ukf7o+MlYeXGzc1ji&#10;IPGROYNX5NVtSRmgY6vbht9oC/Xq/EWgbW1oF/PUxsGi44L3Xh5g55KeD7qdRuarmDcXc9KLkHGF&#10;2b7WMx5inj+ID/qLGOkxQLv63rEiJj0eEusy31FAx1mXRb+kTjHvfpM2kBd90/6jLvQNhlddDuTO&#10;kyKkHhjKptBj541FI/3BtXrGEYh5PqG8GN7bdAFlrcn3Fny3Y+3VMRT5+xmXm52M2y+Im37J1WdZ&#10;H9ohiAOP3Ht3WDbp9HDt18aFa8b3i+FSgrjrTxod5p8wMiz9+Q/CA6tWhGdfeiWsr8x7r+5GgSCn&#10;Ep4qXrolJcjJFZVIHiuGiV23NFo+Ro6YSANBkxXA4LMVv+TEBWVSwiiNLZsaEyHlg1yvN+6pulNp&#10;Gsnj+VAUF6SXFRzljHUsrrl9itHKsc7pVzPGJEajdef4H6MoNily/c7Jh+v6uF0AYRx3jCNkePC9&#10;M6fUPEtmCeKwLXJtob7wsyPHuA+ChBBCCOkOKr/XNYK4Vi24DlpkpSCOEEJIBQriCBlMz2HH7Kh5&#10;bhrdN3vgkaplZv/zAp4JP3PdmgneQmgr2O/GO8OXVi4LP/rdddVd4l7eOjXseHdqVewG0ZsF17F7&#10;HN5veGNauO/l88Kvn7giHHXbcrf+ZiIL3N7ivF78jgkLtJAAC/ZFggks9Os0EQdAPOAt8oNUeb2A&#10;n6oDiK92Ib9ILIA2xWz/UmV1GswT5Wj/ITiw6Sm0KMum6XptWiPIeHliCDsX7JxB7ES44gl+JA2v&#10;3jyyYg2bXobYXBB0bO2cE7QwxgrQ7NjH6gC5c1jmIfLE7kftk85T1N960OIebYiFN34gdb9o7FyK&#10;1VdEar6KIf42LSe9CD2utq/1jIdYWX8wD8Rs2Ua/ozBXxby+YNxSIirtW+z7T7dh7yOJI6yReaLr&#10;KWM2no32J0VqHIGYl5Z73+mxxveMl1fHqt54dxt/e/F1b9Q8M1bpPWbgkbItdv5VC2ZZH9oliHvi&#10;ySfDXddcHpaeNTFc9+3jw9yTDgnXHH9QVRSHXePmjj+oumvc/BNHhnkDYrn5X+sNK86bFB596KGw&#10;oUViOKBFJDmCDRGseEdY5opKJI8Vw8j1eo/uzC0fo14xDnb/0sJCvWsVyImLtA3QLzsWKbFPKk1I&#10;+SDX6417qu5Umkby2LohOsR1xAciI70zH67FduUrImesY3HVfUodrxmjlWOd069GxyRFo3WL/9hV&#10;T1/PQcemrPgsd0xz+wcgfNQ+6R3pCCFDl59OP7/mWRJ/F63c42nD/wLRhcDZR412F98JIYQQ0h1U&#10;fq/bIogbdAzXMd92F4AJIYTsWVAQR8hg9DNT9bmpU4K4hWtO9xZCW8HfLb4rjLjp9nDEymXh5/df&#10;GxY8e1l4aNOssGXb1PDhJ+eGDz45J+z6AEejTg8735tePSb1v/7f+ZVr08ODr5wfLn7synDa2sXh&#10;X5aucutvFljMFsOuNjZdBDgwTygBZHEcwpPY4rheyNfCIQgGxLxFfEH7CXGFTtML+EXiAvEVr/q6&#10;Fgvo6166FQjkpsXiVyRySKH7XiatEWIx1GmpuRAT8eXECugdq7z0XFL90PPNS9dAhAODeERf1/2x&#10;YjlL7hwWn1P1ad+1IEfinhqbeoHPVhgXE/al7heN9DUlEMwhNc5isftOrOx9KehxtX2tZzzE6vFH&#10;zJbNue9S31G6j6lxkvvEjoOURxz0dYuUt79TzZ4nZS0Wj3r7U4SYbbcoLfe+E/9hsXjq54JUXUOJ&#10;v71k4fs1z4wVKs+REwYeKdtinRTEPffqlvDYIw+FexbPD8unnxGu/9bxYW71WNSR4fqTKq8nHByu&#10;q7wuPqV/Z7i5XxkXlvzkW2H13CvDM+s3uHU2CxwbWglPFQiOvDyCPr7Sy9uoGEZ2zfLEdgKELo2U&#10;T5EjJkoRK58TF0m3YjpBC2vKpAkpHxqNe6ruVJpG8sTG1B5v2yg5Yx2LK4ROcr3onvGQsq0Y65x+&#10;NTomKRqtGzGRNO+Y2RT6u6ysUDJ3TCGWk3yp/mmKxowQMrSwgrgDx/TuqtzfaTtwzOGDzu2/+Fh/&#10;q2BCCCGEdAdfGN37rv7tbtWCK45irWnnqAnuAvDQY41zjRBCSC4UxBFSy4gzlu5+Xtr93NSGRUb8&#10;4aemzcozYTsFccLnltwVRi5fEb6+ekm4/Mkrw/NbZoQ//vm88GH1+NRpu3n3w5nh/4ULw9vvTguL&#10;nr80nHzHjWG/G+8If7NojVtvs9AL297iN4QaEBrAYgv8KcGJRurR+fTiO0QXOr9FCx/0dV2Hvu4R&#10;81WLBTw/dJyseCUlNEilacQ8IUOKVN/LxKUMsRgWpQkxv/T1lLClWf1K+arHLSVQAzG/c8ce5Pap&#10;rKFeKav9wb2MfrVaGId71d5PuXHJmUs5pOoR03Eqk16EHlfb13rGQ6wef8Rs2dzxELPlJb72e9kS&#10;Gwe5nmux8vZ6WbQfXrpGxywWj1wr67eYNwfEvLTccUZZMS8d5NY1lPjbKzvzrKqtk4K4jW+9F55/&#10;bWt4/LFHw9oFc8LyGT8Li//j1LDgm0eHa78yNsz78tgw9+RDw9yTxoT5p34p3HjGt8Oqyy4ID9y5&#10;Kjy/eatbZzPRu27FhCT2mEdPrNJMMYy3SxNEWdg5KlZeC08a2bkrJSZKASGNV17HJSbsknTbJyF1&#10;tG2O4CY1No3GPVV3Kk0jeWzdch39xxzUaY2QM9apuEp5UHY3MinXirEWv3Cveumg0TFJ0WjdunzR&#10;joUWzA+Zp/hOKztf9PebN6ayW6GQ6p9Gl/PSCSFDi7p2iPMEcd7COyGEEEK6h3YJ4rDLiG7nwLHH&#10;uovAneKASWtCz+TV4Z+mrg7/Ov2uqkDj4Jl3hpEz76i+/9dpd4V/nnpX+MLUNeHAKaur+b16CCGE&#10;lIOCOEJqGfGjRZ8+L+2m9cdQ2TbxTPjZhWvn2kXQdvA3i1aHf7l5VfjB3QvDoucuDY++em546rVz&#10;wrot51ReZ4YnNp9TuTYrPPTKrHDLhovDzx+4Nvzz0tvdupqN7FKT2s1G7+jlCZVyBQlePl23zush&#10;5WH6es4CvpDyVYQ8iIle5IdQxRPzCSlxQK5wQMwTMgD4gJ3xZLw8s2XKxMUCYQ52i0J/tcBJmxeL&#10;VHyFmF+5/jbSL03KV8RbLDVuQPuj8+aOPcjtU1mzRzbquSyGe7DIvzJg7uh5ivp1em5ccuaSUO98&#10;FUP8bVpOehGxuSGUHQ+xmD8QH2LHMfTV1itmy+aOh5gtnztOsXxyPddiO8QVtV+E9sNL1+iYxeKR&#10;a94OcfWMIxDz0nLHGWXFvHSQW9dQ4q/nrap5Zuzn8NMHHinbYhdfu/gy60O7BHFgw1vvhedefb16&#10;fOoDd60K9yxZEO787a/CigsmhZt/MTHc/J8/qO4et+qSWdW0h++7Nzz1wsawYfu7bn3NRItQAEQ1&#10;EHHgOoBgSguiYjtb6XpSYhHJY8UwENnZdsQHEZsByWPLa0GMpGthC+pHvyC08YRQIiby0gSUBRC2&#10;ieAGr3rnKK9fkgbRDcpKn6QOESXCfy2aw3vxS5A0Ae3F0oTU2DQa91TdqTSN5LF1275rkAbgryfQ&#10;TCH14tVLB6m46n4hLphX2gfMO8wJjLftUyvHWo8X8sJP+KaFjo2OSYpm1K1jgHtN14P7BXFCPxE/&#10;XQ7o+Mi9JvcYQF2YLxgD6x/ySlnUjZghjx4XuQeALi9jbecBykqZ1FwjhAwd6hPEmYXuQw7tdRfe&#10;CSGEENI96N9u0MId4mbXtNVFgrgRk9aGL06/K/RdsDJMuHJpOHPxdeH8W68Jv77zt+HyCnj/fxde&#10;F74798bw5V8vDV+6cEX4l6mrTR0QyFEkRwghZaEgjhDDxHk1z2b9tFYQt8/Io/eybfaM7p3ymYVr&#10;l3kLoe3g7xevDmOWrwjfXrs4THv4mnD5k1eE+c9eFq6vMOfpy8MvH7s6/OS+68PJd94cDl5+W/iH&#10;xXe59TQTLLqXNW/xPleQ4OWDyEtM5/WQ8jB9PWcBX0j5ir6lDMIETxCYEgfkCgfErJDBiotSpsuB&#10;MnHRoI8xEYY2L4ap+Aoxv3L9rbdflpSvEFeJFQk+tD86b+7Yg9w+iSG/l56DiMescMy7t+sFbYjZ&#10;+ObGJWcugUbmq1gsnmL1xjs2NzRlxkPM80eLOFNmy+aOh5gtnztOsXy55WM0Wl6QemBeukbHrN54&#10;xKh3HIGYl5Y7zigr5qWD3LqGEt0giJv566vmWB/aKYjbuPPDKni/Yfs74blXXgtPPPVMeOCu28Oa&#10;BVeHNfOuCPctvzH8/v77wtPrXwzrK3lsHa1ECzdSpMQxEIhIPis20aTqgqBE0i3wD+kiTvHKQ4gk&#10;gqMUnjhF6k0JVyRPDIhitACnqJwI9rQYx0MLnWzdWgRk04SisWkk7qm6i9oVJI+tG/HJmZfIgxjq&#10;silyxroorohJPfdMK8dax1ujd1trdExSNKNu3D9F95lgywII3ry8Fs8/HXsLvlcwH+WzLq/HxQPz&#10;RO51QsjQpi5BXI85Cq1v7Dh34Z0QQggh3YP+7QZY/Bz4aW+qoV7blrsI3AH+ddqd4ejZK8P35y4J&#10;s2+bE1Y8fnF44qVzw+atU8OWbVPCk5X3tzz6q3DVmivCzOXzwr9fuzgc+cuV4YBJfn2EEELyoSCO&#10;kFpGfOeSmucl0DOyb9+BR6qW2BdGjtt7UJtj+iZ8ZuHadd5CaLv43OLV4YvLVoZjVi0L/3b34vCT&#10;+xaEM+6/Nkz83fXh66tvDAcvXxn+rpLHK9sKtOgn1yDasPXkCgBEtKLz6cV376hSjbQDgZi+nrOA&#10;L8R8FXEgfER9WoSG97gG4YouI6TEAbnCATG0o6+LvzCkWUFequ+ptBjoo4wTXiHOsOMSi2FRmhDz&#10;S1/3hIdCPf3ySPmqxw0xsOka7Y+eI7ljD3L7JAYhqZdeFvil57rdUa4RYvHNjUtqfIRG56sY4m/T&#10;ctKL0ONaNAdA0XiIWX90TFEe5ez3lViqbMpHMVte4ov46+uW2Djklo8Rq7csUg/MS9fomNUbD49G&#10;xrEoLXecUVbMSwe5dQ0lPEFcq/6WGLNOC+I8Nmx9Ozz1wobw6IMPhkfu+1144sl14bmXXw0btu+q&#10;yafFdK0EQhTsdGTFKBB55ezCpcUiKfGHiIj0rlUalIWAR/LhFUIVaR9pqfKxfkDQgrJI80RrUq8W&#10;D1ngA2Jh68bnmD8A7cmuVsgvfdJ5ILDR/Qb4LMIbXAe6DEC7UqdNE3LGpt64p+rOaRdIm17dSANe&#10;3VqUhldvXD2kL3j10kFOXGU+4B5BXgGfETv455Vr5VhDcKf9wXst3mp0TFI0s27EzsYI73GvQYCW&#10;+j5CfxF/K45FWYyXjocF8dP3N+pAezK3xB/dP/2do/2V787ceUkI6X7qE8RVMulCJ44b6y68E0II&#10;IaQ7uPy4g2t+8EFbBXE/X+UuBLebvgtvC79YsiAsvP/X4d5nLgjPvDIzbNk+Nbz/8czwwR9nhte2&#10;TgnrXj4n3P/CBeH2J2eHeff+Jky68dpw6pVLQ+95K8MXpt7p1ksIGVq8uK1/1x28eunN4Mwlz1Xb&#10;gOG9l2dPIyaIGzX6s9U/Op13wRFueqeYePpBVb/wKtcoiCPN5IDTav8gAyBYqz5QtchigrjPXr9m&#10;k7cQ2i7+etGa8LlFq8O+N94R/uXm28PI5SvDqAoHLas8fy29PfxjG8VwQHYk8kRuFn20qRVpiAAA&#10;C/j6ugYCJzG985HeDSclPNK72dkjGHMW8IWYeEJ2h6tnl6yUOCBXOCBmhQxiMb9SfS8TF0H7GxNH&#10;xWJYlCbE/EJ7Yqm5UGZXwRQpX1PzzRK7j3LHHuSOlYilcu7ZXLSozM6/RhCz8c2NS85canS+isX6&#10;LVZvXPS4Fs0BITUeYva6bscKqAQxWzZ3PMRsefnuhFkxogCf5D6x45BTPkXOPMlB6oF56Rods3ri&#10;EaORcSxKyx1n7YOXDnLrGmoMem5ssyDugqvnL7Y+rH7ieXexs11s3PFBWL/17fDClm3h+c1vhvVv&#10;vt0vhmuD+I2QbgciIhE0xYRlQO+4lhI6EUIIIY3yvTOn1DxLZgnidAFwWu9h7uI7IYQQQroDTxDX&#10;qmMOsKhq2xpxxlJ3Ibid9Ey+K3zjyhvDzY9cWt0RbseuaeH17VMqDIgfdkyuvn9t25SwZdvk8EaF&#10;9a/OrArjLrnj6vCDuUvCmHNud+tuBlfd8+lCV8qeee09t3wzue2p/l1R/vinP4fTrn7CzUPIUGbz&#10;2/0LO3j10pvB+bd9uiCC916ePQ1PELfmnu/u/iPow49NHJTuIQI6sPfef+nmibFg4ZfDX+z1P3aX&#10;/82Vx7v5gOcbBXGkmXiCuMp8a6lhBzrb5v5947/vLYDuqcQEajH0ArgVCGkhAd57C/k6j979S4s/&#10;8BoTAWgRlF2Az1nAF8QPvHrXIdooK2JIiQNSaRoxK2QQ8wQOICUOKxMXocjflLAFxOKrifmFusXQ&#10;hjcXtDATZtPLUOSrpMNiY6d3WbRjlDv2IHesdD607eWpBxlT2wcP3B+4V1OixZSfOi4xERvImUtF&#10;MS6ar2KxfovlfEd66DgUzQFNbDzE7HXdjr4u6O97W7YohoKYLa+FrN7OhRgDveudHQfdfj07H+bM&#10;kxykHpiXrtE+p+JZtj+NjCMQ89K0X6n7rsgHoOvCey/PUKTnsKM+0c+NPaP7Zg88VrbFulEQRwiJ&#10;AxFc5dat4qULEMFJPgriCCGEtBIriDtwTO+6yu9P3Lz/Tfy9vkPcxXdCCCGEdAcXH+vsEDemb8LA&#10;z3tTrfIwcYxta8SPFrkLwe1gxKQ14aAZd4VjLr4lTLn52vDg8+eFP/75vPDf4fzw9rvTwra3p4St&#10;O/rFD3gPodx7H80Mf/zvWWH725PD4y/NCosf+HU4c/F1Ydz5rdvp7t71n/6BNWWt3NFKELEQjEIe&#10;MhyhIK4zeIK4UyccUP0D6FHHfG5QmsdZk2qPOAFePo/nN/6sRgwHUJ+XV9hn37+q5pNd4iiII82k&#10;5+Qzap6XKs9QuyrzraXmCeL2+/r3f+QtgO6p1LOLjYg0IIbR17WQAIZ0iGCwUI6Fd53uiRb0AjzK&#10;wjeUBahH2oV5u3XlLOAL4ov1Q9dhDWIO5Efb3uI/ronZ9FSaRswKGXTMtYjBxhWmy4EycREwF8TQ&#10;bxEvQtQCAZQeC28sY/HVpPzS8xLto03ETbeNWIjZ8mUo8lWPHQzjj7iLP1IeBl+tgC937EHuWKEN&#10;3X+U0wJTjB98gxDH9gvxs3MY+bXIsMhPoEU5qBM+oBzIiYudYxJT+KHzFo0PaHS+iqEPNg3oOYf6&#10;4Kf018tv0eNqy9QzHmLWX/gmhvKoB9fxirx2zuiyaEMs1S8xWx4g9mKYezKmum159cZBzxmU135g&#10;LFEf+oU6dDmQM09y0D546RodMy8e9fankXEEYl4a6hBL3XcoK6bLa3T/dd+GOgeOPepPNc+Oo3vn&#10;DjxWtsUuvnbJrTXtV6AgjpDuBcdUVm7dKqnjMXU+Hk1JCCGklZQWxHl/PD37qNHu4jshhBBCuoNO&#10;C+L2nzjPXQhuBwdMWhuO/9Wt4Rc3LAgL7vt1ePLlc8PO96aHdz+cWSOGA3i/dUe/KG7XBzPClm1T&#10;wuMvnhtueuTScPYN88PY825z22gGIojb9t4nVfFMjHbs2Fa0Q5ykv/vRnwalkU9B/GCLH9nippPO&#10;QUFcZ7CCOAjUKj8bVbBzm07zwC5tImgToRrw8nrIEai6bJEgDse4Ih/axWcK4kgz6Rk/seZ5KWvL&#10;/gbN+5vOPv/2o7O8BdA9FRF6YGHcS/fQC+VYuJfrsvgPMRMW12OGtvTCuyZVTgx5vLI5C/hCTDwB&#10;v7SoI2VWbJASB+QKB8Rs3RAtpEzHTZcDZeKi0aI0z6RNG0MQi68m5VfROKBeHRNbvgw5vmqBSsxi&#10;8zp37EGZsYLoSwu9Ymb7VWSx+8sDIp8iQ1xE0GOR2FvT4r6c8QGNzFcxe98Jely05e7Op8vbOVBk&#10;3niIef6m7hsIqWTMbNlGv6MAxk2LtaxhjCQW3jjg/onNCWu2bO48KUK376VrdMy8eDTSn3rHEYh5&#10;aSDmk77vZJxguqwmd84MNQ444sT/qnl2bLMg7rLrb1pb034FCuII6V5uve+R3X9vwdGp2DFOC96Q&#10;/uVvfmt3nu/++Iya8oQQQkizKS2IGzFy3KjaAn1h+lGj3MV3QgghhHQH5x09qua3G7RKEOcttI74&#10;wZXuQnA7OGDymvCtOTeE+ff9Jjy4/vzw0pbpVSHcW+9MrYob3qgemTqpCt4D2Slu85tTwrObzgl3&#10;PnlROPeWuaH3gtYL4lop0GkWejc7L530I4Z4eemkc1AQ1xmsIA7HlVZ+Nqro6zGwixzy4shUvVOc&#10;l9eijz9dvuIbu98XCeIgwpO8EO1REEeaiRXEFf5Bpgnm/U3ncz+ZOsdbAN0TweK3mBa2FQFxi4ge&#10;tFhDFuhFJII69aI+3mOR3RMNabCwjrq02AfvcS216I52YfDNS9eIr3jV17UQy8YE/YYIS/dJ+6Pj&#10;qYUFRWkaiasntJG4aMGJjgmue30vExcLYqDFE6gDY45YSJ9sDEEsvpocvzBf7ByScZH26+mXJsdX&#10;gD6j79oftI34pO6f3LEHZccK8xVlrMBF7hek2fsN88XrB/Jjfuu8OaTqS8UFwDeURX4ph886T+74&#10;gHrnq7SPeNk0AXNRfyehHtTr5bXALzE7B+oZj5S/iKm9b+C3fPfKHLNlc+dpUaxkTG2s5HtK2k+N&#10;J+KFdGkLhvcYW/TDizvyw1L15gDfYWjPS9fAj6J4gHr6U+84giKfZIwkH17xWeeR+pGmr2ty58xQ&#10;Y//jv/5n/dzYM7pv2cBjZVuMgjhChh5a8Jai79jx3B2OEEJIyyktiDtwzOGn1xboq+464y2+E0II&#10;IaQ78ARx2Mlt4Oe9qeYdrz7iO5e4C8HtoGfy6nDmwuvCQy+cVxU3yK5w2AmuX/AwqXLt0+sQxCFt&#10;+84p4fXK+81bp4Z1fzg3/OauK8NRF61w22gGFMQNP8QoiOs+KIjrDFYQJwK3nONStYgNIrWygjiI&#10;6JAXR7Tis5QtEsQB2VEOZSmII82k56gJNc9LPaN776nMtZaaJ4j7h7MunOctgBICRFRhxQEaiAnE&#10;IE7w8hBCCCFk6DHiBPu8SkEcIaSYRatWV4Vxn99v/91/fwHYNQ7Xke6VI4QQQprNqT/8ac2zZOHf&#10;XysZpugCwFt4J4QQQkj3gN1c7e93qwRx+4w8ei/b1gGnne8uBLeDA6esDpNuvDY88/LM8PGfzg3v&#10;vD+9RugA0dtrW6dWj0cFIogTwdzb704Lr7w5LVx33+XhuIspiAMUxOUhRkFc90FBXGewgrjKT0YV&#10;HEuqr1twtOree/9lNa8I2MoI4vSxp6gL16RsjiBOjlpFeQriSDPp6Tul5nmpHUdQeYK4v59x+f3e&#10;Aigh2KVHTHYziiFGQRwhhBAyfBgsiGv9f+DQdsUNyx7R7QMK4gghhBBCSC6lBXH4A60ucMihve7C&#10;OyGEEEK6B08QhwXRgZ/3pporiDt1ursQ3A56Jq8JP7l+UVjz1EXh5TemhzfemrL7yFS8bnpzalUs&#10;98RLM8OGzdOrArn+3eL6BXEf/PHcyuep4YaHLg3jf3WL20YzaLUg7swlz4VnXnsv/PFPnx5LgrYW&#10;P7JlUN7bnuo/DgR59XVd1rN3P/pTTX7wpV8+WO3btvc+PdoE9by47YO6RELoh9SBz179eO/1S0C7&#10;v3/5nd2iKLEivyQuyIPPV92zqdpnGF7xWfKkTPtm6zzt6idqxgmv+IzrUiYG6rV9io2xIO0grogl&#10;2hITnzTSXy9NkDoRYy8dSD2eWBB9RVk9prCivuSMj+SVOOFVrgmIhS6n0xAj+CbpMPiJfiBN57WC&#10;OJmruix8zbkPkAdjo8sWzVegxxef7RxBfZ7vGsRVjwXK5M5JixbE6R3f8F6ue4j4DaI4EbTlCuKQ&#10;H0I25NPCOymbI4jDUamSf96yH7l9I6QeDhx7bM3zUs/ovtmVedZSw3+I0G0CCuJIDIjgxFJHPep8&#10;9RwxSQghhJDuZL+vfLvmubHdgrhfzrn+Cd0+oCCOEEIIIYTkUscOcX3LdIG+sePchXdCCCGEdA/t&#10;FMTBbFudFMQdMGlNOO2qm8PVa68I9z57Ydi4eXpV8Iad4nAs6h9enx4eXn9++N1zF4anXz43vL5t&#10;8m6xHI5Q/eCTc6r5bnz40nDCr5a7bTQDiFJgnkCnUSAESpkVGYkvMH1dxDUxg1BG54cIp6gMhDW6&#10;TBFaZKSFS555daNMjnnCKz1GSLeG9LKCuKI6xRBHETVZIGay4jFrSPdET2KYI14dNr8WzNk0oOea&#10;nQ+CHgMtUgOpGIjF+pIzPpJXRGH2ftOxtDGHACw1n+1803PVisqs6Tlh0TGPWew+EkOcpc+exWKa&#10;8jk2vim0IC5X0IbjUSWfFs7llscxp8iDI1P1dSmbI4hbc893d+efcuFX3L4RUg/2ealTgri/vfi6&#10;N7wFUELAx3/u/+3DK3Z/w65xkob3uCZ5tn70SU1ZQgghhAxtrCCu8iy5buCxsi3mCeIe2rDJXewk&#10;hBBCCCHEUl4QN6Zvky5w9Nix7sI7IYQQQrqHs48aXfODD3pG9u078PPedDtwTO+umrZOPsNdCG4H&#10;IyatCSdcekuYcvP8sOTBy8Izr5wT3nl/Wnj/45lh29uTwytvyA5x54YNm2dUd4jbvrNfEPfG9klh&#10;xzvTKnmmh+vu+3U49uLW7xDnGYQsENR4gpUcRMQDcYve1UlEMlaMo33R13PTgRYPoQ0tfJIdwMRS&#10;YiCLFhnp+lEH0hAnLVqydYtfEBDBJx1T5JWyeNXlgPRb58E1adeKu8SQR1/X2Dph8A11oj7sACaG&#10;fnp1iGgJAiX0QfqEVx0PTzQlJnlkrIC3wxvqF7P9BXpcYZ6IT+fR8Ud9YvAH+RAHgHbhmxj6rOsE&#10;ZcZH6tIxhS8SS5S1vstYIA11ynXkQ2xtfJHHmsQXaToOqFPHQtB5ML7oB8pKn7QgFHlteTGJia4D&#10;MdWCN+s/8onhvVzHPYS4emNQhBbEHXXM56oCM+zepsVnFgjZkA/59fUcQZzehQ6iNp0m13MEcUDy&#10;f+8nX3L7Rkhpfr6q5rmsn8NPr8yzllrPmL4Jtt2/vWTh+94CKCEAO8PlGMRwEx94zq2DEEIIIUOT&#10;fb8xsea5sd2CuIuvXbK+tn0K4gghhBBCSD4nnPb9mmfJ0oK4rx1+mLvwTgghhJDu4WdHjqn5wQct&#10;FsStq2lr/ER/MbgNQBA37vxV4Vtzbgyzb5sTHlp/XnUHuHc/mlHdAQ4CuNe2Tg2bt04JW7ZBBNd/&#10;ZOr2Sh58fmnL9PDQC+eFS26/Ohz5yxVuG81Ai09i5ol0itCiHLz38lhEWASrJx1AXANLiWZEYFRm&#10;pyndHxhEPTYPYiRWpm6gBV82XrrfOWMhhnJeOrB1emOkhWBWNCX+oqwWO2r03LJ5tHmCOQvaF/Py&#10;a4EWzBNpSR6Mv3c9FVstELRjX2Z8rCCuSAwHxFLjqbFzVYvKBO2zFRhirMTgmyeYwzUd87Ljmypv&#10;Y9QMtCBOhG525zaNHFUK0Rx2itNpOYK4ffb9q2r6xNMPGpQmZXMFcXLs6he++Hdu3wgpy4gzltY8&#10;l1Wfl8b0TajMs5aaK4i7cqm7AEqIgJ3gHtz2Ttj0/qfPJDDsDLd+1wfJ41QJIYQQMnTZ5ztn1Dw3&#10;Yn1w4LGyLUZBHCGEEEIIaYTBgri+ZQOPmr7pzOC0XgriCCGEkG7HE8R9YeS4vQd+3ptu3SaI+9fp&#10;d4UjL1wRfjhvUZiz9opw33Pnh42bp1UFce9+NDPs+mBG2Pne9PD2u9OqYjl8/vCTc6tiufueuyBc&#10;tfbK8B/zl4RDz73dbaNZQEBjRS+4JuIyWEr45KFFNZ4gx0OLdOpJB2KeYE3QO4J5Yh8PLTJK9UfH&#10;rEy8dP14r9N0v1P9EsRSAipdZ0zAlRLpiWgpJWZDbMWs6EosJrjy0Dul6et6rsXEjjqPjqGeC6l4&#10;6b5YQV2Z8dFiL9RZJIYDIhyz7cbImas6Hrbfenc4O+4aHTvbjljKZz2/dNzkHkK/c+dGEVoQJwKz&#10;mCDu+Y0/C3vv/ZdR0VqRIO68C46opqEd1GXTpWyuIE4EfBTEkWYx4keLap7L+uk9pjLPWmoUxBFC&#10;CCGEkFysIA4nQgw8VrbFLr3ups217VMQRwghhBBC8ikliMPCuc4MsMDuLbwTQgghpHtotyAOW87q&#10;tnqO+ba7GNwuRlT4wuS7qjvFnXrl0jD95mvDqidmhzffmhT+HC6oit/e+WBGeOf96RVmhD/+96wQ&#10;wkXh9W2Tw4Lf/SZ887c3hUNnrQoHTrnLrb8daLGPt+tWChH/wCBySe2cBXRb9aRrIVCupQQ/Gl13&#10;qgyEQWK5dYNU/UX9tohZoZMmp86UT2XN+iKW8tGiBVRaYCcxh7hMi7S0IFGPixZZ6TgUCRhlPltB&#10;Xk4sBS2IyxHDAV0/yllxoSU1bhoxOwbioxUVeohZ4ZtYanzRZzGdT/sPHzDujQrjtCCu8lNRJSaI&#10;E8EbRHGpdGDTIIATwd1vrjx+UDqQshTEkY4xcV7Nc1k/rRfE4VhW2y4FcYQQQgghxOP/TDy75rmR&#10;gjhCCCGEEDKUKCWIGzFy3CidGZx91Gh34Z0QQggh3cPpR7RbENe3TLfVc9QEfzG4A3xxxp3hpMuW&#10;hYtumxMe2TArvPLGtPDy69PCi1um9/Na5f1rM6rv7332l+HsGxeEUefc4dbVTvTOWBDKeHlioKyI&#10;a8QgcIE4yRO4FAmLitK1kCbHyux6lysyKsqHaxAH2rhos+WK+m0RS4mRcupM9aWsWRGXWMpHi56L&#10;Wpwpu8KhLp1H71om4jMr3NI7+unrHnrM9PUy4yN1wB/MP1jOPNS7tsFQBte8cqlx04jZMZAd6XLu&#10;dzGbV6xofMVsPojgJD5iGKtUf1LkCuJwPKqkQ7C2fMU3BnHqhAN255FrcqyqpEFMp8topCzyyjXr&#10;h4aCONJsRvzgyprnsurzUguPsxfzBHF/PW+VuwBKCCGEEEL2bDotiLt88dIdte13VhC3cecHYf32&#10;d8L6N3eEFyqsf+PtsGH7rrDx7Q/c/IQQQgghpLP0nTyh5lkyKYjzjtaYftQod+GdEEIIId2DJ4jb&#10;Z+TRew38xDfdDhzdO1e31dN3irsY3ClGzrwznPbbm8KsW+aGufdcHpY+/Ktw22MXh9sev7j6fu49&#10;V4TzKmk/WrAoHDP71tAzZY1bT7sRMRHMSy8CIhYtPIJBdGN3xSoSFhWl5wqB6iG37lQ+G4OY2XJF&#10;/baIpcRIOXWm+iKWaiOFWNnyIn7Tu5eJiY+SB/MWn7VITh/NqfPC9HWPZgri8Kp3SIOvnkhUA/Eb&#10;RHBaKIb3tk+pcdOI2TGQ+jspiAOIB0SNItATK7tTJcgVxGnBWhmkLhGvlSUliqMgjjSbEd+5pOa5&#10;DLTyPyuIURBHCCGEEEJyGSyI68O/i9pmF85ZsNO230lB3Po33grPvfxqePqFjeHJ554PTz2/ofJ5&#10;c3jh9e1h44733TKEEEIIIaRzWEEc1q8HHjUHm/eH04uPPdhdeCeEEEJI99BuQVzP6L7ZNe2NPdZd&#10;DO4ko8+5vbpT3A/mLg5Tbp4fzl8xp8rUm+eFf5+7JBx14Yrwz1NXhxGTukMMB8oIZFJA4KLFQyJY&#10;EoqERUXpWgikdwdrBrkiI300p86nfYcIy9aRqr+o3xYxlPPSQU6dKZ/E7I5ruYilfPTQ8YWgTI5I&#10;xRz18kBEpo9ataIzHYeiXdpEzFZ23mqkDrmXtK8QTNr8MfQOanjVvqfGTSNmx0B81KLDGGJWpCaW&#10;Gt/Ykake6IcW5hYdG2vJFcStuee7u9PLcNQxn6uWx6uXXgTatb4IFMSRZnPAaefXPJcBCuIIIYQQ&#10;Qkg38fmfTq95bgQDj5VtsU4L4jbseK8qdnt64x/CE+ueDI8+cH94ZM2d4f7bbg333bq08npLeHD1&#10;HZXrD4Snn98QXnjjLQrjCCGEEEK6iIYFcd6iOyGEEEK6i+/1HVLz+w0Gft5bYoMEcRW8xeBO0jNp&#10;dRg5847Qe/7KcPyvlodTfr2swvIw/pJbQu8Ft1XFcF65TqHFNWUEOyliAqIiYVFRut4JrFm+CjoO&#10;KTGO3nFMi69iYiohJWIq6rdFLCUyyqkz5ZOIk3JEUx5iKR89IPwSgwgLwLQwT+eBcEzGRERoGi2W&#10;szutaXSddm6VGR8riAN658AyQs7Y+KTGTSNmx0D7kxIJpmInltrNTYsBcwRuuJ9EBFh23mhBnAjM&#10;PEFcDjhKFeWBl16ElEU9XrrlL/b6H9X8FMSRZnHAqZ1ZXOwZ3TvFtustfhJCCCGEEOIJ4lr5H2yt&#10;zZ678GPb/rotO9zFzmazfvuu8OyrW8KjDz8U1l43J9xy3tlh+bQzwrKpPwnLJp8elp71H2Hp2RPD&#10;zWdNDLec84twz6Jrw+O/fyQ898rmsPGtd906CSGtZ9pFl1T/fvMXe+3lphNCCNmzKCeIM8efHXRI&#10;r7voTgghhJDu4rTew2p/8CsM/Ly3xLzF1v1/vspdEO4sa6o7wFWpfN79vot2hQMQoOhdmVLimjJo&#10;IY2+XiQs0ul2py9BBEcweyRrI2iREcwTT+k8duc0Twil0eIgG+cygisglhIj5dSp+5PyqYyISxBD&#10;PV56CpmTeJXjNO14SB49Hzw/tcgKr7F5pYWOjYyPNw/qvc+0SE+XSY2bRsyOgS4fm6/wWWLvxU2b&#10;J061cbfpMaTNsvPGE8RBaKaFZ7m0WxAn+b/+7UPcvhFSlgO+2pnjpyiII4QQQgghuXz+Pwfvaryn&#10;COJeeG1rePzxJ8I9i+eHJT/5t3DN8QeFa08YGa4Z/+mpWbi24MSRYe5Jh4Slk38UfnfTovBEpcwL&#10;b7TWx+/++Izqv08p+GkNWlC19snn3Dzdhvjs8fn99g9f/ua3wqJVq92y4H/+789U8/YdO95N11y1&#10;ZOnuum+97xE3j2b21fOq9SKe2ifM41bE94wpM3a346WT1vPoH7bsnlMYZy8PIYS0i1KCuJ7Rfct0&#10;5kMOpSCOEEIIGQoMFsT17hr4eW+JebvKdqcgrjuAQAgCEwin8B5CGAHXRLACK7vjGuqDyAdCJb3L&#10;FHaCknqt2KZIWKSFdBAowU/Up4VfWsyDdmz7EMmJb2VENbpeMfiA9pGGunS8cE2Xt7uAiYAI/ug0&#10;mC1bFBeLFiqh/+KfrjenTuQXsz5pQRMM9WkBImKOthEjT1QlhnI2rQjEz5rdyUz3T8zm8fKiT5hP&#10;6C9AWxJPmHcf5MRS8ARxAL5JPPEqviKmaN/GF+9FRIf8WpCWGjeNmDcG4icM7SMOEhP73YBxtuWt&#10;yXcByuNVx9S2jzTEWfuOeOj7JNUvDy2I04K25zf+rEZ8lkM7BXH6CNczphzv9o2QsvScfEbNc1LP&#10;mL5NlTnWcvN28fUWPwkhhBBCCOm0IO6S+UsGtd8uQdzTL2wMv7t5SXX3t3mn9oXFp4wON355TLj+&#10;pJFh4cmjKq+jwqKTR4ebvnJImH/iyLD4h18Nq359QXjwrjvD85vfdOtsFgeN+fTfw146aQwd35SI&#10;rJvQPqeIiZMkHfV46RotOEvFB2I5EUWlaLZgioK4zoN5IWOQM6cIIaSVjD5yfO3zZBlBXN/Yce6i&#10;OyGEEEK6i68dXiuIa/Wia6X+Cbo9MOKMpe6CMPGFRZ5pwVkuWiTkGQQ1WuBjy+jrghVhieGazgfB&#10;jZfPmicEigEBjhjilqrfEwhpwZNnEAyJwMmKfYriYonFHn57eXRZje6zJ0ASsVaRNVsQh1hqQ9xs&#10;HvimzcujsaJEzzwxHCgzPjFBHNDxhr+Y7/pazOx8Kxo3QcwbA7Qt8zFl3lwHYvjuSNXjxbTIYuOQ&#10;QgviFiz88u4/ji1f8Y0aAVoO7RTE/ebK43fnn7fsR27fCClLz/iJNc9JB47pXVeZYy03K4jrGXv0&#10;n73FT0IIIYQQQv5x6iXqebWfL4wct/fAo2XLbdYVcwe17y10toLHHn443Hre2eH6bx8f5p40Jswd&#10;f1CYVwG7ws0df3CVeRWwQ9yc4w+u5Bsflk75cbj3xoXhuU2vuXU2CwriWstQ3CHOivg0EJzp3dkg&#10;GLPlJa1ZgjiI4XSbqBc7xYlPiLEWy8XqqYdWCeJkXsBvL518CneIGzrIfYr700snZDhgBXH422hl&#10;3vuGP9DqzEePHTtowZ0QQggh3Ue7BXGVZ4ZjdHtgxI8WuQvCpB/scAaBiRWt4DOuW9FaLhDUQIAF&#10;4Y8WgqFeiGT0jlaCCPSswE0Df/TxlbJ7lc0H0ZQnxpF+xYQ8MazISHaskr7hVXat88oDKaNFZPBH&#10;fJF+2ZjnxMUCkZNuB3WjfUnPjbVYbB7ocdaGttEm0ryxlrh5Y5eDbi8mqtNjn9MOxg4+67hJP1Lj&#10;mhNLQcYYr1465oKYzAu8en7F7s+ccQM5Y4C2vXsYbev5ZBHD2GD87XxEndI/C2KN+vX4oX3EAN9X&#10;XpkitCAOu8JVfi6q5IjSLOddcES1bL1HrqIcyqMeL10z8fSDdrf1wAsXuH0jpCw9x3y75jmpZ3Tv&#10;PZV51nLD/4KsaXfc0f/PW/wkw4/1u/p/+/DqpZPWM/GBT58N8N7LQwghJA6/R9tPJwVxm3bt2qtT&#10;griN298ND9y+Itzw49PC1cd9MVwzIITDq/57q4jj5kAc99WxYfHpp4Y751wWntnwkltvs6AgjliK&#10;5oQWqOEVgiWdLmWbIYhD3VoMlxLaIA15h4IgrlX1EtJJZE5jfnvphAwH7LNkUhCHxXOdGYvr+uGP&#10;EEIIId3JiePG1v7gUxBHhigQ6YilxFGEkMZ2AGwFWhAH9tn3r6p/dBk1+rM117sN8fOoYz5HQRxp&#10;Gj1HTah5TuqUIG7EkSf9t7f4uSez6f1+sffHf/6zm65ZvunTXX4vfXaTm0cjojS04aW3EulXJ9om&#10;/Ux7/NPnWLz38sTAfPQM1zGmmIsH3/KgW3aos/WjfnF+I2LOB7e9U61j1yd/GrZxagexeVhka17f&#10;4dbXTHBPiX8538dlwJzB3IFhLnl5upFGvjfk9wr3n5feKVLfo62cA3sy/3DulTXPrKBnZN++A4+W&#10;LbVOCOI27vwgrN+6Izz1/Ath7YI54frvnhDmn9C/E5z391ZwTSXtarw/7qAwf8KXwm2/OrdSfr1b&#10;f7OgII5YcuYEduqSPFaAJtebIYjT7eSIbLALnxXoNQIFcYTkI3OagjgynLHPkj2je6dU5r1vB47p&#10;3aUzn9ZLQRwhhBAyFLCCuFYfyzVi5LhRte31hf0nznMXhAkpAwVxhOQj1q2CONnlDWDHOJ3WLTz8&#10;2MTdPuLoVAriSLPo6Tul5jkJQrXKPGu5DRLEHX2Ku/i5JyPCGVjR7jMiGIDliHXEGhH21AsFcZ0n&#10;JeRIoculDIKd4bhjkjYvPQeZ/7AysSe11GvtEMShDbFmt6fvwaHyHdro94Y2m9ZJdL/svdzKObAn&#10;00lB3Ppdf9y77YK4He+HZ156Jfz+3rvD7ZedHxZ848hw/UmjwrUn4FhU/2+uALvILThxVLimku+W&#10;GT8PTzz2uFt/s6Agjlhy5gR2Y5M8OP5Tp8n1RgVxene4Th0tSkEcIfnInKYgjgxX1m3ZMehZ8sAx&#10;h59emfe+2czf6D30E+/hjxBCSD4Lvt4b1pz3n+GRuZfs5skl1+zmuRU37ObFu1e5vPr7+3aDz8t+&#10;8k23rSLgC9p887knC9FtxoAv9112jttWDqsmTdwdAx0TDx0/C3wAqM9rJwfEBnFFHUUs+d4Jbh2d&#10;pN2COPxxrLa9vjDiB1e6C8KElIGCOELyEetWQZwVm+m0bkEfzQrRHgVxpFlQENe9YFcZMeye4+UR&#10;9O47eO/lEfQi/vyNW9w8rYSCuM6TEnKk0OXW7Xiv+lnAXNJiL8zDobIDmhx9CJ9TQr6iHeLkPkzd&#10;V9whrjlgnPT8E8Ts/BROXv2EW18zQTsyF7hDXOPfG9whjgidFsRNuujyQe17i53NYuNb74Ynn34m&#10;3Lf8pnDLrF+EeV87PFsQd10l39zxB4Wb/vP74YFVK6vCuvWV7wyvnUZJiZ9wNCauQ5SEzxAoYccu&#10;iJPket+x46v5pAx26PryN7+1W8iEV3yO7dqF8sgnoiqIonDNlke9tiyw5SHEkLKf32//QeXgB/Lq&#10;fktelLV+SgyAFX5ZpE74JNdQBtfgk86r0yR/LHaxvgP4C7/hP8rEKCMoyxHEie/gqiVLa9LkeqOC&#10;ONQraZh3Oq2ZQNyn+4xYyVzQ/tlyGBeko6yMmYBr3vGuNp/FjhPqwByw44t8RXOjCJlvcj/n1Fvv&#10;nNXzRX9fWBBzqQtl5Lp3zaahXpRH+9KWvhcF+Ib5ZGMaGzOh3r4Ltjz81eUl9vo7SL4PkS55MOck&#10;PYb9HgWx7zih3v5JuRSpuBIylHhow6ZBz5I9Y/omVOa5bzbzd/oO+aP38EcIId0OxE0QLkGIBqGU&#10;Fk9BXGUFaBB3iRBs56YXq3ywfWuV//rwg2o66vLaSgHhFOpohZX1BzFBv1phiKHXZgqMRSusHl/q&#10;iQ3ye3V1iqPHmiNTW3ws1xdGjttbtwdGfOcSd0GYkDJQEEdIPmLdKogDOIa08rNRfbVp3YAcl3rq&#10;hAOqnymII82CgrjuBaIAsdRObiLm0WYX5zV655p2iEMsFMR1npSQI4UuF9v1CIIXsaGyM1K98bCI&#10;cUeoziHGMege+L1BmsXfXTiv9pkVz48jx40aeLRsqXmCuNFHDhZKNJMN298Jjz36WFi7cF5YNvWn&#10;Yd5XDw8LThwZ5p0QPzJV6D9a9aCw+PSvh9XzfhN+/+D94dmXN7vtNIoWAtk0iCokDeINLa7Q4DrS&#10;IXqI5YEYwxNiSPsQaujjMS3SRqo8xBq2nBZZpfogeO2IYAh90Nc1KCN1aNEO/JLrOr9OEyGO5LPE&#10;+o54WlFPDPTBlo+RmhOCjrX1Ta6jHn3dQ8fHCuJSac3CmzMCYqvFSLZs0VwCqL9MGT1OOUKj2Nwo&#10;IjXfBE/EVO+chYhK0lLiRt1nXV6uoX2dX6dBQOndDzpvTr9j31WN3q+55aX91PehnVea1JwGjfpn&#10;y1MQR/YkSgni9hl59F428w+/NOZj78GPEEJSQFwkQBCGXbdk5y2IuAQtVNMiNRGq1bvzGNpqlQit&#10;7M5g6EurDCI9r80YiHkrDePttRsDQsNWWdkd9DDf6rF6xHetohsEcQecdr67IExIGSiIIyQfsW4W&#10;xC1f8Y3df2zBjnE2vZOsuee7g3yjII40CwriuhsRj2GnGS8dYPc4mOxeBUsJCqTOTu22Q0Fc56lX&#10;yJEjbNFCzqEyxs0StohRjNU5xDgG3QO/N0iz6KQgbuOuD/dttyAOO8Ste+bZgR3iJoX5p34pLDgB&#10;O79lCOIGhHMLv39KWHXJeeH+VSvC0xtecttpFIgfKiGqYtO0IA4iCLxCIAThCbA7F8l7CDJQ1gpU&#10;PDGLtC/14xVCEClv2ygqjzwQX6A86pHdjPAqeQB8RP3SjhaRIJ/eBUkLU+zuSF4eLaYRkQnQ+XWa&#10;9cvrO/ppy4vPKK8FJygvccerLpNDak4ALZbx/JI0tA1fUui447OuR/sRi3sjaCGPnjd41fNWsOVR&#10;BmOE/No/1KHLp8RHXr0C6kUbcj/IdcwvXR4+6HJFYG5JWcRf+4f3qbg3MmclJt59LEgevOrrUifa&#10;19d1mviEduELQOwkn+438kpcZcx1v237oNH71SsvPtg5hxhJXpSTPLosrtk25HtIyunxg49SrzcG&#10;jfYPSDrq8tIJGeqsfuL5mmfJfnqPqcz7weYtbP/oyDE7vAe/VgNRBcQxchwfEJGMHJ0HIKKBYKYb&#10;j64jpF3gftGCM40Wn4kATRAhmiD3Vb33E9rHjlnNFjmVFX2BVu2CBisr0mulIK6sGAtj2yrDuHtt&#10;pmilIA7z3WszBnYGrMfqmZ+tom/suJrf8FYL4jwhPQVxpBmcueTT3Vjw3stDCOnnj3/qPzLotqe2&#10;uuntxhPEgVGjP1v948tZkw510zvFxNMPqvqFV7lGQRxpFgeOPbbmOalndN/s6kNUi42CuDxE7AaL&#10;LbjLcXI4Pk9EcSlBgVinjtujIK7z1Cvk0OVSgiM50jEl5Owm6o2HRYxirM4hxjHoHvi9QZqFJ4iL&#10;LiI22SCI++n082vabvkOcW+/H57f/GZ4/LHHwuqrLg3zv3l0WHjS6MIjU4EI4q7/7glh5YVTwu+W&#10;3RCeemGD206jaBGITYMQQtKA3vlMEIGFANGGTod4RwQWnsjEilC8nZm0EMPWn1MeaOGVrUPQAink&#10;l+sQlch1LbDRSBysOElEJkBft2mIkSdw0f2zfZPrnvhE+wwxi01PoduETwLq0XGUdFtep5fB1pWa&#10;m81A5iVevXmjx6esDzr+3vik5kUueiy89BgyV2NzGbGQPPo+AI3MWdx3ct2bkzpm9rtGrnuxlDRg&#10;/dVIn+C3J1IEqe+aRvoOisrr/kse6yfKSLodv5x7HvVJnmb3D0iaN06EDAeW3/dozbNkP5Fn2Z6R&#10;ffvazD/60pjN3oNfK4Fgox6RRFnxA4CAB2IG2x4+e8jxiRaIbwAEFRC/1CsogoAJ5eXYxkYQMWEj&#10;4iaIo7y66wH+lBUSCSKQ9OqtB/iCOHttFSG+YLztPPDmjIc11FVvbNAPr85GDXPRay8G4tIKP8TK&#10;zuNW+lI2Nq0SoWEuI+5emykwf5ttiHc938Eo0wrDPVU2NvX6Uu+92woGC+L6lg38xLfEXEHcqdPd&#10;BWFCCCF7BjFB3FCCgjjSLCiI6270cagxIQHEA7BLn91UFbmJYccdm7doAR9lIMIT0ZoYhHZo36sT&#10;iHBPjnaFLyJuwCs+S96UIA791eVsOo54xdF6kgeG97gWO/61jG/oH2Ko6y/qu4fEEW3qumBF9YnA&#10;EeXxGeMk12CoL8cfKSfzA68Sp6J5EEOXi81HIG3aXQht31CHzitj2Ej8hPkbt9TMY9Rj54mOaxlD&#10;OalD5ldZQ7+lDgt81AJXMfQH/fLKAPFF/EM96LM3B2xZDWKLGOv2URb1xuaLfFdJv/BZ4o9rdr7A&#10;V12/Nz71IJYzP+Ej+op2xfTYoq8YBz2PYLmxgOG9lyZxkljreZ6qG4j/ch95adIu5ouOM96n5hBA&#10;2/BB6opZUT0C6hPLGRf4qK/DF5geGyE258vEE9Qz53W/bJ5WzwEBeZBXjxX6gPpQr1dmKPO3ly6q&#10;eWbtpz2CuPU7PhhlBXF9J09wFzubDURx9964MFz/nRPD9SeOCtcWHpl6cLh2/Mgwt/K68HsnhZUX&#10;TQv3r1gannrhRbf+RkmJjrT4whPDAS2iiOVJCXekfYhVPIEF0EIPK3iR8imRC+qV8sjv5RFklybU&#10;512Hn/o60CITK0TR8dHXbVrMdy0isgKV2HWbXlacoudEDMQnJrrx8udg+5Gam42SM7eB7LhVjw9S&#10;zot/al7kUk8dut+4r7w8QPptRayNzFl9H3rCNS1Itd8Fct2LpaSlBLGYq6k6BO1jStxaz/2aU17P&#10;+VgeEfbZ7zKp3/uO0sh3mRXUNdo/IGmpGBMylPEEcdHdjj1B3JlHjH7Ff/hrHdipqh6DIMOrLwVE&#10;E62wenypt985BnGb12aMekWJOYZ+em2mgICtFQYRm9deilaIicTKCoogxGmVQWzltRkDIrFWGeZi&#10;WUFcK3Zlw3ypZ/4CiLNkFz74hlcB1zUYVwvmhgb3dD1iOA3GrCzWj2b4gvLoo46Bjo8F8fOQnURR&#10;V73+wBfUowW0MfC9hP579XSKdgviYLo9QEEcIYSQ8b+6Zcjj9YuQslAQ1/3IInlMQCaGxW+9QK+F&#10;XoII5mQhXoO69KK6Z0i3i/sAi+8wEexY0yIIEZfY/sB/ESN47Xj1WvMEGrm+QUiR6j9EFrbuGBAo&#10;FBn66gkWJD7wSwt1rMXKg1Ss0EctnMwRXQh6fukx1SCOYoiDTivqm/jSSPxwTdrxTM+tnHY803O3&#10;XkEcTOrQ5MzzWN+L5rpY7D4GOd8D3r2g54ZXh46Z3Oee4ftO11sWsdj8BGL4jvR8QR70Ice87xwd&#10;C3t/FcVJm1c3EPP6KBbrm1js+yxn/onF/LPoPjfyvaHnkGDnfD3xbMacT41zKq3eOQBSvw8w1Iv6&#10;vbJDFU8Q1zOmb8LAo2VLrZOCuBffei/ct/LWsGji16tiODBv/MHRo1OvPu6gcN2Jo8L8E0aFxT/8&#10;alg99/Lw6AP3h+c2vebX3yAp0ZEWz3jih9w8Wmhh06R9K+6wQIDl5cspr320uyJZYqIQLQSxYhER&#10;/FkRHUj1PZUmpOIr170+5ewWFUNi6oE0CJdiwiOg83rpGh0D2z/tR6q9eoiNsyVnjGJIOdRh0xqp&#10;V6inDl0ml1h5fV2TmrOpe0WEXlaIBqQ+L5apNEH7nRICApl31sdG+55TPieP+GfvL32/5GDLN9o/&#10;IGmoy6YRMhxYdMc9Nc+SALq3yrwfbFDK2cw/O3LMs97DXyuBwKAeKytCg2CilVZWKNEq0RcMIhGv&#10;zRgQpLTKyo4TBCqtNIh8vHZjQBTVKoPYx2szBsa1VQaxqNdmDNxPrRBRok4InLw2i0A5iJtwb+FV&#10;BFMAsRbxFfIB3LMi/MK8AxDioW+NCL4IaReHHNpb8xveFkHcIUd9ots84KtnuwvChBBCCCF7GvoZ&#10;CVAQ133oRW8rghExAIQPck0W1yF60nmBCCSs4MCKwdAmBBVYuMer9gH5kF+XFz+kDrziGspDMKTF&#10;eZ64Af0S31DWLuKjvBh80el4L3XC6vVNxFFI1wIG1I82gVwrAnnRH9SvfYVvWoSFdF0OSF88fyGO&#10;0CIXXLfl0Z6YLot+egIw3dcikFfMa1uPI8zWbfsG8RP6hHyYrzJ2jcRPp6M9qR+vIi5FHl1G98v6&#10;rBH/8eqli3mxEZAmZtP0PEeMEBP4I/5L+zDEx5aXuiW+MMQS5e34e31AfKUs0uXekDQtpIQ/uqyO&#10;odQhbSOvjBVexfT4oX747/WrDGKpMRCzfQXyvSmxQB9wXX/3oj9SFq9yXdCxwPtYmm0faTrGSPeE&#10;j2JeH8Wkbn2PId5yHWZ9Q5/FMFfwGdfhg563el7koPvs+Zz7veHNWfFL90vGzMYTJn0SZJxhjcx5&#10;63Numm0baTlzQPIgHTHQ/UI98l3XqMC02/jbK5fWPLOCPUIQV+Hhu9eEm8/+93Dtlw8Lc477YqEg&#10;7vqTRocFJ44KN/zsu+GBFcvDsxv/ENZv3enW3ShaRGHTisQPuXlSQouYuMMSy5dTvmhXI432VefV&#10;O0fZ3a1ErOcdQZnqe6MCFC0u0qI45NM73ZUVk0lMgZdehJRNjYkQizeQ/nlpjZITe1CUD+IqjDv6&#10;KvPAgjpsudz2AcYWIjEZUw+vnIduN4fUDnH6uiY1Z/VObXrOQpQo1z0Bp6R5sUylCXoueema2Pxv&#10;tO855XPyiH/2/tJ+55DaIU5f16T6ByQtNRaEDGWuvvm2mmdJ8IWR4/auzPvB5gnizjpi1Drv4a/V&#10;QLhS1sqKiUArd4jrhh2txMrGpl5RYo7VI7RqldUzTvXMzVwrK86D760wxKWena8gINP3FOoBEBHi&#10;uiC7a4lQTURqVqgGH1Cn1xYhZDBWEIfF0IGf+JaZFcT1nHyGuyBMCCGEELKnoZ+Rqs9Jo3unDDxC&#10;tdQoiMsHi9tierEeiFAAi+NyTUQvdiEci+pidmEfAgIxmyZoIQvy6zQtlsACvRYxWay4QYshYmVl&#10;cV/3U4M6JE+9vol5go1mI75KDDQSHxjiYgUc6Cv6Iek6DWjRkxViAMwhKQ/z8sTQQg7EGZ8FzA/p&#10;Fyynb57QI4dY/LR/VvQmwO9UObzXaRrx3+sbEEvNIT0fbZr0KzVP9fjae9XOda8vegxs/OV7wJtX&#10;Quz7RccQFvseKYpho4ilxkCb/b7IBf0Ts3FOzScbJy0KFPQ42u98IOb1URv6ZsdYt2+/T6VdzB3v&#10;3syZHx66TdSBz0KZ7w0vzc55775J/Xbl9ClnzuN9PWmwsnMAvwli3vwAiINY7F4cinRSELdhx0fH&#10;dFIQ9/gTj4c7r5wdbjrzO2HBvx0brjl5TLjm+IPCvPH99L/H7nEjw9zqtYPDvK+MDbeee1Z49IEH&#10;woatO8LGnR+6dTdKTPwBisQPuXlSQouYuMMSy5dTXh/FGPNR0L7avBAl4breOUoLfLydxlJ9b1SA&#10;otuO4e0eV4TEFHjpRUjZ1JgIqXjrcUsda1oPObEHqXxaaJkCddiyOe1DyJgSwWm88h65/Y6RUz41&#10;Z4EIB/VOcHJEq763NFKfF8tUmiD3LvDSNbH532jfc8rn5Il958Wu59Jo/4CkpcaCkKFMKUEcHnJt&#10;5ulHjrrbW3RvBxDCyM5NAAIZiGUELaIpKyQSIChqtsAJAiD467WXAsKvVuw+BvFRPbtbIa7NNoih&#10;6hkrlGm2NTJOzZwz8ANxwfz22isC9wnGSh/lKIjoTIvPNPoeAiJGKysSJIR0B50QxPWMPe493SYF&#10;cYQQQggh/ehnpOpzEgVxXQeECWJWwCCmF8X14r/dNUZMX9f1F4lUIBqAQXigr+vF+6LFdy1uQNu6&#10;Tk/MoMUDVhymkR1zrLAh1zcRZcSEVM0kJfCQNPjjiVKAiDhgNk0s1Q89F6xYI4UVcsQMbXu+S99i&#10;Y51LLH4yB2CpuWLTdL9S8Yi1K4hhznnpQM9HfV2PSaq8vl/tGOu6Y/FNCbnEUveJ9lOPsY6hFR1p&#10;ZO6m5ncjiKViKIbvinp9SM2Z3DRPCAUwP8W8foil0lL3v3zX2Xks8yc2v/X88tJj6D6nrOh7w/NL&#10;+5T6TpE+41VfF2t0zqfGOZVWzxyQPtu+WOS3NSYkH4r89bxVNc+s/Rx++sCjZUsNgrjvnTmlpu0T&#10;Tvu+u9jZCp7f9Fr4/f2/C2sWXB2WTf5xuO60Y8Pc8SPDghNHhutPGhUWnDAyXFd5XXwKdoYbGeae&#10;clhYcvo3wl1zfhOefn69W2eziIk/QJH4ITdPSmiRK+IQEY3Nl1Ne+1gkENO+2p3VtABNdrGSnafs&#10;TlpCqu+NClDkiEnUI3EAuA6/io6GjKHr8tKLkLKpMRF0DGz/9K5h6JNOaxTdbj1HpupxwdhjPtj5&#10;IumoQ18HsXo1ehyQ3/qZU4dFl0n1O0ZOm6k5C0T8BiRmMpe9XRaB5Ef7ZdIE7XfukanN3h0vp3xO&#10;HvHP3l9yPSYqLKLR/gFJQ102jZDhwCXzl9Q8S4JSgrjzjz74Rm/RfU8AwicLhEIeECUJyOfVlwvq&#10;gwCsGcAfr41c0Bev3npoRmy8euuhGb4AOw9QZwqvDkIIaRYd2SHu8BO36jZ7xk90F4SHDmuca4QQ&#10;Qggh5dHPSNXnJAriuhIRBGixl15U14v0eiFdL/LHBGO6npQoAMTEB2WEElrcIAv2KYGUrjvXYuX1&#10;dYvOB98ggvDyNQMdgzJpQqxPOUILoPPhvZfHQ5ezBnEGxE6p+nL6lkOsHrlu53gRufEo8l8M4+Ol&#10;g9jY6espMR8QP1LCVH1dE+urvp5rsfL6ukXnw5zBd04zhXFiqTEQS+UpItXfetM0Yp6PYmXThNg8&#10;RhlYTGiVs5uah+6ztUa/N8RnmE3TQGwnJtdSfsVM+6nLW//rTdOI2bGUeOSaF7ehSicFcRvf/nBC&#10;JwVxG7e/G57f/EZ47OGHw+q5l4elZ58eFn7/lHDt13vDXOwWd/LocM2JFQZ2hoMYbuVFM8IDq1aG&#10;5199062zWWjRjU0rEj/k5kkJLWLiE40WRlnBTEwcooEARspDKOblEUSYExNgiTBP6pHPsR3MUn1v&#10;RIAi4rxU3OolNSdykLKpMRF0DLz5o33J2SUOAisrTPPQ4saUSDK2s5j2O9aepCOvTcsZe0mPicRy&#10;6rDk9jtGTptF3wn6foYP+nNMpCfpXixTaYLezS/V79R3RaN9zymfkyf2naeFhvWIYRvtH5C01FgQ&#10;MpTxBHH7jDx6r8q8H2x4yLWZZx09co636E4IIYSQ7oKCuFoOmLQ29ExeEw6csiZ8YcrqGg6sXO+Z&#10;vDocUHkdMQn4dRBCCCGE1MXPBy8sUhDXnXi7vokQwBMnQGQA07sEifjM7hYDQYpYanEeaPGBzpsr&#10;SgCymA9/IOiB4TUmAtJ155iNRxnf9A5jMPiFa0UCJQ+IfDBu6K+MhzVPqCDxSYkYYn3KFVrk5rPo&#10;cvDBy5Mip29CPfGTfDn1a3LjUeS/WCo2sbETsRFMX/cQP2D6es5cj/VVX88xe8/mxhDgO0fufbEi&#10;UVQuYqkxEMuZw/AJvumYW7N+p2KRStOIeT6KlU0TYvMY4ymG3w4ZX9yLqE8sJ24a3eeyZUHMX6D9&#10;smkaL5/2K8fKzPl60zRiNmapuegZd4hrjnVaEPcijjt9673w3KbNVVHcfbcsC2vnXxVuv/S8sHzm&#10;meHGM78XbvzZd8LNZ/1HWHnB5OpOcg+tuSs89dz6sH77Lr/OJpESPxWJH3LzpIQWun2Iuzxxkc5j&#10;BTMxcYhF1xHzUx/RGRN0aNGJzh8TRaX63ogARZeN9adedKy89CKkbNGYgKJ+6P5DfCg783kgDXli&#10;Y6fBeEm9ED964ye7/wk6rWjstMjL80eXr0dQB8ocAyqgLRFxxvqdoqjfIDZnNbjXkY5XiXNK3Cn1&#10;ebFIpQm633iN9VvH1PreaN9zyufkiX3n6bb1cbS5NNo/IGkxESchQ51ZV8yteZYElTnvmyeIu/jY&#10;gy/3Ft0JIYQQ0l0cdEitIK5ndN/sgZ/4lllP78kv1bR5zLf9ReE2ApHbv067K4w9b1X4yuVLw+nz&#10;F4ZJN14bzrt1bjh/xdww+aYFYeL8ReGbV94UTrhkeTj8gtvCP01dberhTnGEEEIIaQBHENeuhUUK&#10;4sqB3dPEZBc3WRT3FrtFXIMFfHzWQge7AK/FdqnFeaBFBTpvrigBaHGD7heEbN5OUWXq9ihbHrFC&#10;TLVgB++Lds/ToF9W8OOZJ/DQ8bFpQqxPuUKL3HwWXQ4+eHlS5PQN1Bs/KVNUvyU3HkX+i6ViExs7&#10;bwerGOIHTF/PmeuxvubGIEbZ8iJ4tGLHRsU7YqkxECuaw1qkmDLb31QscuMk5vkoVjZNSM1jEU7H&#10;LPY9nUL3uSjmHil/UZ+YTdN4+XLHIkaqfL1pGjEbs1Q89gT0syNo13/k6LggrsLGnR+Gih9hQ+W7&#10;6YXX3wrPvvRyeOLxx8P9q1aE1XN/E+66+tLwu5sWhYfuXhOeevb58MIbO6plvLqaSUr8VCR+yM2T&#10;Elro9gHEKhCaoS4InHS6FYDo8l6aRvsJIMJB/biOHaN0OzFhHtBCJxHYpMQnqb43IkCx/dFA6IT+&#10;wK96dgHTsfDSi5CyRWMCdAx0/zRahCj1ol/IDzBfRGAFcvus60V5qROvslOgjDHQZZFHrmMuyY5c&#10;eEWfdDl81mVteYwT2sV81EIi7YMWAtr7AkhaDjrm6Dfq0/MdvsAPtI/3sbL6ugZlJI8tL2gxqcQK&#10;17y8QPJ6sUylabTvaBN9hH8AbUu8gd0dzpa3aUKq7znlc/LI2Hv3l54XMq8kDWOMsUbf0H9dDjTa&#10;P6DnrNxPqNfLS8hQZNJFl9c8S4LKnPfNE8RddNRBs7xFd0IIIYR0Fx0RxB1+4vqaNrtAEPfPU1eH&#10;I365Mnz76hvD+bdeE5Y+ekl4ZMOs8NKWaeHlCo9sOD/c+PBl4dd3/TZMufna8J1rbgi9F9zm1kUI&#10;IYQQUhcUxA0pROwDkQY+i3lHe+KaGMRFsgsc6rB59eJ8kehLiwq0KCJXlADsYr4W5EnfNLpu9MWm&#10;F1HGN4veyQqvenegGIiLLoM6bLmUoCGVJsT6pMcScdVpmlxBhkWXgw9enhQ5fWskfnLd7hJYRG48&#10;ivwXS8UmNnb6etE8i/UzVrcm1ld9PTV3YuTG0AP5tRCrkeOKxVJjIJY7ThAr2j6l+ltvmkbM81Gs&#10;bJoQm8fyO4Hr+C7WYkVcK/p9iKH7nPIrRsxfoMfJpmmKjkxt9pyvN00jZmMm8cD3o76+p6CfHUG7&#10;BHEb3v7g9FN/+NOattstiPN44Y23wpPPPh8evufu8NDaNeHxxx4Pz774cli/fWdNvqqYrkXiOC2g&#10;sGlF4ofcPCmhhRZ3yE5RHjGRmi5v0yxahBQjJYYTtPgKoF4vH0j1vVEBSipempzYaCSmwEsvoky7&#10;Ogax+QO0gCqFFpQVgXG2Y6mB/xAQyWdbPlUWgiAIkvAefbRl0bYIwWw5yaPb9tDjr+vOQYsBU9gx&#10;aXTOCui/5BFSx3xKHi+WqTRLzj2DPF7ZRvueUz4nj9yf3v2FuOr7N4Ut22j/gK5DkxI7EjKU+On0&#10;82ueJXvG9G2qzHHfPEHc7GNG/txbdCeEEEJId9EZQdwpj9S0edQEf1G4jYw7/7ZwxvXXhzlrLw93&#10;PnVRWPfKueG1rVPD+x/PDB/88ZywufL+iRfPDXc/c0G45dFfhd+uviL8fPH14eTLbgmHnruqeqSq&#10;Vy9ZG85c8ulOI3jv5SGkXdy7vn+R5sVtH7jpQwHeU6RT/P7l/qML8eqlk8YZccbSmueyfiiI61Zk&#10;tyKIFPSCurdbD66JYaFfyuojVAWIb8Q8QZpGBBJ41ddzRQnAEzeIfzArTNDivnoEGWV888gVLwg6&#10;f0zYkxJ4pNKEWJ/0uKfGEjEWy+mToPtmRRo55PStkfjpeZQSldk03WYqHkX+i6ViExs7ESPBUvM8&#10;db/mzPVYX3PnTozcGMbQQsh65pYglqpDLJVHxjomrkz1t940jZjno1jZNCE2j0WU2Igg0UP3OeVX&#10;jNR9h/rEvN9CQeaWHs9Wzvl60zRiNmbYRVGsSDw7HNHPjqCTgjh89hY728nGytx9oTJHntv0WpUX&#10;tmwL67e93X/EqpO/FYhAxNsxSO+GZo8qLZNHxExeG1bcAXGZFhrhPUQWMZGaiI7w6qVbILpBn3Ub&#10;8Avtp4RtGi1Uwo5IXh4h1fdUmpCKr4ydFfAgVhCrSGwAYqjzpBCxVMqvFLJLVM6Y6FjG5o+AsYNv&#10;VvCDscT1lKAqBWJj55zMBYm/FwvE2ZZF32W+yvjGxECoW48Rytq8Mo5oX/Lhs4iRcL3ecUIdmDsy&#10;XgLii3h6gqdG56xGi/LsHLZI/71YptI8JKa633iv4+rRaN9zyufkkTmDVy8dYP4iXWIjdWJsMT+9&#10;e6XR/gmoX8cWftR7bxLSbTQsiLvg6FHf9xbdCSGEENJd2N/wjgji+k5xF4XbxqQ14etX3BwWPXBp&#10;+MOWaeHN7ZPDa9umhNcrr9veBv3vX31zSti8dVrY/ObU8MwrM8OKxy4JF66YU90tbvQ5t/t1t4hn&#10;Xvt0canbhQnn3/bpH5jx3stDhgbb3utflBnKYrI//ql/8WXxI1vc9KHAUL+nRFT17kd/Cl/65YNu&#10;HtKdaDHmaVc/4eYhjeEJ4nrG9E0YeIRqqVEQVx4tmBHhT0ysAUTcABGBCNliu+CI4AAWW6DXIiq7&#10;QK9FCfq6hydugDBB/IVpH7RQBv1IiR48yvjmoQVIKfGCUCR2gP8yHp7Aw4uPJdUnHUdvRz09j2A5&#10;fRJ03+wcyCGnb43ET/fNE38C3Du2nG4zJQYq8l8sdexnbOz0PMdrbJ7rna5sfHLmeiq+0j9Y2d0Y&#10;U/XmIuNaz9wSxFJ1iKXyFI11SlSaikVunMQ8H8XKpgmxvolhjpX9nk2h+5zyK0ZqLFCfGO4bb97q&#10;PPY3UOqGNXPO15umEbMx0+Vj33PDmZ7Dj619bm3D3xRh3SqII+V2eCOfIuIVCE+8dEHEWowvIYQQ&#10;0hj2+P0Dx/Suw3Oma54g7ryjRn3FW3QnhBBCSHdhf8Pb8b85D+w95faaNjskiBsxaU34l2l3hSN/&#10;uTL84oYF4YHnzw9//PN54b/DBeHtd6dVhXBbd0wOb77VL4rbsWtaeO+jmeGP/z2rKpR77MVZYeH9&#10;vw5nLro+jD1/ldtGK4AIwVo3i0ooiBs+aPPSux2I4GAQxXnpQ4Whfk9tfvvThS5+Jww9RBjLXeJa&#10;AwVxQwsIFKzlCm/EYrvJ6AV2GERDEAbhOkRGWjQAwZUVS+i29HWPmLgBvmlBkPZV14/24Zv2AX4i&#10;FhDUWIFBjm8QQqAs8mpRBN6LwCwlUtJoAR3KSn0oi1iK6AfmCTxi8dGk+oTYiMFnCEAQE1yXuiXO&#10;MBuvFMgrBh+8PCly+tZo/GS8YEhHGfiNV0mz5WybMvdxH+gxL/JffEN8pV3EScc4NXY6DXVgTqMs&#10;wDjqvns7WqXqFlCXmPbLpkkf9H2IsYAfiJEd/1S9GvQBvus8aAPXxFLlixCz/mnEUnm0P+izzAPE&#10;QKfBrL+pWKTSNGKej2Jl04TYPJbrniENYE7qOZGD7nPKrxgxfwHqs6bvGz1WmNP2O1z71sw5X2+a&#10;RsyLmR4riOJ0PegjvsPQd/RJlxsOdEoQt3HnB1NwRKpum4K47oCCuPqQHZiwG5OXLjC+hBBCSHNo&#10;WBB3zjEjj/AW3QkhhBDSXdjf8HYI4g7oPfm6mnbHHusuCreaAyatDcfMXhF+tvD6MO/e34QnXjon&#10;vPPBjOoxqdt3Qgw3pSqGA3gPURyEcu9+OCO8vm1yePzFc8MND18azrpxQRh7fvt2iLvtqU//97tY&#10;N+921Q3iHdnVCEIoHjE5mNz4DPUd4oaLkKebBXE5O/AN5R3i5PsXvnvpewISg6EuLO1WKIgbemix&#10;DwyL3l4+oBfdYRCiePkECAGKDO1bQQHQogSbZkmJG7TPti2IHHLMCgxyfLOx8gzx8cp6FPkqIg0v&#10;Bqn4CEV9soIdbZgHEHmI2Xil0HHyRBpF5PQNNBI/9E0Lx6xBIII8tpz4Zk3nLfJfj4s2CGq8PLqs&#10;kBo7MeTxypad697YY54jRkVmx7+oXqHIYn3LRSw1P8VSeSCKSsUB30/yfWz7m4pF2Th5PoqVTRNi&#10;8xhzPWfskSf122PRfU75FSN136E+sdRvWOy+B62Y8/WmacS8mOG3UeJSZLbsUKebBHFY1PQWO0l7&#10;oWCrPhAzkDpqEsd2ypGJOJ7Sy0MIIYSQPOxuwz2je++p/Mb65gnizj764IO8RXdCCCGEdBf2N7wd&#10;griecSfOqWm3U4K4yWvCaVfdEK6++zfh3ucuDBtfm757JziI4N7YPhhJ37x1Snj2lZlh1ROzw8xl&#10;80LfBbe5bbQCEfXg2FQRn3SzQKkbxDvdLCDqBvaE+OidFYd6H7t5vMTuXb/DTR/qoF9iXvqegL6X&#10;rrpnk5uH1I8niMPfXAYeoVpqFMTVh17wh+jHE6dptDBIi3JiyE5NWngHoQAW3lOCMNQteb10jRz5&#10;GDvqTffRtgnxAPyzgif4BxGVJy7I9Q1twSddN96jvZiQIgXq04IFtI+6EGPUB/NiUBQfkNMnvSMc&#10;DH2BsELmDMrCyvRNi4Ry5pMlp29CvfED6CP6quex7b9XBvVL/6Q9nSfHf7Sh5xDywmdJzxk7zGOU&#10;s3MR11ICmpy6JXaw2NjDX9xPOn4wfEZM7H0JcuoFcg/b7xj0rYzIKoaMX2p+5uQBiAN81eMAv6X/&#10;8Blm+5uKRW6cUj7WmyaI33jV1+EPygPPb/Rb6sdr0e+P0MrvDdxvYvgs944Yxg5jqO9Bj2bP+XrT&#10;NDkxg1/or+SF4T2+OxGbon4PRTopiOs7eUJN2xTEdQcUxNVH37Hja0Rxt973yO40COFmXz1v9y5y&#10;EMWtffK5mvKEEEIIKYf9zxWlBXE/P3zM/+ctuhNCCCGke7j8uINrfr/7af2i6wGHHX25bddbFG41&#10;PZPXhJ8tvC7c99wFYcv2/t3gcETqpzvDTaoejSpHp0IQh7TtO6dW3296c2p47KXzwq/v/G048qIV&#10;bhvNxgoRIIoTQ5pXptN0g3inmwVE3cCeEJ/htKtVN4+XGAVxwxstzPbSSQP8fFXN81E/FMQRQggh&#10;exIQt4nwzxN/CRAtiqXEme3CCuLI8McK4vA8OfBo2VJ76Z2PZ1tB3E+nn+8udpL2QkFcfUAAJ7u/&#10;pUCeq5YsdesghBBCSD72WTL5HOsJ4r7Z1/e/vIV3QgghhHQPnRPEHTPLtusuCreYA6esDpNuujY8&#10;s2lm+PhPs8I7708fEML1A9Hb69snVY9HfX1ghzgtmHvrnanhD29MD/N/d3k47uJb3TaajRw1KKIe&#10;iOLEIPix+buBbhDvdLOAqBvYE+Kz+e3+HU2G6nGvmm4eLzEK4oY39reINBEK4gghhJA9HojgxLx0&#10;ASI4MQriSCegII5YZKczvHrpJA52gpt20SVVMaEVx+Ea0pDHK0sIIYSQcpQSxPWM6ZtQk7nCF0aO&#10;29tbeCeEEEJI99ApQRyOZbXtuovCLQY7xJ2xcFG499kLw+Y3p4Q33ppUFbtB6Lb17Slh8xtTw/Ov&#10;nhOefnlmeGnL9Koorn+3uH5B3Ad/nFl9f8NDl4Xxv7rFbaPZvPtR//8S17vyyLGp2LFH57VIvjOX&#10;PFf9vPiRLbt3+YHhPa7ZcgKENxBBiLBIDPVCZBQT5sTEO+JPkUBJBChWeAExIMqKeX7o9Jjl7qwn&#10;dYnw0LaP+FkRkBfjnCMGUc7GGZ9T4yOg//BL4gsT3770ywdr8ubExzOU0/XouiQ+4ocY5q7ngwZj&#10;gbkt8zxm9exKJWbHyAL/kEePW2qONzKPUV8z7ymA+1tM7nUP8dsT0pb1S3bfK2s6FhaMA+q1PsTm&#10;siD9l7plPPWcSsU2hsQrZqjfK1fPvVw2/oKMg8xFxAL3ivgOH/FZxw51Ib+Y3KeSHkOLsVPzjNRB&#10;FwnisMDpLXwSQgghpLVoYVnqmE2dL/fI1FZCQdyeB/4DhX5+bJcg7sV3PppLQRwhhBBCCKmX0UeO&#10;r3mWTB79HxPEXX38F3d5i++EEEII6Q66ShD381X+wnALOWDSmvCtq28M8+75Tbj/+QvCxtemVwVv&#10;2Clu+84p4aUt08LD688Lv3vmwvD0y+dUd4qriuV29B+h+uF/nVv9fNMjl4UTftV6QZwWumhRFQQO&#10;YilxlxjKarGPNU9spNtOmSfygOBCTAs5tN8xcQsQMYeIPIDsThQziYMWesQsVxAn4hSIRbTv1kRw&#10;YsUs2mJiGJRLjQ0M6bF4pfyCIZZavJITH8/QN90uyI1PzH/4VSQ6EkP9tnyK2By05Phg29Z9LTOP&#10;W3FPFaVpxKz4qR6/6hXEwXTbQs442Lks6P4X1ZMSpVmK/LGCuHrv5UbmBcYShnsR6TGTdlPfo0X3&#10;mPazTBxJBo4gDs9NA49QLTX84aemXQriCCGEkI4w8YFPn7VwdCp2jNOCN6Sv2/Hpv0Me3PZOTflO&#10;QUHcnkcnBXF2EXPSRZe7i52EEEIIIYRY9HMkKC2I6xnZty8FcYQQQkh30ylBHNqw7XZCEDdi0ppw&#10;0mXLw/Sl88KNj1wWnn1lZtj53vTw3kczw7a3J4dX3pganvrDueHRF2eF9ZtnVneI275zalU098b2&#10;SWHnu9PCpjenhuvu+0047letPzJVhDcQZujreqceCBx0mkZMhB0QcEDIAAEJBC1a8GGFNBCNIR0+&#10;oD0t4kAdUtb6BmICHX0d7esygu6biAC1EAP+iC94hS/olxW5xXwogwi+dF/hN+qz8YMP8ioxFrEK&#10;DHmtEAaIgEbK6b7pNjyxiohbkAdt6RggdtonXQ7kxkdikBLEiY/iB+pDX7Q4yIqwgPiHfNoHPb9S&#10;8zsFYifmiaiAzHEY+iLzTdK0eAg+SZqeo/q6xpvHrbinitI0YnYsGvELiHljLCBNzKbpcYCJH+gL&#10;XvFZDPmQX5fX/Zd6ZDyRpscR6d59mCLlu6bee7mR+ItvkgeG/qLfKKvvQbnfkBflJI8ui2u2DY1Y&#10;aqxJfdhnJAriCCGEkD0PLXhL2fpdH3TF7nCAgrg9DwriCCGEEELIUEQ/R4Lk318PHNN7zKACI/v2&#10;nXPcQeu8xXdCCCGEdAcd2yHOEdOPOGOpuyjcSkacvSYcfsFt4bvX3BAuuf234ZENs8LO96aF9z6e&#10;Ud0B7vVtU8LmrVPCq29ODa9tnRreGDgyFaI47Bb38htTw6OVMpfeeVU48qIVbhvNRIQKVkCh0zyx&#10;k6ANdVghiBaSlBUeQUghZkUUul6bpkVQ+rog4hf0T67lClI0KR9yEcEXDP5aIY6OAQx5bIy17xC7&#10;6DQpj77augUt7NJ58F7M1iukdnTKjY/EAK+xNJgXH8RC5qkd76L2dWxtTHPImTMy12JzEciOevY+&#10;q2ceF1HvPVUUS0GsrJgp5RcQS9WbGg+JFczOU0HfB8iv03T/Ycir00HqPiwiZy5JjOq5l4tIxV/7&#10;hrZtuv6egCGPFYjq+BX9Dsj97H0fkMawz0gUxBFCCCF7JtMe31gVxm39qHbnYewah+tI98p1iuWb&#10;+p9xP/7zn910MvzonCDuw2U17VagII4QQgghhOTw0IZNNc+RAOvWA4+agy0hiLvHW3wnhBBCSHew&#10;xwviJq0JB824Mxx90Yrw4+sWhQW/+3X4/cZZVaEbBHHvvD+jenzq2+9OCzt2TasK4bCD3PsfnxNe&#10;3z6lepzq/Ht/HX56/cJw2Hm3u200C4g2xDwBhxaRxHbAEtNHj1pE2FNW4KBFFFaEkUrTAg7PbxFc&#10;aGGGFoTE+mpJ+ZCLCL4Qo5goSyyWRwtS0HedJvVbgY8GdYrpeSBxRLs6vwWCLZgVuuTGR3z05kdO&#10;fPQ81dd1+/q6l17P+OmjYb10IBYTYQF9H+o+Ip5inrjJm8dFpPpcb5pGzM7DIorqF0vVq+97fV3P&#10;b2+OaWQuI7b6uvbPE8OB1H1YRMx3TSP3chGp+GvfYt+N4hsslif3d0DqKspHymOfkToliAPewich&#10;hBBCCCHACuIqz5PLBh4tW2qeIG7WFXPdBU9CCCGEEEI0TRHEjRg5btSc4w9aZhfeCSGEENI9dJUg&#10;7keL3EXhVjNi0trwz9PuCn0X3ha+PefGcN6t14S7nvxl2PrW5PDncEH46L/ODbs+mLGbP/73rBDC&#10;RdXd4hY98OvwvWtuDIefvzJ8Ycpdbv3NQoREVvwhaJFETIQhlhKA1CtwSIk0UmlamGLFQjHhG4Qk&#10;IjDCK/rjiZA0KR9yyYlNTh4xOw5lTZeXdnPN+pcbn1T/UmmCFuzo67p9byz1XIiJ7VKIbzAvXbef&#10;azpOeh5bEVY9Ak6QGpN60zRiqe8Dj6L6xVL15syDlDAR6Dp0XFvd/5jvmrJWxodU/3J8y8mTcy+D&#10;3HykPPYZCUK1gUeolhqEd7Ztb+GTEEIIIYQQQEEcIYQQQggZaqx+4vma50jwpRO/+pWBR83BBvGb&#10;LYBrVx//xdne4jshhBBCuoNOCeJcMX2HBHEChHEHz7wjfOXyZeGyO64K6/5wTnhjG45LnRJeeWNq&#10;ePn1qZXXaQPHp04JD284P0xbOj+MObe1O8MBvZNQasch2dUnJpoTS4kvigQOEGDAB8nnmRVppAQc&#10;IHYMpVz3jqGEAEb6KwafYiKaIh9yKIoNyMkjZsehrOldpaTdXGvlDnGpvqfEODKeGG/tA8ZUBJCp&#10;ulOIbzAvXfc/x+CPFe7JjmVl5jFA2828p1JpGrHY9wHKlvULiKW+Z2LzQIsHU74DXYfOi/diqTrE&#10;Un56xHzXlDVvhzj4Xjb+Ob7l5JE28eqlC7n5SHkOHHtszTMSBXGEEEIIIaQbGXHChJpnx3YJ4h7b&#10;9MZK3S6gII4QQgghhOSw/L5Ha54jQVIQh+NRbQEsdF917L9O8RbfCSGEENIdUBA3mDEzbw/fmXND&#10;uOT2q8LiBy8LKx//Vbhz3exw55MXhZWPXRwWPXBZ+PWdV4Vf3HBdOOGS5eELU9a49TQTLRLJNU9g&#10;IZYSgKQEDhBn5JgVaRQJVHT/xG8tAowdewhQVnwWw2e7i1iRDzmkYiPk5BGz4yCWGp8YOe2myI1P&#10;qp0cH1JiHH3sqGcQoZXZYU0jvsG89GbMD8xTMfGzaB634p7K7YuYN9/q9QuIpeZxbB7oGKZ8B7oO&#10;nbcZ/U8R810jVrZuod745/iWkyfnXga5+Uh5ukkQ99fzVrmLn4QQQgghhHROELf1ft0uuGT+EnfB&#10;kxBCCCGEEI0niDt98ox/G3jUHGxfGDlub1sAR6FREEcIIYR0N90kiNt/4jx3UbjdjJi0Jhw2a1V1&#10;p7j/mL84zFh6bZh925wq5yy/NvxoweJw7MW3hoNm3BkOmLTaraPZyA5TZQyCCluPWEqkERM4aBEF&#10;/LFCjJQIJZUmyA5g4rcWyeUckYndunSc6t0BLUWO+CMnj5gdBzH0Q1/PQdqN7Q5YRG58Uv3L6XtM&#10;jCNHjsJ/5JHd1mB4j2s58yCG+Abz0nX/UwLMFFr8JvMvNY9bdU+l0jRidh424hcQs/VqdBv6uq4b&#10;sdNpFl2Hjm2Rf4JYyk+PmO8asXruZV1/2fjn+JaTJ+deBrn5SHk6JYjDM6BuF1AQRwghhBBCYnRK&#10;EHfvMxsf1u0CCuIIIYQQQkgOV998W81zJJg0+9cnDTxqDrZ9Rh69ly2AP6RefdwXj/EW3wkhhBDS&#10;HXiCOOwOMvAT3zLzjlvvFkEcOHDymjDqnFXhiF+uDKdcujScegW4OXz58mXhyAtXhH+edpdbrhWI&#10;UAjmidws+hhRK8ARSwlAYgIHuZ469lGsjIBD0LuDwW9pr6ygJOZ/jg9FxOrW5OQRs+MQO3IzBx0/&#10;e5RnDrnxSfUvp+8xMY74b4WMzaJIBKTFbDn3WQzMV5iMoXz25rHEq9n3lE6Licp0f+08bMQvIJb6&#10;nomNR5nvO/mus/dLkX+CWMpPj6K5BBq5lxuJf45vOXly7mUgQuaifKQ8VhB34OjeuQOPUC01CuII&#10;IYQQQkgZukkQh4VNb8GTEEIIIYQQjSeIu/rmFScPPGoONgriCCGEkKEJBXFxRkxaGw6YvCYcOGV1&#10;9VhUiOTAAZP707wyrUAfIegdg2rRYgcrhhFLCUBiQogigUTqqMMcgYoWwug+5PRZAxENzPqpfShb&#10;p1AUA5CTR8yOg+532V3KdP/KighBbnxS/cvpu+6jvi5lISCqR9BXhG43duyq+ACr92hWxE6s6N4t&#10;ile995QWu3l1o28i2ILZediIX0AsJW6MzQMg7cO8+oH2wfqfio1GzJYvQvtuRcdenrL3ciPxT8VV&#10;yMlT5IMg1ioh655MT98pNc9Ie6og7q8Xrgl/U+EfF98V/r8b7gz7Vdj/pjvCiBvvCPtVXve58c7w&#10;+cq1f1xyV/j7RavD3yzy6yGEEEIIIa2hU4K43z370vO6XUBBHCGEEEIIyQE7Cw9+lkwI4mC2ABbT&#10;f3vCv+zrLb4TQgghpHvwfsMHft5bZkNBENctlN1pSAvLrDBKLCUAiQkhRGgGgyBDhCAQ1+g0mBVp&#10;5ApUpK+y61Ds+E/0C0BkJH7gNSWS0XFBOygLX+B7TNRiyRGJ5OQRsz7CD+k7DOlamIU+QOSIvnv1&#10;S9sw5NGxRt3oM/rrxTU3Pqn+pdKEmBhHX7cGf1AnfEnNnxQoJ+aJ02wexAix1uI8jAXmGPyxY6fR&#10;81devXz6vmn2PSVjAcN7GU+9k6CY7UsjfgHZuU1iiDxoQ+eNzQOAfNrQpviP+nTfMBZ6ftryuk2L&#10;WGosPeCDmNxn8E+LwuCTjD8MbeTey43EPxVXISePxNj6poE/YvDTy0Pqp1OCuJ4xfRNq2q3wt1cu&#10;dRc/28HnFq8O/3TzqnD0qqXhB/deHyY/PDfMfvy34bInrgjn/f7q8NP75ofT1iwJx99xczjk1hVh&#10;vxvuGFQHRHX2GiGEEEIIaQ6DBXG99ww8WrbUbnt43QbdLqAgjhBCCCGE5DDrirk1z5Fgw46Pjhl4&#10;1PTNFsBi+tyjR+7lLbwTQgghpHvwfsMHft5bZhTE5aFFSmV24NGCES3oEUsJQGJCCNSjBR7WIEwB&#10;MCvSyBWoaKEJLNZn3T/PPJFMqpwWqqSIxUaTk0fMGwf4IoKilHn1o8/SfpHZsiBWVscn1b9UmhAT&#10;48B3mT9Flpq/MVC/WKo85mBqnoul6rCiM4iYvHytvKcwZqm6IWCS8bJ9acQvoMdYmxZN6Ty6rGC/&#10;CzyDD959XhQbQSw1lh5o04sPrul89d7LjcS/KK4gJ0/OvazHKPc7lOTTc1RndtroJkHc3y+6Kxy0&#10;dGU45c4bwqSH54VFz18aHto0K7y8dWp4863J4bnXZ4TbNl4Urnrq8jDzkWuqgrm+lbeEzy1Z7dZH&#10;CCGEEEKaz35f+XbNs2MnBXGL7rjHXfAkhBBCCCFEM+miy2ueI8HGtz+cMPCo6duBY3p31RQa3TuX&#10;gjhCCCGk+6n5/a7QDkFcz8i+fW27I35wpbsovCcDAQkM4ogyggPsViQG0YJcF5FFajcf7FgEw6tN&#10;g1AD4h4t8oAwQ9qQstZXfBZL9cMKTWJ54QdERyLaEMPnVN9QP/yXNvAaEyt5pGIj5OQpGgf4iTTb&#10;P8Qd9SLNEwIJGA/k07HEe9QHMQzi55XLiU+qf6k0Ab7DULe+jrZF5KPnLIC/mNOSDksJnWJI+ZTI&#10;B8j80u3B8BnxsP5ZUF7HMDXnkRd1tuKekrrteOI60qVubx7W65eAeabLIr+0C2LzQCM+6HFAfoxf&#10;agxyYgMkLl7/i0C9EgMY+urVU++9XG/8c+Kak0fqx6uXDkT4maqH1E9XCeIuXeQufraa/W+6PXx7&#10;7aJw5VNXhNtfvDA88do54ZWt08LO96eHDz45J2zdMTk8u2VGePCV88KdL/0yLHz20jDjkWvC1+66&#10;IYy5ZWX1iFWvXkIIIYQQ0jw6JYi7/fdPv6HbBRTEEUIIIYSQHH46/fya58i+kyeEDW9/cPrAo6Zv&#10;B47pXacLyR9srz7+i7u8xXdCCCGEdAf697v/N5yCONI5RDgCIYiXToYnIsCBCMhLBxAOiZXd1Qvo&#10;ndu8dEJIPiJUTInmSP0MFsS1Z2HxwDG9x+h2QacEcYfeekv1aNSNb0wPb787Lby5Y3LYsm1ydXc4&#10;8AY+b59SofJ5+6TqznF3/+GC8Jt1V4SJ9y4MBy9f4dY71Fi+qV/E+vGf/+ymkz2LoTIfWunnxAc+&#10;Fb7jvZeHEGFPny+4B2G4J7304QDGdf2uT/+jyq5P/hTmb9zi5iWtoVOCuJvWPrBVtwsoiCOEEEII&#10;ITk0WxC3yVt8J4QQQkh3oH+/+3/DKYgjnQG7IolBvOTlIcMPPe5FO7+J1SOI0zuHYcc5Lw8hpBh9&#10;zxbtmEjqo+eYziwsdoMgDkeeHrx8ZfjO3YvC8vWzwzvvzwj/L1wYdn0wI2zfObW6MxwEcdvenhLe&#10;emda9frHf5pVfX329RnhpvUXh0kPzQtjb73Vrb9VYPFdbOtHn7h56mHN658ec+yldzuIBQxiBS+d&#10;lGOozIeUn1osd/LqJwalFzHt8U+PRsd7L08reXBb/3+wgOjm4FsedPOQ7qHT86UR4K8I2i59dpOb&#10;pwgx3JNeerdT9BuC7xCJkbZN73/k5ietoZsEccvve9Rd8CSEEEIIIUTzvTOn1DxHnnDa98PGnR+k&#10;18bxoKsLyYPvnOMOWuctvhNCCCGkO9C/3wO/4Z0RxH3nEndRmOw5yFF+sNRRh2R4ARGcWEpco/PV&#10;K2iTIyhTO9ERQtLoY1e9I19J41hBHP4D4sAjVEutGwRx/7p0Zfju3QvDZU9eEe57+byq+O29j2aG&#10;t975VAwnbN0xpSqSg2gOaU9vOSfcsvHi6tGph69oryAO4hht9YoXLENdEKfNSyflGA6COAhVxOoR&#10;KHVa4NSo/6S9dHq+NIK+j+oVtInVW77TaPPS1+14byD10/GFSI73ZnuhII4QQgjpDlY/8Xx1t1Th&#10;6ptvG8Ql85cMYtYVc10mXXT5IHAd9Xjt1wt+v1EvduxqBp7fAG00ezfZdVt2VOv04mpjb9Fj5YG4&#10;CA9t2OS23yjwH3WXwatnKHLqD39a8xyJzxmCuL5lulDPmL5NuD7nuIPu8RbfCSGEENId6N/v6m94&#10;GwRxXxg5bm/bLgVxRMRKPC51zwPCGhhesfsbdqCSNLzHNcmDoxp12TJoIY+XTggpRo5LpbC0dfSM&#10;n1jzjCR/X2m1eYK4v7twnrv42Sq+tGJ5+OXjV4XVL10Qnn99Rnh9++SwY9e0qvjtjbcmhze2Twpv&#10;vjWp+orPuI505HvhjenVY1MvfvzKcMTKpW79rUAfySeGRXovb1m6VQAlfcbOPKljCLlDXHPp1vlg&#10;SfnZzTvEyU5TqeMWuUPcp8gxlc36vmsFjcwXmasYay+91cDf4bpDXLN+Q0SMzt+YztIpQdx1t639&#10;ULcLIATwFjwJIYSQXCAQwu8JEDGSFimJmEkLn6x4TIRZ2IEKQGgDsAMVwHtcRz2eD2WBr6jX/i62&#10;GsTG86cMiJNXdyvB0ZiNPjNgnmCsRx853m2jVWC+ef6UBfUgDl4bOWAON2P8O4m9Z9Cnl975ePbA&#10;o6ZvB47unasLHTimdxeuX338F2d7i++EEEII6Q5qf78piCOdQR9nyeNS9zywM1yOQYjTyO6B2M1K&#10;hHU86pGQ8ujvai1cJc2l5+Qzap6R2iWIGzFy3CjdLmi3IO6UO28Mt268uCpww65wInrDjnD97yeH&#10;bTunVF/xGde3Vz7j/Wtbp4TnXp8Zrn/20nDC7Te79bcCLZARgQgW+b28ZelWAVQrRUkkznAQxDVK&#10;K+eeWLeJh7oV2S2vm4+nbGS+DJX7LYVYt83pZt3HYrxnO0unBHFX3HDLR7pdQEEcIYQMDSAmEmTX&#10;qXpEaLjWrB2rOiVwggjH86cMjQibGgGx8vzJBePt1dsOIEj0fMoF89Krtx2gbc+nXHDvePXWw1De&#10;Mc7eNxBnVq7PHXjU9K1ndN9sXUgEcVcd+69TvMV3QgghhHQHtb/fFMSRzqB37qLIYs8E4w4x5Oa3&#10;Pz2KCoY58eK2D5omYMNuczC046UTQuLgHoVRuNxaDvjq2TXPSPL3lVZbNwjivrr6hrDmpQurx6S+&#10;9/HM3aI3EcRt2TY1vLZ9Snit8ioCOdk9DjvF4XXlxtnhq3fe5NbfCmSHGgjjsLOUWGqXqVy6VZDR&#10;LDEDKcdQEei00s9Wzj0ximvyoCCu+xHrtjndrPtYjPdsZxlxQu1iYicFcd2+KAuBB0QcEFxgMVrQ&#10;Ag8RfQARgqAchBpenYSQ4Y8IxiwiIPMQUZkVlmnkuwZ5UJ/Xdj2gLny3YfclCE4AhFOtFJqhPc+X&#10;MnRipzKhke94lPXqbAcYY8+nXDrp+4D4qW5w73j1tgM8L3g+5QIRpldvPTTqSyfxBXEfLht41PQN&#10;i+e6EMD1OccedLq3+E4IIYSQ7uCgQ3prfr8hcq/+uLfQPEHcAaed7y4KE0IIIYTsSXSTIO4fzr3S&#10;XfxsFeNvXxoWPndZeOHNmeH1t7Az3KTqTnHbd04Nr22bHJ7ZMiM89uq51dfNlc/b3p5SBUK4dz+c&#10;UWXNS78MX7/rBrf+ZoNj7MRw7BuOUBRrxhFu3SrIaJaYgZRjqAh0WulnK+eeGMU1eVAQ1/2Idduc&#10;btZ9LMZ7trNQEJcHRHDW37I0upuNAAGCFatYkBYDC+kx5HhAAYvLEA14ftQDfId4B/6j7laCNtCW&#10;50c9wHcIB/Rxiq0CvjfzfhjKvmMM4bc3X4E3xz28+8SCOd+sOQNRG/xr525liL/nSxngd7t3WBMa&#10;jT3G2au31WDueP6UAfenV3crwfxsxr2KcUMMvDZaBXzH95rnTxlwz3v1txLM00bjjph7dZcF9zru&#10;ea+NoYD9rsJvRaEg7sAxh5+uC4F9Rh6919XHffEYb/GdEEIIId2BFcThGPSBn/eWGZ4RatqsQEEc&#10;IYQQQogniOv/D4ettp6RffvadtstiBt36y3hnEfmhJUbZoenXz+nenTqO+9Pr+7+tmnbtPD7V2eF&#10;tX+4MPx+07lh09ZpVaGcCOKqu8pVQPqpq5e49TebdTveqy7GY5c4uSbHpsIgkNP5PbCTnAhLYKgL&#10;i/somxJknLz6iWo6yuKIVm24ltqhTvJDxIfPKR90Od23MuaJAz0ftn70SfUaDO+LdtlDDDAGsktf&#10;zJDHK29Bf5dv2lr119YJf7yYCBIblMdniDx0vGIxtdQ7HzwQWzHxK4a0qccKviB2elxg8AnXEX9d&#10;h5DyE37AUscKS+xkjuBV2isS0pT1Wfwpa57/zZgDMs7Wf2uoyyvvUe84eug5FTPUacuhX4iLntuw&#10;ovtKqLd80XzxkHkXs1jsEWc9b2H1xFjQsZbvSQvqRf1oRww+SF/FECNbVpB5qv0uimu9c13nKWMo&#10;J3UgzimTe1P6o8t6wE+YlCPlGSyI60svJDbJvMX/bhXEYScm62u9NCpYgQCg3cID0IxFc/jeCfEB&#10;hBOeP2XolEgI4jLPnzJA0NgJ35shpMT94tXdanDPe/7kgu+yTsQcNLrbUzPEv/XSaNyb+V2dA8a4&#10;WaIygO8ZEQuLINmC8fFAOQ/MB49WiKD0roWN4vkMkNZs3yEuk3jZuHpjYMFY5YC86EMzhHwAcYCP&#10;mIMi6s0Fojz0t1ufu3Kx9yTisXHnR+n/2HHgmN5jbEH8MfWq4/91lLf4TgghhJDu4JBDB+0Q1/I/&#10;XlEQRwghhBDic8Cp02uekcDAI1RLzdvB9x+nXuIufraKg5bfFr5/z8Jw+ZO/CQ9tOi9s3zklfPDH&#10;c8KOXTgqdXJ49vUZ4fHXZoXntsyo7hgHMRzyQBCH1y3bp4ZbN8wOX77jRrf+ZiML7jguVa7pxXq8&#10;1/ktEDLEDIIELR6wZbV4IWaeMAWIYYc7KzDRBh+0oKFeMQPa0O0DMfiAdmIW6wMEIjkxgMXqsOT0&#10;z8ZEkDhCXFE0rjGRSSPzIYYIZVDeSweecA6vRYb4e0IdEZjAyqSBlNgF7eFeE7MCp3p8zikTM902&#10;aHQO4BrSciwmyrI0Mo4eeq7EzN5vKFN0r6Z8aKQ85oiYnS8xitqysc8dt6LfA0uR70Vx0fca3tvy&#10;IDVPYbG41jvXm/EbkiuI037FvnOBxBC+eemkmG4SxDVrkbjZNGsnFoBFaK+NXJrpS1mwmO/5lAsW&#10;37162wFEFJ5PuUDM4NXbDhoVLED84NXbaiAW8vzJBWIPr9520Oh92m5hlgaCEM+nXDrhO+ZKo34L&#10;WiSEcQR4b4VJAPkEKx4TYRbiAfDdK6AN0K2/WYTsCeD+s98luI/rEsThuI25R4/cy1t8J4QQQkh3&#10;0Dd2XM3vNwVxhBBCCCGdwxPE4dlp4DGqZdYNgrj9b7ojHLNqaTjzgflhxcaLwpbt2Pltxu5d4PB5&#10;y3YI3/o/b90xpXqkKt6/snVa9TjVq5+6PBy7aplbfzPRi/JaMICFd7GUCEkLVSCwQH0QPeDVE1fY&#10;8iiDBXzk17sPoQ5d3hMziIkQAHXBH699K24BRUINQUQTWswgiGkfJAbwRa7DvDaQHwZfdTrqkLJa&#10;qJgD+or60L6OG+KrhRxI1+WA9FXaxivEIvDNxtQTpzQ6H2JoAVlslyqdR4QjaBd+IE3HF+laaOOJ&#10;SHR6mTTEXEzHD6JJT0ij/QKN+AzEkNdLByn/G50DIuBBOeSX6ygvZfGqyxTRaExSpO5vAXNO4gFD&#10;HzGe8AWvWrSEfHaONloe+cR0/3NIjbVGjytigZijLYC4a//hs1eHR8p3jJ98B8IQB92mNW++ST74&#10;h3QdO/gp9eNVlwONzvVU3zRFc0ysqA3vOxugn2JlxobU0ilBnCeO6mZxQTPEXBB9NCrM8haA2wVi&#10;4PmUC/ru1dsOIGjxfMoF4hmv3laDOTNUBXFo1/Mnl6E81+F7J+IO8VczdnyCIKzIf8xNAXmBCNDK&#10;itAgLvP8IISQGPius99L+D55cedH6wYeNX2D+M0WpCCOEEII6X66RhB36nR3UZgQQgghZE8C/0nA&#10;Pie1QxDnPZ99/j/Pdxc/W8U/Lr4r/NPS28IJt99UPTr1to2/DE9vmVkVwr374cwqO9+fHt5+t/8Y&#10;1Z3vTQ//P3tvGmZnVeZ7f32/Hd6v74dz6OHQlx48DKHi+7aEShVDUsWQiSAISpAWUNp0UEIDEggE&#10;JxqJDd10I4FEpojIpIAiQwRBEcEgU4iAAcIcQgyEhlb7rLf+u/Yd7n3XvdaznmePVfv/v67ftaue&#10;NQ9775Va/6z13n9+fez388LDL3wjXPnbS8OX7rsmzLzlR27+rUQMOp5ZQJt3rEFD0EYCMSFpsMGv&#10;ZcNToEyRZxTQgpHChluzRVWTScrMoIU62D7QZcC4EQvzyochQ+T1bVWkT7z2SFshmEFsn6EeMuae&#10;qald80HPBduPgrSrjClKG5FsmK5rmTD9vvHGFYYV6ScoNfc8UnUGIu89I6Tq3+wcEHnl63FspXGn&#10;qE9SpN7fgs5fm/w02gyK+Dqs2fRFnxUpUmMt6M8aW7agjZ7e90WMVN11m735gjJTprSc+aTrbfu+&#10;2bmeOy5Fc0zk9QGQzzavDkDmF+rqhZM8eskQ52149howVmHDFfUXxNwhhg+gjSAA8Vpl+kA+KMP2&#10;X7uA4QXta4VhEfl4ZbQL1B1979WlDGg7xtEro12g7s0aKAHmS6fNWTBDtWK+Iw+Yq7wy2gH6HO/v&#10;Vsx15IG8UtcZagOZBek09jMFyOcN3leYK62otwWmE4C8BS8eIYR0Es8QV/vO3LpjU32p6cv7n8QD&#10;w6OLELZqwb7bvA14QgghhHSfOQcd1Pj9PTSSPha2RdJlAhriCCGEEELuCdNOvLhhjQTwN5f6Eqpt&#10;6gVDHNht7d1h7xt+Eg6+7eaw+GfXhDWP/0v43asrwh//zwXh/T99I7z9zvljrKiB61RD+FbY/t5X&#10;w60bVoa/u2dt+MQtd4SPXn+Xm3erwGa/yDMZaZOEdzKNNgPETq4B+qQfLzyFyDMKiFIGKN0Ga4Zo&#10;hZlBlKpDzICmy9fPvfBU/cqSao+Eoc6eoQ1oc49+ruvbjvkgxhjPjKNNL2WMVimzUNUwUWpOoI6i&#10;smObKhuIvPeMkMqjmTkARLF2iVL1K0tRn6RIvR+A/pyMxRFkjmpjUrPpQTOfBTl9o8uNjTnQ7128&#10;57w4llTdpe9TRi7df3bOSNu8zwSNtM9+z0n5Ved67rhIObHxF8XeE3oMvX5H/0He9zjJp1uGOM8Y&#10;5W14kjRiVrHASBRDX/1nkesBBcRvhwEGeWPjup2gPa2uO/KbrHWX8fXKK4vMDwvKwJzxym8GzGnk&#10;7aHndgr7HrHQ6EUIIZMHfK7bdSS+hwoNcd4fTqcPz16CsCvmz1jvbcATQgghpPtYQ9z04ZH0sbAt&#10;UmOZNMQRQgghhADPEDcwOLpnfQnVVtlydz91hbv52Qk+cv1dYeatt4Wl918dfrzxovDMqyvCc6+e&#10;N/Y6xisrajz9yvm157/Y9I3wtYeuDIM33+bm1Wq0WczbZIdBQDbaPcNB0Sa9oON54SlEnlFAFDMR&#10;AG2UsvFaYWYQpeoQS6/LtycTAT0+KZNKWVLtSYUJsfHUz9sxH1LzteoJSam6VAnTY5oyBebOPY+i&#10;/hMhnhcOUnk0MweAyBpQQbtOiCvqkxRF7dVj5bVJo+shc7TZ9KCd8wWI8D7ywgVdj9T81qTqLio6&#10;1VGEtujnMna5smNcNPYg1X+541JUjsi2T9DvG2t6S30uknJMm3NUw9px+tDI6vqysm3atG3bLtYQ&#10;h5OZvA1PQgghhBBCNDFD3Mat722rLzfjsgkHhkaW4/kV82es8zbgCSGEENJ9jphFQxwhhBBCSK8w&#10;7eTLGtZIoB8NceB/Xf/TcPDtt4alP78qXPzrfw/XPHFJuOnpb4ebN3w7fP+pi8Plj10avvrQFeHv&#10;110XDr7tlrD79Xe6+bQaOTUndbqOPh3HbrbnGC1AUTxs9mOTH2YBMeBZeUYBUcxEIIhsvFaYGUSp&#10;OqTSo+8hjIWuA0wO0hdeuiJgoINhBWmlDCsv31Rdhdh4xp5bcuNZ9ElR1rhTdEIS+hOmG5nznmya&#10;VD1jYblzKidelToDEerohYNU25qZA0CbE7UBDO2UtiCsismzap+kKGovyhSlxhTofpG4zaYH+FlU&#10;lIclNVZAm60Q14sj6HoUxRVSdRcV5SWy8WTschU7Ia7qXM8dl6JyRKl+wLyH7Pe1PMd7Qj8n5emW&#10;Ic5e+YnrA70NT0IIIYQQQjQ4IVSvIwGeZRriRrY1JK4vfq9YsO9qbwOeEEIIId3n07MPbPjiHxge&#10;TR8L2yLpMgENcYQQQgghviFu2uCsmfUlVFtl/67zscXL3M3PTvK/v//TcMCtPwxH3fn9sOT+a8I5&#10;v1gdzvvlleHMB68KJ937vTDrh7eGj11/Z/hrJ2070CaIXFkzQcoooEnF02aRlDyjgChlIgAiG68V&#10;ZgZRqg6p9OjTlGAcKnvqD+KLQSwlrz6pugqx8Yw9t+TG8xDzB9onz/T1o7avYLpKmae0dDqQqmcs&#10;LHdOpeI1U2cgQh29cJBqWzNzAOjxiEkb5XJotk9SFLUXxlJRakyB7heJ22x6gJ9FRXlYUmMF8J4R&#10;Ia4XR9D1KIorpOouKspLZOPlzNUUOelT/Zc7LkXliFL9oL8r5XRFbRLOPbGPxKEhjhBCCCGETCZw&#10;GpxeR4Iyhrj1OuHA0OjNeL5qwb4rvQ14QgghhHQfa4jDRmjti73NaiyThjhCCCGEkBqL1zSskUC3&#10;DHF7nLjU3fzsJP9zLUxxd4aP3/jjsP+tt4VDbrt5jFvC7B/eGgZvuT187Ps/ddO1C23SyJU9mUYb&#10;BVKmrZihQJsJYHbBJr89NUrkGQVEKRNByuzRCjODKFWHWHoxJcLchfTa8IOf8cz2RxGIL2Y4vMJE&#10;gXJ0nFR7UmEC6iWKPa8yH3LQZisxhciJZOgzG1/aA6FcW69UXaqE6TmVMqik5l4zdQYixPPCQSqP&#10;ZuYAkBMJEUe3Bc8xVnY+5tBsn6Qoaq8eqyIjn66HvHebTQ9S86WInL4R2ZMXLboe8v4rIlV3EYyu&#10;+rlFhLbo5zJ22iBbhqKxB6n+yx2XonJEtn0W+WyXcdImubLfFWQi3TLEff705Q3l0hBHCCGEEEJy&#10;WHXj7Q3rSIBrVBFWX27GNdEQN7IOzy+f94nl3gY8qcZTd9xY/ydbCH/64P1w70XnuPFiID7SiZCf&#10;DsfvEv7BO9vDbWed3BBeljc2fvhHVOTnxSG9BeYIxk3Pk60vPNf0XPB45fFH6iWEsP3VzW4cQkh7&#10;OX6EhjhCCCGEkF5h2ilrG9ZI44zMrS+h2iqcFKzL3fO4xe7mZ1e59u5xvLAOIKYVa3LzEMMRpE0Q&#10;2pyUMnrIqV6Qfh4zf2hEnlFAFLsmE2jjnzVwtMLMIEoZGWLp5XS4VP3LotsUM6yk2pMKE2IGkWbn&#10;Qy7WFCK/ewY0UayPY22pGoZ5LEqZi/S8tHNPVKXOQIR4XjhI5dGKOeCZE5tBVLVPUhS1V5+mWWQY&#10;8z5Xm00Pcj+rPHL6JlauRX8X5BobU3UXE3Cq3JSpWT5DoWaMllXmOsgdl6JyRLZ9Ft1efNZIvkWG&#10;QpLHwOx5ar1aOyRjZX1Z2TZt2Pb+rtYQt/D4L0zY7CSEEEIIIcTiGeJ+8cymWlh9uRkXDHCNiUfW&#10;4/mq+fvO9TbgO4U23BQJcb08eokXH36gXttx/fKKf3bjxUB8LeSnw2FK0rLhZbH5eXFI72ANk1pl&#10;51oOVu0ogxCShoY4QgghhJDewTPEDQyPLqovodoq+x8de9IQ10W0wSBmMNHoTX9t6NDmHxgaPFOb&#10;NlBAOqzIqJEyQgAtz2iC+ohZyjtBSLcrZh4DKTODKGVkiKWX5+i7KmYOjyKDBvpEzC9ee2J11cTG&#10;rdn5kIs2hWhjmVeeKDY+KXNean6mwvRJf/YkM6BPdYLsOImq1BmIUu/tVP2bmQP6uTf/qiKq2icp&#10;pL0pE5/EgWLt0nPR1rPZ9EgjKtuveky894iNE+tj/XmcmhuWVN3te1mHAZQpn+FQql+qmMJkXFLt&#10;0X1jw3T5Vb9DgCjW94I2V+p6pcom+dAQRwghhBBCJhMXX3V9wzoSiCEOJxHXl5y+cBxyY+LxDfXL&#10;F3xiprcB3yli5h5PzZ5Qtf6GNfWcxk9va4e5h4a4qQdOXtPz9Ln77nTjdQKcBBdTNwxx2tCKEwav&#10;P2lhQzghpHk+P7q/+u4ep/bF3mbZMmmII4QQUobBr963k0O+9WADR/3rrxr43JW/ifKl6x5vAM+8&#10;8qqAspHnOTc9nYWtS4pW1hN9aPvM9qlF97+HVw7JY9rSmxrWSICGuN5AmxByjVhiorLGMp0XDCUw&#10;+8AkgFedRqTTamMQjFJSF7xisz9lhABWsfIhL702FyAtTAVIi7po40jKzCBKGRli6bWhwQr1QXzU&#10;BXXS6VLYNokhC+2xfeK1J1ZXja63DWtmPuSijTmSV8wMo8vUphH8LG0V6XQg1c5UGPIWoVwYfdAH&#10;ukzdB3Z8m6kz0Oml/1FfXU6q/m27Lc8AAP/0SURBVM3MAZQRE+qFPDFWqJdOV0SzfZJCmzSln1A/&#10;bdCy7UIalC1xdR0w763xrJXp8bMOKwL5i9D3SI+ytWES5ek5ifogncTVfYR4ntEzRqru+LzS5aJO&#10;iANsmRDGR6cHuu+kfRKGdkn9kYdOByQtXm2YkHqvtOI7BIi89llQDiR94rUrhqRF/bzwfkevG0Gn&#10;DHHHfvHUhnLxu93sJIQQQgghxOIZ4tZv3lILKzTEYbHbmHjcELd6zuCu3gZ8pyijZk+Is2a1Zs1k&#10;Hu02xMGMJeasVlyZSkNcMXZMmjVmNoM1kMqVvHhthxlNX6nrtdvOn3aY8gjpdzxD3B6Dc9Jf+i2Q&#10;LZOGOEII6T20wUmMUGKYsoYyMXVdeMfvdnLZvb8P1/7ipRr4Gem9csqAfJ557cMTTdqhV7a935Th&#10;DP31yO8/NDe0S83WE2Bs3nn/T/Uc26Mf/ubVpsce7USfYuzR7hwQvxVld5wz7mhYI40ze0l9CdVW&#10;2ZP/9zr6BHfzs18Rcwk2x71wD20KgFFCnmPTXzbZPcEAAJOASOcJUmmx0Q+DA+QZBUQwUaTySW3+&#10;i1HBShs+UmYGUcrIEEtf1HdaOUYJQZvSPInRxGtPqq2Cngs2rNn5kIstQ89JjS7Lk/QFZNOm2pkK&#10;AzpfK7z/tKnPmoSaqTPQddPSBq9U/ZudA6m2a6XytzTbJynQ/56syVIby2LCvNRGqFal13W086UI&#10;5CfmKS1rpMKc9OJpIbyMGQ4U1T3VLygP4TInMe9serRPwotk0zY710Gs7NzvECDy2mex/aWNjUWI&#10;Uu3tZ/S6EYytJZfXl5VtEw1xhBBCCCGkKt/499UN60ggYRmGuJHlNjE21FfPGdzF24DvFFbtNNRM&#10;BUNcq6EhrpheMsRpdbMeAg1xhLSfJYcMN3x3y/d3/eu9bbJl0hBHCCE+MUOamNJaZfaBqQ1mI5ij&#10;2mmQgmnOKz8HmOE6JfSBV4ccYDLrpDA/vHoUAdNipwSDmleHHDA3m52TzRoHO0oPGeKmLVzkbn72&#10;I9qIg411L46HPskH5hMbjo18bVLCz5K/lGkNGABmBpsWhiE8Q5hcI+hdpyeSuHgVsx+ETf+iNiId&#10;2iNtw6ttn5jyrEEGSDqvfkIsPcqWdtt6or9hAtL9UsYIg/y0UUPahXxlPLz2pNoqyJh44ylUnQ+5&#10;aIMUxtyLI6Df0B4ZKwi/S3/iuVeXVDtz+gB11GOg5zXCpT7aOCNUrbNg3wtIi7GX8FT9ERfCqw0T&#10;UunFnGbfR2i3tEuEeuo4KZrtkxT2vYafJV8N+hDt0nFRZs5nDaiaXn9ue/OlCKTR/Y65gTG08eRz&#10;VM9bCL/ruVuGnLpL/WRs8SqfVwiXunt1FtB/dn5I36Luev4Lki9ebZhQ9F5Hn6Cutu46TlE5kjbV&#10;PgHlSXyozHwQoU+88H5HrxtBpwxxuCJVl0tDHCGEEEIIyeHsiy5tWEcCCcM6s77k9IUrPGzigcHR&#10;PRG2asG+27xN+E5gRUMcDXG9Bg1xcWiII6T9nHboREPcxwdnpb/0WyBbZjcMcTAQYINcIyYTMZ4A&#10;MaN4eRBCJjfy/tbIe9+LXwXkCeMRTFI4rWrd02/WwOlVcuKVPvVKDGllDEDIB59dXvk5dNIY1YzR&#10;rN0nw1lVnQcY506qaj07bdyrakrD+6VZoa1e3r2KXSd1YnMRGhgavVmXS0Pc1ERUxlTTS4hJwpon&#10;NDA/iCZrO0n/IOahIpOiGMJozCGkPGJYLHqfaWAIFOUY7/qNv17Tnf/E4RniPn/68oaNTkIIIYQQ&#10;QjxOXXFBwzpy6NDDd4YVGuKmD4/M1YmBGOKumD9jvbcJ3wmsyhpqnrrjxrD1hecarpKESQdGMrlC&#10;EteMFmnHW2825Lv+hjW16yLxXAvXlKK8WD09QxyuNUVeUke8Ig+57lJjzVfWEIf2ipCPl0dOnwjW&#10;0IRnqAPSi9BmLy1A+VKO9KFtL2T7zOsT/F507SfaZuuMcmP1A6g/hDJQLuIhvh5b/Iy8dTq0LUdF&#10;dbagH7y5hXZhrtr8cuqB/tVpUpSZH6inCP0oz/X8iMm74ljGXcYEQj3s/LAgHfLTfVb0XiRkquAZ&#10;4uT7u52yZXbSEAdzStUr4mDGaOZ0IwGmAJx0BNOEBXXzQPwUckUh6lfVdGBBXyEvuQqx1fRjPWFa&#10;8spoBa2sJ05kwnyy88ybmx7e3BaQTysMZ2ivZyjTaHOZUEYw4qA/vPJzwHiXLbOqUI5Xhxw6aTRr&#10;pp6Y550S5rFXhxw6Oe7N1BPvoU4Jc6zqewmfR80Knzte3r2KXSd1yhA3fWhktS532pyj3A1QMrkR&#10;TUajmDYneCdRaUQ0xJFeR06lK5qrYuihIY6QcujvjjLXpcJ4DcGM6oX3O7tddlPDehXg0Iz6srJt&#10;wkbl6JGLGsrFxqbe6CSEEEIIIcTDGuKwrpSwQkPctMFZM3VigGcIu2L+jHXeJnwnsCpjbtFmHU8I&#10;RzwYfXIk+VrDVUzIV9IItizUQRuPtPAcxjudHu3XsmXY/G1/5faJYNsK01FMMCPptMDWF+2JtRdC&#10;uDb1WSGtZzCDKcwayKyQ1jMIasFwlspHm7hs22IqM2dT/StCO3SeOfXAOOpyYjQ7P2LPPdk65bwP&#10;bflAmy5jgmHOpiNkqrDssKGG724w1Q1xrTgJCZvzXt45wLzQCTVjPgBoIwxF7Vaz9YTxZLLUsxOm&#10;I5SBsrw65NBJIw/MTV4dcujkiWYwxXl1yKEVJ1vlqhmjGcxCnRDq2MznJ8DYwwgphkcxPwp4D3jI&#10;iXwajI8Fn9HNvIc0Yir1jKFliNWzFSZYtBV5oT90f9l+taDvY4jwM+Kivs2aYNGXyKusUAek9fLs&#10;ZaYfNK9hnTQwNLqyvoRqq6whbmD2PHcDlExuRJPRKAYTnCh1VaKOh2sdvTiE9AqiolMP5crHMoYe&#10;QsiHpzBCudelljFg9ys0xBFCCCGEkMkGThbW60htiNu4bUd6bxzXq+nE44wfkXzFgn1Xe5vwncAq&#10;11yUMlWJxJBT9oS4MrIGrBzTj5Y1gFnzUxlDXJk+EXKMTVroS50+x6ylVWRsgqwpCv1TZIYT2f4E&#10;ZSVjitcceQY+jyIzmhbaISavnHrknBDXivkhz8ueEJdTtsjOeX2aXEy5nxuETEY8Q5wY2tspW2Yn&#10;DXGtMKTBoODlXQSMB51U1XrC+KVNDe1W1XqCKgaJqpos9YT5xKtDDp2sJ+aYV4ccJks9MRadEj7b&#10;vDrk4hmO0HYBYcAazMSghfcHQD0EmMGQL4B5qxlTKSECzHW5TNY5Zw1xMKrVl1BtFYx3ulwa4qYm&#10;osl6cpqYgvCKNsC0IGH4Gc8kDk/1IZMBuQYYgilOG3ZghIP5U06Rw9zWc54QUoy8f8pclwrjKUQD&#10;apzdLlnbuF6tMTK3vqxsm7BRSUMcIYQQQgipgjXE4Sp+CSs0xO0xOGcXnXiccUPcqgX7rvQ24TtB&#10;rqwRSxt1YB7ShhicQoZwa6yyZjJrvBGQFgYslKkNbzAoWYNQkWENQl5ibkI9rSlMt80azIry1+2u&#10;0ie2PRDiwOQFrIlLGweBrS+ky44ZoXSf2DYhvS7DhqO/xISGVy9cp/ckcVAHa7bTRi5g24g+0+E5&#10;2DzQRt0OhNt6eCY3rbL1aMX80GFeuM5TQBtRngjt1O8r23Y9/rbfZG4iDGOHsUd8mUuETEVWHDbT&#10;fHdPfUMcNshh7mhGVU84wsZ8J1XVGMV6+oL5x6tHDs3OuTKCWcmrQw6dNJo1U08YrzqlZoxm+Lxp&#10;tk+LTGnoi1ZdlyvQuEZIdxkYPaphnTQwNHpzfQnVVtEQ1x+IJqshDuagHMEMl3sSECHdBPNUTJwp&#10;IQ5PPCSkHHh/icqY2/B+w/cITKleOOmuIW7o0MMbyj37oksbNjoJIYQQQgjxOPaLpzasI/G7hBUa&#10;4qCxBe82ncHA0MhyPL983ieWe5vwnSBXML7odNqIAzONDothjVM2zxysQcealmwZqJsYeGJx0BYJ&#10;s/nbOtq02oBUpU+socmawVB3Kx1u6wtzkjY7AXuamNcn9hQwbXDSZipr2BK0oUr3J7CC+UuH43ct&#10;m9620YbnYI2F1rQH0GYr209aZeuhx7rq/CgK1/NRQFu1PPOaHQPJx/a9HTtC+oFvzploiOvEFQe2&#10;zE4a4gScXAQjlpxyBMRkIqYToM0oiNPMNY8AxpVOCPVt5tq/yXKFIk6e6oT6pZ6dmp94LzUzP2HY&#10;aoUpDv1lkfc+6ohxa4U5DGOCzw6AnwH6GqAfBDnRSvDyIoRMfQYOazz1onOGuJHlulzgbYCSyY0Y&#10;b3CFnBc+GcAJWTA2bHrnvVpbRGgbTttKXadKSC8C0w3ek5jT1hyHZwijMYeQ8sh1qXhf8XTF1vI3&#10;F65pWDOCTvwHW2xU2nJpiCOEEEIIITm0wRA3/kfbVfNnLPI24TtBrqyByJqsYMwpMstYM5k1m+VQ&#10;ZI6yZXh18oxPEmbzL2OIq9InRYanojhF9QW2zl4cW4a0K/faUi07Jlo2LCdO0ZjnoE19kBcHxPpB&#10;0Cpbj3bMj6L6AltujmLjj37E/OGJcKSf+Pa8/Rq+/McZP+G1nbJldsMQ1220QUYj1wtaYFCLoa8o&#10;BMinFWYaGHSQv1yF2GqQNwxAXtllYD3Hr6nEPGlFPQHmEOpqsfMyhp7TFvRDK81eaLOHNpZpvDwI&#10;IaSXmGiIG1lXX0K1VZ4h7q/X3OFughJCCCGEkP6llwxx3/j31Q0bnYQQQgghhHjgilS9jsQVqhKW&#10;a4hbrzP40BC371xvE74TWHmGGg9rUhKJYcaerAVyjFkCDDcw4cHwY81MWtaUZMuItcdKntt22Tqm&#10;8q/SJ0WGp6I4RfUFts5enJixKtamlHDanM5by45XThxbh1geKbRS6VPjC7TK1iPWl83MDxtu6+vF&#10;yRGu2i1Kj+deeYRMNS6dT0McIYQQQkgvMTD3hIZ1UqcMcVgD6nIBDXGEEEIIIcTyka9f1rBmBAOD&#10;o8WbiE2KhjhCCCGEEFKV0SMb/xPyqSsu2BmWZYjDH2l1BjDI4fl3Fv7tnt4mfCewKmNwgWkmZlbD&#10;c3t1Z44xC6TytYIpR6ctMjQJVvLcmpZsHYvyL9sn1mykw3LiFNUX2Dp7cWwZ0i6bf47sta9adrxy&#10;4tg6xPJIoZVKXzS+WlXq0er5YcNtfb04RUI99AlwMOql8ohdo0vIVKLxu7u26Vq78rydsmXSEEcI&#10;IYQQMs7A4Ysb1knyt5V2C9fmN5Y7Gna7ZK27CUoIIYQQQvqXj557ccOaEXx8cNau9WVl23TDzx6a&#10;YculIY4QQgghhOTQAkPc6EqdAa5QxfPVcwZ38TbgO4GVZ6hJAbMMTnLDqWBWMNboU69yjFllr+i0&#10;pqQiQ5NgJc+t+crWMSf/Mn1SZHgqilNUX2Dr7MWxZUi7cvIvQsuOV04cW4dYHim0UumLxlerSj1A&#10;K+eHDbf19eLY8FyQN8xvnqrMC0ImEzP2H1Hf3bUTXlfWvtjbKF0eoCGOEEIIIWScgSOXNqyTBoZH&#10;N9WXUG3V9OGRubpcQEMcIYQQQgix7H7mBQ1rRtAtQ9zFV13fsNFJCCGEEEKIx9ChhzesI8++6NKd&#10;YRUNcaMBzyezIU6DtDveerOe07j01Ys5xiycLqYFA44+NQtlaFlTUpGhCVjTnb7i0+Zv65iTv6ao&#10;T3LMSqk4RfUFts5enJixyua/9YXnJqQtQsuOV04cW4dYHimsvDjA9oM9sU2rSj0szc4PGy7jlopj&#10;21QWGPbsnLLX5BIy1bCGuOlDI6trX+xtVEN5Y9AQRwghhBAyTrcMcdMGZ83U5YK/uXCNuwlKCCGE&#10;EEL6l91PXdGwZgT1JWVbRUMcIYQQQgipil1HVjDEjSy3mewxOGcXhK1asO82bxO+3Vh5hpoyrL9h&#10;TT2ncWnzVRVjlg0vMkfZMmA20idueXG0ycvmb+to0+b0V6pPitpbFKeovsDW2Ytjy5B2oe+07Alm&#10;OWjZ8cqJUzTmOdj2adOZgGtCtTyTl1aVeng0Mz9suDcfrcnUG/8qWCOfF4eQqcL+B0w4Ie7m2hd7&#10;G6XLAzTEEUIIIYSMs88xyxrWSXL6frs1MDi6Z2O5o+EjX7/M3QQlhBBCCCH9y8cWd2e9+i/f/d5o&#10;Y7mjYdWNtzdsdJKpzcpVa2C+rPHfdtkl/PD+h9x4/QDa/t//4i939sXl19/kxiOEEELIOHYdqa/e&#10;zzLEeddr4A+qCLti/oz13iZ8u7HKMXgBGHFgJIOZRwxSMBTZKxURLmms8UfMakBOrbLpcbWkTm+v&#10;mbSmJGv+glAO6oZw5Gel61hkMLP56/6q0idFhqeiOEX1BbbOXhxbhm4X2qSF/tRtQFvxO9oJw1yV&#10;U9W0bBzkr6XLyJ2vMMBpIQ9tikP9rcHL6yetWFtiIH6r54d3oiKeI1+Z8+grK7RNwiUO3hvoA2sQ&#10;xXsO8fW4oo7oQxHSSRghU5HRg2Y1fne32RAHs7wuD+xz/AXuhjAhhBBCSL/RLUMcrrlqLHc0fPTc&#10;i91NUEIIIYQQ0r/scWJ3TjTupiHupC8t3WnE8oAhaXTe4TXDlpeetIaly89v6Pe1d9zlxusHbF/M&#10;GD7AjUcIIYSQ98L6zVsa1pBAG+I2bHu/+Pp/zxCHKzcQdsX8Geu8Tfh2U0ZitgHWqOPJniYGA05M&#10;iIs41rhUJGtKsuavIlkjT5HBzOavDVlV+qTI8FQUp6i+wNbZi2PL0O2CEUqbn4qk0wItO165cawR&#10;UksbtVJYw1tKiKvHSdCKtSWG7WNPZedH6v2ijW3WdJeSbpedXzF5c4qQqcScgw5q+O4eGBpZV/ti&#10;b5NoiCOEEEIIidMtQ5y3Rtv9zAvcTVBCCCGEENK/7Hnc4oY149h6dX19SdlWddMQB8PbWBWy2H2v&#10;vcPDz2128yHNQUPch/SiIQ5zX+oDg6gXhxBCCOkGniFOX72fZYjzrtcYGB5dhLArFuy72tuEbzdl&#10;jE7aKFNk7kG+nlHJnmglQnyJU2Te0cYmXSegzV8Ii5UHwWSlT8kCRQYzay7T5q8qfWLT6LCcOEX1&#10;BbbOXhxbhjW12RPBUrJ9qoVydFhuHJQfU64hDkazHFMcyvfMcEAr1pYYto+tqs6PWJu0IQ7tsSf9&#10;xaSNrzmGOB2fkKmKNcS1+49YNMQRQgghhMTBVfJ2rVRfRrVVNMQRQgghhJAc9jr6hIY1Y7v/c63o&#10;7JX/+kldLuiUIW6s+FLAGOTlQ5qDhrgP6cUrU/XYAC8OIYQQ0g1aYojz/ng6fXj2EoStWrDvSm8T&#10;vt2kDGNW2vgC0xPSWsMOzDkwXMUMRQDh2sQDY5q+GhXg5CudN8xCKB+GIX3tqTXj6DDUD89g6tFm&#10;ILkC0qsj8tfGL32tJtAnclkDU5U+Qf1FqJcNL4pTVF+gzWSIq6/kFPQ8QBxragOoP/rXtg/x8Qxt&#10;9NKhziI7XmXioN7enPDipkAfYT7ofkP5eOb1nyannjHaNT+QDvF03ZCnNTUCPLNxIcTHc6/90l86&#10;DfoOz7wyCJmKfHr2gQ3f3e2+5sC7jouGOEIIIYSQcbpliINsubufusLdBCWEdJcN296t/f0Cr144&#10;IaR/+Y8//7n2+XDLptfccEJawbSFixrWjN00xK39ybqGzc52MVZ8A9qIdc9vnpxg1AK9YFCaatAQ&#10;19vosQFeHEIIIaQbtMQQB9lMxhbCy/H88nmfWO5twhNCCCGkuxw/0miIa/e1XJ4hbtqJF7sbwoQQ&#10;Qggh/YZniMN/QKwvpdoqrAN1uR9bvMzdBCWEdJdN77xXM7zg1QvvV857ZONOM9AlT2xy40wWJmNb&#10;UE8I9Ub9vTi9xGvvfVCr71QzlorufnmLGz6ZmErvaTEyY9554ZONaXOOalirTh8aWV1fTrZVvWqI&#10;Ez712c81xIF5y8YhzUFDXG+jxwZ4cQghhJBu8ItnNjWsIYE2xG3ati3vb6/2j6cDQ6M34/mq+TMW&#10;eZvwhBBCCOkuNMQRQgghhPQOODnXrpW6ZYjb48Sl7iYoIaS70BDnAwOQaLKbgSZjWyZbnbW88MmK&#10;aLK/B8BkfB/E0PLCJxt6vQgGhkZX1peTbVWvG+KsWStmiMOJcjDPyXWXAFdejs47PGnwQphNh6tZ&#10;8Qx5emnAylVrwozhA3amkXSo38PPbXbT4DnSoU66PEmbKlMbA3FKHvLSz7x+kbLQDxIP5Zz0paUN&#10;5XiGOOlPSYvXoj6JofOQ9Kgb6iJlSt/ZtKBK21EO2umNkW2/Blem6v5CPb14qAPK1W0AKC+WRpMz&#10;NjosBk9MJIQQ0k08Q5y+er+MIW69zuRDQ9y+c71NeEIIIYR0l8+P7t+wAAC1L/U2iYY4QgghhJA4&#10;XTbENfxNZ8/jFruboISQ7kJDnE/RaVK4QhLa9sEfJ4T1Gr12MpacbrV+y3Y3HBSdEJeTRytY/MCT&#10;tXJQD/zsxQE8Ia734Qlxvclul93UsE4FclNUu7XknPP/zpY92QxxNo4HDFQ2HUxJXlwBpjWbBoYp&#10;a4KywMiEeDodDFQ5BifE8UxO2tgF05RnxJK4KMsawSw6vu0/bYSz4HlZU5xOj7al6oZ22fRl2g4w&#10;rjl9fd5FFzekA5iDOo4339CGovxRR4yDTVtmbLwwi1c/QgghpFMUGeLGvqvyNLbwXdeY0ch6PL98&#10;wSdmepvwhBBCCOkuniGunZuuA4Oje9ryaIgjhBBCCBkH6yK7VsJ/KKgvpdoqGuIImRzQEFcNfdqU&#10;F07itGLOdWrewkQl8ox5Ux3RVDDEkd5kt0vWNqxTwcDw6KL6crKt8gxxt9z/cMNmZ7sYK74BzxBn&#10;zUP29K0iU5tGm4dg6vLiWHRZMDMVmeEEGKa0IcoarVIgrS4XFJmotJEMJ495cTTaRJZjKNQgf0mb&#10;g06bY1SzJq8ybS8zH4A1HxYZ4uwJcil0HwtlxianHJ4QRwghpJu00BA3urIxo/Fr11bPGdzF24Qn&#10;hBBCSHc57dBh9b09TscNcSdf5m4IE0IIIYT0G54hDuun+lKqrbL/yXGvo09wN0IJId2lU8aiqQYN&#10;cdVpxZzr1LylIW5cNMSRdvE3F65pWKeOMzK3vpxsq3rVEAfjkTUP4cQ2bTLDz9o0BGOUPpkN+WkD&#10;mzaaWROYPi0MeeCUNHtCnJdG6oPXVJ5SV7QJpi19yhrqaa9Q1X0BikxhYqKyhi6UqU1TckKbNrXZ&#10;egP0m9QR7bDhehyKsGkBykQeQF9/CvQ4gdy2Sx/rMH0FKV7tnLJl2f5DPXW4rovtWy9/Ox91WM7Y&#10;AJ0G6DBCCCGkm7TREDd+7RoNcYQQQkhvsuywoYbvbdDOTVca4gghhBBC4mBdZNdKnTPEjd6sy522&#10;cJG7EUoI6S6dMhZNNWiIq04r5lyn5i0NceOiIY60i4+e273TjD+39KxTbNndMsSlgHlIm4uANWpp&#10;k5kAk5GOI0YzawLLMXhps5V3BSvQBjwxauWQMtMBzxQmcdBu6RtryLIn6nnYsvWJa4JuF7CGvRQ6&#10;HbB18oxsOv/cttvT4ayxTLDmQ21KSxniUI4O8/oWbdFxdPoqYwN0GuDFIYQQQrrBXY8+1bCGBGKI&#10;27j1vdohb1kaGBpZbjOSU2ZWLdh3m7cRTwghhJDuQUMcIaTXmHH+neHf7vrOpObcH1zlto0QQoro&#10;piFu+tDIal3utDlHuRuh/cotm16rmQw2bHu39vviB54M67dsD//x5z/Xnm/74I+13/e79cGdaWDG&#10;QHwR4uSYFCSd5A299t4HtbQ6f82Rdz1aC4fZRKeD8OyqjZvddAB5Pvj627X6iWLlod0i/KzDNFIH&#10;9FssDOmRP/pNJP2rQdsQR9dP+hthNn6zVO1L6Rukwe9oG/LR9Ub7ikw6kg5jIMLPUi7qAOHVpk2h&#10;+x2/Y2x0Gcjvkic27Ywfq39q3AHSIW+pp6hoDjfbf5Ie0nW0Y2iF/HU+Avrbvg9z5p3uZ7ShaH57&#10;xNqiw6r2E0Caove8rkNZSZ1z8kD/SL10fMnDQ/pYf76gzVWUGhP0of3sQdlF/St1kfohrq4f8ku9&#10;F/AcaZFGlw0VvY9EiOOFx8idt8181wDkjfT6syfWpqL5gPhlv7v0+0anlXHV5ch3j7QTr/jd5p2D&#10;jL/uSxtWdb50mt3PvKBhnQq6aYjD5qbd8GwHY8VnAfOZZ3azBqMcxGhlzXQwScGgFDPGWTNUDs0Y&#10;4rSRClhTWMyQZo1lXhyLLdvLOydODJ3OM9sBe0qcbn9u2+18iMVL9TXSxMLsnMlBp68yNkCnKZOO&#10;EEIIaTeeIW7tT9aNh2/dsWnseytPOBrZZiR/uKUhjhBCCOk9Vhw2s+F7G0wbnDWz9sXeBiHvCeXR&#10;EEcIUYxccHt49c1zJjUPPP1PbtsIIaQIzxDXzrWZlj31f2D2PHcjtF/BZjQkG/4xYTNeNtpj0gYQ&#10;izYheMKGvGcMkA37lLxyseGfSmvTYKNelDKEiNBvsTCYr7QpQqTjpvpaVGTAKEvVvtR9gzFK5ROr&#10;M+aO1ycimCQkHHPRyyOGKNbvItQN9bdGHFFsDoKidkOx9M32X2xuFtUH7dT5FI2BKDaGopz5HSPW&#10;FhtWpZ9y3/PIu6qkzjl56PdSqt0akf580QaiMoq9j1CvInmfAwB5QqhfKh/MD8/klNOWWFqR99mb&#10;QlQ0b4veT1CsXzAfYp8rkG1Taj40892Vet/gOcLx3onFifV9CpkT3nxrdr50mj1OXNqwTgX1pWTb&#10;NRkMcTBEeUY17+SwIuRULu9UMsEz4FmjVA72ylUAYx2u8SyquzZSARtfh2l0HKTx4lisQcwzkuXE&#10;iaHTxepk89ftz217bryU6S0VZuuYgz5JUD/PHRug0wEvDiGEENINWmaIcze563+4vWL+jPXeRjwh&#10;hBBCusc350w0xMHgXvtib4O8tcLei9e4G8KEkP6EhjhCSF8zti6yayUa4noDbFRDeoMcpjdssmPj&#10;XBsI9IkzSCdxdFq7uQ/ERCfpsOEvYTApSL7WwAPwDCYKlKPToRxdN2z063RivECZuk6Ih435lKnA&#10;a4Mg8kwZIukPmAHQPoA+kHj4XYR66LrjZzERQLrNzVK1L3Xf2LYhTJskEV5khNFpcXKQ5ClCuE2f&#10;QiT5oC1oo1c3r/62bjZ/a1DBmElavGqjB+LZMUM8kVd+Uf/p9PhZhwF5D0M2TKPHGOVLH0kddBtR&#10;N5teZNsA9PxOkWqLDqvST2Xf8wD5Q3i1YUKqzqAVeQgi7/MlN49UfXQf4vMA7z/kBfCzfBZD3phK&#10;3jI+eNXfBXqOeW3AGCAOytKfM3jP6PehnCimEXn5phDZOWXnbdXPR8xD3W/68wF1lXJ1mxAmws86&#10;v7LzWOclZSEPaaPuV1tPpEWconFLkZpvzc6XTrPncYsb1qkDBxyyub6UbLs+ffKXz9Zlg188s2nC&#10;hmc7GCu+ATFZ4dVe0eldf2kNUEXAAKeNbjCn2eszNfpKS2uUygHGN0kP8LsXz0MbsUCu2UvHyTVd&#10;WaOXjEPZODF0ulidbP66/bltz41nx1KXlQqzdcxBX8eqn+eODdDpgBeHEEII6QZpQ9x768e+t/KE&#10;o5FtRtOHZy9B2BXzZ6zzNuIJIYQQ0j2+PW8/8709GgaGRxfVvtjbIBriCCFF0BBHCOlrHENcO/+z&#10;gtbA0MhyW7a3EdqvYBNaZDfgAYwBWoiTMkxZE4VOj413HSYgPxE2yb04Hjpvu5kuyt1k122wfaAR&#10;eflqWdOCRkwJnuEEaINFKp9WkupL3TeQZ1bR88iOsx5fzzSB9mrThhcnhRb6yxql8EzL61MxbkCp&#10;9LH5iT4R2fyb7b+iuanT2jAB9RZ57Qd6nDD/bLhWLI8iUm1ptp9Edv6mkHFPzbmi/m9FHoLIa0Nu&#10;HrH66Pc4jEh2ngP92QMhjQ6XvCHkYcORXsxPCNdhOUjZXl+Kyowv0Ko6b1Ofj3pOenMWfYK+0OlS&#10;YynKbafOC/LqoMcUsp9jzYxbbL7pMKgd86XV4Ep9vVbc58DDfllfSrZdvWiIAzCupcJBrgGqCBjf&#10;bF6ClJkySuVQ9rpNm39uW3WcXNOVNXrZfs6NE0Oni9XJ5q/bn9v23HipsUyFNdMHQKfNHRug0wEv&#10;DiGEENINWmaI22Nwzi42o52GuAX7rvY24gkhhBDSPS6dP9EQJ9/d7RANcYSQImiII4T0M9NOWduw&#10;ThqnM4Y4rAFt2X+95g53M7Qf0Zv51ugm6E3tWJyYkUHy9ww2GmyGQzGTWAyRNQ9IfWC00s9j5JpN&#10;RJ5ZQYS2YKPfhgNdjjUHaNAPUCdNAiLbNl1nz2wBcg0jsfkDZA54xooUothY6/rH4mjDmB5/jKOo&#10;qF5Sfxg89PNm+0+n13UTdP/aMEHXLTY3gcw7yI6VKDW/i0i1pdl+KvueB/LZlhrbov5vRR6CyLYN&#10;5OYRq48e21R6GA1Fdhwkb/R1bA5oA6kXniLVlyKvb1KImpm3QGTLl/dW6jsO5eqyU2PZzHdX7H2j&#10;PyNicaqOW2rM2j1fWo01xE0bPeKK+lKy7Zq36MRTddmgFwxxANdN6nB9/SSwBiic+KbDywITHk6i&#10;03lKmdYo5Z1Yl8KeeAeDnD6tLmUIA7lmLx0nFU+TY/Rqxgym08WMYLbf9el8uW238WJ1tG3BWEiY&#10;HWc9Dql0Oei0wIvjUTUdIYQQ0m5uuf/hhjUkEEPcxq3vrRv73srX9OGRbToj/A9jPF+1YN+V3kY8&#10;IYQQQroHDXGEkF6DhjhCSD/TTUMcTgm2Ze92yVp3M7Qf0RvlXjjIiRPbFJfnufI21VOIrElB1xl5&#10;xk6nE1IGBY3IllcUJuh65crLpx2IbP2b7RuZA9YoZpF4rZoDGlEsTqyN+nnR6YV6bLWZrNn+K0qv&#10;y7VhgqjohCxdljXOiFL9XESqLUXtFES2Hrofct7zIGfOFdWrFXkIIq+Pc/OI1Ueep4xbgsiasnLa&#10;mjMfY6TyF5Wdf6Ky6Swim4+ojJk7NZa6/9APrfjuyolTddxSY5YKE6qW22p2u+ymhnUi2Gdk/hn1&#10;pWTbdcinFp1ny+8VQ5x3Spw2kdkrSLV5qSoPP7e5IU8xcNnnuH4Vz2z6GDqtZwqzZivbllxTmDXe&#10;aWOZAOMg4snvtux2GuKArRP6Ef2p42hzY27bbR2tgVKw1+TqOZUyxOH6Ux3mjWOKKmMDdBqgwwgh&#10;hJBukjLE/e7tHTePfW/la6IhbrSWweXzPrHc24jvNFd+cjBc9enhcP3Js8ItZx4abvvq/PDTbx0R&#10;fvrPR4afXLgw/Gj53HDTaYeE739xdrjucweGNUcPTshjlfmdEEIImczo7+3x7+5xM3s7hA1dWx42&#10;fr0NYUJIf0JDHCGkn+nuCXET12k0xH1IzmZ0TpzYxrc8z5VnKsCpUHiOvOR6NSvU0abTJyJBSItn&#10;3slsOYYBIPLKE3lhgu7LHOH0IS+fqlTpy2b7JjY3LLnxLKJUv4ticWJtjJ0c56HHVseN5W0Rle1/&#10;Xa4NA6lT1Sy6LBtXVJRHilRbitopiLx6lHnPg5w5V1SvVuQhiLy25eYRq4+cPJaqpyCycWN5a1B3&#10;kReOk8JgtkQeUicrL39R2fknyklX9vOxzHtLUzSWZeZxzrzIiVM0bjFScyIVJlQtt9X8zYUTr/bf&#10;+7Ajjq4vJdsuzxC3fvOWhs3OdjFWfAOeycqaoWCCkzCYh3QYgIFJG5wQByd5wWSkT3VDPDyDKUni&#10;w5hlrzbV5dlTzJAeJikJR3r8DiMWDF7a1KVNWAiTtkqZ1hCmjVgg1xRm6498pY4oS5vGJI1+Btpt&#10;iANyuhr63hrF0Fc6fW7bkZeOB1BvtBvhGA87htbUljLEATtOyE+PM+qAOYXniKvTVhkbYPtHjHQo&#10;V9pGCCGEdAPPEIdn9fDVY99b+Zo+PLJeZzQwNFI7Ym7V/BmLvE34TnLl4TPC1ccNhR98aSTc+a2F&#10;4aEbjw9PPLA4PPfUaWHTc2eEZx77cnj0zs+HB649Ltzzr0eF286bG773hdlj6fZz8yOEEEKmAvp7&#10;u/7dTUMcIaRr0BBHCOlnummI807yxcantyHaj+RsRufEiW1852yIp9CGpJRiZgQxOGhzA362p33l&#10;GAaAyCtPFKsLyOnLdlG1L5vtm9w5UHWuiFL9LorFibURxh1Rqu1Aj62OG8vbIirb/7pcGwZwWp0o&#10;1UdAl2XjiorySJFqS1E7BVGsHrnveZAz54rq1Yo8BJHXttw8YvWR/kjVUxDZuLG8Nai7yIZhLupx&#10;icnLX1R2/omK0lX5fCzz3tLkjGUrv7ty4qTGLUVqTjQ7XzrJR8+9uGGdCD4+OGvX+lKy7ep1Q5w9&#10;lQsmIm0CsteqptDmJ2vwiqHrBAOSNUSl0GnL1BNYI1auKQx9Y09A89CmM9sX3jjkxImh0+WgTYYg&#10;t+3AnhqYAmOpzWwA7dJx7DjAjKbDi9Bpq4wNSM0dMRYSQggh3aClhjicCKczGhge3YTnq+bvO9fb&#10;hO8kVx09M9xy+mHhvlXHhEfuODFsePSU8OKLZ4at288LO/7z6+G1N88Jzz/9j+Gph5aE9T/9Qnjo&#10;+58NP115RPjBl0fDNcftH1Z/ksY4QgghU48Z+480LAKmD42U+/IvIRriCCFF0BBHCOlnummIGxgc&#10;3dOWjY1Pb0O0H8nZjM6JE9v4lufYyNfPc9Cb+DgpDVfH4XQhHUeUY0aAkUDMBXjVp+3kGAaAyCtP&#10;lKqL7kt9rWa7aaYvm+2b3DkQm0NFiFL9LorFibVRP/cMVRo9trpvm+2/ovS6XBsmiMpcmWqvahSl&#10;+rmIVFuK2imIcuqRes+DnDlXVK9W5CGIvLbl5hGrjzwvc2UqDFn6eU5bY/MR7wk9FhibMuMhKjv/&#10;RKl0um/Lfj6KbF+lyB1Lodnvrpw4sXErIjVmqTCharmtZvczL2hYJwIa4hqxJiJ91SRMRvbUrxj6&#10;Cs0cQ5wuR4BZK9cUp0+qQz3tSV8a5KnbWdUQB4qMewjTprNOGuLQB6l+0CfyCWXaDnLMh+hra4YD&#10;RYY4kDN3gDW2gbJjAzCPYmloiCOEENJNUoa4Z9/+j5Vj31X5GhgaXdmY2cg2PL98wSdmepvwneS6&#10;Ew4M911xTPjdb08NL20+K7z8ylnhldeXhdffWh7efPvc2ubV5leWhZdeOjO89OJXwvMb/jE8/rMv&#10;hgeu/ky446sLwtoTD3TzJd3jufvurP1D8E8fvO+GE0IIKWb/AzpniBsYHl3UUNYY05be5G4IE0L6&#10;k5ghbubQX9X+iPbNfzrEDe8Wi5fMqNULr/KMhjhCSFW6aYjDhqYtGxuf3oZoP5KzGZ0TJ7bxDZOA&#10;yJofitDlWnOCIEJcL9wSMwbo5zHjE+og8soTpeoCo4WoyGDVSprpyxwzBRDZ9DlzAHUqc6WjRpTq&#10;d1EsTqyNqK+oyEwm9beGo2b7ryg94otsmBCrmwVtFNmxEqX6uYhUW4raKYhy65HKN8ewU1SvsnlU&#10;/XwpqocQq09qbDWon8jWNaetsfmo62/NlkIqf1HZ+SdKpdN1Lvv5mPve0n2eO5aaWJqcvHLixMat&#10;iNSYpcKEquW2mj2PW9ywTpx22Cf/q76M7IgOOvyYb+vygd3sbBfayAbzkDaQaexVk54JCEYmGKGs&#10;eQ7mKzy35jYY1JAPzFbabIT0iB+rC9BpdVnIB89gmPLSIx3CtCEM5cEEZo19tr7a5OUZrSyxsry2&#10;6VPP0AbPKJYTJ4akA+gfPEPd9Fih7TGTXdm2A28+yPhg7NA/sXQSH6CeXjz0IcbNmvtQHtqSKqPM&#10;2Ajob+Sr5yp+T81TQgghpN2s/cm6hjUkEEPcxq3vlrs1Ddes2cz2GJyzy3cW/u2e3iZ8J7jyiP3C&#10;VZ8ZCrd+5bDw6I9Pqpnf/itcGP6w4/zwxtbl4bUt4xtXr20ZN8Zt3b4ivPefXw9vv7Mi/P7Z08Nv&#10;7zk5/Ow7x4Qbloy4+TfL9SctDC8+/EDY8dab9X/WhPDBO9vDK48/Em4762Q3PsIhxLHh/QT6TeSF&#10;9yIYUxj4IBj6vDiEENJJRg+a1fC9jdNe61/rLVcvGuK+99DYP/pffze8/8cPr9j4w3t/DI+/tD2c&#10;fv2TbhqNpEcaLfyO5wg/+FsPumnBBbdvbCj79sdec+NpqqTx+NXzH266iXLy8tJpvb79g1r/oZ5e&#10;eo/jVz1ay/fFt8b/GKyFZwgrGo+ieqHPZEy89DHQHi3kY9uGulUV6o08ME/0PEJdJX/dL175Hqn8&#10;ivpKS+qXC8q1+ee8lwTPEHf3upN2/iHtl79ePCFcg3Axz/23Xf4vN47Hv122YGc6Ab/juRdf8OpG&#10;QxwhpCrdNMThbze2bBriPiRnMzonTmzjW2/Eb9j2bkNYEUXlVrmuThuctDFAm1G8zXuUhZODRF55&#10;olRdUI6c9AMDRcx80Wqa6cscMwUQ2fTaBOjNAfSB7tuUecJDlOp3USxOqo0yt6FY+/XVqq3uv6L0&#10;iC+KzScdJ9YHeg54YyCKpc8h1Zaidgqi3HrE3vNAxhbzTz/XFNUrJ49WfL7oesQMZUDqY8vR6b06&#10;ANRTDF74nLLzKZa3Rs81/byoH3XZXv6isvNPlEoXq7OQ+nzURkN8DugwgHZhbHW6or7wiM3jnLxy&#10;4hT1QYzUnGhmvnSavY4+oWGduNcnj3+/vozsiAYPnv8NXT6wm52ENMPYNNuJGOJ6lVxDHCGEEEJ8&#10;Q9xdjz5VC3vmrXeXjH2X5svb6Mb/Ml49Z3AXbxO+E1zz2eFwy7LDwn1XfLp2Heprby0P//HHb4S3&#10;/rCidjqcNsTh9y3bzgvb3/vq2Ou54YXnTg9P3P/FcP+Vnwk/OGXUzb8Z7r3onJ3mqJieuuPGhjS/&#10;vOKf6yEhbH91c0NYvzEZDXEcP0JIr9FJQ9z04dlLdFmgW4a4y9dtmmBi8xQzA8GQlJMegoEJ5Xn5&#10;/GzDh3/YhGB88uJpqqSxwLTkCW3y4mu0Ga9IMMZ5eQieeSolmLqQxsurTL1gcovlo8G4ebLtwnyo&#10;Khk/Lw/JH+3WyjGpwfinpdOU6asy8yv2vsgx8AmeIe7YRfvU/sB32Nz/NSFMc9bZjf/rGXjxNE9t&#10;PG2CEc6yx57/Ty2elx4gHPHklDga4gghVemmIQ6yZe9+6gp3Q7QfydmMzomTsykOwRClN+RhFoC5&#10;A6YCGDB0On1SEcLlhB28ok5iLIPwu6SDeQHGCjzDz/q5mE5SZg8IP6NeqKs+4UykyxNEXpgG4SLU&#10;B+XoukiZaINnXpD6INyGxajalwB1EHn1EURe+7XZB3NA+laXLa/eHEoh8soVRLE4qTbqMAj9J/VH&#10;v+p5g3baeZXKWyMq2/96bOX9hfphnkgc1EmPMeqMdBJXm3oQT79vBFGqn4tItSUVphHpelR9z+t2&#10;Iy3KRb9oY1NRvXLyAM1+vmhDlHxuID3K1+2ScvCq0+swCP2FOiIPqYeeI2hDLL2Xt4C6i/RzW38Z&#10;J9QdZaE+Ii9/kdc3KUSpdChfhP4s8/mIODoc6WVs0L8SptMhTISf5XmVeRzLS5MTB2WKvPAYqTnR&#10;zHzpNNPmHNWwTtzz7055t76E7IhoiCPtZmya7aTXDXE42U3Xl4Y4QgghJE7KELfxrR2Lxr5L84U/&#10;1NrMpg3OmtlNQ9z1fz87rPvO0eGxe0+uXYP68mtnh7f+cF7N/PbqG2dPAMY4mOLw8wvPnxGeeviU&#10;8Ivrjgs3LT3Ezb8qOOlNm+Fw2hvMUgAnh8kpcNY0VXRCHEx2EPLGzzZ8KtFrhji5whXj44UDnhBH&#10;COk15hx0UMP39sDQyLr613rL5Rni9j7jDndDuJ1Yo1CRrJmnbHqRdzJZtwxxqTYUneZVVqivlw8M&#10;afb0tRzFzGxlhXxsHhYY3zzBUKbjteKEuJQhzo5XjnHRmuj0uJZRjvkOpIyNzRjiYEQb+/iocfV1&#10;n2oIE3BKm5jSLF58DUx2EhfGOJRxy4+Oq50Mp/NMmfFwjSviyIl0NMQRQqrSfUPcyDZd9scWL3M3&#10;RPuRnM3onDipjW9s3kt4kWxaMQF4gjEABiAIdZQ0evM/Js/sAdOBNjZYwdwg7dDlCSIvzOKZYDx5&#10;5gXdlzYsRZW+BDlmCiDy2l/Ut+gPpIO8OZRClOp3USxOURu1YSYm9K81XIFm+68oPcr0+hbPdLyi&#10;MYAQro04GlGqn4tItaWonYJI10Onjcl7z8fS4b3gxfHqlZMHaPbzBcQ+R/WYSRzvfYS5kvocEHl9&#10;BVJ5C6i7yIYVfe6JudDLX1R2/omK0lX9fATor9TY2s+G2JyKzSUtOzaxvMrGSY1bitScaHa+dIq/&#10;XnOHWpuO87+/cPr2+hKyI6IhjrSbsWm2k142xOEqU9RP1zd2jSshhBBCCk6I2/Jeub+7DgyO7mkz&#10;w6lxCFu1YN9t3kZ8u7lx6aHhkR+fFDZtOiO88vq46W3nyXA1A9w5E35/Y+u5tZ83v3JWeH7jaeHR&#10;O04Kt35ljpt/VcQ8BcWMUTB8bX3hOTcshj6BDD97caYKvWaIm4wn1hFCyBGzGg1x04dH1te+1Nsg&#10;72p1bzO4nXimIxij9AluMA5p05k283jGJ5seZi0YmOwpXPgdV4NKPNAtQ5w2S9l6FhmgrHQY+sea&#10;3GLmLWvYgtA23UfIz4vn1dFKjxvytP0GxU7uE3Tf2H4qSgswNlopY5g3NyUMc8pKG9w8dH3tGFil&#10;6pWDHXOrMvlbQxyMaWMfHzX0c0FfWQpDGk6J0ye+eWkEGN8kHk6hs+Ew42lTHMqycQCuSpU4MNTR&#10;EEcIqUq3DXEDw6ObdNl7HrfY3RTtR2DCgLCZ74WDnDhiFrAmEA028hGujQP4GZvl2BSXU3k0MBEg&#10;TJsV5AQdhEnd8KrTSVn61CH8DMNFzPADUAfEkTriVZ8YJO205QFJ44V5wJiAvHUdIfQHjCMx44KY&#10;DCAvPEbVvkR/iVJ9V9R+lGHbi/6Udkr5qTnkkdPvRXFy2ihzQ/cf8sV4xAxEoNn+y0mP5zI3IfSx&#10;11aZA3oOQfIeRLhNI+T0cxGptuS0E8TqUfU9j9O89JjiZ/3ey6lXUR5CM58vQN5DNr2OI3mk3kfo&#10;K4y55AOhzrouHjl5o+4Q8vbCpWyR7gPpay9/qWvZ+ZebTt4behxzPh8FGVs9/5CX99mQmlNl53Eq&#10;rzJxisYtRmpOpMKEquW2kt0umbhG/chXLnyxvoTsiGiII+1mbJrtpFcNcbqOwn/bZRc3LiGEEELG&#10;aakhbo/BObvYzHAaDMK6ZYi79aw54alf/kPtGtR33/9qzei2cwMLP9d+r7/Ww3BKHH5+fevy8PJr&#10;y8ITP/+H8KNz57r5VwVGN5EXXhUa4roHDXGEkMnIp2cf2PC9jY3Q2pd6G9QLhjhr3MHvsaszxdyl&#10;jUfW4ASzlk6jQb7WRGWv2uyGIQ7mMC1r3sPPXjrByobb/CEbxzN/pQxenpnNmgutPBOWPfEN+do4&#10;gj2VzV6fmhp7oVWGOGCNgSnjoq2rjWtVxrDmoYU+LdNuizXEyQlusRPaYGoTI5xca5priJOrWEHs&#10;SlQY3CSOXInqIcY55ElDHCGkKj1wQtx6XTYNcWQyI0aJlMmAEEIIIcV85OuXqbXpOB85719+X19C&#10;dkTe3xTtZichzTA2zXYymQxxK1etceMSQgghZJzklanbduw59n2aL88Qh4Uqwq6YP2O9txHfbm45&#10;49Dw2N0nh5dfPSu88TZOfhs/AQ6nwuH61Bc3nRl+/7szwku/P7P2+2tjz+U61W3vnh/eHuOZR04J&#10;t391gZt/VXAVqgjXoHpxqkBDXPegIY4QMhmxhjhclVX7Um+DBoZGVzaUddA8dzO4XXiGI2uqSmHT&#10;wzgWM9MJ3tWkOrwbhrjbHxv/38UitMEaxVKnn1lViWMNUyljmoBTzrRsGivPhGX7LlWuNqDBGIln&#10;tg5F499KQ5ydS1InDzue1mxolapXDhDaKuWUabfFGuLGPjpq4FpS/VyAkc2a2XINcTDSIU7qOlQg&#10;8ZCvFw5glkMcxKUhjhBSFc8QJ6fud0K4Ol+XPW3hIndTlJBeB6cHQThNJ3WSEyGEEEKK2f3MCxrW&#10;p2C3f/n+L+tLyI6IhjjSbv77X/zlzr8lnfSlpW6cbqOvSt19r73D5dff5MYjhBBCyId4hrhb7n+4&#10;FrZh2/u7jn2vlhM20hsyHBpZjedXzJ+xztuIbzff/4fR8OA1i8LTD58SXnj+zPDKG8vC1u0rwpZt&#10;54XNr5wdnn/qtJrh7dknl4bNL39lp1kOhrjxU+W+Fjau/3K442utNcRp8xR+9uLE+NMH79fS6atW&#10;9YlzMd121skN+QCY5pBW8oR2vPVmrU5VjXrrb1jTUB/kjd9TBj3U7Y2NT4YP3vlwAxc/45lXb5Bj&#10;QEMbEA9tEuXUB3hpvb7RfVdGsatywVN33DhhXIr6A0j8ey86p/Y78rH1xzObjhDSvxw/0jlDHNYE&#10;uqyB0aPczeB2YU1C9rS2InDKllZOehimrLQ5qIq5rUoajT4lT045syeKpdpmZcPtCXHWuOX1SY4x&#10;0fa/bbeVZ8LKNcTZOsJEiOe2DjCp2bSaMsYwhFnp8DL9po173pW1VmUMax62Hq0yxOkrTfGzNqCl&#10;yDHE6WtOcbqcF0fIyU+fJLfm5lPcthFCSBHdNsTZtdq0OUe5m6KE9DpyOhyu8fPCCSGEEJKPZ4j7&#10;q1W3/by+hOyIaIgjhBBCCCFVgPnNriObNcQ1XLExMDR6M55fsWDGzXYTvhOsPfHA8NNvHxl+/cMT&#10;w+9+e+pOo9uWbefWTo37/TP/GH732NLw+6f/MWx+5azwxtblNVMc4r21/bzw5tvLw1MPLQm3nz/f&#10;zb8qMDVpweiUa0ATwZglz7QBLSZrpEKZKcFcJcaqXF55/JF6al+emQsGrSJ5Jq4iQxzqXmRWQx/E&#10;0mpznhWMZTJeVQ1xevwE5KkNbDHFTG0imBJT+cTaTQjpPyYa4kZh6GiLum2I00YwqMjMZLEmn9z0&#10;Np2Yq0CnDXHWrKbboJW6NtVKh8k1s1r2tDlr/PIMWx42na2jlWfCyh1DPNcSw5etQ9G1qba8lDHM&#10;5g3ZOPbaVD2XBIyBlne1qlWqXlUo026LNsTBqDb20ZE0onnkGNi02Q5mNi+OINe2pvK7e91JO+Ms&#10;v/Bot22EEFJE90+IazzNd2D2PHdTlJBe5pInxv+jx2vvfeCGE0IIIaQce5y4tGF9Cv7yuntq+36d&#10;Eg1xhBBCCCGkCilDXH2pWU72ig38judXLNh3tbcR326uWTQcbvnKYeFnlx8dnvrlP4RX3jw77Pjg&#10;a+HNt88Lr7x+Tnj55bPC5pe+EjaPvb7yxtnhtS0fGuJwheoLz58efvPTL4QfLZvj5t8M1ggGYxUM&#10;ZakTwIDIM1TlXpkqxjWUiXx0mTBTiRkMrzpdCpjIRNrgh1e0FXnZtqEsEdJoAx5+1lfL2rQpQxzi&#10;ilENeaAcHaaNe9ZchvpqMxzqhfToT5Qp+doT3lL10Yi88dMmNtQbdUO5AHXW5jvdJkEk8dAOyQP1&#10;1elT84MQ0j98fnT/hkUAwBXotS/1FgsmeV3OwGGL3M3gdmFV1gRklZvemoP0qWSdNsTZ61L1yV7W&#10;bBW7NjVXMLp5eVStf5FhzEqPD0xitn2oX+zKUx3XGvZgxNOK5QHKGMOK2gesUc+7NtWeYmevSwW5&#10;8gx3OZRpt0Ub4sSIhmtItfmsiLInuhWdPpdrzJM4n//ywW7bCCGkiF4zxAFvU5SQXmbDtndrV6Uu&#10;fuBJN5wQQggh5djzuMUN60OcIkxDHCGEEEIImQzc9ehTDWtIgGtUN259r9qNaRM2u4dHN+H5qgX7&#10;rvQ24tvNmqMGw/dOOjDcdt7c8MsffLZ2ShyuRoX5DdemvvWH82qvb749flUqzHDb3j2/9vMLz54e&#10;Hr/vi+H+Kz8TfnDKqJt/s2jzmZY2lFlEnqEKJidRzPAEQ5jIM1UBbW6zhrEYuYYwjbQdZi8vXJvT&#10;7KlmqfIQF4LBzIYJcqoe8tfPdb7etaaoE/K1/Z/bfpFNj34W2bYKelxsvYGWN4f0/Ij1OSGkv1hy&#10;yHDDIgDQEOdjlZvemoO6aYjTp7dZM5U1W8WuTS0j5GGv0+yUIS4lmNo8oxiwV5PaE9bQJq3YKXOg&#10;jDGsqH0g59pUPcax0/dypedqGcq026INcWJsw6s2nhWRY4jTJrcyhrhUXBj3EOfj+/6N2zZCCCmi&#10;+4a4iRuNf73mDndjlBBCCCGE9AcTDHELF+H56voSsiOiIY4QQgghhFTBM8StuvH28LutO2o+ttKa&#10;+D+KR2rOusvnfWK5txHfCVYfOTOsPeHA8KNz5oT7Vh0THrv3C+Gll74S/vO/Lggf/Pmb4Q87vloz&#10;wYF33v9aCOFbtVPknv71knD3v34q/ODUg8NVxw67ebcKmKGsMQ6neekT0wSRNVSBHEOcGLc8Q5VG&#10;TivLNU5pQ5dXb4uuqz39TSOnuVlzW8qAJkqZ+WAGFGnjmLQ71T+Ib81mzRripFyMu81bI/0B2X4W&#10;weynn2tknuEEOi+cENJfnHboREPcxwdnlb8zPUMTTpGlIa6jhjh7Xao9/cuarWLXppYV8tGmrW4b&#10;4jyTnsYaA61xDqfeaaWuTS1jDCtqn2BPutOGPDvG3nWpIFfdPiFODGa9ZIjD1aheHCDl0hBHCKlK&#10;1w1xY2XZ8ne77KYJm6KEEEIIIaR/gAFOrw/3OvoEPKchjhBCCCGE9Dy/eGZTwxoSjBvi3ltfX2qW&#10;k7cwxfMr5s1Y4m3Ed4orD58RvnvMzHDDktGw7jtHh43rv1Q7Be71rcvD5leX1a5HfeW1s2qvODXu&#10;pc1nhYdvPSHc8KXRWlovz3ZgjXEwR1mzmKiqIU5fQ5qjXOMUTFxyJSdeUb+U0U0byHIVS6+f6z7I&#10;le4rUdkT1GL1sYjs+Ilip8MJun32BDuRzVsj409DHCEELDtsqOE7GwwMju5Z+1JvsSYY4uae4G4G&#10;twurMiYdYJWb3pqDumWIS12XKqTMVoKVDoOpDmnstaLaNNZtQxzKS11zmrouVbDtixns7Nin5kxR&#10;+wRr2NN9a8c4dgqeVdn3QhFl2m3Rhrixj40a7TDE/dtlC3bGadWVqTTEEUKapduGuOnDI3Nt+btd&#10;snbCpighhBBCCOkfcEWqXh/uceLS8FfX3rOyvoTsiHrXELcjbNyyPTzzxrawcQy8/m7LO7XnfnxC&#10;CCGEENJJ1m/e0rCGBBdfdT2uTF1XX2qW0/Th2Utshrh6bdX8GYu8jfhOc9UxM8PNZxwafv7dz4T1&#10;d30+PPng4vD0r5aEpx8+JTz90JLw2/u+GB6548TwwNWLwm0r5oerF7X3ZDgPGMvktDDIGqREnump&#10;HYa4MsYwnFhmT7pDed5JbdpAlqPcE+LKGuK06VBfJ5sylXnE6mMR6fzLlKvbZ+OKUnnQEEcI0XTS&#10;EDd9eGR9QzkdNsRZExNO+vLixdBXUUKeWczDptPldtIQZ+uRI222EqxsOIARy0rC7AlrMdOZxaaz&#10;V75aiQkLr7btXruAdyVpjmInqbXDEOfVUQx+urxUv1qVMazlMBkMcTDBSZyrr/uUG0c4dtE+hfkB&#10;GuIIIc3iGeJgUhv7bOmIPEPc31y4xt0YJYQQQggh/YFdH35s8TIa4oQ3/xCefvHV8OTzL4YnntsU&#10;nnj+hfDUS6+FDW+87ccnhBBCCCEdJWaIGwurduKx9wdUbKyvmr/vXG8jvhvA5HbjqQeHO762INz7&#10;758KD167KPzye58N91+1KNx9yafCrWceFq77uwPCdz81M1y50M+j3cAUJ7LGJZFneipjiGunIQoG&#10;OClHhN/1VaCov0inzSWWPqcPYsDQJ0qZyjxy2yPS+Zcpl4Y4QkgrWXHYzIbvbDBtcNbM+td6SzXB&#10;EHf4YnczuF1Ykw6uzvTixdAnh0Gx6yg1nnmp2etDq6TxDGq5sqepWekwjTWhiSnKq4stwwP9rWXH&#10;z0qbsOxVopBn0rInrOXKmvOEMsYwhFl58YCdizBn2rmWmp9WqXpVYbIZ4nACnBdHkPx23fX/dsMF&#10;GuIIIc3inhA3+4ijxz5bOiKsAW35NMQRQgghhPQ3dn24+6krwl9ce9fy+hKyI+olQ9zGLe+EZ15/&#10;Kzz1wsvht09tCI88/HD49YMPhF/9/P7wqwd+Hh595JHw2JMbwpObXgkb38JpcX4+hBBCCCGk/cQM&#10;cc++/R/V/oOH9wdUPLt8wSdmehvx3QAmt6s/MxzWfv6gcOPSg8MPz54TfrR8XrjlrDnhB186OFxz&#10;XOdPhfOIGZdEnumpjCEOJ6N54a0EJ59tfeG5WnmQPm0O9RfBEKbT5aDT6+e6D+yVojmIJsOVqetv&#10;WNMQJvLmhkBDHCFE00lD3MDw6CZdzsCRS93N4HZhzU44MS7HiCXY9Dknm1nzmjVOdcoQZ81kZWRP&#10;wrPSYRpriNPXd9rT+opO28M4FZ3wZ2VNWDDQaXmGSFvnMvKuTW2XIc5em4q22Gex61KBVT8a4oDE&#10;OWzu/3LDhf+2y/+VFY+GOEJI0yxe07Amq62XOmiIw39mtOV/5OuXuRujhBBCCCFk6rPbZTc1rA3B&#10;7mde0JeGuI1v/CE8/cqbYf2TG8KDd94W7r36inDX5f8c7vy3leHHl3wz3PHPXw93XDzGv1wQ7rry&#10;0rE4d4THntoQnnr59dq1ql6ehBBCCCGk/dh15Df+fXV1Q9zHB2ftajMcGB5d9J2Ff7untxHfFQ6H&#10;KW6/cOURg2HNUYPhqqNnhtVHD9VOhFt95GBYfcR+froOI2q1IQ5GL5FcFdpuPBMWzFwi70rVImIG&#10;NH26XpG5zEOufMWrFy7YvmvWEJdbLtoksnUQ0RBHCMnlm3MmGuLadTVXtw1x9gQtKHVKHAxOMEiJ&#10;Wcs7ZSyVHoakIuNXpwxxMO+JUCcvjmCNf/Z6USsdJnh9pcOtOQ11Shm4bHzPjGhlTVhenbSJzYbH&#10;rlUV7Clt3rWp7TLE2bmM/tP1KTJrWvWqIU4MZu0yxO2x5/9TiwPD21MbT3Pj4DpVyevfLlvgxhHE&#10;OEdDHCGkMo4hbu+RTx0y9tnSEXl/z/nouRe7m6OEEEIIIWTq4xnisD78y+vuXlJfQnZEvWCIe+a1&#10;rTWD289/dEu4+bxTw1WLDgnfPfqgcDVeF42Gq449OKz5zEhYfdSB4Zq/mxdu+6fl4YHbfxTWP/FU&#10;2PD6W26ehJThv+2yS+3vTudddLEbTgghhBAfu46EIe6Zt96ttp7dY3DOLjbD6cOzl6yeM7irtxHf&#10;j8DEhNPZUiYwba6yp5yJPNNT6vQwLw5Ob/PitBoxcWkTFoxr6AcIJjB9nWoOKQOamL6gsqfPacOZ&#10;d8Ic6rnjrTcn9L+uT6otolR6Gyboq1U9Q5solh7QEEcI0Xx73n7mO3vcyF7/Wm+ppg+PbNPl7HPM&#10;Mn8zuI1YMxkE844+bQzGKMQTMxt+ljDvpDUYkbSZy6YXeca1Kua2smlQN60io5dnHNMn6VnptAB9&#10;aU9as8ZBlGH7B7/DMKjLQl7WXAV5BisrL47NS18rao2AnsFNY09ks6f/AVteyhiGMCsvnmANeVqp&#10;61KBVRnDWg5l2m3xDHEwmmnjWRG5hrhv/tMhO+MtXjJjQjhMcrgmVeoQM80JktdnTtjfbRshhBQx&#10;7eTLGtZkYNoRp4yOfbZ0RDTEEUIIIYQQzW6XTLzSHycI/+U1d7flb4cx9YIh7vGNz4cHf/rj8OOL&#10;v1EzvF1/1FC44VPD4dpPDoZrj5w59jozrD1yKNx49P7hqiMGw/VfOi7cdcW/hl/ef1946qXX3Txb&#10;xUlfWlr/28UubjiZGmCMwdLl57vhhBBCCPEZOvTwhnXk2RddGja+taP6elZnBrBYXT1ncBdvI74f&#10;0aYmGMFgXoJJDcAkp81cMF5Zc5XIMz3BbCdCWpjikC9MXjofXQZMcYgjYYiHdEhT5lpV5AOQVsrC&#10;K0xlIltn/C6S+up6ol440Q79pOto0+rnAHFFYj7Up6lhDFAvz9gmhkUR+kH6EWkkzKZDGSLpU6Sz&#10;V6+KbHq0W5eLMUKeko826iGeZ/QT2bw1NMQRQjSdNcQ1ltMNQxzwDFYp6VPdYNaqcq0m0mijl2DN&#10;bSmJ6a5sGmvis6fUeegT5SCdpqxgdIMBTucPrKEsV7H6W3kmLBjstFA3GRc7rl6dNZ5x0KZppyEu&#10;1X+p0/ZAGaVOQRTKvCfQ514egjbEnXX2ATv/2Jcyo93yo+MakJPfgH5+97qTGtJpwxvAlag4EQ5x&#10;YZbTYfhdp7Ugb4m7dPkCt22EEFLEtBMvblgrgb0+9ZVPjn22dETef3DElVje5ighhBBCCJn60BD3&#10;IY8+8mj48b9eGL63ZFG48qgDw9VHDIZrxvju4fuFqxaOvY6BZzDFrT58Rrj2pCPCrV/7Srj/1hvD&#10;ky9sdvNsFTOGP/z7iRdOpgYyxjTEEUIIIeWwhrhTV1wQntnyXvXb0uwJMANDozfTENcIDFNFglnL&#10;XokJRDHTkza7aWkDFcxXsXhWOu8URfl55j6gr3BNqYwhDsBMpg1mMXn9WJTWa4s1tInwTMcTeeVi&#10;jIrqjHDPDAdENMQRQnK5dP5EQxxOdq1/pbdUtpx9jl3hbgZ3Au+kN0/eSVswUNkrPFNCXM8MB+yp&#10;ZCmJmapsGmtui9VFY/tHnypnT3ZLCUaplDkLBjVbv5gQT5/kZ7GKmc88s581t6HeXlqLNYLZU+Xa&#10;aYjDOHpC+7z4mjJjiDZ4eWjKystD0IY4fV0pTGragCbgucTJwaaHkU2uOo3hnR5nwXWqEn/Nzae4&#10;bSOEkCI8Q9y0Rd/s2AlxNMQRQgghhBDN31w48Up/PPura++uvoFYQb1giHvonrvCD874Qrjyk8O1&#10;v6leCQ5v/Dsrnq1ZuF+4cuFg7QrVG5aeEO6+6vLw+LPPu3m2inYb4kbnHV7L+1Of/ZwbPtXBFaVo&#10;/3//i790wzuFjDENcYQQQkg5Ro9c1LCOhCFuw5Z3Z459r1bT9OGR9TpDGOLwXC8MyfgpZjj1C+Yq&#10;EcxOMMvBkOWlAWKY8q7zBDBmyeluEF7xuxcX5aA8iQvhZ5ilYKryDHkxEBfmNmuMw++xugrSFzgJ&#10;Tgtpkac1wwE5eQ71tWGC1En3MYTfUV6qn5HW1gnpUmlgVNNmR6S1bZe+To0f+t7rRzz3TIVCUd5A&#10;6odXL5wQ0l/0qyEOwAQF45c1LcHkhOc5J4R56SE8y80j15wkxrKyaXTcnNO+gE2HnyXMmuWsYMiC&#10;gS52kpsH4iKNNauVyUtfIYp0sb73rkZFe7Vy6454Wto4CLRxMlUnAIObbr/Ny8M7LdCa8jyKxlCr&#10;myfE4QS3sY+OGjgtThvQBH0yWxGxq1dRDkxv+mQ5xMWJcTEjngXpJd0DT/+T2zZCCClin+MvaFgr&#10;gb0+9+0jxz5fOiZb/u6nrnA3RwkhhBBCyNQHp8HZ9SFOjesXQ9zGrTvC7956Jzzx3Kbws+9fG647&#10;+ajw3YX71Uxv3t9ZwerD9wurxl6vPGIoXPN382unyv326Y1u/q2i3YY4yR+vXvhUBwa0dvZvLlIH&#10;GuIIIYSQclhD3OdPXx42bHt/17Hv1WoaW5yu0xnidzxftWDfbd4CkRBCCCHdQ39n17+3l9e+0Fuo&#10;jw/O2tWWg01fbzOYENK/aEMcEJPazKG/anjea0g9YaKjIY4QUhXPEPe/F19zSG0x1SHZ8mmII4QQ&#10;QgjpXz567sQTjHe77Ka+McQ9s+Wd8OTvXwoP/+IX4cf/tjJcffyc2rWoaw6PG+JwStyq+fvWrlBd&#10;/cnh8MNvnh3W/+a3bv6tgoa49kJDHCGEEDK5WXj8FxrWkTDEbdq2bZex79VqwolwOsOB4dFNeE5D&#10;HCGEENJ76O/s2vd2hwxxuBbM2wwmhPQv1hD3zX86ZOcf/HCSmw7rFX7568U764irU2mII4RUBafn&#10;TlgvndXZzcbpwyPbdPkfW7zM3RztR/7jz/4JvXi+6Z33wi2bXgv73fqgm/aqjR+eKrv4gSfdOJrX&#10;3hs/fXXDtncnhCG91AWvyNvGsUh81NELJ4QQQgjxiBrirr6r+hVTFdQ1Q9wbfwjrn3w6/PyOH4Uf&#10;/dM54bvHjoZrPzmzZnbz/sYqwBB39REza6fF3XT2kvCrdfeEDZvfDBvfetctp1loiGsvNMQRQggh&#10;kxvPEDf2nVpdA0OjK3WG+IMqnq9asO8mb3FICCGEkO4xY/8R9Z1du+p8Ze0LvYUaGBzdU5cBpp18&#10;mbsZTAjpX6whzprNdFivIKY9XJcK0x4NcYSQqniGuL3PunsR1lKdkjXE7XHiUndztN8475GNNUNZ&#10;kbZ98EfX8Hb3yx9ec468bLhFBKOdDdN5QTC7xYx4gghpvXBCCCGEEI/dz5x4gjEMcf/zmjv3rC8f&#10;O6LuGeK2hUcffTSsu/7qcPN5p4U1n549fkJc4spUQU6Su/7Lx4d1a68Kjz7ySHjqxVfdcpolZYj7&#10;4f0P1f9msUvt94ef21wzVP33v/jLnWlG5x0e1t5xl5suxac++7mGNEDy332vvXfGQ9leGZaVq9Y0&#10;tCXGPb95cmca5Itn5110ce13lI3y8Ax1kLh4RRjyl3ABz1C25CnYeBb0oU3TTPtRR/RpbGzkGfK3&#10;aXOw/YtyUJ7uTx0XYbodRWlA7nhovHGPjQkhhBBShWO/eGrDOvJTJy15f+z7prpihrgr5s9Y7y0M&#10;CSGEENI9rCFu+tDI6toXegs1bXDWzIYyxqAhjhBisYY4gGtIxz5Gaq82rBeQ61KPXbRP7Xca4ggh&#10;VdnnmGUNa6XpB83ruCEOJ/zrOux53GJ3c7Tf0Ia49Vu2134XcEIbjGsiz6DWTkMc9ODrb0+IpxHR&#10;EEcIIYSQMniGuL9ec0ffGOI21gxxvwnrvn9NzRD33c+MhqtwFWriylRBjHPf+/tPhR9f+q3wi7vu&#10;DI//7nm3nGbRZiIbBjOVhMHkljJ5aQNSFUNcUf7AphHw3IvvoU1V0nYYr7w8xExWVC9g61aUxhri&#10;mml/UVq0T//s5REDJj1rONOgXJQv8WFm8+JpbBohdzwA6mUNdxaEI54ugxBCCCmLNcQd+bnF7459&#10;z1SXtzjdY3DOLjTEEUIIIb3H/gd0xxC39+I17mYwIaR/8Qxxt/zouJ1/CMOJcTa8m9y97qQJdaMh&#10;jhBSlYEjlzaslWqGuGV3Lxn7jOmYpg+PrNd1oCFuHG2Ii5nKYJQT2TjtMsThSlXRkXc9OiGuIKIh&#10;jhBCCCFliBni/sfadbvWl48dUbcMcb/b8k747bO/D7/62bpwx79cEK469pBw7SeHwprD01emgqvq&#10;hrhrT1wYbr/ovHD/rTeExzc845fTJLmGODFcIf7l199UCzvpS0sbwj3zkeSPVxsmwKRm89dhuhx7&#10;8hd+lzAYqaQOSCcnjiFv73QxqZuUDZMa8pO2SRo8R14I0/kgnjZleSYvbUazYQLyrNp+tBf1k3AY&#10;yVAvOz5CWUOc9CFA3aR/8CrlIo7El+coG/HkOeqp+0KnEXLHA0i/SxwZd7zClCd5xEyEhBBCSC7W&#10;EHfYMcc3Z4ibPjx7ic4Q1A1x67yFISGEEEK6x+hBsxq+sweGRm+uf6W3TAPDo4t0GWDaKWsnbAQT&#10;QvobzxAHZg79Ve2PYGedfYAb3i0WL5lRqxde5RkNcYSQqlhD3MDoUWPPaYjrBXIMcTgVTmSNbO0y&#10;xOl6wZBn4woiGuIIIYQQUobdT514pT+e94Ihbv3mLe6GZyvZuHVH2PjmO+HxZzeFe9deFa75uwXh&#10;uk8Ohe8uzDPE4SS5a048Itx24bnh/pthiNvoltMsYkICNgxGJAkDcpWlRpuctJFLkPzxasMEOQ0M&#10;JicvHIgxCwYo/bwofzFtwVBlw3Tbq54mBpOW5OGZzXIMcc20X5/I5pUPk5427XlxYujx9wxsAHVP&#10;ja1F2gpsWO54wACHODGjI9D9EotDCCGE5PD505c3rCMPPvLYrWPfL9U1fXhkrs4QDAyO7jm2CLzZ&#10;LgoJIYQQ0l26ZohbetOEjWBCSH8z4/w7w7/d9Z1JzYU/usJtGyGEFDFw+OKGtVI3DHEDQyPrdB32&#10;OvqECRuj/UiOIQ5s++CPtTi4NlU/b5chDr/rk+lieYtoiCOEEEJIGaKGuNXrdqkvHzsi7xCOThji&#10;hA2vbw33/fDGcN3JR9euQoUhDma3K6NXp+4Xrl44M3z38MGw9u8/FX5y6UW1K1OfeHaTm3+zaBOS&#10;DdOGKM8MB4oMYZJ/yjQl6WF08sIBzHYSTxulJP+Y0StVvoTBWOWd7paL1MurA55JuA0TJLyZ9qMN&#10;Or4G8SVtGUOcPmEuZSorYzhL9UfueEi81Olvus2eUZMQQgjJ5dQVjaceD805YvvY90t10RBHCCGE&#10;TB7mHHRQ43f20Mi6+ld6y+T94WrvM+6YsBFMCCGEENKvTDDEHbYo7PWVu5bXl1MdkTXETVu4aMLG&#10;aD+Sa4iDEQ567b0PGp630xCHq1JFXnwgitX9kic2NVy/inbg95y6EkIIIWTq8rHFyxrWpwDP+80Q&#10;Bx6868fh+0tPCFcu3C+sOXyM+qv3t9ZV82fUrla95oiZ4fovfTbcd+PasP63T4anXnnTzbtZxFwE&#10;bJg2xOFnGy5IHM9sJfnj1YYBewpdDrouReaonBPiYnXLRepVxRDXbPvlWewEN0HilTHESf+kTq4r&#10;S44hrmg8JH0uZdpMCCGEWKwh7hOz5rw/9v1SXdMGZ83UGQI8u2LBvqu9xSEhhBBCukcnDHHe1Qbe&#10;RjAhhBBCSL8yMPeEhrVSdwxxozfrOtAQN06OIU4b02Am02HtNMSBolPiRF7dH3z97XqoL7TLpiGE&#10;EEJIf2ANcQOz59We15eOHVMvGOJ+/YtfhtsuPCes/cKR4bvHzApX4IS4+TPCFfP33cmVC2bUT43b&#10;N1x1xFj4wpnh5uVfDr+8956wYfPr4ZmxNZuXd7OICQnYMG3W0iYsi8TxjEdFJqeyhjB7TaZcnwlQ&#10;vpyehjhyzSjw6p9rwALID6Y6xEUdJF+N1/6UAQw02355XmT6yo2nETNhTv9YMC7of31dq8WmyR0P&#10;m08RPCGOEEJIM5x90aUN68i/Peiw98a+X6oLp8HpDAGuSlu1YN+V3kY8IYQQQrrHEbMaDXHTh0fW&#10;17/SW6aBodGVjWXQEEcIIYQQoplgiBv7vdsnxPHK1HGKDHH73fpg7VQ4kTWlaRPbLZteq4WnEOUa&#10;4lC+nE6Ha1t1fCCydV/8wJP1kFAz1SEfPMfrVRs31/KiIY4QQgjpX2iI+5DHNmwMD9x2S/jxJd8M&#10;Nyw9Iaz59Ei4Yv6McM0nB8O1Y1y1cL9w9REzw3VHDtWuVb1i4WC47qQjw4//9cLwm/WPhWedPFuF&#10;mJCADeu0IS5VRgx9NWaM2OlxuQYsbbpL0awhrkr7JW07DHFi/CvqHw3GI2WC09i0ueMh6cu0hRBC&#10;CKnKN/59dcM6Eox9D1XXHoNzdrEZYsFKQxwhhBDSe1hD3MDw6Kb6V3rLNH1oZHVDGaNHuRvBhBBC&#10;CCH9Ck6Ea1gvwRB31j0r68upjoiGOB9tUoNxTJvXYHCDcUxUZGIro1xDnH0OM5sOE1lDXCwvQggh&#10;hBCwx4lLG9an0+YcNfb87m31pWPHhAM3dD3AL57Z5G54tosNr24Jv33m2fDQPXeFH1/8zdpVqN89&#10;9uBwxeEzwncX7hdWL5hRu0b1mk/OrP299ZoTFoRbzv/H8LMbvxeeeO5FN89WISYkYMNyzVoSxzMo&#10;FZmcdBnnXXSxGycFzG5Ii1ecSCYmLrzi91S9cwxYun4weuG0MTmFTpBwr/14JuE2DDTbfknbK1em&#10;Shop64f3P9QQnuqPnPEAkr6ozYQQQkgr8Axx8LSNfRdVEw1xhBBCyOTh07MPbPjObochzl6/hQ1f&#10;byOYEEIIIaRfwX8YaFgvHbmUhrgeQRviUsJVqXLKmqYThjh7Spyuh8ga4mCcE+G0OB1GCCGEEOIa&#10;4q69u+V/NyxSLxjiNm7dEZ55/e3w2w3PhAd/fFu468pLw48uXB5uWrY4XP+l48K1XzgyXPv5T4bv&#10;/f3R4QennxRuu+j8sO6Ga8PDDz0UNrzW3tPstIHJhmmzVspYJnE8s1WRyUmf8BY7yS2GTmtNajnk&#10;GLC0gStWhoR77U8ZwEAz7QdyGhuuN/XCAUxpUoZXxxhiNgT6mlaLd4UrrpfVcYRUf+SMB8hpMyGE&#10;ENIqVt14e8M6EuDW07HvouqakOHQyPLL531iubcR3ylWH7FfuOromeG6Ew4MP/jyaLh12Zxw+1fn&#10;h9u/fni47bx54ZYzDg03nDIavveFg8K1n90/rD5y0M2HEEIImUocP9JoiJs+PNLy/+lJQxwhhBBC&#10;SBrXELfsntX15VRHhKvzdR1oiBsnZYiD+UxOjfPSAm1iS8UTRGUMcUAb3LT5TWQNcdpEh1eE84pU&#10;QgghhAg0xDWy8a13a6a4p154Nfx2w8bwyK9+FR786Y/DPddeGW7756+F27+1Ivz0ikvCfTdfHx5+&#10;8IHw22eeC0+/sqWWzsuvVYgJCdiwVhriUqeM6TrYE8VS6PqVMXoJOQasIkNbkdlMp48Z6qq2H8B4&#10;Jmm9E+aQn5yaB8r0k74qNnYaG0xzuv+KykE+EseG5YwH0H1a5VQ9QgghpAxrf7KuYR0JWmCIG9nW&#10;kOnQyOquGuIWzghXf2Yo3PAPs8OPv3l4eHDtceGxe04OG9d/OTz75NKw4eEl4ZHbTgw/X3NsuOvb&#10;nww/PHtOWHvSgRPzOdz8TgghhExyOmOIazxtBFeAeRvBhBBCCCH9yvSD5qn12GjY55hlXTfE7Xnc&#10;YndztN/QhjhrKstBm9jaaYgDcn0rDG5ySpzIqztOhtNXvkIo1167SgghhJD+wzPE/eV196yvLx07&#10;pl4xxFk2btkenvj9S+GRXz0c7v/RzeH+H94YfvWzdeGxx58MT730RmPcrTsafm8l2oxlw1phiNOn&#10;jCEc+cBopY1MuhyYtxCuTx2DqQvxYarTZcBgps1eGjxH2wDSema0HAOWNoWhLVIvvKIuRWYzaypD&#10;W3Htqj5BrWr7AeLpOiBf5Ad030scr44p5DQ2gH5C3ZA3XiVM9x9ObZPy0E55jp+lvwUJE3LGA9hx&#10;R5u0kRB9gvqhv4vyIoQQQoq45f6HG9aRYNrgrJlj30HVhevWGjLtsiFuzacGw02nHhzu/pejwsO3&#10;nhCefviU8MKmM8KWbeeFHR98Lbzyxtnh2adPC0888MXwyB0nhp9fe2zNOPf9xbPD1ccMhSsX7ufm&#10;SwghhEx2JhriRvEP0ZbKrgsGDl/sbgQTQgghhPQreq0EumGIs2s2GuLGmUyGuEue2FQP/bCuolTd&#10;YYBDeVr43bsClhBCCCH9QS8b4u569Cl3w7PTbHzzD+GJF18Ov33qmbD+iafD48/+Pjy1+Y0Jp8JN&#10;ZkOczkNjTxyDgUmbnGLYMpDOi2eBUUubzECuAUubwiyos5x65rU/ZtrDMx2vavslrRcXIE+ES1u9&#10;9ClgNBOTmwfy12Y0GN+8eII26elyQO54gKJ6CTl5EUIIISnwHynsWhLry7Hvmeqy/6sYV6VdMW/G&#10;Em8jvhNc+3f7h3svOzo888gp4cXfnxleeums8Orry8Ibby8Pb/3hvPDqm8vDy68sCy9sOjO88NyZ&#10;tVPjfnv3yeFnq44Jt507L1x3wgFuvoQQQshk5/Oj+zcsAkD967xlmmCIO3KpuxFMCCGEENKv6LUS&#10;2OfYFTDE3VxfTnVEds2GTVBvc7TfmEyGOCDGNjklTpRTd1yZumHbu/UUITz4+ttuPEIIIYRMfXrF&#10;EDd9eGSurgfoFUMcqJnd6uDndprfPMSgZA1aAKYjhAFterKIkSt2fSVMUtpUhp89gx0MazjhzBrQ&#10;8DvqCWOXTSNmMMSxp8ChDBjAJB9rjhIjmzXnWZAv8tH1ghkLzxCGduNZrP3oOylL0npxq7RfkDJk&#10;LPCKNGIClPJjdUxR1H4bH/2u6wLwu4w5ngObTuqIVxvmIX0vRjoBdUMeCPPqRwghhJRh/eYtDevI&#10;cWYvGfvOqa5eMcRduXBGWHP0zHDT6YeER24/Mby+5Zzw5/BPYdu754fX31oeXhv7/dU3zxl7XR7e&#10;2HpueOsPK8KOD74etm4/L2z63enhsbu+ENZd9qlww+LZbv7d4t6Lzqn/aTLUfvbiEJJDp+bSc/fd&#10;WSvjTx+874YTQrqHZ4jbY3DOLvWv9JYI17Dq/HHiibcRPBk4/fona59nEH724pDu8P4f/1wbl9sf&#10;e80Nn6xM1XYRkmIyf9bye4JUYdrSmxrWYrX10vEX0BDXI0w2Q5ytr6hM3cVU59WBEEIIIf0BTgvW&#10;a8OaIe7ae9bVl44dU68b4kh1tGHPnv6mgclM4nnhhBBCCCExPEPcwNDI8rF1RXWNZbDOZLiuG4a4&#10;qxcNh1tOPzTc+52jw5O//Ifwxtbl4f0/fzNs3b4iYog7L7zz/tdqry88f0Z4/L4vhvtWfybccMqo&#10;m38ziEHI04633gxvbHwy/PKKf3bT4rkoFmcygrbAMAWtv2GNG4e0lk7NpRcffqBeSnDDCSHdY8kh&#10;ww2LANB6Q1xj/r1kiPvDe3+sfzqFcPm6TW4czQW3f7jBiJ+9OL0C6idmqpy25fK718dPDXl9+wdu&#10;eLcQ/WzDFjd8siLKbZeMeVlNtX5rB3hPYf7rPsbv33tosxu/l2jX54HmV8+/Xcsf5XjhZZhMn7WW&#10;yVx30j08Q9y0Ey+mIa5HmGyGOCCnvOGUOFGZuq/fsr2WhoY4QgghpH+hIY60GzndruhaTH1KnBdO&#10;CCGEEJJi6NDDG9aSA0OjK7HOrCxriMOJcavmz1jkbcS3k++dfFC499+ODr/56RfCc08uDS+/dvZO&#10;M9yrb5w9ARjjtmw7r/bzpmdPr5noHrh2UfjBlw9282+G7a9urv1xsUivPP7IhLRT1RCnTVP42YtD&#10;WgsNcYSQ0w6daIj7+OCsXetf6U0L5jqbP64A8zaDOw1MLFo5Bq/JZHSAwUnUSrOTlhfeLUT9boir&#10;Khri0jz+0rgxICZ8fhz8rQfdtL1Auz4PNC++NX6aEOSFl2Eym8omc91J95h2ytqGtRKYdvJlHTfE&#10;2VN9P7Z4mbs52m9MRkMcrj61snWHaQ5c8sSm2tWqeIbXWza9Vk9Rrb2EEEIImRq4hrjrOrs+hWiI&#10;m7rIVZm4ItMLFyQervz0wgkhhBBCUjiGuObWtMhAZ9gtQ9xNSw8Jv/7RCeH5Z08PL796Vnj1jWW1&#10;U+JqJ8PVDHDnhNffwglxH/6Ok+Lw80svfSU8t+G08MhtJ4ZbvnKYm38zaEMcjEgamODkpDTImsMQ&#10;R4SfddhkBm3hCXGdpVNziYY4QnqXdhvikJfNHyeeeJvBnUZOOtM6ftWjblxhMhkdUD+eEDf5EeW2&#10;C1c0YuwtIhi7vPCiud/PaDMZ5j3MtOgzvK+0UQ7PbFpcdQvhNEob1klQt9TnQSvqSUPcOJO57qSL&#10;LF7TsFaqrZdoiOsZJqMhDjz4+vjJnSJbd+Sf0mvvfbDTKEcIIYSQ/mOCIW7hIjxfXV86dkyeIe6W&#10;+x92NzvJ5OK8iy7eefIbTG+XX39TQzh+FzMcsOGEEEIIITksPP4LDWvJpg1x04dGVjdkODy6qRuG&#10;uFvPOiw89Ysl4Q87zg/vvv/VmtENV6TWqP08boLDq4TJ6XE4LW7zK8vC4z//YvjR8nlu/s2gDXFe&#10;+L0XnbPTHIbX609auDNsqhriSOehIY4Q4hniBgZH96x/pTct5GXz7wVDHE5yEsk1fxBMIV58gUaH&#10;3kXU74a4GKKp1j+dQIxkMIt5p8DBhAijHF5tmDbT2bBeohX1pCFuHH5PkEo4hjg822tZZ6+ksnWg&#10;IW4cnLYmV4/i9DQvToqrNn7495/FDzzpxtHAiAbh9DYbhtPcINTHhllgZhPTG+JbMx7aBdOcNcbh&#10;9yrtJIQQQsjUolcMcdMGZ83U9QA0xE0NHn5uc+3Ut7FhLgTXpnp5EEIIIYQUcewXT21YS+JAt7H1&#10;RXXhzlWT4bZuGOJuPvPQ8Nt1J9euSt3yh3PDa3XDG8Czl148M7zw+zPCSy+cGV55fdwE91rdELf1&#10;nfPD1u3nhWd+/aVw+/kL3PybocgQB3BSnEiblWiII62ChjhCyLLDhtT39ThtN8SdfJm/GdxB9HWp&#10;MLjA6AIVnY5Eo0PvIqIhzkdEQ1w5YHITVem7VhjNOkEr6klD3Dj8niCV6FFD3O6nrpiwMUoIIYQQ&#10;QvoD1xB37T0r60vHjomGuKnPylVrwui8w2tXp44N+U5gljvpS0vDPb950k1HCCGEEJLDqSsuaFhL&#10;wr+GdWZl9Yoh7oZTRsIv1n42bHj0y+GFTWeGV944O7y1fUXYsu288PKrZ4fnN5wWNjzypfDsk6eF&#10;zS+fVbsuVU6I2/7e+WHHB18Lzzx2arjja/Pd/JshxxD31B031mOE8Nx9d+58TkMcaRU0xBFC2m2I&#10;8/5ohQ1edzO4g+A0JwjXf+J3fUqcd8qTQKND7yKaaoYvUbPtEk21/mk3+j2PzwkvTgoa4qoxmT9r&#10;+T1BqoD/LGDXS9NOWUtDHCGEEEII6Ro0xBFCCCGEkKnA2Rdd2rCWbIMhbjR0wxC39vMHhbsvPio8&#10;cvtJYeMTS2tXo27bcX7Ysu3c8PKry8Lzz5wWnvnNl8NzT50WXn5l3BD3xtb6CXHbV4S3/nBeePrh&#10;JeH287tjiIMJTrT+hjU7nxeZmGCke2Pjk2HHW2/WY43rg3e2157fdtbJE9IAKW/rC8/Vfkc8xNdX&#10;t7YzPa6JFeFnLwx54HdcIQuTFdokQrlFpi6EI57UKSb0oZdeQBtE2qyo0e3R46fR+Xh1xzP0mW4n&#10;6l7UVmkf6oC+Qh4iGR+APERefvqUQtsnyFuPL4R57fWdNcSVnRsC2oL+1u8fCHMdZeirhTWx+aPf&#10;I/g5Ne5Ig/7QY1FULiGTgXYb4sYWFXNt/tjg9TaDO8Xxqx6tv4tD7aQ4PNOnQKVML9bogNPlYCSR&#10;E+YgmO0k3xSIA0OeXMcIIZ/HX9peq6OXBkh81BnlI75IDH5Atylm8kMdtIklJl0flAHpsmyYXD2L&#10;PpJnENqH/vKunQQoB+Gok+4XCM9S/SpCei88BuqIMbf9gPJR95ihRfoX8fC7NxdS6QW0GWMYSycq&#10;2y6LqCgf1Af9IaZRUVH/27FHOTKGyEvPodw5LHh9lPNeQf6Io+dSUTs8RMgnNnctukxPqL8Xv6hP&#10;mp2vEH6W52XrmULXyQtHu1B3PY6YG5grtl/RDpHXJowh+sjO06J5gfkJSZ/K3JJ+wGsqvYA6IQ8v&#10;XVHdBe/zt2h+Snm57x0yeegFQ9weg3N2sXXY/cwL3M1RQgghhBAy9aEhjhBCCCGETAW+8e+rG9aS&#10;AH8LrS83y2tgaGS5zbAbhrirFw2HHy6bE+674pjw9EP/EF7bck7Y8cHXw5vbzguvvH5O7VS4F1/4&#10;Snhp81m1K1RxZSpMcTDEvTL2+wsvnBl+e8/J4Ydnz3Xzb4YcQ5w2McHQI89TJiZtoosJpiCdnyCm&#10;JTE1xdSu9Kl26TCkRR4xxUxNqTpZpYxRghij0F4vXJvJMJZeHD1e1lSlxz+mWL4iGPGsMRKSeKk+&#10;1/1ly0G+Kdn+k7kBIW1s/GJzAxSNO5QztxCuTW1WXp/CqJcqOzYOhEwGVhw2s+H7GuAPTfWv9KY1&#10;MDy6aEL+S29yN4M7hRgiIG3CEJNGygCijQ7Ix5oxtGBU8PJAmal0opgpQnT5uk1uPhKvyJShjRRF&#10;0uYQMXDgVeenw2BwSeWPelsDDBCzR0qxfhWVMY5pk1BK3ljo/kU+qbrHxrIoHdoiKtMuD1EqH9Sz&#10;SLGxKxp7PQdFRXMY5NTJ61/knVJsTDx0ezBe3vvJUjSX7eeMKNUnrZqvuv5l65lC5gBkw/AZkirL&#10;vq9j9QX6MzwmlIX+0umAvKdQ19TciqUHRelg+hN5cyXnOyD2PhPlvHfI5GLaiRc3rJVkvdRJQ9zH&#10;B2ftauvw0XMvdjdHCSGEEELI1GeCIW7OUeEvrr1reX352DHhP+7qeoC1P1nnbnYSQgghhBBiwdrR&#10;riebOhxm+vDsJTbDf5oz8wveRnw7uepTg+H6LxwUbv/q/PDwzZ8Lz204Lbz82lnh1deX1Yxvb76N&#10;E+HGT4WDGQ7XpeJkOBjnNj13RnjyF/8QHrj62PCDL4+6+TdDkSFOm5Gs4arIxASzD8xYOkxOxBLp&#10;U8IECdfGHxh9kA9MTEgj8kxgzaZPtUuHSf7IA/kiTJvPEG7NZfokNtRDTiKz/YL8dLoUaJvIOyFM&#10;G9FQJxuu4+BVP9ftwXjCOId2AvysDV2Iq9MCke0roOPrfsXP8jxlhgOSL+qtT3VD/igrZYgTlZkb&#10;1pCGtEgn6fVYIJ6uE9Dt1H2CeiIMfarzt/WX+iGO7ieY61C210eETBbabYjz1gTdNsSJ8c2epqNN&#10;DDAb6DBBmzREMFYgPsJg1NCmD8+Yok0MYspAWoA66PRePUQST8oHSC/xdF3xs85DGzpgEBHjBUwr&#10;6BcI+XunJInpBa+xMKkbXpE/ykeZuu2eMQtjg/IRV5eN9DqtZ1QRefnGEJMOzDjoP21AQR10O3Q6&#10;oPtX4slYIEzPJ4Rbcwt+l7kIoQ5IZ9OKyrTLQxTLB/UWob6og9QHfSFjC2EsbHo79mgb0kl79HiK&#10;bL/ZOazrhP7R446fdZ3sXJW8UVcdhjyRDnXT8VNgrPT8g3LzQH+LvHBBlOqTVs1X/GzDc+uZQo+H&#10;DdOfK7p8jCPaA3T8VH3RVswvmaPyHP2h2+GdmCbh0leQvPfQp1JPCO2x6VFfEfJAfl5aka07kLkk&#10;7xEZR7zq7xDbJ0Akcbx5QiYnvWCI8zYaaYgjhBBCCOlfaIgjhBBCCCFTAZwubNeTTe2F94ohbvXC&#10;/cJ3PzUY1p50ULj9/Hk1c9sT938xbH75K+GDP38zvP+nb4Q/7Phq2Pbu+TXe+Y+vhv8TLgw7Pvha&#10;eOY3p4R1l3863Hz6YeHq4/Z3828GmHFEMNgI1twDaQMOwO8iG1aEztuGadOSNf4Iut7WBNZs+lS7&#10;dBgEA5MOByljm4ShXp55TfrFGtNSoAyRNVBpA57I1knH0e3Rz1Efr754pk1x1gCmlTJreX1eZIZL&#10;jVOMZueGnre2rwX0ocjWW9cZ8vKAuU2EvtVhIrRDPydkKtANQ9zeZ9zhbgZ3Am1msGYWHeYZEQDM&#10;DVqeIUbnA8ODDkN8UayMVHqgFcsD6LpaU4YYVzzDB0C5kGewSKWVMMgakQAMH2Lk8ExVKZCXCCYU&#10;Gy7ywqqix8v2oZ0LMLLocKDNOTCs6DB9ypVXZ8wDbcJqtl2iWD4y5hgflO3F0YYfO/ft2GuzlkUr&#10;NYdT8xCgDImj80nN/aqgLJRhhfLt2Gr0HPDCBa1Un6TIna9en+TWM4WeAzZMlDuPmxlDPU42TLcT&#10;c93LW7fDzmP9HvDSYi7IZxxk48gYIY79fBT0Z4ONo1V1npDeZJ/jL2hYK4FeMMR95OuXuZujhBBC&#10;CCFk6rPHiUsb1oYwxP3ldXcvqS8fOyYa4gghhBBCSDP84plNDWvJcWZXX9d616Ode8jgqd5GfCeA&#10;Me7qY4fDTaceHO674tPh2SdODW+/c17tNLhXcD1qHZwSB1Mcrk995PbPhxuXHhJWf3Kmm2ezaPNP&#10;TDAOWRMVqGJIErQxKRXmXTsJtFnKlt1s+lS7dJhnhgPaSGaNS1I39Lt+bsMhLzwGxgjCCWL6ubQT&#10;hjYxrlmTlu4LbWjTp8PZftBoQ57tE1HMUCfYPtd1ihnpYka+FM3MDdRfFBs/Ae2FMC76ec78Adp4&#10;p8dExtCOMyFTgW/OmWiImz48Mrf+ld60vGvUvY3gTgFjjcgz7GhTkA0D2qThGaAEbcjQhgYxOCH/&#10;lGFI19Oak0RFpiNdV2vKEMNHzJwi4XitEoZ+jNUtZVYpQuTVW5RruMkh1Yc5cyFl4pO+is01gD4U&#10;NdsukZcPTDyiVDm6Pvb0Ld2emKFOEKXmsO7fmHEIyHsFeckz3e+p92kVkLeew6KYOQn9KfLCBVHR&#10;+zpF7ny1YSC3nilkDkA2TD5b7byJUVTfFKm26LDYPE0ZC0Wpduj3k00vfZQys+n3mTVbipqZJ6Q3&#10;8Qxx+A8EnTTE4T9E2Dr8zYVr3M1RQgghhBAy9XENcdfcvai+fOyYaIgjhBBCCCHNsH7zloa1JMD+&#10;dX25WV69ZogTrv7MULh12Zzwi7WfDU/c98XwzK9PCRt/86Wwcf2XwzOPnBKe+sWS8Ng9fx8e+sHf&#10;hZ984/C2nAwnpAxxCINpJ2ZksiYmL06MlPErxxSWKrvZ9FXDNCLURT+XutmTvwQxQpU5IQ5oA5Ue&#10;L7liE+Y2MbjZsiWOLVPmRqyuGpE1aolsP1h0v2ojXswMJ+j5i7gxk5vQzNzQz2Ga02ksuhxdp1je&#10;FrzvRDqezhdt94yqhExW2m2Imz40slrnPTB6lLsR3CmKTBnaLGFPwAK5Jg19wo+OJ0qZIYAuxxp6&#10;RKirfm5J1bXIlCH9VPWEOC9MaMZ4I/LaLirqlzKk+jAVphHZeomKDEKiZtsl8vLBM1HKfAZkjK2R&#10;L2fsBVGqTbpOudLppT4Q5nmRSa8snjHOe7/odtgwjSjVJ0U0M19z65lC97kN0/kjXupUPVBU3xSp&#10;tuS0M1a2fp4yWqbqXlZ2PojsczL56QVDnPd3nN0uWetujhJCCCGEkKlPLxviVt14u7vZSQghhBBC&#10;iMfQoYc3rCexf11fbpZXrxriwDXH7x9uPv3Q8NMLF4b7rvx0+OX1x9cMcA+uPS7ce9kx4YfnzAvf&#10;+8KscNWnh8PqI/Zz82gF2lDkhafIMffAOASTlJyY5cmmaca0BJpNXzVMI0Jd9HN9qhn6RU7/golN&#10;19umK0Kf0qZNUnJyHOqq44hJS596Zk8sk9PIMEf0cw+RjSsqao/uVz0nYY7z4guov44Pod4xI2cz&#10;cyN2cpyHLkfHjeVtScXThkEIY4xn+iQ5QiYjniEO3+P1r/Sm1UuGOH1qj2d2A/pkKc+olDI6aLx4&#10;Ou8iM4NOX9UQkaqrPgEJ+chJQ6gj2i2y6UDK+JQKE1CeyAtHHWAsQh4wXXny2i4q6hcPtBPmJqm/&#10;J9sXqf7ViGy9REX1FVVpl0bk5aONXTbMovvIe54ae0GUahPCykifEAcwp+14wugJI1MrT9bS7yUI&#10;81eH63bo5xZRzji3Y77m1jNFbG4I+uRLCO9vPLN9BorqC9D3+LzC2Mdk0+S0M1Z2Tp1AKl5ZxU6I&#10;y5knZHLRs4a4y25yN0cJIYQQQsjUp1cMcR8fnLWrrgegIY4QQgghhJRh4fFfaFhPDgyN3lxfbpYX&#10;TpbRmYGlo8NnexvxneZKXJ963FC4/uTZ4ZYzDw23r5gfbv/q/PDDc+eFG087NFz7dweEK510raZd&#10;hjiYkVImOC2dDjRjWgLNpq8aphF5RrCifkG4Z+YqQsxvcqqarquNI0YzbZKzhiqJ22lDHH6WU+ug&#10;otPYANLoU/IgGOPsiXHNzI3YqW0euhwdN5a3pSgexgpjKGME4eecviKkV/n2vP0avq9BKw1xWFA0&#10;5H3YIncjuBPY05xyZI0zzRgicEKVqMjMoNPbuKIyedi6ol1FQn/pNELK+JQKE1KGFGsuislru6io&#10;Xyy588L2Yap/NaKq4ygq2y6LyMtHmyBtmCVmesoZe0GUahPCRF54LhgbO8YwxrXyxDht9LJzIbcd&#10;oqJxbtd8bUV/x+aGRgyv2uyKn61JOVVffH6lTHBaOh3IaWes7FSdNKl4oqJxjiGqmp70Lvscu6Jh&#10;LQY6bYibPjx7ia0DDXGEEEIIIf2LZ4j7q2vvbtmtErmiIY4QQgghhDTLsV88tWE9OX14ZH19uVle&#10;vWyIu+LwGbWT39YcOTN89+iZ4erPDIerjh0KV316aOz3obD6k+07FU7TLkOczhfmoDLGpGZMS6DZ&#10;9FXDNCLURT+XU8bQPzBwySlsEJ41Y2gSExmMUfhdThLT15hKHLkGVUxk9rpUIGMocVOIxGhnn9t+&#10;sNh+hSFQ+gbtKboKVUA6Pf62Xc3MDf28aJx0OdrcGMvbUsZ8h7qIMQ6vPCmOTFbab4gbWdeQ99wT&#10;3I3gThA7bSylMiYNTSuvTK16QlCqrmKqwSvMUNI3eMXvqbaljE85pqiYIUXXF2YXtNsaEkVe20Vl&#10;jCK6Ll67U32YCtOIbL1EKFc/t4jKtMtD5OWj+8E7rUsjY2xPZMsZe0GUapOuUyvMa5hLOk9b/2ZI&#10;zQVdpn5uEeX2Savna249U8gcgLxwCz5f9WePnnup+upyUG87P1JtyWlnrGz9vNkrU4ve9zFEaIcX&#10;TiYvvWCIG1uzLbd18DZGCSGEEEJIf2ANcQOz5/WMIe7iq653NzoJIYQQQgjxOP3rK7c3rilHttWX&#10;m+XV04a4HqFdhjiRNUgJKWNSM6Yl0Gz6qmEaEeqin8vpcPpa01YhZjsI+UtZ+ipUHQfGKTFS2XoC&#10;feJaymSl87RGMZGXv8brV5jgpH4wx5U5NS82B5qZG+gDkZzCF0PMfNZMqPNOzQF9Ql5Ou2N1JmQy&#10;cen8iYY4nBBS/0pvWnDY67y7ZYjTJ49Zk5sFpgyRNc1oo4M1qmlgdhBpUxdOpoLwquNb9ClQ1qAk&#10;KjJExEwZ+nQ4azjLIWV8SoUJMUOKfh6rl8hru6iMUUTqGzNHpYwtqTCNyNYLZUKpuVDmVMEiRF4+&#10;ue8P/d6wps6csRdEqTblXHFcBZQp8sKroPO0cyG3PFGqT9o5X1vRL1I/yAv3iNUrVV8RTprTz4VU&#10;W3LaGStbf3amTM0xQzTIed+nEKXmCZmc9MQJcfaae2x4OhujhBBCCCGkP3ANcVffNbO+fOyY9hic&#10;s4uuB6AhjhBCCCGElGHp+Re+adeU9eVmedEQV0y7DXExI5Q2/NiwZkxLoNn0VcM0Itt+EdpfxuCV&#10;A/IT6f7VZjYdR4+9dwKbbivi2nCA/PRJbrZNotg8EGL9qs12sTp46HT6ebNzQ/eZDRP06W623Tpv&#10;yBoIbRyMow330Ga9WL0I6XXabYgbGB7dpPMeOHyxuxHcbmIGtRja2BE7tQgnGnlGHR3HngKkzRgx&#10;Q4M2QXnmIlGRISJm6tDPq5gqpG+8uqXCBN0HOc+FInOYqEybiuqbMrbE+tcisvXS12x6p02hvXJ6&#10;FlSmXR4iLx+8J/RJXbH3iH4f2TbnjL0gSrVJ1wnmoZz3bQ7a/OeFW+QURWtMFWzf2XC0UZRqgyjV&#10;J+2cr7n1TCH1g7xwD22y1PVK1VcU6ys9T22YbqcNE1Jli6ENsifTAT2/IJtel586ZS6GKDVPyOQk&#10;YYi7ub6karusIa52JZazMUoIIYQQQvqDjy1e1rA+pSGOEEIIIYRMVr552XdftmtKrDPrS85y8gxx&#10;/zA69C/eRny/0i5DnDZJ6ZOw8LMuE9LpQLOmpWbTVw3TiKwhyrZdC2EAp+qlTmRLoY1wkD2hDNg6&#10;eHEEHRfxYPZCuwHqKSe4QZ65S2T7wZLqV7n6FdInDqIuOAUP5er+whyTeqH+8hy0cm5AOCkO5eE5&#10;6qH7C3WzBkGbHsKYSR6on+5TXT5MixgDxNEGRvwspwF6pkRCJgsdN8QdudTdCG4nMHeIUqf6aLSp&#10;QZsWtFFCBPMFTrNCGEwKYo6BrBlCm2cgGEhQFuIhD30yHOJ5hgtRkSFC11XXw9ZBC89RJ4B2e8YY&#10;Mb3gtUyYEDOk6D5HP4gBCa+2X722i4r6RaP7W7cX/a7DIDuWsf61iGy90C7dJhjkkA+w8wAq0y4P&#10;USwfPBehTF0f9I2cbgihfjZ9ztgLoqI26TrBiGSv0UXdUE/UDT/Lc9QX8TGntJEN6aU/c+oJtLkK&#10;7Zb3q5StxxBhNr2e18gL6VAPpNXxRKk+aed8za1nCpkDkH6O+mGM0Db9mYafxWCGfrRjK7L1lbmI&#10;NKijPMfPug6QTgf0nLJhQqpslCFC+RgH6SspW88Jmx5t1OG2TzBfMRYYA2+OilLzhExOesEQNzA0&#10;erMuf9rCRe7GKCGEEEII6Q88Q9z/vObOPevLx46JhjhCCCGEENIsl//gtifsmnJgcLTa2nba4KyZ&#10;NjMa4hrRBh4vPIU292jjDoDBJyV9HadOB5o1LbXS9FQmTCNCXfRzfQ1oSoiDPtRpc9Ano0HelbX6&#10;BDPIiyPAXCVmq5Q8MxwQ2X6wFPWrnqdSlh5nT+hDe/Jds3MD2D725JnhgM4b45CaC7ZPddqYYuNA&#10;yGTAM8QNDI0sr3+lN61eMMRpo4c2T6TQpgWYL+S5NUpoY4OVZ44BMD+k0kEI1yYJjajIEGHrqsN0&#10;n6SEtmtDERDTh2fWSIUJKUOKPn3JCn0i5iSv7aIyRhFrSrNCfaROtg9T/asRefVKjQPqhXDp0zLt&#10;8hCl8rGmKk+eGQ7kjL0gymkTDFk50mOAfFNKvb8syDc1R0QwRnnprQFKhGc6nijVJ+2cr7n1TCFz&#10;ANLPddkx2c/LVH21Kc2Tnsc6HdBzw4YJRX2Vep/gMxNzS+SlR7iY+lLy3kuinPcOmVz0hiFuZJ0u&#10;f6+jT3A3RgkhhBBCSH/Qy4a4b/z7anejkxBCCCGEEI+rb7/753ZNCV9bfclZTjTEFSOnb8GY44Wn&#10;gNlIZI1HAAYenH6lTT/4XUxGeO6VK4atVJ1SZTebvmqYRtqMuujnSCPt9vKGoUnS4rXsaV+IL+kh&#10;z9CF09R0nFQ7BNQLpjSdDqYvGBtTp9lJfNsPFtRB5NVHG/PkRDs8Q75evTCvvb5rdm4IaDPars2C&#10;yBN1SZnStKkNP0s+Un+86veIBXkjHH0gws/II2ccCel17Hd2Kw1x04dHtum89zlmmbsR3E7ERKWN&#10;bTloI46YwsToICYRPIc5QowkeJXTlXReFphPYGjQBhIIv+M5wr10QMqKGXAEbcqw5h8xYsE8Y8tC&#10;3bVpxJoypD/xqp8XhQmoN+QZbaRfxNQDYdykTySt1/bcfrHIGGqDCsoXg460yfZhqn81RfVCWpQh&#10;8fCK+sick/LLtsuS2z8Yf5Sp+wM/41lqXks98eqFa8qOFcq1YwRhbuJ9auslcwXhUhaEcUX81PvL&#10;oyg/GasYMsYitMO2PbdP2jlfc+qZAvWC0BYbhvohb11v/Iw0Xn2K6ivzVI8Hfpe5gOdePdAeyAsT&#10;isoG9jQ6tEV/dku9Yun1nNJCPmgHwrx5KvmWGRcyOXANcWPPO3pl6vDIel0+DXGEEEIIIf2NZ4j7&#10;H2vX7VpfPnZUuh6AhjhCCCGEEFKGh37/8rV2TVn5xjQa4kgvAYOWGJlSpil9ul7MGEUmJ9YQ58Uh&#10;pJ+x39mtNcQ15t0NQxxpRJs9UkYebQj0wgkhhBDSGhKGuNX1JVXbZU/13ePEpe7GKCGEEEII6Q92&#10;P3XiGpWGOEIIIYQQMhnxDHGV98M9Q9wpo4NrvE14QtoNTHAiL1ygaWrqwrElJM2M/UcavrMHhkZX&#10;1r/Sm5bOF2DD124Ck84ipzjhZCIvXNCnxHnhhBBCCGkNvWiIw4kg3sYoIYQQQgjpD3rZEHf2RZe6&#10;G52EEEIIIYR4PPv2f6y0t5pNHxqp9rdXGuJIL/Hiww/Ut/ND8ppRHc+79pNMXmiIIyQNDXH9hVzR&#10;h6v5vHBB4uE6Ri+cEEIIIa2hFwxxtnwa4gghhBBC+hvXELd63S715WNHZTcvaYgjhBBCCCFl2Lj1&#10;3eVja8r1ek05MDR6c325WU6eIW7pITNv8DbhCWk39150Tm1DH8LVqTgxThveEP7Gxg+vj3vl8Uca&#10;0pPJDw1xhKSxhrjKjnijPQbn7NKQ7xj7HH/BhE1g0lluf+y1+ifi+Clxl6/b1BCO38UMB9lwQggh&#10;hLSWqCHurHta9p8UUvLWbNgA9TZGCSGEEEJIf+AZ4j7yhRX/o76E7KhoiCOEEEIIIc0AQ9zA0Mg6&#10;vaaEQa6+3CwnGuJIr6ENbyltfeE5ng43BaEhjpA07TLEfXxw1q4N+Y4x7cSLJ2wCk85y8LcerJ36&#10;liNcm+rlQQghhJDW0W1DnLdm++i5F7sbo4QQQgghpD/Y/cwLGtaHAP+Ror6E7KisIe7UFRe4G52E&#10;EEIIIYR4bHxrxyLckKbXlFhj1peb5eQZ4v7xkJk/9jbhCekUMELBGLfjrTfr2/zjwqlxeE6j1NRF&#10;nxKIn704hPQz+x9AQ1w/8r2HNoffvf5u7epULZjlfvX82+H4VY+66QghhBDSWqKGuK/ctby+rGqr&#10;BgZH97Tlf+Trl7kbo4QQQgghpD/oJUPcwPDoJl0PGuIIIYQQQkgZfEPcaKgvN8uJhjhCCCFk8kBD&#10;HCGEEEJI9+i2Ic77Gw4NcYQQQggh/Q0NcYQQQgghZKrwzJb35g4MjSzXa0pQaX1LQxwhhBAyeaAh&#10;jhBCCCGke8QMcXsvu3tJfVnVVk0fHplry9/tkrXuxighhBBCCOkPcIW+XSPib331JWRHZQ1xnz99&#10;ubvRSQghhBBCiAcMcd7fQHFzRn3JmS8vozMPnflzbxOeEEIIId1l6ICRPzV8b7fIEOddv0VDHCGE&#10;EEJII1FD3Fl3L6ovq9qqgeHRRbb83S67yd0YJYQQQggh/UEvGeKmD4+s1/WgIY4QQgghhJRhw5Z3&#10;Z3oHu+FZfcmZL88Qt+LQmfd6m/CEEEII6S4z95/9nw3f2+00xJ182YRNYEIIIYSQfsY1xJ1xR8cM&#10;cdOHZy+x5dMQRwghhBDS33iGuEonaLRANMQRQgghhJBmgCEO16PqNeU4s8vf0OEZ4r566Mxfe5vw&#10;hBBCCOkuNMQRQgghhHSPfY6/oGG9BGCIm3bW3XPry6q2amBoZLkt39sUJYQQQggh/cNHvn5Zw/oQ&#10;0BBHCCGEEEImIxu37djTM8Th76L1JWe+PEPc1w6d+Yy3CU8IIYSQ7jLzgJH3G763aYgjhBBCCOkY&#10;3TbEYe2ny5425yh3U5QQQgghhPQPvWSIGxgaWafrcewXT3U3OgkhhBBCCPHYsO392tX/04dHtul1&#10;ZaU9cRriCCGEkMnDjANG3m343qYhjhBCCCGkY0w7ceJ1VNOW3hT2+MpdM+vLqrZqYGj05oayaYgj&#10;hBBCCOl7PEPctMFZHVmfWtEQRwghhBBCmkEZ4hpOHsbfRWsLzjIaGB5dpDMBF82dsdnbhCeEEEJI&#10;d5mx/8j2hu9tGuIIIYQQQjpG1BB35p0dOYFjgiFu4SJ3U5QQQgghhPQPf3Phmob1aW2dSEMcIYQQ&#10;QgiZhIghzq4rYZCrLTjLiIY4QgghZPKw7/4tOB7WEf5I1pDvGDTEEUIIIYQ0gvXRhDXTKWvDHues&#10;q/2hpt2yfwja6+gT3E1RQgghhBDSP/SyIW7h8V9wNzoJIYQQQgjx2LRt2y5YV2IPXK8rcYVqbcFZ&#10;RtOHZy9pzGQ0rJy733ZvE54QQggh3eVv9x/Z0vC9zRPiSBc4/fongwg/e3F6kVbV+/0//rmWx+2P&#10;veaGE9KrXL5uU23uYg5PpvfuZIGfDf1BwhBX+0NNuzUwPLpJl73HiUvdTVFCCCGEENI/eIa46cMj&#10;c+tLyI7KnmhMQxwhhBBCCClDfVmJdeVKva4E9aB8eYa4S+fv527CE0IIIaS7/O3wyBv6O7vSfemO&#10;+tUQd8HtG3caGGAU8eKQiaDfRPjZi9OLtKreop9t2OKGE9KrYM6K2vXePfhbD4Y/vPfHWhm/ev5t&#10;N04z/O71d2t5v779Azc8B9QLQj1RXy9OFUT8bJjaxAxx9SVV20VDHCGEEEIIsex2ydqG9ek4NMQR&#10;QgghhJDJR31ZiZOHl+t1JdhjcE65/5TsZeJtwBNCCCGk+/x/+4+8pr+zaYhrDm0OoYEhHxrixsU5&#10;QyYbnTDE6ffZi2+958ZpBi0vPAfUS9TKfhDxs2Fq4xni9v7ile/Wl1Rtly37Y4uXuZuihBBCCCGk&#10;f/AMcQPDo4vqS8iOyl5tNXrkInejkxBCCCGEEMvGre/tvBYV/8FDrysB9rPrwXmiIY4QQgiZPPy/&#10;w6Ob9Xc2DXHNASMET4grjza8tMtU0w6K6o1rDiGcGmXDNCKaXqYmufNgMvL4S9trbcPnnhfeCrp9&#10;Qpx8pn/voc1uOOAJcaQpFk+8jmrvv1/1Wn1J1Vbhf0Dasnc/dYW7KUoIIYQQQvqH3S67qWGNCGiI&#10;I4QQQgghkw1tiJs2OGumXlcCPKsH58m7d9XbgCeEEEJI9/n48Ojj+ju7rYa4Ey/2N4JJ3zNVDXH6&#10;9CwbphHR9DI1yZ0Hk43jVz1ab9XUNgCLuvH+FPGzYYrjGOKmnfydZ+tLqrbq44OzdrVlf/Tci91N&#10;UUIIIYQQ0j/0siFu6NDD3c1OQgghhBBCJrB1x6b6stL9W+j04dlL6sF5soa4jw+PvONtwBNCCCGk&#10;+0wfHlmvv7dpiCPdgIa4cdH0MjWZqoY4OR2uHdeY9hIiGuJIu5h2ysTrqPY+8Z+fqC+p2ipvvfaR&#10;r1/mbooSQgghhJD+4a/X3NGwRhyn5GZhi2T3HGmII4QQQggh2ShDnHdbBm5ArQfnyf5vjf9v/5HX&#10;vA14QgghhHSZ+TPWt8sQ57nsaYgjMWiIGxdNL1OTqWiIk9PhcJ0ofvbiTBVENMSRduEZ4qZ97sJ7&#10;6kuqtsq7JoCGOEIIIYQQQkMcIYQQQgiZEihDHDR9eGSbXlvC31YPyhMNcYQQQsgkYf6Mdf1iiINp&#10;Azr9+idrv3/voc21U41Ef3jvjzXDwcHfenBCWqDTI46cjAT97vV3d8ZDuEjKsmHIC78jn189/3at&#10;bHmOvHQ6GE1QlpSPV/weqyfiox1om6QR4Rna7aUDEj/VRrxCiGvTa7RRzPaDhzWWoXy0Q/oGQtme&#10;6cxixxYqajvyxVjYdGhnqlxbb3lu+94K7dL5iMT0grq+vv2D+tNQ+zlV/xxQP7RF6pZqG55V6Y/b&#10;H3utFg9x8Duu0ZQxxKt3raatF4T2pt6PRaAeuv9QNuazGLfkvQghrk2vkT6QNgloC56JvL7RbfJk&#10;54FQZQ5LWfJ+s32A9Lr/Y++xnPcrkLEumpc5/ZSDtM8bL8lfwmROidDG1HySuHiVZ9K+skI9dd4A&#10;5SI/5K/7Gyqa6yL5bCBTE/eEuGPPvbO+pGqrPEPc31y4xt0UJYQQQggh/QMNcYQQQgghZEqw9b31&#10;9WVlTU3viyOBzmC//We/6G7CE0IIIaTL7Lu6k4a4fY6/wN0I7gQimDOs0UQL5gTPmCBCem0yEUk8&#10;GDFE1vChw2A6iZll8BzhMJrE4sTqGYuvBWOQTQdEqTaiTiJtrrGIwcQzh3jovoFxxCtfFDPgoD9S&#10;6SCv37Q5KiWv3Nh4F42DNUKJYELTRh6r2NgVgXxT0m1rpj9g2oHEvGVlTT3adOlJ3gs6TRGpOaD7&#10;XYxJiK/Ta3RfaCNWUX+K8a7sPKg6h4Eo9v4VYVzQLmvMElXp8xi5/ZSDyDOGyWc6wlJzKtZ3kh6v&#10;8qyqIQ7SeYPUe1pUNK40xE1tpi29qWG9VFszHXP2LfUlVVs1MDy6yJa92yVr3U1RQgghhBDSX9h1&#10;YunrpFoka4gD7mYnIYQQQgghFmOIG1vTrtPrSvxeD8oTDXGEEELI5GDVgn1XtssQ593D3guGODGo&#10;wAwCwwNMTDCIaAOJZzoSSXoYJ2A8ATB9SLyYQcqGST4wSkg+2jShzSqoD9Jao4tnkEA65IM2abMJ&#10;0uu0nuFFlGojDBu67jYPiSPSfZNC941IykeYNtagfM84Iu1DH6D9EgevGGuptx1f9BPC8Bzl6byR&#10;j6TDq04HdL3xsw3HGIlsmMZK2oA8dd0hr5wU2tij5z3aKkYg3bZm+kPaq+PgmbQD+UlcGVOJo+cr&#10;4sl7AK/yvAjdVvwsz5E3ysAckWd6bGIGMD3vpB+0SQ59pOcZ+gf11W0Buiz93FJ1DgORxEFeMofs&#10;+0fi6PeY/vzBc5t/War0UwoR+tKG6Xksr4iHdqEs/dmXSh9rt8hLK6TGGO1HHTCGeq6h/brf9ZwV&#10;RKmyyeTHM8QNHL74uvqSqq1yDXGX3eRuiBJCCCGEkP7CrhO7Z4gbWW7r4m52EkIIIYQQYplgiGv0&#10;sw0MjzZcqVoo66gb3n/2s94mPCGEEEK6y6r5Mxb1myEO8swkMGmIAQeyRg0tL70AA4YIP8fCIM/8&#10;oOsAwcyhw1FPbXjRYUWgTSLPXKGVaiPCRGJy0aDOopjRyJLTN9pwoo1VQMpE38RMNshTVMaIo9uT&#10;GlMbBlImGY0W+tf2qy4n12QI9HzB3EqNl30eI9Ufur0oNzb+ei7asRS0oQplenEsRcYmja5DrE/l&#10;/ajNn7ljqslJ0+wc1vLmkH7fQt57XPoP8uZKGar0UwoR8rVhut74XLR9o98H3udm0bwReWULzbRX&#10;5plXvihVNpkCnDHxOqqB+Z+/or6kaqtw7ZUtG9djeRuihBBCCCGkvxiYPa9hnYiT2urLyI6KhjhC&#10;CCGEEFKVjVvfazgBbvrQyOrGteXItnpQnuzG+uwDZm3wNuEJIYQQ0l1Wzd93bkcNcceu8DeCO4Ao&#10;dqoZ0EYfa8ARwUyRMoqkDFI6zDN8AW2qiMXRxhYvPIXIM1eIyrTRq6OceFTGsJfTN9rAZOsvhhbP&#10;5COgTaKYCcsjd0xtGMg1yYhS8zNlmomBdopSprKYAcsj1Wbd3lR5Eg9t8sIFzCEo1wQo742Y+c8i&#10;8wZmKRumDXl6vujPiVzDZ848aHYOi2JzSI9bLI5umzefy1Cln1KI7HsfSN+lxj31uSnpY+8tkVe2&#10;kDPGMVLli1JlkymAZ4ibc/y/1JdUbZW3uehthhJCCCGEkP6jlw1x6zdvcTc8CSGEEEII0VhDHNa0&#10;jWvLkoY4HCmnM5h70EFPeZvwhBBCCOkuq+cM7touQxyk8wW9YIhLmQq0AcbGExWZElJmoVRYmTjN&#10;GC9EXjtERW0EYs6ypjdtWosZ2zxy2g1EsfHJVU4bhVTdiuqdO1aiVL2KTDseuvwcg1gOqTbntlfa&#10;kqvcNuu6YY7ClJVqtzZtWYOZGKisWQ75yWljeEWbiwyFOf1SVnauiOxzjSgWp2g+l6FKP6UQeXXP&#10;eW8gnciGFaUXpfo2lX8RqfJFqbLJ1MCumQZmH/Ht+nKqrbJ/ABqYPff/eJuhhBBCCCGk/7CGOJym&#10;UV9GdlTeqcY0xBFCCCGEkBwmGuIm/meLelCerCHuk7NoiCOEEEJ6kfYb4ka26bz3OWaZuwncCURF&#10;pgKRjScqSp8ylOSYTXLiFBkvYDrBiVowV4ghxcprh6iojQBmN5E2uejnZQxYOe0Gotj45Mo7IQ7l&#10;wgQl5hRPtm5F9S4aK0GU6vuUaSZG6lSsIqr0R257U3l6KnNNLExudt6jHd74AImLON5zr2yYZ8UU&#10;KkKbULaNC3L6paxiJ8Sl5pAoFqdoPpelbD+lEHl1l/mEVxsmpMagKL0o1bep/AE+D/H5iDJsn4i8&#10;8kWpssnUQK+XAP4wU19OtVX2ioBpc45yN0MJIYQQQkj/gbWhXivSEEcIIYQQQiYbE65MddaWuPWs&#10;Hlwsm/ioWQc+523CE0IIIaR7rFqw7yZ8b1sjOw1x47LxREXpU4aSHLNJTpyU8UKfeJWS1w5RURuB&#10;PglOG4bkisvU1Z8eOe0GoqrjE0Mbx1KydSuqd2qsNKJU/YtMOx5yfS3khceo2h+57a3SljKI+cga&#10;jzxzm26rmDhhNhOlrvvE+03aIsLv1gya0y+iqnNYlEovisUpms9Vye2nFCKv7pI3Xm2YkBqDovSi&#10;VN+m8sccipmTtbzyRamyydRg+kHduY4K6z5dLg1xhBBCCCFEmLZwkV2jtuxvhmVEQxwhhBBCCKnO&#10;joY17MDw6CK7tvz44Kxd68HFsok/O3LAJm8jnhBCCCFdZP6M9fjetoa4Vv5vT2uIGzhyqbsJ3AlE&#10;KVPBZL8yVaeFMQ2mHms4EXntEBW1URCzFUxH+F2b5LwT2FLktBuIYuNT1ogHdH8ivS0/VbeiesfG&#10;yiJK9X2O6ceiy881HzXTH7ntlbbAJOSFtxLUUYyakJ2b+n0vJ5eJSc5eCRwDc1+bD63xLqdfRFXm&#10;MBCl5pAoFic1tq2gqJ9SiLy657w3UmNQlF6U6ttY/njfiRkOr5hj+lRNkCpflCqbTA2sIa5Tp29M&#10;MMQtXORuhhJCCCGEkP6jVwxx3qblL57Z5Gx2EkIIIYQQYmk0xE0fHplr15YDg6N71oPTwlFyNvHJ&#10;o/u/7G7EE0IIIaSL7FvbaG2nIW7C6XOHL3Y3gTuBKGXA0Nd9VrmOEKQMJTlmk5w4MeOFfh4zP4m8&#10;dohyjRf6FC38LOVXMTnltBuIbB3F8CTmvDKIGSVmfkrVrajeekxsmEaU6vsi046HPjFQzF4e2qDT&#10;TH/kthfvQ5E1B7UDbUry+ljmD151XHwm2LgpYmOU0y/NzGEgSs0hUSxO0XxuFVXmssire05+qTEo&#10;Si9K9W0sf92nMaNwqnxRqmwyNRgY7c51VANDI+t0uXsdfYK7GUoIIYQQQvqPiYa4kYbrpjolGuII&#10;IYQQQkh1Gg1x0wZnzbRrSzyrB6eFo+Rs4lMOHd7ib8QTQgghpFusWrBv7SquNp8Qt17n3QuGOAin&#10;P9lwe4qPDRcVmRJShpIcs0lOnJjxIvZcSJ2AB0RljBdyJSX6VH4uc+qTkNNuILJ11G1vlYlJ0EZJ&#10;W7eieut6xUyKQJTq+6J6esBsJsL4eHUQ05z83kx/6Pbq5xbdb1VPRCuLzE+vj7VxMHfMPORkOdt3&#10;OXnqOGXnMBB57RNEsThF87lVxPophcire9GcBbp/bVhRelHqsy2Wf1GfYj7I3PTKF6XGlUwNBg7r&#10;zukbNMQRQgghhJAYWBvqtSINcYQQQgghZPJhrkwdHN3Tri1xalw9OC0v8RmHznzD24gnhBBCSPe4&#10;fN4nlte+uztpiJt7grsJ3AmscBoTTDAwKOBVDAmQZzwQFZkSUuaHImNEbpyY8UKbemA4kZO38Io0&#10;YviDmmmjRk760nnDeOfFTZHTbiCydYSpxLZP1wN9gP6B+cqaTsScA8GIJIYlpNdhkK1bUb31mKBs&#10;xMEpUdZYI0r1fZFpJ4Y+jQ3zHG2UeujrKyV+M/2B+ov0cw9pDyR9I2EoE/VDeZ5BNQbahzQ6L4y9&#10;rretM0B5IplHMaMengPUT/oGr9ooaMcxZx4gj6pzGIhSc0gUi4N6ibx+KkOVfkoh8tLkvDeQTmTD&#10;itLL9wPGB2OAvkF+uo9i+WPcRPjekTFFXyAv/d1TdVzJ1KBbhji7VtvzuMXuZighhBBCCOk/rCEO&#10;a8f6MrKjwgZlYz1Gw12PPuVsdhJCCCGEEGJpNMR5h7zhP2DUg9PyjpdbdtiQuxFPCCGEkO6xav6M&#10;2pd7Ow1x9tSRXjDEwYAiVxN6gnEmlb7IlJAylKTCysRJGTtSbYOZAwYVyGuHqIzxQps9IJTvxSsi&#10;p91A5NURRhNtLonJmk7QBm1EskKbpF9t3YrqbU1OIjzT8USpvi8y7cRAHSRtTDDmSPxm+iM1Ny05&#10;9RJ56T2KFHt/A22ag2Dk8uIV1Rl9g7bpNLnzoOocBqLUHBLF4hTN5zJU6acUIq/uUpbXL0Jqbhal&#10;12m1YO7z4ui0QJtSPcnc88oXxcaMTB2wRmpYM3Xo9A27DtzjxKXuZighhBBCCOk/8J8l9FqRhjhC&#10;CCGEEDIJadj33mNwzi52bTl9ePaSenBa3sJ0xWEz3Y14QgghhHSPVfP3rR3/OvbdvU1/bw8Mjdau&#10;Um2FcLpJQ96HLXI3gTuBCKYCmDDwak/m0aYgi5hZtAHCA4YWkT7dqSisTBw5YcmaaYC0TQxLENop&#10;7Za0Xjty22gRMwlUNq2Q025QVEdpo64ThD6AGRBhngkHJjCYUvScQB/KnBAjoa1bTr3xXNJDKMPW&#10;P6fvJQ+8euFFoC26X1Am2oy227hV+wP1h7y5GQN5Ij/pAwg/o66Yt179YsDEhXrr+Y+8kH/M4CZo&#10;M1iq/qgPDE52juH31PjlzANQdQ5L/6XqUBQnZz7nUrWfYqTqLv2KVxsmIB3kjW1Oevudgbh6bqby&#10;B6n3n/S7V37RmJGpAw1xhBBCCCGk17CGOKwd68vIjoqGOEIIIYQQ0gSFhriBoZHarWqFwlFyNvG3&#10;5+3nbsQTQgghpHtcvuATM/Hd3U5DHE6ba8h75JP/5W0CdwIRTA1eOKkO+lRUxrxESC8Bk5mYj2BU&#10;8uIQQki7GDi8O6dv2HXgxxYvczdDCSGEEEJI/4H/LKHXir1kiLvl/oe9zU5CCCGEEEIsE25Gq7w3&#10;jqPkdEJAQxwhhBDSe6yeM7jr+Hd3W0+IW6nznn7g3P/jbQJ3AhENca1HTk3CqVxeOCGTAZzgJSo6&#10;TY4QQlqNNcR1arNRlwloiCOEEEIIIYI1xOFviPVlZEc1bXDWzMZ60BBHCCGEEEKyKTTE4YCXelBa&#10;niHu0vk0xBFCCCG9xoeGuMbv7bYa4g6Y82dvE7gTiGiIay36ikVe6UcmM3JtZuzKS0IIaScDR3bn&#10;9A1dJtj91BXuZighhBBCCOk/8J8lGteLNMQRQgghhJBJh2eIW6/XlgNDozfXg9KasPE9hrcJTwgh&#10;hJDuUv/qdgxxmfekZwh52fy9TeBOIKIhrrXgakkRr0slkxXMXRGvSyWEdIN9junOZmNjmTTEEUII&#10;IYSQD6EhjhBCCCGETAEyDHEj6+pBaeEoOZ3wb/cf2eJtwhNCCCGku9S/uttqiPNOjt37jDvcjeB2&#10;I6IhrrXgNC2I16WSyQxONxTxulRCSDfohiFuj8E5uzSWORp2P/MCdzOUEEIIIYT0HxMNcaM7/57Y&#10;SdEQRwghhBBCmmCCIQ4GuMb15cj6elBaOEpOJxw8YPbL3iY8IYQQQrrHqgX71q7h8jZCYWKrfam3&#10;QAPDo4ts/tOW3uRuBLcbMW7xWs/Woa9LpYmITGbkulQaOwkh3WKiIa79m400xBFCCCGEkBQ4Pdiu&#10;F+tLyY5qYHB0T1uPtT9Z5212EkIIIYQQYpl4Qpw56G1geLS2b14oa4gbOmD2a95GPCGEEEK6R6cM&#10;cdOHR+ba/KedstbdCCaEEEII6Vf2Obbzm40fH5y1qy3zo+de7G6GEkIIIYSQ/sMzxOFvifXlZMdE&#10;QxwhhBBCCGkC54S40ZWN68vM2zrsXauzDphFQxwhhJTg+pMWhufuuzNsfeG58ME722sn1ojwO54j&#10;HPG89JoXH36gnnJc21/d7MazWCEfHY58mpXU5ZdX/HP9SbH+9MH7tXRvbHyylk7XSfDy8+JZbJts&#10;X9m+rCqdp7D+hjW1Nu146816rHFJe195/JFw21knu2krM39G7ehXbyMUp7rVvtRbIM8Qt/fiNe5G&#10;MCGEEEJIv+IZ4tq92UhDHCGEEEIISYHTg+16kYY4QgghhBAyyWidIQ5HyemEhx900IvuRjwhhJAJ&#10;wHQFE1SOEM8a1SxTzRBnBaOYrlcsPxvHw7bJ9lU7DHH3XnTOBBNcSmhvjhEyi/kz1uF7u92GOO8P&#10;VtNOvszdCCaEEEII6Vf2Ob7zm43eOo2GOEIIIYQQItAQRwghhBBCpgCOIW5kuV1fZq1z4ZzTiY6a&#10;deBz7kY8IYSQncDkVNVkBkNVzCQ11Q1xkK3bZDHE4cS3XPOjFsZb16sydUOc9welVhriPMPdtBMv&#10;djeCCSGEEEL6FayP7JqpG4a4j3z9MnczlBBCCCGE9B/4zxJ2vYi/9dWXkx2T9/fFVTfe7m12EkII&#10;IYQQYplgiJs+PHuJXV9mGuIaE3161oFvuhvxhBBCdtKswSxmiusHQxykrxOdLIY4XJFaVU/dcWND&#10;3SpyM763vY1QXHNa+1JvgbB4sPnjBBRvI5gQQgghpF/xDHHt3mykIY4QQgghhKTwDHFYQ9aXkx0T&#10;DXGEEEIIIaQJHEPcyFy7vixc53qL0r8/eHirswlPCCGkTsxoBUPW+hvWNBjdYPaKGam860PbZYiL&#10;4ZnR8MyLK+Qa2GB6gxHMO1Xtufvu3BmvXYa4FFZF/YW2WHnjjXje/GjNKXH71r78pw3Ommm/u9tu&#10;iDt2hbsRTAghhBDSr+BKebtmavdmIw1xhBBCCCEkBdaGdr1IQxwhhBBCCJlktMYQ5/0x9dRDh9/z&#10;N+IJIYTA/OQZvIpOAINxypM+KQ1MJUOc4MXX7ZoMhjivjrFrb4FnivPilSNuiMOz2hd7i2TzpyGO&#10;EEIIIaQRGuIIIYQQQkivQUMcIYQQQgiZAkwwxFXaH/f+mLrssCFnE54QQgjAyWZW3klvHjlpp6Ih&#10;DuCENK2pYIjLHfdWsWrBvivx3d0ZQ9zINp3/wJFL3Y1gQgghhJB+xTPEtXpNZkVDHCGEEEIISfE3&#10;F65pWCuCdq9RPdEQRwghhBBCqrPj5vqycqe8v4sODI8uqgf78jbVVxw2092IJ4QQMtGEBaVOCrN8&#10;8M72eqpx4XcdPlUNcbbdk80Q512ZCuG0QBjj7El/7UAMcfhyt9/drf6fnmNlbGrI//DF7kYwIVON&#10;C27fGB5/aXv4w3t/rL/LQ+1nPEOYl0Yj6V/f/kE99bjweyqP2x97rR4zZJUj/Or5t+upQsNzKf93&#10;r7/b8Bwc/K0Hw/t//HMt3JPU9XsPbZ6Qtipon5SJn704FpSP+uu6om4/27Cl1gYvDSGEdJTFnd9s&#10;pCGOEEIIIYSk6GVD3MVXXe9sdhJCCCGEEGKZaIjz1peFhjhvU/3b8/ZzN+IJIYTMmHBdahkTFnhj&#10;45P1lB9Kh09FQ5wXf+sLzyXDdfoYnTTEAVueFU7BwymA7TLHXT7vE8tj391YBNS+2Fuk6cMj63X+&#10;NMSRqQ4MVi++9V793RwX4nhmrONXPZqVHoLJy+Zx+vUffjfAjKbDUohZDGXr5yL7HMBwlyuYAcsY&#10;9CxolzUHwtDmxRVyxgJ50hRHCOk6jiFubA01t76caotoiCOEEEIIISl2u2Rtw1pxnPauUT3tMThn&#10;F1sPGuIIIYQQQkgeEw1x3vpy+vDsJfVgX4hgE9EQRwghcazKXptpDW+QNqBNJUPcvRedU6uHNRFC&#10;MI5JvMliiEN7vLZ4guFv/Q1r3HyqIoY477u71Ya4gaGRdTr/gbkn+BvBhDSJGLpaeRpZWWCs0qYt&#10;mMBwihmMYAB10wYta+iCGU6fYob0iCPpL1+3qXaSmz3pzBq65FQ6xNPPYyBvke0/UZEhTk6t03VF&#10;3aUuoirjg3w8FRniYBgUod/Qv3iOV52n1zZCCOkk0/7hmlf0emkcGuIIIYQQQkj3oCGOEEIIIYRM&#10;ftpoiLt0Pg1xhBASwyrXeCZYwxs0FQxxZQRTmb5mdrIY4gBMcfb615QQt6g/s5k3o/al7n13YxFQ&#10;+2JvkQaGRm/W+Q8ctsjdCCakWURFJql2os1uqdPZYBiTKzv1c22mS6W3xjuYvXS4vjYVxjQd5qGv&#10;S7XmOlGRIS7V77o+ENJ58Ty0qQ110HmlytQn5dn+EbQprkydCCGk1Uw79QdP6fVSbc1UdEx/k6Ih&#10;jhBCCCGEpNjtspsa1oqg3WtUTzTEEUIIIYSQ6kw0xEF2fTkwNFI7TCaqgaHRlTaRuwlPCCGkZuKy&#10;6lVDXO7pZJ4ZrcjA5aUpI1s3Lz8dHsMa4sqc1mdVZhwxDxC/jDHuqTtudPMqw6r5M2p/vMKXu/3u&#10;rn2pt1DTh0ZW6/wHRo9yN4IJaRZRtwxxMJ6Jck4cg/FMTiwDODlNBBOYjuuB9PqkOJ0XfhblXJsq&#10;p7h55YqaMcQB3T6Y+bw4HigXiGEtt0xt8tN9o0EfispcL0sIIa1mry9//5d6vVRbM9EQRwghhBBC&#10;uggNcYQQQgghZPLTIkOc3fDed/+Rrd4mPCGEkHGsevXK1CJTm+CZ0YrSemlyhJPhPKOel5+N42EN&#10;cWVMbVZl0mrQHsyBHHPcbWed7OaRy4eGOGtmH9lW+1JvoSaUceDc/+NtBBPSLKJuGeJg2hLFDFgp&#10;9Ilv9pS2GPq0NPyswyS/omtT9Ulq3nWmomYNcUD3Ue6JbLYvc8vUZXnhgvRTGZMeIYS0mr1O+9G1&#10;DeulGgXH9DepaYOzZtoyaYgjhBBCCCHCX6+5o2GtOE5716ieaIgjhBBCCCFV2bj1vXX1ZWWDsCeu&#10;15fYz64H+bJXog0dMPs1bxOeEELIOFY73nrTjRfjjY0fmhhEOnyqGeLQP2jDc/fd2XBNalF+XjxL&#10;LxjiNDC8oZ1os6ey5kmLGOImnN42PLqp9qXeQk00xM35L28juN3ISVow/8BshNOgRN6pWDDhII6c&#10;nAXhZzxLmZ2QP+Lok7tgzPGMRmJmkvK9MhGWYxxC/oiryy2qrxihxDCFfoHBqGz5aIc2c+X0E/K0&#10;9UUeKD/XDAa0ISwmr+9RN5wgpusNxcaqCH3SWBVjlU4v8yEHtENkDWu6b1LXpqauSwUimz/INacJ&#10;+hS92DWmRbTaEIe5KvLCCSGkE+x12i2XNqyXatAQRwghhBBCugcNcYQQQgghZLKTa4jDnnk9yNfA&#10;0Mg6nWDWAbNoiCOEkATWhAXlnvwFQxhOSdPCyWI6jjXEIb4Oj2HVaUOcFy8XL797LzrHjavpNUOc&#10;BnPCnhqXa26MsWr+vnPHv7sbzeztMcRNvJZ17zPucDeD24kIhhxrgoJ0XBiiiuSZprTZx5NNAzMP&#10;JCYsbQ6zipm0YGDy2mPlpdfGIpjjqpSfKhvGOC+NNiB5Qj1QHy+tpYohDr8XCe0qY8wrawyzNJNe&#10;xs32tzbLoc91mEYMkLE4olYY4rTxz8svh1Yb4uR9CHnhhBDSCfY89aZv2PVS4TH9TYpXphJCCCGE&#10;kBSeIa7da1RPNMQRQgghhJCqxAxx2BNvWGMWGeKmD4+s1wlmHzBri7cJTwghZBycAGa19YXn3LgW&#10;a3aD7KlhnjmsyHAH85hVkalN8MorSuul8eKVweqpO25042msubCdhjirnPrZ8W6XIQ7f5bUv9RYK&#10;/3O0sYzuGuLEPASzDAxsQJ9UpU1tMAhpYxZ+1iYbewKa5A0zlQ5DnkhnjVlixNFGNJSJ+DD96JO7&#10;IFse0IY0KQNpJb3OG/nqtNpYZPvFlo9waxDTZjT8LM9RT7QNddPxgeSJ/BDH9pOYs2JmuhSilEkK&#10;ZYhQB9RH+gt9p8fXq38Mbaqy45yDTo+6eHFi6DrHwtBWGwbklEDIzg9BhLxsmJ5DqX7XyFyrMsYg&#10;t8zcMdHzPNeISQghLeesuxfZ9RINcYQQQgghpNvY9SINcYQQQgghZDKROCGuwd+GPfN6kC/roDvi&#10;oAN5QhwhhCTwTnmDiq7DhIHKkzW7eea2IsMdwq1i15NaesUQ552cl2qDZ0xcf8MaN66HVZEhzl6D&#10;WlQ/YE+wa50hrvF0V/xe+1JvocbWBxM2eKctvcnfDG4jWjmnZcEk44XDFOadqKVNOrmGJm3YgUnI&#10;M+No05mtN0w+olibtOHJGpB0nSFtahN0Ha1hSsxWnlHKA+Y3Ucx8petb1lgmSpmkZOxi/Q1wZako&#10;tw66n3LHX9NM+pQhTs8Rr8+1QdGGCaJWGeJS9c0ht0w939A+zG8xdeIV/YH3jVaVsSP9B+YP5hM+&#10;K+QzRYTf8VzPtxT6/QDlvI/0e0Bk524rJHXRn09FQvvRJny2eCZu4NXfi2exfWU/k2x4Fdk8AcYR&#10;n6Wx8Uaa3PFOMe2su+fa9VK7Nxs/PjhrV1vmR8+92N0IJYQQQggh/YldL9IQRwghhBBCJhVb33MP&#10;gyltiLN3rB47csB2bxOeEELIh3gnvUEwPMGUpY1S+N0zrEExE51nuJO8dTwY07y8Yd7S8VL0iiHO&#10;awdMZzAS6v6EYTDW/7kmQGBVZIjzDHhSP21qRB0wTtYMBxWZJovYaYgzZvbCL/sKGlsfTNjgnXbK&#10;WnczuJ2IUldh6k362EY+EBORPkFMm288Y5mHNhmkTqaSDXi86udyOhzMPqmN+NgJWLq9sTrrdlmj&#10;hpiJUK8cI4C017bDIu2KmRJjiGw9BRigRLE4AG0RwQDhxbHosbTGlByaSa9NIDZMt8UzTcrcihkq&#10;gcgziug5lOpTTaq+OZQpUxsCc+TlQYgGcw6fuTlCvKI5qt8PUM77SL8HRPZzoxWSuuC1itB+z1Ts&#10;1d/G8bB9ZT+TbHgV2TzxvVFmvHO//z32+MpdM+3fVMbWZSvry6m2iIY4QgghhBBSxMCsOf+l14vt&#10;XqN6oiGOEEIIIYRUJtsQV3BojI4MaIgjhJA87IlhZYX0MQOXZ74qo5zrPIVeMcR5J+OV0Rsbn3Tz&#10;jWFVZIjDWHlGxVwhbdHVt0VcvuATM/HdXfp+9AryDHF7L17jbga3E1HKbFBl01+n15vxMBilTG5A&#10;l+eFC/rEMv1clDIzAW0+0Jv1+rk1U2hEtu90ehirYHxIGePKmhWsMaEIUWyMdX+nDI9A6gqDgxdu&#10;0XnHTr9LodOnxsJD96sXLvMHbdHjo0/jS9VZ5I2HngOxfrcUqajPy5aJduI9IuY/CD+jX9Bu3fde&#10;ekIA3jtlP8NEKSO2zTNnTuv3gMh+brRCUhf9HqkiWzev/jo8hu0r+5lUdXy0dJ7aRF1GZc3cwh5n&#10;3rknDXGEEEIIIaTXGDhozp/1epGGOEIIIYQQMqmIGOJK3aLmLUg/P7q/uwlPCCGkERikvFPAcpQy&#10;wwkweFVRWWNYrxjiQOxa2SLl9KfFqsgQB2Daq2qKK2NSjCGGuE5svE4bnDVTlwGmiiFOnxAHPMME&#10;jDexq9R0eTZM48VLndxmiRmI9HNrWNCIvHJggrOn58B85OVX1qzQ6hPiUC+RF67RdfXCLfoksqLx&#10;8NDGi7LpRdrIodF106c1ycmBRQY0kZd/bG7FwPugSK02xBUh8wLvVS+cEFD288sqZoqz+ebMaf0e&#10;ENnP3FZI6oLXZmTfW179dXgM21f2M6nZMYJ0ntpEW1ZFpmuPPc5Zt2unDXHe33F2P/MCdyOUEEII&#10;IYT0JwOz5vypYc3Yhv9MWyQa4gghhBBCSGW27thUX1Y2yBricGJcPWiivP9ZfNqhw+4mPCGEEB8Y&#10;qcqYpBA/17yFKzbLqMqVnL1kiAMwjpXpT5gSy5rhgFWOIQ7AFFfmdEC0xV51W5UPDXGN391jX/7L&#10;a1/sLdTA4OietpxpJ17sbga3E1HKbKA3/b3wXLDZr81XEDbW7YlxueV58fTpXqk2gZiBSD+3ZgqN&#10;KFYOTB4w/VnzgDW0iVnBmhhahShWz9hJex7aWOGFW/R45F6zqtHpMXe8OB456bQJTddNxquoPJE3&#10;brG5FaMZ459QtswipB+qjBvpDzDPPOE9gTmtjW6Yn/bzX+SZfPVnDZQzp/V7QJT6DNd4bfHiaWya&#10;2Gc4Po9ifYUwiefVX+cTw/ZVrB6WKv2ljcQijKtNh3bp7xZRlVPi9jhn3S7WENfuzUYa4gghhBBC&#10;SBHTDln4fsOakYY4QgghhBAymYga4kZvblxjJgxx3mY3DXGEEFIeGLJg5Nr6wnMTzFIfvLO99hzX&#10;oFYxbuGaTZi1YPyyRjH8jucwwlW9jrPXDHEA/YT+Qr+h/6zQZpyEV1TPFFa5hjgBJjfUwTslEHMA&#10;Ya04FU7znYV/u6dnZh8YHl1U/2pvmbw/Wu1z/AXuZnA7EaXMBnojX2/eVwUmCZ2nPVFOh+nnlpiR&#10;S1RkaNJmAJg3vOcpc4Ao1XcC8kE7Rbo8MTMUnQBWFVGsnrq/c69MtWOWQp+UV+V0IEmPV+8kKQ/d&#10;Jt3XFm3QQd7aSFc010We+UTPoZz5oQ0tVd9jZctMoftBn55HiID3i35vi4rmizZ/atnPBv2egHLm&#10;tH4PiFKf4Rr9mSHy4mlsGu+zQOOVodvl1V+nj2H7qqgeQpX+sm0o+i6oWjcN1kyduMpei4Y4Qggh&#10;hBBSxLQ5R27V60VsHNaXkx0TDXGEEEIIIaQqG7e+t62+rGwQ/vaq15f422w9aKI8Q9yyw4bcTXhC&#10;CCGEdBcY4rzv7unDI3PrX+0t02QyxGkDQyvNMXpjPfY8ZYASM4bdkJeTrfCqn1u0GUqbMbRJIGUO&#10;EKX6TqMNJDqNXNEJVTGMFSGK1VOf+JMaX9RNVGQ21OjxzD1tTPeDHqecvkZa6eeiOWDntoxFUTog&#10;8gweeg4V1VnXoYpZRChTZhFiYiljQiT9BU6/tMo9/SsnrTVS5cxp/R4QpT7DNfpzSuTF09g0Re9f&#10;vJesdLu8+uv0MWxf5X6OVOkvr59SpuOmOevu2h9lrCGu3ZuNriHu1BXuRighhBBCCOlP9jnsk2/q&#10;9SINcYQQQgghZDLREkPctMFZM3VksOKwme4mPCGEEEK6Cwxx3nd3OwxxkC1nn2NX+BvCbUSUMhto&#10;IxeMQq0yyGgjln6uN9xRrndilo4Dc0UsLNYufQKWNQ9ok0DKHCBK9Z1FzHo6jS6vHddTimJmFT2+&#10;KQOUPpGvyDSh0flDqf7CuMDgqMdEG9yglGlP0otyjBqSN9onaXOMPSLPfKLHNNVe1E+3zZvrueSW&#10;WURZAyLpT6wJCyrz3SCfhSJrQrX558xF/R4Q5X5WIX8rL57GpvE+CzTaVCzS7fLqr9PHsH1VVA+h&#10;Sn/p720tjB++i1u1PtjJWXfX/tiCY/n1eqkTm426PEBDHCGEEEII0dAQRwghhBBCJjO5hrjpwyNu&#10;vJqwgd4YeTR8cw4NcYQQQkgvAkOc990Nk1z9q72lwiJCl7PPMcv8DeE2IioyG+iNf5iGYOTRG9/Y&#10;RIeJCJviekMdG+SIj010feqXNgLZzXvPmIC8kS/Qhh3kYTfgrQEL+aN8pEW5Nr01ISGeSLfFIrJ9&#10;hz5AGTot2q7LtflqQwOMWToc7ZF6o746XQ5iPEFa6QfUWZeh+xzxdH9jDCUPCPXQ+eeA+muJeULK&#10;QL204c6WYU0Y6C+bXvcvlFtPmw7KMaaJPPMJ6iRC/lJPAf2tjXsQ2mDzSYE5pfNEf4hsmfo9grZh&#10;jBFH5oOk1+OM+unyCNFgDml574MU3vtOh+vPRMh+znpgHlvhmRfXoj8DRV48jU1T1AdeGXjfSbhX&#10;f50+hu2r3LGo0l/2+9UTPsvx2WK/myuyvr5eoiGOEEIIIYT0FHvP/ZQ5xXhkXX0p2THREEcIIYQQ&#10;Qpqhvqxs0MDQ6MrGNWbCEDcwPLqoMfJo+Pa8/dxNeEIIIYR0l9qVqc5398cHZ+1a/2pvqSaTIQ7A&#10;JJUjvaHuGQC0sLFuzUc6jTVCaXlpBTH9pBRLr00CKXOAyPZdkWAE0fEBjAPW1BCTTVtEbAy0EQN4&#10;BhUrr+65oC+LxgRCP3hGCm2iTAlxbNtSeGY9L55F5JlP9BwqEsqLzeMUufMF0nMUZRUJhpYWmVnI&#10;FMUq51RFjfe5pD9v7fy2n7Me3vsu9Rmu8erjxdPYNN5nAUAdYp+v+r3v1V/nE8P2Vawelqr9lfpe&#10;1sJnMdpd5fNN0UVDXOMa7WOLl7kboYQQQgghpD/Z+9AjNuj1Ig1xhBBCCCFkslFfVjaolCFu+vDs&#10;JY2RaYgjhBBCepXVcwZ39b67O2WIGzhyqbcZ3FbEYJRrIJKNfX2SFIQNeDlVTMeHqQZ5I1ybmXD6&#10;FOJ7phttMsDvyFOfHoayUQd94pwH8kZenlkAz2OGH20YSm3kx/pO+kifAIa4aAPMVzquBUYDxNN9&#10;hZ+lzkVtjoG0esxQhpeX9LWOi5/xzI5tFWLzQca0qIxYeukjhMXGNYUeKzueMaSP0Dc2DHXQ9bNC&#10;XdHeovmQAuXmyrbJm2e5Y0AIsMJnjBcvBuJb6bmH94hWTv5Ib5U7n736ePE0XpoyQht1fl79dXgM&#10;21c23xjN9Bc+Q1KfcVaoU5Xvr72W3VPbVOwFQ9weJy51N0IJIYQQQkh/Yg1xWLPWl5IdE/5e2VgH&#10;GuIIIYQQQkg+m7Zt26W+tNyppg1xl86nIY4QQgjpRWqGuAl3o4+6DvlWaGB4tPF6hcMXuxvC/YY2&#10;GXjhhBBCugcMn1Y5hjWNZybTZqxWGeJyDbJefbx4Gi9NrmAmswaxVhnick/ra8YQB1B/mGhzjXGI&#10;V/a0uL2W3VMzvk00xLX/9A1b5p7HLXY3QgkhhBBCSH+y96FHPaTXi71iiFt14+3uZichhBBCCCGW&#10;PENcYp98YGhkuY3sbcATQgghpPvAEIdTR/T3Nkxr9a/1lmvCBi8NcTW0ycALJ4QQ0l2sevXKVC+e&#10;RycNcTiR0jOGtcoQl9NXoFlDnADTIU6MyzHH4SRKL48Yey27ZzXWSzDANayXaIgjhBBCCCFdZp+D&#10;j/i5Xi/SEEcIIYQQQiYbviFuosetHjRR1j33t/uP/MnbgCeEEEJI9xk3xHVu05WGOB9tMvDCCSGE&#10;dBcrmLy8eDFgnrLS4VPNEIf24JpiGMe8vMBkNcRZYPaDQVKulbYqc1V0Nw1xtsy9jj7B3QglhBBC&#10;CCH9ycAhh9+q14vt/A+1MQ0Mju6p6wBoiCOEEEIIIbls2Pb+rvWl5U4NlDHE2WvXhg6gIY4QQgjp&#10;VWqGOHONKb7L61/rLdeEDd65J7gbwv0GDXGEENLbWBMWZK8AjYETxexJYvbkMJs/zGQ63KPbhjjU&#10;2YuXi1f/nCtGe80Qp/HKyK0f2Ouse1a666UuGOKmLVzkboQSQgghhJD+ZGBk/g16vdgrhri1P1nn&#10;bnYSQgghpPe489dPhOUr/y0c84UvhcGDFzR8p88/9sSw+Kyvhouv+r6b1oI8dHrk68XTXHvHPQ1p&#10;AJ6lwqsgedo6pkD7Ef8b/74m/PLZF3fWSYM26jSI78Wz6DTA9lWZesbw6oJ2YDw/96Uzw8jCzzTE&#10;x+9F7W0HG7ft2LO+tNypUoY4e+3arANn/ae3AU8IIYSQ7gND3PThkW36uxunvda/1luuCRu8hy1y&#10;N4T7DRriCCGkt7n9sdfqn9IfKse0Bjzzmb1y1cbJuWrTq5MXz8OrkxdPY9M0a4gDVqkT5QRrLkS9&#10;vHiWsoY4L36OCbKqYQ901xDX+LecaXOOcjdCCSGEEEJIf2INcfh7Yn0p2THREEcIIYRMTmB4gtnN&#10;fo/HgFnq8h/8yM1LsCauyW6I06D9N9330M56CZPJEIfxs6bHGIgHY5xO3y5yDXF7DM6ZcLVqTfaP&#10;qKMHzXI34AkhhBDSfc6YPfy/9fc2wBd//Wu95bLrBBrixhFTAzb5vXBCCCHdxTvlDbLGNgsMXp6s&#10;scozt+GZjqNBfewVnWWuce0VQ5x3ch7a5sUFXj/lXkla1hCHelgVmSC9eVLKEPeVu2prsG4Y4uxp&#10;/wOz57kboYQQQgghpD/Bf6DV60Ua4gghhBCSA4xd9nSwXGCi8/IEU9kQB2ASsyenTRZDHMxwXpwi&#10;/vHrFzXUqx1s2PLuzPrScqemD89eYuuSMMQ1/uF2zkEHuRvwhBBCCOk+Rx1wwKj+3gYDw6OL6l/r&#10;LRcNcYQQQiYrnokMgjEMpixt5MLvME958kx0uCrU0+MvbW+4RhRlIG+Y36yKzHmaXjHEeX0EUxyM&#10;hLo/0Qex/tfxUpQ1xAGvft54w+CIOluTIpRr2Bvn7iXj66XGv6tMHx5ZX1tItVF2g5OGOEIIIYQQ&#10;oukFQ9y0wVkzG+tAQxwhhBDSy8DQlXtKWIyYKW6qG+KAbftkMcRVNUACXKur69ZqmjbE4Q+1OuIR&#10;s2iII4QQQnqVecMHHqm/t8cZmVv/Wm+5aIgjhBAymfGMaGWE9DEDV8xAl6uc6zyFXjHExYyAuYJh&#10;0MvXo4ohzktTRmVO7atx1t21/5TQC4Y44G2EEkIIIYSQPuTauzf1qiHulvsfdjc7CSGEENJ9YkYr&#10;GL20EQ3GOZwqFovvXZ9q47bCEJfClqcNYDFy64g6fO5LZzbEBTAT6njtMsTFqNJfF1/1/Qlp7HgD&#10;nBzotbndp8Q9s+W9CXvgOCjG1uPjg7N2rQc3aizyJh3x07MPdDfgCSGEENJ9Djpg9qn6extEv+Rb&#10;oAmGuNGj/A1hQgghpAeBmQ1GsCpKmeEAwqoa7nA6mZdnjF4xxIHYtbJFKupPSxVDHKhaP1ydqk/3&#10;y6KrhriR5Y1ljoa/XnOHvyFKCCGEEEL6i5ohbuJ6sb6U7JhoiCOEEEImD56ZCgYvGKG8+AIMUTYd&#10;Thyz8aaSIU6w8YGu32QwxNk6zj/2RDeeUKVfm4GGOEIIIaSPGNx/1hn6exu00xA3fWhktS6LhjhC&#10;CCGTEZjDYHjKFeLnmLfKGu5Qh7JmONBLhjiANpTpT5RdxgwHqhriAK49LVM/mPVKm+FAFw1x3tUA&#10;NMQRQgghhBDwl9fds74XDHG41cLW4a5Hn3I3OwkhhBDSXbzTv7yT3jxy0pY1m4FeN8ShjTo+mOyG&#10;OJA77p1g41s7an9/1aIhjhBCSMu4dP5+Nb49b7/wzf+fvf8As6pK10Vhz733uec5zzl3/557/pPu&#10;f+/t3nY6u3efrbsVe+/erSQFq1qJgqC2orRZ2dgtpm4UwYQBFSO2CirBjBEDKOYsmBVpRUXJRQFF&#10;FUUFvn+9s+a7+GowZlqpwvpenvdZxZwjfCPMMb41xrvGHNovz2lDOjh5SP+A5x4xIODEw3fztNqB&#10;AcfXHBpLzD2kvs74mkyb+SFv2kLbYCts9pWnp/OfBtQ8qedtzOPhlF4WmCDOaDQajb2FEGRByIVX&#10;nbonu21pbAmuP/X+2szCLRBCrbe+3OwVxyFtXC80bbC7CeJAlAVlQr2hjC6QH16RmlbE5rIYQRwY&#10;194A7EObFWofuP+flwS/UOwaQdyem4s/vXGBd0PUaDQajUaj0Vhd3Gfe80u7gyDOt1n5+uervJud&#10;RqPRaDQau5bunJ10Upjms+98tEd8vHZTh+mNgjjf60Z7miDOVwYQp/xdeduc4PW4vniV4uebGiaG&#10;rmUemQRxBw6oqdcBIUDwbcB3V/qEGq5AwxVnaLGFFmGMHjwoz6GDOrN20OA9OPCQmkj6wkdR56Nt&#10;0LbRXp8oBPQJQygOQd1QHNJbBSJGY7Xy3uNqAt5/2qiAC/94oiyYeELA+eeeJnf94RS5/byzZOYf&#10;z5DpE06VyyaeEfDPZ5wq555xesCzTjpJjh57rBx7zPEycvTRAWuGjpJ+NcM6TSQ9mQcN3D02c6zl&#10;+MoxVY+hHDt9dd7V/Kf+Na/osmEDNpzSywITxBmNRqPRaDT6GSWIK7d/BvgEcT+7Zo53Q9RoNBqN&#10;RqPRWF3cZ/7zC00QZzQajUajMS3xWlR3zk4rwiIhoNLxXfFXVrEZ2N0FcW54UL9iticI4iB4w6tx&#10;3XiaOAEQwrmuEMf1aEGcFrJRxKYFbBSsUaBGARlEDQcdUhtQ227MRghEKBLRQhEtzNOCPC3ESyvA&#10;87W70djbqUVqEKiBiy6aIEumXxjw5Zsulzdnz5QXZs2QV++ZJS/Ouyvg4vn3BHxw9h2ycP5cuffO&#10;O+S+uXPlzttvlzlz7pHpV18nV19/s0y5bLpMmjxNTj37PDn25DMDDj36BBk4ZFRA3/NeTjJfEHaA&#10;tAs2grC3EDI+yXQrXWaOkXpspIiO41+lBHQ5e77pZF//mtnhlF4WmCDOaDQajUaj0c+uFMT16Vu7&#10;n84T/LsrZnk3RI1Go9FoNBqNVcfZPkHcvn2H7h26kxWB7zX/JogzGo1Go7H70SekyvraTJ84LO5+&#10;TxXEQRSGuvGVF8IyHbYnCOLAqFPiXKJ8OPlPi/7KzRV1DVNC1zKPjIK4zgFLJYiDMEqL2ii0gqCA&#10;Qiw371IyTpyhxRZTp8/Ic8bNt+/B2+fMzXPBQws78YlnFnvphoujTh9kvtouba9PGILyDRl7vBxx&#10;1HEy4Ih49WZXshDxnSvAixLhaSEexXgmyCuerEeXuq5JtoOPur000ZZx1O2ehhTTZuEfR9TIeWOG&#10;Bbzwd0fJRb8/Ti446cSAOEXt4okTAl524YUBLzr/Qpky+WKZNvXSgH+aPEUmX3KZnH3un+SPF14c&#10;+5xWUsDlUo+J7lioxz+OTRjLXnz1dXl3+QeyYuWXAdesXRdwW8P2gN0RsIt2wmbYj3KAHJ851nJ8&#10;ZVuxfXz1l5UY5zi+UTyHPu17zrIQz5+bV5/+tdeFU3pZYII4o9FoNBqNRj/3/dPifvCXukIQh0Ue&#10;nSf4iwuv8m2GGo1Go9FoNBqrjfOev84nRusOgrjlqzd6NzuNRqPRaDR2HYsRnpE+gVjc/Z4giMtK&#10;t0w9RRAHQhSXdFKcJsqCV+X60iolSy6Iw6a9bxM+C7FhX4jgTYs1wKxCje4s0ugquOIQVyBCkYgW&#10;imixCAiRz8kTzpGTzjg74NhxJ8nho44J2P+3w71t2V158KEdPGTw4QEHDsr1uxx/e1htINLTQj2X&#10;FO4VQ4r+NH3hXPrs0aTtLilAdElRqktfnRm7hq6AjWNiIeOiITs4dnK8RP1yfNRCOrSPr/2iCPGo&#10;b95MSwhM3TQx6YdTellggjij0Wg0Go1GP7tSEIfNTJ0naII4o9FoNBqNRmPAbiKI851S59voNBqN&#10;RqPR2LXEiWfunN1dBXFpX9vp5pdGjOYrQ1qOOP6UPdIrlSAu7Wl9xQjiQAjccAJcWmEcwpX7tLiV&#10;m5v2OBjGJ4jD2zTC253hBiyFIA4nPzE9Cji0eAPCAi3aMCFb7wDbUQvw0orvQArwKDQhIQSC6ISn&#10;N5XqBCdj92C/mmF59q/N8bfDcxwRcMDhI+WI0ccGpx/iFESQfSENKSQrhLoPanJMI9lvQfZlkP1b&#10;C9ZAitZIV7xmY2HPhU9Ah36BfsP+DkGbb95MS5wyp58fcP++g4ON2HLBBHFGo9FoNBqNfu574bPB&#10;QktXCOIAnSf4i3Om+TdEjUaj0Wg0Go1Vxb+dt3iKCeKMRqPRaDSmpU9I1V1fmeoL56ObXxoxmq8M&#10;aXjSHy70CvVKJYhLK2orVhBHoiw4MS6NOK5m1HHeNErI2aFrmUdqQZzvF8V4haBvEz4L8epCpAVB&#10;isFQbviEeCRFR1qUR7GKJkVLWqjnUoud0lKLpeLoi+ujzy6S9s+df18nLnzsyTwfeuChPJ95alEn&#10;vrJ0acA333izEz/+8KM8dd2yvjXZFj4aDNUKPBucY4s9IQ5zNNMiI4+ALRFMEGc0Go1Go9HoZ9cL&#10;4mrqdb77njLJuyFqNBqNRqPRaKwu7jN3yTifIK7c64gu3HXF2jHjfJucRqPRaDQau5g+IdV5V8zw&#10;ho0ihFE6viv+csVmPVkQB5EYwkIwFic466mCOJc4BQ79wW1jMqt4Mhu3LwxdyzwOHFAzzLWhooI4&#10;btjjlCWDwWAwGKoZEJByji1WEIfXLDOtDtbUh1N62WCCOKPRaDQajUY/u4EgbrnOd78TJng3RI1G&#10;o9FoNBqN1UUI4nwnZ1RaENenf+1Cnb8J4oxGo9Fo7L7UczaY5eQvnxALYjEdxhWb4VQ1fd9HX7q+&#10;cD66+aURo7lx0oj24ugK4iCk84VzqeOAXS2I0/TlUWw9xbMbCuK4YY+TrwwGg8FgqGZoQdwtI4oT&#10;xI0ePCifVgdrlodTetlggjij0Wg0Go1GP/e9eGmwodhdBHH/eMzJ3g1Ro9FoNBqNRmOVcd6SYd1R&#10;EDdq/OmeTU6j0Wg0Go3dgRCo6XkbvPK2Od6wLl0hGeieGuaKw9II7pC/jgP6wvnYHQRxPvHYs+98&#10;5A1L4jQ2N065BHGF2AeWup7iuKKucY911i4XxHHDHq94NBgMBoOhmoHXNnOO9c2ZWTjwkJp8WiAW&#10;lcIpvWwwQZzRaDQajUajn10tiHPz3X/UOP+GqNFoNBqNRqOxunjv4n7dQxDX2V89/qxzvBudRqPR&#10;aDQau54+cRSY9DpMnATnxvGJ3XzitjjB3Rsrv9njFZ0jjj/FG9bH7iCI84nbkk7G8wkTURe+sC6z&#10;CuKQrhs+yT7EwUl3Ok5ZT4ira9zjcJguF8Rxw/6JZxaHcgCDwWAwGKoTpRTEMR2yT//a68IpvWww&#10;QZzRaDQajUajnxTEuSe1VeyEONdPO2y4f0PUaDQajUaj0VhV/MncZ/frFoK4AbWrdP6nnT/Fv9Fp&#10;NBqNRqOxW9AVhJEQvWlhFURRM+95IBCo+cL7RHQ+cRiItHGP4ZA24vvSPu+KGZ3SjGN3EMSBrngM&#10;RD5uHaF+fWK4LCLArII40Jcn7dNCPJwchzZ3RYpgkmiyKNZtXxW6lnl0uSCOab346uuhHMBgMBgM&#10;huoE5kLMif1rh3nnzLScPrRffn4lsbAVTullg/tqgz5Dxnk3hI1Go9FoNBqrjdGCuPKf4gvgxxGd&#10;8jVBnNFoNBqNRqMxxx8sWPrD7iiIO2faVf6NTqPRaDQajd2CED35BFxZCIGbL23QJ77KwjSv8yS7&#10;iyDOdzJeFkKE5kvXx0IEcb44WZhFsFcIV9Q11oeuZR5dKoi7fvjB+bTWrF0XygEMBoPBYKhO4LRU&#10;zIm/HTnWO2+m5bQhewriMOGHU3rZYII4o9FoNBqNRj+7XhBXM0XnC/54ziLvpqjRaDQajUajsXrY&#10;XQRxOT+5Xud/0YxbvBudRqPRaDQauw9xWpvvFLA0jBPDgThxLOpUuSRmEYaB3UUQB/peK5uGSfXp&#10;shBBHIi6deOlIcST+nS/ctAEcQaDwWAwdGNQEHf4qGO882ZaYn7m/EpWYhELr/zSefYZdrJ3Q9ho&#10;7Da8YFGe+096JJI6XCf60jQajUaj0cN9L166N/ylrhLE+RZ/fnrjAu+mqNFoNBqNRqOxeviD2Uv3&#10;7h6CuM75X3nbbO9Gp9FoNBqNxu5FCNeyiLggjEorWEParvAsjlnS1uxOgjgQr3vVaScxy+thyUIF&#10;cSBee5rldEAIG8sthiND1zIPE8QZDAaDwdBNsOChhcGcOHbcSd55My1Pqx2Yn1/JcDovK0wQZ6wY&#10;L1gk+5+9oINnzJL9T5kpB4y/Sg44dnLAPmMmSZ8jJwR9ECcVBqwdKwcOGt5B1U9LzjAP5BfkCxtg&#10;Cwi7cgzsPH5aB3N2w/6AubL8csKcgHkxnq/8RqPRaOxxpCDOfRXUgf1rZgeOVJnhW/z52TVzvJui&#10;RqPRaDQajcbqIXzFrhbE+fYfZ95zv3eT02g0Go1GY/ckXlGKV35CKOaeGgdBFERzhYjVQAi1IPry&#10;ieOQF64jbwjofPGT6KaL//vCabpxSimIA1GfSBP5uOIz/B/XUSdZXg2rWYwgDkRdoz3xalvfSX60&#10;L0uapeCq+vpgDZboUkHc9KG7X+lmgjiDwWAwVDsoiDvm96d75820/N1hh+bnVxAbr+F0XlbsceKJ&#10;CeKMWUmh2xmzOgRuEIxB4BYK2yoiaOuujBHZaYGdV1yHOuVJd7567w3kqX3oQ6GYMC+azJF1EdQH&#10;RJQk68th0P8KoC+tgCpPbUtgj7Izbzvbqze3WU+ir3+51O1YKJ00db5eu4w9il0tiMOGZqd8c/z5&#10;JTO9m6JGo9FoNBqNxmrhkuC1Ul0tiPP5qnc8/JR3k9NoNBqNRqPRaIxitxXEbWvYHsoBDAaDwWCo&#10;Ttw+Z24wJ5484RzvvJmWowcPys+vHaxZHk7nZcUegrgjJ3g3hF1CBJAX9hw/rUMkYpv/vYsUkUDw&#10;cUYoduNJblrspvpPamqhWK4f/fNRE+XXx5wnvz7+Yuk7/hKpPfuGgL89d5aMvmSujL38ITnxmoUB&#10;T7nxmYBnz1oi5855Nc9LFrzZiX+es3QPnnvbU3vw7JkPBxx/2d0Bj7/4Njn6/OsDjj77SjnilMkB&#10;a06YJP3HnhGw75Hj5TdDjpFfH3G0/PPgEf4ylousO5/QLnwmyUB0p0+203REYamp02D67BcgbIBN&#10;JGwEQ5uDPlNov+mpDMucbze2HdvPbUPVjpFtGLZHFhEf2UnMVWLukZeyJ6CytVO/AuP6VI7/NOKU&#10;gAeNODF4BvuP+r30HXas9B9+rAwY8Ts5qHZkQG8bdBP+0+DhAf/58KPlV7+N6Qe6/VWb63bO1zHq&#10;nkI831je24m5CnUQ9q+gL6H/hPUZ1JMvXkp2tSDOt6bziwuv8myKGo1Go9FoNBqrhvOWBD+i7WpB&#10;HDYl3fxNEGc0Go1Go9FozMoV9ds7id1MEGcwGAwGQzcBBXGnnn2ed95My4GH1OTnVxCvMg2n87LC&#10;3eDFBrxvQ9glwul4mif98SL518lXyiXX3yE33vuozF/0qny+tiHPd7/anMiln27w8vFlazpx3uvf&#10;5jnrha868ZpFX+R58SOfduIf5n8Y8KS7lnXi2JvfyvPwa1/rxL6XvZSnr056FOMEBKF4Kato6V9q&#10;RgTClN8eP0FGnXaBnPzna2XSNbNl2qwH5Y5HX5JHX1wur374lbz35Xr5vn6HbNvRGrC3AH4xTk8G&#10;313+gbz46usBn3hmcXCSJMaKm+64RyZffo2cP+1qOev8KXLCWZNk1AmnS+1Rxwfsd/iR3ro11ubF&#10;TuDBvx0pg0cdF7Bm9PEBWYeoz6PGd/Do35+R57Enn+nl0KNP8HLgkFGd6LPJaOyuxHgMseBBQ48J&#10;hIMQ8h56/DkBDznhwoCHnjxV+p9yRcCBZ86QfznzpoC/mfgX+c059+4W24WCuz1OvyN9c0wUVTym&#10;yTyQX5B3SNgCu0DYCpsPHn1ahzA5V6ZfHzYioK/8moEozmdLSna1IA7olG+Ovzhnmn9j1Gg0Go1G&#10;o9FYFdxn/vPBj2i7oyBuwTNLvZucRqPRaDQajUZjFAsWxAFuwNNqB3o34tNy2pDdgjiDwWAwGKod&#10;M26+PZgTJ02eJvceV+OdO9PQFcRVaqO1UEEcxFMID6EIxCM6jSgiLISDqKup02cEAiGIhSAe6umv&#10;Yae4i4TgS1MLAtMKA32CwCgueu9reeSVT2Xec+/KTfc9EwgRr5o1T86/4saAECkec9ofZcS406R/&#10;AaIrtB3EQ2w79HuIvNB2K1Z+aT+SKAMorkP9ugI7LbIj0SYg2gdEW4F45ly6ojASz7LvuqZOh3mw&#10;X7BvkLALdpKwm+VAmdh/QJYXfUmzu0LbqNuKZPlYXt12bL+kNoxqR90ePUHE5woZtYiRwkXdt5L6&#10;lK9f+fqW7l8g28mlbstC6Kan89S2RPUDtw/otnfbne3sq+fuxAFHjNqDvnClJOqFYxjqDp+4DpG3&#10;z49JSwriDhxQU6/z69O/9rrAkaoA3Lz3O2GCd2PUaDQajUaj0Vgd7C6CuP37Du7n5m+COKPRaDQa&#10;jUZjVn62saFf6GIGMEGc7IqhwWAwGAyVAzatMSfic+EfT/TOnWnIuZWs1EZroYI4nCyG8NiAJrD5&#10;jw1+bOqjPrCBr9NOS2xoUxSBdCgUoOCBIgcKGXo6tKhCiyi0eAKiCQolKIwAixW+MD4FBMiDAhPW&#10;c2+oY4PB0AGON3HU4i4ffXE0DZUF6hzt4ps7OH+4gjuM91pwhzlACyt980WlyHmJ4jbOT7Cbosg0&#10;8xTuIz2ceOrzY9KymwjiOr3e3gRxRqPRaDQajdXNfeY9H7xVojsK4h59+W3vJqfRaDQajUaj0RjF&#10;zzc2DgtdzAA+PzdGENd54XZ8zaHejfi07ApB3K5du6R9V4u0tzdIa9taad65Qhp3LJftTW/m+IZs&#10;3/Ge7Gj+THa2fp27v17a2rfILmkJYxsMBoPBUD5ggxZzIj4LFcRdP/zg/NxKYrIPp/KywvUTcPKb&#10;b0PYJV5zxjhJAghs1HNzHhvZFHWBOu9iqTfQmT43/bmZTmJTnaRQgJvscdRhSZ2WJvOi6IAb+xQc&#10;lEt0wLRZD1pIgDL0NkGhwWAwGMoDiu1IzB2amE9cUpDnkvcZl2kij3LMRcgzmBcHDff6MWm5WxDX&#10;ea6tpCAOr9HXee8/dKx3Y9RoNBqNRqPRWB3cZ/7zC+EnHjjgsInaTwQr+spUz0bl4vc+8W5yGo1G&#10;o9FoNBqNUVyxaXunPfFuI4ir3CZqu7S3bZGdLV9L4443pH7bw7Jxy+2ybuPVsnbjdNlQd7Ns3vqA&#10;bGt8TrbveCsQzLW114VxDQaDwWAoHyA2wpwIsdGiiyZ4584k6rl1N2s6qeHLBTfftIK40de/lI+D&#10;De5igU1xbqRr4RxIMRmEZNrW3k4K2yjyo7APfQ31A3GbPiGHwgKDwWAwGKod5RfE1UwJHKkKAOK7&#10;TnkfNty7MWo0Go1Go9ForBrOhp/YHQVxr3++yrvJaTQajUaj0Wg0RvHzTQ0TQxczgM/PjPRzXUHc&#10;7w4rThA3fWjlBXFtbdukqfkTaWh8TjZvnSvr62bK2o3TZEvjpdLYfIWs3XCJbNh8g2ysv0Pqti6Q&#10;bdufzoVfLi2t30t7W4Ps2tUapmQwGAwGQ2mhBXEv33S5d+5M4uQh/fNzKxmpdC8h9u07dG833wPG&#10;X+XdEHZ50l3L8gI1CLMqDfggPK2GQjqK6dyT3NA2IAV2IMVlPEmO5ClucXTjMC2XzIv5wy6K2EDY&#10;656Wg3KZqM1gMBgMhuKA+ZW+jc+PSUsI4nz+UmUFcTVT3Px/PGeRb2PUaDQajUaj0VgNnPd8cFqx&#10;TxAH3zVwIisAX/4miDMajUaj0Wg0ZmVRgrhc4FU6YLGCOP1aN2zcVgItbWtkS8OTsr7uGlm78ZJA&#10;DPf9+imybtOU3LUpuf+D03K8TNZtvDx3bYbUb50nDY1LpXnnZ9Levi1MyWAwGAyG0gKCKMyJEDy9&#10;OXumd+5M4rlHDMjPrWQlftGJPNx89z9lpndD2OU1i77oVHaDwWAwGAyG7gIIzenb/PKCRV5fJg2j&#10;BHHY/AvdqbLDtwD001mP+DdHjUaj0Wg0Go29n91YELd89UbvJqfRaDQajUaj0RjFFXUNnX58XJQg&#10;bvTgQd7N+LS8ZcRuQRwWmcsJnOzW2rZFmpo/lE31s6Vhx+XSJldL3dZpgRhu7caLZc2Gi4O/N2y+&#10;ROobLpWmlitzf0+V9XXXy+Zt9+fivp1Lw16fauhZWLdhg/zl7nly0oRz8s8bOObE04LruF9NeOu9&#10;5fk6wN8GQ3cCRWE4iaxQQdzEw7tGEIdT6Nx80wriZr3wVSCEQxychmYwGAwGg8HQXYDTVvO+zaRH&#10;vL5MGkIQ5/sBARZlQneq7MBr9N38f3bNHP/mqNFoNBqNRqOx1/Nv5y0ONgy7WhDnO8nYt8FpNBqN&#10;RqPRaDTGceXmpuAHH0QmQdyBA2qW64A9SRDX1r5Zmpo/li3bn5YNdTcFQrjtzVcE4jecCgcxHIi/&#10;IYrbtGWqbG28LBDKrds0Q+q2zJPtTa9Ja9vGMMXS4U9Tr8zXQ//Dj5QFDz0a3kkPN40XXno1vNN9&#10;8K/nTQ7sgxCrJ6Cn2evDZytWyhFHHZ/vGz6ifKUQxSEN9D1fHi5vuPWOMFblgWeDdnTH5yQJl8+Y&#10;GdiOdq02MWM1QAvilt1/l3fuTOJptQPzfZwMp/GywiuIO2OWd0PY5ePL1gSv/EScgUNGhbVhMBgM&#10;BoPB0PXoJIg7e4HXl0nD7iCI8/lrP79kpndz1Gg0Go1Go9HY+7nP/CXBacU+QVplBXG11+m8+x0+&#10;cpdvg9NoNBqNRqPRaIzn9oWhixmgSwVxINN6d/kH4XJzebCz5VvZuv052Vh/l6zbdHUgdIPoTYvh&#10;NCGK21jfcX9tLnzdlrtk2/alZRHE6ToFISrKAi3wIbtScBQFbV9PQE+z1wd9Kpw+DQ5COfdesfD1&#10;wyiaIK5w6HbrifYb4qEFcR8/8YB33kwiXmfOPgLidNdwGi8r9u87uJ/OF/zlhDneDWGXSz/dEPgB&#10;jIeNZ4PBYDAYDIbugqy+jY8QxPkEaZUUxPle2fqLC6/ybo4ajUaj0Wg0Gns/95m7JPBFfYK4wIGs&#10;EA7sXzNb5107Zpxnc9NoNBqNRqPRaExiEYK4nFO8VAccOqjnCOKadnwim+rnyNoN0+R7JXrrEMBd&#10;FJ4Et/vVqRDCra+7pCPcxktlQ91M2dLwhLS0rglTLB1YB/p0rSynxPEkMx2/Owrikk5co/2FnJBX&#10;DvT0E+IgemN/wKliLiCO432IrIqFFprhxEL8P4qwrauA/Gkn/u5OSPMM2AlxvRtaEPfFC4u882YS&#10;IVZnH+9gzfJwGi8rfK/gSnuKyvf1OzqdvlLuU2MNBoPBYDAYsgAn2Aa+TcrTb32MEsTBhwrdqYrA&#10;zf8X50zzbo4ajUaj0Wg0Gns/dwviOp/QBgbOY4WQy3+hztsEcUaj0Wg0Go3GQriirnFp6GIGKEoQ&#10;VztosHczPgv7Dj4iSAuvSisnmna8L+vrbpDGnVcEr0LtEMJFE8K44HS43CeEcWs3Xiqbtz4gLa3f&#10;himWDqxPiJL4esu0AiVX9MS/u6MgLgk92fbuCC38enzRs+HVzuD9UgviunMbdmdBXE+oP0N5oQVx&#10;X7/1snfeTCLE6uxLIObucBovK3wOxf6THvFuCLvctqM1KD83mxc8tDD4v8FgMBgMBkN3QF4Qd8pM&#10;ry+ThhDE+U7UrbwgrqZe57/fCRO8m6NGo9FoNBqNxirgvCWBL+qe0AafMXAeKwRXEDdq/OneDU6j&#10;0Wg0Go1GozGWdY2dDorJKIjr7JQOPKTGuxmfhYOPGBGk9cQzi8Ol5vJgR/NHwWtP126clj8JDkK3&#10;jlPi8Dld1m28WtZvujL8P8J0nCC3tfHS4PWpdVvvlZ0tq8IUSwfWJ0RJeHUl/5/mFC0IZxAWQrqe&#10;IkiKQk+2vTsiqT+89d7y/H3fCXJZYYK44tET6s9QXmhB3JqPl3nnzSRibmZfAjF3h9N4WXHggMMm&#10;6nzBNIK4w699LSx95/IbDAaDwWAwdBcce/KZgY9ywPirvP5MGkYJ4nAtdKcqggMH1CzX+Zsgzmg0&#10;Go1Go7GKee/iwBd1BXF9BtSuCpzHCsEEcUaj0Wg0Go3GUnBFXWOnH3b49q/jBHGdjk0+aGDxgrjh&#10;IypzGgyEbFsanpSNm2fJuo1XBmK3uq3TZMPmS2TthktznzcG99Zvuk7WbJgq63PXO8RyF0lD8xWy&#10;edulUrdlTtkFcUmvuXTBE+UgoDFBnMEFX8GJfqKBV23iVbC4hzCleIWpCeKKR0+oP0N5oQVhdau+&#10;8M6bSXQFcVjQCqfxsqJP/5opnfLN0bcZ7HLszW+FpReZcfPtQbxJk6eFVwwGg8FgMBi6HnlB3PHT&#10;vP5MGkIQh9PgtK8EVloQ5578v//Qsf7NUaPRaDQajUZj76cJ4oxGo9FoNBqNvYjdThA3dvTYIK1y&#10;nwbT0rpGtje+Jlu2PRiI3iCEw6tT19fhJLhLg2sb626WdZuu7hDE5U+Pg3BuqqzZOEXqty6Q5p1f&#10;hymWDqxPvrbyX8+bHPwfQqU4LHjo0XxcCJrSCpIQ7k9Tr8yL6UDkhXzjBEIUV+FkMQD5U1QF4m9c&#10;iwLLhU9Cn4gXRV+aKC8Egzp/EHUYZwPzow14lSjrAZ/61aI+ewneQ3oA6o3XmBbaAMKzKKAMbjv4&#10;iDCFAjYwHfYJ2Mq2xGfU61SzIm3/06AdvjrWYDkQnkB+6ANoc+bLMEgvqi9rO90w+tQ89nMfaDfb&#10;XyOrXWmeAR91XbhAv0O6rg14XuL6JcvPtBEO4XUfjatbQ/HQgriG9Wu982YS2VYk5u5wGi8r9ni1&#10;wqDh3s1glyfdtSwsvQTlRly8lqzcaN+1SzY3NMs3G7bKp99uko++3iir1m2R+oYdOZ+h4xWuBoPB&#10;YDAYDAB9tGIFcb4j+vv0rd0vdKcqAnddp89hw/2bo0aj0Wg0Go3GXs+fzH028EVdQRpOFQ6cxwrB&#10;BHFGo9FoNBqNxlIxdDED+ARx+/Ydund4uzN8p7/4NuOz8PfHnxCkg1Nhyon2XVulufkLaWhcIpvq&#10;b5WN9ZdIw44OQVzwitQN0wJh3NqNU3P/vzgQw0EUB0EcXrO6ftMMqd/2mLS0fBemWDqwLimIg0CJ&#10;1+LEXRS7UEykhT5RgiSIqxgmilECLN6Hfa4QTTMqPu1lOYE0YiC3DvB/XzhN2OcT/VBYBRt86eh6&#10;89lL8B7Cx9VplB0QHlFUlcRiBHHIW4uZtK24Hif6yoo0/c+FtidKpAWwrtjXtXAtjr7nR9vpCrvi&#10;7mkwjFvOQuwqVBAH+pCmb+G+r+11+ZPS8dWtoXhoQdzO7Q3eeTOJblth7g6n8bLCXbjqUzvWuxns&#10;8uJHPg1LL/Liq68HcSshiNvcsEOWf7VBnnjnS7lz8Udy69PL5dG3vpCPvtkgdduawlAGg8FgMBgM&#10;EpxeCx/lgGMne/2ZNIwSxEX+IrFM8K3r/HjOIu8GqdFoNBqNxspyzOL3ZMl3G2XVtkZpamsLPZEO&#10;rG1sluUbt8o9K1Z747p0MfXdFd5wmsjbhb6PNEoB2oJypgXKj/CPrlorBz/2Wie7SNd+hPeFc+kC&#10;6ej7WeyMgs8WlAPt+Vl9g9Q3t4QhO4D/J5W3FPzBgqWBL2qCOKPRaDQajUZjb+Gq+vq84C2TIM4X&#10;+JYRB3s35NPyrJNOCtIp9+vRdu1qlrb2jbKj+SPZ0vCIbKi7PhC6Qfy2acu0gBvrpwYnx62rmxL8&#10;vWX7pfL9+otk3abrZPPW+2R70xvS2ropTLF0YF1q4ZUrAHKhX63KE760mMUnSMKpVbwPMRSEOIgD&#10;4m8tnPK9rpX3aBvCQxTD+Fo8g2su4gRmAOPGiam0WBD5wU6WAbYwDxBiNBdIm3H5iWssgz4tLc5e&#10;3vOlAzu0YNBXHtY1wum6Qlym6WuDQoD0aQsJm+IEaIVA5wOhG/7vo843jfhTh2H7oP+jnpAPruk0&#10;dR3i0wVsYHr4WyPungbDuG1bjF1AVLoauMdwLpg/79MOlAWfWoCIcAivocvPdNDXmYYeQ3C/1H3I&#10;ULwg7vrhB+fbaDcPmxhO42XFHoK4IeO8m8Eur1n0RVh6kTVr1+Xjb2vYHl4tDdrb26VxR4usqWuQ&#10;D1ZtkGeWrZJbn35f/jzvVTn5pmdl3PWL5Ly7X5S/PPe+vPzxN7KhvlFa29rD2AaDwWAwGKoZU6fP&#10;6PBvxkzy+jNp2PHK1AxH9JcJPlHeT2c94t0gNRqNRqPRWBlC8ASxW1pALHXjR6u8aZEuerogTgPl&#10;n/Dqx51sA3uSIA7t54oeo4BwEMbp+KXibkFc59fq4/+B81ghuPmbIM5oNBqNRqPRWCg/q9+RX2/N&#10;dkKcZ+EUm+++Tfm0PPeM04N0yi+Ia5dd0hII2pp2fibbGl+QTVtmByfAtcrV0tRyZSCAq2/oYOPO&#10;K3KxZuTCTJXNW+dJ0473A0HdLtnZkWAJwbrUwistPHFFKwDvQ1hFaDGLT6jDe1GnluGaFsW5+fI6&#10;CGGNm4bO3yfmihOYAYwbJwaifRDj+E64AiAiZFquyEqLieLSAOLs5T0Q9enWFeqGgiJXmKfrCX+7&#10;gM28X6zgCEIm2kFGtT/AsFHitDjocsXRbV8tDvSBIi7Ylha6Dt06jqv/uHsaDBPXV32IswtIk67u&#10;wy604C2qDfWJdAivocsPIqwLnT/6l6G00II4wDdvxtEniMPcHU7jZQV+Odop32EnezeDXc564aug&#10;rABEcIy/YuWX4dXSYMv2Znnni7Vy79JP5Y93LZXhlz8qA/58v/xq0lz5xVmz5edn3CX7/escOfSi&#10;B+SCe16WZ977Sr7ZsE12tqZbnDQYDL0TnDejfqTSUwHfFb5VFv+qN4E+Wal+gGLo/cCJ9oF/c+QE&#10;rz+ThlGCuMgFmDIh57MNc2342TVzvBukRqPRaDQay08Iu9zTwdICIjpfmqCL3iSIAyASc09O6ymC&#10;OIjhCsFr6zZ3sqsU/MHspYEvuse6ngnijEaj0Wg0Go09lCvqt+8XupnwM/d4W0bMCXF7LpxOH9rP&#10;uymfllMndQiLIAKoDHbJrl1N0tK6WrZtf07Wb7xO1m7Ca1HBqeGpcXh96iUdr03ddG0u3BJpa98c&#10;xi89WJdaeKUFbD5xDIVL+p4Ws7hxtMAuTugDgQvDuWIYXo/bEKS4KU5E5rsHMH1feQFtW1QYAGIv&#10;hnNtRTzeSxJ9xdnLeyhvlLhMi5M0dDv5oO/HtVUStPgKYjMtFExqg0Ly1XbH0e1XSeJP9vUsG5Zx&#10;dVjoPQ2GieuHPiSlnyZd3Yc1dL+Pal8C/QHh3E1wbZ9PDAckjU2G4lCsIA5zMttnN2uGhdN4WdFn&#10;QO0qnW/aE1QeX7YmKCuB16Ui/hPPLA6vlAZfr98idy3+SI677in525Nul72GXit7DbtG/hfFvYbP&#10;kL2GXC2/OmeuXP7Am/LSx6tla2NzmILBYKhGcN5Nmlt7Guh/ueL4aoH2m3z+p8HgIi+ISyn49zF4&#10;ZapnASZ0pSqGPn1r93Nt+PklM70bpEaj0Wg0GstLCLrSnhIWhShRnIveJogD3LL3FEFcoQJIAK/V&#10;1bYVy9BF9AjiaheGtyoCVxB3/FnneDc3jUaj0Wg0Go3GJH62saFf6GZ6BXHhrT0xcOBhx7iBpw0p&#10;ThB3zZ8vCNIZevQJoUtfGbTv2i47d66QrQ3PSf3WBVK3ZbZs3PyXHG+Xuvo5Urd1fu7e49LQ+JI0&#10;7/wqOF2uXGBduhttFK1AdKWhhU56A0eLWVyhihZwJYFpuGKyqLQ1mI9v0zDuHpCUPjckwaSNK+bl&#10;Cn50GkkopixAVF66nXzl0O0bJbZLgs5DnwhHu8G408Hwd1bE9b84aIGVK8LSdRF3mp+LuLIUek+D&#10;YbKUE0hKP026afpVkthTp6HrtdzlNyTDFcTde1yNd+6MIuZkts9uVkYQl8unXud7wLGTvZvBLpd+&#10;2nmcO/bkM4P4Cx5aGF4pDZb9dZ2cNet5+fszZ8v/MvQa2evIm2WvkTfKXiNuyPF62Wv4dblrNwXX&#10;/u8TbpPjrlsk9y79ROoamsIUygc8h6y33ijMwNiO+ac7ncREsbVLXIf/kzSOGsoD9H/MLdpf6eo2&#10;4ZwZ5/NVApiX+cOTYudf+IV8BqL8K9Q36p15gvgbz3GSf4r7sJHfZUC2Y5x/gXvwT914uJbFD8SY&#10;w/LF5ccfr3SnscnQfQHfDP0l7Svhfdz34qU/7NO/9jr27w7W1IeuVMWAX0B2tqFWfnHhVd4NUqPR&#10;aDQajeVllNAKQi8tYINwDqeKRYX3vT7VRSkEcXF0bdMCsCi6cVwhGgnbP6tvCEPtBsSEOly5BHFR&#10;9AkEk+r5nhWrw5C74bY3iJMDfWUu9SlxoYu4xw9dD+xfMzu8VRGYIM5oNBqNRqPRWCp+vrExvzee&#10;SRA39pBDat3Ak4f0927Kp+Vd06cF6eBEmMpil7S3b5WdO7+WHc0fyrbtLwcnxm1teDb3uVS273hX&#10;Wlq/y4XBl47W4JWr5QLr0t1o02Ig/WpCbhK5gjVs+DC8u1HGzaw0m3lMww0blbYGNzB9+cTdA5LS&#10;56YVmATm5YZF2lnTKKQsQFxebA+0pd6oQ5tzAy8u7STQPqSlNy3xt95k1KI4bB7yeiGI639JoE2o&#10;Fw30cVzHfR+4ccry+uhuhGo7s9zTYJiociJuVrsA3ourv6h+pceLONsBnYYOi7/TpMEwWdvZkIxy&#10;COL27zs4r4IvJ9x8Dzh+mncz2KUriHProFR4+r0v5Tfnz5e9hl4Vng6XI4Rx+Az+vjr3OSP4+z8e&#10;PVN+fd58ufSB12VN3bYwhfIh7bPXU6HHwu4C2hNH2J0k/DGUDtoHimJXtAnnTOTdFUB5tQ8MFjv/&#10;0meI8q+0r+gj2ilKoOb6mj4ifxc8sS6OvngasMn1veLGVJ4+jfIYDEmAUB/9pVhBHDYWdR/FxmPo&#10;SlUU2gbwF+dM826QGo1Go9FoLB99YioIvCCE8oUnIYhygRPH3HAukoRaYHcVxJFueECXqycI4lwb&#10;1zY2e8ORhdRrei7J/zijuwni7JWpRqPRaDQajcZC+fmmhomhm5lNEDfht/33EMSde8QA76Z8Wt5z&#10;/TVBOpUXxAHt0tbeIK1tm6R559fS3PxF7nOl7GxZJS2ta3P3K/OaNNalu9GGDSVuDFL8pk+R0SI5&#10;QG+ouxtlTCfNZh7TcMNGpa3BTShfPnH3gKT0KY4Ck8C83LDc1MySRiFlAeLyStr0i9toTAOm44om&#10;AXejkqI4ivR8cdIgrv8lQYvxWG7YyWvuyXGAuzkcRXcjVNuZ5Z4Gw/jKWahdAO/F1V9Uv9J1GGc7&#10;oNPQYUtRfkNxcMVg9582yjt3RhFzMtuHxGuxwmm8bPhV38E/dPPd/5SZ3s1gl5+v7fxrV76SbNLk&#10;aeGV4tDS2ibf122Tmxctk/9n/K2y1+gccSIcBHAu8drUodfIvz3y2lzY2+S0WxfLZ99uClMqH9I+&#10;e4WA838xc0qx4LgYJb7pCrC+3XEM9aT9jWob51h237xbTmhRN/wR/B9+AIBP/J9+SqXbhHNmnM9X&#10;LsDX5zOsWWwd0A+MOhkNeeK51eMRTu/Tz0ZUfdBHRhpawIa0tP/pjnWIh/RRZt32rH+myXsudDjN&#10;pDGV9et+rzIYXOBV7ugrfWrHev2ZNAxPiFuo+2jXCeI6n+y77ymTPBukRqPRaDQay0nf6V++k958&#10;TBPXRW8QxKGMLnq6IA5I2+4l57wleV/U9Q9xsnF4qyIwQZzRaDQajUajsVTsLIhz39gRI4i7fFjf&#10;w93AEw8vThD30C035NPa1rA9/ApQKewKTn7btas1eCXqrl07pT3H4P854n4lwPL7Npa0uAYbUfy/&#10;e5IWgA0fhnU3yrg55Yvngmm4m2RRaWswH19Z4u4BSenrja6kV8oxL3fzXaeRhGLKAkTlBdtxDRtw&#10;CKM3B/E3rkVt9qUF04va6ET6Ol9uMoNJG4dRiOt/SYA9jEub9ea4Wx+6brF56tqsbSnVPQ2GcctZ&#10;jF0A78XVn85DQ6etN6B90Gnouk2yj2CYODsNhcEVxC3844neuTOKPkEcxGrhNF42QHTn5rv/GbO8&#10;m8Euv6/fEZSV4CvJ8OrUUuCrdVtk3kufynHXPRWc/Ba8FhWvR/UJ4nBiHD6HXSv/+8hrZchlj8gL&#10;H34jO3bCJygf0j57haBc6fZ0sF6ixjHOi5irqwn0byo5vusfe8A3ifOB4AdXeu7hnBnn85UDul7g&#10;U9B/BIupA+1zFTIuaJ/R9cd54lpU2sibAjSUKS309yGfj6N/FIC6SbJDA3YgHPIwGOLw4quvd/Sr&#10;QcO9/kwa+gRxBw6oWR66UxUF8tV27HfCBP8mqdFoNBqNxrLRRdJJYZpjFr8XxtoNvHZTh3HRGwRx&#10;vteN9jRBnK8MAE75e3TV2uD1uL54ZWEnQZz2UbtCENfZTzZBnNFoNBqNRqOxUK6oa5gSupkeQVxN&#10;/pTkPeATxJ1WO9C7KZ+WL867K59W5QVx3QMsv2+jDZs4vA+hEDeRfBthOqx73xXWRUGLkNwNJ16P&#10;24SLE4rF3QOS0o+zTUNvGLqbW0ib95JQTFmAqLzQjrgWJVYrBZivKwjUwKYky0Fm2Zx0Edf/0oAb&#10;khRt8v8+m2h3VPm0Le5GaNp7UX1MbyS75SzGLiAqXY2ofhXX711wM5t1TSTZRzBMIe1siEexgjiI&#10;1Nk+5L59h+4dTuNlA17L6uabVhC3bUdnsRk3nEt1cuybn6+VP9y5VH41aa78zZiZHWI4viI1igiT&#10;I+LMWfKxfLV2S1lFcWmfvUJQrnR7OlgvUeNY1Fjb28F5rJLjO+d7+LhxPmpXgX0hzucrByCIQ576&#10;2WWfLKZ9tFisEOhnwx1X2JZx/if94Cz56zHSV3YI4uD7sP/o8EljH8V0rk9kMLjIC+Jy9Pkzadgh&#10;iOt88gX+H7pTFYVrx/6jxvk3SY1Go9FoNJaFeC2qi7QiLBICKg1X/OWiNwji3PCAfsVsTxDEQfCG&#10;V+PGAScAQjhXbnHcPvOfz/84Q/uGIF4tFd6qCEwQZzT2HC5fvTHP1z9fJYvf+yTPR19+O+CCZ5bm&#10;ecfDT+U58577O/HK22bnedGMWzrxnGlXFUWdls4HRN60CTbSbpQBZQJ9ZTcajUZjj2H+9f+ZBHF3&#10;jDhoXOfAxQvi3n6o4yQYcMXKL0OXv7rA8kdttOmTGEjfhmHcZpG+F5UPhD7MC5uS+L9GVNoa3Ej1&#10;5RF3D2D6UUIxfaqEzz6Cm3GguwmmN/GSUExZgKi8GBd1Xa6NX+YBxokHtY0g6jVp4zAKcf0vDfQG&#10;rT7pw/cKq6T61/Hd8mg73Xta7OZLG5vT2ORlGLecxdgF8F6cWDKuDzN/0Jc+oG1w7Y+rG42o+Ibi&#10;4QriFl00wTt3RhFzMtuHDKfwsqLPgNo9/IP9z17g3Qx26UJvOJcCr336vZw5a7H8cuIc+Q9HXS97&#10;DZ8RvhrVI4Qj8UrVkTPlp6fdIRfe+4osXv61bNrWFKZYesQ9e7xHcTD+r+c5jEnus6hPlvIRY70L&#10;jH9IR49xCKdFJi445iA/incYT889HLdYBg2GB5CGLhvmSV022qh9FdgX5Q/EgXm4dUckiXZQJ8hb&#10;+2i0N8oeXV9uWUCUPW7sBVCvCIeyMx7aDPZGtRPyQTiM/8gXdjMu5xudno+wuRyAzcwDdqUF7GG8&#10;uDpj2X3zMupD93ffswTEpUGgXdi+ZJr2zAqm7bMzLdi348oTB9YH6JaP/SjOviyntxEIxzhpyq7D&#10;J+Whw5bLLzf0Dry7/IN8X/nlBYu8Pk0S973w2f26iyDuwP41szvZcdhw7yap0Wg0Go3G8tAnpMr6&#10;2kyfOEzfd9FTBXEQhaFufOWFsEyH7QmCODDqlDgXKB9O/tOiv1KSgjj8mFb7hoF/aII4o7HH0SdS&#10;0+I0LUjTAjQKyE47f4ocf9Y5AfEMkrVjxkn/I44MqJ/TaiHKD6JeUEcU26EOUaeoYxPQGY3GKGoR&#10;McdoTY7XetwuFTn+k+59na+2SdvrK1PP4PaFoZuZXRB30MAaFbhWfnfYod5N+bRcvmj3qV8miEsW&#10;0YC+DWUgabNIb9RhAxbpIg6IzTG9GeoTUfFe3EYU8/CVJe4eoDe4kT/sQl74JPB/2oFwsJtlQHn0&#10;xrJvY1XHT0IxZQGi8tLXXWIzFmnCdl3urEBcnS7SZJ2CqDddV/pvsJD8dZ6MH8WoDUf2Qf3pA9Jn&#10;XtzgB7BBru+ByE8D/4+6B7BtQfyNjVuE4wayJtpSoxi7gKzPgAuE4z0QedJ+d7Mefc0Vbej4Ok8X&#10;DOOW31A8KIibcfPtwf97iiDuwAGHTXTz3X/SI97NYM3Dr30tKKfGmrXr8mmU4uTYZV+uk0vue00G&#10;Tr5P9sYrU1OdEDcjCPd/jbtFRl7xmNz01DJZtW5rmGLpEffs8R7nBoZziXuEFgv56I6tCK/nAeQF&#10;ciwGfX4BxxSMdzosqMcHjlsI74LhkT7/domyuTZqYjzLCsb1jWMYG5mXz2bYyvLik/XFNHEN9rrQ&#10;9aWFWC59dQ2btFjQR+TrG7tZ/5jH3HxZPrf9XPrKUwrodvcJ4OPANtJ93wXDoOwE6jKu/t3+FNd/&#10;kZZue8TF/3VfjbMvK5imr9+mBe0t1C7dD13wuq8PE3HjXRTwzGSJkyUPtGGWtA3VC6xVsK8UI4hz&#10;X1WKjb/Qnaoo3IUgE8QZjUaj0VhZFiqk0vQJxPR9Fz1BEJcVrnCtpwjiQIjikk6K00BZ8KpcX1qF&#10;cp95zwc/zvhV38E/1L5hBw+bGDiOFYIJ4oy9mVpYoMUPWqzA08qiBGs+sVp3FqrRLpKiMpD2kywX&#10;yqhJoV4h1OkwfZJ1V676Q7rIVwvmfP3CaDQmU4+fHENJLebSIi8tAOPYqsdXjrF6nOVY644h7tih&#10;yXFEjyXlGFO6G1lGXX4QdcR6Qx2iTlnPbAO0CdoIbUbhna/dS8Pdgjj3h8Gxgrg7hx80sXbQYBW4&#10;VkYPHuTdlE/LL15YlE8Lv7quRrD8vo02QJ+eAUZtGOrNn6gN3rgNQDJqE4v34zbhuMnmK0vcPYAb&#10;ji6xCaaBDTxfOM2oTT6dRxKKKQsQlVfadgDj6joJesM+jszDJzbIAt3/khhVb67oLKod8UzElQ31&#10;yzp2Nze1nb6NT9RDXNroj2x/t32KsQvQfUZTPwNR/YrQ4oIowgb0QxdJdUMwTDH90+CHK4hbMv1C&#10;79wZxfE1h+bbhwyn8LLCJ4hLs1nsE8RBBMc0SiGU/3LdFrnnhY/luOuekv/8u5tkr5E3dAjefEI4&#10;MhDEzZD/8rtbZNDFD8oVD70pK7+vD1MsPeKePX0PxPPLMBhzOB6BPtES78U90xyX8OkKljnnYmxz&#10;7+m8cZ/+A8LpsBy3fGM/4zMN+jiIT7t4D59IC+MXqOeMOAGOD4znjmPIX+fr1insoi2oGz2W6vkd&#10;ny50fYEsC4D20fm6da3Lini8j/h6vsenG5f1r+MjHuiWL2p+Kxe0bayLtGCdoMy+uPrZ0XXCMiIe&#10;5lfG1W2gnxfa6Ou/2gb3GdPzcVaxXxSYXjHtw75SSBqoK9rg/kBH17dbFy4YLq0NbBfYngZZbAGy&#10;2mOoTmjBfhrRv4/BCXEDalcxnYD9a/LH91cSOPGjkx05/njOIu9GqdFoNBqNxtITJ5656I6CuLWN&#10;zd5wPrr2pBGj+cqQFj7bSiWIS3taXzGCOBACN5wAl1YYh3ClPC0uThCHt0EEjmOFUGpBHDZbuSGr&#10;N2PdjVhf3O7Cv9Y3RXLVFj+/2bojlqu3NXu5piGZ67bvTMUNjZXhVxs25/nxV6vlwy9Xy+sffp7n&#10;4jfeC/jokpcDLlzyktz72NMBZ817UG4Nec3tdwecet2tcsl1t+R57rSr85yU4+nhJr8rkHBFEhQG&#10;dCdRhBYv0E5XuEDxAgUMWjjCZ4fPD58hPkcUNZRX2FAZasENyklBjRbQoK7Y9qhTX537iDbQ4xLr&#10;0meHMZlpxsaPv98kn66pk3dXfhPwpfc/C7jotXfkwedekocXd/CeR58O6I4L066/Nc8LLr06z7Mu&#10;uCTPEydM6sSjfn9GQRydey7BcWdN2oNn5PoNiHGI5PPrPsdx5DMeRfRL33XSlybo2gLyGXGpx0uQ&#10;Y6YeN0HfM2QsjD2lXmEf5yn0FfSjosbIusbgJGRgjzdlDKhdFd7aE38Z/i9TXEHc0EHFC+IGDhkV&#10;pPXEM4tD1766wI0pbKpFgRvSvg1WQm/Sxm0M4x429RiW6SIPdxNVg+FdgZoGT43wnWIXd4/ARpQW&#10;ZSGszyZsbuGeDou/cS1u4wu2I2yaDbU4e+PuEVF5YTORG3tuO6Gs7mZ8mo28KCA99CudHoj2h31u&#10;3cI2tAFsTlNHGojLPpLEqHqDPUwDnz5xB4Gw6LO6D6CcrFO2kZsG/s/wUekzbW2Lfj6Ytu9ZKNQu&#10;IukZSNOHaYNud4RHu8eNDWnqBmC9+MpvKA6TJk8L6rZQQRxObWUbgv80oGZ7OIWXFXuq62u9G8Eu&#10;x978VlBOF0yjFEL57U0t8tnqOrn8wTfkvxx3k+x11G2y14gbZK+hMa9NxSlyuTD/7fhbZNT0x+XW&#10;p9+Xr9dtCVMsPeLEG/oenmuKdwgtUPGJOXgvai7BmID7eK7dtAmOSe4zT2ERGCf4gV0I4xMUMT7G&#10;Kzd/jGW8D/rGL45zUfNKFHS6PqLMvnEQbYD7vrIA2mY3PusLde1LW4/Bui11mr42BnRc159k/fvu&#10;uaCNUfmUGtq2rND14usbbCv0EULXk28OQx9EeN0+tNFtc51/1PNFG7L2zygwv2Lap5g06MOAbh+O&#10;G8dcMFwaG+j3gGn9jiy2ABzjiqlXQ++HFuynfS28S58gDie1he5UReF73b0J4oxGo9ForBx9Qqru&#10;+MrUtIIy0LUnTVxfGdLgs/qG4FWqbnqlEsSlFbUVK4gjURacGJdGHFff3OJNoxDuM//54OSMPn1r&#10;93N9wwMH1AwLHMcKwRXEYUPUu7mZkthI1eklccCQUXLE2BMCnjTxXDn7T1PlD3+eKhdfca1cdeMs&#10;ueWue/O854GHZeGi5wIufvm1gG+8937Aj1aslE9W/FW+/X5tJ9ZtbZAt2xqkfdcuL7sC+I7jI34M&#10;pIkfLGtivRZ88dXXOxH7u+SChxbmefucuXlizZucOn1GQKyHg/ihOHnsyWfmOfToEwJiH5n0tWFP&#10;Zv8jRgUsxj1OAAD/9ElEQVT8ba7fUxgDEcyZF3SIYCDKmzLjloDTb5sjN977QMA7H3lK7nv2RXn8&#10;lT1FapUQqPkEST66IiVNn3CTzCre9Ak0QZ+gkqzb0eJlfXNrLLfu7Mwvvv1eXn5nmSx68RWZff/D&#10;cuOd98jv//Xc3JiSTjCHsQfjzuTcmHNTbpx54Mlng/TcfEifTb5yFENfHpo+uxpa2jqxqXVPNre1&#10;57lxy7aAGCcxdoJvLntflr7yWsDHn35O5j/4SEA9hnDscMcMPVb46tlYHdQCMC2400I8CvRcIR9F&#10;floISDGsFgpTLKxJ4bAWD5Mcn/U4TXK8dukbd0tN5qXtAbWtLAPLhnkHxBw0e2EHb577gFw9a05A&#10;iMrPu/Tq3Bx2iZwQikQPz9U/6GuvOKKtfHan4Yq6xvwpcJkEcXeM/M11EMDpCBDI+Tbl0xKCOAxS&#10;SAvOkcHQ28HNRGySRiFJ4GAwGHonXEHcyzdd7p07o+gK4n49sGZjOIWXFXs4E7VjvRvBLk+6a1lQ&#10;Thf8wlJKv2DhGyvlp6fdIXuNvlX2GnG9XwhHBoK46+XHp/xFzr7jeXnsrZWyrr7417dGIU68oe9F&#10;CdYoYvKJnaLSJdLMSUgXYVxBEPONiwtgHvPFB3AdjBLUUfAWJeSKsi0JzNfHKMEaQEFwnLiYNrvz&#10;N+srbl5nXF0eLQiK6gMA21ILwADWP0Q/SUhjYylB28BCQHt97e9rK+aHe2nBOG4ebJe4ekW/Rhiw&#10;FGBaxbQP08h6ah3Fs1H5x41jLuLS0cBzyHb0tXEUstgCsB8lCUYN1Q1sDLFfFSOIw5H8TAfsKkEc&#10;Nji1HeBPb1zg3Sg1Go1Go9FYevqEVK+t2+wNG0UIozRc8ZeLniyIg0gMYSEYiytHTxXEucQpcOgP&#10;bhsTWcWTMQxOK+4Ogjh3bbFYQRw2UJEO9h4pmKBQQufTXUlBRxr6BGMufXlUC3U9sK4ontH9A6Q4&#10;D6Rgj6QQh9RCPy0ApCiQQkEKCCkopNCQAkRDdYCiUfQXCrl8/TWK6Le6j7Jf6j7Ifsc+p4WtaanF&#10;r5paBMs+rvs9bOCzQdtYTpDPmx6rfOWsJNOMDaxvXeekHg9AtoVuk6x009B089N0bfNRl8VHtpVb&#10;bk1fuuC1ORvAa27azatvmtVJUA6hJwnRKHn/k88GvO+JZ+TJpa/kueTN9/J886Pdp3/iNFDw/S+/&#10;lZXr6jrRJ6J16RPfFktfPi59Il4yi5A3SbQaJ1KNE6eCLe278iy3cJ8CfN/4gmcB/Q3PaTH+YMGC&#10;uDtH/ma2u9k+8JAa76Z8WpogzlBNSHOaCMFwxWx6GgyGngVO8nBigZ4iiHN/xdlnyDjvRrDLP8z/&#10;MCini3L4Be98sUbGXv2E/F8n3CL/diRemXpt+GrU62SvYbm/h13T8Ylrw2bI/zb8Wjn4ggUy6+n3&#10;5eOvN0pDU3OYUukRJ97Q96IQJwqKSpfgyUj4RHwfGQZ/a+D/uJ40T+G+Lz6A62CUfUl5xKUdB+ar&#10;09UntEKEgzlbQ8/hCIc8faSAx7UZ93zXNXynmlHohvhxYF2AGlnqKI2NLlhel2kEeFE2p4UWaen2&#10;0kI0LSJMW5caUfXHtkL5cc9H9iewFGBaWdrHBdOIeuZ8SCNM02NVUtoMF3fiG0/rQzjkHScGdZHF&#10;FgBlQtioshkMBPvVLyfM8fo1Sdz3T4v7MQ0Sry4N3amKYv++g/ew5WfXzPFtkhqNRqPRaCwTXWQ5&#10;+csnxIJYTIdx8eiqtZ3u+9jVgjjk7wuXlq79ENL5wrl00dWCOE1fHsXWk2IgiPP5hrgWOI4VQrkE&#10;cVFri9yI9W3CavEBNvqxXquFAli3pHiiO4g6upI+QYkrKgF9IgsKKbSog3WPdiApvmE7UeyjxToU&#10;81BkZkIzQ08B+i3HH/R9PBN4VnzPWzVRjyt6HNHjhx439HgRN07Y+GAw9AzgOcZYgFP+fH5eWoZu&#10;5h572AcOqMm/TnUP3DnyoIXjazpvth80sHhBHAd3DFoGQ2+G3qCLO11Gh8t6gofBYOi5gCOP5x6f&#10;QFZB3OjBnU9xPXjgYd+EU3hZAedB59tn2MnejWCXFz/yaVBOF+XwC1ZvbJA5z38oJ97wtPzo5L90&#10;COLw6tSRN3acGAcxHD5xbchV8n+feKuMv/FpeWvFGmltbQ9TKQ/ixBv6XhTixBxR6RK8n4buSXDM&#10;N0mcEyUoAph2lH1JecSlHQfm66YLURWFP255dVukoTvPp6kvlgckGC+pjL64QJY6SmOji1IJ4qL6&#10;QBKYv7aZYrWoPpumLoio+mNaaZimLtKA6WVpHxdMI61/qcVwEKhFCdO0YDRO6Ib0GC6qzV0xXNSJ&#10;jVHQz2qafsW2dPuLweACi7HoK4UK4v5hwtzD2Td387CJoTtVUfyq7+Afurb84sKrfJukRqPRaDQa&#10;y0S89tNFGtEa6ArJAPfUMDeMK5jz0bUpjaiNdPNLE9eNU6zQyyceG7P4PW9YEqexuSiXIK4Q+8BS&#10;11Oe854PTiv2nR6MU+MCx7FCwMnJOv9iN0CTBHHlAsUWFGiBWpBBkYaPFHxlIcVipC8M6MsP1LZp&#10;avtBlsuEJAZDZYHnlM839kpAiMCwfwRhGPZRQAjGyi3SpUjNFaq5YjVXsAb6BK56DNLjjMFgMGCM&#10;wLhTrD+4qr5+79DPzCaIO612oArcQXdDPgshiMPgiHQoADAYejO4qYhPbGjqE03wN67pjUeDwVA9&#10;cAVxb86e6Z07o9hVgjgcL6vz7TNmkncj2OU1i74IyunCrYdSoGFHi3z8zUa5+4WPZfRVT8hPTr1D&#10;/stxN8vfjL1B/veR18r/Ouwa+TdDr5Z/N+o62efk26V26kNy/ePvyoYtey4ylxpx4g19LwpxIp+o&#10;dAnON4UIbJhvUlzcL9S+pDzi0o4D8/WlyzRBPUenEfLEIU19Ucily8N4SWXUdmtkqaM0NpYSuk4L&#10;fV0l64yiM4ipmKYr+kpblxpR9VfIaXPFguUqpn2ypJFWDEekSVuf3qefL6JYMRygx800zypPwaxU&#10;vzf0XHBhef8zZnn9miT+40nXj2HfJHM+1LjQnaoo9u07dG/XFhPEGY1Go9FYWfrEUUDS6zAhbHPh&#10;O13OJ7iD+MsNR/qEYVle49odBHG+MqAefGFJXz0d/Nhr3rAuswrikK6LJPsQByfdaZRaEAef1PUN&#10;8QOKwHGsEHqLIM5gMBi6C1xhayE0kZrBYOgKQDBLn9Dn56XlivrtwQ88sgniRhy01CeIu2XEwd6N&#10;+TSEIA7qYKQDYZzB0NuhX+8VR2wGFrIJaDAYei6KFcQNHdRZENd/4GGfhVN4WZFzHup1vgccO9m7&#10;EewyShBXDr+gta1NNjc0ySffbJKHX/9Crl74tpw75yUZe83j8vdnzZb/Y8xM+W/H3yy/Pm+enHrL&#10;c3Lncx/Isi/Xyc6WzouO5UCceEPfi0KcyCcqXYJxIe7JCsZNEpHgfrH2ReURl3YcmK8vXS2ockVa&#10;vB53AlYU0tQXhTm6PVhGMA5RAq0sdZTGxlKDZYb4KUlw5YMrVKSf5TuVjXWBvNIiqv4KSatYID+w&#10;mPZJmwbaIosYDqCQDZ9RcAWMLtgHCxXDAXrcjBpbNBi2mHo1VAfwC2j0lf1Pmen1axJ53KW/Z38j&#10;u0oQB7i2/OKcaf6NUqPRaDQajWWjKwgjIHrTwiqIou5ZsVrWNjaHITrDJ6LDaXMuIKyCmEqfSoa/&#10;kbYrugKSxHma3UEQB/rKgXzcsqB+fWI41LEOF8esgjjQlyft00I8tgvEji6ytEssTRBnMBgMBoPB&#10;YOhmwMmR9AmXr97o9fXScLcgrmYp0wPx/8AB9eHOEQctP/eIAfnA5PXDTRBnMGQBTsTAJjs3/Uhs&#10;/mFDO+51qgaDofeCgjjOh8UK4gYMPGxlOIWXFTpPMK0gbtYLXwXldIGjv5EOjtouJdp3tUtb2y5p&#10;aW2TTdsa5cNV6+W+Vz6TY2cskv9xxp3S90/3yTmzl8rCN7+QjVubwljlR5x4Q9+LAucSV7ADMG7U&#10;vAJhF8NkFZ8w3yQRCYVDcfZFiVaS8ohLOw7MNypdinYwL2shEEVnEPNkFW+xLFFCH93Wur309Sgh&#10;nhaFuWGy1BFtrOSrI/UPBZLyRVl84k0KsRCfbeQ7cU6fTuZ7JtCmSEP3x6j6i6vzcoH5RfXbNGAb&#10;++qRQD2wTrP0dT2e+J5p+L8U2fnKwOcOLFQMB+hnxmeHBsrGsGlfI2uoXuA1IOgrB4y/yuvXJHH/&#10;8Vefzf62mzXDQneq4nB/0LDvKZP8G6VGo9FoNBrLRoiefAKuLIh6FSrEVT4xVVr4Tp2LY3cRxPmE&#10;gFkAEZovXR8LEcT54mRBFsFeEv923uIpHX7hYRO1Xwh2tSAO9G1spqUJ4gwGg8FgMBh6JnBCJf3B&#10;YgRxn21s6NfhZ2YQxN0x8jerJg/pnw9MTh/az7sxn4YQxJVr49tgMBgMhp4EVyCeVRBXO2hwp/l5&#10;8MDBH4ZTeNmABTKdJ5j25JR5r38blNMFFquQDk5iKSd2trbJp99ukluffl/OnLVEpix4TR587XNZ&#10;8X1dGKIDu3aFf5QJceINfS8KFLj4BE88fYsnPIFa9IH/U6CCT4iEtPgFohQIV5COK1BhvkninChB&#10;EYDrYJRoJSmPuLTjwHyj0tX1HiVOQ526Ahrch6jHd/oVywKiriEeYl0jHd0Oug0AHRc281WTCAf7&#10;GNd3MleWOqIgCemxvWGba0+pocvHemWeLCP7Mmx0gfu0m+n4XscJMB2E1f0dbUcRmO6PcfUX1S4A&#10;/kb6SLNUgjmdV6FgG/v6CoD6YD3ofpAGiMs2wKd+PvC3Tpf1TmgxHOqtGOjnVLelDzpsVJ8xGIii&#10;BXHHXvxn9rfd7FJB3HJty34nTPBulBqNRqPRaCwv8ZrPQoVrUWI4EmkXIrhDnLjXq/rYXQRxoO+1&#10;smmQVJ8uCxHEgRDdFYJC2iWO+8xfMhF+YZ/+NVO0XwgGDmMF4bPBt7GZlrVjxgVpmCDOYDAYDAaD&#10;oWcBr2qmP7j4vU+8vl4arti0PXgzR0kEcdOGlEYQhwVmg8FgMBiqFT1RENenb+1+Ok8wrSDu8WVr&#10;gnK6ePHV14N0Bg4ZFV4pH7Y17pS/rt0s7/11nXz8zSb5blODNDTtDO9WBnHiDX0vChTl+AQ7FPO4&#10;1IDghSKWOFaTIA6gcMoVt1F8FUfUpwuWBSdzRdU3rvsESFqkFEXc98XNUke6v2lGtU+pgPJpQVQU&#10;UQZXSAXgmg4XJfYCkvo74uo84uovTbuAhQjiIM7ypeVjlvbR/deHNP2b9PVz2BJXv74+nqWsoBs/&#10;i80u2L6+shgMLvADPvSXA46f5vVrkugTxO3fd3DwS8WugCuI+8djTvZulBqNRqPRaCw/cZpbFhEX&#10;hFFpTzLLKrhD2EJEV91JEAe+tm5zmGo6ILwvnTgWKogD8drTLGJFnAxXSjEcWA2CuCeeWRzWoMFg&#10;MBgMBoOhJ6BUgrjPNzUEvq67Btqnf+3CwAH1AZvtEL/pCGCxgjieBGOCOIPBYDBUM3qNIO6MWd6N&#10;YJdJgjiwGgBxB8vrnlBEgVKcWIOviIx6BSIEH/pULN8JWxD2IJwr7oEICK+e9AmtKPBKEvtQcOKz&#10;j/n40gdYtqg8cB3304i9NCjYiTuJimmDbrvg/6hH1iuINGEH4rnhAdYX6gP1jfi0g+3ii0cgDtJm&#10;OiTz1CIujbj690Gf5MV4cXaVEujvvnqFDfq0MR8Qj3Hi2hVAXaFf63xQZl889oO4+kM8t12QHmxK&#10;sjsKelxIYhZBHNoyLh7HnDRE2/jgez7wN+rc109xjc9CGrrjhX5Wk+iCYwzsNRiSUKwg7oAxk+7Q&#10;/RGEHxW6VBWH++vI/UeN826UGo1Go9ForBzxClW88hNCMVfEBkEURHNZXumpiXiIj3Rc4Npn9Q0F&#10;pw12N0EciPpEmsjHFZ/h/7gOIRzC+eInsRhBHAghJOocde9rF9qXJc0s3GfukuDUjAP718zWfiFe&#10;rR84jBWETxBXzCuyTBBnMBgMBoPB0HNBf/DRl9/2+nppWLAgDq9H1RHAc48Y4N2YT0MI4uCUIp1y&#10;vxrNYDAYDIbujGIFcQMPqek0Px9+6OC3wim8bMDJJjpP8JcT5ng3gl0u/dQv4Fmx8st8WvglQFdh&#10;V7nflWqoKmhBnKH00KeERYkDDR2g4BECtWoH+0ySiNJgAOCfob8ccOxkr1+TRJ8gDq+eD12qisPd&#10;+Nx/6FjvRqnRaDQajUajsXcyShDXZ0DtqsBhrCAOHHDYRG0DWApB3ONPPxd68waDwWAwGAyGnoL+&#10;R4SHWjyz1OvrpeGKuoYp8DPh22ofM1IQN3to372x2X798IPzgcmJh5dGEFeJV6MZDAaDwdBdwVeI&#10;4wQSoCcI4g4cUDNM5wnuf/YC70awyyhB3Jq16/Jp4W+DoTfABHHlBU8js5O+ksET1VBn1Qyc3od6&#10;iDrpzmBwMXX6jKDP9BkzyevXJLHPkRPmI75mVwri+vSvvU7b0uew4d6NUqPRaDQajUZj7yQFcdgU&#10;1H4hTtEIHMYKolyCuEe7QBC3q71d2ttapb1lp7S1tEhr7rO9vc1+eGswGAwGg8GQEhTE3fHwU15f&#10;Lw1Xbm66Dn6mK4jDj0ECB9TF7KF9f4jN9ltGlF4Qx1ejmSDOYDAYDNWMUgvijjhkUNkXsHKOxDid&#10;J7j/pEe8G8Eu3/1qc1BOF/r98DgtzmDoDTBBXPmgX/NZ6CtKqwk4QY/1FfW64moAX7NrIkpDWuQF&#10;cUdO8Po1STzgqD86G421sm/foXuHLlXF4XstlW+j1Gg0Go1Go9HYSzlvybAOv7DrBXG+9cXXP1/l&#10;3dxMQwriFi6qvCCuraVZdm7dIo11G6Vx80Zp2rJZWhsbpb2l82uQARPJGQwGg8FgMHRGS/suGTX+&#10;9MCXm3nP/V5fLx23ByfBpRbE3T7q1/txw71ThBxPqx24x6Z8WpogzmAwGAyGDvREQZzvF5xpBXGf&#10;r20IyulCC+LeXf5BeNVg6NkwQVz5QGFTtZ94lgXVLgbTosDPVqwMrxoM8eCr7XuzIO7Hcxb5N0uN&#10;RqPRaDQajb2PeUFczVLtE+L/gcNYQfgEcYvf+8SzsZmOFMQ9XKEfzeFUuNadO2TH1nrZ+v03smHF&#10;x7L24+Xy/YfvytpP35e6VX+VhvVrpLWpMYxhMBgMBoPBYPChua09L4i78rbZXl8vHYsQxB00sPOG&#10;e7GCOGx2My2DwdC7gA1HvIoKz3c1n0LiA1/VNebE08IrhmrHgocWBn3i2JPPDP6fVRDnzs8jBg16&#10;I5zGywafIO6XFyzybgS7jBLEAUzLBHGG3gIK4vC6SkNpQT/D6jY9IAJjvVUj+NrYy2fMDK8YDMko&#10;WhA38sxnEF8zdKe6BL5Nx5/OesS/WWo0Go1Go9Fo7H0MBXE4EU77hF0hiMvZMEzbAJZCEPfQU+UV&#10;xOGVqM3bt0nd1yvlq1eXyIePL5DlD86Wd+bOkrfm3Bjw7btvlnfnzZJPnnxQ1nz4rjSsXyutO5qk&#10;vb09TMVgMBgMBoPBQEAQd/xZHftpxQjiVtQ1Bj5tzs+s1z5mn/61watU98BfRv5Lv6gN998dduge&#10;m/JpaYK43RukPuKki389b3KwaQNhUXcBXk3FTbSe8moqLczyEe2AU1u6Uz33BnDDMerUFmzIYjMS&#10;ojC2BdoJJ5agnyUB7YV2c+PjuUkTn4AdfBYRPw2Yt/sMw5a0fYl9csFDj4ZXDNUMVxD38k2Xe+fO&#10;KHaFIM53uohvE9jH7+t3BOX0AafGIi2cImswGAwGg8HQ1eBJvv804hSvX5PEA0ac/ob2l8DQneoS&#10;+DYdf3rjAv9mqdFoNBqNRqOx9/Hexf3gF6Y+NaOMKJcg7oEny7h3tWuXNDdsk01frZRPFj0kT18y&#10;URb8fljA+04ZIQtOHi4LThou804cInPHHS4LzzlB3rrnFvn23ddk2/o1squ9LUzIYDAYDAaDwUA0&#10;tbbJaedPCXy5c6Zd5fX1UrGuMXiLWkGCOPeVbKMHD9pjUz4tP37iAVmx8st8WnhNWrVB12UcIZzp&#10;LidfQOxDu/B3TwDEUbo+o4h6tpPMSgcI4VCvvr4LIZxb/y7jhGJoJ6YfxTSvAtP9mUwC8qaYLYpp&#10;+hLrwE6JMwA9URCHRTKdZ5/asd5NYB/jBHFDjz4hSO+JZxaHVwwGg8FgMBi6DhTE/cuRp3r9miTu&#10;KYirqQ/dqS7B/n0H9+tsT6387Jo5/s1So9FoNBqNRmPvYzcSxPl800dfftu/uZmCFMTdX2ZB3Jbv&#10;vpaVLz4rL86cJvf+rkYePHqA3D+2v8w7ql+e9+X+/9AxA+WuUf3kmWnnyEeP3yfrVnwsrTt3hgkZ&#10;koA9FvYL27vrnrA3Y/iBQzNQL9grxKEcBoPBYEjG1p2tctGMW4LxE8I4n6+XinXbV8HPpA9BRgri&#10;7hjxm2HccK8dNLhTpGIFcWvWrsunVc2COAhiINrS9J0+lUbgU27ANoqBesoJcbBZ16GuZ4iudD2j&#10;bNV8UlzSqW5pwVeCgm596i8xqHu0AdoCcdw+7/uSg/S0GE63KezXYrUoJxzp6pPlNOOAvJk+PrVo&#10;D06tFtihLHGwL3MGDYi/0BcgBgOyCuLYl8ieLIiDKBDpQSRoMBgMBoPB0NXgDxcOGnGi169J4gFD&#10;xnd+FdWA2mBRpqvwy5G/P0jbA/7dFbP8m6VGo9FoNBqNxt7HUBCX+tSMMqJcgrj7nngm9ObLg2/f&#10;fV1evukKefhffyezR/eT+Uf1k7mj+8q9Od4TkqK4u47sKwv/OE5eu/1a+fqtV4LXppYT7h5LFPX+&#10;HvZWuuO+H+yivfjb0L2g97h8oi/sp2GPzu2TeMtT2jcnuXu4IP6fFL/YvNHfsPeo9yLxN66lFbgh&#10;L8TrDnv7BoPB0BNQKkHcirrG4MfIHL9JvPkscEBd3DHioHHccB86aFCnSPi/3pDPQlcQh7+rDSw7&#10;JuQoaEcU7CmnsnUnaKc5qv7gkDBMlIiqGqAFXcWA9enr2xS0RX2BoZMI+hxFbaPPcYUTrkVrLrST&#10;jvtITzvFcUB+DBf1xVD3pSTHmM40ToszVDdcQdyS6Rd6584oss+RowYPWhZO42VDn/61C3WefYaM&#10;824C+7htR2tQTh9OPfu8ID2cxmIwGAwGg8HQ1aAg7jdDjvH6NUnsM+zkTzr5TF0siPv5hIt/o+0B&#10;f37JTP9mqdFoNBqNRqOx1/Enc5/dD36h6xN2hSCuT9/a/Vw7Fjyz1Lu5mYaVEMS17WyWTxc9Ig+f&#10;fbzMGTNA7jzyYLnryIPkLme99q7c9TmjcsyFue/kkfLspefI50uekJ2N5T0cxK3PKOq9Fb3nErWH&#10;1hXQe3tR+0mGrgP3wrCn5wL9S+9t++jb/yOwj+iK2Vzi0AuEc1FM3mnyRdppDrmIOzjEYDAYDHui&#10;vrlVrrxtdjBuHn/WOV5fLw1LKojDiXHawctCE8SlE8QBrsDHjlfNhjSCONRp2vbozdBffIoB+2sh&#10;4kLdXr62oIgs7lWj+pWsrnAN6cM+lJVOqHZw45CmfrSTm/QljXaiTIbqRrUJ4uJggjiDwWAwGAzd&#10;CfTTDhpaoCDuiBP+qn2mAwfULA/dqS7BTy+7+R8621Mrv7jwKu9mqdFoNBqNRqOx9zFaEBexSVhG&#10;lEsQN++xp0NvvnTYtWuXtLe1yZY138o7994m808cIveMOljuGvmbPcRwIK7NPvLg4AS5OWMPkUfO&#10;Pk4+XDhfmrdtC1MsD1iPvjdTaWqBDv7PPR07Ia73gm3sO2giK9B/2Da+PsO8sPeFfUL2O32gBBi1&#10;h6gPzsD+HfJAfNiu3/7kE+MVkzfS532Ej8o37Z4ebSlkr9RgMBiqDXU7WmTmPfcH4yZ8Op+vl5b7&#10;9h26N8fs3TxsYuiCdsadww+aSAcOr0jVkQYeUrOHk5eWJohLL4gDtBAnStRl8APOSpq6YxgTxHXU&#10;Q6HQ9Z3mVxI+ML7bFvp0tzgHUodz2xyOuvtrjEIEcVHCVNiVFIbQ4rlC68rQO/Diq68H/WDgkFHB&#10;/xddNME7d0aR/YisjCCuZqnOs8+wk72bwD7GYdLkaUF6M26+PbxiMBgMBoPB0HWgn/YvNSO8fk0S&#10;u5sg7u+m37XHK1N/cc4072ap0Wg0Go1Go7H3EYK4TJuEZcSv+g7+oWvHHQ8/5d3YTMP+R3SITxYu&#10;eSn05kuH9padsn3j2uB1qS/OvFTuOXaQzD2qn8z2rNWSFMrhpLh5Jxwh79xzqzTVbQpTLA9Yj71h&#10;n0vvNeFvQ3FgXZZij1kLx3xA/4vaw9N7aD5hmW5330lu2N/T4jR3b62YvFEuxPft7SFfxGH8NH2S&#10;Iry4Az4MBoPB0IENjTuDH0Zg3IRP5/P10tLnY6YSxP3usEM7RSpGELfs/rtMEBeWPY1jqtX2URMn&#10;wsCR0Y4A1OdQyMdNzIiHk6r0RI40kBbuaWihUZSAB3khTyrfowjHgqDan04K02BY2OazJw208xTl&#10;6OkT4ny/KAAKqV/WF8IBvjTwt66LKCAPOE+6ndK0L9sBtiB//SsIljWprXyOYRRQPsYrBLqPuc+G&#10;drLjygxEpeEDwjB8HHRfinLE2T5Zn+soB91QHSi1IO7owYe+EU7jZQM2c3WepRLETZ0+I0gPn+VA&#10;e/su2b6jRTZta5I1ddvlu03bZOPWRmnMXWtraw9DGQwGg8FgMHSAftpvakZ6/ZokHnD479Z28pn6&#10;1ywN3akuATZAtT2gCeKMRqPRaDQaq4c/WLD0h75Nwj4DaseFLmPF4LMDJ4P4NjbTsJyCuJamRtn0&#10;1efy2bOPynOXnydzjhog88b0C06B863XkhDFzT2qr9w9ZqC8fPOVsumvn0tby87gxLlygPWYZn+i&#10;u0PvxyTtBxmSwbqM2ifNAu7fRu2nJoG2gC70Hib20HzQh01gfzsLGA/MCr3/maYetZ1JB2gYDAZD&#10;tWPd9tIJ4k4754I93pAR6ev+Zfi/TKHjNr6msyDuoIEmiCsGLHtax1SLqFxARJQkavIJeDABx8Vz&#10;4yQ5oFqwlEQtAqMgCQ6EdnZcog6iHKAoaJujHBTtxPjEaYXWr84baWgxm0tffCKuTsio+LwPx0v3&#10;IRIopSCObVnoFy7dh1xHVrdTUj9gmdLYQZvBJOiwqHPagU/WL/JGe6cB7Yxrf0PvhyuIW/jHE71z&#10;ZxTZJ8nfHXZI2U8e2UMQd+QE7yawy76XxS9IlVIQ51tYatrZIiu+r5OXP1ktC9/4Qu5/+TNZ+uE3&#10;8tc1m6WhqTkM1YFyLUwZDAaDwWDoOehtgrgf3bu4X5/DhuftAf/nhMnezVKj0Wg0Go1GY+8jBHG+&#10;V5V2hSDOd1JdKQRxDy8uvSCueXuDfP/BO7Lsgdny5J/PDARxwQlxCYK4O0f+JhDEzTmqvzx3+bmy&#10;cunTsuW7r6WlqSlMubRgPRa6P9OdkLQfacgG1mUaIVcSmFahBz3E7clxzyxJbJdlD1Ajy36gCy1w&#10;S1N27BtmCW8wGAzVjDUNzfLoy2/nx02fr5eWmQRxd4z8zXV03EotiFux8st8WiaISwYV96BWkmtR&#10;G9LChEzgHkRFjOeKvZgm4muHEmIeCHRckU6cA4q8eA/p0kZM+FrIpO0j6ICwHPhEHOQBm7WQK6uz&#10;pm1247KcvI98XBRTvzpvnQbC4R4cIF73xQd0+hCmIQ7iMr4W2fl+CcF7bhnAOMFZoWA+hf4yhH0B&#10;dEVlui6SwHTwmQSdZxLQn3V4lBf1xnKjPdKK4YAsdhp6L1xB3P2njfLOnVFkfyQrIYjLOQ6rdJ59&#10;xkzybgK7TBLE4VWpSA+vTi0VoGtram6VNZu3yfKv1snDr38h1z3+rpx390ty9h0vyNUL35bH3vpC&#10;Pvl2ozQ2t4SxDAaDwWAwGETeXf5B3t/x+TZJ7FM7dgvjg10uiJu3ZJgriNv3lEnezVKj0Wg0Go1G&#10;Y+9jlCDuwAE1w0KXsWIotSCOaTz4XDkEcdvku+Vvy/L7Z8tTF50ls48aIPeM6it3jUw4Ie7Ig2Tu&#10;6H5yVy7sExeeLsty8b9//23ZsbU+TLm0YB1k2W/AfgbjuXsbvIf9D4D7fXpfCntB2K+KAu5hb0fv&#10;qzDNuLi4zrBx6btwbcb/mTf3c1wgfdjCfR4Q+4UIizL7gPAIR6GTmwY+sf/IvdIocJ/RPdACNvv2&#10;DAnki3DIE8CeH9sFn/g/w8QxLg8fCm0XDV3PGqgLXve1k4buT1kQlXca6D1K91mJAtuV7WQwGAwG&#10;PyCIW/zeJ/lxdvnqjV5/Lw0n/PnyWqazmxG+7p0jfzObjttptQOdSLV7OHdp+ebsmSaIC8ue1jHF&#10;5M842smgoMsn5iLomMEJ0mB6SY4FEefo0D44Ez4HMc5O7bjgvusgIj06KXHl9EHbHEfUUVa7iaj6&#10;dfP2OZZ0zn3xtfOH/H324RqdXNCtO14HUZY46D5WKBg/bZ/S0PXley6yOLjlCkv4vkigHXxtFAf2&#10;HdBQvaAgjv2gNwviDr/2taCMUSi1IK6xuVVWfFcnzy77Sm54/D35w10vyLEznpIjLlsoB1+wQH59&#10;3jwZdNEDcsINT8sNT7wnb61YIxu2NEpLa1uYQvXBXUypJnBM5kKWoXsBvhDaJ+2CU28CfcKsfrDB&#10;YCgepRfE1S4M3akuwT5zl4zbf9S4vD3gfidM8G6WGo1Go9FoNBp7HyGI27/v4H7aH+xg5QVxgGvH&#10;lbfN9m5spiHTWPTaO6E3Xzrs3NEkdd98KStffFaev+pPMmfMQJk3un8qQdy9o/vmPg+WxyaNlzfv&#10;vEG+en2pNG2uC1MuLVgHvv2VKMTt++l7WI/RYiKXSftfcfTFjbMrDkk2u3XDPcAoIr5vLYr7StgL&#10;00Ipl1HxAZTbF0czam+Q+3mww5cO7pdDEFfsPqK776mh204fTuJDIXtrcXknQfelLHGj9o8NBoPB&#10;0BmrtzUHIjiO0xDH+fy9NLzoupuPYjq7WaAg7pYRSccB++kK4rY1bA+LWj1g2dM6ptrJ0M4fr8U5&#10;LXAcGE47ThRSpd30jnNAtfPlQ5yTRMcxTlCkndIs0DZHMW7jm2EKqV+dd1weumxa0KadaLe+NXT+&#10;bj68HuU0axTryOovN0grC2Ab+yOcSlfYB7CfpLGPYZFWErKkC6AtaCvz4N+4nuSoaxRb54beAb3R&#10;CvjmzTgyLlmhV6bW6zwPOHaydxPYZVpB3KlnnxdeKQ7f122Th15bIX+48wXp84d75T8ePVP+ZswN&#10;8jdjb5B/P/o6+Q+jb5B/O/Ja2Tt3/bApD8pNTy6Td1aule07qvekuKT5vDeD80HWOcxQftDXwTxb&#10;rYAvhzrIulBpMBiKQ68TxM1fMtEEcUaj0Wg0Go3VyyhBHK6FLmNF4dpRCkHck6++HXrzpcOu9nZp&#10;3dEkm1atlDf+cr3MGXuoLBjTP/GVqXlB3Ki+svAP4+SN26+Vr159Xho3bwxTLi1YB1hDwD6Gj644&#10;C9cYD39r6HvcB8H6GdZpcE/vYeG+uweFfR5cxx4Y4uj7WN9gmvh0EWdXHHw2I39cR556D432IxzW&#10;A/W+FOzlPpBvPUrvQfET6SEfxNWCLV98rnW5cWmn3rfyCbC4hqvzxzXERxmRvgbTKnbdk+VCfoWA&#10;doPufqauE5QjDjqdtIjLOwros25fjRI4+lCInQaDwVCN+GbrjpIJ4iZefOnvmc5uRgriDlpIx23i&#10;4QOcSIUL4l6+6XITxIVlT7vhrJ0fAg4Br6WldiL0REwnNg46P9cZYVpRG5UUffkcN5Ytri4KdRq0&#10;zXR6QTg7dGZB3+aijpuWul50fH3dBWzxhWO9RNWpBuO74kZeR/0loVjHTJc3TX4a+suBry0ALRxM&#10;Qpo+RTBsmnR1HSEeviDBIcZ1OsRgVBlcFFvnht6BUgvixh12yGfhNF42uHmWShB3+5y5QXqlEsR9&#10;/M0GmTzvVfmX8+fLvxt1vew16hbZa+SNsteIG3LM/X/4dbLXkTcF1/Y5+XY5/dbFwStV67Y1hSmU&#10;HnrMz0KfULgc4LiUZvwsJTCHIE/MB+7iWaXA+SDLHKbF4C4xf9P3MBQHtk3UYhXqGHVN0RiIeRnX&#10;0ixSuQuNIP4fN5+jn8IehNM+AGyIstMH2E6fNK7vwRambzAYKge9bvHLCxZ5/Zs49jls1A7GD9i/&#10;ZnboTnUJIIj7x2NO3m1Pjvi/b7PUaDQajUaj0dj7+IPZS/fGhqD2B0G8RjV0GSsK90e3F824xbux&#10;mYZM4/FXSi+II5rqN8t7990pc8cdLvOO6hcI4nD6212eNdsOHiz3ju4nd444SJ44/xRZlou7+r03&#10;pXlbeV+ZmkQNva/jrmHpe6BvvUPvcSTtMbrgWgcYl7d7Lw6uzVFrO1hrZZgou/W6n5uOXkfCWo1v&#10;PTNu34trQXECq7j4ut7TiLQYNsu6pw8sNz6zAnXENTR8unWmy5TU5lnCAkl5a+i9Y81C1q31XkCW&#10;fmwwGAzVhlVbmjr5c4++/PYevl5ann/lDROZDhn544+cw5YXxJ17xJ6CuOuHmyCuULDsaZ0GvcFH&#10;uI5dEjHJuxvq+hccDINrvo13nZ87cWvnEU4B48M50I6Jz9lK40DpNLJA2+zmDdu00+mWudj6jasv&#10;jahwtC1NH2F8Nyyv++rdRaF1TOhypMmP0EI39L0oaPuSnM4sdcf+B8ZBfznz2Ym2189pXJsTxda5&#10;oXdAC+Ia1q/1zptxZFyySwRxx0/zbgK7HHvzW2Gp/aAg7tiTzwyvFIelH30rtZc8HJwEt9ewa2Wv&#10;4aEIbviMDg7dfe0//+5mOWTy/TLjsXeC16aWC/pLcBa6c1S5wHEpzfhZSujxMM34WQ5wPsgyh+m5&#10;L45x85shHuj7rEff/O/6sj5GLX4C2g/xEfddwCb4fb7wZNRiKIF7bt5xfQ/hGS6NyM9gMJQGvU0Q&#10;97fzFk9xBXE4Mc63WWo0Go1Go9Fo7H2EIK7PgNpx2h8Ef9V38A9Dl7GicAVx50y7yruxmUR9osjz&#10;yz4NvfnSo6WpUT5+fIE8dPpRMufIg3I8WO4edXDkSXF4pSpOksPns9POkb++9Jxs+e4bad25I0yx&#10;tNB1GUWsZ2jotS13TU7fi/rxn163ybKmBqTN270XBx3Pt6ZDcC0Se0lx4J6Pu7bHdUTEj1r/0XWj&#10;bdEnoaVdC8K+qwbtB+PWvQiGzdpGLrgeVsjasRb4+USIukxJba7DplknS8pbg/uLPqLcWdblCu3H&#10;BoPBUG2gIK7/ER3zzIJnlu7h76VlSQVx04f228PBS8Ml0y80QVxY9jROg3Z6dPhSTaRwyuDM6Y09&#10;/O06UUn5aTGQj1Ebg3Qc4+pCOzdZoG32OXr6vuvQJpU3CWnjR4XL4lgyvhuW19M4uYXWMaHLkSY/&#10;QIvM4r6cANq+uPoE0qYJsP+BcUjTHvoLjvsFxYdi69zQO6Dnw28++cA7b8aRcclyC+L27Tt0bzfP&#10;UgniFjy0MEivFIK4hqadcs/Sj+XHp/xF9hp1c4cQbujVexJCuaHXyL8ffb385NQ75Ow7XpAv15Xn&#10;V5pxYF2mHT/LBY5LaeaeUoLzAcZajKVdAc4HWdogag4HsLiSVSjdm8B5s1jxFgVvqEsf0G6Yc1Hf&#10;9DPxqedY2OLzQXUY/M0w6IN6ocztE2hLLI7hui4frus2d+MRsJX1oxkVnqBNrs9qMBjKh+IFcaN3&#10;Mn7ALhbE/Wje89fhFanapv2HjvVulhqNRqPRaDQaex87Tog7bI9Nwq4SxPUZULtK21EKQRxesVUu&#10;tLe1ysoXn5GnL5koC04aKnePGRisz+KEuDtG/CYg12xxDcQJcfccfai8ctPlsu6zD2Vn43bZ1d4W&#10;plhasA6yrOvFrW3F3dNgmKR1DRelyNtF2nhcB0xLt04ZP6mufftKqCemm7QOynyQjoZOIw0YNmsb&#10;uWA6SeV2oX8kHrVvp/cLk9o8S/nT5B0H2IJ4TANMEtURafujwWAwVDvo01EQN/Oe+zv5ell4/hXX&#10;XcGxl4w8DfnOEQctpfM2eUj/TpFAE8QVDpY9jdOgJ3b9Kww9kUb9OiMr4HDQQcOndsbiJm46KigP&#10;HAOtoMc13I8CHbq4usjq3BHa5ihHj7aivHqztNj6jasvDe2M6XCsF9iXBMZ3N0h5PY2TW2gdE2nq&#10;WkM7t2nEY2nbAxvTacIRrGcwClnKliY9otg6N/QO6Plw5Tuve+fNODIu2SWCuPFXeTeBXaYVxA09&#10;+oTwSmFYu3m7PLd8lUz8y/Pyn465seNVqZGCuGvyf/+Ho66XUdMfl9c/+07a23eFqVUGrMs042c5&#10;wXEpbk7ureD4naUN9Pyg53Aiq1C6NyGuXrKAArNCng29WOX6ovD5eC8qbfYJd9ExDrrNfT6c9lPQ&#10;J3T4pDLSZ0zjGxoMhtJgzdp1+Wd0/0mPeP2bOB54yNA2xgf79K+9LnSpugQ/mv/87H1PmZS3J7Dp&#10;sOHezVKj0Wg0Go1GY+9jlCAO632hy1hRHDigZrm247Tzp3g3NpP4+uer8mlAENe+qzzrervad8mG&#10;lZ/Ih4/Ok6UzLpaHJhwjdx99qMwZeZDMHd03IE6Mu/eofjJ/TH+558iDZc5RA+Thf/2dLLt/tmxd&#10;932YUnnAOsiyrhe3tpW07kUwTNS6BuJijUbvnbgsNG8XaePF2eKju/fG+El17Qun16uSoO3UQF2n&#10;TQNg2ELW1zSYTlK5NfReYNQPXgHddkmCs7R1mDbvNND2pV0rTNsfDQaDodpBn27U+NODMbMYQdyZ&#10;f750JsdeMk4Qt5wb7j5B3LQhJogrFCx7ktOATTItUNOCLb2Rh8m/VIiaoOMmbm5WplXFa/gcQhdZ&#10;nTtC2xzl6GlBmt4sLbZ+dd5x9aJPINHtqx06LUx0oR06d7OX19M4uYXWsUba/FwnVJc7Cro94voK&#10;T5IB4+qNYP8Do5CmHxFML41DrNveUL3Q8+HyRY965804Mi7ZkwVxTzyzOEivWEHcu39dJ5Pnvir9&#10;LlwgfzP2BtlrxPXhSXCOGE4zeI3qtXLwBffJA698LmvqGqSlrT1MsfxgXaYZr8sJzgVx42xvBcfv&#10;LG0Q5xsRTLfa6jSpXtJAz/2FpBM3f2v/L8oPgf/GMFnyZ5uDLiCIw32dHsMm9T0tpkvj4xgMhuJR&#10;tCDu0KHtjA92tSBun/nPL/yfE3Z/BwlsMkGc0Wg0lp3/+NBLAfs+9poc/vRbAY9eskxOffnDgOe+&#10;+WnAS9/7Is8bPvoq4F2ff7sHH/pyTWq6cZkuyfxoAwibYB8Je2E7iHL4ymg0GnsGg1em9q+Zov1B&#10;MHQXK45yCOLwd7kEcZJLd8e2LVL31Qr5fPFj8sLVk+XBM8bInLEDAyHcPaP7Bq9SvTf3OX9MP7nz&#10;yIPloTOPlhdmXCwrX3xWmhsbwoTKA9ZBljUovXbirn3E3dNgGN+6ht7nimOhebtIG6/Y9bq08X3h&#10;suwLMb4blmu4adIAGDbLuqcPTCep3ATWsrjHnbQXqNsuyU7WS9yPRrPknRa67dL0y7T90WAwGKoZ&#10;Le278j7d8Wd1jO9X3ja7k6+XhedMveoOjr1k5GnIWhAH8ZsbsVBB3KKLJsi7yz/Ip2OCOD8wWVNo&#10;BvpOu9LOEMKXAvqkCj1Bx03cvA5nIKtTwTLE1UVW547QNkc5UHqzFfWtUUz96rxBV6wG6DCoOw19&#10;L6puYHvUCXcA46dxcnUdF+oYMr5bFo1CxHCEdjZ9IkO0Ee/H9ScN3cZR0M9EXLo6XFwdEMzb7XeG&#10;6oIWxL390FzvvBlHxiXLLYiD0+Dm2d0Eca9++p2cfuti2W/ibPn3o6/rELupk+C8hGhu5Ez5+zPv&#10;kisefFPe/HyN1G9vDlMsP1iXceM1xkvc174Bxn4sLCWJY+BD6Hj425cX5wKOdRizdTxcjxJ5c97i&#10;+If/63E7Kk+AcePExMhXp4f5D2X3zSOwG2E5R+rwUfM5x+S4NnCh52r87QPrL2r+YD1xgQZEHJ/f&#10;QCAM6wptj3Ixfto+wTpy84WwPCou+wf6E+od+TAu4ul52EfanBZakFYIdPu47cq+FNUuAMoYFT8O&#10;7EtgGmTJg2Hj+ofBYCgdsFbB527/sxd4/Zs4djtB3Lznl5ogzmg0GgsnxGBazEYxGUVqb67fHPDT&#10;zQ2yevsO2bqzNWBvBcqGcqK8KPdzqzcERF1owR1EdhTXmajOaOxadndBHDZBfRubSXQFcdhYLRfa&#10;29tk5/ZtsuGLT+STpx6S12ZdK89dfp48cf4p8tBZR8t9px4p958yUh44Y7Q8fuFp8uot0+XTRY/k&#10;wn8q7a3leVUqwTqIW+twEbe2FXdPg2HcdQ2uI4FYh8mSftq8XaSNx7WbrGtVBOMn1TXX3XQ4XS9J&#10;63fMB2t2GjqNNGDYNGtPcWA6SeUGsE7I8mNdNs1eINNHf4kD040KV0jeaaDrPU2/LLQfGwwGQzWh&#10;SwVxd4z8zSpuuJdSELfwjyeKFsRVI1h2ODGYBDWxychNOhIbjj4gPMNgcsfmmHagMOlzE1w7OrgO&#10;JwDX8DeBvxGW6WknQeeFvzXolPmIe2DUBivjxjlQWZ07Qtsc5+jpDV1dH4XWL6DjkmhXbO7iHsLT&#10;IQPdOgV0vaK9kBfCgahPHd+3Mcp7cWUnEJ/h+eUEtiKftKC9rnNOoL6YB2xnXUTR7S86PgjbGNat&#10;D92OGjp9kP0d1Nfd+PqZRDkRhsBzgvpDGzFMVP4atDfKaTdUB/TJIy/Ou8s7b8aRcckTaw5ZFU7j&#10;ZYFPELf/KTO9m8AuT7prWVhqP0oliHtn5Vo5/+6X5Dfnz5O/GXNDx+tSE0+Iy4UZcb38P+Nvk+Ou&#10;WySzl3wkqzeW91ebGqzLqPEaY4oeYzAOgUnzAMYnPc65dMdr5M/rri+i6csL4yLuwS49r7r0+TSM&#10;C/oQlx7qQM8XcXaDCO8bozmHpZkzCW23nhcI5MP7vnQxd/E+2hc26PbC374FG97HPKr7gGZUOZFe&#10;mjrylYf9A3a7/Qq26/L6iHSzgPmhbgoB/Cbm7ZaH7R3lYxOMn6VfsE2QRxpkyYP1nsUeg8FQOIoW&#10;xIVxyW5wQtxyVxAH+jZLjUajsZrI09sg2OJJbRC5ueK2UgJzDNYD8CM5rJODL776+h7E92RywUML&#10;O/H2OXMjyTCMy/SYF4i8QdhBVvKH6xTUUUynhXQU0UGAaAI6o7F0hE94YP+a2Z39wZr6wFnsAvTp&#10;X7NU21IqQVxzmd/60N7WKs3bt0nD+u9l/RefyjfvvC6fPvuovH3vrfLiDVPlpRsvk3dyf3/29MPy&#10;3ftvy5bvV8vOxu2yq1wn14VgHaRdjwDi1rbi7mkwjLtWwbUXrGX4UIq8XaSNp9fkfPuWSUgqG6DX&#10;yZAfoffifGusBOxiOHf9imtmYBowbLHrSSx3Uh9D2bk+FrVG6QPXvRDHtyYK6B/Q+uqv0LzTQK+H&#10;pumXcWuTBoPBYOgA/Db6dOdMuyoYM/Gpfb0sPOOCS+Zz7CVTCeKmD91TEIfXqOpN+bSEIA5fxJFG&#10;sZvePRVuXUYRk3WcQwTgPif3OGpHRzuFUXTzjXMktYMRR4SBs6KRxoHK6twR2uY4R0+Hcx3LQuoX&#10;0GnC6YlLI6qNk4QMZFR83k/j5CIvn424lhb6S4QPuh3T0CcUQ1l9YUnYG1Ufuk3SUCNtW8Tlr6G/&#10;zKB/GKoXWhD32PSLvPNmHBmXPHbwoavDabws6AmCuM+/q5NbFi2XUVc+Lv/fY29M98rUYXhl6gz5&#10;L8fdJIMuejA4Je6L7+vCFMsP1mXUeM3xB5/uIg3FYhh/3HucY3EPYw0XEjAeMk38TbjjNMZhpolw&#10;FOX55gZ3jEX6TBtp0BbQXYjQcV1omzDP0B58Util6w354DrGYl0fWjzmm19oX1Qb+KDtZlkB1DPy&#10;Z36oN9Y9oRdv3HlA+1V6wYxgPBDh9Lzj5utCz9UoK+vItRmfuv4At3/g/4gHum3KMLpesoLtG+cj&#10;xoF9HGVxQfuS2pv9Iq0Nce0ahbS2AFntMRgMxUEL4g46/0GvfxNHxiVxGkfoUnUJfjRvyapfnDNt&#10;D7t8m6VGY0/nj+cs2oM/nfVISenLg/TZZOx6QvTGk9204K0UYjctcIPwDGK0GTffLlOnz5BTzz5P&#10;jj35zOC77sAho/YYh7szYTMI+1GOSZOnBUS5QC3A0+I7iu5KKbTzieconEPb+tq8uxPjRTCm3LhA&#10;/u6KWfLzS2bKLy68SiBgB/c9ZVLA/U6YIP94zMmy/6hxHRw6NiBOeo2i25bufaaRZy5d5AEiP5D5&#10;wxb4EHnmbIStIOz+2TVz8kRZOE76ymwsPbPMO/AJXUFcnwG1Zf1xbRxcQdyo8ad7NzaTuPi9T/Jp&#10;VEIQ56KlqUm2rFndIYx7+mH5/LnHZPWyN2TzN18GQjiNcoriWAdZ1gyi1raAuHsaDOOuayStYWDd&#10;JCr9tHm7SBtPh/OtEyaBZQOx/uSu+wE6jF43Q1i9/uaLC3BdDHTLotfo0oBhfeuMWcAy+dbaCL2u&#10;iU93zTAOuk/4bEVd6fVpt+6KyRvpxq3lYd2UtvnWXH3Q7RTVzgaDwVDt0IK4i2bcEoyZhb5GH5x4&#10;0eULOfaS+/YdunfofnZGuQRx9582quoFcdoRcgnniRu5aSdIbFjCOeDGn04LG+V6o5TANeRD5wHE&#10;3wjvcxJwjeHc+3QyfA4G/u9usOpy0amLczrpBCFuFqBemG/SpiTrzufIFFK/ruONNBBW1wPKHOeU&#10;E0gffYZxdd7uZrVG2rITaCu2B5jkALrQm8C+crEd0zKqT8BOlN3Xd+PqA/F0+nFE3fnge25AtA/6&#10;SFz+Grqu3GfGUF3QgrgHp5zjnTfjeNDAmnx8sDcI4rBBUAw2bW2U1z/7Xi645yX5z7+7SfYadUuH&#10;KM4nhCPDE+IgiBty6SNy3WPvyFfr6sMUyw/WpU8Qg3EH9zAuRfkFHJP0mK3HPN9YjrQwl+gxSH9J&#10;98WJG+f1vIfx2LUV/+d9t5w6rgvOZVFzAvJKO1fpecgFfTNfG0RB2x1FpOtrN7ZZVH663V0wbbSf&#10;L21dTt1OmKN4PSpf3W/chSfdP3yLUhoM5/aTLGCb4DMrdB34+gfvJbV3FhvQFmxXfPraxoe0tgDo&#10;72ntMRgMxaNaBHFZNlGxAY442DTnRjnSxIZ4fiPcNsCrghR+UfQQCCBCoh9AIEFSNIH+EzAUVFDw&#10;4Yo+KPwg8wIQJQIBXXGH27e7E7WdugwBw7LpMrMe+JxRkBInSgHjhClsM1979jbiRDGIpCh8K0b0&#10;hrmAJ6lpoRtIoRu+w/Y0oVtXEnVVjMjOPdlOi+0gmqu0YC4/HoZjIMc+jnkc4zi2cSzr7uNWqanH&#10;PD3OcXzjuOYbzziWVcsY5mPQx3J1wL6FOmN/Qv364vgIn7B7CeJqO21YlkIQt3z1Rmkq86tJfWht&#10;3iEN69dI3VcrpG7VX6Vhw1rZ2bjn2yeqSRDHNQwQazNcJ8Hak74HFpq3iyzxuOYDunt1sBXroLDT&#10;tzan44IIgzIiDcTT933todfYEBfrbIgLIh29/wQbXOj4acD0kBfWHJEP0tBlTgOdr2/dS6+NgayT&#10;KLp7Y258tAvqE2HdesH/NYrNm/GQhm4P9gPeB3EtDWA/wvv6kMFgMBg6AL+NPl1XCOLqueF+/fCD&#10;O0UCzz1iwB4b82l473E1wRdapIEvvoaeDe1kwJGKAhwE9h04Eb0dKGM1lRdAX2CZ3S8/hs6AQ416&#10;MkfYoAVxf/n9SO+8GcdKC+L69K3dT+cHlkoQhwVupFesIA7YmXOg7l36ify/42fJXkflOPIG2Wvo&#10;NXsK4UgI5nJhfvD7WXLKTc/K/a98JmvquscrU/nF2bf4QXBM0QssXKDIMs4wDoRWUcB90P3ir+c9&#10;zAc+cDHIFVPpuBr6urtIUQii8gFoW5b5S6fnY5RgTYvOooTUek5FPhpR14mo+RgLQbwe1UYA+5zb&#10;D9g/4PclgflE2ZgGUf0lCahf9HvE9S06ArQvqb1pQ1Q6GnpxLEu509oCsA3inlGDwVA6aEHcYRc9&#10;4vVv4si4ZJcL4ubvFrRpZtlcxqa1Gz+K2PTmhjficZO7t2xsQ3DD1yyCeK0fCfEFTqECIcbgKxhJ&#10;iDQg0iEh3AAh4iBxChIJMY8mBB/k5+vrAn7x7fcBl336RcCX31kmi158Jc8HnnxWZt//cJ7X/GWO&#10;TL3+loDnXXZ1wFPPv1iOO+ucgCNycw05aPRx0jc3t4IHHz7S297Gnsc9BHpKlKeFKq5YJaAS4lH8&#10;00m4Ej7jZLmfdTx3eN5c8RvGcZDCKQqpKKzCd1AQgisK3SDMwno1hW6+uisFtSiMwjAtDnNFYiTF&#10;eCTFY5q8p+MxPeYDMm+eAgf2BmEfysD6ZR2zzCdMmCRHnf4HOfzkf5VB48+SvuPOyPf7NAzEbGTu&#10;uak2UVt3om/8ihLZ6TGLY5X2RzhOVcovYV7M+5e3PSi/vOFe2f/qv8i/TJkRsO+kqXLQyX+Qfzn+&#10;NPn1mBPln2tHeOuBTGs7fEJXhHbggJrlgbPYBXDFebVjxnk3NpPYHQRxsmuX7Gpvk/bW1oD4G9cq&#10;CdZBmjUMQq9tuWsZcfc0GMZd18CaF9dnfMTaBoi/C83bRZZ4WBvjuk8SXej1IlcspRm1NgjExSOj&#10;1oO5PgSmgQ6v6YrKkpC0z6vrPw1969Z6XS+KvrXCYvOOqiOXcfvgLrh3jrVWg8FgMPjR0LJbEHfl&#10;bbODcbPQ1+iDJ0/68zN63AZD13NPlFMQhy/nSANfRA09GzzBBIxDFke0N6DayktEbaIbOoOOcJzA&#10;xVAdKLUg7neDD90QTuNlgVcQd8Ys7yawy0oK4oBXPlkth178oPzbI2fIv8mL4a7teH3qsPD/+Aw4&#10;I/h/nz/eK1c98ra8ueJ7qW9oClMqP1iX7sIRwPECn1hk8ZFh8DfB8VhfSwK/+MfFwX3QtVXPe1FA&#10;ur70o+JqAVdWYIEGNiIvkotsvvRom68NouCb67HIBd+ICze++VD7Tto+l27aRNR1DfYJvUCUtk+w&#10;H4AaafoHwfhxNiaBdZClTVD/bGe0QdSiI+1LSps2JC1c6TbNYi+QJR7bADQYDOWHFsSNuOwxr38T&#10;R8Ylu1IQ94PZS/fGJmixgjhsMrvxS8WDRx4bEAKF2jPPDVjzh8ly+IWXy9CpM2TEVbfIqJmzZczt&#10;C+SYuxfmedz9zwQ8/ZElMuHpVzvx4lc/yJNCtCQxmk+EBuHZ93Vb8nRFNlpo4xPbUHBD0Q2phSta&#10;vKJFKxSsULRCoQfoq0fjblLw5WNeRFEgfWmSPluMe9KtN189u+wzelwgDOl3zO9l8HEnB4LNsSed&#10;0UnU1ZXPB/KFLXiG8UzjOcdzr0814/jRE6DHOY5tekzjOMaxjGOYHr90u/jqrNqZ7/ujOk5eBQMh&#10;V26+Jik8TRKd+sj5272u4+aZS5N5UOhKEVlgixLFwkYKZmHzHqJBPK+5svnK3JP469oRAX8z4pjA&#10;R+l3ZAcP/d1JwRhUe/wpeR4+roNDTzg1Lyg/LPe9vHZMB387dpz0P+JIGVCmZwHtp322KMIvNEFc&#10;7wXXQ7KIb/SPNt0fo8bd0+AamE9cBVEc9kC4TgXCToqKuFZVaN4uCokHW2CHFmHhb6wJYR3G92NW&#10;rhdxjQxp6HVH/I24UetSBNbNkLeuH/yNa3FralwzhZ1pAXt0Psgj6oe6UUB5GN+3jqXrPw2j7Ec+&#10;WNPUdYqwcfVSirxRH26+IP6P61nqS9dVVuGhwWAwVBPwgzb6dDPvuT8YNwv1CcFMgji94X7LiD0F&#10;cRMPL0wQB+LLMdLAAoGhZ0NvzMU5AzpckhPYGwCnjOUtZjO4p0FvCGd1pqsF2jGvpr5h8AMLy+wP&#10;EJ/75sw4miAuGn9dWy9XP/K2HD7tYfnvx9/SIXobMVP2Gnljx4lwEMbhc0TH6XH/6dgb5airHpfn&#10;lq2SLdubpb29cr/iZF36FhJ4Lw21yNZdmEkDztVxcZiXa6ue96IQZVNUXO07pAXGWL24E0UXtM3X&#10;BlGIm+v1Lya5yEfociURizPuAh7vxc0hvrqOqn8XUfXO60nxAcaPszEJtNf3q08f4F9ywcpXbxrs&#10;I1hIiwPSQbi4fqF9n0KE7oybpu+xDWC/wWAoPyAE4DM6bMr9Xv8mkhcsysclu1QQt2DpD7EJik1t&#10;1y5sgrubpVHEBjfjUeAFIQQFEBA96LS7Myma8dEX3tiZur4oeKFwj2IYnkhFkYwW/1FEowWC7FMU&#10;3FBYSCERSHEOSXERhIo4KQ8CRggaKXCE2BHCR4ohIYzEiX04TQwn+YE4XYwn/fn6fSkYK0QJxS2u&#10;EEWLUfKClARRiham6FOseos4pSvIPq6FbiD6LPsn+6IhHSi0SyuyQ71zXAG10A7s6nH717/tEE39&#10;esQxHSd5nXS2HDB+YvB8anEbnum8oC337GM88I0XvZF67HMFd/tfepPsf95lAX/9x0vk12eeL30n&#10;XBicjIYT/A4aOz4QpIGoa18bVAvR1/EM4LnAM4JngfdQr766dwm/MOeTLtXp4v+Bw9gF6NO/9jpt&#10;C0SDvo3NJD768tv5NPB/nDRiMJQTadfYeiO49laNZc8CvTYct0ZpMBgM1Q4tiLvj4aeCcbNQnxA8&#10;fsK5L3L87WBNfeh67gm94V5qQdyUy6YHacB5N/RsaHEPNuewKagFb7iPzUGGSbup2dMRt0ne28HN&#10;Y/vVgx94BlA/tpltALAIzLGitwvi/jD/w7DUfpRaEFff0Cxvfr5GrnvsXRnw5wfkPx5zo/xvw3Ey&#10;HIkT4jpOi/s/c/f+6dy5csl9r8m3G7aFKVQOrEufICaNIMeHQhZmKLaJixNlq573ohBlU1Rc2hOX&#10;pgb8D9YXFmew8KB9kjgbaVuWek6a65mmO94Xc/IdEJcnQcGXLk9U/buIqndeT4oPMH6cjUlIay+Q&#10;RQwHpEkbabIcrqiRKFYMBzB+mr5HnzpNnRgMhtKAz+jYyx/y+jeR9AjiDhxw2MTQpao4fjL32f2w&#10;CeoVxKU8UQSb2TpeEuDnUuRAcQPWgLSYQadnLIzwnSnYAVG3IIUjUaI0tIdPiEYRmhaioS0p+Kkm&#10;0Q8WZXE6oE9kFyW0c8V2ruAOr9n1PV9dwU7iPCXKixTjKRFemtOhyANrhsuvcvT133KTzwefET4f&#10;fEb080GRG54F9n8TufVMUHAHchzjuMZ5if8vlBwb0/SRqLEkajzhmEJybNFjTCnppg/q/EFtG09Y&#10;JVkGloknrYI8aRXkq75RH2QxYDuzfdm2nNOSxJUcCzh/YpzwjSPlom9syjoeISzTw1jtG+tdwi+s&#10;BkFcsf3LYEhCljWr3ga9rqnXXQ2dwTU82wc0GAyGeNQ37xbELXhmaTB2FiOIG3PSWW9xngL7DKhd&#10;Fbqee0JvuJdaEHf2uX8K0oBzb+j50IK3OOIUjmpxkJI2yXszuGFujp4fFGtEba4bqgtY0OJYMX1o&#10;P++cGUcTxEVjZ2ubrKtvlNc+/U6uf/w9OfWW5+TI6Y9J3wsXyP/7+1ny70ZdL3uPnSl/d+ZdMuyy&#10;hTL1/tflueWrpGlnS5hC5cC69AliuMCSdJKVC47FGHPSIo3gKcpWPe9FIWqxKCquvp7ml3RanOQ7&#10;pTTORtrma4Mo6PTwtwv9S0D8TWQtlwvG9eUJoOwMo8XpbF8wDuhrCOO2U5r+QTCfKBvTIKq/+MCw&#10;acRwAMXpYJRvmqU/FSqGA5hGmr6XpU4MBkNpwGe0pwvifnTv4n7YBIXIxbUrrSAO4RgHm7alRNym&#10;dtxmtt7QBrmpzY1tUpe3GOo0Sean7QBpHwU33OTmRjfIsvmEaaAWXlB8QQGGb2Pc0PNAoQxJwUyU&#10;aIbCGVKLVEBXxAL6xC5x9KXB9HXeWgTjil8oeokC+zDJvh1HPgdRZDimaTAYDMUgbnzyjUFxZLxS&#10;j0/wJeijQLjs899cwi/EK1K1f4NXqAYOYxfAFcSBvo3NJLqbpyaIM5Qb1bw+o9cdbY8rGtwHzLLW&#10;bDAYDNUILYhzf+RQCAsWxIE6Inha7cBO97Nw/GkTgjSw8GfoHcCmIDYDeToHCVEUrhezIdoTgc1Y&#10;1kEhm909GdhYprNXbe2eBIoj8JwYDAAWwjhWmCCutIK4XbtEWtraZFvTTlm7ebt8/M1GeW75V3Lj&#10;k+/Jb6c9LP/3ibfJP559t4y/8Rn5y3MfyKffbpLG5pZcvMq9KpVgXfq+IOtf3WWZT7QYy7c4gbHa&#10;nZ/TCJ6YpmurFgdFIWqxKCoubOT1KMER6oe20H43HSLuZDba5muDKGi7o+Y7ntTmlpnzZFahI8A8&#10;MZf4xFy6HrSQS9urhXIa2n9xwzDduP5BMI1iFsaYX5KoE32D+aV9RnQ5o9qcPq2vvIhfTBtqJNmh&#10;QZuq5cRlg6E7gM/oidcs9Po3kexugrh5S4ZhE7QYQZyOC6FXTwY3pJNoMBgMBoPB0F2BvTX6ZjjB&#10;0+e/uYRfiE1BxgO7VhBXM0XbAvo2NpPoCuKwsWowlBNcR0yzRtYbwR/TFrsm1luh1+V9P7I1GAwG&#10;w27U7WjJ+3SL3/skP34uX70xfz0LjzzhtM+YBhgpiJs9tO/e7qa7jggWI4g76rjxQRr4BazBYDAY&#10;DNUKbLRxXi2FIO7owYc2hFN5WdCTBHE+QBz3zsq1Mu2BN2TEFY/JKbc8K7c/974s+3JdGKIDlRbF&#10;sS59ghgtMsYnBEZaBAVhDuJBeOWKgSjGcuNBGEVhjRZyUYAUt5iD+6BrqxZbRSFqsSgurhY7IU8u&#10;IuCTiy+0JU7wxbKRLmibW6446Px0PWrofPUCiL6Ocui2Qzth4QTXfQtLjAeijXn6HOJp0Z+vHVlO&#10;EDbQJsRFH2Ff8wm3abMvXRfsexTtsUxZAHtoK+L7oPtHVvGdrgvUG/NAW7BvgW7bajEcy1cMmE+a&#10;vsewWctqMBgKB5+7M2c+7vVvItnNBHH7zF0yDpugxQjicPII4+BEEoPBYDAYDAZD10EL4vAqa5//&#10;5hJ+oSuIO7B/zezAYewC+ARxhWx+3vHwU0Hc2jHjgv+bIM5QbnBNKc0aWW+EXhM1wdee4Lpi1A+8&#10;DQaDwbAbGxp35n261z9flZ9fSiWIw+nIoevZGeUWxP125NggDbwKwmAwGAyGakWxgriBh5ggLgug&#10;c9u0tUne/HyNPPbWX2Xx+18HJ8fVNewIQ3SgOwniAC3AiaMriEuK54p50gieGNe1VS+ERCFqsSgu&#10;LuyjeM9HlE+Xm3mAiIf/a/ES77lgvDSiJELb7YqmCCwKMYy7CKLFXFGME8TFxY8SaiXVJ4j7bl8C&#10;0vQPgmFdZoGuO1/96vtp6JYJdUHhXhR9wrM07Ua67ZfFZrfMur/52sdgMJQHfO56vCBu/pKJ2AQt&#10;RhC37ymT8nFsLcdgMBgMBoOha4HDJuibwU/z+W8u4Rd2J0Ec/ONOtuRogjhDTwAFT751u2pBIWup&#10;1QCsN6JesB5tYkGDwWBIxrrtuwVx8AMxhoI4LY7XszCLIO6H7qZ754jFCeL61QwL0sDmt8FgMBgM&#10;1QoTxO1GJQRxBARv7e27AoFcV7wi1QUFW1GvsQTwZRoLDK6YCYsPeH1ilEAG8XBfC3+Qhk/ow9PF&#10;4hZzomylWAf3oxC1WJQmLvLTZUd5UB8onwu3nvA37UUevnxoW1wbuECdM4+4BQ6mDZtdoOy4z3pl&#10;OFxDG/nKx3CICxuYPuNG1QuBeygnF65I/B/Xo+IiXYRDfmmA8Ox3KF8hv4pkfKTlAnbqekui7xlB&#10;Gm5/oa1RzxTrIQ3dutJ9JoloXw20Da77+pHBYCgf+Eyee9tTXv8mkt1MEPe38xZPwSaoTxD3s2vm&#10;eDdMXe53woR8HFvLMRgMBoPBYOha4AcK9M2yCOIOHFBTz3hgn/611wUOYxegXII4vHrLYDAYDAaD&#10;wdD9UWpB3OFHn9jpxx99+tcsDV3PzkgjiBtfc2in+1nINN5d/kFYVIPBYDAYqg+lFsSNHDSoMZzK&#10;ywKvIO6Umf6NYIfdSRAXhe4gjjMYksBnzxVM9UZAzImyQrBW7aCAsRBhocFgKBwcc3u6IO5H85+f&#10;jU1QiN9cu9IK4vYf2nHSP7hmbefXzRsMBoPBYDAYKguuo4H44YLPf3MJv7A7CeL6DKgdp20B8aos&#10;3+ZmHGfec38Qd9T404P/myDOYDAYDAaDoWdgTUNzJ7+OPuGjL7/d6XpaHjpi7HdMA8wkiDtoYOdN&#10;90IFcdcPPzifxoqVX4ZFNRgMBoOh+lCsIK520OB8fPDIQYNawqm8LOjtgjiDoSeAz141COLSnsLX&#10;24GT7FgPUSfXGQyG8oDPngninu8Ux2AwGAwGg8HQtShEEPeD2Uv31j4d2Kd/zZTQZaw4DhxQM8y1&#10;p5DTQEwQZzAYDAaDwdAz4Qri+h/R8Vag0gniaheGrmdnVEoQZ78qNhgMBkO1g3PitCHdXxD3q76D&#10;f6jzA00QZzBUFnz2qkEQB/B1plleZ9vbgNfnog7sdakGQ+XBMXfKXc94/ZtIdjNB3D7zn1+ITdBC&#10;BXE/nfVIPvyg0ceFtWMwGAwGg8Fg6Crg7Uv0z/7xmJO9PpzL3iqIu/K22UHc4886J/j/hsadYS0Z&#10;DAaDwWAwGLozogRxC55Z2ul6WvY9fGSd9i0P7F8zO3Q9O+P2Ub/ez910L5UgDifgMA2cjGMwGAwG&#10;QzWDc6IJ4kwQZzCkAZ+9ahHEmRhstygQdWEwGCoLjrk9XhA37/ml2AQtWBB344J8+KEnnBrWjsFg&#10;MBgMBoOhq1CIIO7vTp/2A8bZza7zUXuNIG7XLpH2XdLe1ia72tqlvbUt93d77nLuusFgMBgMBoMh&#10;Equ3dRbE1Y4ZF/h1dzz8VKfradktBHHY8GcalUPOCW1vkrb2zbKzZbU0t3wlO5o/z/EzaW5eKS2t&#10;q6W1bX2Om3NOamPOgW0N4xkMBoPBUF5wTiyFIG7IoEGt4VReFpRTEPfEM4uD9EwQZzDEg89eNb06&#10;k4KwahEBavC1sagDg8FQeXDM7emCuB/NW7IKm6CFCuL+7opZ+fBHn/HHsHYMBoPBYDAYDF2FQgRx&#10;/3jcaf/AOLvZdT7q/n0H93PtKeT1WK4gbt32ygri2ltaZGfDNmnavKmDW+ultXmHtLXaPqPBYDAY&#10;DAZDHL7ZuqOTX4dX4MOvwyvx9fW0LKkg7neHFSaIO/eIAUH8oUefEBaz3GiX9rYGaWn9Tpqal0t9&#10;w1Oyacu9sqHu1hxvkk31c2RLwxPS0Piy7Nj5vuxsXSXt7Q1h3N3YlftnMBgMBkOpwXm1EEHc0EGD&#10;8vHB3iCIq5x/YDAYDAaDwRAP+jvT5y72+jeR7EGCOIjd3M1Sl7+48Kp8+LMuuTKsHYPBYDAYDAZD&#10;V6FUgrg+A2rHhS5jxVEqQdxFM24J4p52/pTg/5USxLW3tUpL43bZvn6NbPpqhWxY8ZGs+/QDWf/F&#10;J7Llu6+lsW6jtDY3h6ENBoPBYDAYDC5KLYj79aAhjdq37NO/9rrQ9eyMcgriJh7eIYg75venh8Us&#10;L9raG2Vny1fS2PS61G97WDZuvlXWbbpc6rZNk4Ydl8vaDdNk/eabZfPWe6W+YaE0NL6UC79C2oLT&#10;4lpyKZgQzmAwGAzlA+fVyUP6e+fNOLqCOPw/nMrLAhPEGQwGg8FgqCbQ3+nxgrj5S+qxCapffUpm&#10;FcT9ecbNYe0YDAaDwWAwGLoKhQjifjny9wcxDtmVgrg+fWv3c+1Z8MxS7+ZmHM+Z1uGrVkIQ19bW&#10;Iju3N8jm1avkm3dflc+XPC4fP3G/fPDg3fLefXfKuwv+kvu8S95/+F75YskTsu6zD/PCOHuFqsFg&#10;MBgMBkNnrNrS1Mmvw4m/8OtwArC+npbarwQzCeIGHlIaQdxptQOD+ONPmxAWs7xobdsg27YvCYRw&#10;6zddJWs2XCZrNl4iG+qnyqYt03L/v1jWbrxc1m2cLuvrrpWN9bdJ/daHpbHpDWkNTovbHqZUPI44&#10;6vig7GleeXT5jJn5uu5tWPDQo/Kv503O1wd50oRzgnJ/tmJlGLLnAWXQZdJEu/9p6pU9unzdEehP&#10;ut77H35kUM/V+Fo1Q88EBecmiDNBnMFgMBgMhu4F+js9XxDXsQla6Alx+54yKR9+1sNPhrVTGdjG&#10;ocFgMBgMBsOeKJUg7sABNcNCl7HiKLUgDp/4fzkFcc0NDVL/7Sr5fPHjsvjKC+TBM8cGfOisYzo+&#10;c7z/tNFy36lHyhN/Ok3em3+nrH7/Ldm2fo20t7aFqRgMBoPBYDAYgPIL4mqmhK5nZ5RTEId4iH/u&#10;pPPCYpYHu6Q9OB2ueecK2bz1Htmy/VJp2XWVbNoyVdZtmhII4TrEcFNkfd0lUrd1mmxvvkLW5u5t&#10;3DxTtmx7WBp3vBOcFFcqQKTD+oOIJwoQTDEc4vQWQKDkiuCieMOtd4SxehZ8ZfExrv0N6bBuw4ZA&#10;ZOirX7I3PT+G3omG9WtLKoirHTS42wriTrprWVhqPxY8tDBI79iTzwyvGAwGg8FgMHQt6O/MfOAF&#10;r38TyW4kiPvBgqU/5CZooYK4/U6YkA//8JKXwtoxGAwGg8FgMHQVChHE/WL82bWMs5vdSxB3x8NP&#10;eTc34+gK4tY0lOc1pe3t7bJ17Wr56rXn5ZVbpsu8E34r9x89QO4b01/mHtUvzwW5/z+Yuz57dH95&#10;7vLz5JMnH5SNKz+TtpbKvMrVYDCUB9i3xliDA18MncG92scXPRteMRgMhnRwBXE48RfjCV6Jr6+n&#10;4fLVG4O4mpGCuL+M/Jd+7qZ7qQRxowd3bN7/6ZxJYTHLg/a2rbJj50rZ2vi8rN98i2zZfpnsaJ0u&#10;G0NB3NqNHYI4/L1+8yWyGa9Qbb5C1tdNkQ11M2TzlvnS0Pi6tLbVhSkWDy10w4lWUdDCud5ymhgm&#10;QZaJ5f/L3fMCkRwIgZguN9gTxUy0HZM/ywai/G75cL1a8dZ7y4M6wGlu+LsQ6FPh4ICijtmX9D2D&#10;oTujbtUXRQniOKeSJogzGAwGg8FgKB3o7/RkQdxP5j67HzdBfYI4XNMbpT5ik5Xhu0oQ19TaKl83&#10;NMqHm7fKG+vrZen3m2Tx6g0Bn83xuRyXfrdJ3szdW1G/Xba3tYcxDQaDwWAwGHofChHE/cOxp45h&#10;nN3sOkGcb52xEEGcu3FaLkEc8O3yt+S1WdfKo+ecKHOO6i8LxvST+Uf1k3tHk31lfu7a/WMHyF1H&#10;HpwLN17euOM6+fad16R1R1OYSvmA/UTsQ+mDKbBXhb04HDBgMBgKB/Yz8UxFHXiC69irZLiszx/2&#10;N33xIcRLio+47rOPv9O8lQ1pw0a9rwri/2kPd0F85mkwGAxZ8Nf6zoI494cOWegTxEWux5ZTEMfT&#10;bKZOihaElQItratl2/alUrdlrqzbeG0ggMMrUnEiHE+H04QwDmK5jhPjrg1Oldu2/aXglaulhBZF&#10;+QRRvfF0OJRJT+BxEyjEUTpsT1OT0244Cj6g7AxTzb8iQN9nPfiegyRQUBdXj+g75nwZujtKLYjD&#10;XB1O5WWBb6HqgPFX+TeCHZogzmAwGAwGQ08D/Z1qF8TtP3RsPvyyL78Ja6e8cN+U+m1Dkzzw5RqZ&#10;+t4XcvLLH8rIxe/Kbxe9LYc99aYc8vjrMvjJN2XUc+/IWa99LLM+/Ua+2NoYxjQYDAaDwWDofSiV&#10;IG7/voP7hW5jxeFbZ5x5z/3eDc44VkoQ19baIp8/95g8Omm83D32ELnryL5y58jfyJ0jclTrtbOP&#10;PFjmjDpY7h4zUO4/dZQsvvw8+eL5p6Slqbz+qd578hH7boUeTmAwVDv4fOE5coHnSgvRfISwLU7U&#10;BuGaLx4Z9fwiTVfI5jLu2Ue59J68j2m0CrCD4Xvavr7BYOhaRAni4N/p62n4+uer8mMR2WdA7bjQ&#10;9eyMNII4bMK7YdIQp9cg/mUTzwiLWR7gVal1W+bJ2g3TZe3GqYHoDae/UQAHgdy6TbsFcRDCbdh8&#10;Scffmy7P/X2zbNv+jLS0rg1TLA204M0nmtKTXpJqu6dAiwChEk+CFkv1NEET7Y4SxAHaMapWFCuI&#10;468NCo1vMHQXrPl4WV4Qd+4RA7zzZhz5GnISc/XsoX33DqfzkqOcgrjb58wN0jv17PK8Ur29fZfs&#10;bGmTHTlu39EqDU07pbF5Z26ebwvuGQwGg8FgMLigv9OTBXE/undxP26CFiqI63PY8Hz4SgniCHhp&#10;W3a2yvPfb5QL3/5MDn/6bdnvwZfkRw+8LD9+5A35yWNvy0+ffE9++vg78qMFS+VXj7wi45d+IPd+&#10;8b18sGmbbG5u6UjIYDAYDAaDoRehEEHc/xw/8feMQ3alIG7fvkP3du3proK4Xbt2ydZ138u7826X&#10;+eOHyt2j+8pdI3+T457rtbgGUdxdo/rJ3UcfKgv/OE4+fGyeNDdsDVMrPfR+C8Qt2D/BNRB7jhS8&#10;4KQpg6E3g4dpxInACgEEbUgXz5MLHNrBPHGfzx6eNy02izrcQ+93Yv8YIjXEh7CMafOeK6rTcbEX&#10;r9+kpfeifXEBhsGnO24wLoj0kkBbo8ppMBgMPrh+Hfw5jCVdIoijkI0sVBBHYd30CaeGxSwPmprf&#10;lw11N8q2psulvmFaXvimydem8m+cEhf8P/f32o2Xy+atD8rOlm/DFEuHqFPiMBlxcuwtp8NpVTgc&#10;hrTQk3wpnZZygzbHCeK0Wr9agX7POtDPQFrwXf2g/drA0JPx9Vsv5+fFniCI8y1U9RRBXEtru6ze&#10;uE0+WLVBXvp4tTz//jey7Mt1sqZum+zYaRulBoPBYDAYOmNbw/a8v1MKQVyf/jVTQpeqothn7pJx&#10;3AQtVBCnw2/d2RrWUPnRLrtkVUOjLPpmnVzy7gqpXfSW/Py+pfKj+1+Snzzymvz44ddzfFV+8jD+&#10;fk32uf9F+R+5+30efjk4Me6cNz6VV9bWBaI6g8HQO8H1Q2zg9SZgrQvlqtYNRa6d25qfwRCNQgRx&#10;/3jc6WczDtkbBHHHn9Wx33LlbbOD/6/eVlpBXHtrizRuWi/fLX9LXr7pcrnnmMEyd3Q/me1ZqyUp&#10;lJsz8mCZd+IQeXfeLGmq3xSmWHok7adhnw5hett8aTC4KHbv0Qd90I0vTYjHQJ/gjAI90j0IR+sC&#10;ok6Rizt0Br4S9px9B+wgLS2K84nakGfUuIDrjBu3500gfYb3lcNgMBh8cP26YgRxi9/7JD8O7WbN&#10;sND17IxyCuJ4Es7MP5b3hLim5g9kU/2s4FS4jfUdJ8RB8NbxylS8GvUKWbfxyty1y3P/77jO16lu&#10;2X5pEHbz1nmys6X0v37Wk6de2NAin6jJC2GoRAcxUSKNuIkdkxAmTB0PxESI6768AE52tBETq1aL&#10;p1mU4AIOmMXZ1hOn+6sVOvdMD2XnNRC2IU7ShFtofcaB6aQ5IQ55RQHl18I5pulzWAg6TfzC46aR&#10;tl7QH+C8uf0lKf80/UW3UxSj+qMG2ofh4+raB9oZV//aSXW/QLrlxH08R6x/lBX/1/Uc1Uej4LYl&#10;8tTtgTLr5499mfUNIj/XdgLhkSbC6Dgg8onrJywH4gMIS3sRF+3HMHF1DOh2jLK1t+OLFxYVJYgb&#10;X9NZEIc51gRxewInwX2zcau88OG3MueFj+XKh9+Sqfe9Jnc894G8/Mm38u2GrXZKnMFgMBgMhk7Q&#10;grjbn3jL699EshcJ4n4665F8WLw6tZKCuJacf/bi95tkyrsrZMjTb8vP739RfvTQK4FdP1vwgvwk&#10;R9feH+Wu/fihV+WnTy2T/R56UWZ+9JV827hDWna1h6kaDIbeBK57xa2x9ERwDShuHa43g+vJWLMy&#10;GAx+lEoQ16dv7X6h21hx9BRBXOuOJqn76gtZ8fwTsviK82XOUQNk/lH9glPgfOu1JERxc4/qK3PG&#10;HiKv3nqVbF61UtrbyuNLc30+616JwdDboPecCt3ndZFmTzEO9Fd9NsHX4z2956eBvTqGgY+YBfCR&#10;GbcQf5lxwSRoO6vVhzUYDNnh+nXw5zCOwL9z7yWx2wjiGP/6k48Ji1keNLd+KfXbHpENdTNl7cbL&#10;ArHbpq3TZH3dJbJ2w6WyftMNsnHzbbn7M3L3pgbXO06Iu0gamnGq3KVSt/VuaWn9OkyxtNCKbgqA&#10;6LRCTOICYhHejyLSdMGJOo5I1ydG4USJyVpPymSayVNPtlmcD9jDeG659GKXrkeXcAyiRD2F1mcS&#10;GDfqi4d2xnzpw14uekUxqly8D6dJO1gu4+rF184uo+Kn6S8USsUxjSAO0EIu2JQ2nu6TUYhzmpPK&#10;SbKe3KOFNaP6GO+jLZGOjqOJ/NGXXVEbGfVsp2mHqHZOev5QX7peopx4IK1wrjcDgjjOrxMP792C&#10;uLE3vxWW2o8ZN98epDdp8rTwSnHY2douazdvl+VfrpNH3/xCbnxqmZx/z0sy/qZnZNjlC+W3Ux+S&#10;Y699Uv489xW575VP5Yvv66VhR4u0215pKnAO9Y0xXY3ubFs1A/M02qZax3zOjfALDAZDz4AWxM17&#10;7l2vfxNHxiW7TBA3f8lEboL2NEHczrZ2mbfyOxn+3Dvy9/fjZLgX5ee5zyOefltGPvuO/PPCVzoE&#10;cPe92GEvBHL3LQ1OjcNrVHHtmOeXyc0fr5J3N24JBHalBH0OjPG9Dfheh+9++M4WtX5gqD7Av8Y6&#10;gF6nwHoErrlrJ5WCXqOoNFBmtz4wLuBaMd9FkC7T8gHPJNZ7UXaOQyDs4I8X4wC/HDbqtSS2Y9za&#10;GsY6jAluvKgTUYhC7WU+cetKBkM1ozcI4gDXHorasnDU+NODuBTTlVoQ17y9QdZ8+K68/9Dd8tTk&#10;s2T2Uf1kbmpBXL/g1amLr7xAVr36vGz7frW07Sz9K11ZfxhbDYZqBv0osFT+Kf1N+EGFQO9Jujal&#10;3SNjODALdH0U4i/Tz02yj2D4QuvKYDBUH1y/rhhB3KMvv50f83azwoK4W0YcnI9/4wkjw2KWBy2t&#10;a6Rh+0tSt2WerN88IxC74eQ3nBi3bmMoiKu/Lff3tXsI4rY0TMtduziI29Ja+hPiACwwsC6w4KAF&#10;JO6EyA1E3MPEqxcCcE8LbtyFWPyfixM6XSxG6EnYNznxPvPGJ64hHSxYpFmQoKMAZgXjIQ0Npumz&#10;C+XlhAv6Jvhi6jMJjOfajHRhi7YZ11zQdrQZ8uaCEhePGB99xgXzZhikgTi+evHFRz3oNNhnGF+3&#10;JdJykaW/4BrTwt+FAIuLzItEuZLSo51gFOLsc8sJsq7ceubina4LhNFxffbyHsMhTcRDWN0/cZ9h&#10;2JcRRjvHbl8EUE9IE+2iF2nRJ3Vc3HfBfsB82VdpG9JAf+X9KMcXYZgP4lUrepogDtD5gQccP827&#10;Ceyy0oK4jVua5Lllq+SKh96SIZc+In9/5l3yo1P+Ij/4/Sz57+Nukf92/M0Bf3raHfK7GYtk7tJP&#10;5ZNvNklTBTd5ezLY/r4xrKvRnW2rZnD+8vkg1QA97/l8QIPB0P3QWwRxfztv8RRughYkiLtxQT7s&#10;/qPGVVQQt6OtXWZ+tEr+4cEX5SePvy0/evBl+fUjr8iEVz6S8974VAY/9WaHAO6BlzvbHQrjfjL/&#10;hUBIV5sLd/cX38mO1rYw5dKA9YLver0N+nuz+VQGQK9FRLErvttzjaLSz2Ga+sBaSSGAv4z4vvqE&#10;H8n1lihivYfriS58a2mauOcT8+m1Lh+j4hVjL+vYNlQNBj9efPX1/HO03wkTOvtCEdzv+NOvZBzS&#10;BHHJaG7YKt8ue1Peu+8uefJPZ8rsowbIvaP7JgvijjwoeLXqXaP65uKdLssfnCPff/C2NG2tD1Mu&#10;HTgfgll8N4zdjOcbxwmO5b79At5jfITR8wZs03tDGPMxb3PvBMRYH5U/0mMYAOEwVzJfpIP/67kE&#10;daD3ORAmzldAeMw7uh5B5IF0ouqU9Ydw/D/TwDXkyTCgr/40GDft3McyMl3kx3pBG7jrT6x73T5J&#10;ZQSYJtsIPo6uK9ZvlP9BIA+0lW77NPmnKSfDxLHQ9TjGR76FQNvmlpN1gfqMA/KOSiMOfH7ArPaj&#10;PRkXZUgD+m9oH4PBYEhC+65de/h1pRbE7d93cL/Q7eyMcgnirh++WxB3y9E1YVHLg7a2zdLc/LFs&#10;bXhaNm6+Weq2TpXtzZcHgri1G3FK3OXBK1NxWhxemQoxHERx+Dv4/8bpsqVhobS0fh+mWHpwgQMT&#10;Ax0Q36THcAgTBU6omDyzgGmDLvQECxvp7GSBdoqygvHcOtFpRjl12hlyUc76pF1xRL6+uoQTifuw&#10;Pcox086LG4bXQZTRBepFO5pufN6La2vtuLkLe1n6Cxw2hs3ivLlAHro/kLgWlb+2Mwpx9rnldO+j&#10;XnmfYVxbdPq+BU4dH23pfpHQzy3DuND1kvRFxEWcE+4+f1Fpaxt9Ydjfwbi+0tvx8RMPlFQQB84e&#10;2veH4XReFrj5lUoQN3X6jCA9fJYCX3y/Wa5Z+Lb8durD8h/H3ih7jbxJ9hoxU/Yafl0Hh12bu5a7&#10;PuIG+fszZ8u5s1+URe9+KfUNO8IUygeMExgbWIe+cSAOGEN0/KTFlHKAebtjYHdAd7atWoF5gH02&#10;aszHvAA/Q/sq+BvPR9I8hmcK844bF9dcf0cDfQRhMJ8xHuzEtbRzE2zjYg8YB86NWZ95g8HQNViz&#10;dl3+2e7JgrgfzX9+NjdB/+6KWXvYlSSI0yI6nD5SSUFcU2ubXPX+StlnwfPy02c+CARxfR5+RY59&#10;YbmcsHS59H38tY4T4u5/yWt7IIx7+HXZ94GXZOaHXwUCu1KC9ZJ1YyEJ/N6fdtOhHEizPmGoPJL8&#10;qXKBPgyINQH3h6V4BmhbpX1wrlGU+jlMAvLFM4q6oK+KT3fNKMmPdYHwjK/rmUD9ws9FProf4Lr2&#10;aX31gbTZTgir2wrPPO/57MY19AMdB22v1wl9a0jF2IvwvJ+1Hg2GakCpBHG/6ju4rOuISXDtuWjG&#10;Ld4NzjjWjhkXxL3j4aeC/5daELezqVE2rVopK5Y8FZz0BkFcIHQbmSyIg3DuriMPlsfOGS9vz7lJ&#10;Vr3xouyo3xymXDrotXYw7VohxmPG0WO8C4bxjde8h3lLj+0uYSPGdr12o4m5xufjIE/cxzzjllMT&#10;eWO+0Gs0LjGXudDzTRyRtwtdf0iHcynJuZFlho1R0HakbT/tB2l/jdRt6rPPpa9+AN5HGzNPH9kG&#10;PvjscxmVf5pyap8kioV8r0n7jMRB93m3fng9aa1Q7w1nsUPXl8+3jEMhcbWd9j3SYDAkwSeIww8c&#10;MIbgBw/uvSQueGZpfgwiI3/8US5B3PSh/fLxyy6Ia2/Mca007XhXNm+dJ+s3TZe1G6bI9+svCoRv&#10;HewQwuE0OPy9actUWbMh9/ema2VT/RxpaHxJWtvK94Ubk4GuU9A3kfGez+EiMBkxXJZFAjqToAt9&#10;Ly7vOGjnKCsYj04jwTThRKRxrlzwejnqk3GiGLegzXJFOX0AbGFargOSJg/9hUGXX5cX7R4Fnb+b&#10;T5b+UgonUgNp6L5G+uyI6/NEnH06vu8LGqBtiQpDJ9jt3wDjRrWlti8qjG7rrHVM+3228V7UF1RC&#10;2+j7Age7cS/uS2A1AIK4oYMGBXVxWu1A79wZR8RhPZNlF8QdMqRF53fAsZO9m8AuKy2Ie/2z7+To&#10;a54MToPba+g1efHbXiOuzxGCuBm5azMDkdx/Pe4WGXbZQrntmfdl49amMIXyQT8fZNovlYC7cBQ3&#10;bpcLzDvr+FIJdGfbqhWck6LGfFxnu/kYN+ckLehFxY1bICWT/Bk8t+7zGAf6W7DJYDB0f2hB3COv&#10;fOr1b+LIuGR3FcThBDje97GrBXFXv/9X+cmCF+QneAXqfUvl7+57QQ54+CU58JFX5RcPqFelOnaD&#10;+yDeY2/J/8jFm/HBl0F6pQTrpdS+GL9z+r6PGaob7HOV9HP1plbSehV8ukr74Fyj6IrvRFHQa5JJ&#10;/qQLvT6XFXqdGT6qC/q/8EV9a536e2rajXhA+8NZNj6T7AXo52etR4OhGvDEM4vzz9C+p0zy+kIu&#10;u6cgrqZe29MdBXHS3i4tjdtl48rP5LVZ18qcsYfKgjH9ZXZaQdyovvLYH0+U1/8yQ758dYlsryvP&#10;nqOef0CMrRjP4/a39NgfN4czjG++5T2O2fAHMG4jPb32gvsMg/kbcx7CcJ+A113QN2ZcEOkiLvLR&#10;a0qckxAW8RhGx3XLifkI91F/sEnXl46LTxdIi+kyHNJhvpxPWQYwan1L11Vcm2novRp8ovy67jkv&#10;s4wIw7oncE/njfgueE/ng7KxnLoNfP6iTl/HBfE32w1EWBdpywngGtPC38UC9jG9uP2wKGh73L08&#10;tDPvJfmyhZQL6bPO8JkWKKd+Ln1tGoVS17/BYOjdKLUgDr4gxyCySwVxdxxbXkFcrgpl164dwatT&#10;m3a8J1u2PyEbN98avBJ1Z/t0adx5Re7aZVLfcKls3napbG++QnbJNYEorm7LHNne9Ia0tHwrbbsa&#10;w/TKA+2k+pw9PXmkZZZJRjtiLuLupQUdlULSYDy3Xpimr76IKNvLXZ+Mw0VAEI6Zroco54H309J1&#10;kKKua8CR8YXT9aWdRx9YFteBiqpzH3Q7ZKnfJCAtXdegdu6BNHbG2Zcmfpowcf2YcZFOFJLCFFPH&#10;cbbF3XPBLzJ4HjTQx2gbvxRWK8ohiLvgsAH/EE7nZUG5BHF4VSrSw6tTi0VbW7s89Nrn8g8T5nSI&#10;4CB+G3JVB4deHfDfBJ/XBH//zZgb5B/+dY5ccM9L8u3GbWEq5YN+Pvnl0v1CHAXGxRjMxYa4sSIr&#10;OE8kfUlGGDDr+FIJdGfbegu4GJS237Kv+ha1APQ3LhgSmCv04otv3tELO/S9CPhfvIdPdzER6SF9&#10;vdiJTz2H++IBuKZt00wCbXL9E4PB0P2gBXH3LvnQ69/E8cBBw/PxwT79a68L3amKYp/5zy/kJmgh&#10;grifX7J78wKbrRUVxLW0yo0fr5JfPvSS/Pjh1yRXlpxNEL+9ID9e8Lz8OPh7T5vJDkHc2/Kz3Oe1&#10;Jogz9AKwz1XSz9W+VncE1yhK/RwWA7QP2yqrXdwwLvT5Z32ALtiWUT45QL89S/7af87aN+PsBehz&#10;Z9mINRiqBYUI4vYdf/ZMxiFNEJceTXWb5N0Fd8jc4w8PTojDK1MhervLs2ZL3juqX/D5+Hkny7tz&#10;Z8m377wmO8rwylQCYzLHexL/j5qP9JwVN4YzjC8d3gMxXrvrKHoPlGFc6PnAja/nGZTFtVPvNTCM&#10;K1zS5YybB33A+hLjunnrdEGE9UHbGJU/91LSrrUBut4wh/vWsAC2QZw/xzkXdrhgHqCv/ZCvFrXp&#10;PUZd9igb4+IDacsJ6DZx26sQ6P5XCLTtcf0n6hklsoQltO1xcXQf18SzlHX9MmoP2mAwGHxoaY8W&#10;xMG/c+8l0SeIi/R1yyWImzZktyAO/68M2qR911bZ2fJX2bb9KVm78SrZ1nS51G2dFpwGR0II19hy&#10;Re7+pbK1YZG0tq3Lxd3VkUQZoScx38Si76chJijXWQAwocGh4cKGjy70ZFkouJADupN9HOImdzoQ&#10;+IxClO2lqs8oMJ7PNr1x6mtr3ktLNw1eT3IyfOH0l5IkaAdOI0t/0e2QpV+khS6P68CnsTPOvjTx&#10;04SJ68eMq9vIRVKYpDrGlwYIGpC//rKh6bMtzm4X+tcz+jnS1+O+vFQDIIjDfIq6wOtP3XkziXjN&#10;KuuSLL8g7oidOr8+YyZ5N4FdHn7ta2Gp/SiVIG5rY7Ms/3K9XHLfa/Jfj7tZ9hp9a8epcKEQrhOH&#10;QRB3jfyvw6+R/3TMjXLc9U/Jsr9i/i8v9POJsZx/p5lv9IYAn8e4sSIrtG1xYBjf+NLV6M629RZw&#10;nkszF2CcL6ZN4hbE6GfCX/PNJ7o/ZxFgaz/Ct5jJ5xD54n6aeZ/Qz7DBYOjeWLHyy/yz3aMFcfOe&#10;X8pNUC1uI38665E9Nks1u1IQ19zWJnM+/1YOe+qN4GS4ny54IRC5QRgXiONyf/tsJveBcG7hm/KL&#10;B5bK9R9WVhCH65gnAMxfGPfxf1zH3Ib/u3OXXjPw0TeXYa5DPKYNYt0najOOcyPiALCdcfUGGcOx&#10;DBqc92gP/q/na6StNyFpI+8jn6wbKwDi0h7EZ574dDc9WefaLvwNW6O+g+r03TbDJ/6f5K9z7Y3x&#10;QJQXPktUXF2fsA35MC7i6U0lH2lzOYDyMJ+oPuWDthntHwWW3fUpUQ8ou24/hPH1m6TvREgL9/R6&#10;aNr2LBR8fuLsigLtzBqPYH2AGmnbRK/jpgXbMSltH6LsJZg2+oLBYOiMBQ8tzD8/vUkQd860q7wb&#10;nHHsf0THvIvXZOH/32zdEdZSadHS1CgfP36f3HfKSLl71EEyZ9TBuc+DA2Gcb90Wr1TFSXL4fOaS&#10;s+WLJU/J5m/+Ki07ynsIB+c+7Y+AmGNcP0jPWXFjOMP45ifeo3/pQucRFUb7HK4dep5xfT5CzydR&#10;YehXIGwWxNWRvgffIg600ee76Xk6i5+s04wqN8C04/w5vUbt9hNej2o/IMpv1L6FW38aOn/3e0/a&#10;cgJx7VUI9PeYrEA5GBf14ELb6nu2NHRY3/dCF7pP4dmPg247l6jzJNtcMG7WeAaDofrgE8RR1FaI&#10;II5iOs0qEcQBu6S9fZs07fhA6rctlLr6O2VD3c0hb8rxVtm4+Q7ZvHWubNn2hDQ3fybtu8rzKxIX&#10;SZNz0v0kwHHRiz5xdKEdzUKhJ/w4Z8tFXDw6P3GOa5TtxdZnEpi2zza0Bb+E+BwQxi3USUgb3xcu&#10;i1PH+nfDZukv5W4HQPd7jTR2xtmXJn6aMHH9mHF1G7lIChNXBjjD7Itx9NkWZ7cLLC4zLe3ws23i&#10;vkBVC8ohiJs89OCDwum8LOgzeGSDzq9UgrhTzz4vSO/2OXPDK4Xh4683yoxH35Ujpj0s/5+xM2Wv&#10;kTfIXsNn7CmG08QJcrnPQyY/IE++86XUb2+WtrbyieL18wlwQSbumQf0M4W/+TwmxcsC17YoMIw7&#10;vnQHdGfbegs4z6WZC/SCViFgXr425VzmW1QiOOeksZXQz4Hv+cIiJ65zgVDbmAT6uLapZzB0f2hB&#10;3AOvfen1b+LYjU6IW85N0EIEcb+48Kp82P85YXKFBXHt8sTX6+WUlz+Qfo+/Lj+77wX58YMvy4/v&#10;e7FDDBcliMtd//H9CPO8/I/c34c9+YbcvWK17KiwIA6M21zAHKU3m/T3ch/djQ+9uYR5BXOd/h7s&#10;pg9wjkNYLbwiCT0XuuC8h/x1fprcrNI2usyy2Qcwnq9OtY+A+/QR8ImyggxL21zwPuxifJdRcVHP&#10;Se2HuK4vA8TVJ+zWm1k+It1yQfcRty8lgd9x4jaHGUb7cknrFToswLb1PYdIi3mA7As6/SxrlWmh&#10;1zR9bR6HYu1i2VBODf1MxwkBs/i1RDEbxVH2EsV+lzAYejO0IA4+mtcncrjviRPmMw5pgrj0aG9t&#10;kZVLF8lTk8+QeSf8VuYcNSA8He43e6zZgriHk+TmjBkoL14/TdZ98r7s3L5N2ttK65NGAXM3xnU9&#10;78HX0NDzQ9ycxTC++TbuHpEUJs6ONHNTmjD0GaLmnCjE2RZ3z4X2YV0/mD4X2ioL0pRJ25iWbll4&#10;Pa6Ntc+qw9HGNOtgjO/uG2VpuyxtkgbMG8wCXR++72WAXuuPq1sgS7mQF31g9CnYkgWwC/1V+9Hu&#10;2BEHxkkqk8FgMJRaEHfNnffWcQwi9+07dO/Q7eyMcgniJg/pH8Q9aGBN8P+d2xvC4lYCbTlHc7Ps&#10;aP5CGne8LVsbFsvW7U9K/bbHcn8/Iw2Nr8nOlpXS3r5Jdu1qyrEyTmnSJKbvu4ufaaAna0w+7sSH&#10;a7zvIu5eWuhJP42zQmi7XUeB9+LSi7K92PpMAtOOsk0vJrrtzeuFioQYP87JiHJKdX3FLYwBrH/X&#10;AcrSX5L6fSkQZU8aO+PsSxM/TZi4fsy4SCcKSWGiyoDniV+C8QnH1m3zONvi7vnAhVF+4dFOftYN&#10;kN4ICOJ+d9ihQX3g0503k3juEXsK4ib8tn9tOJ2XBX1qx3RyKPocOcG7CewySRB37MlnBukVK4h7&#10;9ZPv5IzbFss/Tpwj/37UdR1iuOAkOI8QjsQJciNvkP0m3i03PblcPv5mozQ07QxTLD308wlwzEha&#10;9OCGIp8/Po9R4wAXvvTGGvLAXOQ+93rTxkd3buJ1lAVpIU2OLXje8X/fF30NjD9Il/FA2IpyJs1F&#10;iKvLhb9xDeA1d/wGEIb1BsJW1FGSrRpsL9QZ4um53d2gy9IGhE4fiCtrFJA2bHHzRX1HxWW/ZFvD&#10;DrYN0gE4pkfR51u5/TYrWB+gblPt0/jammD+YFqwLkDknwRtYxJ02kn93GAwdC1KLYg7sH/N7NCd&#10;qih+NG/JKm6CFiSIO6fjFF+w0oK41l275L2NW+Smj1bJ0Uvekx/n7Pnpk+/JTxa+0SGMewB8SX50&#10;39LdNuf+/vFDrwbhfnTfi3L402/LJe9+Ia+s3Sw729rDlEsD1otvruA9EPMp51/4Bnpu8s2dnFfi&#10;5k4tEnHTwBzJOdz1TfQ8BGJu53yk51MdzoWe90Dt18AWXtd+BNPGJzdW+B0xLZiumybKS18OdjBf&#10;1x/F3/SN6Nto6PR1mwH4m+n67NZtivphfSBPHRef7vzv1if+j3ggyqbBMLqtygn6zb76SgLrBGXW&#10;7UDoPqbrS9ezXjPQ9agR951It7db7/ThfW1SLJgv0s6CtP5tFOLGBd3P4qDbJY0NaDOG5/eItIiz&#10;l8hqj8FQTegtgrg+A2pXaXsKEcQxbtkFce3tsvazD2TZ/XfKc1ecJw+eMUbmjDlE5hx5sNw7uq/c&#10;O+rg/N/zjuoXnB5356i+uXBHy7vz/yJb1nwbplRZaN8wqCfl46QdZxnGN9/G3SOSwsTZkWYOSxOG&#10;PkOUj4184R8wnI+ubXF2+8B2QD4avO767klIKhOgbUxDn2/Ee3FtDPjC0fePs5FgfDdsmnISWdsk&#10;CcwbTAv9zPnqU4NpJ7U9nluGjSsXfDP6omCxe3C6/FH+mguGT+ovBoPBUGpB3NSZszr90AIMXc49&#10;4RPEDTykplPkQgRx3LhHWvh/ZQVxIrvaW6S1rV52tnwvzc0rZMeOD4NT45qaP81d+zbn0FbWHiBp&#10;ctYLC66TlAaMGzWZxjmKaZzINKDDA6ZxQPSCiK/MaZyfKNuLrc8kMO0o2/Tilps/nZSsi8IE041z&#10;nPTitLuwyOv6C5ELOG4M59qfpb8k9ftSIMpR1XZGOaK6D7r2pSlnmjBx/ZhxkU4UksJE1bG+HuUM&#10;x9kWd88HXZf4m3WDLwKG8gjixtcMPCqczsuCQgVxfS97KSy1HxTEYUGvGLz5+Rr5w51L5VfnzJX/&#10;46jrZa/h18lew671C+HIEbkwI26Qvz35djn91iXy4GsrZO3m7WGKpYd+DgE9tsaNwfwizTB8Hn3j&#10;AOYbPf8iLMg0dDqAnh98dDc3eB1zjk5TE/Ma5l0XuJYkrEKa7vhLYP7xxQH1PTc+bOU92KbrI8vm&#10;DccxpKcXGEA9NmZtA0KnH1dPUX4MxtqoNiF95WW/hI2+OgaS2s23MIL0cC/K3iToPDX0cxS3sMT6&#10;dOPHQT8PUf1QI0se2hdNk7bBYOg6vLv8g/zzWoggrk/t2Hz8gN1AEKdPeyOTBHHYYGVYiOMqKYhr&#10;27VLvtu+Q174bpNMfvtz6fPIK/KTR16XH9//ktdWEqfDIdz+D78s57/5qTy3eoN827BDSiuHi/9O&#10;xnvwFXzzFH0I7TsQnFd89wj6GL68AfgYuA+fQEPPn7AhCjqcCz3v+XwZ7UcgD9cf1N8R4S+lBeOg&#10;TFFzP/OOqjvtd7t587rPZiDKP9BpRrWHXgty12x0fbr3XDBcpXwI+nFxfTEKul7i+onuh7qOfX2D&#10;/rUGbXTrXj8DvvYE+Bz5fNhCocuQNV393GVtY5SR5cGnW2bdz+KQ1Qbtq2d5npPsJXQ/qlS/Nxh6&#10;CvCDUj4f8NF8PpHLfzjpjwsZh+xNgrhHX347+H+5BHGS8013bNksG1Z8LJ8uejAQxT1w2iiZM2ZA&#10;hyAux7uPPFjmHtUvfFXqQXL/aaNl8fQ/yRfPPy3NDdvChCoP7X/pOTPtuO+LS8TdI5LCxNmRZg5L&#10;EybOr/Gtg/no2pa2/gidD+e+Qn1jII2vltVGHxg/ro0BXziuUcbZSDC+GzZNOYlSlFeDeYNpgHbl&#10;dz2UPalNmXZS2XQfj/ouBOg+5vPBswL2M7009Q8wfFJ/MRgMhlIL4i6acctajkFk6HLuiTSCuGI2&#10;7rtMELcLy59tuc9m2dXeJG27tktb+zZpb2/M/R+vSC318mgy0kzOesLN6hAxXtTEE7XJCOgJthho&#10;hy7JAdCbuPj0Teysj7jJN872YuozCUw3zjY6Q6Be8NE2F7IYx7ggnB4XyEvXrYZ7T9ulofuL21+z&#10;9Bfd79HmWYHFMuQXZadOHzZrRH35I3QfBAspZ5owcf2YcX32EUlhdB3oMkRdJ1CnXJT02RZndxSY&#10;Hvol/05a6K8WfPHCouBVqaiTYk5e1eypgrihR58QpPfEM4vDK4Xho683yjUL3w5emfp/HjOz4/S3&#10;JEEcTpHL8b8ed4vUXPKQXPXI2/LXNfVhiqWHfg4Jjq9RzxY3dPAMEXwefeMA5xp8unMpvxhjrHPv&#10;+WzzgWGYDr9gYwzB8817vvlM34fttAFxkY6ej1z79PiKcnAegN2sD1KPcUiH1915BzZmGdO0DSD+&#10;DztA7VcU2gZu+ugbDINPPRe7Cxu4z/pDvrqssE3Hdcdh3fagzlfXJUAb09Qb7UGcrECdans0dD3F&#10;QZfLLUcU2HawPQ3S2kIwbCF1YjAYKgctiHt82RqvfxPHbiOIm7+knpugPkHcj+cs2mOzVHPfUybl&#10;w+KEudXby7TBGIGmtjb5dluTLFy1Vs5581MZ+ew7Mvipt6Tf42/IQY+9Lr965BX5GV6R+tCr8qMH&#10;X5Gf3veCHPT463LcC8vk8mVfyDPfbpBV2xpleyvWgkr7SnzWi288572o77ucOzDnuOC9qHkWczrT&#10;d/0IQs+hev7T82JUXECHcxFnO6C/c9NX04iyLQmME7exQ78jLgznebfdmH6UTdpuHVcLoHzlJeiH&#10;ufXG+tR+fhSYT5Z6Kwb0r7P4yhpx8X1txfCu3xcHxnHbk/XtWx8j+L2k0PK5wLPJchWSpn7u4vqS&#10;D/x+Afr6B/sZGAdtQ1I/Q9sxrFv/SUiyV4PhosZTg6FaUSpBXORrpCoEVxB32vlTvBuccWTcsgvi&#10;csDrTpsbtsr6Tz+Qjx6dLy/ecKk8ddEEeWTicfLAqaPkvt8Pk/knDpEFvx8uj046UZZef4l8+NgC&#10;Wf/5R9LW2hKm0jVgPekxO+2474tLxN0jksLE2YE4vBeFNGHoM7hztI4L/8HNP862uHs+aD+ePhDn&#10;xCjfOg5RZdLQNhay7wgwflwb67LpcLQxi6/rrlmmKSeRtU2SwLzBJMB/43cNEHWSBKaftAZJ3zYu&#10;nPavCm1rH5hmmvoHGD6uvxgMBgNQakHcHy65ajXHIDJ0OffE7aN+vZ+76d4bBHHdEWkmZx0Gkx0c&#10;Jb1wiUkVkxsmWneCofgE8fTCAf7WEznoQjuCxUJPxCD+j3KgbCA3o3UYvSimwXBxk2+c7cXUZxKY&#10;bpxtyI/htFMCZwn28B7y1g4TbERcOD6+9BmPhP2sY3yyL4C+cuk6gx1wOnX76PhoPxdxde4CZWFY&#10;2In+iHyQbppFP9YT7WR8fOq+hvuu0+nWM8IzLp1KTdzTSFPONGHi+jHj+tqJSAoDuxlGl8Gte9YP&#10;6sXtJz7b4uyOAheZdb277VKt6ImCuAMO/10nhX2fYSd7N4FdVkoQ931dgzzx9ko5c9Zi+c+/u0n2&#10;OjJHnBLnE8KRgSDuuiD8YVMelKseflv+uraygjg9N+g5icDzinv6mefz6I4DTAvPXNSYymddz0OA&#10;zzYfGAZ2xdnrjhV6DIoavzA+MIy7AEK7o8YgPQfosS9tudIAdjMt1z6imDbQ6SMdF0gvqh5Y/rh8&#10;9Vynw+g6QvvFgTammQuYZlR7x0Hb6s4bup7ioMul+0QU0B4M77ZNFNLaQrD9CqkTg8FQOZRaENen&#10;f+3C0J2qKPQmaE8UxAGt7bvkm4YmeeH7TXLn59/KRe98Lqe9/KH8/qUPZcyS9+SfF74mP8Kpcfct&#10;lQMfeUVOffkDeerbdbJme5M0trYH8csB1otvPOe9qLknbu7gvah5VvuNCBNFhtE26HkxDnHhkuxL&#10;kwfvR9WPD0lx3O+6bn2Q/F7qtltS+gDncO0D0l9B2nGIavOk+tRg/LT1pv1ql/AbkwCbEDaNbT5E&#10;fcfB+guva380qm3iQBvdOGwrfCKMj1E+dSFAOfgdKM4Xj0OaZ8cHXc9RdRfV/1xoG+LWbXCP7ZW1&#10;/tLYq5ElrMFQTZhx8+355wM+ns+Pc9kdBXEHDqhZru3JKohbvnpjPu7i9z4JrpVTEAe0t7ZK05Z6&#10;qf9ulaz9eJl8+cpi+fDx++T1O66TF66ZLC/MuFhe/8uMQDD39duvyOZvvpId27aGsbsGenzX46m+&#10;7luDAjCn+eIScfeIpDDaDvytgTi8F4U0YTBf4b47b/F61FpYnG1x96JAfwGfqFvOp2nXoDSiyqSh&#10;2y+N/+cD40etgwJ6PQ2+HqHXan1ryIT2D9y+mKacRCFtEoc0fQvQviAY9Ty54N4ZGGVvmjbU9Vxo&#10;O/ug/fY09a+/f8SNCQaDwQCUWhB36nkXOSfE1dSHLueeKJcgbuLhnQVxDevXhsWtXqSdnDF50jGK&#10;ozvB6MnKRz1Jukg70aeFTi+OWJCKq4s0zk+S7YXWZxIYL8427eSirBpwFrggF0df+rwHB0o7Xi7j&#10;nCHdH6IYFT9rf2E7uoxbcCO0cx1F1HFUP9LOtUvG4//dNNKUM02YuH7MuHH9LylMXBm0k+0j+4HP&#10;tji7o6A3JsCoL5fVCAjiTqsdGNTL0EHZBXHThvTrVLfg8YcNmBhO52XBAb89tpPCvs+Qcd5NYJdJ&#10;griBQ0YF6b346uvhlcLQnnOgNmxplFueWi7/fdwtstdRt8teI2fKXkOv2VMIR+KVqSNvkP/fCbfK&#10;8dctkjnPfySrN5bvNQb6+dTg3OAuLujweuGAz6M7DnBTLm685zjgPstRtrlgGL3AocFx0H3e9fiN&#10;+TAKLIOOr79QR+ULMIwe+/Q4FDe2pgHL5s7hGsW0AdOPG2f1OK4R1Yc0ouoxqp/5kMZGwpdXGui5&#10;2tdmtAGMgy6X7hM+oG5Yh2nKRqS1hUDaCBvXTgaDoeuhBXHzXv/W69/EET4S44NdIYj7weyle+tN&#10;UJweom0C9X0fu4MgDtjZ3i5rcnm/X7dNnvpmg9yz8ju549Nv5caPv5YL3vpMxr/0gfw+x/Pe/FTu&#10;XrG6InayXnzzFO9FzT1xcwfvRc1FOm4SMa/p79h6XoxDXLgk+9LkwftJc7NGUhydbxq6m1S8HmcT&#10;53Bddt81H6LaPKk+NRg/bb1pv89lnJ9KsGxgoaBvhXISXHNwbWBeOmwSaKMbh2mlYZq6iIPeAHWf&#10;uSzQfTjuu5KG9pnjyqHDxdmnv69FQfvMKHdaW4G09mowvPvMGgzVjkIEcfueNukZxiFNEFc8cGJc&#10;/eqv5es3X5KPnrhfPl30kHz79qtS99UX0lwBIRzGR4zHaXwYUM8DGMN53eeLICznONA3R8fdI5LC&#10;6DnQLQfi8F4U0oRhHbjljLpO6LnRtS3O7ijouVDbnWU+JZJsJxgOLMRPYVzQN3/DdvoG+NTQdRRl&#10;J+JzXxTx3bpIW05A55d1LdIH3UZRdQd79XOSxWdBmoyHNHzQPxj29TO0Ce9n8WvRt1GnUevAhZSr&#10;1PVvMBh6N0otiDvpnD99wzEIxEnEocu5J8otiKsdNDj4vwniOk92SY4IJiVsnOkJCMT/MclFTUaY&#10;gDBh0iEB8X9OnLjuOikAHT3fvULBMmgHDISzA5vSTKic/PEZhTS2F1qfcWBacbYByJf5uc4GnAw6&#10;IgwDso5wz3UIAYaDg4b7+NTiOqSX1mFBPjou8/Y5W0TW/gIbUc8Iz3hZnLWovoT/R9WRBsvJeCgj&#10;6w6gXe5zmaacacIwb3y6YN5IJwpJYZLGFvQFXXdID/WPemVcn21xdsdB5xVXrmrD12+93OMEcX2O&#10;OOGvOr+0gjgwDkyvWEEc8dzyr+WAP94rew2/XvYaeq38GwjihnjEcOCwGQF/cdZsuWjeq/L8B1/L&#10;pq1NYUqlB8YflleDcwOeRz2G4dnEdXeM5HOFsUuD4zc+EcZHhsHfGlG2uWCYqHlBLxZocAxx83Xh&#10;i69tixvjGca1Tc+9KD/GIncOTgPaFleGYtogTfoYwxEGZF3ocT+qXQiG030nbdsDaWwkmGaSTRoo&#10;C+e5qDx8fcQHXS7ffEigHunHuc9gEtLaQqBMCJum/gwGQ9cBPgmeVYj2e6wgbsHSH+pN0EIEcfud&#10;MCEfFoK4Tzd3zUn/eNvpzvZdsnVnq6zf0SzfN+6Qb7fvkK+3NsqK+gb5qG6bfJjj5/Xb5bvcvabW&#10;tjBm+cB60fMpwXtR81/c3JE0z/L7pi9uEtLO93HhkuxLkwfvR9WPD0lxsvhCPqSJS/9Nt3naeT2q&#10;zZPqU4PxCylfIdB9rdANLX6XQd0B8LGi0uR1Xb9JYP27cehLZkmrELg+ZJy/mQS0K+sgTRvr7wRJ&#10;62lp0+Z3JraXC+2no9xZfOYs9hL4vsY4ler3BkNPwdTpM/LPB3w0nx/nsjcK4l7/fFU+blcJ4oCW&#10;HU2ydc1q2bDiY9nwxaeybe330tywbY9X9pf6Ff6Anq8xL+L/GDNB/E3/BfSNv5xLGR/zM+LqdTTS&#10;N6/G3SOSwiA/hnHHe8ThvSikCcNy4lODvgqI+uLchjlP3wNd2+LsjoL2hTinZt1rIaLK5ELbiTwx&#10;J+s1UZQVZcfcHtfGJMIhDaSLT93HfPFpJ4iwuo+in7EeQKTnIm05Ae07wE72Z7RlFr+F0HUX5Q9z&#10;vRtEPixbFF3o+G7d6rrz9RPUpY7r5uVS14F+bpA28wXdsQNpp4G2pxi/2GAwVAdKLYg7+tSJJogz&#10;GHoz+Gz6HE6DoauhnetCBCi9FRDEuXNjFk4fuqcg7ujBA/8cTudlwR6CuNqx3k1gH+PA9HAaSynw&#10;yTeb5I93LpX9/3C37D12ZsdrUUfcEJwEF7xCddi1HZ8jOgRz/3709fLbqQ/Lg6+uCE6H21nGTVR8&#10;qWR5NfQXdn75j9sA4Bdid9xn+DR0F8KibHPBMK5NhH7mNdIuYPjiR6XpgmF8tqFe9Zd5MOuCCO2I&#10;K4NOP4luG6RJX7cTy+m7FgWGQ16Ejp+ENDYSTDPtJmraTTa0JdOOW2DRCzFRQB7IC2GQd9YFm7R9&#10;k+Bz4La9wWDoXuiNgrj/OWH3Qntg02HDO22S+qgFcX93xawuE8R1R7Be9HxK8F7UnBw3dyTNs3rO&#10;zjpnpZ3v48JlsS8KvB9VPz6kicMwmP+zIil97Zfr9NP6AdzocustqT41mE+WeisGusxp7PMBfVTb&#10;TR8OPrkL5IF7vs2+KDAO6lGjkLQKAfMpxId0gfpBWmBSG+uwaXxK+LsMj43nKPC7ki9NpJHGT/ch&#10;q71EljoxGKoNkybv/qFDWkHcP5xx/ouMQ3Y3QdzxZ53j3eCMohbE4W9c6wpBXHt7m7S3tkjrzuaA&#10;7W2tsqutPbxbXmC+5ppGHDH++sZuzF9akOQSfk/UfAswnO8ekRQmbrynrwRGIU0YlgGfGqi/uPKj&#10;blm/rm2FzlNoC8YD066ZuYgqkw////beBMqKIv/3dN6ZeeedOTNzet6cOTNz3pz3+rVLT/ff/qtA&#10;2Ysi+1LFUlDsCAKiLC4ICqi0KIoLIgKi0oBsKoILgivtAoK72Aot7qLQioIbsu9LzP3mze+t342K&#10;zJt3rbv8PpzvqeLejMjIyMiIX0Z8KxMxWNhxUmHnGDFEWFsLGuPlvFuYOB9uk85xAm5vK5NYTcZQ&#10;Qe1X7iOK7HJEqR8ck+v6DTrWIMn7GLR9e57cJZTNtW8XbNtoa4qiKKnItSGu7yVXJK1fI870Q86G&#10;qCFOUUoPXptBQZmiNCYMrBE8K/VIQxxfJ56OXIa4ug7tpvjDeV6o6jbsY7m/dAxxew8d8488mb37&#10;9ify+3zzV/6n2fHDrv3mxQ1bzcQlb5gmox8y/2P3afUGOJjjuvn/j+k/9Zxufnf5AnPNwrXm020/&#10;+znkDzlZYsObWF4rnNAJWzCy+31ObmQyHoSVTcJtgiZ7WG47H5YZP8NwpcfkED8LuwnnNmETUfhO&#10;Tj6lc2PPsoUdQzbnIEr+0gxG5LkLO3bA7WT5ZPpURCkjce0rCDkJm+qcRD3eVE+5wD6wL2yDfWcy&#10;Ocb6gKLAMTFKnSiK0ng8+8LL3rVa239IZoa4bsMSfQNU1ap6rR9OFYzTl7x4tlwEla8/hZrW9kta&#10;JHVJDXHBsF5c/Tm/CxqjwsYOfhc0dgGOl+mafaKO92HbsXxBcUCUffD7sDHcJkoams5Qd1FjO8L8&#10;g2IQec6weETk8QYZ8RBfBG2Tqj4lzCNosTAfyJg5bL+oM9S/qw4YayEvniOXKYtxGyTrmHDBX4J6&#10;w/aoRwnKwbwyie+iIOsmV/tgfkFtCciYOZ0+gHWPtK42Lu+37OtMxszpXl+ZlhdEvQdUlEpEGuIQ&#10;o7niOFt/GHXDeqahGtsQhxhZlqdUDXHFAMZp9LOcc4DwO8arVDEXxlhsx/4aP/F/jsccQ1zjE9OE&#10;jV2ptpGxkj2mckxHHkFE2YbH4BqLePyy7jDuMfZhWrtsYeUOQ8aPYWVORdgxucBxukxt+D+OPyjW&#10;43aItzAe46esK8RjUeJTbINt2R4g7pttzUW6x4kyutpzprC+guJ1eTxRFNRW0I4Z21Kp6pZ1E1Wu&#10;axD5Ix95HPgdn0U5rxLWVdRzpShKZaOGOEVR0oLXpj0JqCiNjbwxDLrprVS2f7TBjO+SuSFuZvcL&#10;EnVLFdoQd2777s5FYJeCDHHbd3yfyA+/54KDh4+ard/vNs+9+6X3pLj2Nz1uqq552Px25ALznwfc&#10;a/5jj7s9I9z/M3i2+fP4JWb47JfM0lc/NnsOHPFzyB9y0sMGN5n8DtcOb0RdN5+8Qbb7fX6eyY1n&#10;WNkk3CZoQg1lcuUT9LkNb+blRIMsW9hfTnKboLJJZP8U9QafxyDLZpPNOYiSPyZxsA3ahwSfQXab&#10;kMhjlnUU9dyDKGUkzDOsTACTVWzvmDxJteCF75m3a0GVcIIuaOKL5wr7DpqQSgXrA4oCt01VJ4qi&#10;NC7SEDf3lS3O2CZMxWCIO/Xhl1vKRdBcGOLe+eEXv4YU1ourP+d36cZKQMaDjE8wRslxSqZHvCG/&#10;wxiJWAmf27FI1PE+bDvuOygOiLIPfh9UPy6ipJH7Rjxhx4z4HjEB4gMbpoPwPdOiPrnICrmOm/EE&#10;hPrhgh7S4hzKGMcmVX1KGNcwVuK5zifYB8sPoU3Jc4BjxTFwG1dMzTYt83EteuIzfm+fP1mPEtY9&#10;yiCR5cZPpMdnBNcM0qBOM4kBGY9DrmPOFJ7joPgWZeVxRYmZJfb1weNGHrJ+7baI77E9vsM26dRX&#10;NuUFvD5c16yiVDpqiItLDXFKKYLxkONjNkatQsFrzI63KgX5RxtKMGjXrCddB1QUJQq5NsR17n/x&#10;VvZDUOhc7KLaFr+2F92bt8m9Ie7Ifv3LYkXJFbw2KzUoVYoXOVEc9pc+lcjOrV+YiV1beXWDcdYe&#10;N1Npdp3TELfAH87zQrO6y95O2mcODHF4Khzzy5Uh7sTJk+bAoaPmu5/3mg1ffW+ef+8rM/+lTeb6&#10;h14z51+/1PwfA+4zp4+Yb7rd8ZS59fG3zCubvjbfxrY9fvykn0P+kAsRLjghwsUQ/N+1cBC0+CMX&#10;7NJd3JFlC7teuY1cDJNw4QKSyPyDboxR5qBtWDdBRjPZ3wSVzSZoX0Hw2MIWLbM5B7LuXItrYZNm&#10;bBNoO0GLTag7bIM8JKnapYRljLIwxTIFnTOAsnKRLazsNvJYXGmwiIrvIVd7kO0l3fMkCWrvLlBO&#10;bpvvBWxFUbIj14a40L9KzBO2IU6a26CmvQYnLZK6pIa4YFgvGAds+F26sRLAWMGxXsrejxzHgmSP&#10;v1HH+7DtWPagWCjKPvh9UP24iJoG8RO3DZIdBwF+F1avQYYefMZYJkj43hVvpKpPiWw3UvkG9wWp&#10;jg8KMnHJ+AdCXkGkOn9B8a99fQDUt+taspVuHCiNe1GUTv5sf0HtIcp1T7nib3mf4pKrjUe5pij7&#10;2sq2vFHuJRSlUhkx5trE9fPbaYudcZytM0fftIlpqFI3xL38/seJtGqIU0oFObaWwtwQy+qKtyoB&#10;xHKldL4aC9mudR1QUZQo5NoQ17pbn6/ZD0FZG+KGVqshTlGKCV6blRqUKsULJ6DDJr0rlUozxH23&#10;yz0hJQ1xeH1qvtjxyz6z5oOvzVXz15i/XLvU1N3xtJny5Hrz6kffmKPHTvhb5Z9Ui4Tyr84ge9GH&#10;BC3+yEVU/MTNqFzUwE080sB4ZC/OyMUd7hef2QuP3CZoQRL5cxsblhvCdrxBRhlR1rA+Qy6oIC2P&#10;C+WwF+lk2bAt9otJC6bBT1nOqAtVTBO0SAWQd6bnQJYJQntgHWFbeZx2/eP//A7byUkapKWBDLIn&#10;cGTaVMgJDvwOkL99LIDnLGgMQL3wmFBXrjyCsI+XaZGnbEuucyXbEo8hU+Q5S4Uss04OKUpxs2z5&#10;Su9aHTDsiswMcT2TzWeNYoh7ZHU3uQiaiSHunAvrjX1YbH1pW7JRopLhOOMaR1hnQeMaTSnIwwXS&#10;yXEb45w97gN8hu1YFgjxBT5DuWT8ATgOBe2XhG3HcS/IoIKyp9oHy+s6piCwPRQlVsAYi7EedcF0&#10;2CdiAtS9awzmdiiTXf/IB8dt16cE3yFvGetC3GdQ2lT1aYPteVw4JsbshQBtytXeUIZU5yWd2At5&#10;YXu5H+zX1V54nlDHLlDvqDPGmxTOC+LsKO3JBnnKsqVSOvtA3TCdC7aXKApqU6hH+zyifoLqkP1B&#10;FCFPSbblZRlTtRlFqUQQo/L6OePeZc44zla5G+I2bvvJ+0wNcUqxw/jFHjeLFV5jGNcrFcbfhYy9&#10;Sw22a9c8rKIoiguXIW7WQ495fUluDHE1K/2QsyFqiFOU0oOTREETWIrSGGDil+OG/vVMQ/DqcBri&#10;IHvcTCWXIa5Lu3aP+sN5Xmja66p19j5di8AuBRni3tv4QSKvfHL8xAmz7ee95pn1X5p7nn3fLF7z&#10;oXnt423m25/2+lvEOXkyv0+JkwsKLrBAx++hINMMF9tckxG49uQCR5BcizP2Ih5k38jyc9eiFJAL&#10;HzZYQLIXpGxJc5MkVVosarH8smypFmLSmcxgXqlu7jM9B8wfxxl2rEGLQnIRLUiuNpOqXUqCFgFd&#10;+aZa1ItSXso1UYi4x7UthTpEeSX2NZZK9jmSC7phcrURnl/XsSiKUlxIQ9y0VV84Y5sw2Ya4qtY1&#10;W/1wqmD8ZsnqwXIRVJrbIPxffu+SGuKUSoHtPCi+VbJDxnx2bKbUg7phPVX6HIq8Pwm6J1aUSgZP&#10;MeY1csbcFc44ztYfrrllM9NQ5WiI27b3sF9LilJ8yDmpUjFXsbyueb9KgfOPOp/nRsawQXPWiqIo&#10;NmGGuF5DL2vwXSo1r677gX2Rp1bVi/yQsyGLalv8yl50V0OcoiiKouQWjIOTu7ZMjK32uBlFTEvl&#10;2xDXrMcVL9j7bHL9KudCsK3PdrjH/XVvvOXl06ZrL/+T/ACjG54Et3v/YfPTngNm596DZt+hIwV9&#10;OhyAuQbHG3YDTVNXmOmKf3UVNBmBG1F8Z5uqkGfY0xCQTj6RAX8BZ5ut+V1QHqkmCbAPbMPjpPB/&#10;fI7vg+Bx8S/zINQFFy9ZL3Ixk2ns/WHbdBeakA/TpoL7TeccMH9sw/8HHWsQ+B7nUKbD7/gsKC0+&#10;x3ZRJ3ZQdtY1hGN05S0n+lzfc79RFFQ25IGysF1CKI/dbgnOi9w2lezzJI87TDyHEqYtlUlPRalk&#10;aIjD66gyMsT1HZfUJxSDIQ5PhJNlysQQt/yr7X4NKUp5wXbuileU7GFcqjFQajRejIP7JdQD6kNR&#10;lIZkYog7c9zkb5mGKjZDXLqLn2qIU0oNzplCpWJ+Z3kxR1mpyLlENXw1hO0aMb+iKEpUcm2IO69D&#10;tx0cszw1hiFufJe4Ia5N2/hr4dQQpyiKolQyGAfvrK03xOGJb/bYmUpMS+XdENfnmpX2PrM1xD37&#10;wstePpjMa0zy/WQ4RYmCbYgrB2gIxKJWpcN+UyfPFKX4mbd4iXe9whB304pPnLFNmGxD3Lmtq3f5&#10;4VTB+M3S1aPlImjT2n5JZcIrVOX3LtmGuIWffePXkKKUF2znaojLPfIPIPTJ8alBHaGuov6hSrlC&#10;E6XGzYriBn9Uyr61kg1xT732biItP1NDnFLM0PiOubJSgUawoD88rRTKcc42V3DuV2N9RVHSIdeG&#10;uD+17bQXaamqVjUz/JCzIYUyxCmKoihKJZMLQ5w9Pndp3+FFfzjPC836T1gq9wc1HbfCuRBs670t&#10;v/hHnox8JZmiVDrlOLmifyUYRxc3FaW0mH7/PO+azdQQ12yA/TTJ4jPEnTV8XNIiqUvyqXJn3LtM&#10;DXFK2cJ2roa43IMnnaFu9YkR0al0MxjjZm0zihIMxy3otMWrnHGcrTPH375TpoMa3xBXk/SHt2qI&#10;UxRFURRFqQxybYhjTEilbYizM1BDnKIoiqJkz8zuFyTGVvxuj52pZBviqtt1eN0fzvNCs77j5sv9&#10;QU3HLHMuBNtSQ5yipKYcDXF4rQD7i6DX7FYCXAzWV4UpSmlwy53TvWt23MTJ5uqlm5yxTZiK0RBX&#10;1bF7Upn+MGpi0iKpS2qIUyoFtvNKjlXyhT5VJH1oCKvUJ5Dw6Tn6lBFFCYbjFuSK4Vw687o7Dsp0&#10;kBriFEVRFEVRlMbAZYibMmeRF9cNunJsg+9SiTEhVdWqepIfcrqxF9ztDEbWtEn6PorUEKcoiqIo&#10;ycwfUG9ow9Pi7LEzlTCmMj2Ud0PcgImz5P6gbA1x8pVkilLplOvj9yvdDCZNgZ9+vtn/VFGUYoaG&#10;OPzMjSGuxvjhVMH474+8PEkugmZriMMrU+/5cItfQ4qiKIqiKEpjsHff/qSYzhXDuaSGOEVRFEVR&#10;FKVYOHEyd4a4jdt+SsSEVKMb4h6+qNo/VEVRFEWpXLI1xNW075BID7Vr2/F9fyjPC836j79D7g9q&#10;MmqxcyHY1tpPfvSPOhn5BBZFqXRoiMNTEcoJmMD4dJBKhK+NvX36LP8TRVGKHcQluG4Rp1y6cIMz&#10;tglTs0Hx9FJ+OFUwbEOcXZ4zx05OWiR16ZwLhyW2hyHu1ve/8GtIURRFURRFaQy27/g+EZ+1632R&#10;M4Zz6cwJUxPpqFI3xC17Ya2XrlWXnonPtu9TQ5yiKIqiKEqx4zLE3Th9thfbpWuIe+uzrYl4sl4d&#10;R/shp5v5Pc7fxcX22XX1r3OjRndu3WBRPpUmdm3lpcXr3dQQpyiKoijGPDisV2Jsndy1+A1xTQfc&#10;dIPcHxTVEPfMhu3+UScjn8CiKIqiKIpSDNAQN/3+eTkzxBV6wfHUR9bM4ALoaYtXNSiPGuIURVEU&#10;RVFKDzXE1UsNcYqiKIqiKKVJmCFu5HWTGnwXptc/2bJHxpRQVeuawX7I6UYa4mZ2z70h7rGRvfxD&#10;VRRFUZTKZeU1FyfG1kwMcbXt2yfSQ63bdNzsD+V5oenQu8bI/UFNL5/rXAi2FWSIkwvOiqIoiqIo&#10;xYCMT/rdv94Z24Sp2dDGX3CUhrgz5q5oUB4sispFUpdsQ9z4dz7xa0hRFEVRFEVpDD7f/FUiPqsZ&#10;NNwZw7n0+5tnJdJRf2zR4dd+6NgoqCFOURRFURSlMnEZ4sZOjs+n4qf9XZj+vv6D72RMCWVtiMPr&#10;T+WCfBTREAepIU5RFEVRjFl14yjPKI6xsRQMcedcOrOv3B/UdPgs50KwrUfe+sY/6mRGjLnWy2fe&#10;4iX+J4qiKIqiKI2LjE863/2mM7YJU1EY4pauWcQFUJchDoui/D5IZw8Zldj+d3fMNSNe2+TXkKIo&#10;iqIoitIYqCGuXkVhiDt5whw/etScOHY09vOIOR77efLE8djnJ/0NFEVRFEVRFBcyroMyNcQ9//bG&#10;z2RMGVd1Nz/kdDO/x/lbudieK0McFvqZXg1xiqIoipJsiINx3DV+hsk2xLVo2/FbfyjPC00H31kj&#10;9wdla4gbMOwKL59ly1f6nyiKoiiKojQujE8yNcQhPpLxElToBcdTpSHu3mUNygODG78PUmMb4k7q&#10;QqKiKIqiKEoS7238IBGfdRs+2hnDuVQphrjv9x/xa6owHDt80BzctdPs/+l7s+/HHebAzp/M4X37&#10;PHOcjca2iqIoiqIo9ci4DsKrUhHbpWuIe+zl1zbLmDKuFIa4BXXNN3Kx/c7aeiMblYkhTuazbPQQ&#10;/zArl1defcOri1ade/qfKOT26fGbM/xUFEUpZ1bfOSFhiMtkbO3dobCGuD9csbC53B+EJ6C4FoJt&#10;zX1li3/UydT2H+Ll8+wLL/ufKIqiKIqiNC7SsN/itledsU2Y8Ep5GS9BVS1qzvZDqoJwah4Mcf1X&#10;b/BrqLAcOX7c/HLkiPn+0GHz9d6DZsveA+bLPXFtxk98Fvu5bf8h8/OhI+bw8RN+SkVRFEVRlPIi&#10;U0McYjmmowodn9qUoiHu5MkT5tjhw+bgnl/Mnu+/NT9/9anZsek9880/3jBfv/uG2fb+22bHJ/80&#10;u77ZEttmlzl5QuNSRVEURVEUFzKug2iIu3H67AbfhWnp39dtlDEl1LRFh5Z+yOkmlSEuk6fYyCfN&#10;qSHOmKuunejVxV9vmeJ/kgwMc/iuS59BiXrD7zCJffr5Zn+rYLCNKz0+i5KePPDgI55pD+nxexSC&#10;yh513+vf35hIl05ZFUVRSo3X7rvdtGmbuSFuYMd2if4SOr9N9U5/KM8L54y8/9/l/qBsDXFtuvby&#10;8ln3xlv+J4qiKIqiKI2LNOy74ppUKjZD3G+nLW5QHnzG74N01vBxie3xVJHOf1/v11B+sZ+d8cPB&#10;w+alb3808z792tzy/hfm6rc/Npe/vsmMjGnYq//0nlw39u1PzO0bNpsVW7833+4/5KdUFEVRFEUp&#10;LzB/xvis7qrrnTGcS2qIy55jRw57T4Pb/tEG8+Ezy8xb86eb1++/3ay7Z7JZN2OSeWX6TZ7WzbzF&#10;/OPB+81Xr682v3yzxRzet9ucwGtUFUVRFEVRlARf7jqYFNtlaoh7YPlzH8qYEmoUQ9zsunpD3MKr&#10;h/uHWZnA5MW6gPlL8v2PP5pLR41NfO8SDGp2Osmy5U8lTGxBwjZhIP++F49MSnPP3+b73wbDp7sF&#10;KVXZCfetT4lTFKWceWfRLFPTvoPX343unL0h7s9tqg/5Q3leOOumtb+W+4OaDZrsXAi2NW3VF/5R&#10;J8N88Beu+QSvJYjLmBMn+Lu+qkBRFEVRlIaUgyHuN0vXrAxbAMVT4+QiqUu2Ia7F02/6NVQ4jsfi&#10;tn/88IuZsnGz6f/KBvOXp94wv31srTn1sXXmtOVvmNNXvm1Oe/JN8/89uta0fvZtc/Xbn5gXtv1o&#10;dhw8Yo7E0iqKoiiKopQTiE8Zn/W77hZnDOdSpRjifjyQH0McnvR2cNfPZvvH/zTvP7rAPDl6gFlQ&#10;1zym883iPq3N4r6tzaI+rcyCns3Nop4XmGWXdPP+EPqr117yTHHHjx31c1IURVEURVGAbYgbdGXc&#10;IzVlzqKkz1PpznmLX5cxJZQyzo0Fcmu52D65qxricg1NYzB92eApbKwnPFHtmVUvek9cg4HNfuIa&#10;zHM28ulqMJ/BxIb0kG1WCzKmIY3cjkpliJNlh6mP+aOc0qSHn66yS5gXtlUURSlXsjXEDa0uuCHu&#10;V+e27560z6iGuJtWfOIfdT3bd3yfyOfzzV/5n+ae48dPmp/xKq3vd5tNW380G7/63ny5fZfZGfvs&#10;6DH9C01FURRFUZLhE2xXvJj+61I9jWr4RLaUf5mYY6QhDmY2uzxnzF3RYKHUVmMa4vB3Cz8eOmre&#10;/XGXue/jrabvmvdN0+WvmlOXvWJOW/m2Of2p9Z7OeOZdc/rT682pj79q/u2xdabNs2+bS1/dZGZu&#10;2mL+uXO3n1v5wLkSvHXAhnMuUf4IMQph+1KUSoV/wJur66yU4B94u+azFUUpHNIQ13P8JGcM55Ia&#10;4rLnp82fmA9WLjF/v2WMZ4B7on9r81i/VmZpX6ileaRPy9j/W5vlF7bx5m2f++tlnnlu+4fve69Z&#10;LUf4JizEjTYamypK/tHYVGNTRSllbEMcYkFc17Meeizp81RyGeL+2KLDr/2Q000qQxw+4/dRJQ1x&#10;94+6xD/MyoTGNpfBDAY4mMlcrwqFiUya4lxPeePT5RBsugZApGF6V+DIABZCXgwyoVSGOAa4QYMP&#10;THlR85JP0UOdKIqilCMwxNW2b+/1dSNr4pMl6agoDHEDJroXgi1dvXSTf9T1SEMcfs8XO/cdMu99&#10;ucOsfGezmfvCP829z71vlr/5ufnnlh/MT3sO+FspiqIoiqLEKTdD3JkTpjYoT7qGOORxzvJX/RrK&#10;P0dPnDDvfP+Lmb5pixn4ykZzNsxwj79mTn10nfnNsldM7PgcZV4d+/4V74lxFzz9pnnw821m95Fj&#10;fo7lAf+AEfM1NjxXmHvJBWH7KnfC/pBVqVwwP4l2gbnZSoWLrqnePKIoSv5Ytnyldx1649RNUx3x&#10;kFuuV+gXOj61KbUnxH352kvm7zePNo9c3NUs7NXSLPaeBhd/Ihz1YK8LzMO9W5hFvVuZJ67s771C&#10;9cvXXzJHDx70cyovuB7pWu/jedXYNHs4/uobtRSJxqYamypKqbN1d7IhrqbvYO+anv/k80mfp9Jf&#10;p85ch3RSqQ1xPZqv5GJ7rgxxENPPu/ZK/zArD5jUWA+ZOLYZ9EF2kClNZGGBEQcIyH5SG4JJiEFq&#10;VBMbB14obODhvqMM0NwWT8pTFEUpRzY8tjArQxzSsO+l/KE8b9iGuKq+49wLwZZchjg8FY755NIQ&#10;d/z4CbPv4FHzzY97PCPcM+9+ae59boO57qHXzNB7XzADpj9nrln4ivnb3zeatZu+Nt//st8ci6XR&#10;V6gqiqIoigIYn6xc844zrkmlpmOWJfKoV3U3P5wqCKkMcactXtVgodTWH0bV/8FcoQ1xh2Ox2cqt&#10;O8zgtRtN1Yq4EQ5Ph2v+1BumzbNvmSb+0+JOXbY2Xl78/uhac/qKt8xv//5B7LPV5so3PzJP/et7&#10;s2XfIROL9Pyccw/mQ/DHhfIPGDGfgXkZ1x87ZkPYQiD3rYuO2YNjZn0qCmG7cD0FB+DawxymnHfF&#10;Hw/jsyhzwJhPlW0Pwv/D5lnRx6CvsdOhT0r1B8aZlBdlwXZIoyhK4yANcXUTpyTFbmGqFEPczkP5&#10;eTXpwV07zcYnHjSPDe9hFvW4wJuXXehLztUupEGudyuzZFCNeeb64eaj558wR/bv83PKP4WMTTn+&#10;uNYOuW+NTbOHdVmJx64Ew+svH7EpvAO45uy06FvCrulsYlPEmdiOD9+B0I8hv6C3zmlsqiilzdd7&#10;DiXFdrk0xJ3VovZXfsjpZkGP8xcxgMPrUe0MMjXENW9T7aWfdc3l/mFWHgza0KFnAgYangc7yJRP&#10;cwsbzOR29sBlB8Rh+5PwuFx5SjBwcbtUr03ltpnWlaIoSrHz0bOP59wQl3KQz5Kqmn5J+6vqOcq5&#10;EGzr0oUb/KOu572NHyTyySW7Dxw26z/fYRat/shcOW+N6XTLk6b59ctM06sfMr+7fIE5Y8R884dR&#10;i0zLCY+acYvWmef/8ZXZ+sNuc/iovj5VURRFUZT6BYelq95wxjWpVHSGuLGTG5RHLpAGyTbE4bNC&#10;cejYcfO3j/9l/rjyde+Jb3g63LlPvmaGv7rJjHnzI9Puubc9A9xpj7+aXG589sRr5rSlq82fVrxu&#10;Bq7eYJ7cst0z2OUazGnYE/22MJ8RZmZJF869uBbDuM+wOZl0CNtXucP5KF1YUQjmS3mNueYz5Xxn&#10;kML6AixMutJQ+N5G/nFykFzpQKblxbHz+0z+0FtRlOyZt3hJ4jrsfdvM5DgoRGqIy4zjx4+ZQ3t2&#10;mR2f/NO8Mecu89DAjt4T4GB8c83VeiY577u4aW7ZsO7m/WXzzeFYHvmmMWJT7s+1dsh9amyaPTQl&#10;YfxWFJDP2BT5SSOcS6602cSmqfaHvssVe2psqiiljW2IQ0yH6xkxnvw8lcbdNvUF9gVUyrXy+T3O&#10;n8EAzmWIu7M2O0Pc3eNG+4dZeTBAzDRoC3uFqZw8CSOqyQ3k2hCHQTLKdkAOnjqQKYpSjkhDHF5/&#10;6ho7wzS6c+tEP0nl3RDX+aLjcn/ZGOKefeFlL4/a/kP8T3IDzG0PvPSBGTD9efNfh841p3SbHtPd&#10;5pTauzz9D/jZfUbs97tN1TUPm1sff9t7UtyeA4f9HMoT3Diivu0xFf/H57k0oOOvuZBn0F+oKUqp&#10;w4maSoxROemmJgGlXNm7b7/XxqGn1m10xjWp1HTcikQeVFXrmsF+OFUQpCFOvvoUalrbr8EiqUvS&#10;SIff8dmeAr2C9NDxE2baP78ypy17xZzx93+aU5943fx55etm2LoPzKg3PjJtnnnLezpcA0MchKfF&#10;4WcsTdPlr5r7Ptrq5ZdL7EUCzMfIMQG/R52jSYewhUDuSxcdw+G8GuJVpXTJxz1MGKlMkrhO+OQL&#10;Lkrip5wvRVn5nURug9+5DWIu3lfxOwn+j/JgrlX+gTP+z3s/yNUnZFNelkkX5RWlcZh+/7zEddr/&#10;7jkN46AAuQxxhf6DDZt8GOJ2Hc5trHrs8CGz8+uvzOZ1L5iX77zeLO7b2jzSp6X3FDjXXC0FY9yS&#10;Pi3Mg/3bmbfmTTe7v9nq55gf0F83RmyK8QT52WMU4L40Ng2H46rOoZY25RSb8rrG99L4hmtZ9jP2&#10;tZ1NbIrv0UfJ8iIP2W/heFxobKoopcu2vYeTYjte7+ka4oaNu6GBIc4PN4ORhrjxXRoutmdqiKtp&#10;38FLf9voyn1CHOvQFSBGQXb+GBgkHKSCBkDCgTlKOTAwRdlWDqJhAa7ML2w7IMspB11FUZRy4YtX&#10;VpneHTI3xLnG6JTvRc+STA1x/e5f7x91PfkyxL3/5ffmsr+9bP6/y+ab/9Btmjml5/3mlB73mlPq&#10;7olpZtwM1+M+77P/MuRv5sK7nzMPrvnQ/LznoJ9DecJzZo+/cmzOFWETYuUMbtR5g2/HaUr5gHOL&#10;c4zH9lcqnADTGF0pR/Aad7Rv6OHVm5xxTSqVjSFOvGoVT4vDZ4UyxB08dtzcuXGzt8/TV200pz62&#10;zpz52FrT4uk3TZtn3zZNlr+WeE2qLDP1m2VrzelPrze/i30/Y9NXXn65hJPuUFhfiHkNxAa5gnMv&#10;roVAlifVXEtUwvZVypTrcVUa+biHCYOxTyb3N3Iu1+4vsODH74Ly5r1VOn0J9sN8sf90CCsvoKm0&#10;kmNhRWlMbrlzeuIarZs62xkHuXTGvY3/BGObUjDEHTmwz2z/8H3zwZMPm+dvHGUW9WlllkQ0xHnG&#10;ud6tzOqpE8zWt9eZvTu+MyeOHPFzzi2NFZuGzf+xPBqbhhNWh0rpUC6xKec8Ide1i9iVc99BBjUX&#10;2cSmPFbIhcamilK6BBninnrt3aTPU2nQqPENXpnqh5vBPND9vEkM3FyL7TO7hwd7QeJTcG4aPco/&#10;zMpCGrwycfvLgcYVtHJQiBIQshypBks5iIdtK7cLG8zkYBqlDritBoOKopQj/1r/WlaGONdTXKta&#10;1JztD+d5oVnXoYeS9tdtmHMh2Fbnu9/0j7qeZctXenkMGHaF/0luWPXeV+Yv1z5iTqmdFn86HH56&#10;v/vCE+L8p8b95wvvM38a/4iZ/NhbZvvO/X4OhQHjOm4GMW5zfIfwf4yR/GuoXMH87ZvZfNywV+pk&#10;TtS4SSlt2L6DYlm0A8TDcsIG1zg+w/1AKtgvMC2E/4dNasOMib+EtNNhciodcybKjgkkpA1rw5zI&#10;wjEqSrmRC0Nck+tXJfKoV8fRfjhVEKQh7uwho5LK0rTX4AaLpC79/ub616zAVIfPtu0/5NdUfoGB&#10;beYHX5k/PL7OnL7yHfObZa/Enxbn63SY4azySmH705/5h7ft3bF8cmmIk3M7hf4rdPTN2C/6exuW&#10;yY71MiVsX6VMuR5XpZGPe5ggpGktk+tLltWOr7iABwXd/6VamAyCadJt62HlBbIPlE//UBSlMEhD&#10;XK9Zi5xxkEtnzG38P9iwyYchLtd/vHFk/16zbeN68/6jC8xzN1xuFvVp7b0yNZUhbkGP883DvS4w&#10;C3u1MM/99TLzzyceNN99+J45tHe3n3PuaMzYlHMQrvGCZcpk7HRRrjFcWB0qpYOMn/JNPmNTmmvD&#10;5vv4dDooHZgm3WuY137Q/jQ2VZTSZfu+ekPcW59tTVzLL7//ceLzKOp58cjXmTau6l1+uBmMGuLy&#10;gxxkMhmkZKfvCo74XZTBJOq2YQOjDRfPIAyIcuBBPvhMLvinyg9w+3ILchVFUQAMcQM7tvP6Ofx0&#10;jZ1hahxD3MX7kvbXdbB7IdhSi9te9Y+6nnmLl3h5jBhzrf9Jdhw5esx889Nec8+z75n/9+I55pTe&#10;f4s/Ec5/VWqSPGPcNPMfe0z3nhI37L4Xzcff/OTnlH9woybHTZfwPbbLFczXjkHkWJ8rKnUyR58Q&#10;V/7gHPN6cS1aykmhIIUZ2+Rfabrk+sMTuUgapLA/WAE4FnvfYdevnHzLZT+lKMXA55u/SrTvvz2f&#10;2StTi80Qd86Fw5LKgv/LBdIg/e6OuYk0MNXhs09+2efXVH45fPyEmf/JN6blM295RjgIJjeUwfv9&#10;kdVJZbX1m6WxNN4T4l7J+RPiZH+ZzYQ7xgMsOMh5Eiw82PMpEvTN2M41R8I8XPNN+Azlts3aYcZp&#10;e18or0yP38PGNIDjwPG49huWltsBlI9xsx0fsw5lXI3fcaz2+MTFnXSENITpw+anMD7yfNrnAXWB&#10;ctllRT27YoowGL+zfMiD+0Vd22B7bMttuF3QObDzZ3qmjVJufAezF+8LKPw/7I9/uD3OH8T/o+wo&#10;rzSQucQyE1e9Yxv7/IQhY61MYH1CqDcJ6zVVuwpKHwbThOXtIqy8hN+n6gMURck9aoirFw1xED/L&#10;tSEOr0z9ZeuX5vNXVpnVUyZ4hrhHerc0C3ukeEJcz+aecW5hzwvM02OHmncWzvKeEnfwl51+zrkj&#10;F7FptuO2a7xgHq4xN50YjmAf2I7jGvJINzZFWVzxGD4Lig04LjLGQDlccZesQzvmQjxs16HcJqqQ&#10;P4kaQ3A/9vHlMjbluWFbkW0Sx26D88S2Q4XFZ/Y5wP95/FCUcufrvgTHzPxcYpkJy87zgp+or3Su&#10;3XzGpiyX/blE7j/onLlgmrA260K2pyD4fao+QFGU4uL7/UcSMZw0xOF3fh5FtiEuFuNu9cPNYBZ0&#10;bz6agdvozrkzxHHR/8pLL/UPs7KQA2M6gwTAwMq0MsiS8Psogwm3tQdjm7CB0QZl5GAZRVHqgEFR&#10;ugOkoihKKbD9ow1ZGeImd22Z1K9CTVt0aOkP53mhqvvI3XJ/2RjiOImHn7ngy+27zIOvfGQGTH/O&#10;/O8X3mtO6RlTdzwhzmGI854aF/vZbZr5n+ruNp0nP2lW//Nf5uCRY+bkST/DPCHHS/zE+CpvenFT&#10;mY/xj+fMHn/lWJ8rWP5UsUOpwfMWNDmnlAacNJMTiVHB5BnSBsXjaPvIH9cxJ+LwE9cC0kFoR65J&#10;OrkNfuc26B9YZn4nwf9RHkz6yL4E/5exeVDsjbLK7Sh7PzYsk2tyU1FKGWmIm7XqY2dck1JFZojD&#10;E+FkWUrBEHfk+AmzfMt2M3DNBvOnFa+b3z621ns9auy4GpSzgWCc83X+U2+YuR//yxyK5ZcruAgS&#10;NBakAv277NddQr/s6rc5VrhiRKa106VapIFcCwfcF44zrLxYoHARNL5IIV8X/B7lkttDPL4odShj&#10;tlTbuyTrWZYlaMFKbiPHejkm4yfyZbzMz9KJLxm/Iw+5QERJGLtAaLtIg3PKz/C7HZfI/NkOXHKl&#10;BTgWuQ+X8L2rHlkvaLd2+0FZ0ll0RP52vctyRa1z1gHqLxPC5oN5vEHXEWF6lCUKOLZ005Cw8hLW&#10;Y7p5K4qSPdIQ13n6fHcs5NBpixs/PrXJhyFu39Hcvib/5IkT5tihg+bnrZvN2w/MNIv7tTPL+rZK&#10;/cpUGuJ6tTArrx5s3p53t9nyxhpz4Jfc/zFutrFpLsZt13jAtPZYkm4MRzgeoyxheQSNqUwfJoyB&#10;NlHjLjtusYVyy7gp1fYuyXouptiUdWsbziDkS1AGuR9si/+zDUOu85dtbJrP+5J0YlOUg58zLuex&#10;o3xRYR3kIzbl5zjeIHg+XOmDyDQ2lfF8WLzMdpdO3oqiND4/Hqg3xOGpcOwn0jXEVfce9A7TQpEM&#10;cfPrmg9m4OYyxM2uy8wQh9fBIf2wiyvTECcH6qiDBMAALgfFoECE28gAIwiWI9XgIAe2KAMJyupy&#10;2aNMGEDlgB+lDpAO20Y5JkVRlFKjFA1xzXpcuUPur6qmn3sh2CGbcRMne3lMv3+e/0l2vP3pd2b0&#10;/FdM1TUPm/+1zz1xM1y3uy0jnKXuMzxVXfOQWbh6k/lqxy5z8HBu/5pUEnVMBxg3czn+8ZzZ468c&#10;63MFx+9yuwkNqkOltMimfWYzwSInTu2JJfQN/C4ob5Y7nUkyOWHnmjiSE1KYpMNEE/+f6hg5gZbp&#10;BJyiFCvvbfwgcR3ctOITZ0wTRcyDqmpVPckPpwpCkiGutl9SWfj601T67bTFiTQ00b3zwy9+TeWX&#10;oydOmje2/2xue+9z0/2Fd+OvSn3mXXP6k2+a0x5/1Zz2GLQubnxjmWO/n/bE6+b0p9/1zHPNn37D&#10;jHrjI7Pq6x+8J87lCtZJpoZgaVBCX8sFLIwF6Lc54Y+f9uIWtsd3rhiRedpxCtJg/EK/LWNP/M5x&#10;zTW2cF8UxwmAn3LeB3M9EnzP48B28nvsVy5iuuqR3zE9jwlpUU8AdYB8UGeynuSCl1yAImF1SFzb&#10;yLHatVgKOFbLMVfWBT5n+QF+Zz3iZ1Rk/A7JcyPPv5yDs8uMumS57HNg5y/PAcos24YrvuAxIX+c&#10;Hx4zyijTuo6ZdSjTA6SV51mWMQjGXshT1jvykceUCrbXsDYThqwPGx4D6iUM1kvUMsh+Rl73UQgr&#10;L0m3PIqi5A7OpUG1s5fUx0EpVI6GuKdeezeRlp/l2hBHDuz62bz/2EKzZFBns6R3C7O41wWeKW6h&#10;Y742rgvMw71bmgV1zc0z1w03G2Jpv9243hzas8vPMXewDjKNTXMxbrvGMaazx1ukySaGo2T8w7Gd&#10;39mxqYyJkE6OjfguLK0dF8n9ymND2RF7ID3rED+l+cgVQ4bVIXFtg7zD8gVMl+/Y1D43+D/ygmRd&#10;Mz7B/u12gfbA9KnOAcrG9NiH3L8dm8rjRTqZN8qG88m0md6XAFnGILgm4Iq9UcaosMw4v5nAc2zv&#10;Ux4DjzMIbhfWbiXpxqaoW7QJ1hnKLOvbhm090zpRFKVxkIY4V1wXVbYh7tzW1Rv9cDOY+XXnd2Pg&#10;NrKmjUgcV3JgF11qiKsflFMNJgQdPAcnyA4EJOzwsX0YCACYX6rBSg6AUQe2MGRQw6AxDB3EFEUp&#10;Z3Zu/SIxNvbu0N45dobpztqGhrjYQN/NH87zQlXd5V8n7a99d+cisEt7DyUbzfCqVOSBV6fmgjc+&#10;3maunPuyaTrmIfO/9JnpG+L8J8EFCa9U7XGPOX3EfHPdQ6+ZF97fan7ac9DPMffISZCwMT0fcL92&#10;DCLH+lzB8TsXsUMxEVSHSmmRaftEXJ5NGwiLq2XfEDTBgz6D26Szf6ZxxdOYhMLnMj9un6p+kJbb&#10;RonrFaVUWPfGW4m2Xa6GuD+MmthgkdSlM+5dlkiDp8zhs0IZ4o6fPGm27j1gnt66w4x58yPzb4+t&#10;M2c8917cEOeb4ZyGuOVvxLZ73/x22Rpz2esfmse//M58sfuAOXYid48AZp1kEudEmY+R/au9WII0&#10;+NzVpzNNOmOE3JedjvuCMJdjg/GKi0tYlJHQiITvg8Y1ufhkb8PPkT6TMUaOqzZhdUiCtuFxuczg&#10;8tzKOJ9pgvYn00VZHAIypgibA+QCUlBb4xxd2GKYvahI5PmTyHm/oLYYdk+Eegr6TiLLGATzCjr+&#10;qDCfoHMYhjxW/G7D71KVMZ0yyOvavjZTkaq8JFW7VhQlf0hDXLt7H6yPg1LIZYgrdHxqE9v/Wlme&#10;YjbE4SlxHz37uHni8r5mYc/zPTPcg74pzjVni1eq4kly+PnS7ePNljdeMfu+/84cP3zYzzF3sA4y&#10;Ge9yNW679p0qXxdyXzbYB79LNzZlTBQ0biGtNN5IZMyRau01CMZNrv2H1SEJ2qZYYlN5blymMiDz&#10;DWoTLJt9/uQ5SDc2ZZ75vi+RZQyC36dzTbhgewg6h2GExXryGFKVkduFtVsSNTblubKFNhV07kiq&#10;dq0oSnGy89DRRAzHJ/+26tIz8VlUta3r96HsNxrVEMe8Bl50sX+YlYUMCqIOeHIAcAV5Eg6CUBhy&#10;UEuVp9w2ysCWChl8RCGbgV1RFKXYydYQh1eYs4+mqlrXDPaH87zQrOfoj5P2mYUhrrb/EC+PZ194&#10;2f8kOzZ+9YOZ/Ohbpt3Ex82v+s+KP/0t5RPipnvb/T+DZptut60ws55932z9fo+fY+7h5IproiIq&#10;uPnGjSAmYXgeMK7ihjJsXOe2dgwix3ob3Gzi5hjjMCeVIOw77GaU4zdiB2yDnzx2CGVNFQvhWLCd&#10;a79BExCMtVBm7FfGUXJChnUoYycI/7cnA+RNezqSk0Y8hrBYKuw84DtXXaSK41zwmFE+iP9H3nZ+&#10;PHd2W0O9RjkHAHnK9FHKjePFPmSbwe/4LKjdsP44sYJysL6wTyDrzyV5zlxgApHbZoI8x3ZbQLnx&#10;Oc5HEDgfQenDYJqwvCXp7IPbZtIWFaVYQVyCdt2may9z9dJNzpgminh9UI1piLPLEtkQN3dFIg1M&#10;dfjspW3hE9G54mTs354jx8zHv+wzCz/9xly4ZoM5b+Ub5k8r3jBVT75umi5/zZz9xDrvyXGn+ga5&#10;0x9dY8558lXT5pm3zPDXNpmHvthmPt613+w+mttX4rNO0umLCcZHpg+KowDHBY5hBPvE564+nfkG&#10;jZVBBKUL2xdBPMX0Eo65Mv6ykTGWvbjKzzMdX+SYaxPluIK2kbGAHTfw3NpxPusi7FgYK0VtU/L4&#10;gmIyWb9B28jYQp7/sPojsi5k2qC2axPURlDn+BxxXxhRysh7AZyToDqIAssU1p5d4BzwOIPaG48h&#10;1blnGYLyITinbE/Yd1g/YxOlvITXSKrzrChK7pGGuPOnL2wQv4WJ6ahiM8QNunKsc5EzSPLVWhu3&#10;/eR9dvBYfgxxJ48fN1vfWmNennKdZ4p7eGBHs9A3w8WfEne+WVB3vveZ9+S4ns3Ngz1bmIcHVJs3&#10;59xlftr8SdwMl8ug1Id1EDWOkORq3Hbtm+WScUIqwsZ3jj1hY5QrNg2LOSVBcbosU6bxRFjZw+qQ&#10;BG1TLLEpj8/elySoPBJ5PJIocV9QbBrUdiVhbYSfR5nL5LZB4NjxPa67dGI0G7aHXMem8hhkHbrg&#10;dqnaSDqxKWN3l1DesOuPbVBjU0UpLaQhbv6Tz3vXcU3fwYnPoqp1194bZZ+BGNMPN4N5oMd5LbnY&#10;zoV6qnmb6sRCfLri61d79h3gH2ZlwQ4ZSjWYANn5I1hIhczfDn4kMrAL2w7IATDVwBYFDrapJrYI&#10;B3bX4KwoilLq7PthR+KVqZkY4vAKc/bR9crv6w6a9hy1IWl/aRjiPtuxzz/yODTE4UksuWDLjt1m&#10;ydqPzeCZq8z/OfA+c0oPmOKmu41wlGeIm+5t3/6mJ8ztT7xjNn+X+9cXANy0sd7SvWEluCnnWBok&#10;3FS74Pd2DCLHeptU+8JNputGluM3ysKbXpdckwnIjxNyQUK5XLEUYyHUr71fxhJykiNIMk6Jsr1L&#10;snxyMS4IbmPfuMvJPKTHcchjCzoHQfDcIB60z6+M9XDcnKiBkA6SaVznT56DsPMYFAvKeDZIrriY&#10;7RhlZF1KgVTtOVVczLKFnccwZAxut1+el6B6IUwvz1UYsv1GTZPO9myLUfNWlFKAhjjEKZcu3OCM&#10;aaIIMRKvJ6iqVc0MP5wqCGGGuDPHTm6wQOqSfJJIVcfu3mfLv9ru11T+OXnypNl/7Jj5cOde89iX&#10;35k7Nn5prnzzIzNgzQbT++X3TOdV75qznnjVnPrkW96T4f499nv/2HcLPvvGvP/TbvPd/kNmXyz9&#10;8RyvO7JOMun7ODai3w8DeXM/En7uSs/tXTESwJiA9CgD0lNB6cL2ReTYxnhEjj1BZSHczq7LqOkB&#10;4mOkl8ckYyWbKMcVtg3jCTue5z7l5zL+x/eyjFLM066HIFAvzDcIxGncxrVPitvIuo6Svzw2uXAY&#10;9Vi4b/yU8PNU6aOWUcZ/iLPsRc4oRC2TBNcD2wTKEBSvs2xR6wvXbxgyDo5y/ZCo5SUoL/ejKEph&#10;4dsWoPPvX9ogfgsT01HlaIjL5Wvyk4jFpb9s22K+eOV588bcaebpcUPNwxdVe2a4JX1amkf6tDAP&#10;9bog9rOlebRfq9jvsf9f2N48c+0w8+FTS83+n3/wM8o9rIN0ximSz3Gb5Qoaj/IRw7liU/lZGDK2&#10;kGWOEnMQ7BMxGOJBeVycX3OVHZ/hu7BzELYNz2FjxqZRzg1jFORt748KOv9RzoErNi3kfUmUMqJc&#10;3Ab1gHOTai7SBeoKeUQ9PyBKrCePIWp9ueZoJZnGpgB1gzpiepQ7qL7YBiFFUUqHXYePJeK6WQ89&#10;5l3D6T4xGLqgU91m9gFQJEPcvF5/OZuL7Vyop9q0zdwQN75L3BBXU9fXP8zKIp3BRA4S+D0KcjAN&#10;Gwg56EVZzJNlTmdwdSEHpKgDHwMvDPCKoijlhjTE4adr7AxTYxjimvW55m17n65FYJdsQxzT58oQ&#10;dwB/TfDdL2bK8nfM/zVotjmlz1zvdain1Ia8NhVPkau7x/zfse173/mMmfPCP82/vt/t55hb5Jia&#10;yUKMXNDBWC7zwM2gNB/ZkyCA39ljsCyXDfaHOAT74o0yfsrJJNeNL2/MKcQATI/98TjwE8clkTe6&#10;SMfvkR6TSmFpZazB9EgH8YYZ+0cMhP3IukBeMv5y3WDzO7sOJa5tZIzmyhfl43FJk5lMZ9cz8mEa&#10;1/kOQp4bpOf+cPyyPhkv4qddz6ynKOcA7ZLb4Kdsp/JYgTxebCfrCt+xTBD+L0F98zum537t85XJ&#10;xBFg2TONS1l+1JsNy52qTCx71DLI68nV9lxELQtItzyKUgosW77Sa9cDhl1hOt/9pjOmiSLbEHdu&#10;q+pFfjhVEE5dumYRFj7lU96o3988y7lIaquxDXFk/7Hj5qu9+81rO3Z6T32bvmmLuWPjZjPx3U/N&#10;RWs2mnbPvWPax3ThmvfNtH/GxrNde/2U+YF1kknfF7XflOOphJ+70nN7e9xDnMH9hslOF7YvIsdf&#10;pnd9FgS3s8ecKOkxrknzfpBsohxX2DYcW+WcGmIO7k/GRrIuosiOjYKQ+QbBY4gixCYyToiSP+A2&#10;8vy5PnPBNmnXMT9PlT5qGXE+ZIwP4dzZsWQYLFPUmBvXnIz7wmIwtmHEmWEgH2wXVi/yOKO2JZBO&#10;eQnbl7wOFEUpDNkY4hDPMS1U6D/YsMnWEPfWZ1sTafE7Pjuaw9fkS/CHGscOHzJ7v99utrz1inlz&#10;zjTP7Lb0km7mwb6tzaKeLczCXi3M/Lr461Ifvqij9/1b86abf61/3Xvlar5gHbjillQwbT7GbeZt&#10;x3P5jOFkfMD9Mp0rT4krLZCfh4Gxl+N1kFxlD6tDErZNMcSmUc4NjyGK7Pgi6jngNqynoHPqwk5L&#10;oqaPWkZsZ9cF/h8l/iJMn+vYVLabMKMb0nO7sHrJNDa1seeLXbANamyqKKUFXnXPuI6GuHTjQejP&#10;HWq/Yz8BxWLclfFoM4RFtS1+zcX2XBriJnZt5eXRqqabf5iVhRwQwwYTOUjg93RgwIWfMtAhcgHb&#10;FTzZyDJH2T4IDHbMJywosmGaqAO7oihKKXFk/76sDHEQ+0kq33/d2bTXVevsfTa5fpVzIdjWe1t+&#10;8Y/cmO07vk+k/3zzV/6nueGpd74wvx0535zSa7Y5pW6m2whHeYa4meb0EQ+YsYvWmWfXbzY/7jng&#10;55Rb5JgadrMYBOMDjPG4kXVBww5kbxO0b1mudAgzB/HGPOgmW+5TxkTyxjso7pA33XZ8wJtf13dR&#10;YSzl2j/zDjt/Qdtwss8V28k4SZ43pgmqC6ZDmaPCcwMFLQTKfIPaGstmx7TyHLgmO5Af09ptJ+hz&#10;ItNiIkci25T9nQ3rIKheg2C6oPKFIWNw130Av0tVpnTKIK+VVIuskqhlAeyXMqkTRSlWys4Qd++y&#10;5HLEFNUQB8l0+P/Cz77xa6pw4PWp+44eMz8cPGK+2L3ffPDLXrPh591m/Q+7zOrvfjJP/+t789S/&#10;dnivc/1g516z78hRP2V+CIu3UhG1H5fjqYSfu9JzezsG4T4xrmNstueKgtKF7YvIGIbIMdnO04bb&#10;2WNOqvSod8ZsGPcR08hzIctgE+W4wraR4ytjKS5E2jFI1MWidAk7PiJjj3SJkr+M2+Wx8TP7nNqw&#10;Xdp1zM9TpY9SRgnaB+qEsSTkilVdBJXVBfYTZcGRRMkbeaYqs5xLjnpcIN3yEo0BFaXxkIa4Jvc8&#10;3CB2C5NtiCt0fGpzbuvqpNdbFbMhzgOmuCOHzZ7t35iv//Gm+eT55ea9h+eYV++93bx46zjz9HXD&#10;zDPXDTcvTr7GvHbf7eaDpx4xX7/3ptm9fVssaZ6eXBcjm9iU6fIxbjNvGSegfPmM4VyxKdO58pTI&#10;fcsyR4k55DY4HzI9CCt7WB2SsG2KITaNcm7C5pFTEeUcuGJTmS7V8XI7u46jpo9SRgnKi/PE6yGd&#10;OIztIUpdphvr8RjC2iPaGbez7y1JprFpEPIYXGhsqiiliTTE3Th9tncd58IQFynGXVTb4ldcaMcr&#10;3GQGNe07NFiMj6qEIa5Td/8wKw/WY9AirZywQgePQTRMdoAr02NgwP+xHQYoOQBhAsgVHGPwkvnL&#10;/JBefmenx/4Q1HCfEAY6Ds4QtgkaIG1kcIY8FUVRyo1SNMQ16zvuBXufUQ1xaz+pHzekIQ6/55IN&#10;X/1gBk5/3vzXoXPMf+o5w5zS7e6YYj9hfus2PaZp8c/816X+xx7TTcu/LjMPvPiB+eSbn82Bw/lZ&#10;RMW4yGPG7+mCMRRpw4xerkkQErRvWa50CJvs4NgfdvPMG1mZXsYdrjiFcBLFnthhmRDnZEpY2Vm2&#10;sPMXtA0no1w37jwexFpEnsug2Al1xG2itiken9yXjas8Njwe+/yHtQvCtBAJa7uSoDYi23GqWDPs&#10;HIfBdGHXoAscG6/foHph2VOViWUIq1+AupGTRWHXk03UsgCeb/taVJRSZt7iJV67xmJji9tedcY0&#10;UVRV0y9xPXkqIkPc7+6Y61wkdUkunOKJcY1hiCs25EJbumMJ+00ojKAFI6Z3jQPMV8YEGBP5edBC&#10;hCsdCNsXCYpvmGdY/cix39530OdEngPXuC/jApsox5VqG46xjJVosnLVMT6HcjmvFXZ8RG6Duk6H&#10;KPnLcyDzR53hs7D6BYyN7DbC9GFtB0QpYxC8vqLeM0Q9JsBtcXxR6l3GxUHxWqr2zvYKBV3nQaRb&#10;XpJOnSiKklvwRxu85pvMecIZvwWpaW3jxqc2tiFu5HWTnIucQcJrUpkWr0/FZydO5tEQFwNPijt5&#10;/Lg5cfyYObx/n9nz/bfm+08+MJ+9/Iz5x5K5ZsOjC8znq581333wD7Nnx3fm2OEjfsr8IceJVOOn&#10;TdT+PJNxm2XCmE1SjWlh4zvHu7CyumJTmacsi42cb5JEiTkQE+L7oNgirOxhdUhSbdPYsWmUc8Nt&#10;5LmJSpRzINuWjGn4WVj9YntuZ7eRoM9topTRBeI/nq+weVgJ20NYfRNuGzXWY1sKm+eL2t6hdGPT&#10;IFiuoPaTTp0oilI8HDxWb4gbO3mqdx3jJz+LqqIyxE3u2jKRT6XCTjuoU2anHVWuoIWDUZAwSAUN&#10;fOns3w4gGBQHCceezuRKUACjKIpSLuTCENe8TXWir4Ty/bqDZv0nLJX7g5qOW+FcCLb1zIb6V2zh&#10;qXBMv3fffv/T3PDtz/vMI69+bIbf/5I5fcR8c0rt3d5rUU/pMSv+xDiY4fAz9tl/6DbN/NdL5phh&#10;979o3tu8A3/smTfkjXGqm2ibsBtzG25nj9NB6VPdsOPGHGMyJpUQJ1C8WcfvNownwiYbXKa2oMVf&#10;G3ljLeHnqdIDTLwhjkLchO0pxjOusnOfYecgaBt5DqXhC/Xr+lzGQbJ8trhNqnZBmCbs3PDc4qe9&#10;Pyro/Ec5B/LYuPAXNPFoI9urPGb5eSpQNmwXVgcuMkmH45OTNjxeG5Y9Vd4sA66VMOT9QNS2QaKW&#10;BfB8Q4pSLkhDnCueiaqqroMT1wcU6XH9OeTUR9bMwMLnb6ctTioHhM/sBdIgNe1Vfxww16khLg7H&#10;wVQLC/hOzoXI8SpoEUrGDPY27Hdd4yzTBI2PrvFA7sv+XvbxroUMjGmMm+zFG45XqKegsY9xH/Kw&#10;4X5dZQapxp+wuIJpUbYgwuoZMH+ef+7LdazSfBVUF+kiz2sYPD+p4gYbmb99bok8xxJ5btjubeT5&#10;sbdhvsgnDFlG14J6GCyjq+25iLq9jL+Cjt1Gtp+gYw6bS5ZxdVCfEkQm5SUsU7p/KKIoSvZIQxxi&#10;M1f8FiQZ10GFjk9t8mGIKzQwyB3au9v8vOULs23D2+bbf673fj+462dz/PhxfyufPE46Zhqb5nPc&#10;ZhoZz8n9uYgSw0HpxKby86CYCNuwDu1tosRdrAfXWA0YD7q+Z9qgmAuE1TNo7NiU5ybo+IEsV7ox&#10;Szaxqfw86HhZJ65Yj/uV7dhFNrEpyxjUPm1Y367ySjKJ9eQ16DpmHBuvJ1d7zCY2DUK2naA60thU&#10;UUqTw8dPJOI6xIG4jvGkOH4WVX9q02kP+wko8jo5F9pr2ycb4vB/uRCfju6srTfE5Xrxu1SQf/nn&#10;ggNvVAUNKFhQRV4cmCAMCBigwoKcdPZv7xuDIwZYBo4Q9o88XQFqKlx/zaEoilJu5NoQl++/7mzW&#10;d9z8pP3F1HTMMudCsK1H3qpfQH1v4weJ9Llm36Ej3pPelqz92PSf9pz53WULzH+5eI75zwPuNf+p&#10;53TzP9bdbf5Dt7vM/9xrhmeYq719pbnv+Q3mpz0H/Rzyg7wxDprACEKmdd2MSoL2EZRe5m2D8VvG&#10;Ei65Jjt4Ix92nPiOeRCmc+UpcaUF/DxVehmPBclVdn4Xdg7CtuHNuZy84USBPWEjjzGVcI6iTmxE&#10;OTd2/mGyJ6KinAPZ5lhP8njDcKUF8vNURKkDF0wXdXIFMTfPeapzxPg5aGKH8HoMK7uc8MokBmfa&#10;KPXD82a3X0UpZabfP89r11deN8kZz0RVsRji8DQ4WQ4oncXTcy4clkgHI909H27xa6qykeMOhP5Q&#10;9vP4XfbHclGE4wnT8TuMGzL2whhiw37XNc4yTzk+An5ujzGYN5Jxnp2O+6JwPCwrjo9jnCutrB9s&#10;J03/SCvnnuR3hN/Z+RKZvz03ZZfbhrEXxHESZZLnL6yeAc4V8+AYbsdEJKwuAL5H2nTGUplnGLIu&#10;UOfyGHEMnDu024bMH0I9MC3agGzb2IcE+bJd4SfqGJ8BpJVlcsVUvD7sfG2QF/Nh3eMzlJ1g/8hH&#10;Hje+Z9u1jzsI2WZ4LDayTtiuoiL7BLRn7gPllteKPDYgyxXU/oLIprwgm7SKomRHbf8hiWuw0g1x&#10;ENM+9dq73v8bg5PHj5kjBw+Yw/v2ejp66KA5fiy/r/C3scdue/zD77LvZ0yXz3Gb6eT4JcuZbgxn&#10;f4/j4XHg+MJiU5nWjokQDzEt6oB5ElnmIGT+Mm/UpRzLXbElzwv2zbQok4w5UsVH2Jb7aIzYlMfv&#10;Oj6JjHmQRtY1fkf7Q5lca89Mx/2wrpBOtm27jsKOF3nI82PXBeB3yCcMlIPbsu7xGdPhJ+oUxyiP&#10;G//nNWgfdxBIw33JdiKRdYLto4L8ZJ8g6wS/y2vF3rcsV1D7c4FzxvNuXz+yfqCg88Dv0zlWRVEa&#10;H7zqnjFdNoY49gFUZEPc/B7n78JCey4NcTO7X5DIJ9evRysVMGCwDlINoJUOB9aoE1SKoiilSLaG&#10;uDZtGzwhLq+TWc36j79D7g+Kaoib+0r9AuqzL7zspcVEXq45dvyE2bXvkPn0m5/NM+9+aWY99775&#10;65LXzEUzVpl/v2qx+d/6zjL/Zcgcc8H1y8wVc1ebh175yHyw9Udz5OgxP4f8wRs4jHHpgJiB9Z0q&#10;fuB29gRAUHqZt0R+jrHYThc22ZFqogbwxlymZzpXnhLuG5KElYnItPhd3miDsLIzXdg5CNsGN/b8&#10;npMGjHfsiUW5bS4JOz7Cdhq2TRCs37BzICdICNPJz1zIdinrWH6eiih14ILpwo6N4PzKSSK7ndlE&#10;yRt5YhsoaIIn0wkvCdNHqR/Xdawopc4td0732vU1k+50xjNRVSyGuN/f3NAEfsbcFc5FUpfOGj4u&#10;kQ55qSGuHow9cnLeJXxv98dyjAgSvneNHWHjLNPaMYgcY7EIg7RcKEP5+HtQOsQoYeUNGm/keB+k&#10;oLGG39tlknDshFA+/J/nQ5bXBvXvOm+yLGH1TOTiGeRaQCNR6gJliko6cY+MDYJkz7vJ/MPS4zsX&#10;aLuuOpbCPhkPS3heg9qGRLYBSp4z+zsplC9VfEbkAqerTcrvo8jeL+qB12GQXNdZqjRScoE12/LK&#10;9hG1DhVFyR3ZGOLkHzpAVa2q1/qhY6NQ1bpmqyxPtoa4rbvz+4euxQ7651TjL763x5R8jdtMa4+d&#10;cvxOJ4ZjfJZpbJoqJkIZXPGcHPeCsONLHJN9nPzcRuYvJeuNeYXFR40Zm0aJnQHqKezcUbYxTNZR&#10;JrFplOMNqlt+b7djF/KcU6yToPNMoV5c15iLfMemyDOsT8B3rhgw09hUzoEHCfsMurZl3Wpsqiil&#10;BV51z5iu19DLvOt41kOPJcV6UcQ+gIrFuJP8cDOc+T3O34qFdrwiVWaAV6jai/FRNbuu3hCHV6VV&#10;KhxIXH9RocSRA3bQIKcoilIOZGuIs8fpUjHELVu+0kuLVz3kA7yFIK6TZu+BI+bTbT+bJ9/63Aya&#10;ucr825WLTau/Pmque+g18+w/vjS/7Dvkp8o/8qY9yo20hOnCJj9w0xeUf9Dn8qZRwrLiZtZF2GRH&#10;lIkaToDIBTjmCYXBSR5732FlIrw5D5okCSs7PofCzl3YNpjY4PeIb2S8g98l8rzk8mY+yrnhNvLc&#10;RCXKOWDbkpNr8njD6jfIKCjTpyJKHbhgurBjI9w2aJLIBvcFLH/QBJicwLPbC2DdQ9nEz8wjSv2k&#10;UyeKUirQEHfVxCnOeCaqqro17oLjf3/k5UlY+DxzwtSkckDpGOL+MKp+YQV5qSEuGfTZGJvYH1KI&#10;c9CPuvprEJQO/8fnQWMBx0HXGM25Jte4gwUxuS/EQxh7sB/GVXY6jissD/4vFzmQLmzMBvge475M&#10;h9/xWVhabptqDEWZ5KIafkd5AepDxhoS5MvjZjpZHh57WCwkYw+kTwXagl0XKB/PeVBbccF9Bx2f&#10;DbbHsbCNQCgHPkPMYLc3eWwA7ceu51SxBo7HXrDG/rnPINhOeR7DQLlRpzwuHJNMx+O22x/bfjow&#10;D7QNG+Ql6zaVXO2a15hdXzi+oOvA7j/CJOsl2/IiL3yOOlEUpfDk0hCHJ7T5oWOjYBvixk6e6lzk&#10;DFOrLvH+bNkLayveEAfQx6OftscIjC8YZ4LijUzHbXyPbV3jNsca1ziWSQzH+AzbcdyUYzzKgrE/&#10;DBwLtpPjIPaNYw+qm6hxF8pkx3rYF+Io1AH/78KOtbCdLE+U+EjGb8grFcg/V7Epz03Q8dngPLja&#10;KMrjMvLlIjZFHvbx4nd8FtZuuG1QPCZhG2D7Qv7ynPG47fYXdl6D4HGg7m2yjfWAq33g97A42j6n&#10;YbKPmedHnlcI/w+7PgHywrYon6IopQdjupq+8T8snv/k80mxXirJV+jXq+NoP9wMZ0Fd841YaLef&#10;PKOGuOxBp4460M45GA5gGLSDBldFUZRyoG9NfFzMnSEuv4utTXuPuUHuD2oyarFzIdjWTSs+8Y+6&#10;/nVkI8Zc63+SX44cO2Y+27bTzH/5Q3P1grXm1sffNk+t32w2b//F3yIOTHT5BDdvrDfc0IWNcbi5&#10;l7ECbyrxWVA6TDxgG4yfNtyvfZNvTyoQ7g8/XXBfru+ZFuVw3VTLfcoJC/l50GQAJ5Fc23ACJqjM&#10;gGmDJgxQv0HfM23YJAu3seuZsN7wk/EO2oILTl5EnVCKAs+N6/gIywVFmfCR8BxArnpCHfO4EBMT&#10;+XnQ8crzY28T1I5dsA7k/qPAY3NdXxLG+lDU+pPtOujccFLI1b5R10wfdO1EJVU5JCwTJqcUpVwY&#10;N3Gy166vuGmGM56JqqIxxI2NH4+UvTgaJpkev6shTlHKn3TiqkoBsQ7qIyhuryQyjaUVRckN+MNS&#10;9tHpGuLOHjIqkRaCIc0PHRuFXBvivt5TuD94VRSlcGhs2hCNTevR2FRRSpsvdx1sENPZ8V6Y3vps&#10;a2KMoGIx5mA/3AxnQV3ztVhotw1xmS7YU8znvY0f+IdZecgFr3QXGSsFLq7pAKYoSrlDQ9zQ6szG&#10;V/vV5vlebD2n+4i+cn9QVEPc1Us3+Udd//QV/CwEeFLc/sPHzNYfdptNW380n2372Wzfuc/sP3TU&#10;36JwSMMQjDUwssi/coIRjjdy0hAnb/4xTsq/mEM8QaMV5PprOn5nG7WCJhVkOWW8AlOS3JfLnMPy&#10;QzhG5IV0AGWj8Qk/+TmRaZGOdYPtUFdM67rhZ5ldZSKybuW+cYyMP7hvG5qxsB3SQnZdM71dzwTb&#10;cxvmF2Swk+cAdW6fB+SFz21zWBg8ftfxEeQtzxHKZ9cV0qP8skxAlhmSf8Vn17FdR2HHi2NlWpTJ&#10;/svAoHbsgoY15MN9IH95jC6k6SxoW2mGCzqvQci2D1Mb94EyymvOrjdZrlzEzswrrI0QbpvusSpK&#10;MUND3LAb7nbGM1HV2Ia43yxdPRoLn/IJb5S9OBom+cpVvD5VDXGKUv6kE1dVCojHWCd2HFpJID5l&#10;PchYXVGUwpGNIU6+Cj+u6l1+6Ngo5NIQh6eJbNt72K8lRVHKCY1NG6KxaRyNTRWl9METfhHT8VrG&#10;a/DteC9M2RniejRfiYV2NcTlBy54qeGrITqQK4pSSXSvjo+zmRri8ORW9plx5fd1B02q+3dO3l9m&#10;hjguNuNJcZWIfAJXkFxmI2l8CVKQiYXf22aaoEkF3FDSFAUhdpGGHZqT8JkNt8NxyjykpBlJgv1K&#10;05RL+N6VloYqV5mIPF6UAdvK/fF3Vz1Kw5aUhJ/Z9Syx64TGJxfSYBWkXBviAOo36NxJ2eeBdYR6&#10;DDuPQQaqVMeLMtkmRJDO5JjcVirsnAHEpWHbyu+jyK47tAOaJIPkqrdUaaTsp8elU2b7mGU9uq5H&#10;RSlV8PRatOsrb53tjGeiyjbEFfqVVDTE2QufTWv7ORdIg/S7O+Ym0uKpImqIU5TyR47xSj2MbbN9&#10;Gm8pw/tRxJ+KojQO2RjiGv6hROkb4uTrtbbvU0OcopQjGpu60dhUY1NFKQfwhF9pasPvrpgvSC+/&#10;/3Eibb2qu/nhZjjze5w/AwvtzdskG+IyXbCnmN+6N97yD7My0QE8GD7qVV+9pChKJdCpY3wsGFnT&#10;xjluppJtiMNkkj+U54VsDHH97l/vH3X9BN68xUv8TyoPGFEw1tmmIRiWcDMXZJJCDAHTkDTB4Hd8&#10;hu+CoLnJNq7g//gc39ugDPa+YL6CIYnpXGYsmq6wDY4TeXD/+In/4/MgsF/czDMfCv/H50F1QzNW&#10;KoMYyoVt7DLhc+SPz4ImE7AP1gfTSfA5hLyCkMa6KPEOzqssL4Qy4LOwtuKCdRplsgT5oqyuNopy&#10;u46Rx4Zt+H+7/YS1U4Bjso8XZcA+g9oNY2ukiYJ84hzLFdYmCY8Fx2WD+pJlTiVX/bnqnO0sqE3Z&#10;10mY7POOPF3buWSfN14rqBNFKScYowy5YZYznomqRjfELVk9GAuf9quxmvYa7FwgDdJvpy1OpD3n&#10;wmFqiFOUCoBxFaTUowtu9QuvqAtFURqH3BriaowfOjYKMOTJstw4fbZzoTNMvYZe5qWd9dBj5vv9&#10;R/xaUhSlnNDY1I3GphqbKko5gCf8SlNboxji7AzUEKcoiqIouaNN+/j4Or5La+e4mUp4cqscp/P9&#10;151VLWrOTt5fjWl6+VznQrCtzne/6R+1MbX9h3hpn33hZf8TRVHKAdsQV27AlIfjw4RLpUMjnm0K&#10;VZRSh4uMg26a44xnoqqqZ7IRrdCGuFMfWd0NC5/ZGuLOmLuiPm1tPzXEKUoFkO4fGlQSXHSz/1Cg&#10;EuAfUmgcrCiNSzaGuDPHxt/WIHVWi9pf+eFjwcmlIW7KnEXmxwNqiFOUckRj02A0NtXYVFFKHfxB&#10;A16TiusZcsV7YZJp6xXREPdA9/MmYaHdziDTJ9hQaohTFEVRlHradujsjYuZGuJgVJfjdDEb4lrc&#10;9qp/1PVP0dJ4QFHKi3I3xMknqkV5oly5gifZsR6CnlynKKUKTfsX3rzIGc9EVbEY4mCAk+XAU97s&#10;xdEwnbZ4VSJtVcfuaohTFEVRFEVpRPh6fwhP8nXFb0E6c8LURFqqcQ1xyWXJxBA36Mr4H2qpIU5R&#10;FEVRFKX0QPyGV98jnsOr8F3xXphchrimLTq09MPNcObXNR88u+6CBhmM7pzZgj1FQ5w+EUZRFEVR&#10;jLmgXXx8ndi1lXPcTKVSMsRBYPuO7xNpP9/8lfeZoijlQbkb4gD/+jLKa2fLFX0tg1LO0BDXaXz0&#10;+MalRjfEPfxySyx84qlushxnDR/nXCANk0x/17sf+zWlKIqiKIqiFJpsDHG/vzn+xHOpP7bo8Gs/&#10;fCw4dllganMtdIZp7OS4yQ8/dx0+5teSoiiKoiiKUgrsPHTUe/U94rlMDHHLXlibFE9CWMf2w81w&#10;5ted321m94aGuEyfYEO1aauGOEVRFEUhHF8zNcThya3Mg/KH8rzgNMQNn+VcCHZp76FjngmOaWGO&#10;UxSlfKgEQ5yawepNgagLRSk32nTt5bXvduMXOmOZqGpsQ9zpS148GwufuTDEyTymvlz/CnxFURRF&#10;URSlsEhD3O/umOuM3YKE7ZmWirxgmAfssmRiiMNT5ZB25HWTzJ4jaohTFEVRFEUpJRC/0RCHV+G7&#10;4r0w8elyUpH/4EMNcYqiKIqSfzi+Tu7a0jluppLLEJfP1x0gkLD3l44h7rtdh8x7Gz9IpN27b79f&#10;E4qilAM0xF117UT/k/KEhrBXXn3D/6Ry4GtjUQeKUo4wRjl/9APOWCaqbENcVeuarX44VRD+27K1&#10;v8bCJ15zKsvxh1ETnQukYcJrVpl+8jM6l6MoiqIoitJYjJs4ORGXlbIhDnOXdlmwGOpa6AwTTHRI&#10;i1en7jt63K8lRVEURVEUpRRA/MYn/iKec8V7YcrKEDev11/OvrO2ZYMMMn2CDaWGOEVRFEWJI18d&#10;ChO6a9xMJbzKnHlQxWyI+2zHPrPujbcSaRVFURRFUYoJxihNRi12xjJRVdV3XCIvqOCGuEVrf4WF&#10;T1kG6Myxk50LpGGCiY7pr5v7oF9TiqIoiqIoSqG55c7p9XHdhKnO2C1IeMUq01JNW3Ro6YePBcU1&#10;v5iJIU4+UeTgMTXEKYqiKIqilBKI3/CkX8RzMMa54r0wMRaUimyIW1Tb4ldqiFMURVGU/CFfHZqp&#10;IQ5PbmUeVOTBPgNcE1bNhk51LgS79N6WX8yy5Su9dLX9h/g1oSiKoiiK0vjgybWMb5qOWeaMZaKq&#10;GAxxZ8xdkVQGKN2FUwgmOqYfM2OOX1uKoiiKoihKoZl+/7yM47oz7l2WSEvFYtTBfvhYUFzzi3jC&#10;h2uhM0x8KkirLj3N0RMn/VpSFEVRFEVRSgHEbzTE4VX4rngvTC5DXOSHxsAQh9e32Rlk+ko3Sg1x&#10;iqIoihJHvjrUNWZGEYzqzIPK5+sOXK80SMcQ98yG7QlD3Igx1/o1oSiKoiiK0vjIp/eWuiEOuAxx&#10;v795lnOBNEzy9VqDxt7g15aiKIqiKIpSaOYtXpKIy9J98u9pi1cl0tar42g/dCwouTLELXthrZcW&#10;hrgTJ9UQpyiKoiiKUkogfqvpOzjjWJCvz5fyw81o/LVry/12Btka4pq3iRvi8Lo0RVHSB08twEIN&#10;niwFwVAD4ZqSgukUgvFECjfNqcRtmQfz5L4glAFCeRRFyQxcXxgTYRZ3jZlR5DLE5fN1B9ka4h55&#10;65vE6x3wU1EURVEUpVhIMsSNW+GMZaKqKAxxs5bulWWAYG5zLZCGSRri+lx2tV9biqIoSjZwfo9z&#10;fHJuz57Tw1wdngoF4T4aGjdxsif8oRk1YNgVCeGJ7FSbrr0CJceIMLnSyn1wvywLywexzBCPw56H&#10;5Pwj5x1RJzrvqCgNwfXC6xKvtXfFbkEqJkMc/pjXLgvMba6FzjA99dq7ifSKoihK4UCMZq9XyzVr&#10;GdvK+FbGuIxzKcaJMuZNJZnGJZm/SywHy8byypiUcSmkKEru6eQb4jKJBbM2xI3t0vqAnQFeo+pa&#10;kI8qNcQpSn2ggEGUgysHXQzQGMTlRBYnr+zrsdjEyTBOgHHSi0EHgwoGExpAKJUOrglcO7Xt2zvH&#10;zChyPc21mA1xc1/Z4vUNSIe+QVEURVEUpVjA/Rnjm3IwxP32roX7ZBmgTAxxcvG0ZZeefm1VFnuO&#10;HAuUoiiVhb34x3k9Lu5x8Y1ze6U4v1escs072nOPkM49KuUM2javibOHjHLGbmGS1xRU1ap6kh86&#10;FpRcGeLe+mxrIj36ZkVRFMWNjF9dMSxiKMawiK+C4liNZeNiXOpaE4dccSnqXeNSRWkIr6tMYkG8&#10;ZlVem+e2rt7lh5vRGNOp9dfJGdSYmd0vcC7IRxXzwYWvKOWGNLnJiTBOgmFQzGfAwLztgViKQUyQ&#10;5LbMI1/ltYV9oQz2ZJY9kaU3t0q5gHaOtj+wYzvnmBlFMKrb11JswO/mD+U5x2mIGzTZuRDs0k0r&#10;PvGuc6TD9a0oiqIoilIs4F6O8U2T61c5Y5mosg1xaU/I5IDf3XLfluQy1Jgz7l3mXBwNk/00kcaE&#10;JrRPftnn6Z0ffjEvbfvRLP9qu1n42Tee7vlwi7n1/S88jX8nFnu+tslT/9UbPHX++3pPLZ5+M6Fz&#10;lr+aJFc9ZCI7X7lPloPlYjlRZojHgOOBcGw4TgjHjGOHUA/b9h9Sc56iZIBtbJNzeRAXAzlHVqj5&#10;MVX+xLlSnFvOP8oFS8w9cv5RUYoR9FVsz+dcOMwZf4SpqmP3pGuiqlXNDD90LCj4Y15ZDiiTRdCN&#10;235KpEdfriiKUglwLZoxLOJX13o0xDVj2d8WStw3xPVmxmJSKC/XhmWMlkpy+yAx7yCxDCxbIesK&#10;+0MZUE4cj8ajSiWCds5rAn/o4Ir3wjR28tSk6yrtP0geUdNms8wAKjZDHDp92fEjX3T+FDoOTmZA&#10;vMHlxEYUMQ2EPJgn8menxP3jpEFq2Ckv7AkyGVhwsMxmkGQwgHw48LHtsc2xvcm2xvZfaFgfrBN5&#10;3fF643WGY5GBBY7TVQeZKKjOUAZemyijohQraLtoy0OrMzfEYVy2r43YgD/YH8rzgr2/dAxxVy/d&#10;lOgHcK0qiqIoiqIUC7h/YHzjimPSUbMBExN5xVV4Q9zvr5v6aXIZaswZc1c4F0dTSS6e5uIeC+Yt&#10;mLhg5oK5C6KhjUY2aV6jocxVNlVD0XxHw50020mTnW2uy5WxjnMVjTFfoVQ2nK/i/B3nqOT8FOfw&#10;CrnY5RL6VahpbT/TtNdgT3jaE3TW8HGe8DpE6Myxk82ZE6Ym9PubZ3lP/IR+O21xQjA9JynW50Mw&#10;NofJ1Y9Qru0p5N1k4TOems9f4an93Mc81c5eYvrOW+ap16xF5qLZD5r+d88xF8+cZ4ZOvc/TZXfP&#10;NpfdPsPTiBtvN5eMv9H0v/waTz2HXmY69RtsWnXp6ay/Qsq1WCnnH9HmtL9TCgXaG9sm+hDXdRsm&#10;9DmyfVe1qlnph44FxWWIw+tPXQudYZKGOFyPuYAxDOqaYwqFfch1EI4zFNdE0hH7lFTiPrhflAHl&#10;oVhGllv7JUUpLdj34DrG9Y3rHX2EjGERk+QqhmU8zHVWGevI/kn2PbLfkX0Oy06VEzwm9q04dnsc&#10;YD/N88VzBnEtLBvhPPH8YD/YJ8qB8ijlg2xrvL7s9sbr0W5vaBsQ2x2E65pCO2T/EVVMw/6BbZD9&#10;BCT7CbZL9gtRwfZs641iiLukus16mQE0uy5zQxzSMh8cnA1OMj6XJ5UnkyeRJ40nQ5atmNW8bazD&#10;al9j2nbobDrXdDb9u3b1dHH3ruaqXrWeru3bzdw8pJ+ZOexCT4uvHGSWjh9pVt04KqHVd05I0mv3&#10;3Z7QO4tmedrw2MKEPnr2cU9fvLIqoX+tf83T9o82JLRz6xdm3w87Ejqyf59/VsofdjBse2x3dntz&#10;ndcgsX0iPTsG5Gl3CNx3pWIHEKgbBg6oM3awOAeuek5HOB/Ih501O2meD6hUggdcn5S8biFcy+nK&#10;zgOS+yhWeP1ECQ5wvuV4kgvJwV4O+LJNoUxh7Ypte3yX1s5xM4pchrhzW3cc7Q/lecHeXzqGuEsX&#10;bkikw3lSFEVRFEUpFhC/MU5xxTHpqBgMcWeOvmlTchkyN8ThCSTMA7GwvJ9CTIe62/DJF2bDV18n&#10;TG7S4AYzljS3ufahyp+keYVGGZppYKxJGG3GTk4YcGDG+fOlY8x5g0aaFoMvN60vvsK0HnCJaTfw&#10;UtPhomGmTa+Bpl3vi7zX6EJRTCucK8F9EIV5E8qeYGU7k3MpEOcSlMqAc3YQ+ht5n4+2wvk7tC1X&#10;u8u1zuvUw/y5ps78uXt/U9V7sNc/0sQmzWs0rSUZ1YQ5zXWtqsKFeqP57vz7l5p29z7oGe9guKub&#10;Otv0vm2mqZs4xfQcP8l0HnaVJ/RVF3Tu4TyX+RD7NdmXBfVjSuUh5zKhVPOZ7OsozpezvWVkiOs1&#10;OKnNlrohDmIMgnp0kc44UqixpDFkx2Gu2CtsvpsxP4S6ZDtG/SrZc+LkSU9HT8R1+PgJTwePHTf7&#10;jsbFp2XvOlyvnYeOevrxwJEkfb+/Xtv3HU7Str25l70PKVkWyC4rj4HisfF4IdYBhDqhWE+sNwj1&#10;WIywL2I/xD4I1yKuyUz7H6RDHow/gu6j2A9yLFIKD+od/SbHfZwb9rcc49EWXOc5TEiDc4/zzvOt&#10;FBZeV4zv5DmWcQeve8Ye2V7/xS7GHeyb0NZRN6gngv9ze1ecl0ojr5uUtM9zW1dv9MPNaPTv0O7t&#10;5AxqnIvxUSUX7Xlh5+NEN29TnVCbtnHVtO+QUG379qZ3h+jC9hDSMj/m79p/vsR9s/x4xR40sqaN&#10;JxgqJnZtZSZ3bem9Qg/1nY2BUerhi6o9PTayl6eV11zsyTbqBZnzbGNeoUx5svORQQbaX6Ztj8GF&#10;DCyQLy5Y7EdvAvKLPJ8cSGSwkGnAIIX08hwzIGEgYXfWUaB5De2c7Z/XBa8XXDu4jnBN8RrD9cbr&#10;D3Jdn4WW3R9k0idA7y5fYjauesq8vPQhs27lE+aJRfPNyqVLzNz77jML5s0zt98x1Uy8+TYzZvxf&#10;zbBRY82Fl1yWuGZzOWYUSigzyo82yrbF40Df7arrKJJm83oVryGuevLziXS4lhVFURRFUYoF3GMg&#10;RvlzxzpnHJOOisEQ9++XX7cuuQw1GZswYPKw80olPIGERpFUZhHPMAKzVoaGvXISzTLSvIb6cRnY&#10;pHkNdYz65pOmUP98ApXr/JSTcJ9l32vJ+3hc23LORmk8whYJOF+Xr/lil3if3u/Sy82I624yg8be&#10;YC66ZZppf92tps2t95imt95Xb2jzzWyu61ZVGmLfyj410Z/6ZmD0pc0GDDd/GjjC/LFbf2ebyYdS&#10;9WGyH5N9GaRz0NmB+qNYp6hf2UdR7Ks4F81FTZwvCOcO55B9GPqVLv0Gm9axfgZynftcKN1+Sf6R&#10;A1TVqnqtHzoWlFhs3E2WA3r5/Y+dC52pREMcryGeA/Tx+RhHmC/HEAj7g1iGqGKbSSXmz/3l69iy&#10;lV0nKLs8XlwruG7Yx0G8rmR/J/s8KV6fQZLbprp2ef3K8tn17pLcHhob082xfG6acreniXfcbe68&#10;d665Y9YcM2vBQ2bmAw96mrd0uZn7yBPmoaf+bhavXGWeeOlV8/hL68wzr7/rCe0fwtNxIDz90NXe&#10;VZnpy10Hzdbd9fp6zyGnmU+a9myTnm3Qs415MOPt3LPPfPrFl17bQ5tDO0O7wfWQzjWLbZGG7Qz5&#10;8DrhtaBxQPmDc8x+DP0X+iy0J/SxrnZjC9uh/SAt247ihrEgxxJ7/OC4gfrkNc1xOd/jMfLn+Mr9&#10;yvGIsSjLCMnxlX1HpkJ65Echf+6T9ZFpPfCY8HtN38HO/juVsjbE9WnfrsHkqWsxPqrci/YNRbMZ&#10;DGg0fuF1ctDozq09wfxF41euzV+ZCPuGUA4IZUL5IBgdIJQZooGNhjYa7mh4c9VJtqI5kHXKepVm&#10;OmmoK6a6peYPqPZ075Aenm4b2N3ceUl/76l6N15ykRk1oL8ZOXCA6dOjt6nt1sO06NDFWRdhalXT&#10;zfTqf5G5/IrRZtLEm8xdt93umXNeXLncvPnC82bzP94KfLJWsT9Nq1JhwOAKGtIJHMLUpfcAM3jo&#10;CDNy5BXm6itGmZtGjzLjBw/w2iba6R29q71riv2Dq32Xotjnsa9gf4e+BP00+hb027Kfo7E4n4bi&#10;C9p39tShUzevL4AuvnCgp8uHDDbjL7/M03VXXZWkv44dl9CN101IaOyYazyNH3dtA6GvwLmHeg8Y&#10;Yjr3utC06lTnLFeYUHeuOo4inAc7v6pW1ZP8oTwv2PtLxxDX/LonEulwfSqKoiiKohQLuF9AjPLn&#10;zv2dcUw6KgZD3FmXXtPgjxxdC6NRlIkhLlvRzOW9TtB/paBtsKPJDvKMdlK+aQyC6YGisSwTyXwg&#10;uY+EfGMFxXKy3DiGcjeulcrxYD4A4mQyJ3U50csJYC6s6qJT5n/5nukEebriYgH2yQUClIWLAH9/&#10;+x9m+fqNZsH6Teaudz9OvJpZn1ypClMDE12sn2e/7vXnsX7c1R4Lreade3hPxIM6Dx5ueowYYy68&#10;+q+eht5wm/daWmr0nfd4uun++UmasviRhO55/ClPc598ztOSF17JWPOef8kp7gOasmyFmTT/4SRd&#10;N2uepzEz5iRer0sNnDA5SX3GTDB1V12feDognmaKp5pCLXsO8IQnPP6lU50nVx2WotA2Xe02SGi3&#10;yXmkuWiYI6pa1wxOLkfmhrheQy9LyidMGCMuvPQKc2FsnLjmhslm2n3zzN2xcWLpEysSYz7NVdJw&#10;QhUzHJ8pjtMcq+UaCcR4B+LiNsduqpBjuCpcMH7CLAChzUODrhzrGQEgvDIOunH6bE9T5izyNOuh&#10;x8z8J5/3tOyFtZ7wNEbINuCpCc8t1g3qC/WGOkS9QqhrnAecj6ivecd2fS653Fx5/c3m+lvvMpNn&#10;/s0zTL789vvmnQ8/M1//vMv5pDxpwrOfjMcnDCpuWD8Q64x1CLFe5ZMIWe88D5A0ScqnHMonIELS&#10;ZAnJpykGCSbNILm2hzZ8+Y158uVXPaPt9HkPmotHjYu1r9T9ded+g81VE242t98zxyx4dLlZ9+4G&#10;897HX5jPvv4uqb3JNifbHcR6bOz2x/GZ4x4kxzt5fyq9AYUY35A39oF92fenvEflfSrHazv2aEzk&#10;dUPJ8w7JNkH9tHuv2fTZZvPSq294enLVi2b2wofNpaPHmy79gj0Z6EddfXAqoQ+W+aT9xx5d2nd4&#10;UWYAA4NrMT4dwRxBQxYNbjBP0IBFY5krbaWJ5hlpMoGkoQ71WCiTiRQNdjTZoQw8r0GiIcYl5BEk&#10;7CsXx4U8kB/2h7pj+5Ntz3UeslUmT9PiE7Xk07RSPWXPNumpQS89OGCuXv2KWf74cnPPzFmeIRJG&#10;qIEXXWzqevYxHbvm9hULvI7YLnmtoH1SaKe85iH2mWGiCVdKfo88pJg39gVx3/K65fWYz36G1zr3&#10;xbpguXjsOB5etxD6yWIdO2gYlOeBdY1jY3/kSpuO7LrMpyHurBa1v7L3l44hrsmoxYl0iqIoiqIo&#10;xQQmoRCj/LFTP3cck4aq+o5LxDxxFd4Qd07foRtlGWBQci2MRpVtBnAZAsrJ1FVuwrmhsVCaC2nY&#10;SxgLfWMfzjONgDj3lHz1I8Wn2qV6Sg23kWnlU/DYxlztDEqYCYukrckJbkyqc4KbxjpMcsvFZk52&#10;U3JxmhPgnATPRDIPSObPfXLSHZKL4FwgkAvhnLjnQkFjLYbLemb9cgEBx8Q6+27nbvPeth+8VzYv&#10;/2p74pXNanpTFVLo19iXJYzTsX6MBmmvD/PN0K72ripvYeyiXGOyc1zGWGiNzUljcqzNudpikJB3&#10;crkKH6MClyEOphzXQmcqwaBCYxANQTQBSdNPumYfPFFKPlXKZU6QhgcaIWiQkMYJmiloNAgyG0jD&#10;gVxw5kJ0sWCbD2TcIWMOGWswPgqKNahcxRx8OiOe1IgnNkJ9L7ncDB01zoyacLO54vqbzbW33mVu&#10;njHbTIq1mZt8I5k0k7nEbaRoRoNoUEOblKKJjaa2qOapxhLKJ014NOLJY+Kx8trj9QfJOqN5jMY8&#10;ac6zTXq2cP2mI6az85f7Znnk+eS5k+crm/OEdMgDeSJ/7I/HUyjjYbp9mOzHpKTxy9W/ZSpXvpC9&#10;f1k+lpuSx8Tj5HFDrnqpBKGNod2j3aFto0272mmY0P55nfPaDruu7WsOevTFdQnhiZjUopXPe0/K&#10;hGYvecL87ZG4ps170Nwy42+eSRRmUQjGURj9IPThUGc8gbdLrI+PYP7LVMjbGz9i+4NgIKSJkEZC&#10;6NFnXzBr17/v6d2PPzef/Otbz9RKY2uq9i5lt31KXgNS9vVgXxP2tSElr5PGuF4Ql6GNoC2x/0U7&#10;cm2bSuhr5blL2xDXvm2HNTIDGCFcC/Gq4hOMIUFGDIiGF5pdaG7Ll9ElH6J5hoYiaZ6BcQbHTMOM&#10;mizjksa8IFNeqtdc2sa8oFfgSpOebdazRfOeS67tITtv7pNlYdlYXpSdx4Nj43GjDlAfqBtXnbnE&#10;60uaVW2TU77NY8UqeU2iHuR1iTqiqQ11R1MbDW2uulZFk93OqlrVzPCH8pzjNMQNnepcCHap6fBZ&#10;XhpMcOSTVH8VIhd+whZ/wiZm0pFMD8m8sT/sm+IEEcrFiSNOJuEYuMCF4+NfiyiKoiiKkj2IERCn&#10;VNWUhyGuSY9Br8syYOHVtTCaD9H0JE0B0uBEY0DCTOebA4rB5FQMci2Wy4Vye5E8aIE8ikmtHERj&#10;HeogYULx25qrnbnqXFUY8f6I90K8/8G9D/pgCPc6Gz75wnzxzXfmsx92mk9+2dfA5CaNbi2eflPN&#10;bqqSVqo+TPZjsi/TcTN7cbxNjLli3IVsoxrHX28M9k1qgeOwPxYX23iMsifXQ+MYCpbzbgAAI/ZJ&#10;REFU4s5t3XF0cjkyN8RVsuRCtr3YLRfD7QVz18I65FqId8m1kG/LlU7K3rddRll+HtMH3/6cEJ/a&#10;ZctVT6Uglh/XAeQyd0lDlzSm0NBlm7qksSsbc5cqWTQKNrbhTaVKVzQhoR9B34E+Am3Z1c5LWbhG&#10;5XXqMvbRzIf64LWL+in1saQS1dAQV7PSDzej0bJNx6dlBjA5uBbiVeUpmn5orKOBRRrs5NOlpCEI&#10;P4Mkt6eQT5BonqG5Tc0zqlIUrydeS/I64nXAawTXEAQzWdBT2oJEo6gtezvmRdG8RgObvI7lNYry&#10;otx6TRaXcI7leH1uq+pF/lCec7I1xGFbpMHiRxRg9pKmNhraaGSjiQ350axml6+SRPOdNNrRYEdz&#10;HeoP9UhjHepWjXVKuYJ2HdSPULw22K9AvG4gmlVpmGWfEyS5HcT0UjJ/ivuW1yqvV9sQK69dvX4V&#10;JXfgmsN4WtV1sDOOSUe2Ia6qdc1WP5wqGE269HtHlgELu66F0WIVTXU0CkA02NEw4JkGsBjtGwco&#10;uWBNM4E0FWQjOz+5LyhRDmuhvJQWyytFbFtsV3Z7YntR02a9cL8hn7YyZNQ4c8WESeba2+4yN0y/&#10;39PMhx6Nv3Jx2Qoz56VXzey1671XlP5tw+dJhrbx73xiRry2KWFsU3ObSpWdEuOm36/Jvk1Kjk+J&#10;McuXHM/kWGePhbmU3I/cP2SXL6nsMcnjYnzAY4eCxtpKHm9Rj3bf7oeOBcVliNMFaJWqsLINeDTh&#10;0YBnm/BcRjxpxqMhz2XKs415UnZfkCvJfXDfNMhIk4w0ykizDCTNMmqUUZWz2B+wD6BpDuK1bV/X&#10;8rritSyvuzDZ16N9TdrXJcTr0jayqZmtsoV2lNT/p7s+/qfW1c/JDGCacC3Eq1QqlUqlajzB5CjH&#10;67Qd8GmQtSFuUHziDaYRmlOw+EwjCI0muTa3IS9pFqNpRZpTWAYaUmhGkYYUaUxJR3Z65kvjC4T9&#10;0hiDMtFMw/qAXMeWD7GuWF+uumK5Zf3weINMO7ZoVqIUJQy2E7QptC20NV5LvH54zUC57ENKTa06&#10;9zQ1fQZ56jXkMnPhyGvMpdfc6OmqiVPMZRNuN1dPvsdMmDbP0+T7HzZ3LVzh6b5HXzDzn3rV07xn&#10;15uHV2/y9PibX3la+8mPKfXell8a6LMd+xL6btehhPYeOuaf4dyBdoI+Bm2FYw374qD+N5Xk9pTs&#10;/1x9IPcv+7xKA+dXSp572SakwtoOJfNh3rkA5xTXULkY4pp2rEt6ZWqpGeJUqmKXbT6hGSPJdCKM&#10;HEEGEz71ieKTiTKRnVezoaPrddm1cY25yVPTa2+La+K0uG69zzS96wHT5J6H45rzhCdpInHVg0ql&#10;UqlKRxibZHwIYa7PDx8LRlWr6kl2OVyLnCqVqnJFc0s6cuWjUqlUqvKVGuJUKpVKpaoAYXyW43U+&#10;DXF/bNHh13JfUDqGuIavD4suaWijQYtGBZoSaESgCYEGmnKDZg8aPmgOoimDZg/UjW2wK7S5Lltd&#10;0KmHaV4TV+u6gaZV9wGeWnQbYNr2ucS06nWJadFzqGnV7/K4BlydUIuLrotr6M3mL0NvS+i8EdPM&#10;eVfc5wmv8W16+VzTZNTihJqOWWaajlvhqcn1q5xtWarFba8GqvPdbzZQv/vXJ+nShRuSdPXSTQ10&#10;04pPkjRt1RcJzX1lSwM98tY3CT2zYXuS0jUv2eYTKWl0SdeUwusTbZhGIrRdXtf5MLe17hJ/okn/&#10;Sy5PaMiV4zxdib8+G3eTp2sm3ZnQdXfc68k2kN1wz4MJjZu2yNOVt842wyfd52nIDbM8XThuqqfe&#10;Y6Z46jbqdtNl+ERPHS+5ISG22wt6jzTn9Rxh/tJ9iPljp371al9kT6RBeWLCqyU9dR1sqroNi6vn&#10;qLhifT7VbMDEeg2aHChep62G3+Gpw+V3mi6jp5may2716g6qu/wm02fUJNN1yFWeOl043LTreZHX&#10;XzjLWoRKZTwOMh/bhrtMzXa8XnEd8zrHtc9+AX0F+xD0Kexv0P+gT2J/Jfsy9G+y/3P1l4WQ7H/Z&#10;x8q+FMcza9XHZuaTb5q7HnreTJ37iJk49X7TZ+hlib4G7diVdzoqBkNcVbsuH8sywBzjWhhVqVQq&#10;lUqlUlWGYNyW8SFU1aLmbD98LBhqiFOpVCqVSqVSZSs8cVDGk1Wtamb44WY0YkHpWpkBXqnnWohX&#10;qVQqlUrVeML4LMdrjN/+UJ5zXIY4GIpcC8Euwewg08Lg8afawebPfUZ7+sugm0ybK6Z7aj9hqel4&#10;4wpTPfl5UzPllUAzERe7pbjwLSXNRFAhDUW2iQiSBiKqMaC5ThrraK6jsQ6acs8cM/H2aZ7GTLgl&#10;YSLC06f4JKqWnfP3mPuikW0AogmIBiBhAkoy/gyd6skz4EUx4UUw4jWa/PJ55UW5Y/KOIXZMnmLH&#10;x+P1jt03QXl1g7qK1VkuzF3IA0Yx9iF/ufBarw+B4dGra7+OWbdFXafpSp4D/zwk2pI4D4lzwXaI&#10;8+C3z8T58M8J27VndHPUd0kLxxTTnzv394yGnom21yWm3YVXmI4DrzRdLhlveo28PqF+l08wA0f9&#10;1dOQ0Td4T9ijLrp8rCf0fTBQde47OCEYLiFnGQqov3SsM+d3vdBT87qLPZNl835jEtdJA1NiOn2T&#10;qz02puS1YPVHsg9KtPOYorRxpHPuLw0VhSGudaevZRnwJCrXwqhKpVKpVCqVqjLkMsQ1bdGhpR8+&#10;FgwsVsoyYDHTtcipUqlUKpVKpVIFScaTkBriVCqVSqUqQ9mGuHNbV2/0h/Kck60hzpO/cF2UC+tF&#10;LPnUnTDROJhKrrRSrjKkLWlUsOUbF6SBIcmEQVOPFA0bvjyzAyXNHbbpRxp/XOafUjEAsawxsfwJ&#10;+UYPT/JYXZLbBsnKvyD1hOPCvlHG2DnzTDsQzDqx8++1C7QVv10525wqt5LXr7hWXddlpOvQvhbT&#10;kczDzzepjaAcop0URVvx9x9Yf666s+uNx+9fl3m/DtOR3RfJPiTo3EWVTC/zhXLZJ7Hfie0z0ZZw&#10;nlznM03hHMp9NY4hrmarLANe0ehaGFWpVCqVSqVSVYbwmm8ZH8ZV3c0PHwsGXmcly4DXXbkWOVUq&#10;lUqlUqlUqiDJeBLCU4j9cDMaWFCXGfTuoIY4lUqlUqmKTRif5Xhd9IY4larYZZmAYGBJaWIJMgBJ&#10;Q4dvGsmZkaPY5B9XkjEGx+7XRZJ5SRiXGt20pFKVqhx9leynIhntXP2T6/ouNaEvYj9k9T9JfY+r&#10;XnOkYjDExWLCXbIMfxg10bkwqlKpVCqVSqWqDJ0xd0VSjBpXx9F++FgwqlrVrJRlUEOcSqVSqVQq&#10;lSodbdz2k4hn40rbEGf/NbEa4lQqlUqlKj4N7NguecDP44KrGuJUqjzIN4RJY4s04iWZXITZRcoz&#10;vlDSpOeS3DZESfuI7TNRFr98KCvL7jwulUpV+rL6pgZ9kugnkvoQ2efQjJauZB4y75iwv8A+yXUc&#10;jSAY8WS81DiGuOSYTQ1xKpVKpVKpVJWt0xavSooP42p8Q1yvoZc5FzpVKpVKpVKpVCqXXIa4tONa&#10;2xCHBXfXQrxKpVKpVKrG09DqZEMcngbiD+U5p6pFzdnJ+1JDnEqlUqlUKpUt2xCXzyf4BpG8/xpz&#10;5tjJzoVRlUqlUpWWYGiB8KQnT/cu8/TbaYs9/e6OuQn9/uZZCZ05YWq9YmMCBLO0FF6vHUV2OlvM&#10;P6HYPlkOlItl9cruHweOyXW8KpUqt7JjxLSfpJEDYvtcK8sw6MqxzoVOlUqlUqlUKpXKpbc+25oU&#10;00JVrWsG++FmNNQQp1KpVCpV8avRDXF4cpRjIVilUqlUKpWqUtXYhrizWtT+Knn/NZ4ZwbUoqlKp&#10;VKr8KmFe841r0qxGgxqNZDCbnT1klDnnwmGmaa/BcdX281TVsbsnu38vV+FYvWP36wH1QkOeNNkl&#10;zHVqqlOpIqlBP9KqepEfQhYMNcSpVCoIT/fJRK68VCqVSlVZyokhDgvqMgMsuLsW4qVm111gZna/&#10;wNxZ29JM7NrKjO/S2ozuHBfSQzDW4fWrte3bm5r2HRJq07Y6Sc3bJAtlsD+D7HQQ88Q+urZvf6xn&#10;+/ZHqf4d2u2DBlW33XNpdZtd0CUd2+64vKbNt2M6tf76us6tttzYueVm6PYuLT+b3q3Fx9D93Vts&#10;WlDXfCM0v8f5WwO0S8pVRyqVSqVS5VIja9okxmrKH8pzjhriVCUrvtozE7nyU6lUKpUqRI1tiHO9&#10;5h6mAdeiaGOJTzii+IQgaRpxicYHKdd2Ccl8fXGfrnKpVCqVVKJ/8vuUICOby8RWSea1YhPNdDgn&#10;NNLxyXW2ic513lWqchb6qKTrpVXNSj+ELBiIjWUZRl43ybnQqVKpGlcwn8Fw8PL7H3ta9sJaT/Of&#10;fN7MeugxTzdOn+1p7OSpZvi4iUcHXHb1Maj7oGFHqPY9Bni6oKb7cah5Td0x2Qdkqxad6k5ALTv3&#10;OFnTd7CB8CpmmG0h9DEQyoiyTpmzKCEcA47nqdfe9YTjhVz1oVKpKle2MZd9hewjg8T+xSX2q9nI&#10;la9LrrJB8lh4fK46KDah7A3HhOpufrgZDTsDGuJodqPJjcY2GtTsdOWp6l14gl78KXrVG/EXLbhx&#10;gPAXNbGfM/CoaQjvqoUbESegTZv2naF+bdvWDOvY9vzrO7b+93m9/nI29ECP81pC8+vO71av5oOh&#10;Bd2bj36g+3mTqPk9zp+xoMf5i+JqvnJBXfO1QjTslY0pD0ZLabac3DXYcEnTpTReUjRK2nKZKlPJ&#10;zkPuh8L+pVguiGWFkUWKx4Njo3CsEI6bQj1AqBOIdeSqP5UqHbHv8LUVfYqveB+DPsdTvA+KbTOD&#10;Yh+FPotiPxZXff/GPo9iX+jSotoWv05XrnzsfcryxFXf56bR7yZM0qzDQstliMNTQfzhPKfk1BAn&#10;DEdNx62Ia8yyBmoyanHaSsqDecekBqciE889z1WsLXkaPss0Gzo1rgETPVX1HRdXz1FxdRsWV9fB&#10;9arpl9C57bvXy2qzOZe/H7n/RJlYTpYb8o+Fx9Zs0OR6xY4Zx+8J15bdrmVbdtWpKn9i/+GL5yIj&#10;sc1nKNkuUsmVPiFX2YTsY06Sq45UKlVC6PvlWIE5Az+cKgiumC2qIS7JnHZv3IDmepoRTAX2E41o&#10;CCnFJxuxfDRReIqVn8fD46OxQporEvKfVgShvmi48EwXwpynhjyVqnDi9cY+jf1ZqKGtBPosVW7F&#10;vp99PPt1mufQflztS6UqRaGvS2r/BY5Tgf12KphUXAudqnq5FuG5kM2Fbrk4DoOPNC1B0gQE0cgk&#10;hXORrlz5QHJfshwsG2Qv5MuF+VJZkC9msb28+I8P965Y9/a+B5996Yd7lyz/+s65D3572+wFm6+6&#10;8fYvLx59/ebuFw3bUTvw0m3VvQf+2KJzj53ndeh6UF6jlSwa7GisY5tHu0YbZttFPbvOgUqlcits&#10;XEs1tkFyXOFYI8cgjlE0xNIgC8EwK8XrHGrVpWeSXP1CpYl1IeuJdcc6ZT2zn5TxgYwF7LGf434m&#10;Yz7SNyxvloa4yjK8NYbiJrtUBjuY62iwa9qiQ0sIk934C/AwA8Si2ha/kkaRZDNIsukuyfiRJ9MH&#10;DVw0WEqTJQxjMJTBaKZtLnPxmnUZ+VymvWwNe7Zpz2Xck+a9MLnaTDay85flYRkpWX55bJA8btaF&#10;lF1frEdK1jEk6991HiA7D+Y9vKbNIYhPuRxR02Zz7P+boNj3r8d+vggN7thuKTS0uu2sYR1a3TCo&#10;Y+vR0NDqNn1GdWrlmXP7tm797xfX1Pw3v7tQsoT9bXJfW9/PJvpYv3/Ntl9F27Ov/0Ia4mDw8Yw8&#10;0rhEE5AwKhXUoJSOpJGJBibbuGSblYRRiaaSijWI+OaYhMFGGtr8dpFoE7ItuM6FKnOhHVf3OeGp&#10;88AjULOuF++DqrqP3F3VbcRPVXWXf0016zn646Z9x2+EmvW55u2q/tetazLo5hehZgNufApqOuS2&#10;Rz0NunkBdM7Fd95nq+mI++6imly5+JamVz44U6rJiNlzoKaXP7AEanLFwqc9Db/37+eMmP16k5Fz&#10;Nnoafs+HsTy2NB153w9NR87eL82RVMIkSfG69NtZUh9E8VqG2C/JvoliH8D2KeWqb1U0WXUp69mT&#10;fR7kOYLk+YPEuZXnPKktQKKdyDaUaFcxSdNgUn9uyzIJSiXMgY0kV5kiyXWcDrnqyJas00DJcxAg&#10;ec5Syj7fUSXbTBS58giSVUYcE9q0vB6KwRCHRX6n8UOYP+w0qgKqbad9zdp13QFVtev8XVX72s+g&#10;2P/f9tSh+4tVbbo8B53brusjVHy+iPLnjXzhDzRd4rwS1aSm52XU2T0uGptQv0tvPHvQZVOgs4aO&#10;mQX9YcS4+dCZV05YeuZVNz4F/dsN09ZAv590z4fQ72697weajoIkzYJSfAqXNBBKE6EaCStTQaY2&#10;mnTDTG3O602VJJr/KNRdkOxtbbnyLyehDmiSpnFOTXOqYlVS3+n3n1ADQ1zrmq1+CFkwsE9ZBiyk&#10;2guj1MYMFkhzKeyfYpmiLtgHLdTLRXp7cd61IC/rqpIlF+Pl4jvr015wh3h+oGJpU1G04Zsfd0Ov&#10;f/zltuff3vjZM6+/9485j698B7pz3uLX/zp15rrLJ9yybtCo8ev6Xnrl+q79h77ftq7fhxd0qtv8&#10;5w613/2pbae9f2rTaY+rHlX5l2yjsm2yTZZKO1SVnjIdryCOWUFjlz2GQeyHOZbJ8UyOaZCOa6qo&#10;kuM92pE95qMdom3idzstfFN+uJkaLKTbGahKUa4n2SWb7eoNdw0nUF0Tp1It2nS4vm3b9rdA1e3a&#10;3VXXod0CqHu7dk91ad/hxbr27d/u0rb9xk7tOnzZpV2Hrzu27fBTu3Yd9/2lTXVOH4erqmzR+GfL&#10;ta0qHeG12cl9SH0/Eu9DoOR+JLn/iKVrYOCVJt5URt5KBEY6aaKb3rX5lKm1FzxxW5eW/7i+S8sf&#10;YH6DMTKVaRh162eZU3D+XPtT2eq8v6pt1x+q2nffUtWh54dVHfu946nThWuqugx5pln3EU9BVT1H&#10;LW3Wd9z8ZgMmzmoy6LYp50iDkW8oOnvsiinn/PXlSZ5uWDMjoYlrFgmtFFpLNZm4ZqOnG1Zvpc65&#10;/vndlG2OSJgbhgtzAhb6fXOAZ0ihmYjGIefxq1QqlUqlkkIM7YdTBUFjNlWliCYcadih0RML/jSu&#10;0LzCJ/tB8sl+QU/3s815ashLT6cten43dMacJ/ecMXPJdzF99rtb7tsC/f66qZ/+4ZpbNp85+qZN&#10;Z11y9ZfQ2YMu/7pJ3cAdTWv77oSa1fTYV9W+yxHXuS9HJdqyaMOy/Sa13Sjt1mq/bMOU65ylp9W7&#10;Tn1k9dbfLF2zMaaV0KmPrJkB/Wbp6tG/WbJ68KkPv9wS+t2dC5v/ftRN5zfpcUlzzAnFx6nqblD9&#10;3FHH0fXzSjUzxHzTSoyjniwTTTHKO4+x8+c0zcXOh/YjKorXond9+tcr2olt+vUUa0fsA9Cu0L44&#10;zrHPQP/BcdHVNoNVvcsPIQsG9ukuS3TJhXW54J6uZD5Srn2qyk8412wLXHSnuPguF+Ep2xwyZtKU&#10;I1fdcNu+KybcshMace2NOy4d+9evITyBre8lV3wJ1fQZtBnq2HPAp6269twCA1vz6u6feSa2Np32&#10;/LF1zW5XOVXlK7Y9tjHbPAcjE4xNLvOTqnQljWs0q0mTGk1psp9BG8HriOuGjDgOdew18BjEVwa7&#10;2pdKVWnCfaYfbqYGC+muTLJTvbki9tM3VtSbKiDe6Po3u8Kk5ZbcXir2Xf2NckyJ/fnGDr8MWQfd&#10;KpVKpcq1gkx4UPJYwbEg9p3TiAfF0nsTrBgEKUy+StGcJwWjXrqS6WX+3C/LEi9X3FgcL3d8PIsf&#10;X3zM8o8/43EK+/WH9JwSPw73PlWFVjyuSk+ufFQqlUqlUuVbiPH8cKogaMymUhVGNB5IM16QEQ9K&#10;MjRJ0fAgDE40OVE0O7mUMD4FyJUGkvn/7rbZ+39/44wDv79h+k9njpv8Lc1q/z5i/MazLr3m7bMH&#10;j9pw1sDL3j7nwuHrmvQesr5Jbf/3m3as2wjxiYZVbTtvq2rd6etY3eyulPuPpDYgTGxJ51ucW9a9&#10;d26EQc1llimchLHtkTVrPWPb0jWLEsa2mGhsO33Ji2f/t0VrfwX5Q06jwfkXzrd480CcG3LOsbjP&#10;YWOJbUYa5yBXO2l4zlSFUPEY1vIv/7IqGK4yqFSqUlZ87tlf02jwYIWG6znJazoQ10tSyU4n8+R+&#10;ZBwAMRbIds2lsUUDJw2bNGfCQAfzFE10kD6FLveyTWwQTWxzHn/6wIxFSw/eMmvurnG3TvsRxtiB&#10;l12zveeQkT916jtoJ15H3Kq2957zOtQecp1blUqVG6W1No6bSVcmDeUNcp6xjYNZfFCK3YTGdoh8&#10;aBTwsy5KpJGB5gUcg3ccNFaIATb1gOqqK1X+Vb3rj62qd/+pdc22P7Wu/u68NtWbz29TveWCNh2/&#10;btWm46dt23Tc2rFth0/5xLqu7dpv79au/U9Q3w7tdvbv0G7fhR3aHrFfWQm5Xm1J8fWjUnw1KSVf&#10;W6pPMFOpVPmWGuJU5aP6CZV4jBWfVIEYg8XjsdQTLPYESpiYJrWCJlzqY0QoUeb64/COy33MKpVK&#10;pSo3YVzww6mCEBtrBrvKkWtVtanZ6wmv+GzX5eOE2nR6PfF6zzTGZpRbKjZWevMymcrOL55n0Fif&#10;PKbHfk8az2P5OcZyd72oVKpSUv39hneNJ659v08Q/dO/DxjR99+uvvWS319/15jfTpk/9tS5K6b8&#10;90dennTq0jWLvCekwUwWE8xlnmA0c5hscifkHzez2YY2aWpDGe0ntnnGtmVrf10MxrZC4zLRxft9&#10;//7NawuuttL4kuZLabpNGG194yXMWtJQRxWHATMzsewJg5plUgs0qjnMaqVoWMu3Cr1+5yqDqvD6&#10;c/su+136S/uuB6DmNT1+ChO3g+w8XPtTFaMaPsRG3rvJOAhjJ1RKa/+poDdA+gJwrPX3i/H7Q9QL&#10;7wmLOU4IE5+EGPTqQT6VDoLBi8Y6iE+pKwWTHU1rtnENxyGfwAbzmjSwQXiiI0xs3S8atgMGNqhF&#10;5x47z+vQ9SD6OVe9qopL8kmvbPN8fWumTwGV1wif3EfxmuF1EyZ5TbnEtpquXHlJucpii8fA4+Lx&#10;QqwD1g2eiDp83MSjl1w94UD/EaMP9b101D6oduAlB7sOGLqvbV2/A1Tzjt0K/rR39Ol+F58adP7J&#10;GXiTAxu9icHYQICBIa0MKxjUk2tA9SQmXr26FTff9QNrpU2yJk9CMfhi0IX6Y9AF5TPoWlTb4ld4&#10;fSE0r9dfzq5/jWH8VYbQgu7NRz/Q/bxJ0Pwe58+AFvQ4f9GCHs1XeqprvtbXRij2/VZfu2LfG6nZ&#10;dRd4mtm9XnfWtvQ0uWtcE7u2Smh8l9YJ4TWK0MiaNgnhtYqQbepzGffUsJdPxSdXKbRvqdhnSQsr&#10;1ndJad35q1S2qnehn/S7spwSy7ube59QfRuP/UzcRLMvZ39er+RF0Fg6f5Gy4WImjieKXGmZbzxv&#10;1wJo8o0tFUtboeNwrhVtcYnnEGM74qZymFRJF07CMG6UsSMl27Jsw1591l9nDdqyV/9JY4vrXJWy&#10;OE7W90PieL3jp+rrJtEePbH+/DoUfRUUr+tz29Vd36ym7y1VtUPvq6obucB77XGfa1Y2G3DjU1CT&#10;wbe97mno1E+hZpdM+7rJJdN/8nTpjAN4HXED4TXFGQqvOXbJ+37k7P1x3feDpxH3bYGaDL/nwyYX&#10;3/G+J5R10M0vQt4x9J+wFMJxeceH4+wy6C4Ix+0df7tuU1gfwbLrr759ijpOqv9YukSbhRqct+Rz&#10;Ks63qz2oVMUntHO/uy8IsWslNla4ylLfT8Z++n1i8KJHbJtEHMYxmuO0vyvFR47jHMtZd6hHCHUa&#10;r9eG8ahX9w36yIb9Is4dFfu/9ocqlSe7b0vEGIl+LX7t1c8pFrov41PVPBOaEIxpYUrannlUoImt&#10;MUAbYR+O9oP+Ot5Hx/plr6252mLpiQYwz2hH+QYxGsZovktHTBumhBGNEmVguSrRnNYYQr/oN/28&#10;g2vLVYbKUP14xTELqo/54uOXiAn9e+p4zMg4neMahD6KMSfHODtul/JPQ8Hh/lkuiGVl2XEsUP2x&#10;NYyZ62Pl+hjZr8sKjYd5L8C2VN+GvPoS7UW2j8ZuD+UC2jHbrtduk9op44Xybpu2+SiVCSldMQ++&#10;JrT7oGFH2vcY4Mkz3FR3P9oYppvKU6Kv8YS27bfvxNwtxL6ZfRHUqkvvJzr1Gfz3Xpdc8Uz/EWNe&#10;HHr1X9++fMIt68ZNvmvjjTPuX3/b7AWbodmPrvgJoklLmrqkAUyaMymXObKc9PnOA7uoL3bu3xrX&#10;gY1U7PO1X/yyf2W9DiyCNv9ycAb1+c59kz77ed9o6vOf9w+GPvvpQLdPf9rXEvp81/6zqU93Hfo1&#10;tHXXrl9BfreXFXL8t8f95DE/eLyPtztXG40L+fu7S41XGARa6MD9wdH/SmlEZMAYtbHUN5igRiM7&#10;MXfjyUzuThHlkMEYys1ArJLbmW++SxjwIJjwaMSj6g15ycY8mvOkaNQLEg18UTWz+wWzoSm1LRZA&#10;t3ZpPhOa0KnFHGhMTYvF0FU1re4bXtN2ATW4Y7ulAzu0nU/VdWi3AKpt3/Y+qrpdu7ugtm3bz2nV&#10;puNM6PxW1VOg+jYtxZvBVKpPw+CfQtujYm3Tu44gtEcptE0pXoMUbx4o/5QWDHv/dvkglh3HI4+1&#10;/vj9OhH1hfoL6kOgWHpHP+LqC1S5l9+34jx45yd2vnAu/fbpN428gDYmrwvsD5/5X5c9vMbk9eTV&#10;PeS8dtIL1opX9WO6dyyJPiHe17JPlW2DfZJfdUoRw3PFMYNtXArnVgptX8q7BkJkb2/nR9n7hWS5&#10;WFbKP4SS5Kyb1v7K168TmvDi2ZEl08XF/Cr6upPtQ7Ydu13Jdme3T8jVjinGTcUoV3mD5Dpul2Rd&#10;Bcmu3yDJc+KSPH+p5J/yRsVVLvuY5PH7yQoC9s1zg99ZPv9rpQKQ7ZKSbdOWbKv5lN1/UHbf07DP&#10;8vu5RMxdH3t78WjEe1e8zjOmPe6YV9W4kvcbOHcNzbrxttB4pjZFsUH7Yx+G9ol+KTEXULL3/6ri&#10;VfLcDMT+kn2m7De99ijuE9BOOe5yXGYcUOi+1I4/7FjAu54ijP8QjztbyTzrFd8fy8G6ZH3KOpX1&#10;yrplDKZjVWFBfbN9ybYl25VsS/75d8aQVCydH0t615+/FhIuK00iLyi+D+4zOeZBuWR7i22fdO3K&#10;tuUfslICsE3ifOK84jx759o79/X3LO7+X1W5qu9P0Ea8dhKh72D/wT4EYj/CvoRC26TYtxRLH0NT&#10;lmfQ8k1bMHBBNHR5pi6avHbumyQlDWEUzWJR5cqDkvuSZrNEeWQZ/XLzOIIMaNKElisjWrmCNsq2&#10;y/61GNqtUmKww5OdoUvcjvKTK4pSobAvYB+BgQhBFgMvqD4YS74BhRDE1d+IJt+EIvCDYr/7N5eu&#10;ILHUlBzU4rgZyDJ4lUGq9rPlgbxGeCMSO/8Nro/kayT5WvHaiH+9SMnvkxVPz3y9vBP7ql9YguT4&#10;7hdZURRFURRFUcoO+94VcsXmjM/tuFzE4P7CRPIiaixdGd3DJt+7UvFjDl+UQf3xvse+5/BPhaKU&#10;LWjrsWvFuQDuybumXNecqrTUsI+Mn+PU/SPaR1Afqf2koihKZcH7E4wN8TEifg9Sf9+hBrriFu/7&#10;kmMBGQe4YgAd/xVFURRFUZRQGCQiYKQYRHJSCcGlFAJOWwxGM1FyPvF9cN8Malk2DWgVRVEURVEU&#10;RVEqG97HBt3LyvtZSN7PRpVMb0vuR+5flssvqqIoeYb9AK5NXr/eHJMw0XEh3FNrGm5di7GqZNWb&#10;1eJ1lp5hDcL5kP2m7C/9U6goiqIojQLGI4xNjCG8scuPHzwDVnyMS/zxTv146BozK03RDe0yNpD3&#10;U/L+yT8liqIoiqIoiqIoiqIoiqIoiqIoiqIoSrYEGuo8M5e/gJtYHI8vkHuLu77Rrn6xXCyYx8TF&#10;4Wwk80sW91e/6CwXnutVb1DjQnQs3yTTL41qujCtKIqiKOnBGEIa64LiCYzJcdWP0+5YAnKN/elK&#10;5heXO16Il0vGCowXZKzA49QYQVEURVEURVEURVEURVEURVEURVEURVEURVEURVEURVEURVEURVEU&#10;RVEURVEURVEURVEURVEURVEURVEUpbCccsr/D2h7Caocv9onAAAAAElFTkSuQmCCUEsDBAoAAAAA&#10;AAAAIQBsYBXB8tQDAPLUAwAUAAAAZHJzL21lZGlhL2ltYWdlMi5zdmc8c3ZnIHdpZHRoPSIxMDk5&#10;IiBoZWlnaHQ9Ijc5NCIgeG1sbnM9Imh0dHA6Ly93d3cudzMub3JnLzIwMDAvc3ZnIiB4bWxuczp4&#10;bGluaz0iaHR0cDovL3d3dy53My5vcmcvMTk5OS94bGluayIgeG1sOnNwYWNlPSJwcmVzZXJ2ZSIg&#10;b3ZlcmZsb3c9ImhpZGRlbiI+PGRlZnM+PGNsaXBQYXRoIGlkPSJjbGlwMCI+PHJlY3QgeD0iMTIi&#10;IHk9IjAiIHdpZHRoPSIxMDk5IiBoZWlnaHQ9Ijc5NCIvPjwvY2xpcFBhdGg+PGNsaXBQYXRoIGlk&#10;PSJjbGlwMSI+PHJlY3QgeD0iMjU5IiB5PSI3MjAiIHdpZHRoPSIxMCIgaGVpZ2h0PSIxMiIvPjwv&#10;Y2xpcFBhdGg+PGNsaXBQYXRoIGlkPSJjbGlwMiI+PHJlY3QgeD0iMjU5IiB5PSI3MjAiIHdpZHRo&#10;PSIxMCIgaGVpZ2h0PSIxMiIvPjwvY2xpcFBhdGg+PGNsaXBQYXRoIGlkPSJjbGlwMyI+PHJlY3Qg&#10;eD0iLTAuNDcxOTU3IiB5PSItMC4zNDE3MDYiIHdpZHRoPSIxNS43NTMiIGhlaWdodD0iMTcuMjcy&#10;NCIvPjwvY2xpcFBhdGg+PGNsaXBQYXRoIGlkPSJjbGlwNSI+PHJlY3QgeD0iLTYuMDIwMzdlLTA2&#10;IiB5PSI3LjkyOTY4ZS0wNSIgd2lkdGg9IjE1IiBoZWlnaHQ9IjE2Ii8+PC9jbGlwUGF0aD48Y2xp&#10;cFBhdGggaWQ9ImNsaXA2Ij48cmVjdCB4PSIyNTkiIHk9IjczNSIgd2lkdGg9IjEwIiBoZWlnaHQ9&#10;IjEyIi8+PC9jbGlwUGF0aD48Y2xpcFBhdGggaWQ9ImNsaXA3Ij48cmVjdCB4PSIyNTkiIHk9Ijcz&#10;NSIgd2lkdGg9IjEwIiBoZWlnaHQ9IjEyIi8+PC9jbGlwUGF0aD48Y2xpcFBhdGggaWQ9ImNsaXA4&#10;Ij48cmVjdCB4PSItMC40NzE5NTciIHk9Ii0wLjQ2NTQ5MiIgd2lkdGg9IjE1Ljc1MyIgaGVpZ2h0&#10;PSIxNy4yNzI0Ii8+PC9jbGlwUGF0aD48Y2xpcFBhdGggaWQ9ImNsaXA5Ij48cmVjdCB4PSItNi4w&#10;MjAzN2UtMDYiIHk9IjMuMjkwNzFlLTA1IiB3aWR0aD0iMTUiIGhlaWdodD0iMTYiLz48L2NsaXBQ&#10;YXRoPjxjbGlwUGF0aCBpZD0iY2xpcDEwIj48cmVjdCB4PSIyNTkiIHk9Ijc1MCIgd2lkdGg9IjEw&#10;IiBoZWlnaHQ9IjEyIi8+PC9jbGlwUGF0aD48Y2xpcFBhdGggaWQ9ImNsaXAxMSI+PHJlY3QgeD0i&#10;MjU5IiB5PSI3NTAiIHdpZHRoPSIxMCIgaGVpZ2h0PSIxMiIvPjwvY2xpcFBhdGg+PGNsaXBQYXRo&#10;IGlkPSJjbGlwMTIiPjxyZWN0IHg9Ii0wLjQ3MTk1NyIgeT0iLTAuNTg5Mjc3IiB3aWR0aD0iMTUu&#10;NzUzIiBoZWlnaHQ9IjE3LjI3MjQiLz48L2NsaXBQYXRoPjxjbGlwUGF0aCBpZD0iY2xpcDEzIj48&#10;cmVjdCB4PSItNi4wMjAzN2UtMDYiIHk9IjAuMDAwMTA4NTg4IiB3aWR0aD0iMTUiIGhlaWdodD0i&#10;MTYiLz48L2NsaXBQYXRoPjxjbGlwUGF0aCBpZD0iY2xpcDE0Ij48cmVjdCB4PSIyNTkiIHk9Ijc2&#10;NSIgd2lkdGg9IjEwIiBoZWlnaHQ9IjEyIi8+PC9jbGlwUGF0aD48Y2xpcFBhdGggaWQ9ImNsaXAx&#10;NSI+PHJlY3QgeD0iMjU5IiB5PSI3NjUiIHdpZHRoPSIxMCIgaGVpZ2h0PSIxMiIvPjwvY2xpcFBh&#10;dGg+PGNsaXBQYXRoIGlkPSJjbGlwMTYiPjxyZWN0IHg9Ii0wLjQ3MTk1NyIgeT0iLTAuNzEzMDYz&#10;IiB3aWR0aD0iMTUuNzUzIiBoZWlnaHQ9IjE3LjI3MjQiLz48L2NsaXBQYXRoPjxjbGlwUGF0aCBp&#10;ZD0iY2xpcDE3Ij48cmVjdCB4PSItNi4wMjAzN2UtMDYiIHk9IjYuMjE5OGUtMDUiIHdpZHRoPSIx&#10;NSIgaGVpZ2h0PSIxNiIvPjwvY2xpcFBhdGg+PGNsaXBQYXRoIGlkPSJjbGlwMTgiPjxyZWN0IHg9&#10;IjgzMyIgeT0iNzMxIiB3aWR0aD0iMTIiIGhlaWdodD0iMTIiLz48L2NsaXBQYXRoPjxjbGlwUGF0&#10;aCBpZD0iY2xpcDE5Ij48cmVjdCB4PSI4MzMiIHk9IjczMSIgd2lkdGg9IjEyIiBoZWlnaHQ9IjEy&#10;Ii8+PC9jbGlwUGF0aD48Y2xpcFBhdGggaWQ9ImNsaXAyMCI+PHJlY3QgeD0iLTEuNTIwOTUiIHk9&#10;Ii0wLjA3NzE2NjYiIHdpZHRoPSIxOC42MTI3IiBoZWlnaHQ9IjE3LjEyODUiLz48L2NsaXBQYXRo&#10;PjxjbGlwUGF0aCBpZD0iY2xpcDIyIj48cmVjdCB4PSItMy4wNTc3NmUtMDYiIHk9IjIuMDY5NTRl&#10;LTA1IiB3aWR0aD0iMTYiIGhlaWdodD0iMTciLz48L2NsaXBQYXRoPjxjbGlwUGF0aCBpZD0iY2xp&#10;cDIzIj48cmVjdCB4PSI4MzMiIHk9Ijc0NiIgd2lkdGg9IjEyIiBoZWlnaHQ9IjEzIi8+PC9jbGlw&#10;UGF0aD48Y2xpcFBhdGggaWQ9ImNsaXAyNCI+PHJlY3QgeD0iODMzIiB5PSI3NDYiIHdpZHRoPSIx&#10;MiIgaGVpZ2h0PSIxMyIvPjwvY2xpcFBhdGg+PGNsaXBQYXRoIGlkPSJjbGlwMjUiPjxyZWN0IHg9&#10;Ii0xLjUyMDk1IiB5PSItMS4zMzMyNSIgd2lkdGg9IjE4LjYxMjciIGhlaWdodD0iMTguNTU1OCIv&#10;PjwvY2xpcFBhdGg+PGNsaXBQYXRoIGlkPSJjbGlwMjYiPjxyZWN0IHg9Ii0zLjA1Nzc2ZS0wNiIg&#10;eT0iLTUuMzM1OTJlLTA1IiB3aWR0aD0iMTYiIGhlaWdodD0iMTciLz48L2NsaXBQYXRoPjxjbGlw&#10;UGF0aCBpZD0iY2xpcDI3Ij48cmVjdCB4PSI4MzMiIHk9Ijc2MyIgd2lkdGg9IjEyIiBoZWlnaHQ9&#10;IjEyIi8+PC9jbGlwUGF0aD48Y2xpcFBhdGggaWQ9ImNsaXAyOCI+PHJlY3QgeD0iODMzIiB5PSI3&#10;NjMiIHdpZHRoPSIxMiIgaGVpZ2h0PSIxMiIvPjwvY2xpcFBhdGg+PGNsaXBQYXRoIGlkPSJjbGlw&#10;MjkiPjxyZWN0IHg9Ii0xLjUyMDk1IiB5PSItMC45Mjk5MjYiIHdpZHRoPSIxOC42MTI3IiBoZWln&#10;aHQ9IjE4LjM1MTkiLz48L2NsaXBQYXRoPjxjbGlwUGF0aCBpZD0iY2xpcDMwIj48cmVjdCB4PSIt&#10;MC4wMDAxMDI0NzYiIHk9Ii0xLjk3MzYzZS0wNSIgd2lkdGg9IjE2IiBoZWlnaHQ9IjE3Ii8+PC9j&#10;bGlwUGF0aD48Y2xpcFBhdGggaWQ9ImNsaXAzMSI+PHJlY3QgeD0iMzMiIHk9IjcxNCIgd2lkdGg9&#10;IjEyIiBoZWlnaHQ9IjEzIi8+PC9jbGlwUGF0aD48Y2xpcFBhdGggaWQ9ImNsaXAzMiI+PHJlY3Qg&#10;eD0iMzMiIHk9IjcxNCIgd2lkdGg9IjEyIiBoZWlnaHQ9IjEzIi8+PC9jbGlwUGF0aD48Y2xpcFBh&#10;dGggaWQ9ImNsaXAzMyI+PHJlY3QgeD0iLTAuMDQyMDM4MiIgeT0iLTAuNzMxNzEyIiB3aWR0aD0i&#10;MTguMTQ3NCIgaGVpZ2h0PSIyMC43Mzg5Ii8+PC9jbGlwUGF0aD48Y2xpcFBhdGggaWQ9ImNsaXAz&#10;NSI+PHJlY3QgeD0iLTQuNTE3MDZlLTA2IiB5PSItMS45ODI5N2UtMDUiIHdpZHRoPSIxOCIgaGVp&#10;Z2h0PSIxOSIvPjwvY2xpcFBhdGg+PGNsaXBQYXRoIGlkPSJjbGlwMzYiPjxyZWN0IHg9IjMzIiB5&#10;PSI3NDYiIHdpZHRoPSIxMiIgaGVpZ2h0PSIxMyIvPjwvY2xpcFBhdGg+PGNsaXBQYXRoIGlkPSJj&#10;bGlwMzciPjxyZWN0IHg9IjMzIiB5PSI3NDYiIHdpZHRoPSIxMiIgaGVpZ2h0PSIxMyIvPjwvY2xp&#10;cFBhdGg+PGNsaXBQYXRoIGlkPSJjbGlwMzgiPjxyZWN0IHg9Ii0wLjA0MjAzODIiIHk9Ii0wLjM0&#10;ODg0MSIgd2lkdGg9IjE4LjE0NzQiIGhlaWdodD0iMjAuNzM4OSIvPjwvY2xpcFBhdGg+PGNsaXBQ&#10;YXRoIGlkPSJjbGlwMzkiPjxyZWN0IHg9Ii00LjUxNzA2ZS0wNiIgeT0iMS4zMTgyNWUtMDUiIHdp&#10;ZHRoPSIxOCIgaGVpZ2h0PSIxOSIvPjwvY2xpcFBhdGg+PGNsaXBQYXRoIGlkPSJjbGlwNDAiPjxy&#10;ZWN0IHg9IjI4IiB5PSIzOTciIHdpZHRoPSIxMyIgaGVpZ2h0PSIxMyIvPjwvY2xpcFBhdGg+PGNs&#10;aXBQYXRoIGlkPSJjbGlwNDEiPjxyZWN0IHg9IjI4IiB5PSIzOTciIHdpZHRoPSIxMyIgaGVpZ2h0&#10;PSIxMyIvPjwvY2xpcFBhdGg+PGNsaXBQYXRoIGlkPSJjbGlwNDIiPjxyZWN0IHg9Ii0xLjA4Mzc0&#10;IiB5PSItMC44OTY4IiB3aWR0aD0iMTkuNjU5NyIgaGVpZ2h0PSIyMC43Mzg5Ii8+PC9jbGlwUGF0&#10;aD48Y2xpcFBhdGggaWQ9ImNsaXA0MyI+PHJlY3QgeD0iLTQuMjI0MDllLTA2IiB5PSIzLjQ0NDI4&#10;ZS0wNiIgd2lkdGg9IjE4IiBoZWlnaHQ9IjE5Ii8+PC9jbGlwUGF0aD48Y2xpcFBhdGggaWQ9ImNs&#10;aXA0NCI+PHJlY3QgeD0iMjgiIHk9IjQyOSIgd2lkdGg9IjEzIiBoZWlnaHQ9IjEzIi8+PC9jbGlw&#10;UGF0aD48Y2xpcFBhdGggaWQ9ImNsaXA0NSI+PHJlY3QgeD0iMjgiIHk9IjQyOSIgd2lkdGg9IjEz&#10;IiBoZWlnaHQ9IjEzIi8+PC9jbGlwUGF0aD48Y2xpcFBhdGggaWQ9ImNsaXA0NiI+PHJlY3QgeD0i&#10;LTEuMDgzNzQiIHk9Ii0wLjUxMzkyOCIgd2lkdGg9IjE5LjY1OTciIGhlaWdodD0iMjAuNzM4OSIv&#10;PjwvY2xpcFBhdGg+PGNsaXBQYXRoIGlkPSJjbGlwNDciPjxyZWN0IHg9Ii00LjIyNDA5ZS0wNiIg&#10;eT0iLTEuMjIyODFlLTA1IiB3aWR0aD0iMTgiIGhlaWdodD0iMTkiLz48L2NsaXBQYXRoPjxjbGlw&#10;UGF0aCBpZD0iY2xpcDQ4Ij48cmVjdCB4PSIyOCIgeT0iNjQzIiB3aWR0aD0iMTMiIGhlaWdodD0i&#10;MTMiLz48L2NsaXBQYXRoPjxjbGlwUGF0aCBpZD0iY2xpcDQ5Ij48cmVjdCB4PSIyOCIgeT0iNjQz&#10;IiB3aWR0aD0iMTMiIGhlaWdodD0iMTMiLz48L2NsaXBQYXRoPjxjbGlwUGF0aCBpZD0iY2xpcDUw&#10;Ij48cmVjdCB4PSItMS4wODM3NCIgeT0iLTEuMTIwMTQiIHdpZHRoPSIxOS42NTk3IiBoZWlnaHQ9&#10;IjIwLjczODkiLz48L2NsaXBQYXRoPjxjbGlwUGF0aCBpZD0iY2xpcDUxIj48cmVjdCB4PSItNC4y&#10;MjQwOWUtMDYiIHk9Ii0zLjkzNTI2ZS0wNSIgd2lkdGg9IjE4IiBoZWlnaHQ9IjE5Ii8+PC9jbGlw&#10;UGF0aD48Y2xpcFBhdGggaWQ9ImNsaXA1MiI+PHJlY3QgeD0iMjgiIHk9IjY1OSIgd2lkdGg9IjEz&#10;IiBoZWlnaHQ9IjEzIi8+PC9jbGlwUGF0aD48Y2xpcFBhdGggaWQ9ImNsaXA1MyI+PHJlY3QgeD0i&#10;MjgiIHk9IjY1OSIgd2lkdGg9IjEzIiBoZWlnaHQ9IjEzIi8+PC9jbGlwUGF0aD48Y2xpcFBhdGgg&#10;aWQ9ImNsaXA1NCI+PHJlY3QgeD0iLTEuMDgzNzQiIHk9Ii0wLjkyODcwNiIgd2lkdGg9IjE5LjY1&#10;OTciIGhlaWdodD0iMjAuNzM4OSIvPjwvY2xpcFBhdGg+PGNsaXBQYXRoIGlkPSJjbGlwNTUiPjxy&#10;ZWN0IHg9Ii00LjIyNDA5ZS0wNiIgeT0iMy44MTg4N2UtMDUiIHdpZHRoPSIxOCIgaGVpZ2h0PSIx&#10;OSIvPjwvY2xpcFBhdGg+PGNsaXBQYXRoIGlkPSJjbGlwNTYiPjxwYXRoIGQ9Ik0xMTQuOTU1IDE0&#10;Ny4xNzcgMzAxLjcyMyAxMzIuNTE5IDMxMS4zNTEgMjU1LjM0OSAxMjQuNTg0IDI3MC4wMDhaIiBm&#10;aWxsLXJ1bGU9ImV2ZW5vZGQiIGNsaXAtcnVsZT0iZXZlbm9kZCIvPjwvY2xpcFBhdGg+PGNsaXBQ&#10;YXRoIGlkPSJjbGlwNTciPjxwYXRoIGQ9Ik0xMTQuOTU1IDE0Ny4xNzcgMzAxLjcyMyAxMzIuNTE5&#10;IDMxMS4zNTEgMjU1LjM0OSAxMjQuNTg0IDI3MC4wMDhaIiBmaWxsLXJ1bGU9ImV2ZW5vZGQiIGNs&#10;aXAtcnVsZT0iZXZlbm9kZCIvPjwvY2xpcFBhdGg+PGNsaXBQYXRoIGlkPSJjbGlwNTgiPjxwYXRo&#10;IGQ9Ik0tMzguMzk0MyAxMzYuMzMgNTk1LjYxNyA4Ni41NjkgNjIyLjQ3NSA0MjkuMTkxLTExLjUz&#10;NzEgNDc4Ljk1MloiIGZpbGwtcnVsZT0iZXZlbm9kZCIgY2xpcC1ydWxlPSJldmVub2RkIi8+PC9j&#10;bGlwUGF0aD48Y2xpcFBhdGggaWQ9ImNsaXA1OSI+PHBhdGggZD0iTTI5My44NTMgMTQxLjEwN0My&#10;OTMuMTA3IDEzNy41MjMgMjg5LjU5MyAxMzUuMjIxIDI4Ni4wMTcgMTM1Ljk2NyAyODIuNDM1IDEz&#10;Ni43MTMgMjgwLjEzNCAxNDAuMjI0IDI4MC44OCAxNDMuODA4TDI4Ni42MzUgMTcxLjQ0MUMyNTYu&#10;NTU3IDE1MS43OTUgMjE2LjEwMSAxNDkuMzYzIDE4NC4wMTcgMTY1Ljc1IDE1MC4xMjQgMTgzLjA2&#10;NiAxMjcuNzUgMjIwLjI4MyAxMjguMzQyIDI1OC4zNTkgMTI4LjQgMjYyLjAyMiAxMzEuNDA5IDI2&#10;NC45NDMgMTM1LjA3MSAyNjQuODg2IDEzNS4yMTMgMjY0Ljg4NCAxMzUuMzUxIDI2NC44NzggMTM1&#10;LjQ5MyAyNjQuODY3IDEzOC45NTQgMjY0LjU5NiAxNDEuNjQ5IDI2MS42NzMgMTQxLjU5MyAyNTgu&#10;MTUyIDE0MS4wNzcgMjI1LjAxOCAxNjAuNTQ3IDE5Mi42MzMgMTkwLjA0NSAxNzcuNTU5IDIxNy42&#10;MDcgMTYzLjQ3NyAyNTIuMjczIDE2NS4zNjUgMjc4LjM0MiAxODEuODY4IDI3MS42MTIgMTgzLjIw&#10;NCAyNjQuOTg3IDE4NS4wNTQgMjU4LjUxOCAxODcuNDM1IDI1Ni42MjEgMTg2LjQ1OCAyNTQuMjg2&#10;IDE4Ni40MTEgMjUyLjI3NyAxODcuNTIxIDI0OS4wNzIgMTg5LjI5MSAyNDcuOTEgMTkzLjMyMiAy&#10;NDkuNjgxIDE5Ni41MjlMMjUzLjYyNSAyMDMuNjc3IDI1OS4wODQgMjAxLjQzOEMyNzEuMTQ0IDE5&#10;Ni40OTEgMjgzLjg1NiAxOTMuNTggMjk2Ljg3MyAxOTIuODA5TDMwNC41MjYgMTkyLjM1MSAyOTMu&#10;ODUzIDE0MS4xMDJaIi8+PC9jbGlwUGF0aD48Y2xpcFBhdGggaWQ9ImNsaXA2MCI+PHBhdGggZD0i&#10;TTExMC40MTYgMTQ1LjQ1MiAyOTUuMzU2IDEzMC45MzcgMzA0LjY0MSAyNDkuMzkzIDExOS43MDEg&#10;MjYzLjkwOFoiIGZpbGwtcnVsZT0iZXZlbm9kZCIgY2xpcC1ydWxlPSJldmVub2RkIi8+PC9jbGlw&#10;UGF0aD48Y2xpcFBhdGggaWQ9ImNsaXA2MSI+PHBhdGggZD0iTTExMC40MTYgMTQ1LjQ1MiAyOTUu&#10;MzU2IDEzMC45MzcgMzA0LjY0MSAyNDkuMzkzIDExOS43MDEgMjYzLjkwOFoiIGZpbGwtcnVsZT0i&#10;ZXZlbm9kZCIgY2xpcC1ydWxlPSJldmVub2RkIi8+PC9jbGlwUGF0aD48Y2xpcFBhdGggaWQ9ImNs&#10;aXA2MiI+PHBhdGggZD0iTTExMC40MTYgMTQ1LjQ1MiAyOTUuMzU2IDEzMC45MzcgMzA0LjY0MSAy&#10;NDkuMzkzIDExOS43MDEgMjYzLjkwOFoiIGZpbGwtcnVsZT0iZXZlbm9kZCIgY2xpcC1ydWxlPSJl&#10;dmVub2RkIi8+PC9jbGlwUGF0aD48bGluZWFyR3JhZGllbnQgeDE9IjExMy4zMDYiIHkxPSIxOTEu&#10;MzUzIiB4Mj0iMjk0LjMzMSIgeTI9IjE3Ny4xNTQiIGdyYWRpZW50VW5pdHM9InVzZXJTcGFjZU9u&#10;VXNlIiBzcHJlYWRNZXRob2Q9InBhZCIgaWQ9ImZpbGw2MyI+PHN0b3Agb2Zmc2V0PSIwIiBzdG9w&#10;LWNvbG9yPSIjOUU1MzNFIi8+PHN0b3Agb2Zmc2V0PSIxIiBzdG9wLWNvbG9yPSIjMzM3REJDIi8+&#10;PC9saW5lYXJHcmFkaWVudD48Y2xpcFBhdGggaWQ9ImNsaXA2NCI+PHJlY3QgeD0iMjU3IiB5PSIy&#10;MzAiIHdpZHRoPSIxMyIgaGVpZ2h0PSIxMiIvPjwvY2xpcFBhdGg+PGNsaXBQYXRoIGlkPSJjbGlw&#10;NjUiPjxyZWN0IHg9IjI1NyIgeT0iMjMwIiB3aWR0aD0iMTMiIGhlaWdodD0iMTIiLz48L2NsaXBQ&#10;YXRoPjxjbGlwUGF0aCBpZD0iY2xpcDY2Ij48cmVjdCB4PSItMC4yNTkyNDYiIHk9Ii0wLjA5ODEx&#10;MDgiIHdpZHRoPSIxOS42NTk3IiBoZWlnaHQ9IjE5LjE0MzYiLz48L2NsaXBQYXRoPjxjbGlwUGF0&#10;aCBpZD0iY2xpcDY3Ij48cmVjdCB4PSItMy4yNDI0OWUtMDUiIHk9IjcuNDEyMjFlLTA2IiB3aWR0&#10;aD0iMTgiIGhlaWdodD0iMTkiLz48L2NsaXBQYXRoPjxjbGlwUGF0aCBpZD0iY2xpcDY4Ij48cmVj&#10;dCB4PSIyNTciIHk9IjI3NyIgd2lkdGg9IjEzIiBoZWlnaHQ9IjEzIi8+PC9jbGlwUGF0aD48Y2xp&#10;cFBhdGggaWQ9ImNsaXA2OSI+PHJlY3QgeD0iMjU3IiB5PSIyNzciIHdpZHRoPSIxMyIgaGVpZ2h0&#10;PSIxMyIvPjwvY2xpcFBhdGg+PGNsaXBQYXRoIGlkPSJjbGlwNzAiPjxyZWN0IHg9Ii0wLjI1OTI0&#10;NiIgeT0iLTEuMTE5MSIgd2lkdGg9IjE5LjY1OTciIGhlaWdodD0iMjAuNzM4OSIvPjwvY2xpcFBh&#10;dGg+PGNsaXBQYXRoIGlkPSJjbGlwNzEiPjxyZWN0IHg9Ii0zLjI0MjQ5ZS0wNSIgeT0iMi42NDEz&#10;ZS0wNSIgd2lkdGg9IjE4IiBoZWlnaHQ9IjE5Ii8+PC9jbGlwUGF0aD48Y2xpcFBhdGggaWQ9ImNs&#10;aXA3MiI+PHJlY3QgeD0iMjU3IiB5PSIyOTMiIHdpZHRoPSIxMyIgaGVpZ2h0PSIxMyIvPjwvY2xp&#10;cFBhdGg+PGNsaXBQYXRoIGlkPSJjbGlwNzMiPjxyZWN0IHg9IjI1NyIgeT0iMjkzIiB3aWR0aD0i&#10;MTMiIGhlaWdodD0iMTMiLz48L2NsaXBQYXRoPjxjbGlwUGF0aCBpZD0iY2xpcDc0Ij48cmVjdCB4&#10;PSItMC4yNTkyNDYiIHk9Ii0wLjkyNzY2NSIgd2lkdGg9IjE5LjY1OTciIGhlaWdodD0iMjAuNzM4&#10;OSIvPjwvY2xpcFBhdGg+PGNsaXBQYXRoIGlkPSJjbGlwNzUiPjxyZWN0IHg9Ii0zLjI0MjQ5ZS0w&#10;NSIgeT0iMS4yNDAxNWUtMDUiIHdpZHRoPSIxOCIgaGVpZ2h0PSIxOSIvPjwvY2xpcFBhdGg+PGNs&#10;aXBQYXRoIGlkPSJjbGlwNzYiPjxyZWN0IHg9IjI1NyIgeT0iMzMzIiB3aWR0aD0iMTMiIGhlaWdo&#10;dD0iMTMiLz48L2NsaXBQYXRoPjxjbGlwUGF0aCBpZD0iY2xpcDc3Ij48cmVjdCB4PSIyNTciIHk9&#10;IjMzMyIgd2lkdGg9IjEzIiBoZWlnaHQ9IjEzIi8+PC9jbGlwUGF0aD48Y2xpcFBhdGggaWQ9ImNs&#10;aXA3OCI+PHJlY3QgeD0iLTAuMjU5MjQ2IiB5PSItMC40NDkwNzYiIHdpZHRoPSIxOS42NTk3IiBo&#10;ZWlnaHQ9IjIwLjczODkiLz48L2NsaXBQYXRoPjxjbGlwUGF0aCBpZD0iY2xpcDc5Ij48cmVjdCB4&#10;PSItMy4yNDI0OWUtMDUiIHk9IjMuNTQ5OThlLTA1IiB3aWR0aD0iMTgiIGhlaWdodD0iMTkiLz48&#10;L2NsaXBQYXRoPjxjbGlwUGF0aCBpZD0iY2xpcDgwIj48cmVjdCB4PSIyNTciIHk9IjM0OSIgd2lk&#10;dGg9IjEzIiBoZWlnaHQ9IjEzIi8+PC9jbGlwUGF0aD48Y2xpcFBhdGggaWQ9ImNsaXA4MSI+PHJl&#10;Y3QgeD0iMjU3IiB5PSIzNDkiIHdpZHRoPSIxMyIgaGVpZ2h0PSIxMyIvPjwvY2xpcFBhdGg+PGNs&#10;aXBQYXRoIGlkPSJjbGlwODIiPjxyZWN0IHg9Ii0wLjI1OTI0NiIgeT0iLTAuMjU3NjQxIiB3aWR0&#10;aD0iMTkuNjU5NyIgaGVpZ2h0PSIyMC43Mzg5Ii8+PC9jbGlwUGF0aD48Y2xpcFBhdGggaWQ9ImNs&#10;aXA4MyI+PHJlY3QgeD0iLTMuMjQyNDllLTA1IiB5PSItOS4wMjkyM2UtMDYiIHdpZHRoPSIxOCIg&#10;aGVpZ2h0PSIxOSIvPjwvY2xpcFBhdGg+PGNsaXBQYXRoIGlkPSJjbGlwODQiPjxyZWN0IHg9IjI1&#10;NyIgeT0iMzY1IiB3aWR0aD0iMTMiIGhlaWdodD0iMTIiLz48L2NsaXBQYXRoPjxjbGlwUGF0aCBp&#10;ZD0iY2xpcDg1Ij48cmVjdCB4PSIyNTciIHk9IjM2NSIgd2lkdGg9IjEzIiBoZWlnaHQ9IjEyIi8+&#10;PC9jbGlwUGF0aD48Y2xpcFBhdGggaWQ9ImNsaXA4NiI+PHJlY3QgeD0iLTAuMjU5MjQ2IiB5PSIt&#10;MC4wNjYyMDQ4IiB3aWR0aD0iMTkuNjU5NyIgaGVpZ2h0PSIxOS4xNDM2Ii8+PC9jbGlwUGF0aD48&#10;Y2xpcFBhdGggaWQ9ImNsaXA4NyI+PHJlY3QgeD0iLTMuMjQyNDllLTA1IiB5PSI3LjQ3Njg5ZS0w&#10;NiIgd2lkdGg9IjE4IiBoZWlnaHQ9IjE5Ii8+PC9jbGlwUGF0aD48Y2xpcFBhdGggaWQ9ImNsaXA4&#10;OCI+PHJlY3QgeD0iMjU3IiB5PSIzODAiIHdpZHRoPSIxMyIgaGVpZ2h0PSIxMyIvPjwvY2xpcFBh&#10;dGg+PGNsaXBQYXRoIGlkPSJjbGlwODkiPjxyZWN0IHg9IjI1NyIgeT0iMzgwIiB3aWR0aD0iMTMi&#10;IGhlaWdodD0iMTMiLz48L2NsaXBQYXRoPjxjbGlwUGF0aCBpZD0iY2xpcDkwIj48cmVjdCB4PSIt&#10;MC4yNTkyNDYiIHk9Ii0xLjQ3MDA3IiB3aWR0aD0iMTkuNjU5NyIgaGVpZ2h0PSIyMC43Mzg5Ii8+&#10;PC9jbGlwUGF0aD48Y2xpcFBhdGggaWQ9ImNsaXA5MSI+PHJlY3QgeD0iLTMuMjQyNDllLTA1IiB5&#10;PSIyLjM5ODNlLTA1IiB3aWR0aD0iMTgiIGhlaWdodD0iMTkiLz48L2NsaXBQYXRoPjxjbGlwUGF0&#10;aCBpZD0iY2xpcDkyIj48cmVjdCB4PSIyNTciIHk9IjQxMiIgd2lkdGg9IjEzIiBoZWlnaHQ9IjEz&#10;Ii8+PC9jbGlwUGF0aD48Y2xpcFBhdGggaWQ9ImNsaXA5MyI+PHJlY3QgeD0iMjU3IiB5PSI0MTIi&#10;IHdpZHRoPSIxMyIgaGVpZ2h0PSIxMyIvPjwvY2xpcFBhdGg+PGNsaXBQYXRoIGlkPSJjbGlwOTQi&#10;PjxyZWN0IHg9Ii0wLjI1OTI0NiIgeT0iLTEuMDg3MiIgd2lkdGg9IjE5LjY1OTciIGhlaWdodD0i&#10;MjAuNzM4OSIvPjwvY2xpcFBhdGg+PGNsaXBQYXRoIGlkPSJjbGlwOTUiPjxyZWN0IHg9Ii0zLjI0&#10;MjQ5ZS0wNSIgeT0iOC4zMTA2NGUtMDYiIHdpZHRoPSIxOCIgaGVpZ2h0PSIxOSIvPjwvY2xpcFBh&#10;dGg+PGNsaXBQYXRoIGlkPSJjbGlwOTYiPjxyZWN0IHg9IjI1NyIgeT0iNDY4IiB3aWR0aD0iMTMi&#10;IGhlaWdodD0iMTMiLz48L2NsaXBQYXRoPjxjbGlwUGF0aCBpZD0iY2xpcDk3Ij48cmVjdCB4PSIy&#10;NTciIHk9IjQ2OCIgd2lkdGg9IjEzIiBoZWlnaHQ9IjEzIi8+PC9jbGlwUGF0aD48Y2xpcFBhdGgg&#10;aWQ9ImNsaXA5OCI+PHJlY3QgeD0iLTAuMjU5MjQ2IiB5PSItMC40MTcxNyIgd2lkdGg9IjE5LjY1&#10;OTciIGhlaWdodD0iMjAuNzM4OSIvPjwvY2xpcFBhdGg+PGNsaXBQYXRoIGlkPSJjbGlwOTkiPjxy&#10;ZWN0IHg9Ii0zLjI0MjQ5ZS0wNSIgeT0iMy41NTY0NWUtMDUiIHdpZHRoPSIxOCIgaGVpZ2h0PSIx&#10;OSIvPjwvY2xpcFBhdGg+PGNsaXBQYXRoIGlkPSJjbGlwMTAwIj48cmVjdCB4PSIyNTciIHk9IjQ4&#10;NCIgd2lkdGg9IjEzIiBoZWlnaHQ9IjEzIi8+PC9jbGlwUGF0aD48Y2xpcFBhdGggaWQ9ImNsaXAx&#10;MDEiPjxyZWN0IHg9IjI1NyIgeT0iNDg0IiB3aWR0aD0iMTMiIGhlaWdodD0iMTMiLz48L2NsaXBQ&#10;YXRoPjxjbGlwUGF0aCBpZD0iY2xpcDEwMiI+PHJlY3QgeD0iLTAuMjU5MjQ2IiB5PSItMC4yMjU3&#10;MzUiIHdpZHRoPSIxOS42NTk3IiBoZWlnaHQ9IjIwLjczODkiLz48L2NsaXBQYXRoPjxjbGlwUGF0&#10;aCBpZD0iY2xpcDEwMyI+PHJlY3QgeD0iLTMuMjQyNDllLTA1IiB5PSItOC45NjQ1NWUtMDYiIHdp&#10;ZHRoPSIxOCIgaGVpZ2h0PSIxOSIvPjwvY2xpcFBhdGg+PGNsaXBQYXRoIGlkPSJjbGlwMTA0Ij48&#10;cmVjdCB4PSIyNTciIHk9IjUwMCIgd2lkdGg9IjEzIiBoZWlnaHQ9IjEyIi8+PC9jbGlwUGF0aD48&#10;Y2xpcFBhdGggaWQ9ImNsaXAxMDUiPjxyZWN0IHg9IjI1NyIgeT0iNTAwIiB3aWR0aD0iMTMiIGhl&#10;aWdodD0iMTIiLz48L2NsaXBQYXRoPjxjbGlwUGF0aCBpZD0iY2xpcDEwNiI+PHJlY3QgeD0iLTAu&#10;MjU5MjQ2IiB5PSItMC4wMzQyOTg5IiB3aWR0aD0iMTkuNjU5NyIgaGVpZ2h0PSIxOS4xNDM2Ii8+&#10;PC9jbGlwUGF0aD48Y2xpcFBhdGggaWQ9ImNsaXAxMDciPjxyZWN0IHg9Ii0zLjI0MjQ5ZS0wNSIg&#10;eT0iNy41NDE1N2UtMDYiIHdpZHRoPSIxOCIgaGVpZ2h0PSIxOSIvPjwvY2xpcFBhdGg+PGNsaXBQ&#10;YXRoIGlkPSJjbGlwMTA4Ij48cmVjdCB4PSIyNTciIHk9IjUxNSIgd2lkdGg9IjEzIiBoZWlnaHQ9&#10;IjEzIi8+PC9jbGlwUGF0aD48Y2xpcFBhdGggaWQ9ImNsaXAxMDkiPjxyZWN0IHg9IjI1NyIgeT0i&#10;NTE1IiB3aWR0aD0iMTMiIGhlaWdodD0iMTMiLz48L2NsaXBQYXRoPjxjbGlwUGF0aCBpZD0iY2xp&#10;cDExMCI+PHJlY3QgeD0iLTAuMjU5MjQ2IiB5PSItMS40MzgxNiIgd2lkdGg9IjE5LjY1OTciIGhl&#10;aWdodD0iMjAuNzM4OSIvPjwvY2xpcFBhdGg+PGNsaXBQYXRoIGlkPSJjbGlwMTExIj48cmVjdCB4&#10;PSItMy4yNDI0OWUtMDUiIHk9IjMuNjM5ODJlLTA1IiB3aWR0aD0iMTgiIGhlaWdodD0iMTkiLz48&#10;L2NsaXBQYXRoPjxjbGlwUGF0aCBpZD0iY2xpcDExMiI+PHJlY3QgeD0iMjU3IiB5PSI1MzEiIHdp&#10;ZHRoPSIxMyIgaGVpZ2h0PSIxMyIvPjwvY2xpcFBhdGg+PGNsaXBQYXRoIGlkPSJjbGlwMTEzIj48&#10;cmVjdCB4PSIyNTciIHk9IjUzMSIgd2lkdGg9IjEzIiBoZWlnaHQ9IjEzIi8+PC9jbGlwUGF0aD48&#10;Y2xpcFBhdGggaWQ9ImNsaXAxMTQiPjxyZWN0IHg9Ii0wLjI1OTI0NiIgeT0iLTEuMjQ2NzIiIHdp&#10;ZHRoPSIxOS42NTk3IiBoZWlnaHQ9IjIwLjczODkiLz48L2NsaXBQYXRoPjxjbGlwUGF0aCBpZD0i&#10;Y2xpcDExNSI+PHJlY3QgeD0iLTMuMjQyNDllLTA1IiB5PSItOC4xMzA4ZS0wNiIgd2lkdGg9IjE4&#10;IiBoZWlnaHQ9IjE5Ii8+PC9jbGlwUGF0aD48Y2xpcFBhdGggaWQ9ImNsaXAxMTYiPjxyZWN0IHg9&#10;IjI1NyIgeT0iNTQ3IiB3aWR0aD0iMTMiIGhlaWdodD0iMTMiLz48L2NsaXBQYXRoPjxjbGlwUGF0&#10;aCBpZD0iY2xpcDExNyI+PHJlY3QgeD0iMjU3IiB5PSI1NDciIHdpZHRoPSIxMyIgaGVpZ2h0PSIx&#10;MyIvPjwvY2xpcFBhdGg+PGNsaXBQYXRoIGlkPSJjbGlwMTE4Ij48cmVjdCB4PSItMC4yNTkyNDYi&#10;IHk9Ii0xLjA1NTI5IiB3aWR0aD0iMTkuNjU5NyIgaGVpZ2h0PSIyMC43Mzg5Ii8+PC9jbGlwUGF0&#10;aD48Y2xpcFBhdGggaWQ9ImNsaXAxMTkiPjxyZWN0IHg9Ii0zLjI0MjQ5ZS0wNSIgeT0iOC4zNzUz&#10;M2UtMDYiIHdpZHRoPSIxOCIgaGVpZ2h0PSIxOSIvPjwvY2xpcFBhdGg+PGNsaXBQYXRoIGlkPSJj&#10;bGlwMTIwIj48cmVjdCB4PSIyNTciIHk9IjU5NiIgd2lkdGg9IjEzIiBoZWlnaHQ9IjEzIi8+PC9j&#10;bGlwUGF0aD48Y2xpcFBhdGggaWQ9ImNsaXAxMjEiPjxyZWN0IHg9IjI1NyIgeT0iNTk2IiB3aWR0&#10;aD0iMTMiIGhlaWdodD0iMTMiLz48L2NsaXBQYXRoPjxjbGlwUGF0aCBpZD0iY2xpcDEyMiI+PHJl&#10;Y3QgeD0iLTAuMjU5MjQ2IiB5PSItMC4xNTIzNTEiIHdpZHRoPSIxOS42NTk3IiBoZWlnaHQ9IjIw&#10;LjczODkiLz48L2NsaXBQYXRoPjxjbGlwUGF0aCBpZD0iY2xpcDEyMyI+PHJlY3QgeD0iLTMuMjQy&#10;NDllLTA1IiB5PSIxLjA0NzI1ZS0wNSIgd2lkdGg9IjE4IiBoZWlnaHQ9IjE5Ii8+PC9jbGlwUGF0&#10;aD48Y2xpcFBhdGggaWQ9ImNsaXAxMjQiPjxyZWN0IHg9IjI1NyIgeT0iNjExIiB3aWR0aD0iMTMi&#10;IGhlaWdodD0iMTMiLz48L2NsaXBQYXRoPjxjbGlwUGF0aCBpZD0iY2xpcDEyNSI+PHJlY3QgeD0i&#10;MjU3IiB5PSI2MTEiIHdpZHRoPSIxMyIgaGVpZ2h0PSIxMyIvPjwvY2xpcFBhdGg+PGNsaXBQYXRo&#10;IGlkPSJjbGlwMTI2Ij48cmVjdCB4PSItMC4yNTkyNDYiIHk9Ii0xLjU1NjIxIiB3aWR0aD0iMTku&#10;NjU5NyIgaGVpZ2h0PSIyMC43Mzg5Ii8+PC9jbGlwUGF0aD48Y2xpcFBhdGggaWQ9ImNsaXAxMjci&#10;PjxyZWN0IHg9Ii0zLjI0MjQ5ZS0wNSIgeT0iMi42OTc4NmUtMDUiIHdpZHRoPSIxOCIgaGVpZ2h0&#10;PSIxOSIvPjwvY2xpcFBhdGg+PGNsaXBQYXRoIGlkPSJjbGlwMTI4Ij48cmVjdCB4PSIzOTYiIHk9&#10;IjMzIiB3aWR0aD0iNTQ5IiBoZWlnaHQ9IjE4NSIvPjwvY2xpcFBhdGg+PGNsaXBQYXRoIGlkPSJj&#10;bGlwMTI5Ij48cmVjdCB4PSIzOTYiIHk9IjMzIiB3aWR0aD0iNTUwIiBoZWlnaHQ9IjE4NSIvPjwv&#10;Y2xpcFBhdGg+PGNsaXBQYXRoIGlkPSJjbGlwMTMwIj48cmVjdCB4PSIxMDIiIHk9IjI2IiB3aWR0&#10;aD0iMTM3OCIgaGVpZ2h0PSIzNTQiLz48L2NsaXBQYXRoPjxjbGlwUGF0aCBpZD0iY2xpcDEzMSI+&#10;PHBhdGggZD0iTTkyOC44MDQgMzUuMDY4NEM5MjQuODEzIDM0LjMyMTEgOTIwLjkyNCAzNi42OTg2&#10;IDkyMC4xMjMgNDAuMzc3Mkw5MTYuNTEzIDU2LjgxNThDOTExLjc0NCA1Mi41OTM4IDkwNC41NTUg&#10;NDkuMjcwNiA4OTguMTExIDQ2Ljg5MzEgODgzLjc2NSA0MS42MDUxIDg2Ni4zMDggMzguNTQzMSA4&#10;NDguOTYyIDM4LjI3NjcgODMzLjE1NSAzOC4wMzExIDgxMy41MDggNDIuMjc0IDc5Ni40MTcgNDku&#10;NjE1NCA3ODguOTE0IDUyLjgzOTQgNzgwLjE3MSA1Ny4zOTU4IDc3Mi4yODMgNjMuNTM1NSA3NTYu&#10;ODI1IDU3LjYxNTMgNzM4LjE3NiA1NC4xNDA1IDcxNS45NDYgNTIuOTkwOSA2ODcuMjM0IDUxLjUx&#10;MjIgNjU4LjIyMiA1NC4xODIyIDYzMy4yODMgNTYuODAwMSA2MDcuNjQyIDU5LjQ5MTEgNTc4LjUw&#10;NSA2OC4wMDMgNTUxLjIzMSA4MC43NjMxIDUyMi42NzIgOTQuMTIzOSA0OTguNjA2IDExMS4xNzQg&#10;NDgzLjQ3MSAxMjguNzY3IDQ4Mi4wMTUgMTMwLjQ2MSA0ODAuNjIxIDEzMi4xMDcgNDc5LjI3OCAx&#10;MzMuNzI2IDQ3Mi40ODMgMTMzLjU2NCA0NjUuNDggMTM0LjMyMiA0NTguNTA0IDEzNi4wMiA0NDYu&#10;ODYgMTM4Ljg1MiA0MzUuNDkzIDE0NC4xODIgNDI1LjYyNyAxNTEuNDM0IDQwNC4wNDkgMTY3LjI5&#10;OCAzODkuOTExIDE5MC45MDYgMzg2Ljg0IDIxNi4xOTYgMzg2LjM4NiAyMTkuOTI3IDM4OS4yOTkg&#10;MjIzLjI4NiAzOTMuMzQgMjIzLjcwNSAzOTMuNjE2IDIyMy43MzYgMzkzLjg5NCAyMjMuNzQ3IDM5&#10;NC4xNjYgMjIzLjc0NyAzOTcuODY2IDIyMy43NDcgNDAxLjA1NyAyMjEuMTgxIDQwMS40NzYgMjE3&#10;LjcxMiA0MDQuMTE3IDE5NS45OCA0MTYuMjYxIDE3NS42OSA0MzQuODA3IDE2Mi4wNTcgNDQ1LjEy&#10;NiAxNTQuNDcgNDU2Ljk4IDE0OS42MzcgNDY4LjU4NSAxNDcuOTcgNDY0LjQ3MSAxNTQuMjI1IDQ2&#10;MS4wNzcgMTYwLjY5NCA0NTguMTg3IDE2OC4yNTQgNDU1LjA1OSAxNzYuNDQzIDQ1NC4zOTYgMTg1&#10;LjU3MSA0NTYuMzIzIDE5My45NTIgNDU4LjQ3NiAyMDMuMzExIDQ2My41ODIgMjExLjAwNyA0NzEu&#10;MDg0IDIxNi4yMTIgNDgwLjk4MyAyMjMuMDc3IDQ5NC4xMTMgMjI0LjQxNSA1MDcuMTA2IDIxOS44&#10;ODUgNTIxLjQ0MiAyMTQuODc5IDUzMi4wOTYgMjAzLjkyNyA1MzQuOTAxIDE5MS4yOTggNTM3LjQ1&#10;NiAxNzkuODEyIDUzNC40NyAxNjcuNjE3IDUyNi41MDMgMTU2Ljk1NyA1MTkuMTA4IDE0Ny4wNjYg&#10;NTA3Ljk3OSAxMzkuNDk1IDQ5NS45MjYgMTM2LjE0NiA1MjQuMDQ0IDEwNC4zNzYgNTg0LjcxNSA3&#10;NS41NjkyIDYzNC45MzggNzAuMjk2OSA2NjYuODY4IDY2Ljk0MjMgNzIxLjEzOCA2MS4yNDE1IDc2&#10;MS4xMzcgNzQuMjAwMiA3NTguNDI5IDc3LjQ3NjQgNzU2LjA1NSA4MS4wNTA0IDc1NC4xNzMgODQu&#10;OTM4IDc0OC4xNjcgOTcuMzUzMSA3NDEuNDM0IDExNi4wMjMgNzUyLjI3NCAxMzQuNzUxIDc1Ny4w&#10;OTcgMTQzLjA4IDc2NS40MjEgMTUwLjAwOCA3NzUuMTIyIDE1My43NjQgNzg1LjcyNSAxNTcuODc3&#10;IDc5Ni42ODkgMTU3LjgzNSA4MDYuMDAyIDE1My42NSA4MjMuNDk4IDE0NS43ODEgODMxLjIxMSAx&#10;MjcuOTc5IDgyNS4xODEgMTA5LjM1NSA4MjAuMDc4IDkzLjU4NTYgODA5Ljc0NyA4Ni4xNzEyIDc5&#10;Ny44IDc3LjU5MTQgNzk2Ljk2NyA3Ni45OTA1IDc5Ni4xMTcgNzYuMzg0MyA3OTUuMjUgNzUuNzU3&#10;MyA3OTIuNTg3IDczLjgzNDQgNzg5Ljc4MiA3Mi4wMzE3IDc4Ni44MTggNzAuMzU0NCA4MDQuODM1&#10;IDU4LjUwODggODMwLjAyOSA1MS44NTE5IDg0Ny42NTMgNTEuODUxOSA4NDguMDAyIDUxLjg1MTkg&#10;ODQ4LjM1OSA1MS44NTE5IDg0OC43IDUxLjg1NyA4NjIuOTc1IDUyLjA3NjUgODc3LjU0NCA1NC40&#10;MzMxIDg4OS43MjQgNTguNDg3OSA4OTcuMjMxIDYwLjk4NTUgOTAyLjA5NSA2My41NjY4IDkwNC44&#10;MDkgNjUuNDQ3OSA5MDAuMDE2IDY0LjYxMTggODk1LjE3NSA2NC4wNTI4IDg5MC4yODcgNjMuNzkx&#10;NSA4ODguNzggNjIuNDMyOSA4ODYuNjYxIDYxLjY4MDUgODg0LjQwOCA2MS44ODQzIDg4MC4zNjEg&#10;NjIuMjU1MiA4NzcuNDAxIDY1LjU4MzggODc3LjgwNiA2OS4zMTQ1TDg3Ny45OTYgNzEuMDg2Qzg3&#10;OC4zNjkgNzQuNTE4OSA4ODEuNDY0IDc3LjE1MjQgODg1LjIwOSA3Ny4yMDQ3IDg5Ni4xNjcgNzcu&#10;MzcxOSA5MDYuOTUxIDc5LjE5MDIgOTE3LjI1OSA4Mi42MTI4IDkxOC4wNjggODIuODc5MyA5MTgu&#10;OTE3IDgzLjAxNTIgOTE5Ljc1OCA4My4wMTUyIDkyMS4wMDQgODMuMDE1MiA5MjIuMjU4IDgyLjcy&#10;MjUgOTIzLjM2OSA4Mi4xNDI2IDkyNS4yMzMgODEuMTc1OSA5MjYuNTUxIDc5LjUwMzggOTI2Ljk3&#10;MSA3Ny41NzA1TDkzNC41NDkgNDMuMDYzQzkzNS4zNTggMzkuMzg0NCA5MzIuNzc5IDM1Ljc5OTkg&#10;OTI4Ljc5NiAzNS4wNTc5Wk01MjAuNDc5IDE4OC41ODFDNTE4LjcwNiAxOTYuNTY1IDUxMS40MTMg&#10;MjAzLjg3IDUwMS45MDQgMjA3LjE4OCA0OTMuNzMzIDIxMC4wNDEgNDg1LjczMiAyMDkuMzc3IDQ3&#10;OS45NTggMjA1LjM3IDQ2OS40MTMgMTk4LjA1NCA0NjguMDE4IDE4My40MzQgNDcyLjA5MyAxNzIu&#10;Nzc5IDQ3NS42NTcgMTYzLjQ1MiA0ODAuMjAyIDE1NS44ODYgNDg2LjIxMyAxNDcuOTg2IDQ4Ny45&#10;OTkgMTQ4LjI2OCA0ODkuNzU2IDE0OC42MzkgNDkxLjQ3MyAxNDkuMTA5IDUxMC40NTUgMTU0LjI2&#10;NiA1MjQuMDA5IDE3Mi43MTIgNTIwLjQ3OSAxODguNTg2Wk03ODguNzYxIDg4LjMxMzVDODAwLjMz&#10;NiA5Ni42MjE5IDgwNy4zMTkgMTAxLjYzOCA4MTEuMDggMTEzLjI0MyA4MTUuMDI0IDEyNS40NSA4&#10;MTAuNTAxIDEzNi41MTYgNzk5LjU1OCAxNDEuNDQ0IDc4Ny40MzUgMTQ2Ljg5NCA3NzEuNDY3IDEz&#10;OS4wMjkgNzY1LjI5MSAxMjguMzU1IDc1OS4yNzMgMTE3Ljk2MSA3NTkuOTk4IDEwNi4yODMgNzY3&#10;LjY0OCA5MC40NzY4IDc2OS40NzggODYuNjkzNyA3NzIuMDU3IDgzLjE1NjIgNzc1LjIwMSA3OS44&#10;Njk2IDc3OS4wOTQgODEuODAyOSA3ODIuNzcyIDgzLjk5MjMgNzg2LjE4MyA4Ni40NTMzIDc4Ny4w&#10;NjIgODcuMDg1NiA3ODcuOTIzIDg3LjcwNzQgNzg4Ljc2OCA4OC4zMTM1WiIvPjwvY2xpcFBhdGg+&#10;PGNsaXBQYXRoIGlkPSJjbGlwMTMyIj48cmVjdCB4PSIzNzMiIHk9IjAiIHdpZHRoPSI1NzEiIGhl&#10;aWdodD0iMjM5Ii8+PC9jbGlwUGF0aD48Y2xpcFBhdGggaWQ9ImNsaXAxMzMiPjxyZWN0IHg9IjM3&#10;MyIgeT0iMCIgd2lkdGg9IjU3MSIgaGVpZ2h0PSIyMzkiLz48L2NsaXBQYXRoPjxjbGlwUGF0aCBp&#10;ZD0iY2xpcDEzNCI+PHJlY3QgeD0iMzczIiB5PSIwIiB3aWR0aD0iNTcxIiBoZWlnaHQ9IjIzOSIv&#10;PjwvY2xpcFBhdGg+PGNsaXBQYXRoIGlkPSJjbGlwMTM1Ij48cGF0aCBkPSJNMzczLjIxMyAyMTAu&#10;MDQzIDM3NC44ODMgMjEwLjA0MyAzNzUuMDM5IDIxMC45ODYgMzg0Ljg0NCAyMTAuOTg2IDM5NS41&#10;NTQgMjEwLjA2MSA0ODIuODUgMjM4LjIgOTQzLjQwNCAyMTAuMDQzIDk0My40MDQgMCAzNzMuMjEz&#10;IDAgMzczLjIxMyAyMTAuMDQzWiIvPjwvY2xpcFBhdGg+PGxpbmVhckdyYWRpZW50IHgxPSIzLjU2&#10;OTkiIHkxPSIxMzEuMDExIiB4Mj0iNTYwLjE0NiIgeTI9IjEzMS4wMTEiIGdyYWRpZW50VW5pdHM9&#10;InVzZXJTcGFjZU9uVXNlIiBzcHJlYWRNZXRob2Q9InBhZCIgaWQ9ImZpbGwxMzYiPjxzdG9wIG9m&#10;ZnNldD0iMCIgc3RvcC1jb2xvcj0iIzMzN0RCQyIvPjxzdG9wIG9mZnNldD0iMC41MiIgc3RvcC1j&#10;b2xvcj0iIzFGQTZCRCIvPjxzdG9wIG9mZnNldD0iMSIgc3RvcC1jb2xvcj0iI0RBRUVGNSIvPjwv&#10;bGluZWFyR3JhZGllbnQ+PGNsaXBQYXRoIGlkPSJjbGlwMTM3Ij48cmVjdCB4PSI1MzUiIHk9Ijc0&#10;OCIgd2lkdGg9IjEzIiBoZWlnaHQ9IjEyIi8+PC9jbGlwUGF0aD48Y2xpcFBhdGggaWQ9ImNsaXAx&#10;MzgiPjxyZWN0IHg9IjUzNSIgeT0iNzQ4IiB3aWR0aD0iMTMiIGhlaWdodD0iMTIiLz48L2NsaXBQ&#10;YXRoPjxjbGlwUGF0aCBpZD0iY2xpcDEzOSI+PHJlY3QgeD0iLTAuODc4MTQyIiB5PSItMC42Mjkz&#10;NjkiIHdpZHRoPSIyMC43NTE5IiBoZWlnaHQ9IjE5LjQzMTUiLz48L2NsaXBQYXRoPjxjbGlwUGF0&#10;aCBpZD0iY2xpcDE0MSI+PHJlY3QgeD0iNS4zNDA1OGUtMDUiIHk9IjYuMzM2MDdlLTA1IiB3aWR0&#10;aD0iMTkiIGhlaWdodD0iMTgiLz48L2NsaXBQYXRoPjxjbGlwUGF0aCBpZD0iY2xpcDE0MiI+PHJl&#10;Y3QgeD0iNTM1IiB5PSI3NjMiIHdpZHRoPSIxMyIgaGVpZ2h0PSIxMiIvPjwvY2xpcFBhdGg+PGNs&#10;aXBQYXRoIGlkPSJjbGlwMTQzIj48cmVjdCB4PSI1MzUiIHk9Ijc2MyIgd2lkdGg9IjEzIiBoZWln&#10;aHQ9IjEyIi8+PC9jbGlwUGF0aD48Y2xpcFBhdGggaWQ9ImNsaXAxNDQiPjxyZWN0IHg9Ii0wLjg3&#10;ODE0MiIgeT0iLTAuNzY4NjI4IiB3aWR0aD0iMjAuNzUxOSIgaGVpZ2h0PSIxOS40MzE1Ii8+PC9j&#10;bGlwUGF0aD48Y2xpcFBhdGggaWQ9ImNsaXAxNDUiPjxyZWN0IHg9IjUuMzQwNThlLTA1IiB5PSIt&#10;NS43MjgxM2UtMDUiIHdpZHRoPSIxOSIgaGVpZ2h0PSIxOCIvPjwvY2xpcFBhdGg+PGNsaXBQYXRo&#10;IGlkPSJjbGlwMTQ2Ij48cmVjdCB4PSI1MjciIHk9IjE3NiIgd2lkdGg9IjEzIiBoZWlnaHQ9IjEy&#10;Ii8+PC9jbGlwUGF0aD48Y2xpcFBhdGggaWQ9ImNsaXAxNDciPjxyZWN0IHg9IjUyNyIgeT0iMTc2&#10;IiB3aWR0aD0iMTMiIGhlaWdodD0iMTIiLz48L2NsaXBQYXRoPjxjbGlwUGF0aCBpZD0iY2xpcDE0&#10;OCI+PHJlY3QgeD0iLTAuMjk4OTk0IiB5PSItMC4wOTk0NzMyIiB3aWR0aD0iMTkuNjU5NyIgaGVp&#10;Z2h0PSIxOS4xNDM2Ii8+PC9jbGlwUGF0aD48Y2xpcFBhdGggaWQ9ImNsaXAxNDkiPjxyZWN0IHg9&#10;Ii05LjUzNjc0ZS0wNiIgeT0iLTEuNzU2MDJlLTA2IiB3aWR0aD0iMTgiIGhlaWdodD0iMTkiLz48&#10;L2NsaXBQYXRoPjxjbGlwUGF0aCBpZD0iY2xpcDE1MCI+PHJlY3QgeD0iNTI3IiB5PSIyMTUiIHdp&#10;ZHRoPSIxMyIgaGVpZ2h0PSIxMyIvPjwvY2xpcFBhdGg+PGNsaXBQYXRoIGlkPSJjbGlwMTUxIj48&#10;cmVjdCB4PSI1MjciIHk9IjIxNSIgd2lkdGg9IjEzIiBoZWlnaHQ9IjEzIi8+PC9jbGlwUGF0aD48&#10;Y2xpcFBhdGggaWQ9ImNsaXAxNTIiPjxyZWN0IHg9Ii0wLjI5ODk5NCIgeT0iLTEuMjE2MTgiIHdp&#10;ZHRoPSIxOS42NTk3IiBoZWlnaHQ9IjIwLjczODkiLz48L2NsaXBQYXRoPjxjbGlwUGF0aCBpZD0i&#10;Y2xpcDE1MyI+PHJlY3QgeD0iLTkuNTM2NzRlLTA2IiB5PSI4Ljk5MTdlLTA2IiB3aWR0aD0iMTgi&#10;IGhlaWdodD0iMTkiLz48L2NsaXBQYXRoPjxjbGlwUGF0aCBpZD0iY2xpcDE1NCI+PHJlY3QgeD0i&#10;NTI3IiB5PSIyMzEiIHdpZHRoPSIxMyIgaGVpZ2h0PSIxMyIvPjwvY2xpcFBhdGg+PGNsaXBQYXRo&#10;IGlkPSJjbGlwMTU1Ij48cmVjdCB4PSI1MjciIHk9IjIzMSIgd2lkdGg9IjEzIiBoZWlnaHQ9IjEz&#10;Ii8+PC9jbGlwUGF0aD48Y2xpcFBhdGggaWQ9ImNsaXAxNTYiPjxyZWN0IHg9Ii0wLjI5ODk5NCIg&#10;eT0iLTEuMDI0NzUiIHdpZHRoPSIxOS42NTk3IiBoZWlnaHQ9IjIwLjczODkiLz48L2NsaXBQYXRo&#10;PjxjbGlwUGF0aCBpZD0iY2xpcDE1NyI+PHJlY3QgeD0iLTkuNTM2NzRlLTA2IiB5PSIzLjE2NzMx&#10;ZS0wNSIgd2lkdGg9IjE4IiBoZWlnaHQ9IjE5Ii8+PC9jbGlwUGF0aD48Y2xpcFBhdGggaWQ9ImNs&#10;aXAxNTgiPjxyZWN0IHg9IjUyNyIgeT0iMjQ3IiB3aWR0aD0iMTMiIGhlaWdodD0iMTMiLz48L2Ns&#10;aXBQYXRoPjxjbGlwUGF0aCBpZD0iY2xpcDE1OSI+PHJlY3QgeD0iNTI3IiB5PSIyNDciIHdpZHRo&#10;PSIxMyIgaGVpZ2h0PSIxMyIvPjwvY2xpcFBhdGg+PGNsaXBQYXRoIGlkPSJjbGlwMTYwIj48cmVj&#10;dCB4PSItMC4yOTg5OTQiIHk9Ii0wLjgzMzMxIiB3aWR0aD0iMTkuNjU5NyIgaGVpZ2h0PSIyMC43&#10;Mzg5Ii8+PC9jbGlwUGF0aD48Y2xpcFBhdGggaWQ9ImNsaXAxNjEiPjxyZWN0IHg9Ii05LjUzNjc0&#10;ZS0wNiIgeT0iMS43NjYxNmUtMDUiIHdpZHRoPSIxOCIgaGVpZ2h0PSIxOSIvPjwvY2xpcFBhdGg+&#10;PGNsaXBQYXRoIGlkPSJjbGlwMTYyIj48cmVjdCB4PSI1MjciIHk9IjI2MyIgd2lkdGg9IjEzIiBo&#10;ZWlnaHQ9IjEzIi8+PC9jbGlwUGF0aD48Y2xpcFBhdGggaWQ9ImNsaXAxNjMiPjxyZWN0IHg9IjUy&#10;NyIgeT0iMjYzIiB3aWR0aD0iMTMiIGhlaWdodD0iMTMiLz48L2NsaXBQYXRoPjxjbGlwUGF0aCBp&#10;ZD0iY2xpcDE2NCI+PHJlY3QgeD0iLTAuMjk4OTk0IiB5PSItMC42NDE4NzQiIHdpZHRoPSIxOS42&#10;NTk3IiBoZWlnaHQ9IjIwLjczODkiLz48L2NsaXBQYXRoPjxjbGlwUGF0aCBpZD0iY2xpcDE2NSI+&#10;PHJlY3QgeD0iLTkuNTM2NzRlLTA2IiB5PSItMi4wNjkyMWUtMDUiIHdpZHRoPSIxOCIgaGVpZ2h0&#10;PSIxOSIvPjwvY2xpcFBhdGg+PGNsaXBQYXRoIGlkPSJjbGlwMTY2Ij48cmVjdCB4PSI1MjciIHk9&#10;IjI3OSIgd2lkdGg9IjEzIiBoZWlnaHQ9IjEzIi8+PC9jbGlwUGF0aD48Y2xpcFBhdGggaWQ9ImNs&#10;aXAxNjciPjxyZWN0IHg9IjUyNyIgeT0iMjc5IiB3aWR0aD0iMTMiIGhlaWdodD0iMTMiLz48L2Ns&#10;aXBQYXRoPjxjbGlwUGF0aCBpZD0iY2xpcDE2OCI+PHJlY3QgeD0iLTAuMjk4OTk0IiB5PSItMC40&#10;NTA0MzkiIHdpZHRoPSIxOS42NTk3IiBoZWlnaHQ9IjIwLjczODkiLz48L2NsaXBQYXRoPjxjbGlw&#10;UGF0aCBpZD0iY2xpcDE2OSI+PHJlY3QgeD0iLTkuNTM2NzRlLTA2IiB5PSIyLjYzMzE2ZS0wNSIg&#10;d2lkdGg9IjE4IiBoZWlnaHQ9IjE5Ii8+PC9jbGlwUGF0aD48Y2xpcFBhdGggaWQ9ImNsaXAxNzAi&#10;PjxyZWN0IHg9IjUyNyIgeT0iMzI2IiB3aWR0aD0iMTMiIGhlaWdodD0iMTMiLz48L2NsaXBQYXRo&#10;PjxjbGlwUGF0aCBpZD0iY2xpcDE3MSI+PHJlY3QgeD0iNTI3IiB5PSIzMjYiIHdpZHRoPSIxMyIg&#10;aGVpZ2h0PSIxMyIvPjwvY2xpcFBhdGg+PGNsaXBQYXRoIGlkPSJjbGlwMTcyIj48cmVjdCB4PSIt&#10;MC4yOTg5OTQiIHk9Ii0xLjQ3MTQzIiB3aWR0aD0iMTkuNjU5NyIgaGVpZ2h0PSIyMC43Mzg5Ii8+&#10;PC9jbGlwUGF0aD48Y2xpcFBhdGggaWQ9ImNsaXAxNzMiPjxyZWN0IHg9Ii05LjUzNjc0ZS0wNiIg&#10;eT0iLTEuNTcwMjhlLTA1IiB3aWR0aD0iMTgiIGhlaWdodD0iMTkiLz48L2NsaXBQYXRoPjxjbGlw&#10;UGF0aCBpZD0iY2xpcDE3NCI+PHJlY3QgeD0iNTI3IiB5PSIzNDIiIHdpZHRoPSIxMyIgaGVpZ2h0&#10;PSIxMyIvPjwvY2xpcFBhdGg+PGNsaXBQYXRoIGlkPSJjbGlwMTc1Ij48cmVjdCB4PSI1MjciIHk9&#10;IjM0MiIgd2lkdGg9IjEzIiBoZWlnaHQ9IjEzIi8+PC9jbGlwUGF0aD48Y2xpcFBhdGggaWQ9ImNs&#10;aXAxNzYiPjxyZWN0IHg9Ii0wLjI5ODk5NCIgeT0iLTEuMjc5OTkiIHdpZHRoPSIxOS42NTk3IiBo&#10;ZWlnaHQ9IjIwLjczODkiLz48L2NsaXBQYXRoPjxjbGlwUGF0aCBpZD0iY2xpcDE3NyI+PHJlY3Qg&#10;eD0iLTkuNTM2NzRlLTA2IiB5PSI4LjAzMzI0ZS0wNyIgd2lkdGg9IjE4IiBoZWlnaHQ9IjE5Ii8+&#10;PC9jbGlwUGF0aD48Y2xpcFBhdGggaWQ9ImNsaXAxNzgiPjxyZWN0IHg9IjUyNyIgeT0iMzU4IiB3&#10;aWR0aD0iMTMiIGhlaWdodD0iMTMiLz48L2NsaXBQYXRoPjxjbGlwUGF0aCBpZD0iY2xpcDE3OSI+&#10;PHJlY3QgeD0iNTI3IiB5PSIzNTgiIHdpZHRoPSIxMyIgaGVpZ2h0PSIxMyIvPjwvY2xpcFBhdGg+&#10;PGNsaXBQYXRoIGlkPSJjbGlwMTgwIj48cmVjdCB4PSItMC4yOTg5OTQiIHk9Ii0xLjA4ODU2IiB3&#10;aWR0aD0iMTkuNjU5NyIgaGVpZ2h0PSIyMC43Mzg5Ii8+PC9jbGlwUGF0aD48Y2xpcFBhdGggaWQ9&#10;ImNsaXAxODEiPjxyZWN0IHg9Ii05LjUzNjc0ZS0wNiIgeT0iLTMuMTM3NTJlLTA1IiB3aWR0aD0i&#10;MTgiIGhlaWdodD0iMTkiLz48L2NsaXBQYXRoPjxjbGlwUGF0aCBpZD0iY2xpcDE4MiI+PHJlY3Qg&#10;eD0iNTI3IiB5PSIzNzQiIHdpZHRoPSIxMyIgaGVpZ2h0PSIxMyIvPjwvY2xpcFBhdGg+PGNsaXBQ&#10;YXRoIGlkPSJjbGlwMTgzIj48cmVjdCB4PSI1MjciIHk9IjM3NCIgd2lkdGg9IjEzIiBoZWlnaHQ9&#10;IjEzIi8+PC9jbGlwUGF0aD48Y2xpcFBhdGggaWQ9ImNsaXAxODQiPjxyZWN0IHg9Ii0wLjI5ODk5&#10;NCIgeT0iLTAuODk3MTIyIiB3aWR0aD0iMTkuNjU5NyIgaGVpZ2h0PSIyMC43Mzg5Ii8+PC9jbGlw&#10;UGF0aD48Y2xpcFBhdGggaWQ9ImNsaXAxODUiPjxyZWN0IHg9Ii05LjUzNjc0ZS0wNiIgeT0iLTEu&#10;NDg2OWUtMDUiIHdpZHRoPSIxOCIgaGVpZ2h0PSIxOSIvPjwvY2xpcFBhdGg+PGNsaXBQYXRoIGlk&#10;PSJjbGlwMTg2Ij48cmVjdCB4PSI1MjciIHk9IjM5MCIgd2lkdGg9IjEzIiBoZWlnaHQ9IjEzIi8+&#10;PC9jbGlwUGF0aD48Y2xpcFBhdGggaWQ9ImNsaXAxODciPjxyZWN0IHg9IjUyNyIgeT0iMzkwIiB3&#10;aWR0aD0iMTMiIGhlaWdodD0iMTMiLz48L2NsaXBQYXRoPjxjbGlwUGF0aCBpZD0iY2xpcDE4OCI+&#10;PHJlY3QgeD0iLTAuMjk4OTk0IiB5PSItMC43MDU2ODYiIHdpZHRoPSIxOS42NTk3IiBoZWlnaHQ9&#10;IjIwLjczODkiLz48L2NsaXBQYXRoPjxjbGlwUGF0aCBpZD0iY2xpcDE4OSI+PHJlY3QgeD0iLTku&#10;NTM2NzRlLTA2IiB5PSIxLjYzNzA4ZS0wNiIgd2lkdGg9IjE4IiBoZWlnaHQ9IjE5Ii8+PC9jbGlw&#10;UGF0aD48Y2xpcFBhdGggaWQ9ImNsaXAxOTAiPjxyZWN0IHg9IjUyNyIgeT0iNDQ2IiB3aWR0aD0i&#10;MTMiIGhlaWdodD0iMTIiLz48L2NsaXBQYXRoPjxjbGlwUGF0aCBpZD0iY2xpcDE5MSI+PHJlY3Qg&#10;eD0iNTI3IiB5PSI0NDYiIHdpZHRoPSIxMyIgaGVpZ2h0PSIxMiIvPjwvY2xpcFBhdGg+PGNsaXBQ&#10;YXRoIGlkPSJjbGlwMTkyIj48cmVjdCB4PSItMC4yOTg5OTQiIHk9Ii0wLjAzNTY2MTMiIHdpZHRo&#10;PSIxOS42NTk3IiBoZWlnaHQ9IjE5LjE0MzYiLz48L2NsaXBQYXRoPjxjbGlwUGF0aCBpZD0iY2xp&#10;cDE5MyI+PHJlY3QgeD0iLTkuNTM2NzRlLTA2IiB5PSI0LjEyNDE1ZS0wNSIgd2lkdGg9IjE4IiBo&#10;ZWlnaHQ9IjE5Ii8+PC9jbGlwUGF0aD48Y2xpcFBhdGggaWQ9ImNsaXAxOTQiPjxyZWN0IHg9IjUy&#10;NyIgeT0iNDYxIiB3aWR0aD0iMTMiIGhlaWdodD0iMTMiLz48L2NsaXBQYXRoPjxjbGlwUGF0aCBp&#10;ZD0iY2xpcDE5NSI+PHJlY3QgeD0iNTI3IiB5PSI0NjEiIHdpZHRoPSIxMyIgaGVpZ2h0PSIxMyIv&#10;PjwvY2xpcFBhdGg+PGNsaXBQYXRoIGlkPSJjbGlwMTk2Ij48cmVjdCB4PSItMC4yOTg5OTQiIHk9&#10;Ii0xLjQzOTUyIiB3aWR0aD0iMTkuNjU5NyIgaGVpZ2h0PSIyMC43Mzg5Ii8+PC9jbGlwUGF0aD48&#10;Y2xpcFBhdGggaWQ9ImNsaXAxOTciPjxyZWN0IHg9Ii05LjUzNjc0ZS0wNiIgeT0iLTMuMjg3NTdl&#10;LTA2IiB3aWR0aD0iMTgiIGhlaWdodD0iMTkiLz48L2NsaXBQYXRoPjxjbGlwUGF0aCBpZD0iY2xp&#10;cDE5OCI+PHJlY3QgeD0iNTI3IiB5PSI1MTciIHdpZHRoPSIxMyIgaGVpZ2h0PSIxMyIvPjwvY2xp&#10;cFBhdGg+PGNsaXBQYXRoIGlkPSJjbGlwMTk5Ij48cmVjdCB4PSI1MjciIHk9IjUxNyIgd2lkdGg9&#10;IjEzIiBoZWlnaHQ9IjEzIi8+PC9jbGlwUGF0aD48Y2xpcFBhdGggaWQ9ImNsaXAyMDAiPjxyZWN0&#10;IHg9Ii0wLjI5ODk5NCIgeT0iLTAuNzY5NDk4IiB3aWR0aD0iMTkuNjU5NyIgaGVpZ2h0PSIyMC43&#10;Mzg5Ii8+PC9jbGlwUGF0aD48Y2xpcFBhdGggaWQ9ImNsaXAyMDEiPjxyZWN0IHg9Ii05LjUzNjc0&#10;ZS0wNiIgeT0iMi4zOTY2M2UtMDUiIHdpZHRoPSIxOCIgaGVpZ2h0PSIxOSIvPjwvY2xpcFBhdGg+&#10;PGNsaXBQYXRoIGlkPSJjbGlwMjAyIj48cmVjdCB4PSI1MjciIHk9IjUzMyIgd2lkdGg9IjEzIiBo&#10;ZWlnaHQ9IjEzIi8+PC9jbGlwUGF0aD48Y2xpcFBhdGggaWQ9ImNsaXAyMDMiPjxyZWN0IHg9IjUy&#10;NyIgeT0iNTMzIiB3aWR0aD0iMTMiIGhlaWdodD0iMTMiLz48L2NsaXBQYXRoPjxjbGlwUGF0aCBp&#10;ZD0iY2xpcDIwNCI+PHJlY3QgeD0iLTAuMjk4OTk0IiB5PSItMC41NzgwNjIiIHdpZHRoPSIxOS42&#10;NTk3IiBoZWlnaHQ9IjIwLjczODkiLz48L2NsaXBQYXRoPjxjbGlwUGF0aCBpZD0iY2xpcDIwNSI+&#10;PHJlY3QgeD0iLTkuNTM2NzRlLTA2IiB5PSItMi4wNTYyOGUtMDUiIHdpZHRoPSIxOCIgaGVpZ2h0&#10;PSIxOSIvPjwvY2xpcFBhdGg+PGNsaXBQYXRoIGlkPSJjbGlwMjA2Ij48cmVjdCB4PSI1MjciIHk9&#10;IjU4OCIgd2lkdGg9IjEzIiBoZWlnaHQ9IjEzIi8+PC9jbGlwUGF0aD48Y2xpcFBhdGggaWQ9ImNs&#10;aXAyMDciPjxyZWN0IHg9IjUyNyIgeT0iNTg4IiB3aWR0aD0iMTMiIGhlaWdodD0iMTMiLz48L2Ns&#10;aXBQYXRoPjxjbGlwUGF0aCBpZD0iY2xpcDIwOCI+PHJlY3QgeD0iLTAuMjk4OTk0IiB5PSItMS41&#10;MDMzMyIgd2lkdGg9IjE5LjY1OTciIGhlaWdodD0iMjAuNzM4OSIvPjwvY2xpcFBhdGg+PGNsaXBQ&#10;YXRoIGlkPSJjbGlwMjA5Ij48cmVjdCB4PSItOS41MzY3NGUtMDYiIHk9IjYuNjkxMDllLTA2IiB3&#10;aWR0aD0iMTgiIGhlaWdodD0iMTkiLz48L2NsaXBQYXRoPjxjbGlwUGF0aCBpZD0iY2xpcDIxMCI+&#10;PHJlY3QgeD0iNTI3IiB5PSI2MjAiIHdpZHRoPSIxMyIgaGVpZ2h0PSIxMyIvPjwvY2xpcFBhdGg+&#10;PGNsaXBQYXRoIGlkPSJjbGlwMjExIj48cmVjdCB4PSI1MjciIHk9IjYyMCIgd2lkdGg9IjEzIiBo&#10;ZWlnaHQ9IjEzIi8+PC9jbGlwUGF0aD48Y2xpcFBhdGggaWQ9ImNsaXAyMTIiPjxyZWN0IHg9Ii0w&#10;LjI5ODk5NCIgeT0iLTEuMTIwNDYiIHdpZHRoPSIxOS42NTk3IiBoZWlnaHQ9IjIwLjczODkiLz48&#10;L2NsaXBQYXRoPjxjbGlwUGF0aCBpZD0iY2xpcDIxMyI+PHJlY3QgeD0iLTkuNTM2NzRlLTA2IiB5&#10;PSIzLjM2OTI2ZS0wNiIgd2lkdGg9IjE4IiBoZWlnaHQ9IjE5Ii8+PC9jbGlwUGF0aD48Y2xpcFBh&#10;dGggaWQ9ImNsaXAyMTQiPjxyZWN0IHg9IjIzIiB5PSIzNTMiIHdpZHRoPSIxOTciIGhlaWdodD0i&#10;NiIvPjwvY2xpcFBhdGg+PGNsaXBQYXRoIGlkPSJjbGlwMjE1Ij48cmVjdCB4PSIyMyIgeT0iMzUz&#10;IiB3aWR0aD0iMTk3IiBoZWlnaHQ9IjYiLz48L2NsaXBQYXRoPjxjbGlwUGF0aCBpZD0iY2xpcDIx&#10;NiI+PHJlY3QgeD0iMjMiIHk9IjM1MyIgd2lkdGg9IjE5NyIgaGVpZ2h0PSI2Ii8+PC9jbGlwUGF0&#10;aD48Y2xpcFBhdGggaWQ9ImNsaXAyMTciPjxyZWN0IHg9IjIzIiB5PSI0NjQiIHdpZHRoPSIxOTci&#10;IGhlaWdodD0iNSIvPjwvY2xpcFBhdGg+PGNsaXBQYXRoIGlkPSJjbGlwMjE4Ij48cmVjdCB4PSIy&#10;MyIgeT0iNDY0IiB3aWR0aD0iMTk3IiBoZWlnaHQ9IjUiLz48L2NsaXBQYXRoPjxjbGlwUGF0aCBp&#10;ZD0iY2xpcDIxOSI+PHJlY3QgeD0iMjMiIHk9IjQ2NCIgd2lkdGg9IjE5NyIgaGVpZ2h0PSI1Ii8+&#10;PC9jbGlwUGF0aD48Y2xpcFBhdGggaWQ9ImNsaXAyMjAiPjxyZWN0IHg9IjIzIiB5PSI1MzEiIHdp&#10;ZHRoPSIxOTciIGhlaWdodD0iNSIvPjwvY2xpcFBhdGg+PGNsaXBQYXRoIGlkPSJjbGlwMjIxIj48&#10;cmVjdCB4PSIyMyIgeT0iNTMxIiB3aWR0aD0iMTk3IiBoZWlnaHQ9IjUiLz48L2NsaXBQYXRoPjxj&#10;bGlwUGF0aCBpZD0iY2xpcDIyMiI+PHJlY3QgeD0iMjMiIHk9IjUzMSIgd2lkdGg9IjE5NyIgaGVp&#10;Z2h0PSI1Ii8+PC9jbGlwUGF0aD48Y2xpcFBhdGggaWQ9ImNsaXAyMjMiPjxyZWN0IHg9IjIzIiB5&#10;PSI2MDgiIHdpZHRoPSIxOTciIGhlaWdodD0iNSIvPjwvY2xpcFBhdGg+PGNsaXBQYXRoIGlkPSJj&#10;bGlwMjI0Ij48cmVjdCB4PSIyMyIgeT0iNjA4IiB3aWR0aD0iMTk3IiBoZWlnaHQ9IjUiLz48L2Ns&#10;aXBQYXRoPjxjbGlwUGF0aCBpZD0iY2xpcDIyNSI+PHJlY3QgeD0iMjMiIHk9IjYwOCIgd2lkdGg9&#10;IjE5NyIgaGVpZ2h0PSI1Ii8+PC9jbGlwUGF0aD48Y2xpcFBhdGggaWQ9ImNsaXAyMjYiPjxyZWN0&#10;IHg9IjI1NSIgeT0iMjUwIiB3aWR0aD0iMjM0IiBoZWlnaHQ9IjUiLz48L2NsaXBQYXRoPjxjbGlw&#10;UGF0aCBpZD0iY2xpcDIyNyI+PHJlY3QgeD0iMjU1IiB5PSIyNTAiIHdpZHRoPSIyMzQiIGhlaWdo&#10;dD0iNSIvPjwvY2xpcFBhdGg+PGNsaXBQYXRoIGlkPSJjbGlwMjI4Ij48cmVjdCB4PSIyNTUiIHk9&#10;IjI1MCIgd2lkdGg9IjIzNCIgaGVpZ2h0PSI1Ii8+PC9jbGlwUGF0aD48Y2xpcFBhdGggaWQ9ImNs&#10;aXAyMjkiPjxyZWN0IHg9IjI1NCIgeT0iNTY5IiB3aWR0aD0iMjMzIiBoZWlnaHQ9IjYiLz48L2Ns&#10;aXBQYXRoPjxjbGlwUGF0aCBpZD0iY2xpcDIzMCI+PHJlY3QgeD0iMjU0IiB5PSI1NjkiIHdpZHRo&#10;PSIyMzMiIGhlaWdodD0iNiIvPjwvY2xpcFBhdGg+PGNsaXBQYXRoIGlkPSJjbGlwMjMxIj48cmVj&#10;dCB4PSIyNTQiIHk9IjU2OSIgd2lkdGg9IjIzMyIgaGVpZ2h0PSI2Ii8+PC9jbGlwUGF0aD48Y2xp&#10;cFBhdGggaWQ9ImNsaXAyMzIiPjxyZWN0IHg9IjI1NCIgeT0iNjMyIiB3aWR0aD0iMjMzIiBoZWln&#10;aHQ9IjQiLz48L2NsaXBQYXRoPjxjbGlwUGF0aCBpZD0iY2xpcDIzMyI+PHJlY3QgeD0iMjU0IiB5&#10;PSI2MzIiIHdpZHRoPSIyMzMiIGhlaWdodD0iNCIvPjwvY2xpcFBhdGg+PGNsaXBQYXRoIGlkPSJj&#10;bGlwMjM0Ij48cmVjdCB4PSIyNTQiIHk9IjYzMiIgd2lkdGg9IjIzMyIgaGVpZ2h0PSI0Ii8+PC9j&#10;bGlwUGF0aD48Y2xpcFBhdGggaWQ9ImNsaXAyMzUiPjxyZWN0IHg9IjUyMyIgeT0iNDg5IiB3aWR0&#10;aD0iMjU5IiBoZWlnaHQ9IjYiLz48L2NsaXBQYXRoPjxjbGlwUGF0aCBpZD0iY2xpcDIzNiI+PHJl&#10;Y3QgeD0iNTIzIiB5PSI0ODkiIHdpZHRoPSIyNTkiIGhlaWdodD0iNiIvPjwvY2xpcFBhdGg+PGNs&#10;aXBQYXRoIGlkPSJjbGlwMjM3Ij48cmVjdCB4PSI1MjMiIHk9IjQ4OSIgd2lkdGg9IjI1OSIgaGVp&#10;Z2h0PSI2Ii8+PC9jbGlwUGF0aD48Y2xpcFBhdGggaWQ9ImNsaXAyMzgiPjxyZWN0IHg9IjUyMyIg&#10;eT0iNTYwIiB3aWR0aD0iMjU5IiBoZWlnaHQ9IjYiLz48L2NsaXBQYXRoPjxjbGlwUGF0aCBpZD0i&#10;Y2xpcDIzOSI+PHJlY3QgeD0iNTIzIiB5PSI1NjAiIHdpZHRoPSIyNTkiIGhlaWdodD0iNiIvPjwv&#10;Y2xpcFBhdGg+PGNsaXBQYXRoIGlkPSJjbGlwMjQwIj48cmVjdCB4PSI1MjMiIHk9IjU2MCIgd2lk&#10;dGg9IjI1OSIgaGVpZ2h0PSI2Ii8+PC9jbGlwUGF0aD48Y2xpcFBhdGggaWQ9ImNsaXAyNDEiPjxy&#10;ZWN0IHg9IjgyOCIgeT0iMTE3IiB3aWR0aD0iMTEiIGhlaWdodD0iMTIiLz48L2NsaXBQYXRoPjxj&#10;bGlwUGF0aCBpZD0iY2xpcDI0MiI+PHJlY3QgeD0iODI4IiB5PSIxMTciIHdpZHRoPSIxMSIgaGVp&#10;Z2h0PSIxMiIvPjwvY2xpcFBhdGg+PGNsaXBQYXRoIGlkPSJjbGlwMjQzIj48cmVjdCB4PSItMC41&#10;NzQ3MSIgeT0iLTAuMDk2MTQ3OCIgd2lkdGg9IjE3LjA2MTciIGhlaWdodD0iMTcuMTI4NSIvPjwv&#10;Y2xpcFBhdGg+PGNsaXBQYXRoIGlkPSJjbGlwMjQ0Ij48cmVjdCB4PSI3LjMzMzgyZS0wNiIgeT0i&#10;NS44NTMyOGUtMDYiIHdpZHRoPSIxNiIgaGVpZ2h0PSIxNyIvPjwvY2xpcFBhdGg+PGNsaXBQYXRo&#10;IGlkPSJjbGlwMjQ1Ij48cmVjdCB4PSI4MjgiIHk9IjE2NCIgd2lkdGg9IjExIiBoZWlnaHQ9IjEz&#10;Ii8+PC9jbGlwUGF0aD48Y2xpcFBhdGggaWQ9ImNsaXAyNDYiPjxyZWN0IHg9IjgyOCIgeT0iMTY0&#10;IiB3aWR0aD0iMTEiIGhlaWdodD0iMTMiLz48L2NsaXBQYXRoPjxjbGlwUGF0aCBpZD0iY2xpcDI0&#10;NyI+PHJlY3QgeD0iLTAuNTc0NzEiIHk9Ii0xLjAwOTY3IiB3aWR0aD0iMTcuMDYxNyIgaGVpZ2h0&#10;PSIxOC41NTU4Ii8+PC9jbGlwUGF0aD48Y2xpcFBhdGggaWQ9ImNsaXAyNDgiPjxyZWN0IHg9Ijcu&#10;MzMzODJlLTA2IiB5PSIxLjY4MTM5ZS0wNiIgd2lkdGg9IjE2IiBoZWlnaHQ9IjE3Ii8+PC9jbGlw&#10;UGF0aD48Y2xpcFBhdGggaWQ9ImNsaXAyNDkiPjxyZWN0IHg9IjgyOCIgeT0iMTgwIiB3aWR0aD0i&#10;MTEiIGhlaWdodD0iMTMiLz48L2NsaXBQYXRoPjxjbGlwUGF0aCBpZD0iY2xpcDI1MCI+PHJlY3Qg&#10;eD0iODI4IiB5PSIxODAiIHdpZHRoPSIxMSIgaGVpZ2h0PSIxMyIvPjwvY2xpcFBhdGg+PGNsaXBQ&#10;YXRoIGlkPSJjbGlwMjUxIj48cmVjdCB4PSItMC41NzQ3MSIgeT0iLTAuODM4MzgxIiB3aWR0aD0i&#10;MTcuMDYxNyIgaGVpZ2h0PSIxOC41NTU4Ii8+PC9jbGlwUGF0aD48Y2xpcFBhdGggaWQ9ImNsaXAy&#10;NTIiPjxyZWN0IHg9IjcuMzMzODJlLTA2IiB5PSIxLjI2NTg0ZS0wNSIgd2lkdGg9IjE2IiBoZWln&#10;aHQ9IjE3Ii8+PC9jbGlwUGF0aD48Y2xpcFBhdGggaWQ9ImNsaXAyNTMiPjxyZWN0IHg9IjgyOCIg&#10;eT0iMTk2IiB3aWR0aD0iMTEiIGhlaWdodD0iMTMiLz48L2NsaXBQYXRoPjxjbGlwUGF0aCBpZD0i&#10;Y2xpcDI1NCI+PHJlY3QgeD0iODI4IiB5PSIxOTYiIHdpZHRoPSIxMSIgaGVpZ2h0PSIxMyIvPjwv&#10;Y2xpcFBhdGg+PGNsaXBQYXRoIGlkPSJjbGlwMjU1Ij48cmVjdCB4PSItMC41NzQ3MSIgeT0iLTAu&#10;NjY3MDk3IiB3aWR0aD0iMTcuMDYxNyIgaGVpZ2h0PSIxOC41NTU4Ii8+PC9jbGlwUGF0aD48Y2xp&#10;cFBhdGggaWQ9ImNsaXAyNTYiPjxyZWN0IHg9IjcuMzMzODJlLTA2IiB5PSItMy42MTA2MmUtMDci&#10;IHdpZHRoPSIxNiIgaGVpZ2h0PSIxNyIvPjwvY2xpcFBhdGg+PGNsaXBQYXRoIGlkPSJjbGlwMjU3&#10;Ij48cmVjdCB4PSI4MjgiIHk9IjIxMiIgd2lkdGg9IjExIiBoZWlnaHQ9IjEzIi8+PC9jbGlwUGF0&#10;aD48Y2xpcFBhdGggaWQ9ImNsaXAyNTgiPjxyZWN0IHg9IjgyOCIgeT0iMjEyIiB3aWR0aD0iMTEi&#10;IGhlaWdodD0iMTMiLz48L2NsaXBQYXRoPjxjbGlwUGF0aCBpZD0iY2xpcDI1OSI+PHJlY3QgeD0i&#10;LTAuNTc0NzEiIHk9Ii0wLjQ5NTgxMiIgd2lkdGg9IjE3LjA2MTciIGhlaWdodD0iMTguNTU1OCIv&#10;PjwvY2xpcFBhdGg+PGNsaXBQYXRoIGlkPSJjbGlwMjYwIj48cmVjdCB4PSI3LjMzMzgyZS0wNiIg&#10;eT0iLTEuMzM4MDVlLTA1IiB3aWR0aD0iMTYiIGhlaWdodD0iMTciLz48L2NsaXBQYXRoPjxjbGlw&#10;UGF0aCBpZD0iY2xpcDI2MSI+PHJlY3QgeD0iODI4IiB5PSIyMjgiIHdpZHRoPSIxMSIgaGVpZ2h0&#10;PSIxMyIvPjwvY2xpcFBhdGg+PGNsaXBQYXRoIGlkPSJjbGlwMjYyIj48cmVjdCB4PSI4MjgiIHk9&#10;IjIyOCIgd2lkdGg9IjExIiBoZWlnaHQ9IjEzIi8+PC9jbGlwUGF0aD48Y2xpcFBhdGggaWQ9ImNs&#10;aXAyNjMiPjxyZWN0IHg9Ii0wLjU3NDcxIiB5PSItMC4zMjQ1MjciIHdpZHRoPSIxNy4wNjE3IiBo&#10;ZWlnaHQ9IjE4LjU1NTgiLz48L2NsaXBQYXRoPjxjbGlwUGF0aCBpZD0iY2xpcDI2NCI+PHJlY3Qg&#10;eD0iNy4zMzM4MmUtMDYiIHk9IjEuMjg1NTNlLTA1IiB3aWR0aD0iMTYiIGhlaWdodD0iMTciLz48&#10;L2NsaXBQYXRoPjxjbGlwUGF0aCBpZD0iY2xpcDI2NSI+PHJlY3QgeD0iODI4IiB5PSIyODAiIHdp&#10;ZHRoPSIxMSIgaGVpZ2h0PSIxMyIvPjwvY2xpcFBhdGg+PGNsaXBQYXRoIGlkPSJjbGlwMjY2Ij48&#10;cmVjdCB4PSI4MjgiIHk9IjI4MCIgd2lkdGg9IjExIiBoZWlnaHQ9IjEzIi8+PC9jbGlwUGF0aD48&#10;Y2xpcFBhdGggaWQ9ImNsaXAyNjciPjxyZWN0IHg9Ii0wLjU3NDcxIiB5PSItMC45MDExODYiIHdp&#10;ZHRoPSIxNy4wNjE3IiBoZWlnaHQ9IjE4LjU1NTgiLz48L2NsaXBQYXRoPjxjbGlwUGF0aCBpZD0i&#10;Y2xpcDI2OCI+PHJlY3QgeD0iNy4zMzM4MmUtMDYiIHk9IjEuNDM4ODllLTA1IiB3aWR0aD0iMTYi&#10;IGhlaWdodD0iMTciLz48L2NsaXBQYXRoPjxjbGlwUGF0aCBpZD0iY2xpcDI2OSI+PHJlY3QgeD0i&#10;ODI4IiB5PSIyOTYiIHdpZHRoPSIxMSIgaGVpZ2h0PSIxMyIvPjwvY2xpcFBhdGg+PGNsaXBQYXRo&#10;IGlkPSJjbGlwMjcwIj48cmVjdCB4PSI4MjgiIHk9IjI5NiIgd2lkdGg9IjExIiBoZWlnaHQ9IjEz&#10;Ii8+PC9jbGlwUGF0aD48Y2xpcFBhdGggaWQ9ImNsaXAyNzEiPjxyZWN0IHg9Ii0wLjU3NDcxIiB5&#10;PSItMC43Mjk5MDEiIHdpZHRoPSIxNy4wNjE3IiBoZWlnaHQ9IjE4LjU1NTgiLz48L2NsaXBQYXRo&#10;PjxjbGlwUGF0aCBpZD0iY2xpcDI3MiI+PHJlY3QgeD0iNy4zMzM4MmUtMDYiIHk9IjEuMzY5NTFl&#10;LTA2IiB3aWR0aD0iMTYiIGhlaWdodD0iMTciLz48L2NsaXBQYXRoPjxjbGlwUGF0aCBpZD0iY2xp&#10;cDI3MyI+PHJlY3QgeD0iODI4IiB5PSIzMjgiIHdpZHRoPSIxMSIgaGVpZ2h0PSIxMyIvPjwvY2xp&#10;cFBhdGg+PGNsaXBQYXRoIGlkPSJjbGlwMjc0Ij48cmVjdCB4PSI4MjgiIHk9IjMyOCIgd2lkdGg9&#10;IjExIiBoZWlnaHQ9IjEzIi8+PC9jbGlwUGF0aD48Y2xpcFBhdGggaWQ9ImNsaXAyNzUiPjxyZWN0&#10;IHg9Ii0wLjU3NDcxIiB5PSItMC4zODczMzIiIHdpZHRoPSIxNy4wNjE3IiBoZWlnaHQ9IjE4LjU1&#10;NTgiLz48L2NsaXBQYXRoPjxjbGlwUGF0aCBpZD0iY2xpcDI3NiI+PHJlY3QgeD0iNy4zMzM4MmUt&#10;MDYiIHk9IjUuODQ4MjRlLTA2IiB3aWR0aD0iMTYiIGhlaWdodD0iMTciLz48L2NsaXBQYXRoPjxj&#10;bGlwUGF0aCBpZD0iY2xpcDI3NyI+PHJlY3QgeD0iODI4IiB5PSI0OTEiIHdpZHRoPSIxMSIgaGVp&#10;Z2h0PSIxMiIvPjwvY2xpcFBhdGg+PGNsaXBQYXRoIGlkPSJjbGlwMjc4Ij48cmVjdCB4PSI4Mjgi&#10;IHk9IjQ5MSIgd2lkdGg9IjExIiBoZWlnaHQ9IjEyIi8+PC9jbGlwUGF0aD48Y2xpcFBhdGggaWQ9&#10;ImNsaXAyNzkiPjxyZWN0IHg9Ii0wLjU3NDcxIiB5PSItMC4wNTkwMzYxIiB3aWR0aD0iMTcuMDYx&#10;NyIgaGVpZ2h0PSIxNy4xMjg1Ii8+PC9jbGlwUGF0aD48Y2xpcFBhdGggaWQ9ImNsaXAyODAiPjxy&#10;ZWN0IHg9IjcuMzMzODJlLTA2IiB5PSItMS42MzU2NWUtMDUiIHdpZHRoPSIxNiIgaGVpZ2h0PSIx&#10;NyIvPjwvY2xpcFBhdGg+PGNsaXBQYXRoIGlkPSJjbGlwMjgxIj48cmVjdCB4PSI4MjgiIHk9IjUw&#10;NiIgd2lkdGg9IjExIiBoZWlnaHQ9IjEzIi8+PC9jbGlwUGF0aD48Y2xpcFBhdGggaWQ9ImNsaXAy&#10;ODIiPjxyZWN0IHg9IjgyOCIgeT0iNTA2IiB3aWR0aD0iMTEiIGhlaWdodD0iMTMiLz48L2NsaXBQ&#10;YXRoPjxjbGlwUGF0aCBpZD0iY2xpcDI4MyI+PHJlY3QgeD0iLTAuNTc0NzEiIHk9Ii0xLjMxNTEy&#10;IiB3aWR0aD0iMTcuMDYxNyIgaGVpZ2h0PSIxOC41NTU4Ii8+PC9jbGlwUGF0aD48Y2xpcFBhdGgg&#10;aWQ9ImNsaXAyODQiPjxyZWN0IHg9IjcuMzMzODJlLTA2IiB5PSItMi45Mzc1OWUtMDUiIHdpZHRo&#10;PSIxNiIgaGVpZ2h0PSIxNyIvPjwvY2xpcFBhdGg+PGNsaXBQYXRoIGlkPSJjbGlwMjg1Ij48cmVj&#10;dCB4PSI4MjgiIHk9IjUyMiIgd2lkdGg9IjExIiBoZWlnaHQ9IjEzIi8+PC9jbGlwUGF0aD48Y2xp&#10;cFBhdGggaWQ9ImNsaXAyODYiPjxyZWN0IHg9IjgyOCIgeT0iNTIyIiB3aWR0aD0iMTEiIGhlaWdo&#10;dD0iMTMiLz48L2NsaXBQYXRoPjxjbGlwUGF0aCBpZD0iY2xpcDI4NyI+PHJlY3QgeD0iLTAuNTc0&#10;NzEiIHk9Ii0xLjE0Mzg0IiB3aWR0aD0iMTcuMDYxNyIgaGVpZ2h0PSIxOC41NTU4Ii8+PC9jbGlw&#10;UGF0aD48Y2xpcFBhdGggaWQ9ImNsaXAyODgiPjxyZWN0IHg9IjcuMzMzODJlLTA2IiB5PSItMi40&#10;OTIwMWUtMDUiIHdpZHRoPSIxNiIgaGVpZ2h0PSIxNyIvPjwvY2xpcFBhdGg+PGNsaXBQYXRoIGlk&#10;PSJjbGlwMjg5Ij48cmVjdCB4PSI4MjgiIHk9IjUzOCIgd2lkdGg9IjExIiBoZWlnaHQ9IjEzIi8+&#10;PC9jbGlwUGF0aD48Y2xpcFBhdGggaWQ9ImNsaXAyOTAiPjxyZWN0IHg9IjgyOCIgeT0iNTM4IiB3&#10;aWR0aD0iMTEiIGhlaWdodD0iMTMiLz48L2NsaXBQYXRoPjxjbGlwUGF0aCBpZD0iY2xpcDI5MSI+&#10;PHJlY3QgeD0iLTAuNTc0NzEiIHk9Ii0wLjk3MjU1NCIgd2lkdGg9IjE3LjA2MTciIGhlaWdodD0i&#10;MTguNTU1OCIvPjwvY2xpcFBhdGg+PGNsaXBQYXRoIGlkPSJjbGlwMjkyIj48cmVjdCB4PSI3LjMz&#10;MzgyZS0wNiIgeT0iLTMuNzkzOTVlLTA1IiB3aWR0aD0iMTYiIGhlaWdodD0iMTciLz48L2NsaXBQ&#10;YXRoPjxjbGlwUGF0aCBpZD0iY2xpcDI5MyI+PHJlY3QgeD0iODI4IiB5PSI1ODciIHdpZHRoPSIx&#10;MSIgaGVpZ2h0PSIxMyIvPjwvY2xpcFBhdGg+PGNsaXBQYXRoIGlkPSJjbGlwMjk0Ij48cmVjdCB4&#10;PSI4MjgiIHk9IjU4NyIgd2lkdGg9IjExIiBoZWlnaHQ9IjEzIi8+PC9jbGlwUGF0aD48Y2xpcFBh&#10;dGggaWQ9ImNsaXAyOTUiPjxyZWN0IHg9Ii0wLjU3NDcxIiB5PSItMS4yOTc5OSIgd2lkdGg9IjE3&#10;LjA2MTciIGhlaWdodD0iMTguNTU1OCIvPjwvY2xpcFBhdGg+PGNsaXBQYXRoIGlkPSJjbGlwMjk2&#10;Ij48cmVjdCB4PSI3LjMzMzgyZS0wNiIgeT0iLTUuNDc3MjJlLTA1IiB3aWR0aD0iMTYiIGhlaWdo&#10;dD0iMTciLz48L2NsaXBQYXRoPjxjbGlwUGF0aCBpZD0iY2xpcDI5NyI+PHJlY3QgeD0iODI4IiB5&#10;PSI2MDMiIHdpZHRoPSIxMSIgaGVpZ2h0PSIxMyIvPjwvY2xpcFBhdGg+PGNsaXBQYXRoIGlkPSJj&#10;bGlwMjk4Ij48cmVjdCB4PSI4MjgiIHk9IjYwMyIgd2lkdGg9IjExIiBoZWlnaHQ9IjEzIi8+PC9j&#10;bGlwUGF0aD48Y2xpcFBhdGggaWQ9ImNsaXAyOTkiPjxyZWN0IHg9Ii0wLjU3NDcxIiB5PSItMS4x&#10;MjY3MSIgd2lkdGg9IjE3LjA2MTciIGhlaWdodD0iMTguNTU1OCIvPjwvY2xpcFBhdGg+PGNsaXBQ&#10;YXRoIGlkPSJjbGlwMzAwIj48cmVjdCB4PSI3LjMzMzgyZS0wNiIgeT0iLTYuNzU2NTFlLTA2IiB3&#10;aWR0aD0iMTYiIGhlaWdodD0iMTciLz48L2NsaXBQYXRoPjxjbGlwUGF0aCBpZD0iY2xpcDMwMSI+&#10;PHJlY3QgeD0iODI4IiB5PSI2NTEiIHdpZHRoPSIxMSIgaGVpZ2h0PSIxMyIvPjwvY2xpcFBhdGg+&#10;PGNsaXBQYXRoIGlkPSJjbGlwMzAyIj48cmVjdCB4PSI4MjgiIHk9IjY1MSIgd2lkdGg9IjExIiBo&#10;ZWlnaHQ9IjEzIi8+PC9jbGlwUGF0aD48Y2xpcFBhdGggaWQ9ImNsaXAzMDMiPjxyZWN0IHg9Ii0w&#10;LjU3NDcxIiB5PSItMC42MTI4NTYiIHdpZHRoPSIxNy4wNjE3IiBoZWlnaHQ9IjE4LjU1NTgiLz48&#10;L2NsaXBQYXRoPjxjbGlwUGF0aCBpZD0iY2xpcDMwNCI+PHJlY3QgeD0iNy4zMzM4MmUtMDYiIHk9&#10;Ii00LjU4MTQ4ZS0wNSIgd2lkdGg9IjE2IiBoZWlnaHQ9IjE3Ii8+PC9jbGlwUGF0aD48Y2xpcFBh&#10;dGggaWQ9ImNsaXAzMDUiPjxyZWN0IHg9IjUyMyIgeT0iNDE2IiB3aWR0aD0iMjU5IiBoZWlnaHQ9&#10;IjYiLz48L2NsaXBQYXRoPjxjbGlwUGF0aCBpZD0iY2xpcDMwNiI+PHJlY3QgeD0iNTIzIiB5PSI0&#10;MTYiIHdpZHRoPSIyNTkiIGhlaWdodD0iNiIvPjwvY2xpcFBhdGg+PGNsaXBQYXRoIGlkPSJjbGlw&#10;MzA3Ij48cmVjdCB4PSI1MjMiIHk9IjQxNiIgd2lkdGg9IjI1OSIgaGVpZ2h0PSI2Ii8+PC9jbGlw&#10;UGF0aD48Y2xpcFBhdGggaWQ9ImNsaXAzMDgiPjxyZWN0IHg9IjgzMCIgeT0iMzQ2IiB3aWR0aD0i&#10;MjYwIiBoZWlnaHQ9IjUiLz48L2NsaXBQYXRoPjxjbGlwUGF0aCBpZD0iY2xpcDMwOSI+PHJlY3Qg&#10;eD0iODMwIiB5PSIzNDYiIHdpZHRoPSIyNjAiIGhlaWdodD0iNSIvPjwvY2xpcFBhdGg+PGNsaXBQ&#10;YXRoIGlkPSJjbGlwMzEwIj48cmVjdCB4PSI4MzAiIHk9IjM0NiIgd2lkdGg9IjI2MCIgaGVpZ2h0&#10;PSI1Ii8+PC9jbGlwUGF0aD48Y2xpcFBhdGggaWQ9ImNsaXAzMTEiPjxyZWN0IHg9IjgzMCIgeT0i&#10;NDAwIiB3aWR0aD0iMjYwIiBoZWlnaHQ9IjYiLz48L2NsaXBQYXRoPjxjbGlwUGF0aCBpZD0iY2xp&#10;cDMxMiI+PHJlY3QgeD0iODMwIiB5PSI0MDAiIHdpZHRoPSIyNjAiIGhlaWdodD0iNiIvPjwvY2xp&#10;cFBhdGg+PGNsaXBQYXRoIGlkPSJjbGlwMzEzIj48cmVjdCB4PSI4MzAiIHk9IjQwMCIgd2lkdGg9&#10;IjI2MCIgaGVpZ2h0PSI2Ii8+PC9jbGlwUGF0aD48Y2xpcFBhdGggaWQ9ImNsaXAzMTQiPjxyZWN0&#10;IHg9IjgzMCIgeT0iNDYzIiB3aWR0aD0iMjYwIiBoZWlnaHQ9IjYiLz48L2NsaXBQYXRoPjxjbGlw&#10;UGF0aCBpZD0iY2xpcDMxNSI+PHJlY3QgeD0iODMwIiB5PSI0NjMiIHdpZHRoPSIyNjAiIGhlaWdo&#10;dD0iNiIvPjwvY2xpcFBhdGg+PGNsaXBQYXRoIGlkPSJjbGlwMzE2Ij48cmVjdCB4PSI4MzAiIHk9&#10;IjQ2MyIgd2lkdGg9IjI2MCIgaGVpZ2h0PSI2Ii8+PC9jbGlwUGF0aD48Y2xpcFBhdGggaWQ9ImNs&#10;aXAzMTciPjxyZWN0IHg9IjgzMCIgeT0iNTU5IiB3aWR0aD0iMjYwIiBoZWlnaHQ9IjYiLz48L2Ns&#10;aXBQYXRoPjxjbGlwUGF0aCBpZD0iY2xpcDMxOCI+PHJlY3QgeD0iODMwIiB5PSI1NTkiIHdpZHRo&#10;PSIyNjAiIGhlaWdodD0iNiIvPjwvY2xpcFBhdGg+PGNsaXBQYXRoIGlkPSJjbGlwMzE5Ij48cmVj&#10;dCB4PSI4MzAiIHk9IjU1OSIgd2lkdGg9IjI2MCIgaGVpZ2h0PSI2Ii8+PC9jbGlwUGF0aD48Y2xp&#10;cFBhdGggaWQ9ImNsaXAzMjAiPjxyZWN0IHg9IjgzMCIgeT0iNjI0IiB3aWR0aD0iMjYwIiBoZWln&#10;aHQ9IjUiLz48L2NsaXBQYXRoPjxjbGlwUGF0aCBpZD0iY2xpcDMyMSI+PHJlY3QgeD0iODMwIiB5&#10;PSI2MjQiIHdpZHRoPSIyNjAiIGhlaWdodD0iNSIvPjwvY2xpcFBhdGg+PGNsaXBQYXRoIGlkPSJj&#10;bGlwMzIyIj48cmVjdCB4PSI4MzAiIHk9IjYyNCIgd2lkdGg9IjI2MCIgaGVpZ2h0PSI1Ii8+PC9j&#10;bGlwUGF0aD48aW1hZ2Ugd2lkdGg9IjE1IiBoZWlnaHQ9IjE2IiB4bGluazpocmVmPSJkYXRhOmlt&#10;YWdlL3BuZztiYXNlNjQsaVZCT1J3MEtHZ29BQUFBTlNVaEVVZ0FBQUFvQUFBQUtDQU1BQUFDNjdE&#10;K1BBQUFBQVhOU1IwSUFyczRjNlFBQUFBUm5RVTFCQUFDeGp3djhZUVVBQUFCSVVFeFVSUUFBQUFC&#10;bW1RQk9oUUJTaVFCT2pBQlFod0JRaXdCTml3QlJqUUJPakFCT2lnQlFpd0JPaXdCT2l3Qk9pd0JQ&#10;akFCT2lnQlBpd0JQaXdCUGpBQlBpd0JQakFCUGl3QlBpM3U1WVB3QUFBQVhkRkpPVXdBRkZ4dytR&#10;RUJQWW1ocGVYK0NocCttdU1qTzQvejlSY1hYb3dBQUFBbHdTRmx6QUFBT3d3QUFEc01CeDIrb1pB&#10;QUFBRUJKUkVGVUdGZGpRQVhNSEh5c0VCYXZxTGk0R0NlSXhTUU9Ba0lncGdDWUtjNENaUEpBbVB4&#10;QUppT0V5UVZTd1M0Q1pBbUNXRURBSnN3TlpZRUJBd01BdnRzRGdyYTRVcVFBQUFBQVNVVk9SSzVD&#10;WUlJPSIgcHJlc2VydmVBc3BlY3RSYXRpbz0ibm9uZSIgaWQ9ImltZzQiPjwvaW1hZ2U+PGltYWdl&#10;IHdpZHRoPSIxNiIgaGVpZ2h0PSIxNyIgeGxpbms6aHJlZj0iZGF0YTppbWFnZS9wbmc7YmFzZTY0&#10;LGlWQk9SdzBLR2dvQUFBQU5TVWhFVWdBQUFBb0FBQUFMQ0FNQUFBQnhzT3dxQUFBQUFYTlNSMElB&#10;cnM0YzZRQUFBQVJuUVUxQkFBQ3hqd3Y4WVFVQUFBQmFVRXhVUlFBQUFBQUFBS1JKTjU5Z1FKNVBQ&#10;cDlUUUo5VlBwdFRQYUZUUGFKVFBKeFVQWjVUUEoxVlBwNVVQWjFTUHAxVFBwMVVQNTFVUFo1VFBa&#10;MVNQWjFUUFoxVFBaNVVQWjFUUFoxVFBaMVRQWjFUUFoxVFBaMVNQWjFUUGQ3WkJ3Y0FBQUFkZEZK&#10;T1V3QUJEaEFkS0MwdUxqZERSRTVQWTJ0NmZZR2V1YnpTM2ZYNy9QMys5TXpqVlFBQUFBbHdTRmx6&#10;QUFBT3d3QUFEc01CeDIrb1pBQUFBRWRKUkVGVUdGZFZ5amNDZ0RBTUJFRUJKcGxnaytQOS81dm9C&#10;QTFiVGJIeUw2dDkvcW85QWZUR1RZV1o2aWpzcVRJYUVaVHVObzQ4VnVxcXlHSTVnSW5TeXFGSlBq&#10;S1JCeVRiQk9Bc2hIb0JBQUFBQUVsRlRrU3VRbUNDIiBwcmVzZXJ2ZUFzcGVjdFJhdGlvPSJub25l&#10;IiBpZD0iaW1nMjEiPjwvaW1hZ2U+PGltYWdlIHdpZHRoPSIxOCIgaGVpZ2h0PSIxOSIgeGxpbms6&#10;aHJlZj0iZGF0YTppbWFnZS9wbmc7YmFzZTY0LGlWQk9SdzBLR2dvQUFBQU5TVWhFVWdBQUFBc0FB&#10;QUFNQ0FNQUFBQ0RkN2VzQUFBQUFYTlNSMElBcnM0YzZRQUFBQVJuUVUxQkFBQ3hqd3Y4WVFVQUFB&#10;QklVRXhVUlFBQUFPdnJnT1BzZStYdGhPZnJmdWJwZnVmcWZ1anNmdWZzZnVicWdPYnFmK2ZyZitY&#10;cWYrYnFnT2JxZiticWYrWHFmK2JxZ09icWdPYnFmdWZyZ09icWYrYnFmdWJxZjJtbGRpWUFBQUFY&#10;ZEZKT1V3QWFHeDFCUjBsUFgzaUhqWnVzcmIvRnl1cjIvUDMrUmdxTUN3QUFBQWx3U0ZsekFBQU93&#10;d0FBRHNNQngyK29aQUFBQUVOSlJFRlVHRmQ5eWtrU2dDQVVBOUdnT0tIaUNMbi9UZkVIZDFiWnE3&#10;ZG8vTlR2S1k2VkRhMVpYdVFvUDhqa0thL2tRZDd5Y05tenlmRG10aHBkbU56TGIwQUJCTFVEZWRl&#10;T0JYUUFBQUFBU1VWT1JLNUNZSUk9IiBwcmVzZXJ2ZUFzcGVjdFJhdGlvPSJub25lIiBpZD0iaW1n&#10;MzQiPjwvaW1hZ2U+PGltYWdlIHdpZHRoPSIxOSIgaGVpZ2h0PSIxOCIgeGxpbms6aHJlZj0iZGF0&#10;YTppbWFnZS9wbmc7YmFzZTY0LGlWQk9SdzBLR2dvQUFBQU5TVWhFVWdBQUFBd0FBQUFMQ0FNQUFB&#10;QjhycHh0QUFBQUFYTlNSMElBcnM0YzZRQUFBQVJuUVUxQkFBQ3hqd3Y4WVFVQUFBQkZVRXhVUlFB&#10;QUFBQUFBQ1NxdGlTdHZ5T253U0dtdkNPa3ZTU212aVNvdlNLbnZTU252aU9sdlNPbXZTT212aUtt&#10;dkNPbnZTT212U09tdlNPbnZpS212U09tdlNPbnZTT212ZmN3cTVnQUFBQVdkRkpPVXdBQkZSd2RS&#10;VkZXajVhV2w2L0F3c3JjNk9yMCtmc0QrdUZ2QUFBQUNYQklXWE1BQUE3REFBQU93d0hIYjZoa0FB&#10;QUFQMGxFUVZRWVYzMkpRUktBSUF6RXFxZ0lxSURBL3YrcFRMZFh4NXlTaWZ3U1h1RGV6RThReHho&#10;SUdrVjlBUm9YejBORlpSd1duaUY3dkhwZXpUOFJtUWtLQTZpSnFrMXVBQUFBQUVsRlRrU3VRbUND&#10;IiBwcmVzZXJ2ZUFzcGVjdFJhdGlvPSJub25lIiBpZD0iaW1nMTQwIj48L2ltYWdlPjwvZGVmcz48&#10;ZyBjbGlwLXBhdGg9InVybCgjY2xpcDApIiB0cmFuc2Zvcm09InRyYW5zbGF0ZSgtMTIgMCkiPjxw&#10;YXRoIGQ9Ik0yNS43ODg4IDkwLjA2MjUgMjA0LjMyNyA5MC4wNjI1IDIwNC4zMjcgMTMxLjMyNSAy&#10;NS43ODg4IDEzMS4zMjVaIiBzdHJva2U9IiMzNjQyNEEiIHN0cm9rZS13aWR0aD0iMC45OTE4Nzci&#10;IHN0cm9rZS1saW5lam9pbj0icm91bmQiIHN0cm9rZS1taXRlcmxpbWl0PSIxMCIgZmlsbD0ibm9u&#10;ZSIgdHJhbnNmb3JtPSJtYXRyaXgoMSAwIDAgMS4wMDA2MyA1LjY1MTk5IDEyLjcwNCkiLz48cGF0&#10;aCBkPSJNMzUuMTU5OCAxMTAuMTk4IDU2LjY1MDYgMTEwLjE5OCA1Ni42NTA2IDEyNi4wNjggMzUu&#10;MTU5OCAxMjYuMDY4WiIgZmlsbD0iI0U2RUE3RiIgZmlsbC1ydWxlPSJldmVub2RkIiB0cmFuc2Zv&#10;cm09Im1hdHJpeCgxIDAgMCAxLjAwMDYzIDUuNjUxOTkgMTIuNzA0KSIvPjx0ZXh0IGZvbnQtZmFt&#10;aWx5PSJDYWxpYnJpLENhbGlicmlfTVNGb250U2VydmljZSxBcmlhbCIgZm9udC13ZWlnaHQ9Ijcw&#10;MCIgZm9udC1zaXplPSIxNyIgdHJhbnNmb3JtPSJtYXRyaXgoMC43OTM1MDIgMCAwIDAuNzk0IDQw&#10;LjgxMTggMTIxKSI+S2V5PC90ZXh0Pjx0ZXh0IGZvbnQtZmFtaWx5PSJDYWxpYnJpLENhbGlicmlf&#10;TVNGb250U2VydmljZSxBcmlhbCIgZm9udC13ZWlnaHQ9IjcwMCIgZm9udC1zaXplPSIxNyIgdHJh&#10;bnNmb3JtPSJtYXRyaXgoMC43OTM1MDIgMCAwIDAuNzk0IDYxLjQ0MjkgMTIxKSI+OjwvdGV4dD48&#10;dGV4dCBmb250LWZhbWlseT0iQ2FsaWJyaSxDYWxpYnJpX01TRm9udFNlcnZpY2UsQXJpYWwiIGZv&#10;bnQtd2VpZ2h0PSI0MDAiIGZvbnQtc2l6ZT0iMTciIHRyYW5zZm9ybT0ibWF0cml4KDAuNzkzNTAy&#10;IDAgMCAwLjc5NCA0MC44MTE4IDEzNikiPig8L3RleHQ+PHRleHQgZm9udC1mYW1pbHk9IkNhbGli&#10;cmksQ2FsaWJyaV9NU0ZvbnRTZXJ2aWNlLEFyaWFsIiBmb250LXdlaWdodD0iNDAwIiBmb250LXNp&#10;emU9IjE3IiB0cmFuc2Zvcm09Im1hdHJpeCgwLjc5MzUwMiAwIDAgMC43OTQgNDQuNzc5MyAxMzYp&#10;Ij4wMDwvdGV4dD48dGV4dCBmb250LWZhbWlseT0iQ2FsaWJyaSxDYWxpYnJpX01TRm9udFNlcnZp&#10;Y2UsQXJpYWwiIGZvbnQtd2VpZ2h0PSI0MDAiIGZvbnQtc2l6ZT0iMTciIHRyYW5zZm9ybT0ibWF0&#10;cml4KDAuNzkzNTAyIDAgMCAwLjc5NCA1OS4wNjI0IDEzNikiPik8L3RleHQ+PHRleHQgZm9udC1m&#10;YW1pbHk9IkNhbGlicmksQ2FsaWJyaV9NU0ZvbnRTZXJ2aWNlLEFyaWFsIiBmb250LXdlaWdodD0i&#10;NDAwIiBmb250LXNpemU9IjE3IiB0cmFuc2Zvcm09Im1hdHJpeCgwLjc5MzUwMiAwIDAgMC43OTQg&#10;NjUuMjc4MiAxMzYpIj5udW1iZXIgb2YgcGFydGljaXBhbnRzPC90ZXh0PjxwYXRoIGQ9Ik0yMzgu&#10;NDQ3IDE5MC4wNDRDMjU3LjQ1MyAxOTEuNzg5IDI3OC43OTMgMTkyLjA5IDMwMC41MzEgMTkwLjA0&#10;NCAzMjIuMjY5IDE4Ny45OTcgMzI5LjU1NiAxOTEuMjA1IDM1Ny40NDEgMTkwLjA0NCAzODUuMzI1&#10;IDE4OC44ODMgMzk1Ljg0MyAxODcuMTQ0IDQyNy4yODUgMTkwLjA0NCA0NTguNzI3IDE5Mi45NDMg&#10;NDcwLjEzIDE5MC4zNDQgNDk3LjEyOSAxOTAuMDQ0IDQ5NC43MTcgMjE1LjE0NiA0OTguNjkyIDIz&#10;Ni45MDUgNDk3LjEyOSAyNDkuNDE1IDQ5NS41NjYgMjYxLjkyNSA0OTkuMzE5IDI4MS42NjEgNDk3&#10;LjEyOSAzMDIuOTE1IDQ5NC45MzkgMzI0LjE2OCA0OTQuODMzIDM0NS4wNjYgNDk3LjEyOSAzNjgu&#10;MTU5IDQ5OS40MjQgMzkxLjI1IDQ5Ny42NTYgNDE5LjcxNSA0OTcuMTI5IDQzMy40MDIgNDk2LjYw&#10;MiA0NDcuMDg5IDQ5OC4yNzIgNDc0LjkwOSA0OTcuMTI5IDQ4Ni45MDEgNDk1Ljk4NSA0OTguODk0&#10;IDQ5OS43NzEgNTIwLjE3OCA0OTcuMTI5IDU0MC40MDEgNDk0LjQ4NyA1NjAuNjI1IDQ5Ny40ODQg&#10;NTg2LjMxMSA0OTcuMTI5IDYwNS42NDQgNDk2Ljc3NCA2MjQuOTc4IDUwMC41NjIgNjU1Ljc2NSA0&#10;OTcuMTI5IDY3Ni43NiA0OTMuNjk2IDY5Ny43NTUgNDk3LjIzMSA3NDUuODU1IDQ5Ny4xMjkgNzc3&#10;LjIzNSA0NzIuNzc5IDc3Ny43ODMgNDU3LjUxMiA3NzcuODYzIDQzMi40NTggNzc3LjIzNSA0MDcu&#10;NDA0IDc3Ni42MDcgMzk2LjUxNiA3NzkuNzgzIDM3Mi45NjIgNzc3LjIzNSAzNDkuNDA4IDc3NC42&#10;ODcgMzI5LjY0IDc3Ny40NTkgMzA4LjI5MSA3NzcuMjM1IDI4Ni45NDIgNzc3LjAxMSAyNjcuNjcx&#10;IDc3NS43MjggMjM4LjQ0NyA3NzcuMjM1IDIzNy4yNTUgNzYxLjc4NiAyMzUuNDk4IDczMS42MTEg&#10;MjM4LjQ0NyA3MTEuOTkyIDI0MS4zOTcgNjkyLjM3MiAyMzcuODA3IDY3MS4wOTkgMjM4LjQ0NyA2&#10;NTguNDkyIDIzOS4wODggNjQ1Ljg4NCAyMzkuODkxIDYzMS4xMzUgMjM4LjQ0NyA2MDQuOTkyIDIz&#10;Ny4wMDQgNTc4Ljg0OCAyNDAuODIgNTcwLjkzIDIzOC40NDcgNTQ1LjYyMSAyMzYuMDc1IDUyMC4z&#10;MTEgMjQwLjc2OSA1MDMuOTY0IDIzOC40NDcgNDY4LjYzMyAyMzYuMTI2IDQzMy4zMDIgMjM2LjE0&#10;MSA0MjkuMDkyIDIzOC40NDcgNDAzLjM5IDI0MC43NTQgMzc3LjY4OCAyMzguMjE1IDM2OS4wOTcg&#10;MjM4LjQ0NyAzNDQuMDE4IDIzOC42OCAzMTguOTM5IDIzNy45NDkgMzEwLjE2NyAyMzguNDQ3IDI5&#10;Ni4zOSAyMzguOTQ2IDI4Mi42MTQgMjQwLjI5IDI3MS44ODkgMjM4LjQ0NyAyNDguNzYzIDIzNi42&#10;MDUgMjI1LjYzNiAyMzkuODk4IDIxMS4xNTMgMjM4LjQ0NyAxOTAuMDQ0WiIgZmlsbD0iIzMyN0RC&#10;RCIgZmlsbC1ydWxlPSJldmVub2RkIiB0cmFuc2Zvcm09Im1hdHJpeCgxIDAgMCAxLjAwMDYzIDUu&#10;NjUxOTkgMTIuNzA0KSIvPjxwYXRoIGQ9Ik0yMzguNDQ3IDE5MC4wNDRDMjU3LjE2NyAxOTEuMjYz&#10;IDI3Mi4yNDYgMTg4LjI0MSAyOTcuOTQ0IDE5MC4wNDQgMzIzLjY0MiAxOTEuODQ3IDMzNC42OTIg&#10;MTg5LjE0OSAzNjAuMDI4IDE5MC4wNDQgMzg1LjM2MyAxOTAuOTM5IDQwNS4yMjMgMTkwLjU4MSA0&#10;MjkuODcyIDE5MC4wNDQgNDU0LjUyIDE4OS41MDYgNDY4Ljc0NiAxOTIuNTQ3IDQ5Ny4xMjkgMTkw&#10;LjA0NCA0OTcuNDA0IDIxNS41MDkgNDk5LjQ5NSAyMzAuOTgzIDQ5Ny4xMjkgMjYxLjE1OSA0OTQu&#10;NzYzIDI5MS4zMzUgNDk1LjQ5IDI5Ny43NzkgNDk3LjEyOSAzMDguNzg2IDQ5OC43NjcgMzE5Ljc5&#10;NCA0OTUuMDg2IDM0NC40NSA0OTcuMTI5IDM2Mi4yODcgNDk5LjE3MSAzODAuMTIzIDQ5OS4yOSA0&#10;MTQuMjk0IDQ5Ny4xMjkgNDMzLjQwMiA0OTQuOTY3IDQ1Mi41MDkgNDk5LjM3NCA0NjkuMTYgNDk3&#10;LjEyOSA0ODYuOTAxIDQ5NC44ODQgNTA0LjY0MyA0OTUuMjU1IDUxNC45OTMgNDk3LjEyOSA1MzQu&#10;NTI5IDQ5OS4wMDMgNTU0LjA2NSA0OTguOTMzIDU2Ny41NjggNDk3LjEyOSA1ODguMDI5IDQ5NS4z&#10;MjUgNjA4LjQ5IDQ5OC4zNzEgNjI1LjUxNCA0OTcuMTI5IDY0Ny40MDEgNDk1Ljg4NyA2NjkuMjg3&#10;IDQ5OC42NjQgNjgyLjg2MSA0OTcuMTI5IDcxMi42NDQgNDk1LjU5NCA3NDIuNDI3IDQ5Ny42ODcg&#10;NzU1LjAyMyA0OTcuMTI5IDc3Ny4yMzUgNDgyLjM3NSA3NzYuOTEgNDQ3LjI2OCA3NzcuNjU1IDQy&#10;Ny4yODUgNzc3LjIzNSA0MDcuMzAyIDc3Ni44MTUgMzg1LjI4NiA3NzYuNiAzNjIuNjE0IDc3Ny4y&#10;MzUgMzM5Ljk0MyA3NzcuODcgMzIzLjIwNiA3NzUuMjA4IDI5Ny45NDQgNzc3LjIzNSAyNzIuNjgy&#10;IDc3OS4yNjIgMjY3LjA1MSA3NzUuNjY4IDIzOC40NDcgNzc3LjIzNSAyMzkuMTUyIDc1NS43Mjkg&#10;MjM2LjE3NSA3MzguMTgyIDIzOC40NDcgNzExLjk5MiAyNDAuNzE5IDY4NS44MDEgMjM2Ljc2NyA2&#10;NzguNTQ2IDIzOC40NDcgNjUyLjYyIDI0MC4xMjcgNjI2LjY5NCAyMzkuMzc1IDYwMi4xNzkgMjM4&#10;LjQ0NyA1ODcuMzc2IDIzNy41MiA1NzIuNTc0IDIzNS43NyA1NDAuMTUzIDIzOC40NDcgNTE2LjI2&#10;MSAyNDEuMTI1IDQ5Mi4zNjkgMjM1LjE4NCA0NzAuMjQ5IDIzOC40NDcgNDQ1LjE0NiAyNDEuNzEg&#10;NDIwLjA0MyAyMzkuMTA4IDM5Ny45MzEgMjM4LjQ0NyAzNzQuMDMxIDIzNy43ODYgMzUwLjEyOSAy&#10;NDAuNTg2IDMyNi41NTkgMjM4LjQ0NyAyOTcuMDQzIDIzNi4zMDkgMjY3LjUyNyAyMzguOTA1IDIy&#10;Ny40MDggMjM4LjQ0NyAxOTAuMDQ0WiIgc3Ryb2tlPSIjMzY0MjRBIiBzdHJva2Utd2lkdGg9IjEu&#10;OTgzNzUiIHN0cm9rZS1taXRlcmxpbWl0PSI4IiBmaWxsPSJub25lIiBmaWxsLXJ1bGU9ImV2ZW5v&#10;ZGQiIHRyYW5zZm9ybT0ibWF0cml4KDEgMCAwIDEuMDAwNjMgNS42NTE5OSAxMi43MDQpIi8+PHBh&#10;dGggZD0iTTkuOTE4NzcgMjgyLjg4M0MzNC45MjIzIDI4Mi42NzYgNTkuMDg1OSAyODAuNTg1IDc5&#10;Ljk2MTIgMjgyLjg4MyAxMDAuODM3IDI4NS4xODIgMTE5LjU4NiAyODIuMjEyIDE0NS42NzEgMjgy&#10;Ljg4MyAxNzEuNzU2IDI4My41NTUgMjAxLjIzOCAyODUuNDY5IDIyNi41NDUgMjgyLjg4MyAyMjUu&#10;NzIgMzEwLjY2NyAyMjguNzEgMzI1LjA2NyAyMjYuNTQ1IDM0OC41NjIgMjI0LjM3OSAzNzIuMDU2&#10;IDIyNy4wNTkgMzg3LjI0NiAyMjYuNTQ1IDQwOS4yOTYgMjI2LjAzMSA0MzEuMzQ2IDIyNS43NSA0&#10;NDEuMTA2IDIyNi41NDUgNDcwLjAzMSAyMjcuMzM5IDQ5OC45NTYgMjI2Ljc3NyA1MjYuMjM0IDIy&#10;Ni41NDUgNTQwLjY1MiAyMjYuMzEyIDU1NS4wNyAyMjQuNzgyIDU4MS42NzMgMjI2LjU0NSA2MTEu&#10;Mjc0IDIyOC4zMDggNjQwLjg3NSAyMjguMjcgNjU4LjgxNCAyMjYuNTQ1IDY3Mi4wMDkgMjI0Ljgy&#10;IDY4NS4yMDQgMjI2LjM0MyA3MzAuMTk5IDIyNi41NDUgNzc3LjIzNSAyMDUuOTMgNzc0LjIyMSAx&#10;NzAuNzA1IDc3NS45OTggMTU0LjMzNiA3NzcuMjM1IDEzNy45NjYgNzc4LjQ3MiAxMTYuMTA3IDc3&#10;OS4wNzcgODQuMjkzNyA3NzcuMjM1IDUyLjQ4MDggNzc1LjM5MyAyNi44NTY0IDc3NC4zNDcgOS45&#10;MTg3NyA3NzcuMjM1IDcuODgzNDkgNzU5LjAxNCA2Ljg0NTI0IDczNC4zNTQgOS45MTg3NyA2OTYu&#10;NzI2IDEyLjk5MjMgNjU5LjA5OCAxMy4yOTQyIDY1MC4wMzMgOS45MTg3NyA2MTYuMjE4IDYuNTQz&#10;MzkgNTgyLjQwMyAxMC4wOTkzIDU3NS40NyA5LjkxODc3IDU0NS41OTYgOS43MzgyNSA1MTUuNzIy&#10;IDEwLjc2MjMgNDk0LjIyMyA5LjkxODc3IDQ3OS45MTggOS4wNzUyIDQ2NS42MTMgMTEuMTYzOSA0&#10;MzcuODkyIDkuOTE4NzcgNDI0LjEyNyA4LjY3MzYxIDQxMC4zNjIgMTAuNTIyNSAzODEuMTAzIDku&#10;OTE4NzcgMzYzLjM5MiA5LjMxNTA4IDM0NS42ODEgMTIuNzk1NiAzMTUuMzgzIDkuOTE4NzcgMjgy&#10;Ljg4M1oiIGZpbGw9IiM5RDUzM0QiIGZpbGwtcnVsZT0iZXZlbm9kZCIgdHJhbnNmb3JtPSJtYXRy&#10;aXgoMSAwIDAgMS4wMDA2MyA1LjY1MTk5IDEyLjcwNCkiLz48cGF0aCBkPSJNOS45MTg3NyAyODIu&#10;ODgzQzMwLjE3OTkgMjgwLjkyNyA1Ni4wOTgyIDI4MC4zODYgNzkuOTYxMiAyODIuODgzIDEwMy44&#10;MjQgMjg1LjM4MSAxMTguNDc0IDI3OS43MjIgMTQ3LjgzNyAyODIuODgzIDE3Ny4yMDEgMjg2LjA0&#10;NSAxODguNDYgMjg2LjI2NCAyMjYuNTQ1IDI4Mi44ODMgMjI2LjE3IDMxMy4zNjQgMjI1LjI4NSAz&#10;MzEuNjY1IDIyNi41NDUgMzUzLjUwNSAyMjcuODA1IDM3NS4zNDUgMjI4Ljc2MyA0MDIuNTYzIDIy&#10;Ni41NDUgNDI0LjEyNyAyMjQuMzI3IDQ0NS42OSAyMjcuNjcyIDQ1Ny4yMjggMjI2LjU0NSA0ODQu&#10;ODYxIDIyNS40MTggNTEyLjQ5NCAyMjUuMjYxIDU0MS45NDUgMjI2LjU0NSA1NjAuNDI3IDIyNy44&#10;MjkgNTc4LjkwOCAyMjUuMzI4IDU5OC42MDMgMjI2LjU0NSA2MjEuMTYxIDIyNy43NjEgNjQzLjcy&#10;IDIyOS4zMjggNjc4Ljk3OCAyMjYuNTQ1IDY5Ni43MjYgMjIzLjc2MiA3MTQuNDc1IDIyNS4wOTkg&#10;NzQzLjg5MyAyMjYuNTQ1IDc3Ny4yMzUgMjA5LjcxOCA3NzkuOTEgMTc4LjIxNCA3NzYuMzM0IDE1&#10;Mi4xNyA3NzcuMjM1IDEyNi4xMjYgNzc4LjEzNiA5My42MDYyIDc3NS4zNDIgNzcuNzk0OSA3Nzcu&#10;MjM1IDYxLjk4MzQgNzc5LjEyOCAyNS4xMjA0IDc3My44NzMgOS45MTg3NyA3NzcuMjM1IDEwLjQ1&#10;NTMgNzU5LjczIDExLjkwMzUgNzM5LjQ4NiA5LjkxODc3IDcxMS41NTcgNy45MzQwOSA2ODMuNjI5&#10;IDEzLjU3MzYgNjczLjU4MSA5LjkxODc3IDYzNS45OTIgNi4yNjM4NyA1OTguNDA0IDcuMzI1ODEg&#10;NTk5LjMwOSA5LjkxODc3IDU3NS4yNTcgMTIuNTExNyA1NTEuMjA1IDkuMDA4NTUgNTM3LjUyNCA5&#10;LjkxODc3IDUwNC42MzUgMTAuODI5IDQ3MS43NDYgNy41NTQ0MSA0NjEuMTYgOS45MTg3NyA0Mjku&#10;MDcgMTIuMjgzMiAzOTYuOTggMTEuNTE3NSAzOTAuMjQyIDkuOTE4NzcgMzczLjI3OSA4LjMyMDAy&#10;IDM1Ni4zMTYgMTMuMTgyMiAzMDQuMDgzIDkuOTE4NzcgMjgyLjg4M1oiIHN0cm9rZT0iIzM2NDI0&#10;QSIgc3Ryb2tlLXdpZHRoPSIxLjk4Mzc1IiBzdHJva2UtbWl0ZXJsaW1pdD0iOCIgZmlsbD0ibm9u&#10;ZSIgZmlsbC1ydWxlPSJldmVub2RkIiB0cmFuc2Zvcm09Im1hdHJpeCgxIDAgMCAxLjAwMDYzIDUu&#10;NjUxOTkgMTIuNzA0KSIvPjxwYXRoIGQ9Ik04MTEuMzU2IDc0Ljk4NTlDODQwLjM0MiA3Ni41NTk4&#10;IDg2NC45OCA3NS4zNDA5IDg4MS4wNTcgNzQuOTg1OSA4OTcuMTMzIDc0LjYzMSA5MjkuNSA3NC4y&#10;OTcxIDk0NC45NSA3NC45ODU5IDk2MC4zOTkgNzUuNjc0OCA5ODguMjc1IDc3LjE1ODkgMTAyMy4z&#10;NiA3NC45ODU5IDEwNTguNDUgNzIuODEyOSAxMDYzLjYxIDc3LjE2MzMgMTEwMS43OCA3NC45ODU5&#10;IDExMDMuNTYgMTA0LjIwMSAxMTAyLjE5IDExMy40ODggMTEwMS43OCAxMzguMTg4IDExMDEuMzYg&#10;MTYyLjg4OCAxMTAwLjU1IDE4MC45NTcgMTEwMS43OCAxOTQuMzY4IDExMDMuMDEgMjA3Ljc3OSAx&#10;MTAxLjkgMjMzLjU2NSAxMTAxLjc4IDI2NC41OTMgMTEwMS42NiAyOTUuNjIxIDExMDEuMjEgMzA3&#10;Ljk0OSAxMTAxLjc4IDMzNC44MTggMTEwMi4zNCAzNjEuNjg3IDExMDIuNzQgMzc3LjM2MiAxMTAx&#10;Ljc4IDM5MC45OTggMTEwMC44MiA0MDQuNjM0IDExMDAuODEgNDI4Ljk0OSAxMTAxLjc4IDQ0Ny4x&#10;NzggMTEwMi43NSA0NjUuNDA3IDExMDIuMTYgNDkwLjM1OSAxMTAxLjc4IDUxNy40MDMgMTEwMS40&#10;IDU0NC40NDcgMTEwMC45MiA1NzEuMjEzIDExMDEuNzggNTk0LjY1IDExMDIuNjMgNjE4LjA4NyAx&#10;MTAzLjUyIDYyMi41MTggMTEwMS43OCA2NDMuODA4IDExMDAuMDQgNjY1LjA5NyAxMDk5LjY3IDY4&#10;NC40NjcgMTEwMS43OCA3MTQuMDMzIDExMDMuODkgNzQzLjU5OCAxMTAwLjMyIDc0OC4zNTQgMTEw&#10;MS43OCA3NzcuMjM1IDEwNjUuNTYgNzc4LjE2MiAxMDQ2LjMyIDc3OS4zNjkgMTAyOS4xNyA3Nzcu&#10;MjM1IDEwMTIuMDIgNzc1LjEwMSA5NzAuNzM4IDc4MS4wNzYgOTUwLjc1OCA3NzcuMjM1IDkzMC43&#10;NzggNzczLjM5NCA5MDMuNjE2IDc3Ni42NzIgODc4LjE1MyA3NzcuMjM1IDg1Mi42ODkgNzc3Ljc5&#10;OCA4MjkuMDUxIDc3Ni45MzMgODExLjM1NiA3NzcuMjM1IDgxMS40ODMgNzU1LjYwOCA4MTEuMjg0&#10;IDczOS4zNSA4MTEuMzU2IDcyMS4wNTUgODExLjQyNyA3MDIuNzYgODEzLjMzMSA2ODAuODk4IDgx&#10;MS4zNTYgNjU3Ljg1MyA4MDkuMzggNjM0LjgwNyA4MTAuNTcgNjAzLjQ2NCA4MTEuMzU2IDU3My41&#10;ODMgODEyLjE0MSA1NDMuNzAxIDgxMC42ODEgNTIxLjExMyA4MTEuMzU2IDUwMy4zNTggODEyLjAz&#10;IDQ4NS42MDIgODEwLjggNDU2LjExNCA4MTEuMzU2IDQ0MC4xNTUgODExLjkxMSA0MjQuMTk3IDgx&#10;MS42NzMgNDAzLjM2OSA4MTEuMzU2IDM5MC45OTggODExLjAzOCAzNzguNjI3IDgxMS4zMjQgMzYz&#10;LjQ1MiA4MTEuMzU2IDM0MS44NDEgODExLjM4NyAzMjAuMjMgODEwLjM3MiAyOTIuMzA3IDgxMS4z&#10;NTYgMjY0LjU5MyA4MTIuMzQgMjM2Ljg3OSA4MTAuMDU0IDIyMC4zMzkgODExLjM1NiAyMDguNDEz&#10;IDgxMi42NTcgMTk2LjQ4OCA4MDcuOTA0IDE0MS4zMTEgODExLjM1NiA3NC45ODU5WiIgZmlsbD0i&#10;I0RBRUVGNSIgZmlsbC1ydWxlPSJldmVub2RkIiB0cmFuc2Zvcm09Im1hdHJpeCgxIDAgMCAxLjAw&#10;MDYzIDUuNjUxOTkgMTIuNzA0KSIvPjxwYXRoIGQ9Ik04MTEuMzU2IDc0Ljk4NTlDODQ1LjgyNSA3&#10;NS41NDU3IDg0OC45OTkgNzEuNjI4NSA4ODEuMDU3IDc0Ljk4NTkgOTEzLjExNCA3OC4zNDM0IDkz&#10;OC42MDkgNzguNTk0IDk1My42NjIgNzQuOTg1OSA5NjguNzE1IDcxLjM3NzggMTAwMi41IDc1Ljg1&#10;MiAxMDI5LjE3IDc0Ljk4NTkgMTA1NS44NCA3NC4xMTk4IDEwNjcuOSA3Mi40MDQzIDExMDEuNzgg&#10;NzQuOTg1OSAxMTAyLjU1IDEwNS4wODMgMTEwMC4zNSAxMjguMDEzIDExMDEuNzggMTQ1LjIxMSAx&#10;MTAzLjIxIDE2Mi40MDggMTEwNS40MyAxOTUuMjk5IDExMDEuNzggMjIyLjQ1OCAxMDk4LjEzIDI0&#10;OS42MTcgMTEwMSAyNjAuNzc5IDExMDEuNzggMjc4LjYzOCAxMTAyLjU1IDI5Ni40OTcgMTEwMi4y&#10;NiAzMTcuNDk1IDExMDEuNzggMzI3Ljc5NiAxMTAxLjI5IDMzOC4wOTYgMTEwMS43IDM2Ny43OCAx&#10;MTAxLjc4IDM4My45NzYgMTEwMS44NiA0MDAuMTcxIDExMDMuNTMgNDIzLjg0OSAxMTAxLjc4IDQ0&#10;Ny4xNzggMTEwMC4wMiA0NzAuNTA3IDExMDMuMTQgNTAyLjQxNCAxMTAxLjc4IDUxNy40MDMgMTEw&#10;MC40MSA1MzIuMzkxIDExMDAuMTIgNTQ1LjYzOCAxMTAxLjc4IDU3My41ODMgMTEwMy40NCA2MDEu&#10;NTI4IDEwOTguMSA2MjcuMDM2IDExMDEuNzggNjU3Ljg1MyAxMTA1LjQ2IDY4OC42NjkgMTEwMy45&#10;IDcxNy44MjIgMTEwMS43OCA3NzcuMjM1IDEwNzEuNzMgNzc1LjQ0NiAxMDQ1LjkgNzc2Ljg5MSAx&#10;MDIzLjM2IDc3Ny4yMzUgMTAwMC44MyA3NzcuNTc5IDk4NS40OSA3ODAuNjQzIDk1MC43NTggNzc3&#10;LjIzNSA5MTYuMDI2IDc3My44MjcgOTA3LjIzNCA3NzguODkyIDg3OC4xNTMgNzc3LjIzNSA4NDku&#10;MDcxIDc3NS41NzggODM1Ljk3OCA3NzguMTkxIDgxMS4zNTYgNzc3LjIzNSA4MTMuMTczIDczOC43&#10;NTMgODEwLjA1NCA3MTYuODQ1IDgxMS4zNTYgNjk5Ljk4OCA4MTIuNjU3IDY4My4xMyA4MTAuNDE5&#10;IDY1Mi4xODQgODExLjM1NiA2MjIuNzQgODEyLjI5MiA1OTMuMjk3IDgxMi40ODIgNTY5LjA1OSA4&#10;MTEuMzU2IDU0NS40OTMgODEwLjIyOSA1MjEuOTI3IDgwOS4xMDIgNDg5LjAyOSA4MTEuMzU2IDQ2&#10;OC4yNDUgODEzLjYwOSA0NDcuNDYyIDgwNy42MDIgNDE3LjA2NSA4MTEuMzU2IDM4My45NzYgODE1&#10;LjEwOSAzNTAuODg3IDgxMy4wNjIgMzM3LjA3OCA4MTEuMzU2IDMxMy43NTEgODA5LjY1IDI5MC40&#10;MjMgODA5LjQzNSAyNTMuNTUyIDgxMS4zNTYgMjM2LjUwMyA4MTMuMjc2IDIxOS40NTQgODA5Ljc2&#10;MSAxODguMTAxIDgxMS4zNTYgMTY2LjI3OCA4MTIuOTUxIDE0NC40NTUgODA3LjY1OCAxMDEuNDA2&#10;IDgxMS4zNTYgNzQuOTg1OVoiIHN0cm9rZT0iIzM2NDI0QSIgc3Ryb2tlLXdpZHRoPSIxLjk4Mzc1&#10;IiBzdHJva2UtbWl0ZXJsaW1pdD0iOCIgZmlsbD0ibm9uZSIgZmlsbC1ydWxlPSJldmVub2RkIiB0&#10;cmFuc2Zvcm09Im1hdHJpeCgxIDAgMCAxLjAwMDYzIDUuNjUxOTkgMTIuNzA0KSIvPjx0ZXh0IGZv&#10;bnQtZmFtaWx5PSJDYWxpYnJpLENhbGlicmlfTVNGb250U2VydmljZSxBcmlhbCIgZm9udC13ZWln&#10;aHQ9IjcwMCIgZm9udC1zaXplPSIyNyIgdHJhbnNmb3JtPSJtYXRyaXgoMC43OTM1MDIgMCAwIDAu&#10;Nzk0IDMxLjkyMDEgMjg3KSI+RXZhbHVhdGlvbiBDbzwvdGV4dD48dGV4dCBmb250LWZhbWlseT0i&#10;Q2FsaWJyaSxDYWxpYnJpX01TRm9udFNlcnZpY2UsQXJpYWwiIGZvbnQtd2VpZ2h0PSI3MDAiIGZv&#10;bnQtc2l6ZT0iMjciIHRyYW5zZm9ybT0ibWF0cml4KDAuNzkzNTAyIDAgMCAwLjc5NCAxNTEuMjEg&#10;Mjg3KSI+LTwvdGV4dD48dGV4dCBmb250LWZhbWlseT0iQ2FsaWJyaSxDYWxpYnJpX01TRm9udFNl&#10;cnZpY2UsQXJpYWwiIGZvbnQtd2VpZ2h0PSI3MDAiIGZvbnQtc2l6ZT0iMjciIHRyYW5zZm9ybT0i&#10;bWF0cml4KDAuNzkzNTAyIDAgMCAwLjc5NCAxNTcuNjU3IDI4NykiPmRlc2lnbjwvdGV4dD48dGV4&#10;dCBmb250LWZhbWlseT0iQ2FsaWJyaSxDYWxpYnJpX01TRm9udFNlcnZpY2UsQXJpYWwiIGZvbnQt&#10;d2VpZ2h0PSI3MDAiIGZvbnQtc2l6ZT0iMjciIHRyYW5zZm9ybT0ibWF0cml4KDAuNzkzNTAyIDAg&#10;MCAwLjc5NCA5NDkuMTczIDc3KSI+Q3ljbGUgPC90ZXh0Pjx0ZXh0IGZvbnQtZmFtaWx5PSJDYWxp&#10;YnJpLENhbGlicmlfTVNGb250U2VydmljZSxBcmlhbCIgZm9udC13ZWlnaHQ9IjcwMCIgZm9udC1z&#10;aXplPSIyNyIgdHJhbnNmb3JtPSJtYXRyaXgoMC43OTM1MDIgMCAwIDAuNzk0IDEwMDAuNzUgNzcp&#10;Ij4zIDwvdGV4dD48cGF0aCBkPSJNMjQ0Ljc5NSA3MDEuODUyQzI2MC40NDkgNzAxLjUxIDI4My44&#10;MTUgNzAyLjk2MSAzMDUuNjk3IDcwMS44NTIgMzI3LjU3OCA3MDAuNzQ0IDM0NS45NDEgNzAyLjc2&#10;NCAzNzEuNDcgNzAxLjg1MiAzOTYuOTk5IDcwMC45NDEgNDEzLjE3MiA3MDMuNDA0IDQyNS4wNjMg&#10;NzAxLjg1MiA0MzYuOTU0IDcwMC4zMDEgNDYxLjczMyA3MDMuMDk3IDQ4OC40IDcwMS44NTIgNDg5&#10;LjM2OCA3MjQuMjMzIDQ5MS44NzkgNzM3Ljc4MiA0ODguNCA3NzIuNDc0IDQ2OC4xNDYgNzcwLjY1&#10;NiA0NTEuMjIzIDc3My45MDkgNDI3LjQ5OSA3NzIuNDc0IDQwMy43NzUgNzcxLjAzOSAzODYuMzM2&#10;IDc3Mi41MzkgMzYxLjcyNiA3NzIuNDc0IDMzNy4xMTUgNzcyLjQwOSAzMTcuODE3IDc3MS40NDYg&#10;MzAzLjI2IDc3Mi40NzQgMjg4LjcwNCA3NzMuNTAyIDI2MS4yMDggNzcyLjQ1NyAyNDQuNzk1IDc3&#10;Mi40NzQgMjQyLjk2MyA3NTQuNDMgMjQyLjI1NiA3MTcuODM1IDI0NC43OTUgNzAxLjg1MloiIGZp&#10;bGw9IiNGRkZGRkYiIGZpbGwtcnVsZT0iZXZlbm9kZCIgdHJhbnNmb3JtPSJtYXRyaXgoMSAwIDAg&#10;MS4wMDA2MyA1LjY1MTk5IDEyLjcwNCkiLz48cGF0aCBkPSJNMjQ0Ljc5NSA3MDEuODUyQzI1Ni45&#10;MjcgNzA0LjIwMiAyNzguMjQ5IDcwNC42MzQgMzAwLjgyNCA3MDEuODUyIDMyMy40MDEgNjk5LjA3&#10;IDMzNS43ODkgNzAyLjg0MSAzNjEuNzI2IDcwMS44NTIgMzg3LjY2MiA3MDAuODY0IDM5Ny4yODQg&#10;NzAyLjgzMiA0MjcuNDk5IDcwMS44NTIgNDU3LjcxNCA3MDAuODczIDQ2OC40MjkgNzA0LjEyMyA0&#10;ODguNCA3MDEuODUyIDQ5MC40MTEgNzM1LjA3IDQ4OS4yODQgNzQ1LjU5MyA0ODguNCA3NzIuNDc0&#10;IDQ3MS44ODEgNzc1LjM2MSA0MzkuOTcyIDc3MS4yNjYgNDI1LjA2MyA3NzIuNDc0IDQxMC4xNTQg&#10;NzczLjY4MiAzODQuNzg3IDc3MC4yMTkgMzY0LjE2MiA3NzIuNDc0IDM0My41MzYgNzc0LjcyOSAz&#10;MjMuMDM1IDc3Mi41NjQgMzAzLjI2IDc3Mi40NzQgMjgzLjQ4NiA3NzIuMzg0IDI3My40MDUgNzY5&#10;LjYzOCAyNDQuNzk1IDc3Mi40NzQgMjQ4LjEwNyA3MzkuMTk4IDI0Ny43OTMgNzE3LjY2OCAyNDQu&#10;Nzk1IDcwMS44NTJaIiBzdHJva2U9IiMzNjQyNEEiIHN0cm9rZS13aWR0aD0iMC45OTE4NzciIHN0&#10;cm9rZS1saW5lam9pbj0icm91bmQiIHN0cm9rZS1taXRlcmxpbWl0PSIxMCIgZmlsbD0ibm9uZSIg&#10;ZmlsbC1ydWxlPSJldmVub2RkIiB0cmFuc2Zvcm09Im1hdHJpeCgxIDAgMCAxLjAwMDYzIDUuNjUx&#10;OTkgMTIuNzA0KSIvPjxnIGNsaXAtcGF0aD0idXJsKCNjbGlwMSkiPjxnIGNsaXAtcGF0aD0idXJs&#10;KCNjbGlwMikiPjxnIGNsaXAtcGF0aD0idXJsKCNjbGlwMykiIHRyYW5zZm9ybT0ibWF0cml4KDAu&#10;NjM0OCAwIDAgMC42OTQ3NDkgMjU5LjMgNzIwLjIzNykiPjxnIGNsaXAtcGF0aD0idXJsKCNjbGlw&#10;NSkiPjx1c2Ugd2lkdGg9IjEwMCUiIGhlaWdodD0iMTAwJSIgeGxpbms6aHJlZj0iI2ltZzQiIHRy&#10;YW5zZm9ybT0idHJhbnNsYXRlKC02LjAyMDM3ZS0wNiA3LjkyOTY4ZS0wNSkiPjwvdXNlPjwvZz48&#10;L2c+PC9nPjwvZz48dGV4dCBmaWxsPSIjMzY0MjRBIiBmb250LWZhbWlseT0iQ2FsaWJyaSxDYWxp&#10;YnJpX01TRm9udFNlcnZpY2UsQXJpYWwiIGZvbnQtd2VpZ2h0PSI0MDAiIGZvbnQtc2l6ZT0iMTYi&#10;IHRyYW5zZm9ybT0ibWF0cml4KDAuNzkzNTAyIDAgMCAwLjc5NCAyNzcuMTUzIDczMSkiPkludGVy&#10;aW0gUmVwb3J0IDwvdGV4dD48dGV4dCBmaWxsPSIjMzY0MjRBIiBmb250LWZhbWlseT0iQ2FsaWJy&#10;aSxDYWxpYnJpX01TRm9udFNlcnZpY2UsQXJpYWwiIGZvbnQtd2VpZ2h0PSI0MDAiIGZvbnQtc2l6&#10;ZT0iMTYiIHRyYW5zZm9ybT0ibWF0cml4KDAuNzkzNTAyIDAgMCAwLjc5NCAzNTQuODUxIDczMSki&#10;Pi08L3RleHQ+PHRleHQgZmlsbD0iIzM2NDI0QSIgZm9udC1mYW1pbHk9IkNhbGlicmksQ2FsaWJy&#10;aV9NU0ZvbnRTZXJ2aWNlLEFyaWFsIiBmb250LXdlaWdodD0iNDAwIiBmb250LXNpemU9IjE2IiB0&#10;cmFuc2Zvcm09Im1hdHJpeCgwLjc5MzUwMiAwIDAgMC43OTQgMzYxLjQ2MyA3MzEpIj5DeWNsZSA8&#10;L3RleHQ+PHRleHQgZmlsbD0iIzM2NDI0QSIgZm9udC1mYW1pbHk9IkNhbGlicmksQ2FsaWJyaV9N&#10;U0ZvbnRTZXJ2aWNlLEFyaWFsIiBmb250LXdlaWdodD0iNDAwIiBmb250LXNpemU9IjE2IiB0cmFu&#10;c2Zvcm09Im1hdHJpeCgwLjc5MzUwMiAwIDAgMC43OTQgMzkyLjQxIDczMSkiPjEgPC90ZXh0Pjx0&#10;ZXh0IGZpbGw9IiMzNjQyNEEiIGZvbnQtZmFtaWx5PSJDYWxpYnJpLENhbGlicmlfTVNGb250U2Vy&#10;dmljZSxBcmlhbCIgZm9udC13ZWlnaHQ9IjQwMCIgZm9udC1zaXplPSIxNiIgdHJhbnNmb3JtPSJt&#10;YXRyaXgoMC43OTM1MDIgMCAwIDAuNzk0IDQwMS45MzIgNzMxKSI+KDwvdGV4dD48dGV4dCBmaWxs&#10;PSIjMzY0MjRBIiBmb250LWZhbWlseT0iQ2FsaWJyaSxDYWxpYnJpX01TRm9udFNlcnZpY2UsQXJp&#10;YWwiIGZvbnQtd2VpZ2h0PSI0MDAiIGZvbnQtc2l6ZT0iMTYiIHRyYW5zZm9ybT0ibWF0cml4KDAu&#10;NzkzNTAyIDAgMCAwLjc5NCA0MDUuODk5IDczMSkiPjIwMjE8L3RleHQ+PHRleHQgZmlsbD0iIzM2&#10;NDI0QSIgZm9udC1mYW1pbHk9IkNhbGlicmksQ2FsaWJyaV9NU0ZvbnRTZXJ2aWNlLEFyaWFsIiBm&#10;b250LXdlaWdodD0iNDAwIiBmb250LXNpemU9IjE2IiB0cmFuc2Zvcm09Im1hdHJpeCgwLjc5MzUw&#10;MiAwIDAgMC43OTQgNDMxLjI5MSA3MzEpIj4pPC90ZXh0PjxnIGNsaXAtcGF0aD0idXJsKCNjbGlw&#10;NikiPjxnIGNsaXAtcGF0aD0idXJsKCNjbGlwNykiPjxnIGNsaXAtcGF0aD0idXJsKCNjbGlwOCki&#10;IHRyYW5zZm9ybT0ibWF0cml4KDAuNjM0OCAwIDAgMC42OTQ3NDkgMjU5LjMgNzM1LjMyMykiPjxn&#10;IGNsaXAtcGF0aD0idXJsKCNjbGlwOSkiPjx1c2Ugd2lkdGg9IjEwMCUiIGhlaWdodD0iMTAwJSIg&#10;eGxpbms6aHJlZj0iI2ltZzQiIHRyYW5zZm9ybT0idHJhbnNsYXRlKC02LjAyMDM3ZS0wNiAzLjI5&#10;MDcxZS0wNSkiPjwvdXNlPjwvZz48L2c+PC9nPjwvZz48dGV4dCBmaWxsPSIjMzY0MjRBIiBmb250&#10;LWZhbWlseT0iQ2FsaWJyaSxDYWxpYnJpX01TRm9udFNlcnZpY2UsQXJpYWwiIGZvbnQtd2VpZ2h0&#10;PSI0MDAiIGZvbnQtc2l6ZT0iMTYiIHRyYW5zZm9ybT0ibWF0cml4KDAuNzkzNTAyIDAgMCAwLjc5&#10;NCAyNzcuMTUzIDc0NikiPlRlY2huaWNhbCBSZXBvcnQgPC90ZXh0Pjx0ZXh0IGZpbGw9IiMzNjQy&#10;NEEiIGZvbnQtZmFtaWx5PSJDYWxpYnJpLENhbGlicmlfTVNGb250U2VydmljZSxBcmlhbCIgZm9u&#10;dC13ZWlnaHQ9IjQwMCIgZm9udC1zaXplPSIxNiIgdHJhbnNmb3JtPSJtYXRyaXgoMC43OTM1MDIg&#10;MCAwIDAuNzk0IDM2Ni4wMjYgNzQ2KSI+KDwvdGV4dD48dGV4dCBmaWxsPSIjMzY0MjRBIiBmb250&#10;LWZhbWlseT0iQ2FsaWJyaSxDYWxpYnJpX01TRm9udFNlcnZpY2UsQXJpYWwiIGZvbnQtd2VpZ2h0&#10;PSI0MDAiIGZvbnQtc2l6ZT0iMTYiIHRyYW5zZm9ybT0ibWF0cml4KDAuNzkzNTAyIDAgMCAwLjc5&#10;NCAzNjkuOTkzIDc0NikiPjIwMjE8L3RleHQ+PHRleHQgZmlsbD0iIzM2NDI0QSIgZm9udC1mYW1p&#10;bHk9IkNhbGlicmksQ2FsaWJyaV9NU0ZvbnRTZXJ2aWNlLEFyaWFsIiBmb250LXdlaWdodD0iNDAw&#10;IiBmb250LXNpemU9IjE2IiB0cmFuc2Zvcm09Im1hdHJpeCgwLjc5MzUwMiAwIDAgMC43OTQgMzk1&#10;LjM4NSA3NDYpIj4pPC90ZXh0PjxnIGNsaXAtcGF0aD0idXJsKCNjbGlwMTApIj48ZyBjbGlwLXBh&#10;dGg9InVybCgjY2xpcDExKSI+PGcgY2xpcC1wYXRoPSJ1cmwoI2NsaXAxMikiIHRyYW5zZm9ybT0i&#10;bWF0cml4KDAuNjM0OCAwIDAgMC42OTQ3NDkgMjU5LjMgNzUwLjQwOSkiPjxnIGNsaXAtcGF0aD0i&#10;dXJsKCNjbGlwMTMpIj48dXNlIHdpZHRoPSIxMDAlIiBoZWlnaHQ9IjEwMCUiIHhsaW5rOmhyZWY9&#10;IiNpbWc0IiB0cmFuc2Zvcm09InRyYW5zbGF0ZSgtNi4wMjAzN2UtMDYgMC4wMDAxMDg1ODgpIj48&#10;L3VzZT48L2c+PC9nPjwvZz48L2c+PHRleHQgZmlsbD0iIzM2NDI0QSIgZm9udC1mYW1pbHk9IkNh&#10;bGlicmksQ2FsaWJyaV9NU0ZvbnRTZXJ2aWNlLEFyaWFsIiBmb250LXdlaWdodD0iNDAwIiBmb250&#10;LXNpemU9IjE2IiB0cmFuc2Zvcm09Im1hdHJpeCgwLjc5MzUwMiAwIDAgMC43OTQgMjc3LjE1MyA3&#10;NjEpIj5NZXRob2RzIHJlcG9ydCA8L3RleHQ+PHRleHQgZmlsbD0iIzM2NDI0QSIgZm9udC1mYW1p&#10;bHk9IkNhbGlicmksQ2FsaWJyaV9NU0ZvbnRTZXJ2aWNlLEFyaWFsIiBmb250LXdlaWdodD0iNDAw&#10;IiBmb250LXNpemU9IjE2IiB0cmFuc2Zvcm09Im1hdHJpeCgwLjc5MzUwMiAwIDAgMC43OTQgMzU5&#10;LjY3OCA3NjEpIj4oPC90ZXh0Pjx0ZXh0IGZpbGw9IiMzNjQyNEEiIGZvbnQtZmFtaWx5PSJDYWxp&#10;YnJpLENhbGlicmlfTVNGb250U2VydmljZSxBcmlhbCIgZm9udC13ZWlnaHQ9IjQwMCIgZm9udC1z&#10;aXplPSIxNiIgdHJhbnNmb3JtPSJtYXRyaXgoMC43OTM1MDIgMCAwIDAuNzk0IDM2My42NDUgNzYx&#10;KSI+MjAyMTwvdGV4dD48dGV4dCBmaWxsPSIjMzY0MjRBIiBmb250LWZhbWlseT0iQ2FsaWJyaSxD&#10;YWxpYnJpX01TRm9udFNlcnZpY2UsQXJpYWwiIGZvbnQtd2VpZ2h0PSI0MDAiIGZvbnQtc2l6ZT0i&#10;MTYiIHRyYW5zZm9ybT0ibWF0cml4KDAuNzkzNTAyIDAgMCAwLjc5NCAzODkuMDM3IDc2MSkiPik8&#10;L3RleHQ+PGcgY2xpcC1wYXRoPSJ1cmwoI2NsaXAxNCkiPjxnIGNsaXAtcGF0aD0idXJsKCNjbGlw&#10;MTUpIj48ZyBjbGlwLXBhdGg9InVybCgjY2xpcDE2KSIgdHJhbnNmb3JtPSJtYXRyaXgoMC42MzQ4&#10;IDAgMCAwLjY5NDc0OSAyNTkuMyA3NjUuNDk1KSI+PGcgY2xpcC1wYXRoPSJ1cmwoI2NsaXAxNyki&#10;Pjx1c2Ugd2lkdGg9IjEwMCUiIGhlaWdodD0iMTAwJSIgeGxpbms6aHJlZj0iI2ltZzQiIHRyYW5z&#10;Zm9ybT0idHJhbnNsYXRlKC02LjAyMDM3ZS0wNiA2LjIxOThlLTA1KSI+PC91c2U+PC9nPjwvZz48&#10;L2c+PC9nPjx0ZXh0IGZpbGw9IiMzNjQyNEEiIGZvbnQtZmFtaWx5PSJDYWxpYnJpLENhbGlicmlf&#10;TVNGb250U2VydmljZSxBcmlhbCIgZm9udC13ZWlnaHQ9IjQwMCIgZm9udC1zaXplPSIxNiIgdHJh&#10;bnNmb3JtPSJtYXRyaXgoMC43OTM1MDIgMCAwIDAuNzk0IDI3Ny4xNTMgNzc3KSI+Q29sbGFib3Jh&#10;dGl2ZSByZXBvcnQgPC90ZXh0Pjx0ZXh0IGZpbGw9IiMzNjQyNEEiIGZvbnQtZmFtaWx5PSJDYWxp&#10;YnJpLENhbGlicmlfTVNGb250U2VydmljZSxBcmlhbCIgZm9udC13ZWlnaHQ9IjQwMCIgZm9udC1z&#10;aXplPSIxNiIgdHJhbnNmb3JtPSJtYXRyaXgoMC43OTM1MDIgMCAwIDAuNzk0IDM4Mi42ODkgNzc3&#10;KSI+KDwvdGV4dD48dGV4dCBmaWxsPSIjMzY0MjRBIiBmb250LWZhbWlseT0iQ2FsaWJyaSxDYWxp&#10;YnJpX01TRm9udFNlcnZpY2UsQXJpYWwiIGZvbnQtd2VpZ2h0PSI0MDAiIGZvbnQtc2l6ZT0iMTYi&#10;IHRyYW5zZm9ybT0ibWF0cml4KDAuNzkzNTAyIDAgMCAwLjc5NCAzODYuNjU3IDc3NykiPjIwMjE8&#10;L3RleHQ+PHRleHQgZmlsbD0iIzM2NDI0QSIgZm9udC1mYW1pbHk9IkNhbGlicmksQ2FsaWJyaV9N&#10;U0ZvbnRTZXJ2aWNlLEFyaWFsIiBmb250LXdlaWdodD0iNDAwIiBmb250LXNpemU9IjE2IiB0cmFu&#10;c2Zvcm09Im1hdHJpeCgwLjc5MzUwMiAwIDAgMC43OTQgNDEyLjA0OSA3NzcpIj4pPC90ZXh0Pjxw&#10;YXRoIGQ9Ik04MTkuMjkxIDcxMy43NTVDODUzLjYxIDcxMy40NTcgODc0LjE4NSA3MTMuMDYzIDg5&#10;MC44OCA3MTMuNzU1IDkwNy41NzYgNzE0LjQ0NyA5MzkuNzM2IDcxMy41MDcgOTU2Ljk2MyA3MTMu&#10;NzU1IDk3NC4xOSA3MTQuMDAzIDk5Ny4xNzggNzEyLjkxNyAxMDIwLjI5IDcxMy43NTUgMTA0My40&#10;MSA3MTQuNTkzIDEwNTcuNjggNzE0LjUzNyAxMDk0LjY0IDcxMy43NTUgMTA5My41NyA3MzAuMDAy&#10;IDEwOTIuNDggNzUwLjY1NSAxMDk0LjY0IDc3MC4wOTQgMTA3Ni4xNCA3NzAuMjI5IDEwNTUuOSA3&#10;NzAuODc5IDEwMjUuOCA3NzAuMDk0IDk5NS43MDIgNzY5LjMwOCA5ODkuMTI0IDc3MS4yMzkgOTU2&#10;Ljk2MyA3NzAuMDk0IDkyNC44MDIgNzY4Ljk0OCA5MDUuNzUxIDc2OC40MjUgODg1LjM3MyA3NzAu&#10;MDk0IDg2NC45OTYgNzcxLjc2MiA4MzQuMzY3IDc3MC4yMzIgODE5LjI5MSA3NzAuMDk0IDgyMC44&#10;MDYgNzU3LjczIDgyMC42OTUgNzMwLjA2NSA4MTkuMjkxIDcxMy43NTVaIiBmaWxsPSIjRkZGRkZG&#10;IiBmaWxsLXJ1bGU9ImV2ZW5vZGQiIHRyYW5zZm9ybT0ibWF0cml4KDEgMCAwIDEuMDAwNjMgNS42&#10;NTE5OSAxMi43MDQpIi8+PHBhdGggZD0iTTgxOS4yOTEgNzEzLjc1NUM4MzkuNTY1IDcxNS40NzIg&#10;ODcxLjEwNiA3MTMuODk0IDg4NS4zNzMgNzEzLjc1NSA4OTkuNjQxIDcxMy42MTYgOTM0LjE5IDcx&#10;MC45MDEgOTQ4LjcwMyA3MTMuNzU1IDk2My4yMTYgNzE2LjYwOSA5ODMuNjQ5IDcxMy4yMjcgMTAx&#10;Mi4wMyA3MTMuNzU1IDEwNDAuNDIgNzE0LjI4MyAxMDcwLjAxIDcxMS45MTkgMTA5NC42NCA3MTMu&#10;NzU1IDEwOTUuNDUgNzMxLjkyIDEwOTcuMjUgNzQyLjM5MiAxMDk0LjY0IDc3MC4wOTQgMTA3Ni4x&#10;NCA3NjYuNDEzIDEwMzcuMjcgNzczLjUzMiAxMDIwLjI5IDc3MC4wOTQgMTAwMy4zMiA3NjYuNjU1&#10;IDk2NS43NjMgNzY3LjQ3MyA5NDguNzAzIDc3MC4wOTQgOTMxLjY0MyA3NzIuNzE0IDg5NC4yMjkg&#10;NzY5LjI4NiA4NzkuODY3IDc3MC4wOTQgODY1LjUwNCA3NzAuOTAxIDg0MC41NDEgNzY3LjYxMyA4&#10;MTkuMjkxIDc3MC4wOTQgODE3LjcyNyA3NTIuNDQgODE5LjQwMiA3MzYuMTA0IDgxOS4yOTEgNzEz&#10;Ljc1NVoiIHN0cm9rZT0iIzM2NDI0QSIgc3Ryb2tlLXdpZHRoPSIwLjk5MTg3NyIgc3Ryb2tlLWxp&#10;bmVqb2luPSJyb3VuZCIgc3Ryb2tlLW1pdGVybGltaXQ9IjEwIiBmaWxsPSJub25lIiBmaWxsLXJ1&#10;bGU9ImV2ZW5vZGQiIHRyYW5zZm9ybT0ibWF0cml4KDEgMCAwIDEuMDAwNjMgNS42NTE5OSAxMi43&#10;MDQpIi8+PGcgY2xpcC1wYXRoPSJ1cmwoI2NsaXAxOCkiPjxnIGNsaXAtcGF0aD0idXJsKCNjbGlw&#10;MTkpIj48ZyBjbGlwLXBhdGg9InVybCgjY2xpcDIwKSIgdHJhbnNmb3JtPSJtYXRyaXgoMC42NDQ3&#10;MiAwIDAgMC43MDA1ODggODMzLjk4MSA3MzEuMDU0KSI+PGcgY2xpcC1wYXRoPSJ1cmwoI2NsaXAy&#10;MikiPjx1c2Ugd2lkdGg9IjEwMCUiIGhlaWdodD0iMTAwJSIgeGxpbms6aHJlZj0iI2ltZzIxIiB0&#10;cmFuc2Zvcm09InRyYW5zbGF0ZSgtMy4wNTc3NmUtMDYgMi4wNjk1NGUtMDUpIj48L3VzZT48L2c+&#10;PC9nPjwvZz48L2c+PHRleHQgZmlsbD0iIzM2NDI0QSIgZm9udC1mYW1pbHk9IkNhbGlicmksQ2Fs&#10;aWJyaV9NU0ZvbnRTZXJ2aWNlLEFyaWFsIiBmb250LXdlaWdodD0iNDAwIiBmb250LXNpemU9IjE3&#10;IiB0cmFuc2Zvcm09Im1hdHJpeCgwLjc5MzUwMiAwIDAgMC43OTQgODUxLjgzNCA3NDMpIj5GaW5h&#10;bCByZXBvcnQgPC90ZXh0Pjx0ZXh0IGZpbGw9IiMzNjQyNEEiIGZvbnQtZmFtaWx5PSJDYWxpYnJp&#10;LENhbGlicmlfTVNGb250U2VydmljZSxBcmlhbCIgZm9udC13ZWlnaHQ9IjQwMCIgZm9udC1zaXpl&#10;PSIxNyIgdHJhbnNmb3JtPSJtYXRyaXgoMC43OTM1MDIgMCAwIDAuNzk0IDkxOS4yODIgNzQzKSI+&#10;KDwvdGV4dD48dGV4dCBmaWxsPSIjMzY0MjRBIiBmb250LWZhbWlseT0iQ2FsaWJyaSxDYWxpYnJp&#10;X01TRm9udFNlcnZpY2UsQXJpYWwiIGZvbnQtd2VpZ2h0PSI0MDAiIGZvbnQtc2l6ZT0iMTciIHRy&#10;YW5zZm9ybT0ibWF0cml4KDAuNzkzNTAyIDAgMCAwLjc5NCA5MjMuMjUgNzQzKSI+MjAyMzwvdGV4&#10;dD48dGV4dCBmaWxsPSIjMzY0MjRBIiBmb250LWZhbWlseT0iQ2FsaWJyaSxDYWxpYnJpX01TRm9u&#10;dFNlcnZpY2UsQXJpYWwiIGZvbnQtd2VpZ2h0PSI0MDAiIGZvbnQtc2l6ZT0iMTciIHRyYW5zZm9y&#10;bT0ibWF0cml4KDAuNzkzNTAyIDAgMCAwLjc5NCA5NTEuODE2IDc0MykiPik8L3RleHQ+PGcgY2xp&#10;cC1wYXRoPSJ1cmwoI2NsaXAyMykiPjxnIGNsaXAtcGF0aD0idXJsKCNjbGlwMjQpIj48ZyBjbGlw&#10;LXBhdGg9InVybCgjY2xpcDI1KSIgdHJhbnNmb3JtPSJtYXRyaXgoMC42NDQ3MiAwIDAgMC43MDA1&#10;ODggODMzLjk4MSA3NDYuOTM0KSI+PGcgY2xpcC1wYXRoPSJ1cmwoI2NsaXAyNikiPjx1c2Ugd2lk&#10;dGg9IjEwMCUiIGhlaWdodD0iMTAwJSIgeGxpbms6aHJlZj0iI2ltZzIxIiB0cmFuc2Zvcm09InRy&#10;YW5zbGF0ZSgtMy4wNTc3NmUtMDYgLTUuMzM1OTJlLTA1KSI+PC91c2U+PC9nPjwvZz48L2c+PC9n&#10;Pjx0ZXh0IGZpbGw9IiMzNjQyNEEiIGZvbnQtZmFtaWx5PSJDYWxpYnJpLENhbGlicmlfTVNGb250&#10;U2VydmljZSxBcmlhbCIgZm9udC13ZWlnaHQ9IjQwMCIgZm9udC1zaXplPSIxNyIgdHJhbnNmb3Jt&#10;PSJtYXRyaXgoMC43OTM1MDIgMCAwIDAuNzk0IDg1MS44MzQgNzU5KSI+U3VtbWFyeSByZXBvcnQg&#10;PC90ZXh0Pjx0ZXh0IGZpbGw9IiMzNjQyNEEiIGZvbnQtZmFtaWx5PSJDYWxpYnJpLENhbGlicmlf&#10;TVNGb250U2VydmljZSxBcmlhbCIgZm9udC13ZWlnaHQ9IjQwMCIgZm9udC1zaXplPSIxNyIgdHJh&#10;bnNmb3JtPSJtYXRyaXgoMC43OTM1MDIgMCAwIDAuNzk0IDk0Ni4yNjEgNzU5KSI+KDwvdGV4dD48&#10;dGV4dCBmaWxsPSIjMzY0MjRBIiBmb250LWZhbWlseT0iQ2FsaWJyaSxDYWxpYnJpX01TRm9udFNl&#10;cnZpY2UsQXJpYWwiIGZvbnQtd2VpZ2h0PSI0MDAiIGZvbnQtc2l6ZT0iMTciIHRyYW5zZm9ybT0i&#10;bWF0cml4KDAuNzkzNTAyIDAgMCAwLjc5NCA5NTAuMjI5IDc1OSkiPjIwMjM8L3RleHQ+PHRleHQg&#10;ZmlsbD0iIzM2NDI0QSIgZm9udC1mYW1pbHk9IkNhbGlicmksQ2FsaWJyaV9NU0ZvbnRTZXJ2aWNl&#10;LEFyaWFsIiBmb250LXdlaWdodD0iNDAwIiBmb250LXNpemU9IjE3IiB0cmFuc2Zvcm09Im1hdHJp&#10;eCgwLjc5MzUwMiAwIDAgMC43OTQgOTc4Ljc5NSA3NTkpIj4pPC90ZXh0PjxnIGNsaXAtcGF0aD0i&#10;dXJsKCNjbGlwMjcpIj48ZyBjbGlwLXBhdGg9InVybCgjY2xpcDI4KSI+PGcgY2xpcC1wYXRoPSJ1&#10;cmwoI2NsaXAyOSkiIHRyYW5zZm9ybT0ibWF0cml4KDAuNjQ0NzIgMCAwIDAuNjUzODgyIDgzMy45&#10;ODEgNzYzLjYwOCkiPjxnIGNsaXAtcGF0aD0idXJsKCNjbGlwMzApIj48dXNlIHdpZHRoPSIxMDAl&#10;IiBoZWlnaHQ9IjEwMCUiIHhsaW5rOmhyZWY9IiNpbWcyMSIgdHJhbnNmb3JtPSJ0cmFuc2xhdGUo&#10;LTAuMDAwMTAyNDc2IC0xLjk3MzYzZS0wNSkiPjwvdXNlPjwvZz48L2c+PC9nPjwvZz48dGV4dCBm&#10;aWxsPSIjMzY0MjRBIiBmb250LWZhbWlseT0iQ2FsaWJyaSxDYWxpYnJpX01TRm9udFNlcnZpY2Us&#10;QXJpYWwiIGZvbnQtd2VpZ2h0PSI0MDAiIGZvbnQtc2l6ZT0iMTYiIHRyYW5zZm9ybT0ibWF0cml4&#10;KDAuNzkzNTAyIDAgMCAwLjc5NCA4NTEuODM0IDc3NSkiPkNvbGxhYm9yYXRpdmUgcmVwb3J0cyA8&#10;L3RleHQ+PHRleHQgZmlsbD0iIzM2NDI0QSIgZm9udC1mYW1pbHk9IkNhbGlicmksQ2FsaWJyaV9N&#10;U0ZvbnRTZXJ2aWNlLEFyaWFsIiBmb250LXdlaWdodD0iNDAwIiBmb250LXNpemU9IjE2IiB0cmFu&#10;c2Zvcm09Im1hdHJpeCgwLjc5MzUwMiAwIDAgMC43OTQgOTYyLjkyNSA3NzUpIj4oPC90ZXh0Pjx0&#10;ZXh0IGZpbGw9IiMzNjQyNEEiIGZvbnQtZmFtaWx5PSJDYWxpYnJpLENhbGlicmlfTVNGb250U2Vy&#10;dmljZSxBcmlhbCIgZm9udC13ZWlnaHQ9IjQwMCIgZm9udC1zaXplPSIxNiIgdHJhbnNmb3JtPSJt&#10;YXRyaXgoMC43OTM1MDIgMCAwIDAuNzk0IDk2Ni44OTIgNzc1KSI+MjAyMzwvdGV4dD48dGV4dCBm&#10;aWxsPSIjMzY0MjRBIiBmb250LWZhbWlseT0iQ2FsaWJyaSxDYWxpYnJpX01TRm9udFNlcnZpY2Us&#10;QXJpYWwiIGZvbnQtd2VpZ2h0PSI0MDAiIGZvbnQtc2l6ZT0iMTYiIHRyYW5zZm9ybT0ibWF0cml4&#10;KDAuNzkzNTAyIDAgMCAwLjc5NCA5OTIuMjg0IDc3NSkiPik8L3RleHQ+PHBhdGggZD0iTTE4LjY0&#10;NzMgNjk2LjI5OEM0Ny4wMTM0IDY5My43NTEgNTguMDMxOSA2OTYuMjM3IDgzLjA0NTUgNjk2LjI5&#10;OCAxMDguMDU4IDY5Ni4zNTkgMTE3LjI2NyA2OTcuNjU5IDE0My40NiA2OTYuMjk4IDE2OS42NTMg&#10;Njk0LjkzNyAxOTQuMTM3IDY5My44NjIgMjE3LjgxNiA2OTYuMjk4IDIxOC45NTQgNzEwLjY2OSAy&#10;MTkuNDM1IDcyMy41MTIgMjE3LjgxNiA3MzIuNDU4IDIxNi4xOTcgNzQxLjQwNCAyMTguMDY4IDc1&#10;MS45MDMgMjE3LjgxNiA3NzAuMDk0IDE5Mi43OTIgNzcwLjQwNCAxNzMuNjkgNzY4LjEyIDE1NS40&#10;MSA3NzAuMDk0IDEzNy4xMzEgNzcyLjA2NyAxMjEuNTg5IDc3MC41NzQgOTMuMDA0IDc3MC4wOTQg&#10;NjQuNDE4NSA3NjkuNjEzIDQyLjMxMzEgNzY3LjgxNyAxOC42NDczIDc3MC4wOTQgMTguNjY4OCA3&#10;NTQuNjAxIDE5LjcxOTkgNzQzLjkyNyAxOC42NDczIDczNS40MDkgMTcuNTc0NyA3MjYuODkyIDE3&#10;Ljc5MDQgNzA0LjM4IDE4LjY0NzMgNjk2LjI5OFoiIGZpbGw9IiNGRkZGRkYiIGZpbGwtcnVsZT0i&#10;ZXZlbm9kZCIgdHJhbnNmb3JtPSJtYXRyaXgoMSAwIDAgMS4wMDA2MyA1LjY1MTk5IDEyLjcwNCki&#10;Lz48cGF0aCBkPSJNMTguNjQ3MyA2OTYuMjk4QzQzLjkyNTYgNjk0LjMyIDU4LjkyNjEgNjk1LjUy&#10;MiA4My4wNDU1IDY5Ni4yOTggMTA3LjE2NCA2OTcuMDc0IDEyMC4xNjEgNjk2LjMxMyAxNDkuNDM1&#10;IDY5Ni4yOTggMTc4LjcwOCA2OTYuMjgzIDE4Ni4xMjkgNjkzLjE2NCAyMTcuODE2IDY5Ni4yOTgg&#10;MjE3LjA5MSA3MDcuOTcxIDIxNy43NTcgNzE4LjAzMyAyMTcuODE2IDczMy4xOTYgMjE3Ljg3NiA3&#10;NDguMzU5IDIxOS4yNDUgNzYwLjEyNSAyMTcuODE2IDc3MC4wOTQgMTk0LjkwNSA3NjcuODUyIDE4&#10;Mi43MDcgNzczLjA4MyAxNTEuNDI2IDc3MC4wOTQgMTIwLjE0NiA3NjcuMTA0IDExNC4xNjcgNzY3&#10;LjE1NiA4OS4wMjA2IDc3MC4wOTQgNjMuODc0MSA3NzMuMDMxIDQ2Ljg4MTYgNzY2Ljk2NCAxOC42&#10;NDczIDc3MC4wOTQgMTkuMjkwOCA3NTkuMDI4IDE3LjAyNzUgNzUxLjc2IDE4LjY0NzMgNzMzLjkz&#10;NCAyMC4yNjcxIDcxNi4xMDcgMTYuOTEyOSA3MDQuODAxIDE4LjY0NzMgNjk2LjI5OFoiIHN0cm9r&#10;ZT0iIzM2NDI0QSIgc3Ryb2tlLXdpZHRoPSIwLjk5MTg3NyIgc3Ryb2tlLWxpbmVqb2luPSJyb3Vu&#10;ZCIgc3Ryb2tlLW1pdGVybGltaXQ9IjEwIiBmaWxsPSJub25lIiBmaWxsLXJ1bGU9ImV2ZW5vZGQi&#10;IHRyYW5zZm9ybT0ibWF0cml4KDEgMCAwIDEuMDAwNjMgNS42NTE5OSAxMi43MDQpIi8+PGcgY2xp&#10;cC1wYXRoPSJ1cmwoI2NsaXAzMSkiPjxnIGNsaXAtcGF0aD0idXJsKCNjbGlwMzIpIj48ZyBjbGlw&#10;LXBhdGg9InVybCgjY2xpcDMzKSIgdHJhbnNmb3JtPSJtYXRyaXgoMC42NjEyNTIgMCAwIDAuNjI2&#10;ODQyIDMzLjAyNzggNzE0LjQ1OSkiPjxnIGNsaXAtcGF0aD0idXJsKCNjbGlwMzUpIj48dXNlIHdp&#10;ZHRoPSIxMDAlIiBoZWlnaHQ9IjEwMCUiIHhsaW5rOmhyZWY9IiNpbWczNCIgdHJhbnNmb3JtPSJ0&#10;cmFuc2xhdGUoLTQuNTE3MDZlLTA2IC0xLjk4Mjk3ZS0wNSkiPjwvdXNlPjwvZz48L2c+PC9nPjwv&#10;Zz48dGV4dCBmaWxsPSIjMzY0MjRBIiBmb250LWZhbWlseT0iQ2FsaWJyaSxDYWxpYnJpX01TRm9u&#10;dFNlcnZpY2UsQXJpYWwiIGZvbnQtd2VpZ2h0PSI0MDAiIGZvbnQtc2l6ZT0iMTciIHRyYW5zZm9y&#10;bT0ibWF0cml4KDAuNzkzNTAyIDAgMCAwLjc5NCA1MC44ODE2IDcyNykiPk1vbml0b3JpbmcgPC90&#10;ZXh0Pjx0ZXh0IGZpbGw9IiMzNjQyNEEiIGZvbnQtZmFtaWx5PSJDYWxpYnJpLENhbGlicmlfTVNG&#10;b250U2VydmljZSxBcmlhbCIgZm9udC13ZWlnaHQ9IjQwMCIgZm9udC1zaXplPSIxNyIgdHJhbnNm&#10;b3JtPSJtYXRyaXgoMC43OTM1MDIgMCAwIDAuNzk0IDExNi43NDIgNzI3KSI+JmFtcDsgPC90ZXh0&#10;Pjx0ZXh0IGZpbGw9IiMzNjQyNEEiIGZvbnQtZmFtaWx5PSJDYWxpYnJpLENhbGlicmlfTVNGb250&#10;U2VydmljZSxBcmlhbCIgZm9udC13ZWlnaHQ9IjQwMCIgZm9udC1zaXplPSIxNyIgdHJhbnNmb3Jt&#10;PSJtYXRyaXgoMC43OTM1MDIgMCAwIDAuNzk0IDEyOS40MzggNzI3KSI+RXZhbHVhdGlvbiA8L3Rl&#10;eHQ+PHRleHQgZmlsbD0iIzM2NDI0QSIgZm9udC1mYW1pbHk9IkNhbGlicmksQ2FsaWJyaV9NU0Zv&#10;bnRTZXJ2aWNlLEFyaWFsIiBmb250LXdlaWdodD0iNDAwIiBmb250LXNpemU9IjE3IiB0cmFuc2Zv&#10;cm09Im1hdHJpeCgwLjc5MzUwMiAwIDAgMC43OTQgNTAuODgxNiA3NDIpIj5EZXNpZ24gUmVwb3J0&#10;IDwvdGV4dD48dGV4dCBmaWxsPSIjMzY0MjRBIiBmb250LWZhbWlseT0iQ2FsaWJyaSxDYWxpYnJp&#10;X01TRm9udFNlcnZpY2UsQXJpYWwiIGZvbnQtd2VpZ2h0PSI0MDAiIGZvbnQtc2l6ZT0iMTciIHRy&#10;YW5zZm9ybT0ibWF0cml4KDAuNzkzNTAyIDAgMCAwLjc5NCAxMzEuMDI1IDc0MikiPig8L3RleHQ+&#10;PHRleHQgZmlsbD0iIzM2NDI0QSIgZm9udC1mYW1pbHk9IkNhbGlicmksQ2FsaWJyaV9NU0ZvbnRT&#10;ZXJ2aWNlLEFyaWFsIiBmb250LXdlaWdodD0iNDAwIiBmb250LXNpemU9IjE3IiB0cmFuc2Zvcm09&#10;Im1hdHJpeCgwLjc5MzUwMiAwIDAgMC43OTQgMTM0Ljk5MyA3NDIpIj4yMDE4PC90ZXh0Pjx0ZXh0&#10;IGZpbGw9IiMzNjQyNEEiIGZvbnQtZmFtaWx5PSJDYWxpYnJpLENhbGlicmlfTVNGb250U2Vydmlj&#10;ZSxBcmlhbCIgZm9udC13ZWlnaHQ9IjQwMCIgZm9udC1zaXplPSIxNyIgdHJhbnNmb3JtPSJtYXRy&#10;aXgoMC43OTM1MDIgMCAwIDAuNzk0IDE2My41NTkgNzQyKSI+KTwvdGV4dD48ZyBjbGlwLXBhdGg9&#10;InVybCgjY2xpcDM2KSI+PGcgY2xpcC1wYXRoPSJ1cmwoI2NsaXAzNykiPjxnIGNsaXAtcGF0aD0i&#10;dXJsKCNjbGlwMzgpIiB0cmFuc2Zvcm09Im1hdHJpeCgwLjY2MTI1MiAwIDAgMC42MjY4NDIgMzMu&#10;MDI3OCA3NDYuMjE5KSI+PGcgY2xpcC1wYXRoPSJ1cmwoI2NsaXAzOSkiPjx1c2Ugd2lkdGg9IjEw&#10;MCUiIGhlaWdodD0iMTAwJSIgeGxpbms6aHJlZj0iI2ltZzM0IiB0cmFuc2Zvcm09InRyYW5zbGF0&#10;ZSgtNC41MTcwNmUtMDYgMS4zMTgyNWUtMDUpIj48L3VzZT48L2c+PC9nPjwvZz48L2c+PHRleHQg&#10;ZmlsbD0iIzM2NDI0QSIgZm9udC1mYW1pbHk9IkNhbGlicmksQ2FsaWJyaV9NU0ZvbnRTZXJ2aWNl&#10;LEFyaWFsIiBmb250LXdlaWdodD0iNDAwIiBmb250LXNpemU9IjE3IiB0cmFuc2Zvcm09Im1hdHJp&#10;eCgwLjc5MzUwMiAwIDAgMC43OTQgNTAuODgxNiA3NTgpIj5ZZWFyIE9uZSBSZXBvcnQgU3VtbWFy&#10;eSA8L3RleHQ+PHRleHQgZmlsbD0iIzM2NDI0QSIgZm9udC1mYW1pbHk9IkNhbGlicmksQ2FsaWJy&#10;aV9NU0ZvbnRTZXJ2aWNlLEFyaWFsIiBmb250LXdlaWdodD0iNDAwIiBmb250LXNpemU9IjE3IiB0&#10;cmFuc2Zvcm09Im1hdHJpeCgwLjc5MzUwMiAwIDAgMC43OTQgNTAuODgxNiA3NzQpIj4oPC90ZXh0&#10;Pjx0ZXh0IGZpbGw9IiMzNjQyNEEiIGZvbnQtZmFtaWx5PSJDYWxpYnJpLENhbGlicmlfTVNGb250&#10;U2VydmljZSxBcmlhbCIgZm9udC13ZWlnaHQ9IjQwMCIgZm9udC1zaXplPSIxNyIgdHJhbnNmb3Jt&#10;PSJtYXRyaXgoMC43OTM1MDIgMCAwIDAuNzk0IDU0Ljg0OTEgNzc0KSI+MjAxOTwvdGV4dD48dGV4&#10;dCBmaWxsPSIjMzY0MjRBIiBmb250LWZhbWlseT0iQ2FsaWJyaSxDYWxpYnJpX01TRm9udFNlcnZp&#10;Y2UsQXJpYWwiIGZvbnQtd2VpZ2h0PSI0MDAiIGZvbnQtc2l6ZT0iMTciIHRyYW5zZm9ybT0ibWF0&#10;cml4KDAuNzkzNTAyIDAgMCAwLjc5NCA4My40MTUyIDc3NCkiPik8L3RleHQ+PHBhdGggZD0iTTQw&#10;LjkxODQgMzk5LjY5MyA2OS4xODY5IDM5OS42OTMgNjkuMTg2OSA0MTUuNTYzIDQwLjkxODQgNDE1&#10;LjU2M1oiIGZpbGw9IiNFNkVBN0YiIGZpbGwtcnVsZT0iZXZlbm9kZCIgdHJhbnNmb3JtPSJtYXRy&#10;aXgoMSAwIDAgMS4wMDA2MyA1LjY1MTk5IDEyLjcwNCkiLz48cGF0aCBkPSJNMTkzLjMzNyA0MTUu&#10;NTYzIDE5Ny4zMDQgNDE1LjU2MyAxOTcuMzA0IDQzMS40MzMgMTkzLjMzNyA0MzEuNDMzWiIgZmls&#10;bD0iI0U2RUE3RiIgZmlsbC1ydWxlPSJldmVub2RkIiB0cmFuc2Zvcm09Im1hdHJpeCgxIDAgMCAx&#10;LjAwMDYzIDUuNjUxOTkgMTIuNzA0KSIvPjxwYXRoIGQ9Ik0xOTcuMzA0IDQxNS41NjMgMjE0Ljgy&#10;OCA0MTUuNTYzIDIxNC44MjggNDMxLjQzMyAxOTcuMzA0IDQzMS40MzNaIiBmaWxsPSIjRTZFQTdG&#10;IiBmaWxsLXJ1bGU9ImV2ZW5vZGQiIHRyYW5zZm9ybT0ibWF0cml4KDEgMCAwIDEuMDAwNjMgNS42&#10;NTE5OSAxMi43MDQpIi8+PHRleHQgZmlsbD0iI0ZGRkZGRiIgZm9udC1mYW1pbHk9IkNhbGlicmks&#10;Q2FsaWJyaV9NU0ZvbnRTZXJ2aWNlLEFyaWFsIiBmb250LXdlaWdodD0iNzAwIiBmb250LXNpemU9&#10;IjE3IiB0cmFuc2Zvcm09Im1hdHJpeCgwLjc5MzUwMiAwIDAgMC43OTQgMjguNzE2NiAzMjIpIj5I&#10;ZWFsdGggc2VjdG9yIGNvPC90ZXh0Pjx0ZXh0IGZpbGw9IiNGRkZGRkYiIGZvbnQtZmFtaWx5PSJD&#10;YWxpYnJpLENhbGlicmlfTVNGb250U2VydmljZSxBcmlhbCIgZm9udC13ZWlnaHQ9IjcwMCIgZm9u&#10;dC1zaXplPSIxNyIgdHJhbnNmb3JtPSJtYXRyaXgoMC43OTM1MDIgMCAwIDAuNzk0IDExNy4zMjUg&#10;MzIyKSI+LTwvdGV4dD48dGV4dCBmaWxsPSIjRkZGRkZGIiBmb250LWZhbWlseT0iQ2FsaWJyaSxD&#10;YWxpYnJpX01TRm9udFNlcnZpY2UsQXJpYWwiIGZvbnQtd2VpZ2h0PSI3MDAiIGZvbnQtc2l6ZT0i&#10;MTciIHRyYW5zZm9ybT0ibWF0cml4KDAuNzkzNTAyIDAgMCAwLjc5NCAxMjEuMjkyIDMyMikiPmRl&#10;c2lnbiBncm91cCA8L3RleHQ+PHRleHQgZmlsbD0iI0ZGRkZGRiIgZm9udC1mYW1pbHk9IkNhbGli&#10;cmksQ2FsaWJyaV9NU0ZvbnRTZXJ2aWNlLEFyaWFsIiBmb250LXdlaWdodD0iNzAwIiBmb250LXNp&#10;emU9IjE3IiB0cmFuc2Zvcm09Im1hdHJpeCgwLjc5MzUwMiAwIDAgMC43OTQgMjguNzE2NiAzMzgp&#10;Ij5lc3RhYmxpc2hlZDwvdGV4dD48dGV4dCBmaWxsPSIjRkZGRkZGIiBmb250LWZhbWlseT0iQ2Fs&#10;aWJyaSxDYWxpYnJpX01TRm9udFNlcnZpY2UsQXJpYWwiIGZvbnQtd2VpZ2h0PSI3MDAiIGZvbnQt&#10;c2l6ZT0iMTciIHRyYW5zZm9ybT0ibWF0cml4KDAuNzkzNTAyIDAgMCAwLjc5NCAyOC43MTY2IDM3&#10;OCkiPlNlY3RvciBlbmdhZ2VtZW50PC90ZXh0Pjx0ZXh0IGZpbGw9IiNGRkZGRkYiIGZvbnQtZmFt&#10;aWx5PSJDYWxpYnJpLENhbGlicmlfTVNGb250U2VydmljZSxBcmlhbCIgZm9udC13ZWlnaHQ9IjQw&#10;MCIgZm9udC1zaXplPSIxNyIgdHJhbnNmb3JtPSJtYXRyaXgoMC43OTM1MDIgMCAwIDAuNzk0IDI4&#10;LjcxNjYgMzk0KSI+RGlzY3Vzc2lvbnMgd2l0aDwvdGV4dD48dGV4dCBmaWxsPSIjRkZGRkZGIiBm&#10;b250LWZhbWlseT0iQ2FsaWJyaSxDYWxpYnJpX01TRm9udFNlcnZpY2UsQXJpYWwiIGZvbnQtd2Vp&#10;Z2h0PSI0MDAiIGZvbnQtc2l6ZT0iMTciIHRyYW5zZm9ybT0ibWF0cml4KDAuNzkzNTAyIDAgMCAw&#10;Ljc5NCAxMTkuOTY5IDM5NCkiPjo8L3RleHQ+PGcgY2xpcC1wYXRoPSJ1cmwoI2NsaXA0MCkiPjxn&#10;IGNsaXAtcGF0aD0idXJsKCNjbGlwNDEpIj48ZyBjbGlwLXBhdGg9InVybCgjY2xpcDQyKSIgdHJh&#10;bnNmb3JtPSJtYXRyaXgoMC42NjEyNTIgMCAwIDAuNjI2ODQyIDI4LjcxNjYgMzk3LjU2MikiPjxn&#10;IGNsaXAtcGF0aD0idXJsKCNjbGlwNDMpIj48dXNlIHdpZHRoPSIxMDAlIiBoZWlnaHQ9IjEwMCUi&#10;IHhsaW5rOmhyZWY9IiNpbWczNCIgdHJhbnNmb3JtPSJ0cmFuc2xhdGUoLTQuMjI0MDllLTA2IDMu&#10;NDQ0MjhlLTA2KSI+PC91c2U+PC9nPjwvZz48L2c+PC9nPjx0ZXh0IGZpbGw9IiNGRkZGRkYiIGZv&#10;bnQtZmFtaWx5PSJDYWxpYnJpLENhbGlicmlfTVNGb250U2VydmljZSxBcmlhbCIgZm9udC13ZWln&#10;aHQ9IjQwMCIgZm9udC1zaXplPSIxNyIgdHJhbnNmb3JtPSJtYXRyaXgoMC43OTM1MDIgMCAwIDAu&#10;Nzk0IDQ2LjU3MDQgNDEwKSI+MzYgPC90ZXh0Pjx0ZXh0IGZpbGw9IiNGRkZGRkYiIGZvbnQtZmFt&#10;aWx5PSJDYWxpYnJpLENhbGlicmlfTVNGb250U2VydmljZSxBcmlhbCIgZm9udC13ZWlnaHQ9IjQw&#10;MCIgZm9udC1zaXplPSIxNyIgdHJhbnNmb3JtPSJtYXRyaXgoMC43OTM1MDIgMCAwIDAuNzk0IDY0&#10;LjAyNzUgNDEwKSI+b3JnYW5pc2F0aW9ucyBhbmQgYWxsaWFuY2VzIDwvdGV4dD48dGV4dCBmb250&#10;LWZhbWlseT0iQ2FsaWJyaSxDYWxpYnJpX01TRm9udFNlcnZpY2UsQXJpYWwiIGZvbnQtd2VpZ2h0&#10;PSI0MDAiIGZvbnQtc2l6ZT0iMTciIHRyYW5zZm9ybT0ibWF0cml4KDAuNzkzNTAyIDAgMCAwLjc5&#10;NCA0Ni41NzA0IDQyNikiPig8L3RleHQ+PHRleHQgZm9udC1mYW1pbHk9IkNhbGlicmksQ2FsaWJy&#10;aV9NU0ZvbnRTZXJ2aWNlLEFyaWFsIiBmb250LXdlaWdodD0iNDAwIiBmb250LXNpemU9IjE3IiB0&#10;cmFuc2Zvcm09Im1hdHJpeCgwLjc5MzUwMiAwIDAgMC43OTQgNTAuNTM3OSA0MjYpIj4xMDM8L3Rl&#10;eHQ+PHRleHQgZm9udC1mYW1pbHk9IkNhbGlicmksQ2FsaWJyaV9NU0ZvbnRTZXJ2aWNlLEFyaWFs&#10;IiBmb250LXdlaWdodD0iNDAwIiBmb250LXNpemU9IjE3IiB0cmFuc2Zvcm09Im1hdHJpeCgwLjc5&#10;MzUwMiAwIDAgMC43OTQgNzEuOTYyNSA0MjYpIj4pPC90ZXh0PjxnIGNsaXAtcGF0aD0idXJsKCNj&#10;bGlwNDQpIj48ZyBjbGlwLXBhdGg9InVybCgjY2xpcDQ1KSI+PGcgY2xpcC1wYXRoPSJ1cmwoI2Ns&#10;aXA0NikiIHRyYW5zZm9ybT0ibWF0cml4KDAuNjYxMjUyIDAgMCAwLjYyNjg0MiAyOC43MTY2IDQy&#10;OS4zMjIpIj48ZyBjbGlwLXBhdGg9InVybCgjY2xpcDQ3KSI+PHVzZSB3aWR0aD0iMTAwJSIgaGVp&#10;Z2h0PSIxMDAlIiB4bGluazpocmVmPSIjaW1nMzQiIHRyYW5zZm9ybT0idHJhbnNsYXRlKC00LjIy&#10;NDA5ZS0wNiAtMS4yMjI4MWUtMDUpIj48L3VzZT48L2c+PC9nPjwvZz48L2c+PHRleHQgZmlsbD0i&#10;I0ZGRkZGRiIgZm9udC1mYW1pbHk9IkNhbGlicmksQ2FsaWJyaV9NU0ZvbnRTZXJ2aWNlLEFyaWFs&#10;IiBmb250LXdlaWdodD0iNDAwIiBmb250LXNpemU9IjE3IiB0cmFuc2Zvcm09Im1hdHJpeCgwLjc5&#10;MzUwMiAwIDAgMC43OTQgNDYuNTcwNCA0NDEpIj42IDwvdGV4dD48dGV4dCBmaWxsPSIjRkZGRkZG&#10;IiBmb250LWZhbWlseT0iQ2FsaWJyaSxDYWxpYnJpX01TRm9udFNlcnZpY2UsQXJpYWwiIGZvbnQt&#10;d2VpZ2h0PSI0MDAiIGZvbnQtc2l6ZT0iMTciIHRyYW5zZm9ybT0ibWF0cml4KDAuNzkzNTAyIDAg&#10;MCAwLjc5NCA1Ni44ODU5IDQ0MSkiPmNvbW11bml0eTwvdGV4dD48dGV4dCBmaWxsPSIjRkZGRkZG&#10;IiBmb250LWZhbWlseT0iQ2FsaWJyaSxDYWxpYnJpX01TRm9udFNlcnZpY2UsQXJpYWwiIGZvbnQt&#10;d2VpZ2h0PSI0MDAiIGZvbnQtc2l6ZT0iMTciIHRyYW5zZm9ybT0ibWF0cml4KDAuNzkzNTAyIDAg&#10;MCAwLjc5NCAxMTcuMzI1IDQ0MSkiPi08L3RleHQ+PHRleHQgZmlsbD0iI0ZGRkZGRiIgZm9udC1m&#10;YW1pbHk9IkNhbGlicmksQ2FsaWJyaV9NU0ZvbnRTZXJ2aWNlLEFyaWFsIiBmb250LXdlaWdodD0i&#10;NDAwIiBmb250LXNpemU9IjE3IiB0cmFuc2Zvcm09Im1hdHJpeCgwLjc5MzUwMiAwIDAgMC43OTQg&#10;MTIxLjI5MiA0NDEpIj5iYXNlZCA8L3RleHQ+PHRleHQgZmlsbD0iI0ZGRkZGRiIgZm9udC1mYW1p&#10;bHk9IkNhbGlicmksQ2FsaWJyaV9NU0ZvbnRTZXJ2aWNlLEFyaWFsIiBmb250LXdlaWdodD0iNDAw&#10;IiBmb250LXNpemU9IjE3IiB0cmFuc2Zvcm09Im1hdHJpeCgwLjc5MzUwMiAwIDAgMC43OTQgMTU2&#10;LjE3MyA0NDEpIj5ncm91cHMgIDwvdGV4dD48dGV4dCBmb250LWZhbWlseT0iQ2FsaWJyaSxDYWxp&#10;YnJpX01TRm9udFNlcnZpY2UsQXJpYWwiIGZvbnQtd2VpZ2h0PSI0MDAiIGZvbnQtc2l6ZT0iMTci&#10;IHRyYW5zZm9ybT0ibWF0cml4KDAuNzkzNTAyIDAgMCAwLjc5NCAxOTguOTg5IDQ0MSkiPig8L3Rl&#10;eHQ+PHRleHQgZm9udC1mYW1pbHk9IkNhbGlicmksQ2FsaWJyaV9NU0ZvbnRTZXJ2aWNlLEFyaWFs&#10;IiBmb250LXdlaWdodD0iNDAwIiBmb250LXNpemU9IjE3IiB0cmFuc2Zvcm09Im1hdHJpeCgwLjc5&#10;MzUwMiAwIDAgMC43OTQgMjAyLjk1NiA0NDEpIj40MDwvdGV4dD48dGV4dCBmb250LWZhbWlseT0i&#10;Q2FsaWJyaSxDYWxpYnJpX01TRm9udFNlcnZpY2UsQXJpYWwiIGZvbnQtd2VpZ2h0PSI0MDAiIGZv&#10;bnQtc2l6ZT0iMTciIHRyYW5zZm9ybT0ibWF0cml4KDAuNzkzNTAyIDAgMCAwLjc5NCAyMTcuMjM5&#10;IDQ0MSkiPik8L3RleHQ+PHRleHQgZmlsbD0iI0ZGRkZGRiIgZm9udC1mYW1pbHk9IkNhbGlicmks&#10;Q2FsaWJyaV9NU0ZvbnRTZXJ2aWNlLEFyaWFsIiBmb250LXdlaWdodD0iNDAwIiBmb250LXNpemU9&#10;IjE3IiB0cmFuc2Zvcm09Im1hdHJpeCgwLjc5MzUwMiAwIDAgMC43OTQgMjguNzE2NiA0OTcpIj5E&#10;ZXRhaWxlZCBkZXNpZ24gYW5kIHBsYW5uaW5nIGZvciB0aGUgPC90ZXh0Pjx0ZXh0IGZpbGw9IiNG&#10;RkZGRkYiIGZvbnQtZmFtaWx5PSJDYWxpYnJpLENhbGlicmlfTVNGb250U2VydmljZSxBcmlhbCIg&#10;Zm9udC13ZWlnaHQ9IjQwMCIgZm9udC1zaXplPSIxNyIgdHJhbnNmb3JtPSJtYXRyaXgoMC43OTM1&#10;MDIgMCAwIDAuNzk0IDI4LjcxNjYgNTEzKSI+ZXZhbHVhdGlvbjwvdGV4dD48dGV4dCBmaWxsPSIj&#10;RkZGRkZGIiBmb250LWZhbWlseT0iQ2FsaWJyaSxDYWxpYnJpX01TRm9udFNlcnZpY2UsQXJpYWwi&#10;IGZvbnQtd2VpZ2h0PSI3MDAiIGZvbnQtc2l6ZT0iMTciIHRyYW5zZm9ybT0ibWF0cml4KDAuNzkz&#10;NTAyIDAgMCAwLjc5NCAyOC43MTY2IDU2MSkiPkV0aGljczwvdGV4dD48dGV4dCBmaWxsPSIjRkZG&#10;RkZGIiBmb250LWZhbWlseT0iQ2FsaWJyaSxDYWxpYnJpX01TRm9udFNlcnZpY2UsQXJpYWwiIGZv&#10;bnQtd2VpZ2h0PSI0MDAiIGZvbnQtc2l6ZT0iMTciIHRyYW5zZm9ybT0ibWF0cml4KDAuNzkzNTAy&#10;IDAgMCAwLjc5NCAyOC43MTY2IDU3NikiPlN1Ym1pdHRlZCBvdmVyIDwvdGV4dD48dGV4dCBmaWxs&#10;PSIjRkZGRkZGIiBmb250LWZhbWlseT0iQ2FsaWJyaSxDYWxpYnJpX01TRm9udFNlcnZpY2UsQXJp&#10;YWwiIGZvbnQtd2VpZ2h0PSI0MDAiIGZvbnQtc2l6ZT0iMTciIHRyYW5zZm9ybT0ibWF0cml4KDAu&#10;NzkzNTAyIDAgMCAwLjc5NCAxMTYuNzk1IDU3NikiPjIgPC90ZXh0Pjx0ZXh0IGZpbGw9IiNGRkZG&#10;RkYiIGZvbnQtZmFtaWx5PSJDYWxpYnJpLENhbGlicmlfTVNGb250U2VydmljZSxBcmlhbCIgZm9u&#10;dC13ZWlnaHQ9IjQwMCIgZm9udC1zaXplPSIxNyIgdHJhbnNmb3JtPSJtYXRyaXgoMC43OTM1MDIg&#10;MCAwIDAuNzk0IDEyNy4xMTEgNTc2KSI+c3RhZ2VzIHdpdGggPC90ZXh0Pjx0ZXh0IGZpbGw9IiNG&#10;RkZGRkYiIGZvbnQtZmFtaWx5PSJDYWxpYnJpLENhbGlicmlfTVNGb250U2VydmljZSxBcmlhbCIg&#10;Zm9udC13ZWlnaHQ9IjQwMCIgZm9udC1zaXplPSIxNyIgdHJhbnNmb3JtPSJtYXRyaXgoMC43OTM1&#10;MDIgMCAwIDAuNzk0IDE5Mi45NzEgNTc2KSI+MTMgPC90ZXh0Pjx0ZXh0IGZpbGw9IiNGRkZGRkYi&#10;IGZvbnQtZmFtaWx5PSJDYWxpYnJpLENhbGlicmlfTVNGb250U2VydmljZSxBcmlhbCIgZm9udC13&#10;ZWlnaHQ9IjQwMCIgZm9udC1zaXplPSIxNyIgdHJhbnNmb3JtPSJtYXRyaXgoMC43OTM1MDIgMCAw&#10;IDAuNzk0IDI4LjcxNjYgNTkyKSI+RXRoaWNzIENvbW1pdHRlZXM8L3RleHQ+PHRleHQgZmlsbD0i&#10;I0ZGRkZGRiIgZm9udC1mYW1pbHk9IkNhbGlicmksQ2FsaWJyaV9NU0ZvbnRTZXJ2aWNlLEFyaWFs&#10;IiBmb250LXdlaWdodD0iNzAwIiBmb250LXNpemU9IjE3IiB0cmFuc2Zvcm09Im1hdHJpeCgwLjc5&#10;MzUwMiAwIDAgMC43OTQgMjguNzE2NiA2NDApIj5Fc3RhYmxpc2htZW50IG9mIHNpdGVzPC90ZXh0&#10;PjxnIGNsaXAtcGF0aD0idXJsKCNjbGlwNDgpIj48ZyBjbGlwLXBhdGg9InVybCgjY2xpcDQ5KSI+&#10;PGcgY2xpcC1wYXRoPSJ1cmwoI2NsaXA1MCkiIHRyYW5zZm9ybT0ibWF0cml4KDAuNjYxMjUyIDAg&#10;MCAwLjYyNjg0MiAyOC43MTY2IDY0My43MDIpIj48ZyBjbGlwLXBhdGg9InVybCgjY2xpcDUxKSI+&#10;PHVzZSB3aWR0aD0iMTAwJSIgaGVpZ2h0PSIxMDAlIiB4bGluazpocmVmPSIjaW1nMzQiIHRyYW5z&#10;Zm9ybT0idHJhbnNsYXRlKC00LjIyNDA5ZS0wNiAtMy45MzUyNmUtMDUpIj48L3VzZT48L2c+PC9n&#10;PjwvZz48L2c+PHRleHQgZmlsbD0iI0ZGRkZGRiIgZm9udC1mYW1pbHk9IkNhbGlicmksQ2FsaWJy&#10;aV9NU0ZvbnRTZXJ2aWNlLEFyaWFsIiBmb250LXdlaWdodD0iNDAwIiBmb250LXNpemU9IjE3IiB0&#10;cmFuc2Zvcm09Im1hdHJpeCgwLjc5MzUwMiAwIDAgMC43OTQgNDYuNTcwNCA2NTYpIj5TaXRlIHNl&#10;bGVjdGlvbjwvdGV4dD48ZyBjbGlwLXBhdGg9InVybCgjY2xpcDUyKSI+PGcgY2xpcC1wYXRoPSJ1&#10;cmwoI2NsaXA1MykiPjxnIGNsaXAtcGF0aD0idXJsKCNjbGlwNTQpIiB0cmFuc2Zvcm09Im1hdHJp&#10;eCgwLjY2MTI1MiAwIDAgMC42MjY4NDIgMjguNzE2NiA2NTkuNTgyKSI+PGcgY2xpcC1wYXRoPSJ1&#10;cmwoI2NsaXA1NSkiPjx1c2Ugd2lkdGg9IjEwMCUiIGhlaWdodD0iMTAwJSIgeGxpbms6aHJlZj0i&#10;I2ltZzM0IiB0cmFuc2Zvcm09InRyYW5zbGF0ZSgtNC4yMjQwOWUtMDYgMy44MTg4N2UtMDUpIj48&#10;L3VzZT48L2c+PC9nPjwvZz48L2c+PHRleHQgZmlsbD0iI0ZGRkZGRiIgZm9udC1mYW1pbHk9IkNh&#10;bGlicmksQ2FsaWJyaV9NU0ZvbnRTZXJ2aWNlLEFyaWFsIiBmb250LXdlaWdodD0iNDAwIiBmb250&#10;LXNpemU9IjE3IiB0cmFuc2Zvcm09Im1hdHJpeCgwLjc5MzUwMiAwIDAgMC43OTQgNDYuNTcwNCA2&#10;NzIpIj5QbGFubmluZyB3b3Jrc2hvcHM8L3RleHQ+PHRleHQgZm9udC1mYW1pbHk9IkNhbGlicmks&#10;Q2FsaWJyaV9NU0ZvbnRTZXJ2aWNlLEFyaWFsIiBmb250LXdlaWdodD0iNzAwIiBmb250LXNpemU9&#10;IjI3IiB0cmFuc2Zvcm09Im1hdHJpeCgwLjc5MzUwMiAwIDAgMC43OTQgMzE1LjQ2NyAxODkpIj5D&#10;eWNsZSA8L3RleHQ+PHRleHQgZm9udC1mYW1pbHk9IkNhbGlicmksQ2FsaWJyaV9NU0ZvbnRTZXJ2&#10;aWNlLEFyaWFsIiBmb250LXdlaWdodD0iNzAwIiBmb250LXNpemU9IjI3IiB0cmFuc2Zvcm09Im1h&#10;dHJpeCgwLjc5MzUwMiAwIDAgMC43OTQgMzY3LjA0NCAxODkpIj4xPC90ZXh0PjxnIGNsaXAtcGF0&#10;aD0idXJsKCNjbGlwNTYpIj48ZyBjbGlwLXBhdGg9InVybCgjY2xpcDU3KSI+PGcgY2xpcC1wYXRo&#10;PSJ1cmwoI2NsaXA1OCkiPjxnIGNsaXAtcGF0aD0idXJsKCNjbGlwNTkpIj48cGF0aCBkPSJNMjc0&#10;LjI1MSA5OC45NDY1IDYxNi40MTggNDE1Ljg5MyIgc3Ryb2tlPSIjMjMxRjIwIiBzdHJva2Utd2lk&#10;dGg9IjEuMDE5MzYiIHN0cm9rZS1taXRlcmxpbWl0PSIxMCIgZmlsbD0ibm9uZSIgdHJhbnNmb3Jt&#10;PSJtYXRyaXgoMSAwIDAgMS4wMDA2MyA1LjY1MTk5IDEyLjcwNCkiLz48cGF0aCBkPSJNMjY3LjAy&#10;NSA5OS41MTMxIDYwOS4xOTMgNDE2LjQ2IiBzdHJva2U9IiMyMzFGMjAiIHN0cm9rZS13aWR0aD0i&#10;MS4wMTkzNiIgc3Ryb2tlLW1pdGVybGltaXQ9IjEwIiBmaWxsPSJub25lIiB0cmFuc2Zvcm09Im1h&#10;dHJpeCgxIDAgMCAxLjAwMDYzIDUuNjUxOTkgMTIuNzA0KSIvPjxwYXRoIGQ9Ik0yNTkuOCAxMDAu&#10;MDggNjAxLjk2OCA0MTcuMDI2IiBzdHJva2U9IiMyMzFGMjAiIHN0cm9rZS13aWR0aD0iMS4wMTkz&#10;NiIgc3Ryb2tlLW1pdGVybGltaXQ9IjEwIiBmaWxsPSJub25lIiB0cmFuc2Zvcm09Im1hdHJpeCgx&#10;IDAgMCAxLjAwMDYzIDUuNjUxOTkgMTIuNzA0KSIvPjxwYXRoIGQ9Ik0yNTIuNTc1IDEwMC42NDcg&#10;NTk0Ljc0NyA0MTcuNTkzIiBzdHJva2U9IiMyMzFGMjAiIHN0cm9rZS13aWR0aD0iMS4wMTkzNiIg&#10;c3Ryb2tlLW1pdGVybGltaXQ9IjEwIiBmaWxsPSJub25lIiB0cmFuc2Zvcm09Im1hdHJpeCgxIDAg&#10;MCAxLjAwMDYzIDUuNjUxOTkgMTIuNzA0KSIvPjxwYXRoIGQ9Ik0yNDUuMzU0IDEwMS4yMTMgNTg3&#10;LjUyMiA0MTguMTYiIHN0cm9rZT0iIzIzMUYyMCIgc3Ryb2tlLXdpZHRoPSIxLjAxOTM2IiBzdHJv&#10;a2UtbWl0ZXJsaW1pdD0iMTAiIGZpbGw9Im5vbmUiIHRyYW5zZm9ybT0ibWF0cml4KDEgMCAwIDEu&#10;MDAwNjMgNS42NTE5OSAxMi43MDQpIi8+PHBhdGggZD0iTTIzOC4xMjkgMTAxLjc4IDU4MC4yOTcg&#10;NDE4LjcyNiIgc3Ryb2tlPSIjMjMxRjIwIiBzdHJva2Utd2lkdGg9IjEuMDE5MzYiIHN0cm9rZS1t&#10;aXRlcmxpbWl0PSIxMCIgZmlsbD0ibm9uZSIgdHJhbnNmb3JtPSJtYXRyaXgoMSAwIDAgMS4wMDA2&#10;MyA1LjY1MTk5IDEyLjcwNCkiLz48cGF0aCBkPSJNMjMwLjkwMyAxMDIuMzQ3IDU3My4wNzEgNDE5&#10;LjI5MyIgc3Ryb2tlPSIjMjMxRjIwIiBzdHJva2Utd2lkdGg9IjEuMDE5MzYiIHN0cm9rZS1taXRl&#10;cmxpbWl0PSIxMCIgZmlsbD0ibm9uZSIgdHJhbnNmb3JtPSJtYXRyaXgoMSAwIDAgMS4wMDA2MyA1&#10;LjY1MTk5IDEyLjcwNCkiLz48cGF0aCBkPSJNMjIzLjY3OCAxMDIuOTEzIDU2NS44NDUgNDE5Ljg2&#10;IiBzdHJva2U9IiMyMzFGMjAiIHN0cm9rZS13aWR0aD0iMS4wMTkzNiIgc3Ryb2tlLW1pdGVybGlt&#10;aXQ9IjEwIiBmaWxsPSJub25lIiB0cmFuc2Zvcm09Im1hdHJpeCgxIDAgMCAxLjAwMDYzIDUuNjUx&#10;OTkgMTIuNzA0KSIvPjxwYXRoIGQ9Ik0yMTYuNDUyIDEwMy40OCA1NTguNjIxIDQyMC40MjciIHN0&#10;cm9rZT0iIzIzMUYyMCIgc3Ryb2tlLXdpZHRoPSIxLjAxOTM2IiBzdHJva2UtbWl0ZXJsaW1pdD0i&#10;MTAiIGZpbGw9Im5vbmUiIHRyYW5zZm9ybT0ibWF0cml4KDEgMCAwIDEuMDAwNjMgNS42NTE5OSAx&#10;Mi43MDQpIi8+PHBhdGggZD0iTTIwOS4yMjcgMTA0LjA0NyA1NTEuMzk1IDQyMC45OTMiIHN0cm9r&#10;ZT0iIzIzMUYyMCIgc3Ryb2tlLXdpZHRoPSIxLjAxOTM2IiBzdHJva2UtbWl0ZXJsaW1pdD0iMTAi&#10;IGZpbGw9Im5vbmUiIHRyYW5zZm9ybT0ibWF0cml4KDEgMCAwIDEuMDAwNjMgNS42NTE5OSAxMi43&#10;MDQpIi8+PHBhdGggZD0iTTIwMi4wMDIgMTA0LjYxNCA1NDQuMTY5IDQyMS41NjEiIHN0cm9rZT0i&#10;IzIzMUYyMCIgc3Ryb2tlLXdpZHRoPSIxLjAxOTM2IiBzdHJva2UtbWl0ZXJsaW1pdD0iMTAiIGZp&#10;bGw9Im5vbmUiIHRyYW5zZm9ybT0ibWF0cml4KDEgMCAwIDEuMDAwNjMgNS42NTE5OSAxMi43MDQp&#10;Ii8+PHBhdGggZD0iTTE5NC43NzYgMTA1LjE4IDUzNi45NDQgNDIyLjEyNyIgc3Ryb2tlPSIjMjMx&#10;RjIwIiBzdHJva2Utd2lkdGg9IjEuMDE5MzYiIHN0cm9rZS1taXRlcmxpbWl0PSIxMCIgZmlsbD0i&#10;bm9uZSIgdHJhbnNmb3JtPSJtYXRyaXgoMSAwIDAgMS4wMDA2MyA1LjY1MTk5IDEyLjcwNCkiLz48&#10;cGF0aCBkPSJNMTg3LjU1MSAxMDUuNzQ3IDUyOS43MTkgNDIyLjY5NCIgc3Ryb2tlPSIjMjMxRjIw&#10;IiBzdHJva2Utd2lkdGg9IjEuMDE5MzYiIHN0cm9rZS1taXRlcmxpbWl0PSIxMCIgZmlsbD0ibm9u&#10;ZSIgdHJhbnNmb3JtPSJtYXRyaXgoMSAwIDAgMS4wMDA2MyA1LjY1MTk5IDEyLjcwNCkiLz48cGF0&#10;aCBkPSJNMTgwLjMyNiAxMDYuMzEzIDUyMi40OTggNDIzLjI2IiBzdHJva2U9IiMyMzFGMjAiIHN0&#10;cm9rZS13aWR0aD0iMS4wMTkzNiIgc3Ryb2tlLW1pdGVybGltaXQ9IjEwIiBmaWxsPSJub25lIiB0&#10;cmFuc2Zvcm09Im1hdHJpeCgxIDAgMCAxLjAwMDYzIDUuNjUxOTkgMTIuNzA0KSIvPjxwYXRoIGQ9&#10;Ik0xNzMuMTA2IDEwNi44OCA1MTUuMjczIDQyMy44MjciIHN0cm9rZT0iIzIzMUYyMCIgc3Ryb2tl&#10;LXdpZHRoPSIxLjAxOTM2IiBzdHJva2UtbWl0ZXJsaW1pdD0iMTAiIGZpbGw9Im5vbmUiIHRyYW5z&#10;Zm9ybT0ibWF0cml4KDEgMCAwIDEuMDAwNjMgNS42NTE5OSAxMi43MDQpIi8+PHBhdGggZD0iTTE2&#10;NS44OCAxMDcuNDQ2IDUwOC4wNDcgNDI0LjM5MyIgc3Ryb2tlPSIjMjMxRjIwIiBzdHJva2Utd2lk&#10;dGg9IjEuMDE5MzYiIHN0cm9rZS1taXRlcmxpbWl0PSIxMCIgZmlsbD0ibm9uZSIgdHJhbnNmb3Jt&#10;PSJtYXRyaXgoMSAwIDAgMS4wMDA2MyA1LjY1MTk5IDEyLjcwNCkiLz48cGF0aCBkPSJNMTU4LjY1&#10;NCAxMDguMDE0IDUwMC44MjIgNDI0Ljk2IiBzdHJva2U9IiMyMzFGMjAiIHN0cm9rZS13aWR0aD0i&#10;MS4wMTkzNiIgc3Ryb2tlLW1pdGVybGltaXQ9IjEwIiBmaWxsPSJub25lIiB0cmFuc2Zvcm09Im1h&#10;dHJpeCgxIDAgMCAxLjAwMDYzIDUuNjUxOTkgMTIuNzA0KSIvPjxwYXRoIGQ9Ik0xNTEuNDI5IDEw&#10;OC41OCA0OTMuNTk3IDQyNS41MjciIHN0cm9rZT0iIzIzMUYyMCIgc3Ryb2tlLXdpZHRoPSIxLjAx&#10;OTM2IiBzdHJva2UtbWl0ZXJsaW1pdD0iMTAiIGZpbGw9Im5vbmUiIHRyYW5zZm9ybT0ibWF0cml4&#10;KDEgMCAwIDEuMDAwNjMgNS42NTE5OSAxMi43MDQpIi8+PHBhdGggZD0iTTE0NC4yMDQgMTA5LjE0&#10;NyA0ODYuMzcxIDQyNi4wOTQiIHN0cm9rZT0iIzIzMUYyMCIgc3Ryb2tlLXdpZHRoPSIxLjAxOTM2&#10;IiBzdHJva2UtbWl0ZXJsaW1pdD0iMTAiIGZpbGw9Im5vbmUiIHRyYW5zZm9ybT0ibWF0cml4KDEg&#10;MCAwIDEuMDAwNjMgNS42NTE5OSAxMi43MDQpIi8+PHBhdGggZD0iTTEzNi45NzggMTA5LjcxNCA0&#10;NzkuMTQ2IDQyNi42NiIgc3Ryb2tlPSIjMjMxRjIwIiBzdHJva2Utd2lkdGg9IjEuMDE5MzYiIHN0&#10;cm9rZS1taXRlcmxpbWl0PSIxMCIgZmlsbD0ibm9uZSIgdHJhbnNmb3JtPSJtYXRyaXgoMSAwIDAg&#10;MS4wMDA2MyA1LjY1MTk5IDEyLjcwNCkiLz48cGF0aCBkPSJNMTI5Ljc1MyAxMTAuMjggNDcxLjky&#10;IDQyNy4yMjciIHN0cm9rZT0iIzIzMUYyMCIgc3Ryb2tlLXdpZHRoPSIxLjAxOTM2IiBzdHJva2Ut&#10;bWl0ZXJsaW1pdD0iMTAiIGZpbGw9Im5vbmUiIHRyYW5zZm9ybT0ibWF0cml4KDEgMCAwIDEuMDAw&#10;NjMgNS42NTE5OSAxMi43MDQpIi8+PHBhdGggZD0iTTEyMi41MjcgMTEwLjg0NyA0NjQuNjk1IDQy&#10;Ny43OTMiIHN0cm9rZT0iIzIzMUYyMCIgc3Ryb2tlLXdpZHRoPSIxLjAxOTM2IiBzdHJva2UtbWl0&#10;ZXJsaW1pdD0iMTAiIGZpbGw9Im5vbmUiIHRyYW5zZm9ybT0ibWF0cml4KDEgMCAwIDEuMDAwNjMg&#10;NS42NTE5OSAxMi43MDQpIi8+PHBhdGggZD0iTTExNS4zMDIgMTExLjQxNCA0NTcuNDcgNDI4LjM2&#10;MSIgc3Ryb2tlPSIjMjMxRjIwIiBzdHJva2Utd2lkdGg9IjEuMDE5MzYiIHN0cm9rZS1taXRlcmxp&#10;bWl0PSIxMCIgZmlsbD0ibm9uZSIgdHJhbnNmb3JtPSJtYXRyaXgoMSAwIDAgMS4wMDA2MyA1LjY1&#10;MTk5IDEyLjcwNCkiLz48cGF0aCBkPSJNMTA4LjA3NyAxMTEuOTgxIDQ1MC4yNSA0MjguOTI3IiBz&#10;dHJva2U9IiMyMzFGMjAiIHN0cm9rZS13aWR0aD0iMS4wMTkzNiIgc3Ryb2tlLW1pdGVybGltaXQ9&#10;IjEwIiBmaWxsPSJub25lIiB0cmFuc2Zvcm09Im1hdHJpeCgxIDAgMCAxLjAwMDYzIDUuNjUxOTkg&#10;MTIuNzA0KSIvPjxwYXRoIGQ9Ik0xMDAuODU2IDExMi41NDcgNDQzLjAyNCA0MjkuNDk0IiBzdHJv&#10;a2U9IiMyMzFGMjAiIHN0cm9rZS13aWR0aD0iMS4wMTkzNiIgc3Ryb2tlLW1pdGVybGltaXQ9IjEw&#10;IiBmaWxsPSJub25lIiB0cmFuc2Zvcm09Im1hdHJpeCgxIDAgMCAxLjAwMDYzIDUuNjUxOTkgMTIu&#10;NzA0KSIvPjxwYXRoIGQ9Ik05My42MzA4IDExMy4xMTQgNDM1Ljc5OCA0MzAuMDYxIiBzdHJva2U9&#10;IiMyMzFGMjAiIHN0cm9rZS13aWR0aD0iMS4wMTkzNiIgc3Ryb2tlLW1pdGVybGltaXQ9IjEwIiBm&#10;aWxsPSJub25lIiB0cmFuc2Zvcm09Im1hdHJpeCgxIDAgMCAxLjAwMDYzIDUuNjUxOTkgMTIuNzA0&#10;KSIvPjxwYXRoIGQ9Ik04Ni40MDUyIDExMy42OCA0MjguNTczIDQzMC42MjciIHN0cm9rZT0iIzIz&#10;MUYyMCIgc3Ryb2tlLXdpZHRoPSIxLjAxOTM2IiBzdHJva2UtbWl0ZXJsaW1pdD0iMTAiIGZpbGw9&#10;Im5vbmUiIHRyYW5zZm9ybT0ibWF0cml4KDEgMCAwIDEuMDAwNjMgNS42NTE5OSAxMi43MDQpIi8+&#10;PHBhdGggZD0iTTc5LjE4IDExNC4yNDggNDIxLjM0OCA0MzEuMTk0IiBzdHJva2U9IiMyMzFGMjAi&#10;IHN0cm9rZS13aWR0aD0iMS4wMTkzNiIgc3Ryb2tlLW1pdGVybGltaXQ9IjEwIiBmaWxsPSJub25l&#10;IiB0cmFuc2Zvcm09Im1hdHJpeCgxIDAgMCAxLjAwMDYzIDUuNjUxOTkgMTIuNzA0KSIvPjxwYXRo&#10;IGQ9Ik03MS45NTQ2IDExNC44MTQgNDE0LjEyMiA0MzEuNzYiIHN0cm9rZT0iIzIzMUYyMCIgc3Ry&#10;b2tlLXdpZHRoPSIxLjAxOTM2IiBzdHJva2UtbWl0ZXJsaW1pdD0iMTAiIGZpbGw9Im5vbmUiIHRy&#10;YW5zZm9ybT0ibWF0cml4KDEgMCAwIDEuMDAwNjMgNS42NTE5OSAxMi43MDQpIi8+PHBhdGggZD0i&#10;TTY0LjcyOTEgMTE1LjM4MSA0MDYuODk3IDQzMi4zMjgiIHN0cm9rZT0iIzIzMUYyMCIgc3Ryb2tl&#10;LXdpZHRoPSIxLjAxOTM2IiBzdHJva2UtbWl0ZXJsaW1pdD0iMTAiIGZpbGw9Im5vbmUiIHRyYW5z&#10;Zm9ybT0ibWF0cml4KDEgMCAwIDEuMDAwNjMgNS42NTE5OSAxMi43MDQpIi8+PHBhdGggZD0iTTU3&#10;LjUwMzcgMTE1Ljk0NyAzOTkuNjcxIDQzMi44OTQiIHN0cm9rZT0iIzIzMUYyMCIgc3Ryb2tlLXdp&#10;ZHRoPSIxLjAxOTM2IiBzdHJva2UtbWl0ZXJsaW1pdD0iMTAiIGZpbGw9Im5vbmUiIHRyYW5zZm9y&#10;bT0ibWF0cml4KDEgMCAwIDEuMDAwNjMgNS42NTE5OSAxMi43MDQpIi8+PHBhdGggZD0iTTUwLjI3&#10;ODMgMTE2LjUxNCAzOTIuNDQ2IDQzMy40NjEiIHN0cm9rZT0iIzIzMUYyMCIgc3Ryb2tlLXdpZHRo&#10;PSIxLjAxOTM2IiBzdHJva2UtbWl0ZXJsaW1pdD0iMTAiIGZpbGw9Im5vbmUiIHRyYW5zZm9ybT0i&#10;bWF0cml4KDEgMCAwIDEuMDAwNjMgNS42NTE5OSAxMi43MDQpIi8+PHBhdGggZD0iTTQzLjA1Mjkg&#10;MTE3LjA4MSAzODUuMjIxIDQzNC4wMjciIHN0cm9rZT0iIzIzMUYyMCIgc3Ryb2tlLXdpZHRoPSIx&#10;LjAxOTM2IiBzdHJva2UtbWl0ZXJsaW1pdD0iMTAiIGZpbGw9Im5vbmUiIHRyYW5zZm9ybT0ibWF0&#10;cml4KDEgMCAwIDEuMDAwNjMgNS42NTE5OSAxMi43MDQpIi8+PHBhdGggZD0iTTM1LjgyNzUgMTE3&#10;LjY0OCAzNzggNDM0LjU5NCIgc3Ryb2tlPSIjMjMxRjIwIiBzdHJva2Utd2lkdGg9IjEuMDE5MzYi&#10;IHN0cm9rZS1taXRlcmxpbWl0PSIxMCIgZmlsbD0ibm9uZSIgdHJhbnNmb3JtPSJtYXRyaXgoMSAw&#10;IDAgMS4wMDA2MyA1LjY1MTk5IDEyLjcwNCkiLz48cGF0aCBkPSJNMjguNjAyMSAxMTguMjE0IDM3&#10;MC43NzUgNDM1LjE2IiBzdHJva2U9IiMyMzFGMjAiIHN0cm9rZS13aWR0aD0iMS4wMTkzNiIgc3Ry&#10;b2tlLW1pdGVybGltaXQ9IjEwIiBmaWxsPSJub25lIiB0cmFuc2Zvcm09Im1hdHJpeCgxIDAgMCAx&#10;LjAwMDYzIDUuNjUxOTkgMTIuNzA0KSIvPjxwYXRoIGQ9Ik0yMS4zODE4IDExOC43ODEgMzYzLjU0&#10;OSA0MzUuNzI3IiBzdHJva2U9IiMyMzFGMjAiIHN0cm9rZS13aWR0aD0iMS4wMTkzNiIgc3Ryb2tl&#10;LW1pdGVybGltaXQ9IjEwIiBmaWxsPSJub25lIiB0cmFuc2Zvcm09Im1hdHJpeCgxIDAgMCAxLjAw&#10;MDYzIDUuNjUxOTkgMTIuNzA0KSIvPjxwYXRoIGQ9Ik0xNC4xNTY0IDExOS4zNDcgMzU2LjMyNCA0&#10;MzYuMjk0IiBzdHJva2U9IiMyMzFGMjAiIHN0cm9rZS13aWR0aD0iMS4wMTkzNiIgc3Ryb2tlLW1p&#10;dGVybGltaXQ9IjEwIiBmaWxsPSJub25lIiB0cmFuc2Zvcm09Im1hdHJpeCgxIDAgMCAxLjAwMDYz&#10;IDUuNjUxOTkgMTIuNzA0KSIvPjxwYXRoIGQ9Ik02LjkzMDk2IDExOS45MTQgMzQ5LjA5OSA0MzYu&#10;ODYxIiBzdHJva2U9IiMyMzFGMjAiIHN0cm9rZS13aWR0aD0iMS4wMTkzNiIgc3Ryb2tlLW1pdGVy&#10;bGltaXQ9IjEwIiBmaWxsPSJub25lIiB0cmFuc2Zvcm09Im1hdHJpeCgxIDAgMCAxLjAwMDYzIDUu&#10;NjUxOTkgMTIuNzA0KSIvPjxwYXRoIGQ9Ik0tMC4yOTQ0NTEgMTIwLjQ4MSAzNDEuODczIDQzNy40&#10;MjciIHN0cm9rZT0iIzIzMUYyMCIgc3Ryb2tlLXdpZHRoPSIxLjAxOTM2IiBzdHJva2UtbWl0ZXJs&#10;aW1pdD0iMTAiIGZpbGw9Im5vbmUiIHRyYW5zZm9ybT0ibWF0cml4KDEgMCAwIDEuMDAwNjMgNS42&#10;NTE5OSAxMi43MDQpIi8+PHBhdGggZD0iTS03LjUxOTg3IDEyMS4wNDggMzM0LjY0NyA0MzcuOTk0&#10;IiBzdHJva2U9IiMyMzFGMjAiIHN0cm9rZS13aWR0aD0iMS4wMTkzNiIgc3Ryb2tlLW1pdGVybGlt&#10;aXQ9IjEwIiBmaWxsPSJub25lIiB0cmFuc2Zvcm09Im1hdHJpeCgxIDAgMCAxLjAwMDYzIDUuNjUx&#10;OTkgMTIuNzA0KSIvPjxwYXRoIGQ9Ik0tMTQuNzQ1MiAxMjEuNjE0IDMyNy40MjMgNDM4LjU2MSIg&#10;c3Ryb2tlPSIjMjMxRjIwIiBzdHJva2Utd2lkdGg9IjEuMDE5MzYiIHN0cm9rZS1taXRlcmxpbWl0&#10;PSIxMCIgZmlsbD0ibm9uZSIgdHJhbnNmb3JtPSJtYXRyaXgoMSAwIDAgMS4wMDA2MyA1LjY1MTk5&#10;IDEyLjcwNCkiLz48cGF0aCBkPSJNLTIxLjk3MDcgMTIyLjE4MSAzMjAuMTk3IDQzOS4xMjgiIHN0&#10;cm9rZT0iIzIzMUYyMCIgc3Ryb2tlLXdpZHRoPSIxLjAxOTM2IiBzdHJva2UtbWl0ZXJsaW1pdD0i&#10;MTAiIGZpbGw9Im5vbmUiIHRyYW5zZm9ybT0ibWF0cml4KDEgMCAwIDEuMDAwNjMgNS42NTE5OSAx&#10;Mi43MDQpIi8+PHBhdGggZD0iTS0yOS4xOTYxIDEyMi43NDggMzEyLjk3MSA0MzkuNjk0IiBzdHJv&#10;a2U9IiMyMzFGMjAiIHN0cm9rZS13aWR0aD0iMS4wMTkzNiIgc3Ryb2tlLW1pdGVybGltaXQ9IjEw&#10;IiBmaWxsPSJub25lIiB0cmFuc2Zvcm09Im1hdHJpeCgxIDAgMCAxLjAwMDYzIDUuNjUxOTkgMTIu&#10;NzA0KSIvPjxwYXRoIGQ9Ik0tMzYuNDIxNSAxMjMuMzE1IDMwNS43NTEgNDQwLjI2MSIgc3Ryb2tl&#10;PSIjMjMxRjIwIiBzdHJva2Utd2lkdGg9IjEuMDE5MzYiIHN0cm9rZS1taXRlcmxpbWl0PSIxMCIg&#10;ZmlsbD0ibm9uZSIgdHJhbnNmb3JtPSJtYXRyaXgoMSAwIDAgMS4wMDA2MyA1LjY1MTk5IDEyLjcw&#10;NCkiLz48cGF0aCBkPSJNLTQzLjY0NjkgMTIzLjg4MSAyOTguNTI2IDQ0MC44MjgiIHN0cm9rZT0i&#10;IzIzMUYyMCIgc3Ryb2tlLXdpZHRoPSIxLjAxOTM2IiBzdHJva2UtbWl0ZXJsaW1pdD0iMTAiIGZp&#10;bGw9Im5vbmUiIHRyYW5zZm9ybT0ibWF0cml4KDEgMCAwIDEuMDAwNjMgNS42NTE5OSAxMi43MDQp&#10;Ii8+PC9nPjwvZz48L2c+PC9nPjxnIGNsaXAtcGF0aD0idXJsKCNjbGlwNjApIj48ZyBjbGlwLXBh&#10;dGg9InVybCgjY2xpcDYxKSI+PGcgY2xpcC1wYXRoPSJ1cmwoI2NsaXA2MikiPjxwYXRoIGQ9Ik0y&#10;ODEuMjczIDEyNS40M0MyODAuNTI3IDEyMS44NDcgMjc4LjY2OCAxMTkuNDE1IDI3NS4wODYgMTIw&#10;LjE2MiAyNzEuNTAzIDEyMC45MDcgMjY4LjE3MyAxMjQuNDE2IDI2OC45MTkgMTI4LjAwNSAyNzAu&#10;MzYxIDEzNC45MDggMjcwLjY0MyAxMzQuODUgMjcyLjA4IDE0MS43NTkgMjczLjUxNyAxNDguNjY4&#10;IDI3OC4zNTggMTQ4Ljc3NCAyNzYuOTU3IDE1NS42ODcgMjcxLjk0MyAxNTIuNDEzIDI2NS45NDIg&#10;MTQ3Ljk0MyAyNjAuNDM3IDE0NS42MzQgMjU0LjkyNiAxNDMuMzIgMjQ4LjQyMiAxNDMuNzk5IDI0&#10;Mi41OTUgMTQyLjQ2NiAyMzYuNzczIDE0MS4xMzMgMjMxLjEwMyAxMzguMjk0IDIyNS4xMzUgMTM3&#10;Ljk1OSAyMTkuMTY1IDEzNy42MjQgMjEzLjA0NSAxMzguMjg5IDIwNy4xMDkgMTM4Ljk1OSAyMDEu&#10;MTcyIDEzOS42MjkgMTk0Ljk1NSAxNDAuMDM1IDE4OS4yMjIgMTQxLjczMyAxODMuNDg5IDE0My40&#10;MyAxNzcuNTQ2IDE0NS40NTYgMTcyLjIxMSAxNDguMTgxIDE2Ni41NjYgMTUxLjA2NCAxNjEuNzg3&#10;IDE1NS43MzQgMTU2Ljg0IDE1OS42MyAxNTEuODk0IDE2My41MjcgMTQ4LjA4IDE2OC43IDE0My45&#10;MjEgMTczLjQ1IDEzOS43NjMgMTc4LjE5NSAxMzUuMzE3IDE4Mi43NDMgMTMyLjA1OSAxODguMTUz&#10;IDEyOC44MDYgMTkzLjU2NCAxMjcuNDE1IDE5OS44MjUgMTI1LjE3MyAyMDUuNzI0IDEyMi45MyAy&#10;MTEuNjI4IDExOS4wNjMgMjE3LjA5NyAxMTcuOTQgMjIzLjMxMSAxMTYuODE2IDIyOS41MjcgMTE3&#10;LjIxNiAyMzUuOTkgMTE3LjMxNCAyNDIuMzI0IDExNy4zNzEgMjQ1Ljk4NiAxMjAuMzg5IDI0OS4x&#10;MyAxMjQuMDQ3IDI0OS4wNzQgMTI0LjE4OSAyNDkuMDcyIDEyNC4xNjcgMjQ2LjgyNCAxMjQuMzA0&#10;IDI0Ni44MTMgMTI3Ljc2NiAyNDYuNTQyIDEzMC4xMyAyNDUuNjQ2IDEzMC4wNzMgMjQyLjEyNiAx&#10;MjkuOTY4IDIzNS41MDcgMTMwLjA2NyAyMjguNjc2IDEzMS40ODEgMjIyLjI1IDEzMi44OTQgMjE1&#10;LjgyMiAxMzQuNjg0IDIwOS4xMDUgMTM3LjQ2MyAyMDMuMTIzIDE0MC4yNDEgMTk3LjE0MiAxNDYu&#10;NDM4IDE5My4xNDcgMTUwLjQxOSAxODcuODg5IDE1NC40IDE4Mi42MzIgMTU3LjEzNiAxNzYuMjM0&#10;IDE2Mi4xNjEgMTcxLjk2OCAxNjcuMTg1IDE2Ny43MDMgMTczLjgxNSAxNjUuODg5IDE3OS43MTEg&#10;MTYyLjg4IDE4NS4yMTggMTYwLjA2OSAxODkuODg5IDE1NC44NyAxOTUuODM4IDE1My4zMTkgMjAx&#10;Ljc4NyAxNTEuNzY4IDIwOC4zNyAxNTIuNzY2IDIxNC41MjUgMTUyLjQ2MiAyMjAuNjc4IDE1Mi4x&#10;NTggMjI2LjYxNSAxNTMuNzc0IDIzMi43MDcgMTU0LjY5MiAyMzguNzk4IDE1NS42MTEgMjQ1LjQ0&#10;OSAxNTQuNDY1IDI1MS4yMjYgMTU2LjU4NSAyNTcuMDAzIDE1OC43MDQgMjYxLjk3NSAxNjIuNTAz&#10;IDI2Ny4xODkgMTY1LjgwMSAyNjAuNDU2IDE2Ny4xMzggMjU0LjIxMiAxNzAuMzM4IDI0Ny43NDUg&#10;MTcyLjcxNyAyNDUuODQ3IDE3MS43NDEgMjQzLjQ3MiAxNzAuNzI1IDI0MS40NjIgMTcxLjgzNCAy&#10;MzguMjU2IDE3My42MDUgMjM3LjM2NyAxNzcuMDY1IDIzOS4xMzcgMTgwLjI2NiAyNDEuMTA5IDE4&#10;My44MzkgMjM4Ljg0MiAxODYuMTA0IDI0Mi40NjMgMTg3Ljk4OSAyNDUuMDgxIDE4OS4zNTMgMjQ1&#10;LjIyMSAxODYuMTg2IDI0Ny45NTIgMTg1LjA2NyAyNTMuOTg2IDE4Mi41OTQgMjYwLjI2MiAxODAu&#10;NzExIDI2Ni41NzkgMTc5LjI3IDI3Mi44OTQgMTc3LjgyOCAyNzkuMzEzIDE3NS44ODIgMjg1Ljgx&#10;OSAxNzUuNSAyODkuNjQ3IDE3NS4yNzEgMjkyLjU1MyAxODAuMDQ1IDI5My40MjYgMTc2LjMwOSAy&#10;OTUuNDA5IDE2Ny44MTggMjkwLjk4MiAxNjcuOTY1IDI4OS4yMDIgMTU5LjQyNiAyODcuNDIyIDE1&#10;MC44ODcgMjg5LjE3NSAxNTAuNDczIDI4Ni44NjQgMTQyLjA2MiAyODQuNTM3IDEzMy42MDIgMjgz&#10;LjA0OCAxMzMuOTc0IDI4MS4yNjggMTI1LjQzNVoiIGZpbGw9InVybCgjZmlsbDYzKSIgdHJhbnNm&#10;b3JtPSJtYXRyaXgoMSAwIDAgMS4wMDA2MyA1LjY1MTk5IDEyLjcwNCkiLz48cGF0aCBkPSJNMjc3&#10;LjgxMSAxMjUuNjRDMjc3LjA2NSAxMjIuMDU2IDI3NC42OTIgMTE5LjUxNyAyNzEuMTEgMTIwLjI2&#10;OSAyNjcuNTI4IDEyMS4wMTUgMjY1LjQ0NyAxMjQuNDgyIDI2Ni4xOTMgMTI4LjA2NSAyNjcuNjM1&#10;IDEzNC45NjggMjY2LjEyNSAxMzUuMjg2IDI2Ny41NjcgMTQyLjE5IDI2OS4wMDggMTQ5LjA5MyAy&#10;NzIuNTk0IDE0OC43MSAyNzEuMTkzIDE1NS42MjIgMjY2LjE4IDE1Mi4zNDggMjYxLjU5MSAxNDku&#10;MjYxIDI1Ni4wODUgMTQ2Ljk1MiAyNTAuNTc1IDE0NC42MzggMjQ0LjkzMSAxNDIuMTkxIDIzOS4x&#10;MDkgMTQwLjg1OCAyMzMuMjg2IDEzOS41MjQgMjI3LjEyNiAxMzkuNDgxIDIyMS4xNjEgMTM5LjE0&#10;MSAyMTUuMTk3IDEzOC44IDIwOS4yMTggMTM5LjQ0OCAyMDMuMjgyIDE0MC4xMTggMTk3LjM0NSAx&#10;NDAuNzg5IDE5MS4zOTIgMTQxLjU2MiAxODUuNjY0IDE0My4yNiAxNzkuOTM2IDE0NC45NTcgMTc0&#10;LjgxNyAxNDguMDg5IDE2OS40ODIgMTUwLjgxNSAxNjMuODM3IDE1My42OTcgMTU4Ljk1OCAxNTcu&#10;NDE5IDE1NC4wMDYgMTYxLjMxIDE0OS4wNTQgMTY1LjIwMiAxNDIuOTU4IDE2Ny45NDYgMTM4Ljc5&#10;OSAxNzIuNjkxIDEzNC42NCAxNzcuNDM2IDEzMS4xMjkgMTgyLjg3NyAxMjcuODc2IDE4OC4yODcg&#10;MTI0LjYyMyAxOTMuNjk3IDEyMy4zMTEgMjAwLjA1IDEyMS4wNjggMjA1Ljk0OSAxMTguODI1IDIx&#10;MS44NDggMTE1LjA4NiAyMTcuMzc3IDExMy45NjMgMjIzLjU5MyAxMTIuODM5IDIyOS44MDggMTEz&#10;LjgyNyAyMzYuMjc2IDExMy45MjUgMjQyLjYxMSAxMTMuOTgyIDI0Ni4yNzMgMTE2LjQ3MyAyNDku&#10;OTMzIDEyMC4xMzYgMjQ5Ljg3NiAxMjAuMjc5IDI0OS44NzUgMTIwLjQ2OSAyNDkuOTQzIDEyMC42&#10;MTEgMjQ5LjkzMiAxMjQuMDcyIDI0OS42NTkgMTI1LjQ4NCAyNDUuOTQ4IDEyNS40MjggMjQyLjQy&#10;OSAxMjUuMzIzIDIzNS44MSAxMjcuODQzIDIyOS4zMzYgMTI5LjI1NyAyMjIuOTEgMTMwLjY3MSAy&#10;MTYuNDgyIDEzMi41NDIgMjEwLjIxOSAxMzUuMzIxIDIwNC4yMzcgMTM4LjA5OSAxOTguMjU2IDE0&#10;MC42MzYgMTkyLjAwNyAxNDQuNjE3IDE4Ni43NTQgMTQ4LjU5OCAxODEuNDk2IDE1My4yMDkgMTc2&#10;LjUxNiAxNTguMjM1IDE3Mi4yNTEgMTYzLjI1IDE2Ny45OTEgMTY5LjEzMiAxNjQuNjc1IDE3NS4w&#10;MjggMTYxLjY2NiAxODAuNTM1IDE1OC44NTYgMTg2LjI2NyAxNTYuMjk5IDE5Mi4yMTYgMTU0Ljc0&#10;OSAxOTguMTY1IDE1My4xOTggMjA0LjQwNSAxNTIuMDMzIDIxMC41NTQgMTUxLjcyNSAyMTYuNzA0&#10;IDE1MS40MjIgMjIzLjA0OCAxNTEuNzE3IDIyOS4xNCAxNTIuNjM1IDIzNS4yMyAxNTMuNTU0IDI0&#10;MC43NjkgMTU2LjgxMiAyNDYuNTUxIDE1OC45MyAyNTIuMzI4IDE2MS4wNSAyNTguNTU5IDE2Mi45&#10;NiAyNjMuNzczIDE2Ni4yNTggMjU3LjA0IDE2Ny41OTUgMjUwLjEwNyAxNjkuNTE0IDI0My42NCAx&#10;NzEuODkzIDI0MS43NDMgMTcwLjkxNyAyMzkuMTM0IDE3MC4yNTggMjM3LjEyNSAxNzEuMzcxIDIz&#10;My45MTkgMTczLjE0MiAyMzIuNDgxIDE3Ny44OTMgMjM0LjI0NiAxODEuMDk5IDIzNi4yMTkgMTg0&#10;LjY3MyAyMzUuMzk0IDE4NS40OTUgMjM5LjAxNCAxODcuMzc5IDI0MS42MzIgMTg4Ljc0NCAyNDEu&#10;MjA5IDE4Ni4yNzYgMjQzLjkzOSAxODUuMTU3IDI0OS45NzQgMTgyLjY4NCAyNTYuMzM5IDE4MS4w&#10;MjQgMjYyLjY1NSAxNzkuNTgyIDI2OC45NyAxNzguMTQgMjc1LjQ5NyAxNzguMDg0IDI4Mi4wMDcg&#10;MTc3LjcwMSAyODUuODM1IDE3Ny40NzIgMjg3Ljc3NSAxODAuMTQ5IDI4OC42NDcgMTc2LjQxMyAy&#10;OTAuNjMgMTY3LjkyMSAyODguNjAyIDE2Ny45NDcgMjg2LjgyMiAxNTkuNDA4IDI4NS4wNDMgMTUw&#10;Ljg2OCAyODMuNzQyIDE1MS4xNzYgMjgxLjU4NiAxNDIuNzIyIDI3OS40MjkgMTM0LjI2OCAyNzku&#10;NTkyIDEzNC4xODQgMjc3LjgxMiAxMjUuNjQ1WiIgc3Ryb2tlPSIjMjMxRjIwIiBzdHJva2Utd2lk&#10;dGg9IjEuMDE5NzIiIHN0cm9rZS1taXRlcmxpbWl0PSIxMCIgZmlsbD0ibm9uZSIgdHJhbnNmb3Jt&#10;PSJtYXRyaXgoMSAwIDAgMS4wMDA2MyA1LjY1MTk5IDEyLjcwNCkiLz48L2c+PC9nPjwvZz48cGF0&#10;aCBkPSJNMzg2LjI0OSAyNjQuMDM4IDM5MC4yMTYgMjY0LjAzOCAzOTAuMjE2IDI3OS45MDggMzg2&#10;LjI0OSAyNzkuOTA4WiIgZmlsbD0iI0U2RUE3RiIgZmlsbC1ydWxlPSJldmVub2RkIiB0cmFuc2Zv&#10;cm09Im1hdHJpeCgxIDAgMCAxLjAwMDYzIDUuNjUxOTkgMTIuNzA0KSIvPjxwYXRoIGQ9Ik0zOTAu&#10;MjE2IDI2NC4wMzggNDE0LjUxNyAyNjQuMDM4IDQxNC41MTcgMjc5LjkwOCAzOTAuMjE2IDI3OS45&#10;MDhaIiBmaWxsPSIjRTZFQTdGIiBmaWxsLXJ1bGU9ImV2ZW5vZGQiIHRyYW5zZm9ybT0ibWF0cml4&#10;KDEgMCAwIDEuMDAwNjMgNS42NTE5OSAxMi43MDQpIi8+PHBhdGggZD0iTTM4My45MzUgMjc5Ljkw&#10;OCA0MDUuNDI1IDI3OS45MDggNDA1LjQyNSAyOTUuNzc4IDM4My45MzUgMjk1Ljc3OFoiIGZpbGw9&#10;IiNFNkVBN0YiIGZpbGwtcnVsZT0iZXZlbm9kZCIgdHJhbnNmb3JtPSJtYXRyaXgoMSAwIDAgMS4w&#10;MDA2MyA1LjY1MTk5IDEyLjcwNCkiLz48cGF0aCBkPSJNNDA4Ljg5NyAzMTkuNTgzIDQzMC4zODcg&#10;MzE5LjU4MyA0MzAuMzg3IDMzNS40NTMgNDA4Ljg5NyAzMzUuNDUzWiIgZmlsbD0iI0U2RUE3RiIg&#10;ZmlsbC1ydWxlPSJldmVub2RkIiB0cmFuc2Zvcm09Im1hdHJpeCgxIDAgMCAxLjAwMDYzIDUuNjUx&#10;OTkgMTIuNzA0KSIvPjxwYXRoIGQ9Ik0zMzcuMzE3IDMzNS40NTMgMzQxLjI4NCAzMzUuNDUzIDM0&#10;MS4yODQgMzUxLjMyMyAzMzcuMzE3IDM1MS4zMjNaIiBmaWxsPSIjRTZFQTdGIiBmaWxsLXJ1bGU9&#10;ImV2ZW5vZGQiIHRyYW5zZm9ybT0ibWF0cml4KDEgMCAwIDEuMDAwNjMgNS42NTE5OSAxMi43MDQp&#10;Ii8+PHBhdGggZD0iTTM0MS4yODQgMzM1LjQ1MyAzNTguODA3IDMzNS40NTMgMzU4LjgwNyAzNTEu&#10;MzIzIDM0MS4yODQgMzUxLjMyM1oiIGZpbGw9IiNFNkVBN0YiIGZpbGwtcnVsZT0iZXZlbm9kZCIg&#10;dHJhbnNmb3JtPSJtYXRyaXgoMSAwIDAgMS4wMDA2MyA1LjY1MTk5IDEyLjcwNCkiLz48cGF0aCBk&#10;PSJNMzI1Ljc0NCAzNTEuMzIzIDM0Ny4yMzYgMzUxLjMyMyAzNDcuMjM2IDM2Ny4xOTMgMzI1Ljc0&#10;NCAzNjcuMTkzWiIgZmlsbD0iI0U2RUE3RiIgZmlsbC1ydWxlPSJldmVub2RkIiB0cmFuc2Zvcm09&#10;Im1hdHJpeCgxIDAgMCAxLjAwMDYzIDUuNjUxOTkgMTIuNzA0KSIvPjxwYXRoIGQ9Ik0zNDYuNDA5&#10;IDM4My4wNjMgMzY3Ljg5OSAzODMuMDYzIDM2Ny44OTkgMzk4LjkzMyAzNDYuNDA5IDM5OC45MzNa&#10;IiBmaWxsPSIjRTZFQTdGIiBmaWxsLXJ1bGU9ImV2ZW5vZGQiIHRyYW5zZm9ybT0ibWF0cml4KDEg&#10;MCAwIDEuMDAwNjMgNS42NTE5OSAxMi43MDQpIi8+PHBhdGggZD0iTTM0NC4yNiA0MTQuODAzIDM2&#10;NS43NSA0MTQuODAzIDM2NS43NSA0MzAuNjczIDM0NC4yNiA0MzAuNjczWiIgZmlsbD0iI0U2RUE3&#10;RiIgZmlsbC1ydWxlPSJldmVub2RkIiB0cmFuc2Zvcm09Im1hdHJpeCgxIDAgMCAxLjAwMDYzIDUu&#10;NjUxOTkgMTIuNzA0KSIvPjxwYXRoIGQ9Ik00MDkuODU2IDU4Mi4yMzIgNDMxLjM0NyA1ODIuMjMy&#10;IDQzMS4zNDcgNTk4LjEwMiA0MDkuODU2IDU5OC4xMDJaIiBmaWxsPSIjRTZFQTdGIiBmaWxsLXJ1&#10;bGU9ImV2ZW5vZGQiIHRyYW5zZm9ybT0ibWF0cml4KDEgMCAwIDEuMDAwNjMgNS42NTE5OSAxMi43&#10;MDQpIi8+PHBhdGggZD0iTTM1NS4zMzYgNjI5Ljg0MiAzNzYuODI2IDYyOS44NDIgMzc2LjgyNiA2&#10;NDUuNzEyIDM1NS4zMzYgNjQ1LjcxMloiIGZpbGw9IiNFNkVBN0YiIGZpbGwtcnVsZT0iZXZlbm9k&#10;ZCIgdHJhbnNmb3JtPSJtYXRyaXgoMSAwIDAgMS4wMDA2MyA1LjY1MTk5IDEyLjcwNCkiLz48dGV4&#10;dCBmaWxsPSIjRkZGRkZGIiBmb250LWZhbWlseT0iQ2FsaWJyaSxDYWxpYnJpX01TRm9udFNlcnZp&#10;Y2UsQXJpYWwiIGZvbnQtd2VpZ2h0PSI3MDAiIGZvbnQtc2l6ZT0iMTciIHRyYW5zZm9ybT0ibWF0&#10;cml4KDAuNzkzNTAyIDAgMCAwLjc5NCAyNTcuMTcxIDIyNikiPkVzdGFibGlzaG1lbnQgb2Ygc2l0&#10;ZXM8L3RleHQ+PGcgY2xpcC1wYXRoPSJ1cmwoI2NsaXA2NCkiPjxnIGNsaXAtcGF0aD0idXJsKCNj&#10;bGlwNjUpIj48ZyBjbGlwLXBhdGg9InVybCgjY2xpcDY2KSIgdHJhbnNmb3JtPSJtYXRyaXgoMC42&#10;NjEyNTIgMCAwIDAuNjI2ODQyIDI1Ny4xNzEgMjMwLjA2MSkiPjxnIGNsaXAtcGF0aD0idXJsKCNj&#10;bGlwNjcpIj48dXNlIHdpZHRoPSIxMDAlIiBoZWlnaHQ9IjEwMCUiIHhsaW5rOmhyZWY9IiNpbWcz&#10;NCIgdHJhbnNmb3JtPSJ0cmFuc2xhdGUoLTMuMTQ5NDdlLTA1IDcuNDEyMjFlLTA2KSI+PC91c2U+&#10;PC9nPjwvZz48L2c+PC9nPjx0ZXh0IGZpbGw9IiNGRkZGRkYiIGZvbnQtZmFtaWx5PSJDYWxpYnJp&#10;LENhbGlicmlfTVNGb250U2VydmljZSxBcmlhbCIgZm9udC13ZWlnaHQ9IjQwMCIgZm9udC1zaXpl&#10;PSIxNyIgdHJhbnNmb3JtPSJtYXRyaXgoMC43OTM1MDIgMCAwIDAuNzk0IDI3NS4wMjUgMjQyKSI+&#10;UGxhbm5pbmcgd29ya3Nob3BzIGNvbnRpbnVlZDwvdGV4dD48dGV4dCBmaWxsPSIjRkZGRkZGIiBm&#10;b250LWZhbWlseT0iQ2FsaWJyaSxDYWxpYnJpX01TRm9udFNlcnZpY2UsQXJpYWwiIGZvbnQtd2Vp&#10;Z2h0PSI3MDAiIGZvbnQtc2l6ZT0iMTciIHRyYW5zZm9ybT0ibWF0cml4KDAuNzkzNTAyIDAgMCAw&#10;Ljc5NCAyNTcuMTcxIDI3NCkiPllhcm5pbmcgd29ya3Nob3BzPC90ZXh0PjxnIGNsaXAtcGF0aD0i&#10;dXJsKCNjbGlwNjgpIj48ZyBjbGlwLXBhdGg9InVybCgjY2xpcDY5KSI+PGcgY2xpcC1wYXRoPSJ1&#10;cmwoI2NsaXA3MCkiIHRyYW5zZm9ybT0ibWF0cml4KDAuNjYxMjUyIDAgMCAwLjYyNjg0MiAyNTcu&#10;MTcxIDI3Ny43MDIpIj48ZyBjbGlwLXBhdGg9InVybCgjY2xpcDcxKSI+PHVzZSB3aWR0aD0iMTAw&#10;JSIgaGVpZ2h0PSIxMDAlIiB4bGluazpocmVmPSIjaW1nMzQiIHRyYW5zZm9ybT0idHJhbnNsYXRl&#10;KC0zLjE0OTQ3ZS0wNSAyLjY0MTNlLTA1KSI+PC91c2U+PC9nPjwvZz48L2c+PC9nPjx0ZXh0IGZp&#10;bGw9IiNGRkZGRkYiIGZvbnQtZmFtaWx5PSJDYWxpYnJpLENhbGlicmlfTVNGb250U2VydmljZSxB&#10;cmlhbCIgZm9udC13ZWlnaHQ9IjQwMCIgZm9udC1zaXplPSIxNyIgdHJhbnNmb3JtPSJtYXRyaXgo&#10;MC43OTM1MDIgMCAwIDAuNzk0IDI3NS4wMjUgMjkwKSI+MTggPC90ZXh0Pjx0ZXh0IGZpbGw9IiNG&#10;RkZGRkYiIGZvbnQtZmFtaWx5PSJDYWxpYnJpLENhbGlicmlfTVNGb250U2VydmljZSxBcmlhbCIg&#10;Zm9udC13ZWlnaHQ9IjQwMCIgZm9udC1zaXplPSIxNyIgdHJhbnNmb3JtPSJtYXRyaXgoMC43OTM1&#10;MDIgMCAwIDAuNzk0IDI5Mi40ODIgMjkwKSI+Q29tbXVuaXR5IHlhcm5zIDwvdGV4dD48dGV4dCBm&#10;b250LWZhbWlseT0iQ2FsaWJyaSxDYWxpYnJpX01TRm9udFNlcnZpY2UsQXJpYWwiIGZvbnQtd2Vp&#10;Z2h0PSI0MDAiIGZvbnQtc2l6ZT0iMTciIHRyYW5zZm9ybT0ibWF0cml4KDAuNzkzNTAyIDAgMCAw&#10;Ljc5NCAzOTEuOTAxIDI5MCkiPig8L3RleHQ+PHRleHQgZm9udC1mYW1pbHk9IkNhbGlicmksQ2Fs&#10;aWJyaV9NU0ZvbnRTZXJ2aWNlLEFyaWFsIiBmb250LXdlaWdodD0iNDAwIiBmb250LXNpemU9IjE3&#10;IiB0cmFuc2Zvcm09Im1hdHJpeCgwLjc5MzUwMiAwIDAgMC43OTQgMzk1Ljg2OCAyOTApIj4xODk8&#10;L3RleHQ+PHRleHQgZm9udC1mYW1pbHk9IkNhbGlicmksQ2FsaWJyaV9NU0ZvbnRTZXJ2aWNlLEFy&#10;aWFsIiBmb250LXdlaWdodD0iNDAwIiBmb250LXNpemU9IjE3IiB0cmFuc2Zvcm09Im1hdHJpeCgw&#10;Ljc5MzUwMiAwIDAgMC43OTQgNDE3LjI5MyAyOTApIj4pPC90ZXh0PjxnIGNsaXAtcGF0aD0idXJs&#10;KCNjbGlwNzIpIj48ZyBjbGlwLXBhdGg9InVybCgjY2xpcDczKSI+PGcgY2xpcC1wYXRoPSJ1cmwo&#10;I2NsaXA3NCkiIHRyYW5zZm9ybT0ibWF0cml4KDAuNjYxMjUyIDAgMCAwLjYyNjg0MiAyNTcuMTcx&#10;IDI5My41ODIpIj48ZyBjbGlwLXBhdGg9InVybCgjY2xpcDc1KSI+PHVzZSB3aWR0aD0iMTAwJSIg&#10;aGVpZ2h0PSIxMDAlIiB4bGluazpocmVmPSIjaW1nMzQiIHRyYW5zZm9ybT0idHJhbnNsYXRlKC0z&#10;LjE0OTQ3ZS0wNSAxLjI0MDE1ZS0wNSkiPjwvdXNlPjwvZz48L2c+PC9nPjwvZz48dGV4dCBmaWxs&#10;PSIjRkZGRkZGIiBmb250LWZhbWlseT0iQ2FsaWJyaSxDYWxpYnJpX01TRm9udFNlcnZpY2UsQXJp&#10;YWwiIGZvbnQtd2VpZ2h0PSI0MDAiIGZvbnQtc2l6ZT0iMTciIHRyYW5zZm9ybT0ibWF0cml4KDAu&#10;NzkzNTAyIDAgMCAwLjc5NCAyNzUuMDI1IDMwNikiPkhlYWx0aCB3b3JrZXIgPC90ZXh0Pjx0ZXh0&#10;IGZpbGw9IiNGRkZGRkYiIGZvbnQtZmFtaWx5PSJDYWxpYnJpLENhbGlicmlfTVNGb250U2Vydmlj&#10;ZSxBcmlhbCIgZm9udC13ZWlnaHQ9IjQwMCIgZm9udC1zaXplPSIxNyIgdHJhbnNmb3JtPSJtYXRy&#10;aXgoMC43OTM1MDIgMCAwIDAuNzk0IDM1NC43MDYgMzA2KSI+eWFybnMgIDwvdGV4dD48dGV4dCBm&#10;b250LWZhbWlseT0iQ2FsaWJyaSxDYWxpYnJpX01TRm9udFNlcnZpY2UsQXJpYWwiIGZvbnQtd2Vp&#10;Z2h0PSI0MDAiIGZvbnQtc2l6ZT0iMTciIHRyYW5zZm9ybT0ibWF0cml4KDAuNzkzNTAyIDAgMCAw&#10;Ljc5NCAzODkuNTg3IDMwNikiPig8L3RleHQ+PHRleHQgZm9udC1mYW1pbHk9IkNhbGlicmksQ2Fs&#10;aWJyaV9NU0ZvbnRTZXJ2aWNlLEFyaWFsIiBmb250LXdlaWdodD0iNDAwIiBmb250LXNpemU9IjE3&#10;IiB0cmFuc2Zvcm09Im1hdHJpeCgwLjc5MzUwMiAwIDAgMC43OTQgMzkzLjU1NSAzMDYpIj4zNzwv&#10;dGV4dD48dGV4dCBmb250LWZhbWlseT0iQ2FsaWJyaSxDYWxpYnJpX01TRm9udFNlcnZpY2UsQXJp&#10;YWwiIGZvbnQtd2VpZ2h0PSI0MDAiIGZvbnQtc2l6ZT0iMTciIHRyYW5zZm9ybT0ibWF0cml4KDAu&#10;NzkzNTAyIDAgMCAwLjc5NCA0MDcuODM4IDMwNikiPik8L3RleHQ+PHRleHQgZmlsbD0iI0ZGRkZG&#10;RiIgZm9udC1mYW1pbHk9IkNhbGlicmksQ2FsaWJyaV9NU0ZvbnRTZXJ2aWNlLEFyaWFsIiBmb250&#10;LXdlaWdodD0iNzAwIiBmb250LXNpemU9IjE3IiB0cmFuc2Zvcm09Im1hdHJpeCgwLjc5MzUwMiAw&#10;IDAgMC43OTQgMjU3LjE3MSAzMzApIj5TZW1pPC90ZXh0Pjx0ZXh0IGZpbGw9IiNGRkZGRkYiIGZv&#10;bnQtZmFtaWx5PSJDYWxpYnJpLENhbGlicmlfTVNGb250U2VydmljZSxBcmlhbCIgZm9udC13ZWln&#10;aHQ9IjcwMCIgZm9udC1zaXplPSIxNyIgdHJhbnNmb3JtPSJtYXRyaXgoMC43OTM1MDIgMCAwIDAu&#10;Nzk0IDI4NC4xMTcgMzMwKSI+LTwvdGV4dD48dGV4dCBmaWxsPSIjRkZGRkZGIiBmb250LWZhbWls&#10;eT0iQ2FsaWJyaSxDYWxpYnJpX01TRm9udFNlcnZpY2UsQXJpYWwiIGZvbnQtd2VpZ2h0PSI3MDAi&#10;IGZvbnQtc2l6ZT0iMTciIHRyYW5zZm9ybT0ibWF0cml4KDAuNzkzNTAyIDAgMCAwLjc5NCAyODgu&#10;MDg1IDMzMCkiPnN0cnVjdHVyZWQgaW50ZXJ2aWV3czwvdGV4dD48ZyBjbGlwLXBhdGg9InVybCgj&#10;Y2xpcDc2KSI+PGcgY2xpcC1wYXRoPSJ1cmwoI2NsaXA3NykiPjxnIGNsaXAtcGF0aD0idXJsKCNj&#10;bGlwNzgpIiB0cmFuc2Zvcm09Im1hdHJpeCgwLjY2MTI1MiAwIDAgMC42MjY4NDIgMjU3LjE3MSAz&#10;MzMuMjgxKSI+PGcgY2xpcC1wYXRoPSJ1cmwoI2NsaXA3OSkiPjx1c2Ugd2lkdGg9IjEwMCUiIGhl&#10;aWdodD0iMTAwJSIgeGxpbms6aHJlZj0iI2ltZzM0IiB0cmFuc2Zvcm09InRyYW5zbGF0ZSgtMy4x&#10;NDk0N2UtMDUgMy41NDk5OGUtMDUpIj48L3VzZT48L2c+PC9nPjwvZz48L2c+PHRleHQgZmlsbD0i&#10;I0ZGRkZGRiIgZm9udC1mYW1pbHk9IkNhbGlicmksQ2FsaWJyaV9NU0ZvbnRTZXJ2aWNlLEFyaWFs&#10;IiBmb250LXdlaWdodD0iNDAwIiBmb250LXNpemU9IjE3IiB0cmFuc2Zvcm09Im1hdHJpeCgwLjc5&#10;MzUwMiAwIDAgMC43OTQgMjc1LjAyNSAzNDUpIj5JbmRpdmlkdWFsIGhlYWx0aCA8L3RleHQ+PHRl&#10;eHQgZmlsbD0iI0ZGRkZGRiIgZm9udC1mYW1pbHk9IkNhbGlicmksQ2FsaWJyaV9NU0ZvbnRTZXJ2&#10;aWNlLEFyaWFsIiBmb250LXdlaWdodD0iNDAwIiBmb250LXNpemU9IjE3IiB0cmFuc2Zvcm09Im1h&#10;dHJpeCgwLjc5MzUwMiAwIDAgMC43OTQgMzY3LjQzNSAzNDUpIj5qb3VybmV5ICA8L3RleHQ+PHRl&#10;eHQgZm9udC1mYW1pbHk9IkNhbGlicmksQ2FsaWJyaV9NU0ZvbnRTZXJ2aWNlLEFyaWFsIiBmb250&#10;LXdlaWdodD0iNDAwIiBmb250LXNpemU9IjE3IiB0cmFuc2Zvcm09Im1hdHJpeCgwLjc5MzUwMiAw&#10;IDAgMC43OTQgNDE0LjU0OSAzNDUpIj4oPC90ZXh0Pjx0ZXh0IGZvbnQtZmFtaWx5PSJDYWxpYnJp&#10;LENhbGlicmlfTVNGb250U2VydmljZSxBcmlhbCIgZm9udC13ZWlnaHQ9IjQwMCIgZm9udC1zaXpl&#10;PSIxNyIgdHJhbnNmb3JtPSJtYXRyaXgoMC43OTM1MDIgMCAwIDAuNzk0IDQxOC41MTcgMzQ1KSI+&#10;MTA8L3RleHQ+PHRleHQgZm9udC1mYW1pbHk9IkNhbGlicmksQ2FsaWJyaV9NU0ZvbnRTZXJ2aWNl&#10;LEFyaWFsIiBmb250LXdlaWdodD0iNDAwIiBmb250LXNpemU9IjE3IiB0cmFuc2Zvcm09Im1hdHJp&#10;eCgwLjc5MzUwMiAwIDAgMC43OTQgNDMyLjggMzQ1KSI+KTwvdGV4dD48ZyBjbGlwLXBhdGg9InVy&#10;bCgjY2xpcDgwKSI+PGcgY2xpcC1wYXRoPSJ1cmwoI2NsaXA4MSkiPjxnIGNsaXAtcGF0aD0idXJs&#10;KCNjbGlwODIpIiB0cmFuc2Zvcm09Im1hdHJpeCgwLjY2MTI1MiAwIDAgMC42MjY4NDIgMjU3LjE3&#10;MSAzNDkuMTYxKSI+PGcgY2xpcC1wYXRoPSJ1cmwoI2NsaXA4MykiPjx1c2Ugd2lkdGg9IjEwMCUi&#10;IGhlaWdodD0iMTAwJSIgeGxpbms6aHJlZj0iI2ltZzM0IiB0cmFuc2Zvcm09InRyYW5zbGF0ZSgt&#10;My4xNDk0N2UtMDUgLTkuMDI5MjNlLTA2KSI+PC91c2U+PC9nPjwvZz48L2c+PC9nPjx0ZXh0IGZp&#10;bGw9IiNGRkZGRkYiIGZvbnQtZmFtaWx5PSJDYWxpYnJpLENhbGlicmlfTVNGb250U2VydmljZSxB&#10;cmlhbCIgZm9udC13ZWlnaHQ9IjQwMCIgZm9udC1zaXplPSIxNyIgdHJhbnNmb3JtPSJtYXRyaXgo&#10;MC43OTM1MDIgMCAwIDAuNzk0IDI3NS4wMjUgMzYxKSI+QUNDSHMgc3RhZmYgPC90ZXh0Pjx0ZXh0&#10;IGZvbnQtZmFtaWx5PSJDYWxpYnJpLENhbGlicmlfTVNGb250U2VydmljZSxBcmlhbCIgZm9udC13&#10;ZWlnaHQ9IjQwMCIgZm9udC1zaXplPSIxNyIgdHJhbnNmb3JtPSJtYXRyaXgoMC43OTM1MDIgMCAw&#10;IDAuNzk0IDM0Mi45NjkgMzYxKSI+KDwvdGV4dD48dGV4dCBmb250LWZhbWlseT0iQ2FsaWJyaSxD&#10;YWxpYnJpX01TRm9udFNlcnZpY2UsQXJpYWwiIGZvbnQtd2VpZ2h0PSI0MDAiIGZvbnQtc2l6ZT0i&#10;MTciIHRyYW5zZm9ybT0ibWF0cml4KDAuNzkzNTAyIDAgMCAwLjc5NCAzNDYuOTM2IDM2MSkiPjI4&#10;PC90ZXh0Pjx0ZXh0IGZvbnQtZmFtaWx5PSJDYWxpYnJpLENhbGlicmlfTVNGb250U2VydmljZSxB&#10;cmlhbCIgZm9udC13ZWlnaHQ9IjQwMCIgZm9udC1zaXplPSIxNyIgdHJhbnNmb3JtPSJtYXRyaXgo&#10;MC43OTM1MDIgMCAwIDAuNzk0IDM2MS4yMTkgMzYxKSI+KTwvdGV4dD48ZyBjbGlwLXBhdGg9InVy&#10;bCgjY2xpcDg0KSI+PGcgY2xpcC1wYXRoPSJ1cmwoI2NsaXA4NSkiPjxnIGNsaXAtcGF0aD0idXJs&#10;KCNjbGlwODYpIiB0cmFuc2Zvcm09Im1hdHJpeCgwLjY2MTI1MiAwIDAgMC42MjY4NDIgMjU3LjE3&#10;MSAzNjUuMDQyKSI+PGcgY2xpcC1wYXRoPSJ1cmwoI2NsaXA4NykiPjx1c2Ugd2lkdGg9IjEwMCUi&#10;IGhlaWdodD0iMTAwJSIgeGxpbms6aHJlZj0iI2ltZzM0IiB0cmFuc2Zvcm09InRyYW5zbGF0ZSgt&#10;My4xNDk0N2UtMDUgNy40NzY4OWUtMDYpIj48L3VzZT48L2c+PC9nPjwvZz48L2c+PHRleHQgZmls&#10;bD0iI0ZGRkZGRiIgZm9udC1mYW1pbHk9IkNhbGlicmksQ2FsaWJyaV9NU0ZvbnRTZXJ2aWNlLEFy&#10;aWFsIiBmb250LXdlaWdodD0iNDAwIiBmb250LXNpemU9IjE3IiB0cmFuc2Zvcm09Im1hdHJpeCgw&#10;Ljc5MzUwMiAwIDAgMC43OTQgMjc1LjAyNSAzNzcpIj5QSE4gPC90ZXh0Pjx0ZXh0IGZpbGw9IiNG&#10;RkZGRkYiIGZvbnQtZmFtaWx5PSJDYWxpYnJpLENhbGlicmlfTVNGb250U2VydmljZSxBcmlhbCIg&#10;Zm9udC13ZWlnaHQ9IjQwMCIgZm9udC1zaXplPSIxNyIgdHJhbnNmb3JtPSJtYXRyaXgoMC43OTM1&#10;MDIgMCAwIDAuNzk0IDMwMS42NCAzNzcpIj5zdGFmZiAgPC90ZXh0Pjx0ZXh0IGZvbnQtZmFtaWx5&#10;PSJDYWxpYnJpLENhbGlicmlfTVNGb250U2VydmljZSxBcmlhbCIgZm9udC13ZWlnaHQ9IjQwMCIg&#10;Zm9udC1zaXplPSIxNyIgdHJhbnNmb3JtPSJtYXRyaXgoMC43OTM1MDIgMCAwIDAuNzk0IDMzMS4z&#10;OTYgMzc3KSI+KDwvdGV4dD48dGV4dCBmb250LWZhbWlseT0iQ2FsaWJyaSxDYWxpYnJpX01TRm9u&#10;dFNlcnZpY2UsQXJpYWwiIGZvbnQtd2VpZ2h0PSI0MDAiIGZvbnQtc2l6ZT0iMTciIHRyYW5zZm9y&#10;bT0ibWF0cml4KDAuNzkzNTAyIDAgMCAwLjc5NCAzMzUuMzY0IDM3NykiPjI0PC90ZXh0Pjx0ZXh0&#10;IGZvbnQtZmFtaWx5PSJDYWxpYnJpLENhbGlicmlfTVNGb250U2VydmljZSxBcmlhbCIgZm9udC13&#10;ZWlnaHQ9IjQwMCIgZm9udC1zaXplPSIxNyIgdHJhbnNmb3JtPSJtYXRyaXgoMC43OTM1MDIgMCAw&#10;IDAuNzk0IDM0OS42NDcgMzc3KSI+KTwvdGV4dD48ZyBjbGlwLXBhdGg9InVybCgjY2xpcDg4KSI+&#10;PGcgY2xpcC1wYXRoPSJ1cmwoI2NsaXA4OSkiPjxnIGNsaXAtcGF0aD0idXJsKCNjbGlwOTApIiB0&#10;cmFuc2Zvcm09Im1hdHJpeCgwLjY2MTI1MiAwIDAgMC42MjY4NDIgMjU3LjE3MSAzODAuOTIyKSI+&#10;PGcgY2xpcC1wYXRoPSJ1cmwoI2NsaXA5MSkiPjx1c2Ugd2lkdGg9IjEwMCUiIGhlaWdodD0iMTAw&#10;JSIgeGxpbms6aHJlZj0iI2ltZzM0IiB0cmFuc2Zvcm09InRyYW5zbGF0ZSgtMy4xNDk0N2UtMDUg&#10;Mi4zOTgzZS0wNSkiPjwvdXNlPjwvZz48L2c+PC9nPjwvZz48dGV4dCBmaWxsPSIjRkZGRkZGIiBm&#10;b250LWZhbWlseT0iQ2FsaWJyaSxDYWxpYnJpX01TRm9udFNlcnZpY2UsQXJpYWwiIGZvbnQtd2Vp&#10;Z2h0PSI0MDAiIGZvbnQtc2l6ZT0iMTciIHRyYW5zZm9ybT0ibWF0cml4KDAuNzkzNTAyIDAgMCAw&#10;Ljc5NCAyNzUuMDI1IDM5MykiPk5hdGlvbmFsPC90ZXh0Pjx0ZXh0IGZpbGw9IiNGRkZGRkYiIGZv&#10;bnQtZmFtaWx5PSJDYWxpYnJpLENhbGlicmlfTVNGb250U2VydmljZSxBcmlhbCIgZm9udC13ZWln&#10;aHQ9IjQwMCIgZm9udC1zaXplPSIxNyIgdHJhbnNmb3JtPSJtYXRyaXgoMC43OTM1MDIgMCAwIDAu&#10;Nzk0IDMyMS4wNDggMzkzKSI+LCA8L3RleHQ+PHRleHQgZmlsbD0iI0ZGRkZGRiIgZm9udC1mYW1p&#10;bHk9IkNhbGlicmksQ2FsaWJyaV9NU0ZvbnRTZXJ2aWNlLEFyaWFsIiBmb250LXdlaWdodD0iNDAw&#10;IiBmb250LXNpemU9IjE3IiB0cmFuc2Zvcm09Im1hdHJpeCgwLjc5MzUwMiAwIDAgMC43OTQgMzI3&#10;LjM5NiAzOTMpIj5zdGF0ZSBhbmQgdGVycml0b3J5IDwvdGV4dD48dGV4dCBmaWxsPSIjRkZGRkZG&#10;IiBmb250LWZhbWlseT0iQ2FsaWJyaSxDYWxpYnJpX01TRm9udFNlcnZpY2UsQXJpYWwiIGZvbnQt&#10;d2VpZ2h0PSI0MDAiIGZvbnQtc2l6ZT0iMTciIHRyYW5zZm9ybT0ibWF0cml4KDAuNzkzNTAyIDAg&#10;MCAwLjc5NCAyNzUuMDI1IDQwOSkiPmdvdmVybm1lbnRzPC90ZXh0Pjx0ZXh0IGZvbnQtZmFtaWx5&#10;PSJDYWxpYnJpLENhbGlicmlfTVNGb250U2VydmljZSxBcmlhbCIgZm9udC13ZWlnaHQ9IjQwMCIg&#10;Zm9udC1zaXplPSIxNyIgdHJhbnNmb3JtPSJtYXRyaXgoMC43OTM1MDIgMCAwIDAuNzk0IDM1Mi4w&#10;NjEgNDA5KSI+KDwvdGV4dD48dGV4dCBmb250LWZhbWlseT0iQ2FsaWJyaSxDYWxpYnJpX01TRm9u&#10;dFNlcnZpY2UsQXJpYWwiIGZvbnQtd2VpZ2h0PSI0MDAiIGZvbnQtc2l6ZT0iMTciIHRyYW5zZm9y&#10;bT0ibWF0cml4KDAuNzkzNTAyIDAgMCAwLjc5NCAzNTYuMDI4IDQwOSkiPjUyPC90ZXh0Pjx0ZXh0&#10;IGZvbnQtZmFtaWx5PSJDYWxpYnJpLENhbGlicmlfTVNGb250U2VydmljZSxBcmlhbCIgZm9udC13&#10;ZWlnaHQ9IjQwMCIgZm9udC1zaXplPSIxNyIgdHJhbnNmb3JtPSJtYXRyaXgoMC43OTM1MDIgMCAw&#10;IDAuNzk0IDM3MC4zMTEgNDA5KSI+KTwvdGV4dD48ZyBjbGlwLXBhdGg9InVybCgjY2xpcDkyKSI+&#10;PGcgY2xpcC1wYXRoPSJ1cmwoI2NsaXA5MykiPjxnIGNsaXAtcGF0aD0idXJsKCNjbGlwOTQpIiB0&#10;cmFuc2Zvcm09Im1hdHJpeCgwLjY2MTI1MiAwIDAgMC42MjY4NDIgMjU3LjE3MSA0MTIuNjgxKSI+&#10;PGcgY2xpcC1wYXRoPSJ1cmwoI2NsaXA5NSkiPjx1c2Ugd2lkdGg9IjEwMCUiIGhlaWdodD0iMTAw&#10;JSIgeGxpbms6aHJlZj0iI2ltZzM0IiB0cmFuc2Zvcm09InRyYW5zbGF0ZSgtMy4xNDk0N2UtMDUg&#10;OC4zMTA2NGUtMDYpIj48L3VzZT48L2c+PC9nPjwvZz48L2c+PHRleHQgZmlsbD0iI0ZGRkZGRiIg&#10;Zm9udC1mYW1pbHk9IkNhbGlicmksQ2FsaWJyaV9NU0ZvbnRTZXJ2aWNlLEFyaWFsIiBmb250LXdl&#10;aWdodD0iNDAwIiBmb250LXNpemU9IjE3IiB0cmFuc2Zvcm09Im1hdHJpeCgwLjc5MzUwMiAwIDAg&#10;MC43OTQgMjc1LjAyNSA0MjUpIj5OYXRpb25hbDwvdGV4dD48dGV4dCBmaWxsPSIjRkZGRkZGIiBm&#10;b250LWZhbWlseT0iQ2FsaWJyaSxDYWxpYnJpX01TRm9udFNlcnZpY2UsQXJpYWwiIGZvbnQtd2Vp&#10;Z2h0PSI0MDAiIGZvbnQtc2l6ZT0iMTciIHRyYW5zZm9ybT0ibWF0cml4KDAuNzkzNTAyIDAgMCAw&#10;Ljc5NCAzMjEuMDQ4IDQyNSkiPiwgPC90ZXh0Pjx0ZXh0IGZpbGw9IiNGRkZGRkYiIGZvbnQtZmFt&#10;aWx5PSJDYWxpYnJpLENhbGlicmlfTVNGb250U2VydmljZSxBcmlhbCIgZm9udC13ZWlnaHQ9IjQw&#10;MCIgZm9udC1zaXplPSIxNyIgdHJhbnNmb3JtPSJtYXRyaXgoMC43OTM1MDIgMCAwIDAuNzk0IDMy&#10;Ny4zOTYgNDI1KSI+c3RhdGUgYW5kIHRlcnJpdG9yeSBwZWFrIDwvdGV4dD48dGV4dCBmaWxsPSIj&#10;RkZGRkZGIiBmb250LWZhbWlseT0iQ2FsaWJyaSxDYWxpYnJpX01TRm9udFNlcnZpY2UsQXJpYWwi&#10;IGZvbnQtd2VpZ2h0PSI0MDAiIGZvbnQtc2l6ZT0iMTciIHRyYW5zZm9ybT0ibWF0cml4KDAuNzkz&#10;NTAyIDAgMCAwLjc5NCAyNzUuMDI1IDQ0MSkiPm9yZ2FuaXNhdGlvbnMgPC90ZXh0Pjx0ZXh0IGZv&#10;bnQtZmFtaWx5PSJDYWxpYnJpLENhbGlicmlfTVNGb250U2VydmljZSxBcmlhbCIgZm9udC13ZWln&#10;aHQ9IjQwMCIgZm9udC1zaXplPSIxNyIgdHJhbnNmb3JtPSJtYXRyaXgoMC43OTM1MDIgMCAwIDAu&#10;Nzk0IDM0OS45MTIgNDQxKSI+KDwvdGV4dD48dGV4dCBmb250LWZhbWlseT0iQ2FsaWJyaSxDYWxp&#10;YnJpX01TRm9udFNlcnZpY2UsQXJpYWwiIGZvbnQtd2VpZ2h0PSI0MDAiIGZvbnQtc2l6ZT0iMTci&#10;IHRyYW5zZm9ybT0ibWF0cml4KDAuNzkzNTAyIDAgMCAwLjc5NCAzNTMuODc5IDQ0MSkiPjEyPC90&#10;ZXh0Pjx0ZXh0IGZvbnQtZmFtaWx5PSJDYWxpYnJpLENhbGlicmlfTVNGb250U2VydmljZSxBcmlh&#10;bCIgZm9udC13ZWlnaHQ9IjQwMCIgZm9udC1zaXplPSIxNyIgdHJhbnNmb3JtPSJtYXRyaXgoMC43&#10;OTM1MDIgMCAwIDAuNzk0IDM2OC4xNjMgNDQxKSI+KTwvdGV4dD48dGV4dCBmaWxsPSIjRkZGRkZG&#10;IiBmb250LWZhbWlseT0iQ2FsaWJyaSxDYWxpYnJpX01TRm9udFNlcnZpY2UsQXJpYWwiIGZvbnQt&#10;d2VpZ2h0PSI3MDAiIGZvbnQtc2l6ZT0iMTciIHRyYW5zZm9ybT0ibWF0cml4KDAuNzkzNTAyIDAg&#10;MCAwLjc5NCAyNTcuMTcxIDQ2NCkiPlF1YW50aXRhdGl2ZTwvdGV4dD48dGV4dCBmaWxsPSIjRkZG&#10;RkZGIiBmb250LWZhbWlseT0iQ2FsaWJyaSxDYWxpYnJpX01TRm9udFNlcnZpY2UsQXJpYWwiIGZv&#10;bnQtd2VpZ2h0PSI3MDAiIGZvbnQtc2l6ZT0iMTciIHRyYW5zZm9ybT0ibWF0cml4KDAuNzkzNTAy&#10;IDAgMCAwLjc5NCAzMjkuNzQzIDQ2NCkiPmRhdGE8L3RleHQ+PGcgY2xpcC1wYXRoPSJ1cmwoI2Ns&#10;aXA5NikiPjxnIGNsaXAtcGF0aD0idXJsKCNjbGlwOTcpIj48ZyBjbGlwLXBhdGg9InVybCgjY2xp&#10;cDk4KSIgdHJhbnNmb3JtPSJtYXRyaXgoMC42NjEyNTIgMCAwIDAuNjI2ODQyIDI1Ny4xNzEgNDY4&#10;LjI2MikiPjxnIGNsaXAtcGF0aD0idXJsKCNjbGlwOTkpIj48dXNlIHdpZHRoPSIxMDAlIiBoZWln&#10;aHQ9IjEwMCUiIHhsaW5rOmhyZWY9IiNpbWczNCIgdHJhbnNmb3JtPSJ0cmFuc2xhdGUoLTMuMTQ5&#10;NDdlLTA1IDMuNTU2NDVlLTA1KSI+PC91c2U+PC9nPjwvZz48L2c+PC9nPjx0ZXh0IGZpbGw9IiNG&#10;RkZGRkYiIGZvbnQtZmFtaWx5PSJDYWxpYnJpLENhbGlicmlfTVNGb250U2VydmljZSxBcmlhbCIg&#10;Zm9udC13ZWlnaHQ9IjQwMCIgZm9udC1zaXplPSIxNyIgdHJhbnNmb3JtPSJtYXRyaXgoMC43OTM1&#10;MDIgMCAwIDAuNzk0IDI3Ni4xNDkgNDgwKSI+REZBIHJlcG9ydCBzdWJtaXR0ZWQ8L3RleHQ+PGcg&#10;Y2xpcC1wYXRoPSJ1cmwoI2NsaXAxMDApIj48ZyBjbGlwLXBhdGg9InVybCgjY2xpcDEwMSkiPjxn&#10;IGNsaXAtcGF0aD0idXJsKCNjbGlwMTAyKSIgdHJhbnNmb3JtPSJtYXRyaXgoMC42NjEyNTIgMCAw&#10;IDAuNjI2ODQyIDI1Ny4xNzEgNDg0LjE0MikiPjxnIGNsaXAtcGF0aD0idXJsKCNjbGlwMTAzKSI+&#10;PHVzZSB3aWR0aD0iMTAwJSIgaGVpZ2h0PSIxMDAlIiB4bGluazpocmVmPSIjaW1nMzQiIHRyYW5z&#10;Zm9ybT0idHJhbnNsYXRlKC0zLjE0OTQ3ZS0wNSAtOC45NjQ1NWUtMDYpIj48L3VzZT48L2c+PC9n&#10;PjwvZz48L2c+PHRleHQgZmlsbD0iI0ZGRkZGRiIgZm9udC1mYW1pbHk9IkNhbGlicmksQ2FsaWJy&#10;aV9NU0ZvbnRTZXJ2aWNlLEFyaWFsIiBmb250LXdlaWdodD0iNDAwIiBmb250LXNpemU9IjE3IiB0&#10;cmFuc2Zvcm09Im1hdHJpeCgwLjc5MzUwMiAwIDAgMC43OTQgMjc2LjE0OSA0OTYpIj5EU0VBIHBy&#10;b3RvY29sIHN1Ym1pdHRlZDwvdGV4dD48ZyBjbGlwLXBhdGg9InVybCgjY2xpcDEwNCkiPjxnIGNs&#10;aXAtcGF0aD0idXJsKCNjbGlwMTA1KSI+PGcgY2xpcC1wYXRoPSJ1cmwoI2NsaXAxMDYpIiB0cmFu&#10;c2Zvcm09Im1hdHJpeCgwLjY2MTI1MiAwIDAgMC42MjY4NDIgMjU3LjE3MSA1MDAuMDIyKSI+PGcg&#10;Y2xpcC1wYXRoPSJ1cmwoI2NsaXAxMDcpIj48dXNlIHdpZHRoPSIxMDAlIiBoZWlnaHQ9IjEwMCUi&#10;IHhsaW5rOmhyZWY9IiNpbWczNCIgdHJhbnNmb3JtPSJ0cmFuc2xhdGUoLTMuMTQ5NDdlLTA1IDcu&#10;NTQxNTdlLTA2KSI+PC91c2U+PC9nPjwvZz48L2c+PC9nPjx0ZXh0IGZpbGw9IiNGRkZGRkYiIGZv&#10;bnQtZmFtaWx5PSJDYWxpYnJpLENhbGlicmlfTVNGb250U2VydmljZSxBcmlhbCIgZm9udC13ZWln&#10;aHQ9IjQwMCIgZm9udC1zaXplPSIxNyIgdHJhbnNmb3JtPSJtYXRyaXgoMC43OTM1MDIgMCAwIDAu&#10;Nzk0IDI3Ni4xNDkgNTEyKSI+RGF0YSByZXF1ZXN0cyB0byBjdXN0b2RpYW5zIHN1Ym1pdHRlZDwv&#10;dGV4dD48ZyBjbGlwLXBhdGg9InVybCgjY2xpcDEwOCkiPjxnIGNsaXAtcGF0aD0idXJsKCNjbGlw&#10;MTA5KSI+PGcgY2xpcC1wYXRoPSJ1cmwoI2NsaXAxMTApIiB0cmFuc2Zvcm09Im1hdHJpeCgwLjY2&#10;MTI1MiAwIDAgMC42MjY4NDIgMjU3LjE3MSA1MTUuOTAxKSI+PGcgY2xpcC1wYXRoPSJ1cmwoI2Ns&#10;aXAxMTEpIj48dXNlIHdpZHRoPSIxMDAlIiBoZWlnaHQ9IjEwMCUiIHhsaW5rOmhyZWY9IiNpbWcz&#10;NCIgdHJhbnNmb3JtPSJ0cmFuc2xhdGUoLTMuMTQ5NDdlLTA1IDMuNjM5ODJlLTA1KSI+PC91c2U+&#10;PC9nPjwvZz48L2c+PC9nPjx0ZXh0IGZpbGw9IiNGRkZGRkYiIGZvbnQtZmFtaWx5PSJDYWxpYnJp&#10;LENhbGlicmlfTVNGb250U2VydmljZSxBcmlhbCIgZm9udC13ZWlnaHQ9IjQwMCIgZm9udC1zaXpl&#10;PSIxNyIgdHJhbnNmb3JtPSJtYXRyaXgoMC43OTM1MDIgMCAwIDAuNzk0IDI3Ni4xNDkgNTI4KSI+&#10;QW5hbHlzaXMgb2YgcHVibGljbHkgYXZhaWxhYmxlIGRhdGE8L3RleHQ+PGcgY2xpcC1wYXRoPSJ1&#10;cmwoI2NsaXAxMTIpIj48ZyBjbGlwLXBhdGg9InVybCgjY2xpcDExMykiPjxnIGNsaXAtcGF0aD0i&#10;dXJsKCNjbGlwMTE0KSIgdHJhbnNmb3JtPSJtYXRyaXgoMC42NjEyNTIgMCAwIDAuNjI2ODQyIDI1&#10;Ny4xNzEgNTMxLjc4MSkiPjxnIGNsaXAtcGF0aD0idXJsKCNjbGlwMTE1KSI+PHVzZSB3aWR0aD0i&#10;MTAwJSIgaGVpZ2h0PSIxMDAlIiB4bGluazpocmVmPSIjaW1nMzQiIHRyYW5zZm9ybT0idHJhbnNs&#10;YXRlKC0zLjE0OTQ3ZS0wNSAtOC4xMzA4ZS0wNikiPjwvdXNlPjwvZz48L2c+PC9nPjwvZz48dGV4&#10;dCBmaWxsPSIjRkZGRkZGIiBmb250LWZhbWlseT0iQ2FsaWJyaSxDYWxpYnJpX01TRm9udFNlcnZp&#10;Y2UsQXJpYWwiIGZvbnQtd2VpZ2h0PSI0MDAiIGZvbnQtc2l6ZT0iMTciIHRyYW5zZm9ybT0ibWF0&#10;cml4KDAuNzkzNTAyIDAgMCAwLjc5NCAyNzYuMTQ5IDU0NCkiPlJldmlldyBvZiBkb2N1bWVudHMg&#10;YW5kIGxpdGVyYXR1cmU8L3RleHQ+PGcgY2xpcC1wYXRoPSJ1cmwoI2NsaXAxMTYpIj48ZyBjbGlw&#10;LXBhdGg9InVybCgjY2xpcDExNykiPjxnIGNsaXAtcGF0aD0idXJsKCNjbGlwMTE4KSIgdHJhbnNm&#10;b3JtPSJtYXRyaXgoMC42NjEyNTIgMCAwIDAuNjI2ODQyIDI1Ny4xNzEgNTQ3LjY2MSkiPjxnIGNs&#10;aXAtcGF0aD0idXJsKCNjbGlwMTE5KSI+PHVzZSB3aWR0aD0iMTAwJSIgaGVpZ2h0PSIxMDAlIiB4&#10;bGluazpocmVmPSIjaW1nMzQiIHRyYW5zZm9ybT0idHJhbnNsYXRlKC0zLjE0OTQ3ZS0wNSA4LjM3&#10;NTMzZS0wNikiPjwvdXNlPjwvZz48L2c+PC9nPjwvZz48dGV4dCBmaWxsPSIjRkZGRkZGIiBmb250&#10;LWZhbWlseT0iQ2FsaWJyaSxDYWxpYnJpX01TRm9udFNlcnZpY2UsQXJpYWwiIGZvbnQtd2VpZ2h0&#10;PSI0MDAiIGZvbnQtc2l6ZT0iMTciIHRyYW5zZm9ybT0ibWF0cml4KDAuNzkzNTAyIDAgMCAwLjc5&#10;NCAyNzYuMTQ5IDU2MCkiPlR3byB0ZWFtIHdvcmtzaG9wczwvdGV4dD48dGV4dCBmaWxsPSIjRkZG&#10;RkZGIiBmb250LWZhbWlseT0iQ2FsaWJyaSxDYWxpYnJpX01TRm9udFNlcnZpY2UsQXJpYWwiIGZv&#10;bnQtd2VpZ2h0PSI3MDAiIGZvbnQtc2l6ZT0iMTciIHRyYW5zZm9ybT0ibWF0cml4KDAuNzkzNTAy&#10;IDAgMCAwLjc5NCAyNTcuMTcxIDU5MikiPlNlbnNlPC90ZXh0Pjx0ZXh0IGZpbGw9IiNGRkZGRkYi&#10;IGZvbnQtZmFtaWx5PSJDYWxpYnJpLENhbGlicmlfTVNGb250U2VydmljZSxBcmlhbCIgZm9udC13&#10;ZWlnaHQ9IjcwMCIgZm9udC1zaXplPSIxNyIgdHJhbnNmb3JtPSJtYXRyaXgoMC43OTM1MDIgMCAw&#10;IDAuNzk0IDI4OS4wNzcgNTkyKSI+LTwvdGV4dD48dGV4dCBmaWxsPSIjRkZGRkZGIiBmb250LWZh&#10;bWlseT0iQ2FsaWJyaSxDYWxpYnJpX01TRm9udFNlcnZpY2UsQXJpYWwiIGZvbnQtd2VpZ2h0PSI3&#10;MDAiIGZvbnQtc2l6ZT0iMTciIHRyYW5zZm9ybT0ibWF0cml4KDAuNzkzNTAyIDAgMCAwLjc5NCAy&#10;OTMuMDQ0IDU5MikiPm1ha2luZyA8L3RleHQ+PGcgY2xpcC1wYXRoPSJ1cmwoI2NsaXAxMjApIj48&#10;ZyBjbGlwLXBhdGg9InVybCgjY2xpcDEyMSkiPjxnIGNsaXAtcGF0aD0idXJsKCNjbGlwMTIyKSIg&#10;dHJhbnNmb3JtPSJtYXRyaXgoMC42NjEyNTIgMCAwIDAuNjI2ODQyIDI1Ny4xNzEgNTk2LjA5Niki&#10;PjxnIGNsaXAtcGF0aD0idXJsKCNjbGlwMTIzKSI+PHVzZSB3aWR0aD0iMTAwJSIgaGVpZ2h0PSIx&#10;MDAlIiB4bGluazpocmVmPSIjaW1nMzQiIHRyYW5zZm9ybT0idHJhbnNsYXRlKC0zLjE0OTQ3ZS0w&#10;NSAxLjA0NzI1ZS0wNSkiPjwvdXNlPjwvZz48L2c+PC9nPjwvZz48dGV4dCBmaWxsPSIjRkZGRkZG&#10;IiBmb250LWZhbWlseT0iQ2FsaWJyaSxDYWxpYnJpX01TRm9udFNlcnZpY2UsQXJpYWwiIGZvbnQt&#10;d2VpZ2h0PSI0MDAiIGZvbnQtc2l6ZT0iMTciIHRyYW5zZm9ybT0ibWF0cml4KDAuNzkzNTAyIDAg&#10;MCAwLjc5NCAyNzYuMTQ5IDYwOCkiPjUgPC90ZXh0Pjx0ZXh0IGZpbGw9IiNGRkZGRkYiIGZvbnQt&#10;ZmFtaWx5PSJDYWxpYnJpLENhbGlicmlfTVNGb250U2VydmljZSxBcmlhbCIgZm9udC13ZWlnaHQ9&#10;IjQwMCIgZm9udC1zaXplPSIxNyIgdHJhbnNmb3JtPSJtYXRyaXgoMC43OTM1MDIgMCAwIDAuNzk0&#10;IDI4Ni40NjQgNjA4KSI+c2l0ZSBwYXJ0bmVyIDwvdGV4dD48dGV4dCBmaWxsPSIjRkZGRkZGIiBm&#10;b250LWZhbWlseT0iQ2FsaWJyaSxDYWxpYnJpX01TRm9udFNlcnZpY2UsQXJpYWwiIGZvbnQtd2Vp&#10;Z2h0PSI0MDAiIGZvbnQtc2l6ZT0iMTciIHRyYW5zZm9ybT0ibWF0cml4KDAuNzkzNTAyIDAgMCAw&#10;Ljc5NCAzNTEuNTMxIDYwOCkiPndvcmtzaG9wcyAgPC90ZXh0Pjx0ZXh0IGZvbnQtZmFtaWx5PSJD&#10;YWxpYnJpLENhbGlicmlfTVNGb250U2VydmljZSxBcmlhbCIgZm9udC13ZWlnaHQ9IjQwMCIgZm9u&#10;dC1zaXplPSIxNyIgdHJhbnNmb3JtPSJtYXRyaXgoMC43OTM1MDIgMCAwIDAuNzk0IDQxNS41MDgg&#10;NjA4KSI+KDwvdGV4dD48dGV4dCBmb250LWZhbWlseT0iQ2FsaWJyaSxDYWxpYnJpX01TRm9udFNl&#10;cnZpY2UsQXJpYWwiIGZvbnQtd2VpZ2h0PSI0MDAiIGZvbnQtc2l6ZT0iMTciIHRyYW5zZm9ybT0i&#10;bWF0cml4KDAuNzkzNTAyIDAgMCAwLjc5NCA0MTkuNDc1IDYwOCkiPjQ0PC90ZXh0Pjx0ZXh0IGZv&#10;bnQtZmFtaWx5PSJDYWxpYnJpLENhbGlicmlfTVNGb250U2VydmljZSxBcmlhbCIgZm9udC13ZWln&#10;aHQ9IjQwMCIgZm9udC1zaXplPSIxNyIgdHJhbnNmb3JtPSJtYXRyaXgoMC43OTM1MDIgMCAwIDAu&#10;Nzk0IDQzMy43NTggNjA4KSI+KTwvdGV4dD48ZyBjbGlwLXBhdGg9InVybCgjY2xpcDEyNCkiPjxn&#10;IGNsaXAtcGF0aD0idXJsKCNjbGlwMTI1KSI+PGcgY2xpcC1wYXRoPSJ1cmwoI2NsaXAxMjYpIiB0&#10;cmFuc2Zvcm09Im1hdHJpeCgwLjY2MTI1MiAwIDAgMC42MjY4NDIgMjU3LjE3MSA2MTEuOTc2KSI+&#10;PGcgY2xpcC1wYXRoPSJ1cmwoI2NsaXAxMjcpIj48dXNlIHdpZHRoPSIxMDAlIiBoZWlnaHQ9IjEw&#10;MCUiIHhsaW5rOmhyZWY9IiNpbWczNCIgdHJhbnNmb3JtPSJ0cmFuc2xhdGUoLTMuMTQ5NDdlLTA1&#10;IDIuNjk3ODZlLTA1KSI+PC91c2U+PC9nPjwvZz48L2c+PC9nPjx0ZXh0IGZpbGw9IiNGRkZGRkYi&#10;IGZvbnQtZmFtaWx5PSJDYWxpYnJpLENhbGlicmlfTVNGb250U2VydmljZSxBcmlhbCIgZm9udC13&#10;ZWlnaHQ9IjQwMCIgZm9udC1zaXplPSIxNyIgdHJhbnNmb3JtPSJtYXRyaXgoMC43OTM1MDIgMCAw&#10;IDAuNzk0IDI3Ni4xNDkgNjI0KSI+QW5hbHlzdCBtZWV0aW5nIDwvdGV4dD48dGV4dCBmaWxsPSIj&#10;RkZGRkZGIiBmb250LWZhbWlseT0iQ2FsaWJyaSxDYWxpYnJpX01TRm9udFNlcnZpY2UsQXJpYWwi&#10;IGZvbnQtd2VpZ2h0PSI0MDAiIGZvbnQtc2l6ZT0iMTciIHRyYW5zZm9ybT0ibWF0cml4KDAuNzkz&#10;NTAyIDAgMCAwLjc5NCAzNjguMTk1IDYyNCkiPig8L3RleHQ+PHRleHQgZmlsbD0iI0ZGRkZGRiIg&#10;Zm9udC1mYW1pbHk9IkNhbGlicmksQ2FsaWJyaV9NU0ZvbnRTZXJ2aWNlLEFyaWFsIiBmb250LXdl&#10;aWdodD0iNDAwIiBmb250LXNpemU9IjE3IiB0cmFuc2Zvcm09Im1hdHJpeCgwLjc5MzUwMiAwIDAg&#10;MC43OTQgMzcyLjE2MyA2MjQpIj5ldmFsdWF0aW9uIHRlYW08L3RleHQ+PHRleHQgZmlsbD0iI0ZG&#10;RkZGRiIgZm9udC1mYW1pbHk9IkNhbGlicmksQ2FsaWJyaV9NU0ZvbnRTZXJ2aWNlLEFyaWFsIiBm&#10;b250LXdlaWdodD0iNDAwIiBmb250LXNpemU9IjE3IiB0cmFuc2Zvcm09Im1hdHJpeCgwLjc5MzUw&#10;MiAwIDAgMC43OTQgNDYxLjAzNSA2MjQpIj4pPC90ZXh0Pjx0ZXh0IGZpbGw9IiNGRkZGRkYiIGZv&#10;bnQtZmFtaWx5PSJDYWxpYnJpLENhbGlicmlfTVNGb250U2VydmljZSxBcmlhbCIgZm9udC13ZWln&#10;aHQ9IjcwMCIgZm9udC1zaXplPSIxNyIgdHJhbnNmb3JtPSJtYXRyaXgoMC43OTM1MDIgMCAwIDAu&#10;Nzk0IDI1Ny4xNzEgNjU2KSI+Q09MTEFCT1JBVElWRTwvdGV4dD48dGV4dCBmaWxsPSIjRkZGRkZG&#10;IiBmb250LWZhbWlseT0iQ2FsaWJyaSxDYWxpYnJpX01TRm9udFNlcnZpY2UsQXJpYWwiIGZvbnQt&#10;d2VpZ2h0PSI3MDAiIGZvbnQtc2l6ZT0iMTciIHRyYW5zZm9ybT0ibWF0cml4KDAuNzkzNTAyIDAg&#10;MCAwLjc5NCAzNTEuMjM0IDY1NikiPjEgPC90ZXh0Pjx0ZXh0IGZvbnQtZmFtaWx5PSJDYWxpYnJp&#10;LENhbGlicmlfTVNGb250U2VydmljZSxBcmlhbCIgZm9udC13ZWlnaHQ9IjQwMCIgZm9udC1zaXpl&#10;PSIxNyIgdHJhbnNmb3JtPSJtYXRyaXgoMC43OTM1MDIgMCAwIDAuNzk0IDM2MC45ODggNjU2KSI+&#10;KDwvdGV4dD48dGV4dCBmb250LWZhbWlseT0iQ2FsaWJyaSxDYWxpYnJpX01TRm9udFNlcnZpY2Us&#10;QXJpYWwiIGZvbnQtd2VpZ2h0PSI0MDAiIGZvbnQtc2l6ZT0iMTciIHRyYW5zZm9ybT0ibWF0cml4&#10;KDAuNzkzNTAyIDAgMCAwLjc5NCAzNjQuOTU1IDY1NikiPjEwPC90ZXh0Pjx0ZXh0IGZvbnQtZmFt&#10;aWx5PSJDYWxpYnJpLENhbGlicmlfTVNGb250U2VydmljZSxBcmlhbCIgZm9udC13ZWlnaHQ9IjQw&#10;MCIgZm9udC1zaXplPSIxNyIgdHJhbnNmb3JtPSJtYXRyaXgoMC43OTM1MDIgMCAwIDAuNzk0IDM3&#10;OS4yMzggNjU2KSI+KTwvdGV4dD48dGV4dCBmaWxsPSIjRkZGRkZGIiBmb250LWZhbWlseT0iQ2Fs&#10;aWJyaSxDYWxpYnJpX01TRm9udFNlcnZpY2UsQXJpYWwiIGZvbnQtd2VpZ2h0PSI0MDAiIGZvbnQt&#10;c2l6ZT0iMTciIHRyYW5zZm9ybT0ibWF0cml4KDAuNzkzNTAyIDAgMCAwLjc5NCAyNTcuMTcxIDY3&#10;MikiPkFib3JpZ2luYWwgYW5kIFRvcnJlcyBTdHJhaXQgSXNsYW5kZXIgPC90ZXh0Pjx0ZXh0IGZp&#10;bGw9IiNGRkZGRkYiIGZvbnQtZmFtaWx5PSJDYWxpYnJpLENhbGlicmlfTVNGb250U2VydmljZSxB&#10;cmlhbCIgZm9udC13ZWlnaHQ9IjQwMCIgZm9udC1zaXplPSIxNyIgdHJhbnNmb3JtPSJtYXRyaXgo&#10;MC43OTM1MDIgMCAwIDAuNzk0IDI1Ny4xNzEgNjg4KSI+cHJpbWFyeSBoZWFsdGggY2FyZSBzeXN0&#10;ZW08L3RleHQ+PHRleHQgZmlsbD0iI0ZGRkZGRiIgZm9udC1mYW1pbHk9IkNhbGlicmksQ2FsaWJy&#10;aV9NU0ZvbnRTZXJ2aWNlLEFyaWFsIiBmb250LXdlaWdodD0iNDAwIiBmb250LXNpemU9IjE3IiB0&#10;cmFuc2Zvcm09Im1hdHJpeCgwLjc5MzUwMiAwIDAgMC43OTQgNDA3LjkzNyA2ODgpIj7igJk8L3Rl&#10;eHQ+PHRleHQgZmlsbD0iI0ZGRkZGRiIgZm9udC1mYW1pbHk9IkNhbGlicmksQ2FsaWJyaV9NU0Zv&#10;bnRTZXJ2aWNlLEFyaWFsIiBmb250LXdlaWdodD0iNDAwIiBmb250LXNpemU9IjE3IiB0cmFuc2Zv&#10;cm09Im1hdHJpeCgwLjc5MzUwMiAwIDAgMC43OTQgNDExLjExMSA2ODgpIj5zIGluaXRpYWwgPC90&#10;ZXh0Pjx0ZXh0IGZpbGw9IiNGRkZGRkYiIGZvbnQtZmFtaWx5PSJDYWxpYnJpLENhbGlicmlfTVNG&#10;b250U2VydmljZSxBcmlhbCIgZm9udC13ZWlnaHQ9IjQwMCIgZm9udC1zaXplPSIxNyIgdHJhbnNm&#10;b3JtPSJtYXRyaXgoMC43OTM1MDIgMCAwIDAuNzk0IDI1Ny4xNzEgNzAzKSI+cmVzcG9uc2UgdG8g&#10;Q09WSUQ8L3RleHQ+PHRleHQgZmlsbD0iI0ZGRkZGRiIgZm9udC1mYW1pbHk9IkNhbGlicmksQ2Fs&#10;aWJyaV9NU0ZvbnRTZXJ2aWNlLEFyaWFsIiBmb250LXdlaWdodD0iNDAwIiBmb250LXNpemU9IjE3&#10;IiB0cmFuc2Zvcm09Im1hdHJpeCgwLjc5MzUwMiAwIDAgMC43OTQgMzU4LjE3NyA3MDMpIj4tPC90&#10;ZXh0Pjx0ZXh0IGZpbGw9IiNGRkZGRkYiIGZvbnQtZmFtaWx5PSJDYWxpYnJpLENhbGlicmlfTVNG&#10;b250U2VydmljZSxBcmlhbCIgZm9udC13ZWlnaHQ9IjQwMCIgZm9udC1zaXplPSIxNyIgdHJhbnNm&#10;b3JtPSJtYXRyaXgoMC43OTM1MDIgMCAwIDAuNzk0IDM2Mi4xNDUgNzAzKSI+MTk8L3RleHQ+PGcg&#10;Y2xpcC1wYXRoPSJ1cmwoI2NsaXAxMjgpIj48ZyBjbGlwLXBhdGg9InVybCgjY2xpcDEyOSkiPjxn&#10;IGNsaXAtcGF0aD0idXJsKCNjbGlwMTMwKSI+PGcgY2xpcC1wYXRoPSJ1cmwoI2NsaXAxMzEpIj48&#10;cGF0aCBkPSJNOTQzLjk2MyAwLjM1NTMxNiAxMjY4LjI3IDM1MS43MjYiIHN0cm9rZT0iIzIzMUYy&#10;MCIgc3Ryb2tlLXdpZHRoPSIxLjA0NTA1IiBzdHJva2UtbWl0ZXJsaW1pdD0iMTAiIGZpbGw9Im5v&#10;bmUiIHRyYW5zZm9ybT0ibWF0cml4KDEuMDg0NDYgMCAwIDEgMTAyLjc0MiAyNy4wMjY3KSIvPjxw&#10;YXRoIGQ9Ik05MzYuNTM5IDAuMzU1MzE2IDEyNjAuODUgMzUxLjcyNiIgc3Ryb2tlPSIjMjMxRjIw&#10;IiBzdHJva2Utd2lkdGg9IjEuMDQ1MDUiIHN0cm9rZS1taXRlcmxpbWl0PSIxMCIgZmlsbD0ibm9u&#10;ZSIgdHJhbnNmb3JtPSJtYXRyaXgoMS4wODQ0NiAwIDAgMSAxMDIuNzQyIDI3LjAyNjcpIi8+PHBh&#10;dGggZD0iTTkyOS4xMDcgMC4zNTUzMTYgMTI1My40MiAzNTEuNzI2IiBzdHJva2U9IiMyMzFGMjAi&#10;IHN0cm9rZS13aWR0aD0iMS4wNDUwNSIgc3Ryb2tlLW1pdGVybGltaXQ9IjEwIiBmaWxsPSJub25l&#10;IiB0cmFuc2Zvcm09Im1hdHJpeCgxLjA4NDQ2IDAgMCAxIDEwMi43NDIgMjcuMDI2NykiLz48cGF0&#10;aCBkPSJNOTIxLjY3NSAwLjM1NTMxNiAxMjQ1Ljk4IDM1MS43MjYiIHN0cm9rZT0iIzIzMUYyMCIg&#10;c3Ryb2tlLXdpZHRoPSIxLjA0NTA1IiBzdHJva2UtbWl0ZXJsaW1pdD0iMTAiIGZpbGw9Im5vbmUi&#10;IHRyYW5zZm9ybT0ibWF0cml4KDEuMDg0NDYgMCAwIDEgMTAyLjc0MiAyNy4wMjY3KSIvPjxwYXRo&#10;IGQ9Ik05MTQuMjQzIDAuMzU1MzE2IDEyMzguNTUgMzUxLjcyNiIgc3Ryb2tlPSIjMjMxRjIwIiBz&#10;dHJva2Utd2lkdGg9IjEuMDQ1MDUiIHN0cm9rZS1taXRlcmxpbWl0PSIxMCIgZmlsbD0ibm9uZSIg&#10;dHJhbnNmb3JtPSJtYXRyaXgoMS4wODQ0NiAwIDAgMSAxMDIuNzQyIDI3LjAyNjcpIi8+PHBhdGgg&#10;ZD0iTTkwNi44MTIgMC4zNTUzMTYgMTIzMS4xMyAzNTEuNzI2IiBzdHJva2U9IiMyMzFGMjAiIHN0&#10;cm9rZS13aWR0aD0iMS4wNDUwNSIgc3Ryb2tlLW1pdGVybGltaXQ9IjEwIiBmaWxsPSJub25lIiB0&#10;cmFuc2Zvcm09Im1hdHJpeCgxLjA4NDQ2IDAgMCAxIDEwMi43NDIgMjcuMDI2NykiLz48cGF0aCBk&#10;PSJNODk5LjM4OCAwLjM1NTMxNiAxMjIzLjcgMzUxLjcyNiIgc3Ryb2tlPSIjMjMxRjIwIiBzdHJv&#10;a2Utd2lkdGg9IjEuMDQ1MDUiIHN0cm9rZS1taXRlcmxpbWl0PSIxMCIgZmlsbD0ibm9uZSIgdHJh&#10;bnNmb3JtPSJtYXRyaXgoMS4wODQ0NiAwIDAgMSAxMDIuNzQyIDI3LjAyNjcpIi8+PHBhdGggZD0i&#10;TTg5MS45NTYgMC4zNTUzMTYgMTIxNi4yNyAzNTEuNzI2IiBzdHJva2U9IiMyMzFGMjAiIHN0cm9r&#10;ZS13aWR0aD0iMS4wNDUwNSIgc3Ryb2tlLW1pdGVybGltaXQ9IjEwIiBmaWxsPSJub25lIiB0cmFu&#10;c2Zvcm09Im1hdHJpeCgxLjA4NDQ2IDAgMCAxIDEwMi43NDIgMjcuMDI2NykiLz48cGF0aCBkPSJN&#10;ODg0LjUzMiAwLjM1NTMxNiAxMjA4Ljg0IDM1MS43MjYiIHN0cm9rZT0iIzIzMUYyMCIgc3Ryb2tl&#10;LXdpZHRoPSIxLjA0NTA1IiBzdHJva2UtbWl0ZXJsaW1pdD0iMTAiIGZpbGw9Im5vbmUiIHRyYW5z&#10;Zm9ybT0ibWF0cml4KDEuMDg0NDYgMCAwIDEgMTAyLjc0MiAyNy4wMjY3KSIvPjxwYXRoIGQ9Ik04&#10;NzcuMSAwLjM1NTMxNiAxMjAxLjQxIDM1MS43MjYiIHN0cm9rZT0iIzIzMUYyMCIgc3Ryb2tlLXdp&#10;ZHRoPSIxLjA0NTA1IiBzdHJva2UtbWl0ZXJsaW1pdD0iMTAiIGZpbGw9Im5vbmUiIHRyYW5zZm9y&#10;bT0ibWF0cml4KDEuMDg0NDYgMCAwIDEgMTAyLjc0MiAyNy4wMjY3KSIvPjxwYXRoIGQ9Ik04Njku&#10;NjY4IDAuMzU1MzE2IDExOTMuOTggMzUxLjcyNiIgc3Ryb2tlPSIjMjMxRjIwIiBzdHJva2Utd2lk&#10;dGg9IjEuMDQ1MDUiIHN0cm9rZS1taXRlcmxpbWl0PSIxMCIgZmlsbD0ibm9uZSIgdHJhbnNmb3Jt&#10;PSJtYXRyaXgoMS4wODQ0NiAwIDAgMSAxMDIuNzQyIDI3LjAyNjcpIi8+PHBhdGggZD0iTTg2Mi4y&#10;MzYgMC4zNTUzMTYgMTE4Ni41NSAzNTEuNzI2IiBzdHJva2U9IiMyMzFGMjAiIHN0cm9rZS13aWR0&#10;aD0iMS4wNDUwNSIgc3Ryb2tlLW1pdGVybGltaXQ9IjEwIiBmaWxsPSJub25lIiB0cmFuc2Zvcm09&#10;Im1hdHJpeCgxLjA4NDQ2IDAgMCAxIDEwMi43NDIgMjcuMDI2NykiLz48cGF0aCBkPSJNODU0Ljgw&#10;NSAwLjM1NTMxNiAxMTc5LjExIDM1MS43MjYiIHN0cm9rZT0iIzIzMUYyMCIgc3Ryb2tlLXdpZHRo&#10;PSIxLjA0NTA1IiBzdHJva2UtbWl0ZXJsaW1pdD0iMTAiIGZpbGw9Im5vbmUiIHRyYW5zZm9ybT0i&#10;bWF0cml4KDEuMDg0NDYgMCAwIDEgMTAyLjc0MiAyNy4wMjY3KSIvPjxwYXRoIGQ9Ik04NDcuMzgx&#10;IDAuMzU1MzE2IDExNzEuNjkgMzUxLjcyNiIgc3Ryb2tlPSIjMjMxRjIwIiBzdHJva2Utd2lkdGg9&#10;IjEuMDQ1MDUiIHN0cm9rZS1taXRlcmxpbWl0PSIxMCIgZmlsbD0ibm9uZSIgdHJhbnNmb3JtPSJt&#10;YXRyaXgoMS4wODQ0NiAwIDAgMSAxMDIuNzQyIDI3LjAyNjcpIi8+PHBhdGggZD0iTTgzOS45NDkg&#10;MC4zNTUzMTYgMTE2NC4yNiAzNTEuNzI2IiBzdHJva2U9IiMyMzFGMjAiIHN0cm9rZS13aWR0aD0i&#10;MS4wNDUwNSIgc3Ryb2tlLW1pdGVybGltaXQ9IjEwIiBmaWxsPSJub25lIiB0cmFuc2Zvcm09Im1h&#10;dHJpeCgxLjA4NDQ2IDAgMCAxIDEwMi43NDIgMjcuMDI2NykiLz48cGF0aCBkPSJNODMyLjUxNyAw&#10;LjM1NTMxNiAxMTU2LjgzIDM1MS43MjYiIHN0cm9rZT0iIzIzMUYyMCIgc3Ryb2tlLXdpZHRoPSIx&#10;LjA0NTA1IiBzdHJva2UtbWl0ZXJsaW1pdD0iMTAiIGZpbGw9Im5vbmUiIHRyYW5zZm9ybT0ibWF0&#10;cml4KDEuMDg0NDYgMCAwIDEgMTAyLjc0MiAyNy4wMjY3KSIvPjxwYXRoIGQ9Ik04MjUuMDkzIDAu&#10;MzU1MzE2IDExNDkuNCAzNTEuNzI2IiBzdHJva2U9IiMyMzFGMjAiIHN0cm9rZS13aWR0aD0iMS4w&#10;NDUwNSIgc3Ryb2tlLW1pdGVybGltaXQ9IjEwIiBmaWxsPSJub25lIiB0cmFuc2Zvcm09Im1hdHJp&#10;eCgxLjA4NDQ2IDAgMCAxIDEwMi43NDIgMjcuMDI2NykiLz48cGF0aCBkPSJNODE3LjY2MSAwLjM1&#10;NTMxNiAxMTQxLjk3IDM1MS43MjYiIHN0cm9rZT0iIzIzMUYyMCIgc3Ryb2tlLXdpZHRoPSIxLjA0&#10;NTA1IiBzdHJva2UtbWl0ZXJsaW1pdD0iMTAiIGZpbGw9Im5vbmUiIHRyYW5zZm9ybT0ibWF0cml4&#10;KDEuMDg0NDYgMCAwIDEgMTAyLjc0MiAyNy4wMjY3KSIvPjxwYXRoIGQ9Ik04MTAuMjI5IDAuMzU1&#10;MzE2IDExMzQuNTQgMzUxLjcyNiIgc3Ryb2tlPSIjMjMxRjIwIiBzdHJva2Utd2lkdGg9IjEuMDQ1&#10;MDUiIHN0cm9rZS1taXRlcmxpbWl0PSIxMCIgZmlsbD0ibm9uZSIgdHJhbnNmb3JtPSJtYXRyaXgo&#10;MS4wODQ0NiAwIDAgMSAxMDIuNzQyIDI3LjAyNjcpIi8+PHBhdGggZD0iTTgwMi43OTggMC4zNTUz&#10;MTYgMTEyNy4xMSAzNTEuNzI2IiBzdHJva2U9IiMyMzFGMjAiIHN0cm9rZS13aWR0aD0iMS4wNDUw&#10;NSIgc3Ryb2tlLW1pdGVybGltaXQ9IjEwIiBmaWxsPSJub25lIiB0cmFuc2Zvcm09Im1hdHJpeCgx&#10;LjA4NDQ2IDAgMCAxIDEwMi43NDIgMjcuMDI2NykiLz48cGF0aCBkPSJNNzk1LjM3NCAwLjM1NTMx&#10;NiAxMTE5LjY4IDM1MS43MjYiIHN0cm9rZT0iIzIzMUYyMCIgc3Ryb2tlLXdpZHRoPSIxLjA0NTA1&#10;IiBzdHJva2UtbWl0ZXJsaW1pdD0iMTAiIGZpbGw9Im5vbmUiIHRyYW5zZm9ybT0ibWF0cml4KDEu&#10;MDg0NDYgMCAwIDEgMTAyLjc0MiAyNy4wMjY3KSIvPjxwYXRoIGQ9Ik03ODcuOTM5IDAuMzU1MzE2&#10;IDExMTIuMjUgMzUxLjcyNiIgc3Ryb2tlPSIjMjMxRjIwIiBzdHJva2Utd2lkdGg9IjEuMDQ1MDUi&#10;IHN0cm9rZS1taXRlcmxpbWl0PSIxMCIgZmlsbD0ibm9uZSIgdHJhbnNmb3JtPSJtYXRyaXgoMS4w&#10;ODQ0NiAwIDAgMSAxMDIuNzQyIDI3LjAyNjcpIi8+PHBhdGggZD0iTTc4MC41MDkgMC4zNTUzMTYg&#10;MTEwNC44MiAzNTEuNzI2IiBzdHJva2U9IiMyMzFGMjAiIHN0cm9rZS13aWR0aD0iMS4wNDUwNSIg&#10;c3Ryb2tlLW1pdGVybGltaXQ9IjEwIiBmaWxsPSJub25lIiB0cmFuc2Zvcm09Im1hdHJpeCgxLjA4&#10;NDQ2IDAgMCAxIDEwMi43NDIgMjcuMDI2NykiLz48cGF0aCBkPSJNNzczLjA3OSAwLjM1NTMxNiAx&#10;MDk3LjM5IDM1MS43MjYiIHN0cm9rZT0iIzIzMUYyMCIgc3Ryb2tlLXdpZHRoPSIxLjA0NTA1IiBz&#10;dHJva2UtbWl0ZXJsaW1pdD0iMTAiIGZpbGw9Im5vbmUiIHRyYW5zZm9ybT0ibWF0cml4KDEuMDg0&#10;NDYgMCAwIDEgMTAyLjc0MiAyNy4wMjY3KSIvPjxwYXRoIGQ9Ik03NjUuNjQ5IDAuMzU1MzE2IDEw&#10;ODkuOTYgMzUxLjcyNiIgc3Ryb2tlPSIjMjMxRjIwIiBzdHJva2Utd2lkdGg9IjEuMDQ1MDUiIHN0&#10;cm9rZS1taXRlcmxpbWl0PSIxMCIgZmlsbD0ibm9uZSIgdHJhbnNmb3JtPSJtYXRyaXgoMS4wODQ0&#10;NiAwIDAgMSAxMDIuNzQyIDI3LjAyNjcpIi8+PHBhdGggZD0iTTc1OC4yMTggMC4zNTUzMTYgMTA4&#10;Mi41MyAzNTEuNzI2IiBzdHJva2U9IiMyMzFGMjAiIHN0cm9rZS13aWR0aD0iMS4wNDUwNSIgc3Ry&#10;b2tlLW1pdGVybGltaXQ9IjEwIiBmaWxsPSJub25lIiB0cmFuc2Zvcm09Im1hdHJpeCgxLjA4NDQ2&#10;IDAgMCAxIDEwMi43NDIgMjcuMDI2NykiLz48cGF0aCBkPSJNNzUwLjc4OCAwLjM1NTMxNiAxMDc1&#10;LjEgMzUxLjcyNiIgc3Ryb2tlPSIjMjMxRjIwIiBzdHJva2Utd2lkdGg9IjEuMDQ1MDUiIHN0cm9r&#10;ZS1taXRlcmxpbWl0PSIxMCIgZmlsbD0ibm9uZSIgdHJhbnNmb3JtPSJtYXRyaXgoMS4wODQ0NiAw&#10;IDAgMSAxMDIuNzQyIDI3LjAyNjcpIi8+PHBhdGggZD0iTTc0My4zNjMgMC4zNTUzMTYgMTA2Ny42&#10;OCAzNTEuNzI2IiBzdHJva2U9IiMyMzFGMjAiIHN0cm9rZS13aWR0aD0iMS4wNDUwNSIgc3Ryb2tl&#10;LW1pdGVybGltaXQ9IjEwIiBmaWxsPSJub25lIiB0cmFuc2Zvcm09Im1hdHJpeCgxLjA4NDQ2IDAg&#10;MCAxIDEwMi43NDIgMjcuMDI2NykiLz48cGF0aCBkPSJNNzM1LjkzMyAwLjM1NTMxNiAxMDYwLjI0&#10;IDM1MS43MjYiIHN0cm9rZT0iIzIzMUYyMCIgc3Ryb2tlLXdpZHRoPSIxLjA0NTA1IiBzdHJva2Ut&#10;bWl0ZXJsaW1pdD0iMTAiIGZpbGw9Im5vbmUiIHRyYW5zZm9ybT0ibWF0cml4KDEuMDg0NDYgMCAw&#10;IDEgMTAyLjc0MiAyNy4wMjY3KSIvPjxwYXRoIGQ9Ik03MjguNTAzIDAuMzU1MzE2IDEwNTIuODEg&#10;MzUxLjcyNiIgc3Ryb2tlPSIjMjMxRjIwIiBzdHJva2Utd2lkdGg9IjEuMDQ1MDUiIHN0cm9rZS1t&#10;aXRlcmxpbWl0PSIxMCIgZmlsbD0ibm9uZSIgdHJhbnNmb3JtPSJtYXRyaXgoMS4wODQ0NiAwIDAg&#10;MSAxMDIuNzQyIDI3LjAyNjcpIi8+PHBhdGggZD0iTTcyMS4wNzIgMC4zNTUzMTYgMTA0NS4zOCAz&#10;NTEuNzI2IiBzdHJva2U9IiMyMzFGMjAiIHN0cm9rZS13aWR0aD0iMS4wNDUwNSIgc3Ryb2tlLW1p&#10;dGVybGltaXQ9IjEwIiBmaWxsPSJub25lIiB0cmFuc2Zvcm09Im1hdHJpeCgxLjA4NDQ2IDAgMCAx&#10;IDEwMi43NDIgMjcuMDI2NykiLz48cGF0aCBkPSJNNzEzLjY0MiAwLjM1NTMxNiAxMDM3Ljk1IDM1&#10;MS43MjYiIHN0cm9rZT0iIzIzMUYyMCIgc3Ryb2tlLXdpZHRoPSIxLjA0NTA1IiBzdHJva2UtbWl0&#10;ZXJsaW1pdD0iMTAiIGZpbGw9Im5vbmUiIHRyYW5zZm9ybT0ibWF0cml4KDEuMDg0NDYgMCAwIDEg&#10;MTAyLjc0MiAyNy4wMjY3KSIvPjxwYXRoIGQ9Ik03MDYuMjExIDAuMzU1MzE2IDEwMzAuNTIgMzUx&#10;LjcyNiIgc3Ryb2tlPSIjMjMxRjIwIiBzdHJva2Utd2lkdGg9IjEuMDQ1MDUiIHN0cm9rZS1taXRl&#10;cmxpbWl0PSIxMCIgZmlsbD0ibm9uZSIgdHJhbnNmb3JtPSJtYXRyaXgoMS4wODQ0NiAwIDAgMSAx&#10;MDIuNzQyIDI3LjAyNjcpIi8+PHBhdGggZD0iTTY5OC43ODEgMC4zNTUzMTYgMTAyMy4wOSAzNTEu&#10;NzI2IiBzdHJva2U9IiMyMzFGMjAiIHN0cm9rZS13aWR0aD0iMS4wNDUwNSIgc3Ryb2tlLW1pdGVy&#10;bGltaXQ9IjEwIiBmaWxsPSJub25lIiB0cmFuc2Zvcm09Im1hdHJpeCgxLjA4NDQ2IDAgMCAxIDEw&#10;Mi43NDIgMjcuMDI2NykiLz48cGF0aCBkPSJNNjkxLjM1MSAwLjM1NTMxNiAxMDE1LjY2IDM1MS43&#10;MjYiIHN0cm9rZT0iIzIzMUYyMCIgc3Ryb2tlLXdpZHRoPSIxLjA0NTA1IiBzdHJva2UtbWl0ZXJs&#10;aW1pdD0iMTAiIGZpbGw9Im5vbmUiIHRyYW5zZm9ybT0ibWF0cml4KDEuMDg0NDYgMCAwIDEgMTAy&#10;Ljc0MiAyNy4wMjY3KSIvPjxwYXRoIGQ9Ik02ODMuOTIxIDAuMzU1MzE2IDEwMDguMjQgMzUxLjcy&#10;NiIgc3Ryb2tlPSIjMjMxRjIwIiBzdHJva2Utd2lkdGg9IjEuMDQ1MDUiIHN0cm9rZS1taXRlcmxp&#10;bWl0PSIxMCIgZmlsbD0ibm9uZSIgdHJhbnNmb3JtPSJtYXRyaXgoMS4wODQ0NiAwIDAgMSAxMDIu&#10;NzQyIDI3LjAyNjcpIi8+PHBhdGggZD0iTTY3Ni40OSAwLjM1NTMxNiAxMDAwLjgxIDM1MS43MjYi&#10;IHN0cm9rZT0iIzIzMUYyMCIgc3Ryb2tlLXdpZHRoPSIxLjA0NTA1IiBzdHJva2UtbWl0ZXJsaW1p&#10;dD0iMTAiIGZpbGw9Im5vbmUiIHRyYW5zZm9ybT0ibWF0cml4KDEuMDg0NDYgMCAwIDEgMTAyLjc0&#10;MiAyNy4wMjY3KSIvPjxwYXRoIGQ9Ik02NjkuMDY2IDAuMzU1MzE2IDk5My4zNzMgMzUxLjcyNiIg&#10;c3Ryb2tlPSIjMjMxRjIwIiBzdHJva2Utd2lkdGg9IjEuMDQ1MDUiIHN0cm9rZS1taXRlcmxpbWl0&#10;PSIxMCIgZmlsbD0ibm9uZSIgdHJhbnNmb3JtPSJtYXRyaXgoMS4wODQ0NiAwIDAgMSAxMDIuNzQy&#10;IDI3LjAyNjcpIi8+PHBhdGggZD0iTTY2MS42MzUgMC4zNTUzMTYgOTg1Ljk0MiAzNTEuNzI2IiBz&#10;dHJva2U9IiMyMzFGMjAiIHN0cm9rZS13aWR0aD0iMS4wNDUwNSIgc3Ryb2tlLW1pdGVybGltaXQ9&#10;IjEwIiBmaWxsPSJub25lIiB0cmFuc2Zvcm09Im1hdHJpeCgxLjA4NDQ2IDAgMCAxIDEwMi43NDIg&#10;MjcuMDI2NykiLz48cGF0aCBkPSJNNjU0LjIwNSAwLjM1NTMxNiA5NzguNTE4IDM1MS43MjYiIHN0&#10;cm9rZT0iIzIzMUYyMCIgc3Ryb2tlLXdpZHRoPSIxLjA0NTA1IiBzdHJva2UtbWl0ZXJsaW1pdD0i&#10;MTAiIGZpbGw9Im5vbmUiIHRyYW5zZm9ybT0ibWF0cml4KDEuMDg0NDYgMCAwIDEgMTAyLjc0MiAy&#10;Ny4wMjY3KSIvPjxwYXRoIGQ9Ik02NDYuNzc1IDAuMzU1MzE2IDk3MS4wODYgMzUxLjcyNiIgc3Ry&#10;b2tlPSIjMjMxRjIwIiBzdHJva2Utd2lkdGg9IjEuMDQ1MDUiIHN0cm9rZS1taXRlcmxpbWl0PSIx&#10;MCIgZmlsbD0ibm9uZSIgdHJhbnNmb3JtPSJtYXRyaXgoMS4wODQ0NiAwIDAgMSAxMDIuNzQyIDI3&#10;LjAyNjcpIi8+PHBhdGggZD0iTTYzOS4zNDUgMC4zNTUzMTYgOTYzLjY1NCAzNTEuNzI2IiBzdHJv&#10;a2U9IiMyMzFGMjAiIHN0cm9rZS13aWR0aD0iMS4wNDUwNSIgc3Ryb2tlLW1pdGVybGltaXQ9IjEw&#10;IiBmaWxsPSJub25lIiB0cmFuc2Zvcm09Im1hdHJpeCgxLjA4NDQ2IDAgMCAxIDEwMi43NDIgMjcu&#10;MDI2NykiLz48cGF0aCBkPSJNNjMxLjkxNCAwLjM1NTMxNiA5NTYuMjIyIDM1MS43MjYiIHN0cm9r&#10;ZT0iIzIzMUYyMCIgc3Ryb2tlLXdpZHRoPSIxLjA0NTA1IiBzdHJva2UtbWl0ZXJsaW1pdD0iMTAi&#10;IGZpbGw9Im5vbmUiIHRyYW5zZm9ybT0ibWF0cml4KDEuMDg0NDYgMCAwIDEgMTAyLjc0MiAyNy4w&#10;MjY3KSIvPjxwYXRoIGQ9Ik02MjQuNDg0IDAuMzU1MzE2IDk0OC43OSAzNTEuNzI2IiBzdHJva2U9&#10;IiMyMzFGMjAiIHN0cm9rZS13aWR0aD0iMS4wNDUwNSIgc3Ryb2tlLW1pdGVybGltaXQ9IjEwIiBm&#10;aWxsPSJub25lIiB0cmFuc2Zvcm09Im1hdHJpeCgxLjA4NDQ2IDAgMCAxIDEwMi43NDIgMjcuMDI2&#10;NykiLz48cGF0aCBkPSJNNjE3LjA1NCAwLjM1NTMxNiA5NDEuMzY2IDM1MS43MjYiIHN0cm9rZT0i&#10;IzIzMUYyMCIgc3Ryb2tlLXdpZHRoPSIxLjA0NTA1IiBzdHJva2UtbWl0ZXJsaW1pdD0iMTAiIGZp&#10;bGw9Im5vbmUiIHRyYW5zZm9ybT0ibWF0cml4KDEuMDg0NDYgMCAwIDEgMTAyLjc0MiAyNy4wMjY3&#10;KSIvPjxwYXRoIGQ9Ik02MDkuNjIzIDAuMzU1MzE2IDkzMy45MzUgMzUxLjcyNiIgc3Ryb2tlPSIj&#10;MjMxRjIwIiBzdHJva2Utd2lkdGg9IjEuMDQ1MDUiIHN0cm9rZS1taXRlcmxpbWl0PSIxMCIgZmls&#10;bD0ibm9uZSIgdHJhbnNmb3JtPSJtYXRyaXgoMS4wODQ0NiAwIDAgMSAxMDIuNzQyIDI3LjAyNjcp&#10;Ii8+PHBhdGggZD0iTTYwMi4xOTMgMC4zNTUzMTYgOTI2LjUxMSAzNTEuNzI2IiBzdHJva2U9IiMy&#10;MzFGMjAiIHN0cm9rZS13aWR0aD0iMS4wNDUwNSIgc3Ryb2tlLW1pdGVybGltaXQ9IjEwIiBmaWxs&#10;PSJub25lIiB0cmFuc2Zvcm09Im1hdHJpeCgxLjA4NDQ2IDAgMCAxIDEwMi43NDIgMjcuMDI2Nyki&#10;Lz48cGF0aCBkPSJNNTk0Ljc2OCAwLjM1NTMxNiA5MTkuMDc5IDM1MS43MjYiIHN0cm9rZT0iIzIz&#10;MUYyMCIgc3Ryb2tlLXdpZHRoPSIxLjA0NTA1IiBzdHJva2UtbWl0ZXJsaW1pdD0iMTAiIGZpbGw9&#10;Im5vbmUiIHRyYW5zZm9ybT0ibWF0cml4KDEuMDg0NDYgMCAwIDEgMTAyLjc0MiAyNy4wMjY3KSIv&#10;PjxwYXRoIGQ9Ik01ODcuMzM4IDAuMzU1MzE2IDkxMS42NDcgMzUxLjcyNiIgc3Ryb2tlPSIjMjMx&#10;RjIwIiBzdHJva2Utd2lkdGg9IjEuMDQ1MDUiIHN0cm9rZS1taXRlcmxpbWl0PSIxMCIgZmlsbD0i&#10;bm9uZSIgdHJhbnNmb3JtPSJtYXRyaXgoMS4wODQ0NiAwIDAgMSAxMDIuNzQyIDI3LjAyNjcpIi8+&#10;PHBhdGggZD0iTTU3OS45MDcgMC4zNTUzMTYgOTA0LjIxNSAzNTEuNzI2IiBzdHJva2U9IiMyMzFG&#10;MjAiIHN0cm9rZS13aWR0aD0iMS4wNDUwNSIgc3Ryb2tlLW1pdGVybGltaXQ9IjEwIiBmaWxsPSJu&#10;b25lIiB0cmFuc2Zvcm09Im1hdHJpeCgxLjA4NDQ2IDAgMCAxIDEwMi43NDIgMjcuMDI2NykiLz48&#10;cGF0aCBkPSJNNTcyLjQ3NyAwLjM1NTMxNiA4OTYuNzgzIDM1MS43MjYiIHN0cm9rZT0iIzIzMUYy&#10;MCIgc3Ryb2tlLXdpZHRoPSIxLjA0NTA1IiBzdHJva2UtbWl0ZXJsaW1pdD0iMTAiIGZpbGw9Im5v&#10;bmUiIHRyYW5zZm9ybT0ibWF0cml4KDEuMDg0NDYgMCAwIDEgMTAyLjc0MiAyNy4wMjY3KSIvPjxw&#10;YXRoIGQ9Ik01NjUuMDQ3IDAuMzU1MzE2IDg4OS4zNTkgMzUxLjcyNiIgc3Ryb2tlPSIjMjMxRjIw&#10;IiBzdHJva2Utd2lkdGg9IjEuMDQ1MDUiIHN0cm9rZS1taXRlcmxpbWl0PSIxMCIgZmlsbD0ibm9u&#10;ZSIgdHJhbnNmb3JtPSJtYXRyaXgoMS4wODQ0NiAwIDAgMSAxMDIuNzQyIDI3LjAyNjcpIi8+PHBh&#10;dGggZD0iTTU1Ny42MTcgMC4zNTUzMTYgODgxLjkyOCAzNTEuNzI2IiBzdHJva2U9IiMyMzFGMjAi&#10;IHN0cm9rZS13aWR0aD0iMS4wNDUwNSIgc3Ryb2tlLW1pdGVybGltaXQ9IjEwIiBmaWxsPSJub25l&#10;IiB0cmFuc2Zvcm09Im1hdHJpeCgxLjA4NDQ2IDAgMCAxIDEwMi43NDIgMjcuMDI2NykiLz48cGF0&#10;aCBkPSJNNTUwLjE4NiAwLjM1NTMxNiA4NzQuNDk2IDM1MS43MjYiIHN0cm9rZT0iIzIzMUYyMCIg&#10;c3Ryb2tlLXdpZHRoPSIxLjA0NTA1IiBzdHJva2UtbWl0ZXJsaW1pdD0iMTAiIGZpbGw9Im5vbmUi&#10;IHRyYW5zZm9ybT0ibWF0cml4KDEuMDg0NDYgMCAwIDEgMTAyLjc0MiAyNy4wMjY3KSIvPjxwYXRo&#10;IGQ9Ik01NDIuNzU2IDAuMzU1MzE2IDg2Ny4wNjQgMzUxLjcyNiIgc3Ryb2tlPSIjMjMxRjIwIiBz&#10;dHJva2Utd2lkdGg9IjEuMDQ1MDUiIHN0cm9rZS1taXRlcmxpbWl0PSIxMCIgZmlsbD0ibm9uZSIg&#10;dHJhbnNmb3JtPSJtYXRyaXgoMS4wODQ0NiAwIDAgMSAxMDIuNzQyIDI3LjAyNjcpIi8+PHBhdGgg&#10;ZD0iTTUzNS4zMjYgMC4zNTUzMTYgODU5LjYzMiAzNTEuNzI2IiBzdHJva2U9IiMyMzFGMjAiIHN0&#10;cm9rZS13aWR0aD0iMS4wNDUwNSIgc3Ryb2tlLW1pdGVybGltaXQ9IjEwIiBmaWxsPSJub25lIiB0&#10;cmFuc2Zvcm09Im1hdHJpeCgxLjA4NDQ2IDAgMCAxIDEwMi43NDIgMjcuMDI2NykiLz48cGF0aCBk&#10;PSJNNTI3Ljg5NiAwLjM1NTMxNiA4NTIuMjA4IDM1MS43MjYiIHN0cm9rZT0iIzIzMUYyMCIgc3Ry&#10;b2tlLXdpZHRoPSIxLjA0NTA1IiBzdHJva2UtbWl0ZXJsaW1pdD0iMTAiIGZpbGw9Im5vbmUiIHRy&#10;YW5zZm9ybT0ibWF0cml4KDEuMDg0NDYgMCAwIDEgMTAyLjc0MiAyNy4wMjY3KSIvPjxwYXRoIGQ9&#10;Ik01MjAuNDcgMC4zNTUzMTYgODQ0Ljc3NiAzNTEuNzI2IiBzdHJva2U9IiMyMzFGMjAiIHN0cm9r&#10;ZS13aWR0aD0iMS4wNDUwNSIgc3Ryb2tlLW1pdGVybGltaXQ9IjEwIiBmaWxsPSJub25lIiB0cmFu&#10;c2Zvcm09Im1hdHJpeCgxLjA4NDQ2IDAgMCAxIDEwMi43NDIgMjcuMDI2NykiLz48cGF0aCBkPSJN&#10;NTEzLjA0IDAuMzU1MzE2IDgzNy4zNTIgMzUxLjcyNiIgc3Ryb2tlPSIjMjMxRjIwIiBzdHJva2Ut&#10;d2lkdGg9IjEuMDQ1MDUiIHN0cm9rZS1taXRlcmxpbWl0PSIxMCIgZmlsbD0ibm9uZSIgdHJhbnNm&#10;b3JtPSJtYXRyaXgoMS4wODQ0NiAwIDAgMSAxMDIuNzQyIDI3LjAyNjcpIi8+PHBhdGggZD0iTTUw&#10;NS42MSAwLjM1NTMxNiA4MjkuOTIxIDM1MS43MjYiIHN0cm9rZT0iIzIzMUYyMCIgc3Ryb2tlLXdp&#10;ZHRoPSIxLjA0NTA1IiBzdHJva2UtbWl0ZXJsaW1pdD0iMTAiIGZpbGw9Im5vbmUiIHRyYW5zZm9y&#10;bT0ibWF0cml4KDEuMDg0NDYgMCAwIDEgMTAyLjc0MiAyNy4wMjY3KSIvPjxwYXRoIGQ9Ik00OTgu&#10;MTc5IDAuMzU1MzE2IDgyMi40ODkgMzUxLjcyNiIgc3Ryb2tlPSIjMjMxRjIwIiBzdHJva2Utd2lk&#10;dGg9IjEuMDQ1MDUiIHN0cm9rZS1taXRlcmxpbWl0PSIxMCIgZmlsbD0ibm9uZSIgdHJhbnNmb3Jt&#10;PSJtYXRyaXgoMS4wODQ0NiAwIDAgMSAxMDIuNzQyIDI3LjAyNjcpIi8+PHBhdGggZD0iTTQ5MC43&#10;NDkgMC4zNTUzMTYgODE1LjA1NyAzNTEuNzI2IiBzdHJva2U9IiMyMzFGMjAiIHN0cm9rZS13aWR0&#10;aD0iMS4wNDUwNSIgc3Ryb2tlLW1pdGVybGltaXQ9IjEwIiBmaWxsPSJub25lIiB0cmFuc2Zvcm09&#10;Im1hdHJpeCgxLjA4NDQ2IDAgMCAxIDEwMi43NDIgMjcuMDI2NykiLz48cGF0aCBkPSJNNDgzLjMx&#10;OSAwLjM1NTMxNiA4MDcuNjI1IDM1MS43MjYiIHN0cm9rZT0iIzIzMUYyMCIgc3Ryb2tlLXdpZHRo&#10;PSIxLjA0NTA1IiBzdHJva2UtbWl0ZXJsaW1pdD0iMTAiIGZpbGw9Im5vbmUiIHRyYW5zZm9ybT0i&#10;bWF0cml4KDEuMDg0NDYgMCAwIDEgMTAyLjc0MiAyNy4wMjY3KSIvPjxwYXRoIGQ9Ik00NzUuODg5&#10;IDAuMzU1MzE2IDgwMC4yMDEgMzUxLjcyNiIgc3Ryb2tlPSIjMjMxRjIwIiBzdHJva2Utd2lkdGg9&#10;IjEuMDQ1MDUiIHN0cm9rZS1taXRlcmxpbWl0PSIxMCIgZmlsbD0ibm9uZSIgdHJhbnNmb3JtPSJt&#10;YXRyaXgoMS4wODQ0NiAwIDAgMSAxMDIuNzQyIDI3LjAyNjcpIi8+PHBhdGggZD0iTTQ2OC40NTgg&#10;MC4zNTUzMTYgNzkyLjc2OCAzNTEuNzI2IiBzdHJva2U9IiMyMzFGMjAiIHN0cm9rZS13aWR0aD0i&#10;MS4wNDUwNSIgc3Ryb2tlLW1pdGVybGltaXQ9IjEwIiBmaWxsPSJub25lIiB0cmFuc2Zvcm09Im1h&#10;dHJpeCgxLjA4NDQ2IDAgMCAxIDEwMi43NDIgMjcuMDI2NykiLz48cGF0aCBkPSJNNDYxLjAyOCAw&#10;LjM1NTMxNiA3ODUuMzM4IDM1MS43MjYiIHN0cm9rZT0iIzIzMUYyMCIgc3Ryb2tlLXdpZHRoPSIx&#10;LjA0NTA1IiBzdHJva2UtbWl0ZXJsaW1pdD0iMTAiIGZpbGw9Im5vbmUiIHRyYW5zZm9ybT0ibWF0&#10;cml4KDEuMDg0NDYgMCAwIDEgMTAyLjc0MiAyNy4wMjY3KSIvPjxwYXRoIGQ9Ik00NTMuNTk4IDAu&#10;MzU1MzE2IDc3Ny45MTMgMzUxLjcyNiIgc3Ryb2tlPSIjMjMxRjIwIiBzdHJva2Utd2lkdGg9IjEu&#10;MDQ1MDUiIHN0cm9rZS1taXRlcmxpbWl0PSIxMCIgZmlsbD0ibm9uZSIgdHJhbnNmb3JtPSJtYXRy&#10;aXgoMS4wODQ0NiAwIDAgMSAxMDIuNzQyIDI3LjAyNjcpIi8+PHBhdGggZD0iTTQ0Ni4xNzIgMC4z&#10;NTUzMTYgNzcwLjQ4MyAzNTEuNzI2IiBzdHJva2U9IiMyMzFGMjAiIHN0cm9rZS13aWR0aD0iMS4w&#10;NDUwNSIgc3Ryb2tlLW1pdGVybGltaXQ9IjEwIiBmaWxsPSJub25lIiB0cmFuc2Zvcm09Im1hdHJp&#10;eCgxLjA4NDQ2IDAgMCAxIDEwMi43NDIgMjcuMDI2NykiLz48cGF0aCBkPSJNNDM4Ljc0MiAwLjM1&#10;NTMxNiA3NjMuMDUxIDM1MS43MjYiIHN0cm9rZT0iIzIzMUYyMCIgc3Ryb2tlLXdpZHRoPSIxLjA0&#10;NTA1IiBzdHJva2UtbWl0ZXJsaW1pdD0iMTAiIGZpbGw9Im5vbmUiIHRyYW5zZm9ybT0ibWF0cml4&#10;KDEuMDg0NDYgMCAwIDEgMTAyLjc0MiAyNy4wMjY3KSIvPjxwYXRoIGQ9Ik00MzEuMzEyIDAuMzU1&#10;MzE2IDc1NS42MjEgMzUxLjcyNiIgc3Ryb2tlPSIjMjMxRjIwIiBzdHJva2Utd2lkdGg9IjEuMDQ1&#10;MDUiIHN0cm9rZS1taXRlcmxpbWl0PSIxMCIgZmlsbD0ibm9uZSIgdHJhbnNmb3JtPSJtYXRyaXgo&#10;MS4wODQ0NiAwIDAgMSAxMDIuNzQyIDI3LjAyNjcpIi8+PHBhdGggZD0iTTQyMy44ODIgMC4zNTUz&#10;MTYgNzQ4LjE5MSAzNTEuNzI2IiBzdHJva2U9IiMyMzFGMjAiIHN0cm9rZS13aWR0aD0iMS4wNDUw&#10;NSIgc3Ryb2tlLW1pdGVybGltaXQ9IjEwIiBmaWxsPSJub25lIiB0cmFuc2Zvcm09Im1hdHJpeCgx&#10;LjA4NDQ2IDAgMCAxIDEwMi43NDIgMjcuMDI2NykiLz48cGF0aCBkPSJNNDE2LjQ1MSAwLjM1NTMx&#10;NiA3NDAuNzYxIDM1MS43MjYiIHN0cm9rZT0iIzIzMUYyMCIgc3Ryb2tlLXdpZHRoPSIxLjA0NTA1&#10;IiBzdHJva2UtbWl0ZXJsaW1pdD0iMTAiIGZpbGw9Im5vbmUiIHRyYW5zZm9ybT0ibWF0cml4KDEu&#10;MDg0NDYgMCAwIDEgMTAyLjc0MiAyNy4wMjY3KSIvPjxwYXRoIGQ9Ik00MDkuMDIxIDAuMzU1MzE2&#10;IDczMy4zMzEgMzUxLjcyNiIgc3Ryb2tlPSIjMjMxRjIwIiBzdHJva2Utd2lkdGg9IjEuMDQ1MDUi&#10;IHN0cm9rZS1taXRlcmxpbWl0PSIxMCIgZmlsbD0ibm9uZSIgdHJhbnNmb3JtPSJtYXRyaXgoMS4w&#10;ODQ0NiAwIDAgMSAxMDIuNzQyIDI3LjAyNjcpIi8+PHBhdGggZD0iTTQwMS41OTEgMC4zNTUzMTYg&#10;NzI1LjkgMzUxLjcyNiIgc3Ryb2tlPSIjMjMxRjIwIiBzdHJva2Utd2lkdGg9IjEuMDQ1MDUiIHN0&#10;cm9rZS1taXRlcmxpbWl0PSIxMCIgZmlsbD0ibm9uZSIgdHJhbnNmb3JtPSJtYXRyaXgoMS4wODQ0&#10;NiAwIDAgMSAxMDIuNzQyIDI3LjAyNjcpIi8+PHBhdGggZD0iTTM5NC4xNjEgMC4zNTUzMTYgNzE4&#10;LjQ3IDM1MS43MjYiIHN0cm9rZT0iIzIzMUYyMCIgc3Ryb2tlLXdpZHRoPSIxLjA0NTA1IiBzdHJv&#10;a2UtbWl0ZXJsaW1pdD0iMTAiIGZpbGw9Im5vbmUiIHRyYW5zZm9ybT0ibWF0cml4KDEuMDg0NDYg&#10;MCAwIDEgMTAyLjc0MiAyNy4wMjY3KSIvPjxwYXRoIGQ9Ik0zODYuNzMgMC4zNTUzMTYgNzExLjA0&#10;IDM1MS43MjYiIHN0cm9rZT0iIzIzMUYyMCIgc3Ryb2tlLXdpZHRoPSIxLjA0NTA1IiBzdHJva2Ut&#10;bWl0ZXJsaW1pdD0iMTAiIGZpbGw9Im5vbmUiIHRyYW5zZm9ybT0ibWF0cml4KDEuMDg0NDYgMCAw&#10;IDEgMTAyLjc0MiAyNy4wMjY3KSIvPjxwYXRoIGQ9Ik0zNzkuMyAwLjM1NTMxNiA3MDMuNjE1IDM1&#10;MS43MjYiIHN0cm9rZT0iIzIzMUYyMCIgc3Ryb2tlLXdpZHRoPSIxLjA0NTA1IiBzdHJva2UtbWl0&#10;ZXJsaW1pdD0iMTAiIGZpbGw9Im5vbmUiIHRyYW5zZm9ybT0ibWF0cml4KDEuMDg0NDYgMCAwIDEg&#10;MTAyLjc0MiAyNy4wMjY3KSIvPjxwYXRoIGQ9Ik0zNzEuODc1IDAuMzU1MzE2IDY5Ni4xODUgMzUx&#10;LjcyNiIgc3Ryb2tlPSIjMjMxRjIwIiBzdHJva2Utd2lkdGg9IjEuMDQ1MDUiIHN0cm9rZS1taXRl&#10;cmxpbWl0PSIxMCIgZmlsbD0ibm9uZSIgdHJhbnNmb3JtPSJtYXRyaXgoMS4wODQ0NiAwIDAgMSAx&#10;MDIuNzQyIDI3LjAyNjcpIi8+PHBhdGggZD0iTTM2NC40NDQgMC4zNTUzMTYgNjg4Ljc1NSAzNTEu&#10;NzI2IiBzdHJva2U9IiMyMzFGMjAiIHN0cm9rZS13aWR0aD0iMS4wNDUwNSIgc3Ryb2tlLW1pdGVy&#10;bGltaXQ9IjEwIiBmaWxsPSJub25lIiB0cmFuc2Zvcm09Im1hdHJpeCgxLjA4NDQ2IDAgMCAxIDEw&#10;Mi43NDIgMjcuMDI2NykiLz48cGF0aCBkPSJNMzU3LjAxNCAwLjM1NTMxNiA2ODEuMzI0IDM1MS43&#10;MjYiIHN0cm9rZT0iIzIzMUYyMCIgc3Ryb2tlLXdpZHRoPSIxLjA0NTA1IiBzdHJva2UtbWl0ZXJs&#10;aW1pdD0iMTAiIGZpbGw9Im5vbmUiIHRyYW5zZm9ybT0ibWF0cml4KDEuMDg0NDYgMCAwIDEgMTAy&#10;Ljc0MiAyNy4wMjY3KSIvPjxwYXRoIGQ9Ik0zNDkuNTg0IDAuMzU1MzE2IDY3My44OTMgMzUxLjcy&#10;NiIgc3Ryb2tlPSIjMjMxRjIwIiBzdHJva2Utd2lkdGg9IjEuMDQ1MDUiIHN0cm9rZS1taXRlcmxp&#10;bWl0PSIxMCIgZmlsbD0ibm9uZSIgdHJhbnNmb3JtPSJtYXRyaXgoMS4wODQ0NiAwIDAgMSAxMDIu&#10;NzQyIDI3LjAyNjcpIi8+PHBhdGggZD0iTTM0Mi4xNTQgMC4zNTUzMTYgNjY2LjQ2NCAzNTEuNzI2&#10;IiBzdHJva2U9IiMyMzFGMjAiIHN0cm9rZS13aWR0aD0iMS4wNDUwNSIgc3Ryb2tlLW1pdGVybGlt&#10;aXQ9IjEwIiBmaWxsPSJub25lIiB0cmFuc2Zvcm09Im1hdHJpeCgxLjA4NDQ2IDAgMCAxIDEwMi43&#10;NDIgMjcuMDI2NykiLz48cGF0aCBkPSJNMzM0LjcyMyAwLjM1NTMxNiA2NTkuMDMzIDM1MS43MjYi&#10;IHN0cm9rZT0iIzIzMUYyMCIgc3Ryb2tlLXdpZHRoPSIxLjA0NTA1IiBzdHJva2UtbWl0ZXJsaW1p&#10;dD0iMTAiIGZpbGw9Im5vbmUiIHRyYW5zZm9ybT0ibWF0cml4KDEuMDg0NDYgMCAwIDEgMTAyLjc0&#10;MiAyNy4wMjY3KSIvPjxwYXRoIGQ9Ik0zMjcuMjkzIDAuMzU1MzE2IDY1MS42MDIgMzUxLjcyNiIg&#10;c3Ryb2tlPSIjMjMxRjIwIiBzdHJva2Utd2lkdGg9IjEuMDQ1MDUiIHN0cm9rZS1taXRlcmxpbWl0&#10;PSIxMCIgZmlsbD0ibm9uZSIgdHJhbnNmb3JtPSJtYXRyaXgoMS4wODQ0NiAwIDAgMSAxMDIuNzQy&#10;IDI3LjAyNjcpIi8+PHBhdGggZD0iTTMxOS44NjMgMC4zNTUzMTYgNjQ0LjE3MiAzNTEuNzI2IiBz&#10;dHJva2U9IiMyMzFGMjAiIHN0cm9rZS13aWR0aD0iMS4wNDUwNSIgc3Ryb2tlLW1pdGVybGltaXQ9&#10;IjEwIiBmaWxsPSJub25lIiB0cmFuc2Zvcm09Im1hdHJpeCgxLjA4NDQ2IDAgMCAxIDEwMi43NDIg&#10;MjcuMDI2NykiLz48cGF0aCBkPSJNMzEyLjQzMyAwLjM1NTMxNiA2MzYuNzQyIDM1MS43MjYiIHN0&#10;cm9rZT0iIzIzMUYyMCIgc3Ryb2tlLXdpZHRoPSIxLjA0NTA1IiBzdHJva2UtbWl0ZXJsaW1pdD0i&#10;MTAiIGZpbGw9Im5vbmUiIHRyYW5zZm9ybT0ibWF0cml4KDEuMDg0NDYgMCAwIDEgMTAyLjc0MiAy&#10;Ny4wMjY3KSIvPjxwYXRoIGQ9Ik0zMDUuMDAyIDAuMzU1MzE2IDYyOS4zMTcgMzUxLjcyNiIgc3Ry&#10;b2tlPSIjMjMxRjIwIiBzdHJva2Utd2lkdGg9IjEuMDQ1MDUiIHN0cm9rZS1taXRlcmxpbWl0PSIx&#10;MCIgZmlsbD0ibm9uZSIgdHJhbnNmb3JtPSJtYXRyaXgoMS4wODQ0NiAwIDAgMSAxMDIuNzQyIDI3&#10;LjAyNjcpIi8+PHBhdGggZD0iTTI5Ny41NzcgMC4zNTUzMTYgNjIxLjg4NyAzNTEuNzI2IiBzdHJv&#10;a2U9IiMyMzFGMjAiIHN0cm9rZS13aWR0aD0iMS4wNDUwNSIgc3Ryb2tlLW1pdGVybGltaXQ9IjEw&#10;IiBmaWxsPSJub25lIiB0cmFuc2Zvcm09Im1hdHJpeCgxLjA4NDQ2IDAgMCAxIDEwMi43NDIgMjcu&#10;MDI2NykiLz48cGF0aCBkPSJNMjkwLjE0NyAwLjM1NTMxNiA2MTQuNDU3IDM1MS43MjYiIHN0cm9r&#10;ZT0iIzIzMUYyMCIgc3Ryb2tlLXdpZHRoPSIxLjA0NTA1IiBzdHJva2UtbWl0ZXJsaW1pdD0iMTAi&#10;IGZpbGw9Im5vbmUiIHRyYW5zZm9ybT0ibWF0cml4KDEuMDg0NDYgMCAwIDEgMTAyLjc0MiAyNy4w&#10;MjY3KSIvPjxwYXRoIGQ9Ik0yODIuNzE2IDAuMzU1MzE2IDYwNy4wMjcgMzUxLjcyNiIgc3Ryb2tl&#10;PSIjMjMxRjIwIiBzdHJva2Utd2lkdGg9IjEuMDQ1MDUiIHN0cm9rZS1taXRlcmxpbWl0PSIxMCIg&#10;ZmlsbD0ibm9uZSIgdHJhbnNmb3JtPSJtYXRyaXgoMS4wODQ0NiAwIDAgMSAxMDIuNzQyIDI3LjAy&#10;NjcpIi8+PHBhdGggZD0iTTI3NS4yODYgMC4zNTUzMTYgNTk5LjU5NiAzNTEuNzI2IiBzdHJva2U9&#10;IiMyMzFGMjAiIHN0cm9rZS13aWR0aD0iMS4wNDUwNSIgc3Ryb2tlLW1pdGVybGltaXQ9IjEwIiBm&#10;aWxsPSJub25lIiB0cmFuc2Zvcm09Im1hdHJpeCgxLjA4NDQ2IDAgMCAxIDEwMi43NDIgMjcuMDI2&#10;NykiLz48cGF0aCBkPSJNMjY3Ljg1NiAwLjM1NTMxNiA1OTIuMTY2IDM1MS43MjYiIHN0cm9rZT0i&#10;IzIzMUYyMCIgc3Ryb2tlLXdpZHRoPSIxLjA0NTA1IiBzdHJva2UtbWl0ZXJsaW1pdD0iMTAiIGZp&#10;bGw9Im5vbmUiIHRyYW5zZm9ybT0ibWF0cml4KDEuMDg0NDYgMCAwIDEgMTAyLjc0MiAyNy4wMjY3&#10;KSIvPjxwYXRoIGQ9Ik0yNjAuNDI2IDAuMzU1MzE2IDU4NC43MzYgMzUxLjcyNiIgc3Ryb2tlPSIj&#10;MjMxRjIwIiBzdHJva2Utd2lkdGg9IjEuMDQ1MDUiIHN0cm9rZS1taXRlcmxpbWl0PSIxMCIgZmls&#10;bD0ibm9uZSIgdHJhbnNmb3JtPSJtYXRyaXgoMS4wODQ0NiAwIDAgMSAxMDIuNzQyIDI3LjAyNjcp&#10;Ii8+PHBhdGggZD0iTTI1Mi45OTUgMC4zNTUzMTYgNTc3LjMwNiAzNTEuNzI2IiBzdHJva2U9IiMy&#10;MzFGMjAiIHN0cm9rZS13aWR0aD0iMS4wNDUwNSIgc3Ryb2tlLW1pdGVybGltaXQ9IjEwIiBmaWxs&#10;PSJub25lIiB0cmFuc2Zvcm09Im1hdHJpeCgxLjA4NDQ2IDAgMCAxIDEwMi43NDIgMjcuMDI2Nyki&#10;Lz48cGF0aCBkPSJNMjQ1LjU2NSAwLjM1NTMxNiA1NjkuODc1IDM1MS43MjYiIHN0cm9rZT0iIzIz&#10;MUYyMCIgc3Ryb2tlLXdpZHRoPSIxLjA0NTA1IiBzdHJva2UtbWl0ZXJsaW1pdD0iMTAiIGZpbGw9&#10;Im5vbmUiIHRyYW5zZm9ybT0ibWF0cml4KDEuMDg0NDYgMCAwIDEgMTAyLjc0MiAyNy4wMjY3KSIv&#10;PjxwYXRoIGQ9Ik0yMzguMTM1IDAuMzU1MzE2IDU2Mi40NDQgMzUxLjcyNiIgc3Ryb2tlPSIjMjMx&#10;RjIwIiBzdHJva2Utd2lkdGg9IjEuMDQ1MDUiIHN0cm9rZS1taXRlcmxpbWl0PSIxMCIgZmlsbD0i&#10;bm9uZSIgdHJhbnNmb3JtPSJtYXRyaXgoMS4wODQ0NiAwIDAgMSAxMDIuNzQyIDI3LjAyNjcpIi8+&#10;PHBhdGggZD0iTTIzMC43MDUgMC4zNTUzMTYgNTU1LjAyIDM1MS43MjYiIHN0cm9rZT0iIzIzMUYy&#10;MCIgc3Ryb2tlLXdpZHRoPSIxLjA0NTA1IiBzdHJva2UtbWl0ZXJsaW1pdD0iMTAiIGZpbGw9Im5v&#10;bmUiIHRyYW5zZm9ybT0ibWF0cml4KDEuMDg0NDYgMCAwIDEgMTAyLjc0MiAyNy4wMjY3KSIvPjxw&#10;YXRoIGQ9Ik0yMjMuMjggMC4zNTUzMTYgNTQ3LjU4OSAzNTEuNzI2IiBzdHJva2U9IiMyMzFGMjAi&#10;IHN0cm9rZS13aWR0aD0iMS4wNDUwNSIgc3Ryb2tlLW1pdGVybGltaXQ9IjEwIiBmaWxsPSJub25l&#10;IiB0cmFuc2Zvcm09Im1hdHJpeCgxLjA4NDQ2IDAgMCAxIDEwMi43NDIgMjcuMDI2NykiLz48cGF0&#10;aCBkPSJNMjE1Ljg1IDAuMzU1MzE2IDU0MC4xNTkgMzUxLjcyNiIgc3Ryb2tlPSIjMjMxRjIwIiBz&#10;dHJva2Utd2lkdGg9IjEuMDQ1MDUiIHN0cm9rZS1taXRlcmxpbWl0PSIxMCIgZmlsbD0ibm9uZSIg&#10;dHJhbnNmb3JtPSJtYXRyaXgoMS4wODQ0NiAwIDAgMSAxMDIuNzQyIDI3LjAyNjcpIi8+PHBhdGgg&#10;ZD0iTTIwOC40MTkgMC4zNTUzMTYgNTMyLjcyOSAzNTEuNzI2IiBzdHJva2U9IiMyMzFGMjAiIHN0&#10;cm9rZS13aWR0aD0iMS4wNDUwNSIgc3Ryb2tlLW1pdGVybGltaXQ9IjEwIiBmaWxsPSJub25lIiB0&#10;cmFuc2Zvcm09Im1hdHJpeCgxLjA4NDQ2IDAgMCAxIDEwMi43NDIgMjcuMDI2NykiLz48cGF0aCBk&#10;PSJNMjAwLjk4OCAwLjM1NTMxNiA1MjUuMjk5IDM1MS43MjYiIHN0cm9rZT0iIzIzMUYyMCIgc3Ry&#10;b2tlLXdpZHRoPSIxLjA0NTA1IiBzdHJva2UtbWl0ZXJsaW1pdD0iMTAiIGZpbGw9Im5vbmUiIHRy&#10;YW5zZm9ybT0ibWF0cml4KDEuMDg0NDYgMCAwIDEgMTAyLjc0MiAyNy4wMjY3KSIvPjxwYXRoIGQ9&#10;Ik0xOTMuNTU4IDAuMzU1MzE2IDUxNy44NjggMzUxLjcyNiIgc3Ryb2tlPSIjMjMxRjIwIiBzdHJv&#10;a2Utd2lkdGg9IjEuMDQ1MDUiIHN0cm9rZS1taXRlcmxpbWl0PSIxMCIgZmlsbD0ibm9uZSIgdHJh&#10;bnNmb3JtPSJtYXRyaXgoMS4wODQ0NiAwIDAgMSAxMDIuNzQyIDI3LjAyNjcpIi8+PHBhdGggZD0i&#10;TTE4Ni4xMjggMC4zNTUzMTYgNTEwLjQzOCAzNTEuNzI2IiBzdHJva2U9IiMyMzFGMjAiIHN0cm9r&#10;ZS13aWR0aD0iMS4wNDUwNSIgc3Ryb2tlLW1pdGVybGltaXQ9IjEwIiBmaWxsPSJub25lIiB0cmFu&#10;c2Zvcm09Im1hdHJpeCgxLjA4NDQ2IDAgMCAxIDEwMi43NDIgMjcuMDI2NykiLz48cGF0aCBkPSJN&#10;MTc4LjY5OCAwLjM1NTMxNiA1MDMuMDA4IDM1MS43MjYiIHN0cm9rZT0iIzIzMUYyMCIgc3Ryb2tl&#10;LXdpZHRoPSIxLjA0NTA1IiBzdHJva2UtbWl0ZXJsaW1pdD0iMTAiIGZpbGw9Im5vbmUiIHRyYW5z&#10;Zm9ybT0ibWF0cml4KDEuMDg0NDYgMCAwIDEgMTAyLjc0MiAyNy4wMjY3KSIvPjxwYXRoIGQ9Ik0x&#10;NzEuMjY3IDAuMzU1MzE2IDQ5NS41NzggMzUxLjcyNiIgc3Ryb2tlPSIjMjMxRjIwIiBzdHJva2Ut&#10;d2lkdGg9IjEuMDQ1MDUiIHN0cm9rZS1taXRlcmxpbWl0PSIxMCIgZmlsbD0ibm9uZSIgdHJhbnNm&#10;b3JtPSJtYXRyaXgoMS4wODQ0NiAwIDAgMSAxMDIuNzQyIDI3LjAyNjcpIi8+PHBhdGggZD0iTTE2&#10;My44MzcgMC4zNTUzMTYgNDg4LjE0NyAzNTEuNzI2IiBzdHJva2U9IiMyMzFGMjAiIHN0cm9rZS13&#10;aWR0aD0iMS4wNDUwNSIgc3Ryb2tlLW1pdGVybGltaXQ9IjEwIiBmaWxsPSJub25lIiB0cmFuc2Zv&#10;cm09Im1hdHJpeCgxLjA4NDQ2IDAgMCAxIDEwMi43NDIgMjcuMDI2NykiLz48cGF0aCBkPSJNMTU2&#10;LjQwNyAwLjM1NTMxNiA0ODAuNzIyIDM1MS43MjYiIHN0cm9rZT0iIzIzMUYyMCIgc3Ryb2tlLXdp&#10;ZHRoPSIxLjA0NTA1IiBzdHJva2UtbWl0ZXJsaW1pdD0iMTAiIGZpbGw9Im5vbmUiIHRyYW5zZm9y&#10;bT0ibWF0cml4KDEuMDg0NDYgMCAwIDEgMTAyLjc0MiAyNy4wMjY3KSIvPjxwYXRoIGQ9Ik0xNDgu&#10;OTgyIDAuMzU1MzE2IDQ3My4yOTIgMzUxLjcyNiIgc3Ryb2tlPSIjMjMxRjIwIiBzdHJva2Utd2lk&#10;dGg9IjEuMDQ1MDUiIHN0cm9rZS1taXRlcmxpbWl0PSIxMCIgZmlsbD0ibm9uZSIgdHJhbnNmb3Jt&#10;PSJtYXRyaXgoMS4wODQ0NiAwIDAgMSAxMDIuNzQyIDI3LjAyNjcpIi8+PHBhdGggZD0iTTE0MS41&#10;NTIgMC4zNTUzMTYgNDY1Ljg2MSAzNTEuNzI2IiBzdHJva2U9IiMyMzFGMjAiIHN0cm9rZS13aWR0&#10;aD0iMS4wNDUwNSIgc3Ryb2tlLW1pdGVybGltaXQ9IjEwIiBmaWxsPSJub25lIiB0cmFuc2Zvcm09&#10;Im1hdHJpeCgxLjA4NDQ2IDAgMCAxIDEwMi43NDIgMjcuMDI2NykiLz48cGF0aCBkPSJNMTM0LjEy&#10;MiAwLjM1NTMxNiA0NTguNDMxIDM1MS43MjYiIHN0cm9rZT0iIzIzMUYyMCIgc3Ryb2tlLXdpZHRo&#10;PSIxLjA0NTA1IiBzdHJva2UtbWl0ZXJsaW1pdD0iMTAiIGZpbGw9Im5vbmUiIHRyYW5zZm9ybT0i&#10;bWF0cml4KDEuMDg0NDYgMCAwIDEgMTAyLjc0MiAyNy4wMjY3KSIvPjxwYXRoIGQ9Ik0xMjYuNjkx&#10;IDAuMzU1MzE2IDQ1MS4wMDEgMzUxLjcyNiIgc3Ryb2tlPSIjMjMxRjIwIiBzdHJva2Utd2lkdGg9&#10;IjEuMDQ1MDUiIHN0cm9rZS1taXRlcmxpbWl0PSIxMCIgZmlsbD0ibm9uZSIgdHJhbnNmb3JtPSJt&#10;YXRyaXgoMS4wODQ0NiAwIDAgMSAxMDIuNzQyIDI3LjAyNjcpIi8+PHBhdGggZD0iTTExOS4yNjEg&#10;MC4zNTUzMTYgNDQzLjU3IDM1MS43MjYiIHN0cm9rZT0iIzIzMUYyMCIgc3Ryb2tlLXdpZHRoPSIx&#10;LjA0NTA1IiBzdHJva2UtbWl0ZXJsaW1pdD0iMTAiIGZpbGw9Im5vbmUiIHRyYW5zZm9ybT0ibWF0&#10;cml4KDEuMDg0NDYgMCAwIDEgMTAyLjc0MiAyNy4wMjY3KSIvPjxwYXRoIGQ9Ik0xMTEuODMgMC4z&#10;NTUzMTYgNDM2LjE0IDM1MS43MjYiIHN0cm9rZT0iIzIzMUYyMCIgc3Ryb2tlLXdpZHRoPSIxLjA0&#10;NTA1IiBzdHJva2UtbWl0ZXJsaW1pdD0iMTAiIGZpbGw9Im5vbmUiIHRyYW5zZm9ybT0ibWF0cml4&#10;KDEuMDg0NDYgMCAwIDEgMTAyLjc0MiAyNy4wMjY3KSIvPjxwYXRoIGQ9Ik0xMDQuNCAwLjM1NTMx&#10;NiA0MjguNzEgMzUxLjcyNiIgc3Ryb2tlPSIjMjMxRjIwIiBzdHJva2Utd2lkdGg9IjEuMDQ1MDUi&#10;IHN0cm9rZS1taXRlcmxpbWl0PSIxMCIgZmlsbD0ibm9uZSIgdHJhbnNmb3JtPSJtYXRyaXgoMS4w&#10;ODQ0NiAwIDAgMSAxMDIuNzQyIDI3LjAyNjcpIi8+PHBhdGggZD0iTTk2Ljk2OTYgMC4zNTUzMTYg&#10;NDIxLjI4IDM1MS43MjYiIHN0cm9rZT0iIzIzMUYyMCIgc3Ryb2tlLXdpZHRoPSIxLjA0NTA1IiBz&#10;dHJva2UtbWl0ZXJsaW1pdD0iMTAiIGZpbGw9Im5vbmUiIHRyYW5zZm9ybT0ibWF0cml4KDEuMDg0&#10;NDYgMCAwIDEgMTAyLjc0MiAyNy4wMjY3KSIvPjxwYXRoIGQ9Ik04OS41Mzk0IDAuMzU1MzE2IDQx&#10;My44NDkgMzUxLjcyNiIgc3Ryb2tlPSIjMjMxRjIwIiBzdHJva2Utd2lkdGg9IjEuMDQ1MDUiIHN0&#10;cm9rZS1taXRlcmxpbWl0PSIxMCIgZmlsbD0ibm9uZSIgdHJhbnNmb3JtPSJtYXRyaXgoMS4wODQ0&#10;NiAwIDAgMSAxMDIuNzQyIDI3LjAyNjcpIi8+PHBhdGggZD0iTTgyLjEwOTEgMC4zNTUzMTYgNDA2&#10;LjQyNCAzNTEuNzI2IiBzdHJva2U9IiMyMzFGMjAiIHN0cm9rZS13aWR0aD0iMS4wNDUwNSIgc3Ry&#10;b2tlLW1pdGVybGltaXQ9IjEwIiBmaWxsPSJub25lIiB0cmFuc2Zvcm09Im1hdHJpeCgxLjA4NDQ2&#10;IDAgMCAxIDEwMi43NDIgMjcuMDI2NykiLz48cGF0aCBkPSJNNzQuNjc5MSAwLjM1NTMxNiAzOTgu&#10;OTk0IDM1MS43MjYiIHN0cm9rZT0iIzIzMUYyMCIgc3Ryb2tlLXdpZHRoPSIxLjA0NTA1IiBzdHJv&#10;a2UtbWl0ZXJsaW1pdD0iMTAiIGZpbGw9Im5vbmUiIHRyYW5zZm9ybT0ibWF0cml4KDEuMDg0NDYg&#10;MCAwIDEgMTAyLjc0MiAyNy4wMjY3KSIvPjxwYXRoIGQ9Ik02Ny4yNTQgMC4zNTUzMTYgMzkxLjU2&#10;NCAzNTEuNzI2IiBzdHJva2U9IiMyMzFGMjAiIHN0cm9rZS13aWR0aD0iMS4wNDUwNSIgc3Ryb2tl&#10;LW1pdGVybGltaXQ9IjEwIiBmaWxsPSJub25lIiB0cmFuc2Zvcm09Im1hdHJpeCgxLjA4NDQ2IDAg&#10;MCAxIDEwMi43NDIgMjcuMDI2NykiLz48cGF0aCBkPSJNNTkuODIzOCAwLjM1NTMxNiAzODQuMTMz&#10;IDM1MS43MjYiIHN0cm9rZT0iIzIzMUYyMCIgc3Ryb2tlLXdpZHRoPSIxLjA0NTA1IiBzdHJva2Ut&#10;bWl0ZXJsaW1pdD0iMTAiIGZpbGw9Im5vbmUiIHRyYW5zZm9ybT0ibWF0cml4KDEuMDg0NDYgMCAw&#10;IDEgMTAyLjc0MiAyNy4wMjY3KSIvPjxwYXRoIGQ9Ik01Mi4zOTM0IDAuMzU1MzE2IDM3Ni43MDMg&#10;MzUxLjcyNiIgc3Ryb2tlPSIjMjMxRjIwIiBzdHJva2Utd2lkdGg9IjEuMDQ1MDUiIHN0cm9rZS1t&#10;aXRlcmxpbWl0PSIxMCIgZmlsbD0ibm9uZSIgdHJhbnNmb3JtPSJtYXRyaXgoMS4wODQ0NiAwIDAg&#10;MSAxMDIuNzQyIDI3LjAyNjcpIi8+PHBhdGggZD0iTTQ0Ljk2MzIgMC4zNTUzMTYgMzY5LjI3MyAz&#10;NTEuNzI2IiBzdHJva2U9IiMyMzFGMjAiIHN0cm9rZS13aWR0aD0iMS4wNDUwNSIgc3Ryb2tlLW1p&#10;dGVybGltaXQ9IjEwIiBmaWxsPSJub25lIiB0cmFuc2Zvcm09Im1hdHJpeCgxLjA4NDQ2IDAgMCAx&#10;IDEwMi43NDIgMjcuMDI2NykiLz48cGF0aCBkPSJNMzcuNTMyOSAwLjM1NTMxNiAzNjEuODQyIDM1&#10;MS43MjYiIHN0cm9rZT0iIzIzMUYyMCIgc3Ryb2tlLXdpZHRoPSIxLjA0NTA1IiBzdHJva2UtbWl0&#10;ZXJsaW1pdD0iMTAiIGZpbGw9Im5vbmUiIHRyYW5zZm9ybT0ibWF0cml4KDEuMDg0NDYgMCAwIDEg&#10;MTAyLjc0MiAyNy4wMjY3KSIvPjxwYXRoIGQ9Ik0zMC4xMDI2IDAuMzU1MzE2IDM1NC40MTIgMzUx&#10;LjcyNiIgc3Ryb2tlPSIjMjMxRjIwIiBzdHJva2Utd2lkdGg9IjEuMDQ1MDUiIHN0cm9rZS1taXRl&#10;cmxpbWl0PSIxMCIgZmlsbD0ibm9uZSIgdHJhbnNmb3JtPSJtYXRyaXgoMS4wODQ0NiAwIDAgMSAx&#10;MDIuNzQyIDI3LjAyNjcpIi8+PHBhdGggZD0iTTIyLjY3MjMgMC4zNTUzMTYgMzQ2Ljk4MiAzNTEu&#10;NzI2IiBzdHJva2U9IiMyMzFGMjAiIHN0cm9rZS13aWR0aD0iMS4wNDUwNSIgc3Ryb2tlLW1pdGVy&#10;bGltaXQ9IjEwIiBmaWxsPSJub25lIiB0cmFuc2Zvcm09Im1hdHJpeCgxLjA4NDQ2IDAgMCAxIDEw&#10;Mi43NDIgMjcuMDI2NykiLz48cGF0aCBkPSJNMTUuMjQyIDAuMzU1MzE2IDMzOS41NTIgMzUxLjcy&#10;NiIgc3Ryb2tlPSIjMjMxRjIwIiBzdHJva2Utd2lkdGg9IjEuMDQ1MDUiIHN0cm9rZS1taXRlcmxp&#10;bWl0PSIxMCIgZmlsbD0ibm9uZSIgdHJhbnNmb3JtPSJtYXRyaXgoMS4wODQ0NiAwIDAgMSAxMDIu&#10;NzQyIDI3LjAyNjcpIi8+PHBhdGggZD0iTTcuODExNzMgMC4zNTUzMTYgMzMyLjEyNiAzNTEuNzI2&#10;IiBzdHJva2U9IiMyMzFGMjAiIHN0cm9rZS13aWR0aD0iMS4wNDUwNSIgc3Ryb2tlLW1pdGVybGlt&#10;aXQ9IjEwIiBmaWxsPSJub25lIiB0cmFuc2Zvcm09Im1hdHJpeCgxLjA4NDQ2IDAgMCAxIDEwMi43&#10;NDIgMjcuMDI2NykiLz48cGF0aCBkPSJNMC4zODE0NDIgMC4zNTUzMTYgMzI0LjY5NiAzNTEuNzI2&#10;IiBzdHJva2U9IiMyMzFGMjAiIHN0cm9rZS13aWR0aD0iMS4wNDUwNSIgc3Ryb2tlLW1pdGVybGlt&#10;aXQ9IjEwIiBmaWxsPSJub25lIiB0cmFuc2Zvcm09Im1hdHJpeCgxLjA4NDQ2IDAgMCAxIDEwMi43&#10;NDIgMjcuMDI2NykiLz48L2c+PC9nPjwvZz48L2c+PGcgY2xpcC1wYXRoPSJ1cmwoI2NsaXAxMzIp&#10;Ij48ZyBjbGlwLXBhdGg9InVybCgjY2xpcDEzMykiPjxnIGNsaXAtcGF0aD0idXJsKCNjbGlwMTM0&#10;KSI+PGcgY2xpcC1wYXRoPSJ1cmwoI2NsaXAxMzUpIj48cGF0aCBkPSJNNTU0LjQzOCAyNy4zMjMy&#10;QzU1MC4zOTEgMjYuNTAxMiA1NDYuODg0IDI4LjkyNzEgNTQ2LjA2NyAzMi45Njg0IDU0NC4yMzkg&#10;NDIuMDEwOSA1NDYuNzIzIDQzLjAzNDIgNTQxLjc5MSA1MC44MjkzIDUzNi45NSA0Ni4xODQ0IDUy&#10;OS43ODggNDIuOTQyMiA1MjMuMjQ1IDQwLjMzMjMgNTE1Ljc2MSAzNy4zNDMxIDUwNy41MTcgMzQu&#10;OTQwMSA0OTguODA4IDMzLjMyNDcgNDkwLjU4MiAzMS44MDE0IDQ4Mi4wMjIgMzEuNzAzNiA0NzMu&#10;NDc0IDMxLjU1OTkgNDY3Ljc3MiAzMS40NjIzIDQ2MS42MDMgMzEuMTE3MyA0NTUuMjA1IDMyLjE5&#10;ODEgNDQ5LjM0NyAzMy4xOTI1IDQ0My40ODMgMzUuMTM1NiA0MzcuNTExIDM3LjAwOTYgNDMxLjY3&#10;NiAzOC44NDM0IDQyNS41NjUgNDAuMTgyOSA0MjAuMDQ2IDQyLjc1ODMgNDEyLjQzNSA0Ni4zMDUy&#10;IDQwMy44MTggNTEuOTY3NSAzOTUuODE2IDU4LjcyMjIgMzkwLjA3MyA1Ni4zMzY1IDM4My40MzMg&#10;NTUuMzg4IDM3Ni44MDUgNTMuNzE1MSAzNzAuNzkyIDUyLjE5NzUgMzY0LjY4NyA1MC4xMzM3IDM1&#10;Ny45MTUgNDkuMTk2NyAzNTEuNzU5IDQ4LjM0NTkgMzQ1LjMyNiA0Ny44Mjg2IDMzOC41MTMgNDcu&#10;NDQ5MSAzMzEuNTA2IDQ3LjA1ODIgMzI0LjUwNCA0NC43NTMgMzE3LjUyNSA0NC44Mjc4IDMxMC41&#10;NDYgNDQuOTAyNSAzMDMuNTI3IDQ3Ljg5NzYgMjk2LjYxMSA0OC4zMTE0IDI4OS40ODkgNDguNzQy&#10;NSAyODIuMzUgNDcuNTA2NiAyNzUuNTMxIDQ4LjE1NjMgMjY4LjMyOCA0OC44NDAzIDI2MS40MjQg&#10;NTAuNDkwMSAyNTQuNzIyIDUxLjI1NDggMjQ3Ljc0MyA1Mi4wNDggMjQwLjc2NCA1NC4zMDE1IDIz&#10;My4zNzcgNTUuOTg1OCAyMjYuNDMzIDU3LjU2NjcgMjE4Ljk4OCA1Ny45OTIxIDIxMS44NjUgNjAu&#10;MzAzIDIwNC43NDMgNjIuNjE0IDE5OC40MTMgNjUuNzcgMTkxLjU2MSA2OC42MTU2IDE4NC43MDkg&#10;NzEuNDYxMSAxNzguMjUzIDc0LjQ5MDcgMTcxLjY5NSA3Ny44MTkyIDE2NS4wODkgODEuMTcwNiAx&#10;NTguMTUxIDgzLjcyMzMgMTUyLjA3NCA4Ny40NTM1IDE0NS45OTggOTEuMTg0NiAxMzkuMzkyIDk1&#10;LjE4IDEzMy43MjUgOTkuNDExMiAxMjcuNjc3IDEwMy45MjMgMTIzLjEwMSAxMDkuODY3IDExNy45&#10;OTYgMTE0LjY0NSAxMTIuNDA5IDExOS44NyAxMDcuODMyIDEyNS40MjMgMTAzLjU1IDEzMC44MTUg&#10;MTAyLjA3MyAxMzIuNjc4IDk5LjgzNiAxMzMuOTYxIDk4LjQ3OTggMTM1Ljc0MiA5MS41ODcxIDEz&#10;NS41NjQgODQuNTczNyAxMzYuNjk3IDc3LjQ5NzIgMTM4LjU1OSA3MS41MjQ0IDE0MC4xMzQgNjQu&#10;ODk2MiAxNDAuNzkgNTkuMjIyMyAxNDMuNjkzIDUzLjU0ODUgMTQ2LjU5NSA0OS44MzQ5IDE1Mi4y&#10;MjMgNDQuODkxIDE1Ni4xNjcgMzkuNDI5OCAxNjAuNTI1IDMyLjQ2MjUgMTYzLjM4OCAyNy45OTU4&#10;IDE2OC43MDUgMjMuNTExOSAxNzQuMDM5IDIxLjA1MTUgMTgwLjk0NCAxNy42ODg1IDE4Ny4wMzEg&#10;MTQuMzI1NiAxOTMuMTE5IDExLjQ2ODUgMTk5LjQxOSA5LjM0MTQ5IDIwNi4wNTMgNy4yMjYwMiAy&#10;MTIuNjY1IDQuMzgwNDUgMjE5LjI3NiAzLjYwNDM5IDIyNi4yMiAzLjE0NDQ5IDIzMC4zMjQgNy4y&#10;NDkwMSAyMzMuNDE3IDExLjM1MzYgMjMzLjg3NyAxMS42MzUyIDIzMy45MTIgMTEuODM2NCAyMzQu&#10;ODYgMTIuMTEyNCAyMzQuODYgMTUuODY2MiAyMzQuODYgMTcuODQ5NCAyMzEuNjgxIDE4LjI3NDkg&#10;MjI3Ljg1OCAxOS4xNjU5IDIxOS44OTcgMjIuMDUxOCAyMTIuMTI0IDI0Ljk2NjMgMjA0LjcyNiAy&#10;Ny44OTIzIDE5Ny4zMDQgMzMuMzUzNiAxOTEuMzI1IDM4LjA3ODkgMTg0Ljg5OSA0Mi43ODcgMTc4&#10;LjQ5NSA0Ny4xOTYyIDE3MS45MTggNTMuNDYyMiAxNjYuOTIzIDU4LjU0NCAxNjIuODcgNjMuODQ0&#10;MiAxNTkuMzExIDY5LjQ1NDkgMTU2Ljc0MiA3NS4zOTkgMTU0LjAxNyA4MS4wNzg1IDE1Mi4zNzMg&#10;ODcuMTM3NSAxNTEuNDI1IDgyLjk2NDMgMTU4LjMwNSA3OS4yOTA3IDE2NS4wMiA3Ni4zNTkgMTcz&#10;LjM0NCA3My4xODU4IDE4Mi4zNTIgNzQuMzY5OSAxOTIuNCA3Ni4zMzAyIDIwMS42MjEgNzguNTE0&#10;NyAyMTEuOTE3IDgyLjU0NDIgMjIwLjYyNiA5MC4xNjExIDIyNi4zNTIgOTUuMzQ2NyAyMzAuMjU1&#10;IDEwMS41MTUgMjMxLjMyNSAxMDcuOTc2IDIzMS45MzQgMTE0LjAzIDIzMi41MDMgMTIwLjIyNyAy&#10;MzIuNTQ5IDEyNi42MDIgMjMwLjE0IDEzMy42OSAyMjcuNDU2IDEzOS4zNzYgMjIyLjkwOCAxNDQu&#10;MTk4IDIxNy42NiAxNDkuMjY5IDIxMi4xNDIgMTU0LjA1NyAyMDYuMTk3IDE1NS41MTggMTk5LjA3&#10;NSAxNTYuODQ1IDE5Mi41OSAxNTYuODk4IDE4NS41NzcgMTU1LjMzOSAxNzkuMDEyIDE1My44Njgg&#10;MTcyLjc5MiAxNDkuNjEzIDE2Ny4zNTQgMTQ1LjY4MiAxNjEuNjQ2IDE0MS45NjIgMTU2LjI1NCAx&#10;MzcuODk4IDE1MS4xNTUgMTMyLjY2NyAxNDcuMjY4IDEyNy40MzUgMTQzLjM4MiAxMjAuMzk5IDE0&#10;MC40NzkgMTE0LjIzMSAxMzguNjIyIDExOC4yNzIgMTMzLjY3MyAxMjQuMzIgMTI4LjY3NyAxMjku&#10;NTU3IDEyMy45MjMgMTM0LjM2OSAxMTkuNTU0IDEzOS4xNDUgMTE0LjY3OSAxNDQuNzY4IDExMC41&#10;OCAxNTAuMDkxIDEwNi43IDE1NS45ODMgMTAzLjI5MSAxNjEuODcgOTkuNzQ0NyAxNjcuNzU2IDk2&#10;LjE5NzkgMTczLjgzMyA5My42OTEyIDE3OS45MDkgOTAuNjMyNyAxODUuOTE2IDg3LjYxNDcgMTkx&#10;Ljg0OSA4NC4zODk1IDE5OC4wNzQgODEuODIwMSAyMDQuMzQ2IDc5LjIzMzMgMjEwLjg3MSA3Ny40&#10;NzQyIDIxNy4yMjMgNzUuNDIyIDIyMy41NzUgNzMuMzY5NyAyMzAuMjI3IDcxLjY2ODEgMjM2LjY3&#10;NiA3MC4yMDIyIDI0My40MzEgNjguNjY3NCAyNDkuNzQzIDY1LjMyNzQgMjU2LjIzOSA2NC41ODU4&#10;IDI2Mi41OTIgNjMuODYxNSAyNzAuMTA1IDY1LjgwNDUgMjc3LjkyMyA2NS4wNTcyIDI4NC42OTUg&#10;NjQuNDA3NiAyOTEuODE3IDYzLjI5ODEgMjk5LjI5IDYyLjg3MjcgMzA2LjI4MSA2Mi40NzYxIDMx&#10;My40NDMgNjEuMjUxNiAzMjAuNzQ0IDYxLjI0NTggMzI3Ljg4NCA2MS4yNDU4IDMzNS4wMTggNjIu&#10;NDcwMyAzNDIuMTc1IDYzLjAxNjQgMzQ5LjMzMiA2My41NjI2IDM1Ni44OCA2Mi4xMTk2IDM2My44&#10;MzYgNjMuNDAxNiAzNzAuNzkyIDY0LjY4MzUgMzc4LjIwOCA2Ny41MzQ5IDM4NC44MTMgNjkuODU3&#10;MyAzODIuMDY1IDczLjQ2MTcgMzc4LjE3OSA3Ny4xODEgMzc2LjI3IDgxLjQ2MzYgMzczLjk4MyA4&#10;Ni41ODU3IDM3My4wMTEgOTMuMjM3IDM3MS40OTkgOTkuOTM0NCAzNzAuMTY1IDEwNS44MzIgMzY5&#10;LjIxMSAxMTIuMTE1IDM2OS45MDEgMTE4LjcwMyAzNzAuNTIyIDEyNC41OSAzNzIuMTMxIDEzMC42&#10;ODQgMzc1LjM3NCAxMzYuNzYgMzc3LjgzNCAxNDEuMzcgMzgxLjEzNCAxNDUuNjkzIDM4NS4xMjMg&#10;MTQ5LjI4IDM4OS4xMTMgMTUyLjg2NyAzOTMuNzA2IDE1NS42MTUgMzk4LjU4NiAxNTcuNjczIDQw&#10;My44MTIgMTU5Ljg3IDQwOS4xMzUgMTU5LjkxNiA0MTQuMjk3IDE1OS45NjEgNDE5Ljc2NSAxNjAu&#10;MDA3IDQyNC43NzIgMTU5LjMxOCA0MjkuNjI5IDE1Ni45NDkgNDM1LjY0MiAxNTQuMDE3IDQ0MS45&#10;NDggMTUxLjIyOSA0NDUuNTMgMTQ2LjE4MiA0NDkuMTY5IDE0MS4wNDkgNDQ4Ljc0OSAxMzQuMDE4&#10;IDQ0OS41NDkgMTI3LjUxIDQ1MC4yODQgMTIxLjUxNSA0NTEuNjUyIDExNS4yMDIgNDQ5LjcxNSAx&#10;MDguNzEyIDQ0Ny4yMiAxMDAuMzQ4IDQ0Mi4yODcgOTQuOTYxNiA0MzcuNzQgODkuNjk1OCA0MzIu&#10;ODU0IDg0LjAzOTMgNDI4LjAxNCA3OC41ODM3IDQyMS43MzEgNzMuNjkxNiA0MjAuODg2IDczLjAz&#10;MDUgNDE5LjYwNCA3Mi44OTgzIDQxOC43MjQgNzIuMjA4NSA0MTYuMDIyIDcwLjA5MyA0MTMuMzMy&#10;IDY3LjY4NDMgNDEwLjMzMSA2NS44MzkgNDE2LjE0MyA2MS42OTQyIDQyMi42OTEgNTcuODg4NiA0&#10;MjkuNDkxIDU0Ljk1MTEgNDM2LjMzOCA1MS45OTYzIDQ0My4yNTkgNDguNjYyMSA0NTAuMTI5IDQ3&#10;LjAzNTIgNDU3LjkwNyA0NS4xOSA0NjUuNjk2IDQ2LjM2MjcgNDcyLjE3NSA0Ni4zNjI3IDQ3Mi41&#10;MzEgNDYuMzYyNyA0NzIuOTEgNDMuOTI1MyA0NzMuMjYxIDQzLjkzMSA0ODAuMzMyIDQ0LjA0NiA0&#10;ODcuMjI1IDQ3LjY1NjEgNDk0LjExNyA0OC44NDAzIDUwMS4zNDkgNTAuMDgyIDUwOC4xNzMgNTEu&#10;NTU5NCA1MTQuNDk2IDUzLjg0MTYgNTIyLjEwNyA1Ni41ODk1IDUyNy42MDMgNTguODA4NCA1MzAu&#10;MzUxIDYwLjg3MjIgNTI1LjQ5MyA1OS45NTI0IDUyMC4yNzkgNTkuMzA4NSA1MTUuMzI0IDU5LjAy&#10;MTEgNTEzLjc5NSA1Ny41MjY1IDUxMS42NSA1NS40Njg0IDUwOS4zNjMgNTUuNjk4NCA1MDUuMjU4&#10;IDU2LjEwNjYgNTAzLjI5MiA2MC41NTYgNTAzLjcgNjQuNjY2MyA1MDMuNzk4IDY1LjY0MzYgNTA0&#10;LjMyMSA2NS41OTE4IDUwNC40MTkgNjYuNTYzMyA1MDQuNzkzIDcwLjM0MDEgNTA2LjQ3NyA3My4w&#10;ODIyIDUxMC4yNzEgNzMuMTQ1NSA1MTUuODMgNzMuMjM3NCA1MjEuMzgzIDczLjg1MjYgNTI2Ljgw&#10;OSA3NC44NDcxIDUzMi4yNDIgNzUuODQxNiA1MzcuNzAzIDc3LjA4OTEgNTQyLjkzNSA3OC45Njg5&#10;IDU0My43NTcgNzkuMjYyIDU0NC40NTggODAuMTUyNyA1NDUuMzE0IDgwLjE1MjcgNTQ2LjU4NSA4&#10;MC4xNTI3IDU0Ny4wOCA3OC4xMzUzIDU0OC4yMDYgNzcuNDk3MiA1NTAuMDk4IDc2LjQzMzcgNTUz&#10;Ljc1NCA3Ni4yNzg1IDU1NC4xODUgNzQuMTUxNSA1NTYuMTA1IDY0LjY2MDUgNTU1LjgxNyA2NC42&#10;MDMgNTU3LjczNyA1NS4xMTIxIDU1OS42NTcgNDUuNjIxMSA1NTguMDQ4IDQ1LjI5MzQgNTU5Ljk2&#10;OCAzNS44MDI0IDU2MC43ODQgMzEuNzU1NCA1NTguNDY3IDI4LjE1NjcgNTU0LjQyNiAyNy4zMzQ3&#10;Wk0xNDAuNTI1IDE5NkMxMzguNzI2IDIwNC43ODMgMTMxLjE5NSAyMTMuMTMgMTIxLjU0MyAyMTYu&#10;NzggMTEzLjI1NCAyMTkuOTIgMTA1LjE2NSAyMTguNjAzIDk5LjMwNzIgMjE0LjE5MyA5My45NTU2&#10;IDIxMC4xNjkgOTAuNDc3OSAyMDQuNDA0IDg5LjMwNTIgMTk3LjkwOCA4OC4xMzI0IDE5MS40MTIg&#10;ODguODk3IDE4NC4zNDcgOTAuOTYwNiAxNzguNDg5IDk0LjU3NjUgMTY4LjIyOCA5OC42NzUxIDE1&#10;OS4zIDEwNC43NzUgMTUwLjYwOCAxMDYuNTg1IDE1MC45MTkgMTA5LjEwOSAxNTEuOTAyIDExMC44&#10;NSAxNTIuNDE5IDExNy4wMDggMTU0LjIzNSAxMjIuOTkyIDE1Ny4xOTEgMTI3LjYzNyAxNjEuNDIx&#10;IDEzMi40MjYgMTY1Ljc4NSAxMzUuNDg5IDE3MS43MTEgMTM3LjgzNCAxNzcuNDIgMTQwLjMzIDE4&#10;My40ODUgMTQxLjc3OCAxODkuODc3IDE0MC41MjUgMTk2Wk00MTIuNTkgODUuNDE4NUM0MTguMTkg&#10;ODkuNzgyMyA0MjIuODQ2IDkzLjI3MTIgNDI2LjQ3OSA5Ny4xNjM0IDQzMC40NjIgMTAxLjQyOSA0&#10;MzIuODAyIDEwNi40NzEgNDM0Ljc5MSAxMTMuMTQ0IDQzNi43MTEgMTE5LjU4MyA0MzcuMTk1IDEy&#10;NS43NDYgNDM1LjM5NSAxMzEuMDA1IDQzMy40NDEgMTM2LjcxNCA0MjkuMjQ0IDE0MS40NTcgNDIz&#10;LjQ2MSAxNDQuMjc5IDQxNy4yMyAxNDcuMzE0IDQwOS40OTggMTQ3LjI5MSA0MDMuMDY1IDE0NC4z&#10;MTMgMzk2LjYzMiAxNDEuMzM2IDM5MS42MTQgMTM1LjUyOSAzODguNTIxIDEyOS43NCAzODUuMTE4&#10;IDEyMy4zNjUgMzgzLjMyNCAxMTYuNDM5IDM4NC4yMDQgMTA4LjYzNyAzODQuOTA1IDEwMi40NTIg&#10;Mzg3Ljg3MSA5NS44NTI1IDM5MS4zMDMgODguMTU1NCAzOTMuMTYgODMuOTkzMyAzOTUuMzk2IDc5&#10;LjYwMDkgMzk4LjU5MiA3NS45ODUzIDQwMi41NDEgNzguMTEyMyA0MDcuMjU1IDc5LjcyNzkgNDEw&#10;LjcxMSA4Mi40MzU1IDQxMS42MDIgODMuMTMxIDQxMS43NCA4NC43NTI0IDQxMi41OTYgODUuNDE4&#10;NVoiIGZpbGw9InVybCgjZmlsbDEzNikiIHRyYW5zZm9ybT0ibWF0cml4KDEuMDAxNjEgMCAwIDEg&#10;MzczLjIxMyAwKSIvPjxwYXRoIGQ9Ik01NTQuMDk4IDI0LjQyNTlDNTUwLjA1MSAyMy42MDM5IDU0&#10;NC40NyAyNi44Mjg5IDU0My42NTMgMzAuODcwMSA1NDEuODI1IDM5LjkxMjcgNTQ2LjYzNiA0MS42&#10;MTQzIDU0MS43MDQgNDkuNDE1MSA1MzYuODY0IDQ0Ljc3MDIgNTI4LjkzNyA0MS45MTMyIDUyMi4z&#10;OTUgMzkuMjk3NiA1MTQuOTEgMzYuMzA4NCA1MDYuNzEzIDM0LjQzNDMgNDk4LjAwOSAzMi44MjQ3&#10;IDQ4OS43ODMgMzEuMzAxMiA0ODEuNDkzIDI3LjUzNTkgNDcyLjk0NSAyNy4zOTIyIDQ2NC41OTIg&#10;MjcuMjU0MiA0NTUuMTI0IDI5Ljc2NjMgNDQ1LjU3NiAzMi4wODg4IDQzNi43OTIgMzQuMjI3MyA0&#10;MjguNDE2IDM4LjUyNzMgNDIwLjEwOSA0Mi40MDE4IDQxMi40OTggNDUuOTQ4OCA0MDIuODE4IDQ4&#10;LjMyMjkgMzk0LjgyMSA1NS4wNzc2IDM4Ni40MTEgNTEuNTg4MiAzNzcuMzYzIDUwLjU1OTEgMzY3&#10;LjAzMiA0OC41OTMxIDM1OC4wOTMgNDYuODkxNSAzNDguNTEgNDQuMzk2NiAzMzguMDQ4IDQzLjgx&#10;MDMgMzI4LjY5NSA0My4yODcxIDMxOS4yMjEgNDMuOTMxIDMwOS45NDggNDQuMTk1NCAzMDAuNDUy&#10;IDQ0LjQ2NTYgMjkxLjIyNiA0Ny4yMTkyIDI4Mi4xMzEgNDcuOTk1MiAyNzIuNDYyIDQ4LjgxNzMg&#10;MjYzLjEyIDQ5LjU2NDcgMjU0LjI3MyA1MC41NzY0IDI0NS4wNyA1MS42MjI2IDIzNS41MjEgNTMu&#10;MTIzMSAyMjUuNjY4IDU1LjY5ODQgMjE2LjUwNSA1OC4wOTU2IDIwNy4zMDcgNjEuMTU5NiAxOTcu&#10;OTg5IDY0Ljc0NjcgMTg5LjAwOSA2OC4yMDE3IDE3OS40OTUgNzAuODQ2MSAxNzAuNzIzIDc1LjMw&#10;MTIgMTYxLjg1MiA3OS44MDI2IDE1My42MjEgODUuMDczOSAxNDUuNzQgOTAuMjM2NSAxMzcuMjg5&#10;IDk1Ljc2NjcgMTI5LjY4MyAxMDEuODQyIDEyMi42NyAxMDcuODk2IDExNC44NDYgMTE0LjY0NSAx&#10;MDYuNjYgMTIwLjQ3NCAxMDEuMDQ0IDEyNy41NTEgOTkuNTY2IDEyOS40MTMgOTkuMTAwNyAxMzEu&#10;MzM5IDk3LjczODIgMTMzLjEyMSA5MC44NDU1IDEzMi45NDMgODQuMDU2IDEzNS4xNzMgNzYuOTc5&#10;OCAxMzcuMDM2IDY1LjE2NjQgMTQwLjE1MSA1Mi45Njc4IDE0NC43NSA0Mi45NTk0IDE1Mi43Mjkg&#10;MzUuNjcwMiAxNTguNTQxIDI5LjcwMzEgMTY1LjkxMSAyNC4yMjQ3IDE3My4zNjcgMTguNzI5IDE4&#10;MC44NDYgMTMuNzM5MiAxODguODQ4IDEwLjMzNjEgMTk3LjQ4OCA2Ljk0NDM0IDIwNi4wOTQgNi42&#10;MjgxNiAyMTUuNTEgNS41OTM0MSAyMjQuNzc3IDUuMTMzNTIgMjI4Ljg4MiA2LjQ3ODcgMjMzLjUw&#10;OSAxMC41ODMyIDIzMy45NjkgMTAuODY0OSAyMzQuMDA0IDExLjI2NzMgMjMzLjg0MyAxMS41NDkg&#10;MjMzLjg0MyAxNS4zMDI4IDIzMy44NDMgMTcuOTY0NSAyMzAuMDI2IDE4LjM4OTggMjI2LjIwOCAx&#10;OS4yODA5IDIxOC4yNDcgMjMuMTM4MiAyMTEuMDQ5IDI2LjA1MjcgMjAzLjY1MSAyOC45NjczIDE5&#10;Ni4yNTIgMzEuNzQzOSAxODguODI1IDM2LjQ2OTMgMTgyLjQwNCA0MS4xNzc0IDE3NiA0Ni4wODEg&#10;MTY5LjQ5OCA1Mi4zNDcgMTY0LjUwMyA2Mi44MTUyIDE1Ni4xNTYgNzQuOTIxOCAxNTEuOTE5IDg2&#10;LjcwMDggMTUwLjA3OSA4Mi41Mjc2IDE1Ni45NiA3OS44NjUzIDE2My42OTIgNzYuOTMzOCAxNzIu&#10;MDE2IDczLjc2MDYgMTgxLjAyNCA3MS4zMzQ3IDE5MS4xOTkgNzMuMjg5MiAyMDAuNDIgNzUuNDcz&#10;NyAyMTAuNzE2IDgyLjEzNjEgMjE4LjY4OSA4OS43NTMgMjI0LjQyMSA5OS43OTYzIDIzMS45NzQg&#10;MTEyLjQzMiAyMzIuMjczIDEyNS42MTMgMjI3LjI4MyAxMzIuNzAxIDIyNC41OTkgMTM4LjcwOSAy&#10;MjEuMDg2IDE0My41MzEgMjE1LjgzOCAxNDguNjAyIDIxMC4zMTkgMTUzLjU5OCAyMDQuNDkgMTU1&#10;LjA1OCAxOTcuMzY4IDE1Ny42NSAxODQuNzMyIDE1Mi43NTggMTcxLjk1MyAxNDQuNjcgMTYwLjIy&#10;NiAxMzcuMTY4IDE0OS4zNDMgMTI3LjMyIDE0MC4wMjUgMTE1LjA5MyAxMzYuMzQgMTIwLjM5OSAx&#10;MjkuODM4IDEyNi4wNDQgMTIzLjA1NSAxMzMuMzU2IDExNi45MjEgMTM5Ljk3MyAxMTEuMzc0IDE0&#10;Ny4xNTQgMTA1LjYzNyAxNTQuOTc3IDEwMC42MTggMTYyLjgwMSA5NS42IDE3MC43NjMgOTIuMDky&#10;OSAxNzguOTAzIDg3Ljk5OTggMTg3LjA0MyA4My45MDY3IDE5NS41MjMgODEuMDczIDIwMy44ODcg&#10;NzcuODcwOCAyMTIuNDAxIDc0LjYxMTQgMjIwLjcxMyA3MC44OTIxIDIyOS4yMzggNjguNjczMSAy&#10;MzguMjIzIDY2LjMzMzQgMjQ3LjA2NCA2My41NjI2IDI1NS42NTMgNjIuNTg1MyAyNjMuMTU1IDYx&#10;LjcyODcgMjcxLjkyMSA2MC45MjM5IDI4MS4zOTUgNjAuMDc4OSAyODkuNTMgNTkuMzU0NSAyOTgu&#10;MzE0IDU5LjYwNzUgMzA3LjI3IDU5LjI3OTggMzE1LjcyNiA1OC45NzUxIDMyNC40ODEgNTguMjM5&#10;MyAzMzMuMTU2IDU4LjYwNzIgMzQxLjgzMSA1OC45NzUxIDM1MC4xNzEgNjIuNDAxMyAzNTguNTY1&#10;IDYzLjc0MDcgMzY3LjI4IDY1LjEzMTkgMzc3LjA3NSA2NC43MTggMzg0Ljk2OCA2Ny40ODg5IDM4&#10;Mi4yMiA3MS4wOTMzIDM3OC42MjEgNzUuODg3NiAzNzYuNzEzIDgwLjE2NDYgMzczLjQwMiA4Ny41&#10;OTE3IDM3MC40NTkgOTcuMTI4NCAzNjkuNyAxMDcuNTI4IDM2OS4wNjIgMTE2LjI1NCAzNzAuODY3&#10;IDEyNS4wNjEgMzc1Ljg4NSAxMzQuNDYgMzgwLjc3NyAxNDMuNjIzIDM4Ny44NDMgMTUyLjY2NiAz&#10;OTcuNjc4IDE1Ni44MDUgNDA4LjQzNCAxNjEuMzMgNDIwLjAxMiAxNjAuNTcxIDQyOS40NTcgMTU1&#10;Ljk2NiA0MzguNTU3IDE1MS41MjggNDQ0LjM3NCAxNDMuODI1IDQ0Ny43MTQgMTM0Ljk5IDQ1MS4w&#10;NTQgMTI2LjE1NCA0NTIuNjQxIDExNi44MDEgNDQ5LjY2MyAxMDYuODIxIDQ0Ny4xNjggOTguNDU2&#10;OCA0NDIuMDUyIDkyLjk1NTIgNDM3LjQ5OSA4Ny42ODk0IDQzMi42MTIgODIuMDMyOSA0MjcuNzEg&#10;NzYuNTI1NyA0MjEuNDMxIDcxLjYzMzYgNDIwLjU4NyA3MC45NzI1IDQxOS44NTcgNzAuMTMzMiA0&#10;MTguOTc3IDY5LjQ0OTEgNDE2LjI3NSA2Ny4zMzM3IDQxMi42MDIgNjUuNzgxNSA0MDkuNjAxIDYz&#10;LjkzMDQgNDE4LjI5OSA1Ny43Mjc3IDQyOS4yNzMgNTMuOTkxMSA0MzkuNjU1IDUwLjU1MzQgNDUx&#10;LjA4OSA0Ni43NTkzIDQ2Mi4yNTggNDUuMjE4NyA0NzEuNjM0IDQ1LjIxODcgNDcxLjk5MSA0NS4y&#10;MTg3IDQ3Mi4zNDEgNDMuOTQyNSA0NzIuNjkyIDQzLjk0ODIgNDc5Ljc2MyA0NC4wNjMyIDQ4Ni44&#10;OCA0NC43ODE4IDQ5My43NzMgNDUuOTY2IDUwMS4wMDQgNDcuMjA3NyA1MDcuOTE0IDQ5LjAzNTgg&#10;NTE0LjI0MyA1MS4zMjM3IDUyMS44NTQgNTQuMDcxNiA1MjYuNTIyIDU2LjA2MDYgNTI5LjI3IDU4&#10;LjEzMDEgNTI0LjQxMiA1Ny4yMTAzIDUxOS41NzggNTguMTkzMyA1MTQuNjIyIDU3LjkwMDEgNTEz&#10;LjA5MyA1Ni40MDU1IDUxMS4yMTQgNTQuNzI2OSA1MDguOTI1IDU0Ljk1MTEgNTA0LjgyMSA1NS4z&#10;NTkzIDUwMi41ODUgNTguODM3MiA1MDIuOTkzIDYyLjk0MTcgNTAzLjA5MSA2My45MTkgNTAxLjcz&#10;NCA2NC4wNTEyIDUwMS44MzIgNjUuMDI4NCA1MDIuMjA2IDY4LjgwNTMgNTA1Ljk0OCA3MC44Mjg4&#10;IDUwOS43NDIgNzAuODkyMSA1MjAuODYgNzEuMDc2IDUzMS41MjMgNzQuNjE3MSA1NDEuOTggNzgu&#10;MzgyNSA1NDIuODAyIDc4LjY3NTYgNTQzLjkyMyA3OC42Mjk3IDU0NC43NzQgNzguNjI5NyA1NDYu&#10;MDQ1IDc4LjYyOTcgNTQ3LjM3OCA3Ny44OTM5IDU0OC41MTEgNzcuMjU1NyA1NTAuNDAyIDc2LjE5&#10;MjIgNTUwLjExNSA3My45MTU4IDU1MC41NDYgNzEuNzg4OCA1NTQuMzg2IDUyLjgwNjkgNTU0Ljkw&#10;OSA1Mi45MTAzIDU1OC43NDkgMzMuOTI4NCA1NTkuNTY1IDI5Ljg4MTMgNTU4LjE3NCAyNS4yNDc5&#10;IDU1NC4xMjcgMjQuNDMxNlpNMTM4Ljc3OCAxOTQuMDMzQzEzNi45NzkgMjAyLjgxNyAxMjkuOTUz&#10;IDIwOS42NDcgMTIwLjMwNyAyMTMuMjk3IDExMi4wMTggMjE2LjQzNiAxMDQuMjQ2IDIxNy4zMzgg&#10;OTguMzg3NyAyMTIuOTIzIDg3LjY4OTQgMjA0Ljg3NSA4NS40ODIgMTg4LjIwNCA4OS42MTU2IDE3&#10;Ni40ODIgOTMuMjMxNSAxNjYuMjIyIDk3Ljc2MTMgMTU3LjI0MiAxMDMuODYxIDE0OC41NSAxMDUu&#10;NjcxIDE0OC44NjEgMTA4LjEwMyAxNTEuNjc4IDEwOS44MzkgMTUyLjE4OSAxMTkuMTM0IDE1NC45&#10;MjUgMTI3LjQzNSAxNTkuNzU0IDEzMi44MzkgMTY3LjM0MyAxMzguNjI4IDE3NS40NzYgMTQwLjYz&#10;NCAxODQuOTk2IDEzOC43ODMgMTk0LjAyN1pNNDExLjI3OSA4NC42MzcyQzQyMy4wMjQgOTMuNzc3&#10;IDQyOS4yNSA5OC45OTY3IDQzMy4wNjEgMTExLjc2NSA0MzcuMDY4IDEyNS4xOTMgNDM0LjAzOSAx&#10;MzcuMjIgNDIyLjkzMiAxNDIuNjM1IDQxMC42MzUgMTQ4LjYzIDM5My4zOSAxNDAuMTkyIDM4Ny4x&#10;MjQgMTI4LjQ1MyAzODMuNzIgMTIyLjA3OCAzODEuOTEgMTE0LjYxIDM4Mi43OSAxMDYuODE1IDM4&#10;My40OTEgMTAwLjYzIDM4OC4zMzEgOTQuNTgyMSAzOTEuNzYzIDg2Ljg5MDYgMzkzLjYyIDgyLjcy&#10;ODUgMzk0LjkyNCA3OC4zODgyIDM5OC4xMjEgNzQuNzcyMyA0MDIuMDcgNzYuODk5NCA0MDYuNDk3&#10;IDc4LjIzMzEgNDA5Ljk1MiA4MC45NDA0IDQxMC44NDMgODEuNjM1OSA0MTAuNDIzIDgzLjk3MDMg&#10;NDExLjI3OSA4NC42MzcyWiIgc3Ryb2tlPSIjMjMxRjIwIiBzdHJva2Utd2lkdGg9IjEuMTQ5NzMi&#10;IHN0cm9rZS1taXRlcmxpbWl0PSIxMCIgZmlsbD0ibm9uZSIgdHJhbnNmb3JtPSJtYXRyaXgoMS4w&#10;MDE2MSAwIDAgMSAzNzMuMjEzIDApIi8+PC9nPjxwYXRoIGQ9Ik0zOTQuODE2IDU1LjA4MzRDMzk5&#10;LjI5NCA1Ni41NDM0IDQwNi4xMTggNjEuMzMyMSA0MDkuODg4IDY0LjE1NDYiIHN0cm9rZT0iIzIz&#10;MUYyMCIgc3Ryb2tlLXdpZHRoPSIxLjE0OTczIiBzdHJva2UtbWl0ZXJsaW1pdD0iMTAiIGZpbGw9&#10;Im5vbmUiIHRyYW5zZm9ybT0ibWF0cml4KDEuMDAxNjEgMCAwIDEgMzczLjIxMyAwKSIvPjxwYXRo&#10;IGQ9Ik0zODQuMzU5IDY3LjI3NjJDMzg4LjgzNyA2OC43MzYzIDM5NC4zMTUgNzEuODAwMyAzOTgu&#10;MDg2IDc0LjYyMjkiIHN0cm9rZT0iIzIzMUYyMCIgc3Ryb2tlLXdpZHRoPSIxLjE0OTczIiBzdHJv&#10;a2UtbWl0ZXJsaW1pdD0iMTAiIGZpbGw9Im5vbmUiIHRyYW5zZm9ybT0ibWF0cml4KDEuMDAxNjEg&#10;MCAwIDEgMzczLjIxMyAwKSIvPjxwYXRoIGQ9Ik05Ny42OTc3IDEzMy4xNzhDOTYuNDMyOSAxMzQu&#10;Nzc3IDg5LjQ4MyAxNDUuNDIzIDg2LjU1NzEgMTUwLjM0OSIgc3Ryb2tlPSIjMjMxRjIwIiBzdHJv&#10;a2Utd2lkdGg9IjEuMTQ5NzMiIHN0cm9rZS1saW5lY2FwPSJyb3VuZCIgc3Ryb2tlLW1pdGVybGlt&#10;aXQ9IjEwIiBmaWxsPSJub25lIiB0cmFuc2Zvcm09Im1hdHJpeCgxLjAwMTYxIDAgMCAxIDM3My4y&#10;MTMgMCkiLz48cGF0aCBkPSJNMTE1LjIxNCAxMzYuMjQyQzExMy45NDkgMTM3Ljg0MSAxMDYuNjMx&#10;IDE0My45MDUgMTAzLjcwNSAxNDguODMyIiBzdHJva2U9IiMyMzFGMjAiIHN0cm9rZS13aWR0aD0i&#10;MS4xNDk3MyIgc3Ryb2tlLWxpbmVjYXA9InJvdW5kIiBzdHJva2UtbWl0ZXJsaW1pdD0iMTAiIGZp&#10;bGw9Im5vbmUiIHRyYW5zZm9ybT0ibWF0cml4KDEuMDAxNjEgMCAwIDEgMzczLjIxMyAwKSIvPjwv&#10;Zz48L2c+PC9nPjxwYXRoIGQ9Ik01MTEuNDEyIDEyNi41NjRDNTM1LjE1NSAxMjkuNDUxIDU1Mi44&#10;NDQgMTI1LjA2NiA1NzkuOTcgMTI2LjU2NCA2MDcuMDk3IDEyOC4wNjEgNjIzLjE4NSAxMjYuMDA2&#10;IDY0Mi44MTYgMTI2LjU2NCA2NjIuNDQ2IDEyNy4xMjEgNjkzLjI5NyAxMjMuMTg2IDcxOS45NDQg&#10;MTI2LjU2NCA3NDYuNTkyIDEyOS45NDEgNzY5LjM3NSAxMjYuMTM4IDc5Ny4wNzMgMTI2LjU2NCA3&#10;OTYuMDQ5IDE0Ni44MDkgNzkzLjg5MSAxNzEuMzc5IDc5Ny4wNzMgMTkyLjM1NCA4MDAuMjU1IDIx&#10;My4zMjggNzk5LjU3MiAyMjMuMTAzIDc5Ny4wNzMgMjUxLjYzNyA3OTQuNTczIDI4MC4xNzIgNzk5&#10;LjU3MiAyOTEuNzg3IDc5Ny4wNzMgMzIzLjkzNCA3OTQuNTczIDM1Ni4wODEgNzk5Ljk4NSAzNjUu&#10;ODU3IDc5Ny4wNzMgMzk2LjIzIDc5NC4xNiA0MjYuNjAzIDc5Ni42MTIgNDI4LjcxMiA3OTcuMDcz&#10;IDQ1NS41MTQgNzk3LjUzMyA0ODIuMzE2IDc5OS42NDMgNDg3LjE5IDc5Ny4wNzMgNTE0Ljc5OCA3&#10;OTQuNTAyIDU0Mi40MDQgNzk0LjQ2MiA1NjQuNDg2IDc5Ny4wNzMgNTg3LjA5NSA3OTkuNjgzIDYw&#10;OS43MDMgNzk3LjY5OSA2MzUuNjQ1IDc5Ny4wNzMgNjY1Ljg5OCA3OTYuNDQ2IDY5Ni4xNTEgNzkx&#10;LjcwNSA3MjcuMDQ1IDc5Ny4wNzMgNzc3LjIzNSA3ODEuNDMxIDc3Ny44MTcgNzUzLjk4NCA3ODAu&#10;NzE1IDcyNS42NTcgNzc3LjIzNSA2OTcuMzMxIDc3My43NTUgNjgzLjg5MiA3NzkuNTUgNjU5Ljk1&#10;NSA3NzcuMjM1IDYzNi4wMTkgNzc0LjkyIDYwOC4zMjkgNzgwLjU3MyA1ODguNTQgNzc3LjIzNSA1&#10;NjguNzUxIDc3My44OTcgNTMxLjczNiA3NzguMjA5IDUxMS40MTIgNzc3LjIzNSA1MDcuODgyIDc0&#10;NS4wOTQgNTEzLjY4NSA3MjUuODc1IDUxMS40MTIgNzA0LjkzOCA1MDkuMTM5IDY4NC4wMDIgNTEx&#10;Ljg5OCA2NzMuNDAyIDUxMS40MTIgNjQ1LjY1NSA1MTAuOTI2IDYxNy45MDcgNTA5LjE2NCA2MDQu&#10;MDMzIDUxMS40MTIgNTg2LjM3MiA1MTMuNjYgNTY4LjcwOSA1MDkuNjU3IDU0NC4zODkgNTExLjQx&#10;MiA1MjAuNTgyIDUxMy4xNjcgNDk2Ljc3MyA1MTIuNjEzIDQ1Ni42MjggNTExLjQxMiA0MzUuMjcx&#10;IDUxMC4yMTEgNDEzLjkxNCA1MDkuOTU3IDM4Mi41ODMgNTExLjQxMiAzNjIuOTc0IDUxMi44Njcg&#10;MzQzLjM2NiA1MTQuNjM0IDMyNy44MjUgNTExLjQxMiAyOTcuMTg0IDUwOC4xOSAyNjYuNTQzIDUx&#10;Mi40MTYgMjY4Ljk5MiA1MTEuNDEyIDI0NC40MDcgNTEwLjQwNyAyMTkuODIyIDUxMi40MjMgMjA2&#10;LjA4NiA1MTEuNDEyIDE5MS42MzEgNTEwLjQwMSAxNzcuMTc1IDUxMS4wODMgMTU0LjE1NyA1MTEu&#10;NDEyIDEyNi41NjRaIiBmaWxsPSIjMjNBNkJEIiBmaWxsLXJ1bGU9ImV2ZW5vZGQiIHRyYW5zZm9y&#10;bT0ibWF0cml4KDEgMCAwIDEuMDAwNjMgNS42NTE5OSAxMi43MDQpIi8+PHBhdGggZD0iTTUxMS40&#10;MTIgMTI2LjU2NEM1MzguOTYxIDEyNC43NDYgNTYxLjgyOSAxMjkuNjY5IDU3Ny4xMTQgMTI2LjU2&#10;NCA1OTIuMzk5IDEyMy40NTkgNjMwLjQzMSAxMjYuNjQ0IDY0NS42NzIgMTI2LjU2NCA2NjAuOTE0&#10;IDEyNi40ODMgNzAwLjA1NiAxMjcuNjMgNzIyLjgwMSAxMjYuNTY0IDc0NS41NDYgMTI1LjQ5NyA3&#10;ODAuMDM4IDEyMy41NjEgNzk3LjA3MyAxMjYuNTY0IDgwMC44ODkgMTU0LjU1NyA3OTYuMzI3IDE4&#10;MS4wMTMgNzk3LjA3MyAyMDUuMzY3IDc5Ny44MTggMjI5LjcyMiA3OTYuNyAyNDcuMTA0IDc5Ny4w&#10;NzMgMjU4LjE0NCA3OTcuNDQ1IDI2OS4xODQgNzk3Ljg1IDMwMS4xOTIgNzk3LjA3MyAzMTcuNDI3&#10;IDc5Ni4yOTUgMzMzLjY2MiA3OTUuMzU5IDM2My45NjMgNzk3LjA3MyAzOTYuMjMgNzk4Ljc4NiA0&#10;MjguNDk5IDc5OS40MjkgNDMyLjU4NiA3OTcuMDczIDQ1NS41MTQgNzk0LjcxNiA0NzguNDQyIDc5&#10;Ni4xNzYgNDkyLjAyNiA3OTcuMDczIDUwOC4yOTEgNzk3Ljk2OSA1MjQuNTU1IDc5Ni41MjUgNTQ5&#10;Ljc2NyA3OTcuMDczIDU2Ny41NzQgNzk3LjYyIDU4NS4zODEgNzk5LjQ3NyA2MTkuMTEyIDc5Ny4w&#10;NzMgNjMzLjM2NCA3OTQuNjY4IDY0Ny42MTYgNzk3LjU3MiA2ODcuMDg1IDc5Ny4wNzMgNzA1LjY2&#10;MSA3OTYuNTczIDcyNC4yMzcgNzk0LjM5MSA3NDUuMjA4IDc5Ny4wNzMgNzc3LjIzNSA3NjAuOTcx&#10;IDc3OC41OTMgNzQ0LjU1NyA3ODAuMDkzIDcxOS45NDQgNzc3LjIzNSA2OTUuMzMxIDc3NC4zNzcg&#10;NjgwLjM1NiA3NzUuMDU1IDY0OC41MjkgNzc3LjIzNSA2MTYuNzAyIDc3OS40MTYgNjA1LjU1MSA3&#10;NzcuMTI4IDU3Ny4xMTQgNzc3LjIzNSA1NDguNjc3IDc3Ny4zNDIgNTQyLjg0MyA3NzUuMzIyIDUx&#10;MS40MTIgNzc3LjIzNSA1MTIuMzc5IDc1My4yMTkgNTE0LjkyNyA3MzcuMTE1IDUxMS40MTIgNzA0&#10;LjkzOCA1MDcuODk3IDY3Mi43NjIgNTEyLjg0NCA2NTkuMDY0IDUxMS40MTIgNjM5LjE0OCA1MDku&#10;OTggNjE5LjIzMSA1MDguOTY1IDU5MS4xOTIgNTExLjQxMiA1NjYuODUyIDUxMy44NTkgNTQyLjUx&#10;MSA1MTQuNDk1IDUyNi4xMDMgNTExLjQxMiA0ODguMDQ4IDUwOC4zMjkgNDQ5Ljk5MyA1MTQuMjE5&#10;IDQyOC41MDEgNTExLjQxMiA0MDkuMjQ0IDUwOC42MDUgMzg5Ljk4NyA1MDguOTk1IDM2OC4zNDMg&#10;NTExLjQxMiAzMzAuNDQgNTEzLjgyOSAyOTIuNTM4IDUwOS45NTQgMjg0LjU2MyA1MTEuNDEyIDI0&#10;NS4xMyA1MTIuODcgMjA1LjY5NyA1MTYuNTE5IDE1Mi45NTYgNTExLjQxMiAxMjYuNTY0WiIgc3Ry&#10;b2tlPSIjMzY0MjRBIiBzdHJva2Utd2lkdGg9IjEuOTgzNzUiIHN0cm9rZS1taXRlcmxpbWl0PSI4&#10;IiBmaWxsPSJub25lIiBmaWxsLXJ1bGU9ImV2ZW5vZGQiIHRyYW5zZm9ybT0ibWF0cml4KDEgMCAw&#10;IDEuMDAwNjMgNS42NTE5OSAxMi43MDQpIi8+PHRleHQgZm9udC1mYW1pbHk9IkNhbGlicmksQ2Fs&#10;aWJyaV9NU0ZvbnRTZXJ2aWNlLEFyaWFsIiBmb250LXdlaWdodD0iNzAwIiBmb250LXNpemU9IjI3&#10;IiB0cmFuc2Zvcm09Im1hdHJpeCgwLjc5MzUwMiAwIDAgMC43OTQgNjI4LjgwMiAxMjgpIj5DeWNs&#10;ZSA8L3RleHQ+PHRleHQgZm9udC1mYW1pbHk9IkNhbGlicmksQ2FsaWJyaV9NU0ZvbnRTZXJ2aWNl&#10;LEFyaWFsIiBmb250LXdlaWdodD0iNzAwIiBmb250LXNpemU9IjI3IiB0cmFuc2Zvcm09Im1hdHJp&#10;eCgwLjc5MzUwMiAwIDAgMC43OTQgNjgwLjM4IDEyOCkiPjIgPC90ZXh0PjxwYXRoIGQ9Ik01MTku&#10;NzQ0IDcyOS4yMjhDNTM5Ljk2NyA3MzAuNjQ3IDU1NS41OTIgNzI4LjIyIDU3OS4wOTggNzI5LjIy&#10;OCA2MDIuNjA0IDczMC4yMzYgNjM1LjExOCA3MzIuNTk1IDY0OS4yNDMgNzI5LjIyOCA2NjMuMzY4&#10;IDcyNS44NjEgNjkzLjU4MiA3MjYuNDQxIDcxMS4yOTUgNzI5LjIyOCA3MjkuMDA4IDczMi4wMTUg&#10;NzYxLjQyMSA3MjkuNjkyIDc4OS41MzQgNzI5LjIyOCA3OTAuNjM5IDc0NC41NTUgNzg5LjU2MiA3&#10;NTguMjMzIDc4OS41MzQgNzY5LjY5NyA3NzEuMzI4IDc2OS43MjIgNzQ5LjM2NyA3NzAuNzIgNzIy&#10;LjA4NyA3NjkuNjk3IDY5NC44MDYgNzY4LjY3NCA2NzEuOTUzIDc2Ny4xMzUgNjU3LjMzNyA3Njku&#10;Njk3IDY0Mi43MjEgNzcyLjI1OSA2MTYuMzUxIDc3Mi4xOTggNTg0LjQ5MyA3NjkuNjk3IDU1Mi42&#10;MzYgNzY3LjE5NiA1MzguMDQ2IDc2Ny43NzIgNTE5Ljc0NCA3NjkuNjk3IDUyMC43NTUgNzU4LjEy&#10;NyA1MTguNTMgNzQ2Ljg4MSA1MTkuNzQ0IDcyOS4yMjhaIiBmaWxsPSIjRkZGRkZGIiBmaWxsLXJ1&#10;bGU9ImV2ZW5vZGQiIHRyYW5zZm9ybT0ibWF0cml4KDEgMCAwIDEuMDAwNjMgNS42NTE5OSAxMi43&#10;MDQpIi8+PHBhdGggZD0iTTUxOS43NDQgNzI5LjIyOEM1MzkuMTQyIDczMS42NzEgNTU1Ljc4OSA3&#10;MzAuMDA4IDU4OS44ODkgNzI5LjIyOCA2MjMuOTg5IDcyOC40NDggNjQ0LjUzNSA3MzEuNjI5IDY2&#10;Mi43MzMgNzI5LjIyOCA2ODAuOTMyIDcyNi44MjggNzA2LjIwNyA3MzEuMjEzIDcyNC43ODUgNzI5&#10;LjIyOCA3NDMuMzYyIDcyNy4yNDQgNzc0LjIxOCA3MzIuMDQ2IDc4OS41MzQgNzI5LjIyOCA3OTAu&#10;NjU3IDc0MC4xODUgNzg4LjE1MyA3NjAuMTg3IDc4OS41MzQgNzY5LjY5NyA3NjUuNjcxIDc3MC42&#10;OCA3NDEuOTE5IDc3MS41NDYgNzIyLjA4NyA3NjkuNjk3IDcwMi4yNTUgNzY3Ljg0NyA2ODEuNzIg&#10;NzY2LjY0MSA2NDkuMjQzIDc2OS42OTcgNjE2Ljc2NyA3NzIuNzUzIDYwMi44MTkgNzcwLjU3NCA1&#10;ODcuMTkxIDc2OS42OTcgNTcxLjU2NSA3NjguODE5IDU1Mi40ODYgNzcyLjUyMiA1MTkuNzQ0IDc2&#10;OS42OTcgNTE3LjkyIDc1Ny4xMDYgNTE3LjgxMyA3NDAuMTQ3IDUxOS43NDQgNzI5LjIyOFoiIHN0&#10;cm9rZT0iIzM2NDI0QSIgc3Ryb2tlLXdpZHRoPSIxLjMyMjUxIiBzdHJva2UtbWl0ZXJsaW1pdD0i&#10;OCIgZmlsbD0ibm9uZSIgZmlsbC1ydWxlPSJldmVub2RkIiB0cmFuc2Zvcm09Im1hdHJpeCgxIDAg&#10;MCAxLjAwMDYzIDUuNjUxOTkgMTIuNzA0KSIvPjxnIGNsaXAtcGF0aD0idXJsKCNjbGlwMTM3KSI+&#10;PGcgY2xpcC1wYXRoPSJ1cmwoI2NsaXAxMzgpIj48ZyBjbGlwLXBhdGg9InVybCgjY2xpcDEzOSki&#10;IHRyYW5zZm9ybT0ibWF0cml4KDAuNjI2NDQ4IDAgMCAwLjYxNzU1NSA1MzUuNTUgNzQ4LjM4OSki&#10;PjxnIGNsaXAtcGF0aD0idXJsKCNjbGlwMTQxKSI+PHVzZSB3aWR0aD0iMTAwJSIgaGVpZ2h0PSIx&#10;MDAlIiB4bGluazpocmVmPSIjaW1nMTQwIiB0cmFuc2Zvcm09InRyYW5zbGF0ZSg1LjM4MTcyZS0w&#10;NSA2LjMzNjA3ZS0wNSkiPjwvdXNlPjwvZz48L2c+PC9nPjwvZz48dGV4dCBmaWxsPSIjMzY0MjRB&#10;IiBmb250LWZhbWlseT0iQ2FsaWJyaSxDYWxpYnJpX01TRm9udFNlcnZpY2UsQXJpYWwiIGZvbnQt&#10;d2VpZ2h0PSI0MDAiIGZvbnQtc2l6ZT0iMTYiIHRyYW5zZm9ybT0ibWF0cml4KDAuNzkzNTAyIDAg&#10;MCAwLjc5NCA1NTMuNDA0IDc2MCkiPkludGVyaW0gcmVwb3J0IDwvdGV4dD48dGV4dCBmaWxsPSIj&#10;MzY0MjRBIiBmb250LWZhbWlseT0iQ2FsaWJyaSxDYWxpYnJpX01TRm9udFNlcnZpY2UsQXJpYWwi&#10;IGZvbnQtd2VpZ2h0PSI0MDAiIGZvbnQtc2l6ZT0iMTYiIHRyYW5zZm9ybT0ibWF0cml4KDAuNzkz&#10;NTAyIDAgMCAwLjc5NCA2MjguNjIyIDc2MCkiPi08L3RleHQ+PHRleHQgZmlsbD0iIzM2NDI0QSIg&#10;Zm9udC1mYW1pbHk9IkNhbGlicmksQ2FsaWJyaV9NU0ZvbnRTZXJ2aWNlLEFyaWFsIiBmb250LXdl&#10;aWdodD0iNDAwIiBmb250LXNpemU9IjE2IiB0cmFuc2Zvcm09Im1hdHJpeCgwLjc5MzUwMiAwIDAg&#10;MC43OTQgNjM1LjIzNCA3NjApIj5DeWNsZSA8L3RleHQ+PHRleHQgZmlsbD0iIzM2NDI0QSIgZm9u&#10;dC1mYW1pbHk9IkNhbGlicmksQ2FsaWJyaV9NU0ZvbnRTZXJ2aWNlLEFyaWFsIiBmb250LXdlaWdo&#10;dD0iNDAwIiBmb250LXNpemU9IjE2IiB0cmFuc2Zvcm09Im1hdHJpeCgwLjc5MzUwMiAwIDAgMC43&#10;OTQgNjY2LjE4IDc2MCkiPjIgPC90ZXh0Pjx0ZXh0IGZpbGw9IiMzNjQyNEEiIGZvbnQtZmFtaWx5&#10;PSJDYWxpYnJpLENhbGlicmlfTVNGb250U2VydmljZSxBcmlhbCIgZm9udC13ZWlnaHQ9IjQwMCIg&#10;Zm9udC1zaXplPSIxNiIgdHJhbnNmb3JtPSJtYXRyaXgoMC43OTM1MDIgMCAwIDAuNzk0IDY3NS43&#10;MDIgNzYwKSI+KDwvdGV4dD48dGV4dCBmaWxsPSIjMzY0MjRBIiBmb250LWZhbWlseT0iQ2FsaWJy&#10;aSxDYWxpYnJpX01TRm9udFNlcnZpY2UsQXJpYWwiIGZvbnQtd2VpZ2h0PSI0MDAiIGZvbnQtc2l6&#10;ZT0iMTYiIHRyYW5zZm9ybT0ibWF0cml4KDAuNzkzNTAyIDAgMCAwLjc5NCA2NzkuNjcgNzYwKSI+&#10;MjAyMjwvdGV4dD48dGV4dCBmaWxsPSIjMzY0MjRBIiBmb250LWZhbWlseT0iQ2FsaWJyaSxDYWxp&#10;YnJpX01TRm9udFNlcnZpY2UsQXJpYWwiIGZvbnQtd2VpZ2h0PSI0MDAiIGZvbnQtc2l6ZT0iMTYi&#10;IHRyYW5zZm9ybT0ibWF0cml4KDAuNzkzNTAyIDAgMCAwLjc5NCA3MDUuMDYyIDc2MCkiPik8L3Rl&#10;eHQ+PGcgY2xpcC1wYXRoPSJ1cmwoI2NsaXAxNDIpIj48ZyBjbGlwLXBhdGg9InVybCgjY2xpcDE0&#10;MykiPjxnIGNsaXAtcGF0aD0idXJsKCNjbGlwMTQ0KSIgdHJhbnNmb3JtPSJtYXRyaXgoMC42MjY0&#10;NDggMCAwIDAuNjE3NTU1IDUzNS41NSA3NjMuNDc1KSI+PGcgY2xpcC1wYXRoPSJ1cmwoI2NsaXAx&#10;NDUpIj48dXNlIHdpZHRoPSIxMDAlIiBoZWlnaHQ9IjEwMCUiIHhsaW5rOmhyZWY9IiNpbWcxNDAi&#10;IHRyYW5zZm9ybT0idHJhbnNsYXRlKDUuMzgxNzJlLTA1IC01LjcyODEzZS0wNSkiPjwvdXNlPjwv&#10;Zz48L2c+PC9nPjwvZz48dGV4dCBmaWxsPSIjMzY0MjRBIiBmb250LWZhbWlseT0iQ2FsaWJyaSxD&#10;YWxpYnJpX01TRm9udFNlcnZpY2UsQXJpYWwiIGZvbnQtd2VpZ2h0PSI0MDAiIGZvbnQtc2l6ZT0i&#10;MTYiIHRyYW5zZm9ybT0ibWF0cml4KDAuNzkzNTAyIDAgMCAwLjc5NCA1NTMuNDA0IDc3NSkiPkNv&#10;bGxhYm9yYXRpdmUgcmVwb3J0cyA8L3RleHQ+PHRleHQgZmlsbD0iIzM2NDI0QSIgZm9udC1mYW1p&#10;bHk9IkNhbGlicmksQ2FsaWJyaV9NU0ZvbnRTZXJ2aWNlLEFyaWFsIiBmb250LXdlaWdodD0iNDAw&#10;IiBmb250LXNpemU9IjE2IiB0cmFuc2Zvcm09Im1hdHJpeCgwLjc5MzUwMiAwIDAgMC43OTQgNjY0&#10;LjQ5NCA3NzUpIj4oPC90ZXh0Pjx0ZXh0IGZpbGw9IiMzNjQyNEEiIGZvbnQtZmFtaWx5PSJDYWxp&#10;YnJpLENhbGlicmlfTVNGb250U2VydmljZSxBcmlhbCIgZm9udC13ZWlnaHQ9IjQwMCIgZm9udC1z&#10;aXplPSIxNiIgdHJhbnNmb3JtPSJtYXRyaXgoMC43OTM1MDIgMCAwIDAuNzk0IDY2OC40NjIgNzc1&#10;KSI+MjAyMjwvdGV4dD48dGV4dCBmaWxsPSIjMzY0MjRBIiBmb250LWZhbWlseT0iQ2FsaWJyaSxD&#10;YWxpYnJpX01TRm9udFNlcnZpY2UsQXJpYWwiIGZvbnQtd2VpZ2h0PSI0MDAiIGZvbnQtc2l6ZT0i&#10;MTYiIHRyYW5zZm9ybT0ibWF0cml4KDAuNzkzNTAyIDAgMCAwLjc5NCA2OTMuODU0IDc3NSkiPik8&#10;L3RleHQ+PHBhdGggZD0iTTY0MS4zOTcgMTYyLjQ2MiA2NTYuMTEgMTYyLjQ2MiA2NTYuMTEgMTc4&#10;LjMzMiA2NDEuMzk3IDE3OC4zMzJaIiBmaWxsPSIjRTZFQTdGIiBmaWxsLXJ1bGU9ImV2ZW5vZGQi&#10;IHRyYW5zZm9ybT0ibWF0cml4KDEgMCAwIDEuMDAwNjMgNS42NTE5OSAxMi43MDQpIi8+PHBhdGgg&#10;ZD0iTTY3OC45MjMgMjAyLjEzNyA2ODIuODkxIDIwMi4xMzcgNjgyLjg5MSAyMTguMDA3IDY3OC45&#10;MjMgMjE4LjAwN1oiIGZpbGw9IiNFNkVBN0YiIGZpbGwtcnVsZT0iZXZlbm9kZCIgdHJhbnNmb3Jt&#10;PSJtYXRyaXgoMSAwIDAgMS4wMDA2MyA1LjY1MTk5IDEyLjcwNCkiLz48cGF0aCBkPSJNNjgyLjg5&#10;MSAyMDIuMTM3IDcwMC40MTQgMjAyLjEzNyA3MDAuNDE0IDIxOC4wMDcgNjgyLjg5MSAyMTguMDA3&#10;WiIgZmlsbD0iI0U2RUE3RiIgZmlsbC1ydWxlPSJldmVub2RkIiB0cmFuc2Zvcm09Im1hdHJpeCgx&#10;IDAgMCAxLjAwMDYzIDUuNjUxOTkgMTIuNzA0KSIvPjxwYXRoIGQ9Ik02MDcuMzQzIDIxOC4wMDcg&#10;NjExLjMxMSAyMTguMDA3IDYxMS4zMTEgMjMzLjg3OCA2MDcuMzQzIDIzMy44NzhaIiBmaWxsPSIj&#10;RTZFQTdGIiBmaWxsLXJ1bGU9ImV2ZW5vZGQiIHRyYW5zZm9ybT0ibWF0cml4KDEgMCAwIDEuMDAw&#10;NjMgNS42NTE5OSAxMi43MDQpIi8+PHBhdGggZD0iTTYxMS4zMTEgMjE4LjAwNyA2MjguODMzIDIx&#10;OC4wMDcgNjI4LjgzMyAyMzMuODc4IDYxMS4zMTEgMjMzLjg3OFoiIGZpbGw9IiNFNkVBN0YiIGZp&#10;bGwtcnVsZT0iZXZlbm9kZCIgdHJhbnNmb3JtPSJtYXRyaXgoMSAwIDAgMS4wMDA2MyA1LjY1MTk5&#10;IDEyLjcwNCkiLz48cGF0aCBkPSJNNTk1Ljc3MSAyMzMuODc4IDU5OS43MzggMjMzLjg3OCA1OTku&#10;NzM4IDI0OS43NDggNTk1Ljc3MSAyNDkuNzQ4WiIgZmlsbD0iI0U2RUE3RiIgZmlsbC1ydWxlPSJl&#10;dmVub2RkIiB0cmFuc2Zvcm09Im1hdHJpeCgxIDAgMCAxLjAwMDYzIDUuNjUxOTkgMTIuNzA0KSIv&#10;PjxwYXRoIGQ9Ik01OTkuNzM4IDIzMy44NzggNjEwLjQ4NCAyMzMuODc4IDYxMC40ODQgMjQ5Ljc0&#10;OCA1OTkuNzM4IDI0OS43NDhaIiBmaWxsPSIjRTZFQTdGIiBmaWxsLXJ1bGU9ImV2ZW5vZGQiIHRy&#10;YW5zZm9ybT0ibWF0cml4KDEgMCAwIDEuMDAwNjMgNS42NTE5OSAxMi43MDQpIi8+PHBhdGggZD0i&#10;TTc2OS41MTUgMjQ5Ljc0OCA3OTEuMDA1IDI0OS43NDggNzkxLjAwNSAyNjUuNjE4IDc2OS41MTUg&#10;MjY1LjYxOFoiIGZpbGw9IiNFNkVBN0YiIGZpbGwtcnVsZT0iZXZlbm9kZCIgdHJhbnNmb3JtPSJt&#10;YXRyaXgoMSAwIDAgMS4wMDA2MyA1LjY1MTk5IDEyLjcwNCkiLz48cGF0aCBkPSJNNzcwLjM0MSAy&#10;NjUuNjE4IDc5MS44MzIgMjY1LjYxOCA3OTEuODMyIDI4MS40ODggNzcwLjM0MSAyODEuNDg4WiIg&#10;ZmlsbD0iI0U2RUE3RiIgZmlsbC1ydWxlPSJldmVub2RkIiB0cmFuc2Zvcm09Im1hdHJpeCgxIDAg&#10;MCAxLjAwMDYzIDUuNjUxOTkgMTIuNzA0KSIvPjxwYXRoIGQ9Ik02MzUuMjgxIDQzMi4yNTMgNjU2&#10;Ljc3MSA0MzIuMjUzIDY1Ni43NzEgNDQ4LjEyMyA2MzUuMjgxIDQ0OC4xMjNaIiBmaWxsPSIjRTZF&#10;QTdGIiBmaWxsLXJ1bGU9ImV2ZW5vZGQiIHRyYW5zZm9ybT0ibWF0cml4KDEgMCAwIDEuMDAwNjMg&#10;NS42NTE5OSAxMi43MDQpIi8+PHBhdGggZD0iTTY1NC43ODcgNDQ4LjEyMyA2NzYuMjc5IDQ0OC4x&#10;MjMgNjc2LjI3OSA0NjMuOTkzIDY1NC43ODcgNDYzLjk5M1oiIGZpbGw9IiNFNkVBN0YiIGZpbGwt&#10;cnVsZT0iZXZlbm9kZCIgdHJhbnNmb3JtPSJtYXRyaXgoMSAwIDAgMS4wMDA2MyA1LjY1MTk5IDEy&#10;LjcwNCkiLz48cGF0aCBkPSJNNjc4Ljc1OCA1MDMuNjY4IDcwMC4yNDkgNTAzLjY2OCA3MDAuMjQ5&#10;IDUxOS41MzggNjc4Ljc1OCA1MTkuNTM4WiIgZmlsbD0iI0U2RUE3RiIgZmlsbC1ydWxlPSJldmVu&#10;b2RkIiB0cmFuc2Zvcm09Im1hdHJpeCgxIDAgMCAxLjAwMDYzIDUuNjUxOTkgMTIuNzA0KSIvPjxw&#10;YXRoIGQ9Ik02NjUuMDM3IDU1OS4yMTMgNjg2LjUyNyA1NTkuMjEzIDY4Ni41MjcgNTc1LjA4MyA2&#10;NjUuMDM3IDU3NS4wODNaIiBmaWxsPSIjRTZFQTdGIiBmaWxsLXJ1bGU9ImV2ZW5vZGQiIHRyYW5z&#10;Zm9ybT0ibWF0cml4KDEgMCAwIDEuMDAwNjMgNS42NTE5OSAxMi43MDQpIi8+PHRleHQgZmlsbD0i&#10;I0ZGRkZGRiIgZm9udC1mYW1pbHk9IkNhbGlicmksQ2FsaWJyaV9NU0ZvbnRTZXJ2aWNlLEFyaWFs&#10;IiBmb250LXdlaWdodD0iNzAwIiBmb250LXNpemU9IjE3IiB0cmFuc2Zvcm09Im1hdHJpeCgwLjc5&#10;MzUwMiAwIDAgMC43OTQgNTI3LjE5OCAxNzIpIj5ZYXJuaW5nIHdvcmtzaG9wczwvdGV4dD48ZyBj&#10;bGlwLXBhdGg9InVybCgjY2xpcDE0NikiPjxnIGNsaXAtcGF0aD0idXJsKCNjbGlwMTQ3KSI+PGcg&#10;Y2xpcC1wYXRoPSJ1cmwoI2NsaXAxNDgpIiB0cmFuc2Zvcm09Im1hdHJpeCgwLjY2MTI1MiAwIDAg&#10;MC42MjY4NDIgNTI3LjE5OCAxNzYuMDYyKSI+PGcgY2xpcC1wYXRoPSJ1cmwoI2NsaXAxNDkpIj48&#10;dXNlIHdpZHRoPSIxMDAlIiBoZWlnaHQ9IjEwMCUiIHhsaW5rOmhyZWY9IiNpbWczNCIgdHJhbnNm&#10;b3JtPSJ0cmFuc2xhdGUoLTguNjkxODdlLTA2IC0xLjc1NjAyZS0wNikiPjwvdXNlPjwvZz48L2c+&#10;PC9nPjwvZz48dGV4dCBmaWxsPSIjRkZGRkZGIiBmb250LWZhbWlseT0iQ2FsaWJyaSxDYWxpYnJp&#10;X01TRm9udFNlcnZpY2UsQXJpYWwiIGZvbnQtd2VpZ2h0PSI0MDAiIGZvbnQtc2l6ZT0iMTciIHRy&#10;YW5zZm9ybT0ibWF0cml4KDAuNzkzNTAyIDAgMCAwLjc5NCA1NDUuMDUyIDE4OCkiPjEgPC90ZXh0&#10;Pjx0ZXh0IGZpbGw9IiNGRkZGRkYiIGZvbnQtZmFtaWx5PSJDYWxpYnJpLENhbGlicmlfTVNGb250&#10;U2VydmljZSxBcmlhbCIgZm9udC13ZWlnaHQ9IjQwMCIgZm9udC1zaXplPSIxNyIgdHJhbnNmb3Jt&#10;PSJtYXRyaXgoMC43OTM1MDIgMCAwIDAuNzk0IDU1NS4zNjcgMTg4KSI+Q29tbXVuaXR5IHlhcm4g&#10;PC90ZXh0Pjx0ZXh0IGZvbnQtZmFtaWx5PSJDYWxpYnJpLENhbGlicmlfTVNGb250U2VydmljZSxB&#10;cmlhbCIgZm9udC13ZWlnaHQ9IjQwMCIgZm9udC1zaXplPSIxNyIgdHJhbnNmb3JtPSJtYXRyaXgo&#10;MC43OTM1MDIgMCAwIDAuNzk0IDY0Ny4wNDkgMTg4KSI+KDwvdGV4dD48dGV4dCBmb250LWZhbWls&#10;eT0iQ2FsaWJyaSxDYWxpYnJpX01TRm9udFNlcnZpY2UsQXJpYWwiIGZvbnQtd2VpZ2h0PSI0MDAi&#10;IGZvbnQtc2l6ZT0iMTciIHRyYW5zZm9ybT0ibWF0cml4KDAuNzkzNTAyIDAgMCAwLjc5NCA2NTEu&#10;MDE3IDE4OCkiPjc8L3RleHQ+PHRleHQgZm9udC1mYW1pbHk9IkNhbGlicmksQ2FsaWJyaV9NU0Zv&#10;bnRTZXJ2aWNlLEFyaWFsIiBmb250LXdlaWdodD0iNDAwIiBmb250LXNpemU9IjE3IiB0cmFuc2Zv&#10;cm09Im1hdHJpeCgwLjc5MzUwMiAwIDAgMC43OTQgNjU4LjE1OCAxODgpIj4pPC90ZXh0Pjx0ZXh0&#10;IGZpbGw9IiNGRkZGRkYiIGZvbnQtZmFtaWx5PSJDYWxpYnJpLENhbGlicmlfTVNGb250U2Vydmlj&#10;ZSxBcmlhbCIgZm9udC13ZWlnaHQ9IjcwMCIgZm9udC1zaXplPSIxNyIgdHJhbnNmb3JtPSJtYXRy&#10;aXgoMC43OTM1MDIgMCAwIDAuNzk0IDUyNy4xOTggMjEyKSI+U2VtaTwvdGV4dD48dGV4dCBmaWxs&#10;PSIjRkZGRkZGIiBmb250LWZhbWlseT0iQ2FsaWJyaSxDYWxpYnJpX01TRm9udFNlcnZpY2UsQXJp&#10;YWwiIGZvbnQtd2VpZ2h0PSI3MDAiIGZvbnQtc2l6ZT0iMTciIHRyYW5zZm9ybT0ibWF0cml4KDAu&#10;NzkzNTAyIDAgMCAwLjc5NCA1NTQuMTQzIDIxMikiPi08L3RleHQ+PHRleHQgZmlsbD0iI0ZGRkZG&#10;RiIgZm9udC1mYW1pbHk9IkNhbGlicmksQ2FsaWJyaV9NU0ZvbnRTZXJ2aWNlLEFyaWFsIiBmb250&#10;LXdlaWdodD0iNzAwIiBmb250LXNpemU9IjE3IiB0cmFuc2Zvcm09Im1hdHJpeCgwLjc5MzUwMiAw&#10;IDAgMC43OTQgNTU4LjExMSAyMTIpIj5zdHJ1Y3R1cmVkIGludGVydmlld3M8L3RleHQ+PGcgY2xp&#10;cC1wYXRoPSJ1cmwoI2NsaXAxNTApIj48ZyBjbGlwLXBhdGg9InVybCgjY2xpcDE1MSkiPjxnIGNs&#10;aXAtcGF0aD0idXJsKCNjbGlwMTUyKSIgdHJhbnNmb3JtPSJtYXRyaXgoMC42NjEyNTIgMCAwIDAu&#10;NjI2ODQyIDUyNy4xOTggMjE1Ljc2MikiPjxnIGNsaXAtcGF0aD0idXJsKCNjbGlwMTUzKSI+PHVz&#10;ZSB3aWR0aD0iMTAwJSIgaGVpZ2h0PSIxMDAlIiB4bGluazpocmVmPSIjaW1nMzQiIHRyYW5zZm9y&#10;bT0idHJhbnNsYXRlKC04LjY5MTg3ZS0wNiA4Ljk5MTdlLTA2KSI+PC91c2U+PC9nPjwvZz48L2c+&#10;PC9nPjx0ZXh0IGZpbGw9IiNGRkZGRkYiIGZvbnQtZmFtaWx5PSJDYWxpYnJpLENhbGlicmlfTVNG&#10;b250U2VydmljZSxBcmlhbCIgZm9udC13ZWlnaHQ9IjQwMCIgZm9udC1zaXplPSIxNyIgdHJhbnNm&#10;b3JtPSJtYXRyaXgoMC43OTM1MDIgMCAwIDAuNzk0IDU0NS4wNTIgMjI4KSI+SW5kaXZpZHVhbCBo&#10;ZWFsdGggam91cm5leSA8L3RleHQ+PHRleHQgZm9udC1mYW1pbHk9IkNhbGlicmksQ2FsaWJyaV9N&#10;U0ZvbnRTZXJ2aWNlLEFyaWFsIiBmb250LXdlaWdodD0iNDAwIiBmb250LXNpemU9IjE3IiB0cmFu&#10;c2Zvcm09Im1hdHJpeCgwLjc5MzUwMiAwIDAgMC43OTQgNjg0LjU3NSAyMjgpIj4oPC90ZXh0Pjx0&#10;ZXh0IGZvbnQtZmFtaWx5PSJDYWxpYnJpLENhbGlicmlfTVNGb250U2VydmljZSxBcmlhbCIgZm9u&#10;dC13ZWlnaHQ9IjQwMCIgZm9udC1zaXplPSIxNyIgdHJhbnNmb3JtPSJtYXRyaXgoMC43OTM1MDIg&#10;MCAwIDAuNzk0IDY4OC41NDMgMjI4KSI+MTM8L3RleHQ+PHRleHQgZm9udC1mYW1pbHk9IkNhbGli&#10;cmksQ2FsaWJyaV9NU0ZvbnRTZXJ2aWNlLEFyaWFsIiBmb250LXdlaWdodD0iNDAwIiBmb250LXNp&#10;emU9IjE3IiB0cmFuc2Zvcm09Im1hdHJpeCgwLjc5MzUwMiAwIDAgMC43OTQgNzAyLjgyNiAyMjgp&#10;Ij4pPC90ZXh0PjxnIGNsaXAtcGF0aD0idXJsKCNjbGlwMTU0KSI+PGcgY2xpcC1wYXRoPSJ1cmwo&#10;I2NsaXAxNTUpIj48ZyBjbGlwLXBhdGg9InVybCgjY2xpcDE1NikiIHRyYW5zZm9ybT0ibWF0cml4&#10;KDAuNjYxMjUyIDAgMCAwLjYyNjg0MiA1MjcuMTk4IDIzMS42NDIpIj48ZyBjbGlwLXBhdGg9InVy&#10;bCgjY2xpcDE1NykiPjx1c2Ugd2lkdGg9IjEwMCUiIGhlaWdodD0iMTAwJSIgeGxpbms6aHJlZj0i&#10;I2ltZzM0IiB0cmFuc2Zvcm09InRyYW5zbGF0ZSgtOC42OTE4N2UtMDYgMy4xNjczMWUtMDUpIj48&#10;L3VzZT48L2c+PC9nPjwvZz48L2c+PHRleHQgZmlsbD0iI0ZGRkZGRiIgZm9udC1mYW1pbHk9IkNh&#10;bGlicmksQ2FsaWJyaV9NU0ZvbnRTZXJ2aWNlLEFyaWFsIiBmb250LXdlaWdodD0iNDAwIiBmb250&#10;LXNpemU9IjE3IiB0cmFuc2Zvcm09Im1hdHJpeCgwLjc5MzUwMiAwIDAgMC43OTQgNTQ1LjA1MiAy&#10;NDQpIj5BQ0NIcyBzdGFmZiA8L3RleHQ+PHRleHQgZm9udC1mYW1pbHk9IkNhbGlicmksQ2FsaWJy&#10;aV9NU0ZvbnRTZXJ2aWNlLEFyaWFsIiBmb250LXdlaWdodD0iNDAwIiBmb250LXNpemU9IjE3IiB0&#10;cmFuc2Zvcm09Im1hdHJpeCgwLjc5MzUwMiAwIDAgMC43OTQgNjEyLjk5NSAyNDQpIj4oPC90ZXh0&#10;Pjx0ZXh0IGZvbnQtZmFtaWx5PSJDYWxpYnJpLENhbGlicmlfTVNGb250U2VydmljZSxBcmlhbCIg&#10;Zm9udC13ZWlnaHQ9IjQwMCIgZm9udC1zaXplPSIxNyIgdHJhbnNmb3JtPSJtYXRyaXgoMC43OTM1&#10;MDIgMCAwIDAuNzk0IDYxNi45NjMgMjQ0KSI+MTY8L3RleHQ+PHRleHQgZm9udC1mYW1pbHk9IkNh&#10;bGlicmksQ2FsaWJyaV9NU0ZvbnRTZXJ2aWNlLEFyaWFsIiBmb250LXdlaWdodD0iNDAwIiBmb250&#10;LXNpemU9IjE3IiB0cmFuc2Zvcm09Im1hdHJpeCgwLjc5MzUwMiAwIDAgMC43OTQgNjMxLjI0NiAy&#10;NDQpIj4pPC90ZXh0PjxnIGNsaXAtcGF0aD0idXJsKCNjbGlwMTU4KSI+PGcgY2xpcC1wYXRoPSJ1&#10;cmwoI2NsaXAxNTkpIj48ZyBjbGlwLXBhdGg9InVybCgjY2xpcDE2MCkiIHRyYW5zZm9ybT0ibWF0&#10;cml4KDAuNjYxMjUyIDAgMCAwLjYyNjg0MiA1MjcuMTk4IDI0Ny41MjIpIj48ZyBjbGlwLXBhdGg9&#10;InVybCgjY2xpcDE2MSkiPjx1c2Ugd2lkdGg9IjEwMCUiIGhlaWdodD0iMTAwJSIgeGxpbms6aHJl&#10;Zj0iI2ltZzM0IiB0cmFuc2Zvcm09InRyYW5zbGF0ZSgtOC42OTE4N2UtMDYgMS43NjYxNmUtMDUp&#10;Ij48L3VzZT48L2c+PC9nPjwvZz48L2c+PHRleHQgZmlsbD0iI0ZGRkZGRiIgZm9udC1mYW1pbHk9&#10;IkNhbGlicmksQ2FsaWJyaV9NU0ZvbnRTZXJ2aWNlLEFyaWFsIiBmb250LXdlaWdodD0iNDAwIiBm&#10;b250LXNpemU9IjE3IiB0cmFuc2Zvcm09Im1hdHJpeCgwLjc5MzUwMiAwIDAgMC43OTQgNTQ1LjA1&#10;MiAyNjApIj5QSE4gc3RhZmYgPC90ZXh0Pjx0ZXh0IGZvbnQtZmFtaWx5PSJDYWxpYnJpLENhbGli&#10;cmlfTVNGb250U2VydmljZSxBcmlhbCIgZm9udC13ZWlnaHQ9IjQwMCIgZm9udC1zaXplPSIxNyIg&#10;dHJhbnNmb3JtPSJtYXRyaXgoMC43OTM1MDIgMCAwIDAuNzk0IDYwMS40MjMgMjYwKSI+KDwvdGV4&#10;dD48dGV4dCBmb250LWZhbWlseT0iQ2FsaWJyaSxDYWxpYnJpX01TRm9udFNlcnZpY2UsQXJpYWwi&#10;IGZvbnQtd2VpZ2h0PSI0MDAiIGZvbnQtc2l6ZT0iMTciIHRyYW5zZm9ybT0ibWF0cml4KDAuNzkz&#10;NTAyIDAgMCAwLjc5NCA2MDUuMzkgMjYwKSI+NzwvdGV4dD48dGV4dCBmb250LWZhbWlseT0iQ2Fs&#10;aWJyaSxDYWxpYnJpX01TRm9udFNlcnZpY2UsQXJpYWwiIGZvbnQtd2VpZ2h0PSI0MDAiIGZvbnQt&#10;c2l6ZT0iMTciIHRyYW5zZm9ybT0ibWF0cml4KDAuNzkzNTAyIDAgMCAwLjc5NCA2MTIuNTMyIDI2&#10;MCkiPik8L3RleHQ+PGcgY2xpcC1wYXRoPSJ1cmwoI2NsaXAxNjIpIj48ZyBjbGlwLXBhdGg9InVy&#10;bCgjY2xpcDE2MykiPjxnIGNsaXAtcGF0aD0idXJsKCNjbGlwMTY0KSIgdHJhbnNmb3JtPSJtYXRy&#10;aXgoMC42NjEyNTIgMCAwIDAuNjI2ODQyIDUyNy4xOTggMjYzLjQwMikiPjxnIGNsaXAtcGF0aD0i&#10;dXJsKCNjbGlwMTY1KSI+PHVzZSB3aWR0aD0iMTAwJSIgaGVpZ2h0PSIxMDAlIiB4bGluazpocmVm&#10;PSIjaW1nMzQiIHRyYW5zZm9ybT0idHJhbnNsYXRlKC04LjY5MTg3ZS0wNiAtMi4wNjkyMWUtMDUp&#10;Ij48L3VzZT48L2c+PC9nPjwvZz48L2c+PHRleHQgZmlsbD0iI0ZGRkZGRiIgZm9udC1mYW1pbHk9&#10;IkNhbGlicmksQ2FsaWJyaV9NU0ZvbnRTZXJ2aWNlLEFyaWFsIiBmb250LXdlaWdodD0iNDAwIiBm&#10;b250LXNpemU9IjE3IiB0cmFuc2Zvcm09Im1hdHJpeCgwLjc5MzUwMiAwIDAgMC43OTQgNTQ1LjA1&#10;MiAyNzYpIj5OYXRpb25hbDwvdGV4dD48dGV4dCBmaWxsPSIjRkZGRkZGIiBmb250LWZhbWlseT0i&#10;Q2FsaWJyaSxDYWxpYnJpX01TRm9udFNlcnZpY2UsQXJpYWwiIGZvbnQtd2VpZ2h0PSI0MDAiIGZv&#10;bnQtc2l6ZT0iMTciIHRyYW5zZm9ybT0ibWF0cml4KDAuNzkzNTAyIDAgMCAwLjc5NCA1OTEuMDc1&#10;IDI3NikiPiwgPC90ZXh0Pjx0ZXh0IGZpbGw9IiNGRkZGRkYiIGZvbnQtZmFtaWx5PSJDYWxpYnJp&#10;LENhbGlicmlfTVNGb250U2VydmljZSxBcmlhbCIgZm9udC13ZWlnaHQ9IjQwMCIgZm9udC1zaXpl&#10;PSIxNyIgdHJhbnNmb3JtPSJtYXRyaXgoMC43OTM1MDIgMCAwIDAuNzk0IDU5Ny40MjMgMjc2KSI+&#10;c3RhdGUgYW5kIHRlcnJpdG9yeSA8L3RleHQ+PHRleHQgZmlsbD0iI0ZGRkZGRiIgZm9udC1mYW1p&#10;bHk9IkNhbGlicmksQ2FsaWJyaV9NU0ZvbnRTZXJ2aWNlLEFyaWFsIiBmb250LXdlaWdodD0iNDAw&#10;IiBmb250LXNpemU9IjE3IiB0cmFuc2Zvcm09Im1hdHJpeCgwLjc5MzUwMiAwIDAgMC43OTQgNjk4&#10;LjEzMSAyNzYpIj5nb3Zlcm5tZW50cyAgPC90ZXh0Pjx0ZXh0IGZvbnQtZmFtaWx5PSJDYWxpYnJp&#10;LENhbGlicmlfTVNGb250U2VydmljZSxBcmlhbCIgZm9udC13ZWlnaHQ9IjQwMCIgZm9udC1zaXpl&#10;PSIxNyIgdHJhbnNmb3JtPSJtYXRyaXgoMC43OTM1MDIgMCAwIDAuNzk0IDc3NS4xNjcgMjc2KSI+&#10;KDwvdGV4dD48dGV4dCBmb250LWZhbWlseT0iQ2FsaWJyaSxDYWxpYnJpX01TRm9udFNlcnZpY2Us&#10;QXJpYWwiIGZvbnQtd2VpZ2h0PSI0MDAiIGZvbnQtc2l6ZT0iMTciIHRyYW5zZm9ybT0ibWF0cml4&#10;KDAuNzkzNTAyIDAgMCAwLjc5NCA3NzkuMTM1IDI3NikiPjIxPC90ZXh0Pjx0ZXh0IGZvbnQtZmFt&#10;aWx5PSJDYWxpYnJpLENhbGlicmlfTVNGb250U2VydmljZSxBcmlhbCIgZm9udC13ZWlnaHQ9IjQw&#10;MCIgZm9udC1zaXplPSIxNyIgdHJhbnNmb3JtPSJtYXRyaXgoMC43OTM1MDIgMCAwIDAuNzk0IDc5&#10;My40MTggMjc2KSI+KTwvdGV4dD48ZyBjbGlwLXBhdGg9InVybCgjY2xpcDE2NikiPjxnIGNsaXAt&#10;cGF0aD0idXJsKCNjbGlwMTY3KSI+PGcgY2xpcC1wYXRoPSJ1cmwoI2NsaXAxNjgpIiB0cmFuc2Zv&#10;cm09Im1hdHJpeCgwLjY2MTI1MiAwIDAgMC42MjY4NDIgNTI3LjE5OCAyNzkuMjgyKSI+PGcgY2xp&#10;cC1wYXRoPSJ1cmwoI2NsaXAxNjkpIj48dXNlIHdpZHRoPSIxMDAlIiBoZWlnaHQ9IjEwMCUiIHhs&#10;aW5rOmhyZWY9IiNpbWczNCIgdHJhbnNmb3JtPSJ0cmFuc2xhdGUoLTguNjkxODdlLTA2IDIuNjMz&#10;MTZlLTA1KSI+PC91c2U+PC9nPjwvZz48L2c+PC9nPjx0ZXh0IGZpbGw9IiNGRkZGRkYiIGZvbnQt&#10;ZmFtaWx5PSJDYWxpYnJpLENhbGlicmlfTVNGb250U2VydmljZSxBcmlhbCIgZm9udC13ZWlnaHQ9&#10;IjQwMCIgZm9udC1zaXplPSIxNyIgdHJhbnNmb3JtPSJtYXRyaXgoMC43OTM1MDIgMCAwIDAuNzk0&#10;IDU0NS4wNTIgMjkxKSI+TmF0aW9uYWw8L3RleHQ+PHRleHQgZmlsbD0iI0ZGRkZGRiIgZm9udC1m&#10;YW1pbHk9IkNhbGlicmksQ2FsaWJyaV9NU0ZvbnRTZXJ2aWNlLEFyaWFsIiBmb250LXdlaWdodD0i&#10;NDAwIiBmb250LXNpemU9IjE3IiB0cmFuc2Zvcm09Im1hdHJpeCgwLjc5MzUwMiAwIDAgMC43OTQg&#10;NTkxLjA3NSAyOTEpIj4sIDwvdGV4dD48dGV4dCBmaWxsPSIjRkZGRkZGIiBmb250LWZhbWlseT0i&#10;Q2FsaWJyaSxDYWxpYnJpX01TRm9udFNlcnZpY2UsQXJpYWwiIGZvbnQtd2VpZ2h0PSI0MDAiIGZv&#10;bnQtc2l6ZT0iMTciIHRyYW5zZm9ybT0ibWF0cml4KDAuNzkzNTAyIDAgMCAwLjc5NCA1OTcuNDIz&#10;IDI5MSkiPnN0YXRlIGFuZCB0ZXJyaXRvcnkgcGVha3M8L3RleHQ+PHRleHQgZmlsbD0iI0ZGRkZG&#10;RiIgZm9udC1mYW1pbHk9IkNhbGlicmksQ2FsaWJyaV9NU0ZvbnRTZXJ2aWNlLEFyaWFsIiBmb250&#10;LXdlaWdodD0iNDAwIiBmb250LXNpemU9IjE3IiB0cmFuc2Zvcm09Im1hdHJpeCgwLjc5MzUwMiAw&#10;IDAgMC43OTQgNzMzLjkwNSAyOTEpIj4sIDwvdGV4dD48dGV4dCBmaWxsPSIjRkZGRkZGIiBmb250&#10;LWZhbWlseT0iQ2FsaWJyaSxDYWxpYnJpX01TRm9udFNlcnZpY2UsQXJpYWwiIGZvbnQtd2VpZ2h0&#10;PSI0MDAiIGZvbnQtc2l6ZT0iMTciIHRyYW5zZm9ybT0ibWF0cml4KDAuNzkzNTAyIDAgMCAwLjc5&#10;NCA3MzUuMzI2IDI5MSkiPm90aGVycyAgPC90ZXh0Pjx0ZXh0IGZvbnQtZmFtaWx5PSJDYWxpYnJp&#10;LENhbGlicmlfTVNGb250U2VydmljZSxBcmlhbCIgZm9udC13ZWlnaHQ9IjQwMCIgZm9udC1zaXpl&#10;PSIxNyIgdHJhbnNmb3JtPSJtYXRyaXgoMC43OTM1MDIgMCAwIDAuNzk0IDc3NS45OTMgMjkxKSI+&#10;KDwvdGV4dD48dGV4dCBmb250LWZhbWlseT0iQ2FsaWJyaSxDYWxpYnJpX01TRm9udFNlcnZpY2Us&#10;QXJpYWwiIGZvbnQtd2VpZ2h0PSI0MDAiIGZvbnQtc2l6ZT0iMTciIHRyYW5zZm9ybT0ibWF0cml4&#10;KDAuNzkzNTAyIDAgMCAwLjc5NCA3NzkuOTYxIDI5MSkiPjE1PC90ZXh0Pjx0ZXh0IGZvbnQtZmFt&#10;aWx5PSJDYWxpYnJpLENhbGlicmlfTVNGb250U2VydmljZSxBcmlhbCIgZm9udC13ZWlnaHQ9IjQw&#10;MCIgZm9udC1zaXplPSIxNyIgdHJhbnNmb3JtPSJtYXRyaXgoMC43OTM1MDIgMCAwIDAuNzk0IDc5&#10;NC4yNDQgMjkxKSI+KTwvdGV4dD48dGV4dCBmaWxsPSIjRkZGRkZGIiBmb250LWZhbWlseT0iQ2Fs&#10;aWJyaSxDYWxpYnJpX01TRm9udFNlcnZpY2UsQXJpYWwiIGZvbnQtd2VpZ2h0PSI3MDAiIGZvbnQt&#10;c2l6ZT0iMTciIHRyYW5zZm9ybT0ibWF0cml4KDAuNzkzNTAyIDAgMCAwLjc5NCA1MjcuMTk4IDMy&#10;MykiPlF1YW50aXRhdGl2ZSBkYXRhPC90ZXh0PjxnIGNsaXAtcGF0aD0idXJsKCNjbGlwMTcwKSI+&#10;PGcgY2xpcC1wYXRoPSJ1cmwoI2NsaXAxNzEpIj48ZyBjbGlwLXBhdGg9InVybCgjY2xpcDE3Miki&#10;IHRyYW5zZm9ybT0ibWF0cml4KDAuNjYxMjUyIDAgMCAwLjYyNjg0MiA1MjcuMTk4IDMyNi45MjIp&#10;Ij48ZyBjbGlwLXBhdGg9InVybCgjY2xpcDE3MykiPjx1c2Ugd2lkdGg9IjEwMCUiIGhlaWdodD0i&#10;MTAwJSIgeGxpbms6aHJlZj0iI2ltZzM0IiB0cmFuc2Zvcm09InRyYW5zbGF0ZSgtOC42OTE4N2Ut&#10;MDYgLTEuNTcwMjhlLTA1KSI+PC91c2U+PC9nPjwvZz48L2c+PC9nPjx0ZXh0IGZpbGw9IiNGRkZG&#10;RkYiIGZvbnQtZmFtaWx5PSJDYWxpYnJpLENhbGlicmlfTVNGb250U2VydmljZSxBcmlhbCIgZm9u&#10;dC13ZWlnaHQ9IjQwMCIgZm9udC1zaXplPSIxNyIgdHJhbnNmb3JtPSJtYXRyaXgoMC43OTM1MDIg&#10;MCAwIDAuNzk0IDU0NS4wNTIgMzM5KSI+QW5hbHlzaXMgb2YgcHVibGljbHkgYXZhaWxhYmxlIGRh&#10;dGE8L3RleHQ+PGcgY2xpcC1wYXRoPSJ1cmwoI2NsaXAxNzQpIj48ZyBjbGlwLXBhdGg9InVybCgj&#10;Y2xpcDE3NSkiPjxnIGNsaXAtcGF0aD0idXJsKCNjbGlwMTc2KSIgdHJhbnNmb3JtPSJtYXRyaXgo&#10;MC42NjEyNTIgMCAwIDAuNjI2ODQyIDUyNy4xOTggMzQyLjgwMikiPjxnIGNsaXAtcGF0aD0idXJs&#10;KCNjbGlwMTc3KSI+PHVzZSB3aWR0aD0iMTAwJSIgaGVpZ2h0PSIxMDAlIiB4bGluazpocmVmPSIj&#10;aW1nMzQiIHRyYW5zZm9ybT0idHJhbnNsYXRlKC04LjY5MTg3ZS0wNiA4LjAzMzI0ZS0wNykiPjwv&#10;dXNlPjwvZz48L2c+PC9nPjwvZz48dGV4dCBmaWxsPSIjRkZGRkZGIiBmb250LWZhbWlseT0iQ2Fs&#10;aWJyaSxDYWxpYnJpX01TRm9udFNlcnZpY2UsQXJpYWwiIGZvbnQtd2VpZ2h0PSI0MDAiIGZvbnQt&#10;c2l6ZT0iMTciIHRyYW5zZm9ybT0ibWF0cml4KDAuNzkzNTAyIDAgMCAwLjc5NCA1NDUuMDUyIDM1&#10;NSkiPkRhdGEgcmVjZWl2ZWQgZnJvbSBjdXN0b2RpYW5zPC90ZXh0PjxnIGNsaXAtcGF0aD0idXJs&#10;KCNjbGlwMTc4KSI+PGcgY2xpcC1wYXRoPSJ1cmwoI2NsaXAxNzkpIj48ZyBjbGlwLXBhdGg9InVy&#10;bCgjY2xpcDE4MCkiIHRyYW5zZm9ybT0ibWF0cml4KDAuNjYxMjUyIDAgMCAwLjYyNjg0MiA1Mjcu&#10;MTk4IDM1OC42ODIpIj48ZyBjbGlwLXBhdGg9InVybCgjY2xpcDE4MSkiPjx1c2Ugd2lkdGg9IjEw&#10;MCUiIGhlaWdodD0iMTAwJSIgeGxpbms6aHJlZj0iI2ltZzM0IiB0cmFuc2Zvcm09InRyYW5zbGF0&#10;ZSgtOC42OTE4N2UtMDYgLTMuMTM3NTJlLTA1KSI+PC91c2U+PC9nPjwvZz48L2c+PC9nPjx0ZXh0&#10;IGZpbGw9IiNGRkZGRkYiIGZvbnQtZmFtaWx5PSJDYWxpYnJpLENhbGlicmlfTVNGb250U2Vydmlj&#10;ZSxBcmlhbCIgZm9udC13ZWlnaHQ9IjQwMCIgZm9udC1zaXplPSIxNyIgdHJhbnNmb3JtPSJtYXRy&#10;aXgoMC43OTM1MDIgMCAwIDAuNzk0IDU0NS4wNTIgMzcxKSI+RGF0YSBjbGVhbmluZyBhbmQgYXVk&#10;aXRpbmc8L3RleHQ+PGcgY2xpcC1wYXRoPSJ1cmwoI2NsaXAxODIpIj48ZyBjbGlwLXBhdGg9InVy&#10;bCgjY2xpcDE4MykiPjxnIGNsaXAtcGF0aD0idXJsKCNjbGlwMTg0KSIgdHJhbnNmb3JtPSJtYXRy&#10;aXgoMC42NjEyNTIgMCAwIDAuNjI2ODQyIDUyNy4xOTggMzc0LjU2MikiPjxnIGNsaXAtcGF0aD0i&#10;dXJsKCNjbGlwMTg1KSI+PHVzZSB3aWR0aD0iMTAwJSIgaGVpZ2h0PSIxMDAlIiB4bGluazpocmVm&#10;PSIjaW1nMzQiIHRyYW5zZm9ybT0idHJhbnNsYXRlKC04LjY5MTg3ZS0wNiAtMS40ODY5ZS0wNSki&#10;PjwvdXNlPjwvZz48L2c+PC9nPjwvZz48dGV4dCBmaWxsPSIjRkZGRkZGIiBmb250LWZhbWlseT0i&#10;Q2FsaWJyaSxDYWxpYnJpX01TRm9udFNlcnZpY2UsQXJpYWwiIGZvbnQtd2VpZ2h0PSI0MDAiIGZv&#10;bnQtc2l6ZT0iMTciIHRyYW5zZm9ybT0ibWF0cml4KDAuNzkzNTAyIDAgMCAwLjc5NCA1NDUuMDUy&#10;IDM4NykiPlJldmlldyBvZiBxdWFsaXRhdGl2ZSBpbnRlcnZpZXdzPC90ZXh0PjxnIGNsaXAtcGF0&#10;aD0idXJsKCNjbGlwMTg2KSI+PGcgY2xpcC1wYXRoPSJ1cmwoI2NsaXAxODcpIj48ZyBjbGlwLXBh&#10;dGg9InVybCgjY2xpcDE4OCkiIHRyYW5zZm9ybT0ibWF0cml4KDAuNjYxMjUyIDAgMCAwLjYyNjg0&#10;MiA1MjcuMTk4IDM5MC40NDIpIj48ZyBjbGlwLXBhdGg9InVybCgjY2xpcDE4OSkiPjx1c2Ugd2lk&#10;dGg9IjEwMCUiIGhlaWdodD0iMTAwJSIgeGxpbms6aHJlZj0iI2ltZzM0IiB0cmFuc2Zvcm09InRy&#10;YW5zbGF0ZSgtOC42OTE4N2UtMDYgMS42MzcwOGUtMDYpIj48L3VzZT48L2c+PC9nPjwvZz48L2c+&#10;PHRleHQgZmlsbD0iI0ZGRkZGRiIgZm9udC1mYW1pbHk9IkNhbGlicmksQ2FsaWJyaV9NU0ZvbnRT&#10;ZXJ2aWNlLEFyaWFsIiBmb250LXdlaWdodD0iNDAwIiBmb250LXNpemU9IjE3IiB0cmFuc2Zvcm09&#10;Im1hdHJpeCgwLjc5MzUwMiAwIDAgMC43OTQgNTQ1LjA1MiA0MDMpIj5PbmUgdGVhbSB3b3Jrc2hv&#10;cDwvdGV4dD48dGV4dCBmaWxsPSIjRkZGRkZGIiBmb250LWZhbWlseT0iQ2FsaWJyaSxDYWxpYnJp&#10;X01TRm9udFNlcnZpY2UsQXJpYWwiIGZvbnQtd2VpZ2h0PSI3MDAiIGZvbnQtc2l6ZT0iMTciIHRy&#10;YW5zZm9ybT0ibWF0cml4KDAuNzkzNTAyIDAgMCAwLjc5NCA1MjcuMTk4IDQ0MikiPkNvbGxlY3Rp&#10;dmUgYWN0aW9uIGZvciBjaGFuZ2U8L3RleHQ+PGcgY2xpcC1wYXRoPSJ1cmwoI2NsaXAxOTApIj48&#10;ZyBjbGlwLXBhdGg9InVybCgjY2xpcDE5MSkiPjxnIGNsaXAtcGF0aD0idXJsKCNjbGlwMTkyKSIg&#10;dHJhbnNmb3JtPSJtYXRyaXgoMC42NjEyNTIgMCAwIDAuNjI2ODQyIDUyNy4xOTggNDQ2LjAyMiki&#10;PjxnIGNsaXAtcGF0aD0idXJsKCNjbGlwMTkzKSI+PHVzZSB3aWR0aD0iMTAwJSIgaGVpZ2h0PSIx&#10;MDAlIiB4bGluazpocmVmPSIjaW1nMzQiIHRyYW5zZm9ybT0idHJhbnNsYXRlKC04LjY5MTg3ZS0w&#10;NiA0LjEyNDE1ZS0wNSkiPjwvdXNlPjwvZz48L2c+PC9nPjwvZz48dGV4dCBmaWxsPSIjRkZGRkZG&#10;IiBmb250LWZhbWlseT0iQ2FsaWJyaSxDYWxpYnJpX01TRm9udFNlcnZpY2UsQXJpYWwiIGZvbnQt&#10;d2VpZ2h0PSI0MDAiIGZvbnQtc2l6ZT0iMTciIHRyYW5zZm9ybT0ibWF0cml4KDAuNzkzNTAyIDAg&#10;MCAwLjc5NCA1NDUuMDUyIDQ1OCkiPjkgPC90ZXh0Pjx0ZXh0IGZpbGw9IiNGRkZGRkYiIGZvbnQt&#10;ZmFtaWx5PSJDYWxpYnJpLENhbGlicmlfTVNGb250U2VydmljZSxBcmlhbCIgZm9udC13ZWlnaHQ9&#10;IjQwMCIgZm9udC1zaXplPSIxNyIgdHJhbnNmb3JtPSJtYXRyaXgoMC43OTM1MDIgMCAwIDAuNzk0&#10;IDU1NS4zNjcgNDU4KSI+c2l0ZSA8L3RleHQ+PHRleHQgZmlsbD0iI0ZGRkZGRiIgZm9udC1mYW1p&#10;bHk9IkNhbGlicmksQ2FsaWJyaV9NU0ZvbnRTZXJ2aWNlLEFyaWFsIiBmb250LXdlaWdodD0iNDAw&#10;IiBmb250LXNpemU9IjE3IiB0cmFuc2Zvcm09Im1hdHJpeCgwLjc5MzUwMiAwIDAgMC43OTQgNTc2&#10;Ljk1NyA0NTgpIj53b3Jrc2hvcHMgPC90ZXh0Pjx0ZXh0IGZvbnQtZmFtaWx5PSJDYWxpYnJpLENh&#10;bGlicmlfTVNGb250U2VydmljZSxBcmlhbCIgZm9udC13ZWlnaHQ9IjQwMCIgZm9udC1zaXplPSIx&#10;NyIgdHJhbnNmb3JtPSJtYXRyaXgoMC43OTM1MDIgMCAwIDAuNzk0IDY0MC45MzMgNDU4KSI+KDwv&#10;dGV4dD48dGV4dCBmb250LWZhbWlseT0iQ2FsaWJyaSxDYWxpYnJpX01TRm9udFNlcnZpY2UsQXJp&#10;YWwiIGZvbnQtd2VpZ2h0PSI0MDAiIGZvbnQtc2l6ZT0iMTciIHRyYW5zZm9ybT0ibWF0cml4KDAu&#10;NzkzNTAyIDAgMCAwLjc5NCA2NDQuOSA0NTgpIj44MzwvdGV4dD48dGV4dCBmb250LWZhbWlseT0i&#10;Q2FsaWJyaSxDYWxpYnJpX01TRm9udFNlcnZpY2UsQXJpYWwiIGZvbnQtd2VpZ2h0PSI0MDAiIGZv&#10;bnQtc2l6ZT0iMTciIHRyYW5zZm9ybT0ibWF0cml4KDAuNzkzNTAyIDAgMCAwLjc5NCA2NTkuMTgz&#10;IDQ1OCkiPik8L3RleHQ+PGcgY2xpcC1wYXRoPSJ1cmwoI2NsaXAxOTQpIj48ZyBjbGlwLXBhdGg9&#10;InVybCgjY2xpcDE5NSkiPjxnIGNsaXAtcGF0aD0idXJsKCNjbGlwMTk2KSIgdHJhbnNmb3JtPSJt&#10;YXRyaXgoMC42NjEyNTIgMCAwIDAuNjI2ODQyIDUyNy4xOTggNDYxLjkwMikiPjxnIGNsaXAtcGF0&#10;aD0idXJsKCNjbGlwMTk3KSI+PHVzZSB3aWR0aD0iMTAwJSIgaGVpZ2h0PSIxMDAlIiB4bGluazpo&#10;cmVmPSIjaW1nMzQiIHRyYW5zZm9ybT0idHJhbnNsYXRlKC04LjY5MTg3ZS0wNiAtMy4yODc1N2Ut&#10;MDYpIj48L3VzZT48L2c+PC9nPjwvZz48L2c+PHRleHQgZmlsbD0iI0ZGRkZGRiIgZm9udC1mYW1p&#10;bHk9IkNhbGlicmksQ2FsaWJyaV9NU0ZvbnRTZXJ2aWNlLEFyaWFsIiBmb250LXdlaWdodD0iNDAw&#10;IiBmb250LXNpemU9IjE3IiB0cmFuc2Zvcm09Im1hdHJpeCgwLjc5MzUwMiAwIDAgMC43OTQgNTQ1&#10;LjA1MiA0NzQpIj4xIDwvdGV4dD48dGV4dCBmaWxsPSIjRkZGRkZGIiBmb250LWZhbWlseT0iQ2Fs&#10;aWJyaSxDYWxpYnJpX01TRm9udFNlcnZpY2UsQXJpYWwiIGZvbnQtd2VpZ2h0PSI0MDAiIGZvbnQt&#10;c2l6ZT0iMTciIHRyYW5zZm9ybT0ibWF0cml4KDAuNzkzNTAyIDAgMCAwLjc5NCA1NTUuMzY3IDQ3&#10;NCkiPm5hdGlvbmFsIDwvdGV4dD48dGV4dCBmaWxsPSIjRkZGRkZGIiBmb250LWZhbWlseT0iQ2Fs&#10;aWJyaSxDYWxpYnJpX01TRm9udFNlcnZpY2UsQXJpYWwiIGZvbnQtd2VpZ2h0PSI0MDAiIGZvbnQt&#10;c2l6ZT0iMTciIHRyYW5zZm9ybT0ibWF0cml4KDAuNzkzNTAyIDAgMCAwLjc5NCA2MDEuNTg5IDQ3&#10;NCkiPndvcmtzaG9wICA8L3RleHQ+PHRleHQgZm9udC1mYW1pbHk9IkNhbGlicmksQ2FsaWJyaV9N&#10;U0ZvbnRTZXJ2aWNlLEFyaWFsIiBmb250LXdlaWdodD0iNDAwIiBmb250LXNpemU9IjE3IiB0cmFu&#10;c2Zvcm09Im1hdHJpeCgwLjc5MzUwMiAwIDAgMC43OTQgNjYwLjQzOSA0NzQpIj4oPC90ZXh0Pjx0&#10;ZXh0IGZvbnQtZmFtaWx5PSJDYWxpYnJpLENhbGlicmlfTVNGb250U2VydmljZSxBcmlhbCIgZm9u&#10;dC13ZWlnaHQ9IjQwMCIgZm9udC1zaXplPSIxNyIgdHJhbnNmb3JtPSJtYXRyaXgoMC43OTM1MDIg&#10;MCAwIDAuNzk0IDY2NC40MDcgNDc0KSI+MTU8L3RleHQ+PHRleHQgZm9udC1mYW1pbHk9IkNhbGli&#10;cmksQ2FsaWJyaV9NU0ZvbnRTZXJ2aWNlLEFyaWFsIiBmb250LXdlaWdodD0iNDAwIiBmb250LXNp&#10;emU9IjE3IiB0cmFuc2Zvcm09Im1hdHJpeCgwLjc5MzUwMiAwIDAgMC43OTQgNjc4LjY5IDQ3NCki&#10;Pik8L3RleHQ+PHRleHQgZmlsbD0iI0ZGRkZGRiIgZm9udC1mYW1pbHk9IkNhbGlicmksQ2FsaWJy&#10;aV9NU0ZvbnRTZXJ2aWNlLEFyaWFsIiBmb250LXdlaWdodD0iNzAwIiBmb250LXNpemU9IjE3IiB0&#10;cmFuc2Zvcm09Im1hdHJpeCgwLjc5MzUwMiAwIDAgMC43OTQgNTI3LjE5OCA1MTQpIj5TZW5zZTwv&#10;dGV4dD48dGV4dCBmaWxsPSIjRkZGRkZGIiBmb250LWZhbWlseT0iQ2FsaWJyaSxDYWxpYnJpX01T&#10;Rm9udFNlcnZpY2UsQXJpYWwiIGZvbnQtd2VpZ2h0PSI3MDAiIGZvbnQtc2l6ZT0iMTciIHRyYW5z&#10;Zm9ybT0ibWF0cml4KDAuNzkzNTAyIDAgMCAwLjc5NCA1NTkuMTAzIDUxNCkiPi08L3RleHQ+PHRl&#10;eHQgZmlsbD0iI0ZGRkZGRiIgZm9udC1mYW1pbHk9IkNhbGlicmksQ2FsaWJyaV9NU0ZvbnRTZXJ2&#10;aWNlLEFyaWFsIiBmb250LXdlaWdodD0iNzAwIiBmb250LXNpemU9IjE3IiB0cmFuc2Zvcm09Im1h&#10;dHJpeCgwLjc5MzUwMiAwIDAgMC43OTQgNTYzLjA3IDUxNCkiPm1ha2luZyA8L3RleHQ+PGcgY2xp&#10;cC1wYXRoPSJ1cmwoI2NsaXAxOTgpIj48ZyBjbGlwLXBhdGg9InVybCgjY2xpcDE5OSkiPjxnIGNs&#10;aXAtcGF0aD0idXJsKCNjbGlwMjAwKSIgdHJhbnNmb3JtPSJtYXRyaXgoMC42NjEyNTIgMCAwIDAu&#10;NjI2ODQyIDUyNy4xOTggNTE3LjQ4MikiPjxnIGNsaXAtcGF0aD0idXJsKCNjbGlwMjAxKSI+PHVz&#10;ZSB3aWR0aD0iMTAwJSIgaGVpZ2h0PSIxMDAlIiB4bGluazpocmVmPSIjaW1nMzQiIHRyYW5zZm9y&#10;bT0idHJhbnNsYXRlKC04LjY5MTg3ZS0wNiAyLjM5NjYzZS0wNSkiPjwvdXNlPjwvZz48L2c+PC9n&#10;PjwvZz48dGV4dCBmaWxsPSIjRkZGRkZGIiBmb250LWZhbWlseT0iQ2FsaWJyaSxDYWxpYnJpX01T&#10;Rm9udFNlcnZpY2UsQXJpYWwiIGZvbnQtd2VpZ2h0PSI0MDAiIGZvbnQtc2l6ZT0iMTciIHRyYW5z&#10;Zm9ybT0ibWF0cml4KDAuNzkzNTAyIDAgMCAwLjc5NCA1NDUuMDUyIDUzMCkiPjQgPC90ZXh0Pjx0&#10;ZXh0IGZpbGw9IiNGRkZGRkYiIGZvbnQtZmFtaWx5PSJDYWxpYnJpLENhbGlicmlfTVNGb250U2Vy&#10;dmljZSxBcmlhbCIgZm9udC13ZWlnaHQ9IjQwMCIgZm9udC1zaXplPSIxNyIgdHJhbnNmb3JtPSJt&#10;YXRyaXgoMC43OTM1MDIgMCAwIDAuNzk0IDU1NS4zNjcgNTMwKSI+c2l0ZSBwYXJ0bmVyIHdvcmtz&#10;aG9wczwvdGV4dD48dGV4dCBmb250LWZhbWlseT0iQ2FsaWJyaSxDYWxpYnJpX01TRm9udFNlcnZp&#10;Y2UsQXJpYWwiIGZvbnQtd2VpZ2h0PSI0MDAiIGZvbnQtc2l6ZT0iMTciIHRyYW5zZm9ybT0ibWF0&#10;cml4KDAuNzkzNTAyIDAgMCAwLjc5NCA2ODQuNDEgNTMwKSI+KDwvdGV4dD48dGV4dCBmb250LWZh&#10;bWlseT0iQ2FsaWJyaSxDYWxpYnJpX01TRm9udFNlcnZpY2UsQXJpYWwiIGZvbnQtd2VpZ2h0PSI0&#10;MDAiIGZvbnQtc2l6ZT0iMTciIHRyYW5zZm9ybT0ibWF0cml4KDAuNzkzNTAyIDAgMCAwLjc5NCA2&#10;ODguMzc4IDUzMCkiPjIxPC90ZXh0Pjx0ZXh0IGZvbnQtZmFtaWx5PSJDYWxpYnJpLENhbGlicmlf&#10;TVNGb250U2VydmljZSxBcmlhbCIgZm9udC13ZWlnaHQ9IjQwMCIgZm9udC1zaXplPSIxNyIgdHJh&#10;bnNmb3JtPSJtYXRyaXgoMC43OTM1MDIgMCAwIDAuNzk0IDcwMi42NjEgNTMwKSI+KTwvdGV4dD48&#10;ZyBjbGlwLXBhdGg9InVybCgjY2xpcDIwMikiPjxnIGNsaXAtcGF0aD0idXJsKCNjbGlwMjAzKSI+&#10;PGcgY2xpcC1wYXRoPSJ1cmwoI2NsaXAyMDQpIiB0cmFuc2Zvcm09Im1hdHJpeCgwLjY2MTI1MiAw&#10;IDAgMC42MjY4NDIgNTI3LjE5OCA1MzMuMzYyKSI+PGcgY2xpcC1wYXRoPSJ1cmwoI2NsaXAyMDUp&#10;Ij48dXNlIHdpZHRoPSIxMDAlIiBoZWlnaHQ9IjEwMCUiIHhsaW5rOmhyZWY9IiNpbWczNCIgdHJh&#10;bnNmb3JtPSJ0cmFuc2xhdGUoLTguNjkxODdlLTA2IC0yLjA1NjI4ZS0wNSkiPjwvdXNlPjwvZz48&#10;L2c+PC9nPjwvZz48dGV4dCBmaWxsPSIjRkZGRkZGIiBmb250LWZhbWlseT0iQ2FsaWJyaSxDYWxp&#10;YnJpX01TRm9udFNlcnZpY2UsQXJpYWwiIGZvbnQtd2VpZ2h0PSI0MDAiIGZvbnQtc2l6ZT0iMTci&#10;IHRyYW5zZm9ybT0ibWF0cml4KDAuNzkzNTAyIDAgMCAwLjc5NCA1NDUuMDUyIDU0NSkiPkFuYWx5&#10;c3QgbWVldGluZ3MgPC90ZXh0Pjx0ZXh0IGZpbGw9IiNGRkZGRkYiIGZvbnQtZmFtaWx5PSJDYWxp&#10;YnJpLENhbGlicmlfTVNGb250U2VydmljZSxBcmlhbCIgZm9udC13ZWlnaHQ9IjQwMCIgZm9udC1z&#10;aXplPSIxNyIgdHJhbnNmb3JtPSJtYXRyaXgoMC43OTM1MDIgMCAwIDAuNzk0IDY0Mi42NTIgNTQ1&#10;KSI+KDwvdGV4dD48dGV4dCBmaWxsPSIjRkZGRkZGIiBmb250LWZhbWlseT0iQ2FsaWJyaSxDYWxp&#10;YnJpX01TRm9udFNlcnZpY2UsQXJpYWwiIGZvbnQtd2VpZ2h0PSI0MDAiIGZvbnQtc2l6ZT0iMTci&#10;IHRyYW5zZm9ybT0ibWF0cml4KDAuNzkzNTAyIDAgMCAwLjc5NCA2NDYuNjIgNTQ1KSI+ZXZhbHVh&#10;dGlvbiB0ZWFtPC90ZXh0Pjx0ZXh0IGZpbGw9IiNGRkZGRkYiIGZvbnQtZmFtaWx5PSJDYWxpYnJp&#10;LENhbGlicmlfTVNGb250U2VydmljZSxBcmlhbCIgZm9udC13ZWlnaHQ9IjQwMCIgZm9udC1zaXpl&#10;PSIxNyIgdHJhbnNmb3JtPSJtYXRyaXgoMC43OTM1MDIgMCAwIDAuNzk0IDczNS40OTIgNTQ1KSI+&#10;KTwvdGV4dD48dGV4dCBmaWxsPSIjRkZGRkZGIiBmb250LWZhbWlseT0iQ2FsaWJyaSxDYWxpYnJp&#10;X01TRm9udFNlcnZpY2UsQXJpYWwiIGZvbnQtd2VpZ2h0PSI3MDAiIGZvbnQtc2l6ZT0iMTciIHRy&#10;YW5zZm9ybT0ibWF0cml4KDAuNzkzNTAyIDAgMCAwLjc5NCA1MjcuMTk4IDU4NSkiPkNPTExBQk9S&#10;QVRJVkVTPC90ZXh0Pjx0ZXh0IGZpbGw9IiNGRkZGRkYiIGZvbnQtZmFtaWx5PSJDYWxpYnJpLENh&#10;bGlicmlfTVNGb250U2VydmljZSxBcmlhbCIgZm9udC13ZWlnaHQ9IjcwMCIgZm9udC1zaXplPSIx&#10;NyIgdHJhbnNmb3JtPSJtYXRyaXgoMC43OTM1MDIgMCAwIDAuNzk0IDYyNy41NDIgNTg1KSI+MiA8&#10;L3RleHQ+PHRleHQgZmlsbD0iI0ZGRkZGRiIgZm9udC1mYW1pbHk9IkNhbGlicmksQ2FsaWJyaV9N&#10;U0ZvbnRTZXJ2aWNlLEFyaWFsIiBmb250LXdlaWdodD0iNzAwIiBmb250LXNpemU9IjE3IiB0cmFu&#10;c2Zvcm09Im1hdHJpeCgwLjc5MzUwMiAwIDAgMC43OTQgNjM3Ljg1OCA1ODUpIj5hbmQgPC90ZXh0&#10;Pjx0ZXh0IGZpbGw9IiNGRkZGRkYiIGZvbnQtZmFtaWx5PSJDYWxpYnJpLENhbGlicmlfTVNGb250&#10;U2VydmljZSxBcmlhbCIgZm9udC13ZWlnaHQ9IjcwMCIgZm9udC1zaXplPSIxNyIgdHJhbnNmb3Jt&#10;PSJtYXRyaXgoMC43OTM1MDIgMCAwIDAuNzk0IDY2MS42NjMgNTg1KSI+MyA8L3RleHQ+PHRleHQg&#10;Zm9udC1mYW1pbHk9IkNhbGlicmksQ2FsaWJyaV9NU0ZvbnRTZXJ2aWNlLEFyaWFsIiBmb250LXdl&#10;aWdodD0iNDAwIiBmb250LXNpemU9IjE3IiB0cmFuc2Zvcm09Im1hdHJpeCgwLjc5MzUwMiAwIDAg&#10;MC43OTQgNjcwLjY4OSA1ODUpIj4oPC90ZXh0Pjx0ZXh0IGZvbnQtZmFtaWx5PSJDYWxpYnJpLENh&#10;bGlicmlfTVNGb250U2VydmljZSxBcmlhbCIgZm9udC13ZWlnaHQ9IjQwMCIgZm9udC1zaXplPSIx&#10;NyIgdHJhbnNmb3JtPSJtYXRyaXgoMC43OTM1MDIgMCAwIDAuNzk0IDY3NC42NTcgNTg1KSI+MjM8&#10;L3RleHQ+PHRleHQgZm9udC1mYW1pbHk9IkNhbGlicmksQ2FsaWJyaV9NU0ZvbnRTZXJ2aWNlLEFy&#10;aWFsIiBmb250LXdlaWdodD0iNDAwIiBmb250LXNpemU9IjE3IiB0cmFuc2Zvcm09Im1hdHJpeCgw&#10;Ljc5MzUwMiAwIDAgMC43OTQgNjg4Ljk0IDU4NSkiPik8L3RleHQ+PGcgY2xpcC1wYXRoPSJ1cmwo&#10;I2NsaXAyMDYpIj48ZyBjbGlwLXBhdGg9InVybCgjY2xpcDIwNykiPjxnIGNsaXAtcGF0aD0idXJs&#10;KCNjbGlwMjA4KSIgdHJhbnNmb3JtPSJtYXRyaXgoMC42NjEyNTIgMCAwIDAuNjI2ODQyIDUyNy4x&#10;OTggNTg4Ljk0MikiPjxnIGNsaXAtcGF0aD0idXJsKCNjbGlwMjA5KSI+PHVzZSB3aWR0aD0iMTAw&#10;JSIgaGVpZ2h0PSIxMDAlIiB4bGluazpocmVmPSIjaW1nMzQiIHRyYW5zZm9ybT0idHJhbnNsYXRl&#10;KC04LjY5MTg3ZS0wNiA2LjY5MTA5ZS0wNikiPjwvdXNlPjwvZz48L2c+PC9nPjwvZz48dGV4dCBm&#10;aWxsPSIjRkZGRkZGIiBmb250LWZhbWlseT0iQ2FsaWJyaSxDYWxpYnJpX01TRm9udFNlcnZpY2Us&#10;QXJpYWwiIGZvbnQtd2VpZ2h0PSI0MDAiIGZvbnQtc2l6ZT0iMTciIHRyYW5zZm9ybT0ibWF0cml4&#10;KDAuNzkzNTAyIDAgMCAwLjc5NCA1NDYuMTc1IDYwMSkiPkFib3JpZ2luYWwgYW5kIFRvcnJlcyBT&#10;dHJhaXQgSXNsYW5kZXIgSGVhbHRoIDwvdGV4dD48dGV4dCBmaWxsPSIjRkZGRkZGIiBmb250LWZh&#10;bWlseT0iQ2FsaWJyaSxDYWxpYnJpX01TRm9udFNlcnZpY2UsQXJpYWwiIGZvbnQtd2VpZ2h0PSI0&#10;MDAiIGZvbnQtc2l6ZT0iMTciIHRyYW5zZm9ybT0ibWF0cml4KDAuNzkzNTAyIDAgMCAwLjc5NCA1&#10;NDYuMTc1IDYxNykiPldvcmtlcnMgYW5kIFByYWN0aXRpb25lcnMgVHJhaW5pbmcgUGlwZWxpbmU8&#10;L3RleHQ+PGcgY2xpcC1wYXRoPSJ1cmwoI2NsaXAyMTApIj48ZyBjbGlwLXBhdGg9InVybCgjY2xp&#10;cDIxMSkiPjxnIGNsaXAtcGF0aD0idXJsKCNjbGlwMjEyKSIgdHJhbnNmb3JtPSJtYXRyaXgoMC42&#10;NjEyNTIgMCAwIDAuNjI2ODQyIDUyNy4xOTggNjIwLjcwMikiPjxnIGNsaXAtcGF0aD0idXJsKCNj&#10;bGlwMjEzKSI+PHVzZSB3aWR0aD0iMTAwJSIgaGVpZ2h0PSIxMDAlIiB4bGluazpocmVmPSIjaW1n&#10;MzQiIHRyYW5zZm9ybT0idHJhbnNsYXRlKC04LjY5MTg3ZS0wNiAzLjM2OTI2ZS0wNikiPjwvdXNl&#10;PjwvZz48L2c+PC9nPjwvZz48dGV4dCBmaWxsPSIjRkZGRkZGIiBmb250LWZhbWlseT0iQ2FsaWJy&#10;aSxDYWxpYnJpX01TRm9udFNlcnZpY2UsQXJpYWwiIGZvbnQtd2VpZ2h0PSI0MDAiIGZvbnQtc2l6&#10;ZT0iMTciIHRyYW5zZm9ybT0ibWF0cml4KDAuNzkzNTAyIDAgMCAwLjc5NCA1NDYuMTc1IDYzMyki&#10;PkFkYXB0aW5nIGFuZCB2YWxpZGF0aW5nIGEgdG9vbCB0byBpZGVudGlmeTwvdGV4dD48dGV4dCBm&#10;aWxsPSIjRkZGRkZGIiBmb250LWZhbWlseT0iQ2FsaWJyaSxDYWxpYnJpX01TRm9udFNlcnZpY2Us&#10;QXJpYWwiIGZvbnQtd2VpZ2h0PSI0MDAiIGZvbnQtc2l6ZT0iMTciIHRyYW5zZm9ybT0ibWF0cml4&#10;KDAuNzkzNTAyIDAgMCAwLjc5NCA3NjkuOTQzIDYzMykiPiwgPC90ZXh0Pjx0ZXh0IGZpbGw9IiNG&#10;RkZGRkYiIGZvbnQtZmFtaWx5PSJDYWxpYnJpLENhbGlicmlfTVNGb250U2VydmljZSxBcmlhbCIg&#10;Zm9udC13ZWlnaHQ9IjQwMCIgZm9udC1zaXplPSIxNyIgdHJhbnNmb3JtPSJtYXRyaXgoMC43OTM1&#10;MDIgMCAwIDAuNzk0IDU0Ni4xNzUgNjQ5KSI+bWVhc3VyZTwvdGV4dD48dGV4dCBmaWxsPSIjRkZG&#10;RkZGIiBmb250LWZhbWlseT0iQ2FsaWJyaSxDYWxpYnJpX01TRm9udFNlcnZpY2UsQXJpYWwiIGZv&#10;bnQtd2VpZ2h0PSI0MDAiIGZvbnQtc2l6ZT0iMTciIHRyYW5zZm9ybT0ibWF0cml4KDAuNzkzNTAy&#10;IDAgMCAwLjc5NCA1OTMuNzg1IDY0OSkiPiwgPC90ZXh0Pjx0ZXh0IGZpbGw9IiNGRkZGRkYiIGZv&#10;bnQtZmFtaWx5PSJDYWxpYnJpLENhbGlicmlfTVNGb250U2VydmljZSxBcmlhbCIgZm9udC13ZWln&#10;aHQ9IjQwMCIgZm9udC1zaXplPSIxNyIgdHJhbnNmb3JtPSJtYXRyaXgoMC43OTM1MDIgMCAwIDAu&#10;Nzk0IDYwMC4xMzMgNjQ5KSI+YW5kIG1vbml0b3IgaW5zdGl0dXRpb25hbCByYWNpc20gaW4gPC90&#10;ZXh0Pjx0ZXh0IGZpbGw9IiNGRkZGRkYiIGZvbnQtZmFtaWx5PSJDYWxpYnJpLENhbGlicmlfTVNG&#10;b250U2VydmljZSxBcmlhbCIgZm9udC13ZWlnaHQ9IjQwMCIgZm9udC1zaXplPSIxNyIgdHJhbnNm&#10;b3JtPSJtYXRyaXgoMC43OTM1MDIgMCAwIDAuNzk0IDU0Ni4xNzUgNjY1KSI+UEhOczwvdGV4dD48&#10;ZyBjbGlwLXBhdGg9InVybCgjY2xpcDIxNCkiPjxnIGNsaXAtcGF0aD0idXJsKCNjbGlwMjE1KSI+&#10;PGcgY2xpcC1wYXRoPSJ1cmwoI2NsaXAyMTYpIj48cGF0aCBkPSJNNS4xMjUyIDQuMjkyMzVDNS4x&#10;MjUyIDQuMjkyMzUgNS4wOTk1NyA0LjI5MjM1IDUuMDg2NzYgNC4yOTIzNSAzLjc5OTA2IDQuMjUz&#10;OTIgMi41MTc3NiA0LjIwOTA3IDEuMjM2NDUgNC4xNTc4MSAwLjUyNTMzMyA0LjEyNTc5LTAuMDI1&#10;NjI2IDMuNTI5OTggMCAyLjgxODg2IDAuMDI1NjI2IDIuMTE0MTQgMC42MjE0MyAxLjU2OTU5IDEu&#10;MzMyNTUgMS41ODg4MSAyLjYwNzQ1IDEuNjQwMDcgMy44ODIzMyAxLjY4NDkxIDUuMTYzNjQgMS43&#10;MjMzNSA1Ljg2ODM1IDEuNzQyNTcgNi40MjU3MiAyLjMzODM3IDYuNDA2NSAzLjA0MzA5IDYuMzg3&#10;MjggMy43MzQ5OSA1LjgxNzEgNC4yODU5NSA1LjEyNTIgNC4yODU5NVoiIGZpbGw9IiNGRkZGRkYi&#10;IHRyYW5zZm9ybT0ibWF0cml4KDEgMCAwIDEuMDI4NTIgMjcuMTQxOSAzNTMuMzMpIi8+PHBhdGgg&#10;ZD0iTTUxLjY4NzYgNC42MzE5IDQzLjkyOTQgNC42MzE5QzQzLjIyNDcgNC42MzE5IDQyLjY0ODEg&#10;NC4wNTUzMSA0Mi42NDgxIDMuMzQ0MTkgNDIuNjQ4MSAyLjYzMzA3IDQzLjIyNDcgMi4wNjI4OSA0&#10;My45Mjk0IDIuMDYyODlMNTEuNjk0IDIuMDYyODlDNTIuMzk4NyAyLjA2Mjg5IDUyLjk3NTQgMi42&#10;NDU4OCA1Mi45NzU0IDMuMzUwNiA1Mi45NzU0IDQuMDU1MzEgNTIuMzk4NyA0LjYzMTkgNTEuNjk0&#10;IDQuNjMxOVpNMzMuNTI1MiA0LjYzMTlDMzEuODE0NyA0LjYzMTkgMzAuMTEwNSA0LjYzMTkgMjgu&#10;NDA2NCA0LjYzMTkgMjcuNzAxNyA0LjYzMTkgMjcuMTI1MSA0LjA1NTMxIDI3LjEyNTEgMy4zNTA2&#10;IDI3LjEyNTEgMi42NDU4OCAyNy43MDE3IDIuMDY5MyAyOC40MDY0IDIuMDY5M0wyOC40MDY0IDIu&#10;MDY5M0MzMC4xMTA1IDIuMDY5MyAzMS44MTQ3IDIuMDY5MyAzMy41MjUyIDIuMDY5M0wzNi4xNjQ3&#10;IDIuMDY5M0MzNi4xNjQ3IDIuMDY5MyAzNi4xNjQ3IDIuMDY5MyAzNi4xNjQ3IDIuMDY5MyAzNi44&#10;Njk0IDIuMDY5MyAzNy40NDYgMi42Mzk0OCAzNy40NDYgMy4zNTA2IDM3LjQ0NiA0LjA2MTcyIDM2&#10;Ljg3NTggNC42MzE5IDM2LjE2NDcgNC42MzE5TDMzLjUxODggNC42MzE5Wk01OS40NTIzIDQuNjMx&#10;OUM1OC43NDc2IDQuNjMxOSA1OC4xNzEgNC4wNjE3MiA1OC4xNzEgMy4zNTA2IDU4LjE3MSAyLjY0&#10;NTg4IDU4Ljc0MTIgMi4wNjkzIDU5LjQ1MjMgMi4wNjkzIDYyLjAzNDEgMi4wNjkzIDY0LjYyMjQg&#10;Mi4wNTY0OSA2Ny4yMTA2IDIuMDQzNjdMNjcuMjE3IDIuMDQzNjdDNjcuOTIxNyAyLjA0MzY3IDY4&#10;LjQ5MTkgMi42MTM4NSA2OC40OTgyIDMuMzE4NTcgNjguNDk4MiA0LjAyMzI4IDY3LjkyODEgNC41&#10;OTk4NyA2Ny4yMjM0IDQuNjA2MjcgNjQuNjM1MiA0LjYxOTA4IDYyLjA0NjkgNC42MjU0OSA1OS40&#10;NTg3IDQuNjMxOUw1OS40NTg3IDQuNjMxOVpNMjAuNjQ4MSA0LjU5MzQ2IDIwLjYzNTMgNC41OTM0&#10;NkMxOC4wNDA3IDQuNTY3ODMgMTUuNDUyNSA0LjUzNTggMTIuODY0MyA0LjQ5MDk2IDEyLjE1OTUg&#10;NC40NzgxNCAxMS41OTU4IDMuODk1MTUgMTEuNjA4NiAzLjE4NDAzIDExLjYyMTQgMi40ODU3MiAx&#10;Mi4xOTE2IDEuOTI4MzYgMTIuODg5OSAxLjkyODM2TDEyLjkxNTUgMS45MjgzNkMxNS40OTczIDEu&#10;OTczMiAxOC4wNzkxIDIuMDA1MjMgMjAuNjYxIDIuMDMwODYgMjEuMzY1NyAyLjAzMDg2IDIxLjkz&#10;NTkgMi42MTM4NSAyMS45Mjk1IDMuMzI0OTcgMjEuOTI5NSA0LjAyOTY5IDIxLjM1MjkgNC41OTM0&#10;NiAyMC42NDgxIDQuNTkzNDZaTTc0Ljk3NTMgNC41NjE0M0M3NC4yNzA2IDQuNTYxNDMgNzMuNzAw&#10;NCAzLjk5NzY1IDczLjY5MzkgMy4yOTI5NCA3My42OTM5IDIuNTg4MjMgNzQuMjU3NyAyLjAwNTIz&#10;IDc0Ljk2MjQgMS45OTg4MyA3Ny41NTA3IDEuOTc5NiA4MC4xMzI2IDEuOTUzOTggODIuNzIxIDEu&#10;OTI4MzZMODIuNzMzNyAxLjkyODM2QzgzLjQzMiAxLjkyODM2IDg0LjAwOCAyLjQ5MjEzIDg0LjAx&#10;NTIgMy4xOTY4NCA4NC4wMjE1IDMuOTAxNTYgODMuNDU3MyA0LjQ4NDU1IDgyLjc0NjQgNC40OTA5&#10;NiA4MC4xNTggNC41MTY1OCA3Ny41Njk5IDQuNTQyMjEgNzQuOTgxNiA0LjU2MTQzTDc0Ljk2ODkg&#10;NC41NjE0M1pNOTAuNDk4MSA0LjM4ODQ1Qzg5Ljc5OTggNC4zODg0NSA4OS4yMzAxIDMuODI0Njgg&#10;ODkuMjE2NiAzLjEyNjM3IDg5LjIwMzkgMi40MjE2NiA4OS43NzQ0IDEuODM4NjYgOTAuNDc5IDEu&#10;ODI1ODYgOTEuNzg1OSAxLjgwNjYzIDkzLjA5MjggMS43ODc0MSA5NC40MDYxIDEuNzYxNzkgOTUu&#10;NjgxMiAxLjc0MjU3IDk2Ljk1NTYgMS43MTA1NCA5OC4yMjQ0IDEuNjc4NSA5OC45MjI3IDEuNjQ2&#10;NDcgOTkuNTE4NiAyLjIxNjY1IDk5LjUzNzcgMi45Mjc3NyA5OS41NTY3IDMuNjMyNDggOTguOTk5&#10;NyA0LjIyMTg4IDk4LjI4ODcgNC4yNDExIDk3LjAwNzIgNC4yNzMxMyA5NS43MjU3IDQuMjk4NzYg&#10;OTQuNDQ1IDQuMzI0MzkgOTMuMTM4MSA0LjM0MzYxIDkxLjgyNCA0LjM2OTI0IDkwLjUxNzEgNC4z&#10;ODg0NUw5MC40OTgxIDQuMzg4NDVaTTEwNi4wMTUgMy45OTEyNUMxMDUuMzI5IDMuOTkxMjUgMTA0&#10;Ljc1OSAzLjQ0NjY5IDEwNC43MzQgMi43NjEyIDEwNC43MDggMi4wNTY0OSAxMDUuMjU5IDEuNDYw&#10;NjggMTA1Ljk2MyAxLjQyODY1IDEwOC41NDUgMS4zMjYxNSAxMTEuMTI3IDEuMjE3MjMgMTEzLjcw&#10;OSAxLjEwMTkyIDExNC40MDEgMS4wNjk4OSAxMTUuMDE2IDEuNjE0NDMgMTE1LjA0OCAyLjMyNTU2&#10;IDExNS4wOCAzLjAzMDI3IDExNC41MzYgMy42MzI0OCAxMTMuODI0IDMuNjY0NTIgMTExLjIzNiAz&#10;Ljc3OTg0IDEwOC42NDggMy44OTUxNSAxMDYuMDU5IDMuOTkxMjUgMTA2LjA0IDMuOTkxMjUgMTA2&#10;LjAyOCAzLjk5MTI1IDEwNi4wMDkgMy45OTEyNVpNMTIxLjUyNSAzLjMxMjE2QzEyMC44NDYgMy4z&#10;MTIxNiAxMjAuMjc2IDIuNzc0MDEgMTIwLjI0MyAyLjA4ODUyIDEyMC4yMTIgMS4zODM4IDEyMC43&#10;NjIgMC43ODE1OTMgMTIxLjQ2NyAwLjc0OTU2IDEyNC4wNTUgMC42MzQyNDQgMTI2LjY0NCAwLjUy&#10;NTMzMyAxMjkuMjMyIDAuNDIyODI5IDEyOS45NDkgMC4zNzc5ODQgMTMwLjUzMyAwLjk0ODE2MyAx&#10;MzAuNTY0IDEuNjUyODggMTMwLjU5IDIuMzU3NTkgMTMwLjAzOSAyLjk1MzQgMTI5LjMzNCAyLjk4&#10;NTQzIDEyNi43NTIgMy4wODE1MiAxMjQuMTcxIDMuMTk2ODQgMTIxLjU4OSAzLjMxMjE2IDEyMS41&#10;NyAzLjMxMjE2IDEyMS41NSAzLjMxMjE2IDEyMS41MzEgMy4zMTIxNlpNMTc1Ljg0NiAyLjc1NDc5&#10;IDE3NS44MzMgMi43NTQ3OSAxNjguMDc1IDIuNjcxNTFDMTY3LjM3IDIuNjY1MSAxNjYuOCAyLjA4&#10;MjExIDE2Ni44MDYgMS4zNzc0IDE2Ni44MTIgMC42NzI2ODIgMTY3LjQwOCAwLjA4OTY5MTEgMTY4&#10;LjEgMC4xMDg5MTFMMTc1Ljg1OCAwLjE5MjE5NUMxNzYuNTYzIDAuMTk4NjAyIDE3Ny4xMzMgMC43&#10;ODE1OTMgMTc3LjEyNyAxLjQ4NjMxIDE3Ny4xMjEgMi4xOTEwMyAxNzYuNTUgMi43NTQ3OSAxNzUu&#10;ODQ2IDIuNzU0NzlaTTEzNy4wNDIgMi43MzU1N0MxMzYuMzUgMi43MzU1NyAxMzUuNzc5IDIuMTg0&#10;NjEgMTM1Ljc2IDEuNDg2MzEgMTM1Ljc0MSAwLjc4MTU5MyAxMzYuMzA1IDAuMTkyMTk1IDEzNy4w&#10;MDkgMC4xNzI5NzUgMTM4LjMxNiAwLjE0MDk0MyAxMzkuNjE3IDAuMTE1MzE3IDE0MC45MTcgMC4w&#10;ODk2OTExIDE0Mi4yMDUgMC4wNzA0NzE1IDE0My40OTkgMC4wNTEyNTIgMTQ0Ljc4NyAwLjAzODQz&#10;OUwxNDQuOCAwLjAzODQzOUMxNDUuNTA0IDAuMDM4NDM5IDE0Ni4wNzUgMC42MDIyMTEgMTQ2LjA4&#10;MSAxLjMwNjkzIDE0Ni4wODggMi4wMTE2NCAxNDUuNTE3IDIuNTk0NjMgMTQ0LjgxMiAyLjYwMTA0&#10;IDE0My41MzEgMi42MTM4NSAxNDIuMjQzIDIuNjI2NjcgMTQwLjk2MiAyLjY1MjI5IDEzOS42Njgg&#10;Mi42NzE1MSAxMzguMzY4IDIuNjk3MTQgMTM3LjA3MyAyLjcyOTE3IDEzNy4wNjEgMi43MjkxNyAx&#10;MzcuMDU0IDIuNzI5MTcgMTM3LjA0MiAyLjcyOTE3Wk0xNjAuMzIyIDIuNjAxMDQgMTYwLjMxNiAy&#10;LjYwMTA0QzE1Ny43MzUgMi41ODE4MiAxNTUuMTUzIDIuNTY5MDEgMTUyLjU2NCAyLjU2OTAxIDE1&#10;MS44NiAyLjU2OTAxIDE1MS4yODMgMS45OTI0MiAxNTEuMjgzIDEuMjg3NyAxNTEuMjgzIDAuNTgy&#10;OTkxIDE1MS44NiAwLjAwNjQwNjUgMTUyLjU2NCAwLjAwNjQwNjVMMTUyLjU2NCAwLjAwNjQwNjVD&#10;MTU1LjE1OSAwLjAwNjQwNjUgMTU3Ljc0NyAwLjAxOTIxOTUgMTYwLjMzNiAwLjAzODQzOSAxNjEu&#10;MDQgMC4wMzg0MzkgMTYxLjYxIDAuNjIxNDMgMTYxLjYxIDEuMzI2MTUgMTYxLjYxIDIuMDMwODYg&#10;MTYxLjAzNCAyLjYwMTA0IDE2MC4zMjkgMi42MDEwNFoiIGZpbGw9IiNGRkZGRkYiIHRyYW5zZm9y&#10;bT0ibWF0cml4KDEgMCAwIDEuMDI4NTIgMjcuMTQxOSAzNTMuMzMpIi8+PHBhdGggZD0iTTE4Ny40&#10;NDEgMi44NDQ0OCAxODcuNDQxIDIuODQ0NDhDMTg2LjE2IDIuODQ0NDggMTg0Ljg3OSAyLjgzMTY3&#10;IDE4My41OTEgMi44MTg4NiAxODIuODg2IDIuODE4ODYgMTgyLjMxNiAyLjIzNTg3IDE4Mi4zMTYg&#10;MS41MzExNiAxODIuMzE2IDAuODI2NDQgMTgyLjg5MyAwLjI1NjI2IDE4My41OTcgMC4yNTYyNkwx&#10;ODMuNjEgMC4yNTYyNkMxODQuODkxIDAuMjYyNjY3IDE4Ni4xNzMgMC4yNzU0NzkgMTg3LjQ0OCAw&#10;LjI4MTg4NiAxODguMTUzIDAuMjgxODg2IDE4OC43MjkgMC44NTg0NzQgMTg4LjcyMyAxLjU2OTU5&#10;IDE4OC43MjMgMi4yNzQzIDE4OC4xNDYgMi44NDQ0OCAxODcuNDQxIDIuODQ0NDhaIiBmaWxsPSIj&#10;RkZGRkZGIiB0cmFuc2Zvcm09Im1hdHJpeCgxIDAgMCAxLjAyODUyIDI3LjE0MTkgMzUzLjMzKSIv&#10;PjwvZz48L2c+PC9nPjxnIGNsaXAtcGF0aD0idXJsKCNjbGlwMjE3KSI+PGcgY2xpcC1wYXRoPSJ1&#10;cmwoI2NsaXAyMTgpIj48ZyBjbGlwLXBhdGg9InVybCgjY2xpcDIxOSkiPjxwYXRoIGQ9Ik00LjM5&#10;MjgxIDMuNjc4OThDNC4zOTI4MSAzLjY3ODk4IDQuMzcwODQgMy42Nzg5OCA0LjM1OTg2IDMuNjc4&#10;OTggMy4yNTYxNyAzLjY0NjAzIDIuMTU3OTYgMy42MDc1OSAxLjA1OTc3IDMuNTYzNjYgMC40NTAy&#10;NjMgMy41MzYyMS0wLjAyMTk2NCAzLjAyNTU0IDAgMi40MTYwNSAwLjAyMTk2NCAxLjgxMjA0IDAu&#10;NTMyNjI4IDEuMzQ1MyAxLjE0MjEzIDEuMzYxNzcgMi4yMzQ4NCAxLjQwNTcgMy4zMjc1NSAxLjQ0&#10;NDE0IDQuNDI1NzYgMS40NzcwOCA1LjAyOTc3IDEuNDkzNTUgNS41MDc0OSAyLjAwNDIxIDUuNDkx&#10;MDEgMi42MDgyMyA1LjQ3NDUzIDMuMjAxMjYgNC45ODU4NCAzLjY3MzQ5IDQuMzkyODEgMy42NzM0&#10;OVoiIGZpbGw9IiNGRkZGRkYiIHRyYW5zZm9ybT0ibWF0cml4KDEuMTY2NzMgMCAwIDEgMjcuMTQx&#10;OSA0NjQuNDkpIi8+PHBhdGggZD0iTTQ0LjMwMTUgMy45NyAzNy42NTE5IDMuOTdDMzcuMDQ3OSAz&#10;Ljk3IDM2LjU1MzYgMy40NzU4MSAzNi41NTM2IDIuODY2MzEgMzYuNTUzNiAyLjI1NjggMzcuMDQ3&#10;OSAxLjc2ODEgMzcuNjUxOSAxLjc2ODFMNDQuMzA2OSAxLjc2ODFDNDQuOTEwOSAxLjc2ODEgNDUu&#10;NDA1MSAyLjI2Nzc5IDQ1LjQwNTEgMi44NzE3OSA0NS40MDUxIDMuNDc1ODEgNDQuOTEwOSAzLjk3&#10;IDQ0LjMwNjkgMy45N1pNMjguNzM0NSAzLjk3QzI3LjI2ODMgMy45NyAyNS44MDc4IDMuOTcgMjQu&#10;MzQ3MSAzLjk3IDIzLjc0MzEgMy45NyAyMy4yNDkgMy40NzU4MSAyMy4yNDkgMi44NzE3OSAyMy4y&#10;NDkgMi4yNjc3OSAyMy43NDMxIDEuNzczNiAyNC4zNDcxIDEuNzczNkwyNC4zNDcxIDEuNzczNkMy&#10;NS44MDc4IDEuNzczNiAyNy4yNjgzIDEuNzczNiAyOC43MzQ1IDEuNzczNkwzMC45OTY3IDEuNzcz&#10;NkMzMC45OTY3IDEuNzczNiAzMC45OTY3IDEuNzczNiAzMC45OTY3IDEuNzczNiAzMS42MDA3IDEu&#10;NzczNiAzMi4wOTUgMi4yNjIzIDMyLjA5NSAyLjg3MTc5IDMyLjA5NSAzLjQ4MTMgMzEuNjA2MyAz&#10;Ljk3IDMwLjk5NjcgMy45N0wyOC43MjkgMy45N1pNNTAuOTU2NSAzLjk3QzUwLjM1MjUgMy45NyA0&#10;OS44NTg0IDMuNDgxMyA0OS44NTg0IDIuODcxNzkgNDkuODU4NCAyLjI2Nzc5IDUwLjM0NzEgMS43&#10;NzM2IDUwLjk1NjUgMS43NzM2IDUzLjE2OTQgMS43NzM2IDU1LjM4NzkgMS43NjI2MiA1Ny42MDYy&#10;IDEuNzUxNjRMNTcuNjExNyAxLjc1MTY0QzU4LjIxNTcgMS43NTE2NCA1OC43MDQ0IDIuMjQwMzMg&#10;NTguNzA5OSAyLjg0NDM1IDU4LjcwOTkgMy40NDgzNiA1OC4yMjEyIDMuOTQyNTQgNTcuNjE3MiAz&#10;Ljk0ODA0IDU1LjM5ODggMy45NTkwMiA1My4xODA1IDMuOTY0NTEgNTAuOTYyMSAzLjk3TDUwLjk2&#10;MjEgMy45N1pNMTcuNjk3NSAzLjkzNzA2IDE3LjY4NjUgMy45MzcwNkMxNS40NjI3IDMuOTE1MDkg&#10;MTMuMjQ0MyAzLjg4NzY0IDExLjAyNiAzLjg0OTIgMTAuNDIyIDMuODM4MjEgOS45Mzg3NCAzLjMz&#10;ODUzIDkuOTQ5NjkgMi43MjkwMyA5Ljk2MDczIDIuMTMwNTEgMTAuNDQ5NCAxLjY1Mjc5IDExLjA0&#10;NzkgMS42NTI3OUwxMS4wNjk5IDEuNjUyNzlDMTMuMjgyNyAxLjY5MTIzIDE1LjQ5NTYgMS43MTg2&#10;OCAxNy43MDg1IDEuNzQwNjUgMTguMzEyNSAxLjc0MDY1IDE4LjgwMTIgMi4yNDAzMyAxOC43OTU3&#10;IDIuODQ5ODMgMTguNzk1NyAzLjQ1Mzg0IDE4LjMwMTUgMy45MzcwNiAxNy42OTc1IDMuOTM3MDZa&#10;TTY0LjI2MTMgMy45MDk2QzYzLjY1NzMgMy45MDk2IDYzLjE2ODYgMy40MjYzOSA2My4xNjMxIDIu&#10;ODIyMzggNjMuMTYzMSAyLjIxODM2IDYzLjY0NjMgMS43MTg2OCA2NC4yNTAzIDEuNzEzMiA2Ni40&#10;Njg3IDEuNjk2NzIgNjguNjgxNiAxLjY3NDc2IDcwLjg5OTkgMS42NTI3OUw3MC45MTA5IDEuNjUy&#10;NzlDNzEuNTA5NCAxLjY1Mjc5IDcyLjAwMzcgMi4xMzYgNzIuMDA5MSAyLjc0MDAxIDcyLjAxNDYg&#10;My4zNDQwMyA3MS41MzE0IDMuODQzNzEgNzAuOTIxOSAzLjg0OTIgNjguNzAzNiAzLjg3MTE2IDY2&#10;LjQ4NTEgMy44OTMxMyA2NC4yNjY4IDMuOTA5Nkw2NC4yNTU4IDMuOTA5NlpNNzcuNTY2IDMuNzYx&#10;MzRDNzYuOTY3NSAzLjc2MTM0IDc2LjQ3ODggMy4yNzgxMyA3Ni40Njc4IDIuNjc5NjIgNzYuNDU2&#10;OCAyLjA3NTYgNzYuOTQ1NSAxLjU3NTkyIDc3LjU0OTUgMS41NjQ5MyA3OC42Njk3IDEuNTQ4NDcg&#10;NzkuNzg5OSAxLjUzMTk5IDgwLjkxNTcgMS41MTAwMyA4Mi4wMDgzIDEuNDkzNTUgODMuMTAwOCAx&#10;LjQ2NjEgODQuMTg3OCAxLjQzODY0IDg0Ljc4NjUgMS40MTExOSA4NS4yOTcgMS44OTk4OSA4NS4z&#10;MTM3IDIuNTA5MzkgODUuMzMwNCAzLjExMzQgODQuODUyNCAzLjYxODU4IDg0LjI0MzQgMy42MzUw&#10;NSA4My4xNDQ1IDMuNjYyNSA4Mi4wNDY0IDMuNjg0NDcgODAuOTQ4MyAzLjcwNjQzIDc5LjgyOCAz&#10;LjcyMjkxIDc4LjcwMjYgMy43NDQ4NyA3Ny41ODI1IDMuNzYxMzRMNzcuNTY2IDMuNzYxMzRaTTkw&#10;Ljg2NTQgMy40MjA5QzkwLjI3NzggMy40MjA5IDg5Ljc4ODcgMi45NTQxNiA4OS43NjczIDIuMzY2&#10;NjMgODkuNzQ1IDEuNzYyNjIgOTAuMjE3NSAxLjI1MTk1IDkwLjgyMTcgMS4yMjQ1IDkzLjAzNDYg&#10;MS4xMzY2NCA5NS4yNDc1IDEuMDQzMjkgOTcuNDYwMyAwLjk0NDQ1NSA5OC4wNTI3IDAuOTE2OTk5&#10;IDk4LjU3OTkgMS4zODM3NCA5OC42MDc3IDEuOTkzMjMgOTguNjM0NyAyLjU5NzI1IDk4LjE2ODYg&#10;My4xMTM0IDk3LjU1ODggMy4xNDA4NiA5NS4zNDAzIDMuMjM5NyA5My4xMjE5IDMuMzM4NTMgOTAu&#10;OTAzNSAzLjQyMDkgOTAuODg2OCAzLjQyMDkgOTAuODc2NSAzLjQyMDkgOTAuODU5OCAzLjQyMDla&#10;TTEwNC4xNTkgMi44Mzg4NUMxMDMuNTc3IDIuODM4ODUgMTAzLjA4OCAyLjM3NzYxIDEwMy4wNiAx&#10;Ljc5MDA3IDEwMy4wMzMgMS4xODYwNiAxMDMuNTA2IDAuNjY5OTAzIDEwNC4xMDkgMC42NDI0NDgg&#10;MTA2LjMyOCAwLjU0MzYxIDEwOC41NDYgMC40NTAyNjMgMTEwLjc2NSAwLjM2MjQwNyAxMTEuMzgg&#10;MC4zMjM5NjkgMTExLjg3OSAwLjgxMjY2NyAxMTEuOTA3IDEuNDE2NjggMTExLjkyOSAyLjAyMDY5&#10;IDExMS40NTYgMi41MzEzNiAxMTAuODUzIDIuNTU4ODEgMTA4LjY0IDIuNjQxMTggMTA2LjQyNyAy&#10;Ljc0MDAxIDEwNC4yMTQgMi44Mzg4NSAxMDQuMTk3IDIuODM4ODUgMTA0LjE4MSAyLjgzODg1IDEw&#10;NC4xNjQgMi44Mzg4NVpNMTUwLjcxNyAyLjM2MTEzIDE1MC43MDYgMi4zNjExMyAxNDQuMDU3IDIu&#10;Mjg5NzVDMTQzLjQ1MyAyLjI4NDI2IDE0Mi45NjQgMS43ODQ1OCAxNDIuOTY5IDEuMTgwNTcgMTQy&#10;Ljk3NSAwLjU3NjU1NiAxNDMuNDg1IDAuMDc2ODc0MSAxNDQuMDc4IDAuMDkzMzQ3NEwxNTAuNzI4&#10;IDAuMTY0NzNDMTUxLjMzMiAwLjE3MDIyMiAxNTEuODIxIDAuNjY5OTAzIDE1MS44MTUgMS4yNzM5&#10;MiAxNTEuODEgMS44Nzc5MyAxNTEuMzIxIDIuMzYxMTMgMTUwLjcxNyAyLjM2MTEzWk0xMTcuNDU4&#10;IDIuMzQ0NjZDMTE2Ljg2NSAyLjM0NDY2IDExNi4zNzcgMS44NzI0MyAxMTYuMzYgMS4yNzM5MiAx&#10;MTYuMzQzIDAuNjY5OTAzIDExNi44MjcgMC4xNjQ3MyAxMTcuNDMxIDAuMTQ4MjU3IDExOC41NTEg&#10;MC4xMjA4MDIgMTE5LjY2NSAwLjA5ODgzNzkgMTIwLjc4IDAuMDc2ODc0MSAxMjEuODg0IDAuMDYw&#10;NDAxMSAxMjIuOTkzIDAuMDQzOTI4MSAxMjQuMDk3IDAuMDMyOTQ2MUwxMjQuMTA4IDAuMDMyOTQ2&#10;MUMxMjQuNzEyIDAuMDMyOTQ2MSAxMjUuMiAwLjUxNjE1NSAxMjUuMjA2IDEuMTIwMTcgMTI1LjIx&#10;MSAxLjcyNDE4IDEyNC43MjMgMi4yMjM4NiAxMjQuMTE5IDIuMjI5MzUgMTIzLjAyMSAyLjI0MDMz&#10;IDEyMS45MTcgMi4yNTEzMiAxMjAuODE5IDIuMjczMjggMTE5LjcxIDIuMjg5NzUgMTE4LjU5NSAy&#10;LjMxMTcyIDExNy40ODYgMi4zMzkxNyAxMTcuNDc1IDIuMzM5MTcgMTE3LjQ2OSAyLjMzOTE3IDEx&#10;Ny40NTggMi4zMzkxN1pNMTM3LjQxMyAyLjIyOTM1IDEzNy40MDcgMi4yMjkzNUMxMzUuMTk0IDIu&#10;MjEyODggMTMyLjk4MiAyLjIwMTkgMTMwLjc2MyAyLjIwMTkgMTMwLjE1OSAyLjIwMTkgMTI5LjY2&#10;NSAxLjcwNzcgMTI5LjY2NSAxLjEwMzY5IDEyOS42NjUgMC40OTk2ODIgMTMwLjE1OSAwLjAwNTQ5&#10;MTAxIDEzMC43NjMgMC4wMDU0OTEwMUwxMzAuNzYzIDAuMDA1NDkxMDFDMTMyLjk4NyAwLjAwNTQ5&#10;MTAxIDEzNS4yMDYgMC4wMTY0NzMgMTM3LjQyMyAwLjAzMjk0NjEgMTM4LjAyNyAwLjAzMjk0NjEg&#10;MTM4LjUxNiAwLjUzMjYyOCAxMzguNTE2IDEuMTM2NjQgMTM4LjUxNiAxLjc0MDY1IDEzOC4wMjIg&#10;Mi4yMjkzNSAxMzcuNDE4IDIuMjI5MzVaIiBmaWxsPSIjRkZGRkZGIiB0cmFuc2Zvcm09Im1hdHJp&#10;eCgxLjE2NjczIDAgMCAxIDI3LjE0MTkgNDY0LjQ5KSIvPjxwYXRoIGQ9Ik0xNjAuNjU2IDIuNDM4&#10;MDEgMTYwLjY1NiAyLjQzODAxQzE1OS41NTcgMi40MzgwMSAxNTguNDU5IDIuNDI3MDMgMTU3LjM1&#10;NiAyLjQxNjA1IDE1Ni43NTEgMi40MTYwNSAxNTYuMjYzIDEuOTE2MzYgMTU2LjI2MyAxLjMxMjM2&#10;IDE1Ni4yNjMgMC43MDgzNCAxNTYuNzU3IDAuMjE5NjQgMTU3LjM2MSAwLjIxOTY0TDE1Ny4zNzIg&#10;MC4yMTk2NEMxNTguNDcxIDAuMjI1MTMyIDE1OS41NjkgMC4yMzYxMTMgMTYwLjY2MSAwLjI0MTYw&#10;NSAxNjEuMjY1IDAuMjQxNjA1IDE2MS43NiAwLjczNTc5NSAxNjEuNzU0IDEuMzQ1MyAxNjEuNzU0&#10;IDEuOTQ5MzEgMTYxLjI2IDIuNDM4MDEgMTYwLjY1NiAyLjQzODAxWiIgZmlsbD0iI0ZGRkZGRiIg&#10;dHJhbnNmb3JtPSJtYXRyaXgoMS4xNjY3MyAwIDAgMSAyNy4xNDE5IDQ2NC40OSkiLz48L2c+PC9n&#10;PjwvZz48ZyBjbGlwLXBhdGg9InVybCgjY2xpcDIyMCkiPjxnIGNsaXAtcGF0aD0idXJsKCNjbGlw&#10;MjIxKSI+PGcgY2xpcC1wYXRoPSJ1cmwoI2NsaXAyMjIpIj48cGF0aCBkPSJNNC4zOTI4MSAzLjY3&#10;ODk4QzQuMzkyODEgMy42Nzg5OCA0LjM3MDg0IDMuNjc4OTggNC4zNTk4NiAzLjY3ODk4IDMuMjU2&#10;MTcgMy42NDYwMyAyLjE1Nzk2IDMuNjA3NTkgMS4wNTk3NyAzLjU2MzY2IDAuNDUwMjYzIDMuNTM2&#10;MjEtMC4wMjE5NjQgMy4wMjU1NCAwIDIuNDE2MDUgMC4wMjE5NjQgMS44MTIwNCAwLjUzMjYyOCAx&#10;LjM0NTMgMS4xNDIxMyAxLjM2MTc3IDIuMjM0ODQgMS40MDU3IDMuMzI3NTUgMS40NDQxNCA0LjQy&#10;NTc2IDEuNDc3MDggNS4wMjk3NyAxLjQ5MzU1IDUuNTA3NDkgMi4wMDQyMSA1LjQ5MTAxIDIuNjA4&#10;MjMgNS40NzQ1MyAzLjIwMTI2IDQuOTg1ODQgMy42NzM0OSA0LjM5MjgxIDMuNjczNDlaIiBmaWxs&#10;PSIjRkZGRkZGIiB0cmFuc2Zvcm09Im1hdHJpeCgxLjE2NjczIDAgMCAxIDI3LjE0MTkgNTMxLjk4&#10;KSIvPjxwYXRoIGQ9Ik00NC4zMDE1IDMuOTcgMzcuNjUxOSAzLjk3QzM3LjA0NzkgMy45NyAzNi41&#10;NTM2IDMuNDc1ODEgMzYuNTUzNiAyLjg2NjMxIDM2LjU1MzYgMi4yNTY4IDM3LjA0NzkgMS43Njgx&#10;IDM3LjY1MTkgMS43NjgxTDQ0LjMwNjkgMS43NjgxQzQ0LjkxMDkgMS43NjgxIDQ1LjQwNTEgMi4y&#10;Njc3OSA0NS40MDUxIDIuODcxNzkgNDUuNDA1MSAzLjQ3NTgxIDQ0LjkxMDkgMy45NyA0NC4zMDY5&#10;IDMuOTdaTTI4LjczNDUgMy45N0MyNy4yNjgzIDMuOTcgMjUuODA3OCAzLjk3IDI0LjM0NzEgMy45&#10;NyAyMy43NDMxIDMuOTcgMjMuMjQ5IDMuNDc1ODEgMjMuMjQ5IDIuODcxNzkgMjMuMjQ5IDIuMjY3&#10;NzkgMjMuNzQzMSAxLjc3MzYgMjQuMzQ3MSAxLjc3MzZMMjQuMzQ3MSAxLjc3MzZDMjUuODA3OCAx&#10;Ljc3MzYgMjcuMjY4MyAxLjc3MzYgMjguNzM0NSAxLjc3MzZMMzAuOTk2NyAxLjc3MzZDMzAuOTk2&#10;NyAxLjc3MzYgMzAuOTk2NyAxLjc3MzYgMzAuOTk2NyAxLjc3MzYgMzEuNjAwNyAxLjc3MzYgMzIu&#10;MDk1IDIuMjYyMyAzMi4wOTUgMi44NzE3OSAzMi4wOTUgMy40ODEzIDMxLjYwNjMgMy45NyAzMC45&#10;OTY3IDMuOTdMMjguNzI5IDMuOTdaTTUwLjk1NjUgMy45N0M1MC4zNTI1IDMuOTcgNDkuODU4NCAz&#10;LjQ4MTMgNDkuODU4NCAyLjg3MTc5IDQ5Ljg1ODQgMi4yNjc3OSA1MC4zNDcxIDEuNzczNiA1MC45&#10;NTY1IDEuNzczNiA1My4xNjk0IDEuNzczNiA1NS4zODc5IDEuNzYyNjIgNTcuNjA2MiAxLjc1MTY0&#10;TDU3LjYxMTcgMS43NTE2NEM1OC4yMTU3IDEuNzUxNjQgNTguNzA0NCAyLjI0MDMzIDU4LjcwOTkg&#10;Mi44NDQzNSA1OC43MDk5IDMuNDQ4MzYgNTguMjIxMiAzLjk0MjU0IDU3LjYxNzIgMy45NDgwNCA1&#10;NS4zOTg4IDMuOTU5MDIgNTMuMTgwNSAzLjk2NDUxIDUwLjk2MjEgMy45N0w1MC45NjIxIDMuOTda&#10;TTE3LjY5NzUgMy45MzcwNiAxNy42ODY1IDMuOTM3MDZDMTUuNDYyNyAzLjkxNTA5IDEzLjI0NDMg&#10;My44ODc2NCAxMS4wMjYgMy44NDkyIDEwLjQyMiAzLjgzODIxIDkuOTM4NzQgMy4zMzg1MyA5Ljk0&#10;OTY5IDIuNzI5MDMgOS45NjA3MyAyLjEzMDUxIDEwLjQ0OTQgMS42NTI3OSAxMS4wNDc5IDEuNjUy&#10;NzlMMTEuMDY5OSAxLjY1Mjc5QzEzLjI4MjcgMS42OTEyMyAxNS40OTU2IDEuNzE4NjggMTcuNzA4&#10;NSAxLjc0MDY1IDE4LjMxMjUgMS43NDA2NSAxOC44MDEyIDIuMjQwMzMgMTguNzk1NyAyLjg0OTgz&#10;IDE4Ljc5NTcgMy40NTM4NCAxOC4zMDE1IDMuOTM3MDYgMTcuNjk3NSAzLjkzNzA2Wk02NC4yNjEz&#10;IDMuOTA5NkM2My42NTczIDMuOTA5NiA2My4xNjg2IDMuNDI2MzkgNjMuMTYzMSAyLjgyMjM4IDYz&#10;LjE2MzEgMi4yMTgzNiA2My42NDYzIDEuNzE4NjggNjQuMjUwMyAxLjcxMzIgNjYuNDY4NyAxLjY5&#10;NjcyIDY4LjY4MTYgMS42NzQ3NiA3MC44OTk5IDEuNjUyNzlMNzAuOTEwOSAxLjY1Mjc5QzcxLjUw&#10;OTQgMS42NTI3OSA3Mi4wMDM3IDIuMTM2IDcyLjAwOTEgMi43NDAwMSA3Mi4wMTQ2IDMuMzQ0MDMg&#10;NzEuNTMxNCAzLjg0MzcxIDcwLjkyMTkgMy44NDkyIDY4LjcwMzYgMy44NzExNiA2Ni40ODUxIDMu&#10;ODkzMTMgNjQuMjY2OCAzLjkwOTZMNjQuMjU1OCAzLjkwOTZaTTc3LjU2NiAzLjc2MTM0Qzc2Ljk2&#10;NzUgMy43NjEzNCA3Ni40Nzg4IDMuMjc4MTMgNzYuNDY3OCAyLjY3OTYyIDc2LjQ1NjggMi4wNzU2&#10;IDc2Ljk0NTUgMS41NzU5MiA3Ny41NDk1IDEuNTY0OTMgNzguNjY5NyAxLjU0ODQ3IDc5Ljc4OTkg&#10;MS41MzE5OSA4MC45MTU3IDEuNTEwMDMgODIuMDA4MyAxLjQ5MzU1IDgzLjEwMDggMS40NjYxIDg0&#10;LjE4NzggMS40Mzg2NCA4NC43ODY1IDEuNDExMTkgODUuMjk3IDEuODk5ODkgODUuMzEzNyAyLjUw&#10;OTM5IDg1LjMzMDQgMy4xMTM0IDg0Ljg1MjQgMy42MTg1OCA4NC4yNDM0IDMuNjM1MDUgODMuMTQ0&#10;NSAzLjY2MjUgODIuMDQ2NCAzLjY4NDQ3IDgwLjk0ODMgMy43MDY0MyA3OS44MjggMy43MjI5MSA3&#10;OC43MDI2IDMuNzQ0ODcgNzcuNTgyNSAzLjc2MTM0TDc3LjU2NiAzLjc2MTM0Wk05MC44NjU0IDMu&#10;NDIwOUM5MC4yNzc4IDMuNDIwOSA4OS43ODg3IDIuOTU0MTYgODkuNzY3MyAyLjM2NjYzIDg5Ljc0&#10;NSAxLjc2MjYyIDkwLjIxNzUgMS4yNTE5NSA5MC44MjE3IDEuMjI0NSA5My4wMzQ2IDEuMTM2NjQg&#10;OTUuMjQ3NSAxLjA0MzI5IDk3LjQ2MDMgMC45NDQ0NTUgOTguMDUyNyAwLjkxNjk5OSA5OC41Nzk5&#10;IDEuMzgzNzQgOTguNjA3NyAxLjk5MzIzIDk4LjYzNDcgMi41OTcyNSA5OC4xNjg2IDMuMTEzNCA5&#10;Ny41NTg4IDMuMTQwODYgOTUuMzQwMyAzLjIzOTcgOTMuMTIxOSAzLjMzODUzIDkwLjkwMzUgMy40&#10;MjA5IDkwLjg4NjggMy40MjA5IDkwLjg3NjUgMy40MjA5IDkwLjg1OTggMy40MjA5Wk0xMDQuMTU5&#10;IDIuODM4ODVDMTAzLjU3NyAyLjgzODg1IDEwMy4wODggMi4zNzc2MSAxMDMuMDYgMS43OTAwNyAx&#10;MDMuMDMzIDEuMTg2MDYgMTAzLjUwNiAwLjY2OTkwMyAxMDQuMTA5IDAuNjQyNDQ4IDEwNi4zMjgg&#10;MC41NDM2MSAxMDguNTQ2IDAuNDUwMjYzIDExMC43NjUgMC4zNjI0MDcgMTExLjM4IDAuMzIzOTY5&#10;IDExMS44NzkgMC44MTI2NjcgMTExLjkwNyAxLjQxNjY4IDExMS45MjkgMi4wMjA2OSAxMTEuNDU2&#10;IDIuNTMxMzYgMTEwLjg1MyAyLjU1ODgxIDEwOC42NCAyLjY0MTE4IDEwNi40MjcgMi43NDAwMSAx&#10;MDQuMjE0IDIuODM4ODUgMTA0LjE5NyAyLjgzODg1IDEwNC4xODEgMi44Mzg4NSAxMDQuMTY0IDIu&#10;ODM4ODVaTTE1MC43MTcgMi4zNjExMyAxNTAuNzA2IDIuMzYxMTMgMTQ0LjA1NyAyLjI4OTc1QzE0&#10;My40NTMgMi4yODQyNiAxNDIuOTY0IDEuNzg0NTggMTQyLjk2OSAxLjE4MDU3IDE0Mi45NzUgMC41&#10;NzY1NTYgMTQzLjQ4NSAwLjA3Njg3NDEgMTQ0LjA3OCAwLjA5MzM0NzRMMTUwLjcyOCAwLjE2NDcz&#10;QzE1MS4zMzIgMC4xNzAyMjIgMTUxLjgyMSAwLjY2OTkwMyAxNTEuODE1IDEuMjczOTIgMTUxLjgx&#10;IDEuODc3OTMgMTUxLjMyMSAyLjM2MTEzIDE1MC43MTcgMi4zNjExM1pNMTE3LjQ1OCAyLjM0NDY2&#10;QzExNi44NjUgMi4zNDQ2NiAxMTYuMzc3IDEuODcyNDMgMTE2LjM2IDEuMjczOTIgMTE2LjM0MyAw&#10;LjY2OTkwMyAxMTYuODI3IDAuMTY0NzMgMTE3LjQzMSAwLjE0ODI1NyAxMTguNTUxIDAuMTIwODAy&#10;IDExOS42NjUgMC4wOTg4Mzc5IDEyMC43OCAwLjA3Njg3NDEgMTIxLjg4NCAwLjA2MDQwMTEgMTIy&#10;Ljk5MyAwLjA0MzkyODEgMTI0LjA5NyAwLjAzMjk0NjFMMTI0LjEwOCAwLjAzMjk0NjFDMTI0Ljcx&#10;MiAwLjAzMjk0NjEgMTI1LjIgMC41MTYxNTUgMTI1LjIwNiAxLjEyMDE3IDEyNS4yMTEgMS43MjQx&#10;OCAxMjQuNzIzIDIuMjIzODYgMTI0LjExOSAyLjIyOTM1IDEyMy4wMjEgMi4yNDAzMyAxMjEuOTE3&#10;IDIuMjUxMzIgMTIwLjgxOSAyLjI3MzI4IDExOS43MSAyLjI4OTc1IDExOC41OTUgMi4zMTE3MiAx&#10;MTcuNDg2IDIuMzM5MTcgMTE3LjQ3NSAyLjMzOTE3IDExNy40NjkgMi4zMzkxNyAxMTcuNDU4IDIu&#10;MzM5MTdaTTEzNy40MTMgMi4yMjkzNSAxMzcuNDA3IDIuMjI5MzVDMTM1LjE5NCAyLjIxMjg4IDEz&#10;Mi45ODIgMi4yMDE5IDEzMC43NjMgMi4yMDE5IDEzMC4xNTkgMi4yMDE5IDEyOS42NjUgMS43MDc3&#10;IDEyOS42NjUgMS4xMDM2OSAxMjkuNjY1IDAuNDk5NjgyIDEzMC4xNTkgMC4wMDU0OTEwMSAxMzAu&#10;NzYzIDAuMDA1NDkxMDFMMTMwLjc2MyAwLjAwNTQ5MTAxQzEzMi45ODcgMC4wMDU0OTEwMSAxMzUu&#10;MjA2IDAuMDE2NDczIDEzNy40MjMgMC4wMzI5NDYxIDEzOC4wMjcgMC4wMzI5NDYxIDEzOC41MTYg&#10;MC41MzI2MjggMTM4LjUxNiAxLjEzNjY0IDEzOC41MTYgMS43NDA2NSAxMzguMDIyIDIuMjI5MzUg&#10;MTM3LjQxOCAyLjIyOTM1WiIgZmlsbD0iI0ZGRkZGRiIgdHJhbnNmb3JtPSJtYXRyaXgoMS4xNjY3&#10;MyAwIDAgMSAyNy4xNDE5IDUzMS45OCkiLz48cGF0aCBkPSJNMTYwLjY1NiAyLjQzODAxIDE2MC42&#10;NTYgMi40MzgwMUMxNTkuNTU3IDIuNDM4MDEgMTU4LjQ1OSAyLjQyNzAzIDE1Ny4zNTYgMi40MTYw&#10;NSAxNTYuNzUxIDIuNDE2MDUgMTU2LjI2MyAxLjkxNjM2IDE1Ni4yNjMgMS4zMTIzNiAxNTYuMjYz&#10;IDAuNzA4MzQgMTU2Ljc1NyAwLjIxOTY0IDE1Ny4zNjEgMC4yMTk2NEwxNTcuMzcyIDAuMjE5NjRD&#10;MTU4LjQ3MSAwLjIyNTEzMiAxNTkuNTY5IDAuMjM2MTEzIDE2MC42NjEgMC4yNDE2MDUgMTYxLjI2&#10;NSAwLjI0MTYwNSAxNjEuNzYgMC43MzU3OTUgMTYxLjc1NCAxLjM0NTMgMTYxLjc1NCAxLjk0OTMx&#10;IDE2MS4yNiAyLjQzODAxIDE2MC42NTYgMi40MzgwMVoiIGZpbGw9IiNGRkZGRkYiIHRyYW5zZm9y&#10;bT0ibWF0cml4KDEuMTY2NzMgMCAwIDEgMjcuMTQxOSA1MzEuOTgpIi8+PC9nPjwvZz48L2c+PGcg&#10;Y2xpcC1wYXRoPSJ1cmwoI2NsaXAyMjMpIj48ZyBjbGlwLXBhdGg9InVybCgjY2xpcDIyNCkiPjxn&#10;IGNsaXAtcGF0aD0idXJsKCNjbGlwMjI1KSI+PHBhdGggZD0iTTQuMzkyODEgMy42Nzg5OEM0LjM5&#10;MjgxIDMuNjc4OTggNC4zNzA4NCAzLjY3ODk4IDQuMzU5ODYgMy42Nzg5OCAzLjI1NjE3IDMuNjQ2&#10;MDMgMi4xNTc5NiAzLjYwNzU5IDEuMDU5NzcgMy41NjM2NiAwLjQ1MDI2MyAzLjUzNjIxLTAuMDIx&#10;OTY0IDMuMDI1NTQgMCAyLjQxNjA1IDAuMDIxOTY0IDEuODEyMDQgMC41MzI2MjggMS4zNDUzIDEu&#10;MTQyMTMgMS4zNjE3NyAyLjIzNDg0IDEuNDA1NyAzLjMyNzU1IDEuNDQ0MTQgNC40MjU3NiAxLjQ3&#10;NzA4IDUuMDI5NzcgMS40OTM1NSA1LjUwNzQ5IDIuMDA0MjEgNS40OTEwMSAyLjYwODIzIDUuNDc0&#10;NTMgMy4yMDEyNiA0Ljk4NTg0IDMuNjczNDkgNC4zOTI4MSAzLjY3MzQ5WiIgZmlsbD0iI0ZGRkZG&#10;RiIgdHJhbnNmb3JtPSJtYXRyaXgoMS4xNjY3MyAwIDAgMSAyNy4xNDE5IDYwOC45OTgpIi8+PHBh&#10;dGggZD0iTTQ0LjMwMTUgMy45NyAzNy42NTE5IDMuOTdDMzcuMDQ3OSAzLjk3IDM2LjU1MzYgMy40&#10;NzU4MSAzNi41NTM2IDIuODY2MzEgMzYuNTUzNiAyLjI1NjggMzcuMDQ3OSAxLjc2ODEgMzcuNjUx&#10;OSAxLjc2ODFMNDQuMzA2OSAxLjc2ODFDNDQuOTEwOSAxLjc2ODEgNDUuNDA1MSAyLjI2Nzc5IDQ1&#10;LjQwNTEgMi44NzE3OSA0NS40MDUxIDMuNDc1ODEgNDQuOTEwOSAzLjk3IDQ0LjMwNjkgMy45N1pN&#10;MjguNzM0NSAzLjk3QzI3LjI2ODMgMy45NyAyNS44MDc4IDMuOTcgMjQuMzQ3MSAzLjk3IDIzLjc0&#10;MzEgMy45NyAyMy4yNDkgMy40NzU4MSAyMy4yNDkgMi44NzE3OSAyMy4yNDkgMi4yNjc3OSAyMy43&#10;NDMxIDEuNzczNiAyNC4zNDcxIDEuNzczNkwyNC4zNDcxIDEuNzczNkMyNS44MDc4IDEuNzczNiAy&#10;Ny4yNjgzIDEuNzczNiAyOC43MzQ1IDEuNzczNkwzMC45OTY3IDEuNzczNkMzMC45OTY3IDEuNzcz&#10;NiAzMC45OTY3IDEuNzczNiAzMC45OTY3IDEuNzczNiAzMS42MDA3IDEuNzczNiAzMi4wOTUgMi4y&#10;NjIzIDMyLjA5NSAyLjg3MTc5IDMyLjA5NSAzLjQ4MTMgMzEuNjA2MyAzLjk3IDMwLjk5NjcgMy45&#10;N0wyOC43MjkgMy45N1pNNTAuOTU2NSAzLjk3QzUwLjM1MjUgMy45NyA0OS44NTg0IDMuNDgxMyA0&#10;OS44NTg0IDIuODcxNzkgNDkuODU4NCAyLjI2Nzc5IDUwLjM0NzEgMS43NzM2IDUwLjk1NjUgMS43&#10;NzM2IDUzLjE2OTQgMS43NzM2IDU1LjM4NzkgMS43NjI2MiA1Ny42MDYyIDEuNzUxNjRMNTcuNjEx&#10;NyAxLjc1MTY0QzU4LjIxNTcgMS43NTE2NCA1OC43MDQ0IDIuMjQwMzMgNTguNzA5OSAyLjg0NDM1&#10;IDU4LjcwOTkgMy40NDgzNiA1OC4yMjEyIDMuOTQyNTQgNTcuNjE3MiAzLjk0ODA0IDU1LjM5ODgg&#10;My45NTkwMiA1My4xODA1IDMuOTY0NTEgNTAuOTYyMSAzLjk3TDUwLjk2MjEgMy45N1pNMTcuNjk3&#10;NSAzLjkzNzA2IDE3LjY4NjUgMy45MzcwNkMxNS40NjI3IDMuOTE1MDkgMTMuMjQ0MyAzLjg4NzY0&#10;IDExLjAyNiAzLjg0OTIgMTAuNDIyIDMuODM4MjEgOS45Mzg3NCAzLjMzODUzIDkuOTQ5NjkgMi43&#10;MjkwMyA5Ljk2MDczIDIuMTMwNTEgMTAuNDQ5NCAxLjY1Mjc5IDExLjA0NzkgMS42NTI3OUwxMS4w&#10;Njk5IDEuNjUyNzlDMTMuMjgyNyAxLjY5MTIzIDE1LjQ5NTYgMS43MTg2OCAxNy43MDg1IDEuNzQw&#10;NjUgMTguMzEyNSAxLjc0MDY1IDE4LjgwMTIgMi4yNDAzMyAxOC43OTU3IDIuODQ5ODMgMTguNzk1&#10;NyAzLjQ1Mzg0IDE4LjMwMTUgMy45MzcwNiAxNy42OTc1IDMuOTM3MDZaTTY0LjI2MTMgMy45MDk2&#10;QzYzLjY1NzMgMy45MDk2IDYzLjE2ODYgMy40MjYzOSA2My4xNjMxIDIuODIyMzggNjMuMTYzMSAy&#10;LjIxODM2IDYzLjY0NjMgMS43MTg2OCA2NC4yNTAzIDEuNzEzMiA2Ni40Njg3IDEuNjk2NzIgNjgu&#10;NjgxNiAxLjY3NDc2IDcwLjg5OTkgMS42NTI3OUw3MC45MTA5IDEuNjUyNzlDNzEuNTA5NCAxLjY1&#10;Mjc5IDcyLjAwMzcgMi4xMzYgNzIuMDA5MSAyLjc0MDAxIDcyLjAxNDYgMy4zNDQwMyA3MS41MzE0&#10;IDMuODQzNzEgNzAuOTIxOSAzLjg0OTIgNjguNzAzNiAzLjg3MTE2IDY2LjQ4NTEgMy44OTMxMyA2&#10;NC4yNjY4IDMuOTA5Nkw2NC4yNTU4IDMuOTA5NlpNNzcuNTY2IDMuNzYxMzRDNzYuOTY3NSAzLjc2&#10;MTM0IDc2LjQ3ODggMy4yNzgxMyA3Ni40Njc4IDIuNjc5NjIgNzYuNDU2OCAyLjA3NTYgNzYuOTQ1&#10;NSAxLjU3NTkyIDc3LjU0OTUgMS41NjQ5MyA3OC42Njk3IDEuNTQ4NDcgNzkuNzg5OSAxLjUzMTk5&#10;IDgwLjkxNTcgMS41MTAwMyA4Mi4wMDgzIDEuNDkzNTUgODMuMTAwOCAxLjQ2NjEgODQuMTg3OCAx&#10;LjQzODY0IDg0Ljc4NjUgMS40MTExOSA4NS4yOTcgMS44OTk4OSA4NS4zMTM3IDIuNTA5MzkgODUu&#10;MzMwNCAzLjExMzQgODQuODUyNCAzLjYxODU4IDg0LjI0MzQgMy42MzUwNSA4My4xNDQ1IDMuNjYy&#10;NSA4Mi4wNDY0IDMuNjg0NDcgODAuOTQ4MyAzLjcwNjQzIDc5LjgyOCAzLjcyMjkxIDc4LjcwMjYg&#10;My43NDQ4NyA3Ny41ODI1IDMuNzYxMzRMNzcuNTY2IDMuNzYxMzRaTTkwLjg2NTQgMy40MjA5Qzkw&#10;LjI3NzggMy40MjA5IDg5Ljc4ODcgMi45NTQxNiA4OS43NjczIDIuMzY2NjMgODkuNzQ1IDEuNzYy&#10;NjIgOTAuMjE3NSAxLjI1MTk1IDkwLjgyMTcgMS4yMjQ1IDkzLjAzNDYgMS4xMzY2NCA5NS4yNDc1&#10;IDEuMDQzMjkgOTcuNDYwMyAwLjk0NDQ1NSA5OC4wNTI3IDAuOTE2OTk5IDk4LjU3OTkgMS4zODM3&#10;NCA5OC42MDc3IDEuOTkzMjMgOTguNjM0NyAyLjU5NzI1IDk4LjE2ODYgMy4xMTM0IDk3LjU1ODgg&#10;My4xNDA4NiA5NS4zNDAzIDMuMjM5NyA5My4xMjE5IDMuMzM4NTMgOTAuOTAzNSAzLjQyMDkgOTAu&#10;ODg2OCAzLjQyMDkgOTAuODc2NSAzLjQyMDkgOTAuODU5OCAzLjQyMDlaTTEwNC4xNTkgMi44Mzg4&#10;NUMxMDMuNTc3IDIuODM4ODUgMTAzLjA4OCAyLjM3NzYxIDEwMy4wNiAxLjc5MDA3IDEwMy4wMzMg&#10;MS4xODYwNiAxMDMuNTA2IDAuNjY5OTAzIDEwNC4xMDkgMC42NDI0NDggMTA2LjMyOCAwLjU0MzYx&#10;IDEwOC41NDYgMC40NTAyNjMgMTEwLjc2NSAwLjM2MjQwNyAxMTEuMzggMC4zMjM5NjkgMTExLjg3&#10;OSAwLjgxMjY2NyAxMTEuOTA3IDEuNDE2NjggMTExLjkyOSAyLjAyMDY5IDExMS40NTYgMi41MzEz&#10;NiAxMTAuODUzIDIuNTU4ODEgMTA4LjY0IDIuNjQxMTggMTA2LjQyNyAyLjc0MDAxIDEwNC4yMTQg&#10;Mi44Mzg4NSAxMDQuMTk3IDIuODM4ODUgMTA0LjE4MSAyLjgzODg1IDEwNC4xNjQgMi44Mzg4NVpN&#10;MTUwLjcxNyAyLjM2MTEzIDE1MC43MDYgMi4zNjExMyAxNDQuMDU3IDIuMjg5NzVDMTQzLjQ1MyAy&#10;LjI4NDI2IDE0Mi45NjQgMS43ODQ1OCAxNDIuOTY5IDEuMTgwNTcgMTQyLjk3NSAwLjU3NjU1NiAx&#10;NDMuNDg1IDAuMDc2ODc0MSAxNDQuMDc4IDAuMDkzMzQ3NEwxNTAuNzI4IDAuMTY0NzNDMTUxLjMz&#10;MiAwLjE3MDIyMiAxNTEuODIxIDAuNjY5OTAzIDE1MS44MTUgMS4yNzM5MiAxNTEuODEgMS44Nzc5&#10;MyAxNTEuMzIxIDIuMzYxMTMgMTUwLjcxNyAyLjM2MTEzWk0xMTcuNDU4IDIuMzQ0NjZDMTE2Ljg2&#10;NSAyLjM0NDY2IDExNi4zNzcgMS44NzI0MyAxMTYuMzYgMS4yNzM5MiAxMTYuMzQzIDAuNjY5OTAz&#10;IDExNi44MjcgMC4xNjQ3MyAxMTcuNDMxIDAuMTQ4MjU3IDExOC41NTEgMC4xMjA4MDIgMTE5LjY2&#10;NSAwLjA5ODgzNzkgMTIwLjc4IDAuMDc2ODc0MSAxMjEuODg0IDAuMDYwNDAxMSAxMjIuOTkzIDAu&#10;MDQzOTI4MSAxMjQuMDk3IDAuMDMyOTQ2MUwxMjQuMTA4IDAuMDMyOTQ2MUMxMjQuNzEyIDAuMDMy&#10;OTQ2MSAxMjUuMiAwLjUxNjE1NSAxMjUuMjA2IDEuMTIwMTcgMTI1LjIxMSAxLjcyNDE4IDEyNC43&#10;MjMgMi4yMjM4NiAxMjQuMTE5IDIuMjI5MzUgMTIzLjAyMSAyLjI0MDMzIDEyMS45MTcgMi4yNTEz&#10;MiAxMjAuODE5IDIuMjczMjggMTE5LjcxIDIuMjg5NzUgMTE4LjU5NSAyLjMxMTcyIDExNy40ODYg&#10;Mi4zMzkxNyAxMTcuNDc1IDIuMzM5MTcgMTE3LjQ2OSAyLjMzOTE3IDExNy40NTggMi4zMzkxN1pN&#10;MTM3LjQxMyAyLjIyOTM1IDEzNy40MDcgMi4yMjkzNUMxMzUuMTk0IDIuMjEyODggMTMyLjk4MiAy&#10;LjIwMTkgMTMwLjc2MyAyLjIwMTkgMTMwLjE1OSAyLjIwMTkgMTI5LjY2NSAxLjcwNzcgMTI5LjY2&#10;NSAxLjEwMzY5IDEyOS42NjUgMC40OTk2ODIgMTMwLjE1OSAwLjAwNTQ5MTAxIDEzMC43NjMgMC4w&#10;MDU0OTEwMUwxMzAuNzYzIDAuMDA1NDkxMDFDMTMyLjk4NyAwLjAwNTQ5MTAxIDEzNS4yMDYgMC4w&#10;MTY0NzMgMTM3LjQyMyAwLjAzMjk0NjEgMTM4LjAyNyAwLjAzMjk0NjEgMTM4LjUxNiAwLjUzMjYy&#10;OCAxMzguNTE2IDEuMTM2NjQgMTM4LjUxNiAxLjc0MDY1IDEzOC4wMjIgMi4yMjkzNSAxMzcuNDE4&#10;IDIuMjI5MzVaIiBmaWxsPSIjRkZGRkZGIiB0cmFuc2Zvcm09Im1hdHJpeCgxLjE2NjczIDAgMCAx&#10;IDI3LjE0MTkgNjA4Ljk5OCkiLz48cGF0aCBkPSJNMTYwLjY1NiAyLjQzODAxIDE2MC42NTYgMi40&#10;MzgwMUMxNTkuNTU3IDIuNDM4MDEgMTU4LjQ1OSAyLjQyNzAzIDE1Ny4zNTYgMi40MTYwNSAxNTYu&#10;NzUxIDIuNDE2MDUgMTU2LjI2MyAxLjkxNjM2IDE1Ni4yNjMgMS4zMTIzNiAxNTYuMjYzIDAuNzA4&#10;MzQgMTU2Ljc1NyAwLjIxOTY0IDE1Ny4zNjEgMC4yMTk2NEwxNTcuMzcyIDAuMjE5NjRDMTU4LjQ3&#10;MSAwLjIyNTEzMiAxNTkuNTY5IDAuMjM2MTEzIDE2MC42NjEgMC4yNDE2MDUgMTYxLjI2NSAwLjI0&#10;MTYwNSAxNjEuNzYgMC43MzU3OTUgMTYxLjc1NCAxLjM0NTMgMTYxLjc1NCAxLjk0OTMxIDE2MS4y&#10;NiAyLjQzODAxIDE2MC42NTYgMi40MzgwMVoiIGZpbGw9IiNGRkZGRkYiIHRyYW5zZm9ybT0ibWF0&#10;cml4KDEuMTY2NzMgMCAwIDEgMjcuMTQxOSA2MDguOTk4KSIvPjwvZz48L2c+PC9nPjxnIGNsaXAt&#10;cGF0aD0idXJsKCNjbGlwMjI2KSI+PGcgY2xpcC1wYXRoPSJ1cmwoI2NsaXAyMjcpIj48ZyBjbGlw&#10;LXBhdGg9InVybCgjY2xpcDIyOCkiPjxwYXRoIGQ9Ik00LjM5MjgxIDMuNjc4OThDNC4zOTI4MSAz&#10;LjY3ODk4IDQuMzcwODQgMy42Nzg5OCA0LjM1OTg2IDMuNjc4OTggMy4yNTYxNyAzLjY0NjAzIDIu&#10;MTU3OTYgMy42MDc1OSAxLjA1OTc3IDMuNTYzNjYgMC40NTAyNjMgMy41MzYyMS0wLjAyMTk2NCAz&#10;LjAyNTU0IDAgMi40MTYwNSAwLjAyMTk2NCAxLjgxMjA0IDAuNTMyNjI4IDEuMzQ1MyAxLjE0MjEz&#10;IDEuMzYxNzcgMi4yMzQ4NCAxLjQwNTcgMy4zMjc1NSAxLjQ0NDE0IDQuNDI1NzYgMS40NzcwOCA1&#10;LjAyOTc3IDEuNDkzNTUgNS41MDc0OSAyLjAwNDIxIDUuNDkxMDEgMi42MDgyMyA1LjQ3NDUzIDMu&#10;MjAxMjYgNC45ODU4NCAzLjY3MzQ5IDQuMzkyODEgMy42NzM0OVoiIGZpbGw9IiNGRkZGRkYiIHRy&#10;YW5zZm9ybT0ibWF0cml4KDEuMzg5NjQgMCAwIDEgMjU5LjQ2MyAyNTAuOTA0KSIvPjxwYXRoIGQ9&#10;Ik00NC4zMDE1IDMuOTcgMzcuNjUxOSAzLjk3QzM3LjA0NzkgMy45NyAzNi41NTM2IDMuNDc1ODEg&#10;MzYuNTUzNiAyLjg2NjMxIDM2LjU1MzYgMi4yNTY4IDM3LjA0NzkgMS43NjgxIDM3LjY1MTkgMS43&#10;NjgxTDQ0LjMwNjkgMS43NjgxQzQ0LjkxMDkgMS43NjgxIDQ1LjQwNTEgMi4yNjc3OSA0NS40MDUx&#10;IDIuODcxNzkgNDUuNDA1MSAzLjQ3NTgxIDQ0LjkxMDkgMy45NyA0NC4zMDY5IDMuOTdaTTI4Ljcz&#10;NDUgMy45N0MyNy4yNjgzIDMuOTcgMjUuODA3OCAzLjk3IDI0LjM0NzEgMy45NyAyMy43NDMxIDMu&#10;OTcgMjMuMjQ5IDMuNDc1ODEgMjMuMjQ5IDIuODcxNzkgMjMuMjQ5IDIuMjY3NzkgMjMuNzQzMSAx&#10;Ljc3MzYgMjQuMzQ3MSAxLjc3MzZMMjQuMzQ3MSAxLjc3MzZDMjUuODA3OCAxLjc3MzYgMjcuMjY4&#10;MyAxLjc3MzYgMjguNzM0NSAxLjc3MzZMMzAuOTk2NyAxLjc3MzZDMzAuOTk2NyAxLjc3MzYgMzAu&#10;OTk2NyAxLjc3MzYgMzAuOTk2NyAxLjc3MzYgMzEuNjAwNyAxLjc3MzYgMzIuMDk1IDIuMjYyMyAz&#10;Mi4wOTUgMi44NzE3OSAzMi4wOTUgMy40ODEzIDMxLjYwNjMgMy45NyAzMC45OTY3IDMuOTdMMjgu&#10;NzI5IDMuOTdaTTUwLjk1NjUgMy45N0M1MC4zNTI1IDMuOTcgNDkuODU4NCAzLjQ4MTMgNDkuODU4&#10;NCAyLjg3MTc5IDQ5Ljg1ODQgMi4yNjc3OSA1MC4zNDcxIDEuNzczNiA1MC45NTY1IDEuNzczNiA1&#10;My4xNjk0IDEuNzczNiA1NS4zODc5IDEuNzYyNjIgNTcuNjA2MiAxLjc1MTY0TDU3LjYxMTcgMS43&#10;NTE2NEM1OC4yMTU3IDEuNzUxNjQgNTguNzA0NCAyLjI0MDMzIDU4LjcwOTkgMi44NDQzNSA1OC43&#10;MDk5IDMuNDQ4MzYgNTguMjIxMiAzLjk0MjU0IDU3LjYxNzIgMy45NDgwNCA1NS4zOTg4IDMuOTU5&#10;MDIgNTMuMTgwNSAzLjk2NDUxIDUwLjk2MjEgMy45N0w1MC45NjIxIDMuOTdaTTE3LjY5NzUgMy45&#10;MzcwNiAxNy42ODY1IDMuOTM3MDZDMTUuNDYyNyAzLjkxNTA5IDEzLjI0NDMgMy44ODc2NCAxMS4w&#10;MjYgMy44NDkyIDEwLjQyMiAzLjgzODIxIDkuOTM4NzQgMy4zMzg1MyA5Ljk0OTY5IDIuNzI5MDMg&#10;OS45NjA3MyAyLjEzMDUxIDEwLjQ0OTQgMS42NTI3OSAxMS4wNDc5IDEuNjUyNzlMMTEuMDY5OSAx&#10;LjY1Mjc5QzEzLjI4MjcgMS42OTEyMyAxNS40OTU2IDEuNzE4NjggMTcuNzA4NSAxLjc0MDY1IDE4&#10;LjMxMjUgMS43NDA2NSAxOC44MDEyIDIuMjQwMzMgMTguNzk1NyAyLjg0OTgzIDE4Ljc5NTcgMy40&#10;NTM4NCAxOC4zMDE1IDMuOTM3MDYgMTcuNjk3NSAzLjkzNzA2Wk02NC4yNjEzIDMuOTA5NkM2My42&#10;NTczIDMuOTA5NiA2My4xNjg2IDMuNDI2MzkgNjMuMTYzMSAyLjgyMjM4IDYzLjE2MzEgMi4yMTgz&#10;NiA2My42NDYzIDEuNzE4NjggNjQuMjUwMyAxLjcxMzIgNjYuNDY4NyAxLjY5NjcyIDY4LjY4MTYg&#10;MS42NzQ3NiA3MC44OTk5IDEuNjUyNzlMNzAuOTEwOSAxLjY1Mjc5QzcxLjUwOTQgMS42NTI3OSA3&#10;Mi4wMDM3IDIuMTM2IDcyLjAwOTEgMi43NDAwMSA3Mi4wMTQ2IDMuMzQ0MDMgNzEuNTMxNCAzLjg0&#10;MzcxIDcwLjkyMTkgMy44NDkyIDY4LjcwMzYgMy44NzExNiA2Ni40ODUxIDMuODkzMTMgNjQuMjY2&#10;OCAzLjkwOTZMNjQuMjU1OCAzLjkwOTZaTTc3LjU2NiAzLjc2MTM0Qzc2Ljk2NzUgMy43NjEzNCA3&#10;Ni40Nzg4IDMuMjc4MTMgNzYuNDY3OCAyLjY3OTYyIDc2LjQ1NjggMi4wNzU2IDc2Ljk0NTUgMS41&#10;NzU5MiA3Ny41NDk1IDEuNTY0OTMgNzguNjY5NyAxLjU0ODQ3IDc5Ljc4OTkgMS41MzE5OSA4MC45&#10;MTU3IDEuNTEwMDMgODIuMDA4MyAxLjQ5MzU1IDgzLjEwMDggMS40NjYxIDg0LjE4NzggMS40Mzg2&#10;NCA4NC43ODY1IDEuNDExMTkgODUuMjk3IDEuODk5ODkgODUuMzEzNyAyLjUwOTM5IDg1LjMzMDQg&#10;My4xMTM0IDg0Ljg1MjQgMy42MTg1OCA4NC4yNDM0IDMuNjM1MDUgODMuMTQ0NSAzLjY2MjUgODIu&#10;MDQ2NCAzLjY4NDQ3IDgwLjk0ODMgMy43MDY0MyA3OS44MjggMy43MjI5MSA3OC43MDI2IDMuNzQ0&#10;ODcgNzcuNTgyNSAzLjc2MTM0TDc3LjU2NiAzLjc2MTM0Wk05MC44NjU0IDMuNDIwOUM5MC4yNzc4&#10;IDMuNDIwOSA4OS43ODg3IDIuOTU0MTYgODkuNzY3MyAyLjM2NjYzIDg5Ljc0NSAxLjc2MjYyIDkw&#10;LjIxNzUgMS4yNTE5NSA5MC44MjE3IDEuMjI0NSA5My4wMzQ2IDEuMTM2NjQgOTUuMjQ3NSAxLjA0&#10;MzI5IDk3LjQ2MDMgMC45NDQ0NTUgOTguMDUyNyAwLjkxNjk5OSA5OC41Nzk5IDEuMzgzNzQgOTgu&#10;NjA3NyAxLjk5MzIzIDk4LjYzNDcgMi41OTcyNSA5OC4xNjg2IDMuMTEzNCA5Ny41NTg4IDMuMTQw&#10;ODYgOTUuMzQwMyAzLjIzOTcgOTMuMTIxOSAzLjMzODUzIDkwLjkwMzUgMy40MjA5IDkwLjg4Njgg&#10;My40MjA5IDkwLjg3NjUgMy40MjA5IDkwLjg1OTggMy40MjA5Wk0xMDQuMTU5IDIuODM4ODVDMTAz&#10;LjU3NyAyLjgzODg1IDEwMy4wODggMi4zNzc2MSAxMDMuMDYgMS43OTAwNyAxMDMuMDMzIDEuMTg2&#10;MDYgMTAzLjUwNiAwLjY2OTkwMyAxMDQuMTA5IDAuNjQyNDQ4IDEwNi4zMjggMC41NDM2MSAxMDgu&#10;NTQ2IDAuNDUwMjYzIDExMC43NjUgMC4zNjI0MDcgMTExLjM4IDAuMzIzOTY5IDExMS44NzkgMC44&#10;MTI2NjcgMTExLjkwNyAxLjQxNjY4IDExMS45MjkgMi4wMjA2OSAxMTEuNDU2IDIuNTMxMzYgMTEw&#10;Ljg1MyAyLjU1ODgxIDEwOC42NCAyLjY0MTE4IDEwNi40MjcgMi43NDAwMSAxMDQuMjE0IDIuODM4&#10;ODUgMTA0LjE5NyAyLjgzODg1IDEwNC4xODEgMi44Mzg4NSAxMDQuMTY0IDIuODM4ODVaTTE1MC43&#10;MTcgMi4zNjExMyAxNTAuNzA2IDIuMzYxMTMgMTQ0LjA1NyAyLjI4OTc1QzE0My40NTMgMi4yODQy&#10;NiAxNDIuOTY0IDEuNzg0NTggMTQyLjk2OSAxLjE4MDU3IDE0Mi45NzUgMC41NzY1NTYgMTQzLjQ4&#10;NSAwLjA3Njg3NDEgMTQ0LjA3OCAwLjA5MzM0NzRMMTUwLjcyOCAwLjE2NDczQzE1MS4zMzIgMC4x&#10;NzAyMjIgMTUxLjgyMSAwLjY2OTkwMyAxNTEuODE1IDEuMjczOTIgMTUxLjgxIDEuODc3OTMgMTUx&#10;LjMyMSAyLjM2MTEzIDE1MC43MTcgMi4zNjExM1pNMTE3LjQ1OCAyLjM0NDY2QzExNi44NjUgMi4z&#10;NDQ2NiAxMTYuMzc3IDEuODcyNDMgMTE2LjM2IDEuMjczOTIgMTE2LjM0MyAwLjY2OTkwMyAxMTYu&#10;ODI3IDAuMTY0NzMgMTE3LjQzMSAwLjE0ODI1NyAxMTguNTUxIDAuMTIwODAyIDExOS42NjUgMC4w&#10;OTg4Mzc5IDEyMC43OCAwLjA3Njg3NDEgMTIxLjg4NCAwLjA2MDQwMTEgMTIyLjk5MyAwLjA0Mzky&#10;ODEgMTI0LjA5NyAwLjAzMjk0NjFMMTI0LjEwOCAwLjAzMjk0NjFDMTI0LjcxMiAwLjAzMjk0NjEg&#10;MTI1LjIgMC41MTYxNTUgMTI1LjIwNiAxLjEyMDE3IDEyNS4yMTEgMS43MjQxOCAxMjQuNzIzIDIu&#10;MjIzODYgMTI0LjExOSAyLjIyOTM1IDEyMy4wMjEgMi4yNDAzMyAxMjEuOTE3IDIuMjUxMzIgMTIw&#10;LjgxOSAyLjI3MzI4IDExOS43MSAyLjI4OTc1IDExOC41OTUgMi4zMTE3MiAxMTcuNDg2IDIuMzM5&#10;MTcgMTE3LjQ3NSAyLjMzOTE3IDExNy40NjkgMi4zMzkxNyAxMTcuNDU4IDIuMzM5MTdaTTEzNy40&#10;MTMgMi4yMjkzNSAxMzcuNDA3IDIuMjI5MzVDMTM1LjE5NCAyLjIxMjg4IDEzMi45ODIgMi4yMDE5&#10;IDEzMC43NjMgMi4yMDE5IDEzMC4xNTkgMi4yMDE5IDEyOS42NjUgMS43MDc3IDEyOS42NjUgMS4x&#10;MDM2OSAxMjkuNjY1IDAuNDk5NjgyIDEzMC4xNTkgMC4wMDU0OTEwMSAxMzAuNzYzIDAuMDA1NDkx&#10;MDFMMTMwLjc2MyAwLjAwNTQ5MTAxQzEzMi45ODcgMC4wMDU0OTEwMSAxMzUuMjA2IDAuMDE2NDcz&#10;IDEzNy40MjMgMC4wMzI5NDYxIDEzOC4wMjcgMC4wMzI5NDYxIDEzOC41MTYgMC41MzI2MjggMTM4&#10;LjUxNiAxLjEzNjY0IDEzOC41MTYgMS43NDA2NSAxMzguMDIyIDIuMjI5MzUgMTM3LjQxOCAyLjIy&#10;OTM1WiIgZmlsbD0iI0ZGRkZGRiIgdHJhbnNmb3JtPSJtYXRyaXgoMS4zODk2NCAwIDAgMSAyNTku&#10;NDYzIDI1MC45MDQpIi8+PHBhdGggZD0iTTE2MC42NTYgMi40MzgwMSAxNjAuNjU2IDIuNDM4MDFD&#10;MTU5LjU1NyAyLjQzODAxIDE1OC40NTkgMi40MjcwMyAxNTcuMzU2IDIuNDE2MDUgMTU2Ljc1MSAy&#10;LjQxNjA1IDE1Ni4yNjMgMS45MTYzNiAxNTYuMjYzIDEuMzEyMzYgMTU2LjI2MyAwLjcwODM0IDE1&#10;Ni43NTcgMC4yMTk2NCAxNTcuMzYxIDAuMjE5NjRMMTU3LjM3MiAwLjIxOTY0QzE1OC40NzEgMC4y&#10;MjUxMzIgMTU5LjU2OSAwLjIzNjExMyAxNjAuNjYxIDAuMjQxNjA1IDE2MS4yNjUgMC4yNDE2MDUg&#10;MTYxLjc2IDAuNzM1Nzk1IDE2MS43NTQgMS4zNDUzIDE2MS43NTQgMS45NDkzMSAxNjEuMjYgMi40&#10;MzgwMSAxNjAuNjU2IDIuNDM4MDFaIiBmaWxsPSIjRkZGRkZGIiB0cmFuc2Zvcm09Im1hdHJpeCgx&#10;LjM4OTY0IDAgMCAxIDI1OS40NjMgMjUwLjkwNCkiLz48L2c+PC9nPjwvZz48ZyBjbGlwLXBhdGg9&#10;InVybCgjY2xpcDIyOSkiPjxnIGNsaXAtcGF0aD0idXJsKCNjbGlwMjMwKSI+PGcgY2xpcC1wYXRo&#10;PSJ1cmwoI2NsaXAyMzEpIj48cGF0aCBkPSJNNS4yNzEzNyA0LjQxNDc4QzUuMjcxMzcgNC40MTQ3&#10;OCA1LjI0NTAxIDQuNDE0NzggNS4yMzE4MyA0LjQxNDc4IDMuOTA3NCA0LjM3NTIzIDIuNTg5NTYg&#10;NC4zMjkxMSAxLjI3MTcyIDQuMjc2NCAwLjU0MDMxNSA0LjI0MzQ1LTAuMDI2MzU2OCAzLjYzMDY1&#10;IDAgMi44OTkyNSAwLjAyNjM1NjggMi4xNzQ0NCAwLjYzOTE1MyAxLjYxNDM2IDEuMzcwNTYgMS42&#10;MzQxMiAyLjY4MTgxIDEuNjg2ODQgMy45OTMwNyAxLjczMjk2IDUuMzEwOTEgMS43NzI1IDYuMDM1&#10;NzIgMS43OTIyNiA2LjYwODk4IDIuNDA1MDcgNi41ODkyMiAzLjEyOTg4IDYuNTY5NDUgMy44NDE1&#10;MSA1Ljk4MyA0LjQwODE5IDUuMjcxMzcgNC40MDgxOVoiIGZpbGw9IiNGRkZGRkYiIHRyYW5zZm9y&#10;bT0ibWF0cml4KDEuMTU4MDMgMCAwIDEgMjU3Ljg3NiA1NjkuMjk4KSIvPjxwYXRoIGQ9Ik01My4x&#10;NjE4IDQuNzY0IDQ1LjE4MjMgNC43NjRDNDQuNDU3NCA0Ljc2NCA0My44NjQ0IDQuMTcwOTcgNDMu&#10;ODY0NCAzLjQzOTU3IDQzLjg2NDQgMi43MDgxNyA0NC40NTc0IDIuMTIxNzMgNDUuMTgyMyAyLjEy&#10;MTczTDUzLjE2ODQgMi4xMjE3M0M1My44OTMyIDIuMTIxNzMgNTQuNDg2MiAyLjcyMTM1IDU0LjQ4&#10;NjIgMy40NDYxNiA1NC40ODYyIDQuMTcwOTcgNTMuODkzMiA0Ljc2NCA1My4xNjg0IDQuNzY0Wk0z&#10;NC40ODE0IDQuNzY0QzMyLjcyMiA0Ljc2NCAzMC45NjkzIDQuNzY0IDI5LjIxNjYgNC43NjQgMjgu&#10;NDkxNyA0Ljc2NCAyNy44OTg3IDQuMTcwOTcgMjcuODk4NyAzLjQ0NjE2IDI3Ljg5ODcgMi43MjEz&#10;NSAyOC40OTE3IDIuMTI4MzIgMjkuMjE2NiAyLjEyODMyTDI5LjIxNjYgMi4xMjgzMkMzMC45Njkz&#10;IDIuMTI4MzIgMzIuNzIyIDIuMTI4MzIgMzQuNDgxNCAyLjEyODMyTDM3LjE5NjEgMi4xMjgzMkMz&#10;Ny4xOTYxIDIuMTI4MzIgMzcuMTk2MSAyLjEyODMyIDM3LjE5NjEgMi4xMjgzMiAzNy45MjA5IDIu&#10;MTI4MzIgMzguNTEzOSAyLjcxNDc2IDM4LjUxMzkgMy40NDYxNiAzOC41MTM5IDQuMTc3NTYgMzcu&#10;OTI3NSA0Ljc2NCAzNy4xOTYxIDQuNzY0TDM0LjQ3NDggNC43NjRaTTYxLjE0NzkgNC43NjRDNjAu&#10;NDIzMSA0Ljc2NCA1OS44MyA0LjE3NzU2IDU5LjgzIDMuNDQ2MTYgNTkuODMgMi43MjEzNSA2MC40&#10;MTY1IDIuMTI4MzIgNjEuMTQ3OSAyLjEyODMyIDYzLjgwMzMgMi4xMjgzMiA2Ni40NjUzIDIuMTE1&#10;MTQgNjkuMTI3NCAyLjEwMTk2TDY5LjEzNCAyLjEwMTk2QzY5Ljg1ODggMi4xMDE5NiA3MC40NDUz&#10;IDIuNjg4NCA3MC40NTE5IDMuNDEzMjIgNzAuNDUxOSA0LjEzODAzIDY5Ljg2NTQgNC43MzEwNiA2&#10;OS4xNDA2IDQuNzM3NjQgNjYuNDc4NSA0Ljc1MDgyIDYzLjgxNjUgNC43NTc0MSA2MS4xNTQ0IDQu&#10;NzY0TDYxLjE1NDQgNC43NjRaTTIxLjIzNyA0LjcyNDQ3IDIxLjIyMzkgNC43MjQ0N0MxOC41NTUy&#10;IDQuNjk4MTEgMTUuODkzMiA0LjY2NTE2IDEzLjIzMTEgNC42MTkwNCAxMi41MDYzIDQuNjA1ODYg&#10;MTEuOTI2NCA0LjAwNjI0IDExLjkzOTYgMy4yNzQ4NCAxMS45NTI4IDIuNTU2NjIgMTIuNTM5MiAx&#10;Ljk4MzM2IDEzLjI1NzUgMS45ODMzNkwxMy4yODM5IDEuOTgzMzZDMTUuOTM5MyAyLjAyOTQ4IDE4&#10;LjU5NDggMi4wNjI0MiAyMS4yNTAyIDIuMDg4NzggMjEuOTc1IDIuMDg4NzggMjIuNTYxNCAyLjY4&#10;ODQgMjIuNTU0OCAzLjQxOTggMjIuNTU0OCA0LjE0NDYyIDIxLjk2MTkgNC43MjQ0NyAyMS4yMzcg&#10;NC43MjQ0N1pNNzcuMTEzNSA0LjY5MTUyQzc2LjM4ODggNC42OTE1MiA3NS44MDIzIDQuMTExNjcg&#10;NzUuNzk1NyAzLjM4Njg1IDc1Ljc5NTcgMi42NjIwNCA3Ni4zNzU2IDIuMDYyNDIgNzcuMTAwMyAy&#10;LjA1NTgzIDc5Ljc2MjEgMi4wMzYwNyA4Mi40MTggMi4wMDk3MSA4NS4wODAzIDEuOTgzMzZMODUu&#10;MDkzIDEuOTgzMzZDODUuODExNiAxLjk4MzM2IDg2LjQwNDcgMi41NjMyMSA4Ni40MTEgMy4yODgw&#10;MiA4Ni40MTc0IDQuMDEyODMgODUuODM3OCA0LjYxMjQ1IDg1LjEwNjUgNC42MTkwNCA4Mi40NDQy&#10;IDQuNjQ1MzkgNzkuNzgxOSA0LjY3MTc1IDc3LjEyMDEgNC42OTE1Mkw3Ny4xMDY5IDQuNjkxNTJa&#10;TTkzLjA3OSA0LjUxMzYxQzkyLjM2MTMgNC41MTM2MSA5MS43NzQ1IDMuOTMzNzYgOTEuNzYxIDMu&#10;MjE1NTMgOTEuNzQ4MyAyLjQ5MDcyIDkyLjMzNDMgMS44OTExIDkzLjA1OTIgMS44Nzc5MyA5NC40&#10;MDM0IDEuODU4MTYgOTUuNzQ3NyAxLjgzODM5IDk3LjA5ODMgMS44MTIwNCA5OC40MSAxLjc5MjI2&#10;IDk5LjcyMDggMS43NTkzMiAxMDEuMDI2IDEuNzI2MzcgMTAxLjc0NCAxLjY5MzQzIDEwMi4zNTcg&#10;Mi4yNzk4NyAxMDIuMzc3IDMuMDExMjcgMTAyLjM5NyAzLjczNjA4IDEwMS44MjMgNC4zNDIyOSAx&#10;MDEuMDkyIDQuMzYyMDYgOTkuNzc0IDQuMzk1IDk4LjQ1NiA0LjQyMTM2IDk3LjEzOCA0LjQ0Nzcy&#10;IDk1Ljc5MzcgNC40Njc0OSA5NC40NDMxIDQuNDkzODQgOTMuMDk4OSA0LjUxMzYxTDkzLjA3OSA0&#10;LjUxMzYxWk0xMDkuMDM4IDQuMTA1MDhDMTA4LjMzMyA0LjEwNTA4IDEwNy43NDcgMy41NDUgMTA3&#10;LjcyIDIuODM5OTUgMTA3LjY5NCAyLjExNTE0IDEwOC4yNjEgMS41MDIzNCAxMDguOTg1IDEuNDY5&#10;MzkgMTExLjY0MSAxLjM2Mzk3IDExNC4yOTYgMS4yNTE5NSAxMTYuOTUyIDEuMTMzMzUgMTE3LjY2&#10;NCAxLjEwMDQgMTE4LjI5NiAxLjY2MDQ4IDExOC4zMjkgMi4zOTE4OSAxMTguMzYyIDMuMTE2NyAx&#10;MTcuODAyIDMuNzM2MDggMTE3LjA3MSAzLjc2OTAzIDExNC40MDggMy44ODc2NCAxMTEuNzQ3IDQu&#10;MDA2MjQgMTA5LjA4NCA0LjEwNTA4IDEwOS4wNjUgNC4xMDUwOCAxMDkuMDUxIDQuMTA1MDggMTA5&#10;LjAzMiA0LjEwNTA4Wk0xMjQuOTkxIDMuNDA2NjNDMTI0LjI5MiAzLjQwNjYzIDEyMy43MDYgMi44&#10;NTMxMyAxMjMuNjczIDIuMTQ4MDggMTIzLjY0IDEuNDIzMjcgMTI0LjIwNyAwLjgwMzg4NSAxMjQu&#10;OTMxIDAuNzcwOTM4IDEyNy41OTMgMC42NTIzMzIgMTMwLjI1NiAwLjU0MDMxNSAxMzIuOTE3IDAu&#10;NDM0ODg4IDEzMy42NTYgMC4zODg3NjQgMTM0LjI1NSAwLjk3NTIwNyAxMzQuMjg4IDEuNzAwMDIg&#10;MTM0LjMxNSAyLjQyNDgzIDEzMy43NDggMy4wMzc2MyAxMzMuMDIzIDMuMDcwNTcgMTMwLjM2OCAz&#10;LjE2OTQxIDEyNy43MTIgMy4yODgwMiAxMjUuMDU3IDMuNDA2NjMgMTI1LjAzNyAzLjQwNjYzIDEy&#10;NS4wMTcgMy40MDY2MyAxMjQuOTk3IDMuNDA2NjNaTTE4MC44NjEgMi44MzMzNiAxODAuODQ4IDIu&#10;ODMzMzYgMTcyLjg2OCAyLjc0NzdDMTcyLjE0MyAyLjc0MTExIDE3MS41NTYgMi4xNDE1IDE3MS41&#10;NjQgMS40MTY2OCAxNzEuNTcgMC42OTE4NjcgMTcyLjE4MyAwLjA5MjI0OTMgMTcyLjg5NCAwLjEx&#10;MjAxN0wxODAuODc0IDAuMTk3Njc3QzE4MS41OTkgMC4yMDQyNjUgMTgyLjE4NSAwLjgwMzg4NSAx&#10;ODIuMTc5IDEuNTI4NyAxODIuMTcyIDIuMjUzNTEgMTgxLjU4NSAyLjgzMzM2IDE4MC44NjEgMi44&#10;MzMzNlpNMTQwLjk1IDIuODEzNTlDMTQwLjIzOCAyLjgxMzU5IDEzOS42NTIgMi4yNDY5MiAxMzku&#10;NjMyIDEuNTI4NyAxMzkuNjEyIDAuODAzODg1IDE0MC4xOTIgMC4xOTc2NzcgMTQwLjkxNyAwLjE3&#10;NzkwOCAxNDIuMjYxIDAuMTQ0OTYzIDE0My41OTkgMC4xMTg2MDYgMTQ0LjkzNiAwLjA5MjI0OTMg&#10;MTQ2LjI2IDAuMDcyNDgxMyAxNDcuNTkyIDAuMDUyNzEzNyAxNDguOTE2IDAuMDM5NTM1MkwxNDgu&#10;OTI5IDAuMDM5NTM1MkMxNDkuNjU0IDAuMDM5NTM1MiAxNTAuMjQxIDAuNjE5Mzg2IDE1MC4yNDcg&#10;MS4zNDQyIDE1MC4yNTQgMi4wNjkwMSAxNDkuNjY3IDIuNjY4NjMgMTQ4Ljk0MyAyLjY3NTIyIDE0&#10;Ny42MjQgMi42ODg0IDE0Ni4zIDIuNzAxNTggMTQ0Ljk4MyAyLjcyNzkzIDE0My42NTEgMi43NDc3&#10;IDE0Mi4zMTQgMi43NzQwNiAxNDAuOTgzIDIuODA3IDE0MC45NyAyLjgwNyAxNDAuOTYzIDIuODA3&#10;IDE0MC45NSAyLjgwN1pNMTY0Ljg5NSAyLjY3NTIyIDE2NC44ODggMi42NzUyMkMxNjIuMjMzIDIu&#10;NjU1NDUgMTU5LjU3NyAyLjY0MjI3IDE1Ni45MTYgMi42NDIyNyAxNTYuMTkxIDIuNjQyMjcgMTU1&#10;LjU5OCAyLjA0OTI0IDE1NS41OTggMS4zMjQ0MyAxNTUuNTk4IDAuNTk5NjE4IDE1Ni4xOTEgMC4w&#10;MDY1ODkyMSAxNTYuOTE2IDAuMDA2NTg5MjFMMTU2LjkxNiAwLjAwNjU4OTIxQzE1OS41ODQgMC4w&#10;MDY1ODkyMSAxNjIuMjQ2IDAuMDE5NzY3NyAxNjQuOTA4IDAuMDM5NTM1MiAxNjUuNjMzIDAuMDM5&#10;NTM1MiAxNjYuMjE5IDAuNjM5MTUzIDE2Ni4yMTkgMS4zNjM5NyAxNjYuMjE5IDIuMDg4NzggMTY1&#10;LjYyNyAyLjY3NTIyIDE2NC45MDIgMi42NzUyMloiIGZpbGw9IiNGRkZGRkYiIHRyYW5zZm9ybT0i&#10;bWF0cml4KDEuMTU4MDMgMCAwIDEgMjU3Ljg3NiA1NjkuMjk4KSIvPjxwYXRoIGQ9Ik0xOTIuNzg3&#10;IDIuOTI1NjEgMTkyLjc4NyAyLjkyNTYxQzE5MS40NjkgMi45MjU2MSAxOTAuMTUxIDIuOTEyNDMg&#10;MTg4LjgyNyAyLjg5OTI1IDE4OC4xMDMgMi44OTkyNSAxODcuNTE2IDIuMjk5NjQgMTg3LjUxNiAx&#10;LjU3NDgyIDE4Ny41MTYgMC44NTAwMDkgMTg4LjEwOSAwLjI2MzU2OCAxODguODM0IDAuMjYzNTY4&#10;TDE4OC44NDcgMC4yNjM1NjhDMTkwLjE2NSAwLjI3MDE1OCAxOTEuNDgzIDAuMjgzMzM2IDE5Mi43&#10;OTQgMC4yODk5MjUgMTkzLjUxOCAwLjI4OTkyNSAxOTQuMTEyIDAuODgyOTUyIDE5NC4xMDUgMS42&#10;MTQzNiAxOTQuMTA1IDIuMzM5MTcgMTkzLjUxMiAyLjkyNTYxIDE5Mi43ODcgMi45MjU2MVoiIGZp&#10;bGw9IiNGRkZGRkYiIHRyYW5zZm9ybT0ibWF0cml4KDEuMTU4MDMgMCAwIDEgMjU3Ljg3NiA1Njku&#10;Mjk4KSIvPjwvZz48L2c+PC9nPjxnIGNsaXAtcGF0aD0idXJsKCNjbGlwMjMyKSI+PGcgY2xpcC1w&#10;YXRoPSJ1cmwoI2NsaXAyMzMpIj48ZyBjbGlwLXBhdGg9InVybCgjY2xpcDIzNCkiPjxwYXRoIGQ9&#10;Ik00LjM5MjgxIDMuNjc4OThDNC4zOTI4MSAzLjY3ODk4IDQuMzcwODQgMy42Nzg5OCA0LjM1OTg2&#10;IDMuNjc4OTggMy4yNTYxNyAzLjY0NjAzIDIuMTU3OTYgMy42MDc1OSAxLjA1OTc3IDMuNTYzNjYg&#10;MC40NTAyNjMgMy41MzYyMS0wLjAyMTk2NCAzLjAyNTU0IDAgMi40MTYwNSAwLjAyMTk2NCAxLjgx&#10;MjA0IDAuNTMyNjI4IDEuMzQ1MyAxLjE0MjEzIDEuMzYxNzcgMi4yMzQ4NCAxLjQwNTcgMy4zMjc1&#10;NSAxLjQ0NDE0IDQuNDI1NzYgMS40NzcwOCA1LjAyOTc3IDEuNDkzNTUgNS41MDc0OSAyLjAwNDIx&#10;IDUuNDkxMDEgMi42MDgyMyA1LjQ3NDUzIDMuMjAxMjYgNC45ODU4NCAzLjY3MzQ5IDQuMzkyODEg&#10;My42NzM0OVoiIGZpbGw9IiNGRkZGRkYiIHRyYW5zZm9ybT0ibWF0cml4KDEuMzg5NjQgMCAwIDEg&#10;MjU3Ljg3NiA2MzIuMDI0KSIvPjxwYXRoIGQ9Ik00NC4zMDE1IDMuOTcgMzcuNjUxOSAzLjk3QzM3&#10;LjA0NzkgMy45NyAzNi41NTM2IDMuNDc1ODEgMzYuNTUzNiAyLjg2NjMxIDM2LjU1MzYgMi4yNTY4&#10;IDM3LjA0NzkgMS43NjgxIDM3LjY1MTkgMS43NjgxTDQ0LjMwNjkgMS43NjgxQzQ0LjkxMDkgMS43&#10;NjgxIDQ1LjQwNTEgMi4yNjc3OSA0NS40MDUxIDIuODcxNzkgNDUuNDA1MSAzLjQ3NTgxIDQ0Ljkx&#10;MDkgMy45NyA0NC4zMDY5IDMuOTdaTTI4LjczNDUgMy45N0MyNy4yNjgzIDMuOTcgMjUuODA3OCAz&#10;Ljk3IDI0LjM0NzEgMy45NyAyMy43NDMxIDMuOTcgMjMuMjQ5IDMuNDc1ODEgMjMuMjQ5IDIuODcx&#10;NzkgMjMuMjQ5IDIuMjY3NzkgMjMuNzQzMSAxLjc3MzYgMjQuMzQ3MSAxLjc3MzZMMjQuMzQ3MSAx&#10;Ljc3MzZDMjUuODA3OCAxLjc3MzYgMjcuMjY4MyAxLjc3MzYgMjguNzM0NSAxLjc3MzZMMzAuOTk2&#10;NyAxLjc3MzZDMzAuOTk2NyAxLjc3MzYgMzAuOTk2NyAxLjc3MzYgMzAuOTk2NyAxLjc3MzYgMzEu&#10;NjAwNyAxLjc3MzYgMzIuMDk1IDIuMjYyMyAzMi4wOTUgMi44NzE3OSAzMi4wOTUgMy40ODEzIDMx&#10;LjYwNjMgMy45NyAzMC45OTY3IDMuOTdMMjguNzI5IDMuOTdaTTUwLjk1NjUgMy45N0M1MC4zNTI1&#10;IDMuOTcgNDkuODU4NCAzLjQ4MTMgNDkuODU4NCAyLjg3MTc5IDQ5Ljg1ODQgMi4yNjc3OSA1MC4z&#10;NDcxIDEuNzczNiA1MC45NTY1IDEuNzczNiA1My4xNjk0IDEuNzczNiA1NS4zODc5IDEuNzYyNjIg&#10;NTcuNjA2MiAxLjc1MTY0TDU3LjYxMTcgMS43NTE2NEM1OC4yMTU3IDEuNzUxNjQgNTguNzA0NCAy&#10;LjI0MDMzIDU4LjcwOTkgMi44NDQzNSA1OC43MDk5IDMuNDQ4MzYgNTguMjIxMiAzLjk0MjU0IDU3&#10;LjYxNzIgMy45NDgwNCA1NS4zOTg4IDMuOTU5MDIgNTMuMTgwNSAzLjk2NDUxIDUwLjk2MjEgMy45&#10;N0w1MC45NjIxIDMuOTdaTTE3LjY5NzUgMy45MzcwNiAxNy42ODY1IDMuOTM3MDZDMTUuNDYyNyAz&#10;LjkxNTA5IDEzLjI0NDMgMy44ODc2NCAxMS4wMjYgMy44NDkyIDEwLjQyMiAzLjgzODIxIDkuOTM4&#10;NzQgMy4zMzg1MyA5Ljk0OTY5IDIuNzI5MDMgOS45NjA3MyAyLjEzMDUxIDEwLjQ0OTQgMS42NTI3&#10;OSAxMS4wNDc5IDEuNjUyNzlMMTEuMDY5OSAxLjY1Mjc5QzEzLjI4MjcgMS42OTEyMyAxNS40OTU2&#10;IDEuNzE4NjggMTcuNzA4NSAxLjc0MDY1IDE4LjMxMjUgMS43NDA2NSAxOC44MDEyIDIuMjQwMzMg&#10;MTguNzk1NyAyLjg0OTgzIDE4Ljc5NTcgMy40NTM4NCAxOC4zMDE1IDMuOTM3MDYgMTcuNjk3NSAz&#10;LjkzNzA2Wk02NC4yNjEzIDMuOTA5NkM2My42NTczIDMuOTA5NiA2My4xNjg2IDMuNDI2MzkgNjMu&#10;MTYzMSAyLjgyMjM4IDYzLjE2MzEgMi4yMTgzNiA2My42NDYzIDEuNzE4NjggNjQuMjUwMyAxLjcx&#10;MzIgNjYuNDY4NyAxLjY5NjcyIDY4LjY4MTYgMS42NzQ3NiA3MC44OTk5IDEuNjUyNzlMNzAuOTEw&#10;OSAxLjY1Mjc5QzcxLjUwOTQgMS42NTI3OSA3Mi4wMDM3IDIuMTM2IDcyLjAwOTEgMi43NDAwMSA3&#10;Mi4wMTQ2IDMuMzQ0MDMgNzEuNTMxNCAzLjg0MzcxIDcwLjkyMTkgMy44NDkyIDY4LjcwMzYgMy44&#10;NzExNiA2Ni40ODUxIDMuODkzMTMgNjQuMjY2OCAzLjkwOTZMNjQuMjU1OCAzLjkwOTZaTTc3LjU2&#10;NiAzLjc2MTM0Qzc2Ljk2NzUgMy43NjEzNCA3Ni40Nzg4IDMuMjc4MTMgNzYuNDY3OCAyLjY3OTYy&#10;IDc2LjQ1NjggMi4wNzU2IDc2Ljk0NTUgMS41NzU5MiA3Ny41NDk1IDEuNTY0OTMgNzguNjY5NyAx&#10;LjU0ODQ3IDc5Ljc4OTkgMS41MzE5OSA4MC45MTU3IDEuNTEwMDMgODIuMDA4MyAxLjQ5MzU1IDgz&#10;LjEwMDggMS40NjYxIDg0LjE4NzggMS40Mzg2NCA4NC43ODY1IDEuNDExMTkgODUuMjk3IDEuODk5&#10;ODkgODUuMzEzNyAyLjUwOTM5IDg1LjMzMDQgMy4xMTM0IDg0Ljg1MjQgMy42MTg1OCA4NC4yNDM0&#10;IDMuNjM1MDUgODMuMTQ0NSAzLjY2MjUgODIuMDQ2NCAzLjY4NDQ3IDgwLjk0ODMgMy43MDY0MyA3&#10;OS44MjggMy43MjI5MSA3OC43MDI2IDMuNzQ0ODcgNzcuNTgyNSAzLjc2MTM0TDc3LjU2NiAzLjc2&#10;MTM0Wk05MC44NjU0IDMuNDIwOUM5MC4yNzc4IDMuNDIwOSA4OS43ODg3IDIuOTU0MTYgODkuNzY3&#10;MyAyLjM2NjYzIDg5Ljc0NSAxLjc2MjYyIDkwLjIxNzUgMS4yNTE5NSA5MC44MjE3IDEuMjI0NSA5&#10;My4wMzQ2IDEuMTM2NjQgOTUuMjQ3NSAxLjA0MzI5IDk3LjQ2MDMgMC45NDQ0NTUgOTguMDUyNyAw&#10;LjkxNjk5OSA5OC41Nzk5IDEuMzgzNzQgOTguNjA3NyAxLjk5MzIzIDk4LjYzNDcgMi41OTcyNSA5&#10;OC4xNjg2IDMuMTEzNCA5Ny41NTg4IDMuMTQwODYgOTUuMzQwMyAzLjIzOTcgOTMuMTIxOSAzLjMz&#10;ODUzIDkwLjkwMzUgMy40MjA5IDkwLjg4NjggMy40MjA5IDkwLjg3NjUgMy40MjA5IDkwLjg1OTgg&#10;My40MjA5Wk0xMDQuMTU5IDIuODM4ODVDMTAzLjU3NyAyLjgzODg1IDEwMy4wODggMi4zNzc2MSAx&#10;MDMuMDYgMS43OTAwNyAxMDMuMDMzIDEuMTg2MDYgMTAzLjUwNiAwLjY2OTkwMyAxMDQuMTA5IDAu&#10;NjQyNDQ4IDEwNi4zMjggMC41NDM2MSAxMDguNTQ2IDAuNDUwMjYzIDExMC43NjUgMC4zNjI0MDcg&#10;MTExLjM4IDAuMzIzOTY5IDExMS44NzkgMC44MTI2NjcgMTExLjkwNyAxLjQxNjY4IDExMS45Mjkg&#10;Mi4wMjA2OSAxMTEuNDU2IDIuNTMxMzYgMTEwLjg1MyAyLjU1ODgxIDEwOC42NCAyLjY0MTE4IDEw&#10;Ni40MjcgMi43NDAwMSAxMDQuMjE0IDIuODM4ODUgMTA0LjE5NyAyLjgzODg1IDEwNC4xODEgMi44&#10;Mzg4NSAxMDQuMTY0IDIuODM4ODVaTTE1MC43MTcgMi4zNjExMyAxNTAuNzA2IDIuMzYxMTMgMTQ0&#10;LjA1NyAyLjI4OTc1QzE0My40NTMgMi4yODQyNiAxNDIuOTY0IDEuNzg0NTggMTQyLjk2OSAxLjE4&#10;MDU3IDE0Mi45NzUgMC41NzY1NTYgMTQzLjQ4NSAwLjA3Njg3NDEgMTQ0LjA3OCAwLjA5MzM0NzRM&#10;MTUwLjcyOCAwLjE2NDczQzE1MS4zMzIgMC4xNzAyMjIgMTUxLjgyMSAwLjY2OTkwMyAxNTEuODE1&#10;IDEuMjczOTIgMTUxLjgxIDEuODc3OTMgMTUxLjMyMSAyLjM2MTEzIDE1MC43MTcgMi4zNjExM1pN&#10;MTE3LjQ1OCAyLjM0NDY2QzExNi44NjUgMi4zNDQ2NiAxMTYuMzc3IDEuODcyNDMgMTE2LjM2IDEu&#10;MjczOTIgMTE2LjM0MyAwLjY2OTkwMyAxMTYuODI3IDAuMTY0NzMgMTE3LjQzMSAwLjE0ODI1NyAx&#10;MTguNTUxIDAuMTIwODAyIDExOS42NjUgMC4wOTg4Mzc5IDEyMC43OCAwLjA3Njg3NDEgMTIxLjg4&#10;NCAwLjA2MDQwMTEgMTIyLjk5MyAwLjA0MzkyODEgMTI0LjA5NyAwLjAzMjk0NjFMMTI0LjEwOCAw&#10;LjAzMjk0NjFDMTI0LjcxMiAwLjAzMjk0NjEgMTI1LjIgMC41MTYxNTUgMTI1LjIwNiAxLjEyMDE3&#10;IDEyNS4yMTEgMS43MjQxOCAxMjQuNzIzIDIuMjIzODYgMTI0LjExOSAyLjIyOTM1IDEyMy4wMjEg&#10;Mi4yNDAzMyAxMjEuOTE3IDIuMjUxMzIgMTIwLjgxOSAyLjI3MzI4IDExOS43MSAyLjI4OTc1IDEx&#10;OC41OTUgMi4zMTE3MiAxMTcuNDg2IDIuMzM5MTcgMTE3LjQ3NSAyLjMzOTE3IDExNy40NjkgMi4z&#10;MzkxNyAxMTcuNDU4IDIuMzM5MTdaTTEzNy40MTMgMi4yMjkzNSAxMzcuNDA3IDIuMjI5MzVDMTM1&#10;LjE5NCAyLjIxMjg4IDEzMi45ODIgMi4yMDE5IDEzMC43NjMgMi4yMDE5IDEzMC4xNTkgMi4yMDE5&#10;IDEyOS42NjUgMS43MDc3IDEyOS42NjUgMS4xMDM2OSAxMjkuNjY1IDAuNDk5NjgyIDEzMC4xNTkg&#10;MC4wMDU0OTEwMSAxMzAuNzYzIDAuMDA1NDkxMDFMMTMwLjc2MyAwLjAwNTQ5MTAxQzEzMi45ODcg&#10;MC4wMDU0OTEwMSAxMzUuMjA2IDAuMDE2NDczIDEzNy40MjMgMC4wMzI5NDYxIDEzOC4wMjcgMC4w&#10;MzI5NDYxIDEzOC41MTYgMC41MzI2MjggMTM4LjUxNiAxLjEzNjY0IDEzOC41MTYgMS43NDA2NSAx&#10;MzguMDIyIDIuMjI5MzUgMTM3LjQxOCAyLjIyOTM1WiIgZmlsbD0iI0ZGRkZGRiIgdHJhbnNmb3Jt&#10;PSJtYXRyaXgoMS4zODk2NCAwIDAgMSAyNTcuODc2IDYzMi4wMjQpIi8+PHBhdGggZD0iTTE2MC42&#10;NTYgMi40MzgwMSAxNjAuNjU2IDIuNDM4MDFDMTU5LjU1NyAyLjQzODAxIDE1OC40NTkgMi40Mjcw&#10;MyAxNTcuMzU2IDIuNDE2MDUgMTU2Ljc1MSAyLjQxNjA1IDE1Ni4yNjMgMS45MTYzNiAxNTYuMjYz&#10;IDEuMzEyMzYgMTU2LjI2MyAwLjcwODM0IDE1Ni43NTcgMC4yMTk2NCAxNTcuMzYxIDAuMjE5NjRM&#10;MTU3LjM3MiAwLjIxOTY0QzE1OC40NzEgMC4yMjUxMzIgMTU5LjU2OSAwLjIzNjExMyAxNjAuNjYx&#10;IDAuMjQxNjA1IDE2MS4yNjUgMC4yNDE2MDUgMTYxLjc2IDAuNzM1Nzk1IDE2MS43NTQgMS4zNDUz&#10;IDE2MS43NTQgMS45NDkzMSAxNjEuMjYgMi40MzgwMSAxNjAuNjU2IDIuNDM4MDFaIiBmaWxsPSIj&#10;RkZGRkZGIiB0cmFuc2Zvcm09Im1hdHJpeCgxLjM4OTY0IDAgMCAxIDI1Ny44NzYgNjMyLjAyNCki&#10;Lz48L2c+PC9nPjwvZz48ZyBjbGlwLXBhdGg9InVybCgjY2xpcDIzNSkiPjxnIGNsaXAtcGF0aD0i&#10;dXJsKCNjbGlwMjM2KSI+PGcgY2xpcC1wYXRoPSJ1cmwoI2NsaXAyMzcpIj48cGF0aCBkPSJNNS4y&#10;NzEzNyA0LjQxNDc4QzUuMjcxMzcgNC40MTQ3OCA1LjI0NTAxIDQuNDE0NzggNS4yMzE4MyA0LjQx&#10;NDc4IDMuOTA3NCA0LjM3NTIzIDIuNTg5NTYgNC4zMjkxMSAxLjI3MTcyIDQuMjc2NCAwLjU0MDMx&#10;NSA0LjI0MzQ1LTAuMDI2MzU2OCAzLjYzMDY1IDAgMi44OTkyNSAwLjAyNjM1NjggMi4xNzQ0NCAw&#10;LjYzOTE1MyAxLjYxNDM2IDEuMzcwNTYgMS42MzQxMiAyLjY4MTgxIDEuNjg2ODQgMy45OTMwNyAx&#10;LjczMjk2IDUuMzEwOTEgMS43NzI1IDYuMDM1NzIgMS43OTIyNiA2LjYwODk4IDIuNDA1MDcgNi41&#10;ODkyMiAzLjEyOTg4IDYuNTY5NDUgMy44NDE1MSA1Ljk4MyA0LjQwODE5IDUuMjcxMzcgNC40MDgx&#10;OVoiIGZpbGw9IiNGRkZGRkYiIHRyYW5zZm9ybT0ibWF0cml4KDEuMjg4NDYgMCAwIDEgNTI3LjMw&#10;OCA0ODkuODk4KSIvPjxwYXRoIGQ9Ik01My4xNjE4IDQuNzY0IDQ1LjE4MjMgNC43NjRDNDQuNDU3&#10;NCA0Ljc2NCA0My44NjQ0IDQuMTcwOTcgNDMuODY0NCAzLjQzOTU3IDQzLjg2NDQgMi43MDgxNyA0&#10;NC40NTc0IDIuMTIxNzMgNDUuMTgyMyAyLjEyMTczTDUzLjE2ODQgMi4xMjE3M0M1My44OTMyIDIu&#10;MTIxNzMgNTQuNDg2MiAyLjcyMTM1IDU0LjQ4NjIgMy40NDYxNiA1NC40ODYyIDQuMTcwOTcgNTMu&#10;ODkzMiA0Ljc2NCA1My4xNjg0IDQuNzY0Wk0zNC40ODE0IDQuNzY0QzMyLjcyMiA0Ljc2NCAzMC45&#10;NjkzIDQuNzY0IDI5LjIxNjYgNC43NjQgMjguNDkxNyA0Ljc2NCAyNy44OTg3IDQuMTcwOTcgMjcu&#10;ODk4NyAzLjQ0NjE2IDI3Ljg5ODcgMi43MjEzNSAyOC40OTE3IDIuMTI4MzIgMjkuMjE2NiAyLjEy&#10;ODMyTDI5LjIxNjYgMi4xMjgzMkMzMC45NjkzIDIuMTI4MzIgMzIuNzIyIDIuMTI4MzIgMzQuNDgx&#10;NCAyLjEyODMyTDM3LjE5NjEgMi4xMjgzMkMzNy4xOTYxIDIuMTI4MzIgMzcuMTk2MSAyLjEyODMy&#10;IDM3LjE5NjEgMi4xMjgzMiAzNy45MjA5IDIuMTI4MzIgMzguNTEzOSAyLjcxNDc2IDM4LjUxMzkg&#10;My40NDYxNiAzOC41MTM5IDQuMTc3NTYgMzcuOTI3NSA0Ljc2NCAzNy4xOTYxIDQuNzY0TDM0LjQ3&#10;NDggNC43NjRaTTYxLjE0NzkgNC43NjRDNjAuNDIzMSA0Ljc2NCA1OS44MyA0LjE3NzU2IDU5Ljgz&#10;IDMuNDQ2MTYgNTkuODMgMi43MjEzNSA2MC40MTY1IDIuMTI4MzIgNjEuMTQ3OSAyLjEyODMyIDYz&#10;LjgwMzMgMi4xMjgzMiA2Ni40NjUzIDIuMTE1MTQgNjkuMTI3NCAyLjEwMTk2TDY5LjEzNCAyLjEw&#10;MTk2QzY5Ljg1ODggMi4xMDE5NiA3MC40NDUzIDIuNjg4NCA3MC40NTE5IDMuNDEzMjIgNzAuNDUx&#10;OSA0LjEzODAzIDY5Ljg2NTQgNC43MzEwNiA2OS4xNDA2IDQuNzM3NjQgNjYuNDc4NSA0Ljc1MDgy&#10;IDYzLjgxNjUgNC43NTc0MSA2MS4xNTQ0IDQuNzY0TDYxLjE1NDQgNC43NjRaTTIxLjIzNyA0Ljcy&#10;NDQ3IDIxLjIyMzkgNC43MjQ0N0MxOC41NTUyIDQuNjk4MTEgMTUuODkzMiA0LjY2NTE2IDEzLjIz&#10;MTEgNC42MTkwNCAxMi41MDYzIDQuNjA1ODYgMTEuOTI2NCA0LjAwNjI0IDExLjkzOTYgMy4yNzQ4&#10;NCAxMS45NTI4IDIuNTU2NjIgMTIuNTM5MiAxLjk4MzM2IDEzLjI1NzUgMS45ODMzNkwxMy4yODM5&#10;IDEuOTgzMzZDMTUuOTM5MyAyLjAyOTQ4IDE4LjU5NDggMi4wNjI0MiAyMS4yNTAyIDIuMDg4Nzgg&#10;MjEuOTc1IDIuMDg4NzggMjIuNTYxNCAyLjY4ODQgMjIuNTU0OCAzLjQxOTggMjIuNTU0OCA0LjE0&#10;NDYyIDIxLjk2MTkgNC43MjQ0NyAyMS4yMzcgNC43MjQ0N1pNNzcuMTEzNSA0LjY5MTUyQzc2LjM4&#10;ODggNC42OTE1MiA3NS44MDIzIDQuMTExNjcgNzUuNzk1NyAzLjM4Njg1IDc1Ljc5NTcgMi42NjIw&#10;NCA3Ni4zNzU2IDIuMDYyNDIgNzcuMTAwMyAyLjA1NTgzIDc5Ljc2MjEgMi4wMzYwNyA4Mi40MTgg&#10;Mi4wMDk3MSA4NS4wODAzIDEuOTgzMzZMODUuMDkzIDEuOTgzMzZDODUuODExNiAxLjk4MzM2IDg2&#10;LjQwNDcgMi41NjMyMSA4Ni40MTEgMy4yODgwMiA4Ni40MTc0IDQuMDEyODMgODUuODM3OCA0LjYx&#10;MjQ1IDg1LjEwNjUgNC42MTkwNCA4Mi40NDQyIDQuNjQ1MzkgNzkuNzgxOSA0LjY3MTc1IDc3LjEy&#10;MDEgNC42OTE1Mkw3Ny4xMDY5IDQuNjkxNTJaTTkzLjA3OSA0LjUxMzYxQzkyLjM2MTMgNC41MTM2&#10;MSA5MS43NzQ1IDMuOTMzNzYgOTEuNzYxIDMuMjE1NTMgOTEuNzQ4MyAyLjQ5MDcyIDkyLjMzNDMg&#10;MS44OTExIDkzLjA1OTIgMS44Nzc5MyA5NC40MDM0IDEuODU4MTYgOTUuNzQ3NyAxLjgzODM5IDk3&#10;LjA5ODMgMS44MTIwNCA5OC40MSAxLjc5MjI2IDk5LjcyMDggMS43NTkzMiAxMDEuMDI2IDEuNzI2&#10;MzcgMTAxLjc0NCAxLjY5MzQzIDEwMi4zNTcgMi4yNzk4NyAxMDIuMzc3IDMuMDExMjcgMTAyLjM5&#10;NyAzLjczNjA4IDEwMS44MjMgNC4zNDIyOSAxMDEuMDkyIDQuMzYyMDYgOTkuNzc0IDQuMzk1IDk4&#10;LjQ1NiA0LjQyMTM2IDk3LjEzOCA0LjQ0NzcyIDk1Ljc5MzcgNC40Njc0OSA5NC40NDMxIDQuNDkz&#10;ODQgOTMuMDk4OSA0LjUxMzYxTDkzLjA3OSA0LjUxMzYxWk0xMDkuMDM4IDQuMTA1MDhDMTA4LjMz&#10;MyA0LjEwNTA4IDEwNy43NDcgMy41NDUgMTA3LjcyIDIuODM5OTUgMTA3LjY5NCAyLjExNTE0IDEw&#10;OC4yNjEgMS41MDIzNCAxMDguOTg1IDEuNDY5MzkgMTExLjY0MSAxLjM2Mzk3IDExNC4yOTYgMS4y&#10;NTE5NSAxMTYuOTUyIDEuMTMzMzUgMTE3LjY2NCAxLjEwMDQgMTE4LjI5NiAxLjY2MDQ4IDExOC4z&#10;MjkgMi4zOTE4OSAxMTguMzYyIDMuMTE2NyAxMTcuODAyIDMuNzM2MDggMTE3LjA3MSAzLjc2OTAz&#10;IDExNC40MDggMy44ODc2NCAxMTEuNzQ3IDQuMDA2MjQgMTA5LjA4NCA0LjEwNTA4IDEwOS4wNjUg&#10;NC4xMDUwOCAxMDkuMDUxIDQuMTA1MDggMTA5LjAzMiA0LjEwNTA4Wk0xMjQuOTkxIDMuNDA2NjND&#10;MTI0LjI5MiAzLjQwNjYzIDEyMy43MDYgMi44NTMxMyAxMjMuNjczIDIuMTQ4MDggMTIzLjY0IDEu&#10;NDIzMjcgMTI0LjIwNyAwLjgwMzg4NSAxMjQuOTMxIDAuNzcwOTM4IDEyNy41OTMgMC42NTIzMzIg&#10;MTMwLjI1NiAwLjU0MDMxNSAxMzIuOTE3IDAuNDM0ODg4IDEzMy42NTYgMC4zODg3NjQgMTM0LjI1&#10;NSAwLjk3NTIwNyAxMzQuMjg4IDEuNzAwMDIgMTM0LjMxNSAyLjQyNDgzIDEzMy43NDggMy4wMzc2&#10;MyAxMzMuMDIzIDMuMDcwNTcgMTMwLjM2OCAzLjE2OTQxIDEyNy43MTIgMy4yODgwMiAxMjUuMDU3&#10;IDMuNDA2NjMgMTI1LjAzNyAzLjQwNjYzIDEyNS4wMTcgMy40MDY2MyAxMjQuOTk3IDMuNDA2NjNa&#10;TTE4MC44NjEgMi44MzMzNiAxODAuODQ4IDIuODMzMzYgMTcyLjg2OCAyLjc0NzdDMTcyLjE0MyAy&#10;Ljc0MTExIDE3MS41NTYgMi4xNDE1IDE3MS41NjQgMS40MTY2OCAxNzEuNTcgMC42OTE4NjcgMTcy&#10;LjE4MyAwLjA5MjI0OTMgMTcyLjg5NCAwLjExMjAxN0wxODAuODc0IDAuMTk3Njc3QzE4MS41OTkg&#10;MC4yMDQyNjUgMTgyLjE4NSAwLjgwMzg4NSAxODIuMTc5IDEuNTI4NyAxODIuMTcyIDIuMjUzNTEg&#10;MTgxLjU4NSAyLjgzMzM2IDE4MC44NjEgMi44MzMzNlpNMTQwLjk1IDIuODEzNTlDMTQwLjIzOCAy&#10;LjgxMzU5IDEzOS42NTIgMi4yNDY5MiAxMzkuNjMyIDEuNTI4NyAxMzkuNjEyIDAuODAzODg1IDE0&#10;MC4xOTIgMC4xOTc2NzcgMTQwLjkxNyAwLjE3NzkwOCAxNDIuMjYxIDAuMTQ0OTYzIDE0My41OTkg&#10;MC4xMTg2MDYgMTQ0LjkzNiAwLjA5MjI0OTMgMTQ2LjI2IDAuMDcyNDgxMyAxNDcuNTkyIDAuMDUy&#10;NzEzNyAxNDguOTE2IDAuMDM5NTM1MkwxNDguOTI5IDAuMDM5NTM1MkMxNDkuNjU0IDAuMDM5NTM1&#10;MiAxNTAuMjQxIDAuNjE5Mzg2IDE1MC4yNDcgMS4zNDQyIDE1MC4yNTQgMi4wNjkwMSAxNDkuNjY3&#10;IDIuNjY4NjMgMTQ4Ljk0MyAyLjY3NTIyIDE0Ny42MjQgMi42ODg0IDE0Ni4zIDIuNzAxNTggMTQ0&#10;Ljk4MyAyLjcyNzkzIDE0My42NTEgMi43NDc3IDE0Mi4zMTQgMi43NzQwNiAxNDAuOTgzIDIuODA3&#10;IDE0MC45NyAyLjgwNyAxNDAuOTYzIDIuODA3IDE0MC45NSAyLjgwN1pNMTY0Ljg5NSAyLjY3NTIy&#10;IDE2NC44ODggMi42NzUyMkMxNjIuMjMzIDIuNjU1NDUgMTU5LjU3NyAyLjY0MjI3IDE1Ni45MTYg&#10;Mi42NDIyNyAxNTYuMTkxIDIuNjQyMjcgMTU1LjU5OCAyLjA0OTI0IDE1NS41OTggMS4zMjQ0MyAx&#10;NTUuNTk4IDAuNTk5NjE4IDE1Ni4xOTEgMC4wMDY1ODkyMSAxNTYuOTE2IDAuMDA2NTg5MjFMMTU2&#10;LjkxNiAwLjAwNjU4OTIxQzE1OS41ODQgMC4wMDY1ODkyMSAxNjIuMjQ2IDAuMDE5NzY3NyAxNjQu&#10;OTA4IDAuMDM5NTM1MiAxNjUuNjMzIDAuMDM5NTM1MiAxNjYuMjE5IDAuNjM5MTUzIDE2Ni4yMTkg&#10;MS4zNjM5NyAxNjYuMjE5IDIuMDg4NzggMTY1LjYyNyAyLjY3NTIyIDE2NC45MDIgMi42NzUyMloi&#10;IGZpbGw9IiNGRkZGRkYiIHRyYW5zZm9ybT0ibWF0cml4KDEuMjg4NDYgMCAwIDEgNTI3LjMwOCA0&#10;ODkuODk4KSIvPjxwYXRoIGQ9Ik0xOTIuNzg3IDIuOTI1NjEgMTkyLjc4NyAyLjkyNTYxQzE5MS40&#10;NjkgMi45MjU2MSAxOTAuMTUxIDIuOTEyNDMgMTg4LjgyNyAyLjg5OTI1IDE4OC4xMDMgMi44OTky&#10;NSAxODcuNTE2IDIuMjk5NjQgMTg3LjUxNiAxLjU3NDgyIDE4Ny41MTYgMC44NTAwMDkgMTg4LjEw&#10;OSAwLjI2MzU2OCAxODguODM0IDAuMjYzNTY4TDE4OC44NDcgMC4yNjM1NjhDMTkwLjE2NSAwLjI3&#10;MDE1OCAxOTEuNDgzIDAuMjgzMzM2IDE5Mi43OTQgMC4yODk5MjUgMTkzLjUxOCAwLjI4OTkyNSAx&#10;OTQuMTEyIDAuODgyOTUyIDE5NC4xMDUgMS42MTQzNiAxOTQuMTA1IDIuMzM5MTcgMTkzLjUxMiAy&#10;LjkyNTYxIDE5Mi43ODcgMi45MjU2MVoiIGZpbGw9IiNGRkZGRkYiIHRyYW5zZm9ybT0ibWF0cml4&#10;KDEuMjg4NDYgMCAwIDEgNTI3LjMwOCA0ODkuODk4KSIvPjwvZz48L2c+PC9nPjxnIGNsaXAtcGF0&#10;aD0idXJsKCNjbGlwMjM4KSI+PGcgY2xpcC1wYXRoPSJ1cmwoI2NsaXAyMzkpIj48ZyBjbGlwLXBh&#10;dGg9InVybCgjY2xpcDI0MCkiPjxwYXRoIGQ9Ik01LjI3MTM3IDQuNDE0NzhDNS4yNzEzNyA0LjQx&#10;NDc4IDUuMjQ1MDEgNC40MTQ3OCA1LjIzMTgzIDQuNDE0NzggMy45MDc0IDQuMzc1MjMgMi41ODk1&#10;NiA0LjMyOTExIDEuMjcxNzIgNC4yNzY0IDAuNTQwMzE1IDQuMjQzNDUtMC4wMjYzNTY4IDMuNjMw&#10;NjUgMCAyLjg5OTI1IDAuMDI2MzU2OCAyLjE3NDQ0IDAuNjM5MTUzIDEuNjE0MzYgMS4zNzA1NiAx&#10;LjYzNDEyIDIuNjgxODEgMS42ODY4NCAzLjk5MzA3IDEuNzMyOTYgNS4zMTA5MSAxLjc3MjUgNi4w&#10;MzU3MiAxLjc5MjI2IDYuNjA4OTggMi40MDUwNyA2LjU4OTIyIDMuMTI5ODggNi41Njk0NSAzLjg0&#10;MTUxIDUuOTgzIDQuNDA4MTkgNS4yNzEzNyA0LjQwODE5WiIgZmlsbD0iI0ZGRkZGRiIgdHJhbnNm&#10;b3JtPSJtYXRyaXgoMS4yODg0NiAwIDAgMSA1MjcuMzA4IDU2MC41NjQpIi8+PHBhdGggZD0iTTUz&#10;LjE2MTggNC43NjQgNDUuMTgyMyA0Ljc2NEM0NC40NTc0IDQuNzY0IDQzLjg2NDQgNC4xNzA5NyA0&#10;My44NjQ0IDMuNDM5NTcgNDMuODY0NCAyLjcwODE3IDQ0LjQ1NzQgMi4xMjE3MyA0NS4xODIzIDIu&#10;MTIxNzNMNTMuMTY4NCAyLjEyMTczQzUzLjg5MzIgMi4xMjE3MyA1NC40ODYyIDIuNzIxMzUgNTQu&#10;NDg2MiAzLjQ0NjE2IDU0LjQ4NjIgNC4xNzA5NyA1My44OTMyIDQuNzY0IDUzLjE2ODQgNC43NjRa&#10;TTM0LjQ4MTQgNC43NjRDMzIuNzIyIDQuNzY0IDMwLjk2OTMgNC43NjQgMjkuMjE2NiA0Ljc2NCAy&#10;OC40OTE3IDQuNzY0IDI3Ljg5ODcgNC4xNzA5NyAyNy44OTg3IDMuNDQ2MTYgMjcuODk4NyAyLjcy&#10;MTM1IDI4LjQ5MTcgMi4xMjgzMiAyOS4yMTY2IDIuMTI4MzJMMjkuMjE2NiAyLjEyODMyQzMwLjk2&#10;OTMgMi4xMjgzMiAzMi43MjIgMi4xMjgzMiAzNC40ODE0IDIuMTI4MzJMMzcuMTk2MSAyLjEyODMy&#10;QzM3LjE5NjEgMi4xMjgzMiAzNy4xOTYxIDIuMTI4MzIgMzcuMTk2MSAyLjEyODMyIDM3LjkyMDkg&#10;Mi4xMjgzMiAzOC41MTM5IDIuNzE0NzYgMzguNTEzOSAzLjQ0NjE2IDM4LjUxMzkgNC4xNzc1NiAz&#10;Ny45Mjc1IDQuNzY0IDM3LjE5NjEgNC43NjRMMzQuNDc0OCA0Ljc2NFpNNjEuMTQ3OSA0Ljc2NEM2&#10;MC40MjMxIDQuNzY0IDU5LjgzIDQuMTc3NTYgNTkuODMgMy40NDYxNiA1OS44MyAyLjcyMTM1IDYw&#10;LjQxNjUgMi4xMjgzMiA2MS4xNDc5IDIuMTI4MzIgNjMuODAzMyAyLjEyODMyIDY2LjQ2NTMgMi4x&#10;MTUxNCA2OS4xMjc0IDIuMTAxOTZMNjkuMTM0IDIuMTAxOTZDNjkuODU4OCAyLjEwMTk2IDcwLjQ0&#10;NTMgMi42ODg0IDcwLjQ1MTkgMy40MTMyMiA3MC40NTE5IDQuMTM4MDMgNjkuODY1NCA0LjczMTA2&#10;IDY5LjE0MDYgNC43Mzc2NCA2Ni40Nzg1IDQuNzUwODIgNjMuODE2NSA0Ljc1NzQxIDYxLjE1NDQg&#10;NC43NjRMNjEuMTU0NCA0Ljc2NFpNMjEuMjM3IDQuNzI0NDcgMjEuMjIzOSA0LjcyNDQ3QzE4LjU1&#10;NTIgNC42OTgxMSAxNS44OTMyIDQuNjY1MTYgMTMuMjMxMSA0LjYxOTA0IDEyLjUwNjMgNC42MDU4&#10;NiAxMS45MjY0IDQuMDA2MjQgMTEuOTM5NiAzLjI3NDg0IDExLjk1MjggMi41NTY2MiAxMi41Mzky&#10;IDEuOTgzMzYgMTMuMjU3NSAxLjk4MzM2TDEzLjI4MzkgMS45ODMzNkMxNS45MzkzIDIuMDI5NDgg&#10;MTguNTk0OCAyLjA2MjQyIDIxLjI1MDIgMi4wODg3OCAyMS45NzUgMi4wODg3OCAyMi41NjE0IDIu&#10;Njg4NCAyMi41NTQ4IDMuNDE5OCAyMi41NTQ4IDQuMTQ0NjIgMjEuOTYxOSA0LjcyNDQ3IDIxLjIz&#10;NyA0LjcyNDQ3Wk03Ny4xMTM1IDQuNjkxNTJDNzYuMzg4OCA0LjY5MTUyIDc1LjgwMjMgNC4xMTE2&#10;NyA3NS43OTU3IDMuMzg2ODUgNzUuNzk1NyAyLjY2MjA0IDc2LjM3NTYgMi4wNjI0MiA3Ny4xMDAz&#10;IDIuMDU1ODMgNzkuNzYyMSAyLjAzNjA3IDgyLjQxOCAyLjAwOTcxIDg1LjA4MDMgMS45ODMzNkw4&#10;NS4wOTMgMS45ODMzNkM4NS44MTE2IDEuOTgzMzYgODYuNDA0NyAyLjU2MzIxIDg2LjQxMSAzLjI4&#10;ODAyIDg2LjQxNzQgNC4wMTI4MyA4NS44Mzc4IDQuNjEyNDUgODUuMTA2NSA0LjYxOTA0IDgyLjQ0&#10;NDIgNC42NDUzOSA3OS43ODE5IDQuNjcxNzUgNzcuMTIwMSA0LjY5MTUyTDc3LjEwNjkgNC42OTE1&#10;MlpNOTMuMDc5IDQuNTEzNjFDOTIuMzYxMyA0LjUxMzYxIDkxLjc3NDUgMy45MzM3NiA5MS43NjEg&#10;My4yMTU1MyA5MS43NDgzIDIuNDkwNzIgOTIuMzM0MyAxLjg5MTEgOTMuMDU5MiAxLjg3NzkzIDk0&#10;LjQwMzQgMS44NTgxNiA5NS43NDc3IDEuODM4MzkgOTcuMDk4MyAxLjgxMjA0IDk4LjQxIDEuNzky&#10;MjYgOTkuNzIwOCAxLjc1OTMyIDEwMS4wMjYgMS43MjYzNyAxMDEuNzQ0IDEuNjkzNDMgMTAyLjM1&#10;NyAyLjI3OTg3IDEwMi4zNzcgMy4wMTEyNyAxMDIuMzk3IDMuNzM2MDggMTAxLjgyMyA0LjM0MjI5&#10;IDEwMS4wOTIgNC4zNjIwNiA5OS43NzQgNC4zOTUgOTguNDU2IDQuNDIxMzYgOTcuMTM4IDQuNDQ3&#10;NzIgOTUuNzkzNyA0LjQ2NzQ5IDk0LjQ0MzEgNC40OTM4NCA5My4wOTg5IDQuNTEzNjFMOTMuMDc5&#10;IDQuNTEzNjFaTTEwOS4wMzggNC4xMDUwOEMxMDguMzMzIDQuMTA1MDggMTA3Ljc0NyAzLjU0NSAx&#10;MDcuNzIgMi44Mzk5NSAxMDcuNjk0IDIuMTE1MTQgMTA4LjI2MSAxLjUwMjM0IDEwOC45ODUgMS40&#10;NjkzOSAxMTEuNjQxIDEuMzYzOTcgMTE0LjI5NiAxLjI1MTk1IDExNi45NTIgMS4xMzMzNSAxMTcu&#10;NjY0IDEuMTAwNCAxMTguMjk2IDEuNjYwNDggMTE4LjMyOSAyLjM5MTg5IDExOC4zNjIgMy4xMTY3&#10;IDExNy44MDIgMy43MzYwOCAxMTcuMDcxIDMuNzY5MDMgMTE0LjQwOCAzLjg4NzY0IDExMS43NDcg&#10;NC4wMDYyNCAxMDkuMDg0IDQuMTA1MDggMTA5LjA2NSA0LjEwNTA4IDEwOS4wNTEgNC4xMDUwOCAx&#10;MDkuMDMyIDQuMTA1MDhaTTEyNC45OTEgMy40MDY2M0MxMjQuMjkyIDMuNDA2NjMgMTIzLjcwNiAy&#10;Ljg1MzEzIDEyMy42NzMgMi4xNDgwOCAxMjMuNjQgMS40MjMyNyAxMjQuMjA3IDAuODAzODg1IDEy&#10;NC45MzEgMC43NzA5MzggMTI3LjU5MyAwLjY1MjMzMiAxMzAuMjU2IDAuNTQwMzE1IDEzMi45MTcg&#10;MC40MzQ4ODggMTMzLjY1NiAwLjM4ODc2NCAxMzQuMjU1IDAuOTc1MjA3IDEzNC4yODggMS43MDAw&#10;MiAxMzQuMzE1IDIuNDI0ODMgMTMzLjc0OCAzLjAzNzYzIDEzMy4wMjMgMy4wNzA1NyAxMzAuMzY4&#10;IDMuMTY5NDEgMTI3LjcxMiAzLjI4ODAyIDEyNS4wNTcgMy40MDY2MyAxMjUuMDM3IDMuNDA2NjMg&#10;MTI1LjAxNyAzLjQwNjYzIDEyNC45OTcgMy40MDY2M1pNMTgwLjg2MSAyLjgzMzM2IDE4MC44NDgg&#10;Mi44MzMzNiAxNzIuODY4IDIuNzQ3N0MxNzIuMTQzIDIuNzQxMTEgMTcxLjU1NiAyLjE0MTUgMTcx&#10;LjU2NCAxLjQxNjY4IDE3MS41NyAwLjY5MTg2NyAxNzIuMTgzIDAuMDkyMjQ5MyAxNzIuODk0IDAu&#10;MTEyMDE3TDE4MC44NzQgMC4xOTc2NzdDMTgxLjU5OSAwLjIwNDI2NSAxODIuMTg1IDAuODAzODg1&#10;IDE4Mi4xNzkgMS41Mjg3IDE4Mi4xNzIgMi4yNTM1MSAxODEuNTg1IDIuODMzMzYgMTgwLjg2MSAy&#10;LjgzMzM2Wk0xNDAuOTUgMi44MTM1OUMxNDAuMjM4IDIuODEzNTkgMTM5LjY1MiAyLjI0NjkyIDEz&#10;OS42MzIgMS41Mjg3IDEzOS42MTIgMC44MDM4ODUgMTQwLjE5MiAwLjE5NzY3NyAxNDAuOTE3IDAu&#10;MTc3OTA4IDE0Mi4yNjEgMC4xNDQ5NjMgMTQzLjU5OSAwLjExODYwNiAxNDQuOTM2IDAuMDkyMjQ5&#10;MyAxNDYuMjYgMC4wNzI0ODEzIDE0Ny41OTIgMC4wNTI3MTM3IDE0OC45MTYgMC4wMzk1MzUyTDE0&#10;OC45MjkgMC4wMzk1MzUyQzE0OS42NTQgMC4wMzk1MzUyIDE1MC4yNDEgMC42MTkzODYgMTUwLjI0&#10;NyAxLjM0NDIgMTUwLjI1NCAyLjA2OTAxIDE0OS42NjcgMi42Njg2MyAxNDguOTQzIDIuNjc1MjIg&#10;MTQ3LjYyNCAyLjY4ODQgMTQ2LjMgMi43MDE1OCAxNDQuOTgzIDIuNzI3OTMgMTQzLjY1MSAyLjc0&#10;NzcgMTQyLjMxNCAyLjc3NDA2IDE0MC45ODMgMi44MDcgMTQwLjk3IDIuODA3IDE0MC45NjMgMi44&#10;MDcgMTQwLjk1IDIuODA3Wk0xNjQuODk1IDIuNjc1MjIgMTY0Ljg4OCAyLjY3NTIyQzE2Mi4yMzMg&#10;Mi42NTU0NSAxNTkuNTc3IDIuNjQyMjcgMTU2LjkxNiAyLjY0MjI3IDE1Ni4xOTEgMi42NDIyNyAx&#10;NTUuNTk4IDIuMDQ5MjQgMTU1LjU5OCAxLjMyNDQzIDE1NS41OTggMC41OTk2MTggMTU2LjE5MSAw&#10;LjAwNjU4OTIxIDE1Ni45MTYgMC4wMDY1ODkyMUwxNTYuOTE2IDAuMDA2NTg5MjFDMTU5LjU4NCAw&#10;LjAwNjU4OTIxIDE2Mi4yNDYgMC4wMTk3Njc3IDE2NC45MDggMC4wMzk1MzUyIDE2NS42MzMgMC4w&#10;Mzk1MzUyIDE2Ni4yMTkgMC42MzkxNTMgMTY2LjIxOSAxLjM2Mzk3IDE2Ni4yMTkgMi4wODg3OCAx&#10;NjUuNjI3IDIuNjc1MjIgMTY0LjkwMiAyLjY3NTIyWiIgZmlsbD0iI0ZGRkZGRiIgdHJhbnNmb3Jt&#10;PSJtYXRyaXgoMS4yODg0NiAwIDAgMSA1MjcuMzA4IDU2MC41NjQpIi8+PHBhdGggZD0iTTE5Mi43&#10;ODcgMi45MjU2MSAxOTIuNzg3IDIuOTI1NjFDMTkxLjQ2OSAyLjkyNTYxIDE5MC4xNTEgMi45MTI0&#10;MyAxODguODI3IDIuODk5MjUgMTg4LjEwMyAyLjg5OTI1IDE4Ny41MTYgMi4yOTk2NCAxODcuNTE2&#10;IDEuNTc0ODIgMTg3LjUxNiAwLjg1MDAwOSAxODguMTA5IDAuMjYzNTY4IDE4OC44MzQgMC4yNjM1&#10;NjhMMTg4Ljg0NyAwLjI2MzU2OEMxOTAuMTY1IDAuMjcwMTU4IDE5MS40ODMgMC4yODMzMzYgMTky&#10;Ljc5NCAwLjI4OTkyNSAxOTMuNTE4IDAuMjg5OTI1IDE5NC4xMTIgMC44ODI5NTIgMTk0LjEwNSAx&#10;LjYxNDM2IDE5NC4xMDUgMi4zMzkxNyAxOTMuNTEyIDIuOTI1NjEgMTkyLjc4NyAyLjkyNTYxWiIg&#10;ZmlsbD0iI0ZGRkZGRiIgdHJhbnNmb3JtPSJtYXRyaXgoMS4yODg0NiAwIDAgMSA1MjcuMzA4IDU2&#10;MC41NjQpIi8+PC9nPjwvZz48L2c+PHBhdGggZD0iTTk1NC40NzIgMTAzLjUwNCA5ODIuNzM2IDEw&#10;My41MDQgOTgyLjczNiAxMTkuMzc0IDk1NC40NzIgMTE5LjM3NFoiIGZpbGw9IiNFNkVBN0YiIGZp&#10;bGwtcnVsZT0iZXZlbm9kZCIgdHJhbnNmb3JtPSJtYXRyaXgoMSAwIDAgMS4wMDA2MyA1LjY1MTk5&#10;IDEyLjcwNCkiLz48cGF0aCBkPSJNMTAwOS4wMiAxNTEuMTE0IDEwMjMuNzQgMTUxLjExNCAxMDIz&#10;Ljc0IDE2Ni45ODUgMTAwOS4wMiAxNjYuOTg1WiIgZmlsbD0iI0U2RUE3RiIgZmlsbC1ydWxlPSJl&#10;dmVub2RkIiB0cmFuc2Zvcm09Im1hdHJpeCgxIDAgMCAxLjAwMDYzIDUuNjUxOTkgMTIuNzA0KSIv&#10;PjxwYXRoIGQ9Ik05MDguNTEyIDE2Ni45ODUgOTEyLjQ3OSAxNjYuOTg1IDkxMi40NzkgMTgyLjg1&#10;NSA5MDguNTEyIDE4Mi44NTVaIiBmaWxsPSIjRTZFQTdGIiBmaWxsLXJ1bGU9ImV2ZW5vZGQiIHRy&#10;YW5zZm9ybT0ibWF0cml4KDEgMCAwIDEuMDAwNjMgNS42NTE5OSAxMi43MDQpIi8+PHBhdGggZD0i&#10;TTkxMi40NzkgMTY2Ljk4NSA5MzAuMDA4IDE2Ni45ODUgOTMwLjAwOCAxODIuODU1IDkxMi40Nzkg&#10;MTgyLjg1NVoiIGZpbGw9IiNFNkVBN0YiIGZpbGwtcnVsZT0iZXZlbm9kZCIgdHJhbnNmb3JtPSJt&#10;YXRyaXgoMSAwIDAgMS4wMDA2MyA1LjY1MTk5IDEyLjcwNCkiLz48cGF0aCBkPSJNODk2Ljk0MyAx&#10;ODIuODU1IDkwMC45MSAxODIuODU1IDkwMC45MSAxOTguNzI1IDg5Ni45NDMgMTk4LjcyNVoiIGZp&#10;bGw9IiNFNkVBN0YiIGZpbGwtcnVsZT0iZXZlbm9kZCIgdHJhbnNmb3JtPSJtYXRyaXgoMSAwIDAg&#10;MS4wMDA2MyA1LjY1MTk5IDEyLjcwNCkiLz48cGF0aCBkPSJNOTAwLjkxIDE4Mi44NTUgOTE4LjQz&#10;MSAxODIuODU1IDkxOC40MzEgMTk4LjcyNSA5MDAuOTEgMTk4LjcyNVoiIGZpbGw9IiNFNkVBN0Yi&#10;IGZpbGwtcnVsZT0iZXZlbm9kZCIgdHJhbnNmb3JtPSJtYXRyaXgoMSAwIDAgMS4wMDA2MyA1LjY1&#10;MTk5IDEyLjcwNCkiLz48cGF0aCBkPSJNMTA3MC42OSAxOTguNzI1IDEwODUuNCAxOTguNzI1IDEw&#10;ODUuNCAyMTQuNTk1IDEwNzAuNjkgMjE0LjU5NVoiIGZpbGw9IiNFNkVBN0YiIGZpbGwtcnVsZT0i&#10;ZXZlbm9kZCIgdHJhbnNmb3JtPSJtYXRyaXgoMSAwIDAgMS4wMDA2MyA1LjY1MTk5IDEyLjcwNCki&#10;Lz48cGF0aCBkPSJNMTA3MS41MSAyMTQuNTk1IDEwOTMgMjE0LjU5NSAxMDkzIDIzMC40NjUgMTA3&#10;MS41MSAyMzAuNDY1WiIgZmlsbD0iI0U2RUE3RiIgZmlsbC1ydWxlPSJldmVub2RkIiB0cmFuc2Zv&#10;cm09Im1hdHJpeCgxIDAgMCAxLjAwMDYzIDUuNjUxOTkgMTIuNzA0KSIvPjxwYXRoIGQ9Ik05NDcu&#10;MDI5IDM2My43NzMgOTY4LjUyNCAzNjMuNzczIDk2OC41MjQgMzc5LjY0MyA5NDcuMDI5IDM3OS42&#10;NDNaIiBmaWxsPSIjRTZFQTdGIiBmaWxsLXJ1bGU9ImV2ZW5vZGQiIHRyYW5zZm9ybT0ibWF0cml4&#10;KDEgMCAwIDEuMDAwNjMgNS42NTE5OSAxMi43MDQpIi8+PHBhdGggZD0iTTkxMi4zMTMgNDc3LjI0&#10;NCA5MzMuODA5IDQ3Ny4yNDQgOTMzLjgwOSA0OTMuMTE0IDkxMi4zMTMgNDkzLjExNFoiIGZpbGw9&#10;IiNFNkVBN0YiIGZpbGwtcnVsZT0iZXZlbm9kZCIgdHJhbnNmb3JtPSJtYXRyaXgoMSAwIDAgMS4w&#10;MDA2MyA1LjY1MTk5IDEyLjcwNCkiLz48cGF0aCBkPSJNMTA3My4zMyA0OTMuMTE0IDEwNzcuMyA0&#10;OTMuMTE0IDEwNzcuMyA1MDguOTg0IDEwNzMuMzMgNTA4Ljk4NFoiIGZpbGw9IiNFNkVBN0YiIGZp&#10;bGwtcnVsZT0iZXZlbm9kZCIgdHJhbnNmb3JtPSJtYXRyaXgoMSAwIDAgMS4wMDA2MyA1LjY1MTk5&#10;IDEyLjcwNCkiLz48cGF0aCBkPSJNMTA3Ny4zIDQ5My4xMTQgMTA4OC4wNCA0OTMuMTE0IDEwODgu&#10;MDQgNTA4Ljk4NCAxMDc3LjMgNTA4Ljk4NFoiIGZpbGw9IiNFNkVBN0YiIGZpbGwtcnVsZT0iZXZl&#10;bm9kZCIgdHJhbnNmb3JtPSJtYXRyaXgoMSAwIDAgMS4wMDA2MyA1LjY1MTk5IDEyLjcwNCkiLz48&#10;cGF0aCBkPSJNOTc0LjY0MiA1MDguOTg0IDk4OS4zNTQgNTA4Ljk4NCA5ODkuMzU0IDUyNC44NTQg&#10;OTc0LjY0MiA1MjQuODU0WiIgZmlsbD0iI0U2RUE3RiIgZmlsbC1ydWxlPSJldmVub2RkIiB0cmFu&#10;c2Zvcm09Im1hdHJpeCgxIDAgMCAxLjAwMDYzIDUuNjUxOTkgMTIuNzA0KSIvPjxwYXRoIGQ9Ik04&#10;NzQuOTU1IDUyNC44NTQgODg5LjY2NiA1MjQuODU0IDg4OS42NjYgNTQwLjcyNCA4NzQuOTU1IDU0&#10;MC43MjRaIiBmaWxsPSIjRTZFQTdGIiBmaWxsLXJ1bGU9ImV2ZW5vZGQiIHRyYW5zZm9ybT0ibWF0&#10;cml4KDEgMCAwIDEuMDAwNjMgNS42NTE5OSAxMi43MDQpIi8+PHBhdGggZD0iTTk2Ni4yMDcgNTU4&#10;LjE4MSA5ODAuOTE5IDU1OC4xODEgOTgwLjkxOSA1NzQuMDUxIDk2Ni4yMDcgNTc0LjA1MVoiIGZp&#10;bGw9IiNFNkVBN0YiIGZpbGwtcnVsZT0iZXZlbm9kZCIgdHJhbnNmb3JtPSJtYXRyaXgoMSAwIDAg&#10;MS4wMDA2MyA1LjY1MTk5IDEyLjcwNCkiLz48dGV4dCBmb250LWZhbWlseT0iQ2FsaWJyaSxDYWxp&#10;YnJpX01TRm9udFNlcnZpY2UsQXJpYWwiIGZvbnQtd2VpZ2h0PSI3MDAiIGZvbnQtc2l6ZT0iMTci&#10;IHRyYW5zZm9ybT0ibWF0cml4KDAuNzkzNTAyIDAgMCAwLjc5NCA4MjguMzcxIDExMykiPllhcm5p&#10;bmcgd29ya3Nob3BzPC90ZXh0PjxnIGNsaXAtcGF0aD0idXJsKCNjbGlwMjQxKSI+PGcgY2xpcC1w&#10;YXRoPSJ1cmwoI2NsaXAyNDIpIj48ZyBjbGlwLXBhdGg9InVybCgjY2xpcDI0MykiIHRyYW5zZm9y&#10;bT0ibWF0cml4KDAuNjQ0NzIgMCAwIDAuNzAwNTg4IDgyOC4zNzEgMTE3LjA2NykiPjxnIGNsaXAt&#10;cGF0aD0idXJsKCNjbGlwMjQ0KSI+PHVzZSB3aWR0aD0iMTAwJSIgaGVpZ2h0PSIxMDAlIiB4bGlu&#10;azpocmVmPSIjaW1nMjEiIHRyYW5zZm9ybT0idHJhbnNsYXRlKDcuMzMzODJlLTA2IDUuODUzMjhl&#10;LTA2KSI+PC91c2U+PC9nPjwvZz48L2c+PC9nPjx0ZXh0IGZvbnQtZmFtaWx5PSJDYWxpYnJpLENh&#10;bGlicmlfTVNGb250U2VydmljZSxBcmlhbCIgZm9udC13ZWlnaHQ9IjQwMCIgZm9udC1zaXplPSIx&#10;NyIgdHJhbnNmb3JtPSJtYXRyaXgoMC43OTM1MDIgMCAwIDAuNzk0IDg0Ni4yMjQgMTI5KSI+MjE8&#10;L3RleHQ+PHRleHQgZm9udC1mYW1pbHk9IkNhbGlicmksQ2FsaWJyaV9NU0ZvbnRTZXJ2aWNlLEFy&#10;aWFsIiBmb250LXdlaWdodD0iNDAwIiBmb250LXNpemU9IjE3IiB0cmFuc2Zvcm09Im1hdHJpeCgw&#10;Ljc5MzUwMiAwIDAgMC43OTQgODYyLjc1MyAxMjkpIj5Db21tdW5pdHkgeWFybnMgPC90ZXh0Pjx0&#10;ZXh0IGZvbnQtZmFtaWx5PSJDYWxpYnJpLENhbGlicmlfTVNGb250U2VydmljZSxBcmlhbCIgZm9u&#10;dC13ZWlnaHQ9IjQwMCIgZm9udC1zaXplPSIxNyIgdHJhbnNmb3JtPSJtYXRyaXgoMC43OTM1MDIg&#10;MCAwIDAuNzk0IDk2MC4xMjQgMTI5KSI+KDwvdGV4dD48dGV4dCBmb250LWZhbWlseT0iQ2FsaWJy&#10;aSxDYWxpYnJpX01TRm9udFNlcnZpY2UsQXJpYWwiIGZvbnQtd2VpZ2h0PSI0MDAiIGZvbnQtc2l6&#10;ZT0iMTciIHRyYW5zZm9ybT0ibWF0cml4KDAuNzkzNTAyIDAgMCAwLjc5NCA5NjQuMDkxIDEyOSki&#10;PjIyNjwvdGV4dD48dGV4dCBmb250LWZhbWlseT0iQ2FsaWJyaSxDYWxpYnJpX01TRm9udFNlcnZp&#10;Y2UsQXJpYWwiIGZvbnQtd2VpZ2h0PSI0MDAiIGZvbnQtc2l6ZT0iMTciIHRyYW5zZm9ybT0ibWF0&#10;cml4KDAuNzkzNTAyIDAgMCAwLjc5NCA5ODUuNTE2IDEyOSkiPik8L3RleHQ+PHRleHQgZm9udC1m&#10;YW1pbHk9IkNhbGlicmksQ2FsaWJyaV9NU0ZvbnRTZXJ2aWNlLEFyaWFsIiBmb250LXdlaWdodD0i&#10;NzAwIiBmb250LXNpemU9IjE3IiB0cmFuc2Zvcm09Im1hdHJpeCgwLjc5MzUwMiAwIDAgMC43OTQg&#10;ODI4LjM3MSAxNjApIj5TZW1pPC90ZXh0Pjx0ZXh0IGZvbnQtZmFtaWx5PSJDYWxpYnJpLENhbGli&#10;cmlfTVNGb250U2VydmljZSxBcmlhbCIgZm9udC13ZWlnaHQ9IjcwMCIgZm9udC1zaXplPSIxNyIg&#10;dHJhbnNmb3JtPSJtYXRyaXgoMC43OTM1MDIgMCAwIDAuNzk0IDg1NS4zMTggMTYwKSI+LTwvdGV4&#10;dD48dGV4dCBmb250LWZhbWlseT0iQ2FsaWJyaSxDYWxpYnJpX01TRm9udFNlcnZpY2UsQXJpYWwi&#10;IGZvbnQtd2VpZ2h0PSI3MDAiIGZvbnQtc2l6ZT0iMTciIHRyYW5zZm9ybT0ibWF0cml4KDAuNzkz&#10;NTAyIDAgMCAwLjc5NCA4NTkuMjg1IDE2MCkiPnN0cnVjdHVyZWQgaW50ZXJ2aWV3czwvdGV4dD48&#10;ZyBjbGlwLXBhdGg9InVybCgjY2xpcDI0NSkiPjxnIGNsaXAtcGF0aD0idXJsKCNjbGlwMjQ2KSI+&#10;PGcgY2xpcC1wYXRoPSJ1cmwoI2NsaXAyNDcpIiB0cmFuc2Zvcm09Im1hdHJpeCgwLjY0NDcyIDAg&#10;MCAwLjcwMDU4OCA4MjguMzcxIDE2NC43MDcpIj48ZyBjbGlwLXBhdGg9InVybCgjY2xpcDI0OCki&#10;Pjx1c2Ugd2lkdGg9IjEwMCUiIGhlaWdodD0iMTAwJSIgeGxpbms6aHJlZj0iI2ltZzIxIiB0cmFu&#10;c2Zvcm09InRyYW5zbGF0ZSg3LjMzMzgyZS0wNiAxLjY4MTM5ZS0wNikiPjwvdXNlPjwvZz48L2c+&#10;PC9nPjwvZz48dGV4dCBmb250LWZhbWlseT0iQ2FsaWJyaSxDYWxpYnJpX01TRm9udFNlcnZpY2Us&#10;QXJpYWwiIGZvbnQtd2VpZ2h0PSI0MDAiIGZvbnQtc2l6ZT0iMTciIHRyYW5zZm9ybT0ibWF0cml4&#10;KDAuNzkzNTAyIDAgMCAwLjc5NCA4NDYuMjI0IDE3NikiPkluZGl2aWR1YWwgaGVhbHRoIGpvdXJu&#10;ZXkgeWFybnMgPC90ZXh0Pjx0ZXh0IGZvbnQtZmFtaWx5PSJDYWxpYnJpLENhbGlicmlfTVNGb250&#10;U2VydmljZSxBcmlhbCIgZm9udC13ZWlnaHQ9IjQwMCIgZm9udC1zaXplPSIxNyIgdHJhbnNmb3Jt&#10;PSJtYXRyaXgoMC43OTM1MDIgMCAwIDAuNzk0IDEwMTQuNjggMTc2KSI+KDwvdGV4dD48dGV4dCBm&#10;b250LWZhbWlseT0iQ2FsaWJyaSxDYWxpYnJpX01TRm9udFNlcnZpY2UsQXJpYWwiIGZvbnQtd2Vp&#10;Z2h0PSI0MDAiIGZvbnQtc2l6ZT0iMTciIHRyYW5zZm9ybT0ibWF0cml4KDAuNzkzNTAyIDAgMCAw&#10;Ljc5NCAxMDE4LjY0IDE3NikiPjc8L3RleHQ+PHRleHQgZm9udC1mYW1pbHk9IkNhbGlicmksQ2Fs&#10;aWJyaV9NU0ZvbnRTZXJ2aWNlLEFyaWFsIiBmb250LXdlaWdodD0iNDAwIiBmb250LXNpemU9IjE3&#10;IiB0cmFuc2Zvcm09Im1hdHJpeCgwLjc5MzUwMiAwIDAgMC43OTQgMTAyNS43OSAxNzYpIj4pPC90&#10;ZXh0PjxnIGNsaXAtcGF0aD0idXJsKCNjbGlwMjQ5KSI+PGcgY2xpcC1wYXRoPSJ1cmwoI2NsaXAy&#10;NTApIj48ZyBjbGlwLXBhdGg9InVybCgjY2xpcDI1MSkiIHRyYW5zZm9ybT0ibWF0cml4KDAuNjQ0&#10;NzIgMCAwIDAuNzAwNTg4IDgyOC4zNzEgMTgwLjU4NykiPjxnIGNsaXAtcGF0aD0idXJsKCNjbGlw&#10;MjUyKSI+PHVzZSB3aWR0aD0iMTAwJSIgaGVpZ2h0PSIxMDAlIiB4bGluazpocmVmPSIjaW1nMjEi&#10;IHRyYW5zZm9ybT0idHJhbnNsYXRlKDcuMzMzODJlLTA2IDEuMjY1ODRlLTA1KSI+PC91c2U+PC9n&#10;PjwvZz48L2c+PC9nPjx0ZXh0IGZvbnQtZmFtaWx5PSJDYWxpYnJpLENhbGlicmlfTVNGb250U2Vy&#10;dmljZSxBcmlhbCIgZm9udC13ZWlnaHQ9IjQwMCIgZm9udC1zaXplPSIxNyIgdHJhbnNmb3JtPSJt&#10;YXRyaXgoMC43OTM1MDIgMCAwIDAuNzk0IDg0Ni4yMjQgMTkyKSI+QUNDSHMgc3RhZmYgPC90ZXh0&#10;Pjx0ZXh0IGZvbnQtZmFtaWx5PSJDYWxpYnJpLENhbGlicmlfTVNGb250U2VydmljZSxBcmlhbCIg&#10;Zm9udC13ZWlnaHQ9IjQwMCIgZm9udC1zaXplPSIxNyIgdHJhbnNmb3JtPSJtYXRyaXgoMC43OTM1&#10;MDIgMCAwIDAuNzk0IDkxNC4xNjQgMTkyKSI+KDwvdGV4dD48dGV4dCBmb250LWZhbWlseT0iQ2Fs&#10;aWJyaSxDYWxpYnJpX01TRm9udFNlcnZpY2UsQXJpYWwiIGZvbnQtd2VpZ2h0PSI0MDAiIGZvbnQt&#10;c2l6ZT0iMTciIHRyYW5zZm9ybT0ibWF0cml4KDAuNzkzNTAyIDAgMCAwLjc5NCA5MTguMTMxIDE5&#10;MikiPjc3PC90ZXh0Pjx0ZXh0IGZvbnQtZmFtaWx5PSJDYWxpYnJpLENhbGlicmlfTVNGb250U2Vy&#10;dmljZSxBcmlhbCIgZm9udC13ZWlnaHQ9IjQwMCIgZm9udC1zaXplPSIxNyIgdHJhbnNmb3JtPSJt&#10;YXRyaXgoMC43OTM1MDIgMCAwIDAuNzk0IDkzMi40MTQgMTkyKSI+KTwvdGV4dD48ZyBjbGlwLXBh&#10;dGg9InVybCgjY2xpcDI1MykiPjxnIGNsaXAtcGF0aD0idXJsKCNjbGlwMjU0KSI+PGcgY2xpcC1w&#10;YXRoPSJ1cmwoI2NsaXAyNTUpIiB0cmFuc2Zvcm09Im1hdHJpeCgwLjY0NDcyIDAgMCAwLjcwMDU4&#10;OCA4MjguMzcxIDE5Ni40NjcpIj48ZyBjbGlwLXBhdGg9InVybCgjY2xpcDI1NikiPjx1c2Ugd2lk&#10;dGg9IjEwMCUiIGhlaWdodD0iMTAwJSIgeGxpbms6aHJlZj0iI2ltZzIxIiB0cmFuc2Zvcm09InRy&#10;YW5zbGF0ZSg3LjMzMzgyZS0wNiAtMy42MTA2MmUtMDcpIj48L3VzZT48L2c+PC9nPjwvZz48L2c+&#10;PHRleHQgZm9udC1mYW1pbHk9IkNhbGlicmksQ2FsaWJyaV9NU0ZvbnRTZXJ2aWNlLEFyaWFsIiBm&#10;b250LXdlaWdodD0iNDAwIiBmb250LXNpemU9IjE3IiB0cmFuc2Zvcm09Im1hdHJpeCgwLjc5MzUw&#10;MiAwIDAgMC43OTQgODQ2LjIyNCAyMDgpIj5QSE4gc3RhZmYgPC90ZXh0Pjx0ZXh0IGZvbnQtZmFt&#10;aWx5PSJDYWxpYnJpLENhbGlicmlfTVNGb250U2VydmljZSxBcmlhbCIgZm9udC13ZWlnaHQ9IjQw&#10;MCIgZm9udC1zaXplPSIxNyIgdHJhbnNmb3JtPSJtYXRyaXgoMC43OTM1MDIgMCAwIDAuNzk0IDkw&#10;Mi41OTUgMjA4KSI+KDwvdGV4dD48dGV4dCBmb250LWZhbWlseT0iQ2FsaWJyaSxDYWxpYnJpX01T&#10;Rm9udFNlcnZpY2UsQXJpYWwiIGZvbnQtd2VpZ2h0PSI0MDAiIGZvbnQtc2l6ZT0iMTciIHRyYW5z&#10;Zm9ybT0ibWF0cml4KDAuNzkzNTAyIDAgMCAwLjc5NCA5MDYuNTYyIDIwOCkiPjI2PC90ZXh0Pjx0&#10;ZXh0IGZvbnQtZmFtaWx5PSJDYWxpYnJpLENhbGlicmlfTVNGb250U2VydmljZSxBcmlhbCIgZm9u&#10;dC13ZWlnaHQ9IjQwMCIgZm9udC1zaXplPSIxNyIgdHJhbnNmb3JtPSJtYXRyaXgoMC43OTM1MDIg&#10;MCAwIDAuNzk0IDkyMC44NDUgMjA4KSI+KTwvdGV4dD48ZyBjbGlwLXBhdGg9InVybCgjY2xpcDI1&#10;NykiPjxnIGNsaXAtcGF0aD0idXJsKCNjbGlwMjU4KSI+PGcgY2xpcC1wYXRoPSJ1cmwoI2NsaXAy&#10;NTkpIiB0cmFuc2Zvcm09Im1hdHJpeCgwLjY0NDcyIDAgMCAwLjcwMDU4OCA4MjguMzcxIDIxMi4z&#10;NDcpIj48ZyBjbGlwLXBhdGg9InVybCgjY2xpcDI2MCkiPjx1c2Ugd2lkdGg9IjEwMCUiIGhlaWdo&#10;dD0iMTAwJSIgeGxpbms6aHJlZj0iI2ltZzIxIiB0cmFuc2Zvcm09InRyYW5zbGF0ZSg3LjMzMzgy&#10;ZS0wNiAtMS4zMzgwNWUtMDUpIj48L3VzZT48L2c+PC9nPjwvZz48L2c+PHRleHQgZm9udC1mYW1p&#10;bHk9IkNhbGlicmksQ2FsaWJyaV9NU0ZvbnRTZXJ2aWNlLEFyaWFsIiBmb250LXdlaWdodD0iNDAw&#10;IiBmb250LXNpemU9IjE3IiB0cmFuc2Zvcm09Im1hdHJpeCgwLjc5MzUwMiAwIDAgMC43OTQgODQ2&#10;LjIyNCAyMjQpIj5OYXRpb25hbDwvdGV4dD48dGV4dCBmb250LWZhbWlseT0iQ2FsaWJyaSxDYWxp&#10;YnJpX01TRm9udFNlcnZpY2UsQXJpYWwiIGZvbnQtd2VpZ2h0PSI0MDAiIGZvbnQtc2l6ZT0iMTci&#10;IHRyYW5zZm9ybT0ibWF0cml4KDAuNzkzNTAyIDAgMCAwLjc5NCA4OTIuMjQ3IDIyNCkiPiwgPC90&#10;ZXh0Pjx0ZXh0IGZvbnQtZmFtaWx5PSJDYWxpYnJpLENhbGlicmlfTVNGb250U2VydmljZSxBcmlh&#10;bCIgZm9udC13ZWlnaHQ9IjQwMCIgZm9udC1zaXplPSIxNyIgdHJhbnNmb3JtPSJtYXRyaXgoMC43&#10;OTM1MDIgMCAwIDAuNzk0IDg5OC41OTUgMjI0KSI+c3RhdGUgYW5kIHRlcnJpdG9yeSA8L3RleHQ+&#10;PHRleHQgZm9udC1mYW1pbHk9IkNhbGlicmksQ2FsaWJyaV9NU0ZvbnRTZXJ2aWNlLEFyaWFsIiBm&#10;b250LXdlaWdodD0iNDAwIiBmb250LXNpemU9IjE3IiB0cmFuc2Zvcm09Im1hdHJpeCgwLjc5MzUw&#10;MiAwIDAgMC43OTQgOTk5LjI5OSAyMjQpIj5nb3Zlcm5tZW50cyAgPC90ZXh0Pjx0ZXh0IGZvbnQt&#10;ZmFtaWx5PSJDYWxpYnJpLENhbGlicmlfTVNGb250U2VydmljZSxBcmlhbCIgZm9udC13ZWlnaHQ9&#10;IjQwMCIgZm9udC1zaXplPSIxNyIgdHJhbnNmb3JtPSJtYXRyaXgoMC43OTM1MDIgMCAwIDAuNzk0&#10;IDEwNzYuMzQgMjI0KSI+KDwvdGV4dD48dGV4dCBmb250LWZhbWlseT0iQ2FsaWJyaSxDYWxpYnJp&#10;X01TRm9udFNlcnZpY2UsQXJpYWwiIGZvbnQtd2VpZ2h0PSI0MDAiIGZvbnQtc2l6ZT0iMTciIHRy&#10;YW5zZm9ybT0ibWF0cml4KDAuNzkzNTAyIDAgMCAwLjc5NCAxMDgwLjMxIDIyNCkiPjY8L3RleHQ+&#10;PHRleHQgZm9udC1mYW1pbHk9IkNhbGlicmksQ2FsaWJyaV9NU0ZvbnRTZXJ2aWNlLEFyaWFsIiBm&#10;b250LXdlaWdodD0iNDAwIiBmb250LXNpemU9IjE3IiB0cmFuc2Zvcm09Im1hdHJpeCgwLjc5MzUw&#10;MiAwIDAgMC43OTQgMTA4Ny40NSAyMjQpIj4pPC90ZXh0PjxnIGNsaXAtcGF0aD0idXJsKCNjbGlw&#10;MjYxKSI+PGcgY2xpcC1wYXRoPSJ1cmwoI2NsaXAyNjIpIj48ZyBjbGlwLXBhdGg9InVybCgjY2xp&#10;cDI2MykiIHRyYW5zZm9ybT0ibWF0cml4KDAuNjQ0NzIgMCAwIDAuNzAwNTg4IDgyOC4zNzEgMjI4&#10;LjIyNykiPjxnIGNsaXAtcGF0aD0idXJsKCNjbGlwMjY0KSI+PHVzZSB3aWR0aD0iMTAwJSIgaGVp&#10;Z2h0PSIxMDAlIiB4bGluazpocmVmPSIjaW1nMjEiIHRyYW5zZm9ybT0idHJhbnNsYXRlKDcuMzMz&#10;ODJlLTA2IDEuMjg1NTNlLTA1KSI+PC91c2U+PC9nPjwvZz48L2c+PC9nPjx0ZXh0IGZvbnQtZmFt&#10;aWx5PSJDYWxpYnJpLENhbGlicmlfTVNGb250U2VydmljZSxBcmlhbCIgZm9udC13ZWlnaHQ9IjQw&#10;MCIgZm9udC1zaXplPSIxNyIgdHJhbnNmb3JtPSJtYXRyaXgoMC43OTM1MDIgMCAwIDAuNzk0IDg0&#10;Ni4yMjQgMjQwKSI+TmF0aW9uYWw8L3RleHQ+PHRleHQgZm9udC1mYW1pbHk9IkNhbGlicmksQ2Fs&#10;aWJyaV9NU0ZvbnRTZXJ2aWNlLEFyaWFsIiBmb250LXdlaWdodD0iNDAwIiBmb250LXNpemU9IjE3&#10;IiB0cmFuc2Zvcm09Im1hdHJpeCgwLjc5MzUwMiAwIDAgMC43OTQgODkyLjI0NyAyNDApIj4sIDwv&#10;dGV4dD48dGV4dCBmb250LWZhbWlseT0iQ2FsaWJyaSxDYWxpYnJpX01TRm9udFNlcnZpY2UsQXJp&#10;YWwiIGZvbnQtd2VpZ2h0PSI0MDAiIGZvbnQtc2l6ZT0iMTciIHRyYW5zZm9ybT0ibWF0cml4KDAu&#10;NzkzNTAyIDAgMCAwLjc5NCA4OTguNTk1IDI0MCkiPnN0YXRlIGFuZCB0ZXJyaXRvcnkgcGVha3M8&#10;L3RleHQ+PHRleHQgZm9udC1mYW1pbHk9IkNhbGlicmksQ2FsaWJyaV9NU0ZvbnRTZXJ2aWNlLEFy&#10;aWFsIiBmb250LXdlaWdodD0iNDAwIiBmb250LXNpemU9IjE3IiB0cmFuc2Zvcm09Im1hdHJpeCgw&#10;Ljc5MzUwMiAwIDAgMC43OTQgMTAzNS4wOCAyNDApIj4sIDwvdGV4dD48dGV4dCBmb250LWZhbWls&#10;eT0iQ2FsaWJyaSxDYWxpYnJpX01TRm9udFNlcnZpY2UsQXJpYWwiIGZvbnQtd2VpZ2h0PSI0MDAi&#10;IGZvbnQtc2l6ZT0iMTciIHRyYW5zZm9ybT0ibWF0cml4KDAuNzkzNTAyIDAgMCAwLjc5NCAxMDM2&#10;LjUgMjQwKSI+b3RoZXJzICA8L3RleHQ+PHRleHQgZm9udC1mYW1pbHk9IkNhbGlicmksQ2FsaWJy&#10;aV9NU0ZvbnRTZXJ2aWNlLEFyaWFsIiBmb250LXdlaWdodD0iNDAwIiBmb250LXNpemU9IjE3IiB0&#10;cmFuc2Zvcm09Im1hdHJpeCgwLjc5MzUwMiAwIDAgMC43OTQgMTA3Ny4xNyAyNDApIj4oPC90ZXh0&#10;Pjx0ZXh0IGZvbnQtZmFtaWx5PSJDYWxpYnJpLENhbGlicmlfTVNGb250U2VydmljZSxBcmlhbCIg&#10;Zm9udC13ZWlnaHQ9IjQwMCIgZm9udC1zaXplPSIxNyIgdHJhbnNmb3JtPSJtYXRyaXgoMC43OTM1&#10;MDIgMCAwIDAuNzk0IDEwODEuMTMgMjQwKSI+MjQ8L3RleHQ+PHRleHQgZm9udC1mYW1pbHk9IkNh&#10;bGlicmksQ2FsaWJyaV9NU0ZvbnRTZXJ2aWNlLEFyaWFsIiBmb250LXdlaWdodD0iNDAwIiBmb250&#10;LXNpemU9IjE3IiB0cmFuc2Zvcm09Im1hdHJpeCgwLjc5MzUwMiAwIDAgMC43OTQgMTA5NS40MiAy&#10;NDApIj4pPC90ZXh0Pjx0ZXh0IGZvbnQtZmFtaWx5PSJDYWxpYnJpLENhbGlicmlfTVNGb250U2Vy&#10;dmljZSxBcmlhbCIgZm9udC13ZWlnaHQ9IjcwMCIgZm9udC1zaXplPSIxNyIgdHJhbnNmb3JtPSJt&#10;YXRyaXgoMC43OTM1MDIgMCAwIDAuNzk0IDgyOC4zNzEgMjc2KSI+UXVhbnRpdGF0aXZlIGRhdGE8&#10;L3RleHQ+PGcgY2xpcC1wYXRoPSJ1cmwoI2NsaXAyNjUpIj48ZyBjbGlwLXBhdGg9InVybCgjY2xp&#10;cDI2NikiPjxnIGNsaXAtcGF0aD0idXJsKCNjbGlwMjY3KSIgdHJhbnNmb3JtPSJtYXRyaXgoMC42&#10;NDQ3MiAwIDAgMC43MDA1ODggODI4LjM3MSAyODAuNjMxKSI+PGcgY2xpcC1wYXRoPSJ1cmwoI2Ns&#10;aXAyNjgpIj48dXNlIHdpZHRoPSIxMDAlIiBoZWlnaHQ9IjEwMCUiIHhsaW5rOmhyZWY9IiNpbWcy&#10;MSIgdHJhbnNmb3JtPSJ0cmFuc2xhdGUoNy4zMzM4MmUtMDYgMS40Mzg4OWUtMDUpIj48L3VzZT48&#10;L2c+PC9nPjwvZz48L2c+PHRleHQgZm9udC1mYW1pbHk9IkNhbGlicmksQ2FsaWJyaV9NU0ZvbnRT&#10;ZXJ2aWNlLEFyaWFsIiBmb250LXdlaWdodD0iNDAwIiBmb250LXNpemU9IjE3IiB0cmFuc2Zvcm09&#10;Im1hdHJpeCgwLjc5MzUwMiAwIDAgMC43OTQgODQ2LjIyNCAyOTIpIj5BbmFseXNpcyBvZiByZWNl&#10;aXZlZCBkYXRhPC90ZXh0PjxnIGNsaXAtcGF0aD0idXJsKCNjbGlwMjY5KSI+PGcgY2xpcC1wYXRo&#10;PSJ1cmwoI2NsaXAyNzApIj48ZyBjbGlwLXBhdGg9InVybCgjY2xpcDI3MSkiIHRyYW5zZm9ybT0i&#10;bWF0cml4KDAuNjQ0NzIgMCAwIDAuNzAwNTg4IDgyOC4zNzEgMjk2LjUxMSkiPjxnIGNsaXAtcGF0&#10;aD0idXJsKCNjbGlwMjcyKSI+PHVzZSB3aWR0aD0iMTAwJSIgaGVpZ2h0PSIxMDAlIiB4bGluazpo&#10;cmVmPSIjaW1nMjEiIHRyYW5zZm9ybT0idHJhbnNsYXRlKDcuMzMzODJlLTA2IDEuMzY5NTFlLTA2&#10;KSI+PC91c2U+PC9nPjwvZz48L2c+PC9nPjx0ZXh0IGZvbnQtZmFtaWx5PSJDYWxpYnJpLENhbGli&#10;cmlfTVNGb250U2VydmljZSxBcmlhbCIgZm9udC13ZWlnaHQ9IjQwMCIgZm9udC1zaXplPSIxNyIg&#10;dHJhbnNmb3JtPSJtYXRyaXgoMC43OTM1MDIgMCAwIDAuNzk0IDg0Ni4yMjQgMzA4KSI+U2Vuc2Ug&#10;Y2hlY2tpbmcgb2YgYW5hbHlzaXMgd2l0aCBzaXRlIHBhcnRuZXJzPC90ZXh0Pjx0ZXh0IGZvbnQt&#10;ZmFtaWx5PSJDYWxpYnJpLENhbGlicmlfTVNGb250U2VydmljZSxBcmlhbCIgZm9udC13ZWlnaHQ9&#10;IjQwMCIgZm9udC1zaXplPSIxNyIgdHJhbnNmb3JtPSJtYXRyaXgoMC43OTM1MDIgMCAwIDAuNzk0&#10;IDEwOTAuNjIgMzA4KSI+LCA8L3RleHQ+PHRleHQgZm9udC1mYW1pbHk9IkNhbGlicmksQ2FsaWJy&#10;aV9NU0ZvbnRTZXJ2aWNlLEFyaWFsIiBmb250LXdlaWdodD0iNDAwIiBmb250LXNpemU9IjE3IiB0&#10;cmFuc2Zvcm09Im1hdHJpeCgwLjc5MzUwMiAwIDAgMC43OTQgODQ2LjIyNCAzMjQpIj5zdGFrZWhv&#10;bGRlcnMgYW5kIGV2YWx1YXRpb24gdGVhbTwvdGV4dD48ZyBjbGlwLXBhdGg9InVybCgjY2xpcDI3&#10;MykiPjxnIGNsaXAtcGF0aD0idXJsKCNjbGlwMjc0KSI+PGcgY2xpcC1wYXRoPSJ1cmwoI2NsaXAy&#10;NzUpIiB0cmFuc2Zvcm09Im1hdHJpeCgwLjY0NDcyIDAgMCAwLjcwMDU4OCA4MjguMzcxIDMyOC4y&#10;NzEpIj48ZyBjbGlwLXBhdGg9InVybCgjY2xpcDI3NikiPjx1c2Ugd2lkdGg9IjEwMCUiIGhlaWdo&#10;dD0iMTAwJSIgeGxpbms6aHJlZj0iI2ltZzIxIiB0cmFuc2Zvcm09InRyYW5zbGF0ZSg3LjMzMzgy&#10;ZS0wNiA1Ljg0ODI0ZS0wNikiPjwvdXNlPjwvZz48L2c+PC9nPjwvZz48dGV4dCBmb250LWZhbWls&#10;eT0iQ2FsaWJyaSxDYWxpYnJpX01TRm9udFNlcnZpY2UsQXJpYWwiIGZvbnQtd2VpZ2h0PSI0MDAi&#10;IGZvbnQtc2l6ZT0iMTciIHRyYW5zZm9ybT0ibWF0cml4KDAuNzkzNTAyIDAgMCAwLjc5NCA4NDYu&#10;MjI0IDM0MCkiPlR3bzwvdGV4dD48dGV4dCBmb250LWZhbWlseT0iQ2FsaWJyaSxDYWxpYnJpX01T&#10;Rm9udFNlcnZpY2UsQXJpYWwiIGZvbnQtd2VpZ2h0PSI0MDAiIGZvbnQtc2l6ZT0iMTciIHRyYW5z&#10;Zm9ybT0ibWF0cml4KDAuNzkzNTAyIDAgMCAwLjc5NCA4NzIuMDEzIDM0MCkiPnRlYW0gd29ya3No&#10;b3BzPC90ZXh0Pjx0ZXh0IGZvbnQtZmFtaWx5PSJDYWxpYnJpLENhbGlicmlfTVNGb250U2Vydmlj&#10;ZSxBcmlhbCIgZm9udC13ZWlnaHQ9IjcwMCIgZm9udC1zaXplPSIxNyIgdHJhbnNmb3JtPSJtYXRy&#10;aXgoMC43OTM1MDIgMCAwIDAuNzk0IDgyOC4zNzEgMzczKSI+Q29sbGVjdGl2ZSBhY3Rpb24gZm9y&#10;IGNoYW5nZTwvdGV4dD48dGV4dCBmb250LWZhbWlseT0iQ2FsaWJyaSxDYWxpYnJpX01TRm9udFNl&#10;cnZpY2UsQXJpYWwiIGZvbnQtd2VpZ2h0PSI0MDAiIGZvbnQtc2l6ZT0iMTciIHRyYW5zZm9ybT0i&#10;bWF0cml4KDAuNzkzNTAyIDAgMCAwLjc5NCA4MjguMzcxIDM4OSkiPjIgPC90ZXh0Pjx0ZXh0IGZv&#10;bnQtZmFtaWx5PSJDYWxpYnJpLENhbGlicmlfTVNGb250U2VydmljZSxBcmlhbCIgZm9udC13ZWln&#10;aHQ9IjQwMCIgZm9udC1zaXplPSIxNyIgdHJhbnNmb3JtPSJtYXRyaXgoMC43OTM1MDIgMCAwIDAu&#10;Nzk0IDgzOC42ODYgMzg5KSI+Y3Jvc3M8L3RleHQ+PHRleHQgZm9udC1mYW1pbHk9IkNhbGlicmks&#10;Q2FsaWJyaV9NU0ZvbnRTZXJ2aWNlLEFyaWFsIiBmb250LXdlaWdodD0iNDAwIiBmb250LXNpemU9&#10;IjE3IiB0cmFuc2Zvcm09Im1hdHJpeCgwLjc5MzUwMiAwIDAgMC43OTQgODY1LjU2MiAzODkpIj4t&#10;PC90ZXh0Pjx0ZXh0IGZvbnQtZmFtaWx5PSJDYWxpYnJpLENhbGlicmlfTVNGb250U2VydmljZSxB&#10;cmlhbCIgZm9udC13ZWlnaHQ9IjQwMCIgZm9udC1zaXplPSIxNyIgdHJhbnNmb3JtPSJtYXRyaXgo&#10;MC43OTM1MDIgMCAwIDAuNzk0IDg2OS41MjkgMzg5KSI+c2l0ZSA8L3RleHQ+PHRleHQgZm9udC1m&#10;YW1pbHk9IkNhbGlicmksQ2FsaWJyaV9NU0ZvbnRTZXJ2aWNlLEFyaWFsIiBmb250LXdlaWdodD0i&#10;NDAwIiBmb250LXNpemU9IjE3IiB0cmFuc2Zvcm09Im1hdHJpeCgwLjc5MzUwMiAwIDAgMC43OTQg&#10;ODkxLjY4NCAzODkpIj53b3Jrc2hvcHMgPC90ZXh0Pjx0ZXh0IGZvbnQtZmFtaWx5PSJDYWxpYnJp&#10;LENhbGlicmlfTVNGb250U2VydmljZSxBcmlhbCIgZm9udC13ZWlnaHQ9IjQwMCIgZm9udC1zaXpl&#10;PSIxNyIgdHJhbnNmb3JtPSJtYXRyaXgoMC43OTM1MDIgMCAwIDAuNzk0IDk1Mi42ODEgMzg5KSI+&#10;KDwvdGV4dD48dGV4dCBmb250LWZhbWlseT0iQ2FsaWJyaSxDYWxpYnJpX01TRm9udFNlcnZpY2Us&#10;QXJpYWwiIGZvbnQtd2VpZ2h0PSI0MDAiIGZvbnQtc2l6ZT0iMTciIHRyYW5zZm9ybT0ibWF0cml4&#10;KDAuNzkzNTAyIDAgMCAwLjc5NCA5NTYuNjQ4IDM4OSkiPjM3PC90ZXh0Pjx0ZXh0IGZvbnQtZmFt&#10;aWx5PSJDYWxpYnJpLENhbGlicmlfTVNGb250U2VydmljZSxBcmlhbCIgZm9udC13ZWlnaHQ9IjQw&#10;MCIgZm9udC1zaXplPSIxNyIgdHJhbnNmb3JtPSJtYXRyaXgoMC43OTM1MDIgMCAwIDAuNzk0IDk3&#10;MC45MzEgMzg5KSI+KTwvdGV4dD48dGV4dCBmb250LWZhbWlseT0iQ2FsaWJyaSxDYWxpYnJpX01T&#10;Rm9udFNlcnZpY2UsQXJpYWwiIGZvbnQtd2VpZ2h0PSI3MDAiIGZvbnQtc2l6ZT0iMTciIHRyYW5z&#10;Zm9ybT0ibWF0cml4KDAuNzkzNTAyIDAgMCAwLjc5NCA4MjguMzcxIDQyMikiPlNlbnNlPC90ZXh0&#10;Pjx0ZXh0IGZvbnQtZmFtaWx5PSJDYWxpYnJpLENhbGlicmlfTVNGb250U2VydmljZSxBcmlhbCIg&#10;Zm9udC13ZWlnaHQ9IjcwMCIgZm9udC1zaXplPSIxNyIgdHJhbnNmb3JtPSJtYXRyaXgoMC43OTM1&#10;MDIgMCAwIDAuNzk0IDg2MC4yNzcgNDIyKSI+LTwvdGV4dD48dGV4dCBmb250LWZhbWlseT0iQ2Fs&#10;aWJyaSxDYWxpYnJpX01TRm9udFNlcnZpY2UsQXJpYWwiIGZvbnQtd2VpZ2h0PSI3MDAiIGZvbnQt&#10;c2l6ZT0iMTciIHRyYW5zZm9ybT0ibWF0cml4KDAuNzkzNTAyIDAgMCAwLjc5NCA4NjQuMjQ1IDQy&#10;MikiPm1ha2luZzwvdGV4dD48dGV4dCBmb250LWZhbWlseT0iQ2FsaWJyaSxDYWxpYnJpX01TRm9u&#10;dFNlcnZpY2UsQXJpYWwiIGZvbnQtd2VpZ2h0PSI0MDAiIGZvbnQtc2l6ZT0iMTciIHRyYW5zZm9y&#10;bT0ibWF0cml4KDAuNzkzNTAyIDAgMCAwLjc5NCA4MjguMzcxIDQzOCkiPkZpdmUgY29udHJpYnV0&#10;aW9uIGNhc2VzPC90ZXh0Pjx0ZXh0IGZvbnQtZmFtaWx5PSJDYWxpYnJpLENhbGlicmlfTVNGb250&#10;U2VydmljZSxBcmlhbCIgZm9udC13ZWlnaHQ9IjQwMCIgZm9udC1zaXplPSIxNyIgdHJhbnNmb3Jt&#10;PSJtYXRyaXgoMC43OTM1MDIgMCAwIDAuNzk0IDgyOC4zNzEgNDU0KSI+QW5hbHlzdCBtZWV0aW5n&#10;cyA8L3RleHQ+PHRleHQgZm9udC1mYW1pbHk9IkNhbGlicmksQ2FsaWJyaV9NU0ZvbnRTZXJ2aWNl&#10;LEFyaWFsIiBmb250LXdlaWdodD0iNDAwIiBmb250LXNpemU9IjE3IiB0cmFuc2Zvcm09Im1hdHJp&#10;eCgwLjc5MzUwMiAwIDAgMC43OTQgOTI1Ljk3MSA0NTQpIj4oPC90ZXh0Pjx0ZXh0IGZvbnQtZmFt&#10;aWx5PSJDYWxpYnJpLENhbGlicmlfTVNGb250U2VydmljZSxBcmlhbCIgZm9udC13ZWlnaHQ9IjQw&#10;MCIgZm9udC1zaXplPSIxNyIgdHJhbnNmb3JtPSJtYXRyaXgoMC43OTM1MDIgMCAwIDAuNzk0IDky&#10;OS45MzkgNDU0KSI+ZXZhbHVhdGlvbiB0ZWFtPC90ZXh0Pjx0ZXh0IGZvbnQtZmFtaWx5PSJDYWxp&#10;YnJpLENhbGlicmlfTVNGb250U2VydmljZSxBcmlhbCIgZm9udC13ZWlnaHQ9IjQwMCIgZm9udC1z&#10;aXplPSIxNyIgdHJhbnNmb3JtPSJtYXRyaXgoMC43OTM1MDIgMCAwIDAuNzk0IDEwMTguODEgNDU0&#10;KSI+KTwvdGV4dD48dGV4dCBmb250LWZhbWlseT0iQ2FsaWJyaSxDYWxpYnJpX01TRm9udFNlcnZp&#10;Y2UsQXJpYWwiIGZvbnQtd2VpZ2h0PSI3MDAiIGZvbnQtc2l6ZT0iMTciIHRyYW5zZm9ybT0ibWF0&#10;cml4KDAuNzkzNTAyIDAgMCAwLjc5NCA4MjguMzcxIDQ4NykiPk5hdGlvbmFsIGV2YWx1YXRpb24g&#10;d29ya3Nob3A8L3RleHQ+PGcgY2xpcC1wYXRoPSJ1cmwoI2NsaXAyNzcpIj48ZyBjbGlwLXBhdGg9&#10;InVybCgjY2xpcDI3OCkiPjxnIGNsaXAtcGF0aD0idXJsKCNjbGlwMjc5KSIgdHJhbnNmb3JtPSJt&#10;YXRyaXgoMC42NDQ3MiAwIDAgMC43MDA1ODggODI4LjM3MSA0OTEuMDQxKSI+PGcgY2xpcC1wYXRo&#10;PSJ1cmwoI2NsaXAyODApIj48dXNlIHdpZHRoPSIxMDAlIiBoZWlnaHQ9IjEwMCUiIHhsaW5rOmhy&#10;ZWY9IiNpbWcyMSIgdHJhbnNmb3JtPSJ0cmFuc2xhdGUoNy4zMzM4MmUtMDYgLTEuNjM1NjVlLTA1&#10;KSI+PC91c2U+PC9nPjwvZz48L2c+PC9nPjx0ZXh0IGZvbnQtZmFtaWx5PSJDYWxpYnJpLENhbGli&#10;cmlfTVNGb250U2VydmljZSxBcmlhbCIgZm9udC13ZWlnaHQ9IjQwMCIgZm9udC1zaXplPSIxNyIg&#10;dHJhbnNmb3JtPSJtYXRyaXgoMC43OTM1MDIgMCAwIDAuNzk0IDg0Ni4yMjQgNTAzKSI+U2l0ZSBw&#10;YXJ0bmVycyA8L3RleHQ+PHRleHQgZm9udC1mYW1pbHk9IkNhbGlicmksQ2FsaWJyaV9NU0ZvbnRT&#10;ZXJ2aWNlLEFyaWFsIiBmb250LXdlaWdodD0iNDAwIiBmb250LXNpemU9IjE3IiB0cmFuc2Zvcm09&#10;Im1hdHJpeCgwLjc5MzUwMiAwIDAgMC43OTQgOTE3Ljk2NSA1MDMpIj4oPC90ZXh0Pjx0ZXh0IGZv&#10;bnQtZmFtaWx5PSJDYWxpYnJpLENhbGlicmlfTVNGb250U2VydmljZSxBcmlhbCIgZm9udC13ZWln&#10;aHQ9IjQwMCIgZm9udC1zaXplPSIxNyIgdHJhbnNmb3JtPSJtYXRyaXgoMC43OTM1MDIgMCAwIDAu&#10;Nzk0IDkyMS45MzIgNTAzKSI+NDE8L3RleHQ+PHRleHQgZm9udC1mYW1pbHk9IkNhbGlicmksQ2Fs&#10;aWJyaV9NU0ZvbnRTZXJ2aWNlLEFyaWFsIiBmb250LXdlaWdodD0iNDAwIiBmb250LXNpemU9IjE3&#10;IiB0cmFuc2Zvcm09Im1hdHJpeCgwLjc5MzUwMiAwIDAgMC43OTQgOTM2LjIxNSA1MDMpIj4pPC90&#10;ZXh0PjxnIGNsaXAtcGF0aD0idXJsKCNjbGlwMjgxKSI+PGcgY2xpcC1wYXRoPSJ1cmwoI2NsaXAy&#10;ODIpIj48ZyBjbGlwLXBhdGg9InVybCgjY2xpcDI4MykiIHRyYW5zZm9ybT0ibWF0cml4KDAuNjQ0&#10;NzIgMCAwIDAuNzAwNTg4IDgyOC4zNzEgNTA2LjkyMSkiPjxnIGNsaXAtcGF0aD0idXJsKCNjbGlw&#10;Mjg0KSI+PHVzZSB3aWR0aD0iMTAwJSIgaGVpZ2h0PSIxMDAlIiB4bGluazpocmVmPSIjaW1nMjEi&#10;IHRyYW5zZm9ybT0idHJhbnNsYXRlKDcuMzMzODJlLTA2IC0yLjkzNzU5ZS0wNSkiPjwvdXNlPjwv&#10;Zz48L2c+PC9nPjwvZz48dGV4dCBmb250LWZhbWlseT0iQ2FsaWJyaSxDYWxpYnJpX01TRm9udFNl&#10;cnZpY2UsQXJpYWwiIGZvbnQtd2VpZ2h0PSI0MDAiIGZvbnQtc2l6ZT0iMTciIHRyYW5zZm9ybT0i&#10;bWF0cml4KDAuNzkzNTAyIDAgMCAwLjc5NCA4NDYuMjI0IDUxOCkiPlN0YXRlPC90ZXh0Pjx0ZXh0&#10;IGZvbnQtZmFtaWx5PSJDYWxpYnJpLENhbGlicmlfTVNGb250U2VydmljZSxBcmlhbCIgZm9udC13&#10;ZWlnaHQ9IjQwMCIgZm9udC1zaXplPSIxNyIgdHJhbnNmb3JtPSJtYXRyaXgoMC43OTM1MDIgMCAw&#10;IDAuNzk0IDg3NC43OSA1MTgpIj4sIDwvdGV4dD48dGV4dCBmb250LWZhbWlseT0iQ2FsaWJyaSxD&#10;YWxpYnJpX01TRm9udFNlcnZpY2UsQXJpYWwiIGZvbnQtd2VpZ2h0PSI0MDAiIGZvbnQtc2l6ZT0i&#10;MTciIHRyYW5zZm9ybT0ibWF0cml4KDAuNzkzNTAyIDAgMCAwLjc5NCA4ODEuMTM4IDUxOCkiPnRl&#10;cnJpdG9yeTwvdGV4dD48dGV4dCBmb250LWZhbWlseT0iQ2FsaWJyaSxDYWxpYnJpX01TRm9udFNl&#10;cnZpY2UsQXJpYWwiIGZvbnQtd2VpZ2h0PSI0MDAiIGZvbnQtc2l6ZT0iMTciIHRyYW5zZm9ybT0i&#10;bWF0cml4KDAuNzkzNTAyIDAgMCAwLjc5NCA5MjcuOTU1IDUxOCkiPiwgPC90ZXh0Pjx0ZXh0IGZv&#10;bnQtZmFtaWx5PSJDYWxpYnJpLENhbGlicmlfTVNGb250U2VydmljZSxBcmlhbCIgZm9udC13ZWln&#10;aHQ9IjQwMCIgZm9udC1zaXplPSIxNyIgdHJhbnNmb3JtPSJtYXRyaXgoMC43OTM1MDIgMCAwIDAu&#10;Nzk0IDkzNC4zMDMgNTE4KSI+YW5kIG5hdGlvbmFsIGdvdmVybm1lbnRzIDwvdGV4dD48dGV4dCBm&#10;b250LWZhbWlseT0iQ2FsaWJyaSxDYWxpYnJpX01TRm9udFNlcnZpY2UsQXJpYWwiIGZvbnQtd2Vp&#10;Z2h0PSI0MDAiIGZvbnQtc2l6ZT0iMTciIHRyYW5zZm9ybT0ibWF0cml4KDAuNzkzNTAyIDAgMCAw&#10;Ljc5NCAxMDc4Ljk4IDUxOCkiPig8L3RleHQ+PHRleHQgZm9udC1mYW1pbHk9IkNhbGlicmksQ2Fs&#10;aWJyaV9NU0ZvbnRTZXJ2aWNlLEFyaWFsIiBmb250LXdlaWdodD0iNDAwIiBmb250LXNpemU9IjE3&#10;IiB0cmFuc2Zvcm09Im1hdHJpeCgwLjc5MzUwMiAwIDAgMC43OTQgMTA4Mi45NSA1MTgpIj43PC90&#10;ZXh0Pjx0ZXh0IGZvbnQtZmFtaWx5PSJDYWxpYnJpLENhbGlicmlfTVNGb250U2VydmljZSxBcmlh&#10;bCIgZm9udC13ZWlnaHQ9IjQwMCIgZm9udC1zaXplPSIxNyIgdHJhbnNmb3JtPSJtYXRyaXgoMC43&#10;OTM1MDIgMCAwIDAuNzk0IDEwOTAuMDkgNTE4KSI+KTwvdGV4dD48ZyBjbGlwLXBhdGg9InVybCgj&#10;Y2xpcDI4NSkiPjxnIGNsaXAtcGF0aD0idXJsKCNjbGlwMjg2KSI+PGcgY2xpcC1wYXRoPSJ1cmwo&#10;I2NsaXAyODcpIiB0cmFuc2Zvcm09Im1hdHJpeCgwLjY0NDcyIDAgMCAwLjcwMDU4OCA4MjguMzcx&#10;IDUyMi44MDEpIj48ZyBjbGlwLXBhdGg9InVybCgjY2xpcDI4OCkiPjx1c2Ugd2lkdGg9IjEwMCUi&#10;IGhlaWdodD0iMTAwJSIgeGxpbms6aHJlZj0iI2ltZzIxIiB0cmFuc2Zvcm09InRyYW5zbGF0ZSg3&#10;LjMzMzgyZS0wNiAtMi40OTIwMWUtMDUpIj48L3VzZT48L2c+PC9nPjwvZz48L2c+PHRleHQgZm9u&#10;dC1mYW1pbHk9IkNhbGlicmksQ2FsaWJyaV9NU0ZvbnRTZXJ2aWNlLEFyaWFsIiBmb250LXdlaWdo&#10;dD0iNDAwIiBmb250LXNpemU9IjE3IiB0cmFuc2Zvcm09Im1hdHJpeCgwLjc5MzUwMiAwIDAgMC43&#10;OTQgODQ2LjIyNCA1MzQpIj5TdGF0ZSBhbmQgdGVycml0b3J5IDwvdGV4dD48dGV4dCBmb250LWZh&#10;bWlseT0iQ2FsaWJyaSxDYWxpYnJpX01TRm9udFNlcnZpY2UsQXJpYWwiIGZvbnQtd2VpZ2h0PSI0&#10;MDAiIGZvbnQtc2l6ZT0iMTciIHRyYW5zZm9ybT0ibWF0cml4KDAuNzkzNTAyIDAgMCAwLjc5NCA5&#10;NDguNTU0IDUzNCkiPnBlYWsgIDwvdGV4dD48dGV4dCBmb250LWZhbWlseT0iQ2FsaWJyaSxDYWxp&#10;YnJpX01TRm9udFNlcnZpY2UsQXJpYWwiIGZvbnQtd2VpZ2h0PSI0MDAiIGZvbnQtc2l6ZT0iMTci&#10;IHRyYW5zZm9ybT0ibWF0cml4KDAuNzkzNTAyIDAgMCAwLjc5NCA5ODAuMjk0IDUzNCkiPig8L3Rl&#10;eHQ+PHRleHQgZm9udC1mYW1pbHk9IkNhbGlicmksQ2FsaWJyaV9NU0ZvbnRTZXJ2aWNlLEFyaWFs&#10;IiBmb250LXdlaWdodD0iNDAwIiBmb250LXNpemU9IjE3IiB0cmFuc2Zvcm09Im1hdHJpeCgwLjc5&#10;MzUwMiAwIDAgMC43OTQgOTg0LjI2MiA1MzQpIj4xPC90ZXh0Pjx0ZXh0IGZvbnQtZmFtaWx5PSJD&#10;YWxpYnJpLENhbGlicmlfTVNGb250U2VydmljZSxBcmlhbCIgZm9udC13ZWlnaHQ9IjQwMCIgZm9u&#10;dC1zaXplPSIxNyIgdHJhbnNmb3JtPSJtYXRyaXgoMC43OTM1MDIgMCAwIDAuNzk0IDk5MS40MDMg&#10;NTM0KSI+KTwvdGV4dD48ZyBjbGlwLXBhdGg9InVybCgjY2xpcDI4OSkiPjxnIGNsaXAtcGF0aD0i&#10;dXJsKCNjbGlwMjkwKSI+PGcgY2xpcC1wYXRoPSJ1cmwoI2NsaXAyOTEpIiB0cmFuc2Zvcm09Im1h&#10;dHJpeCgwLjY0NDcyIDAgMCAwLjcwMDU4OCA4MjguMzcxIDUzOC42ODEpIj48ZyBjbGlwLXBhdGg9&#10;InVybCgjY2xpcDI5MikiPjx1c2Ugd2lkdGg9IjEwMCUiIGhlaWdodD0iMTAwJSIgeGxpbms6aHJl&#10;Zj0iI2ltZzIxIiB0cmFuc2Zvcm09InRyYW5zbGF0ZSg3LjMzMzgyZS0wNiAtMy43OTM5NWUtMDUp&#10;Ij48L3VzZT48L2c+PC9nPjwvZz48L2c+PHRleHQgZm9udC1mYW1pbHk9IkNhbGlicmksQ2FsaWJy&#10;aV9NU0ZvbnRTZXJ2aWNlLEFyaWFsIiBmb250LXdlaWdodD0iNDAwIiBmb250LXNpemU9IjE3IiB0&#10;cmFuc2Zvcm09Im1hdHJpeCgwLjc5MzUwMiAwIDAgMC43OTQgODQ2LjIyNCA1NTApIj5PdGhlciA8&#10;L3RleHQ+PHRleHQgZm9udC1mYW1pbHk9IkNhbGlicmksQ2FsaWJyaV9NU0ZvbnRTZXJ2aWNlLEFy&#10;aWFsIiBmb250LXdlaWdodD0iNDAwIiBmb250LXNpemU9IjE3IiB0cmFuc2Zvcm09Im1hdHJpeCgw&#10;Ljc5MzUwMiAwIDAgMC43OTQgODgwLjYwNyA1NTApIj4oPC90ZXh0Pjx0ZXh0IGZvbnQtZmFtaWx5&#10;PSJDYWxpYnJpLENhbGlicmlfTVNGb250U2VydmljZSxBcmlhbCIgZm9udC13ZWlnaHQ9IjQwMCIg&#10;Zm9udC1zaXplPSIxNyIgdHJhbnNmb3JtPSJtYXRyaXgoMC43OTM1MDIgMCAwIDAuNzk0IDg4NC41&#10;NzQgNTUwKSI+NTwvdGV4dD48dGV4dCBmb250LWZhbWlseT0iQ2FsaWJyaSxDYWxpYnJpX01TRm9u&#10;dFNlcnZpY2UsQXJpYWwiIGZvbnQtd2VpZ2h0PSI0MDAiIGZvbnQtc2l6ZT0iMTciIHRyYW5zZm9y&#10;bT0ibWF0cml4KDAuNzkzNTAyIDAgMCAwLjc5NCA4OTEuNzE2IDU1MCkiPik8L3RleHQ+PHRleHQg&#10;Zm9udC1mYW1pbHk9IkNhbGlicmksQ2FsaWJyaV9NU0ZvbnRTZXJ2aWNlLEFyaWFsIiBmb250LXdl&#10;aWdodD0iNzAwIiBmb250LXNpemU9IjE3IiB0cmFuc2Zvcm09Im1hdHJpeCgwLjc5MzUwMiAwIDAg&#10;MC43OTQgODI4LjM3MSA1ODQpIj5DT0xMQUJPUkFUSVZFUzwvdGV4dD48dGV4dCBmb250LWZhbWls&#10;eT0iQ2FsaWJyaSxDYWxpYnJpX01TRm9udFNlcnZpY2UsQXJpYWwiIGZvbnQtd2VpZ2h0PSI3MDAi&#10;IGZvbnQtc2l6ZT0iMTciIHRyYW5zZm9ybT0ibWF0cml4KDAuNzkzNTAyIDAgMCAwLjc5NCA5Mjgu&#10;NzE3IDU4NCkiPjQgPC90ZXh0Pjx0ZXh0IGZvbnQtZmFtaWx5PSJDYWxpYnJpLENhbGlicmlfTVNG&#10;b250U2VydmljZSxBcmlhbCIgZm9udC13ZWlnaHQ9IjcwMCIgZm9udC1zaXplPSIxNyIgdHJhbnNm&#10;b3JtPSJtYXRyaXgoMC43OTM1MDIgMCAwIDAuNzk0IDkzOS4wMzIgNTg0KSI+YW5kIDwvdGV4dD48&#10;dGV4dCBmb250LWZhbWlseT0iQ2FsaWJyaSxDYWxpYnJpX01TRm9udFNlcnZpY2UsQXJpYWwiIGZv&#10;bnQtd2VpZ2h0PSI3MDAiIGZvbnQtc2l6ZT0iMTciIHRyYW5zZm9ybT0ibWF0cml4KDAuNzkzNTAy&#10;IDAgMCAwLjc5NCA5NjIuODM3IDU4NCkiPjU8L3RleHQ+PHRleHQgZm9udC1mYW1pbHk9IkNhbGli&#10;cmksQ2FsaWJyaV9NU0ZvbnRTZXJ2aWNlLEFyaWFsIiBmb250LXdlaWdodD0iNDAwIiBmb250LXNp&#10;emU9IjE3IiB0cmFuc2Zvcm09Im1hdHJpeCgwLjc5MzUwMiAwIDAgMC43OTQgOTcxLjg1OSA1ODQp&#10;Ij4oPC90ZXh0Pjx0ZXh0IGZvbnQtZmFtaWx5PSJDYWxpYnJpLENhbGlicmlfTVNGb250U2Vydmlj&#10;ZSxBcmlhbCIgZm9udC13ZWlnaHQ9IjQwMCIgZm9udC1zaXplPSIxNyIgdHJhbnNmb3JtPSJtYXRy&#10;aXgoMC43OTM1MDIgMCAwIDAuNzk0IDk3NS44MjcgNTg0KSI+NTwvdGV4dD48dGV4dCBmb250LWZh&#10;bWlseT0iQ2FsaWJyaSxDYWxpYnJpX01TRm9udFNlcnZpY2UsQXJpYWwiIGZvbnQtd2VpZ2h0PSI0&#10;MDAiIGZvbnQtc2l6ZT0iMTciIHRyYW5zZm9ybT0ibWF0cml4KDAuNzkzNTAyIDAgMCAwLjc5NCA5&#10;ODIuOTY5IDU4NCkiPik8L3RleHQ+PGcgY2xpcC1wYXRoPSJ1cmwoI2NsaXAyOTMpIj48ZyBjbGlw&#10;LXBhdGg9InVybCgjY2xpcDI5NCkiPjxnIGNsaXAtcGF0aD0idXJsKCNjbGlwMjk1KSIgdHJhbnNm&#10;b3JtPSJtYXRyaXgoMC42NDQ3MiAwIDAgMC43MDA1ODggODI4LjM3MSA1ODcuOTA5KSI+PGcgY2xp&#10;cC1wYXRoPSJ1cmwoI2NsaXAyOTYpIj48dXNlIHdpZHRoPSIxMDAlIiBoZWlnaHQ9IjEwMCUiIHhs&#10;aW5rOmhyZWY9IiNpbWcyMSIgdHJhbnNmb3JtPSJ0cmFuc2xhdGUoNy4zMzM4MmUtMDYgLTUuNDc3&#10;MjJlLTA1KSI+PC91c2U+PC9nPjwvZz48L2c+PC9nPjx0ZXh0IGZvbnQtZmFtaWx5PSJDYWxpYnJp&#10;LENhbGlicmlfTVNGb250U2VydmljZSxBcmlhbCIgZm9udC13ZWlnaHQ9IjQwMCIgZm9udC1zaXpl&#10;PSIxNyIgdHJhbnNmb3JtPSJtYXRyaXgoMC43OTM1MDIgMCAwIDAuNzk0IDg0Ni4yMjQgNTk5KSI+&#10;VW5kZXJzdGFuZGluZyBoZWFsdGggbmVlZHM8L3RleHQ+PGcgY2xpcC1wYXRoPSJ1cmwoI2NsaXAy&#10;OTcpIj48ZyBjbGlwLXBhdGg9InVybCgjY2xpcDI5OCkiPjxnIGNsaXAtcGF0aD0idXJsKCNjbGlw&#10;Mjk5KSIgdHJhbnNmb3JtPSJtYXRyaXgoMC42NDQ3MiAwIDAgMC43MDA1ODggODI4LjM3MSA2MDMu&#10;Nzg5KSI+PGcgY2xpcC1wYXRoPSJ1cmwoI2NsaXAzMDApIj48dXNlIHdpZHRoPSIxMDAlIiBoZWln&#10;aHQ9IjEwMCUiIHhsaW5rOmhyZWY9IiNpbWcyMSIgdHJhbnNmb3JtPSJ0cmFuc2xhdGUoNy4zMzM4&#10;MmUtMDYgLTYuNzU2NTFlLTA2KSI+PC91c2U+PC9nPjwvZz48L2c+PC9nPjx0ZXh0IGZvbnQtZmFt&#10;aWx5PSJDYWxpYnJpLENhbGlicmlfTVNGb250U2VydmljZSxBcmlhbCIgZm9udC13ZWlnaHQ9IjQw&#10;MCIgZm9udC1zaXplPSIxNyIgdHJhbnNmb3JtPSJtYXRyaXgoMC43OTM1MDIgMCAwIDAuNzk0IDg0&#10;Ni4yMjQgNjE1KSI+SW1wcm92aW5nIFBIQyBkYXRhIGVudmlyb25tZW50PC90ZXh0Pjx0ZXh0IGZv&#10;bnQtZmFtaWx5PSJDYWxpYnJpLENhbGlicmlfTVNGb250U2VydmljZSxBcmlhbCIgZm9udC13ZWln&#10;aHQ9IjcwMCIgZm9udC1zaXplPSIxNyIgdHJhbnNmb3JtPSJtYXRyaXgoMC43OTM1MDIgMCAwIDAu&#10;Nzk0IDgyOC4zNzEgNjQ3KSI+UmVzZWFyY2ggcHJvamVjdDwvdGV4dD48ZyBjbGlwLXBhdGg9InVy&#10;bCgjY2xpcDMwMSkiPjxnIGNsaXAtcGF0aD0idXJsKCNjbGlwMzAyKSI+PGcgY2xpcC1wYXRoPSJ1&#10;cmwoI2NsaXAzMDMpIiB0cmFuc2Zvcm09Im1hdHJpeCgwLjY0NDcyIDAgMCAwLjcwMDU4OCA4Mjgu&#10;MzcxIDY1MS40MjkpIj48ZyBjbGlwLXBhdGg9InVybCgjY2xpcDMwNCkiPjx1c2Ugd2lkdGg9IjEw&#10;MCUiIGhlaWdodD0iMTAwJSIgeGxpbms6aHJlZj0iI2ltZzIxIiB0cmFuc2Zvcm09InRyYW5zbGF0&#10;ZSg3LjMzMzgyZS0wNiAtNC41ODE0OGUtMDUpIj48L3VzZT48L2c+PC9nPjwvZz48L2c+PHRleHQg&#10;Zm9udC1mYW1pbHk9IkNhbGlicmksQ2FsaWJyaV9NU0ZvbnRTZXJ2aWNlLEFyaWFsIiBmb250LXdl&#10;aWdodD0iNDAwIiBmb250LXNpemU9IjE3IiB0cmFuc2Zvcm09Im1hdHJpeCgwLjc5MzUwMiAwIDAg&#10;MC43OTQgODQ2LjIyNCA2NjMpIj5JbnRlZ3JhdGVkIGNhcmUgPC90ZXh0PjxnIGNsaXAtcGF0aD0i&#10;dXJsKCNjbGlwMzA1KSI+PGcgY2xpcC1wYXRoPSJ1cmwoI2NsaXAzMDYpIj48ZyBjbGlwLXBhdGg9&#10;InVybCgjY2xpcDMwNykiPjxwYXRoIGQ9Ik01LjI3MTM3IDQuNDE0NzhDNS4yNzEzNyA0LjQxNDc4&#10;IDUuMjQ1MDEgNC40MTQ3OCA1LjIzMTgzIDQuNDE0NzggMy45MDc0IDQuMzc1MjMgMi41ODk1NiA0&#10;LjMyOTExIDEuMjcxNzIgNC4yNzY0IDAuNTQwMzE1IDQuMjQzNDUtMC4wMjYzNTY4IDMuNjMwNjUg&#10;MCAyLjg5OTI1IDAuMDI2MzU2OCAyLjE3NDQ0IDAuNjM5MTUzIDEuNjE0MzYgMS4zNzA1NiAxLjYz&#10;NDEyIDIuNjgxODEgMS42ODY4NCAzLjk5MzA3IDEuNzMyOTYgNS4zMTA5MSAxLjc3MjUgNi4wMzU3&#10;MiAxLjc5MjI2IDYuNjA4OTggMi40MDUwNyA2LjU4OTIyIDMuMTI5ODggNi41Njk0NSAzLjg0MTUx&#10;IDUuOTgzIDQuNDA4MTkgNS4yNzEzNyA0LjQwODE5WiIgZmlsbD0iI0ZGRkZGRiIgdHJhbnNmb3Jt&#10;PSJtYXRyaXgoMS4yODg0NiAwIDAgMSA1MjcuMzA4IDQxNi44NSkiLz48cGF0aCBkPSJNNTMuMTYx&#10;OCA0Ljc2NCA0NS4xODIzIDQuNzY0QzQ0LjQ1NzQgNC43NjQgNDMuODY0NCA0LjE3MDk3IDQzLjg2&#10;NDQgMy40Mzk1NyA0My44NjQ0IDIuNzA4MTcgNDQuNDU3NCAyLjEyMTczIDQ1LjE4MjMgMi4xMjE3&#10;M0w1My4xNjg0IDIuMTIxNzNDNTMuODkzMiAyLjEyMTczIDU0LjQ4NjIgMi43MjEzNSA1NC40ODYy&#10;IDMuNDQ2MTYgNTQuNDg2MiA0LjE3MDk3IDUzLjg5MzIgNC43NjQgNTMuMTY4NCA0Ljc2NFpNMzQu&#10;NDgxNCA0Ljc2NEMzMi43MjIgNC43NjQgMzAuOTY5MyA0Ljc2NCAyOS4yMTY2IDQuNzY0IDI4LjQ5&#10;MTcgNC43NjQgMjcuODk4NyA0LjE3MDk3IDI3Ljg5ODcgMy40NDYxNiAyNy44OTg3IDIuNzIxMzUg&#10;MjguNDkxNyAyLjEyODMyIDI5LjIxNjYgMi4xMjgzMkwyOS4yMTY2IDIuMTI4MzJDMzAuOTY5MyAy&#10;LjEyODMyIDMyLjcyMiAyLjEyODMyIDM0LjQ4MTQgMi4xMjgzMkwzNy4xOTYxIDIuMTI4MzJDMzcu&#10;MTk2MSAyLjEyODMyIDM3LjE5NjEgMi4xMjgzMiAzNy4xOTYxIDIuMTI4MzIgMzcuOTIwOSAyLjEy&#10;ODMyIDM4LjUxMzkgMi43MTQ3NiAzOC41MTM5IDMuNDQ2MTYgMzguNTEzOSA0LjE3NzU2IDM3Ljky&#10;NzUgNC43NjQgMzcuMTk2MSA0Ljc2NEwzNC40NzQ4IDQuNzY0Wk02MS4xNDc5IDQuNzY0QzYwLjQy&#10;MzEgNC43NjQgNTkuODMgNC4xNzc1NiA1OS44MyAzLjQ0NjE2IDU5LjgzIDIuNzIxMzUgNjAuNDE2&#10;NSAyLjEyODMyIDYxLjE0NzkgMi4xMjgzMiA2My44MDMzIDIuMTI4MzIgNjYuNDY1MyAyLjExNTE0&#10;IDY5LjEyNzQgMi4xMDE5Nkw2OS4xMzQgMi4xMDE5NkM2OS44NTg4IDIuMTAxOTYgNzAuNDQ1MyAy&#10;LjY4ODQgNzAuNDUxOSAzLjQxMzIyIDcwLjQ1MTkgNC4xMzgwMyA2OS44NjU0IDQuNzMxMDYgNjku&#10;MTQwNiA0LjczNzY0IDY2LjQ3ODUgNC43NTA4MiA2My44MTY1IDQuNzU3NDEgNjEuMTU0NCA0Ljc2&#10;NEw2MS4xNTQ0IDQuNzY0Wk0yMS4yMzcgNC43MjQ0NyAyMS4yMjM5IDQuNzI0NDdDMTguNTU1MiA0&#10;LjY5ODExIDE1Ljg5MzIgNC42NjUxNiAxMy4yMzExIDQuNjE5MDQgMTIuNTA2MyA0LjYwNTg2IDEx&#10;LjkyNjQgNC4wMDYyNCAxMS45Mzk2IDMuMjc0ODQgMTEuOTUyOCAyLjU1NjYyIDEyLjUzOTIgMS45&#10;ODMzNiAxMy4yNTc1IDEuOTgzMzZMMTMuMjgzOSAxLjk4MzM2QzE1LjkzOTMgMi4wMjk0OCAxOC41&#10;OTQ4IDIuMDYyNDIgMjEuMjUwMiAyLjA4ODc4IDIxLjk3NSAyLjA4ODc4IDIyLjU2MTQgMi42ODg0&#10;IDIyLjU1NDggMy40MTk4IDIyLjU1NDggNC4xNDQ2MiAyMS45NjE5IDQuNzI0NDcgMjEuMjM3IDQu&#10;NzI0NDdaTTc3LjExMzUgNC42OTE1MkM3Ni4zODg4IDQuNjkxNTIgNzUuODAyMyA0LjExMTY3IDc1&#10;Ljc5NTcgMy4zODY4NSA3NS43OTU3IDIuNjYyMDQgNzYuMzc1NiAyLjA2MjQyIDc3LjEwMDMgMi4w&#10;NTU4MyA3OS43NjIxIDIuMDM2MDcgODIuNDE4IDIuMDA5NzEgODUuMDgwMyAxLjk4MzM2TDg1LjA5&#10;MyAxLjk4MzM2Qzg1LjgxMTYgMS45ODMzNiA4Ni40MDQ3IDIuNTYzMjEgODYuNDExIDMuMjg4MDIg&#10;ODYuNDE3NCA0LjAxMjgzIDg1LjgzNzggNC42MTI0NSA4NS4xMDY1IDQuNjE5MDQgODIuNDQ0MiA0&#10;LjY0NTM5IDc5Ljc4MTkgNC42NzE3NSA3Ny4xMjAxIDQuNjkxNTJMNzcuMTA2OSA0LjY5MTUyWk05&#10;My4wNzkgNC41MTM2MUM5Mi4zNjEzIDQuNTEzNjEgOTEuNzc0NSAzLjkzMzc2IDkxLjc2MSAzLjIx&#10;NTUzIDkxLjc0ODMgMi40OTA3MiA5Mi4zMzQzIDEuODkxMSA5My4wNTkyIDEuODc3OTMgOTQuNDAz&#10;NCAxLjg1ODE2IDk1Ljc0NzcgMS44MzgzOSA5Ny4wOTgzIDEuODEyMDQgOTguNDEgMS43OTIyNiA5&#10;OS43MjA4IDEuNzU5MzIgMTAxLjAyNiAxLjcyNjM3IDEwMS43NDQgMS42OTM0MyAxMDIuMzU3IDIu&#10;Mjc5ODcgMTAyLjM3NyAzLjAxMTI3IDEwMi4zOTcgMy43MzYwOCAxMDEuODIzIDQuMzQyMjkgMTAx&#10;LjA5MiA0LjM2MjA2IDk5Ljc3NCA0LjM5NSA5OC40NTYgNC40MjEzNiA5Ny4xMzggNC40NDc3MiA5&#10;NS43OTM3IDQuNDY3NDkgOTQuNDQzMSA0LjQ5Mzg0IDkzLjA5ODkgNC41MTM2MUw5My4wNzkgNC41&#10;MTM2MVpNMTA5LjAzOCA0LjEwNTA4QzEwOC4zMzMgNC4xMDUwOCAxMDcuNzQ3IDMuNTQ1IDEwNy43&#10;MiAyLjgzOTk1IDEwNy42OTQgMi4xMTUxNCAxMDguMjYxIDEuNTAyMzQgMTA4Ljk4NSAxLjQ2OTM5&#10;IDExMS42NDEgMS4zNjM5NyAxMTQuMjk2IDEuMjUxOTUgMTE2Ljk1MiAxLjEzMzM1IDExNy42NjQg&#10;MS4xMDA0IDExOC4yOTYgMS42NjA0OCAxMTguMzI5IDIuMzkxODkgMTE4LjM2MiAzLjExNjcgMTE3&#10;LjgwMiAzLjczNjA4IDExNy4wNzEgMy43NjkwMyAxMTQuNDA4IDMuODg3NjQgMTExLjc0NyA0LjAw&#10;NjI0IDEwOS4wODQgNC4xMDUwOCAxMDkuMDY1IDQuMTA1MDggMTA5LjA1MSA0LjEwNTA4IDEwOS4w&#10;MzIgNC4xMDUwOFpNMTI0Ljk5MSAzLjQwNjYzQzEyNC4yOTIgMy40MDY2MyAxMjMuNzA2IDIuODUz&#10;MTMgMTIzLjY3MyAyLjE0ODA4IDEyMy42NCAxLjQyMzI3IDEyNC4yMDcgMC44MDM4ODUgMTI0Ljkz&#10;MSAwLjc3MDkzOCAxMjcuNTkzIDAuNjUyMzMyIDEzMC4yNTYgMC41NDAzMTUgMTMyLjkxNyAwLjQz&#10;NDg4OCAxMzMuNjU2IDAuMzg4NzY0IDEzNC4yNTUgMC45NzUyMDcgMTM0LjI4OCAxLjcwMDAyIDEz&#10;NC4zMTUgMi40MjQ4MyAxMzMuNzQ4IDMuMDM3NjMgMTMzLjAyMyAzLjA3MDU3IDEzMC4zNjggMy4x&#10;Njk0MSAxMjcuNzEyIDMuMjg4MDIgMTI1LjA1NyAzLjQwNjYzIDEyNS4wMzcgMy40MDY2MyAxMjUu&#10;MDE3IDMuNDA2NjMgMTI0Ljk5NyAzLjQwNjYzWk0xODAuODYxIDIuODMzMzYgMTgwLjg0OCAyLjgz&#10;MzM2IDE3Mi44NjggMi43NDc3QzE3Mi4xNDMgMi43NDExMSAxNzEuNTU2IDIuMTQxNSAxNzEuNTY0&#10;IDEuNDE2NjggMTcxLjU3IDAuNjkxODY3IDE3Mi4xODMgMC4wOTIyNDkzIDE3Mi44OTQgMC4xMTIw&#10;MTdMMTgwLjg3NCAwLjE5NzY3N0MxODEuNTk5IDAuMjA0MjY1IDE4Mi4xODUgMC44MDM4ODUgMTgy&#10;LjE3OSAxLjUyODcgMTgyLjE3MiAyLjI1MzUxIDE4MS41ODUgMi44MzMzNiAxODAuODYxIDIuODMz&#10;MzZaTTE0MC45NSAyLjgxMzU5QzE0MC4yMzggMi44MTM1OSAxMzkuNjUyIDIuMjQ2OTIgMTM5LjYz&#10;MiAxLjUyODcgMTM5LjYxMiAwLjgwMzg4NSAxNDAuMTkyIDAuMTk3Njc3IDE0MC45MTcgMC4xNzc5&#10;MDggMTQyLjI2MSAwLjE0NDk2MyAxNDMuNTk5IDAuMTE4NjA2IDE0NC45MzYgMC4wOTIyNDkzIDE0&#10;Ni4yNiAwLjA3MjQ4MTMgMTQ3LjU5MiAwLjA1MjcxMzcgMTQ4LjkxNiAwLjAzOTUzNTJMMTQ4Ljky&#10;OSAwLjAzOTUzNTJDMTQ5LjY1NCAwLjAzOTUzNTIgMTUwLjI0MSAwLjYxOTM4NiAxNTAuMjQ3IDEu&#10;MzQ0MiAxNTAuMjU0IDIuMDY5MDEgMTQ5LjY2NyAyLjY2ODYzIDE0OC45NDMgMi42NzUyMiAxNDcu&#10;NjI0IDIuNjg4NCAxNDYuMyAyLjcwMTU4IDE0NC45ODMgMi43Mjc5MyAxNDMuNjUxIDIuNzQ3NyAx&#10;NDIuMzE0IDIuNzc0MDYgMTQwLjk4MyAyLjgwNyAxNDAuOTcgMi44MDcgMTQwLjk2MyAyLjgwNyAx&#10;NDAuOTUgMi44MDdaTTE2NC44OTUgMi42NzUyMiAxNjQuODg4IDIuNjc1MjJDMTYyLjIzMyAyLjY1&#10;NTQ1IDE1OS41NzcgMi42NDIyNyAxNTYuOTE2IDIuNjQyMjcgMTU2LjE5MSAyLjY0MjI3IDE1NS41&#10;OTggMi4wNDkyNCAxNTUuNTk4IDEuMzI0NDMgMTU1LjU5OCAwLjU5OTYxOCAxNTYuMTkxIDAuMDA2&#10;NTg5MjEgMTU2LjkxNiAwLjAwNjU4OTIxTDE1Ni45MTYgMC4wMDY1ODkyMUMxNTkuNTg0IDAuMDA2&#10;NTg5MjEgMTYyLjI0NiAwLjAxOTc2NzcgMTY0LjkwOCAwLjAzOTUzNTIgMTY1LjYzMyAwLjAzOTUz&#10;NTIgMTY2LjIxOSAwLjYzOTE1MyAxNjYuMjE5IDEuMzYzOTcgMTY2LjIxOSAyLjA4ODc4IDE2NS42&#10;MjcgMi42NzUyMiAxNjQuOTAyIDIuNjc1MjJaIiBmaWxsPSIjRkZGRkZGIiB0cmFuc2Zvcm09Im1h&#10;dHJpeCgxLjI4ODQ2IDAgMCAxIDUyNy4zMDggNDE2Ljg1KSIvPjxwYXRoIGQ9Ik0xOTIuNzg3IDIu&#10;OTI1NjEgMTkyLjc4NyAyLjkyNTYxQzE5MS40NjkgMi45MjU2MSAxOTAuMTUxIDIuOTEyNDMgMTg4&#10;LjgyNyAyLjg5OTI1IDE4OC4xMDMgMi44OTkyNSAxODcuNTE2IDIuMjk5NjQgMTg3LjUxNiAxLjU3&#10;NDgyIDE4Ny41MTYgMC44NTAwMDkgMTg4LjEwOSAwLjI2MzU2OCAxODguODM0IDAuMjYzNTY4TDE4&#10;OC44NDcgMC4yNjM1NjhDMTkwLjE2NSAwLjI3MDE1OCAxOTEuNDgzIDAuMjgzMzM2IDE5Mi43OTQg&#10;MC4yODk5MjUgMTkzLjUxOCAwLjI4OTkyNSAxOTQuMTEyIDAuODgyOTUyIDE5NC4xMDUgMS42MTQz&#10;NiAxOTQuMTA1IDIuMzM5MTcgMTkzLjUxMiAyLjkyNTYxIDE5Mi43ODcgMi45MjU2MVoiIGZpbGw9&#10;IiNGRkZGRkYiIHRyYW5zZm9ybT0ibWF0cml4KDEuMjg4NDYgMCAwIDEgNTI3LjMwOCA0MTYuODUp&#10;Ii8+PC9nPjwvZz48L2c+PGcgY2xpcC1wYXRoPSJ1cmwoI2NsaXAzMDgpIj48ZyBjbGlwLXBhdGg9&#10;InVybCgjY2xpcDMwOSkiPjxnIGNsaXAtcGF0aD0idXJsKCNjbGlwMzEwKSI+PHBhdGggZD0iTTQu&#10;MzkyODEgMy42Nzg5OEM0LjM5MjgxIDMuNjc4OTggNC4zNzA4NCAzLjY3ODk4IDQuMzU5ODYgMy42&#10;Nzg5OCAzLjI1NjE3IDMuNjQ2MDMgMi4xNTc5NiAzLjYwNzU5IDEuMDU5NzcgMy41NjM2NiAwLjQ1&#10;MDI2MyAzLjUzNjIxLTAuMDIxOTY0IDMuMDI1NTQgMCAyLjQxNjA1IDAuMDIxOTY0IDEuODEyMDQg&#10;MC41MzI2MjggMS4zNDUzIDEuMTQyMTMgMS4zNjE3NyAyLjIzNDg0IDEuNDA1NyAzLjMyNzU1IDEu&#10;NDQ0MTQgNC40MjU3NiAxLjQ3NzA4IDUuMDI5NzcgMS40OTM1NSA1LjUwNzQ5IDIuMDA0MjEgNS40&#10;OTEwMSAyLjYwODIzIDUuNDc0NTMgMy4yMDEyNiA0Ljk4NTg0IDMuNjczNDkgNC4zOTI4MSAzLjY3&#10;MzQ5WiIgZmlsbD0iIzM2NDI0QSIgdHJhbnNmb3JtPSJtYXRyaXgoMS41NDYxNSAwIDAgMSA4MzUu&#10;MTg3IDM0Ni45NzgpIi8+PHBhdGggZD0iTTQ0LjMwMTUgMy45NyAzNy42NTE5IDMuOTdDMzcuMDQ3&#10;OSAzLjk3IDM2LjU1MzYgMy40NzU4MSAzNi41NTM2IDIuODY2MzEgMzYuNTUzNiAyLjI1NjggMzcu&#10;MDQ3OSAxLjc2ODEgMzcuNjUxOSAxLjc2ODFMNDQuMzA2OSAxLjc2ODFDNDQuOTEwOSAxLjc2ODEg&#10;NDUuNDA1MSAyLjI2Nzc5IDQ1LjQwNTEgMi44NzE3OSA0NS40MDUxIDMuNDc1ODEgNDQuOTEwOSAz&#10;Ljk3IDQ0LjMwNjkgMy45N1pNMjguNzM0NSAzLjk3QzI3LjI2ODMgMy45NyAyNS44MDc4IDMuOTcg&#10;MjQuMzQ3MSAzLjk3IDIzLjc0MzEgMy45NyAyMy4yNDkgMy40NzU4MSAyMy4yNDkgMi44NzE3OSAy&#10;My4yNDkgMi4yNjc3OSAyMy43NDMxIDEuNzczNiAyNC4zNDcxIDEuNzczNkwyNC4zNDcxIDEuNzcz&#10;NkMyNS44MDc4IDEuNzczNiAyNy4yNjgzIDEuNzczNiAyOC43MzQ1IDEuNzczNkwzMC45OTY3IDEu&#10;NzczNkMzMC45OTY3IDEuNzczNiAzMC45OTY3IDEuNzczNiAzMC45OTY3IDEuNzczNiAzMS42MDA3&#10;IDEuNzczNiAzMi4wOTUgMi4yNjIzIDMyLjA5NSAyLjg3MTc5IDMyLjA5NSAzLjQ4MTMgMzEuNjA2&#10;MyAzLjk3IDMwLjk5NjcgMy45N0wyOC43MjkgMy45N1pNNTAuOTU2NSAzLjk3QzUwLjM1MjUgMy45&#10;NyA0OS44NTg0IDMuNDgxMyA0OS44NTg0IDIuODcxNzkgNDkuODU4NCAyLjI2Nzc5IDUwLjM0NzEg&#10;MS43NzM2IDUwLjk1NjUgMS43NzM2IDUzLjE2OTQgMS43NzM2IDU1LjM4NzkgMS43NjI2MiA1Ny42&#10;MDYyIDEuNzUxNjRMNTcuNjExNyAxLjc1MTY0QzU4LjIxNTcgMS43NTE2NCA1OC43MDQ0IDIuMjQw&#10;MzMgNTguNzA5OSAyLjg0NDM1IDU4LjcwOTkgMy40NDgzNiA1OC4yMjEyIDMuOTQyNTQgNTcuNjE3&#10;MiAzLjk0ODA0IDU1LjM5ODggMy45NTkwMiA1My4xODA1IDMuOTY0NTEgNTAuOTYyMSAzLjk3TDUw&#10;Ljk2MjEgMy45N1pNMTcuNjk3NSAzLjkzNzA2IDE3LjY4NjUgMy45MzcwNkMxNS40NjI3IDMuOTE1&#10;MDkgMTMuMjQ0MyAzLjg4NzY0IDExLjAyNiAzLjg0OTIgMTAuNDIyIDMuODM4MjEgOS45Mzg3NCAz&#10;LjMzODUzIDkuOTQ5NjkgMi43MjkwMyA5Ljk2MDczIDIuMTMwNTEgMTAuNDQ5NCAxLjY1Mjc5IDEx&#10;LjA0NzkgMS42NTI3OUwxMS4wNjk5IDEuNjUyNzlDMTMuMjgyNyAxLjY5MTIzIDE1LjQ5NTYgMS43&#10;MTg2OCAxNy43MDg1IDEuNzQwNjUgMTguMzEyNSAxLjc0MDY1IDE4LjgwMTIgMi4yNDAzMyAxOC43&#10;OTU3IDIuODQ5ODMgMTguNzk1NyAzLjQ1Mzg0IDE4LjMwMTUgMy45MzcwNiAxNy42OTc1IDMuOTM3&#10;MDZaTTY0LjI2MTMgMy45MDk2QzYzLjY1NzMgMy45MDk2IDYzLjE2ODYgMy40MjYzOSA2My4xNjMx&#10;IDIuODIyMzggNjMuMTYzMSAyLjIxODM2IDYzLjY0NjMgMS43MTg2OCA2NC4yNTAzIDEuNzEzMiA2&#10;Ni40Njg3IDEuNjk2NzIgNjguNjgxNiAxLjY3NDc2IDcwLjg5OTkgMS42NTI3OUw3MC45MTA5IDEu&#10;NjUyNzlDNzEuNTA5NCAxLjY1Mjc5IDcyLjAwMzcgMi4xMzYgNzIuMDA5MSAyLjc0MDAxIDcyLjAx&#10;NDYgMy4zNDQwMyA3MS41MzE0IDMuODQzNzEgNzAuOTIxOSAzLjg0OTIgNjguNzAzNiAzLjg3MTE2&#10;IDY2LjQ4NTEgMy44OTMxMyA2NC4yNjY4IDMuOTA5Nkw2NC4yNTU4IDMuOTA5NlpNNzcuNTY2IDMu&#10;NzYxMzRDNzYuOTY3NSAzLjc2MTM0IDc2LjQ3ODggMy4yNzgxMyA3Ni40Njc4IDIuNjc5NjIgNzYu&#10;NDU2OCAyLjA3NTYgNzYuOTQ1NSAxLjU3NTkyIDc3LjU0OTUgMS41NjQ5MyA3OC42Njk3IDEuNTQ4&#10;NDcgNzkuNzg5OSAxLjUzMTk5IDgwLjkxNTcgMS41MTAwMyA4Mi4wMDgzIDEuNDkzNTUgODMuMTAw&#10;OCAxLjQ2NjEgODQuMTg3OCAxLjQzODY0IDg0Ljc4NjUgMS40MTExOSA4NS4yOTcgMS44OTk4OSA4&#10;NS4zMTM3IDIuNTA5MzkgODUuMzMwNCAzLjExMzQgODQuODUyNCAzLjYxODU4IDg0LjI0MzQgMy42&#10;MzUwNSA4My4xNDQ1IDMuNjYyNSA4Mi4wNDY0IDMuNjg0NDcgODAuOTQ4MyAzLjcwNjQzIDc5Ljgy&#10;OCAzLjcyMjkxIDc4LjcwMjYgMy43NDQ4NyA3Ny41ODI1IDMuNzYxMzRMNzcuNTY2IDMuNzYxMzRa&#10;TTkwLjg2NTQgMy40MjA5QzkwLjI3NzggMy40MjA5IDg5Ljc4ODcgMi45NTQxNiA4OS43NjczIDIu&#10;MzY2NjMgODkuNzQ1IDEuNzYyNjIgOTAuMjE3NSAxLjI1MTk1IDkwLjgyMTcgMS4yMjQ1IDkzLjAz&#10;NDYgMS4xMzY2NCA5NS4yNDc1IDEuMDQzMjkgOTcuNDYwMyAwLjk0NDQ1NSA5OC4wNTI3IDAuOTE2&#10;OTk5IDk4LjU3OTkgMS4zODM3NCA5OC42MDc3IDEuOTkzMjMgOTguNjM0NyAyLjU5NzI1IDk4LjE2&#10;ODYgMy4xMTM0IDk3LjU1ODggMy4xNDA4NiA5NS4zNDAzIDMuMjM5NyA5My4xMjE5IDMuMzM4NTMg&#10;OTAuOTAzNSAzLjQyMDkgOTAuODg2OCAzLjQyMDkgOTAuODc2NSAzLjQyMDkgOTAuODU5OCAzLjQy&#10;MDlaTTEwNC4xNTkgMi44Mzg4NUMxMDMuNTc3IDIuODM4ODUgMTAzLjA4OCAyLjM3NzYxIDEwMy4w&#10;NiAxLjc5MDA3IDEwMy4wMzMgMS4xODYwNiAxMDMuNTA2IDAuNjY5OTAzIDEwNC4xMDkgMC42NDI0&#10;NDggMTA2LjMyOCAwLjU0MzYxIDEwOC41NDYgMC40NTAyNjMgMTEwLjc2NSAwLjM2MjQwNyAxMTEu&#10;MzggMC4zMjM5NjkgMTExLjg3OSAwLjgxMjY2NyAxMTEuOTA3IDEuNDE2NjggMTExLjkyOSAyLjAy&#10;MDY5IDExMS40NTYgMi41MzEzNiAxMTAuODUzIDIuNTU4ODEgMTA4LjY0IDIuNjQxMTggMTA2LjQy&#10;NyAyLjc0MDAxIDEwNC4yMTQgMi44Mzg4NSAxMDQuMTk3IDIuODM4ODUgMTA0LjE4MSAyLjgzODg1&#10;IDEwNC4xNjQgMi44Mzg4NVpNMTUwLjcxNyAyLjM2MTEzIDE1MC43MDYgMi4zNjExMyAxNDQuMDU3&#10;IDIuMjg5NzVDMTQzLjQ1MyAyLjI4NDI2IDE0Mi45NjQgMS43ODQ1OCAxNDIuOTY5IDEuMTgwNTcg&#10;MTQyLjk3NSAwLjU3NjU1NiAxNDMuNDg1IDAuMDc2ODc0MSAxNDQuMDc4IDAuMDkzMzQ3NEwxNTAu&#10;NzI4IDAuMTY0NzNDMTUxLjMzMiAwLjE3MDIyMiAxNTEuODIxIDAuNjY5OTAzIDE1MS44MTUgMS4y&#10;NzM5MiAxNTEuODEgMS44Nzc5MyAxNTEuMzIxIDIuMzYxMTMgMTUwLjcxNyAyLjM2MTEzWk0xMTcu&#10;NDU4IDIuMzQ0NjZDMTE2Ljg2NSAyLjM0NDY2IDExNi4zNzcgMS44NzI0MyAxMTYuMzYgMS4yNzM5&#10;MiAxMTYuMzQzIDAuNjY5OTAzIDExNi44MjcgMC4xNjQ3MyAxMTcuNDMxIDAuMTQ4MjU3IDExOC41&#10;NTEgMC4xMjA4MDIgMTE5LjY2NSAwLjA5ODgzNzkgMTIwLjc4IDAuMDc2ODc0MSAxMjEuODg0IDAu&#10;MDYwNDAxMSAxMjIuOTkzIDAuMDQzOTI4MSAxMjQuMDk3IDAuMDMyOTQ2MUwxMjQuMTA4IDAuMDMy&#10;OTQ2MUMxMjQuNzEyIDAuMDMyOTQ2MSAxMjUuMiAwLjUxNjE1NSAxMjUuMjA2IDEuMTIwMTcgMTI1&#10;LjIxMSAxLjcyNDE4IDEyNC43MjMgMi4yMjM4NiAxMjQuMTE5IDIuMjI5MzUgMTIzLjAyMSAyLjI0&#10;MDMzIDEyMS45MTcgMi4yNTEzMiAxMjAuODE5IDIuMjczMjggMTE5LjcxIDIuMjg5NzUgMTE4LjU5&#10;NSAyLjMxMTcyIDExNy40ODYgMi4zMzkxNyAxMTcuNDc1IDIuMzM5MTcgMTE3LjQ2OSAyLjMzOTE3&#10;IDExNy40NTggMi4zMzkxN1pNMTM3LjQxMyAyLjIyOTM1IDEzNy40MDcgMi4yMjkzNUMxMzUuMTk0&#10;IDIuMjEyODggMTMyLjk4MiAyLjIwMTkgMTMwLjc2MyAyLjIwMTkgMTMwLjE1OSAyLjIwMTkgMTI5&#10;LjY2NSAxLjcwNzcgMTI5LjY2NSAxLjEwMzY5IDEyOS42NjUgMC40OTk2ODIgMTMwLjE1OSAwLjAw&#10;NTQ5MTAxIDEzMC43NjMgMC4wMDU0OTEwMUwxMzAuNzYzIDAuMDA1NDkxMDFDMTMyLjk4NyAwLjAw&#10;NTQ5MTAxIDEzNS4yMDYgMC4wMTY0NzMgMTM3LjQyMyAwLjAzMjk0NjEgMTM4LjAyNyAwLjAzMjk0&#10;NjEgMTM4LjUxNiAwLjUzMjYyOCAxMzguNTE2IDEuMTM2NjQgMTM4LjUxNiAxLjc0MDY1IDEzOC4w&#10;MjIgMi4yMjkzNSAxMzcuNDE4IDIuMjI5MzVaIiBmaWxsPSIjMzY0MjRBIiB0cmFuc2Zvcm09Im1h&#10;dHJpeCgxLjU0NjE1IDAgMCAxIDgzNS4xODcgMzQ2Ljk3OCkiLz48cGF0aCBkPSJNMTYwLjY1NiAy&#10;LjQzODAxIDE2MC42NTYgMi40MzgwMUMxNTkuNTU3IDIuNDM4MDEgMTU4LjQ1OSAyLjQyNzAzIDE1&#10;Ny4zNTYgMi40MTYwNSAxNTYuNzUxIDIuNDE2MDUgMTU2LjI2MyAxLjkxNjM2IDE1Ni4yNjMgMS4z&#10;MTIzNiAxNTYuMjYzIDAuNzA4MzQgMTU2Ljc1NyAwLjIxOTY0IDE1Ny4zNjEgMC4yMTk2NEwxNTcu&#10;MzcyIDAuMjE5NjRDMTU4LjQ3MSAwLjIyNTEzMiAxNTkuNTY5IDAuMjM2MTEzIDE2MC42NjEgMC4y&#10;NDE2MDUgMTYxLjI2NSAwLjI0MTYwNSAxNjEuNzYgMC43MzU3OTUgMTYxLjc1NCAxLjM0NTMgMTYx&#10;Ljc1NCAxLjk0OTMxIDE2MS4yNiAyLjQzODAxIDE2MC42NTYgMi40MzgwMVoiIGZpbGw9IiMzNjQy&#10;NEEiIHRyYW5zZm9ybT0ibWF0cml4KDEuNTQ2MTUgMCAwIDEgODM1LjE4NyAzNDYuOTc4KSIvPjwv&#10;Zz48L2c+PC9nPjxnIGNsaXAtcGF0aD0idXJsKCNjbGlwMzExKSI+PGcgY2xpcC1wYXRoPSJ1cmwo&#10;I2NsaXAzMTIpIj48ZyBjbGlwLXBhdGg9InVybCgjY2xpcDMxMykiPjxwYXRoIGQ9Ik01LjI3MTM3&#10;IDQuNDE0NzhDNS4yNzEzNyA0LjQxNDc4IDUuMjQ1MDEgNC40MTQ3OCA1LjIzMTgzIDQuNDE0Nzgg&#10;My45MDc0IDQuMzc1MjMgMi41ODk1NiA0LjMyOTExIDEuMjcxNzIgNC4yNzY0IDAuNTQwMzE1IDQu&#10;MjQzNDUtMC4wMjYzNTY4IDMuNjMwNjUgMCAyLjg5OTI1IDAuMDI2MzU2OCAyLjE3NDQ0IDAuNjM5&#10;MTUzIDEuNjE0MzYgMS4zNzA1NiAxLjYzNDEyIDIuNjgxODEgMS42ODY4NCAzLjk5MzA3IDEuNzMy&#10;OTYgNS4zMTA5MSAxLjc3MjUgNi4wMzU3MiAxLjc5MjI2IDYuNjA4OTggMi40MDUwNyA2LjU4OTIy&#10;IDMuMTI5ODggNi41Njk0NSAzLjg0MTUxIDUuOTgzIDQuNDA4MTkgNS4yNzEzNyA0LjQwODE5WiIg&#10;ZmlsbD0iIzM2NDI0QSIgdHJhbnNmb3JtPSJtYXRyaXgoMS4yODg0NiAwIDAgMSA4MzUuMTg3IDQw&#10;MC45NykiLz48cGF0aCBkPSJNNTMuMTYxOCA0Ljc2NCA0NS4xODIzIDQuNzY0QzQ0LjQ1NzQgNC43&#10;NjQgNDMuODY0NCA0LjE3MDk3IDQzLjg2NDQgMy40Mzk1NyA0My44NjQ0IDIuNzA4MTcgNDQuNDU3&#10;NCAyLjEyMTczIDQ1LjE4MjMgMi4xMjE3M0w1My4xNjg0IDIuMTIxNzNDNTMuODkzMiAyLjEyMTcz&#10;IDU0LjQ4NjIgMi43MjEzNSA1NC40ODYyIDMuNDQ2MTYgNTQuNDg2MiA0LjE3MDk3IDUzLjg5MzIg&#10;NC43NjQgNTMuMTY4NCA0Ljc2NFpNMzQuNDgxNCA0Ljc2NEMzMi43MjIgNC43NjQgMzAuOTY5MyA0&#10;Ljc2NCAyOS4yMTY2IDQuNzY0IDI4LjQ5MTcgNC43NjQgMjcuODk4NyA0LjE3MDk3IDI3Ljg5ODcg&#10;My40NDYxNiAyNy44OTg3IDIuNzIxMzUgMjguNDkxNyAyLjEyODMyIDI5LjIxNjYgMi4xMjgzMkwy&#10;OS4yMTY2IDIuMTI4MzJDMzAuOTY5MyAyLjEyODMyIDMyLjcyMiAyLjEyODMyIDM0LjQ4MTQgMi4x&#10;MjgzMkwzNy4xOTYxIDIuMTI4MzJDMzcuMTk2MSAyLjEyODMyIDM3LjE5NjEgMi4xMjgzMiAzNy4x&#10;OTYxIDIuMTI4MzIgMzcuOTIwOSAyLjEyODMyIDM4LjUxMzkgMi43MTQ3NiAzOC41MTM5IDMuNDQ2&#10;MTYgMzguNTEzOSA0LjE3NzU2IDM3LjkyNzUgNC43NjQgMzcuMTk2MSA0Ljc2NEwzNC40NzQ4IDQu&#10;NzY0Wk02MS4xNDc5IDQuNzY0QzYwLjQyMzEgNC43NjQgNTkuODMgNC4xNzc1NiA1OS44MyAzLjQ0&#10;NjE2IDU5LjgzIDIuNzIxMzUgNjAuNDE2NSAyLjEyODMyIDYxLjE0NzkgMi4xMjgzMiA2My44MDMz&#10;IDIuMTI4MzIgNjYuNDY1MyAyLjExNTE0IDY5LjEyNzQgMi4xMDE5Nkw2OS4xMzQgMi4xMDE5NkM2&#10;OS44NTg4IDIuMTAxOTYgNzAuNDQ1MyAyLjY4ODQgNzAuNDUxOSAzLjQxMzIyIDcwLjQ1MTkgNC4x&#10;MzgwMyA2OS44NjU0IDQuNzMxMDYgNjkuMTQwNiA0LjczNzY0IDY2LjQ3ODUgNC43NTA4MiA2My44&#10;MTY1IDQuNzU3NDEgNjEuMTU0NCA0Ljc2NEw2MS4xNTQ0IDQuNzY0Wk0yMS4yMzcgNC43MjQ0NyAy&#10;MS4yMjM5IDQuNzI0NDdDMTguNTU1MiA0LjY5ODExIDE1Ljg5MzIgNC42NjUxNiAxMy4yMzExIDQu&#10;NjE5MDQgMTIuNTA2MyA0LjYwNTg2IDExLjkyNjQgNC4wMDYyNCAxMS45Mzk2IDMuMjc0ODQgMTEu&#10;OTUyOCAyLjU1NjYyIDEyLjUzOTIgMS45ODMzNiAxMy4yNTc1IDEuOTgzMzZMMTMuMjgzOSAxLjk4&#10;MzM2QzE1LjkzOTMgMi4wMjk0OCAxOC41OTQ4IDIuMDYyNDIgMjEuMjUwMiAyLjA4ODc4IDIxLjk3&#10;NSAyLjA4ODc4IDIyLjU2MTQgMi42ODg0IDIyLjU1NDggMy40MTk4IDIyLjU1NDggNC4xNDQ2MiAy&#10;MS45NjE5IDQuNzI0NDcgMjEuMjM3IDQuNzI0NDdaTTc3LjExMzUgNC42OTE1MkM3Ni4zODg4IDQu&#10;NjkxNTIgNzUuODAyMyA0LjExMTY3IDc1Ljc5NTcgMy4zODY4NSA3NS43OTU3IDIuNjYyMDQgNzYu&#10;Mzc1NiAyLjA2MjQyIDc3LjEwMDMgMi4wNTU4MyA3OS43NjIxIDIuMDM2MDcgODIuNDE4IDIuMDA5&#10;NzEgODUuMDgwMyAxLjk4MzM2TDg1LjA5MyAxLjk4MzM2Qzg1LjgxMTYgMS45ODMzNiA4Ni40MDQ3&#10;IDIuNTYzMjEgODYuNDExIDMuMjg4MDIgODYuNDE3NCA0LjAxMjgzIDg1LjgzNzggNC42MTI0NSA4&#10;NS4xMDY1IDQuNjE5MDQgODIuNDQ0MiA0LjY0NTM5IDc5Ljc4MTkgNC42NzE3NSA3Ny4xMjAxIDQu&#10;NjkxNTJMNzcuMTA2OSA0LjY5MTUyWk05My4wNzkgNC41MTM2MUM5Mi4zNjEzIDQuNTEzNjEgOTEu&#10;Nzc0NSAzLjkzMzc2IDkxLjc2MSAzLjIxNTUzIDkxLjc0ODMgMi40OTA3MiA5Mi4zMzQzIDEuODkx&#10;MSA5My4wNTkyIDEuODc3OTMgOTQuNDAzNCAxLjg1ODE2IDk1Ljc0NzcgMS44MzgzOSA5Ny4wOTgz&#10;IDEuODEyMDQgOTguNDEgMS43OTIyNiA5OS43MjA4IDEuNzU5MzIgMTAxLjAyNiAxLjcyNjM3IDEw&#10;MS43NDQgMS42OTM0MyAxMDIuMzU3IDIuMjc5ODcgMTAyLjM3NyAzLjAxMTI3IDEwMi4zOTcgMy43&#10;MzYwOCAxMDEuODIzIDQuMzQyMjkgMTAxLjA5MiA0LjM2MjA2IDk5Ljc3NCA0LjM5NSA5OC40NTYg&#10;NC40MjEzNiA5Ny4xMzggNC40NDc3MiA5NS43OTM3IDQuNDY3NDkgOTQuNDQzMSA0LjQ5Mzg0IDkz&#10;LjA5ODkgNC41MTM2MUw5My4wNzkgNC41MTM2MVpNMTA5LjAzOCA0LjEwNTA4QzEwOC4zMzMgNC4x&#10;MDUwOCAxMDcuNzQ3IDMuNTQ1IDEwNy43MiAyLjgzOTk1IDEwNy42OTQgMi4xMTUxNCAxMDguMjYx&#10;IDEuNTAyMzQgMTA4Ljk4NSAxLjQ2OTM5IDExMS42NDEgMS4zNjM5NyAxMTQuMjk2IDEuMjUxOTUg&#10;MTE2Ljk1MiAxLjEzMzM1IDExNy42NjQgMS4xMDA0IDExOC4yOTYgMS42NjA0OCAxMTguMzI5IDIu&#10;MzkxODkgMTE4LjM2MiAzLjExNjcgMTE3LjgwMiAzLjczNjA4IDExNy4wNzEgMy43NjkwMyAxMTQu&#10;NDA4IDMuODg3NjQgMTExLjc0NyA0LjAwNjI0IDEwOS4wODQgNC4xMDUwOCAxMDkuMDY1IDQuMTA1&#10;MDggMTA5LjA1MSA0LjEwNTA4IDEwOS4wMzIgNC4xMDUwOFpNMTI0Ljk5MSAzLjQwNjYzQzEyNC4y&#10;OTIgMy40MDY2MyAxMjMuNzA2IDIuODUzMTMgMTIzLjY3MyAyLjE0ODA4IDEyMy42NCAxLjQyMzI3&#10;IDEyNC4yMDcgMC44MDM4ODUgMTI0LjkzMSAwLjc3MDkzOCAxMjcuNTkzIDAuNjUyMzMyIDEzMC4y&#10;NTYgMC41NDAzMTUgMTMyLjkxNyAwLjQzNDg4OCAxMzMuNjU2IDAuMzg4NzY0IDEzNC4yNTUgMC45&#10;NzUyMDcgMTM0LjI4OCAxLjcwMDAyIDEzNC4zMTUgMi40MjQ4MyAxMzMuNzQ4IDMuMDM3NjMgMTMz&#10;LjAyMyAzLjA3MDU3IDEzMC4zNjggMy4xNjk0MSAxMjcuNzEyIDMuMjg4MDIgMTI1LjA1NyAzLjQw&#10;NjYzIDEyNS4wMzcgMy40MDY2MyAxMjUuMDE3IDMuNDA2NjMgMTI0Ljk5NyAzLjQwNjYzWk0xODAu&#10;ODYxIDIuODMzMzYgMTgwLjg0OCAyLjgzMzM2IDE3Mi44NjggMi43NDc3QzE3Mi4xNDMgMi43NDEx&#10;MSAxNzEuNTU2IDIuMTQxNSAxNzEuNTY0IDEuNDE2NjggMTcxLjU3IDAuNjkxODY3IDE3Mi4xODMg&#10;MC4wOTIyNDkzIDE3Mi44OTQgMC4xMTIwMTdMMTgwLjg3NCAwLjE5NzY3N0MxODEuNTk5IDAuMjA0&#10;MjY1IDE4Mi4xODUgMC44MDM4ODUgMTgyLjE3OSAxLjUyODcgMTgyLjE3MiAyLjI1MzUxIDE4MS41&#10;ODUgMi44MzMzNiAxODAuODYxIDIuODMzMzZaTTE0MC45NSAyLjgxMzU5QzE0MC4yMzggMi44MTM1&#10;OSAxMzkuNjUyIDIuMjQ2OTIgMTM5LjYzMiAxLjUyODcgMTM5LjYxMiAwLjgwMzg4NSAxNDAuMTky&#10;IDAuMTk3Njc3IDE0MC45MTcgMC4xNzc5MDggMTQyLjI2MSAwLjE0NDk2MyAxNDMuNTk5IDAuMTE4&#10;NjA2IDE0NC45MzYgMC4wOTIyNDkzIDE0Ni4yNiAwLjA3MjQ4MTMgMTQ3LjU5MiAwLjA1MjcxMzcg&#10;MTQ4LjkxNiAwLjAzOTUzNTJMMTQ4LjkyOSAwLjAzOTUzNTJDMTQ5LjY1NCAwLjAzOTUzNTIgMTUw&#10;LjI0MSAwLjYxOTM4NiAxNTAuMjQ3IDEuMzQ0MiAxNTAuMjU0IDIuMDY5MDEgMTQ5LjY2NyAyLjY2&#10;ODYzIDE0OC45NDMgMi42NzUyMiAxNDcuNjI0IDIuNjg4NCAxNDYuMyAyLjcwMTU4IDE0NC45ODMg&#10;Mi43Mjc5MyAxNDMuNjUxIDIuNzQ3NyAxNDIuMzE0IDIuNzc0MDYgMTQwLjk4MyAyLjgwNyAxNDAu&#10;OTcgMi44MDcgMTQwLjk2MyAyLjgwNyAxNDAuOTUgMi44MDdaTTE2NC44OTUgMi42NzUyMiAxNjQu&#10;ODg4IDIuNjc1MjJDMTYyLjIzMyAyLjY1NTQ1IDE1OS41NzcgMi42NDIyNyAxNTYuOTE2IDIuNjQy&#10;MjcgMTU2LjE5MSAyLjY0MjI3IDE1NS41OTggMi4wNDkyNCAxNTUuNTk4IDEuMzI0NDMgMTU1LjU5&#10;OCAwLjU5OTYxOCAxNTYuMTkxIDAuMDA2NTg5MjEgMTU2LjkxNiAwLjAwNjU4OTIxTDE1Ni45MTYg&#10;MC4wMDY1ODkyMUMxNTkuNTg0IDAuMDA2NTg5MjEgMTYyLjI0NiAwLjAxOTc2NzcgMTY0LjkwOCAw&#10;LjAzOTUzNTIgMTY1LjYzMyAwLjAzOTUzNTIgMTY2LjIxOSAwLjYzOTE1MyAxNjYuMjE5IDEuMzYz&#10;OTcgMTY2LjIxOSAyLjA4ODc4IDE2NS42MjcgMi42NzUyMiAxNjQuOTAyIDIuNjc1MjJaIiBmaWxs&#10;PSIjMzY0MjRBIiB0cmFuc2Zvcm09Im1hdHJpeCgxLjI4ODQ2IDAgMCAxIDgzNS4xODcgNDAwLjk3&#10;KSIvPjxwYXRoIGQ9Ik0xOTIuNzg3IDIuOTI1NjEgMTkyLjc4NyAyLjkyNTYxQzE5MS40NjkgMi45&#10;MjU2MSAxOTAuMTUxIDIuOTEyNDMgMTg4LjgyNyAyLjg5OTI1IDE4OC4xMDMgMi44OTkyNSAxODcu&#10;NTE2IDIuMjk5NjQgMTg3LjUxNiAxLjU3NDgyIDE4Ny41MTYgMC44NTAwMDkgMTg4LjEwOSAwLjI2&#10;MzU2OCAxODguODM0IDAuMjYzNTY4TDE4OC44NDcgMC4yNjM1NjhDMTkwLjE2NSAwLjI3MDE1OCAx&#10;OTEuNDgzIDAuMjgzMzM2IDE5Mi43OTQgMC4yODk5MjUgMTkzLjUxOCAwLjI4OTkyNSAxOTQuMTEy&#10;IDAuODgyOTUyIDE5NC4xMDUgMS42MTQzNiAxOTQuMTA1IDIuMzM5MTcgMTkzLjUxMiAyLjkyNTYx&#10;IDE5Mi43ODcgMi45MjU2MVoiIGZpbGw9IiMzNjQyNEEiIHRyYW5zZm9ybT0ibWF0cml4KDEuMjg4&#10;NDYgMCAwIDEgODM1LjE4NyA0MDAuOTcpIi8+PC9nPjwvZz48L2c+PGcgY2xpcC1wYXRoPSJ1cmwo&#10;I2NsaXAzMTQpIj48ZyBjbGlwLXBhdGg9InVybCgjY2xpcDMxNSkiPjxnIGNsaXAtcGF0aD0idXJs&#10;KCNjbGlwMzE2KSI+PHBhdGggZD0iTTUuMjcxMzcgNC40MTQ3OEM1LjI3MTM3IDQuNDE0NzggNS4y&#10;NDUwMSA0LjQxNDc4IDUuMjMxODMgNC40MTQ3OCAzLjkwNzQgNC4zNzUyMyAyLjU4OTU2IDQuMzI5&#10;MTEgMS4yNzE3MiA0LjI3NjQgMC41NDAzMTUgNC4yNDM0NS0wLjAyNjM1NjggMy42MzA2NSAwIDIu&#10;ODk5MjUgMC4wMjYzNTY4IDIuMTc0NDQgMC42MzkxNTMgMS42MTQzNiAxLjM3MDU2IDEuNjM0MTIg&#10;Mi42ODE4MSAxLjY4Njg0IDMuOTkzMDcgMS43MzI5NiA1LjMxMDkxIDEuNzcyNSA2LjAzNTcyIDEu&#10;NzkyMjYgNi42MDg5OCAyLjQwNTA3IDYuNTg5MjIgMy4xMjk4OCA2LjU2OTQ1IDMuODQxNTEgNS45&#10;ODMgNC40MDgxOSA1LjI3MTM3IDQuNDA4MTlaIiBmaWxsPSIjMzY0MjRBIiB0cmFuc2Zvcm09Im1h&#10;dHJpeCgxLjI4ODQ2IDAgMCAxIDgzNS4xODcgNDYzLjY5NikiLz48cGF0aCBkPSJNNTMuMTYxOCA0&#10;Ljc2NCA0NS4xODIzIDQuNzY0QzQ0LjQ1NzQgNC43NjQgNDMuODY0NCA0LjE3MDk3IDQzLjg2NDQg&#10;My40Mzk1NyA0My44NjQ0IDIuNzA4MTcgNDQuNDU3NCAyLjEyMTczIDQ1LjE4MjMgMi4xMjE3M0w1&#10;My4xNjg0IDIuMTIxNzNDNTMuODkzMiAyLjEyMTczIDU0LjQ4NjIgMi43MjEzNSA1NC40ODYyIDMu&#10;NDQ2MTYgNTQuNDg2MiA0LjE3MDk3IDUzLjg5MzIgNC43NjQgNTMuMTY4NCA0Ljc2NFpNMzQuNDgx&#10;NCA0Ljc2NEMzMi43MjIgNC43NjQgMzAuOTY5MyA0Ljc2NCAyOS4yMTY2IDQuNzY0IDI4LjQ5MTcg&#10;NC43NjQgMjcuODk4NyA0LjE3MDk3IDI3Ljg5ODcgMy40NDYxNiAyNy44OTg3IDIuNzIxMzUgMjgu&#10;NDkxNyAyLjEyODMyIDI5LjIxNjYgMi4xMjgzMkwyOS4yMTY2IDIuMTI4MzJDMzAuOTY5MyAyLjEy&#10;ODMyIDMyLjcyMiAyLjEyODMyIDM0LjQ4MTQgMi4xMjgzMkwzNy4xOTYxIDIuMTI4MzJDMzcuMTk2&#10;MSAyLjEyODMyIDM3LjE5NjEgMi4xMjgzMiAzNy4xOTYxIDIuMTI4MzIgMzcuOTIwOSAyLjEyODMy&#10;IDM4LjUxMzkgMi43MTQ3NiAzOC41MTM5IDMuNDQ2MTYgMzguNTEzOSA0LjE3NzU2IDM3LjkyNzUg&#10;NC43NjQgMzcuMTk2MSA0Ljc2NEwzNC40NzQ4IDQuNzY0Wk02MS4xNDc5IDQuNzY0QzYwLjQyMzEg&#10;NC43NjQgNTkuODMgNC4xNzc1NiA1OS44MyAzLjQ0NjE2IDU5LjgzIDIuNzIxMzUgNjAuNDE2NSAy&#10;LjEyODMyIDYxLjE0NzkgMi4xMjgzMiA2My44MDMzIDIuMTI4MzIgNjYuNDY1MyAyLjExNTE0IDY5&#10;LjEyNzQgMi4xMDE5Nkw2OS4xMzQgMi4xMDE5NkM2OS44NTg4IDIuMTAxOTYgNzAuNDQ1MyAyLjY4&#10;ODQgNzAuNDUxOSAzLjQxMzIyIDcwLjQ1MTkgNC4xMzgwMyA2OS44NjU0IDQuNzMxMDYgNjkuMTQw&#10;NiA0LjczNzY0IDY2LjQ3ODUgNC43NTA4MiA2My44MTY1IDQuNzU3NDEgNjEuMTU0NCA0Ljc2NEw2&#10;MS4xNTQ0IDQuNzY0Wk0yMS4yMzcgNC43MjQ0NyAyMS4yMjM5IDQuNzI0NDdDMTguNTU1MiA0LjY5&#10;ODExIDE1Ljg5MzIgNC42NjUxNiAxMy4yMzExIDQuNjE5MDQgMTIuNTA2MyA0LjYwNTg2IDExLjky&#10;NjQgNC4wMDYyNCAxMS45Mzk2IDMuMjc0ODQgMTEuOTUyOCAyLjU1NjYyIDEyLjUzOTIgMS45ODMz&#10;NiAxMy4yNTc1IDEuOTgzMzZMMTMuMjgzOSAxLjk4MzM2QzE1LjkzOTMgMi4wMjk0OCAxOC41OTQ4&#10;IDIuMDYyNDIgMjEuMjUwMiAyLjA4ODc4IDIxLjk3NSAyLjA4ODc4IDIyLjU2MTQgMi42ODg0IDIy&#10;LjU1NDggMy40MTk4IDIyLjU1NDggNC4xNDQ2MiAyMS45NjE5IDQuNzI0NDcgMjEuMjM3IDQuNzI0&#10;NDdaTTc3LjExMzUgNC42OTE1MkM3Ni4zODg4IDQuNjkxNTIgNzUuODAyMyA0LjExMTY3IDc1Ljc5&#10;NTcgMy4zODY4NSA3NS43OTU3IDIuNjYyMDQgNzYuMzc1NiAyLjA2MjQyIDc3LjEwMDMgMi4wNTU4&#10;MyA3OS43NjIxIDIuMDM2MDcgODIuNDE4IDIuMDA5NzEgODUuMDgwMyAxLjk4MzM2TDg1LjA5MyAx&#10;Ljk4MzM2Qzg1LjgxMTYgMS45ODMzNiA4Ni40MDQ3IDIuNTYzMjEgODYuNDExIDMuMjg4MDIgODYu&#10;NDE3NCA0LjAxMjgzIDg1LjgzNzggNC42MTI0NSA4NS4xMDY1IDQuNjE5MDQgODIuNDQ0MiA0LjY0&#10;NTM5IDc5Ljc4MTkgNC42NzE3NSA3Ny4xMjAxIDQuNjkxNTJMNzcuMTA2OSA0LjY5MTUyWk05My4w&#10;NzkgNC41MTM2MUM5Mi4zNjEzIDQuNTEzNjEgOTEuNzc0NSAzLjkzMzc2IDkxLjc2MSAzLjIxNTUz&#10;IDkxLjc0ODMgMi40OTA3MiA5Mi4zMzQzIDEuODkxMSA5My4wNTkyIDEuODc3OTMgOTQuNDAzNCAx&#10;Ljg1ODE2IDk1Ljc0NzcgMS44MzgzOSA5Ny4wOTgzIDEuODEyMDQgOTguNDEgMS43OTIyNiA5OS43&#10;MjA4IDEuNzU5MzIgMTAxLjAyNiAxLjcyNjM3IDEwMS43NDQgMS42OTM0MyAxMDIuMzU3IDIuMjc5&#10;ODcgMTAyLjM3NyAzLjAxMTI3IDEwMi4zOTcgMy43MzYwOCAxMDEuODIzIDQuMzQyMjkgMTAxLjA5&#10;MiA0LjM2MjA2IDk5Ljc3NCA0LjM5NSA5OC40NTYgNC40MjEzNiA5Ny4xMzggNC40NDc3MiA5NS43&#10;OTM3IDQuNDY3NDkgOTQuNDQzMSA0LjQ5Mzg0IDkzLjA5ODkgNC41MTM2MUw5My4wNzkgNC41MTM2&#10;MVpNMTA5LjAzOCA0LjEwNTA4QzEwOC4zMzMgNC4xMDUwOCAxMDcuNzQ3IDMuNTQ1IDEwNy43MiAy&#10;LjgzOTk1IDEwNy42OTQgMi4xMTUxNCAxMDguMjYxIDEuNTAyMzQgMTA4Ljk4NSAxLjQ2OTM5IDEx&#10;MS42NDEgMS4zNjM5NyAxMTQuMjk2IDEuMjUxOTUgMTE2Ljk1MiAxLjEzMzM1IDExNy42NjQgMS4x&#10;MDA0IDExOC4yOTYgMS42NjA0OCAxMTguMzI5IDIuMzkxODkgMTE4LjM2MiAzLjExNjcgMTE3Ljgw&#10;MiAzLjczNjA4IDExNy4wNzEgMy43NjkwMyAxMTQuNDA4IDMuODg3NjQgMTExLjc0NyA0LjAwNjI0&#10;IDEwOS4wODQgNC4xMDUwOCAxMDkuMDY1IDQuMTA1MDggMTA5LjA1MSA0LjEwNTA4IDEwOS4wMzIg&#10;NC4xMDUwOFpNMTI0Ljk5MSAzLjQwNjYzQzEyNC4yOTIgMy40MDY2MyAxMjMuNzA2IDIuODUzMTMg&#10;MTIzLjY3MyAyLjE0ODA4IDEyMy42NCAxLjQyMzI3IDEyNC4yMDcgMC44MDM4ODUgMTI0LjkzMSAw&#10;Ljc3MDkzOCAxMjcuNTkzIDAuNjUyMzMyIDEzMC4yNTYgMC41NDAzMTUgMTMyLjkxNyAwLjQzNDg4&#10;OCAxMzMuNjU2IDAuMzg4NzY0IDEzNC4yNTUgMC45NzUyMDcgMTM0LjI4OCAxLjcwMDAyIDEzNC4z&#10;MTUgMi40MjQ4MyAxMzMuNzQ4IDMuMDM3NjMgMTMzLjAyMyAzLjA3MDU3IDEzMC4zNjggMy4xNjk0&#10;MSAxMjcuNzEyIDMuMjg4MDIgMTI1LjA1NyAzLjQwNjYzIDEyNS4wMzcgMy40MDY2MyAxMjUuMDE3&#10;IDMuNDA2NjMgMTI0Ljk5NyAzLjQwNjYzWk0xODAuODYxIDIuODMzMzYgMTgwLjg0OCAyLjgzMzM2&#10;IDE3Mi44NjggMi43NDc3QzE3Mi4xNDMgMi43NDExMSAxNzEuNTU2IDIuMTQxNSAxNzEuNTY0IDEu&#10;NDE2NjggMTcxLjU3IDAuNjkxODY3IDE3Mi4xODMgMC4wOTIyNDkzIDE3Mi44OTQgMC4xMTIwMTdM&#10;MTgwLjg3NCAwLjE5NzY3N0MxODEuNTk5IDAuMjA0MjY1IDE4Mi4xODUgMC44MDM4ODUgMTgyLjE3&#10;OSAxLjUyODcgMTgyLjE3MiAyLjI1MzUxIDE4MS41ODUgMi44MzMzNiAxODAuODYxIDIuODMzMzZa&#10;TTE0MC45NSAyLjgxMzU5QzE0MC4yMzggMi44MTM1OSAxMzkuNjUyIDIuMjQ2OTIgMTM5LjYzMiAx&#10;LjUyODcgMTM5LjYxMiAwLjgwMzg4NSAxNDAuMTkyIDAuMTk3Njc3IDE0MC45MTcgMC4xNzc5MDgg&#10;MTQyLjI2MSAwLjE0NDk2MyAxNDMuNTk5IDAuMTE4NjA2IDE0NC45MzYgMC4wOTIyNDkzIDE0Ni4y&#10;NiAwLjA3MjQ4MTMgMTQ3LjU5MiAwLjA1MjcxMzcgMTQ4LjkxNiAwLjAzOTUzNTJMMTQ4LjkyOSAw&#10;LjAzOTUzNTJDMTQ5LjY1NCAwLjAzOTUzNTIgMTUwLjI0MSAwLjYxOTM4NiAxNTAuMjQ3IDEuMzQ0&#10;MiAxNTAuMjU0IDIuMDY5MDEgMTQ5LjY2NyAyLjY2ODYzIDE0OC45NDMgMi42NzUyMiAxNDcuNjI0&#10;IDIuNjg4NCAxNDYuMyAyLjcwMTU4IDE0NC45ODMgMi43Mjc5MyAxNDMuNjUxIDIuNzQ3NyAxNDIu&#10;MzE0IDIuNzc0MDYgMTQwLjk4MyAyLjgwNyAxNDAuOTcgMi44MDcgMTQwLjk2MyAyLjgwNyAxNDAu&#10;OTUgMi44MDdaTTE2NC44OTUgMi42NzUyMiAxNjQuODg4IDIuNjc1MjJDMTYyLjIzMyAyLjY1NTQ1&#10;IDE1OS41NzcgMi42NDIyNyAxNTYuOTE2IDIuNjQyMjcgMTU2LjE5MSAyLjY0MjI3IDE1NS41OTgg&#10;Mi4wNDkyNCAxNTUuNTk4IDEuMzI0NDMgMTU1LjU5OCAwLjU5OTYxOCAxNTYuMTkxIDAuMDA2NTg5&#10;MjEgMTU2LjkxNiAwLjAwNjU4OTIxTDE1Ni45MTYgMC4wMDY1ODkyMUMxNTkuNTg0IDAuMDA2NTg5&#10;MjEgMTYyLjI0NiAwLjAxOTc2NzcgMTY0LjkwOCAwLjAzOTUzNTIgMTY1LjYzMyAwLjAzOTUzNTIg&#10;MTY2LjIxOSAwLjYzOTE1MyAxNjYuMjE5IDEuMzYzOTcgMTY2LjIxOSAyLjA4ODc4IDE2NS42Mjcg&#10;Mi42NzUyMiAxNjQuOTAyIDIuNjc1MjJaIiBmaWxsPSIjMzY0MjRBIiB0cmFuc2Zvcm09Im1hdHJp&#10;eCgxLjI4ODQ2IDAgMCAxIDgzNS4xODcgNDYzLjY5NikiLz48cGF0aCBkPSJNMTkyLjc4NyAyLjky&#10;NTYxIDE5Mi43ODcgMi45MjU2MUMxOTEuNDY5IDIuOTI1NjEgMTkwLjE1MSAyLjkxMjQzIDE4OC44&#10;MjcgMi44OTkyNSAxODguMTAzIDIuODk5MjUgMTg3LjUxNiAyLjI5OTY0IDE4Ny41MTYgMS41NzQ4&#10;MiAxODcuNTE2IDAuODUwMDA5IDE4OC4xMDkgMC4yNjM1NjggMTg4LjgzNCAwLjI2MzU2OEwxODgu&#10;ODQ3IDAuMjYzNTY4QzE5MC4xNjUgMC4yNzAxNTggMTkxLjQ4MyAwLjI4MzMzNiAxOTIuNzk0IDAu&#10;Mjg5OTI1IDE5My41MTggMC4yODk5MjUgMTk0LjExMiAwLjg4Mjk1MiAxOTQuMTA1IDEuNjE0MzYg&#10;MTk0LjEwNSAyLjMzOTE3IDE5My41MTIgMi45MjU2MSAxOTIuNzg3IDIuOTI1NjFaIiBmaWxsPSIj&#10;MzY0MjRBIiB0cmFuc2Zvcm09Im1hdHJpeCgxLjI4ODQ2IDAgMCAxIDgzNS4xODcgNDYzLjY5Niki&#10;Lz48L2c+PC9nPjwvZz48ZyBjbGlwLXBhdGg9InVybCgjY2xpcDMxNykiPjxnIGNsaXAtcGF0aD0i&#10;dXJsKCNjbGlwMzE4KSI+PGcgY2xpcC1wYXRoPSJ1cmwoI2NsaXAzMTkpIj48cGF0aCBkPSJNNS4y&#10;NzEzNyA0LjQxNDc4QzUuMjcxMzcgNC40MTQ3OCA1LjI0NTAxIDQuNDE0NzggNS4yMzE4MyA0LjQx&#10;NDc4IDMuOTA3NCA0LjM3NTIzIDIuNTg5NTYgNC4zMjkxMSAxLjI3MTcyIDQuMjc2NCAwLjU0MDMx&#10;NSA0LjI0MzQ1LTAuMDI2MzU2OCAzLjYzMDY1IDAgMi44OTkyNSAwLjAyNjM1NjggMi4xNzQ0NCAw&#10;LjYzOTE1MyAxLjYxNDM2IDEuMzcwNTYgMS42MzQxMiAyLjY4MTgxIDEuNjg2ODQgMy45OTMwNyAx&#10;LjczMjk2IDUuMzEwOTEgMS43NzI1IDYuMDM1NzIgMS43OTIyNiA2LjYwODk4IDIuNDA1MDcgNi41&#10;ODkyMiAzLjEyOTg4IDYuNTY5NDUgMy44NDE1MSA1Ljk4MyA0LjQwODE5IDUuMjcxMzcgNC40MDgx&#10;OVoiIGZpbGw9IiMzNjQyNEEiIHRyYW5zZm9ybT0ibWF0cml4KDEuMjg4NDYgMCAwIDEgODM1LjE4&#10;NyA1NTkuNzcpIi8+PHBhdGggZD0iTTUzLjE2MTggNC43NjQgNDUuMTgyMyA0Ljc2NEM0NC40NTc0&#10;IDQuNzY0IDQzLjg2NDQgNC4xNzA5NyA0My44NjQ0IDMuNDM5NTcgNDMuODY0NCAyLjcwODE3IDQ0&#10;LjQ1NzQgMi4xMjE3MyA0NS4xODIzIDIuMTIxNzNMNTMuMTY4NCAyLjEyMTczQzUzLjg5MzIgMi4x&#10;MjE3MyA1NC40ODYyIDIuNzIxMzUgNTQuNDg2MiAzLjQ0NjE2IDU0LjQ4NjIgNC4xNzA5NyA1My44&#10;OTMyIDQuNzY0IDUzLjE2ODQgNC43NjRaTTM0LjQ4MTQgNC43NjRDMzIuNzIyIDQuNzY0IDMwLjk2&#10;OTMgNC43NjQgMjkuMjE2NiA0Ljc2NCAyOC40OTE3IDQuNzY0IDI3Ljg5ODcgNC4xNzA5NyAyNy44&#10;OTg3IDMuNDQ2MTYgMjcuODk4NyAyLjcyMTM1IDI4LjQ5MTcgMi4xMjgzMiAyOS4yMTY2IDIuMTI4&#10;MzJMMjkuMjE2NiAyLjEyODMyQzMwLjk2OTMgMi4xMjgzMiAzMi43MjIgMi4xMjgzMiAzNC40ODE0&#10;IDIuMTI4MzJMMzcuMTk2MSAyLjEyODMyQzM3LjE5NjEgMi4xMjgzMiAzNy4xOTYxIDIuMTI4MzIg&#10;MzcuMTk2MSAyLjEyODMyIDM3LjkyMDkgMi4xMjgzMiAzOC41MTM5IDIuNzE0NzYgMzguNTEzOSAz&#10;LjQ0NjE2IDM4LjUxMzkgNC4xNzc1NiAzNy45Mjc1IDQuNzY0IDM3LjE5NjEgNC43NjRMMzQuNDc0&#10;OCA0Ljc2NFpNNjEuMTQ3OSA0Ljc2NEM2MC40MjMxIDQuNzY0IDU5LjgzIDQuMTc3NTYgNTkuODMg&#10;My40NDYxNiA1OS44MyAyLjcyMTM1IDYwLjQxNjUgMi4xMjgzMiA2MS4xNDc5IDIuMTI4MzIgNjMu&#10;ODAzMyAyLjEyODMyIDY2LjQ2NTMgMi4xMTUxNCA2OS4xMjc0IDIuMTAxOTZMNjkuMTM0IDIuMTAx&#10;OTZDNjkuODU4OCAyLjEwMTk2IDcwLjQ0NTMgMi42ODg0IDcwLjQ1MTkgMy40MTMyMiA3MC40NTE5&#10;IDQuMTM4MDMgNjkuODY1NCA0LjczMTA2IDY5LjE0MDYgNC43Mzc2NCA2Ni40Nzg1IDQuNzUwODIg&#10;NjMuODE2NSA0Ljc1NzQxIDYxLjE1NDQgNC43NjRMNjEuMTU0NCA0Ljc2NFpNMjEuMjM3IDQuNzI0&#10;NDcgMjEuMjIzOSA0LjcyNDQ3QzE4LjU1NTIgNC42OTgxMSAxNS44OTMyIDQuNjY1MTYgMTMuMjMx&#10;MSA0LjYxOTA0IDEyLjUwNjMgNC42MDU4NiAxMS45MjY0IDQuMDA2MjQgMTEuOTM5NiAzLjI3NDg0&#10;IDExLjk1MjggMi41NTY2MiAxMi41MzkyIDEuOTgzMzYgMTMuMjU3NSAxLjk4MzM2TDEzLjI4Mzkg&#10;MS45ODMzNkMxNS45MzkzIDIuMDI5NDggMTguNTk0OCAyLjA2MjQyIDIxLjI1MDIgMi4wODg3OCAy&#10;MS45NzUgMi4wODg3OCAyMi41NjE0IDIuNjg4NCAyMi41NTQ4IDMuNDE5OCAyMi41NTQ4IDQuMTQ0&#10;NjIgMjEuOTYxOSA0LjcyNDQ3IDIxLjIzNyA0LjcyNDQ3Wk03Ny4xMTM1IDQuNjkxNTJDNzYuMzg4&#10;OCA0LjY5MTUyIDc1LjgwMjMgNC4xMTE2NyA3NS43OTU3IDMuMzg2ODUgNzUuNzk1NyAyLjY2MjA0&#10;IDc2LjM3NTYgMi4wNjI0MiA3Ny4xMDAzIDIuMDU1ODMgNzkuNzYyMSAyLjAzNjA3IDgyLjQxOCAy&#10;LjAwOTcxIDg1LjA4MDMgMS45ODMzNkw4NS4wOTMgMS45ODMzNkM4NS44MTE2IDEuOTgzMzYgODYu&#10;NDA0NyAyLjU2MzIxIDg2LjQxMSAzLjI4ODAyIDg2LjQxNzQgNC4wMTI4MyA4NS44Mzc4IDQuNjEy&#10;NDUgODUuMTA2NSA0LjYxOTA0IDgyLjQ0NDIgNC42NDUzOSA3OS43ODE5IDQuNjcxNzUgNzcuMTIw&#10;MSA0LjY5MTUyTDc3LjEwNjkgNC42OTE1MlpNOTMuMDc5IDQuNTEzNjFDOTIuMzYxMyA0LjUxMzYx&#10;IDkxLjc3NDUgMy45MzM3NiA5MS43NjEgMy4yMTU1MyA5MS43NDgzIDIuNDkwNzIgOTIuMzM0MyAx&#10;Ljg5MTEgOTMuMDU5MiAxLjg3NzkzIDk0LjQwMzQgMS44NTgxNiA5NS43NDc3IDEuODM4MzkgOTcu&#10;MDk4MyAxLjgxMjA0IDk4LjQxIDEuNzkyMjYgOTkuNzIwOCAxLjc1OTMyIDEwMS4wMjYgMS43MjYz&#10;NyAxMDEuNzQ0IDEuNjkzNDMgMTAyLjM1NyAyLjI3OTg3IDEwMi4zNzcgMy4wMTEyNyAxMDIuMzk3&#10;IDMuNzM2MDggMTAxLjgyMyA0LjM0MjI5IDEwMS4wOTIgNC4zNjIwNiA5OS43NzQgNC4zOTUgOTgu&#10;NDU2IDQuNDIxMzYgOTcuMTM4IDQuNDQ3NzIgOTUuNzkzNyA0LjQ2NzQ5IDk0LjQ0MzEgNC40OTM4&#10;NCA5My4wOTg5IDQuNTEzNjFMOTMuMDc5IDQuNTEzNjFaTTEwOS4wMzggNC4xMDUwOEMxMDguMzMz&#10;IDQuMTA1MDggMTA3Ljc0NyAzLjU0NSAxMDcuNzIgMi44Mzk5NSAxMDcuNjk0IDIuMTE1MTQgMTA4&#10;LjI2MSAxLjUwMjM0IDEwOC45ODUgMS40NjkzOSAxMTEuNjQxIDEuMzYzOTcgMTE0LjI5NiAxLjI1&#10;MTk1IDExNi45NTIgMS4xMzMzNSAxMTcuNjY0IDEuMTAwNCAxMTguMjk2IDEuNjYwNDggMTE4LjMy&#10;OSAyLjM5MTg5IDExOC4zNjIgMy4xMTY3IDExNy44MDIgMy43MzYwOCAxMTcuMDcxIDMuNzY5MDMg&#10;MTE0LjQwOCAzLjg4NzY0IDExMS43NDcgNC4wMDYyNCAxMDkuMDg0IDQuMTA1MDggMTA5LjA2NSA0&#10;LjEwNTA4IDEwOS4wNTEgNC4xMDUwOCAxMDkuMDMyIDQuMTA1MDhaTTEyNC45OTEgMy40MDY2M0Mx&#10;MjQuMjkyIDMuNDA2NjMgMTIzLjcwNiAyLjg1MzEzIDEyMy42NzMgMi4xNDgwOCAxMjMuNjQgMS40&#10;MjMyNyAxMjQuMjA3IDAuODAzODg1IDEyNC45MzEgMC43NzA5MzggMTI3LjU5MyAwLjY1MjMzMiAx&#10;MzAuMjU2IDAuNTQwMzE1IDEzMi45MTcgMC40MzQ4ODggMTMzLjY1NiAwLjM4ODc2NCAxMzQuMjU1&#10;IDAuOTc1MjA3IDEzNC4yODggMS43MDAwMiAxMzQuMzE1IDIuNDI0ODMgMTMzLjc0OCAzLjAzNzYz&#10;IDEzMy4wMjMgMy4wNzA1NyAxMzAuMzY4IDMuMTY5NDEgMTI3LjcxMiAzLjI4ODAyIDEyNS4wNTcg&#10;My40MDY2MyAxMjUuMDM3IDMuNDA2NjMgMTI1LjAxNyAzLjQwNjYzIDEyNC45OTcgMy40MDY2M1pN&#10;MTgwLjg2MSAyLjgzMzM2IDE4MC44NDggMi44MzMzNiAxNzIuODY4IDIuNzQ3N0MxNzIuMTQzIDIu&#10;NzQxMTEgMTcxLjU1NiAyLjE0MTUgMTcxLjU2NCAxLjQxNjY4IDE3MS41NyAwLjY5MTg2NyAxNzIu&#10;MTgzIDAuMDkyMjQ5MyAxNzIuODk0IDAuMTEyMDE3TDE4MC44NzQgMC4xOTc2NzdDMTgxLjU5OSAw&#10;LjIwNDI2NSAxODIuMTg1IDAuODAzODg1IDE4Mi4xNzkgMS41Mjg3IDE4Mi4xNzIgMi4yNTM1MSAx&#10;ODEuNTg1IDIuODMzMzYgMTgwLjg2MSAyLjgzMzM2Wk0xNDAuOTUgMi44MTM1OUMxNDAuMjM4IDIu&#10;ODEzNTkgMTM5LjY1MiAyLjI0NjkyIDEzOS42MzIgMS41Mjg3IDEzOS42MTIgMC44MDM4ODUgMTQw&#10;LjE5MiAwLjE5NzY3NyAxNDAuOTE3IDAuMTc3OTA4IDE0Mi4yNjEgMC4xNDQ5NjMgMTQzLjU5OSAw&#10;LjExODYwNiAxNDQuOTM2IDAuMDkyMjQ5MyAxNDYuMjYgMC4wNzI0ODEzIDE0Ny41OTIgMC4wNTI3&#10;MTM3IDE0OC45MTYgMC4wMzk1MzUyTDE0OC45MjkgMC4wMzk1MzUyQzE0OS42NTQgMC4wMzk1MzUy&#10;IDE1MC4yNDEgMC42MTkzODYgMTUwLjI0NyAxLjM0NDIgMTUwLjI1NCAyLjA2OTAxIDE0OS42Njcg&#10;Mi42Njg2MyAxNDguOTQzIDIuNjc1MjIgMTQ3LjYyNCAyLjY4ODQgMTQ2LjMgMi43MDE1OCAxNDQu&#10;OTgzIDIuNzI3OTMgMTQzLjY1MSAyLjc0NzcgMTQyLjMxNCAyLjc3NDA2IDE0MC45ODMgMi44MDcg&#10;MTQwLjk3IDIuODA3IDE0MC45NjMgMi44MDcgMTQwLjk1IDIuODA3Wk0xNjQuODk1IDIuNjc1MjIg&#10;MTY0Ljg4OCAyLjY3NTIyQzE2Mi4yMzMgMi42NTU0NSAxNTkuNTc3IDIuNjQyMjcgMTU2LjkxNiAy&#10;LjY0MjI3IDE1Ni4xOTEgMi42NDIyNyAxNTUuNTk4IDIuMDQ5MjQgMTU1LjU5OCAxLjMyNDQzIDE1&#10;NS41OTggMC41OTk2MTggMTU2LjE5MSAwLjAwNjU4OTIxIDE1Ni45MTYgMC4wMDY1ODkyMUwxNTYu&#10;OTE2IDAuMDA2NTg5MjFDMTU5LjU4NCAwLjAwNjU4OTIxIDE2Mi4yNDYgMC4wMTk3Njc3IDE2NC45&#10;MDggMC4wMzk1MzUyIDE2NS42MzMgMC4wMzk1MzUyIDE2Ni4yMTkgMC42MzkxNTMgMTY2LjIxOSAx&#10;LjM2Mzk3IDE2Ni4yMTkgMi4wODg3OCAxNjUuNjI3IDIuNjc1MjIgMTY0LjkwMiAyLjY3NTIyWiIg&#10;ZmlsbD0iIzM2NDI0QSIgdHJhbnNmb3JtPSJtYXRyaXgoMS4yODg0NiAwIDAgMSA4MzUuMTg3IDU1&#10;OS43NykiLz48cGF0aCBkPSJNMTkyLjc4NyAyLjkyNTYxIDE5Mi43ODcgMi45MjU2MUMxOTEuNDY5&#10;IDIuOTI1NjEgMTkwLjE1MSAyLjkxMjQzIDE4OC44MjcgMi44OTkyNSAxODguMTAzIDIuODk5MjUg&#10;MTg3LjUxNiAyLjI5OTY0IDE4Ny41MTYgMS41NzQ4MiAxODcuNTE2IDAuODUwMDA5IDE4OC4xMDkg&#10;MC4yNjM1NjggMTg4LjgzNCAwLjI2MzU2OEwxODguODQ3IDAuMjYzNTY4QzE5MC4xNjUgMC4yNzAx&#10;NTggMTkxLjQ4MyAwLjI4MzMzNiAxOTIuNzk0IDAuMjg5OTI1IDE5My41MTggMC4yODk5MjUgMTk0&#10;LjExMiAwLjg4Mjk1MiAxOTQuMTA1IDEuNjE0MzYgMTk0LjEwNSAyLjMzOTE3IDE5My41MTIgMi45&#10;MjU2MSAxOTIuNzg3IDIuOTI1NjFaIiBmaWxsPSIjMzY0MjRBIiB0cmFuc2Zvcm09Im1hdHJpeCgx&#10;LjI4ODQ2IDAgMCAxIDgzNS4xODcgNTU5Ljc3KSIvPjwvZz48L2c+PC9nPjxnIGNsaXAtcGF0aD0i&#10;dXJsKCNjbGlwMzIwKSI+PGcgY2xpcC1wYXRoPSJ1cmwoI2NsaXAzMjEpIj48ZyBjbGlwLXBhdGg9&#10;InVybCgjY2xpcDMyMikiPjxwYXRoIGQ9Ik00LjM5MjgxIDMuNjc4OThDNC4zOTI4MSAzLjY3ODk4&#10;IDQuMzcwODQgMy42Nzg5OCA0LjM1OTg2IDMuNjc4OTggMy4yNTYxNyAzLjY0NjAzIDIuMTU3OTYg&#10;My42MDc1OSAxLjA1OTc3IDMuNTYzNjYgMC40NTAyNjMgMy41MzYyMS0wLjAyMTk2NCAzLjAyNTU0&#10;IDAgMi40MTYwNSAwLjAyMTk2NCAxLjgxMjA0IDAuNTMyNjI4IDEuMzQ1MyAxLjE0MjEzIDEuMzYx&#10;NzcgMi4yMzQ4NCAxLjQwNTcgMy4zMjc1NSAxLjQ0NDE0IDQuNDI1NzYgMS40NzcwOCA1LjAyOTc3&#10;IDEuNDkzNTUgNS41MDc0OSAyLjAwNDIxIDUuNDkxMDEgMi42MDgyMyA1LjQ3NDUzIDMuMjAxMjYg&#10;NC45ODU4NCAzLjY3MzQ5IDQuMzkyODEgMy42NzM0OVoiIGZpbGw9IiMzNjQyNEEiIHRyYW5zZm9y&#10;bT0ibWF0cml4KDEuNTQ2MTUgMCAwIDEgODM1LjE4NyA2MjQuODc4KSIvPjxwYXRoIGQ9Ik00NC4z&#10;MDE1IDMuOTcgMzcuNjUxOSAzLjk3QzM3LjA0NzkgMy45NyAzNi41NTM2IDMuNDc1ODEgMzYuNTUz&#10;NiAyLjg2NjMxIDM2LjU1MzYgMi4yNTY4IDM3LjA0NzkgMS43NjgxIDM3LjY1MTkgMS43NjgxTDQ0&#10;LjMwNjkgMS43NjgxQzQ0LjkxMDkgMS43NjgxIDQ1LjQwNTEgMi4yNjc3OSA0NS40MDUxIDIuODcx&#10;NzkgNDUuNDA1MSAzLjQ3NTgxIDQ0LjkxMDkgMy45NyA0NC4zMDY5IDMuOTdaTTI4LjczNDUgMy45&#10;N0MyNy4yNjgzIDMuOTcgMjUuODA3OCAzLjk3IDI0LjM0NzEgMy45NyAyMy43NDMxIDMuOTcgMjMu&#10;MjQ5IDMuNDc1ODEgMjMuMjQ5IDIuODcxNzkgMjMuMjQ5IDIuMjY3NzkgMjMuNzQzMSAxLjc3MzYg&#10;MjQuMzQ3MSAxLjc3MzZMMjQuMzQ3MSAxLjc3MzZDMjUuODA3OCAxLjc3MzYgMjcuMjY4MyAxLjc3&#10;MzYgMjguNzM0NSAxLjc3MzZMMzAuOTk2NyAxLjc3MzZDMzAuOTk2NyAxLjc3MzYgMzAuOTk2NyAx&#10;Ljc3MzYgMzAuOTk2NyAxLjc3MzYgMzEuNjAwNyAxLjc3MzYgMzIuMDk1IDIuMjYyMyAzMi4wOTUg&#10;Mi44NzE3OSAzMi4wOTUgMy40ODEzIDMxLjYwNjMgMy45NyAzMC45OTY3IDMuOTdMMjguNzI5IDMu&#10;OTdaTTUwLjk1NjUgMy45N0M1MC4zNTI1IDMuOTcgNDkuODU4NCAzLjQ4MTMgNDkuODU4NCAyLjg3&#10;MTc5IDQ5Ljg1ODQgMi4yNjc3OSA1MC4zNDcxIDEuNzczNiA1MC45NTY1IDEuNzczNiA1My4xNjk0&#10;IDEuNzczNiA1NS4zODc5IDEuNzYyNjIgNTcuNjA2MiAxLjc1MTY0TDU3LjYxMTcgMS43NTE2NEM1&#10;OC4yMTU3IDEuNzUxNjQgNTguNzA0NCAyLjI0MDMzIDU4LjcwOTkgMi44NDQzNSA1OC43MDk5IDMu&#10;NDQ4MzYgNTguMjIxMiAzLjk0MjU0IDU3LjYxNzIgMy45NDgwNCA1NS4zOTg4IDMuOTU5MDIgNTMu&#10;MTgwNSAzLjk2NDUxIDUwLjk2MjEgMy45N0w1MC45NjIxIDMuOTdaTTE3LjY5NzUgMy45MzcwNiAx&#10;Ny42ODY1IDMuOTM3MDZDMTUuNDYyNyAzLjkxNTA5IDEzLjI0NDMgMy44ODc2NCAxMS4wMjYgMy44&#10;NDkyIDEwLjQyMiAzLjgzODIxIDkuOTM4NzQgMy4zMzg1MyA5Ljk0OTY5IDIuNzI5MDMgOS45NjA3&#10;MyAyLjEzMDUxIDEwLjQ0OTQgMS42NTI3OSAxMS4wNDc5IDEuNjUyNzlMMTEuMDY5OSAxLjY1Mjc5&#10;QzEzLjI4MjcgMS42OTEyMyAxNS40OTU2IDEuNzE4NjggMTcuNzA4NSAxLjc0MDY1IDE4LjMxMjUg&#10;MS43NDA2NSAxOC44MDEyIDIuMjQwMzMgMTguNzk1NyAyLjg0OTgzIDE4Ljc5NTcgMy40NTM4NCAx&#10;OC4zMDE1IDMuOTM3MDYgMTcuNjk3NSAzLjkzNzA2Wk02NC4yNjEzIDMuOTA5NkM2My42NTczIDMu&#10;OTA5NiA2My4xNjg2IDMuNDI2MzkgNjMuMTYzMSAyLjgyMjM4IDYzLjE2MzEgMi4yMTgzNiA2My42&#10;NDYzIDEuNzE4NjggNjQuMjUwMyAxLjcxMzIgNjYuNDY4NyAxLjY5NjcyIDY4LjY4MTYgMS42NzQ3&#10;NiA3MC44OTk5IDEuNjUyNzlMNzAuOTEwOSAxLjY1Mjc5QzcxLjUwOTQgMS42NTI3OSA3Mi4wMDM3&#10;IDIuMTM2IDcyLjAwOTEgMi43NDAwMSA3Mi4wMTQ2IDMuMzQ0MDMgNzEuNTMxNCAzLjg0MzcxIDcw&#10;LjkyMTkgMy44NDkyIDY4LjcwMzYgMy44NzExNiA2Ni40ODUxIDMuODkzMTMgNjQuMjY2OCAzLjkw&#10;OTZMNjQuMjU1OCAzLjkwOTZaTTc3LjU2NiAzLjc2MTM0Qzc2Ljk2NzUgMy43NjEzNCA3Ni40Nzg4&#10;IDMuMjc4MTMgNzYuNDY3OCAyLjY3OTYyIDc2LjQ1NjggMi4wNzU2IDc2Ljk0NTUgMS41NzU5MiA3&#10;Ny41NDk1IDEuNTY0OTMgNzguNjY5NyAxLjU0ODQ3IDc5Ljc4OTkgMS41MzE5OSA4MC45MTU3IDEu&#10;NTEwMDMgODIuMDA4MyAxLjQ5MzU1IDgzLjEwMDggMS40NjYxIDg0LjE4NzggMS40Mzg2NCA4NC43&#10;ODY1IDEuNDExMTkgODUuMjk3IDEuODk5ODkgODUuMzEzNyAyLjUwOTM5IDg1LjMzMDQgMy4xMTM0&#10;IDg0Ljg1MjQgMy42MTg1OCA4NC4yNDM0IDMuNjM1MDUgODMuMTQ0NSAzLjY2MjUgODIuMDQ2NCAz&#10;LjY4NDQ3IDgwLjk0ODMgMy43MDY0MyA3OS44MjggMy43MjI5MSA3OC43MDI2IDMuNzQ0ODcgNzcu&#10;NTgyNSAzLjc2MTM0TDc3LjU2NiAzLjc2MTM0Wk05MC44NjU0IDMuNDIwOUM5MC4yNzc4IDMuNDIw&#10;OSA4OS43ODg3IDIuOTU0MTYgODkuNzY3MyAyLjM2NjYzIDg5Ljc0NSAxLjc2MjYyIDkwLjIxNzUg&#10;MS4yNTE5NSA5MC44MjE3IDEuMjI0NSA5My4wMzQ2IDEuMTM2NjQgOTUuMjQ3NSAxLjA0MzI5IDk3&#10;LjQ2MDMgMC45NDQ0NTUgOTguMDUyNyAwLjkxNjk5OSA5OC41Nzk5IDEuMzgzNzQgOTguNjA3NyAx&#10;Ljk5MzIzIDk4LjYzNDcgMi41OTcyNSA5OC4xNjg2IDMuMTEzNCA5Ny41NTg4IDMuMTQwODYgOTUu&#10;MzQwMyAzLjIzOTcgOTMuMTIxOSAzLjMzODUzIDkwLjkwMzUgMy40MjA5IDkwLjg4NjggMy40MjA5&#10;IDkwLjg3NjUgMy40MjA5IDkwLjg1OTggMy40MjA5Wk0xMDQuMTU5IDIuODM4ODVDMTAzLjU3NyAy&#10;LjgzODg1IDEwMy4wODggMi4zNzc2MSAxMDMuMDYgMS43OTAwNyAxMDMuMDMzIDEuMTg2MDYgMTAz&#10;LjUwNiAwLjY2OTkwMyAxMDQuMTA5IDAuNjQyNDQ4IDEwNi4zMjggMC41NDM2MSAxMDguNTQ2IDAu&#10;NDUwMjYzIDExMC43NjUgMC4zNjI0MDcgMTExLjM4IDAuMzIzOTY5IDExMS44NzkgMC44MTI2Njcg&#10;MTExLjkwNyAxLjQxNjY4IDExMS45MjkgMi4wMjA2OSAxMTEuNDU2IDIuNTMxMzYgMTEwLjg1MyAy&#10;LjU1ODgxIDEwOC42NCAyLjY0MTE4IDEwNi40MjcgMi43NDAwMSAxMDQuMjE0IDIuODM4ODUgMTA0&#10;LjE5NyAyLjgzODg1IDEwNC4xODEgMi44Mzg4NSAxMDQuMTY0IDIuODM4ODVaTTE1MC43MTcgMi4z&#10;NjExMyAxNTAuNzA2IDIuMzYxMTMgMTQ0LjA1NyAyLjI4OTc1QzE0My40NTMgMi4yODQyNiAxNDIu&#10;OTY0IDEuNzg0NTggMTQyLjk2OSAxLjE4MDU3IDE0Mi45NzUgMC41NzY1NTYgMTQzLjQ4NSAwLjA3&#10;Njg3NDEgMTQ0LjA3OCAwLjA5MzM0NzRMMTUwLjcyOCAwLjE2NDczQzE1MS4zMzIgMC4xNzAyMjIg&#10;MTUxLjgyMSAwLjY2OTkwMyAxNTEuODE1IDEuMjczOTIgMTUxLjgxIDEuODc3OTMgMTUxLjMyMSAy&#10;LjM2MTEzIDE1MC43MTcgMi4zNjExM1pNMTE3LjQ1OCAyLjM0NDY2QzExNi44NjUgMi4zNDQ2NiAx&#10;MTYuMzc3IDEuODcyNDMgMTE2LjM2IDEuMjczOTIgMTE2LjM0MyAwLjY2OTkwMyAxMTYuODI3IDAu&#10;MTY0NzMgMTE3LjQzMSAwLjE0ODI1NyAxMTguNTUxIDAuMTIwODAyIDExOS42NjUgMC4wOTg4Mzc5&#10;IDEyMC43OCAwLjA3Njg3NDEgMTIxLjg4NCAwLjA2MDQwMTEgMTIyLjk5MyAwLjA0MzkyODEgMTI0&#10;LjA5NyAwLjAzMjk0NjFMMTI0LjEwOCAwLjAzMjk0NjFDMTI0LjcxMiAwLjAzMjk0NjEgMTI1LjIg&#10;MC41MTYxNTUgMTI1LjIwNiAxLjEyMDE3IDEyNS4yMTEgMS43MjQxOCAxMjQuNzIzIDIuMjIzODYg&#10;MTI0LjExOSAyLjIyOTM1IDEyMy4wMjEgMi4yNDAzMyAxMjEuOTE3IDIuMjUxMzIgMTIwLjgxOSAy&#10;LjI3MzI4IDExOS43MSAyLjI4OTc1IDExOC41OTUgMi4zMTE3MiAxMTcuNDg2IDIuMzM5MTcgMTE3&#10;LjQ3NSAyLjMzOTE3IDExNy40NjkgMi4zMzkxNyAxMTcuNDU4IDIuMzM5MTdaTTEzNy40MTMgMi4y&#10;MjkzNSAxMzcuNDA3IDIuMjI5MzVDMTM1LjE5NCAyLjIxMjg4IDEzMi45ODIgMi4yMDE5IDEzMC43&#10;NjMgMi4yMDE5IDEzMC4xNTkgMi4yMDE5IDEyOS42NjUgMS43MDc3IDEyOS42NjUgMS4xMDM2OSAx&#10;MjkuNjY1IDAuNDk5NjgyIDEzMC4xNTkgMC4wMDU0OTEwMSAxMzAuNzYzIDAuMDA1NDkxMDFMMTMw&#10;Ljc2MyAwLjAwNTQ5MTAxQzEzMi45ODcgMC4wMDU0OTEwMSAxMzUuMjA2IDAuMDE2NDczIDEzNy40&#10;MjMgMC4wMzI5NDYxIDEzOC4wMjcgMC4wMzI5NDYxIDEzOC41MTYgMC41MzI2MjggMTM4LjUxNiAx&#10;LjEzNjY0IDEzOC41MTYgMS43NDA2NSAxMzguMDIyIDIuMjI5MzUgMTM3LjQxOCAyLjIyOTM1WiIg&#10;ZmlsbD0iIzM2NDI0QSIgdHJhbnNmb3JtPSJtYXRyaXgoMS41NDYxNSAwIDAgMSA4MzUuMTg3IDYy&#10;NC44NzgpIi8+PHBhdGggZD0iTTE2MC42NTYgMi40MzgwMSAxNjAuNjU2IDIuNDM4MDFDMTU5LjU1&#10;NyAyLjQzODAxIDE1OC40NTkgMi40MjcwMyAxNTcuMzU2IDIuNDE2MDUgMTU2Ljc1MSAyLjQxNjA1&#10;IDE1Ni4yNjMgMS45MTYzNiAxNTYuMjYzIDEuMzEyMzYgMTU2LjI2MyAwLjcwODM0IDE1Ni43NTcg&#10;MC4yMTk2NCAxNTcuMzYxIDAuMjE5NjRMMTU3LjM3MiAwLjIxOTY0QzE1OC40NzEgMC4yMjUxMzIg&#10;MTU5LjU2OSAwLjIzNjExMyAxNjAuNjYxIDAuMjQxNjA1IDE2MS4yNjUgMC4yNDE2MDUgMTYxLjc2&#10;IDAuNzM1Nzk1IDE2MS43NTQgMS4zNDUzIDE2MS43NTQgMS45NDkzMSAxNjEuMjYgMi40MzgwMSAx&#10;NjAuNjU2IDIuNDM4MDFaIiBmaWxsPSIjMzY0MjRBIiB0cmFuc2Zvcm09Im1hdHJpeCgxLjU0NjE1&#10;IDAgMCAxIDgzNS4xODcgNjI0Ljg3OCkiLz48L2c+PC9nPjwvZz48dGV4dCBmaWxsPSIjMzY0MjRB&#10;IiBmb250LWZhbWlseT0iQXJpYWwsQXJpYWxfTVNGb250U2VydmljZSxBcmlhbCIgZm9udC13ZWln&#10;aHQ9IjcwMCIgZm9udC1zaXplPSIxNyIgdHJhbnNmb3JtPSJtYXRyaXgoMC43OTM1MDIgMCAwIDAu&#10;Nzk0IDEwMzIuNDUgNzE0KSI+T1VUUFVUUzwvdGV4dD48dGV4dCBmaWxsPSIjRkZGRkZGIiBmb250&#10;LWZhbWlseT0iQXJpYWwsQXJpYWxfTVNGb250U2VydmljZSxBcmlhbCIgZm9udC13ZWlnaHQ9Ijcw&#10;MCIgZm9udC1zaXplPSIxNyIgdHJhbnNmb3JtPSJtYXRyaXgoMC43OTM1MDIgMCAwIDAuNzk0IDcy&#10;OC42NTUgNzMxKSI+T1VUUFVUUzwvdGV4dD48dGV4dCBmaWxsPSIjRkZGRkZGIiBmb250LWZhbWls&#10;eT0iQXJpYWwsQXJpYWxfTVNGb250U2VydmljZSxBcmlhbCIgZm9udC13ZWlnaHQ9IjcwMCIgZm9u&#10;dC1zaXplPSIxNyIgdHJhbnNmb3JtPSJtYXRyaXgoMC43OTM1MDIgMCAwIDAuNzk0IDQzMi45IDcw&#10;OCkiPk9VVFBVVFM8L3RleHQ+PHRleHQgZmlsbD0iI0ZGRkZGRiIgZm9udC1mYW1pbHk9IkFyaWFs&#10;LEFyaWFsX01TRm9udFNlcnZpY2UsQXJpYWwiIGZvbnQtd2VpZ2h0PSI3MDAiIGZvbnQtc2l6ZT0i&#10;MTciIHRyYW5zZm9ybT0ibWF0cml4KDAuNzkzNTAyIDAgMCAwLjc5NCAxNjAuODUgNzAxKSI+T1VU&#10;UFVUUzwvdGV4dD48L2c+PC9zdmc+UEsDBBQABgAIAAAAIQDACcpH4wAAAA0BAAAPAAAAZHJzL2Rv&#10;d25yZXYueG1sTI/BasMwDIbvg72D0WC31nZGsy2LU0rZdiqDtYPSmxurSWgsh9hN0refe9puEvr4&#10;9f35crItG7D3jSMFci6AIZXONFQp+Nl9zF6A+aDJ6NYRKriih2Vxf5frzLiRvnHYhorFEPKZVlCH&#10;0GWc+7JGq/3cdUjxdnK91SGufcVNr8cYblueCJFyqxuKH2rd4brG8ry9WAWfox5XT/J92JxP6+th&#10;t/jabyQq9fgwrd6ABZzCHww3/agORXQ6ugsZz1oFMymfXyOrIEklsBuxEDIFdoyTTEUCvMj5/xbF&#10;LwA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G2goMU6AwAAgAcAAA4AAAAAAAAAAAAAAAAAQwIAAGRycy9lMm9Eb2MueG1sUEsBAi0ACgAAAAAA&#10;AAAhAKvUtuwSJAoAEiQKABQAAAAAAAAAAAAAAAAAqQUAAGRycy9tZWRpYS9pbWFnZTEucG5nUEsB&#10;Ai0ACgAAAAAAAAAhAGxgFcHy1AMA8tQDABQAAAAAAAAAAAAAAAAA7SkKAGRycy9tZWRpYS9pbWFn&#10;ZTIuc3ZnUEsBAi0AFAAGAAgAAAAhAMAJykfjAAAADQEAAA8AAAAAAAAAAAAAAAAAEf8NAGRycy9k&#10;b3ducmV2LnhtbFBLAQItABQABgAIAAAAIQAiVg7uxwAAAKUBAAAZAAAAAAAAAAAAAAAAACEADgBk&#10;cnMvX3JlbHMvZTJvRG9jLnhtbC5yZWxzUEsFBgAAAAAHAAcAvgEAAB8BDgAAAA==&#10;" o:allowoverlap="f">
                <v:shape id="Graphic 3" o:spid="_x0000_s1073" type="#_x0000_t75" style="position:absolute;width:103422;height:7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TIxwAAAOIAAAAPAAAAZHJzL2Rvd25yZXYueG1sRI9BSwMx&#10;FITvgv8hvII3m81aFlmbliAI9iLYCl4fm9fN0s3LksTu+u+NIHgcZuYbZrtf/CiuFNMQWINaVyCI&#10;u2AH7jV8nF7uH0GkjGxxDEwavinBfnd7s8XWhpnf6XrMvSgQTi1qcDlPrZSpc+QxrcNEXLxziB5z&#10;kbGXNuJc4H6UdVU10uPAZcHhRM+Ousvxy2sIRl3qoaNoPg+NO71lczBq1vputZgnEJmW/B/+a79a&#10;DfVDU6uN2jTwe6ncAbn7AQAA//8DAFBLAQItABQABgAIAAAAIQDb4fbL7gAAAIUBAAATAAAAAAAA&#10;AAAAAAAAAAAAAABbQ29udGVudF9UeXBlc10ueG1sUEsBAi0AFAAGAAgAAAAhAFr0LFu/AAAAFQEA&#10;AAsAAAAAAAAAAAAAAAAAHwEAAF9yZWxzLy5yZWxzUEsBAi0AFAAGAAgAAAAhAOlDhMjHAAAA4gAA&#10;AA8AAAAAAAAAAAAAAAAABwIAAGRycy9kb3ducmV2LnhtbFBLBQYAAAAAAwADALcAAAD7AgAAAAA=&#10;">
                  <v:imagedata r:id="rId69" o:title="" croptop="2011f"/>
                </v:shape>
                <v:shape id="Text Box 2" o:spid="_x0000_s1074" type="#_x0000_t202" style="position:absolute;left:1303;top:1774;width:40257;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blDygAAAOIAAAAPAAAAZHJzL2Rvd25yZXYueG1sRI/NasMw&#10;EITvhbyD2EJvjdRUDqkbJYSUQk8pcX+gt8Xa2KbWylhq7Lx9FCjkOMzMN8xyPbpWHKkPjWcDD1MF&#10;grj0tuHKwOfH6/0CRIjIFlvPZOBEAdaryc0Sc+sH3tOxiJVIEA45Gqhj7HIpQ1mTwzD1HXHyDr53&#10;GJPsK2l7HBLctXKm1Fw6bDgt1NjRtqbyt/hzBr52h59vrd6rF5d1gx+VZPckjbm7HTfPICKN8Rr+&#10;b79ZA4tMP2Za6zlcLqU7IFdnAAAA//8DAFBLAQItABQABgAIAAAAIQDb4fbL7gAAAIUBAAATAAAA&#10;AAAAAAAAAAAAAAAAAABbQ29udGVudF9UeXBlc10ueG1sUEsBAi0AFAAGAAgAAAAhAFr0LFu/AAAA&#10;FQEAAAsAAAAAAAAAAAAAAAAAHwEAAF9yZWxzLy5yZWxzUEsBAi0AFAAGAAgAAAAhAGZVuUPKAAAA&#10;4gAAAA8AAAAAAAAAAAAAAAAABwIAAGRycy9kb3ducmV2LnhtbFBLBQYAAAAAAwADALcAAAD+AgAA&#10;AAA=&#10;" filled="f" stroked="f">
                  <v:textbox>
                    <w:txbxContent>
                      <w:p w14:paraId="6EBF6E99" w14:textId="58833A84" w:rsidR="002D3851" w:rsidRPr="009C6A0F" w:rsidRDefault="002D3851" w:rsidP="00E733A0">
                        <w:pPr>
                          <w:pStyle w:val="TableFigure-Header"/>
                        </w:pPr>
                        <w:bookmarkStart w:id="63" w:name="_Ref137110157"/>
                        <w:bookmarkStart w:id="64" w:name="_Toc138851310"/>
                        <w:r w:rsidRPr="009C6A0F">
                          <w:t xml:space="preserve">Figure </w:t>
                        </w:r>
                        <w:r w:rsidR="005B4A4F">
                          <w:fldChar w:fldCharType="begin"/>
                        </w:r>
                        <w:r w:rsidR="005B4A4F">
                          <w:instrText xml:space="preserve"> STYLEREF 1 \s </w:instrText>
                        </w:r>
                        <w:r w:rsidR="005B4A4F">
                          <w:fldChar w:fldCharType="separate"/>
                        </w:r>
                        <w:r w:rsidR="00165B17">
                          <w:rPr>
                            <w:noProof/>
                          </w:rPr>
                          <w:t>2</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2</w:t>
                        </w:r>
                        <w:r w:rsidR="005B4A4F">
                          <w:fldChar w:fldCharType="end"/>
                        </w:r>
                        <w:bookmarkEnd w:id="63"/>
                        <w:r w:rsidR="00E800B3">
                          <w:t>.</w:t>
                        </w:r>
                        <w:r w:rsidR="009C6A0F">
                          <w:t xml:space="preserve"> </w:t>
                        </w:r>
                        <w:r w:rsidRPr="009C6A0F">
                          <w:t>Evaluation activities and number of participants by cycle design</w:t>
                        </w:r>
                        <w:bookmarkEnd w:id="64"/>
                      </w:p>
                      <w:p w14:paraId="102A9EBD" w14:textId="4102CC42" w:rsidR="002D3851" w:rsidRPr="009C6A0F" w:rsidRDefault="002D3851" w:rsidP="002D3851">
                        <w:pPr>
                          <w:pStyle w:val="Caption"/>
                          <w:rPr>
                            <w:bCs/>
                          </w:rPr>
                        </w:pPr>
                      </w:p>
                    </w:txbxContent>
                  </v:textbox>
                </v:shape>
                <w10:wrap anchory="page"/>
                <w10:anchorlock/>
              </v:group>
            </w:pict>
          </mc:Fallback>
        </mc:AlternateContent>
      </w:r>
    </w:p>
    <w:p w14:paraId="72794EDA" w14:textId="77777777" w:rsidR="0091635E" w:rsidRDefault="0091635E" w:rsidP="006D5039">
      <w:pPr>
        <w:pStyle w:val="Bullet1"/>
        <w:ind w:left="0" w:firstLine="0"/>
        <w:sectPr w:rsidR="0091635E" w:rsidSect="0091635E">
          <w:pgSz w:w="16834" w:h="11909" w:orient="landscape" w:code="9"/>
          <w:pgMar w:top="1440" w:right="1440" w:bottom="1440" w:left="1440" w:header="720" w:footer="720" w:gutter="0"/>
          <w:cols w:space="720"/>
          <w:titlePg/>
          <w:docGrid w:linePitch="360"/>
        </w:sectPr>
      </w:pPr>
    </w:p>
    <w:p w14:paraId="2BD0E43A" w14:textId="77777777" w:rsidR="00881976" w:rsidRPr="00CD50B2" w:rsidRDefault="00881976" w:rsidP="00651D06">
      <w:pPr>
        <w:pStyle w:val="Heading3"/>
      </w:pPr>
      <w:r w:rsidRPr="00CD50B2">
        <w:lastRenderedPageBreak/>
        <w:t xml:space="preserve">Cycle 1 </w:t>
      </w:r>
    </w:p>
    <w:p w14:paraId="07D042AA" w14:textId="34AD981D" w:rsidR="00881976" w:rsidRPr="00FE36AE" w:rsidRDefault="00881976" w:rsidP="00881976">
      <w:r w:rsidRPr="00FE36AE">
        <w:t>In Cycle 1, both qualitative and quantitative data w</w:t>
      </w:r>
      <w:r w:rsidR="000A1805">
        <w:t>ere</w:t>
      </w:r>
      <w:r w:rsidRPr="00FE36AE">
        <w:t xml:space="preserve"> generated or collected. The focus was to generate a baseline description of what Aboriginal and Torres Strait Islander people value in health service design and experience</w:t>
      </w:r>
      <w:r>
        <w:t>,</w:t>
      </w:r>
      <w:r w:rsidRPr="00FE36AE">
        <w:t xml:space="preserve"> and how people experience the health system; create site system maps and contextual descriptions; as well as gather a set of local and system level indicators and baseline data to plan, monitor, and measure change.</w:t>
      </w:r>
    </w:p>
    <w:p w14:paraId="5B9A3312" w14:textId="77777777" w:rsidR="00881976" w:rsidRPr="00FE36AE" w:rsidRDefault="00881976" w:rsidP="00881976">
      <w:r w:rsidRPr="00FE36AE">
        <w:t>The main evaluation activities in Cycle 1 were:</w:t>
      </w:r>
    </w:p>
    <w:p w14:paraId="45A62609" w14:textId="77777777" w:rsidR="00881976" w:rsidRPr="00C73088" w:rsidRDefault="00881976" w:rsidP="00C73088">
      <w:pPr>
        <w:numPr>
          <w:ilvl w:val="0"/>
          <w:numId w:val="19"/>
        </w:numPr>
        <w:spacing w:after="120"/>
      </w:pPr>
      <w:r w:rsidRPr="00C73088">
        <w:t>all of team data collection preparation sessions and workshops</w:t>
      </w:r>
    </w:p>
    <w:p w14:paraId="120E01B6" w14:textId="77777777" w:rsidR="00881976" w:rsidRPr="00C73088" w:rsidRDefault="00881976" w:rsidP="00C73088">
      <w:pPr>
        <w:numPr>
          <w:ilvl w:val="0"/>
          <w:numId w:val="19"/>
        </w:numPr>
        <w:spacing w:after="120"/>
      </w:pPr>
      <w:r w:rsidRPr="00C73088">
        <w:t xml:space="preserve">reflective and future focused community yarning workshops at 12 sites </w:t>
      </w:r>
    </w:p>
    <w:p w14:paraId="3E645FCF" w14:textId="77777777" w:rsidR="00881976" w:rsidRPr="00C73088" w:rsidRDefault="00881976" w:rsidP="00C73088">
      <w:pPr>
        <w:numPr>
          <w:ilvl w:val="0"/>
          <w:numId w:val="19"/>
        </w:numPr>
        <w:spacing w:after="120"/>
      </w:pPr>
      <w:r w:rsidRPr="00C73088">
        <w:t xml:space="preserve">individual patient experience journey interviews at 6 sites </w:t>
      </w:r>
    </w:p>
    <w:p w14:paraId="2BBC66FC" w14:textId="77777777" w:rsidR="00881976" w:rsidRPr="00C73088" w:rsidRDefault="00881976" w:rsidP="00C73088">
      <w:pPr>
        <w:numPr>
          <w:ilvl w:val="0"/>
          <w:numId w:val="19"/>
        </w:numPr>
        <w:spacing w:after="120"/>
      </w:pPr>
      <w:r w:rsidRPr="00C73088">
        <w:t>reflective and future focused Aboriginal and Torres Strait Islander health service staff yarning workshops held with 44 health services staff at 12 sites</w:t>
      </w:r>
    </w:p>
    <w:p w14:paraId="75C7A2C4" w14:textId="77777777" w:rsidR="00881976" w:rsidRPr="00C73088" w:rsidRDefault="00881976" w:rsidP="00C73088">
      <w:pPr>
        <w:numPr>
          <w:ilvl w:val="0"/>
          <w:numId w:val="19"/>
        </w:numPr>
        <w:spacing w:after="120"/>
      </w:pPr>
      <w:r w:rsidRPr="00C73088">
        <w:t>semi-structured and KEQ-based interviews with Aboriginal and Torres Strait Islander health service leadership staff across all sites.</w:t>
      </w:r>
    </w:p>
    <w:p w14:paraId="06BC3583" w14:textId="77777777" w:rsidR="00881976" w:rsidRPr="00C73088" w:rsidRDefault="00881976" w:rsidP="00C73088">
      <w:pPr>
        <w:numPr>
          <w:ilvl w:val="0"/>
          <w:numId w:val="19"/>
        </w:numPr>
        <w:spacing w:after="120"/>
      </w:pPr>
      <w:r w:rsidRPr="00C73088">
        <w:t xml:space="preserve">semi-structured and KEQ-based interviews with managerial staff from 13 PHNs </w:t>
      </w:r>
    </w:p>
    <w:p w14:paraId="7D5DA340" w14:textId="77777777" w:rsidR="00881976" w:rsidRPr="00C73088" w:rsidRDefault="00881976" w:rsidP="00C73088">
      <w:pPr>
        <w:numPr>
          <w:ilvl w:val="0"/>
          <w:numId w:val="19"/>
        </w:numPr>
        <w:spacing w:after="120"/>
      </w:pPr>
      <w:r w:rsidRPr="00C73088">
        <w:t>semi-structured and KEQ-based interviews with stakeholders from site, state and territory, and national organisations across all sites and jurisdictions</w:t>
      </w:r>
    </w:p>
    <w:p w14:paraId="0C4CC517" w14:textId="77777777" w:rsidR="00881976" w:rsidRPr="00590EE8" w:rsidRDefault="00881976" w:rsidP="00651D06">
      <w:pPr>
        <w:pStyle w:val="Heading3"/>
      </w:pPr>
      <w:r w:rsidRPr="00590EE8">
        <w:t>Cycle 2</w:t>
      </w:r>
    </w:p>
    <w:p w14:paraId="7831BA20" w14:textId="77777777" w:rsidR="00881976" w:rsidRPr="00590EE8" w:rsidRDefault="00881976" w:rsidP="00881976">
      <w:r w:rsidRPr="00590EE8">
        <w:t xml:space="preserve">In Cycle 2, </w:t>
      </w:r>
      <w:r>
        <w:t>the evaluation built</w:t>
      </w:r>
      <w:r w:rsidRPr="00590EE8">
        <w:t xml:space="preserve"> on the data gathered in Cycle 1, particularly in those areas where gaps, inconsistencies and a need for sense-checking had been identified. Where Cycle 1 focused on generating a baseline description of IAHP, Cycle 2 focused on exploring the contribution of the IAHP. As with Cycle 1, engagement with site partners, community members and other evaluation participants was impacted by the COVID-19 pandemic in Cycle 2. The</w:t>
      </w:r>
      <w:r>
        <w:t xml:space="preserve"> </w:t>
      </w:r>
      <w:r w:rsidRPr="00590EE8">
        <w:t>majority of interviews and workshops were held online.</w:t>
      </w:r>
    </w:p>
    <w:p w14:paraId="26BE555D" w14:textId="77777777" w:rsidR="00881976" w:rsidRPr="00590EE8" w:rsidRDefault="00881976" w:rsidP="00881976">
      <w:r w:rsidRPr="00590EE8">
        <w:t>The main evaluation activities in Cycle 2 were:</w:t>
      </w:r>
    </w:p>
    <w:p w14:paraId="6EDD8E73" w14:textId="77777777" w:rsidR="00881976" w:rsidRPr="00590EE8" w:rsidRDefault="00881976" w:rsidP="00C73088">
      <w:pPr>
        <w:numPr>
          <w:ilvl w:val="0"/>
          <w:numId w:val="19"/>
        </w:numPr>
        <w:spacing w:after="120"/>
      </w:pPr>
      <w:r w:rsidRPr="00590EE8">
        <w:t xml:space="preserve">Collective Action for Change workshops across 8 sites and with the </w:t>
      </w:r>
      <w:r>
        <w:t>department</w:t>
      </w:r>
      <w:r w:rsidRPr="00590EE8">
        <w:t xml:space="preserve">. These involved mapping the health system in each site; discussing what is working well and the challenges; and identifying what needs to change and (in some cases/sites) an action plan to drive change. </w:t>
      </w:r>
    </w:p>
    <w:p w14:paraId="44AEBE6C" w14:textId="77777777" w:rsidR="00881976" w:rsidRDefault="00881976" w:rsidP="00C73088">
      <w:pPr>
        <w:numPr>
          <w:ilvl w:val="0"/>
          <w:numId w:val="19"/>
        </w:numPr>
        <w:spacing w:after="120"/>
      </w:pPr>
      <w:r w:rsidRPr="00590EE8">
        <w:t xml:space="preserve">Interviews, workshops and analyses as part of </w:t>
      </w:r>
      <w:r>
        <w:t>3</w:t>
      </w:r>
      <w:r w:rsidRPr="00590EE8">
        <w:t xml:space="preserve"> cross-cutting collaboratives. The collaboratives were on: </w:t>
      </w:r>
    </w:p>
    <w:p w14:paraId="7ECC1DC1" w14:textId="77777777" w:rsidR="00881976" w:rsidRPr="009F167F" w:rsidRDefault="00881976" w:rsidP="003B3C05">
      <w:pPr>
        <w:pStyle w:val="Bullet2"/>
        <w:numPr>
          <w:ilvl w:val="1"/>
          <w:numId w:val="19"/>
        </w:numPr>
      </w:pPr>
      <w:r w:rsidRPr="009F167F">
        <w:t xml:space="preserve">the Aboriginal and Torres Strait Islander PHC system’s initial response to COVID-19 </w:t>
      </w:r>
    </w:p>
    <w:p w14:paraId="779E8439" w14:textId="77777777" w:rsidR="00881976" w:rsidRPr="009F167F" w:rsidRDefault="00881976" w:rsidP="003B3C05">
      <w:pPr>
        <w:pStyle w:val="Bullet2"/>
        <w:numPr>
          <w:ilvl w:val="1"/>
          <w:numId w:val="19"/>
        </w:numPr>
      </w:pPr>
      <w:r w:rsidRPr="009F167F">
        <w:t>the training pipeline for Aboriginal Health Workers and Health Practitioners</w:t>
      </w:r>
    </w:p>
    <w:p w14:paraId="17437C84" w14:textId="77777777" w:rsidR="00881976" w:rsidRPr="009F167F" w:rsidRDefault="00881976" w:rsidP="003B3C05">
      <w:pPr>
        <w:pStyle w:val="Bullet2"/>
        <w:numPr>
          <w:ilvl w:val="1"/>
          <w:numId w:val="19"/>
        </w:numPr>
      </w:pPr>
      <w:r w:rsidRPr="009F167F">
        <w:lastRenderedPageBreak/>
        <w:t xml:space="preserve">adapting and validating a tool to identify, measure and monitor institutional racism in PHNs. </w:t>
      </w:r>
    </w:p>
    <w:p w14:paraId="130C8688" w14:textId="77777777" w:rsidR="00881976" w:rsidRPr="00590EE8" w:rsidRDefault="00881976" w:rsidP="00C73088">
      <w:pPr>
        <w:numPr>
          <w:ilvl w:val="0"/>
          <w:numId w:val="19"/>
        </w:numPr>
        <w:spacing w:after="120"/>
      </w:pPr>
      <w:r w:rsidRPr="00590EE8">
        <w:t xml:space="preserve">Yarns and interviews with </w:t>
      </w:r>
      <w:r>
        <w:t xml:space="preserve">Aboriginal and Torres Strait Islander people </w:t>
      </w:r>
      <w:r w:rsidRPr="00590EE8">
        <w:t>who access mainstream PHC services or who do</w:t>
      </w:r>
      <w:r>
        <w:t xml:space="preserve"> not</w:t>
      </w:r>
      <w:r w:rsidRPr="00590EE8">
        <w:t xml:space="preserve"> access PHC at all. </w:t>
      </w:r>
    </w:p>
    <w:p w14:paraId="6291DA2F" w14:textId="77777777" w:rsidR="00881976" w:rsidRPr="00590EE8" w:rsidRDefault="00881976" w:rsidP="00C73088">
      <w:pPr>
        <w:numPr>
          <w:ilvl w:val="0"/>
          <w:numId w:val="19"/>
        </w:numPr>
        <w:spacing w:after="120"/>
      </w:pPr>
      <w:r w:rsidRPr="00590EE8">
        <w:t xml:space="preserve">Interviews with managers and staff from ACCHSs, AMSs and PHNs targeting specific information gaps. </w:t>
      </w:r>
    </w:p>
    <w:p w14:paraId="106C218E" w14:textId="77777777" w:rsidR="00881976" w:rsidRPr="00590EE8" w:rsidRDefault="00881976" w:rsidP="00C73088">
      <w:pPr>
        <w:numPr>
          <w:ilvl w:val="0"/>
          <w:numId w:val="19"/>
        </w:numPr>
        <w:spacing w:after="120"/>
      </w:pPr>
      <w:r w:rsidRPr="00590EE8">
        <w:t xml:space="preserve">Interviews with stakeholders not engaged in Cycle 1, including from state and territory peak bodies for community-controlled health services and government health departments. </w:t>
      </w:r>
    </w:p>
    <w:p w14:paraId="1F500E51" w14:textId="77777777" w:rsidR="00881976" w:rsidRPr="00590EE8" w:rsidRDefault="00881976" w:rsidP="00C73088">
      <w:pPr>
        <w:numPr>
          <w:ilvl w:val="0"/>
          <w:numId w:val="19"/>
        </w:numPr>
        <w:spacing w:after="120"/>
      </w:pPr>
      <w:r w:rsidRPr="00590EE8">
        <w:t>Analysis of new data collected through interviews at site level.</w:t>
      </w:r>
    </w:p>
    <w:p w14:paraId="5D420913" w14:textId="77777777" w:rsidR="00881976" w:rsidRPr="00590EE8" w:rsidRDefault="00881976" w:rsidP="00C73088">
      <w:pPr>
        <w:numPr>
          <w:ilvl w:val="0"/>
          <w:numId w:val="19"/>
        </w:numPr>
        <w:spacing w:after="120"/>
      </w:pPr>
      <w:r w:rsidRPr="00590EE8">
        <w:t xml:space="preserve">Analysis of routinely collected data sets at state, territory, and site levels. </w:t>
      </w:r>
    </w:p>
    <w:p w14:paraId="4962FAF7" w14:textId="24AADECC" w:rsidR="00881976" w:rsidRPr="00D10F3D" w:rsidRDefault="00881976" w:rsidP="00C73088">
      <w:pPr>
        <w:numPr>
          <w:ilvl w:val="0"/>
          <w:numId w:val="19"/>
        </w:numPr>
        <w:spacing w:after="120"/>
      </w:pPr>
      <w:r w:rsidRPr="00590EE8">
        <w:t xml:space="preserve">Analysis about the contribution of the IAHP to strengthening comprehensive PHC for Aboriginal and Torres Strait Islander people. This included re-analysis of Cycle 1 site partner interviews and was achieved through the development of ‘contribution cases’ to test the contribution of IAHP to expected changes </w:t>
      </w:r>
      <w:r w:rsidRPr="00D10F3D">
        <w:t xml:space="preserve">(see </w:t>
      </w:r>
      <w:r w:rsidR="000B385F" w:rsidRPr="00D10F3D">
        <w:t xml:space="preserve">Final Report </w:t>
      </w:r>
      <w:r w:rsidR="00D10F3D" w:rsidRPr="00D10F3D">
        <w:t>Supporting</w:t>
      </w:r>
      <w:r w:rsidR="000B385F" w:rsidRPr="00D10F3D">
        <w:t xml:space="preserve"> Material: </w:t>
      </w:r>
      <w:r w:rsidRPr="00D10F3D">
        <w:t xml:space="preserve">Appendix </w:t>
      </w:r>
      <w:r w:rsidR="000B385F" w:rsidRPr="00D10F3D">
        <w:t>C</w:t>
      </w:r>
      <w:r w:rsidRPr="00D10F3D">
        <w:t xml:space="preserve"> for more detail on contribution case analysis). </w:t>
      </w:r>
    </w:p>
    <w:p w14:paraId="7542A022" w14:textId="77777777" w:rsidR="00881976" w:rsidRPr="00590EE8" w:rsidRDefault="00881976" w:rsidP="00C73088">
      <w:pPr>
        <w:numPr>
          <w:ilvl w:val="0"/>
          <w:numId w:val="19"/>
        </w:numPr>
        <w:spacing w:after="120"/>
      </w:pPr>
      <w:r w:rsidRPr="00590EE8">
        <w:t xml:space="preserve">Workshops with site partners to interpret and validate the emerging findings. </w:t>
      </w:r>
    </w:p>
    <w:p w14:paraId="1806205B" w14:textId="77777777" w:rsidR="00881976" w:rsidRPr="00B30FAF" w:rsidRDefault="00881976" w:rsidP="00651D06">
      <w:pPr>
        <w:pStyle w:val="Heading3"/>
      </w:pPr>
      <w:r w:rsidRPr="00B30FAF">
        <w:t>Cycle 3</w:t>
      </w:r>
    </w:p>
    <w:p w14:paraId="3E13FB08" w14:textId="77777777" w:rsidR="00881976" w:rsidRPr="00B30FAF" w:rsidRDefault="00881976" w:rsidP="00881976">
      <w:r w:rsidRPr="00B30FAF">
        <w:t xml:space="preserve">The focus of Cycle 3 was the collaborative development of recommendations and solutions to </w:t>
      </w:r>
      <w:r>
        <w:t>respond to the key findings about</w:t>
      </w:r>
      <w:r w:rsidRPr="00B30FAF">
        <w:t xml:space="preserve"> the IAHP. The evaluation team also tested, revised, and strengthened contribution cases through discussions with site partners and other subject experts over Cycle 3. </w:t>
      </w:r>
    </w:p>
    <w:p w14:paraId="1F922FAF" w14:textId="77777777" w:rsidR="00881976" w:rsidRPr="00B30FAF" w:rsidRDefault="00881976" w:rsidP="00881976">
      <w:pPr>
        <w:rPr>
          <w:lang w:val="en-NZ"/>
        </w:rPr>
      </w:pPr>
      <w:r w:rsidRPr="00B30FAF">
        <w:rPr>
          <w:lang w:val="en-NZ"/>
        </w:rPr>
        <w:t>The main evaluation activities in Cycle 3 were:</w:t>
      </w:r>
    </w:p>
    <w:p w14:paraId="463C14E1" w14:textId="77777777" w:rsidR="00881976" w:rsidRPr="00FC6CF6" w:rsidRDefault="00881976" w:rsidP="003B3C05">
      <w:pPr>
        <w:numPr>
          <w:ilvl w:val="0"/>
          <w:numId w:val="19"/>
        </w:numPr>
        <w:spacing w:after="120"/>
      </w:pPr>
      <w:r w:rsidRPr="00FC6CF6">
        <w:t>Group yarns with hard-to-reach populations (prison population)</w:t>
      </w:r>
      <w:r>
        <w:t>.</w:t>
      </w:r>
    </w:p>
    <w:p w14:paraId="09F9E072" w14:textId="77777777" w:rsidR="00881976" w:rsidRPr="00FC6CF6" w:rsidRDefault="00881976" w:rsidP="003B3C05">
      <w:pPr>
        <w:numPr>
          <w:ilvl w:val="0"/>
          <w:numId w:val="19"/>
        </w:numPr>
        <w:spacing w:after="120"/>
      </w:pPr>
      <w:r w:rsidRPr="00FC6CF6">
        <w:t xml:space="preserve">Sense checking of findings on what people value about health service design and delivery through group yarns with community members. </w:t>
      </w:r>
    </w:p>
    <w:p w14:paraId="52242DAF" w14:textId="77777777" w:rsidR="00881976" w:rsidRPr="00FC6CF6" w:rsidRDefault="00881976" w:rsidP="003B3C05">
      <w:pPr>
        <w:numPr>
          <w:ilvl w:val="0"/>
          <w:numId w:val="19"/>
        </w:numPr>
        <w:spacing w:after="120"/>
      </w:pPr>
      <w:r w:rsidRPr="00FC6CF6">
        <w:t xml:space="preserve">Interviews with health service and PHN managerial staff focus on change needed to the IAHP and the wider system. </w:t>
      </w:r>
    </w:p>
    <w:p w14:paraId="50F97C39" w14:textId="77777777" w:rsidR="00881976" w:rsidRPr="00FC6CF6" w:rsidRDefault="00881976" w:rsidP="003B3C05">
      <w:pPr>
        <w:numPr>
          <w:ilvl w:val="0"/>
          <w:numId w:val="19"/>
        </w:numPr>
        <w:spacing w:after="120"/>
      </w:pPr>
      <w:r w:rsidRPr="00FC6CF6">
        <w:t xml:space="preserve">Interviews with mainstream PHC providers and other non-ACCHS stakeholders engaging with IAHP-funding organisations. </w:t>
      </w:r>
    </w:p>
    <w:p w14:paraId="0E1F74E5" w14:textId="77777777" w:rsidR="00881976" w:rsidRPr="00FC6CF6" w:rsidRDefault="00881976" w:rsidP="003B3C05">
      <w:pPr>
        <w:numPr>
          <w:ilvl w:val="0"/>
          <w:numId w:val="19"/>
        </w:numPr>
        <w:spacing w:after="120"/>
      </w:pPr>
      <w:r w:rsidRPr="00FC6CF6">
        <w:t xml:space="preserve">Final interviews with site partners and stakeholders at state, territory, and national levels with a focus on changes needed to the IAHP and the wider system. </w:t>
      </w:r>
    </w:p>
    <w:p w14:paraId="67D43507" w14:textId="77777777" w:rsidR="00881976" w:rsidRPr="00FC6CF6" w:rsidRDefault="00881976" w:rsidP="003B3C05">
      <w:pPr>
        <w:numPr>
          <w:ilvl w:val="0"/>
          <w:numId w:val="19"/>
        </w:numPr>
        <w:spacing w:after="120"/>
      </w:pPr>
      <w:r w:rsidRPr="00FC6CF6">
        <w:t xml:space="preserve">Strengthening of contribution cases through sense-checking interviews with health service partners, PHNs and others. </w:t>
      </w:r>
    </w:p>
    <w:p w14:paraId="53034474" w14:textId="77777777" w:rsidR="00881976" w:rsidRPr="00FC6CF6" w:rsidRDefault="00881976" w:rsidP="003B3C05">
      <w:pPr>
        <w:numPr>
          <w:ilvl w:val="0"/>
          <w:numId w:val="19"/>
        </w:numPr>
        <w:spacing w:after="120"/>
      </w:pPr>
      <w:r w:rsidRPr="00FC6CF6">
        <w:t xml:space="preserve">Facilitation of a contribution review panel providing feedback on the contribution cases and exploring nuances, gaps, and alternative explanations. </w:t>
      </w:r>
    </w:p>
    <w:p w14:paraId="3F65FA18" w14:textId="77777777" w:rsidR="00881976" w:rsidRPr="00FC6CF6" w:rsidRDefault="00881976" w:rsidP="003B3C05">
      <w:pPr>
        <w:numPr>
          <w:ilvl w:val="0"/>
          <w:numId w:val="19"/>
        </w:numPr>
        <w:spacing w:after="120"/>
      </w:pPr>
      <w:r w:rsidRPr="00FC6CF6">
        <w:lastRenderedPageBreak/>
        <w:t>Revision and analysis of contribution cases and write up of overarching contribution narrative.</w:t>
      </w:r>
    </w:p>
    <w:p w14:paraId="46385065" w14:textId="77777777" w:rsidR="00881976" w:rsidRPr="00FC6CF6" w:rsidRDefault="00881976" w:rsidP="003B3C05">
      <w:pPr>
        <w:numPr>
          <w:ilvl w:val="0"/>
          <w:numId w:val="19"/>
        </w:numPr>
        <w:spacing w:after="120"/>
      </w:pPr>
      <w:r w:rsidRPr="00FC6CF6">
        <w:t>Facilitating two cross-site collective action workshops on specific topics</w:t>
      </w:r>
      <w:r>
        <w:t>: partnerships and funding</w:t>
      </w:r>
      <w:r w:rsidRPr="00FC6CF6">
        <w:t xml:space="preserve">. </w:t>
      </w:r>
    </w:p>
    <w:p w14:paraId="79711F2F" w14:textId="77777777" w:rsidR="00881976" w:rsidRPr="00FC6CF6" w:rsidRDefault="00881976" w:rsidP="003B3C05">
      <w:pPr>
        <w:numPr>
          <w:ilvl w:val="0"/>
          <w:numId w:val="19"/>
        </w:numPr>
        <w:spacing w:after="120"/>
      </w:pPr>
      <w:r w:rsidRPr="00FC6CF6">
        <w:t>Completion of two collaboratives on: (1) identifying and piloting approaches to assessing health needs and indicators for health needs within the community; and (2) develop</w:t>
      </w:r>
      <w:r>
        <w:t>ing</w:t>
      </w:r>
      <w:r w:rsidRPr="00FC6CF6">
        <w:t xml:space="preserve"> recommendations to improve the PHC data environment. </w:t>
      </w:r>
    </w:p>
    <w:p w14:paraId="03C64EE1" w14:textId="151BD55B" w:rsidR="00881976" w:rsidRPr="003B3C05" w:rsidRDefault="00881976" w:rsidP="003B3C05">
      <w:pPr>
        <w:numPr>
          <w:ilvl w:val="0"/>
          <w:numId w:val="19"/>
        </w:numPr>
        <w:spacing w:after="120"/>
      </w:pPr>
      <w:r w:rsidRPr="003B3C05">
        <w:t xml:space="preserve">Completion of a sub-project that identified what is needed for PHC organisations and health professionals to establish coherent integrated care models at funding, administrative/ governance, organisational, service delivery and clinical levels. </w:t>
      </w:r>
    </w:p>
    <w:p w14:paraId="69CCCA81" w14:textId="77777777" w:rsidR="00881976" w:rsidRPr="00FC6CF6" w:rsidRDefault="00881976" w:rsidP="003B3C05">
      <w:pPr>
        <w:numPr>
          <w:ilvl w:val="0"/>
          <w:numId w:val="19"/>
        </w:numPr>
        <w:spacing w:after="120"/>
      </w:pPr>
      <w:r w:rsidRPr="00FC6CF6">
        <w:t xml:space="preserve">Facilitation of a </w:t>
      </w:r>
      <w:r>
        <w:t xml:space="preserve">national workshop </w:t>
      </w:r>
      <w:r w:rsidRPr="00FC6CF6">
        <w:t>for site partners in Melbourne</w:t>
      </w:r>
      <w:r>
        <w:t>/Naarm</w:t>
      </w:r>
      <w:r w:rsidRPr="00FC6CF6">
        <w:t xml:space="preserve"> to share and sense check the evaluation findings and recommendations and to promote learning across </w:t>
      </w:r>
      <w:r>
        <w:t xml:space="preserve">different </w:t>
      </w:r>
      <w:r w:rsidRPr="00FC6CF6">
        <w:t xml:space="preserve">sites and levels of the health system. </w:t>
      </w:r>
    </w:p>
    <w:p w14:paraId="70819C9D" w14:textId="77777777" w:rsidR="00881976" w:rsidRDefault="00881976" w:rsidP="003B3C05">
      <w:pPr>
        <w:numPr>
          <w:ilvl w:val="0"/>
          <w:numId w:val="19"/>
        </w:numPr>
        <w:spacing w:after="120"/>
      </w:pPr>
      <w:r w:rsidRPr="00FC6CF6">
        <w:t xml:space="preserve">Development of funding profiles for </w:t>
      </w:r>
      <w:r>
        <w:t>5</w:t>
      </w:r>
      <w:r w:rsidRPr="00FC6CF6">
        <w:t xml:space="preserve"> site partner ACCHSs to demonstrate organisational capacity, funding and contracts, and burden of reporting.</w:t>
      </w:r>
    </w:p>
    <w:p w14:paraId="30A86863" w14:textId="37622680" w:rsidR="00881976" w:rsidRDefault="00881976" w:rsidP="0035030F">
      <w:pPr>
        <w:pStyle w:val="Heading2"/>
      </w:pPr>
      <w:bookmarkStart w:id="65" w:name="_Toc137208890"/>
      <w:r>
        <w:t>Approach to data analysis</w:t>
      </w:r>
      <w:bookmarkEnd w:id="65"/>
    </w:p>
    <w:p w14:paraId="031D22D3" w14:textId="0E781ACA" w:rsidR="00D04F47" w:rsidRDefault="00D04F47" w:rsidP="00651D06">
      <w:pPr>
        <w:pStyle w:val="Heading3"/>
      </w:pPr>
      <w:r>
        <w:t xml:space="preserve">Qualitative data </w:t>
      </w:r>
    </w:p>
    <w:p w14:paraId="4BBE07C7" w14:textId="32B82D6D" w:rsidR="00D04F47" w:rsidRDefault="00D04F47" w:rsidP="00D04F47">
      <w:pPr>
        <w:pStyle w:val="Bullet1"/>
        <w:ind w:left="0" w:firstLine="0"/>
      </w:pPr>
      <w:r>
        <w:t>Different analysis methods were applied to different types of qualitative data and according to purpose and usage. Th</w:t>
      </w:r>
      <w:r w:rsidR="002A5B32">
        <w:t>ese methods are discussed below.</w:t>
      </w:r>
    </w:p>
    <w:p w14:paraId="543D3841" w14:textId="77777777" w:rsidR="00D04F47" w:rsidRDefault="00D04F47" w:rsidP="007C1DEE">
      <w:pPr>
        <w:pStyle w:val="Heading6"/>
        <w:numPr>
          <w:ilvl w:val="0"/>
          <w:numId w:val="0"/>
        </w:numPr>
        <w:ind w:left="1152" w:hanging="1152"/>
      </w:pPr>
      <w:r w:rsidRPr="00630594">
        <w:t xml:space="preserve">Grounded theory analysis </w:t>
      </w:r>
    </w:p>
    <w:p w14:paraId="4A038D3E" w14:textId="14D9815D" w:rsidR="00473898" w:rsidRDefault="00473898" w:rsidP="00410314">
      <w:pPr>
        <w:rPr>
          <w:rFonts w:eastAsia="Cambria" w:cs="Times New Roman"/>
        </w:rPr>
      </w:pPr>
      <w:r w:rsidRPr="00336888">
        <w:rPr>
          <w:rFonts w:eastAsia="Cambria" w:cs="Times New Roman"/>
        </w:rPr>
        <w:t xml:space="preserve">An inductive </w:t>
      </w:r>
      <w:r>
        <w:rPr>
          <w:rFonts w:eastAsia="Cambria" w:cs="Times New Roman"/>
        </w:rPr>
        <w:t xml:space="preserve">grounded theory </w:t>
      </w:r>
      <w:r w:rsidRPr="00336888">
        <w:rPr>
          <w:rFonts w:eastAsia="Cambria" w:cs="Times New Roman"/>
        </w:rPr>
        <w:t xml:space="preserve">methodology </w:t>
      </w:r>
      <w:r>
        <w:rPr>
          <w:rFonts w:eastAsia="Cambria" w:cs="Times New Roman"/>
        </w:rPr>
        <w:t>inspired the overarching analytical approach. G</w:t>
      </w:r>
      <w:r>
        <w:t xml:space="preserve">rounded theory is a systems method of analysis, designed to explore and understand the nature and occurrence of complex social phenomenon </w:t>
      </w:r>
      <w:r>
        <w:fldChar w:fldCharType="begin"/>
      </w:r>
      <w:r w:rsidR="00F8760E">
        <w:instrText xml:space="preserve"> ADDIN ZOTERO_ITEM CSL_CITATION {"citationID":"fJILzFoP","properties":{"formattedCitation":"(Bainbridge et al., 2019)","plainCitation":"(Bainbridge et al., 2019)","noteIndex":0},"citationItems":[{"id":741,"uris":["http://zotero.org/groups/4420056/items/PI2RUU8G",["http://zotero.org/groups/4420056/items/PI2RUU8G"],["http://zotero.org/groups/4420056/items/PI2RUU8G",["http://zotero.org/groups/4420056/items/PI2RUU8G"]],["http://zotero.org/groups/4420056/items/PI2RUU8G",["http://zotero.org/groups/4420056/items/PI2RUU8G"],["http://zotero.org/groups/4420056/items/PI2RUU8G",["http://zotero.org/groups/4420056/items/PI2RUU8G"]]]],"itemData":{"id":741,"type":"chapter","container-title":"The SAGE Handbook of Current Developments in Grounded Theory","edition":"A. Bryant &amp; K. Charmaz","page":"611-629","publisher":"Sage Publications","title":"Grounded theory as systems science: working with Indigenous nations for social justice","author":[{"family":"Bainbridge","given":"Roxanne"},{"family":"McCalman","given":"J"},{"family":"Whiteside","given":"M"},{"family":"Redman-MacLaren","given":"Michelle"}],"issued":{"date-parts":[["2019"]]}}}],"schema":"https://github.com/citation-style-language/schema/raw/master/csl-citation.json"} </w:instrText>
      </w:r>
      <w:r>
        <w:fldChar w:fldCharType="separate"/>
      </w:r>
      <w:r w:rsidRPr="0063205A">
        <w:t>(Bainbridge et al., 2019)</w:t>
      </w:r>
      <w:r>
        <w:fldChar w:fldCharType="end"/>
      </w:r>
      <w:r>
        <w:t xml:space="preserve">. </w:t>
      </w:r>
      <w:r w:rsidRPr="00336888">
        <w:rPr>
          <w:rFonts w:eastAsia="Cambria" w:cs="Times New Roman"/>
        </w:rPr>
        <w:t>The approach ensures that the values</w:t>
      </w:r>
      <w:r>
        <w:rPr>
          <w:rFonts w:eastAsia="Cambria" w:cs="Times New Roman"/>
        </w:rPr>
        <w:t>, preferences</w:t>
      </w:r>
      <w:r w:rsidRPr="00336888">
        <w:rPr>
          <w:rFonts w:eastAsia="Cambria" w:cs="Times New Roman"/>
        </w:rPr>
        <w:t xml:space="preserve"> and priorities of participants are reflected and ground the evaluation, captures Indigenous voices, and makes transparent the process of development and model generation from verbatim concepts. It also ensures that explanations are developed ‘from the ground up’ and not based on a priori assumptions.</w:t>
      </w:r>
    </w:p>
    <w:p w14:paraId="57ACCD05" w14:textId="77777777" w:rsidR="00416CE0" w:rsidRPr="00416CE0" w:rsidRDefault="00416CE0" w:rsidP="00410314">
      <w:pPr>
        <w:rPr>
          <w:rFonts w:eastAsia="Cambria" w:cs="Times New Roman"/>
        </w:rPr>
      </w:pPr>
      <w:r w:rsidRPr="00416CE0">
        <w:rPr>
          <w:rFonts w:eastAsia="Cambria" w:cs="Times New Roman"/>
        </w:rPr>
        <w:t>This approach was used to identify codes and categories, with memos used to capture important insights. Constant comparative methods enabled exploration of issues to establish points of consensus and dissent and to saturate categories. Throughout the analytic process questions were asked like, what power is in this situation and under what specific conditions is it enabled/enacted? How is it manifested, by whom, when, where, how, with what consequences (and for whom or what)? And with what intensity? (Flyvberg, 2001).</w:t>
      </w:r>
    </w:p>
    <w:p w14:paraId="1B422889" w14:textId="77777777" w:rsidR="00416CE0" w:rsidRPr="00416CE0" w:rsidRDefault="00416CE0" w:rsidP="00410314">
      <w:pPr>
        <w:rPr>
          <w:rFonts w:eastAsia="Cambria" w:cs="Times New Roman"/>
        </w:rPr>
      </w:pPr>
      <w:r w:rsidRPr="00416CE0">
        <w:rPr>
          <w:rFonts w:eastAsia="Cambria" w:cs="Times New Roman"/>
        </w:rPr>
        <w:t xml:space="preserve">Data segments in the initial coding were larger than normal for grounded theory, representing incident, foci, or discursive junctions. </w:t>
      </w:r>
    </w:p>
    <w:p w14:paraId="4BA40315" w14:textId="77777777" w:rsidR="00D04F47" w:rsidRDefault="00D04F47" w:rsidP="007C1DEE">
      <w:pPr>
        <w:pStyle w:val="Heading6"/>
        <w:numPr>
          <w:ilvl w:val="0"/>
          <w:numId w:val="0"/>
        </w:numPr>
        <w:ind w:left="1152" w:hanging="1152"/>
      </w:pPr>
      <w:r w:rsidRPr="009964EE">
        <w:lastRenderedPageBreak/>
        <w:t xml:space="preserve">Situational analysis </w:t>
      </w:r>
    </w:p>
    <w:p w14:paraId="2AADB72B" w14:textId="4FF197E2" w:rsidR="009964EE" w:rsidRDefault="009964EE" w:rsidP="009964EE">
      <w:pPr>
        <w:rPr>
          <w:lang w:val="en-NZ"/>
        </w:rPr>
      </w:pPr>
      <w:r>
        <w:rPr>
          <w:lang w:val="en-NZ"/>
        </w:rPr>
        <w:t xml:space="preserve">Analysis of community yarns and interviews with ACCHS staff members was </w:t>
      </w:r>
      <w:r w:rsidRPr="00B432F3">
        <w:rPr>
          <w:lang w:val="en-NZ"/>
        </w:rPr>
        <w:t xml:space="preserve">undertaken predominantly using situational analysis, a relational form of grounded theory </w:t>
      </w:r>
      <w:r>
        <w:rPr>
          <w:lang w:val="en-NZ"/>
        </w:rPr>
        <w:fldChar w:fldCharType="begin"/>
      </w:r>
      <w:r w:rsidR="00F8760E">
        <w:rPr>
          <w:lang w:val="en-NZ"/>
        </w:rPr>
        <w:instrText xml:space="preserve"> ADDIN ZOTERO_ITEM CSL_CITATION {"citationID":"FMyNfB4D","properties":{"formattedCitation":"(Clarke et al., 2017)","plainCitation":"(Clarke et al., 2017)","noteIndex":0},"citationItems":[{"id":3824,"uris":["http://zotero.org/groups/5010721/items/LBLIZ96J",["http://zotero.org/groups/5010721/items/LBLIZ96J"],["http://zotero.org/groups/5010721/items/LBLIZ96J",["http://zotero.org/groups/5010721/items/LBLIZ96J"]]],"itemData":{"id":3824,"type":"book","ISBN":"1-4833-1194-5","publisher":"Sage Publications","title":"Situational analysis: Grounded theory after the interpretive turn","author":[{"family":"Clarke","given":"Adele E"},{"family":"Friese","given":"Carrie"},{"family":"Washburn","given":"Rachel S"}],"issued":{"date-parts":[["2017"]]}}}],"schema":"https://github.com/citation-style-language/schema/raw/master/csl-citation.json"} </w:instrText>
      </w:r>
      <w:r>
        <w:rPr>
          <w:lang w:val="en-NZ"/>
        </w:rPr>
        <w:fldChar w:fldCharType="separate"/>
      </w:r>
      <w:r w:rsidRPr="00BD2C0A">
        <w:rPr>
          <w:rFonts w:ascii="Arial" w:hAnsi="Arial" w:cs="Arial"/>
        </w:rPr>
        <w:t>(Clarke et al., 2017)</w:t>
      </w:r>
      <w:r>
        <w:rPr>
          <w:lang w:val="en-NZ"/>
        </w:rPr>
        <w:fldChar w:fldCharType="end"/>
      </w:r>
      <w:r w:rsidRPr="00B432F3">
        <w:rPr>
          <w:lang w:val="en-NZ"/>
        </w:rPr>
        <w:t>. S</w:t>
      </w:r>
      <w:r>
        <w:rPr>
          <w:lang w:val="en-NZ"/>
        </w:rPr>
        <w:t>ituational analysis</w:t>
      </w:r>
      <w:r w:rsidRPr="00B432F3">
        <w:rPr>
          <w:lang w:val="en-NZ"/>
        </w:rPr>
        <w:t xml:space="preserve"> grounds the analysis in the broader situation of the inquiry, centres on social processes, incorporates non-human actors, manages complexity, and seeks differences or absent positions within the data. S</w:t>
      </w:r>
      <w:r>
        <w:rPr>
          <w:lang w:val="en-NZ"/>
        </w:rPr>
        <w:t>ituational analysis</w:t>
      </w:r>
      <w:r w:rsidRPr="00B432F3">
        <w:rPr>
          <w:lang w:val="en-NZ"/>
        </w:rPr>
        <w:t xml:space="preserve"> is an optimal method to understand the ecology of what Aboriginal and Torres Strait Islander people value in health service delivery and design because of the inseparability of knowledge from the socio-cultural, historical, and political situations in which it is created. </w:t>
      </w:r>
    </w:p>
    <w:p w14:paraId="6558C449" w14:textId="77777777" w:rsidR="009964EE" w:rsidRDefault="009964EE" w:rsidP="009964EE">
      <w:pPr>
        <w:rPr>
          <w:lang w:val="en-NZ"/>
        </w:rPr>
      </w:pPr>
      <w:r w:rsidRPr="00E06273">
        <w:rPr>
          <w:lang w:val="en-NZ"/>
        </w:rPr>
        <w:t xml:space="preserve">Data generated from the Aboriginal and Torres Strait Islander community yarns, patient experience journey interviews and </w:t>
      </w:r>
      <w:r>
        <w:rPr>
          <w:lang w:val="en-NZ"/>
        </w:rPr>
        <w:t xml:space="preserve">Indigenous ACCHS </w:t>
      </w:r>
      <w:r w:rsidRPr="00E06273">
        <w:rPr>
          <w:lang w:val="en-NZ"/>
        </w:rPr>
        <w:t>staff member yarns were used to address th</w:t>
      </w:r>
      <w:r>
        <w:rPr>
          <w:lang w:val="en-NZ"/>
        </w:rPr>
        <w:t xml:space="preserve">e </w:t>
      </w:r>
      <w:r w:rsidRPr="00E06273">
        <w:rPr>
          <w:lang w:val="en-NZ"/>
        </w:rPr>
        <w:t>question</w:t>
      </w:r>
      <w:r>
        <w:rPr>
          <w:lang w:val="en-NZ"/>
        </w:rPr>
        <w:t xml:space="preserve"> of ‘</w:t>
      </w:r>
      <w:r w:rsidRPr="001849C5">
        <w:rPr>
          <w:i/>
          <w:iCs/>
          <w:lang w:val="en-NZ"/>
        </w:rPr>
        <w:t>what Aboriginal and Torres Strait Islander people value in terms of health service design and delivery’</w:t>
      </w:r>
      <w:r w:rsidRPr="00E06273">
        <w:rPr>
          <w:lang w:val="en-NZ"/>
        </w:rPr>
        <w:t>. The community yarns and patient experience journey interviews were the primary data sources, whilst data from the staff member yarns were used to provide explanatory or confirmatory power to the analysis.</w:t>
      </w:r>
    </w:p>
    <w:p w14:paraId="6E1724ED" w14:textId="151F8C8F" w:rsidR="00D04F47" w:rsidRDefault="00D04F47" w:rsidP="007C1DEE">
      <w:pPr>
        <w:pStyle w:val="Heading6"/>
        <w:numPr>
          <w:ilvl w:val="0"/>
          <w:numId w:val="0"/>
        </w:numPr>
        <w:ind w:left="1152" w:hanging="1152"/>
      </w:pPr>
      <w:r w:rsidRPr="00AE5C1A">
        <w:t>System mapping and explanatory metaphors</w:t>
      </w:r>
      <w:r w:rsidR="00AA35E2">
        <w:t xml:space="preserve"> </w:t>
      </w:r>
    </w:p>
    <w:p w14:paraId="2DA82A4C" w14:textId="6B0DF3B7" w:rsidR="00AE5C1A" w:rsidRDefault="00BE19D9" w:rsidP="00AE5C1A">
      <w:pPr>
        <w:rPr>
          <w:lang w:val="en-NZ"/>
        </w:rPr>
      </w:pPr>
      <w:r w:rsidRPr="00BE19D9">
        <w:rPr>
          <w:lang w:val="en-NZ"/>
        </w:rPr>
        <w:t xml:space="preserve">The framework of what Aboriginal and Torres Strait Islander people value in health service design and delivery </w:t>
      </w:r>
      <w:r>
        <w:rPr>
          <w:lang w:val="en-NZ"/>
        </w:rPr>
        <w:t>was</w:t>
      </w:r>
      <w:r w:rsidRPr="00BE19D9">
        <w:rPr>
          <w:lang w:val="en-NZ"/>
        </w:rPr>
        <w:t xml:space="preserve"> visualised using the pictorial conceptual metaphor (Fredericks et al 2015) of a tree. Metaphor is consistent with Indigenous epistemologies, provides greater explanatory value of relationships between concepts than box and arrow diagrams, and is a way of sharing social knowledge (Moreton-Robinson 2017, p.16-18). Trees share several valuable characteristics consistent with primary health services. The framework uses the metaphor of the bottle tree, </w:t>
      </w:r>
      <w:r w:rsidRPr="00BE19D9">
        <w:rPr>
          <w:i/>
          <w:iCs/>
          <w:lang w:val="en-NZ"/>
        </w:rPr>
        <w:t>Brachychiton rupestris</w:t>
      </w:r>
      <w:r w:rsidRPr="00BE19D9">
        <w:rPr>
          <w:lang w:val="en-NZ"/>
        </w:rPr>
        <w:t xml:space="preserve"> or Babuny. The bottle tree has medicinal properties (Thabet et al 2018) and specific characteristics </w:t>
      </w:r>
      <w:r w:rsidR="00FC5954">
        <w:rPr>
          <w:lang w:val="en-NZ"/>
        </w:rPr>
        <w:fldChar w:fldCharType="begin"/>
      </w:r>
      <w:r w:rsidR="00F8760E">
        <w:rPr>
          <w:lang w:val="en-NZ"/>
        </w:rPr>
        <w:instrText xml:space="preserve"> ADDIN ZOTERO_ITEM CSL_CITATION {"citationID":"oTdkJNVl","properties":{"formattedCitation":"(Reynolds et al., 2018)","plainCitation":"(Reynolds et al., 2018)","noteIndex":0},"citationItems":[{"id":3747,"uris":["http://zotero.org/groups/5010721/items/WKMFKXMG",["http://zotero.org/groups/5010721/items/WKMFKXMG"],["http://zotero.org/groups/5010721/items/WKMFKXMG",["http://zotero.org/groups/5010721/items/WKMFKXMG"]]],"itemData":{"id":3747,"type":"article-journal","container-title":"Tree physiology","issue":"5","page":"664-677","title":"Unexpected drought resistance strategies in seedlings of four Brachychiton species","volume":"38","author":[{"family":"Reynolds","given":"V.A."},{"family":"Anderegg","given":"L. D."},{"family":"Loy","given":"X."},{"family":"HilleRisLamders","given":"J."},{"family":"Mayfield","given":"M. M."}],"issued":{"date-parts":[["2018"]]}}}],"schema":"https://github.com/citation-style-language/schema/raw/master/csl-citation.json"} </w:instrText>
      </w:r>
      <w:r w:rsidR="00FC5954">
        <w:rPr>
          <w:lang w:val="en-NZ"/>
        </w:rPr>
        <w:fldChar w:fldCharType="separate"/>
      </w:r>
      <w:r w:rsidR="00FC5954" w:rsidRPr="00FC5954">
        <w:rPr>
          <w:rFonts w:ascii="Arial" w:hAnsi="Arial" w:cs="Arial"/>
        </w:rPr>
        <w:t>(Reynolds et al., 2018)</w:t>
      </w:r>
      <w:r w:rsidR="00FC5954">
        <w:rPr>
          <w:lang w:val="en-NZ"/>
        </w:rPr>
        <w:fldChar w:fldCharType="end"/>
      </w:r>
      <w:r w:rsidR="00FC5954">
        <w:rPr>
          <w:lang w:val="en-NZ"/>
        </w:rPr>
        <w:t xml:space="preserve"> </w:t>
      </w:r>
      <w:r w:rsidRPr="00BE19D9">
        <w:rPr>
          <w:lang w:val="en-NZ"/>
        </w:rPr>
        <w:t>that reflect important elements of what Aboriginal and Torres Strait Islander people value in health service design and delivery</w:t>
      </w:r>
      <w:r>
        <w:rPr>
          <w:lang w:val="en-NZ"/>
        </w:rPr>
        <w:t>.</w:t>
      </w:r>
    </w:p>
    <w:p w14:paraId="62CA7057" w14:textId="47F41F93" w:rsidR="00D40958" w:rsidRPr="00410314" w:rsidRDefault="00D40958" w:rsidP="00AE5C1A">
      <w:pPr>
        <w:rPr>
          <w:lang w:val="en-NZ"/>
        </w:rPr>
      </w:pPr>
      <w:r w:rsidRPr="00D40958">
        <w:rPr>
          <w:lang w:val="en-NZ"/>
        </w:rPr>
        <w:t xml:space="preserve">The model was developed on the basis of data generated in Cycle 1 of the evaluation and tested and refined using abductive analytic cycles </w:t>
      </w:r>
      <w:r w:rsidRPr="00D40958">
        <w:rPr>
          <w:lang w:val="en-NZ"/>
        </w:rPr>
        <w:fldChar w:fldCharType="begin"/>
      </w:r>
      <w:r w:rsidR="00F8760E">
        <w:rPr>
          <w:lang w:val="en-NZ"/>
        </w:rPr>
        <w:instrText xml:space="preserve"> ADDIN ZOTERO_ITEM CSL_CITATION {"citationID":"TN1V26rR","properties":{"formattedCitation":"(Str\\uc0\\u252{}bing, 2007)","plainCitation":"(Strübing, 2007)","noteIndex":0},"citationItems":[{"id":3887,"uris":["http://zotero.org/groups/5010721/items/QDWMLSIW",["http://zotero.org/groups/5010721/items/QDWMLSIW"],["http://zotero.org/groups/5010721/items/QDWMLSIW",["http://zotero.org/groups/5010721/items/QDWMLSIW"]]],"itemData":{"id":3887,"type":"chapter","container-title":"The SAGE Handbook of Grounded Theory","event-place":"United Kingdom","page":"580","publisher":"SAGE Publications, Limited","publisher-place":"United Kingdom","source":"ResearchGate","title":"Research as Pragmatic Problem solving: The Pragmatist Roots of Empirically-grounded Theorizing","title-short":"Research as Pragmatic Problem solving","author":[{"family":"Strübing","given":"Jörg"}],"editor":[{"family":"Bryant","given":"A"},{"family":"Charmaz","given":"K"}],"issued":{"date-parts":[["2007"]]}}}],"schema":"https://github.com/citation-style-language/schema/raw/master/csl-citation.json"} </w:instrText>
      </w:r>
      <w:r w:rsidRPr="00D40958">
        <w:rPr>
          <w:lang w:val="en-NZ"/>
        </w:rPr>
        <w:fldChar w:fldCharType="separate"/>
      </w:r>
      <w:r w:rsidRPr="00D40958">
        <w:t>(Strübing, 2007)</w:t>
      </w:r>
      <w:r w:rsidRPr="00D40958">
        <w:fldChar w:fldCharType="end"/>
      </w:r>
      <w:r w:rsidRPr="00D40958">
        <w:rPr>
          <w:lang w:val="en-NZ"/>
        </w:rPr>
        <w:t>, through further data generation and consultation with communities and site partners during subsequent cycles. The analyst engaged in ongoing dialogue with the Aboriginal site leads and the Principal Investigator and prioritised Aboriginal and Torres Strait Islander theories throughout this process to ensure that Aboriginal and Torres Strait Islander world views were embedded in the resultant framework.</w:t>
      </w:r>
    </w:p>
    <w:p w14:paraId="08F0924F" w14:textId="77777777" w:rsidR="00D04F47" w:rsidRPr="00711B9F" w:rsidRDefault="00D04F47" w:rsidP="007C1DEE">
      <w:pPr>
        <w:pStyle w:val="Heading6"/>
        <w:numPr>
          <w:ilvl w:val="0"/>
          <w:numId w:val="0"/>
        </w:numPr>
        <w:ind w:left="1152" w:hanging="1152"/>
      </w:pPr>
      <w:r w:rsidRPr="00711B9F">
        <w:t xml:space="preserve">Content analysis and top line summaries </w:t>
      </w:r>
    </w:p>
    <w:p w14:paraId="284D3A71" w14:textId="4FF719CB" w:rsidR="00B70548" w:rsidRPr="00B70548" w:rsidRDefault="00B70548" w:rsidP="00B70548">
      <w:pPr>
        <w:rPr>
          <w:lang w:eastAsia="en-GB"/>
        </w:rPr>
      </w:pPr>
      <w:r w:rsidRPr="00B70548">
        <w:rPr>
          <w:lang w:eastAsia="en-GB"/>
        </w:rPr>
        <w:t xml:space="preserve">The evaluation team also applied a more deductive method of analysis – content analysis </w:t>
      </w:r>
      <w:r w:rsidRPr="00B70548">
        <w:rPr>
          <w:lang w:eastAsia="en-GB"/>
        </w:rPr>
        <w:fldChar w:fldCharType="begin"/>
      </w:r>
      <w:r w:rsidR="00F8760E">
        <w:rPr>
          <w:lang w:eastAsia="en-GB"/>
        </w:rPr>
        <w:instrText xml:space="preserve"> ADDIN ZOTERO_ITEM CSL_CITATION {"citationID":"yHD2jXxw","properties":{"formattedCitation":"(Downe-Wambolt, 1992)","plainCitation":"(Downe-Wambolt, 1992)","noteIndex":0},"citationItems":[{"id":742,"uris":["http://zotero.org/groups/4420056/items/DIL4DIM7",["http://zotero.org/groups/4420056/items/DIL4DIM7"],["http://zotero.org/groups/4420056/items/DIL4DIM7",["http://zotero.org/groups/4420056/items/DIL4DIM7"]]],"itemData":{"id":742,"type":"article-journal","container-title":"Health care for women international","issue":"3","page":"313-321","title":"Content analysis: method, applications, and issues","volume":"13","author":[{"family":"Downe-Wambolt","given":"B"}],"issued":{"date-parts":[["1992"]]}}}],"schema":"https://github.com/citation-style-language/schema/raw/master/csl-citation.json"} </w:instrText>
      </w:r>
      <w:r w:rsidRPr="00B70548">
        <w:rPr>
          <w:lang w:eastAsia="en-GB"/>
        </w:rPr>
        <w:fldChar w:fldCharType="separate"/>
      </w:r>
      <w:r w:rsidRPr="00B70548">
        <w:rPr>
          <w:lang w:eastAsia="en-GB"/>
        </w:rPr>
        <w:t>(Downe-Wambolt, 1992)</w:t>
      </w:r>
      <w:r w:rsidRPr="00B70548">
        <w:rPr>
          <w:lang w:val="en-GB" w:eastAsia="en-GB"/>
        </w:rPr>
        <w:fldChar w:fldCharType="end"/>
      </w:r>
      <w:r w:rsidRPr="00B70548">
        <w:rPr>
          <w:lang w:eastAsia="en-GB"/>
        </w:rPr>
        <w:t>, which was guided by the interview guides and KEQs and aimed to produce top-line summaries. Content analysis is a framework approach based on pre-set codes and analytical structure (e.g. developed from research questions or interview topics). This approach to analysis</w:t>
      </w:r>
      <w:r w:rsidR="00AA35E2">
        <w:rPr>
          <w:lang w:eastAsia="en-GB"/>
        </w:rPr>
        <w:t xml:space="preserve"> </w:t>
      </w:r>
      <w:r w:rsidRPr="00B70548">
        <w:rPr>
          <w:lang w:eastAsia="en-GB"/>
        </w:rPr>
        <w:t xml:space="preserve">facilitates both descriptive and interpretive content, focussing on the subject and context whilst emphasising variation </w:t>
      </w:r>
      <w:r w:rsidRPr="00B70548">
        <w:rPr>
          <w:lang w:eastAsia="en-GB"/>
        </w:rPr>
        <w:fldChar w:fldCharType="begin"/>
      </w:r>
      <w:r w:rsidR="00F8760E">
        <w:rPr>
          <w:lang w:eastAsia="en-GB"/>
        </w:rPr>
        <w:instrText xml:space="preserve"> ADDIN ZOTERO_ITEM CSL_CITATION {"citationID":"wv4LMAC2","properties":{"formattedCitation":"(Graneheim et al., 2017)","plainCitation":"(Graneheim et al., 2017)","noteIndex":0},"citationItems":[{"id":728,"uris":["http://zotero.org/groups/4420056/items/G97HC4ZX",["http://zotero.org/groups/4420056/items/G97HC4ZX"],["http://zotero.org/groups/4420056/items/G97HC4ZX",["http://zotero.org/groups/4420056/items/G97HC4ZX"]]],"itemData":{"id":728,"type":"article-journal","container-title":"Nurse education today","ISSN":"0260-6917","journalAbbreviation":"Nurse education today","note":"publisher: Elsevier","page":"29-34","title":"Methodological challenges in qualitative content analysis: A discussion paper","volume":"56","author":[{"family":"Graneheim","given":"Ulla H"},{"family":"Lindgren","given":"Britt-Marie"},{"family":"Lundman","given":"Berit"}],"issued":{"date-parts":[["2017"]]}}}],"schema":"https://github.com/citation-style-language/schema/raw/master/csl-citation.json"} </w:instrText>
      </w:r>
      <w:r w:rsidRPr="00B70548">
        <w:rPr>
          <w:lang w:eastAsia="en-GB"/>
        </w:rPr>
        <w:fldChar w:fldCharType="separate"/>
      </w:r>
      <w:r w:rsidRPr="00B70548">
        <w:rPr>
          <w:lang w:eastAsia="en-GB"/>
        </w:rPr>
        <w:t>(Graneheim et al., 2017)</w:t>
      </w:r>
      <w:r w:rsidRPr="00B70548">
        <w:rPr>
          <w:lang w:val="en-GB" w:eastAsia="en-GB"/>
        </w:rPr>
        <w:fldChar w:fldCharType="end"/>
      </w:r>
      <w:r w:rsidRPr="00B70548">
        <w:rPr>
          <w:lang w:eastAsia="en-GB"/>
        </w:rPr>
        <w:t xml:space="preserve">. The evaluation </w:t>
      </w:r>
      <w:r w:rsidRPr="00B70548">
        <w:rPr>
          <w:lang w:eastAsia="en-GB"/>
        </w:rPr>
        <w:lastRenderedPageBreak/>
        <w:t xml:space="preserve">analyst team used this method when analysing interviews with health service managers, PHN managers, state and territory and national organisations, and CA4C workshops. </w:t>
      </w:r>
    </w:p>
    <w:p w14:paraId="4BDD4026" w14:textId="531A92BE" w:rsidR="00D04F47" w:rsidRDefault="00D04F47" w:rsidP="00651D06">
      <w:pPr>
        <w:pStyle w:val="Heading3"/>
      </w:pPr>
      <w:r>
        <w:t xml:space="preserve">Quantitative data </w:t>
      </w:r>
    </w:p>
    <w:p w14:paraId="2CA08CE5" w14:textId="77777777" w:rsidR="00E106EF" w:rsidRPr="00E106EF" w:rsidRDefault="00E106EF" w:rsidP="00E106EF">
      <w:pPr>
        <w:rPr>
          <w:lang w:val="en-NZ" w:eastAsia="en-GB"/>
        </w:rPr>
      </w:pPr>
      <w:r w:rsidRPr="00E106EF">
        <w:rPr>
          <w:lang w:val="en-NZ" w:eastAsia="en-GB"/>
        </w:rPr>
        <w:t>Different analysis methods were applied to different quantitative data according to purpose and use. These methods are discussed below.</w:t>
      </w:r>
    </w:p>
    <w:p w14:paraId="7CD7DF4C" w14:textId="77777777" w:rsidR="00E106EF" w:rsidRPr="00E106EF" w:rsidRDefault="00E106EF" w:rsidP="00E106EF">
      <w:pPr>
        <w:rPr>
          <w:lang w:val="en-NZ" w:eastAsia="en-GB"/>
        </w:rPr>
      </w:pPr>
      <w:r w:rsidRPr="00E106EF">
        <w:rPr>
          <w:lang w:val="en-NZ" w:eastAsia="en-GB"/>
        </w:rPr>
        <w:t>Sites were categorised as major cities, inner regional, outer regional, remote and very remote, based on the Australian Statistical Geography Standard (ASGS) Remoteness Structure (ARIA+) for the geographical areas nominated by the sites as the areas within their catchment of interest to them for this evaluation. Remote and very remote were combined due to small numbers of sites in each category. As the catchment areas for some sites included more than one ARIA+ category, sites were assigned based on the remoteness category of the residential mesh blocks in their catchment. Most sites were wholly contained in one or two remoteness categories and were assigned to the category of the majority of mesh blocks. One site included 3 remoteness categories and was categorised as remote.</w:t>
      </w:r>
    </w:p>
    <w:p w14:paraId="55B603EF" w14:textId="77777777" w:rsidR="00E106EF" w:rsidRPr="00E106EF" w:rsidRDefault="00E106EF" w:rsidP="007C1DEE">
      <w:pPr>
        <w:pStyle w:val="Heading6"/>
        <w:numPr>
          <w:ilvl w:val="0"/>
          <w:numId w:val="0"/>
        </w:numPr>
        <w:ind w:left="1152" w:hanging="1152"/>
      </w:pPr>
      <w:r w:rsidRPr="00E106EF">
        <w:t>Health workforce data</w:t>
      </w:r>
    </w:p>
    <w:p w14:paraId="2117F267" w14:textId="2A0C9F19" w:rsidR="00E106EF" w:rsidRPr="00E106EF" w:rsidRDefault="00E106EF" w:rsidP="00E106EF">
      <w:pPr>
        <w:rPr>
          <w:lang w:val="en-NZ" w:eastAsia="en-GB"/>
        </w:rPr>
      </w:pPr>
      <w:r w:rsidRPr="00E106EF">
        <w:rPr>
          <w:lang w:val="en-NZ" w:eastAsia="en-GB"/>
        </w:rPr>
        <w:t xml:space="preserve">Health workforce data came from two sources: National Health Workforce Dataset and OSR data. Data </w:t>
      </w:r>
      <w:r w:rsidR="006863F1">
        <w:rPr>
          <w:lang w:val="en-NZ" w:eastAsia="en-GB"/>
        </w:rPr>
        <w:t>were</w:t>
      </w:r>
      <w:r w:rsidR="006863F1" w:rsidRPr="00E106EF">
        <w:rPr>
          <w:lang w:val="en-NZ" w:eastAsia="en-GB"/>
        </w:rPr>
        <w:t xml:space="preserve"> </w:t>
      </w:r>
      <w:r w:rsidRPr="00E106EF">
        <w:rPr>
          <w:lang w:val="en-NZ" w:eastAsia="en-GB"/>
        </w:rPr>
        <w:t xml:space="preserve">obtained from 2013 to 2020 by site and by </w:t>
      </w:r>
      <w:r w:rsidR="00DB5C45">
        <w:rPr>
          <w:lang w:val="en-NZ" w:eastAsia="en-GB"/>
        </w:rPr>
        <w:t xml:space="preserve">Statistical Area </w:t>
      </w:r>
      <w:r w:rsidR="0073454C">
        <w:rPr>
          <w:lang w:val="en-NZ" w:eastAsia="en-GB"/>
        </w:rPr>
        <w:t xml:space="preserve">3 </w:t>
      </w:r>
      <w:r w:rsidR="00DB5C45">
        <w:rPr>
          <w:lang w:val="en-NZ" w:eastAsia="en-GB"/>
        </w:rPr>
        <w:t>(SA3)</w:t>
      </w:r>
      <w:r w:rsidR="0073454C">
        <w:rPr>
          <w:lang w:val="en-NZ" w:eastAsia="en-GB"/>
        </w:rPr>
        <w:t xml:space="preserve"> level</w:t>
      </w:r>
      <w:r w:rsidRPr="00E106EF">
        <w:rPr>
          <w:lang w:val="en-NZ" w:eastAsia="en-GB"/>
        </w:rPr>
        <w:t xml:space="preserve">. Health Workforce Data included details of health care staff working throughout Australia in a range of settings including Aboriginal health organisations, hospitals, and private practice. A trend analysis of staff by age group, sex, Indigenous status and profession was undertaken at the SA3 level. OSR data </w:t>
      </w:r>
      <w:r w:rsidR="006863F1">
        <w:rPr>
          <w:lang w:val="en-NZ" w:eastAsia="en-GB"/>
        </w:rPr>
        <w:t>were</w:t>
      </w:r>
      <w:r w:rsidR="006863F1" w:rsidRPr="00E106EF">
        <w:rPr>
          <w:lang w:val="en-NZ" w:eastAsia="en-GB"/>
        </w:rPr>
        <w:t xml:space="preserve"> </w:t>
      </w:r>
      <w:r w:rsidRPr="00E106EF">
        <w:rPr>
          <w:lang w:val="en-NZ" w:eastAsia="en-GB"/>
        </w:rPr>
        <w:t>obtained from organisations receiving IAHP funding by site. OSR data included total counts of paid staff, unpaid staff, and vacant positions. Publicly available OSR data by state and territory was also downloaded as the publicly available data included an additional year of data.</w:t>
      </w:r>
    </w:p>
    <w:p w14:paraId="58AB41B5" w14:textId="77777777" w:rsidR="00E106EF" w:rsidRPr="00E106EF" w:rsidRDefault="00E106EF" w:rsidP="007C1DEE">
      <w:pPr>
        <w:pStyle w:val="Heading6"/>
        <w:numPr>
          <w:ilvl w:val="0"/>
          <w:numId w:val="0"/>
        </w:numPr>
        <w:ind w:left="1152" w:hanging="1152"/>
      </w:pPr>
      <w:r w:rsidRPr="00E106EF">
        <w:t>IAHP grant funding data</w:t>
      </w:r>
    </w:p>
    <w:p w14:paraId="76177F9C" w14:textId="77777777" w:rsidR="00E106EF" w:rsidRPr="00E106EF" w:rsidRDefault="00E106EF" w:rsidP="00E106EF">
      <w:pPr>
        <w:rPr>
          <w:lang w:val="en-NZ" w:eastAsia="en-GB"/>
        </w:rPr>
      </w:pPr>
      <w:r w:rsidRPr="00E106EF">
        <w:rPr>
          <w:lang w:val="en-NZ" w:eastAsia="en-GB"/>
        </w:rPr>
        <w:t>Total funding over time was reported for Australia and by state and territory. Funding was reported both for dollars not adjusted for CPI and for dollars adjusted for CPI using the ABS health index, with the Consumer Price Index (CPI) for each financial year calculated by averaging index across the relevant four quarters (ABS (2023). 6401.0 Consumer Price Index, Australia, Canberra, ABS). Dollars are expressed as constant 2019-20 to allow for comparison with the latest (at time of analysis) AIHW health expenditure data.</w:t>
      </w:r>
    </w:p>
    <w:p w14:paraId="2DDB5125" w14:textId="77777777" w:rsidR="00E106EF" w:rsidRPr="00E106EF" w:rsidRDefault="00E106EF" w:rsidP="007C1DEE">
      <w:pPr>
        <w:pStyle w:val="Heading6"/>
        <w:numPr>
          <w:ilvl w:val="0"/>
          <w:numId w:val="0"/>
        </w:numPr>
        <w:ind w:left="1152" w:hanging="1152"/>
      </w:pPr>
      <w:r w:rsidRPr="00E106EF">
        <w:t>Health care activity and outcome data</w:t>
      </w:r>
    </w:p>
    <w:p w14:paraId="02B354A6" w14:textId="77777777" w:rsidR="00E106EF" w:rsidRPr="00E106EF" w:rsidRDefault="00E106EF" w:rsidP="00E106EF">
      <w:pPr>
        <w:rPr>
          <w:lang w:val="en-NZ" w:eastAsia="en-GB"/>
        </w:rPr>
      </w:pPr>
      <w:r w:rsidRPr="00E106EF">
        <w:rPr>
          <w:lang w:val="en-NZ" w:eastAsia="en-GB"/>
        </w:rPr>
        <w:t xml:space="preserve">For all analyses, data from 2020 onwards were excluded to remove the effect of the COVID-19 pandemic on health service utilisation. nKPI and MBS data were treated separately, as nKPI data included regular clients of IAHP funded Aboriginal and Torres Strait Islander health services, whereas MBS data included all Aboriginal and Torres Strait Islander residents living within the geographical areas nominated by evaluation sites as geographical areas in their </w:t>
      </w:r>
      <w:r w:rsidRPr="00E106EF">
        <w:rPr>
          <w:lang w:val="en-NZ" w:eastAsia="en-GB"/>
        </w:rPr>
        <w:lastRenderedPageBreak/>
        <w:t>catchment areas and geographical areas of interest to them for this evaluation. Various analytical methods were applied to the data, including:</w:t>
      </w:r>
    </w:p>
    <w:p w14:paraId="34C312FC" w14:textId="77777777" w:rsidR="00E106EF" w:rsidRPr="00E106EF" w:rsidRDefault="00E106EF" w:rsidP="003B3C05">
      <w:pPr>
        <w:numPr>
          <w:ilvl w:val="0"/>
          <w:numId w:val="19"/>
        </w:numPr>
        <w:spacing w:after="120"/>
      </w:pPr>
      <w:r w:rsidRPr="00E106EF">
        <w:t xml:space="preserve">A traffic light framework analysis to synthesise publicly available data into a single framework so data could be compared, appraised, and communicated at a high level, acknowledging the limitations of the available data. </w:t>
      </w:r>
    </w:p>
    <w:p w14:paraId="3ABC2D9C" w14:textId="77777777" w:rsidR="00E106EF" w:rsidRPr="00E106EF" w:rsidRDefault="00E106EF" w:rsidP="003B3C05">
      <w:pPr>
        <w:numPr>
          <w:ilvl w:val="0"/>
          <w:numId w:val="19"/>
        </w:numPr>
        <w:spacing w:after="120"/>
      </w:pPr>
      <w:r w:rsidRPr="00E106EF">
        <w:t>In-depth case studies to examine the effects of health service activity on hospitalisations and mortality, including linking diabetes care, hospitalisations and mortality.</w:t>
      </w:r>
    </w:p>
    <w:p w14:paraId="602E7EE7" w14:textId="77777777" w:rsidR="00E106EF" w:rsidRPr="00E106EF" w:rsidRDefault="00E106EF" w:rsidP="003B3C05">
      <w:pPr>
        <w:numPr>
          <w:ilvl w:val="0"/>
          <w:numId w:val="19"/>
        </w:numPr>
        <w:spacing w:after="120"/>
      </w:pPr>
      <w:r w:rsidRPr="00E106EF">
        <w:t>Modelling of nKPIs over time using a mixed effects logistic regression model to explore protective/risk factors, health outcomes and health service use for the perinatal period, middle life and later life.</w:t>
      </w:r>
    </w:p>
    <w:p w14:paraId="72C75DD3" w14:textId="77777777" w:rsidR="00E106EF" w:rsidRPr="00E106EF" w:rsidRDefault="00E106EF" w:rsidP="003B3C05">
      <w:pPr>
        <w:numPr>
          <w:ilvl w:val="0"/>
          <w:numId w:val="19"/>
        </w:numPr>
        <w:spacing w:after="120"/>
      </w:pPr>
      <w:r w:rsidRPr="00E106EF">
        <w:t>Hierarchical clustering and principal component analysis to examine correlations between nKPIs to identify which were most similar to each other, and to determine associations between 715 health assessments and clusters of nKPIs.</w:t>
      </w:r>
    </w:p>
    <w:p w14:paraId="656755CC" w14:textId="77777777" w:rsidR="00E106EF" w:rsidRPr="00E106EF" w:rsidRDefault="00E106EF" w:rsidP="003B3C05">
      <w:pPr>
        <w:numPr>
          <w:ilvl w:val="0"/>
          <w:numId w:val="19"/>
        </w:numPr>
        <w:spacing w:after="120"/>
      </w:pPr>
      <w:r w:rsidRPr="00E106EF">
        <w:t>Multilinear regression analysis to model health outcomes as a function of demographics, socio-economics, health service availability, and primary health care activity for geographic areas (i.e. ecological study) at two discrete time points (cross-sectional design), and for changes between time points (difference in differences analysis).</w:t>
      </w:r>
    </w:p>
    <w:p w14:paraId="79193288" w14:textId="19F45EF1" w:rsidR="001402D7" w:rsidRPr="00771CC4" w:rsidRDefault="006B1BEA" w:rsidP="0035030F">
      <w:pPr>
        <w:pStyle w:val="Heading2"/>
      </w:pPr>
      <w:bookmarkStart w:id="66" w:name="_Toc137208891"/>
      <w:r w:rsidRPr="00771CC4">
        <w:t>Sense-making, integration and analytical synthesis</w:t>
      </w:r>
      <w:bookmarkEnd w:id="66"/>
      <w:r w:rsidRPr="00771CC4">
        <w:t xml:space="preserve"> </w:t>
      </w:r>
    </w:p>
    <w:p w14:paraId="647776C2" w14:textId="575925FB" w:rsidR="00834F03" w:rsidRPr="00657E05" w:rsidRDefault="00DC6E1C" w:rsidP="00834F03">
      <w:r w:rsidRPr="00771CC4">
        <w:t>I</w:t>
      </w:r>
      <w:r w:rsidR="00657E05" w:rsidRPr="00771CC4">
        <w:t xml:space="preserve">nterpretation and sense-making activities occurred continuously throughout the evaluation process. </w:t>
      </w:r>
      <w:r w:rsidR="00FD3C56" w:rsidRPr="00771CC4">
        <w:t xml:space="preserve">This included integration and reflection workshops with the evaluation team members and interpretation and sense-making workshops with evaluation partners. </w:t>
      </w:r>
    </w:p>
    <w:p w14:paraId="0FD2F35E" w14:textId="1DBBB7AD" w:rsidR="00657E05" w:rsidRPr="00771CC4" w:rsidRDefault="00DC6E1C" w:rsidP="00657E05">
      <w:r w:rsidRPr="00771CC4">
        <w:t xml:space="preserve">The purpose of these activities </w:t>
      </w:r>
      <w:r w:rsidR="00771CC4" w:rsidRPr="00771CC4">
        <w:t>was</w:t>
      </w:r>
      <w:r w:rsidRPr="00771CC4">
        <w:t xml:space="preserve"> to support the </w:t>
      </w:r>
      <w:r w:rsidR="00E2207D" w:rsidRPr="00771CC4">
        <w:t xml:space="preserve">integration of data generated across the evaluation activities, the </w:t>
      </w:r>
      <w:r w:rsidRPr="00771CC4">
        <w:t xml:space="preserve">testing of </w:t>
      </w:r>
      <w:r w:rsidR="00F232C5" w:rsidRPr="00771CC4">
        <w:t xml:space="preserve">preliminary </w:t>
      </w:r>
      <w:r w:rsidRPr="00771CC4">
        <w:t xml:space="preserve">findings and </w:t>
      </w:r>
      <w:r w:rsidR="00E2207D" w:rsidRPr="00771CC4">
        <w:t xml:space="preserve">identifying the </w:t>
      </w:r>
      <w:r w:rsidRPr="00771CC4">
        <w:t xml:space="preserve">implications </w:t>
      </w:r>
      <w:r w:rsidR="00F232C5" w:rsidRPr="00771CC4">
        <w:t xml:space="preserve">of those findings </w:t>
      </w:r>
      <w:r w:rsidRPr="00771CC4">
        <w:t xml:space="preserve">for the IAHP. </w:t>
      </w:r>
    </w:p>
    <w:p w14:paraId="602E84E7" w14:textId="1886C76C" w:rsidR="004C628C" w:rsidRDefault="004C628C" w:rsidP="00651D06">
      <w:pPr>
        <w:pStyle w:val="Heading3"/>
      </w:pPr>
      <w:r>
        <w:t xml:space="preserve">Integration and reflection workshops </w:t>
      </w:r>
    </w:p>
    <w:p w14:paraId="54D4326D" w14:textId="42C71096" w:rsidR="003C6BF5" w:rsidRPr="003C6BF5" w:rsidRDefault="00BD7F79" w:rsidP="003C6BF5">
      <w:pPr>
        <w:rPr>
          <w:lang w:eastAsia="en-GB"/>
        </w:rPr>
      </w:pPr>
      <w:r>
        <w:rPr>
          <w:lang w:val="en-GB" w:eastAsia="en-GB"/>
        </w:rPr>
        <w:t>To support data analysis and integration</w:t>
      </w:r>
      <w:r w:rsidR="00597173">
        <w:rPr>
          <w:lang w:val="en-GB" w:eastAsia="en-GB"/>
        </w:rPr>
        <w:t xml:space="preserve">, a series of integration and reflection workshops were </w:t>
      </w:r>
      <w:r w:rsidR="006D27D3">
        <w:rPr>
          <w:lang w:val="en-GB" w:eastAsia="en-GB"/>
        </w:rPr>
        <w:t>held by the evaluation team.</w:t>
      </w:r>
      <w:r w:rsidR="00AA35E2">
        <w:rPr>
          <w:lang w:val="en-GB" w:eastAsia="en-GB"/>
        </w:rPr>
        <w:t xml:space="preserve"> </w:t>
      </w:r>
      <w:r w:rsidR="003C6BF5" w:rsidRPr="003C6BF5">
        <w:rPr>
          <w:lang w:eastAsia="en-GB"/>
        </w:rPr>
        <w:t>The integration and reflection workshops were structured around the KEQs.</w:t>
      </w:r>
      <w:r w:rsidR="00AA35E2">
        <w:rPr>
          <w:lang w:eastAsia="en-GB"/>
        </w:rPr>
        <w:t xml:space="preserve"> </w:t>
      </w:r>
      <w:r w:rsidR="003C6BF5" w:rsidRPr="003C6BF5">
        <w:rPr>
          <w:lang w:eastAsia="en-GB"/>
        </w:rPr>
        <w:t xml:space="preserve">Each workshop followed a format of discussing and integrating the key findings from the analysis of each data source relevant to </w:t>
      </w:r>
      <w:r w:rsidR="00B31F29">
        <w:rPr>
          <w:lang w:eastAsia="en-GB"/>
        </w:rPr>
        <w:t>each</w:t>
      </w:r>
      <w:r w:rsidR="003C6BF5" w:rsidRPr="003C6BF5">
        <w:rPr>
          <w:lang w:eastAsia="en-GB"/>
        </w:rPr>
        <w:t xml:space="preserve"> KEQ. A description and discussion on the context for sites was then provided to facilitate the team’s shared understanding and </w:t>
      </w:r>
      <w:r w:rsidR="00B31F29">
        <w:rPr>
          <w:lang w:eastAsia="en-GB"/>
        </w:rPr>
        <w:t>support connections</w:t>
      </w:r>
      <w:r w:rsidR="003C6BF5" w:rsidRPr="003C6BF5">
        <w:rPr>
          <w:lang w:eastAsia="en-GB"/>
        </w:rPr>
        <w:t xml:space="preserve"> between data sets and streams of analysis. </w:t>
      </w:r>
    </w:p>
    <w:p w14:paraId="05323817" w14:textId="118D8BB4" w:rsidR="00273889" w:rsidRPr="00057E29" w:rsidRDefault="009807B7" w:rsidP="00273889">
      <w:pPr>
        <w:rPr>
          <w:lang w:eastAsia="en-GB"/>
        </w:rPr>
      </w:pPr>
      <w:r>
        <w:rPr>
          <w:lang w:eastAsia="en-GB"/>
        </w:rPr>
        <w:t xml:space="preserve">As part of the internal reflection and </w:t>
      </w:r>
      <w:r w:rsidR="00046D35">
        <w:rPr>
          <w:lang w:eastAsia="en-GB"/>
        </w:rPr>
        <w:t xml:space="preserve">data </w:t>
      </w:r>
      <w:r>
        <w:rPr>
          <w:lang w:eastAsia="en-GB"/>
        </w:rPr>
        <w:t xml:space="preserve">integration </w:t>
      </w:r>
      <w:r w:rsidR="00046D35">
        <w:rPr>
          <w:lang w:eastAsia="en-GB"/>
        </w:rPr>
        <w:t xml:space="preserve">processes, the evaluation team developed working papers to inform the direction and recommendations in the Final Report. </w:t>
      </w:r>
    </w:p>
    <w:p w14:paraId="6F19CC46" w14:textId="39D3AF6B" w:rsidR="002C6795" w:rsidRDefault="002C6795" w:rsidP="00651D06">
      <w:pPr>
        <w:pStyle w:val="Heading3"/>
      </w:pPr>
      <w:r>
        <w:lastRenderedPageBreak/>
        <w:t>Interpretation and sense-making workshops with site partners</w:t>
      </w:r>
    </w:p>
    <w:p w14:paraId="3D7A41D9" w14:textId="2E4B7DC5" w:rsidR="00AD2AA5" w:rsidRPr="00AD2AA5" w:rsidRDefault="00742C24" w:rsidP="00AD2AA5">
      <w:pPr>
        <w:rPr>
          <w:lang w:eastAsia="en-GB"/>
        </w:rPr>
      </w:pPr>
      <w:r>
        <w:rPr>
          <w:lang w:val="en-GB" w:eastAsia="en-GB"/>
        </w:rPr>
        <w:t xml:space="preserve">To enable the team to share </w:t>
      </w:r>
      <w:r w:rsidR="004C3674">
        <w:rPr>
          <w:lang w:val="en-GB" w:eastAsia="en-GB"/>
        </w:rPr>
        <w:t xml:space="preserve">the structured findings from the integration and reflection workshops </w:t>
      </w:r>
      <w:r w:rsidR="009B41ED">
        <w:rPr>
          <w:lang w:val="en-GB" w:eastAsia="en-GB"/>
        </w:rPr>
        <w:t>with site partners</w:t>
      </w:r>
      <w:r w:rsidR="00AD2AA5">
        <w:rPr>
          <w:lang w:val="en-GB" w:eastAsia="en-GB"/>
        </w:rPr>
        <w:t xml:space="preserve">, a series of emerging findings workshops were held with site partners. </w:t>
      </w:r>
      <w:r w:rsidR="00AD2AA5">
        <w:rPr>
          <w:iCs/>
          <w:lang w:val="en-NZ" w:eastAsia="en-GB"/>
        </w:rPr>
        <w:t xml:space="preserve">These workshops provided </w:t>
      </w:r>
      <w:r w:rsidR="00AD2AA5" w:rsidRPr="00AD2AA5">
        <w:rPr>
          <w:iCs/>
          <w:lang w:val="en-NZ" w:eastAsia="en-GB"/>
        </w:rPr>
        <w:t xml:space="preserve">an opportunity for site partners to </w:t>
      </w:r>
      <w:r w:rsidR="0002197E">
        <w:rPr>
          <w:iCs/>
          <w:lang w:val="en-NZ" w:eastAsia="en-GB"/>
        </w:rPr>
        <w:t>check o</w:t>
      </w:r>
      <w:r w:rsidR="00AD2AA5" w:rsidRPr="00AD2AA5">
        <w:rPr>
          <w:iCs/>
          <w:lang w:val="en-NZ" w:eastAsia="en-GB"/>
        </w:rPr>
        <w:t xml:space="preserve">ur interpretation of </w:t>
      </w:r>
      <w:r w:rsidR="0002197E">
        <w:rPr>
          <w:iCs/>
          <w:lang w:val="en-NZ" w:eastAsia="en-GB"/>
        </w:rPr>
        <w:t xml:space="preserve">evaluation </w:t>
      </w:r>
      <w:r w:rsidR="00AD2AA5" w:rsidRPr="00AD2AA5">
        <w:rPr>
          <w:iCs/>
          <w:lang w:val="en-NZ" w:eastAsia="en-GB"/>
        </w:rPr>
        <w:t xml:space="preserve">findings, connect with other evaluation partners across sites, learn and share knowledge, and consider what the findings mean for policy and practice. </w:t>
      </w:r>
      <w:r w:rsidR="00AD2AA5" w:rsidRPr="00AD2AA5">
        <w:rPr>
          <w:lang w:eastAsia="en-GB"/>
        </w:rPr>
        <w:t>Workshop attendees and evaluation team members were invited to reflect on (1) the emerging findings content and (2) the process used to bring site partners together.</w:t>
      </w:r>
      <w:r w:rsidR="00AD2AA5" w:rsidRPr="00AD2AA5">
        <w:rPr>
          <w:iCs/>
          <w:lang w:val="en-NZ" w:eastAsia="en-GB"/>
        </w:rPr>
        <w:t xml:space="preserve"> </w:t>
      </w:r>
    </w:p>
    <w:p w14:paraId="163CFD79" w14:textId="61404157" w:rsidR="00AD2AA5" w:rsidRPr="00AD2AA5" w:rsidRDefault="00AD2AA5" w:rsidP="00AD2AA5">
      <w:pPr>
        <w:rPr>
          <w:lang w:eastAsia="en-GB"/>
        </w:rPr>
      </w:pPr>
      <w:r w:rsidRPr="00AD2AA5">
        <w:rPr>
          <w:lang w:eastAsia="en-GB"/>
        </w:rPr>
        <w:t xml:space="preserve">The workshop discussions challenged </w:t>
      </w:r>
      <w:r w:rsidR="00D14BEC">
        <w:rPr>
          <w:lang w:eastAsia="en-GB"/>
        </w:rPr>
        <w:t xml:space="preserve">site partner </w:t>
      </w:r>
      <w:r w:rsidRPr="00AD2AA5">
        <w:rPr>
          <w:lang w:eastAsia="en-GB"/>
        </w:rPr>
        <w:t xml:space="preserve">participants to consider if the findings were consistent with their own experiences </w:t>
      </w:r>
      <w:r w:rsidR="00D14BEC">
        <w:rPr>
          <w:lang w:eastAsia="en-GB"/>
        </w:rPr>
        <w:t>and/</w:t>
      </w:r>
      <w:r w:rsidRPr="00AD2AA5">
        <w:rPr>
          <w:lang w:eastAsia="en-GB"/>
        </w:rPr>
        <w:t xml:space="preserve">or data within the project and identify any divergent or unexpected findings that needed to be </w:t>
      </w:r>
      <w:r w:rsidR="00AF15D7">
        <w:rPr>
          <w:lang w:eastAsia="en-GB"/>
        </w:rPr>
        <w:t xml:space="preserve">more closely </w:t>
      </w:r>
      <w:r w:rsidRPr="00AD2AA5">
        <w:rPr>
          <w:lang w:eastAsia="en-GB"/>
        </w:rPr>
        <w:t xml:space="preserve">considered. Integration of the findings for each KEQ was through a facilitated discussion to identify the significance or importance of the findings for </w:t>
      </w:r>
      <w:r w:rsidR="00AF15D7">
        <w:rPr>
          <w:lang w:eastAsia="en-GB"/>
        </w:rPr>
        <w:t>each</w:t>
      </w:r>
      <w:r w:rsidRPr="00AD2AA5">
        <w:rPr>
          <w:lang w:eastAsia="en-GB"/>
        </w:rPr>
        <w:t xml:space="preserve"> KEQ and </w:t>
      </w:r>
      <w:r w:rsidR="00AF15D7">
        <w:rPr>
          <w:lang w:eastAsia="en-GB"/>
        </w:rPr>
        <w:t>the implications of</w:t>
      </w:r>
      <w:r w:rsidRPr="00AD2AA5">
        <w:rPr>
          <w:lang w:eastAsia="en-GB"/>
        </w:rPr>
        <w:t xml:space="preserve"> those findings for </w:t>
      </w:r>
      <w:r w:rsidR="00AF15D7">
        <w:rPr>
          <w:lang w:eastAsia="en-GB"/>
        </w:rPr>
        <w:t>the</w:t>
      </w:r>
      <w:r w:rsidRPr="00AD2AA5">
        <w:rPr>
          <w:lang w:eastAsia="en-GB"/>
        </w:rPr>
        <w:t xml:space="preserve"> IAHP </w:t>
      </w:r>
      <w:r w:rsidR="00AF15D7">
        <w:rPr>
          <w:lang w:eastAsia="en-GB"/>
        </w:rPr>
        <w:t>and recommendations</w:t>
      </w:r>
      <w:r w:rsidRPr="00AD2AA5">
        <w:rPr>
          <w:lang w:eastAsia="en-GB"/>
        </w:rPr>
        <w:t xml:space="preserve"> to better enable the PHC system to work for Aboriginal and Torres Strait Islander people.</w:t>
      </w:r>
      <w:r w:rsidRPr="00AD2AA5">
        <w:rPr>
          <w:iCs/>
          <w:lang w:val="en-NZ" w:eastAsia="en-GB"/>
        </w:rPr>
        <w:t xml:space="preserve"> </w:t>
      </w:r>
    </w:p>
    <w:p w14:paraId="56DF0070" w14:textId="0493EAB1" w:rsidR="00351389" w:rsidRDefault="00351389" w:rsidP="00651D06">
      <w:pPr>
        <w:pStyle w:val="Heading3"/>
      </w:pPr>
      <w:r>
        <w:t>National</w:t>
      </w:r>
      <w:r w:rsidR="00410314">
        <w:t xml:space="preserve"> evaluation w</w:t>
      </w:r>
      <w:r>
        <w:t xml:space="preserve">orkshop </w:t>
      </w:r>
    </w:p>
    <w:p w14:paraId="4D41EFE2" w14:textId="77777777" w:rsidR="00A50C92" w:rsidRPr="00A50C92" w:rsidRDefault="00450F1F" w:rsidP="00A50C92">
      <w:pPr>
        <w:rPr>
          <w:lang w:eastAsia="en-GB"/>
        </w:rPr>
      </w:pPr>
      <w:r>
        <w:rPr>
          <w:lang w:val="en-GB" w:eastAsia="en-GB"/>
        </w:rPr>
        <w:t xml:space="preserve">A national workshop was held with site partners in February 2023 at the conclusion of Cycle 3. </w:t>
      </w:r>
      <w:r w:rsidR="00A50C92" w:rsidRPr="00A50C92">
        <w:rPr>
          <w:lang w:eastAsia="en-GB"/>
        </w:rPr>
        <w:t xml:space="preserve">The purpose of the workshop was to facilitate participatory analysis and share the evaluation findings and check how they resonate with the evaluation partners to inform further interpretation and explanation building. </w:t>
      </w:r>
    </w:p>
    <w:p w14:paraId="33D51876" w14:textId="77777777" w:rsidR="00CB61B9" w:rsidRDefault="00A50C92" w:rsidP="00A50C92">
      <w:pPr>
        <w:rPr>
          <w:lang w:eastAsia="en-GB"/>
        </w:rPr>
      </w:pPr>
      <w:r w:rsidRPr="00A50C92">
        <w:rPr>
          <w:lang w:eastAsia="en-GB"/>
        </w:rPr>
        <w:t xml:space="preserve">The workshop involved presentations from the evaluation team and site partner participants as well as an interactive session discussing the quantitative data and process of analysis. </w:t>
      </w:r>
      <w:r>
        <w:rPr>
          <w:lang w:eastAsia="en-GB"/>
        </w:rPr>
        <w:t>A</w:t>
      </w:r>
      <w:r w:rsidRPr="00A50C92">
        <w:rPr>
          <w:lang w:eastAsia="en-GB"/>
        </w:rPr>
        <w:t xml:space="preserve"> key purpose of the </w:t>
      </w:r>
      <w:r>
        <w:rPr>
          <w:lang w:eastAsia="en-GB"/>
        </w:rPr>
        <w:t xml:space="preserve">national </w:t>
      </w:r>
      <w:r w:rsidRPr="00A50C92">
        <w:rPr>
          <w:lang w:eastAsia="en-GB"/>
        </w:rPr>
        <w:t xml:space="preserve">workshop was to present the </w:t>
      </w:r>
      <w:r>
        <w:rPr>
          <w:lang w:eastAsia="en-GB"/>
        </w:rPr>
        <w:t xml:space="preserve">framing </w:t>
      </w:r>
      <w:r w:rsidR="00E70DB7">
        <w:rPr>
          <w:lang w:eastAsia="en-GB"/>
        </w:rPr>
        <w:t>and intention of</w:t>
      </w:r>
      <w:r>
        <w:rPr>
          <w:lang w:eastAsia="en-GB"/>
        </w:rPr>
        <w:t xml:space="preserve"> </w:t>
      </w:r>
      <w:r w:rsidRPr="00A50C92">
        <w:rPr>
          <w:lang w:eastAsia="en-GB"/>
        </w:rPr>
        <w:t xml:space="preserve">draft recommendations and share the evidence </w:t>
      </w:r>
      <w:r w:rsidR="00E70DB7">
        <w:rPr>
          <w:lang w:eastAsia="en-GB"/>
        </w:rPr>
        <w:t>base supporting the findings</w:t>
      </w:r>
      <w:r w:rsidRPr="00A50C92">
        <w:rPr>
          <w:lang w:eastAsia="en-GB"/>
        </w:rPr>
        <w:t xml:space="preserve"> with site partner participants. </w:t>
      </w:r>
    </w:p>
    <w:p w14:paraId="73DC32B0" w14:textId="1C74C4C6" w:rsidR="00CB61B9" w:rsidRDefault="00CB61B9" w:rsidP="00A50C92">
      <w:pPr>
        <w:rPr>
          <w:lang w:eastAsia="en-GB"/>
        </w:rPr>
      </w:pPr>
      <w:r>
        <w:rPr>
          <w:lang w:eastAsia="en-GB"/>
        </w:rPr>
        <w:t xml:space="preserve">The contributions </w:t>
      </w:r>
      <w:r w:rsidR="005967CB">
        <w:rPr>
          <w:lang w:eastAsia="en-GB"/>
        </w:rPr>
        <w:t xml:space="preserve">from site partners and other participants were recorded through a process of graphic recording to identify the key themes and directions. These graphic recordings are reproduced in </w:t>
      </w:r>
      <w:r w:rsidR="005751C4" w:rsidRPr="00C047D4">
        <w:rPr>
          <w:lang w:eastAsia="en-GB"/>
        </w:rPr>
        <w:t xml:space="preserve">Final Report </w:t>
      </w:r>
      <w:r w:rsidR="007E2C24" w:rsidRPr="00C047D4">
        <w:rPr>
          <w:lang w:eastAsia="en-GB"/>
        </w:rPr>
        <w:t>Supp</w:t>
      </w:r>
      <w:r w:rsidR="00D10F3D" w:rsidRPr="00C047D4">
        <w:rPr>
          <w:lang w:eastAsia="en-GB"/>
        </w:rPr>
        <w:t>orting</w:t>
      </w:r>
      <w:r w:rsidR="007E2C24" w:rsidRPr="00C047D4">
        <w:rPr>
          <w:lang w:eastAsia="en-GB"/>
        </w:rPr>
        <w:t xml:space="preserve"> Material </w:t>
      </w:r>
      <w:r w:rsidR="005967CB" w:rsidRPr="00C047D4">
        <w:rPr>
          <w:lang w:eastAsia="en-GB"/>
        </w:rPr>
        <w:t xml:space="preserve">Appendix </w:t>
      </w:r>
      <w:r w:rsidR="005751C4" w:rsidRPr="00C047D4">
        <w:rPr>
          <w:lang w:eastAsia="en-GB"/>
        </w:rPr>
        <w:t>L</w:t>
      </w:r>
      <w:r w:rsidR="005967CB" w:rsidRPr="00C047D4">
        <w:rPr>
          <w:lang w:eastAsia="en-GB"/>
        </w:rPr>
        <w:t>.</w:t>
      </w:r>
      <w:r w:rsidR="005967CB">
        <w:rPr>
          <w:lang w:eastAsia="en-GB"/>
        </w:rPr>
        <w:t xml:space="preserve"> </w:t>
      </w:r>
    </w:p>
    <w:p w14:paraId="79B73285" w14:textId="60A64488" w:rsidR="00450F1F" w:rsidRDefault="00BF6B65" w:rsidP="00450F1F">
      <w:pPr>
        <w:rPr>
          <w:lang w:eastAsia="en-GB"/>
        </w:rPr>
      </w:pPr>
      <w:r>
        <w:rPr>
          <w:lang w:eastAsia="en-GB"/>
        </w:rPr>
        <w:t>Feedback from the national workshop</w:t>
      </w:r>
      <w:r w:rsidR="00A50C92" w:rsidRPr="00A50C92">
        <w:rPr>
          <w:lang w:eastAsia="en-GB"/>
        </w:rPr>
        <w:t xml:space="preserve"> was incorporated into the final evaluation recommendations and report. </w:t>
      </w:r>
    </w:p>
    <w:p w14:paraId="4160569B" w14:textId="27E760FC" w:rsidR="005751C4" w:rsidRDefault="005751C4">
      <w:pPr>
        <w:jc w:val="left"/>
        <w:rPr>
          <w:lang w:eastAsia="en-GB"/>
        </w:rPr>
      </w:pPr>
      <w:r>
        <w:rPr>
          <w:lang w:eastAsia="en-GB"/>
        </w:rPr>
        <w:br w:type="page"/>
      </w:r>
    </w:p>
    <w:p w14:paraId="0BFCF7EF" w14:textId="2B7F8A07" w:rsidR="004C628C" w:rsidRDefault="00ED5310" w:rsidP="00651D06">
      <w:pPr>
        <w:pStyle w:val="Heading3"/>
      </w:pPr>
      <w:r>
        <w:lastRenderedPageBreak/>
        <w:t xml:space="preserve">Data integration - </w:t>
      </w:r>
      <w:r w:rsidR="004C628C">
        <w:t xml:space="preserve">Contribution analysis </w:t>
      </w:r>
    </w:p>
    <w:p w14:paraId="02C04167" w14:textId="77777777" w:rsidR="004C628C" w:rsidRDefault="004C628C" w:rsidP="004C628C">
      <w:r>
        <w:rPr>
          <w:lang w:val="en-NZ"/>
        </w:rPr>
        <w:t xml:space="preserve">The evaluation required an assessment of the extent to which the IAHP contributed to different outcomes within the health system. The evaluation adopted a grounded theory approach to contribution analysis. This approach </w:t>
      </w:r>
      <w:r w:rsidRPr="009B2480">
        <w:t>was applied to purposefully generate narrative data about the contribution of the IAHP to strengthen comprehensive PHC for Aboriginal and Torres Strait Islander people.</w:t>
      </w:r>
    </w:p>
    <w:p w14:paraId="2499BB06" w14:textId="107626C4" w:rsidR="004C628C" w:rsidRPr="009B2480" w:rsidRDefault="004C628C" w:rsidP="004C628C">
      <w:pPr>
        <w:rPr>
          <w:lang w:val="en-NZ"/>
        </w:rPr>
      </w:pPr>
      <w:r w:rsidRPr="009B2480">
        <w:rPr>
          <w:lang w:val="en-US"/>
        </w:rPr>
        <w:t xml:space="preserve">Adopting a grounded theory approach meant that the evaluation team was able to </w:t>
      </w:r>
      <w:r w:rsidR="0047663D">
        <w:rPr>
          <w:lang w:val="en-US"/>
        </w:rPr>
        <w:t>analyse</w:t>
      </w:r>
      <w:r w:rsidRPr="009B2480">
        <w:rPr>
          <w:lang w:val="en-US"/>
        </w:rPr>
        <w:t xml:space="preserve"> IAHP’s contribution in a way that:</w:t>
      </w:r>
    </w:p>
    <w:p w14:paraId="38A8AE46" w14:textId="3020169E" w:rsidR="004C628C" w:rsidRPr="009B2480" w:rsidRDefault="004C628C" w:rsidP="003B3C05">
      <w:pPr>
        <w:numPr>
          <w:ilvl w:val="0"/>
          <w:numId w:val="19"/>
        </w:numPr>
        <w:spacing w:after="120"/>
      </w:pPr>
      <w:r w:rsidRPr="009B2480">
        <w:t>legitimises the experiences of Aboriginal and Torres Strait Islander people as a valid source of knowledge</w:t>
      </w:r>
    </w:p>
    <w:p w14:paraId="3A327CC9" w14:textId="77777777" w:rsidR="004C628C" w:rsidRPr="009B2480" w:rsidRDefault="004C628C" w:rsidP="003B3C05">
      <w:pPr>
        <w:numPr>
          <w:ilvl w:val="0"/>
          <w:numId w:val="19"/>
        </w:numPr>
        <w:spacing w:after="120"/>
      </w:pPr>
      <w:r w:rsidRPr="009B2480">
        <w:t>facilitates the development of theory directly interpreted from the words expressed by Aboriginal and Torres Strait Islander people</w:t>
      </w:r>
    </w:p>
    <w:p w14:paraId="3DE9FE31" w14:textId="77777777" w:rsidR="004C628C" w:rsidRPr="009B2480" w:rsidRDefault="004C628C" w:rsidP="003B3C05">
      <w:pPr>
        <w:numPr>
          <w:ilvl w:val="0"/>
          <w:numId w:val="19"/>
        </w:numPr>
        <w:spacing w:after="120"/>
      </w:pPr>
      <w:r w:rsidRPr="009B2480">
        <w:t>considers the influence of contextual social processes and structures </w:t>
      </w:r>
    </w:p>
    <w:p w14:paraId="154DCA6A" w14:textId="57DA1E68" w:rsidR="000954D1" w:rsidRDefault="004C628C" w:rsidP="003B3C05">
      <w:pPr>
        <w:numPr>
          <w:ilvl w:val="0"/>
          <w:numId w:val="19"/>
        </w:numPr>
        <w:spacing w:after="120"/>
      </w:pPr>
      <w:r w:rsidRPr="009B2480">
        <w:t>recognises the diversity of experience</w:t>
      </w:r>
    </w:p>
    <w:p w14:paraId="54C9691A" w14:textId="3F5E0760" w:rsidR="004C628C" w:rsidRPr="009B2480" w:rsidRDefault="004C628C" w:rsidP="003C409C">
      <w:pPr>
        <w:numPr>
          <w:ilvl w:val="0"/>
          <w:numId w:val="19"/>
        </w:numPr>
        <w:ind w:left="714" w:hanging="357"/>
      </w:pPr>
      <w:r w:rsidRPr="009B2480">
        <w:t>assumes regard for the relational aspects of the evaluation.</w:t>
      </w:r>
    </w:p>
    <w:p w14:paraId="24CDD1E7" w14:textId="0801B763" w:rsidR="000F030C" w:rsidRPr="00410314" w:rsidRDefault="004C628C" w:rsidP="004C628C">
      <w:pPr>
        <w:rPr>
          <w:lang w:val="en-US"/>
        </w:rPr>
      </w:pPr>
      <w:r w:rsidRPr="009B2480">
        <w:rPr>
          <w:lang w:val="en-US"/>
        </w:rPr>
        <w:t>Grounded theory as an analytic method has much to offer in thinking about decolonising methodology</w:t>
      </w:r>
      <w:r w:rsidRPr="009B2480">
        <w:rPr>
          <w:vertAlign w:val="superscript"/>
        </w:rPr>
        <w:footnoteReference w:id="12"/>
      </w:r>
      <w:r>
        <w:rPr>
          <w:lang w:val="en-US"/>
        </w:rPr>
        <w:t xml:space="preserve"> </w:t>
      </w:r>
      <w:r w:rsidRPr="009B2480">
        <w:rPr>
          <w:lang w:val="en-US"/>
        </w:rPr>
        <w:t>and it addresses many Indigenous critiques of Western research and evaluation approaches.</w:t>
      </w:r>
    </w:p>
    <w:p w14:paraId="0B5751DB" w14:textId="6F8162D1" w:rsidR="004C628C" w:rsidRPr="009B2480" w:rsidRDefault="004C628C" w:rsidP="004C628C">
      <w:pPr>
        <w:rPr>
          <w:lang w:val="en-NZ"/>
        </w:rPr>
      </w:pPr>
      <w:r w:rsidRPr="009B2480">
        <w:rPr>
          <w:lang w:val="en-NZ"/>
        </w:rPr>
        <w:t>G</w:t>
      </w:r>
      <w:r w:rsidRPr="009B2480">
        <w:rPr>
          <w:lang w:val="en-US"/>
        </w:rPr>
        <w:t>rounded theory avoids treating the evaluation phenomena (the IAHP) in isolation from the broader historical, socio-economic, cultural, and political systems in which it occurs. Grounded theory is a method that can connect these domains and develop theoretical arguments about an intervention that are grounded in the experiences of the people involved.</w:t>
      </w:r>
      <w:r w:rsidRPr="009B2480">
        <w:rPr>
          <w:lang w:val="en-NZ"/>
        </w:rPr>
        <w:t xml:space="preserve"> Grounded theory is also a strengths-based approach that inherently focuses on the strengths of a situation and speaks to Indigenous aspirations, self-determination, values, and nation-building.</w:t>
      </w:r>
    </w:p>
    <w:p w14:paraId="793AD336" w14:textId="77777777" w:rsidR="00D83A31" w:rsidRDefault="007776D7" w:rsidP="007776D7">
      <w:pPr>
        <w:rPr>
          <w:lang w:val="en-NZ"/>
        </w:rPr>
      </w:pPr>
      <w:r w:rsidRPr="007776D7">
        <w:rPr>
          <w:lang w:val="en-NZ"/>
        </w:rPr>
        <w:t xml:space="preserve">The focus of the analysis was on re-assessing the data in relation to the qualities of good health care that Aboriginal and Torres Strait Islander health services were </w:t>
      </w:r>
      <w:r w:rsidRPr="003C5315">
        <w:rPr>
          <w:lang w:val="en-NZ"/>
        </w:rPr>
        <w:t>striving</w:t>
      </w:r>
      <w:r w:rsidRPr="007776D7">
        <w:rPr>
          <w:lang w:val="en-NZ"/>
        </w:rPr>
        <w:t xml:space="preserve"> to deliver, and community participants said they valued.</w:t>
      </w:r>
    </w:p>
    <w:p w14:paraId="04F04D10" w14:textId="03AD8683" w:rsidR="007776D7" w:rsidRPr="00E9069E" w:rsidRDefault="00D83A31" w:rsidP="007776D7">
      <w:r w:rsidRPr="00E33B77">
        <w:rPr>
          <w:lang w:val="en-NZ"/>
        </w:rPr>
        <w:t xml:space="preserve">There were multiple steps </w:t>
      </w:r>
      <w:r w:rsidR="00C77731" w:rsidRPr="00E33B77">
        <w:rPr>
          <w:lang w:val="en-NZ"/>
        </w:rPr>
        <w:t>to</w:t>
      </w:r>
      <w:r w:rsidRPr="00E33B77">
        <w:rPr>
          <w:lang w:val="en-NZ"/>
        </w:rPr>
        <w:t xml:space="preserve"> the contribution analysis. </w:t>
      </w:r>
      <w:r w:rsidR="004668DF" w:rsidRPr="00E33B77">
        <w:rPr>
          <w:lang w:val="en-NZ"/>
        </w:rPr>
        <w:fldChar w:fldCharType="begin"/>
      </w:r>
      <w:r w:rsidR="004668DF" w:rsidRPr="00E33B77">
        <w:rPr>
          <w:lang w:val="en-NZ"/>
        </w:rPr>
        <w:instrText xml:space="preserve"> REF _Ref131422647 \h </w:instrText>
      </w:r>
      <w:r w:rsidR="00E33B77" w:rsidRPr="00E33B77">
        <w:rPr>
          <w:lang w:val="en-NZ"/>
        </w:rPr>
        <w:instrText xml:space="preserve"> \* MERGEFORMAT </w:instrText>
      </w:r>
      <w:r w:rsidR="004668DF" w:rsidRPr="00E33B77">
        <w:rPr>
          <w:lang w:val="en-NZ"/>
        </w:rPr>
      </w:r>
      <w:r w:rsidR="004668DF" w:rsidRPr="00E33B77">
        <w:rPr>
          <w:lang w:val="en-NZ"/>
        </w:rPr>
        <w:fldChar w:fldCharType="separate"/>
      </w:r>
      <w:r w:rsidR="00165B17" w:rsidRPr="00165B17">
        <w:rPr>
          <w:iCs/>
        </w:rPr>
        <w:t xml:space="preserve">Figure </w:t>
      </w:r>
      <w:r w:rsidR="00165B17" w:rsidRPr="00165B17">
        <w:rPr>
          <w:iCs/>
          <w:noProof/>
        </w:rPr>
        <w:t>2</w:t>
      </w:r>
      <w:r w:rsidR="00165B17" w:rsidRPr="00165B17">
        <w:rPr>
          <w:iCs/>
          <w:noProof/>
        </w:rPr>
        <w:noBreakHyphen/>
        <w:t>3</w:t>
      </w:r>
      <w:r w:rsidR="004668DF" w:rsidRPr="00E33B77">
        <w:rPr>
          <w:lang w:val="en-NZ"/>
        </w:rPr>
        <w:fldChar w:fldCharType="end"/>
      </w:r>
      <w:r w:rsidR="004668DF" w:rsidRPr="00E33B77">
        <w:rPr>
          <w:lang w:val="en-NZ"/>
        </w:rPr>
        <w:t xml:space="preserve"> shows the steps in the grounded theory approach to contribution analysis u</w:t>
      </w:r>
      <w:r w:rsidR="004167A9" w:rsidRPr="00E33B77">
        <w:rPr>
          <w:lang w:val="en-NZ"/>
        </w:rPr>
        <w:t>ndertaken in the evaluation, alongside Mayne’s</w:t>
      </w:r>
      <w:r w:rsidR="0019606F">
        <w:rPr>
          <w:lang w:val="en-NZ"/>
        </w:rPr>
        <w:t xml:space="preserve"> </w:t>
      </w:r>
      <w:r w:rsidR="0019606F">
        <w:rPr>
          <w:lang w:val="en-NZ"/>
        </w:rPr>
        <w:fldChar w:fldCharType="begin"/>
      </w:r>
      <w:r w:rsidR="00F8760E">
        <w:rPr>
          <w:lang w:val="en-NZ"/>
        </w:rPr>
        <w:instrText xml:space="preserve"> ADDIN ZOTERO_ITEM CSL_CITATION {"citationID":"fyTHLVXZ","properties":{"formattedCitation":"(2008)","plainCitation":"(2008)","noteIndex":0},"citationItems":[{"id":3838,"uris":["http://zotero.org/groups/5010721/items/NEXGMHTK",["http://zotero.org/groups/5010721/items/NEXGMHTK"]],"itemData":{"id":3838,"type":"article-journal","abstract":"Questions of cause and effect are critical to assessing the performance of programmes and projects. When it is not practical to design an experiment to assess performance, contribution analysis can provide credible assessments of cause and effect. Verifying the theory of change that the programme is based on, and paying attention to other factors that may influence the outcomes, provides reasonable evidence about the contribution being made by the programme.","container-title":"Institutional Learning and Change (ILAC) Initiative, ILAC Briefs","journalAbbreviation":"Institutional Learning and Change (ILAC) Initiative, ILAC Briefs","source":"ResearchGate","title":"Contribution analysis: An approach to exploring cause and effect","title-short":"Contribution analysis","volume":"16","author":[{"family":"Mayne","given":"John"}],"issued":{"date-parts":[["2008",1,1]]}},"label":"page","suppress-author":true}],"schema":"https://github.com/citation-style-language/schema/raw/master/csl-citation.json"} </w:instrText>
      </w:r>
      <w:r w:rsidR="0019606F">
        <w:rPr>
          <w:lang w:val="en-NZ"/>
        </w:rPr>
        <w:fldChar w:fldCharType="separate"/>
      </w:r>
      <w:r w:rsidR="0019606F" w:rsidRPr="0019606F">
        <w:rPr>
          <w:rFonts w:ascii="Arial" w:hAnsi="Arial" w:cs="Arial"/>
        </w:rPr>
        <w:t>(2008)</w:t>
      </w:r>
      <w:r w:rsidR="0019606F">
        <w:rPr>
          <w:lang w:val="en-NZ"/>
        </w:rPr>
        <w:fldChar w:fldCharType="end"/>
      </w:r>
      <w:r w:rsidR="004167A9" w:rsidRPr="00E33B77">
        <w:rPr>
          <w:lang w:val="en-NZ"/>
        </w:rPr>
        <w:t xml:space="preserve"> </w:t>
      </w:r>
      <w:r w:rsidR="009A23CC">
        <w:rPr>
          <w:lang w:val="en-NZ"/>
        </w:rPr>
        <w:t>six</w:t>
      </w:r>
      <w:r w:rsidR="004167A9" w:rsidRPr="00E33B77">
        <w:rPr>
          <w:lang w:val="en-NZ"/>
        </w:rPr>
        <w:t xml:space="preserve"> ste</w:t>
      </w:r>
      <w:r w:rsidR="00E33B77" w:rsidRPr="00E33B77">
        <w:rPr>
          <w:lang w:val="en-NZ"/>
        </w:rPr>
        <w:t>ps of contribution analysis.</w:t>
      </w:r>
      <w:r w:rsidR="00A2454E" w:rsidRPr="00E33B77">
        <w:rPr>
          <w:lang w:val="en-NZ"/>
        </w:rPr>
        <w:t xml:space="preserve"> </w:t>
      </w:r>
    </w:p>
    <w:p w14:paraId="4E548FEF" w14:textId="604EAD4C" w:rsidR="00444133" w:rsidRDefault="00AB4C93" w:rsidP="00964C3C">
      <w:pPr>
        <w:pStyle w:val="TableFigure-Header"/>
      </w:pPr>
      <w:bookmarkStart w:id="67" w:name="_Ref131422647"/>
      <w:bookmarkStart w:id="68" w:name="_Toc131421772"/>
      <w:bookmarkStart w:id="69" w:name="_Toc138851311"/>
      <w:r w:rsidRPr="00002534">
        <w:lastRenderedPageBreak/>
        <w:t xml:space="preserve">Figure </w:t>
      </w:r>
      <w:r w:rsidR="005B4A4F">
        <w:fldChar w:fldCharType="begin"/>
      </w:r>
      <w:r w:rsidR="005B4A4F">
        <w:instrText xml:space="preserve"> STYLEREF 1 \s </w:instrText>
      </w:r>
      <w:r w:rsidR="005B4A4F">
        <w:fldChar w:fldCharType="separate"/>
      </w:r>
      <w:r w:rsidR="00165B17">
        <w:rPr>
          <w:noProof/>
        </w:rPr>
        <w:t>2</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3</w:t>
      </w:r>
      <w:r w:rsidR="005B4A4F">
        <w:fldChar w:fldCharType="end"/>
      </w:r>
      <w:bookmarkEnd w:id="67"/>
      <w:r w:rsidR="00E800B3">
        <w:t>.</w:t>
      </w:r>
      <w:r w:rsidRPr="00002534">
        <w:t xml:space="preserve"> Approach to contribution analysis</w:t>
      </w:r>
      <w:bookmarkEnd w:id="68"/>
      <w:r w:rsidR="004241F1" w:rsidRPr="00890CA7">
        <w:rPr>
          <w:noProof/>
        </w:rPr>
        <w:drawing>
          <wp:inline distT="0" distB="0" distL="0" distR="0" wp14:anchorId="20519F92" wp14:editId="1FC1A1B8">
            <wp:extent cx="5733415" cy="2615941"/>
            <wp:effectExtent l="0" t="0" r="635" b="0"/>
            <wp:docPr id="1971926027" name="Picture 1971926027" descr="Figure showing process of contribution analysis">
              <a:extLst xmlns:a="http://schemas.openxmlformats.org/drawingml/2006/main">
                <a:ext uri="{FF2B5EF4-FFF2-40B4-BE49-F238E27FC236}">
                  <a16:creationId xmlns:a16="http://schemas.microsoft.com/office/drawing/2014/main" id="{BF256A8F-8316-BC87-6C19-28D74F8565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26027" name="Picture 1971926027" descr="Figure showing process of contribution analysis">
                      <a:extLst>
                        <a:ext uri="{FF2B5EF4-FFF2-40B4-BE49-F238E27FC236}">
                          <a16:creationId xmlns:a16="http://schemas.microsoft.com/office/drawing/2014/main" id="{BF256A8F-8316-BC87-6C19-28D74F856528}"/>
                        </a:ext>
                      </a:extLst>
                    </pic:cNvPr>
                    <pic:cNvPicPr>
                      <a:picLocks noChangeAspect="1"/>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5733415" cy="2615941"/>
                    </a:xfrm>
                    <a:prstGeom prst="rect">
                      <a:avLst/>
                    </a:prstGeom>
                  </pic:spPr>
                </pic:pic>
              </a:graphicData>
            </a:graphic>
          </wp:inline>
        </w:drawing>
      </w:r>
      <w:bookmarkEnd w:id="69"/>
    </w:p>
    <w:p w14:paraId="55186825" w14:textId="77777777" w:rsidR="00444133" w:rsidRDefault="00444133" w:rsidP="00964C3C">
      <w:pPr>
        <w:pStyle w:val="TableFigure-Header"/>
      </w:pPr>
    </w:p>
    <w:p w14:paraId="48E77C70" w14:textId="1D22A4C9" w:rsidR="00A2454E" w:rsidRPr="007776D7" w:rsidRDefault="008E0A2D" w:rsidP="00444133">
      <w:pPr>
        <w:pStyle w:val="TableFigure-Header"/>
        <w:spacing w:after="120"/>
      </w:pPr>
      <w:r w:rsidRPr="00444133">
        <w:rPr>
          <w:b w:val="0"/>
          <w:sz w:val="22"/>
          <w:szCs w:val="22"/>
        </w:rPr>
        <w:t>The 6 steps involved:</w:t>
      </w:r>
    </w:p>
    <w:p w14:paraId="308172C1" w14:textId="30D1A660" w:rsidR="004077C3" w:rsidRPr="003C5315" w:rsidRDefault="008E0A2D" w:rsidP="00FA3B1D">
      <w:pPr>
        <w:pStyle w:val="Bullet-Number"/>
        <w:numPr>
          <w:ilvl w:val="0"/>
          <w:numId w:val="28"/>
        </w:numPr>
      </w:pPr>
      <w:r>
        <w:t>Setting</w:t>
      </w:r>
      <w:r w:rsidR="00A2454E" w:rsidRPr="003C5315">
        <w:t xml:space="preserve"> an overarching contribution question, which was:</w:t>
      </w:r>
      <w:r w:rsidR="004077C3" w:rsidRPr="003C5315">
        <w:t xml:space="preserve"> </w:t>
      </w:r>
    </w:p>
    <w:p w14:paraId="3EE09059" w14:textId="07B9C2A1" w:rsidR="00A2454E" w:rsidRPr="003C5315" w:rsidRDefault="00A2454E" w:rsidP="004077C3">
      <w:pPr>
        <w:pStyle w:val="Bullet-Number"/>
        <w:numPr>
          <w:ilvl w:val="0"/>
          <w:numId w:val="0"/>
        </w:numPr>
        <w:ind w:left="1440"/>
      </w:pPr>
      <w:r w:rsidRPr="003C5315">
        <w:rPr>
          <w:i/>
        </w:rPr>
        <w:t>How is IAHP contributing to the PHC system and improving the health and wellbeing of Aboriginal and Torres Strait Islander people?</w:t>
      </w:r>
      <w:r w:rsidR="00AA35E2">
        <w:rPr>
          <w:i/>
        </w:rPr>
        <w:t xml:space="preserve"> </w:t>
      </w:r>
    </w:p>
    <w:p w14:paraId="480E742F" w14:textId="452532E6" w:rsidR="00A2454E" w:rsidRPr="003C5315" w:rsidRDefault="008E0A2D" w:rsidP="00FA3B1D">
      <w:pPr>
        <w:pStyle w:val="Bullet-Number"/>
        <w:numPr>
          <w:ilvl w:val="0"/>
          <w:numId w:val="28"/>
        </w:numPr>
      </w:pPr>
      <w:r>
        <w:t>Recoding</w:t>
      </w:r>
      <w:r w:rsidR="00A2454E" w:rsidRPr="003C5315">
        <w:t xml:space="preserve"> (re-analys</w:t>
      </w:r>
      <w:r>
        <w:t>ing</w:t>
      </w:r>
      <w:r w:rsidR="00A2454E" w:rsidRPr="003C5315">
        <w:t>) Cycle 1 interviews with health service managers, PHN managers, and state, territory, and national participants.</w:t>
      </w:r>
      <w:r w:rsidR="00AA35E2">
        <w:t xml:space="preserve"> </w:t>
      </w:r>
      <w:r w:rsidR="007F5BDF">
        <w:t xml:space="preserve">Through a process of coding, </w:t>
      </w:r>
      <w:r w:rsidR="007F5BDF" w:rsidRPr="007F5BDF">
        <w:rPr>
          <w:lang w:val="en-AU"/>
        </w:rPr>
        <w:t>key points, issues, and topics</w:t>
      </w:r>
      <w:r w:rsidR="00401036">
        <w:rPr>
          <w:lang w:val="en-AU"/>
        </w:rPr>
        <w:t xml:space="preserve"> were able to </w:t>
      </w:r>
      <w:r w:rsidR="007F5BDF" w:rsidRPr="007F5BDF">
        <w:rPr>
          <w:lang w:val="en-AU"/>
        </w:rPr>
        <w:t>be grouped and compared.</w:t>
      </w:r>
      <w:r w:rsidR="00AA35E2">
        <w:rPr>
          <w:lang w:val="en-AU"/>
        </w:rPr>
        <w:t xml:space="preserve"> </w:t>
      </w:r>
    </w:p>
    <w:p w14:paraId="0757ACE7" w14:textId="2B956C54" w:rsidR="00A2454E" w:rsidRPr="003C5315" w:rsidRDefault="008E0A2D" w:rsidP="00FA3B1D">
      <w:pPr>
        <w:pStyle w:val="Bullet-Number"/>
        <w:numPr>
          <w:ilvl w:val="0"/>
          <w:numId w:val="28"/>
        </w:numPr>
      </w:pPr>
      <w:r>
        <w:t>F</w:t>
      </w:r>
      <w:r w:rsidR="00A2454E" w:rsidRPr="003C5315">
        <w:t xml:space="preserve">ocusing in on specific contribution claims and writing up contribution cases. </w:t>
      </w:r>
    </w:p>
    <w:p w14:paraId="4990D0B1" w14:textId="1915E04B" w:rsidR="00A2454E" w:rsidRPr="003C5315" w:rsidRDefault="008E0A2D" w:rsidP="00FA3B1D">
      <w:pPr>
        <w:pStyle w:val="Bullet-Number"/>
        <w:numPr>
          <w:ilvl w:val="0"/>
          <w:numId w:val="28"/>
        </w:numPr>
      </w:pPr>
      <w:r>
        <w:t>R</w:t>
      </w:r>
      <w:r w:rsidR="00A2454E" w:rsidRPr="003C5315">
        <w:t xml:space="preserve">eturning the cases to site partners to discuss and sense-check. The purpose was to sense-check whether the contribution claims and observations between IAHP and specific outcomes were reasonable and aligned with what people were experiencing in different sites. </w:t>
      </w:r>
    </w:p>
    <w:p w14:paraId="5982A680" w14:textId="120496DF" w:rsidR="00B74EC5" w:rsidRPr="00B74EC5" w:rsidRDefault="008E0A2D" w:rsidP="00FA3B1D">
      <w:pPr>
        <w:pStyle w:val="Bullet-Number"/>
        <w:numPr>
          <w:ilvl w:val="0"/>
          <w:numId w:val="28"/>
        </w:numPr>
      </w:pPr>
      <w:r>
        <w:t>Pre</w:t>
      </w:r>
      <w:r w:rsidR="00B74EC5" w:rsidRPr="00B74EC5">
        <w:t xml:space="preserve">senting the cases to a review panel of two health sector </w:t>
      </w:r>
      <w:r w:rsidR="00D36F2E">
        <w:t xml:space="preserve">professionals and </w:t>
      </w:r>
      <w:r w:rsidR="00B74EC5" w:rsidRPr="00B74EC5">
        <w:t>academics.</w:t>
      </w:r>
      <w:r w:rsidR="006A2E3C" w:rsidRPr="006A2E3C">
        <w:rPr>
          <w:vertAlign w:val="superscript"/>
          <w:lang w:val="en-AU"/>
        </w:rPr>
        <w:footnoteReference w:id="13"/>
      </w:r>
      <w:r w:rsidR="00B74EC5" w:rsidRPr="00B74EC5">
        <w:t xml:space="preserve"> The main findings from checking the cases with site partners were presented to the panel, and further nuances were discussed. More general issues of the contribution analysis were also discussed with the panel.</w:t>
      </w:r>
      <w:r w:rsidR="00AA35E2">
        <w:t xml:space="preserve"> </w:t>
      </w:r>
    </w:p>
    <w:p w14:paraId="043A6ED8" w14:textId="4FBF7447" w:rsidR="00B74EC5" w:rsidRPr="00B74EC5" w:rsidRDefault="00D25946" w:rsidP="00FA3B1D">
      <w:pPr>
        <w:pStyle w:val="Bullet-Number"/>
        <w:numPr>
          <w:ilvl w:val="0"/>
          <w:numId w:val="28"/>
        </w:numPr>
        <w:spacing w:after="240"/>
        <w:ind w:left="714" w:hanging="357"/>
      </w:pPr>
      <w:r>
        <w:t>Collating all</w:t>
      </w:r>
      <w:r w:rsidR="00B74EC5" w:rsidRPr="00B74EC5">
        <w:t xml:space="preserve"> </w:t>
      </w:r>
      <w:r w:rsidR="006D2482">
        <w:t>5</w:t>
      </w:r>
      <w:r w:rsidR="006D2482" w:rsidRPr="00B74EC5">
        <w:t xml:space="preserve"> </w:t>
      </w:r>
      <w:r w:rsidR="00B74EC5" w:rsidRPr="00B74EC5">
        <w:t>cases into one overarching contribution narrative, including the feedback, input, and nuances added by site partners and the review panel.</w:t>
      </w:r>
      <w:r w:rsidR="00AA35E2">
        <w:t xml:space="preserve"> </w:t>
      </w:r>
    </w:p>
    <w:p w14:paraId="4C06D0F0" w14:textId="13422E5A" w:rsidR="004C628C" w:rsidRPr="00410314" w:rsidRDefault="004077C3" w:rsidP="006B1BEA">
      <w:pPr>
        <w:rPr>
          <w:lang w:val="en-NZ"/>
        </w:rPr>
      </w:pPr>
      <w:r w:rsidRPr="003C5315">
        <w:rPr>
          <w:lang w:val="en-NZ"/>
        </w:rPr>
        <w:t xml:space="preserve">Further detail about the </w:t>
      </w:r>
      <w:r w:rsidR="00B74EC5">
        <w:rPr>
          <w:lang w:val="en-NZ"/>
        </w:rPr>
        <w:t xml:space="preserve">applied </w:t>
      </w:r>
      <w:r w:rsidRPr="003C5315">
        <w:rPr>
          <w:lang w:val="en-NZ"/>
        </w:rPr>
        <w:t xml:space="preserve">approach to the contribution analysis, including </w:t>
      </w:r>
      <w:r w:rsidR="003C5315" w:rsidRPr="003C5315">
        <w:rPr>
          <w:lang w:val="en-NZ"/>
        </w:rPr>
        <w:t xml:space="preserve">detail about </w:t>
      </w:r>
      <w:r w:rsidRPr="003C5315">
        <w:rPr>
          <w:lang w:val="en-NZ"/>
        </w:rPr>
        <w:t xml:space="preserve">the specific techniques and </w:t>
      </w:r>
      <w:r w:rsidR="003C5315" w:rsidRPr="003C5315">
        <w:rPr>
          <w:lang w:val="en-NZ"/>
        </w:rPr>
        <w:t xml:space="preserve">tools used to support the analysis is included in </w:t>
      </w:r>
      <w:r w:rsidR="003944DB">
        <w:rPr>
          <w:lang w:val="en-NZ"/>
        </w:rPr>
        <w:t xml:space="preserve">Final Report Supporting Material </w:t>
      </w:r>
      <w:r w:rsidR="003C5315" w:rsidRPr="003C5315">
        <w:rPr>
          <w:lang w:val="en-NZ"/>
        </w:rPr>
        <w:t xml:space="preserve">Appendix C. </w:t>
      </w:r>
    </w:p>
    <w:p w14:paraId="0550AE9C" w14:textId="77777777" w:rsidR="00EF567A" w:rsidRDefault="00EF567A">
      <w:pPr>
        <w:jc w:val="left"/>
        <w:rPr>
          <w:b/>
          <w:bCs/>
          <w:color w:val="9E6047" w:themeColor="accent3"/>
          <w:sz w:val="36"/>
          <w:szCs w:val="36"/>
          <w:lang w:val="en-NZ"/>
        </w:rPr>
      </w:pPr>
      <w:r>
        <w:br w:type="page"/>
      </w:r>
    </w:p>
    <w:p w14:paraId="5F24C896" w14:textId="411CB4CB" w:rsidR="001402D7" w:rsidRDefault="001402D7" w:rsidP="0035030F">
      <w:pPr>
        <w:pStyle w:val="Heading2"/>
      </w:pPr>
      <w:bookmarkStart w:id="70" w:name="_Toc137208892"/>
      <w:r>
        <w:lastRenderedPageBreak/>
        <w:t>Strengths, limitations and adaptations</w:t>
      </w:r>
      <w:bookmarkEnd w:id="70"/>
      <w:r>
        <w:t xml:space="preserve"> </w:t>
      </w:r>
    </w:p>
    <w:p w14:paraId="3025EC64" w14:textId="77777777" w:rsidR="001A39F6" w:rsidRPr="00CF10ED" w:rsidRDefault="001A39F6" w:rsidP="001A39F6">
      <w:pPr>
        <w:rPr>
          <w:lang w:val="en-NZ"/>
        </w:rPr>
      </w:pPr>
      <w:r w:rsidRPr="00CF10ED">
        <w:rPr>
          <w:lang w:val="en-NZ"/>
        </w:rPr>
        <w:t xml:space="preserve">This section discusses the strengths, limitations and adaptations that apply across the evaluation, including observations about data sources, the practical implementation of the evaluation design, sampling issues and the impacts of the broader health, social and political landscape over the duration of the evaluation. These observations are used as material for critical reflections about how the methodological design worked in practice, including challenges, benefits and creative ways of adapting to changing circumstances. </w:t>
      </w:r>
    </w:p>
    <w:p w14:paraId="5DC1CABC" w14:textId="6291EEBB" w:rsidR="00632697" w:rsidRPr="00CF10ED" w:rsidRDefault="00C133DD" w:rsidP="001A39F6">
      <w:pPr>
        <w:rPr>
          <w:lang w:val="en-NZ"/>
        </w:rPr>
      </w:pPr>
      <w:r w:rsidRPr="00560E67">
        <w:rPr>
          <w:lang w:val="en-NZ"/>
        </w:rPr>
        <w:t>E</w:t>
      </w:r>
      <w:r w:rsidR="00632697" w:rsidRPr="00560E67">
        <w:rPr>
          <w:lang w:val="en-NZ"/>
        </w:rPr>
        <w:t xml:space="preserve">valuation of </w:t>
      </w:r>
      <w:r w:rsidR="00D244E3" w:rsidRPr="00560E67">
        <w:rPr>
          <w:lang w:val="en-NZ"/>
        </w:rPr>
        <w:t xml:space="preserve">how well the </w:t>
      </w:r>
      <w:r w:rsidR="00632697" w:rsidRPr="00560E67">
        <w:rPr>
          <w:lang w:val="en-NZ"/>
        </w:rPr>
        <w:t xml:space="preserve">methodological approaches </w:t>
      </w:r>
      <w:r w:rsidR="00D244E3" w:rsidRPr="00560E67">
        <w:rPr>
          <w:lang w:val="en-NZ"/>
        </w:rPr>
        <w:t xml:space="preserve">used in the evaluation achieved the evaluation’s aims </w:t>
      </w:r>
      <w:r w:rsidR="00560E67" w:rsidRPr="00560E67">
        <w:rPr>
          <w:lang w:val="en-NZ"/>
        </w:rPr>
        <w:t>is addressed in a separate report on KEQ5</w:t>
      </w:r>
      <w:r w:rsidR="00632697" w:rsidRPr="00560E67">
        <w:rPr>
          <w:lang w:val="en-NZ"/>
        </w:rPr>
        <w:t>.</w:t>
      </w:r>
    </w:p>
    <w:p w14:paraId="05644B05" w14:textId="59669A70" w:rsidR="006B1BEA" w:rsidRDefault="004F215F" w:rsidP="00651D06">
      <w:pPr>
        <w:pStyle w:val="Heading3"/>
      </w:pPr>
      <w:r>
        <w:t xml:space="preserve">Strengths </w:t>
      </w:r>
    </w:p>
    <w:p w14:paraId="40BBA48F" w14:textId="77777777" w:rsidR="00632697" w:rsidRPr="00632697" w:rsidRDefault="00632697" w:rsidP="00632697">
      <w:r w:rsidRPr="00632697">
        <w:t xml:space="preserve">Reflecting on the design and implementation of the evaluation there were significant strengths in the way it was approached and applied. </w:t>
      </w:r>
    </w:p>
    <w:p w14:paraId="79A4DF9B" w14:textId="77777777" w:rsidR="00632697" w:rsidRPr="000A1939" w:rsidRDefault="00632697" w:rsidP="00632697">
      <w:pPr>
        <w:rPr>
          <w:b/>
          <w:bCs/>
          <w:color w:val="9E6047" w:themeColor="accent3"/>
          <w:lang w:val="en-NZ"/>
        </w:rPr>
      </w:pPr>
      <w:bookmarkStart w:id="71" w:name="_Hlk136511754"/>
      <w:r w:rsidRPr="000A1939">
        <w:rPr>
          <w:b/>
          <w:bCs/>
          <w:color w:val="9E6047" w:themeColor="accent3"/>
        </w:rPr>
        <w:t>A cyclic and iterative approach to enrich the interpretation of data and facilitate quality improvement</w:t>
      </w:r>
    </w:p>
    <w:bookmarkEnd w:id="71"/>
    <w:p w14:paraId="45233F76" w14:textId="77777777" w:rsidR="00632697" w:rsidRPr="00632697" w:rsidRDefault="00632697" w:rsidP="00632697">
      <w:r w:rsidRPr="00632697">
        <w:t xml:space="preserve">The iterative and cyclic PAR processes were designed to ensure the values and experiences of Aboriginal and Torres Strait Islander people were central in interpreting and making sense of data, fostering effective partnerships and joint learning. </w:t>
      </w:r>
    </w:p>
    <w:p w14:paraId="744658F9" w14:textId="77777777" w:rsidR="00632697" w:rsidRPr="00632697" w:rsidRDefault="00632697" w:rsidP="00632697">
      <w:pPr>
        <w:rPr>
          <w:lang w:val="en-NZ"/>
        </w:rPr>
      </w:pPr>
      <w:r w:rsidRPr="00632697">
        <w:rPr>
          <w:lang w:val="en-NZ"/>
        </w:rPr>
        <w:t>Continuing engagement with site partners allowed the evaluation team to collaborate locally to ensure the evaluation was shaped by what was important in the sites. Moreover, the participatory analytical processes which took place at the various sense-making workshops and interviews were particularly helpful in considering the evaluation's implications and ensuring that recommendations stayed relevant and meaningful to Aboriginal and Torres Strait Islander communities and health services.</w:t>
      </w:r>
    </w:p>
    <w:p w14:paraId="49D030C2" w14:textId="77777777" w:rsidR="00632697" w:rsidRPr="00632697" w:rsidRDefault="00632697" w:rsidP="00632697">
      <w:pPr>
        <w:rPr>
          <w:lang w:val="en-NZ"/>
        </w:rPr>
      </w:pPr>
      <w:r w:rsidRPr="00632697">
        <w:rPr>
          <w:lang w:val="en-NZ"/>
        </w:rPr>
        <w:t>The national co-design process with the HSCG which provided rigour to the evaluation design process and the ongoing meetings with the group added strength to final processes of analysis and data integration and synthesis.</w:t>
      </w:r>
    </w:p>
    <w:p w14:paraId="52EB5652" w14:textId="77777777" w:rsidR="00632697" w:rsidRPr="000A1939" w:rsidRDefault="00632697" w:rsidP="00632697">
      <w:pPr>
        <w:rPr>
          <w:b/>
          <w:bCs/>
          <w:color w:val="9E6047" w:themeColor="accent3"/>
          <w:lang w:val="en-NZ"/>
        </w:rPr>
      </w:pPr>
      <w:bookmarkStart w:id="72" w:name="_Hlk136511784"/>
      <w:r w:rsidRPr="000A1939">
        <w:rPr>
          <w:b/>
          <w:bCs/>
          <w:color w:val="9E6047" w:themeColor="accent3"/>
          <w:lang w:val="en-NZ"/>
        </w:rPr>
        <w:t xml:space="preserve">Centring Aboriginal and Torres Strait Islander stories and the importance of culture </w:t>
      </w:r>
    </w:p>
    <w:bookmarkEnd w:id="72"/>
    <w:p w14:paraId="295B6B72" w14:textId="5133A6C3" w:rsidR="00632697" w:rsidRPr="00632697" w:rsidRDefault="00632697" w:rsidP="00632697">
      <w:pPr>
        <w:rPr>
          <w:lang w:val="en-NZ"/>
        </w:rPr>
      </w:pPr>
      <w:r w:rsidRPr="00632697">
        <w:rPr>
          <w:lang w:val="en-NZ"/>
        </w:rPr>
        <w:t>The generation of data through yarn</w:t>
      </w:r>
      <w:r w:rsidR="00A73303">
        <w:rPr>
          <w:lang w:val="en-NZ"/>
        </w:rPr>
        <w:t>s</w:t>
      </w:r>
      <w:r w:rsidRPr="00632697">
        <w:rPr>
          <w:lang w:val="en-NZ"/>
        </w:rPr>
        <w:t xml:space="preserve"> with Aboriginal and Torres Strait Islander people provided rich personal and narrative data on community members’ needs and what they valued about health service design and delivery. </w:t>
      </w:r>
      <w:r w:rsidRPr="00632697">
        <w:t>The evaluation design recognises the centrality of culture to health outcomes and the specific expertise needed to work across diverse Aboriginal and Torres Strait Islander communities.</w:t>
      </w:r>
    </w:p>
    <w:p w14:paraId="3335BE38" w14:textId="77777777" w:rsidR="00632697" w:rsidRPr="00632697" w:rsidRDefault="00632697" w:rsidP="00632697">
      <w:r w:rsidRPr="00632697">
        <w:t xml:space="preserve">The co-design process created structured opportunities for input from Aboriginal and Torres Strait Islander health sector experts and community groups, and others with expertise, responsibility and leadership roles at all levels of the health system. </w:t>
      </w:r>
    </w:p>
    <w:p w14:paraId="2FCF40F6" w14:textId="77777777" w:rsidR="00632697" w:rsidRPr="00632697" w:rsidRDefault="00632697" w:rsidP="00632697">
      <w:pPr>
        <w:rPr>
          <w:lang w:val="en-NZ"/>
        </w:rPr>
      </w:pPr>
      <w:r w:rsidRPr="00632697">
        <w:t xml:space="preserve">Moreover, the qualitative data collection methods and analytical approaches supported Aboriginal and Torres Strait Islander voices and </w:t>
      </w:r>
      <w:r w:rsidRPr="00947266">
        <w:t>centred</w:t>
      </w:r>
      <w:r w:rsidRPr="00632697">
        <w:t xml:space="preserve"> people’s needs and aspirations. </w:t>
      </w:r>
      <w:r w:rsidRPr="00632697">
        <w:rPr>
          <w:lang w:val="en-NZ"/>
        </w:rPr>
        <w:t xml:space="preserve">For </w:t>
      </w:r>
      <w:r w:rsidRPr="00632697">
        <w:rPr>
          <w:lang w:val="en-NZ"/>
        </w:rPr>
        <w:lastRenderedPageBreak/>
        <w:t xml:space="preserve">example, the use of a grounded theory approach to analysis of the IAHP’s contribution ensured that </w:t>
      </w:r>
      <w:r w:rsidRPr="00632697">
        <w:t xml:space="preserve">Aboriginal and Torres Strait Islander people’s </w:t>
      </w:r>
      <w:r w:rsidRPr="00632697">
        <w:rPr>
          <w:lang w:val="en-NZ"/>
        </w:rPr>
        <w:t xml:space="preserve">stories and experiences were set as a baseline for assessing the appropriateness and effectiveness of the IAHP. </w:t>
      </w:r>
    </w:p>
    <w:p w14:paraId="3CFBF64F" w14:textId="77777777" w:rsidR="00CD3047" w:rsidRPr="00B9358A" w:rsidRDefault="00CD3047" w:rsidP="00632697">
      <w:pPr>
        <w:rPr>
          <w:b/>
          <w:bCs/>
          <w:color w:val="9E6047" w:themeColor="accent3"/>
          <w:lang w:val="en-NZ"/>
        </w:rPr>
      </w:pPr>
      <w:bookmarkStart w:id="73" w:name="_Hlk136511821"/>
      <w:r w:rsidRPr="00B9358A">
        <w:rPr>
          <w:b/>
          <w:bCs/>
          <w:color w:val="9E6047" w:themeColor="accent3"/>
          <w:lang w:val="en-NZ"/>
        </w:rPr>
        <w:t>Creating spaces for learning</w:t>
      </w:r>
    </w:p>
    <w:bookmarkEnd w:id="73"/>
    <w:p w14:paraId="2924FF7B" w14:textId="3F637152" w:rsidR="00632697" w:rsidRPr="00632697" w:rsidRDefault="00632697" w:rsidP="00632697">
      <w:pPr>
        <w:rPr>
          <w:lang w:val="en-NZ"/>
        </w:rPr>
      </w:pPr>
      <w:r w:rsidRPr="00632697">
        <w:rPr>
          <w:lang w:val="en-NZ"/>
        </w:rPr>
        <w:t xml:space="preserve">The CA4C workshops, emerging findings workshops, and the cross-cutting engagement activities (like the collaboratives and the national workshop) were beneficial in creating opportunities for evaluation partners to create new relationships, share information and learn from discussions with other service providers and organisations. </w:t>
      </w:r>
    </w:p>
    <w:p w14:paraId="0B69CFCD" w14:textId="77777777" w:rsidR="00632697" w:rsidRPr="00632697" w:rsidRDefault="00632697" w:rsidP="00632697">
      <w:pPr>
        <w:rPr>
          <w:lang w:val="en-NZ"/>
        </w:rPr>
      </w:pPr>
      <w:r w:rsidRPr="00632697">
        <w:rPr>
          <w:lang w:val="en-NZ"/>
        </w:rPr>
        <w:t xml:space="preserve">Evaluation team members reflected that the most effective workshops were those that brought people from Aboriginal and Torres Strait Islander health services and PHNs together. This enabled conversations and learnings across different segments of the PHC system. </w:t>
      </w:r>
    </w:p>
    <w:p w14:paraId="7555B533" w14:textId="77777777" w:rsidR="00CB6F6C" w:rsidRPr="00B9358A" w:rsidRDefault="00CB6F6C" w:rsidP="00632697">
      <w:pPr>
        <w:rPr>
          <w:b/>
          <w:bCs/>
          <w:color w:val="9E6047" w:themeColor="accent3"/>
          <w:lang w:val="en-NZ"/>
        </w:rPr>
      </w:pPr>
      <w:bookmarkStart w:id="74" w:name="_Hlk136511844"/>
      <w:r w:rsidRPr="00B9358A">
        <w:rPr>
          <w:b/>
          <w:bCs/>
          <w:color w:val="9E6047" w:themeColor="accent3"/>
          <w:lang w:val="en-NZ"/>
        </w:rPr>
        <w:t>A diverse range of perspectives</w:t>
      </w:r>
    </w:p>
    <w:bookmarkEnd w:id="74"/>
    <w:p w14:paraId="5952B7BB" w14:textId="4F312D65" w:rsidR="002B3F51" w:rsidRPr="002B3F51" w:rsidRDefault="002B3F51" w:rsidP="002B3F51">
      <w:pPr>
        <w:rPr>
          <w:lang w:val="en-NZ"/>
        </w:rPr>
      </w:pPr>
      <w:r w:rsidRPr="002B3F51">
        <w:rPr>
          <w:lang w:val="en-NZ"/>
        </w:rPr>
        <w:t xml:space="preserve">The evaluation scale and mixed methods design allowed for issues to be explored in depth, and with a wide range of Aboriginal and Torres Strait Islander people. </w:t>
      </w:r>
      <w:r w:rsidRPr="002B3F51">
        <w:t>Particularly the place-based approach to data collection, using a multi-site approach, provided opportunities to examine how the IAHP has been implemented in different locations (urban, regional and remote), across organisational boundaries, and within different local settings (for example, geographic, economic, social and political) and population groups</w:t>
      </w:r>
      <w:r w:rsidR="007D64DC">
        <w:t>.</w:t>
      </w:r>
      <w:r w:rsidRPr="002B3F51">
        <w:rPr>
          <w:lang w:val="en-NZ"/>
        </w:rPr>
        <w:t xml:space="preserve"> </w:t>
      </w:r>
    </w:p>
    <w:p w14:paraId="555F73DF" w14:textId="3B50FEE7" w:rsidR="002B3F51" w:rsidRPr="002B3F51" w:rsidRDefault="002B3F51" w:rsidP="002B3F51">
      <w:pPr>
        <w:rPr>
          <w:lang w:val="en-NZ"/>
        </w:rPr>
      </w:pPr>
      <w:r w:rsidRPr="002B3F51">
        <w:rPr>
          <w:lang w:val="en-NZ"/>
        </w:rPr>
        <w:t xml:space="preserve">Health care systems, including primary care services, are increasingly understood to be components within complex social systems, composed of networks of interconnected components that influence each other, and the outcomes generated from such systems cannot be understood by looking at elements within the system in isolation </w:t>
      </w:r>
      <w:r w:rsidRPr="002B3F51">
        <w:rPr>
          <w:lang w:val="en-NZ"/>
        </w:rPr>
        <w:fldChar w:fldCharType="begin"/>
      </w:r>
      <w:r w:rsidR="00F8760E">
        <w:rPr>
          <w:lang w:val="en-NZ"/>
        </w:rPr>
        <w:instrText xml:space="preserve"> ADDIN ZOTERO_ITEM CSL_CITATION {"citationID":"InUB1P8B","properties":{"formattedCitation":"(Ellis, 2013; Matheson et al., 2018; Pourbohloul &amp; Kieny, 2011; van Olmen et al., 2012; Walton et al., 2011)","plainCitation":"(Ellis, 2013; Matheson et al., 2018; Pourbohloul &amp; Kieny, 2011; van Olmen et al., 2012; Walton et al., 2011)","noteIndex":0},"citationItems":[{"id":3959,"uris":["http://zotero.org/groups/5010721/items/LMJP5UJI",["http://zotero.org/groups/5010721/items/LMJP5UJI"]],"itemData":{"id":3959,"type":"chapter","abstract":"This chapter introduces complexity theories and proposes that primary care can be thought of as a negotiated balance between imperfectly aligned and sometimes conflicting goals within a complex adaptive system (CAS). A CAS approach is interpreted as a framework that assists in thinking about the nature of primary care that allows consideration of its dynamic beyond the practice, the background of trend towards integrated organisations and federated models of practice. To illustrate how the propositions described can be put into daily practice the author brings in the literature on informatics relevant to quality improvement. The chapter concludes and makes recommendations in two key areas: education and learning to manage health information.","container-title":"Handbook of Systems and Complexity in Health","event-place":"New York, NY","ISBN":"978-1-4614-4998-0","language":"en","note":"DOI: 10.1007/978-1-4614-4998-0_29","page":"485-494","publisher":"Springer","publisher-place":"New York, NY","source":"Springer Link","title":"An Overview of Complexity Theory: Understanding Primary Care as a Complex Adaptive System","title-short":"An Overview of Complexity Theory","URL":"https://doi.org/10.1007/978-1-4614-4998-0_29","author":[{"family":"Ellis","given":"Beverley"}],"editor":[{"family":"Sturmberg","given":"Joachim P."},{"family":"Martin","given":"Carmel M."}],"accessed":{"date-parts":[["2023",6,27]]},"issued":{"date-parts":[["2013"]]}}},{"id":3969,"uris":["http://zotero.org/groups/5010721/items/63VYFJKR",["http://zotero.org/groups/5010721/items/63VYFJKR"]],"itemData":{"id":3969,"type":"article-journal","abstract":"BACKGROUND: This article outlines the methods being used to evaluate a community-based public health intervention. This evaluation approach recognizes that not only is the intervention, Healthy Families NZ, complex, but the social systems within which it is being implemented are complex.\nMETHODS: To address challenges related to complexity, we discuss three developing areas within evaluation theory and apply them to an evaluation case example. The example, Healthy Families NZ, aims to strengthen the prevention system in Aotearoa/New Zealand to prevent chronic disease in 10 different geographic areas. Central to the evaluation design is the comparative case method which recognizes that emergent outcomes are the result of 'configurations of causes'. 'Thick', mixed-data, case studies are developed, with each case considered a view of a complex system. Qualitative Comparative Analysis is the analytical approach used to systematically compare the cases over time.\nCONCLUSIONS: This article describes an approach to evaluating a community-based public health intervention that considers the social systems in which the initiative is being implemented to be complex. The evaluation case example provides a unique opportunity to operationalize and test these methods, while extending their more frequent use within other fields to the field of public health.","container-title":"Journal of Public Health (Oxford, England)","DOI":"10.1093/pubmed/fdx117","ISSN":"1741-3850","issue":"3","journalAbbreviation":"J Public Health (Oxf)","language":"eng","note":"PMID: 28977467","page":"606-613","source":"PubMed","title":"Evaluating a community-based public health intervention using a complex systems approach","volume":"40","author":[{"family":"Matheson","given":"Anna"},{"family":"Walton","given":"Mat"},{"family":"Gray","given":"Rebecca"},{"family":"Lindberg","given":"Kirstin"},{"family":"Shanthakumar","given":"Mathu"},{"family":"Fyfe","given":"Caroline"},{"family":"Wehipeihana","given":"Nan"},{"family":"Borman","given":"Barry"}],"issued":{"date-parts":[["2018",9,1]]}}},{"id":3963,"uris":["http://zotero.org/groups/5010721/items/M2CNZFNB",["http://zotero.org/groups/5010721/items/M2CNZFNB"]],"itemData":{"id":3963,"type":"article-journal","container-title":"Bulletin of the World Health Organization","DOI":"10.2471/BLT.11.087544","ISSN":"0042-9686","issue":"4","journalAbbreviation":"Bull World Health Organ","note":"PMID: 21479083\nPMCID: PMC3066532","page":"242","source":"PubMed Central","title":"Complex systems analysis: towards holistic approaches to health systems planning and policy","title-short":"Complex systems analysis","URL":"https://www.ncbi.nlm.nih.gov/pmc/articles/PMC3066532/","volume":"89","author":[{"family":"Pourbohloul","given":"Babak"},{"family":"Kieny","given":"Marie-Paule"}],"accessed":{"date-parts":[["2023",6,27]]},"issued":{"date-parts":[["2011",4,1]]}}},{"id":3961,"uris":["http://zotero.org/groups/5010721/items/3RDW9Q6X",["http://zotero.org/groups/5010721/items/3RDW9Q6X"]],"itemData":{"id":3961,"type":"book","abstract":"2nd edition of SHSOP 27","collection-title":"Studies in Health Services Organisation &amp; Policy; 28","event-place":"Antwerp","ISBN":"978-90-76070-38-4","publisher":"ITGPress","publisher-place":"Antwerp","source":"the Research Portal of the Institute of Tropical Medicine","title":"Analysing health system dynamics; a framework","author":[{"family":"Olmen","given":"J","non-dropping-particle":"van"},{"f</w:instrText>
      </w:r>
      <w:r w:rsidR="00F8760E" w:rsidRPr="00F8760E">
        <w:rPr>
          <w:lang w:val="da-DK"/>
        </w:rPr>
        <w:instrText xml:space="preserve">amily":"Criel","given":"B"},{"family":"Van Damme","given":"W"},{"family":"Marchal","given":"B"},{"family":"Van Belle","given":"S"},{"family":"Van Dormael","given":"Monique"},{"family":"Hoerée","given":"T"},{"family":"Pirard","given":"M"},{"family":"Kegels","given":"G"}],"issued":{"date-parts":[["2012"]]}}},{"id":3966,"uris":["http://zotero.org/groups/5010721/items/CIHKNKEZ",["http://zotero.org/groups/5010721/items/CIHKNKEZ"]],"itemData":{"id":3966,"type":"article-journal","abstract":"Interest in the development of complexity theory and its application to policy and social sciences has been accelerating over the last decade. Drawing on three pieces of recent New Zealand research, this article aims to provide an introduction to complexity theory for policy practitioners and researchers, highlighting principles of complexity theory relevant to improving policy practice and the positive impact of interventions.","container-title":"Policy Quarterly","DOI":"10.26686/pq.v7i1.4369","journalAbbreviation":"Policy Quarterly","page":"48-55","source":"ResearchGate","title":"Applying complexity theory to New Zealand public policy: Principles for practice","title-short":"Applying complexity theory to New Zealand public policy","volume":"7","author":[{"family":"Walton","given":"Mat"},{"family":"Eppel","given":"Elizabeth"},{"family":"Matheson","given":"Anna"}],"issued":{"date-parts":[["2011",2,1]]}}}],"schema":"https://github.com/citation-style-language/schema/raw/master/csl-citation.json"} </w:instrText>
      </w:r>
      <w:r w:rsidRPr="002B3F51">
        <w:rPr>
          <w:lang w:val="en-NZ"/>
        </w:rPr>
        <w:fldChar w:fldCharType="separate"/>
      </w:r>
      <w:r w:rsidRPr="002B3F51">
        <w:rPr>
          <w:lang w:val="da-DK"/>
        </w:rPr>
        <w:t>(Ellis, 2013; Matheson et al., 2018; Pourbohloul &amp; Kieny, 2011; van Olmen et al., 2012; Walton et al., 2011)</w:t>
      </w:r>
      <w:r w:rsidRPr="002B3F51">
        <w:rPr>
          <w:lang w:val="en-NZ"/>
        </w:rPr>
        <w:fldChar w:fldCharType="end"/>
      </w:r>
      <w:r w:rsidRPr="002B3F51">
        <w:rPr>
          <w:lang w:val="da-DK"/>
        </w:rPr>
        <w:t xml:space="preserve">. </w:t>
      </w:r>
      <w:r w:rsidRPr="002B3F51">
        <w:rPr>
          <w:lang w:val="en-NZ"/>
        </w:rPr>
        <w:t>An examination of multiple perspectives of health care and interactions across locations, demographics, organisations and levels of the health care system, provides a robust way of evaluating a complex system level initiative like the IAHP.</w:t>
      </w:r>
    </w:p>
    <w:p w14:paraId="49ED2447" w14:textId="77777777" w:rsidR="002B3F51" w:rsidRPr="002B3F51" w:rsidRDefault="002B3F51" w:rsidP="002B3F51">
      <w:pPr>
        <w:rPr>
          <w:lang w:val="en-NZ"/>
        </w:rPr>
      </w:pPr>
      <w:r w:rsidRPr="002B3F51">
        <w:rPr>
          <w:lang w:val="en-NZ"/>
        </w:rPr>
        <w:t xml:space="preserve">The cross-cutting collaboratives, site workshops and the networks developed during the evaluation also enabled additional perspectives, such as voices from particular Aboriginal and Torres Strait Islander advisory and advocacy groups, to be included. </w:t>
      </w:r>
    </w:p>
    <w:p w14:paraId="3EDC1A84" w14:textId="77777777" w:rsidR="00632697" w:rsidRPr="00B9358A" w:rsidRDefault="00632697" w:rsidP="00632697">
      <w:pPr>
        <w:rPr>
          <w:b/>
          <w:bCs/>
          <w:color w:val="9E6047" w:themeColor="accent3"/>
          <w:lang w:val="en-NZ"/>
        </w:rPr>
      </w:pPr>
      <w:r w:rsidRPr="00B9358A">
        <w:rPr>
          <w:b/>
          <w:bCs/>
          <w:color w:val="9E6047" w:themeColor="accent3"/>
          <w:lang w:val="en-NZ"/>
        </w:rPr>
        <w:t>A system-level focus</w:t>
      </w:r>
    </w:p>
    <w:p w14:paraId="1CF1FE84" w14:textId="64FF34D2" w:rsidR="00632697" w:rsidRPr="00632697" w:rsidRDefault="00632697" w:rsidP="00632697">
      <w:r w:rsidRPr="00632697">
        <w:t xml:space="preserve">The evaluation takes a systems approach that recognises health system complexity and accounts for the interactions between different forms of investment and multiple contextual influences. Sites include a range of communities and service providers, including community-controlled and state and territory-operated Aboriginal and Torres Strait Islander health services, general practices and other services, in a range of different contexts. Thus the evaluation gathered data at local, state, territory and national levels and the number of sites allowed a geographical spread across urban, regional and remote areas. </w:t>
      </w:r>
    </w:p>
    <w:p w14:paraId="0ABDC926" w14:textId="77777777" w:rsidR="00632697" w:rsidRPr="00632697" w:rsidRDefault="00632697" w:rsidP="00632697">
      <w:r w:rsidRPr="00632697">
        <w:t>This was a valuable way to explore the influence of the IAHP on the wider health system. It was also a valuable way to identify unintended effects, how better to support the community-</w:t>
      </w:r>
      <w:r w:rsidRPr="00632697">
        <w:lastRenderedPageBreak/>
        <w:t>controlled sector and to engage the resources of ‘mainstream services’ more effectively in accelerating progress.</w:t>
      </w:r>
    </w:p>
    <w:p w14:paraId="7C3E0C58" w14:textId="0593AB7B" w:rsidR="0053062E" w:rsidRDefault="00632697" w:rsidP="00591284">
      <w:r w:rsidRPr="00632697">
        <w:t xml:space="preserve">The system-level findings that the evaluation provided align with the objective of the IAHP and are designed with the IAHP theory of change and program logic in mind. </w:t>
      </w:r>
    </w:p>
    <w:p w14:paraId="4F82B285" w14:textId="77777777" w:rsidR="004F215F" w:rsidRDefault="004F215F" w:rsidP="00651D06">
      <w:pPr>
        <w:pStyle w:val="Heading3"/>
      </w:pPr>
      <w:r>
        <w:t>Limitations</w:t>
      </w:r>
    </w:p>
    <w:p w14:paraId="3E604F75" w14:textId="45CA53B4" w:rsidR="007938BB" w:rsidRPr="00B9358A" w:rsidRDefault="007938BB" w:rsidP="007938BB">
      <w:pPr>
        <w:rPr>
          <w:b/>
          <w:bCs/>
          <w:color w:val="9E6047" w:themeColor="accent3"/>
          <w:lang w:val="en-NZ"/>
        </w:rPr>
      </w:pPr>
      <w:r w:rsidRPr="00B9358A">
        <w:rPr>
          <w:b/>
          <w:bCs/>
          <w:color w:val="9E6047" w:themeColor="accent3"/>
          <w:lang w:val="en-NZ"/>
        </w:rPr>
        <w:t>Sampling of qualitative data</w:t>
      </w:r>
    </w:p>
    <w:p w14:paraId="0FD50982" w14:textId="72064BF3" w:rsidR="007938BB" w:rsidRPr="007938BB" w:rsidRDefault="007938BB" w:rsidP="007938BB">
      <w:r w:rsidRPr="007938BB">
        <w:t>The sampling of participants created natural limits to the evaluation focus and findings. Due to the reliance on ACCHSs to support the identification of community members for participation in the evaluation, the cohort of participants were generally people accessing PHC services through ACCHSs. While the sample did include some people who only accessed mainstream services and staff who work in mainstream PHC services, they were a minority. However, all participants reflected on their experiences of health care broadly and beyond the ACCHS settings, including experiences from accessing mainstream GPs, hospitals, and other specialist services.</w:t>
      </w:r>
      <w:r w:rsidR="00AA35E2">
        <w:t xml:space="preserve"> </w:t>
      </w:r>
    </w:p>
    <w:p w14:paraId="7ADA7712" w14:textId="77777777" w:rsidR="007938BB" w:rsidRPr="007938BB" w:rsidRDefault="007938BB" w:rsidP="007938BB">
      <w:r w:rsidRPr="007938BB">
        <w:t xml:space="preserve">There is limited information in the qualitative data from Aboriginal and Torres Strait Islander people that are not connected – or rarely connect – to the health system, either through ACCHSs or mainstream settings. This limits data to inform understanding of what more can be done to ensure equitable access to services based on the needs and aspirations of Aboriginal and Torres Strait Islander people that are not currently obtaining regular health care. The evaluation did, however, engage with a small number of marginalised and vulnerable cohorts of people, including people with disabilities and people who had recently been in prison. </w:t>
      </w:r>
    </w:p>
    <w:p w14:paraId="2A16EC3F" w14:textId="77777777" w:rsidR="007938BB" w:rsidRPr="007938BB" w:rsidRDefault="007938BB" w:rsidP="007938BB">
      <w:r w:rsidRPr="007938BB">
        <w:t>There were no participants in the evaluation under the age of 18 years. However, issues related to health care for people aged under 18 years were examined and the evidence for this examination was based on information told by adults and young people (over the age of 18). There were over 50 participants in community yarns and interviews who were 18-24 years old.</w:t>
      </w:r>
    </w:p>
    <w:p w14:paraId="4C71E65B" w14:textId="77777777" w:rsidR="007938BB" w:rsidRPr="00B9358A" w:rsidRDefault="007938BB" w:rsidP="007938BB">
      <w:pPr>
        <w:rPr>
          <w:b/>
          <w:bCs/>
          <w:color w:val="9E6047" w:themeColor="accent3"/>
          <w:lang w:val="en-NZ"/>
        </w:rPr>
      </w:pPr>
      <w:r w:rsidRPr="00B9358A">
        <w:rPr>
          <w:b/>
          <w:bCs/>
          <w:color w:val="9E6047" w:themeColor="accent3"/>
          <w:lang w:val="en-NZ"/>
        </w:rPr>
        <w:t>Duration of the evaluation</w:t>
      </w:r>
    </w:p>
    <w:p w14:paraId="489F171C" w14:textId="26050C7F" w:rsidR="007938BB" w:rsidRPr="007938BB" w:rsidRDefault="007938BB" w:rsidP="007938BB">
      <w:r w:rsidRPr="007938BB">
        <w:t xml:space="preserve">This evaluation was conducted in </w:t>
      </w:r>
      <w:r w:rsidR="00662A37">
        <w:t>2</w:t>
      </w:r>
      <w:r w:rsidRPr="007938BB">
        <w:t xml:space="preserve"> phases – design and implementation – and </w:t>
      </w:r>
      <w:r w:rsidR="006D2482">
        <w:t>3</w:t>
      </w:r>
      <w:r w:rsidR="006D2482" w:rsidRPr="007938BB">
        <w:t xml:space="preserve"> </w:t>
      </w:r>
      <w:r w:rsidRPr="007938BB">
        <w:t xml:space="preserve">implementation cycles over a period of 6 years. The duration of the evaluation – in combination with the shifting health, social and political landscape – created some challenges that required agility in evaluation approach and implementation. </w:t>
      </w:r>
    </w:p>
    <w:p w14:paraId="1A467626" w14:textId="53D9B2DC" w:rsidR="007938BB" w:rsidRPr="007938BB" w:rsidRDefault="007938BB" w:rsidP="007938BB">
      <w:r w:rsidRPr="007938BB">
        <w:t xml:space="preserve">The duration of the evaluation made it difficult to sustain active engagement with all site partners. The evaluation was affected by changes in staff in site partner organisations, the evaluation team and the </w:t>
      </w:r>
      <w:r w:rsidR="00937AE7">
        <w:t>department</w:t>
      </w:r>
      <w:r w:rsidRPr="007938BB">
        <w:t xml:space="preserve">. While staffing changes are not unexpected over this duration, this did require continuing investment in relationship building and understanding of the evaluation over the course of the evaluation. </w:t>
      </w:r>
    </w:p>
    <w:p w14:paraId="1C2F55A4" w14:textId="77777777" w:rsidR="007938BB" w:rsidRPr="007938BB" w:rsidRDefault="007938BB" w:rsidP="007938BB">
      <w:r w:rsidRPr="007938BB">
        <w:t xml:space="preserve">Shifts in the health, social and political landscape resulted in changes to the IAHP within the evaluation period. In addition to the changes to the IAHP there were significant developments </w:t>
      </w:r>
      <w:r w:rsidRPr="007938BB">
        <w:lastRenderedPageBreak/>
        <w:t>in Aboriginal and Torres Strait Islander health and the PHC system more generally. A new National Aboriginal and Torres Strait Islander Health Plan was finalised within the evaluation period. There were also changes to the National Agreement on Closing the Gap and the establishment of other review and reform processes, some with overlapping parameters, during the evaluation period.</w:t>
      </w:r>
    </w:p>
    <w:p w14:paraId="5EF53324" w14:textId="77777777" w:rsidR="007938BB" w:rsidRPr="00B9358A" w:rsidRDefault="007938BB" w:rsidP="007938BB">
      <w:pPr>
        <w:rPr>
          <w:b/>
          <w:bCs/>
          <w:color w:val="9E6047" w:themeColor="accent3"/>
          <w:lang w:val="en-NZ"/>
        </w:rPr>
      </w:pPr>
      <w:r w:rsidRPr="00B9358A">
        <w:rPr>
          <w:b/>
          <w:bCs/>
          <w:color w:val="9E6047" w:themeColor="accent3"/>
          <w:lang w:val="en-NZ"/>
        </w:rPr>
        <w:t>Cultural safety</w:t>
      </w:r>
    </w:p>
    <w:p w14:paraId="7FB7DF9D" w14:textId="6F7CE3C3" w:rsidR="007938BB" w:rsidRPr="007938BB" w:rsidRDefault="007938BB" w:rsidP="007938BB">
      <w:r w:rsidRPr="007938BB">
        <w:t>The nature and scope of the evaluation required advice and leadership from Aboriginal and Torres Strait Islander site partners and evaluation team members to guide safe participation and provide cultural supervision throughout the evaluation process. The limited number of Aboriginal and Torres Strait Islander people in the evaluation team resulted in these team members carrying a high cultural load and experience</w:t>
      </w:r>
      <w:r w:rsidR="00081EE2">
        <w:t>d</w:t>
      </w:r>
      <w:r w:rsidRPr="007938BB">
        <w:t xml:space="preserve"> strong reliance from non-Indigenous team members for cultural advice and guidance across the evaluation.</w:t>
      </w:r>
    </w:p>
    <w:p w14:paraId="4C0A8DAF" w14:textId="77777777" w:rsidR="007938BB" w:rsidRPr="00B9358A" w:rsidRDefault="007938BB" w:rsidP="007938BB">
      <w:pPr>
        <w:rPr>
          <w:b/>
          <w:bCs/>
          <w:color w:val="9E6047" w:themeColor="accent3"/>
          <w:lang w:val="en-NZ"/>
        </w:rPr>
      </w:pPr>
      <w:r w:rsidRPr="00B9358A">
        <w:rPr>
          <w:b/>
          <w:bCs/>
          <w:color w:val="9E6047" w:themeColor="accent3"/>
          <w:lang w:val="en-NZ"/>
        </w:rPr>
        <w:t>Coordination of local engagement</w:t>
      </w:r>
    </w:p>
    <w:p w14:paraId="4BEA51F5" w14:textId="77777777" w:rsidR="007938BB" w:rsidRPr="007938BB" w:rsidRDefault="007938BB" w:rsidP="007938BB">
      <w:r w:rsidRPr="007938BB">
        <w:t>The evaluation team included a number of Local Evaluation Coordinators to build stronger connections between the evaluation team and the local communities in the evaluation sites. These roles were not used consistently across all evaluation sites which may have influenced the nature of engagement with communities and services at different evaluation sites.</w:t>
      </w:r>
    </w:p>
    <w:p w14:paraId="7757069B" w14:textId="77777777" w:rsidR="007938BB" w:rsidRPr="00B9358A" w:rsidRDefault="007938BB" w:rsidP="007938BB">
      <w:pPr>
        <w:rPr>
          <w:b/>
          <w:bCs/>
          <w:color w:val="9E6047" w:themeColor="accent3"/>
          <w:lang w:val="en-NZ"/>
        </w:rPr>
      </w:pPr>
      <w:r w:rsidRPr="00B9358A">
        <w:rPr>
          <w:b/>
          <w:bCs/>
          <w:color w:val="9E6047" w:themeColor="accent3"/>
          <w:lang w:val="en-NZ"/>
        </w:rPr>
        <w:t>Impacts associated with the COVID-19 pandemic</w:t>
      </w:r>
    </w:p>
    <w:p w14:paraId="60A56A02" w14:textId="77777777" w:rsidR="007938BB" w:rsidRPr="007938BB" w:rsidRDefault="007938BB" w:rsidP="007938BB">
      <w:pPr>
        <w:rPr>
          <w:b/>
          <w:bCs/>
        </w:rPr>
      </w:pPr>
      <w:r w:rsidRPr="007938BB">
        <w:t>The duration of the evaluation included the period of the COVID-19 pandemic and associated public health measures. This influenced the ways of working across the evaluation and restricted travel to evaluation sites, for a period, to complete face-to-face engagement with site partners and community members</w:t>
      </w:r>
      <w:r w:rsidRPr="007938BB">
        <w:rPr>
          <w:b/>
          <w:bCs/>
        </w:rPr>
        <w:t xml:space="preserve">. </w:t>
      </w:r>
      <w:r w:rsidRPr="007938BB">
        <w:t>While some engagement moved to online platforms, this mode of engagement limited the delivery of the culturally-informed approaches to knowledge transfer contemplated in the evaluation methodology.</w:t>
      </w:r>
    </w:p>
    <w:p w14:paraId="44E0B8C0" w14:textId="77777777" w:rsidR="007938BB" w:rsidRPr="007938BB" w:rsidRDefault="007938BB" w:rsidP="007938BB">
      <w:r w:rsidRPr="007938BB">
        <w:t>There were also indirect limitations due to the need for site partners to deliver an intensive health response within their communities, limiting engagement with the evaluation at key stages. This indirect impact also impacted engagement from participants involved in the COVID-19 response at other levels of the system, including state, territory and national level health sector participants.</w:t>
      </w:r>
    </w:p>
    <w:p w14:paraId="650ACF74" w14:textId="177F11A7" w:rsidR="004F215F" w:rsidRDefault="004F215F" w:rsidP="00651D06">
      <w:pPr>
        <w:pStyle w:val="Heading3"/>
      </w:pPr>
      <w:r>
        <w:t>Adapt</w:t>
      </w:r>
      <w:r w:rsidR="00505E57">
        <w:t>at</w:t>
      </w:r>
      <w:r>
        <w:t xml:space="preserve">ions </w:t>
      </w:r>
    </w:p>
    <w:p w14:paraId="07EBFAEB" w14:textId="477806A0" w:rsidR="00D500A1" w:rsidRPr="00D500A1" w:rsidRDefault="00D500A1" w:rsidP="00D500A1">
      <w:r>
        <w:rPr>
          <w:lang w:val="en-NZ"/>
        </w:rPr>
        <w:t>As the evaluation progressed a number of necessary adaptations were made to ensure the delivery of t</w:t>
      </w:r>
      <w:r w:rsidR="00D4317E">
        <w:rPr>
          <w:lang w:val="en-NZ"/>
        </w:rPr>
        <w:t>he evaluation.</w:t>
      </w:r>
      <w:r w:rsidRPr="00D500A1">
        <w:t xml:space="preserve"> The cyclic mixed method design collecting qualitative and quantitative data over a long period of time required an adaptive approach that was responsive to changing circumstances. Several adaptions were made during the implementation of the evaluation in response to changing circumstances.</w:t>
      </w:r>
    </w:p>
    <w:p w14:paraId="0305CEAF" w14:textId="77777777" w:rsidR="00D500A1" w:rsidRPr="00B9358A" w:rsidRDefault="00D500A1" w:rsidP="00D500A1">
      <w:pPr>
        <w:rPr>
          <w:b/>
          <w:bCs/>
          <w:color w:val="9E6047" w:themeColor="accent3"/>
          <w:lang w:val="en-NZ"/>
        </w:rPr>
      </w:pPr>
      <w:r w:rsidRPr="00B9358A">
        <w:rPr>
          <w:b/>
          <w:bCs/>
          <w:color w:val="9E6047" w:themeColor="accent3"/>
          <w:lang w:val="en-NZ"/>
        </w:rPr>
        <w:t>COVID-19 adaptations</w:t>
      </w:r>
    </w:p>
    <w:p w14:paraId="10D6C3BA" w14:textId="735822D7" w:rsidR="00D500A1" w:rsidRPr="00D500A1" w:rsidRDefault="00D500A1" w:rsidP="00D500A1">
      <w:r w:rsidRPr="00D500A1">
        <w:t xml:space="preserve">The main adjustments were made in response to COVID-19, where engagement activities, such as emerging findings workshops and interviews, were frequently adapted to an online </w:t>
      </w:r>
      <w:r w:rsidRPr="00D500A1">
        <w:lastRenderedPageBreak/>
        <w:t>platform due to travel and gathering restrictions. Moreover, in relation to the selection of collaborative topics, additional criteria were added to minimise the need to engage with site partners because they were having to prioritise time on the COVID-19 response and many also experienced a shortage of staff.</w:t>
      </w:r>
      <w:r w:rsidR="00AA35E2">
        <w:t xml:space="preserve"> </w:t>
      </w:r>
    </w:p>
    <w:p w14:paraId="1A1F7A3C" w14:textId="2377D96F" w:rsidR="00D500A1" w:rsidRPr="00B9358A" w:rsidRDefault="00D500A1" w:rsidP="00D500A1">
      <w:pPr>
        <w:rPr>
          <w:b/>
          <w:bCs/>
          <w:color w:val="9E6047" w:themeColor="accent3"/>
          <w:lang w:val="en-NZ"/>
        </w:rPr>
      </w:pPr>
      <w:r w:rsidRPr="00B9358A">
        <w:rPr>
          <w:b/>
          <w:bCs/>
          <w:color w:val="9E6047" w:themeColor="accent3"/>
          <w:lang w:val="en-NZ"/>
        </w:rPr>
        <w:t>Inclusion of patient experience journey interviews</w:t>
      </w:r>
    </w:p>
    <w:p w14:paraId="44A11B1A" w14:textId="3552F88D" w:rsidR="00D500A1" w:rsidRPr="00D500A1" w:rsidRDefault="00D500A1" w:rsidP="00D500A1">
      <w:pPr>
        <w:rPr>
          <w:iCs/>
        </w:rPr>
      </w:pPr>
      <w:r w:rsidRPr="00D500A1">
        <w:rPr>
          <w:iCs/>
        </w:rPr>
        <w:t xml:space="preserve">Yarns with Aboriginal and Torres Strait Islander community members and health service staff were used to generate data on what is valued in health </w:t>
      </w:r>
      <w:r w:rsidR="006F1AB3">
        <w:rPr>
          <w:iCs/>
        </w:rPr>
        <w:t>service design and delivery</w:t>
      </w:r>
      <w:r w:rsidRPr="00D500A1">
        <w:rPr>
          <w:iCs/>
        </w:rPr>
        <w:t>, and what ‘good’ health systems and service delivery looks like. To ensure a diverse range of perspectives, the yarning method was adapted to a patient experience journey interview. This provided an additional way to generate more in-depth information about the experiences of people in ‘hard-to-reach’ groups or those with complex needs.</w:t>
      </w:r>
    </w:p>
    <w:p w14:paraId="73997CF9" w14:textId="77777777" w:rsidR="00D500A1" w:rsidRPr="00B9358A" w:rsidRDefault="00D500A1" w:rsidP="00D500A1">
      <w:pPr>
        <w:rPr>
          <w:b/>
          <w:bCs/>
          <w:color w:val="9E6047" w:themeColor="accent3"/>
          <w:lang w:val="en-NZ"/>
        </w:rPr>
      </w:pPr>
      <w:r w:rsidRPr="00B9358A">
        <w:rPr>
          <w:b/>
          <w:bCs/>
          <w:color w:val="9E6047" w:themeColor="accent3"/>
          <w:lang w:val="en-NZ"/>
        </w:rPr>
        <w:t>Adapting the CA4C workshops</w:t>
      </w:r>
    </w:p>
    <w:p w14:paraId="625C5610" w14:textId="77777777" w:rsidR="00D500A1" w:rsidRPr="00D500A1" w:rsidRDefault="00D500A1" w:rsidP="00D500A1">
      <w:r w:rsidRPr="00D500A1">
        <w:t>In seeking knowledge about the priorities for evaluation partners at different levels of the health system and how improvements for change could be created and actioned to meet their goals and aspirations, the plan was to facilitate regular participatory workshops for partners and other organisations to come together, share and learn. However, the planned level of participation through workshops and networking forums was not feasible in the pandemic environment. Instead, the workshops were adapted to online workshops. In Cycle 3 these were further adapted to include participants from across the evaluation sites, rather than site-specific workshops.</w:t>
      </w:r>
    </w:p>
    <w:p w14:paraId="0B5E9C87" w14:textId="77777777" w:rsidR="00D500A1" w:rsidRPr="00B9358A" w:rsidRDefault="00D500A1" w:rsidP="00D500A1">
      <w:pPr>
        <w:rPr>
          <w:b/>
          <w:bCs/>
          <w:color w:val="9E6047" w:themeColor="accent3"/>
          <w:lang w:val="en-NZ"/>
        </w:rPr>
      </w:pPr>
      <w:r w:rsidRPr="00B9358A">
        <w:rPr>
          <w:b/>
          <w:bCs/>
          <w:color w:val="9E6047" w:themeColor="accent3"/>
          <w:lang w:val="en-NZ"/>
        </w:rPr>
        <w:t>Adapting the contribution analysis to suit a flexible and multi-programmed investment like the IAHP</w:t>
      </w:r>
    </w:p>
    <w:p w14:paraId="47A78C0F" w14:textId="61F9CFBD" w:rsidR="00D500A1" w:rsidRPr="00D500A1" w:rsidRDefault="00D500A1" w:rsidP="00D500A1">
      <w:r w:rsidRPr="00D500A1">
        <w:t xml:space="preserve">A central part of the evaluation was to assess the contribution of the IAHP and the extent of this contribution. Based on Cycle 1 findings and information gathered about the IAHP, it was not possible to quantitatively follow the flow of money from the funder to specific activities (outputs) at a health service level, and to changes in the PHC system and the health and well-being of Aboriginal and Torres Strait Islander people (health outcomes). This was, primarily, limited by two factors: (1) the inability to source funding data at the health service or evaluation site level, and (2) had this data been available, the difficulty in attributing </w:t>
      </w:r>
      <w:r w:rsidR="000F7ACE">
        <w:t>PHC Program</w:t>
      </w:r>
      <w:r w:rsidRPr="00D500A1">
        <w:t xml:space="preserve"> funding data, which can be spent on a wide range of activities and supports, to specific health service interventions, particularly when the program represents one of many funding streams into a health service.</w:t>
      </w:r>
    </w:p>
    <w:p w14:paraId="01B4EAF4" w14:textId="304530E5" w:rsidR="00D500A1" w:rsidRPr="00D500A1" w:rsidRDefault="00D500A1" w:rsidP="00D500A1">
      <w:r w:rsidRPr="00D500A1">
        <w:t>It was clear that the contribution analysis had to rely on qualitative data and a more narrative approach to assessing IAHP’s intervention was needed. Moreover, it was necessary to conduct the assessment of IAHP in a way that was anchored in Aboriginal and Torres Strait Islander values and aspirations. To account for these requirements, the evaluation applied a grounded theory approach to contribution analysis, which drew on both quantitative and qualitative data, were grounded in community values, and involved the development of contribution cases that were built up and validated through a step-by-step method of testing and sense-checking with participants and a review panel.</w:t>
      </w:r>
      <w:r w:rsidR="00AA35E2">
        <w:t xml:space="preserve"> </w:t>
      </w:r>
      <w:r w:rsidRPr="00D500A1">
        <w:t xml:space="preserve"> </w:t>
      </w:r>
    </w:p>
    <w:p w14:paraId="1681C57A" w14:textId="77777777" w:rsidR="00B9358A" w:rsidRDefault="00B9358A">
      <w:pPr>
        <w:jc w:val="left"/>
        <w:rPr>
          <w:b/>
          <w:bCs/>
          <w:color w:val="9E6047" w:themeColor="accent3"/>
          <w:lang w:val="en-NZ"/>
        </w:rPr>
      </w:pPr>
      <w:r>
        <w:rPr>
          <w:b/>
          <w:bCs/>
          <w:color w:val="9E6047" w:themeColor="accent3"/>
          <w:lang w:val="en-NZ"/>
        </w:rPr>
        <w:br w:type="page"/>
      </w:r>
    </w:p>
    <w:p w14:paraId="14A63B68" w14:textId="0B4CA5D0" w:rsidR="00D500A1" w:rsidRPr="00B9358A" w:rsidRDefault="00D500A1" w:rsidP="00D500A1">
      <w:pPr>
        <w:rPr>
          <w:b/>
          <w:bCs/>
          <w:color w:val="9E6047" w:themeColor="accent3"/>
          <w:lang w:val="en-NZ"/>
        </w:rPr>
      </w:pPr>
      <w:r w:rsidRPr="00B9358A">
        <w:rPr>
          <w:b/>
          <w:bCs/>
          <w:color w:val="9E6047" w:themeColor="accent3"/>
          <w:lang w:val="en-NZ"/>
        </w:rPr>
        <w:lastRenderedPageBreak/>
        <w:t>Re-purposing of Objective 4</w:t>
      </w:r>
    </w:p>
    <w:p w14:paraId="4841B111" w14:textId="528B08B4" w:rsidR="00D500A1" w:rsidRPr="00D500A1" w:rsidRDefault="00D500A1" w:rsidP="00D500A1">
      <w:r w:rsidRPr="00D500A1">
        <w:t>Objective 4 of the evaluation required the evaluation ‘</w:t>
      </w:r>
      <w:r w:rsidRPr="00D500A1">
        <w:rPr>
          <w:i/>
          <w:iCs/>
        </w:rPr>
        <w:t xml:space="preserve">to recommend an approach for monitoring and evaluation over the longer term (5-10+ years). This is to include consideration of developing a future accountability framework that measures the public value and health outcomes of the Australian Government’s Aboriginal and Torres Strait Islander-specific PHC investment’ </w:t>
      </w:r>
      <w:r w:rsidRPr="00D500A1">
        <w:rPr>
          <w:i/>
          <w:iCs/>
        </w:rPr>
        <w:fldChar w:fldCharType="begin"/>
      </w:r>
      <w:r w:rsidR="00F8760E">
        <w:rPr>
          <w:i/>
          <w:iCs/>
        </w:rPr>
        <w:instrText xml:space="preserve"> ADDIN ZOTERO_ITEM CSL_CITATION {"citationID":"X9EIARNO","properties":{"formattedCitation":"(Bailey et al., 2018, p. 38)","plainCitation":"(Bailey et al., 2018, p. 38)","noteIndex":0},"citationItems":[{"id":3736,"uris":["http://zotero.org/groups/5010721/items/C6EF9VZ3",["http://zotero.org/groups/5010721/items/C6EF9VZ3"],["http://zotero.org/groups/5010721/items/C6EF9VZ3",["http://zotero.org/groups/5010721/items/C6EF9VZ3"]]],"itemData":{"id":3736,"type":"report","event-place":"Wellington","genre":"Monitoring and Design Report","publisher":"Allen + Clarke. Funded by the Australian Government","publisher-place":"Wellington","title":"Evaluation of the Australian Government’s Investment in Aboriginal and Torres Strait Islander Primary Health Care through the Indigenous Australians’ Health Programme: Monitoring and Evaluation Design Report","author":[{"family":"Bailey","given":"Robyn"},{"family":"Hardie-Boys","given":"Ned"},{"family":"Carr","given":"Julia"},{"family":"Moodie","given":"D"},{"family":"McLean","given":"G"},{"family":"Scanlen","given":"A"},{"family":"Bainbridge","given":"Roxanne"},{"family":"Monaghan","given":"Robert"},{"family":"Walke","given":"Emma"},{"family":"Bailie","given":"Ross"}],"issued":{"date-parts":[["2018"]]}},"locator":"38","label":"page"}],"schema":"https://github.com/citation-style-language/schema/raw/master/csl-citation.json"} </w:instrText>
      </w:r>
      <w:r w:rsidRPr="00D500A1">
        <w:rPr>
          <w:i/>
          <w:iCs/>
        </w:rPr>
        <w:fldChar w:fldCharType="separate"/>
      </w:r>
      <w:r w:rsidRPr="00D500A1">
        <w:t>(Bailey et al., 2018, p. 38)</w:t>
      </w:r>
      <w:r w:rsidRPr="00D500A1">
        <w:rPr>
          <w:lang w:val="en-NZ"/>
        </w:rPr>
        <w:fldChar w:fldCharType="end"/>
      </w:r>
      <w:r w:rsidRPr="00D500A1">
        <w:t>.</w:t>
      </w:r>
    </w:p>
    <w:p w14:paraId="72A777CA" w14:textId="77777777" w:rsidR="00326077" w:rsidRDefault="00D500A1" w:rsidP="00D500A1">
      <w:pPr>
        <w:rPr>
          <w:vertAlign w:val="superscript"/>
        </w:rPr>
      </w:pPr>
      <w:r w:rsidRPr="00D500A1">
        <w:t xml:space="preserve">In May 2022, the </w:t>
      </w:r>
      <w:r w:rsidR="00937AE7">
        <w:t xml:space="preserve">department </w:t>
      </w:r>
      <w:r w:rsidRPr="00D500A1">
        <w:t>decided that it was no longer appropriate or necessary for the evaluation to address Objective 4. The department indicated that there was other work progressing aligned to this objective.</w:t>
      </w:r>
      <w:r w:rsidRPr="00D500A1">
        <w:rPr>
          <w:vertAlign w:val="superscript"/>
        </w:rPr>
        <w:footnoteReference w:id="14"/>
      </w:r>
      <w:r w:rsidRPr="00D500A1">
        <w:rPr>
          <w:vertAlign w:val="superscript"/>
        </w:rPr>
        <w:t xml:space="preserve"> </w:t>
      </w:r>
    </w:p>
    <w:p w14:paraId="3543B6FC" w14:textId="2A5DFC5E" w:rsidR="00D500A1" w:rsidRPr="00D500A1" w:rsidRDefault="00D500A1" w:rsidP="00D500A1">
      <w:r w:rsidRPr="00D500A1">
        <w:t xml:space="preserve">As a result, work planned under Objective 4 was re-purposed to design a framework that incorporated the care processes and the identification of elements needed to support integrated care models that are valued by Aboriginal and Torres Strait Islander people in comprehensive PHC. This included developing a model that reflects the identified foundations, principles, processes and elements of value-based integrated care for Aboriginal and Torres Strait Islander people. </w:t>
      </w:r>
    </w:p>
    <w:p w14:paraId="7B9E6E00" w14:textId="16FA91E2" w:rsidR="006B1BEA" w:rsidRDefault="006B1BEA" w:rsidP="0035030F">
      <w:pPr>
        <w:pStyle w:val="Heading2"/>
      </w:pPr>
      <w:bookmarkStart w:id="75" w:name="_Toc137208893"/>
      <w:r>
        <w:t>Data collection, recording and storage</w:t>
      </w:r>
      <w:bookmarkEnd w:id="75"/>
      <w:r>
        <w:t xml:space="preserve"> </w:t>
      </w:r>
    </w:p>
    <w:p w14:paraId="07EEF947" w14:textId="5A8EE209" w:rsidR="006B1BEA" w:rsidRDefault="006B1BEA" w:rsidP="006B1BEA">
      <w:pPr>
        <w:rPr>
          <w:lang w:val="en-NZ"/>
        </w:rPr>
      </w:pPr>
      <w:r w:rsidRPr="000B2106">
        <w:rPr>
          <w:lang w:val="en-NZ"/>
        </w:rPr>
        <w:t xml:space="preserve">All primary qualitative data </w:t>
      </w:r>
      <w:r w:rsidR="00F90CF6">
        <w:rPr>
          <w:lang w:val="en-NZ"/>
        </w:rPr>
        <w:t xml:space="preserve">and </w:t>
      </w:r>
      <w:r w:rsidR="00DC0D34">
        <w:rPr>
          <w:lang w:val="en-NZ"/>
        </w:rPr>
        <w:t>quantitative data</w:t>
      </w:r>
      <w:r w:rsidR="00EA4698">
        <w:rPr>
          <w:lang w:val="en-NZ"/>
        </w:rPr>
        <w:t>s</w:t>
      </w:r>
      <w:r w:rsidR="00DC0D34">
        <w:rPr>
          <w:lang w:val="en-NZ"/>
        </w:rPr>
        <w:t>et</w:t>
      </w:r>
      <w:r w:rsidR="00EA4698">
        <w:rPr>
          <w:lang w:val="en-NZ"/>
        </w:rPr>
        <w:t xml:space="preserve"> extraction</w:t>
      </w:r>
      <w:r w:rsidR="00DC0D34">
        <w:rPr>
          <w:lang w:val="en-NZ"/>
        </w:rPr>
        <w:t xml:space="preserve">s </w:t>
      </w:r>
      <w:r w:rsidRPr="000B2106">
        <w:rPr>
          <w:lang w:val="en-NZ"/>
        </w:rPr>
        <w:t xml:space="preserve">were confidential to the evaluation team. As part of the secure storage of all notes and transcripts from the group yarns, interviews, and workshops, the interview recordings and transcripts were allocated a code along with the removal of identifying individual and site details. The code was only available to nominated analytical members of the evaluation team, who needed to (1) analyse the qualitative data in relation to the context and (2) ensure the reported analysis and findings does not lead to the reidentification of individuals or adversely impact on services and other organisations. When de-identified, all data </w:t>
      </w:r>
      <w:r w:rsidR="007B3B02">
        <w:rPr>
          <w:lang w:val="en-NZ"/>
        </w:rPr>
        <w:t>were</w:t>
      </w:r>
      <w:r w:rsidR="007B3B02" w:rsidRPr="000B2106">
        <w:rPr>
          <w:lang w:val="en-NZ"/>
        </w:rPr>
        <w:t xml:space="preserve"> </w:t>
      </w:r>
      <w:r w:rsidRPr="000B2106">
        <w:rPr>
          <w:lang w:val="en-NZ"/>
        </w:rPr>
        <w:t>loaded into NVivo for coding. Miro board was also used as an analytical tool, being specifically useful for system mapping exercises, high-level analysis, visualisation and online collaboration.</w:t>
      </w:r>
    </w:p>
    <w:p w14:paraId="7D4DFFE9" w14:textId="77777777" w:rsidR="006B1BEA" w:rsidRPr="006B1BEA" w:rsidRDefault="006B1BEA" w:rsidP="006B1BEA">
      <w:pPr>
        <w:rPr>
          <w:lang w:val="en-NZ"/>
        </w:rPr>
      </w:pPr>
    </w:p>
    <w:p w14:paraId="5C42E78F" w14:textId="77777777" w:rsidR="001402D7" w:rsidRDefault="001402D7" w:rsidP="000B2106">
      <w:pPr>
        <w:rPr>
          <w:lang w:val="en-NZ"/>
        </w:rPr>
      </w:pPr>
    </w:p>
    <w:p w14:paraId="5FF33B8F" w14:textId="0DBF17A7" w:rsidR="00CC39EB" w:rsidRDefault="00CC39EB" w:rsidP="00CC39EB"/>
    <w:p w14:paraId="1F06D459" w14:textId="66693D65" w:rsidR="00333094" w:rsidRPr="00884FAA" w:rsidRDefault="00333094" w:rsidP="00333094">
      <w:pPr>
        <w:rPr>
          <w:noProof/>
        </w:rPr>
        <w:sectPr w:rsidR="00333094" w:rsidRPr="00884FAA" w:rsidSect="00747F51">
          <w:pgSz w:w="11909" w:h="16834" w:code="9"/>
          <w:pgMar w:top="1440" w:right="1440" w:bottom="1440" w:left="1440" w:header="720" w:footer="720" w:gutter="0"/>
          <w:cols w:space="720"/>
          <w:titlePg/>
          <w:docGrid w:linePitch="360"/>
        </w:sectPr>
      </w:pPr>
    </w:p>
    <w:bookmarkStart w:id="76" w:name="_Toc130194652"/>
    <w:bookmarkStart w:id="77" w:name="_Toc130802261"/>
    <w:bookmarkStart w:id="78" w:name="_Toc131415153"/>
    <w:bookmarkStart w:id="79" w:name="_Toc131490309"/>
    <w:bookmarkStart w:id="80" w:name="_Ref131611373"/>
    <w:bookmarkStart w:id="81" w:name="_Toc137208894"/>
    <w:bookmarkEnd w:id="76"/>
    <w:bookmarkEnd w:id="77"/>
    <w:bookmarkEnd w:id="78"/>
    <w:bookmarkEnd w:id="79"/>
    <w:p w14:paraId="3D63BFC3" w14:textId="347849AD" w:rsidR="00AE38CC" w:rsidRDefault="007D52B5" w:rsidP="003D4A7C">
      <w:pPr>
        <w:pStyle w:val="Heading1"/>
      </w:pPr>
      <w:r>
        <w:rPr>
          <w:noProof/>
        </w:rPr>
        <w:lastRenderedPageBreak/>
        <mc:AlternateContent>
          <mc:Choice Requires="wpg">
            <w:drawing>
              <wp:anchor distT="0" distB="0" distL="114300" distR="114300" simplePos="0" relativeHeight="251658270" behindDoc="1" locked="1" layoutInCell="1" allowOverlap="0" wp14:anchorId="2812BBE5" wp14:editId="41FD29BB">
                <wp:simplePos x="0" y="0"/>
                <wp:positionH relativeFrom="page">
                  <wp:posOffset>805815</wp:posOffset>
                </wp:positionH>
                <wp:positionV relativeFrom="page">
                  <wp:posOffset>1485900</wp:posOffset>
                </wp:positionV>
                <wp:extent cx="5767070" cy="8093075"/>
                <wp:effectExtent l="19050" t="19050" r="43180" b="41275"/>
                <wp:wrapNone/>
                <wp:docPr id="1984713074" name="Group 198471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67070" cy="8093075"/>
                          <a:chOff x="0" y="-66568"/>
                          <a:chExt cx="7716520" cy="8096171"/>
                        </a:xfrm>
                      </wpg:grpSpPr>
                      <wps:wsp>
                        <wps:cNvPr id="299929687" name="Rectangle 5"/>
                        <wps:cNvSpPr/>
                        <wps:spPr>
                          <a:xfrm>
                            <a:off x="0" y="212987"/>
                            <a:ext cx="7716520" cy="7816616"/>
                          </a:xfrm>
                          <a:custGeom>
                            <a:avLst/>
                            <a:gdLst>
                              <a:gd name="connsiteX0" fmla="*/ 0 w 7716520"/>
                              <a:gd name="connsiteY0" fmla="*/ 0 h 7816616"/>
                              <a:gd name="connsiteX1" fmla="*/ 643043 w 7716520"/>
                              <a:gd name="connsiteY1" fmla="*/ 0 h 7816616"/>
                              <a:gd name="connsiteX2" fmla="*/ 1363252 w 7716520"/>
                              <a:gd name="connsiteY2" fmla="*/ 0 h 7816616"/>
                              <a:gd name="connsiteX3" fmla="*/ 2083460 w 7716520"/>
                              <a:gd name="connsiteY3" fmla="*/ 0 h 7816616"/>
                              <a:gd name="connsiteX4" fmla="*/ 2880834 w 7716520"/>
                              <a:gd name="connsiteY4" fmla="*/ 0 h 7816616"/>
                              <a:gd name="connsiteX5" fmla="*/ 3523877 w 7716520"/>
                              <a:gd name="connsiteY5" fmla="*/ 0 h 7816616"/>
                              <a:gd name="connsiteX6" fmla="*/ 4244086 w 7716520"/>
                              <a:gd name="connsiteY6" fmla="*/ 0 h 7816616"/>
                              <a:gd name="connsiteX7" fmla="*/ 4887129 w 7716520"/>
                              <a:gd name="connsiteY7" fmla="*/ 0 h 7816616"/>
                              <a:gd name="connsiteX8" fmla="*/ 5530173 w 7716520"/>
                              <a:gd name="connsiteY8" fmla="*/ 0 h 7816616"/>
                              <a:gd name="connsiteX9" fmla="*/ 6173216 w 7716520"/>
                              <a:gd name="connsiteY9" fmla="*/ 0 h 7816616"/>
                              <a:gd name="connsiteX10" fmla="*/ 6584764 w 7716520"/>
                              <a:gd name="connsiteY10" fmla="*/ 0 h 7816616"/>
                              <a:gd name="connsiteX11" fmla="*/ 7716520 w 7716520"/>
                              <a:gd name="connsiteY11" fmla="*/ 0 h 7816616"/>
                              <a:gd name="connsiteX12" fmla="*/ 7716520 w 7716520"/>
                              <a:gd name="connsiteY12" fmla="*/ 416886 h 7816616"/>
                              <a:gd name="connsiteX13" fmla="*/ 7716520 w 7716520"/>
                              <a:gd name="connsiteY13" fmla="*/ 1146437 h 7816616"/>
                              <a:gd name="connsiteX14" fmla="*/ 7716520 w 7716520"/>
                              <a:gd name="connsiteY14" fmla="*/ 1719656 h 7816616"/>
                              <a:gd name="connsiteX15" fmla="*/ 7716520 w 7716520"/>
                              <a:gd name="connsiteY15" fmla="*/ 2214708 h 7816616"/>
                              <a:gd name="connsiteX16" fmla="*/ 7716520 w 7716520"/>
                              <a:gd name="connsiteY16" fmla="*/ 2631594 h 7816616"/>
                              <a:gd name="connsiteX17" fmla="*/ 7716520 w 7716520"/>
                              <a:gd name="connsiteY17" fmla="*/ 3126646 h 7816616"/>
                              <a:gd name="connsiteX18" fmla="*/ 7716520 w 7716520"/>
                              <a:gd name="connsiteY18" fmla="*/ 3621699 h 7816616"/>
                              <a:gd name="connsiteX19" fmla="*/ 7716520 w 7716520"/>
                              <a:gd name="connsiteY19" fmla="*/ 4273083 h 7816616"/>
                              <a:gd name="connsiteX20" fmla="*/ 7716520 w 7716520"/>
                              <a:gd name="connsiteY20" fmla="*/ 4924468 h 7816616"/>
                              <a:gd name="connsiteX21" fmla="*/ 7716520 w 7716520"/>
                              <a:gd name="connsiteY21" fmla="*/ 5497687 h 7816616"/>
                              <a:gd name="connsiteX22" fmla="*/ 7716520 w 7716520"/>
                              <a:gd name="connsiteY22" fmla="*/ 6305404 h 7816616"/>
                              <a:gd name="connsiteX23" fmla="*/ 7716520 w 7716520"/>
                              <a:gd name="connsiteY23" fmla="*/ 6800456 h 7816616"/>
                              <a:gd name="connsiteX24" fmla="*/ 7716520 w 7716520"/>
                              <a:gd name="connsiteY24" fmla="*/ 7816616 h 7816616"/>
                              <a:gd name="connsiteX25" fmla="*/ 7227807 w 7716520"/>
                              <a:gd name="connsiteY25" fmla="*/ 7816616 h 7816616"/>
                              <a:gd name="connsiteX26" fmla="*/ 6816259 w 7716520"/>
                              <a:gd name="connsiteY26" fmla="*/ 7816616 h 7816616"/>
                              <a:gd name="connsiteX27" fmla="*/ 6018886 w 7716520"/>
                              <a:gd name="connsiteY27" fmla="*/ 7816616 h 7816616"/>
                              <a:gd name="connsiteX28" fmla="*/ 5453007 w 7716520"/>
                              <a:gd name="connsiteY28" fmla="*/ 7816616 h 7816616"/>
                              <a:gd name="connsiteX29" fmla="*/ 4732799 w 7716520"/>
                              <a:gd name="connsiteY29" fmla="*/ 7816616 h 7816616"/>
                              <a:gd name="connsiteX30" fmla="*/ 4321251 w 7716520"/>
                              <a:gd name="connsiteY30" fmla="*/ 7816616 h 7816616"/>
                              <a:gd name="connsiteX31" fmla="*/ 3523877 w 7716520"/>
                              <a:gd name="connsiteY31" fmla="*/ 7816616 h 7816616"/>
                              <a:gd name="connsiteX32" fmla="*/ 2957999 w 7716520"/>
                              <a:gd name="connsiteY32" fmla="*/ 7816616 h 7816616"/>
                              <a:gd name="connsiteX33" fmla="*/ 2314956 w 7716520"/>
                              <a:gd name="connsiteY33" fmla="*/ 7816616 h 7816616"/>
                              <a:gd name="connsiteX34" fmla="*/ 1826243 w 7716520"/>
                              <a:gd name="connsiteY34" fmla="*/ 7816616 h 7816616"/>
                              <a:gd name="connsiteX35" fmla="*/ 1106035 w 7716520"/>
                              <a:gd name="connsiteY35" fmla="*/ 7816616 h 7816616"/>
                              <a:gd name="connsiteX36" fmla="*/ 0 w 7716520"/>
                              <a:gd name="connsiteY36" fmla="*/ 7816616 h 7816616"/>
                              <a:gd name="connsiteX37" fmla="*/ 0 w 7716520"/>
                              <a:gd name="connsiteY37" fmla="*/ 7243397 h 7816616"/>
                              <a:gd name="connsiteX38" fmla="*/ 0 w 7716520"/>
                              <a:gd name="connsiteY38" fmla="*/ 6826511 h 7816616"/>
                              <a:gd name="connsiteX39" fmla="*/ 0 w 7716520"/>
                              <a:gd name="connsiteY39" fmla="*/ 6096960 h 7816616"/>
                              <a:gd name="connsiteX40" fmla="*/ 0 w 7716520"/>
                              <a:gd name="connsiteY40" fmla="*/ 5445576 h 7816616"/>
                              <a:gd name="connsiteX41" fmla="*/ 0 w 7716520"/>
                              <a:gd name="connsiteY41" fmla="*/ 4716025 h 7816616"/>
                              <a:gd name="connsiteX42" fmla="*/ 0 w 7716520"/>
                              <a:gd name="connsiteY42" fmla="*/ 4064640 h 7816616"/>
                              <a:gd name="connsiteX43" fmla="*/ 0 w 7716520"/>
                              <a:gd name="connsiteY43" fmla="*/ 3335089 h 7816616"/>
                              <a:gd name="connsiteX44" fmla="*/ 0 w 7716520"/>
                              <a:gd name="connsiteY44" fmla="*/ 2605539 h 7816616"/>
                              <a:gd name="connsiteX45" fmla="*/ 0 w 7716520"/>
                              <a:gd name="connsiteY45" fmla="*/ 1797822 h 7816616"/>
                              <a:gd name="connsiteX46" fmla="*/ 0 w 7716520"/>
                              <a:gd name="connsiteY46" fmla="*/ 1380935 h 7816616"/>
                              <a:gd name="connsiteX47" fmla="*/ 0 w 7716520"/>
                              <a:gd name="connsiteY47" fmla="*/ 964049 h 7816616"/>
                              <a:gd name="connsiteX48" fmla="*/ 0 w 7716520"/>
                              <a:gd name="connsiteY48" fmla="*/ 0 h 7816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7716520" h="7816616" fill="none" extrusionOk="0">
                                <a:moveTo>
                                  <a:pt x="0" y="0"/>
                                </a:moveTo>
                                <a:cubicBezTo>
                                  <a:pt x="207317" y="-29664"/>
                                  <a:pt x="367242" y="16692"/>
                                  <a:pt x="643043" y="0"/>
                                </a:cubicBezTo>
                                <a:cubicBezTo>
                                  <a:pt x="918844" y="-16692"/>
                                  <a:pt x="1063814" y="15489"/>
                                  <a:pt x="1363252" y="0"/>
                                </a:cubicBezTo>
                                <a:cubicBezTo>
                                  <a:pt x="1662690" y="-15489"/>
                                  <a:pt x="1822520" y="27883"/>
                                  <a:pt x="2083460" y="0"/>
                                </a:cubicBezTo>
                                <a:cubicBezTo>
                                  <a:pt x="2344400" y="-27883"/>
                                  <a:pt x="2586250" y="27104"/>
                                  <a:pt x="2880834" y="0"/>
                                </a:cubicBezTo>
                                <a:cubicBezTo>
                                  <a:pt x="3175418" y="-27104"/>
                                  <a:pt x="3378558" y="-2888"/>
                                  <a:pt x="3523877" y="0"/>
                                </a:cubicBezTo>
                                <a:cubicBezTo>
                                  <a:pt x="3669196" y="2888"/>
                                  <a:pt x="4010787" y="-11708"/>
                                  <a:pt x="4244086" y="0"/>
                                </a:cubicBezTo>
                                <a:cubicBezTo>
                                  <a:pt x="4477385" y="11708"/>
                                  <a:pt x="4686481" y="15007"/>
                                  <a:pt x="4887129" y="0"/>
                                </a:cubicBezTo>
                                <a:cubicBezTo>
                                  <a:pt x="5087777" y="-15007"/>
                                  <a:pt x="5305657" y="26720"/>
                                  <a:pt x="5530173" y="0"/>
                                </a:cubicBezTo>
                                <a:cubicBezTo>
                                  <a:pt x="5754689" y="-26720"/>
                                  <a:pt x="5906530" y="19564"/>
                                  <a:pt x="6173216" y="0"/>
                                </a:cubicBezTo>
                                <a:cubicBezTo>
                                  <a:pt x="6439902" y="-19564"/>
                                  <a:pt x="6403467" y="-9779"/>
                                  <a:pt x="6584764" y="0"/>
                                </a:cubicBezTo>
                                <a:cubicBezTo>
                                  <a:pt x="6766061" y="9779"/>
                                  <a:pt x="7191618" y="-26769"/>
                                  <a:pt x="7716520" y="0"/>
                                </a:cubicBezTo>
                                <a:cubicBezTo>
                                  <a:pt x="7696650" y="91661"/>
                                  <a:pt x="7714187" y="298946"/>
                                  <a:pt x="7716520" y="416886"/>
                                </a:cubicBezTo>
                                <a:cubicBezTo>
                                  <a:pt x="7718853" y="534826"/>
                                  <a:pt x="7706305" y="816380"/>
                                  <a:pt x="7716520" y="1146437"/>
                                </a:cubicBezTo>
                                <a:cubicBezTo>
                                  <a:pt x="7726735" y="1476494"/>
                                  <a:pt x="7708091" y="1568773"/>
                                  <a:pt x="7716520" y="1719656"/>
                                </a:cubicBezTo>
                                <a:cubicBezTo>
                                  <a:pt x="7724949" y="1870539"/>
                                  <a:pt x="7702543" y="2090569"/>
                                  <a:pt x="7716520" y="2214708"/>
                                </a:cubicBezTo>
                                <a:cubicBezTo>
                                  <a:pt x="7730497" y="2338847"/>
                                  <a:pt x="7726336" y="2445553"/>
                                  <a:pt x="7716520" y="2631594"/>
                                </a:cubicBezTo>
                                <a:cubicBezTo>
                                  <a:pt x="7706704" y="2817635"/>
                                  <a:pt x="7711973" y="3015285"/>
                                  <a:pt x="7716520" y="3126646"/>
                                </a:cubicBezTo>
                                <a:cubicBezTo>
                                  <a:pt x="7721067" y="3238007"/>
                                  <a:pt x="7719588" y="3508484"/>
                                  <a:pt x="7716520" y="3621699"/>
                                </a:cubicBezTo>
                                <a:cubicBezTo>
                                  <a:pt x="7713452" y="3734914"/>
                                  <a:pt x="7712209" y="4068954"/>
                                  <a:pt x="7716520" y="4273083"/>
                                </a:cubicBezTo>
                                <a:cubicBezTo>
                                  <a:pt x="7720831" y="4477212"/>
                                  <a:pt x="7702791" y="4780627"/>
                                  <a:pt x="7716520" y="4924468"/>
                                </a:cubicBezTo>
                                <a:cubicBezTo>
                                  <a:pt x="7730249" y="5068309"/>
                                  <a:pt x="7727321" y="5220334"/>
                                  <a:pt x="7716520" y="5497687"/>
                                </a:cubicBezTo>
                                <a:cubicBezTo>
                                  <a:pt x="7705719" y="5775040"/>
                                  <a:pt x="7723498" y="5922525"/>
                                  <a:pt x="7716520" y="6305404"/>
                                </a:cubicBezTo>
                                <a:cubicBezTo>
                                  <a:pt x="7709542" y="6688283"/>
                                  <a:pt x="7721737" y="6689303"/>
                                  <a:pt x="7716520" y="6800456"/>
                                </a:cubicBezTo>
                                <a:cubicBezTo>
                                  <a:pt x="7711303" y="6911609"/>
                                  <a:pt x="7707145" y="7383331"/>
                                  <a:pt x="7716520" y="7816616"/>
                                </a:cubicBezTo>
                                <a:cubicBezTo>
                                  <a:pt x="7489457" y="7832372"/>
                                  <a:pt x="7407955" y="7828180"/>
                                  <a:pt x="7227807" y="7816616"/>
                                </a:cubicBezTo>
                                <a:cubicBezTo>
                                  <a:pt x="7047659" y="7805052"/>
                                  <a:pt x="6993063" y="7836120"/>
                                  <a:pt x="6816259" y="7816616"/>
                                </a:cubicBezTo>
                                <a:cubicBezTo>
                                  <a:pt x="6639455" y="7797112"/>
                                  <a:pt x="6235215" y="7804672"/>
                                  <a:pt x="6018886" y="7816616"/>
                                </a:cubicBezTo>
                                <a:cubicBezTo>
                                  <a:pt x="5802557" y="7828560"/>
                                  <a:pt x="5673891" y="7828096"/>
                                  <a:pt x="5453007" y="7816616"/>
                                </a:cubicBezTo>
                                <a:cubicBezTo>
                                  <a:pt x="5232123" y="7805136"/>
                                  <a:pt x="4993376" y="7809199"/>
                                  <a:pt x="4732799" y="7816616"/>
                                </a:cubicBezTo>
                                <a:cubicBezTo>
                                  <a:pt x="4472222" y="7824033"/>
                                  <a:pt x="4423614" y="7833633"/>
                                  <a:pt x="4321251" y="7816616"/>
                                </a:cubicBezTo>
                                <a:cubicBezTo>
                                  <a:pt x="4218888" y="7799599"/>
                                  <a:pt x="3900499" y="7799281"/>
                                  <a:pt x="3523877" y="7816616"/>
                                </a:cubicBezTo>
                                <a:cubicBezTo>
                                  <a:pt x="3147255" y="7833951"/>
                                  <a:pt x="3234217" y="7826422"/>
                                  <a:pt x="2957999" y="7816616"/>
                                </a:cubicBezTo>
                                <a:cubicBezTo>
                                  <a:pt x="2681781" y="7806810"/>
                                  <a:pt x="2579267" y="7814315"/>
                                  <a:pt x="2314956" y="7816616"/>
                                </a:cubicBezTo>
                                <a:cubicBezTo>
                                  <a:pt x="2050645" y="7818917"/>
                                  <a:pt x="1979407" y="7832857"/>
                                  <a:pt x="1826243" y="7816616"/>
                                </a:cubicBezTo>
                                <a:cubicBezTo>
                                  <a:pt x="1673079" y="7800375"/>
                                  <a:pt x="1460458" y="7788274"/>
                                  <a:pt x="1106035" y="7816616"/>
                                </a:cubicBezTo>
                                <a:cubicBezTo>
                                  <a:pt x="751612" y="7844958"/>
                                  <a:pt x="471993" y="7853141"/>
                                  <a:pt x="0" y="7816616"/>
                                </a:cubicBezTo>
                                <a:cubicBezTo>
                                  <a:pt x="18014" y="7530792"/>
                                  <a:pt x="17289" y="7360542"/>
                                  <a:pt x="0" y="7243397"/>
                                </a:cubicBezTo>
                                <a:cubicBezTo>
                                  <a:pt x="-17289" y="7126252"/>
                                  <a:pt x="5534" y="7019561"/>
                                  <a:pt x="0" y="6826511"/>
                                </a:cubicBezTo>
                                <a:cubicBezTo>
                                  <a:pt x="-5534" y="6633461"/>
                                  <a:pt x="-3958" y="6374017"/>
                                  <a:pt x="0" y="6096960"/>
                                </a:cubicBezTo>
                                <a:cubicBezTo>
                                  <a:pt x="3958" y="5819903"/>
                                  <a:pt x="28815" y="5663946"/>
                                  <a:pt x="0" y="5445576"/>
                                </a:cubicBezTo>
                                <a:cubicBezTo>
                                  <a:pt x="-28815" y="5227206"/>
                                  <a:pt x="-1214" y="5045388"/>
                                  <a:pt x="0" y="4716025"/>
                                </a:cubicBezTo>
                                <a:cubicBezTo>
                                  <a:pt x="1214" y="4386662"/>
                                  <a:pt x="3717" y="4332217"/>
                                  <a:pt x="0" y="4064640"/>
                                </a:cubicBezTo>
                                <a:cubicBezTo>
                                  <a:pt x="-3717" y="3797063"/>
                                  <a:pt x="13811" y="3681345"/>
                                  <a:pt x="0" y="3335089"/>
                                </a:cubicBezTo>
                                <a:cubicBezTo>
                                  <a:pt x="-13811" y="2988833"/>
                                  <a:pt x="-36368" y="2809733"/>
                                  <a:pt x="0" y="2605539"/>
                                </a:cubicBezTo>
                                <a:cubicBezTo>
                                  <a:pt x="36368" y="2401345"/>
                                  <a:pt x="18926" y="2074122"/>
                                  <a:pt x="0" y="1797822"/>
                                </a:cubicBezTo>
                                <a:cubicBezTo>
                                  <a:pt x="-18926" y="1521522"/>
                                  <a:pt x="-6221" y="1507398"/>
                                  <a:pt x="0" y="1380935"/>
                                </a:cubicBezTo>
                                <a:cubicBezTo>
                                  <a:pt x="6221" y="1254472"/>
                                  <a:pt x="-1901" y="1075313"/>
                                  <a:pt x="0" y="964049"/>
                                </a:cubicBezTo>
                                <a:cubicBezTo>
                                  <a:pt x="1901" y="852785"/>
                                  <a:pt x="-1811" y="335578"/>
                                  <a:pt x="0" y="0"/>
                                </a:cubicBezTo>
                                <a:close/>
                              </a:path>
                              <a:path w="7716520" h="7816616"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10470" y="254189"/>
                                  <a:pt x="7726437" y="439430"/>
                                  <a:pt x="7716520" y="573219"/>
                                </a:cubicBezTo>
                                <a:cubicBezTo>
                                  <a:pt x="7706603" y="707008"/>
                                  <a:pt x="7717535" y="804039"/>
                                  <a:pt x="7716520" y="990105"/>
                                </a:cubicBezTo>
                                <a:cubicBezTo>
                                  <a:pt x="7715505" y="1176171"/>
                                  <a:pt x="7708489" y="1343554"/>
                                  <a:pt x="7716520" y="1641489"/>
                                </a:cubicBezTo>
                                <a:cubicBezTo>
                                  <a:pt x="7724551" y="1939424"/>
                                  <a:pt x="7748394" y="2145964"/>
                                  <a:pt x="7716520" y="2292874"/>
                                </a:cubicBezTo>
                                <a:cubicBezTo>
                                  <a:pt x="7684646" y="2439785"/>
                                  <a:pt x="7707118" y="2619979"/>
                                  <a:pt x="7716520" y="2944259"/>
                                </a:cubicBezTo>
                                <a:cubicBezTo>
                                  <a:pt x="7725922" y="3268540"/>
                                  <a:pt x="7744588" y="3419163"/>
                                  <a:pt x="7716520" y="3673810"/>
                                </a:cubicBezTo>
                                <a:cubicBezTo>
                                  <a:pt x="7688452" y="3928457"/>
                                  <a:pt x="7704859" y="4172459"/>
                                  <a:pt x="7716520" y="4403360"/>
                                </a:cubicBezTo>
                                <a:cubicBezTo>
                                  <a:pt x="7728182" y="4634261"/>
                                  <a:pt x="7743193" y="4778601"/>
                                  <a:pt x="7716520" y="5132911"/>
                                </a:cubicBezTo>
                                <a:cubicBezTo>
                                  <a:pt x="7689847" y="5487221"/>
                                  <a:pt x="7701947" y="5380115"/>
                                  <a:pt x="7716520" y="5549797"/>
                                </a:cubicBezTo>
                                <a:cubicBezTo>
                                  <a:pt x="7731093" y="5719479"/>
                                  <a:pt x="7702427" y="5939166"/>
                                  <a:pt x="7716520" y="6044850"/>
                                </a:cubicBezTo>
                                <a:cubicBezTo>
                                  <a:pt x="7730613" y="6150534"/>
                                  <a:pt x="7721061" y="6607047"/>
                                  <a:pt x="7716520" y="6774401"/>
                                </a:cubicBezTo>
                                <a:cubicBezTo>
                                  <a:pt x="7711979" y="6941755"/>
                                  <a:pt x="7709350" y="7591988"/>
                                  <a:pt x="7716520" y="7816616"/>
                                </a:cubicBezTo>
                                <a:cubicBezTo>
                                  <a:pt x="7553740" y="7830308"/>
                                  <a:pt x="7367771" y="7808947"/>
                                  <a:pt x="7227807" y="7816616"/>
                                </a:cubicBezTo>
                                <a:cubicBezTo>
                                  <a:pt x="7087843" y="7824285"/>
                                  <a:pt x="6967886" y="7823156"/>
                                  <a:pt x="6816259" y="7816616"/>
                                </a:cubicBezTo>
                                <a:cubicBezTo>
                                  <a:pt x="6664632" y="7810076"/>
                                  <a:pt x="6517381" y="7820364"/>
                                  <a:pt x="6404712" y="7816616"/>
                                </a:cubicBezTo>
                                <a:cubicBezTo>
                                  <a:pt x="6292043" y="7812868"/>
                                  <a:pt x="6076066" y="7848311"/>
                                  <a:pt x="5761668" y="7816616"/>
                                </a:cubicBezTo>
                                <a:cubicBezTo>
                                  <a:pt x="5447270" y="7784921"/>
                                  <a:pt x="5375274" y="7818620"/>
                                  <a:pt x="5272955" y="7816616"/>
                                </a:cubicBezTo>
                                <a:cubicBezTo>
                                  <a:pt x="5170636" y="7814612"/>
                                  <a:pt x="4883856" y="7842749"/>
                                  <a:pt x="4552747" y="7816616"/>
                                </a:cubicBezTo>
                                <a:cubicBezTo>
                                  <a:pt x="4221638" y="7790483"/>
                                  <a:pt x="4293588" y="7818095"/>
                                  <a:pt x="4064034" y="7816616"/>
                                </a:cubicBezTo>
                                <a:cubicBezTo>
                                  <a:pt x="3834480" y="7815137"/>
                                  <a:pt x="3651363" y="7804386"/>
                                  <a:pt x="3343825" y="7816616"/>
                                </a:cubicBezTo>
                                <a:cubicBezTo>
                                  <a:pt x="3036287" y="7828846"/>
                                  <a:pt x="3068733" y="7835765"/>
                                  <a:pt x="2932278" y="7816616"/>
                                </a:cubicBezTo>
                                <a:cubicBezTo>
                                  <a:pt x="2795823" y="7797467"/>
                                  <a:pt x="2537376" y="7844471"/>
                                  <a:pt x="2212069" y="7816616"/>
                                </a:cubicBezTo>
                                <a:cubicBezTo>
                                  <a:pt x="1886762" y="7788761"/>
                                  <a:pt x="1940314" y="7836678"/>
                                  <a:pt x="1723356" y="7816616"/>
                                </a:cubicBezTo>
                                <a:cubicBezTo>
                                  <a:pt x="1506398" y="7796554"/>
                                  <a:pt x="1435032" y="7830451"/>
                                  <a:pt x="1311808" y="7816616"/>
                                </a:cubicBezTo>
                                <a:cubicBezTo>
                                  <a:pt x="1188584" y="7802781"/>
                                  <a:pt x="1030566" y="7829813"/>
                                  <a:pt x="823095" y="7816616"/>
                                </a:cubicBezTo>
                                <a:cubicBezTo>
                                  <a:pt x="615624" y="7803419"/>
                                  <a:pt x="256510" y="7836440"/>
                                  <a:pt x="0" y="7816616"/>
                                </a:cubicBezTo>
                                <a:cubicBezTo>
                                  <a:pt x="23170" y="7706998"/>
                                  <a:pt x="-12783" y="7461591"/>
                                  <a:pt x="0" y="7321564"/>
                                </a:cubicBezTo>
                                <a:cubicBezTo>
                                  <a:pt x="12783" y="7181537"/>
                                  <a:pt x="9559" y="7104315"/>
                                  <a:pt x="0" y="6904677"/>
                                </a:cubicBezTo>
                                <a:cubicBezTo>
                                  <a:pt x="-9559" y="6705039"/>
                                  <a:pt x="-6802" y="6645261"/>
                                  <a:pt x="0" y="6487791"/>
                                </a:cubicBezTo>
                                <a:cubicBezTo>
                                  <a:pt x="6802" y="6330321"/>
                                  <a:pt x="33248" y="5996235"/>
                                  <a:pt x="0" y="5758240"/>
                                </a:cubicBezTo>
                                <a:cubicBezTo>
                                  <a:pt x="-33248" y="5520245"/>
                                  <a:pt x="12504" y="5457070"/>
                                  <a:pt x="0" y="5341354"/>
                                </a:cubicBezTo>
                                <a:cubicBezTo>
                                  <a:pt x="-12504" y="5225638"/>
                                  <a:pt x="16757" y="5005909"/>
                                  <a:pt x="0" y="4689970"/>
                                </a:cubicBezTo>
                                <a:cubicBezTo>
                                  <a:pt x="-16757" y="4374031"/>
                                  <a:pt x="-1605" y="4380877"/>
                                  <a:pt x="0" y="4194917"/>
                                </a:cubicBezTo>
                                <a:cubicBezTo>
                                  <a:pt x="1605" y="4008957"/>
                                  <a:pt x="-19249" y="3807878"/>
                                  <a:pt x="0" y="3543533"/>
                                </a:cubicBezTo>
                                <a:cubicBezTo>
                                  <a:pt x="19249" y="3279188"/>
                                  <a:pt x="15165" y="3106646"/>
                                  <a:pt x="0" y="2892148"/>
                                </a:cubicBezTo>
                                <a:cubicBezTo>
                                  <a:pt x="-15165" y="2677650"/>
                                  <a:pt x="-15220" y="2468659"/>
                                  <a:pt x="0" y="2240763"/>
                                </a:cubicBezTo>
                                <a:cubicBezTo>
                                  <a:pt x="15220" y="2012867"/>
                                  <a:pt x="308" y="1843315"/>
                                  <a:pt x="0" y="1589379"/>
                                </a:cubicBezTo>
                                <a:cubicBezTo>
                                  <a:pt x="-308" y="1335443"/>
                                  <a:pt x="12516" y="1265216"/>
                                  <a:pt x="0" y="1016160"/>
                                </a:cubicBezTo>
                                <a:cubicBezTo>
                                  <a:pt x="-12516" y="767104"/>
                                  <a:pt x="31935" y="466579"/>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4775643" name="Rectangle 5"/>
                        <wps:cNvSpPr/>
                        <wps:spPr>
                          <a:xfrm>
                            <a:off x="0" y="-66568"/>
                            <a:ext cx="7716520" cy="589877"/>
                          </a:xfrm>
                          <a:custGeom>
                            <a:avLst/>
                            <a:gdLst>
                              <a:gd name="connsiteX0" fmla="*/ 0 w 7716520"/>
                              <a:gd name="connsiteY0" fmla="*/ 0 h 589877"/>
                              <a:gd name="connsiteX1" fmla="*/ 411548 w 7716520"/>
                              <a:gd name="connsiteY1" fmla="*/ 0 h 589877"/>
                              <a:gd name="connsiteX2" fmla="*/ 1131756 w 7716520"/>
                              <a:gd name="connsiteY2" fmla="*/ 0 h 589877"/>
                              <a:gd name="connsiteX3" fmla="*/ 1543304 w 7716520"/>
                              <a:gd name="connsiteY3" fmla="*/ 0 h 589877"/>
                              <a:gd name="connsiteX4" fmla="*/ 2109182 w 7716520"/>
                              <a:gd name="connsiteY4" fmla="*/ 0 h 589877"/>
                              <a:gd name="connsiteX5" fmla="*/ 2906556 w 7716520"/>
                              <a:gd name="connsiteY5" fmla="*/ 0 h 589877"/>
                              <a:gd name="connsiteX6" fmla="*/ 3549599 w 7716520"/>
                              <a:gd name="connsiteY6" fmla="*/ 0 h 589877"/>
                              <a:gd name="connsiteX7" fmla="*/ 4269808 w 7716520"/>
                              <a:gd name="connsiteY7" fmla="*/ 0 h 589877"/>
                              <a:gd name="connsiteX8" fmla="*/ 4835686 w 7716520"/>
                              <a:gd name="connsiteY8" fmla="*/ 0 h 589877"/>
                              <a:gd name="connsiteX9" fmla="*/ 5478729 w 7716520"/>
                              <a:gd name="connsiteY9" fmla="*/ 0 h 589877"/>
                              <a:gd name="connsiteX10" fmla="*/ 6276103 w 7716520"/>
                              <a:gd name="connsiteY10" fmla="*/ 0 h 589877"/>
                              <a:gd name="connsiteX11" fmla="*/ 6764816 w 7716520"/>
                              <a:gd name="connsiteY11" fmla="*/ 0 h 589877"/>
                              <a:gd name="connsiteX12" fmla="*/ 7716520 w 7716520"/>
                              <a:gd name="connsiteY12" fmla="*/ 0 h 589877"/>
                              <a:gd name="connsiteX13" fmla="*/ 7716520 w 7716520"/>
                              <a:gd name="connsiteY13" fmla="*/ 589877 h 589877"/>
                              <a:gd name="connsiteX14" fmla="*/ 7150642 w 7716520"/>
                              <a:gd name="connsiteY14" fmla="*/ 589877 h 589877"/>
                              <a:gd name="connsiteX15" fmla="*/ 6739094 w 7716520"/>
                              <a:gd name="connsiteY15" fmla="*/ 589877 h 589877"/>
                              <a:gd name="connsiteX16" fmla="*/ 6096051 w 7716520"/>
                              <a:gd name="connsiteY16" fmla="*/ 589877 h 589877"/>
                              <a:gd name="connsiteX17" fmla="*/ 5607338 w 7716520"/>
                              <a:gd name="connsiteY17" fmla="*/ 589877 h 589877"/>
                              <a:gd name="connsiteX18" fmla="*/ 4964295 w 7716520"/>
                              <a:gd name="connsiteY18" fmla="*/ 589877 h 589877"/>
                              <a:gd name="connsiteX19" fmla="*/ 4321251 w 7716520"/>
                              <a:gd name="connsiteY19" fmla="*/ 589877 h 589877"/>
                              <a:gd name="connsiteX20" fmla="*/ 3678208 w 7716520"/>
                              <a:gd name="connsiteY20" fmla="*/ 589877 h 589877"/>
                              <a:gd name="connsiteX21" fmla="*/ 3035165 w 7716520"/>
                              <a:gd name="connsiteY21" fmla="*/ 589877 h 589877"/>
                              <a:gd name="connsiteX22" fmla="*/ 2469286 w 7716520"/>
                              <a:gd name="connsiteY22" fmla="*/ 589877 h 589877"/>
                              <a:gd name="connsiteX23" fmla="*/ 1749078 w 7716520"/>
                              <a:gd name="connsiteY23" fmla="*/ 589877 h 589877"/>
                              <a:gd name="connsiteX24" fmla="*/ 1106035 w 7716520"/>
                              <a:gd name="connsiteY24" fmla="*/ 589877 h 589877"/>
                              <a:gd name="connsiteX25" fmla="*/ 0 w 7716520"/>
                              <a:gd name="connsiteY25" fmla="*/ 589877 h 589877"/>
                              <a:gd name="connsiteX26" fmla="*/ 0 w 7716520"/>
                              <a:gd name="connsiteY26" fmla="*/ 0 h 5898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589877"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696499" y="281176"/>
                                  <a:pt x="7697217" y="415979"/>
                                  <a:pt x="7716520" y="589877"/>
                                </a:cubicBezTo>
                                <a:cubicBezTo>
                                  <a:pt x="7591311" y="605072"/>
                                  <a:pt x="7393685" y="597978"/>
                                  <a:pt x="7150642" y="589877"/>
                                </a:cubicBezTo>
                                <a:cubicBezTo>
                                  <a:pt x="6907599" y="581776"/>
                                  <a:pt x="6856554" y="583229"/>
                                  <a:pt x="6739094" y="589877"/>
                                </a:cubicBezTo>
                                <a:cubicBezTo>
                                  <a:pt x="6621634" y="596525"/>
                                  <a:pt x="6301086" y="585266"/>
                                  <a:pt x="6096051" y="589877"/>
                                </a:cubicBezTo>
                                <a:cubicBezTo>
                                  <a:pt x="5891016" y="594488"/>
                                  <a:pt x="5802012" y="588376"/>
                                  <a:pt x="5607338" y="589877"/>
                                </a:cubicBezTo>
                                <a:cubicBezTo>
                                  <a:pt x="5412664" y="591378"/>
                                  <a:pt x="5171691" y="613752"/>
                                  <a:pt x="4964295" y="589877"/>
                                </a:cubicBezTo>
                                <a:cubicBezTo>
                                  <a:pt x="4756899" y="566002"/>
                                  <a:pt x="4573808" y="583031"/>
                                  <a:pt x="4321251" y="589877"/>
                                </a:cubicBezTo>
                                <a:cubicBezTo>
                                  <a:pt x="4068694" y="596723"/>
                                  <a:pt x="3984045" y="595249"/>
                                  <a:pt x="3678208" y="589877"/>
                                </a:cubicBezTo>
                                <a:cubicBezTo>
                                  <a:pt x="3372371" y="584505"/>
                                  <a:pt x="3332905" y="582632"/>
                                  <a:pt x="3035165" y="589877"/>
                                </a:cubicBezTo>
                                <a:cubicBezTo>
                                  <a:pt x="2737425" y="597122"/>
                                  <a:pt x="2747562" y="578668"/>
                                  <a:pt x="2469286" y="589877"/>
                                </a:cubicBezTo>
                                <a:cubicBezTo>
                                  <a:pt x="2191010" y="601086"/>
                                  <a:pt x="2075844" y="618605"/>
                                  <a:pt x="1749078" y="589877"/>
                                </a:cubicBezTo>
                                <a:cubicBezTo>
                                  <a:pt x="1422312" y="561149"/>
                                  <a:pt x="1348848" y="619541"/>
                                  <a:pt x="1106035" y="589877"/>
                                </a:cubicBezTo>
                                <a:cubicBezTo>
                                  <a:pt x="863222" y="560213"/>
                                  <a:pt x="400036" y="553447"/>
                                  <a:pt x="0" y="589877"/>
                                </a:cubicBezTo>
                                <a:cubicBezTo>
                                  <a:pt x="-14470" y="457344"/>
                                  <a:pt x="24620" y="240758"/>
                                  <a:pt x="0" y="0"/>
                                </a:cubicBezTo>
                                <a:close/>
                              </a:path>
                              <a:path w="7716520" h="589877"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692533" y="130551"/>
                                  <a:pt x="7707151" y="342699"/>
                                  <a:pt x="7716520" y="589877"/>
                                </a:cubicBezTo>
                                <a:cubicBezTo>
                                  <a:pt x="7632413" y="590922"/>
                                  <a:pt x="7423486" y="591699"/>
                                  <a:pt x="7304972" y="589877"/>
                                </a:cubicBezTo>
                                <a:cubicBezTo>
                                  <a:pt x="7186458" y="588055"/>
                                  <a:pt x="6741738" y="615533"/>
                                  <a:pt x="6507599" y="589877"/>
                                </a:cubicBezTo>
                                <a:cubicBezTo>
                                  <a:pt x="6273460" y="564221"/>
                                  <a:pt x="6223861" y="606847"/>
                                  <a:pt x="6018886" y="589877"/>
                                </a:cubicBezTo>
                                <a:cubicBezTo>
                                  <a:pt x="5813911" y="572907"/>
                                  <a:pt x="5614415" y="613343"/>
                                  <a:pt x="5375842" y="589877"/>
                                </a:cubicBezTo>
                                <a:cubicBezTo>
                                  <a:pt x="5137269" y="566411"/>
                                  <a:pt x="4855282" y="568605"/>
                                  <a:pt x="4578469" y="589877"/>
                                </a:cubicBezTo>
                                <a:cubicBezTo>
                                  <a:pt x="4301656" y="611149"/>
                                  <a:pt x="4185888" y="602258"/>
                                  <a:pt x="3935425" y="589877"/>
                                </a:cubicBezTo>
                                <a:cubicBezTo>
                                  <a:pt x="3684962" y="577496"/>
                                  <a:pt x="3674203" y="581989"/>
                                  <a:pt x="3523877" y="589877"/>
                                </a:cubicBezTo>
                                <a:cubicBezTo>
                                  <a:pt x="3373551" y="597765"/>
                                  <a:pt x="3135346" y="581303"/>
                                  <a:pt x="3035165" y="589877"/>
                                </a:cubicBezTo>
                                <a:cubicBezTo>
                                  <a:pt x="2934984" y="598451"/>
                                  <a:pt x="2482544" y="587530"/>
                                  <a:pt x="2237791" y="589877"/>
                                </a:cubicBezTo>
                                <a:cubicBezTo>
                                  <a:pt x="1993038" y="592224"/>
                                  <a:pt x="1885635" y="614229"/>
                                  <a:pt x="1594747" y="589877"/>
                                </a:cubicBezTo>
                                <a:cubicBezTo>
                                  <a:pt x="1303859" y="565525"/>
                                  <a:pt x="1346507" y="612768"/>
                                  <a:pt x="1106035" y="589877"/>
                                </a:cubicBezTo>
                                <a:cubicBezTo>
                                  <a:pt x="865563" y="566986"/>
                                  <a:pt x="337839" y="592801"/>
                                  <a:pt x="0" y="589877"/>
                                </a:cubicBezTo>
                                <a:cubicBezTo>
                                  <a:pt x="587" y="435378"/>
                                  <a:pt x="-25750" y="243117"/>
                                  <a:pt x="0" y="0"/>
                                </a:cubicBezTo>
                                <a:close/>
                              </a:path>
                            </a:pathLst>
                          </a:custGeom>
                          <a:solidFill>
                            <a:srgbClr val="E5E97A"/>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892824" name="Rectangle 5"/>
                        <wps:cNvSpPr/>
                        <wps:spPr>
                          <a:xfrm>
                            <a:off x="0" y="470168"/>
                            <a:ext cx="7716520" cy="616598"/>
                          </a:xfrm>
                          <a:custGeom>
                            <a:avLst/>
                            <a:gdLst>
                              <a:gd name="connsiteX0" fmla="*/ 0 w 7716520"/>
                              <a:gd name="connsiteY0" fmla="*/ 0 h 616598"/>
                              <a:gd name="connsiteX1" fmla="*/ 411548 w 7716520"/>
                              <a:gd name="connsiteY1" fmla="*/ 0 h 616598"/>
                              <a:gd name="connsiteX2" fmla="*/ 1131756 w 7716520"/>
                              <a:gd name="connsiteY2" fmla="*/ 0 h 616598"/>
                              <a:gd name="connsiteX3" fmla="*/ 1543304 w 7716520"/>
                              <a:gd name="connsiteY3" fmla="*/ 0 h 616598"/>
                              <a:gd name="connsiteX4" fmla="*/ 2109182 w 7716520"/>
                              <a:gd name="connsiteY4" fmla="*/ 0 h 616598"/>
                              <a:gd name="connsiteX5" fmla="*/ 2906556 w 7716520"/>
                              <a:gd name="connsiteY5" fmla="*/ 0 h 616598"/>
                              <a:gd name="connsiteX6" fmla="*/ 3549599 w 7716520"/>
                              <a:gd name="connsiteY6" fmla="*/ 0 h 616598"/>
                              <a:gd name="connsiteX7" fmla="*/ 4269808 w 7716520"/>
                              <a:gd name="connsiteY7" fmla="*/ 0 h 616598"/>
                              <a:gd name="connsiteX8" fmla="*/ 4835686 w 7716520"/>
                              <a:gd name="connsiteY8" fmla="*/ 0 h 616598"/>
                              <a:gd name="connsiteX9" fmla="*/ 5478729 w 7716520"/>
                              <a:gd name="connsiteY9" fmla="*/ 0 h 616598"/>
                              <a:gd name="connsiteX10" fmla="*/ 6276103 w 7716520"/>
                              <a:gd name="connsiteY10" fmla="*/ 0 h 616598"/>
                              <a:gd name="connsiteX11" fmla="*/ 6764816 w 7716520"/>
                              <a:gd name="connsiteY11" fmla="*/ 0 h 616598"/>
                              <a:gd name="connsiteX12" fmla="*/ 7716520 w 7716520"/>
                              <a:gd name="connsiteY12" fmla="*/ 0 h 616598"/>
                              <a:gd name="connsiteX13" fmla="*/ 7716520 w 7716520"/>
                              <a:gd name="connsiteY13" fmla="*/ 616598 h 616598"/>
                              <a:gd name="connsiteX14" fmla="*/ 7150642 w 7716520"/>
                              <a:gd name="connsiteY14" fmla="*/ 616598 h 616598"/>
                              <a:gd name="connsiteX15" fmla="*/ 6739094 w 7716520"/>
                              <a:gd name="connsiteY15" fmla="*/ 616598 h 616598"/>
                              <a:gd name="connsiteX16" fmla="*/ 6096051 w 7716520"/>
                              <a:gd name="connsiteY16" fmla="*/ 616598 h 616598"/>
                              <a:gd name="connsiteX17" fmla="*/ 5607338 w 7716520"/>
                              <a:gd name="connsiteY17" fmla="*/ 616598 h 616598"/>
                              <a:gd name="connsiteX18" fmla="*/ 4964295 w 7716520"/>
                              <a:gd name="connsiteY18" fmla="*/ 616598 h 616598"/>
                              <a:gd name="connsiteX19" fmla="*/ 4321251 w 7716520"/>
                              <a:gd name="connsiteY19" fmla="*/ 616598 h 616598"/>
                              <a:gd name="connsiteX20" fmla="*/ 3678208 w 7716520"/>
                              <a:gd name="connsiteY20" fmla="*/ 616598 h 616598"/>
                              <a:gd name="connsiteX21" fmla="*/ 3035165 w 7716520"/>
                              <a:gd name="connsiteY21" fmla="*/ 616598 h 616598"/>
                              <a:gd name="connsiteX22" fmla="*/ 2469286 w 7716520"/>
                              <a:gd name="connsiteY22" fmla="*/ 616598 h 616598"/>
                              <a:gd name="connsiteX23" fmla="*/ 1749078 w 7716520"/>
                              <a:gd name="connsiteY23" fmla="*/ 616598 h 616598"/>
                              <a:gd name="connsiteX24" fmla="*/ 1106035 w 7716520"/>
                              <a:gd name="connsiteY24" fmla="*/ 616598 h 616598"/>
                              <a:gd name="connsiteX25" fmla="*/ 0 w 7716520"/>
                              <a:gd name="connsiteY25" fmla="*/ 616598 h 616598"/>
                              <a:gd name="connsiteX26" fmla="*/ 0 w 7716520"/>
                              <a:gd name="connsiteY26" fmla="*/ 0 h 6165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616598"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745451" y="251322"/>
                                  <a:pt x="7701338" y="357811"/>
                                  <a:pt x="7716520" y="616598"/>
                                </a:cubicBezTo>
                                <a:cubicBezTo>
                                  <a:pt x="7591311" y="631793"/>
                                  <a:pt x="7393685" y="624699"/>
                                  <a:pt x="7150642" y="616598"/>
                                </a:cubicBezTo>
                                <a:cubicBezTo>
                                  <a:pt x="6907599" y="608497"/>
                                  <a:pt x="6856554" y="609950"/>
                                  <a:pt x="6739094" y="616598"/>
                                </a:cubicBezTo>
                                <a:cubicBezTo>
                                  <a:pt x="6621634" y="623246"/>
                                  <a:pt x="6301086" y="611987"/>
                                  <a:pt x="6096051" y="616598"/>
                                </a:cubicBezTo>
                                <a:cubicBezTo>
                                  <a:pt x="5891016" y="621209"/>
                                  <a:pt x="5802012" y="615097"/>
                                  <a:pt x="5607338" y="616598"/>
                                </a:cubicBezTo>
                                <a:cubicBezTo>
                                  <a:pt x="5412664" y="618099"/>
                                  <a:pt x="5171691" y="640473"/>
                                  <a:pt x="4964295" y="616598"/>
                                </a:cubicBezTo>
                                <a:cubicBezTo>
                                  <a:pt x="4756899" y="592723"/>
                                  <a:pt x="4573808" y="609752"/>
                                  <a:pt x="4321251" y="616598"/>
                                </a:cubicBezTo>
                                <a:cubicBezTo>
                                  <a:pt x="4068694" y="623444"/>
                                  <a:pt x="3984045" y="621970"/>
                                  <a:pt x="3678208" y="616598"/>
                                </a:cubicBezTo>
                                <a:cubicBezTo>
                                  <a:pt x="3372371" y="611226"/>
                                  <a:pt x="3332905" y="609353"/>
                                  <a:pt x="3035165" y="616598"/>
                                </a:cubicBezTo>
                                <a:cubicBezTo>
                                  <a:pt x="2737425" y="623843"/>
                                  <a:pt x="2747562" y="605389"/>
                                  <a:pt x="2469286" y="616598"/>
                                </a:cubicBezTo>
                                <a:cubicBezTo>
                                  <a:pt x="2191010" y="627807"/>
                                  <a:pt x="2075844" y="645326"/>
                                  <a:pt x="1749078" y="616598"/>
                                </a:cubicBezTo>
                                <a:cubicBezTo>
                                  <a:pt x="1422312" y="587870"/>
                                  <a:pt x="1348848" y="646262"/>
                                  <a:pt x="1106035" y="616598"/>
                                </a:cubicBezTo>
                                <a:cubicBezTo>
                                  <a:pt x="863222" y="586934"/>
                                  <a:pt x="400036" y="580168"/>
                                  <a:pt x="0" y="616598"/>
                                </a:cubicBezTo>
                                <a:cubicBezTo>
                                  <a:pt x="-25582" y="409721"/>
                                  <a:pt x="20975" y="265637"/>
                                  <a:pt x="0" y="0"/>
                                </a:cubicBezTo>
                                <a:close/>
                              </a:path>
                              <a:path w="7716520" h="61659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698628" y="184756"/>
                                  <a:pt x="7745789" y="339315"/>
                                  <a:pt x="7716520" y="616598"/>
                                </a:cubicBezTo>
                                <a:cubicBezTo>
                                  <a:pt x="7632413" y="617643"/>
                                  <a:pt x="7423486" y="618420"/>
                                  <a:pt x="7304972" y="616598"/>
                                </a:cubicBezTo>
                                <a:cubicBezTo>
                                  <a:pt x="7186458" y="614776"/>
                                  <a:pt x="6741738" y="642254"/>
                                  <a:pt x="6507599" y="616598"/>
                                </a:cubicBezTo>
                                <a:cubicBezTo>
                                  <a:pt x="6273460" y="590942"/>
                                  <a:pt x="6223861" y="633568"/>
                                  <a:pt x="6018886" y="616598"/>
                                </a:cubicBezTo>
                                <a:cubicBezTo>
                                  <a:pt x="5813911" y="599628"/>
                                  <a:pt x="5614415" y="640064"/>
                                  <a:pt x="5375842" y="616598"/>
                                </a:cubicBezTo>
                                <a:cubicBezTo>
                                  <a:pt x="5137269" y="593132"/>
                                  <a:pt x="4855282" y="595326"/>
                                  <a:pt x="4578469" y="616598"/>
                                </a:cubicBezTo>
                                <a:cubicBezTo>
                                  <a:pt x="4301656" y="637870"/>
                                  <a:pt x="4185888" y="628979"/>
                                  <a:pt x="3935425" y="616598"/>
                                </a:cubicBezTo>
                                <a:cubicBezTo>
                                  <a:pt x="3684962" y="604217"/>
                                  <a:pt x="3674203" y="608710"/>
                                  <a:pt x="3523877" y="616598"/>
                                </a:cubicBezTo>
                                <a:cubicBezTo>
                                  <a:pt x="3373551" y="624486"/>
                                  <a:pt x="3135346" y="608024"/>
                                  <a:pt x="3035165" y="616598"/>
                                </a:cubicBezTo>
                                <a:cubicBezTo>
                                  <a:pt x="2934984" y="625172"/>
                                  <a:pt x="2482544" y="614251"/>
                                  <a:pt x="2237791" y="616598"/>
                                </a:cubicBezTo>
                                <a:cubicBezTo>
                                  <a:pt x="1993038" y="618945"/>
                                  <a:pt x="1885635" y="640950"/>
                                  <a:pt x="1594747" y="616598"/>
                                </a:cubicBezTo>
                                <a:cubicBezTo>
                                  <a:pt x="1303859" y="592246"/>
                                  <a:pt x="1346507" y="639489"/>
                                  <a:pt x="1106035" y="616598"/>
                                </a:cubicBezTo>
                                <a:cubicBezTo>
                                  <a:pt x="865563" y="593707"/>
                                  <a:pt x="337839" y="619522"/>
                                  <a:pt x="0" y="616598"/>
                                </a:cubicBezTo>
                                <a:cubicBezTo>
                                  <a:pt x="26850" y="436168"/>
                                  <a:pt x="-7894" y="154569"/>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6013732" name="Rectangle 5"/>
                        <wps:cNvSpPr/>
                        <wps:spPr>
                          <a:xfrm>
                            <a:off x="0" y="1698578"/>
                            <a:ext cx="7716520" cy="853511"/>
                          </a:xfrm>
                          <a:custGeom>
                            <a:avLst/>
                            <a:gdLst>
                              <a:gd name="connsiteX0" fmla="*/ 0 w 7716520"/>
                              <a:gd name="connsiteY0" fmla="*/ 0 h 853511"/>
                              <a:gd name="connsiteX1" fmla="*/ 797374 w 7716520"/>
                              <a:gd name="connsiteY1" fmla="*/ 0 h 853511"/>
                              <a:gd name="connsiteX2" fmla="*/ 1594747 w 7716520"/>
                              <a:gd name="connsiteY2" fmla="*/ 0 h 853511"/>
                              <a:gd name="connsiteX3" fmla="*/ 2237791 w 7716520"/>
                              <a:gd name="connsiteY3" fmla="*/ 0 h 853511"/>
                              <a:gd name="connsiteX4" fmla="*/ 2957999 w 7716520"/>
                              <a:gd name="connsiteY4" fmla="*/ 0 h 853511"/>
                              <a:gd name="connsiteX5" fmla="*/ 3523877 w 7716520"/>
                              <a:gd name="connsiteY5" fmla="*/ 0 h 853511"/>
                              <a:gd name="connsiteX6" fmla="*/ 4166921 w 7716520"/>
                              <a:gd name="connsiteY6" fmla="*/ 0 h 853511"/>
                              <a:gd name="connsiteX7" fmla="*/ 4964295 w 7716520"/>
                              <a:gd name="connsiteY7" fmla="*/ 0 h 853511"/>
                              <a:gd name="connsiteX8" fmla="*/ 5453007 w 7716520"/>
                              <a:gd name="connsiteY8" fmla="*/ 0 h 853511"/>
                              <a:gd name="connsiteX9" fmla="*/ 6173216 w 7716520"/>
                              <a:gd name="connsiteY9" fmla="*/ 0 h 853511"/>
                              <a:gd name="connsiteX10" fmla="*/ 6661929 w 7716520"/>
                              <a:gd name="connsiteY10" fmla="*/ 0 h 853511"/>
                              <a:gd name="connsiteX11" fmla="*/ 7716520 w 7716520"/>
                              <a:gd name="connsiteY11" fmla="*/ 0 h 853511"/>
                              <a:gd name="connsiteX12" fmla="*/ 7716520 w 7716520"/>
                              <a:gd name="connsiteY12" fmla="*/ 435291 h 853511"/>
                              <a:gd name="connsiteX13" fmla="*/ 7716520 w 7716520"/>
                              <a:gd name="connsiteY13" fmla="*/ 853511 h 853511"/>
                              <a:gd name="connsiteX14" fmla="*/ 6919146 w 7716520"/>
                              <a:gd name="connsiteY14" fmla="*/ 853511 h 853511"/>
                              <a:gd name="connsiteX15" fmla="*/ 6276103 w 7716520"/>
                              <a:gd name="connsiteY15" fmla="*/ 853511 h 853511"/>
                              <a:gd name="connsiteX16" fmla="*/ 5633060 w 7716520"/>
                              <a:gd name="connsiteY16" fmla="*/ 853511 h 853511"/>
                              <a:gd name="connsiteX17" fmla="*/ 4990016 w 7716520"/>
                              <a:gd name="connsiteY17" fmla="*/ 853511 h 853511"/>
                              <a:gd name="connsiteX18" fmla="*/ 4346973 w 7716520"/>
                              <a:gd name="connsiteY18" fmla="*/ 853511 h 853511"/>
                              <a:gd name="connsiteX19" fmla="*/ 3781095 w 7716520"/>
                              <a:gd name="connsiteY19" fmla="*/ 853511 h 853511"/>
                              <a:gd name="connsiteX20" fmla="*/ 3060886 w 7716520"/>
                              <a:gd name="connsiteY20" fmla="*/ 853511 h 853511"/>
                              <a:gd name="connsiteX21" fmla="*/ 2417843 w 7716520"/>
                              <a:gd name="connsiteY21" fmla="*/ 853511 h 853511"/>
                              <a:gd name="connsiteX22" fmla="*/ 1620469 w 7716520"/>
                              <a:gd name="connsiteY22" fmla="*/ 853511 h 853511"/>
                              <a:gd name="connsiteX23" fmla="*/ 823095 w 7716520"/>
                              <a:gd name="connsiteY23" fmla="*/ 853511 h 853511"/>
                              <a:gd name="connsiteX24" fmla="*/ 0 w 7716520"/>
                              <a:gd name="connsiteY24" fmla="*/ 853511 h 853511"/>
                              <a:gd name="connsiteX25" fmla="*/ 0 w 7716520"/>
                              <a:gd name="connsiteY25" fmla="*/ 418220 h 853511"/>
                              <a:gd name="connsiteX26" fmla="*/ 0 w 7716520"/>
                              <a:gd name="connsiteY26" fmla="*/ 0 h 8535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53511"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26671" y="140661"/>
                                  <a:pt x="7719501" y="258322"/>
                                  <a:pt x="7716520" y="435291"/>
                                </a:cubicBezTo>
                                <a:cubicBezTo>
                                  <a:pt x="7713539" y="612260"/>
                                  <a:pt x="7705004" y="646326"/>
                                  <a:pt x="7716520" y="853511"/>
                                </a:cubicBezTo>
                                <a:cubicBezTo>
                                  <a:pt x="7508045" y="832358"/>
                                  <a:pt x="7283950" y="875605"/>
                                  <a:pt x="6919146" y="853511"/>
                                </a:cubicBezTo>
                                <a:cubicBezTo>
                                  <a:pt x="6554342" y="831417"/>
                                  <a:pt x="6483499" y="877386"/>
                                  <a:pt x="6276103" y="853511"/>
                                </a:cubicBezTo>
                                <a:cubicBezTo>
                                  <a:pt x="6068707" y="829636"/>
                                  <a:pt x="5881943" y="845385"/>
                                  <a:pt x="5633060" y="853511"/>
                                </a:cubicBezTo>
                                <a:cubicBezTo>
                                  <a:pt x="5384177" y="861637"/>
                                  <a:pt x="5301279" y="863726"/>
                                  <a:pt x="4990016" y="853511"/>
                                </a:cubicBezTo>
                                <a:cubicBezTo>
                                  <a:pt x="4678753" y="843296"/>
                                  <a:pt x="4644713" y="846266"/>
                                  <a:pt x="4346973" y="853511"/>
                                </a:cubicBezTo>
                                <a:cubicBezTo>
                                  <a:pt x="4049233" y="860756"/>
                                  <a:pt x="4055228" y="835883"/>
                                  <a:pt x="3781095" y="853511"/>
                                </a:cubicBezTo>
                                <a:cubicBezTo>
                                  <a:pt x="3506962" y="871139"/>
                                  <a:pt x="3393564" y="885472"/>
                                  <a:pt x="3060886" y="853511"/>
                                </a:cubicBezTo>
                                <a:cubicBezTo>
                                  <a:pt x="2728208" y="821550"/>
                                  <a:pt x="2660656" y="883175"/>
                                  <a:pt x="2417843" y="853511"/>
                                </a:cubicBezTo>
                                <a:cubicBezTo>
                                  <a:pt x="2175030" y="823847"/>
                                  <a:pt x="1938090" y="858178"/>
                                  <a:pt x="1620469" y="853511"/>
                                </a:cubicBezTo>
                                <a:cubicBezTo>
                                  <a:pt x="1302848" y="848844"/>
                                  <a:pt x="1220111" y="819122"/>
                                  <a:pt x="823095" y="853511"/>
                                </a:cubicBezTo>
                                <a:cubicBezTo>
                                  <a:pt x="426079" y="887900"/>
                                  <a:pt x="306208" y="861404"/>
                                  <a:pt x="0" y="853511"/>
                                </a:cubicBezTo>
                                <a:cubicBezTo>
                                  <a:pt x="16492" y="761786"/>
                                  <a:pt x="-9927" y="605649"/>
                                  <a:pt x="0" y="418220"/>
                                </a:cubicBezTo>
                                <a:cubicBezTo>
                                  <a:pt x="9927" y="230791"/>
                                  <a:pt x="12446" y="161753"/>
                                  <a:pt x="0" y="0"/>
                                </a:cubicBezTo>
                                <a:close/>
                              </a:path>
                              <a:path w="7716520" h="853511"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33393" y="197984"/>
                                  <a:pt x="7728243" y="313647"/>
                                  <a:pt x="7716520" y="418220"/>
                                </a:cubicBezTo>
                                <a:cubicBezTo>
                                  <a:pt x="7704797" y="522793"/>
                                  <a:pt x="7732411" y="658826"/>
                                  <a:pt x="7716520" y="853511"/>
                                </a:cubicBezTo>
                                <a:cubicBezTo>
                                  <a:pt x="7584340" y="885639"/>
                                  <a:pt x="7351923" y="869111"/>
                                  <a:pt x="7073477" y="853511"/>
                                </a:cubicBezTo>
                                <a:cubicBezTo>
                                  <a:pt x="6795031" y="837911"/>
                                  <a:pt x="6789739" y="870481"/>
                                  <a:pt x="6584764" y="853511"/>
                                </a:cubicBezTo>
                                <a:cubicBezTo>
                                  <a:pt x="6379789" y="836541"/>
                                  <a:pt x="6180293" y="876977"/>
                                  <a:pt x="5941720" y="853511"/>
                                </a:cubicBezTo>
                                <a:cubicBezTo>
                                  <a:pt x="5703147" y="830045"/>
                                  <a:pt x="5421160" y="832239"/>
                                  <a:pt x="5144347" y="853511"/>
                                </a:cubicBezTo>
                                <a:cubicBezTo>
                                  <a:pt x="4867534" y="874783"/>
                                  <a:pt x="4751766" y="865892"/>
                                  <a:pt x="4501303" y="853511"/>
                                </a:cubicBezTo>
                                <a:cubicBezTo>
                                  <a:pt x="4250840" y="841130"/>
                                  <a:pt x="4237304" y="840240"/>
                                  <a:pt x="4089756" y="853511"/>
                                </a:cubicBezTo>
                                <a:cubicBezTo>
                                  <a:pt x="3942208" y="866782"/>
                                  <a:pt x="3702969" y="853543"/>
                                  <a:pt x="3601043" y="853511"/>
                                </a:cubicBezTo>
                                <a:cubicBezTo>
                                  <a:pt x="3499117" y="853479"/>
                                  <a:pt x="3048422" y="851164"/>
                                  <a:pt x="2803669" y="853511"/>
                                </a:cubicBezTo>
                                <a:cubicBezTo>
                                  <a:pt x="2558916" y="855858"/>
                                  <a:pt x="2451147" y="877218"/>
                                  <a:pt x="2160626" y="853511"/>
                                </a:cubicBezTo>
                                <a:cubicBezTo>
                                  <a:pt x="1870105" y="829804"/>
                                  <a:pt x="1771257" y="835434"/>
                                  <a:pt x="1671913" y="853511"/>
                                </a:cubicBezTo>
                                <a:cubicBezTo>
                                  <a:pt x="1572569" y="871588"/>
                                  <a:pt x="1322588" y="828797"/>
                                  <a:pt x="1028869" y="853511"/>
                                </a:cubicBezTo>
                                <a:cubicBezTo>
                                  <a:pt x="735150" y="878225"/>
                                  <a:pt x="762570" y="851529"/>
                                  <a:pt x="617322" y="853511"/>
                                </a:cubicBezTo>
                                <a:cubicBezTo>
                                  <a:pt x="472074" y="855493"/>
                                  <a:pt x="276811" y="871378"/>
                                  <a:pt x="0" y="853511"/>
                                </a:cubicBezTo>
                                <a:cubicBezTo>
                                  <a:pt x="-15440" y="754443"/>
                                  <a:pt x="-15938" y="639059"/>
                                  <a:pt x="0" y="426756"/>
                                </a:cubicBezTo>
                                <a:cubicBezTo>
                                  <a:pt x="15938" y="214453"/>
                                  <a:pt x="-17602" y="142376"/>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4189" name="Rectangle 5"/>
                        <wps:cNvSpPr/>
                        <wps:spPr>
                          <a:xfrm>
                            <a:off x="0" y="3461687"/>
                            <a:ext cx="7716520" cy="594995"/>
                          </a:xfrm>
                          <a:custGeom>
                            <a:avLst/>
                            <a:gdLst>
                              <a:gd name="connsiteX0" fmla="*/ 0 w 7716520"/>
                              <a:gd name="connsiteY0" fmla="*/ 0 h 594995"/>
                              <a:gd name="connsiteX1" fmla="*/ 411548 w 7716520"/>
                              <a:gd name="connsiteY1" fmla="*/ 0 h 594995"/>
                              <a:gd name="connsiteX2" fmla="*/ 1131756 w 7716520"/>
                              <a:gd name="connsiteY2" fmla="*/ 0 h 594995"/>
                              <a:gd name="connsiteX3" fmla="*/ 1543304 w 7716520"/>
                              <a:gd name="connsiteY3" fmla="*/ 0 h 594995"/>
                              <a:gd name="connsiteX4" fmla="*/ 2109182 w 7716520"/>
                              <a:gd name="connsiteY4" fmla="*/ 0 h 594995"/>
                              <a:gd name="connsiteX5" fmla="*/ 2906556 w 7716520"/>
                              <a:gd name="connsiteY5" fmla="*/ 0 h 594995"/>
                              <a:gd name="connsiteX6" fmla="*/ 3549599 w 7716520"/>
                              <a:gd name="connsiteY6" fmla="*/ 0 h 594995"/>
                              <a:gd name="connsiteX7" fmla="*/ 4269808 w 7716520"/>
                              <a:gd name="connsiteY7" fmla="*/ 0 h 594995"/>
                              <a:gd name="connsiteX8" fmla="*/ 4835686 w 7716520"/>
                              <a:gd name="connsiteY8" fmla="*/ 0 h 594995"/>
                              <a:gd name="connsiteX9" fmla="*/ 5478729 w 7716520"/>
                              <a:gd name="connsiteY9" fmla="*/ 0 h 594995"/>
                              <a:gd name="connsiteX10" fmla="*/ 6276103 w 7716520"/>
                              <a:gd name="connsiteY10" fmla="*/ 0 h 594995"/>
                              <a:gd name="connsiteX11" fmla="*/ 6764816 w 7716520"/>
                              <a:gd name="connsiteY11" fmla="*/ 0 h 594995"/>
                              <a:gd name="connsiteX12" fmla="*/ 7716520 w 7716520"/>
                              <a:gd name="connsiteY12" fmla="*/ 0 h 594995"/>
                              <a:gd name="connsiteX13" fmla="*/ 7716520 w 7716520"/>
                              <a:gd name="connsiteY13" fmla="*/ 594995 h 594995"/>
                              <a:gd name="connsiteX14" fmla="*/ 7150642 w 7716520"/>
                              <a:gd name="connsiteY14" fmla="*/ 594995 h 594995"/>
                              <a:gd name="connsiteX15" fmla="*/ 6739094 w 7716520"/>
                              <a:gd name="connsiteY15" fmla="*/ 594995 h 594995"/>
                              <a:gd name="connsiteX16" fmla="*/ 6096051 w 7716520"/>
                              <a:gd name="connsiteY16" fmla="*/ 594995 h 594995"/>
                              <a:gd name="connsiteX17" fmla="*/ 5607338 w 7716520"/>
                              <a:gd name="connsiteY17" fmla="*/ 594995 h 594995"/>
                              <a:gd name="connsiteX18" fmla="*/ 4964295 w 7716520"/>
                              <a:gd name="connsiteY18" fmla="*/ 594995 h 594995"/>
                              <a:gd name="connsiteX19" fmla="*/ 4321251 w 7716520"/>
                              <a:gd name="connsiteY19" fmla="*/ 594995 h 594995"/>
                              <a:gd name="connsiteX20" fmla="*/ 3678208 w 7716520"/>
                              <a:gd name="connsiteY20" fmla="*/ 594995 h 594995"/>
                              <a:gd name="connsiteX21" fmla="*/ 3035165 w 7716520"/>
                              <a:gd name="connsiteY21" fmla="*/ 594995 h 594995"/>
                              <a:gd name="connsiteX22" fmla="*/ 2469286 w 7716520"/>
                              <a:gd name="connsiteY22" fmla="*/ 594995 h 594995"/>
                              <a:gd name="connsiteX23" fmla="*/ 1749078 w 7716520"/>
                              <a:gd name="connsiteY23" fmla="*/ 594995 h 594995"/>
                              <a:gd name="connsiteX24" fmla="*/ 1106035 w 7716520"/>
                              <a:gd name="connsiteY24" fmla="*/ 594995 h 594995"/>
                              <a:gd name="connsiteX25" fmla="*/ 0 w 7716520"/>
                              <a:gd name="connsiteY25" fmla="*/ 594995 h 594995"/>
                              <a:gd name="connsiteX26" fmla="*/ 0 w 7716520"/>
                              <a:gd name="connsiteY26" fmla="*/ 0 h 5949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594995"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693738" y="131292"/>
                                  <a:pt x="7698775" y="444451"/>
                                  <a:pt x="7716520" y="594995"/>
                                </a:cubicBezTo>
                                <a:cubicBezTo>
                                  <a:pt x="7591311" y="610190"/>
                                  <a:pt x="7393685" y="603096"/>
                                  <a:pt x="7150642" y="594995"/>
                                </a:cubicBezTo>
                                <a:cubicBezTo>
                                  <a:pt x="6907599" y="586894"/>
                                  <a:pt x="6856554" y="588347"/>
                                  <a:pt x="6739094" y="594995"/>
                                </a:cubicBezTo>
                                <a:cubicBezTo>
                                  <a:pt x="6621634" y="601643"/>
                                  <a:pt x="6301086" y="590384"/>
                                  <a:pt x="6096051" y="594995"/>
                                </a:cubicBezTo>
                                <a:cubicBezTo>
                                  <a:pt x="5891016" y="599606"/>
                                  <a:pt x="5802012" y="593494"/>
                                  <a:pt x="5607338" y="594995"/>
                                </a:cubicBezTo>
                                <a:cubicBezTo>
                                  <a:pt x="5412664" y="596496"/>
                                  <a:pt x="5171691" y="618870"/>
                                  <a:pt x="4964295" y="594995"/>
                                </a:cubicBezTo>
                                <a:cubicBezTo>
                                  <a:pt x="4756899" y="571120"/>
                                  <a:pt x="4573808" y="588149"/>
                                  <a:pt x="4321251" y="594995"/>
                                </a:cubicBezTo>
                                <a:cubicBezTo>
                                  <a:pt x="4068694" y="601841"/>
                                  <a:pt x="3984045" y="600367"/>
                                  <a:pt x="3678208" y="594995"/>
                                </a:cubicBezTo>
                                <a:cubicBezTo>
                                  <a:pt x="3372371" y="589623"/>
                                  <a:pt x="3332905" y="587750"/>
                                  <a:pt x="3035165" y="594995"/>
                                </a:cubicBezTo>
                                <a:cubicBezTo>
                                  <a:pt x="2737425" y="602240"/>
                                  <a:pt x="2747562" y="583786"/>
                                  <a:pt x="2469286" y="594995"/>
                                </a:cubicBezTo>
                                <a:cubicBezTo>
                                  <a:pt x="2191010" y="606204"/>
                                  <a:pt x="2075844" y="623723"/>
                                  <a:pt x="1749078" y="594995"/>
                                </a:cubicBezTo>
                                <a:cubicBezTo>
                                  <a:pt x="1422312" y="566267"/>
                                  <a:pt x="1348848" y="624659"/>
                                  <a:pt x="1106035" y="594995"/>
                                </a:cubicBezTo>
                                <a:cubicBezTo>
                                  <a:pt x="863222" y="565331"/>
                                  <a:pt x="400036" y="558565"/>
                                  <a:pt x="0" y="594995"/>
                                </a:cubicBezTo>
                                <a:cubicBezTo>
                                  <a:pt x="12873" y="467470"/>
                                  <a:pt x="13669" y="139965"/>
                                  <a:pt x="0" y="0"/>
                                </a:cubicBezTo>
                                <a:close/>
                              </a:path>
                              <a:path w="7716520" h="594995"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04079" y="262676"/>
                                  <a:pt x="7692683" y="413162"/>
                                  <a:pt x="7716520" y="594995"/>
                                </a:cubicBezTo>
                                <a:cubicBezTo>
                                  <a:pt x="7632413" y="596040"/>
                                  <a:pt x="7423486" y="596817"/>
                                  <a:pt x="7304972" y="594995"/>
                                </a:cubicBezTo>
                                <a:cubicBezTo>
                                  <a:pt x="7186458" y="593173"/>
                                  <a:pt x="6741738" y="620651"/>
                                  <a:pt x="6507599" y="594995"/>
                                </a:cubicBezTo>
                                <a:cubicBezTo>
                                  <a:pt x="6273460" y="569339"/>
                                  <a:pt x="6223861" y="611965"/>
                                  <a:pt x="6018886" y="594995"/>
                                </a:cubicBezTo>
                                <a:cubicBezTo>
                                  <a:pt x="5813911" y="578025"/>
                                  <a:pt x="5614415" y="618461"/>
                                  <a:pt x="5375842" y="594995"/>
                                </a:cubicBezTo>
                                <a:cubicBezTo>
                                  <a:pt x="5137269" y="571529"/>
                                  <a:pt x="4855282" y="573723"/>
                                  <a:pt x="4578469" y="594995"/>
                                </a:cubicBezTo>
                                <a:cubicBezTo>
                                  <a:pt x="4301656" y="616267"/>
                                  <a:pt x="4185888" y="607376"/>
                                  <a:pt x="3935425" y="594995"/>
                                </a:cubicBezTo>
                                <a:cubicBezTo>
                                  <a:pt x="3684962" y="582614"/>
                                  <a:pt x="3674203" y="587107"/>
                                  <a:pt x="3523877" y="594995"/>
                                </a:cubicBezTo>
                                <a:cubicBezTo>
                                  <a:pt x="3373551" y="602883"/>
                                  <a:pt x="3135346" y="586421"/>
                                  <a:pt x="3035165" y="594995"/>
                                </a:cubicBezTo>
                                <a:cubicBezTo>
                                  <a:pt x="2934984" y="603569"/>
                                  <a:pt x="2482544" y="592648"/>
                                  <a:pt x="2237791" y="594995"/>
                                </a:cubicBezTo>
                                <a:cubicBezTo>
                                  <a:pt x="1993038" y="597342"/>
                                  <a:pt x="1885635" y="619347"/>
                                  <a:pt x="1594747" y="594995"/>
                                </a:cubicBezTo>
                                <a:cubicBezTo>
                                  <a:pt x="1303859" y="570643"/>
                                  <a:pt x="1346507" y="617886"/>
                                  <a:pt x="1106035" y="594995"/>
                                </a:cubicBezTo>
                                <a:cubicBezTo>
                                  <a:pt x="865563" y="572104"/>
                                  <a:pt x="337839" y="597919"/>
                                  <a:pt x="0" y="594995"/>
                                </a:cubicBezTo>
                                <a:cubicBezTo>
                                  <a:pt x="-24494" y="369196"/>
                                  <a:pt x="11428" y="223575"/>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209347" name="Rectangle 5"/>
                        <wps:cNvSpPr/>
                        <wps:spPr>
                          <a:xfrm>
                            <a:off x="0" y="4886954"/>
                            <a:ext cx="7716520" cy="799450"/>
                          </a:xfrm>
                          <a:custGeom>
                            <a:avLst/>
                            <a:gdLst>
                              <a:gd name="connsiteX0" fmla="*/ 0 w 7716520"/>
                              <a:gd name="connsiteY0" fmla="*/ 0 h 799450"/>
                              <a:gd name="connsiteX1" fmla="*/ 797374 w 7716520"/>
                              <a:gd name="connsiteY1" fmla="*/ 0 h 799450"/>
                              <a:gd name="connsiteX2" fmla="*/ 1594747 w 7716520"/>
                              <a:gd name="connsiteY2" fmla="*/ 0 h 799450"/>
                              <a:gd name="connsiteX3" fmla="*/ 2237791 w 7716520"/>
                              <a:gd name="connsiteY3" fmla="*/ 0 h 799450"/>
                              <a:gd name="connsiteX4" fmla="*/ 2957999 w 7716520"/>
                              <a:gd name="connsiteY4" fmla="*/ 0 h 799450"/>
                              <a:gd name="connsiteX5" fmla="*/ 3523877 w 7716520"/>
                              <a:gd name="connsiteY5" fmla="*/ 0 h 799450"/>
                              <a:gd name="connsiteX6" fmla="*/ 4166921 w 7716520"/>
                              <a:gd name="connsiteY6" fmla="*/ 0 h 799450"/>
                              <a:gd name="connsiteX7" fmla="*/ 4964295 w 7716520"/>
                              <a:gd name="connsiteY7" fmla="*/ 0 h 799450"/>
                              <a:gd name="connsiteX8" fmla="*/ 5453007 w 7716520"/>
                              <a:gd name="connsiteY8" fmla="*/ 0 h 799450"/>
                              <a:gd name="connsiteX9" fmla="*/ 6173216 w 7716520"/>
                              <a:gd name="connsiteY9" fmla="*/ 0 h 799450"/>
                              <a:gd name="connsiteX10" fmla="*/ 6661929 w 7716520"/>
                              <a:gd name="connsiteY10" fmla="*/ 0 h 799450"/>
                              <a:gd name="connsiteX11" fmla="*/ 7716520 w 7716520"/>
                              <a:gd name="connsiteY11" fmla="*/ 0 h 799450"/>
                              <a:gd name="connsiteX12" fmla="*/ 7716520 w 7716520"/>
                              <a:gd name="connsiteY12" fmla="*/ 407720 h 799450"/>
                              <a:gd name="connsiteX13" fmla="*/ 7716520 w 7716520"/>
                              <a:gd name="connsiteY13" fmla="*/ 799450 h 799450"/>
                              <a:gd name="connsiteX14" fmla="*/ 6919146 w 7716520"/>
                              <a:gd name="connsiteY14" fmla="*/ 799450 h 799450"/>
                              <a:gd name="connsiteX15" fmla="*/ 6276103 w 7716520"/>
                              <a:gd name="connsiteY15" fmla="*/ 799450 h 799450"/>
                              <a:gd name="connsiteX16" fmla="*/ 5633060 w 7716520"/>
                              <a:gd name="connsiteY16" fmla="*/ 799450 h 799450"/>
                              <a:gd name="connsiteX17" fmla="*/ 4990016 w 7716520"/>
                              <a:gd name="connsiteY17" fmla="*/ 799450 h 799450"/>
                              <a:gd name="connsiteX18" fmla="*/ 4346973 w 7716520"/>
                              <a:gd name="connsiteY18" fmla="*/ 799450 h 799450"/>
                              <a:gd name="connsiteX19" fmla="*/ 3781095 w 7716520"/>
                              <a:gd name="connsiteY19" fmla="*/ 799450 h 799450"/>
                              <a:gd name="connsiteX20" fmla="*/ 3060886 w 7716520"/>
                              <a:gd name="connsiteY20" fmla="*/ 799450 h 799450"/>
                              <a:gd name="connsiteX21" fmla="*/ 2417843 w 7716520"/>
                              <a:gd name="connsiteY21" fmla="*/ 799450 h 799450"/>
                              <a:gd name="connsiteX22" fmla="*/ 1620469 w 7716520"/>
                              <a:gd name="connsiteY22" fmla="*/ 799450 h 799450"/>
                              <a:gd name="connsiteX23" fmla="*/ 823095 w 7716520"/>
                              <a:gd name="connsiteY23" fmla="*/ 799450 h 799450"/>
                              <a:gd name="connsiteX24" fmla="*/ 0 w 7716520"/>
                              <a:gd name="connsiteY24" fmla="*/ 799450 h 799450"/>
                              <a:gd name="connsiteX25" fmla="*/ 0 w 7716520"/>
                              <a:gd name="connsiteY25" fmla="*/ 391731 h 799450"/>
                              <a:gd name="connsiteX26" fmla="*/ 0 w 7716520"/>
                              <a:gd name="connsiteY26" fmla="*/ 0 h 799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799450"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36463" y="112181"/>
                                  <a:pt x="7704134" y="245877"/>
                                  <a:pt x="7716520" y="407720"/>
                                </a:cubicBezTo>
                                <a:cubicBezTo>
                                  <a:pt x="7728906" y="569563"/>
                                  <a:pt x="7708781" y="653893"/>
                                  <a:pt x="7716520" y="799450"/>
                                </a:cubicBezTo>
                                <a:cubicBezTo>
                                  <a:pt x="7508045" y="778297"/>
                                  <a:pt x="7283950" y="821544"/>
                                  <a:pt x="6919146" y="799450"/>
                                </a:cubicBezTo>
                                <a:cubicBezTo>
                                  <a:pt x="6554342" y="777356"/>
                                  <a:pt x="6483499" y="823325"/>
                                  <a:pt x="6276103" y="799450"/>
                                </a:cubicBezTo>
                                <a:cubicBezTo>
                                  <a:pt x="6068707" y="775575"/>
                                  <a:pt x="5881943" y="791324"/>
                                  <a:pt x="5633060" y="799450"/>
                                </a:cubicBezTo>
                                <a:cubicBezTo>
                                  <a:pt x="5384177" y="807576"/>
                                  <a:pt x="5301279" y="809665"/>
                                  <a:pt x="4990016" y="799450"/>
                                </a:cubicBezTo>
                                <a:cubicBezTo>
                                  <a:pt x="4678753" y="789235"/>
                                  <a:pt x="4644713" y="792205"/>
                                  <a:pt x="4346973" y="799450"/>
                                </a:cubicBezTo>
                                <a:cubicBezTo>
                                  <a:pt x="4049233" y="806695"/>
                                  <a:pt x="4055228" y="781822"/>
                                  <a:pt x="3781095" y="799450"/>
                                </a:cubicBezTo>
                                <a:cubicBezTo>
                                  <a:pt x="3506962" y="817078"/>
                                  <a:pt x="3393564" y="831411"/>
                                  <a:pt x="3060886" y="799450"/>
                                </a:cubicBezTo>
                                <a:cubicBezTo>
                                  <a:pt x="2728208" y="767489"/>
                                  <a:pt x="2660656" y="829114"/>
                                  <a:pt x="2417843" y="799450"/>
                                </a:cubicBezTo>
                                <a:cubicBezTo>
                                  <a:pt x="2175030" y="769786"/>
                                  <a:pt x="1938090" y="804117"/>
                                  <a:pt x="1620469" y="799450"/>
                                </a:cubicBezTo>
                                <a:cubicBezTo>
                                  <a:pt x="1302848" y="794783"/>
                                  <a:pt x="1220111" y="765061"/>
                                  <a:pt x="823095" y="799450"/>
                                </a:cubicBezTo>
                                <a:cubicBezTo>
                                  <a:pt x="426079" y="833839"/>
                                  <a:pt x="306208" y="807343"/>
                                  <a:pt x="0" y="799450"/>
                                </a:cubicBezTo>
                                <a:cubicBezTo>
                                  <a:pt x="-18288" y="628194"/>
                                  <a:pt x="6429" y="515937"/>
                                  <a:pt x="0" y="391731"/>
                                </a:cubicBezTo>
                                <a:cubicBezTo>
                                  <a:pt x="-6429" y="267525"/>
                                  <a:pt x="-5930" y="130315"/>
                                  <a:pt x="0" y="0"/>
                                </a:cubicBezTo>
                                <a:close/>
                              </a:path>
                              <a:path w="7716520" h="799450"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16888" y="124555"/>
                                  <a:pt x="7707119" y="263611"/>
                                  <a:pt x="7716520" y="391731"/>
                                </a:cubicBezTo>
                                <a:cubicBezTo>
                                  <a:pt x="7725921" y="519851"/>
                                  <a:pt x="7709953" y="651465"/>
                                  <a:pt x="7716520" y="799450"/>
                                </a:cubicBezTo>
                                <a:cubicBezTo>
                                  <a:pt x="7584340" y="831578"/>
                                  <a:pt x="7351923" y="815050"/>
                                  <a:pt x="7073477" y="799450"/>
                                </a:cubicBezTo>
                                <a:cubicBezTo>
                                  <a:pt x="6795031" y="783850"/>
                                  <a:pt x="6789739" y="816420"/>
                                  <a:pt x="6584764" y="799450"/>
                                </a:cubicBezTo>
                                <a:cubicBezTo>
                                  <a:pt x="6379789" y="782480"/>
                                  <a:pt x="6180293" y="822916"/>
                                  <a:pt x="5941720" y="799450"/>
                                </a:cubicBezTo>
                                <a:cubicBezTo>
                                  <a:pt x="5703147" y="775984"/>
                                  <a:pt x="5421160" y="778178"/>
                                  <a:pt x="5144347" y="799450"/>
                                </a:cubicBezTo>
                                <a:cubicBezTo>
                                  <a:pt x="4867534" y="820722"/>
                                  <a:pt x="4751766" y="811831"/>
                                  <a:pt x="4501303" y="799450"/>
                                </a:cubicBezTo>
                                <a:cubicBezTo>
                                  <a:pt x="4250840" y="787069"/>
                                  <a:pt x="4237304" y="786179"/>
                                  <a:pt x="4089756" y="799450"/>
                                </a:cubicBezTo>
                                <a:cubicBezTo>
                                  <a:pt x="3942208" y="812721"/>
                                  <a:pt x="3702969" y="799482"/>
                                  <a:pt x="3601043" y="799450"/>
                                </a:cubicBezTo>
                                <a:cubicBezTo>
                                  <a:pt x="3499117" y="799418"/>
                                  <a:pt x="3048422" y="797103"/>
                                  <a:pt x="2803669" y="799450"/>
                                </a:cubicBezTo>
                                <a:cubicBezTo>
                                  <a:pt x="2558916" y="801797"/>
                                  <a:pt x="2451147" y="823157"/>
                                  <a:pt x="2160626" y="799450"/>
                                </a:cubicBezTo>
                                <a:cubicBezTo>
                                  <a:pt x="1870105" y="775743"/>
                                  <a:pt x="1771257" y="781373"/>
                                  <a:pt x="1671913" y="799450"/>
                                </a:cubicBezTo>
                                <a:cubicBezTo>
                                  <a:pt x="1572569" y="817527"/>
                                  <a:pt x="1322588" y="774736"/>
                                  <a:pt x="1028869" y="799450"/>
                                </a:cubicBezTo>
                                <a:cubicBezTo>
                                  <a:pt x="735150" y="824164"/>
                                  <a:pt x="762570" y="797468"/>
                                  <a:pt x="617322" y="799450"/>
                                </a:cubicBezTo>
                                <a:cubicBezTo>
                                  <a:pt x="472074" y="801432"/>
                                  <a:pt x="276811" y="817317"/>
                                  <a:pt x="0" y="799450"/>
                                </a:cubicBezTo>
                                <a:cubicBezTo>
                                  <a:pt x="4937" y="624227"/>
                                  <a:pt x="-535" y="579993"/>
                                  <a:pt x="0" y="399725"/>
                                </a:cubicBezTo>
                                <a:cubicBezTo>
                                  <a:pt x="535" y="219458"/>
                                  <a:pt x="-3730" y="115900"/>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901947" name="Rectangle 5"/>
                        <wps:cNvSpPr/>
                        <wps:spPr>
                          <a:xfrm>
                            <a:off x="0" y="6486655"/>
                            <a:ext cx="7716520" cy="594995"/>
                          </a:xfrm>
                          <a:custGeom>
                            <a:avLst/>
                            <a:gdLst>
                              <a:gd name="connsiteX0" fmla="*/ 0 w 7716520"/>
                              <a:gd name="connsiteY0" fmla="*/ 0 h 594995"/>
                              <a:gd name="connsiteX1" fmla="*/ 411548 w 7716520"/>
                              <a:gd name="connsiteY1" fmla="*/ 0 h 594995"/>
                              <a:gd name="connsiteX2" fmla="*/ 1131756 w 7716520"/>
                              <a:gd name="connsiteY2" fmla="*/ 0 h 594995"/>
                              <a:gd name="connsiteX3" fmla="*/ 1543304 w 7716520"/>
                              <a:gd name="connsiteY3" fmla="*/ 0 h 594995"/>
                              <a:gd name="connsiteX4" fmla="*/ 2109182 w 7716520"/>
                              <a:gd name="connsiteY4" fmla="*/ 0 h 594995"/>
                              <a:gd name="connsiteX5" fmla="*/ 2906556 w 7716520"/>
                              <a:gd name="connsiteY5" fmla="*/ 0 h 594995"/>
                              <a:gd name="connsiteX6" fmla="*/ 3549599 w 7716520"/>
                              <a:gd name="connsiteY6" fmla="*/ 0 h 594995"/>
                              <a:gd name="connsiteX7" fmla="*/ 4269808 w 7716520"/>
                              <a:gd name="connsiteY7" fmla="*/ 0 h 594995"/>
                              <a:gd name="connsiteX8" fmla="*/ 4835686 w 7716520"/>
                              <a:gd name="connsiteY8" fmla="*/ 0 h 594995"/>
                              <a:gd name="connsiteX9" fmla="*/ 5478729 w 7716520"/>
                              <a:gd name="connsiteY9" fmla="*/ 0 h 594995"/>
                              <a:gd name="connsiteX10" fmla="*/ 6276103 w 7716520"/>
                              <a:gd name="connsiteY10" fmla="*/ 0 h 594995"/>
                              <a:gd name="connsiteX11" fmla="*/ 6764816 w 7716520"/>
                              <a:gd name="connsiteY11" fmla="*/ 0 h 594995"/>
                              <a:gd name="connsiteX12" fmla="*/ 7716520 w 7716520"/>
                              <a:gd name="connsiteY12" fmla="*/ 0 h 594995"/>
                              <a:gd name="connsiteX13" fmla="*/ 7716520 w 7716520"/>
                              <a:gd name="connsiteY13" fmla="*/ 594995 h 594995"/>
                              <a:gd name="connsiteX14" fmla="*/ 7150642 w 7716520"/>
                              <a:gd name="connsiteY14" fmla="*/ 594995 h 594995"/>
                              <a:gd name="connsiteX15" fmla="*/ 6739094 w 7716520"/>
                              <a:gd name="connsiteY15" fmla="*/ 594995 h 594995"/>
                              <a:gd name="connsiteX16" fmla="*/ 6096051 w 7716520"/>
                              <a:gd name="connsiteY16" fmla="*/ 594995 h 594995"/>
                              <a:gd name="connsiteX17" fmla="*/ 5607338 w 7716520"/>
                              <a:gd name="connsiteY17" fmla="*/ 594995 h 594995"/>
                              <a:gd name="connsiteX18" fmla="*/ 4964295 w 7716520"/>
                              <a:gd name="connsiteY18" fmla="*/ 594995 h 594995"/>
                              <a:gd name="connsiteX19" fmla="*/ 4321251 w 7716520"/>
                              <a:gd name="connsiteY19" fmla="*/ 594995 h 594995"/>
                              <a:gd name="connsiteX20" fmla="*/ 3678208 w 7716520"/>
                              <a:gd name="connsiteY20" fmla="*/ 594995 h 594995"/>
                              <a:gd name="connsiteX21" fmla="*/ 3035165 w 7716520"/>
                              <a:gd name="connsiteY21" fmla="*/ 594995 h 594995"/>
                              <a:gd name="connsiteX22" fmla="*/ 2469286 w 7716520"/>
                              <a:gd name="connsiteY22" fmla="*/ 594995 h 594995"/>
                              <a:gd name="connsiteX23" fmla="*/ 1749078 w 7716520"/>
                              <a:gd name="connsiteY23" fmla="*/ 594995 h 594995"/>
                              <a:gd name="connsiteX24" fmla="*/ 1106035 w 7716520"/>
                              <a:gd name="connsiteY24" fmla="*/ 594995 h 594995"/>
                              <a:gd name="connsiteX25" fmla="*/ 0 w 7716520"/>
                              <a:gd name="connsiteY25" fmla="*/ 594995 h 594995"/>
                              <a:gd name="connsiteX26" fmla="*/ 0 w 7716520"/>
                              <a:gd name="connsiteY26" fmla="*/ 0 h 5949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594995"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693738" y="131292"/>
                                  <a:pt x="7698775" y="444451"/>
                                  <a:pt x="7716520" y="594995"/>
                                </a:cubicBezTo>
                                <a:cubicBezTo>
                                  <a:pt x="7591311" y="610190"/>
                                  <a:pt x="7393685" y="603096"/>
                                  <a:pt x="7150642" y="594995"/>
                                </a:cubicBezTo>
                                <a:cubicBezTo>
                                  <a:pt x="6907599" y="586894"/>
                                  <a:pt x="6856554" y="588347"/>
                                  <a:pt x="6739094" y="594995"/>
                                </a:cubicBezTo>
                                <a:cubicBezTo>
                                  <a:pt x="6621634" y="601643"/>
                                  <a:pt x="6301086" y="590384"/>
                                  <a:pt x="6096051" y="594995"/>
                                </a:cubicBezTo>
                                <a:cubicBezTo>
                                  <a:pt x="5891016" y="599606"/>
                                  <a:pt x="5802012" y="593494"/>
                                  <a:pt x="5607338" y="594995"/>
                                </a:cubicBezTo>
                                <a:cubicBezTo>
                                  <a:pt x="5412664" y="596496"/>
                                  <a:pt x="5171691" y="618870"/>
                                  <a:pt x="4964295" y="594995"/>
                                </a:cubicBezTo>
                                <a:cubicBezTo>
                                  <a:pt x="4756899" y="571120"/>
                                  <a:pt x="4573808" y="588149"/>
                                  <a:pt x="4321251" y="594995"/>
                                </a:cubicBezTo>
                                <a:cubicBezTo>
                                  <a:pt x="4068694" y="601841"/>
                                  <a:pt x="3984045" y="600367"/>
                                  <a:pt x="3678208" y="594995"/>
                                </a:cubicBezTo>
                                <a:cubicBezTo>
                                  <a:pt x="3372371" y="589623"/>
                                  <a:pt x="3332905" y="587750"/>
                                  <a:pt x="3035165" y="594995"/>
                                </a:cubicBezTo>
                                <a:cubicBezTo>
                                  <a:pt x="2737425" y="602240"/>
                                  <a:pt x="2747562" y="583786"/>
                                  <a:pt x="2469286" y="594995"/>
                                </a:cubicBezTo>
                                <a:cubicBezTo>
                                  <a:pt x="2191010" y="606204"/>
                                  <a:pt x="2075844" y="623723"/>
                                  <a:pt x="1749078" y="594995"/>
                                </a:cubicBezTo>
                                <a:cubicBezTo>
                                  <a:pt x="1422312" y="566267"/>
                                  <a:pt x="1348848" y="624659"/>
                                  <a:pt x="1106035" y="594995"/>
                                </a:cubicBezTo>
                                <a:cubicBezTo>
                                  <a:pt x="863222" y="565331"/>
                                  <a:pt x="400036" y="558565"/>
                                  <a:pt x="0" y="594995"/>
                                </a:cubicBezTo>
                                <a:cubicBezTo>
                                  <a:pt x="12873" y="467470"/>
                                  <a:pt x="13669" y="139965"/>
                                  <a:pt x="0" y="0"/>
                                </a:cubicBezTo>
                                <a:close/>
                              </a:path>
                              <a:path w="7716520" h="594995"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04079" y="262676"/>
                                  <a:pt x="7692683" y="413162"/>
                                  <a:pt x="7716520" y="594995"/>
                                </a:cubicBezTo>
                                <a:cubicBezTo>
                                  <a:pt x="7632413" y="596040"/>
                                  <a:pt x="7423486" y="596817"/>
                                  <a:pt x="7304972" y="594995"/>
                                </a:cubicBezTo>
                                <a:cubicBezTo>
                                  <a:pt x="7186458" y="593173"/>
                                  <a:pt x="6741738" y="620651"/>
                                  <a:pt x="6507599" y="594995"/>
                                </a:cubicBezTo>
                                <a:cubicBezTo>
                                  <a:pt x="6273460" y="569339"/>
                                  <a:pt x="6223861" y="611965"/>
                                  <a:pt x="6018886" y="594995"/>
                                </a:cubicBezTo>
                                <a:cubicBezTo>
                                  <a:pt x="5813911" y="578025"/>
                                  <a:pt x="5614415" y="618461"/>
                                  <a:pt x="5375842" y="594995"/>
                                </a:cubicBezTo>
                                <a:cubicBezTo>
                                  <a:pt x="5137269" y="571529"/>
                                  <a:pt x="4855282" y="573723"/>
                                  <a:pt x="4578469" y="594995"/>
                                </a:cubicBezTo>
                                <a:cubicBezTo>
                                  <a:pt x="4301656" y="616267"/>
                                  <a:pt x="4185888" y="607376"/>
                                  <a:pt x="3935425" y="594995"/>
                                </a:cubicBezTo>
                                <a:cubicBezTo>
                                  <a:pt x="3684962" y="582614"/>
                                  <a:pt x="3674203" y="587107"/>
                                  <a:pt x="3523877" y="594995"/>
                                </a:cubicBezTo>
                                <a:cubicBezTo>
                                  <a:pt x="3373551" y="602883"/>
                                  <a:pt x="3135346" y="586421"/>
                                  <a:pt x="3035165" y="594995"/>
                                </a:cubicBezTo>
                                <a:cubicBezTo>
                                  <a:pt x="2934984" y="603569"/>
                                  <a:pt x="2482544" y="592648"/>
                                  <a:pt x="2237791" y="594995"/>
                                </a:cubicBezTo>
                                <a:cubicBezTo>
                                  <a:pt x="1993038" y="597342"/>
                                  <a:pt x="1885635" y="619347"/>
                                  <a:pt x="1594747" y="594995"/>
                                </a:cubicBezTo>
                                <a:cubicBezTo>
                                  <a:pt x="1303859" y="570643"/>
                                  <a:pt x="1346507" y="617886"/>
                                  <a:pt x="1106035" y="594995"/>
                                </a:cubicBezTo>
                                <a:cubicBezTo>
                                  <a:pt x="865563" y="572104"/>
                                  <a:pt x="337839" y="597919"/>
                                  <a:pt x="0" y="594995"/>
                                </a:cubicBezTo>
                                <a:cubicBezTo>
                                  <a:pt x="-24494" y="369196"/>
                                  <a:pt x="11428" y="223575"/>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DBCEF0" id="Group 1984713074" o:spid="_x0000_s1026" alt="&quot;&quot;" style="position:absolute;margin-left:63.45pt;margin-top:117pt;width:454.1pt;height:637.25pt;z-index:-251658210;mso-position-horizontal-relative:page;mso-position-vertical-relative:page;mso-width-relative:margin;mso-height-relative:margin" coordorigin=",-665" coordsize="77165,8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Vd1fDUAAFtqAQAOAAAAZHJzL2Uyb0RvYy54bWzsnV2PHLmRte8XeP9Doy8XKCu/s0qwvBh/&#10;jLGA1zZsv7DnstSqlhrb3dVbVRrN+NfvExnMrIisVieZ0tiANxeLsaozyZMkg2QweHj48//44eH+&#10;6vvd4Xi3f3xznf8su77aPd7s3909vn9z/f//8u1qfX11PG0f323v94+7N9c/7o7X//GL//dvP//0&#10;9HpX7D/s79/tDldk8nh8/enpzfWH0+np9atXx5sPu4ft8Wf7p90jD2/3h4ftiZ+H96/eHbafyP3h&#10;/lWRZc2rT/vDu6fD/mZ3PPLXX+vD6190+d/e7m5Of7i9Pe5OV/dvrvm2U/ffQ/fft/LfV7/4+fb1&#10;+8P26cPdTfiM7YyveNjePQI6ZPXr7Wl79fFwd5HVw93NYX/c355+drN/eLW/vb272XVloDR5NirN&#10;bw/7j09dWd6//vT+aagmqnZUT7Ozvfn99789PP356Y8HauLT03vqovslZfnh9vAg/8tXXv3QVdmP&#10;Q5Xtfjhd3fDHum3arKVmb3i2zjZl1tZaqTcfqPlzulXT1M26f/SbkLxt86YuzsmbvM3lnVc9+iv3&#10;TZ+esJLjuSKOX1YRf/6wfdp19Xt8TUX88XB19+7NdbHZbIpNs26vrx63D9jsn7Ci7eP7+91VVzT5&#10;CN4e6uz4+kj1fbbCirzYkFdnaH2tuWK367xp8sYVe/v65uPx9NvdvmuA7fe/O57UUt/xr87O3oWP&#10;u9k/Ph7vTru/UYm3D/cY77+/usquPl31GCHd6PXv/OsfrsxXYMUXuecm96Yqs6qchrBpsqtJiMJA&#10;5GVTFnUxjWETRWCUBqPI1mXVRFSVTRSBUVmM9VpQpsthE0Vg1AajrIty3bbTGDZRBEZjMKqiqrJ1&#10;M41hE0Vg0McGo63W65a+Mo1hE0VgMAMNGHVdZnkbYbs2UQTGxmAwhpVFHlFXNlEERm67bFOvq7aJ&#10;MCyXKgbF9towhkw3SW5TxaDYfhuPYlNVebPGIieHldx233gomyrPK8a8NgLLduN4LJuKCXDDTBmB&#10;ZbtzPJZNVRR51WbrCCzbreOxbKqiKfN6U0Vg2e4dj2VTlXnRNFVMHdpuHo9lU5UNfX2ziSiX7e7x&#10;WDZVVbQl08k0lnhUw5gXjeVSVRuG/CbCNgrb9eOxbKq62rT4WxHlsgNAPJZN1ZRZXWURdljYESAe&#10;y6Zq1llWxfTlwo4A8VgulXqREXVoR4C2KNp1FuE7FC5VNJYdARpSFXXE/F7YVMEvjSiXHQGaLF/L&#10;7DDpBhc2VTyWHQHqCqciqg5tqngsNwLgWrSMNtPlsqmisUo7blR4MUWdT2O5VPFYdgSI9mFLmyoe&#10;y44AxaamCiPqsLSp4rHsCFCUebVhBJhsr9KmiseyI0C+LpoiZl1W2lTxWHYEyPOsyco6olw2VTyW&#10;HQFiVmj2/XgU2/djUOz7LVVdbiLmrNL2+hgU+35Dm9Z5Pj36lba/x6DY95ts02xYCU/60pUdHyJQ&#10;3Pt1VdWEiyJQbB+PQbHvV0SUsqKOQLG9OwbFvl9l+JdVTI3Zfh2DYt8vy7LO1hG+ZWV7dAyKfb9o&#10;MpbFMSi2L8eg2PfzdtOuiyKiXWxfjkGx7+elxCBjWt/25RgU+/6Gpq9iKsx25RgQ/77rjkRE3/fB&#10;v+2HPh5488NjCAjyryuClBKglfjg0/4osVcbHSRA2/8k+qdBVlLJ2xOJ6V82cR+hjUtMt7GJiyRk&#10;eoNNXCYlxsht4iopMbZrE3eRX9ogrsyYpE3cx3bjEmNpNnEXOo5GxoJs4i7gHp2YOcEm3iRVmASa&#10;bGp+J9nY2MjSrCwfmRm/k9BHhkbQKCn5yNTyNFvLR8bG7yT0kbkNewlx9paPDI7fSegjk8vTbC4f&#10;GR2/U9AlZmGtjt9JyUdWRzAjKfnI6oo0q5MQg/v4NKuTqIFLnmZ1sqR3ydOsTlbpLnnaKCcLb5c8&#10;zeqKkdXxO6nhRlZXpFmdrHjtx/M7BV0WsS55mtXJutQlT7M6WWq65GlWJ6tHlzzN6sqR1fE7qepG&#10;VlemWV05sjp+J6GPrI61XVLykdWxaEtJLqspW/P8Tko+sroqzeqqkdXxOwl9ZHVVmtXJCseVPc3q&#10;qpHV8Tvp40dWV6VZXTWyOn4noY+srnJWp95dWAUcoCoI1eW+o7qcrq+guhyur6C6vBVI1gXbkywe&#10;+n9efXpzHeLN11cf+HfgIlzd3t2TzSOcHQg9P5wOH4Xg84f/7pcXD/vvd3/Zd7mczhyP3h7PT28+&#10;vr27+eXu7/bdImvL4HOs4Fk0XUvyZV1GZUNgRS0NVsSms7H+mfIOOjvokXz+/pdmuCEQHIxndZEj&#10;UaxyjbMmppXX1brrjz1c4CAk4oFRNBvtqavLPFkCd3wXAIm8r7tO0AMGQkIiYFFW7M0HwMs86zVB&#10;d31atHnmKrtQdkIiII1XV3h5UmmrizzLsl3Xdf+UIHywO21dpSqkAmIIbIp2qfhkl2MFa6oVqo58&#10;TJ6zm2nxAm0hEa+q2rZc64hxmWWzbqq1DqV5Tdzf4SmFIRGPGE/L/4UyjPNkc6Fuan1a0Ds60+9N&#10;JvAZUgFpwAZj1xa8yHOTNYB2T3OC185kArkhEZCeu9lk2q1Xl3lWGUScUP5N27peGIgOqYBt02SN&#10;ttI4RzbY82aw36ZtHN4wGmJQ8aMMmcBv0zojd5B1tO2snizpL6EFN+uNzh59E1pA5TRIWhnV3djp&#10;f+nYRtL1utaJtS4rYsUeltEtUzNmWCcy5p8G5h3lDPyGBFwMMThyMAiaauNspKUXZpu+i7Cx27ph&#10;zhY4sB1SkAFTy6VKM+KWvlCEfvEsxLCLbEPHGT0+lzlwHxKQIb1tQiOWJZOK6/ltC8EBZ7RDlkA3&#10;zeJNQHmO8mHKhEhAzuBY6iRVrPO2UZfZ2E++oYYFGXJTXTByfQY58CISkAtmSC1zCclsNNrRkJua&#10;4bhDZhCr1iMzONd2YEkkIOdlVeuAUbZltdGIiilzQft2yITi15v6s8iBM5GALNOwGq9MBOyB+urM&#10;2IANj9k6b1jHfqa2A4MiAbnMimDbNYUqKaDLGvaHkC1o55rSlyzE3ONzbQc+RQJyVtOWmnXb1pmu&#10;LM61jY+x0XauN+LAfNbCArsiBZm203Zu4HMV3iOS6m/Dmo3HsIs/26sC1yIBOc8lO6lO3As2jUa1&#10;nTFq6+CJM8BOzHhIH/pz7zPTGHGjNn5mFSb0dk2/ar2FVVm7qQMyFZKPxm1lbHTfnYycMVjX2s7Y&#10;bp3Rw4wJQWMqmTJC1mWTe18j8DdmITdNSZlDodgJyn2vagoIACEKyofhDPgPUzbHLOR6zZQw1DaD&#10;Y+OmwZqJbB36M/tTzFtuDg3cjnnIhRAo+urMatYTtrYrartsdcagzHi4zgArZXrMQmbcKvi/kLbA&#10;vXLdpqoKGlcnFAwQqrV/rLyPeciF8G50qMCR29S+UOUGQhR/kk4nj7FuWyWBBTILGaJFS0OHtGzN&#10;1z5rhjDGkvC4aCoN1fZDXOCEzEIu6Bj0xJCWgVt3PoasYZvgLvVZV9AgbZkDQ6R/bE4CeI/P/1L/&#10;r6ALN/0gxUCxoYCmP+MWbBhMQtYltu8fK19kFnJOt2GYCmmzrOxPfeiHwZeF+NabAcN66+aqwB6Z&#10;hdzWOO+9aVeQa/yCj2ls03e5GptwRqD+eeqoyQDcdxaWRTSmq+O2CAuptmQfXYNifdMHPGWKSKqo&#10;+WGVn/OEyMp0awFxLEPPzWQh9Uz5AmckHm/IklGahZjLckVH0nZsypbFtrMgLV9gj0TjDTnWaxrL&#10;z+gs78M0UHdThhsxFS7QSKLhViZP5s4ic3mucjjQnSHi9dS49bauFTAwSqIBhxyrct0QDbI5li01&#10;KKMf5CFWIM/UZmCWRKOthixL5lWZvu0IQHRLB6aSYQmP2j7U0gWOSTweFIuQJ+eaiGA5wBWTCae8&#10;pIQyl7b+qSIGvkk0oskSAxwVgkEvbEQRVqxyP6orXmCeROOtznmymuL/XQuuGtqtKyDRn7bELTb1&#10;HQCVhBINeM6RxSuzmM2RaEkW4DhZV+q+tB9flI0SjTZkuK6JFjqLoOS9uZT4TM8U7TMRkfv9cafD&#10;m8SXJ4PLx9Nh/98crKO6vnZsmWNjYUJcFWM3smJw6yOzPPSrGGJsa0oslvuZQrpwjM5zjfS4ftE/&#10;ypC5t+3DsvkG58M2KzGpKthtPJosUjBHNb5xjjzDWdUZmVW790Fy4Fi9J5aOr65kBpU6WV3kSTco&#10;NszrXV8n8ODGAbwtAgep1UmjrMu1FnBVXOTZbNZ0OS1+wcRoK7SQoGWtTRFfo6VEvkKIjJlglGcp&#10;BhOiSWVTKTOh73tlm5UslxKrFMYo3rWWgbFylCeOet4SHZQqzTdrbzK8i9uqvk18CauyLjnv0GXJ&#10;WDLOkwV2bzTsDbgmxE/PMqgkaT2CzY22DtGo1TjLmtj2OkRleUjt2yZkwGE8Ta3RRgbhELu4yBI+&#10;ND1eOwV+gJv5dTcptT7xz/FftAFHGRKoaPIQ5KaNlZHQm4sNesa3HqlYsmuVMDcwMdkKk5gjx9K6&#10;FiLAzqlc/9QEhMTqurRRHigBXMLnwY3mdLffVOGjmIl0pcVanW7wOVgsKKd3xTq+ZIyFaMbsu/Rn&#10;wc9VKCFGbUzcAGYot6iwNZzTs8JuXmSB6QYsGLXjUZVQa8y0LqMnf+we4y7WzLj+8bmmi4JFra52&#10;4pCbNWNMP4UwPPgZmZYgVhIcqgZ32W+O2DIXjNYcr0mobd4OQYKSNayMEr7MrOAUuWTsYQPBPz6X&#10;mT1bfMIEqybQNwR3qS4JhjnkrFqHmayiH8kA5R6fkdn4JHyRgEyv5JiE9piGiIBf7NDOZR6Wj4R+&#10;10y3n0MmmlMQNZTHse28kS0DsTA2monPjLJmNdc/xn3MfZDAtjNmjxV0NRaHzG47nGhFZnlcjU2I&#10;oHMgY9UbhlL8mc/UNmt6GialtgknyvFbytzgLcvK1WUtuwva6Rhu2OIYmcG5nRtaBt8/vrbpNNJV&#10;OuQNRkRgyCELSVyH1bZm9vDLPlvbqcECkGSd3CETW8s4r+mQ6StkHx7D7R+V+YuCu/ivwT8gklmN&#10;9oHYoIRvoAMNj4lCuXb+suAuI1ggpVFf7BL5rGti+EN8jI0LP3oKl55z/6FKZO+0Sx1l2w2jrbgt&#10;0s4gMyG72sao2AXuy8wYPnY4wAqr1dR27hZqYWZmpGCvx/VnjIDVVQjUMOQ0PpTOMyKOfbAyrczU&#10;Jqv8vlD4rz6UjooC3IX+MT2bHSVj+kxz/EnHodQyEzOVbWSt7XbDKO2mhKqgU/WxX9m22LhOJ4EN&#10;9vn7tkpqZzZgGHr6XpUz+LqhouSMFFGCkDUG4T09glqsKubVNj24YUIPWRNK8pv3DHA4rT1yyfEm&#10;V2ZqRHr0rDKzzVjTTzUtA74wJExDFpjYefsACpAK5/TOkqzOMna/Q89Iqm1C+LAiQo9k0MATs8hM&#10;IbjufUOWjazzzIcxY3NsqTfANNtmkmCjaLAwVnRuxshx+rJhoGE/3sf4c/o3civzyixMCvavtb7Y&#10;4/U7E6wsIBP0hSLw5Ze7tJNY+5zKZmJkldLjiqdlK7MgLIFnpRkzcHofrX+QVsmM/cPAhYn4CBar&#10;YKYtBWRoYXK0nxMAWUwEWlDUKG2yJMCE3dosGQaDlcpq0bs9CscKDtvvEkXBrYYsoU1gL65CV+wT&#10;q2VDPKxH/l/Awz2TLX5sOgrvnGPJaOHnAaK8sDWl+dgJk11OW3SFq1u6ubZrFNzK5MlqW8JdtvdB&#10;9lNrIhrUKXOZhwEQIyMmEF0+TGLIk81/mQFMnuwEheUwi/taFtvmoQIK14xAWQLgkCfLWxlsbJ6w&#10;OMMakVFdmHP2YQBkiAp7YVFVes6Rpa6s7k0RCJr0pAzgCFG40isetUmYpZsM4/DOWQqZxHufzG5M&#10;ImIy+O0iY2K/RvHYcmIZ2n1IFB481D5PdiKZo7q26KcKnkIn6RAlACcEAVP+8AALhXgkD6IQTZaZ&#10;uGWuSsUnlvLluKvP9vi8huqhy5QotNWQIzNP5cNYImGg4zZ7aYTzn6lOoqU4gin2OeSJ+h3Dlq0v&#10;WUBq81UwAv1aS+vyM0DjGDolH8jaXS2c9eCO+/u7d9/C0JZIeyeVuPvV/eHq+y2U7bfv+5HLvXXf&#10;nfN0f3omoeR3//Hhv/bvNDMshaixNvrwemcCJic+TnJHqa9Xwuv+dfrxftfl9/in3S3CepxGLbqj&#10;qUNGirG9udk9nnJ99GH7bqd/FuTnoe8lQ8lZOOpD3iED0Y08V0aft5YgvC9Jd5005JBYz8x+5sM0&#10;8ZCiQ94/nobED3eP+8NzJbunVAFZ3+8rSatGaunt/t2PyA4e9ipMeXy6+fbucDz9bns8/XF7QMwP&#10;k0Fd8/QH/nN7v4etD/G++xd0/f3h78/9Xd5HF5Gn11efULZ8c338n4/bw+766v4/H1FMhEsnC9RT&#10;94NJQvr+wT55a588fnz41R67Ys3K13X/lPdP9/0/bw/7h78iwvmNoPJo+3gDNmeNT4f+x69O/OYR&#10;Mp43u2++6f6N/CXm/bvHPz/dSOZSq0+U/C8//HV7eLqSf765PrE79Pt9r9K4fd3rIErXGN6VlI/7&#10;bz6e9rd3IpLY2aHWa/iBYqRoW/4DpCNzomjw57ow/dfQjrSimc9qRzJQhhmQOun1Om/+wdKR54+Y&#10;Uo6siGtV62nVEIxtkK8SkYWXEfDnhrch9RHtiRBcsYmmIfCIzxDM9qw9pkthE01D4LUNEATGcAsi&#10;5C9tomkI5qUzhG6YTZfCJpqGYKodIJiLhQA2DWETTUOwGB8giOBucAKnIWyiaQj8kzPEmtVsjJSU&#10;TTQNwaJngGDQICIcUVE20TSELBwHDIjK7E5FKF+6VBEgtq8SNuBsTETvE5rB8GkRILa3hvDsdJtL&#10;UDEFxPbXeBCbSsepyQFLgifDh7HpRWQsoq+7VLFItveyTcP6LGLgEgrW8H2xSLYTCyUMwmtEE9lU&#10;sUi2L0PnJf4WMQDIpntymWyXrtj1I2gbUSabKrZMtmdHC6/JtndqmcTbG9KwG7HmuMN0mVyqyDIR&#10;CTFIqIWxBo1AsqlikWxHly1/VpwRSDZVLJLt7XA1NkQEIpBsqlgkO0ZEy605IclYJNvbI1SKJJI+&#10;WFAshu3nMRj+fesB4uguQkhDJCZKvwlTItwyiD8Nob+oxLS2TdxFG2mDOG0ZmtEmHnb2opAZsW3i&#10;IQIclZhB2CYegmVRiRlXbeIuIBZd5hCvH6qb3xoFiKsycY0s+JlkEPXpYSf1jN7R5OI/nqHKoadZ&#10;WtgWOqOn2Vrgfp+Tp1lbCPSdk6fZW+DlnZOnWVyg6ZyTp9lc4LCdk6dZnczQtuH4nWJ1Mlm75H3o&#10;Ks5oA49o+HjlTEdb3b+wEJLWwVeS59DZlun3p1PngHfHsa3OGGQv0LNEkOsgvt09ZGPS7RNoaKd7&#10;NFieY0zfuF/Kn2YDbhA+GGfI6TjISF2GMAEdVgjyJIIJYwvqXpdqdZFl2QwHFAnuSN/p90cIWUm8&#10;JxUNliR7nYo2znEDFYoNB+lxUB79dkyI/STCwV3GGdWPZENnnCdMv561umILj2HaFHAmd5pNI4C6&#10;77zIElYeZVRLWRUFTGkLGAJDiUXknCw3I2ieF1ly9INdbTx6qhRRks2YmtKFiRIBYb+zO6d1epll&#10;zXGTQL5lt8tvC8KMkZhRIl7NgRnZIu7KcJEnJgPVMRhUR4Q1TRgiSKmAsPMQa+lSXeQIba5neaxK&#10;2eW1LRiiSYl4sFDYX9VGuswSsQYYmaH0KKo7fn+ILKUCEobAurtUnPb2WcqBvX4rmXMAflvbcgDj&#10;xzORAenPt8I0ZSy1lcZTOc/efU0FtcIPahYxjPNhAncD53PDqHAYhdsmhkOJMn+EiKgPZ7K0lQXU&#10;m2oIP3VpE2EhZoAcpgPOwPrSAtnxd+Sjao65q8ReP6iGWNQsWLlxIxDJGM9HagQoEGBk2vVqjjh5&#10;OmsITM2BpXJko1iTwrX2u/ZyzJyd7pDxWphZtntqlGoWLCObaGR11Ugz+9aDDMjtI6HleejPioaQ&#10;1RzYipkf1oYmhZ3ruw67hsK9CBnDenEMjRC/mgULn46JWJPCWMUxNNUINQyyaG/JtfAy7FMNZs2B&#10;5SA+MgxajbDA5BCCzRjGDVoyIWPkW9zIROkHdkViB0LQg2NgfXkgwbqMhacJN0xhIaN7bmsIc80p&#10;LUdBugNiOlx0vcWUVg7w9IppyCTJCGmehpjXHNgc/igKNJq0YcR1rceJDsiValIcdOCwi4OFCkM9&#10;z4Fd015heUKwuPDEPYTTIHhqtkywno2t80Zim67YXQ/0OuklSM+Z2qPRwjpN+DT+6LqifWauGZND&#10;GEY5aDlW7wuferWcr1zOVz7nJwi9azlfqd398izkcr7yOZsRz+Vf93wlW0VC3JSZkPWBHAE0o3V3&#10;+C6cCpSzYl7L5kv8dTmlHg5GCWXWz/u4BMyFvaMpl8u5jyKWwDJizkyIWiCc595rQ//JzewN61m8&#10;ui5jiN+Bzzr466wqzr6+IR15m/G/wiF53Jw+2gE1anTyDfEDjmv0axdOQzqqaLjHa05pURfBcINP&#10;R+jAK3VKDIQ1WCitnBCxlSzHd9ZhLZo4/8vZFExFvxjHXcP3fTVyfg6Bvt4HGjtXOAycL+kXVEmV&#10;zOFftlfVaPCtRs4VJ4c5mRPaNoPE7UjMrA8RrpnlXLGwZJHR+6jsh7plD9vLFee9Qusx4jpLtmpP&#10;iZWMv87x39C2zPX+1A0qGRJf62Fx0G3bfom/ToCCJYhmzD/8cAHTX/Q7AixHpDtfrm95zLw7VaDL&#10;4aS2FUmjLPRMObLrDyfLwRWRhOy8efGxXSXLnZv9ea/EShZ5vP4crizlsRAzOOKvww7WYAZH0Li/&#10;0T39En8dHYdgMwj/jo9ycToldBB2+f353Fn+OqofXdUJg9+vrQmUIoXYPUTBiWCOLWCSt84eQByV&#10;+/D+7UDk/k39m037jWCS3NCtlW09+tOIuiwkcAlgL1zuwIr3RPCFy71wud89HfY3u+Px7vF9TzAX&#10;ivjN77+Hj3/3jkAqKgUMMcKo+RpUboICXFitQ8izVG6OoNR6Fo/+/s+icp8/4qeicr+MgCcxUItm&#10;U7lfhmBqOUPMpXK/DIHJDBCzqdwvQzDfnyHmUrlfhsCBGiBmU7lfhmDqHSBmU7lfhsDpPUPMpXK/&#10;DIE/MkDMpnK/DOFI2fOp3BMgONRDQeZTuSdAbBePZ1nbVMIXnwCxnTwexKZSgGkk29fnUbljkWyX&#10;n0fljkWyPX8elTsWyQ4A86jcsUhuHJhF5Y5FssPBPCp3JJIjZc+jcsci2ZEhLKAjaM82VSyS7ejz&#10;qNyxSLa3z6NyxyLZMWIelTsWyY4RMTRr+34shh0dYjD8+3boxtFdqNxdcIqaiCNaYkrEqgeeZRq9&#10;lta2ibt4TjQyzWgTp1FrNcYyfHYasVbjlkPiNFqtBouGxF1wLLrMC5X7bGrKGYyvupGxqbJLfPKR&#10;ualuQ3zykcFp8C4++cjkoHZrHC6uky5U7rPZKIMnuuaDFNLQXzXWHZ98ZHUas45PPrI6vVCrT67/&#10;+5Wo3DrbsuBaqNxCMpe55TPcF0d/DPdLLFRuqbCFyh1GZWciz+1BL1TuwGNfqNzdfpq3Ef9LhxgU&#10;Z1FQ0y1m5J7gENrtP6ghOcfOu2EL1Ue5NsHsjVpqSBjnYw3VUbmRMvEHJyyVu9M2d3u9lsqdCGup&#10;3A0y26ov3O9dWyo38aCNP7BiqdypsIbKjToe631bjZbKDaeBPXP3VDUGuiZIhGUjfKBy8wVyk6Bp&#10;PUvlFtliXxchSjUL1lC5YdZSkQ7WUrlFE9exFiyVO7G0jsq9QXnWZ2yo3LTtmEGOniHWP6e0ci9j&#10;T+WmbVEotaW1VG6aIMgD9gYXgllzYC2VG6PhXJSDNVRuSsuev3tqqNyJlWyp3JRWhJiNSVkqN4Rq&#10;bpxzT1WxYE5pHZWbQ0ie5OSo3Nxu5OvCUrkTS+uo3Egiqrhj33qOyg3jGX6QqQt7+VcirKVyY1te&#10;TtxSuSGG9HutOporXSMRDvcKac6uWSo5muXGeAYNjkSJF4asIHdj2SImkUOotWeo3OFTFyr39ULl&#10;fs49Wajcy1U5Lw4zbkkUiLj/4lRuVPbVI0dYdnRwXbz5Ntwdw7nykersl/jrhsrNmXJRfjRznaVy&#10;4/FBhnVPDZU7cWqyVG6YzOOjl5bKDSPUq6gLbbOncifCwjw4U7lFS8zN7I7KLRrwjhJqqdyJsI7K&#10;LTraLmNH5cYL8NdLWCp3KqylcmMz/tyfo3Jz2N07V5bKnQjrqNxwUr1z5ajcCEH7Q8SWyp0Ia6nc&#10;3PQiB5WNJVsqNwtEVI/d0xqXFyVucYdSYQ2VmyWtHHywsIbKDSxq5+7pF/jrhsrNxX1cWmAztlRu&#10;upesgMxHWSp3YmktlZsBAckJm7GjcuNy+nW2pXKnwloqNwxyv852VG7uufKrky/y189UbgS9/eKE&#10;hVpP5Zbznj6+Mstfl0usNCFKCaMFwIrRX/dOkfNAacBW+4vz6PjkJZsA6Vzub3/57Te//o1gknzh&#10;cl97Ovaiy23Vtxdd7g+n09PrV6+6Mw3b488e7m4O++P+9vQzNMNf7W9v7252rz6hOP4KxYWs+9cU&#10;l7vork5lpmE1/zXI3BzK4zL14IU8y+Zec0OiBoXp8f8sNvf5I6bY3KiCIEUwTemyjC6hYb6MYLlc&#10;YfaahrCJpiEsiSvMy9MQNtE0hGVviYrSJkbS2iaahiCQNBBvw7G46VLYRNMQbLEOEBUXBnGDyDSE&#10;TTQNYcmcIV49DWETTUOwvhtKwTyOpE87DWETTUNY+iYrOgLgEVqyNtE0hGdzo4qEOtd0MVyqCBDb&#10;V+M50DZVBIjtrfEgNhUH77hJc3IskePSQ9PHI9lUOlhNI9m+i7gOEmARFiD7q8P3xSLZLhzP6rep&#10;YpFsTyZczb11EdRNUTtKLpPt0OEO6Qjbtqliy2T7dXe3exsjb29TxSLZ7s2yhdsZIpSsnTp3JJKn&#10;dNNIXMU3XXsuVSyS7eioEcjdoRFINlUsku3tOQI4bHdFINlUsUiut3d38kUAuUSd2zY5RAhLbegY&#10;ER3JvR9bGNvNYzDs+0SJkGecLoft4DEY/n3r/+HmLlzuLvhLTcTRRDEi4mUD1XHhcku9cX/Ue6EC&#10;dvqr++MV14b1NfS3hcu9f3w83p1236mKWbSlBfJXX5HfLVzu+KobGR2zuobx4vq4TM22k/M7KTnz&#10;rUveBaKjPz7o3g3trkHW+ORMjQ49bXyTWc8lTxvhgiLN+ePTzquwH+PR3YkVrYOvxOXWGR2X4Kfj&#10;cqNFkgWB+RUawV6slit0RZ9XiotmNxI1NrqtoZ3u4WB7bnP4OXoBN0WxS6jNf5EjF3qyPaSNy8dk&#10;nj5ntykSABHYRM+l+8yLLAuegagFhCaI2s1ntmPiAckQCWLN8zJLtKP6e4mRr4Zp6AA1CJRYpdzm&#10;ioyMjiYXWbJ7yEewNKEJL5SfrVBSfAFZp6DqpJ1Arnjtw5XKBagyNLvDhdYrrs3WcalncIUAUWIJ&#10;2bhEBVgRL7NsiJ1l4XMuxJ8tvTG+iAQONpBVu8+8yFIud+b69e4hvQLVNNuGIXiUWELky6osUMIu&#10;s9xkgCgg+lNdMfoKDYGkRDjQkG/STrG6yLKC5RD0zQq5ot50CVpWYkqpcOzHwSXQGhtn2YrCPJJW&#10;OsiIwJYFtAyK+PZrUUrjAt0uzxy+qL9nnjyxmNBDOwXpzyFqCEmeyrA+ObiRMd+vtYN0VaFX//ZN&#10;BbWbu2fVqLh9ebSvbwsahv1o2JoN7KBejB526UXY2oLaD9uXa9grXnY3hKG6mkqEFRHuXld9jaK7&#10;39fnvj40zbQu2MFHis9WspV5T4WF/is7vmIva7k3wmWMGh13dOv8go4aOmMWNgSo5pSWrChhgGUT&#10;2BMzCRgjVRZKy7MRZ4PRpFf4TiwtF9TTaH15OJ3kSlvRkbE5LY8QYv1TKDVsv8wpLTTxTRH0KxET&#10;HJGeKhQe6caaMebm70QIcaw5sPgGCN3rSAcVBJ1F23rCr2Kg1IzlQlxHrZDII0GtObBQ1+W2Ok1a&#10;IFHphlhqNesVECkqt8DajwoRrlmwZJWFkW8t1G431DLHwOTXcRGRReJoFjaEu+bAIr+HnxVKK9rY&#10;bsBl2MqQedSMCVF7+gSfSYhyDioeQ9Z3kHVLf7Cloe2G+ocW469J6avA7HtOD8U51yWoHXE7KRrn&#10;Fm214bBCVwYGQ96zzxRMo1zy96hxf8iP2uFiD5sfPm4QjMQnlI5sJlPF+sysNqaHKDtkLMwdRpOF&#10;zb2wuUf+iXrjC5t7YXO/OMw4n/b/ApubS31xI7rRn8NhIrprRmTWDegy6lNouY2fka2LnjhD4PtX&#10;xEs6WFyn8elLyACi5ywubYM75b1HC5voPYrYtCwYO19Z1HzdXIfUMYu54B+yEFBa0bBcIUwD/1vT&#10;WtLR9OTbtCw4uLqlgy2ZEd2UiEeLV9qvDDLu9bZNQPkr2O6zYIHqufjrshnd9CEHI4vQ8mu5Mcl5&#10;WyyHoeqGmkorLQE0Vj+hoghaeeotoRLhiIW6gEnkmqBGLJxanlNaCM34E6GiUGL2TjjnFIiYBG+Y&#10;OsUZMnbORTQiwjwLtmC12ZsURuvFqIl9tf2VdrzFZSQOlku6ek2GREuGPYxjGpxW1vbESkx5oACz&#10;MgomRev5wxJcx5Vn/ZowrW1lCSsCzZ0lU9sjUjzGy2eFpzSzG0yIOpbQofq0Z9bedAeS84H9HYUI&#10;u+P+29IWHB8fDI4hS0Vk+n4LrQhvetY6KGdhnYf7iFhaE1SwsKx+ObLb27ms/d1T4i3cIjWntHnd&#10;EjPsB4ScAdBlzAl5+VPXBISj/KlpYp8s+mZVsgx/Q1yEXW23rGvh7ofbdta85rXPu6Bb3+xJyxLW&#10;rFnbD2515Q/hi9Z5v/JiVe8XfLOGJsKzxBW7qmv5l+8WPGSJ2T1kYsj8rZuaiEVbWPpHrYPOGRLF&#10;J/him3HFcBSuUeTcw+gaM0WLXAnxKQtRXqqWihjk2btf949/2t3K/nYgviM3zS63KrYPb159v71/&#10;sxDlPx22T2+uj//zcXvYXV/dL0T5qx8e7h+Pr9Eqf3P99YnyjPGcHZSDkl+DJk9gk2M4wYF7liaP&#10;Pye3DWsv+WfR5M8fMUWT10uOpzll+NSGHvbh6mUEpqjh7dmi5y9DMOGfIeaKnr8MwXQ5QMwWPX8Z&#10;wjLcwqXF021hEwkj7mUIHLKhFLNFz1+GwDUbIGaLnr8Mgbtwhpgrev4yBEPEADFb9PxlCEd4j6dH&#10;46UMXzbd4OLJDa/PFz2fKInt4iFQMG25clfm8GkRJbGdPB7EptJSTHYSx3WfJ3oei2R77zzR81gk&#10;2/PniZ7HItkBYJ7oeSySGwdmiZ7HItnhYJ7oeSSSBH+GTjFP9DwWyY4M80TPY5FsR2cvgGtnYlj/&#10;NlUsku3t80TPY5GsPzBP9DwWyY4RMSR2+34shh0dYjD8+9brYDm4EOXTiKQaiRmIoF1ASyIdPzzK&#10;KnqCNE5rE68fEveLjbjENKNN3O1PRyNrDG5A7tZB0Yk14jMk7mJt0Yk10DYk7mLZ0YnF7bKF5reu&#10;z+KqLITGBnDdVYhHZ1Rz6F0EOT45A5xLnmZpC1H+3FMW0fNoqwu7c4PNL6LnGvwd82B0tsWB++mI&#10;8sSvJaIkgwCs3xEjTniIQZyfG03dFp+Gdrp0w3jndt39dpDuwcMxbsPe62qc4YYNbDlAy4ewEeGw&#10;QpAnEQz9qQ1Efy3aRZYlWqtc6CxwsrNndt3YXOC8r86h8UVDjZaVnY6mq3GOyF31NzpDwxvx8Dgd&#10;C588sXDCLt6Ej2THY5wn195Cuteiswml55eGrTS9/y4Rkf2qDKAu1UWWJdXZU4Q5ACBUBFOjITCU&#10;Csgl1GJ00kQXWSINnLM72j1cQTwYbRNzo/Q6bKvGN+Eiet4fUrk4HGCJzfEVCkGdrXFtpMss2Rvt&#10;edYr9ttpTGMyIbKUaDKwbNkxV3/sIsuWDXOhiYs9sdHsjwRZNkp8ARk7IQao65mXeeHpCDyFIq6A&#10;7FKOrr+2iGGcD27j5DDqRM9R5qbEpuqc6DlEXM+ttqLnibBW9LxeNyIQZmCt6Llwpz3JyIqep8Ja&#10;0XP45n6714qe1xtu4PYfZUTPE2Gt6Dnyj9iOLa0VPWe/ufJ1YUXPU2GN6Dmz1+iGeNgvaCkpBQnm&#10;z1jrUENWnYUnwjrRcyjqo/NNRvScts09uTjEr2bBWtFzDuxVjjTlRM8zaCeO22RFzxNLa0XPaWfO&#10;ktm2hUrHIKL9luvO5VJzY+chsjWntE70PENW0GVsRc85vjNid4cw1yxYGCwQYLqkQqLx7o4TPYfB&#10;4OvCip4nVrITPW/g7rjWc6LnFM57l1ZEMRHWip43dQlfzzSeFT2Hf9Q4cozWUCIchzvDWRTOtHBp&#10;tUWDahk4PBz5wJexzxSse12WTX7Mj2PJhy9dWPILS35kQAtLXnQwKgisbX9MZbP29xFUcITFlRBv&#10;8DO90PVJrVJOTrKY0b674oaVUZ6wFjmB2uXZUTPtyGMOy8Xj1TI6h/FlNc6SRV+2DkeyeVhq5LBf&#10;5aG3iCf44jDzTAE5zcQyvC/CKMvuCh1Or0udrdhzseOZHHZl3ZxYn6wQOMWpC9VRhggssnzQxQNr&#10;Pa9hbZ3n+NoUunp/WosD5KwxbAlw11HE1RJUePP+Gg6LmDhFtEbzHJeOb3Cw0AZFxVkqlaeciHNP&#10;qVWu0ghPDflnNGM805RW8xwXFWk+mzGTFX/RpQsuQeMlm63meWJpWSoOwQ5Z4nlmuNM8544iPyla&#10;zfNEWKd5zsUunvfqNM9xM/3Jaat5ngprNc9ZW3lGrdM8x6C9b2U1zxNhneY5lup9KxhpeOmhbenQ&#10;3s6t5nkirNU856qXUVzJap7jN+cj/WqjeZ4KazXPhRntLJkTLRJe0y6ybkT4woy7X+KuW81zBD7w&#10;5UzGVvOccBsHw91TPGk5M6m9OqnfWs3zmiMl/tIAp3nOYVq/zLZiIomVLCcn1mHygiM+WmY7zXNO&#10;nvrB/4vc9bPmOZx/vzYxmufUhMxLpgFmuesrDq4GYXNClow/NkeiQuH4N/HG2h+IfnEiHfvrePQL&#10;l1tqlooYGNoLl/t6//3ucHu//3R99WF/+Psfwq835u/86QRRmafXVwuX+wni9vHpFz+HvS3/+Im5&#10;3ETxkC7qzq19DTY3GgRsioRw5LNsbqSxObIW+sk/i819/ogpNrcqY0XwMA3jTGiYLyPg2w78tDB9&#10;TUPYRNMQ+PQDBCO7TMzTEDbRNIRlb80WPX+5oghIDqWYLXr+MgRO1AAxW/T8ZQjWemeIWIqlTTTd&#10;Fji+A8Rs0fOXS8EaeIDojs3NET1/GcKzuVWgatpqXarpqnJs7rDEjQCxTM8IENtb40FsKpbtHDGc&#10;HEu+gui5Nso0ku3wQW0qouJsqlgk2+/jWf02VSyS7f7zRM9jkWyHZnEkMlIRtWdTxSLZwYCzvaIc&#10;FYFkU8Ui2TEhiEVFINlUkUie0j1L9DwWyXb0eaLnsUi2t88TPY9FshO7Cj9NNxOBm/OAHwtkO3sM&#10;B9q+H4thu3kMhn2fQG9byk0SCqYr4ffvwlHGnpz3Nzl0P0x2MRj+fZs9y8GFy90Fr2TPL4qOjVEQ&#10;GO4b47tuORGdmNa2iRcu9xT5PeySD9XNb41ixDXWwuU+W2qeZm2B+nmu+S4yF23p7Jo4U9ddlPjk&#10;Giw/o6edHwgbZufkXaAyGl0mdNtPlXwTn1zDzAO6BsDjkzP1OvS0EwQyNbrkaePb/xnR8zDJ/pRc&#10;7kX0HNMXY0RlfRE9v2AVPbNHzDplET1fRM8TGDAwJP7RoucIFjY6ycBLzb2unlA62Jvsej3cG7lU&#10;22wRWtKGhpB6d871Bc+lUKaPaCZyTqLLmJ1fwiE+Y+705ktksIFkuPbnHSzseW0lE/I0rBE9b5GD&#10;87JgfNNZ9BxFZ69xHMJQ3UclwlrRc07osNdtS+tEz9HP9twKezYgFdaInsOzHW25CtO4Fz0nZI+Y&#10;pP0oK3qeCOtEz4Vg5UrrRM/hj3uKSohWzalkK3qOoONohrKi5y13jntB+xC6mgVrRc+5NED1g3qa&#10;mBU9x6IRjLOVHOJYc2Cd6DlndbzumxM9F5X9EWnjLHqe2LZW9LyF5OQvZ3ei51yjOToYBSUKZdE5&#10;pYWhNoieQyQbkbed6DkDlq5O+iawoueJpYW0MYiet5uxWqYVPW+hdHnWkxE9T0S1oudlyZDkTMaI&#10;novWqhs3daGTCLfCKns2UyFDgoWD76OEROQMOYxjHymYRrnk71ED8GrIEFJV7Ue6FQiaqZBldIHb&#10;N6L+fQgX+IF+zA9Resj4tGeoloXPvfC5R57Cwude+NwLn/vu5pe7v/9l3910eRKDED+757lyIwWn&#10;oO3wz9KAg2w6ORTcp+NdDOujJ04RLA0gfKrzj9Q4QrojWA7UqxMBq5qTTf5p3kDqn+NiONVzZh/v&#10;UDnVcwSA/aE1qgJek8ZIE2dfq3qOGvfaZ+xUzzmbqaHLflK0quepsEb1nHVQxV13ZmHnVM8LHDnv&#10;wRvV80RYq3rOimQkpG9Vz1mdjS6vsarnibBO9ZwzH94Ld6rn3BQ3OtNmVM9TYY3qOcdFuKXIVrJV&#10;PcehHYkycLHboHqeCOtUzxGdGDG2jeq5ZDzSRDeq56mwrN161XNJ6gXGOWgxqJ7DdOM8ja0Lq3qe&#10;COtUzzNq0TmpTvWcKxY5DGPs3KqeJ8Ja1XMsufWOuFU9x5Ah2FvY3Kiep8Ja1XMWRVxJZMrDIn5Q&#10;PUc5lyP57qlRPU+EtarnEBW8ZL1RPaf2q8Yx9Tv6lm6BJGJa1fMMQQG3craq57LN7qph1viPrLoO&#10;4BzD4q4NW3FcdqhbvTVF8LEoheL4KZOWJIlaBPXZFSy2vEj/Si5C6GavnPWWv+5K/x65BOI7Fop8&#10;aJCFIv8cFX6hyP/w1+0B9vv29eP+m4+n/e3dSTqwkOHf7t/9+MdD+PEPpMjDj0duRG52+RoMeeLK&#10;RFeDf/wsQ96dYfpnMeTPHzHFkF/0zvvg8iWNzLLbFr3zoOL/nEHRuQa63aJ3/kJFOa57PDMaN2Wo&#10;X6GUT3Rv1vnD64veuZxkna4z29cXvfOH++2b639/FQxtuvbsALDonSfWnsTWhv666J2n1h5xy6H2&#10;Fr3z6D77xRz58yTEwnjhyHfRKAlVLBx5uFndjsf+KFsePcn3byPCchpfWTdF+ry+S2MrLxz5oRW+&#10;U/5ItKFCGXBc6YUjH111Yc9ssFndaIpPrtt15+Tdnl188oUjf666LmbfV53+7++OJxmkDrub0xXX&#10;MN5fX6Ficbq+Ory5PlxfvX1z/TaEq7enD+Fdif6OGTBhFvwpOfKL3vmidy426wla7peybRa9c4jV&#10;uuGErJknG1R6R143mX1mv+eZGq0zNqHCRhWa9aM80fBCoFt5E6v1iLcZbsxLBURdkHumu1QXObL/&#10;C++0e7a6FCdn+052gGW2ji/gone+6J2/1tFj0TuP3Wpe9M5xnMKUA90oq3S8aha9c7nWrxuBXXBk&#10;euaGtbDonatFLXrnTN92En9Agk8ppN6OtLqgicLHUp8ATXp0dw13qTuCo7mhItn4owFIyXMgzEF5&#10;AP8rTBIbKHdq4hcZymkO6DXy7QhNj0RNN3CnJOSY5J3kOdS5WheyFznyDKmsQJbteo8pOWQx+Je+&#10;In15/C8tHRgVB3tCbY7zLAquS2nV/yrKDOUmA4gicgazNLGA1CH8VC0gJ4DHeXIbS40krVQaB2O8&#10;unO4HTsREHlsrnUK9nKRJ/4sZ7rUh+QIoxcvLdsMHd7UKi1RL+KkkVbpRZ6L3vmidz7ixy96571v&#10;teidn89NLHrnkYuTRe/8bDSL3vm5Lha98+NOqKjK4R7+0UX2u+Dq8fTb3f5BKuy4v7979y33l3Y/&#10;Du/f/ur+cPX9lk2Cb3/57Te//k1Pgbav3Xf3VPuUNx92D7sh7dv3ebcrev/x4b/27zQ/DjgrH50v&#10;8IxqkxPPJPeORHt8Egqt0GmPpx/vd/KB949/2t1e3b1jp7XoAIaMFGN7c7N7PCn28cP23U7/LMh9&#10;mHBI0VVLl6HkLFe4DnmHDHyZ+ry1YsP7knR3e8u+ypBY94MHGP9hmnhI0SHvH8+JH+4e94fnSnZP&#10;qQKyvt9XklbNmXR8ddizt4Pneny6+fbucDz9bns8/XF7gOPEH0W/fCFzS7Vvv6c7hE5CLf0lhcyN&#10;eb5//ek93G/s9f1h+/Th7ubX29PW/u7a5/Wu2H/Y37/bHX7xvwAAAP//AwBQSwMEFAAGAAgAAAAh&#10;ABOERn7iAAAADQEAAA8AAABkcnMvZG93bnJldi54bWxMj01rwkAQhu+F/odlCr3V3SSNaMxGRNqe&#10;pFAtlN7W7JgEs7shuybx33c81du8zMP7ka8n07IBe984KyGaCWBoS6cbW0n4Pry/LID5oKxWrbMo&#10;4Yoe1sXjQ64y7Ub7hcM+VIxMrM+UhDqELuPclzUa5WeuQ0u/k+uNCiT7iutejWRuWh4LMedGNZYS&#10;atXhtsbyvL8YCR+jGjdJ9Dbszqft9feQfv7sIpTy+WnarIAFnMI/DLf6VB0K6nR0F6s9a0nH8yWh&#10;EuLklUbdCJGkEbAjXalYpMCLnN+vKP4AAAD//wMAUEsBAi0AFAAGAAgAAAAhALaDOJL+AAAA4QEA&#10;ABMAAAAAAAAAAAAAAAAAAAAAAFtDb250ZW50X1R5cGVzXS54bWxQSwECLQAUAAYACAAAACEAOP0h&#10;/9YAAACUAQAACwAAAAAAAAAAAAAAAAAvAQAAX3JlbHMvLnJlbHNQSwECLQAUAAYACAAAACEAUnFX&#10;dXw1AABbagEADgAAAAAAAAAAAAAAAAAuAgAAZHJzL2Uyb0RvYy54bWxQSwECLQAUAAYACAAAACEA&#10;E4RGfuIAAAANAQAADwAAAAAAAAAAAAAAAADWNwAAZHJzL2Rvd25yZXYueG1sUEsFBgAAAAAEAAQA&#10;8wAAAOU4AAAAAA==&#10;" o:allowoverlap="f">
                <v:rect id="Rectangle 5" o:spid="_x0000_s1027" style="position:absolute;top:2129;width:77165;height:78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Y8zAAAAOIAAAAPAAAAZHJzL2Rvd25yZXYueG1sRI9BS8NA&#10;FITvQv/D8gQvYjfmUJPYbSlKQbBYbXvo8ZF9JsHdt2F320R/fVcQPA4z8w0zX47WiDP50DlWcD/N&#10;QBDXTnfcKDjs13cFiBCRNRrHpOCbAiwXk6s5VtoN/EHnXWxEgnCoUEEbY19JGeqWLIap64mT9+m8&#10;xZikb6T2OCS4NTLPspm02HFaaLGnp5bqr93JKlgHc9wMxg3+Nr4divfXn21+elbq5npcPYKINMb/&#10;8F/7RSvIy7LMy1nxAL+X0h2QiwsAAAD//wMAUEsBAi0AFAAGAAgAAAAhANvh9svuAAAAhQEAABMA&#10;AAAAAAAAAAAAAAAAAAAAAFtDb250ZW50X1R5cGVzXS54bWxQSwECLQAUAAYACAAAACEAWvQsW78A&#10;AAAVAQAACwAAAAAAAAAAAAAAAAAfAQAAX3JlbHMvLnJlbHNQSwECLQAUAAYACAAAACEApx7mPMwA&#10;AADiAAAADwAAAAAAAAAAAAAAAAAHAgAAZHJzL2Rvd25yZXYueG1sUEsFBgAAAAADAAMAtwAAAAAD&#10;AAAAAA==&#10;" fillcolor="white [3212]" strokecolor="#a5a5a5 [2092]" strokeweight="1pt"/>
                <v:rect id="Rectangle 5" o:spid="_x0000_s1028" style="position:absolute;top:-665;width:77165;height:5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w4yyAAAAOMAAAAPAAAAZHJzL2Rvd25yZXYueG1sRE9LT8Mw&#10;DL5P4j9ERuK2pd2zK8umwYRAu62Mu9V4TbXGqZqwFn49QULi6O/tzW6wjbhR52vHCtJJAoK4dLrm&#10;SsH5/WWcgfABWWPjmBR8kYfd9m60wVy7nk90K0IlYgj7HBWYENpcSl8asugnriWO3MV1FkM8u0rq&#10;DvsYbhs5TZKltFhzbDDY0rOh8lp8WgXFIfuYXo/rb/Pa14fZudin6VOl1MP9sH8EEWgI/+I/95uO&#10;87PFfLVaLOcz+P0pAiC3PwAAAP//AwBQSwECLQAUAAYACAAAACEA2+H2y+4AAACFAQAAEwAAAAAA&#10;AAAAAAAAAAAAAAAAW0NvbnRlbnRfVHlwZXNdLnhtbFBLAQItABQABgAIAAAAIQBa9CxbvwAAABUB&#10;AAALAAAAAAAAAAAAAAAAAB8BAABfcmVscy8ucmVsc1BLAQItABQABgAIAAAAIQB54w4yyAAAAOMA&#10;AAAPAAAAAAAAAAAAAAAAAAcCAABkcnMvZG93bnJldi54bWxQSwUGAAAAAAMAAwC3AAAA/AIAAAAA&#10;" fillcolor="#e5e97a" strokecolor="#a5a5a5 [2092]" strokeweight="1pt"/>
                <v:rect id="Rectangle 5" o:spid="_x0000_s1029" style="position:absolute;top:4701;width:77165;height:6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RynygAAAOIAAAAPAAAAZHJzL2Rvd25yZXYueG1sRI9BS8NA&#10;FITvgv9heUJvdtNQ4hq7LaItFD2ItYceH9lnsph9G7KbJv33XUHwOMzMN8xqM7lWnKkP1rOGxTwD&#10;QVx5Y7nWcPza3SsQISIbbD2ThgsF2Kxvb1ZYGj/yJ50PsRYJwqFEDU2MXSllqBpyGOa+I07et+8d&#10;xiT7WpoexwR3rcyzrJAOLaeFBjt6aaj6OQxOw/Jhe9x+xDf7bk97hYvX4ZSPg9azu+n5CUSkKf6H&#10;/9p7o6EolHrMVb6E30vpDsj1FQAA//8DAFBLAQItABQABgAIAAAAIQDb4fbL7gAAAIUBAAATAAAA&#10;AAAAAAAAAAAAAAAAAABbQ29udGVudF9UeXBlc10ueG1sUEsBAi0AFAAGAAgAAAAhAFr0LFu/AAAA&#10;FQEAAAsAAAAAAAAAAAAAAAAAHwEAAF9yZWxzLy5yZWxzUEsBAi0AFAAGAAgAAAAhAPEhHKfKAAAA&#10;4gAAAA8AAAAAAAAAAAAAAAAABwIAAGRycy9kb3ducmV2LnhtbFBLBQYAAAAAAwADALcAAAD+AgAA&#10;AAA=&#10;" fillcolor="#fbfade" strokecolor="#a5a5a5 [2092]" strokeweight="1pt"/>
                <v:rect id="Rectangle 5" o:spid="_x0000_s1030" style="position:absolute;top:16985;width:77165;height:8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5T/zAAAAOMAAAAPAAAAZHJzL2Rvd25yZXYueG1sRI/NasMw&#10;EITvhbyD2EJvjSynJMGNEkKbQmgPIT+HHBdra4taK2PJsfv2VaHQ4zAz3zCrzegacaMuWM8a1DQD&#10;QVx6Y7nScDm/PS5BhIhssPFMGr4pwGY9uVthYfzAR7qdYiUShEOBGuoY20LKUNbkMEx9S5y8T985&#10;jEl2lTQdDgnuGpln2Vw6tJwWamzppaby69Q7DU+L3WV3iO/2w173S1Sv/TUfeq0f7sftM4hIY/wP&#10;/7X3RkOu1DxTs8Ush99P6Q/I9Q8AAAD//wMAUEsBAi0AFAAGAAgAAAAhANvh9svuAAAAhQEAABMA&#10;AAAAAAAAAAAAAAAAAAAAAFtDb250ZW50X1R5cGVzXS54bWxQSwECLQAUAAYACAAAACEAWvQsW78A&#10;AAAVAQAACwAAAAAAAAAAAAAAAAAfAQAAX3JlbHMvLnJlbHNQSwECLQAUAAYACAAAACEAHwuU/8wA&#10;AADjAAAADwAAAAAAAAAAAAAAAAAHAgAAZHJzL2Rvd25yZXYueG1sUEsFBgAAAAADAAMAtwAAAAAD&#10;AAAAAA==&#10;" fillcolor="#fbfade" strokecolor="#a5a5a5 [2092]" strokeweight="1pt"/>
                <v:rect id="Rectangle 5" o:spid="_x0000_s1031" style="position:absolute;top:34616;width:77165;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hxwAAAOEAAAAPAAAAZHJzL2Rvd25yZXYueG1sRE/Pa8Iw&#10;FL4P9j+EN9htphW3dtUoY3Mg8yA6Dx4fzbMNa15Kk9ruvzfCYMeP7/diNdpGXKjzxrGCdJKAIC6d&#10;NlwpOH5/PuUgfEDW2DgmBb/kYbW8v1tgod3Ae7ocQiViCPsCFdQhtIWUvqzJop+4ljhyZ9dZDBF2&#10;ldQdDjHcNnKaJC/SouHYUGNL7zWVP4feKphl6+N6F77M1pw2OaYf/Wk69Eo9PoxvcxCBxvAv/nNv&#10;dJz/nGWzNH+F26MIQS6vAAAA//8DAFBLAQItABQABgAIAAAAIQDb4fbL7gAAAIUBAAATAAAAAAAA&#10;AAAAAAAAAAAAAABbQ29udGVudF9UeXBlc10ueG1sUEsBAi0AFAAGAAgAAAAhAFr0LFu/AAAAFQEA&#10;AAsAAAAAAAAAAAAAAAAAHwEAAF9yZWxzLy5yZWxzUEsBAi0AFAAGAAgAAAAhAC9gn+HHAAAA4QAA&#10;AA8AAAAAAAAAAAAAAAAABwIAAGRycy9kb3ducmV2LnhtbFBLBQYAAAAAAwADALcAAAD7AgAAAAA=&#10;" fillcolor="#fbfade" strokecolor="#a5a5a5 [2092]" strokeweight="1pt"/>
                <v:rect id="Rectangle 5" o:spid="_x0000_s1032" style="position:absolute;top:48869;width:77165;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JZnyQAAAOMAAAAPAAAAZHJzL2Rvd25yZXYueG1sRE/NasJA&#10;EL4X+g7LFHqrG2OomrqKWAtSD6L14HHIjslidjZkNyZ9+26h0ON8/7NYDbYWd2q9caxgPEpAEBdO&#10;Gy4VnL8+XmYgfEDWWDsmBd/kYbV8fFhgrl3PR7qfQiliCPscFVQhNLmUvqjIoh+5hjhyV9daDPFs&#10;S6lb7GO4rWWaJK/SouHYUGFDm4qK26mzCrLp9rw9hE+zN5fdDMfv3SXtO6Wen4b1G4hAQ/gX/7l3&#10;Os6fZPM0mU+yKfz+FAGQyx8AAAD//wMAUEsBAi0AFAAGAAgAAAAhANvh9svuAAAAhQEAABMAAAAA&#10;AAAAAAAAAAAAAAAAAFtDb250ZW50X1R5cGVzXS54bWxQSwECLQAUAAYACAAAACEAWvQsW78AAAAV&#10;AQAACwAAAAAAAAAAAAAAAAAfAQAAX3JlbHMvLnJlbHNQSwECLQAUAAYACAAAACEAsVSWZ8kAAADj&#10;AAAADwAAAAAAAAAAAAAAAAAHAgAAZHJzL2Rvd25yZXYueG1sUEsFBgAAAAADAAMAtwAAAP0CAAAA&#10;AA==&#10;" fillcolor="#fbfade" strokecolor="#a5a5a5 [2092]" strokeweight="1pt"/>
                <v:rect id="Rectangle 5" o:spid="_x0000_s1033" style="position:absolute;top:64866;width:77165;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7W5xwAAAOIAAAAPAAAAZHJzL2Rvd25yZXYueG1sRE9bS8Mw&#10;FH4X9h/CEXxzSctwW102hk4Y+jB2edjjoTm2weakNOla/70RBB8/vvtqM7pG3KgL1rOGbKpAEJfe&#10;WK40XM5vjwsQISIbbDyThm8KsFlP7lZYGD/wkW6nWIkUwqFADXWMbSFlKGtyGKa+JU7cp+8cxgS7&#10;SpoOhxTuGpkr9SQdWk4NNbb0UlP5deqdhtl8d9kd4rv9sNf9ArPX/poPvdYP9+P2GUSkMf6L/9x7&#10;k+bnaqmy5WwOv5cSBrn+AQAA//8DAFBLAQItABQABgAIAAAAIQDb4fbL7gAAAIUBAAATAAAAAAAA&#10;AAAAAAAAAAAAAABbQ29udGVudF9UeXBlc10ueG1sUEsBAi0AFAAGAAgAAAAhAFr0LFu/AAAAFQEA&#10;AAsAAAAAAAAAAAAAAAAAHwEAAF9yZWxzLy5yZWxzUEsBAi0AFAAGAAgAAAAhADNntbnHAAAA4gAA&#10;AA8AAAAAAAAAAAAAAAAABwIAAGRycy9kb3ducmV2LnhtbFBLBQYAAAAAAwADALcAAAD7AgAAAAA=&#10;" fillcolor="#fbfade" strokecolor="#a5a5a5 [2092]" strokeweight="1pt"/>
                <w10:wrap anchorx="page" anchory="page"/>
                <w10:anchorlock/>
              </v:group>
            </w:pict>
          </mc:Fallback>
        </mc:AlternateContent>
      </w:r>
      <w:r w:rsidR="00564337" w:rsidRPr="00884FAA">
        <w:t>Understand</w:t>
      </w:r>
      <w:r w:rsidR="00C01934" w:rsidRPr="00884FAA">
        <w:t>ing</w:t>
      </w:r>
      <w:r w:rsidR="00564337" w:rsidRPr="00884FAA">
        <w:t xml:space="preserve"> the </w:t>
      </w:r>
      <w:r w:rsidR="00C01934" w:rsidRPr="00884FAA">
        <w:t>IAHP</w:t>
      </w:r>
      <w:bookmarkEnd w:id="80"/>
      <w:bookmarkEnd w:id="81"/>
    </w:p>
    <w:tbl>
      <w:tblPr>
        <w:tblW w:w="0" w:type="auto"/>
        <w:tblCellMar>
          <w:top w:w="85" w:type="dxa"/>
          <w:bottom w:w="85" w:type="dxa"/>
        </w:tblCellMar>
        <w:tblLook w:val="0000" w:firstRow="0" w:lastRow="0" w:firstColumn="0" w:lastColumn="0" w:noHBand="0" w:noVBand="0"/>
      </w:tblPr>
      <w:tblGrid>
        <w:gridCol w:w="988"/>
        <w:gridCol w:w="8031"/>
      </w:tblGrid>
      <w:tr w:rsidR="00F751C7" w14:paraId="72F8E060" w14:textId="77777777" w:rsidTr="00BD3BBE">
        <w:tc>
          <w:tcPr>
            <w:tcW w:w="9019" w:type="dxa"/>
            <w:gridSpan w:val="2"/>
          </w:tcPr>
          <w:p w14:paraId="3149B030" w14:textId="4B7A78C7" w:rsidR="00F751C7" w:rsidRPr="00F632E2" w:rsidRDefault="00F751C7" w:rsidP="005C0BCA">
            <w:pPr>
              <w:pStyle w:val="Heading6"/>
              <w:numPr>
                <w:ilvl w:val="0"/>
                <w:numId w:val="0"/>
              </w:numPr>
            </w:pPr>
            <w:r w:rsidRPr="00E12C9F">
              <w:rPr>
                <w:color w:val="000000"/>
              </w:rPr>
              <w:t>Key findings</w:t>
            </w:r>
          </w:p>
        </w:tc>
      </w:tr>
      <w:tr w:rsidR="00F751C7" w14:paraId="399EB839" w14:textId="77777777" w:rsidTr="00BD3BBE">
        <w:tc>
          <w:tcPr>
            <w:tcW w:w="988" w:type="dxa"/>
            <w:vAlign w:val="center"/>
          </w:tcPr>
          <w:p w14:paraId="2DC8BEEF" w14:textId="6D5E1187"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1</w:t>
            </w:r>
          </w:p>
        </w:tc>
        <w:tc>
          <w:tcPr>
            <w:tcW w:w="8031" w:type="dxa"/>
            <w:shd w:val="clear" w:color="auto" w:fill="auto"/>
            <w:vAlign w:val="center"/>
          </w:tcPr>
          <w:p w14:paraId="0D3B5E56" w14:textId="3693C624" w:rsidR="00F751C7" w:rsidRPr="009B7154" w:rsidRDefault="00F751C7" w:rsidP="00BD3BBE">
            <w:pPr>
              <w:pStyle w:val="Bullet1"/>
              <w:spacing w:before="60" w:after="60" w:line="240" w:lineRule="auto"/>
              <w:ind w:left="0" w:firstLine="0"/>
              <w:jc w:val="left"/>
              <w:rPr>
                <w:sz w:val="21"/>
                <w:szCs w:val="21"/>
              </w:rPr>
            </w:pPr>
            <w:r w:rsidRPr="009B7154">
              <w:rPr>
                <w:sz w:val="21"/>
                <w:szCs w:val="21"/>
              </w:rPr>
              <w:t xml:space="preserve">Over 2018-19 </w:t>
            </w:r>
            <w:r w:rsidR="00827B03" w:rsidRPr="009B7154">
              <w:rPr>
                <w:sz w:val="21"/>
                <w:szCs w:val="21"/>
              </w:rPr>
              <w:t>to</w:t>
            </w:r>
            <w:r w:rsidRPr="009B7154">
              <w:rPr>
                <w:sz w:val="21"/>
                <w:szCs w:val="21"/>
              </w:rPr>
              <w:t xml:space="preserve"> 2020-21 there were 37 activities and programs funded through the IAHP.</w:t>
            </w:r>
          </w:p>
        </w:tc>
      </w:tr>
      <w:tr w:rsidR="00F751C7" w14:paraId="39DCC4BA" w14:textId="77777777" w:rsidTr="00BD3BBE">
        <w:tc>
          <w:tcPr>
            <w:tcW w:w="988" w:type="dxa"/>
            <w:vAlign w:val="center"/>
          </w:tcPr>
          <w:p w14:paraId="2F74B3DB" w14:textId="4CD35E21"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2</w:t>
            </w:r>
          </w:p>
        </w:tc>
        <w:tc>
          <w:tcPr>
            <w:tcW w:w="8031" w:type="dxa"/>
            <w:shd w:val="clear" w:color="auto" w:fill="auto"/>
            <w:vAlign w:val="center"/>
          </w:tcPr>
          <w:p w14:paraId="2B24B266" w14:textId="243C5ADF" w:rsidR="00F751C7" w:rsidRPr="009B7154" w:rsidRDefault="00F751C7" w:rsidP="00BD3BBE">
            <w:pPr>
              <w:pStyle w:val="Bullet1"/>
              <w:spacing w:before="60" w:after="60" w:line="240" w:lineRule="auto"/>
              <w:ind w:left="0" w:firstLine="0"/>
              <w:jc w:val="left"/>
              <w:rPr>
                <w:sz w:val="21"/>
                <w:szCs w:val="21"/>
              </w:rPr>
            </w:pPr>
            <w:r w:rsidRPr="009B7154">
              <w:rPr>
                <w:sz w:val="21"/>
                <w:szCs w:val="21"/>
              </w:rPr>
              <w:t xml:space="preserve">Over 2018-19 </w:t>
            </w:r>
            <w:r w:rsidR="00827B03" w:rsidRPr="009B7154">
              <w:rPr>
                <w:sz w:val="21"/>
                <w:szCs w:val="21"/>
              </w:rPr>
              <w:t>to</w:t>
            </w:r>
            <w:r w:rsidRPr="009B7154">
              <w:rPr>
                <w:sz w:val="21"/>
                <w:szCs w:val="21"/>
              </w:rPr>
              <w:t xml:space="preserve"> 2020-21 </w:t>
            </w:r>
            <w:r w:rsidRPr="009B7154">
              <w:rPr>
                <w:sz w:val="21"/>
                <w:szCs w:val="21"/>
                <w:lang w:val="en-AU"/>
              </w:rPr>
              <w:t>a</w:t>
            </w:r>
            <w:r w:rsidRPr="009B7154">
              <w:rPr>
                <w:sz w:val="21"/>
                <w:szCs w:val="21"/>
              </w:rPr>
              <w:t xml:space="preserve">lmost two-thirds (64%) of IAHP funding was allocated through a PHC Services funding stream which includes the </w:t>
            </w:r>
            <w:r w:rsidR="000F7ACE" w:rsidRPr="009B7154">
              <w:rPr>
                <w:sz w:val="21"/>
                <w:szCs w:val="21"/>
              </w:rPr>
              <w:t>PHC Program</w:t>
            </w:r>
            <w:r w:rsidRPr="009B7154">
              <w:rPr>
                <w:sz w:val="21"/>
                <w:szCs w:val="21"/>
              </w:rPr>
              <w:t>.</w:t>
            </w:r>
          </w:p>
        </w:tc>
      </w:tr>
      <w:tr w:rsidR="00F751C7" w14:paraId="2A595435" w14:textId="77777777" w:rsidTr="00BD3BBE">
        <w:tc>
          <w:tcPr>
            <w:tcW w:w="988" w:type="dxa"/>
            <w:vAlign w:val="center"/>
          </w:tcPr>
          <w:p w14:paraId="2CD0FDF9" w14:textId="63CEFC04"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3</w:t>
            </w:r>
          </w:p>
        </w:tc>
        <w:tc>
          <w:tcPr>
            <w:tcW w:w="8031" w:type="dxa"/>
            <w:shd w:val="clear" w:color="auto" w:fill="auto"/>
            <w:vAlign w:val="center"/>
          </w:tcPr>
          <w:p w14:paraId="68AC056F" w14:textId="08B47E19" w:rsidR="00F751C7" w:rsidRPr="0082753D" w:rsidRDefault="0082292E" w:rsidP="00BD3BBE">
            <w:pPr>
              <w:pStyle w:val="Bullet1"/>
              <w:spacing w:before="60" w:after="60" w:line="240" w:lineRule="auto"/>
              <w:ind w:left="0" w:firstLine="0"/>
              <w:jc w:val="left"/>
              <w:rPr>
                <w:sz w:val="21"/>
                <w:szCs w:val="21"/>
              </w:rPr>
            </w:pPr>
            <w:r w:rsidRPr="0082753D">
              <w:rPr>
                <w:sz w:val="21"/>
                <w:szCs w:val="21"/>
              </w:rPr>
              <w:t xml:space="preserve">Over </w:t>
            </w:r>
            <w:r w:rsidR="00E74A2C" w:rsidRPr="0082753D">
              <w:rPr>
                <w:sz w:val="21"/>
                <w:szCs w:val="21"/>
              </w:rPr>
              <w:t xml:space="preserve">2015-16 to 2020-21, </w:t>
            </w:r>
            <w:r w:rsidR="00F751C7" w:rsidRPr="0082753D">
              <w:rPr>
                <w:sz w:val="21"/>
                <w:szCs w:val="21"/>
              </w:rPr>
              <w:t>IAHP expenditure account</w:t>
            </w:r>
            <w:r w:rsidR="00E74A2C" w:rsidRPr="0082753D">
              <w:rPr>
                <w:sz w:val="21"/>
                <w:szCs w:val="21"/>
              </w:rPr>
              <w:t xml:space="preserve">ed </w:t>
            </w:r>
            <w:r w:rsidR="00F751C7" w:rsidRPr="0082753D">
              <w:rPr>
                <w:sz w:val="21"/>
                <w:szCs w:val="21"/>
              </w:rPr>
              <w:t>for around 1.0% of Australian Government health spending</w:t>
            </w:r>
            <w:r w:rsidR="00E74A2C" w:rsidRPr="0082753D">
              <w:rPr>
                <w:sz w:val="21"/>
                <w:szCs w:val="21"/>
              </w:rPr>
              <w:t xml:space="preserve"> and</w:t>
            </w:r>
            <w:r w:rsidR="00F751C7" w:rsidRPr="0082753D">
              <w:rPr>
                <w:sz w:val="21"/>
                <w:szCs w:val="21"/>
              </w:rPr>
              <w:t xml:space="preserve"> </w:t>
            </w:r>
            <w:r w:rsidR="001530FD" w:rsidRPr="0082753D">
              <w:rPr>
                <w:sz w:val="21"/>
                <w:szCs w:val="21"/>
              </w:rPr>
              <w:t xml:space="preserve">around </w:t>
            </w:r>
            <w:r w:rsidR="0082753D" w:rsidRPr="0082753D">
              <w:rPr>
                <w:sz w:val="21"/>
                <w:szCs w:val="21"/>
              </w:rPr>
              <w:t>3%</w:t>
            </w:r>
            <w:r w:rsidR="00F751C7" w:rsidRPr="0082753D">
              <w:rPr>
                <w:sz w:val="21"/>
                <w:szCs w:val="21"/>
              </w:rPr>
              <w:t xml:space="preserve"> of Australian Government PHC spending</w:t>
            </w:r>
            <w:r w:rsidR="00E74A2C" w:rsidRPr="0082753D">
              <w:rPr>
                <w:sz w:val="21"/>
                <w:szCs w:val="21"/>
              </w:rPr>
              <w:t xml:space="preserve">. </w:t>
            </w:r>
            <w:r w:rsidR="00307B44" w:rsidRPr="0082753D">
              <w:rPr>
                <w:sz w:val="21"/>
                <w:szCs w:val="21"/>
              </w:rPr>
              <w:t>In 2016-17, IAHP accounted for</w:t>
            </w:r>
            <w:r w:rsidR="00F751C7" w:rsidRPr="0082753D">
              <w:rPr>
                <w:sz w:val="21"/>
                <w:szCs w:val="21"/>
              </w:rPr>
              <w:t xml:space="preserve"> 25% of Australian Government health expenditure for Aboriginal and Torres Strait Islander people.</w:t>
            </w:r>
          </w:p>
        </w:tc>
      </w:tr>
      <w:tr w:rsidR="00F751C7" w14:paraId="58CBCE17" w14:textId="77777777" w:rsidTr="00BD3BBE">
        <w:tc>
          <w:tcPr>
            <w:tcW w:w="988" w:type="dxa"/>
            <w:vAlign w:val="center"/>
          </w:tcPr>
          <w:p w14:paraId="35D8007B" w14:textId="16A7121A"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4</w:t>
            </w:r>
          </w:p>
        </w:tc>
        <w:tc>
          <w:tcPr>
            <w:tcW w:w="8031" w:type="dxa"/>
            <w:shd w:val="clear" w:color="auto" w:fill="auto"/>
            <w:vAlign w:val="center"/>
          </w:tcPr>
          <w:p w14:paraId="3A9748AC" w14:textId="0AD4778C" w:rsidR="00F751C7" w:rsidRPr="009B7154" w:rsidRDefault="00F751C7" w:rsidP="00BD3BBE">
            <w:pPr>
              <w:pStyle w:val="Bullet1"/>
              <w:spacing w:before="60" w:after="60" w:line="240" w:lineRule="auto"/>
              <w:ind w:left="0" w:firstLine="0"/>
              <w:jc w:val="left"/>
              <w:rPr>
                <w:sz w:val="21"/>
                <w:szCs w:val="21"/>
              </w:rPr>
            </w:pPr>
            <w:r w:rsidRPr="009B7154">
              <w:rPr>
                <w:sz w:val="21"/>
                <w:szCs w:val="21"/>
              </w:rPr>
              <w:t xml:space="preserve">The funding pathways between the Department of Health </w:t>
            </w:r>
            <w:r w:rsidR="00937AE7" w:rsidRPr="009B7154">
              <w:rPr>
                <w:sz w:val="21"/>
                <w:szCs w:val="21"/>
              </w:rPr>
              <w:t xml:space="preserve">and Aged Care </w:t>
            </w:r>
            <w:r w:rsidRPr="009B7154">
              <w:rPr>
                <w:sz w:val="21"/>
                <w:szCs w:val="21"/>
              </w:rPr>
              <w:t>and primary care services and organisations creates a complicated and interconnected landscape. Funding for some activities and programs flows directly to health services while other funding flows indirectly through intermediary organisations such as PHNs.</w:t>
            </w:r>
          </w:p>
        </w:tc>
      </w:tr>
      <w:tr w:rsidR="00F751C7" w14:paraId="3B4D7DA4" w14:textId="77777777" w:rsidTr="00BD3BBE">
        <w:tc>
          <w:tcPr>
            <w:tcW w:w="988" w:type="dxa"/>
            <w:vAlign w:val="center"/>
          </w:tcPr>
          <w:p w14:paraId="45061CD6" w14:textId="226E3176"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5</w:t>
            </w:r>
          </w:p>
        </w:tc>
        <w:tc>
          <w:tcPr>
            <w:tcW w:w="8031" w:type="dxa"/>
            <w:shd w:val="clear" w:color="auto" w:fill="auto"/>
            <w:vAlign w:val="center"/>
          </w:tcPr>
          <w:p w14:paraId="168D06E0" w14:textId="0818022F" w:rsidR="00F751C7" w:rsidRPr="009B7154" w:rsidRDefault="00C0001F" w:rsidP="00BD3BBE">
            <w:pPr>
              <w:pStyle w:val="Bullet1"/>
              <w:spacing w:before="60" w:after="60" w:line="240" w:lineRule="auto"/>
              <w:ind w:left="0" w:firstLine="0"/>
              <w:jc w:val="left"/>
              <w:rPr>
                <w:sz w:val="21"/>
                <w:szCs w:val="21"/>
              </w:rPr>
            </w:pPr>
            <w:r>
              <w:rPr>
                <w:sz w:val="21"/>
                <w:szCs w:val="21"/>
              </w:rPr>
              <w:t>In 2021-22, t</w:t>
            </w:r>
            <w:r w:rsidR="00F751C7" w:rsidRPr="009B7154">
              <w:rPr>
                <w:sz w:val="21"/>
                <w:szCs w:val="21"/>
              </w:rPr>
              <w:t xml:space="preserve">he majority (70%) of funding </w:t>
            </w:r>
            <w:r w:rsidR="00CB0E7D">
              <w:rPr>
                <w:sz w:val="21"/>
                <w:szCs w:val="21"/>
              </w:rPr>
              <w:t>went</w:t>
            </w:r>
            <w:r w:rsidR="00F751C7" w:rsidRPr="009B7154">
              <w:rPr>
                <w:sz w:val="21"/>
                <w:szCs w:val="21"/>
              </w:rPr>
              <w:t xml:space="preserve"> to Aboriginal and Torres Strait Islander organisations.</w:t>
            </w:r>
          </w:p>
        </w:tc>
      </w:tr>
      <w:tr w:rsidR="00F751C7" w14:paraId="592599F2" w14:textId="77777777" w:rsidTr="00BD3BBE">
        <w:tc>
          <w:tcPr>
            <w:tcW w:w="988" w:type="dxa"/>
            <w:vAlign w:val="center"/>
          </w:tcPr>
          <w:p w14:paraId="0221CD41" w14:textId="786C3050"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6</w:t>
            </w:r>
          </w:p>
        </w:tc>
        <w:tc>
          <w:tcPr>
            <w:tcW w:w="8031" w:type="dxa"/>
            <w:shd w:val="clear" w:color="auto" w:fill="auto"/>
            <w:vAlign w:val="center"/>
          </w:tcPr>
          <w:p w14:paraId="65CBDE8C" w14:textId="4E99327F" w:rsidR="00F751C7" w:rsidRPr="009B7154" w:rsidRDefault="00F751C7" w:rsidP="00BD3BBE">
            <w:pPr>
              <w:pStyle w:val="Bullet1"/>
              <w:spacing w:before="60" w:after="60" w:line="240" w:lineRule="auto"/>
              <w:ind w:left="0" w:firstLine="0"/>
              <w:jc w:val="left"/>
              <w:rPr>
                <w:sz w:val="21"/>
                <w:szCs w:val="21"/>
              </w:rPr>
            </w:pPr>
            <w:r w:rsidRPr="009B7154">
              <w:rPr>
                <w:sz w:val="21"/>
                <w:szCs w:val="21"/>
              </w:rPr>
              <w:t xml:space="preserve">In some states and territories, organisations funded under the </w:t>
            </w:r>
            <w:r w:rsidR="000F7ACE" w:rsidRPr="009B7154">
              <w:rPr>
                <w:sz w:val="21"/>
                <w:szCs w:val="21"/>
              </w:rPr>
              <w:t>PHC Program</w:t>
            </w:r>
            <w:r w:rsidRPr="009B7154">
              <w:rPr>
                <w:sz w:val="21"/>
                <w:szCs w:val="21"/>
              </w:rPr>
              <w:t xml:space="preserve"> deliver services to one-third to a half of the Aboriginal and Torres Strait Islander population in those locations. In the NT</w:t>
            </w:r>
            <w:r w:rsidR="00B231AB" w:rsidRPr="009B7154">
              <w:rPr>
                <w:sz w:val="21"/>
                <w:szCs w:val="21"/>
              </w:rPr>
              <w:t>,</w:t>
            </w:r>
            <w:r w:rsidRPr="009B7154">
              <w:rPr>
                <w:sz w:val="21"/>
                <w:szCs w:val="21"/>
              </w:rPr>
              <w:t xml:space="preserve"> the majority of the Aboriginal and Torres Strait Islander population is serviced by a funded organisation.</w:t>
            </w:r>
          </w:p>
        </w:tc>
      </w:tr>
      <w:tr w:rsidR="00F751C7" w14:paraId="25494310" w14:textId="77777777" w:rsidTr="00BD3BBE">
        <w:tc>
          <w:tcPr>
            <w:tcW w:w="988" w:type="dxa"/>
            <w:vAlign w:val="center"/>
          </w:tcPr>
          <w:p w14:paraId="7F0D1A14" w14:textId="698672F5"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7</w:t>
            </w:r>
          </w:p>
        </w:tc>
        <w:tc>
          <w:tcPr>
            <w:tcW w:w="8031" w:type="dxa"/>
            <w:shd w:val="clear" w:color="auto" w:fill="auto"/>
            <w:vAlign w:val="center"/>
          </w:tcPr>
          <w:p w14:paraId="34AE7EF5" w14:textId="08F82644" w:rsidR="00F751C7" w:rsidRPr="009B7154" w:rsidRDefault="00F751C7" w:rsidP="00BD3BBE">
            <w:pPr>
              <w:pStyle w:val="Bullet1"/>
              <w:spacing w:before="60" w:after="60" w:line="240" w:lineRule="auto"/>
              <w:ind w:left="0" w:firstLine="0"/>
              <w:jc w:val="left"/>
              <w:rPr>
                <w:sz w:val="21"/>
                <w:szCs w:val="21"/>
              </w:rPr>
            </w:pPr>
            <w:r w:rsidRPr="009B7154">
              <w:rPr>
                <w:sz w:val="21"/>
                <w:szCs w:val="21"/>
              </w:rPr>
              <w:t>IAHP funding has increased over time. From 2014-15 to 2020-21</w:t>
            </w:r>
            <w:r w:rsidR="00B231AB" w:rsidRPr="009B7154">
              <w:rPr>
                <w:sz w:val="21"/>
                <w:szCs w:val="21"/>
              </w:rPr>
              <w:t>,</w:t>
            </w:r>
            <w:r w:rsidRPr="009B7154">
              <w:rPr>
                <w:sz w:val="21"/>
                <w:szCs w:val="21"/>
              </w:rPr>
              <w:t xml:space="preserve"> IAHP expenditure increased at an average rate of 6.2% per year (CPI adjusted). </w:t>
            </w:r>
            <w:r w:rsidR="00B231AB" w:rsidRPr="009B7154">
              <w:rPr>
                <w:sz w:val="21"/>
                <w:szCs w:val="21"/>
              </w:rPr>
              <w:t xml:space="preserve">Half </w:t>
            </w:r>
            <w:r w:rsidRPr="009B7154">
              <w:rPr>
                <w:sz w:val="21"/>
                <w:szCs w:val="21"/>
              </w:rPr>
              <w:t>of this increase occurred in the first year. Since 2015-16 IAHP expenditure has increased at a</w:t>
            </w:r>
            <w:r w:rsidR="00B231AB" w:rsidRPr="009B7154">
              <w:rPr>
                <w:sz w:val="21"/>
                <w:szCs w:val="21"/>
              </w:rPr>
              <w:t>n average</w:t>
            </w:r>
            <w:r w:rsidRPr="009B7154">
              <w:rPr>
                <w:sz w:val="21"/>
                <w:szCs w:val="21"/>
              </w:rPr>
              <w:t xml:space="preserve"> rate of 3.3% per year (CPI adjusted).</w:t>
            </w:r>
          </w:p>
        </w:tc>
      </w:tr>
      <w:tr w:rsidR="00F751C7" w14:paraId="7362FBAC" w14:textId="77777777" w:rsidTr="00BD3BBE">
        <w:tc>
          <w:tcPr>
            <w:tcW w:w="988" w:type="dxa"/>
            <w:vAlign w:val="center"/>
          </w:tcPr>
          <w:p w14:paraId="29C9F84A" w14:textId="65F5119E"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8</w:t>
            </w:r>
          </w:p>
        </w:tc>
        <w:tc>
          <w:tcPr>
            <w:tcW w:w="8031" w:type="dxa"/>
            <w:shd w:val="clear" w:color="auto" w:fill="auto"/>
            <w:vAlign w:val="center"/>
          </w:tcPr>
          <w:p w14:paraId="444703A0" w14:textId="4D9389D9" w:rsidR="00F751C7" w:rsidRPr="009B7154" w:rsidRDefault="00F751C7" w:rsidP="00BD3BBE">
            <w:pPr>
              <w:pStyle w:val="Bullet1"/>
              <w:spacing w:before="60" w:after="60" w:line="240" w:lineRule="auto"/>
              <w:ind w:left="0" w:firstLine="0"/>
              <w:jc w:val="left"/>
              <w:rPr>
                <w:sz w:val="21"/>
                <w:szCs w:val="21"/>
              </w:rPr>
            </w:pPr>
            <w:r w:rsidRPr="009B7154">
              <w:rPr>
                <w:sz w:val="21"/>
                <w:szCs w:val="21"/>
              </w:rPr>
              <w:t>The amount of activity undertaken by organisations that receive IAHP funding increased from 2014-15 to 2019-20 with more clients and more client contacts. Client numbers increased 7.8% over 2014-15 to 2019-20, while client contacts increased 8.3%.</w:t>
            </w:r>
          </w:p>
        </w:tc>
      </w:tr>
      <w:tr w:rsidR="00F751C7" w14:paraId="53BF7816" w14:textId="77777777" w:rsidTr="00BD3BBE">
        <w:tc>
          <w:tcPr>
            <w:tcW w:w="988" w:type="dxa"/>
            <w:vAlign w:val="center"/>
          </w:tcPr>
          <w:p w14:paraId="7BBE8782" w14:textId="05B1DAD4" w:rsidR="00F751C7" w:rsidRPr="00BD3BBE" w:rsidRDefault="00F751C7" w:rsidP="00BD3BBE">
            <w:pPr>
              <w:pStyle w:val="Bullet1"/>
              <w:spacing w:before="60" w:after="60" w:line="240" w:lineRule="auto"/>
              <w:ind w:left="0" w:firstLine="0"/>
              <w:jc w:val="center"/>
              <w:rPr>
                <w:sz w:val="56"/>
                <w:szCs w:val="56"/>
              </w:rPr>
            </w:pPr>
            <w:r w:rsidRPr="00BD3BBE">
              <w:rPr>
                <w:rFonts w:ascii="Calibri" w:hAnsi="Calibri" w:cs="Calibri"/>
                <w:b/>
                <w:bCs/>
                <w:sz w:val="56"/>
                <w:szCs w:val="56"/>
              </w:rPr>
              <w:t>9</w:t>
            </w:r>
          </w:p>
        </w:tc>
        <w:tc>
          <w:tcPr>
            <w:tcW w:w="8031" w:type="dxa"/>
            <w:shd w:val="clear" w:color="auto" w:fill="auto"/>
            <w:vAlign w:val="center"/>
          </w:tcPr>
          <w:p w14:paraId="57618887" w14:textId="5B49172D" w:rsidR="00F751C7" w:rsidRPr="009B7154" w:rsidRDefault="00F751C7" w:rsidP="00BD3BBE">
            <w:pPr>
              <w:pStyle w:val="Bullet1"/>
              <w:spacing w:before="60" w:after="60" w:line="240" w:lineRule="auto"/>
              <w:ind w:left="0" w:firstLine="0"/>
              <w:jc w:val="left"/>
              <w:rPr>
                <w:sz w:val="21"/>
                <w:szCs w:val="21"/>
              </w:rPr>
            </w:pPr>
            <w:r w:rsidRPr="009B7154">
              <w:rPr>
                <w:sz w:val="21"/>
                <w:szCs w:val="21"/>
              </w:rPr>
              <w:t>IAHP funding per client increased 32% between 2014-15 and 2019-20 from $1,390 to $1,831 per client.</w:t>
            </w:r>
          </w:p>
        </w:tc>
      </w:tr>
      <w:tr w:rsidR="00F751C7" w14:paraId="1DAD19FC" w14:textId="77777777" w:rsidTr="00BD3BBE">
        <w:tc>
          <w:tcPr>
            <w:tcW w:w="988" w:type="dxa"/>
            <w:vAlign w:val="center"/>
          </w:tcPr>
          <w:p w14:paraId="45AD2F1D" w14:textId="1324B73B" w:rsidR="00F751C7" w:rsidRPr="00BD3BBE" w:rsidRDefault="00F751C7" w:rsidP="00BD3BBE">
            <w:pPr>
              <w:pStyle w:val="Bullet1"/>
              <w:spacing w:before="60" w:after="60" w:line="240" w:lineRule="auto"/>
              <w:ind w:left="0" w:firstLine="0"/>
              <w:jc w:val="center"/>
              <w:rPr>
                <w:sz w:val="56"/>
                <w:szCs w:val="56"/>
              </w:rPr>
            </w:pPr>
            <w:r w:rsidRPr="00BD3BBE">
              <w:rPr>
                <w:b/>
                <w:bCs/>
                <w:sz w:val="56"/>
                <w:szCs w:val="56"/>
              </w:rPr>
              <w:t>10</w:t>
            </w:r>
          </w:p>
        </w:tc>
        <w:tc>
          <w:tcPr>
            <w:tcW w:w="8031" w:type="dxa"/>
            <w:shd w:val="clear" w:color="auto" w:fill="auto"/>
            <w:vAlign w:val="center"/>
          </w:tcPr>
          <w:p w14:paraId="1FF5398A" w14:textId="4686855E" w:rsidR="00F751C7" w:rsidRPr="009B7154" w:rsidRDefault="00F751C7" w:rsidP="00BD3BBE">
            <w:pPr>
              <w:pStyle w:val="Bullet1"/>
              <w:spacing w:before="60" w:after="60" w:line="240" w:lineRule="auto"/>
              <w:ind w:left="0" w:firstLine="0"/>
              <w:jc w:val="left"/>
              <w:rPr>
                <w:sz w:val="21"/>
                <w:szCs w:val="21"/>
              </w:rPr>
            </w:pPr>
            <w:r w:rsidRPr="009B7154">
              <w:rPr>
                <w:sz w:val="21"/>
                <w:szCs w:val="21"/>
              </w:rPr>
              <w:t>Across the 17 evaluation sites, all 23 ACCHSs, the one government primary care service, and all 13 PHNs received IAHP funding. For the 23 ACCHSs, on average, each organisation received $6.3 million total IAHP funding in the year</w:t>
            </w:r>
            <w:r w:rsidR="009B7154" w:rsidRPr="009B7154">
              <w:rPr>
                <w:sz w:val="21"/>
                <w:szCs w:val="21"/>
              </w:rPr>
              <w:t xml:space="preserve"> to 30 June 2021. There was a significant range in funding for each organisation, from less than $1 million to more than $30 million</w:t>
            </w:r>
            <w:r w:rsidRPr="009B7154">
              <w:rPr>
                <w:sz w:val="21"/>
                <w:szCs w:val="21"/>
              </w:rPr>
              <w:t>.</w:t>
            </w:r>
          </w:p>
        </w:tc>
      </w:tr>
    </w:tbl>
    <w:p w14:paraId="7F6BF870" w14:textId="4575C5BB" w:rsidR="00652098" w:rsidRDefault="00204977">
      <w:pPr>
        <w:jc w:val="left"/>
      </w:pPr>
      <w:r w:rsidRPr="00884FAA">
        <w:rPr>
          <w:noProof/>
        </w:rPr>
        <w:lastRenderedPageBreak/>
        <w:drawing>
          <wp:anchor distT="0" distB="0" distL="114300" distR="114300" simplePos="0" relativeHeight="251657236" behindDoc="1" locked="1" layoutInCell="1" allowOverlap="1" wp14:anchorId="6D31C517" wp14:editId="452D6544">
            <wp:simplePos x="0" y="0"/>
            <wp:positionH relativeFrom="page">
              <wp:align>right</wp:align>
            </wp:positionH>
            <wp:positionV relativeFrom="paragraph">
              <wp:posOffset>-904652</wp:posOffset>
            </wp:positionV>
            <wp:extent cx="7559675" cy="10694670"/>
            <wp:effectExtent l="0" t="0" r="3175" b="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72"/>
                    <a:stretch>
                      <a:fillRect/>
                    </a:stretch>
                  </pic:blipFill>
                  <pic:spPr>
                    <a:xfrm>
                      <a:off x="0" y="0"/>
                      <a:ext cx="7559999" cy="10694758"/>
                    </a:xfrm>
                    <a:prstGeom prst="rect">
                      <a:avLst/>
                    </a:prstGeom>
                  </pic:spPr>
                </pic:pic>
              </a:graphicData>
            </a:graphic>
            <wp14:sizeRelH relativeFrom="margin">
              <wp14:pctWidth>0</wp14:pctWidth>
            </wp14:sizeRelH>
            <wp14:sizeRelV relativeFrom="margin">
              <wp14:pctHeight>0</wp14:pctHeight>
            </wp14:sizeRelV>
          </wp:anchor>
        </w:drawing>
      </w:r>
    </w:p>
    <w:p w14:paraId="12792143" w14:textId="09E586EC" w:rsidR="001E13E7" w:rsidRPr="00884FAA" w:rsidRDefault="001E13E7">
      <w:pPr>
        <w:jc w:val="left"/>
      </w:pPr>
    </w:p>
    <w:p w14:paraId="22A00DDC" w14:textId="6C326FDD" w:rsidR="005A1C29" w:rsidRPr="00884FAA" w:rsidRDefault="005A1C29" w:rsidP="006F3CAC">
      <w:pPr>
        <w:spacing w:before="100" w:beforeAutospacing="1"/>
      </w:pPr>
      <w:bookmarkStart w:id="82" w:name="_Toc130194660"/>
      <w:bookmarkStart w:id="83" w:name="_Toc130802270"/>
      <w:bookmarkStart w:id="84" w:name="_Toc130802271"/>
      <w:bookmarkEnd w:id="82"/>
      <w:bookmarkEnd w:id="83"/>
      <w:bookmarkEnd w:id="84"/>
    </w:p>
    <w:p w14:paraId="58FE94B9" w14:textId="1A1CCA59" w:rsidR="00DE0B4A" w:rsidRPr="00884FAA" w:rsidRDefault="00DE0B4A">
      <w:pPr>
        <w:jc w:val="left"/>
        <w:rPr>
          <w:b/>
          <w:bCs/>
          <w:color w:val="9E6047" w:themeColor="accent3"/>
          <w:sz w:val="36"/>
          <w:szCs w:val="36"/>
        </w:rPr>
      </w:pPr>
      <w:r w:rsidRPr="00884FAA">
        <w:rPr>
          <w:b/>
          <w:bCs/>
          <w:color w:val="9E6047" w:themeColor="accent3"/>
          <w:sz w:val="36"/>
          <w:szCs w:val="36"/>
        </w:rPr>
        <w:br w:type="page"/>
      </w:r>
    </w:p>
    <w:p w14:paraId="20742065" w14:textId="065F4A27" w:rsidR="00652098" w:rsidRDefault="00652098" w:rsidP="0035030F">
      <w:pPr>
        <w:pStyle w:val="Heading2"/>
      </w:pPr>
      <w:bookmarkStart w:id="85" w:name="_Toc131415163"/>
      <w:bookmarkStart w:id="86" w:name="_Toc131490318"/>
      <w:bookmarkStart w:id="87" w:name="_Toc137208895"/>
      <w:bookmarkEnd w:id="85"/>
      <w:bookmarkEnd w:id="86"/>
      <w:r>
        <w:lastRenderedPageBreak/>
        <w:t>Overview</w:t>
      </w:r>
      <w:bookmarkEnd w:id="87"/>
      <w:r>
        <w:t xml:space="preserve"> </w:t>
      </w:r>
    </w:p>
    <w:p w14:paraId="388C4E63" w14:textId="22751BBE" w:rsidR="00652098" w:rsidRDefault="00652098" w:rsidP="00AE38CC">
      <w:pPr>
        <w:widowControl w:val="0"/>
      </w:pPr>
      <w:r w:rsidRPr="001D37CB">
        <w:t>This section provides detailed information about the IAHP, including its objectives, the programs and activities that the IAHP supports, and on funding, including changes in funding over time. This section helps to build an understanding of how the IAHP operates, including the mix of initiatives being funded by the IAHP (Evaluation Question 2.1).</w:t>
      </w:r>
    </w:p>
    <w:p w14:paraId="314752AD" w14:textId="749D4F0C" w:rsidR="00652098" w:rsidRDefault="00652098" w:rsidP="00BC1A23">
      <w:pPr>
        <w:pStyle w:val="Heading6"/>
        <w:numPr>
          <w:ilvl w:val="0"/>
          <w:numId w:val="0"/>
        </w:numPr>
      </w:pPr>
      <w:r>
        <w:t xml:space="preserve">Data sources and methods </w:t>
      </w:r>
    </w:p>
    <w:p w14:paraId="78DD162B" w14:textId="3774B0BB" w:rsidR="001D73AA" w:rsidRPr="001D73AA" w:rsidRDefault="001D73AA" w:rsidP="001D73AA">
      <w:pPr>
        <w:rPr>
          <w:lang w:val="en-NZ"/>
        </w:rPr>
      </w:pPr>
      <w:r w:rsidRPr="001D37CB">
        <w:t xml:space="preserve">This section draws on publicly available financial information and additional IAHP funding data provided by the </w:t>
      </w:r>
      <w:r w:rsidR="00937AE7">
        <w:t>department</w:t>
      </w:r>
      <w:r w:rsidRPr="001D37CB">
        <w:t>. Data on health service clients and population data are sourced from the nKPI and OSR data collections and ABS population statistics.</w:t>
      </w:r>
      <w:r w:rsidR="00C268AB">
        <w:t xml:space="preserve"> </w:t>
      </w:r>
      <w:r w:rsidR="00F810E9">
        <w:t>Detailed s</w:t>
      </w:r>
      <w:r w:rsidR="00C268AB">
        <w:t xml:space="preserve">ite level IAHP funding data </w:t>
      </w:r>
      <w:r w:rsidR="007B3B02">
        <w:t xml:space="preserve">were </w:t>
      </w:r>
      <w:r w:rsidR="00F810E9">
        <w:t>not available</w:t>
      </w:r>
      <w:r w:rsidR="004D43EE">
        <w:t xml:space="preserve">. </w:t>
      </w:r>
      <w:r w:rsidR="00784B1C">
        <w:t>Other s</w:t>
      </w:r>
      <w:r w:rsidR="004D43EE">
        <w:t>ite level data</w:t>
      </w:r>
      <w:r w:rsidR="00784B1C">
        <w:t xml:space="preserve"> has been de-identified in accordance </w:t>
      </w:r>
      <w:r w:rsidR="00DC5504">
        <w:t>with the evaluation’s ethical requirements</w:t>
      </w:r>
      <w:r w:rsidR="00784B1C">
        <w:t>.</w:t>
      </w:r>
      <w:r>
        <w:rPr>
          <w:lang w:val="en-US"/>
        </w:rPr>
        <w:t xml:space="preserve"> </w:t>
      </w:r>
    </w:p>
    <w:p w14:paraId="2F8EAE40" w14:textId="4296BDF6" w:rsidR="00652098" w:rsidRDefault="00696627" w:rsidP="0035030F">
      <w:pPr>
        <w:pStyle w:val="Heading2"/>
      </w:pPr>
      <w:bookmarkStart w:id="88" w:name="_Toc137208896"/>
      <w:r>
        <w:t>About the IAHP</w:t>
      </w:r>
      <w:bookmarkEnd w:id="88"/>
      <w:r>
        <w:t xml:space="preserve"> </w:t>
      </w:r>
    </w:p>
    <w:p w14:paraId="30AC3216" w14:textId="31AB6A20" w:rsidR="00DE0B4A" w:rsidRPr="00884FAA" w:rsidRDefault="00AE38CC" w:rsidP="00AE38CC">
      <w:pPr>
        <w:widowControl w:val="0"/>
      </w:pPr>
      <w:r w:rsidRPr="00884FAA">
        <w:t xml:space="preserve">The objective of the IAHP is to provide Aboriginal and Torres Strait Islander people with access to effective, high quality, comprehensive, and culturally appropriate </w:t>
      </w:r>
      <w:r w:rsidR="003279C5">
        <w:t>PHC</w:t>
      </w:r>
      <w:r w:rsidRPr="00884FAA">
        <w:t xml:space="preserve"> services in urban, regional and remote locations across Australia </w:t>
      </w:r>
      <w:r w:rsidR="00A25294" w:rsidRPr="00884FAA">
        <w:fldChar w:fldCharType="begin"/>
      </w:r>
      <w:r w:rsidR="00F8760E">
        <w:instrText xml:space="preserve"> ADDIN ZOTERO_ITEM CSL_CITATION {"citationID":"CdxrTKbP","properties":{"formattedCitation":"(Australian Department of Health, 2019c, p. 5)","plainCitation":"(Australian Department of Health, 2019c, p. 5)","noteIndex":0},"citationItems":[{"id":3743,"uris":["http://zotero.org/groups/5010721/items/3BIX6AJH",["http://zotero.org/groups/5010721/items/3BIX6AJH"],["http://zotero.org/groups/5010721/items/3BIX6AJH",["http://zotero.org/groups/5010721/items/3BIX6AJH"]]],"itemData":{"id":3743,"type":"report","genre":"IAHP Guidelines GO3199","note":"Accessed via GrantConnect","publisher":"Commonwealth of Australia","title":"Indigenous Australians' Health Programme - Primary Health Care Program (For Organisations Currently Outside the PHC Funding Model) Grant Opportunity Guidelines GO3199","URL":"https://www.grants.gov.au/Go/Show?GoUuid=d9fe68b7-0414-af3e-9707-dacbc0514726","author":[{"literal":"Australian Department of Health"}],"issued":{"date-parts":[["2019",11]]}},"locator":"5","label":"page"}],"schema":"https://github.com/citation-style-language/schema/raw/master/csl-citation.json"} </w:instrText>
      </w:r>
      <w:r w:rsidR="00A25294" w:rsidRPr="00884FAA">
        <w:fldChar w:fldCharType="separate"/>
      </w:r>
      <w:r w:rsidR="009F3C81" w:rsidRPr="009F3C81">
        <w:rPr>
          <w:rFonts w:ascii="Arial" w:hAnsi="Arial" w:cs="Arial"/>
        </w:rPr>
        <w:t>(Australian Department of Health, 2019c, p. 5)</w:t>
      </w:r>
      <w:r w:rsidR="00A25294" w:rsidRPr="00884FAA">
        <w:fldChar w:fldCharType="end"/>
      </w:r>
      <w:r w:rsidRPr="00884FAA">
        <w:t xml:space="preserve">. </w:t>
      </w:r>
    </w:p>
    <w:p w14:paraId="4F4A8846" w14:textId="11C0E8B5" w:rsidR="00AE38CC" w:rsidRPr="00884FAA" w:rsidRDefault="00AE38CC" w:rsidP="00AE38CC">
      <w:pPr>
        <w:widowControl w:val="0"/>
      </w:pPr>
      <w:r w:rsidRPr="00884FAA">
        <w:t>The IAHP seeks to improve:</w:t>
      </w:r>
    </w:p>
    <w:p w14:paraId="795AB766" w14:textId="417840D0" w:rsidR="00AE38CC" w:rsidRPr="00884FAA" w:rsidRDefault="00AE38CC" w:rsidP="00E343E3">
      <w:pPr>
        <w:widowControl w:val="0"/>
        <w:numPr>
          <w:ilvl w:val="0"/>
          <w:numId w:val="17"/>
        </w:numPr>
        <w:spacing w:after="120"/>
        <w:ind w:left="714" w:hanging="357"/>
      </w:pPr>
      <w:r w:rsidRPr="00884FAA">
        <w:t>the health of Aboriginal and Torres Strait Islander people</w:t>
      </w:r>
    </w:p>
    <w:p w14:paraId="283AB952" w14:textId="2CCAA8F5" w:rsidR="00AE38CC" w:rsidRPr="00884FAA" w:rsidRDefault="00AE38CC" w:rsidP="00E343E3">
      <w:pPr>
        <w:widowControl w:val="0"/>
        <w:numPr>
          <w:ilvl w:val="0"/>
          <w:numId w:val="17"/>
        </w:numPr>
        <w:spacing w:after="120"/>
        <w:ind w:left="714" w:hanging="357"/>
      </w:pPr>
      <w:r w:rsidRPr="00884FAA">
        <w:t>access to high-quality, comprehensive and culturally safe and appropriate PHC</w:t>
      </w:r>
    </w:p>
    <w:p w14:paraId="6FE43C9A" w14:textId="5D037C37" w:rsidR="00AE38CC" w:rsidRPr="00884FAA" w:rsidRDefault="00AE38CC" w:rsidP="00E343E3">
      <w:pPr>
        <w:widowControl w:val="0"/>
        <w:numPr>
          <w:ilvl w:val="0"/>
          <w:numId w:val="17"/>
        </w:numPr>
        <w:ind w:left="714" w:hanging="357"/>
      </w:pPr>
      <w:r w:rsidRPr="00884FAA">
        <w:t xml:space="preserve">system level support to increase the effectiveness and efficiency of services for Aboriginal and Torres Strait Islander people </w:t>
      </w:r>
      <w:r w:rsidR="00454374">
        <w:fldChar w:fldCharType="begin"/>
      </w:r>
      <w:r w:rsidR="00F8760E">
        <w:instrText xml:space="preserve"> ADDIN ZOTERO_ITEM CSL_CITATION {"citationID":"j111qFBq","properties":{"formattedCitation":"(Australian Department of Health, 2019c, p. 5)","plainCitation":"(Australian Department of Health, 2019c, p. 5)","noteIndex":0},"citationItems":[{"id":3743,"uris":["http://zotero.org/groups/5010721/items/3BIX6AJH",["http://zotero.org/groups/5010721/items/3BIX6AJH"],["http://zotero.org/groups/5010721/items/3BIX6AJH",["http://zotero.org/groups/5010721/items/3BIX6AJH"]]],"itemData":{"id":3743,"type":"report","genre":"IAHP Guidelines GO3199","note":"Accessed via GrantConnect","publisher":"Commonwealth of Australia","title":"Indigenous Australians' Health Programme - Primary Health Care Program (For Organisations Currently Outside the PHC Funding Model) Grant Opportunity Guidelines GO3199","URL":"https://www.grants.gov.au/Go/Show?GoUuid=d9fe68b7-0414-af3e-9707-dacbc0514726","author":[{"literal":"Australian Department of Health"}],"issued":{"date-parts":[["2019",11]]}},"locator":"5","label":"page"}],"schema":"https://github.com/citation-style-language/schema/raw/master/csl-citation.json"} </w:instrText>
      </w:r>
      <w:r w:rsidR="00454374">
        <w:fldChar w:fldCharType="separate"/>
      </w:r>
      <w:r w:rsidR="009F3C81" w:rsidRPr="009F3C81">
        <w:rPr>
          <w:rFonts w:ascii="Arial" w:hAnsi="Arial" w:cs="Arial"/>
        </w:rPr>
        <w:t>(Australian Department of Health, 2019c, p. 5)</w:t>
      </w:r>
      <w:r w:rsidR="00454374">
        <w:fldChar w:fldCharType="end"/>
      </w:r>
    </w:p>
    <w:p w14:paraId="21F5DA88" w14:textId="71A58BAB" w:rsidR="00AE38CC" w:rsidRPr="00884FAA" w:rsidRDefault="00AE38CC" w:rsidP="00AE38CC">
      <w:pPr>
        <w:keepNext/>
      </w:pPr>
      <w:r w:rsidRPr="00884FAA">
        <w:t xml:space="preserve">Through the IAHP, the Australian Government </w:t>
      </w:r>
      <w:r w:rsidR="00495A48" w:rsidRPr="00884FAA">
        <w:t>funds</w:t>
      </w:r>
      <w:r w:rsidR="00DE1246" w:rsidRPr="00884FAA">
        <w:t>:</w:t>
      </w:r>
    </w:p>
    <w:p w14:paraId="45E3BF55" w14:textId="25403741" w:rsidR="00495A48" w:rsidRPr="00884FAA" w:rsidRDefault="00495A48" w:rsidP="003B3C05">
      <w:pPr>
        <w:numPr>
          <w:ilvl w:val="0"/>
          <w:numId w:val="19"/>
        </w:numPr>
        <w:spacing w:after="120"/>
      </w:pPr>
      <w:r w:rsidRPr="00884FAA">
        <w:t xml:space="preserve">health </w:t>
      </w:r>
      <w:r w:rsidRPr="00BD1F2E">
        <w:t>services</w:t>
      </w:r>
      <w:r w:rsidRPr="00BD1F2E">
        <w:rPr>
          <w:rStyle w:val="FootnoteReference"/>
        </w:rPr>
        <w:footnoteReference w:id="15"/>
      </w:r>
      <w:r w:rsidRPr="00BD1F2E">
        <w:t xml:space="preserve"> to deliver </w:t>
      </w:r>
      <w:r w:rsidRPr="00884FAA">
        <w:t>culturally appropriate PHC services and initiatives</w:t>
      </w:r>
    </w:p>
    <w:p w14:paraId="4D2FEE41" w14:textId="75FAADA6" w:rsidR="00495A48" w:rsidRPr="00884FAA" w:rsidRDefault="00495A48" w:rsidP="003B3C05">
      <w:pPr>
        <w:numPr>
          <w:ilvl w:val="0"/>
          <w:numId w:val="19"/>
        </w:numPr>
        <w:spacing w:after="120"/>
      </w:pPr>
      <w:r w:rsidRPr="00884FAA">
        <w:t>health services to provide targeted health activities (including for eye, ear, and oral health</w:t>
      </w:r>
      <w:r w:rsidR="004A0C8C" w:rsidRPr="00884FAA">
        <w:t>,</w:t>
      </w:r>
      <w:r w:rsidRPr="00884FAA">
        <w:t xml:space="preserve"> mental health</w:t>
      </w:r>
      <w:r w:rsidR="004A0C8C" w:rsidRPr="00884FAA">
        <w:t>,</w:t>
      </w:r>
      <w:r w:rsidRPr="00884FAA">
        <w:t xml:space="preserve"> drug and alcohol use sexually transmitted infections</w:t>
      </w:r>
      <w:r w:rsidR="004A0C8C" w:rsidRPr="00884FAA">
        <w:t>,</w:t>
      </w:r>
      <w:r w:rsidRPr="00884FAA">
        <w:t xml:space="preserve"> and chronic diseases)</w:t>
      </w:r>
    </w:p>
    <w:p w14:paraId="42D40D4D" w14:textId="315EEBBF" w:rsidR="00495A48" w:rsidRPr="00884FAA" w:rsidRDefault="00495A48" w:rsidP="003B3C05">
      <w:pPr>
        <w:numPr>
          <w:ilvl w:val="0"/>
          <w:numId w:val="19"/>
        </w:numPr>
        <w:spacing w:after="120"/>
      </w:pPr>
      <w:r w:rsidRPr="00884FAA">
        <w:t>Primary Health Networks (PHNs) to improve access to coordinated care and organisations to provide outreach services</w:t>
      </w:r>
    </w:p>
    <w:p w14:paraId="5C0F2D12" w14:textId="7D831962" w:rsidR="00495A48" w:rsidRDefault="00495A48" w:rsidP="003B3C05">
      <w:pPr>
        <w:numPr>
          <w:ilvl w:val="0"/>
          <w:numId w:val="19"/>
        </w:numPr>
        <w:spacing w:after="120"/>
      </w:pPr>
      <w:r w:rsidRPr="00884FAA">
        <w:t>the building, repair</w:t>
      </w:r>
      <w:r w:rsidR="004A0C8C" w:rsidRPr="00884FAA">
        <w:t>,</w:t>
      </w:r>
      <w:r w:rsidRPr="00884FAA">
        <w:t xml:space="preserve"> or upgrading of facilities such as Aboriginal Community Controlled Health Service (ACCHS) clinics and housing for staff </w:t>
      </w:r>
      <w:r w:rsidR="00A15097">
        <w:fldChar w:fldCharType="begin"/>
      </w:r>
      <w:r w:rsidR="00F8760E">
        <w:instrText xml:space="preserve"> ADDIN ZOTERO_ITEM CSL_CITATION {"citationID":"gS2GsxO8","properties":{"formattedCitation":"(Australian Department of Health, 2020c)","plainCitation":"(Australian Department of Health, 2020c)","noteIndex":0},"citationItems":[{"id":3745,"uris":["http://zotero.org/groups/5010721/items/WF73SNYW",["http://zotero.org/groups/5010721/items/WF73SNYW"],["http://zotero.org/groups/5010721/items/WF73SNYW",["http://zotero.org/groups/5010721/items/WF73SNYW"]]],"itemData":{"id":3745,"type":"webpage","container-title":"www.health.gov.au","genre":"website text","note":"Commonwealth of Australia","title":"Archived Grant Opportunity View - GO4166","URL":"https://www.grants.gov.au/Go/Show?GoUuid=f013aec7-f401-aa41-da64-ea0a37f50f4f","author":[{"literal":"Australian Department of Health"}],"accessed":{"date-parts":[["2021",10,28]]},"issued":{"date-parts":[["2020",8,12]]}}}],"schema":"https://github.com/citation-style-language/schema/raw/master/csl-citation.json"} </w:instrText>
      </w:r>
      <w:r w:rsidR="00A15097">
        <w:fldChar w:fldCharType="separate"/>
      </w:r>
      <w:r w:rsidR="002730C3" w:rsidRPr="003B3C05">
        <w:t>(Australian Department of Health, 2020c)</w:t>
      </w:r>
      <w:r w:rsidR="00A15097">
        <w:fldChar w:fldCharType="end"/>
      </w:r>
      <w:r w:rsidR="00491764">
        <w:t>.</w:t>
      </w:r>
      <w:r w:rsidRPr="00884FAA">
        <w:t xml:space="preserve"> </w:t>
      </w:r>
    </w:p>
    <w:p w14:paraId="1F8EFF35" w14:textId="2C4E0563" w:rsidR="00D8791C" w:rsidRDefault="00D8791C" w:rsidP="00AE38CC">
      <w:r>
        <w:lastRenderedPageBreak/>
        <w:t>Th</w:t>
      </w:r>
      <w:r w:rsidRPr="00D8791C">
        <w:t>e IAHP funds programs and activities as part of a complex and overlapping interconnected system of funding and programs across the health</w:t>
      </w:r>
      <w:r w:rsidR="00AE4725">
        <w:t xml:space="preserve"> </w:t>
      </w:r>
      <w:r w:rsidRPr="00D8791C">
        <w:t>care system. Most notably, many programs and activities are not solely funded by the IAHP and may receive funding from other areas such as workforce, the Medicare Benefits Scheme (MBS), the Pharmaceutical Benefits Scheme (PBS) or Practice Incentive Program (PIP) Indigenous Health Incentive (IHI).</w:t>
      </w:r>
    </w:p>
    <w:p w14:paraId="050399FD" w14:textId="744B71E6" w:rsidR="00AE38CC" w:rsidRPr="00884FAA" w:rsidRDefault="00E45951" w:rsidP="00AE38CC">
      <w:r w:rsidRPr="00884FAA">
        <w:t>A</w:t>
      </w:r>
      <w:r w:rsidR="00AE38CC" w:rsidRPr="00884FAA">
        <w:t xml:space="preserve"> program theory and logic model for the IAHP was developed by the </w:t>
      </w:r>
      <w:r w:rsidR="00937AE7">
        <w:t>department</w:t>
      </w:r>
      <w:r w:rsidR="00AE38CC" w:rsidRPr="00884FAA">
        <w:t>’s First Nations Health Division in 2015.</w:t>
      </w:r>
      <w:r w:rsidR="00A839C4">
        <w:t xml:space="preserve"> This is included in </w:t>
      </w:r>
      <w:r w:rsidR="00757E10" w:rsidRPr="00827E97">
        <w:t>Final Report Supporting Material</w:t>
      </w:r>
      <w:r w:rsidR="00827E97" w:rsidRPr="00827E97">
        <w:t xml:space="preserve"> </w:t>
      </w:r>
      <w:r w:rsidR="00757E10" w:rsidRPr="00827E97">
        <w:t xml:space="preserve">Appendix </w:t>
      </w:r>
      <w:r w:rsidR="00827E97" w:rsidRPr="00827E97">
        <w:t>E</w:t>
      </w:r>
      <w:r w:rsidR="00E37EDB" w:rsidRPr="00827E97">
        <w:t>.</w:t>
      </w:r>
      <w:r w:rsidR="00E37EDB">
        <w:t xml:space="preserve"> </w:t>
      </w:r>
      <w:r w:rsidR="00B40EAF" w:rsidRPr="00884FAA">
        <w:t xml:space="preserve">The program theory and logic </w:t>
      </w:r>
      <w:r w:rsidR="00045F75" w:rsidRPr="00884FAA">
        <w:t xml:space="preserve">were </w:t>
      </w:r>
      <w:r w:rsidR="00B40EAF" w:rsidRPr="00884FAA">
        <w:t xml:space="preserve">developed to guide the design of this evaluation and supported the framing of the </w:t>
      </w:r>
      <w:r w:rsidR="00E353BE" w:rsidRPr="00884FAA">
        <w:t xml:space="preserve">key </w:t>
      </w:r>
      <w:r w:rsidR="00B40EAF" w:rsidRPr="00884FAA">
        <w:t xml:space="preserve">evaluation questions. </w:t>
      </w:r>
      <w:r w:rsidR="00495A48" w:rsidRPr="00884FAA">
        <w:t xml:space="preserve">The theory and model supports understanding about how different elements of the IAHP are intended to work alongside each other to support health outcomes for Aboriginal and Torres Strait Islander people. </w:t>
      </w:r>
    </w:p>
    <w:p w14:paraId="3B5C0647" w14:textId="18763F19" w:rsidR="004D77A9" w:rsidRPr="00884FAA" w:rsidRDefault="004D77A9" w:rsidP="00651D06">
      <w:pPr>
        <w:pStyle w:val="Heading3"/>
      </w:pPr>
      <w:r w:rsidRPr="00884FAA">
        <w:t xml:space="preserve">IAHP </w:t>
      </w:r>
      <w:r w:rsidR="00B27920">
        <w:t>funding streams</w:t>
      </w:r>
      <w:r w:rsidR="00B27920" w:rsidRPr="00884FAA">
        <w:t xml:space="preserve"> </w:t>
      </w:r>
      <w:r w:rsidRPr="00884FAA">
        <w:t>and activities</w:t>
      </w:r>
    </w:p>
    <w:p w14:paraId="3111D20F" w14:textId="45A5FB78" w:rsidR="009D203B" w:rsidRDefault="009D203B" w:rsidP="00495A48">
      <w:r>
        <w:t xml:space="preserve">The IAHP includes </w:t>
      </w:r>
      <w:r w:rsidR="00BF7CA3">
        <w:t xml:space="preserve">a range of programs and activities. The programs and activities funded through the IAHP are not static and the IAHP evolves to accommodate new and emerging priorities. </w:t>
      </w:r>
      <w:r w:rsidR="002A2AA9">
        <w:t>The con</w:t>
      </w:r>
      <w:r w:rsidR="007F03DE">
        <w:t>figuration of IAHP programs and activities</w:t>
      </w:r>
      <w:r w:rsidR="00C85FEF">
        <w:t xml:space="preserve"> </w:t>
      </w:r>
      <w:r w:rsidR="00C8442B">
        <w:t xml:space="preserve">under different areas has </w:t>
      </w:r>
      <w:r w:rsidR="00810A7A">
        <w:t xml:space="preserve">evolved over the evaluation period. </w:t>
      </w:r>
      <w:r w:rsidR="00BC08EB">
        <w:t xml:space="preserve">The evaluation reports on </w:t>
      </w:r>
      <w:r w:rsidR="00830A7E">
        <w:t xml:space="preserve">programs, activities and funding under </w:t>
      </w:r>
      <w:r w:rsidR="006D2482">
        <w:t xml:space="preserve">5 </w:t>
      </w:r>
      <w:r w:rsidR="00830A7E">
        <w:t xml:space="preserve">themes and </w:t>
      </w:r>
      <w:r w:rsidR="006D2482">
        <w:t xml:space="preserve">9 </w:t>
      </w:r>
      <w:r w:rsidR="00B3001E">
        <w:t>funding</w:t>
      </w:r>
      <w:r w:rsidR="00830A7E">
        <w:t xml:space="preserve"> streams</w:t>
      </w:r>
      <w:r w:rsidR="00B75146">
        <w:t xml:space="preserve">. The </w:t>
      </w:r>
      <w:r w:rsidR="006D2482">
        <w:t xml:space="preserve">9 </w:t>
      </w:r>
      <w:r w:rsidR="00B3001E">
        <w:t>funding</w:t>
      </w:r>
      <w:r w:rsidR="00B75146">
        <w:t xml:space="preserve"> streams align with funding data pro</w:t>
      </w:r>
      <w:r w:rsidR="003423A1">
        <w:t xml:space="preserve">vided by the </w:t>
      </w:r>
      <w:r w:rsidR="00937AE7">
        <w:t>department</w:t>
      </w:r>
      <w:r w:rsidR="003423A1">
        <w:t>.</w:t>
      </w:r>
      <w:r w:rsidR="00AA35E2">
        <w:t xml:space="preserve"> </w:t>
      </w:r>
    </w:p>
    <w:p w14:paraId="044D4BE3" w14:textId="3AF17217" w:rsidR="009233AD" w:rsidRDefault="009233AD" w:rsidP="009233AD">
      <w:r>
        <w:t xml:space="preserve">To support improvements to health outcomes for Aboriginal and Torres Strait Islander people, the IAHP provides funding to services to deliver health services to Aboriginal and Torres Strait Islander people across </w:t>
      </w:r>
      <w:r w:rsidR="006D2482">
        <w:t xml:space="preserve">5 </w:t>
      </w:r>
      <w:r w:rsidR="003423A1">
        <w:t>themes</w:t>
      </w:r>
      <w:r>
        <w:t>:</w:t>
      </w:r>
    </w:p>
    <w:p w14:paraId="2464F96A" w14:textId="0AFFE533" w:rsidR="009233AD" w:rsidRDefault="009233AD" w:rsidP="00F16837">
      <w:pPr>
        <w:pStyle w:val="Bullet-Number"/>
        <w:numPr>
          <w:ilvl w:val="0"/>
          <w:numId w:val="43"/>
        </w:numPr>
      </w:pPr>
      <w:r w:rsidRPr="00210B2B">
        <w:rPr>
          <w:b/>
          <w:bCs/>
        </w:rPr>
        <w:t>Comprehensive PHC</w:t>
      </w:r>
      <w:r w:rsidR="00D26DAA">
        <w:rPr>
          <w:b/>
          <w:bCs/>
        </w:rPr>
        <w:t xml:space="preserve"> services</w:t>
      </w:r>
      <w:r>
        <w:t>, through funding A</w:t>
      </w:r>
      <w:r w:rsidR="00A96BCE">
        <w:t>CCHSs</w:t>
      </w:r>
      <w:r>
        <w:t xml:space="preserve"> and other health services to deliver </w:t>
      </w:r>
      <w:r w:rsidR="003279C5">
        <w:t>PHC</w:t>
      </w:r>
      <w:r>
        <w:t xml:space="preserve"> to Aboriginal and Torres Strait Islander people. </w:t>
      </w:r>
    </w:p>
    <w:p w14:paraId="50C128F4" w14:textId="2894A002" w:rsidR="009233AD" w:rsidRDefault="009233AD" w:rsidP="00210B2B">
      <w:pPr>
        <w:pStyle w:val="Bullet-Number"/>
      </w:pPr>
      <w:r w:rsidRPr="00EB6CDC">
        <w:rPr>
          <w:b/>
          <w:bCs/>
        </w:rPr>
        <w:t>Improving access to PHC</w:t>
      </w:r>
      <w:r>
        <w:t>, by increasing the capacity of ‘mainstream’ health</w:t>
      </w:r>
      <w:r w:rsidR="00A96BCE">
        <w:t xml:space="preserve"> </w:t>
      </w:r>
      <w:r>
        <w:t xml:space="preserve">care services to provide culturally appropriate care and by improving outreach, coordination and referral services to connect </w:t>
      </w:r>
      <w:r w:rsidR="007A4EB4">
        <w:t xml:space="preserve">Aboriginal and Torres Strait Islander people </w:t>
      </w:r>
      <w:r>
        <w:t xml:space="preserve">to the full range of services appropriate to their health needs. </w:t>
      </w:r>
    </w:p>
    <w:p w14:paraId="1D4D037E" w14:textId="77777777" w:rsidR="009233AD" w:rsidRDefault="009233AD" w:rsidP="00210B2B">
      <w:pPr>
        <w:pStyle w:val="Bullet-Number"/>
      </w:pPr>
      <w:r w:rsidRPr="00EB6CDC">
        <w:rPr>
          <w:b/>
          <w:bCs/>
        </w:rPr>
        <w:t>Targeted health activities</w:t>
      </w:r>
      <w:r>
        <w:t xml:space="preserve"> such as anti-smoking, mental health, eye and ear health, blood borne viruses and sexually transmitted infections, chronic conditions such as diabetes, renal disease, cancer, heart disease, respiratory disease and rheumatic heart disease. </w:t>
      </w:r>
    </w:p>
    <w:p w14:paraId="2E8BAD00" w14:textId="77777777" w:rsidR="009233AD" w:rsidRDefault="009233AD" w:rsidP="00210B2B">
      <w:pPr>
        <w:pStyle w:val="Bullet-Number"/>
      </w:pPr>
      <w:r w:rsidRPr="00EB6CDC">
        <w:rPr>
          <w:b/>
          <w:bCs/>
        </w:rPr>
        <w:t>Capital works</w:t>
      </w:r>
      <w:r>
        <w:t xml:space="preserve">, including upgrading and maintenance of IAHP funded PHC facilities and residential staff accommodation. </w:t>
      </w:r>
    </w:p>
    <w:p w14:paraId="3F78A3A1" w14:textId="77777777" w:rsidR="009233AD" w:rsidRDefault="009233AD" w:rsidP="00A27DE2">
      <w:pPr>
        <w:pStyle w:val="Bullet-Number"/>
        <w:spacing w:after="240"/>
        <w:ind w:left="714" w:hanging="357"/>
      </w:pPr>
      <w:r w:rsidRPr="00EB6CDC">
        <w:rPr>
          <w:b/>
          <w:bCs/>
        </w:rPr>
        <w:t>Governance and system effectiveness</w:t>
      </w:r>
      <w:r>
        <w:t>, including funding of information systems, system support, data, evaluation, and continuous quality improvement.</w:t>
      </w:r>
    </w:p>
    <w:p w14:paraId="60F531EE" w14:textId="35CD6660" w:rsidR="00983A79" w:rsidRDefault="00983A79" w:rsidP="00983A79">
      <w:r>
        <w:t xml:space="preserve">Between 2018-19 and 2020-21 there were 37 activities and programs funded through the IAHP. These are set out in </w:t>
      </w:r>
      <w:r w:rsidRPr="00884FAA">
        <w:fldChar w:fldCharType="begin"/>
      </w:r>
      <w:r w:rsidRPr="00884FAA">
        <w:instrText xml:space="preserve"> REF _Ref131078953 \h </w:instrText>
      </w:r>
      <w:r w:rsidRPr="00884FAA">
        <w:fldChar w:fldCharType="separate"/>
      </w:r>
      <w:r w:rsidR="00165B17" w:rsidRPr="00884FAA">
        <w:t xml:space="preserve">Table </w:t>
      </w:r>
      <w:r w:rsidR="00165B17">
        <w:rPr>
          <w:noProof/>
        </w:rPr>
        <w:t>3</w:t>
      </w:r>
      <w:r w:rsidR="00165B17">
        <w:noBreakHyphen/>
      </w:r>
      <w:r w:rsidR="00165B17">
        <w:rPr>
          <w:noProof/>
        </w:rPr>
        <w:t>1</w:t>
      </w:r>
      <w:r w:rsidRPr="00884FAA">
        <w:fldChar w:fldCharType="end"/>
      </w:r>
      <w:r w:rsidRPr="00884FAA">
        <w:t>.</w:t>
      </w:r>
      <w:r w:rsidR="00545C23">
        <w:t xml:space="preserve"> </w:t>
      </w:r>
    </w:p>
    <w:p w14:paraId="0B115985" w14:textId="5C1E36AB" w:rsidR="00545C23" w:rsidRPr="00411637" w:rsidRDefault="00785637" w:rsidP="00A27A46">
      <w:pPr>
        <w:pStyle w:val="Heading4"/>
        <w:ind w:left="1134" w:hanging="1134"/>
      </w:pPr>
      <w:r w:rsidRPr="00411637">
        <w:lastRenderedPageBreak/>
        <w:t>PHC</w:t>
      </w:r>
      <w:r w:rsidR="00C0788F" w:rsidRPr="00411637">
        <w:t>, including comprehensive PHC</w:t>
      </w:r>
    </w:p>
    <w:p w14:paraId="6226DD9E" w14:textId="7907E049" w:rsidR="0063629D" w:rsidRDefault="006C1A6D" w:rsidP="00983A79">
      <w:r>
        <w:t>The central pillar o</w:t>
      </w:r>
      <w:r w:rsidR="0093324E">
        <w:t>f</w:t>
      </w:r>
      <w:r>
        <w:t xml:space="preserve"> the IAHP is funding for the delivery of comprehensive </w:t>
      </w:r>
      <w:r w:rsidR="00085825">
        <w:t xml:space="preserve">PHC </w:t>
      </w:r>
      <w:r w:rsidR="00EC249A">
        <w:t xml:space="preserve">for </w:t>
      </w:r>
      <w:r>
        <w:t xml:space="preserve">Aboriginal </w:t>
      </w:r>
      <w:r w:rsidR="00EC249A">
        <w:t xml:space="preserve">and Torres Strait Islander people. The IAHP funds Aboriginal Community Controlled Health Services and other health services to deliver </w:t>
      </w:r>
      <w:r w:rsidR="003279C5">
        <w:t>PHC</w:t>
      </w:r>
      <w:r w:rsidR="00491806">
        <w:t xml:space="preserve"> through the </w:t>
      </w:r>
      <w:r w:rsidR="000F7ACE">
        <w:t>PHC Program</w:t>
      </w:r>
      <w:r w:rsidR="00A072DD">
        <w:t>.</w:t>
      </w:r>
    </w:p>
    <w:p w14:paraId="2B8E5981" w14:textId="76D22BB6" w:rsidR="002C1F21" w:rsidRDefault="00425AB8" w:rsidP="00983A79">
      <w:r w:rsidRPr="00425AB8">
        <w:rPr>
          <w:lang w:val="en-NZ"/>
        </w:rPr>
        <w:t xml:space="preserve">The objective of the </w:t>
      </w:r>
      <w:r w:rsidR="000F7ACE">
        <w:rPr>
          <w:lang w:val="en-NZ"/>
        </w:rPr>
        <w:t>PHC Program</w:t>
      </w:r>
      <w:r w:rsidRPr="00425AB8">
        <w:rPr>
          <w:lang w:val="en-NZ"/>
        </w:rPr>
        <w:t xml:space="preserve"> is to contribute to closing the gap in life expectancy within a generation and to halve the gap in mortality rates for Aboriginal and Torres Strait Islander children under five within a decade through the provision of high quality, comprehensive, culturally appropriate </w:t>
      </w:r>
      <w:r w:rsidR="003279C5">
        <w:rPr>
          <w:lang w:val="en-NZ"/>
        </w:rPr>
        <w:t>PHC</w:t>
      </w:r>
      <w:r w:rsidR="001300D4">
        <w:rPr>
          <w:lang w:val="en-NZ"/>
        </w:rPr>
        <w:t xml:space="preserve"> </w:t>
      </w:r>
      <w:r w:rsidR="00F27016">
        <w:rPr>
          <w:lang w:val="en-NZ"/>
        </w:rPr>
        <w:fldChar w:fldCharType="begin"/>
      </w:r>
      <w:r w:rsidR="00F8760E">
        <w:rPr>
          <w:lang w:val="en-NZ"/>
        </w:rPr>
        <w:instrText xml:space="preserve"> ADDIN ZOTERO_ITEM CSL_CITATION {"citationID":"orhUGDyh","properties":{"formattedCitation":"(Australian Department of Health and Age Care, 2019)","plainCitation":"(Australian Department of Health and Age Care, 2019)","noteIndex":0},"citationItems":[{"id":476,"uris":["http://zotero.org/groups/4420056/items/H2YX9QJX",["http://zotero.org/groups/4420056/items/H2YX9QJX"],["http://zotero.org/groups/4420056/items/H2YX9QJX",["http://zotero.org/groups/4420056/items/H2YX9QJX"]]],"itemData":{"id":476,"type":"report","event-place":"Canberra","genre":"IAHP Guidelines GO2884","publisher":"Grant Connect, Australian Government","publisher-place":"Canberra","title":"Indigenous Australians' Health Programme Primary Health Care Program (PHC Funding Model) Grant Opportunity Guidelines GO2884","author":[{"literal":"Australian Department of Health and Age Care"}],"issued":{"date-parts":[["2019",11]]}}}],"schema":"https://github.com/citation-style-language/schema/raw/master/csl-citation.json"} </w:instrText>
      </w:r>
      <w:r w:rsidR="00F27016">
        <w:rPr>
          <w:lang w:val="en-NZ"/>
        </w:rPr>
        <w:fldChar w:fldCharType="separate"/>
      </w:r>
      <w:r w:rsidR="00F27016" w:rsidRPr="00F27016">
        <w:rPr>
          <w:rFonts w:ascii="Arial" w:hAnsi="Arial" w:cs="Arial"/>
        </w:rPr>
        <w:t>(Australian Department of Health and Age Care, 2019)</w:t>
      </w:r>
      <w:r w:rsidR="00F27016">
        <w:rPr>
          <w:lang w:val="en-NZ"/>
        </w:rPr>
        <w:fldChar w:fldCharType="end"/>
      </w:r>
      <w:r w:rsidRPr="00425AB8">
        <w:rPr>
          <w:lang w:val="en-NZ"/>
        </w:rPr>
        <w:t>.</w:t>
      </w:r>
      <w:r w:rsidR="0057432B">
        <w:rPr>
          <w:lang w:val="en-NZ"/>
        </w:rPr>
        <w:t xml:space="preserve"> </w:t>
      </w:r>
      <w:r w:rsidR="002C1F21">
        <w:t>Funding is provided to a range of organisations, including ACCH</w:t>
      </w:r>
      <w:r w:rsidR="006437F1">
        <w:t>S</w:t>
      </w:r>
      <w:r w:rsidR="002C1F21">
        <w:t>s, to support and deliver</w:t>
      </w:r>
      <w:r w:rsidR="009B6474">
        <w:t xml:space="preserve"> </w:t>
      </w:r>
      <w:r w:rsidR="00D663CA">
        <w:t>comprehensive</w:t>
      </w:r>
      <w:r w:rsidR="009B6474">
        <w:t>, culturally appropriate PHC services to Aboriginal and Torres Strait Islander people</w:t>
      </w:r>
      <w:r w:rsidR="00D663CA">
        <w:t>.</w:t>
      </w:r>
    </w:p>
    <w:p w14:paraId="3B022F0F" w14:textId="2CECCF7F" w:rsidR="0057432B" w:rsidRPr="00884FAA" w:rsidRDefault="0057432B" w:rsidP="0057432B">
      <w:r>
        <w:t>F</w:t>
      </w:r>
      <w:r w:rsidRPr="00884FAA">
        <w:t xml:space="preserve">urther details of </w:t>
      </w:r>
      <w:r>
        <w:t xml:space="preserve">the </w:t>
      </w:r>
      <w:r w:rsidR="000F7ACE">
        <w:t>PHC Program</w:t>
      </w:r>
      <w:r w:rsidRPr="00884FAA">
        <w:t xml:space="preserve"> are </w:t>
      </w:r>
      <w:r>
        <w:t xml:space="preserve">set out </w:t>
      </w:r>
      <w:r w:rsidRPr="00B56D41">
        <w:t xml:space="preserve">in Final Report Supporting Material Appendix </w:t>
      </w:r>
      <w:r w:rsidR="00B56D41" w:rsidRPr="00B56D41">
        <w:t>F</w:t>
      </w:r>
      <w:r w:rsidRPr="00B56D41">
        <w:t>.</w:t>
      </w:r>
      <w:r w:rsidRPr="00884FAA">
        <w:t xml:space="preserve"> </w:t>
      </w:r>
    </w:p>
    <w:p w14:paraId="2069268C" w14:textId="754FEF30" w:rsidR="006F1155" w:rsidRPr="00411637" w:rsidRDefault="006F1155" w:rsidP="006D6569">
      <w:pPr>
        <w:pStyle w:val="Heading4"/>
        <w:ind w:left="1134" w:hanging="1134"/>
      </w:pPr>
      <w:r w:rsidRPr="00411637">
        <w:t>Improving access to PHC</w:t>
      </w:r>
    </w:p>
    <w:p w14:paraId="12EB32F3" w14:textId="5C51C15D" w:rsidR="00EE3E34" w:rsidRDefault="00EC249A" w:rsidP="00983A79">
      <w:r>
        <w:t>The IAHP support</w:t>
      </w:r>
      <w:r w:rsidR="009D7E20">
        <w:t>s</w:t>
      </w:r>
      <w:r>
        <w:t xml:space="preserve"> improvements to the delivery of </w:t>
      </w:r>
      <w:r w:rsidR="00141795">
        <w:t xml:space="preserve">PHC to Aboriginal and </w:t>
      </w:r>
      <w:r w:rsidR="0093447E">
        <w:t>Torres</w:t>
      </w:r>
      <w:r w:rsidR="00141795">
        <w:t xml:space="preserve"> Strait Islander people in mainstream settings. </w:t>
      </w:r>
      <w:r w:rsidR="00206224">
        <w:t>Programs and activities under this theme</w:t>
      </w:r>
      <w:r w:rsidR="000605A8">
        <w:t xml:space="preserve"> </w:t>
      </w:r>
      <w:r w:rsidR="00D663CA">
        <w:t>aim</w:t>
      </w:r>
      <w:r w:rsidR="00211FDF">
        <w:t xml:space="preserve"> to improve access to PHC </w:t>
      </w:r>
      <w:r w:rsidR="009D7E20">
        <w:t>and improve the capacity of mainstream services to deliver culturally safe services to Aboriginal and Torres Strait Islander people.</w:t>
      </w:r>
    </w:p>
    <w:p w14:paraId="02E9BBBF" w14:textId="77777777" w:rsidR="00B049E6" w:rsidRDefault="00EE3E34" w:rsidP="00983A79">
      <w:r>
        <w:t xml:space="preserve">This </w:t>
      </w:r>
      <w:r w:rsidR="001E4123">
        <w:t xml:space="preserve">theme </w:t>
      </w:r>
      <w:r>
        <w:t>includes investment in</w:t>
      </w:r>
      <w:r w:rsidR="00B049E6">
        <w:t>:</w:t>
      </w:r>
    </w:p>
    <w:p w14:paraId="2002F7E4" w14:textId="5D54EB26" w:rsidR="00AF46B3" w:rsidRDefault="00EE3E34" w:rsidP="003B3C05">
      <w:pPr>
        <w:numPr>
          <w:ilvl w:val="0"/>
          <w:numId w:val="19"/>
        </w:numPr>
        <w:spacing w:after="120"/>
      </w:pPr>
      <w:r>
        <w:t xml:space="preserve">the Remote Area Health Corps </w:t>
      </w:r>
      <w:r w:rsidR="000B0D93">
        <w:t>program</w:t>
      </w:r>
      <w:r w:rsidR="00AF46B3">
        <w:t>,</w:t>
      </w:r>
      <w:r w:rsidR="000B0D93">
        <w:t xml:space="preserve"> which aims to address critical short-term workforce shortages in remote communities in the N</w:t>
      </w:r>
      <w:r w:rsidR="00CE2BCB">
        <w:t>T</w:t>
      </w:r>
      <w:r w:rsidR="000B0D93">
        <w:t xml:space="preserve"> by recruiting urban-based health professionals for short term deployments</w:t>
      </w:r>
      <w:r w:rsidR="009F6DC5">
        <w:t>.</w:t>
      </w:r>
    </w:p>
    <w:p w14:paraId="3FC00919" w14:textId="1DCDFA88" w:rsidR="00A422AF" w:rsidRDefault="00E24142" w:rsidP="003B3C05">
      <w:pPr>
        <w:numPr>
          <w:ilvl w:val="0"/>
          <w:numId w:val="19"/>
        </w:numPr>
        <w:spacing w:after="120"/>
      </w:pPr>
      <w:r>
        <w:t>the Medical Outreach Indigenous Chronic Disease Program (MOICDP)</w:t>
      </w:r>
      <w:r w:rsidR="00A422AF">
        <w:t xml:space="preserve">, which aims </w:t>
      </w:r>
      <w:r w:rsidR="000E376E">
        <w:t xml:space="preserve">to improve access to health services for Aboriginal and Torres Strait Islander people </w:t>
      </w:r>
      <w:r w:rsidR="00384D0B">
        <w:t xml:space="preserve">living with chronic disease through </w:t>
      </w:r>
      <w:r w:rsidR="002B1B27">
        <w:t>subsidising health professionals providing outreach services</w:t>
      </w:r>
      <w:r w:rsidR="009F6DC5">
        <w:t>.</w:t>
      </w:r>
    </w:p>
    <w:p w14:paraId="62BB3C03" w14:textId="77777777" w:rsidR="00767A49" w:rsidRPr="00767A49" w:rsidRDefault="00A422AF" w:rsidP="003B3C05">
      <w:pPr>
        <w:numPr>
          <w:ilvl w:val="0"/>
          <w:numId w:val="19"/>
        </w:numPr>
        <w:spacing w:after="120"/>
      </w:pPr>
      <w:r>
        <w:t xml:space="preserve">the </w:t>
      </w:r>
      <w:r w:rsidR="008B0E1A">
        <w:t>I</w:t>
      </w:r>
      <w:r>
        <w:t xml:space="preserve">ntegrated </w:t>
      </w:r>
      <w:r w:rsidR="008B0E1A">
        <w:t>Team Care (ITC) program, which funds the</w:t>
      </w:r>
      <w:r w:rsidR="00261797">
        <w:t xml:space="preserve"> coordination of care for people with chronic disease</w:t>
      </w:r>
      <w:r w:rsidR="00241CED">
        <w:t xml:space="preserve"> and assists </w:t>
      </w:r>
      <w:r w:rsidR="001D05F7" w:rsidRPr="001D05F7">
        <w:t xml:space="preserve">them to </w:t>
      </w:r>
      <w:r w:rsidR="00241CED">
        <w:t>access</w:t>
      </w:r>
      <w:r w:rsidR="00767A49">
        <w:t xml:space="preserve"> care</w:t>
      </w:r>
      <w:r w:rsidR="001D05F7" w:rsidRPr="001D05F7">
        <w:t xml:space="preserve">, and </w:t>
      </w:r>
      <w:r w:rsidR="00767A49">
        <w:t>supports</w:t>
      </w:r>
      <w:r w:rsidR="001D05F7" w:rsidRPr="001D05F7">
        <w:t xml:space="preserve"> mainstream health services</w:t>
      </w:r>
      <w:r w:rsidR="00767A49">
        <w:t xml:space="preserve"> to</w:t>
      </w:r>
      <w:r w:rsidR="001D05F7" w:rsidRPr="001D05F7">
        <w:t xml:space="preserve"> provide more culturally appropriate care for Aboriginal and Torres Strait Islander people.</w:t>
      </w:r>
    </w:p>
    <w:p w14:paraId="5D46F6D4" w14:textId="04EC6664" w:rsidR="006F1155" w:rsidRDefault="009B50CC" w:rsidP="003B3C05">
      <w:pPr>
        <w:numPr>
          <w:ilvl w:val="0"/>
          <w:numId w:val="19"/>
        </w:numPr>
        <w:spacing w:after="120"/>
      </w:pPr>
      <w:r>
        <w:t>the PBS Co-payment</w:t>
      </w:r>
      <w:r w:rsidR="007C4256">
        <w:t>,</w:t>
      </w:r>
      <w:r>
        <w:t xml:space="preserve"> </w:t>
      </w:r>
      <w:r w:rsidR="007C4256">
        <w:t xml:space="preserve">which subsidises </w:t>
      </w:r>
      <w:r w:rsidR="007C4256" w:rsidRPr="007C4256">
        <w:t xml:space="preserve">the cost of PBS medicines for eligible Aboriginal and Torres Strait Islander people living with, or at risk of, </w:t>
      </w:r>
      <w:r w:rsidR="00321E92">
        <w:t xml:space="preserve">a </w:t>
      </w:r>
      <w:r w:rsidR="007C4256" w:rsidRPr="007C4256">
        <w:t>chronic disease.</w:t>
      </w:r>
      <w:r w:rsidR="00AA35E2">
        <w:t xml:space="preserve"> </w:t>
      </w:r>
    </w:p>
    <w:p w14:paraId="0B4ECA49" w14:textId="3DEC548C" w:rsidR="007136D6" w:rsidRDefault="007136D6" w:rsidP="00E75F8D">
      <w:pPr>
        <w:spacing w:after="360"/>
      </w:pPr>
      <w:r w:rsidRPr="00884FAA">
        <w:rPr>
          <w:noProof/>
        </w:rPr>
        <w:lastRenderedPageBreak/>
        <mc:AlternateContent>
          <mc:Choice Requires="wps">
            <w:drawing>
              <wp:inline distT="0" distB="0" distL="0" distR="0" wp14:anchorId="2E74443F" wp14:editId="64F4CF8E">
                <wp:extent cx="5716067" cy="3009443"/>
                <wp:effectExtent l="19050" t="19050" r="18415" b="19685"/>
                <wp:docPr id="1056413626" name="Freeform: Shape 1056413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6067" cy="3009443"/>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6081569D" w14:textId="65CA0B3E" w:rsidR="007136D6" w:rsidRPr="0058387D" w:rsidRDefault="007136D6" w:rsidP="007136D6">
                            <w:pPr>
                              <w:pStyle w:val="NoSpacing"/>
                              <w:spacing w:before="240"/>
                              <w:rPr>
                                <w:b/>
                                <w:bCs/>
                                <w:color w:val="1A3E5F" w:themeColor="accent1" w:themeShade="80"/>
                              </w:rPr>
                            </w:pPr>
                            <w:r w:rsidRPr="0058387D">
                              <w:rPr>
                                <w:b/>
                                <w:bCs/>
                                <w:color w:val="1A3E5F" w:themeColor="accent1" w:themeShade="80"/>
                              </w:rPr>
                              <w:t xml:space="preserve">Case study </w:t>
                            </w:r>
                            <w:r w:rsidR="006E6742" w:rsidRPr="0058387D">
                              <w:rPr>
                                <w:b/>
                                <w:bCs/>
                                <w:color w:val="1A3E5F" w:themeColor="accent1" w:themeShade="80"/>
                              </w:rPr>
                              <w:t xml:space="preserve">– Integrated Team Care </w:t>
                            </w:r>
                          </w:p>
                          <w:p w14:paraId="479C5803" w14:textId="0380B2FB" w:rsidR="005900DC" w:rsidRPr="0058387D" w:rsidRDefault="008C4A77" w:rsidP="007136D6">
                            <w:pPr>
                              <w:pStyle w:val="NoSpacing"/>
                              <w:spacing w:before="240"/>
                              <w:rPr>
                                <w:color w:val="1A3E5F" w:themeColor="accent1" w:themeShade="80"/>
                                <w:lang w:val="en-AU"/>
                              </w:rPr>
                            </w:pPr>
                            <w:r w:rsidRPr="0058387D">
                              <w:rPr>
                                <w:color w:val="1A3E5F" w:themeColor="accent1" w:themeShade="80"/>
                              </w:rPr>
                              <w:t xml:space="preserve">The Integrated Team Care (ITC) </w:t>
                            </w:r>
                            <w:r w:rsidR="00321E92" w:rsidRPr="0058387D">
                              <w:rPr>
                                <w:color w:val="1A3E5F" w:themeColor="accent1" w:themeShade="80"/>
                              </w:rPr>
                              <w:t xml:space="preserve">program </w:t>
                            </w:r>
                            <w:r w:rsidRPr="0058387D">
                              <w:rPr>
                                <w:color w:val="1A3E5F" w:themeColor="accent1" w:themeShade="80"/>
                              </w:rPr>
                              <w:t xml:space="preserve">aims to </w:t>
                            </w:r>
                            <w:r w:rsidR="005900DC" w:rsidRPr="0058387D">
                              <w:rPr>
                                <w:color w:val="1A3E5F" w:themeColor="accent1" w:themeShade="80"/>
                                <w:lang w:val="en-AU"/>
                              </w:rPr>
                              <w:t>contribute to improving health outcomes for Aboriginal and Torres Strait Islander people with chronic health conditions through better access to coordinated and multidisciplinary care; and contribute to closing the gap in life expectancy by improved access to culturally appropriate mainstream primary care for Aboriginal and Torres Strait Islander people</w:t>
                            </w:r>
                            <w:r w:rsidR="004C5730" w:rsidRPr="0058387D">
                              <w:rPr>
                                <w:color w:val="1A3E5F" w:themeColor="accent1" w:themeShade="80"/>
                                <w:lang w:val="en-AU"/>
                              </w:rPr>
                              <w:t>.</w:t>
                            </w:r>
                          </w:p>
                          <w:p w14:paraId="194F78AD" w14:textId="2F8B854A" w:rsidR="00102478" w:rsidRPr="0058387D" w:rsidRDefault="00102478" w:rsidP="00102478">
                            <w:pPr>
                              <w:pStyle w:val="NoSpacing"/>
                              <w:spacing w:before="240"/>
                              <w:rPr>
                                <w:color w:val="1A3E5F" w:themeColor="accent1" w:themeShade="80"/>
                                <w:lang w:val="en-AU"/>
                              </w:rPr>
                            </w:pPr>
                            <w:r w:rsidRPr="0058387D">
                              <w:rPr>
                                <w:color w:val="1A3E5F" w:themeColor="accent1" w:themeShade="80"/>
                                <w:lang w:val="en-AU"/>
                              </w:rPr>
                              <w:t>The ITC program supports people with complex chronic diseases through providing supplementary services funding</w:t>
                            </w:r>
                            <w:r w:rsidR="00883D7F" w:rsidRPr="0058387D">
                              <w:rPr>
                                <w:color w:val="1A3E5F" w:themeColor="accent1" w:themeShade="80"/>
                                <w:lang w:val="en-AU"/>
                              </w:rPr>
                              <w:t xml:space="preserve"> </w:t>
                            </w:r>
                            <w:r w:rsidR="008D5745" w:rsidRPr="0058387D">
                              <w:rPr>
                                <w:color w:val="1A3E5F" w:themeColor="accent1" w:themeShade="80"/>
                                <w:lang w:val="en-AU"/>
                              </w:rPr>
                              <w:t>to pay for medical and allied health service</w:t>
                            </w:r>
                            <w:r w:rsidR="00C064AC" w:rsidRPr="0058387D">
                              <w:rPr>
                                <w:color w:val="1A3E5F" w:themeColor="accent1" w:themeShade="80"/>
                                <w:lang w:val="en-AU"/>
                              </w:rPr>
                              <w:t>s</w:t>
                            </w:r>
                            <w:r w:rsidR="008D5745" w:rsidRPr="0058387D">
                              <w:rPr>
                                <w:color w:val="1A3E5F" w:themeColor="accent1" w:themeShade="80"/>
                                <w:lang w:val="en-AU"/>
                              </w:rPr>
                              <w:t>, transport</w:t>
                            </w:r>
                            <w:r w:rsidR="00E75F8D" w:rsidRPr="0058387D">
                              <w:rPr>
                                <w:color w:val="1A3E5F" w:themeColor="accent1" w:themeShade="80"/>
                                <w:lang w:val="en-AU"/>
                              </w:rPr>
                              <w:t xml:space="preserve"> services,</w:t>
                            </w:r>
                            <w:r w:rsidR="008D5745" w:rsidRPr="0058387D">
                              <w:rPr>
                                <w:color w:val="1A3E5F" w:themeColor="accent1" w:themeShade="80"/>
                                <w:lang w:val="en-AU"/>
                              </w:rPr>
                              <w:t xml:space="preserve"> and medical aides</w:t>
                            </w:r>
                            <w:r w:rsidR="004F04CF" w:rsidRPr="0058387D">
                              <w:rPr>
                                <w:color w:val="1A3E5F" w:themeColor="accent1" w:themeShade="80"/>
                                <w:lang w:val="en-AU"/>
                              </w:rPr>
                              <w:t xml:space="preserve">; </w:t>
                            </w:r>
                            <w:r w:rsidRPr="0058387D">
                              <w:rPr>
                                <w:color w:val="1A3E5F" w:themeColor="accent1" w:themeShade="80"/>
                                <w:lang w:val="en-AU"/>
                              </w:rPr>
                              <w:t>and through one-to-one assistance by care coordinators and outreach workers.</w:t>
                            </w:r>
                          </w:p>
                          <w:p w14:paraId="5CE4BBCC" w14:textId="7615F357" w:rsidR="007136D6" w:rsidRPr="00032592" w:rsidRDefault="00B66664" w:rsidP="0018601D">
                            <w:pPr>
                              <w:pStyle w:val="NoSpacing"/>
                              <w:spacing w:before="240"/>
                            </w:pPr>
                            <w:r w:rsidRPr="0058387D">
                              <w:rPr>
                                <w:color w:val="1A3E5F" w:themeColor="accent1" w:themeShade="80"/>
                              </w:rPr>
                              <w:t>Th</w:t>
                            </w:r>
                            <w:r w:rsidR="00327605" w:rsidRPr="0058387D">
                              <w:rPr>
                                <w:color w:val="1A3E5F" w:themeColor="accent1" w:themeShade="80"/>
                              </w:rPr>
                              <w:t xml:space="preserve">e Integrated Team Care program is </w:t>
                            </w:r>
                            <w:r w:rsidR="00E34637" w:rsidRPr="0058387D">
                              <w:rPr>
                                <w:color w:val="1A3E5F" w:themeColor="accent1" w:themeShade="80"/>
                              </w:rPr>
                              <w:t>managed by P</w:t>
                            </w:r>
                            <w:r w:rsidRPr="0058387D">
                              <w:rPr>
                                <w:color w:val="1A3E5F" w:themeColor="accent1" w:themeShade="80"/>
                              </w:rPr>
                              <w:t>HNs which</w:t>
                            </w:r>
                            <w:r w:rsidR="00E34637" w:rsidRPr="0058387D">
                              <w:rPr>
                                <w:color w:val="1A3E5F" w:themeColor="accent1" w:themeShade="80"/>
                              </w:rPr>
                              <w:t xml:space="preserve"> commission </w:t>
                            </w:r>
                            <w:r w:rsidR="0018601D" w:rsidRPr="0058387D">
                              <w:rPr>
                                <w:color w:val="1A3E5F" w:themeColor="accent1" w:themeShade="80"/>
                              </w:rPr>
                              <w:t>Aboriginal and Torres Strait Islander and</w:t>
                            </w:r>
                            <w:r w:rsidR="00B11511" w:rsidRPr="0058387D">
                              <w:rPr>
                                <w:color w:val="1A3E5F" w:themeColor="accent1" w:themeShade="80"/>
                              </w:rPr>
                              <w:t xml:space="preserve"> mainstream health organisations to deliver the services.</w:t>
                            </w:r>
                          </w:p>
                        </w:txbxContent>
                      </wps:txbx>
                      <wps:bodyPr rot="0" vert="horz" wrap="square" lIns="91440" tIns="45720" rIns="91440" bIns="45720" anchor="t" anchorCtr="0" upright="1">
                        <a:noAutofit/>
                      </wps:bodyPr>
                    </wps:wsp>
                  </a:graphicData>
                </a:graphic>
              </wp:inline>
            </w:drawing>
          </mc:Choice>
          <mc:Fallback>
            <w:pict>
              <v:shape w14:anchorId="2E74443F" id="Freeform: Shape 1056413626" o:spid="_x0000_s1075" style="width:450.1pt;height:236.9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q4V7hMAAMtlAAAOAAAAZHJzL2Uyb0RvYy54bWysXWtvIzty/R4g/0HwxwR73ST7ObhzF/vI&#10;BgE22QVW+wM0tjw2YluOpHnc/fU5RVb1NNtkVSPIl2lrVCKLdVjFOkVS+vm331+ed1+P58vT6fXj&#10;jfupudkdX+9O90+vnz/e/H3/p9+MN7vL9fB6f3g+vR4/3vx6vNz89pd//qefv719OPrT4+n5/nje&#10;oZHXy4dvbx9vHq/Xtw+3t5e7x+PL4fLT6e34ijcfTueXwxUvz59v78+Hb2j95fnWN01/++10vn87&#10;n+6Olwv+94/pzZtfYvsPD8e7618eHi7H6+754w10u8Z/z/HfT/Tv7S8/Hz58Ph/eHp/uWI3D/0GL&#10;l8PTKzqdm/rj4XrYfTk/vWvq5enufLqcHq4/3Z1ebk8PD093xzgGjMY1q9H87fHwdoxjgXEub7OZ&#10;Lv9/zd7919e/vf31TKpf3v58uvvvCyxy++3t8mF+h15cILP79O0/T/fA8PDleoqD/f5wfqFPYhi7&#10;79Gmv842PX6/7u7wn93g+qYfbnZ3eC80zdS2gax+e/ggH7/7crn++/EUmzp8/fPlmkC5x1/RpPe7&#10;18ML+t0DwIeXZ+Dzr7/ZNTs3NsPOhWFiEGcxJ2L/crvbN7tvu8mFfi3kRSi1Nfmdm9xaKIgQWnIQ&#10;edyFfpBJM/fXilRsyvsebRXU6kSM1GoravUixG25klqwZrIDWvLeVdSC5y2s5Ye2Lao1iRipNVbU&#10;crnpqdOCudzS8nXFXG774ENX1Mwtzb93vqbbyv4dxvkeSrc0v4dMGUuXAxD6rjLHlhjsXV/TbQVC&#10;E4q6LTHwkCnr5nMQWtdMRbv5JQx7X/WAHAbvi3bzSxBIpqJbDkLb9ZghBSfwSxj2aK7inTkMnjz9&#10;PaZ+CQLJVHTLQWinASiUdFvCsPc1Xwg5DN6XQ8cSBJIp6xZyELp2QmAr6BaWMOxDzRdCDoMH+AW7&#10;hSUIJFPRLQehm1zZF8IShn2o+ULIYXDTWNRtCQLJlHVrcxD6UFkL2iUM+7bmC20OQ8VuWLmWgbdm&#10;tzYHoR9phhQwbZcw7BGey77Q5jD4UPSFdgkCyVTsloMw+BEolHRbwrBva77Q5TB4BOnCfOuWIJBM&#10;WbcuB2EYKr7QLWHYdzVf6HIYvMMq8z6GdEsQSKaiWw7C6Nu+aLduCcO+q/lCl8OAnKGo2xIEkinr&#10;1ucgjH1Xjr39EoZ9X/OFPofBB6wy7+3WL0EgmYpuOQhTM5Tt1i9h2Pc1X+hzGDytgAXdliCQTEW3&#10;HIQJi1YR034Jw76v+QISwyzhaorr6bAEwUOmrNuQgzBNcMGSnw5LGPZDzReGHAYfirF3WIJAMhXd&#10;chBc0w7lRGRY4rAH8uUAN+Q4VIIv8vwtwXfMUXBN15Szy3EJxH6secOYA9GHIqrjEgaSKVtuzGGo&#10;W25cIrEfa+4wrpBwNEve+8O4xMGRUEW9HAioV+EM4xKLPZaQMrDTCotuLC5dUPgHso6EyupNORR1&#10;aKclGnvwtop6ORq+GYvRZFpiEYUq6q3AgFuUfXZawrGfam4x5WiAsxQXiWmJRRQqq+eaFRpNS+Mt&#10;rP2uWQKyxwcrBnRNjoifkJgW5p9rloBEqZqOOSSYgVjeyzouUYGONRdxTQ5LCEOZuzZLVKJUTccc&#10;FwyugjP42WJiQ8ean7gVvQ6jL/PEjGBHqYqOK4o9jVjti2Zccew6yXY5Mui8mE65jGdHqZqKOS5Y&#10;fStIuyUwe1fn2i4HJoyuGKudW8ISpSoqrgj3OI3lpcTljNtVKbfzucOg82LAdhnrjlI1FXNYxhZr&#10;RRHonHi7KvN2PscFnRfDjsvId5SqqZjDMjY1oP0SF9R7qu6yYuDwv+K64sIyjkWpioorFj50Q5np&#10;upyGuyoPdysiXrViRsU1K6KCucwuB8S1MtA5G0flsxa8V3wcnZeDTljCEqUqVlxzcpRKyyrmpNxV&#10;Wblb0fKqFTNirllxTc1j0au0BObc3FXJuVux8zCGshUzfh6lalbM3aUb+nK1yrVLXPaU1ZXTHLci&#10;6VUrZjRds+KKqHehUoh0OVN3VaruVlwdnRdTMZex9ShVsWKXu0s7Vninywm7qzJ25KWZA2JpK+c6&#10;3RKWKFVRcUXbkWtXgM55O7ZTakCvmDsiXlnFjLtHqZqK+eoSaizU5fTdVfm7WxH46lykHaN5j0Ob&#10;i/0KlratJLU5i3dVGu9WPD6MRILekyqXMfkoVbHiisuHpi3XZ1xO5l2VzbsVna9aMSP0mhWH3F38&#10;UCmnupzSuyqndytSD0coZzoZrY9SFSuuiD1K6hV3yYk9dglr7rKi9rBP2V0ych+lairm7uL6GjHI&#10;6b2r8nu3IvgByVNxLmYMP0rVVMzdxYWpMhdziu+qHN+tSH7o+rKKGcuPUhUV1zS/DRUVc5pP+7OV&#10;BXDKcQkguEUrZkw/StVUzN3FYT0vZzo51XdVro+NDol3aeM3OmAh6ORsn6TKKuJsRNYgkqwyMcCx&#10;AxGkDWB8rmJFvyb7bioCjf3LRYOepGoq5rBAxTID9E3G9aloWgbar7g+ghBweW9FbBUuVIxSNRVz&#10;WKBiGWgUmRctwoq1ZMyvqD6mTnF18RnVj1IVFVdU37XE1woprc+pPm3DVKy4ovrYTygaMWP6JFRT&#10;cOUsLYXZooJLVPa+SvT9mui74i4npt4CE7jzQkGcPvks50sOj3Lk5O77K585wV+7Ax1hauJBl7fT&#10;hQ647OEqOMWylwMskKIDKhVhTFoSHvi0iy4MVUkYqKezMbo0QRnFu23iMGwUj0dlMHa9dapmkDiK&#10;EFuUocpCFN82UmL5JA5yvqV1YtxRfNtQif1G8W1DJSZK4vOZJN0yxAqj+LahEkMjcRCrLUMlthTF&#10;tw2VmEsU3zZUYhEkjuR/izKU0UfxbUOl7JrEkRRvaZ0y3Si+baiUdUbxbUOlDJDEkbhtUYaysSi+&#10;baiUGZF4WldMb6IsJYpvGyplDFF821BjrZ7kqca+ZbDYNUkdOCyC2z7A43Vbg9McnbBCbOqBKrxx&#10;DIjYmz4gEYrqpNs+IING1XLbB2TQG8NUrAzGMaCit6kHiVRIwbd9QGKV2xisnEQrh9rTJpUkXrmN&#10;ASvWd+KgUZfZ1IPELIcqyaYPSNRyG8NWrERElVBB2NaDIL0xdEWWHnsAu97Ug0Qvl46qmhHDSfxy&#10;GwOYkwjmwAM3qSQxjJNjWyWJYkjnt/UgccyBsWxRKfIQMivxh20fYJ+mbH7bBxhpyq03fUACGY4F&#10;bfwABzJKPRc9JPNyannGmfT1afTzzQ6n0T/RZw4f3g5Xykjlz923jzfxAPPuEQeo6fgxvfNy+nrc&#10;n6LMlVJTzqrwSP3+eP/5dSnniC7AzPOI5G15vsXmHOMdj01DfXlXnknK8zIu5pR35ZmkAtWV0WU8&#10;N11tq/WgWqQYD0DakGdqq2vAGSHV6lJUK4KUGEPakGdqq6diMvWoNzbQLhLEsBmYTCutyDO1hsPo&#10;SUymirwtTxajYhJawxaW1tpExWES86oYFv1kNUvOEWWiQegmwdZo8pF5mRTt5ZlGgb25NI0sOZyf&#10;3jJc7K/wOHTrYcFJ/WJjSDOf64mcYrxoVpfjMDWvXzJOefJ4B47hgEVtb6R9B/Q7r1bSjjy5vYlp&#10;DcyjtUc3XFJ7+ngRAtPsQ/dqezB0sovRb6yQ2PPFeyrzQg5RRe1XYoCEdjGHPJNZfMtc0mito+IW&#10;WVnvFFtnSTmj156J15xMilbyZO0G2ndGt8BOHayEAmOS4ugtgyHrl/QnT+534iTImMxBgsGcH0o7&#10;8kztBZwAi+MwgkFw7OS4E6GNN3jaYIRd9NgSAqf5uksGFMQSarqrBZwXSXKGdh2duYB2Brqhoyox&#10;oauvQKGnHSeSM8Yx0I4v5OBxqvVGnlVzki5oyZNRmziEG3JtQ5VD6lcfR0t0juSMWdB6ni3GLGhx&#10;tyu2p0/mNtBuGHWrWgV7oTwLDLGRwdDFOl4mDd1w9DDqZkSztqcjERgDENGgbXvaUKCx6gGjHXi1&#10;N1bTdmTOaEE2cS5lyHWNpDa653bxTBDGYbhGh5pyHC+w0+zS4QRgktPt1wWuKhkBraMrhWRnnMVQ&#10;++3odhfJGf12tKdFcoZdetql3tDvwNkNDsio+o10GgjtWbhNtNtAcrqLd5PMZ90uuJ/J81nHDUlV&#10;srNBHnpcB4j6IeBr4+2xcqRx6HbpEauSnKFfOyV8Mf3VfjvadIb9jKy57+nMB8kZ9hs4m4N7qv2O&#10;tDVG7VlyPK/mUpIsBfJMS0I/IbDEeaDP034Su+hxaGjodAbNK93Og+N5apCYIW4F0nh1/QbPa4Lh&#10;l0Og82Boz8jWh5aJ+1xkErvJM9kPbpnwBcwabkPHdrH067mAZvjv0DPrMNaPYeDEaq5XiP7y5HFI&#10;wqlPq2FkN9dz/2FidPVJPzZMxXVsoRqvqfrcG+fYYrTnmQEidGiYjYHngLFmjYGxMHwSB2vT3DPW&#10;IhDAFFuMNA37pcnXALE6joGruMh2VbmRE6a5dCtzRJ5prowSMwz9pobXcmPNmuK1AooZOm5TPHUN&#10;OTrrrg0Epa60+P4ofsoI5JlGAkFePYwhp+IZhSFj3YIg5y9zoVa6lKd0TYek0SIlHvpgOGnvDBeG&#10;edIS14H96C3y/g0WJ0swtTgY0XJGkGoXRtfM81DFVwUbXm9wK8NosuFMC2VJYzgNF84wj6ze6dQb&#10;zTTfG7ac855grGRTw3UsbNZYI+K1AgeDrRHRAULSszOo2tTMRNyykngjDiea/shxeTQdkie7w/0H&#10;HXeHIBBHNGEHQ50hKCBGSZzYMSWTT+L4ijkijgd00kXvXWq1HhsnqmQj9dBgeVHDnAY1LKP3hk7C&#10;AXePu/5W75zfdVbvgrvvjZwC3s6Wx+FEvfd4K4n0RD5lSEqblIio9ow3wahNnMfWJSWGeJw5NiSl&#10;BtCg0qP23vC+AM4CWZbnnQ3UwEzJFBTD5mgTgrHm45I084TWmvMSFUNn5DlzlA+9EUPGied8AD9T&#10;7TlOwmd6gyGNFGRozqNN3YvHgTmNLSlVGFuym3mcneUl30Sb+toxthxDIKl7By6EpGQBltdn8uiF&#10;9/UIudpMHmW3FG0aetJXHyXLG3EJvsuzDvxd711yQ3MugUtwUdUa+zDSFZA0Q3SPw1YMZ2n40g9V&#10;T/AsmXVGdooC3GwlPYINUk7G2HWMhlb25iyMhjCP3bA8mPI8It03BzoKsAl33CRL66aNptQLzbGj&#10;8CmVE2NE/TjraVWLcBGRR2RkLL1wptDPZwkkgZdnSuRRwOM53xl5Xd9zeRv7BPqs6zsE2Gj5DguT&#10;5sX9j11PnMdQJYNsOnTz+QsZiTx5RJTSJNyNtbiPZ86jxxkrQi/kJPTGllbfcF6HfV/dStht4Rqc&#10;KTkKRrCXaiWU9aRNI3p3cCTxDt2PcJthnnV6nMciM1veaLPjLRXMJT2GoLLNsa4zWA9q5TIihDJt&#10;LqH6LmucgTvq+bIioAihtokD6mxPg0R2DUhZmp9Gda6d5uht8M0WX0wlbeoY4Xa0YGTM5HZgdob1&#10;XV8NscsjvRtrcdvzVmTojVjXAngekXE6pSWamexpbtDxxqoZ51vP/B1j1+cSNgfFOwyO0OLqBOtp&#10;Wb6RWGflimGiWzMpZ9AjQ5i4qISx6zE5jHSJMkVF3Ytxg0G8w0ATW57SpoERAqzMJYPH4QKVSBpe&#10;HPB9d2Il3TtQXt8qie7FSnq+FH6sR0ZFIvyINsb6jtKuxHmDx4U52uDL69QI5mWvLFgVOC+7b5A0&#10;2sSdx2SlDgUcLX7Sl3OKpJ4J+B97UkZu46USbfq7b+k+aZzzxo4nvhNKoo1xwsnLcQCclzBGhO97&#10;4t7h+KqV5PQS2jTs2cx5MrYstTZx4E3mklHLxZFIWTcNXoxbmxIZjBUBJ4LFjwzvwGVg0dOSJONw&#10;BNNXbdfPljc4LG7JS5tGZoWj46KnwbVRIBXcjaM0sejKcV6fISjgzyuCHpdQb5aZbOyyOjq2zb0b&#10;c0mqhVg39ewXtzYk0hpnPvCNSgKmvsThlroI6lGJ9gPScIyJRDsMLKhnAd0cPowNFtlDQ/6jDybM&#10;qZ9RyvWz9xot4kamDMaYGLxjg6ipYzj7o7H+SntWlX8+O2NkuyIXYHU1sjF6HvepNTnJTejwjiYn&#10;GRTddFHl2NCNwQToi1Ow5mDh1fvlY35gLToeXEPxo5GJSnvYXVfHwf7kcdpBleN5gIXZwCOtCb4z&#10;uH5yY09nlTQzp9jpqcikifFWg7V9keYKvmJUX6vlHA7dUFF7TXMAt6J1bOE6cQ7QWQKtPV55cVtF&#10;d17eEcbWsdFeMrLDyQ61X8YWXxZizIE0l/G9J7pdUAyj8eL2k2GXBBvOROjo8j04XPDaKGfNZe43&#10;YPJreMg4qBypyrGd6TqJKsf2c5Z+aSXG9w7q85Tny2SkdHxsazR213hWDcaGLvIdAhfVR3WsXCmx&#10;KAFTHHxHo94a5yZGIYk7xRFxvTWOycZpBbYbHelQUU26vcPq7vl0OaYP0l2n+FsQ86Unuiu1+D2I&#10;19Ofnp6fIUx3kOgqFL4mCaVFen05PT/d07vxxfnzpz88n3dfD/ihj9D/rv/971m3TOx8+vJ6H1t7&#10;PB7u/43/vh6entPf8XoS/wAG/eYF/Y7I5cP1+6fvu6d7LFZxutN/fTrd//rX8+58Sr8ogl9AwR+P&#10;p/M/bnbf8GsiH28u//PlcD7e7J7/4xU/1zGBuiBiX+OLFtk0XpyX73xavnN4vUNTH2+uN/gSAvrz&#10;D9f0kyVf3s5Pnx/Rk4sWeD39Dj/F8fBEP5gRf7MjacUv8Ish0bT86yb0kyTL11Hqx2+w/PK/AAAA&#10;//8DAFBLAwQUAAYACAAAACEAsMFfBtsAAAAFAQAADwAAAGRycy9kb3ducmV2LnhtbEyPzU7DMBCE&#10;70i8g7VIXBC1G6L+pHEqhNQrUkO5u/GSpMTrKHbawNOzcKGXlUYzmvk2306uE2ccQutJw3ymQCBV&#10;3rZUazi87R5XIEI0ZE3nCTV8YYBtcXuTm8z6C+3xXMZacAmFzGhoYuwzKUPVoDNh5nsk9j784Exk&#10;OdTSDubC5a6TiVIL6UxLvNCYHl8arD7L0WlYzNPkUO/kcnz/Pk1lun9d0QNqfX83PW9ARJzifxh+&#10;8RkdCmY6+pFsEJ0GfiT+XfbWSiUgjhrS5dMaZJHLa/riBwAA//8DAFBLAQItABQABgAIAAAAIQC2&#10;gziS/gAAAOEBAAATAAAAAAAAAAAAAAAAAAAAAABbQ29udGVudF9UeXBlc10ueG1sUEsBAi0AFAAG&#10;AAgAAAAhADj9If/WAAAAlAEAAAsAAAAAAAAAAAAAAAAALwEAAF9yZWxzLy5yZWxzUEsBAi0AFAAG&#10;AAgAAAAhAEwurhXuEwAAy2UAAA4AAAAAAAAAAAAAAAAALgIAAGRycy9lMm9Eb2MueG1sUEsBAi0A&#10;FAAGAAgAAAAhALDBXwbbAAAABQEAAA8AAAAAAAAAAAAAAAAASBYAAGRycy9kb3ducmV2LnhtbFBL&#10;BQYAAAAABAAEAPMAAABQFw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7784,157442;552461,181223;854031,181223;1161233,208283;1425263,166462;1708063,183683;1990863,169742;2248637,182043;2572105,180403;2839264,162362;3083273,180403;3405490,194343;3697049,173842;4011132,176303;4296435,185323;4549829,195983;4815736,171382;5053489,167282;5361315,195163;5693543,180403;5709810,519887;5693543,941373;5671645,1301359;5709810,1713004;5692917,2087750;5699800,2404274;5676650,2764259;5630351,3134905;5306257,3136545;5050986,3127525;4758801,3130805;4445343,3129165;4175056,3105384;3877866,3129165;3583178,3126705;3310389,3129165;3031342,3143105;2742911,3129165;2458860,3131625;2187947,3134085;1917035,3101284;1607331,3129165;1295125,3152125;1039854,3129165;830882,3139005;528060,3125885;187074,3120145;7508,2923342;32535,2542856;2503,2219772;15642,1799926;14390,1462081;15016,1134896;23150,709310;20647,254204" o:connectangles="0,0,0,0,0,0,0,0,0,0,0,0,0,0,0,0,0,0,0,0,0,0,0,0,0,0,0,0,0,0,0,0,0,0,0,0,0,0,0,0,0,0,0,0,0,0,0,0,0,0,0,0,0,0,0" textboxrect="0,0,9136,3670"/>
                <v:textbox>
                  <w:txbxContent>
                    <w:p w14:paraId="6081569D" w14:textId="65CA0B3E" w:rsidR="007136D6" w:rsidRPr="0058387D" w:rsidRDefault="007136D6" w:rsidP="007136D6">
                      <w:pPr>
                        <w:pStyle w:val="NoSpacing"/>
                        <w:spacing w:before="240"/>
                        <w:rPr>
                          <w:b/>
                          <w:bCs/>
                          <w:color w:val="1A3E5F" w:themeColor="accent1" w:themeShade="80"/>
                        </w:rPr>
                      </w:pPr>
                      <w:r w:rsidRPr="0058387D">
                        <w:rPr>
                          <w:b/>
                          <w:bCs/>
                          <w:color w:val="1A3E5F" w:themeColor="accent1" w:themeShade="80"/>
                        </w:rPr>
                        <w:t xml:space="preserve">Case study </w:t>
                      </w:r>
                      <w:r w:rsidR="006E6742" w:rsidRPr="0058387D">
                        <w:rPr>
                          <w:b/>
                          <w:bCs/>
                          <w:color w:val="1A3E5F" w:themeColor="accent1" w:themeShade="80"/>
                        </w:rPr>
                        <w:t xml:space="preserve">– Integrated Team Care </w:t>
                      </w:r>
                    </w:p>
                    <w:p w14:paraId="479C5803" w14:textId="0380B2FB" w:rsidR="005900DC" w:rsidRPr="0058387D" w:rsidRDefault="008C4A77" w:rsidP="007136D6">
                      <w:pPr>
                        <w:pStyle w:val="NoSpacing"/>
                        <w:spacing w:before="240"/>
                        <w:rPr>
                          <w:color w:val="1A3E5F" w:themeColor="accent1" w:themeShade="80"/>
                          <w:lang w:val="en-AU"/>
                        </w:rPr>
                      </w:pPr>
                      <w:r w:rsidRPr="0058387D">
                        <w:rPr>
                          <w:color w:val="1A3E5F" w:themeColor="accent1" w:themeShade="80"/>
                        </w:rPr>
                        <w:t xml:space="preserve">The Integrated Team Care (ITC) </w:t>
                      </w:r>
                      <w:r w:rsidR="00321E92" w:rsidRPr="0058387D">
                        <w:rPr>
                          <w:color w:val="1A3E5F" w:themeColor="accent1" w:themeShade="80"/>
                        </w:rPr>
                        <w:t xml:space="preserve">program </w:t>
                      </w:r>
                      <w:r w:rsidRPr="0058387D">
                        <w:rPr>
                          <w:color w:val="1A3E5F" w:themeColor="accent1" w:themeShade="80"/>
                        </w:rPr>
                        <w:t xml:space="preserve">aims to </w:t>
                      </w:r>
                      <w:r w:rsidR="005900DC" w:rsidRPr="0058387D">
                        <w:rPr>
                          <w:color w:val="1A3E5F" w:themeColor="accent1" w:themeShade="80"/>
                          <w:lang w:val="en-AU"/>
                        </w:rPr>
                        <w:t>contribute to improving health outcomes for Aboriginal and Torres Strait Islander people with chronic health conditions through better access to coordinated and multidisciplinary care; and contribute to closing the gap in life expectancy by improved access to culturally appropriate mainstream primary care for Aboriginal and Torres Strait Islander people</w:t>
                      </w:r>
                      <w:r w:rsidR="004C5730" w:rsidRPr="0058387D">
                        <w:rPr>
                          <w:color w:val="1A3E5F" w:themeColor="accent1" w:themeShade="80"/>
                          <w:lang w:val="en-AU"/>
                        </w:rPr>
                        <w:t>.</w:t>
                      </w:r>
                    </w:p>
                    <w:p w14:paraId="194F78AD" w14:textId="2F8B854A" w:rsidR="00102478" w:rsidRPr="0058387D" w:rsidRDefault="00102478" w:rsidP="00102478">
                      <w:pPr>
                        <w:pStyle w:val="NoSpacing"/>
                        <w:spacing w:before="240"/>
                        <w:rPr>
                          <w:color w:val="1A3E5F" w:themeColor="accent1" w:themeShade="80"/>
                          <w:lang w:val="en-AU"/>
                        </w:rPr>
                      </w:pPr>
                      <w:r w:rsidRPr="0058387D">
                        <w:rPr>
                          <w:color w:val="1A3E5F" w:themeColor="accent1" w:themeShade="80"/>
                          <w:lang w:val="en-AU"/>
                        </w:rPr>
                        <w:t>The ITC program supports people with complex chronic diseases through providing supplementary services funding</w:t>
                      </w:r>
                      <w:r w:rsidR="00883D7F" w:rsidRPr="0058387D">
                        <w:rPr>
                          <w:color w:val="1A3E5F" w:themeColor="accent1" w:themeShade="80"/>
                          <w:lang w:val="en-AU"/>
                        </w:rPr>
                        <w:t xml:space="preserve"> </w:t>
                      </w:r>
                      <w:r w:rsidR="008D5745" w:rsidRPr="0058387D">
                        <w:rPr>
                          <w:color w:val="1A3E5F" w:themeColor="accent1" w:themeShade="80"/>
                          <w:lang w:val="en-AU"/>
                        </w:rPr>
                        <w:t>to pay for medical and allied health service</w:t>
                      </w:r>
                      <w:r w:rsidR="00C064AC" w:rsidRPr="0058387D">
                        <w:rPr>
                          <w:color w:val="1A3E5F" w:themeColor="accent1" w:themeShade="80"/>
                          <w:lang w:val="en-AU"/>
                        </w:rPr>
                        <w:t>s</w:t>
                      </w:r>
                      <w:r w:rsidR="008D5745" w:rsidRPr="0058387D">
                        <w:rPr>
                          <w:color w:val="1A3E5F" w:themeColor="accent1" w:themeShade="80"/>
                          <w:lang w:val="en-AU"/>
                        </w:rPr>
                        <w:t>, transport</w:t>
                      </w:r>
                      <w:r w:rsidR="00E75F8D" w:rsidRPr="0058387D">
                        <w:rPr>
                          <w:color w:val="1A3E5F" w:themeColor="accent1" w:themeShade="80"/>
                          <w:lang w:val="en-AU"/>
                        </w:rPr>
                        <w:t xml:space="preserve"> services,</w:t>
                      </w:r>
                      <w:r w:rsidR="008D5745" w:rsidRPr="0058387D">
                        <w:rPr>
                          <w:color w:val="1A3E5F" w:themeColor="accent1" w:themeShade="80"/>
                          <w:lang w:val="en-AU"/>
                        </w:rPr>
                        <w:t xml:space="preserve"> and medical aides</w:t>
                      </w:r>
                      <w:r w:rsidR="004F04CF" w:rsidRPr="0058387D">
                        <w:rPr>
                          <w:color w:val="1A3E5F" w:themeColor="accent1" w:themeShade="80"/>
                          <w:lang w:val="en-AU"/>
                        </w:rPr>
                        <w:t xml:space="preserve">; </w:t>
                      </w:r>
                      <w:r w:rsidRPr="0058387D">
                        <w:rPr>
                          <w:color w:val="1A3E5F" w:themeColor="accent1" w:themeShade="80"/>
                          <w:lang w:val="en-AU"/>
                        </w:rPr>
                        <w:t>and through one-to-one assistance by care coordinators and outreach workers.</w:t>
                      </w:r>
                    </w:p>
                    <w:p w14:paraId="5CE4BBCC" w14:textId="7615F357" w:rsidR="007136D6" w:rsidRPr="00032592" w:rsidRDefault="00B66664" w:rsidP="0018601D">
                      <w:pPr>
                        <w:pStyle w:val="NoSpacing"/>
                        <w:spacing w:before="240"/>
                      </w:pPr>
                      <w:r w:rsidRPr="0058387D">
                        <w:rPr>
                          <w:color w:val="1A3E5F" w:themeColor="accent1" w:themeShade="80"/>
                        </w:rPr>
                        <w:t>Th</w:t>
                      </w:r>
                      <w:r w:rsidR="00327605" w:rsidRPr="0058387D">
                        <w:rPr>
                          <w:color w:val="1A3E5F" w:themeColor="accent1" w:themeShade="80"/>
                        </w:rPr>
                        <w:t xml:space="preserve">e Integrated Team Care program is </w:t>
                      </w:r>
                      <w:r w:rsidR="00E34637" w:rsidRPr="0058387D">
                        <w:rPr>
                          <w:color w:val="1A3E5F" w:themeColor="accent1" w:themeShade="80"/>
                        </w:rPr>
                        <w:t>managed by P</w:t>
                      </w:r>
                      <w:r w:rsidRPr="0058387D">
                        <w:rPr>
                          <w:color w:val="1A3E5F" w:themeColor="accent1" w:themeShade="80"/>
                        </w:rPr>
                        <w:t>HNs which</w:t>
                      </w:r>
                      <w:r w:rsidR="00E34637" w:rsidRPr="0058387D">
                        <w:rPr>
                          <w:color w:val="1A3E5F" w:themeColor="accent1" w:themeShade="80"/>
                        </w:rPr>
                        <w:t xml:space="preserve"> commission </w:t>
                      </w:r>
                      <w:r w:rsidR="0018601D" w:rsidRPr="0058387D">
                        <w:rPr>
                          <w:color w:val="1A3E5F" w:themeColor="accent1" w:themeShade="80"/>
                        </w:rPr>
                        <w:t>Aboriginal and Torres Strait Islander and</w:t>
                      </w:r>
                      <w:r w:rsidR="00B11511" w:rsidRPr="0058387D">
                        <w:rPr>
                          <w:color w:val="1A3E5F" w:themeColor="accent1" w:themeShade="80"/>
                        </w:rPr>
                        <w:t xml:space="preserve"> mainstream health organisations to deliver the services.</w:t>
                      </w:r>
                    </w:p>
                  </w:txbxContent>
                </v:textbox>
                <w10:anchorlock/>
              </v:shape>
            </w:pict>
          </mc:Fallback>
        </mc:AlternateContent>
      </w:r>
    </w:p>
    <w:p w14:paraId="54AEC82B" w14:textId="72C29E6F" w:rsidR="006F1155" w:rsidRPr="00411637" w:rsidRDefault="006F1155" w:rsidP="006D6569">
      <w:pPr>
        <w:pStyle w:val="Heading4"/>
        <w:ind w:left="1134" w:hanging="1134"/>
      </w:pPr>
      <w:r w:rsidRPr="00411637">
        <w:t xml:space="preserve">Targeted health activities </w:t>
      </w:r>
    </w:p>
    <w:p w14:paraId="328E4B44" w14:textId="77777777" w:rsidR="007B280C" w:rsidRDefault="00141795" w:rsidP="00983A79">
      <w:r>
        <w:t xml:space="preserve">To </w:t>
      </w:r>
      <w:r w:rsidR="008A59E7">
        <w:t>respond to</w:t>
      </w:r>
      <w:r>
        <w:t xml:space="preserve"> the prevalence of chronic disease and other conditions in Aboriginal and Torres Strait Islander people</w:t>
      </w:r>
      <w:r w:rsidR="008A59E7">
        <w:t>, the IAHP also funds targeted health activities to reduce the disproportionate burden of disease for Aboriginal an</w:t>
      </w:r>
      <w:r w:rsidR="00B02BCC">
        <w:t>d</w:t>
      </w:r>
      <w:r w:rsidR="008A59E7">
        <w:t xml:space="preserve"> Torres Strait Islander people</w:t>
      </w:r>
      <w:r w:rsidR="007B280C">
        <w:t>.</w:t>
      </w:r>
    </w:p>
    <w:p w14:paraId="2D0370AA" w14:textId="1660BD50" w:rsidR="00B92C09" w:rsidRDefault="00836E69" w:rsidP="00B92C09">
      <w:r w:rsidRPr="00884FAA">
        <w:rPr>
          <w:noProof/>
        </w:rPr>
        <mc:AlternateContent>
          <mc:Choice Requires="wps">
            <w:drawing>
              <wp:anchor distT="0" distB="0" distL="114300" distR="114300" simplePos="0" relativeHeight="251657233" behindDoc="0" locked="0" layoutInCell="1" allowOverlap="1" wp14:anchorId="3644E4C0" wp14:editId="44A8C316">
                <wp:simplePos x="0" y="0"/>
                <wp:positionH relativeFrom="margin">
                  <wp:align>right</wp:align>
                </wp:positionH>
                <wp:positionV relativeFrom="paragraph">
                  <wp:posOffset>1126236</wp:posOffset>
                </wp:positionV>
                <wp:extent cx="5694045" cy="1988820"/>
                <wp:effectExtent l="19050" t="19050" r="20955" b="11430"/>
                <wp:wrapTopAndBottom/>
                <wp:docPr id="386274011" name="Freeform: Shape 386274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4045" cy="1988820"/>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0C702224" w14:textId="586C907D" w:rsidR="006156DB" w:rsidRDefault="005D124A" w:rsidP="006156DB">
                            <w:pPr>
                              <w:pStyle w:val="NoSpacing"/>
                              <w:spacing w:before="240"/>
                              <w:rPr>
                                <w:b/>
                                <w:bCs/>
                                <w:color w:val="357DBE" w:themeColor="accent1"/>
                              </w:rPr>
                            </w:pPr>
                            <w:r>
                              <w:rPr>
                                <w:b/>
                                <w:bCs/>
                                <w:color w:val="357DBE" w:themeColor="accent1"/>
                              </w:rPr>
                              <w:t xml:space="preserve">Case study </w:t>
                            </w:r>
                            <w:r w:rsidR="00E76404">
                              <w:rPr>
                                <w:b/>
                                <w:bCs/>
                                <w:color w:val="357DBE" w:themeColor="accent1"/>
                              </w:rPr>
                              <w:t>–</w:t>
                            </w:r>
                            <w:r w:rsidR="00D11DC6">
                              <w:rPr>
                                <w:b/>
                                <w:bCs/>
                                <w:color w:val="357DBE" w:themeColor="accent1"/>
                              </w:rPr>
                              <w:t xml:space="preserve"> </w:t>
                            </w:r>
                            <w:r w:rsidR="00E76404">
                              <w:rPr>
                                <w:b/>
                                <w:bCs/>
                                <w:color w:val="357DBE" w:themeColor="accent1"/>
                              </w:rPr>
                              <w:t>Australian Nurse Family Partnership Program</w:t>
                            </w:r>
                          </w:p>
                          <w:p w14:paraId="2EB5D78F" w14:textId="497295D0" w:rsidR="00E76404" w:rsidRPr="00B27920" w:rsidRDefault="00E76404" w:rsidP="006156DB">
                            <w:pPr>
                              <w:pStyle w:val="NoSpacing"/>
                              <w:spacing w:before="240"/>
                              <w:rPr>
                                <w:color w:val="357DBE" w:themeColor="accent1"/>
                              </w:rPr>
                            </w:pPr>
                            <w:r w:rsidRPr="00B27920">
                              <w:rPr>
                                <w:color w:val="357DBE" w:themeColor="accent1"/>
                              </w:rPr>
                              <w:t xml:space="preserve">The Australian Nurse Family Partnership Program </w:t>
                            </w:r>
                            <w:r w:rsidR="001833B1" w:rsidRPr="00B27920">
                              <w:rPr>
                                <w:color w:val="357DBE" w:themeColor="accent1"/>
                              </w:rPr>
                              <w:t xml:space="preserve">is a nurse-led home visiting program for Aboriginal and Torres Strait Islander women who are </w:t>
                            </w:r>
                            <w:r w:rsidR="00145E27" w:rsidRPr="00B27920">
                              <w:rPr>
                                <w:color w:val="357DBE" w:themeColor="accent1"/>
                              </w:rPr>
                              <w:t xml:space="preserve">pregnant or women pregnant with an Aboriginal or Torres Strait Islander child. It supports women from around 16 weeks gestation to </w:t>
                            </w:r>
                            <w:r w:rsidR="007B027A">
                              <w:rPr>
                                <w:color w:val="357DBE" w:themeColor="accent1"/>
                              </w:rPr>
                              <w:t>2</w:t>
                            </w:r>
                            <w:r w:rsidR="00AA60EA" w:rsidRPr="00B27920">
                              <w:rPr>
                                <w:color w:val="357DBE" w:themeColor="accent1"/>
                              </w:rPr>
                              <w:t xml:space="preserve"> years of age. The program aims to improve pregnancy outcomes by helping women engage in preventive</w:t>
                            </w:r>
                            <w:r w:rsidR="00E7037F" w:rsidRPr="00B27920">
                              <w:rPr>
                                <w:color w:val="357DBE" w:themeColor="accent1"/>
                              </w:rPr>
                              <w:t xml:space="preserve"> health </w:t>
                            </w:r>
                            <w:r w:rsidR="005A55D7" w:rsidRPr="00B27920">
                              <w:rPr>
                                <w:color w:val="357DBE" w:themeColor="accent1"/>
                              </w:rPr>
                              <w:t>practices; support</w:t>
                            </w:r>
                            <w:r w:rsidR="00E7037F" w:rsidRPr="00B27920">
                              <w:rPr>
                                <w:color w:val="357DBE" w:themeColor="accent1"/>
                              </w:rPr>
                              <w:t xml:space="preserve"> parents to improve their child’s health and develop</w:t>
                            </w:r>
                            <w:r w:rsidR="00836E69">
                              <w:rPr>
                                <w:color w:val="357DBE" w:themeColor="accent1"/>
                              </w:rPr>
                              <w:t>ment</w:t>
                            </w:r>
                            <w:r w:rsidR="00E7037F" w:rsidRPr="00B27920">
                              <w:rPr>
                                <w:color w:val="357DBE" w:themeColor="accent1"/>
                              </w:rPr>
                              <w:t xml:space="preserve">; and help parents develop a vision </w:t>
                            </w:r>
                            <w:r w:rsidR="00836E69">
                              <w:rPr>
                                <w:color w:val="357DBE" w:themeColor="accent1"/>
                              </w:rPr>
                              <w:t>f</w:t>
                            </w:r>
                            <w:r w:rsidR="00E7037F" w:rsidRPr="00B27920">
                              <w:rPr>
                                <w:color w:val="357DBE" w:themeColor="accent1"/>
                              </w:rPr>
                              <w:t>or their own future, including continuing edu</w:t>
                            </w:r>
                            <w:r w:rsidR="005A55D7" w:rsidRPr="00B27920">
                              <w:rPr>
                                <w:color w:val="357DBE" w:themeColor="accent1"/>
                              </w:rPr>
                              <w:t>cation and finding work.</w:t>
                            </w:r>
                            <w:r w:rsidR="00AA35E2">
                              <w:rPr>
                                <w:color w:val="357DBE" w:themeColor="accent1"/>
                              </w:rPr>
                              <w:t xml:space="preserve"> </w:t>
                            </w:r>
                            <w:r w:rsidR="00145E27" w:rsidRPr="00B27920">
                              <w:rPr>
                                <w:color w:val="357DBE" w:themeColor="accent1"/>
                              </w:rPr>
                              <w:t xml:space="preserve"> </w:t>
                            </w:r>
                          </w:p>
                          <w:p w14:paraId="4DA14A0F" w14:textId="7DCF10FB" w:rsidR="006156DB" w:rsidRPr="00032592" w:rsidRDefault="006156DB" w:rsidP="006156DB">
                            <w:pPr>
                              <w:pStyle w:val="Quote"/>
                            </w:pPr>
                            <w:r w:rsidRPr="00032592">
                              <w:t>.</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644E4C0" id="Freeform: Shape 386274011" o:spid="_x0000_s1076" style="position:absolute;left:0;text-align:left;margin-left:397.15pt;margin-top:88.7pt;width:448.35pt;height:156.6pt;z-index:251657233;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ZJ6RMAAMtlAAAOAAAAZHJzL2Uyb0RvYy54bWysXdtuI7kRfQ+QfxD0mCDrJtnXwXqD7G42&#10;CLC5AFE+QGPLYyO25Uia8Wy+PqdIVptsk1WNIC/T1qhEFuuwinWKpPTt778+PW6+HE7nh+Pz9dZ8&#10;02w3h+eb4+3D86fr7T93P/1u3G7Ol/3z7f7x+Hy43v5yOG9//92vf/Xt68uHgz3eHx9vD6cNGnk+&#10;f3h9ud7eXy4vH66uzjf3h6f9+Zvjy+EZb94dT0/7C16ePl3dnvavaP3p8co2TX/1ejzdvpyON4fz&#10;Gf/7Y3hz+51v/+7ucHP5293d+XDZPF5vodvF/3vy/36kf6+++3b/4dNp/3L/cBPV2P8PWjztH57R&#10;6dzUj/vLfvP59PCuqaeHm9PxfLy7fHNzfLo63t093Bz8GDAa0yxG84/7/cvBjwXGOb/MZjr//5q9&#10;+euXf7z8/USqn19+Pt786wyLXL2+nD/M79CLM2Q2H1//crwFhvvPl6Mf7Ne70xN9EsPYfPU2/WW2&#10;6eHrZXOD/+z6qW3abru5wXtmGsfReqtf7T/wx28+ny9/Ohx9U/svP58vAZRb/OVNert53j+h3x0A&#10;vHt6BD6//d2m2ZixGTbGDVMEcRYzLPabq82u2bxuJuP6pZBlodDWZDdmMkshx0JoyUDkfuP6gSfN&#10;3F/LUr4pa3u0VVALNgjak1ptRa2ehWJbpqTWwEJoyVpTUQuel1jLDm1bVGtiMVJrrKhlctNTpwVz&#10;mdTydcVMbntnXVfUzKTm3xlb021h/w7jfA+lSc1vIVPG0uQAuL6rzLEUg53pa7otQGhcUbcUAwuZ&#10;sm5wnBTR1jRT0W42hWFnqx6Qw2Bt0W42BYFkKrrlILRdjxlScAKbwrBDcxXvzGGw5OnvMbUpCCRT&#10;0S0HoZ0GoFDSLYVhZ2u+4HIYrC2HjhQEkinr5nIQunZCYCvo5lIYdq7mCy6HwQL8gt1cCgLJVHTL&#10;QegmU/YFl8KwczVfcDkMWAuKuqUgkExZtzYHoXeVtaBNYdi1NV9ocxgqdmtTEOp2a3MQ+pFmSAFT&#10;WhWTFaHmC20Og3VFX2hTEEimYrcchMGOQKGkWwrDrq35QpfDYBGkC/OtS0EgmbJuXQ7CMFR8oUth&#10;2HU1X+hyGKzBKvM+hnQpCCRT0S0HYbRtX7Rbl8Kw62q+0OUwIGco6paCQDJl3fochLHvyrG3T2HY&#10;9TVf6HMYrMMq895ufQoCyVR0y0GYmqFstz6FYdfXfKHPYbC0AhZ0S0EgmYpuOQgTFq0ipn0Kw66v&#10;+QISw3R5tk1xPR1SEEimrNuQgzBNcMGSnw4pDLuh5gtDDoN1xdg7pCCQTEW3HATTtEM5ERlSHHZA&#10;vrzYDzkOleCLPP8tWtaD75ijYJquKWeXYwrEbqx5w5gD0bsiqmMKA8mULTfmMNQtN6ZI7MaaO4wL&#10;JAzNkvf+MKY4GBKqqJcDAfUqnGFMsdhhCSkDOy2w6Mbi0gWF35A1JFRWb8qhqEM7pWjswNsq6uVo&#10;2GYsRpMpxcILVdRbgAG3KPvslMKxm2puMeVogLMUF4kpxcILldUzzQKNpqXxFtZ+06SA7PDBigFN&#10;kyNiJySmhflnmhQQL1XTMYcEMxDLe1nHFBXoWHMR0+SwODeUuWuTouKlajrmuGBwFZzBz5KJDR1r&#10;fmIW9NqNtswTM4LtpSo6Lij2NGK1L5pxwbHrJNvkyKDzYjplMp7tpWoq5rhg9a0gbVJgdqbOtU0O&#10;jBtNMVYbk8LipSoqLgj3OI3lpcTkjNtUKbexucOg82LANhnr9lI1FXNYxhZrRRHonHibKvM2NscF&#10;nRfDjsnIt5eqqZjDMjY1oG2KC+o9VXdZMHD4X3FdMS6NY16qouKChQ/dUGa6JqfhpsrDzYKIV62Y&#10;UXHJiqhgptnlgLhWBjpn46h81oL3go+j83LQcSksXqpixSUnR6m0rGJOyk2VlZsFLa9aMSPmkhWX&#10;1NwXvUpLYM7NDfKgcg5hFuzcja5sxYyfe6maFXN36Ya+XK0ybYrLjrK6iooLkl61YkbTJSsuiHrn&#10;KoVIkzN1U6XqZsHV0XkxFTMZW/dSFSt2ubu0Y4V3mpywmypjR16aOSCWtnKu06WweKmKigvajly7&#10;AnTO202VuJsFc0fEK6uYcXcvVVMxX11cjYWanL6bKn83CwJfnYt9uuhLc7FfwNK2laQ2Z/GmSuPN&#10;gse7kUjQe1JlMibvpSpWXHB517Tl+ozJybypsnmzoPNVK2aEXrLikLuLHSrlVJNTelPl9GZB6uEI&#10;5Uwno/VeqmLFBbFHSb3iLjmxxy5hLS4uqD3sU3aXjNx7qZqKubuYvkYMcnpvqvzeLAi+Q/JUnIsZ&#10;w/dSNRVzdzFuqszFnOKbKsc3C5Lvur6sYsbyvVRFxSXNb11FxZzm0/5sZQGcclwcCG7RihnT91I1&#10;FXN3MVjPy5lOTvVNletjoyNbXYIDFoJOzvbJTcsq4mxE1iCSrDIxwLEDFqQNYHyuYkW7JPtmKgKN&#10;/cukQUtSNRVzWKBimQHaJuP6VDQtA20XXB9BCLi8tyK2ChMVvVRNxRwWqFgGGkXmpEVYsZaM2QXV&#10;x9Qpri42o/peqqLiguqblvhaIaW1OdWnbZiKFRdUH/sJRSNmTJ+EagounKWlMFtUMEVlZ6tE3y6J&#10;vinucmLqJZjAnRMFcfrkE58v2d/zkZObr8/xzAn+2uzpCFPjD7q8HM90wGUHV8Eplp2jcyJoAlJ0&#10;QKUijElLwsMqYahKwkB9TdMEpRfv1onDsF7cH5VRFadqBomjCLFGGaosePF1IyWWT+Ig52taJ8bt&#10;xdcNldivF183VGKiJA4CuUYZYoVefN1QiaGROIjVmtaJLXnxdUMl5uLF1w2VWASJI/lfowxl9F58&#10;3VApuyZxJMVrWqdM14uvGyplnV583VApAyRxJG5rlKFszIuvGyplRiQe1hXVmyhL8eLrhkoZgxdf&#10;N1Rfqyd5qrGvGSx2TUIHBovgug/E8Zq1wWmOTlghVvVAFV4/BkTsVR/gCEV10nUf4EGjarnuAzzo&#10;lWHKVwb9GFDRW9UDRyqk4Os+wLHKrAxWhqOVQe1plUocr8zKgOXrO37QqMus6oFjlkGVZNUHOGqZ&#10;lWHLVyK8SqggrOuBkV4ZujxL9z2AXa/qgaOXCUdV1YhhOH6ZlQHMcAQz4IGrVOIYFpNjXSWOYkjn&#10;1/XAccyAsaxRyfMQMivxh3UfiD5N2fy6D0SkKbde9QEOZDgWtPIDMZBR6pn0EMwbU8sTzqQvT6Of&#10;thucRv9In9l/eNlfKCPlPzev11t/gHlzf731x4/pnafjl8Pu6GUulJrGrAqP0O/b+4/PqZwhugAz&#10;zyPit/n54pszEW9/bBrq87v8DFI2LuNsTn6Xn0HKUV0ZXfKxb36Xn0GqtaBapFgcAL/LzyDVNeCM&#10;kGplKaoVQYqNwW3wM7TVUzGZepQbG2gXCWLYDAym5Vb4GVrDYfQgxlOF3+ZnFKNiElrDFpbU2kTF&#10;YRKzohgW/WA1Tc4QZaJByCbB1mjwkXmZZO35GUaBvbkwjTQ5nJ9eM1zsr8RxyNbDghP6xcaQZD7T&#10;EznFeNGsLBfD1Lx+8Tj5Gcc7xBgOWMT2Rtp3QL/zasXt8DO2N0VaA/NI7dENl9CePF6EwDD70L3Y&#10;Hgwd7KL06ysk+nyxlsq8kENUEfvlGMChnc3Bz2AW20YuqbTWUXGLrCx3iq2zoJzSax+J15xMslb8&#10;jNoNtO+MboGdOFgOBcokxdHbCAavX9wfP2O/U0yClMnsOBjM+SG3w8/QnsMJMD8OJRg4E50cdyKk&#10;8TpLG4ywixxbnItpvuySDgWxgJrsag7nRYKcol1HZy6gnYKu66hKTOjKK5DraceJ5JRxDLTjCzl4&#10;nGi9Mc6qOUlntPgZUZtiCFfk2oYqh9SvPI6W6BzJKbOgtXG2KLOgddEp5cncOtoNo25Fq2AvNM4C&#10;RWyMYMhiXVwmFd1w9NDrpkSztqcjERgDEJGgbXvaUKCxygGjHeJqr6ym7Rg5owbZFHMpRa5rOLWR&#10;PbfzZ4IwDsU1OtSU/XiBnWSXDicAg5xsv87FqpIS0DrMFt8ezmKI/XZ0uwvjUAJp19GeFskpdulp&#10;l5rklH6HmN3ggIyo30ingdCehttEuw0kJ7t4N/F8lvXrm2hnJRNGUhXsrJCHHtcBvH4I+NJ4e6wc&#10;YRyyXXrEqiAnz6u+nQK+mP5ivx1tOsN+Stbc93Tmg+QU+w0xm4N7iv2OtDVG7WlycV7NpSReCvgZ&#10;loR+QmDx80Cep/3EdpHj0NDQ6QyaV7KdBxPnqUJiBr8VSOOV9RtsXBMUvxwcnQdDe0q2PrSRuM9F&#10;JrYbP4P94JYBX8As4TZ00S6afpiAa/AY+sg6lPVjGGJiNdcrWH9+xnFwwilPq2GMbi7n/sMU0ZUn&#10;/dhEKi5jC9XimirPvXGOLUp7NjJAhA4Js9HFOaCsWaOLWCg+iYO1Ye4paxEIYJgDSpqG/dLga4BY&#10;HMcQq7jIdkW5MSZMc+mW5wg/w1wZOWYo+k1NXMuVNWvy1wooZsi4Tf7UNeTorLs0EJS6wuL7Vvzk&#10;EfAzjASCcfVQhhyKZxSGlHULgjF/mQu13CU/uWs6JI0WKfGQBxOT9k5xYZgnLHEd2I/cYty/weKk&#10;CYYWByVazghS7ULpOvI8VPFFwSauN7iVoTTZxEwLZUllOE0snGEeab3TqTeaabZXbDnnPU5ZyaYm&#10;1rGwWaONKK4VOBisjYgOEJKenULVpmYm4pqV2BtxOFH1xxiXR9Uh42Q3uP8g424QBPyIJuxgiDME&#10;BUQviRM7qmTwSRxfUUcU4wGddJF751qtxcaJKNlwPdRpXtREToMaltJ7QyfhgLvFXX+t95jfdVrv&#10;jLvtlZwC3h4tj8OJcu/+VhLpiXxKkeQ2KRER7elvglGbOI8tS3IMsThzrEhyDaBBpUfsvYn7AjgL&#10;pFk+7mygBqZKhqDoVkcb55Q1H5ekI09otTnPUdF1Sp4zR3nXKzFknOKcd+Bnoj3HiflMrzCkkYIM&#10;zXm0KXvxOEROo0tyFUaX7GYep2d5wTfRprx2jG2MIZCUvQMXQkKyAMvLM3m0zPt6hFxpJuM7lFhP&#10;havhUs/cuxyX4Ltx1oG/y71zbqjOJXCJWFTVxj6MdAUkzBDZ47AVE7M0fOmHqCd4Fs86JTtFAW62&#10;khzBBi4nY+wyRkPLe3O9gtHg5rErlgdTnkck++ZARwGCPbU2+USQjibXC9Wxo/DJlROl936c9dSq&#10;RbiIGEekZCw9cybXz2cJOIHnZ0jkUcCLc75T8rq+j+Vt7BPIs67vEGC95TssTJIX92+7njiPIUo6&#10;3nTo5vMXPBJ+xhFRShNwV9bi3p859x6nrAg9kxPXK1tafRPzOuz7ylbCbkuswamSI2MEe4lWQlmP&#10;21SidwdHYu+Q/Qi3GeZZJ8d5LDKz5ZU2u7ilgrkkxxBUtmOs6xTWg1o5jwihTJpLqL7Pa4ec/aKe&#10;zysCihBimzigHu2pkMiuASkL81OpzrXTHL0Vvtnii6m4TRkj3I5mjJSZ3A6RnWF9l1dD7PJw70qc&#10;b/u4Fel6Jda1AD6OSKnJt0Qzgz3VDbq4sarG+dZG/o6xy3MJm4PsHQpHaHF1IuqpWb7hWKflim6i&#10;WzMhZ5Ajg5tiUQljl2OyG+kSZYiKshfjBgN7h4Imtjy5TQUjBFieSwqPwwUqllSit8P33bGVZO9A&#10;eX2tJLpnK8n5kntbj5SKhHuLNsr6jtIux3mFx7k52uDL68QIZnmvzGkVOMu7b5BU2sSdx2ClDgUc&#10;KX7Sl3OypJwJ2Lc9KSW3sVyJVv3dtnSf1M95ZccT3wnF0UY54WT5OADOSygjwnc5xd7h+KKV+PQS&#10;2lTs2cx5MrYspTZx4I3nklLLxZFIXjcVXoxbmxwZlBUBJ4LZjxTvwGVg1lOTJOPECCav2rgvzpZX&#10;OCxuyXObSmaFo+Osp8K1USCde5dx90XXGOc1Sfa4XuvdoqQW21SsRMe2o6Qyl7haiHVTzn5xa4Mj&#10;rXLmA9+oxGDKSxxuqbOgHJVoPyAMR5lItMMQBeUsoJvDh7LBwntoyH/kwbg59VNKuXb2XqVF3Mjk&#10;wcgLFp+URdSUMZz9UVl/4w4QOL6My3x2Rsl2Wc7B6mJki+hZ3KeW5Dg3ocM7khxnUHTTRZSLhm4U&#10;JkBfnII1Bwuv3G885gfWIuMRayh2VOzM7WF3XRxH9CeL0w6iXJwHWJgVPMKaYDuF6wc3tnRWSTJz&#10;iJ2WikySWFiy8A3b8mDDXMFXjMprNZ/DoRsqYq9hDuBWtIxtrJTgmLNsu7jy4raK7LxxRxhbx0p7&#10;wcgGJzvEcURs8WUhyhwIcxnfeyLbBcUwmvO4/aTYJcCGMxEyuvEeHC54rZTT5nLs12HyS/jyOKgc&#10;KcpFO9N1ElEu2s9o+oWVGN87KM/TOF8mJaWLx7ZGxTnirBqUDV1kHAQuqo/iWGOlRKMEkeLgOxrl&#10;1mJuohSSuDyjcIa4V/B2QYqLi/wMRcZoNzrSIaIadHuH1c3j8XwIH6S7Tv4q/Xzpie5KJb8H8Xz8&#10;6eHxEcJ0B4muQuFrklBapNfn4+PDLb3rX5w+ffzh8bT5sscPfbj+D/3330fdMrHT8fPzrW/t/rC/&#10;/WP8+7J/eAx/+6tO8Qcw6Dcv6HdEzh8uXz9+3TzcYrHy7k3/9fF4+8vfT5vTMfyiCH4BBX/cH0//&#10;2W5e8Wsi19vzvz/vT4ft5vHPz/i5jgnUBRH74l+0yKbx4pS+8zF9Z/98g6aut5ctvoSA/vzhEn6y&#10;5PPL6eHTPXoy3gLPxz/gpzjuHugHM/xvdgSt4gv8Yog3bfx1E/pJkvS1l3r7DZbv/gsAAP//AwBQ&#10;SwMEFAAGAAgAAAAhADm822TdAAAACAEAAA8AAABkcnMvZG93bnJldi54bWxMj8FugzAQRO+V8g/W&#10;RuqlakwiBIRioqhSrpVCk7uDt0CD1wibhPbruz21x9lZzbwpdrPtxQ1H3zlSsF5FIJBqZzpqFJze&#10;D88ZCB80Gd07QgVf6GFXLh4KnRt3pyPeqtAIDiGfawVtCEMupa9btNqv3IDE3ocbrQ4sx0aaUd85&#10;3PZyE0WJtLojbmj1gK8t1tdqsgqSdbw5NQeZTufvz7mKj28ZPaFSj8t5/wIi4Bz+nuEXn9GhZKaL&#10;m8h40SvgIYGvaRqDYDvbJimIi4J4GyUgy0L+H1D+AAAA//8DAFBLAQItABQABgAIAAAAIQC2gziS&#10;/gAAAOEBAAATAAAAAAAAAAAAAAAAAAAAAABbQ29udGVudF9UeXBlc10ueG1sUEsBAi0AFAAGAAgA&#10;AAAhADj9If/WAAAAlAEAAAsAAAAAAAAAAAAAAAAALwEAAF9yZWxzLy5yZWxzUEsBAi0AFAAGAAgA&#10;AAAhAHm+pknpEwAAy2UAAA4AAAAAAAAAAAAAAAAALgIAAGRycy9lMm9Eb2MueG1sUEsBAi0AFAAG&#10;AAgAAAAhADm822TdAAAACAEAAA8AAAAAAAAAAAAAAAAAQxYAAGRycy9kb3ducmV2LnhtbFBLBQYA&#10;AAAABAAEAPMAAABNFw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753,104047;550333,119763;850741,119763;1156759,137646;1419772,110008;1701482,121388;1983193,112176;2239973,120305;2562196,119221;2828325,107299;3071394,119221;3392369,128433;3682806,114886;3995679,116511;4279883,122472;4532300,129517;4797183,113260;5034019,110550;5340660,128975;5671608,119221;5687812,343573;5671608,622116;5649794,860016;5687812,1132056;5670985,1379710;5677840,1588888;5654780,1826788;5608659,2071733;5285814,2072816;5031526,2066855;4740467,2069023;4428217,2067939;4158971,2052224;3862926,2067939;3569373,2066314;3297635,2067939;3019664,2077152;2732344,2067939;2449387,2069565;2179518,2071191;1909649,2049514;1601139,2067939;1290135,2083113;1035848,2067939;827681,2074442;526026,2065772;186353,2061978;7479,1931919;32409,1680472;2493,1466958;15581,1189499;14335,966231;14958,750007;23060,468755;20567,167993" o:connectangles="0,0,0,0,0,0,0,0,0,0,0,0,0,0,0,0,0,0,0,0,0,0,0,0,0,0,0,0,0,0,0,0,0,0,0,0,0,0,0,0,0,0,0,0,0,0,0,0,0,0,0,0,0,0,0" textboxrect="0,0,9136,3670"/>
                <v:textbox>
                  <w:txbxContent>
                    <w:p w14:paraId="0C702224" w14:textId="586C907D" w:rsidR="006156DB" w:rsidRDefault="005D124A" w:rsidP="006156DB">
                      <w:pPr>
                        <w:pStyle w:val="NoSpacing"/>
                        <w:spacing w:before="240"/>
                        <w:rPr>
                          <w:b/>
                          <w:bCs/>
                          <w:color w:val="357DBE" w:themeColor="accent1"/>
                        </w:rPr>
                      </w:pPr>
                      <w:r>
                        <w:rPr>
                          <w:b/>
                          <w:bCs/>
                          <w:color w:val="357DBE" w:themeColor="accent1"/>
                        </w:rPr>
                        <w:t xml:space="preserve">Case study </w:t>
                      </w:r>
                      <w:r w:rsidR="00E76404">
                        <w:rPr>
                          <w:b/>
                          <w:bCs/>
                          <w:color w:val="357DBE" w:themeColor="accent1"/>
                        </w:rPr>
                        <w:t>–</w:t>
                      </w:r>
                      <w:r w:rsidR="00D11DC6">
                        <w:rPr>
                          <w:b/>
                          <w:bCs/>
                          <w:color w:val="357DBE" w:themeColor="accent1"/>
                        </w:rPr>
                        <w:t xml:space="preserve"> </w:t>
                      </w:r>
                      <w:r w:rsidR="00E76404">
                        <w:rPr>
                          <w:b/>
                          <w:bCs/>
                          <w:color w:val="357DBE" w:themeColor="accent1"/>
                        </w:rPr>
                        <w:t>Australian Nurse Family Partnership Program</w:t>
                      </w:r>
                    </w:p>
                    <w:p w14:paraId="2EB5D78F" w14:textId="497295D0" w:rsidR="00E76404" w:rsidRPr="00B27920" w:rsidRDefault="00E76404" w:rsidP="006156DB">
                      <w:pPr>
                        <w:pStyle w:val="NoSpacing"/>
                        <w:spacing w:before="240"/>
                        <w:rPr>
                          <w:color w:val="357DBE" w:themeColor="accent1"/>
                        </w:rPr>
                      </w:pPr>
                      <w:r w:rsidRPr="00B27920">
                        <w:rPr>
                          <w:color w:val="357DBE" w:themeColor="accent1"/>
                        </w:rPr>
                        <w:t xml:space="preserve">The Australian Nurse Family Partnership Program </w:t>
                      </w:r>
                      <w:r w:rsidR="001833B1" w:rsidRPr="00B27920">
                        <w:rPr>
                          <w:color w:val="357DBE" w:themeColor="accent1"/>
                        </w:rPr>
                        <w:t xml:space="preserve">is a nurse-led home visiting program for Aboriginal and Torres Strait Islander women who are </w:t>
                      </w:r>
                      <w:r w:rsidR="00145E27" w:rsidRPr="00B27920">
                        <w:rPr>
                          <w:color w:val="357DBE" w:themeColor="accent1"/>
                        </w:rPr>
                        <w:t xml:space="preserve">pregnant or women pregnant with an Aboriginal or Torres Strait Islander child. It supports women from around 16 weeks gestation to </w:t>
                      </w:r>
                      <w:r w:rsidR="007B027A">
                        <w:rPr>
                          <w:color w:val="357DBE" w:themeColor="accent1"/>
                        </w:rPr>
                        <w:t>2</w:t>
                      </w:r>
                      <w:r w:rsidR="00AA60EA" w:rsidRPr="00B27920">
                        <w:rPr>
                          <w:color w:val="357DBE" w:themeColor="accent1"/>
                        </w:rPr>
                        <w:t xml:space="preserve"> years of age. The program aims to improve pregnancy outcomes by helping women engage in preventive</w:t>
                      </w:r>
                      <w:r w:rsidR="00E7037F" w:rsidRPr="00B27920">
                        <w:rPr>
                          <w:color w:val="357DBE" w:themeColor="accent1"/>
                        </w:rPr>
                        <w:t xml:space="preserve"> health </w:t>
                      </w:r>
                      <w:r w:rsidR="005A55D7" w:rsidRPr="00B27920">
                        <w:rPr>
                          <w:color w:val="357DBE" w:themeColor="accent1"/>
                        </w:rPr>
                        <w:t>practices; support</w:t>
                      </w:r>
                      <w:r w:rsidR="00E7037F" w:rsidRPr="00B27920">
                        <w:rPr>
                          <w:color w:val="357DBE" w:themeColor="accent1"/>
                        </w:rPr>
                        <w:t xml:space="preserve"> parents to improve their child’s health and develop</w:t>
                      </w:r>
                      <w:r w:rsidR="00836E69">
                        <w:rPr>
                          <w:color w:val="357DBE" w:themeColor="accent1"/>
                        </w:rPr>
                        <w:t>ment</w:t>
                      </w:r>
                      <w:r w:rsidR="00E7037F" w:rsidRPr="00B27920">
                        <w:rPr>
                          <w:color w:val="357DBE" w:themeColor="accent1"/>
                        </w:rPr>
                        <w:t xml:space="preserve">; and help parents develop a vision </w:t>
                      </w:r>
                      <w:r w:rsidR="00836E69">
                        <w:rPr>
                          <w:color w:val="357DBE" w:themeColor="accent1"/>
                        </w:rPr>
                        <w:t>f</w:t>
                      </w:r>
                      <w:r w:rsidR="00E7037F" w:rsidRPr="00B27920">
                        <w:rPr>
                          <w:color w:val="357DBE" w:themeColor="accent1"/>
                        </w:rPr>
                        <w:t>or their own future, including continuing edu</w:t>
                      </w:r>
                      <w:r w:rsidR="005A55D7" w:rsidRPr="00B27920">
                        <w:rPr>
                          <w:color w:val="357DBE" w:themeColor="accent1"/>
                        </w:rPr>
                        <w:t>cation and finding work.</w:t>
                      </w:r>
                      <w:r w:rsidR="00AA35E2">
                        <w:rPr>
                          <w:color w:val="357DBE" w:themeColor="accent1"/>
                        </w:rPr>
                        <w:t xml:space="preserve"> </w:t>
                      </w:r>
                      <w:r w:rsidR="00145E27" w:rsidRPr="00B27920">
                        <w:rPr>
                          <w:color w:val="357DBE" w:themeColor="accent1"/>
                        </w:rPr>
                        <w:t xml:space="preserve"> </w:t>
                      </w:r>
                    </w:p>
                    <w:p w14:paraId="4DA14A0F" w14:textId="7DCF10FB" w:rsidR="006156DB" w:rsidRPr="00032592" w:rsidRDefault="006156DB" w:rsidP="006156DB">
                      <w:pPr>
                        <w:pStyle w:val="Quote"/>
                      </w:pPr>
                      <w:r w:rsidRPr="00032592">
                        <w:t>.</w:t>
                      </w:r>
                    </w:p>
                  </w:txbxContent>
                </v:textbox>
                <w10:wrap type="topAndBottom" anchorx="margin"/>
              </v:shape>
            </w:pict>
          </mc:Fallback>
        </mc:AlternateContent>
      </w:r>
      <w:r w:rsidR="00E22446">
        <w:t xml:space="preserve">Programs and activities under this theme </w:t>
      </w:r>
      <w:r w:rsidR="00C43FE7">
        <w:t>includ</w:t>
      </w:r>
      <w:r w:rsidR="003F1B70">
        <w:t>e</w:t>
      </w:r>
      <w:r w:rsidR="00C43FE7">
        <w:t xml:space="preserve"> programs</w:t>
      </w:r>
      <w:r w:rsidR="00A93D15">
        <w:t xml:space="preserve"> relating to </w:t>
      </w:r>
      <w:r w:rsidR="007B280C">
        <w:t>smoking</w:t>
      </w:r>
      <w:r w:rsidR="00770BFE">
        <w:t>, kidney health, ear and eye health, cardiac health, rhematic fever</w:t>
      </w:r>
      <w:r w:rsidR="00E9108E">
        <w:t>, cancer screening, sexual and reproductive health, nutr</w:t>
      </w:r>
      <w:r w:rsidR="004E4F26">
        <w:t xml:space="preserve">ition, </w:t>
      </w:r>
      <w:r w:rsidR="00C43FE7">
        <w:t>oral health, crusted scabies and chronic</w:t>
      </w:r>
      <w:r w:rsidR="00A93D15">
        <w:t xml:space="preserve"> disease</w:t>
      </w:r>
      <w:r w:rsidR="007B280C">
        <w:t>.</w:t>
      </w:r>
      <w:r w:rsidR="00B92C09" w:rsidRPr="00B92C09">
        <w:t xml:space="preserve"> </w:t>
      </w:r>
      <w:r w:rsidR="00B92C09">
        <w:t xml:space="preserve">The funding is responsive to emerging priorities and is provided to funded services for the delivery of specific programs, rather than general clinical service delivery. </w:t>
      </w:r>
    </w:p>
    <w:p w14:paraId="06F09E27" w14:textId="61882EBA" w:rsidR="00933289" w:rsidRDefault="00933289">
      <w:pPr>
        <w:jc w:val="left"/>
      </w:pPr>
      <w:r>
        <w:br w:type="page"/>
      </w:r>
    </w:p>
    <w:p w14:paraId="5CBAA7B5" w14:textId="0706DAC5" w:rsidR="006F1155" w:rsidRPr="00411637" w:rsidRDefault="006F1155" w:rsidP="006D6569">
      <w:pPr>
        <w:pStyle w:val="Heading4"/>
        <w:ind w:left="1134" w:hanging="1134"/>
      </w:pPr>
      <w:r w:rsidRPr="00411637">
        <w:lastRenderedPageBreak/>
        <w:t xml:space="preserve">Capital works </w:t>
      </w:r>
    </w:p>
    <w:p w14:paraId="47C5D4EC" w14:textId="23D818FB" w:rsidR="00B02BCC" w:rsidRDefault="00B02BCC" w:rsidP="00B02BCC">
      <w:pPr>
        <w:rPr>
          <w:szCs w:val="21"/>
        </w:rPr>
      </w:pPr>
      <w:r>
        <w:t xml:space="preserve">The </w:t>
      </w:r>
      <w:r w:rsidR="008E39E2">
        <w:t xml:space="preserve">IAHP </w:t>
      </w:r>
      <w:r>
        <w:t xml:space="preserve">capital works </w:t>
      </w:r>
      <w:r w:rsidR="00FF4F89">
        <w:t>theme</w:t>
      </w:r>
      <w:r>
        <w:t xml:space="preserve"> aims to ensure that Aboriginal and Torres Strait Islander people have access to </w:t>
      </w:r>
      <w:r w:rsidRPr="00884FAA">
        <w:rPr>
          <w:szCs w:val="21"/>
        </w:rPr>
        <w:t>safe and effective essential health services through the provision of culturally appropriate, fit for purpose health infrastructure, including clinics, staff accommodation and facilities for the delivery of renal services</w:t>
      </w:r>
      <w:r>
        <w:rPr>
          <w:szCs w:val="21"/>
        </w:rPr>
        <w:t>.</w:t>
      </w:r>
      <w:r w:rsidR="00637DFC">
        <w:rPr>
          <w:szCs w:val="21"/>
        </w:rPr>
        <w:t xml:space="preserve"> Investment in capital works through the IAHP </w:t>
      </w:r>
      <w:r w:rsidR="00E54934">
        <w:rPr>
          <w:szCs w:val="21"/>
        </w:rPr>
        <w:t xml:space="preserve">can </w:t>
      </w:r>
      <w:r w:rsidR="00C17FC6">
        <w:rPr>
          <w:szCs w:val="21"/>
        </w:rPr>
        <w:t>range from</w:t>
      </w:r>
      <w:r w:rsidR="00E54934">
        <w:rPr>
          <w:szCs w:val="21"/>
        </w:rPr>
        <w:t xml:space="preserve"> the purchase of a </w:t>
      </w:r>
      <w:r w:rsidR="00F50EA6">
        <w:rPr>
          <w:szCs w:val="21"/>
        </w:rPr>
        <w:t xml:space="preserve">new </w:t>
      </w:r>
      <w:r w:rsidR="00E54934">
        <w:rPr>
          <w:szCs w:val="21"/>
        </w:rPr>
        <w:t>facility</w:t>
      </w:r>
      <w:r w:rsidR="00B41B37">
        <w:rPr>
          <w:szCs w:val="21"/>
        </w:rPr>
        <w:t>, refurbishment</w:t>
      </w:r>
      <w:r w:rsidR="00F50EA6">
        <w:rPr>
          <w:szCs w:val="21"/>
        </w:rPr>
        <w:t xml:space="preserve"> or existing facilities</w:t>
      </w:r>
      <w:r w:rsidR="001656F2">
        <w:rPr>
          <w:szCs w:val="21"/>
        </w:rPr>
        <w:t>, building of a new clinic and</w:t>
      </w:r>
      <w:r w:rsidR="00F50EA6">
        <w:rPr>
          <w:szCs w:val="21"/>
        </w:rPr>
        <w:t>/or</w:t>
      </w:r>
      <w:r w:rsidR="001656F2">
        <w:rPr>
          <w:szCs w:val="21"/>
        </w:rPr>
        <w:t xml:space="preserve"> staff housing. </w:t>
      </w:r>
    </w:p>
    <w:p w14:paraId="1E53ECD8" w14:textId="77777777" w:rsidR="00966A09" w:rsidRDefault="00966A09" w:rsidP="00966A09">
      <w:r>
        <w:t>This theme includes investment in:</w:t>
      </w:r>
    </w:p>
    <w:p w14:paraId="53580F13" w14:textId="77609083" w:rsidR="00966A09" w:rsidRDefault="000568FD" w:rsidP="003B3C05">
      <w:pPr>
        <w:numPr>
          <w:ilvl w:val="0"/>
          <w:numId w:val="19"/>
        </w:numPr>
        <w:spacing w:after="120"/>
      </w:pPr>
      <w:r>
        <w:t>t</w:t>
      </w:r>
      <w:r w:rsidR="00257E8F">
        <w:t>he Capital Works Program,</w:t>
      </w:r>
      <w:r w:rsidR="008F5683" w:rsidRPr="008F5683">
        <w:t xml:space="preserve"> </w:t>
      </w:r>
      <w:r w:rsidR="00152F9A">
        <w:t xml:space="preserve">which aims to improve </w:t>
      </w:r>
      <w:r w:rsidR="008F5683" w:rsidRPr="008F5683">
        <w:t xml:space="preserve">access to </w:t>
      </w:r>
      <w:r w:rsidR="00152F9A">
        <w:t>PHC</w:t>
      </w:r>
      <w:r w:rsidR="008F5683" w:rsidRPr="008F5683">
        <w:t xml:space="preserve"> services through safe and accessible, fit-for-purpose health infrastructure</w:t>
      </w:r>
      <w:r>
        <w:t xml:space="preserve">, and </w:t>
      </w:r>
      <w:r w:rsidR="008F5683" w:rsidRPr="008F5683">
        <w:t>safe and secure clinical staff housing</w:t>
      </w:r>
    </w:p>
    <w:p w14:paraId="52B6CBA0" w14:textId="6BBD91B0" w:rsidR="002E7A51" w:rsidRDefault="000568FD" w:rsidP="003B3C05">
      <w:pPr>
        <w:numPr>
          <w:ilvl w:val="0"/>
          <w:numId w:val="19"/>
        </w:numPr>
        <w:spacing w:after="120"/>
      </w:pPr>
      <w:r>
        <w:t>t</w:t>
      </w:r>
      <w:r w:rsidR="00257E8F">
        <w:t xml:space="preserve">he Service </w:t>
      </w:r>
      <w:r>
        <w:t>M</w:t>
      </w:r>
      <w:r w:rsidR="00257E8F">
        <w:t xml:space="preserve">aintenance Program, </w:t>
      </w:r>
      <w:r w:rsidR="005B5CEC" w:rsidRPr="003B3C05">
        <w:t xml:space="preserve">which aims to improve the safety and accessibility of </w:t>
      </w:r>
      <w:r w:rsidR="00A338AD" w:rsidRPr="003B3C05">
        <w:t>ACCHS</w:t>
      </w:r>
      <w:r w:rsidR="005B5CEC" w:rsidRPr="003B3C05">
        <w:t xml:space="preserve"> clinics for Aboriginal and Torres Strait Islander people by addressing emergency repairs, urgent maintenance and upgrade issues. </w:t>
      </w:r>
    </w:p>
    <w:p w14:paraId="3A49BCBC" w14:textId="64EF36BE" w:rsidR="007B30C5" w:rsidRPr="00411637" w:rsidRDefault="007B30C5" w:rsidP="0042722B">
      <w:pPr>
        <w:pStyle w:val="Heading4"/>
        <w:spacing w:before="240"/>
        <w:ind w:left="1134" w:hanging="1134"/>
      </w:pPr>
      <w:r w:rsidRPr="00411637">
        <w:t xml:space="preserve">Governance and </w:t>
      </w:r>
      <w:r w:rsidR="00A95212" w:rsidRPr="00411637">
        <w:t>s</w:t>
      </w:r>
      <w:r w:rsidRPr="00411637">
        <w:t xml:space="preserve">ystem </w:t>
      </w:r>
      <w:r w:rsidR="00A95212" w:rsidRPr="00411637">
        <w:t>e</w:t>
      </w:r>
      <w:r w:rsidRPr="00411637">
        <w:t xml:space="preserve">ffectiveness </w:t>
      </w:r>
    </w:p>
    <w:p w14:paraId="0B2A9F6D" w14:textId="1E474372" w:rsidR="00C114D1" w:rsidRDefault="007B30C5" w:rsidP="007B30C5">
      <w:r>
        <w:t xml:space="preserve">In addition to supporting direct service delivery through program and infrastructure investment, the IAHP also provides funding for investment in information systems, system support, data, evaluation, CQI and measures to strengthen the quality and safety of health care provision to Aboriginal and Torres Strait Islander people. </w:t>
      </w:r>
      <w:r w:rsidR="008F7AD1">
        <w:t>This theme includes</w:t>
      </w:r>
      <w:r w:rsidR="00BC631D">
        <w:t xml:space="preserve"> funding to NACCHO and its state and territory affiliates.</w:t>
      </w:r>
    </w:p>
    <w:p w14:paraId="64AE8DA7" w14:textId="6B4F7F2E" w:rsidR="007B30C5" w:rsidRPr="00411637" w:rsidRDefault="00FD6993" w:rsidP="0042722B">
      <w:pPr>
        <w:pStyle w:val="Heading4"/>
        <w:spacing w:before="240"/>
        <w:ind w:left="1134" w:hanging="1134"/>
      </w:pPr>
      <w:r w:rsidRPr="00411637">
        <w:t>Other re</w:t>
      </w:r>
      <w:r w:rsidR="007B30C5" w:rsidRPr="00411637">
        <w:t xml:space="preserve">lated programs </w:t>
      </w:r>
    </w:p>
    <w:p w14:paraId="1144282C" w14:textId="74C1F8C2" w:rsidR="007B30C5" w:rsidRDefault="007B30C5" w:rsidP="007B30C5">
      <w:r>
        <w:t>There are also programs that intersect with programs funded under the IAHP, including the PIP IHI</w:t>
      </w:r>
      <w:r w:rsidR="00BC631D">
        <w:t>,</w:t>
      </w:r>
      <w:r>
        <w:t xml:space="preserve"> and directly influence the funding and service delivery landscape for IAHP funded organisations. For example, elements of the Indigenous Chronic Disease Package, including the PIP IHI</w:t>
      </w:r>
      <w:r w:rsidR="00396CC7">
        <w:t>,</w:t>
      </w:r>
      <w:r>
        <w:t xml:space="preserve"> are an important </w:t>
      </w:r>
      <w:r w:rsidR="00CE7EC3">
        <w:t>funding</w:t>
      </w:r>
      <w:r>
        <w:t xml:space="preserve"> stream for ACCHS</w:t>
      </w:r>
      <w:r w:rsidR="00396CC7">
        <w:t>s</w:t>
      </w:r>
      <w:r>
        <w:t xml:space="preserve"> and mainstream GP practices.</w:t>
      </w:r>
    </w:p>
    <w:p w14:paraId="0310C3B4" w14:textId="74E4B567" w:rsidR="00B975A9" w:rsidRPr="00884FAA" w:rsidRDefault="00B975A9" w:rsidP="00B975A9"/>
    <w:p w14:paraId="35308BCF" w14:textId="74E4B567" w:rsidR="00B975A9" w:rsidRPr="00884FAA" w:rsidRDefault="00B975A9" w:rsidP="00B975A9">
      <w:pPr>
        <w:pStyle w:val="TableFigure-Header"/>
        <w:rPr>
          <w:lang w:val="en-AU"/>
        </w:rPr>
        <w:sectPr w:rsidR="00B975A9" w:rsidRPr="00884FAA" w:rsidSect="009173B7">
          <w:pgSz w:w="11909" w:h="16834" w:code="9"/>
          <w:pgMar w:top="1440" w:right="1440" w:bottom="1440" w:left="1440" w:header="720" w:footer="720" w:gutter="0"/>
          <w:cols w:space="720"/>
          <w:titlePg/>
          <w:docGrid w:linePitch="360"/>
        </w:sectPr>
      </w:pPr>
    </w:p>
    <w:p w14:paraId="22705F9E" w14:textId="408931ED" w:rsidR="00B975A9" w:rsidRPr="00884FAA" w:rsidRDefault="004070A5" w:rsidP="00374496">
      <w:pPr>
        <w:pStyle w:val="TableFigure-Header"/>
        <w:rPr>
          <w:lang w:val="en-AU"/>
        </w:rPr>
      </w:pPr>
      <w:bookmarkStart w:id="89" w:name="_Ref131078953"/>
      <w:bookmarkStart w:id="90" w:name="_Toc138851278"/>
      <w:r w:rsidRPr="00884FAA">
        <w:rPr>
          <w:lang w:val="en-AU"/>
        </w:rPr>
        <w:lastRenderedPageBreak/>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3</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1</w:t>
      </w:r>
      <w:r w:rsidR="00B92D87">
        <w:rPr>
          <w:lang w:val="en-AU"/>
        </w:rPr>
        <w:fldChar w:fldCharType="end"/>
      </w:r>
      <w:bookmarkEnd w:id="89"/>
      <w:r w:rsidRPr="00884FAA">
        <w:rPr>
          <w:lang w:val="en-AU"/>
        </w:rPr>
        <w:t>.</w:t>
      </w:r>
      <w:r w:rsidR="00B975A9" w:rsidRPr="00884FAA">
        <w:rPr>
          <w:lang w:val="en-AU"/>
        </w:rPr>
        <w:t xml:space="preserve"> Activities and programs funded through the IAHP</w:t>
      </w:r>
      <w:bookmarkEnd w:id="90"/>
    </w:p>
    <w:tbl>
      <w:tblPr>
        <w:tblStyle w:val="ACTableDesign1White"/>
        <w:tblW w:w="0" w:type="auto"/>
        <w:tblLook w:val="04A0" w:firstRow="1" w:lastRow="0" w:firstColumn="1" w:lastColumn="0" w:noHBand="0" w:noVBand="1"/>
      </w:tblPr>
      <w:tblGrid>
        <w:gridCol w:w="2370"/>
        <w:gridCol w:w="5957"/>
        <w:gridCol w:w="5621"/>
      </w:tblGrid>
      <w:tr w:rsidR="00B975A9" w:rsidRPr="00884FAA" w14:paraId="29DCF3DD" w14:textId="77777777" w:rsidTr="009600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10EB97" w14:textId="77777777" w:rsidR="00B975A9" w:rsidRPr="0058387D" w:rsidRDefault="00B975A9" w:rsidP="00960008">
            <w:pPr>
              <w:rPr>
                <w:color w:val="000000" w:themeColor="text1"/>
                <w:szCs w:val="21"/>
              </w:rPr>
            </w:pPr>
            <w:r w:rsidRPr="0058387D">
              <w:rPr>
                <w:color w:val="000000" w:themeColor="text1"/>
                <w:szCs w:val="21"/>
              </w:rPr>
              <w:t>Funding stream</w:t>
            </w:r>
          </w:p>
        </w:tc>
        <w:tc>
          <w:tcPr>
            <w:tcW w:w="0" w:type="auto"/>
          </w:tcPr>
          <w:p w14:paraId="402AECBA" w14:textId="77777777" w:rsidR="00B975A9" w:rsidRPr="0058387D" w:rsidRDefault="00B975A9" w:rsidP="00960008">
            <w:pPr>
              <w:cnfStyle w:val="100000000000" w:firstRow="1" w:lastRow="0" w:firstColumn="0" w:lastColumn="0" w:oddVBand="0" w:evenVBand="0" w:oddHBand="0" w:evenHBand="0" w:firstRowFirstColumn="0" w:firstRowLastColumn="0" w:lastRowFirstColumn="0" w:lastRowLastColumn="0"/>
              <w:rPr>
                <w:color w:val="000000" w:themeColor="text1"/>
                <w:szCs w:val="21"/>
              </w:rPr>
            </w:pPr>
            <w:r w:rsidRPr="0058387D">
              <w:rPr>
                <w:color w:val="000000" w:themeColor="text1"/>
                <w:szCs w:val="21"/>
              </w:rPr>
              <w:t>Objective(s)</w:t>
            </w:r>
          </w:p>
        </w:tc>
        <w:tc>
          <w:tcPr>
            <w:tcW w:w="0" w:type="auto"/>
          </w:tcPr>
          <w:p w14:paraId="49C8727D" w14:textId="77777777" w:rsidR="00B975A9" w:rsidRPr="0058387D" w:rsidRDefault="00B975A9" w:rsidP="00960008">
            <w:pPr>
              <w:cnfStyle w:val="100000000000" w:firstRow="1" w:lastRow="0" w:firstColumn="0" w:lastColumn="0" w:oddVBand="0" w:evenVBand="0" w:oddHBand="0" w:evenHBand="0" w:firstRowFirstColumn="0" w:firstRowLastColumn="0" w:lastRowFirstColumn="0" w:lastRowLastColumn="0"/>
              <w:rPr>
                <w:color w:val="000000" w:themeColor="text1"/>
                <w:szCs w:val="21"/>
              </w:rPr>
            </w:pPr>
            <w:r w:rsidRPr="0058387D">
              <w:rPr>
                <w:color w:val="000000" w:themeColor="text1"/>
                <w:szCs w:val="21"/>
              </w:rPr>
              <w:t>Activities and programs</w:t>
            </w:r>
          </w:p>
        </w:tc>
      </w:tr>
      <w:tr w:rsidR="00B975A9" w:rsidRPr="00884FAA" w14:paraId="50F391DC" w14:textId="77777777" w:rsidTr="009600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1C841F95" w14:textId="77777777" w:rsidR="00B975A9" w:rsidRPr="00884FAA" w:rsidRDefault="00B975A9" w:rsidP="00960008">
            <w:pPr>
              <w:jc w:val="left"/>
              <w:rPr>
                <w:rFonts w:asciiTheme="minorHAnsi" w:hAnsiTheme="minorHAnsi" w:cstheme="minorHAnsi"/>
                <w:b/>
                <w:szCs w:val="21"/>
              </w:rPr>
            </w:pPr>
            <w:r w:rsidRPr="00884FAA">
              <w:rPr>
                <w:rFonts w:cstheme="minorHAnsi"/>
                <w:b/>
                <w:szCs w:val="21"/>
              </w:rPr>
              <w:t>PHC Services</w:t>
            </w:r>
          </w:p>
        </w:tc>
        <w:tc>
          <w:tcPr>
            <w:tcW w:w="0" w:type="auto"/>
            <w:vAlign w:val="top"/>
          </w:tcPr>
          <w:p w14:paraId="13BC56BF" w14:textId="1E5E5CA6"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szCs w:val="21"/>
              </w:rPr>
            </w:pPr>
            <w:r w:rsidRPr="00884FAA">
              <w:rPr>
                <w:szCs w:val="21"/>
              </w:rPr>
              <w:t xml:space="preserve">To contribute to closing the gap in life expectancy within a generation and to halve the gap in mortality rates for Aboriginal and Torres Strait Islander children under </w:t>
            </w:r>
            <w:r w:rsidR="001F17BB">
              <w:t>5</w:t>
            </w:r>
            <w:r w:rsidR="001F17BB" w:rsidRPr="00884FAA">
              <w:rPr>
                <w:szCs w:val="21"/>
              </w:rPr>
              <w:t xml:space="preserve"> </w:t>
            </w:r>
            <w:r w:rsidRPr="00884FAA">
              <w:rPr>
                <w:szCs w:val="21"/>
              </w:rPr>
              <w:t>within a decade through the provision of high quality, comprehensive, culturally appropriate PHC</w:t>
            </w:r>
          </w:p>
        </w:tc>
        <w:tc>
          <w:tcPr>
            <w:tcW w:w="0" w:type="auto"/>
            <w:vAlign w:val="top"/>
          </w:tcPr>
          <w:p w14:paraId="3B589908" w14:textId="39BB4FE1" w:rsidR="00B975A9" w:rsidRPr="00884FAA" w:rsidRDefault="000F7ACE" w:rsidP="00960008">
            <w:pPr>
              <w:jc w:val="left"/>
              <w:cnfStyle w:val="000000100000" w:firstRow="0" w:lastRow="0" w:firstColumn="0" w:lastColumn="0" w:oddVBand="0" w:evenVBand="0" w:oddHBand="1" w:evenHBand="0" w:firstRowFirstColumn="0" w:firstRowLastColumn="0" w:lastRowFirstColumn="0" w:lastRowLastColumn="0"/>
              <w:rPr>
                <w:szCs w:val="21"/>
              </w:rPr>
            </w:pPr>
            <w:r>
              <w:t>PHC Program</w:t>
            </w:r>
            <w:r w:rsidR="00B975A9" w:rsidRPr="00884FAA">
              <w:t>, New Directions Expansion, Australian Nurse Family Partnership Program (ANFPP), Connected Beginnings</w:t>
            </w:r>
          </w:p>
        </w:tc>
      </w:tr>
      <w:tr w:rsidR="00B975A9" w:rsidRPr="00884FAA" w14:paraId="3F7CDA68" w14:textId="77777777" w:rsidTr="009600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2B2F897A" w14:textId="77777777" w:rsidR="00B975A9" w:rsidRPr="00884FAA" w:rsidRDefault="00B975A9" w:rsidP="00960008">
            <w:pPr>
              <w:jc w:val="left"/>
              <w:rPr>
                <w:rFonts w:asciiTheme="minorHAnsi" w:hAnsiTheme="minorHAnsi" w:cstheme="minorHAnsi"/>
                <w:b/>
                <w:szCs w:val="21"/>
              </w:rPr>
            </w:pPr>
            <w:r w:rsidRPr="00884FAA">
              <w:rPr>
                <w:rFonts w:cstheme="minorHAnsi"/>
                <w:b/>
                <w:szCs w:val="21"/>
              </w:rPr>
              <w:t>Improving Access to PHC for Aboriginal and Torres Strait Islander People</w:t>
            </w:r>
          </w:p>
        </w:tc>
        <w:tc>
          <w:tcPr>
            <w:tcW w:w="0" w:type="auto"/>
            <w:vAlign w:val="top"/>
          </w:tcPr>
          <w:p w14:paraId="59B9DE04" w14:textId="5E60A59C"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884FAA">
              <w:rPr>
                <w:rFonts w:asciiTheme="minorHAnsi" w:hAnsiTheme="minorHAnsi" w:cstheme="minorHAnsi"/>
                <w:szCs w:val="21"/>
              </w:rPr>
              <w:t>To improve access to PHC and to improve the capacity of mainstream primary care services to deliver culturally safe services to Aboriginal and Torres Strait Islander people</w:t>
            </w:r>
          </w:p>
        </w:tc>
        <w:tc>
          <w:tcPr>
            <w:tcW w:w="0" w:type="auto"/>
            <w:vAlign w:val="top"/>
          </w:tcPr>
          <w:p w14:paraId="4A873158" w14:textId="38FF979C"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884FAA">
              <w:t>Remote Area Health Corps, Medical Outreach Indigenous Chronic Disease</w:t>
            </w:r>
            <w:r w:rsidR="004D5348">
              <w:t>s</w:t>
            </w:r>
            <w:r w:rsidRPr="00884FAA">
              <w:t xml:space="preserve"> Program (MOICDP), Integrated Team Care (ITC), Services of Concern</w:t>
            </w:r>
          </w:p>
        </w:tc>
      </w:tr>
      <w:tr w:rsidR="00B975A9" w:rsidRPr="00884FAA" w14:paraId="17355869" w14:textId="77777777" w:rsidTr="009600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33D38EAA" w14:textId="77777777" w:rsidR="00B975A9" w:rsidRPr="00884FAA" w:rsidRDefault="00B975A9" w:rsidP="00960008">
            <w:pPr>
              <w:jc w:val="left"/>
              <w:rPr>
                <w:rFonts w:asciiTheme="minorHAnsi" w:hAnsiTheme="minorHAnsi" w:cstheme="minorHAnsi"/>
                <w:b/>
                <w:szCs w:val="21"/>
              </w:rPr>
            </w:pPr>
            <w:r w:rsidRPr="00884FAA">
              <w:rPr>
                <w:rFonts w:cstheme="minorHAnsi"/>
                <w:b/>
                <w:szCs w:val="21"/>
              </w:rPr>
              <w:t>Targeted Health Activities</w:t>
            </w:r>
          </w:p>
        </w:tc>
        <w:tc>
          <w:tcPr>
            <w:tcW w:w="0" w:type="auto"/>
            <w:vAlign w:val="top"/>
          </w:tcPr>
          <w:p w14:paraId="5614E327" w14:textId="15AE28FA"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szCs w:val="21"/>
              </w:rPr>
            </w:pPr>
            <w:r w:rsidRPr="00884FAA">
              <w:rPr>
                <w:szCs w:val="21"/>
              </w:rPr>
              <w:t>To improve health outcomes by targeting high prevalence or emerging health conditions in the Aboriginal and Torres Strait Islander population</w:t>
            </w:r>
          </w:p>
        </w:tc>
        <w:tc>
          <w:tcPr>
            <w:tcW w:w="0" w:type="auto"/>
            <w:vAlign w:val="top"/>
          </w:tcPr>
          <w:p w14:paraId="7A5B2F5F" w14:textId="4563AD0D"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1"/>
              </w:rPr>
            </w:pPr>
            <w:r w:rsidRPr="00884FAA">
              <w:t xml:space="preserve">Indigenous Renal, Indigenous Ear Health, Indigenous Eye Health, Indigenous Cardiac Care, Indigenous Rheumatic Fever Strategy, Indigenous Health Promotion, Indigenous Health Protection, Bowel Cancer Screening, Cervical Cancer Screening, Sexual Health, Nutrition, Oral Health, Youth, Indigenous Chronic Disease Programs, Crusted Scabies, Emerging Priorities, Indigenous </w:t>
            </w:r>
            <w:r w:rsidR="00757863">
              <w:t>W</w:t>
            </w:r>
            <w:r w:rsidRPr="00884FAA">
              <w:t>orkforce</w:t>
            </w:r>
          </w:p>
        </w:tc>
      </w:tr>
      <w:tr w:rsidR="00B975A9" w:rsidRPr="00884FAA" w14:paraId="0480AAED" w14:textId="77777777" w:rsidTr="009600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748D6239" w14:textId="77777777" w:rsidR="00B975A9" w:rsidRPr="00884FAA" w:rsidRDefault="00B975A9" w:rsidP="00960008">
            <w:pPr>
              <w:jc w:val="left"/>
              <w:rPr>
                <w:rFonts w:cstheme="minorHAnsi"/>
                <w:b/>
                <w:szCs w:val="21"/>
              </w:rPr>
            </w:pPr>
            <w:r w:rsidRPr="00884FAA">
              <w:rPr>
                <w:rFonts w:cstheme="minorHAnsi"/>
                <w:b/>
                <w:szCs w:val="21"/>
              </w:rPr>
              <w:t>Tackling Indigenous Smoking (TIS)</w:t>
            </w:r>
          </w:p>
        </w:tc>
        <w:tc>
          <w:tcPr>
            <w:tcW w:w="0" w:type="auto"/>
            <w:vAlign w:val="top"/>
          </w:tcPr>
          <w:p w14:paraId="6EFE19BE" w14:textId="5C3F3451"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884FAA">
              <w:rPr>
                <w:szCs w:val="21"/>
              </w:rPr>
              <w:t>To reduce smoking rates among Aboriginal and Torres Strait Islander people by increasing both the number of smokers who choose to quit and the number of people who have never smoked</w:t>
            </w:r>
          </w:p>
        </w:tc>
        <w:tc>
          <w:tcPr>
            <w:tcW w:w="0" w:type="auto"/>
            <w:vAlign w:val="top"/>
          </w:tcPr>
          <w:p w14:paraId="252E83BD" w14:textId="47E096AB"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pPr>
            <w:r w:rsidRPr="00884FAA">
              <w:t>TIS Program. 37 targeted regional tobacco control grants, supported by the National Best Practice Unit (NBPU) and Quitskills brief intervention training</w:t>
            </w:r>
          </w:p>
        </w:tc>
      </w:tr>
      <w:tr w:rsidR="00B975A9" w:rsidRPr="00884FAA" w14:paraId="4E08792B" w14:textId="77777777" w:rsidTr="009600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572A0197" w14:textId="77777777" w:rsidR="00B975A9" w:rsidRPr="00884FAA" w:rsidRDefault="00B975A9" w:rsidP="00960008">
            <w:pPr>
              <w:jc w:val="left"/>
              <w:rPr>
                <w:rFonts w:cstheme="minorHAnsi"/>
                <w:b/>
                <w:szCs w:val="21"/>
              </w:rPr>
            </w:pPr>
            <w:r w:rsidRPr="00884FAA">
              <w:rPr>
                <w:rFonts w:cstheme="minorHAnsi"/>
                <w:b/>
                <w:szCs w:val="21"/>
              </w:rPr>
              <w:t>Mental Health</w:t>
            </w:r>
          </w:p>
        </w:tc>
        <w:tc>
          <w:tcPr>
            <w:tcW w:w="0" w:type="auto"/>
            <w:vAlign w:val="top"/>
          </w:tcPr>
          <w:p w14:paraId="018BE03E" w14:textId="7D18BF8F"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szCs w:val="21"/>
              </w:rPr>
            </w:pPr>
            <w:r w:rsidRPr="00884FAA">
              <w:rPr>
                <w:szCs w:val="21"/>
              </w:rPr>
              <w:t>To improve access to culturally appropriate mental health services for Aboriginal and Torres Strait Islander people</w:t>
            </w:r>
          </w:p>
        </w:tc>
        <w:tc>
          <w:tcPr>
            <w:tcW w:w="0" w:type="auto"/>
            <w:vAlign w:val="top"/>
          </w:tcPr>
          <w:p w14:paraId="6E264A97" w14:textId="6DE4703D"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pPr>
            <w:r w:rsidRPr="00884FAA">
              <w:t xml:space="preserve">Funding provided to respond to the National Mental Health Commission’s Review of </w:t>
            </w:r>
            <w:r w:rsidR="00EC09DD">
              <w:t>M</w:t>
            </w:r>
            <w:r w:rsidRPr="00884FAA">
              <w:t xml:space="preserve">ental </w:t>
            </w:r>
            <w:r w:rsidR="00EC09DD">
              <w:t>H</w:t>
            </w:r>
            <w:r w:rsidRPr="00884FAA">
              <w:t xml:space="preserve">ealth </w:t>
            </w:r>
            <w:r w:rsidR="00EC09DD">
              <w:t>Programmes and S</w:t>
            </w:r>
            <w:r w:rsidRPr="00884FAA">
              <w:t>ervices (2015) for Indigenous specific mental health services commissioned through PHNs</w:t>
            </w:r>
          </w:p>
        </w:tc>
      </w:tr>
      <w:tr w:rsidR="00B975A9" w:rsidRPr="00884FAA" w14:paraId="27A7D9AB" w14:textId="77777777" w:rsidTr="009600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361D44CF" w14:textId="77777777" w:rsidR="00B975A9" w:rsidRPr="00884FAA" w:rsidRDefault="00B975A9" w:rsidP="00960008">
            <w:pPr>
              <w:jc w:val="left"/>
              <w:rPr>
                <w:rFonts w:asciiTheme="minorHAnsi" w:hAnsiTheme="minorHAnsi" w:cstheme="minorHAnsi"/>
                <w:b/>
                <w:szCs w:val="21"/>
              </w:rPr>
            </w:pPr>
            <w:r w:rsidRPr="00884FAA">
              <w:rPr>
                <w:rFonts w:cstheme="minorHAnsi"/>
                <w:b/>
                <w:szCs w:val="21"/>
              </w:rPr>
              <w:t>Capital Works</w:t>
            </w:r>
          </w:p>
        </w:tc>
        <w:tc>
          <w:tcPr>
            <w:tcW w:w="0" w:type="auto"/>
            <w:vAlign w:val="top"/>
          </w:tcPr>
          <w:p w14:paraId="1BE5790A" w14:textId="25347070"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884FAA">
              <w:rPr>
                <w:szCs w:val="21"/>
              </w:rPr>
              <w:t>To increase Aboriginal and Torres Strait Islander people’s access to safe and effective essential health services through the provision of culturally appropriate, fit for purpose health infrastructure, including clinics, staff accommodation and facilities for the delivery of renal services</w:t>
            </w:r>
          </w:p>
        </w:tc>
        <w:tc>
          <w:tcPr>
            <w:tcW w:w="0" w:type="auto"/>
            <w:vAlign w:val="top"/>
          </w:tcPr>
          <w:p w14:paraId="4D61452E" w14:textId="3FF7239D"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884FAA">
              <w:rPr>
                <w:szCs w:val="21"/>
              </w:rPr>
              <w:t>Capital Works Program, Service Maintenance Program</w:t>
            </w:r>
          </w:p>
        </w:tc>
      </w:tr>
      <w:tr w:rsidR="00B975A9" w:rsidRPr="00884FAA" w14:paraId="77FBDCB2" w14:textId="77777777" w:rsidTr="009600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6D56346F" w14:textId="77777777" w:rsidR="00B975A9" w:rsidRPr="00884FAA" w:rsidRDefault="00B975A9" w:rsidP="00960008">
            <w:pPr>
              <w:jc w:val="left"/>
              <w:rPr>
                <w:b/>
                <w:szCs w:val="21"/>
              </w:rPr>
            </w:pPr>
            <w:r w:rsidRPr="00884FAA">
              <w:rPr>
                <w:b/>
                <w:szCs w:val="21"/>
              </w:rPr>
              <w:lastRenderedPageBreak/>
              <w:t>Governance and System Effectiveness</w:t>
            </w:r>
          </w:p>
        </w:tc>
        <w:tc>
          <w:tcPr>
            <w:tcW w:w="0" w:type="auto"/>
            <w:vAlign w:val="top"/>
          </w:tcPr>
          <w:p w14:paraId="1F2672D3" w14:textId="77777777"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szCs w:val="21"/>
              </w:rPr>
            </w:pPr>
            <w:r w:rsidRPr="00884FAA">
              <w:rPr>
                <w:szCs w:val="21"/>
              </w:rPr>
              <w:t>To improve health outcomes for Aboriginal and Torres Strait Islander people by:</w:t>
            </w:r>
          </w:p>
          <w:p w14:paraId="210FBCBB"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supporting improvements in core essential health service delivery across the health sector</w:t>
            </w:r>
          </w:p>
          <w:p w14:paraId="73C80E9F"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strengthening integration between the ACCHS sector and mainstream health services to improve referral pathways for the patient journey across the health sector</w:t>
            </w:r>
          </w:p>
          <w:p w14:paraId="5CE5EEE8"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strengthening governance and effectiveness of the ACCHS sector including supporting ACCHSs to provide assessable, responsive, high quality comprehensive, culturally appropriate PHC services</w:t>
            </w:r>
          </w:p>
          <w:p w14:paraId="7C0B31F0" w14:textId="06132EA4"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contributing to the development and implementation of appropriate and effective Aboriginal and Torres Strait Islander health policy</w:t>
            </w:r>
          </w:p>
        </w:tc>
        <w:tc>
          <w:tcPr>
            <w:tcW w:w="0" w:type="auto"/>
            <w:vAlign w:val="top"/>
          </w:tcPr>
          <w:p w14:paraId="5487C776" w14:textId="132BE132"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t xml:space="preserve">National Indigenous Continuous Quality Improvement (CQI), Indigenous Monitoring and Evaluation, Indigenous Remote Service Delivery Traineeship, Australian Health Ministers’ Advisory Council contribution, Implementation Plan, Regionalisation </w:t>
            </w:r>
            <w:r w:rsidRPr="00884FAA">
              <w:rPr>
                <w:rFonts w:cstheme="minorHAnsi"/>
              </w:rPr>
              <w:t>(Transition to Community Control in NT only)</w:t>
            </w:r>
          </w:p>
        </w:tc>
      </w:tr>
      <w:tr w:rsidR="00B975A9" w:rsidRPr="00884FAA" w14:paraId="282BC088" w14:textId="77777777" w:rsidTr="009600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144E88E9" w14:textId="77777777" w:rsidR="00B975A9" w:rsidRPr="00884FAA" w:rsidRDefault="00B975A9" w:rsidP="00960008">
            <w:pPr>
              <w:jc w:val="left"/>
              <w:rPr>
                <w:b/>
                <w:bCs/>
                <w:szCs w:val="21"/>
              </w:rPr>
            </w:pPr>
            <w:r w:rsidRPr="00884FAA">
              <w:rPr>
                <w:rFonts w:asciiTheme="minorHAnsi" w:hAnsiTheme="minorHAnsi" w:cstheme="minorHAnsi"/>
                <w:b/>
                <w:bCs/>
                <w:color w:val="000000"/>
                <w:szCs w:val="21"/>
              </w:rPr>
              <w:t>NACCHO and Affiliates</w:t>
            </w:r>
          </w:p>
        </w:tc>
        <w:tc>
          <w:tcPr>
            <w:tcW w:w="0" w:type="auto"/>
            <w:vAlign w:val="top"/>
          </w:tcPr>
          <w:p w14:paraId="23E70A05" w14:textId="37F2DC0E" w:rsidR="00B975A9" w:rsidRPr="00884FAA" w:rsidRDefault="00D572D8"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D572D8">
              <w:rPr>
                <w:szCs w:val="21"/>
              </w:rPr>
              <w:t>The Aboriginal Community Controlled Health Sector Support Network grant (National Funding Agreement) aims to build on existing arrangements with the National Aboriginal Community Controlled Health Organisation (NACCHO) and the Aboriginal Community Controlled Health Sector Support Organisations (SSOs) to align programs and service delivery of the Aboriginal Community Controlled Health Services (ACCHSs) with broader health reforms for Aboriginal and Torres Strait Islander peoples. This includes, but is not limited to ensuring implementation is in line with current and emerging direction under the National Agreement on Closing the Gap (National Agreement); the National Aboriginal and Torres Strait Islander Health Plan 2021-2031 (Health Plan); and the National Aboriginal and Torres Strait Islander Health Workforce Strategic Framework and Implementation Plan 2021-2031</w:t>
            </w:r>
          </w:p>
        </w:tc>
        <w:tc>
          <w:tcPr>
            <w:tcW w:w="0" w:type="auto"/>
            <w:vAlign w:val="top"/>
          </w:tcPr>
          <w:p w14:paraId="71781E35" w14:textId="56E4BAE1" w:rsidR="00B975A9" w:rsidRPr="00884FAA" w:rsidRDefault="00B975A9" w:rsidP="00960008">
            <w:pPr>
              <w:jc w:val="left"/>
              <w:cnfStyle w:val="000000010000" w:firstRow="0" w:lastRow="0" w:firstColumn="0" w:lastColumn="0" w:oddVBand="0" w:evenVBand="0" w:oddHBand="0" w:evenHBand="1" w:firstRowFirstColumn="0" w:firstRowLastColumn="0" w:lastRowFirstColumn="0" w:lastRowLastColumn="0"/>
              <w:rPr>
                <w:szCs w:val="21"/>
              </w:rPr>
            </w:pPr>
            <w:r w:rsidRPr="00884FAA">
              <w:t>Indigenous peak body and state and territory affiliate funding agreements, and other costs associated with supporting affiliate activities</w:t>
            </w:r>
          </w:p>
        </w:tc>
      </w:tr>
      <w:tr w:rsidR="00B975A9" w:rsidRPr="00884FAA" w14:paraId="44E77746" w14:textId="77777777" w:rsidTr="009600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top"/>
          </w:tcPr>
          <w:p w14:paraId="3185DCD3" w14:textId="77777777" w:rsidR="00B975A9" w:rsidRPr="00884FAA" w:rsidRDefault="00B975A9" w:rsidP="00960008">
            <w:pPr>
              <w:jc w:val="left"/>
              <w:rPr>
                <w:b/>
                <w:bCs/>
                <w:szCs w:val="21"/>
              </w:rPr>
            </w:pPr>
            <w:r w:rsidRPr="00884FAA">
              <w:rPr>
                <w:rFonts w:asciiTheme="minorHAnsi" w:hAnsiTheme="minorHAnsi" w:cstheme="minorHAnsi"/>
                <w:b/>
                <w:bCs/>
                <w:color w:val="000000"/>
                <w:szCs w:val="21"/>
              </w:rPr>
              <w:lastRenderedPageBreak/>
              <w:t>National Aboriginal and Torres Strait Islander Flexible Aged Care Program</w:t>
            </w:r>
          </w:p>
        </w:tc>
        <w:tc>
          <w:tcPr>
            <w:tcW w:w="0" w:type="auto"/>
            <w:vAlign w:val="top"/>
          </w:tcPr>
          <w:p w14:paraId="77756610" w14:textId="77777777"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szCs w:val="21"/>
              </w:rPr>
            </w:pPr>
            <w:r w:rsidRPr="00884FAA">
              <w:rPr>
                <w:szCs w:val="21"/>
              </w:rPr>
              <w:t>Funds aged care services to:</w:t>
            </w:r>
          </w:p>
          <w:p w14:paraId="6DD964BA"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deliver a range of services to meet the changing aged care needs of the community</w:t>
            </w:r>
          </w:p>
          <w:p w14:paraId="47FA2995"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older Aboriginal and Torres Strait Islander people close to home and community</w:t>
            </w:r>
          </w:p>
          <w:p w14:paraId="631A1643"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improve access to aged care services for Aboriginal and Torres Strait Islander people</w:t>
            </w:r>
          </w:p>
          <w:p w14:paraId="7AD50012" w14:textId="77777777"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improve the quality of culturally appropriate aged care services for Aboriginal and Torres Strait Islander people</w:t>
            </w:r>
          </w:p>
          <w:p w14:paraId="5870BCC8" w14:textId="1FE223CE" w:rsidR="00B975A9" w:rsidRPr="00884FAA" w:rsidRDefault="00B975A9" w:rsidP="00EB4F33">
            <w:pPr>
              <w:numPr>
                <w:ilvl w:val="0"/>
                <w:numId w:val="18"/>
              </w:numPr>
              <w:ind w:left="341" w:hanging="284"/>
              <w:jc w:val="left"/>
              <w:cnfStyle w:val="000000100000" w:firstRow="0" w:lastRow="0" w:firstColumn="0" w:lastColumn="0" w:oddVBand="0" w:evenVBand="0" w:oddHBand="1" w:evenHBand="0" w:firstRowFirstColumn="0" w:firstRowLastColumn="0" w:lastRowFirstColumn="0" w:lastRowLastColumn="0"/>
              <w:rPr>
                <w:rFonts w:cstheme="minorHAnsi"/>
              </w:rPr>
            </w:pPr>
            <w:r w:rsidRPr="00884FAA">
              <w:rPr>
                <w:rFonts w:cstheme="minorHAnsi"/>
              </w:rPr>
              <w:t>develop financially viable cost-effective and co-ordinated services outside of the existing mainstream programs</w:t>
            </w:r>
          </w:p>
        </w:tc>
        <w:tc>
          <w:tcPr>
            <w:tcW w:w="0" w:type="auto"/>
            <w:vAlign w:val="top"/>
          </w:tcPr>
          <w:p w14:paraId="78072370" w14:textId="34775217" w:rsidR="00B975A9" w:rsidRPr="00884FAA" w:rsidRDefault="00B975A9" w:rsidP="00960008">
            <w:pPr>
              <w:jc w:val="left"/>
              <w:cnfStyle w:val="000000100000" w:firstRow="0" w:lastRow="0" w:firstColumn="0" w:lastColumn="0" w:oddVBand="0" w:evenVBand="0" w:oddHBand="1" w:evenHBand="0" w:firstRowFirstColumn="0" w:firstRowLastColumn="0" w:lastRowFirstColumn="0" w:lastRowLastColumn="0"/>
              <w:rPr>
                <w:szCs w:val="21"/>
              </w:rPr>
            </w:pPr>
            <w:r w:rsidRPr="00884FAA">
              <w:t>Expansion of the program to provide around 900 additional aged care places to benefit up to 1,000 Indigenous people</w:t>
            </w:r>
          </w:p>
        </w:tc>
      </w:tr>
    </w:tbl>
    <w:p w14:paraId="7ED78E5E" w14:textId="77777777" w:rsidR="00B975A9" w:rsidRPr="00884FAA" w:rsidRDefault="00B975A9" w:rsidP="00B975A9">
      <w:pPr>
        <w:spacing w:before="360"/>
        <w:sectPr w:rsidR="00B975A9" w:rsidRPr="00884FAA" w:rsidSect="009173B7">
          <w:pgSz w:w="16834" w:h="11909" w:orient="landscape" w:code="9"/>
          <w:pgMar w:top="1440" w:right="1440" w:bottom="1440" w:left="1440" w:header="720" w:footer="720" w:gutter="0"/>
          <w:cols w:space="720"/>
          <w:titlePg/>
          <w:docGrid w:linePitch="360"/>
        </w:sectPr>
      </w:pPr>
    </w:p>
    <w:p w14:paraId="5C579EC8" w14:textId="10746A1F" w:rsidR="009438E3" w:rsidRPr="008E015F" w:rsidRDefault="009438E3" w:rsidP="00651D06">
      <w:pPr>
        <w:pStyle w:val="Heading3"/>
      </w:pPr>
      <w:r w:rsidRPr="008E015F">
        <w:lastRenderedPageBreak/>
        <w:t xml:space="preserve">Distribution of IAHP funding across </w:t>
      </w:r>
      <w:r w:rsidR="00B27920">
        <w:t>funding streams</w:t>
      </w:r>
      <w:r w:rsidR="00AA35E2">
        <w:t xml:space="preserve"> </w:t>
      </w:r>
    </w:p>
    <w:p w14:paraId="2E7DB977" w14:textId="00A25719" w:rsidR="00B975A9" w:rsidRPr="00884FAA" w:rsidRDefault="00C55A39" w:rsidP="00B975A9">
      <w:r w:rsidRPr="00884FAA">
        <w:fldChar w:fldCharType="begin"/>
      </w:r>
      <w:r w:rsidRPr="00884FAA">
        <w:instrText xml:space="preserve"> REF _Ref131243027 \h </w:instrText>
      </w:r>
      <w:r w:rsidRPr="00884FAA">
        <w:fldChar w:fldCharType="separate"/>
      </w:r>
      <w:r w:rsidR="00165B17" w:rsidRPr="00884FAA">
        <w:t xml:space="preserve">Figure </w:t>
      </w:r>
      <w:r w:rsidR="00165B17">
        <w:rPr>
          <w:noProof/>
        </w:rPr>
        <w:t>3</w:t>
      </w:r>
      <w:r w:rsidR="00165B17">
        <w:noBreakHyphen/>
      </w:r>
      <w:r w:rsidR="00165B17">
        <w:rPr>
          <w:noProof/>
        </w:rPr>
        <w:t>1</w:t>
      </w:r>
      <w:r w:rsidRPr="00884FAA">
        <w:fldChar w:fldCharType="end"/>
      </w:r>
      <w:r w:rsidR="00B975A9" w:rsidRPr="00884FAA">
        <w:t xml:space="preserve"> shows the distribution of the IAHP funding across funding streams for all of Australia</w:t>
      </w:r>
      <w:r w:rsidR="00DE7702">
        <w:t>, aggregated across 3 years.</w:t>
      </w:r>
      <w:r w:rsidR="00B975A9" w:rsidRPr="00884FAA">
        <w:t xml:space="preserve"> PHC Services account</w:t>
      </w:r>
      <w:r w:rsidR="00B76005">
        <w:t>s</w:t>
      </w:r>
      <w:r w:rsidR="00B975A9" w:rsidRPr="00884FAA">
        <w:t xml:space="preserve"> for the largest proportion of total IAHP expenditure (63.8%)</w:t>
      </w:r>
      <w:r w:rsidR="00B76005">
        <w:t>.</w:t>
      </w:r>
      <w:r w:rsidR="00B975A9" w:rsidRPr="00884FAA">
        <w:t xml:space="preserve"> </w:t>
      </w:r>
      <w:r w:rsidR="003C0408">
        <w:t xml:space="preserve">Funding under PHC Services </w:t>
      </w:r>
      <w:r w:rsidR="00B975A9" w:rsidRPr="00884FAA">
        <w:t xml:space="preserve">includes funding for the </w:t>
      </w:r>
      <w:r w:rsidR="000F7ACE">
        <w:t>PHC Program</w:t>
      </w:r>
      <w:r w:rsidR="00B975A9" w:rsidRPr="00884FAA">
        <w:t>, New Directions Expansion, Australian Nurse Family Partnership Program</w:t>
      </w:r>
      <w:r w:rsidR="008A189C" w:rsidRPr="00884FAA">
        <w:t>,</w:t>
      </w:r>
      <w:r w:rsidR="00B975A9" w:rsidRPr="00884FAA">
        <w:t xml:space="preserve"> and Connected Beginnings.</w:t>
      </w:r>
    </w:p>
    <w:p w14:paraId="2840D3E3" w14:textId="0F27D964" w:rsidR="00B975A9" w:rsidRPr="00884FAA" w:rsidRDefault="00B975A9" w:rsidP="00B975A9">
      <w:pPr>
        <w:pStyle w:val="TableFigure-Header"/>
        <w:rPr>
          <w:lang w:val="en-AU"/>
        </w:rPr>
      </w:pPr>
      <w:bookmarkStart w:id="91" w:name="_Ref131243027"/>
      <w:bookmarkStart w:id="92" w:name="_Toc138851312"/>
      <w:r w:rsidRPr="00884FAA">
        <w:rPr>
          <w:lang w:val="en-AU"/>
        </w:rPr>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w:t>
      </w:r>
      <w:r w:rsidR="005B4A4F">
        <w:rPr>
          <w:lang w:val="en-AU"/>
        </w:rPr>
        <w:fldChar w:fldCharType="end"/>
      </w:r>
      <w:bookmarkEnd w:id="91"/>
      <w:r w:rsidRPr="00884FAA">
        <w:rPr>
          <w:lang w:val="en-AU"/>
        </w:rPr>
        <w:t>. National IAHP grant funding expenditure by funding stream, 2018-19 to 2020-21</w:t>
      </w:r>
      <w:bookmarkEnd w:id="92"/>
    </w:p>
    <w:p w14:paraId="5A0D7425" w14:textId="3612EBF4" w:rsidR="00B975A9" w:rsidRPr="00884FAA" w:rsidRDefault="00B975A9" w:rsidP="00B975A9">
      <w:pPr>
        <w:spacing w:after="0"/>
        <w:rPr>
          <w:sz w:val="21"/>
          <w:szCs w:val="21"/>
        </w:rPr>
      </w:pPr>
      <w:r w:rsidRPr="00884FAA">
        <w:rPr>
          <w:noProof/>
        </w:rPr>
        <w:drawing>
          <wp:inline distT="0" distB="0" distL="0" distR="0" wp14:anchorId="53D02F0E" wp14:editId="0CF25804">
            <wp:extent cx="5733415" cy="3864610"/>
            <wp:effectExtent l="0" t="0" r="635" b="2540"/>
            <wp:docPr id="483" name="Chart 483" descr="Pie graph">
              <a:extLst xmlns:a="http://schemas.openxmlformats.org/drawingml/2006/main">
                <a:ext uri="{FF2B5EF4-FFF2-40B4-BE49-F238E27FC236}">
                  <a16:creationId xmlns:a16="http://schemas.microsoft.com/office/drawing/2014/main" id="{CD124D49-276F-A70C-5727-72F435D982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12D909F" w14:textId="77777777" w:rsidR="00B975A9" w:rsidRPr="00884FAA" w:rsidRDefault="00B975A9" w:rsidP="00B975A9">
      <w:pPr>
        <w:rPr>
          <w:sz w:val="21"/>
          <w:szCs w:val="21"/>
        </w:rPr>
      </w:pPr>
      <w:r w:rsidRPr="00884FAA">
        <w:rPr>
          <w:sz w:val="21"/>
          <w:szCs w:val="21"/>
        </w:rPr>
        <w:t>Source: Data provided by the Department of Health and Aged Care, March 2022.</w:t>
      </w:r>
    </w:p>
    <w:p w14:paraId="45966815" w14:textId="491D828C" w:rsidR="004D77A9" w:rsidRPr="00884FAA" w:rsidRDefault="004D77A9" w:rsidP="00651D06">
      <w:pPr>
        <w:pStyle w:val="Heading3"/>
      </w:pPr>
      <w:r w:rsidRPr="00884FAA">
        <w:t xml:space="preserve">IAHP as a proportion of total health expenditure </w:t>
      </w:r>
    </w:p>
    <w:p w14:paraId="15DEB5D0" w14:textId="2E26069F" w:rsidR="004D77A9" w:rsidRPr="00884FAA" w:rsidRDefault="004D77A9" w:rsidP="004D77A9">
      <w:r w:rsidRPr="00884FAA">
        <w:t>At $</w:t>
      </w:r>
      <w:r w:rsidR="00113305">
        <w:t>958.7</w:t>
      </w:r>
      <w:r w:rsidRPr="00884FAA">
        <w:t xml:space="preserve"> million in 2020-21,</w:t>
      </w:r>
      <w:r w:rsidR="00576663">
        <w:rPr>
          <w:rStyle w:val="FootnoteReference"/>
        </w:rPr>
        <w:footnoteReference w:id="16"/>
      </w:r>
      <w:r w:rsidRPr="00884FAA">
        <w:t xml:space="preserve"> </w:t>
      </w:r>
      <w:r w:rsidR="00960F1A">
        <w:t>the</w:t>
      </w:r>
      <w:r w:rsidRPr="00884FAA">
        <w:t xml:space="preserve"> </w:t>
      </w:r>
      <w:r w:rsidR="009D0F23">
        <w:t>I</w:t>
      </w:r>
      <w:r w:rsidRPr="00884FAA">
        <w:t>AHP</w:t>
      </w:r>
      <w:r w:rsidR="006408E9">
        <w:t xml:space="preserve"> </w:t>
      </w:r>
      <w:r w:rsidRPr="00884FAA">
        <w:t xml:space="preserve">represents a small proportion of total health expenditure. In 2020-21, total health expenditure in Australia </w:t>
      </w:r>
      <w:r w:rsidR="00ED33D1">
        <w:t xml:space="preserve">(including government and </w:t>
      </w:r>
      <w:r w:rsidR="0034380B">
        <w:t xml:space="preserve">non-government sources) </w:t>
      </w:r>
      <w:r w:rsidRPr="00884FAA">
        <w:t xml:space="preserve">was $220.9 billion, of which $156.0 billion (70.6%) was government expenditure </w:t>
      </w:r>
      <w:r w:rsidRPr="00884FAA">
        <w:fldChar w:fldCharType="begin"/>
      </w:r>
      <w:r w:rsidR="00F8760E">
        <w:instrText xml:space="preserve"> ADDIN ZOTERO_ITEM CSL_CITATION {"citationID":"SewCt3ex","properties":{"formattedCitation":"(Australian Institute of Health and Welfare, 2022b)","plainCitation":"(Australian Institute of Health and Welfare, 2022b)","noteIndex":0},"citationItems":[{"id":3771,"uris":["http://zotero.org/groups/5010721/items/N6GSCB7M",["http://zotero.org/groups/5010721/items/N6GSCB7M"],["http://zotero.org/groups/5010721/items/N6GSCB7M",["http://zotero.org/groups/5010721/items/N6GSCB7M"]]],"itemData":{"id":3771,"type":"document","publisher":"Commonwealth of Australia","title":"Health expenditure Australia 2020-21","URL":"https://www.aihw.gov.au/reports/health-welfare-expenditure/health-expenditure-australia-2020-21/contents/summary","author":[{"literal":"Australian Institute of Health and Welfare"}],"issued":{"date-parts":[["2022"]]}}}],"schema":"https://github.com/citation-style-language/schema/raw/master/csl-citation.json"} </w:instrText>
      </w:r>
      <w:r w:rsidRPr="00884FAA">
        <w:fldChar w:fldCharType="separate"/>
      </w:r>
      <w:r w:rsidR="00685726" w:rsidRPr="00685726">
        <w:rPr>
          <w:rFonts w:ascii="Arial" w:hAnsi="Arial" w:cs="Arial"/>
        </w:rPr>
        <w:t>(Australian Institute of Health and Welfare, 2022b)</w:t>
      </w:r>
      <w:r w:rsidRPr="00884FAA">
        <w:fldChar w:fldCharType="end"/>
      </w:r>
      <w:r w:rsidRPr="00884FAA">
        <w:t>. For PHC, total government expenditure in 2020-21 was $4</w:t>
      </w:r>
      <w:r w:rsidR="006B5B07">
        <w:t>5</w:t>
      </w:r>
      <w:r w:rsidRPr="00884FAA">
        <w:t>.8 billion.</w:t>
      </w:r>
    </w:p>
    <w:p w14:paraId="1869369C" w14:textId="21E7A030" w:rsidR="00877265" w:rsidRPr="00860816" w:rsidRDefault="0082226D" w:rsidP="00860816">
      <w:r>
        <w:fldChar w:fldCharType="begin"/>
      </w:r>
      <w:r>
        <w:instrText xml:space="preserve"> REF _Ref137039585 \h </w:instrText>
      </w:r>
      <w:r>
        <w:fldChar w:fldCharType="separate"/>
      </w:r>
      <w:r w:rsidR="00165B17" w:rsidRPr="00884FAA">
        <w:t xml:space="preserve">Figure </w:t>
      </w:r>
      <w:r w:rsidR="00165B17">
        <w:rPr>
          <w:noProof/>
        </w:rPr>
        <w:t>3</w:t>
      </w:r>
      <w:r w:rsidR="00165B17">
        <w:noBreakHyphen/>
      </w:r>
      <w:r w:rsidR="00165B17">
        <w:rPr>
          <w:noProof/>
        </w:rPr>
        <w:t>2</w:t>
      </w:r>
      <w:r>
        <w:fldChar w:fldCharType="end"/>
      </w:r>
      <w:r w:rsidR="004D77A9" w:rsidRPr="00884FAA">
        <w:t xml:space="preserve"> and </w:t>
      </w:r>
      <w:r w:rsidR="004D77A9" w:rsidRPr="00884FAA">
        <w:fldChar w:fldCharType="begin"/>
      </w:r>
      <w:r w:rsidR="004D77A9" w:rsidRPr="00884FAA">
        <w:instrText xml:space="preserve"> REF _Ref131078261 \h </w:instrText>
      </w:r>
      <w:r w:rsidR="004D77A9" w:rsidRPr="00884FAA">
        <w:fldChar w:fldCharType="separate"/>
      </w:r>
      <w:r w:rsidR="00165B17" w:rsidRPr="00884FAA">
        <w:t xml:space="preserve">Figure </w:t>
      </w:r>
      <w:r w:rsidR="00165B17">
        <w:rPr>
          <w:noProof/>
        </w:rPr>
        <w:t>3</w:t>
      </w:r>
      <w:r w:rsidR="00165B17">
        <w:noBreakHyphen/>
      </w:r>
      <w:r w:rsidR="00165B17">
        <w:rPr>
          <w:noProof/>
        </w:rPr>
        <w:t>3</w:t>
      </w:r>
      <w:r w:rsidR="004D77A9" w:rsidRPr="00884FAA">
        <w:fldChar w:fldCharType="end"/>
      </w:r>
      <w:r w:rsidR="004D77A9" w:rsidRPr="00884FAA">
        <w:t xml:space="preserve"> shows the expenditure on IAHP</w:t>
      </w:r>
      <w:r w:rsidR="001C0589">
        <w:t xml:space="preserve"> </w:t>
      </w:r>
      <w:r w:rsidR="004D77A9" w:rsidRPr="00884FAA">
        <w:t>over 2014-15 to 20</w:t>
      </w:r>
      <w:r w:rsidR="00A16EA8">
        <w:t>20</w:t>
      </w:r>
      <w:r w:rsidR="004D77A9" w:rsidRPr="00884FAA">
        <w:t>-2</w:t>
      </w:r>
      <w:r w:rsidR="00A16EA8">
        <w:t>1</w:t>
      </w:r>
      <w:r w:rsidR="004D77A9" w:rsidRPr="00884FAA">
        <w:t xml:space="preserve"> compared with other health expenditure. Over 2015-16 to 20</w:t>
      </w:r>
      <w:r w:rsidR="00A16EA8">
        <w:t>20</w:t>
      </w:r>
      <w:r w:rsidR="004D77A9" w:rsidRPr="00884FAA">
        <w:t>-2</w:t>
      </w:r>
      <w:r w:rsidR="00A16EA8">
        <w:t>1</w:t>
      </w:r>
      <w:r w:rsidR="00D60058">
        <w:t>,</w:t>
      </w:r>
      <w:r w:rsidR="004D77A9" w:rsidRPr="00884FAA">
        <w:t xml:space="preserve"> IAHP expenditure </w:t>
      </w:r>
      <w:r w:rsidR="00CB2AB0">
        <w:t xml:space="preserve">as a proportion of </w:t>
      </w:r>
      <w:r w:rsidR="004D77A9" w:rsidRPr="00884FAA">
        <w:t xml:space="preserve">Australian Government health spending </w:t>
      </w:r>
      <w:r w:rsidR="00CB2AB0" w:rsidRPr="00884FAA">
        <w:t xml:space="preserve">was fairly stable at </w:t>
      </w:r>
      <w:r w:rsidR="00CB2AB0">
        <w:t>just over</w:t>
      </w:r>
      <w:r w:rsidR="00CB2AB0" w:rsidRPr="00884FAA">
        <w:t xml:space="preserve"> 1.0%</w:t>
      </w:r>
      <w:r w:rsidR="006C59D7">
        <w:t>.</w:t>
      </w:r>
      <w:r w:rsidR="00E569B1">
        <w:t xml:space="preserve"> IAHP expenditure </w:t>
      </w:r>
      <w:r w:rsidR="00E569B1">
        <w:lastRenderedPageBreak/>
        <w:t>as a p</w:t>
      </w:r>
      <w:r w:rsidR="004722F4">
        <w:t xml:space="preserve">roportion of </w:t>
      </w:r>
      <w:r w:rsidR="00571532">
        <w:t xml:space="preserve">national total health expenditure was also fairly </w:t>
      </w:r>
      <w:r w:rsidR="000C09A4">
        <w:t xml:space="preserve">stable at around 0.5%. </w:t>
      </w:r>
      <w:r w:rsidR="003213F7">
        <w:t xml:space="preserve">As a proportion </w:t>
      </w:r>
      <w:r w:rsidR="004D77A9" w:rsidRPr="00884FAA">
        <w:t>of Australian Government spending on PHC</w:t>
      </w:r>
      <w:r w:rsidR="00FD5785">
        <w:t xml:space="preserve">, IAHP expenditure </w:t>
      </w:r>
      <w:r w:rsidR="0064301B">
        <w:t xml:space="preserve">declined from 3.3% </w:t>
      </w:r>
      <w:r w:rsidR="004D77A9" w:rsidRPr="00884FAA">
        <w:t xml:space="preserve">in </w:t>
      </w:r>
      <w:r w:rsidR="004A764F">
        <w:t xml:space="preserve">2018-19 to </w:t>
      </w:r>
      <w:r w:rsidR="00881356">
        <w:t>2.9% in 2020-21.</w:t>
      </w:r>
      <w:bookmarkStart w:id="93" w:name="_Ref131078240"/>
      <w:r w:rsidR="00026599">
        <w:t xml:space="preserve"> </w:t>
      </w:r>
      <w:r w:rsidR="00CB4FF5">
        <w:t>Note</w:t>
      </w:r>
      <w:r w:rsidR="00B2351A">
        <w:t xml:space="preserve"> that dollars have been adjusted </w:t>
      </w:r>
      <w:r w:rsidR="00BE3852">
        <w:t>for</w:t>
      </w:r>
      <w:r w:rsidR="009C1DF9">
        <w:t xml:space="preserve"> CPI using </w:t>
      </w:r>
      <w:r w:rsidR="00C3296C">
        <w:t>the ABS health index and the Consumer Price Index</w:t>
      </w:r>
      <w:r w:rsidR="00447679">
        <w:t xml:space="preserve"> and are expressed as </w:t>
      </w:r>
      <w:r w:rsidR="00473DDE">
        <w:t>constant 2019-20 dollars.</w:t>
      </w:r>
    </w:p>
    <w:p w14:paraId="1F47D4CC" w14:textId="17582FA8" w:rsidR="004D77A9" w:rsidRDefault="004D77A9" w:rsidP="004D77A9">
      <w:pPr>
        <w:pStyle w:val="TableFigure-Header"/>
        <w:rPr>
          <w:lang w:val="en-AU"/>
        </w:rPr>
      </w:pPr>
      <w:bookmarkStart w:id="94" w:name="_Ref137039585"/>
      <w:bookmarkStart w:id="95" w:name="_Toc138851313"/>
      <w:r w:rsidRPr="00884FAA">
        <w:rPr>
          <w:lang w:val="en-AU"/>
        </w:rPr>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2</w:t>
      </w:r>
      <w:r w:rsidR="005B4A4F">
        <w:rPr>
          <w:lang w:val="en-AU"/>
        </w:rPr>
        <w:fldChar w:fldCharType="end"/>
      </w:r>
      <w:bookmarkEnd w:id="93"/>
      <w:bookmarkEnd w:id="94"/>
      <w:r w:rsidRPr="00884FAA">
        <w:rPr>
          <w:lang w:val="en-AU"/>
        </w:rPr>
        <w:t>. National and Australian Government health spending, constant</w:t>
      </w:r>
      <w:r w:rsidR="001A0D29">
        <w:rPr>
          <w:lang w:val="en-AU"/>
        </w:rPr>
        <w:t xml:space="preserve"> </w:t>
      </w:r>
      <w:r w:rsidRPr="00884FAA">
        <w:rPr>
          <w:lang w:val="en-AU"/>
        </w:rPr>
        <w:t>prices, 2014-15 to 20</w:t>
      </w:r>
      <w:r w:rsidR="000A5157">
        <w:rPr>
          <w:lang w:val="en-AU"/>
        </w:rPr>
        <w:t>20-21</w:t>
      </w:r>
      <w:bookmarkEnd w:id="95"/>
    </w:p>
    <w:p w14:paraId="2E1EB652" w14:textId="4B797DBA" w:rsidR="004D77A9" w:rsidRPr="000378EA" w:rsidRDefault="0058033E" w:rsidP="000378EA">
      <w:r>
        <w:rPr>
          <w:noProof/>
        </w:rPr>
        <w:drawing>
          <wp:anchor distT="0" distB="0" distL="114300" distR="114300" simplePos="0" relativeHeight="251658272" behindDoc="0" locked="0" layoutInCell="1" allowOverlap="1" wp14:anchorId="55205AE7" wp14:editId="279198DB">
            <wp:simplePos x="0" y="0"/>
            <wp:positionH relativeFrom="column">
              <wp:posOffset>0</wp:posOffset>
            </wp:positionH>
            <wp:positionV relativeFrom="paragraph">
              <wp:posOffset>-2899</wp:posOffset>
            </wp:positionV>
            <wp:extent cx="5733415" cy="3094990"/>
            <wp:effectExtent l="0" t="0" r="635" b="10160"/>
            <wp:wrapTopAndBottom/>
            <wp:docPr id="317351971" name="Chart 1" descr="Line graph">
              <a:extLst xmlns:a="http://schemas.openxmlformats.org/drawingml/2006/main">
                <a:ext uri="{FF2B5EF4-FFF2-40B4-BE49-F238E27FC236}">
                  <a16:creationId xmlns:a16="http://schemas.microsoft.com/office/drawing/2014/main" id="{56FAAB9E-42D2-435C-B021-4E7F060D45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r w:rsidR="004D77A9" w:rsidRPr="00884FAA">
        <w:rPr>
          <w:sz w:val="21"/>
          <w:szCs w:val="21"/>
        </w:rPr>
        <w:t>Source: Data provided by the Department of Health and Aged Care, March 2022; AIHW Health Expenditure Database</w:t>
      </w:r>
      <w:r w:rsidR="009136C5">
        <w:rPr>
          <w:sz w:val="21"/>
          <w:szCs w:val="21"/>
        </w:rPr>
        <w:t xml:space="preserve">; </w:t>
      </w:r>
      <w:r w:rsidR="00881356">
        <w:rPr>
          <w:sz w:val="21"/>
          <w:szCs w:val="21"/>
        </w:rPr>
        <w:t xml:space="preserve">Health </w:t>
      </w:r>
      <w:r w:rsidR="00CA3CF5">
        <w:rPr>
          <w:sz w:val="21"/>
          <w:szCs w:val="21"/>
        </w:rPr>
        <w:t>Portfolio Budget Statements</w:t>
      </w:r>
      <w:r w:rsidR="004D77A9" w:rsidRPr="00884FAA">
        <w:rPr>
          <w:sz w:val="21"/>
          <w:szCs w:val="21"/>
        </w:rPr>
        <w:t>.</w:t>
      </w:r>
    </w:p>
    <w:p w14:paraId="6B4545E6" w14:textId="471BECAC" w:rsidR="004D77A9" w:rsidRDefault="004D77A9" w:rsidP="004D77A9">
      <w:pPr>
        <w:pStyle w:val="TableFigure-Header"/>
        <w:rPr>
          <w:lang w:val="en-AU"/>
        </w:rPr>
      </w:pPr>
      <w:bookmarkStart w:id="96" w:name="_Ref131078261"/>
      <w:bookmarkStart w:id="97" w:name="_Toc138851314"/>
      <w:r w:rsidRPr="00884FAA">
        <w:rPr>
          <w:lang w:val="en-AU"/>
        </w:rPr>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3</w:t>
      </w:r>
      <w:r w:rsidR="005B4A4F">
        <w:rPr>
          <w:lang w:val="en-AU"/>
        </w:rPr>
        <w:fldChar w:fldCharType="end"/>
      </w:r>
      <w:bookmarkEnd w:id="96"/>
      <w:r w:rsidRPr="00884FAA">
        <w:rPr>
          <w:lang w:val="en-AU"/>
        </w:rPr>
        <w:t>. IAHP proportion of health expenditure, constant</w:t>
      </w:r>
      <w:r w:rsidR="002B0678">
        <w:rPr>
          <w:lang w:val="en-AU"/>
        </w:rPr>
        <w:t xml:space="preserve"> </w:t>
      </w:r>
      <w:r w:rsidRPr="00884FAA">
        <w:rPr>
          <w:lang w:val="en-AU"/>
        </w:rPr>
        <w:t>prices, 2014-15 to 20</w:t>
      </w:r>
      <w:r w:rsidR="00A87B28">
        <w:rPr>
          <w:lang w:val="en-AU"/>
        </w:rPr>
        <w:t>20</w:t>
      </w:r>
      <w:r w:rsidRPr="00884FAA">
        <w:rPr>
          <w:lang w:val="en-AU"/>
        </w:rPr>
        <w:t>-2</w:t>
      </w:r>
      <w:r w:rsidR="00A87B28">
        <w:rPr>
          <w:lang w:val="en-AU"/>
        </w:rPr>
        <w:t>1</w:t>
      </w:r>
      <w:bookmarkEnd w:id="97"/>
    </w:p>
    <w:p w14:paraId="7E0582D5" w14:textId="592148CC" w:rsidR="00A87B28" w:rsidRPr="00A87B28" w:rsidRDefault="00581008" w:rsidP="00A87B28">
      <w:pPr>
        <w:spacing w:after="0"/>
      </w:pPr>
      <w:r>
        <w:rPr>
          <w:noProof/>
        </w:rPr>
        <w:drawing>
          <wp:inline distT="0" distB="0" distL="0" distR="0" wp14:anchorId="6CF29645" wp14:editId="369DE8BF">
            <wp:extent cx="5619751" cy="3132000"/>
            <wp:effectExtent l="0" t="0" r="0" b="11430"/>
            <wp:docPr id="22423355" name="Chart 1" descr="Line graph">
              <a:extLst xmlns:a="http://schemas.openxmlformats.org/drawingml/2006/main">
                <a:ext uri="{FF2B5EF4-FFF2-40B4-BE49-F238E27FC236}">
                  <a16:creationId xmlns:a16="http://schemas.microsoft.com/office/drawing/2014/main" id="{BB1CC3C5-6A59-46C1-B341-1D1C747A66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A758520" w14:textId="1A4785BB" w:rsidR="004D77A9" w:rsidRPr="004F5A1D" w:rsidRDefault="004D77A9" w:rsidP="004F5A1D">
      <w:r w:rsidRPr="00884FAA">
        <w:rPr>
          <w:sz w:val="21"/>
          <w:szCs w:val="21"/>
        </w:rPr>
        <w:t>Source: Data provided by the Department of Health and Aged Care, March 2022; AIHW Health Expenditure Database</w:t>
      </w:r>
      <w:r w:rsidR="00881356">
        <w:rPr>
          <w:sz w:val="21"/>
          <w:szCs w:val="21"/>
        </w:rPr>
        <w:t>; Health Portfolio Budget Statements</w:t>
      </w:r>
      <w:r w:rsidRPr="00884FAA">
        <w:rPr>
          <w:sz w:val="21"/>
          <w:szCs w:val="21"/>
        </w:rPr>
        <w:t>.</w:t>
      </w:r>
    </w:p>
    <w:p w14:paraId="6F930BED" w14:textId="773D6E78" w:rsidR="007F7679" w:rsidRDefault="007F7679" w:rsidP="004D77A9">
      <w:r>
        <w:lastRenderedPageBreak/>
        <w:t>Estimated IAHP expenditure in the most recent year (2022-23) of $1,114 million indicates a 14% increase on 2021-22 expenditure, which is the highest annual increase since the IAHP was established in 2014.</w:t>
      </w:r>
      <w:r>
        <w:rPr>
          <w:rStyle w:val="FootnoteReference"/>
        </w:rPr>
        <w:footnoteReference w:id="17"/>
      </w:r>
      <w:r>
        <w:t xml:space="preserve">  </w:t>
      </w:r>
    </w:p>
    <w:p w14:paraId="6395BA59" w14:textId="59942F16" w:rsidR="009A7F2B" w:rsidRPr="00884FAA" w:rsidRDefault="004D77A9" w:rsidP="004D77A9">
      <w:r w:rsidRPr="00884FAA">
        <w:t>The IAHP is a significant proportion of government health expenditure for Indigenous Australians.</w:t>
      </w:r>
      <w:r w:rsidR="003340EF" w:rsidRPr="005D1C41">
        <w:rPr>
          <w:rStyle w:val="FootnoteReference"/>
        </w:rPr>
        <w:footnoteReference w:id="18"/>
      </w:r>
      <w:r w:rsidRPr="00884FAA">
        <w:t xml:space="preserve"> In 2016-17, total Australian Government health expenditure per person for Indigenous Australians was estimated at $3,585 per person. For all governments (Australian, state</w:t>
      </w:r>
      <w:r w:rsidR="006B0301" w:rsidRPr="00884FAA">
        <w:t>,</w:t>
      </w:r>
      <w:r w:rsidRPr="00884FAA">
        <w:t xml:space="preserve"> and territory) health expenditure for Indigenous Australians was estimated at $7,844 per person </w:t>
      </w:r>
      <w:r w:rsidRPr="00884FAA">
        <w:fldChar w:fldCharType="begin"/>
      </w:r>
      <w:r w:rsidR="00F8760E">
        <w:instrText xml:space="preserve"> ADDIN ZOTERO_ITEM CSL_CITATION {"citationID":"KO5hxk9x","properties":{"formattedCitation":"(Australian Institute of Health and Welfare, 2021a)","plainCitation":"(Australian Institute of Health and Welfare, 2021a)","noteIndex":0},"citationItems":[{"id":3726,"uris":["http://zotero.org/groups/5010721/items/Q8BEKW88",["http://zotero.org/groups/5010721/items/Q8BEKW88"],["http://zotero.org/groups/5010721/items/Q8BEKW88",["http://zotero.org/groups/5010721/items/Q8BEKW88"]]],"itemData":{"id":3726,"type":"document","abstract":"This report presents estimated health expenditure for Indigenous and non-Indigenous Australians from 2010@11 to 2016@17. This report is a companion piece to the health expenditure-related...","language":"en-AU","publisher":"Commonwealth of Australia","title":"Aboriginal and Torres Strait Islander health expenditure estimates 2010-11 to 2016–17, Summary","URL":"https://www.aihw.gov.au/getmedia/aa64f228-dd80-4d08-b2dd-641b2f36dd5d/Aboriginal-and-Torres-Strait-Islander-health-expenditure-estimates.pdf.aspx?inline=true","author":[{"literal":"Australian Institute of Health and Welfare"}],"accessed":{"date-parts":[["2021",9,28]]},"issued":{"date-parts":[["2021",1,25]]}}}],"schema":"https://github.com/citation-style-language/schema/raw/master/csl-citation.json"} </w:instrText>
      </w:r>
      <w:r w:rsidRPr="00884FAA">
        <w:fldChar w:fldCharType="separate"/>
      </w:r>
      <w:r w:rsidR="0074795C" w:rsidRPr="0074795C">
        <w:rPr>
          <w:rFonts w:ascii="Arial" w:hAnsi="Arial" w:cs="Arial"/>
        </w:rPr>
        <w:t>(Australian Institute of Health and Welfare, 2021a)</w:t>
      </w:r>
      <w:r w:rsidRPr="00884FAA">
        <w:fldChar w:fldCharType="end"/>
      </w:r>
      <w:r w:rsidRPr="00884FAA">
        <w:t>. For the same year (2016-17), IAHP expenditure was $882 per Indigenous person. Therefore, the IAHP equated to 25% of the Australian Government’s health expenditure for Indigenous Australians, and 11% of all governments’ health expenditure for Indigenous Australians.</w:t>
      </w:r>
    </w:p>
    <w:p w14:paraId="6C61CCF8" w14:textId="65407BC3" w:rsidR="002C42FE" w:rsidRPr="00884FAA" w:rsidRDefault="002C42FE" w:rsidP="0035030F">
      <w:pPr>
        <w:pStyle w:val="Heading2"/>
      </w:pPr>
      <w:bookmarkStart w:id="98" w:name="_Toc137208897"/>
      <w:r w:rsidRPr="00884FAA">
        <w:t xml:space="preserve">IAHP funding </w:t>
      </w:r>
      <w:r w:rsidR="00D542AD">
        <w:t>arrangements</w:t>
      </w:r>
      <w:bookmarkEnd w:id="98"/>
      <w:r w:rsidR="00D542AD">
        <w:t xml:space="preserve"> </w:t>
      </w:r>
    </w:p>
    <w:p w14:paraId="4E6920E0" w14:textId="0A062BF0" w:rsidR="008A5B80" w:rsidRPr="00884FAA" w:rsidRDefault="008A5B80" w:rsidP="00D32792">
      <w:r w:rsidRPr="00884FAA">
        <w:t xml:space="preserve">As a funding mechanism, understanding how funding </w:t>
      </w:r>
      <w:r w:rsidR="00D542AD">
        <w:t>moves</w:t>
      </w:r>
      <w:r w:rsidR="00D542AD" w:rsidRPr="00884FAA">
        <w:t xml:space="preserve"> </w:t>
      </w:r>
      <w:r w:rsidR="009D40D8" w:rsidRPr="00884FAA">
        <w:t xml:space="preserve">from the </w:t>
      </w:r>
      <w:r w:rsidR="00937AE7">
        <w:t xml:space="preserve">department </w:t>
      </w:r>
      <w:r w:rsidR="009D40D8" w:rsidRPr="00884FAA">
        <w:t xml:space="preserve">into </w:t>
      </w:r>
      <w:r w:rsidR="003279C5">
        <w:t>PHC</w:t>
      </w:r>
      <w:r w:rsidR="009D40D8" w:rsidRPr="00884FAA">
        <w:t xml:space="preserve"> service delivery is critically important. </w:t>
      </w:r>
      <w:r w:rsidR="006F380A" w:rsidRPr="00884FAA">
        <w:t xml:space="preserve">It also assists to </w:t>
      </w:r>
      <w:r w:rsidR="003D0F1B" w:rsidRPr="00884FAA">
        <w:t xml:space="preserve">contextualise how services interact with the </w:t>
      </w:r>
      <w:r w:rsidR="00366762" w:rsidRPr="00884FAA">
        <w:t xml:space="preserve">IAHP and how the IAHP is located within the broader </w:t>
      </w:r>
      <w:r w:rsidR="003279C5">
        <w:t>PHC</w:t>
      </w:r>
      <w:r w:rsidR="00366762" w:rsidRPr="00884FAA">
        <w:t xml:space="preserve"> landscape. </w:t>
      </w:r>
      <w:r w:rsidR="00447EA5" w:rsidRPr="00884FAA">
        <w:t xml:space="preserve">For that reason, </w:t>
      </w:r>
      <w:r w:rsidR="000355AE" w:rsidRPr="00884FAA">
        <w:t xml:space="preserve">this section </w:t>
      </w:r>
      <w:r w:rsidR="00772DFA" w:rsidRPr="00884FAA">
        <w:t>include</w:t>
      </w:r>
      <w:r w:rsidR="000355AE" w:rsidRPr="00884FAA">
        <w:t>s</w:t>
      </w:r>
      <w:r w:rsidR="00772DFA" w:rsidRPr="00884FAA">
        <w:t xml:space="preserve"> </w:t>
      </w:r>
      <w:r w:rsidR="00447EA5" w:rsidRPr="00884FAA">
        <w:t xml:space="preserve">some </w:t>
      </w:r>
      <w:r w:rsidR="00B4786C" w:rsidRPr="00884FAA">
        <w:t xml:space="preserve">analysis </w:t>
      </w:r>
      <w:r w:rsidR="00ED3E80" w:rsidRPr="00884FAA">
        <w:t xml:space="preserve">of funding data to </w:t>
      </w:r>
      <w:r w:rsidR="00310AD9" w:rsidRPr="00884FAA">
        <w:t xml:space="preserve">support and contextualise the </w:t>
      </w:r>
      <w:r w:rsidR="00772DFA" w:rsidRPr="00884FAA">
        <w:t xml:space="preserve">evaluation findings that follow in later </w:t>
      </w:r>
      <w:r w:rsidR="00A71F18" w:rsidRPr="00884FAA">
        <w:t>sections</w:t>
      </w:r>
      <w:r w:rsidR="00772DFA" w:rsidRPr="00884FAA">
        <w:t xml:space="preserve">. </w:t>
      </w:r>
    </w:p>
    <w:p w14:paraId="2BCE76E4" w14:textId="3944924C" w:rsidR="00E4197A" w:rsidRPr="00884FAA" w:rsidRDefault="00E4197A" w:rsidP="00E4197A">
      <w:r w:rsidRPr="00884FAA">
        <w:t xml:space="preserve">IAHP funding primarily moves through </w:t>
      </w:r>
      <w:r w:rsidR="006D2482">
        <w:t>3</w:t>
      </w:r>
      <w:r w:rsidR="006D2482" w:rsidRPr="00884FAA">
        <w:t xml:space="preserve"> </w:t>
      </w:r>
      <w:r w:rsidR="001C2F69" w:rsidRPr="00884FAA">
        <w:t>main</w:t>
      </w:r>
      <w:r w:rsidR="00297469" w:rsidRPr="00884FAA">
        <w:t xml:space="preserve"> </w:t>
      </w:r>
      <w:r w:rsidRPr="00884FAA">
        <w:t>pathways</w:t>
      </w:r>
      <w:r w:rsidR="00BB6570" w:rsidRPr="00884FAA">
        <w:t>.</w:t>
      </w:r>
      <w:r w:rsidRPr="00884FAA">
        <w:t xml:space="preserve"> </w:t>
      </w:r>
    </w:p>
    <w:p w14:paraId="625E3863" w14:textId="2D9A5AEB" w:rsidR="00C55A39" w:rsidRPr="00884FAA" w:rsidRDefault="00C55A39" w:rsidP="00FA3B1D">
      <w:pPr>
        <w:pStyle w:val="Bullet-Number"/>
        <w:numPr>
          <w:ilvl w:val="0"/>
          <w:numId w:val="29"/>
        </w:numPr>
        <w:rPr>
          <w:lang w:val="en-AU"/>
        </w:rPr>
      </w:pPr>
      <w:r w:rsidRPr="00884FAA">
        <w:rPr>
          <w:lang w:val="en-AU"/>
        </w:rPr>
        <w:t xml:space="preserve">Funding goes </w:t>
      </w:r>
      <w:r w:rsidRPr="00884FAA">
        <w:rPr>
          <w:b/>
          <w:lang w:val="en-AU"/>
        </w:rPr>
        <w:t>directly</w:t>
      </w:r>
      <w:r w:rsidRPr="00884FAA">
        <w:rPr>
          <w:lang w:val="en-AU"/>
        </w:rPr>
        <w:t xml:space="preserve"> to service providers</w:t>
      </w:r>
      <w:r w:rsidR="0091456D">
        <w:t xml:space="preserve"> or organisations</w:t>
      </w:r>
      <w:r w:rsidRPr="00884FAA">
        <w:rPr>
          <w:lang w:val="en-AU"/>
        </w:rPr>
        <w:t xml:space="preserve"> (</w:t>
      </w:r>
      <w:r w:rsidR="00811725" w:rsidRPr="00884FAA">
        <w:rPr>
          <w:lang w:val="en-AU"/>
        </w:rPr>
        <w:t>for example,</w:t>
      </w:r>
      <w:r w:rsidRPr="00884FAA">
        <w:rPr>
          <w:lang w:val="en-AU"/>
        </w:rPr>
        <w:t xml:space="preserve"> ACCHSs, NT Regional Health Services, other Aboriginal health services and organisations, and non-Indigenous private health services and organisations). </w:t>
      </w:r>
    </w:p>
    <w:p w14:paraId="6090D968" w14:textId="3E748696" w:rsidR="00C55A39" w:rsidRPr="00884FAA" w:rsidRDefault="00C55A39" w:rsidP="009D4A88">
      <w:pPr>
        <w:pStyle w:val="Bullet-Number"/>
        <w:rPr>
          <w:lang w:val="en-AU"/>
        </w:rPr>
      </w:pPr>
      <w:r w:rsidRPr="00884FAA">
        <w:rPr>
          <w:lang w:val="en-AU"/>
        </w:rPr>
        <w:t xml:space="preserve">Funding reaches PHC service and other providers </w:t>
      </w:r>
      <w:r w:rsidRPr="00884FAA">
        <w:rPr>
          <w:b/>
          <w:lang w:val="en-AU"/>
        </w:rPr>
        <w:t>indirectly</w:t>
      </w:r>
      <w:r w:rsidRPr="00884FAA">
        <w:rPr>
          <w:lang w:val="en-AU"/>
        </w:rPr>
        <w:t xml:space="preserve"> via jurisdictional-level and regional bodies (</w:t>
      </w:r>
      <w:r w:rsidR="00811725" w:rsidRPr="00884FAA">
        <w:rPr>
          <w:lang w:val="en-AU"/>
        </w:rPr>
        <w:t>for example,</w:t>
      </w:r>
      <w:r w:rsidRPr="00884FAA">
        <w:rPr>
          <w:lang w:val="en-AU"/>
        </w:rPr>
        <w:t xml:space="preserve"> PHNs for ITC and mental health funding; Medical Outreach Indigenous Chronic Disease</w:t>
      </w:r>
      <w:r w:rsidR="004D5348">
        <w:t>s</w:t>
      </w:r>
      <w:r w:rsidRPr="00884FAA">
        <w:rPr>
          <w:lang w:val="en-AU"/>
        </w:rPr>
        <w:t xml:space="preserve"> Program (MOICDP) via, for example, NSW Rural Doctors Network, CheckUp Australia in Queensland, and Tasmania Department of Health)</w:t>
      </w:r>
      <w:r w:rsidR="00CC000E">
        <w:rPr>
          <w:lang w:val="en-AU"/>
        </w:rPr>
        <w:t>.</w:t>
      </w:r>
    </w:p>
    <w:p w14:paraId="217F480B" w14:textId="71910A38" w:rsidR="00C55A39" w:rsidRPr="00884FAA" w:rsidRDefault="00C55A39" w:rsidP="00C55A39">
      <w:pPr>
        <w:pStyle w:val="Bullet-Number"/>
        <w:spacing w:after="240"/>
        <w:ind w:left="714" w:hanging="357"/>
        <w:rPr>
          <w:lang w:val="en-AU"/>
        </w:rPr>
      </w:pPr>
      <w:r w:rsidRPr="00884FAA">
        <w:rPr>
          <w:lang w:val="en-AU"/>
        </w:rPr>
        <w:t xml:space="preserve">Funding includes </w:t>
      </w:r>
      <w:r w:rsidRPr="00884FAA">
        <w:rPr>
          <w:b/>
          <w:bCs/>
          <w:lang w:val="en-AU"/>
        </w:rPr>
        <w:t>specific streams for the NT</w:t>
      </w:r>
      <w:r w:rsidRPr="00884FAA">
        <w:rPr>
          <w:lang w:val="en-AU"/>
        </w:rPr>
        <w:t xml:space="preserve"> (</w:t>
      </w:r>
      <w:r w:rsidR="00BB6570" w:rsidRPr="00884FAA">
        <w:rPr>
          <w:lang w:val="en-AU"/>
        </w:rPr>
        <w:t>for example,</w:t>
      </w:r>
      <w:r w:rsidRPr="00884FAA">
        <w:rPr>
          <w:lang w:val="en-AU"/>
        </w:rPr>
        <w:t xml:space="preserve"> oral health as part of the Indigenous PHC services funding and the Remote Area Health Corps (RAHC), which is managed by Aspen Medical).</w:t>
      </w:r>
    </w:p>
    <w:p w14:paraId="56251409" w14:textId="25DD1AC5" w:rsidR="00D32792" w:rsidRPr="00884FAA" w:rsidRDefault="00E4197A" w:rsidP="00D32792">
      <w:r w:rsidRPr="00884FAA">
        <w:t xml:space="preserve">The nature of </w:t>
      </w:r>
      <w:r w:rsidR="00CD3FC9" w:rsidRPr="00884FAA">
        <w:t xml:space="preserve">these funding flows </w:t>
      </w:r>
      <w:r w:rsidRPr="00884FAA">
        <w:t xml:space="preserve">under IAHP </w:t>
      </w:r>
      <w:r w:rsidR="00297469" w:rsidRPr="00884FAA">
        <w:t xml:space="preserve">creates a complicated, and interconnected funding landscape. </w:t>
      </w:r>
      <w:r w:rsidR="00E04C1E" w:rsidRPr="00884FAA">
        <w:t xml:space="preserve">This is depicted in </w:t>
      </w:r>
      <w:r w:rsidR="00C55A39" w:rsidRPr="00884FAA">
        <w:fldChar w:fldCharType="begin"/>
      </w:r>
      <w:r w:rsidR="00C55A39" w:rsidRPr="00884FAA">
        <w:instrText xml:space="preserve"> REF _Ref131243280 \h </w:instrText>
      </w:r>
      <w:r w:rsidR="00C55A39" w:rsidRPr="00884FAA">
        <w:fldChar w:fldCharType="separate"/>
      </w:r>
      <w:r w:rsidR="00165B17" w:rsidRPr="00884FAA">
        <w:t xml:space="preserve">Figure </w:t>
      </w:r>
      <w:r w:rsidR="00165B17">
        <w:rPr>
          <w:noProof/>
        </w:rPr>
        <w:t>3</w:t>
      </w:r>
      <w:r w:rsidR="00165B17">
        <w:noBreakHyphen/>
      </w:r>
      <w:r w:rsidR="00165B17">
        <w:rPr>
          <w:noProof/>
        </w:rPr>
        <w:t>4</w:t>
      </w:r>
      <w:r w:rsidR="00C55A39" w:rsidRPr="00884FAA">
        <w:fldChar w:fldCharType="end"/>
      </w:r>
      <w:r w:rsidR="00005E08" w:rsidRPr="00884FAA">
        <w:t xml:space="preserve"> </w:t>
      </w:r>
      <w:r w:rsidR="00C55A39" w:rsidRPr="00884FAA">
        <w:t xml:space="preserve">which </w:t>
      </w:r>
      <w:r w:rsidR="00D32792" w:rsidRPr="00884FAA">
        <w:t xml:space="preserve">shows the main funding flows from </w:t>
      </w:r>
      <w:r w:rsidR="006D2482">
        <w:t>5</w:t>
      </w:r>
      <w:r w:rsidR="006D2482" w:rsidRPr="00884FAA">
        <w:t xml:space="preserve"> </w:t>
      </w:r>
      <w:r w:rsidR="00D32792" w:rsidRPr="00884FAA">
        <w:t>IAHP funding streams on the left to funded organisations on the right.</w:t>
      </w:r>
      <w:r w:rsidR="00735668" w:rsidRPr="005D1C41">
        <w:rPr>
          <w:rStyle w:val="FootnoteReference"/>
        </w:rPr>
        <w:footnoteReference w:id="19"/>
      </w:r>
      <w:r w:rsidR="00D32792" w:rsidRPr="00884FAA">
        <w:t xml:space="preserve"> The arrows on the right-side of the diagram illustrate the onwards funding or indirect funding relationships</w:t>
      </w:r>
      <w:r w:rsidR="00F5238D" w:rsidRPr="00884FAA">
        <w:t>. For example</w:t>
      </w:r>
      <w:r w:rsidR="000F6A1E" w:rsidRPr="00884FAA">
        <w:t xml:space="preserve">, the </w:t>
      </w:r>
      <w:r w:rsidR="006D2482">
        <w:t>distribution</w:t>
      </w:r>
      <w:r w:rsidR="006D2482" w:rsidRPr="00884FAA">
        <w:t xml:space="preserve"> </w:t>
      </w:r>
      <w:r w:rsidR="000F6A1E" w:rsidRPr="00884FAA">
        <w:t xml:space="preserve">of ITC funding </w:t>
      </w:r>
      <w:r w:rsidR="00875C2D" w:rsidRPr="00884FAA">
        <w:t xml:space="preserve">from </w:t>
      </w:r>
      <w:r w:rsidR="00107831">
        <w:t>the department</w:t>
      </w:r>
      <w:r w:rsidR="00107831" w:rsidRPr="00884FAA">
        <w:t xml:space="preserve"> </w:t>
      </w:r>
      <w:r w:rsidR="00444E52" w:rsidRPr="00884FAA">
        <w:t xml:space="preserve">to a PHN </w:t>
      </w:r>
      <w:r w:rsidR="00875C2D" w:rsidRPr="00884FAA">
        <w:t xml:space="preserve">who then commission </w:t>
      </w:r>
      <w:r w:rsidRPr="00884FAA">
        <w:t xml:space="preserve">an ACCHS or other organisation to deliver the service. </w:t>
      </w:r>
    </w:p>
    <w:p w14:paraId="4A5E5DB0" w14:textId="19CD602B" w:rsidR="006D23D5" w:rsidRPr="00884FAA" w:rsidRDefault="00636390" w:rsidP="006D23D5">
      <w:pPr>
        <w:pStyle w:val="TableFigure-Header"/>
        <w:rPr>
          <w:lang w:val="en-AU"/>
        </w:rPr>
      </w:pPr>
      <w:bookmarkStart w:id="99" w:name="_Ref131243280"/>
      <w:bookmarkStart w:id="100" w:name="_Toc138851315"/>
      <w:r w:rsidRPr="00884FAA">
        <w:rPr>
          <w:lang w:val="en-AU"/>
        </w:rPr>
        <w:lastRenderedPageBreak/>
        <w:t>Figure</w:t>
      </w:r>
      <w:r w:rsidR="006D23D5"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4</w:t>
      </w:r>
      <w:r w:rsidR="005B4A4F">
        <w:rPr>
          <w:lang w:val="en-AU"/>
        </w:rPr>
        <w:fldChar w:fldCharType="end"/>
      </w:r>
      <w:bookmarkEnd w:id="99"/>
      <w:r w:rsidR="006D23D5" w:rsidRPr="00884FAA">
        <w:rPr>
          <w:lang w:val="en-AU"/>
        </w:rPr>
        <w:t>. IAHP funding flows to funded organisations</w:t>
      </w:r>
      <w:bookmarkEnd w:id="100"/>
    </w:p>
    <w:p w14:paraId="0E31CF84" w14:textId="758D4C90" w:rsidR="00D32792" w:rsidRPr="00884FAA" w:rsidRDefault="00AD18DC" w:rsidP="00614513">
      <w:pPr>
        <w:jc w:val="left"/>
      </w:pPr>
      <w:r>
        <w:rPr>
          <w:noProof/>
        </w:rPr>
        <mc:AlternateContent>
          <mc:Choice Requires="wpg">
            <w:drawing>
              <wp:inline distT="0" distB="0" distL="0" distR="0" wp14:anchorId="48BF298C" wp14:editId="30009880">
                <wp:extent cx="6334125" cy="7346472"/>
                <wp:effectExtent l="0" t="0" r="9525" b="6985"/>
                <wp:docPr id="28" name="Group 28" descr="Diagram showing IAHP funding flows"/>
                <wp:cNvGraphicFramePr/>
                <a:graphic xmlns:a="http://schemas.openxmlformats.org/drawingml/2006/main">
                  <a:graphicData uri="http://schemas.microsoft.com/office/word/2010/wordprocessingGroup">
                    <wpg:wgp>
                      <wpg:cNvGrpSpPr/>
                      <wpg:grpSpPr>
                        <a:xfrm>
                          <a:off x="0" y="0"/>
                          <a:ext cx="6334125" cy="7346472"/>
                          <a:chOff x="-412804" y="1"/>
                          <a:chExt cx="6334125" cy="7346472"/>
                        </a:xfrm>
                      </wpg:grpSpPr>
                      <pic:pic xmlns:pic="http://schemas.openxmlformats.org/drawingml/2006/picture">
                        <pic:nvPicPr>
                          <pic:cNvPr id="46" name="Picture 46"/>
                          <pic:cNvPicPr>
                            <a:picLocks noChangeAspect="1"/>
                          </pic:cNvPicPr>
                        </pic:nvPicPr>
                        <pic:blipFill rotWithShape="1">
                          <a:blip r:embed="rId76"/>
                          <a:srcRect l="173" r="183" b="16"/>
                          <a:stretch/>
                        </pic:blipFill>
                        <pic:spPr bwMode="auto">
                          <a:xfrm>
                            <a:off x="-412804" y="1"/>
                            <a:ext cx="6334125" cy="7040646"/>
                          </a:xfrm>
                          <a:prstGeom prst="rect">
                            <a:avLst/>
                          </a:prstGeom>
                          <a:ln>
                            <a:noFill/>
                          </a:ln>
                          <a:extLst>
                            <a:ext uri="{53640926-AAD7-44D8-BBD7-CCE9431645EC}">
                              <a14:shadowObscured xmlns:a14="http://schemas.microsoft.com/office/drawing/2010/main"/>
                            </a:ext>
                          </a:extLst>
                        </pic:spPr>
                      </pic:pic>
                      <wps:wsp>
                        <wps:cNvPr id="27" name="TextBox 2"/>
                        <wps:cNvSpPr txBox="1"/>
                        <wps:spPr>
                          <a:xfrm>
                            <a:off x="-412804" y="7100093"/>
                            <a:ext cx="3440430" cy="246380"/>
                          </a:xfrm>
                          <a:prstGeom prst="rect">
                            <a:avLst/>
                          </a:prstGeom>
                          <a:noFill/>
                          <a:ln>
                            <a:noFill/>
                          </a:ln>
                        </wps:spPr>
                        <wps:txbx>
                          <w:txbxContent>
                            <w:p w14:paraId="56116CF1" w14:textId="77777777" w:rsidR="00AD18DC" w:rsidRPr="0082214D" w:rsidRDefault="00AD18DC" w:rsidP="00AD18DC">
                              <w:pPr>
                                <w:spacing w:after="0" w:line="240" w:lineRule="auto"/>
                                <w:rPr>
                                  <w:rFonts w:ascii="Calibri" w:hAnsi="Calibri" w:cs="Calibri"/>
                                  <w:color w:val="000000" w:themeColor="text1"/>
                                  <w:kern w:val="24"/>
                                  <w:sz w:val="20"/>
                                  <w:szCs w:val="20"/>
                                  <w:lang w:val="en-US"/>
                                </w:rPr>
                              </w:pPr>
                              <w:r w:rsidRPr="0082214D">
                                <w:rPr>
                                  <w:rFonts w:ascii="Calibri" w:hAnsi="Calibri" w:cs="Calibri"/>
                                  <w:color w:val="000000" w:themeColor="text1"/>
                                  <w:kern w:val="24"/>
                                  <w:sz w:val="20"/>
                                  <w:szCs w:val="20"/>
                                  <w:lang w:val="en-US"/>
                                </w:rPr>
                                <w:t>* Funding is managed by single fundholders in each jurisdiction</w:t>
                              </w:r>
                            </w:p>
                          </w:txbxContent>
                        </wps:txbx>
                        <wps:bodyPr wrap="none" rtlCol="0">
                          <a:spAutoFit/>
                        </wps:bodyPr>
                      </wps:wsp>
                    </wpg:wgp>
                  </a:graphicData>
                </a:graphic>
              </wp:inline>
            </w:drawing>
          </mc:Choice>
          <mc:Fallback>
            <w:pict>
              <v:group w14:anchorId="48BF298C" id="Group 28" o:spid="_x0000_s1077" alt="Diagram showing IAHP funding flows" style="width:498.75pt;height:578.45pt;mso-position-horizontal-relative:char;mso-position-vertical-relative:line" coordorigin="-4128" coordsize="63341,73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UPmL5gIAAOMGAAAOAAAAZHJzL2Uyb0RvYy54bWycVV1v2yAUfZ+0/4B4&#10;b/25JLPqVF27VpP2Ea2d9owxtlFtQEBi59/vgp2kSTt160MwFy6Xc889l1xcDl2LNkwbLkWOo/MQ&#10;IyaoLLmoc/zr4fZsgZGxRJSklYLleMsMvly+f3fRq4zFspFtyTSCIMJkvcpxY63KgsDQhnXEnEvF&#10;BGxWUnfEgqnroNSkh+hdG8RhOAt6qUulJWXGwOrNuImXPn5VMWp/VJVhFrU5BmzWj9qPhRuD5QXJ&#10;ak1Uw+kEg7wBRUe4gEv3oW6IJWit+bNQHadaGlnZcyq7QFYVp8znANlE4Uk2d1qulc+lzvpa7WkC&#10;ak94enNY+n1zp9W9Wmlgolc1cOEtl8tQ6c59ASUaPGXbPWVssIjC4ixJ0ij+gBGFvXmSztJ5PJJK&#10;G2DenTsDh0WYYgQe0W7v8yvng931wREoxWkGv4kJmD1j4nXFwCm71gxPQbp/itER/bhWZ1A0RSwv&#10;eMvt1gsQyuNAic2K05UeDSB1pREvc5zOMBKkA+HDtrsVwQow7Y44r/EMcTl9lfTRICGvGyJqdmUU&#10;aHciLDh29+bRhUXL1S1vW6Sl/c1tc98QBXdGXpJuc8oVhH8inBfoGkV5I+m6Y8KOXaZZC2lLYRqu&#10;DEY6Y13BID/9pZxKajT9CYhdn0XzBFzgu4AvdFnkUyaZsZpZ2kD6PoMd6JENAxJERf9NlgCcrK30&#10;2E8k+IKUXhZimIazkem9kIBkbewdkx1yE8AOcP0lZPPVWIfq4OJk3wo3CumIHXfdiofuwE5TKI1r&#10;HHi9zI5lsJ7x/F8N6ssH0FzYg5bi+U5LD5D0Jzkg32mTk2thZAdYdnUHvG59xLlrpX0nP6VxHoVh&#10;+DEZ+3JHZpKmYZrAe+m6Ok5nycK/lG/ncs/iX2k9wHUzOxSDb6B4n2Mhyy2k2MNbnWMBfyagMdte&#10;S/+wu0oZdQWyueW+lC7IeALq5Awoj5/5lxRmR0/1U9t7Hf6bln8AAAD//wMAUEsDBAoAAAAAAAAA&#10;IQCVhQsepm8GAKZvBgAUAAAAZHJzL21lZGlhL2ltYWdlMS5wbmeJUE5HDQoaCgAAAA1JSERSAAAG&#10;vQAAB3cIAgAAAPTUIngAAAAZdEVYdFNvZnR3YXJlAEFkb2JlIEltYWdlUmVhZHlxyWU8AAZvSElE&#10;QVR42uzdCXycd30nfmlujW5ZsiSfscFO4iQOpE64crRAYQOE7i5pgRbo0m1pobTbFxT+vf7pq/Si&#10;sLDdPwuhyx7dFGhpQykkIeX0YicBEpPDTuw4ThzftizZsiRLlkaH/yM9znjyaCSNTut4v1/zUh7N&#10;PDOSfqNImo+/39+39Pz58yUAAAAAAHkilgAAAAAACJEbAgAAAABhckMAAAAAIExuCAAAAACEyQ0B&#10;AAAAgDC5IQAAAAAQJjcEAAAAAMLkhgAAAABAmNwQAAAAAAiTGwIAAAAAYXJDAAAAACBMbggAAAAA&#10;hMkNAQAAAIAwuSEAAAAAECY3BAAAAADC5IYAAAAAQJjcEAAAAAAIi1kCAABg+rYdPDrjj3mwo+vQ&#10;ma65/CrO9PXtPNHm2cwX+caXg4PM4GCmfyD/ppc0La9IJS0RC8t/+8x/swhQJLkhAADMrp0tbWd6&#10;+yZ1fkdvZrIfZTqx3fZDxzxNjOXlJ8b81tp3RsYKsJjJDQEAWNg6evueaGmb6JzMzpaJA46DHZ0H&#10;i6tuy37Ezr6MxQcAFjG5IQAA0zJ+mduEpXMTVskphQMAuCTkhgAAi8c4Gdz4+8SNc8czfZldLVoR&#10;AQCWHLkhAMAsGmdju3EK8cbplpXiAQAwN+SGAMBSV7DUrmCoN9agVVkezNbLlUg0nUjM8QdNJ5LZ&#10;j2vxAUBuCAAsJAXL97YfDO9/VzDgk+6xUCRj8WRs0n+oTyftiiVTpZHSaX7apbFENB739AHAoiE3&#10;BABm0cGOroNnOkNXFhnzDe/H19FlDZkp5YlkNBKZ8LSqVLqYR4tEo9Gi6+AEagDAQiQ3BAAuKljN&#10;N7pjVzUfk/hzc6I+0wmr5KLxeGSi4rtYWbmlBgCY4T/kLAEALEQFA76O3szOQsldwf37nmhp6+zL&#10;WMkl9GffuPndSGPsmAVx4zexRhJlkWjECgMALLY/IC0BAMyGsabojhXtjTVwQ6/uIjbOHnbRSLQ8&#10;kRzrjvGysrFuEuEBADBT5IYALAkdvX1PjN1CO1aWFzjY0XnwTNcYNwn1Fq2xQr2xmmrHqsizsR0A&#10;AAuU3BCAmVdwFMZYZx46M3Hu9sTw/np945xgZ70lruC8i4IBX8F0T40eAACMNpXc8LHH9ref6bZ2&#10;s+q1P3PNfHjZ/8UnnvZcsEDdtHbFzWtXzvb/I0VGYzP14YrJ1yZUcJ+7CUnlmFkFS/lGx3wF59Uq&#10;3wMAgLkxldzw0ceeP3DgpLWbVfMiNzzT+efbH/FcsFBttwQwY4qM+UoK7btXGolGkylrCAAAC44+&#10;ZQBYVKpSBSZmFByVG43HI6PSQNV8AABAQG4IAHOtYLQ3cn264PUFh+cK+AAAgFklNwSAklgkmh61&#10;j15OwWK9QMEN+AJyPQAAYGG/ULIEAFxCBTfOG63gVnr5xsnvAnbZAwAAmBS5IcDCUGS+NqGxOmHH&#10;N2EqF6LUDgAAYKGTGwKLU3kiuXxZw6x+CPVrAAAALGJyQ2BxikYisbJy6wAAAABTE7EEAAAAAECI&#10;3BAAAAAACJMbAgAAAABhs7W/YbosFY0IJQvr6u6Z8Jyvf/2xoZKS8yUlQ6Ul50uHrxk+KDn/wpWl&#10;50tG3h05GBo5YTB7UDJ88sU7jlwZXBNcmX13MHj3hSuzBwMlw5fBkUtm+KwL2js7i/lyqlJlnlPm&#10;WE8mMzA0aB0AAABg9sxWblhWlkokkta3oGJywwWkccUazylzrOXYoc7ec9YBAAAAZo+SQAAAAAAg&#10;TG4IAAAAAITJDQEAAACAMLkhAAAAABAmNwQAAAAAwuSGAAAAAECY3BAAAAAACJMbAgAAAABhckMA&#10;AAAAIExuCAAAAACEyQ0BAAAAgDC5IQAAAAAQJjcEAAAAAMLkhgAAAABAmNwQAAAAAAiTGwIAAAAA&#10;YXJDAAAAACBMbggAAAAAhMkNAQAAAIAwuSEAAAAAECY3BAAAAADC5IYAAAAAQJjcEAAAAAAIkxsC&#10;AAAAAGFyQwAAAAAgTG4IAAAAAITJDQEAAACAMLkhAAAAABAmNwQAAAAAwuSGAAAAAECY3BAAAAAA&#10;CJMbAgAAAABhckMAAAAAIExuCAAAAACEyQ0BAAAAgDC5IQAAAAAQJjcEAAAAAMLkhgAAAABAmNwQ&#10;AAAAAAiTGwIAAAAAYXJDAAAAACBMbggAAAAAhMkNAQAAAIAwuSEAAAAAECY3BAAAAADC5IYAAAAA&#10;QJjcEAAAAAAIkxsCAAAAAGFyQwAAAAAgTG4IAAAAAITJDQEAAACAMLkhAAAAABAmNwQAAAAAwuSG&#10;AAAAAECY3BAAAAAACJMbAgAAAABhckMAAAAAIExuCAAAAACEyQ0BAAAAgDC5IQAAAAAQJjcEAAAA&#10;AMLkhgAAAABAmNwQAAAAAAiTGwIAAAAAYXJDAAAAACBMbggAAAAAhMkNAQAAAIAwuSEAAAAAECY3&#10;BAAAAADC5IYAAAAAQJjcEAAAAAAIkxsCAAAAAGFyQwAAAAAgTG4IAAAAAITJDQEAAACAMLkhAAAA&#10;ABAmNwQAAAAAwuSGAAAAAECY3BAAAAAACJMbAgAAAABhckMAAAAAIExuCAAAAACEyQ0BAAAAgDC5&#10;IQAAAAAQJjcEAAAAAMLkhgAAAABAmNwQAAAAAAiTGwIAAAAAYXJDAAAAACBMbggAAAAAhMkNAQAA&#10;AIAwuSEAAAAAECY3BAAAAADC5IYAAAAAQJjcEAAAAAAIkxsCAAAAAGFyQwAAAAAgTG4IAAAAAITJ&#10;DQEAAACAMLkhAAAAABAmNwQAAAAAwuSGAAAAAECY3BAAAAAACJMbAgAAAABhckMAAAAAIExuCAAA&#10;AACEyQ0BAAAAgDC5IQAAAAAQJjcEAAAAAMLkhgAAAABAmNwQAAAAAAiTGwIAAAAAYXJDAAAAACBM&#10;bggAAAAAhMkNAQAAAIAwuSEAAAAAECY3BAAAAADC5IYAAAAAQJjcEAAAAAAIkxsCAAAAAGFyQwAA&#10;AAAgTG4IAAAAAITJDQEAAACAMLkhAAAAABAmNwQAAAAAwuSGAAAAAECY3BAAAAAACJMbAgAAAABh&#10;ckMAAAAAIExuCAAAAACEyQ0BAAAAgDC5IQAAAAAQJjcEAAAAAMLkhgAAAABAmNwQAAAAAAiTGwIA&#10;AAAAYXJDAAAAACBMbggAAAAAhMkNAQAAAIAwuSEAAAAAECY3BAAAAADC5IYAAAAAQJjcEAAAAAAI&#10;kxsCAAAAAGFyQwAAAAAgTG4IAAAAAITJDQEAAACAMLkhAAAAABAmNwQAAAAAwuSGAAAAAECY3BAA&#10;AAAACJMbAgAAAABhckMAAAAAIExuCAAAAACEyQ0BAAAAgDC5IQAAAAAQJjcEAAAAAMLkhgAAAABA&#10;mNwQAAAAAAiTGwIAAAAAYXJDAAAAACBMbggAAAAAhMkNAQAAAIAwuSEAAAAAECY3BAAAAADC5IYA&#10;AAAAQJjcEAAAAAAIkxsCAAAAAGFyQwAAAAAgTG4IAAAAAITJDQEAAACAMLkhAAAAABAmNwQAAAAA&#10;wuSGAAAAAECY3BAAAAAACJMbAgAAAABhckMAAAAAIExuCAAAAACEyQ0BAAAAgDC5IQAAAAAQJjcE&#10;AAAAFr+NG6otAkxKzBIAAAAAi9ia1RUfeP+yo0fPP7Ovw2pA8eSGAAAAwOJUXZV8279f/trXl5aU&#10;nD961HrA5MgNAQAAFrbLk/H8dxOlpXUvvibQkIqP8yCJSGl1oXv9nfVlwXrtTzfe/vOpqurzlgKm&#10;Rm4IAAAwj5RFStfEL7xSq43HktELu9Lnp341iVg8ard6GFPQmLxqzfmSEqEhTJ3cEAAAYO4EtYG5&#10;ksDyaCQdjw4fxKLBATAd1VXJ97y78RWvKpEYwvTJDQEAAGZSUDCYSwZr4tF4NCIWhNmWSEZvfFX9&#10;r/xqcqwTKitLrRJMitwQAABgKuqi0YZYpCIaqYjHgrLBRRYOViYTV65otr8hC8LGDdW/8t6akcbk&#10;MW26WgUiTI7cEAAAYAJBRBjsNtiQio81QmTxvFAsLV3XUL9mWZ2nnvlPYzLM4q8DSwAAAJDv8mQ8&#10;6DKuiUfL49EFERHWlqXy341Go5XJVIHTytPjvT6MRipTKd8ALBQTNiYD0yQ3BAAAlrQ18Vh1NBKk&#10;hDXJ+HxoNI6VllamLkQhNeny3PX5qV9lWTIWsWEiS1cxjcnAdH8fWQIAAGBJuTwZr43H6hKxdDza&#10;UJaY+08gqA1MxROp+HAlYyoRLwsO4vGyRNwTBOPTmAxzRm4IAAAsckFQ2JiKz1nTcTIWS8djuWbh&#10;oE5QhSBM0/Qbk1/7043tZ+6e4087HmuIxRpGX59KbfKcMs/JDQEAgMVmTTy2IhmvS8RqkrFZDQor&#10;k4lYJFKRSsUi0YpUMh6NCgdhlsxIY/Kv/GryTMdX5+cXmEisjUQu7EUQizXEoheixmTisuD62Bj5&#10;I8weuSEAALDglUVK18RjTalEQyo+S63HQURYky4PhofoKYY5s0QakzOZg3nv7RnnzFzCmEoOVywG&#10;9YyRSHn2et8tzCy5IQAAsCDVRaMr49HGssTyVHzGiwpry1LB/oO15WkRIVwqiWT0Da9vfMc7ZRcv&#10;kksYe3vD8WIkkh5JFcsT8bXRkSRRlSLT4f89AABgwSiLlG5KJRpTiYayxAwOPpYSwjx07ea6X//1&#10;yqpqw08mYWioJwgTe0p25F8flCimkpuC4kRbK1IkuSEAADCvlUVKX5qIz2BdYay0tDKVrEmXV6SS&#10;ZYl4ZSplkWFeWd5Q9vZfaDAxeQYFJYr59YmxWH0icVkivjaZfTtSlmiVKPAb0xIAAADz0Jp4bF06&#10;OSP7FeYHhZWplHJCmLc0Js+ZgYG27CVXlhg0OKeSm8SIvOgXqCUAAADmiVwb8oryZDwamc5D1Zal&#10;KlKpmnRaUAgLS3m61CLMvaDBOVeQGFQjliU3pVKbjFtZyuSGAADAJVYXjW4sS6wqT06ntDBWWlpT&#10;nq4dCQpry9NWFRaiTN/gV/7p6L9+KzdAmUvjQjViz3A14vDGiKlNifja8vT1MsSlRm4IAABcGmvi&#10;sY0VqZXp5JQnnCRjsbp0uqY8XTnSgGxJYXHo6Oz7zGcPff0bFe/6pWWbrrbF4SU2NNTT07Ojp2TH&#10;mY6vBhliWXJTOr1FL/NSIDcEAADm1DWpxOp0csoDkXNZYW06rQEZFrFDh8/+xcfPmqo8r1zIEHt2&#10;nGq/KxarT5ddX5YazhCtzGIlNwQAAOZCEBdObePCXA9yQ2WlrBCWlCd2nv6dD3Xc+Kr6238+JT2c&#10;VwYG2jq77s9egiLE8rIt6fT12WMrs5jIDQEAgFl4PXmuOzjYUJa6vKpiVXU6Hp10dWFlMlFfUVlb&#10;nrZfISxlmb7B7//flp88mvw3b6y/7eei03moe74++O73/MJcf/79B4eGusM/JAdaBwbaFscTlCtC&#10;LDn1+XR6iwBxMZEbAgDA0jLY13t+aLDAC7+BgcH+/tHXDwwN9mT6Cj5UTyYzUOihsjaly69valjf&#10;UF9ZXja5lyilpQ2VlTXl6eVVFbFI1PMFBDo6+77yT0e3/t+yt/9Cw5RHpvzwRx2//du3z8Ovbmgo&#10;+wP1QO7dc727L/wEHmwdGGh94YSD8/9pCgWIFRW3+NZd0OSGAAAwz149Dg4NZc4VuH6MXK870zdY&#10;KLwbJ9SbPauTyevqaq9qbqqvqZzUHZOx2PLKiobKSqWFwDhOtp4LRqZ84P3LVq1ZPG3LQatv7t38&#10;45CRQsXhJDGTOTg41B0Ei/MwVcxtg5hOb6mufJNBzAuU3BAAAKZisL///EBm9PX95wpEfn0D/dnL&#10;6Os7e88tmgV5Y0PDxoZl65omN16zMploqq6uHR6IbBoyXLRh3fr169a1nGx5/MknrcZohw6f/b0/&#10;WKIjU2KxhmCQccFssbd399BQT1/mwHCS2H/gkndDZz+Ns2e3ZS+xWH115ZsqKm7Rv7zAvt8sAQAA&#10;i1vBgK9g7d5YDbmXpHBvoQj6ka9Y0ZSczLiSIC405ISF4mVXX924vHHbQw+e6+2dm4/4nz/9X+rr&#10;67MHr//Z1+V/0De+9nV3/MnH2tra3vHOt8/ZJzNv5Uam/MqvJn2XBoIwMTTgOJM5ODDQ2pc5kOkf&#10;PrgklYkDA22n2u/KXioqblZ+uIDIDQEAmEdywzTyFazg6+ztGX2lgG/OVMZir66t/anVKyfVjywu&#10;ZCF621t/7kMf+Wj24GN/fMe3vv+9OfiIG9atD0LDrFXNK/Y9vz930x1/8rHs2+ytoevramrf+uY3&#10;/9pvvD97vHfPnq/8w9/PZcp5Cc3gyJRFLJFYm73kh4mZzMFM5kD/QGtv3+7s8dBQz5x9MkH5YSp1&#10;ZWX5LXY/nP/khgAATNE0M77F1KK7pKxOJm9du3rd8vriCwzFhSxcdTW1QWiYdf0NN4yTG2bPvP66&#10;6zZefnl1dXX23SOHD3/lq3cXTO6KPzMrPxwcS1CEmHv38iuvzL77wwce+H//5I+XSE1iMDLlhz+q&#10;+Lm31k15ZMqSEiSJF3+hjxQhnuvdnek/0Nu7Zw4+gexHyV7aO+7WvDzPyQ0BAJaEgr26g5nM0GC4&#10;Oq/gkA0Z31KwprpybXXh4sGb167Mvq09X1oaiZXGiq3oCUadrK6rExeycF1/3XUTnlNXU/uB3/iN&#10;W9/8ltD1x48fD+WMRZ65vGES+4SGQsOcV91445ve8MavfuPrS+fJOnT47Gc+e/Zb367+lffWLKaR&#10;KXMg2DMxV5DY2ztchHiub3ewW+Lsfdygebm94+6qylurq94kPZyP3xuWAABgHhpdynd+6PxAX7hs&#10;pOB+fH0DAwVHcLDQjZXrra3JXl81+vrNjfXVqcTo668dvn4Se4H1DQzuOt62t7W9q6+o76tYaWlD&#10;ZWVzTbXJyCwCP/uzb8gdX/+KV44+YWVT0+fu/JtcW3HO3j17Hnn00amdWVFRERzcf9+9Y31iQR1i&#10;XU1tfmj4wwceePLJXUG3ctaHPvLRrdu2nT7TvqSesmf2dfzeH3S88hUN73lPeqmNTJkpqdSm7KWq&#10;5NaSkY7m3t7d5/p29/TsmKUPNzTUc6bjq51d90sP5yG5IQDAdCnlI981jfU1yXBaV51KXttYP/rk&#10;gtFeTSq5udDJc6+rL7Pj8Mm9rcWGDrVlqaaamuVVFbGIXcZYDOpqal914425d0dHfmWpVH4UGGws&#10;2HKypbWt7eiJE1M7c1Le+uY3544/+uEPPfjwj7MH+/bt+8SnPh1cef11183NnozzzY9+3Pro41Ej&#10;U6Yv6GgOMsTe3t3dPTuCLRFn/ANJD+cnuSEAsOQo5SNw05oVo6/c3FRfkwy/yFxTU6DQb/6ke7Ph&#10;WGf3jsMt2bdFvagoLW2uqdaPzOIzukl5w7r1+RsOvv1tt+eiwE9/8hPjNAUXf2ZJXr3hkcOHx/8M&#10;r776muDgC5+/MwgNs7IH//DlL73jF38pe9xysmXJPn25kSlv+/fLX/v6Ut/P0xfUIZaM7IfY07Nj&#10;NooQg/TwbPcPaqtvNzVlPpAbAgDz2mBf7/lRBXombyw1BSv4CjbnLsGAb8btbW3fcbilyJbkoMBw&#10;RU21dWNRevs73hkctLW1Banf8oaGXG5YV1Ob6wj+wufvHCcKLP7MwJWbNgUHx48fz79+w7r1oTPz&#10;yyHz/Y///b+yb48dPfr4k0+GPpPcSJZHHn54//PPFzN3ZUHr6Oz7X397+LvfMzJlJsViDVVVt1aV&#10;3Do01NPT80j3uR0zGyAODLS1nvp8R9f9y2rfEySVXLLn2hIAADP2R57puoyR8RUs4ivYojvZrfeY&#10;KX0DgwfaO4tMDBUYshS87OqrL7/yyuzBP3z5S8/s3RtsI9jU1JQ74Wduvjk42Ltnz99+6YvjPFTx&#10;Z07W/ffdG0xZ+Xe3/3z+UObswWfu/Fzo5Le99edys6Gzgjt+4fN3zuynND8FI1O2ba/r7R30vT2D&#10;IpF0RcUt2ctsBIiZzMHjLX9aUXHzstpf1rZ8qcgNAWApKhjwFdyPr2+gf3Rb7uDQUPeoBl4Woqpk&#10;YvSme8XX8a2tqRpr/C4LSDD2ZOfxU5nBiV9OVyYTq+rq7GDIUvCya18WHGzfvq27+8I/dw1XAr5Q&#10;LfiqV706OLjv3nvGf6jizxzf+nXrQtfs2b07iP/q6+v/9I//5C/+6uNjTUF542tflx8a5vzab7x/&#10;9NznxeqJnad9Y8+S/ADx7NkfdHX/YKb2QDx7dltPz47a6turqm61znNPbggA81fBFt2CO/GVjDFw&#10;Q8C3yBQs5bt57crRZ960Nrxzn15dRptUYlhfUb6mrs6IZJaIslQq11n8+JNPZt8Njm9981v+7ON/&#10;GRzneoSf2//c+I9W/Jkhzc3NueOVTU25vuncnOWt27bl0sDsR7nnxnv/4ctfevQnP8ntdZiTu+8P&#10;H3jgO9/5dvbg+htuCDJHmEGRSHq4hbnq1kzmYEfXN3t6dgwN9UzzMbOPcKr9ru5zjzQse38s1mCR&#10;55LcEACmpWC0VzJG7V7JGP250r1FaZqlfNp1mVXFJ4Zaklmabn71a4KDIKHL9f+WvDAapa6mNndN&#10;a1vbOA9V/Jk5uTjv137j/bn4sqDTZ9o/+uEP5aYnZ73jF38pe2lra/vEX/5FfnoY9Fxnfec73w6q&#10;C7Nv7733nsbljUtz4DKzLZFY27Ds/UO1w/3LHV33T7/8sLd3z9Hjv6fwcI7JDQFYzAb7+88PZEZf&#10;P1bJXskYVXtZPZnMwJANcRaz6ZTyjXUmzEPFJ4bJWGxFdfWa+lotySxBP/uzbwgOHnn44ZIXZ3/r&#10;163b9/z+ZbUXrzl64sQ4D1X8mVPz4MM//tgf3/GB3/rt3LzmkpG25U986tMf/fCHctHh3j17gugw&#10;e2ZuHMrI1JQnPd3Mnlz/cm/v7q7uH5w9u206j5YrPGxs+F07Hs4NuSEAc21ocGgoM+b4i4IzNAIF&#10;K/VKFOstSWuqC+61p5QPxjOpxHB9Q70pySxZK5uacp3Fd/zJx4KJKDn5vcOBoAKxmEcu/sxJ+db3&#10;v7ftoQdvfvVr3v6Od+bqCrM++vt/8I53vj0olvzLv/yL//zp/1I/4m/v+rtPf/ITE451hhmUSm3K&#10;Xmqrb2/vuHuazcu9vXsOH/2thmXvT6e3WNjZJjcEWKLGKsTLGRoYyJ4zzgljpXgv3GowLhdMM+Mz&#10;eQNmxM7jbTsOn5wwMawtSzXV1EgMWeJeecMrxrl11erV2bf58V9QgTjW+cWfOdrH/viO/c8/n3v3&#10;93//D4JY8Mjhw6Ezz/X2fuv738teNqxb/+vv+/Ug96yvr79u87VByWH2437g/b/+uTv/JihL/NBH&#10;Pnrlpk2f+uv/kt+CDbMtFmsImpc7Or/Z2XX/lNPD7B1bWj9VU/222prbrersPmWWAGBmjbXb3Xi/&#10;9iZK6PKNn9Zd+BzU3zElBffjKxmjA3fzcMleuKtXHR/MQ3tb23ccbunqm+AXTW1Zal1Dg7EnkPXm&#10;t9yW/26wxeGRw4eDrQZzo1F++MADQTz3gd/67Sd3PzVOD3LxZ5aM1CTmjh959NH8+cj79z8X5IbH&#10;jx8f6+77nt//F3/18XtuvDA4paKiIndT9uO+451v/9X3/so7fvGXgi9kz+7dqg6Ze5FIurbm9uqq&#10;N00zPTzT8dXevt16lmeV3BBYnHoyfS3HDhV/ft/AQN9Av3VjoSi4E191Klkw9Su4GZ8iPlgKjnV2&#10;P3jg2KnuCYqJJIaQb2VTU67VN39/wPwJy9lzjp448bWv/XOurO9zd/7N5z7z/+Vivrqa2uuvu+76&#10;G2545OGHv/X97xV/ZuiTyQ8Ni3cur+3j7NmzL76p9zN3fu6ZvXuD5usPfeSjW7dtm9pHgWnKpYft&#10;Z+7u7Lp/ag8yMizl/2ls+N1EYq0lnQ1yQ2BxGhga0ifLpTVW7V7B/tySMdK9mlRyc6EHARhfV19m&#10;67NHjnV2j3+axBBG+9nXvT442LtnT/484nO9vfffd28w6fiyNWuPnjiRvfUfvvyloHavvr4+tA1i&#10;IHv+k7ufKv7M7MOWj/2/ZG7Ocn7z8mhvf9vFzs09zzwz+oRvff97uZ0Ql9XWyg25hCKR9LK691RX&#10;3Xqq/a6enh1Teek30Ha85WONDR9OpTZZzxknNwRgiSpYslcydtVedSpRMMIT7QHzSt/A4I4jJ3cd&#10;bxv/NIkhjOXf3f7zwcF9994TuqmjoyM4aGpqCg7+x//+X8eOHv3QRz461qN94fN3Bl3JxZ/ZuLwx&#10;uGbvnj1Ffs4rm5qu3nRV9uD6G25Yv/4luXrJf/jyl3KZ4IZ169evWxfUOb7xta/LndNzrseTziUX&#10;izU0Nny4t3d366k7BwbaJnv3oaGe4y1/2rDsNyoqbrGYM/zUWAIA5pWCMzQCY1XqlYyx116g4N58&#10;AItSMcNPzEpeUo4e62w5eaFN9URb98lTF0tQnzp4Kv/Mw129h7sLb468YSmt2MuuvjoYG5K1ddu2&#10;0K3P7N0bHFy5aVPJyLaA53p7v/qNr+/ctes1r371v7v953P3LRnZ0/BrX/vnXMVi8Wfm7N//3Iue&#10;iLx9D48cP5Y7fs0Nr/jEpz49+mtpa2v70t//fXC8sqnpb+/6u9Hn3H/fveNvtghzKZXatHrlZ4K2&#10;5Slseth66vMlw3t6ig5nktwQgDGNVZEXGKsu74VbE+NU4ZmeATCzjnV2b3328PjDTySGi0wuE3z2&#10;cEdPz3Dkl4sCnzrV3dE/YImm4CXrXxIc5Ffq5bScbAkOcqNRAvue35+9/O2XvriyqSldli558Qzl&#10;fMWfOVouK9y7Z0/+EOT8ySc5999374Szktva2j73+c970plvamtur6y4pfXUnb29eyZ7X9HhjJMb&#10;AiwwFYl4XVkqe9BYkU5FoyUjVXglIyleTfJiErempnLCqRfCO4BFoKsv8+CB4wdOd473R39p6eq6&#10;ujX1tbFI1IotLHv3tXV3Z4JSwe7e/gMtw0/0Qyc6rMwseW6kxK+tre2fv/bPo299/MknszfV19d/&#10;4fN3Frx78bV7U6jyO9fbe9ttb7ly48bQloWPPPpobl7z/ffde+Tw4QcfeigUR2Y/3H94z7tzpY7Z&#10;r+Jrd//TV7569/jBIlwqsVhDc+MdnZ33t3fcPdnCQ9HhDD8XlgBgYTmb6c9esgeHOrqCa7a/eHD0&#10;TWuGx2us7ag8VF2VK/rTqwuwKO043LLz+KnxG5NX19asX14vMZznguLBoHLwwInO7r5+NYOXxONP&#10;Pvmam14zzgnvfe9/KEsl56a395GHHw5dc/pM++h25uyVv/v7/8+Ej5YrdfQss1BUVd2aTm9paf1U&#10;JnNwUncUHc4guSHAYrP90LGSUWFiIOg7DnYJDAoSzfQAWKCKaUyuLUtduWJFWSJuueaVrq6+fc+d&#10;CiLCpw6e6uob2NXebVkWijkYPbztoQc/9sd3tJxsefzJJy04S1ws1rCy+eOnTt/V2XX/pO4oOpyx&#10;p8ASAIvSqpplZXWF47CBcxP8aT40MDDYX+BlWN9Af/aSf83g0FB3pm8BLcuuluHZZKMjxapkIuhZ&#10;Hnk7XKK4tqZqwjZnAC6JvoHBhw4c39s6XniRjMWuWtFsXPJ8EBQS7tx7svXMuZMdPVqMmdC53t5v&#10;ff971gFyltW9pyy1qfXUnZPqWW499flE4rJEYq0FnA65IbD0fvCVlU/tjmVFnBMKJfvPncsdd2f6&#10;Bocu9JH1ZDIDQ4PzZ006+zJBleK9zzyff30w2nhzU31NMnnT2hWKEwEuuedPd2599sg4jcmx0tJ1&#10;DfVrltVZq0siV0t48NiZ+ZYSRktLy6J57eqx7DdLaf4J5XGlqcA8lU5vaY7d0dL6nwcG2oq/1/GW&#10;jzU33iE6nNbLZ0sAMJM/VV8cSua/O1bsmIsac3WOA0ODPS+UMXb2nruEX86hjq7sJYgUS7ZfuFKY&#10;CHBJdPVltj575FjneFXzzVVVG5uX28pwLuXKCQ+c6Hy6retw9yVoRMgFguej0Ugkkj1IRqOxkYOs&#10;lDQQWBQSibUrm//qeMvHit/ucGiop/XUnc2Nd0QiCvCn+grXEgBc4h/Eheofcx3CjS8cBPHi+aHz&#10;A33DY+9y2eLcly4WDBOvaaxfW115bWN9sG2iMSwAM2vn8bYdh0+OU2ZYmUxsaGzUmDwHgorCnXtP&#10;PnXw1FyOLqmIjbx2GykSzMWCMkFgSYlE0s2Nd7SeurOnZ0eRd8lkDmbPb2z4sNWb4stVSwCwMH5e&#10;vxAvxssrLrxEfPEJQbAYFC3Ofaq4q6Ute8lvcw7KEm9eu1KSCDAdE5YZakyeA48+fuzZwx2797fO&#10;QUVhkA+WxuPxSCQxUkUoHATIiUTSjQ0fbj1159mz24q8S0/Pjs7O+6uqbrV6U3kdagkAFskP9BfX&#10;LeanioP9/ecHMkGtYi5SnO0O6BeVJY7ITxKvbazX3QwwoQnLDOsryjc2NpqYPOO6uvoe23Vi176T&#10;B1o6Z2+PwopY7HwkEolGg/rBRCwWefGGgwAU1LDs/dm3xUeHp9rvSqU22ehwKi8zLQHAoheNx0tG&#10;ShWCWsUgUgw6oIMqxWB+S2dvT8ls5omjk8RrGuuvbVy2trrqprUrgoHOniyAwIRlhslYbGPj8uVV&#10;ldZqphw91vnE7pannmt77mTnrvbuGf5dHGxBGIslotHhi4gQYHomGx3a6HBq5IYAS/vXwEiVYvA2&#10;mNzSWFIyNDg0lDkX1Cf2DfRnL7PU7xx0Nw8fjeyTWJVMXNtYf/PalZsb6zc3DW+Y6AkClqYJhyav&#10;rq1Zv7ze/JPpy2WFPzlyemYbkIdrCaPRZBAUSgkBZkHDsvcPDLT29u4p5uRM5mD7mbuX1b3Huk3u&#10;BaMlACAkEo1ERpLEeHlF/hjogXPdsxomdvZlth86litIFCMCS1DfwODW544cON051gnJWOyqFc3m&#10;n0xH0IP8413HZjArDMoJS+PxVCwWjUZTUZEuwFxobPjd4icsd3bdX1lxi27lSZEbAlD074xRYWJQ&#10;mRgMY+ns7cm+152ZsWINMSKw1Bzr7N767OGuvv6xTlBmOB2PPn7sh08c3XXo9Iz0IOcHhclYLJhu&#10;DMAcCyYsHz76W0NDPcWc33rqzpXNH7duk3gNaAkAmPrv6RcqE0teaHPOGuzrHRoYGOjr7c70ZQb6&#10;ZypJHB0j3rx25bWN9fZGBBaHHYdbdhw5Odatygyn5uixzgd/cnT3/tbvHGyb/qOlotHYSFCYiscF&#10;hQDz5SXJSHR49PjvFXNyJnPQbOVJkRsCMMOiyVQ0+aKyxPwksSfT1zfQP/2P0tmXufeZ57OXYG/E&#10;YMTKTSNJoknNwMLS1Zf5170HT3X3jnWCMsPJ2vbQwV37Tm5/9uQ025CjpaWpeDwSjZbH46m4odUA&#10;81QisXZZ7XtOtd9VzMntHXdXVNxiQEqR5IYAzLrRSeLAue7BTCbTn+nJ9M3IBOdgxMoXd+4tyeto&#10;vmntiuxb6w/MZ+OPQImVlm5evUqZYTG6uvq2//jQw08df/jYmY7+gam/+IxE4vF4WTwei8VsUwiw&#10;UFRV3Xqub3dPz44Jzxwa6jEgpXhyQwAuxa+fsvLsJVlSUjkywXmwv38o0zfQ19vZ2zP9cSsXO5pf&#10;KEW8ee2Km9eszL7VzgzMKw8eOL7r+Jj9s/UV5VetbFZmOL6gE/n7jx+azq6FuaxQAzLAwtWw7P2H&#10;e4va6LCz6/7qqltjsQaLNvELN0sAwCUXjcezl1xBYjBupf/cuRnpaw5KET/78M7s8ZrqypvXrrhp&#10;7cqb1640WQW4hMbvTY6Vlm5oalxRU22hxrJ3X9t3H3p+Op3IQQ9yWSIhKwRYHCKRdMOy97e0fqqY&#10;k9s77s6ebNEmJDcEYP79yh8ZtxIrKw/FiNOvRjzU0fXFnXuDdmYZInCpjN+bXJlMXLNqVVnCbnoF&#10;TD8urIjFEslkIh7Xgwyw+KTTW7KXYrqVz57dVlt9u5LDCckNAZjvQjFiflPzdPZGlCECl8T4vcmr&#10;a2s2NjVapZBpxoWJSCSRSJTF4+WJhMUEWNyW1b6nt3d3Md3KSg6LITcEYIHJb2puHBnWPNB77txw&#10;jHhuyh3NozPE2zautx8iMLP6Bga/tffgsc7C2/DFSkuvXNG8vMo/XVw0zbiwPJFIxuPpREIbMsDS&#10;EYs1VFXeeqbjqxOeefbstmW1v2yw8gTraQkAWNBGhjUPx3s1Ix3Ng7090yxFzM8Qg5kqt21cZy4z&#10;ME1t3b3f2nugq6/wP2/oTc4XjDr554f3TyEuHN61MJFIj1QXRkpLLSbAElRd9aaz3T8YGGib8MyO&#10;zm/W1txuxcYhNwRg8RjuaC6vyJUiDpzrHsxkus71dPWem9quiPkzVd4ynB6uuHntys2N9ZYamJS9&#10;re0PPn98rA0N9SYHurr6tv/40Dd+uH8Kk5GDTuSKVMquhQBEIuna6ttbT31+wjPPdv9Abjg+uSEA&#10;i/eX3MiuiMnq2vqZaGe+95nns5cSjczAJI2zoaHe5MC2hw5+/5GD3znYNtk7pqLRdCplyAkAIRUV&#10;t7R33D1hyWH2hJ6eHen0Fis25ksqSwDAUpDfzjzY3z/Y29NzrmdqGWJ+I/NNa1bcdvk6RYhAQX0D&#10;g1ufO3LgdGfBWyuTiStXNFemUkt2fYLtC+/bfbyjf2BSdwziQhsXAjCOIksOu7p/IDcch9wQgCVn&#10;ZLJKdaKyevoZ4vZDx7KXEkWIwOjXIX2Zf9178FR3b8Fbm6uqNjYvj0WWYpXclPuRxYUAFK+i4pZT&#10;7XdNOFi5p2fHwEBrLNZgxQqSGwKwpL0oQxzpZZ7afoj5RYjBToi3Xb5+bbW5qLBEtXX3fuOp/WNt&#10;aLhhecOaZXVLcFkeffzY93588F/2Hp/UvRKRSEVZmbgQgMkqcrByT8+OqqpbLVdBckMAuOBCL/ML&#10;+yFmus9ObS5zsBPiR7/zYDCO+d2br9DFDEvK3tb2rc8eKfzHd2np5tWrasvTS2pBurr67v+/+yc7&#10;H9moEwCmqbrqTcXkhl3dP5AbjkVuCAAFRJOpsuxlZC5zf/fZ3nPd7T3dk21kzo1jznUx33b5OmsL&#10;i9uOwy07jpwseNMS3NBwCgWG0dLSVCJRmUym4nHfTgBMRySSTqe39PTsGP+0TOagVuWxyA0BYALx&#10;8orspfKFzRA7u89OtpE518VclUy89fJ1N61d+daN62yDCIvP1meP7G1tL3hTfUX5VSubl8iGhsEO&#10;hnf94JlJFRiWJxJliURF0s9GAGZMZfktE+aGJVqVxyY3BIBiBZsh1ldW15eUDJzrPjcSIHZnJvGq&#10;uLMvEwSIvz6yDeJtl68TIMLi0Dcw+K29B491Fh70sbq2ZmNT41JYh6PHOr98z1Nb97cWPyLZ9oUA&#10;zJ50ekskkp5wOsq5vt1VJXLDAuSGADCl36Bl5ZXZS14RYnvP2Uk9QrANogARFoG+gcFv7N4/1ujk&#10;K5ubVtRUL/pF2PbQwXseePahEx1Fnn+hH7mszPaFAMyqdHrL2bPbxj+nmJrEJfqqxxIAwHTkFyFO&#10;bSdEASIsaG3dvd/ae6Crr8D/9UthCsoUZp6kotGgwDBSWur7B5iTP9cSgw3XDP/3xE8sxhJUXnb9&#10;hLlhyUh0mE5vsVzhP2YsAQDMlIs7IY6MY27vOTupLmYBIiw4bd2933hqf2awwIanyVjs2tUrF/EU&#10;lKPHOv/lO3vv2328yJZkBYbApVG19sjKnz4Tr7ny5AMWY2kqtlW5d7fccDS5IQDMvAvjmOvqB/v7&#10;B3rOdp3rmVQXswARFoRjnd3/+vTBgqFhZTJx3WVrFusUlMlOSVZgCFwSpam6MytvOlx+maUgldo0&#10;8VTl/gMWajS5IQDMouEu5uraZHVt3eDQQE/XZGcxhwLEd2++wpLCPLG3tX3rs0cK3lRbltq8ZtWi&#10;DA0nu4lheTKpwBC4FH+BJQaatjy97Pr8686Wr6ou0ae8RJWXbZkwN+zt3WOhRpMbAsBciEQjicqL&#10;2yB2d3e193RPNkD8yLcfeOvl627buP62y9dZUriExgkNm6uqNq1sXnxf8je/u++uHzxT5CaGiUgk&#10;mUzWlpUpMATmXmndhueaX9sTTVkKclKpTcWc1tu7u8gzlw65IQDMtXh5RU32MvkAsbMv88Wde7OX&#10;qmTi3dde8e7NV2xurLeeMMeWVGjY1dX31W/u+dcnjxaZGFbEYqlUqiJpawXgEigtbzrT9AqNyYwW&#10;izXEYvUDA23jn3ZObjh66SwBAFwq0wkQP/vwzuxlTXXlB2/YfNvl69dWV1pPmAPjhIZXNjetqKle&#10;NF9pkBj+46OHihx7oiUZuJSiicyK1zxTu9lKMJZE4rIJc8NM/0ELFSI3BIBLb8oB4qGOro9+58Hs&#10;5aY1K9517RUmqMCs2vrskb2t7QVvWkyh4aQSw2hpaTqV0pIMXELn669+vvE1GpMZX1ly4tEoAwOt&#10;FipEbghz51WV6T+6aXN1MvH3Tzz32f1HQ7delUquTCeP9vQ91dtnrWDJmnKAuP3QsezlI8nEWy9f&#10;967NV9y8dqXFhJm1FELDo8c6v3zPU1v3txaTGCYikap0WksycAmVlje1rLzlZKrJUjDxr63E2gnP&#10;yWTUG4bJDWHS3lBXtaFmuB9w35muxzp7WgcGirzj71y/aVV1efbgnde+JJQbZh/zjlteVpmKZ49/&#10;8WsPiA6BXICY6ero7D7b3nO2mHvlNkBcU1357s1XvOvaK/Qvw4wYKzSMlZZuXr2qtjy90L/AIDH8&#10;l73Hizm5IhYrKysrTyR8YwCXSiRR0bXixuerLi/+LofLLzu8+T9lD6p/8x/n7de1ui69dln5WLfe&#10;uGH56Ctv2tiQ/+6auvI1Yz/CUmY0ytTIDWFy3lBX9ck3Xp9/zdMtHY8db332dNfdLafHv+8VjRcq&#10;EYJ8MN+bXrIyd+XKdFJuCOQEU5jrBocGerrauzo6e88Vc69DHV1/vv2R7OUtG9fddvm6d2++wkrC&#10;lI0TGl532ZrK1MLujJtUYlieSGS/3lQ87rsCuIQGm35q/7Iti7Ix+fDpnuxlrFsf2Fegi/bj3xzv&#10;Aa9eWVOTvvBDe82y8jV1FyLFa1ZduL66LJE9XiLfOcWMRhka6vG/2IsWzRLApLzpJeHWvysaq4NA&#10;8Hd6++99+uA9z58omPq9qvJiJUJXb3/o1spksf9in6t2DPzjoZbiCx6BhSsSjSQqqxsrq+v7+wd6&#10;zp7q6ujOFPUPDPc+83z28pFvP2D+MkzNIg4NJ5cYJpO16XQsEvEtAVxCpeVNh9e88Uy8xlIU6cmj&#10;Zy6+s2+8zfuqyuKbRwLEXJK4Zln52mXDL2OvWVVbXbYY/sWomNEofZkD6fQW3zkX/+CxBDApzZVj&#10;lnxXpuLvfNlLs5f//uOnR29fWBm/+L/b3taOyX7cV1Wm337F2p956YrQ9detqP+PDzzheYGlIxqP&#10;R6trV1TXDvb19nR1tPd09w30T3iv3PzlaxrrP3jDZuNToEiLNTQMJp984cf7izlZYgjMB5FERfvq&#10;1x0uv8xSzJLOc/25esb7dh4dfUIuWAzapYOKxYXVFp2Ir+0pmWA0ipHK4b95LAFMSq7XeBzve8UV&#10;162o/70fPTW1SsCjPeEaot9cvzL7mAVPvryh2pMCS1M0marMXl6YoNJ6trOYe+1qafv1e74fjE/5&#10;4A3XKj+EcSzK0LD4WcnBoOTqVEpiCFxy5+uv3rniddbh0soFi6PbpYNtGYM+6CBPnJ8livFYw4Tn&#10;DA11e65f9GePJYAp+417f9jZP7ilvvrlzctClYBbVtf/p651f/TEvoJ3fPTYeKXRoTbnP7t2w22b&#10;1hQ88+mWjr9+ZLcnApa4YIJK1bLGgZ6uto72YvqXc+NTlB/CWB48cHyRhYaTTQxry8oipaW+E4D5&#10;INp5YF3F3klNQWEuXdiWcVSeeOOGhvwwseBcl7kUKyI3NFI5vGiWAKbsh13DG6Y+deTk/zly8qpd&#10;+3/tmvX56eFtm9Y8fuJUblhK/qaExfvN9StDoeE9uw/tO9VxvKf326c7PQVATrAB4orK6sH+/p6O&#10;00X2L+eXH/7hzTcYvgyBva3tu44X+Ee+hRsafvO7+/7bd/ZIDIEFaihztvzAv15T/njLyltOppos&#10;yEIxXJn44jAxqEy8ccPyYPPEOU4SY0XVG5qL8uJFswQwNUc6XlS9/FRv3+88suc3T3XmNxS/96c2&#10;3v3NH035Q1yVSuY/WlBdGISVAGO+7I/HK+sbg/7ljuENEM9OeJdc+eFNa1a8a2R8imVkKdvb2r71&#10;2SMF/m5emKHhN7+7764fPHO4e4JKZIkhMP+d7z6x/JmvNNZtONz4aqNRFqigMjG/0/nqlTVrlw0X&#10;JN60sWG2d0ssJjfMGhhoLfLMpUBuCFN0ovPc6Cs/u/9oc2U6VyG4qrr8VZXpIOmrTF78323fma7Q&#10;HQtuU/jOyy9WGj7d0vHBbY8bnQwUL15eUV9eUTc41H+2o6WjvZjyw+2HjmUvf77tkXdvvuJd116h&#10;/JAlaDGFho8+fuzvv73noRMTTGOTGAILy/nT+1Z1HGxuuObgsi090ZQFWeiePHome7lv59GPf3P4&#10;3WD6yo0bll+zqiZ7MOMxYixWP+FIZbnhi1bMEsDMum//0fzO4twY5Q3LxvsHscpUeMvYhlgs/3H+&#10;+pHdQkNgCiLRSLK6dk117cC57rNdncWMTznU0fXn2x/JXt61+fJ3bb7i5rUrLSNLxKIJDY8e6/zr&#10;Lz4yYWKYVZFK1aXTEkNggRnMRE/85KWn9/Y2Xv9M7eYi77S6+0D1c1/PHjy4/cF5+5XtOnKm41ym&#10;4E1nevqzt4b/bDvdfejUizrhRg8tWViC6Su5r2J1XXrzqtqgGnFGmppjsYYJc0NetGKWAGbWFPqI&#10;G2IX/0/MtT+/qakud+XWZ49pTwam+yu/rLymrLxqWWPx5Ydmp7CktHX3Pvj88QL/7yyo0LCrq+/z&#10;X370X/Yen/DM8mSyNp02KxlYuIYyZxOHt17T+sSZlTcdLr9scXxR16war9zkLddO7l9zO8717zpy&#10;ccbX9mdaX7g+k4sg53nOGPQ156oRb9zQcM1INeJNG5fP3rzmTOZgKrXJ/2IX/hCyBFC8/IBvLL+8&#10;6kX/BvJY58R53y3LqnLHufbnlzcvu/ggx09ZfGBGTKH8MDc75bduuFbzMotVW3fvN57anxkcDP+t&#10;vHBCw+LHJUsMgcXkfO/p6ue+Xl219sjKn7bpYUh12YtGGI9fr5crddyZPegZ/gfmB/adzL49eKp7&#10;eFby/BCUIt65dV/JyMaIQRHipDLERPyy3t49458zONTtm+fi30KWAIr38qp07vh4oQLAV1Wmf+36&#10;i/MEdhxuK9hcvKGm8rHOnuCmN9RV3bph9ehzKpOJi4/T1mHxgRn+C2CS5YedfRnNyyxWY4WGw7+y&#10;mxoXRGhY5PCTilisoqIiFY160oHFpvPgqs7/09z0UzY9nLJcqWNevHhV/glBjBikikF/9Jme/ieP&#10;nrlUn3CwMWIoQ5ywJDMSSXuuJ/eqwRLA1JzNvGjXiatSyXdeviZ/R8Ksr+x+PnecP/nkfa+4In9Q&#10;ckFbVtfnjp/q7bPgwGzIlR8WP3w5v3nZ5GUWgb6Bwa3PHS4YGl7Z3LSipnqef/5FDj8ZTgzT6VQ8&#10;7hkHFrHoiZ+sb9010LTl6WXXW40ZF+SJo4sWg27oYPvFIE+c+xLF/AzxzZtX3rix4S2bV87qaOal&#10;Q24IU/Ty5obf7BsuGGyuTG9YVn1FY/h1xae37/r26YsNgKMnnwDMH8Hw5dr+/p6O021nuwaGBsc/&#10;P2heDiYvf/CGzbY+ZIHqGxj8xu79p7p7R980/0PDIrcyTEQiVel0RdL/pMDSMJiJHX1oc+vO9tWv&#10;WzSbHs5zuW7oUK3friNnDp7qzoWJc7aR4n07j2Yvv3/346vr0tlPKXvJzzqjkYnDxN6+3Z7WHLkh&#10;TNEVjQWywsCRju7/+qPd+aFh8Y6bfwJcOtF4vLK+MXvJdHW0dbR3ZyYodg4mL3/m4Sfeevm6P7z5&#10;BlsfsuBsfe5IwdBw3bJl8zw0/NuvPD7hVobR0tJ0KrUsrSELWHKGMmern/t6TXlTy8pbTqaaLMgl&#10;cc2qmuwlP0w8dKr70Onu7c+0zk2SePh0z51b92UvVWXx7Kfx5s3DGWIisdZTMylyQ5hJXb39f//E&#10;c/94qKXgtoY5T7d0nM1c3Ers8obqXDViwdzwqlRSq/IC9Ya6qk++8frsN8ZHvrsjfyh2Qyz20rKE&#10;MdnMW4nK6hWV1UXOTunsywTNy7Y+ZGHZ+uyRA4X+ka+5qmr98vp5+2k/+vixT3z1sYm3Mkyl6tLp&#10;SGmpJxpYss53n1j+zFca6zY81/xamx7OB2uWlWcv+dV/uZrEB/ad3HnkTOe5/tn4uNmH/fKPDmQv&#10;VWXxf3tF9Q2NV924+SlPR5HkhjAJG2oKlNIc6eje19qx71TnvjNdY9UYXpXXwdfV2//27+/Iv/X3&#10;rlz7zpe9NHSXp1s6cvWMP72i/qn9R63/fJB9Kj/x2pevqi7fcbjt0WNtj7a2j5/9veklwwFKZSq+&#10;Mp0qeeHMN9RV3XHLy7JXfnr7rv9z5KRVZf7+lTAyO6Wytj7T1XGi88yEzctBenjTmhUfvOHa2y5f&#10;ZwGZz3Yeb9vb2j76+uaqqk0rm+fn53z0WOcX/unx7xxsG/+08kSitrzcuGSAwPnT+9Z3HBxsuOZs&#10;+SqrMd/k1SQOz2A5dKp755EzsxcjZh/wrsfa7irZWPPdl7xlbefrrjn68o37PAsTvCKwBDBln96+&#10;a0dbRzGVgCvTF3PDva3hncu7+i4WJ+bqEB873prLDd/3iismzKeYG7eta1pVPbwjxpbV9cHsmiMd&#10;3d98+vBYRabNlRe2z+jMayXbUFMZVJhWJOx6yQIQjcfL6urX1Y2kh+2nJpy8vP3QsexlTXXlH958&#10;vcEpzE97W9sfOlBgW8DKZGJ+hoZdXX1f/eaeL/x4//inpaLRmvJyw08AwgYz0RM/qY7ushLzXFCQ&#10;mB8jbt/XuutI+/ZnWmd2cPOZgegXn6vNXl6Svvzfbjz1+pc/19ygnqMwuSFM0Y7DbVOrFOvqy4Su&#10;aa68uPHQ8Z4Luyzd8/yJ/CLET75+y+gO6Nsb615aN1wC+WhL+9S2U2SyNiyrCV2zqrr8fa+44p3X&#10;vuQLjzw9+lsiF/4e7SmQL+e3q8+UX161/OXNy7IvfR891vZZZarMqERl9ZqR5uUzHWcmnLx8qKPL&#10;4BTmp7bu3q3PHhl9ffYn53WXrZmHn3AxjcnR0tLa8nLDTwDGM5ixBgvLmmXlvzQ8E/mykhemNm9/&#10;pvWBfSdncGPE53rin3q8KXt5/fKen93U8sYbHrfsIXJDmAv5Dc77ToUDvvzcMJcuPdXb999//PT7&#10;XnGhVKcyFc8eZy+5vRGbqsqCwresd5aUfPvvv2ed50B22YODrc8eO5sZ+On1zUHlYPbth266puLH&#10;T+dHdQ2xCz9ju3r78+tSNyyrCg5yMXHOG+qqbl7dmPuWON7V81+fen787TLz/dm1G27bdOFF75bV&#10;9dnH+aMnFN4z0386lJXXl5XX9vd3tbe193SP37ycG5zyWzdcKz1kPujqy3zjqQJVe7HS0mtWrYpF&#10;ovPqsy2yMbmyrKy2rMxWhgAsYsHU5pG9EYdLER/Yd3JmM8Tvnkx/9+S6v3xgzX+8uvUtrzzf3GjJ&#10;X/gbyRLAJZffrJqfLn12/9HmynQuBgoUHOL8dEuHZZwbuaz2K08f/GFXT8NTz//CmsZ3XvuSID18&#10;3yuuyN/m8uVVF+K/UHN6ZTIRHDzWebH3/KpU8kNbrgh6n/PtO9VRZGXr7125NvTdkn132+EWtajM&#10;hmg8XrO8uWpwqK/j9IRbH3b2ZYxdZj7oGxj8170HM4Phb9dYael1l60pm2d7RxQzMbkiFquprLSV&#10;IQBLTS5D7DjXv/2Zkw/sO3nvE0cPn57u1l5nBqIj5Yclv/jKh3/plZflj3BZsuSGMEWPHmubqYfK&#10;RYFdveGu1T96Yt/jJ06996c25uKq0bY+e+zPH1NTNteC7SZbBwY+u//oo63tn3z9liA6fPumdd9+&#10;4IngnFydaWhMdi4pzhUSXpVK/s2tr8iN1Q4c6eh+7Oipb544Xczn84a6qqCx/emWjg9ue/wX1jQG&#10;xao3r26UGzJ7ItFI8Vsf5o9dlh5ySWx97sip7t7R11+5orkyNY/mbD76+LH/fs+uXe3d45yTiESq&#10;y8vLEwlPKwBLWXVZ/C3XrsxePn77yw+d6r5359EHnmm9b+d092sK5i/fuKHhF1+57pdeedlSXmG5&#10;Icwjo0emZN3dcvrub/7o9sa6lzUt27CsOhcy7jjctu/UmR8caTUvZc68oa6q4PXZp+BjP3j8k2+8&#10;vmSkO/iqVDI0LSeUG44uGr3j1dcEoWFXb//ojSyL8fZNF2bX/s/Hn8ne99EXhoTmd8HD7Am2Puzv&#10;Pnu643Rn77nxT5Yeckk8eOD4gUL/jnJlc9PyqvnyfdjV1XfXP+/88hOHxz9NYzIAjLZmWfkHfmZj&#10;9hIUId638+i9TxydzlDmB/a1Zi9/ed+Tv//mq5dseig3hCnad6ar+JMrk+P9v/Z0S0cQJI1Twzic&#10;HractuzzxJGOcA3It093fvKF46p4tGSknOW6FReajvPnn1z1wv5uOw5feLp/edXy4Bugq7f/I9/d&#10;MYUgOPuYueHOQXVh9kGyx6uqy2ewMBYmFC+vaCyvWFbc4JQgPbxpzYo/vPn6m9eutHrMqr2t7buO&#10;F/h52FxVtaKmep58ktseOvjxrz+hMRkApilXhHjnu0vufeLoNAPEw6d7PvB3Dy/Z9FBuCJPQ0n2h&#10;iObplo78nekmlD+Ed3Tg+Pbv7wgK2fSTznNV8Qs/M090hsup8ksRRwd/+fNPttSHX6D+wub1wcHH&#10;fvD41KpHf/qFgHL788dzV/6Hb+94aVlCOSqX4G+LvMEprWcn+LG2/dCxf/PFr0sPmVVjDVCuLUtt&#10;Wtk8Hz7DYuafaEwGgCmYqQBxyaaHckOYhLtbTpdv39XdPzDl0r+u3v7cxOR8EsMFobG8rOD1b6ir&#10;uuOWlwXH9+w+lLv+8oYLEeF/euWmDU9faDp70xWrL3wz9GWyb19VmQ42r8yVCk5BbkDzoy3tuStb&#10;BwZauwbmZmX+543Xblld/6fff0xVLDnB4JTK2vqejtNtZ7vGH5wiPWT29A0MFhygXJlMbF6zaj58&#10;hv94z56/fWDf+GWGGpMBYJpyAeLf3fNn332q+V8OT2WXkiA9/Nz3n/mrn3/ZEpmaIjeEySlysm3I&#10;/fsON1WVne0d+OtHdod2vmMhqkjE31BXtaGmsjIZe3lzQ26/wqdbOv7rU89ffJn3wpyTVdXlwZSS&#10;fPtODaeE1zXUBu/mlwpO1pZVDcHBpMpgZ0quS3qsXJWlLBqPV9Y3ltc2FDN2WXrIbPjG7v0FByhf&#10;uaI5Fole2s/t6LHOv/7iIw+d6BjvN04sVlFRkYpGPZUAMCNu3PxU9vK73f8/e+8C38R55vvL0uiu&#10;kWxdLNuSZexgYzA3OxAgGELYxJtAaLa7FMq2TTbLBrYhPWGzhxy6uWybkC3ncJqSf0LThqQtTQIN&#10;YU+akJiGpOEaLrGCb7GxEdjGF8m2JNvS6H7zf6RXDLJulnyV7ef70cefVzOvXo3f0Yxmfnqe58c/&#10;qZ77Xn3WDRsz2RG+7RpYv//0+oWKvRsXqyT86T1doBsCwESAvE1gHqY6lMdIsVyEXFBCQcbWlJ+J&#10;DEvoBEvVvrzeR4x4wyiBMqqbygqcVybLCPVaIZdsLs6r1hkpHTzSyyVx5or48NkA4oNsl/NEYlAP&#10;gQnm1PXoBsoLc5WTbqD8h/drjl5pjxNmyEhLE/F4wlQyegYAAACAaYOAb/37e9R/fw+t+lrhX+sV&#10;797ISHaET+v8ic+715U8sbZIxGVO14kC3RAAACBRonoTd5qs1V3Gsx09YVnGpcJgZ8LhfvFMDdko&#10;TPdHwlOBh6jSJVX70uweYU7xRrkYNZp6okSsVIiFSOLssdqpJOLNxXn3zs4hH4eO/JV8uqNAQW7V&#10;kZrre6/eHMEGUGGGlInzo8rMbJz7tqYrWVdoYHqD1MN8sdRFmLr7jU5PvMoyoB4Co6dZ39+s749c&#10;Xpgpy+BPptd8s8bwqz99U99vjdOHz2JJBAJITAYAAACA8aa0SEM+/tXK//CrhX++Jkk2/HBvZcN7&#10;l1p/88hd0zVtGXRDAACApFF3GK5oDZoBIk5FQqQS+jt36lE39HddcS4qaBhW6ZLsn2x9w91z87Ys&#10;nk09LZaLdhQoeqz2qyYrFTy47o6g4BKqS2bjQyIEV8/y2wIEFEy/bijDsK2FioeK82gBq5Zhtwq9&#10;nHC4kQfLo8rMp1ct8C9xeg60dMGnBYiEhYtUuAjUQ2BcMVgdX0Wr/5AtFKok4kncsD+8X3Pwcku8&#10;A4ROFwsEHCYTdiIAAAAATBgCvvVHFRd/VEH77OvFx2qyqwaSiPfv6LOt33/6x/cW/nT9/OkXeAi6&#10;IQAAQKJQPidXtIbEFTFUx5BCeSurF0l75FCoOOC64txkVTYk7YWCghkJh3v7icto/Htn56BVofIf&#10;VZAx9KkuoPqtwHnPrVpIbeTqXHlU3bCEw1bw2NVmW6mQh16u7tSjVdaAQEluA+U/DgBRAfUQGD+c&#10;Hu9nzW2RZQ1xNmsSDZQTCTMUcDhiHg/CDAEAAABgsvjbu2rIR5fr1V982nBeo0/8hW+c0nxS2zX9&#10;Ag9BNwQAAEgUqowgSjGOT1mOFDUsrtuCyIpbmc7qDgNqnNYatgUaShF/z6LCVxtaE8/t3fWFenNx&#10;3hKljNowajuFTAbNEeXtaCGFFztN/nvXCnHQi1lH2Mj+++5bEjpaWGo2KoxIaZGhUPKov5pnIP0Z&#10;ABJhBOrhvoryhXIpTB0Qh1M3Ogln+McJS0tboJw0A+Vhwww5DEY6nw9hhgAAAACQCpQXZn66M/O8&#10;pjcp9RAFHu5eV/LT9SXTZipANwQAAEgaIplahDrb7ZL8Cl4w3B0F99ECUYdHaq6jdOMN81RrCrLV&#10;nXqN0Uw5Nas7DFvP10Yd+SJhu1h1dYfRjMIMT13XVt7oKkzHLa5gyjDODJ7kNcYB6lX3SIJCoUbv&#10;r4dI5VOX5Ui3LLoD5zAJh7tZb0JRkKEvpBKQo0IVN0S6ZKj6+Xb5IgGL+eTZGih3CMQiKfVw+VtH&#10;f7hwzrOr78oT4TB1QCTqjp62aIHSC3OVXNYkqHKJhBniXK6Ex4N9BwAAAAApxcjUw72VZOfew9vL&#10;p0fOMuiGAAAASXPxluoXhywhN3IhZSGiCxkBuZEg6RDnMJFjSfxxQim8pQNW3ug62WcOTSumNEHC&#10;eVuwmy0OLkQRglREIRIKO03Wfzqp3qSSo6c6IphrvFEupkRDJCzSAonbKDiRKm5Idtt593yyQSVK&#10;k0vQUKVCHrVtjyozBSzmFX1/IjMJzBwSVw/frWsmH6AeApFozVb1Laf4IafKSfJCOXr86h/Oa+KY&#10;JvvDDHGc/Av7DgAAAABSE6Qevnep7RefftvRl9D9y3mNfv7zn1TuvHeBMn2q//ugGwIAACRHaM5v&#10;HKgSgaFCXo/V3mmyitis09ohg+y9evNKT/+6OxRhKcCnrmsP1rfEfyOczUp842UYRlVFRNtQqpBQ&#10;awmHe8+5Or3HQ2mRakPQoxmpgSTHG9ufq9Wg9ka5+Pm1pbSQ4oaP3VmElEQFj410w8VZwfGrzf6v&#10;2Aqx8Knl89DkkFOxvvISfKKAMEagHu67v1zEYcPUAU6P9y9NUXzhpQL+xHuhdGnN+9+tutBtincC&#10;hzBDAAAAAJgi/GD5LPLxi08bfn3qmtnuHrY/2af8Fyd//aO7yFdN6X8cdEMAAIBE2fVZlZCJHevp&#10;S/wlTT1D7hj9tf9iKGXBUMGqq1TBwWqzLZHEXiogMY7xsb/YYsB05amSfKTrnbqubXA4SzhsSt8k&#10;HO5dX6hRAOASpYwW0PWomEH0KnWHgRINSfi386D9b70C51GCILUxhRIRGpz8X8Iynam3ppBhWKmQ&#10;h1Kt1QYT5QoNzECSUg8/bm79yV2LnrxrIaiHM5zPmm9GeqGwMaxkwr1QKr/QvP75VQgzBAAAAIBp&#10;xk/Xl/xg+azdx2o+rUvI0/KJd75uN1qndLlD0A0BAAASJY4wF8lLX1bL+dyj7T3j+i60aOobBWW6&#10;siRXev67q01OF9X5/UBIzhLpbWPlg1VNF29ZKiOVsLrLiFZR6dVXhoZJZuPB5cgo5p6A2ui/YW7q&#10;QA0ZhiG35Wa9affcPJSLHRWy51Ml+RvmqUIXqjsM7ze2JjshwHQiQfXQ7HS9fK7qta9rQT2cyag7&#10;erTm8BqCWFraolwFRp84eY4gnL/83eXPb8aLTIcwQwAAAACYuqgk/MPbV35S2/Xjd75OJPBwb2VD&#10;e5/1jR/dNUX/XzrscgAAgPHgWE/fgZauCXACIRz+76pT17WRqxoczlfO1QdvUzlMSjQkFyKJEAUD&#10;opcfulURrEyWgRq6iOKDOHvIr02l2UGhsMvmDH1KZWFTHixLcqVINDze2L7rsyq0kArGXIHzPtxw&#10;d5hoiF6172+XJjgPFWIh+ViBw634NMSvHqoK8mRZbCxebWmkHi576+g7dU0waTMNg9URvaxhlhzn&#10;cCZsM67UaDfv+SyOaMhhMLLS00E0BAAAAICpzkOLFN++9ND6hYpEOh++1Pbjd76eov8pxBsCAABM&#10;bbafuLwmRxpWMJHiUGev+sPzG/KzCiX+irw6wna2o4eK4EOmKITD/XL17exjyikFRRHSQrySHyrO&#10;O9Opp8xMUCwhLSBQlnDY6GlTz+38Yqq4IQLVRtwoD1YZq9b5qyLKMGzffUsof5WDVU06m6NMnoF0&#10;RqSKxmFHgaIsR4qsVxDkBoB387QExR7a+wzd5gGPzxurW7uJ2H78y5fPVu27v3zDnHyYt5mA0+P9&#10;rLktcnm2UJiTLpqYbSAI5x//X93h2o44fSDMEAAAAACmEyIu8/D2lb8+de0XnzYMG3h4+JL/WmUq&#10;Rh2CbggAADC1aXA4G1q6hungt2yO4hVwRWuYIxPt+kIdqrJRuiGKIqQF/KNPXdfeOzsH5zD33bfk&#10;SO2NAy1dVB1GZBRDpTwjNRCxpuB2TTHKUIUSE6/0+OXITSo5Eg1D9b5sXjA+iHJciQq5DduWFYct&#10;LJaLnirJD63DCEwnuGJpnkjsNPUNqx5uPnZilSrn2dVLV+cpYN6mN6dudBLO8It1nM0qys6cmA1o&#10;1hh+9adv6vutsTqw6HSxUAjVDIFUwDc46Lr1pe/yet0+X3C5z5c2tDyoJeTaoBAmDgAAIAZP3Fu0&#10;qjDzX//49bddA/F7TlHpEHRDAACAmcuBlq4DEZrjK+qmNVrpFX1/qC3Jy9WabJxfLBfhHOa2ZcVb&#10;Ft1hcrrQKiLQKM0OqoHX+4JRilSdRNpQQxUkJhIONwp7JIdCy/dXNVLypYAVfCFyXIlFl83Z1GOy&#10;uNxXtIYeq13O5yIZ0f8WY6cbbpSL+UzsULQUSGBSoDPoCaqH59q1D7z70SpVzpvf+Zs8EQ5TNy1p&#10;1ve3RauCOjcne2LKGh49fvXVU1fjdBBwOGIej56WBjsLmBgcbr+MjjTBwcFBWuC71eXzuW5JhAAA&#10;AMDYskCZXvlv9/74j18Pa5YyFaVD0A0BAACAIUQNYNR7PE+erdlaqHioOA/nMNEDrULS3pJbpihX&#10;TcGIG6pOYqfJuvtSA2pTYuLpFl3o01PXtRdDyin6DaADUCnSsTZ185fq0CWrZ2UjcTN04Y4CRY/V&#10;npQRNgW5hc+vLSUbus+qwKElpUDqoQoXEf0GvSXerjnXrp37+js/XDjn2dV3gXo4zSCcrq9adZHL&#10;CzNlE1DWkCCcL75x/kK3KVYHRlqaDCdPSEzYU8CYg8IGvYODDo8HhQp6yLbXCzMDAAAwKaCc5d3H&#10;qt84NUz4wuFLbQuU6U/cWzRV/jXQDYFpSIVYWJjuvzPUDBDVZhuUOQOAMYE8lPZevfm2puseiXBx&#10;loSyMSEPNPKgowoUUlGKlPa351wddRhSYqLG6L/TxpnYradDdB9Ur5Ac7WKEN0soMgwrFQZKNLo9&#10;ZE/yqYDjH7DTdDtbcEeBYtuyYnKoYx+eHcF/TZlEA6kJg8lMz8zGM6TDqofv1jV/3NwKhsvTjL80&#10;33RFCCVSAV8lEY/3W1+p0T53RG1yx7zG4LNYEoEAwgyBMcHhdnt8PqfX6/N603w+C1zcAgAApCR7&#10;N5YuUGY8MZwFyk+P1Yi4rB8snzUl/inQDYHpRoVYGGbA2tRjqtbpr/cRI4s2AgAgFL3HQx5K5KNU&#10;IUEGzdVmWybGQFLd0boWqqfGOLAkV0p5NyMKbzks62wOWkDvQ0/XFecebe9B8uKjymBJsjjFDWUY&#10;9lRJfqQFM6K6y0i1yZHJv12m29tAjo+yql+u1gz7u8Kq/CFZ1UBqgtRDAS409hvNDnusbshw+bWv&#10;a/dVlP9oYTHM21RH3dFjtDrCL23T0koU2eP91gcOVcWxQGGkpWXw+QI2yNPACEEqoYP8hvJ47F6v&#10;d3AQ5gQAAGCqgNTA3ceq4zulkB0WKtMXKNNT/z8C3RCYbqy7I7z+fbFchGxedzrcnzTdPN7aHVq1&#10;DQCAkXGuVbdl8ewjNdf1Hg/5WF95KazD3qs3914NN2Op1hlxNktH2JAMd5GwdZqsShGffHy44e4j&#10;tTd6rPZNCwtQ5zjFDfcuLwn1UA4DBTPSAlnGSNxES8inz61aiJag8Q/EtZSpEAtRZ/LUAXt8ClzT&#10;cPlyLl9itw6rHiLD5Tc3rAXLlKmL1mxVR6s6ujBXOa5lDbu05pfevhjHAoXDYEiFQoxOh30EJIjH&#10;5/N4vVa32+f1uj0eqEIIAAAw1fnB8lkLlenr9p+KIx2Sq7b89vxX//G3Im6q1zMB3RCYbmTj/Fir&#10;cA5zy+LZ5OPNy03xxQIAAIYlqiw4LIc6e8MMRvacq9t33xJUMDHMHPm01hB1kBU4D4mGTT2m/VWN&#10;ZrdXwWMXpuPo5YTDTb1FaFo0Slgeck5gh38JlnDY5FBdNif6dYH6HeJ4azfs8akCUg8zCFN3v9Hp&#10;iXmt1m4ikGXKvoryhXIpzNvUwunxnroeJdwvXyLJ4PPG733PXri596PaOLnJOJcr4fFgBwHxQaUJ&#10;rW73oNs9ueGEQi5zviqDerqyeIgFea6UnysJXlc/8/hrsOMAAAASx++UsvPe+NJhR5/tx3/8+vD2&#10;lal+dQ27E5hmoNDC+GxbVlyWI919qQFKHwLApHORsG0/cXnLHNWaguxQP5NOkzVWaDBVFRG9nBYw&#10;SKGWhMYGrp4VTFfctLAARQ6ifGrUJpzBM4AMwzap5OuKc6lQRFpAlETnE7IBQcpTDhYuUuEip6lf&#10;22+Mb7i8/K2jYJky5VB39hLO8KtwnM0qyBwvCZggnL85fOXPzbqYHzk6XSwQgAUKEAuH1+tyu50e&#10;j9vtnrCIwrvn+HXAXClfJfV/u83PTRfyWP6GKl0UaAAAAADjxwJl+t6NpfFrHX5a1/XepbYUL3QI&#10;uiEwnfnXTy6a3d4lUlFptuTe2Tmhq5bkSp8i8p+r1cAsAcCk0+Bw+g/GWs0KnPcviwpRLOG51pj3&#10;5yf7zJs7DGS3Yrloz6LCVxta9R7P6lw5WkvFBpKjUT8kIEHweGM7+Ubvr11CCyxGZs0yDHt99eLI&#10;nxyoJZXX2mEfTVHYoow8gchp6us2D8RRD8EyZWqhNVvrdeHByFha2tyc8Spr2Kwx/OpP38TJTQYL&#10;FCAqDrcbBRWOq42JUuKXBZE4iCIERbwhUYQAAADAZIEEwfjS4e5j1asKZSoJP2X/C9ANgelMMBAp&#10;kBdZUt/y+IKCUPVwwzxVTbcRzFIAIKWO2eeEXNS+0tMfp+dbtRokL5IHcqlCcq5VhzxSjje2U7GB&#10;YVbIr5yr958KOGwkCHaarMiCOVQ0VHf4xYgsITc08LCyG84SUxg6g84VS1W4KL7hMrJMeaeu6dnV&#10;S8EyJZVxerx/iVZvNF8mxTmc8XjHyi80r39+NVZuMiMtTcTjCcfnrYGpyLhqhUginK9KzyX/5maA&#10;PggAAJD6/GD5rPrO/jdOxYxYMtvdu4/VpHK2MuiGwLQFZSNSNDicO6uu7jCaQwucPXZn0bGhZg4l&#10;HHaKJCQmuyUyDFuXJV49K5uq+/Z2zbUwB1hUuw1sYYGUZaNcTGUTx/+gXiRsr5yrf3xpMc5hki/Z&#10;sng2Wn6k+XZs4EPFeVQbiYZkY01OMI2xsslfHG2TSk7JiHvO1VHWz7vn5qExT13XQkGDaQAyXMZF&#10;GQZjbxzLlHYTsf34l+/W+tVDsExJTU7d6HR5w0NHM7gclUQ85u81bG4yh8FIx3HyL+yXGY7D67U6&#10;nWOuFSKVcGVxJsovDis+CAAAAEwV9m4sbTfaPq2LabFArvqktuuhRSl68Qm6ITBt6TZHuTM80NKV&#10;jfNQXBItkLq4AuchpaCEw/7tg8twDvPUde3OqquJvAWqiVYoEeJsf40YHWHTGE2Hotk7RlIhFgZv&#10;S9weSqpAJLslaDO2LLojtDZcsVy072+X0j6rosQX8h39S2i0sprrI7CzAIAxZ8+iQvKooUyKyINx&#10;593zUftoXcuwLyePtWsmS6g/cmiw4Ua5mDoiKNGQZF1xLmog0xWqAOLvv7kWeiQKWMHCT+fbexI5&#10;AFFtRMLhVnfqK290gTqfmjDYHHmOSmK3avU9cSxTzrVrH3j3Iyh6mIK09pnbIg6uQIZyzpi/17C+&#10;yXw2W8LnQ27yjMXj8zncbrvLRf4dK2OTu+dkUrGEE6MSGgxtLpct5GPfENbB5bQZjG2wuwEAAEbJ&#10;G4/ctfK/Puvos8XqsPtYNeiGAJAqfNrSRemGtBCDhTU5UqQy+HOZh6p1JRy2kMkIU/c2ysU7754f&#10;KtUhNg2NWgqDHCrS/4FwuE+36FCNtmS35FFlJgq5ivp2WxcXnfxSHZRLbjnDFkrSabTbuuEKnFcm&#10;y9AMEJFKB9rabJz3Vq0m1n8EACOjQixER+K64tzKpg6cjT1UnIc+yaeuaxPU38mP5T+dVG9Sycty&#10;pBrjwNua2z/iLc6SoMaRmuvUaOSnHYmM5FsghZHKUA4rWUAepOjYjF/KgBwQmUEHzyccJnnYkg9Q&#10;51MZjMtXqQpchKnLqIeih1OIgIdyZ+Tywiw5lzXGbiTxfZMZaWkZfL6ADZ+KmYjD67U4HB632+H1&#10;jn40JBTOV2XMz00f24xjShCkpECttjFsFQAAADBhiLjMI9vLy39xMlaHjj7bLz5t+On6klS8eIb9&#10;B8w0YulfZTnhJoxINStVSKjEyWe+rEZaw6PKzKdXLYg6Dtl5331Ldn2hjnyjHQWK0CxpCpzD3DBP&#10;RcUqJrUlYaJhU49JR1ipMo7FchEVUFkoC+ojc2S3/R/2LCq8raKGBCfSAlFU/2dtKXpHHWG7CB4y&#10;wJhSbbYRDjfKMg49LsjP8MvVSXzY9B6PP2KxJXrY//HG9lD9rkwWvCur1hlRgzya0IecOlJoIbGK&#10;6k59nLcOFQ3J/+WTppuFknRUKGDL4tnX+wgon5rKsHBRHg93mvo6B4yx+kDRw5QiaoayVMDPSReN&#10;7RsdOFR1uLYj1loOgyEVCjE6HfbIjMLqctlcLofLNcrQQqXEX50wkHo8BhGFSApEyqDR0OZ02ZxO&#10;q9EIv1oBAACkIguU6bvXleytbIjV4denrj2xtkjEZabaloNuCEwrZNjwH+lHlZlh4kVUOWB9gSI0&#10;LJEWEATX5EgbWroqxMJQ0ZBwuJv1JgGLSQUu4Rzmc6sW/tNJdWhZtCEKXTSycW6yWxKmjxxpDiZp&#10;hpZxLJNlIDWEyuUktxY1ds/NCx153R2KUN1w7/IS6iXZOA8+XcDYQh4du75QU+7J6FA6UnvjQEvX&#10;mIz/XK3m05auMPmeEuWvmSyoUdnUgQ6WnUvnXT9bg45ZKlaRkhejQr4EiYZNPaYng6+9Sf088L2S&#10;Ako3RAqjyekKOy0AkwuyTCnARf3G3n6bJVY3qujhvoryhXIpzNukECtDuUQxlh7KBOF88Y3zF7pN&#10;sTrw2WyZQAC7Y4bgGxy0uVx2l8vqco1mnJJcv1C40h9amJEr5Y/ok6knHwa/MmhFWiEVPAgAAABM&#10;IX66vuS9S62xspXNdvevv7yWgiGHoBsC04pS4W15S0dEFwQfX3o7ZkTdYaDu4SnxguQ3D62IctHm&#10;cKOCaFsXF1ELjze2U/nFFWLhC/csRjqCUsRflyWmsiN3DNX+Tl3XoqJpDxbmUu9bmi2jBQKjEt8S&#10;kv0XvpXzueTTUBOVo+09UQMbQ9koF1NWEojQtGhyg0M3AwDGg4uE7eL5WvKoROUCqs22sdXUImN+&#10;X1E3rdFKe6x2ahV5sKDaoMVy0eurF794ob7X40VJyv5ThCGmfEAe7+inAvJ4vCUa+jnQ0kUNSHX+&#10;l0WF5BLyMZvL0hOj/R9DQyOB0cNgMqVZinS71dhvjGOZcq5du/ytoz9cOGff/eWQtjzBxMpQnpuT&#10;jdHHzJPkSo32uSNqyE0GxkQupLTCu4szRTxWUq/VahvNRC9B6I2GNjP5F+IHAQAAphG/eeSu9ftP&#10;x1qbmiGHoBsC0xbL0Ks9lOobFrj3fmNrIkM19Ziqdfrjrd0NDuejykxKDug0WSnRkORkn7mw9gYl&#10;2JVmS5BuSL51qIp3vLH9uVs5v3I+l5LnQlWGRLYELYmaCBmqn0ZCOF0yDKMMKMJmiRy5QiwcVnYE&#10;gLFiIiUw8uMdFqiLwh5RujF5DB7+bjl5XCP1n2zE8TQvTA/aZRypvREmdzbrTaGyO3lYoafkgKP8&#10;Z8kj9/XVi8ntfPNy01gFZgLB6yEuX87lZxCm7n5jHMsUqujhs6uXwqRNGLEylDOFY+Zac/T41VdP&#10;xTQiA9/kmcDo5UKlxO99vK5UkZRWaDC0GYxtBKHXahtRXCHsCwAAgGlMeWHm+oWKWN7KqRlyCLoh&#10;MG0pzZbtcPpv5rNxXqFEFKnKvXKuPr7nKXmTf7SupbK7L1QUKM2W3L7NqGsJ0wuoUCOyvUQpQ+F7&#10;G/KzqA7qDsNzMQoFkm+X1JaEUiEWIhWD/GfJR2So4IqQRGON0bx3eQmljHSb7VR/BY/d6/G+cM9i&#10;+PwAM4eLhG37icvU7wpUev65Vl2cV1Epz5oBInS5DMPQAUU4gtoTOTJqWByeHQUK6oU6whb6w0Po&#10;oRpLXiSPXHQq67HaYceNByxcpAwUPew2D8SyTKGKHr65Ye3qPAVM2ngz3hnKBOH8zeErf26OebyD&#10;b/K0x+J0jkYufKBUEZALlQnmIGu1jaFaYUpNBZeDcbnht4dCIQvD6OQ1I3xUgOmBSMg2mZ0wD8Ak&#10;snfj4li6Icl7l1pBNwSACYK8u44VweePE7zUGCoaVoiFQ+4iHO6DVU1RHV0pyxGSqB2oUCPKrmRV&#10;/u17m1fUTbE2uNtsT2pLEBvl4sfuLKKUjkiQvkDZRvtVjFvKJsmec3VlsgxKNxQy/dFMlM8D1e3K&#10;rbRoAJiWNDicz9VqjjS3h0YlX+8j4ryEqoRQmI6Hnkw2qeSogTxVZBhGZT1HnpQELGxn4NeFPYsK&#10;w2zWQ2sgUKcpKm4RHFfGD1T0UJVA0cMH3v3ooaL8fRXleSIc5m2ccHq8F9q0kcvHKkO5WWP41Z++&#10;qe+P+budVCCA3OTpisPtJpzOkVmdKCX8dWWKlXMyHyxTDtsZqYRILpz4pGNKCiT/UpqgLDP4czKT&#10;xUiXsODDAMwQREL2P/x9Jp+f9tqBdpgNYBJRSfj/uHzW4UttUdd29Nneu9T2g+WzUmeDQTcEZhbI&#10;eOFoe0+cMmpkn6huyGGoOxKS0mQYRol65EvipD2OYEuG9VohMUeUaqK0iTcvN5GDUw6zJDvvno/W&#10;Hm9s1xE2yFYGZhRIPUTH1LDa3NmOHtQTHSantQYhkxHqYlR5w/8r4roscagaGAbyXakQCyMPZHIJ&#10;eQyGJiNvnpePGkfrWmBnjTdU0cNeo97qinne/uRaK/l4dtXSJ+9aCEUPxwN1Zy/hDE8bH6sM5bMX&#10;bu79qDZWQUMWnS4WCiE3efrh8flMDofT6XT5fMm+tiQ3/fvl+cjhJE43p9PvXoK0wgmIKMQwuhD3&#10;a39iMcevjKRzWCw6CIIAEMbaNfKN3+MIRYOXL8JkAJPPT9eVxNINSQ5fagXdEADGC6riWCjk/b9G&#10;b9IYzZoBIn5iMqJZbxpxDTIqRZF2K+84tNRg/Ki9SCOX+FsS5rXS1GPSEVby36QNjShE/3LkzPhz&#10;nwPeLKFQycuvNrRSYVO0iExMAJjGoEjbYbU5fz3Ty01INCT/bhu6liqDsK4oeJCqOwwnNB1njObI&#10;Hy2qzbY3LwcjkXus9tliHHkWrZ6VTemGoUUS4wQgA2N8kcTl5yj5LsLUZdTHSlsmQWnL++4v3zAn&#10;HyZtDNGarfW68O/NscpQ/sP7NQcvxzzMBRgmFgohN3k6gcoXOhwOS/IGXA+UKtaVKVfOyYyTiUwQ&#10;+i5tg9Fw0/933IIKxRkcv0ooZDGZjPQMNoiDAJAIqlzBEz+WKFWDNNogzAaQKh/LuCGH5zX6dqOV&#10;7JMql8Sww4BpDHnrrjaYkgrxSxzyHl6GYWESwFMlt28aq7uMww6SjQ9jAB2HdcW5qNFpsu45Vxeq&#10;MJblSCmJIdbLf//NNbTxhRJh2CpUtzF02wBg5lD+4dnIQzsqB1q6LC7340uLQyMKyYOOPLhQrOIK&#10;nEd5Lu++1BBrTHL5EJOTnj6kG4YmNVNFEiHYcOJh4aI8Hm7t13ebB2L1aTcRm4+dWKXKefM7fwNp&#10;y2NCwEO5I3J5YZZ8lBnKBOH85e8uf34z5i95OJcr4cE34PTB4fUSdvsI8pGRXPhgqSKWyYnTaW1t&#10;q0JBhWPuZ4Lyi8ViDpII0yVsJosOexMAkgIlJq+9Lw0UQyAFeeLeojghh5/UdZEdUmRTQTcEpi3q&#10;DkPiUTnCkPJ/hDNeYeymHhN1M793eUmoFrB7bl5oAOCRZn/hjGrzbTlvXXFumAVqoeS2LoAKESa+&#10;JaE1DWOFJWr0pliTQ+VgZuP8qPMGuiEwY9EnHI1CHiyV3X3rssQCFhMdxaHZzesLgqYZp1t0scbc&#10;KBfL+VzUvqLvJ49lGYZRByNqlHDYVPZ0Iqe1R5WZ64pUHzS0QBnEsYLOoONSOU8kNuh1ZkdMU5pz&#10;7dq5r78DactjQr3OEJmhnMHl5KSLRjNs/IKGjLQ0sUDAZ0EA13QABRha7HaH15vUC4eVC1tb/Vrh&#10;2MYVUiohj8fkC5iybC7sQQAYJVRiMkwFEAmLledyDXMOdzgaOZx547cNC5Tp8xXp33ZF/1n6vYtt&#10;oBsCQGpB3bfTAnbDcXpWXmsvli9A7SW50g9ld59u8ZswliokoULem5ebUJyj3uMhb/XRKvLv2+WL&#10;3qrVIJmPikVCnAm8b+JbEjrsnkWFoTbNWUJu2Ag4e8jB/n5jK9UOM2p469Y4c2S3lyeS3w0AMxPy&#10;GI+q5YU6opzt6Ina4fXVi2PZN9FCKhtQwYaVTR3Dbk+FWPj0Kv856kFXLuiGYwuDyZTnqMRWi87Y&#10;6/S4Y3WDtOXRY7A61BGHFZaWNjcnZzTDXqnRPndEHaugIYfBSMdxKGg4DfD4fAN2u93pTCrAENUu&#10;/P7K/KhyocHgL1aIogvHZCNxAUsoZHG5mCyTB7GEADC2QGIyMCx0ekqEyDyxtuiJd76OuurbroHU&#10;SVUG3RAAkuNQZ++6kJBDnMOMNDQ43tgeGldI3upTBiNLcoMZxKFxi5T6kNSWHK1rQeoALWChUKqQ&#10;nGvVXenpL0zHKQWTqktYKEmnXqjuMFA64IqhQYVHaq5ToYtxzBwAABiWTSo5VTA0qvL+VEk+OgmQ&#10;HbrNdqo0KsXpgG5IBRsSDndkTdJIKPsUsEEfJ5h8gZLDc5r6us0DsYoeQtryKDl1I4pEni+Tclkj&#10;/2I6evzqq6euxlrLZ7MlfD4UNJzqWF0uu92eVAVDpYS/JSAXRq1d2NpahbTC0achczkYjrMkEm56&#10;BhvCCQFgnGCxGT/ckgOJycBU4aFFiifeibk2dVKVQTcEpi3jd8+8+Uv1jgJFLK/hNy83hSUjk0+z&#10;cV6YvBgmGjb1mJLdDH+I07l6SjpUivhbFs/eMrRPVLXihOb2/ZjZffum93hj+96rwWjtkpAMO8Lh&#10;ho8TACQLVTk0VkVCqhTAP51Uo58NNsrFj91ZhHR/8nhEMctUsOGR2hvD/rpQIRZStU3DTkTAGEJn&#10;0LliqQoX9Rt7+22WWN0gbXlk1OkMRqsjbGEGl6OSiEc2IEE4f3P4yp+bdbE6iPl8IYcDMz918Q0O&#10;WpxOi92euEWykMt8sEz5/ZX5K4szw1ahqoVtfsVQPcoNE2dwxGKOKJ2Tmc2FiEIAGG+WL5M98ggP&#10;EpOBKYSIy1y/UPFpXfSL9k9rQTcEgFSiLOd2pI/FNbxMRt6QH23v2aSSUw4k6g7DFa3htNYQ1Ybl&#10;uVqNjrCF2hyHQb1pUlsSJh2GQRVHC6WpxxSaukhu7UtfVj9YmHu2TReaaxn6XzTrTfAJAYBkebla&#10;gwoFxKpISFkhrcsSoz7ksfkYkjkc7lcb/MUEkg023Lo4eG3x6qVG2AXjDYPJlGYp0u1Wrb4H0pbH&#10;CsLpUndEOWQKs+QjHJBw7tp/Ok5BQxlOfjNDfP1UZQQpySW56dsr5kSWLyQIfWtrVVPz6dFULcQw&#10;ujiDA0GFADDBqHIFP/yBZN58SEwGph7rF8XUDc9r9CmykaAbAtMWKkU3wRsVqq02JCSTBS1QE47o&#10;QVLjPRIhVcEwMghxBFtyqLNX/eH5xxcU3Ds7vOrT2TZdWFtH2JBbSyjHevqiFkGjMqlD4xMBAEiQ&#10;cJfkCMiDEZ0BHl9abHV7yMNwR4ECBRtSoYVJBRs+qsxEx2xoLQJg3C+kuHyVqsDeZ4C05THhqzad&#10;K8LFIl8iwUcUD9isMfzbWxfiFDSUCoUYHaLApiQOt5twOq1OZ4L9hVzm98vzt98/JywfefRyIaUV&#10;yuS8dAmY6gDAhMJiM777nawNDzMSVwyXraC9dgBmDkgVVhXK4qw9r+ktL8yc/Mtd2E/AdAJZEtMC&#10;mleokfGwUJFB5AhRAwbHSkcIVegqxEJKN6SyqkewJWS3nVVXS+pbNuRnrcrPppIcQ6OcyHbi7tKI&#10;J8/WbFLJY0VQAgAwSsgj60jN9S2LZ+Mc5vNrSx/sMISlGCcVbCjDsE0LC6jzCXl6KUzHNQMECIgT&#10;A6Qtjwmtfea2iE8sG8MKMqUjGK3yC83rn1+NJRryWSyJQAAFDaciDrfbYrMlXsTw7jmZyPAkdOHo&#10;5UKUgyzL5EFcIQBMFpCYDEwDVBJ+HFflc9f0oBsCwBhzrKePf64eRe4k9cJhI4PGA/KunmpTKckj&#10;3pIGh7Ph6k1UoLCEwx692DcpcwIAMwrygBWwWEgcpHxRqBTjxxcEdcBEgg03qeSUIVJo9dXCiIqr&#10;wDgBacujxOnxXmjTRi4vyckewWh/eL/m4OWWWGtxLlfC48GcTzksTqfZZkuwiCGqYLj9/qL5qozb&#10;H7NA7cLm5jMjs0XmcjCxmJOVLYB6hQAwuYwyMZl8ucMxjhVdOJx5sI+AxFlVJIulG57X9JKXQpO+&#10;haAbAtONZKPqJpHVs27fCyWYHJ0gECEIAFOF52o1tIAlOnp6pOY6ihCsEAtR8YEEgw23LLoj6ip/&#10;yVTQDSfyuirhtOWHivL3VZRD2vLt78HOXsIZrrdmC4UZ/OQEvvguKIy0NLFAwGdBMukUIynFUCnh&#10;b68o+v7K/NAKhq2tVc3Np0dmdSLO4MjlfEhDBoBUYASJyZH81y/Eup6XUvC/o9N5LFZe7LV8FnPI&#10;WiZGXgPKbq+N/VoglSkvzHzjlCbqqrrOgZS4voWdBACTQoVYSFkqN/WYQOkDgBnLc7Wamm5juUqu&#10;MZqp2MDN84LBaAkGG1KeS8cb28nRZovxLYtnw9xOFomkLX9yrfXsza6f3LXo2dVLYcYMVke9LtzL&#10;C0tLK8pOLjcnvgsKi04XC4UcBgMmfAqRlGJ495zM7fcXPVimvP3RMrQ1N59paj7tctmSel9UtTAr&#10;i6/IE0BoIQCkCNM+MdnnszkcV+N0sNGG//GDxcqj03kc9jw2axaHM49swycnxVmoTI+1ymx3txut&#10;Kgl/crcQdEMAmARkGEbZnpJUXmuHOQGAmUyYPVEJh43SlhMJNiQ7U4nJr5yrRzHXjzKD3+9U7VR/&#10;AUSVvFAixNmsOObvwFiRSNqy2el6+VzVx9da992/cnWeYiZPV9QM5cIsOUZPQuMb1gUlUySCgoZT&#10;5uZ5cNDidFrs9gQVw80r80NTklE+cl1dZbLlCzGMLs/kZWULFHl82AsAkDpkyrj/sjUTHJMTweXy&#10;n/co/ZHFyuOw53E583i8JTA5qYlKwhdymWZ79MvF9j7QDQFgukPeq+9dXpIl5FY2daAb9RU4b+fS&#10;eVSwYafJOoVyqwEAmACETL9WQjjcL56pGTbY8OklQdHwzctN1MmkNFuCGlf0/bSA1fLjS4upmMQl&#10;udJtgf5Q+nDcL7MSSFuu7zE88O5HP1w4Z9/95TPTL6VZ3681h0cIZnA5OemixAc5e+Hm3o9qY7qg&#10;sNkygQA+kFOFxGMMyRut7RVzvr8yn3JJ1mobm5pPNzefSe5QBbkQAFIVFptRcZ/8+1swUAxHhst1&#10;k3yYiRN0Oo/HW8LnLgUBMQVZqEw/r9FHXZUK1iigGwLA+LJJJUdxQ9uWFW+L1oHyQAAAAEBcJGyL&#10;jvw1kZ4b5eIwF2ZaIAIR1UYkF5JD7ShQhDqlUJALR2O4XCEWVptt+oQtTWcyiaQtv1vX/HFz63Or&#10;lz5516IZNTlOj/er1ii1COfm5CQ+yNHjV189FTOxS8znCzkc+BxOCRJXDJUS/pby/G33F6EihijA&#10;UK0+RhD6JG6EQC4EgNRm0ULx9u04OCaPCT6fzWI5Sz4wTCrg34ML7qFqIwKTzoLYumF7n3XSNw90&#10;QwAYX8jb8jhrXzlXP+KbdgAAgMfuDFY8OFp32zp2TY6UWhg1i5lSEtfdoRjBKUiGYa+vXlwsF526&#10;rt1ZdRX2QiKgtGWR1aIz9sZJW37m86+ON7fuqyhfKJfOkJm50KZzecMjMfMlEi6LmeAI+357EVxQ&#10;pgFJKYbP/N38768MFoElCH2V+oPW1qqkKhhmyni5KiHIhQCQsmTKuJs3yZatoEGY4Zjj8RgGTP9N&#10;PgSC1RmijaAepgJxMpHbjaAbAsB0h7wnzz5XH5ohGLzMDWQggmgIAMCIeVSZqRT5LzLCyh2sK85F&#10;J5nK7r6nSoK31qFZzAdaulbPyi6Wi3B2uJ5SwmEreOzQM1jk++5dXoIqLVTrjLAXkoLJFyg5PKep&#10;r3Mg5tSda9cuf+vos6uWPnnXwmmftqw1W5sDqfShsDFMJc1I5OUE4XzxjfMXuk1R14ILylTB6nKZ&#10;rNYRKIatrVV19ZVabRJ5G7iAlZ8vAqsTAEhxREL2z36WCWGG4w0KPwT1MBWIY41yE3RDAJgJkPfq&#10;aoNpTY4UORIQThd5s03ez0N+HwAAo2FdkQo1QoMNKTHxdIuOPMmUKoKFDstypDtotB6r3RwoACfg&#10;+C8ABENDujbKxc+vLQ1d8oLDfaT2RmgZxNDMaKjNOgLoDDpXLC3ARQa9zuywx+r28rmqd+qa9t1f&#10;vmFO/jSeja+i2aEUyTMTsUPp0ppfevtiLOtkcEGZEjjcbovNZkngcqgkNx3VMaQFUpKbm8/U1Vcm&#10;npLM5WByOW/2nAyeAO59AGAKYDI7dz7dWb5CuvF7HFAPxxukHqaL/kEkXAfmy5OFiBszN6Kjzzbp&#10;mwffnQAwETQ4nA3kjTdYEAAAMHYg7U/dYQjV71bPykaNTwMnHKQh0gJeKEjvG3Kl6BqSMCvnc8M6&#10;4BzmtmXFV/T9F4ngJQuVGQ21WUcDg8mU56gyCFOXUR/LL6XdRGw+duKhovx9FeV5Inz6TUKdzmC0&#10;OsIWZnA5mcLh/9n41sl8NlvC54NomMp4fL5+q9Xqcg3b8+45mbsenr+y2F8SniD0dXWVTc2nE09J&#10;hnxkAJiiuJzeL0/3fHOF/cDfSjc8DJHj486A6b8t1jMyyY85nHkwGxPPgtjxhqkA6IYAAAAAMCV5&#10;5svqJVJRZXcftWQFzkPioLrDQCl9tEDOMi0gAoaNcELTEfr0QEvXFX0/zsSqzbZSIW/dHQrkr1Im&#10;y0Cj7ShQICGSHB/KLIweFi7K4+HWfn23eSBWn0+utZ692TX9/FKcHq+6IzxeFUtLS8QOJb51Ms7l&#10;SngQLpG6+AYHjVar1ekctqdSwn95S+mDZUqybTC01dVXJu6SzOVgCoVg1h0iCDAEgCmNyex8/4Ou&#10;U6epWofAOOLxGHQ9LwnxByXiR2A2Uorzmt7JtVSGr1IAAAAAmJL4A5mHZgqXyYJV4ShBsNNkVYr4&#10;JqdrfeUl2tDyhV02JzlC2JiU2niyzyxkYkg3RMgwbMuiO1D7FXVT5PbsKFCU5UivaA0HILY6YegM&#10;Oi6Vc/mCXqPe6oqupCC/lHfqmvfdv3J1nmJ6/ONR7VByxeJh7VAqv9C8XFkfa61UIBCw2fC5SlmM&#10;NpvN4fAODpN1GFrHUKttrFJ/kHgRQwgwBIDpR6/e/tqB9o8+FjzxY4lSBWnL44uZOOFwNmbLX4Cc&#10;5QmmvFAWy1J50gHdEAAAAACmCVf0/eoOg8Y4cKwnGIRY2dSxbVmxUsTfs6jw1YZWv9QYoRWuwHn/&#10;sqgQBSoSDvfpFl1Nt/GM0VyukqMOPVZ/Gb6thQoUsXik5nrkIBvlYuTRPEcmOq01RHYA4l2Ncfk5&#10;Sr7T1K/tN8ZKW67vMTzw7kc77lr43KqlU90vxWB1RLVDKcgcxkX6wKGqw7UdUVcx0tJkIhG4oKQs&#10;CZqfjFgxxDC6UiGACoYAMI1p77Ds/g/LooXi7dvxURY9bKhPu3Np8Thtp89nc7luTumpJre/S/e/&#10;5LL/yWLlwQcPoIFuCAAAAADThouE7eL52tAlB1q6CiXCe2fnbJinKlVIzrXqCKenx2qnhMUSDnvf&#10;fUuoFGayQfYkH8/fGoFwuMnOK3DelsWz0dO3NeHhhDIM23n3fNQ+WNUEouHIYIsyVDxBv7G332aJ&#10;1efA13Xv1DYd3PA3U9ov5UIMO5T4r9r324t/btZFXcVhMNJxHETD1MTh9VpIhjM/EXKZu/5u/vb7&#10;55DtpubTdXWVRmNCN95cDlZYmDGrUAhTDQAzgdq6vp1Pm0ZpmfLeYeNDD72Qgv+dx6MnH7HW2h3h&#10;v6O43Dd9vqA/mMNxdUy3xKDreTFb/gJIh6nATaOtvHAyNwB0QwAAAACYzrxcrSH/3js7RyniI+1P&#10;3WGgdMM1OVIkGh5vbD/b0VMmz1iVn025qZAcqb1B/t25NFgk+2BVE3lJK8OwUiGPKnH4bGkhNQiY&#10;LI8GBpMpzVKk261afY/T447ax+x0bT52YpUq583v/M1U9Etp1vdrzeEmyPHtUAjCuWv/abBOnnIk&#10;WMpQyGVur5iz7f4iEY/V1HxarT6WoFFypox3x+x0WTYXphoAZhTIMuX8RcZ3v5M1zSxTMIy8wpLF&#10;WpuIY4nLddPlanO6bjqcjaMMe/T5bCAdTiQqCZ8WI0+53Wid5E8m7B4AAAAAmMboPZ6dVVdL6lvW&#10;5EjLcqSE01V5I0r9QY3RdLLPTD72Xr25Z1HhhnkqcmFTj+lAS9eOAkWxXISeHursLeGwf/vgMpzD&#10;fMpkPdeqyxLwUBlEwuF+taE16jY8qsx8etWCNy83QenDhC7OuHylYpbT1Nc5YIzV51y7dtnB939y&#10;16JnVy+dQv9awA6lJ3J5HDuU+KIhWCenLGaHw2SzDVvKcPPK/Gcenp8r5Tc1nz6esGKoyBHMnS+B&#10;lGQAmMm4nN73P+j6y2fsR34kB8sUChYrj3wIAm2PR+9wNFrtaptNPbLRkHSoyN4bR80ExgqVOHUr&#10;88LXLQAA0xP//XbsW+6osDEmG4t5VhRyotQGZnK5kTf8MPlACuKvbNjSRYuQ7U5rDdsCjXVFqsru&#10;Pn0gl7BUIUFr91c1htqhvF1zjfw7V8RH0YVUAGNwqBadPloqYoVY+PSqBWSDHAd0wwShM+hcsbSA&#10;LzAYe80Oe9Q+Zqfr5XNVH19rnUJ+KfU6A+EMj6PMl0hi2aE0awz/9taFWNbJfDZbJhDApyXVcLjd&#10;A1arw+uN3+3uOZmvbV2WK+VrtY0ffZxQHUMMo8/KExbOzWCy6DDPAADQAobLyDLlhz+QzJsPlilh&#10;50zyS/Ie8uHx6AnLGYv1jMdjSHYQn8/Wo/8l2KTM9M8STAEAAADC6XHHSgz036JHvXUfGGZMPovN&#10;oAdvbxh0BvmUWhWqOYLaCEwWDQ6nusOwJFdaLBe9vnrxixfqt8xRoTzlNy83XSRsexbdzkFGicln&#10;jGb55aZ1xbmh6cwkG+apBCzsfHsPlQSNeGp5MK0GpTwDicNgc+Q5qvTp4pdCOF3qiDR2NoappBlR&#10;+8cXDcE6OQVJMDFZKeG/tnXZyuLMxBVDLgdTKASgGAIAEJX2Dst/7fVbpmz5Pg6Gy5FgmCwjfSP5&#10;sFjO9JuOJaseulw3jf2HZJIfw0zO3I8QTAEAAMD4YXUNuX0aYncQTXPE6Awei4XaPBabfEoLlDyj&#10;BwIh0zAW2YZZBcaWV9RNv5X5846L5aLD3y1HC1GGcoVYiBKWQ3OQ9R4PuYp8UOnMFPfOziEfD3YY&#10;tt6yZ9lRoEDyIhoQZnsEsEUZeQJRn1431f1SvmqL4mpSIJOiE10YlV9oXq6sjzoOIy0tg88H0TDV&#10;sDid/VZr/MRkyvzEYGj76OOfJ6gYgu0JAACJUFvXRz7WrpGPxjJleoPCDy2WM8b+P/p8tiTO8Jaz&#10;fO5SHm8JzOG4si47I0fEyxbz7poTNItbvSQlEkpANwQAAEghPD4vFdgYKzmRFpJSTWmLKHoxjc5g&#10;sDkwjUBSNDicu75Qh7oqEw73ixfqZRgWGioYmYOcjQczVpp6TGfbdKtnZaMyiBQrcN62ZcXUgDDV&#10;I4bOoE91vxSt2dp2y0iHIoPLyUkXRXaOLxrKRCKwTk4pEnRM3nZ/0a6H59O9pi9P/bq5+cyww4Ji&#10;CADACECWKRX3yb+/BbSO6AgE9/B4S/sHjpmJE4m/Sm98I5fzGmQrjx8/XV9CIx8pCRxLAAAAUw8q&#10;pfq2tjg0ehHlR1OZ0Ribk0ZPg3BFIBYXCRslHRION9lucDh3z82LEyq4US5ekiulBTTBJ8/WoCDE&#10;Eg5bwWNXm4O/YFMuzEdqb5ADwjyP9qJtKvulfNWmjVyYL4tSZ/3AoarDtR1RB2HR6WKhEETDlMJo&#10;sxF2e/w+d8/J3LOltFDOqqv/SK0+NuyYoBgCADAaXE7vJ59qz51j/8PfZ669D4yzokCn8yTiR7ic&#10;eXrjGwkGHpLdTObKjPSNMHsz8RIUpgAAAGD6QeVHRyY2UqnQyOkFBSpCgUXgImH77vELpUJetdmm&#10;93j8dii3PE/2V4XnEpJrH7uzKLj2wrdUKKLffeWWPki5MFNPaQEbFhAQR3Whn4xfysENaxfKpamw&#10;2c36fqPVEbYwWyjM4IeHLez77cU/N+uiDsJhMDJFIrBOTh0cbnefxeLy+eL0UUr4L28pfbBMWVdX&#10;+e4XH7hcw9ydgmIIAMBYYTI7f/eHji/+Knj4O2IwXI4Kj7ckG3uhR/9/E6x4OGD6b1xwD3grz0BA&#10;NwQAAJhZUKnQQdEhJFARRSmi3GfQE2cgeo/n5K1M0tncYJ3NV87VXyTCb/U3qeQoFFHdYQhzQUGU&#10;cNiUCzMJylYm2eJwf/f4Bf1w+YxAfBL0S1n+1tFU8EtxerxftYZLgVhaWlF2ZugSgnD+5vCVWKKh&#10;AMPEQiGIhimCb3Cwz2azOBzxu+16eP62+4usA9fffe9JgtDH7wyKIQAA40F7h+W1A5bPTor++bF0&#10;sEyJhMXKU2T/b13Piy7XzUT695uOgUHKDAR0QwAAACAIilIM0xNRfCJKeUYOLXQWl84AR8tpzkXC&#10;9q+fXDS7vZHhgaFVC19RN0V9+dNLiqlqiaGQC0uFvJMRde6AEZCgX8rx5tZ995dPol9Kvc7g8oaL&#10;m7licagdCkE4d+0/Xd9vjToCn82WCgSwx1Pmm8LVZ7HE9z9Bicl5GZ4vv/jFsOYn5LfKrDwheCUD&#10;ADB+XNOYdv+Hafky2SOP8ISiQQ4H6l3chk7nyWX/3qXbnUjCssVyVpLxKFQ5nGmAbggAAADEg4pP&#10;DNMmhBwuEhNR8USITJx+RIYZ0gIZysNWLdxRoEClD0mON7af7eghG1sXF6G0ZcINwYZjd62fgF9K&#10;u4nYfOzEQ0X5+yrKJ94vhXC61J29YQvZGFaQeTuBeljRUAaiYWrgGxw0WixWlytOHyGXuecfy767&#10;JLOuvvLdymFKGYJiCADARHLpsv5KDaN8hVSpABfBsLOxTC77d13PS4l0tljOCIUPwqTNrE8ITAEA&#10;ANMSPoudKRmm+oY7bil3q8vpjUgAdHo8sW7OZxqRYiJyeeax2Cwmi8FiQVjitOSpknwk/0U1S6GF&#10;RCOSvPRlNcpilmFYUDR0uKPKkcCoLuYS8Ev55Frr2Ztdz61e+uRdiyZy29QdvZELC2S3RcNmjeFX&#10;f/omlmgoFQgEbDbs4lQgkTDDzSvz92wp1XVcePe9F4ctZajIEcydL+EJ4GYEAICJg7y6//K0/+fM&#10;l2AuhsLhzEsX/cOA6b+H7WkiKkE3nHGXmjAFAABMSxh0+rARcPE7cBN7I6/bPei5HXzh83jIJSE3&#10;WrfFx2mvOSKX51CvBpTjDEritGGjXLxhnooWkP9evFAf2SE0GvHNy01U6cNNKjlqfNJ0E6ZxPEjQ&#10;L+WZz796p655wvxStGZrs74/bGEGl5OTHjTMadYY/u2tC6YYIaggGqYIiYQZKiX817YumyO1nU4g&#10;MVmcwZm/UJYuYcHcAgAApA4i4TqL9cywHilkB5frJouVBzM2cwDdEAAAYFQwmEwakxlrbSzx0et0&#10;DN7SE6mwR0pknDYKI8pxjlQShRweOW8MFpvBhjyRqUT5LfnvYFVT1AzlrYWKqNGI64pzUeN4azdM&#10;4ziejhL2S3l21dIn71o43n4p6kCKehj5smAkeBzRkJGWJhYI+CzQlSafRMIMdz08/5/vyW25fvKD&#10;08MkJnM52OLSTFk2FyYWAAAg1aDTeRmijXrjb4btSVjOSMSPwIzNHEA3BAAAmJzb+9sn4lthj5E3&#10;Uj6vz+fyi25UGCOK6SMbNpcrli6QykQqiXwWm8dic9kcCEhMfV6u1miMZs0AEdXYpEIs3LJ4Nmq/&#10;XXONWv6oMhOZLx9vbI+qNgJjSyJ+KS+fq3qnrunNDWtX5ynGaTNa+8xac3j2cbZQmMH3F1M/e+Hm&#10;3o9qY4mGMpGIw4Ci9ZOMP8zQarU64x2zJbnpr21dJsZ0Jz59Nr5jMobRC2dnFM5Lh4kFAABIWQSC&#10;e4z9fxzWIMXhbIS5mlGAbggAAJC60Bl0+tBk6jBtkRIWvS6Xz+v1+Ly2UE/kqYDV5fT7OFuCOhQb&#10;Y/JYbD6LzeRyQUZMNfQeT9Sahoh1dwQVqCM11ylhUYZhjy8Nljs80tw+7FtUiIXkODjbH2h2RWuw&#10;uNyV3X3k+8LkJ3vqSMQv5YF3P9px18LnVi0dj8DDC23ayIX5gcqGlV9oXq6sj/oqEA1TBIfb3Wex&#10;uHy+OH12PTz/fzyQf+rUr8+1qeOPpsgRLCyTgflJyuJ2+QaMtwXigX6n2z3kh0m7HU7CADBTEPDv&#10;MRMn4vdxuW76fDZwVZ45gG4IAAAwtdUBJCxSQYvILRVlk6JsaBSriCRFr89ndaV0wBcKqPTHSQ34&#10;n4KMOIVYovTnn3aarG9rbmuLm1RynONP5H/zclMiwYYv3LMY9fcPGDBl3mSy7jlXB24qI7nIS8Av&#10;5cDXdcebW/fdX75hTv4YvnWdzkA4w/XKfImEy2LGEQ05DIZUKMTocJhPMgar1eJwxOlw95zMPVtK&#10;fQMX333vl/H9T6CUYSqg1/l/SrRa3Dab/6g0m10ej18RNhPBBgAAAAUuGF43JHE4Gnm8JTBdM+WS&#10;EqYAAABguhJWPRC/1UBRioO+QY/TkeJ6YpiMSCU1Yxwu1EZMNV48U1MmzzjTqafCA2UYtmXRHah9&#10;tL0nkUGO1N4oy/HLhQIWE5VKVIr4m4vzLlZdhRkeAZRfSo++O9Yx3m4iNh878VBR/sENa8ck8NDp&#10;8UbaKGNpaSppRnzRMFMkoqelwV6bRBxe7wBBkH9jdRBymbv+bv4/Lhd/eer/i+9/gmH0eXMlswqF&#10;MKsTg83isRJuJA7a7R7y4Xb7CIsLZgYAgKRgsfIwTDqsO4rT1Qa64cwBdEMAAICZKCWgKEUmX0CL&#10;0BNRfCIyaUm1fOewpGYhh8tjsTlcPp3FZsR2pwEmhpN95rC6h6HBhgnmGvvzoG+lQssw7Ivv3UM2&#10;7p2dQwPdcBQw2Jwc5SxnXL+UT661znn9nYMb/mb0gYf1OoMrQnjKl0l/dfDrPzfror4ERMNUwOxw&#10;9FmtcTqgaoa+gYtHP9gbP8xwVp5w7gIJJCaPEyitGEmEfX0O0AcBABhbOJx5FsvZ+H2gxOGMAnRD&#10;AAAAIEhoOUVUSFEeISa6PO7UiUwMWqyY/bGIbIwp5HAhFDGlWD0rm/xLONzDBhtulItni/EsAU9j&#10;NF/R96OsZEpq7DRZYTJHD1uUoeIJDHpdrN8DzE7X6AMPCaerTheeFs3GsPePNccSDflstoTPB9Fw&#10;EvENDvaZzZa44v6uh+c/tlLw1YVhwgxxAWv+Aik4Jo8tep3danGbzU6z2QXJxQAAjDdc9vC6ocej&#10;h4maOYBuCAAAAMQjUkwk8brdgx6X225HecSpEJZIbobe4kahiBidgXO4qCoiNtRYBphIXrxQvyZH&#10;elpriB9suGdR4YZ5KtT2hxbSaE09prNtOpwdvEqp7grqUBViYWG6P0CW0haBpGAwmfIcVQZh6jLq&#10;xynwUN3RGxlseOpz7V+uR7/B4LPZMoEAds0kYnW5+iwW7+BgrA5UmOFHH38QJ8wQHJPHChROqO+1&#10;mc0uu90DsYQAAEwwLNasYfsMm8gMTCdANwQAAABGoj7QmEyMy6fCElNKSfT4vP02C1UVUcjhCjk8&#10;0BAnngaHsyG2/zJiBc5DoiHhcDfrTXNkIpzjr2yIihsikBFzqLxI8+tThlfUCXmtAOH3A7goj4f3&#10;6XX+YyQaIw48JJyuZn1/2MLPP9eea+uP2h9Ew0lnWAuUbfcX/a+HcoetZijO4JQtlfMEcGcxQgaM&#10;Ln2PzWx29vU57A4wLwYAYFKvE1h5iXRzuW4m2BOgeP6Fn8mzsp98YvvU2mz4dgcAAADGgKhKos/l&#10;9Dgdk57dHExnBg0xJSkSBWWjI7U3DgRExkeVmZsWFihFwR10pOZ6g8NJLgwVDWkBt+XfypZtP3EZ&#10;pMMRQGfQpVkKkdXSqe8ew8DDU9c7Q5867J7ff9ymM0ffQQIOR8qHw3DSGNYCRSnhv7Z1Ge5SH/3g&#10;tfhhhosWZSryYFcmh9vl69XZTQOOvj5HX79jEk4CaWlsDgNj+GtQ4rj/WzEtUCtAlskL7ZYuYaM6&#10;le++1wl7DQBmDixWnst1M34fnw/KyCTHH/743p6Xfk42srOz/+G735lCWw66IQAAADAuMJhM8sHk&#10;C6jsZo/d6nW5XG6XzeWcrIDEMA0xnY9DPcTJRW0woYbfRjmgGx7q7BWwmNuWFdMCCctva/wLS7Ml&#10;qNup69pqnREJiziH+fSS4q3na2EaRwZ5eOZxCszGHr3FHP14SSbwUGu2kg/qaXzRUCoQCNhs2AWT&#10;hcXp7Lda4+QmP1Cq+NWPFp4/u78ubphhpox35zI5+J8kCNIKjQab0eiYgOxjeloaj4dhGF0kYjOZ&#10;dFE6h8WiM1mMdAkL9gUAAMOcQOi8YftAicOkv3wtwTyPmuoroBsCAAAAQLSvHC6ffLADDs7+gESn&#10;w+tyOp2OyZIRgxrirXqIQr6AweGBL/ME0+BwqjsMS3Kl5ONRZeahzt4SDnvLojtogczl/VWNqDai&#10;xmhGpQ+rdUayT2V334cb7sY5TPJVMIejujFg0NMzswW4UKvvcXrcUfskGHio7rjtfgOiYcriGxw0&#10;Wq1WZ8woXSGXuecfy5blGP78/3ZCmOGYoNfZ9b22nh7b+GmFPC6TxaJLJBwWC0vPYPNxJuSMAwAw&#10;GljMWQ7H1fh93KAbJsmSO8tQ471333npxZ9NpZs42HkAAADApMBgc8gHCxeFyYiEwz7BSc236yEG&#10;fJkzeHwOl8/g8OgMCKKZCN5vbEXy39OrFhQ2tpcqJDjHr94erGqizE9Oaw3bAo1NCwsOdfbqPZ79&#10;F759fm3p8cZ2mMAxuBzk8pWKWdZ+fXfAnTySYQMPQ4MNQTRMWYbNTS7JTf/99iVdrZ/+5bPKOONA&#10;mOGw2CyeXp2tu9va1+8YW/tjeloan88UiVg4zgaJEACAcSKReEMgWeYWz0GN1taWS5erli9bOmUu&#10;FGHnAQAAAKlAqIxIu5XUTNhtNpczVhjUeEC+l186CagnkMg8MZzsM5fVXN+yeDbZpooYHqm5fqiz&#10;l+pDhSUqRfyNcvGxnj7/48hfYfbG7A6BQcelci5fMLLAw1PXO1ADRMOUZdjc5F0Pz39speDLU//H&#10;aIxZ0wrCDOMzYHS1t5nGNg2Zw8aEQhb5kGXyqGqDAAAAwJRDJBI+tfPpV/e/QrZ/+ctffnD0T1Nl&#10;y0E3BAAAAFLy+wklNYsyyLbP6/M6bA67dYIzmqlEZjbGFHK4fD7O5IP367iw9+rNQkk6lXR8vLGd&#10;XBLWhwpLLFfJj/X0waSN03E3gsDDZn0/4fRLjd3d9g/PdEUVDRlpaTKRiMNgwCRPCnqLJX5u8qGf&#10;rMJd6g+OHYozCIQZxqLrprVbZ+nptY1JaCESCiUSbnoGW5bNhekFACA18XghTzkJGhqvEoRldmER&#10;enrsg/eff6F4/fr1UyLqEHRDAAAAINWhM+h0voDJF6CMZo/d6rb7c5kJhz2WFezY4vS49RY38o7I&#10;4AlwLg/jCaAS4tiy9XztjgJFWY70itaAjJVlGPZsaWG3xYY0xJN95qdMVqWIv0Qpo1VdhRkbv8Mt&#10;2cBDVNmwu9v+xxNtlmi6CYiGk3lf5/MZzOY4ucnIAqXq0pt1beqYNwwYfd5cyaxCIcxnKGMlF6LU&#10;Y7mcBxGFAACkCFzOvAHTfw/z/QL1DZNhw0MPtba2hC7Z89LPkb0yxT9vffw///MFVa4y1TYedEMA&#10;AABgioFCEbk0mjRQFdHjsBN224RpiMFKiMZePouNc7g8XARZzGOFXy4MKIaIeyRC5IWSJeAdrG8R&#10;Mhkitt8GFFU/TIQSDntNjlQzQJzsM8P0JnuUJRJ4uOOuhVuKCwmnG0TD1MTqcvVZLHFyk1/aUrqh&#10;xBvfAkWcwSlbKociehRjIhcy6HShkJWVxZfJeWBwDAAAMO0JEw2j8ru3D5aW3fnkE9tT7rIQ9h8A&#10;AAAwdUFVEdmiDL+G6HZ7HTaz1TIxGqLV5fT7t5gHIIt5nDhjNO90uHEO897ZOUhARCTohSLDsN8+&#10;uAyJjE+ZrL//5hpkNydFIoGHB76u+3Ntc4VcdeJcP4iGqYbRZiPsMQs7KCX8P/6k3N77xUcfH4sz&#10;yOw70uctksBk0gK1C29o+kcjF4JWCAAAMGP57PO/njt7VqvV0gL6YKxulOdySgG6IQAAADBNYDCZ&#10;DKZIiosmOA6RymLG6IwMHp/Px8GLeUzQezy7vlDvXDqvWC6iFjb1mF5taB32tTIMe331YioyUSni&#10;P7+2dHFjO/lacliY2ySuFAOBh2ZjD8rTj6TL6fx9uwYXcRn9HK8vbcghCaLhJOEbHOwzmy2xP+pU&#10;bnJr7NxkLgdbuiwb5C2bxdN2w9TVZbE7RnjqIGdSoRDIMnlQrBAAAGDGUnHfWvKB2m+/9Sa1HNU9&#10;RG0zQaRmuUPQDQEAAIBpyJA4RKfDZbWYHbbx9lTx+Lx6i5kqgyjkCzAeDgLiaLhI2C5+qX5UmVma&#10;7Y94qtYZK7v7EhH+nirJR2oj4XA3603IUGXDPFWhRPTk2RqQDpOC/AynZ2bz+XinvjuWCk+k22lc&#10;t7CX53MFry05DEY6joNoOPE4vN4+s9nlixkTh3yTT3z6LEHELE2lyBEsLJPN5EJ7bpev66als5Po&#10;63eM5DuITpdKOXI5X5EngHqFAAAAQBjtHZ2ojmHJvLmpv7WgGwIAAADTHAabwyUfNJrsli9zv80a&#10;K+9yrAiWQaR1g4A4eg519pKPxPs/qszcME+F2vsvfHusp28FzkNxi+Rja6Ei0qwZGBYmX5DHKejT&#10;6wIf7GiwPeZcM97HHeznchiMTJGInpYG8zbBWJzOfqs1VkHDRHyTwQJlNPnITIyenc1XKHEILQQA&#10;AAAiae/oPHjwrcuXLn3++WdP7Xz65z/7T5FoCnzhgm4IAAAAzBRCfZm9brfHZiHstpgiyBgBAuIE&#10;U8JhP760GLXfvNyEahpeJGzmC/Wo3OGWxbOPt3Y3OJwwVyM4gqRZCpHVEi/wUGxPE3hyHFl0H4iG&#10;E43BarU4YgbH3T0n8+3td9ZWv1fXfCZWH1zAKr1TPmNzk9s05tZWE2FxJftCFpORlcWbVZAOad0A&#10;AABALBoar4a6Kr+6/xWCIFDOclrgp9Zf/O//u/uZf0/FK0DYeQAAAMAMhMFk+rOYsxSFBXNmyRVZ&#10;wnQ2xhzXd+y3WW7qu2/c1Bi6u9xWC+yCceLpJcWorOGp69oDIe7MDQ7n6RYdaq/JkVLLV+C8CrGQ&#10;fJRw2DB7ieAPPMwtyODFdAEaZLmv41oLZwDmasLwDQ4aTKY4ouG2+4veeWLBXz9/uTm2aKjIEZSv&#10;UcxA5ctm8dR9o6/8uLWuXp+UaMjE6LPyhKvvyX1gw6zFSzNBNAQAAABiYTKZQ0VDxO/ePtje0Uk2&#10;Nn5vM/n3zd/8OjU3HuINAQAAgJkOkwpCDLipGAmT3yh53EARiJSJCrgwjyE7ChSolCHhcL9crUmk&#10;/7ZlxdRT8lVHam8cbe+BAojxQYGHuKlf22+MGnjoS/O2cfRCzJpjy8R8TJixcSV+QUMhl7nnH8tW&#10;59uPfvCMy2WLfj8wU3OT9Tr7jesDvXpbcl8ZgWRkiC4EAAAAEudylRqJhvn5BYeP/Ink1f2vkE8P&#10;H3l/9zP/vv6hDcc+eJ/s0NB4NQUrHoJuCAAAAABBkJtKjijD63Z7HTaz1TJ+WcyUiQpGZ0gFOA8X&#10;kW8Nu2A0lHDYWxbdgdoHq5rCtD8Zhq0pyEbtHmt0hxycw9y2rLgsR7r1fC3M57CwRRkqnsCg18Vy&#10;HDJjNgveMcsu4blEMF3jhNXl6rNYYhU0LMlNf23rMt/AxY8+jlnQcGbmJrdpzBpNf1IWycjqpOCO&#10;dKhdCAAAACTLtWvB37O3/esTy5ctnVs8B+mGX37x+e5n/h3HcbSW8lZOKUA3BAAAAICI+0Mmk8EU&#10;SXGR2Ovz2Aiz1UI47LEKuo0Scthu8wDNPMDGmHJRBsYTkO8Ou2AEUBnKJIUS0QqT5SIRDCOqEAu3&#10;Li5CaztNVlT0kORASxf5WIHzcCZWmI5vWXQH2WdJrrSEw4YCiAkeKfIcVXrcwMMWXq+YaZPbMhmD&#10;4K08xpgdjj6rNdbaB0oVv/rRwtrq9+LnJs8o32S3y6e52t/VZUlKMRTirFmzROCMDAAAAIyY7Ozg&#10;r9fdOi35VyQS/vPWx3/39sHPP/+svaOzpvpKKm886IYAAAAAEBM6g87C/QKilLzhtFqsVqLfZh0n&#10;AdHpcbcbe2nGXiGHm4GLwEElKTbKxShDGbFhngpZKqs7DHNkIkpPJPn9N9dkGFYq5GXzODqb42Sf&#10;GcmLZKMsR4oGUfBAN0wCf+Ahh9uj746V4N/HtAwI7fm2TK4bsvLHBt/goNFqtTpjfkp3PTz/fzyQ&#10;/9HHPzcaY7qHzy2WFM5LnyEzZrN42m6Y2m6aE3dJZmJ0lQrPn53OE8AdEwAAADAqli4pQ41X97+y&#10;avU9961dU1g0By155ZVfodjD/PyC5cuWpuDGw7cgAAAAACR2D8kXpJOP8RcQzQ47+cDo+gweX4AL&#10;MS4fJj8+Mgx77M4i1G7qMVlcbkpDDBUTCYd7/4Vv+Uzsww13U0riC7dqGpLtLGEw/fBkn5l6FfJL&#10;ARkxPv4Ef+Use5+hc8AYtYMvzXuDr8t0CyU2KQQejhLf4GCvyeTwRj//CLnM17YuW6ryvPvek3EK&#10;Gi5dmjVD8m1tFs/Vb41d2iQyvzLS/fnIijw49wIAAABjgypX+dTOp5E+uPHvH6YFVEK0Ci0kefp/&#10;PjOatzCZzF98eVqn89sAZmdnK3Kyc3Kyyfcd/caDbggAAAAAyREmIOot5qReTk9L88UoRhYKVQCR&#10;jTFlAiELF0H+ciy2FiqUIv8dPuFwP3m2Ru/xlHDYG/KzCiXBWCqNceB6H3Gsp0+GDRENabdqGpKP&#10;TpMVDXK8sZ1au1Eufn5tKdnY9VlVqJgIRIUrlhbwBV09WqfHHbVDL9M8gNtVNjnHAxXiRojD69Wb&#10;TPELGmL22o8+PhRLNMQFrPI1ipmQcpusYsig0xUKftFcMQQYAgAAAGPOz3/2n11dXcc+eB89DfNW&#10;3vi9zT/6wZbRjP+fP/s5JUGGQQ4uFAoLi+b8ePvjIlHSNmjwpQgAAAAAIwQJiEKJHNVATNBEJRHR&#10;MBSnx+2P4RowZvAEQr6AhYPFxBD8diiLZ6P2/gvfIjuUBoez4epNGi08Q7NUyEOi4fHG9udqNStw&#10;3voCBcpoppTHI83t1Mg7756P2oQbHJYTgsHmKBWzrP16f9XOaLjo7uuCToUrXWgXQ+BhssR3Qbl7&#10;Tuahn5Rfa/xIrT4WawRFjuDO5fJpP1HJKoYsJqO4WAwVDAEAAIDxQyT6/9l7E/imyrTvP82+nZw2&#10;TZombVNa6QKVpUBZHKlshVEsyCOKjDLOiIgjzF8HxPH548L6eX2GAeEdmBmpzDMOOCgy4yCoA2iR&#10;ZYTSCrTQvbQ2XdI03ZKTfWnfk9zlENokTdOFLtf3cwh3zrlzn+QsyTm/Xtf1E32YdXDqtLT//u3r&#10;XRa99fa7r2/cEISi5wllrtIdSqw0Gojt27b0dmTQDQEAAACgT1A1EMXOdrtB10zofFV58wqXybA4&#10;Asp3bjW5pElms9blv4yLIfwQ0ehwoiKGWbkllOGJL67rOyOwhGzXJdBlwnQ5v7y8Wbdh9gQ0nxyE&#10;Skl+56EJSGQ8V1FPWawAgZwRmETGEwjrtRpfgYd17LYWhkVpimA5ObDFAsS/C8pLGYlv/1fSf77/&#10;0I8LysQJ0jEJopG9lXqrGIaFcpPHicEiGQAAABgEcFz05hsbf7ZyRfa58waD66dKLpcvmDenj4oh&#10;4vWNG0pKSiiJ0CsEQQQxMuiGAAAAANA/0Bl0Dh6mwMOcdrtJ19JqMvoSTTyhREMhm2Ww9dyf8l9G&#10;9ikQfqh1OFZfyg+8c4lGlyzD545VLLxdh1KP08d0OtydLFJ9VNuI2uvio8huqI1x2ORTsqExms83&#10;61FIY3dSuJw5Csk1bSuIjK5LTJ4gOmpMi1btKw7XzLCUYiqlNVxkFsPm6vnQNRj8uKD839Uzlk2L&#10;8OOCMhoKGtpt7cU3m3+sDrSegCyCP2GyFFKSAQAAgEFGGRP9i58/2+/D4rjos2OfvPe7znjGuLj4&#10;Px/MilLICcJ1JVZSWmYwGIJLhYZfSgAAAADoZxgsFiaRYb0sgIhEwzAex2J3mh09Z8V22qdA+GEv&#10;+apMlSxzRRe+88hk0fe3JkeGI++UcxX1b+WXoz6zMP5LM5Kpl5AdKH+V1yz2rNwSSl6kSOFyPnh0&#10;BopPfPnUZZAOaW4lXRIZhRsNtdoGXyZCKk4zj2mEwEM/tHd0tOj1Rh/fCTiP9flv50XydZ8d/y1B&#10;aL32wYTs1Kmy0HD2SN1Edlt7eXFrgF7J9JCQuDhR4ngxpCQDAAAAA0RhUXHm449TFQxReUGykTpl&#10;aue15dQp3n+yMWHK+HF9WfWbb2ycMiX15ZfWkGtflDH/rbffXbPmRWVMdF+cmkE3BAAAAICBwrMA&#10;YpOuNZD85Vazqw+PyYzBhWXNbT32h/DD3vJRbWN6TdO0GAnGZSHPE5rbhXnn9XKqz2tp4329nHzV&#10;htkTPjr6redMKZNJJTWTQ1WYbbCdPc+CWG68/8DDcmGd0ioWWkJhc3U7wdub9Hpf1slJkaK/b3iE&#10;R9Oe+GKrLxeUCCl/6gzZCNbIyovayitaA1EMGXT6mDEYKIYAAADAQEMQBk/bk7u5w4eyenxtRsai&#10;Dw992Bcf5IUL5p08dQoJlzu2b/34yOENr7+x/pW1QQ8IuiEAAAAADCyoAKICw51WC6FrbTUZfcVe&#10;UZgdDiQaTpBJtEZTg6Hn4DUUfshpbQbz5R5580rh59K7rsolGh1yYUZPqQxlwmLf+/0tVDMxhcuZ&#10;JsFT5eEYh32tvonsg3GYJ6saUDHEV1Pi0Eu6DAVQp4AkMgrTtda3Nns9+NtDnD9ytSKmUWGKYLbD&#10;oduJf+vkcXLsi80L1DXfnzr3J18jjGwXlLpqY1Fhk9nS8+nGYtLHjQsH2xMAAABgcJg5I+3V1zYQ&#10;BHEu+9suvsk9cvbs6exz54NLZP7H51989eWpv9yrTpJv4NfrXtY0qINwREGAbggAAAAAgwSDww2N&#10;kIuc7YGHH97UNNHc6qFMwP+mUtVjf8p8WSoUCTERkyeAzd4drcOx6Zu8t2ZPjMYFeTVNb14ppJQ+&#10;zwzlo/m3KaMVl0FzbSNKT14XH4X6rJw89mSRSshmzh2roLl1xm3f3wTR0BccPEzJFzZp1XqL2WsH&#10;PdNkwGog8BDh3zp51hj8yG/n1/34/TnfouEIdkFpa7bdKtC2tFp67IkUwxHvBgMAAAAMNfa+v9vz&#10;6ZlvshdlzEftjIxFMUql68pHr+9uY/LC6jXz5j4SxBr/8fkXy/9rqa+lO7ZvnZ2evnDBvCBGBt0Q&#10;AAAAAAaVIMIPb2qabtJo0SLhQzHyK7UNKl3PVmhag56cBGyOBA+D5OXuXCZMi7+6ksLlUO7JNHe6&#10;MZWhnFfTdKCyrsdxMscrqfbR/NueowHdYbBYMoUyVNeqam702gECDxEGq7XJ4NMR+KmZ8rWZKbm+&#10;rZOZTPqkSRFRsSPwzwZ2W3vBNW0gdsnkRkhMDBubDBo0AAAAcP9ZuGBeXFw8ij1c+6tXnly25M6S&#10;T8h/7/1uNzIzOf7PEx6LekePXsn19ergRgbdEAAAAADuD1T4od2g0+haezRfrtUbjhWWK3Fs46xU&#10;jdF0pKC0x1UYbVajtoHZrI0UhULycne6yHxPK2VUhvKevBJfrzpQWVfeRqwYH0eZpSDSx8jBTDkQ&#10;OHhYPJen0Tb4CrlFgYdxpgieXTgKt0+T0WiweI+kEzLpS3+ieChV1lRyzI9o+NBPokakC0qApQzB&#10;+QQAAAAYgsydN7/qkEs3VKu76ndGQ6fkl5yUEPT4y5ZmfvnUChTAiMyUFy6YdyUnt65ejdZIdghu&#10;ZNANAQAAAOB+QmfQXfmbeJjdaGjRtfhK4aRQ6Yjdl6+LOOyNs1JFXM6ha4U9hh862p2QvByQKtFG&#10;EBY7xmVl5Zb4jxw806I/cyn/y8dmRuN3N2ayDP/z47POVdTvvF4O2cr+YXC4iugx5pYm15HpjfYQ&#10;522BWmwXykwRjA7G6NkyWoPBaPV+7AmZ9J8/OiZSQqNXHC5t9P5nA0zIfnhO1MjTy7Rq862bTYSh&#10;B8chUAwBAACAIYtCoUCNivIyz/k6nf7jI4dRuy9myjgu+jDrYHJy8o7tW5GZ8h8O/LkvdigUoBsC&#10;AAAAwJCAJRDKBEKJ3U60NvWYvKy32pB6+Ovpk6bIpf97o/hUWVUAkoQreRmcl31xpkVf93WOiMUI&#10;JGZwXXwUJRoevVGRKpeiWMW5YxXlzfpAcpwBnlgSLxD6CTxsYRnaROZREnjY3tHRotcbfSjOchHn&#10;l0vGcFl2rupoI1HvtY84jDvjJ/IRJpkFnpgsi+BPmS4DxbC/0N0mHGb4+wcAAEC/MTs9HTX27d0z&#10;O/0RKh/53S1bUf7y8qdW9HEVOC5C5ic7tm8lH3+97uXz353buHHjzBlpfRkWdEMAAAAAGEIwWCyU&#10;vGzVtWgNev/Jy3qrbefFXKQevvPI9BMllX+4mk/O9L8KynlZhoexhDidAbfZd3GFGfbstXCPfcqe&#10;izddfinF1QvFosceiDLYHMdUGtiSgR7wHG6kXGls1Tbo27x2GCWBh+0dHY06ncXp/a8FY8N5Tz+q&#10;5LLs9MqPzeYGr31GpHVygInJoThn2oxIvhDuawLFbnDof3QFqmtLWslHc4vV0ub64bC2Wa06O2wf&#10;AACAgWDhgnnL7+QRL/+vpWR76rS07G/Onj17GnV4ZuXPgh78Sk5uVlanjXJCYlJGxiI0LLk6cnph&#10;9RqSoNVD+H0FAAAAgCEHnUHniSVKscRG6BpamwNRD/9wNf/X0yeVrl/1RVnV/qsFyIjZD+SYquZG&#10;ZmszlD7sLZ72KUdvVCCTZRpKXm7Rw/YJ4mjHJDKeQFiv1fg61Ed24KHF6WzR623t3tWxGUrR4kUx&#10;Iab6juKPne3eAzPHxIomTpWOpG0SoGMyl8NMnRIhlfPgPPKF7jZharLoagiH2UmoTaAMAgAA3Ee2&#10;bHn3h7xcFF2IFD1q0Qur1wTtiEKSlZX1l0NZvpaSi8jp1dc2dHF5DhDQDQEAAABg6MLGcCWGO8zG&#10;5tZm/6UPPdXDM88trdYR+6/m9+id4ln6EAuTgHoYCJtTE1BKcolG915xNWyQfoHJE0RHjRmFgYcW&#10;p1Or0zk7OrwuXZgS/vBDkS7R8PbHHT5Ew4kTpGMSRCPpYCjKb6643ea/Dz0kJHmcGOySu9B8q9Wk&#10;tRibza2VBEiEAAAAQ42U8eO+O39+69ZtXTS+F1av2bP7930ZOSExqcc++/buAd0QAAAAAEYmTJ5A&#10;xhOE91I9PJg5f3P69CP5JYEkL6PSh2F8YSgeCsYpflgXHzV3rKusNWGxb/v+JmyQfmQUBh5a7HYt&#10;QfgSDZ+aKZ8wQTyqREOt2nzjeqPZ0kNZvego4YRUKZQyROnG2pJWc4vV2GAyaizwNQIAADDEUcZE&#10;H/rw4Jo1a/J+uFZRXjY2IVEul/cl0hDx5hsbMx9/rK5eXVZWjuZoGtT19Z0FkZFMGRcXH+SdCOw2&#10;AAAAABgWIPUQGadoDf7yYZF6eLigZHN6GprI9s4LuT06L7eaDOQk4vLCw8JBPezO89ERVFnDbedv&#10;+PdcBoI+zgMMPIwwS5jtwzhC1mC1Nhm8230ImfSlP1EkJeJ0orL9x394FQ2ZTPpDP4kKDWePjP1u&#10;t7UX32z+sbqHTH9MyJ7xkHw0lzLU3SaaStv0tQYQCgEAAIYvM2ek9dGrpDsp48eR08IF87ovOvTh&#10;wT5dm8EOAwAAAIBhBDJOwcIkPaqHKh2x9mT2zgu5uzIeXjUxmZwuVNeRTy+q6v2vwmWcoq7lMFmR&#10;YeFgu0yxXCbeMHsCau+5eDOIUoYLxaIpsrCEcFdm5bX6pmMqjdYBdqVeCDTwkGlWWsVCy7DMVPUv&#10;Gv780TGRkTx68zVn7Vfer+BHlmgYSJgh+ZEfTJEoH8BG4RnRfKtVW9JK1Jl01Qan1QlfEQAAAMOR&#10;Kzm5X375JXI6JsnIWBSjVCoUClmkHM1Z/8raPq7izDfZVLzhtKlTMEyYMn5c39856IYAAAAAMPzo&#10;lXq44vjXs5WKzelp6bFR6auiqnXEzgtXeyx9aHXYq7UNnNZmUA8Rv5yaiBoni1SUF0qApHA5G6Yl&#10;T4uRUHPI9spJD2w7fwOsVHxepAYQePgjVytiGhWmiOEVeNhkNBos3iPFlDjn8fSo0SMaBhhmOAoT&#10;k1FcYeOtFn21YQB/SpgMOst1P8jmctEcNp/fuYjNZHpWvG0ogy8lAACAvvCzlc8gRxQEZaNMMXdO&#10;etAy35Wc3C7jU7ywek1CYlJCQkLatCnKmOhgLslg5wEAAADAMCVw9fCiqv6nR048nhi3a+HDsTgW&#10;eOlDT/WQycfojNFbUOxYQWX6GPm1+qYDlXW9euEsjL9rwTSM21XYIufsWpRGnLp8mTD5em0Kl5MZ&#10;FzlqQxQDCTzUM00GrCbaFioyi4fFh9IaDEar9wz3xFD+8sdjuDymH9FwJCXqtjXbcnPU/sMMOWzG&#10;jFmKERNZ6R+7wdGQq20qb2su0fVvXCGTzQph0FkcdkgIHSmDLC6bzmDQAAAAgMFi7NgEr7oeBUEE&#10;+YciVU2tL9GQdqe4Ic1d3/DkqVNBSJOgGwIAAADA8CZw9fBUWRU5bZ6dtn76xFgc25zuahwuKNl/&#10;tcB/6UOkHjLp2khRKAcXj0718KPaxt6GGSJeSxuPREPCYs/KLUGDrIuPQqUS35o9cfFXV7y+kOqD&#10;mBYjSR8jX5GdN9q2fCCBhypOM49pVJoiWE7OUP4sfkTDB8MEyzKVLA7dv2j48JyokRF216NpMj0k&#10;ZOzY0OQJ4hF/hOtuE+rr2qai1v6qV8jicRhMJjmx+Xzy65rF5dAAAACA+83rb7xBxRguf2rFxo0b&#10;yUZJaZnhTt0SDAvS862+Xu0pGmZkLOoezEhC9sl8/PEgpEPQDQEAAABgJECph01atX/PZWS4vGuh&#10;q+ghzuWsnz6JnAIxTnG0O2vbmpn6ttGsHvaW56MjkmWuLG/CYl/7dQ5lpXKgsu6x5JhoXEBOKVxO&#10;F4sVKZP53swUKq+5RKOLwvkYl0UORQ4YnHw5rAkk8NDMsJRiqih34CGjY8gFUrV3dDQbDEab9/De&#10;J5LkTy5LqGpuHg2iocngyPleTRj8RToLBayZP1GMbP8TdY62uaytqbjVqrP3ZZwQegiTw2ZzuSwu&#10;h/whAJUQAABgaLJwwbzj/zyx/L+Wku3jn32anJy8fduW/nVHychY9Pobb5Ario9/ACmJ1aqa7HPn&#10;L144j6IOyZkY1utKwXDFDwAAAAAjB/KmUaZQxsmjRVyen256q23tyewZHx67UN2ZcrtqYnLJ+lWf&#10;Ln90tlLhfxVIPayuqTS3NLU722Gb+yd9TGet66zcki7iYIO+U96N4t9zny9lMvenT0aiIWGxbzqd&#10;uyI772j+bbRUyGaN2o2JAg8jRf6MUOrYbbexGgvTPKTeeXtHR6NO50c0XP/LaaNENPyxXP9ddo0f&#10;0ZAeEjJ+fPi8RcqRKhqqc7TXDxZ/s+FKwd/K6q40BicasngcfigWKo+QxMXIxsaFx0Rh0nAuJgTR&#10;EAAAYCjz5LIlx/95ArV3bN/62m826nT9UOdaoZBTbeSnPHfefPRUGRP9i58/+9jix6kOQZQ4BN0Q&#10;AAAAAEYaTJ4AqYccpj+N6aam6adHTrx08lvdHT0rMynu9Kon/v3cUlAP+18sMHXNQIwUdWq7daZ7&#10;9MRXU+KoEMVN3+SBcco9V67uwEPy2BawfeojNrq9QlhbL1A7Q4aE8ywSDS1O729mzYz4TWtnFdfX&#10;j3jR0G5rv3JRXXBT63D4/MYQYexFi8eMTQ4deYeu7jZByYWN+S29LV8YQg/hCHiCMDwsSh6ZGB8e&#10;EyWKkHIx4T3WJQAAAMCQ58llS06f/TYuLp5s79u7JzU1df8fP+jjmMqY6BdWr6G5vVb+8fkX3Tt8&#10;9eUp1Hjr7XeDufqC3QYAAAAAIxImT6BUxsdKI5l0fzmbRwpKk/Yf3n81n5qTHhsF6mF/ob7jeSLn&#10;cz3nPx8dEY0LaO4cZM84xHXxUZnjlai97fwNyjIlIVyEGte0rbBVyWNbET0mOjTcT58WlqFUVG3g&#10;tt3ft+pfNNz82IRfrJjcqCd0td/7Eg0jpPwRIBq2Ndu++6amUevTAogeEjJ5UsScjJgRZpps0lhu&#10;HS7/7v+/emVPQRByIYvHEUrE4coo2di4sCg5Jg3nCHjwDQAAADAcefudLU89/UxISEjWwYNUOUKy&#10;8et1L5Pzr+Tk9mXwNWvWoMYHf/oj+Zg6ZSp6uv+PH5ATZY2yePHiIAYH3RAAAAAARjJsDI+NiY8O&#10;DfejHuqttjfO/sczbZl2Rz0sXr/quYlJ/lcB6qEfLtRoOq/n0pKfj46guS2S18VHbZg9Ac3/qkxF&#10;Pi4Ui9CilZMeQPMP5pR4RhpeVzeTjyeLVH7Ml0cbPLEkPirWT0p+e4jzR672NlZjZ1jvyzu0OJ3+&#10;RcPHFiSQjdJbX/oSDaMUwpmz5cNdSisvartwvsaPbzKfx5qXoVQ+gI2Yg9NucNScU1/a9sPFbT/0&#10;NhmZwWSgHGQUVygUh0L2MQAAwODT3t6fV1yFRcU7tm89/tmnNHdxwy5LyTmzZk5/73e7g05bnjkj&#10;jQo5JB9XPbsShTT+et3L5IT6vPrahuDKKTK2bNnS29dcv17V1mb034fP4zIYYLriHYPB2GMfhULS&#10;4W50hNBoIXca5GPnzBCaR4Na5FoaQrv7Qo85nTPd8+8+uhvkHV77nZd7XtharNYKrbbHtxoeJoF9&#10;CgwyRkJndTj89+EwWUIMh20FADR3ghuLxxcJMGa702TzKaA0Gk1HCkrbrNYZUTIus/NHPJTLyUyK&#10;f25Sss5iLdA0+7u66ujQW8wEoeOHhDC5EBHTyW2zlWGyTY2WcJiMWbGyX02If3KcknyKlp4sUr1f&#10;XvPmuNgND0/IVMoy4uRSoSsssUSje+Naqec4+Xrjn29VZWtaYJN6Qmcyya96IZ1htFrII9BrHwfd&#10;0czRsejtbAeXPoh/Mrc4nVqdzt7uRUnHWczXf5qCRMP8a5/rK7/wOkKUQjh1pmxY7yC7rT33+4Zq&#10;lc+7IPJy9YEHQmc+LB8xYYbNt1pL//Vj8WdVjTdb7EZH4C/kCHg8XCSSSTCJmCMQMDnsIfW5LlY3&#10;wxcOMJJY/cJq2Ah+cDi0BuMF/32YTCkmfGSYfkCLtchmq/bfh8VS8Ljj+2uNEVKps5124cJ5P32+&#10;/eZM0rgHJ0+aGNwq5jzyCPnynTt3kOviupyyuF9/dYpauvypFe/v2c0N6g9RIO0BAAAAwKgAGS4L&#10;MVFza7Mfw+UDVwsO55dkZc7PTIqjZsbi2MHM+ZvTp++8cPVIQam/C812p6q5kaNrjQwLZ4N2jzZp&#10;pSuK86UZyV3mH71R8V6x65o1UsgnH1HaMuLQjTLYboHDwcNihXiLVt1qMvjqU8duU7OIMeZwvm0w&#10;DkskGjq9SZk4i/n+iw8lJbi0Y1Xx19qyf3odYQSIhm3NttwctZ8wQzaLMfMhRWg4ewQchHaDoyFX&#10;e/tsTa9CC0PoIWwelyMUcIUCOoMB5zIAAMDgwGRIB3+l27dtISfUVtXU1teryUbeD9fIx4ryMoIg&#10;MAybNzd4KRbHRb/4+bPU0/WvrCUfv/jX52fPnv7DgT+jp0FuLjhiAAAAAGAUXSfxBDKeIIzQ1TVr&#10;He3e0yf1VtuK418/nhi3a+HDsfjdzMHA1UOrw16tbeC0NoN6iDhQWfddfdMchSQhXGSwOdSEiXxK&#10;lTXceb1cjgmQFwrCVQyxl3YoszD+W7MnNujNH+aXj8JcZjqDLomMwo0GdXMjefh57dMe4qzkN4rY&#10;BrlZwnIOYOJngKJhXem/y/L/7nWEESAalhe1FZf4i1BTxmCT0yJGwLFn0lhKT1Q1l+gCr13oNjnh&#10;c4UCLiaEr0cAAIBRiDImGvkaB5c47Iu339myY/vW02e/Ra7K619Z2xe58O7tA+wwAAAAABhtuIoe&#10;8jFjq7ZB79M14lRZ1YXqurfS09ZPn+Q5Pwj1UCGVMXmCUb7NCy3Wwso6WmVd90Vah+O6WuupG26Y&#10;PSG1on7n9XKtI6A8xxQuZ9eCaRiXFY0LkqT4pm/yRmcZRJZAGM3lW3UttW0+FSs906THVFG2UJFZ&#10;zOjo/wivwEXD4usfex1huIuGdlt7wTVtXb3P2E96SMiUqTKFcth/J6hztD+er9dXGwJ/CUfA4wgF&#10;fFwEP0MAAACjjTPfZJeVlV+/9gPtjm/JtKlTxiUn4f30o6Cqqd2xfSvZ+P3vfod0w/4CdEMAAAAA&#10;GI3QGXRMIuNjeFNzo6+0ZeSXcrK06uCS+Z6Bh7ReqodV6loRlxceFg7qoVdcdiiTx3aZOXes4rq6&#10;+aPaxkBG2DAtGeOyUJts7FowbdRKh+SB7fJLEQj9HNi0O2nLSqtYaAntx7X7EQ1jBJytP5+BRMPG&#10;qosjVTQ0GRw536sJg81XB4GAnT53eNtDB5GSzGSz+GE4JCMDAACMTnQ6/YaNr1Omxi482nFx8UuW&#10;PjE5dcq8uY+gIMTgoF579uxpVU1tX4bqenEFuxAAAAAARi0MDlemUCrDI/y4LV9U1c/I+nT/1fzu&#10;i5B6GIjnst5irlLXaupVTqsFNnsXNkzrLH14rqJ+0tFvN53OLdHoCIs9r0kXyMvXxUdNi7nHowxJ&#10;h7Mw/ig/sGOlkX4ObMpt2cI098tKDVZrQ1ubV9FwQpgg640FSDTUN5UV/fA3ryMMd9FQqzZ/l13j&#10;RzSMGyOavyhm+IqGdoOj5Hjl+Xfyio5XBiIaImdkSVyMZEwMHxeBaAgAADA6+f3uPfeIhvdSVVW5&#10;b++eXz7/3JxHHiksKu7LipClMkn2ufP9+P5BNwQAAACA0Y7LViImPozvs9IWCjxcdPhf1Tqi+1JK&#10;PZytVPhfkd5irqyrbmtUO+122OyI5TIxUv0Iiz3rZiXZONOiX5Gd9/DnF6gCiH6YhfEpx5VzFfUv&#10;n7pMjkO7Ix1KmaM6s8SVjx8THynyF1FoZlgqhLX1ArWD3qdj0mC1Nhm856tOCBPsem0OhrkqKuqb&#10;yq59t8vh8KKeY0L2sBYNy4vaLl+udzjavS5l0OkPPaSYMEU6TD+dSWO5frD4/Dt51efUgdQx5Ah4&#10;ofIIaXysKELKZLHgiw4AAGA0U19fT7Xj4uKXP7UCtTMyFnl2q6qq3LPn/b6sKCGx8w/5fz9yuB/f&#10;P+iGAAAAAAB02krEyaM5TJ+3uCjw8HBBidelsTh2etUT/35uaY/qodagr6ypJJo07c522PK/nJqI&#10;GkfzbwciFHbhtbTxqFGrM+687nJE2fRNHiUdvpoSBwc2JpHFR8WKuDw/3VpYhhLRj3peizPEGcRa&#10;+kU0fHhO1DDdyHZb+w9XNH5cUAQC9sLHYiWRvOH46ZBieHHbD435LT0qhiH0EEEYLomLCYuSg+cJ&#10;AAAA0Pkrj3VW+/nfj45UVt7euHEjerrkiWVtbbrj/zzRRUAMmp+t7FQkz549/de/fdxf7x/qGwIA&#10;AAAAcOeygCeIjhrjxy9Fb7WtPZl9srQqK3MezvXiSJseG5W+KupCdd3OC7kXVfV+1kWugmkgIkWh&#10;HFxMZ4zeP2TiHDb5WKLRHfBmmeKfdfFRlJvKvitFyETlMmE6mn8bBSFmjlceLVV5ypFSJnNzaoLB&#10;5thXWBWg6coIAKUt+7cRJ1Fxmunstt4WPewv0XCYZu/abe2Xvqvzn5s8TMMMkVFyY35LIJ1ZPA5P&#10;hIHhCQAAANCdyalTUON2RXnX60Bc9OSyJZ8c/Tt6ivxSgqCwqPjcdxdo7njGqipX/sovn3+uoaFB&#10;KOz8I1ZiYoIIw4KzbwbdEAAAAACAu6D4LJ5AWK/VWB3eMzdPlVUl7T987KlH02O9R0hR6uFLJ7NV&#10;3lKbEY52Z21bM8egjwwLZ2P46Nzga7/OmaOQHFNpevtCzwzlozcqzrToqUUHKuseS46Jxl0uNOTg&#10;hXcUSSmTuT99MpIa1YQpCKVyWINsxP27LaOih2x2W7QljG/r+ZgMUDS0W/WFVw6NPNGwrdn2/X/q&#10;fOUmh9BoU6dFDkff5F4phlxMwBOJOAIeDQAAAAC8sWxp5ja3nPfxkcOvb9xAiXeaBjX5eCUn9/hn&#10;n6I5c+ekB7eKrKwP9+3d02Xmf//29S5zXn1tw973d/f67gB2IQAAAAAAXWDyBEplfHRouK8Oeqvt&#10;p0dObDp7yc8g6bFRJetXfZA5T3mvF3MXrA57tbahvvZHh9k4Cjd1ocV6oLIuiNA/zwzlQ+VdFcDr&#10;dV6ksdUJd+MTv6tvGoVbu9NtOSbef9qyjW6v5DeqhHX+LVP8iIYZsRJP0TDv7E6jwUv47bAWDX8s&#10;1/sRDdksxk8fjxt2oqFnVrL/niH0EOR5EiqXgWgIAAAA+AHHRc8+t4rmrmB4+OOjtDuVDXds3/rX&#10;v338s5XPoG4vrF6TMn5ccKsYm5AYSDeCIIK5L4BdCAAAAACAV3hiSRyP5yfw8MDVggvV9VmZ8ybK&#10;JL4GWTUxmZz2X83fcSFXb/WZzGi0WavUtSIuTyKVM8BGoCc8M5SPFVQGIjsuFItWTh6L2gdzSoKo&#10;pThiIA8wmUIZbjb6ObZJ9EyTXmgSOfgKUwSzvesx6Uc0fCJJvmntLNQeqaJhUX5zxe02X0tDcU76&#10;/Ojh9YnsBsftf6uqz6l7Pn6YDC4mFIhDwR8ZAAAACJDXN274+MjhqqpKg/viYe2vXjl79jTNnU2M&#10;OsTFxW/Y8Jugx1//ytq5c9Lr6tVlZa5UaHIt5WWl1NIalQqtLrg8aNANAQAAAADwfaHQU8XDm5qm&#10;hYf/tWvhw6smJvu7mpk+ya0eFvzhar4f9VBvMetrKqVCkShcNpqLHvrHM0OZ5OmJ8eTjR7WNnh3m&#10;xMs9XyJlMl+d2RmfmFfT5JmhnMLlrExSjsK0ZRRUa9W11rc2+yl66FIPRT9G2EVis5hSDwMUDUkK&#10;v/+TV9GQyaSnTpUNU9HwhyuaunqDr6UJY8PGTRQPo4+DFMPa7xt7tD1hMBmC8DAoYggAAAD0FhwX&#10;fXf+fH29GiUpP7lsyQur1/zlUBZaGhcX//ejnwQdbNh5RTd+HDklJyWSa8EwYcr4jf12yQT7DwAA&#10;AAAAP1AVD2s0aq/yCjJLuVhdtyvjYa9mKZ0XTFzO5vS09dMnbjp76UhBqZ81ag36VpMRLFN8QWUo&#10;I6JxwYbZE9ZY7KVa3bX6JrlbNMS4LoWLsNhR5cT3ZqagcofknDevFHq+/J2HJqDQRYPN7ik+jhI4&#10;eFisEPdf9JCkkaUnJ6QeWsztAYqGty793ybNLS/X30z6Qz+JCg1nD7vN5d8FJYRGm/WQYnj5Jtec&#10;U98+W2PV2f13A8UQAAAA6CPKmGhyop7u2f371ClTr1/7AcOwrVvexfv8E/PXv31MRS92YflTK0Qi&#10;1/jkGuVyedq0KZ7vpEdANwQAAAAAIIArBp4gNia+RatuNXlXTI4UlOZrmv3nLNPc6uHBzPmb06dv&#10;OnPpVFmVr25gmeILzwzlcxWuQLa5YxXkI8ZlTYuRkJNn573f39I6HORLqPnbzt/wTGp+PjqCGi2v&#10;STc6N2ln0UMMJ1qbtAa9n55IPeTROGwT39ke0mVpF9Gw9GpWQ22ul1Np2IqGJoMj53u1L9GQxaQ/&#10;Mi+GLxw2NxfNt1qL/1lp1Fj8dwPFEAAAAOgtV3I6LwDccX/eowhxXLT+lbX9uNIb16/5WkT5rtDu&#10;RDi+sHoNSYD2yqAbAgAAAAAQEHQGXRIZJSJ0dc1ar4GHAeYsk8Ti2LGnHr1QXbfzQu5FVb2vbsgy&#10;hVxjeFg4kyeAXSBlMldOegC182qaXsstds28Xv5YpDhVHo4ERMS5ivqvbtedadG70pDvvKSL7TI5&#10;2pq0zj01yise0txFD0Mj5Bge1tTcqLf4s0Mxi6xGoR1v49B1XEo97CIa1pX+u6bygteXp6VFDkfR&#10;0L91slDAnrcoZrh8FpPGUvhJRUtZD0I5KIYAAABAEFzJyZ01c3qXmXFx8XPnzScbCoVCFikXCoXJ&#10;SYnup/Jehf75obufsh/+ciiLnN56+93t27b02Bl0QwAAAAAAegEbw5VsjkbbYLR5kZkCzFlGpMdG&#10;pa+KOlxQsvNCrkrn09/NVfRQXSsVirAwySi3THk1JY5KQN6TV4Jmah2Oj2obXSnGucVSJhPNoV6y&#10;YVoyekl32+XNqQloUZeKh6MZBoeLLFOaW5v9qId0ejshNreHWvE2DoPgPP5AVBfRsPj6x15fOHGC&#10;VCofft67WrU5N7fBl2gojxSkPRQ5LD5IgOYnIfQQTBoOiiEAAAAQBAqFPC4uvqqq0nMm+bTqUKWv&#10;l2RkLIpRKlOnTO2XCMS2Nh2V9XwlJ7euXr38v5aipy+sXqPX66nwwx3bt5KPPUqHoBsCAAAAANA7&#10;GByuInoM0aTxZZYSYM4yAhku77yQ698yBYoekmSOV6LG3u9veQ0P7GKs7Jmh/FVJjefS5TIxik/0&#10;lCCBzutjnkDGE4QRuobWZj+Gy0g9pInNnChc09ImE4eSM/VNZX5EwzEJw0+K+rFcX3BT62vpMHJB&#10;UedoS09U+S9lGEIP4eMi8EoGAAAAgkYZE33y1KlPPvm0vr7+XPa3XQREryCzY9qhLLlc/uSyJX18&#10;A56lElEmMuXBcujDgzSXmLhx9+7dSD3csX3r4sWL/Scsg24IAAAAAEAwYBIZlyeo1Tb4yVnOypyf&#10;mRQXyGjIMmXHxdwDVwt89YGih5tO5yaEYhqj+bimpcfOnhnKJGS7vI1AecqzMP5rDz2I5h/Nvz3K&#10;M5R94QqtxXBbT+qh6yq8upqcVsfGLh4vrbl2wGufMbGiESYahtBok1NlMXHCof8pTBpL/kel+mqD&#10;/25cTCCKkIBiCAAAAPSRlPHjugTx6XT64hKXK2BJaZnBYKgoLyMIokal6lQM7/DBn/4YtG5IiYP7&#10;//hBl7hFckWeT2fOSPsw6+APeblI0/zyyy9BNwQAAAAAYEBgCYRKdqxGU+crZ3nF8a/XTZ+4K+Ph&#10;QEbDuRyy5/rpk/xbplBFDyXhEQwOd1Rt8DMtes8Chf5556EJKA0ZQbZ3LUpbUdN0rb5p5aQH0KIS&#10;jY7KUE7hcuYoJFMUnfGJZLfv6ptAUuyteriUHT+BWxfGuqd2XpRCOHGqdNh99h+uaOrqvWttDDr9&#10;4Uei8LBhUKix5Hhlj4nJLB4Hj4xgju4yCAAAAMDAgeMipM11V+hUNbX19eq8H1yuJnK5POhVPLb4&#10;caQb/nrdyxXlZZRH8z8+/wKpkxkZizzfz67d76P85fr6ev8jg24IAAAAAEDwMFgs/znLB64WFDQ0&#10;HXvq0R7LHSIoy5RNZ/9zU9Pkq5ur6GFdtVQoEoXLRm3ash/eHBdLGSUfvVGREB6KEpa7eC7vzS2i&#10;uQ1SXk2Jo5KgEWS3l2i0k0WqfYVVXdKfRyFIPTS3NJHHudcAW4oTNik5PcwkHuJVy9jN5JwIKX/q&#10;TNmw+8h+REM2i5E+N3roWyc332q9+fdy/4nJDCZDJIvgCHjwpQEAAAAMKDqd/vMTJ+fNfaSLEQr5&#10;lJwCtDb2w5PLllAhh/v27iEn8inNbYGCOix5Yplnf7VaHeDIoBsCAAAAANBX/OcsX1TVJ+0/fGbV&#10;E4GUO0Skx0blvPj04YKSTWcu9Vj0UBEWzsHDYC9QLBSLVk4ei9oHc0rcEYXV6+KjqDBDatFlwiRl&#10;MvenT6ZExi5kjlcmhOMrsvNgq5LwxJJYXGzVtfSoHl5yYJeIB1MZprmh2kdnhAy7T+pHNOTxmBmP&#10;xg7x9283OEo/r6q70uinTwg9RCAOE7qrUgIAAADAQLNh4+tIwrtVWJQyfhyaiYINMUxIzekLe3b/&#10;3tP2hFIMEUsyF3s+/eJfn6PG7PRH/A8Lf58HAAAAAKAfcOUsR8UK2N6DCvVW28wPjx0u6J3/xqqJ&#10;yaXrV22e7e8PsI52p6q5sb72R4fZCHuBhoIHZ45HbU+jZLKx9uscqhvKUO4iGp4sUm06nfuzzy+9&#10;fOrywZySWp1rk0bhfNiqdy+dGXSeWBI3ZmysNJLD7CGt9bqTv6c59tljMUcuSQzm4ZEDa7e1XzpX&#10;50s0lIRzh75oqM7Rnn8nz79oyMUE0jgliIYAAADA4HDmm2yk4sXFxVMS4Xu/2x2rjJk1c/qDKeMX&#10;LvxpYVFxH9eC46IPsw7+4cCfybV4zs/IWHT67Ldd4hzHp6SQj//nf36/bGmm/2Eh3hAAAAAAgP4B&#10;5Sy3Naq1Bu81+NaezL5YXXcwc34vLoC4nM3pac9NSvZf9NBos1apa8P4wrDwCMboLlK2OiEqGhfQ&#10;vBklz1F0zVDenJqAREOy86Zv8i4Tps7FFhrZPlBZl8LlNDqccGx3J/C6h9fNIdeLuR+Uc5+Q25+b&#10;oZOFWYbsh3KJht/VEQbvEb4x0Vjq9IihvFPsBseNQyUtZTp/Nz9sFiaVQGIyAAAAMJiUlZWjxrPP&#10;rUKNt9/ZsmP7VqrD2bOnMx9//Lvz57uoe70Fx0XrX1lLToVFxQTR+VdAr0nQW7e8+8wzzwSSHw26&#10;IQAAAAAA/UlohJzP49c1a70mch4pKM3XNJ95bmmA5Q4RVNHDl05mq3SEr26tJgNhMUeKQnliyejc&#10;+J4Zyl2Mkmdh/JdmJKM2ylBeLhPPHatAc7adv3FXNPQAfFH8E7h62OCg/bmG9ecayVKx88kHTbOS&#10;dEPtswx30VCdoy389LbT6lPmhsRkAAAA4H5RUV6GGpNTp9DcXiWUaJiRsQj5llRVVdbXq/uoG+p0&#10;+m+yv6NqFyYmJixcMM9rT8qqpUcgTxkAAAAAgH7GJabIo31lcd7UNCXtP1zg2/PEF+mxUSXrV/0u&#10;4ycijk8XV0e7s7atWaWqHJ1pywmhGGp4ZijT3MnLuxZMQ+1zFfVo0S+nJqI5B3NKArdpBrwf8Mr4&#10;OHm0iNtzFNuJFsbPL2BPH4n6PDd86CQv+xcNU1NlQ1k0tBscuftuFfytzI9oyBHwwmOjQTQEAAAA&#10;7i9qtfofn3+BjIxJ3nr73TNn/v2/Hx3pvH5zuyoHzV//9nFqaio5+K/XvYymRRnzn3r6mT5mQEO8&#10;IQAAAAAA/Q+Dw42OGqPV1Oot5u5L9VbbwsP/2rXw4VUTk3s78vrpk8hXbTp76UhBqa8+Vod9dKYt&#10;H6isM9jsQjbrmErjOX9zagJyRKnVGXded2XKLBSLUDozSZfOfWEWxsdYrsvLUShEMnkCGU8QbjYa&#10;CL2vVH0KV/LyDR7tBu/lGPuCJNOkOOI+vvMeRcOYOOHQvQHrKcyQwWRg0nAuJqQBAAAAwH0ChRmS&#10;/Hrdy9TMjIxFr2/cQDaSkzr/lKtpUAe9ir/+7eNfPv9c9/nHP/v0h7zck6dOBW29ArohAAAAAAAD&#10;Ap1BlymU/CZNg76t+1K91bb2ZHaBpmlXxsO9HRnncg5mzl8/fdKmM5cuqup9dRudacsf1Xqxg5gW&#10;LUWNHRcLtA4H7d7IRDSnjywUi16dOZ7SIl/VGcl1ec19HtkweYJQngALkxCtTa0mo3/bZRJ38jKe&#10;yhOtTLJkPKgX8uyD/Ib9iIYhrvucoSsaBmKazA/FhOFiOoMBX8gAAADAfWTZ0sxtcfFVVZWeM7dt&#10;347jIrJRUlrWx/F1Ov22Le9QT996+11ZpFzToEbZ0OR6t2zZ+tmxT4K8toH9BwAAAADAwIFJZBwO&#10;11e5wwNXC6rbiKzMeb0qd4iYKJOcXvXE4YKSTWcu6a3eQ6VQ2jLHoFdIZUyeYNTuhb3f33o0IebC&#10;j2pKyDPY+lOfenNcLFVXERGNC15LG385O290bnAGixUaIRc52+0GnUbX6r/0Ie3+hR/6EQ3pISEz&#10;Z8klkUPUP0R3m7h+qNiq87lhGUyGSBYB/icAAADAUADHRbt2v0+lJ5Mc/+cJqrygwdBpYDI7PT24&#10;8XNy85AoGRcX7xlauHjx4lkzp9PcUYdnvnnJV61D/4BuCAAAAADAwOKq/sbm1Gnqvaonp8qqFh45&#10;ceypR2NxLIjBV01MXpIYt/9qwc6Lub76jNq05bvXppoWcvKck9fU6csxLUaSwuX0xf9kx6SEzPFK&#10;1D6YU1LeRrzzyGSMy0qW4X0cebhDZ9A5eJgSD7MRulZC5zVnvwtU+OGSMdaMFMOAmi/7EQ0ZdPrc&#10;BTF84RC9Uyg5Xll9zl8mF4QZAgAAAEONJ5ct6ejoQDbHCoXc0/9k1bMrNQ1qWaQ8OF2P5uHX/NLL&#10;r3jmI8+ckfaHA39GydFkH9ANAQAAAAAYovgvd3hT0zQj69Mzq56YKAsmoRjncjanpz03KfmlL76F&#10;tOUAKbRY82qapsW4NsU7D01Yf+FGcNnK6+KjKNFwz8WbKEt6tc6UzMXJhojFoFlgY7ukcxmGS6wW&#10;QtcaSPKyK/ywmLu1mLtU7Fw01jwr0djv+cvDVDQ0aSz5H5Xqqw0+v2ogzBAAAAAYwngtMojjou3b&#10;tvRlWKHQZ1GRaVOn9PE9g24IAAAAAMBggModchrVXi0j+uKUgojFsdOrnjhZWrXp7CWVznuaJ0pb&#10;FpgMEeHS0Zy2jNiTV/KBdAYKDPzrwmn7rhT11sxkoVj00ozO/UWJhiTkgKgxCusb+oHB4fYqeZnm&#10;Nl8+cVUYeU34hNz+UJxlVpKuX97JMBUNe7RAgTBDAAAAYCjwj8+/+OrLU2QjdcpU8jExMUGEubJq&#10;MEwYtDmJf9KmdYqDB//8x8zHH/NcSx89mmmgGwIAAAAAMJiERsj5PH61tqH7IuSUomojNqenBT1+&#10;ZlJceqzCf9qy0WatUtdKhSJRuIzOoI/afVFosW47fwPlFEfjgl2L0na5bVK+Lq/pktTsFSmTSb4W&#10;tU8WqTz9WAiLnRzz6I0KOOC7QyUvOwJzXiZpcKD8ZVbk99hzsdYF44wPyIMXZP2Ihkwmfc68ISoa&#10;3jpc7scCJYQegsukYJoMAAAADAU2bfxNpwXKoaxA+r+weg3NpSpie9/fHdwaU8aPIwf5y6Escr0P&#10;pox/6+13Fy9eTHOLhpSDc2JiQnCDg24IAAAAAMCgwsbwOCazRqP2mq2582JutU5/MHN+0OMHmLas&#10;NehbTUZFWDgHDxu1++JMi574Ju/FSQkoYZnmLndITsePfuvzwpTLmSbBv2poWZ0QhXFdxSJrdcZ9&#10;hVWefdZ+nTMOF5xv1sPR7u8q3O28LAqXBR5+2OCg/f42h5xSeWHzFbYgBET/omHGT2NZ7CGnpJs0&#10;lmsfFBo1PjPeOQIeHhkBYYYAAADAEGHuvPlVhyoD7/+XO/Li7PRHnly2JLiVbtjwm3PZ3yK9csf2&#10;rchJmSIjY1HQxRNBNwQAAAAAYLBh8gRKebRG22C0eTHNOFJQmq9pPvPc0iBMlikCTFtWNTeKjIQk&#10;PILB4Y7OfXGZMF2+lL9cJn5YKcM4bHJOeXObn/4fPOpKbd7gMedYQWWX2oiFFutotkPpFVT4oTPg&#10;6oc0VACx9wLicBQN/ecmh9BDBOIwoTgUDiQAAABg6LBhw28SEpPKy0rJdo1Kdfbs6QBfePHC+aB1&#10;w5Tx406eOvWb137jdXXbtm8P/rod9igAAAAAAIMPg8ONlCv9OKUsPHIiK3NecE4pFIGkLZNvQF9X&#10;HSkKFYRJR23acnfDZV/U3fE8QdTqjJ4ZykBfzghU/dBhIgI0X6b1RkAcjqKh/9xkJpuFR0aw+vDX&#10;BQAAAAAYCFLGj/Nax/BKTuflaElpmcHgxeOrjx4m5ErPnPn3X//28cUL51EMY1xc/JKlTzzzzDMz&#10;ZwRfBQh0QwAAAAAA7g/+nVJc0uHhfwVtskwRYNpyg76NYzLKwyNYAiiR5o/1F268NzOFymuOxgU7&#10;JiXsK6wKzo4Z6H5SdJov2+0OkyHA/GWah4AYyRR3N1EZdqKh3eDI+2OhH99kLiYQRUggNxkAAAAY&#10;RlDiXV9UPD/84/Mvbly/9vrGDb/4+bOHPjzYX8OCbggAAAAAwP0kNELO43BVzV6iivpuskyB0pYP&#10;F5RsOnOJHNZrH6vD/qOmTsTlSaRyBosFu8Yr3fXBzPHKOfHytV/nQG5yP0IegYw7+csmQtdkIALJ&#10;X6Z5mKjQLmCrIh2zlJaJSktRbvkwEg11t4ncA4V+cpPBAgUAAAAAuqCqqUV+LARBBO2v4hU6bFwA&#10;AAAAAO4vHDwsVhrJpHsJHUImy4cLSvplRasmJpeuX7Vu+kQ/ffQWs6qu2tzSBPvFK8tlYhRsSFjs&#10;J4tU5CPZxrisKH5nuqiUyTz08KT8lfO/fGwmbK6+w+BwMYksbszYMbIoqVDk9TTxxeEG5itXhQ8f&#10;l/ypdtIN4wOtdtxz6dAUDWvOqa/sKfAlGjLZLHG0AkRDAAAAAOgCLhIhU5R9e/fodP3pTQfxhgAA&#10;AAAA3H/YGK5kc1TqWq9BVWtPZl+sruuLyfLdiyouZ1eGK4Bxzcnsmxrv4iD5HmrbmgUmQ0S4lMkT&#10;wN7x5JdTE1HjaP7tA5V10sKqp5UymtuaGc3fnNrpzmywQOZyf8ISCEPJiUazGw1GIxGggwriupNP&#10;TjRLNB7inMNqiWbpxvCbMn6qGGqi4fWDxY35PutsQm4yAAAAAPi8xMVFGRmLkClKTm5e0O7J3YF4&#10;QwAARibO9naH2UhOTrsdtgYADAsYHK4yKlbA9u5ycKSg9KWT3/bXuibKJDkvPv27jJ+I3A7CXjHa&#10;rFXqWqJJ0+5sh72DWBcfFY27hNRanfFAZR3NnbZMNlCb5o5GnDtWgdp7c4uoF87C+JeWpe9NGwfb&#10;sO+4BMQIeXARiLoOxgmb9IBx7CbtzHWfx3yQLc2vwobCh7IbHJe2/eBLNAyhh4hkklC5DERDAAAA&#10;APDF+JQU1Lh44UI/DgvxhgAAjEzQDX/PX4J0Bp/dVTUQcflUm7xFYXh0gMgjABhQGCyWH5PlIwWl&#10;+ZrmM88txfvJQXX99Eko8PBUWZWvPg36NqaBiJZGgl8KycpJD6DGsYJKrx2oaMSDOSWXibvGvm/N&#10;nohxWS5JMbcYNmN/0SUCkTxrAjRRQZzTh5zTc2i3ybMJXyp2TpbZZz1g8mXHPKDobhPXDxVbdd7f&#10;PIPJCFVEgm8yAAAAAPjnscWL9+3dQzZ2bN/6zDMrvHo6BwHohgAAjGoc7c7u8oRXwaLrt6eH4Mhn&#10;c1C4B5PDDaGHkA06m0dnQEA3AARDzybLR070o3RIjnPsqUcvVNe9dDJbpSN8fVGAXwqiTmdK5uJ5&#10;NU0f1XrxsaGiEckOVAQiyfPREWh+iabT4XfHpAQ5xn/zSiG4MPcLlICITFRaTcZeCYgkJ1oY5EQr&#10;5kYyxRkSx4RI+8Ro8+BoiDXn1KUnq30VNGTxOGGKSAgzBAAAAAA/6HT64pJSEYbFxcWjKodbtmzd&#10;uHFjvxg3g24IAAAQDJ6Coy+dkdIWOUwWOVGhixC0CAA9EhohZ9DpDfq27otuapqS9h8+s+qJiTJJ&#10;f60uPTYq58Wn918t2Hkx11cf8kw31VVHikJ5Ysmo3S/rL9xIFfGv673LSVQ04qdFd+M3pUzmmrRO&#10;O+yvylTk45vjYjPHK8lGahGfqooI9AsuExVyotGcdrvDZGhzByH2aoQGh8tNhUZON3iRTPEMkSsO&#10;cUKUdVIcMRBv+PZXNRVfqnwtFYThmDQcdisAAAAA+OdPH2T9929f95xz/LNPyclzTkbGorW/euXJ&#10;ZUt6OzjohgAAAAOFh7bo5bZNwOYw6HQkKTJYLDqTGcJkj/JQJgDwBJPIOBxutbah+yK91bbw8L/6&#10;VzrEuZzN6WnPTUp+6YtvL6rqfZ3Uo9wvRetw+FL6FopFGNf1DVai0Xn2eTUljpr/UW1jCpezcvJY&#10;mrtCIoiGAwf5a8LAw2R4mNTZ7rSYgshiprk1RCoOEeUyJ4Q5JkbZJihNQl4/1A7244ISQg/BpOF8&#10;XAS7cvCxGl0XLXartcPpCgK1WSywTQAAAPpIYVHxgynj33r73TVrXlTGRPf7+A3q+h77nD17Okap&#10;BN0QAABg2GC0Wd3/d5UUkZ6Icp9ZPF4IncHgcGFzAaMTNoaPoTNqtQ3dfWORdLhrocsZuR/XGItj&#10;p1c9cbigZNOZS+QqfJ28VeraSFGoIEwKFQm6Y7DdVZR2TEpAoYW0OzYpG6Z17i9UIVHKZD4WKZZj&#10;vEgh/5JKc1zTEsgqUricQosVNnUgkIco3SOL2WExBxGEiHAJiOTkqoeIpfI6Zkgc8eGOeIktiFBE&#10;u8GRsyffqPEuSEFBw0HDbrE67XbXo8NBTnYznFYAAAADAkEYaO6yg7JI+fpX1vb7+Bs2/GZsQuL1&#10;az+Q7b8cyvLVTaFQBDE46IYAAABDC6Qndt7U3cnRdIclMkVcPkp2hvqJwOiBJRAqmdEqda1X6XDt&#10;yWyy0b/SIRpwSWLcprOXjhSU+urToG/jmIzy8AjwS0HUmToVh2kxknXxUeVtxGMPRFHeynsu3rxM&#10;mMj55FKaO9iwTGfwVBVJyM7Fn1/qURAkB3lpRvK5ivrXwGKllzA4XHKighAtZiNB/rMFIxVdN4dc&#10;r2HRyInGo0IR48Pt8RG2Hqsi6m4TNz8u8yUaMtkscYwCChoOEHaL1WoyO6xWUAkBAADuCxXlZQMx&#10;rDImmpIjD314kJpfWFSMJEvXpVq9Om3alCAGB90QAABgGGB12MnJM0IEFU/kszlsFhuURGBkw+Bw&#10;lfLoOk291yzLAZIOcS7nYOb85yYm+/FLId/Pj5q6ML4wLDwCigwUWqwHc0pemuHaEeiR4uiNis4M&#10;5TsFEKNxwZ8fnxXEWqhB5BgUig0eFITIEghRJUSnxWQym4JIZKbwCEUkEfuREXW3idwDhb5cULiY&#10;IFQugx3Uj7Q7nXaLzWYy2SwWEAoBAAAGjb/+7WMMw6IU8i7OJEWFhQOxOuSLQja6rK5fLJVBNwQA&#10;YGTCYTA5HrfxJpute7DSsAYVT/RUEqmYRCaHS2cyIbsZGEmQx3N01JgGtcprbNTak9kXq+sOZs7v&#10;9/Wmx0aVrF+180KuH7+UVpOBsJgVYeEcPGyU7ybkobxy0gOooCEJYbFn5ZYg8+UN05Kp+Yi8mqYL&#10;P6pT5eEoLLFWZ+wx2HDNhHg0CLJYAfrh5GKxGCycjeGh/aQh0nzIiBFYu7ix1v6tT9FQKBELxaGw&#10;R/oFq9EMWiEAAMB95JfPP0e1MzIWnT17GrXJxuoXX0qdMjUxMSE5KbHvtQ51Ov3vd+/ZsX0rNef/&#10;/M/vf7V2Dd5/NYJBNwQAYGQixfAePU/JG6QOx936Ze0OBzkHtR3tTtMdecLqcPTl9mnwbhK6xSSK&#10;uDw+m8PhcBlsDsiIwHCHzqBHypW+pEOUUDwQ0iHJ5vS0zKS4TWcu+fFLUTU3CgidTBo5ys+1A5V1&#10;x1SaxyLFQjbLYLN/1dCidTho7uRilKGMKNHoDt0oO9Oi93Rb/t8f7mbuLBSLEkIxslHeRlD2KeRM&#10;pDAiixU4Kfodrxoi+WsYXC4zRaeM6CKBNi5his0w1toaYW4NM7fxrUbMpA+hh+AyKReDlP8+0e50&#10;WgxGq8FoM1s62jtggwAAANxHumiFnotc9Qc9ShAuf2qFSCRKSEyKjIxMmzalVxGChUXFv3ntN13G&#10;/+/fvv5DXu5nxz7pr88CuiEAAKP6BonmO7UQ83JF3t5uc6ly5OW4w+oqzISkOhpVjnCI0SUgEcmI&#10;XJ6AzuZATiUwHKEz6IroMW2Naq3Biw/vgEqHE2WS06ue2H81f8eFXD9+KZV11dGh4RxcPJrrBmgd&#10;ji6inmeGMmGxH82/jSITSTanJqD4wXMV9cgU5fnoiKcnxkfjd9OQ33G/RGM0v/bQg2gOslhBI9Pc&#10;KdJwdgzETySlIba76yGSP3x6i6nvv3fX2EJyomEx1Jx5TqMsxK5oN8mcJlGHVdJugu0fOA673UIY&#10;7WYz8kHuL9h8gXhMgutyKCJSKI38dZ3L2j58zNjuPUWRUWwuD3YEAACAJ+/vfT8r68MvTvyrqqrS&#10;f8/jn33q+TQjY9GHhz4MJA5Rp9Nv2bK1i2hIjfne79LefGNjv3wW0A0BAAB6oVnQeZ23ssgJgbpM&#10;RtWYUAAjpSqS91e0oSQpdsqIepfZCpPOwLg8AZvD4vGYPCgTBgwnQiPk5KMv6TBf03zmuaX4wDix&#10;rp8+adXE5DUns0+VVfnqU9vWzDHoFVIZnFkUcxQSJA6WaHTbvr9JyXzLZWIUP0hY7Duvl9Pu9V+m&#10;IF/rWTDxYE7JZcKEXv72vFSysT37eoBGzEDwP3/ueog89++dw2x02mxml4xo7pd4/GyG+2Shh1K3&#10;JvPazQKaI7GdwNtteIdV6jSwae2wIzxB0YVmPdH3TGShVCaUyuUpk9kCoXhMAsf12FUfTIUtDgAA&#10;0BtSxo/b+/5uctLp9Dm5edeuXf/v376OFsXFxc+dN/9c9rdeJcWzZ0+T3QPRDQ9/fJTSHMkxd+1+&#10;P0oh/+STT/bt3UNzRx3+bOWKvudB00A3BAAA6EeoAEZPVRFJiuRdFvloN5tRBrSzvb2PaV99hHwb&#10;rSYDOSHLZgGbg3F5EIoIDBdCI+QcJqu2rbn7opuapoVHTgycdEgOe+ypRy9U1/n3S6lS14bxhWKp&#10;HAyLSK5pW/Nqmq7VN1FhhiRSJvNu/OD3t7QOx7r4KEo0RP0xDnN2nNwz9rBWZzym0qC2TMDr0gAG&#10;ByZPQE7kCRZ6JxKf/HXTW0z9WEo4m+7ep/R7Qv8z2wkhzaloN41yMdFCGMx6oi/RheIxY8PHjBW7&#10;pgR5ymQ4pAEAAAYOHBctXDCPnH7Iy0Uy39x58ynLY+RnUlevJqkoL6urqyP7LJg3J5CR9/z+d6gR&#10;Fxf/3fnzSCKcOSONIIi/uPOgs8+d/8XPn+2H333YiwAAAINzl0U9UrdBTqulo91JiYn30bzFiMpX&#10;uUMROUyWK6OZx2dw+aAhAkMWnlgSy2JVaxu6Lxpo6ZDm9kvJefHp/VcLevBLqakEvxSSy4Tp8qX8&#10;LjNfTYnrkqFM5TIfzCmhFMb3iqvXxUdR8Yb7rhShgom0OzYsng1g8EGR+OSvG9JunXZ7u82KMpr7&#10;/UftJJIR6fd4p1CRiWRb6XQ9Rjn1I3JTO+x2U2ubWW8IrnZh5PjJ8pTJkSmpIBQCAADcF0QiL0Yl&#10;OC7q4oBMowVUl/DMN9lUuOKu3e97xhWueOYZpBtevAC6IQAAwDAH+Sd4iokocAM5tAzETVcgWB12&#10;rcFOcyeBgoYIDGXYGB5Lo/mRDo899Wgsjg3Q2nEu5wGGRFQj0keYaByH9/t8t1+KyEhIwiPAm8gT&#10;KZNJhRaiDOWFYhGSEWt1xi46oBzjo8a5inpPj5TrehMohkPud81VFZGFMpppd8p32M1mo81qc9gH&#10;ItD+nshEjzubTLeSiPREmdPEoTlFHVasfViWwrQQBmObLoh8ZNAKAQAAhg6z0x9Bcl5CYlLfR7t2&#10;7TpqxMXFP7lsieeihQvmkTOrqirPZX/bL+8cdEMAAIAhhGcJRXTThZREVEmq76aWvcVTQ6RymRlc&#10;PqReAkMENoaPoTNqtQ3dFfabmqYZWZ+eWfXERJlkIFb9yX+q/r9DOeSllLBW1IFbCbGZTveeMukq&#10;Ler2S+nR5H30oHU4jt6oSAgPvVbfhOIHCXun9tqgvyf7chbGRwojVQNRymTuT5+cLMNLNLoV2Xmo&#10;WwqX0+hwUqGIwBABle+gohFp7qod7Q6H1f2LNqB/G7sTnNhVT4ygOWe4fVeQpIhSnmlDMkqx3ek0&#10;6Qhzm87p6MVWYvMFsdNnK9MelqeksgVgUQ0AADBU+MXPnzUYDEKhcNnSzL6PVl5WihrPPreq+9K5&#10;8+ZXHaqsqqosLCrulUGzV0A3BAAAGNJQKWCokhTNnd3stFnRTddgmq545jKLuDwRl0/ekEAIFXDf&#10;YQmESma0Sl3bXYDQW20LD/9rIKTDO6JhJyE6jtjIMklMNoHN10vAL6UL7xVX02jV1NPLhImw2DEu&#10;a1qMRMpkUgrgi5MSUONo/m00872ZKckynGwIuZ3Xsc9HR2yYPcFTRgSGLOj4Z2O4Z5S902az2W2D&#10;U6+jkca4R1K8l4kd1tgO11ms7DBxO1zvBOU+czocg+nyHERKslAqi02brZw+G0ILAQAAhg6qmto5&#10;jzyyZOkTe9/fTT5NTEyor1cXl5SOS07CcVFfRkahi9RauvifKBQK1MjNuwa6IQAAwKiDweGSE7rp&#10;kt2REU1m02BGI3ZaM7c1M+mMML6Az+Mz+RgEIQL38aRQygdPOuwiGnbe5zvo7AYhH+8wiQ02uneH&#10;WeSXIhWKROEyOF+6812lGoUWbk5NeC23mOYWBKfFuHYcYbEjO5R18VHUnB0XC2juSMM1acmw9YYp&#10;nn8b81qvY5BtxApCOOTkbmJe75aocEXanYhF2p08aFp/yIsOu93Q1GIhjAH2R9GFY+c8CnIhAADA&#10;EGTjxterqir37d2z9/3dqpral19aQxUlRK7KGIaNTUhEc5ZkLg7Q/riwqJhq79i+lZyop8ufWiES&#10;iagM5W1b3rl44bzrV829orlz0oOQEUE3BAAAGPaKCZIRUTSiw2xElaQIi3kQaiOSq9Aa9O5E5gYR&#10;lxcqwJhcHgQhAvflRBgc6fA/JY3dRUOEgMORMoVOIkzPa6ljt/kagTxlWk3GqHApedrCjvNkX2HV&#10;nHg5xmXNHavYYXMcLVVRgmBWbonW4UjhcijvFHLOZcIl0KxMUqLCiF+VqaihZmF8jMWkiiECw4ju&#10;9Tpo3WzErA6H1WG/L2/vbrgizSNi0dsdFRW6SPOIXqR5ZEYjqPzo3iqGyrSHE+b8NHb6bDhmAAAA&#10;hixbtryra2urqHAVWiEIghINSch21aFKz84V5RtQWGKPEITB1yJk2exrLcufWvHZsU96+ylANwQA&#10;ABhRMO/4WkrcBemdFpPJbNJbzINwi9UZhOh2UwnjC3gCIeRjAoOJSzqMitVo6rpHJyHpMCtzfmZS&#10;XF9WcUvV+vwfLnpd5BINha5SYowORphJyrMJ63hNZobFa2dHu7Na2yAidBKpHByHKLQOx6Zv8t6a&#10;PTEaF2SOV1LGKbU640e1jWRjw7RkyoIZzUnhclA31MclLCYpkfhIznysoh7FLQIj4Oym3WsjRrtj&#10;uuK02dqdTvKsd7okxftgJuYLj9BFz3ftF5yWabzH6CnMZhTZ71EShVzOxJQHZZNm2EPDXan+1Z3W&#10;QJNkkoFzkAcAAACCI2X8uM8+O0a1T5/9NuvgwS7SHkVRYWGAw86ckfbC6jWeqcoB4l416IYAAAAA&#10;daPl8rXEUSgieX/VbrNazEbCYh7onC+rw96gb6Pp21AWs0CAsaA0OzBYx3ykXNmgVnmVDlcc//qD&#10;zHmrJgaZ03pL1frE/2TrzV4keEo0pOA6eA8QMXpeSy27rT3Eu5DhktprKsEvxZPLhOkXZ/I2pybM&#10;HaugZh4rcP2d3DNDGRmk0NxKImo06M07JiVQUiPCNQjohiP6fEemKzSPyESaO+6efPTUE+9jfGJv&#10;OSmIvPfLxVunGjut5lLgYypxLEBneZzLmeQjLvurza/BIQeMJP5z8T+wEYDBwbOO4cIF88iJRvtE&#10;VVNbX6/WE0RZWbnBYKBMTgLn0IcHyelKTm7nVaV7KM8OFeVlBEF0eRWGYd2LIfYI6IYAAACj5f6K&#10;nFgCIeauHuW0mIxGYqDjEFEWMzmBgAgMGnQG3Zd0SLL2ZDb5GIR02CvRkEJkFidasXp+o57ps+QZ&#10;+KV0QetwvJZb/CkmQOYnKJBQymR6Zigjg5TlMjFSEkmoBtmffIzGXRuzRKOD7TkKQadSdz0RxSeS&#10;DbvZFRqPJMVBrp94X1DpCHIKsPOpsiqv81PhwAIAAOg/lDHRSLxzy4jBM3NGGtXu41D+flhhhwEA&#10;AIw2XNWjBMJQcvLIZW41GQcuvQsERGCQj/D+lQ6DEw07r7TaWUpDlJllqOI3+go8BL+U7lBeyfuu&#10;FNHcTiko9ZjKWZYyma899KDnS8hFxwoqyaVfPjYTzfGseOi6nhZ3/sEf6h6OTlB8Is2bpEi7U0Kx&#10;o73DYXWVF0CqItkYUrnPAAAAwDBFVVOblfXhx0cOUyUOX1i9RqFQyCLl06ZO6bu98oACuiEAAMBo&#10;v4+6m8tstdiMBr3FhMoUDgQgIAKDQz9Kh35EQy6D4V80pODZhUl6HvilBM5XJTUvzUg+eqMCaXxU&#10;2jKSEUlWJ0QhJZHmzlw+mn/7QKWr0Nvz0REo2JBSGFHRQ88U5ncs9u8q1fsKq1DcIgDQ7pRQJEG/&#10;Srzuv1/mzjqDKFyR5qEtDqM8aAAAAGDwKSwqznz8cU9TFJIu1QmXP7XimZU/e3LZkiH4/kE3BAAA&#10;AO7eNfHIiUaT3klkHrggxC4CIoaHgQsz0L8g6VDfrHFZfncjQOnQv2gYgfdC4KP8UlR8jY1u93Ve&#10;gF8K4kBlHdIBEZtO506RhRFWB5IRF4pFKyePRYtKNLq9uUXIW1nKZFIWzEhhnIXxdy2YRimMCPJp&#10;5nhlalT4josF6IUA0PNd051KAsxuds/3nMV35MV2h8Np7zzTrQ47JSyOhsxoAAAAwJOsrA+7iIbd&#10;Of7Zp67pnyeGoHQIuiEAAADQlXsSmd1BiK0mwwDd51ACIofJkgpFbAwHe1mgH4/k0Ag5zR3K131p&#10;j9Jhj6IhPSSkt2+J6+Al6sfoeS0qTrOvPuCX0p0zLXrP5OKE0E6Th5NFKs+wQSoIkZxP9k/hcijR&#10;kLDYT5VUX9O0kq9dOekBcmY0LnhxUsLlS/mweYH+vLnyVqiU57s/yo+++9Rt5+L5E2nq7vI0YDkB&#10;AAAAwEBA+ZPExcW/9PIrZOO/f/s6zZ2qjGHYvr17qJ5ffXkKdEMAAABgmNEZhCiWOO12h8lAuCoh&#10;GgZiRVaHvbatmdbWLGBzJHgYk49BoTegXwhOOhwI0ZBCZBYng19KH7imbT1XUX9JpTmuaaFmUkGI&#10;hMW+r9Dl7bAySYlEwxKNbtv3NwstLv3lTIt+ikKCfFTUEGwIDIEf2Xvuzbqd792NkGXexumiP3ri&#10;GfnoH68yJQAAANBHFIrOciu7dr//5LIllAly6pSp619Zu/f93U89/czxzz6luf2Oh+D7B90QAAAA&#10;COzehsVi4GEcPEzsbHeYCL07CHEgVmS0WY3aBhqtQSoUCTERiCZA3+mtdDigomHnFZjbL8XE1v3I&#10;awa/lN5ymTBdzi3uMnPF+DjUOJp/W+twpHA5qKZhrc64/sINKiaRnE+ZLx8tVcHGBEbIb3Q/1frA&#10;YFMCAAD0N7PT01EDhRMqFPIuHX7I61QSJ6dOGYLvH65BAQAAgF7+cjDobAyXREYlxCeNkUVJhSIm&#10;nTEQK9Ia9FXqWpWq0tzSFGCsBAD4IjRCTh6rXhetPZm9/+rdZNVBEA0p+DY8SR8bYRf5PxGqayqt&#10;ulbYif5JkrrKTRIWOyqMOE3SWX3yq5IaT/+TlUmdBikni1QoAhEAAAAAAGDgWLhgXkbGIprbC+VK&#10;Tq4yJhrNP//dOfLxr3/7GFU/jIuLX7Y0cwi+f4g3BAAAAIKHdacMot1oGCAfFSp/OYwvxDEc/JeB&#10;oPETdfjG2f8UaJoOZs4fTNEQwehgRBhlIqbIv1+KqrlRZCQk4RHgIOSLtV/nzFFIyts6SwgJ2Z2V&#10;UjHO3ctdKgiRBsGGAAAAAAAM2lXKr145e/Y02fjyyy9nzkh7YfWavxzKOv7Zp6tfFFHGyhtef+P/&#10;sXcncE1d6d/AQ/aQ3CyQAAkQBAQEWywu1dYuakVb12HUalud6ai0nbbOVO0yztRqdWY6M23V+Ttt&#10;rVanfe2iVWtdp0rr0qrVqlBpEQEBCYEAYcvNvvLecOg1hiSEsCX4fD/3oycnNzfh3oDh5znnEQj4&#10;PX8uch60G5lMSkaW3QK5IQAAgF5ABogWraaPpjATxyQ2VD6FJYiAaZsgAD6iw48LS/BW+6Xz2v4M&#10;DW8e/5d6KUpmq7dpy856KTVVMXwhVySB939nRSZzkUsJ5nx1xwjNGcMSTivVqG5y7p1JqBMGGwIA&#10;AACg38zJmfXq6jWffLwTzVles+Y1FBeSoeHcefMXPfFYT57i+Ncntm3ditZJ9CYxMenQ4cPDM9K7&#10;dWTIDQEAAPQm5xRmTNB3ayCSww9h9UMQGK/RoZlx+nST3eEhGezr0JDEN0akdlUvpQ5vZRn00sgo&#10;GHvr2/daw8nrtROHyjA2Y8uMew5dVfCYdOImxaVwCgAAAABA/1i/bi2xobY8Pm7vFwfm/no2uvnH&#10;F1a8vnZNTwYbnr9wcWr2Q13uVllZEUDpFcgNAQAA9L6ONRAxgai9CnOTVqPv7RKNah1ObFB8GQTA&#10;Q3RoZghqeQMbGnZ8Mmuvl2Jk6CrDG3zUS7lRX8Nnc8QSKY3BgAvqzd8KyjAWE1VBIacnU34pnALn&#10;BwAAAAD96cP/9wmGYXNyZlHaRyBWKapPnDw9LC113NgxPTzytZJSt57ExKSJk25JEk+e+GbU6DEB&#10;TFWG3BAAAEAfQlWYZQKR3WwyaDWNOm3vLoCIii/TqeoYvpCJCSBDAX66JToMmtCQxLHy0nAOzmmu&#10;YbZ62wc3GQ3t05Y5EWK4oB6pbbYlZ65MieDPz0gkayhrTdbPFfVwcgAAAADQn/btP/i73y4kGt+f&#10;/wEFhfL4uCd/80SvHHzSxAcTE5NQfZX/fvRxbx0WgdEZAAAA+gONxcbE0YlDhg6JjhWF9/L8SpvD&#10;rmxtqqiuaG1Q2Yx6ONvAH8IoaYIkJghDw45vmTaayCBJ08o5drbvd75CUQFvex+ON+N/Ol+kNXUs&#10;WwmDDQEAAADQ/1QqFWocOXKk1w8uj49b8eLLqP3pxzs1GrwXDw65IQAAgH7F4PLEMbHJCSnyyCgW&#10;vZeHB6p1eKVKWV+rsGg1cKpBl+htXKEKC8LQ8Ob3i52VrI0fYpJQ22je9jHbrMTbvrGuxmF3wDV9&#10;Lil2bnSEW+dfslIwtvOnzbV6zTsutVMAAAAAAPrH6FEjUePC+fM9P9q+/QfDfpGUlLxk6VOnT51E&#10;d+XlHZs371FvVZUD+cAMFw8AAED/o9KoLIFILhDZjHqdFvdY3zZgzrKzJiOrpSlGFAlLHwJv9HVm&#10;41WtzdO8+SAJDUk8kzDVwm3gNDYzvBYaajHotNUVMlEk8Z11217T38ZFPTV2GNHgfvfTR8oGoiGh&#10;0/84PBGVQyFsungV3vkAAAAA6H/pw9JQIy/v2PkLF3u4puF3354m25WVFZXbK1zvJZ6C2IjG4iW5&#10;xJ8pqWm8doGtpQi5IQAAgIFE53CFHC4/Mtqq09RrWsw2a28dmThU1S9LH7IEEZAeAldapUlXrPV4&#10;V7CFhh3fKQ6GTC+NoBsV4fUWqudvE5vDrmhq4Go1UZGS27PUeKmmI1ddcf+d0+o1Oos1TSJAIw0J&#10;G7776XutAd78AAAAAOh/AgF/8ZLcHdu3Ee1t27b1MDfMzV2q1WrR0XzovMPmd7Y8/+zT3fsUChcP&#10;AADAgOu74YdoATg63gqFUwAp5ELDmy/PxknFh+CcZgWryds+eou5UqWU8Pj8yOjbLS7/Xmv47Mfr&#10;j901lGgPixbcvOIm67aL19AIRAAAAACA/ld0tTgltWPI4Y7t27JGjupufudqeEb69g+2Ehs6slar&#10;q6lVEerrVLW1tTiO792z2+MDr5eVdve5IDcEAAAQRNDwQ0wktmg1dXhrbxVfRukhpbVJwuMTB4f0&#10;8HYWuqEhiW+MGGbGasMbcLrX0XNqHd5i0N+G05b/UVylNdumDYuPEzhHXGpN1lMVqs9KFEUmM7z5&#10;AQAAADAgpkx5GE0cJi177hliI2/OnTc/Njb29bVrBAJ+dw8+PCPdU/cuRbWytlZ16XK+TqcrKy0h&#10;ujAMy81d2u1f0OD6AQAACDY0BoMTIU6McKaHLVoNbjL68yhqWJijrc33PmqdczAjpIe3LR+hIZfJ&#10;jOTxgj807PgA52DIdbFGhq6a0wjTlt28U1FDbBI6PYpOg7gQAAAAAAPOLTTsDA0PHJqSGvAgxKKr&#10;xXGxsa6xozw+jth6OCGaAvWUAQAABDMmJoiWyROlcRJe1//zhkJDf3IftQ6vqK5obVDZrVY4ybeP&#10;ljK919CQxZJgWKiEhiSOlZesjZebI33sg6YtE+/2263astpmg9AQAAAAAMHgWN43i5fkoiolPqSm&#10;pgT8FDNnzBAKBf959/1ef/Ew3hAAAECw69bkZZQe0sLC7DD2ELhoLMSt9Z5TJGdoyOOF6NdFa6Px&#10;jRFpFq6K0wjTlgEAAAAAgtCUyZOIjWigFQkpvyxKiNq4VltaWsbj8dA+gamsdJZU3vDWv3qybKLn&#10;38Xg+gEAAAgJaPJygiDCZtDWtTT5rrzcZWhIgvTwdhD8oWESxh6fJh6ZGolxGVq9tbbR+GN5c155&#10;o58PZ9hZcl2sgam5wWlyhHkO1qHaMgAAAADAgNBo8P0HDuXMnknOI3ZblLAniSGSnT01L+9YZWWF&#10;olopj4/rxRcPuSEAAIBQQqVRmZhAjgm6tfRhlyA9HKxsVkprcVCHhpli3pz75I+Mj3Xrn5edML+0&#10;ZdVHBWqLv9WBwi2CNCsP5zTXMFu97UNWW4a3OgAAAABA/yi+VvK73y78XfuE5Z5HhITjX584euTI&#10;0JTU1NSUYWmpAv7NNZ1qa1WQGwIAAADtSx9igkijvqmlqRfTwxaDPoYvZAkiqDRYAjjk2awU9cUW&#10;it7m8V4emy3mDuSwuySMPece+bzsBG87ZKaKnp+WtubLq/4fk9ZGExkkPDPfn2nLxFudEyGG9wkA&#10;AAAAQP8oLS3rldyQOM6/N23weNc94+5evCRXJpMlD3VGiunD0gKo0ewKckMAAAAhjM7hRnO4YrNJ&#10;q2lR6/CeH9DmsCtbm+h4K6SHoc53aCjm8Xgs1gC+vHtjBWuX3CXEmGRPYWnL6YK6uhZTjIg9MjVy&#10;fFYU0fnI+Nh9ZxSFjbpuHdzPacvEW52lw2WSaJi2DAAAAAASjS6Ojlrt2mO2KGzWRqPpst1eB+en&#10;JwryL/fKcaRSqY97d2zf5tYzd958Pp+fNXLUxAkPuE2R7voXLrhsAAAAQv7DDYstjJJiIrG2pdGf&#10;9JBJo1p81pYlI5UYUSQTE8AZDjkO3NZ6qZVi97zM5YCHhoR5Dw4hQ8OzBQ17Tt84V6Mh7915SbmR&#10;MgJFhyOGCLubGyL+TFs226yVKiWfzRFLpDBtGQAAAAAEBj2K2G75UMHJaP97oclyQ9N6zGA8BWep&#10;i096jy7g8/kymeyurJGxMumly/mo/+SJbzQavIcDAAlzcmbt/eLAd9+e1mq1nVPCzvbu2e38q33P&#10;N/751p9eXun/c0FuCAAAYJCgMRh+pocoNOwyPTTbrFXqOlZLEwzICi0O3NZ8qdUaxKEhIb+0CcWC&#10;qO0aGnbeIfBvCv+mLeMmI15dESeMhDG2AAAAAPCBzRzCjnraas3BtafgbPjQkdN1UllZIRQKEhOT&#10;Jk56KGvkqNTUFD6GBTaVeE7OLGKjtNdoPn/h4rZt28gA8Y8vrNBqtc7PeDje+ZXUqWq79USQGwIA&#10;ABhU+iI97BiQFRlFY7HhDAc5rdJkLtV5DA1pYWESgYBNowXD6/yqUPVgVkxmqohoL5qWfLaksUJr&#10;8rhnuUrbw+dC05aNDF01p9FC9VqIHM3Qj42UwBhbAAAAAPj6aMGIiox4FM6DD4uX5PoYBlhZWVG5&#10;vYJy6w5oUcLp06ePGzumu09HPORaSSn5jLm5S10mI+9SVCtra1XEDjqdriD/8rTp07t1cMgNAQAA&#10;DELdTQ/DGXSD1eZjN+eArJoqqEIb5LRKk67Yc8oWVKEhQW2x/9/+a289O0qIMYntzwvucCudPOt+&#10;OWqUqXW98owcKy/ZxtGzNQpWk7d9bA57lbqOq2mJipTAGFsAAAAAgMBs/2DrtOkzVCpVfZ3qwvnz&#10;eXnHunwISv3+uv7178//EEB0OCwtlWy7rWAoj48jtgCOiUBuCAAAYNDyPz1EoSGPydBZrD52g4LL&#10;wayxELfWmz3exaRSI/j8gQ0NkzD2lBHSNDm/ttF4tqj+XI2msFH33r6SVU/eSWkvnfzkhOQ3j5ei&#10;nReNjkuQOWO7PXlVrmFiT78j2mh8Y8QwM9bAaWxmeI0j9RZzpUoJKTkAAAAAQMDQJGKk6GrxHcPR&#10;GpGU7Oyps36Vg9oF+Zc7TyXGMF4ATyeTSefOm08cKjExqXe/EMgNAQAADHL+p4coNPSdHpIlU6SR&#10;UQwuD05vMLBZKa3FXkNDNo0WJRBQw8IG8BXmDI9B+SAyLzuhsLRl1UcF+4vqog9wFs8eijrrmg07&#10;Lykzxbxl853/S9yqtXx4qrzXXwzdwZDppRF0oyK83se0ZUjJAQAAAAB6xfCMdHLmcrxc/vyzT996&#10;/y1Tibtb7xiRx8d9sG3rgscenzxpQi9/dITrBwAA4HbQu+mh2Wa9UV8Dix4GA5uVor7YQtF7nmbO&#10;o9Mj+PyBDQ3vjRW4hoZIZqro4UzpzkvKLWcq0+R8VAIFxYWLpiWjfdZu/7EXBxu6Yds4qfgQHbtV&#10;wWp2hHl+FigsDgAAAADQKzAMc2u46tZU4nmPLkBDFFF9FXTMoSnOecpSqbT4WgmlfcXD3nrlkBsC&#10;AAC4jZDpYUtTQ4vB17JxOouV1T6t1Wz3GtygRQ9j+EKuSAIDsgaEA7c1/qihmD1XtuGyWGLewI8J&#10;nTomFjVatZYvTijIlFBn7Mg6/7735ze4WahGCooOCZt3F3custzreCZhmhlrCm9sYHgN01FhcVj0&#10;EAAAAAAgYLm5Sw8e+LKysuL+Bx7srWN21FfxLjt7arxcLpPJomOko0eNDKxwM+SGAAAAbjs0BkMc&#10;Eys06ptamnCT0dtuKDHEmAytz0UP6/BWuk4LVWj7n77ObLyqbfNUOpnAY7PF3KAIue7JlKDG2u0/&#10;dkSBnzoHIZKxoGuNFNRTVavfeUnZT98ObbQofbSIJlRxGnG6wevZbl/0UBTOE0VGwaKHAAAAAADd&#10;Mjwj/dTp0wI+P4Dkzs3atWv4fL6Pes0kt3osr65es37d2u4+HeSGAAAAblN0Djeaw4006mvV9Wab&#10;12QQhYaR4ewmg8nbPqgKLV+rgWnL/cZH6WSCmMfjsVjB8DolTBqZBrqOH3QbS1jYqHvzk6K/PZPl&#10;+sC+m6TcGcPOkutijQxdNafRx6KHLQYdscUJI2HRQwAAAAAA3/btP/j+e+8Sjad//+ycnFny+DjU&#10;f/zrE0ePHPn3pg2oRsqsmdPJu/wxPCN9+wdbia3oarFW65xBhWu1paVlRON6WalWq61WKDxWcP7r&#10;+tenT5/e3SnMkBsCAAC4rdE5XLk8yaLV1LU0+UgPUWgo4rBajGZv+8C05X7jo3QyLSxMgmHsoBkQ&#10;55r9dY4CM8U8HotWh5srtKa88sbkA9dRjZQEGff5aWlrvrzaz6+WY+WlWnk4p1nJbPW26CFB2dpE&#10;x1tlokiWQATvRgAAAAAAN0VXi5e/sJwM74hGW1vHFJl//OvtVa+8SPYT27LnAhwJ6FpBZcrkSW73&#10;olorNbUqAsoTKe0JY7d/XYLLCQAAADAxQVw4ZtY01+GtNofXuKTFaGbTnYsemmxe9yGOwDLoodpy&#10;H/FdBYVJpUbw+ez2hSmDR1WtPkHmnDH9/LS0j76pqNCakjD2+DTxrPvlqJ9wtqDh73t/3nKmUirm&#10;PDLeuR4i8ed1Jd5vs5Vd8Y0RqWasmdPsY9FD4ttE0dTA0rTAWx0AAAC4fezbfzBWJu3FmhuD1dq1&#10;r7uO+Nv7xQHUOH/hIhkauvrr+tejY6Sd6iz3CKq10vPjwGgIAAAAoP1fRBqVEyFOiE+S8HytOWKy&#10;2YktMtzXZGRUbbmxrsZutcKJ7UXOKijfN3kLDdk0WoxQGGyhIeHT4x3rVT8yPnbXa/f/8GY28eey&#10;+elkaEgYnxX17nNjJUzaf46WFJa2oM5F05KTsIGZ9k53MKL00WlaOd8W3uVbvb5WYTPq4f0JAAAA&#10;DHrvv/fuPePu/se/3oZT4UPR1WJU7xjZ+8WBOTmzUPvIkSNkf3b21MTEJPLmhrf+pdHgAT/pf959&#10;f96jC8J+QbRfWL6S6Dz+9QlFdY/+HxpyQwAAAMDl30UaVRglTYpN4LM5PnZD05ajuL4ilRaDTlFT&#10;Zda0wFntFVqlqflSa5v30slRAgE1LGzAX2cSxt74+Igf3szOThajnv1FdXvyqrp8YIKM+3CmVG2x&#10;/33Xz61aC9EjxJgj5MIB/FrQoofJeinT4WveN24yVqqUrQ0qCMoBAACAkKPR4FOmPBwWFnb86xO+&#10;9yy6WozG0K165cUud76dXbyUT7ZfXb2GDA0Jn3y8k2yvW7++oqL8WN436GZlZcX+A4cCe8YlS59a&#10;9twzt4SVe3b/e9MGonNq9kMJ8njiEgec9kJuCAAAALijsdjRMvmQ6FgW3Vdc0qA3cOh0NHPZIzSX&#10;s75WYTeb4Kz2RHOxVlestXopnYxxOBIeLxhCw0wxb8vyseOzoijOgs43V4N583jp5t3Fbjvvyav6&#10;y5aCFzb9QKaKs+6XE39WaE0vvnu5VWshtjNl6gH/opyLHuJD5OZIapuvsZxqHV5RXaFtrHfYHfCO&#10;BQAAAEJF8bUSlAbu3rXL957DM9LJ8XHfffstnDp/3P/AA2R73/6DlZUd01BeXb0GTfeeMnnS3Hnz&#10;UWddXV0AT3H+wsUuaysTl3jVKy8uWfpUAEMaITcEAAAAPGNweXJ5Upwwkk71GpcYbbYupy3jJmNF&#10;TZWxuRFOaQBsVorqhxaz0nPwSgsLE/N4keHhwfBSJUzaH3KGoerJZwsa9hfd8slv5yXl9L+c+MuW&#10;gs27i4k/ifabx0vzyhvP1WiIBtqHnLlc2Kh74h9nntl4oT9LKvvGN0ak4Qmxli7GP9bhrVXVFcS7&#10;HdJDAAAAILR0mT0Rnli4CDVqa2vhjHkzaeKDZHvb1q0oqjt/4eJLK5eT/bm5S29+yuJ3rJJUVlrS&#10;w6devCSXXEuR0p5OZmdPdb3Exde6/RSQGwIAAAC++LPoIZq27Ds9VLY21SpvwMDDbulY0FDjeUFD&#10;Z+lkgYDHYgXJq304U5qZ6qwvXFja8ve9P3feQW2x55U37rykJP50q7PscecKbXC9W2htNJFBMgwf&#10;wjL4eqvbHHbi3V5VXWHRauA9DAAAAISQLhfCi46RosbJE9/A6fJGHh+3+Z0tqL13z+6srKx5jy64&#10;Z9zd5GDDxUtyXSuWyGSyXnneufPmb/9g65ycWeQAxvXr1h4//pVrkhhATRvIDQEAAICu/rFsX/Qw&#10;URrHZfqKqJoMJjadFs6ge9tBbzHDwEP/+V7QkE2jxYpEQVUFZdG0ZNTYcbSsW+MEn5zQ8UCyIkow&#10;a8HNDFU4VoPRjL5m8dsc9ip1nUIB6SEAAAAQ1GQyKdl2XZjPI51OB2fMr4+FTzxGDvSrrKxwXXkw&#10;MTFpxYrlrjsvWDAfTQAPLEAcN3YMejjxLCj5JQcwImVlZajhOvawG78KweUEAAAA/EHncGVxQ+SR&#10;UT6mLZtsdoPVBgMPe8hmpTQW4j4WNOSyWDFCYTAsaEjKFPPQDOWqWv25mm4kZc/clzgvOwG1j5xT&#10;BvmlUet0erOZaLSZGJxaLLyB12b19WHSbLNWqeug4DIAAAAQtOTxcWSc9P577/pe/+7ypYuoMXHS&#10;Q3DqfBAI+Hv2fL54Sa5bP3GqDx0+PDwj3bWTuLll67bvz/+wft3awJ5uxYsvo8a2bR9QXPJHRbWS&#10;uKBbt7yLbj7+yzTzboHcEAAAAOgGlkDkz7TlcIaveikw8NAHq8GhvthirTd720HM40l4vGB72TxW&#10;x+VW1ncjIMtOFi+ePRS1C0tb3JZEDDZkaHjzc6SWiSmEES28CFrXBZchPQQAAACC06TJ2aiRl3fs&#10;rbc3eIsOj399ghw3l5KaBufNN4GAv/2Drd+f/2HzO1vQdizvm+PHv3ILDZEpkycFMIOYtOiJx9CQ&#10;w7+uf53iUoxl6ZKlWVlZaH40sUPO7JkBHJwO1xIAAADoFjRtmYfxG5rUeovneMtgdS7JJ+KwWoxe&#10;8y9laxPXoIuWxNBYbDiriL7ObLyqpXgZZogWNAyGuck5w2N4HOeHqCs3WgsbA5+wM21sLGoUlras&#10;+qggmC9N59Cw4zMxg75x/gOxcdyDFwp2lJaprVZvR8BNRlyllPD4mEhMYzDg3Q4AAAAEiccfm791&#10;y7soXfrr+tevXbu24LHHJ0+aIBDc/J/yffsPupb1mDljGpw3f4wbO6YngaCfiCv15tsbiQuECtdM&#10;mTxp8ZLcHdu3oUrZyJat21wvqP8gNwQAAAAC0T5tmWvWtNS2NNkcnhezQ6Ehn8XEzRaPO6CBh3HC&#10;SE6EGE5pc7HWW91kSvuChlECwYDPTb43VrD80eFk4eNWreWZjRcqtCZybvLwob4qDkuYtIczpV8V&#10;qtACiEcv1MRFc5X1+r/v/Tl4Sid35i00dP528djotBTnu/fxCfc+lJmx+9zF7VVVPg+FExukhwAA&#10;AEDwkMfHvfn2xrm/no1u7t2zG40rJKfZVisUrgkU0e9x0BwYQHNyZhEbeXPFiuUnT3xDjjTcsnXb&#10;lMmTAvytB04uAAAAEDCWQCQP57U0NbQYvA46w82WyHA2qrnskbK1iW8yiCXS2zZGceC2+p+1FL3N&#10;2w48NlvM5Q7468wZHrPqyTtde4QYc4RcWNE+v7iwtCUzVUT0ELt5m3H8xm+ziH1iIsLfPF5K3Mwr&#10;b8zbGOzT1X2Ehn+ZdufIu24u4B0dIfzDjOz5za3bT53ZrarzeUxIDwEAAIAgMidn1t4vDry0cjlZ&#10;85ewY/u2znsmJiatWfManLEgNzwjvaCg4OsTp7Rabc7smYGNNERgfUMAAACgR2gMhjgmdkh0LIvu&#10;Nf5AoSGfxfS2A24yKmqqbs/Ks6husrfQ0Dk3GcOCITTMThaToeGevKodB66jNpqwTHGpavL7OWkS&#10;pofJ1ItGx2WmiohGXbMhVK6O79Bw2uSUzv3REcI//3rGzocnT4sUd3VwXNG+0KfD7oCfJAAAAMDA&#10;mpMz69Tp06+uXuPr41B7WQ95fBycrmB2/OsTimqlQMAnrumTv3miJ6EhBcYbAgAAAL2CweXFscP1&#10;Leo6vNXbPr4HHtoc9ip1nUivi5BIqbTb4j/2bFaK+icNpcnibQc2jSbEsGBY0JDw1KxU1Hhh0w9o&#10;VvJDY6TkhGXC/qK6x2uTiB4hxnzjt1mrPipwnXqcMzxm2fyOGT1nS0KjJE4AoSEpM3kIsT1WfuOz&#10;iz8ebfL69RJve2VrEx1vjeELWYKI2+SdDwAAAAQneXzc+nVrc3OXXryU/2NBfm1tLXkXhmH3P/Cg&#10;26KHIKhoNPhbb29ApVEIm9/Z8vyzT1PaqyrX1qowjBfY7HLIDQEAAIDeQaVRMXE0h8urVdebbZ6r&#10;Q5ADD72teNhi0Blqbsgk0XQOd3CfLkuTtbkIp5i9DjTjsliRXO7ALmiYMzymvF6HKp9odMQlc16U&#10;ZClGrmZIqGu5GQRv/Lxo0wt3E43MVNEbv806ck5Z32rkshn33Rn1yPiOEig7Dlyv0JqC/wL1JDQk&#10;ofTwoctXdlwpKjJ6HWUJ6SEAAAAQPOTxccTmulgeCH4aDU6WTkaWPffM6FEjx40dc/DQEaJN9FQp&#10;qgMYKwq5IQAAANCb6ByuXJ5kbG5UtjZ52wc3W3yUWjbbrJUq5eAultJSpjfd8Joi0cLCRFwuj8Ua&#10;2Be5aHTcsvnprVrLi+9eLmzU7ThatinVmQkumpZ8tqSRx6KjwYZPzUp9ipJKtKtq9Qe/U2z49OqK&#10;xzMo7dEhmpXsak9e1ZYzlcF/gXRmc89DQ9LkUSOI7WtIDwEAAIBg8uH/+2Td2tcqKyuys6fGy+Vk&#10;f0pqGo/HI28S7WFpzlkXMpkUZigHrbfe3kCGhomJSah95MiRcWPHpKZ2fHI7cfL0k795otu/3cDJ&#10;BQAAAHodJ0KcxOXVq+v0Fs/hCwoNWTSa2e65iq6ytYlr0EVHxw6yqhFWg6PxR42PEijBMzd5aJxz&#10;Go4QY/4hZ9jSbZfO1Wj+d7bmkfGxRM+fF9xRUoWj3cipykRj2fz0wtKWdz6/9tyjw9yO1qq17Dxa&#10;vvOSMvivkc5sbtR5rvMTQGhIQunhwe8v/d9PRWqr1dtukB4CAAAA/QalS661kruEQkaZTLZgwXyo&#10;qhw8yOnJe784MCwtZeaMGcTFJTrXr1tLVlIuv14WwJEhNwQAAAD6BI3FlsUN8T3w0Gy3+5izrLeY&#10;FTVVcZIYBpc3OM4JfsNoqdBT7G3edgiSusnIsYs1aHJxZqoIlUj+6JuKezIlQozpcSwhQvRr9dYX&#10;Nv0wfni0TMyJi+Yq6/X5pU1fFapclzsMWn0UGpJm3TN60l3DD14o2FFaBukhAAAAMIDGjB4ZwKPI&#10;kLG2tnb7B1vhNPpJo8F3fvLZxAkP9HXYiiaYP/XMs6teeZHSXiOFzA1dF6z0H+SGAAAAQB/qcuAh&#10;braw6c6xdSabh1DJ5rDfqK+J4Qu5IklIRyfOYYY/aygar8MMaWFhETwel8kMntd8rkazeXcxKmby&#10;+zlpZ8rUFVrTm58U/e2ZLHIfYoezJY1Ev4RJezhTinYenxX13+Plbx4vDbnL1NehIcLjcB6fcO+s&#10;sVl7T329o7JW0+Z1bCmkhwAAAEDfGZ6RvvmdLUSjIP+ya//JE9+4LpPnDYZhcA79tzT3qb17dhON&#10;n4uuktFh0dXii5fyh6Wljhs7pofHJ+cmK6qV8vi4lJSOj23fffstuU9KaloAR4bcEAAAAOhbXQ48&#10;RIkhj8nQWTwPv6rDW7kmY7QkhjhUKJ6BrocZ0ukRfP7AlkDxaOcl5cjUyPFZUUKM+fy0tDVfXs0r&#10;b7zvbA1Z5IQcRUj8SezMZTMWzx7q/IpYtJC7TP0TGt686BxOsjnvT0LdVaP8oFkK6SEAAADQ/1C9&#10;3c7Q4DhUTIOweEnu/AULSkuds1yvl5VqtVqisWDBAjiBftq3/yAKDRMTk1BoSJzhNWtf//emDWiH&#10;7OypGzdt7MlQxCcWLkJTlVeufHHBY4/HyqSo/8L58598vBO1Jzz4QABHhtwQAAAA6A9dDjzUWaw+&#10;ljt0zllWKWMjJUxMEEJfdZfDDAkRXC6fPcB5aM7wmN/PSSu63vrf4+WoejJp86GS4UOFQoz5yPjY&#10;Mz815JU3/udoCZqt7Py03R4m3rxMJmuIvj99hIZ/nJje66Gh87eO/I/NphYmlXIXtzyDo4D0EAAA&#10;AAgeAgF/1szpy57ruJk1ctSUyZPI6a6gu1QqFWo8sXARariGhpT22d8zZ8w4dfp0wJVnFiyYj3LD&#10;vXt2o4ySPDJqLF6SG9ioRvjIBQAAAPQTNPAwThjpbQcUGrK8lASxOexV6jptY32ofL34DaPmfLOP&#10;0JBNo8UIhQMeGhJWPXmnEGOOz4r64JV7XpqSKmHevAQVWtN7+0pQ+6UnhhN3qS32tdt/RD2PjI/N&#10;GR5D7jzr/o5ahHW4OYTemT5Cw1+lSR+d2fur8BhxpbLiNHmTSbXexS3/k/DCi3I8xud/aqP0sKq6&#10;orVBZbda4acKAAAA0EegdHIvImeC35XlXFNy9WtrydBw7rz5qFFZWXGtJPBVboZnpO/94kBiYpLH&#10;e4n+FSuWB3ZkyA0BAACAfuUceBibwGWyvO1gttt5TK81lOvw1lrljSBPTKwGh+qHFn2ZzuqzBEqM&#10;UBgMdZMJZwsayPa87IRP/nTfotFxZHq4v6juf2drKO21lf889w5K+9KHOw5cR/f+fk5aEuaMPomH&#10;oNrKxM4VWlOovCF9h4YvPX1PXzxpyeVPbDb3UxQTSXt6Kv6/BfVr0k1dpodqHV4B6SEAAADQZzQa&#10;nGzX16nghPSETCZDDZVKtfq1tWTt41dXr9nz+a7/fvQxuolmggdsTs6sU6dPL16S69ZPPAvRH/Ak&#10;aJinDAAAAPQ3GosdI5XrW9R1eKvHHbwtdIgEeZ3lljK9vdroYzVDJpUaweOxGYzgec17Tt8YnxVF&#10;3hRizGXz02fdL//0eMX+ojqih5ybTOy2qDRu5yXlvh8UD42RJsi4ROc/l478oahxXnYCevi+M4pQ&#10;eSsOSGjYVJPfWP9z5/6RY6IpznUPrQvva/zVKMaXlwXvl7HrfM1xp6h1OLFJeHxMIArR1T8BAACA&#10;AaGoVk548EFUSWPuvPl8Pj8lNY3Hc362TE1N4WOY69i3a9euaTS4QMCH8xaY5KEdS76QS0ai075+&#10;3VqiMSwtFfX0PJ+Vx8dt/2DrmjWv1dZ2HKrnFVcgNwQAAAAGAJVGxcTRHC6vul5lc9i97RbOoBus&#10;HoITVGc5ThjJiRAHzxflwG31P2spel9JD4/NjggPD7YSKGj8ICppQkqQcVc9eef00rgdR8uIHchK&#10;youmJaMayhs/L9r0wt1oTzTSkPDGhz+5rZAYtAYkNCRcvfhh586hycJw3s3PpQGkh3w2J1IUSedw&#10;4ccLAAAA0KWLl/LJosmuy+F5hJbMy86eGi+Xk50ymSx5aMqTv3kCTmaXcmbPXPdLvWMkMTFp7do1&#10;qH3pcj5qcHl+laguulp88pSzSvLoUSNd+2UyKZpdTvzZi9PMITcEAAAABgydw02IT2pWq1oMnuMb&#10;g9XGoFKtDofHe5WtTXyTQRIdN+A1ImxWCn5da1b6mpwbhMMMXZHjB4l2Va1egDFQ5ZPMVNGm1LvP&#10;FjTsOX3jf+2VlJ2zlRfcsXTbpXM1ms27i5fNvznp440Pf0LjE4OfWqfTmz0vwtinoSEqh+LWyWHT&#10;U9JFnXfuVnqIm4y4SslncyIEEcE5FBcAAAAIaWSFDVd1dXV/enklnBzfBAL+ocOHl7+wHJ3DxMSk&#10;N9/2UD155Mgsf462a9ducqazD2jCMhpGOnrUSAzjBTZVGXJDAAAAYCBRaVRxTCxfq6lpUnsceOgt&#10;NERwk9FccyM2WjaAkzT1dWbjVa2PpQwpwTrM0JXaYt96sBSNKBRgjLXbfxw/PDp7nBSlh+Ozooit&#10;qlaPds5MFS0a7ZytTGwPZsUQN1u1FuIh52o0IfGuG6jQ0K0cCiljuJjB9Jp9dzs9NNWw6IwYUWRo&#10;FR8HAAAA+tOcnFl7vzjw3bentVotcXPH9m2BHWfrlnchN/TH8Iz048e/0mjw4msl6cPSXCd9L3ri&#10;MecHHh7Pz4rVqLhKlzpf07a2tgBeOeSGAAAAwMBjYgI5O7y+vkZv8VqHl06l2jxliGabVaFSxkZK&#10;+j8lsRocjT9rfFRMpgT9MENXeeWN9/0yonDeg0OWf3rlw1PlD2dKF01LRukhORmZsGx+erlKe65G&#10;s+qjghQJL1QSQ8rAhYYUL+VQIkTs2ISuJxeT6eH3pdxtP3ELjL4yaOKbokpdR29Sx/CFLEHEgA/I&#10;BQAAAILQnJxZxIba2z/YSmmvhVJ8rQT14Fqta5kOVBEYx3G3Sc0TJz0EZ9J/AgG/84KDROfzzz7t&#10;/0HGjB7pWvzE/8z3/IWLASx3CLkhAAAAEBRoDIYsboixuVHZ2uRxB5vD4S06tDnsVeq6GLMJE0f3&#10;z6u1WSnaG3rTDYPv3TAOJzI8PISuwkffVLjVPyG2rwpVrukhafmjw89tPKe22NWDIjTMHZv05Py7&#10;+u6pfZdD8ROPY80e0UpseVeEXaaHxPcF8d1Ex1vFPCxcEEELhfAaAAAAGEBuqZaX4W+74EQFbN/+&#10;gz8W5F84f/7xhYsCXhoSFT8hb5Lt8xcuHjlyxLVYc3SMVKfTlZV2ZMEymTSAp4PcEAAAAAginAhx&#10;IofjrViKzeec5Tq81WAx98Nyh1qlyVyq62JiMp3O4/HYNFponf8KrWnn0XK0ZCFZ/0RtsZPp4az7&#10;5eSoQ6KRKeaFShUUis/Q8C/T7pw2OaVPn720wMOa627lUPxHpod7rnFP4l2kh87C5XirhMfnYXwo&#10;nAIAAAD00PkLFy9dzp844YHA1su7PWk0+NLcp8jRmnl5x8ilIZcsfYr4c9r0GeTwz8CMGzsGw3hk&#10;bjh9+vSeF1OmQG4IAAAABBtULEVdr8RNRq/7eBl4SDzErlJES2L6aLlDS5O1qVzne2IyLSxMEB7O&#10;Z7ND9PyTSxYKMeaymWnLP72C+lF6SGw5w2MeGBE9PivqbEEDhIZ+uvHTPr2u1v1tTKd6LIfiP5Qe&#10;XqnEdubzDjTTujoDHWWXRZgAlj4EAAAA/IQmL1+6nF9fp7p27RqZfGVnT92z53PXdfqAD66hIbLq&#10;lRd//3QucQKrFYq8vGPEnz3MDSntqyj2/u8mcPEAAACAYEOlUaNlcqGmRdHU4HEHm8NBCwuze1rb&#10;WG8xK1TKOElM75aUtRocmus6a73Z925cJjOSxwvm+if+2HG0bFPq3ZT2cig5V2LcSiQTN4kt8ziM&#10;NPT7zWPGb5R81bk/Iz3SRzkU/41I1BLbokrs65LwLdVdTEZuL5xiZLU0RQtEDJ4Alj4EAAAAOkMj&#10;Cq+XlV4tKvJYRpnSPmLuvfe3QVEUP88nGRpufmfL6VMn0c39Bw49+ZsnJk3OJk4msRVdLfYn+CN2&#10;02qdn0Ld6qugJ+r1Fw+5IQAAABCkWAJREptTU19rtlk732v3XhDN5rDfqK+RR0YRR+j5y0BLGdqr&#10;jb4nJodQ/ZMunavR7DhwffHsoUT793PSzpSp1Rb3aeOhEho62tqadDq9xeLx3n4IDQklFz/0WA5l&#10;SEpvjlBA6eHCFvbHFwRdpofOakJNDfSWJlE4FxOJYelDAAAAty2UNNXUqgjXy0pramrchsV5k509&#10;dcKDD8AJ9Mely/mo8erqNc8/+/TECQ+gk3zksDM3HDkyC92L0kDfiq4W3zE8w+1CxMvlqI3jONl/&#10;5MgRXKvlYxjFU8LoP8gNAQAAgOBFY7HjYoc0q1Uthm6nVIqmBonZJIyS9uQF4DeMlgq978SQFhYW&#10;zmaHVv2TLu37QfHQGGmCjCvEmE9OSH7zeGkofhWOtrYGjcZkt3u8t39CQ7yxtE7p4b++78iU9MXT&#10;RYtMKx82PW1kfHlZ8H4Zu87XlHpnwo4mL4vCeUKBEJY+BAAAcFtRVCsnPPhgZWWFn/tnZ08dO25c&#10;dIx09KiRMplUHh8H59BPPN4t04CGZ6TPnTd/757dxKbRbM3PL/D/UBcv5bv1eBsQSi506Ip43g+2&#10;be1WhghTMwAAAICgRqVRxTGx8sgoH/vQvMwLVuvwWuUNh90RwPNqlaa6b5v0ZV3UP+GyWLEi0SAL&#10;DSntqxluPdiRFc7LTkjCQm+5xmAIDQkllz/t3DkkgS+MZPbhp3OOdeF9jf9bUP/u3bosTluX+7cY&#10;dJUqpUJRYdFqAvt+AQAAAEJOba3KR2iYmJi0eEnu3HnzyZ7jx79av27t888+PW7sGAgNu2XM6JGo&#10;8cnHOxXVSqIxbNgw1PPe+9u2bnkXtdOHpXV5qEkTH3S9KN21d8/u/QcOdeshMN4QAAAACAFdzln2&#10;sdyhsuZGbLTM/0opzuInJTqK3uZ7N2fF5PDwEJqYLGHSpHyO//OL88obpxU0jM9yJrbj08QVl5Qh&#10;9IYJktCwpuQrTUu5+6dPOjX9zsh+eHYex4oKp3xfItj3c3iXhVOIb64qdR2dqobJywAAAG4HMpk0&#10;MTGpc3S4eEnuhrffQkPSFNVKctoy0Ya4MDDkAEPibCfI412Dv1WvvIgar65e488wQOIS7Pl8l0az&#10;tfhaCeq5VlKq0zk/314vK9VqteSeJ0984/9gUh8gNwQAAABCA5qz7K3Oso/lDp1LuamU8dHSLqdh&#10;+lMumdK+lCE/PJzHYoXQ2bs3VrB2yV1CjPnGhz+RdU6SMHaF1uTjUZsPlcRFczU6y1eFqhD6Yk12&#10;e6tW6zE0FDDoz2en909oaDXjFcVHO/enDBX1SjkU/92TpiG236vCv7yCdbn0ITl5mc/mRAgiere+&#10;EAAAABA85PFxhw4f3rBh447t21z7iZsnT3zzxMJF9z/wwNgxo8n+2loV5IYBW7t2zeVLF1GQ13kF&#10;ycTEpNzcpf4fTSDgjxs7BrXJhkeoHLZrj+/9O4PcEAAAAAgZqM4yv7lR2drUrQfaHPZKlTJBEsPE&#10;BB538DMxREsZijickKuYnCzFhJhzYuzv56RdUbQSjT8vuCMzVbR5d/FO7wMJK7SmeRvPhdZXarLb&#10;1RqNxxxZwKBvXHpvWoq4f15JVdFBs6nFrRPjMVMyhAP0HjCslBoWtrDzinhdLn1I6ai8XMOiMyQ8&#10;PvGNA8MPAQAADD7DM9K3f7B1xYrlhw4fPfF1HrlSXmVlRefV8S5dzu9u5ARcT/Whw4fXrn29c2iY&#10;nT1146aNfZTJuiaMgYHcEAAAAAgxnAjxEBZbqa6zOezdemCVui7GbMLE0a6dfiaGlPalDCO53JBL&#10;DJGzJY3L2htCjPnPpSMFGAPFiCNTI3eG1ARk34InNDTiSmXF6c79d9wpHthTFC0yLbyP2Ch5V4R7&#10;rnFP4l28n802qzOmb22C2ikAAAAGq+EZ6cT2p5dXFl0t3rVr9ycf7/Q4v3XDW//S6XQzZ0wjdoaT&#10;Fth53vP5rn37H//u29NoQnFKatrIkVlTJk8K5pcNuSEAAAAQehhcnpyZUF9fo7eYPe4QRqF4nLdc&#10;h7faHQ5+ZDSVRu1GYshkirhcOjWEy6lVaE2bdxcvm+/8mJsguxn9HL1QM2jeFXqLpVmnC4bQkOIs&#10;h/KJzeY+BzxKEi6RcoLkdKGlD69UYl+XhHc5eZnSXjuF2Fh0RrRAxOAJiO8g+EEEAABgkBmekb5+&#10;3doXV674+sSpo0cOu81frqysWPXKi8Q2d978BY89PidnFpwx/2k0eFZW1sRJD214+63QOnXwiQcA&#10;AAAISTQGI0Yql/A8L5/so4KsWodXX69R/dDSlN/aZWjIo9Nj+HwJhoV0aIjERNxS9LmqVv/Cph/y&#10;yhsHx/tBZzartVqPoWE8l9XPoWFTTX5j/c+d+zOzJMF23kYkalc+XH9mbuMSfp0grOsBvM7VQpsa&#10;yqvKWhtUNqMefhABAAAYfAQC/pycWds/2FqlqH7jn29lZ09122Hvnt1zfz17ypSHUWlg4I+dn3xW&#10;WVmxY/u27pYzHnCQGwIAAAChikqjCqOkCZIY/x/CwVlYtYCpYPuZGIoFAnboL+smYdI+yB09LzvB&#10;tfPgd4pzNZrB8U7Qmc2NOs91ou8Ucbe9PLk/Q0NCacHuzp1Dk4XhvCCd6YKr6jIYJa9FnHmOez2L&#10;ZvDnIWodXqlSKhQVxuZGu9UKP44AAAAMPvL4uD+9vPL48a++P//Dq6vXJCYmud6bl3fs4KEjcJb8&#10;xON1VFr7sSA/xH7jgIsHAAAAhDQmJkiKTaBTaT72cTioHJzFrxLS1Nw2C62LA1KpEgwbHIkh8sZv&#10;szJTRW6di6YlS5i0QfDVqXU6H6Hhmy9MwLB+rXxdU/KVXlfr1slh01PSRcF5Aq0WR9n1jvotSeya&#10;hcKLr/J/nM1U+/NYtPphRXVFY12NVa+DH0cAAAAGpXFjx6xft7aiovxY3jeuAaJUKoWT46dhaamo&#10;8e9NG0LrlUNuCAAAAIQ8GoudEJ/EZXqIh+xWGr85XFQloKm5DlsX/+4zqVQxjycTibhM5mA6P3Jp&#10;x4KGZwsaNu8uRm0hxpxztzzUvzS1Tqc3e17jckBCQ6sZL/tpX+f+lBQRgxmkHzsL89U2m8O1R8TQ&#10;/EpeUbCw/l93GbM4bf4cpMWgu1FfU3njuraxHoYfAgAAGKymTJ6EAsSfi64ey/sGljj037ixY8i8&#10;dd/+gyH0yiE3BAAAAAYDKo0qixtyy3KHZgangSdQCBwtbLuji6KxZGLIY7FC6wuXMGn3xgp87/Pe&#10;vpKqWv3m3cXLP72y85LybEED6sfCQ3hApaOtrVGj8RYaTkqK3LJ6aj+HhoSqooOdy6FEiNhDUvjB&#10;eRrVKmNNrYdxgiPHRPM41pwxTZ8vrNk7WfNMvF9RoM1hr8NbK6orapU3LFqNw+6AH00AAAAGpZpa&#10;1dEjR/7xr7fhVPjviYWLUOOllcs1Grwnhzp/4WK/LS4J9ZQBAACAwUMYJeWw2OpKDV3LajP59a88&#10;j07nhYeH4pTkTDHvd1OSx2dFEe1WrWXt9h+9rVe4v6iO2Mibmw+VxEVzlfX6D0+Vh+iFdrS1NWg0&#10;JrvnOh52zHLv2AHI6Yy48kbpsc79acMigvZM/vyTh8I4bksxjkjUEtvTRkbez/zPStgFxrAuD6u3&#10;mPVq4i1XJ+HxuVyMweXBTycAAADBTKPBi6+VXLqcz+PxhqWljhs7xtue+/YffP+9d/PyOv7Fnzlj&#10;2vCMdDiBvhEnTaVSkTcrKyuW5j714ISJUqk0VtYx1zt9WJpA4NfntylTHibPP2HxklzUyBo5itI+&#10;eRwd08dF7BbIDQEAAIBBwmpw6GqM9mo7zc71Z2pl6CaGhOxk8d+eySJvCjFmshTzs85JhdY0b+O5&#10;0L3QJru9GcctDs9j2agiky7C8KcfLjOo1MmjRvTnCyu5/EnnzlgZTyLlBOeZLLvaqtVZ3Dq9LcWI&#10;hh/mjKFcqcS+LgnfUu3XN45ahxMbnUoT87BwTEBjseEnFQAADBQBnzXn11E7PqyGU+HmP+++v+y5&#10;Z275oJU9deOmjW6B4PkLF99+++29e26pfqbVwvK+XZv769luPcRpdDuThO/P/+BP2Bcvv2WlnR3b&#10;t3W0yMatl5LYPyU1LSYmZtLEB+Xxcd198ZAbAgAAACFPX2fGa02UJouf+3NZLIzDYdNCtSpIEsZ+&#10;6YnhqF1Vq79a2XpdiX9VqLodrrXJbldrNPY2z8mwXaLX8TtmLv/j8o+JMVHJsf20YHlTTX5j/c/u&#10;HzTp1PQ7IoPzTLqWQ3GVMVzseynGAIYfovnLFLyVy2RFYgJ6OI82WIoOAQBASGCyaPfdI1681Ll8&#10;x44P4Xzc4h//envVKy+6deblHZs5Y8ahw4dRdKioVr7++rodnWKp7OypMhmURulaYmJSZWVFl7td&#10;upzvT264Zs1rMpnsk493+nNMt5GJ2z/Y2t0XD7khAAAAEKrQAEOzytRm9msZNVpYGIfFEnI4dGpo&#10;L3A8ZYRUiDkrt+zJq3rzeOntc8V1ZrO30sk0apsl0mDk31zuUG21Pn3k+PvTp/RPdFhasLtz55AE&#10;vuuE36DSuRwKpX0pxtgErj8PJ4cflqvCv7yCfali1Nm6fpRz/nJTA6Wpgc/miJwBIkalwWrjAADQ&#10;t0ZkRjy2AIuTt8Gp6ExRrewcGiKVlRUzZ8zYsnXbd99++9f1r3fe4dXVa15cucLPqbW3uVOnT18r&#10;KS0tLSPaBfmXyf5qhcI115s1c7o/R5PHx61ft5bY0BWsrXX+3zmu1boe/+SJbzqniju2b8vNze3u&#10;/GXIDQEAAIDQo1WadA1m/wcYMqlUHofDY7GoYWGD4MtPk3d8Qq1rNtw+Fx03mZr1eo93MWhhbalh&#10;Rot7jRS11brh5Jl/zplBXP0+fW01JV/pdbVund4m/AaD1iaLt3Io3T1UstSwUmp42sj4vpR77Drn&#10;QDPNv6tpJDbiLSwK5/G5PCYmgB9rAADQ66IknPmPSsbeQzQhNPTs089u+W+/7OypkyZnl5WWoKGF&#10;lZUVU7Mf6vyoV1evmT59em8tn3c7kMfHEVusTBoXG/v8s0/3+pFRe8rkSW73olTxWkmpTqe7Xhbg&#10;/7VDbggAAACEDAdua75hoDRarHZ/P/7y6HQ2mx1yVZJdSZi0OXfLHxojFWCMF9+9XNioyy9tQuVQ&#10;ls1PJzaicbagATdYryvxnZeUg/LSq3U6b6WTw1jUiLsEVD6d0WBV69xr853RaF7Zd7hPo0OrGa8o&#10;Ptq5PyVF5HvC7wD6uVDdudOtHEq38DjW7BGtxPZSCzuviHfwBsuf+cuEFoOO2OhNalE4FyqoAABA&#10;b2GyaFMmRy94DBKPLmzd8i7ZJhfX02hwt3FwpFdXr8nNXRrAGnmg6GrxzBkzKO1jD/vtBKJUsYcJ&#10;L3wXAQAAAMHOanAYG8wGhcHP+ciU9inJbCYzpBcxRO6NFaxdchealUxYvSjz2XcufFWoWjQtmewk&#10;oBiRQol9MCtm6bZLg+nqO9ramnFcb/MyCZZLF48RUdvXyhNGSc02a/sotluc0Wh2fHPmDzOy++gV&#10;VhUdNJvcFwqMELGHpATpxKUbZXhzi8mts7dGR0aLTAvvI7aO8il+zl+2OexkBRUIEAEAoIfGjZX8&#10;5jfhfAGMMexC0dVi16msZLokEPDXrV/vlhsmJiZ9+tkuGGMYsJOnvkVn++ChI7075JDSHvXu/OSz&#10;DW/9i7ygxPWaOOkhVA5lzOiRPal5DblhkBo/PoVCjqVu/+/q9ja5CnpYW0dfe+PmDjeHX7dRPHe2&#10;/bKza6eDvNdl/HZBTf1XV6/CtQAAgIFis1IMNUZ9rYmit/n/qME0JTlTzHMNDQkJMu7DmdKdl5RP&#10;/OMM0RiZ2lFzIy6aS9zlfEiqaNHouEEz6tDmcDTiuMlu93y3gC7JEtFdCmxIouPsKoW+04Tl7VVV&#10;lMN5fREdGnGlsuJ05/60YRHBeUqtFsfV4qbO/b0+OpIsn/J9Kfd7BXtnHd2/Kw4BIgAABE4ez1v4&#10;RGTGHW0wMdkfJ099S7YXL8l1vWvc2DFEj2shlP4cJTcoSaUd602fPnWy13PDpblPuVVnrqysqNx+&#10;y/qGf3xhxetr1wSwHiXkhkFKLB74z4j1OO7XbrUKuF6gnxksFjgJYBCzWSnG+u4tX4g4qySzWOxB&#10;VKf1DznDyPondc0GNCV50bTkrwpVaot95yWlaz54b6xg0wt3E42hcXzKoBhx6Lt0MiOaJc50/+RH&#10;pVFjpPKq6gqbwz1q3F5VlXH5yuRRI3r3RZYXfmGzuY/di5XxJFJOcJ7VsuIWj+VQ+mh05C/zlylP&#10;t7DPXef+r4x5Uu/XEGAIEAEAoFsEfNbDU8UzZ9MgMezGr/x1KrItk8nc7s3NvSU3vHgpH3LDnhiW&#10;loIae/fs1mi29mI9mfMXLrqFhh79e9OGmpqaD7Z1+6khNwQ91Xk+FAAAgABYDQ5TsyWAuJBNo4W3&#10;r2A4OGqekLKTxZmpznmjOw5c33KmkmiMTI0cnxUlxJhz7pajHldcNmMwffk+Sic7v9gUHn+I52CO&#10;SqPKpXEKlbJzdLjy/MW3KZRejA7xxtI65cXO/el3RAbnWTXobNfLWzv335Ep6eunjhaZcsaY4s79&#10;PK3KWioZepkfn8/0KweEABEAALo0aUL03HlsmJjcXbW1N2uaXTh/fvVra6NjpK47JCYmkfNeX1q5&#10;XKVS8Xi8YWmpxE0M4/Vk6uttiDhd2dlT0ezvnZ981utDDtH1emLhovsfeICsZrP5nS2nT50kU0Wi&#10;sXLlSqinDAAAAIQStHZhdycjU9pXMOSwWDw2O9RXMPQmWYqhRmFlc8dHn0MlaB3DxbOHHr+iqtB2&#10;DHOTMGl3xYvmTxqCbl5X4qH+tTcZDFqj1/+W46VjWBzb13uDxY6PllaqPEzW/sflHxNjopJjpb3y&#10;Oksuf9q5syfVRfpaYYGHciixMp4wktkPz666oG4u1XAolBHKwhGUwnnh/IqIIYdEQ+tofkXergEi&#10;xubwuTx6OEalUSkAAHAbk8fznv19ZJwcJiYHwnWMYV7eMY+FUEiVlRXLnnvGtScxMenNtzfOyZkF&#10;Z9JPs36Vg04ycSYnTnigt4JXDOv4D8VRo8esX7eW0j7rHI0Vff7Zp4nt+NdPkUliACtUQm4IAAAA&#10;DAAHbmutMZpbbN2NCwlcJjOcxSL+HGTnJFPM+0POsJIq/MNT5WqLPU3uPoeiQmvak1c1LzuBaP/2&#10;oaQ1XzoX4U3C2FuWjyXXQCwsbQnpxQ0dbW1Ner230skMWljEaCGV3/XnNzqHmyCJqVLXufWrrdan&#10;jxz/ZO7s6AhhD19qU02+pqXc/Xnp1F6pLtIX1Cpjg9rQ+QVnjpT0w7NbdbaSA7cMksUM+AhD4b36&#10;KnXM0GK66AhN2EDxdwozqsJModSJwnkYJ5wezqMxGBQAALidCPis3yyKHnsPBRLDgOXmLv3r+tcD&#10;fnhlZcVLK5dDbuiP1a+tra2txV3Wgps5Y8as2b8ampJK9oweNTKwsjPkSMa9e3Yrqt/qPJ08P78A&#10;NebOmx/A8SE3BAAAAPoJWrjQ3GyhNFqs9m5/xmXTaDwOJ5zJHGTzkREJk/bWs6OEGDMzVSQTc5Z/&#10;egU3WDvvtu97BcoNHxkfe+xizbkaDY9FJ0PDPXlVH54qD+F3iO8qKFx6xB2YP6EhwsQEcVarstW9&#10;Bojaal13NO+fc2YQb6eevNqrFz/s3JmRHtm71UV60Y8FDZ07U4aK+ucFl+yvNGvc39I0Oo0bIcTs&#10;LUn2lukUSgVN1K0AkdARIDY1cJksUTiPyeXRWGz4YQsAGNyYLNp994gXL2XBqegheXzc5ne2HPxy&#10;v++Rhj64lmMGPnTOZ4lT9+9NG9w6935xILAc9vGFi9BF3Lbtg/Xr1qakpqH+8xcuYhhv65Z30c0F&#10;jz0ewMEhNwQAAAD6lgO3aerNJrUlgKGFlF+WLwxnMunU0J6QeG+sgPjzXI3G4733pUjI+G98VlTO&#10;lZj26caxlPYJy+SjKrSmqlo9Kp0878Eh5z69Utio27y7mLh5tqSRnLkcinxXQUGlk6ndHFLGiRBL&#10;bFa1zn3i9hmN5pV9h99ZOC/gV1tT8pXZ1OL+dGx6H1UX6bmyq61Gk63zC07JEPbDs2vKtTXnPaSW&#10;/Ogoqss6A0k9CBD1FrOzjnZrE4vO4LM5sAwiAGCwGpEZ8dgCrH1icoCWPSdX1a8b2K+Czcrw9c83&#10;28O9bHZGX7wSNI/Vxw6KamVtbUf5FFyrLS0tIxrXy0q1Wi3RIPMp4NvcefP9KV2CzmoAcmbPXNe+&#10;GOVf17++ft3aCQ8+gPpfW736+vUyFO9mZ08NLJSE3BAAMDjhJgOludGtk/j1jOYytTOMzoSJXaCP&#10;dKxa2GxhtFoDGFpIGURxYcenmeExq568k2gsWPcdSvckTNqTE5J/LG/OK3d+qw6NvSVvenxK0isf&#10;5C9rby+allyu0p6r0RAPeThTikJDSnu8eO9pAdEf0hOTEd9VUDyWTvaTMEpqtlk7FzE7o9H83+G8&#10;P8zIDuTtbcbLftrXuf+u9tUng/H70eIou94ygC/4p09KPXyPY1wW1/OQz54EiGZnUtwRFsMsZgDA&#10;YBIl4cx/VNLzicnEEUym4oH9Wny/gFbNvi6PwGQmUKnhN/9NcQkiydiRSuUSu/Xwpcrj41znvU6Z&#10;PAneigHY8/kuRfVbtbUqMntFCvIvk+1qhSJn9szAji8Q8D/9bNe2bdtQkjtu7Jg/vrDi35s2kCNJ&#10;ExOTNm7aGNjBITcEAAxOxC/J3Sr2zaIzWHTnj0QalcZlOmc9EL9lUdt7qEwOLDwP/Mom2gsim5st&#10;tlZrm9nR0dnNgwyyuJDE4zi/m1q1N0tFp0h487ITiE2/6YdzNRqZ2Bmg/O9sTUaiMEHGJbYYPmvH&#10;geuLZw8VYsxNL9zt8bBTx8R6G8AYQtQ6nbcFDSl+VEHpkiQ6zq5SOAej3Wp7VZX41LnHJ9zb3QNW&#10;FR202dyHdkaI2BIpJzjPcPFPTTabo9Pvn+H984LLj1br691PVxg1jB8l7vKxbgHiZSqvMKwb8/LI&#10;WczEv3GicC6bw4VBiACAUMRk0XJmxcycTYNTQbJYqlxvugaRHmNHNrujBIc48hkGPQpOYP8jE9g+&#10;yl7HjR3jujzi62vX1NTUoEGO2dlTN27aGHAZFsgNAQDAyWyzEhv5i1bnHVCwiFJFNG4xjPgLlpG6&#10;7Tlwmx63uWWFAeAymRwmk81gDLK4kPRVoYrLZhRWNpNTievwjhhr8bSUc9suDR/qnC567GINsaGU&#10;cN6DQ/6+9+fR6ZGZqbfU2SgsbTlyTolGLz4yPvY/R0vUFnuovn/a2ppxXG/zPIGdQQvjjxAwI3s6&#10;UoxKo0ZHxypqqmwO9xP1z6KrURh38qgR/h/NiCuVFac799+RKQnOk2zQ2W5UeSixnZnVHy/YUG+q&#10;/Lqmcz8miaR2pxI6GSA2UsN/Yoi/owq7FSAS/8DV4a0UYoNBiACAUDNurOQ3vwnnC6D4SY+QwWJz&#10;8/7oqKfhhAyUffsPfvftaTQfWSaTTZ8+PbBaKF0SCPh7Pt91/sJKop0+LI24GfChIDcEAAB/f+lC&#10;waJbqkin0sKZzPZUkUFnsal0OoSJg56lyapvtpi0toDnICO0sDA2k0m8fzgMxqAsdeJKbbFvOXNL&#10;MVmyOHJmquiZ+xLJxQ3P1WjQCobjs6KwQ4xVHxU8nCmddb+c6CksbTldUIdmJQ/N46MCKSkSnjo0&#10;hxya7PZmHLc4vMTN3ayC0sWbjcGQS+MUKmXn6HDl+Ys7hYLM5CF+Hqq88IvOgw1jZTxhZJAW+M6/&#10;WN+5c2iyMJzXHx+Di3Zdt5vdzzmDwwoP9OO72GGYaFZMpCgaqeHVNOx7muQEtXujJl0HIaKVEGns&#10;cBhWDwAIQvJ43sInIjPuaIOKyb3IYDxlMN4fzsmAU9HPiq4WL39huVsJmr+uf33xktwNb7/Vk1wP&#10;Wf3aWuLPBQvmu44r7JVQEnJDAADoEeKX8PYJ0bfMiUaDE/nscDTZmc7hwokKaWhQoVVrNbfYXGub&#10;WAM6GptGYzCZXBaLTbvtpttkJ4v/9kxWYWnL0m2XKC7FkRfPHop2KFM7c/lPj1eg4YS/fShpzZdX&#10;d15Sdl7B8HpNxwgy16opIURnNrfo9b1bBcU3GosdJ4m5Ue9h7NuKb06/z2Ylx0q7PAjeWFqnvOj+&#10;aZJOTb8jMjjPs1plbG4xdX7BKemifnj2pp9bmks9vDkFMb0wQUzsMBBblrV+EZVVTeUX04WfUbtX&#10;48V1JURUjpnB4cA/WAAEIDYm5tc5v06QJ7RqWjUaTWlJyc9Xi2rq6m7DUzH+7rEvr/rz//vvjn0H&#10;D/TkOAI+a86voyZNDoPEsC80N38aHvtXOA/9SaPBZ86Y4bH89I7t23Ac/2Db1h5Gh6hk87Vr1/Z8&#10;vqt3XzzkhgAA0PvQ4ETXBRaJX8mYdAbxJ/FbGSyYGPysBocFt1q0NlOLhaGz92RQIcKkUhkMBofB&#10;CGcyB/3QQh+mjXXWR85MFSVh7AqtiRxySO6AZhzvL6p7vDYpQcZ9ZHzsmZ8aUOEUN/WtxtA9D416&#10;vc7ktfQzK44dkY71xfMyuLwESUyV2v1XWbXVuvrYya2P5fA4XYxcK7n8aefOIQn8/hm7F4AfCzxU&#10;Mc5Ij2Qw+/yHsFVn++nTss79XJGA3qsThDGHOcOhzrCp5wS6DCLlZjlmZ5vP5gi5GJ3NgeHzIIRw&#10;2Oz1a16/5777GhsbFzw239jpZ+ycWbNXvPRySXHxc3943uj9J3Bg3n3vfbHYfcVS4rl27/rs23Nn&#10;e/3pgvkqvLzqz8SpSM/IoPQgNxTwWW+8EQMTk/vwXyhbubrxY4l4YW8d0GS5UV/3NyYrnk6X0GkS&#10;DjuDyRziWrYF7D9wiAwNFy/JnTZ9Bobxjh458u9NG4ievXt2Pzhhou/C1l1KbK+n3L6gIeSGoL8k&#10;CPl/uX8MnAcQ/L6tch8+Y7LbTTa7kOU+aa5Ko1VotAPyItGvZM6pYe2/lbHojHAmC2LE4HFzRKHW&#10;5hYUWgM9pnMaMoPBas8KB+uqhV1aNDpuZGrkf4+XFzY6BxKWKPDx7RVsx6eJK9qHEJJDDt2QQw5j&#10;RJ6Ti2RpR7KmM9pC6Z3W1tag0RA/o7zt0PMqKL4xMYHEaEBDzFwVGQ2v7Dv8zzkzfESHTTX5mpZy&#10;94+S/TV2LwBlV1uNJve3B8ZjDknh98Ozl3+lMGvcf37Q6DRuhLDvntR1GcTAZjFTXAqL0ak0jM1x&#10;LoYIGSIIenFS2T333Uc0xGLxA/eOP3biG9d7Y2NiVrz0MtFIS08n9iyrrCB67sgY7tfnzK6Cv5TE&#10;pM6hIXqu115fV1JcvPq1V2+TsYdpQ4d6PBXdpcHNq1bV/TLeEPQJnf4IiyXnYw/0wmcbh6Gh4d+O&#10;Nl37EorOVRRRYRY6XUynS9isDBZzCJOZQLRv5xP+3bcda0O/unrN+nVrUXvK5El3ZY383W+dAe6G&#10;t/7VrdxQUa2srVW5Llw4cdJDldud0eT5Cxd7d81EyA2BVwkC7C8PQG4IQsBfKAG+UQvrG1tNHZUZ&#10;vquqRY0r9Y2a9s7vFLV995rRgEQyRuQyWeHExgmnMVnwu1k/sBocbUY7WqOQYnK4Tj2m9CAopLhk&#10;hUwG4zachuwmO1m8bL5zgZXhQ4Uvvnu5sFFXWNmM7pp1vxxNPa7Qmv53tuaR8bFuj91fVHfX2QhV&#10;o7HzDGWChEkjjtDxPatoDZUTYrJa1Vqtt7nJDFpYxGhhby1o6IMwSmpzODoXgDqj0ez45swfZmR7&#10;e2Bpwe7Onf0zdi+Qb3OLo+x6S+f+O+4U98OzG+pNVSdVnfv50VHUfvnJQM5iXkqhXqdHVtKwIzRh&#10;A6V7T21z2DsWQ4QMEQS9pMREsv3ssj+45YbERyzXm1MnPfTa6+v8PPLLK1ec/eFCwC8sLT393ffe&#10;9zgEshdFCEWRIlGZpymQ/Sk6Kho1lNXVPTyUBjfv+LD66294s2dFjL0H3uB9oqn5Pec/TD2LDq3W&#10;hvqG/7PbPSTjNlsjsZH1WOh0MZM5hMlI4LAz2Ozbd3XFF1eucL355G+eOHL40N49uysrK7qV9x08&#10;dGTZc89Q2mslx8udn4p3bN+G7tq1a1dNrSpWJu2t9BByQwDA7Ssz+uZvjw8kxHrcp0qjrWp1DsxB&#10;wSIa23ilvhE3W3rxlXRMEGsfAQS/m/U6B26zWdv0zRa70W412SmaXh6e5pyDTKdDVtjZU7NSUUOI&#10;MX83JXn5p1fImifElinmoUGIxy7ezA3JTsKaL6+6HVDCpD2cKR0ax78nU4LqqJwtaCALNAc53GRq&#10;1uu93s2lC8f08oKGvn7DlEgtKoXzx86ttldVUQ7neYwOa0q+0uvc/zeFw6b3z9i9ABT/1GSzudec&#10;iZKES6Scfnj2Kx+VdO5kcTnE1s/ngUlxZNics5jRIMQyuqiUih2idnsivGuGSGmfy8xnh8N6iCA4&#10;icXi8XeP9Rb2NbW0uIaMXf8wKS31f+fJ2Q8ZTaYIoSg9NXXJ0ty09HSKlyGQvSg2JgZNlN7w5r96&#10;uKpgb1GpVL1yHEW1bvM7um+/i3hsARYnh2nLva+p+T2zWRHwhGWD8apavdHRpvPr35H2GNFAuYRG&#10;I7LZ6UzGEJQh3lYzmjU47raOIZ/fo49SboVWCP/etAFNfybMnTefOH7WyFFEe/SokTKZVB4f192n&#10;gNwQAAB8SRBgxEb5JVh0HduIhit+V1XbajYX1jX21iRoGN/RE2ggoUlrs1sdphYLxUZxG0vYW9g0&#10;Gp3BYNPpbAbjtp2D3FnO8Ji7UiL+c7REbbFninkJspuBwvisqMzjzkyQnIA8daSs8Ljzl7FzNZrC&#10;0pbMVOdcVx7LV/D6cKYUDWBEWrWWzYdKgv+0ONramnQ6vcXrfzYwolnizH5N36g0aoxUrqy5gcrE&#10;u9peVZVx+crkUSNu+c4y4xXFRzsfJ2O4ODjPuUFnu1GFd+7PzOqPSVKqC2q8yv2XqDBqGBY1wKfL&#10;OQjRYriHQnmMQlXSBFV07DuqsLsrISIdc5l/WQ8xnMlic7hQlxkMIB6P53pz4qRJ3nLD5taWb8+d&#10;3fXpJwKBAPUIBUI0xxkpKS4+cviQTuf8Lr6Yn0/s7//LQIMKiYcQz35DUfX5nn2oPzUtre9ywzuI&#10;n8Xts4NlsbEDexWkUmlfHPZKYXNxiea+e8Rz57Fh0cNep9MfMZuvRUQ83q0Kyw6Hoan5C+KxAT+v&#10;yVRMbLj2f0SbyUxgszK4/5+9M4Fvqkr/fpp9T5eEtrQUuluKZV+LgGhBQGEYYEAZHEAQYcRXUVGc&#10;AQQcUVFhZAZQZBmRpX9ABNmrKNiy00JpqW1pS9d0Sbckzda0fU9ywunlZmmapiFNz/eTD9ye3Hvu&#10;uTc3uTm//J7n4Q7xYB+iQbkz+gHffvudL774HIl39fXyXx9+OPTs2Y530Ly5L6al3kIeQ2sY0x1S&#10;KITVEhImvrNy5YRnx9u/L6wbYjAYjINAuyLJqHipsLReo0uvkN2pMCiJdytkHdmFuYYo5PFpxjLN&#10;+Pzrqg16R0ONQYvpVIkQAk2FVBqNx2Cw8fm3wtIZ0dAGuPbHe/4ik9KNwpChUJicW1Wn0IHVZiX0&#10;PnqlCLoFT10ugbqhbVKyZVONdkXQQ9JV6d7f8mAdFXdG09RUI5frmpstPsugebGi+J2a0NAaVBo1&#10;yL9nkbQEfM6Qnnr76o0dbObI2FaJtjDzhFZDnjn7+rCDerup1yz1RoV5Y0S4twvqtzQq9dnHC8zb&#10;uSIh3W0+OpiUZpgJ8WlKkcJYjtmxQGaISUOUG0REFp0hZHM4LDb+uQvjYgyFOAhMmvL8nr17zLMK&#10;ZmcZQibVGs3W7duI7bu/+RZ6AwEOpyM8c+ok8U/QCWgBIwHLSKPsDDLuZYId1dfX/3Dsh84+zxw2&#10;e8yo+KHDhhn1DsMeiecquFcvuJBfUODkb33apgu/VdxKZT03UfzCNBzb4ew7lz6vonIDk/mkj/ef&#10;2lQPGxsr5cpkpeKMnTZDu15fXSF4QA2Ryx3CYfUF/3pYPsR5c1/88vPPYN0S8Pjn6rVPjRmjUCi/&#10;3r4N1ktJSJjYLiegSCTc9e034HH12o3SMunvly6eOP5jgR3JCpKSzvUKCcG6IQaDwTw2oIz4QnRr&#10;/MulwtLCekV6hSy9XNaRnIlEDZHHZAnAxIzH9/gAMegfbGxs1ikMmqBBHzR8UXVFHQyiUMgEC144&#10;M3fbXEmvmhQfBB7nbpTCeiYpaZX/OZ0Nw4oTRgRCpS/pqhTWQpkxMmST0XJ4LLPc/zhHwGVcLq23&#10;0X++QjNr8+UudEKUWm1tQ4O1hIZeLKrvAJELEhpag8Zi9/IPLJBayCC5OuX6197e4UGG370btfKS&#10;/Ivm60Q/4euep71Kqq6pJUevu6x+i8VyKHQmQyDxc8/Thcoxo2oq+TThL1SBYxqiVt9YpWykPCy8&#10;A8OZ6Sw2lcnCv3hhXEzCM8/u3f89XObxTFGQ+fl5FldOS0tFuqEra5hEhob1kEgqq6raTE3o6+0T&#10;Ehzk38NfqVQ+KCokDhIsf/TJRoubPD1mDFJUb1y/3pHizrC3lxcsJFY+eXbCxAUL5rfLktkR6uXa&#10;xMOlV652NOnhB6tq9uze/BgvTr2+qlFfZfXZpiq92bM6XWFzs6pTR6XT3a2ovEujBbCYT3A4MXS6&#10;mErjspl9GhsrG/WypmaVTlekVqU26vM6dRgq1U3wqK79DpoQBfyxYMEDPpFEIuGmLzbP/PM0+OdH&#10;G9aRVliydJljPcMkhjOmT42IjIIZDw3fya9eB+2wdkppmRRwPzdHoVBAf+JTY8a2axdYN8RgMJjO&#10;hWRIhFbEDsqIpnyI8jpkQqRzBV00OkzfSGmWG+bYWnWTXm3wPUFxkFTU2AWwaTQanU6lUrFQaCdh&#10;AvaMkSG382qS8ky+WpSpcOHkSEWD4WVNzamu0jX9cKFo4bQIbwFzdKTkWGY5qqFMtBzuSC7wpJNj&#10;iE1uaGjQaq1/f6SLB7ouoaHVL4IcXm9JQGEVeZJc1di45NT5H+f9hc/h5N9J1OvJ88ygnnzXJAp0&#10;gIy7FozekRE+LqjfYq0cikAi7hLXLaqmMuOhhphO83EgGSIClWamGK2IXCaLx2QxOBwqk4MjmjHO&#10;xVtkqlQuk8mgsLX4taWJR49AmQzV67BGTrbzs17EDxsOzYYUo2ZHfIrDZk+eMBGWeEbDXrv6H7cz&#10;Mix8fIWGzZ49G3UFyc7Kemflu0iw8/X2IYl3YO+fffElsQX0APby2caPiRHcM6ZOA8NYv3YNMYwa&#10;bPv0+PFZ9+6hbIkohSL5Q0MsnjplCtJnw8LCXfBaw6SH586LFi7wdizpIeihq8fDNhtUvAetX6cJ&#10;QiRRdkQ1SeynqalcpQaP3x77MSITIp0u5nKGdkUBcfWaD8vKymbPmQPNfTOmTz2X9Mtrry42dwX+&#10;c/Va8GwHdxcVFYmWoZgY0iuY5GHc9e03RcUlonZmVMS6IQaDwbiUOH8xsR5LeoXsUmGp8d8yB9Ij&#10;EkyI5WAy5icQ0bl8t/J0wJokFIIsaCpO0pYy2NjJA2NSqeDhxWCwDGohHdczIQErkIAFi+WM4Qqf&#10;LhrUuydvVkJv/t67xzINwtPl0vqUtEpDKsNHg47P35EunBYBFl6aEAbWzFdo4GqgJUDI6iqFTexH&#10;09RUp1CAf62twO7D9Yl0F7MwUyAK0GrK5eSy1FWNje8dPblu4uDi/EvmW8X0c1P33INcuUJJTiXJ&#10;YdMj+3q7YO8Wy6GwBTzXl0PpOEhD/BuFUkoTFtEEZVSuwz5EitGKCB6GG5bxWgP3LC6TxWGxaUwm&#10;Lq6C6TgoQeG2rV+hWsmdWo3EnKHDR8AFX2+fuS++OOelufBPmUx26XIK4ROJvWHtOmJGRYpRgPvv&#10;9q//MmsGye0IdT3zfUXHxPj5mLRCuE52Vtbf33gd6qTmoiHaC2gn7gV2PnTYMHiiwNgWLVgIRz5p&#10;yvPpd+9CIyRKoQiO5bs9u0F7/KhRi19bClqmz5yFdEPk2XRBZeec3Pr3P6gfP86/eyY9pFK57ZI+&#10;jXZFQ3E2pDDqGg0tRv2x0M0PVq+XyRVnoIAoEkzuQiHM+7/fByVCFBQMFtLS0o4d/+l2WqpCYZj6&#10;CQSCp8aM7bhoSDH8pmtXekRcFwWDwWC6GEQZ0RDOXC67VFR6qbDMgcSIBhNidSWlutIFAiLMLWja&#10;b41pio4EQQN2hBI3uvA8G8qYeHmZVEIqFScobBNUgeTOgzpU4Ji0Aip7snRGdHJuFUw1ePpaKRQE&#10;IXlSw1ciJBSCTabHBhzLLD988QH483BSoe3A5K6IXKOpV6msxSYzaF7C/iKmn3tdgQKxf1Nzc5WS&#10;XEgkub7+wq//M49G7tNb6IJEgQ7QqGvOzbUQLjeAcE12HtbKoQh7iLv6VR3UJAcPgzzhjFjm1nuW&#10;TosimrEbEeMsYLI/6M5btvwNkm5YUlzs9D2i6sxQWZs4/hmwX2TNk8lky5YuIUYHL1qwEImGV5KT&#10;r1y5POX5F6DitmH9RwtfXYTWBF0h0TA7Kyvx0MGo6GgkR0J8vX3gOqAHX2/v0vJy0LJy1Qeo/83/&#10;3lxTVzdmVDySUxfMXwDjmsGapGMhCZrg0KACCM8qMdIZtEPdEB0ph/0YUppe+K0i+Qpt+tQAnPTQ&#10;Nm069aCwCFVFfVOVRnNPr5e521GAIVXXfgcebHaMgDeWzx/r5qcdioa7d+3c9e03qFEkEs5/eS7l&#10;5blO311s35gjPxw/ferk5EftyR0H64YYDAbjLsDazTA3Yr1Ge6mwzDENEQmIYBrmL/KxJiAiJ2Dr&#10;hjWPmHRMyQRNN+rOrTrizC9GRiMhhW7QCXngwKlU7CV0AB7bcM2k59RK5aYYwzgxf8GE8NPXSmFU&#10;8tiBAWhlbwHzubhA6EwEz75qLF1C6hAKhWBhTH//Y5nll0vrh72b5GEnrc26yRQeXTRAxOC6oyAi&#10;9PNXQR2HwACayreZ7Bmh06kxT7qp2TA3q1atIX9S+fqwXRNSba0cCtWzPoKIscwKKiuvoaWIyi/h&#10;+F5gdyh9JMmNCO5fLDrdlBuRTsclVjC2CQpovSWVlpcnJiZC3VAsFscPG04My5VKpZ06kuPHjhOD&#10;ea8kJ3/86SfECOLI0DAo/MlksndWvAVVudPnzx06mAg2jI6JGdCvH4xW9vX2QUof6Gf1urVqjebc&#10;hV9IumFMVBRcAB1CF+HUKVOQNxBuBZahfgo7BCdn244dYFR+Po+8bWdMnUZyQRLPKimForlKGBzY&#10;0/RhmJXlyldfp21KPFz662+c2X+R2Jn0sIeEg9815O/PjwqLtXVH6uqPuu1oYS3m6trvhIJJAv5Y&#10;97cfFhWXOODyc4AZ06c6xbpI/u6H3yEYDAbjbmQU1darGn0pvD/1igKPygZVZrnsdkX1nQpZeYNB&#10;xGE2ejH0lieijXoqvbFVlailgC+LGoqXV4vaA7UzPt1wF/MyqqJYInQuR68XpRfU5FYpUcHi/n28&#10;4wf2iI3wvv1JMmiEkcgo3HjqUyEoovnE70XQq0gEhjCDzfecz/PIM2a7brJBBwlm+8YI3Hb8VBo1&#10;IDCkpPSBVt9qBZ7IsxBo1qe30AWJAh2gUdf8oFBu3t4vzhXTiT+O5JuXQ6HRaW5bDsU580xFXUCp&#10;NIBCGUahvECj1wgltRzvQl6Pn3gBHewZyogoNyLFWGLFKCYysCERYw6XwyX+mVuQjyyHryxanHL9&#10;WmBgoGtGQsoAmJR0npx2cNQouLBt61comFet0Rw7chja98LDwqFu+PSYMfBZovxn4bsQnw8Xbly7&#10;Chemz5wFFz7b+DFxq3MXfkFGSBTj3DqwYcOhb/FKcnJhUSFJnYQM6NfPv4c/OJnBvXqhoGxzrBWf&#10;6VQqq9Rb/1t0/AR/2VK/NpMestn466IT4HDiGPQgXeMDF9RssQjYaV39UfDg88eIBJPdOfvhgYOJ&#10;48aOIbYIBPzYvjHO3Ut9vXz71zu/2bEN5U8MDQ17evwzAoEgItLwA8OQwYNg3sP2gnVDjFWKZQ2H&#10;UgrwecC4G/UqXUZRnXljveqRCZuIyxBxme4w4CJZQ0l1g5M6o3Eopm+H1sQJ8D3Iw1K80Ly8ODRa&#10;C5UKPTs8o0qIA407mypdU5UxgnhUkAiGEivVBhsXtBbC6GPAWwfubKb0hwHIcWI+jGg+my411w3h&#10;yp56uqpVKoVabe1ZBs2L01fAC2C5+VFQadQg/55F0hJ9s0EsHkOX92BUkycJbLprqhI7QHpqlV5P&#10;/mgM6sn39uv0e4GqQlNyudK8Xejfw7M/KBRVrXZ4RpPev1YKHjMmxyYuWIay996pqHYg84Y5Rg3R&#10;+C4zfgWgU2lcJpPLZDEZTBqTiZXEbk4PCfnnAWQ5hA6+4F69HsvAZs95kVTCeMzYcXAhv6DA+KHK&#10;jo6IGNB/ABQNjWqC6RemKc+/ABe2bf3KomhYIjWU14uKjoZ/wtIrQQEBSLtMTSffdm9cuzrJUgAj&#10;aITt2VlZq9etHTMqnrQCOIfrNvzLvC4KxShrwgUUr/04v3UXK9//QDliuOTll7ndMOmhi2ExI328&#10;Z5omJsY6LTpdobbxgV5f5UA9lo6gVF4CDzY7xkc00z0r3qx675021wkNDZs67U+LFy9yWE/ct/8g&#10;aUcFBfkFu1p/A9763x1YN8Q4X+zYdDwDnwdMF6WkGp+DrgR0DrbQaFSqYeIHxUFc1Pixs/ml/jAL&#10;4abzOccyy5cqor0FzHmTw3+4UEQxRjFTCAkNJw7qmX4+h2LUHMEmsGKyx6Nvbq5TKJR661H8bhyb&#10;bA6NxQ4JDM4vNaRIH8OzYBiJjPRxT7OhSqkvLSPnFjSEVLukfkvmoftNWnIZHBaP0xXLodiPoqpa&#10;ryNbLJlc3sC/LKA8mr23XqO9UyH7vbAM/JteIXOgCJilt14TsVgz5aGSiDyJXnQmDf/C1H2+RTz0&#10;3KEI2dyC/CvJyTDq9q9z57lsJDALYULCBLjr6JiYyRMmoqrEFELlkCWvLqEQyrlAZDJZ0i8/k9a8&#10;kZpqcV9QTBSJRA+lE8NnINF6aa42kkyC5nrrxkctirBPa1VWTMN76HNsbXm0eLTruXqtKvU2bcKz&#10;/nNexHKHi4B1WoianbEa8gOtrlCjveea0isaTZZUs4HNjvHz+VuXq7xMMWp8/97yZURklMO6Ifok&#10;tEZa6i3HesZvJAwGg8F0shJhNAyCBeQZhMVJKFgZdDMkTNroSIm/j0Hp2JFs8EFAQTC6txCusO90&#10;3vLZMd4CJiyOXFpliElJypO9q9CBxoQRgXt/y4NxzSmZFd1BN2zQ6WqUSmslUChuH5ts+Q3LYveW&#10;BAyov+tDJ8f8ctj0PpFC9xx26o0K80bX1G+pzqitySGX9/Giegm6fjkUG+gbG1X1FqLChy9YzuSR&#10;5y0iNmtM7yDwgH/CImDQkHinQibX6pwzJKOSSPQkUoxVm2lUqpDNpTEYVHDHwbZET4cYIXvs2A9Q&#10;lSNqcxWVFZ06AFjR+NLlFJivkGIsWPzrpUsoKBipmSTFEAqOJHMihBRQTAJJgZVVVaSnfL0fCUYe&#10;0K8fMgxCryJJZVi/dg0MnR46bBixT1RlBaxwIzUV9onERFRqBjkf3QGdtunkqbLff2e9PM/fzqSH&#10;GOfCZPYGD3SFaTQG9VCtvQcWOjWoWaPJKpW+z+eP8fP5G5XK7XLnrU3tzwbTp71watbsI4cTKUb3&#10;4k8nT4IFhUL5R3YO/A3A4YwNWDfEYDAYjEPiwkM1kELwCVIeWgUNN5iH4iCmSzBvSPC8yeHeAlNE&#10;Z4Omcd/NkkJjhZO4KJ8wATtfoSEFIN8vMakGP1woWjgtglgd5XJp/e7j9wPFnNwqpUeeLkMJlIaG&#10;Bq3W2gpdJTbZ8nd9gWhIkwVrQN9YNxXCqqTqmlryTJtOp7ompDrrBwtZILkiId2jzW6KSllLM1kx&#10;D+g7IHLcpDa3RUXA/kExREshGdGJbkQELPVDtCVSjKkSaVQaj8mi0mg0JhM7Ez0Ai5PhlOvXkEjX&#10;ekk0WBYskFLmAGjbM6dOQtUP/Ltt61eoqsncF1/cun0bXC4sKhxJaR0SGGFS0vmMe5mwpIlFUKUU&#10;irGsCulZUuwwypkI9/vtnt1wSGDDdRv+Bdt37tgOG4kKRXZWFqn2NKC6thZsiHZBlDXRtqjUDMn5&#10;6A7Uy7Uw6eFf5/r17YfDlh8n0I0opBjuEcZA5ntQQ+ykqs1K5SWV6qaPaKZQOMkdDn/hK4ufGjP2&#10;iego86eQqAc/yjpS1UQkEn6701C4+cjhxIKC/Beef/6nkydHDB/qWGzyI9+p8BWMwWAw3f1GTqPR&#10;CaY/oghoeJZOp6FnceERD+XdCVEkeyCsc3I9UwYrI/cP8c7PLK/SNZ1JKZ0UH0Ta/PwdKXQgzpsc&#10;jqqjQMeiR9JmCRSKiO490IfeZYWIUbpsrhc5K6uvDzuoN889B5xx18Kso2+MnwtCqot/lTZUkCVL&#10;Gp3G8/X24E8MbYNa22AhoeeY11c50BuSEU3z/IdBzYX1cmflRiQBZURD7WYCsIIzDHOms9heVC+s&#10;J3YhUPrC+vpHzL9ff/O1tQLB1kDZ+jrIuQu/zJ7zIow1nvPS3LNnz0JFL/XWLVRyZP7L84gyHwlU&#10;2mXdhn99tvHjrJwctUb93HPPEdchFpJGXe3csR1mSwQ7GjhwEPRgorSG4AATjx6ByzF9W6NKv/pq&#10;C1pGHsaaulo1QXZftGAhEiKRVgsTNVJsOh8fL0XFyo8/UfaP812yRICTHroDdLqEzx8LHhRjODPU&#10;EFWqm87dS3Ozqrr2O0XDRYnf0scetrx48WJr4l3HRb1HvoGaSYc7vtk54dnxHX3J8FWLwWAwXQWS&#10;wEe6A3tZeopnNufBNkAMiXlDgqFoWKfQJV2VJowI9BYwe/fkJYSLb+fVwKcGRPoeyzRYIZLvVprr&#10;hvkKDUxoCPMeeja2S6AY3qd9uD6RvK57gMIWXazminl79BO+7jngB7lyhZIc6OqakOpGpT77JwvG&#10;TIHEj+rRP7HIKywUgRk4az5fEtDxzklBzQBoRSyqU1wqLC2sVzjXkIiAFZxNYc4EiHoi9Cca7qQc&#10;HgXjTniLTEp9TnY2sZ1YWNlOzLP12b93Eru+3YnSAi55dck7q96jGF2Q2VlZUE9cteqDxEMHoe4W&#10;Fho6e86L4E9k+kOlXcRisbX0gqRC0qYNjx7p1+9JlGAR5UmkGEXDZUuXmIdCg7OELI2URz2MYOWV&#10;b6+AA5jz0lzwOHRgPzjPqGoz0ivRViq1yg0vkjvpNW+uqB89UrxwEQu/ZdwHGM4MfYgq1U215p5K&#10;fcOJJkSdrrBU+r63aAYq4fJY6Nkz0GX7gtKhUCjcvWtnQUH+xIRnFr6yeMWKtzpSvhnrhhgMxjPh&#10;0enUx2oT4LV379jKh3lMzJscTjGKhq9tvpav0JTXqGAw8ugne6z98R7MXTgpPug/p7OrdE0omyGp&#10;k72/5Z1LLYP1lD0VTVNTnUIB/rW2gheL2mOAiCrs2l+uhmvv0lrIMpyvD1sS6I4lPhp1zbm5FjJ/&#10;DRjoikLG2ccKzMuhMDgstoDvwW8ERVV1k5581HyJf+yUWZ20R1RiBcY1A2ClZhjg7MQMiRaxpidS&#10;HiZPhCHPxpfe8B7xotJoLDa+s7gYG6bCPXv3tEs37MjeSfVAiBIhWGfi+GegJrh6zT+3bf9aLBaD&#10;p1AsM2TosGFIN8wtyEeCnTlnThkyl1ksYazWaN5Z9V78sOGvLFpMFA137tieePQIUTREZyYxMdHG&#10;AYIDIY4E+SXRMCiPBlDbiLl+vOi0TRd+q7iVylJr9fhd44ZwuUPAw4/ysk5XqFBedKKAWFd/VKO9&#10;5y9553FlPAzpFeyCvRw9duLdt98qMHMx7961Ezw2fvr50iWLRSJHflXFuiEGg/FMqAyGH5eLzwMG&#10;Y5uEcDEUAZOuSvMVhrnE2XQpTHQ4KT7of7/kg3ZoOUS5C2E2Q1I/VbqmKo8WDeUaTb1KZaMECsOf&#10;5R0jpHbxoEZhi66P7q55+6Ch/u454NysWrWGPP1zjcqpqtCUXrVguxNKumU5lPkWyqF0HiRDIsWo&#10;JBqsiJ3sSSQBkydSUMhz3SPPQlXRcEmwDd9GkFcRC4udCoqZRZSWl6O4XYoxYZ/FDVFxj/bWAuaw&#10;bb2aRMvhsuVvQE0QDGnOi7Nnz5iJRgU5c+rknr17iC0p16+98MLzT48ZgwKKhw4fQUpoCLmSnExq&#10;AduCh6+3j5+PIdOrxYBomUwGegP7JT0L80KC80bsbf7L81at+oAoRFo8XeYjcTfq5Vr8TnFzmMze&#10;fr4vO1dA1GiyikuXB/qvcWXM8kxjlZJQs7SkncTpUycLrKc+WPXeOxd+Tnpn5UoHwpaxbojBYDAY&#10;TFclTMCOjxYPivIDy3JV47kbpZdL681XGxUkmjg0aGScpF7ReOL3orPpUlj1GBDgY5rw3C81aQEG&#10;U+FDrRB0jiojw4yHFEI2w26Cvrm5TqFQ6q16E7p0CRQST2lumZsNg3ryXVCV2AEadc0PCi1oWP3i&#10;JC7Y+53/ZZs3cr0FDLYnR8BZK4fSe9hTj3dgSEZEnkSDIbFOYbQlysFCZ9sSzUGqIqkqCxEh2yRw&#10;c5ksOtUQc4DkRcMyrv5sN4cO7J/z0lxz/Qty4tSp6TNnicXiLzd9Zq02MVhHIDTYcG6kprZr10T7&#10;Xsa9TNKzRMshGEBQQAD04oGt9u7/PvHokUFx/fl8vlKpzMrJsTg20Hj0xHEKeBj55/uroEkQCp2X&#10;LqesX7sGLlgcHtjcRjnmtav/4d/D33xbGFJNApzbha8uih82fNDgwdByCE67eSmVY8d+wBckxlkg&#10;AVGjuadouKhUXupIb83NKmnFej+fl2FqRRew+NVXx457esjgQS7a3eLFFKO70NoKSUnneoWEYN0Q&#10;g8FgMJhugYRJmzEshKTfTYoPenPLdZJ0OG9IMCqC7C1gguWxAwNW/S8NSYeQirrWme251DKkFc7a&#10;fBlWVYYZD5PyZPkKzdbErEFRfinZMo8/z23aDCkiuqifiMH1hLl9z2ZFL0tmw5h+fu454Ky71Xo9&#10;uTpNUE++tx+zs3ddnVErLyQbbL2oXnw/Xw9+Ozi3HEpnA6ObUbkVyKXC0nqN7jGKiWafMGrSgjWQ&#10;exGAIqNNfzIYVPojc7pumH5x6/ZtqGCxOTV1tdOmT7PdA1jHRg+2Wfn2ikGDB//++yWL8bmr1/xz&#10;w/qP/CSS7/bsJq2g1mhSrl9r175QLkVYxRj0YK7c2Y8xp2FGuzaBNkbzc5VbkL9+7ZqKygpinkQM&#10;xlnAcsx+Pn9TKi/WK047bD9sblZVVe9w2bAnPDu+4zVJ7AeWTt717Teo5eq1G+Dfm7cMP4fcz81R&#10;KBSz58xxoGesG2IwGAwG08WQMGkb/zYwLsrH/KnwQAFRN0wIFyPRMD2nNiSQ5y1ggg3B5iTpkLgh&#10;SlPYuydvVJDolxsmgyEyJ+67WYLqJnsqbdoMDTP5SL6wD8djDnmoxoLLJiLc2z3Nhiql3qLZ0DUq&#10;590DuRauB18fXA7FzYG2RJKYmF4hq9Nofy8soxiFRfDv70Vl7jZy5F6EkIpBtwms7mLeTpIgbeDJ&#10;OTs7DJTSrD1bWl6+8NVFTtmRr7cPyqVo7m187HREwcRg7IFK5QqFk8DDqB6e0ekKHeunqnoHlzuk&#10;O5wxWKy54yWbsW6IwWAwGEwXI1LCh6JhYVnD5v/LvFxaj0yFSvUjOterU6Pgwj92pCXlyZDgCB6j&#10;IyXHMstTsmXLjStMfSoExS/HiVtniPGx/kevGBIapufUghW6yRlu22bIo/v3E3T1EihEejYrAhvJ&#10;gbd0OjUyxsc9B5yVUW3e6BqVs/hXqba+kdRIo9P4vt4e/KZQ1tS5uByKy4BFV6CkiMKcKQ81xPQK&#10;Wb1Gd6OssqimoUSuUDZ1ycxoD6u7WMBOCVJCwTx+5r74Ily4kpzstrVHMBgXwOePBQ+N5l5t/RGN&#10;JsuBHlSqm556coqKSw4cTLx180ZQUNC6D9c6VgiF/IUQX3PuSXKy4XdsGHsDpi3gAZZb4DKF8Gh5&#10;tPHhapRH17e8/HCd5ke31T9cLbfSrpTSfDq+ijCuRt3UZGs+j8F0cUYFicIDBcQshCRyq1qnedAk&#10;mCc1fWLfKWrNzB8mYPfuaYhW25qYlZRnCOgw7zBfoUlJq4wf2AOsue3vw+8V1Am5jHhCLdqEEYGb&#10;zucMezepm5x8e2yG7D5cn0hPCwMco7KQM6hPbyGD6Y4h2FVSdWkZWexwjcrZqNRn/2TB4CD07+HB&#10;74vmpqaGGgsp0lxcDsXF9JdILv9RWZ7XlPJHdWYx/IwFR8ujUVuamcaPCI7hXy2rqYnaAh4UFq7Q&#10;inEmE8c/QzHmW4QJCsGfqJAxziGIwVCMwcuB7DVK5cXa+iPOqrzc1fnPtq+X//019OeJ4z+mpaWJ&#10;RMKjx06cPnVSIBBs2fyFA91ixcdNqa5WQvHOoAA+1PiakfaHFECzP5sfaojoz2aCXNiMVjb22fSw&#10;sQmtbNQNYUtpndqeoYpFIvx6YVyMrL7e9qweg+nSbHlzGFywFgtcpWtKz6mNi/Lp3ZMXJmDnKzSz&#10;xvYB7SlplbAmMiRAaIo+g6qihEn7YGY/aFQ8nFR4LNNkVdhzPi82wttbwIRJDEn7Au2jgkQWy614&#10;Hm3aDL1YVN9YIdOP4WEH/qS+zLuplPwd0Y3Nhtl/1Jg3ukblzDtb1KQl6+8MDovF43jyW8Ndy6F0&#10;Bil/VJ5JKwH/ZhbXWVyhqdmLojF+CBj/JWXTpDL1LVTjuTKqihQqRc1qonpR9PTmZjr+6oKxl6CA&#10;gDXr1sPlK8nJvn5+qJDxoQP725sVEYPxYKD3sLbuiFxxprlZ1Z1Pxd7v9hNFQ0BBQf6x4z/Nf3mu&#10;QqGA9VImT5mC66JgMBgMBtPlgXVIUP1ii9zMqoYK4IT+gXlSBXQIylWNUEYkrRwXaqjV8NZfYqEs&#10;eDipcNP5HPRsukz5zrZbb0x/AiVMPJNSeu5GaXigAMY+k3ImeiSapiYlwOYPEqxgtjBCQGd44OHH&#10;atLMG/vG+Lmt2bCmlnyRc9j0vv07PbOhqkJT+KuFaH1RgCebDRs1Wo2iwbzdPcuhOEZGUW1KduWZ&#10;1NLL2ZUd7KpZZ5heGcJx1HQ2nc5mMOjaR95Hemqjnmr4qGnxamqkm6qy1NFMv9ZrqI06aiO+D2Jq&#10;6upkMplYbAiiRzkNKUYN8ds9u/H5wWBI+HjPFPDHVlVvdyxs2TM48P0+uDBz1uyx456GGiJonP/y&#10;3PFPm0pI5+TkYt0Qg8FgMJguz/VMGbT+xYn5qEQJict/VMFaJcSSypPig8CjTqHbdzpv382Scrkp&#10;DxdxHSQaSpg0FLYM9rJo580wATtAyMqtUpLCmSOChZSbnnzCq1UqhdqWxd5TbYYQi2ZDDpveJ1Lo&#10;ngO+nWZB2YmMdIU1Mvt4gXkjW8CjMxge/AaRV1kI/oqdPLMLlUOxSLGsISW70uAuTC2Rqzsq1TGp&#10;VAbDUHuESaOxbV4P9GYGeJjeaA93a/HNpqG3fi7pGK3LGmqjxqv1Rw4lTdvs1YRvnR6GWqNZtnTJ&#10;gvkLJk15HrbIZLJtW7/CtUcwGKufrnRJoP8aufxMbf2R7mk8TEo6Bxe+3fmNSCRMS721e9dO0Jh5&#10;Lyu2r8mwDBodObf48sJgMBgMxq24nVczK6E3WAj3t6obgnZoSzR/ylvAXD47JsCXu+l8DsxdiJ7a&#10;uPcuDE+OE/M/XzY4837dWwfuoGfzFRqiVxF5DIVcj9VENI2NNUqlrrnZxjoebDOE9NdcNW90jQzn&#10;AA9y5WoN2RYq4DNdoHJWZ9RW3iHHR3tRvYQ9xB78caSqlzeqyZVAmFzewL8s6KJH1GYYsv2waTQ6&#10;g8ExyoV0qvPNuWw9x+Ky7Wu9yaupkaYjNerp2mavZosrK6g6fNt1T0rLyz/6ZOO2HTv8fAwfyLkF&#10;+ficYDBtIhROYrP7VlVvd7jasmsoKi658OvF6dNecErdEos8NWYsjE2+cTNVIBCYvjI9XGgXWDfE&#10;YDAYDMa9uF1sqj8QESSkZFotmAhtiXB59/H7DZpGHpvxzNBA2Dgroff9Uvme83lIN0xJq7xTVAeL&#10;rsybHO4tYNoeBlgTLpTJ1J53kptbWmpUKqVGY2Mdz7YZml5lXTa/iewmc2ezYW6uheoc/Z50hXKX&#10;c7rIvJErElJpNE+9PAzlUKotlUNZ0MXKodSrdGfSSp1iLeTT6V4MBo/BYLuryZTWQqPpzbJt6q3m&#10;3/ShYNyamrpaWBcFg8HYCZPZO9B/TUXV5+4cs/z22+8cOZx4IGHit7u+DekV7JQ+Z86aDfoEC/v2&#10;H3x92ZInoqNg+6mTP+Xdz4XLAwYOcqBnrBtiMBgMBuNeoDDhYbFiCiERIQlkS6xT6HYkm8InwcK7&#10;E6Jg+5RRwYt23ty49+6q+U+CP+MH9iB6DwvLGvacz7MxjPBA0w+S5TWeFuvRoNPVKJW2y7Kz+3AF&#10;fXh0hodfbFFaC5kNBwx002x99+5Um5sNfX3YksBOr0kivVYlLySbf2l0mkDi58GXR0NNXZOeHADr&#10;2ycictykLjH+YlnD6bSSQ8kFHbQWur9WiMFgMBgiVCo30H9NVfV2pfKSe44QCnxJSefKyqTO0g3n&#10;vPgS7Hb531878eOx4SNGEPcFCA0Nmz7tBQd6xrohBoPBYDBuhIRJGx0pgcu2Uxwm5cneVei8BUzw&#10;IK6297c8qBvCOifHMsuVO/Tvzo0lGgwPJxWC1Uh5DBFhAnZ8tBgWRQGkZMs85vTqm5vrFIo2CrLz&#10;6P79BFSh539HGqXLZjfLSY2ukeEcoFHX/KBQbt4e/YSvC/ZuMbMhz8+TrVr6xkZVvYUTPnz+cjcf&#10;OYxEPp1aWlLd4HAnbBqNwWRirRCDwWC68Jdqv6XgX/eUDpE30InMmD514SuLYWxyUtI5lO4QseKd&#10;lY6FRWPdEIPBYDAYd2HekGBSBHH/Pt7WdEPDd4KrUigRjnpCkp5MXq2wzDRnTsqTJa2/GCfm81mG&#10;gErzyieI10aHEouoUIwR0OYFmrsizS0ttWq17fonFKPN0CeS102uN4tmQ9fIcA6Qm1Wr15MTtAX1&#10;5LtA5cw7XaytJwe3MjgsrkjowZeHUlbT0kz25IYMHR0YO8A9B3wmteR0WmlHIpGZVCqTyeQYUxZS&#10;vbzwLQmDwWC6OhK/pc3NKpXKkQJ/Ti+uUlRcsm7deriMRMNTp07BhRHDh3Z8F19+8XlkVPSq994x&#10;f2rrf3e8vmyJY91i3RCDwWAwGLcAxRcTsV3LGIUqPzM0EIUqzx8XDheuZz7iE7ShPyICxY9IMIeT&#10;ClG3XZoGna6+ocF2/ROKiC7uJ2Jwqd3kekvQ3OpCZkOVUm/RbBjTr9PDhBuV+oKfS83b+b6+Hnx5&#10;NGq0GgXZrMfk8kYscC+zIUxceDq15PIflY7JhTQvLzaDwWEywb+dUdsEg8FgMI8Xid9SqX69A2VS&#10;dI0PnDuSdevWQzMgkY82rAMPsLDwlcW7vv2mg7sQiYTvr3x73Ngxv128lJuTTTEWQhkwcND4p8d2&#10;JBoa64YYDAaDwXSUODF/wYTwMpl6k/V0hLZ5bXQoEg0LyxpO/F4Ew4RHxkkoP1rdKilP9i/jQu+e&#10;vFFBotwq5euToyfFB1GMSQ+PXilq7zD+czpbKlMHijn3S+R5UgUqqdx1sScwmUHzYkXxBcHs7nPF&#10;Clt0fXR3zdvd1myYlVFt0WzI5Xf6V9m8s0VNWrI/l8XjgIcHXyHyKgvZCWKnzOJLAtxheEguPJtW&#10;6lgPsBQy3ygX4luY+zBx/DPg30uXU9QaDT4bGAzGKVCpXIN0WLHe6f7B9jJw0GCKmW6I2L1r5+Qp&#10;z8+YPrXjOxoxfKhT3IsIrBtiMBgMBtNR3pj+RFyUT0pape3VJEzac3GBAb7c8hrVnQd1yAAYJmCj&#10;6OCNe+8eM9ZQjggWTooP8hYwE8LFSXlWMwyeSSmFQuGHrwwgBjhv2p/pQHxxla7JMwyGFLsDkxn+&#10;LO8YIb2bSQfDtXdpLTpSo2tifh1ApdSXlpHdsnQ6NW6QpNN3XaEp/FVq3i7oIfbgy0OjUDaqtaRG&#10;JpcXO2XW4x1Yx+VCHpOJrYVuy8Txz6wxRvCtX7vm3IVfSO0ymWzOi7M7T0+MHzZ85aoPvtuz++iJ&#10;4/i1wGA8DCazt49oZnXtd493GDBM+H5uTmlpqcXkhgIBv0N3yXp51h8Gj6FcocjJyUXtaam3DI1y&#10;OdxpRua92L4x7eoZ64YYDAaDwXQUEd8g2BmqFR+wuk5CuJhUnGT38ftQpIuPNmkQWxOzoGgIuJ1b&#10;AwXBAeG+NnRDtBrquU6h+3DXbQ+wCnYEewKTvVhU31gh06/buY2smQ1dEPPrGFkZ1eaNfXoLGcxO&#10;l34slkNhC3h0jzapKaosnPDhC5YzefzHMp4OyoVMKpXBYHCZTB6Tie9W7szQYcMstkMxUSwWBwf2&#10;zC3I74xdc9jslas+ALuI6duXYqYb+nr7DB00CCwQ1UzS5osWLFTI5YlHjzimbIJdTJ0yZfFrhhoO&#10;2VlZiYcOYtMlBuPkLz/CSYqGiw5EKzsXKB1evXYD6YYbP/183NgxcLldJkHQyc1bqVAT/PXCLwV2&#10;fzz+kZ2LdUMMBoPBYFxNSUVD7562immMChL967WBpMaF0yIaNI37bpYYkhgaufOgDj2bnFsFFxJG&#10;BNoIfz6WWb5UEQ1FwzqFbt/pvLPpUmtlT7oDmqYmJaCtwGRaL073qX9CwprZ0AUxvw5QJVVbNBtG&#10;xnR6LeP6PEXlnRpSoxfVS+jRZkNlTV2TnvwB4tsnInLcJNcP5kxqycGUAsfkQlNBZBYLLOCbFMY2&#10;0RERYrHV9/Xnn22KjjHMsW+kptbU1ZqvMGZU/JyX5oIFqVRqTVu0ATJamgYTEwP+vJKcvHrdWiwd&#10;YjBOxM/nZWnFBncYCdFXOG7sGMdiikeOGObY3sEnVXs3wbohBoPBYDAdJTWn2mA2NJoKk/JkEiZt&#10;dKREqdEjn+Bbf4mFC1sTs86mS8GzS2cYxL7ls2NSsmVCrsm7BOsdQ6p0Tek5tXFRPm2GKm/anxng&#10;w1aq9cm5Vd1ZMWxuaaluaGjQattYT0QXdaf6JyR6Niu6ltkw+48a88bICB8XmA3vHbXw0z1XJKR6&#10;rg7V3NTUUGNBFhk+36XlUDpSGZlPpzNZLC6TiSORuxxhYeGPa9f+PfzhQklxMfnTJjQMioYymcyi&#10;aEix7pS0B5Jo2KoIjB49ecLExx407evt4+fj00k2TwzGxbDZfdnsGI0m67GPpL12vw6y8JXFcEEg&#10;EERERk19YUp7e8C6IQaDwWAwTmPy8KDRT/ZAlUmS1l+kGKumQDfi1sSsfTdLKEaTYESQEBZCiY8W&#10;ZxfJoew4cWgQMb74Ylp5XJTBVAX6tKEb2niq+1CtUqk0mqaWFhvreLGogig+L4DVnU/UUE2qudmw&#10;T2+h25oNa2rJdhsOmx7Z17vTr6iMWnkh2efoRfXi+Xp78OXRUFPX0kx+EwX0HRAYO8AFe88oqj2U&#10;UnAoucABuRAmLuQymVQvL/x52EWB8hwgv8Byml0XqFfmNpweElMe1RvXrlrbyltk+lioqKxo1+58&#10;vX2IouGV5OSMjLswWhmw4t2Vv166ZE2sdAFBAQHbtn8tFou/3PQZTvuI8QxEgsnuoBsC/t+bK/69&#10;5cuEhIkO5zQE2yYlnTPvdsWKtzpSOtkiWDfEYDAYDMZpQPkPknnfFHTcv49pRpEnVcCFeUOCoWhY&#10;p9ClZMsChCYlCwqOyXcrGzSGaTOPzUDta3+8h0+vZaXDjlSG3TwwGdGzWRHYmE3+LkinxjzZpcyG&#10;kT4u2HXOaQvlyAUSPw82G+obGxtqLeRFHfP6qk7db7Gs4VBKwcHkgpLqhvZui+VCjFMIDAy09hSf&#10;b5rS37h+3do6I0ePhgtVsvb9jDd1SqvrZ+XbK1KuXwMLubm5n33xJWwcOmiQA4HPzqJf31gYvt0z&#10;KAhfJBjPgMsdQqVyH3thZcCWzV+s+3CtSCR0uIfz58/+Z9vXX37+GTGz4b+3fAke/1y9dsqUKU4s&#10;qYx1QwwGg8FgHGdUkCg+1h+KgIj0nNpTl0tQhZPWKS6bAdZfODkSuggLyxo27EvPV2jA43BSIexk&#10;UnwQVA9J2A5V7p5oGhuVKpXtVIYG/JiiJwTdNjCZyFBNqnmjawqMOMCDXLlFs2GfSGFn77r4V6m5&#10;2ZBGp3FFQg++PJQySyrtuOf4koDO2B2sdvL1+ezM4rr2btt95EIJkxYpMehWSm1TukzpwUfKYbPR&#10;com0rDP6HzMqHgYU19fX/3Dsh9Ly1nt0cK9ecMHc6hgVHW3/Xoh92kO/fk/ChZ07tkPREAAWDh3Y&#10;DxMmttfA6Fwy7mWeOXUSni58A8V4DFzuEKXykjuMRNThLxWvL1syb+6LP1/47dDBA8QCzR9tWAce&#10;CQkTlyxdNmP61I4PFeuGGAwGg8G0jzABO19hkDPmDQlePpucoAQFI5vz6tQoVD4lJa3y4yMZKB3h&#10;pvM55TWqeZPDiQWXiQT4sPGZR+ibm2tVqjZTGXbbiskWsWY2dEGBEcfIzbUQnTeAYOntPPKSis0b&#10;BRI/D748GjVajYJs92NyeZ2R2RCmL0xMKWjvhh4vF0qYtAG9fMCn/aAov2B/Hqnc1rB3kzz4CgwO&#10;7ImWicVAggLakK0jQ8N6SCSVVVXWoph9vX2eHjPm5QULiZVPnp0wccGC+faEAA8cOAguBAYGgn3B&#10;5eraWrQt6B8uZGcZgh+RQPnrhQtICrQGMiqS+HbPbvBvWWnp7YyMdh3yjKnTVry78sypkx99stGB&#10;VwEMHrwQJdIy+BKUlpc71k+7XiDDB3u/fuFh4TF9+5YUF0ulUlxLGtOp8DhD3UQ3dAoikXDG9Kng&#10;cfXa26dOndr//T5kP0xKOgceCQkTX/rrvPkvz+3IXrBuiMFgMBiMXUyPDRjT3x9GItcpdBPWXwRT&#10;OwuKw8NgZERKtgzOvNEkEGmLsIIKdCaClrPpUjhpBH+W12ryKpV8Fv3zZYO9BUylWo9fAoqx+EmN&#10;SqVsa0bBoHkxw3jCPhx8xhBdzmyo1pCveV8ftiSw01/T4l+l2npyfj0Gh8V2NANRl0BeZcHOHDtl&#10;FpPntKMuljV8nZR9OrW0vfHI3cRdaPGHKER6Ti2lW8LlcC22c9jsyRMmrnh3JWqRyWRrV/+DJLSh&#10;DH2kzUHL1ClT9u7/Hv5JKskSP2w438jIkaNQ1sXFry1FmQcBL7zwPJQO/Xxaf3qZP/ev02fOgrub&#10;NOX5+S/Ps52T8cypk2A1wxeMmbMSjx5BYhlY2Lp9mwOHDJ8FfSK9D5yBfn0NldlQMejI0LC4J5/M&#10;y88jnSvQ/4a160aOHp2dlbXw1UWmT11vH4vq6oB+/fx7+EP/5o3r15VKJUkktf8F2rD+I3SS0ZrL&#10;li5pr3kTg7ETNruvRx7XiOFDweOdt1ccO/7Tge/3odSHUD3Mu5+7Yf2HDneOdUMMBoPBYNpAwqRt&#10;/NtAGFwMga7AS3cqgv151zNl51LLRj0hWTgtAjSGBwqItU0AxDBkwJtbrsMV4sT81fPiDGLiXgqU&#10;Dqt0TeRgZAXlw123wf+kPrshzS0ttWp1m8VPAKxgtjBCQMcuQwKRTdUeYDaMfsK3s/fbqNRbNBvy&#10;fX09+PLQNqgb1WT3Ll/iHztlVsc7dzgemU2jcdlsPovVTXIXmouGdQpd5v267CJ5nlTRbfNUhIWG&#10;mjcihYvYKBaL/7v967/MmkHUm1CGPplM9t2e3el378aPGgXlv+kzZyHdEOlWuQX58cOGo/SC1iDW&#10;VkaFU0AnJP0L7Mu2bph17x7UDcEgwRF9/Okn1iyQ9hwyyZs5oF+/N954Ew0JjHna9Gm+3j57v9sH&#10;W55NeIZo65s9YybsH20C3YvZWVl/f+N1tKa50gcPYf3aNSgVo50vEFjNmqoL2sFo8b0b0xlQqVwm&#10;s7dOV+iRRycSCYcOGVReXk4qmaJQKDrSLdYNMRgMBoMxMCpIRLGUQ8pcNEzPqU288IBiLIuMkhjy&#10;C0zVEgJ8LZgj9v6WlzAiEKqNH74yAEwFBTwG7BPMDO8U2ZpOY8XQ+Lpoaxsa2lQMKSK6uJ8IpzI0&#10;Z7DaQiXQyAgf9zQb3rtT/bjMhnlniyyaDVk8T/auKiyZDQf+ZUEHzYYpf1QeSik4k1rSrvrITCqV&#10;z+GAWR2d6oFv5IRw8egne4yMk4DbweGkwk3nc8zXOZNSmny38nZxLUpk0d1AHjewkJAwwXRaTp1E&#10;KyxasBBpUleSk69cuTzl+RegkrVh/UfIK0d5mKHvxvXrKPQ1tyAf6oZIriKmVgQMGjzY2sDAvurq&#10;60qKi1MuX0aNqHCKOSh9oTV+vXQJOfLAEf00+uShA/tTb90yD3C255CJ3szPN35Kku1y//jDeLAs&#10;1BIdEYHcf+AkTJ85C/UPTz4cG9iLr7c3FPtsiKpKpbK9L9CguP7oVfhy02egB3AySRHlGExn4JG6&#10;YVFxyYVfL546+RMx0SFk4SuLV6x4qyOde75uWF6RUVqSW1R4/+dfzqLGqKjowUPiwYK/fwiLyebz&#10;fRgMNoslZDKF+F2EwWAw3Q0wkbORefC5uEAkGtrIXYjUvZ5iC/oC6O2dbbeguxBMF1HZ5fSc2q+O&#10;/QGzJWIsT0W0WrlKZbtcsgEe3S+aj1MZWuRJfZl3UympkcOmR/b1dsPRNuqaHxTKLczA4ySdvmul&#10;vuRypXm7KKCHB18eqnq5XkfW9fgS/8hxkxzrsF6lO5RS8PX5nHbFI9O8vDgsFp/NZntoxeo4Mf+N&#10;6U8Qf4Ii3SzArQfeGpLvVnZDdyHRV/jTTydtrBkZGgZrhshksndWvAUNfafPnzt0MFEsFkfHxAzo&#10;1w/JYeYZ+kgqIYWQWhEmKPzh2A8DBw7Kz8+jGOOXkbGO5GREEGsxX0lO/vjTTzhs1v8dPkqxnr4Q&#10;UVNXu/LtFUQlDhwaeIBD+2zjx0g9bNchQ4i7Bsd16eJviUePwBMCOoHCXHhYONpqzKh4pNZ9/c3X&#10;4N+YqCj4J1gfHrivt8/KVR+QuqUYq8rcuH7dgdESJdejJ47DhV8vXRo6aFDGvUx878Z0HnSaxGOO&#10;pb5efuz4TxblQsA/V6+dM2d2bN+Yjp4xD74aFIqSn5MOEuVCRE5ONnhY3ApJikT6xgz39Y3AbzAM&#10;BoPxPKbHBqya/4gjAMzcNvIGrvpfGpQOpz4VAtttiIaQ9JxaMCc0TPwOWHpWppy1+TLYHZ9DHxTl&#10;VyZT3y+Vm9dcxiDsVAypjBZuhFAQjOvGWCVWk2Zh7h3prhHKWbV6PflFD+rJ9/Zjdvau884WNWnJ&#10;Di+2gEdneLIe3VBtIS7yqb9/4EBXZ1JLDqYUnE0rbddWPBaLy2TymEwPOJlxYj78tCe1hwnYMFMt&#10;/LOwrOHE70Vn06XEdeQqk3qLq2DZJn7UKLiwbetXKApYrdEcO3IYGgmJchgEJuMLDAwM7tVr6PAR&#10;1nqGWmFpeTkyxEWGhsGo3uysLGvp9lAtZrDO6nVr21vQI+X6tfVr1yxb/gbRZAeWP/viy5Vvr4Bi&#10;nJ2HTIrplslkYH2U1hDx8/lzUNeL6duXYlTrfL19wADgszt3bIe7QKLejWsmu/rUKVPQIIlRyQ6/&#10;QESL4vy5f4UZHsForfWMwTgLBt0TdMP6evm+/Qe//PyzArN8CKGhYSveWTn1hSkhvYKdsi+P1Q2b&#10;mrW7d39sTRy0gRVJcfcnn/xPIAjG7zEMBoPxpEkdmMsh0XD38ft5UsXs8X3ionzAY/648E3nc8AK&#10;0IcIpnm2RUPDnKFQDr0kYC/m80YIKoGCXwsbaBoblSqVUt9GKRgataVFpK3z1viIWBQKnmlbxprZ&#10;sE+kO8ZYWDMbxvTr9FrG1syGfLEnZzZU1tQ16clSaUDfAYGxA+zvpFjWcCil4GByQbsMhmwaDcYj&#10;e0D6QnCnmDEyBCWjQElsEctfiIZP1Sl0249mW/zF6H4JuPKD8EdWm4wZOw4u5BcUGD/N2NEREQP6&#10;D0BFSwQCAVp5QL9+6zb8y2Lcq0xmMnVaTKFIegpKipbXeVhTZde3Ox2rAnzuwi+XLqeMGRU/e86L&#10;xLyBK1d9MOfF2aDPdh0y5NCB/d/u2W1xPKm3bkHdEJVPIQqCJ06dggtR0dFw4cb163ABBTLbEA3b&#10;9QKlXL8GxgkHA54FG65e809cDgXjAuidrBsWFZesW7ce/TlwkCn7wZDBhvrsPXsGOkXO27f/4PK/&#10;v2bevvHTz5cuWSwSOfNrnsfqhvV1xQ6IhjbIybkxeDDWDTEYDKYL8+6EKFic5B870mAU2IT+pvCi&#10;jXvvwonc7eLa/e+PBhM8sOam8zl8lulGWVLR9ny4vEZlEhpYNHy2HcNOxRDQItLW+qqp1GYqhVJY&#10;VR5Kp9M5PHwCzfEMsyGX3+lfWTMO5HY3s2FzU1NDjQWz4cC/LLCzBwcMhkwqlclkenM4HpO+0HYd&#10;ZIoxeS4MQK5T6N7Zdsvar0pKtelzb1CUX3f+bSk7K2vjxo/Rn0teXQJDbkuKTQWLkLIGnqKYxQLL&#10;ZLKkX36Gy7YrnCAbXWvLQ4HMHLR3c9B4snJyHD5qtUZz7sIv4BEZGoYOWSwWD4rrn3L9mv2HDLmS&#10;nGxejhmRmn6n9V4QGlZdW4sUvfVr1yBzokgkMl2ZRldgUEAA0hYvXU6xcSztGi0Yp0IuhwMAG27b&#10;/jUxQBuD6aKUlUl379rZ+jdxmcDCVxZTjEp6RGRUYGBgUM/AEcOHdnzvq957BzwoRtfh0+OfGTho&#10;cFRUJOi8I9HKHqsbKpW1zu1w9+7/DB48Hb8HMBgMxm2RMGmBQg6akr02OnThtAgkEYKpHapo/OrU&#10;qKTNhsYhMQYTU3pOLXJ/PBcXiFwhFIIzMTbCG/RPzFIP/hzQy4eYur681vTDvnlJZUyb2K8YNgl0&#10;Sh81jdFEVB2KK6QhQb1pDJzf8BG6ltkQvPz388g1guh0qgvMhqoKTeWdGlKjF9VL2MOT0/M31NS1&#10;NJNrDYUMHd2m2bBepfsmKae9BkNPikdGEEVDcNdIuio9eqWIlLI2PtYfLuw7nWdNNARU1KnhgoDX&#10;HT/Hhg4bBhcuXfyNWIO4rt70mSCVmsK6ryQnQymKJEhlZ2UlHjqI6p9QjH49uLB+7RoUrovERCQF&#10;ImOdDdDeSRBLGFsrhdwuwLF//OknP402ZXiEwcL2HzLppFkErIxcfj0kEhRWLJPJiIIgCuiurKqi&#10;PFp0xTbtHe3e/d/fvnMb2kIB4FVbsGC+U04mBvO4GDF86MZPP4finQ12W9ITC4uK7XQjRkVFhoaG&#10;FVgv2g6eKtiVT1QtF76yeOCgwa8vW9LeI/JY3VAsCcXXKwaDwbgtEiZtdKRkQKRv31DveqXu40MZ&#10;HawNEifmw+xRKAthdIhBGZk8PCgpTwZ2N29yOFq5d09emIAN9khMUT8qSDRrbB/kCtm035STG+aq&#10;Bz1v/NvA3adzL5fWw8EvnWGIOzuTUrr2x3umSbimEb+yDmC/YujF1tf1aKAxmsz9nPrmpoqK0oDA&#10;ECoNF1Nupb/GUhlldzUbZmVUmzf26S10gdkw+3iBeSNXJKTSPNY73NzUpKq3EBI+YsFyG1vBEsmJ&#10;KQX274hNo3HZbD6L1XXjkcH9pX8f75RsGek+BdqRaHg4qXDvb3kWKyAnjDAZ20kJDUnkVpkkRXBj&#10;mjfENGkcFOUnVzWeu1HafX6LsqbQESbVhSMprYLUleTkpKTzGfcySfGtkaFhRH8c0qpQ2j60I5Kx&#10;jghSM61+mXm4C1iD2CmoNWq0DIdk5yETK7TYBoUqDxo8GC5QjOkIiYoeKbi7urZVyBszKt5GnLKd&#10;oyVyOyNjwYL5n3+2KTomBux36pQpe/d/j+/gmM6DyezT2bt4f+XbS5cszvoju7RMij5t0lJvgX9/&#10;vfCLDbFv3br1u779xp5dTHh2fH5+3vmfL+Tk5MKed1sxNiIMK+zaGRUVCbZt1+F4rG7I5YhffGnh&#10;wQO7ndXhs888h99gGAwG4xTAjGje5HCUIZ5C4QUIWRZ1QzhbAwt5UgVx1pQQLv7XawN3H7+/I9kw&#10;fSWmnAezODA3Q5M3WKUEuQgLyxpgvkK4R/gnmKR9u3gI0hDTc2qJOubpa6VQTAQrbIkiTyGkstbv&#10;9+VyLVyICBZSbuLXuW3sVwwpIrpfOF/bUqOQN1lbpUGnlVdXePcIxCcWMkqXzW8iV2X19WG7rdmw&#10;tIw8aafTqZExna5yWjMb8ny9PfjyUFbXmJsNI8c9x5cEmK9cr9KdSSv97McM+w2GNC8vNpMp4HC6&#10;bn1kCZMG7h1TnwqBd42pZQ2zNl8mrjBxkKkO75mU0k3nrcaoopudRVURQXyWFPgs5DIuH7jj2Z9X&#10;3iJv2+0wWR6FoHkB5r88L9fK9LtEWoaWFy1YiJL9IXENdUgy1lkErUzCv4fJTGrb4tcuZs+YiZZh&#10;7LOdh4wqtLQJClVG3WZnZRGlQKKPEu6upq72zKmTk6Y8D5bXGBO3ofU5bHZwYM/q2lpoErRztCTA&#10;tru+3QmtoPYfCAbjGFQq1wV7EYmENuKOi4pLysqkUFWsKJeWlZVBPbG4qKhde5nw7HgkAu769hvY&#10;7c1bqbDPNpVEO/Hkesr948Za1A3ffOvDyIiniC0KhcGZUlsrNb5+hk/nqooyYiHmqKjoseNwkDIG&#10;g8E4AZRkEALLSpo7KeLE/NXz4uBszfSlXKH7cNdtuCYsN7lwWgTUDVHKeciAXj5JebLUnGqo9yWE&#10;i6HZcGtiFpqPwVDi65kyuAsoGoJd7DudR0osBbri771LqrkMQcKlaV7xUGo0prfH2NQstFqlWq1p&#10;arLja5dBMWT6GQL3mBT/pubmKqXV0wue4rDYLJEPPsOGby9aC5kNo59w0yof1syGDGanG0i7odlQ&#10;39ioqlOYt5tnNiyWNXx2PONMaolcba+f2jMKnpjfg365QfbBwXsZuHH853TbSdVT0irtWQfetsiX&#10;aJHn31NQTCvJ9EeKdaUYi2lkZ2XBJHqrVn2QeOggFPXCQkNnz3kR/An1LLVGs/LtFVCHmvPSXPA4&#10;dGB/TnY2Ku6B9CxkrFOpVaR9QZnM4lMQpELW1ztuCA0KCOjXN5ZitDeGhYWj/IBgwFCJs/OQWz9O&#10;792zvUdwclA08UO54RFxwWJUcmJiIjoha9atX7b8jRvXrqIBgxHCOtT2j5bDZo8ZFV9RWXE7I8PX&#10;22f69D93/GRiMF2FkF7Bzip2bN4t0iuJSiL4dM3NyY6Mih4+dEh7u/Vk3VAgCH7zrQ+3bP6Q1H76&#10;1MHXlw+jUVnENdG/ISGmUzz9z+/iqxmDwWCcS0K4GImGZ1JKjyYXWUz2hIKOiY3gzw9fGUBKKj8q&#10;yBBehIKL4SZQVUTZBv/12kD47Nl0aaSE/8j0I7MCjQdM2D4+kgEdH2AAM0aHJN+thLkRj2WW31lf&#10;N2NkSE8xJzbCO/N+HZjFnb8jNfdIvrnlOo/NgFthLKLUauUqla65ue1VCYph62XQI1Cl0zbotNY2&#10;Kqqu7ENnMHj8bn6eR+my2c1krcHXhy0J5LjhaB+j2bA+T9EdzYayGvPGgbPmE82Gh1IKDiUXXM6u&#10;tLNPmpcXh8XyjIInEiaNKBqCu5V5pDC8+wDAHcG2kRAC7h32DwDcsH64UFRRq66oU5fLtR3M49G1&#10;sGb6I/oHV6/557btX4vF4uiYmDWEoqUUo/SGZKmU69eQdEgheOsMr+kpUwLByNAw1EgKpOWw2dae&#10;QiBnXE62gwU5rRVvkclk+w8ebNchI2+mecC1OUlJ55FuCM4GqRSJxRrTuQX5xPMJBoNkRICfRNLe&#10;F2jRgoXEFwVx9uxZ/GUJ43nU18uPHf/p90sXUUtkVHRAQMAT0VFOKYdiDZKS6Bh0z35tIiOeMo9W&#10;zsnJ/uXnPePGvcRkCvHli8FguiFhAnZ8tFip1oMJiVLbZCNNu9N5dWoUXDicVGgjqmvBBFMUM5yt&#10;8diM2eP7xEX5gEbw1FsH7hArkAyK8kNrbnmzNY6YlG0w6aoheFnwMJQ4wNfwWzqYByJ/B5jUPRcX&#10;CJ9CYiJSAMG0zcaAEbgcijWaW1qgx9BhxRAREBhSLi2yIR2WVJWHMLt7jZSuZTZMvVFh3ugas+G9&#10;oxZi6AQSP882G2oU5HBjJpcXO8Xgw3Kg5gmfTmcbMxh6zCmaPy4cioa2KyBD2jQDwt+0wAPm1bX1&#10;Rnhokzd3vndbZDKZWCzOzsoipt4rLS+f8+Ls2TNmokLAkDOnTu7Zu4fYknL92vyX561a9QEy8UHM&#10;SyebJyiMjoiw9pRtkOAIBt/224dv4VcucCBfbNnc3kO25tm0SMa9TDTIbTt2WFuNdOzwfM6ePZuo&#10;GJqfeftfIHO+3PSZnaHNGEwXor5evmjxq0cOJ1pbYeas2YOHDH3h+ckdqXrcedA9/hUaOXKmqkFx&#10;/PhhYiP4Mysrfd68Fb6+EfgixmAwngEs1kEx1mS0YU8A85Ydbw0nWfnSc2pvZlVbNNA5kYRwMZyJ&#10;gd3Z0ODixHw4cQKroZIjt4tr978/GgwbPBX2E7ui3jROlCfx3I1SlFR+UJQfmHGRJLxzqQarAjrA&#10;nmKT6+rjIxkbeQOhKElMKQX2fjS5CF9XHae5paVWrVZpNE0tLW2vbVMxhFBpVH//oKLSQn2zZY8P&#10;rpHStcyGVVJ1Ta3GbOJN79u/08soV2fUygvJE2wancYVefJPyxbNhrFTZuVUN3596Jr9NU88IIOh&#10;tZsp+unIhmjIY5s+ptqsiHUlvWpSfBBYiI8W52M1sJ0sWDA/JioKpvkjotZo9u7/PvHokUFx/fl8&#10;vlKpBOtYLMKbW5C/8NVF8cOGoxoghw7sNy/rcezYD6QWlLuwsKjQ2vBQUWYkw8Gxmfo8crjNA7yR&#10;mopChs+cOgk6TLl82aJw1uYhz395XtyTT4J2knnQIqXl5V9u+iymb989e/eYn7dLl1PWr10DF8zP&#10;50efbPxiy+bgQFN+zxJpGalEsp0v0Ld7dudkZyckTICHD87D9/v33c7IwJc9xvP4/IsvbYiGAPAs&#10;eHyzY9tPJ0+6oXTo+bohjcp65llDrhaSdJiTk7169ZKFC18fMHAyMWYZg8Fg3JY4MZ/PMkzPwgMF&#10;xPY7D+rAxOaDmf1IeZFS0ipTc6pJJSADhCySaEgxZvcDj4XTIkgJ+5wLGvapy7YmTrAQCmm1Kl3T&#10;vtN5UNcDUy9kxIDHAo7UttGvsKwBzf1gLRQUMgZ6XvW/tOfiAgdF+SG9Euz6WGY5vuQ6iL65uVal&#10;0uh0zlIMW2/uDEZIYHCRtMSadNjNa6R0LbNh9h8WZCzXFH3OOW3htwGenyfnx2zUaM3NhiW8J0/k&#10;BV8+e87OTjwjg6E14C9wFKMv3obTEMmF8JcqGx3ezq2BuiG4hSnVeuLNJUzAnjEyZFZCb3jzzZOa&#10;kk522+JaMpmMGI9MMZbLsKGCqTUaezQyitEoBx5bt28jtecW5K9fuwam2CN/kEZHw4XUW7esdZt4&#10;9IhUKlUqlaRA5r/MmtEnpDcqP2IDcIDvrHrP/lNk45DBsbTLqXf0xHEKeFjZi42KyXAFe/Zl+wWC&#10;e7G9IwzGMygra/1kmzlrtlAohBVLEhIm3r+fi8org4Uvv9xsZz1lV0LvDi8SlA6DgkK3bfuM9NTu&#10;3f959pn7Eyct4HLE+GrGYDAuBkwY+Cy6xWnJvCHBYNrwv1/y8xUaCZP2+uRoOOuw/G04rfKtA3fM&#10;k6mDFvBYbpz87P0tzzwBE9gwNsKbKCMunBYRHSJ8qz11G8FRUAg+PhuAnuFCRZ3axmow7th8NTSh&#10;MufSHVOQI9QEg/156ADhabme2RordK+gDqwDjnpUkAiqjQZR8maJYeJ3AF+VzkHT2KjQahu0WrvW&#10;bo9i2HpzZ7GDJQEPKkqtrdBta6R4htnQBUWfu6fZUF7V+mHYSGFms568Sn/iPlVIya22Z3MeiyVg&#10;sdgenQTA38f0TrmdV2NjtfKHWS/aTFyYnFsF701gedX8J6fkBF9MK4c3O3TjDhQ/8vYUcrtdmoW/&#10;L13i38P/0uUUc+daZ2NNt/r990sikSjr3r02lS/z9tLycmspETEYTDdEIDCZJ478cHzG9KlXr92A&#10;uuHUP01/fdmSzHtZb735VlLSObcdP72bvE40Kis2duJ77/keO7YnJ+eRtLU//3IWPN577xNUEQWD&#10;wWCcSEK4ePLwoMMXH5AMcaAd1uvYmphFsirMGxIMjXX3S+T5N0tGR0psiIYUgmoGSc+pDQnkEdXA&#10;WQm9o3sLV/0vjSQdQn0Qpjuc+lQInNWAacy8nGA7Myuho/jHjjT7i4GggOJ2ERdqcksp1XrKo3Un&#10;wawMLpRUGOZmxAqYkPulrTKKsdhxENjcsWFgbKPUajUajVKvt2tthxRDBIPH7y0JKKyyOjcrqq4M&#10;ZTLpHF63egmw2dBOuqHZUNugblQb1K4GL8Ed1uATDHsjoZhUKp/D4bNYHmkwJL9ZHv7EZTsAOV+h&#10;gWoguNtOjw0wt6hLmLRICR/caMCdd8O+dFTsCxr8SXdtWJEZaZHdEKPdL8PdhoRjZjEYjFN4aszY&#10;f28x1BS6nZY6Y/pUgeCRxKbEwOSBgwa74fjp3erVCgkZuvjV0OTfj5BilgGffvr+tGmzRo58HlZV&#10;xmAwGKcwKkgEZTXA5UdNfKOfNGle8yaHn02X2qjGyOfQibOL7EJ5eY0K/pknVcA5CXH93adzL5fW&#10;k9RAMEt5fXI0ShcIu0KTn/ybJWAMKNIZDMlO3RBWLgYMCPe1XzcMFHKqrAd/ZRfJ4TDCAwVIbAUT&#10;sD+PD4HLSCWEnEkpRWegTKZGZx5si3LM3ymqQ+uDQyPFbmM6TvvKnlAoDH+WMIjjsGLYKmcIRBK1&#10;qkpptS5BcYU0JKgb1UgZp71rbjbsIeFisyGJbprZsKamjN4njRn3Oy3Izk34dDqHw+ExmfhTzpzr&#10;mTJ4h106I7qiTk38dXDekGCYfhcWAUuXKV/bfA2GJBN7KCxrOPF7EfoOgG5MclUjPr0YDAbjMTw7&#10;flxoaFhBQf5HG9YtXrwICYX3cw3JW69eu4HMhlNfmOKG46d3txeMyxFbTHcIW8DjxZcWDhv6Ai61&#10;jMFgnMLEoaa5mXkcE4pCAvOK5+ICbeh00F5HeRiPbOeukRo4f1w4nKhMig8iFvog+R3ApOXjIxmn&#10;Bo6HQ0IxvHbSU9wOVcJfxKZY1w3TC0z+I2i6zJMq/L05L00Ig06N3cfvw/kVkgiN/kETUFGtU+ig&#10;awOGNoPzRlIJsWjoRNqXxNCoGIoi+Ayu0yqWePcINI5BaWV43ahGirBFF6m1kIcrbqDEKf2Xl9EC&#10;ejY5ccAZdy382IDNhp2BtpmRVe9zkjryPseur7iw5okPl0undrviQugHJ+JvVxY5eqUoYUQgrJW8&#10;5c1hhWUNJRWG3JHEtCEo2BncdzadzwEPcHs1vaEsVTDbmpgVESyE9kMMBoPBeAYikXDFOyuX//01&#10;sHzgYOL7K9+eOWv2kcOJ/97ypUAg2P/9PrjaP1evDenljj627lhnkEZlDRnybFRUtMVnDx7Y/dZb&#10;0zMzz+l0cnx9YzCYDjIyzjRdNy9FQmTe5HAJ02o9StvZAG1TpWsCsxQwmYF/9u/jbSMMCqyM1rQH&#10;MOYAXy5cDvbnzRsSvO5PfTe/1D9OzLc2GYMLk4fbsrqAeVpKWiVcXj47BkzGVs1/EhViPnrdNNtH&#10;pss7Dx7xEr655frcT5LhZAx0tejTK+1K14ixnwadTlZfX1Jb26DVtikaMmhe7D5ccbyfOE7oRNEQ&#10;4isJ5DFZ1sdpqJHSHV6R4dq7tBYdqTGoJ5/Lb/fvxN/tbbic/OgbM5kyZOBHoN1Zo32QK1coyaP1&#10;9WE/LrMhncnwSLOhXM/9XR65qvKpLZqBhjyGbcGkUsV8fpCPj4TP9wzRENyq3p0QZePeRAL9Vmco&#10;TmITcKP5cNftOoXpMgb3KZhWGK2wNTHL3IkPbkzwYfEXLHAXW/vjPRshCBgMBoPpisyb++LMWbPB&#10;Ap9vuBm9/fbbsP2jDetgXZTQ0LB33l7R8R1dvXZj9ZoPw8LCX1n0alFxiVMG77F+w6ZmbWlJ+q2b&#10;v/38y1kHNocVVJYtWxkZORJ7DzEYjGOMChIR5UIbDr42LYf2AKYu1tRJmPUPzXNsDBitZsNkAeZg&#10;88eFQ5MFagQbQnsgxRhglU4IiEYggQ9Mq6bfIWeDmh4bMCDS936JHJyHj49kzJeFk+K5SNVdoJcw&#10;PaeWVFiGNHIb1TAxjtHekGQvFpUVyBb04dE7LVaYSqMGBIYUFudbK69cpZRzOVymQOTBr4uwRddH&#10;d9e8PaafX3u7Ki+jffDeV2Dhq/++/eeZprf5rp03wL97d517ef6fnTLg3Nxa80bX5GG0aDYUSDyt&#10;RF6lTnS1ofcPGnurivPpdD6X6yY1T8CNZnSkhM+hB/hyiX721JxqcCtp1wc76AfdTez5GQnltZgU&#10;H3TuRqn53RDcrcDAYHAxeBYGIBPvieB2nHRVevRKEfa2YzAYDAYiEgkP/9+hzHtrYZDyiOFD/7l6&#10;7Ucb1sFnExImbt6yWdTh3y9Xr/kQ9VmwK//XC7/8dvFiSK/go8dOnD51UiAQbNn8hQPdeqxu+EfW&#10;b+bVk9sLVg8xGExHQHU8ILYjntrMctgmmffrzEsqw9kXqi9MKkkMnkJ7HBUk+vCVAXB59/H7Nnb0&#10;XFwgSdEjkXy30mI7mOml59TC+OhV858ck+aPHIgoD2OdQrLvZgm0SYJJV3gPfoAPu7xWk1epJE3A&#10;oJdQKlfjK81ltK9KMoBH54dwBMFsF4yNSqOGBAYXSUusSYeFVeVhTBaNxfbUV8eJZkNlg6n2xRt/&#10;/+L27ZeWLQurqGw5d/Zn0DJr9tNOGe2DXLlaQy6e45qizxbNhgwOi8XjeMzFUKz1O68I/73RrrBr&#10;NwxJBvem/e+PtvhLGLzNnUkp/c/pbDvvmMizD7aVHKG1uRW416C6W+C2+OGu2+jeDW6UCydHoiwf&#10;8Nc+FIAcJmAHCFkWo48xGAwGg6E8WgJlw/oPBwwcJJVK+Xz+9GkvdFw0/M+2r5FoCCkoyD/x06nX&#10;ly1RKBSwgvPkKVMmPDu+vT17rG7YcdGQ2FVUVPT06QtwwWUMBtMunhn6iMvDEPF005Kc8bAgY5uW&#10;QwGv3TYQMPv6YGY/KMmBHZGEy0gJXyDX9g/xHtPfH2mO6Tm1O5ILHDjerYlZFKOp0IYT5ONDGTve&#10;Gg5ng6R4Lsj2o9nEyZvt2Rf2ErqG5pYWlU6nVKs1TXbr2n5Mv97cjpc9aRc0FjtYEvCgotTaCqUV&#10;ZcFBfTwy0aETzYaGD6tI/a7/vffK3z4Fy7t3Hti9k4KyuyRMlFAo+o4P2N3MhnxfX8+4Eu429PpR&#10;GZrXbJcG6rZVksG9yXZyj0nxQUES7qr/pdkjHeZWtd4p5o8L53PpYPM6he61zdes3WIOX3wAb08w&#10;cSG8MxKTAoPNz6ZLSVu1ec/CYDAYDIbIjOlTndjbiR+PwYX/9+aKAQMHLfjbX2Hj68uWTJ/2wgL4&#10;LSgnF+uGrTz7zHOORShb/oqZk/3pp++/+daHkRFP4Ysbg8HYQ5yYD9W6jXvvvjQhDCwbch3+aOkj&#10;/vciGOFrzXKI5jxg0hImYLc5LYHGxlFBovhYfxQ5BSY5G/alwxWQkwJOh4jsPn6/TdEQDFKp1is1&#10;+gZNI9gXCk+2J84aDN5iTUk4qj3n87AU6FZompoUanU7ap7QvChipnPLnrQLBo8f4tejqNqy41Wr&#10;b6yqKPHvGeJ5r5QTzYaQic9Rf0tevfGjK9BmCL4IgX+joqIjIp0gGj5Gs6H0WpVHmg21zYzryj6/&#10;qQPtVAz5dDqbzeazWO55OESl70xK6bkbhh8DeGxGgA8bmdPBDXH+uPBN53PavBf379NalwzdesCd&#10;MUDIsnY/BfdQcO9eNf/J1n4IomF6Tu1Xx/7AKQgxGAwG0y6KiksOHEz8Zse2goL80NCwp8c/AxoH&#10;DhqMVnh92ZKO9I+KMsNg5Ntpqf/e8iVozLyXhXyOaam3HOjZY3XDseOmO1E3fHj2P/zvf3/BlzsG&#10;g7GHUU+YKqIk51ZFBAmho5Co+qHY4bPp0nmTw2FBRouWQ+Lk5NCa1l8v6hS6TfszzXOuL58dg7Q8&#10;4iTHhiTXrmRMYDyk1ITtAoZ07f0tb0AvHzAJBC0Ww5AxjxEHDIZeLCo3hMsN4tAfd240lshHotVU&#10;KS0XN5Nr1MIaGcfXozLZOddsiIiI1P/7P8O3/zfk35t3w5acnOwfjuhQxkOHeYxmw+zjFn4X6dJm&#10;Q7mee1XZ+6wmsKbFrvcej8UScDhsGs2dDwrcZZC/736JnOiUB7fIdydEQfkP/EtMeksiTsxfMCHc&#10;YvoOivGXKqI6aQ64zd1ZXzdjZMiwWPHDNBq6K+lVt3Nr/j97ZwLXxJ2+8ZCE3AfhTDiCIKdYBK21&#10;Bapd69lWWRWrPbQtlnq2XbX12NbWemy1l7W1riuV/3ZttR6txV4q1lur9ab1AEHkDBgQSELIzX/C&#10;D8eYhJCEJCTh/X7yiZPfTCZxZkhmnjzv+3TnGxAAAADotTw2bBiKQCG0VxCXbWmfbi8fRowf96RD&#10;8pSbmyVcLicldSB6ePjIMXxWaGioHSv0Wt3Q3z9mzZqviovPnjhRgH4kBwAAcCWoSBm78sEuafDk&#10;3wFCv5t3rzfwBBJsgX9/V4R8DchyaOVL6O0SvC6atWFv4OdTVRYucnYVlF8qvWMqPrrgstD1Lwp0&#10;ic0dDDG4ZI6QweS7kXHJL1ggVylbVOb/F1VNDX2oNF8my2v2msPNhjgstm72XMH6dfdG8I6H/FA7&#10;zVY9aDasPCxSNquNBj3XbCjRMI5IY6yMPSH5+DBoNC6N1uNNDKPZNOyrkEUnx4RzOIx7WueF4oaT&#10;RfX4D0jnrjUg3dC0xceHB4pxLS82iCXupHHwpAyhWdHw8x3XDF/IAuhXLkJXlkYAAAAAsIaYmFhc&#10;NzRLTY2oO7ph9owc1MTwo48/WblieUJ8HBo/euRwyY2O7zJcTLQJshfvFTY7fNAg7DYBm5ZK7/Pv&#10;NDZ2XJZLpXcam+rlLdL8/F1drnDE42PgWAcAwBrwYGLsyodgkEaSEutvVsLDBode1HcY9GNTJj0k&#10;bFGou3yJwuJGaYsaTyjGKKqQGPYoPHqxtstLo5MXb3/YvSuiU9XN2ErCQ5ib98KVlQej0emaFQql&#10;UmllRDKhvSSZKKCyI5k9VZJsGb5AWFV9S6kx/6dUJa4VUiJJ7pEb202cZDa89ylx0ljjy8vdduJo&#10;/OK3/j56jM27Xq3SXb3WYDo+cHCIC7ZVaUGl6aAnmg1tij1xqyaGI/sGrp6VanYW9v31aruoh0z3&#10;hWV30HhnLT4QMmWn+nVJlYRACCO0+wQrRC14oXE3I8gAAAAAwD6efX4aXkr89rJ3n3zyyeoaEYZM&#10;JrvR7nWTSKXdWf8TTz6FdMNVK9/DbtkzctD47l070ERUVPSI4Y/ZsWZyL9lDbHa4hYcYo0bN0uqU&#10;8hYx4a6qiCRFbGL7trzMzMlhYdhGHgTHOgAA1oAnKbMZvhOS+Cmx/l1e/+Bd2LMzY3492Wmww1ub&#10;LnZm08PVxpMXb8/fdtnC27tQ3NBZ6ZYdWH4twJ1B9cgKhUKmsaVpXXtKMj2ERnZj2Y1IIoaFhHYW&#10;r4wN1tVVh4b38YKd6DyzYcfnyYkOre2tZbOiY7hrV/9QXFyE3Wa8sPb1+dmz5wpYbJ31a7txrVGj&#10;0Tnv3VrAO8yGf7ZE/NEqsFIxdMMmhk8MCbO8wKtTEvn+jA8PFJ+qbm6SqlAHj5F9Aw2/+PBf5spr&#10;Wiz030CteEvrZNgyyYGsLxc/gsYtWBQBAAAAwHm8OP252trapYvfILRLeympAx2bi4Kt7e1l7+KR&#10;ynkGFdCIDz9eZ19qMxl2Hg6JSEV6opGqmJH+HGwcAABsAk9SNkr/MGpxaAh2jfTryeqx6fprKnRv&#10;FqjtBRxCi0qlVwytDjwh3M088e/DIHI84+TBcrxyi0rZdFvkFyzw6P3obLMhod1diCamvRDAYuvS&#10;07O+/076z8WfYSPr1+X9+nP8us+zBqRYJR2qVbpb5RKnvlsLeLrZ0KagZCaFwqbRaG7gqE0OZKUl&#10;BMULOReKG7aeqzL0xX++4xpuxk+O8p84XIhSvLDvzZJqyZ4rtb8XitG3YV8BG//uw1a4fEYKmrbs&#10;czdsxVtYL0MqJOFudBh8CwAAAACuZ8mihbGxsVkTM7Fp7P7tZe++sXCBfVqeWVauWB7CF7w6d5bR&#10;eFRU9Icfr7NbpgTdEAAAwPGXSXjvQpzymhY0aNji0Iivfrv5SHIQurAxAu8Q7xBkrRrYTb0ThVYr&#10;UyhUGDobPGIeYTA0i+V4ZbFMwqAzKGyu5+5Qs2bDmL5+DrTvffbFwtfmfvyvta8hXyF2P/1F5oCU&#10;t+a/uhsZD58cvXrLV4utqVnuQbNhw1+NHmo2tDUomUml8hgMd2hiOGqA4PHBAvzbUCJXE87d69pB&#10;aE84wadPVTd/90fF+y+kom861NPj0o07SDfE1rPpRFkQhTQmWYCnfu0qKLfph7TvD1VkZ8ZgX6bW&#10;NxEGAAAAejVtOmesddKE8bu/z0fS4aqV7505fXrm7DkONB7OmzNz/Lgn9/74c8mNYqlUGhsXHxsb&#10;O2L4Y91RJ0E3BAAAcDAD+vihCez6ZMehWygpGG/qFBPGIXSiG2KLbf2l1CgK2XpqG63NI65raoXd&#10;1KvQ6HRylUquUFifj0zwQIOhWSzHK1c3iIUUKolK88T/mlmzIZlMjE10zG8MtTUkFrttYhZlYtZS&#10;40+5FN3eX7I+WFuG3IgzXli787ulaRmW1tazZsPiXypMB93cbIgUwz3yCGuCklHsCY9O7/Emhmlh&#10;3MnD+hi1wiivafnuhH4XFJTWv3nX92dUfSxWabFvTKQboryUEzfEaFZkKPO9v/cz/F0tL79k04ky&#10;m94Ytvyp62ILdc0AAABA78GXHKLW1FleRtemcOyLbtj4n4sXzqPpqKholJFSULAfu2XPyFmwYH5S&#10;P2svA5ubJdeu61siPjxksOlcYUT4vDkzHfjOQTcEAABwMMNS+WgCuwTCL4qwidXtEw8lBRIOFEez&#10;zesUW89VYU83tRZaYza0Jk0FgfpGYRP/d6AU9pcXY59cqIdLZoXS2eE079gOFuKV9Y0OxbV8gZBI&#10;Inrc/+tvrb+bmg37RHJ8KQ74v5w6QXh60ipsIjvn2UlZUaaVyCy2bsWqyJiY11DN8uVLjWkZlj6m&#10;etZsKCk3Vovc2WxoU1AyhUjkMBgMCqXHFcPkQNZLo/qaKobbDtw0DAQrOC1CHTxS+vobGQaNvsXE&#10;Ki3utcfbd2ArXLfzin2FxiAaWvOtoTH5vmhR6/cLH7YOAABehA/R1We5p8+cNS0fxsnbkovdPv9i&#10;k5V6X2pqqmE088iRoyOEQmwiNi6e1Q4KU05MiHdIEXRv1A1RtjIeqczjCUxjUgAAAOwjmk1DFzlN&#10;UpXRFRG6/okMZWLL8DlUfNBoDZ/tuY63bze89MKeiMS+Tq/z76qBv5yp7vJ9jlpxFHaWt4LSTlpV&#10;qhaVyrZTKCqRKqCxwujuGZHcHSzEK7eolJKGOo9rdBiqkwrURcZndY4zG+7bV95xIpu7LS+X8K+1&#10;r02cxDaNQJn+IjMmZunJE3UTJgYSCJ3K02A2tBKbFEMaiYSCkt3kzU/KEBqKhrsKyvdfqDGV6kqq&#10;O46EkQ8LPjxwX4PCycP6oIljlzs8IEcv1hr+bIanLQPWg0uB2ITyribYpu74MNS0tVn5wxLohgAA&#10;AN3h4SGDs2fkmGaVGPLq3FksFuvF6V0HbPxt+ONlW+7phnhMc2dgLx0aGhrCF4wf96Qwwmb5q7fo&#10;hiqVpLzictnNK/n5u8xvx+x5cXGDQUAEAKCbDBB2FCkXnDbuoFRULkHXP9gyeKVwtVhutBh2lZWX&#10;X5KdGYNN462gfjsrmjhc+O/viiy/+nNrTohVWtgLvRO75UJUj8wJo1MCfL1141iOV/bERoeDFRdM&#10;Bx1lNsRgs+77Hf6fiz87enjEa/OHmBoP0zKwW4gF0ZAAZkMrqFQGnGyJ3KcMsmZhFpnMYjB6PPZk&#10;2oPhA+MCPv+xCIV9yeQdnXPLa1oWf3nBbAIYwaD62I9NSQvj4s7BN0fFIdmxsLgR9ydevtWEP/H9&#10;//65p5MuH70cXBlExkCdVuuDjVgtCAIAAACuYcuXm7FbRWVVTU3HdeL1omKZTIYaEaKR4X8bZs2q&#10;Pvn4o9DQ0DOnT3epGCJwvfLihRzsPdj6zr1fN9TqlNevHdm48YMutmPeBuw+M3NyxqNZDHogHNMA&#10;ANhHSmyHh+XkFeOWGbjJgkUn77miT08OC2Kglk9GbDpRVlh2p1aixK+7sBFrejmBaNg7rxgVarUd&#10;cqGeAAormOqJgSd2QKLSwgKCysXmdQdsPNpzGh0622yI0TemY1Wvz8/+9eeTxcVF+/cdxG5vLZuF&#10;gpWtXxWYDS1TqQw4IO17XG3VvmNSqWwq1R2Ckkf2DUTdeGvqW5FtEP+OiwxldiYaou8p7OsP1R0n&#10;R/mfqm5ODmS9NiEBt+p/tuc6vnBhvQxPFQvh0Qm9G6QPItugTqfz0WpVOp1tIVcAAACAy7ly9Vp4&#10;WBheLyyMCMcdf2a7E1oDtraVK5YbvoRUqv+VFAmRdbWimpoaiUSye9cOoyfmbcnNycmx9XW9XDeU&#10;Sqvy8v6FnexauXx+/i7stnjxGqFwMBzfAADYQUkVduEUhl0UmXZf2nOlNuWkv0yuQWGO7/5w1cJ6&#10;7GveBPSqC0g7exfqtQcyM5RGD6Z6Xz2yZShsLl+pqJU0mZ3rQY0OnW02xEhL69Bo0jNCZs/N+vcX&#10;ovXr8rCHq1duWr2SYGWAMsKs2dCxoc+d4eZmw+JW/vEWofWKoTsEJZuClxtj33GzpfEoumRCEt+C&#10;NxAPSp44XCgIpBv2Lly5tdCotPmPK/VIN3wwMYBgYxaKR3/Ca7RalVar1una1GowDwIAAHgoV65e&#10;65/UL2vylF07v8Ue/vd/35SW3OgbE5sQH+eo5oMYeKCKiSD4LUpQqa4RYaAhNptl6/q9WTesrftr&#10;5YrX7Xji2rVL5sxZlJQ0Go5yAABsZeu5KgvdlyxrhQDQJdilY4tSqVap7LiG9KESKUEUdiSzt8mF&#10;hrADQ5QaTaPcTDxCi0p5RywK5Ie5+X/BqWZDmZRYW0uMidXwQ7VvLZu1euWmffvK0zIi31wSkp6x&#10;9O2l36PfYk+eqBw9JtKaFcplmpLSJie92y5xW7Phny0RP8iiSnVdy5coKJlLo/WgYpgcyJIpNUYW&#10;QjwZGbvhycjfH6pATTZSYv0t6IaGpcq4aJiXX/LdHxWmrvlLpXdQjkpyHC+IQvJKWz32eY6h0GiQ&#10;i1Cm0cCXHQAAgHewfPl72H277+/bisqql1543miB7Bk5aCI2Lv6xYUPtdiAagrTCc+cvxMXpBcru&#10;r9NrdUN5a719oiFi48YP5swhgHQIAAAAuAMtKlWrWq3CsL0kDcmFfmF0IocMWxLDP0igElWYjVdu&#10;lMvYzY1ULs+d379TzYYfrC3Ly92GMpTTMvR1xNjDSVlvDUjRpWUQ9v6StfWrhtUrN6WkWBsjc+2v&#10;Bue9W8uYNRuSyKSeNRvaqhjy6PSeDUqe9mA4qkc2bS+49ZdSNKuvgI10w1PXxUg3HJsetuGXos40&#10;PsNSZUJXEcnYml+5W6ocG8QSe74ZX9fWptJoWtRqT1EJBRwq05dIuAHfHgAAADbzZe5mDocjkUg6&#10;W8AwKeX1fyzovsa3YeN/jIKb31/70eyZOd3xNnrtJcSJ47u7uYaNGz9YvNgfCpYBAACAnrq2RDkn&#10;CrVa29Zm69N7Q9qJfRBJxJAgfmcZKRUNt6NpdLdtdOiCzoaEuxnKT0/JRA+/2102IEVv+GKxdbPn&#10;8aa98JaV/Q3lMk11jczZ77YzzJoNmQE9JgpbrxhSiEQOg8GgUHpWMUQMjOtoQ7n0xQcI/yUYSocn&#10;i+pfbZ+YOFyIOvAW1ssKixtRp8IxyYJ9haKUCF5KX/+RDwv82JS3Nl1E8iLBoFQZw7Q22Yi9xyuQ&#10;QClTeqTZUN+RUKNRaDRtanWrVmvH57lDYJGJfG5H+naoP5VGIaHpiLB7BWtUKonPN3+Ibj0N3x4A&#10;AAA2w+Vy8BwSYUT4X1eufvvtjpqaGrPBynvzf/h03cfdebk1H3y8dPEbRoPYyPlzZ7/M3Wy3dOid&#10;umFt3V+d5SYT2qOTg4LCeTz9T+WNjSKp9M7Bg/lmeyCuXbtkzZqvIGQZAAAAcBkKrValVtvZuPCu&#10;XEgPpjL5VNiYnUGi0sKD+Lfqqs3Ora6rCQ/r456NDp3d2XDR4qiYmNf+ufgzbHrnjnw0mJe7LSVl&#10;4cQsSof6YHUoihuaDRkOaiRkPUqd7x+yPnvkEXfaulbwkWLIovbAH28QhcSm+prmmRRVSFDMMcFE&#10;OsQWPnnxNjbXsFT56MVapBu+OiURiX04uC2RYFCqrB8PYVnWDfcVimLCOSf+vG15MffBUCh0pZ0Q&#10;GQMDmL5ctv5gQ4KgBSkQAHr7GZfiqkYjZrGGwaYAXEZSv0SUZ4LExNNnzhIMUpW7ufKKyipT0RCx&#10;e9eOhIQEwygVm/BO3bDw8gmz43PmLEpIfIxEvHc2hjRBbPDmzT8+XWdmI14uPJqR/hwc3wAAAIDz&#10;0LW1tarVcpVKrVbbF46JipFZwTRwF1qJL5MV7hdQ1WRG2FJq1O7Z6NAFZkMWWzf9ReaAlLe+yvsL&#10;1w0xNqz/KS1tMj/UBi27Z82GFafMNNdzsdnQJsWQRiKx6PQeUQwxotm0TfOHYBNvbDxvpM2ViqSG&#10;D5e++ABrBxlv43vsch1SFVP6+iNNcF+hyEguRJy8ePvU9XtaoWGpsuVmiGhhN+8OjJceu8BRyPYl&#10;hnCodF+iIIBGpZCDg/Tm6MhIlhNfEXsZYu/tigt4JVwOtU78sVx+zo87CbYG4DKuXL12vegGnk+C&#10;IRAIwkIFCfFx2PS8OTO7uf5t2zvSk6Oion/86aekfonNzZJ//ycXiYmrVr736NCho0YMt2PNXqgb&#10;anVKs2bDZe+s54f0N/sUEpEaG/MotoBpS8Tt2/L6JQ7x94+BoxwAAABwLCjkpDuGFOhd2B3o/oE8&#10;ldJsRgo2yJE2U9hct3rDLohRRgxI0X3yWb+MoTEb1v+ECjKw+w/W/IkNWr+SHjQbyusUty/fMT7Z&#10;c6HZ0CbFkEUmsxgMmm9PKv7p8YEoB/mlUX3nb7tsOMuwvSDi1SmJfH8GylA+cUPc1J6OMvJhwX+P&#10;lIpVWqPehdjcrb+UniyqN3Uy4qXK2L0nhoZhH+AajaZVrcb+cVLYcXgAM9yPFhFA12p1vPbfhByu&#10;D/LoetmRpQ/e0Zct85iMjvG7EwDgfQx/LCRrMk0uPwebAnAx4556qqzspuVlRo4c3S8p6dGhwyZN&#10;GG/r+s+fO4smNm3ORQnLXC5nyaKFhPZSZez+ow8+AN2wg+amStPBf8xf3ploiIMtsHjxmrVrlxiN&#10;i0SloBsCAAAADkGj0ynUaru7FnbAJDNDaSx/X5ALu4mFjJTqBrGQQnWfRocuMBvW1pDqbuuPyQEp&#10;etPrxCxKWtrkjRtv5uVuI7SXLWcMjcGrlS3Ts2bDovwyM380LjEbepxi2LFxaB3vIT01eMJlvpH7&#10;77ezIpR2goMCjj88UCxWaQtOi7CHfmxKRmwQeqJh78Ln1pzoLB0F1xwJ7ZHNHlGDjH1uq7RapVrd&#10;rQ/wTkiK8IsIZD4g5MWHcrQajV8QpeyOROUgRZJKJjN8yX4Mvf7LYzLIJCKbRiMAQC8jLpab/ZJf&#10;uBD7422DrQG4mCtXr3UpGmIUFOzHbus//SQqKvqd5StenG5D8Wt7arMeI3Fw9syczZs2Yq+OrRl7&#10;G0hStAkvvN6QyRqNPyDi4qOjH7LmuULh4Geezd6+Lc9w8ODBfAhWBgAAAOwGlSHbHYh8jwAKK5hK&#10;86f4MqBkzDFYyEjBRupu1/JDhW7S6NCpZsOSG+T/fVWK9EHEZ1/oGxryQ7UrVkWmpCxExsNLl0QT&#10;syKtWWEvNBtKNIwj0pjvFVYlTTMpFDaN5g6KIaJFob53dTEp/sQNsaHYh6ckl9e0NMtUqH0hLh2e&#10;vFKHpocOCEG6IXY/WxqPBEE21ddCqjLSHJukKpnSfTOFFWo1KkB2bKfC8ABmf6HfA0Je/3a5sL+Q&#10;J1Wqyu5IaiQtt+7oM6PrxC12r5xKJrNpVDaVxqJR6RRfkAgBgMuhTp8WMuQRAiiGQE9x+MgxNBEV&#10;Ff234Y/j45UVFQUF+02XLyu7+dILz5eW3LC1KeHIkcbiFZfLee75aatWvodNS6X2/ErXK3wKGRkj&#10;DXsaWqZf4hAC4T7dEDtRlrfWM+iBcKwDAAAAVoJrhRq1ujslbD5UItnPlx5MpQZQydC60AlYyEhp&#10;USslDXV+wYIef5NONRvW1pBeyd5pFBD32tyP09LeRg0NkfHw1KnW5AEMAqFr6aS3mQ1tUwypVB6D&#10;4c7d4vzYlHlPxBsWDhfWy8rbS5Wx28trC0cPDEVCIXYfH8lZ+tVFNDc9NTj6RxqqR0aCIKG9Avrm&#10;3WaIpvz3SCmLQd5/ttq0irln6X4TCVOSIvz6C3n9hX79I3jpCcH4OJILdxXeaGixfyNQyWR/BoNF&#10;o7JpNCgxBgBDKFRSxiOB2S9DWBzgLix4Y5FRK8P//u+bl154HpvImjwl55VXjh879s3XW5E5cdXK&#10;90L4AptaHxYU7D9w8NCQwQ8apif3jYlFE9eLih8eMtjW99wrdMOgIBsCkc2WJGs1Cji+AQAAAMs4&#10;SitsVxfItCAKN4QKlcguwEJGilgmYdAZPd7o0KlmwwMHJEg0zM55NiVFcOmSyNB4iOCHatsrlK3S&#10;UNzNbOhD9HGS2dBrFEOj8JOx6WGXbtwxrFb+40o9anE4oI/fhweKa+/IUfhJchzv/RdSm2Uq7P9H&#10;MFAJcRPi+EeFWzvXDd0q8ARl2TuwBjkpwi89Ibh/u6MQuzeai+TCInGj3XIhj07zYzB5TAabTkXd&#10;CQEAMMKgMBkAevpojOtQ7kxzkwc/OBBNcDicUSOGY7c3Fi54OecVVHf8yUcfTHvuGa4VZzJRUdFI&#10;bRw98nGCgbExdeCgutqOMJZtX2+VyWTo/RhpixboFVcjYnGVUDgYjlQAAADA4ThQK/Ql+RACKVR/&#10;Cj2EBtZCF2MhI6Wy/nYfGoPUcyWlzu5sePSwXrgZPWbEilWoBrlDBUNmw/37dDdLmqe9EMBiW1Vi&#10;37Nmw5sHzDS5doZo6GUeQ5xdBeVI75s9Kf5yRRNuA7xUegeND0vlbz1Xhd1krZqlLz5AaJcO8afj&#10;KuGp6mbUuzAylOnOvQuxD3C5SoV9gNudZW9IeACzXSg0dhQaotRobzVKyu5Ibt2R2PESuFYIpkIA&#10;sIyVhckqdTlsK8A1DBn8IJpY/+knKakDDRsXXi+6gSbYbHbHAczlLF/+LtINy8puXrteZI1JEC9G&#10;RmBPLNvS3lFxSy4+iPonoumoqOht27+1Zs1eqBtSqHSjkRMnCgYNmgBHKgAAAOAQOrJNHBWjySXT&#10;eGAt7Hk6y0jRtelEtVXhEVE99cacHaO8f99B7D4s4j6ZIy4uHk2cPFGZl7sthL/QykSUHjQbqmWa&#10;2ovGr+5D9GH6+znwVaxXDEk+PgwajatPqvWYhqQnr9QhL6Efm/LPqf1fzu3IGy0orX+zXQdMjuNF&#10;s/XFyHuu1NZ92rp8RgrqY4iIDGWO7BuILUwwKFVmUd3OCofKkNUqVfc/wNPig/VaYYRfWkIwl2Hp&#10;b6S+RfGnqN6OqBM2leLHYASx2aAVAoB1aoANhck6XQtsMcA1cLmc99d+hHKNX3rh+ePHjk6ZOnXU&#10;iOGnz5x9c+F8tMyjQ4fhyyf1S8yekZNnIPl1yRsLF2D3169fxwNSLFNWdvPc+Qu9VDdkMozPDouL&#10;iyoqzlppOZS31sMxDQAAABhfZ96N0VRrNN23pfhQiZQgCpVHga6F7oOFjJRWtapZXMsN4rv+Xbkg&#10;RjkuLt6wueGlS/pKloxhg9BDVLPM59sfo0ynkV1jNizdV6FVGu87BpdDJDlGt7qt4p5uibReMeTR&#10;6UQfH484+GV3t1tfAXvruaphqfzkOB52m5URtelER79I05aFp6qb39h4/rUJCYaWw4wHgpFuiEqV&#10;m6SqG2K3MBvi1kKFStWdMmQO3TctAWmFnZoKDVFqtEXixj9F9VKl2qYXCmQx9Vohg0GnwJcEAFj9&#10;jQaFyYAbM3tmzvlzZ5Gol7cl10gTjIqKnjRhPP6wuVly+NBvNq2fy+XcDVH5tqKyqqZGVF0jwtB/&#10;0ctkN+7vZC2RSJqbmvDqact4oW7IZocbnQFjrF27ZNk76/kh/bt8etnN82bXCUc5AABAr0Kj0yk1&#10;Guwik6DROKQ1Pko4ofpTIBDZbSFRaWEBQeXiWtNZt6XNDAbLl8ly8VtyttkQY/KUv61eWZSXuy09&#10;Y/HoMUQkFMbE6OPgTp3oWCY6mkQgdG2SMms2jI3lucZsWHXqtvEfnYPMhpXKgAPSvsfVXaufHqcY&#10;IozqiPN+ufFp3EPYRHZmTGHZnVPV+nhfvFTZsGUh9sSlX1188bG+aBahvTcialmIPesfn/5RK1F2&#10;lqfsGlDXQrlC0R1rIa4VpscHm3Yq7IwaSUvR7cYicaP1L0T28QliswPZrGAOGz6QAcA2xQQSkwH3&#10;P0q5nC9zN2MTZv2AC95YZPjw4KEjqFlh1uQpdiSZCCPCsZuj3rl3lkSNGJFZXPyB0eDKFa9nZ89L&#10;SX3CQrayVFq1caPxEzMzJ8MhDgAA4PXo2tpUGk2LWq3Tah1iKtR/y5IIGj8K059CD6aCVugRUNhc&#10;vlJRK2kynVVxW9QnvI8rGx26wGyIMWFi4OqV+okZL6x9ekomGgzh0y9fIr69dDehPS8F9Tq0TGdm&#10;wz6xHBdsK7NmQzqH1U2zodcrhkYMjAvYVyhKTwrBR5bPSHluzQmxSouXKhu1LMRmGSalFBbfk8mQ&#10;4NgjtLRbC1UY9n6S26cVIorEjYWieusDT0AuBIBufXFDYjLgOXC5nF07v/1uz7PHjx3dm/8DUgaz&#10;Z+SgmmXDJSdNGJ81eUpYWNh7y9+1fv3NzZKt32zf+8MevIkhtnIMO5TH+76nvHJnJCQ+FheXb2Q5&#10;xMjL2xAXVzBhwkt8fjyFYnwWW1Fxds+e/zOztoRBcHwDAAB4JR3VxxqNQ5rid8gHxDYNTUOka6R0&#10;DYGqDmJxOMFc2NQeBDswRK5SShStRuO6Nl21qFIojHbZOzFrNoyNcbB9jx+q/eyLha/N/Rib3rkj&#10;Hw3OeGEtvsD0F/pak6TcmdnQNduq9oKZPjMMnv1mw96mGCLSU4O/ickwbFmITc97Ih5ZCPFS5bSE&#10;oMIT92nEW89VlYqkfQXsfYWinnrzDqlETosPHjswzA6tkNBekvynqL5Q1GBlB0OQCwGg+0BhMuD+&#10;HDh4KCE+ztD9N2nCeOz26bqPLT9x185vbXqh5mYJnsKMgwqi31/70ZJFC+3+L3inbkgiUqdNW7Bs&#10;2UzTWcXFRWvXLiG0uwijopOoFJr+a16l+Kvw9MHf9pldW1h4MhzrAAAAXgByFCKh0DGRJvg3hT+j&#10;haRoIEhbqToC9b4mVmKZPjTTL1gA29+DCAoJl1feNG10qNSoXdbo0KzZUN8rsJ8DCm9PnSBIZbr0&#10;dDJKSW7PPFm4Yf1PRr+5xsXFr/s8Kya2a9FQLGrtQbNh5WGRstm4eRyNzSTbZQ61XjGkEIkcBoNB&#10;oXiBYojijwntQiF2f/Li7V/OVL/5XBL2cGx62KUbd/ZcqS2p7ogAfjAxgHC37+G9g6q6uUcMhh1y&#10;oUrVolLZt4akCD/kKxw70M6SLqlSda7ytvUlyTw6je/nF8xhkYkkAgAAdgGFyYBHcPrM2dEjHx85&#10;cvSBA3q5acPG/1y8cD514KC4uNiwUEFSv0QHvtaChW90loiydPEbLBZr3pyZ9q3Za6Mb/f1j/jF/&#10;+afrlne2QH7+LgJhV5frwVZioa4ZAAAAcGc0Op1Gq3Vs6bHRpWZ/IQ+72owIZDYrlKO+zv+zzozp&#10;CaRDj4NIIgoF4Tery01nuazRoXmzoSPsezIp8elJqwntsuC8159CQcnY/ajRWQf2Ky5dEskkLSwO&#10;MyYmcOIkNhIWu6To+h0nvVtrKC2oNB1kBfrbuh5bFUMW1XtOEa+UNKWn6lM+mqSqD7+5grJNCN9c&#10;WT0rFft39qT40jrZiRtitLBhEEoPfrzLVSqlWm2fXIjKkJ8YGI4+wO1+GzY1MaSSyaFcrsCPC1En&#10;ANAdKFTSqBEhU58hw6YA3J/cXH34CaoavnL12qtzZ+lH709EyZo8hcPR/876xJNPGUaj2PY9fvUa&#10;HrTy+j8W5OS8nNQvERtcvvw9JCZiLz1+3JP2NT305j+22JhH58xZZNqv0Hqw8+no6IfgWAcAAPAU&#10;FGo1djGp0GgIGk2rVtud0EyzpMXr212l6UvY/LiM+xJmuTTqgeczLUiHVLIv3T8Q9pGnQKLShAHB&#10;FQ23TWdV1NX0CRNiCzjv1TszGzrEvodLgcXFRa/NLbp06dk5c6L5oVpsfGIWZWJWpMGyVomGYlHr&#10;nUaFk95tlzjEbNibFUMj7omG2HVOaX3Gyeqx6WF+bMprExJezj33a/tDwyaGLgbJhXbnnKDfe8am&#10;hlsThWyZGknLuco67N6ahQNZTAGXC/XIANB9BiT7z5zJ5nDBYwh4Bp98/FFoaGhNTQ1BH7fLjoqK&#10;Rj0NDTE0CdqtG5491/F7c/aMHLwCOqlf4q6d305+uuMlDh0++uL05+xYuZeL9ElJoxcv9keFyXYw&#10;bdoCMBsCAAC4Ldh1I4ZCo3GGnRC/yNQ7ChOC+7dPWF7YsnRY1dQQ6etLYUOvQ4+ByuUFKRXILmqI&#10;jtBWXVsdHh5FJDkr68Z5ZkPEW8tmrV65CU3n5W47cfSe8dAOetZsWH68xnSQaXVnQ1AMETX1HQ09&#10;WxT3ibAbfil6JDnIj00RCpjo4f6z1a6vR+6mXDgmNQz7GH8iNbw71sJ728pqxZDs4xPh7w8GQwBw&#10;CMFB9ClPB0FhMuBZcLmclSuWo2lhRPiRo0f3/vjzxQvnJRKJaU1x3pbcLV9utu+FZLKOdjGpA43z&#10;OXJe6Wh6iC9jK95v7hUKB69Z89Xvv//UXphsA3PmLPL3j4EDHQAAwE1QqNXatjakEurlQsd1JzQk&#10;PIDZX+j3gJBn1lTY9cmBRemwXFwb2Z7YC3vTU+AE6DNSWlRKo3GlVnNHLArkhznjRZ1qNkTgGcoI&#10;ZDz8+ccRr80fMiDFNv29Z82GDX81ttQZv7ovnepL61rdA8XQkNo7cjTRV8A2lAXFKu0bG8+/NKrv&#10;L2eq0UOxC0XD7vQu5NB9xw4MfyI1LC0h2NZP8s6wXjFkUynh/v6hfvBpDwAOAAqTAa9BKpWOH/fk&#10;3T6D+tiT02fOYvfnzl/o5poFgo6GSBcvnHf42+4Vf3tsdvioUbMSEgbt2fN/piHLpsTFxU+Y8JJQ&#10;OBgOawAAgB4BDzBR63Rt7UnHzvAS4teWho7C7rtRQDr0JogkYkgQv0JUZZqR0iiXcZqbKFw/h7+o&#10;s82GhPYMZWQ5xO5lMtX6dXnY4P59B7Hbv9a+Nv1FG/4KetZsWPxLhekgy7+LzoZ/tkT8IIsq1dG7&#10;vljtBYphlxTWy+Zvu+zirwC75cLwAOYTA8OmpkfZEYhs6UpPqTpcUmWNYsij06KCgnhMBnx+AoBD&#10;gMJkwGu4cvVa/6R+UVHRR44exfsMPjxkMH7fHUYMfwwVQedtyWWz2e8tf5fL1f+C29wsyd3c4WFk&#10;sexsz92LNHuhcPC8V5PF4hvVVTfy8jaYXSYzc3JCwqCw8GQoTwYAAHDZ9aFKo9HodEqtVqfV+uh0&#10;Mo3Gqa/ocKHQFJAOvQkSlRYWEITtNTO7sqEumkZzbKNDZ5sNL18iIkchshyeO1uyfsOQ9Iylby/9&#10;Hv22+s/Fn4XwF48eY1UJds+aDZtLpZJy44obXzqVyuxUEATFsDNkrRp3eBstKpVcpVKoVLZ2p0WN&#10;Cx0uFxJsyUoWcDhRQYFQkgwAjgIKkwEv4/CRY9h9WdnNbdt3LFm00MFXH1zOgjcWodyV9Z9+gt2y&#10;Z+SEhoaeOX0apbJgDP/bMPtW3ru8viQilR/SH7sNGjRB3lqv1SgaG0VoFo8nYDCDQC4EAABwHijd&#10;GLkIXSMR4teTEYFMu0uP7fzyBunQi8D2FF+pqJU0mc66VVMZJezrwEaHTo1RHv/EbiQOvj4/e9QY&#10;wdNTMnfuyP/+u37TX2Ru2zF548abebnbbFpnz5oNb/5WZTrI7KQy1HrFkEYisej03uYxrGvq6G/Y&#10;IwKiQquVKRStSqUdcuHUjChHNS40QqnR/imqP1d1u8slQTEEAAd/7UJhMuCNxMXFoonz5846Y/3z&#10;5sysqxWtWvkeeph3f2rz+2s/si9MmdDbdENDGHR9qCWbHQ6HLwAAgGNBFkLUi7ANuwhsTyxxXqGx&#10;EchO2F/Y7iUMYHY/NNNuQDr0JtiBIVJFq2mjQ12bTiSqDAuPdMirONVsWFpKwLu1rF+Xt35dx/g/&#10;F382IOWtASnaFasip7+w7HadJi3DqhX2rNlQXqe4fdlYtSSRSTS2cQ2O9Yohi0xmMRg0396o/pyq&#10;bv58xzVZq2bPlVqXvShKO5G1ttr6BeFUuRBRKKo/V3lbZbGRLtnHR+DHjfD3B8UQAByIKwuTVapy&#10;Ud0KR62NRu3nqFWRiEwKxdKpBYXSh0iEfggeRkJ8HJrYvWtHRaX9Kp4FVq5Y3jcmdsXyd4xSm7Nn&#10;5MyemWP3ar1BN0TOQXALAgAAuBh9MolO1+Ef1Ol8tFpX6oM4afHB2KWjMJCJTWD3zruMtAOQDr2J&#10;kJCwiupy00aHcpWiWVzLDeJ3/yWc2tkwJNins1lf5f31yWf6q52YWE1MrLUr7FmzYVF+mekgM+C+&#10;VwfF0Ca2nqtyzQuh9oUKhcJWy7kL5EJCe/jJ4ZJKqVJteTEBhxMnCCYTSfDZCACOwvWFyTqdXKG4&#10;5rATY8etyg4olEikJBKJTIpvJFIeQV50K4QR4SNHjkZVw3t//PluOoqDeXH6c9jtwMFDxcU30Mjf&#10;Hhua1C+xO+v0bN1Qq1P+dvD/UFByXFz8lKlz+CH94XAEAABw4NWdqv26zlAcxB66pr7YLO6sEprF&#10;snRY3SAWUqiObZAHOAmSr294EP9WXbXprNvSZjqN3k0J2NmdDfmh2uycZ/Nyt40eM2JGzuDdO6/u&#10;3JGPZmETWU/3s9JmiOhZs6Fapmm4bpzqSyKTGNyOVwfF0D1RqNVSpdLW9oXhAcxnMqKmpkc5+wPf&#10;yvATqEoGAIcDhcndR6Uqx6flhHP4NJHIoFAiadR+dFo/kBF7nGefn4Z0w1fnzuq+nGcBDps9ftyT&#10;jrI0evZf5vVrR5BoiFFcXLTj242zZ6+hUO6dsGp1yksXf0EpKM88my2MiIM+hgAAAIagnoOEu8og&#10;KivGHrZqtbb2mXI42LWiMFBfaMxh+PaP4LmsNaHDsSAdanTaClGVUBAO0qFH4Mtk8Tl+ZhsdVtbf&#10;7tM9CdhJZsP9+3SFl8SjxggGpOgmZUXl5epzk5e+/cgnn/XLGBrz2tyP0WK1tSrsws361fas2bB0&#10;X4VWaWz8RBXKoBi65xdNs0KhVCptMqQ7KRnZLFa2MgTFEACcASQmOxXkqcRuTc3fEdptiQz6g3Ra&#10;PxqtH2wcV7LsneU1NTUSiQQfGffUU38b/njHGVRcPIvFEggEkyaM786rNDdLPvr4k2++3lpWdjMq&#10;Kvqd5StenP4cNl5RWVVTI2KzWfYplZ6tGx48mG/4sLi4qLa2SCi8l2BdXVWIRydv35aHj8fFxQ96&#10;MF0YEUeh0pkMPyqVY6g2AgAAeMmJwl23IGo1iE3gsqAGG7HYtsnFoKaEyEjYvz3GxAUXiq4EpEOv&#10;gR0YIlcpJYpWkz83XWVttTA8yr6MFOeZDXduP79/38H16wjZOc/OmRONLIcbPy/85LN+E7MofWPe&#10;mv+qPiyFybLhnLDHzYZVp4z1HR+izy168g91fUExdCtkSmWrStWiUtn0dTB2YPgTqWHYvWveZNkd&#10;yalbNZYLk3l0WlRQEI8JPh0AcCTCCNbzzwX0698GickuQ6Uqx25Nzd8RiQwG40EmfTB2D5vFBeBx&#10;Jfe+fcpulm25aTS4+/t8u6XD5mbJyzmv7N61A1//Sy88P/jBgUn9Evf++POrc2dFRUVfvHiRy7X5&#10;bM2zdcPExGS8wzeiorLYUDc8f+6I2SdizzJ6IuKZZ7ONRkJChFQKjcXi+fvHwLEOAIA7gKuBhHYT&#10;h/Ku/Nem7rjm6ZEmg9aDXITIPNg/wo/DoPRgdIkrQdLhkC93VjRLjWaBdOhZBIWEyytvmjY6VGs1&#10;tTUVoRF97Fin8zobDvtbv/37DmITebnbThyNzxg2iNBemJwxNGZiFmVAim7vL1m1tcSYWBuaD/Ss&#10;2bD2rNjQbKgmUIqoD/xO6VcqZXX5XFAMXYN9+chjUsOeGBg+NT3KZe/TmsJkKpmcFCoAxRAAHAuF&#10;Spownj8ukwSKYY9dUOjkMtkx7EYmBzLog7mcsWRyEGwW55E9I8co4Nj8F5NUavdLfPTxJ7hoGBUV&#10;jaJRvv12x8oVy1GUMzayJ/9H5EC0Cc/WDRMSBuF1ygg67b4v9YrKMptWaOhJNN7N2fMGDZoAhzsA&#10;AI4FLxNGoGJhNI17AwnuZw+0BmQh5DB8H2i/7x/B84h2hE6FS6PunDx21NYfJEqVyZGgra6rCQ/r&#10;Y59bDXAl2D6KCBGUicyESLSolU23RX7BAptW6NTOhtNfZMbELH176ffoR1P8d9MN639KS5vMD9Wy&#10;2LoYtg2/NPSs2RCjtKASTSDF8FffAQ0+XfefAcXQFVeh7YEnstZWm76wUNrJ1PQoF3eiOFdZVyhq&#10;sJCYTPbxiQoKFAb4w54FAMfy8JCg6dMZUJjsLhcjmnqJ9FfsxmA8yGWPhfplJ7Hly83Y7crVa1Kp&#10;TP8ddP7eD8YymexG++kZm82ekDnO7pfALY27v89PiI/tn6Tfld98vXXliuWjRgzvOIkquWHHmj1b&#10;NwwLT87MnGwoHUZFPWC4wIgRmcXFHzjktfLyNoSFx0LuCgAAhLs5wkaDeC3wfRdRd4NEcNyhb6Bj&#10;wS75sIs9VGKM3UcEMLkMXy+rMnYgySGBB6b93ax0qNSoa0UVfIEQpEP3h0xnhvsFVDU1mM4SyyQM&#10;OsOmjBTnmQ2/3606cawkY2jM3l+yvv9O+s/Fn+GziouLPljz54rV/Vls2+zJPWs2rDwsUjarQTF0&#10;w69FaWurTYEnqH3hzJHxrv89qb5Fcbi0sqFFYWGZCJ5fdHAgxCUDgGOBwmR3Ri4/h91otEQeNwu2&#10;hrOum+62F3x4yGDnvQqqdH5/7UdLF79RVnbzwMFDuG5YU1Njz3mvR290EpH6+IiXEhIGVVQWYw/7&#10;JQ4xqiZOSHwsM7PMyJNoN7+f/HXCRNANAcAz0KnVDXK58aCJitcZnujvc+6XnIE4iMyD2GAvqS92&#10;OBakwxaVEqRDT4HuH8hRyE0bHWKUi2ujyGQy3So1xKlmw0uXRDt35O/cQXhr2azZ83hp6cv+91Vp&#10;Xu42NBebJQgNeHNJiPUr7HGz4c0zTX9RB1mpGDKpVDaVCoqhE79q7TIYTkmPcmX7QiPOVdZZzj/h&#10;0Wmx/BA2DbpGAIAjgcJkT0GhuCZSrKRQImFTOIPmZsme/B+PHzuKjzzx5FPdzELBwWuTKyqrhBHh&#10;sbGxaPz4sWP4MrFx8Xas2eOTzklEqlA42LCnodHcx0e8FBWd9MvP2802NLSJg7/tmzDxTTjWAcAj&#10;aNFoCBoNbAfrSYvXi4CorBibQJ0HwTnoJCxLh+K6qpBQIWwl96ezRocYlXUiKxtWOs9siIEClDFW&#10;r9x0ozhzxer+K1ZFpqQs3LD+J3RetH5d3oRJy6xvbtiDZkOpjPbtLu6OxvgGilWKIY/BIBNBf3cW&#10;Gp2uUS63yWDYU/XIOF3aDMk+PrH8kFA/LuxfAHAsUJjscahU5bARHM6Vq9fGPfUUkvZw8rbkZk2e&#10;8mXuZjviSox47vlpqFR54cI3cl55JSG+Qzc8c/r0N19vRdOPDRtqx5rJXr9vSERqbMyj8159qLmp&#10;UiZrrKgsFtfVHPxtn31r0+qU2ArhiAcAwLNAUSTYBDIMoomIAP0EyieBTeR6kkMCc8c9PmX3r6az&#10;JIpWqu098gDXY6HRoUanrRPXdmkddarZEGNAim7LV4tnvLCW0O4uxO5XrO4/MYsyanTW1q8aVq/c&#10;ZNPaespsKJXRdheEbr3AbFT7EHy6WBgUQ2cjUyoVCoXM6l/mUD7yzJFxPfsrVJc2QyhMBgBnAIXJ&#10;AIBobpaYioYIFGbSfelw6tQpSDfEVogHpGAUFOxHE9kzcuyrjyb3kp1EIlL9/WP8/QnImThh4pta&#10;nVLeIlarFTJZo1KlqKurkLdILVc0j3h8DIiGAAC4Fah8mGDgEyTctQrqz9V6fQ6JmzMuPuo/44bP&#10;/PGQ6SyxTILdg3To/lhodGiNddSpZkPE6DFEU+mQxdbNnscbOXpZaanKnc2GNbXs//0q2FFkVcUo&#10;KIZORaPTNSsUcoXCeoNhWnzw1IyosalhPfvrVJc2Q0hMBgAnMSDZ/81FLFAMAQBj6zfbcdHw7WXv&#10;Pvnkk9jEzz//jCt9gx4cvGTRwm5dGPZL3P19ftbETLNzo6KiFyyYb+fpbq/dbSQilc3W91Xxbw9J&#10;i23vizhq1CyCPvpabxxobBQhPREtT6cxEvs9Coc7AABOBRULI3BvIMHAHkgANdC7mJacgN13Jh3S&#10;qTQqF+rE3R0LjQ4tW0edbTbEMZIOWRzmilX6vkUxsZqYWGtVNhebDUExdB8UarVUoWhRqaxcnkP3&#10;nZoR1SOBJ6Z0aTOMCgiIDg6EvQwAzuBy4Z0PPyA8M5UdLgTpEOjtXLxwHk18/sWmeXNmoumHhwxO&#10;SR2IlL7NmzZ2UzcktCei/HXl6iefrMvbkms4/vayd3NyXhZG2NlZmAz7zxSkJ6L72BjYHgAAWAWF&#10;TBQGMqm+JCaNjF++mlYBGyqDBCgTBtqlw4om6erjZ01nVTTcjiQSbUrmBXoEC40OLcQru8BsiDN6&#10;DHHnd0vfXvp9cXFRXu42AV8fk2LTGlxmNgTF0E3QtbXJlEpZa6tKZ23iNjIYTk2Pcof3L1WqDpdU&#10;1UhaOj3hp1ISQwWQfwIATuVy4Z1rRc0ZjwRmTaZBf0MA0J/5P/eM4cNJE8ZnTZ6ye9eOsrKbp8+c&#10;tTtn+bs9e0UiETYRFxe75cvN7777Tk2NCM1KTIjvZgW09+uGqB6ZSuVQKBw4RgEAcB4qja6kVmp4&#10;+RQRyOQyKP0j/LAJSBcBLPDW0MHlzZKvC83kd5WLa/sQSb5MFmwld4ZIIoYH8W/VVZuda3YnOtVs&#10;+P1uvTWsbwwtJNiHH9qhZqZlEDbnPf1K9s7i4qLVKzeF8BdOzLL2RwvXmA2LS/2/PxYIimGPY2vm&#10;iVsZDBFldySHS6pUnac8g80QAFx3hqzUHjpSd+J3PE8ZAHo1164XGYmDHE63zqZOnzn7zrJleBND&#10;jJEjR6/7dJ3dEqQpXq4b3ig5/um65Wh68eI1ncUuAwAAOJxTRbcJ92sCSe0C4gNCHiiJgCmbxz2O&#10;3ZuVDqvEtUKyVcm8QA/iy2TxOX61kiazc013ovPMhpcvEV+b+7HhyOgxI8Ii9E5nmaQFxShjYMv0&#10;jXlrQIpVVjJnmw3P/xm89beAo7W+XS5J8vFh0Gg8Op3o4wNHncNpUalaW1utzzzBvtdmjop3E4Mh&#10;QqnRnrolKhI3drYA2AwBoEdQKbU7dlXv20+dPi1kyCOwPYBeR+rAQYT22uFnn5n6408/JfVLROMV&#10;lVWHD/2GpkNDbe5s/t2evaYNDQsK9o976qkjR4/aXZhshDfrhleu7N+48QP84dq1S0A6BIDeA4VI&#10;pNzvQ7H+QshZH0qVTdht38V7jiTkSewv9OsfwUtPCIa91svZPO7xy3UNf9bVG41rdNoKUZVQANKh&#10;u8MODJEqWltUStNZaCdGRkSjeGWnmg1Dgo0Ftf37Dppdcv6ru/f+ksVidyEdOtVsCIqhO2BrSbKb&#10;RCSb0mUECtgMAaBnaZYoP/+iIn8vHrIMAL2Fac8988lHH5SV3cRu/ZP6vf6PBTGxcdg4GsQmsiZP&#10;sVXmq6isenOh+agTbJ3vvbdiy5ebHfLmvVY3vHOnxFA0vLtZiy3rhvLW+npxGZrm8QSoxSEAAJ4I&#10;lUoNYNyXjRh4/zWS6q6MqNHplHdLmdrUav1IW5ui8+ImB4I8iTtOdjxMivDDrsFARuzNHHg+c9TX&#10;+WalwzpxLV8gRKoT4LaEhIRVVJebbXSIDdaKKtBOdGpnQ36odud3S/ftK8/L3WZ5yeLion9/IXpz&#10;SYjlxZxkNgTF0B2wtSQ5PIA5c1Tc1PQoN+zMWyiqP3VL1NlcsBkCgPtQUSn71xrZgGR/iEwB3Jo2&#10;R14PcrmcDz9eh3sD13/6idECOa+8Yus6c3O/xDOaX//HgveWv4u9Cu5AzNuSm5OT45BqZa/VDY8e&#10;2WPubF7Y2fJ37pRgTzn42z7Dwbi4+AkTXgoLTyYRqfBXAwDeBHbxSfO9d7HK6vyCStMuILa064k6&#10;nc5Hq3WeqogMiYYyYnpCcH8hL73dlgh7rTfApVEPPJ855MudFc1So1ktKiWuOsGGcltIvr4WGh1i&#10;O1FcV5XK5zk7RjktA7tFrli1FD28fIloVI9ccoOMGh2uX5fXN8ZSo0NnmA1/PhKRd5xzs6XrLleg&#10;GDoPW1OSx6SGzRwZ756/aSk12sOlVbfuSDpbIILnFx0cSCZCYzUAcCMgMgXoQXzJISpVueVldG0K&#10;x77opAnjfz/9h1EvQsTby94dNWK4TWtrbpasWvkems6aPOXTdR/jr4KtDc06cvQY6IadUlv3l5EC&#10;iIgUDjAd1OqU168dMTUnEtp/h1+7dklcXHzOKysYdChqAIBeB5lIRE33DUXGu18keseitq1NodG0&#10;tbURNBqVTmd96KQ1IBkRTXPovmkJwQ8IeWnxwWBF9G64NOrOyWNHbf1BojS+nm9RKSUNdX7BAthK&#10;bn0marHRoUTROqDpGsFEvui+fe/yJeKBfSKpTH+Om54RkZ5OxguQTZsYxsRqNuc9/VjGSmx6w/qf&#10;Ro3utFrZsWZD6xVDCpHIYTAYFAoohg5HplRK5HLrS5LdLfPECMu1yWQfn8RQQTCHDfsdANwQFJly&#10;/gJ1zOhAiEzxONSaGs998z7EnrGfPzxk8IED+77bs/fSxQs1NfoNGBoa+uSTT9qh7h08dASfXrhw&#10;oeGsqVOnIN3w/Lmzjrko9sojuKTksungnDmLTCOVtTrlbwf/Lz9/l4W1FRcX5W5+Jzv7n1C2DAAA&#10;Du5YZFLu8+norYg6XYtajcTEVq3WyuIvy0ha1fsuVuO9EZF6CBqit5IcEnhg2t/NSodimd5QA9Kh&#10;m8PkBTE7aXQYTVRGkox/3+6+2bC2hjT/1V145klerr5mYtX7E9MyOn1KTKzmsy8Wvjb3Y+xZB/Yr&#10;zFoOHWU2lMpov57g7zjLtF4xZFGh1MPB6NraGltb5QqF9SXJi/7ef2xqmBuWJOMUiRtPlok6y03m&#10;0WnJwnCwGQKAm9MsUe7YVX34CH3K00EQmeJBtLZeho1gBxWVVSKRKIQvwG5/e2woHpBiK5cudjS9&#10;GTlytJHsiK0TGywo2L971w4C4dvuv2fv1A23b8szGsHOnhMSHzO3rX+xLBoisFPqvLx/gesQAIAu&#10;oZFIBBLJyJ+oUKs1Op1Co3GUkniq6La+N2I7oCF6JckhgR+Oypj54yHTWWKZhEFnUNhc2EpuC5FE&#10;DAniV4iqTBsdjqVXmi7ffbPhgQMSXDTET12envT+6/OzZ88VdOYlHDW648f2S5dEE7MiTRfovtlQ&#10;KqPtLgjdeoHZqO7aNgiKoZNATQxblEorl3fnkmRDDpdUWchNhggUAPAsbotbUWTKnNkBrmx6GMCb&#10;TqFEdn89Op1cqbrlqHelUpfrdC0WXqvLGlsXgL0NmewoizUMjl7ruXL12rinnsKbEhIM+hLauqoz&#10;p0+jieEjRprOjRB29Og7feZs90uVvVA3VKnMNDcZMSLTtEfhjZLjeXkbrFwtdv594cL+jPTn4FgH&#10;AMBWkIyIXwyjGucWtVqn02k1mm52SzTUELGLPexKLz0+2N0yLgE7mJacgN2blQ7LxbXYGS5Ih+4M&#10;iUoLCwjC9pThYDRRGU0zbn3okM6GJSX6LJ3RY0asfv9hbOKDNX/u3JGPTaxfl3f92oilbz8SE2sm&#10;UJ7F1r0+PxtbproS+wwxvmrqptmwppb93eGQPVfp1iiGLDKZRqOBYuhwFGq1TC6XaTTWLOz+Jck4&#10;So1279WbFmqTkyPCeUwGHAAA4HFUVMqW/FMfmTJzJts1TQ8plEgarZ9DVsVgPNhT202jEWM3NKHW&#10;iBXKqypVuU4nd/brNjbvBt3QepqbJUaiIaE9IKW6unr58ndtNR7iTRJvFBf993/fJMTHoYdsNgtb&#10;FZvd0aDj559/Bt3Q3JmE0oxuyGb7G43cuVPy6brlNq15+7a8AcnDoFoZAIBugmqcDT2J2KWdSqtV&#10;ajTdlBHxWubwAKZeQEwIdvMSM8Ay05ITCuvqv/ij0HRWdYNYSKGSqJAN6r5Q2Fxei6xRLsNHnGQ2&#10;xJBJ9K6EhEQhP1T/ARIbd6+Sff++g2U3Kxe/9ffRY8wk6qRnhKxfR3j6mUGms+w2G9bUsv/3q2BH&#10;kVUHJ4tMZjEYpj1kge4eEkqlrLXVyi8UjyhJxqlvUey9chNqkwHAi7lceOcfCyAyxQbI5CDsZjSo&#10;0YgViqutyqty+TknaYgaTT1YDq3n4KEjhvHHe/N/QA9379rR3NS0a9dO612Hp8/ca1yYtyUXu3W2&#10;5KqV7+HxKdkzch4dOuzF6Tab4ci9ZA/xePe1gtLqlFu3fmJ2yTlzFgmFSY2NorVrl5jOra0rA90Q&#10;AACHYyoj6t2IWi02YV9Rc1VDy46TZdiN0J7LPDUjCkyIHsqHIzOaFcqvC43jdzU6bYWoShgWSQLB&#10;xY3xDxLIq28pNfpAdueZDTGQu7BvTMff+K4dh7H7p6dkZgyNQR0MZ7yw9rMvzOQmp2UQquqWmq7Q&#10;PrPh+T+DC875gWLYg+ja2pBiaGXsSVp88MyRcWMHeszJbZG48XBJVWdzoTYZALwGiEzpPmRyEIs1&#10;TC/qBRDk8nMtrWedISBKW0A3tBa8I+Hby95duWL5ggXz33tvBZL8Cgr2L1j4xpYvN1u5KjabZccb&#10;wF6rsqLCDt2Q2Ev2kFqtuH+H/WLUBgix7J31SUmj2exwoXAwNm26QF1dBRzuAAA4G+xCOoDBCGKz&#10;I/z9w3m8QBaLRaPpOyfaxZXKpmXbLw5fvn/gmz++vf3CrxeqYAt7FpvHPf5AiJkrYY1OW1dXrdPq&#10;YBO5LUQSMSwkFE07z2xIaK9Qxqf379Ohk5wXsvtPzKIcObEsLi4ee/ja3I9PnbB2hbaaDc//GfyP&#10;TxNf/oZvjWjIpFL1n2xcLoiGDkSj0zXI5dWNjXdaWqwRDaekR53/YNwPi4d7kGh4uKSqM9GQ7OMz&#10;UBgBoiEAeBkoMmXBfPGZ32FjdAsG48GggNkRYZ8HBcwikx35UalQXEMl0kCXoABlQnveMXYvjAjf&#10;8uXmz7/YhAbztuQeOHjIylUl9Uvc/X1+9oycqKhom95DQcH+ikqbLwa90G9o1g8oEpX6+8eg6YqK&#10;s2bbGi57Zz0/pD/+EJueM2fRxo0fGC6zfVsetDgEAMCVkIlEFpWK2n7p2tpa1WrsplGr7Shnrmpo&#10;2VxQjN04dF/sQhGqmD2IA89njvo6/8+6eqPxFpVSXFcVEiqETeS2kKi0cL8AiqTGeWZDjCfHDdi/&#10;7yCavlnSTGg3Gw5I0YtHMbGalNQEpCSePFGXlhHS5dpsMhv+fCQi7zjHmqBkQrtiyGMwsI81ODAc&#10;iE2xJ9jn/8xR8a+MjPOsD3+lRru/qLxGYj4lgE2lPBAeTqeADA0A3gmKTNl/gJv9kp8rI1O8DyKR&#10;gRyIMtnRxubdGk29Q1Yrl5/jcMbC5rUew1aG8+bM3PvDHtSsMHfz5lEjhlu5kkkTxmM3w5HmZsm1&#10;6/fZ486dv2D0LBaLxeXYfPLpnXXKmZmTjVKSN278YPFifx5PUFtXZratYXb2PEPRECEQ9IVjGgAA&#10;N/qy9/FhUijYjdA9DVHSqsarmMekhj0xMBwERDeHS6PunDx2SO4OiVJlvDcVrdTbIr9gAWwlt4Xu&#10;HzhGd8503FFmQ4yJWZRRo99CucmiWn2j55SBHTkn/97QiKqYCe3dDK1ZmzVmQ6mMduxckJWKIcnH&#10;h0GjcWk0UAwdi02xJ57VxNCQ+hbF4dLKzlJQBBxOvzD4AAQA76f4RvOSfzY/PCRo+nQGND3sJizW&#10;MAZjcGPTbon01+6vrVV5lUMA3fA+Tp85a6rZ4V0Im5slhq0MV6xciXRDfaPD5s12ZCt3XC9wOUYR&#10;KN1PREF4p24YFZ1EIOwyGjTbrxAx4vExKalPwMENAIAHYaohylUqtVptZU8rHDxKBQRENyeSyz4w&#10;7e+jtv5gKh2KZRI6lUblQv9KNyVUJ+3ja9znxIFmw45rAPZ9f/tHD19lsQZcuiTKy92GRt5aNist&#10;o+v1dGk2lMpouwtCt15gWhOUjBRDHp2OfWTBkeBAWlSq1tZWKxVDj2tiaEiNpGXf9fLOUlASBfxQ&#10;P0iWB4BexOkz4guXSBmPBGa/TIWt0a1LCSIjwH86lRIpbtjUzVXJ5edgexqRm2spq2Ty5KeHjxjJ&#10;YrEeHDQQjYwcORpJhwcPHTFyEboD3qkbhoXZlmA97LEJJKKZz52GOyKjkczMyfA3AACA233xG2iI&#10;Gp1OrlIp1WrsqtKmlYCA6P4khwR+OCpj5o9mWp9UNNzuQ/b1ZbJgK7khaYrTpoMONBsakZKi917t&#10;33cQr1zGMBuKYhYLZkObgpIpRCKHwWBQKKAYOhaZUimRy638iWhKetTU9Kj0hGAP/c9aSEHRNzTs&#10;I2TTIFMeAHodEJniQFCkSfelQ5WqnEKJhO2Jw2azLcwtKNiPVEJTjh87Crqhi2DQA595Nnv7tjxr&#10;Fv7H/OV460Mj/io0PtEPC4uCvwEAANwZMnatjl1H0WhByJCiVqswbDEh4gIidsH5RGqYh1pUvJVp&#10;yQnNCuWigpOms6rEtUJyOIkKV9HuRahOGqguMxp0rNmwtoZUd1tfsYUaGk7Mopw4lonXJmfnPDsp&#10;KwrN6pLOzIYNipgtm3g/3bLK3IEUQ9SVFXAUura2xtZWpVJpzec5amK7KLN/RCDTc//LJ2+J/hSZ&#10;770FDQ0BAECRKb+fZmWO9x/yCGwP+2GxhrW0nuumZ1ChuAq6oSHvLX83JXWgTCa7eOE8GrFgP/SA&#10;C0xv3U8DB462RjfMzJwcG/Oo2Vny1vqDv+0zGgwIDIO/AQAAPIUOEyKTqdBqVWq1XKGwqRMi6oGI&#10;rj9njozrL4QyWLdg3kMDCuvqvy4sMhrX6LTVdTXhYX2IJGgh50YMlR8zHXSU2bDkBvl/X5Xilchx&#10;cfHzXn9qYhblk8/6jX4ioUWmSUuj80Oxv3prfzkwaza8XD3gm2N8q649yGQWgwEpyY4FKYbYB7i2&#10;ret+Xh4ae2LK4ZKqInGj2VmBLGZSmIBMBJMRAACEikrZ51/IIDKlmwTwpndTN1RDpPL9cLmcF6ff&#10;F6i75cvNhPa+h9j99aJimUzWfiJXLJVKKysqCgr2R0VFP/f8tDcWLnDD/47X6oYMeuCyd9avXPG6&#10;hWUyMyc/PuKlzuZqNWa6L/vzILMSAADPg0YiYTcOjabR6RRqdatKZX0VMx6iEh7AnDkq7onUcI82&#10;sHgHm8c9Xt4kPV5RYzSu1KhrRRWh4X1gE7kJD2hq/LTOilEuuUF+JXsnCkpGYNOvzS2qq501ex5v&#10;9BgigUDBTmesX6FZs6FMwfmmtOuTHyaVyqZSQTF0LCgoWaFSWaMYotiTqekeXxmj1Gj3Xr3ZWQpK&#10;BM8vjh8CxwYAAIagyJThj4VkTaZBZIodkMlBFEqkSlVu9xpU6luwGa0BBZU4Kq7EZXizJYEf0n/Z&#10;O+s7m4tEQ7NtDREksnGp1zPPZlMoHDjWAQDw4NMCIpFFpQax2UJ//0AWC7VEtJKqhpZl2y8OWvTj&#10;9M+Pf3uyDDZmz7Jz8tgHQgJNx1tUyqbbItg+bkKS4qLpoEPMhjIpERcN4+Lis3OeHT1mBJq1euWm&#10;UyfsWadZs+EfVf0sP4tJpYbzeEEsFoiGDkSj04llsqrGxhalskvRMC0++LMZQy58OM4LREOpUmVB&#10;NEwU8EE0BACgMw4dqfvHgqpvt2tgU9gBg/5gd56u08lhG9rHlavXvtuzd80HH894+ZXo6L7NzRJ3&#10;vIT07n3AD+n/4Uc7qquv1dVV4GXLmZmTkwdkYLO6+ssJzM6el5e3AR8ZOHA0HNYAAODMyojKzow5&#10;efH2/G2XjWYlB+rjKQrrZW775ok+PiwqFbsFtLXJVSqbHIioAeLb2y5MzYiaOTIe7Ic9ApdGzR03&#10;HOKV3Rmnmg3//YUIiYZvLZs17YWA9jDlyH9viFm9Ut/a/OSJurQM2+SVzsyGR+8IzC4PQclOQqFW&#10;SxUKKz+QKQzthKHCVeMfwj4QvOD/Xt+i2HvlptnoZEhBAQDAGlRK7U8/1xw/Tp00MXj4CPh6sgE6&#10;rV9T83f2b/lueBV7G1euXjt77kJpyY3r16/v3rXDaO6ChW+gima3guz1e4VBD4yNeTQ2hpCR/pyt&#10;z01JfWLx4nCp9A6FyggLS8RWBUc5AACIkX0DszP1kUrpqcGEbffNmpDEX/riA9jEy2t/d2fpEGG3&#10;gChpVW8uKMZuafHBUzOivMDn4nEkhwTunDx2zNf5prMgXtkdcJ7Z8PIl4vp1+l9Ds3OenT2Ph7cv&#10;xKZvFOsTUbC5by5ZatM6rTcbQlCyk1Co1TK5XKaxyimjZatauUoCVb3lxp+7NhS9+tCAeQ8le7R6&#10;aEE0ZFMpiaECEA0BALCSZoky77+VB3+DyBQboFD6wEZwytHYLLl2veh6UXFtbe2N4qIu01EkEvAb&#10;ehokIlUoHAzbAQAAU14ZH9fZrCfTOgKIWVRP6tpuKCDKlErrQ1ROFd3GbmA/7BGGRob9Z9zwmT8e&#10;Mp0F8co9i1PNhqdONKCJMWOMswszhsbsbP/p+vIlopUZygSrzYYsMplGo0FQssNpUalaW1utVwxl&#10;vFaS773PZ4lStfr42c//uOy56mGRuPFwSZXZWWwqZWAfIaSgAABgKygy5dhx/2emsiEypesLASID&#10;NoID2bDxP3t/2FNQsN+ahbNn5ISGhobwBQ8OGuierQ9BNwQAALCZCUn8yFDz6lgQhZQc1+EnuiGW&#10;eeL/jujjw6HRUIhKs0KhVCpVuq7VB0P74cyRcWMHhsNx4hqmJSccL6+GeGV3w3lmQwxRbcdv0bW1&#10;qvbwk3v0jbFHKe7SbAixJ05CplRK5HJrPmN9ST6aAF0zs5lI1JmV0AzVw+cHJERy2Z6yESyIhgIO&#10;J04QDKIhAAB2c7nwDnazEJmiUpXTaP1gQxHapcPutClUKK7ClsS5eOF8Z6LhyJGjI4RC3HjY1NTM&#10;5bp7igbohgAAADbz7KjozmalRHToAr+erBartB793yQTiQEMBoHB0PfbUiqtzPRE9kMUvjw1PYrL&#10;oMAB42wsxCuL66pCQoWwiVyMU82GGGxWhzj42tyPS0uyZ88VtPc31NMi09m6NgtmQ5KPD41C4TEY&#10;2KcB7FbHYpNiSIqgs/swyb6EIDVP2lgvlnVaxITUQ+z2fHL8W0Mfcn/1sFBUf+qW+SgnAYfTL0wA&#10;hwoAAN3n0JG6E7+TJoznj8s0/h1Cq2uB7YOgUCIVimuwHRxCbFy86eDby959Y+ECpBJKJBLU3LCq&#10;utr9dUNvOAuUt9ZLpVVanRKOTgAAXMC0B8M7MxtipPT1RxMlVRKv+S/TfH2DWKwwHi+QxWKRrfrB&#10;qSN8+c0fX91yprIeTsicTmfxyhJFK8Qrux6nmg0xZs8VZOc8i6bXr8t7fd6Zy5c6zuhKSjr+3EKC&#10;rW0+aNZseLY6iU2nh7UHJYNo6EB07Y0gahob62WyLkVDHyqRlcgOHB7Ii9WLhhgkX1+/YEF0RDSH&#10;Rrf83K8LixI3bH1616/HyqvddmscLqnqTDSMDQ4C0RAAAAeiUmp37KqeO6fuzO+wMQCns2TRws+/&#10;2BQVdZ/XZNXK9yZPfnrZO8sPHLzXYkgq9YACNc8+EdTqlAcObHrzjSlLlryw4fP5tXV/wQEKAIBT&#10;CaKQpj3RF5soLG4srzEjhz2U1KHdlIqkXvZ/Rw0QA7nccB6PRaORrIhEkLSqd5wsG7Tox7+vPXTy&#10;+m04fpwHilfmUM24O8UyiUraDJvIZTjbbIjBYutWrIr87IuF6OH+fQefHL36wzV1tTWko4evYiNP&#10;T8nkh1rldzZrNmxRcW8RkgIYDEg+cSC6trYGubzaFsWQPzSAHW6m8Jzk6xsSKowShHepHv5UXDbm&#10;6/zRW3/YWnjd3TbI4ZKqInGj2VmJAr4wwB+OGQAAHE6zRPn5FxX/XHqHQomErQE4lXlzZt68Wbq/&#10;4Lf3136EC4gFBftXrXxv9MjH8STlc+cveMBloEfvievXjuTn70LTxcVFO77dqFLdZ/DR6pTnz++Z&#10;O/dx7Hbi5DcVFWfBmQgAQHd48bG+fmy9NJP3y42rZU1Gc5MDWbgVsa+A7a0bgUwkBjKZEf7+1tsP&#10;TxXdnvDBoYFv/vjtyTI4ipwEilc2O6tcXKtVKmATuQZnmw1xJmZRjpxY9vSUTPRw/bq8B1NX7d93&#10;kNCejmLlSsyaDW80DYL96EBwxVDa2tp1twcu2YJieN9HMZ1ppXp4vKJm5o+HEjZs3fDH5WaFW5wG&#10;dyYakn18EgX8UD8uHDYAADiPikpZmGBNUMAsMjkQtgbgVEaNGL5k0cKbN0t3f5+fPSPHdIFX586a&#10;/PTU//7vm+Zm9y1WIy1fvtzW51y8WNbU1EXRGYNOI5Gc3jxx+/ZPGhoa8IfYdEpKKpcbho9UVV7c&#10;sOFfaPqvPy+ePHnw4MEffv31m5KSMxotdsGvbFU0trWpfHwIJJLrsudksq5L9kJD9R9h6NQSv8fP&#10;NA3HTRcjmHtWZw+NBrGb7u6EVKGuut31sevHgOglwNXIrUjqoPr6Mhzdwj+aTXs3OxmbOHnx9pen&#10;yiNY1CH9g7CHPxwtl2v1f0YTBoalJnRYJLBZo/rz+3DoITTf654ZkNIlFDKZQaOxaDRsZ2i12i57&#10;H0pa1b9erN5+ogyb6C/0o/lCq3sHE+nH4dIoBTcrTWdJW2Rctp8PEexjzuUBTU2c8rzRIJ1GHvRw&#10;iDNezj9AN3psUJ+oIaUldwzPiOLiEwcM4FCoXfxRikWtN24Yazetar+D4nTYlQ5B19Z2p7X1jkym&#10;UKu7/IR8VFvt/4CfT4I/lWPDKTTRl8Jic/1YXLJOK1dZ0gSblSrswyH3wpXihsZkfpBfz8UuWxAN&#10;B/YRBrJYcOS4IT9s/wo2AuBNzMieQaH0YbMeo/iGEolM2CB6maLlqEZTb/fT2axhZHKQx1xOtp5T&#10;qcq7+IYlMricJxz1iv0S4zPHj8ue8XLfmHiNWn3zZik+6+rVK/k/fL9mzRqtjhATE+OG7Q49Oxcl&#10;MTG5uPi+BMmKymKh8F5w9flzR8w+EXuW0RMRzzybbTQSEiKkUmgsFs/fPwY+SgCgl/PquI4Gt8cu&#10;1xmOxwaxxNX6OtAHEwMMxyNDmch+OPRiyL92/+XpMSmdfpG02w91DIZcpZK1tiq0Xfw3qxpaPsz/&#10;6z8HimaOip+aHhURCOdqjmTeQwMK6+rNxivXiipCw/vAJnIqrjEb7t+nW7v6h6joiKVvPxITq5mY&#10;RUlLm7zn+/rVKzehBdavy/v15/jFb/199BhLlSVmzYZFjQNhP3YfjU7XKJdbGSf1qLZ6iOocjUfY&#10;Eppi38uhvodsXqDl1BRCe3AK9vmA3R4Vhj4/IGFacoIrN4tSo9179WZDixn7MxIN2TQaHDwAALgM&#10;IpGB3WA7AC5DGBE+b85M7Hb6zNmff/75m6+3lpXdxOeuWvneo0OHYsu43eWeR2/0hIRBeJ0ygk67&#10;78++otK2grjt2/I6m5WdPW/QoAlwoANAryUtjJueGoym91ypxe6HpfINFwiikJLj9OpAk1T14TdX&#10;+DzawLgA9BTs/n1m6su5/8/emcA3Uef9P819H21CT1t6Ay0p5dQWlRUKiKu1CLKyfx4U9/A+nhVd&#10;13XXR2VdZXfRlWV9ZGX1YRcXEBF9RKDg40HrighSKND0sqUnaZs7mUyO/if5hWmYHE3SK0m/79e8&#10;yvDLZGbyy28mM5/5fr+fk94LL1emEgsQ86dU/We+19b1xXZMIqp+SEzIfNlkHSYVTm+xbT5wjpjW&#10;lGc/WVkM6uEo8uati8/09p/tpT4xNuFW7eVu6RSwGhgrxqGyIYHRQH950/voCegtt5bk5bsqJ6Sk&#10;Oe5/SFa28Jl977Xu2L6L5n5Eeu/6l//8l1+sXOXf09xvZUOLTXrakANf5UhAiuGw50DEbbYLRfg5&#10;idN1tJ7Lu32EmybVQ7NuoM9osDuDPcX5sr2LmDYeOf7w/JL/VzJtHJyXQTQEAAAAAMS1C+YR0wvP&#10;P7dv/4dffvH5a6/+CbVPKyyIwr2Nbd0wPUNZWbnaWzrMzp7pvcCSJZUq1Sujsq0dO7amZ+SnJBfD&#10;EAeAycnqG6eS8yc2V/gusDDfE5n//qft1c2um8CdJzvKPpc8d+8sqYitLJCVpUtq3WGJFbnyjT8u&#10;QnUSaW5Vkfi7t7pt8xGV9wqJ5ZOlPKRRxhBcFouYZHy+DsPMGDZsrM3umlZiAvVwdDny/yoLt+7U&#10;W3FKu9qo5/P4bBHUDhsT5li+8G2cUTTKtZN2vtNP5kwoS/g0mp18qWSWs2RW1vLlT7+1/RtU6HDr&#10;a/+7ctVKv+uBYMNRJ1zFsMT6rWDQ46CFC4THUpWjshsMFkskTxbIFFbdAHHIW+22IAsTZ4lNX35D&#10;TD8syL61MHvswg+DiIYiDnv21EwmHSpXAAAAAJOOO6puI6ZXt/zxyNFPVarGKAw2pMW6bsigcxYv&#10;uWfatDntl1w32zOmL6BkE0+bvqiyspUSkxgxX9V8UrUSdEMAmIx4BxsGIi/dE1J05Ew32VjbqXv/&#10;0/YNla5TU26qiPhvRa58032l5AJtXSaUy7y6Istgtr1x3BMlnSPivvrYfGJGuJu582RHoI0q5cJ7&#10;luY2tOvJN0bLrwudnsTny3g8M47rzeZh61GCeji6SLicI+tuv/Zve3xfalP35LA5DA7E9Yz2WQJv&#10;4Dqp+aGJMm561miOZ6OBTiYjL1u+JC/f7mdPFhLTvPffK9n62v/efe8yv+uBYMPRJSzFsIrRVqz7&#10;klQMEZczi0Z3l+gMOi9Rnpkoxw26Pp3GhA+zb/+raiWmjUeOr3MnLyuTR1PvBtEQAAAAAIKzdMlN&#10;xBSd+8aM9c5l0DmZmfO8axpSXl285J7snKKDH7/rt6BhWBw9dqhq5UYY0AAwCdmwIh/NfFLT2dTh&#10;kQbINORkKY/Wqau41pX+2dZlajFcdWtUmOnRE5u7DTki7sYfe24O91a3vf1Zsxp3kErihsq82otq&#10;lLC8tMSTTGq02IPs2LPrlFlpAmI36loHUDBjVEEmL5tw3GKxGO324MuDejiKELf9/33rTT//6FPf&#10;l9q7O7KuyaEz6NBLo0iB1U9lw8IrRkmjxZHDQ6eXO+8K5nq8chU7UKQhDYINRw/M4TBYLKEohokJ&#10;tkWcvkWiJlt3o22QuvzZrLljtIdskSRNJLFbTEaDPnjpQ5o7/PAvJ+qIaWayfJ2ycJ1ymmTE9ikg&#10;GgIAAABATMOM+0/IoHPy865/6OH5Ou0lo1HTfkml7u06euxQZGtzOK3ECmHcAMCkoqoohSxcuPVg&#10;g7e9CdINhTymUi5Eeccn6oeKyinYjLsX5aJl2rpMtZ26+xZmo8VqTl8ms5Krm/tyDzShmMSSqVKk&#10;G668KRO9erxRXZErT5F5osNqGvq8dckPv2xftyK3+t/dUSgaeiNgs4lJaLMZMMyE48EXBvVwtCDu&#10;+b9s6wSPlHEgULChIpU3ilsxGuhbX/tfNL9s+ZLgnidBgGDDUQGz2Yxm87CPQ2huxbCKf2m+8HsO&#10;3Wa32fosVNGwP2uaip80tlf8PIGUJxDJXOGHPXpt8NKHBGd7+56sJqaaEeYvg2gIAAAAALEOc5J8&#10;Tgadk5iYl5hIQ5GJVSs3OpxWs0lts2FGo8aKY7297WaTIXhG85LFy0E0BIBJyNqlnnvpnQebvUXD&#10;5u6hLLOSqVI009Tp0Q7K0iUbVuSTguMLO+uImcXzPFGEr390lZTjvSqauwAiWf3w401Xxas/TKP9&#10;6PkvSelw58mOIFnM0Yan9GFoCX2gHo4KQTxSDH29InkydNGoMG7BhmTyRPBgw+D4DTY8qb4evscQ&#10;iUwxRC3GPj+d35JVOk7XwywWL1Ge7U5e1hh0eswy7FvI/OXbCrNvLci5tTA79M2BaAgAAAAAcQBz&#10;0n5yBp0jErlKTia6r+rz3XURly69j/hrMLhuwjWabqQnouV5XP70GXBJDQCTjqqiFFR/sK3LFESh&#10;Q87IiHVzM8gUZppbNHxi27coipBcFSWXWci96mw8Kzeg3ECszWC1kfsm5DFjSDf0/PDQ6QqhUMbn&#10;a8xmDMeDG6eAejhyAnmk9Oi1HA4XPFJGThwEGw6YM5ssICIPz0gUQwKnw2E1mSlL4gJhrTx/nD8I&#10;ceAniyRyK2bQaTRm07Dhh8QJ5B91DcQk5rBDFBBBNAQAAACA+IAJXeDnasatJ6K/+XnQHwAwqRHy&#10;POfJLXvqQ1n+6buvcnWvOX359Y8aKCqhRMSivOuGEs8dOwo8RKUSEaiiIhmQ2Kg2opjHdXMzHl4z&#10;HTV6S4dKuTA3WUjsNvEWv8nLOSJuSab0eKPaO3ZyAn5+3Oqhc3BQY7EMa7uM1MOfVRRsrCyW8Nkw&#10;LMMiiEdKZ786EzxSRkwcBBvWa0vgewxO6IphLt2yiNdNUQw9KzGaBp3Uc11n3pyJ+lDEsS+dkip2&#10;OO1mQ4jhhyEKiCAaAgAAAEDcALohAABAMHae7DjzvZaYQQGDfsnLEJ9S9VMMlz+p6Tz8TSdFuUPu&#10;yVIRe+PSAlTf0LcGYlm6BCUpE/996m+nKJojIkfEJUVDUlKsKkpZuzQHhTQitAZ858Fmb1WR2Nwb&#10;jy8g1k+sfPWW2gnvXnpCArJdDkU9fLNa9a/jrT9fWvizigJQD8MikEeK3eno7O3KSJ8KHikRU4F9&#10;Ow7BhgQff3QGzUCw4TgTlmJ4u7B1puBSoAXMGuqzHAeLdSKAud/4nYcZdE/4oc1m1g1ozCar3Tbs&#10;u4IIiCAaAgAAAEA8Ebe6ocNp7eyou3jx2wsX6hYurMjOnpmYCKGDAABEQiDFsLZT90lNJzGz73i7&#10;9zLN3QYyKpDCmx+qkHXy6oqs+UXyjl5TUZ6ULGWIQhqV2Z4wpWPfdPsVDWlebst7q9uQNLlxaQGx&#10;TspixJofXjP9xtKUn2w/eeWezRPqSGw6eno4dPVQb7FtPnDuv480vLh29o/Ks2Fwhk4gjxSr3Tag&#10;7panpEMXRYB4EJ+Kn/VtH/VgQ4L0azxPJh55fAGN5oxsJefO9vk2QrBhIIxWq95sxp3D9/awiiGB&#10;DbPacaoep03L7WHxo+TzMlgskTxZROyqyWgyGYY1X/aclr0ExBuy0n+Yl0Wz08x2P7+AIBrGIhqf&#10;zHoAAABgshGfuqHDaT129O+kyQnK67lr7Yb5825ls8XwrQMAMFr89oPz5HwodQarm/uEb5+9/45C&#10;qYidlSYgYwO1BnzzP+uRAkh6p9S1DgRaD+m2vO8rVw3WdXMzSNFwb3VbTX0vMbP6xqkojFEiHArN&#10;azFg9235OkXMaVQbo60zw1IPH3nr61c+OLfprtKbZ2fAOAyRQB4pGrNRMNDHS5RDF4XLAutZxiC1&#10;cGR6mnDUgw0Jnn8x645VzwgE9Lx8e2Rr6GwzGYzUvYVgQ7+MrmKIMGm0vo3n88qi8OOzBEKpQChO&#10;Sg49f5nmFhCRiQoxP53Pn5esSJdJFVLPhTeIhtGJBbdhNpvFZsPcorbW7HqmaHc6DT4lcQEAAIBJ&#10;S3zqhp0ddb7OyO/u2kFMTz31+/QMJdgiAwAwUeyv7znTrl1akjp3epKyQFZz+vIpVf+hum4Un6iU&#10;C5GYqDXgfqsT0tz5yChEcW91W4sB885Zfunts8T60byyXY90wxP1QzoRsf66PmOgMMZoIHT1sKPf&#10;tH7r8bLCKRsri8unTYGhFQp7Vt+8YPtuX4+UDm1/No/H5IHzTBgECjacXpw0Kus/fMhZc/zSju27&#10;Nvx0bV6efOlSccksR8SRhgTn6yHYcHjGQjGkBXBEsUiTTkmi98mHd/6y3WzsN+hMuDXE914wmy+0&#10;ttFa29I5nCKxuCQlee4cJYiGE4vd6TBYrAYMszucWpcZDoiDAAAAQEhMuvqGL7/8yyWLl19XfnNK&#10;cjF8/QAATAgtBuyN4620462+Ly2bnYZmqv/dHejtt5R57jNRXGF5oSdM7PXdF0jRkOYVt4gWI/jb&#10;T+cipfLxXa5CaQo246EVhbSroyaj5X7VrR5KuFyN2WyyBrtTrW24XPXKp2C4HCJZEtGe1Tcv/8cB&#10;35cu9XZnpmcxWCzopRAJFGzIF4704spooP/mmXN7dnu+ph3bdxF/f/UU7XcvP/Ifd0c4yL9v1Fsw&#10;aqAiBBte1e0hK4alDMNNgkshKoYIv44ol/LmxkTPEKcFhkSWJpE53AJir04TSgFERKfV2qlWH1Gr&#10;N589tyJJPjNlyoL87Nz0VBhv44Dd6Rgwmo2YVWs2mW12q90OfQIAAABEQHzqhmxOsPygo8cOEVNl&#10;5errrvshMk0GAACIEgxmz80YKfZRKEuXKAtktCsmKsTM7AJPcFNNw1VxhShukVxs3dwM9MaMZI/u&#10;sFyZenO5q6pdFOqGnp8ot+eyjM8fVj3cXdP6yakOsEwJhRuy0l+pKH+yusb3DrO3tzMtYyp0USik&#10;OQ1jF2z4/j4DKRp686un/kyjRSgdNjZqfBsh2BARumJ4PUuzVNR8Dac/3E34dUQ5nToztjoKCYiZ&#10;bgERN+g0ZmPoEYgEB/v7iIlWf17BYt0kTypOTSnKTAcNcZSvIjBMYzITP5oGzApCIQAAADA6N2Vx&#10;+alSkosrK1f7pip7Q7xKTHet3VCivBHUQwAAooQ3jrc2dxtMmC1QknJ5kSc46Ng31IBEg3UoAKRs&#10;mgLNfPilqwCigs1YtyIXtSD3FbKlTjWkJuSIuClijtHqCGIePQE/VG71UMTjGQkC3wUhy5R3j7c+&#10;eXsxWKYE56H5JV+0daEyZN6YcKuhr1ckhwC04ZmHnRqjYMOeLoZbH6QVFBS++NLKsoWultpayyMP&#10;/pHmlg7Lyp8Nt8QhBBv6xTk4qLFYrFbrmCqGtFhwRAkXBovFS5QTkyP8FGYCtc22u7uHmGinvgMN&#10;ceSQWqHWZLYHLu4BAAAAABHejsXrB1u85B6aWxwMvhgqerhhw0MzZy4GyxQAAKKB6ua+QC8p2AzS&#10;/6T2ohrN6K+EKN69KHfzERVajDROQUGIy5WpqCTiJzWdSJEkWz4/7UptLkuXkD4qBI+9eiKQcBmE&#10;HBG3JFN6vFHt10t6hHAZDK5EIrTZtCYT5gi4/o5+0yNvff2v460v3lVanCmD4RSI7bfetPQfB3w9&#10;Unr0Wg6HyxZJoIuCkOY0pNoafNtHJdiwttbjQbHl9VUls1x6VkqaY+Uq4mj9BZIOqw+r8/LDG9sQ&#10;bEgBKYbBK6iSjEQxRMSQI0q4eKcwOzCz3mTUmMN77AQaYsRc1hv6DMYBs3lM4wrZDIZcwCVm0rM8&#10;D+Q4gctZCHhcJgOqWAIAAMQbcasbMuicxUvumTZtzv79f0d+ykHYsWMrjbb1gQeenDZ9EVimAAAQ&#10;tYg4LK0Bl4rYdSoNGRJ4+JtOlG68uiJrfpH8wy/bbyxNIVXCFgPmHWz4zrEWNHPb9R5hsbnb8F+3&#10;z0BrIMlNFYWrGyrlwj88MIfY7uu7L4RiLR0ZXBYrRSodNqmwtuHyTc8dXlOe/eJdpZC27BcJl+OS&#10;Dnd+4OuR0tmvzmRzGBwu9FIg5mGnfBvzcqUjDza86jDMveq/K1ext75WSFzSNKq6abQwdEMINvRm&#10;nBVDWmw6okRy4c1iMVgSuUiS6HA6MLPJZNBjltDLICK8NUTiv6geYvE1aTlpyUIeD848NHdBict6&#10;o9pg6DOaRmudSQIuh8FIEvA4DLqIyxZxXD+aSXwuh3mVAnjbP/4B/Q8AADA5iWdfFAadk5k576GH&#10;lZ0ddd+e/OzosUPBl9+27ZWCggNVVfeA4TIAANFJiwFb+vznyBOZbKzt1L309tmn73bVycpKE5De&#10;ygTfNQ7QvEILkf8yze3IjKofErz62Hw0U6fSoAKIBD2aIcNlYmEhb+jHoqahz68d87PrlGgrzd2G&#10;se4HIYdDTP1mc/Cbf1T0cOPtxT+vKITB44syWb556cKff/Sp731pr7onJTWTzqBDL/niN9iQyaTn&#10;Tx/l+NaaGvuy5Vd9BQtvnKNSNezZfeBPf54R+nog2BAx/oohIqYdUSKAOG/QBUIpMdFoDitmxyxa&#10;t4YYwarIeoiuwS+RFEqlU5NkkzMUcbTkQhQ8mCYWsJnEDM9XHAQAAAAAX+LfTxmph8R0XfnNX9V8&#10;Elw9JC7HwXAZAIAox7f44P76njPPa5eWpC6el0oKgloDTrR7Bxvu+6odzaxdmuP9dmLJzf+sb75s&#10;/Ndvrkf/JXOlNy4tIDOjEQ+7jZspEYXr5mag7dacvhxBgnNkJPH5Mh6v32QKYpmit9ieffe0O215&#10;dvm0KTB4KKxTTvuyrfMfdVQVzIRb9f290imQJ+iHhYYvfBunZolZ7NGRWcvKPHFVL2/6oES5OiXN&#10;k5VvNNCPf/4tMbPhp2tDXxsEG9JcmotTh2EhKoYrud3XCtqmsEftPBYfjigRXoRzuMSULJEpRhCE&#10;iDiu0xETra2NDEXMS5RmJcmyU6bEt4yIkpHVBkNkhQtFHFaSgCfnc9MkQlAJAQAAgMhgTp6PmpJc&#10;XLWyeM7cRcNmLoPhMgAAMUeLAXvjeCsxbVlbgsoU7jzYTPMKNqw5fdk32JDmzmXeerBBjTvuW+gp&#10;XYTeiCD9nb15eM1076hDb2ny9Y8axvNT0xMSQrFMqb+krXrl059VFGysLIa0ZQpv3rr4TG+/b6FD&#10;tVHP5/Gh0CGJqcdquWydgfcm5ndSr6VGNdgwJc3x6OMbXtuyg7hWeebpfz/y+IKSWU6jgb7znX50&#10;9TJrVhgqySQPNrQ7ncO6sZOs5HYvEjWJmeZR3IH4c0SJ8FztHYR4pRKiAbPYnREWw3XFIRJTo+e/&#10;SEZUiIRTp8iVuVPjoMcsuK1bq+vS6SKoXZjkiigUpokFxARCIQAAADBymJPtA5OZy8Oqh8hwGSxT&#10;AACIIZRyIeltghxRSEXvizO9aMY72PClt8/ur3f5ouSIuMhKRWvAD9UNOTUjLZL8L1kJMXeKkNQN&#10;SWlyx4EmvynMYw2yTOHhuM5kClL08M1qlSvwcO1scFumsGf1zQu274ZCh77YbTRLL2a8bGVpbTaH&#10;K9inrMDPlUPEwYa1x2kCIR2Zn3hz/4Opn3zsKmV4+NBRYvJ+adnyJUuXEd+IM5T1T+ZgwwlXDBFx&#10;7IgSMWQlRPmVRGaDxTwSDZFGyohXWCiRpPN5UxMTsxWynNTU5ERpDPWPxmRuHxgINx8ZtEIAAIB4&#10;4pZX/+94o3pFKvWxtM5q+9V/zF2YP95JVMxJ+B141z0cVj3csWNrQUH1mh89AGnLAABEFUq5sGya&#10;4siZbu+4v0eqpnnOXW4JL0fkUXy0Bpz47aF5BRsSLc+99R2ZU3zHdZlI+9t5sJl0QyY2IeQwGtVG&#10;sqWpQ0+juXRDE+aJoCE2gSoqEivcd6J9AjtEwGbzWKzg9cv0FhtyW3793gXXyAUwihBZEtH2Wxev&#10;ee8TSvukLXTo1Nt1vVZMjdNMHtENDXelUJMi7aIszOMyIws2rD1Ou/OOl4iZjt6nKS8JRc43d9z5&#10;0otfUUTDgoLCp399nVAUUvyRDXf6DTY83T83vr++KFEMaZPGEWVE1+TuRGaOROatIZpxa2S5zCSu&#10;jGZi6u4hW1YkyVOFArlQUHxNWrJMGoVKIqpg2KLuCyvAcGqiOE0syE4UIzMTAAAAIJ442K2Jkj1h&#10;TtrvIHT1kHjphecffeCBJ4uKlsHYBQAgSrhnaW556ZSVN2Vu/md9dXNfRa58zU1TkbFJW5cJSXgt&#10;Buy+LV+niDmk9peX7oqe1hrwJ7Z9S9ZJzBFxURFDMtiwqijl/jsKkZJIc1umfH66p7nbQLowEytE&#10;M+sXe6IXvQXHiYKekJDE50u4XI3JZMLxQIvVNlz+wW8P/Xxp4cZKeCDk4dbC7Geun7fpy28o7ZOn&#10;0CEKLbQO4HatbdDqP5rvB5n1vo35+bLIgg3f2v5NkFfz8u2vbV1w5HDJxx+dQerhM8/eV7VSnpIW&#10;qqbQeEHjG2zYoZ/RjifG65eI2WwGqzUaFEPP/kwyR5SRXplf0RBpV3KZrVbMgFmIs9Ao3HqRAYlu&#10;lxWaV0ziFJFgilQygZbNdqejvU9zaWAg9AqGUxPF2YniqTIxhBYCAAAA4wBzkn/+0NXDbdteeeAB&#10;GkiHAABECQ3t+vLSKVIRe9N9pZu82rUG/IWddaSE12LAvHOH3/6suWfATPFELi+Uoxmk/ZWlS5A7&#10;M4myQEZaLdPcJRHR+oklUdpyW5eJ4pQykT9sdLpCJBLZbANGY6C0Zb3FtvnAuYOnOsAvheSZG+Z9&#10;0db5ZTs1nk5t1POu3MzHH76hhYG4MbE7UaimNPK4zKn5kVQyaWpkIjXw0cc3BFpGKHKuXMVeuWoe&#10;jTbvSluo0rwNd37fpvdtr9Mo4/J7xGw2o9lsDCFQKzHBVsW/NF/4PYduG+u9msyOKCO9PnfnMrNF&#10;EpH7v3aLyWZxCYgjTGf2xjcmkeYOSxSxmeMmJqIihqErhiAXAgAAABNzewVdQPNSDy9e+GzbtlcC&#10;LUa89PvfF4FTCgAA0cC+E+2pch6S7YZEAZXmd/86F6TIoBp3+Ap8N5amoBlUErG8yFP77PXdF5q7&#10;DclS3qz8RO8NHf7G4wvx+J1FaObND1XR1j9cFitNJus3m4OkLYNfCoU9q28u3LrTt9Bhe//lHC4v&#10;bgod2sxOy2WraQAnqxaGwvyM876N+fkRyql1Zzxhbrl5w6yhp4shFA0KRc6w1t94QWO3U9/SoZ/R&#10;axfG2aCNTsWQBo4oo3u7whMQE49Gk7tDEZ241W7F9JjZjOOjJSMiDqKYxKvFxIUSiZjJykuU8tjs&#10;bIVMwOWNXE+04LZWdV+3Xh/KwiIOa2aqvFAhA7kQAAAAmJgfYugCs6VPr+/BrZb2Syp1b1fwhTWa&#10;btANAQCIBtS447cfnP+ucSAvXZwm53X1Wb5rHqhu7otgVX/ef7FsmsKE2ZDgSHooGy12VwHETt3+&#10;+h6j2Y5ymfdWt6GqiOvmZqBSiTWnL0e23XEApS1rDYYgssKb1aqDpzpfv3cBBB5KuJw9q29e/o8D&#10;vi919nZlpE+N3UKHNrMTG8Apacihq0c3JnYLudQ7fJGQHVmwIUFvj8f0IDcvmMlJTxdjbumLd66p&#10;/NOfZ4TxYSdHsKHRasUwLAoVQwQ4oowR7lBEFksgRLrdmMqICFdkIkE/9WeuiMfP4vNRfCLx3+Jr&#10;0oi/wxZPDCsruVAhK5wiSxNDNV4AAABgIpmMuqHDadVpLxmNmvZLqnd37YBBAABA7OJyQ67vGeFK&#10;6vqMdceN5H+PnOneUJlHczsvH29Uq3GHgs2ouNZV4U5rwN/+rJnmLolIOjW//lFDVP/O0eny4dyW&#10;O/pNEHiIuCEr3W+hQ6vdFnOFDv1qhRGQyB68Pvu0b3vxTHnE6xQIPcOsp8deQguoxtbWWoi/e3Yf&#10;ePKXM1PSQhVE4j7Y0Gi16s3mIObpQ9/dRCiGNHBEGUcoMqLT4XTiFpvFQpyyzLh1VGojBqLeYiYm&#10;1xyKT6y/KiR5RZLr/IDMWIiZbIWMy2ZfNpi4fO6wiqGIwypUyGamyiHAEAAAAIiK+6lJ8jlRUGF/&#10;X6eqoe7osUORraSgoDAlpRAGDQAA8U2LAdtb3ba6IisrTbDtwQVvfqhac9NU5JGy+Z/1qLLh+sU5&#10;qAUZN0f/h0JuywNmsxELuLcQeIgIUuiQz+OzRZJo3nmn3m7S20euFXrGDJvNZbFuTDrHYlDVh0QZ&#10;V5EaeaKiUMjyHG5NOhotYKpyc1PYPnrxHWwYumKYS7fcLmydKbg0IfsJjigTBZ1Bp19JakZRfw4r&#10;5rTb7VbMhFtxu21MlURvPCnP/QGD8eeJPdHKqXwej+m6I+OwmLmKpJwkiSJJlK+QgmgIAAAARAlx&#10;rhsaDB3t7fVHjx4IYngSInet3TB79jI2WwyDBgCAuOftz5orrk2VithZaYJN95Wixr3VbSgfuSJX&#10;jsodag04Mm6OjfvJhAS5QCBks7UmE+bwH7oFgYeIQIUOO/vVmWxOtBU6xPttpgEcM9jDqlfoFzad&#10;znZLzAK259sX0/EcaZ3vkoXTRuRKXFbm0Rw3vfBGxbJn8/L9J9tevOA5vkIPNrxwtj/+gg2dg4Ma&#10;iyVIrVJvJlYxRFj0Bt9GcESZENw2zTQyIJHmVhIHnQ4Uk+gOSxyT7OZh+YYsbuhd5bC1zXfJmcly&#10;KcdzRsqSirIkQzcjma7/irwXviErHb50AAAAYHSJZ92wp/fcC88/OpI1LFm8vKBQmSRPT5RlgmII&#10;ALF2o+nAbDYmg8Gk06EzwkWNO57Y9u0fHpiDggppbsdklKGsYDN+dlsBakT+y6GvVikXdustYb1l&#10;1OGyWClSab/ZbLBYAi0DgYeBCh0Sd9e96p6U1MyJLXSIggptBptVY/f2QY4sE5WRkECMChRa6Hu6&#10;mC07y6RTY1SnKPgjCTakuXXAZ569b9MLbxDzP9uw580dd/pKh++/hw/ruUzBbLT7BhvandzYDTaM&#10;OcXQ1eE2m81CDWrrz5oGjihRAnrygWISr1wvuLKbnXa7w+YKSHQ4HRMlJvrlbO9Q0OKX4T+qy5RQ&#10;tUWSsETGg888BoMHiCdqvqyBTgCAEIln3XD3v7ZF9sa71m7IvKYgJaUQtEIAiF0MVtzgEy3FZTCY&#10;CQloPoHlyRPkMpkMdyObyaRfeRWo6zM+se3be5bmlpdOaesyvbCzDul9d8zPRHYodSqNrzVzENbN&#10;zXh4zXStAb9vy9cTnto8rF8KBB4GKnRI3FSPf6FDm9mJ6224wY5pcJbRMcKgQoSQySROAgIOhzgt&#10;BFommWnMlvqpbKgsVYx8B9atTzr5zZLDh46qVA0/27DnoUd/uHLV0Eg7fMj5yIN/RPNLl6cG8U7x&#10;5sK5ft/GFq0yFoMN7U6nxmzGcDwUxfB6luZ6QXsBryca9tzszxGlJasUflaiFpTdjOa9HwjYLS7/&#10;Ipv7IZMeM7v/WmLu07XrDMTk9yXfehRBgBEMAAAwaYln3TDc3OQNGx5Kz8hXKPIZdA6MDACIS67K&#10;Tr0iGFGuphkJCTykIzCZCQkJSFWcnHGLdX3Gx3edUR4REjOoRcFmIMsUmtuFOch7c0Tc9YtzxHzW&#10;F2d699f3KOXCh9dMJ9qlInZ5obwlHMFxrH7/3H4pbAzTmc2BhIlJHng4gYUOUUSh3eLwFQpHYm/h&#10;enLAYnmnIQdHKfOToZyeJuQLR+HySShyPv3r61pbLhGXK8T0yIMNH3+05MYfzBAKWd99171j+y7P&#10;t/DsfSWzQhINzUZ7Z5eR0mh3cs/qpsXWwEOKockaUh2661mapaLmazj90bP/Fj31W8AFwlp5PvwE&#10;x95tkltMRH+RnpiMhqhbT3TguMsAx53s7HA6x61yIgAAAACM9w9iHH+2JYuXh2KBAnIhAADeOAYH&#10;PTFo7r/eqqKr9hmdjvREAYtFo9ODRCrFDaRoSJAq9oRivPT2We92X+64LhPVQCwvnbK2K0dn9MR+&#10;ag34obruEDddli6p7dSN6acTc7l8NnvYwMONlcXENAkPh2CFDrl8xpWg3RFiMzsHLQ7TAO6wOGxG&#10;h3fqMW1kQiHNSyskprACijPZAxni877t04uTRqt78/Ltu3av3ratBamEhw8dRYnJJHeuqVy3PmmE&#10;wYZ6Z8wEzGI2m9FsDnQwUohCxdD1EQxGX0eUzrw58NsaV7dPPnri0CWEu3giSnmmuQO0He5851gM&#10;VAQAAAAAzw9fHH+2OXMXBdENQS4EACBccKfT5eOJ9MQr1fGQmJjAYnHcMYncUVJSopO6PuNPXv4q&#10;lBqFBvOQ2uPOa/akgIVeErGqKOXpu2dqDTjxlkN13WNXFTGUwMPNB84dPNXx+r0LijNlk2rMByt0&#10;2NuZljE1gnU69Xa7bdCjEmIOms4+6ruNcpC5TGa4WqE3pUknfRvzcqWjEmxIkpLmeP7FrPKFT+15&#10;91uKaPi7lx9ZeYdIKJoUwYYmHLdYLCEqhiu53YtETWKmOQo/iF9HlIupk/Gpw+SEYhtFqoooUBEV&#10;UiRmBp2DdqunXgfKgCaw2u1Wuw36EAAAAMhMEtAa1X5faus3Lxz3HIZ41g0zM+fdtXbDu7t2kC2V&#10;lavT07NTU3MTE/NgLAIAMCqQYiJ5s0gqia4cZwYjzmISg4cZkrxxvLWudWD1jVPLS6kZvgo2IxQR&#10;MFnmuuGSitgPr5m+bkXuzoPNO8cyu3nYwMP6S9rbX/504+3FP68onFQjPEihQ0Nfr0ieHOS9pEQ4&#10;aHdaDfYEzDlodY7FTiJvEzqDISCOu9HQ7vN4vYl8qgEBk0nPnz4mwvGy5fRly+fVHp/X04P39piS&#10;UwRlZTy3h3Ko3XXqm17fxpgINjRarXqz2XUWDYFoVgxpbkcUq4kaVqZLy1bxk2gAcHUhRZbAU3XU&#10;r8USSoVG2LxcvMgARkRU+bcAAAAAo0VmoiDQS+39pvHfH2Z8d/fC8h/Pnr3MYXc90BOJMmD8AQAw&#10;DvgqiUImk8ZkcpkuJkNqM6K2U1e768ze5DLko4JAIuBf9zXsrx/GwWDfifZUOQ8lOyP1cHZB0usf&#10;NYydp8qwgYd6i+3Zd0/XXLz8+r0LJpVZSqBChz16LZcnSGALnXp3Rt6AK50ZM9hpdqdf95LBUd0r&#10;8rDy64M8QkoST/g2Ts0Ss9hjWOe0bCHxh+2eCMLQAtTdlgEN9biI8mBDZJRstVpDUQwTE2xV/Esl&#10;/M6oVQwRmMHPpfylrBL4WQTC/j3iCfzOB/dxJ+MZvUF1GH0Xtrtso0OtyehwOuFLAQAAmLy/SnHw&#10;GcyWPocd4wsUfjOO+Tw5fM0AAEwsrhA2ux3F6SHflZEnUcYE6+ZmkKKh1oBLRS5BhPh7Q0nysLqh&#10;Gnf89oPzh7/pfPzOIrSS8tIpRXnSsU5bRoGHfXo95vC/iUOnO+ds/Oidh6+fJGYpOjN+rl1734xZ&#10;dY26QdOg+wYygW51yd90nNHXTNyj+qnbNRa5dlwGg8FkcphMNoMxpgUBSkUtYi41fI/HZc4oidKo&#10;sYaLA76N5/rKojPY0O506jDMjGGhGCUjxXC+8HsOPQbyNy1aaj1WXCA8lqqEH0FgfPCOZxy62eMF&#10;DFoRQZcBADBZYdKvYbNnovlBp9lmb4Y+CdZdMb33Dqf12NG/Hziwl5gvKChc86MHUpKhggwAANF9&#10;4kK+K1eiEZEUwnMnV8aZZbOCzVi3IhfNt3WZVm+prSpKWbs0JytN8MWZ3hBXUtupa/zL1x9vugn9&#10;d3zSlokvIkUq7TebDRb/lez1FlvVK5+ymfS5uQEfTYWoKor5rOJrJqBmot6Mn7uk9W5B+uBQzzdc&#10;9nmT5+FcwpXIwbHOjkMRhWwGY6yFQgqFslO+jfn5UVra0m+wocUmPW3IibZdDcsoOZduuV3YWsDr&#10;iQnFkMBqsjjs1GNCk5oLv3oAAAAAEG3IZD+U0X7o3WK2nLdgF02mLx2OHugf6s1RTO/9xQufIdGQ&#10;QKVq2P2vbfff/3s2Wzx0f+60fnf64I4dW4n5u9ZuyLymQCZLDRSZCAAAMP64gtocDnQjzabTWW7X&#10;1/jQEFPFPBRgSPDmhyri7/76nmHDDH2Z5SOrIfXwtuszX9hZF2K9xQhI4vMFHI7WYAgUeIjbnf7E&#10;NQ9BXgL8EiWFQctldTyWltLI4zKn5ovDXVVPF+PIEX1TUx/673+sz83LH30TGL/Bhg2a2dF1orPZ&#10;DBhmwvFQFkaK4UzBpdgawBa93rfxVN5COLQBAAAAIPrh82YQU5JspdlyXqP9AMfPQp+QxLZuePTo&#10;VQ6PKlVDT09DZuY8sqWzow6JhgTeBikFBYVz5pZnXlPA5vAEfCmHI/ZWGwEAiANEPF4Snz8Kt7sO&#10;B81fWR/n4KCrYpBzkOZ02O0Om3PQPjjS6j+uwohWK0VD5LPZMZrLXNdnfOaN07mpouZuQ3VzX8Tr&#10;WbEgnZzfcaBJxGetrsiiuW2aS6ZKx043pLmjQadIJANmsxHD4Jga9b5lJiREmxG5mI7nSOt822eV&#10;hp2T3tTI/NmGPcSVCdly/PPCT79cObo7/H2jPsqDDY1Wq9FiCSS+U7iepVkqar6G0x9z45n4NbCa&#10;qLUXjYo0cEQBAAAAgNgCCYga3SGz8TPoDURs64bTpyu9r8gJ2i+pvHXDb0/6/6aJd1HeiLhr7QZK&#10;S3JyJofNFQplYMEMAAo2I18hrO3UTapP7Qp6ChD35KtKYjab3enE3GnIFocjlOpdgfDWEF0KC4sl&#10;ZLOjRFsJnermvpEohgRl6RLSkfn13RdQbvK+r9rvuC6TmDlU1z3WH4GekCAXCHgs1oDROJIvdDKD&#10;AglpTJdOKCDGMJ0ete5As2VnmXSqDJco4ypSeeGu6qUXv/J7pTG6NDZqfBujIdjQOTiIFMMQjZKX&#10;c9TlgrZYVAw9J3+jadBJPT90Zc2Ewx8AAAAAYhGZZDmfB0XwPMS2bjht2hwyTxnB4151I99+qTWs&#10;FXrHJFLYsOGhOXOqYMQAUYKCzViuTM3LEDd16Meuyhtli//85UKpiF2n0vxk+0n4CvyCdD0hx1MJ&#10;we50Wu12zG4ftNlGIiOiXGYjhjESEohN8Njs2A1CDJfH7yxCM8TAI4d6iwHbfEQ1nrshYLN5Mlm/&#10;0RhiouUkHf/uEMJBBoNOp6MoQqb7b6zsfzLTmC097dteOC0x3FXVHqcdPnQUzT/6+IbyhckCIb1k&#10;1igbkn7fqLdg1MTnAXPmxAYbEuc9rcXllBziGW8lt3uRqCnKjZKHxayhPlFzsFinU0E3BAAAAIBY&#10;hcPOgE5AxLZumJ6hrKxc7S0dZmdfdYm2ZEmlSvXKqGxrx46t6Rn54LsSnZSlSwRcVoqMS7b0aDAT&#10;NlRJPTdV5P3SCAOgooG7F+WiVE3iOBgf3TBfIUS16pQFMgWbMXZutnF1hqXTmWy2gM0mb6cxmw2z&#10;2+3EX0ckHUjch5twHElXXAaD73b+jTM3FW+87Zh3HGyc2J2hJyQoRCIOhg2YTJN2SCNlkJhJcEvk&#10;nCuyYMxFwvpFKfOToZyeJowg2LCnx6Mv37mmcuMvk92zQ6Lh++/hH390BgmLxALrNxRHJin6DTas&#10;15ZMVAe6ihheiZIeFmSUXMLvjHXF0HVut9nsONW8RZuW28Pi0wAAAAAAAGL9rjam955B5yxecs+0&#10;aXPaL7kCT2ZMX0DJJp42fVFlZSslJjFivqr5pGol6IbRRVm65Ll7Z5HeCyGSciXbMXa5IhrSak6P&#10;k/eCt/aarxCqJ1m28uiccOl0IYdDRiMS99gmm23QZnPZK0dwi+5wYCbTgMnkSgJls4VcbtTmfkZG&#10;johL2jHvrW6LkgR5MZfLZrGCmKXQkEc2i5UQ2tfqSkh3Oifks7jciq8mwUv+c5mTXIlpjQ9ZMDh5&#10;vN4M8Xnf9unFkdSnEwg9fSsUCygv/XWrZtMLb5D/3bP7ADG99c5Ty5aH9wDg/Jl+v8GGTZbk8e89&#10;o9WKYViIp7JcumU5v10p6IwVo+RhMWu0fr6gvDL41QMAAAAAIB5uY2P9AzDonMzMed41DSmvLl5y&#10;T3ZO0cGP3x15maGjxw5VrdwIgyaqyE0VhSsauu5wLPaY/tRl6RJyvqFdP/470Kg2wtgbOVy3bzIx&#10;I3eLgLjNZrXZMJst3HRml/BE3LFjWJwJiA/fWoiObq0Bf/uzZu+XFGzGrGtkKMS4udswzpIiMkvp&#10;N5kCxVUR3ybXZfosijMlN74pkp7xbZyaJeYLI7lSys31/DAd//xboyFbKHJJw0YDfec7/d6iIcnL&#10;mz4oUa5OSQs1DNmGO79v83PyH+dgw3CLGJYyDDcJLsWcUfKwWPTU30RcIDwlgeQmAAAAAADiAWbc&#10;f0IGnZOfd/1DD8/XaS8ZjZr2Syp1b9fRY4ciW5vDaSVWCOMmemjuNoT7lprTl/fX98RND/RqLOO/&#10;UUhSHnW4DIZLY+K6hLCI4xDjSUBcNzeDtEP5674G7yFHvLRuRa73AwPioP77keYxNVam4MpZFgp5&#10;LJbGZPKr82IOh1qnSxQKySx1IJopElxK5LdTr5CY9OkzIzTDzcu3L1u+5PChoypVw6MPfX3LrS45&#10;j8xNJigoKHzqmdtFQvp7e87v2X2AWOzIEf1/3C0Icf2NFzR2O1Wq6zXmjVuwod3p1JjNGI6H+Jwj&#10;do2ShwUzGH0dUTrz5sBhBQAAAABAfMCcJJ+TQeckJuYlJtJQZGLVyo0Op9VsUttsmNGoseJYb2+7&#10;2WQIntG8ZPFyEA2jjdpO3WOvnvBOoRVwWRsqr0pXr1Npdn/6vQmzNaqN8SF4eX/eXu046YZEx6KZ&#10;ti4TDLwxhYxDTBwctNhsZhy32WxhpbJ6C4gcDkfC5cZWDUTvDGVvoV/BZry0vlRZIKMsX146pShP&#10;+sS2b8dTOqS5DXCYTGagnGXH4KDaYLBwuXKBAEZ1lDMz6WvfxqlZYhY78gPn3p/OQyoh8ZeUCxHL&#10;li95+tfX5eWjBwMz9uw+QPzT1NRHnGhDWXOgYMNv++eOQ1+5ihhiWOgGQSs5XYvEzXFQxDAQFr2f&#10;55cXU6GsDQAAAAAAcQJz0n5yBp0jErlSSBLdNon5bqFp6dL7iL8Gg6vynUbTjfREtDyPy58+43oY&#10;MVFIbaeOkqUo4rPI8n8Ef95/MYiaoGAzFuYrbihJRsFNdSrNjoONvmmPOSJuiwGLko+ckjgBpdYL&#10;M8VopqMXdMNxgp6QILhiq2J3Os04jlutYQUhugREi8VgsXAZDCGPFysuzGSGMsHfjwxlKD+0opAU&#10;DfdWt9XU9xIzy+al31yeTix/z9Lcx3edGeddHTZn2YhhNLs9USyeJP7Xscg8yUUei1qfjsdlzihJ&#10;GslqyxbS3nrnqXvXv0xpv3NN5fObioUiz4GckxN2UHDdKbVvsGGHfkavXTh2veQcHCROQXqzOcRn&#10;GEmD1pttZ5Ts1imJ0jgePE6Hw2qiPr3TpWWr+ElwZAEAAAAAEB8woQt8QXoi+pufB/0Re/QMXBXX&#10;EEg0VLAZy5WplIRHZYHs1YL5j716gpQOc0TcNx5fQCzzSU3nbz84H95945VChEarI3gkFLEz+QrX&#10;LV8oQZHzi+TkPBkGqJQLu/WWIO8NaxO+FOVJYWhN5MmaThdzuTQuN9F9926x2ULPEKQhExWjawQK&#10;OBy+l8VzFEIcNWSG8uu7L5AHDtF+c3k6mn/p7bNkECJxqM7IlmalCYh3KY8IxznkkBZCzrLRbrdo&#10;NAqJBModRiFiOj4t8aRve36+bOQrX7acfvL0r48c0Tc19XVeupx+zZTyhde4/U+GpLfa2vBixs1G&#10;e2eXn0Fep1GOURfZnU6txWKxWkM84eQ59Uvwk+m2VhYNl8hT43v8mHV+gg0vZZXAkQUAAAAAQPzc&#10;ikIXAPFHKEUPq4pS7r+jMJCnyoYV+bXbPXeS5YVytNjN5ekU3TBHxBVymL46BdF+x3WZFdemeq9f&#10;a8Cr/9399mfNFM2O2JNbyjK8Uy8/qel851gLJbwRSZACLis3VZSVNpTLtum+0k1ei+040PTG8Vbf&#10;DxvKJnw/Re4UIbKeyMsQk59lQpxYABJ6QgJpymzCcTOOhyUgmqxWYtK5CyBKebwozF8m0/BrTl/2&#10;9j0vL/IUbnt99wVKidJj33Sj6gRCzpAwp5QLl81Oq6nvHR/XlGFzlnu0WrlQSLppA1HCbNlZJp16&#10;JkyUcafmiyNbYVMjc/++ToMRQxJhSprDXbWQmLL8Lv/xR54g2bw8eSjrv3DOT4nAVm3pWAQbus4w&#10;xBkj5JTk6x2dC/CTcnsX+i+DyeAIePE9fjCfJGUHi3UsVQlHFgAAAAAAcUOc64aoiKFG001zZR8P&#10;aLR9ycmZHLZLB5HJUjkcMZsthkEwOaGIhnUqTafaTEYzKQtkSrkncGl2ATXbCMmC84vkSL9r6zI9&#10;9bdTpAa3bm7Gw2um+26R2NzqiqymTr235PFft88gN0pCtFynVNy35Wu0zkA13fxCZhOHtQkKvjrj&#10;VXeSmA3GT5RAZjGHKyCSBRCFTCaXy40qMetQXXdKIl/IZ2492ODdnib3CBC+DwZ8hz1x/P7hgTnE&#10;QVdxberS5z8fnz0fNme5z2i02GwKoRCGbpSQzDRmS0/7OZFOS4xshYcPOe9d/wKa37Gd9vHhZ0pm&#10;Bcvq7elikKUPly4lhvEwkeDaftw32NDu5J7SzBzFbgnXJZngzkxd4fmPBINXHZtcUZwPdRtmtePU&#10;H8S+rBlwZAEAAABAjPL2//xzWmHBtQvmQVd4E5+6IY7re3oaLl78NrjPCc1tdVKsvDY9fTqfJ4fR&#10;MDnZW92276t2JJ81dehJya9kqtQ3kBBFMHkXTyRwJUgWylvcgVEblxZQXqXepsqGgi+IhX0VPYRU&#10;xP7Vj4p/4o55XK5MDVE0JDj4daf3f0PcBImCzfjVqmIySxSIFSIWEI12u9Fo1JhMfC43SuxT1Lhj&#10;8xGVb3tXnyedM1nKo3mFEBJHJRqxWgOOQguJYfzsOiV6MPD+p+3jufNkznKf0X+6tMlqddjtUyQS&#10;KHcYDcxJ8pOhPEXBV6RGEiXX08W4d/1L3i373mstmRXsF8Fo8gyDRx/fkJI2fPmIc3Vq38YWrVLv&#10;HJ3KA5jDYbBYQj+B5AgcPyy2rKroatp1+vIgVdDnSeP80axF7yf6XpUFTsoAAAAAEKs8/9xvWltb&#10;Xnr5D7988hfQGyTxphsaDB1n6j5/d9eOEJc/euwQMdHcAuKcuYvSM5TgmDxJ2PzP+hQZt6ahzzvg&#10;7lBdt2+ooLeI9renrvNdldaAE+uhuSMNvUXDT2o6j5+9TMysWJBOrmTu9CSaO4+YsvDe6rbvmgeE&#10;XCYZCKkskFUVpeyv7yErGPqlTqU5eaHfhNmMFvuZdq33xwl9E2iBEAMbQ0kDByaKqwTEkBMMHYOD&#10;Brd9CvFeEZeL3JyjjZr6XjSeiQHc3GtEsn5ZuuTxO4vQAjsPehxUfrWqmIwF3neiffx3FeUsq3U6&#10;v+IL5nB0QrnDKCCP15ssbPJtV5YqIlvhzv/x5Oc++vgG4u9rW3bs2L7rgQd+nZLmqD1OO/OdprtH&#10;LxJylbMU7hKH7n3It+/Z93RPD750Gde76KFf1N2WAQ01Qtzu5J7VTRt5b6AAQ79Z9n65McVWMct4&#10;y6JL6L/9F6nVAFg8DjMqzySjiEVPfTxgkSadkmTAwQUAAAAA0YNOpy8tLW1tbTlcfWzpkpuCLPnv&#10;r78hFiNmnn7qiUU33gBRhyTxoxviuP7ENx+FrhhSQAJiQUFhVdU9oB5OBqqb+3wbkW1I6CDN7siZ&#10;7hYDliPiemuOe6vbyJipFBmX1A2RKqdgM9atyEUtWgP+xLZvydjG5l4jqU7eUpaxv76HWH+qnCfm&#10;e27AivKkZIY1sQOUgEGSsDaB5r3NapHmcr5V29ThiqeguMcA0Q8SEJPcJiqhywEmHCcmNp0u5vOj&#10;zXy5tlO340DThso8YigSA5gY/JmpAnJYEsP1UJ2rJMV9C7PJwy0rTbDtwQUdvaaGdn1d68D4FDpE&#10;cBmMdJlsQK/3638N5Q6jgZLEE76NU7PEfGEkl0Y9XYzXtriuQB59fMPGX7pqcV68sOTwoaPbtrmu&#10;Pnds3+W98BVLZZdQWLaQ+MMeVjQkaLg44Nt4rq9sJMGG4XqeEKwpxCrmaufMvEy2dH+tdlipZxie&#10;WBTf4wczGAed1E7rySqGIwsAAAAAooqvvzmJ1MCDH38cXDf0Fgo/+/wL0A1J4kQ3bG//5uWXfzny&#10;9ahUDcR6KitXL7x+FWQuTwbK0iXIhCElkZ8m54WYn9vWZdp1pOV4o9rb4WRpyZBrZM3py34TLdF7&#10;ib8L8xWk3vHXfQ3eCdHEPPF2tCfKApmCzWgxYN5+LN71Ez8/3RNoJ8PaBPFBvM1qaW7rCW9LitkF&#10;SZC8HIuQJipIHcAJQihYRizTZzQyEhJ4HE5Ueae8cbxVxGehqENvjbtOpfndv84Rw7giV44MUkiy&#10;0gTIapl2tZo/Pp0vl0hoJpMR829ARHQyZrfLBQIYqONPqahFzO2lXhIx6dNnJkW2QtIWuXyhx8Dn&#10;xh/MOHzoKEUxROzZfSA1LQnJiyHyfaPeN9jQYpOeNuREtsNGqxXDML+6tl9QSvKy69RpKdSQ845/&#10;U3sygZ7AFcb5wLbo/YTen8iEGwwAAAAAiC5UqkY08+GBD17d8sfgCz/62H++9uqfiJlGVQN03dBF&#10;cqx/AIfTevHCZ9u2vTKK6zxwYO+FC3UbNvxKJIJkk7ilIlf+s9sKvI2JKfS479CQizGJ1oD/dV8D&#10;xcsVsXjekG74+kcBzzIdvS7dMC99qOpTc++Qopcj4pYXyr0VunyFUB04SKpHE9AQOdxNLJsXUDSk&#10;uT2Uybc0qo0wfmLvXE+nu/QpgSD0/GXH4KDR7Z0i4HBEHE6UJC9vPqKqqe8tL0pGNildfRbSa4gY&#10;2xt/7MlZbusyoWNNJGCRCuPqiixkr0wc/s2XjcH9xEcLotu5TKbGZPIbz+WSFO32RLEYyh2OJ2I6&#10;Xig75ds+NUvMYo9UJb/zjpf+/JdfrFzFFgqHDpmCgsK7711WMkt05jvD228dVqkaXtuyY91//DqU&#10;moaeE2+jxrexQTM73N2LIMCQkpJMwWa0D6ioP1IcAZ8e12n4TofDarJQGnVp2T0sPhxfAAAAABBV&#10;zJ3juV5qbW3R6fQSSbD6y3n5BdBjfu4lY3rvHU7rsaN/H9b8JAKIa/odO3730589D1GHccmw7iU0&#10;f67BlGxfbxRsBilB1py+PKweQTrDEuQmC5Ml3NxU0dzpSZTagm1dpuCZlUGsjcPdBBlsSHxMimhI&#10;u9qv1jvKEog5yPzl0P1STVYrMQmZTB6Ph4onTizEiPU9LlyWPj8qRjG2dSrN0++cJgcq0spnFyQ1&#10;tOuJN6LDnxjngfzERx1U7nBAr/fb20a73a7TSUUiKHc4bsyUXOSxtJRGHpc5oyQp4nUqS/h3rqnc&#10;s/sAMf/Ig3/8+KMl5EteWcnOklkCofCHjzzoerZUW2tZuSqkA+r7Rr0FowYG6rHksIINww0wlLEG&#10;l+ZYV97QV5A7EGSx9i+6fRt54jh3RDHr/AQbXsoqgYMLAAAAAKINkWioFtnRTz+7o+q2IAs3Naqg&#10;x3yJbd3w4oXPQnFMLihUikSJMpknHEyjcV3jtl9SBS+GqFI1bH/zNw89vAVqHcYZFLeQOpWmU232&#10;reLnK0zUN2n9ioa0qwsjnlL1B9k66QlL8vTdM/0uWXP68t+PNPu2e9ukhBj6N+wmckRc748JgyTu&#10;oSckiLlcYgo9/NDlvGww6NylD6OwKt/di3JJTfzP+y96q9stBqzlZMdOH8dzg9U2brvHZTBSpNJA&#10;5Q4xh0Ot0ylEIm68+0hEA8lMY460zrd9RtGIHhPm5duf31ScX5C66YU3iP8ePnSUfIksZYjIzeOG&#10;tWYb7jx/wc/PypmB+aG8PYIAQzrTWZCKvbm+QyQcXljvPnmZ0sJgMjgCXnyPIswnSdnBYh1LVcLx&#10;BQAAAADRRtGM6RUVy6qrDxPz//3XbUtuWhQk5PB8fT30mC8xrBsODDQFT09+4IEnMzOLfHONUUtm&#10;5rzrrlulVjc2NZ0JJCCqVA3fnT44Z04VDJTYApUsDMRt12eimbYu0ws767ylQLKKH6pCOFqkJA4l&#10;LvUMmGlXp/1S0Brw9z9tR14rfhcIMfQv4k0U5UlhCE0eUPihLGRlAZU+1JvNUaUeej8MeOnts4H0&#10;/aqiFHKxzf+sH+fIWVTucNBoNFmtvq+6nFL0enBKGQeUsjomnXrqS5Rx07NGWo9PKHLe/5CsbOEz&#10;f97ytbdu+Ne/dN//YCopHZqMzrBW23hBY7dT3zJgzmyyBCuP6HR7IoUVYEgwyLdhUquDh5+k0Y5e&#10;EFTNG0Y3NPdipl7qMhxhnOfq2jCrHac+dejLmgEHFwAAAABEJwuuvRbphsTfP/zxT0/84j/9Sodv&#10;/88/0WIEpbPnQL+RxLBu+Pln+wO9FKKxCYPOSUkuJqYS5Y1Hq989euyQ7zI7dmzNzp6ZmJgHYyVu&#10;8K5pGEhfON/qibnzDu7TmwNGJ3nH/d12fSYlz7cwa+ishCoS+uYXt3WZjn3T3dxt8Gv07Jfg4mZY&#10;m/AWEKUidkWuPPTdAOLhl+BK9UOj1ao3m4dNXkbqocZk4nO5Mh5vwmvzkYU+91a3+S0/SnPXKvUO&#10;vM1NFaXIuMThMJ4mywQKoZDHYhG95/dVcEoZa/J4vRni877thdMSR2sTJbOcb70z7/33Sra+9r8q&#10;d0Xt17bs+OTjwoce/SHKSm5q8py63YGHwxxrNtz5fZvet/10/9xAb8EcDoPFguF46AGGCeyEBIFF&#10;I7IyWENi+p/O8cryuMmyYNJhyxE/RQ/5sjh/+GTR+/lGVFlwdwEAAAAAUcpPf/qTf/5jJ3JVfvGF&#10;/7p48eKP7lpLCTx8+3/+ec/6/zd0U3/rLdBvQ3eLMbrfPb3n/Mp8NHeYYVHRsrDWJhJlVK3cWFCo&#10;9BvA+Pln+4lXYazEKHUqai35ti4Tkg6JvxuXFnj7q2Yke27XUdoyQYpsKKGMbPRFjTu8V7tlbcnf&#10;jzQjUVIpF3qXFPzukmt/DtV1k57IBM+8cTp0nY6MIkS2D4EIdxN7q9vIUKyNPy4yvfWdt54CQYiT&#10;BGS+jNlsBgwbNnnZMThosFjMGDbh6iExtk2vnshNFfmW5kQQh+Fz987ybiFtl4OYHY1dJzOZTLVO&#10;F8gpZdDpTBIKwSllLCiSnvFtTE8TKlJHIa+2p4tB+pysXMUuK1u983+6XtviSmhQqRoeebDh44+W&#10;3HJrydtvuZ5jFxQUlswaPvCw7pTaN9iwQz+jHacKnXan04zjIRYtHSKJLU7jClI4XR3fM66OwO2x&#10;0zZ/KvvDHd1B3t13gfoLy2SzmPGebm/RU3V/izTplASc9AAAAAAgSsm8JmPzH7esWlmJ/vve3t3E&#10;RMysWr1G7C7K/H+fHkOqIuLXz/6WeAv0Gwk9Rvf7q5pP/LY/9vhz4YqGQ7cTRcue/c1rvu1Hjx3q&#10;6T0HYyVGMZioYXe7jgydEVZXZO19vOy+hdll6ZJ1czPIUMTmbkO4G/rwy3Zyvrx0yt+euu7E5oq/&#10;/XQuMeO9GEqNJP7urW4jG9fcNNXbuJmY37i0gNgf360o2EPOCb6lEikbCmsT+75q1xo8OpFUxH71&#10;sflb1pZU5MrRRsmyj8BkgMtiKUSiDJlMEELOLFIPOzWafrPZGXJ806hT26kLJBoSA/iRqmmBxjDR&#10;/vTdM5Vy4bj2MIORKpUGMkIx4fhlnW4COzNeKRW1JPLbKY1MJn16ceR2KD1djL9u1dx0/fsZyS/N&#10;LX2RmHn/PdxocF1cpaQ5Nv4y+ePDzyxb7vFIOXzo6CMP/hEFIa5e84NhV2422ju7/ISm1mmuqqNn&#10;tFrVBkOHRjNgMoUoGrIYCZwMrrw8KXW2RJDiOsyTFSm+ix0YYOz/JmDn9J/TWHXUX1i+TBLfowgz&#10;GAed1GOzJ6sYji8AAAAAiGbuqLrtvfcPZGdf5Sn33t7dO97aTkzeoiGxzBO/+E/osasumGNxpwcG&#10;mvwGG27Y8FB+3vUjWXNKcvEDDzzpG3X4Vc0nVSvhojBOcAUWvT1kFZKVJiAjj7w1iHBXu/NkR0oi&#10;n2LTTDEv9g5+fPuz5oprU5GWQSz2asF8rQGvb9JmJAuGrJkb+iglCL0NWFCpxCCEtQni7xPbvv3D&#10;A3NIeaW8dAoxbYIRM2l/Huh0hVCYJBBo3EGFwXMevWMPk/jRVd3soRWF6Ej0tkRXsBkL8xW3lGUQ&#10;LxHtQg5j/Lt3ikTSbzT6jevEHI5OjUYhkYDJ8mghpuOFslO+7VOzxHxhhNdCtcdpv356L9IBESiu&#10;0MtA2U/aMqJqpZw4boKvv+602rexVVvaaxfSIspHdnElwJDSzOBwM6RJHVqqAUuQbOX2Wj9Rulxh&#10;nGfZY0Y/kf4nMufBIQYAAAAAUc4dVbfNmzt7+/a/vfjCfwVaZtXqNc8999sgximT9MYwFne6u9uP&#10;yWxBQeGs0hUjX3lR0bLKylaKTfPRY4euK785JRmkw9jDr7sxRTqkUHN6yB1ydsFQqIXRMkx1+c1H&#10;VD0DZm9TZgrewY9q3PHEtm8fqZpGaovEu7ydTLQG3Ne3xNvyhazpFohwN1HXZySWf3ad0rsEJDDJ&#10;oSckJPH5Mh5P4/JNsQaPZkLqIbFY9LimbFxacHN5Opr/674GsqQpcXQQ5wFiyhFxDVYb6ZGCwnLH&#10;p+gh0bcKkSjBZDJimN/OBJPlUWSm5CKPRTWL53GZ+dNlka3w8CHnvetf9vvSnt0HFt6Qh6oZIoj5&#10;pctW7XynH7kt//kvvyAzmgOewLstl9XUh0N2J/fr/qJ+s3nYg5FCAofOSeUK03ksfsBEE16iXGA2&#10;mvCrfHuCZCv3XaD2J0fAo8e10u10ODADVTfUpWX3sPhwiAEAAABA9JN5TcYLzz/3xC/+8+innzUS&#10;eD3TTUtLm1U6+46q26CXfIk93dDhtB49esC3varqHgZ9dG5Tr7vuhxTdkOYqZH4GdMNYwTvLOJC4&#10;tr++58zz2vWLc0hNgeSLM73kvLcXypl27bCb3nmy41Bd96xrZGRhRN8gRJK6PuNPtp+sKkpZuzTH&#10;W6rTGvDqf3fv+6rd9y3e1sy9OmzY/Ql3E8Tyq7fUEsvfUJIcyI4ZmIQg9ZDG54dinBI9nsveBso7&#10;DjT5LWKIpPOydMmyeenk2QB5ju870T4OnstygYDLZPp1SgGT5dEimWnMkdb5tufny1jsSAq2eIuG&#10;BQUuz5OyMp5QNHjkMPbIg38kGj/+6MzKVVfFoCG35YplzzY348uWD7/RhosDvo1nu6Zd6DeFt68B&#10;Agz9d5QipaWzjdJ4YIBR/k1S1byrHsJd+r9uJ049D/DEovgeSH6DDXvTCuAQAwAAAIBopv1Sh3e9&#10;QolEDPpgWMSebqhWN3pn+pBX7ZmjlyQiEmVUVq6mSIfv7toxf96tbDYErMYAtZ2613dfmF2Q1NCu&#10;D2IG0mLAfvvB+XeOtSwtSV08LxXJahQ/1q0HG5AdSo8G843+8z9EcYf3RsvSJaRyESj4kZiUciHK&#10;lDRaHYFcnmlXWzMHWWwkmyCXp+2i5Yi4KWKOMjvR20QCBthkBhmnhK4eGi0WqUAw4RFzxHH9xvHW&#10;QK9WFaVQoo+lIjYx5udOT3r6ndPjIB26nFLodLXB4DfhlOhGq8MRbdnfscWcpJNMOvUEnijjTs2P&#10;5De9qZF57/oX0Pydayqf/OVMd/Cga5ysXMU+/kXlnt0HDh86ajQsQKnK3uTl2/PyhxcNO9tMAz4P&#10;vYyY+P96Qy7RLWAK0rj8dB4znIMv9Gzl77+5TFkmgZ7AFQnjeyCZNdRIZAeL9UnmAjjEAAAAACBq&#10;0en0i268MS8v//kXXrh2AZQWiYTY0w37+zp9G1fcctfobmXatDm+IYcDmnYIOYwVdp7sCGSSQKHF&#10;gL1xvBVpCjkiLkUcVOOOENcTCO/M4iCZziGKgGTG8Sc1neHuSeg6o3fnEFNtp27lTZko+bq+SQuj&#10;CwhdPcQcjh69XshkCoXC8S/VhyoSCHnMIEdxWbqEFA2Jwwo9J7jt+sysNAFxuC1Xpo7wDBAiLi8a&#10;iWRAr/fbnwaLxel0KoRCGHsRkMfrTRY2+bYXTkuMYG1GA/1nG/ag+St1DK9SlhfekLfHZdBHa26m&#10;lcyKcJ/P1/t54nWiY4bOMYwKyGIk0OTsxKl8ujjCC7xQspVtRru5jfqDwhHEubRtt9nsONUHRpuW&#10;C4cYAAAAAEQz+w981NraQkwziopAN4yM2PNT9puknJSYOrpbkSuyfRs7OxphxMQ3IUYUhsWNpUMm&#10;laFkOgcHOatoDfi+4+3j2TPvf9qOtrv38+9hnAAIIYeTJpPJhUI2fZifEqPd3qPVqo1GezgV2Ubn&#10;QqG+J7jw9/idRWjmk5rO335wHj1yeOAvX6PQWu/jd6zhMhgpQUyWrdY+MFmOiJLEE76N6WlCRSov&#10;grXtfKefTHpYv6HYN6KQJHlKQmQ73Hhea8GoD5kGjIrPB4Je6iSxhdNF8pvkcqU4YtEQMSVJ4dvo&#10;7a1c96GfHwKBTBrfA8mi1fs2ns8rg0MMAAAAAKIZ45VyQOfr66E3IiPG4g3Nlj7fJGUCFos7uhvi&#10;8+S+jf39vTBigLAoS5eQEYJ1Ks3IdcmfbD+plAu79ZZxyJ305o3jrUfOdI+FrgrEOqHHHpqsVgzH&#10;+VyujMejJyREw85X5MrJup8zsqVVRSmoTAFxfNU3actLp0iE7PHcH6JbXCbLJhPRV34ueux2u05H&#10;LBAlvRcTlIpaxFzqbzeTSZ9enBTppedQrYbHH37vxZdWli28aoHmJtfTnYKCwmGdT/xiw52N7jVQ&#10;+L/2Iv9vcOcj86ZwghiehH1pyBOkiKU9euqDLpStnCgw99VRE5kZTAaLG+dVODEDNcQSFwhPSTLg&#10;KAMAAACAmKC6+jB0QoQ3KbG1u33q1gncum/mMgAEQcFmbFiRT/7349rRyXas6zOOs2iIANEQCAKK&#10;PUwUCBhBJS1kuNyj1Rr96WLjD+lfRJCVJnj67plHfnPjfQuz183NQL5AHb2mcd4ll8myUCgIYISC&#10;ORyXdTriLwy5UBDT8WJ5rW/71CwxXxjhc9OqO9KXLV+C5lWqhjvveOk3v25rahxa2ycf1xB/b76l&#10;PLL1N17Q2O1U/b1Hm1ZnvMr32eWPnMFNXiBLLZOJp/JGUTRECGQKjk9lRJStfPHrXpqBGg7JEcZ5&#10;krINszrs1OPucmYRHGUAAAAAEO33KV6lfo4c/RQ6JAJiLN5QrfavvBytfnfO3EUymSuFhy9QjJax&#10;sp+bXqd17FYOxC4KNuNXq4ozkgUfftle09DXYsCUcuEjVdPIYMO2LpNfL1cAiCfEXK6Qw9FYLGYM&#10;cwTOqEWWKRiGCfn8ibVMEXA9W99b3Ta/yBV7iBxRyAX8ehmNxylFKOSxWH5NljGHQ63TKSSS8a8X&#10;GXPMlp31tUPhcZn502URrzMv3/7a1gVHDpcg32SCHdt37dhOe+bZ+9atT6o740RZEbl5kWzCbLQ3&#10;NfspZ1F9yaNPofKFvCmcEP2RI4bOoKcpklu7qRddBwYYmd3CQp/l+fGepGzS+PlezmbNhaMMAAAA&#10;AKKcaYUF5PyyisXZ2Tk/uGlx8LekpaXl5uXf9IMbvV2YJzMxphsGyhQ+euwQMfm2FxQUzpnreeYv&#10;k8pFIk8RdKQwEnA4Yr8WyTiu939Nb1KLRDB0ACrLlakoOunhNdMf9rfAlj1QTAGYFNATEpL4fBmP&#10;FyjZlsRotxv1egGHkyQQTFTirQnzuBzs+6p98xFVRa58Vm5ixbWpyAVIa8AP1bmMIBRsxt2LctPk&#10;vK4+y3fNA0Fc2kcRoTvkUGMy+SqwRItLOhSJJtyoOprJZA9kS0/7ts8okrPYI4rOE4qcK1exy8p+&#10;vW1by47tu1Djphfe2PQCjQxFzM3j0mhhV/O8cM6PTq3qzW+yCF3lC6dweMlc5nh954Gylf/FynuS&#10;08SzmoeWZLOY8T4UrSYzpcUiTVLxk+BAAwAAAIDYwuWR8lZLKEtmZ+ecPn1aIhFDp8WYbhhuprBK&#10;1eC3HqJfKitX8wUu61t1b5dfFRIAAtHcbQjy6ktvn63t1EEvAZMHlGwr4/M1JpMJx4MsiYoeSvh8&#10;MZc7/vt5qK573YpcqYj9qx8V/2T7yermPmLafERVli7JTRURr6pxh4LNeGl9KRk7vLoia8Xpy797&#10;79w4lAsQcjhMJlOt0/mVDnv0erlQKORACLx/SpNO+jYmyrjpWYJRWX9KmuP5F7PuWPXMOzvO7dnt&#10;cWw7fOgomskN32VX3W3p7PKpoOfgnBIoFYuSmBOhy7mylc0mq/0qE2E1nfVF5rxljZ+TLVyxKL7H&#10;EmYwDjqpx+ClPAg2BAAAAIB4prW1paOzE3RDWszVNywoKBy7lR84sPfdXTuICURDIFxqO3UvvX0W&#10;GbB6Q7Q89uoJyFAGJidMOl0hEqWIxUJmsGdUjsHBAZOpR6vFbLZx3kM17th5sJmYURbItqwtqciV&#10;k0f0zpMdSBlcrkwlRUNEeemUl9aXKtjjkSbMZTAUEkkgx+o+ozFKKkVGG0WCS4l8P6bzxUrF6G6o&#10;ZJbzT3+e8dY7T1GuT25b8d7hQ+HFGzZcHPBtvMQv1qZPjGhIu5Kt7Nv+kSClZcqQMsoVCeJ7OFn0&#10;fh4Nnk6dCQcaAAAAAEQ/J789FdkbH33sP4tmTIcOpMVcvOGSJZUq1SsTuAMMJhcGDeCX/fU9Z9q1&#10;5YXyvAyxmM/Sm23fNQ4cb1RPiIcJAEQPXBaLK5FwhzNcxhyOnolIW955siMlkb+6Iqu8dAoxbTTg&#10;92352q8L0Ou7LzR3G567d5ZUxFYWyJYrU4n3jkcHMhgpUmkgO5Q+o9HqcCTx+TDSSMR0fGbS177t&#10;U7PE0qQxMchetpxeXr7qyGGMLHqoUjXcu/7lO9dUPvCwMi/fPuwaOttMAxrqqHMksL/mTLA4FShb&#10;eVdyyaNGtcis5wh48Z2k7HQ4rCYLpbE/a1oPCw46AAAAAIgxXv/LG7fdekuQqoX15y8YDK78D5FI&#10;CKLh0AVhbO1ufv51BQWFoacejzp8nhwGDRCIFgPWcrKDdhJ6AgCoCDkcPps9rGUKSluWCQTjmX67&#10;+Yiqpr539Y1Ty0untHebAlmH92iw2k7dc2999+pj84n/zi5IGh/dkObO+54ikQSSDg0Wi9PpVHhZ&#10;xU1yZkou8lhUnYvJpE+fOYbV6Miih/vf79v0whuocc/uA9+dvrhr9+qUtGEeIJ2v91M0s557nT6B&#10;PeH9KZInGzCLCb8qsrWHwarOvHblxSMcYZwHG2JGP6bq3WnT4EADAAAAgJjjoQd+HnwB0Ar934zE&#10;1u6y2eL77//9XWs3wDcHAAAQY783bsuUVKlUwA4mhTgGB/uMxj6dzu50jtu+1XbqHt91Zv7G6p9s&#10;pwr/Z773KFCzchPRkjWnLxMzerNtnHtvikQiCCCnmqxWtT/z5UlIMtNYkHjCtz0/TzZCO5RQSElz&#10;3P+Q7OPDz2z46VrUolI1tLQMIxo2ntdaMGpMIkYX17ILo6VXFSm+jZ9yZRfTpnPjXTc0a6jliR0s&#10;1rFUJRxrAAAAABBz/Pvrb6ATIoAZc3vMZosXlv94/rxbjcbLRqOGaFGrOyyYOdg1n8kQrqGKXyor&#10;V8OIAQAAGNGvjrvoochmGzAag6Qtu9yWNRoRjzchGbg5Iq7BakNFBur6jFoDLhWxC7M8RZH/fqT5&#10;lKofWS2PJ8hthuZWCX1fRY0QdXitota3USRk58+Qjts+lMxylsxyWaYcOdT9ycc1OTkMGi2gdGjD&#10;nY1NGt/2b3k3RE+vMjjcDGlSh5Zq97x1irIYq5c7zfE6nOw2mx2nPiHQpuXSAAAAAACIEVL/P3vn&#10;AhdVmf//Ye5XZgZmgAEEuXtBFE1MMLcsTbNyXfOn1s9Sc7v9Nv+/bbda281W2zK1zX65a7aW2pap&#10;mVlbdtFNXQPNuyJIgIAg9xlgmPud/zM8+HA458w4wMwwwPN+zYvX4Vyf85zLzPmc7/f7UalwJ/T3&#10;CW6QtpvLDY+IAB/3cELC5FvOP2vWU2jYZNY4HV1paG1tXQ9+NTfK4MCeT3Z4WsmoUZPwGYPBYDD9&#10;h8/hxMrlLSaT97Rlvdlst9lkEgmfxQpa25Il/G2/nQIGfr/1fKHGHcRXfE2blx2F3FHASDh+QPAu&#10;HTodjiipNJgFIkOKVEETvR3KuAGoMdKpHkY//4dfeRENAeUlbQ4HWUDXsuKusGNDqm8FEQqRyUDK&#10;VgZ8yk1+xlI0VM8os1ZHHXk1NRffwzEYDAaDGSzExXbrhqNHZeAO6QPsYbjPxBqFEklXRUwkPk7L&#10;ewT8dbqsJqOaQRAWuTxBTHQmPmMwGAzGX0QKhVI+v81oNNpsnuZx+6VotWI+P0IoDI4cFhPOk0nc&#10;mdSr5o9a/eFFtc0ZH93rTEwllzU7S/WL7JisdHl1vfFqlfZSeau/rNWVYrGAw9HQJSaD7mpubx+2&#10;0uFtyh/pfiyKlSpBaDbYZHBcq9BSx58X3B6CrY1WxlTWVZNGHmUKRvMS7rLWDMkzyqInX2U2kfiC&#10;NB7fvTEYDAaDGSzcPmXy//vf5/R6/R3TfyGVhuMO6QNs3AW0sJg8KCkiYRGDwWAw/v8S8jFt2WKx&#10;2WwRYjE/8M6tsIIhDDA89NoMNL663ujjGrIU4jefmQTFR0BirAh85uTFpR4J33S4zC+NhL4xWDok&#10;kicvpLdDyYwM2TYXXlRTRzZwMspZodhmT9nKf2dFp7O0cU7dEDuj7Bar00GOFW1OGIvv2xgMBoPB&#10;DC7e3vxX3An9emTDXYDBYDCYgYXP4cTIZG1ms95s9jSPzeVq1OmCE3j4+mdF60XZKDEZoNXbNn9a&#10;7MuySi6LKBoSWTgzsbHV5C8XZiwdEolmG5JlhdTxIxPDheIQ/amjbjA3q8mVAZ1h3LP8iSHbz4II&#10;RbjFpLOQr9MPuCP/YC7iMlxD6aQyttGEgl5JvA3fsTEYDAaDGRS0t+ue+93v0b9p6RlisVilUqHM&#10;ZYlEjA2UfQHrhhgMBoMZeKDbsojHMwAcDk+zBSfwUG1zrv7w4uws1cR0d9hXvcZ84FRNpd7iy7Jg&#10;KSgaavW2dw+U5perJ4yQL5oxEqqQD96R4C/dkNEpHbKZTLVeT60ROdykw0mR59hM8gES8Nljxodu&#10;sGHRFQ115HXuuHqmJJS7WqFUmeqqHa4egXiFYbwjvJFzrZVD6aSyGsmqrkEkK+7gcRgYDAbTXyZk&#10;ZkZHRZ84WWC20Py6SEtKTk5K+v7oD7ijIHk5U15Y/dI/d+448K8vcW9gfOfd97bv+GB735Zd8fiv&#10;Fy1ePOueGbgbGVg3xGCyFOKXl2ZJJZyPvqmgPs8nS/gx4bxGndVHycBfwOJol69rB9B+AYMJPnwW&#10;iy+Vci2WdpPJk19KcAIP1TYnuCH0QeN78I4EOPD50RpY0PBIhVsegrphYqzIzz3G4SilUnV7O610&#10;WNfWBqYG01VmQEgVNEWLr9E8lWVHhWybr5fr9AZyWU8LM/w0b1yI9zbLbWoUWdPSTBq/kxU5mtWW&#10;7GwbGieVRW/ocJGvqRJFyvWmOh6boxSHcyVSFgdLiBiMHxDw+ROzxt81Y0ZyckrG6NGn8vOra6rL&#10;Sks9aWpEImTyyRPdMdq0EhtY88rlK/Q63b4Dn91yVcFkwYPznnv+BTCw7pU11Jbn5UzZ+Ne34DCW&#10;DuFxfGH1SwqFYvSYMQysG2J6w52/mN7nZXd8sP1GTQ3WDSFYN8QMd1bNHwWf5Jfel0LSCHLjpH9+&#10;fAIMHVq87segSYdKLmv9Y+4cycKytpXbz+FjhBluhPP5Qi5Xq9d7Dzx02O1Btlr2BaQMGi12NBIN&#10;+14k0XdAD3iSDsEYMH7IS4e0dihRSmHI2qHYba7ychp9rYyXrQvjhn6H86RyudnUZiK/1nqTl7TB&#10;YpK4rEPgpLIYaC7V78PdbwWsDru7yKO2RS4USyVSjkiMb9oYTJ9JS0pevfqljNHdeYJTp02bypgG&#10;BjQazcb1rxecOe1l8Tc3boLLnr1woVVLvq9Oz81b/LDb8bKhoSF0BLgImRyKhoDJOTnUhonFYi9T&#10;hyEZqakKhQL3A6YP3D5l8p9efqW+vv7Y0R+qqnqdFXHkyPfFV0twIjMD64YYDCphRq1Hdu/kODQy&#10;JpwXNN1wdpYKtopYXo0EDEhMjQ+/VqvzEhI1f2zMw7OSzxRrdh2vUNuc+HBjBs2XE5OpkEoFNlur&#10;weAp8BBaLUsEgkihMAR3QcTvjkVKUXVlnoKLMRDbGs7SoSc7lKxsZci2ubykzWwha+JaVtxJbsZg&#10;6fYIpUp/o5KUrdzMYH3OTXrM8vNgP6lcTqdFT9YNm2SqRlaP3wltJgP44PBDDKbvN3BCYB0VhUIB&#10;pv7P009eKiqinSEtKRmKhhqNhioaMjp1txDcaxgg6W2Gm80+e+ZMUG/sMnmkXF7ee22lzwv6SHRU&#10;NByovXEDXzWY3vLquj8T//3p9Fk4UFffAIDDFy+cpy547OgPd824WyKR4D5kYN0QM8zJUnSHCWj1&#10;5JSxcOHAPAPAkmoMr6FJy+5MWTgzsXMwzpNumCzhr17mTnlLjBX50Y0BgwkaIi5XIJe3GAxGm83T&#10;PHqz2W6zKcLD2UxmKLT524K6OXlxYOBXMxIOnKkh6vXgJvP9hfoAbXdYSYcOl8vhdBrt9iimPj2C&#10;5rEqlO1QTAbH9Woa6+FifvYgOgRMFjNeGXO9qY40/iumJIsTnW1vGtQnGG2wYY00lnZmFH4YzhfI&#10;JVK2UAI6B9+9MZhbMiEzkygansrP17a7XwLNmXs/cba1r762eMki2izjKGXX+6Gzp3+i3YRMKoMD&#10;Tc0hdFOaOXMWGp485fYQaVVcTMzWd99TKBRvbdrYqxqCfV6wDyCVB4PpM7dPmYw7oQ9g3RAzrBHz&#10;up+ii69pQ6RVeTdrctU2edQNb4qGjIKLzZ7mSYnCyVOYQQ8zLEwpkQhvFXjYoNVKhcJwPn/AG/z9&#10;2S7dUCbhzs5SQb0e/K1o0JerDQEN++WzWHFyeXN7O+gQ0qRBLR26OjpsDofN6QQfhsNBzF7/73Sa&#10;98MhbodSUtTicJB9hzWcpCvs2MF1XDgicUy4rFFH/up8jZOwzalXuEyD97ZjpeiGdhb7Q3mq96V0&#10;FjP4sJlquVAkloSzBSIGBoPxQIRMvvbV17pugBrN75/7LYpW++vbmxcteOjXTz0N/1UoFNNz82jT&#10;dVE+r6e4vKnTpsEBtUYTOjuOWgX3zsvMlVVVQWtY5pixsDGxcXHBWdB3VCoVvmQwmIEF64YYjE80&#10;6gagYJPOZKcdnxsnRcOlNTpPi8fIuzUUg9kx3A6Zy25vMQ3kgyuHyeQGTKPhstnDxCcXcsvAQ2dH&#10;R6vRaLXbI8Xige2Zk3XtBRebofq/9L6U7woboFYIxntaRMll+UtPBPseJZUOaunQ3XKXy2i3u1yu&#10;MKfT7HR60ounSNUxMpr4zVC2Q1E3mOvqadyuTvJvH5QXplzJMxmtDvJX1afc5JWWq1yGa1B+dzid&#10;VqOZfJGOz7k/Nenrsls/wztcTrVBBz44fxmD8cKDc+dCsUmj0Tzz9JN1jY1oktli2bX7Y0l4OCxN&#10;CFi0eAmtbpie4WttB+L6BxZqknJaUjIpw3dAghCLrhZ/e+jr9vb2zw9+HpwFiQj4/Om5eTBBG66K&#10;eMjiR4yAA8EUUjEYDBGsG2IwXVwoa/EyNZimKGj4Wq3ulvM3tZl9WW1F07DzZTY6HAyHA5/YJFhh&#10;YQLfZSM2O+xWGpzI6yMx338PzDDwUGC1thmNnoQko81maWsDs/GD+KCepRA36MxE4W//f65D3VAm&#10;4aYpxWqviuFLD2WCmQvL2lZ/eNEv6uEgkg6hRGhzOu0uV4fd7ujooLbZE1KWfXpiIXV8KNuhAEp/&#10;bqW5P/Mm1TMHZfUcJosZFx1bWVdNGn+UKRjNi7/LWjMYd8rUrqeOnHT3fb/KuaO6Xf/x5Z8/Kvy5&#10;hm4eEih/WcTlRUqkHLEU5y9jMBABn4/CCbdueYdW1Ht/5457Zt0LtcWM0aMjZHJqBcPs7C4NTqVS&#10;pSUlw+GWtjY4J1ik68ZbUsIgKFPHjh715LUCVhKlVDar1dRSfdAB+dtDX//ljfX92fdFi5fAAY1G&#10;A/cObJG0ORSEKBLdunwz2M27pk93Gw13cvbMGaoPtS+NB0fBy1SwlYT4uOioaIPBcL2mmnjIvC/o&#10;Y/sfXb6CGHoJDv3y5ctoa1ZiMJgBAeuGmGENMisIHdKU4l41u0nrUTdEdRIBhRoDPtwYRqdyZPBd&#10;TvVhTr3Z3IdmcJlMLm05QjqlkihNspnMCLHIZLYYPbQN7GCjThc0s5Slt8U/u2i0Vm/btLv4SEVX&#10;GhRtaCGYc+l9KUd+akAmRVkK8ZvPTILmS1np8gkj5GgN/VVzQkw6JOqDLqczzOXyEkXoI79Q3hDz&#10;dZTTJ6TtUK6X61rbyK+gnGHc07xxg/eWwuLx42WRboGsJ39nRSey9MnOwffUZ9GRNUGxMjox5w4w&#10;kCiV/HH6ZPD5qrTqo8KffQk/ZLjfZ1iNLc2Mlma5UBwuEuMCiBjMxKzxaLjoajHtPGaL5eBn+5G8&#10;GCnv0g3zcqaIO5k6NRe5MIPZ0JyABx64H8wMFkFjlj3y3/MfWgiVqTlz71/26FKiVCfg8++bdS/y&#10;OGZ0inqvvPxHoh8LnAqWRRpZXExM5pixDA9WzrRMyMyEbd77ye6y0tI1a9eB4ZiYGOI8cYR/1776&#10;2r8Pfw/mZHSWaKT6w1CNZUALqT7UPjaeVpxNS0petGgRqehkaUnJ71943suCUKlc98oaYqAoaO1d&#10;M2aUXL2KyiCi2oikjYIxD86du2v3x/Df5OQUfNVgMAML1g0xmOCh5LKmpSmnj4+GsUiFZW07vin3&#10;kr3oiZiI3gkiXvxVMJgBweZygQ/NBDo1sA/SZNDMUlLjwxmdcYWvPZU94Uj1ruMV7p/LOQloBoO1&#10;S7l7dpH7UWHhzMSMxPB9R6/HyPlwDLxCN39a3IdbgReCLB1CZdAtkdjdKaswxdi9+4GJ+U0VGCYl&#10;XKaOD2U7FLvNVV5O82BZzJ+qC+MO6stZEKEIt5h0FvJ1+iYv6W1T++DKVnbY7Q4bOe06cfIdpDEP&#10;ZCSBT6/CDxk3/ZcZjEYsIGKGOUSlzEsGMdUEw7v/MgR5KyPXlIzRo5HC2LWe3FykGwr4/FdfWUus&#10;Ocjo1K3+/u57/7VwAWxeXE9pb0Jm5qpV/4vWCbY4b/48X3Z8wvgJcODHH08YjV21dNyhggQ7EaFA&#10;SGwGStZmUNRMT70Bfah723io9JWWlPzPqt+gcEU4kroJsPjo9HQoTdIuCJeanJMDdUPQySuXr4D7&#10;Mmfu/YVXrsD+R7URQTP+uXMHGA8ODZSA5z+0EOmGqLWBs2zGYEKNcfEyT5NqWgfg0R7rhphhjYjf&#10;HcdU0UD+3T82VXbLNSi5LBgh6N3xAMw2O0u19L4UGFsEyUqXv52e879vn/GkF1CbBMkZq6DuAjVZ&#10;Mj66qyg78lfJjZPeO9ldtPhAfg2OQMQMbaBZSoRYLOIGUJQBl9LULCW8rhfOTESGRZCCi83oQtvx&#10;5bUV81LhhQ8+aJ79nWpjIPxS+i8dIjUQAKMF4XCHvUtY6X/YYN+YOYImPkUi5oayHUp5SZvZQlZR&#10;DSzFSW7GELjcFEqVqa7a4epxpjUzWHv46Y9Zfh5EO2LW0pQHSbtrDu3MKPzwRHXdx4U/f1xY6uNW&#10;sICIGeagpNpvD33tZTZqMbuJkyZ5mhnaMdfeuFFw8iQcg1xTqGRmdkd5r1y+AomGYCWnTp2ce/8D&#10;UKh6dd1fVjyxktFTy3tz/QaSyFj+s093OWJ29qWiIsFNJzdiGCDDa24yVDNf+N1zBWdOR8jkL6x+&#10;CTV78/9tbtVqp+fmwRhGwPJly+FqfWk8WBtU+jpTwmVQcLx3xt1INCwtKdm3d096RgbSMdPS0mAz&#10;qAuiDHEESZlNTkqCCiCsjUjMrQbjYS+hIERBCFjeYTDBRyb0WHOppgXrhhhMcMlICPd2uUq8yQ3z&#10;x8bMzY0nPv9/W1D34Q+V1EqIYM6nF2R4WtuK+9JObj+H/vWUOg29UER8DpghMbbbpfG1p7JfI8y2&#10;48tr2/K7fmah2SQizswUxX1T4pBT89Qs5SNv5AfU2hWDGXDc6pheb+bzFaJAGZsWagxPbT790uJM&#10;4q2ga1JZ2+ufdacUgQuzqc28elmPjNSCi82bDpcFrge8S4fNWi2fxSLayBhCuyRoGNfpYrvmRNXQ&#10;2qFkjlOEbMtNBse1Ci11/OXBaYdChcXhxCtjrjfVkcZ/xZSkc+Om2uoGy45Y9OQ3amJldMTIWzgp&#10;T0+MA59NM6f9q6zq48s//1hT7+PmsICIGabPw1KZL7OhgEHE5wc/z86eWFnpDu1PTk5BYWgoto4I&#10;0YT3VH7+6xveEPB5n+4/wCD4LKclJUMhjOjp/M3h7/fu2adQKMD6J2RmkrKDifpXaUnJif8c33fg&#10;M192Z3puXtfzQqdaSixBSLRGiY6KRitfv/51OIyi8AAvrH5p3vx5RGOZl9e+AtcGg/ugdDhn7v1b&#10;t20jpQ97avzo9HQ4EqwNaX9IggS9BzcB1o90Q9CeXbs/pi7I6EwqJ250wYPzSGIlglobkaoSxqti&#10;UYPxtYPBDBRYN8Rg6CH6k1DzfNf+csycvDjSSDBmapbyqc2nSdIhSTQsLGurU5vQ4u7gI4WYNvoP&#10;mjiDlqx/LJuqStCClNBkSff3Lim+idEpic7OUn10rhYfaD/fUplhIj6Hy2byOCw2K+x6Mw7qHHgM&#10;FovDbg9czjK43lduPzd/bMz08dFjU2Xg4gLX+KGTtQeLyc8w+eVqcDMh6v4SEcePZsq0eJEOXQyG&#10;yRm6Lw9yM6JGKEQJCpGFZVt/5jyD5w5ylIc5b5Ndpc4cFysOZTuUwotq6kgNJ+kKO3bIXGgckVgp&#10;DlcbyPF6f2XHbnO0KVym0N8Fu8XqdJCviLQ75/i4uJTPW5o1Cnx6m7/MIAiI0ESFLRRjF2bMEAap&#10;SGfPnPEyGzFgsKXNrX/VNTbCAEBGp9a2658fMTrlJNpkZ2TCC2ZAyhqJvNxcOLB1yztIuSOWVkxJ&#10;TrlUVJSclNTj7q3RgPl9L2sImTlzFnGviUF5KP6OyL69e9BIMHDp8qW/v/seozMQD+z7/IcWwkkb&#10;179O3LXvj/7wzLOroKQIi0L60njU1WdP/wQH7po+Hc1P23tQxaMuSO7hnCkwIPFUfn51TTUx7Rox&#10;ITMzOipapVKBQ+bFSxrqxRgMZmAecnEXYDC0TBjR/XWO8nwhz89Kp4qGEJmE+9LizJWE+EEi+49U&#10;HzhVA1XFa7U6VN1s/EgZ0g2JtQvhnLOzVD6KhoBvTneFdcSE87zPOTE9EuuGfsfh6mg32YhjwgWc&#10;zAR5ZoIM/B0RKcobFeWXDRXVtLWb7H1YUGeyFd3Q+jjzlZo23a22crK0OfSPSxBylg8WN1KFQiJZ&#10;CvGq+aOIoiGjU9Pf+j9TXv2oMKB1A7xIhyFCbkZUuJAzDlwjChG4TMD1IhX2OFJXzE3Qg+JhYRWH&#10;SQ6KdNuhTAxdOxR1g7lZTVbNnGHck0Ml2LD7dhcZbbJZjTYrafxWXuofzEWhX+jQrOtFkrIXUP5y&#10;YZPmo8Kfvyqt8l1ARCYqPDZHLhQJRGK2QMTAYIYoXlKJAekZXWUcUMlCIkgO8yQnITOND97fTisa&#10;Aqb/4s6ulXTmRAv4/IzU1AnjJ6DgPomEnAa095Pd7+/c4WmFnoiLiUFq6Zq161AoH4QYGon2mpSm&#10;TQx7BPuO0ngvFJKr/Z49/RPJxuSWjUcbRUru3Psf6LqBb3mHdmdht1MXJAKaAVsCpVsUcdn9tJWZ&#10;ufbV16i+KPCgkw40BoMZQLBuiMF0kaKSoBqFuXHS+6bQK4NLb4snljDbf6T6UkWrmM9GQYVZ6fL5&#10;Y2OICsKm3cUxcn5BqYYYh/hdYQPSDYnEKsghM8QijFQKy9rOlbQYLXaD2XG5Ros2ES0jr0ertxVf&#10;08J4KAah+uFQhcdicQgJmI6OjgERTXRm+8nSZqK4NnaErEtJHCHvs4wI1tDnJs2ZGB+cfW832Ypq&#10;6DXKohv0imTBz83UlRT7LHR6AeYsW4Lls0yCaJ0MrsR3D5RWNBlWzR8FbheJsSIwada6/wS0ASEi&#10;HeZmRHWevW5ZMHOELBz8pUiEtGx/YMaU9z8daaxL5tNkvKalyjnc0M3uLLpCY5N9nTuunikZYndd&#10;JosZrYyprKsmf0+F8b7ipyywlId4+60GsrwbMTJVrIzp+4Ufrdg0cxr4fFVa9VVZ5b9Kq3RWm6+N&#10;cdgbdVqGTstmsuRCkVAgxFnMmKEHyRKExD2z7oUD/z78vZeV1N64QTseZTGXlHmsB4LmefKJJxk9&#10;03gZndLVkR/+TRxzKj9/y7tb+7Cnt+dM8TIVhUYCpFIp7Tz3zrgbtYooKVJFPU8he14ajzZqMBhI&#10;PXP2wgUvLacuyKBLMF/fMygSzuzd5YYawOg9OhWDwQQUrBtihjVE55NnF42mFfKIKLmspfd1vb0E&#10;D/+/33oeRQlVNBnef3EqHJ6bG0/UDY9U0Dw0QjcVKhJRl0pYWNb1ZvXw5QaVQhB+szYqEv7gPJ5i&#10;G8WCHlc3mHP1hxfVNufmh8fDKoekuKehB5fL9aIQWW4aOzhcLmunkoIcYANt9VB8Qws++wpunoQj&#10;ZHmjojIT5HmdWZlD6RBIhVxPwqin8c/7ZEhIIy8iZba53XLwdLXOTB8mqTebO+z2iPBwYlG/QEOs&#10;cOoueri3COr74JJckJOwYl7qkZ8agqHpBEU6hAG2jJviILhxZXbGbvcz0lbK5/3jgRlnvv4jdVKE&#10;nJ82RhayV0H5Va3eQJaKLMzw07xxQ/LGy+LxEyKjalrIV+gepiyZE51tbwrZllv0Brok5dl+WTn0&#10;X/7HA4w+CIgOl9Od/e1OAHdnMcuFYq5IDPoZ/4TDDF5KS0qgLDVn7v1/fXszfQZxzpTukLrz572s&#10;jWq7zOhpIuwlm/hUfj7UCkmKIbQBQWYdCG17H19kovA9CCxxWHvjBgxsJFmjQGob6om788yzq+Dw&#10;P3fu6PElKJMTd3BCZibqN+IavDceSY3NanJVDU+9B1U82gVJYaTrXlkDE64n5+QQZ0a+LmAGlDeN&#10;xEQkB6OQRgwGM4Bg3RAzrPHufEJlWpoSLfLugVJiaiEYLrjYDCW5rHQ5tWZZbpwUep7ERAhjFQJk&#10;UUICpSTrjV3CR6Xe8soX3fW8lt4Wj/TN/1z0mBdJjFJEoqH7t1dZi6dNDyv4hNJRtAquq6PD1ukR&#10;AW1kXU5nmMtl6/z4tyVQRkSaS+6oKLeM2I9QxOEAtXOIY/70UNazH5z+7iK9FYPB4bBptRHh4d6t&#10;hP3FU9OSoI0yo9MF5fXPitCdAQxsy6+CRkZZCvGCaQkGk2OgbFJ8AUYLuk/Uzpxi0shAn7EC9UkR&#10;y0wdn5kVuhnKdpur/BrNE1cZL1sXxh2qlydPKpebTZ3V+nqwnRO3zqkP2UKHFgONO2Fizh3+3QpJ&#10;QPzqamW7oxcVJ4wwDVzbwmayJHxBuEjM4gtxJUTMoOPEf46jcLaVy1dQg+AEfP7jK38Nh0tLSqip&#10;uAyCCEWL8qZ2dio/38ts1TXVUxndiiGY+ciRw0VXi0kFE4l5xH0gLiYG7S90Q0a7iRKiwTxwo0iJ&#10;Q5IlmLT13fegGgh645vD3xPVzEeWLEGpx2lJyWtf7bJL3L7tXTjSl8bTZgpDiM4wYP3dv6Y6YwZp&#10;FyTqhqDB0K2FSEtbG1gVWpaoz6JlkRxMG9KIwWCCDNYNMZhbU6/pelhNjev2X65o6v72Spbw8zIU&#10;RD0uTSlW17XD4ZkpiiceTPcS39fYZvGyUS/QLgghWkXv+KYcWyf3QWGB2iKf8kjm1lxcLqgndtjt&#10;fsyA1pnt312sQ4JXboZbQ4R/8RHxHamQ+89n73jvSOnLey7SzmBzuRq1WgX4ccrjBa4Z4LZA9Fne&#10;f6TakyZIDEgsKG46efPWEaAT24t0OEIhWv/IJBGPfbMnOf3JiPcjer363Dkaw8rUFJksMnQFuJIr&#10;LQ4H+U2DlhV3kjvEoycilCr9jUqHq8c51sxgfcpNXmm5GpqFDq1GsqCZMHlaf5KUvfNARtLUeNVE&#10;RVRVY3OpurVYp6uzWn1fHPTtTSsVBqyEyBeIWHwhTmTGDAqO/PBvpJctfviRstJSkrS0aMFDSGh7&#10;5523vRcTJNUBhCBXYu8RghfOn0dOHcseXUo1J4EQ84j7wMy774EDpSUlSDRkdCqD3x76GlYAHJmQ&#10;CHVDkhJ374y7kc+J26JkzZ9gb2zf9i7sQ9B+5DGNyhqCOZHL8y0bT4zNRD2AGrb21dc2rn+9pKzM&#10;bDHPnt0dgn2h8DLtggyYfn4TcPjQMJJEW7VtYG1o/MrlK5D0iVROdFi9xEJiMJiggXVDDKaLwrI2&#10;FOLH6JkO3Nja9ThBLD6YEi2OlvJTVJLbRkeSfEuq643oyf/5WenEeoi0GC1d282N665pgjbqy4I0&#10;P3Fuli/U6m0BlSGGIe44NRaLpCdCMdFot8N8Z4PD0f8NEQsjQvVwTnZciOg4oc+TMzPyMqIe3ZJf&#10;22KknUFjMJjtdqXXoux9BlzLf358ArqHrN91xZNrCjGCeP+R6iBcrV6kwxsa4/rPC794cYYvNQeD&#10;ydFjNCWZBHx22ujQvRy0Lbbr1TQ+G+cFtw/5q4/JYo6IVlU1kK23jjIFibyRc62VodZgi97Q4SKX&#10;p0jMmRa4LVodzmMV7iy8pJgo8AHP4mqtrri+sVirq7CYe7mqrkqIYFjE5Un4AqwhYkKcusZGJHsx&#10;On1C0jMyvvvuO0Znabz583+FsobBbEQ/ECJIIzOZaX4wI/mpvd3bt2rBmdMoaXr16pf27d0D5ark&#10;pKRFi5eAf0mCZsnVq33YX+R9fOjrr0iTUPNiYshvKSZkZt5//wNEKfCZp59EgZD7DnyWmTkOdhRo&#10;P5JZ0ZxUsdVT44UCmqo++/btg5tWKBS0VQjB+mkXJPLtoa+Jh48oiYLFX/jdc3DNix9+BHz2frK7&#10;rLQU9RUSItFStAcag8EEh6GvG7a2XmtpbWhqqlE31f/7h+/6tpJ77p6tjI5NGJEeF5/FYvLweTM0&#10;SJZ0lwfS6m2kQoHE7EJaVi+jr05VcLF55+EKpAgQRcPCsrY6telarftJcul9KUhT6JVSQExALld7&#10;jNhH4Y3F17T4WAcBkpiogJUTHQ6Lw+FyOu0ORz8TnKGGuOnLIpjLfN/E+KFXD9HvZCbIj62910vO&#10;stFqdTocUVKp38sdRssE8AKvrjd6sUsmvlcAcwY0SbmHrONZOiy+of3lhqMhJR3+XHq8vp7maWfM&#10;WEVI26EU0kRGNHAyylmRw+L3pUAUL4us1baQxu9kRSax9WMcoRU2Qp+kPPmOwG3xXG1zi7HHU71S&#10;Fv5AtOKVkQktWv3p0munqmu/adH0drVdicxYQ8SEPETZi3FTOSLNs33bu7t2f0y7uIDf/RuelFMM&#10;QUF2ZaWl3lvy8po/wSzgjNGjSTbHk3NyoG4ok3ZV0e1Dqiyx4OCxEydIU1HzqBYxf3/3PTR8Kj9/&#10;8/9tJu6p2WL5/eoX83KmPL7y10TREHQa6FuiaHjLxtMaFpdXVSJdjwqsz+jJ6Rhpnfv27fPSMwVn&#10;ThM3QTwB4PoZPTOjaQ80BhNQ2vXHpZI7cT8whrBu6HRZfy45/u9/f1lWVtr/tSHBMT0949dPrBMK&#10;FPjUGQLEhHdLwFRxjRjKZzB3xY6V1ug8FQfU6m2fH605fLmBaJr84B0JSBEgaQcT0yPhqsAkNBIW&#10;QIR4ykEmJiB7yj7OUhAKi9To8LEemNsrk8nmckXcbvHFYrfbnE6rw+F0OPqc2kzMZY6PFN03MS4v&#10;IypoFsmDDpizvOnLIvCh1wuczrq2NqVU6t9yhweLG8X72ODW4SnMUMllLbszhfheITFWtP+3uWeK&#10;NYFOVYYMFunQajUWFHxIHR+lFMYlhq5uXldtbKXcw51h3GOCqcPn6hNEKMItJh0leu5v3BHrXMbQ&#10;KXTocjoterJumDB5GlckDtAWq1p1VxpoNMHRsSo2kxUdIXtw6m3g80ez+aerZVcbmv9VX6+223u7&#10;FZKGKAQfgRDXQ8SECGaL5fUNb7zE+APJkASi0Wi2bnmHWhev+8dwaterfe/lC8k3pZtqI1h/9+26&#10;sXHxkkWLFjyE4h8h3x76eueunXAYNbIPumFKcpeh4t5PdlM9Rpqau9yikDUKsmrxpSsKzpwGnwiZ&#10;PFLujr6nzbP2vfGkzgRrfuCB+++aPh3lHU+ecjttQUPSgqDNYDbQgaT2wF3bvu1d4iaWPbp09eqX&#10;iNIng846uVcHGoPpP3Z7c7PmfZerAeuGXQ+2Q3KvTGbN9n+s8YtiSAKss+Tqj5MmzcenzhBDZyL/&#10;Io+J6I69b9J2PfZQ84Kr640/nG2oaNDTmiYTaxp6Cji6WkUfD+glBxlt2tOkaCnf9/Vgggafw0EB&#10;idB3xZ3XDB5Z7fa+OTjXthj/caQMfFAQ4pzsuFDLMA0Fnp+XmZsR9diWH2l9lkHnB6Lc4Ufnaj1N&#10;UnJZ6x/LJtU3gHcM8Fk4M9FLMUQ/Miikw2PHttpsZIGJzWZmZYe0HcrVYppvhHLepCFsh0J/qkfH&#10;m0K+0KEHR5RAJSm7M5Sv0dwckiIjJfweLsligeCeSePvYTBWMRgVdQ2ny6sKauvy2/vyUqFLQ3Sb&#10;MjOgp4qIy+MIBGwBDlrHDBit2raX174yPTdvck4OjFArLSm5ePFCWWkp1ciY/EP3ZvnC6ppq+h9I&#10;N914i64Wo5FonQc/20+cGYzftfvjfQc+m5g1HvwWMBgMJWVlRI1v2aNLs8aNA+OJ1Ql9pKKz8qBG&#10;o/n84OfUqZeKiqDKhtS0zf+3OW3UKDBm7ye7L5w/f6HwsveugD3pxTP6lo0Hvb3ulTVwgLrmA//6&#10;EgVC/ukPq+GRgt3racFXXv4jOEDUtf1+9Ys034xVlSueWJmXM2XipEkw5BDsOFUnPUjXexhMQH4V&#10;2K63a783mY93/uDE4WI3f3sPvV1yuqwBEg0hLS1N+LwZGhCD+2DuMBFiKcNGXVe18u8KG1AlMsAf&#10;t12klQsR1fVGKB2Cv8/PSicKAaj+IHHTE9O789cMVvp4NBTwWNvkUTeMkXc/e6BgSUxIAX1XkIzo&#10;cLksdrvZbu9bKCIxCHHsCNniaUn3ZcfjLOYeF86oqGNrZz+65UfkXk0ioOUOeygpPUXDLftKLl/X&#10;inmsrKSIX81IgNnNC2cmNraavCiPfjwPZRKJur2dqlyDjvrTnotbHp8ygEetvv5q1fVz1PFpqXKh&#10;OHR/wJSXtJkt5BuvhRl+nDdu2N3oBkOhQytFN+QKRWl3zgnQ5r4vrbZRbvJyAT85ytvDSUqcCnwe&#10;dn+ndwUh/tSsLu5Tta9uT5XOe2F3KCKXx+Lx8ZcFJpiYLZbvj/4APjDUznfSM7rcpS6cP087w74D&#10;nzU0NBgMBlJy638tXDAyIZHWoBk0xpOyVl5V6cky5ZZcKirKuyPPywzLly8T8HmonWBg3vx5/vxK&#10;ulXj4VHwZVUo5RmaHXtasLOmYVGvGgkDJ6nO2qDl615Z09Tc5KnMJQbTZ+x2DYeDqmdedbpMFvPP&#10;VuvPdkcF7hwqQ1A3NBnVgRMNAUKRBJ83wwGJqDuRB6Ueq23O/UeqUWrhohkjjRY7yijMjZPmjY0m&#10;Pu1/crgSlUEES+WMVfxwtqGwqjVFJUGhiBUNetqN0sYnKrndqZReDJdpgyUxIX0vZjLFPB6Md3N1&#10;dJg7NUSH3d4HDbH4hvblPRfBZ+wIWd6oqMV5SdhKBTJCIfrixRl/2nNxX0EV7QxGqzXM6YwID/d7&#10;uUNElkL85jOTaP1SwJ3kwJma2Vkq4suJIMBnsZRSKa10CDtqoKRDq9VIa4cSIeenjZGF7o8Qg+Na&#10;BY02fV4wfZje3DwXOozlGLPtA/wu1uV0Wo3kb8nEnEBVNixs0NTryDIlOyxsdGysj2sgBiE2tWpP&#10;l14ramg8qmnpQyJz132PEIoICOcLhFwej8fHMiImlPnxxxNSqbTk6lVPSp8nSauusTHUyuR5CRUM&#10;KSJkcpTyTIziDDQ+apoYTG/R6vYbDCdwP/j6c27o7VJbW0NA15+aOh6fN8MBFA2k1duI43cdr5h5&#10;uwo+9oN53k7PATMUX9PGR4uQFFhQqoFSo1sR2NXtoAJmoHqtEAuZedooIk3ZHQzlxXCZGCxJilsk&#10;SoqY0IQZFia6WRgRaYg2QC+dVYpvaMHnH0fKYBlELCAyOssdbnl8St6oqFUf0D9pGBwOR3u7TCLx&#10;b7lDxPiRMi8my2qb86Nztd8VNqjCBfDNQZZCvGBawrVaHbqrBILQlA7PnftMr6dxz8jMUobyOVZ4&#10;kabNGk7SFXbssL3uPBU6fI2TsM2pH9hCh7RJygmTA5KkrDFazt1opo4fHasScPtSc7CrEiKD8VJn&#10;InNxTV0/NUQAOEzEIxXOF/DYHIFbRuQyuQLsr4IJES4VFeEAtCDzyJIlcOBUfj62KMFghhtDUDeU&#10;y1W049PTM+65Z55EEuFlHoQn8VEslkdEpOLzZlhBskwBD/a/33p+1fxRSOOTSbhEsxSt3kZ8vCdJ&#10;hyQKLnY/QhBjCT2ZIPtinEJ+iO0Zt0iUFDGhT7eGKBKhXGaLzdareoioDGJ8pGjJtKTFeUnDPIXZ&#10;3QORIk/lDi1Op7q9XSmR8APgHvBdYcMvsmOkYu7mT4s9mZ+Am4z65mW7fFZK5+0l7tnO28X+/1wP&#10;kGVKqEmHGs31wivfUMenpshkkaFbIlDdYG5Wk1UwZxj3JP/2YX4roy10CNjKS/2DuWgACx2adXrS&#10;GK5QFKB4w2MVN6gZyqrw8KhwPySywERm/2qIjE4ZEXQSikbksTk8Nju801wFByRiMEOYe2fcDf6e&#10;vXABhkOCf5HfMS41iMEMQ4agbiiRxKenZ1BTlVeseAlM8n0l+OQY8oj43kSBwrI2qAxeKCNnVxVq&#10;DCu3n5s/NubhWclE5xOt3nbkp4YDp2pI8x8sbry8TvvY3clz8uJIk05c7k7RIsYSUjcK6ZGA3N6v&#10;4CMvtiqYEL1fE3KZLU6n0Wq122y9SmSubTFCZ2FcA9F7uUO3U4pO53enFEanJgjuHr7Pv/8/13Um&#10;O7x15GVHgQ81StFfeJcOYc570A4QbYaygM9OGx3SMbOXLtJEk13njqtnDvcKJ0wWM0EVX1lHdjAo&#10;DOPt4ac/Zvl5QFrlsNvtZitpZIBEw3M3mlqM5G9tHpudrory+7aoGuL1lrY+10MkYnXYwYcYkCji&#10;8rhsDvjL4nCYbDY2WsFghgBxMTFr1q6Dw6fy8yMiI5Hf8d5PdvfBHAaDwQz659AhuVfz5y/fsOEP&#10;pJFtbQ1YDcQQyUgIR8PEIoMQ8GyfGydl9MwjJgIe3cEnSyEW89xxggar05NjMqOzQuIrX1z98IfK&#10;WeNVd09WQbVx/5Fq4vN/ubprca3eVlBKb7eSkdjdZi+bQ6UPvy2oI00qrdHB6Mh//ViDz4HBC5/F&#10;4guFDKHQ1dFhstnMNluvTJlRDcTZ2XH3TYwPph4UOtyy3GHQnFKIwDKpsQrBhbIWcB8A9x/wgbcO&#10;WOVg9bJxFRsMXi7/fp5XEWKxWq+nToKZ3cE5Vc6e29/SQmOROSE7isMN3TTJq5dbaO1QTg8/OxRa&#10;WDx+QmRUTQtZWv2KKUnnxk211QW/SRY9zfuz1AA4otTrjOdqaTTlsbEqNpMV0H2EGiLjZj3EyoaG&#10;q3VN11q137Ro/LJ+WB7R7bJyExiTKOTywK5xBIIwJguHJWIwg4tWrRa6PINhVNOQ0akhvr9zB+4f&#10;DGYYMjR1w4SEyffcPfvfP3xHHHn+3HEwHh9yDBWt3oYck4n4kg/Yq6f3Sr1lW34V+IDhZAmfVK1M&#10;bXNu2Vci4nMOX27wVMgMJUdTBUEiu45XkAYQB87UGC3urKUgWLViggAzLAwFIRptNpPN1qssZujC&#10;/KdPLsyZGP/kzPThVgARljtMUIg2fUlfJslotTI6OiLF4sA5pRCZmaJ47alsOJyXHfVsp9syuFTh&#10;rSMjIRyK/vBdRYAQcbkdYrHGQHNnC450qNerz537jDo+LlasVIVumQWTwXG9Wkcdf4V/uy6My8B0&#10;wpPK5WYTUWOC/JUdu9FpSnYG2xzAQklSFiujVWMn+HcrVofz2LUb1PFJkZFyUVArDkdHyMBn6lh3&#10;3NB68AOm4vr1Zs31lrZSrTa/vd1/+0uISbwZz00UE9k8fhgzDFdLxGBCFrPF8szTTy5ftnzO3Pvh&#10;GI1Gs3XLO9iiBIMZtrCH6o5NzZtD0g3Bv5NuuxNLhxjEN6fr4qNF7QbbOwd/DpzhgCdot3hLLQ9m&#10;T2v1tgP53qIF1TbnpsNlniZhxXCogtxULE6nwWLx3UpFZ7bvK6gCn/hI0ZOz0hfnJUmFw0jpeH5e&#10;ZuYI2bMfnKYtd2i02Zzt7VFSaRCkw/umxKErPUElkkm4zy4aHRMhhC8AwP0KTiWZHfkdKEN7kg5B&#10;XwVUX6bNUGazmVkTQ90OxeEgX25aVtx5zkh8ayISoVTZGmrcBr49eZOXtMFikrisQWuJw2532MiX&#10;fOJk/ycpn6tt1lvJG5LwuMlRioE9FlkpI8Gn665iNlfWNxXdqL/e2lqk1fU/o5kENcEZEs53vwwg&#10;6olhbC4rALVlMRhMr6hrbPzLG+u3btsWKXd/45dXVeI+wWCGM4NPN7TZdK1tNTar+5eHXK7ylHoc&#10;E51JrXK4YcMfNr25TyhQ4AOPARyp0BzZrBlcbV65/VyWQtygM6ttTnwEMZ5wZzGLRAyRqLcCYm2L&#10;EeUvL8lLmjNxuNR2AHv6hUL0yw1HPTml1LW1KaXSAJksk9DqbeBKV3JZLz2UmZcdtXBmYs5Y99cW&#10;rG9QcLE5QEnKRLxIh6CXvnhxRoCkw8LCb+rrr1LHjx8f0hnKtHYogBPC6fh2RILJYkYrY2oaakke&#10;Kc0M1kfctJWWq0HzSKFNUk67y89JylWtuisN5F8a7LCw0bGqkDouYoGAKiMGIhqRBFQSqXoio6ek&#10;yGSxWJ1vxbCqiMEEk1ZtG/RFwWAww5xBphu2tl776KO3SGrgvHkLhSJJwoh0RqeSyOOFc7nuGnCT&#10;bsujuqNs/8eapUufw57ImMFLECQDzJCBKCDqzWbfU5hh/jL0X35iZvpwCD/MTJCf3/TALzcc9eSU&#10;EjiTZVrUNudvP7n8vCZ94cxE5L+k1du2fNXje23zw+PzsqNgOrOfdQQez2y3uzO1Sc/5ZnuApEO9&#10;Xn323H7q+CilMC4xpM0WaO1QKniTsB0KLSwePy5SWa0m2/scZQoSeSPnWoMU1UKbpBwx0p+/Dzsz&#10;lGkuzCSlQsIP6ZJ/JBmR0emvUtXY3Kw3XmlsrjaZ/B6QSMWLpMjo9GNhMd3vEqCw6D6vOo1Zuh5v&#10;sD0LBoPBYDD+Y5Dphv85fpAqBX755X7f1wAWf/nlJ1es+M24cXdDeRGDwWCGPG4BsdPfo1c1EJH/&#10;8qK8pMV5SXmjooZ2L0mFXC9OKYEzWUZARyOZhDszRXGkwh2j1Nja/XBeXW989aNCYokDJZcFKx4+&#10;u2h0IOoPQE8YWunw0S35x9be619B+eixreD0JP9MYTOzskM6QxnbofQBrkQaY7U06sga/U5WZCzH&#10;mG1vCnQDgpOkfKyi1kaxvJcL+AmREYPukCF/FURhxfVmbXswlUQiKNXdk7DYdQNhsoTc7ttUOL+7&#10;oCSKYUQM6mBGh9lIO77D1eGwWjz1odNFk7wy1agWOSx2hyPR0PVGJMqgBn8P4jsXBoPBDFcGk27o&#10;dFlJJQv7zI4df2Mw/jZv3sJRoyaJxXK+QIaTlzEYzHAA1kCELswWi8XgcPiyFKx+OHaE7MlZGUPb&#10;fBk6pUiFnH8coa8QqjEYQO+FByZW6Fpdl7HGohkjjRb7vZPj5uR1VTz8tqDub9+UogIF0FgJ/PvH&#10;bRfvmxJ34nKgdBZP0mFtixFGHfpLOvy59DhthnJaqlwoDt3fKtgOpc9IFNF6i5la6PA1TsL/ucxx&#10;Tl1gD1wbTVixf5OUCxs011vJe8EOC8tKGCL1H4jRiJCKuoZmrbZK3aYxGBsMxrO6drXdPrCNdLic&#10;RGHRu8jo+XuzK7bRF4jSpJdWmWy9LuXZt8Z7IcZpm2xpjbAZJDaT3KzlOO0SE/jrYGAwGAwGQ/oB&#10;M5x3/ssv95NiFZc8vAL8lcsUEon7VbBc7n6z6qmEIgaDwQxSkAuzzOVqt1isVqsvBRCLb2hXfXD6&#10;T59cgOrhCMWQTQT7y5KJmQlyaB9MpdVotDocUFDzLweLG5/WZ8gk3Kx0+dvpOXCkVm/btLsYhh+6&#10;n9UV4uWzUvKyo8D4R97Id9dprQhsnVawp06Hw0IJmwLnwy83HD22dnb/N2G1GgsKPqSOj5Dz08bI&#10;QvlUwXYo/ZItVAnVNyodlIin13ipGyzFAfVIsRrIwXERI1P9mKSst9rO3aDJXh8dq4JJtUMSGJM4&#10;lXSNVFwvbVKXqzVtVlub1VpvtdZZrYNrv4y90fj8ru75kQeMjRE2Q6RFKzO1Y4kQg8FgML4zmHRD&#10;FpO35OEVez7ZEbhNeFn5PXfPTkhMTU+fjGVEDAYzdL4DmMxIoZAhFFrsdr3VavThcU5ntqPk5Sdn&#10;pgfUWncAcQujkaLHtvxIb7Lc2VGRIpHfTZY/+qbi2UWj0b+kMMOlt8WjqTIJVxUuUAel4GmUVNrc&#10;3k4rHT77wektj0/p5/qPechQnjg5OpRPEmyH0k+YLGaCKr6yrpo0PtAeKXaL1ekgn8xpd8724yaO&#10;XaPJUFaIRVHhw67kZYwyUm2zTpH3KA2kM5qz4xWNNluNVl/drqvW6rVW25UmDb4o/MsMS9sIc4vK&#10;qJaatBKTbgBbkpaUnJyU1NTcdKmoCB8XDAaDGXzPjIOruVOnPiSXKbZu3Rj8TaMU6RdffCMhYTI+&#10;dTAYzFCCz+GAT6RIZLBaDWazL+GHMHk5NyPq+XmZQ7L0IdipL16c4clk2Wi1Oh2OKKnUv9LhR+dq&#10;J6ZH5mVHFZa17fim/GRdl40psleG/1bXGz857LaPyFKISV5JM1MUTzzoNgp79aNCf9kogX30JB3C&#10;WpD9kQ6rqs5WXT9H85wZ2hnKdpsL26H0HxaPn6iMCbJHillHI6Ak5vituOG5G031OnKxOR6bPTZO&#10;NdyOr9lmL6lvoI6fkZF42wj6twInquvA38ImTbvFprVaCxvdYuLlJo3OasPXiy88YGxUmduiDeoI&#10;vTp0IgrffGuzQuEuCXXPzLvNlu56i/fOuHvN2nUajWbxkkXE8f78Ks+Z8sLql/65c8eBf32JTw8M&#10;BoPpG4NMN2QxeWPH3vvOljvbtTcMhja9vrVN6/49EdAgRBIbNvzh73//AZ86GAxm6MEMCwvn88HH&#10;9/DDk6XN8zcejY8UvfDLzKFX+tC7ybLF6Wxub/e7dPjbTy4zPukxJjdO+ufHJ8gkXfXydnx57cCZ&#10;mgkj5O+/6M4I3H+ketNhdzVGJZe1ICdhxbyuXMuXl2Yt3HzSj+eGTCJRt7dTHXX2FVRlJsienJnR&#10;h9WCs+zosa3U8RIxN8QzlMtL2rAdil/gSqRKs0ltIGt5gfNIoU1SFitj/LJyjdFyrpZGUB47pDOU&#10;PVFSX++g3DFiw0WeREPA9MQ49JcKVBXbLbbCzuBEJCwCfqypH7YX0QxLW6qhMdS0QkRaUjIUDQHx&#10;qtjyqu73AWvWrgN/wVTSeH8h4PNfWP0SWP/oMWMYFN0wQiafPHEiGPj+6A+eFl+5fIVep9t34LO+&#10;yZpgEw/Onfvrp54Gw6UlJfv27jlxsiBACukQBnTj6PR0sVhcdLW4rrERdwgGE3wGZX1DFpMXEZEa&#10;QTCjm5b3CBzQ692Gkm1t7nebanWt2WI6f66AasHcT8BWcLYyBoMZwqDwwzaz2Zfqh7UtxlUfnN74&#10;RdGTs9IX5yX512Z3YIEmy49tyT9ZSqMFWJzORq02IjyczwqUIkDMTSbWOoyRd3mzLJyZKBayL5W3&#10;PjwrOTG2q+hkwcXmLV/5+bsP7KNSKqWVDl/ecxF0VB+EY9oMZUD2pJDOUDYZHNcqaKRkbIfSN2RR&#10;KpPNSuuRstFlS3a2+XFbgU5SPlZxgzpyhFwmFwmH22GtbNa0mcn6CJfFujcjsc/rRHriAxke7zbV&#10;7fpqrQ4N12j1XfdPgsjYNaldP6h7+L90Ncm6uki9WmANSFFFFpvF5LA7B9jgw2hs6f86AyEOeiEj&#10;NRVJllTe3LgpY7T76/XshQutWpr7zPTcvMUPu58xGxoaPGmLXoDRlN2NGT0a/HsqP//lta9g6dBH&#10;oHQLjwJk7ye7t7y7FfcMBhNkhpovCpTz4F+YTQwlRZNZ43RY7HaLwdBmtVmammpMRj3JFMV3hCIl&#10;PnUwGMyQhxkWBqsfGqxWX8yXa1uML++5uMmtHmY8MTN9yKiHUDp89oPTMCeXhM3lUre3K6XSQEiH&#10;z89KXziz6xm7sKzt9b1Flfquh42PztXGRAjh1Dl53c7LJB8V/wKlw0YtjWS26oPTIyJFvcpY95Sh&#10;nJoik0WG9Mlz4SxNEJyGk4TtUPqMJ4+UN3lJ6yxWhcvkrw0FNEm54HpDi5EsB0h43PSY6OF2QPUW&#10;S1ULjcx0V2o8jx3YuMtEqQR8+rAgUXAkApOmfVkDSZr01kgZaGR4r5qXFa2Q8rlCi9FQdK7tyrm2&#10;4vP+6jGOgMdkMtlcbhiLxeHxwBieSEAzX0kfdcMo5YA9N0VHdV16tTfIgn5aUjIUDTUaDa1oCJic&#10;k9PnTZNEQ8TUadPum3VvKCRNR8jkkXJ5kJXcXiHg8199ZS3oMeLIxQ8/cuH8+YIzp/H3JgYTTIaL&#10;n7JQ0PWuCUYppnVmcc2a9ZTNprNadW1tDVBM9CU48X9/+2cWk4dPHQwGM3yA5stip1NvNt8yeRka&#10;p7x3uHSIqYdbHp8iFXL+caSMOsnZ0REg6TBnbNeXV2FZ2+oPLyKDFMimw2WxCgEqesjoFA1/v/V8&#10;YSDNUsA+KsRijYFmE49t+fGLF2f4aJXjJUN5zPjIUD4T6qqNrW1kbcgZxj3Jvx3fK/oM9Eipaagl&#10;SYfNDNZWXuofzEX+8kgJXJJyvc54pYFGMxodO+zKGoKDePlGHXX8OJUiKSI8ZJvtSXD0lDQdTGxG&#10;Q/XZH6vP5F87m9/fZz8uh83jsthsrlDI4rLZHE7Af0KIxXDg20Nfe5on0OpVQwO5ziZSM8+e/snT&#10;UjJpV7mMpubeFUyIkMmJouGp/PyioiswWxnw3PMvHDtxwpNYGRziYmK2vvueQqF4a9PGkK38OD03&#10;D4qGGo1m65Z3Fi1eAqXetLQ0rBtiMEGGPcz3n8sNBx8Yn5iW2hWcqNfXGk1am9WM6idCBHxhXHxa&#10;THQmPm8wGMwwhM9i8cVimLxsslioyapEhqR6+JclEzMT5Ks+oPm1CqVDuUgk5vnzxdKL71+YNV5l&#10;tNg/OldLnZqlEI9NHYAigHAfqdIhOOi/3HD0/KYHfDncgzRD2W5zXb5Mk7F+nTsO26H0ExaPHxep&#10;pHqkFIbx9vDTH7P87IfDF7AkZavDeewaTYZyUmSkhM8fboeyrKHZSolPjxTxb4uPwud5byk//m31&#10;mfyafsiFUCjkCgUcHo/DH16hDyqVR9UeqZlnz5zxNA+KdFNrehfC/+DcuWj4hd89B0Wu8vLyjX99&#10;C46cPHFiHxKf/UjmmLEwgzs2Li5kD9+ixUvgwO+f+y1UlmlDODEYTBBg4y6gIpHE4/KFGAwGQwtM&#10;XpYLBCabTWcyeS99OPTUQ1jCz5N0CKU0P0qHlXrLtvwq2knzx8asXka24JBJuG8+MynQIYdwH812&#10;OzX4FEqHX7w4w/uxHrwZyiVXWhwO8jlvYYYf4U/CN4f+w5VIY6yWRh05Ef4rpkTBS+6/vXLgkpRP&#10;Xm/QW8nG6xIeNzlKMdwOYrNO30DXz3eljAh0hvJQovX6teJD+6vP/GgzGfuwOEfA4/L5XKGQw+cy&#10;WQPc7UihoyYL9x8Bnz89Nw8mFLe3t39+8HOib0b8iBFdX6ZV5G/S9IxeeHn11osjM7Pr23n7tndR&#10;ZBwY2PvJbliqr7cBjH6n6Grxt4e+hj0WslcBjC4sLSmBoiE6kcrLy/EtAoMJMlg3xGAwGEyvYYaF&#10;weRlX0ofDjH1cHFe0ohI0WNbfgT7RZ3qd+mQipLLWnZnCrHu4Y5vysvVhvWPZWely2USrn+dlD02&#10;o/MXPFU6LL6hfWxL/hcvzvC04ODNUNa22K5X0wgi5wXT8T3BX0gU0VaHo81EFr79Yq9s1pFX65ck&#10;5apWXamanHLIDgsbFz/sXkKbbfaS+gbq+NyRKoWIj0/vW2IzGsqPf1t8aL9B3etTnc3lcIV8nkhM&#10;X51w4HB7GXdCShZOS0r2shSYGqVUNqvVnlKYI2Tyu6ZPf3T5CqLzyT2z7l2+fJkvKcDZ2RPhgEql&#10;Qi1paWtDy4L1w4HSkhIGQaA8dvToLZNkSSX5EO/v3AH+1tfVXSoq6u0uL3hw3nPPv/Dtoa//8sb6&#10;3h4C0Ph4VWxtQz3yY6lrbOzDenp7jCZkZqYkp4AToPbGDXD0++YlXVlZAQ8HONbwcOAkZQwm+GDd&#10;EIPBYDB9p6v0od1uMJmGj3qYNyrqixdn/HLD0eBLh7lx0t/+11jkm7zjy2soIHHl9nPQR6XdYAtO&#10;PyjFYqfDYXGSEz9PljY/+8HpLY9PoV1qkGYoAy6ep3mSb+BkXGHH4luBH4lQqmwNNX63V7boDR0u&#10;cnWFsXMf6mdrOzOUacoIJCkVAi5nuB27kvp6B6WERWy4KEulwCe2dxqKL107/m358e96tVQYM4wr&#10;4PPEIq5QEIRKhUFAwOffN+ve555/ofsrVaN55eU/koQ2VJ6PtDgY8+Dcubt2fwz/TU5O6fHdnTNF&#10;3MnUqbkwlg3w66eeRpUHAQ88cD+UDiPl3bV6lz3y3/MfWgg3N2fu/cseXeq9IOO3h74Gs4EBsNS+&#10;A58hsQwMUL2AfdxlOANYLdL7QCdkjhnLuOkHnZaUnDVuXEVlBWlB5C5SWlKy4omV3XdamZwqsE7I&#10;zIyOiobxm2fPnDEYDFSRzpcGg7a9uu4vqJPRbM88/aTvwZun8vNBs8FBBK3670eWwv5fv/51fLvA&#10;YIIP1g0xQ40shXjBtIRwIWfn4YpAZ+phMBgIn8PhS6W9Ug//8vBEmPM7SMlMkHuXDi0Oh0Ik8uMW&#10;SWGGtL7Jmw6X7TpeQbJPCShRUmlzeztVOtxXUJWgED0/j1wRePBmKJdf1eopgqwzjHtMMBXfAfwL&#10;k8WMjo6rqav2r72yxUCT75k4ub9Jyscqam2U818u4CdERgy3A1fT0tpmJgcTcVmsezMS8VntCWh4&#10;cvHTnb0KMGSxWRwBny8W8SXiwbvvyUnk3wC0/rkKheLv7773XwsXEPUmVJ5Po9H8c+eOwitX8nJz&#10;ofw3/6GFSDdEulV5VWVezhRUXtATRG9lZJwCVkLSv8C2vOuGJVevQt0QNBLs0esb3vAUAunjLsfF&#10;9AiLnpCZuWrV/6JWgWYvX75s1z8/gv/eM/NuYljfogUPwfUT9wJGL5aWlPzPqt/AmalKH9yFda+s&#10;IZZi9KXBYB5Pqi4YP2/+PB/PkKKiK2BDoElg5XDMW5s2hrIBNAYzhBmyumH5tR/f3vxnMLBixW9G&#10;j7kD+SljhjbJEv6bz0ySSdwPnzqTvfCLq/59aJ+dpUqND79Wq6P1KAgmIdUYDAbSpR76YLusM9tX&#10;fXB64xdFL/wyc/Cqh5kJ8mNrZz+65cfiG1rqVIPF0tHRoRT756FuZori+UfGwpsboOBi8+ufFdHq&#10;g8EUDRmdGeuK8PAGrZbqk7Ppy6IRChHx+Or16kGaoWwyOMqv0Tz1lfMm6cK4+Nr3OywOJ0EVX1lX&#10;TRrfzGCt4Y9623SpD/bKViNZbUyYPI0r6tcVWtWqu95KTl1nh4VlJQy7DGW9xVLerKaOvys1Hpc1&#10;pMWgbiw/5k5J9r2CYRgzTBAuFoSHD1J7E6JLSVxMDHK9QD7LK5evQILUqfz8U6dOzr3/Aahkvbru&#10;L8RYOVie7+yZMyj1tbyqEuqGSK4S9LQkmjjJYxVasC1tu7b2xo2Ck90lPsSev75R+UJPHDtxAoXj&#10;gT36atrXez/ZfeH8eWrsno+7LBQI0SJvrt9Aku3Kf/5ZQDglMlJTUegf6IT5Dy1E64cDETI5bB7Y&#10;UIRMVtfY6EVUNfT0QPOlwROzxqOj8NamjWANoDNJGeW+IAnvYb++fdu7JOtnsHew/fh+gsEEmqGp&#10;G5rMGigaAnbs+Ft6+pGnn36Dyw3Hx3vI89jdyei5Olzo53wNQqRP3IBLdSHVmBDF5bTYuwLB2CwW&#10;m8nEXRIcoO2yXChsM5m8q4e1LcZVH5zem1/1/LzMvFGD0mdzhEIEow5ppUO4+36RDqeNi4I3N63e&#10;9tE3Ff2/6pfeFv/gHQk/nG3w5LvSi18STKZSKlW3t1OlQ3B8M0fIMhO6sr2ODtoM5cKLaqodipYV&#10;d5w3Dl/yAYLF4ycqY6j2ys0M1vv8MSstV3slHdImKSfmTOtPCz1lKI+OVbGZw04poy1rOE6lSIrA&#10;P7/JGNSNFz/d6XtKchgzjCcSDt7oQhi2xqBkBJNIS0qGniEajQb5535z+Pu9e/YpFIqM0aMnZGYi&#10;OYxank9AMS6PV3VVkIAFCj8/+Hl29kRYLC85OQUF1pEiGRFElfNUfv7rG94Q8Hmf7j/A8Fy+ENGq&#10;bXvhd88RlTiwa+ADdm3j+teRetirXUYQtw527cR/jsNUaLASKMylJKegpabn5iG17r1/dEXtjU5P&#10;hwNgEbDvETL5C6tfIq2T0ekqc/bMGaLW6WODiZIrUvqOnTgxeeLEoqvFvpwzYD1rX32NpDOC3SQd&#10;cbhdUkQkBoMJBENTN9SoezwFlZWVVtdcTku9Ax/voY2Sy5qTF4f+HZsq8+/6UXpgwcXmAd/ZkGpM&#10;aKK32sCHdhL3poYYFhbGDguDw0wWk8VmM8OYXJ8VRixH3kJLguqh0Wi0eSu3d7K0ef7Go7kZUVse&#10;nzJCIRp0eyoVcoMgHR7IrwF/GzTmA2dq+hlRCG6Vv7kvA94tV8xLNVrs/Vch+SxWhFis1uupk6C9&#10;cmaCvLDwm/p6mhjw0M9QVjeYm9U0cud5we34Sg8oXIk03m6v1baQxh9lCqL5KQssvbDUDESSMm2G&#10;skIsigqXDLcjVdbYRP3ClfA4t8VH4dOYSEPxpYuf7my8esnH+TkCniBcwheLBtwTOQjk5ebCga1b&#10;3kG5qGaL5eBn+6HaSJTDILAYn0qlih8xYvIUjzdkqBXWNTai8L20pGSY1VtaUuIpWg15MYN5Xl77&#10;Sm8NPQrOnF73yppnnl1FFL/A8Ma/vvXC756DYpzvu0zK6dZoNGARWNYQjfz34e+hqOc2oulU6yJk&#10;ctAAOHX7tnfRJpCud/b0T+Dvg3PnokZ61+B8bDAxRHHZI/8NZU3QVB/VPU/Bj9Nz84hrWLTgIdhs&#10;osKLwWAC9WQ3TPazqakmLRUf7iHOtDQl8V8UeOgXcuOkaLi0RudptiyF+OWlWVIJ590DpQeL+x42&#10;7309QW7M0MPm6o5S6Q6Hc4B//O8mwWexkDRJJcxDFXM+m82iLsVk8gfbk4NbPZRIJD7UPTxZ2jzp&#10;ha8W5SX9ZUn2oLNMCYJ0WKgx+KXwArgtrJo/Kiu9KwBQq7cVlGr80gkiLrdDLNYYyFVldWb7o1vy&#10;D/1+8tlz+6lLhX6Gst3mukT3eqaCN6mcFcnABBhBhELpsKsN5G+6PUwZn5c81+proSu/Jyl7ylAe&#10;GzfsnmDbjKYbbTS3vnszRuIMZUSvFEMWm8WXiAWy8KFhdeIj039xJxyorHLHfwj4/IzU1AnjJ6AQ&#10;RfBrAs1MG48G0Wi6vtSo9RMRaBKUFOnnuemp8sH72/vgAgz4/ugPJ04WTM/NW7R4CbFu4AurX1q8&#10;ZBFYZ692GbH3k93v79xBbdKF8+ehboi8U4iC4L8OHUJzpmdkwIGzZ84wOitCwn9vGbjnY4MLzpwG&#10;jYSNAZPAUi+v+ZOP2cRpSclINAQr2b1nD9gLuP41a9cVXS2G64mQydFGidnlGAwmUM90Q3KvxGI5&#10;acz5cwXT8h7Bx3toMyEtgvqEHAhrlKY2s6dJLy/Ngj6nTy/I6I9U5/t6gtAYTH+g+kX0wIOUpvd5&#10;/VwmOUCyg8kkBSbwKHGR/OA+ivjumrKvoOrbC7VPzsqg+mmEOFIh99ja2c9+cBrsAnWqHxOW+8P8&#10;sTHgbuBLkcQ+fvnyeBaHw0B5mKltMS5cf+SRUWThhs1mTskNdZGlvKTNbCGftBZm+GmcoRwsZFEq&#10;k81KtVfeyYqM5Riz7bd2k/B7kjLOUO7+EnM5i+kylG+Lj1KI+PjsZfRSMeQIeCKZdFC7nXhh3Str&#10;oN4EWb36Jaim1d64wSC4djz5xJMMSi6wRqM58sO/4bB3hxMYQ9djTKc6RgvcNC2oPSVlZX3eZbPF&#10;8v3RH8AnLSkZ7BfcKYVCMTFrfMGZ077vMuJUfj7VkRlyofAyGgaba2lrQ8oa6HliZKJU2hV/YDAY&#10;4mJikLZ44mSB993xvcGgkXqdDjYALLX13feICdpeWLRoEWlP9x34bPov7oSbBuuBjswPzp0LZyst&#10;KcFOKRhMEBiauiF4RCWNKSsrxQd7aENKUr75EOu3n+8pqu43fk1aj1Id1OkAxde0/dmc9/UEuTGY&#10;UMbmchHDJ2m5pQpJCookRkFymEwuQYXkulO5w/rWVKQeao1GL3IqNFzek1/12pLsORMHmbfAlsen&#10;MDrVT+qkgZUOSV7M7qbuKwlEaVSFSNTR0UGta1mm4/xw7fa7U3s8zqWlyoXikP4dom2xXauguX+e&#10;F0zHdijBJEaV0NhQQ5UOX+MkrOtwjXGovS/u9yRlnKGMKK5rsFLeBsWGi24bEY3PW98VQ1jBUKyI&#10;GHoBhmlJyWiYlFdbWVkBxaCGBrf0fCo/H+pQJDWqtKRk3949yP+E0RmvBwfWvbIGrROJiUgKRFF1&#10;3o5RQwPteKJ/sScr5F5RXlX5+oY3vprW5QADM4V93+Xub6V2jz/pwcwoyi9KqUQ5xRqNhiQIopzu&#10;ZrWa6LhyS3rV4F27P750+RIMCwWAo7Z8+bJbdiaqhvnx7o/Qfr3zztvQUhk6MqO0aEZnNCi+1WAw&#10;QYA9fHbV6bKymDx8yIcqs7NoglZSVJKTde3+eWiJ8Olrdf2uK9PHR9drzLuOV/Rnc97XE+TGYIY8&#10;ZBXPa0ggghjqSAxyJEqNbLpQxxiZzGC16kwmL4pnbYvxsb/lD8aihyEoHSZL+C8tzkS5yYVlbe8c&#10;/DkQsdiQSJHI6XBQpeETrSppzfjbEroCIiLk/LQxshA/mhfP08SyaThJV9ix+L4RTJgsZrQypqah&#10;1uEin1druCO3uYwKl8nL4v5NUsYZyohmnV5D0WTB/f+u1Phhfsb6rhiy2CyBTCqUSoZDBUPvmlF1&#10;TfVURrcadSo//8iRwygvFZGWlEyMj0NCFarZh6RAYlQdaVuTc3K8N1V5cxPIg7j/mC3db/phk3zc&#10;ZYbPJfxQqvLESZPgAKOzFiFJfyTmd7e0dR8UUgHBPh8jxKWiouXLl725cVPG6NFgow/Onbtr98c+&#10;dpdIKCKu561NG6EHNFgP0V3HlxhGDAbTf4aRbmgyqiWSeHzIhyoP3pFAHZkaH84455/154zt/ooV&#10;8bveBmcpxA06MzHL72BxY28zgsFKDFZHpb7HN7r39firMUouK03p/plVrjZ4z1UEKx8/UhYTIdSb&#10;7EaL/fJ1beBEB8xgwZdQRyLEqMYwDofH43HsdrPD6WJ0eFoEFj18Ymb68/MyB1HRw5CSDmemKJ5/&#10;ZCzKTf62oO5v35T6MTeZRuIJC4uSShu1Wurp8VVjsoRnyoguZ7OZEyeHejhS+VWt3kCueeoM4x4W&#10;/AJf/sGHxeMnqOLppUP+qHWWnz1Jh/5NUvaUoZw1In64ZSibbXZaD+W8JJWEN3yjcX33SmaxWaJI&#10;uVA6xP2mRSKPr7pRZBlMXkaaF2DZo0s9JZ/WNtSj4ZXLV6BKf0hZQ6nQxKg6T20g5k0TiY7q+oby&#10;Et/XWxYteAgNw9xnH3eZQTBp8Q5KVUarLS0pIUmBxFBKuMVvD30Nj8WatesYnWUZ4VQBnx+vim1p&#10;a0OCr+8NRoBlP3h/OwwF9WUvQINhFOrjK38Neglt+tiJE48uX0GtaLngwXnIshmDwQSOQaYbOl3W&#10;utpCMKBQJgkFil4ta7db8PEeqmQpxCgnd/2uKw/PSob/jkmSeV8qJVosFrANZkeT1tyos5LEO2g/&#10;IuJzUlQStH7Aa09lv0aYbceX17blV3nZipjH8hT2+PysdJg5+MdtF49UeHMn8EtjEPPHxszNjUfx&#10;R1BN+PCHSlIPwPYvn5WSl022RPR7ZTS/Qy385x1HR8ctahFi+keP7vUtpBHyjyNlHx6veGJm+oxM&#10;91NB3qhBYNAZItLhU9OSVszrNgULUG4yFWZYWER4uLq93dlB1ms+qc78f0LtnbmMEM9QNhkc5ddo&#10;QmPKeZNwhvJAweLx4yKV1Wry+7BmBmsNf9TbpktcBs2bDP8mKXvKUJaLhMPtcJTU1zsoF/jIiPAM&#10;pXx4np82o+HipzuLv/nslnNyBDxxRARPJBgO3YIEuNKSEu9zFpw5jTSj1atf2rd3DxT1kpOSFi1e&#10;Av6FepbZYnnhd89BHWrxw4+Az95PdpeVliJzDyRmIY3JZCa/VECSJXUSBKmQ7e19z1uKi4nJHDOW&#10;0RnemJycgooDggZDOczHXe5x3V315pAGOgelEkOoabzUxOR9+/ahDlmzdt0zz646e/on1GDQQuRD&#10;7WODBXz+9Ny8puamS0VFETL5/Pm/8r0zT/znOFw/+Ltz566Dn+1vaGgAHYhaSOK551+QSCS+hzFi&#10;MJi+Mch0w8rKM29v/jP6d968hXFxSZGKOJFQhmIJnS5rWxvN+8+W1oaICOypPDS5d2JXyphWbztY&#10;3JgaFw6VNaK+RmTpbfEP3pFAnYoeqpVc1vrHsomymhcyEsKJa56YHnnichMM9Fv7yzGw6uL+I9Wb&#10;DpdRm4HKjU0bF0XUDYnr8VdjEKhVPX5C5cVNzVI+tfk0UTrMUojffGYSrTN1XnbU1ugpz/z9dMhK&#10;hzweL1IY2Ac5h8vluJXUCJ4w7Z6D8jrsdvpffk4nVXAZzljtzi3flIAPcWRuRpeAiJREOEYq5GQm&#10;DPyD68BKh+C+8Zv7MtCVDu6Nf/7gkr/qNvgCn8VSSiSNOhrD9w/Lps66t6Y39j8DQOFFtcNBvnK1&#10;rLjj2A5lQOFKpOBbk1Y6fJ8/ZqXlKlU69GOSMs5QRtS0tLaZyS8a3RnKKcM0s8etGB7abzMZvc82&#10;rBRDykNcj5o5xLqHKITw5TV/2vruewqFImP0aBj7hpick4NEtIIzp5F0yCDE1jE6Q+eo6ydl0Qr4&#10;fE+TECgyrqy0jyXyPZm3aDSa3Xv2oH993GWZtCsSgppzTeLIkcNINwS9QU3jpdpMl1dVEvsTNIYo&#10;0kUqlcSZfWnwyuUriAcF8d13t47D/dehQygNmZSSjIDJ42g3fQzGxGAw/WGQ6YZNTTXEf7/8cr/v&#10;y35zaM+ixXKlMg1XORxigMfjmbd3/WQ/8pNbMm5s7X5IyI2TEh+VsxTiVfNHedLgJqZHQt1wdpbK&#10;R53OfWqdroMD88fGPLvI/YosLzuqYoOhUGNAD+2ghVTdkDa3mrqe8SNlfmkMHP/8rHSqaNj1o0TC&#10;fWlx5srt3andC6Yl0IqGkMRYUZpSrA6iEhFyN1Amk32rkEY/Ohe7OjpslDA9h8tl7alddnR0kKL5&#10;eptQPFg4WdpMGiARLugSEEcoRAmdRRIzR8jCO/OdgxO0OFDSIbWg4et7i+ArgaW3xS+9LwVc12Dk&#10;jm/KA6okgpNfIRZrKA85Wifr5X+OePuZSok4RPMA6qqNzWqaIJTzgtvxd+6Aw5VIlWaT2kDW744y&#10;BQyKdOjHJGXsoYzQWyxVapoMidmjEnls1nA7IavP/Hh61xaD+ha+3sNZMaQFaYWlJSWo+l5dY+Pi&#10;JYsWLXiIpBZ9e+jrnbt2EscUnDm97NGlyJEZQbVOphYozEhN9TTJO0hw1Gg0t5xZTPf9Dnbkr29v&#10;JlYb9HGXkUZ2S92w6GoxauTWbdu8zEncfdifixYtIoX1UXve92NE4q1NG33MayaKmETAqXLo66+O&#10;nTiBnHAeX/nrysoK79vFYDD+eewdPrtaVlb66rr/BwbuuXt2QmKqUhnP5QlEQvfbG1z3cFAzLU2J&#10;tK1LFa3gb0VDdxgL0RoFPEt7ip6DXChrgQOoaCAt4Hn7XEmL0WI3mB2Xa7QoQG9ubveJZLC6hRut&#10;3gY3B/6SFMz5Y2OIAY/fn61Dw6T1+KsxjJ4RjozOKEjQY2I+++kFGbCdWely0DAUnzg1q/sdIwzG&#10;hIUOoe4A9q5RZ8VnYNBghoXRqpB9UJ4sPeMcSUGRxCjIQZ2+rTPbuyRFD+EC8ZE39cQEmVTIDRdy&#10;MkfI0b9+aUPwpUNSmDCxoCG4A8DXCfBifzs9x8fKBn1GzONZHA4DxRHyQit748eJrz5VGoKnjd3m&#10;unyZRomu4E0qZ0XiG1EoIItyvyyklQ4TeSPnWrsfTf2YpHyuthl7KENK6huoGcrjVIrYcNGw6geD&#10;uvHE39bf0vwEK4a0mC2WBx64f3R6Oqz0Rxy/a/fH+w58NjFrvFgsNhgMxCJ3RMqrKlc8sTIvZwry&#10;ANn7yW5qYu/Bg5+TxqDU6eqaak/NQ6bMSIaDbeta52e3jlw5e+ECShn+9tDXYIUFJ0/SCme+7PKy&#10;R5dmjRsHJt3SBqSusfGtTRtHjxmzc9dO2n47cbJg3Str4ACpP//yxvq/vr05XtWVxVXbUE81dPal&#10;we/v3FFWWjpz5iy4+6AfPt790aWiIh/PDbCP4NyYPHGiSqWKHzHi7JkztH0CZsOmKBhM0BhkumHC&#10;iPT+r+TfP9DHSN/z/9k7E/imynT/Z2uWZm2adCGlQFexpcgq0KooiywqwyDjgJcZYXRUZpjRe0cd&#10;nBkd9Y64zAxcuaJ3dJD5M6KIiMy4IHVBKSAIFAoF29JCN7okzdIkzZ7+T/KGt6fnnKRpm7ZJ+nw/&#10;+fRzenJyzvu+Z8k5v/ye55m3SJ06JkmhkkqVSFJMFKvBnBj9kAWyM42+bxSLo+fOnlwaZcOd+WTR&#10;0Gh2ln7bQjYn4sxfB8+2pKtEssSARlOQo8AfrKg2kB15GDWfi9099VetSL+rvGTEmQEpxZ1XL+wJ&#10;oNhTWo/foq8nUo0hZq5Zko37/pttp7AJsbbN8uYTs/F4Yt2QPFwHKnxeTuIjxIuYXlSUfvaKkZ4P&#10;EYgJKPpj+KZIn4Z4TWEkWx3JJscYkhqbOqzEixXEsYjtikhGHKsSj032PRX316s4zNIhWTSkZEig&#10;e5zXLcupbTGHTq46SFRicbfXa3VSC4x8dEWQ8k7OhlWXou2oqDjNEKFs58hKhdPg0hE9KFLSu5wO&#10;q5P629Vb3GSWgIWlw0gFKV/ttJ5roZ4mozNCua5dZ3ZQT2epIGF6RsroGQSn1VL58Z7yPTtCL8bl&#10;cWWpKaAYIuhOQL3REEz3sdntYUpCSDza+to2yvyay3XPPv0USrFHeSsvPx9NnD51Kthqd+99v6Wl&#10;xWKxUAKZf7RyxfjMcbj8SAiI3v1m4xPhj0/oLhPdCcesh/DVCQleKoTYUIiiycS7YW4oRIPRJkKX&#10;Zu5z9AbzcQAAIk6M6YZpaflDt3JGPTEvL3/a9GIkJiYlpYOSGG1kSYXkWDzkqcH2OhapNMrygjRy&#10;cQ/icXrHodpgufnqzPanP+xJPEw26XxdzpwJBRUmRly4HCi+drq6A2+UrGASK8RmQ6PZSbQkxHoi&#10;1RiyMfO1vVXkgsjE9JHydtRUYjzVfC4amfqr1p6CMz+dsvEf5Wg+8Xd4qisA0YaQy2Vxe8LQ+nz4&#10;JqeAJLsasaUxmmOosV2RUVUsGBuwKE7ya4sotWIwo+JwSofHKrSLizXEhYU4zSm5TdHpTJzXKzcf&#10;JS6JG+/zper7+V15pZt1QzqSyRKJx2Siq8nbzyZmpY9dOrcxena6tsXWfJUhCuyU6GY4/aPunjA9&#10;s7WlIYR0GKkgZX+EMsNROkojlDs66PNvzx8/eiKUwwlMHiW1ksMBudsY9buhJpjwdPjwN3K5/OKF&#10;CyF0umDiWnNra7CUiAAAAHFMjOmGfL7sD0/9Dwo3Hh6qq6uIF3nOunW/1GTkpqUWwtETDSyc3PNT&#10;f2a6ePPqyVJxAjkbIPGcjFSwG3KVeCZjlZIwaTUwO+xSFT2/J19qCgRPHanSbbg20xfz+6Fvguz7&#10;I9j5SS/5knE9EWlMjqbn/rW2refBOEsqLM5XkUVVnLXwb/+q/tNDU9BMYlS3/eLGze9VHh3FCQ2B&#10;fn/HkFJAhnY1krM3YoXR6/Wy/WJTFHoYKxsDivyB8mbKWyj8GUmKOPZ52KTDpz+8sLesweJwB7MD&#10;N7X5LJb7KluXVvuKquOLJHmZIpVkRUnm4mJNRCqnc9hslUzWYjTSq/38/kBS7lhrXrY+Gvapy+k9&#10;U86gETfyJ53jjYHTOdrgcDkhpMMxCdYJFgZlZwBByudadGYHtYbVKIxQdns9Zxub6fOnZ6SoxMLR&#10;MAIWbeu3b21t+C5UUjw2h50ol4mVCg6XCycpqy9324hw5vz54RcxAQAAYvuZLuZanJZauHnzvtbW&#10;qobG6lMnj1BEvWFg+/b/ZflLOc+bvxa8hyPOvBk9uqFCyieLXxikgmHjIcXf11+sduYCuBJRz9mE&#10;5Tziub2i2oB0TKJ5WVIhMWdRUTr2/dVftaL439DriUhjxqh6xMTsVEmqXJidLp0+MZlSdIVoElYG&#10;S2t1kh3nkCmJ5Rdhtzwyc9OOcxQTEwBEQAIgZW8MoTCS5UXrNdMici9Gj7aIw5/pkmKSmG+wOhnO&#10;5YhKh8hNrOZz75ub3arvwu5gZCsuyAlcDE9e7ECnv1SQQFYGyaZmvPBg7zY4HLVcrjWZ6NLhQzs0&#10;//yFa0zayJdXrrlosNmppYc8bP5hiFCO2usGl5OqTmtoaXJ7qef+nxIyfytsyTD3ym84gCBlndV+&#10;somqJvPY7LzU1NE22nXtOgetNleyWDh97KgYCl9g8ntvha6YLJSKZSkqUAwBAACAOCMm66Lw+bLM&#10;zBnEq6TYlwS3y6bzuO0GQ4vDaW9raxgeMXH//j3JyanTpi2HY2gEmaORk0uLBAMlFsRLVl4y9tc7&#10;Q65MUqO19LkMWc77urwVC3PZKRKzw0U2G+46WEdpTLD1RKQxGCwFUjhS3v7WwV6i6r7KVsvr7sfu&#10;LcBap++zO1ggHQIjIxOEIS9ibRFnYPR6PGy/gdFCe+gdZhhFw8CpGumA5UVF6agOUm2LmWwTxufy&#10;wbMt+ZmyqoZO7ExU87lP3l2If4BBhZgHaTbseaLmcpPEYnp5ZYOLHQ3llY0dzku1Rvr806K5nWw+&#10;nHpRC1cgzEzPYJQOX9Dc+ER391hdT+mDAQQpH71ylT5zglol4ieMqnE2WLsaDdQThM/l3po9Nu77&#10;Hk79Eyh+AgAAAMQx8VBPOVGkYl2riZybwyopvlevv3Ty5Of79+8Z0u3a7F1wAI0sxQW9fuImHnGb&#10;tV2XmjotNrdExMN+mTRlInmxjNR+1/sjHq3xdLBHaPIy5Ef0s1d67rPTkoSLknqZDenqW7D1DL4x&#10;VQ2djH5Mlt+D+cGXDQfPtjAGNpbW6s68UEZWEzbeN6n2RQs5QyIARA9kbZEiwqn8f7GwiAOikWNx&#10;xJMtRlY6xHkS1i3JrflHOb76Eec7WoA43x/d1ZPcfUG2ivwLASqhHtkOSgQCh8djttko86OhvHL5&#10;KYaY1iZnaplHIlLCWRXVhJAOX8yY9QSLhaXD/gYpV7TornZS/WVJImFm8ug6JoiBrbzaQp8/fWz8&#10;RyiXv/dW6PonbA5bqk6GVIYAAABAHMOLy14plTnTp7MYdcMnnnghM3MGsiiiOQZD4E6oodGX8O6d&#10;XdvhsIgVFszqCVJ+ZMsJisqGdUMUn0s8KqPn4XFjxGumZwzsebj+atD4FKmY2XpQobPg6iK3TEnL&#10;TO9RLf/2r+rw1zP4xtCNh8QavviuJZxqqlqn59FdZx/T5SH7EsHtU8dUDDRHJACMLFhYDOZYtKPA&#10;52t2RaQq2jweeoxtxLE6HKKEBIkgAkkw6sx2FJhclJf08Z9uw/OPVWgpS6r53F8uyV9crAlctaoN&#10;r+z7foh+GEhOTPR6PIzllbP2Za1dXjcih8SFsx1mC7VJLi9vhyXX0N2RJZZwBUI4caIZYgdlqNOu&#10;tDFk33sxY9YfPM5UQ0t/g5Qdbs/JRoZ8l7lpoy5CubK5hR6hPEYmLkpXxXGv9VcuffPqJuJviGUS&#10;FVJJshICkwEAAID4hhevHVMqcxjnJyX5lCZkUUQgoyJBZuYM4i+KfTabm6xdRqfDptU2dXS0MUqQ&#10;qamZcACNIAuyVdgXYzQ76dY8XCDY93cXq/TbFqx5rVmS3WqwU8SyLKnQ7HAxOviwzw7VE2CEkiWQ&#10;zBfftaxblkNZhmgeo1oXYj2DbMyBihaspRL87vXyPuVCCjsO1eIxJGdLBIA4I5hdkUXyKqLsiigC&#10;OrKpFVEkb0Skw+ffP79JPIVyQdhb1kC5lpJthtv3X9p7oiFSscmMBCuv/MpxSUrSCJRXDhahXN6V&#10;bej2yQFt2ta09EwOlwOnRjSTIJaMU6fVaxlyaLyRMfvXjs/7G6T8VW2Tk3aUTkhOlgpHl4jc3mnW&#10;Waj3G74I5ZyMOO515cd7ju/431BPUPwEeVpKghASnQMAAADxD2+0dVggCCuOQCrNQHoiEhPnzV/b&#10;ZdUaDC1YRpw/b1FW1kw4gEaQG7J7ooQ++LKBvsBVXU8o3ByNfO+xhgWzAjHCxN8/PTTlnmrD1+W+&#10;B4ycDNnsIjUx02h2PrT5OCVWV83nMq4z2DJ0jn6vRbohGUoawXDWM8jGaJ2ePaX1WPi757bxVrsL&#10;663EEBUXpJJLKNApyVXj6c4uFxyEwCgktFcRGRVR+DOSFAcW+xwp6ZA46zf+o/y+udkzC1RyacKx&#10;Cu3esgZsJKTYDIkL4B//fmYYCqaHKK/8ly8Uw19e+TzNgOnTSlzJux1paNrqdFgNWqkqFY7/KIcv&#10;lRPfcHTpsJWb8D/Z8xeMLwh/VVc7rVf0ndR7SB4vK0U1qobU7fVcDBKhLBXEZ97PPrMZsjlssTJJ&#10;olTAGQcAAACMEuJZN1y1eh096Njh6OTz+52ChMsRICURyYgLFz4Eh86IQw5SPniW4aa2Vd+TgBKV&#10;RnltbxW5HkhRXhLFhuOryJyvqustnOWqJYzrDLYMPXyYeErHUdKIPaX1jDGAodcz+MbsOFSLxVOi&#10;71vyZhINq7xkzEgV47oxR6p0SDnNkgpfvH8qMR+FM0sTE7DmSHCmRg8HIQBQCCYpIpeip7vb7vcq&#10;osDn0EVaIigdvnywmkXLKkCxGX56pPl/P6kaUpthr5sPf3nlViPV5WdwsTfuSt/xaNew1UipuWDU&#10;0yrXu7y8PZbcXl8onUaRWMITieEgj3JCSIe3vX/w4JofFKX2Lfw53J6vLjH4XgvGpI+28axsbnHT&#10;9P3xSlm8RijXHPr0+FtbQxRNThAJ5GkpvIQEONcAAACA0QMPhgCIRchBykfK2xmredS2mPE0Ko3i&#10;K0Kyg/XwinyyhEfGaHYeqaKG7manS3sePAx9P8oyhg8fq9CSTT07DtUObD2DbIzW6fnNtlO/Wn4d&#10;Fkx9UimpWArRNjyYaTIBEhOJvxS/ZEW1AeopA0D4YJeimN9z8UGP3XaXy2KzWVwMBl6dxcLjcISR&#10;fkDNkgo33JmPT3zirH/57cr+Zi0YPEIuVyWR0Msr11m5f3hzwpZHLg5DG7os7ppLBoavD8eYOi9V&#10;sb2qbcvQjIdo5egnmHTY6XAu3PlhONLhuRad2UE9JdNlsiRx4qgayaARytlxGKHstFq+eXVTw3dl&#10;wRYAmyEAAAAwahl1uqHB0IITGgKxS1pST3ahPV9fYVymRtvzOIqT8e2rbD3bYFw4OX3ejHTssGP5&#10;fXn/OtxwoKKFbrchl2NuM/Ut1X1zlqEo55kaPdYNiUf0cEw9jOsZfGMqdJb73zi5vCBt9cIs8ggY&#10;zc7Sb1v2HuuJ+G7tdFBskoE1VBuef/c8HIRZUmFxvoqSKHPN9J7Ly9krRig5DfSJMCHBpwyaTIz2&#10;Q63ZrJbLhZFLuk+c++TfTo6Utz///nnKFQnFLxMTZefah1RPlAgENpcLVZEm83Vrwgtv5f127ZBX&#10;Xjr9XZvbzRBFPpavU9jHGb29JEKH29XZ0aZISYeDNvrhS+VpDntrJ9XQGo50aHY4TzZRy6Hw2Oy8&#10;9JRRNYbBIpRvzckQ8OKtDEhL5ZnDrz5v0bYFWwBshgAAAMBoJp51Q6hbEsecvWJEktae0vpg2biI&#10;J2FcGoUsn9WZ7a+XXSZeLH9SP+Jv6Hxe+eN6AtuDyUDEGjbtOCcR8YJJRfsqW1P3i9JVos++aw6x&#10;uT7XE5HGoPYQryKVRCLw3f1bHB76ksRAPbT5+MLJ6dMnJiN/YoU/IySjujoKef3RG5H4UvpYKZqz&#10;ZnoGufIM65oejUO/ASAYSpnMzVQqxNPdrTWZIiUdLi9Iw7kaiEvozk9qGfOZluSq0e8cxN+fX7Vu&#10;fq9y6JIeqiUStsdD10x3VwknHRraGimMEcoIMbfrseu6fneBWhdHa+kUi6UJ/anJC4wUUlWqx+sl&#10;dhllfp/S4VeXGE6KCWoVjzO6auYGi1CeoJTFWU/L33urfM+OYO+CzRAAgNGD01k/mI/z+eNhDOOV&#10;eNYNx2VOzsvLr66uIs+USJJgr8cBFTrLwme/7nOx598/n/u1pEZrCaZzhfMwjEN6Pz3SHGKxPuN2&#10;kVLZJ6HXE6nG4GEMvQDSWFnhtXxUoeZz6U7MqXnJ1KvQGPGGeyauMTtf21tF3inEx1fMzMzP7PX0&#10;dbq6A03UtpjJRyax8KKidLRyYhnQbeMSDpudIpe3D7F0aLG78S8uOw7Vkg+kLKkwTSZABx5xrEp2&#10;89YsySaWJI7hLY/M3Lr7YoiKSYNEKZM5jUZ69ZjfH0gauhopwSKUETnZiusnG7/XC3e2Um+TmrSt&#10;44RZEK0cEyBzaL+kw8v6zqud1MjcJJEwM1k5qoZulEQoO62Wz1/6XYgSKGAzBABgVOH1dg3qbpaT&#10;CGMYr8Szbsjnyx74+bOfffrW518cQHMeefSPSmUO7PXRA/FUrB20Taai2lCUl0Q8bO8taxjxHkVV&#10;Y0Yz5OIzdIgdxPLnjgw8u0r5G++b1LbFhtXA++Zmk4vMIMiJJrFMQ4kqJZa566bM53ZWDGkE9IJs&#10;1ZIbNZ1dLsZCGeG4dIGB3GyFlA6NZjPxLrHMYDZRWqsrpf3iouZzn7y7EB1+xKH7wZcNe080EIcf&#10;8cIWWuIvRc6ObMeVMpnWZKKXV35oh2b/E0NSIyVYhDKBSMjLnej7heY/53eUvpva2tsK6fZ6tG1N&#10;qWMgoCE26Jd06C+HwqCP56aNrlLaoyRCuaXyzBcvPRmiBIpEpQSbIQAAAACw4j6/YaJItfyHj81f&#10;sIqYFghkA6ikDAD3v3GySCVp6bRFg8krqhoDsPxKLp4uyAk8YPxm26kKnUXN55bkqrHqd/sMDZZd&#10;yPHmdIxmJ6rqQ44qxYwbI167MPvRXWeHrlM/vysP5b681NRJcZk9VDIBFcm5/8VjkL0x4iDpsJXJ&#10;fGf3eNpNpsFLh3QWFaVjzZo4Von9O31i8sZ/lBMXGbT3kXSIqtIPUceFXG6SWEyvkWJwsR/ZlvX3&#10;xy9EdnMhIpQJbpiSksD32QklItdLc8w/+UZKWaDTblOYDAI5hC/EBuFLhyeb2p001X5skkIqFI6q&#10;ERsNEcqhY5N5/AR5WkqCUACnT3QiEgqnFk2+9bbbsrKy8ydOPFZWVt9QX11V9c3RIzY7pIWholQk&#10;zZg6lZj47MsvYDQAABgYMaMberyOLqsW/5soVnM54X6dQyEUYJBElT4CYk1UYbb21NzErkC0j7RO&#10;D4pNRtrf4mLN0x8G5A8cb759/6WKy9QwTKTOZEmFD6/IR3OQCyw/U4b0HeLvnK/lQyfi4II5d92U&#10;SdEN580IFIVAmTFZ/qyOt0xJwz2qqDZ8fLRpkOW2Uc0ZYsJic5fVaCkqOdIuj5S3n67uiL/iMyHM&#10;d0MkHeL4+k07zt2QqyQOVGJvbvrpFCQd4neJfTGkHZcIBA6Px2yzUeaf1vMiWyMldIRyijpRnS7C&#10;/87ONz10Wfh6IzVK8aqhI1Mo4gqEcA2MCcKRDnVW+7kWahUgHpudlaIaVWMV9xHKfcYmJyqkkmQl&#10;h8uFEyc6yZ2QtXHjk/kTe9JJzy4pmc0qISZ0Ot1Lm54/cuI4jBKZP7/0Mhqu706f1hsNo3osuHx3&#10;2nSrUC2v3Q8HBgD0i9jQDVvbzj/37K/p85ctW5ko9hkBMsfmoTlJSYFnWtAKAQAYOrLTAxakqobO&#10;0Eu2GW0h3q24rA8m/xXnq5AQWVFtQAoOMb2ZNRlJh0Nn/kJhyIhxY8RFKglZmMOSosXha0+WVEgp&#10;BVOUl0S8llZn4DZjiIVXzM6cWaDCK9m+/xIl7ydK5khep9HsfPntSlzVl2gPMjwS44CGIkQx9BhF&#10;yOWq5fJg0mGH1aqWRL4uB3GYoXJJZ2r0G++bROzEt39b0tBiRYowMchlNdqh7nhyYqLX47E6nZT5&#10;ka2REiJCmcfjTLuRGpH64C3643tTym29tFq319OmbR2TMR4uhrFCn9LhFR3DxXzimPRRVQ4l7iOU&#10;9VcuffL0r4LFJrM5bHmqWiiFwkfRS/HMG1/6y1+DvatSqYh3f/Hwg2fOn4+VHikVSclJSTWX64Zo&#10;/bkTspBoqNPpgomGQ92GKKFbVXg5tbiLKxxrvQKnEgD0l9jQDXe/u41x/v79e0J/cP68RerUMSya&#10;sAiqIgAAEcFqd4VeIFUR8C6RI5oxIbQ/7PP6urwVK2Jb/12FxDIUyDwM3D51TMVBBqsXEhMnZwZC&#10;s5H7DxsPib+LitLJXkV6sWmCH96WSdENN/10CrYuBp72pfzH7i2o3Xwc1aSePJ6abSpQfGZJNqX4&#10;TEwTQjq0OhwsfxniyG4RDzsq/r5uWQ4x8ki5Npqdz+2sGB5ZNlki8TBleIxUjZTQEcq5OUkoQpmM&#10;ROT6XXHn3Z/LqTvC6bDpdSKlCi6DsUII6XDWm+89kJs9cewY8vwkkTBFJh1VQ1TXrovjCOWaQ58e&#10;fvWFYO9CCZTo54bCQrJoeKyszGgyEhOLl95BXuyZ5/7041X3xETAsiYtbdtr/6dSqf768kt7/zUk&#10;DrgUtRpNfHf825Fqw4jDFqe1aW5pF6bBSQQAAyY2dMNp04spZZHDBFdEYQSriqmpmQK+L9oIqYqQ&#10;CREAgIhAFsu+Lh+gpCUW9jzG1Jntv3u9XCLk9ctsmCUVmh2uMHUfbKVELJiV/jJNN8QaqEQU+BL5&#10;5mzbvsrWnSeb3nxgOkX4Y9FEQ+LjZqsLRRlTFsOfrb9qNVmc6F+FlL9idiZqBh4NYoELl42LizUB&#10;RcBffCanVPbywer4OHiEXK5SItGaGQRiq8PB4XCSEyNTtO6qLmCJXV6QRuxE4mghV/omxnmo6/CQ&#10;4bDZCqmUUTDduCt9x6ODqpESOkJZmSTMvZ65BsLkCeanJwqeuUiNSm4ydkwQiXgiMVzrYoVg0iHB&#10;GzW1D7BYZOlw4pgxo2pwDNauRoORMjNuIpQPv7qp5lDQhwJxklyqTo7Oljc6gjas1Sm1d/chdFY7&#10;B5iJ9apHWOsVkefkskby61WpSHrmuT+haZ1O95v/fBT74/6yZfM9K+5+4KGH0b8qlermOcUxkcuv&#10;8PoCorXExBiNZog2Ibn2K+N3J06MVBtGEA5fYh5TclmWD19/ADBIYkM3zMmZPBSrDUdVRJJiUlI6&#10;WBQBAOi5KGX08dPCHI380R8V4IDcimrDgYqWfm3idHUHshauW5Zz9HstFm5wxG6YIM3OaHaiai39&#10;fsyW8pGcxPLrj2gmzuqIxwGFY6v5XLkk4FA7UqXDQ4FFw0+PNP/jizrkHGRo6pJsNLGntB7Jf1hw&#10;xPIllrT+ddhX8/d/P6laVJROfBA541YuGHemVt/fIYpaxHx+t0RCrxbi2wU2m4DLlQgikLb/UnNA&#10;Q3l4RX6ORkYMNc7UuX3/pb0nGpDiTOyLu27KbGqzDmlNHlZwwbTOyv3DmxO2PHJxwGsOEaHse3Yq&#10;Uof47H+U6L5p1nzVSc0seVXblqEZz+Fy4KoYK4QpHU5IThbxR5H1zO31VMZphLLTavnkj7/WX7nE&#10;+G5kY5Md3oR2V6/bA5s3oc1Fda0yanmHXVBqKRR3LV2K5C2dTrf+4QebW3t+i7XZ7Tve/qdUJvvx&#10;6nvRnHt+vGpIdUORUHjznOIZM2cS0yaT6YN9H5DbEz7nL1R++vFHaA1D1Ia8/Pyha0NUw+V71JPq&#10;kqd3cSETMQBEgNjQDdNSC9evf3zbtpeGc6N0VZFow3UT54ZfjwUAgHhFlhh4nsTxwmp+z5MVxXNH&#10;Fl8oS4aA7MV784nZe0rrPzt9dQDCH4p3Vkj5k8crwvk4lgIrqg2oFzdPTkW6YZoscPXDDjU8DiyS&#10;VIo0SiwOrrxlPJrAaiAjxMeRXFV/1YoX23my6a6bMol1mszUeHA08qjm75Eq3ZM/LkSt/fldeaWb&#10;dXFzpCFlkFE6RDMHLx3ixIXE+K9cMA5NkxVe4oj95ZJ8ZO2US4dDSRHz+XaRiF4j5evWhK3v5GxY&#10;dWkA6wwdoZyTrVAk80Ov4YmbDRcPKFt7l4dxuF16bYsqTQNXxRhCkZIuEggbOtrpbyHpcFKmJlM1&#10;ukScunadw02tfRQHEcqhExry+AkKTRolNrnTnWjy9PjsKJ4+iuRX6ZbouyG0ecgRCYXYTrht6yuM&#10;Atmbb22fv/B2pC3mT5yoVCShdH4r7lr2n489/unHH/33C5vC2RbxwcwMTWpKqsViudJQT9kW8e6t&#10;N9/8k7Xr0IYQxHbXrr1vACVHiJUztuqGwsLsrOyJ11/f1NjY0tJCqRPdrzZMmTIVTaSnp+dOyELT&#10;HQYDXjJYG9BWiDagf787cWLw5apD9yuit+njmjRzjQkKOHcAIFLETD3lgoLbn3su++TJz/vMaTh0&#10;bNv20rJll+fNXwvSIQAAFHLVPW4FSqAuJYUfecnHFua16rtaDXar3UUJPa7QWbbvv4RqgLD8Tjri&#10;VVFt2P5JTb+ClKXi/j3SYCmQ2NCWPN/v2MVTUrL+LSSbBIk2B67MOYF7snVLcnGv//j3M1igLFJJ&#10;kGvSaHbuOFQbTgMoytRzOyvWLsz+5mwb+hetjfrEa7a/su/7N5+YzfKnO5yjGcJi08OPRCCwuVwo&#10;rSEFg9XK4/GEg6v7qXV6tu6+iD2hR8rb93x9BQ8gMZh//NkNONEhsXOHp9fBaqRsP5uYld7vGimh&#10;I5RFQt71k/sOUcxO7/rPQtHjZ0TUvdBlkZlNfKkcLoMxhECeNI7DqdcyqA9v1NSu6rLdcl3e6BkN&#10;s93OGKFcPD49pvtVc+jTA9tetXHlLJ7v9LSwpRZO4Pu3ky01JChZCXyW/1IHXr8oZ2pRT+TZ+QuV&#10;jMvY7PZ97+/B8mJyUkA3/M/HHmf5cyBidUyTllZ4fQGLVl84d0LWPffcQ8mWWHXx4m8efwwthlMB&#10;UjZNzLlr6dIdb/8T/YuUymefforseSyeeeOtt9128cIFSg5BrG/itj337H+Tq0Wzelssw2kDsS2J&#10;n9mz5+BVESODB4fgzjvvwNultIHFVH+GGBZ6uerwe9pnvyIFW6g0am5qFI+HswYAIgsvhtqqVOYs&#10;XJgzb/5ak7HRYjGYzXqD0Wcq0bZdDR1xHEH279+j0UwoKLgdDh0AGM1gvSwccJwvHWzvQqIMJZQY&#10;CY5YOmT5FckteTN/93p56FDcORo5TlNIzzYYGizMHW02HSlvR/8unJxONIaS+pDld6hRtkL0ApVa&#10;RuAyJh982RA6wWJrpwOvc830DFxThRgQxsBYusyKWzt0xaZHClQFhS4derq7tSaTWi4fpHSIR/vs&#10;FSM+Ask2Q9awJzpk+WukuIxGp5caWfyXLxT9rZHCGKFsscu+b5+gkekW3MIP91ye0XGkIX2/njra&#10;zR3aTGEiFyoqxBR8qZy4/jJKh+80X038qPRXdywYJUPBWEN5+tgUqYAfha0932AwdQUc6EerAqZR&#10;U5fzfENA+mzQWZs6rhkMJf8Ral0uOA9ig7S0nooWIWSmlhbqkaxJ61UK44bCwl/96hGsXul0umXL&#10;l6FpJIHR10ksjCVInAqQ+OD/e2t7xblzxXPmIDFu+d0rsW6I1jNj5kykpomEwvvXrkMx1IuX3kF8&#10;CmdmRButunjxF7/6pc1uJ5YMpgkS81FT+2xD6JLTuONYKKS0gRW8aDUqV/2jlSvwLgizp+H0KwJw&#10;+e606d8nz4DzBQCGAl7MtZjLESiVOUpl71v5Hz6GJpzOTofDl7PGYPB9czic9ra2Bt8t4K7tkWrA&#10;tm0vvfoq6IYAMKrBehkjnx5pLjvXfs9t45Ga9vCK/LIabZ9lSYh1psqFrN66zOtllw+ebVkxO5Oc&#10;de6xewtKn/062HqKVJItj8ykz99wz0TkKSOa9/SHFxg/i2OoUeWTPV9fQUocpfAxihHG6Q4pvfjz&#10;+mm4tDGuCl1xuQ+Vp85sr79qRRkhUTsPVLRQBo3oWog1YDF32IpNDyc+6bC7m+6/83R36zs70xQK&#10;Dps9mPWTi1+z/GI3cdySj/MvvmuZPF6BhGBihIdBmSV6pJTJ6DVSDC72i3vTtqwPt0ZKsAjlfTU3&#10;XrJJWK1Zr1ezkhK6i5Ld2amurHRHWrJj2qT2YGv74xLd8XdTKdHKbq+nra15TMZ4uDbGFiGkw7/X&#10;17M+Kl03r0QiEsX3INS168wO6oVljExclD6stcLJwh9WAxt01kadFb1b2WiEI3bUgqNlP/34o1AH&#10;8+XLlDmJop4CYn/e9OLskpJe3w7ff48mbr9tHhYNqy5e3P3uO3n5+ThbIgalAiRH7NZcrkOaHRbF&#10;lArqj7XPPf0MebtZEyYgNY1YEm3UH1WtaG5tnVo0Ga/nry+/ZLFYJBIJJR65zzZMnTYt2PigCtRN&#10;jY1Hjh7FraW0gZjz+MYn8fKb/2ez3mi8eU7xU888i2auvW8tcm6G39Nw+jVIulWFl1OLIZUhAAwd&#10;vDjrD58fKIWMy5jk+p06JcW+Sz9SFa1dRqfDhiTFLqt5BAOfAQCIG1IVgWfL+qtWpMq1mewoclYh&#10;5S8qSqfoMiy/Ne+DLxusdp/hISdD1qKzMboI68z2lw9W7zhUS6wECWrECkOE4koEfVjPZhepWR8y&#10;v4VjqFHlE2ITKMshqo6SpuxVwBenOyS6vP7V4yW56tULs8aNEaPSxm1bbOQWYjthCP72r+o/PTQF&#10;TSOVc09p/d5jDThEGncNF3RGqPnc++Zm41jaODMbYpIlEo/JZPdQBWin19tuMqXI5YOUDvFgPnl3&#10;IT0enOx7ReOM1eGhQ8jlJonF9PSOp/W8l/457rmHqvpcg7HDefH7Dvr8Uw2TfaLhNQwu9tetCcSL&#10;dRYd5GlTle4xMk9Wqqsox5Kuto1JC4jREpHrpTnmn3xD9d5aiRsLvU6kVMHFMMbuG/3SYXOH1u2l&#10;nll/r6+v2mt8ccUdcSwd2pyuRj3Djzq35kSyGOCR7wM6IBYEzzUYOv2ewV7eQKD/V0heX5d99kB9&#10;0AJi5ZxoqfikkIcV5JGiDlXeiixpVV28+M3Xh3bvfZ/l17+wKHasrOwPzzxts9s/+/ILum5ITwUo&#10;ElKFquSkXmrairuWUcRKzMS8QDIEnU6HHHy49jEBDvL96ptvZkydiqOz+2zDB/s+mDJlal2dLzNM&#10;VlY2NleSfYIh2kCuP4OGgphGdkI0SouX3rHt9df1RkP4PQ2nXwOGLU5r09zSLkwL/yON4vGNRb8m&#10;JuS/eC8OrgPE7XeYS2YmizOV4hDvjktO1PBZAMAIb1T1FqmKFElx4cKHfA/JZt8jPXIpNjRWh4h9&#10;XrV6HRw3AAAgsBwmEQUup01tgUegCp1lT2k9ikResyQbu+ewwvjBlw09Jr6TfWwIFQC5ZUoa8jD6&#10;VhJEHavR+hIjorrDGali5OAzmp246siug3XBtoLb1nktCuzjo01oi6sXZuGuoUhkvPCJSh3RvH2V&#10;rWU12k0/nYKWv32GhqzfmR19x4OV1uokO85tvG8SnoOyOuK4bLxFlj8WG82hlAB++e3KeD3YOGx2&#10;ilzeziQdEnM6LBa1VDr4rfxyST5jEskj5e3kIwqpw2W/69tIO0gkAoHd7bbQUqd/dEUw6cD4Hy26&#10;Evrj5afa6DP1FvW/WrNCf/C0nke8WFcErOO+Bx5sSExNcmdrun6T7fhzLTXTcZOxY4JIxBOJ4cIY&#10;YzeHUnkmX9DQ0kSXDstMpif2fvTUkgWpyvjMr3/x6lV3bz8vwfSMfkQoI02ws8t53u8HZLQNjma4&#10;bLaIlkeCUcsTBxH4hJAAgST5fXfiRKjvC5I+1WHw/b6YNWECeQGdTrdt6yuUtIa33nwzfhcrZSG4&#10;obAwNSU1PT09Y+zYGTfOCrFk8cwbkZvvWFlZfUM9RYjErf3u+LeBmyvSj2T33fsfu/e+TzSGaCq9&#10;NnSINjS3tq77+f2BR90JWTv+306WXydljO+mt2H53SvRxEubnicPBdGG9Rt+hSRFHLgdZk/D71f/&#10;bor4EvOYksuy/FF+duDqdn0TxpJnHh9UYzZ93HMTflNej6ApF/EnZUCZmtiGB0OAQGIi+puZ6cuM&#10;sPyHj5HFxGuX1ySlMgeGCwAABLlaCJ29xxqQbqiQ8lfMDIT6YoUROQ3DR83nZqYHJInatqBp5rRO&#10;D5Yj10zPQBbFyktGxiyB1DvIa2271NSJb0eQ5jhuTEAwYvklUfLCuEwKsWlcTWVxsYYcDX3D2KTQ&#10;ORkR+ypba1+03D51DDnz42P3Fpx5oYxYOd4iyvNI+SzRzpffrgxnK7ELh81WSKX00F3f4eR0Evfm&#10;aolksDeg59pRbZyqhs7aFnObyU7OaThHI8dR8PVXrUMtGiJUYjHL7bbQir1uOiTL1qSEiCm+cLbD&#10;bKEGYLrcgo8v39DfNvQYEn34RPlkvtfO83AFHrvAbeN7uAm+obiqbcvQjOdwOXBtjDFxRyDMTM8I&#10;Jh3e+/7+/1u6MFuTHme9vmo0GWzUr7BksXD62FQ0jTMJnm8M2APpzsG4h+rp4xH/9fwr5PG45Hc5&#10;nEFmmwX6uEsJ+R2Xlx+QkMj5+zDv7nr7zbe202XBpXfciSa2bX2FUTRsarkauJMpLHzmuT8xRtcS&#10;W6TMWbz0DlRiperixT888/TNc4qDtRaLoUdOHCcaiUS3Bx56+OZb5v7hqd9T9L5+tQHLpsh+GGLE&#10;UBs0aWl4zacrqDeN3x3/llI0JsyehtOvfl6y+R71pLrk6RCYHG288EklaTroYoUaheJaGcZJGQq5&#10;KPBLFZYaQWeMQkA3DAVZTAQAAEDgJIBkcCK/09U9QZF1Zju2HK5blnPwbEtonTEYRSqJRMBdtyQX&#10;ewbDLE+RkyHr14Yokcgs5HP8pBYX2w29MItWrgT7FpfcqAlT0SO6VnGweu+xhp/Oy0JFOXCgt1jI&#10;bLuoqDZ8Xd5Kz4cYrw+xarmcWTp0OAQ8nkw4qNtoYjcx7inisMeR8iy/Svvczoph67VSJrMZDPQu&#10;P/Ze6v4JnYyJDo0dzku1DAnRTjQWkiOUB4zDyWE7Od6uBOKcRDe8bKHbK/C0d7Yr05P5yWARijGQ&#10;dNimbbU6qUkVtC7Xgx8f/Ou8W4qyx8dNf91ez+Gz9Vab7xLd2Oz7QrE7PVf1DqU8cdPO7+Mydphs&#10;/evmcDgkgY/s9eNFU3wuQMGX6LB3PWIy8xcGEtB/fvAzylvHysq2vraN8VM4kve706cZFwhdLSTw&#10;2Wt+PXqs9Kbexj1svpPL5ZQ5BEQjzZ2dKF8h0bBtr/0fuYRxmG2g09TYyDif0gZyOki6hEoxNobf&#10;0z771T9k45o0c40JICrFMOebe27PyH5JRqkRB2JjhRGFVPvnJMlFcLs1TIBuCAAA0D9wEkCjucfK&#10;JBUzf29hyyHBhjvzH911Fmt5fZbvoNemQPztX9Xh3lxd+zWvqqEznOXHqET0th2oaFmzJBs3A/ea&#10;cWGizWii/qrvsfOz75qR9lc8JeWZruv/8UUdVk6zpMI0maBGa2EU+4jFnv7wAtF+cswsCr5Gbdj5&#10;SW2rwW61u+I1m2EIhFyuUiLRmhmOH73VymGzJQJBZLc4RyN/9EcFPYbTasPz754fmAg+MIhOqeXy&#10;ViNVBzS42I9sy/r749Q6Py6n97vjDCVi9V2ZFY5ClcRrd7tZbrfN46FrkQOm285j23ndJlZHi6+d&#10;bAGnW8gRJvH5Up4okcuRwR1XtMMVCNPSM1tbGhilwzUHPv/LrBnzp02Ole5U1eisVt/lusLvDSSu&#10;llfafF8EjWZ7ozV4wtkOW2xdDLEZEAf/JnA4fKwJggEwLqi6eBGpe4uX3vGXLZsZXYHFM2/s8cqd&#10;OkV512jqu64O3aJIBlcLefbpp3CkMxbysDBHcUQSC6PaIDNmBqz67dqASoJlODwHsePtf545ewaZ&#10;CgmI7a5dex/aXJhtoEOvNB26DSx/2kfygNxQWIiHFxkww+9pn/0KH7dmDlRMHm1gYTFERDbSFrFL&#10;kfirSEwA02JkgbtYAACA/nG02YS0s9f29pRlkEsCstrZK73uTcmWQ58EtqtHy0NZAkNw8+RUumi4&#10;ace58ENx93x9hfh7VWfbe6IhnOWxSEduG8VyWHmJevNdNMFX4V4sTLghW4lFUpRFkRgr3P3FxRri&#10;VX/V2tRmlYoTUBpE4t+Vm48Gaw+2K1Ig2kOvMzOqEPP53RIJvWAIATGTx+NF8FH5oZIJuCgKUmyJ&#10;wVfzuXM08ux0X0bF4Smv7FNLxWK9lWqDOq3nbX0nZ8OqS+SZF8912OzUuGa3V/itdg5KFoalVbfX&#10;6/Z4rC6X1+ODnjtywHQ7vCyH125yEw+4AdlezksguiHiipV8jiyBB7+RRx8cLictPVPb1tRpZ5DP&#10;/uvb737VYfjZwrnR0NTmq51t7b4rwKVGU1eXI1xZMBbAaiDZFdgTEQxS4Ojjm68PYVfg/WvX0Z2D&#10;IqHwZ/c/gKarLl7EMbbp6f1IL3BDYeGZ8+fRdO6EXjlwiX+xaoYLGbNI2hkW5shqGtESego/lHiR&#10;RSrBTIdoxtq19/35pZeJXhOL3bV06Y63/xl+GzBYwgsGpQ1I+EPcu2oVDusmNv3Mc39C8994/TU0&#10;M/yehu5X/5SL5qMTPY56iFAGeoMlxY8rmunvIlUR2RWRVzFTKSYmYNz6d/bFd/e6bDqd9rLZrDcY&#10;daSvlkS12hd6nJSULhAE6i8DAACEz8Jnv6bM+du/qm/IVp6p1dMjiPcea5hZoBo3Rrx9v0/auKrz&#10;PY7uKa3vM9b4m7NtWMirv2o9UakjFxcOh6PNpqNhpDWkYDQ7KW2jWA4RuG2USruod7jS7ssHq1v1&#10;XVh2JOdJZPlrqgRrxprpGcirSHCkyrdYQU7gZ0OLzQ0HoUQgcHg8ZhuDuqE1mdRyeUQerTevnox3&#10;9JHy9q3/riKOQGLXUI6HYMkl52jkt8/Q7C1rCDOyPjQyodDhdlsdVE1k+9nErPSxS+cGrBbaFtuV&#10;egaD7XndnDY3NUKZx+EQL3LlAbvH43a7ibHtdrkia0hkmdwu4kVs4oovJWgCl+2ScIVJfJ6IKxBx&#10;IbQ5SuBwOaljMgXtLVoLw1H0Ss0lq9O1bl7JUBdZNpsdNbW+rBdIFiQmKut9/5od7nOGWA0i5nM4&#10;fH8IcDeXy/FPkL2BUAAECEbpF5+jEFeCH6++t7qqiqJS3bPibiwsvvLKFqypZYwd2+fKP/34I5Se&#10;75nn/vTSpucvVlfb7LZFixaRl8EpDll+4RILaliXrLscyCvti6TGl4tXtuBp7OxDDjtNWk/9X7Ja&#10;hyEW+/ubbyAjIepF+G2gw/gWYxveeP01NNTEOOO6zDitoU6nQ0Wow+9pn/3qL9zWU1nac84xxdVJ&#10;RXBqAOGAVEW6XfGv8ztvmwrDEy5xqxu2tp0/duTTYDWRKaxavS5JoZJKlUlJ6ZDNEACAgdzUBskK&#10;x/JbDsmWupcPVn92+mo4Msq+ytZ9j7UOZy8qqg1FeUkffEk1J5Ithzjkuf6qlawAYv3otb1VWDRE&#10;7DzZdKRKt2J2JtJP0cwj5e3fnG0jL1mkkqxdmE0v5runtB6ppVioajPa4JAjSE5M9Hq9dB3N091t&#10;NJtT5HIOOWH/gEAyN8HW3ReRx/OxhXnkqjUIYtf86aEpN5TWE4c3mqPmc1fMzESaskadeP8bJyPT&#10;ZbHY43bTXYF/+UKRO9aal633RSh/x3DWtFlyys1Z4WzCp7dyuVhf9HZ3O91unyHR62Xc9IBxebpZ&#10;Jrfd5BPBA5cDMY8l5AilPAhtHnEUKelcDqe1kyG28e/19VV7jS+uuGMw0iGWBVt11nZ/MsErrZ1W&#10;f935o60xmXuhJ2T4WuUQ7BDk83iDvxYBo5nm1lasZxE89cyzefn5Bw74nvJS1Orly3+ICy4Ti2HP&#10;IJmLFy4EW/nu3buRLqZSqYJlD7TZ7Y//13+id3+8+l7i9e6ut6urqnD1Ybr29+nHH5FbQnH2kTMJ&#10;YkRC4c1zitva24gPKhVJRL/QfJPJNLA2YL2vy9ZF3xxjG3bvfb+wcBIaz/yJE7Eay/KLhusffpAe&#10;JB66p332ayB4nPzGryZpzxo1NzWKx8MJAgwMt7vvH4YdDvjyChCHt6RdNl3Z4ff3798T/kfe2bWd&#10;/O+yZSs1mglSqVKlnpAoUsFRAgBAZImI92ooCCHuHKjwxb9YbG6s9K1/9fiiIt+v3DkZshadzWp3&#10;tRrsIcRTn6J0MFRmRkbR8Eh5+45D1DqANVoLHEUItUTC9njotYbtHk+7yZSmGGxiF2KvXWrubDPa&#10;UCTyHI0ci4ZI+bXY3Utu1KAdh94iPkLJh/jx0YgFlQerKG1wsV/cm7ZlfVdl+WW320u9NfQKy7Rz&#10;BrxFYUICxZDoi2gm7jddLqfXS7witjutbpaVZe9w9oQ2g5I4ckhVqQKBsF7LIEOXmUw/2PleiCLL&#10;lCBi1jW3ICs2ZUFcUQT7BAXXioeAJggMD2Q9i3VNOKMs88brr1HiXhXya2EKlqC3DTWX67AeR+fT&#10;jz8KfOWdOE5ejLx1vAyLJNXt3r07RHdwpeNe92Br19E75bsBO3CgX21AiEhF0hiLFzO2wWa3/2bj&#10;E8Uzb/zZ/Q+QRUNibIldQBYNw+xpOP0aGN12vbx2vxzKpABDidbAmvaL98YqE8cli0tyU1CYMzEx&#10;Coci3m5Au2y6N/72VHV11WBWQtYc8/Ly589flqzSpKUWwpkDAMDo/eJ0eigpBXvmRMZJ5itFTdYN&#10;K6oNHx9tolgXWX65ajTUTQ4fpUzmNpnoPjhijtZiUUsGWzuYvAtQQkPfI8qR5qc/DNg3Smt1j+kC&#10;JkTiL9mNWH/Vuvm9yshmPwxWFua0nvfnnanTUisZDq32Wzq9/Ag2gMXlivmBFSJDotPjcbjdjBru&#10;oKApiajcikDKY/M4YiWfl8AGMXHo4EvlE3i8xrYWt7fn/PK4uHw3V29j/eydr26VpY+TJ8V6bkEc&#10;PoytgoH6wpBJEIgabHb78y++8CTrt1g6JKPT6bZtfYWeYg8vHEI3ZPn1uDvvvOPWm2/GsbczbpxF&#10;980Ri933kzUbNz5JFtQIvjtxgtwS4oOffvwRxf13rKyMaMwbr79GWScxP3TH//ryS+RVhdMGRH5O&#10;TpiboC9AbIV4KRVJyUm+VNSMkdT97Wnofg2czvqMzn+kp00LP+nhWOsVea2vKveRw0di/bww2Vzn&#10;msKtLXO4Whvi3XNNRpPNCZcaRhr1XcSLHOlcqFEUjVVkKsU35alHiYzI7u5/4p6/b//iypX20Msk&#10;KxV8vmD4+7Pvg5fDjE3uL8uWrSy56e6I2A9bWtv6XGb6tOuIHePzMHQTzyQsYi95/f8SE7756C/T&#10;v2ia/G/Pu/6/XvyRbpbn2kwPXpjFcncH5jQbu46da+yzqeOTk+FqAgwzOpOpz4dzqUiUnJgIYxVb&#10;oCLLLL+jkC4OztHIUxUi4msbdEMKbq+3xWhkzMSnFItlwoilD8fpDu9/8RjFNvvMD67H+SgR2/df&#10;2nuiYYh2ls5qtTCV1Fw97nx+ag15zmXjlEMd04Zzd2BDotfjcbndkTQkBgGlSmTxfM5EboLvr08M&#10;goSJ/T2PXCxvZ6AWk1UfeHyym90sl4fjcrJcbK+bE4v9AlkQiMx15ts/jngbUMTrjJkzkdmt6uLF&#10;8vLT1VVV5DohZHInZBVNmmSxWOiSYmh+/9uNaBN0DyPLX8J46rRpyEP37q63yXVabigsTE1JDdYe&#10;SkdYvSucoJkLFixEcuexsrJ/vr2TMew6dBsQt98276lnng32brA2hE+YPe1vvwYOlx9m0sN40g0j&#10;zuX6VYP5+Lvnf48mGvTWho6eVLwVTcZOmyvaOvvS3LqFM/vIAn+pYezd707vc1VIRpyUobgpNyVS&#10;RZzLatqXbjnE+FZJrvrjR24d5uGKq9+oW9vOD5FoyPKbEC9erHjg589C5DIAAMAQUWe2hyj84rOt&#10;NZtglBi+yzkctVxOj94l0FutHDYblw+OFBZHL+G+SCWZXaTuuUGsNryy7/shjcdXicVul4vustxV&#10;X/jrRKNSGvhN2OZSnDZMGubdQTEkEthdLqfHQ7xYbneEDYl+UKpE34Y6fGoXuWoG8if6WpXkaw9W&#10;FdkibkIiJ+5PDbIU6HJ5nebA4He7vY5r0wkWj28AQ+JlRa++Rg8iBlkQiFdsdvtnX35BvP77hU3h&#10;LF9zuW5gpjYc4EwvUsy6ZsdjFOP8ctj5MDsSrHfhtDBEGxB5+flo4vSpU+G3IXzC7Gl/+zVwIOlh&#10;FLBxaUGfy5A9ksYuYjqQR5gsNQ6Pzpgk6Ts+wGIP6/75fLOReKFpmSjhptyUkjx1BDXEqHjWiKcj&#10;1ekImil/2bKVycmpHR1t/cp7SKG6uuqzT99a/sPH4KIAAAAARBVCLjdJLNYxhWIZrFYejxcRBQHH&#10;kmenSLDCu2Z6Bq6XzSJVUBlqUuTyZoOBLpXuvjTtZ4Vf8RN8t4NHW2+LYITywPcOKUOiyu8PdXs8&#10;vloryJnoGUL/bLfDy3L4DI+oAAurt6rIwl5FNE0cJaLANFYYMRxZAm8kLIzODurDg8Pmcdt6Bo0s&#10;AhKw7d5uRz88nq6oP7slPN+OwLIgrjcCBYgBYChQKpJwgPP5C5Ux2ovDh7+Ry+UXL1w4cuL46Nl3&#10;kPQw+pGLEsiBvXdM1oRYuKHD2qD33bZghdFkc6IJYg6W6gZGAs89FB3stLk+rmgmXqxrGuLSyZqb&#10;ctWZyeKY3nFxpRs2NDJk3F+2bOXs2XfgKsnXXTftxRd/S1lm3bpfsnw/hvhKTZ06eSREesTPvzgw&#10;f8EqqLkMAAAARJ24IBB4u7v1Voou5CuvrDWZNElJgy9fcKRKt8E/seRGTWmtLksq3HBnPs5KOQw2&#10;QzJEd9RSaWtnJ2V+q0tUWjtz6XWHq/UzG5zKaLz34nCIF6XWitvtdng8ka+10hfYq+ibNrnJIpo1&#10;zFWIeRG4nTRF7Pa9O+bOXCQLcjgcv7gPJUcAYGS5d1UgVPNYWRljRZGY4Mz585GPBY4V+p/0EIhO&#10;MpPFWG4LpjBibRElcMS+RXI6whE7EkkaYqFGQXSBeMWoCTGudEORkJrLLC8vf978tVxOj780M3MG&#10;/YM3TFmClykpvrfLpmtuvrhl8x/hXAUAAABiCJlQ6HC7rQ5q5IWnu7vdZEqRywcpQ9SZ7XtK61cu&#10;GFc8JeUxXd6CWekKacDNt33/pdfLLg9zf4UJCVKRyGyjRhuc6FSlNEw77yqKlR2HQpvJJWzsLpfb&#10;6x0RJbHfWN1w6gWjJ4gYZEEAiEpuv20e8fe706f1RgP6Fxf/3bfvAxifGL78tp7K0p4LM+khELtg&#10;bZGxPgmq91Lf0dXQYUVexcEbFQcGimV+4ZPKscrEe2dNuHfW+NhyIMaVbqhWU22A06YXk0VDxKrV&#10;697Ztb3XZaX3MokiVW7OTU888QLdmeh7V6yG8xMAAACI0q9CiYSxqq/d4+mwWgdfXnnHoVokF+K6&#10;yUaz87W9Vbjs8hyNPDtdOjUvubPLdamp80iVLkTOysGTnJjY7XLR+/tRa2aawhO7+d2QG5GiJHq6&#10;u33lVrxeYhfbPB5Pdzcc8CO8m7hcHtL+KCVHIIgYAGIBTVoaKh7C8rsLlcnJuE7xu7veHlURvvEJ&#10;JD0c9SBzX0kudb7J5mptrhqRJjXqu174pJJ4leSqV/sFxJgYybjSDfkCEWXOO7u2lxTfG8FN5OXl&#10;04VIAAAAAIgelDKZ22SiZ82zOhwcDieydcbJsclqPvfJuwtx2DJ6KNvAYm3acQ6rikPUXxtTokN9&#10;Z2eaQhE3li6kQ5HLrbD8cjDL67W6fOHFXo+H7fWCnhiZW8prNYixT5BF0gTBKggA8YHeaNTpdCqV&#10;r+glzmnI8muIb761HcYnPoCkhwAduSihS9ptt49kG8pqtMTrt++Xr781L/rth3GlGyqTMhm+D/SX&#10;lMoc8pzMsXnhrE2rZUjrXlKyAE4zAAAAIJrhsNkKqZSxvLLZZhNwuYMpr3zf3Gwcm7yntH7HoVqt&#10;0ydQqvncTT+dUpSXhN6qv2qVSxPQkhvvm8TawRo66dCX6FAubzVSo06cXm+HxaKWSuN4X6MAZ7q1&#10;DZVeISYCkqLfokhMjHJVscceyOpxCCZwOPxryiAIggAwqrDZ7esffnDtfWsXL70DzdHpdNu2vjLk&#10;xX+B4eda0kO7EGIHgXCZVZRwburSBr31cLUWZU6MeNrETpsL2Q9Xzxq/cUlB1KqH8eU35MvoMcgt&#10;LbUU3ZCO2dxEL3VSVlZKX3LChElw/gAAAABRjpDLZZTSWIMur3ymVr9ywTij2fny25WltTo8/8m7&#10;C7Fo+LvXy9FbuNTywyvyh9RySHRHKRbTa8JYnU6B3S4Tjrq06Kj0Cit4tCwyKrL8CqPjmjUVORbR&#10;dDQnVcRJA0kdDoiACDGp1yAFAgAQgubW1v9+YdO2119PTvJ9hdVcroMxiWO4rafEMApAf0D5E8nJ&#10;E881GSuajOeaDMREBGXEXd9eIV4P35q7cWmhXBR1qU54cbZfc3ImU+Z8/vn+6ybOJQcX08OZ6ej1&#10;l+hVlefPW9SnBAkAAAAA0YCQy1VJJDoLtbrxIMsrl9bqSh+j/q42RyMnhydLhIG7i50nm8TChHXL&#10;chRSPrHM0WbT0PXXVxPG5bI6ndQvdKuVz+TIg8ODdU16CzPnpd3lYpxvDTK/X+BqIQy3qsHfAgAA&#10;iAh6owHVRQEAAAjNpAyFP23iePTvuSbj4Zp239/q9kZ91yBX/tpXNW9/e+WFu6eMS06Mql7Hm26Y&#10;llo4f96iz784gOdUV1c1N1WQyyiLE6l5DQyGForf8MJFhjy406bPhfMEAAAAiBUkAoHd7bbQ0rdE&#10;qrwyprgglfzvxvsm5ZTKUAiz1e4atv4mSyQuo5HuktOazQPWSQFMMO0VNFkAAAAAAEYn12REHw0d&#10;1sO+rIXtg9EQO22u9TtPFGqiKxcnL/723LTpc8m6IcG+fW/9ckMRthzSCyJ///0psrCo11+iBDuz&#10;/BVRNBlQxB0AYgaHw6EbtAumm8vlhOdzIWfIYr7agmUGGAlUYnG310t34UWqvDJijMpn5K+/at38&#10;XuWjPyoYN0a8csG4mQWqfx1uWLMkm+WvuTykZkMEh81WymT06GxPd3fcJzoEAAAAAAAARpDMZPG9&#10;xMtfIhn5ED8+2zywWObzzcao6loc6oaajKK8vHxylDHFcsjlCCiexP3798yefQeyHHbZdDt3/pW+&#10;2uXL10IlZQCIISKTnMvtHoam4sKdtCt0r4xdCMZoPvD7ACFIlkg8QcorC3i8iOT+O13dUTwlRS5N&#10;ONpsqnn1+C+X5C8u1owbI0bJDQl2flI7PJ2FRIcAAAAAAADAyIJ8iOtvzTPZXB+dbf6YeFU0x253&#10;4lA35HIEy5evffHF35Jnnjp5iOwopHsSt29/nviU2azftu0l+jrBbAgAwNARVOJkUi3N4a1Twut1&#10;eacYJ6nuSA5nwFUygOiHw2bfmmYsaxGZvdQvfb3VShwZYj5/kJtoNfhCoRVS/vKCtH2VrU9/eKHs&#10;XPvP78obN8aXf7yi2nCgogUvXKSStHTaUBXmoSBUosOEBDjUAQAAAAAAgOFBLkq4d9Z44oUExG1f&#10;VkeblzAceHG5b+iWw8+/OLD0jgf5fBn6Ny0tn/IRYmGK1EgGzIYAAMQWForm2B/jJNX/SLI99nI7&#10;gtoYI2Ty9dPTy/Jk0v+5WEJ/V2+xcOXyQe7K0lrdPdWGorykh1fktxltR5tNxJwzrxoWFaUT7x6o&#10;aEEqYZFKsnZhdvGUlIpqw/1vnBy6LgdLdKjv7ExTKCDRIQAAAACMTvgC7vK70nbvaYahAIYZLCCe&#10;azJu+6p617dXYqjx8Zlsi8sRrFv3ZF5ejzg4f94iLBr6rhd82RNPvBDm2tavf5zsVQQAAIhvnF6v&#10;xe3uedntZpsNvXQWS2tnZ+BlNF7p6ECvRr1eZzKhl9Zi6ejqQi+Lw2F3udALBnZESOVZbtF8wuPY&#10;lVLt6nHn6Qt4uruNZrO3u3uQG3pl3/dGs1Mh5W95ZOZDJROIOVqnZ+fJJuJFTKj5XGLmm0/MRmWX&#10;M9PFWdIhDBlGiQ4Zj+0OWoFpAAAAAABGA7fNTd3y14w7l8HP3sBIMilD8dqameeeXfrbJQUyUWwk&#10;m+LF686QSjMe+Pmzl+tOGYy6JIUqN3c2ZQFNRhElyyEjy5atvG7iXDi4AQAAQuDp7u5xOJK8jYxR&#10;1WQ/I/taZsYeJyPYGCOHjOMsSf2KxwnUU85PrbnZnPyNPp2ymK9GyqDLhlToLA9tPr7hzvziKSn5&#10;mb00uzkaOSqWEliy2vDKvu/rzPYh7TskOgQAAAAAAJE5VrL+4eSMzG4WqxtGA4iKYzJZvHFpwb2z&#10;xm/6pDL6vYe8ON4TiSJVQcHtwd7lcgS3L17b0HiZHM5MYdmylfPmQ4QyAABAJOmVz/GayMioMOIs&#10;jVheFF+bgFIw4XBr6iGZsI08Z17Ot4YLt56zKChLWp1OTldXcmLiYDZXZ7Y/uuts0UFJhS7g6VPz&#10;uStmZq5blkNe7OTFDrzAkAKJDgEAAABglCOXCX6yJvVGn4kIFEMg6shMFr+2Zua9s8Y/sedMNOc9&#10;5I3mnZQoUj3w82ff+NtTjNIhiIYAAESEgrGKsSpxpkqslAgmpEhT5FSjU2OHtVFnpX+wQccwn5jZ&#10;1GEdJUNH9zCabTbKMhRtEZd84TEVnh5VLFAfVSY20Oevnnry/07desVKVc2IsRXyeIOvkYI1QYrN&#10;ELNuWc4Pb8vc+UntzpNNQz0IkOgQAAAAAEYnfAG3ZLZq3f3wOA9EOyW5KUeeXPjb98tf+6omOlvI&#10;G+V7KFGk+uWGzc1NFfv2vYXVw7y8/OXL12oyikA0BIDYhcNieaOjJZWNRuJFnjMnP6Uw0ycmFo5N&#10;Kr4uZfCbOPJ9O2XO0apec0xdzvMNxhALxC6M8dFkhFwuj83u5nA4fj0RB0THt2OxOKkiQ3aBPl8k&#10;5M2dr8rKb3loh8bgoqpmEamRwmKyGX56pLnsXPsN2coFs9IVUj7x2nDPxJwM2dMfXhja6wCbrZRI&#10;Wjs7KfN9iQ6tVrVEApdKAAAAAIg/JhcpH3xQKpODxxCIGV64e8qkjKT1O09EYdt4sHu4HEFm5oxf&#10;/3pGl03ncdu5PGGiSAXDAgCxjlgkogRdkktzOD0e1zULUve1+Zb+FB0eDEer2smyXcFYRWFmUmGm&#10;YsAyIv1T/V0PWXns7HKeJwmd5xoMnV2BIYpFt6Pd4yH/SwmI5rLZIiST+ctGx4eqOEVal6dkuOfg&#10;8TgzbkxP4HPysvX/NU/8+wNJlAVQjZQUuXyQRrxfLslfXKxB00az87W9VfsqW1n+sss7DtViSZFY&#10;5lJT51C7DoldKRWJ6E5Vq8MhSkiQCOAHQgAAAACIHzLHSpbdpYTAZCAWuXfWeOJvaOnQ4nAPf8NA&#10;N+wB5EIAiG/IShCjKoQvAUhhdHu9Dr/khIRFm8fj6R6S+w9kSNx9JPBvwVhF8XUpPiXRrycOz+BQ&#10;dMbFUzP6/AjZw0iWGsnzo19n7Kno4v9LURVRCRfsVUTZFaM8AjpH1HZDypeMb80p1iiSA2HIS+c2&#10;thsSXjlONdxFpEbKmRo90g2PlLdv/XcVuQSK1ul5vexym8H28Ip8hZSfpkwchjFJTkwkzmL6DwMG&#10;q5XH40GiQwAAAACIA/gC7vK70qBcMhDT3Dtr/LkmQ4iA5fZO+/C3CnRDAAAAKlhVpAcx+sxrXi+S&#10;FL0eD9vrjbieSI5rlokS5lyXMikzaU5+SkQimiOIPJFPblKfUiO2NJLzOeKZ0akw9irh0ju7IjYq&#10;oryKQh6PmMPn8UY2ZV4mXz87rZTxraJJaiwaItYur6try//oCtVwN/gaKT534Q5Wm9F2tNkUbIGz&#10;DcY0mSDYAhFHKZPZDAbKqRopfyUAAAAAACPLbXNT714phMBkIA544e4pe082tpuZ9UG91Tn8TQLd&#10;EAAAoB/4rEl+tYgiKdpdLk93t93t9nq9bI8nUiHPnTbXgfJm4oX+Reph4VjFnOtS5In82Bo6Rt3z&#10;sWXUOWS7Io7mxvJi9KRlDGFUJLsUA3VaOJxhMLXJOM5bNJ/wOAw3GTnZivG5Mvr8x/+j/uq2rNN6&#10;6s3A4GukoMDkENSZ7XXm4fu9lMNmq6VSeqJDu8ej7+pSicVwcQMAAACAWCRzrGT9w8kZmd0QmAzE&#10;Datnj99y8HvGt+wuT0OHNTN5WO9dR5du6HR2trZWabVNZWU+O0ZJyYK8vBlSaQYclwAADBJkUcQ6&#10;i8of5uz2eKwuVwSVRHJiRBTOXJyfEk5McQxBtjHiCbq8SFESsdpITFCq0IzAd01vlyIZVP0ZWRRR&#10;1HOkEinKOM4F6Z8xioaaMZLrJyczfkoqsT+xonVIa6RE1UnKmOjQYreLEhIGX0gaAAAAAIBhvWmU&#10;CX6yJhVSGQLxx4Lr04LphgQNetANh+gpztlZU3Ns27aXyDNRAeU/PPU/aamFwT7o8TqgqjIAAAO5&#10;vHI4xAurQkhJdLjdPk+ix+Nyu4NJS2GCwpn/VlrNuuZDXDxFM2z5EEccurZIoVFnbfBHQ1OExZO1&#10;Oqd7xEpt97IokgQsqp7Yf3/igvTPZMI2+nxlknDarNQQH8zL1j99p+iRD6jCYpTE8M7RyMXChNJa&#10;XUTWlpyY6HI6KaVyWH6RVKBQRHPaSgAAAAAAMHwBt2S2at398JwOjEYqmowlucOawCr+dUOP1/H9&#10;xUMUxZDMc8/+evPmfXw+NYCroeG7ffveqq6umj9v0e2L10LVFAAABnvB5XB4fD62NXm7u51ut8+Q&#10;OGgZEfkQX95/HuVDXDI1ozg/ZaxqVIdeEt1HI0AXFo983/7TrYc7ba7oaS2jnohSKKJ4Z1ToOVhJ&#10;lgXqo4yioVTCv7E4vc+t3zKz+VfNAuYaKVarWiIZkTGZo5GvW5JblOeTwrP3X3q97HJEVquSyVqM&#10;RsZEhyq5HC5TAAAAABDlTC5Srvqx1B+YPEA2/CKzpe3ZkWo/hyPmJ4wLc2EusTB/XND18MfB8TAK&#10;kYuGO0omznXDLpvujb89hXyFIahvOJubcxPlgy+++Fs0/fkXB8QS6cKFD8EBCgBAJG8a2GxhQgI2&#10;JGIZsdvlGnCtFXI+RBTIvHhKRrQVVBlxiAE59fKdP91aFixbopDLlSaKuGyO0+PxxZn7I81ZWN0b&#10;LnpSKPbOn0g0j8dmY3Pi0vQTGbKL9I+LhLySuZoEflgeuqA1UhwOAY8nEwqHs+NqPnfFzMx1y3Lw&#10;HGJ674kGrdMTgfseDkcpkWjNlNLZvp3LHlw1GAAAAAAAhpQUteieH6kHH5hMrMFuvziSMgXr5FA9&#10;X3ASKWIiRaakCJFC4fVwXMUcN+Wqh3mL8awbhikaEnzy8Tu//nUv3dDj7pUiav/+PUWTS0KEMwMA&#10;AAz2a763jGj3eNxut83lY2BWRBzIjE2Ii6doYq6ayhBBjMOHT9z2+3dOo0BvCsTguyxWtVRK0ctU&#10;197FNbW7u7uRSXA4JcVAmK1/i7fKKzPlDDe+PB5nxo3pYYqGiMf/o/7C5uw6KzU+Wm+18rncSOVh&#10;7JM5GvmjPyoYN4bqll1UlL7zZFNENkHcL3cJBFaHgzLfbLOJSecgAAAAAABRAl/AXX5X2p3LuDAU&#10;ofF6u+iS6NDJlMDwkyIVDnNyQ1Yc64YeryNM0ZDlT3TY2naeLAtKpRl5efnkj1ecLUtbCLohAADD&#10;BCrcLBH4/F/e7m6by0W83C4XPTVbn1BMiD8umbBkSsYoj2JG/PeqqcX5KRv+fpwes+zp7m7t7FSK&#10;xXSrHWNN7YCk6PKtJ+BS9HjY/gIpg0xkGYJblC3TMs8yfLXzOHOKNYrk/mnEUol90+oWxhopWrNZ&#10;k5Q0DIkOHyqZQLYZ1l+1nqjUrVzg+1V8zZLsSOmGBMliscftZkx0mKZQjGxKRwAAAAAAyMy6Uf2T&#10;nyTK5FD8BABYWeoRyCAUt7phXd2JYKLh/HmLPv/iAGXmpUtnKXbC5cvX4lBllt9yOHfuanoaRAAA&#10;gKGGw2aLryVGHKSGWNlo/MM75cQLRTH/uHjC6CmlwsjiqRkfqsQb/n6csQqz3mp1uN3JYnGYQpIw&#10;SIlkVFwbWRRR1LO7u3sAu4/MLcqW23K+ZXxr8uSU/oqGiLxs/X/NE//+APWQ8HR3t5tMaQrF0O2I&#10;IpXkV8uvQ9kMEVt3X0RC4YJZ6Qopn3gtyFZFqkAKsUMVUqnWZKIkBHB6vR0Wi1oqhcsOAAAAAIw4&#10;mWMl6x9O9qcyBNEw2rlcv8p3GyycSPzlJ4zncBITeGretReMT6TgcUfg5+341A09XseWzX+kz58/&#10;b9H8Bauk0ozZxYufe/bX5Lfe2bV95ow7ybJgWlo+9QHS0AChygAAjCwUDbHL6RxYLDOOYs5IFi+Z&#10;qhnNAiLRcX/McvnuIwyVN6wOh8ftHmRZYVRcm9Xbosi6ltSSrCeG6U/MEVmCiYZFk9SacQM3ky6d&#10;21jXIth+lprmz+7x6KxWlXhIbKprpmdsuGci/rei2vDKvu8rdBb07wdfNiAT4g3Zykjphiy/b1Se&#10;mKi3Wql73OkU2O3DnNIRAAAAAAAycplgxQ9TbpvPBsUwtkBR0vRYaT5/nC/3ol9PFAmvh6IusUV8&#10;6oYmYyN95rJlK+fNX8vl+IL+0lIL169/nFJkmVIdhc+XER/Zv38PnmM2G9JS4ZgBACBa4LDZEoEA&#10;xTK7vd4up9Phclmdzn6tpKnD+rfS6lEuIMoT+Vt/dmNhpuIP75Qz3AB5PM0Gg1ouF3K5Ed+DyJxI&#10;0RO1ZnOI/Zgjsvx44jeMbxVNUo/PHawvfsOqS2carz+tp94hWOx2IY+HjrdIEcJmiKltCdQwyR8X&#10;Ycu/TChkPGVMXV38hISI724AAAAAAMK6MZMJNm1Kg8DkeMLprGdd0xONpr1oJo+n4vHUQsH1yJkI&#10;RVqilvjUDS0WA33m3LmrkWiIyM2dTVngfMW3lKrKieJekUptbQ25OXDMAAAQlVdzDsfnkBIK1X7D&#10;lM3lchL0x4RIFhBXlUz4cfGE0ZYD8cEF+YVjk3669TBzukOjUSWRRFY1C4YvTtZioRfuICiUda28&#10;7jCLxfCWZoxk8KIhYsv6umUv5tITHRqsVh6PFylBjWIzJNhTWk9PYmi1B3YHWV6MFMkSid1goEQr&#10;E/8azeYhjcsGAAAAACAYpk7Hxo2ti25XQSGU+Mbt1hEvsjkRK4kC/ng+fxwEOEcJnFHSz1Wr11FS&#10;EyI7IXnO518c6LLp4JgAACDWEfP5KrF4TFJSRlKSUiyW8Pr3E1FTh/Xl/eenPf7vW58+8H+lVY06&#10;6+gZuuLrUr56ZlHBWGbBSGex6KzDNBpqiURM0yhzRJYf5Bxisez05TVjJNNmRcwSL5XYX7+vmT4f&#10;CWre7sH+/q/mczevnkwRDQlWLhi3vCBtWG+D2GzGbIYoLhsuJgAAAAAwIpg6Hbv3ND+5UX/8GAzG&#10;KALJiEbT3jbtXxqbf1Xf+LOWtmcNxve7uk663VoYn5GCM5o7PyGrgPpMqO2V3ErbdhUOEQAAYhdk&#10;QlTJ5ZlKpUoiEfP53P4k6UNFVKY9/u+fbD38LlPuv7hkrEr84RO3LZqiYXzXYrdrIyGchQNFOpRz&#10;XUsnnEngMTsNIygaIvKy9RvndtLn2z2ejsEJamo+d9NPpxRPSUH/Gs3OrbsvEi/078b7Jq2ZnkFe&#10;vrgg0LWKasNQjLMwIUEqEjHu6/5G/QMAAAAAEEEaGi1bX214+SVLUwMbRmMU4vV2kWXExuYN2o7X&#10;Ojs/RVHPgwFUyP49VI6SfnZZzfSZycp02oWpOjNzBpp2OjvpZZcBAABiEXImRKvT2eV02p1OT9ji&#10;14HyZuL1+12nF0/NeHBBXtwnQJQn8v/fhpte3n+eeNHfJQbQYzINslJKmCSLxR632+7xyLmu+/KP&#10;KyUMtzhSCT/ioiHiR4uu1LXk7a6iVgixOhwCHm/AlUPSZSIccXykvH3rv6vqzD4HpcXmfnhFvkLK&#10;33DPxKl5yZ8cb7baXdnp0pULAmmzvy5vHapxTkx0EScFrcK13mIRJSUNw44GAAAAACAYZyv0F6tM&#10;JbNVd68UQtLD0YzbrbNYvrGwfGm+OZzExMTpIsH1QuH1QxTODFHSPUMRl72SSKjPtPv375k7dzUl&#10;VFmuGEtZ7J1d22fPvhulQdQbGijvpqZmwhEDAECsg8sx91dA7LS5dh+5TLwyksUPLsxbMiUjvhMg&#10;PraskOjg73edpqc7HLpKKRQ4bHaKXG6xdKzJCSoalszVDF0DfrGyoWZbFr1Git5qHXDlkAqd5ZEt&#10;J4omKCsu6482m/D8fZWttW2WP6+fppDyi6ekYEMiwmh2HqhoGbqeqmSyFqORnuhQ39mpksvhugEA&#10;AAAAI4jT4fnyUFvZMe7yu9Ig6SHA8lsRfRqixach8vnjhILrpZJboEbzEBGvumEKfWZNzbGCgtvJ&#10;c7gcAaViMoFWW5OWWuh7sDlbRlkD3Z8IAAAQuwxYQGzqsP7hnXLitWiKZlXxhMVTM+J1iHzVpccq&#10;fvDil4yVUrQmU5JYPNSVUhRc18rrjsmEQUXDBP4QphyRSuxPrGh9aIeGXiNF39mZplAMzIt3tNlE&#10;VgwxFTrLQ5uPb7gzny4a/mbbKa3TM4T3QxwOsTd1FgtlvsXt5tvtAzZXAgAAAAAQKZwOz+49zV8d&#10;Et3zI/WNswe+nic36t/avnmkeuF2a11hB8k6XfVerzXYetxuKM/gHyVnPfHqNH/K46kSRTNAQIz8&#10;fXJc9grVPKEIgtu2vfTCCwVSaa/nW3+Kw16Ldeia01ILKys/o3x8/rxFSiVUUwYAIA4ZsICI4pfj&#10;u/5yYWbSqZfv/MGLX1Y2GilvEaOEZKahkw5lHOeC9M9kwjb6W8MgGiLysvX/NU/8+wNUI7/T6+2w&#10;WBiLigyGOrP90V1niw5KJo9XTM1L7uxyXWrqPFDRMqSiIYLYjzaXi17GejDmSgAAgOjE7fW6Pf24&#10;ribAkAFRQ7vWtvXVhs8OytetVWRkDiRsuaHRIhReH5eD43RSdUZijoc0hyxExp/ySHSn0/wpEhDl&#10;0iWJidMh1jgixG1+w6LJJRThj2D79ucf+PmziSIVnkO3EH7++X7iVV1dRZk/bfpcOFwAAIhvsIBo&#10;cThsTmeYRSFQ/WXiFa/2Q3ki/8Mnbvv9O+W7mYrD6CwWm8ullkiGYtMl6qOMoiGPxxke0RCx9P+z&#10;9y7wUZRn3/9mz4fZQ5LdZJMNCeQoBBYCiEKCUjCI9FFMKeKhVEXbh/KID74tIm1Rq7UU8f9CRZF6&#10;QCyvWEotYi0iqQqFRDkGAgFyJAk5bLLJZrPnc/6zuZfJMDtZNslukt1c38/AZ3LP7BzvmZ357XVd&#10;v3nX61p5uy4IKe14D2FaLPFCYcjXWN5hwoc9Z5oUXFZBlmKR2vtlfaFejzeGdU/jRSKn0+nweCjt&#10;eqNxeCpaAgAwFvBWU/W7z3jf591uJ107w5uR54kJKPO5enps7jD+viKG0waMMqqqu1/4dff8eYlQ&#10;9JCMf5xdkAqpy6W93vxs1BwHl6ujs+sv+IBhd4lFd0erTDxsRK1uqEycfM+CRRRjk6qqynW/Wr56&#10;9fNJSRkYlsBi80wmqjmjv2KIk52do0pRQ3cBAGCMgExU4nt6THa7xWYL8lWECD/874XZD+dPkAq5&#10;UXNA8H3Z/tQdUiHn3eIq/6koQi1eJAqtrlSoKE3Eami+udnMOfnDJxoi1jxSc/76JP9Ch0arVcTh&#10;8DlhiURZVTBh5ZKbIv0bWsyv7ikPn3qIn8E4iUSj1/u/5OssFrlIBDcHABiz2Jw3FaxweTz2m78c&#10;e3p68FdVyqesbnfwLmQAAAwUKHoYKqI1Lg/VQOTzJ8ZKfwzq4eC7RxTv2z2Fj9AaIu/Y8fpAF1VU&#10;9CQySwEAABg7MGNiJHw+PuBvR3qr1YHTTxwEGaL64fL8CVFmvvz7R6bju/PsByf9J5ntdrfLFcKQ&#10;tEJFaYrkMt1TnVc0lMWPgCb76k+v/+Tt8f6FDrVGoyrUpsMKLmvT43mE7TJBWrLojdUzfrXjbPik&#10;Qz6LJRYIjFYr9bnTZhNwOCggFwCASMTT0+Mg6XoU4Y8S0Id/3wXzlQcAwIgTqqKHwBCZkPaJzeZ9&#10;dkWZ0S63tjcPelSkQttsV1ptr4J6OGiiWTcUi1M2vvinV1/53yEuZ8mSZampt0NfAQBg7H5VMJne&#10;SCuRyFsA0W4PMn8ZmS/PyUl4uLf6YXQcCm8Zx3jR49uP05ost3d3y8TioRfCG4WiIU6y0vjS/bq1&#10;/4intIfDdPiZxTmEaLjrYM2RC60Yj720IPU+fPfF3I0r1Mu2loZvT+OFwh6n0+QXN6QzmQShVkgB&#10;ABgc5PJ8ZAWQEvQH4X4AMEYYetFDYOggSc5fmENVF5GeaLNfHikxEamHQuHM+Nifwska2MtgdO+e&#10;MnHy+vV/3Lz5hUEvITs7p2Duj6GjAED0sWKmtwzfnjNNcCiCBxVARPnLJqs1mFiM0sp2fHj9s0uP&#10;FEz4eWF2FCQv59+W8Nn6+bQmyza3W9vdrZBKhyIdjk7REHH3rOZnm3lvnqQWczS5XDGhK3Q4RyW9&#10;L19F/Fl+TVdntDGMjPLPvIcFn5SWLFLLsbDWOpSJxVa9niI3hEMhBQCg7xZ6IxEYv9ZsN7Q/chgg&#10;xAACABAYKHo4OkFVFyl6osPR4HJp7Y56h9M7gv85PBtjsZzpjYtkwnkJHnbU72Fq6u0bX/zTvr/u&#10;oC1cGJglS5YVzP0x2UcFAIDoYMXMlDXLJ+Ijta3G0uZuOCADgshfxt/xjHa7v/+sP8g75c9HKu+b&#10;nvL8ksmR7rwc2GRZ290dh2GDS2gdzaIh4smiugsNE49pqAUNQ1joMD83kfzntrWzNu2+eKBCg4/X&#10;NBkYDK+kiPHCW8aIzWTiJ1FrNFLaTS4X12bDOz/cBwAgGMipwYTpBzkkEOIBAQAIOVD0MCLgctPw&#10;QSicSbQ4HA0OR73TpbXZL/eGKFrC9d0UtiVHK+yxsJPKxMm/+MUfL178eteut4L8SHZ2TlHRk6oU&#10;NZQ1BICo5O48JRrRGOxwNAYNv1cniheJggw/NFidKHl5eb43czn/toTI3Xdksvz49hOlle2USV7p&#10;0GjswTCMN7BvkNEvGiJeffraks1Z4St0mCwXMHotUD4/3rhicYZMzN3wxJRpJXFfnW5+YG4qmqda&#10;awr3boq4XAuX65+V322xcPGez4JXEWBMQzgCk2MDe24EDIIaODhS4kWp/fyuNk7e7ySERMiZPG4A&#10;BYWl+PwDKUCcP3c7nCAggoCih5EIUhKJP10urc122e5ocDjrbbYrcHxGEPaY6YKSGTOKsrNvv1B+&#10;7JO9uwLMec+CRTNmzgPFEACiG6J0mjf/McBscqzVYNU63MEv+f2fzcQX/pudZcW1HWPkYBLhh8FX&#10;PyRKH65bMjly1UMkHa754CS+L/5TO0xeYSt46TBSREMcMWbb8lDb0x8rKe2hSuNt6fB5kuw503Sh&#10;Xr9xhTotWXRfvopIXt5f3DCgq3LQxGOYU6+nCOL4buqNRqVMBjdSICohIgRpBUH/up9jFomAqrtJ&#10;hJwpfkrc5HEyiV+BjlS5KNLj7gEgIoCihxENm63AsLuJ4jg222Wr7bLNfhk0xBE4F2Nqb8XilIL8&#10;x2bdfr+uq9FhtzZer0LtsTK5WByHYbF8gQyykgEg6pmj8uka5VVdAWZbVTBh5ZLMhhZz8A4MhRly&#10;pEhOy4gbO7ohAap+GNtrvmy1228ZbFJa2V70+jcp8aLnH5wcucYp25+6QyrkvFtc5T+pw2SyOp34&#10;I8+te07kiIaIGVPan70DC1Ohw5pmA6PXOhm/VEubu1e/fXLprFT8YkRT9UbH7qO1w7ObzJgY/OFA&#10;YzBQ2r2FLI3GWJGIzYTiOEAkQQQJEinDRPXAMVg6kBLcRwnow/8cF3+TtBfRMfIAMJbxL3qYoBDA&#10;YYk4+PxJRIVEi+WM1XbZYj09GsyaxwLsMbjPXK5EmTiZ0Vv6EHoAAIxlKhsMAab+aL43I1IqHkC9&#10;NmWsr+qZRhds1Yw5Kmm11jQ8wVPD9L3Sa77sEQotDofBYrnli2hTp/nZD06+/tmlyFUPf//I9Mmp&#10;sfhe+E9CxR8DS4cRJxoiwlfo8ES1Vm90yMTclYuzqj8qw6+OnSeulV7VLi3wXpKfnmgczusF3xGx&#10;QIDvFPXMOhz4wIqJEbBY+Knislj4EJLyjgAwOAh/YcJc2ON2x/TegaM+azguxpnL7qtdkM3t6unp&#10;cRm7PW4X5jFhPX2FSuWulrjxmYtf/hNXhEGfAYAxBbnoIZ8PxUYiG6FwptcWmfFTh6PBZrtsNB8b&#10;NluVsQkbDgEAAGONjCQxGgms7m35uEIZy69tNQa/5OnZ8WikpPLWv30puKwd/3NHWrKopKz9ub0X&#10;/GdQy7Gp42X4ogInU49OmDExGI+HD2aHw2q13jK1jVAP/3th9sP5EyLOdhkpnoOQDiNUNESEqdCh&#10;1uHGr77XVuWps2M/fqEAHy+u7SjvMCE/ZUZvYC9+FeekSvDxykYDfpGGNbw3Xih0Ohw2N41Y6e7p&#10;8fZtUvfmMpkc/OSxWHw2m4X/D2UQgVBA5A73aYLRHic4l+NLCBAxXSq274uYH+NUcn3jvBhXApfe&#10;1szjduuut7gcTv9JIBoCwFiGKHpot4Mze5SASiJKJPc5HA1G0zGT+Rh4noSDyNANNW2Xviv58t9f&#10;HyY3PvLoSjSSOi6b9lOxsUmUFqFIAVULAQAQ8X0xQYE1wf6UiHQxXynx3klMdnd5x03mDLmZ3pJn&#10;DS3mYJS+gixFWrIICR+0M7yxeoZMzJ3ej6oYMUe7N3lZ5vF0WSy3dF5u6jRv/KRsi1c9zPl5YXZk&#10;qYcP508YFy96fPtxg5X6sorvuNvlSpBKKVJaRIuGjHAWOvRefTvL1j2Wi18C5Kx/tRxD5Q6JOfPz&#10;vJmDi8va//D3S+GLQ5RLJK16fTARW14Rp7fEJ3FzwdjsHhaLyWSKOBwufmqH7BsDRB+23uqBRD1B&#10;wm7Yhbe4oycaPYNpTWb5vhyzuT5ZUMayydi+d7wEjoHHdA5xLSAaAgAQmHatFQ5C9MHlpsXH/RQf&#10;TKZjRvMxqIEYWiJAN3Q4DK++8r/+7YHtTW7JkiXLhCJvzFFiYiqPy+fyBCKhjMXmQ31DAIh6UJgS&#10;I6CZsoLLWqT2/vaw50wT0ViYIV8+fzzhqcLolQj3Hqk7UKFBioZM7BV6vj7diqYGzkGelhWHRkqv&#10;av2n4utCSzNYnFFwzNlMpgLDYoXCbpvNYrMF1l8MVueWg5f+fKQy4tTD/NsSPls//8HN3/hLh/jL&#10;f3t3NyEdSpiOwqSvJPw2mmMVIaIhInyFDotrO87/8cS0cbHnr/v0BfwSQ2I6zZHPS3jGkvPSZ5fD&#10;14FjRSLkdTNQiIBElOxMpDbz2fipZkJqc9Rju+EoYr4xEn0eIzF83454eG4W03t772H2WHi+7z63&#10;wJHAcP/QrZ/gNma6OrmM8Ib5gGgIAAAwlvFaqWB322yXu7r/DuphyJ6ER/8majSV4VjswYP7A0xF&#10;wYyEX4pUNg4CFQEgakBRgYyAZsqL1Elrlk9k9MYkljZ7M6HWLcxeVphGmS0tWfTownSkG04d71ts&#10;TqoEn7nwziSZmKs3Oh774wl/6VDBZSFz2PKqLkrQImJahk9VPF+ti56vHCYzXiiMFQi6vL4p9sC5&#10;dRGqHk5Ojb2ldChjOaNDNEQEKnTI4w0lURe/cMhhvxtXqJFoiPT6C416/BJWy7Fni25TZ8fiF9RX&#10;p5vR1RqWx1Aez9pb03CIyyFSm4nLnstk4gNRJJGND2C3EgkQucOMKNYERWz0rsATs2PY3m7JFuDd&#10;lGG0mEwOs4cdbA2NdgbrQ1Y8Ax+44+d7rHmerlS3UeU2hHx79a1ttKIhVyi65/nXQDQEAAAYI/D5&#10;k5L4L9pslzu7/gKlD0PwEjf6N5HLGwG3I/9gxvXr/wg+KgAQHSDpIbCZ8orFGWgExSSumJlCiIb7&#10;ixtKKtrycxMpMmJmii+MESVOEusqyFIgYZEM3ohG+vNmmZXrjX3WGx3+n410mDEx3jA0odBkt9/S&#10;OCUS1cPJqbFnt9z/4OZvKq7rKZNsbrfJ1Lnstu+iRjRE9FfoUGcwKGWykGTmzlFJUXpyQ4t59dsn&#10;CS2+vMP05oGr76+f7b30chPDpxvixGOYrasr5P4Svvp0N8tMGNv7hBbD4XCYTC6LxWAyoVTicEIE&#10;Cfr7DkdP7rDU9xbAj/Xdc0RxvhFu/C3CYIUMfiJD7rbbLMbuLovZ7hpAXPw3TAE+4K8gCQz3Ao8x&#10;3W0Y5zbKQ1GOSt/aZjOaaV4lhKLFv3sTUyihYwMAAIwp+PxJqqQ/GgxfdnX/HeoeDoUI0A3jYlNH&#10;w2Zs3vzC1q0HuFwJdBoAiGjUcl+4gdHsDDAPoS3WGW3pYj6KPcTZtPsiIeQh3bCpzfeWMlutoF0a&#10;JvDdaQsz5IvvUBksztYOKzJrxkmWC+aovGXgyBnN+AYgiaT4+9YoPhfIOCV49fCTE9cixXNZKuSi&#10;qEOKdChlOVdknpTwaTLTI1c0ZPRf6BA/rZ0mk0IsDuG6Pj9O9VMmInbxqymsu8mMicH3RWMwDMMh&#10;9UWr3SwmohznHiaT2ashinpznCE+MUjI4YGEuwiDFCEYVQYjSBNkM/li7wiL4xthc2KYkpA9/LN4&#10;fDE+MBiDExDbGaxPmDIGPnBCoCEGFg3jxmfCJQAAADA2kUju4/MnaTvfgcDDQRMJ8YZcydrnXt62&#10;9eUR3xL83RZ0QwCIdDCeL2anPzcSnEQpH42cudKJ/5+f4yt7ur+4wT/6Dy0nXcwnyq59WdL80dd1&#10;Sglv29pZxGwKLuu1VXn+68rPSyDiEwlRcs5tPgnyfK0OX/LUVBkmYEeosXIQZ8SrHtqcTpPFEjiz&#10;j/Bcjgj10F86lLKcT+ScjMOiTTT0PZOxqu5XWv6pSae0mx0Ons0m4fNDtSLC14igMGP4ChPzORyM&#10;zzfZaK7EhwtULFaMtsNap7F0WJx6a+jTVH05zjdABRP7LqXeEEVCVfQFKqJHqWj0YyFCAhk364AM&#10;khTIiKIagqSby+DjBMMEWUB0mE1dFpPZYR/QEoaoIZp0ehANAQAAgP7gctOSEl9sbXsFpMPBERl+&#10;ylmZc9ev/+PZM0cplsrD/VTE5kOPAYBIJyPJF/pktvUbFqGM9V3syHB5enY8+vOrcy39LWdqqq+4&#10;YUlZOzJnQJ7LZPRGB62lgz8LbvfZwZOlxgdazMu2lkbreeFzOHypFBuIerj9qTvyb0sY1W/3JOkw&#10;U2B6eOJ/OGyad+koEA3rqw1XrnbOTO2sN8VdNMkoU3VmMxc/v0NLsy1t7kZX0I/mp5Ze1RIxhuli&#10;/s8fyEbj56o6h2Fn44RCl9Ppn6l6rLzjyQfG52RLC3r/FPM444Vxl653Xe8wX2rUX2rs8i95GVqC&#10;FMiQvIhARs83XYlsNqsfhXEoFi7ew9V/KB9F9UN43O6Ymz8ShQqgHzE8Zg/fe0aIeoJcMZvD8Y4w&#10;JRz2qDfRYfH4AnyIk7udTpfFZLRauiwDdhMia4g493uM2R5jqtuocJtoPVUs3QZTB00hYBANAQAA&#10;AAImUwjS4aBhR8qGpqbejg9FP1rX3wxGY5/naVeXN7NPq23q7GwL7H8SPPcsWARWywAQTZj6jwYi&#10;hMK27puiimgNTJC2SJgjf3iklnaZWod71daTSglPxOcQpswNLeZ3P69CMqWmy4YsINLFfJSkTAFv&#10;xCeRQw6LcpX4ek0Wl0ZniY5oxAGph0WvfzMnJ2HdksmjWT2UCrnf/m7Ri+8dktsP0YqGYoybNyMx&#10;okVDfafj8hWfYPdAVmn9hYVGD/XpQm80El7Sg2bPodo1yyfKxNw3Vs/4xzeNZpsTv5p+ND+VqCpw&#10;uHw48vrxvZCJxRo9tXhlq8F+4mTbPfNU6M94kSA/J4HcOa93mBs7zKWV7Y1eJbHLv/zlMN36yFeW&#10;31VmhO+GsEFogl4RXeCV0dkCFq93JEbA4gijKtmcxeGwpLE8aWyc2+O2Wcxmo8FmHVAWM8E/mWIG&#10;PvTeVNQ99hkeU7LHnOCxIlsVS7fB0NZB+8EFz/8BRMMQkjctDw4CAAARDZIOrzevgVqHA4UdNXsi&#10;FqdQxpGNycKFq3S6mjNn/k0rIK5c+YxC4fug3WFra2tk0Jmi4MyYOQ+6CwBEAX2aoN7a3zyE4TJF&#10;KJyjkhKuC8RyTHZvmAwqbqg3OoiPEAGJSFhk9No3I2lvWkYc0g33Hqkj28UiiLRoRq+w+Pnxxgfm&#10;piIlUSnhoSWo5djGFWqyvLiGwdh1sGbniWtRcI6CVw9LK9uLXv9mUZ7qtUemj5OLRufudHTUp7H2&#10;O/oRDQvmqTjcCNYL9J2O0pJml8sXBMTl2H88/uKHddTXS5vb3Wk2K7AhmZnuOdOkjBMuK0yTibkr&#10;l9wkB+CX3psHrpIrhJrsrvAp6XwWK04k0pmpeZH/qdZnTZCmpXl3Uy6k5ijgXRQfyEripcbeaMTr&#10;+sYO8/VeSRFu0RHKmNIEB/aSxmIyRZgMH3qzmF02q75XQxzc0spjeOUsnteXuZf5bnOKoE2eIJXZ&#10;uuMMN32Zzv2fF5Jyp0HPDCFvbX8LDgIAABH/rcQUxsf+VNu5Ew7FgGCPhZ2Mi8ucOZPhrxves2DR&#10;jBlF5Jas3teQgvzHGDcHMPJ4EqhsCADRgVjkS/QiFx9EbN93Zc+ZJgWXhcKX9EYHaj9X1YlKEL78&#10;1LR3Pq280KhXSnhEUcLyDhPho/JduTaYbUBeyTgnqmnmvzvPZy6xv7hh99FarcOtjBOSJUJ8dW+s&#10;nuGf8rxySaZYyNlypCo6zlTw6uHhsmZ8+Hlh9rolk0eb4fLVyqMlJR85HDS/akaBaOh0eMrOthGi&#10;IWK8vL7QGF+spXqame12IZcr4g7pBOHdW6OzrFicQe7/X5Y0v3WoEomGc1TSZXePR5cnuqLDtO8S&#10;Pt9ht/v3zH3fXH/24Sy+gJ0svbVIOjk1Fh/um973w2e3xXGpUd9Yfvn055+3M+XWGN5xlgru2yMI&#10;hxXjxHwp9kQ9wcjKHR49sHh8fEiUxibidw+zyWY1G/F/A6yESOYbloghS/cOvcy3daVYdRKnef6C&#10;woQ758MBBwAAAPzBsLu7uv/ucnXAoQge9hjZz7g4mjwFRWJyIHGBFMAIAEDUIMX6lS0emJu650xT&#10;lsL3tl9R48siPFzeinQKfNjwxBTyRxpavAFHU8f74hNrmvq8VjJTfD82ECGKvjsPl4VEwJKydoot&#10;LKM3SZlIYUaiIYPkEosvCv/4xhVqIjHzD3+9VGe0FeUq0YYtK0z76lwLbT51hILUQ34QnsvvFlf9&#10;9cS1/16Ys27J5FGy8Vcrj3777Tv0XzFRIRqeONpsNDn8JxVMOFtnjK21UW2UdSYTTyYbovkvfpHi&#10;A3Ihx9EY7CiuEL92Hl+Qfl9+n8qGbNDDJx3KxGKrXu/u6SE3mlyef/67adn94+OFg6mJLBVy829L&#10;YH+3z2o/i1p+2Pt/BztZkpTc4PSGWTW7xGYPu8XNr/UIGMDgvwx8z8BEhCCDZDAyxoMEhwGOCMMH&#10;sbeQpTeReegaIs43/FgG3/sF+tbFNsbFDyQ87tREuVopT5OK1YlyfFzK58GRBwAAAISC2w3GL+E4&#10;BA977OzqPQsWUWxVPtm7C4UWAgAwdvj8eOOKxRmEJkjQ0mFFtidEfrHB4qvEhEoTrrk/h4gxJGhq&#10;8+qGRM4ykZKMIxHSR6EUZPm8kmk9HIgkZXw7CVUR5U2XV3Xh/y9SJyHZEf9zw0dlaJ4DFZrEgwKU&#10;uTl1vAzphmo5du/05Jpmg78HdMSBPJdNt1IPDVbnloOXPjlxbTQYLpeXHyop/Yh2kioZU09XRLRo&#10;6N3Bc1pa0RBRlHX6zxV3UQodunt6OgwGpUw29LWT5XgFl7V0ViolcxmxZvnE8JX+ZDOZcRimNVJL&#10;Al7UmHMv63mzB+8D03r5PKUlidMZL+CnCqjmD3YPp93p/YlC7xLq3V6lEqmK+EiFC9P1jKVYOGlf&#10;ZyNMRRikfGEGhAeOSlAic8g1RO83gt1xvLEFH/q+l29WEtNkEnwETgEAAMBYQ8CfBLrhwB56x86u&#10;Bo4uBABgjICClQLMUFLZkVnSbLK4dh/tczipM9qe23tBfQRLlPKVsfzp2fFIQ0TaH1EPkaxloBlK&#10;yqgFyzJVvjjEC/U0rggPzE0lNoPQRFB0YWWDN5iRyGLedaiaHK5Yfu0mQSFdzEe5zHqjg9AN8UX9&#10;+seTUxJF698/F4kmKkg9NNhs3RYLJciLDDJc/uuJayNomfLNtzsqK4/RTlIlYzPuTIz06+js923N&#10;LYHCWsWC7vvHXd3bQI399BY6tFjihcJQbUlhhnzdY7lE2jLe4fccqj1c3lqQpUBBuGvuz8Ev3jAd&#10;BxGXa+FyzQ6qfvqvU63rlpgHV3PTpNXo6msojTwR/aJ4TOc4nvcuhP73p4Mp/DUrt9t1I8HWGcNx&#10;3RA0eQKP9WZx08VgmEfAs5icC0x6RGXyxTc9ppIVQAaEBEYjFA3R47A6rVaDzTLoeogU/JVEnCmJ&#10;chmPe1eaSsrngpgIAAAwJr5umEI4CAOCDYcAAACATJ3R9tJnl2kneeP4ekP5iBxkTZdXfSOyhok5&#10;08W+FEUiaLFP5rgziXGzgwqBWo4RsYSErjdtXKxvXTpvjTyUxczwS38W8W+Kolk4NQltVfH3fQ6z&#10;BVkKpGbm58jrwpa8GW4kfD7G43VZrRabLYB6iCxTludP+P0jecNZ9NBuN5eUfhTdomF9tSGwaIjI&#10;SaxeYEn4WkuVbo1Wq4jD4XOGGvel4LKeWZxDTkzeX9zw6XeN6No5UKG5qywR7/D4oD6ChS95Px7D&#10;bF1dlK5odHrWfHDys/WDqbDWWlHm38gTDjIlWe6xvBBT87zAF4xpFTBIAowlbbySK5YGsxynxdNj&#10;dQ/+cZMTw5TAMycwkJc6FpMpELEFIrzrJ/Z6qrgddovVYnHYhx6KSOZirx0zRUxMlYrT8EGG/y9J&#10;laFx0BMBAACAMcqYfobLzs6BHgAAwCDUCuSejHP+ulcr3L7vyvTs+A+P9MUnYjzf3fV89U1hgIUZ&#10;cn85j2DObb7FnrnSFzqkjPVJkOQkaH8KpvjUGZPVGy70o/m+uMVPv2sk5pmWFUdZ1IqZKYTFBPJu&#10;3hMJeiIzJiZeKIwVCDrNZrM90AvkvpJrX55rGraih3a7+eDnv+vsbKCdqp6iGJ8V8RZb9dWG8otB&#10;+f+w2cxfP9nZ9X7cOR31YUNrNKpiY/HzOOjNoIQZlld1vXngKkUcPHSyGQnlRPJ+mHqjQizWGAyU&#10;9tLK9i0HLw2i4zWcOkFpYbFZnCHUZUt3d73iqH+RO55mXVpNmtfl49bSoTeyD4L7gJEDeargfRWF&#10;97usZrfDYbXbQi4jIhq7jfhwvJHajvREKZ83NdFbVETtrZnIBUkRAAAgsuDSPRQBgZ7qx/LOz5iZ&#10;Dz0AAICBskjtC+XbX9yAMoX9c5/LO0xrt51KlAkotQWnZfiUu/O1Ov8lz5zoq5NYerVPlyGKJ6IA&#10;w/KqLhRyuKpgws4T19CkFTNTUNSV3ug4Ua2do5ISIZDkfGRC7tQY7OhTyDgCkZYswv+8O0/59Htn&#10;IuJEePUaDIsVCvVGYwDDZaLo4fan7ghr2rLRqP3y8JboFg21rdbgRcM5+SpZnHP9Us3y96g+Y+6e&#10;nk6TSSEezJu2f5ghjr9oiGO2+aJ9lXHhzUbhczgYn2+yUXP/8Y53X55qcmrsgJam8Ys35Aj4Q9zC&#10;SS7tKwzGEKVDABhFLzC9oYg8BoMiI9pdzlAlNdOC9ER85Iuqa/5T56Z6ayIRqiIKVPR+vYKwCAAA&#10;MKpeIiBPeaBfuxGxlQ6HwW7v+yVfKFKwmAP+4f2TvbsoLRazEXoAAACBKcpV3jU18T8X2pACSNba&#10;yKF8/nhlvptTiRmkJOXi2g7/jxBOymQFBAVMEUnQ+76pR7OtXJI5c2K80exMSRSh7Gacdz6t1Drc&#10;i25Yu/yrtE/N9BcTVyzOQJNKytrFIg5aLP4/vo97IieLmc1kyqVSzOnUm802d795lE2d5qLXv1mU&#10;p3rtkemDqzoXmI6O+oOf/87hsNBsIZs5dWqCKk0U6deCvtNx+nSwHjuTJsbL4r39LTtDt2GeZNNR&#10;qmZqdjh4NpuEPzBFTC3HUOFOSjve+KsdZynSIeFxZPQrF0Bc3dOy4iRCzodHaocYkBgnFLqcTv8e&#10;uOaDk9/+blHwy2mtOO+wmCmNfCwEnWeSS/tLJvf/Y9PUem7QatK5PBaPzwCACH2fuSEjMm4kNXtc&#10;LpfdZnbYHS5nOAISaSGSnWlVRcaNcEUGSVtk3AhaRON3pangbAIAAACj7nt29G9iRcVXO3a87t9+&#10;z4JFisTkWJlcLPbG78TGJqF2sTjFf+bGxtP+jQcP7l+4cBV0AgAAAnDXVF+JtA2MKQ0tZkKh277v&#10;ykCtRdRyDOkdew7V0s6AL3PN8ol7j9SRP4JGkCkKTnFtB7b74i+W5uCLImodIjbtvojETSJE8UJj&#10;n/VKfq6vrN6xMp/0Q4gvf/j7Ja3DPUclffmpaXijt3ojKeJQwWVlKTCT3T04YSVdzMd47PBliSL4&#10;HI5SJjPZ7V1mc4Cih4fLmkuvtoc8bfnatdPffLujP9HQG3YXz430C0Hf6SgtaXa5PMHMnJkhIwdX&#10;PrSo/mJ9zhf11B/8dGYzl8PhswbgO7y0IJXot/uLG3YfrX1iXsaywjS88Y3VM5AjCooCJkv8bV1W&#10;/4vxyYUZhEO6weIs76eqaZAwY2JkYrFGTzU7qriu/+0n537/yPQgl9N46rh/I3ewxQ0pzHY0PxnD&#10;+5AVT7Pe1qbUpBSQDoHooDepmcERYcSVM1JKIvVCuxGuyOhfWyRAhi1onKwzIuam3fQbgIzPU988&#10;AwAAAACEitGuG1qsHbSiIc6/vz489OWfKPk4dVx2bGwSrdoIAABAlEhj9GbyopHt+64MIiKvvMP0&#10;8CvHlRJeqV8cIsI/39lkd+mNXqtWcmzjgQrNhUb90tmps3Ll+CZ5oxe/byXsIBgkf2eiZY5Kuqww&#10;jdEb6ni43Fda8cuSZpTsuUidhK8X36pf7Ti7tCD10xO+daWL+fha0AcZN5xqB7TjhBZJaJphBePx&#10;hFxul9VqtPabpxbytOWrlUe//fYd2klijJs3IzEKREOnw1N2ti1I0VCVjE2aSlWmnv9JQ8nmrC4n&#10;taCh3mhMkEqDL3RIdM6vTjej62jLkSr8fyQdrlk+kZx677vuqrrIfU/BZeEdnjwbfiG8dahy6EeJ&#10;z2KJBQL/vvducdV9eSlBdrbWy+cpLRwBjzkQaTUwP7TXMXgMf+nQ5XGDdAhEMTRKotPZ43K4HQ6P&#10;222wWdwez0iJif2BDFsIqDrj8aAWglKnaVEr5TLeAPK3NP/+Vzwm4rID3Y5EfD42hGKsADCcPLXy&#10;KTgIABAko1037NBeC+vyycnL2dk5RMVDAV+oUFCVxNjYJBabLxTAr3kAMIYoru0wbzuVn5tYeGdS&#10;t9F5qqKjpKKtP+HvltQZbQOKUsRnXvjKMdp2r1zSq5j409hqRjFZKONYLcdefmoamrTnUC2KxsL5&#10;6Ou62WoFUltqW434TpV3mIioK/+EUDSnMk64pZ/1+vPcQz7nCkwwTF83yDJFyud3mc1mh6O/2Yi0&#10;5e1P3TEUt+Vvvt3Rn3WyGOMWzFNxuBFvJeF0eE4cbTaaHMHMjO+1erqCrt225aG2pz9WUtptbrfO&#10;YpGLgs3DJXdRArxDanQWwuGHTEOL+c0DV4k/CzPkP38gm/gBoLyqa9eh6kFfzv7gfa/H6fSvttmb&#10;rXzvLXuaSavR1ddQGnmiEGe4g3QIADgsDofB4bAF3uuLIiZ6XC58xOywuz1uu8tldzkjdzcpPtFB&#10;TqIl79ti6DZANAG6IQAEDxsOAUFVVSU+3HK2JUuWLbjnyUEUWAQAIEIpbe7Gh+DFshHnWJkGpTCv&#10;WT7xgbmpZJWEHC1YZ7S982nlhiemMHoFvtKtpcSkdDGfEA2/LGmuaTKI+JwfzfemiC4rTPvqXEsw&#10;ecdFuUpi1SWVHcP63cZkKsRisdOpM5kcnn6j5A6XNc9Y9891D07+78Kcga7Cbjcf/uqNlhb65FZV&#10;MqaerogC0RAneNFQwGcHkEpnTGlfOVWy6wK1ELXJZhNwOCLukKIyUawu3uUyVZJkuSA/L6GkrP1c&#10;VSeRtkxJTB5E8GyQyMRiq15PSZZv6jT/9pOy7U/dEfizrX6OKDi8ECUpkym01zfwhd8wqUsG6RAY&#10;4yAx0XdDI7WT9UT8MrH0RiZaHA58HA4aAAAAEPWMdt2QyxOMtk06eHA//j9IhwAAjFr2nGlSxglR&#10;fjFZNPzDXy9R5jxQoZlWEndfvgqfjWyHsnS2r4rcroM1hGtzbavxtVV5+MjU8bJgdMNHF6ajEUot&#10;yFUFExbcnvT16VZiyWGCz+Ekx8Z2WiwWm62/oocGq3PjJ2Vfnmv+/SN5wfveBrZOHp8mUc9QREdf&#10;Ovt9W5CiIZvNvP2OpMBS6ZpHas5fn3ROR3320JlMgtjY4LOV+8Obj4xSkvf2NVLS7Rm9UvhHX9cN&#10;tD5psM9VTKZUKNSZqd4m+0quLc5T3Tc9UFGUhlMnqCoGm8UJQ9Ifl+F52naZwZ/Ur3SoSmPdUE8A&#10;ACDriThka2QkKeIjzt4aBYSqGOmBigAAAADQ93w7yrdPmTh59ern+ytxOFIcPLj/tttmpKbeDh0I&#10;AIDRyZYjVV+da5lzmyIn1WtPQQ68YvSWHdQY7Eg3+eq0r8oh2Q4F+T7jfHqqr67i+etdwW/Aipkp&#10;SLJsaDETFRXRqlcuycRHfjQ/Ndy6ISKYtOXSyvb5L3+1bsnkYPxSAlgn46inKMiWIBHN2e/bmluC&#10;NbSZOjUhmEqOr/70+k/eHk8pdOju6dEZDHKpNLTbj0oZkvOXQ56YTIuEz7d7kxyp/W3NByfP3pYQ&#10;IFtZ4xdvyMOEYdrIwNJhW1uzMimVyWIyAAAICCEpopRnxs2qIoMkLKJwRQZJW2RA0CIAAAAQCURA&#10;nnJu7r0bX1Q1N1WfOFEcTB7x8NB4vQp0QwAARjPeSnAnaESfolzlhiemoDzN2lbjvberULvJ4ivK&#10;Rvg+4/zrtfn4nBU1XpfYlMRg66wpuKwVizPQ+N4jdYReySDZOhd/3zp8X3XBpS0H45cSwAXFG3B3&#10;u1KRJIiO/jMg0VA9RaFKC6p7JCuNv1yg/+1haminyeXi2mwSfsjSY/F+/ujCdCLeNnyJybTEY5it&#10;q4sS5WqwOtd8cPIva+bSfqS14rzDQo1S5ArC2J0CSIdmh13T2gjSIQAMHUqsIkJMN6fL2ncHQIYt&#10;vnaSzui7mdiscGABAACA4XuZioitVCZOxocZM4oY3uww30O/02kzmXzBL0ajrkvfYTEbURIxAAAA&#10;EBhkckJuKaloQyMYj0WZk6gKh9B03SLBc+ksX5pzQ4uZbGWbLuYT6aJkh+jhIZi0ZeSX8vPC7HVL&#10;JvvHhZWUfFR+8RDtBwV89u13JEWBdTKi+rI+eNFQlYwNKMTyh/Ouf39V+EU9Nf1WZzZzORz+kL2D&#10;KeYnjN50+09PNWodbgWXlaXAMpLEJqurts0UTLr94GDGxMRhmNZopLQfLmv+c3ElbT3NxlM09qh8&#10;MRbWEw3SIQCMorcygYh2nOGnMyb6fZasORI4rf3Ki3aXE9KoAQAAgGC/oSJui8XivtpAcXHUqQsX&#10;rsL/dzgMdrvB95VJkhcRSGRE42fPlAwuhjF1XDb0HgAAIpEDFRpsH5tiPrtp90UiedNk98U4NLSY&#10;Pz/uVfemZ3utV1s6rBqdRdNlK64NZHKSLuajTGRGb7AhedLS2aloZNfBmjBVl7slKG1ZbzT6m94S&#10;vFtcdehcMznwMLALStRYJyPqqw1XrnYGOXOCQjjjzsSBruL5nzRc3ppRZ6ZKhPh5SZBKh1LoEIXT&#10;En+WlLV/eKQW6YMrZqZQuj15asgRcbkWHs9st1Pat3x2aXFeyjg5NTyz9fJ5SgtPNByxq1yG5yFH&#10;3SX+be0M6ukA6RAAIuaNTiAKshEhgEMGAAAABP8tE5V7xeVK8IH4019eJCjIfwz/3+2xW8xa7yOy&#10;Re+we3+asztsbW03xcJo21r+/fVhNL5y5TOqFDX0HgAAIpQ9Z5oOl7cWZCkwgfdboKSyg6zilXeY&#10;9EaHTMyVijmoKuKAsjsJcbC/YEN84eSyiSPwzcdkyqVSgcOhM5kCBx4uylNtf+oOp6Xl8FdvGI1a&#10;2jlVydgghLNRS321ofyiNsiZxRh3xh2D2XcxZvv1g9qnP1ZS2m1ut85ikYtEQ98RvPu9+3kV0rgV&#10;XNavfzyZEjaLg7fkZsp+teNsmKTDeJHI6XRSUuNRtvJn6+eTG01aja6+hvJxjmCYXu3lHssrtqsv&#10;gnQIAAAAAAAA+L89wSHAYTF5KIyRHMyYlUmdrehH6+BYAQAQHWgdbrKoR+GdTys3PDFFJubu+J87&#10;9h6pO1GtJdcoDICCyyI8Vb4+fVMFw8cX+OyVi79vDXJpYUXE5QpiY3UWi8nWb+Tj4bLm6b/87OHx&#10;F1Ok9FLaxNvisybJoqZXBBANTzdMnZp8lcvpi54T8NlDibKcMaX92TuwN09S83Dx0yHgcPCzM7jF&#10;4r36wit6jMcmS4HPLM4hRMP9xQ1fnWvBeKx7b1fdl6/CO/mzRbc9/d6ZcBxPlK2sMRgo7aWV7VsO&#10;XiKb8LT6OaIwvEnKomE79SAdAgAAAAAAAPTPtHAIAAAAAAoHKjSbdl/ER9KSRRuemPKv1+af2lK4&#10;9dGpt/zgInUSkQe6cknmuoXZarlXGCrKVSLXZsZIVDbs9yswJkYuEiklkgA19Yx2z3uVuf+6Otfh&#10;vKkeH5vNnDFDGU2iobbV2p9o+E3NnV+0pRfXziLv/u13JA0xNfvJorrpcTTZ4jqTydNPHGgw1Blt&#10;ZNFwjkpK9D2cr8614FNLm7tf+uzylyXNeIs6Oxb10nDA53AwOrOXLQcvXWrsK6LScOoEZQYWm8X2&#10;81IIK0g6TGDQaPpIOvS4PXBvBAAAAAAAGGuAbggAAADQcKBC85udZSVl7USLwXKLGurpYj7Fa2VZ&#10;Ydr762ef2lJIlJzbX9wwUpUN+4PP4ShlMnHAnNBTBvmbFxa26n3ykxjjzslXBekgHBHoOx2nT9PH&#10;n15qmXRMl4QOwplGn3aM735ITGBe/en1WA5VInT39Oj8YvQGDWHhjcA7ZFGuLz+6psm3FooXUGiR&#10;i0S0wvSaD04S4xq/eEMeJhz+bgDSIQAAAAAAAEABdEMAAACAnuLajuf2Xpi1rnjttlNPb/7upc8u&#10;B56fqGyoNzp2HazB//efhwg2VMuxFTNT1i3Mxv9PF/NHfGfjhUKlTBYo8NDD3lk168S1GUJMWjBP&#10;FTXWyYxe0bC0pNnlopGEqtqy9jf1mf/+U5Ne3zFePUURqt1PVhp/uUDv325yuQy20OjLyXKvItzQ&#10;Yt6+7wpq2fDElFUFE/Bed3eeT0Cs1prCeoRlYrF/Y8V1/ZaDlxjeJOXzDgvVC5UrGBnfApAOAQAA&#10;AAAAGN5ydjI4CAiobwgAAADcAsJqOQBzVFJke4Lz8gfn8Y98eqpxkTrpgbmpacm+uDwUbOgNS7w/&#10;h2xSsYbB+LKk+a1DlSNb95DPYillMoPN1m2x9OeXUqxNrT2pik3SzpjSHh0nN7Bo+HHDZErjZ41T&#10;FzFbGAxdqDbgh/Ouf39V+EU9j9KOnwUuhxNAyQ2Slg6v3Vm3ybHnTNOFev3GFWq8Q65ckkm4fuPd&#10;MtwdD98LsUBgtFop7VsOXpqTk8A+dZzmI2JspLoE1DoEAAAAAABgs0A39AGPfQAAAEAIWHb3eDRS&#10;UtaOdEZkxLz3SB0xz6ffNarl2M7n7vB3tr0vX7Xp8bzRsCMSPj9JJsPY/f6uVmdmPf2xcvsnmVFw&#10;1gKIhk2GSV93zfFv73IxN3+qNJpCGSL6/E8a0kVU5c7d06M3Goe+8JpmbzKyOjs2Xcwv7zCtfvvk&#10;/uKGviNgdAxPwc14obC/bOWGS5cojTyRYGQ7BkQdAgAAAAAAAAjQDQEAAIChMkclJaTA7f+sJE+6&#10;a6qvutz+4gaj3fnG6hnIOKWhxbxp90WUBI0ymtXZsUThuZGFzWTKpdI4kYgVE9PfPLsuCJ96fVJV&#10;bVzknrUAomGbKbNYO4fP4cgxmqi3czr26/8vLYRbIsZsv36QxpLF5nZ3mM1DXPiJai3qYL9+eLKC&#10;y9I63FuOVOG9rryqq6Ss/Vc7zg5bwU25ROLfo5o6zf9pi6U0cgSCEe8eIB0CAAAAAAAADNANAQAA&#10;gKFDDjYkqzCFGXKkJ+qNjt1Hawm35fKqrtVvnzxQ4TXiKG3u3vJxBZqfEBlHA7cMPDynYy9/L+Vv&#10;h8dH4ikLIBoabIkntL5IQ4zHE/F4/vN8Uc/78EB6CLdnxpT2Z++gKTJostlsTudQlqx1uN/51Ktl&#10;q7NjP36hYI5Kinrd0++deW7vBbLzcrhhM5lSIY3byd+40zrYyeQWvnhUWO6AdAgAAAAAAACAbggA&#10;AAAMCbUcI4IN9x+rJ9oVXNbPH8hG43sO1Wod7gfm+oxTdh2qJleUK67tQCMpiaPLoZgIPAwwz6aj&#10;krXbJoY2bzfcBBYNi1vvNXj6bE8UGEabYPvmSezsxYQQbtWTRXXT41z+7TqTydNPuckgOVCh2bT7&#10;ot7okIm5FHvlYUbC59Mq0R/yFzkZvmPOYrPYHM4o6SqBpcOG63Vuu40BAAAAAAAARC+gGwIAAABD&#10;AuP5RKVdB2vIDiqL1EnIEaWhxbznTBM+QhikUIxWCD/lpra+pNTCDPmKmSn4oJZjI7uDEj4/sNXy&#10;MQ1nyeasY6dUEXG+BiQaIhKkUtqU7XV/S2zRiEO4beuXamI5VInQ4fF0moYaFXigQrNq68lNuy/u&#10;Plo7ssdfJhb7H8zOGN5xwQ/QOA8TjqoOE0A6dHncja1NIB0CAAAAAABEMeCnDAAAAAyJ0ubuh185&#10;jvHYlJTPzBQJGtn6twrKR1CZOeLPhVOT0EhlowGNrFuYTbgzM3rTnz88UjucKaUUkNVyp8Xib4mL&#10;6HLGrP1H/MpawRP3N4mx0SujDEI0xGHGxCjEYo3B4L/XG/8ybtvqulDtcnaGblW+ZNNRCaXd7HAI&#10;7HaMLmM6eOqMtrre1PiB4i3fmZs4K1f+9enWnSeuDfXBi8mMwzCtn+XLEXb6bezxya567igobkgh&#10;gMMykg5Tk1JYPD4DAAAAAAAAGDINnZb+JkkF3OHfHog3BAAAAIZKndHmL+q9dahy+74r+EBEFxI+&#10;tk/My1BwfQLEipkpK5f4vImPXGjF/y/KVZJFQ5z8vIQ3Vs8gwhJHinihUCmTcZn9fnXuuiBcuyN9&#10;1JqlDE40RPA5HNp87XM69tv7U0O4kQ8tqv+v8Xb/9i6z2eUZ7mp6c1TSrY9O3bZ2Ft4h05JFeEct&#10;zJAPfbEiLhcf/Ns/5s93MrhcoWAUdh6IOgQAAAAAABgeGjv7NQackiIb/u0B3RAAAAAIC1qHe8+Z&#10;JpShjNh9tBY52y4rTPv4hYKtj049taVwzfKJaOqugzXIU2Valk93+7KkedPuiw0t3i9OmZi75v6c&#10;Ed8pFHiI8ftVMM/p2Kt2q/51dNxoOx1DEQ0REj6f1iNlXyU/tPv7/E8a/LOV3T09er8YvfBBKIZE&#10;7U5EbXtogl7jMYw2W/kItpjZf0b8yALSIQAAAAAAUYDHY4GDMCBANwQAAACGCa3D/asdZwkdkKzI&#10;7DpYQ2SA1jT58mHPV+sOVGhWv30SfYSi4IzYF2dMjFwkUtBVqUN0OWN+ezh2486c0WOWMnTREBEv&#10;EtHWecT3N4RRlmLM9tL9Ov92k8vVaQn7c166mE+rGDJI0nZIelEcRlO483hM0mnj+FF7CQeWDuua&#10;GxzGbrjRAQAAAAAwmnE46uEgDOzBFQ4BAAAAMGyUd5hWv31y+74rJWXt5VVd+P+7DtY8/Mpxctm4&#10;kkqfvfKjC9MZvWrju59XMUhpzog5KukIZi6LuFxVbCytNy7ii3reE1szRkPOcqhEQwbSTCUSWsF0&#10;w96kEOqkd89qXjmVRiI0Wq02tztMBwrvTusWZv/1xbm0CnVDi/nTU42h7UK0gaufmNMNLuGovYTl&#10;Hss2y/n5HvpCnw1aDUiHAAAAAABEAWxOIhwE36GAQwAAAAAMJ/75yxTqjLaSsvb8vIS0ZFFhhry4&#10;tsM7rCsmz0MYp4ygZYpXRJNKuTabzkxfgqTOzFr+XsqGeZKHFtWP1NEOoWjoe27ox9YD39mN70/Y&#10;tvZKqLb8ifubjtZk4Iul7pHRqJSFuLBLupi/dHYqpapmeVWX0ewkNMStf6sgm/mEhDih0IFzc91G&#10;XQ9nv37yU/JTo/YS5jI8T9suM/iTvmHSlGJs0Grw48gVS+FeBwAAAABA5MKMAc+3G4cCDgEAAAAw&#10;2th/rB6NFEyhifxaVTCBkHjy8xLeXz97xcyUkdpUCZ8f2Cxl01HJSOUsh1w0RIi4XDGd5+8xDefD&#10;A+mh2ngxZtv0aKt/u83t7jCbQ7UWIsaQLBrqjY7t+6784a+XCNFw18Eawt4npM+j/WQrO2NHc7Yy&#10;44Z0GCDq0NjRBvcxAAAAAACAKAB0QwAAAGDkUXBZv3tw0qqCCejP0uZuVNNwtlpBmbMoV0n4LyOX&#10;FZw1yyeuW5g9UhuPzFJoPUMQX9Tzht9nOUyiISJeKKTN0X7zJHb2YsjKUGZn6FbPoFHrTDabzekc&#10;+vLx/karGD72xxN7zjQRPjzlVV3kPPoQdx4OhzZb+W1TTrtjVIfsBZYONQa9vr0V7mwAAAAAAACR&#10;DuiGAAAAwMgzbVzsffmqlUsyf/fgpHQxvzBDLhVzGL32KeTZ1HJswxNT0Pj+4oaFrxz7zc4ywqPZ&#10;P+pQwWUh1+aiXGV4v01jYhQYJqczyUUMs89yWEVDRJxEQhtlue5viS0acUj2wunwZEpPZPBpbJR1&#10;JpOnp2coCycL0IybFUOtwz1HJUXBhnj7mweu+n8cnwHvb/iAjwxxN+X9uM18os8d5Zctkg4f8ehp&#10;p2pNBpAOAQAAAAAAIh2obwgAAACMPOevd+mNDpmYe1++Ch+IdrIXioLL2rhCjca/LGnecsRrllJc&#10;29G24+z762czeqMOD5e3kovQZSkwpP7cNTXxQIUm3HuB8XhsNltvNNJ6dyCf5YvXBC88WRXWzRgG&#10;0ZCBcmwlEo1e77+bG/8y7oPnLw99FSeONhtNjqKs03+uuMvouemJxeHxdJpMCvHgBcoLjXrU5fD/&#10;9xyqpfSc5x7yaXb4JKJ65hyVNCNJPD07nmKcsnbbqSFmMcvEYv8jWeYWHzdkzZVUj+Yrl8vwLLVV&#10;83npH7Li/adqTQaLw65MSmWy4IdqAAAAAACAiAR0QwAAxjrpYr5SwqvWmkJuegAED37wV209+euH&#10;J6uzY4nG8qqu3UdriT+fWZyTlixC7W8dquybrcO0v7gBZZsWZCnI+mBpc/f2fVcyUySfnmgcnh3h&#10;s1gJUmmn2Wy222ln2FfJr3590qs/vZ6sNIblSLZaT5/W0IqGOpPin00/8HC4IdxZOYZ1mKimNOd0&#10;7O2fZK55pGYoCz/7fZvR5I0kFQu6702q/XtzDmUGs8MhdDhE3EHuTp3Rhne5jASsuLaDMmnFzBTU&#10;00rK2i/U6/E/8S5ElrMpJMoEjKHphviRFAsERis15/cDc3oOvz2BO9odin9or2PwGLTSodlh17Q2&#10;gnQIAAAAAAAQoUS/buj22C1mLY8n4XIlcL4BACBQy7Fni24jq1SM3pzE4u9bdx+tBQ1x+Kkz2p5+&#10;70xRrnJalrcO4Plq3YlqLXEiCjPkSLhBeaOUE6TRWdAIJvB9rxFysNe4+QzN6vAV4TOXVHbg6w3t&#10;jqCcZQGH02U2u+lyac/p2D95e/yWh9pmTGkP7arrqw3lF7W0k3Qmxe7KO7rddvyw8DmcUK0R4/Gs&#10;Tqe/SLrrglCdobp7VvPgFnv2+7bmlj45corqcqMx/pRB7rdTJp5MxmYyB93l/M++gstasTgDjefn&#10;JVBCC/3ZX9wQklDWeKHQ6XD4R6r+uWvq84rveEznKL9+f2ivE/Jcb7MS/SeZHfam5npVYjKLB76E&#10;AAAAAAAAEUaU64bVNce3bX0Zja9f/8fU1NvhlAMAgLh3ejJFNGT0VtNbVphWUtGmbe6GQzQiHKjQ&#10;+KswCi5r3WM0eaMED8xNJf9ZlKv8xdIc/Gx+WdL80mc0CbPrFmaj+MQVRsfCV46FY0dumbP89MfK&#10;DfOEDy2qD9UagxANvXKh1mhUSKW0BfUGR7xI5Ha5/Hfzd/+M+3+phkGEVVZf1pNFQ0RhxqnKi/d1&#10;u24qH+nu6cGPsFwaSv+QReokSlVNgoYWc7fJQb5v7C9uQPnyIUEmFmu7uylac61HcMyQuVB2ZfRf&#10;vD+wNyayrS9yx/tPsrucja1NqUkpIB0CAAAAAABEFtGcM1JR8RUhGuJs3vxCY+NpOOUAACCS5QJi&#10;XG90lJS1o+HLkuZqrQmOz6jimcU5ZClHwWWRx9ctzEZZpTgllR1zVNINT0xB80uEXqWM4lyxYmYK&#10;YaH7zqeV4dtslLMcwGd501HJxp05RlMIlJQgRUNGr9amMxiGaCpy05NETIxMLPY3hEGFDgexI1eu&#10;dvq3x8bGr/uvyf7tJpfLYAtlxKgyTki5M2zfd2XttlOz1hW/uqdcivX1Q7w9hKIh6jBSodC/fa81&#10;9bo9PiIu1Uku7SuOetpJLo+7sbXJYYSfZAAAAAAAACKJqI031Olqdux4ndLYeL0qcMihxdrRob12&#10;4xUlSSxOgS4CANEKkX44dE8DIKwQGcqINcsn4kNJmS/DNzdTRkiKuw7WYDz2y09NQ3+WV3X94e+X&#10;3v/ZTHV2bEOL+d3Pq4prO4pylfjH0Qybdl8Mt1kKkbPsXwQQ8UU9r2VH+vqlmuwM3aDXcvlCZ00t&#10;vaetzSkmi4YIh8fT3t2tlMlCtZt8FitWJBp6ocPmBjOt+inCkmcW/obDkzx6zbD3wnXK1G6Lhcvh&#10;hCqCcvfRWo3Ooumy1babyFnMRBBrWDuPhM932O0ml4u6VfrciMhWZvRKh3/qsb/Gy2xnUM+Iy+Nu&#10;0GrSGAyuWAp3NgAAAAAAgIgganXDY0cP+DcmJqb2N79OV4N/5N9fHyY3ZmfnFBU9qUpRs5g86CsA&#10;EK2MrGiolmMYz/d2Dd4s/pAzlMuruqQYF4UW+led23Ww5tNTjZsez0PKDj7zho/KvEe4N6sU/9Rr&#10;q/JeI80/DKIhAcpZ1hkMDg+NXck5HXvVbtVL9wsGVw2QUgqQDI+HMRjGqdKO/+iSKJNsbrfWZFJg&#10;WAj30eZymfxC/4IvdKjvdFy4QFPwkc3mT7trDYfnLVL80x+pj9e0XzffVE4RZSuHSgbFr0FvTcyb&#10;O+ET8zKIGFW90fHyB+fDd9+QicVWvd4/W/mr7okPxJZHxGWrchtesV19iZfTFkPznNmg1SisFllC&#10;EtzfAAAAAAAARj/RqRtq2i5RFEBEWupU/0a3x371ylH/4EScqqrKzZtfyM7O+dnPXxEK5NBdACBq&#10;IBJdibC1W85fkKVIjBXkpErOVXUeLm8NicBXmCF/bVXeTW/ULeZTFR0lFW0QAokgMpT1RseGj8rw&#10;w44ftIIpCUQEIn4GKxsNRy601hltWx+dilRCJBqic7Rp90VymBgCn2HYREMEn8VSymQ6g8E/lIzR&#10;m9K79h/xG3ScgZY7DCwa2u3eSQsyv28uv6fWJqbMYLbbeWy2hB+yenNykcjldA6u0KG+01Fa0uxv&#10;A81m86fPWyeQ+ML/xWLe80vz1vzle8ps+Eo7LZZ4uiTfIZIu5pNtvvF++KsdZ/0rbIbyyYzJlAqF&#10;OrOZ0v4PW9Jt1vZsgSYirly5x7Je8/0Xsbnf8GP9p2pNBvx/SXwimCwDAAAAAACMcqJTN6ypueDf&#10;uHr18/6Wym6P/et/f3jw4P4AS6uqqnzv3RdXrvw1pC0DQNSQpQg2zCpdzF86O7Xwzj6rhPy8hOnZ&#10;8c/tvek+M0clHYTSt3z+eEpLWrIIH5YVpj29+buwahMRgVqOEfrgyx+cRzpgcW0HPvi7naxbmI2C&#10;ECmGywcqNCeqtc8sziEnO6uzY1fMTAmV/hskzJgYr4OH2Wzqpx7fpqOSutbs/1nWKMZuXbDP6fCc&#10;PdnWrrXQTiVEQ8TDE49/cOkHGqeAMpvObGYxmSIuN1T7KJdIWv1i5VChww+ev9zfpywmF61oiDNl&#10;9i8k8mxyy/RpyT+rTH/vZB1lTqPVKuLxQuj3gnrgG6tnENc+WY8OKxI+3+50mh0OSvvO7kmbeJ0R&#10;ka2MI+jU3N/Rxsia3590aHHYlUmpIB0CAAAAAACMZqLzWe2TvbsoLdnZObdNnOc/5/myQ4FFQ0RV&#10;VeWuXX+wWDugxwBAlJGSKJqjkuLDipkp+EA23EBsfnr6ssI0SrRafl4C2Wpj66NTt62d9bsHJw1o&#10;1fi6iCCmhhZzSVm73tgnE5jsLjg7rQZreVUXflg27b4YWJYtylWSrU78JVeVghqJtmb5xB3/c4da&#10;jg3zTslFIgWdiwhiXyV/7Y70WzqlOB2eE0ebgxQNcbgc+/LMsxIWTafSmUy0js+Dg81kxtHlPqNC&#10;h/3ty8nSVlrRcGLeY/Gq6f7tTyyfNiVWRLMvIfV7wTvV++tnE9f+/uKG4RENEfEY5t9JdD2cA/op&#10;EXHxOm12t8vNcbvur/7mIeN12nnMDntTc73bbmMAAAAAAAAAo5UojDd0OAz+jffcs8S/RmF1zfFd&#10;u94KcrFVVZXnzn1VkP8YdBoAiAIyknw5m2nJom1rZ5EnUUqbEZLB+Vrd+etdi9RJyFUDXwJSshRc&#10;FgpzQ9a9CLzxlvoCEfNYXtX19HtniHakZJENGcYs+DEkH5kA/GJpDhr5sqTZPwH5iXkZSKLVGx3v&#10;fFqJCdgrFmfIxN5SiUsLUss/uzzM+yXicllSqd5opBXszunYSzZn7XyiuT+nFCQaGk0O2qkYFm8y&#10;0fgRpyV1v5Sl++Xn1LqQyF5ZKZMx+5EyB7F3Vj4/yEKHAfZlYt5jqpxF/a3luYdnrHznP9QHAI9H&#10;Z7HIRaKh78Wqggkrl/QJndv3XSHuDOli/tRUGd6L8HFNl624Niy/KeKnIw7DtEZqcvdhu2K6VTn6&#10;s5XtFisa4bhdd9WW8tNm/iU2g2Y2l7OxtWlcYhJbIII7HgAAAAAAwCgkCnVDu51GNxSL4ygtOl3N&#10;tq0vD2jJn+zdNVV9N2QrA0C0ojc6alupb+mr3z5JVgAv1FNdawn571xVp1qO3Ts9mUhq3nWwZueJ&#10;a/2tjtAuz1y5SeWB9ORBsOdQ7YrFGRU1+rcOVVImrZiZgkIRyZXpDpe3LlInKeOEu4/WjsgG81ms&#10;BKm002Tyz0Vl9Cb2rtqt+uUC0Q/nUQO1+qsD6PtSZ3NpRUNVMqaeruBwNRsM/E1HqSU7Qm6vHGSh&#10;wwCi4bj0uwKIhjg5WfL//cHEP317hdJustkwLpfP4Qxl+/E+Q4iGSGtGYrSCy1o6K5WsJ+L8vMX8&#10;6p7ycFy2Ii7XwuXSZiu/zDFI2JbRfEnaDDfdS2c1nElke7aIs/zndHnc11qb0hRKMFkGAAAAAAAY&#10;hbDHyH7Gxt5k2+f22Pfs+b+0c65e/Xxqam5XV+vmzS/4T9W0XQPdEACiiZKy9nNVnUgupLUzRi1E&#10;VrJ6AvVHCEL+Q3GIZGZOjGf0rxtmpvjkm/JrOjgRQ2TPmSbaQNGiXCVxXsj5y/6euegUD6cdDTMm&#10;RiEWx/RT7rDLGfPbw7HtXZwni/oK+d1SNHS5aDQ4VTI2485ENP7Qovq61ux9ldQ86JDbKwdT6LD8&#10;nJZWNFSm3J4z62e3XMVD9088faWlVEM9ZTqTaYjhk8S1SdaaFVzWpsfziNoCBGnJovfXzw5TQdJ4&#10;DLN1dVEOo66Hs18/+Sn5qVF7PXrcbpeDWoQxPy1BmX37L78/TfuRBq1GabeJ5YlwNwMAAAAAABhV&#10;jBXd0Om86a3sfNmhqqpK/9k2vvgnZeJkhjc+MQUff/WV/6XM0NbWmJUJ3QYAIp7p2fFoZPs/KwNk&#10;BKvl2JMLM1AaMgWT1UWRGMiUlLW3dFg//a4xwDbMVivQCFgnhwn89G14wlcMbvu+KwEMlMlJqeVV&#10;XcfKNMNmmSIXifhsdpfZ7KYrzPfmSaxN73NKqa82lF/U0i6Ew+H7f9MhyKIh4oUnq6pfn3ROR30A&#10;MNvtAg4H4/FC83jRW+jQP80WFTpc80hNf07QypTbJxc8G+Ra1v7k9oo/He123lS30eHxdJpMCrF4&#10;0Bv/0dd1kybImtrMHx6pJdTAZxbnEKIh3p3wHiLmcZbOTkXRrBtXqJdtLQ1590DissZATaQ47oxV&#10;G8ffLq4fnZeezWT2b1TM/MGErKn/UCb897+OaJ001i4ag97ucsUpksApBQAAAAAAYPQQhU9mtPGA&#10;ra19mWiNjadpyxoSoqHv1SVx8urVz1Pm8XdcAQAgogksGr6xegataIhT2+ZTE8iGG/uLG57e/N2s&#10;dcXP7b2w5UhV4IUTfgvrFmYjY5aiXCXFmAVv2f/cHHwSnKmBgk4fcV5ooxHpP5gdG9gyBW/3988Z&#10;ChiPp5BKAzulXL5oD4loiNi2ui6WQyNTdphMNmfIvHpFXC7GpzF42XVBuP8zFq1oKI3NCF407N1B&#10;yTOFE/3bzQ4HbQJ48LeFZVtL8auYEA3xK5Tsx22yurQONz4bfpnjvYvRG3UYJo8dPodDexg/Macb&#10;XMLRefXZ/XRDFo+HZXktbjJUSX/+4cICKX1KcpfFpGltdDudcAcDAAAAAAAYJUTnL7pLliyjtOzY&#10;8Xpj42mjsam65jhtAvLKlc+QRUNEUlIGdBEAiEpyM29dyu3JhRlI2tu+78rabafQ0NDifR/WGx2E&#10;oECEID29+bstR6qCzFXMSOyTGJYVpm1bO2vN8okbnpiySN1XVEHBZeEtacmiFYup9yJ80oqZKcPv&#10;BRwpINEQnb79xQ34eQk8/84T1374m29+s7Ns18Ea5GqNH/Z7pyf7L/b9n818f/3sj18oCO0G81ks&#10;VWws/j/t1HM69i//NllnVPhPwjBv5OyAREMcMWbb+UQzrXSoNRpdHk+o9ssbTUm3U9tP5Tic1MBG&#10;EZY8bd7/GegqFt+TVZgm92/XmUwh9FbOz73pSOIXJqHma3S+OoMYjxWm/hwnFHKZ1Ac2lK08Oi9A&#10;h5XaIeMm9m1qhipp89L/6k86NDvsjc0NLqsZ7mMAAAAAAIwgbLYCDoLvUETlXk1Iz8VfFSmNtHIh&#10;4p4Fi6blLYbeAABjByLWjxzKp4wTJssFjBvJy0SkITlldVuy1/Tzu3Jf5Beh3JVXdQ2oulmmSkLb&#10;runqe98mHFeIrSV4ZnHOffkqihEzgFBwWcGIhnNU0vzcRPyMowKXpc3dxbUd+FB+TYcstlFnICBr&#10;kUQHCCHMmBilTKY1mcx2O03HcAp2Vd75WOa5JFmfH3F/1smMgKIhIjtD98sFot8eplbrc/f0dBgM&#10;CVJpqOyVZWKxtrubkoVt9LA/r57z40nfEi0iLHlm4W84PMkgVvHLlXec+v1XlGxlfI1DzFYmgzpD&#10;Q4t575G6XyzNwbvBmuUTM1MkX51ufmBuKpqnWhsuRyPkrUybrZxtyJorqR5VF6DNaOrxUBVbRd4c&#10;8p+YQPD2T5a9+UXxBw0N/ksApxQAAAAAAEYc0A37DkVU7pVKNXFA8989r4jFpKno1KlrpbT4RzIC&#10;ABDR+JuZMHqdkevONH1Z0owyEzc9nveHv16qM9oIlfB8tc/JhIgwMpoHlliXk+bTR36zs8xs831W&#10;Y7CTU5vJMoSCyyK0y8IMOdqwZq0v0GmOSrpycRYR+bi/uGH30drhKc83CsF3vPj71mWFaQH8rIty&#10;lUTpQyQQ46f7o6/r8OMv4vuseA0WJ/n4E6JheVWXv2tzqFBgGI/N1plpgq2MHvbOqlmPpl3KSfTq&#10;RHL5+I6OetqFjE+TqGfc+kHnh/Ou17Xydl2g5rra3O5OszlUHil8FitWJOowUTW1iybZ+MapM1Mv&#10;MIYmGjK89Ul4LyyZuuHvZyntZoeDZ7NJ6JJ8B0plowH1kwMVmto207NFt+GXG34ZEsnL+EUX1isO&#10;ZSv7W+h8YE7P4bcncEdRjVSH1erfKFXP9W989r8Kx393ZuO587TLadBqFFaLLCEJvqcAAAAAAABG&#10;kOjMUxYK5I88ujLImdc+93JcHL3XyaXy7yktKtUE6DQAEAWgXNT+uFCvx/9/61BleVUXozcT+a8v&#10;zt366NSNK9S+GRr1aIQwU65s7AsFShfz8SHA8hVcFtL4Ssrai2s7Spu70UCph6h1uFFaNIMUe4h/&#10;9ucPZKNxJF+uKpiwbe0sss3rssK0TY/nhbYGX2Sx5UjVrHXFO/s3s/7F0hw0gp8C1Bnuy1fhZ3nd&#10;wux1j+WiSV+dbiaOOX48CdFww0dlYVWIJHy+HMP6K3e4t2HyiWszYmNV/YmG6imKYERDxJpHau5W&#10;0kjeZrvdYLOFao8wHk9EZ7fyT026zqhgs/m5dz41aNEQcdectAdzaASmboslJGnXbV1eLSwtWTRH&#10;JS3vMOF9YPu+K+T7ye6jtYwbBQTCVJC0v6TvT/S5o+rqs5sslBZZzkQ2Fks78wOzZ+6cl6/gcGin&#10;ak2GlqZ6j9vDAAAAAAAAAEaIqPVTnj793mA8TJYsWZaVOZd2ksXa8e+vD1Ma4+Uq6DQAEAW8/MF5&#10;QvKjUFLZgfQ7rcO94aOyTY/nIUmOSFsur+oiBD5lnC9Wi4gZRIFseqNj4SvH+lv7tHG+V2iy2khL&#10;U5s5rTczGt9aZLu8SJ2EWhpazAcqNCtmphBGwF+WNNc0GR6Ym+q1aMiOxecM3gyEwhyV9N7b+2Kp&#10;htlieBggRMDn9nrj3fDDiCJPkTcuOpjogCPREPWBYRANERiPx2az/dN7EcXaVPtpzoLMZv9J6imK&#10;8VkDE+Beffra2h3p/vbKOrOZy2Lx+xF0Bkq8SOR2uWxu6qH7W+3MN3+RJ5FnD30Vqx6dfvb1f183&#10;35TljR9AvdEolw413fVEtRa/qPFus3JxlqY3+hi/uC7U65cWeJOUPz3RiPeKwgz5usdyUddCme9h&#10;6LdijV5PaSxzi4+Pmmxll9PpdlHPcmxWIGVzdu7EP8tkG7/6tsJq8Z9qdtgbrtelJqWweHwGAAAA&#10;AAAAMOwwo3XHhAL5xhf/FHieJUuWLbjnyf6mul00oRZxsanQaQAgCsBf6fHXftqBHPSHpMPt+66Q&#10;4xP3fVNPjM/K9RkyoBBFnLumJva+3nPnqPqVKpSxvhdgQm3sj3NVvup1SKD0RjPd8EjZe6SO+BPf&#10;vKc3f/fSZ5fx7V/99km0tXfnKQdxZNRybOujU7etnUV2jyUshgsz5NHRAVAkqRTzFY7Ej9tvdpaR&#10;p6JM5BERDRGBnVL+o0v6S/k9FGuRQYiGjF6PlPVLNeH2SGHGxMjoSg22OvjvfhaaYpFiMe/5pXn+&#10;7SaXa+ixk/h5f/mD8+ha2PncHUW53ourvMOEX3T40GqwrluY/dqqvqDUcIiGqFeIBQL/9g/M6e2O&#10;UVEK0GakSbGXz1oQ+FMZqqR3HynqzynF5XHXNTc4jN0MAAAAAAAAYNhhRvG+KRMnB5AOkWhIW9YQ&#10;wWJTf9l+5NGVXK4EOg0AjCm0DveeM02P/fHE9n1X9hc3/GZnWXFtBzH169OteqOjpKydMEURi3zx&#10;WQFMEjJTfHeSFYsztj469XcPTkK5jWgguySXVPrWheohLlInIWECX+OBCk1BlgL9+Y9vGokNwDe4&#10;okbPIBk9B09RrvL99bOJyEoKacmi11blIcUk0qlsMKA9IlJKC6b0xZMifZAsGuJn+c0DV4c53JIZ&#10;E5MglYq4XNqptTbxX6/MRdIhm82cMUM5CNEQkZ2he+l+nX878kgJlSsxn8WKE4n824sbOg79OzSx&#10;ctOnJT86dZx/u85s9g91HCilzd1rt51CUYfTsuLIV83HLxQQkaq7DtaE1a0oXiikVZP/3DXV7uGM&#10;+JVl9yvNKUhQ8pMyb/lB5JTyVFpafzM0aDX69lb4SgIAAAAAABhm2NG9e8rEyVve2NfcfKWtrZFI&#10;W16yZJl6agE+KfBnhQL5ypXP7Nr1Vt8LyfR7occAwNgEqYf+7TtPXCMX0SMKF5ZXdQXQmCRC3+u9&#10;TMy9IdL1Bfd9WdJc/tllNF5ntDW0mFHe8RyVlAg23H+svvdN23cPX3B7Uk6qTzMSiziDUAwZvZGG&#10;RNU/5Bt7oELD6LVhWT5/PLFMfJ4T1dpIT1j+6lwLEnpQevL07Hh0IvoTDX+14+yA/LJDBTMmxusI&#10;3I/Jcq1N/OaFhU9POvnAfTxZPHcoK7p7VvOzzbw3T1K9UELrkSLh8+1Op9lBrS76VvGVqZMSVckh&#10;+GXupz9SX2zUXeyiqld6o1Epkw1x4aXN3Y/98USWAkO/ClD8iHC277sy6OIAwSOXSFr1ekoOe61H&#10;cMyQuVB2ZQQvK4/b7bRSO6o0Iyv4JTz7X4WTzl745fen6e/DJoPFYU9MVLE4HAYAAAAAAAAwLLCj&#10;fg+FAnlW5tysTEZB/mMD/ey0vMXr16cYjTouT6hSTcQXBT0GAIAAPDHPp+sdK9MEmO0/F9oCqHs1&#10;TTcVPfz6dCuqYLht7SzUsutgDcqCJOIW05JFqOghmZKy9gFt/MYValrrj+LaDnz43YOTUOYyPs9Q&#10;KieOEso7TPuLG8jSISMUomG6mE8xtwkJgU2Wd1fOvnN2iyxeN8S1PFlUV9eW80U9NQzfbLfjaw+J&#10;KzFOPIbZuroomle30/XqB9/t3BiCH+fEYt5zD89Y+c5/KO1eAdRiiRf+/+ydCVhTV9rHA4EsZIeE&#10;XVTWIoq7VLBqtWqrVetYl2r9qradWls72qnbdKzVjnXrjE5tlZm2aMfRllqrdlErbcdWwOKGoIiA&#10;7DsEEkhCdvhOcvB4uTcJgYTV83vy8Nyc3OXcc0+W++d937+Hg/sH06O2vAHMkPXTw1GMIQLMJeJ0&#10;6qKqoG6urgIPD+p8OK4OimTXDGDW9dTbSqO0MEX9Hnu6Qzt5YvTwo0LBmz//Wqu35Nij05aUFw/w&#10;8XNjc/A3DgaDwWAwGEw34IaHwAZ0V2ZQ0Fg8DhgMxh5WTRgMdYTMXNn5TFv5dKeyqmAoH80cskQz&#10;255wWO4RQfwbuXUkSS71bi1yPqGZZayTV0rgcqVUjdqLK1Rl1a037WAnSrUBHcIelo0JRMqjxYTc&#10;z38uQBUPTXrltT5/vY5czJ/2aGveN+BEUvHeC7m0tjUNOyQaIkucQydzOjT49sBnsVxdXGQqFdUp&#10;RaZ3XXUk4M9TObMmlzp4lA3PF9/ZF1KgIqfBmjxS3N2tFVvsEDCCsqqR7Ah0S6b6+POrr73ghO/c&#10;iDDxyzHBn6QVkNoVajWHyXTKWSyfHEIVDUmAKQQek0b6dkXaMpgPOq1WaTCQZ7U8aoPkMtNV3yPv&#10;KV2Tmvw7isnkho3q6H6iQwYdEwm3n01KbrBQ09DQbCysLAsUerE98X9zMRgMBoPBdPwXi64YD0KH&#10;wLohBoPBOIc/TDH5JnXUPQNGDtpwUciUKmGqMny691gW2nm1rPUuPeHMPWK6dEch2q2cSCq2KJOh&#10;jGkaIc+6TwOG8a2D17csiwbL314qgXKtg6IhzRyPCRZCk/hQhXQiNkyWZXqXv5439dlB6ZDH1exc&#10;UrnqSADYIXm4GhoCRCJXFxfHT4Tl7s5lsZQUr5LjGaXjbwaMGuHv+CGWLxrxe261xWxlb4HA8bO4&#10;mV+/YNpA8I64Uyi/V9aoVBuq5Q8kMx8hG04GWqfKjNqJkMdTW8pWPiUfttjzRo+8p7QqsiGyZ+TQ&#10;zu3Kx1O4e/7TCT8nf1Zs+Zd9mbyOr2mS+AS60vtzqW4MBoPBYDCYHgfrhhgMBuMcVu1L8+Uzne6j&#10;GsxjIdEw4cw9oivLqayqJRXB4NWVc0NVGn1KjrRzSbLIXwVw8nKJtdXKqlXUbOg+TaZUuWBfKnrq&#10;uGiIWDBtYMRAvtP9l1l0ukQgqG9s1FmyOf7reVGNzH3FvAJHDhEeUv/nqRyoQhIxtrTUNDQ4XiIQ&#10;IuZwDHo91avkr19cSwyZweMxHT/EusWj132a2qBvE5EHjljf1CTmODqNTcn765MsvhQbIFgyPRg9&#10;PZDYVQUH3VxdRRyOVEmeoue1klFq33B2VTe/m7QqdUszWdEWRQzr9A65bLbtcoeNGrW2vCjAx5/O&#10;ZNEwGAwGg8FgMF30sxMPQe8kIsLkWAp/gLe0mBbgg3Z/2bzo0mIKNHBpMa1ietr21fsbttx/SiO8&#10;2tKmpYXQ0nx/4Xa57PKtUnwtMBg7KVBouqK23QtTWzWIzFwZylBGvHc084PVo4U8hqmw2v3G4goV&#10;UQ5rl1mxrZ7CJ5KKbZwCsoqukKr75RXsnGgYGyBAoiHYMOueHFqsgF2BHXaFdOgrFNY0NFg0CP4w&#10;jVstD9+0wqFQx1mTSwsqmQkZ5FKA4IhSlcpx0Q1i0dyjQW/4e0Lau3+a6ISv0TDx8glh//wfWbZT&#10;ajRcBoPVBcYawTzW/PFBxPzlA4nZKTnSZWMCqZq+hEGH/iqOTA8uk6nW6ag+M/ENQ3Yy67o5W1mr&#10;svB+8Xp0poO7fWL08G98vV/54YLFcodag76gvDjIy5spENEwGAwGg8Fg7PnRoi/Cg9AhsG7YS3nk&#10;Eb8e74OQ7fp3O1YrqqvD1wuD6SJWTRgMqwrKFTqLClSmVLl0V/LrMyNQ8UGaOTAQLsyL8uWy3Ww7&#10;MyAPaMC98sYOrQYan4z263ScY68CjFUnRMNoMffdF0fA5eIK1cZPb4ChmJfRGn7YRdKhq4uLtznq&#10;kFreDpCYw6IddlQ6XPPcvZulQ27Uk38kKDUalpsbl+mEeEBr4XJJxdIh32UvnB3p+CHATq5mV6RW&#10;kUOA65VKX6HQKTnXiGVjApfNDEFxuynpNYcv5INZdOGdSaBxWdtJhVYGk23VvjRH3j4WfWbqW9y7&#10;P1tZ10Q+C17QIDeuE+S8kAC/08sW7jjz49k6qcUVSupqROomT4kfzlnGYDAYDAbTD0jOs+pvOSxQ&#10;2P396f+6YVX17fKyvJLiez/9fB41hodHjB4TBxZ8fIKYDBaXK3J3ZzGZfAaDj+coBoPpDUgYdKL3&#10;wruf3bSmPYH2rafvfHQ2J0zCBU+VWiOUJ5aNCYTWrrY9UuBWEGKNNhJPRvsRvslq4cJfnh0aN9J7&#10;mUI3ffuvff/rufZEkqmS2o83KuwXDWGwJ82sNr53NBMKQGC0lfGG9UujwEtdJx2KBYIWpVKl1VJf&#10;TcxhqeIjNjxfzON2XpDav7pg7u4waqFDmUrl5ubmFHcRa+FyR5Lz4kYHBPg74Rt57fNjs/55kZSt&#10;rGtudkq2MgK5jdPM8vHxCwWkdxyYCWCq7D2WxWW5LZkejPL9QXuIN9cR3RDMBE8ut1ahILWf10pC&#10;FIPG8oq65+1j0OsNOnI8oDh6jLP2z2Wzdy5+JvTCxQ/z7llcQdakbMI5yxgMBoPBYPo7wp4oNN+f&#10;dUOFouynpC+IciEiNzcHPCxuhSRFIkMiYzw9Q/EcxWAw3UO0mLtlWTQSF3YeudVu2cRanbG27Tqj&#10;wr3gglJjsPO4HJbl7yGScQqUwKaFiGFCbtY9eT8Yc3BSHXIyIYmGpBDFpHxp9cHrcIXocNHyySFO&#10;t0kxXReuSfO1KB1+X8SsOBi8f3VBp6VDsGH88vJFnwSS2o0tLc5yF6GZw+X0cjmpXGOD3vDeZ5fj&#10;t8xwfP8B/nxr2cpsd3cOg+GUCzE+WgIXEs7cO3mlhKgRv3V/GoDHjlUjiVuBt9LJyyWOx+qCs2hi&#10;MqnT4AtVcAS7hu/W1A1vH41CRW0Uj5vq3KO8OH3ykACfLSlXbOQsY59lDAaDwWAwGOfSb3VDY7M2&#10;IeF9a+KgDaxIigm7dn3O4wXiGYPBYLqB4YOEUDSUK3R7j2URvVDsRMKgQ1EP7OFmqczGmkRFMsSP&#10;Z/FYyyeHUI1T/jgnHC6cTSuHR3RuSF1vBpwsEg0Bh07mUEMUYQo5GLpxUWIbCeCO9oTLZbq51ass&#10;qDY36t3WOiYdhofUb57M33mRHPenMRrrVCqoWjoIDJeraiSPzy2Z6kjizeWLRjh+iIWzI+8U1CYV&#10;kyd2vVLJdpJD9FsHr8+fEJR8q4b69gHTAEwPkm1OZq7s/S9vOzG734vD0ev1JPm1vsX9cP2IP3mn&#10;dsM7Qq8mhyoz+AKWn/P/4To+KvKYn9/2s0nJDZb/lYJ9ljEYDAaDwdjGaGw/6MGFRscDhei3umGD&#10;vLQToqENcnOvjh6NdUMMBtMdnM+sRAudE+OWT24NDzx6Nr/dPZxLKYdZln+YEkSKlqKZC/+hdOmE&#10;M/eg2AEaUTjkjlUjd9xfWa7QgSMevVbWj68OtF1GoiEgNIBPs5QJ3hrD2AWRhkT4LJariwu1UCDN&#10;GdLhwieLbhVFfF9ELmio0mqZbm7g0I73n+XuzmOzFRTh6ZO0gugI71Ej/B0/xJ9Xxlz524+kbGVj&#10;S0udUinh8Rzff6ZUmXn6jsWXSPbKEOeKhjTr8mu6kXepMewxfl6XzsBmo1GrIl8+z6joLjqcj6fw&#10;4+cXfGY9Z7lRo24qLRjg4+fG5tAwGAwGg8FgOoEL/gck4admfz0xpVLm3B0mJHyEpwsGg+keanXG&#10;o9fKwKMToqGEQd+3ZDhU+uQKHZIgbXAzrx4uCHmMvzw7FOwB7WrZmEAUKkU0dKZKIWgPaxZFRou5&#10;cPPYAAF8wBZrgFdPrIsFj2Beb69NBkVDZBEDAaO9fnp4D/aKy2SKrUT/QekwN9+z0zvf8HzxKE8L&#10;qe71KpVFT+dO4OXhYbFg4p6T6QqF1vH983jMTXOHU9tVlqorOnGqgFmxf+04pLAj5o8PcvrhWO7u&#10;XEsy7meq4BqdoEunn67JQl1Uz0dGdOlBX5w+OX5ynMSKL7ah2VhYWaaQVuNvEwwGg8FgMBgH6bfx&#10;hmLJYHx1MZiHGYVaDR5ct9ZPuRZXV9f7wgQH3mq6ujrF26G38WS0H8xQzsyVfXjqrj3K46msqlm5&#10;gVALA9seC50ASxZGhQpRVB3YGzL3IAYbyhU6VN+Qx3EHOzmRVJwpVQbzWPHrYohBecUVqn9/m0tN&#10;5ARrwpxfsCuFVt+bx5YkGiacuRcRxIejvWDaQEWTPj65sKf6xmUy3VxdaxUKkrUuzSwdrjoSEL/c&#10;lHfciT3zuJqN86vAHqgeKfWNjZ02JgbXff74IDBuKek1739928DnV8rlpM6XqrTxx2+sf2W84+Mz&#10;MXbgtKvFXZqtTIRqr3w2rby6QQOnehfNFjGHY9DrqWLuv2TDN0guM1276s2lUZLT5OlMplfsnK6e&#10;8+3mLFc1yhUatY/EF5ulYDAYDAaDwXSafqsberDFzy1Z+cXxBGft8ImpT+LpgsH0OZQGC3FSpIxI&#10;Fp3u5uJCcwN/XJhg2dWV4ebmdB2h24ABhlUyTYeqIm7+PB2aI9PMMYNwAUFye5g43Ae1W9M+4iLE&#10;RNEQMNCfs2PVSNX+KySPlzWzI+Ca9qRU9yAk0fCl3ZdhTcP10nAY3blybmjq3Vo7vZi7Apa7u0Qg&#10;qG1ooEqHMr2LI9Ih2OrPUzl/PS8iteuamzuX6kuU1cBkG5Emqs2XCjw8qIUaT+dUxqQWT4wd6Pj4&#10;WMtWrm9sFAucFpE3L8qX6JgsV+gOncxB9srIJgXMlq5QmYU8XpWcXLInv5n9a2PodGF2F008vZqc&#10;c80bFNw9c77dnGWVTltSWeYv8mIKRPgLEYPBYDAYDKYT9Gc/5eHRkyzqhmvXvRsW+lgbEUFhKsUl&#10;k5lutktKTYWoaqsriEbM4eERkybPw9MFg+mXtIbnmBVGBaGdRTfhSqdDMZHl7t4nTgfmOHdiq3XH&#10;M2J/FcRF+UQM5EN1LDNXdi277kJGJbEWW2yAADmuoLRlKqAP+ZWtw8lhuc+MCYBbhfjxiLrhvChf&#10;2F5cobInpboHWT45BImGO4/cQvrg3gu5VfVNaxZFggFRag0920kwabtIOpw1ufRWITsxhxy3pdLp&#10;mBqN/YUOwfxZtzCKmLqbkl4DrXvATrR6PTVxeNeZjJHDfHk8poODA7OVN399ndSuNBgYHTkFa0wL&#10;Ef9xTjjx1Kj2ymDavHXw+vBBwiqZposmgCeHQ5Vfj6uDBjFl4ewqpx9Rr9EaDWS533tETHdOe9s+&#10;y4ZmY0ldDV+lwGYpGAwGg8FgMJ2gP+uGPF7g2nXv7t/3Lqn97A9fvL5mHN2VSVwT/Q0KGtt6N/uH&#10;9Xh+YDAPMyY90SwpIjGR4eoKHi7u7iYl0c2t/6U5p5Y3kIIBqSyYNAguJP3ejmcLcVcqjZ4Uw0gz&#10;R/ChOon7vsrq5XbMVfVNNCvZ1kevlWUUyZVaAxJYg3msuAhxaCCf7+GeU9KYWVjf7sA6i66TDjet&#10;yM3bM+RGPfmXQ71KxaDT2xXWwZi8MDUYOvBAwGAev1BwimAp48XlamQyUs8b9Ibth5L3bpjq+OBM&#10;jB24JK/meEYpqb2hqcmDwXBzdUhU2rFqJFpOSa858F2ORfMTk4lKVwal8lksnVZLDbWObxiyk1nn&#10;9GxljcLCuXg9OrOb357joyJPBw/acebHs3WW46yhWUqgxNedw6VhMBgMBoN5iGlpMeJB6BBu/fv0&#10;wkIfo2Yr5+bm/PzT4cmTlzAYfDwDMBiM/eiam8GDZjAgJdFUP9HNjeXm1i9lRCoo2BBw8rKFYMNo&#10;MXf+hCCoDRVXqK5kSVOyqlPLG0L8WlNZleoHcsb8cUEwOOtEUnG7shrY85Zl0WXVqve/vt0jCiN0&#10;qrH2KlKCJAw6OK+Vc0PRS3DEwDnu7WJjZQSYigEiUU1DA7XUnYPS4bJxN/MujFA0k3881CoUATar&#10;BJLq/UHfbWQXDi7ujFH+VfVNoEXN5YK9kTZPrWr46rvshbMjHR+c//tD9KV7NaWqNnYrxpYWuULh&#10;YLZywpl74LqfSyn/8Wq5nTIxeEP5CNnJebXOndJCHk9NKRZZ3+L+3/qRL4qvOHeyaVVNpBa2t68b&#10;tweSgrls9s7Fzwy7mLo7y7K3taHZWFRdLvLgekr8cOAhBoPBYDAPLUZj+ya6Li5ueKAQ/X8sxo9/&#10;tkmlOHPmBLERPM3Ozly27E1Pz1A8CTAYTKcxBfUYDCjehuvm5uLuznJzY7u7990KiTaIi2qtbHgi&#10;qZgaS4UcTuDTgf4c8IC1/xDJebVwIVrMheKaXKE7cjHf9nHRnsEOw37l1nZX7F5Hsei2DIHj0G3S&#10;IZh+3gKBc6XD679XN9Yrnx1EP1wwkvzzy3qVQGpi8rmU8o/O5kCljCSzhgbyt56+o2axlBry7DqS&#10;nDf8EUlEmNjBkeHxmBvmj1zzn9+p72UHs5Xjkws7VLIQvAX2rx1Ho6ioTvht5+rqaUl+vaQXRSsG&#10;jeUVOWuaNRuNBh05gNFr6IgefA8umRwbEzZ4y4//y1I3WVxB1qRsKi/yl/i4sTn4KwyDwWAwmIcQ&#10;F5f2y0+5uuLfCYTflv3+DOmuzKlPrKCZtUJie25uzpYtr6xc+fqIkTOJOcsYxNAg4akNU/A4YPoQ&#10;hTUK1f0Cc958ttZgLJW21vm6VSJrbDLd394GC+qu8hWFMiK8WTeVRzQLiCx3dwfzH3sPUODjerhZ&#10;VPqQF0pKes2N3DpfT49pj/oR3VEOJGYjZeSNeY/ABXvsUJB3ilyhy6tV9trxeX1mBNFtGdqkIOHM&#10;5B1sjr7sns44Vzq8/nt1eYVp5AeJi6YpvJJqg6iT36WpycvDA7VIGHQwIKTE5H1fZaERoEqKYOUf&#10;r5Ynl7XoAM3NxP036A37vrwev2WG4yMzaoT/kowBFrOVGeAN212Bw5WNavBOiRvpDeb2mkWRcx4L&#10;eu9oprNSmDkMRhOTqdJqSe0fKyP2MGXeDOdMQqqTsum6j3m8Z9+GIQF+/35uXsLPyZ8VF1tcQWvQ&#10;F1aW+fKFHJEEBx5iMBgMBvOw4cEeo9MV217H3d0fDxTioYi9hNJhQMDggwf3kF5KSPjoian3Zjy1&#10;woMtxrOBhMCDEfeINx4HTB+iQzM25W4N+Hu71KQnlkhVpVIV+FtWp3JWZ2B5RHjfznB1dXd3Z7u7&#10;ezAYfToOsVZntCdi7reMali0Dqy87ZkhUDmSK3TI+WTZmECor6Wk17Tr4gJWRsnR7352s9eWQYwW&#10;c5FGhtyWaeY6j5xvc2Hxu7gon9RuDJZsVzrcOps9aVx5u/tBoiFkwuDrBQpRvoZso6xQqzlmoZxm&#10;NglZvzSKlJiMrjU1mxuxYNKg1OMZnnw+1Rf4lkx1JPHm8kVOCGf7vz9E3yqpBzskNsJsZV+hsIsu&#10;B0rWzsyVJf5SlJQvhWZEK2eGgbfDQH/OB6tHr9qXZrEqYifw4nD0ej1JfgV8IY9aJb7qlEKHWopu&#10;yOALuGGjevzNyGWz33h62tisbGtmKYCqRjmzSYUDDzEYjCOwWayXVqxcvGTpa6++cvP2bTwgGEy/&#10;gckIw4Pw4J7iITlPuiszKmrGxo27wsMjSC/99PP59W8tKim5imcDBvNQEfeIN3i8Mi1i/dyhB16M&#10;Ob1xyo29s2sSFl/fM/vUhinvPTfyj9PCYyO8A72ccEsJbt1VWq1UqSypr6+Sy6UqlUav739DmpLT&#10;6kgwKzZQwmgN2uJ7tCYC7D3W6nwSzGOtWdRaqO7whXYylKPFXLSyKYKPILpNCxHvWzJ8/fRwdKye&#10;ZfigVr3pRFIxKWoMXG+44C9md/fXvFk6tBhDJ9O7rP3G64eLA2xsrtc1/+9CKVE0hMwLu8pztWAe&#10;XatQiN1dtz0zZMeqkUg0TEmvWbUvDYmG4MId2zQBiYbFFaqdR24dSMxufWOO9AYzBHSYx7YwVp+k&#10;FeTkSR0fFh6PuW7xaGq7xmisa2rqiguxbEwgmMlwTKLDRWB8wNSlmWXllz65di7FpN6CV+MixE68&#10;9J58C3Wc0428HxsinXIInZoscQqCe1H5F5NZyrKFM72sDikMPFRIq5uNzfg7EYPpcdgs1gc7d6dc&#10;Sjlz6gzbUtWI+XPmglcT/v0p24GaEs5lYmzc4iVLwcLTT8921j49hSIwAuABFvCswGAwvYGHq9Zj&#10;UNDYl/84OPnS16ScZcDu3Zvmzl0wfvzT0FUZg8E8tAwQc8CDFLqYcremtM4UkwgWHMx0hnGISo2G&#10;7uLCcndnMxj9JpG5QKGBeZfR4aKdL4zc/Hn6k9F+MFQw4cw95EG8Znbr/28OJGbbzsqUMOgonTkz&#10;V0YsHgdeQuFsKVnVvaHiIbJ8gc7LRHyErRJYhVTd/R2zEXUI+Ot5023JrMml1Jf0uubki+UKpY76&#10;kpdAP+9R0X9SyRX0RO70YxsniAQPqn+Aq4wUQ6qlMpgYJ6+UQEF5zmOtPjlxEeKCa2VeHh56nY7a&#10;531fXt+7djKP52iBkYgw8csxwZ+kFZDaTVGTTKbTs5VHhXuhU5461g+V/oQBvJXWJwaY6hPCJEqN&#10;geTibQ9QfgVnRGr/RuP3iLomnF3lyBlpFMqWZrJnt2RkbK/6UIJmKeMvX/vwVhYOPMRgejmBfv7j&#10;J0wAC2KxeGJs3I+//Ex8NcDX9831G0yf3pGRYM28woL+Og5jR40CIwAXSIOAwWAwPcJD5xHjwRZb&#10;LHcIW8DjuSUrx42dja2WMRgMESQjrp9r+lsqVd0ukd0ulTsiIxpbWlQ6HXjA23t3BqMr1Ipu5sB3&#10;OVGhQiGPER0u+mFHa4HUzFzZySut5sso6bi4QoXSlq0xf1wQTGeWK3Tvf3mb9BIUDcF+UnuHTUpG&#10;SWte7ZzHgojJ1xIGfcn0YLh8r7yxR/rWrnTI9WgmJSzbEA0ZDI/J0zbqy/QTa8t/yyNnE7fct/FN&#10;Sa8B8wFl3VItld/97Cbx2h2/ULB5+TCa2R2Fds3UIuTxahsaSL7At2Sq/3yT+doLYx0fluWLRvye&#10;W03KVjb3rauylcF0jU8uBG+H5ZNDFkwbCKVDMCtQ9GVGUZvxJA6aL0GBtR8vD48Wvd5UerUt8Q1D&#10;3nVv5Lt1PrhSp7agdQqiH+uFn0tzxo+JiQjdf+Hi2TrL2iuueIjB9AaCBw9Gy6vXvEGSzDzYHr2w&#10;z1wuFy5cvXKlq4/lKRR5iUT9WDDFYDC9lofRW5ruyhwz5ons7Mzc3Bzqq18cTwCP1as3hIWNx+oh&#10;BoOxCIxJfGpUIFFGTMmpuV0iT82p6cQONUajRq1WqNUMV1cGg8FlsfqogFig0Ow9lgVr+UHkCt2H&#10;p+6iDOVlM0Ng+76vsmxXKowNECAx5ejZfGLRN+TFDPfTe879RFLxgmkDB/pz9i0ZfjatXKXR+wjZ&#10;S6YHwzC6zFzZqawqCYP+ZLRfaCD/x6vl3V/rsE6lonplALZ95xnvpUY2KfI6XWpKucFgIXnTy2vg&#10;3Dlbixp1NFrZE5MD8qrVlY0PdijVGZ7Zen76EP8WN8Z3d2vRpST5nwCohfyq5a06VICk9eYQvAsE&#10;Hh71KrKudzyjdPzNgFEjnFCvet3i0SsP/UZ9P9a19XhxHB7ngXMfmPlHLuZHDORHh4uIhuMJZ+6h&#10;CFwwyd+Y9wiy2QGTp12d3RpCHk8tl5Pk1/oW98P1I/7kndrpM9IqyZqjMCLSjdtLs+p8PIU7Fz8z&#10;7GLq7qw71taBgYd+Xt7uHC7+msNgehaxWBw3LiblSprFV+tksl7Sz8ghQ7pu50rlg5yMAF/fg4f+&#10;BYblH3v3nPz2DJ4hGAymO+m3uqGxWVtelnn92sWffj7fic2hgwpWDzEYjD0gGRE+Tblbk5pTA/92&#10;dFe65madRqPUaPqugJiUL+UeufXq/FYH5L3HspAU8pfFQ2HjuZT2JbOVM1urEVO9U1DyMqniYY+D&#10;xKC4kd7IywUCQyajxdwty6KhgjY+WjJ9+6/d2T1XFxeJOTKCKh0SHZbbFQ2ZTI5U1Ro4uWRG0L9O&#10;5SsJK99VaO6mFYAJ7CsUTggULpg0iDQUaDL8kFqWnFeL5OO4KB+4IOA+8ODms1g6rZYaLrfnZPon&#10;IV5dm6183+PFKShUpqhkcOmDeawChQacdXltE5IF4WRGmfiwGCJ66UBi9vnMyk47Arm5unpyubUK&#10;clJ5upF3qTHsMX5eJ/Zp0OuNBnJ/RGFRvfzTacnk2Jiwwf/4X3Jyg+XPDa1BX1RdLvLgekr8cOAh&#10;BtPNoNg9yONTpljTDevlst7W+eqaamftKjyitZxLTW0tahw6JAomL/sHBOCpgsFgupl+qxvezb5I&#10;dU/uKFg9xGAwnQA6rsBQxE5riH1aQDyVVZVRIh8eJAR/iWmqKOn4o7M5tveAVqaZ3ZktvgRTPnvV&#10;idfqjJs/T//Ls0NJSllKes3hC/lcptsHq0dD5RQMwqGTOT3SSdvS4d9mNclrCm2LhmC5TtUaGygQ&#10;MubG+R/7lZw/y3dz/etTYc9MHUxszMyVBflxkDcIeIBx+OaXkszC+hA/Hoq8u5LVJpnUYrhcqUob&#10;f/zG+lfGOz4gyxeNyCquS60iC0n1SqWvUOgsA/QbuXVwVrwwNfhmXj2KQoUzed9XWVABN4XZmu2V&#10;0Yh9eOqu7TKg9sBhMNQsFvg8IbV/pgoexKwfwKzr6A41CgvW8+JxU3v/p1NIgN/Hzy84bjPwUNak&#10;VJQW+Iu8mAJsSoDBdB+k2L2nZj19+Mjh8ipyJdac7Oxe2HmVymmeWgKBAC40qR/s8/adrHM/fN/Q&#10;0PDNqW/wVMFgMN1Mv9UNHRcNibsKD4+YN29FUNBYPGMwGEyHIGqI526UpeTUnL1eVlbfgR+XSEBk&#10;0ekeLJYHg9EnTFQKFJqCrAe/9SUMOspQRsbK1iB6KANenR+BTCGmhYjRS70nQ5kIOLV1xzOiL3CR&#10;vXJGkTxTqgQnhUTD4grVe0czHReDOo0N6XDTt8ErI2o8ebWklyIiJsXFvgBFQ0BF4wPZKCJcEFPY&#10;mFbSpnTj7Ag/omiYmStLOJuXWt4AZgJRVwUDglLOIXKF7uTlkja/VKyEy53OqYxJLZ4YO9DxAVn7&#10;/Nisf15s0BtIb736piYxxzleGahw4VNxAcgZBpzs0bP5MJwWjMz8cUHE0TjQqYKG1vD08DDo9RZ8&#10;ZmTDd3pfYrp2rEirlpI8zuALWH6htD5Cu4GHhmZjSV0NX6UQS/zozgs7xWAwHWLa1CeOHPsvXOZw&#10;WmtHFBTkkz/fhKLHJ05EsuPVK1d+S01RU/5T0hU8Netp5+6QzWKhfRI1U7D8t107rX7CC0VBgQE+&#10;3j5KpbKopJgqtgLCBgd7SyQ1tbWOV0h0ZMBBN8oqK0grgx2OHTUqPCJCIBCAvRUUFuIyjhhMr6Lf&#10;6oZPTH2ycxnKFsnNzdm9e9Pade+GhT6GJw0Gg+kQFRV3GhU1CkWtruLOI821AaG1CrWgqD6gROF1&#10;pVFs/35MNRBVqnqVisNgsBkMLpPZhwbBj8+GktmBxGzbtrBED2UI2HDHqpF/rFD9fLXyD1OCYKM9&#10;mc49SKZUSZQFiaJhZq5s8+fpROUUVrK7ll3XneGT1qRDRbNbQs6jKyN+J0qHERGTpjy+Gj2Vqsj3&#10;BlMn+jX9YCQajFwuqs0rbggbKCgqV36RVHjqvogMTryxyapEBcPrSHUPaeZwuSYGA5oIEdl1JmPk&#10;MF/Hs5UD/PnLJ4T983/kGBalRsM1O547ZUpAt3H4tLhC9e2lEpR9PC/KF6X20yiWMk7B1cXFos9M&#10;fYv7f+tHvijuQEX/ZqNRrybPHM+o6L71yYwCDxNy86xZLTdq1I2lBYFCL7anmIbBYLoYoaD1/21S&#10;qRTm5L686tXEk19DjcnH28fiVnHjYvb8/R/ElqdmPQ32sGfn+8Q05/lz5r65fsP2re8Q7VbAto9P&#10;mZJ9547jFQOJsYEdPVaAr+/QIVFQNQsODrF2CE+hiJqgHTY4eNGiRST5Mic7+60N6+HKbBZr5vQZ&#10;0IoaDe/WLW/fvN3Wbs7uPts54PC86uVyokT4wc7d4ydM+PL4sQOHDpIOTdwb+PtJ/CEkGWMwmB6n&#10;3+qGkybPc6JuCNm/792PP/4ZTxoMBmMNqbRIp2sqr8jSaZukdUXwKXU1HrthWEDDMBptFo1WJB2U&#10;L/dNl0sUzfZ+IEMXZplKxWIweGx2n8hfzpQqX9p9GS7YXhN5KNPMIuOocC8otQz056BQLHsynXsV&#10;K6aHWBMNp4WIoY0MOOsLGZXOlYpsI+FyXYxGaulAknQYPWxmXNwLbVbQkvU7idBj3eLR6z5NRSF7&#10;dxWauG3npgV6Xqps8BYIULZvMI+Fou3A9U3JkcZFiE0GyjTazbz6U1lV1nrrxeVqZDKS5gUO9/eE&#10;tHf/NNHx0Vg4O/JqdkWXZisfvpBfIVVzPdyIZwoGZM3sCKQnEiMQnY41n5lLelG0YtBYXpGd+9E1&#10;WXBS9h49kdYHWTI5dmr0EBtWy4AyeR1T2egv8XFjc2gYDKbLGD9hAlw4eODDd7Zth8sTY+NIxspE&#10;qBoWRCwWg/aFC+ajyDuoTI0dNw7ujc1ivbRi5eIlS2lmoSrz1q1OBLiBnaBlYoif/ccK8PVdsXyF&#10;xaBFqbTNhxIU13Kys19743WkxJEUN0REZKSXyCQygkO/t3UbGlg0OB8f+hdxcOzvs50Djo5LEiJh&#10;T8BukW44Y8pUi6fw8qpXKysrbVx6DAbTnfRb3dDTM3TXrs9zc68mJydZ9E3GYDCYTqNQ1IIHjCIk&#10;Pjqxq0HiIvCYSqNVygPyZb635JIqPdueDY0tLSqtFjxYdDqXzfZgMJxViK2LsCctd1qIGImDMEkT&#10;POZl+BKLwdHM9sqd9ojoEZAq9P6Xt4k9jw0QrF/aaiVxLqW8O0XD1u9KPt/Q0EDNXUXS4fw5zz4S&#10;MZn0KipuiOAyWREB4tenRe44e4vYnlRmMmgmZvvOH98aMWoSyMzqWAH4e81C3+ZFtV73nUduncqq&#10;AtPbYrZyUrF0ShdnK9epVBIu1ylvgcwLuegpNTEZzIGPzuZ06dzms1havZ4aufmxMmIPU+bNsCuG&#10;V6MkK490JlMwfHIf/TyHVssRv1z6NDdfYTRYXEdr0BdWlok8uCIvb5y2jMF0NbCWH1TTVq95gyQe&#10;lZWWtn6FCUUbNv8FLl9OTt73z331cvnE2DikOa5YvgLm9oI1SYcgqWnBgwd3QjcM9PO38MVq97GQ&#10;RbLFnV9N+524TyiuRURGegqFUJsjKm452dmJX34RHhEBlT7ESytWokODIbp8OXXW07PBTky92v63&#10;lX98qUN9tn/AZ06fATfnWvn2ZLNYUP1ctPg5tMOkpAs0s3bp9OxvDIb8S0Z7p911mIxBPdjD4jpV&#10;rxoxt348G3i8wNGjwWOe+Sa/zb/uZbLK+zf/9TK5tEmlOHPmRLs7fGLqk/g9hsE8JKBQQbCg1alg&#10;/CCx3en4CcvBA/zIqldI7smDM2TiMg3Drm8+o1GjVNJdXFgMhsjDo09UP7SIhEH/45xwuEz0UIYu&#10;K1++8xj1pb5FcYWKqAwSPXMzc2U9EkHp6uLiLRDUWJMOCybOZQ+nbkUsbgjhskyZwjOfCLuSVZlU&#10;TI7bUmo0bHd3DoMRLeYi85OjZ/Ot9QqstmJ6CBJbNy8fVr1fnVreYMpWZjKpudVOzFamSp80cza3&#10;B4MBju7EkZ8WIl6/NAolJoO58e9vc22n8DsLLy5XL5frmsnWN/+SDd8guWxPoUMtpfw/b1BwX//M&#10;Dx3g/2c+75fc/N9kVn1aTX4pGrUvX4jTljEYpxPg64uWy6uqEhMToXgkFovjxsUQE2ArK1vv4+bM&#10;mgVFN6lUumXbVqhDQZERKllgDwfj4+vlMi9RG11s/py5pBA8Z37G2ncsNotFFA0vJycXlxTn5uSs&#10;XvMGVUmMDA+//+tUCkVDT6EIqXVgW3j64NyJumHY4GD4FGz11pvroFh59sKPX36RCA4RERk5YuhQ&#10;mK1sZ5/tH3BU+lCptPw/40A/f9gfKGICkpIuwF2Bv99//52Ptw8ONsT0LK6uHj149FLr1fAnhHl3&#10;f3/cHpKrzuMF2ngKmD59lbFZ26QyhQtBVRFKimDhi+MJc+cuCAgYPDh4NH7/YDB9C61WVVdXTG2E&#10;IiCkzqQMtn40V1Tc6ZF+slluPB6Dz2dIvD2EXkx3BvjwkV6/5Z10TXihgCnTtx9IiMIPuW5uLBar&#10;b1U/bP2dOi4IBhXKFboD37UR0aYP94MLxJeCeaz544OmPeoHxZdzKeU/Xu2lRQ9hYTtwdqsmDL6Q&#10;UTk8SEiMoCQmLy8bEzgq3OtsWnn3SEg029KhtvmZ3b9c3ztb4NFGMqPWN+Tdz9X688qYu3t+KlWR&#10;pb16pZIpFK6YHoKu4/nMSov9IcqpiHdfHLF0VzIYIi8OR6/XkzQvJ2YrW5M+Qf/ZIpGzQnpRcjok&#10;4cy9k1dKOhFmGC3mhvhwbSR3W7vinnx+lVxOas9vZp+SD1vsecP25nqNtqW5hdToPSKmT39TVMgb&#10;tAYDn8N+ZuTQ4VU13+QXlVPkaYih2YjTljGYrsCD3eYWPa+wAIUcvvjSyylX0vz8/EibzHt2AVzY&#10;s/N9YhG9H3/5GalvMF2XuFXcuBgYpgelOqLQNn/OXBSOZ40vjx/79HACPByyarGGjWMtmv8s0uCQ&#10;qAeBGlwDwbUJRe2hIMTHJ7Z+5RElPPLRY2PhwsEDH6L9gzVPfX3i5VWvguWQ4BBSlUPbfbZ/wFGp&#10;Smu6Yd39/9DkZGfDAQd7QHYo5l7dxm8KDKb34IaHAEF3ZUI9kaQqTohb+nAOSEXFnTPfbsMTA4Pp&#10;CihCoYUgwdHDasBjE43265WAn25wvy+ySwpUGgzgV1pjUxOXzeYymb08eRkRGyBACZtHz+YT4/KI&#10;L+09lgVfmhflu3n5MOIeoE1twpl73ekuYieHL+RHhQqhdzDJPhilphKNhiuk6m7TDWk2pcNGtf6Z&#10;3b+c3jgFSYcKrU5HWU10/96Jx2Nu+7+YlYd+I61gbGmZ4MNGIYQWM83BhV63MIqYkJ6SXgPHDTxe&#10;nxmx9fQdmK1c1dhI2taJ2cp/Xhlz+b1zSkMzqf91SqWEx3PuyIMTBHOjE87abaoiHqF1VDpk0eme&#10;HA610OF5rSSkvUKHGoWF3no9OrNPfyCX1dej5cG+3q97iq4XlXxdVmFtfZy2jME4HW+JhNSCQg5h&#10;ZFzggAHEVwN8fVFc3o3MDNK2V9N+t5jrChphe0529pZtWyfGxhF3aLHQHonFS5bm5uTAUDhrVi3t&#10;Hotmrt8HF/bsfN9iijQ4CloOj4hoPa8rrR5Ws56eDRcOHvjQomhYVlkxcdJkuFxQWGj+5cmKCA0d&#10;MXwEOjSP8qVme3zsH3AUrlhT+6CGT9jgB5HpSMzdufP9D/6xT2zmyH+O/mPvHsc9ajAYjNPBuiEG&#10;g8F0/UetmyvfrBKy2e5CEVPix+7Q5pPGlU8aR9ugZJ1L9v0x0+NGffsf3brm5nqVqqGpqa8kL4f4&#10;8ZCSQkxDljDo7744Ai6fSCqGalpsgACJhmD9G7l1oYF86Laxcm5o6t3aTggxXQroz1sHryNLZQgx&#10;NTWYx/rL4qHQEEau0B25mN/NPbQhHWaVyonSoYVgQ2abaMSIMPHLMcGfpJHvgtYsak15pgYbgtN/&#10;YWow8kuhmWMwE87mpZY3gGu9f+04mlkXhvGkLHd3LoulpNwm7TqTETJIFODPd3AoDK7GuXH+x34l&#10;58KrdDoPnc4p2crgot98+xce071zFS1JOc4+InYndtLpQofUJGW2t68bV9R3P59lqiaS1Q+T4f72&#10;zElvNRtf/u6XW9VWFXyUtswUeLrSXWkYDMYBUEhdTnartX1eYcHl5GSoQD2/dBlpfWJ8IlU4Gxvz&#10;KPEpVZTc2TZiTqlU1lOisDuHPcciKmhUDY6KQCBA27Z+1d4Pirx6w3KQODgiWueVP75CI2h5EKlU&#10;mvTzT/b3uUMDbhEUnkm0fAFXefWrr6CU7TfXb4gcMuTv+/dZFEMxGEyP3cziIcBgMBjnwuMy3N1d&#10;PT1ZHh7uHK67tXDCju9Ws/DJooVP0nLzPb/5TWxP/jJKXuYwmTwmk9WL42KOXitTqk2OBMl5bexl&#10;/vLsUOREjNS0dQtbvUQeRBdeo90ra4T5rcMHCXubbkgzS4dLdyU/Ge03Ktwrp6Qxv1KBIgpjAwTv&#10;vjgCnSbJO6XbsFM6tGiKQmpZvmhEVnEd0Zt4vJgXNrD1tocUbLhsTOCymSFIBSMZCqeWNxxIzIZX&#10;duXMsNRPTBYqnh4eOgAlW3n/f6/u3TDVwXFQgHutcMGwHNmtKnI4Hsy2dooKD0agE1dZwqC/PjOC&#10;KLCeSCo+eaWkc33oRKHDZqPRoCO3ew0d0ac/sQtryZZWDDp9kIjPdKOnvbTwoysZf/vtaiPFQxyC&#10;0pb9vLzBxz3++sNgHKeg4MF/zk6d+gaqXUTNq7qmmrSJp7BNMvKIoUNRZFxZpSlwmOTOsX3rOzDE&#10;b+y4cbClprZWrdFs+POb8+b9wVrpw5zsbNC3stLS31JTbPTfnmMRVyAJZCi0kAhS5Woon1ekLGwi&#10;SHUlnRE0UQFngQ7d0T63O+AWGTG89cuCaPlCM5ezXPzcIqJ9c/adOzjqEIPpVTyMuiH0SEHWKCKR&#10;H7XcIQaDwbT/AWqOIjT95TPc3elCEZPDc/fgdvnnanhI/SbwoNF+uDjgmys8e8IPUelDrodHr1UP&#10;LeZaRoWaSuTIFboPT92FOsu8KF+UyqrS6CUMOmw/eq2MWhevVwH6CR2iiY2kcn6JvxT58pnDg4Rc&#10;tluVTJNfo+xOk+V2pcP/bXvSmikKCZI38WWp4uqt6rHDfOrlmnMZrTcVpgz0mWEwyhLx1sHrJNn3&#10;fGblnMdMtS/BmmC4wABay1ZOrWr46rvshbMdmgYavUkXm/1EYOGXedRsZblCIb4f99HNON1KxUah&#10;w//Wj3xRfMXC4CgtuPtJxjzedz/G1Tq9TE1+i0X7eTHd6HD59XHDl0U/sj4p+b+ZVp2LtAZ9UXU5&#10;n8UWe3nTKTI6BoOxB2r5QkDKlTQkfj34SWOOeibm9i597jlUczBscPC293bA9k/iD8FGoi6Wk51N&#10;NdyA5fbA4YgGLJ3DnmOxCd+bJNcXgaWvGGueyzSzZodqFBLDGE1fEyXF42kPhg4aFt++kwWdVTra&#10;Z6JQ2O6AI4glIFHeNMq2fvBRrNEcOHQwNycH1nZ8c/2G//32mw1JFIPBdPdt70NynjpdY3FJRmFB&#10;ljXf5JUrXw8PH4sFRAwGQwIGD4IFT0/T3SAMIXRn0IVejB7v26zJpbMmdyD80FT6sLGRRafD0od9&#10;YvzfOnh9xfSQs2nlSEsiZmWuWRQJHudSym/m1XPZFr7RgnmsuAjTr+38SkVerbJH4visQSxoiCDa&#10;ZUBOJBXvvZDbbb1ydXER8/mVcrmxhex9kVUqX/NZ2shh5HJIyBSFSIA/f9Pc4Zu/vo5aXvj40pKR&#10;QVfza7MVuhg/8fzxQchbuc3dC5NOagFXbd9XWTBbednMkPOZlaDFWrbykeS8uNEBjmQrw32y2G6L&#10;pgz47EIx9U3E0Gj4LFY3T5Xlk0OIw9VpKxUS1godXtKLwhvDHuPnkdq1FN2QwRdww0b13U/4wloL&#10;wuswvza36AIW89+zpz5vUg9TbKQtN2rUjeXFEi6fJxLjoocYTEdB5QuJfiCAf/37X9YCAD+JPwRL&#10;9S1esnTkyFEwUBFV2ZNKpYknv4bLyN4X8OGH+9EyiuNzokRl57GQH8iGzX/Zs/N9G3ol0WkaqaXI&#10;NGbbezvA5tm5uWqN+sknnyRueOP6deRqsvz/llmsotihPts/4Kh7Tz89G8qay5c+325u9Y+//Lxo&#10;8XNwNaqhDQaD6UH6v25obNbezb548OAe26slJHwE/s6du2DCY896sMV4ZmAw/fmDzxwniJ6y2W7s&#10;+5KTQMhimHOKuydy0CnA8MPXzNUPE69yClR02+trjEaN2TiF7+HR+9XDTKly3fE2pX8igsiSEHRE&#10;QU+rZA+0pN0vjSL6bJxLKT+ZXNIbspijxVxSuUMicoUOvbRg2sAjF/O7U/F0c3WVCAS1DQ1U6TAx&#10;pbColD9rRpvi9CIrhpITYwcuyas5nlHaekehM3xoLnq4YtiA3eviiCf7zS8lU8f6wSu1YNKg1OPk&#10;Yk8oWxkMy4gBIhhk10XZyij6bOBA7sQw4W955HC8hqYmDwaj22qGgqnyxrxHUFRmcYVq31dZVN/w&#10;eVG+XLYbFFU7tH9rhQ4/UwUPYtYPYNYRG3WU0DxBcGjf/S4wNBsrKVGrERIRCjZsM58HBrSbtgyo&#10;VTbKmlS46CEG01GQAy/RD4TW1liZ/JV08uuhQ4dBVTEiMpLogyyVSle/+gq1Rh7YFdFB2EYcn+PY&#10;PtaWd/4Ki/oB9vz9HzAYsKCwkFookOQ03Xru901j4OYWO5ByJQ2pk5s3/yXxyy+gQUrw4MGLFj8H&#10;nlLjCm332f4Bv3rlCuweMlpB/GPvHqIgGDY4GPTn6o0boHHGlKlon03qJvymwGB60e1z/z49haIs&#10;IeH93NwcO9c/c+YEeGzcuCsoaCyeHBhMn8bfjzNwkCnXo6MmJH0UVP3w1ysBp1L5v1a1E+2ia26W&#10;9h31kEiFtLW+3qy3fxkxQBTixxsT6YVUlcxcGTFz8+erlX+YEoQ0uKfiAsZHS6iZsJDYAAHYW0qO&#10;tBtSg2eM8icmnF7Jkt4rb6yWq6EeFC3mfrpxfOvv/vSa7g+TZNHp1qTDtJJG2o+lSDokmaKQ+L8/&#10;RN8qqb8laxOkRhQNUdxc6t1aKKTGjfSO/VVA1cWOXiurkml8Raybpa33G12Rraxoe5M5IcYns0wp&#10;VxuIjd2ZrUwq/ggmw/tfWyh/uX56OIxGDA3kbz19p6NHsVbocJ9s+E7vS6jQoValbmkmzwfJyNi+&#10;+7FZIrUQzDJmgLeNTexJW0ZFD31FXgyegIbBYOzAWlAh4PCRwxZ1Q7VG89bmjXHjYl586WWihvVJ&#10;/KHEk18TRUO0eWJiYld0Hnm52H+s8qoqoh8IOH1rIxA8eDC1Ma+wYMOf37SmGJ774Xu4gNRJMD4w&#10;BRgxdtw4pBva2Wf7B/y31BRqgjnNnCt99sKP6GmAr++R/xy12H9qMjUGg+lB+rNuWFV9+73tf+rE&#10;hrt3b1q9ekNU1Aw8PzCYvouHh/tDohiSMJsvl8Pk5cScdrIp+6J6mJJVDSWSJ6P9jl4rM6mEZmuU&#10;2ADT/XlebRtBMD65EDwkDPqIAaJFUwZFh4uEPMaMUf6ZlMzfVRMGr5xripwKTSnvhPLSUX68Yarx&#10;V1XflFEkJ4mY0CYFLssVusMX8ntknG1Lh0G36ocN8wTLTJv5mDwec93i0SsP/UZsXP3+/+ZPCi2X&#10;qs5m1CKJFgzC0bP5sNSjxZBDmtmGmNxJZ2crq9uafrDYbn98MnTPqbuk1bohWzmYx1ozO4KUxk4V&#10;DYlO3IBKqboTx7JW6LC+xT1eOvZP3qnwqVZlQW0XRD/Wdz8tS+vrSS3+fI5tKZxGSFve8dvVSyVW&#10;HQC0Bn1xbRVTVucv8XFjc/CXMgZjJzAmjkh5VRXKkKXdr0X44FeBuSihp1DkJTJ9ElrMxpVKpWKx&#10;+NwP35NehdoW2LmDfU5Pv9GJY4HzWrFi+ZxZs9Cp2QbsgXTis2c//fjEiSjLeGzMo6QIQWg5smj+&#10;s6RDgO4dPnK4c+Njz4CrNZot27ZOjI1DecdUMxZrgM4cjI/HbwQMplfh0kK5H2iXzxJ+Liqqsb2O&#10;l6eQwejJW9AmtXT9W4sc2UPXSYeVVdXtrvPe9ud6fHJUVNw58+02/CbB9FFCQ4RDhns95INQUcX7&#10;8bLk6A1Ou6UPAQxX176iHm57ZghMTLZY5W3ZmMBR4aZL39ikv5lXj+xWYgMEsEbeOYoyiERDwNr9&#10;V6jBbt0G0SYlM1f24am7PZtVrdLpahUKiy8teNRv2DDPwV5ewd7t5Hl99V32P/+XTW3nsdleHm3S&#10;rz59eUx0uAic+Etm32QSEgY9TMKtatQSA0KbW1qqLMXKxfoKOpGtXFAjLaxrk5kbIRH9fLXm30kW&#10;Skz6CoUsOr2LpgExzBBxIDGb6KtDckp5YC/eKRo1GmqhQ8ASdsl0oeny1RYUGw1t3mvCiMhhb33Y&#10;Vz8e5Q3ZleR4ljlRwf78Dmh8RzPv7vjtakmDwvZqfBbbS+SF1UNMn4Z78J0u3f+aV1cvXrL03A/f&#10;/23XTuqrnkLR4cNHxGLxP/bu6YTT7oihQ328fewRrToE6NXqVavKSkuJ0XadO1aAr69ELAYboqjA&#10;7VvfgfGAbBZrYqwpTr/dff5102YYOfhJ/KEjx/5LfAnsZFT0cC6Xq1Qqs3NzSaUDu2h87CFscHBc&#10;bOy8ZxeAiyuVSk99fYIUuth1pFxKwe9rEoXFDkkQgwd+0VfOtLJ6u0aTbXsdP58tLNaQnuqh4LWv&#10;rL3U8PHC7u9Pv403TL70tYN7OHhwz8aNnjhhGYPB9F38fRUr5imencb6Osm/XfUQxh5qNJre7LkM&#10;+ehsToDEIzpctHJuKHgUV6jeO5oJ9TWiAkgzJyYvqQiG9eBC/FoNPe6VtclsnRflizbZeeRWT4mG&#10;JJuUE0nF3VzW0CIcBqOFywUTg/rSid8rGUz6qCcGtLuThbMjr2ZXpFaRB1ahVnOYTKL09v6Xt+Mi&#10;xOczK0lrkpyXwRU/fqEAKsLOzVaWN5GFMy8O62/PjUq5W5NVSg7HkysUvkKh06fB6zMjiPU6wUyo&#10;qm+CajL4q1QbwIkH81gvTA1Gq1kretghTIUODQaVVktqP64O8nNXRjIKSKIhQBQW1Xc/Hgsojig8&#10;pnuHREPAsuhH5oQP/uhK5oErGTaKHposUyrLRB5ckZc3tkzBYCxy4NBB8LD2ar1cNnfe3E7v3Fyz&#10;77bT+wx6RVU5O3es8qoqc2bu7bHjxkHt7/adLPiSWqOhFiK0CKoRWVlJ/hoFO7FhvdJF42MPeYUF&#10;4EFSOTEYTG+jf+qGVdW3rfkm08zWyRJJoEjkB5ZlskqFov6nn85YrIG4e/emXbs+xybLGAymT8Pj&#10;albMK1gxj/bDxQEJl/i2jVOg5zLXza03q4e1OuPmz9PnjwuCtQsH+nN8BCyaWTdECuCBxOxJI32j&#10;w0Xg1f1rxyGnEbCQkvNAL4gNEGxePgwu7zxyCwUndjMSBn3nCyOhLgZ6eOhkDuwJaH8y2g+eCM0s&#10;D/18tfJCRiWpAiMSm96OT6cm8zoIDEG1KB2eSamY/MggUYRHuztZ+/zYrH9ebNAbSO1yhcJbIHB1&#10;aVW0wXkVEOLpIPOifNE1goBrClpm5QaCaeBcb2WFhqyaiTmmcgcHXoyZ8u6PpJc0RmNdUxMpZNIR&#10;wGxctzAKOfkQBXGaWTQEf8GJT0z3IeYvn0sp/+hsjlMkZi8Ox2gwgPMitR9WhK11L6Om74rHTe2j&#10;n4oyVZPWQJ6NYwb4dGJXAhbz7Yljnx/+yI7frtgoemg6aJMSPLDhMgaDscH3339HM/uKdLTAn6dQ&#10;hOoJIs0Rg8FgnEL/NHrLzEi22L569YYPD5wdPXpeUNBYHi8QPMBCVNSM19fsW7vuXYubZGT+imcJ&#10;BoPpH8yaXHpyS9bfnpQFc9qRGJQGQ1VjY61SaaCkf/YSanXG+OTC6dt/Xbv/yku7L5PEspT0mqPX&#10;yl765Nrb8elyhSkICOVyHj2bj0S3aDEXVRI8kJjdU6IhYEKYBImGbx28DnsCunds04Q1iyJRnN1A&#10;f87KuaHx62LmRfmibcFqB1+LgaFnI0I8u6J7XCaTx2ZbmifNbyX8npPXvlIZ4M/fNHc4tV1jNNY3&#10;2fJMJAq78Mo+OPFw0fLJIa33Sx4eDIrBMfRWtv80Dc1GA6V4CwxAGxokWj93KHUThVpNVdk6DZiN&#10;SDQ8kVS8+uM0JBqC+Qxa4DJRNATzduvpO86KS3V1cRHyeHQXcmByfYv7ae0YPa2NcsjgC1h+fdVM&#10;ubC2ltTCoNMjJKJO73CggPfv2VOvLX16tk7WzmeXsrGgtEBeU9lsbKZhMBhMW27evv23XTvtDDAk&#10;svS51gzTy8nJ2FQEg8E4l34Yb2hs1loMNtzyzj99fYZa3ITuygwLfQysQPVR+eJ4wpDIGE/PUDxX&#10;rDF+vD8eBEw3c/uWVKHU4XHoHLMml86abFfsoUqrBQ8ui+Xp4eHq4tI7T4eUm5mZK4sOF0WFCiUM&#10;eq3OaNITj2XtWDUSvnoiqRiVh4sWc6GBL6mdyLQQcXWDphsqDJ7KquImuo0K9zp8IR8eDvQfdQ+e&#10;l0Klh4IRaDRJaUdMWxEL4YF1jlzsKhMVLw+P5uZmahJrg96w9T9pn2x4gsdrpzLmxNiBz9yqOJ1D&#10;Tp5SajRcBsNacOuCSYPgAlRUweBIvn6QyTvtUb+9ZosbG9nKZ3/Km/lEmD3nqFCTz47HfNCr9XOH&#10;nr1RRs1Wrm9s9BUKnfIGSfq9csG0geBMj57Np07Im/n10BEIDci7n910elo9i04HI0ktannDxVPM&#10;fnyK+kHQpWdUdB/9DFTr9DI1OTo12s8J9XC1V36ecefCWL74dGDMDQbXxpq1ykZZk8qXL2QKPF3p&#10;/fO/+BgMpuuYMcUU7n31xg1YqRA8XbxkaesvilPf4PHBYDDOpR/qhg3yUmrj2nXvWhMNEWCFjRt3&#10;7d69idReWZmPdUMbPJyWtZiexf0uvstyFPvVQ6VGo9ZqBR4eXeoe6yyuZddB0+T544Kgk/KiKYPg&#10;SyeSivfet1EmiYZ7KfbKxDJzDtpN2MnRa2VEqejJaD+UWA31MrAc/N0D89zNy4dtpj0IxOuGeogS&#10;rkkHoUqHpSrt+v0X966d3K50uGrJqOt7fgLrk9prFYoAkcii9IZi6775pQQOAjjHk8kl8NKAIYoN&#10;EEDtzFq28kdJ2Y/FBLXbN5o5d5XU4sVp8wV34MWYZ3b/0qhu47msa26ub2oSc5xgeQHm4cnLJQqt&#10;nnodiYY5NKfmJlPhMBhqSyN5wS3Ymzl6qPY6fOr5yIg++ulXWGshQnaYn9jB3epUyqwfTP+39myU&#10;rrzzwzTxwCTvoTbUQ0OzsUxe59Yox+ohBoPpEAG+vsg+5XJysqeXF/QsBnx5/JiNOoYYDAbTOfqh&#10;bqhUkjNEwsMjgoPH2bNtUNDY55as/OJ4ArHxp5/OdJGxsg3u3jVFZLi4tMDbKLBAcwF/wR/Y0uLi&#10;alpu0+hy/yUX+JJ5AfxtXa3FpXU/Lfc3Ia3TumxeMD3U6mL8DsFg+jdIPfz7z0IbrinGlpZ6lUqp&#10;Vntyub3cMuVCRiUscQj/Th3rBxM/ieJgMI+FRMPMXBloXzbGVMf2fGYlFGKI1QYB1TJ195+Ir2dr&#10;1bxDJ3NQwGOBQrP583Ri32ht6yF2NRIu12L9u1sy1fr9F+O3tPNdyeMxN8wfueY/v1MnWJ1SKeHx&#10;bGybWViPlk3lLO9T1fhAhfT08NAB2ibXN+gNf09Ie/dPE9s9O4WWrJSJPdpo5aZs5WeGbvkinfzD&#10;w2bIZIcgVa6kmTXuN+Y9gq64tWhE52KSQQ0GJaUC4H8Z494w1vkbiuhMplfsnL74oWdoNlZS4lIj&#10;JCKmm6PW2GlHDugIvjoDpMXLZOUTBgz9UhhaQ6Pb6A9WDzEYTIeol8ulUqlYbPpvB6ppSDNriJ8e&#10;TsDjg8FgnI7bw3CSEyZMo7sy7Vx5SGQMjdbmAzc3N6dJLfVgi7uzzzk54A6wxdUVSng0F/OC+SnN&#10;9JfW4kJvcTWphy2u5lddXVpcWleGjc2oESzTXFrorcvgb3PrX9cWmovpryuhxcW0YbPpWHSjRluP&#10;3yEYzMPArMmlE8fUtuu5rGturjJbpgh5PDfXXnpzW6DQHEjMhpFZyCOFKBqabIsXD0Wi4ebP01Ek&#10;17KZIXuPZeXXKFFMXxelgtqDv7g10q1abku1BKfw4am73ZBJjfAWCGoaGixKh3v/dXn9K+Ntbz5q&#10;hP/LOcGfpBWQ2lU6HVurhR4sFgnx46ELMTOm1Uc4Jb2GKLRZy1ZOKpZOSS2eGDvQdt+opij+AnKw&#10;2CvTIs7dKE/NqSHfxSmVzspWJkLyhAHne+C7HHDKwTzW/PFB46LEUBYH0+DX9CrniomefL5aJjNS&#10;Cj4eY035Y9O3AwdJ+ujHXYnUQv3BMQO8HdytsrYq7+J5UiOjxTiBLnu06eZ1ht9RNx+sHmIwGKeg&#10;1mhWv/rKiuUroPMyQCqVHjzwYSeqImIwmF5Icl6NtZeGBgh7pEsPhW4okXTAENliSrLRoMHTF4PB&#10;9GOg5/Kz01hfJ/l/mGarLJfJcFkm47HZIja7dxY9PJ9ZiQyIaWbjCKSnEAMJoWhYqzNWyVo/4YU8&#10;BqqESGubINz93Mitgym6HNaDKLZg3oM8ZVq35CZTARfdWyCokst1FM+c0zmVHp9ffe2Fsbb3sHzR&#10;iN9zq2/JVOQ967VRvsKsttGdKek1cBxQACYYBJS8fPgCuZ6jtWzlXWcyRg7ztZ2tTDXYJdY3RBx4&#10;Mebxreep2cp1KhVM5XYiI8I80WxEUaXTQsTrl0ah2pc0s0UMeIwK93r/69tO9EiRmC80qb3OhXme&#10;9fifh/D66GddRQP53wD+fA6PyXBwt78fPkBt9BDwXel0Bq15vK58tK4yiTnoMN1WFUWiesjgCbDn&#10;MgaDsUZ5VdXfdu08GB/vJTL9JMgrLMBjgsE8DAg9eua3wUPx/8za2jI8wzAYDKZdoHr4w9rCRRHt&#10;/LNEoVZXyeUqXW90p6nVGTd/nn4upRw83o5PtygayhU6KBqC5aR86dr9V6DtMpG9x7J6SjQE5Fe2&#10;GlMgi+TYAEH8uhjU/51Hbu29kNvNomHrTwcXF08+n25JNT6eUXr2p7x297Bu8WiBe5v/XIoZbr/t&#10;nHX4LxPWTw8ntt/IrYML46Jao/4LFJoTScUp6TXg4lq8QNa8lf+eYKvkE7W4IYNOtygnDRBz1j9j&#10;oWKyyUfI2e+Ik8kl4FqD8126Kxm5bO9YNRLVvkw4cw+8Cmdv3EhvZDDtFFh0utiSEppOF3+e7dUX&#10;P+Iq5A1UdXjMAB8Hd1uZdbPkajKpke5G53g+CApg0JpnaQsOazJXGOts7w2qh9Bz2ajX4y8mDAZj&#10;jXq5LK+wAIuGGExHaW5uav/nrisHD9SD0eh/p8Rgkm06kpOT8JXGYDAYO/H3VWxakZv4ctkkX1u3&#10;rLrm5lqFQtrQYKDEnfU4tTrj1tN3wMPkp2yGJBq+dfA6UXFLLW8ALaSdTBjmDbbqqVMAXUpJNyUp&#10;LJg2MFrMXTYmcP/acVAtKq5Qgd6igobBPNaJdbGfvjwGrNNtHWbR6RKBwKJ0uOPsrd9S2ymPGxEm&#10;Xj6hjcdxGJ/tKWTB84XlJknAhFzI3gu5645noItL/mVjzlamticVS210TEEJURRzrBoBvTItYs4A&#10;C0Ndr1Q2UxJ7HSFTqpy+/VeiQLxlWauLMZjGS3clxycXglfBApgVcPTAfHBiB7hMJsdS8nhSufJI&#10;4s0+9+FWVk8uwMJjuvvzHb0xSP/qMLWR4yVypZMnCa9Za6d6SDN7LmP1EIPBYDAYp6PTtW/kwGAM&#10;xAP14Nd1/zsljgc55Ts3N6ek5KqdmzeppXhaYDAYTHhI/f612fv/UBfMsRXRpjQYymSyuqamXn46&#10;JNGQFKcmYdDfmPcIaZOn4gIOvhYTLSYrUME81rIxgdR2p4OScD/dOB556WbmylZ/nEbsf1yEqcgd&#10;ODuwzrFNEyyKbl0Bi073tJKWu+tMRk5eO1+mC2dHxvoK0NPLUsXPKaVwGZwIOovQQD5cgLqYvX0z&#10;Zytb7JhCobU8k6nFDW3KSfNYt7xayJtAg5euG/N5Ub5IPxXyGK/PjIBKca3O+O2lEtjuy2c696AS&#10;LpdFtyCSfpJW0K5A3KuQqZoUWnJAqOPBhsVXLlXdIUuodDe6h4BvbZNOqIfSqnKDWkXDYDAYDAaD&#10;6Xb6oW7I4wWGh0eQGnfv3lRVfduezQsLrlvcJ54rGAzmIWTSuPKTW7LeiFGK3G1FUSnU6gqZTNNb&#10;g2KmhYhti4ZEVXHnkVtvx6dDlWqgPweFd0HmRfnGr4tZsyjyg9Wju7rboJ8JZ+61ablfkzFazI0N&#10;EEDN6Oi1MtBnGJwo5DFA30ipvl0Hh8GwmMfaoDes+zS1vKLR9ubvvDqBmK285mhaXnFr7TlwFifW&#10;xV54Z9JTca0WKEgXsxNr2crxx29YXF+jJytKXhy2jf3L7l5bqvmF2q7S6Ro1XVUTOTSgjRQFBufY&#10;pglgJtAI9R+JBtPOwttKbKk9AnHvoYQSbMig0yMkIgd3m3bEQmVDvk/7RisdUg9lTcrCyrLqihK9&#10;SknDYDAYDAaD6Ub6Z33DJ56YS218b/ufrl8/ZWy29XtaoSg7eHAPqXHu3AV4omAwmIeZFfMKzmzM&#10;s130ELot1zo7T9Mp3CyVJZy5Bx6r9qXZFg1h/m9SvnT1x2kHErNT0muOX3hQNgia28Jk4ax78m7o&#10;eUTQA53oRFLxS59cAwv7lgz/dOP4/WvH/bBjyvrp4eAUQJ/XHc9AVRoXTBsIuto9Y8tlMi1G9jXo&#10;De99dtlacB+Ex2NumjscPZXqDG99nIykw4H+HGT9kZkrO59Z2bHfN1aylU/nVN64WUFtl6nJ09uG&#10;V0Zl1k1dk8rfUDRHn23h3Juauih5X9GkhxN11tu/nEspp5mVYjATTqyLBRcdDhTRYNppPxbNHikW&#10;r/K+L6/bvsq9BLVOL1WS4/Wi/Ryt0ph38ZyytprU6M5mMm2Kzm2mWUfUw0aNuqi6vKSkQKdoaDY2&#10;0zAYDAaDwWC6nv6pGz4SOZkacghISPjoowPrSkqu6nQWgiBAe0LC+xb29shoPFEwGMxDDo+r2bQi&#10;99OlVaM8DTZWU2m15TJZb/NLqdUZ45MLwYMkqVBFQ6Qqgk2OXitbdzwDlRGEoiFcPpdS/v7Xt7u6&#10;29FiLjIOPpCYvfdCLlhYPjkENdLMEuGxTRNg0nRqecPRs62pzVy2W7cNr5jDsVgC75ZMtf1Qsu1t&#10;J8YOnDZQjJ5elirm7kz627+uIPWwuEIFzh2Z2HQIlrs7h2FB+9tzMp0kdSksRQjaqG9YcuUSXBir&#10;SQ1tJv+iMLa0SBsbu2KoVRqTbijkMXhM962n7xADY+EKib8UddFVtuaRYs9V7g2UUoINARHeDgUb&#10;6lTKNEs2ylxPzw5/wHZEPdQa9MW1VcWlBep6KS59iOkThA0OnjFl6oihQ/FQYDAYTF+kf+qGdFfm&#10;smVvWnwpNzdn9+5N69bNu3AhPu/epZKSq+ABFk59sxe0g1epmwQERuOJgsFgMIDRw2o+23Bn8+RG&#10;G2nLxpaWWoUCPHph4CERG6IhlWVjApFoeCKpeOvpO91gZAz6s/PIrXMp5Wv3X0Gu0P7i1jimt+PT&#10;DySagt2EPMYHq0dHi7ngjOY8FgRfrZJpunUwrZTAS61q2Puvy7a3/fPKmAGcB7KjVGf4MK0gbtu5&#10;6Ne+Wbjt1wX7UsG5d3q0vbhcaoJtqUr7n28yiS2KDhY3rLxfz86dpntG+z/qChqjsSuKfqbktCYF&#10;vzA1mGa2AoeBsTDONOHMPeQV0xVuOdY8Uuy5yj2LodlYKW8gNUZIRDZCSu0h64cTuiZyDCOLx7E/&#10;2JAEUg9fM1Z704ztntQD22WthobB9GI++Me+d7Zt//jQv9ht49NnTJmacinlzKkzbBariw4dNy4G&#10;7H/+nLn4KmAwGEynceuvJ+bpGbp23bv7971rbYUzZ06Au7929wN2Qndl4omCwWAwiIVPFj01gfXx&#10;iaDEHKs/9FU6nUYmE3h48LvsZsARosXcD1aPhmmw7YqG66eHwyRQwM4jt1AEYjcAjmXxcMUVKqgQ&#10;KdUGmDr96cbx4ETgGWXmyqx5DXcd3gJBTUODxkgWO07nVA78Lnvh7EhrG/J4zA3zR675z++k9iq1&#10;TlktE3Mc8rqF2cq1CgWp/XhG6fibAaNG+MOnSkq8oY3ihsraqvqiB3UnxYaKhbqbXzFGkFZTqNUc&#10;JtOinNppChSahDP3Vs4NhWUfPzqbAwNjwUPCoBPVVeiWQ6OZDHOWzQw5ejYfSc+OIOFyXYxGpcFA&#10;vcpRP+XNfCKsd35kVcgaDJR/YwzzEzuyT51KmfWDhZ+RXLGng73lNWsf15bE0cquM/yOuvnU0NqZ&#10;QrXKRvDgs9ginoDBE+BvKExvI2xwsFjc+nYL9PPPK3xQ/eOdbdtNn6JiMandWbBZrA2b/wL2Hzlk&#10;CO3bM+S7RaFo7KhRYOHHX362tvlLK1YqGhsTT36t7lThWnCIObNmvbzqVbCck52d+OUXv6WmqDVY&#10;6O/wMEaGh3O53Nt3ssqrqvCAYDDdj1s/Prew0MdWr95ArVdoP+HhEcHB4/AswWAwGPKdrTltedot&#10;7/dPSwpUlm9rjS0t9SqVTqsV8nhurr0ovD2Yx0KiYWau7MNTd62JhhIGffnkECQawqiuaDHXhsjY&#10;PQz050Cd6FRWFTfRDbotozPa/Hl693fJ1cVFzOdXyuVGikDzz/9lc9luNkSlUSP8l2QMOJ5RSmpX&#10;ajRcBoPl7u5IxzgMRhODQc2d33My/UvruqGNJOXKLPLwjtJezmUF32wm++fWNzb6CoWulhxFOk18&#10;ciHPwx3MyafiAsZHS6Zv/xW2Q7ccLpOeV6uEYqJSbZg43CdupDd0y/H19ICp7o7ev/H5OrlcRyng&#10;uOPsLV8xB0mxvYqSehmpxZ/PsXGJ7SH9q8PUYEMPIc/NsemKYNCax+vKR+sqs9wl37n5ZLq08z/s&#10;Ro0aPJiyOgmXzxR4utL7Z0YRpq/TFeKgDSJCQ5FkSeWDPXsjIk3fnldv3KiXy6grTIyNW7xkqelj&#10;v7LSmrZogxlTpkJhtLUzkZHg6eXk5C3btmLp0E6gdAuvAuTL48cOHDqIRwaD6e7f+f379KKiZmzc&#10;uKvTmy9b9iYONsRgMBhrjB5WA92WbayjNBgq5fLeVvEQkpJes/nzdBui4c4XRiLRkGYW5jYvH/bp&#10;xvEn1sUG83omjjKnpLVw3oQwCc0sYk4a6Us6o1qdcdmYwH1Lhk8LaXO/BPq8fno4aO8i1xQ3V1eJ&#10;FePdj5KybRvv/t8foonZyoh6ZzjtWMtWPpLYmm5MzVO2kcFafIVczo/uRl8iukNdU9fcXKdSOX2c&#10;917I3XnkVnGF6nJmLZqr1txy3o5Pd65bjimEk8+3eJX/+sW1XmivXNOo0FICJB2sbKisrco6+zWp&#10;0cXVhevl6dzOM2jNI/XV76gzt+uKpjSr211fa9CXyevyi/PkNZUGtYqGwfQCvCWSnjq0j7cPXCgr&#10;Jf9fKmxwMBQNpVKpRdEQMHZc58NHSKIhYvyECTOnz+gN18VTKAKD0JtnDpvFem/rNqJoCABP48bF&#10;4LcVBtPN9P//RgYFjd216/NOeCKvXr3B0zMUTxEMBoOxzYp5BT+sLZzka7U8f2+reFig0Kzal/bS&#10;7svrjmdYK5wXLeYefC0GVj+kmSMNU9JroP5CM4f7xUWIe6Tz+ZWtKbevzo+AUhEq0XggMRueEej8&#10;mkWRcSO9d6waiaTDZWMC49fFLJg2ELRvXj4MWqk4HRadLrKUWdygN6z7NNWG8S6Px9z2fxbuBJwi&#10;vbm6uFjs1SdpBTl5UrVOT01itVHfsIoSb+jOZnkzGl7jWiiRrNJqu0I0P5VVtWBf6tbTrWIl1S3H&#10;NHvNlzgpX2rbLSc2QNCJq2zRq7p32iuXURxReEz3CIlDumH6V4epjR4CvqtT09KJDDHUrtbc/qc2&#10;Z3azwp71a5WNhZVlFWVF2HkZ0+Nw739cnPvhe2vrdHUcYmVlJakFqZlX0363tpVQIIQL1TXVHTqc&#10;p1BEFA0vJyd/En8IPX1z/QawQs9elABf38OHjxz5z9HeXPlxYmzc+AkTaGZtd/vWd3Kys2F7WFgY&#10;flthMN3MQ5HFwOMFTp++auPGXRZNlqmA1cDKUVEz8PzAYDAYe/D3Vexfm23bL0Wl0/Ueq+UChcZG&#10;rnFsgOCD1aOhR61coXs7Pn369l/XHc9YuisZ2tf2IEn5UihfCnkMJBUlnLkH+oYK2FU2qjNzW6Mn&#10;dqwauWrC4BPrYtcsikT1HA8kZnddqjWXyfS0Ih2u33/RhqgUESZ+OcZC7INTpDfQK66bBdXMpHNZ&#10;KG5oI0n5pgUrDK7pfMfyih5ztxC04pSQyXbegBS3HDB723XLWTYm8MI7k/avHQf+dvSIHAbD4lXu&#10;bfbK4OLK1OTr62Blw/qie3n/z96VwDdR5f+0ue+kTXrT0pujlHIrBWQVEEHlj4CgLi7gfe7iii6u&#10;J7qisC5eC+yiiCIoArKoHIInFJCiQAultqUtvdMmbZLmPtr+X/rC63QmSdMcTVve9zOfdvLmeu/N&#10;y2TmO9/f7/vTYVJhWHgYP0IS9Ef9ttY/mX/30na586prgc7L2DsF49pEbGys2x+Fq2zmmfx8d+tA&#10;0gpAqeqdkvr2uXPR/DN/ferp1c9u2/EpmEGFMK9iCJE1YiSM4I6Lj++3p2/xkrvgzNNPrfz2h+93&#10;ff4ZHtIY1wiqmo39rUqMa6f3ExMnPP5EtlJZVldbtnXr+y7XmTdv0bBh4+ITsnF4MgYGBkZvcefs&#10;K1NyhOs+T/hZ4TrDFxQemjicCB4vsEnfAoj5I2OQdTLMFYg0iTlDpIhMPFzYEKoabj9YDhMa0jrN&#10;nfeeqq7QdWMEQIVBtTc+NgnWdsW8Lu38e7uKQc2DbQYt4nAsdrvBQqYIL6gNb209/fKfp7nbcNni&#10;nF9KG8FqpPIWvZ4rlfo5ZiRCoYmSfhEc67P9l7LGd2N8ZDy3pijV+cephayr6y+SXCxSXdfSwSQN&#10;+5bWVpk46IYV3rvlyFn05xZmId756C8NATzL0F551UPX94evc00zmcll0el+ig1/+eg9aqFQHhk8&#10;sSH5WJ22yzNpV35jxR6lR/aY+tDe3ga9U/gstkwsZfCEOPshRl8CMXTUYGH/weVwpk3OhQHFWq32&#10;y31fEn0zEoYMgTMVlZWkDTMyM70/Sm+9OLKynHcRWzZvOpF/Gs6Dmc937oBRt70VMAYcFy8VHTrw&#10;DeyxfjtyYCB5SXExlKOigVRWVoa/VhiDG9XNbmUKU9KjQlIlxjV1Aujh7JjoLDCNGzffaFK12c1q&#10;tfNeWSqN5fHlmC7EwMDA8AdQePjF4aGbTwjVNtcsj95stlqtESIRp68es72HB9IwWyZYdc9IOL/9&#10;YHmwqTcP2P5rbXmDLjVWeKJERWIMEUD1vj/TQGQMAf7ydv7JOm3fVFIuELTZ7VR75aNVKvnHZx77&#10;0wR3G65cMm7FpmOkwraOjma9Xi4U+nXHEx4u5vFaKFHPBy82DEnjiSVdCQ2FbLfWFg2XzpNK2Hwu&#10;IoxEDOPD4kuva0aTx7zdzjKbg+0t7qVbzuR48cv35cByWieV7LPVsruz3KOJdt/A3t7W0NpKKkyO&#10;ELEZvl95GorOKyhjgM6g88SiPm4dNE65nlZ3iSE/w4j8Orznb4fBajEoFYxwpZTHFwhFDC6fhoER&#10;fDi8jOHXp3uwsOfkemBplFzepFS6C2GOkEj/MG3avctXEJ1PZsy6efnyZe7yFRIxZoxT8RcbG4tq&#10;0qxWo21RKDEMj0UE5Y8//ICoQHdAQkUSPvhoK/hbX1d3/uLF3jZ5we3znlr1zKED37z2xtrengJQ&#10;+YTYuNqGeuTHUqdQ+LCf3p6jnKys1JRUMABqa2rA2ffNS7qiohyeDnCu4enosf8xMDACDsY123Ie&#10;1/EbIxQm4EGAgYGBEUAoG0ypktP3DaN/Wzn2gt514J61vV2h0Qi53Eger19V/pEFTgHCoRN17x8s&#10;QeSgnEV/cv4wSLXsPlrlM88SKJys03pgAEFtF0xMJJGGAHpLn3KdUWJxk1ZLJZV2FtQkfydxZ68M&#10;o5W3nK6gUB5WntXKZ7H8qZKIw7FaLPruLhl6W/v+H2rvvaPrCTZO7Dr5o16paLlymVTI5HYTJ2Zw&#10;FXeYo740k4PjWgwGFpMZJK68pLoVigenpMv3FSmobjmv77kIB/PDU5LRwKiqN7y6vdDPiHVwlhWu&#10;7JV7NNHuA1SrXHAH44f49aLeZWZDfmQoU5WNsCuHWRS5jdpLkWmfSFN7XB/JD9kMZrRDfiigB8gD&#10;GgPDf3A5nDmzbn5q1TOoRKVSvfTC30lEW3xMzMZN/6F6JYOS2+fO3bbjU/gxJaXbNyJ34iRBJ66/&#10;fjLUsgE88PAjYELr3HbbrZA6jJR2fa+X3fPH+QsXwcPdMvfWZfcu9ZyQ8dCBb8BqYAZstWvvHkSW&#10;gRmqF7CXTYYrgN0ivg90QtYIx+tM6AednpySPWpUeUU5aUPoLnL9lCklxcUrHrwflUdIpFSCNScr&#10;KzoqGuo3z+Tn6/V6KknnTYVB3V5d8xrqZLTao4885L1481ReHqg2OImgVn+8Zyns/7VrX8dfk/4J&#10;Dmc47oRBjMHAG0LlIFYLYmBgYIQQNmv7lcutV65oTWYHKSPk0haO+DGzbsS3Dam6dte/NTqTqcNm&#10;kwiFjPD+EjRX3WCQCFm7j1atP1KKCqGxMrQfKSxVExf1Q0yOF6+Yk050dAGNgh//+ei4pzf+FrzM&#10;hiSEh4WBk6vUatso2f3eP1qcmiTNTHedZi6o0crgiVGv0ZAKLzebzvyqmjDeWZ9InmthYJWrIGWO&#10;kCzaullcXGCVlLeTg51bWltjJJJgROgT3XKmjY5GAcjg7G8/WA5p7myZ4Mn5w9DAAIN8208BkM1C&#10;e2UfznIfoF5L5taHRog8OGX3CDAAqGJDJpfd92JDElqbVAK9YaL+1zG152sik36SDTvL6tn4yGK3&#10;VTc30ZqbpDyBiC9gCcU0DIw+REpyMqkEMVzEQplM9u9N/7lz0QIi34TS86lUqk8+2lp44ULu5MmQ&#10;/pu/cBHiDRFvVVZZkTtx0rq3/uW5SkRvZWScAnZC4r/AsTzzhsWXLkHeEFQStOj1N99wJ4H0ssnx&#10;MTHEFXKysp588i+oVqDay5cv2/bJdvhxxsybiLK+xQsWwv0TWwHViyXFxY89+Thcmcr0wSaseenF&#10;b3/4vlcVBuu4Y3VB+bz53jqxXLx4ARwIVAnsHJb8a/26YFvoYGBguMTA5g3b2i3ff/fR/v27aZ1m&#10;JouXPBoTnYVPKgYGBkZfoq7KUFPd2qR0kcF3VPyloRF1HoSHervdpNFECAR+6sgChdUfn4sVcUnM&#10;GpE0RMGe/RBUmSHKZrhqVsaimUkSIeuFpdmLNpzssypx6HS5UKigxIpCe+Vdz98sFLp+4bdyyTiw&#10;Alit249+IKKVQZWEXK7OZCKV/3hBOWqkhMNlCNlMd3GsDUUuAlQZFK0WO9z2kLTgmebrSOXQG1ou&#10;CLyT9dFy1arOPIYkt5y9+dWQGVw6PgHlxNTorJv2luwrUvTNWd7y5+nxcSGg1eo1Wkt3YSlAtn+O&#10;KKe3uchsKIiICO0X326zmXVOkp3ZZk9pKgfTvJjkguvmfXnFq8yVaqMeTIxmHL+MEVwQXUriY2KQ&#10;6wXyWb5/+QpESJ3Kyzt16uTcW2+DTNara14jauVger4z+fko9LWssgLyhoiu4nZPDTF23Dh3FQPH&#10;0mg1tTU1J052/T4K3F+rUfpCd/jx2DEkxwMt+nrKN5/v3HH2t9+o2j0vm8zjdgVn/HPtmyTaruz3&#10;37mcrh/TzLQ0JP0DnTB/4SK0fzgTIZHC6oEDRUgkdQqFB1JVr9f3tsJjs0ejs/Cv9evAHkBnkiLK&#10;vYFQ1O23Y8vmTXu/2k8sAa2D9cdfroDAaq3CnYDhDgObN/y9+CdIGgKUlpbs+nzjI4+8wWJ1XWLa&#10;2i3nzx2ELih33b0icUgGzmOIgYGBERBomq3VV7S1dXq7vd3TbR9Xu3DEj0OrR3+tcJ3JCJmlyPih&#10;f1hVWtuU3UnDVbMyIGlYVW8gpjvsb1g6PmHpnFSUtO7Euab3vi5B2Q+hRnLRzCStvq/9rDlMpkwg&#10;UOnJIkdor7z+L9NdUoeZ6bJlU9Lf+bGYVB6QaOVIHs9mtZICqPX29q+/q11029BIvntTlDNkp2C2&#10;wHWgfRRLex+/4kMDecwbLBYeixUMltydW06KkPPckiwkMywsVb/++UWwCGZCJO4BlMzOdjzV++Cc&#10;4+Esv/rhKXdnOahQUFSlQjYzTuT7Rabsp0N6JdnKgMlls90PmL6BXtVCLZwx9YZVd86v0uo+Lfh9&#10;e+Hv1Vpdj/shxi9LeXyeUExnc2gYGH4DytZolIhgEtKTU6BniEqlevqplVBWdvDIt59/tksmk2UO&#10;H56TlYXoMGp6Pi4lgWxCbBycgQkKv9z35ZgxY2GyvJSUVCSsIykZEYgs56m8vNfffIPLYX+xey/N&#10;ffpChBaN+pm/PkVk4kDTwASatm7t64g97FWTEYhHB0079vNPMBQa7AQSc6kpqWiraZNzEVv3n/86&#10;VXvDMzLgDNgEtD1CIn1m9XOkfdI6XWXO5OcTuU4vK0ykXBHT9+OxYxPGjr14qcibMQP288qr/yDx&#10;jKCZpDMOj0tSRGL4jPZ2A+4EDHcY2Lzhd991e+dQWlqiUJQkJnZlW6+rLUTWyZ/t3IrKMzIyx43P&#10;TRySwWJz+TwJmy0iso0YGBiDADZbO+6EYMCot9dV62trdbreMFC3X2dbIon9xzdNl1Su+Qi92Wy3&#10;2WQiUf+JWaZ1JoNbNDOJ1inRenV7Yf8kDWemyh68PQNaJ9O6h6YSsf5IKSn4+vE5mXqjPSDBqp4h&#10;YLNNNptLe+XNO8+6M96987bhZ4rrTyrIoaaB8Vbm86n6uAsKQ3apdvyNrvPfuQxSZnHdckZTRWWl&#10;Vulxm5Raf7ZEEvBxDs64Qm2OkXKIbjkkNhlaoGTLBEdW3gAK1267gFSHk+PFK+8cCUfRDWNi7t/y&#10;qw9n2Wy36yk578FZXvX2T5tfuLkvvxRqg1FtItdk/JBof/bpMrNhyMWGFoMJiQ27hiWPP3KuQ2GU&#10;JBb+fdoEMH1dUrm98PdvSiu92qfdpmjV0Fo1fBY7UijGCRAx+ga5kyfDmY3vvYtiUU1m8749uyHb&#10;SKTDIGAyvtjY2IQhQyZMus7dniFXWKdQIPleenIKjOotKS52p1ZDXsxgnRdeeam3hh4n8k+veenF&#10;R594kkh+gfl1b/3rmb8+Bck475tMiulWqVRgE5jWsOu5+Mi3kNRzGNF0snUREimoAFy6ZfMmdAjE&#10;6505/YvjDm3uXFRJzxyclxUmShSX3fNHSGuCqnrJ7rkTP06bnEvcw+IFC2G1iQwvBgZGkDCwecPh&#10;w7NLS0uIJdU1pUTe8Ldff3K5IdiKtCHEXXevIJVERyeyWRyBQBoRkYaHCwbGAILN1oY7IZD9aW2v&#10;q3LQhS3qXtw6s1i8YZnThwzJvlx+quTSxvlD2PFhWUeViS5XNre1NfSnmGWAO250VFWjs/ZlWsDe&#10;YtU9IxEx5H3SutnZsbfkxsP5PsjYKBcIwtra9JS4Uc/Gu3/544Sid34KSrQykyngcKgk14F8xYqb&#10;XFdGQQlSduxH6CnoeJHkYpHqupYOJqn+qs5EhwHv5KPlKjSfLRMsn5WKYpaJFiijh0rggFm9bFT0&#10;fu6RgoZZo2OJ4e0/n/Mx5kvG53d0dLgkiNf/55Q7gjgYaNCQ6WYWnT5U6vsb4qIDu6liQzafG3qx&#10;YYsLseGYO5ez+N1G5m2ZyWDSmi3bC39/P7/QG/khDfovdyZAxAQiRh9g2g3T4UxFpYPg5nI4mWlp&#10;OaNzkERRSLjsu9SjQahUzishNX8iAloEKUXX61z1VPnwgy0+uAADfPvD98dOnpg2OXfxkruIeQOf&#10;Wf3ckrsWg332qskIn+/c8cFHW6lVOvvbb5A3RN4pRELwqwMH0JoZmU4LuDP5+bTOjJDwY4/CPS8r&#10;fCL/NKgkrAxYBLZ64cXnvYwmTk9OQaQh2MmOzz4DrYD7f/GVNRcvFcH9REik6KDE6HIMDG9gtyt7&#10;XCc8nIc7ioiBzRsOGzYOxSlDcDndTnB1TWWvdkjUJJKwYsXj48bNxyMGAwPjmgKkCxUKg8v0hR4Q&#10;FzciNfX69jZ74YWDYHI+ujMtU5J/SxA277kyyqVZSr+KWQZ4euNvo4dKiAIutw8YQk6P6wQJm/aW&#10;3D0rJb9IhUJTPddTwGYUqvSHCxtuGBOTnSE9X97SN/WMEInsruyV3/mxOCaSN21yEnWT+DhR8KKV&#10;I3hgH1aSEbDGZN/+Q8W6eyOp61edOU6ljTwfQsQwPiy+9LpmNKkcdEKz0Rg8M/H5I2NWL+tKv0Vi&#10;k8GpH5sRCSnFFfPSiIwhKbzdB0Ty+W12O/Us/6+kgffxmcf+NKEPRprJamugiEmzYyPdpa3sEVaD&#10;3qXYUBglC+0FymIw2UxkllYgj4ZiQyrEHPbjE0eDqbBR9X5+wVclla0Wr2TjmEDECAjWvPQi5Jsg&#10;Vq9+DrJptTU1NIJrx0MPPkSjxAKrVKqj338H5z07nEANXbeSTnbMJeChXQLVp7jU91drJrP52x++&#10;B1N6cgpoF2yUTCYbmz36RP5p75uMcCovj+rIDHG2sADNg8M1q9WIWQM9T1QmisVOEyS9Xh8fE4O4&#10;xWMnT3hujvcVBpXUtbbCCoCtNm76DzFA2wMWL15MaumuvXum3TAdHhrsBzoy3z53LlytpLgYO6Vg&#10;9Bbe8IYsVhLuKCIGNm8Yn5A9b94iInWYnNwtT+2MGfNKS9cF5Fhbt74fn5COfVcwMDCuBfhMFwqF&#10;8uShE6TSeEVj6fHjH7pcZ6jsypPihq/KJrs1S+k3McuFKn2PMkPktkxkZ5aOT0hLEO3Nq+4DleK+&#10;IoU3HheT48WLbhgK2SIYr+pDLKo/8GCv/Mb+gmg536XxbvCilR1GwAIBNVoZnMR5E5Nyh3WLVtYr&#10;Fa5y2/WsNcvgKu4wR31pJkdR6UwmPpPJCQL5QiQNNTrr+h1FRB0irTOJ58qdBRtoo5Ea0fmY1zkq&#10;/D/LUWJxkyuCeGdBTfJ3kjkz0oM90qhiQ8eDa5TU5x0WHdhtNZJjgTlCPiPU3Jk7sWGPG2ZHy/57&#10;203/vY22vfD3r0sqvYxfpmECEaP3SE/uSvNKiqutqCiHZFBDg8PA51ReHuShSGxUSXHxrs8/Q/4n&#10;tE69HpxZ89KLaJ+ITERUIFLVebpcNLj2DiL6F7uzQu4VyiorXn/zja+nOB1gYKSw901G0Gg17g4B&#10;VkYqvyi5HMUUq1QqEiGIYrqblEqi40qP6FWFt+349HzBeSgLBQBnbfnyZT12JsqG+emO7ahd7777&#10;NrRUho7MKCya1qkGxd8yDIw+wMDmDenh7JtmLB82bFx1jeNF0Ijhk0jRxMOGT583r5KkSfQZp04c&#10;mn8H5g0xMDAGLXymCx2P5Zk3xERnGIzqkpKfkcDQHVhMi2ezFBizLBcKOf3+oXR2diw0nVg0Mykz&#10;SfT65xcXXJ8IsyKKeMyVOwtCXkM5i75seiqsEkRMRGiCLzh0eoRAoNSRYyS1NvuGz39z554R1Ghl&#10;PotlsJIlV89/dvbHV2YTS1wmN+QIvVLF3iwurrQJzrWRqwr6Id7vRI1U6M12Tae3MtFPmTokhPxu&#10;36yqesPhwoaAVMADQfyPgxfA32BThzUUNi1TLhWyfVSnWg36ogMubiMFshBnNjRqW6liw4ihaenT&#10;b/F+J0uzh4GpSqv7uqRie2HJhUaVlxtiAhHDB3jmjKqqq66ndbFRp/Lyjh49guJSEdKTU4j6OERU&#10;oZx9iAokqupIx5owcWIPv5tXD4E8iP2HyWzqulB3VsnLJtO8TuGHQpXHjhsHZ2iduQhJ/CMxvrtZ&#10;3XVSSAkEfT5HCOcvXly+fNk/163PHD4cHPT2uXO37fjUy+7i8/jE/fxr/TroAQ32Q3TX8UbDiIEx&#10;4KA1WftblcIHep/Sw9mJiROm5N4DJmoKQkgs/mXlyxkZmf4f67vvD+NBjIGBMfhg1NvLLml+PFJz&#10;6JvKwgvKXpGGkZFJU6feByaV6srPx7b8+usena5n8T+Xw0hLlbzwaOuuB2pT+K6T8bV1dChaW1vN&#10;5n7ee4cLGwpLnbfd2RnSz1+cihi6VqMt5NVbOj5hx9+moCppdNb3dhVv+6k8VPXhs1gRroLQL6gN&#10;b211ffcPo5VdMRdWKuXXW0QKBHQKc1dUo1m/v1v2/ap88qMjg8X0Um7GDrfdJSlyOcJbKGpH/3G0&#10;XDVrzc8TVx3dnFfpkjScHC8GQwI5LEMkxfHX/mmMnEUPSB04dLpcLKa7okTfP1pcUqYK3gCr12jt&#10;FL4y4GJDnkQYcrGhodkFBTNp2RM+7CpJLHx84ujT99/5y/13PjYxO1HcCzreYLVUNzdV1FRUV1fo&#10;VI1tlv5+xcbo62s+3+1rKqQsg8HLZ3/7DS1adu/Sp1c/++0P31MJqdqGejR///IVyEYZMWsoFJqo&#10;qnNXB2LcNBHRUU4bJQ/6vt5i8YKFaB7GPnvZZBrBpMUzUKgyIg1LiotJVCBRSllWWdGiUR864FRB&#10;vvjKmptvvIlwq8ZJT06JkHRdP72vMALYP5IEetMKaH4NcN/9DxAP/eOxYyhzJRELbp+Hv2UYgw8X&#10;at1eeaZmyENSJcag73R6ODs9berjT0zUamr0enV1Tamysd5nBrCt3QJ2iIcyBgbGIICywdRQr29s&#10;NJrM9t5uKxTKMzNv4POk1dXn3MUju0SUnDckURSf5GSOMlJbtq00rvs06Zsrri+tLQaDxWaLFAgC&#10;LssKWDda21Z/fA6GKhPLC0vV7x8sCWHFiIHJtKs+y4cLG0LuCi3icCx2O9U942iVauiu88sW51A3&#10;CWq0spTPV1HUKOv3X1ySmzxE5hioVoNecYlsisLicXox7FnaxwQl/9aTX2Hq7XaW2SzicPqs85eO&#10;T3hi8XDikFCozdBaBwzg5xZmkRSyYP3bpyZ+dby6tyHMHDrdZcdqbfaVH5zccP9kl2Hp/qOWIjaM&#10;5HPiRD7mS3UpNgwLDxNEhl5s2GYnf5FjRuTEjszxZ7fZ0bL1M6eAqbcJEGkEF2ZGOF3K4/P5QjqH&#10;F04f8AIFDD+BCDjEB7nDifzTYB0Yubx69XO7Pv8MknopycmLl9wFPkL+y2Q2P/PXp2BI8pK77wHT&#10;5zt3lJaUIHMPlO0OqeqMJvLbUERZUhdBIBZSq9X63Pb4mJisESNpnfLGlJRUlBwQVBhKL71sMhHF&#10;ly55OCLoHBRKDEEN46UGJu/atQt1yIuvrHn0iSfPnP4FVRjUEPlQe1lhLoczbXJuY1Pj+YsXIyTS&#10;+fPv8L4zj/38E9w/+PvRR9v27dnd0NAAOhDVkISnVj0jFAq9lzFiYGD4BsY10k56ODsiIi0iggbd&#10;luffsaqt3WI0KG02s16vtljNjY3VRoPOc0TzjJtmY9IQAwNjQMOotzc1GJubTY1NRru9vbebw/SF&#10;AqGsubmqsPCg1eqtMpHLYcTHC4aminkC8u+OUGB+9eGSUYeHrv3JtdupwWpt02olQiGHTu+fvaq0&#10;tv18TkHkDavqDas/PhdChu7hKclEv4tDJ+o+/r4C+l3IWfTZ2bFjMyITovlJcfwT55rOljb3MZ/o&#10;zj1jy+mKlCFSlx4pwYtWFrDZZrOZ6vX8xIen//fsjWCmoegcdSs2X9Cro0wQXpltizhsIb8lbjEY&#10;WExmH4ztbJngyfnD0CgF5/31PRfhSS/fcPq5JVlg0ci0rpSjYJw8tzAL8s5PLB7uQ+pD0LHgrzvq&#10;cMufp8fHiQLbRrXBqKPwXNmxvhOUp7e950JsKBaFh/Ra1N7W5lJs6E1mQ29Hy9UEiF+XVH5dWtEr&#10;AtHe3qbUt4IJzEt5AiGXh6OYMWgU52Ji3kMkIXzhxec3bvqPTCbLHD78xVfWdLuETpyISLQT+acR&#10;dUgjaOscP3ZXpXPE/ZMEcVzCqxp3WjmkjCst8fH9nzvzFpVKteOzz9BHL5ssETsvztSYaxKOHj2C&#10;eEPQG9QwXqrNdFllBbE/QWWIJF2kvNvPljcVvn/5CuJJQTh8uGfhzlcHDqAwZFJIMgIMHkfN9FKM&#10;iYGB4Q8Y12zL6eFsoTABzER0vjNO73y8mjXrYfBXp3PcHKvVDZBPvPobwxs+YioeMRgYGAMRUFrY&#10;3GzW6X2J62SxeMnJE3g8qdGo/r3kJ+/pQhpFYOgOd86+khofteqLaLXNhXbM3Nam1GojBAI/LXSD&#10;hFWzMojZA2mdUZ9T0uXe2JUECXfcmAhnNDrrpr0lqCbzR8Y8siBTIuzqxtwxUWC6fWrisx+c7TNL&#10;6PCwMJlI1KDReO+RElRvZYlQaKJU5mRJ03+Oljw0M7P6DDlIOSw8rEczZSrmSy6UKa8vbydv2NLa&#10;GiORBE9RK2fRF0xMJPLIJAsUcN5Xf3xudnbsiRJnFNjkePHL9+WgcbL7aJVvh3Zwsna7npJtQGuz&#10;v/rhKXcZLX0G1RGFRadnyn0MUtYrFWU/Haaeen6EJLQXHEOLhio2TJwwxU+xoUvclpkMJt8IRMe9&#10;tFEPJlpzE5vBlPL4HC6f2UvCHWOwAnGFJcXFKPtenUKx5K7FixcsJLFFhw5889G2bp7mJ/JPL7t3&#10;KXJkRqBaJ1MTFGampblb5BmIcHQZMEu++glcDHXQkLfe3kDMNuhlkxFH1iNvePFSEarkxs2bPaxJ&#10;bD7sz8WLF5NkfdSe9/4ckfCv9eu8MT5u0aiJJCYRYKgc+ObrH48dQ044993/QEVFuefjYmBgBAQM&#10;3AVUQD4R/k1Pw/2BgYExIKFptiobHdJCH0xOnI/cBLqwsvJMr+hCLocxdKg4PlFAFRi6w7hRTfuT&#10;W1/4IPlnhQtlSltHh1Kna+Pz+zKo0xvMHxlDJA2r6g1JcQ6S1OFpu40WKupw/Y6iB2/PqG00fHSk&#10;HHk6z0yVIaddWielWHRZMzJNIhGyQJ2fW5LVlw7LjPBwuVBItTP24JESvGhlUBkeh6Mzmcjd+D9H&#10;tDJVb8ji+jII2eG2ZZKiF1rGk8qt7e3+qybdAZx0GIYMPxaWqt/d9zvV5ltpbUNMIlGsCsbzhi+K&#10;Ttb5Hqkn4/M7OjqoYekX1IZVb/8UQOrQZLU1UIZTdmykzzs894WLZ9H+IDY0al2kxbxu+RNBPa6f&#10;BCKKYqYhESKHS2f3r4s5Rl/CZDbfdtutwzMyYKY/Yvm2HZ/u2rtnbPZogUCg1+vBCi4NVcoqK1Y8&#10;eH/uxEnIA+TznTuogb379n1JKkGh01XVbt+IIFNmRMPBujn3uadny80zZ8+ikOFDB74BOzxx8qRL&#10;4sybJi+7d2n2qFFgUY82IHUKxb/Wrxs+YsRH2z5y2W/HTp5Y89KLcIbUn6+9sfattzckxMY5O6Gh&#10;3uQqx3SPFf7go62lJSUzZ86CzQf98OmO7ecvXvRybIA2grExYezY2NjYhCFDzuTnu+wTsBo2RcHA&#10;6Lv7dtwFGBgYGIMGiCtsUZt9CEOGEArliUNy+PwIbauit3QhgxEeHcVLTZdKIn3RfwkF5rf/Uvze&#10;Z2lbC1xnUnekO7TbI/n8fpjuECr78sqUKNdhTnpEqHjDo+Wqoxu6CSLkLPqqe0Yi8mjrwTJIBiG3&#10;ZVDn+SNj+rLCHCYzgs8H55RUDj1SXv7zNOomwYtWjuTxbFYrKXS61WR76r3vc5WNpJXZAh/z5Q1h&#10;N9/Hr/jQQLYRN1it7OAkOpwzKR6ShjCboedwY1Is8+6jVdt+Kvc/gF0uENA6OqgmNpA63PzCzQFp&#10;KVVsSPPDEaU/iw072skq3fTpswXymL6pAJFAPFZdB/5Wa3W92oNThAi+RwymiMPlOQKZhTgT4qAH&#10;VQnYolG7431MZrOXlBAkj97btJFUXlZZsealF2GKPdKijExnqlmiywcJu/buaWho0Ov1pEDmOxct&#10;GJqYhOxHPAC07unVz3rfP56bDJrjjVgPYu9X+2lgcn8gD6bJYKmXB/JQYXgIz9bMPfaeP5tjYGAE&#10;HIOWNyy7fPztDS+DmRUrHh8+YiqPK8MnGwMDY1BC2WDSqC1+coW0Tmfk+LiRbA5fpawsunS0t5t7&#10;GY/sDZ6463JK7JC3vpe4jFk2WCxtdnuUWNxPqMN9RQr9ZnuMlFNwRQNlXDDkMy1B9PH3Fb3a1eR4&#10;cZlSH6Q8g+lyAeSPquoNRF0hONzeU9VQMtn3RGdvPVKCHa2s0JAN7L4u0SYzhsbZrxALOQLfx/lU&#10;UVmpVXrcRuazgpTo8KMjjpxiJdWtRwoaPMehLx2fsHROKjE2ef2R0kBVI1IgaNNqqRktL6gN6/9z&#10;atVD1/t/iBqKI0qmXCpk+zgkXIoN+RHS/ik2DGBmQ+8BCURoorK98PdjVfUXGnvnlG2x25R6G82R&#10;CVHBZ7GFHC6Hy8duKoMMUN3mkr8LNtwRT8ePHxOLxcWXLnng6dyRa3UKhWf7YAwMDIxBicHJGxpN&#10;KkgaAmzd+n5GxtFHHnmDxRLh842BgTEIYLO2NzWYtBpzS4u5Re1vQrrkoePF4lizRadUVhZeONjb&#10;zSOknIQEYXySgMkK5JPe3Ok16UMMb+6NOdvi4nfK3NZWp1bLxeJ+4pRytLzb07Iz5LM3Ib9I51VV&#10;b3j036eDalHy1fFqUonOYoMzIl4IvAs8eKRkZ0aNzYkjlbuLVtYaDFwm0x82GQwnAYdDTcZ3kJ37&#10;J3s9k+aUyzFYTD/Joz9GnCtqmtrSQe7tYCQ6LFTpSRbJVMhZ9MfnZN6SG08sXDQzKTNJdOBkbUCo&#10;ZNCoKLG4yRV1+L+SBprf1GG9Rmun5MoMrNiQzqALQi021De3UMWGI+cs7DOxoevLV6cLM5ip0uq+&#10;Lqk4VlX/TWllb3disFrABAOZMYc4mOBZ3RYSnL94se9JTAwMDIwBjcHJG6qU3e5XSktLqqoL0tOw&#10;qwkGBsZABRIV6nRWk9nu596EQnl8/Egmg2O1mSorz1Re6XVWO6GA5aALe5O+sLfISG15+1Hjuk+T&#10;vrniIv2ZI92hVivl86Fn64AG0askKY6fLhco/Ugn55ZxsDj5mpgIcgz4lHSnW2Kr0db3zffgkfL8&#10;Z79uiXLhuusyWtna3t5iNMr4fileI3g8K0B7N93u5XDRBfa4sZZT8CObz/Ozyexw20ppQR8nOnQH&#10;UgJEIrIzpGCK3s/dnFcZkBMdJRbXqdXUE+0/dVihJCvdIvmcOJGPg+HY+2uphfxIaWgvFHabzagh&#10;RwSzePyQiA1dIkksfHziaDBpzZZjVfVflzo4xN5GMdMwh4iBgYGBcW1DE4obcs+4VvIbNjZWY4cT&#10;DAyMgQKbtV3TbNGoLa2tYLL6ZoJMRfLQ8WyOkEbrUCorf//9Jx/20Ad0YffDmV99uCTKTbrDto4O&#10;lV5vaWuL5PEG6IlGuQW7bhR01jKlPhjHKlTpoWcLONy3Z+uRM8bkePEjC5zJns6XtYTmXsS9R8qr&#10;H56i5r+LjxPdOTZxy2lyGLjebBawWBym76rJ8LAwMZ+v1JGZji9YOam2MnG7g5ziCANgCNv3iQ5d&#10;Dj+izBAl6FRa21KEnOeWZMFEh5mJAQvXAN0rF4uVWq1L6lDuKjLdG6gNRoud/DYlO9bHBDUNRecV&#10;l86TCukMOk8c4rAVvcrF13Pk3EWs/udQLOawYRSz48rTqHJkQqyqO15d78OuiBwiyodI5/DoTCYN&#10;AwMDAwNjMOJincbdolEJoXmLOTh5Q4GA3Ju//XpiSu49eAhiYGD0T2iarQa9TasxO1jCQCgKEeLi&#10;RgiFDjWZTqf0QVcI0cd0IQme0x3qTKb29naH8cJAA8mDAmL7wfLgBSn/96vSfzw8Bsx88Oz1J841&#10;nS1tTksQIdoIlITKxYXm0SPFZf67ZYtzfiltBEtJ5S16vZ+hvnwWy8hiUU08DnP+sNi4m86gMzmB&#10;kbh6SnRIp3OCTIuA4ffPR8chmeGhE3XvHyxBY09nsYkFzkVgnATyRNPp7qjDLacroiL5c2ak93af&#10;VEcU0IGZch9vrF1nNuwHYkOzjjzaWTz+yLmL+vuFLloGpr/TJvgpQqR1y4dIY4TThRwun8VmcrkM&#10;Lp+GgYGBgYFxDUDMDc1rs8HJGzKZ5Bf1paUleJBhYGD0ExBZQru93f8chSRERiaJxTHhYXS9obm+&#10;/pLP+4mS82Ji+AHPXegDYLrDh7fFDwinFG9AjE0m4nBhQ/AOerRclXO0Csobc8dEgQktKixVv77H&#10;me9pZqpMwGH0PYfo8Eix2aiE3f9KGkZ+V0alk1YuGbdi0zFSYUCilSMFAjMlnPYcXTaWNWoUuyKA&#10;TXaX6FCp08VLpcEbz3IWnUgavrermOizDJau/dOYpDg+HBgBH5MeqMN/HLwA/vaKOjRZbQ0UpWp2&#10;bKRvdcNiwyA+6hBEiCgT4rGqulaLL4J6e3ub05e5U5PBZ7F5YOLy6Cw2nc2hYWBgYGBgYAQOjGun&#10;qW3tFno4G59yDAyMvoSm2WqztmnUFputraXFbDLZA6glJCImJlPAj6QzmFqtQqEoaW6u8vFXgREe&#10;HcWLiRUExBk5gMhIbdn/rPEvG1PcOaU0abUykYgR3t8TYFGDQ2kOJ18Hg7P7aFVQHVEA1h8pPV/e&#10;svjGoUjnCCqw/WD54cIGcOhsmWD5rFTIJ5a/qUexzH0Gd6677x8tTk2SZqZ3izwFHx+YlBKsaGUe&#10;jyp+/B9rwjBeIPvEXaLDto6OltZWmVgcpH4WsplwyBWWqt/d9zvxREPSEA4PMDZe//xiMMYkh06X&#10;8vkqvYvO7C11SBUb0vxwRMFiw74ByoRI8zuQGcIZzqx3MsiOcGYWm83mYBoRAwMDAwPDf1xDvKHR&#10;oBQKE/Apx8DACAYgP2jQ24xGm4MchFNwKELnk79QDiY2m2+3WzWaeoXCL1W1UMCKjubFJQglkax+&#10;28lCgfntRyv+vTtxV4mL50BzW1uDRtN/TJZdIlsmeGFpNlRy0TpDgw+eroOxwwB7T3VzOpaz6LOz&#10;Y0+UqCp0gVSkHi1XQQPoyfHiMqUesUJLxyc8sXg4nC8sVTe0mvq+f8LDwiRCIVWJprXZX/rk9JZn&#10;ZgiF3d7/eYhWjpP6xfWIOByrxaLvnjWvOYz9lW3SfbT8ADbZXaJDx6ENBj+Fk+4ARtRf3s5PjRVC&#10;vtjl+ISUojdjDwzUKenyRo3pZG/8fKCjkf/UYU0LWYiXKZcK2b5cx1yKDRksZsjFhromFbVw0vIn&#10;BpDY0NNV8WogM5h3sIedIkR/OESAVrMJTISvs5NGDGcwcFAzBgYGxjUOu13Z8x1pOP6x6H47NLCq&#10;29ZuqastBDMyeTKP27uM1zabGZ9vDAwMn6FscD6EKJuM4C9kBh0Mhbrvri1yeYqAH9He0Q6eiRqb&#10;Lut0Sn/2BqWFkZHc/hCJ7CWEAvPflpdG70t597SLB2ZoshwhEPBZ/ZH9nD8yZvWyUegjDA595f9G&#10;wI+7j1YRORqUfm6pzvrwhtOBpQ4hEMszM1X24O0ZRDbz9T0Xg618dAcOnQ7OINWZpMZgeWvr6Zf/&#10;PI1U7i5audlo9NMwRyAQ6DXkvNTHbdKpppgMbiCDuKeKyurswsMWOalcbzZzmcwgDWZw9kk03+R4&#10;8cv35SAd4uqPz3kzBohpOknxzj33sN/UYb1Ga6cEOwdWbCiUy0J73bAYTGAid508On36LYPvd3Za&#10;UjyYSBxiQaPKt1hmBBKNCIOa2Qwmk8sNZ3GxTTMGBgbGNQWbF7whi5mEO6rbY+PAqm5FRf7bG15G&#10;H+fNWxQfnxwpi+fzJEhL2NZuUatd5OJpbmmIiMCeyhgYGE4Y9XaDrsvkHkoF4TziBGl9SwtSERmZ&#10;xOU6YhUtFr1SWQEnP/cZJXdwhfJoXn+WFnrG8vkVUdIhzx92wQ44qEOdrkMggJREPwE1Nnn9jqKj&#10;5SpQ3mVLUtSI1icyOOBvjIgdDN6Q1kn6oMBkiN5SP8EAn8UycTh6M7nJR6tUI74uvvO24cRCd9HK&#10;OpOJ7whT9F18CrYVcrlgP6TyzdoRa9nN7HBbAJs8X3KhTHl9eTuXVN6i17Mlkj6IvieS2iSPFA8g&#10;DlSApXNSeyuP9ZM6rKWIDSP5nDiRLxoBl2JDJpfN5nND+3XQt7jIbDjmzuWD/jeayCEWNqqOVdUd&#10;q6oHM755qhDhDGp2XIs7n4XC6TwWi8dis5gsOouFmUQMDAwMDAwSBhhv2NjYLYZr//7d3m978MBn&#10;i5dI5fJ0nOUQA+NagEplzvuxDs636hz2I/2/znx+BJgYDJbdbrXZTGp1nc9pCkmIkHIiIjjyKJ48&#10;ljs4zq9npxSVXm9pa/NTbhYokIxriRnlZmfHwsIT55qQ+IsYLwywdtuFXoV/egk5i75gYuKKeeTX&#10;aeDQ8OigSvUq0+W61pCYLMv4fEdON0qiw3d+LB49TE5KdLhgzvDDF+tqDBbSyhqdLkYi8acaUi7X&#10;YrFY27tdPVo6mD+3ps2SFAewvexw20PSgmearyOVt3V0qFpbg+35MzNVhkjD3Uer1h8p9WYrkn6W&#10;1slxP3Fb5sqdBb06us/Uodpg1FFkaNmxPsoDXYoNBRERob16WAwmm4k8sAer2NDTVbQzlhnmQ6zS&#10;6goVqmPVdeCvn+HMEPb2NpIgkcQkhjFYdCaThoGBgYGBEXxUNxvcLRJxQ/ZjdA3lNywtLXl1zZ/B&#10;zIybZicmpcnlCSw2l89zPFHgvIcYGIMPVltbi7qtP9eQyxVzuUIOR2S1Gjs6OpqbqwyGFjAFav+D&#10;jyskISO1ZfMy2pt7Y1w6pehMpvb2drkg9Pm/iKTh7qNV234qR0qu26cmwpljBQ6xoZxFXzY9Ffod&#10;01x5VgQQxAO5BBIhph0VeUkkBRZRYnEdxdQYYOUHJ3c9fzMx0SGYf2bBmCc++YW0prmtzc9o5fCw&#10;sAiBQEGx691pShzObRrCbg5ke1naxwQl/9ZnumiFwRDUkSzgOL9B3qtNSez2boJP9+Sfxb1lugVs&#10;ttlupypMaW4scSCojigsOj1T7kuQMhYbDiAkiYVggr7MtM5w5sJGVacgsd5/KSIElUmkdSZJpIfT&#10;+Sw2nckMZzCwLBEDAwMDIxiobnHLG2YnSEJVqwHGGyYOyfB/J999f9hl+YybZsuj46QSmVAYASlF&#10;Hl+OxYkYGBj+g8lgC0XysDA6g8602c1ms8FoVJtMWjAF8ChcDkMoZEVGciVS9mDlCknISG15+1G3&#10;JssGi0OnE3Lq8MsfqlfMS0Oxyah8ZqoMphSsqjfsK1IQfWxpFNlXtkygt9gDGK18uc7BhYFaFV3W&#10;lFS3Gsy28oauR+7UWCFihRbNTAoJbxgeFiYXCqmcndZmX7Mpb/0zNxELx+bE3V0wZGdBDWllo9ks&#10;5nD8ifPldGYYNFjJurYvtZl/jjoZ2CZPEF65wy760hxLHclcJjN4ofdg+DW+bVK0WrwcYKtmZSDS&#10;GYzeV7cXQnYbFi66YejJXkoOaZ0K046ODvidJZ3ulR+c3HD/ZBJ1aLLaGihjIzs20rceOL3tPWoh&#10;FhsOCMBwZudoMVsKGlXHq+oLOpnEQNGIEJBGVBu7vchBZGI4ne5QJoJ/2L4ZA6M/g86i8WNprVW4&#10;JzAweoUBxhvGxGQGb+cu+cSMjMxx43MhmSiVxmImEQMDwzMiIhJsNotQKNfplCwWDwYa2+yWlpag&#10;5IyLkHJEIlakjCeNZPMEjGuwwz2bLBsslja7Pdhhnp6xOa/y5O9KqmwwJ9XJSnx1vJqUJ27ttgso&#10;OjhFyHnitkyo/gtg8kGw/32rXAcggyOumNMVGbp1/+VQdR2HyXSZYfCkQrtt1/lli3OIhffekX38&#10;chMpWrmto0Oj08nEYn+qESkQmCnKx3NtwuOt6VNFZYFt8s3i4kqbAOycVK7S6xkMRvC8wr1UCFIl&#10;scg+Ze+paiQ5zD4i8EEnCyl+L6lDqtiQ5qsjStlPh1qukAc5FhsORIg57D6jESFckolsBpPNYBD5&#10;RMcTF/ZxxsAINTpkWZXRuZFmhRjzhhgYvcQAe8hksUQvvPgODDfuG5SWloCJWLJixePxCekx0Vl4&#10;9GBgXJvgcsUMhuMxgMcVG01aOp1p0Dfb7M5nXcgP+ul07AFCAUskAhN7QBubBLpPHCbLtI8yXFKH&#10;5ra2Jq02tNQhlUORs+iIfImJ4CFxn0ZnfXrjb2j9peMTls5JRXwiWA2sHDz1H6jV7OxYUvzp5rzK&#10;EJ7cSB6vva2NKvfbcroiOzNqbE5c1zBwE62st9tZZrOI47sICIwcMY/XYiCHjewzDhnNqxMxjAFs&#10;LzvcdpekqKplXEsHOYWNUquNl0pDOIxJkliS73aFzgxKIME9eqjEt/h6z9Th3+aNnjbZ+a2poXBq&#10;mXKpkO3LJXEAZTaMGJqGxYbeg0Qj0q4GNcMMiQHJjej63NltYKJR+ERapz6R5iQWmYhSxCHPvb4N&#10;43DGZo/+w403pqSkZg4ffiovr6q6qrSk5NjJEyazGfcP+bohkU4YOxbMfPvD99dsJ4TxYxrjb2ji&#10;xDjuK/CYwMDoPQaeOCUmOmvDhn0KRUl1Telvv54gkXp9gK1b36d1WjnfNGM51h5iYAyeqyGDzeWK&#10;qOUdHe16fbcsZii4OHjkYLcbvk5FoUjE5guY10j0sW/42/LSlMND1/7k4iT2B+qQhCnpcjTvUr0l&#10;Z9GfW5iFkgxqdFatzpYUxwcrK1qMwbA8npkqW3XPSMRRVtUb/vtVKTGwOlSIFAhsGg3JnATg+c9+&#10;3ZXaLdHh2Jy4mT/LjlaR66w1GgVstj9nX8ThWC0Wvd1OLGzpYO7WZN0nyw9se6NY2ofFl17XjCaV&#10;t3V0gGHsp9OLz8iWCZ6cPwyRhodO1L30v0ukdc6WNsMROzYj0uch6oE6XL3nt78brXNmpNdrtHZK&#10;4kufxYZ6ZSOpsN+KDSctewJf6v0BiUas0uqqNK1QkAjmLzQG/XJ3NWeiyc11xjHqoFDRMdOZSNFB&#10;eWBjFgLSk1NWr34uc3jX+63rp0y5njaF5jDEU61b+/qJ/NO4l4j457r1sLvOnD3bolFfa80PZwl0&#10;cVMqRZl4JGBg+PWkPBArzWKJEhMngGlK7j3go9GkarOb1eoGi9Xc2FjdN2Ti/v27IyOjx42bj8cQ&#10;BkZ/vVDwwJOf4xJh1LS12Xpc32639A0P6BlCAYvLZYhELHkUjy9kXpuhxz7jztlX+Jwhzx92QR+Y&#10;29rq1Gq5WBy8SM9eISedrGYiJjQkhS0fOlH3/sESIZu5eeUkULh0Turhwgak8/Ifchb98TmZt+Q6&#10;H6c1Ouv2g+WBPYRfN/1hYREikUKjIZW7THT41xWT8l/7FiwiFrZ1dDTr9XKh0J9qCAQCPaUOx23S&#10;qaaYDG6ALafBDu+2SHeaEqnDWAka0ucpO0me4ACXa1uDdzh31CHtqsNyTBpZVxjJ58SJfIkDHUBi&#10;w5gRObEjc/B1PoCAFitEJtGhRtToOjWJrWAmeJpEl0BOLFShovOxrdPoGc7zWGzw0XGFvKpbdK4z&#10;qAOicydOWvfWv9wtlclkYOljjzx0/uLFgdKiCIk0Uiotq6wI0v7Tk1MgaahSqdyRhsGuQ8hAZ7XJ&#10;R1VEjjfScdZRDAx/MRieSHlcR74b6ImcnkabkntPS8vlX3/9bv/+3UE9rslsxAMIA6Pfwmo1gqlf&#10;X38Z4SKhgyUEkzyKx2TRcdyx/5g73eGM8db3ErWNLC5r6+hQarX9gTqUs+iIpIMgJjR8eEryinlp&#10;aBHiE5XWtqO/NCyamSQRsqaky9H6/kPIZqL6QI6ynzCGCOCURfD51EhhaqJDoZD9t3mjV+/5jbSm&#10;wWrlWa18FsufOrhMtrirNeMZdjM73BbYJs+SFNfYhcdtZBI82B4pVFBJQ9rVkHmiOTitU2YIZ0qq&#10;/WUVPVOHi66LHTWqG7WXHSvz4SgDS2yIMxv2xWiPloEJmTXTrmoSCxtVWrP1WFWdxmLtA1miO0Cj&#10;ZzhPsnt2CZhpsYtFuapk7D7gXY/2fihyzMnKIpKGp/LyNFrHu5xb5t5KXO2VV/+x5K7FAyJgOT4m&#10;ZuOm/8hksn+tX7f3q/3BOESU3BnccOb0L6GqQ0gQFpFeEz1Zw5TQMDAGGo6XuhWyjMJ+yoFFRETa&#10;+PE0l7zhs8++kZg4AUoUYYla3QBnqmscD2af7dyKBysGBkaAL7UEilAs4bBY4TjiOHiYO70mfYjh&#10;kW1xLTZyxqh+Qh3Ozu4yzNXorC9/eB66UqQIOc8tyUKhoBCZSaKl4xOg2fHEkU5yRMAN5M93hc68&#10;dtuFaaOjjxU0BpCODCxEHI7FZvMm0eG0yUkzz1S5iFY2GLhMpj/RylIu12KxkCKmy9u5P7emzZIU&#10;B7zJf4w4V6+8HuyfVB5sj5RuNEp30nD30SpFixFmwFw0M2nmdbHbD5afKHF0dW6mDIXVN6pN/h/a&#10;A3W4+xfHnRuiDll0+lCpyIdDYLEhRo8gahL/TpsAC0lkouMxr2+Vid6OpauZFhFcKBk13u5tTGgf&#10;7iTSV179h/MaqFI9/dRKpI976+0NixcsfODhR+BHmUw2bXLugMjllzViJKgtmImLjw/SIQRX9eln&#10;8vNDVYc+RhgnQhM/tYY/FF++MAYfxNyQSUwGbQRcRESa65t+qeNpDUoUIaBQESAx0XE3AGOfdbpa&#10;g1FjtZiUytrm5kaXFGR0dCIeuxgYGEQIBSwmMxzyg0wmXSJlYxVh38Oot+uUxUvTrmwtuU7XTv6Z&#10;6w/UoULtfHFVVW94dXshdJCYPzLmkQWZiKApLFUnxvLBx+wMKYlJBNCb7IGtksNeub8yhgjeJzp8&#10;YFFO/js/kaKVwYYtRqOM73sQnyNiWiBQtJLFdDtNiTm8+iiWNrDtZYfbHpIWvBE6jxQ5i04kDZEq&#10;9kSJCnp8g0VPLB5OSrkHhm6gxpKX1GFmlJTN6PXXud+KDVsbm1xQNlhs2J/gkkykdfqugL/Hq+q7&#10;5vslnzgQcfvcuZDeUqlUjz7yUJ2i6yJjMpu37fhUKBItufseWLJ4yV1B5Q25HM60ybkTJk4E81qt&#10;9st9XxLr4z0uXio6dOAbuIcg1SEjMzN4deh3oLOscbml0mz8fcHACDiuucxZbLZXb6SFwgTIJ0Iy&#10;8aYZy40GpVrdgGjEGTfNTkmZiAcQBsY1BS7HQQg6ZrjOGSgexORgP4FRby++2FxX76DhIoT6FZm/&#10;7Lo8TmEjswBO6lAo5IQoCOtoucrwdn5qrBDmEJSz6MumpyJ3FID3dhVv/7V26fgEorUxwtb9l/s/&#10;xxcMeJ/oMD5OtGxK+js/kjWAerNZwGL5c97BtnwWiyp7/Ewz8s9RJwPe5CiWdrmw7K3WEdQx3Dce&#10;KdUNBomQRVTF0joFqit3Fiwt7Wb2DVFYqn533+8BrIA31GF2rC/2mP1TbGjUtrbZyVkCsNhwoAAy&#10;iVQ+sbBRpTFbqrS6ao1OY7EUKhwS3YJGVavFijvNu7svDpITbnzvXZcE2QcfbZ0x62bILWYOHx4h&#10;kcJ0fgtun/fUqmcOHfjmtTfWenMssGFiQnx0VLRer79SXUU6Flj6h2nT7l2+Ah4IAhx3+fJlPliO&#10;gJ27rFVOVlZqSurwESNqa2oaGhpIPtG9qsOYMWPhTGxsbHpyCpxvVqvRmu7qAI8C6gA/nsnP99+u&#10;2nO7/ESHLKsyOhenMsTACBIGM294190rqEHHFksri9XrYBZ6OBsyiZBGnDXrYTx0MDAGASKk3W4v&#10;RCIWg+GMbIVqQTgviWQzWeG4u/ozlA2m8suaJmW3jJYRQuV9WT9+Xjy13Cyk0i6K1laZQNCXeeKI&#10;OFmndRmbTFQgHi5sgLzhiXNNK3cW4LNM85jo8Iuvi++8rYtmBfNniutBOWnNFr0+Tir1pw6RAoFZ&#10;rW7r7ud7rk14Rjd0gvBKwJs8il9zt00QEo8UpbXt/i2/To4Xlyn11JSX23+tBUN0Sro8WsrNTHTc&#10;WZ0tbYY2ytkywYIpiXqjHVn9+APQxrCwML2rx8vdvzQYDe0PXz+qt/vst2JDQ7ML6gGLDQc6sqPd&#10;5t/Umi0FnQkTYdQz7apQkYa1igSMze7yl794qcjlOiazed+e3YhejJQ6ecOnVj1D68yBiNix+JiY&#10;rBEjaRR/4fTklMWLF5OyJZYUFz/9zCq4GkoFSDo0KLl97txtOz6FHyFTuealF4max9yJk/5w443F&#10;ly6RcggifhPV7dU1rxHdomndJZbe1AEcS9CJ66+fjHYFegZ1DsBtt92KjkuqA82V/wzoFqpdtfct&#10;7bFd/iCMH1OTeLP3qQx1LIkgZhyYWXugaOB+KRIj+UmRPH/2MCU9Cl9bMLwHdurEwMAYnIiL5ScN&#10;FTseBa9hMeDlMkZhgYNKm3UzRyBsH5RtVDaYSn5vaVG7fmXNYlqWDD/ukjqkdeaJA39DRR1CxIjY&#10;iDQsLFWv/vgcImjQjCNt3E78nXbCXaLDd34sHj1Mnpne9TR1//zRJzcdI61mbW9vNhojeb7fbYeH&#10;hYl5PCp3+ZkhJZPbJGIE3o4ptB4pSGbo4ttnbaNKX4kR9yeKGj1s7j1kfD6HwYBfWBIOXGh84sPT&#10;7903qVc7xGJDjH4CMYdNVCnSugsVIRCTiLhFJFqkXRu6xZiYGDTvgWZqaGgglcQTNqR16t2efPIv&#10;iL1SqVTz5s+D85ACo+4TrIwoSJQKEGz4yUdbCy9cyJ08GZJx8xcuQrwh3M+EiRMhm8blcO5fvgLG&#10;UN8y91awFcrMCA9aUlz82JOPm8xmsKY7ThCUw6r2WAfPltOo4YgoJNWB5t60GtpV37loAToFXrbU&#10;m3b5+HPMEqiH3NTbVIYapkQTNQXMFB8swpcgImZGGdYv833zWgVt269dXeqO2cR8ZY+4UOs276yY&#10;FzK7qmuON1SrG1BCQwwMjEEMHo95LXuPFJwP37uncusWJ9v04cfP3jx7sEkmr5S1lpWpTeYeMv2x&#10;mJa//EG5+WxUUaMLr4aQU4cn67RV9YakOEfSPZ3BRlR1yVn0/tPb2TLBC0uzaxsNr++5GHK3ZXeJ&#10;Dl/65PSWZ2agRIeZ6bIHJqVsOV1BWk1nMvHZbH8SXIo4HKvFord3G3stHcyDrcOWRJwNRpM9eaSE&#10;h3P6je0pMbh+99GqgJCGEPBL6pI63HWiEvz1njrEYkOMgQVEKaIZd4CGLegjzLRIWNpapdGR1q/W&#10;6vp/D6Bo2UMHvvGwWkVlJflWkNtFW/xz7ZvXT5nS7VLwuzOpws033oRIw5Li4l2ff5aRmYmyJSLA&#10;VIDEiN2yygrI2SFSLEJCfsHz6kuvEI+bkpwM2TSwJjxoZ1S1pE6hGJs9Gu3nX+vX6fV6gUBAikfu&#10;sQ5jx41z1z/Qgbq2pubEyZOotqQ6gJJnVj+H1t/wzoYWjWba5NwXX1kDC5cvWw6Vm9631Jt29Rp0&#10;Vpt81MWoKfj60H9Q22R7wycqdkgELymyW+7pUQkSogEIiYIclSAVc/267bHaqnpch8mQh6ontSa3&#10;r4KysZ9yMIB9SzAwMK5NfLLN8Nyz76KPdy6el5sLrvaDRG9os7aXFavr6vQ9MoYAcXEjJoxfBP7O&#10;nmv9vzd/KKpx8QYv5NThq9sLoftE7pioV4wjPv6+okLneBhYNj0VrlBY2sUmpAg5uZmysRmRI9Mk&#10;YBOwqKSqNVCqLg94cv6wpDg+mJ6jZaGg6cnxYkWrBda2L+Eu0WGNwfLW1tMv/3kaKlm2OOeX0sYL&#10;arI2EDy3cMRif+oAHnv0lAoctshzLZFD2M0Bb7InjxSdLlYiYYSH/sXAqlkZKE1nVb0hIEHK3fq8&#10;J+rwtbvGiHk9q8ux2BBjsAIatqCPRJ5RpwOXCiWNFgs/WiwGVfMVGo3TOTnRrLpisToV0yaLjZSN&#10;YePhkLVLIvbqUTlK7uk5n0hplRQXH/v5p11799A6+S9Eip3Ky3vhlZdMZvO3P3xP5Q2pqQC5HHI2&#10;vcjueTAW3D6PRFYiDM/IcN6EqFRQwScg5J1AQb4/Hjs2YexYFJ3dYx2+3PflmDFjKyrKHTcMKalI&#10;XEnUCXqoA9F/BnYFmIdyQthLt8y9dePmzS0atfct9aZdvUJYRHp57I04leGgQU2LEUzEkrwypZfb&#10;irhMIpVGFDNOzXBeEMRc1qjudFt7u6HHPTNCxxv2Twxm3jApcXRGRmZpaUn3K5cUn3UMDIxBABiD&#10;XH5ZfejAiSk3jFvzmvNx/cs9VkQa3jx7xp13jetUGg4G0hDanjQ2Ge32npuTmXnDhPGLhMKrNw08&#10;1v+evfH5z85BfoGE0FKHhSr9pr0lMLTzltx4MJ041yTkM1H88oGTjpxxchZ9wcTEFfPSiNtCt+VF&#10;M5O27r+8Oa8yeJX8+ZwC1id3TNTS0gS9yX73rJSkOL5GZ73njby+VyBy6HQhl6szkTWkR6tUI7on&#10;OnzwtlFPfPILaTW93c4ym0Ucjj8VEHA41KR72zQjn5GfYofbAt5kDx4pqtbWKLE42PbKHkD19gFj&#10;Y/fKyflFqsCS2p6pw4vVavA190wdYrEhxqCBSnXF2knzteqaOjlBB+rrL6EViPMDGoiQOpOf7+n6&#10;QOCnmtWOL1RKcnL3HlNtfO9dUlrDP0ybhpYipswDcrKyoqOiY2NjE4YMmTDpOg9r5k6cBNV8p/Ly&#10;qqqrSEQkqu2Z085fKD3hyrbsnj/u2rsHVAZUleoN7aEOdQrFigfvh/PpySnbPtlO6+RJXcZ3U+sw&#10;f+EiOLNu7evErgB1ePSJJyGliAK3vWyp9+3qEWH8GE3MpN4GJmMMYrSabESSkTj/xkEX609JdzwX&#10;sPUZ6RIZn+3QHyTHtPI5Dn1feny9gG/AXeoOg5k3ZLFEDzy45ttDH333vfMF2V9WvhwRkYbPOgYG&#10;Rn+GXhe+/ePm3bt+3PDewtE5XQSZop5eUdGmUFghV0h6KQKe0+G277/jjOL5+wsPP/L4IHlTUldl&#10;qKzQuEtiSAKJMUQQ81gwkrEfUof7ihTljXqoOqTBhIZXceJcE1gKw4RhOLNLrJiXJuQxA67wQtj+&#10;a+0NY2IgdUh0eQYVjhVxlSp933daJI/XYbORgoUBtuWVERMdjs2Ju7tgyM6CGtJqWqMRnG5/uLYI&#10;Hs8K0D1curydm68fOlVUFowme/BIadbr5UJhSEavnEVf+6cxiObuuiR1ClQDTmqDsxYWFtai15PE&#10;UABFNZr/e/MHz9QhFhtiDBRA1g9xgkgMiOjCaxACj05QGZmZzh90Qv4+hM937vjgo61UWnDurbfB&#10;mY3vveuSNKxtcIZ752RlvfLqP1xG14IjkkpumXsrtFgpKS5+4ZWXpk3OdVdbRIaeyD8NKglJtwce&#10;fmTaDdNfePF5Et/Xqzog2hTKDz30GKxDfEwM2vPZQrIb25nTv5BMY7xsqTft8hZsYTMnBl8cMHzG&#10;VWIx/PsG9CVCIyrLcVvLaBsfYQEzcfGKuFjHbQbULfofHO09NEZbP+y6QZ7fkMeVzb9j1YyZdzmu&#10;M2yRD07KGBgYGH2MI9+a//HqZjBzMq95dI5UUU8/cqT15x8vfXv4O5fr37l43sI7R6BtIZ+44oG7&#10;BwFpaLO211XpvUliSHO8K+JlZ88ZljmdyhgS0W+pw0KV/p438mZnx94+NRHygxqd9csfqvfmVxON&#10;JmidaeOQhguGLUMib9HMJJ3RFjzVIZIcErF1/+XCUJCGEBEikYlibay12Td8/tvmF25GJffekX38&#10;clONwUJcDWzlJ9fmMEjh85U6cnawDw0pmZymKFZQIsdnSYpb2rmHLeRBbrBawwwGGZ/fx6eARBq+&#10;t6u4vMHRIdnJEXfcmAgH7Yp5aQazDVotBwR8FosuFiu1WpfU4R9e+vaTJ6ZkJbq4AGKxIUa/gsVi&#10;aG52pNmqq3dEa0Jm8GpAMYYLOBIddvcjJmLGLOdl/7sj35IWncrLe2/TRpdboUjeM2ddZ6f17Bbi&#10;3PaqXo8aK722u3APie/EV3NlEOV4oJK61laYrxBUbOOm/xAtjL2sAxW1NTUuy0l1IKaDpFKoJGGj&#10;9y3tsV3eo6OlLEVbZY8Z/3vkBPx1wAgGNHb6d02dX4QmFe2cg4sn6hZhKsZEMEXwYdbFYPCJF+vc&#10;+qKAw4WqZ64JXxRshIKBgdH3uFzG+OTj8pyc2DsWdilfTubRnl/9JZj56uDCHg2OGxStNJr07sW7&#10;KdJCJ15/88lZs0QxcV0qlfPnnWaCs2cnDeje61VIslAoz8y8IXvUHPD0783O+y11qLS2bf+1Fkxy&#10;Fl3IZsK8gSlCDiINNTrryx+eJ0Z9gnUqfq0tuKKBWsUV89KOFDQEPOEgNQqV1pnAbsMXRcHOq+gZ&#10;4WFhcqFQ0dpKKr+gNvz74zOP/WnC1RHCvn/W8Jf2nSeTNVYrz2rls3z3WwfbGlksqrnz162Z98ny&#10;g9Tq+ZILjaoJ59rIjKfebOYwGH05erNlAiSSdTw0bruA7JXBwNibXz07OxaS2nxOgO+qOXS63A11&#10;WNtsgKpDKnWIxYYYIQHkB2FKQavFCP4ixhDDG5QUF0N275a5t7719gaXqsDciZO6tHK//UbmArSa&#10;Ho9ClSgSgdxC1rz0Iop0RkQeIuZIikiwMvQGmTBxIixpUjpJYUTDoRKIbTs+PV9wHooKAcBxly9f&#10;Bg/nZR1c3E9SnKY914HWmfaR2CE5WVmoe6EA0/uW9tiu3qHNyqg7ma0s9MFJGQPDTzhTMVLSL2bF&#10;S5Ii+aMSJJBMDJ5ndJ9pHqlg4NOPgYGB4T8U9fR9X6r0eusjj8VCQnDje4Vf7HK8Fb9j4Wq02uHD&#10;VZAELC+njXbzSJia5jrnWkZG5pQbxuX9/BuiEe9dxgc3UMR1wFI4M3nAWsxdKWutrdV5GZIsFMrH&#10;j184LHN6b4/Sb6lDCKW1DWUMnDU6FpGGT2/8zaW4DxSCRctnOXxUguFS4jIKFaBMqQ/5gOEwmS7z&#10;DO4sqBl1MmraZCfXOW5szKhT/AsKcuYarcHAZTL9iVaW8vlmG9lA4LhNOtEwZBS/JhhNZofb7pIU&#10;VbnySHHYKzMY/lhF9wqjh0pckoZoGG//tfZEiSpGxA4GvwypQ41OZ24jk26tJtv/vfnDa3ePXZLb&#10;ld0Miw0x+gCQEITBxVA/OGiSDIYQx37+CakC71++gqoc5HI4993/AJwvKS5GMbaxsbHeHyUnK+v8&#10;xYtwPj05hbgIfESsGTIyphG4M0TMEdk0UBNqCj+YeJFGsGCmAlRj+fJl/1y3HrQarHb73Lnbdnzq&#10;fR0QEIXnDqQ6QOIP4p677kJh3eDQr7z6D1i+ZfMmWOh9Sz23y7ch0W7Vi8v3S/gxNYk3a5gS/B3B&#10;CC0u1mnAdKCwDpUMieBlJ0hHJUimZsj7MsY5eBjkvKHRpFIpK3XgCVSjIvy08ORyhwJRKo3FwcsY&#10;GBgIel34kW/Ner3tjgXCHsWAinr6yZOmWTdz4JrbP6l/Z8NWB8sz+++QEISkIa1TeJiW7gyzFQp6&#10;4cNQV9NEoyXt3LWosamDzw+HO/n28JD7/vQmqjCpnu6UiQPgcq23Xy5R19bpvREY0ghGyT4fsZ9T&#10;hwiZic4fqU17SzxEBINFyOY44BALuhR5W/dfhvGnSXH8BRMTg2rG4iVkfL7dZqOSR2/sLxgzKkYo&#10;dJxHtcF424yEys/L9N0HmLW9vcVo9Ce8lxEezuNwqA4tH+nS13IVwTBIoXV6pKyUFrzQMp66SKnV&#10;9pm98uHChhvGxIDh4UF5WqEz6yy2mamyGKnz6neiRBUodptDp0eJxU1arUvq8MkPHUFwiDrEYkOM&#10;gKO+/hJUEQ5EijBCSr4hYTDCRSIP+uvaUFX16PffwRBXxzf67ntKS0pILNXiBQsRsfjuu28jTi1h&#10;yJAed37owDcwPd8rr/5j3drXi0tLTWbT7Nmzu7X8aopDWidxiQg1xEtWVDp/Ch2R1FcBaoLmkbIP&#10;KuziY7qS9BHZOgSw2ocfbIFCQtgK7+vg4jrsapHLOmzZvAl2Nehn5MuM0hqqVCpoQu19S3tslz/o&#10;MCgSij+Ol2VVRud6b68ssWli1Q6CeN6yhwbuxSevrMmfzTVGm4dgWAz/AZWJBwrrYJgzpBGnZMin&#10;pkeRzJ1JqG7up94sg5Y3VDRePHXiEHJE8Yy77l4hlciEwgipNBYHNWNgXLPY9O8GyP2NznFyfyfz&#10;HApBUqwxQMH58JVPOMKHkfeITu+8SS2/bB6d021lg6GLp0hN6zktBfJC6UxoOCEmri0mjoYMkXNz&#10;u67bHkSLAwi9EhiyWLzk5AkubU98gGfqkBEezmGG/vXgyDTn7UWjxhSqOry6vXDBlES90b73VHWF&#10;ztyoNq1eNorWmbeuP/CGADKRqEGjoSY6XLMpb/0zNzm+oRYzh8v4wyj51+fIijO92SzgcPzR6EXy&#10;eDarlURdtXQwv9UOv11aGKQmD2E3/1V0KbT2ykpr2/1bfvW8ztLxCUvnpCJZIsATnWkQA5XuEDTT&#10;HXUI8OSHpy9Wq1+7a2y/FRuaWnXUQiw27J+or78EhYRgpr9lIUQkIJfLABOc5/GYfIHzV4zJoksi&#10;WQO05+sUCsRnAbz4ypqMzMzDhx1PeVFy+fz5dyDDZbAa0gwSUXzJLaW7a9cuyIvJZDJ32QNNZvMz&#10;f30KLl1y9z1g+nznjtKSEuQ+TOX+Dh34hlgTkrKPmEkQgcvhTJuc29jUCDaMkEhBu5y/ZVqtb3VA&#10;fJ/R5MJIx2Uddu3dk5U1CvZn5vDhiI2ldZKGjz7yEDVI3HNLe2yX/whTXUxRl3qf9FBo1dAVjuic&#10;1XNHDuQLUuArbzZfamg84vPmCVHMv83pqtWFWo3WRM7iUtVscMT5XntANCKYF3GZU9Oj5o6On5ou&#10;T4wkv7eubnHLG0Iz6FBhEPKGRpMq7/ie/ft3e7/JZzu3Ej/Om7coPj5ZKIyQyZN5XBm+T8LAuEaA&#10;uD8IRT39zgWv0To9Ru5Y2C2zW/llp/0ITEHocm83z57hzsnEsXOFfTTNF0GQQNh+5+J5UMxI5SjR&#10;IqLIsX9C02ytvqL1XmDY2ySGXsIDdQgeCuVicZ+FfLpD0WUN0V45JChU6Qv/1/XQta9IEb2fu2Je&#10;2tb9l/vJcGKEh0v5fJWerMc8qdB+8XXxnbcN15kdpigTxsuKq1svN5MZWI1OFyPxK9BJwudT0yx+&#10;aY4dY6kbwm4OUqtH8WvusErBUci3/iG1V0Zw57NM67Tk5nOYgSKdw8PCwOlT6vUGi4W69L9HS7VG&#10;26QzLqLhQi42tBhMNhO5zlhs2F9uCXRKleoK1BKqmqtCyBIKBSwmMxyJAZlMukTqkFEPaCqwtyDy&#10;WbSrxBlpnS2bN5HiXiVi54Vdr3er1i+rrEB8HBWHDnwDZ07knyauRjw6WodGoOp27drloTnI6ZiI&#10;+5evoDaK5khxc7hXdYDgcrr0dy7Ni13WwWQ2P7362dyJk+67/wEiaQj6FpwCImnoZUu9aVcAgJMe&#10;9gMkxNBWj/aFzSRpJzVG24VajbsVBoFSstVkO1BYBznErHjJPdcPvTU7nkog9jcMNt7QaFJt+e+L&#10;fkbqETnHjIzMGTPmRcriY6Kz8OUAA+OaQkGh2wBDvd65KDaGnOigMzuhgwiLH+KJ6zHo7TSa29t9&#10;RP8VnA9H8kOEnLFJX3TepJ0/30AiNNMznAxCYYExLb0/Pk7YrO1XLjsEhjq91ctN4uJGZI+ak5wc&#10;LO88d9RhW0eHUqsNOXVYUt0KecPs5Agvk8SlCDkxInaZUo+SJAYcm/Mq+4nSsIsDYrNNVivVouSd&#10;H4uzMiIt7U4afd6NCW/tLiOt4yDajMZIHs/no3OYTD6bTeWtvtRm/jnqZPBafbu0UKniHLeRuTlH&#10;P+j18u556/sYCyYmItJw99Gq8+Ut5U361CjBqntGQg+fwsqWAOY9hI11SR2Cb3dp2/V30PYzaV3D&#10;oz+IDfUtLdRCLDYMFerrL6lUVxx0YfOVPo445nIcIkHEDIolHBYrnC9k8gQ4E70TJrP59TffeI72&#10;N0QdEqFSqTa+9y41xR5a2QNvSOvk42677dY/TJuGYm8nTLqOqpsDqy27d+nq1c8RCTWAM/n5xJqA&#10;DQ8d+Iak/juVlwcqs2XzJtI+Qbnnhv9r/TrirrypA0RmWpqXh6CuAI4CpgiJNFLquIa7jKTubUs9&#10;tysggEkPxaKk2vjpOOnhAALVReTW0fHdC9zSkURVY1WzEQX5EsvzyvqvQ/3FOs3qPefBNCVd/sgf&#10;MkDDQSv6Z1UH26/Rt4c+Cmx6L7C30tJ1tE4R4pSpC7H8EANjEKMznyDhwVvvNimh4GrgT3RM794O&#10;ufM8Ie9f5Gm3aWnOpZ0uKN14w9E5zqf099/5ZtbNZMvmy2WMfXvrdHrzo4+mEF2Y+6h7qww11a1N&#10;Sm9/Dlks3rDM6dnZcwISkuwZ/Zk6PFLQsGKe4+4f/D35u9JDikOAmamyB2/PSIpzjpDCUvWBk7Uk&#10;t4qQYHK8+OYJ8ZdrWwMVneoSkQKBTaOxtpOp9g1fnP2/uUM4nbF7Yglr1sjII0VkDaDRbBZzOP6k&#10;BYzk881WKylW+lyb8Hhr+lRRWfBa/ceIc3pX9soGi4XLZIYqTWeKkAPHLa27ZUqFzizYWwLj3L2n&#10;wr2EXCAATVa5IgjO0WU6/qJFpm/F7c6E11hsiAGJQlXzFfC3b9yNIT8oErEYjHBMDvYWLRr1C6+8&#10;NG1y7oSJE6HYraS4+Ny5s6UlJUSfECKW3bs0e9QovV5/Iv90jzvf+9V+2lfOzNTP/201PATJpLis&#10;smLFg/fnTpw0dtw4qKH7fOcOIl/50gt/j46KBvUh7f/p1c8SP4IV1rz0IpxBhR98tBW0ZebMWZDu&#10;PJWX9+mO7dSw6x7r4LxBjYp2kinVrse2yzqQ+sSD37GXLfW+XQFDa1VC68exMeOqIsd7n/QQY4CC&#10;mCtwSnoPK1c3G2AUcGnRgVqlrvNOiXG52fHOuFLPLDeGMjdRXpkSTDANojeN7XsMqh8qReNFLxMa&#10;+oD9+3cXFxc+8OAaTB1iYAxWoLDi6KhuecG8SUrYW5RfBrdi0e6WIqaSGonseNge7aQ2SktLFPV0&#10;IgM4eYpDJd35wqPkz4+fvu+BCdBY+XIZo7DA+ORja+Fq9/7phT7rVU2ztbxM3dhk9DIe2cG/RCZl&#10;Z89JHjohsCHJntFvqcMKnfnQibpbch2vXp+cP+zdfb+7ow5XzcpYNLMbj5ydIQVTzomIl/4Xsmz9&#10;KULOgusTr1bM0YrgUYfhYWERIpFCQw5guaQ2yk43zpjufH09ZXLM+SpdU3fFKzjRGp1OJhb7c3SX&#10;sdL7jENG8+pEjGC9QPZsrxwWFsZnhUB6nJvpvFnafbSKxFyjTJ3I8yeAgDyp2mAgEbiOy2D4/7N3&#10;JuBNnNfel7WMttFmSd53vAAGs4fVgRD2NKEkIQnJlw3aZrlN0j73kqX3y21um2Zp7r2kpVluW8jW&#10;kBKaEJKvBEIWUpY0QFgMBmxjsA1eZe0z0mi0+Bv5dQZ5JNuydtvn98zjZ/zOjGbmnVfSzF/nnL/y&#10;j7Kb7qf26DxtEGw4NkEqIZIL4y0UpmskKH4QpRWDPhgTnBS198svmOnZF54PZ/2GSxcjC2pjE5yD&#10;TYp534fjBds683otg3m8M2GeyEBnF84RDnIMiPKKCjRz/Lvvwj+G8AnzTId7XrFC0PFdieE0nTO/&#10;XlMFbxwAUaCVo3TgccrLFHUu9IdGcz7hkpAU1kVfR0vUKG4xYWUZURnEgZaqpMnMJBtVX2C0a8Ca&#10;8atXr9VqM43GzmHVPeTAPIfv/fSNNTdvhHcdAIxukBLHJiPHA04tRQ6DK5W4wofEQWb+4kXkmnKV&#10;J/79h8hwee+ez0MWWPz3px9MQOlD5I/c2elwUuHuC3meVE1epdMVJeW6b94w+0yLufYyV3VC0mHC&#10;PGqD+cPuuly9DImAf35ibmD0FsvScbpA0bCm3symiK6cH/dAv5DoMcGKqmyOJ0aHmYrrTiUCgUIq&#10;DXY3/keDJT8HryjvkwU3rpm48Z2TXB3H45HSdDQqGy4WUxTFvE5go6lHtNs2/o704/E76wzM+mT6&#10;d48b5wQvMhGEIBmqN+Hs64SOoDtguaRP37Q54vIZy1wFoVDIvGeDpUNjmvi/pKsfpL6clm5L7rcM&#10;BBsmqJ9dpF8l7NUK45d6jKII09MlSCJUa8UijA+dP3JJV2vYBOczZ2tH6FkcOPAPlUp17uzZIWMt&#10;Ry1eGrv81WTDKUtuNRQ9BMKkrLAvxDg782aJpJ/1nNXpPn3FjMovWp008zfBNi8qWTIjIkeVbthy&#10;uT64cfXqtXPn/oB1SR4/fsaLLz7JWWf9+p/y/D+G+K/6d8cODZLp/PkXe5YsXQeeywAwFrhwoTuC&#10;rYINTwJbGi8MTzQZKCxxwcIZ6JPqwgVy3oJ+QXnLV/C3vPUEkg6D+f0r/8rxho4tDsLT2kIMq3wh&#10;L0kBhiH56InFP3zxy5DSYcI8aoMx0N6n3jrBWkw8dd/kxhcJTtThT24qRzM19WZmZWaTEoXkF3dM&#10;QpssnJaVYN1wTWXWnctK2IxphuY2ctP7tbHNSw09nGSyHrebI94x7DrU9mi+HGUrXzsl5ycdjj/u&#10;4942mAhCqtFEc5XVCgVh5iZ27XHppzuzyqVxTBjPwKwD2SsnRfU+1dL3Jpperg0ce3pMcPvivue3&#10;kw2mOO1dIhDoVSqL3R7SZPl1yeKb6fab5DVJ/KiBYMP40d3dxGqF8TAzUeAYyjVWqSVyXDR2nEnG&#10;DnetW4dmvjl4MKSjyIjg5JkzccwFHjn0UCYoeghw8PkiEftUUhEqxcgpv4hkxAP1hhYT2WIk41dO&#10;sQrylGOFVMKtaF5eXnH9kvsF/KvFfQoKQlTWnzptFbvOgvl3OZzdra3nXt70DLypAAAYLqzhCWuZ&#10;snf3eZIoJQj3yePNyO3E/9BoIwd5EbYMYnubMaRuOHVqn/9Jr7jJ1dqWr+AfO/F/P/vMxiztrYHo&#10;1xmZTebNk8aprGFkcmEiKxiGe08gwwaSDimvt8tqTaJ0+KM/HVtTmXXtlEyFXES4+oliVTqcVej+&#10;fvgKskO5aKe2f9mEdMOQnrZxYl6uau3CokAP6OY2cttnFxNZZlGtUDgtFk64GeHxffL5lbU3FjHz&#10;Orlk4+pJ2w9esjr7hbwxm5gcDp08cv1ayOeHDHjcbit/XGwU8+MYxTxZfnmDV7KFLOG0J0X1ZvPr&#10;mZHwn46Je4+2NhiIqfma2xcXodHIjAo0JJjRi4v94ZCxdfKRCATMKTPv2ZDS4YdUtqFb8n/ST8T1&#10;igwEBBvGnLa2s61ttSgBmaZjGf3BxhLKZCJ1ugRUwtHH8sXXM3+PHj+Oavkx/7Lmvzt3fgj9M0oI&#10;KHoInQHQ9NB1KjCsKNy7r145L9DdpcVI1lyxnL5iOdjQxczYnLG504A85Zih13PDAGfMnB8oGiLW&#10;3bn+vW1bA1s468ikurLS6ieeeCE4MtG/VK6HNxsAAEPCWqa8v30Xsj8OhGn8n99PHPJFBlpN/n2Z&#10;pGBrlL5H0BzvPffJeyXFwKUxFg0jkwsZiotmVlQsip9FclTfyqkqHfqfYWo7QqpvSHZBsMXj/MNA&#10;0ydAN7eRCTi8EoXk3utLUClGhMVOv/ZBXeKNWYR8fjqOG+x2TvvpDrLoWPf82ZkKsf/e6/nZoof3&#10;c2/mCIrCMUwiijwZRCOVulwujj1Lo096hCiKq0EKA/P6Zq/0Qyo75NDNUif0l+q3vrg4t0qvVmDM&#10;kAgcFWhg/Pqdmrtn5t1UXRAYlPrpodYPDrYMbv4TPsz7lDllA0GENFk+4Na0GeY+oDmVgVkTPD4h&#10;2DAmsFphbBOQFTimVPojCvUZMsg4HvXkZmX9x3/+Cs1/c/BgulbL+hT/ddu7YzfDd5SCih72aMqh&#10;K4ChbyH4soi3RYUUe8MS/U7Qp69Yano1xAP1XdHkNYMvSszAxNwS1+9t27pg/l0x3EV5eUWwEAkA&#10;wCiAsPODHh76NJfODhKFEA4CG10YE6ZMvao4XGgQBpcjzMrq+/SOrYN8mFiMdEuT1WikhisXpk4+&#10;8uAMLh0aCUKvUKTUAXfYrsoibPE4hpuqC9DMxwda4n0Md8/Me+T2CYEtW3dd+OBISwwjyIaFHMMc&#10;GEbS3CH61WnDjPF9lh2Z9tpqL3ZAkMsd4SQZjcTGT0tTyeXBquUWsiSuBil9F11Tc6kLD7ZXZoau&#10;gRm6OJ6wS3DRTv3bq989umY8J9y1uY387+21we283lqczBSygmfEMKcsFgpNZAjpvNEnfcE040HV&#10;2bimkHOAYMNoiIdWiIRCpVKs1oj12VLo5DGFyWLp7u7W6fxfCmxNQ16vhvjnN7ZC/4xCvHRaN6Rv&#10;Awllcp6ame6aU8Tr1RAPNHS9+03TmVbLsF4kP12W3LMYVbphuqYgxPeB6UJ6emlgS0F+WD8yGAwh&#10;SkEtWLAUhj4AjEoaG7ktrDlJe4eNxxsizZONLgxm+YolG348S47zkU3zzGnPhnM8zFbI1YQkQ9gQ&#10;BwqLhJ2PK3wJ6KLWZtLY7RiW1UnfU5lCX1GxcHzFotTJRx4SlQx7+5Hq6365Jzi5wC9FJVZ/GZKL&#10;dqq5jURxW1PHpe9r9Jfm1GMC1GKx03tq2uO393m5qvWrygI1oEMnujZ/UsccVXK7RYvjbouFE/dH&#10;eHxvftH88NLJzHzzkQOLnPyz8rXGtH6/CPrVYYdDK4v8Fm0g1XKHZdIG3ZF4n/iDuqOvd88Klg5J&#10;lystLS2aLOzhUtNN/OhPx5aO07Ghrx1mihmff/7xTHbA1NSbvz7hl+1K85QoLPGp+yZ3vuyMYSlM&#10;pUQi4PNNBBHslGLqET1nmbLBrYh3KOjVERgq2LDyhlvhW3ggUL3CS01HY6UVglAIsDgp6uGHHrj/&#10;vvtX3vCD78db96ubf59g818AAMYISEN8+LryFiP5/2paX/2yPswIxOryjOQe+eiKN8SUwTnI7e2N&#10;HN0wGLv9SrDVycGD+4LXLC6eDMMdAMYaA+UCh0lufsY8/2/YvuFuhWYaL1BTpoaIdnzuxUd/8cTv&#10;y8sr4ioaumlfazPR0UGazJTHM7wdKRT64qJZFRULk+WPHCX5OjmKOgwhHfamPSZLOqzS4VOK1Ifq&#10;ugOFuS+Otq9f7f+yWzon+6XP/HYfBtq7efs5ZuZUkwUF/d09Mw+5G8cqnkuPCe5bNC7Qx7m5jfzj&#10;x/VIuEQgzag0T6mUiY7XG5FslJiO4qelpeN4h43rnNvURby068xt2WbaQcp5vJXuU3/BruGs46Ao&#10;lUQSjZeIRi6n3G6OUHXArbmGzJ8svxzXExfz3evUtc2mGaYebrY1QVESoRAXJzRzgnPFmXGIREOL&#10;nX5my8mr+uAxHuHwoOH089sqD286HMNjkGOYQKUy2WwcHRmxhSxp9SjWqE/Hu9yhm3IFBxvi+szC&#10;a6rhq7b/nbmhta226dLR1raz0dcrFAr56RqJUolB6jEQTGtHx7MvPP/q669rNf7PpYZLF6FPAACI&#10;NwVa+cPXlTPTwYau5/9eO6SbyozC9OQesHCUXYDS0imcls8/3zV+wqLA5OLgdOZgTKYLwdl/S65f&#10;MaQECQDAqIGtIch8GnCShXttjvutwxKc1MzmOw/z00w3+Ar33CefMvXfe2MYY58HajHSbVfsnZ2O&#10;4WYi83rdToqLZ42vWJSTM3Gkj4FJBZpBpEOpSJRg/QXxXw/PUCuwu+30v736HVsJruZSXxATs6hK&#10;h6N21seWExL40C0VzA1KlBnEekzAWjwjAhOTmaUrqrKRTMmugMxSfhKkLcYPiUgU0qXkpV1nssv6&#10;YjAnub6bJig5Iej3jvP29Fjsdp1KFfkNFp8vk0iCd/2Gvex5aUe89akMzPpk+ncvhJIOuwn/2EjK&#10;0EVML9eimX6iYe+YqSjsK/igUoiYf2Ob5C4RCLLU6oGcUva49A3xL3dImkPkJUFlQ5ZLl46i0MLo&#10;fZBRUKFWKwUzEyAcTBYz8kUBAABIJAvKMv7+s4xXv6p//u+1gzioKKWi5B7naNMNszInLbl+xedf&#10;7GFbmAf+1is1gTbKchm3aJHZ3M6JNzx7LkQd3BkzF8HIBoCxw7hxV580Dh+ylpZdTe47f64lYJ1+&#10;SbtsUnNWVt/mdiKSbE0cH/rrITBbOXochKer3WE0Oju7HMMNLeR9LxcWF81KTbeTiEHS4eJn9gYv&#10;Sq7+olZgT99d9fAr3yJtJbCsYaDbsh4T3HJNAQpFDNx2RVU2qypG+FguFhVk970pmtvITe/XshrQ&#10;0nG6jXdVBiqGgRTmyH/z4DQ8pjXsBkErk7lpOlgqeuWC8j4eJuL5lfHr6UMnpKs5KxAej5Sm5RgW&#10;212bekRf20qXqc/F+8QzMOv9iob/toWQ780kKRQKJQJBUoZuZWnfbRgnE/mnqypYGfq1D+qYgV2i&#10;kMyv0HFCa6NhcKcUVO6Q6bQ4BYR63G7Kzi2ziOszyxatHMtftXa74dKlozFJQ0ZBhVqdLCNbCkGF&#10;AAAAwEjh4evKq8syVr381UDSYWMXkdwjFI6+Tp8xc1Ggbsiwc+cbP32kig05DDZEPn/+u0Bh0WS6&#10;wEl25vU6ouTmVcGYBoCxQ2mZhy0y+OaWvTffcivKCD51ko8amaXBjiUscjz0QwvzYRKOmcmy5ZLH&#10;fr5+XKnm5lvjGCjhpn1d7c7IqhYiUDJycfGsURBdOBCTCjS/3zD70S0hfk/qJgghnx+N924EvPZB&#10;3VP3+YtmFObI331ywTu7/bU57141Di1tbiNZkWXpON1PbioP9KtlyyDeVF0QpW6IXC/mjdd3mp2B&#10;CuCayix0eAhUva6x3W8SMi5bwfrnMus0vkjEyjl3cNQKhcFq5aQMN/bIT4tnTHd9w8zrPG230Sff&#10;x7jGFCaCkGo00dhnq+Xy4ETpbc6CCdKufLEx3ic+WX75X3m8YOmQ6QqmQ/QqVVKkw29qDKiOITNU&#10;2JGzcVk567mM8ujn5aqe2TBVrcAW1pt/9KdjMTwAPY5LRSKk+3OveI+I6a6bac1NmpqYnzjRDTbK&#10;V4lVaGG6RpKeLtFnyKBSIQAAADByQd4pr33VkJqHNwp1w9y8Ks5jOSfkUMAXc2ISd+3aMXfuD1DI&#10;ocPZ/c47/xP8smvW3A9OygAw1rht3QwkETIfIzet+ttPH/uBHBfu3d0XE3HDjVcLI4wrDTcZecHC&#10;GcyrLV+xZPDVcIVv45OZcTovQ7uzvY2IwBCZZaTXLhwud8wvZv6GlA4NdnuC9Re/1PImD2lzagXG&#10;cTH+48f+4oZ6TPDTVRWsEMPr9SrZ8XVTg4F498kFzFaFOfKl43RRJgvXdBM1B/uJL1U6nBUNOUGI&#10;vN74sneOXdm4rBzVsHv67qq1Ma1hNxDM1VHJZMGOuu9jU7O87TmeJv/tmuu7z8WVnKxeb0+PyeGI&#10;xkhEIhLJxeLg6LYPrRWPZSTi3Mt59bfRdLAkiqTD3OhU0cjYe7QVjcyHbqlo7CQIl+fe60s4omGg&#10;+nzsXOwFVlwsFgqFwWpy39Whsi914fenn4yh+TUEGzK4XOSlpqPRVy0ErRAAAAAYfaikqVtVYxTq&#10;hgK+eM2a+1988cnAxu+O7Q+MKAyOSdy69TlmK7vd9Oqrvw1x2w3BhgAwJlm+gv/Yz9f/bpM/ALm+&#10;vu7Rf7n6g8Rtt68OMxJw65+2/erZp9h/H3+i+JZb41WXcCDYuEKbjTaZI8/4y8mZiKILR5Azcqy4&#10;Y37x5W7ypV1nOO1If8lWq6Px0BguO2s7iNc9nFhCi51+7YO6fY3dayqzHrqlIjBNePP2c2x04b5/&#10;tiPZjnVejuVbZnoOmmluI9kcag7ItoU5Bubg5+WqYmibOwhKiYR2uQgPN6j2XcninxF/EfFoXC54&#10;UHX2OQu3SjJBUbhEEo0urJXLKZrm6FMnvIqj9qJZiqZ4n7iLJKa7vqHSxB+LJgQP3S6rNUOlSrB0&#10;yFzxrbsurF9dygzRPz8xN3BRsGi4Y1/z6wcvxeMwmGuaq9EMVO6QuUDN3XOYIVEujU02/VgONkSZ&#10;yOfr9huNzRG/iALHtFpJdg4OWiEAAAAAJBjhqDyr4JDDz7/Yc8MPHsCwvnrbWVkVnE2YlTlSYyAQ&#10;bAgAY4fbbu9X5mzjk5mZWX7n4sDG9T++8/EnigMtkseN82+YnaNdc0suqnjYqwz6YT6OArfFFb4p&#10;UxNxIqheoc3miiaukPd94UKkGIrF8rE8NjauntTSTW4/xFUxvD093TZbgvWXfY3d+zZ1I7divyrh&#10;9BxsMCjEok13TkH2I4hDJ7o2f1IXWB7uZKMJ6YasB0UMWTonG8388eP6QUwtXvqsvsPkKM1TNhgS&#10;V65FrVA4LRaOfmdMEx+QXrfYuVcklZZLO6rJggNuDWdDi92epVZHvF9mVGjk8uCs2PfIkip5a7wN&#10;UlyEP6prHrXfzFceEORyllJeb7ylwzWVWTfMy9v+ZVOgSP36wUsk5eaEygaLhgzXVOoedLgb2+3x&#10;MNJB5Q67SZKgQvyaYuoRPWeZcqdLE30xyrEZbNjd3VRX93U0mchSiTA9XZKVjUO9QgAAAABIIqNT&#10;NxTwxevX/2Lr1udY6XDJ9StY0bD3MVj5xBMvDCIUBvLww48HxioCADAqmTLVV15eUVySf+tt3Fpg&#10;99wnnzf/6ZpTfUlVVVNkvWUN+zmH4Arf//webdgX0JSV40U/YDzx7z9M2FkY2p2GLn9Qod1OR1av&#10;kEWrLUQ+J2MkEzlMNm+YzfwNlg6R/hKNuhQZgWLK3TPzOP7Fh050/XzbKc4mJNUnVAVaIccKdu9D&#10;qjz++MdjCe0rIZ+fjuMGu53T/pmwZLywqErhVznXqs/Uds/hZCszF9dGUUqJJOJd42IxRVGcaEdm&#10;Lzstk+9IPx6/U/a43V5Pn3q7zLGHkK3m2EajszPZbNE4Rw/OtVMymZGmwrF9m/oNiVNN/ZyFkWi4&#10;dJwuUDTk9RbxRK4+G+30S+/WxkM91MnlEqHQTJIhc5a3OQvO0Zooc5bHVLBh9IULM/QyrVaaW4DL&#10;8NH5nAIAAAAAI4tR+32sUOT9+Ce/unTxO7OlW6PWlZXN5ayQm1fFqXIYktWr146fsAgGCgCMBb48&#10;cPNAi0rLPKVlrBzjif4FY4XFSFtMlNHo9GuFUQQVfv/Jqc/JmQihhYPz7LppZ1rMtZctnHbK6zUQ&#10;hB7HE39IwdUMEZWl6iodnhjvEQTru8Ic0iDxhslCjmEODCNp7jvlXcniSsEhIc+tFDrWyC5vIUs4&#10;K1gdDhmGRZOKjuM4YeGOmT0u/XyXNn4GKYExbiIefbNjFy+UdEh4PD1xG7o2h1+nZkbF3TPzULI8&#10;MzZWVGWzTj4WO/3MlpOHW63MWN14VyU7kL442l5RoGTGMBKjmb+/eXAa7/UT8ZAOUblDi90ej5xl&#10;n9frIrmaIyaTF86qHk0fjMgTmfkbWeFCqUSYmSnT6mS5hfDVAwAAAACpxWj+HU8m1VVWLh9oqYAv&#10;Xr7y/pbLlwYxNl29eu31SyBDGQCAFMLQ7rSYXU6nO8pKhVcfXzFZrl8rrMzJmQihheGgkmEfPbH4&#10;hy9+GSwdki5XWlpaNDYaEaDHBM/fOy0weHDHPn8RsbVLC9UK7L8enoFEGXZpprqvOlhzGxnzgzl7&#10;yYJ0wwVl+kCT5UGYl6uaX5mZo5Pu/rY1HpIQBy2OU2ZzcLbyX0zTNuiOMPPVyobjlP6EVxG4ArO+&#10;mST1CkXE+5UIBLhEEpwP+6al8unMf8TpZF39rWBEPPpG4dGLwhutbk/w0OX1Gg3H/BhYF5RHbp9w&#10;U3XBlU4yMI/eYqf/7dXvarqJKh3OjFUkEdbUm5966wSrOy8dp1s1OxdtlaWRMAP+vkXjcJnwwhXb&#10;qSZLrGRx5gJlqFRGkgw2seF9n7N8M5WxXHVuuKnlpMnS4+NGMlbesBaT46Pg8zBKuRBCCwEASPRd&#10;nFK8Yrlu+45W6IqxicdjgE6IgDH9JS2T6n78k1/96Y//EVI6BNEQAICk4yA8pN2NUo+dTk/0EYUI&#10;0AqjvemUYW8/Un3dL/fYnFwFgaAoiVCIixP33ZGtlLKi4aETXW981oiUlA6T45HbJ6gV2Ms/u2bz&#10;9nN7atoNtLdKhz90S1/BzSO1sRfpTjaYkEh057KSgw2GwUMOkQCEii3yeqMjT75wMN5Rivy0NL1C&#10;0WGzcdoPuDVV3xuV3KyqO2GayVmBpGmF2y0RiSLedbpMRjP4+pU4aPRJD9jKqpUNMT9Tn9frdnIl&#10;sJLK/E3V837+58MJkw4Pt1qZ4YdKGRbmyAOdfHbsa35zfyNzxZeO0/ljCXux2Onn/nomcBj4S3k2&#10;dld9huNiAfNqd8/M+37M+Edacxv5x4/rY6I4+8cGjktFooFylj+ksk/R6gc0pzIwa/hXwWHlDjZM&#10;Jq+8Ye2I/gyMRi4UCvmZGTKoWggAQILBxIIFc3W3rpUoVT3bd0B/jFHC0Q0lkgnQUdzv7jF+/jKp&#10;7qePbGq9UrNz5xuselheXrFmzf25eVUgGgIAkEhYldDp9DBTTMIJr94tgVYYU/J1chR1GCwddhOE&#10;kM+PRmAaFjXdxL+/fmLquPSTjaZA9eSdY1cIpwdVi3vk9gkcDwqGD75pifnB7KztuKE+r6pcU5gj&#10;v2/ROKQKhVwz2PSZmV9Rlc36PscP5tKEDP17jyypkHYphY58sfFOacs2ZwFnBRNBZKnVEVuIMBuq&#10;5PLgAos7HflTZK3RlM8LCe1wBjdmzLhWVabb9KMBpUMp0zmxVr2Za9rYbl8+K3dulZ65yjX15rpm&#10;297jbWyoIPL24X0ffhho4xM4ztHMnpp2uUQ0c4IWyeXMSPvNg9PG7boQK9vlwXOWG33Sx41zNsgv&#10;hin1jrJgw2isTlAmckGRSq3F4BsEAIAEU16mWn+/Oq+A+UDugd4AgOECSQH+hOWCglmPPTbL4ez2&#10;eiiBUCKT6qBbAACIK27aZzG6SMLtcLhjG0sYCFuvUKctAq0w5kwq0GzeMPvePxwMXmSw2/UqlUQg&#10;SMyRoICs4PadtR2dLzuf2TA1UJ5DPP/m6ZDqTPT8fud5lHC6dmlhRaEyMOEUMS9XtXZhUWCyKktp&#10;njIxZikhQ/9MPaIdlkkoW3mh8sIeKptjkMKsb3Y6tTJZxPuVY5hTKAw2SGH3G0MogpuHLhCLVVMW&#10;MTMVZbqfLp3wm92ng7dCvs8xlw4Pt1r9yfIfhV66p6Y9K12Wo5NyvL85w4b5S7i8Nd2EXyI8eAnV&#10;SUSC+M2LC2KlG/KGyllm2EKW1NOateozg6u9oybY0G431NTsjkwuVOBYXp4CMpEBAEgWGXrp7bfp&#10;Z/vNDkAxBIAIga/wq4BcCABAPDC0+6N+DF3+x0uTyf9IHNtAwn5PpJhMpytCQiHzF7xN4s3K6Xm/&#10;3zD70S3fctq9PT0mmy2a2LRYcbjVetcLB1dUZU8v1yKp7tNDrXuPtgZWPIwtNd3Ev736HZIOq8o1&#10;gSGEJQrJvdeXBPq3MAfz1hcXmZm//offI4JZ9MuPziagW5jrko7jg2Qri/nuB1Vnn7NM4axgdzrl&#10;YnE0irBaoSDM5uD9VjuzIrPdGIhgLw5F0VW/l1VLypi/iZQOB/uQpL0vfVY/0NIqHf703VVsgnNz&#10;G7np/VpmADNbMUML6YbBynj0I2TwnGXmktV2z7lf0TBZfnmgF3FY7SM62NDlIuvqvj5ft99obB7+&#10;gzoULgQAIMlgYsGyJZl3rINPIQCIFngXAQAAxOK5t1ccRPGDHo/PZvMHD8ZPHwwEqYRaXSEEFSaF&#10;O+YXn2kx/3EfV/Wgfb4uqzVDpUq6dIjkFb94ty1Be6zpJh7c9O0tcwtydNKO3ndBiULC/MuWMuT1&#10;el9s3d3AypfMvyjtdF6uKn6aZiBDZiuXSzuqyYIDbg1nBYIgJCpV5DdefL5CKrU7uUnE223lj4uN&#10;w/XcGAg35QpWrDKmzg78N6Wkw0G4f9m4wKqIzPzLP7tm664LHxxpKdPj7PiJx66ZHmDGSbfNFjJn&#10;2dQj+m/bxBUu/Rr16ZAXzmkJMZLLrluZ+h9r5+v2N/krGA47+jdDL8vKkucW4lC4EACA5DJntv6e&#10;e2RKFcQYAkAMGGG6IU3bOjr6eZhoNNnMX5lcD7UIAQCIExYj7e5NtESyoP9psLf+IDNjs9Mejy+R&#10;B4MiCkEoTCmeXTfd6nBvP8RNk6S8XiNJxsOjNvW5aKdQBFmJQrJxWXmgYtjcRm777CLHbdlO9sku&#10;cokoYQeZLpN53G6OJBSYNbxWfeaAoZqzFeHxSFyuaDQ1rUzmcrmCDVKOEEWxMkih7CFchrVzVnFa&#10;Vi0pI5ye3311LnjlboJIS0uTY8kvRYfiZC12+q4XDi4o09+5rKQwR75+dSkzsets/7KJnddjghi6&#10;6wj5/Cy12uhwBEu9iD0u/ZGu6gdVZznhog6rzevhHkbZohW4Pitl37bd3U01p3dH4HYCciEAAKlD&#10;QT7+f+7STpwEpQwBIGaMJN3Qbr/y5JP3DrS0vLxixsz5339YlLPtSFhEiMVKDFPCVQeAMQWKBAzG&#10;Yna53f31AtPVyCO/Mkh5UuH4tdpCpUKv1RXl5lQqFHpmgmuagjy7btqZFnPtZQunnXS5+Hx+NBXx&#10;Ri4cu2Rer/Tzzu5G5Ow80Fa4JHF3Jvy0NLVC0WHhXrUDbk15r8exUujYIL+4hSzhrGAmSRmGRRNJ&#10;GjJLmtlRhaQrfK/eQQhOUpZmZAlxTfCat904obnN8lFde/AiE0EIElimcyBQLGpLO8kMm521HQcb&#10;DJxxtWNfM6rvyZrt/OzlI7GNWmXewnKRiOkQjtrb11E9oucsU1Y4cwIDD0ljiBDIabfdn5I32IZL&#10;l47WnN493PKFIBcCAJBSqJTiFct1N64WgGIIALFlJOmGHZ2DVbyur69jDZHDZPXqtTK5gv1Xo9Yp&#10;FOkh19RosiGkEQBGFhcaLcw04g6bVQl12iKFQg/hhCPmVlWGffTE4ut+ufeKkWtGYXc6xQJBiqR8&#10;JpJbringiDsD2SvrMQFrk9LYSSTyICUCQcisYVbCq1Y27HdmN/qkgUu9PT1RRpJKRCI5hpE01w3p&#10;E1tF9AYpHrfbQ3PTZrOuWTDQ+hsfmMv732+CpUPmNA1Wqz7Z0mGrwVFVrmEmlMPODKEOkyNwXKHI&#10;1iodjtzD4zVURCJ/4CFBBF81RGDg4UgJNowsHxmsTgAASEEWL8q8da0EEpMBIB6MpO/7zs6W2L7g&#10;rl07hrX+z37+TFlpNQwaAABiAgoe1GmLMLEMYglHASoZ9vYjC3744pc2J1eyMZOkUChMetxWor+1&#10;zVfFuM3bz7HuKMGsqOrLDGhuI2u6iQQfp1Ymc9N0cAG79yyVj2UcZmbuU9c+bZrJWUq6XIre4ncR&#10;71cjl1NuN8dz44Bbcw2ZP4jVRjjQjhBB1uqJswbZJJWlw5MNJuSls35VWcNbJxaU6ZEXCq+/aPhf&#10;D89gG+NUItNvlqJQyGjaRBAhzVLYwMOF9j3BwaipE2yI/JHP1+0fVj6yVCIsKlKBXAgAQKpRXqZa&#10;f786rwASkwEgXoykL/7A7OOk8PKmZ5544oWCglkwbgAACB9UkVCMybT+v3JmHiTC0cqkAs3mDbPv&#10;/cNBTjsSX3I1mqR7pCSSnbUd157IRIGE08u1A+mGayqzWBlo22cXk3KoIbOVT3gVB3qzlfPFxpsl&#10;7R9S2ZwVLCSZpVZHfgfG56tkMhPJDVB9w172vLQjGoMUF8F9TUypwsumD75VykqHzEC6s81f07Cq&#10;XPP33yxm259/8zSqkqnHBMi/m9eb1Pzm/sa4Ho8cw6QajclmIzyha1nscemPim77Yc/RMvqq50zW&#10;xKlJDzZ0uchLTUdranYPyx9ZKOTn5eIFRSq1FuMBAACkEiql+J67M2fP5YFiCABxZSTphoGVCpPF&#10;d8f2g24IAEAwrBSYkzMR/atUZIA+OAZZOT3v9xtmP7rlW067t6cnReyVE8kbnzVWlqrVCmz+tIz/&#10;dEz8w+66wDxlPSZYUZXNioaHTnRxzFISxpDZystV5/a7dKaeftGFft8bhyOa4pVKicRBUcHGLF/b&#10;Spepz0X8si6SeyLplVXhbLjxgbnk7/6xr7k7ePQmVzrc9tnFwBxki51+ZstJFFTIjKLn753GiobP&#10;/fXM1HzN1HHpOTp/avnub1tR6cPYwryLdSoVRlFWhyNk4KExTbxFvKBaWLzI+ZW8x85LdrBhZIYn&#10;uTl4VjaeWyiHD3YAAFINTCxYMFe3/kdQRgwAEsFI0g0Viryf/fyZlzc9k8Rj+PyLPTf98FEodAgA&#10;Y+vWpDdgEM0jWZBBpy0Si+WBLQCAuGN+8aHzXWCvzFDTTbz2QR2yqlg5P3dulX7fP9tRcbrSPCXz&#10;L5J7eEjx+duZwG2rdPjy6TlrlxYeOtH1822n4n2og2cri/nudfKLrxAVnKUOilJJJEJ+5KYQark8&#10;2CBlm7NggrQrX2yM4AVDOimnj58a5ub/un52x8v7T5u5EYvJlQ531naU7lOicpnMeGCGChKgkWhY&#10;Vd7n96LCsb/+R796MvOnZezbuC9OR6WUSGQYZrHbBwo8PCDIPStfu9J9ask4b3bl1KS8B8/X7R9u&#10;gKECx4qLVeB2AgBAyjKlKv2BBxTRlDJ85F8K2jt/lcRTEAr1QsEQsQVirIjPD/HbpEQCjx5Awkfs&#10;yDrcstLqX//6fy9dOm00dqLqhMjbxEHah1usMGK8HpcAA90QAEYMAoFIKAydXYVhV7+MFQq9GJNh&#10;Ynn/FjnHmSRQQwSAgdi8YfblbvJwXRennXS5xEKhUiIZO12xs7ajsZN4+u6qwhy5WoEFOqWwfHqo&#10;NTAUsUQhuWXuVU+V+dMy1pzKSkAo4uDZyrMUTdWujAPufpbE3p4eM0nqFYqId+o3SBGLmYHBaf/Q&#10;WoGqKw4XKihJWSAWa+fdFObmCoX4pZ8t2ph60uFLn9Ufqu0kXN7ACpg/XVXBioYMzBjj9UYj9l5N&#10;/8d+cxsZ39toPn/IwMO/YNecpjDV+a754zMS1l0RVDCUSoSZmbLSCg2ULwQAIGUpyMdX35QefWIy&#10;8woUdS6ppxLLvWNYYaDCiImuCo4CvpxZiub5AfNjFo/HAO+jSG54RtwRp6eXMhMzs2zZg4Htgf/S&#10;tM3luvrrvdtNEYSZ/ddguOKk/HdR3x07NFwL5vLyCgxTwrgBgBGE1+tmppCLXC4y8CkrstcPjDcM&#10;TEwO1BwhYXkM8lavR0rtZa4OZSJJQe+N29jpippu4uFXvl1RlX33qnFsgCHi0ImuHV83sS4Wekxw&#10;yzUF61eXcl7hhnl5CdANh8xWvlFZd8A4h7OUpGkZTUdzQbVyOUXTHNXphFdx1F40S9E03FdzOylO&#10;i6KoZFivkLLSIcftZOOycuSXwrJjX/PJRtO+xu5Nd05BhTU/PtCSgAMbMvDwlIFe89svb59f/Oy6&#10;aSpZfN/7ly4drTm9u63tbPibQD4yAACpDyYWrLkp68bVAuiKYGi6X1B5OJIoKzWykY89Pe6x0Ffu&#10;MHRDiRgiOrmMzl8UMUzJUffS06/OswUKF8y/i/lbW7v31Vd/G87LLrl+xfKV98OgAQAgkGE9nvH6&#10;ZzpjYhkvIOVZqy0Ui+HJbZSgkmGbN8wOaa9sIghBUg1qE4+B9r5z7Mqemvap+ZosjT/cssNMnbxs&#10;Dix3ePfMPI6waLHT6N+qck2JQnLRTsX7OAfKVv7EVrFBdyQDs94pbdnmLOAstZKkVCSKuHIls6FG&#10;Lu8muPnF75ElVfLWYRmkuCmX18M9+Iyps4d7SCkrHbLMy1WxEanMOHlndyMzutBw2risHImGNfVm&#10;phGtw4yfKQVqXCpkV4vx/XRv4KF0YKtlhu2HLn16/MrGH056YGlFzA/A5SJrTu+uq/s6/N/AkD9y&#10;UakS8pEBAEhx5szW33OPLJrEZIBDgNR4DnoDGPo+ZyyffEfnmW8Offr5F3uGXLO8vGLNmvtz86qg&#10;siEAAFHC6oyDCI5IW0QWzLzvhUVIkR5xDGKvbLHbx5pHCq9XPQxpUrGmMuvOZSUoyRTR3EZu++zi&#10;ztoONnBsfoXu4gCOzLElZLbyAbemqjf6b6HywrcufaNP2u/m2+czO53RGKTgYjFFUZxoNVOPaK91&#10;wk2amvBfxxlUKpFBO2dVBIeU4tJhg4E4dKIrL1P+8YGWQClw47JyVk/8+kTHgjJ9aa7ymkodO7pK&#10;85S//OhsnI4KWS0bSTI48Rxhc7qffu/EXw9eenbd9FilLSPPk7q6r8PfJDcHLyhU6rOl8CkNAECK&#10;U5CPP/yQNq+gBxyTASCJjFHdEBRDAABSGVZSvNR0LHgpa9nMVmAESTFlWTk979frpj393glOu98j&#10;hSCiqYs3OpiXq1q/qiywRB2KHXvne4nweL0R6YaleUresUQc0kDZyu+RJRXSLqXQcbuy/jnLFM5S&#10;Zv0oDVJwHCeC9MoPqexprtbwDVJoBzckU5qRJcQ1kR1SKkuHBtob7JYTKBoysFbdgZxsMMX1wPhp&#10;aXocV4jFJoKgfb6Q69RetsQkbfl83f66uq/Dj3mHAEMAAEYQKqX4lpszFi9JA8VwREBR55ovb8Cw&#10;QpT4jExdwMJl1DC2dEOvz9V6pea7Y/vDUQwZHn748fETFoFiCABASjFkoCL6m5tTyQO75xTggaUV&#10;Z1oswfbKJE3zHY5ogtRGNCUKyb3Xl3Dq023efo6TRtrYbkczc6v0vI8SdGwhs5VNPaIdlkkbdEfK&#10;pR3VZAHHIIXnVzztOpUq4p1KBAJcIiEorvD3pqXy6cx/hPMKHrfbQ3OTmrOuWRBNV6R+wjLL3TPz&#10;OK47Fju975/tFYVKVpg+dKIrAYUyeb12N1lqtdnpDBagWVDa8gPLKjaunjSsF48gJRkCDAEAGFmo&#10;lOLnn8+CxOSRhc/n6C2t2C/xWSjUCYV6iXiiSKjHsCIwZhmhjBXdkKZtDQ3ffP75rjCNUNbduf6a&#10;WTeCBQoAjGhKx6nDXNPj8dlsdHC70+lxUp4RdMpIUkR/j/H+xrbn5ExEWc8oPhF8WhLMs+umnWkx&#10;B3uk2J1OiVA4pjxSEHfPzAuOBTt0ouudoExkwtUn3nEMVeLN4NnKa9VnarvnmHpE/Q7V45G4XLg4&#10;8t8a02Uyp8vFqY7X6JMiQ+chN6fsIbyD1RNnRdkVI0g6ZKmpN//98JWDDYZspXTpnGy28bm/nUnY&#10;MfDT0rQymUoiGcQvxeZ0v7TrzHsHL/1m3bSV0/OGfE273XD02I5Ll46G6ZIMAYYAAIxQrDbXU091&#10;rFiuAyOUkY7H081MgVYtGFbITGKRX0OEgMSRwujXDe32K6dqvn5v29Yw11935/opVQsVijwYHAAw&#10;0pk4RRvz13TTPovxauEqmvZZLVfjg2w22uPpS0xLKc0RKYmcrGdkw9IrKYKYGF9UMuztR6qv++Ue&#10;8EjRY4Ln753GSUxGmuD8aRl31+dxpENcnJyeGTJbeY3s8haS61NsJkkZhkVjkJKO4wa7ndO+05E/&#10;RdbK7HSIT6ego8WUKrxsevS9MbR0qFBIRKLkDi1m5JxqsjADpsPmQhY6VTr8vx6egUZXTb35qbdO&#10;xMMRZYj77F6/FInLxYyNgfxSrhjJe/9wcF5FxsbVkwYqesh8htfU/D1k5YqQZOhl+QVKsEgGAGDk&#10;YrW5tu9o/eaf+Oqb0mfPhf4YPdB0MzMRvL5cClZGlEgmjvFoxBYTOfCjRJLvskazbtjReabm1MFd&#10;u3aEuf6S61fMnb8yK3MSvJkBABgIEcbnpHqF82BmMdLu3ufVQJ3RZPp+xkwl5VyMxmZeUNYzG5mo&#10;0/qVRCibGCvydfK3Hqle89svOe1jzSNlQZmeFQ1ZG9xspRTpO4/cPoFwegIzScdl95WAbG4jE3yo&#10;g2crVysb9juzOQYpzNU0ORw6eeRijRzDnEJhsEHKbtv4O9KPD7Khz+t1kVzdML2yKla9Mbh02GGz&#10;6XA8mljLmFDTfdWTOhVEQxamZ2QYxoyN4Dx0lsN1Xajo4eOrJzEfF2z7+br9NTW70cf10Lf1Qn5e&#10;Ll5aoZHhY9r5EACA0aOkXCY2v0Ls/Uy1/n51rzsKMNrgyIgSyQSJeKJUMnEMhiK2GAe8163KUyf3&#10;2ISjceTZOjrqdu58I8yUZB4ohgAAxBm19mqK5SA6o6HdyQvQFv0Ri06/fJBIYTE4MhHFIebkTGT+&#10;KhUZUDAxYuaPz/j9htmPbvmW0z6mPFJ21nbg24XTy7XH641sKUNDN/Fvr36HVJ6n7pucuUv62an2&#10;i3ZqXq7q7lXj0IZHaruT8M4dIFv5GjJ/svzyferap00zOUsJisIxLJrgO2anhNnMadzj0k93ZpVL&#10;B6zNRxEh7jUzZlwbw94YRDpk6Cb8ml3SpUNEiULCioYWO51c0RDBT0vTyeVqqXSQtGVeb9FDZtq4&#10;etL6hfmtLYdqTu8Os4ihVCIsK9PkFuKQkgwAwOijvsH65C+sixdl3rpWAkUPRzcUdY6ZLNYPeL0a&#10;olw6C+IQU4FRpRva7VdaWmpfffW34W8CiiEAAKkDG8kYUlt0EB7S7mZVRZQTnYBsaOaplZkCwxK1&#10;2kKlQo9iElGCM1y7MLljfvGh810hPVLEFKWUSMZCJ7xz7EpwHcOaXunwz0/4M5HWry5lJs4KH3zT&#10;kvhDHcir5A172fPSjnyx8WZJ+4dUNmephSSz1JH/LCzk80OmSG+3lT8uNor57pBb0Q7u+gKxWDVl&#10;UWw7ZKRIh/MrdKxoyIyrpIuGgRdXp1JJadpKkgO5LasE7rpvP3738nmR0BXOa2boZeNK1eB5AgDA&#10;qOfL/Z0HvxGsuSkLih6OEZCGyMzw+TKZbKZUPFEmm8XMQ88k4QZmdJzGcFOSeVDHEACAkYYMF6LU&#10;s2BVMVBSRB4vbrfPTtBxOhKjsZmZAmMSUTQikhEhIHFwBvJIMZEkJhAkvUhcEqnpJn704jdP311V&#10;mMMd4c+/eRpVrEs86TIZzdBf4jH1iHZaJt+Rfny56tx+l45jkEJ5vbboVGCNVOpyuTg7bfRJjxBF&#10;AxmkuEhu9cP0CXH5TRRJh/+99dt9zSEiQFNEOuwwUxY7bbW7f/1OTWDycoogxzBmMjocDooKLHqY&#10;gzmvy24sz2wI50WEQn5mhmzCJC2kJAMAMHagXd7tO1q/2i+9/TZ9NEUPf/GU6Y2tm5J5InSz1zdY&#10;ARafz0G7m4LbPR6Dx9M91q470xsE8Q9m4hlfl8lmyqUzQUBMMCP7ViOClGQeKIYAAIw6BpIUkYsL&#10;0hNR1nOc4hNRNGId7+vvlQW9Tluo1RXl5lQi9xW4RiyDeKQY7PZstVrIH7tphjXdxMOvfLugTH/D&#10;vDxUBvHTQ617j7YebrUm65CQV0mHzcZpZxOH18kvvkJUcJZaHQ5cLI7SICV4p1vIkpAGKZSd6PFx&#10;87Y0FZPj1CcKhfiZx66V/+83H9W1By/tJgjK44mmyGP07Gvs3verr1N8tGtlMo1UaiRJ0uWqws2T&#10;ta1hKoZSiTA3Fy+boIGUZAAAxiZdBufmV1qiKXrYcplIbvm8GO7drzDSTYH/ugL+pVxXE4YCTY1H&#10;Lg7HMWaKWEBk+gfeQREwUnVDk+nCpUunt279w7C2Wr167dy5PwDFEACAMQLr4sLRE5FPi6HLgYIT&#10;bfarNtAxAaU2X2o6doz3Nx7IiEEM4pHSbbNFk+I6CjDQ3p21HYHWKElHIhKFzFZ+3TrxebFxlqKp&#10;2pVxwK3hXMooa1YyO5VjGElzo4aRKwunkQ5KambQzlkV127Z+MBc3gDSIdNXPT09ehyHD+HB4ael&#10;zdWTE1UntfLL4ayvwLHiYlVRmRK6DgAAAIoe9n2V8GUcFVImmzn4Jr1Bi/7iuazIyMxQrrM03TyC&#10;ThwJiHzz28z5KuQLw5RiQ0ZxchBjRfD+4jDydMOOzjPfHPr08y/2DGur1avXVk1ZAHUMAQAAeN/7&#10;tHDqYRnanSgyEVVOjKEZyyAy4phNap4/PuPX66Y9/d4JTjvl9XaTZHJjtYBgBspW3mudcJOm5kZl&#10;3QHjHM4mJE0r3O5oEs81cjnldgfmsfICXFkCG10E98dzdcUEIa6Jd7cMIh2SLn9tPpAOB6FU2lmp&#10;PpUuC6twJxQxBAAACAkUPYwAoVDPTGieFRkp6mx7569H3LmwKcwYVqhSrMTxhdG/JmRAhxgzI+hY&#10;vT7XF5+/MawihjzISgYAAAiP4MhEVDbR0OVACc6xUhI5MqJWW4iqIqLyiGOnwx9YWnHofNeeE62c&#10;doKiJEJhivjSAn13kAMkDn9IZU9zteaLjXdKW7Y5CzhLTQSRo4lcvBP2hhAEG6QgVxbWIMVNubwe&#10;ru+HpqwyMT0zuHSY5vWmK5UR52uPVqYpLlZojktFlnBWzs3BoYghAADAIMSq6CEwsocB3Wwwvm40&#10;v61UrFQpV4H2F1tG0l3IyRO7hyUalpdX3H7Hw0pllkyqgysNAAAwXFDZxMAIF1ZJtNlop9MTE+sV&#10;5LJSV+cvRoZhMqQhjpGM5s0bZv/wxS+DPVLMJCkUCiUC+OU8hRgocfhNS+Xj+m8WKi/sobI5Bim0&#10;z2d0OLSyyO9cmW3dNE15+8mCzF6+tpUuU/dVKaLsIXw/dNdcn7Ce2fjA3MJPzv3uqxBVkwiPx2O1&#10;ZqhUIB0iwlcMhUJ+UaGyaJwKFEMAAIBwiL7oIRDVbZK4QqO+zeMxuD0GynW2t+piErKemf1arB/Y&#10;7J+CehhbRtK9yHCrGdbX1/36V4+x/y65foU+MwfNF+SXs+0aTTaaEQgloDACAAAMQrCSaDHSFhPl&#10;cLhNJir6Ook07WhrO8tMnFDE3JxKhUI/+vpTJcOQdMjxSPH29FjsdlBbUg0tjlNmMydxuNEnRSre&#10;g6qzz1mmcDZxUJRKIonG60YtlwfHOW5zFkyQduWLjbxQTsrSjCxJdmkie+a2GyfgUuFvdp8OXkR5&#10;vV1Wq1qhGOM6ePiKIdieAAAARAwqejhntv6ee2RjuehhEkjjB1cYpOlmj8fgopso19lEOkEj9ZAg&#10;v9aobo1J5jIwknTD8vKKYfkmcwi/JCKrMGZmFogxCY5rcDwDw6AKNQAAABe1FkPVEhGBAYl2Ox2l&#10;d3NgKCKqipjTWxJxNKUzTyrQPHvn9Ee3fMtpp7xeI0lCebiUAmUrG+x2Tvs2Z8FUWVu5tKOaLAg2&#10;SLHY7TqVKuKd+uMcxWJULjCQD60Vj2Uc9rjdHpprzK2dNDXxnbNqSRnzdyDp0GC16lWqsSkdDksx&#10;LCvTgO0JAABAlPzzW8Pxk4JlSzLvWBda7ijIh/urRIBhhczEllBE1s803exyN1HU2XjLiMzrG4yv&#10;28mvtZp7mcOAyxENI0k3nDFzfjS6YfiEVBjBWQUAAGBIOAGJbtpnMbpiIiOyVRF770JkuTkTR42G&#10;eMf84jMt5j/uq+e0ky6XWChUSiQwrlIHOYY5QmUrv2epfCzj8Fr1mQOGas4iwuOR0jSzYcQ71crl&#10;FE1z4hxPeBUHbGXTPEeD19fPvC4pnbNqSVmWTv5/3ztmdXPf6czB+6VDhSIao5gRByiGAAAAyYJ2&#10;ef/f39sOHBDfc3cmFD1MEZD1MxuWiGREJ3UWWTkz/8ZjpxR1rrX9SbXqFo36VrgEETOSdMPS0ilJ&#10;3PuuXTuY6en/+B1IhwAAAGEiwvj6bGlIGdFkpiJOaqZpx6WmY6NJQ3x23fRD57uCCx2aSBITiaDQ&#10;YUoR0uYYqXjVyoYN8otbyBLOJlaSlIpEEWedMxsyO+0muHUMdzryi7wnODocplThZdOT1TnTp+Zs&#10;ks/7+Z8Ph5QOO2w2HY6PBc+f8BXDdI2kYnw6GCUDAADEA6vNtfmVll0f4w8/pIWih6kGR0ak6WaK&#10;Out0nWX+xlxDtFg/cDiPZer/Fbo9MkaSbpiVOelnP3/m5U3PJPEYak4dzFoGuiEAAEAkcGREB+Ex&#10;G13G7j4ZMbLXHDUa4tuPVF/3yz2cQocMJpstS62GQocpdOfE56tkMhNJctp3OvKnyFqrlQ37ndmN&#10;vn4yEO3zmZ3OaAxScLGYoijC00+MM/WIPuuZcwPv48DG9Mqq5PZPRZlu04/m/fLtby+TruCl3QTh&#10;8nqj6YoUBxRDAACAVKPlMvHkLwgoepjioKRmJW8l73sNkXQepahzsXp95jVb258UClO3YPrBBsNA&#10;iybnaZJ89zuyBlNZafXvN+92kAazuZ3512C44qT8UrSDtA/LajlimL0sW/YgvKsBAACiByU15xb2&#10;mSYb2p0Ws8todEac0czREIuLZ40gT5V8nXzzhtn3/uEg96R8PiNB6BUKGDCpg1IioV2uYBVvh2XS&#10;Bt2R+9S1T5tmcjaxO51ysTia0FEcxwkLV406IMidJizK8TSxLRkzrk16/1SU6f70+JKNL+8/bSaD&#10;lzJd4fP5Rl/tTlAMAQAAUpkhix4CqUOfhqhc6fM5HI6jTtdZh+NY9EGIyXJ5jh6VNMllXkbee0bA&#10;FysUeczEzBcUzGLbWTnPbr/C/HW7KYIw877XFhMmLAIAAACRgUIRy3hqXkAootFI2Qk6glejaUdd&#10;3desp0pxkV9DZCaxWJ6yPbByet7G1ZNe2nWG007StJiioNBhShFaxXNrriHzJ8svrxAb9ri4ajVB&#10;EJJoDFIEAoVUanc6Oe3vShb/jPiLiOd/mwjEYtWURanQPwqF+F/vn/7Un4+020JEHZIuV5rXm65U&#10;jo5AWlAMAQAARgRs0UOnywO9MSLg82U4vtDviazlORzHSOfRmAiIwHAZhVo7khT9N2fp/r+stoiE&#10;RaQqonBFF011drYwM4bOtjDdltev/ykMGgAAgHgTHIpo6HKYTFRk6cx2u6Hm9G5mYuaRelhcNCs1&#10;E5k3rp506HzX4bouTjsUOkw1BlLx3rCXPS/tWKU8f6Rbberp9+Mw4fFIXK5oqvtppFKXy0X7+hUG&#10;NaaJT4tnTHd947/zmZBCpVTsHsdDt5f+fe/lb1tswUuZ3vBYrTqlUsjnj9xhAIohAADAiMMa6gct&#10;YAQ8HchmMpNP449AtNo/jV/kIJ8vh97mMOZidJGqyGqLZaV97Wtu3sj89fpcDtKfVY6ExZbLfnfL&#10;97ZtZf6Wl1csWbJ6/IRFMGgAAAASTGBVxCg1xLa2s8x07NjfUjaR+a1HFszY+AkUOkx9tDJZsIpn&#10;6hHttEy+I/34OvnFV4gKziZmkpRhWDQGKek43mHjynDvY1MLvM06T5t+2rwU6Rw7RZmd/nfoDcvz&#10;xftb/9EQQlmjvN52i0WvUo1EQbxU2jkl/YhS0jnkmqAYAgAAAECsYCMQabrZat9NEP+I+S4wrBD6&#10;mQPk9vcDJUHzvhcWUazigvl3Qc8AAACkCIEaosVIGzodnZ1kBBpiYCKzVltYXDwrRYIQVTLsrUeq&#10;1/z2S+4B+3xGkhx9VeFGNCFVvD0u/XyXdpaiaZoz54S3X2FKb0+PyeHQySP/HVsiEskxjKS5yftf&#10;YPNv9+xQVVWnSM9cNprZ+SWLcjO10h3/bA9ejekQg9WqkctHkMlyqbSzUn0qXdYy9PAAxRAAAAAA&#10;4gOGFeq1D2k191ptu232TyF5Oa6AbggAAACMVNRajJnKJvpLIkYTh2g0NjNTYBBicdGsJFZCnD8+&#10;I3ShQ5dLKhKNIIVl1CNhLodEQlDcIfempfJx/Tc3q+pOBBmkMCvjGMZsGPFOtThOmc3enn6OkCcE&#10;uqnZN1TjmlToFo/Pa7DbA1smT04vz9Zs3tMQHEjLnMhIMVkGxRAAAAAAUgo+X6ZR36pSrjJb/maz&#10;fwodEidANwQAAABGA5xc5vY2IgJPFTYI8Svea0g9LC6elZQs5oEKHZpJUigUQqHD1CFdJnO6XBwV&#10;r9EnPUIUVSsbbpa0f0hlczaxkGSWWh35LXJamkYu7yYITvsbRMHKNltujjLpfdJlIzz9O4Rh/bLx&#10;10/J/+GLXwZLh7zvTZa1cnlqZuJnCokqTU2e8uzQ4wEUQwAAAABILHy+TJt+j0q50mB8jaLOQYfE&#10;HNANAQAAgNEGqyG6aV9Xu7OjnTCZKCc1PO88VAnx0OG3kB0zikNM5FmELHTo7emx2O0ZKhUUOkyV&#10;W9XemoOc8DqGLWRJhaRruercfpeOY5BCeb226AyycbGYoijCwx3SL//l6EuPX5/0Prlo6Oa05Cjl&#10;CjE2qQD77qUbf/jil7WXQ5Q7JF0ur8eTak4poBgCAAAAwIhAKNRnZ/6Hw3HMYHwN0pZjfLsLXQAA&#10;AACMVkQYP7dQPmNO5tJVhUuWFU4Yr83QDzsXEtkx7/r4P7dsvf/Lr169dOmoy0Um4OBVMmzzhtnB&#10;7ZTXa3LAzVAKIccwZgpuf89SKea771c0BC+yOhye/oYqw0WtUAQ3Hu6wvv9Jkn9mN5MOV5CgWZGh&#10;YUf1R08sXjEtN+S2yCmF+ZsKl1XJp+drapblfzSkaJiukcydm7PgulwQDQEAAAAguchkM3OzXwBv&#10;k9gC8YYAAADA2LiNwIVlE9VlvL5iiBEkMgdaqRQXzSzqtVKJaxnEldPzfrK0/I/76jntBEVJe/0x&#10;4LKmCBq5nHK7uTUHvYqj9qJZiqZqZ/YBd7/Kg8yaZpLUh9L+wr2B4/MVUqnd6eS0v3mwYeWiEoUi&#10;aUUw2y1WTotCLKrQXz19lQx7+5Hq//ve8eCBjXqmw2LR4Xhy63jO19SUqGuE/CGKpUolwomVutxC&#10;ObwFAAAAACBFQIGHRvNb8XBbHqNdCl0AAAAAjDXYRGYH4elqd3R0kF2G4UXwXWo6xkwJKIP47Lrp&#10;h853Bed1mghCrFanVEbnmL6d4vNVMpmJ5AaivkeWVEi7blTWHTDO4SwiaVpG09GIv1qZzE3TnOg8&#10;q9vz31u/feaxa5PSD07a3R5kMB0oGgYO7EkFmke3fBvydboJwul2J8U9fJriYoXmuFRkGXw1qURY&#10;VqYpKlPC4AcAAACAVIPPl+m1DzEzI0U6PH1lwBsPpVSU9MMD3RAAAAAYu8hwIfPkjx7+W5tJY7ej&#10;s9MxrEqIbBlErbZwfMWieAiIbz9Sfd0v94QsdKhTqeAipghKicRBURwVz9Qj2m0bf0f68Q3yi1vI&#10;Es4mVpKUikTRlKpUy+UdQTrdvubuxYebr52XhAyd4GBDXkCSMoc75hdPylcP5JSCyh0mspRnqbRz&#10;SvoRpaRz8NVAMQQAAACAEcEIkg6tzgFToKry1Ek/PIhTAAAAAAA/uYXyqhn6pasKr12YP2G8VoEP&#10;LxDMaGw+dPitv7z70/d3PF5Ts9tuN8TqwPJ18mfvnB7cTng8Rih0mEqErDm4x6Wvd2ZdgzeN43Nz&#10;immfL8pSlRKRCA/lr/Lqp2fsdlfie6DNytUNi9KVCvGAb6VJBZqv/nNFZX7oG2LK6201mxNQ7rAA&#10;M63O/qw655PBRUOhkF86Tr1oST6IhgAAAAAwItBq7oVah9EDuiEAAAAA9EOtxcomqq9blr/yB8VV&#10;k/UZeplQOIyvy3gIiHfML759fnFwu93pTBETCYBBIhCEVPG228qZv7crQ5TzI4JCFIdLukyGBaWr&#10;XyZdb39Yk+DT77LZgx1RqrJ1g2+Vr5N/9MTiGzNCdwIqd0i44qWBZgqJpfrD1+d/mC5rGWQ1pBgu&#10;XVE4cYpWhMHNMwAAAACMDNiE5TARCnXQaSG6BboAAAAAAEIiwviBWcwd7URnl8PjCdcGFwmIsUph&#10;fnbdtEPnu64YuRX0TDZbllqdsFxOYHDSZTKaob9XcqNPeoQoqlY2rHDm7HFxx4DFbmeuYOQ3xGlp&#10;KrncYLdz2redujz3ZO70qTkJO/d2awhHlBzl0J4h0h76uvZ3Vd7xf8GuCbkCKneolctjOM6VfHqy&#10;6nw45ie5OfiESVoZDvfMwJjATfssRhf0AwAAowYMK1SrbrFYPwhnZaFQDz0WolugCwAAAABgSHIL&#10;5cg11WKkW5qswyqDGBMBsdeFdsHiZ/Zy2mmfz0gQ0TjzAjFkIBVvC1lSIelapTx/pFtt6ulX35ry&#10;em0UpQwVqBgmcgxzYBhJcyvj/PaDE38ap02Mt7KTdncTXFF7cnZYP9o3Hz1AO8hJvO8e9RrflSw2&#10;poU4YFTuUKdUxsQLaJri4iTd4SEVw3SNZPqsTFAMgZEF8yXlpvsCeC1ml9vdN+/x+Gy2fp8STqdn&#10;WPV8AQAARigq5Sqb/VOfD8r7RAjcCQEAAADAMFBrMbVWz/teQDQaKTtBh7ltoIBYVbWquGiWWCwP&#10;f9eTCjS/Xjft6fdOcNqjd+YFYshAKt4ntooNuiPr5BdfISo4i6wOhwzDolHEtDhOmc3enp7ARpSt&#10;/C/3zkrAWV82mYIbQzopB3Pi/TfQTI6n6SeOj/dIrjshCCE4Ul5vu8WSjuPRDPVSaedM/YEh7ZLT&#10;NZKK8enIdR0AUgRWEGTVQJuNRiHwoAACAAAMAp8vk8lmjhRv5RQEdEMAAAAAiARWQHQQntYW4soV&#10;+7AExK++eu0r3mvFRTOLimeFLyA+sLTi0+Oth+u6OO0mghCr1TEJxQKiRyOXU8xjfX8V74BbU2Uv&#10;mqVomubMOeHtFx/KrGkmyWiCRvlpaek4HjJbeUlDcUVZ3Iv1BDspV+g1YqFgyA0b9n9KGK66kah8&#10;3Tc7dmUolu3l5QevzHQUc45OiUQnlw/3CDOFxBz94cHrGPJ67ZInVupQcDEAJBikDJKE2+Hwm4yb&#10;TP6QWNAEAQAAokcunRWWbtjjg74KBnRDAACAEHS0CQ4fdo4rlUyZCl8ewBDIcGHZRDUzRSAgXmo6&#10;xkxf8V6rqFhYXDSruHjo0LC3HlkwY+MnNqc7sNHb02Ox23UqFVyOlLi74vNVMpmJ5ObtvkeWVMlb&#10;16lrTxjncBZFHzTKbOsUCokgZ5JNf/3u9aeXx/V82yxWT3+RlBd2knLDV3s4LSIevVZ3Ks/p3kKW&#10;hNyEoCiP2x1+zrKST8/WHstTnh3iqgn5ZaUa5o0MAxiIK6iAIE37rBaKzR02mSnoGQAAgDjerstm&#10;hrOarwc+jUPdI0EXAAAAcB9K7fw7b99RX19XXl7x5YGboUOAcO9IohAQ6+q+ZiYMkxUXz6qavEqn&#10;KxpoTZUM27xh9r1/OMgdtx5PmsOhlcngQqQCSonEEeSVbOoR7bRMviP9+J3Slm3OAs4mVpKUikTR&#10;WH+oFQqnxcKJczxtJt/cfvK+26fG72Q7LNy0X61copMPXbGxvfZkx9mTnEaRVCwUiapFDUVi0ybz&#10;FE45SET4OcvzNTXhmJ+UjlOXTdCAVzIQW1D8oKHXUMtmo91uX/hfCgAAAEBswbBCmm4efJ2eHjd0&#10;VDCgGwIAAHBpbOTV19cxM+gvw6mT/MYLQzx2ZmVh8xZwGwk7n3k1tG3VFFlpGaQajQkiFhBp2oEE&#10;RIVCX1GxcHzFopAOKiun5/1kafkf99Vz2u1Op1wslggEcAlSAbVCESyo7XHp57u0C5UXvnXpG339&#10;yufRPp/J4YggA/fqXd0AcY5/+vbi3Ol5ccpWtlOU2cn9eKwKL9iw9u87ghvx9HQ0ky82PqP75xum&#10;qZy0bsSQOcuV8suTtd8OWcoQ7JKBmMB82pN2NysRjr7kYq12wHKf+owCqRh+sgIAINURCIbOy+np&#10;Sc6vOzVXBrxdUUmTX8EcbpIAAAAG5LbbVzN/9+7xbbj3+XDWv9L5FDvf0SZ45+22323aGrjClree&#10;WL4C4lnGEIECYlOjtbWVCPNJ0m43HDv2N2YayEFl4+pJh8531V7m3mSYbLYstTqamDUgVkgEAlwi&#10;ISiupvampfLpzH/cp6592sRNmWFWxjFMIhJFvFOlREK7XInMVr5sNHNaMIEgHEcUwtDRcpQbNivE&#10;RGL5VXlCKXQ8lnH4M8uE4PBMtsc8brdaoQiUywsw0zTtsSFLGYL5CRAxFiNNEm6rhUISYcpGEWKY&#10;LDB6XaHQc36Lys2pDN6K+d4JLrn70INw2QEAGNkIBOqYrBMPrI4B4xwn5yW/ggrohgAAAFxIoq+m&#10;Ia703zcr8LCUvsd+vp6d37vH9+JvPmTDFRHl5RVTqkQ8nhd6eAwiw4UTp2iZCbkwd3Y6whQQWQcV&#10;TgFElK28+Jm9nPWjj1kDYki6TOZ0uTiJw40+6QFbWbWyYYXYsMfFjSe1kGSWOqobxERmK3t83mAz&#10;loqM4dko93unaELEAixTn8sWEW/YywbKWTZYrRq5HBeLwyxlCOYnwLBwEB6z0ZVSKmFOzkTOjE5b&#10;hMQ+jlYIAAAAIBTyhUNao6SliaCjggHdEAAAgEtHR98jQXaWkvk7bwHv/Q+eYhtPnmzf+qdtaH79&#10;j++85dZiZiYzIy0rp08QvNAg3HDvr9F8eXnF2tuvKylVZWUJey1WQDQc67AuzBYj3dhg7uxNagtn&#10;QzZ/ubhoVlXVKmZmUoFm4+pJL+06w1mToCipSBSNwwYQKwayOd7pyJ8ia12jPn2kq5qjhVFerzG6&#10;OpWJzFZuM4dwRKnK1g65IU0SDfu5jigCoUCmUoZcf7L88pMi23uWyoFylrsJ4lr1mYmZ50SCwWpK&#10;gPkJEA6GdqfF7LLZXE6nJymOJSgwUIzJtL0KIKsJsiohAAAAMFw8HsPQd258+E0x1O3TaD2xhgsH&#10;Xt70jP+pfv1PJ0yslkl1cLEBABgumVl93xy9hQv7VJhxpcVb/9S3wi23FgcbLr+6uQbN3Hb76sef&#10;nPy9ngi+zEA/1FpshjaTmWltJjvaidY2Ipyt7HZDzendzITylx9dMevQ+a7DdV2c1UwEIdVoIFs5&#10;FQhpc2zqEe2wTNqgO7JOfvEVooJ7laOuU5mwbOUWEzdJOUcpV4iH1qxDVjaUqgcrPJSBWR/UHd1r&#10;nfAhlc1ZVIWbl5ccxyW2wXdaVKicMFkL5idAMEgoNBqdiQwnDBQHxZgcBQmCMggAABAn3GHohpio&#10;EDoqmNGpGzqc3Ug0ZNi69Q/l5fseeugFDFPC9QYAIHoyMwbTYg4f5L2/fRczs3zFkl/9ZhKugABD&#10;YAhyC+XMVEXrW5v9Diphxraw+cs/mrzAa5B8a+oXhOXt6TESBPNICt2bCqgVCsLM1dcOuDXVzqxZ&#10;iqZqVwYzz1lKEIREpYpyp/HOVjaTDleQNDk5UkeUNH6aTDXEiBXz3TdpasY7u163TkRxmjmYc3VR&#10;TZa6bfAN0zWS6bMywfwEYGEjCm02OgFCYU7OxEB9MLjOIAAAAACkLKPz/qnbcCnw3/r6uuaWU2Wl&#10;1XC9AQAIh8YL5kGWsvnIvFAa4qmTfdvetm4GroAYQyBcRBi/qEzJTMiCuanJGmYBxMstB1eV8q6l&#10;lHVdxcdM2W10n8kDSdNSlwsXi6Fvk3+zxecrpFK708lp324rf1xsXKs+c8DAvUUhPB6MopQSSTQ7&#10;lUkkwTuNYbZyu8XKaVGIRcXpQ/9M27D/U9rBTaOWqZT88EIsy6Udz4hs71onF2R0TsoZupTh1GkZ&#10;YH4CMB+tXe0OJBTGNfWYlQgVCr1SkRHSYwQAAAAARtKt7Bg5z87OlrJSuNwAAISFneh7ohhXKhlu&#10;fvGO7V+hGbBAASKDtWBGDipXWolwCiDiEtuMglPM1GwsajRnfW3yJ3KaSVIiEgn5kJWZfLQymcvl&#10;on39LmWjT/q1rXSZ+twG+cUtZAlnE6vDIcOwaC4fs1M3TVNe7gdRTLKVnbS73cbNCw7HRpk3gCOK&#10;VD2MvBCByv6Dwv0+fs9g97hQynDMY2h3GrocSCgMs5LssEAOJDqtXyKEKEIAAABgtDI6dUMc5962&#10;fnfs0IL5d8H1BgAgtgTGHiKQh3J5eUXwIgAYFshBpWqGvrWZvNxi6zI4wtmqUNvETNUecV3XuENd&#10;BRa7QBdduisQK9JxvCNIaNvmLJgqa6tWNhyn9BzHD29Pj8Vu10WdrdxhsXAaY5KtHBxsyAvPSbn5&#10;yAHC0MlplCjkQlFYDoa02GdWeijJENG4UMpwbOKmfV3tTquFMpmoeAQVCsSlOm2hWKKdNmkCBBIC&#10;AAAAY4TRqRuKRJKQT/IAAADh0Hq5K7INT53se0ZdsHAGdCMQK1ABROZ5uOmC7coVeziluERC16Sc&#10;s8xkIvT15vGtnmKbD+yVk4yk1+SapLmX7xNbhd8gRV17wjiHs4jweKQ0HY01tkQgSJfL4+Gt3Gbl&#10;6oYVek14jih/C26Ua4aOCvSl9Zg0HlLuHnw1KGU41kBaobHbYTRSsa1USFBKI5neTao6nYrLTpyt&#10;AsHsk8erYaZ5FRnMP5MK1CoZlq+T52v9MuL88RlwUQAAAIBh0WIiB1qkkomSfnhj6KbK63MJ+FDm&#10;CQCAodm75/NoHzZsJHQjEFtEGD+C/OV03DAHN7i9RzvJkjrr+BY6HXoyiWjkcsrt5niVHHBrriHz&#10;J8sv3ylt2eYs4GwSvTV2PLyV2yzWYEeUcIINTU0XOs6e5I5tqVgkGeIOjVB4zUp68MRkqUQ4sVKX&#10;WwghYKOfOGmFJkLfTaoNDmWHU9HsxK3eIR7VkJd9sKM9Q55WXqC7KiMqZaJJ+f43CNOYr4MhCgAA&#10;APSjxTjgw2NVXvIrrowh3dBBGhSKPBiRAACET0jr5AsNA35yjhvXN/P+9l2PPzkZUpWBeMDmLzc1&#10;2Do6yHDyl0UCKk95lplsVOZFW2UjmQfhh8m56+LzVTJZcPTfG/ay56UdC5UXvnXpG339HDxiYo0d&#10;c2/l4NxnhViUoxxaDQm2UWbA0weTs2mxz5BOe4SDqeRCIb+oUDlxihbG2OgG1Svs7HTESitEEYVX&#10;bNoOp6KG0MTwUK8YySu9D4EhVUVegLColIkmF/TtGgUw8nqjSyYVaOCKAwAAAClxBzuyDtfrc7Ve&#10;qWFmdPpimXR4yTVuNwXXGwCAYfH/2TsT+KbKdP+naZJm707ThZbSNKWltBWoaKkrSDvqTAdkUeYK&#10;Tr3M4Ibj9a/IIM4Mi4r3qiOud7h2RGdQBHFQwRZxXKbFUUTaspS26b6la9rsTdPwf5O3vD09Wbsn&#10;6fP9nE95c/Ke7T0n4Zxfnt/z2BX+tFqHj69CkTkndzkOV3zv3dYnnoqAMQQmD1J/ub6mr6VF4079&#10;ZTG3PYPbnmrmKjQQfjg9iLlcncFAq1XSc4WNC6TcF3RxR89i+neO0cgfn1vZkV45Nrey3jig1NPv&#10;qRbPdv11p+lUVH9dSJvpz/IPENgvdmzyv6IMGtDxXVzY0VHCtIXhkMrQV+ntNna267q79W7meHWO&#10;ycxVGWa1a2e1asNqtKLeAaaf2WwbjTsFEGERUXiuxUlPojBiqD5oEsZIwKbpydjhc+fOwdUI+BLX&#10;XHMNDAIAuHsn6V27W1v7w59f/iN5mZe3Jjo6PjQsWsAPIrGEg+Z+pbLNdtnunraQEKipDADA5LL2&#10;nkVYN3zl5QK1Zn1ubtzcuf6SqMGyUmZZqVou70JzsrJhnIAJgy9kpaSHoqmzTd/YoGpp1bj+v585&#10;IvzwnHouDONUEiQQOCqQMjuge4rdyn949/v9Ty4XiUaRyKWus4s2h+PvPyfYdTXki5/ZCTYUhNoP&#10;quoLNKmEA86NySIhJ3VBWHgkDy4qHwPbkBVtmp4egzu/iDhHPxDUrY/qMki6+4OoP5awuYxwa0b0&#10;MIueaDYNDhoHBwfM5isDlhya0yIm2oWqMDIcBzA6/OzzHIYujkpk/Mf/PAxXJuBLlPyrBAZhpmHo&#10;v+SyD5sVDgNl59nBu3a3vb2R+vLYscPuL3vi+Pvr7g4OD0+ELIcAAEweObnM7Ts279n1FmoX7D9Y&#10;sN+2y/qs7DgYKGDCCY/koSnNGO5++ZSh8MOw002q5Iq+pHaTEIZxCrAUSAkI0Pb30+a/3zv/0Vmn&#10;bxLLCw2RPVdGJFabPLdyk7b/3aPlD23MdHMlJvNgp1pNmxkfIg5g+Ttf0KjVVH/9OW2mH9OPH0gX&#10;HN00Jqckh85JFMPl5Evg0ML2du34SyGrDBHdhqhOw6wmfYQ7aRlYTCaauJSi3mEMhvnKFaPJhD4y&#10;BpPpCvrgmCz/0IKFPR+VfsCR1DgqCTIRLlAAAGYALNAN7Q7LzDnUqqrKXTsfRY3ly3Jj46Th4TGc&#10;AJ6Ab8kxCXkPAQAgKFpdPP3WyIeeZ9auy7Pb4YGHgyMkj7/2yme2ldxzcpdv2JiAHr1hnIFJglo+&#10;paZa2d6hc1k+hcU0xAedQ1OPLrZRI4XwwykgVCAwGI00Ce/coOiMek6mqH5z4KVne9Npi2iNRtHA&#10;AFXXGPU9nwO38sGyputLoxdmRLmzkg6VxnSFHgO4eLbrArLVX39u1NE3TRMN3TQmz4kTJy8IBWOy&#10;z9DSoJ2Q0EL0DdZlkLQbIuT6iUkSwvTzw584WpYArCdaPpXWyEQcn2g0m9EEZxMAAADwPbxMN4yd&#10;LRv/Sk59WWh3/vJlueERUcFBYSJRCJYU+YJwCE4EgJlGe8fQI7FMlmS3Q4KUixuRUQ5z8K9azVmR&#10;s7qkxFQr72tTWAyJUmlYhISXk8sE0RCYGoJCOYtCIwaM5pYGTV1dnzvhhyH8RjQlBf/UpJbJ1XMh&#10;/HDyYPr52ZXw3tfOTRO0yHiKXH1UYT/9F+8ejUYSFDQZbuUXPjq3PyHUHbdyrY1JOUosEAW4juey&#10;rYjix/QThAyVCDT7XVGLB3vFLq7SkGBualo4urbhEvJ28FeTm5WdnDDhWqGbn1+sJ9rq+ERSHLI8&#10;W6MUGaAqAgAAAN6Ml+mGEknS5K3crp4okyUtWrwUi4nBwZGgJAKAz5OeYcaK4dbtv3TU4dm9W775&#10;6tLSbGdPKdYaKUwGI9g6AcD0wOYwcfkU98MPeexeWcgPaGrXSKtUyVP5ND6jsCvh9VxhF/Ul/yK4&#10;/Gesf58xrOj2G3HLYTSbe3S6MIFgPNt15FZ+seD7Pz56o/NllVpdv43mmDTL9Vdc9defazrbaTMD&#10;BHymvyW+28Azdwe5MCbzuKyU+WHRcQK4crwancbU0qhxM5GCI0brQZ5KnEiKGJxIETf6rQ2z2ex3&#10;1fvsOUkVAQAAAIDgZbohhyPe8cwr2G48NVRVVdKchvn5D0fHJEoiUuHqAQBf5Z//WuW8w4b7BBvu&#10;y4SBAryIMYQfRgjlaFo8EFTTl1qpnutpz+c+gFAo1PT20mYeNURe098i0l76leGf+3g/o72rMRiE&#10;HM443cohQqFtjsIvGrpuPd1wY5az7KuNPT20OaIAdlK4a93w4vEjdg4/LMTkf6U7ZMDAdaGVSBOC&#10;EpODwZjsvfR2Gxvr+7q7DWOWC03WKvBdBkmrfpZXh0LjRIpDHwGbd8OGj3dIXmRQFEYECWDEQBgj&#10;AACAb1Bc3enorQUx0x+D4n35DSURqS+//LFCUdnYVHX2xxLb9GGTTUHBawxrKedly38NsYcAAACA&#10;F0ELP3Sn+DKP3ZsaVjwv5Ef00F7ZN49ajRQYJ1x/fyGXqzHQS0Ac7Uu6W/tjlLl+han2JIuebnL8&#10;bmUBh6PjcLRGuoLz/LGyaxZIHLmV9caBLg3dWO2OaNh2sbSnXk6byQnka8P8esV658uGBHMXZkbw&#10;hSy4WrwRLBe2t+vGnLiwRxfbqott18+aad88VHmRYU9hdITBmmyRClV2pHHFpjMAAADgaQTy2NO+&#10;D155H8bhiGNjM9GUvfRX6KVO3zVoMiiVbf1GQ3t749SIiceOHQ4NjVi0aCVcxwAAAIDXgcMPcfHl&#10;+vo+l0/1LKYhRnwJTVA7ZWIJ4fP1/f22BVIWslITjedv0H91Vhg9GW7lUKEQ3TnRtts3YNr5ZvF/&#10;P7nM7iJtvX22MxdEhrnclm1mwyvBbN2CwEG2s9AzMCZ7L+OUC/UDQd36qFbdbA+0IXs+doORIVUt&#10;AAAAMB584fdbPs9yz4prIidKGdlLf9XTI//xx1PHjh2e1O3qDTq4gAAAAADvhRRf7mzTNzao3Ak/&#10;hNopEwvTzy9YIOjS0Ef+H5zM3xkr2QzjJLmV0XbDRSKFSkWbf1rR9+GnFWt/nmy7SJONSTkpPDiA&#10;5aIAvaZT0XimmLy8wvUfTBQNzuKipsN7UxZzTpwYjMlexzjlQpUhQqGLa9LGQFAzAAAAAHgUvun7&#10;CAmRLl7MsKsbbt36fGxsJg5RxHOUyjbcaGyqQn/fP1gAlwUAAAAwowiP5KEpWRNaX9PX0qJx+dhP&#10;aqc0q1LqNAlQO2U8CAMCDAYDrR5Ct1/AGW5WluHrKNNkuZW5bLZdl/Q7xdXp88KTEkcEErb29pmu&#10;0JU+dyqinPvwr6RtniMwxQqvsJ3t86xwfto14WBM9iJ0GpO8UjlmubBdI23TxdZoYyC0EAAAAJhU&#10;jMYGl32YTDA62MFnb8tCQqR25wcHRzKuhihicKAiIjbWUuUAe5/V6matrtfYr+/sbO7ubrcrQUZE&#10;xMIFBAAAAPgMfCErJT0UTfXVquZmdY/S4HIRbF5ON0TUquaDeXnM2C2Q8gk7WWaqCjO13qD/6kxQ&#10;vHJwhNw2IW7lED7fiBhZV6FvwPTyB2ff2pFDndlsE2wYKuBGiV1s3ajVNPzwL4bVmGxKDjLznAUn&#10;8risjGtmhUfy4HrwCsZTGRkXOWnVzb6onQ0jCQAAAEwNZrNrwyiHEwcDZcuM+zk3IEDsTjeRKAbr&#10;iVhMXLb81zptp1LZRmTE5cty5869Fi4gAAAAwPfAtVN0GlPFhe72Dp3J5KJep5jbnsFtTw07Xdub&#10;BublMeCoQMqXnKXrTIfZDOMTt6f8/tMK2ruoP4/NFnDGHqXF9PMLEYsVNpLleaX29QNnHto4VDVe&#10;qdWp++naUJp7mQ37zYbBBUFWY7Ljm1GrMTklPRSuBM8H12RXKLQdnaNO16MfCFJo45t1MRChDAAA&#10;AABehC/rhvesz7c1Hff3qzgc8WhX5c8MwEoilhFXrNgMlw4AAADg2/CFrEXXRWCZoLpa6U7tFDAv&#10;jxn7BVL8wxZyFmTGmxbcknxbeecXDV20pXo0Gl5w8Ljcyv7+Ih5PrafXNT5Y1nR9afTCjCiGvYoo&#10;HH9/dyopn7/0+cC1YWBM9g1aGrSKNo07WVBpYLmwVh0PiQsBAAAAwBuBuzQAAAAAABzC5jBx+KH7&#10;tVPAvDwGnBRIuSXF0ng8f8kPu4v6Bkaot4NXrnRrNOEi0Xg2HcrnXxkYoCVYRLzw0bn9CaE8AavN&#10;pnyKy8yGra2XTp54US9xphhCxWSvYMzpC0EuBAAAAAB3KK7ucPRWanSQJ+zhjNMNlco2ktAQAAAA&#10;AAA3odZOqW9QgXl5wnFUIOVIfdgTlgwqAU/lpW87cpa2lNZo5BuN43ErI4JEIn1vLy3asUnb/2LB&#10;9xvuSbHtnxbp0FOsVneWlLxTV/+j8y1KE4KgYrIngwON6+r6Rpu+EORCAAAAAJgogvhsT9gNX9YN&#10;oW4JAAAAAEws1Nop7mgKYF4eFXYLpPxD3rWstHVhRtSNWXG3nWmYDLcyi8m0G+2IthX+r9p5KYHU&#10;mXNCxKIA+zJlefmJMz8eNhqdZb4LCeYuzIwAY7LH4n5kMRWTmdukSga5EAAAAAB8D1++aYuLTZfJ&#10;kqqqKkfekQfDWQcAAACAcQLm5cnAUYGU909W4FSDk+dWFgYE6I1GrZEuBH/yfWtQCEciGS5zbLci&#10;SmvrpeKSd7q7G5xsAozJngyuj1xf3zcqPzJURgYAAAAAn8eXdUMOR7zpNzuLPv/rqS8L8ZzfPfbH&#10;kBApnHUAAAAAmBCweTnNGF5doWxp0bhUHMC87BK7BVJOK/pOnKq+fXmiE7cyr79fGBAwnk2HCoUD&#10;vb1G8wgHusZk/viblgfWDd0+iQLYUeIRwl9/v7bk9IHKym+crxyMyR5LS4O2qVE12vrI7Rppmy62&#10;RhujMnNgDAEAAADAh/FxkwifF7Zy1RPLb7sHtQMCxGOopAwAAAAAgHPYHCYxLzc3q3uUBhc3H2Be&#10;doyjAimvfVFxw5JYkSjAkVtZqdVy2WwWkzmeTYcIhQqbKihtqv5TX7csvzkatRfPHnGywJjsveg0&#10;pvqaPnfkfioqQ0SjJrFSPRfkQgAAAMCLMBgu4Ya/v4TDimMHxI5897JpoI7pz4WBsn/r7vNHOGju&#10;Z4BoCAAAAACTDzYv93Yba6qV7puX5+tiGzVSMC8T7BZI6RswvXu0/KGNmQzHbuVetTosMHA8m+ay&#10;2SIeT63X0+Z/W907O0q4IDlkTvDQ3RQYk72XMWQwhPSFAAAAvo3+qqw2xvuHgBSPP0ROUNBGIX8h&#10;mz3LUQ/jQBtcCXbxcd2wWv6vP7/8R9zeuvX52NhMOOW+hEbNfO9A9+FDX8XPnb3nueskUYMwJgAA&#10;ANNOUChnUWiE++blEH4jmpKCf2pSy873zYM4JoSQz9fYxP0dLGtaXh2flBgmEgXsvmfxI+/+m/7f&#10;osnEMRjE3HH9Wh7K5w8YjYZB+n+px0pab8+MDWD5gzHZSxkwmuvlqtFmMGzXSBs0CZC+EAAAAPBq&#10;uFwpmpz34bAjp2XfGrod+jYCeR5xV+zLuuHFi0VvvPECebl371MgHfoYJ4sMe3a9hRpVVZV3/Dx9&#10;1Wp41AQAAPAUqOZldyov89i9xLxc2Tdvhoc1cdlsQUCAtr+fNv//Pi777yeXocbCjKj1ZbMPljXR&#10;OvRotRw2m+vvP56th4nFbb29tByLGpP5tX9URZguuGNMTk0LDwqF/5Q9BZ3GVHGhu71DZzKZ3VxE&#10;PxBU05cKfmQAAAAAmGwau7WO3loQE+QJe+izumFPj5wqGg6dj6Yq57qhTt/V1VmH28HBkSJRDFzE&#10;nkxpKQQSAwAAeDpjq7zcM+PNy6ECgcFodFQgBbU3rEr7l7yjSUvXFnvVaknQuO4yWUxmiFDYqVZT&#10;Z6YJlddyiktOdzpbkMVMSQ5Fpxsuew/BzZSjBFwfGbKOAgAAAAAwfIPnqwf2zdcf286MiIh11L+n&#10;R44WIZWXMTJZ0sqVv46OSfNnBsC1AgAAAABjBldeTtaE1tf01TeoXMY9EfPyjA16Yvr5BfL5PVr6&#10;T9DvflOFC6Sg6cm7rrF1KxsGB7t1ulA+fzxbF3A4uqsBj4H+Aysia1OjXGQ+mhMnTl4QCsZkT2DA&#10;aHYzSwBBZYioVc2H+sgAAAAAANDwTd1Q0X6BpgBi4mLTbWcOmvsvV3xtG5zIsLpf9+59SiZL2vSb&#10;nXxeGFwunoxEAre59pFXs57b/V1dbdPW7b/MyYXHOQAAphO+kDVa83JqWPG8kB8VmrnlyrR2k3BG&#10;DZeYy9UZDLRUg03a/o9OVNy3LoNhdStvqpy7//ta2oJqvV7AZnPZ7PFsPVQgGDSZlgQ23zDnHJvV&#10;76QnGJM9h9FaknGAIWQGAAAAAADAEb6pG8rlZbYzH3zwSduSyoPm/i9P/fXYscNO1lZVVbn/L8/k&#10;5/8ebMueRvE3Z0lbIGQyGGYYE1ue2/1dUeEp1Ni75x85uatgQAAA8ARGZV5mMQ3EvCxXJc+oEg1B&#10;AoHCpkDK/u9rb7thbnSU5a7mvnUZ/65qP6+khyX2aDSSoCCmn9/Yz1GA8pfzzoQKmpydGjAmewzo&#10;01R5ucd9SzJkMAQAAAAAwB18Uzd8/2ABbY5MljQv+WbbnqXnTjgXDTFVVZUFBc9C1KGngc4LaUfM&#10;8oMBsQsWDRHZNy2C0QAAwKMg5mV5pbK5ReOOeflafuOCmaR3OCqQ8ue/ncEFUhCP3b0o/81vaR2M&#10;ZnO3VhsuHEuEpphpXBh8Pj7onPNuYEz2EOqrVdXVSvctyc2qFMhgCAAAAACAm/igbmg0qmxnLl+e&#10;Z5ujsFr+r4KC19xcbVVV5U8/FWUv/RVcNJ6JJGrYxqVo9W/vuJKeMW3hh2gHqPszvbx9YGtJcVOk&#10;RHzvxlAIyQQAwAPhC1lpi8KTF4S2NGjckT9mmnk5mM+3WyDlp9LWhRlRqJ2UGPboLcmvfFVBW1Db&#10;38/ncASc0amr14hqU8NOs5jOwtbAmOwJ4CSG7mQLxZjM3NreNLl67kzz+wMAAACAJ9PYo/XwPfRB&#10;3bC/345uKBLRk7b09Mj//PIfR7Xm9w8WpKfdBG5lD0Febf/qLStl3pGzGzWe3btlw32CCdlQTY1R&#10;q7E8xwqELImElZDAEIrs36MrWv3XrztcVVX56GP5Tzzl7i/5GjXzZJGhRq5UayzPaZES8Vxp4Bhy&#10;EaJdFQqu0CRLtJ6c3DhrcyJFQzTOuCEQMKWJJrggAQAYJ2wOk5iXa+S9HZ06F3cwM8a8zGIy+Vyu&#10;Wq+nzX/ho3MfWHVDxNqfJ5+paD2t6KPf7Wg0AUFBaA3ubEjKa08P+UHMbXe2M2BM9gBGm8QQqpMD&#10;AAAAgMfS2O1QN7xBFu4R96Iz5EwEB0dSXw6a+9977yW7PR988MnY2PlKZdvevU/ZvqtorwPd0EPQ&#10;aofvlXNyl5P2ycI23JDLuxiMYd1QXs0qL9MlSLm2cYiKVv+Pj3a1KVQbNiZQJTA0/403agv2H7Td&#10;OtriHT9PX5HDpQmIp0/rsXv6lZcLnnhqG20rGq2frcR2upjx9LYjVM812cS2p6+n9keHgI7aURzl&#10;m68p9+x6CzU+/GhbVraL0Xv3HW3pTw2r16bQemIFEzWysnh2QybxWB0+9BV1h2WypDXrbrl3Y6gj&#10;ORUAAMB9sHlZpzGBeZkQyuf39/cbzSOGoknb/86hUlwgBfG7/8i8+MrXfQMj/pcZvHKlV60OCwx0&#10;vn4x07gk9McYsYuKydFRwrSF4WBMnkZ6u4011UqXKUEJzaoUqHkCAAAAAMB4mCm64cDACLtN6bkT&#10;tjINYsczr0giUhmW+MQY1N6181Fah/b2xkQpXDYegUIx/GgUPXsWaV+uaMQNa9UUHGc3rKkhjhdt&#10;p0pvGjVz+7Z/4ySAkZLN0sRg8tZ777baFQ0Z1qSBaJLJkl5+dTV1baWlbfT9tAptP56R403k5C7f&#10;89x1RJIrKjTfv3Gvo03U1Tb9pWAtlg7/+/n2V162JO7cvmPzAw8H0zofPWIkB1hS3J6VHUF9C+3V&#10;0uzZJIDxdDHj91v34XZWdgpli+a9e47ijwbaz7cPZNpuZctDL9ruKlpkz67KudKtUK8ZAICJgpiX&#10;6+Wq+vo+MC+HCIW2BVI+/KmRFEhBf5/KS9925Cytj8Zk8tPpQvl8R2vODLyMxs25MVkk5KQuCAuP&#10;5MGVOV2MquwJWJIBAAAAAJgofPAh3248YFtbDWk3Np6xm9aQiIYY1H7wwSdpfWwrrgDTBTYO22Jb&#10;BuTdd7REU2NQAhIxL+ytI4u0KUY8khEJ0hFVVZV35Ow5XWz/XXk1683XlIuv2Y22TjaBGqdPD3nN&#10;ykqZVNFQJkvK37R+7bo86vqf2/2dRm35nGLREHH40Fe22zr+aZmD0TBveejFgv0H0YaIs1uhMA49&#10;cB46Ru2J+hA9He0nzQmOjsWuaEhoV+jhsgQAYGJhc5iJKUG33R63aJEkJJjrsj82L98e90Fe5Mn5&#10;TgsBex1cNlvIov/c2zdgOvjpRfLyxqy4XyZF2i6r1usNg3ZCyKW89ruiP00NK3YiGrJYzOR5obes&#10;mA2i4XRRX60q/qrlu+9a3REN9QNBpR23vlf3HyUzIPUnAAAAAABTgG/GG+blraFVSX7jjRe2bg0J&#10;Do5UtNfZTWuYn/8wVTTEREYmwCXisWg0A+50o8bWYagO4qNHjI4iChkUCVImSzp4aA0OEpRXs06X&#10;9FHX+fS2o5+cWI0tutS13Zy9y3adaFVZWejRy7KqAwUXyPztOzYTn+/G/NTHHhlyLqN9KClZlJPL&#10;RAviOehvWSmTGuRYVGgmu4pYkRtJUhkWnbhM5gsFVxwfqZ2wx/IynTSRQwaKqr0++lj+UmtIY2Fh&#10;Aznk0p8aNtyXAlcmAACTQXScAE3up3XzSfNykEikUSppM/9R2bbsaoEUxOb1C8++cKpJS6+/3KNS&#10;SYKCmH5++GUES5MWXO7SmAwVk6eXURVK7tHFXuxNhyrJAAAAADBmfvfY49JE2b2/uicwEFI5D+Ob&#10;umH83PkMxmHaTLv5CjHLl+VmXHM7XA3ehTV94RAioZ0gFDRTo2Y+ve2I7Vu43nFZKdNJAB2p+8Gw&#10;hi4SZ7E00SRNFGQt3UFkwaqqypISk0uL7tp1eRkL41asEONVFRWaSbhfTu5yanLA9Azzw4/eueWh&#10;odC/8tLOnNwItA8kGLBGbkjPGH4G/vD9YVfa9h2biaSIDp+6CUclnuXVrPs37nKy52i4qANFNUor&#10;FMOBLWhbL+0D3RAAgEmEL2Qtui5iwGgelXkZTb6R5Y3FZIp4PNsCKX/59PxbV3VDkSjgTxuW5L/5&#10;La2P0Wzu1mrDhZYAtKXB5XODyqFisiczKsUQXd7lEF0IAAAAAA64eKlCrdZctyTTebe+PtUrf7aU&#10;wfjm668Of/gBjBvBN39Ajo5OHlX/m25e6c8MsJ3f3UPPVZeXtwYuGg8kQTokY1GttWjmC3vrSLa+&#10;/E3ryVvtHVc0auZjjxxxsk6tZjiYRSoNo70rTTRt37F5eIWOLbrWRIFbL8u3v7QvZcN9AiLelZd2&#10;kj5r71lEqyiyajVHJkvC7c+Pl6C/GRnDCl2NfDje5OgRIzUu8t6NocPdht35jHnJsaRNTcKIxuG5&#10;3d8N7ca6POooEU6eHLZvow622RXJkcKlCADAFDBa8zIiRnxp2eyjeZEnrxHVevWxB/N4HJviyOeV&#10;2g8/rSAvkxLDNi2xUzlX298vZdffHXtEFvKDc2Ny2oLw7FuiQTScegaM5ktl3Sc+qSs/3+lSNBww&#10;BZS3XXO0ds0XnVkgGgIAAACAXS5eqkidn3L9dde+8+7fnfdsbmnBjSOHD3308SdTtoflzb2O3grk&#10;ecTNmG/qhnxe2D3r893s/LvH/hgSYr/WyYXyf9PmREfHwwfPQ9Co7FQrpxZZfu2Vz4iFdtvT11N1&#10;N63G/Mz2C1hSJPIcY6Q2R5IAIoRCtu220jOG5TMc/EgNUcRrfvvA1rcPZObkMm0LDZN8hQyL4mbn&#10;k0jyM+L9tLqbh8BKIsOq+qHDJPMffvRO6oaopWOItEoDjQMp2LJzTyp1BCSSoS+pb74aNrI9+OBc&#10;R2eEWp0GAABgCoiOE2TfEr18RVx0lJDFcn1LE8JvzJj1z3vj/7Y0uDyCpfHGQ2b6+YntVTh5p7ha&#10;rR72Jt+3LiNLMqKGchRH/4Ds+xtiT/HYvU7WPydOfFtu3JxE8OZMNVgx/KKwQV7T69KGrzGIzzam&#10;v1p220dNc8q6TIreXpXBYL5yBYYRAAAAAGhcrqzGjX99+43znvNTkm+7LcfNzhOISu8wA9uCmCCP&#10;uP/01Ytj4cIcd7rl5a1JlN5g9y2dvuvUl4W0maFh0fDB8xCoNT3sQly9+15/HJckJjy97ShefPuO&#10;zQ8/eqf9m3JK/sQEqZ14FrXG2W29TJb0l4K17tQXthviZ4skapCUTEGHpmj1R42TRQZymDm5y1fk&#10;jNhPaukYIgI6GsYtjy2hiZsCoWXnNWomiWdEu+rI7AwAADBdYPPybblxyfNCeVzXCVhYTIMs5Ifb&#10;4z64PeJrKa/d645XGBBgt0DKu0fLqXN+9x+ZgWxLt0D/gTUxlb/NKJQEtTpZbUgw98abZqctCods&#10;hlPMaBXDf8qv++/yZZ8o5vYNDv2oaRgc7NFqG3t6OjUardEIQwoAAAAAw4/tajVuFLy932XnJddd&#10;R1sKYPiwbsjnhe145hXnffLy1ixb/mtH7w6aDPbuqmPhovFkauT0s2arpjGuSoo4qyB1PlUfpOZP&#10;FAjsfFKoRmNqmB4m+6ZFNLFyVGjUTBIsSfy/2TcOB8bW1g7Sgg1tzc5U6ROLgJjib87SNrfv9cep&#10;hVYwEbMs6fOpZmfbw6QSKYH4FAAApo0xmJcjhPIboj69O/ZIZuBlMdOb1Bah0I4p9WBZU2X18P9c&#10;0VHip/LSbwppeyT9i9QoZ/VPeFwWGJOnhVEphoreKKwYftPj8P9ibX9/p1rdqlR2abV2K2gDAAAA&#10;wExjXpKMtBubml3cHEoiYcRs8eWflCURqU6kQywa2k1riPFn0Z867lmfz+GAMuJl3L8pE6tp1JyA&#10;GCy0tSu0LldiqwCWlTKpRmOqiXi0FOw/qFHTP4nvHegm7cWZQ3JhWvqwN02hMNKCDW1jG6nSJ1UW&#10;JEsNjcO6vFWrh54VqaPhTmghtX+ERADXGwAA0w4xL8+JE7tjXsa1U+6Kf/e28NOxnB6vOEauv78g&#10;wM4NzP99XEba3S0/sXveuFX6bzar39l/cAlBNy+fDcbkKWZUimFUVMptK55OvmFLjZ/UnZUbzWaN&#10;waDo7cX+ZZPZDAMOAAAAzFiiooalwE8+Pe6887mfzsKI2cLy7cOTRKT+9/8cammpaG9vfP/gkMqT&#10;l7cmLT0bveV8WT4vLD//4YKC18gcN73PgOeQv2l9VvZQu621m/YWFtraFCq7y9oG5RHKSkfUVHl2&#10;7xYssVFLqdgt8Uxl7bo84hF+YW/dk1vjSbTgu+9o9+x6i/RcuSqMwbCsX5poysldjl3Dxd/KS89d&#10;Jn3u32SnOJTdFJDU0jGYjfnoszC0aTIaJO1jQsJwz+Oflq1aPWJD1VXDJVYcWaGnEfRURn3JZvsH&#10;BQe4syCb4w9xNwDg1fCFrLRF4ckLQlsaNG7WpY0RX0KTyhBRq5pfo41RmT36SyBUIDAYjYMjU9qd&#10;VvR9e7ohM9W/8uzfu9ovOF9DSDB3YWYEGii4WqaSAaO5ukJZ36ByKRdaH3VSMhevQX8t9wBzGXcv&#10;jS+53PFBSd2hkjp3tmUYHDRotT1arZDF4nK5fA6H6ecHpwAAAACYUcTOjlm9Zt2Rw4dQ+6X/eeGW&#10;m2+cn2K/jm5fn+qrf3459DgvEsHQEXz/ZpHPC0uU3pAoZWQv/dVol8245vatW2PU6h5OAD86Ohmt&#10;Cq4YD4fqzEXctTqeKGK0fIgbNiYwGJbHSKo+6CQoDyOvZn1R1EkV9SzBeneJ8FaopVQc1SEh5Nw+&#10;j+xSwf6Dxd8krVl3C2r/eEZO8gkyrA5iatzfTbek4Heph0OVR6nYTQFJLR3DsGZ4pB41kRpJVRah&#10;yEzESvT3madnoaHDAZhoNKibSEtnktH2EOQ1vRO+Th6XxePRvzlDQkbIxDSBElRIAJgu2BzmnEQx&#10;mjrb9I0NqpZW17VQxNz2DG57qpmr0Myt7JvXaAzxzENj+vkF8vk92hG/DwX6D5Se+cjYeM7l91jG&#10;NbPCI3lwhUwlo1IMk5Juyly8RiQKp81fOm8Wmnbfc83n51r+92TlxSa3/pvTmEwajeXiF3A4PA4H&#10;BEQAAABgRnHHnT/HumFdXe3P77zz088+sysd/s+LL6EOuH3DjTdNzb41dms9fwDhR2Zn+DMDYmMz&#10;YRy8CKozN3/TeqKI0YLsnt27hViP7eqDNJ55uoFhVRhtHb4796Ta1kp2h5xcJjXkEK15zy76nmzf&#10;sZk4iDFZSwNtV0U00BEPCWr77jztyHIuJJgRY1dqvOPn6UTKLNh/sGD/0LHTOo9tHLwOvcFkG7jU&#10;ozS4vwaRkMNmD50dsZhDfJThs/hXlQ7QGQFgggmP5KEpWRNaX9PX0qJxGX7IYho8P/xQzOVq9Hrj&#10;VRfqTSFtN8w559yVjL5w5sSJU9JD4ZKYSiZEMaQSyOfcvTQeTRcalf/7RdXnPzU7KcU44h7AaMSF&#10;U0BABAAAAGYOK/N+fvC2nC++KGJYpcPU+SlP7/hDxjULMxcvjJ0dg2aePPXPQx98QAqnxMfPXX7r&#10;zVOzb409DnXD7MRwDxlA0A0BnyU3N460hYJhJ9f2HZs33DeUiQ9XJcYQZ64tpEQJlWf3brGuZ+xi&#10;2Uv7UrJvlG556EW77+57/XGaaMiwWpXRflLlS3Q4dguwUOuZkMoqjJFBkWhZd5IYot1oV2ymRlky&#10;bBRGUusZcIlaM3wKqIKj3ehIUt6BKIyBQVyOtdopxAoBwGjhC1kp6aFoqq9WNTer3VH8PTz8MEQo&#10;VKhUaUJlztyfhFyV887RUcK0hVAueaqpvtRbLVdOlGJIIzU2+NX7lzDuX/JBSd2Jn5oLz7W4uSAI&#10;iAAAAMDMITBQ/PKfX/75nXeScMLdu/7kpP9//b8n0SIwbgTQDQFfwFoHecQd+dp1eVTrriRq8MOP&#10;thUWNizNnk2tH0JVzYgz1yVo5RvzU20LEJeWDif7E7iXMWrVas6KnO0niwxoWaxO5m9an5ERmZXF&#10;c6To/eyOpUQ3lMmSrCWhXTyNRM+eZXc+LdiQCi0/4wMPB0dIHn/tlc8chWcKxVAUZVIguoYjgYPF&#10;YopFFn2ZxxsyUOO4RYGIDWnLAMAR2Lys05jklcrmFo1LTYcaftioSaxUz/WQ8MM4Xv+qyB8iAl2o&#10;RSHB3NS0cAhknmLqq1Vu5tYcg2JIA4cfNnVpT5xr/qC4zk3/MgMERAAAAGBmMD8l+etvvvnTn3aS&#10;oEJHPL3jDw8/+FsYsRF3wr59eIPm/pbmctQIDo4UiWLgfPsSJOkeImLW0D3u0uzZDMb6SInYVhHL&#10;ykZTnO16iN+WGp9YVjoiHCN/03r0NyPDUokpLZ1vje+z85BJ1drS09iOJDkaQpF51WrOqtVxO3dv&#10;o168jvqnZQw/V+x+bpU77mDrsNChZU7EPLt3yztvF/3sjqUr74qmeZ+tEufq8jIziVhsV2hpQYjA&#10;1GMymYckxasFw6lxi0RVxBkYcawiSIoAgKHWTqmr66PGAjtCzG1PRVNYcbMqpVU3+6J29nTtfARL&#10;kxZcHiO+5Lwbj8tKmR8WHQc/7UwpU6kYUpkdJvjtbUloutCotEYgtjS7nTWJCIhCFosTEMDncFhM&#10;CE0FAAAAfIfY2TFv/99fbr/jzhPHP3OkHr76+lsgGtri44+OX57667Fjh3H7wQefnD8fCiL7DrhC&#10;iEyW9PCjdxL9KyeXmTMk/w26uZ6de1Kzb5Q6ie+z9NlNFRwdPgY88FBkgvRxhrWysDv+37GBjvHZ&#10;vVvaFZoVuZG2MY8E9NbbB7ZqNaarQucQVu/z41cbdDbcJ9hw3ypHhykUma1RnEMLlpUO66RYVAU8&#10;DaIq2oYr4gIveOLz2QIhG/REYGZCaqf0dhtrqpXtHTp3LKU4/HDBQFCTWiZXz203Cadsh8VM44LA&#10;y3ODyllMZz5rSGU4LXS26UvPdUy9YkgjNTZ4N5ruWfj5T80nzrW4nwCRYS2igv7z6NFquf7+LDZb&#10;yOWiBpxZAAAAwDe4a+Uv0PTSi/9Tcbnyx7M/kfkyWeKSzMVgT7Z/V+nDx6Zov0BEQ8Qbb7yw45lo&#10;SUQqnHXfYMN9gqylO+ym9hsVONzPic7ofua+q6uaimNnMFynVrQ6sjm2CuBE7WSNfPiRVQB6k7cx&#10;VOBFSZ+P9UScTjF8Fh+KtAAzB3SpLwqNGDCa3Q8/5LF7ZSE/oKlHF9uokU5B+ZRrRLWpYaedK4YM&#10;SGU4HXS26Ssv97iTNHNSFUMaP1sYgybG/UvGICAaBgcZg4Mag8Hfz4/L4fDYbHAxAwAAAN7IRx9/&#10;QkqgYAIDxdctyUTTtO9br27A8wfQlx/1jf162pzvSj5fuQp0Q99h/KKhO0DmPkcUfysnbfd92YCH&#10;g/VE/OhLLM80MREiEwEfZmzhhyH8RjTh8il1mgS5PmLCd2y+oGlB6Pc8tou8dZDKcOrRaUw/nWn3&#10;NMWQBhEQR1tBBTF45Yq2vx9NqM3192dzOIKAAAhCBAAAALyCxqbm1asskUBHjh67a+UvPG33zjc7&#10;vLVbEBPkITvJ8unro4o259SXhXfc+VsOB0JPAWC8lJUySUnltevyJs+XPR6kCSO+alUqo8vn/4EB&#10;sztBRjMNu2KiSMjBYmJgEFcgZINOAfgYYwg/JOVTFg8EKbTxFX1JE+JflvLa5weVhfAbnXfjcVkZ&#10;18yCSutTiU5jqrjQ3dKqcdkzKipladbGsLA5077PuIJKn854+nLHaCMQGdYgRINer9brSRAil82G&#10;TIgAAACAx/LJp8dx48TxzzxQN3RCIM9THq98WTeMiIi1ndmjbASrMjAqIHOfLRo180DBBfIy5/Z5&#10;nrmfE5jYa8Bo7u3up83s7NBRX+r1JjSRlyq10Z0wJe9FrTGiqaNzeBBASQR8D2r4YWN9nzvFlxlW&#10;/3J80Dk0jbP+ciyn55rQH10qhiwWM1EanJgSBOdrykD/KVRXKKl1qBwRFZWSuXgN+utZjyJ8zngs&#10;zAybIEQWm82zTmBkBgAAADyTr/75JQzC2PBl3TCAw7Wd2d3VAroh4D4yWVJWFm8mO3A1auYLe+ta&#10;mjru+Hk6rh4jr2a98Wo5CTbMyV1uTaTo+9qBbRSP+3E9Oo1Jqx56HtNqBnRX01iQEEjfiHO0VRJD&#10;grlWJTEgKDggKDQAsq0B3ktQKCcoNDxtUXh9tUqh0FKvcyeQ+svtGmmbLtb9BIhulkvGxU8Sk4Ph&#10;wzVlYMWwvkHlUkH2TMXQFiIgllzu+Pxc86iqMGNIJkQGMTJb4xDhagEAAAA8h7q62samZmqWQ8BN&#10;fFk3DAuPt51ZVVkOVZUBl6RnmPe9bik6nJbOl0SZZvJQnCwyFOw/iBpFhafsdtjy2BKXFVoAvpBF&#10;EgKGM1yojb3dxgGjRaruVfYPDFgaJJLR62IYLdZmJYOY+HhclkjEEYs54bP4ICMCXgoOP9RpTPU1&#10;fS0tGncq5yIihHI0ZTAYzaqUVt3si9rZDnu6pxgyrMVPklNDIdnoVFJfraquVro86SJR+NKsjfHx&#10;md51dEvnzULT7nsWXmhUllR2fFBcd7Gpd7QrIUZm1BayWH5sNmiIAAAAwDQSGTlsHzz4/qGbb7qR&#10;8v+1cH5KMgyRS3z5XpPPC1u+LPfUl4XUmehlzs9+jd6Ccw8452rRYdMMH4cEKdfJu28f2JqeAaLh&#10;BEPsvU7iGbG2aDSa+3ot8R1EWHQnMf80gvMkdnTqsLkPZETAi+8xhKyU9FA0dbbpGxtUbpZPQeAE&#10;iAutFVRoAqKYaVwYfD4+6JzLlUDxk6kHnegL57tcBoaLROGLF6+el3SzVx9samwwmn57W1Kfzvj5&#10;uRZLHOIoXcwYjcnEMJmwhgheZgAAAGBaiI4a1g23bf1/7iwSHz/3lluXrbv77hXLb53s3Wvs0Xr+&#10;GPr4b9SpadfRdENES0tFovQG+PwAgDukZ5jfPrB1755/VFVVUufLZEkvv7oaRMPpgugF0XF26n0T&#10;WzTOwIjd0B5ohbYrI4aG8oKCA6C2A+AtoGsVTbh8SnOz2k3tnlRQwQJihz5KyFbNDSpH850vGBLM&#10;TZoXAh+QqaS323ihvNPlmeVw+Glpt2cuXuNLxx7I5+A6KsTFjP6OIQiRMdLLzGEy2VYBkcViQV1m&#10;AAAAwNOoq6ute7u24O39DY1Nk+1rbnScG+QGWbiHDIiP64Zxsem2M08cf//hR671ZwbA5wEA3CEn&#10;l5metub0aX2NXKnWGERCblpG+NKlLKEIREMPhdii7YoLnW2W0A+qpGgJVzRMf2gtkRHxy5BgrljM&#10;CQ3jB4cGgBMT8HBI+RSdxtTSqKmv73PzM0UERJc9eVxWYmIw2gSM9pThZrlkrBimLbg9IEDgw6OB&#10;XcyoQYIQ0TTaTIgYo9lsvFpTxd/Pj+fvj+3MHBYLQhEBAACAiUWlVsMgjBMffxLjcMS/e+yPf375&#10;j9SZVVWVLc3lsbGZcPoBwE0kUYNW43YEZR6Iht4KFhNtJUUcpYjLtmDj8/TqiT1KA5rqG1QMq2IS&#10;EsIViwPCI/jgzQQ8Gb6QlZgShCZcf7m9XTf+DxEohlOP+8VPkpJuWpq10bcVQxrDQYgMBs6EWHK5&#10;4/TljjEYmRnWusxUOzMORQxgsTj+/pAVEQAAABg/VVXV1Jer16wTi4fuqaKiogRCUfVIX13B2/tx&#10;t7vvWQ9FVDC+H8Exd+61MlkSzWL58cd/feCBJA4HbsEBAACGwFGKtmVbqHoijk+c+vIseoOppVWD&#10;porL3SwWMySYGxrKAw0R8GRw/WXUaGnQKto07idAHHGXBuWSp4P6atWlim6X5yt+zuKlS+8TicJn&#10;8liRTIiobVEPsYZY2THmFVJDERnWrIj+LBbIiAAAAMCE8N2/f7huiYsAsrf/7y8wUPQ7Up8/Qn9m&#10;wMqVv9679ynqzKqqyvPnv1y0aCVcAQAAAM5xpCd2tulxYZYpDk5ED/MdnTo0VVzu9mcyxWKORCIA&#10;DRHwWKLjBDgPaUuDtrnJUkHFrfszUAynAzeLn0RFpWQuXoP+wohRwUbmJ/Is7QnREBlXsyKOkBH9&#10;/Zn+/mBqBgAAAMZA8rwkGIQxMCMyRkXHpNnOLCh4LTw8BtzKAAAAYwM7nWmFWXq7jVrNABETJzsy&#10;cdBsVvYa0FRxuRs9QHK5rLBwbkyMKEwCVSMAz0KnMeGoQ9d3ZqAYTtMJ+ulMu8viJyJR+NKsjfHx&#10;cPfoAlsN8XyjcsxeZgKWEVEDm5pxbkT0meGy0OeGCQGJAAAAgHMqLle6jDecYoqrOx29FRviKVlQ&#10;fFA3HDT3d3ZWG/v1Lnvu3fvU1q3PSyRgWAYAAJgYrN5MDk1MJJGJ2ObsZsHZ0WK+ckWnH2hsRJMl&#10;+TGH7S8SscPCeCGhvKDQAJBggOnCzdoaDFAMp4kBo7nifDdOpeoEDoefuXhNWtrtMGKjhRRUYVzN&#10;h3ihsXfMNVVG3PNfzY1IPl0cJhNNfmx2gL8/KIkAAAAAQiZL9NI9jw0F3XDS+O67I+8fLHCzM82/&#10;TFi+LDc8IophSUbODw+P4QTwwsMToQQzAADAGLCNTMQ5E3uV/Xq9JWfiZIQlGgcGu3vQZGAwlAyr&#10;jCgUskNCuHw+OyiEC6ZmYArobNNXXu5xRygHxXC6qL7UWy1Xuvz+Wbx4tc+XS54acD5E3O7TGU9f&#10;7rjQ1Dt+O/PwN7/ZjCZLlZWrc7CSyLBmSEQTy6onwokAAACYOURHRZK2pwUbegu+phsajSr3RUMn&#10;nPqy0HbmjmdekUSkwkUDAAAwToZyJo6s6dzZpsfVV3p6DBOeLdE4MNijHKQqOCIhh8djicWc8Fl8&#10;gYiN9gfOCzBR1FermpvVoBh6MugLp/Rch8vvmaSkmzIXr5nhxU8miUA+52cLY9CE7cwXGpUXmnot&#10;AYmXOy429U7Yl/9VJZE6U8hiXWEymf7+OCwRUiUCAAD4MPNTkv964G+okbl4IYzG2PC1x6T+ftXk&#10;rXzXzkf3vXoCog4BwDu+3VjwEO5lhEfyaNVXJlVJVGuMaOro1MlrevEFIxZxxGI0BQiEbJqmCQDu&#10;MGA018tV9fV97lyroBhOF26mMoTiJ1PMUCji0nj8ssQSiqi80GhREidQRsRorsqIaspMrr8/y8/P&#10;z2ptFlj/gs0ZAADA22lsam5tbbtvw69gKMb1ZO1jxyMSxchkSVVVlZN1r6ntRJuA68aTkVezPv6o&#10;Ra0xbNiYIE00wYDMWNigG3o/U6kk4sSLEJAIjI3ebmNNtbK9Q+eO4x4Uw+nCzVSGIlH44sWr5yXd&#10;DCM2jVCzIjIo0YhYSRxnfRW7GKwVV3BkIq67ghGyLF/+WE/kslj+fn5gdgYAAPAK/v39meuvu5a8&#10;vO22nNmxsdb/6EXSRNnQl7xQOC9JZrtsVFRk7OxJV34aHaf6FfM86LcrH3wKWrny146yFgI+j6LV&#10;/zf5H2LhWCTMf+KpCBgT52jUzJNFhhq5MkEavGo1ZHwDPB3nSuLE5kmEgETAJQNGc0uDpq6uD10q&#10;bt11gWI4fdRXqy5VdDv/iuBw+Glpt2cuXgPD5WnQohGburRYSTzfqETtCQ9IHHGnhIMTsZ5ImT9U&#10;zfmqpBhwVUyEKEUAAAAP4etvvqW+/OKLolEt/vSOP+za+cdJ3cPGHoe6YVpMkOeMpA/qhrGxmc8/&#10;f6Cx8aKyt2tCch1S4QsgwY1H8967rSTaVK0xwIC4HrED3Xt2vYXbq1ZvgwEBvA6akjhgNPd29/cq&#10;+1Wqfr3eNIG1myEgEaAyqgBDhqXMGisxMXhOohiGburpbNNfON/lUttNSrppadZGKH7iFcwOE6Dp&#10;ZwuHI0GwjNjUpS253NGnM06qkogZqubMsCMpMiiqIoNlcT8zrsYqogakUwQAAJga1t+zbtvW/zfm&#10;xf/+t/cmWzf0FnzzIUckipk/33Inkb3U4mNXq5vRX62u19hvMR30Gw3t7Y2k89kfS9z0NT/44JOQ&#10;3NCT0aiZr7w8rBQXf3OWwYiDYXEOEQ3zN62H0QB8ADaHaVESKcGAOo1J2d3f12tQqYx6vcnNuDB3&#10;oAUkIkKCuWIxh8djBwUHQECiT4Iup5ZGjZsZDIfuSYSc+PhAUAyn63yVn+tEH1Ln3aKiUpZmbQwL&#10;mwMj5r2QSs24ygrDqiRawhKtMYkq3cBElWx2E5qqyLARFhmk1jODgYu04JlEXmSAwggAADA+YmfH&#10;HDl6rK2tTaPRVFs1H5VKdeTwITcXr6ur/ff3Z6AEM8NXdUP6Lbs1IyE1L2GidPhdrC0OPwdaRUaM&#10;UtmG/nZ2NusNuuCgsHnJN8MV48mUlIx4ipu8NJc+Q1npsFFOKg2DAQF8Ely7OTpuOIYIW5tVqn6V&#10;yjix1mZaQCKPyxJZrc2BQVyBkB0UCqkAvBXsR3azRDJhVjg/QRoECvJ0nbLqCmV9g8r5B1wkCl+a&#10;tTE+Hh4JfBCsJFJjEvt0Rkt6xCaLjDhlYYlOGKr1PBK1g864bAt56TfSDS2wMUeDXRoAAABx18pf&#10;2Mz7AP9z8VKFWq1BDZVaXVVVbbusUChMnpcEY8iYIbrhqKDKi7gdGwt3k95BeWknbY68mgWlUdwk&#10;QgJPtsBMwa61ubNDp9ebVCrjBAYk6g2Wyi3UWKeQYC6Px0ITWJu9AiwXKhRalwFrI26tWMyIWfzk&#10;1FA4v9NFS4P20sUu5zGhkMpwBhLI55ByKyQsEYuJTd3api4tjkycpLor42SobAvBNOLyphZycXbZ&#10;X41wtAs17NEWCVxAAAD4FvNTkkl7xfJbp2UfGrp1XjFWcEcL+Ag0kzJGqzXDyDihRj4cOCORoG8D&#10;GC5gJmJrbe7tNvb2GCaj1oolWk1padBqrWBrc1BoAJTL8ASwGbm5WT1aERknMYyOE8J5nC7Qh/dC&#10;eafLsFBIZQgQsJhoO/9Co7JPN4CDExu7LKoi+tvsuPClV2A3wtFNQDcEAACYcJzUU85OnOU5++kL&#10;uqFO3zVoMvAF4ZB8cCZzssjOQ0KN3JCeAcZAh7QrtDAIAGBLUCiH6imevIBE21oroCROIy0N2u4u&#10;XXu7zv3chYToKGFsnBgsydMI+pxWnO+ub1A57wapDAE3wdkSbSVFHJ+IGjhhIpYUp93yDAAAAACT&#10;h3frhoPm/i9P/fXYscOoLZMlrbv7QUlEKpzUmcnxT8tsZ9bIlQxGxHTtkkbNrKmxNBISGEKRi193&#10;5dWs8jJdu0IrEHKEQnZaOt+Rw9r9ni758YyctLUaM1m/RGK23WF0OCeLDGhIcaHqSIl4rjQwJxcU&#10;DcD3mcqARCdKImqAu3nCQaeys13X3q4dW+ltXPMEAgynnfpq1aWKbpepDBcvXj0v6WYYLmA8kPhE&#10;u1GKOCyRcVVVJCIjCIsAAACA9+Ldzx6XK77GoiHDWgTj0AdvPPDA8xzOcMnCQXN/6bkTBQWvofY9&#10;6/NjZ8uCgyMhMtH3kFezigpP4fbbB7Z++P5Z/PJyRaNz3RAtWFNj1GpMAiFLImFFzPKTRA2Ov39R&#10;obnoxOUPDx0jcx59LP/eDVF2O6N1vnugpmD/Qdr8/E3rn9waT9Xv3O/pBFwLRasxy+VaMmiItXc9&#10;R+327N4tG+4bNnCdLmY8ve2IbamZnNzl256+HpJIAjMNJwGJaBqbAuUIqpJILdxs0RPFHD6fLRCy&#10;IcxtVHS26dHJUqmMaFTHpvnyuKyICH7snECodeMJZ/PC+S7nUcA4lWHagtvBmAxMNrPDBGhiOFAV&#10;GRQlUYUaV5VEnFeRAfIiAAAA4JF4t2546tQx6suqqkqFopJaxqSluRyLhoj3Dw4nv5PJkhYtXho7&#10;W8YJ4An4QQEBYqraCHgdXxR1kjObk8uslUuxImb9a7+szdEjxuOfllGFM8y+1x9ftZoznv7//Xy7&#10;baZFNOfz40kHD62hSYfyatZv8j+0W/q5YP/Blqblr7y2BAuC7vd0hEbNfGb7Baqa6QS5vIvBGHq+&#10;Kio0379xr91uaEDqapv+UrAWpENgJmM3IFGrGejrNfT0GCxiomGCPyBYRqQW68BhibjoSmAQl8Nh&#10;gseZejp6ewwqVX93t2E8NnNc8AT8yB7CgNFc/lNnS6vGebf4OYuXLr1PJAqHEQM8AWo6RWqtZ1uI&#10;wsgYKTIyrpqjqT2pamOaUDkZe66HkwcAADDRnG/udfz/Bdtz9tO7dcPk5DSajNLYVEXVDc/++LXd&#10;BdFSdvWXe9bn0+ZERMQGcLhCYXBIiBQua89Eo2YePvQVbq9Zd4vlrEmGAwrKSpnpGSPUNHk1641X&#10;yx3JZ6WlbatWx425/5uvKW1FQ3LVvfD8+Zf2pVBnfvxRi91LEVNUeKqmZkl6xuh6OuJkkcFN0RCR&#10;mxtHBvD+jcOhiDJZUvZNizQqLVkV2qvndn/nUrUEgBkFDkiMjhv+Lups0/cq+/X6AZXKOLHWZgwO&#10;S2TYPC2GBHMtf0O4bLZ/UHAAm+Pv8yFyOPyTjPb4wz+xXCiJFFJPKDC9VF/qrZYrXRqTb73lwaio&#10;FBguYJz092u7uxuc9+nqqu83ukgbbezXdXXXu7lRtEKjcfjHISHlLXRNpwRSHy4ZjMhJH4S/nYML&#10;AQAAYILp0zv8PTstJshz9tO7dcN58xYRnzKGx+VTXzY21Y1qhdSYRBr5+Q8vWrQSrmwPpKTERAS1&#10;9AxLEusEKZe8SyuNomj1dxS1h8nIGHHnNar+R48Y9+x6i7zcvmMz2h+1xrx3zz/wGj48dCzn9nnU&#10;nICfHy8hbRy6iNMXvvbKZ2gRmSwpYpbfaHs6QqMZcPLu2nV5GQvjhEK2QMhKT2OTuMgDBReoR3Tv&#10;xlCsD27MT33skSHnclHhqZKSRZDrEACcQAtInFRrMxW8Ztv1Ez0R/cVmZy+VFHu7jQPGQTSSJpN5&#10;YjVZMCN7Jp1t+tJzHc5jeJlMf0mELCp6fkvrRZW6QywaCu8KDY0Dq7K3o1Z3osnuW/39WieqnJMF&#10;Xb4LAAAAADMZ79YNo2PS8vLWUKXD+PgF1A7Ll+dVVb0wIdsqKHgtOiYR6q54IEUnLpN2WjqTwTAL&#10;BMMCFq00yhtv1FJFQJksac26W6jxiTTTsfv9NWrma698RrpRrLvMhIS1N2fvInubkzsc+0Bd+Yoc&#10;9ABvRktJEzkrclafLDKkpfMlUabR9nTEihXidkU+rmqCKP7mLFnn2nV5IwMhh0TDokIziSvMyV1O&#10;REOGRaI1P/zonVseGlpDeWlnTm4EXI0A4Ca21madxqRVD0yBkohxpCcyrLU+2GzLtyhWFRHhs4Z+&#10;k5su73Nnm8Uhp9UM6KwpwHp6LLs9GWGbiFnh/NBQXnSsEOrPeBroM1J+rpNqz3eE2TzY2laBJid9&#10;qHGIYaFzOAF86kuavAhBi3ZxGYXX0nrR0VvOI+9aWy/B8AIAAACAh+Dd98T+zIBly389b96ixqYq&#10;9DIleQnNTTwv+ea8vDpaTOKY+a7k85WrQDf0LBSt/kTYWrsuD6taQsEV0oFaGqWo0EwtKkKNnrPL&#10;qPpTwx63bv8lNd8faudvWo9XhfZ2555UspKc3OUkZ+Iz2y+Qt9BfqyI5vBL3ezpCEjX4xFPD0t7R&#10;I5FE9cu+0b4Nv7x0+Lf3tfcsoh072u5rryTho/78eMkTT62aIVfd0SPGGrkyQRqclcVzXkgHANyH&#10;L2Shya6SOOGRdM4hGQCJqkjqsVDBEYtDNxPWIi1214aTLdJmEgWQBjpMcoyTkRfSESIhJzSUGxkl&#10;hMSFHsulsu76BtUEfgSoytTYVConYqJIFO6xGRXdt8rSfLIAAAAAAMxMvP63dH9mQGxsJjWnIe3d&#10;Zct/HT93/onj7zuxmrrJqS8LV656Ai4aj+LkSRVpl567/MzTAmrqPYbVQqtRD6Xeo6pg23dsfuDh&#10;YAbD2RPIqPrXyvtIOyFhWMhTtPqfPq2n6o81NQySiPD+TZlEDUS73den3fLYElpCxtH2HAMSif0H&#10;fmquRrs25OybFuFP1vg/X97C6WLGlodeJC8ffSw/LSMcPNrAZGCrJGJ3MxbdenoMAwPm8VT5GCe0&#10;WEV3osA8ipBgrljMCQ3jz4rkQQEZT8YdY/K0ADFxAACMgZxbl6G/354u0RsMMBoAMMMprnaYIiM2&#10;xIMyq3ilbjho7vdnBrjZGfVMlN7w8CPX9vU2aTTKxqaqzvbWU18WTsGmgSngm6+G79odlbshOp01&#10;9tCCTJZ078ZQ56LhaPu3KVSULRo72plyubb0pwZaKZKc3OVUsS8rm/H2ga2kWnFR4Sk0oTm2OpT7&#10;PceAQMh0fnT5m9bDxYYpKx1ReAJLq+i03r8pE50jGjgHZbtCi73tEgnHtg8AuM+Qu5kxIiaOFpY4&#10;vWKiJ8PjskQiTmgoLyg4AOIKvQL3jckAAADTRWL8XPS3ua3VHR0w59Zlz/xpJ2rs/MMzRf/8kja/&#10;q6vr7nvWgZ4IAAAiNhR0wzHfQeq79v/lGVwFYt3dD7qfbdCfGRASIg0JYeDIxJWrnhg09+u0nQMD&#10;Bo1G2W80tLc36rRq547m5ctyQTT0KMpKmSQEzwmkNArpnH3TIneK/462P4GoezTyN63fsDGB5inO&#10;yWV++NG2p7cdJaInWtyuIOh+T3eglklJSBjL+GvUTBJHmZO7fIZcddVVbbiBvoXIicAy7tWg1OHx&#10;IXktCWvX5T34SBrVxk69ngUCpt23AMAJtmGJjKtiYq+yf2BgEJt/p8zm7DmIhByxmMPjscJn8acr&#10;MyMwNgaM5uoKpV2DPAB4JjwuC33buOxG8sa6hM32Dwoey3OHQMSejPSsf/t7M5xlW+76Rd5/PfEk&#10;bn9XXPzdd6dramsq5XJH2l/mtdfanY/FxLCwsJjIqOq6WusVxd31hz9dn53tSEzEm66sqHhoy8Mg&#10;NQIAMKl4mW7Y0lJBTJG7dj76/PMHRKKYsa3KnxmAlw0JsbxMtKZ3W7FiM8NSUs3y/6JS2Yb1xKt3&#10;A/zklBvgivEoThd3U1+uXZcXGRWaIA0WCFlajYmYSdsVWgZjhA+3pamDwYgbxYXnRn+pNMzRWzJZ&#10;0n3356xYIbbmwrOjCmVlMz45sfqFvXVEhrt/496vi3fYSkju93SJXN5F2i5VUbS5J7dup3V778Dw&#10;+C/OlM6Qq44EkO5+btXcuRYTOi5pjeZYq2kPS4clJSa7i5eeu3zw0BqSGFGjZp4sMpCV5OQuv+Pn&#10;6bT6PAAwWuyKiYyr1YexnogLsPhGfKIlwaLIIhFildBLa0MDQ//nNmgvXexybkzmcVkp88Oi4yw/&#10;xWP/PmoYjea+3qGHZ1w8hzFp9XMAz4SUdbL/LSF2+LXgUqSD3x4AuxDREHF9djaacHv/W29+cvx4&#10;T69yzGuOiYzCawsLC7sxayk1OBERLZHgTSclJxOpEQAAYLLutL1rd+tqR9Rlq6o6s2hRzIRvBeuJ&#10;+G+iFC4Sz+Xwoa9I+3jR9pHJ/jhbHhpqWR3EFimHBIgVFZ46esS1NDOq/kIhmzYnJ3f5TbekSKWC&#10;q9ZUZwU0hCLzzt1xkZLNVu3JwhdFndLE4PH0dBMnoYJr1+URmeyFvXVPbo0n0uG772jJDjAsMbxh&#10;zg/QN5BXD39nWk/rILoqsrLWvPD8eTxQaEyysocuRZLy8sOPtqHOZaXMO3L2WL+4Kk+f1uPLSaNm&#10;PrP9Ai0jpzXQ9XGQDoHJAKtpdl26WFIkygtWFRlTW5/ETVEAP//j53yQCH0Jncb005l2l8XEpQlB&#10;icnBRMTB/v2hZ+k4Z6YeXJh7qN0xbH8mVzsGpMaJ/cA6etdJ5B2fzxbY3FZdPd3wkQc8BexQtsum&#10;zQ+giWZGRsyd667HZ258PGk/+MgW2nr4PD6MPwB4O43dWm/ZVS/TDWk+4uLiLxYtWgkX3MzkdPFw&#10;LQ6ZLMm2QggpYYz+7ty9DTXWrLtlz66hRV575TOJZBUt2Zyi1V8oukKksVH1X5Ez4vYXS0Wj5d6N&#10;oXuuGluJ3DnOno4gEYvRs2c56pNz+zwiaaH+xd8koTFB7R/PyKkO8X2vPz5Dygp3tJvI1UVmomPf&#10;uceSMwGP1cnCtvSMCDxKuENauiV9JLpESVHstHQ+jjyliYYEdL2tyFntjjseF96pkSvVGsuTdkZG&#10;JLoUR2WrBwAMeRR3pLyQqC6GTUFkmuxCxa4GhMMD7c+nBASFzxp6Lpok2x3gObhpTA4J5i7MjBjz&#10;xUBVzEeV4xKr6rSZVOWRhpNPhCeAPmXos+aymzs+WUgVCgCYDw7+Xa1S3XjTzUnJyWTmM3/aKRQK&#10;P/pk+E6PvFtbV2d3PXYjB8PCwpZeu6Tkh+/tLtKtVML4A4A30tjjUDfMTgz3qF317rvwqqpKnb6L&#10;zwuDa24GQi1Pcd/9ObYdIiViSmdmeoZ55aqww4eSiNV97V3PrV2Xl32jJaa0Rq78/HgJTp1JPKSj&#10;6i8UmbfvGI4BPPLhJYEwlaiZaAdOF3dHSATOg8iozlaRkDshPe2iUTPtDhSNnFwmNeQQHS8RUgno&#10;qGdOZJxCYd/Oic4+0VjRhfHEU6sYlPyY6F004O8d6MZznt27BfvKiwrNZGz3vf74ihxuTQ3jsUeO&#10;4Ao/6BQ7z1yJ10mN+iSrmrwz8u472t9v3Ze/aX1GRmRaOh+yMc4oqFFdtNosADAeRmtMnnrsBriB&#10;ZAYAAKGwsLC6rvadv/8tMX7uunXrfnbHnXj+fz3xZPn582PwEQuFQurLW2691ZFuOB43NADMBNo7&#10;XheJbuHzUmAoxow36YY6fZftzEETZIGdoVBNyitWiG1NsriCLQaXRpFEDW7d/ktq0ZIPDx378NCI&#10;page0tH2v3djKNEZrT2PyWRJ2TctamnqIBJSVtbTJDRP0eq/fdu/0VvY0azVGKkaUFrG8I8M7vd0&#10;k5oa+wNly0v7UrJvlJJkkTQmVaLyxP91FEM/CmVkRNLeEgmHNL74ubMZVqWYvHX0iJGkL3x275YN&#10;9w0NeHlp58hhNKdnMB5+9M4tD1l6ajUmWl5OKrYGZ8zadXkkmHHCOV3M+P3WfQxKsCrOxggRjgAA&#10;jI3ebuOF8k7nxmQWizknTpySHgrDBQCAR0G1Eje3teJGdV3t7uefa25q2rT5ATxn27bf5//mPxnW&#10;Uie2/R2RnDJC4/jZHXf+9Z2/tigUtG6VFRVwIgDAOcaBy+0dxWxWgli8QihYzGSCzX/UeJNuaFci&#10;1Op6x1waBfBeqCbl/E3r7ZpkE6TD/zeT0ig5ucy3D2zdu+cfZHEaMllSVhaPqJCj6i8Umf9SsPaN&#10;V8upAXrUBVFn6q62d1zBeuLVlHbDrF2XR401c7+nm9TIhz9NEokL4W/Vas6KnO0niwylpW1YMMLh&#10;ZujAZ4g9mWC1hNsftJLidtzAJWIUimHljqiu23dsJqIhAjuLEQKK525FDhcn1nQu/72wt45cZmi1&#10;WdmhFKv+ZMUA2oZb4gsS7fDW7b8cW11vAABmJgNGc8X57voGlfNus8L5adeEg0sdAAAPh1bR+J2/&#10;/00kFt+9/lcMqzc5WiJpUShiIqPs9kfvurOJ25YtR6sdunUUDAkftbU1tG4hQcGZCxfKkpICAwPP&#10;/PBDbV0dVE0BZjgmkyX+bMBU093zZncPg81KCAiYx/Tns1lhLFZYv7HRbNaFBq+a+h3rpeT88XC8&#10;/j7M2K8fVf9Bc39t7Q91tRcrKsqzs2+TyTJBdvRGqPrFXavjGQw7sU4JlLzD1AyAObnM9LQ1J0+q&#10;vvnqElWDo0ROjdDCRtVfmmh6aV+KxbL6/llqZ5nMkhmQVjwkYpYfKb1CZe26vCefWjC2nm5C4uYs&#10;T2URLJdKk1BkXrWas2p1HM4UST5PM+3CI3F2Akt0oeWqU7T6l5UPFJ24TFS8rOxQ9Fa7ws5X0+FD&#10;X2Vlr7bNxVlS3JSTG0eG+uChNQxLuKvDk3K6eGhP0FWx+zmcdnMqwv3IZYNrl7/ycgF+ia7M+zfu&#10;3b5juJa071FUaNZqTBBZCQATQn216lJFt/PaIzwuK+OaWeAFBgDAS/nXv77FuiHDVRkTu+8GBQbh&#10;RldXV1iYJSvXps0PHProCBYcI2ZF2F3VXb/Io5Z4xnbp/W+9SQRHAAAGTDVoos2cFt3wfLPDtM4L&#10;YoI8atBm3O+3Lc3lf375j+RZF/19+eWPORwxfH68i7R0PtbRtu/YbKvCYNDjPSmNsjR7NvUtSdTg&#10;hvsEG+7LZDAysZ+UshI7axtt/5xcZk5uprz6eq3W8q5AwLyaBm6QttqDhyyKZOlPDVh1wvkTbbVL&#10;93u6SXVVG2lDijo3UbT6kzaujGzL2we24mtDLh/Kq/DoY/kREuE7bxfh4FO0IKn9TczO6CqNlGy+&#10;d2Mo1qRcRnEWFjbgxsOP3jmG8jtjhoRbomtv1WrOAw9ZolCJBXvPrrfSM7ZN5f5MGUePGHHQqPXc&#10;wUcBAMYOGJMBAJghCPjDFhOdXuekJ9XvTLg+e+iO6o1X9z3zp524fWPWUlph5REPILcuo4qGhE2b&#10;H2hra3OyIAAAnkYgz7NSgXmTbjgwMAGpDM/++DVdC1BUxsZmwqXpXUgTTf/8l+vfBJ7cGn/X6u0J&#10;CQwnIUKOZMfx96focQ4XuapIpry0j5rExDyenu5AguMefSwfLic3ae+44uTd/E3rN2xMICe9+Juz&#10;uHHvhih07lbdtZqkI9z38vdvH7B85xBLMsMquh0+lPTwo3e6jGhTtPqTYENrFW+3ai5/fLQLq34i&#10;ITctI3xsnuKWpg7csCYBMOMo1KysNS88fx4f2tv7z2Rl++DXaWlp29i+LgAAGL6LA2MyAAC+RWTk&#10;0A/AXV30LPw8Lvf+/9xE3rXNSxgSFIzrmaDGbbetwDM/P/6Z7VYuXLqI5uPIwQcf2UKT/5qbmkh7&#10;3d334MZ3xcVffHESNTKvvZZUaAGAmYnR2ACDMH686bZMo5mAWlGnviyEsz5zEIrMEBxkF1wlWSZL&#10;WnlX9OSlw/MxqEkh0QAKxQKpNEwoZAuErPQ0tjVIcGgkFa3+xFSOgwfRpfjkUwuwuFZUeEpefb00&#10;0YRm7n5u1dPbjpKa3VseslTo/kvBWidBoGXlQ4kwfnbHUnc8s0WF5r17jtJM7mj/d+5JHa3llljv&#10;I2b5kZnoAB98JI0cWlnpEiKuyatZp0v6cOglGqtVd4m81OSLhdqc3OXwKQCAsQHGZAAAfI+Y2UN+&#10;pu7OTur8pdcuuf8/NyUlJ+OXb7y6DzeocYWffvqZkzVTMx62KBSHDh3C8l9YWBhaObWwclvbsIWI&#10;bPGLL05ieRH9/eyzTyNmRUCwITBjMZu1LvtwucnTsm99eqO3DKPX/5wrFI4inZZa3QyfHABgWKsk&#10;P/hImkRiFop8VjRkcya4TIdGMyTY5W9av3N33Mg3RziLSWQi6klmSqIGiXEeG9gZlmSIjL8UrH33&#10;QA3JnFhVVfmb/A8/ObHakcRmrbNsIUHq+tuvrJR5/8bncDsnd3lgoAALfOivUCywOQp3oTmppYkm&#10;rERTt3ugwLbc8xZqWRiXyKtZ5WW6tHS+h1jpo2fPgq8OABgtnW36C+e71Bpnd8YsFjNRGpyYEgTD&#10;BQCAN5KUnJxz6zKhUJickkKL79v/1ptj0OxoGQ+r62pJyOH9/7mp5IfvSagjlcqKCiwdPvjIFlIO&#10;pfTCBQbjApwjAPBAvCi/odeXv2SzuXDBAcAYwPFuPnyATD+/iV0hSVkolYY570kiEyMlI3KnalRa&#10;uydi5+6440XbichYVVV59CO1y/1xWQhbo2bue3noF+ntOza/fSDzpX0paEMyWRLDGkMnrx7FT0c4&#10;s6ejDZWeu4zbAgFT0ep/R84eIhrizSF+v3UfyRF59IjxdLGdVVnqzFzd0Buvlm956MV3D9RM74Xk&#10;5MABAHDCgNF89t/t333X6lw0jI4S3pYbB6IhAABezTN/2vlfTzxJFQ27uroeeuC3YytIMis8nDbn&#10;0KFDuJGUnJyRmkpCHak899yz2DEdFhb2zrvv3fWLPDgvAGA267xxt4P4bI/an5mVPkapbINPDgAA&#10;40QodPE9TuoOR0iGwusUrf7vvduKpbSc3OW2afLQnPSMOJEwHxcptmqUAucrt1YVdyYdlpSYsLM4&#10;f9N6UukYbei++3N+v9ViWy4v00kTR51zlxpEybCKhm++3oZ90OjQpIkmNEcmS4qfO/tqwXHzm68p&#10;9+x6C3WorR2URDHefUf7+60Wz86P556mhi7Kq1k3Z+9Cja+Ld6D10MIVrYbrf6AG1ceNBvaF58+X&#10;nrtMM3eXlTLLStVY6s3IiKRljTxdjEZYS/NNo0UiZvlR9wcrhh8dqcMvi785+8zTQ2+hda5azYHP&#10;AgA4ovpSb7Vc6dyYLBJyUheEgTEZAABfoqur69TJop/Onv2pvAzXPralsqLiueeeJS9/+5vf4ioo&#10;JFmhUCgkPYe+VOtqvysuxt3+41f32v/irat98IHfvvHm/+L6y//1xJPJKSkv/vllR7sBADOBfmO9&#10;yz4sVjgMlIshgiEAAABwB2IlTkvnO08KSeoOb3noxeJv8/r6tCQzIOL+TQ4rh7hjPSZa5PFPy1at&#10;dlaEpLx0KNtObu4IP3J6hoi0NWrmySIDZQe4lG4jHvhJEKVGpcWCGprTrtAePvQVSZ6ID00oMlPK&#10;FllWkpU9VBcVa50kcrOsfEASNRzN90XRcHogWixkUaH5/o17STdpYjDeeVKShaqBEl2SQMvniHNK&#10;CoWPY+0PbeuNV8vxerCUebqYsfau52jjiStikxWuWp0CHwoAsKWzTV96rkNvMDm9QQdjMgAAXs/c&#10;uQmkvf+tN6urq+sbG2xLoBAyr70WN7795mtsIsb09g15FanJCjG1tcOui48/Pop1Q1JqmWHJjdNO&#10;7Y+2fvc96/7z1/l3r/8Vw5IL+86KS5c++uQYnCwAcHZb4j89umGvbsBrhgiuEgAAAPfBIXXO+1D9&#10;yNSgOZksafdzq7KyHSylZh7/tAy3MzIiHa08K2soNqeo8NSbr0nv3RjqyG+u1gwpfWnpTGrZZa1m&#10;uP3m6204wtER+ZvWP7k1nroJdEQ2iQstw7LlsSVUqVFezdJqzWhbCoWx+Fs5nokLMRP7dq28j8EI&#10;JoePYxLRKKERJu5gqTQMrer+jbvImqur2vBSaOdt9+ToESMRDdFeYcUWdUuUReKgS2rVGryfv8n/&#10;kMw5fVq/ajWnpLjd0YCg3cu+adGGjQlQUAgAaOg0pvJznR2dLgxB0VHCtIXhE56CFgAAYIr5/+zd&#10;CXgb5bk3/LGW0S5blrzHS/CWpIltsry0sWlIG2IDpSkhJE16CLyhnEKh8HJxtSkN9DqnkNND+Vo+&#10;tkLLB2+hp9CEQEsL2WgPpcQ5LCE7SbwRJ/EiL7Jka1/9jfTI4/FosSwvWvL/XbrM+NFoLI0lR/pz&#10;P8/N9iHZ9+47U5qPHJoP8oRdvrD5k4/ZksPxN3VW/p9cu8PxzPO/bm1p+em//4wKVB2+/89/kt7N&#10;AJBUTndHWd9Qk1R3NeVzQ6OxV6WaF+POFy+14tkJAPHZ/eZDer0rENt5o+/5ox8vqawq6NWPHPrg&#10;s9bWlsamNQsWlpRXaHizZfU9wj+9NcgWJ5KdqUAyxezJTfq48gu9//H4fSQa2/noC2/sqr5l02pS&#10;hNjRbjx39uKq1Yt47Ucs5gylivO+cywUUygn/yfg5Rdfq6vz1+Wx86N5Nm5a1/DVCu5DO3yIeunF&#10;T7klliyFwp9g1tYF/yF8Y9f7d98brExkyx6vu6Gemhhu/uu23dTEEPBXTy96a4+Lm3iSRLK9TXTf&#10;PT8n5/DJZzbU1vks5qt+usPfoYU5Vzet99cSsl1rAmdGwA0NWfUNefve9eeDFKfO9OnnHuTMTUZo&#10;CDDO7fK1nTW2d5ii75atkS6uycnSYo4/AFyOsjKzoo9/cT64NAq7fOHw8DB3z9/89je83DCSA//9&#10;903f3kySTa1Gg9wQLlsO55lJ9xEKFMl2tzNlWN8QACAFBeoE6UlDQyoQ7QVK25gLr2HxhCjw96/2&#10;hK31e+zn66O3rNl6u8JquYtU57W2tux8dELsdf6LS1tv94dxbFkf84PuvqeAHJON26qqquvrReXl&#10;RWbLFjYai4LNNxub1txwY21+Pp2bJ+KUXo6HhqEzfFlkf+ZMMj+dTPtl9icFmGxNYk2df6ZAYEaz&#10;H0lImf2fevaqXzyeS+7qgf2+++75Zejx2ZnOJDSkApOmG69fQMoSSS0hu7PF4v7pjnbmPjAHv2XT&#10;anI+2d81Z6p18PzEEhkDXIY620ba2oyTTkxetFBbVqnG6QKAyxYb+VkslrDjLDZJbG2Z8B6P21g5&#10;VOX8K66YP//To0eHTMbGr32dLYe02W04+QBR0HQpTkJ0KZ8bnjv3WUnJihh3fv21MB/RnS6sFAsA&#10;CRC6muG2O7dsva180nnQjLvv1axs2PHmnvO8yI8cgVTDsasKPvXky6R6rvtSP1sGSNLJCpXvZ4+V&#10;/uyxh6iJjYP1eo/V4gncSSlvocMbbqwdS9/C3M+XXvyUGpuRXVMrYH6ExSxYULGTmthQJZDTtQR+&#10;qHFlg0bfIyTRHkkzQ2styb1l7j/5lqx1+O6BHTc07iQj5E4GpjCPf8s8oo52x7NPvcM9FPPQyAY7&#10;nfnJZzZEOdXsrHNuyxQAYJgMrtMnB4aMk7yPKitVL1yixcRkAEhXn37yyZT27x8YCDve1dtDNqIU&#10;Ff7f3/3fsLlhUX7+7179fej4vnffibLkIgAkyqkuUwrd25TPDd9++w25QlVSXMVsazTjK0EIRVK5&#10;TMfdc2ioPewRTp/8qLLiajxxAWCOrd9Al1fsIP1G8vPpK64QBpKpWCfAkhbM3//+w+zE27F2wB52&#10;h5de2f74zj+Tyj52Nm5VVfX2Hd8KXWaRmw/WUoKxZs3BwUMffEY2mLsa5V6xuSQJDblXcRdtvGm9&#10;bmdgxcKdj75w6207Dh+2k/FbNq0mtzp+fHzpn/sf2EbuLXfu845H7gptS3382Dmy8dOHL/AS1cam&#10;NaRgkOShrKefe5A5zlt7XJEeHQk0N25ah2csAMvt8p08OtDdY4m+W7ZGunRFnlyJ2S0AABENDg7q&#10;dLqWs2dDGx+zM5dZ3Xr9iy88f+ddd5NvDUZj9CP/+oUXcIbhcuZwnJ10H0Ei5ikP212RrmqoTLr+&#10;zunwTi5sFWHs/vb3/Tl5hRUVtQp5VuxLJQIATF8g+2ODqnjK2fILvfmFEa9tbBLU1284eMBx/Hjv&#10;yy++1ti0ZvmKipvW6+IonWNjR4VSEGntRSpQVMj8IGbnn+44fdu2xcwDPHkiuDNZgpC92zseCU61&#10;futN8/GjF8j4tY05vOS0qqr61q3MI/RyyyH9g7dp29sE7A8N/iu7ahm5n9zQ8P4HttU35AWSR/+j&#10;tljc3HvLnbkc5dEp1Qo8XQGIMycMnRdGPJ5oyynIpKJFX9IVleKFAwBpi0wZHhwc/PTo0ekc53//&#10;79sXVlWdbR1fiP+Pr/3h21u+wxyf23aZ9Zd3371pwy06ne5XT/yCXbiwW6+/feut9StXkquYe/Wn&#10;PW/senNPaBYJADyYpzwp/B9gvyjJ47p1t8gVqry8ktKSWprGujwAkGKUKt/6DfT6DcHJyAHTmm8b&#10;WuXH9aPt8y0j60jPZebS2LTm/BeXwt6QLTlk5wtv3LSOnaPNTkm+9/5vkJSTFGYSZNpy/wn+PWGX&#10;dKyqqr79jsaKCkVo2WN7+yC7/f3vX0HORkd78G13efmEA+p7hLwjA1zOBnrtx4/1T7qUYVmpunKh&#10;BhOTASC9/fqFF3bt2tXV2zOlbG5wcJCdj0wMmYzNn3zMHXnm+V8zl0hHYPZfd1OYaRBt579gLlPq&#10;7AyQ3nw+LO45M1IpN+ROQ54zb7/9Brv9fx74N8xoBoDLGXeNwrCUKt/Pdi6mxqb3sjOL739gG29P&#10;bskh0Xj9AnabvWFoNxLmVmTaMts7hZ0BzS7pOP+K4rVr1YHAMbjQYXk5RQJEdr1C5jhs3aXZ4mDv&#10;P/dnjc8Bz0fZFFzWbBbP0U/7Jl3KMDdHXnNlDiYmA8DlYMhknFKf4nvu/l5ebt4/DzejBhBgbrhc&#10;nZPuIxLpEnLfPmwdiHRViTbpPnek0hs7iSTB5R7/75P/tn37f8behgUAIG28e2CHXu9pbJq8gEip&#10;8v3q6UX+Lsavf8bGf2ubCkLn/7Ilh1Rg/UHuwUnD5aefe5CN9tY2Sv3f5tMrI64V7i9pJFkk83OZ&#10;y8ZN65RqxaEPPmMOxYwHmlwHA03y0yctvWSLHBXIQeBy5Xb5zp7yT0yOvptKSS9eosspkOGMAQCE&#10;dfz0aYo6jfMAkFREoqRbTLAkG7nhNNC0evOWbdNczXCaHn/8x08++SdMWAaAy41/KUZqCrMOG5sE&#10;jU0rDh9aode7QpsyE0rVKLu9cfMy7lV/2buBmlj9RyZcc/dhDltVVV135YK1jeMrJ959ryYv/8H7&#10;7vklxYkIA/d/QvdqbiI5fh9Cmp/06ceaKeeLoqzqCJCuYlnKUCQSLFqoLavEWyMAAABIInbHGZyE&#10;GZFiBRRLlzZ+dqSZXZ4/IfT6FpQcJlx7m+jnj/3P+S8u3Xv/N3hRAhVYkqyvf3SstywAJEygNpCO&#10;lLg1NwdXSdu4aR2vkpE3Xzis2jrff3+4PrA5YWfmb8Laxh0HDzj69FaFklYqxStXyti/Bk8/96DF&#10;4uZGjVRgocObN+wIDTfbWnvZn4XfJlxWui9Yz3w+GH0pQ0ZZqXrhEi2WMgQAAIBUJJUsSsjPPdVl&#10;inRVplycbGcpxXJDuUx37w+e7O46OTDQZXfYEpIhKpUavLpmyonjAjINsLxCyq4+FotfP3OSzH98&#10;9ilq/Yb1vGM+8IM3yBPjyLGH5yw6JGGlQiFgGzsAQBQWs2D365+S7du2LZ7Zar6x4sQwvarHxif8&#10;uEhtqUnFYujijABpbKDX3nJuaNKlDLM10qUr8rCUIQAAACQnhzN56w2H7a5IV9XMy0q2e5t67/aE&#10;AklJyQpS8ddQ/53oO3t9TpuVv96k1WZyOe2hO1+81Mpu26xmbkcU1ve//6Ps7Aq8AmfEieOCGxp3&#10;ckc2blpXt7S0okIRZf0y7od5RmhwfHB/LzvY1z8aNguY8Qfy5p7zL7/4Gvm2qqr63vu/sbZRGnsM&#10;CnAZ+v0rBpL+3//AtqSt5nv6uQc72o033VxEUfj/AZD+bBbP2dOG7h5L9N1kUlHdlblYyhAAAACS&#10;WSz9lGXSRThRk0rz/0ssFEhUqnm8wdARgjf7eO3au5ivZnMXOyKRqLGy4Qw6uL+XN7J719u7d/k3&#10;qqqqb7+jcawdKl972/jzltmTdy3bF3VSbLVj8DceV9L36u+sP9n+NHektbXlvntaNm5a97OdixEd&#10;AoT1/LNG0kmZeQnfurVw0v4kiRIoTsxDaAhpz+3ytZ01tneYJnnXKBJUVmgqF2XhjAEAAECSc7ku&#10;TLqPQJCYJiQXDNYUOpOYXTKJSCEjTF9vjyHSVa2tLT/Zzlz8xT6hyxdareNhXMOqZVP9ue1toj+9&#10;2f3Uk/wGO9vu3PKzx0qndCg2+wi1e9fbSrViqgcEuBy8+jsr+8J57OfrsQ4pQGK1nTG1tRujNz+h&#10;sJQhAAAApI6RkX2x7EbTifnAfmkoYi1kQ2Vusp1MvPmDhOG2Oo3kvnt++dOHL1jMcT5R83IzeCNv&#10;7XFd0/BoaGjIOPTBZ1M6OHOoSKEh8fKLr504nrwvsfY20R23ffq1q986sB9FkZAAVVXVu998aNJF&#10;CQBg9nS2jby398LZc4booWG2RrpmbWnNshyEhgAAAJD8LJYPDMZXJ90tUaFhykG9ISSFfxx6RKkY&#10;PXHSffL4AC/Ue/nF1wry77r73vDtaOrqCqIcllfHFKU8cOOmdd//QU3ssxEtZsGzT73DfltVVb19&#10;x7dqa8TMQ7jjtsfZ8Tf3nK+tS9I/Rj9/7H/I6nKP7/xzY9N6PAlhzmy9XbGy/hF0EAJIoBibn6iU&#10;9OIlOixlCAAAAKnCYvlgwPBCLHuKRDkJuYcXU2qSMoXcEJIESRDyCwWNTXm3bn3496/2cNPDnY++&#10;UFs3XpfEXZQwdqHlgTseueuKisz8fNFYT4YppBgHDzjY7itVVdW/fXlj4CF4mYfw0ivb2ejw5Rdf&#10;+9ljDyXnOSehIRXXXO+U4PGMMh+MQ8cVKjEagCbJSx4A5p7J4Dp9cmDSxFAmFVVWasoqsawzAAAA&#10;pIyRkX2xVBoG3+1IEtMU5eJQxNywoTInCc8qPjxD4jU2reF+m1/o/eGP88orHrzvnl+ygy+9+OnK&#10;hhVx/wh9j5B7NFJdOJZcxDNLt08//lK//Y5GbgjS2CTYducW0l6Z2ZjmyWHu+Syt/vbSK9ubD10q&#10;yFffeps2vpOQ5CxW1//8T890jpCtkYb/uykSqNX8ZTfFYmGWRjJhhBZmaWm8wAEgScTYLpn5E1dW&#10;qq5cqMGsZAAAAEgVPp9twPC8zXYk9pvI5ctx3mKB3BASr6g4zMKf6zfQffq72ArBA/v/1t72FRLP&#10;WSxudrfyCikv8wq7TOGf3hpkt8c6HU+r3KlXP8JuK5Vi3rU/2j6/+5I/DN16W3mkMkaLWdDREXgI&#10;5VTYtsv6HuGWTW+0trbc/8C2H/44b5onub1NpFSMciPIxiZBYxOZQz0zoeGkj4h7Z06esPXprQol&#10;zZy9mlp5clafRanH6R+wxXFAlZIWi8c/h6vVNPP5nGzzYkfMCgSAGeR2+U4eHZg0MfT/i1yorFmK&#10;dQwBAAAgldhsRwYMz/t8U/iMJhLpEjVP+YLBllqnF7khJK9rG3N2Pjr+LdtGub19MMqt2OnDLItZ&#10;wJ2h/P0f1EwzNGRUVOjY7UP/bF+/YUKFs1Lle+kVUh0Z5gcd2O87sPccty3M/Q9su3VrIa+u8PBh&#10;O3ksTz358g9/PGGys75HaLFmcLO29jYRc37GJlzzsQs7TqkNBXPMjg6X1eJRKEX5+aK83IxIlY8x&#10;PiJyzFdf6SDFmFzb7tzyo+3zo6eNacBscXG/nXSeIMGWPXLrHDOzpHTggz2qGgEgCrfL13bW2Hlh&#10;ZNJ2ycyfmqUr8rCMAwAAAKQQh+OMcXiPw3F2qjfUam5L1H2Osr5hEjZTppAbQjKLowaN23mZnf7c&#10;3Dx+nPsf2DYjpW3cGsPdu96urCqI1LmF54n/7Avt5syM7Hu3+rVdt3CDtuPHe3m76XuEf3pr8Min&#10;7WRpQuYB7vz5l5mbsMfc8UiYBjLchR2bD/WtbMhjx5kfUd9Q3NgkCL3Ju389wS6AyHr6uQfXb6Dj&#10;fkTtbaJ/3bY7NNilAgtBdl9a89SzV6V9dBgHbrwYvc6RTRjZSkY2XszSSlBABHBZmVJiWL0gG2XO&#10;AAAAkELiTgwDH+e/iknKsUNuCInBDfgiObB/wked8vLJD3vyxPhN2OnPJ48PsIM1dTNTirxy5YTP&#10;VzsffaFXv+XmDfMjVfwRzz9rDI3YiNbWll/856lfPR1+Zdb2NtF7BwZ4fV0O7P/bDTfWrt9As8d8&#10;Y9f7d9/L74z87l9PhD23ZMHHl1/0N7Nms1TmB/36mZPcykGu48d7128ojfsR/enN7rChIftwOjqu&#10;qq3DiyN+bMIYpZKRnSudne0PGdn50WgXA5A2Yk8M0fwEAAAAUi9MsHxgtn4QX2LIoOnSBBYbMk51&#10;mSJdlSkXJ+EJx6dESAyyEB5RkB/mE0t7m+jxnbvZb7fduSVsJVpHu6O8XEquOnFcsH//+dB9zJbx&#10;DKW2hnkdzkCbkfxC745H7uIGeS+/+NrLL/prAFetXrR2rTp0ii6voTNz89o6jdnie3znn0matnvX&#10;243XL2Cr/7iTea9peDT0PlRVVQfiSy+zQY7AfGVOAje79M8g5pQNrm0qIKsZHth7jh1UKkbJhr5H&#10;GKkekKirK5jOI9r3bjO7MyldJAsdPvvUO8z+zKPIy83AS2O2sXOlI2WLJFhk50STikXMhgZICUgM&#10;AQAAIF25XBeGzXtttiNTWseQh6ZLC/J+KhDIE/hAhu2uSFfVzMtKwjOP3BAST6GckEeQ2bi82rqb&#10;N8xn23dwO59wuyRHwg3gZrA38a23adta1/FK8w7s/xtz+cl26j8ev2/r7Qp23GIWPPvUO2S7qqr6&#10;ty9vHCvxE5SXb2RjwQN7zzU2Td4MfuOmdXVLS9l0smHVMjbs62h31NaNn8/dr4+fq0Cu5yN3hr3b&#10;jU1r2HPy619/wQ0Nmft5y6bVefnjj4I7STmOR8Q9+NpGf0Mb5iYVlfTaxg0HDzhqauX5hR68HBKO&#10;DRbDzokmqaJMJmIuzLc5uf5/cTEJGiAZdLaNtLUZ7Y5J/pCiXTIAAACkEIfjjNV2xGb/1OMZnOah&#10;kiE0ZJhs7tT6FSA3hMQ7fvSCUlnBbPTprW2tvaGTZF96ZTu3hi5KQdxcUqp8/r7MakVolw/GT7Y/&#10;bbWMrzbY3Oxh7/b2Hd/irrHIbG+7cws5CPPYA72ew9eJNDat2bh5WX29aGyHYN7HLQPsaDdS1PgK&#10;hmyxYVVV9a23aUn2yi32XLCwhGwc2O/jPpAdj9zF7B9ltcE4HhFz/9n789Mdp9lx5msgkZzh0FCp&#10;oJfUBNvXuFy+YVP48jqPxzcyMuF/+LjdPl4DE2AFz4wx+G17x3iNvUzqDxPZQkVEigBzg9QYdndb&#10;kBgCAABAevB4BhyOM3bnmWlWF3IlSWjION0dcZ5ySbYiCX8dyA0h8Xbvenv3rvBXNTatue+Bq6Iv&#10;GhhJ2OnPM8sfHT5WWt+w/eTxgdBl/nY++sLKhh3kzn/RPsyOl5ePZ2T6HuHhw3ZuYNfRQdXW+edc&#10;cw9VVVW9fce3xib88s8Gd7HFfe82//DH/iUOufWAjHvv/wYbAur1458tyyuCySZ3Fcix/irRTvtU&#10;HxHjjjtXsLkh80sfHrbG/cuN6a+bKIO7zH9RaZx/gm0Wj9Uc/D9C3PxxZMRFZgIiZyTsDg+JLUih&#10;IjdS5FYpyuVihVKM5RQBpi/2Wcn+v4GFypqlOUgMAQAAIDm5XBdcrk6784zDcWb6pYX8T+7Kr+Zo&#10;707+k1CiRW4IELOqqup77//G2kZp9Aa7GzetU6rHX1qHPviMLYLjTrBl6XuEMzhVmWhsEjQ25d26&#10;9eHDh+1kqT72qoP7e2vr/NV/vfoRdrCjw9XfJ2hvtx4/eoFXXNnYtCY0R5s4CzgM5hEx54Ecivnp&#10;5DEePOBg7wlzWDIvmHxrtYwfKj8/OPX43NmL7I9jKxOjiOMRrWzwl47ecdvj5Fsyp5sZCW3onFTk&#10;ShE34YqSPzKf4U0GZ+AMu22B4nOSLSYkWBQKxRkZAo/HmQznkFelOP4vkEigVtGkRJF0aMFCigCx&#10;mGpiuHCxFkk9AAAAJBWPZ8DluuB0dTqcZ5iNmaorDJWjvUupXJUkjzpKU5SkhTeRkBgd7WEmjTY2&#10;rVmwsKS8QlNeIR0Lm/ifiPQ9Qna7qqqa14D41d/pfrKdP4uZzdQYhw/buYv0zaD8Qi9z5LWNG55/&#10;rpetPWQ2fvjjh3h7ssEZz7Y7t2y9rTx0um7DqmVRQsPgPl+tYGs2v/jCq1RNKDbcuHkZN361WMbX&#10;U1AoBcFOKWOVgMyPi57Vhor9ETU2CXa/+dDDD73FZprMbZM/OoyRmBaQCsccShZ2B5PB5XZ5Sapo&#10;t3uYy+xFil7vhFUzxCKJOjNfrcoRCmmVOsdk7Ha6/P8w9/ScSeh7BR9pz8JbS5HkiahPBAiFxBAA&#10;AABSkc9nc7k6Xa4Lbs+Ay905q0Ehi6ZLc7R3M1+T5zxEaYrSUJmTnL87vJWEpOBfwbBGzKkEjPhx&#10;qK9/dPx1tWoZ71qlcrxtuWLsk1Ld0lI2U7vvnl/W1D4yaQwXN6XKt7ap4Kkn+eMVFbpIN6mqqr79&#10;jsaxJidx3rGa2vFlGvR6l15PcYsNealce/t41XdoeWP3pX6KmvwPa9yPaGUD9Ze9G37x+Hl2LvMd&#10;tz3+j0Oz+EtJHqSSLjRVJIWKZBI0yRP9F8dMnhC3x2kwXGAu5FuVKkenLS0s/NKK5bcUFi5yOq3k&#10;qhFzv9nsn7FO8kRmm3w7x4J5Ykh9IpnvrFb7SxTJ+oncqegA6c1m8Zw9bejuscSyMxJDAAAASCCH&#10;w/9pwu444/EOkLrCOUgJ+R++Mm/WZG1ItjOTck1RKOSGkAy23bklEGxNefqwSinljfTprex2fr6I&#10;5I9r16p/sn18n3/dtjt0BvThQ1R7u/+2tXWqaa64Z7WM33zjpnVkgxtoEo1Na1atXlRRoVjZQAa8&#10;kQ4S+jBDVVR62K4jh/7ZfvzYOfaqO+5cwdvZMmINPUJVVTWJGpmDvLWndtKqzKk+ogm3DawLWZB/&#10;F9s1+70DAxWVmsv2JcAWKvImQZP6xIF+G2neMmJ2xVJhFAsSCJ7vPEK+1WpLiwq/VFi4iPmqUoX5&#10;31wkRiSpostpGzR0Mt8ODna6XHP6zz+pzSQliuz6idzJzqQ4Ec1YIM0wfwo62oxIDAEAACA5OV1t&#10;RtMel/uCz2dNSETII5UuzNHeLRIlY/lelHnKybm4IYXcEFIOd4Iz29ODxV10Ly83g2zkF3qffu7B&#10;++75Jfm2tbXlvnv8ARm7NmL3pX52li6jq++huO+exSzYs/s0+23d0mDhXmB5wXG733xoLFwLT693&#10;RXmYYa1avYg8Cu4Kg9vu3BL6g0I7VjNu2bR656PBEsVnn3onP38974b6HqFSNcqGrVN9RKFuvU27&#10;81HuL06DpzdPsD6RU1JHKhPJTOehIcdMlSWSUsSTp/ZSgVLEwsJFzEWnLdPpysgOzLf+r9Si0NuS&#10;CNLptJIwkSSMcxkpRprsnK3xP0Wzs6Vk5UTMdIZUNNBrbzk3RJ7hk0JiCAAAAAlht59kLslwT2i6&#10;VKvZKpUuSsXTmJzNlCnkhpBmuJV03P4n6zfQffrx6jYibHzGVgjGjvQ+1us9fXr77146wO2LsrI+&#10;k0zUVap8Ox4ZvwN7dp9RKBezhY3MEQ4fMuTlK6az9mLgZ/GFLphoMYevw7ppve6NXcGSQ+brxpt/&#10;zpyKhq9WUP6s1rjv3WZmsKqq+rVdt5ATO/1H1Nw8fsdiqakEaqwykTfTeaDXbjI67Xb3jNQkms0D&#10;LS0fMJfAv7vyIn+G6C9FZDNEHpUqh5Qozp+/IvRQzIVbpchOiJ4DJGrhBS5kpjPCREhybpev+4Kl&#10;rc0Y4/8YQGIIAAAAU0WmElOB/iQO55lUfzhS6UKVYlXy9D+J5FBbf6SrMuXi5LzPeIsJiVdXVzBT&#10;h2KjwKqqat5Vd9+rqa176KUXP+WWFvLc/8C2u+8pmLSVMOutPS5eA2Wu/3j8Pu6afbfepmWDOeZ+&#10;MhfmTjasWsatdly58uG42z0zP4uda0zseOSu0EUDOzrGtxub1rDbzM/dvuNb3A4ngTs54bbMwbmN&#10;Zab0iPQ9wh0PfcSMk+nMVouLG+PW1OXghRA3f5LIqUm0WTxGg3PY5BgZcZnNrukUJLpctvOdR8h0&#10;ZpIhls1fEWkucygSKYZWKbLpYXfP59RYieLcdGjhznQev58IEyFpMK/f9hZjV7clxv8BgMQQAADg&#10;Mkf6jXBH7I4zE651j1/rcJxNvzOgVH5VpViVojWGXDXzspLzjuGNJqSn0JYpVKAjx8qGFYcPrThx&#10;3NjW2suGjNvu3FJRoVtZnxlI2WINDS1mATv3OdT9D2zbevuEMmOlyvfblzf++pmT7M9tbW3hxnxV&#10;VdVsaHj8eC87roj5A+F1N9SzB2SOdutt2ugPp6g4l/ttY5PgpVe2P77zz5GSUOaYK1fK2IULp/SI&#10;+vpHSZjIfOVFtxs3rUuPfspJQq4UMRd2qUQytXmg3zbNGJGbIZK5zPPLVjBfJZIpl9MzNwlOfC7k&#10;/+tO0sPuns/nsj4xbJiYrZFizUSYS51tI11d5hinJDNPzrJSdeVCDZ6WAAAAyczj8XcFib4PN+ab&#10;cFtvmNsGUsILOLFUYEoyKTAUCOQpdLcPtUV8PmTK6OS8z8gNIfHKK6RTSOss0doPbdy0jmRYUWoY&#10;A+mhhqI0v3qal1lMLU9Rqny8+j6CGbz3/m+EnZ9bUelhfmjj9Qt2v/4ZNztjbnLLptU3rdexkRx3&#10;3m5tjTjGpjHcqr3Hfr6e2/glrPqGYt5IY5OgtuaWgwdHPnj/DPceNjatueHG2kAzGW98jygvNyPs&#10;6WJ+ZT/68ZI4uuJAjIJTm8cKEt0uX3+vfdjkGBpyxD2pmTuXWastnT9/xfyyFZEmMk9J2DyRpIdk&#10;CUUy93kOGj1HWjORhImZWVJ6rJsNwHSYDK6LncOxFxgiMQQAAJhBFssHZusHseyZDO0+gArEhXLZ&#10;coV8BbORZg9tCeoNAbjy84Ox2sZN68rLp3DD9vZBdjs0cPzV04tu27aY8rdF9s3Bo9i+41skLyPz&#10;c1VKaU1dTn29KHpg19gkaGxa0d72FavVv5tCIRibTTyend19T0F5xYPkRMU+c5k58n88fl+f3rK2&#10;qSDSGWDGX3plu9XiqamVh85ipgITlrferth6+wqKWkGWbuQcyhf3I2IO+9oufyJ5/OgFku2S9RND&#10;s0iYVWJaUFSqYKsRTQaXachhMNj9XVbiKkUkPVWOHNlD0/L581eQOsQ4ihCjYOsTeUsoku4rzFen&#10;y9rTc2YOihNDw0TSzVkmEzGXnFy5mBaSbjYA0dksnu6Llq4uMyl3jYVMKqqs1JRVqnH2AAAAZorb&#10;M5CWU3fTj1y+XCZZxHxNzi7JMYqyuKFaJk7au43cEBJjZQP10ivbVUpBoAlvPBlfVVU12zGZa24S&#10;Q4LkZRTFawcR0x3gZHZh9leqfPH1SAlMjlZEvw+BScF0LPWVUzqZ0R8RNZ5ILppY6enDyyGBsrQ0&#10;cyFJBClFNAzaDAZH7FkGy+WykSLE96nnZ7YIMRJycF5xIrcZi8EfKdpmdeXEYDdno3+7vcNEBmVS&#10;f4yoVtMikSAnV44FE2H8w0mg4Yleb+WVskaXrZHOvyKLjfsBAAAALgdS6UKpZJFMuigN1i4kTLaI&#10;syeTdnFDCrkhJFB8S9o1NZV2X1qTman4/g9q8gs9OI0AM4VbijjNDJEtQlSpcsgyiKHdlmdJ2GYs&#10;pBRxzsJEu8PDXEhxIhsmovvK5Sy+uJAKtD0pr9SgiBUAAAAuBwKBXCpdRItL0ykr5DrVZYp0VdIu&#10;bkghN4SUQ3qbBDYRGgLMlpnKEM3mgZOn9jIXMos57lYq00RmOic2TIzUyplUJqL7Sloik5H7+qwx&#10;djthyaSisrLMsgo1ng8AAACQxgQCOU2XSiWLJHQZs5HSc5BjcXHIGumqJag3BACAFMXLELsvWOJY&#10;D5Gdxcxszy9bXhbIEOc+QOSKJUwcYb7O5pqJZouLuUTqvoIwMUV1X7AaBm19fbY41gwtKlSWlKrR&#10;cgcAAADSklS6UCTKEQlzZNJFNF2WWq2Qp++iAbkhAACkNTEtKKtUk/UQTQbXQJ/NYLBPderl+c4j&#10;zOV96vkkCRC5woaJZM3EOWvAEqmVs/8rpjknq7hfDoRKSc+bp0KBIQAAAKQNqXSh/6tkkVCgoOnS&#10;yzAlDHWobSDSVVly9EUBAID0QnqqVFL+/zMWX4FVMgeIXME1Eyc2YCHdnLt7Pnc5bYOGTpItzt59&#10;IGFi6DRnsVjANmBhRlCnNpcGeu0mo9Nffmt0eDzxtHiSSUV5efKSskysYAgAAACpSyTSyWUrBAK5&#10;JBAOIiIMK0qxIaOhMjd5f7/45QEAwDSxE5njW9CNBIjN9CtkDcQ5a6IyHWG7OZNqRDZG7Ov/wutx&#10;zN594K6ZyDZgoTgznUlxopgWIpaaEczT22hwDpscQ0OOqS5ZOPG9tSAvV55foESLZAAAAEgDSsUq&#10;TdYGnIfoTkZuilKcndQxK3JDAACYMXKlqHJRFnNhG8jGXorFroFImqjULLmeZHMphMSIbO75h6Pn&#10;zE63wPwF5TKNOk2UY4Cm3A5z52zfjbAznf1JosqfHmZn+6c8k/pELJ4YncngslrcJCgcMbviKyrk&#10;/goQFwIAAEDyIFOJGT6fzeW6gBMyq6I0U66Zp0nme47cEAAAZh53JcTuC1Z9r6Wv3zbVAFGlyqmu&#10;XrWg+hpmI+XOQM+I1ex0+9+Hqa5gB2vnl6qkUrdzZGSw3WHpt1sHLcPdbpd92Ngx2/eHOfncyc7c&#10;+kQy35mUKFKXcaRoMrjcLu9Av81u9zCX6VQUcmEyMgAAAMwqkUjH7UQsEChocSn7LVlekP1WKl0U&#10;egSjaQ9yw9l2qK0/0lXJ3BSFQm4IAACzjZ3FPNUA0WweOHJkD3MpLFxUXb0qaRdADKul38gbkYhE&#10;Kqm/1k8sUWuLlvKuTUiYGDzPgfnO1FiJIjdSZKsUZTIRc2E2MrOkdCBPTN21FG0Wj9Xsdrl8wyZ/&#10;MezIiMsfFE6993F0uTlyrVZWVKJEBxsAAIDLEy/OC4uX8XHx8j7WbKwe6HCemc7NmbuKX/ekojRF&#10;uboqqYsk8F4WAADmCBsgmgyujjZj7AFiT88Z5kIWQEyV+cvnh0Z4I4WZmVH2T7YwkWCrFCljxH1I&#10;uSLFyRYpTrzImOPuzwO9drJhtbhtNn/JJ6kfZDamP9c4OuZUaLVSrU6OmcgAAAApQaVcJQtXf8eF&#10;Lh+TCptvAtc7J7qjXLsE85QBAFLI4UOUXu8qr5CWl1NKlQ8nZDZkaell2jxqihWI3PnLNUuur65e&#10;lbTlhy0DRpfXyxssyMqc6nHChokMQ/dRr8s6YrzgsA3ZrUMO+5DTYUzUg2XLFanY7gJbwxj+KnXE&#10;ybxs/BdmfKarBafyeSOYFeYWyLBYJAAAQGoRiXImLQkEmKZDbf0/f/fzSNcuLsrKlImT+mWCXyEA&#10;AOunD194+cXX2G83blrX8NWKtY1SBIizhDeFubvHEsutzOaB5sOvMBey+iGvqXEyCC02VEloGT1j&#10;bwhImJg7/2ru4Mhgq9tpMQ+d97jtpDjRau72zGZD5/iM1zCGw2vnkpQfMATZGqlaTefkylN3sjYA&#10;AAAAzLY/fNT52kfno8xQppJ+kjKF3BAAgGUxC7ihIWP3rrd376Kqqqrvvf8b6zdE62mg7xEePmzP&#10;z6dXNoQ57PPP9TIbt24tzC/04jyHRQLEGlcO6cIcY3iUnOWHZqerMyQ3nJedPds/V62rosYiRa7Q&#10;PDGx9YkpRyb1z7/OzpZmZkk1WgnWKwQAAACAKC4arL9+v/WdE92Xhib/UPON2qIkfzh47wsAENQR&#10;YeG41taW++5psVju23p7+FjKYhZs2fQGsxuz3dX3EO/agwccTz35MrNRXvEgN3w8cVzQ0e5AMSMX&#10;24XZZvF0X7R0dg7HMv+UlB9+euSNJFn9MLTYkJGrVibq/kTKE+0jXTZzv9dlvfD+Lltvly9bwgyO&#10;SoU+mfByfhKSadRqNS2TibM0ksuwrzQAAAAAxOFUl+mdE93M5XS3KcabFGfLGypzk/3tMX61AAA8&#10;Gzet+9GPl/T1j3a0O97964kD+//GDP5k+9Nr1z4ctmDw4AEHCQ3DOn68l2zk54+Hhgf2++647efM&#10;xtPPPRi9kvHyJFeKKhdlMZfYO6iwqx+S5ssLqq9J2DuG3kHeSIFaLRIkXRgnU89jLh6Lsf3o4wKn&#10;U9BpZa8SSkWZlfP8Z5Ue9QpGmQ0H7T//PsGoi07zmlmZVJSXp0AfZAAAAACY/J1/l+lkl+lQW/87&#10;J7pH7O6p3vw7X56f/I8R74kBAPgqqwryC735hVRtHb228apvXn+JxIKHD9tDMz6LWfDsU+9wv+XV&#10;D7Jzn6+4QkhRwczFavHgPMeC7aDS2TbS1WWOsi4eizRfPnJkT3X1qpol18/x5OVBq8Ps5L9j0KmU&#10;SXuG9X/f7XU6eYOKzCza6S+yo8eu4bV08QhHfSJ/nugTUE46+IR3jG0kT7xIu4Qmp9o6KhFmeLMU&#10;QwLB5PfKbHGdPWdgLiolPW+eqqxCjXpDAAAAACAuGqwnu0ynAlkhsxFHVshSy8Tf/1pV8j9k5IYA&#10;AEEd7cFMKi9/PGlSqnzX3VAfpZywudnDvbajg6qtG7+2vS34Z7aqqppbq8gWIZZXSCkK85Qnx85f&#10;bm8x9vXZJp2/bDYPHDmyh00P52zycmixoUQkylWrkvbEdv/zPd5IhiBDqpwkbBV5MyjmEiC1B2O1&#10;SO2iXZIJz3C3aNQTyBxDuYWjXuFopB8q9GaIx34oj8wxHu0JPBkizm7ZPt9D/cuHRv1NaVZl9y7S&#10;XczP6onlzLABYrZGigpEAAAAgMvQsN19qst4sst00WAlpYXTCQq51DLx3v+zOsk7KQff+eN5AAAQ&#10;ndkSrcZt9+ufRbm2o8NFNq67oZ47bhkJzgktL5+w/4njgoP7e/e928xmkfc/sO2mm4sqKlGf6CdX&#10;imqW+TuOdV+wnv/CFEv5ITt5uWbJ9fPnr5jVu+f0eEMXN8xN4mJDw+G/uEaGeYMytVIgnMlZ1aR0&#10;kfPtnD5GicC9WfHFc5ZqZvuDoQLmUkjb63MvVud2iEUx3RXmacZc2ApEBIgAAAAA6edUl2nY7jrJ&#10;fLW5yXb0PsjTUZwtf/17DUvmZaXEmcEbXwCAaN7a42InGq9cKWMnGhMH9vvI6oeR9OntZKO8QsMd&#10;373rbeZrY9Ma7qTmV39n/cn2p3lHeOrJl8srHqyoxBqIE5D+y6T8sKvbMunqh2TyskqVs3z5htlb&#10;+rDTOOLyekPeFmQn7WnsORzm2SvXZKXZs2WFqrPcVtLhkwUftUv2Rlc11VV9XcHgfE1vnrI9xuOw&#10;FYiBNRDlWp2ceRLixQgAAACQKg619TNfLxhsFw3WYbvrVJcpMDgwZ3egOFv+0A2Lv/PlshQ6acgN&#10;AQCC2LnDxOFD1EsvfsrGgjseuSu0KQopNmxsWnPHnSs23uzvc9LR7qitG8/42tuDs1a585HZyctF&#10;xePNs55/1rjz0RfYb7fduYVsVFTo1jZiLnN4pPyQuXS2jZw/P2y2uKLvbzYPvP/+883Nr9TUXD8b&#10;Sx+eDJmkrJFJZXSSzj5w9LabWs7yBiUKmUgsTr+nyu1Znz8ytJw3eFCfU+SsKhAvL1F0lSjb1NK+&#10;GI9md3g6L4wwlxMnBNkaqVYrQxEiAAAAQAKRCcXB9+SBmkFqrISQjMzU/OK4pWJiSOA9LgAA3/Hj&#10;vcePj/czYfzH4/dtvZ2fMbHFhjfcWKtQhu+cwB6EOx+5vy846biiQkc2Dh+i2NDw/ge23X1PwcTm&#10;KggNJ0FWPyTNl7t7LNF3drlsR47sOXlyb03N9Quqr1GpcmbkPgxaHQYrf950flby1u5d2vda6KA8&#10;KystnyHFEsPVYuOH7gllv97R0SGbTaBQ9g0v+HR4QQk9dIXqfL7ivExsivGwHo+vf8DGXLhFiLkF&#10;MrRSAQAAAJgObg5IcaJAxsUh60WDlR1PeCA4qS1fLvvOl8saKnNT9HeB3BAAgI+bGDJeemV7Y1OY&#10;FIBd2TBQDxjUp2f+DQvWG7J1hVSgvwq7feJ48J9ApTJY2PXwQ2+RjaefezDQshlBYTxI8+UaV07b&#10;WWPnhZHok5dJekgap6xYfsv008PQjiiijIzCrMzkPFcei3Hg6Ce8QaFIKFHI0vXpcUvW6Q8HruYN&#10;WhyOLJlMJPC/wC+6si8asinDsjgCRIpThMhsq5R0Xp48J1eeUyDDCxMAAAAuN2Q6MJcpsGggd4Qb&#10;/43daiCdTsINNUU31BZ9o7YoJZqfRIHcEAAgiBcXsqwWDxsFsg4fokix4f0PbONmgr36EYoK1jSx&#10;dYVk/5paAbOnxSx4Y9f7ZJBMXj6w30e6oDQ2rQmEhjAtYlqwqFbLXGKcvEwap0wzPQzbEaUgWUND&#10;huGjvV4nvyuILInv8PSpRbab6O4/uYp440arNUc1oeH1NANEKrASInNp7/DfirRjzsmTZ2nx6gYA&#10;AIA5xavai/g2yZ2hmsb6Pf/y+Mfv9Z/G2aYCXZK/UVvUUJmbBnEhC7khAABfVVX1LZtWt7X2ku4l&#10;zz71ztrGDRMnDlP7918YCwgcb+1xWSzB8vjuS/0UVUq29frxxIqsfsiTl5vBfD15PPg/1jZuXoaT&#10;P4PI5OWBXnvLuaFJOy+z6eGC6msKCxdN9WelXEeUzn1/4o1kCDLkmar0fkqs9Bz+5+g3DRkS7qDV&#10;5VK53dJwqzryAkSttCf2NRBZbDtmkSi4GCIyRAAAgORxqsv0zonu2Tgy23ZjBs1SRd7vvuWqq8Jz&#10;IU7F2fKaeZqGqpyrK3NTpUXylCA3BADw484pfvKZDbV1Pn2PjuSGra0tBw84uJWAJ44L2OJEXpVi&#10;oAhxBdkOzFmOhjRa2fduM/m2vl6EGcozLqdAllNQZLN4zp42TLr0IUkPCwsXrVh+y5TSw9TqiDJ8&#10;4h+ukWHeoEQhFwiFafxM8Hm9PrPhOvGJ/6L/F+8qi80mzYxWaxkMEKlleSJLiaIrR6qPvQszi7sY&#10;okgkUKvo7Gwp5jIDAAAk0N2//+S1jzpxHmBK1DJxzbyshkBKyGyUaBXp/XiRGwIA+Fmt44FdbZ1/&#10;O7/Qu+ORu0i7El7J4eFDhliOeeTTYLLgn8uspHv1I5YRK8kiqbGOyRazgJ2kzCtphBkkV4qWfTlv&#10;oUXb2TE86dKHPT1n3v7Lv8eeHvaMWFOrI8rF994KHVTqstP7OeCwWEd9o4udn1WIFrQL1NyrLB6P&#10;1OlUSiSTHqTP42+iQjGXvmu+pLiUI+2PYxYzFcgQSR0iO5c5O1uamSVFTxUAAIA58+M9xxAawqSK&#10;s+WlWsWSQD5YMy9ryTxN2kxAjhFyQwAAv472YO5D4jzipvW6nY/6N7glh/oeIdv7ePebD61sCO78&#10;xH/2PfXky1SgGrG2zr+OIVkAkTHWH9m/7mHDVyvuu+eX1Fgz5Y6O4M0zMxX4Lcw2uVK0qFZbuVAT&#10;S+MUkh7OL1teX3979HUPW/r5q8Ykc0cUR2+7qeUsb1Ask4jEaf4GyGYMlliucR1pl36Nd+2IzRZL&#10;bsj1ubWYYi4GfxFioay/QH5RK+8SCRxx3DeSIZJtlZJWq2mtVpaVLcV0ZgAAgFkybHc//34bzgNw&#10;NVTmBL76Gx9fXZWTKaPTct7xVCE3BADwYxco5Mov9N7/wDaSBrIlh396Kzgjdccjd7GhIeVvcqLh&#10;3pYNBDduWsctJGQnL+fl+ycnKhTB2qLdu97+2c7FKDmcA6RxSuVCTfcFS1ub0e7wRNn5fOcR5hKl&#10;a4rZ6WoZ4OeGybyy4aV9Yfr/KNK6IwrDabV7XMHXeJm75Wpx9YfCCQ1SXD6fwWbTyuVxHNxfhGhW&#10;HjNfwWyX0EPFii6dVJ8tvxjfXSU9VcicenY6M0oRAQAAZlYs3UIg/ZDiQWosHCzRKkq1cuSD0SE3&#10;BADwa28PpoF1dQXc8bVNBU896d8gJYdrG6VsN+SVDdqwyxHq9Z5aSsAWMFZWTTggO3m5tkZMUd6K&#10;Sk9j0xpSmfj7Vwx336vB72JuiGkBaZzS2TYyaXoYpedyaLEhlcSdlD0W48DRT3iDQpFQqlKm96/b&#10;PjKh2/VVriMfyviNlW0Oh0YmE2RkTOcH+VdCdGVTVA2zXSHry5P25csvxNFNJfj7GpvOTL6VSUUq&#10;lb8aMSdXnqWVIEYEAAAAYLGZIJsDZsr9CxFyRyAOyA0BACYor5By08DaOh+b6z371DsU9Q2yHOGO&#10;R+4iyyCGslo8FEV3tAfjpLz88QnI+h4hORRzTNIUhXHDjbVkcOejL1gs2266uaiiMphhWcwCVCDO&#10;tqmmhzVLrl++fINE4v+1Oj3ek738xS4L1Oqk7Yhi+Giv1+nkDcrSvdjQ43Y7zBOaFOk8PY0SwwGn&#10;ljvoHR0dstl0ihlbMaDdnsdcKGONWuAqlvXlSPvj68jMYp6fzKV/wEZWRUSMCAAAELcl8/B/65Pd&#10;4qKsLHnwTTUv+Lu6KifsOMwG5IYAAH71DcUUtaWuriA0Ddy4eRm7UqFC6f+zWVVVfdN6HUV5ubsF&#10;Ake/wExk2mxxcMaDx/zii+BNFiwsYW+4fgPdpw82YHnqyZdJeeO2O7eQTs3Mz/rL3g1ID2db7Onh&#10;yVN7z7X8o6bm+pol13eOuFxeL2+HgiSO4Tr3/Yk3kiHIkGeq0vuXazeNhA5uuibvwAH+L9ricGTJ&#10;ZCLBDAdwIz46uBgitYwaq0Oczlzm4OMKiRGZ+04mNSuUYqyNCAAAEEWmTHz36koscThL2NI/LjI1&#10;mIuN/4iSbEXa9yZORcgNAQD8GpsEjU2lka566ZXtVotn5UpZfqH3H4ceUSpG2WpBVnm5P+NrbW25&#10;osIfG5HUj5GXOz7tUa93kY2augn/Rt59ryYv/0HSL4Vgb075qw4zlCr8iuZCjOmhy2U7cmTPyZN7&#10;xUVfp9S13Ks0MqlGIU/ORzd84h+ukWHeoEQhFwiF6f1rtQ3zc0NanVnd+M0t+k9fO3GJd5XJbNZl&#10;zm7yG6xD5MxlzqSH4u6pwiIxIjupmQq0aZbJ/GEiChIBAABC/eeGK4ft7rRvqcyt2otErZhWNPRf&#10;26+SShfhGZWukBsCAEyusYn5vE2TAkN2EjGPUuV7bdctStUos6HvEY7dcA03YVzbKH36uQctFnd9&#10;vYi3NuL6DfTKlQ8fPmw/frz30Aeftba2bNy0rm5p6dq16tCMEmZV7Omh6/xfM8T/FBR+3ZcVfKuU&#10;n5W8EyXO/+UPYZ63uuz0/m3ahkdGfaO8waKvXst83bq+5t0zvcPuCb9ii8ejdLulc9VdeixD9Cuh&#10;h7QSk06qV9OG6UxnZvkzxMB6CaQgkXRZUatpmUycpZEgSQQAAHj+1v/1/dVV75zono2DL5k3eWA3&#10;VaElezOit+9DhwNPBwgPuSEAwIxhAz5m4+nnHqQCQSE3H1SqfOs30IEI0hf25sy16zeUUhS38hGh&#10;YWKw6eGZswaPJ+I88VH3sPfCW4KBIxn5DWJNVWGyTlJ29LabL3byBsUyiUgsTu/fo83IL7EUSiT5&#10;X9/IbKhUko1LS178+AveDiarNSH5b7CnSqAvs1rgypUYZ6oUkeB1WSHYmkTMbgYAgMvTknlZWCAP&#10;IArkhgAAsyKQD1Jh80FIIWWV6qJSZdtZY+eFkSjpoc92kfriNUXulfa8jTL1vCR8IJ1v/X+hg4p0&#10;74jitNo9LjdvMHvhYpEyuBT67Zvq9p/uvmSd0CvG4fVanE6lRJLAez7io0c4pYh5IotOYsyijf5q&#10;RGn/jMSIBFuTyCLrJKrVtEgkyMmVi2khwkQAAACAyxZyQwAAgGjEtGBRrbZyoWbS9HCk/9jHB8/O&#10;u2JV6Ze+KZaok+cheCzGobOneYNCkVCqUqb3784+EqYjStn673K/3bqqaufeU/xfpc2W2NyQp8+j&#10;ZC6Bzir+VRFnL0akJq6TSCY4U2NhIrnI5WKFUqxQieVKvI0EAAAASHN4wwcAADA5kh6WlWeePW3o&#10;7rFE2s3jcXS2Hui9+MkVC68vqm5Kkjuv//tur9PJG1RoNen9K/O43Q6zlTeoKimTFlRwR65fU/n+&#10;0YuH9ROmM7t8PoPNppUnaYub0BhRJbaSSc1qyaBMbJrxn0jCRF5lIhUuT0R9IgAAAEA6QW4IAAAQ&#10;K7lStOzLeQst2qOf9vHWieNyOoxnj/2hp/OjKxZ/U1u0NOF3u/uf7/FGMgQZUqUivX9ZdlOYYsPi&#10;r98YOrh57cLDr37EG7Q5HBqZTJCRkfyPlMSI7KRmKtCmWUMbFSJrpr/FygwXJE44yRHyRCqwciLz&#10;lcx3FouFWRp//SaasQAAAACkFuSGAAAAUyNXihpWFw302k+fGjRbXJF2GzZ2HPvwyfx5K6pX3J7A&#10;acuGw39xjfB7g8jUSoFQmN6/JtswPzek1Znald8M3XNpXeG1H+jeuzDIHfSOjg7ZbDpFSqar/gyR&#10;EyOSLitzkySySLAeNl4nnZ2psVSR2cjJDZZ25hTI8BcGAAAAIHkgNwQAAIhHToFsdUFxZ9tIW5vR&#10;X3IVgb7r00H9qbLqprIlNyfkfl76+19DB+WaNO8baBseGfWN8gaLvnptpP3vvKXuvf/nb7xBi8OR&#10;JZOJBClfH0e6rIRNEmmBSyfVy8QjszG7ORLS2ZnipIrsQoosUq7o38gObmRmSelArSKmQgMAAADM&#10;GeSGAAAA8Yul4bLH42j//M+9Fz6punLTHE9btrQdNV/s5A1KFDKRWJzevxebkV9iKZRI8r++MdL+&#10;RYXqLbXFr524xBs3Wq05KlX6nZ+JSWINGSyhh2ihO0/aJxa4M2nDHIeJPGykGGVBAIZKSYvFwWCX&#10;rV6kOCEjAy1cAAAAAOKGd1EAAADTEmPLFKulZ+6nLXcd3B06KM9K82JDp9Xucbl5gzlL/5dIGa0V&#10;zNb1Ne+e6R12TygdtbpcKrdbmu4xK3HRlU2ROc4cJExkKxOZkWz5xeS5z9yFAqInjCxu1MggTV24&#10;O3Azx7HXOCocAQAA4DKF3BAAAGAGkJYpJb3q6IsezuW0ZY/FOHD8M96gUCSUKNJ8CTmbKUyVXPF1&#10;W6LfSqWSbFxa8uLHX/DGTVZrfronrVGQMJFXmUgFWq8wX/Ok/q8kT5ybZROnj//yNMZ/KHYyNf/t&#10;tUigVk+SM7JLOsbocquadLt8JoNz9o7vcvmGTbP4dB0aSsxrIcb0HAAAIHbIDQEAAGYMu+jhmbOG&#10;6NOWB3pOVS/botZVzd6dufTXl0MHFVpNev8KPG6302rnDWZVL5QWVEx629s31e0/3X3JOiGtcHi9&#10;FqdTKZHg6c1FyhLbQ/JEUp+oElnlIn/tbWpFilMVJaPpH7BNcgI7THgWAQAAQPJDbggAADDDyKKH&#10;Z08ZOi+MRNpn2Njxyd8eLatqLP3SN2dp2nJv8/u8kQxBhjxTnd4n32YME8eUXLs+xptvXVW1c+8p&#10;3uCIzSanaUFGBp7bkwrWJ44bjxRJMxZmg8x6psZSRZHAqQ7ULQIAAABAskFuCAAAMPPEtKBmWU5J&#10;WebpkwNRipI6Ww/0Xvxk0YrbZ7xfSt/f/uB18mf5pX1o6PN67SP8JSZpdWZm7TUxHuH6NZXvH714&#10;WD+hrYrL5zPa7Vq5HE/s6Qg2Y6EoTmfnGu4OeSKLSmxlNthyRbHArRYPut1eZjs/qwfnEAAAAGCO&#10;ITcEAACYLVlaumF1UfRpy06HcTb6pVx6f3/ooCwrzXNDh8U66hvlDZZdd9OUDrJ57cLDr37EG7Q5&#10;HBqZDCWHs6rPo2QuoeMGm81sH597XkjbdbQjRy19dNty49A5Muhy2gYNnew+PT1ncD4BAAAApg+5&#10;IQAAwOwi05ZPHh2I0m2Z9EtZtGxr7vyrp/8Th0/8w96v5w1KVQpRuvcFthr4TS6EEon2y9dP6SBL&#10;6wq/9XHBn1t6uYPe0VGD1ZqjVOL5PPc0MpnT6XT5gsl7j0vGXCgLVf6x+7HNt0x688HBTpdrfLXB&#10;7p7PudcaBjudrglrESJzBAAAAGAhNwQAAJh1Ylowabdlj8dx8uPf6joPVy/7jkw9bzo/7uJ7b4UO&#10;KjRp3hTYYbZ4PV7eYEH9apFyyq1gttz4JV5uyLA6nRq5XCQQ4Pk8xwQZGdlKpX6Ev1rob99rve7K&#10;efULcqPfXKcr435bWLhoqnfAbB5gLrxBp9PKrXCcdH/ebQ2GC/jNJpZWWyqRKGbp4DptGS1JwMoG&#10;zM+dpQd1xfy2WHaTK9RKRRaeXQAA6QS5IQAAwBwh3ZbPnPD3S4k0bXmw77Tp4L+XVTeVLbk5vp/i&#10;6G03tZzlDYplErE0zTsCW03DoYMF16yL41BFheo7r7rixY+/4I2bzGZdZiaeyXNPKhYraNrq4mfu&#10;D79+9P1/b5rtn65S5TCX0PH581fM2RlgqyCbT/S/1Xx+YGTy/tQy5qTJJAJBSk6u9/lGvzArBpyU&#10;w+32jo7O1GHVMvHiEk39gtzFxVnFOgWzjRdXjOII3AEAID0gNwQAAJhTi2q1ZeWZRz/ti9QvxeNx&#10;tH/+54GeU4u/8t04Cg8v7XstTIKgVqX3WfW43W47vw9MTt0yaUFFfAe8+fqFrx/ttLgnxLsWj0fp&#10;dkvTfbp3ctIqlQ6jkRchfX7J9MTbp3+4bnHaP3w2tbmlcNEt113zx+bzv/jz6S6DdZKbGSkFTauk&#10;0pR80tJUDu3/r8PrdbndTrd7+hniiN19uKWfubAjK6tzAwFi1uJiDfM1U07jtQYAAMCF3BAAAGCu&#10;yZWiSfulDBs7Pp564aHHYhw4+glvUCgSpn0nZcvgUOhgQUP8lWhmr2P14py/HuvjjQ9ZLIUa1Cgl&#10;AJmtPGA288afePv0dVcWXW6FY9+un89cYkkPrS4Xc1GKREq5PEUjb6lQyFwoqZSa0QyR8GeILdSu&#10;5uC387SKEp2ifoE/TCzWKiadBQ8AAJD2kBsCAAAkBumX8tnHff0DtrA7xFF4qP/7bq+TX3Yny0rz&#10;qbU+r9dh5kcnqpKyzNpr4jugx+dt0/etWK778JzBZPdwr3L5fCMOhzoQYcAcU9C0XSSyeDy88R+8&#10;9PEczFZOQrGnh8xJs4yMSIVCpUymlKTwkgVhMkSPv9qYbZszTcxpZC7cgkSSJC4uCcxrLtYw28wG&#10;XowAAHD5QG4IAACQMGJa8OWrC7ovWM98Pmh3eMLuQwoPY2y13P3P93gjGYIMeWaaT1K2DplCBwu+&#10;ck3cB/y8u9cTKGW6+eqilw7y+1cM22xKiUSQkYEn8NzLUqnsJtNlO1s5rG/Xz7/uyqJ9x7onTQ8d&#10;Xq/DYhlhnsCB9DDVn8PBDDHANzpqd7sdHs+o2x2aLE9HaJLI+FKxf0Zz/YJctVyMMBEAANIbckMA&#10;AIAEKypV5BbIzp7y90sJuwPbavlLK+8WSyLOOO772x9cI/zeIBKFXDD20TpdOcwW3gitzsxb8534&#10;jtY/Yh60BMOX0lJlhVbWbrBzd/COjhrtdq1cjqduAt65CgSZcvmQlZ+OXZ6zlVmZcjr22kOXz8ec&#10;wGGbTSaRZMlk6dEiXJCRoaBp5sJs6wIJqcfjsbvdzH+Y7Rn/cZ9f8v+/Cl6YSCoTi3XBr8Vj3+Jl&#10;CwAAqf3uC6cAAAAg4cS0oGZZTkGh8vix/kiFh4N9p5v/+mCUwsPe//lH6KBSl53ep842POL18HOB&#10;3OVfie9oHp+3tW9CFrB2ZUH7X/mNlc12e6ZUmh6BS8pRS6UupxOzlcOKPT30jo5aHA7mopBIVBJJ&#10;mnX78dchCoXsjGyH2+3yep0eT4bXO7PViFykMpFqCXnGBpo4MxtktcTFxVlqOZ0pF6ObMwAApATk&#10;hgAAAMkip0B2jbZ40sLD4oFzV9Ru4hUeDp/4h/liJ29/iUImSvfmvzYjv8RSKJEU37gtvqN90T/o&#10;nBgr5OfLVlVqP2gz8PY0Wq05KhWetAmB2crRsenhbw62kMq4KKxOJ3NJg6UPo5CKxWwwylYjOr3e&#10;Ubfb7vXOSH+VKEgTZyqkPpEgU57VcvGSQIxIChWZDdQqAgBAkkBuCAAAkERiKTy89MU/+3tO1Tbc&#10;q9ZVsYO9h/aH7inPykrv0+W02j0uN28we+FikTKeQh6j1XbJyA9ZaKHw+XsavvzQXubDP3fc6nKp&#10;3G5puseySfr+FbOVY0DSw+Zz/cxpCZtYcZGlD41Wq1wqTfta2mA14ti3vtFRl8fj8nqZC+XxzEGS&#10;yMUGu/uPdYfdgS1XpMYqFv2DgXUVyTZKFwEAYHbfd+EUAAAAJBtSeBil1bLTYfzkb4+WVTVWLP0X&#10;/2f+3vaB45/x/42nxRKFLL1PlM0UppaqbP134ziUx+f9vKc3dLx+foFOLfve2uon3j7Nu8pktean&#10;ezKbtDBbOUb1C3LrF3yt+Vz/H5vP72o+H31n7+io2W5nLgqalkskZLnAtCfIyOAWJFKcJNHt840G&#10;mjXPVL/mOLDlilSEikUesszi+CtlrJKRa2V1bpQnDF41AAAw4TMFTgEAAEASYlstnzjR7/GE/8ja&#10;2XrAONC++Cvf7dr3Wui1ck1mep8ij9vttNp5g1nVC6UFFXEcLXSGMqNQrajO8X/k/uG6xa8fOs9b&#10;MM7h9VqcznSd2pn8Is1Wfvj1o49tXorzwxVID3N/tG7xb95r+eOh87zi2VBWl4u5DAsE6dF5eapC&#10;k0Tyeqd8PqvbPco85TyexIaJUQSXWeSIVMk4JZVtz+B1BOmk+cNmnASAWP9ZxCkAAABIWkWlimub&#10;SnNzIrbuHTZ2fHTg3/ouHOeNZwgy5Jnq9D45lsGh0MGSa9fHcSizwxF2hvLqinnstzs3Xxl6Q6PV&#10;6pvDKY3ARWYrh47/9r3W5nP9OD+hinWKxzYv/eyJGx/dfOU87eRr55HOyxeHhgYsFqvLdZmfPalQ&#10;KBWLtXK5TqHQZWYWajRlWm1+Vla+Wp2tUKhkMgVNK0Ui4WWWsQIAQNpDbggAAJDUSOHhwgVakSj8&#10;v9per9OxUOFdqKZE459X0z409DEP28qfxE2rMzNrr4njaGfDzVBeXpyrkozP07xu6bzQyX3e0VGj&#10;3Y5naaKopVKlKMzsmR+89PGwzYXzE1amnP7etdVHn7jx6TuuijJflcvqdA6YzT1Go8Fm8yRlkV2i&#10;kDCReR5q5fIclUqXmVmcnV2m1c7TaPLVap1SqZLJlIFnKSJFAABIUZinDAAAkAIqF2UVlSg/Ptxr&#10;toRPQzyFcp9SLDo7nGHxT7ZVZKf5unvWIdOoj1/oV3bdTXEc6ov+QbOTf1YL1YqaAh1v8LHNV37t&#10;3w7wBs12e9r3kUhmYWcrdxmsD79+7Jk7rsL5iYI0Tjl90fib91onXfqQCpQfugKrHypFIqlUKqdp&#10;AYKwSB+xBALyN0EZchVZPNF/PgPrJzIbo27/tHHP6Kh/KjQAAECy/aOGUwAAAJAS5ErR6rXFZ04Y&#10;2jtMYXfwqcWuq3Ti1hG5KUMgFKb32XCYLbwRoUSSt+Y7Uz2O2eE4bzCEjnNnKLMWl2g21c8PTVhM&#10;ZrMuMxNP0cS8lxUIspXKAbOZN878mq6/sui6pfNwiqJjntXP3HHVY5uv/GPz+d8cbOUtjReWxeOx&#10;WCzCjAwpTaskEnQVnxKyeCKzEem8scEiw+oOrkTp8/kyxlLFOe74DAAAl/t7LZwCAACAFLKoVpuT&#10;Kz9+rN/u8ITdwV2ldlmFPuOoYDRtS4FswyNeD78wp6B+dRyHCj9Ded6EGcpcj22+ct/RLl5bCYvH&#10;o3S7kZ4kioKmbTQdugCfv7dyiaZYp8ApmhSZvMxcmKf3683nY+mk4R0dtTqdzIUWCGiazpLJUHU7&#10;I9hgkYqcLbJItxb2WzZnJLhpI/fvFU4yAADEDrkhAABAiskpkF2jLf7s477+AVvYHewKb6/EmTtI&#10;i93p+THeZhwOHSy+cdtUjxN2hrJWIV1enBfpJv54ZW31E2+f5o0PWSyFGg2enImiVSrdJhOvv+2I&#10;3f2Dlz7+8/av4fzE7rql85jLpUHrH5vPh/YQD8s/f9nhsDgcUqFQHpi/jABxzjDnnOJUl8fyfy90&#10;ka9yuN04pQAAwIN/1AEAAFIPaZZSsyQnUrMUj8jXk++wqNJwtSyn1e5x8T/c5tQtEymnFttFnKFc&#10;Xhz9hj9ctzi0F63L5zPYbHhmJuwdbUZGtjJ0KTnqcEt/aMgLkyrWKZjn+dEnbnzl3oamK4tivJXD&#10;6x2yWruMRr3JNOJwoINKypGKxZEuODkAAJfvuyycAgAAgBRVVqleWV+kUtKRdjBkOQe0Ll9GWq2E&#10;ZTOFWd6xbP13p3qcNn1f6ODyebk6hXTS24ZtuGFzOHxYdCxxpGKxSiYLHX/i7dPN5/pxfuJz3dJ5&#10;r/7g6rZn1z+6+crQuDwSBIgAAABpA/OUASA9OZ3eMyfCVBLJ5WKFcsL/Ns8pkOF0QerK0tIN1xSd&#10;PWXovDASdgeb3OMRjeqGxOkxZ9njdjutdt6gqqRMWlAxpeNcNAwZ7Q7eYPQZylz1C3JXVucebpmQ&#10;RnlHRw1Wa064qjeYG1q53O1yhTal9S90+O+NmXIapyg+7OqHpPly6BKfkTC/C4fVOmS1YgozAABA&#10;ikJuCADpye7wROo5G4VKSYvF/o80IpFArfZ/whSLhVkaiX+DFmZp8ZkTkpGYFtQsy9Hq5CdO9Hs8&#10;Yep6XLRXn+vLNtEKa8o3WbYMDoUOzv/m1Noo213u8wODoeOTzlDmeuaOq5b96K+8QavTifayiaVT&#10;q3tNJl632S6D9QcvffzqD67G+Zkm0nyZuuOq2NunELwAkfm3VpruPd8BAADSA3JDAIBxZst4h4RI&#10;HSdItsgGizm5cgpFi5AEikoVGm3xx4d7uU9jlk8wOpjttEvEuqEUjrR8Xq/Tyn9h0urMzNprpnSc&#10;sz09npAJxTHOUGaRBeBC186z2GzSzEw8IRP21lYg0CgUgxYLb3z/se7fvNfyvWurcYpmBGmfMmxz&#10;7WNO7MGWzy/F+j/qSIDof+UGujAraRo5OwAAQFK/ucIpAACYEjaUIcEit6oxW+MPHbKz/V9zcuUo&#10;UYQ5JleKVq8tPvnZQKQ5y1aF2y325QzSIm9GKj5A65Bp1MfP+8quu2lKBwk7Q1klES8p0E31/vzr&#10;tVW/OdjCm7Bp8XikTqdSIsETMlGYk293u61OJ2/8kdeP1VfnLi5B2+sZkymnv10/n7lcGrTuPdb1&#10;x0PnYw8Q2S7MwowMqVgso2k5TQsyMnBWAQAAkgpyQwCAGTNkdLBf2TyR1CdmZ0vJ0opZWomYxupO&#10;MItqluWo1ZIzZw2R5iz35jvyBiW0M/Weh7Zhfh5KqzPz1kxhknLEGcoVxRLRlGdNZsrpx7Ysve+l&#10;j3njRqsVCUhiaRUKr8cTutDh1mcOYaHD2VCsU5AFEC8NWv/YfP71Q+e7DNYYb+sdHbW6XMyF2ZYK&#10;hWKaVkgkmMUMAACQJJAbAgDMLlKfSMLE4F9ekUCtotkkEXOcYcaVVaqzsqXHPuuLNGe5N9ehNUmU&#10;5lT6ZG4bHgktNsxd/pUpHSTsDOUlBbpCtSK+e/Xt+vl/PHQ+tEHKkM2mUyjwVEwUQUZGlkqlD2m9&#10;jYUOZxuZv89cTl80/rH5/N6j3bEHiBSZxWy3m+12tgiR+YpWKgAAAAmE3BAA0hNNyyWSMB/abTaT&#10;1+tO7H3zeHxDRgc3SVQpabWalslEOblyFCTCjCB9lk8eHejusYTdwZDldIjF2UaRYDQ1yuKsBiNv&#10;RCiRFN+4LfYjRJqhvHxe7nTu2GObr/zavx3gDVocDqVUipqpBGJOfrZCMWTlh1b7j3U/8fbpH65b&#10;jFM0qxaXaB5jLpuXxjGFmZpYhEhWQpSJxcwFZbwAAABzDLkhAKQnl8vGXOK+uUSipCh/UZLH45qD&#10;nNFscZG6MDK7WSYVZWdL1WpJlkaCakSIm5gWLPtynvqM5Ow5Q9gdUmi5Q6fV7vXw55xmL1wsUsa6&#10;Vt3MzlDmWlyi2VQ/f1fzed64xWJBg5TEUkulTo8ndKHDJ94+vbI6t35BLk7RHOBOYd57rGvf0W5e&#10;fe7k/6CPrYRIBeJgUSBARIYIAAAwN5AbAgCE4XRaEvjT7Q5Pd4+FLRNTKWmtVqrVyTVaiVyJv9sw&#10;NZWLsnLy5Iebu1N6uUPL0FDoYNn678Z+hBmfocz12OYr9x3tQoOUJBRpocPbnvnw/X9vKtZhLvnc&#10;YQNE0oW5+Vx/6KtmUv5fpdeLDBEAAGDO4PMnAECyI9WIpEMuW4qYkydHs2aIEfNUubap9NA/ulN0&#10;uUO3w+m280vGcuqWSQsqYjzCLM1QZmXK6R9+a/Ejrx/jjaNBSsKRhQ4Hhoe9E1PjEbt76zMf/nn7&#10;19AjZe6xXZipO67yp4fHuqa6DCIRmiFKRSKshwgAADCzkBsCAKQSthTx7DmDSCTI1ki1WhkyRJiU&#10;mBasXlt88rMBEkCHIssd6obESXjnrcYwy6IVNDTF+qqZtRnKXN+7tjp0BTc0SEkGUqFQo1AMWvhV&#10;5Mwv6+HXjz1zx1U4RQlUv8A/YZxdBrH5XP/hc/1TLUKk2AwxsE0LBGKRSCIW00KhVCzGSQYAAJgO&#10;5IYAAKnK4/H1D9iYy9lzBlKHqNXKcgvkmMsMkdQsy1GrJWfOGsLOWSbLHeb100nVKcXjdjvM/EIk&#10;VUlZZu01MR5hVmcocz22eelNv/hv3iAapCQDpUTi8HhIYRrXrubzi0uyvndtNU5RwrGzmJltUoTI&#10;fJ1SKxWWfz3EsZ4qFKcUkYFXIgAAwFThsyUApOlfN5FArQpfgud2+8LO1kxp40singquh1hQqERP&#10;FQhVVqnOypZ++nEv85wJ83nbv9yhM3eQFruTZaKfLWyx4VeuifHmsz1Dmat+Qe6/LMv7r8/6eONo&#10;kJIMdAqFP4MOWejwkdePLS7WoEdKUiFFiMwGuxIic4ljIjPBLUVkKEUi5i0CYkQAAIBYP1njFABA&#10;WlIqxA2ri2Lff6DXzm67XL5hUzBo8Hh8IyPBkHHE7ApbpZVsuOsh5ubI8/MVKEIEriwtfc2a4kjL&#10;HXpEPn2uM2dIIrUnPjr0eb32Ef70UlqdmbfmO7HcfG5mKHNd5/lk32i+IWNCLxSLx0M7HGqpFM+9&#10;xMrNzOw2Gr0hxafokZK0xldCpKhLg9bmlv5pZojk9cj8086LEWmhEJOaAQAAwsLHSAAAP15pXlFp&#10;tA+QNovHavavvmS1uG02/8bQkD9nTMJKRjKRmRQh5uXJC+epsBIiUGPLHX72UR/btpvLJxjt0yVF&#10;pxTbsHnUx095yq67Kcabz9kM5WAeMaC/dGjvLeLqF6Rf4101bLMpJRI0SEks5vznZGbqTfwKVvRI&#10;SQnFOsW3dTOcIVJjMSL7LVkbUSAUSkUiIfMVBYkAAHDZQ24IADBlcqWIlO/lUOEnApPqRZPR6XZ7&#10;7XZP8BJuWuicIUWI7R0mmVSUlyfX6uTRs1G4HCz7/9k7E/imynT/Z19PtiZpk5bS0oXaWmhphSIF&#10;B1AERcUVFO+MCu4O+levch1HvaLOjHpHrzDiOA64zLjgvqHgBmJbBC5QoFBKgbaUrtma5WRf/id5&#10;yyGcnKTpnjbP93M++bx5z3tOTt5zmub88nueZ2aaslF48JCOdm0iVEpx9JgpPWw+Xznz8ni2HckI&#10;ZcT+D98kHrM9DXO4Bb+wz/E7+wIBA46rMQyuutFFwGarMIy2RsqqDbveWTUHpmhMQNEQ606ZkIw4&#10;sHyI4aDciMF/mmHXDAEoiQAAAEDSArohAADA0IPci5HpBZFREbkULZZg1PPIxz47nN7mFguxHDjA&#10;SksVabQYCIjJTHa+VIxx9+zpTMBKKXazxeelZqPTVs7jYIq+r/MRj1C26Tobt29B7dnOml/EN1An&#10;0+WS8PkQCDnqYHy+w+MhTgelf8v+tj++v+/Zm8pgisYWmSoxsVxWNgE9DVZkbug+dMo0sLrMkaD0&#10;iIwwJZHHYhELk8vlEg02m0MsLBacCAAAAGC8ArohAADAyIGMipEuRV2HI1xMNJqcI3AwxAuhUiog&#10;ICY5aq1wVmXG/r1dtFH2bp6vK9WtMnJHvlIKbjDRaARXrohn2xGOUGacMRsiZH79Unfth7xSyhij&#10;zZauUMAlN/rXPIb5vN7IGin/+P5Y8UQFcrEBYxSypgrjTDhz3SlT3amemobuoXqJoCfR7w+Pbmag&#10;qs1MJoNDPDDFoZ8H4EcCAAAAYHwAuiEAAEAC3MRqhRQxETkTdd12FOM8rEoiRUDMzVdADsRkgzjj&#10;s+dm7KruoL3S3DxfZ6pf080fSenQhTsizYbq0vJ4zIYjH6EcbjZETHHt3cfJOc6SUuQGg92uFIng&#10;kht1UkOJDoPqz7ncv2FXcaa8eCLIu+MBFM7MOCMEBwXE1p4hlxERvTJ0SEy0Os5WWgvWXWEwmEhJ&#10;5HDYTCaPw4FUpwAAAMAYAnRDAACARKTXmRgW6Wy3eU0Gl7nHabG4rVb3cGRLJAVElAMxr0ABVZiT&#10;By6PNXteRoxKKe0ap8rIF+MjlNvLZjRGdmZfe3ufG1qdzsZumoyNwxehzDjXbNg7nwz31dwD/+Oj&#10;5suzOhwygQCiGkcdFpOZIpXqzObI8spXP//T56vng3Q4/iDOafC00smIxOOQBDXTfJQhWyLSE8P6&#10;2UymMJQqEUmK/DPBzqAqAgAAAIkG3BACAACMDZCSSIYSe9z+HoOrx+SyWFxBJXFI6ziTORAlGG/C&#10;BEl2npTLA5kjKYhdKUWf4gqwRqLIssfp8jio6efkBYUCbV6f29a3d0R2DmuEshu3UcyGQS2AxSxS&#10;WueYTL94qPJTj9WqksngYht1BGx2CobprFZKf6i8ctW2pxdCeeXxDUVGbNXjp/R4TUP3qVChlcGX&#10;WImNLxCIJikikFExwGKxzlRiEZ8JfAZtEQAAABhJQDcEAAAYk3B5rGB0c5ghUdfhQDKi0egcKjei&#10;1eauP2ogllS1KHOiFBIgJgOxK6WMTJFl3ERzxz5xwbV9bniyW291UTX0YY1QJji8+aPITpFMStzt&#10;3yCvO6yfaQycM102r1fgcmF8Plxso46Yx/OJxUYcp/SfNuDIdQjSYfKA6quQuREZIUNisFhza8+h&#10;UyaL3TPkoc2xsXmp/8fDw59JkLyIYIZlVEQx0Wdv+aB4CwAAADBQQDcEAAAYJ4TLiMiNqOu2G43O&#10;ISnZ3K2zE0vdIbZWK4b45WS4lmZVZtRUt0UrshxgBpRG7jAVWfZ6PE4rVceRTMyWlcyNvaHV6Wwy&#10;GCL7FxZkD1+Eshu3ReqGTBZTnCInGlKO/RpR6wY8hzLAhOMiHg8cQ4mAVCBweb2R5ZUPt/as2rDr&#10;nVVzYIqSFmRIJCs1M8I8iWa7u+5UD9E+bcBH9yDPkRfD2tY4tg3XHKkfYhFFXTRwQQAAACQrcOMH&#10;AAAwDqG4EXsMbl2XffBWRJfbh+KXMTF3YpY07zw5TPV4Ra7kLViUVbW9jTYE3i7yejmBtG7ecEiH&#10;djqzofbCuX1uSBuhfMGEVJVYMHwTdXjzR247VThAZkPUniNt3OdU7/dJwgf4AgEDjqsxDK60RIA4&#10;EUyfL9LetWV/26oNu9atrIApAhCRnkRGyJZoDrkRkZhIPA53jPNQEXnNnyViFeiGAAAASQvohgAA&#10;AOMfuZJHlki227zdHUEN0WBwDjgrog33HDliOFpvTEnhTy5IUWmEMMnjj2CllLkZe3d1devskWvd&#10;PF+HxpWq5w1tkWW/z+ewUAuz8KSytEtujr0hbYSyUiy4IDNt+KYottmQ5FpZw37jBZRhuMsl4fMF&#10;XC5caYlAilTqNZt7S+KGsam6aaJK/MiSYpgiIBqohA5FTEQaooV4bO1BbaJzhCOdAQAAAGBIAN0Q&#10;AAAguRBhnOx8KWp73P7uDodBbx+YhugPBPQGp76mncNmqVSCyecpSXUSGB9weayZc7TRiix7Of7O&#10;VJemmz+E0iFu7An4qfVtsy+7JvZW0SKU5+VmDuv89Gk2RGTyDcuFp95zTKSMNNpsGrkcopUTAeIs&#10;pMpkbSZTZHnlF7+oy1SJbzxTPQMA4kEm4iElMTzMGVF9NKgethrwVj1OSorDV9AZGOssnH8x8bij&#10;ptrhdMJsAAAwKoBuCAAAkLxweayMLDGqdoJ8iAaDYwCxzF6fv7PLTixcDlurFWVMkIQXbAHGOuUz&#10;06RH+PVHaYQ5PyvQmepSG/kCx9BIh3azhdLD5vOVMy+PvdWoRCjHaTZE/EZ6fItTSymQ4vb7TQ6H&#10;UiSCaywRYDGZaplMZzZHSof3b9hFPIJ0CAwJFGciBaQqIqMi44xvETXGSvjzOKa0uDgtNW0kJbyF&#10;8y9+8uk1RGPNU09u/elHSr9er7/xpmWgJwIAMNyAbggAAAAEQT5EZEW027xtp2xBDdHk7FdNFY/X&#10;d6rVSiwcNistTaTRYlCCeXyQXyTnclkHD+kiV/lZgS6VU2Xki/HB1h6xmy2RZkNt5TwOpoix1bHO&#10;rpGPUGbEbTZE8Fmeu2VH/tRTQum3OhxiPl/AZsM1lggQJ0Itk3X20Kgz92/YVZwpRxGpADB8kKpi&#10;pFGRBGVUZITJi4wwhZEcAwZGCkKB4Jmnnr5w9uxoctt1Vy156JFHG+rr77v/99HWMiIkvGFl+owZ&#10;tP1ITFSpVBO06Y1NJyPfadnUknnz5+fk5BYUFu6sqmo51XKsoQFMiwAADAzQDQEAAAAqIoyTXyTP&#10;ZwRtU7oOR0e7rb+BzF6fv63dRiwHDrDSUkFAHA9k50vlKYJoRZb1KS4GY7DSIW4wUXrYfH7mlSti&#10;bGLC7a10dVSGO0K5X2ZDxGRh5yJH+haXmtLfY7Vq5FBiKFEQsNkqDNPbaALzr37+p89XzwfpEBh1&#10;wi/CGPJiOKgSdHhPuOYYCbI9hqNrHPPzNkGbfuHs2YyQ3HbRrEqK9peh0SBZsKCwMFKMS5Er0FpG&#10;SMuLoRsSI6eXlU0uKJDJZMTT062tmz75OJpa16/BcZI/Keexx/5AvAuyh3jXFzKCb1yv17/w5z9V&#10;794Ff0QAAPQL0A0BAACAWJB1mVEgc2cn3i8TIjEyXEDMzVdADsSxC3HuZlVmxJAOHXyuyjjAQh92&#10;s8XnpValSCksjmE29Pp9h0cjQpkRxWwolGKsmM7By6VHd+vllGhlp89nsNshWjlxwPj84PUcIR1a&#10;HB6QDoHER4873WEVfvS4wx36aOWf+fHO6vIEPdp8RkHeOR87RCexCrUXpVJ/4fjX12N+ZnImnU01&#10;cO+q+ynan0gY60N4ellZn/tPkSvuvfvuyxZfQenv6OiI1BnjHJyTk9uv91g5o+KFv74Uba1KpSLW&#10;3nfPXbV1dfCXAgBA/IBuCAAAAMRFeCBzWwtu0Nu7uuzxZ0IkBUShgJOWJpqYLQMBcSxCnLUFi7Kq&#10;trfR+k9xcfCec2DSocNijezMvvb2GJuc7Na7vNQrcAQilGnNhsG/EUUftkEpx36T+OSrtgJKv9Xh&#10;kAkEHBYLLrAEAePzXT4fcV4o/SAdAiNPuJzXbu6Vs10+vwF3nGn7DDgEn/YPlUpVOaMimvPOYKKa&#10;3xcsuJRsT6+YGblJhkaz/rXXid1S+hvq6/fs2zfgwaRt8GRTE+2hhvsiS4uLw0XDnVVVPeagpZSi&#10;Tj79zHOQFREAgH4BuiEAAADQb8hqKj0Gd/tpa1eXPf4oZofT29xiIRahgJOdLcuYiIkw+Gc0luDy&#10;WLPnZsSWDlNMHFagH2WCXbjD43BROtWl5QJtXrRNaCOUeWz2ooKs4Z4BWrOhQCLmcPsWTKdLmue4&#10;Un/xUFWnHqtVFYpTAxIEpUjk9/txF/WyBOkQGEJcXp/BHpRvguKgM/iJqrc7kT2QYhsEBg+GYeFP&#10;582fH003NPacoxumyBUowBkRqfcJBYJwHbChvn7TB+93dXfp9Pq2zs7BDI4f4iCffuY51Nbr9f/5&#10;0IOkpPjX/3152XXX33H3PeTxR4ZpAwAAxABu1QAAAICBI1fy5EplEUOJSqmcPm3tl4BYf9RALCkK&#10;wYQJkowsjMsDv9XYAEmHB/fp2tpp0sDhYo+H60/r5sUvHdrpKlFoZy+KNj5qhHJmqoQ/vD7WaGZD&#10;TJUS5x5ukNcd1s+kRCvbvF6e0ykVCODqShzUIZWBVjr83bqqbU8vlInANA30AakMIqtgb4ww8dSC&#10;w+SMMIVFReFPL1t8xZtvvRkp1TXU11N6IoOU8yflhBv9ll13PakDvvTiC598+UWMw4h/sDDsP8Lp&#10;jvbY7+6qxYvRbvV6/b333BX+vhxO51vv/lsild64/ObeY7jxJtANAQCIH9ANAQAAgCGgt5RKkZxM&#10;g9its8e5rdHkJJaDh3QZ6RhUUBkrcHms8plpjF8ZtNKhm+frSnXHKR16PR4XTg0IlUzMlpXMjbbJ&#10;sY7uyAjldKl4qlY13G98MGZDhJRjv0bUugHPofSb7XYRjwfRyglFNOnwtAFHrkOQDgEE0gFRMkHk&#10;GQyPLwYSkwUXX/LWu/9GbbG4N7/hyZMnKMOW3XgTauj1eqTNparVpG6YIleQVr43/v5abNGwX4Mn&#10;aNPJdnhYcYZGQxkpFAjI3a5ft5bWt/jPNzdeculCdPwFhYXEkVBslQAAANEA3RAAAAAYSsg0iB63&#10;v63F1i8BESVAPHKYk5GBZefKIH458Smfmcbdy2pusUSuil86tOmNkZ2Trro52vhui7XDQn1FHps9&#10;L2/CcL/fwZsNEXOkjfuc6v0+SXinLxCAaOUERI1hPq/XGRExeri1B6TDJASFDyN9EGmF4BwcK8hl&#10;vSloSfnvjrvvIesXp6XSJ8YtLS5GSQY/eO/dYw0NTz69hmhrwpS7eRddhBoN9fWkChmNfg2O+kUr&#10;ooRL2dQSsl135DDtVsTb/Ozjj0h5UamIVzcUCgQP/78Hp1fMhFrMAJC0wC0ZAAAAMCxweSwkIPY3&#10;hNnh9B4/0UMsKH4ZVWIBEpap5WqplH/wkC5ylZvna0t3arr5XE9UD53X43FaqXfdPKksmtnQ6/fV&#10;j1KEMmMozIYkN8kP7zdQk+tDtHJikiqTdZvNIB0mG+0WPBhljDtQcPFY8Q9ymEyJgE8+ZbPZEj71&#10;I0Uhpq8dHK2f4F9j/4SSOQrXr1uL5D+CPjP9lZaUosYvv+zA8d7fQYMhz2esghdeOAs1Nn/9Vd/H&#10;0J/B0QgvDI0I1zFjJEns6OgYwMsRU4Qqq7zw15cq51TCJwMAJCGgGwIAAPRNTRVjy5aW0lLttdfD&#10;zWG/CQ9h7peAiOKXj9QbJmRgeQUKsB8mLEjbpZUO/axAZ6orhnRoN9FkNsy+7Jpor3W4rcMbCFA6&#10;RyZCeajMhohUnnml+CREK48JWEwmSIfjG6QJtpttqE5xokmECmGv8Cfg8gRnfqXABHwum43aEiGf&#10;w2LDeYyTuiOHv938NdLC7l11P0U3PN3aSrbD439r6+rIhIPEts/+5c+oTcqRJyICnCPp1+BwyLBi&#10;okEWdybeBWqQqRvJHlqiFWUGAACIDdyDAQAA9EFnO3vpdc+i9tSSJ/LyvZFjaqoY1VVdlbPTZs2G&#10;CYsKKSD2GNynms1dXXaH09vnVl6vH9VfBvthIjMw6dDv8zks1PSIPKks7RL6IOVui1VvizAnstkL&#10;h7+GMiOK2VCskA3AbIiAaOUxBEiH4wk97rS63AbcgRIRjm6gsYTf+zuBXBTM7cthsyQhcYpsAENC&#10;xrmOvE2bNiHdUKVSVc6oCA+/DTflXTSr116H9LjwJIOoNEqK/GxddZ1eH/sY+jWYca6v8KuvYgmC&#10;ZAh2bFLV6gFMnVarhesHAJIc0A0BAAD64LNPz363O3jAnpdPvTPcusW/8pbnicYrLzNOdz0GM9Yn&#10;oSrMwS+vbS14Z4etq9vu9fr73ArshwlOdr5UniKoqW6LPJvRpEPc2BPwU82DGRctoN1/tAjleXkT&#10;+JxhN9rQmg2ZLKY4RT6Y3UK08hgitnRY/shXn6+eXzxRAROVaJBeQr0dyYXOET4ApAyS8cIoFljA&#10;5Qp5XDg7IwYlJ2Bj00nScrjy9juqd++iVcdIZ9+e3bsZ5wp/OZMmETtRKs72xAgQRvRrcL8gbYzo&#10;OKOBhQo9IQymWMkN8yflkKrlRb+ZG96PGqc72sNVVAAAxjdw0wUAABALm5X10aZt5NOuTpzBOEc3&#10;7GxnP//cpzBRAyMjS0wsqILK6dNWo6nv76Ck/TBVLcqcKIXiywmFXMmbVZkRv3RoN1PLm7D5fM3F&#10;S2l3fvDU6cgI5ewU6aSUkbCg7nprXaTZUCSTstiDkiwhWnlsEUM6tDg8yHUI0uGo027B9aGkhAbc&#10;MWJeQpRVEImDpFUwRrpAYISJtNqRlsOCwsLS4uIJmZnUrygaDanHPfn0GjIlIiJSZ0QOxDiPp1+D&#10;4ydcGYxkckEBauj1+hhFUYjZePW112lXvfVOb6LLhvr6FXfeDtcVACQJoBsCAADEorrae+xYA/m0&#10;8VgHcSMQPmD9+pPhA2jZusVfXdVa9fNeYuTSZUtKy7JmVcpo452Tk/AKKs0nzG1ttnjil7t1dmI5&#10;cpiTnS3LzpMSO4GZTARiS4ftGqfKyBfjQa3NbrZEmg21lfM4GI3scspgNDmosnKwhnLuhBF4UzZd&#10;Z+P2LZTOwZsNERCtPLYA6TDRCJYusTuRnRDVMBnee6cIfRACiscEpKDWUF/f+42u6eTOqiqkDP7H&#10;zb+N3GTmjIoYO0Q6Y7j2hxyIMTbp1+BwiGP+85//RD6968670GGHp2JEhBdsieSSSxeixg/fbY3x&#10;ctFKS4eDakwD4wm/3w6TAET93wdTAAAAEIOTx83hTz/c9MVLa4vIpzVVjI1vvBdj8+ONnPXrDhJb&#10;he/hw03BxgMPrrjnPi0m8cMkk4gwTlGJkljaWvDWU5ZuXd/fYBxOb/1RQ+NxU1qqqLBYCcHLiUAM&#10;6ZBAn+JiMILSIW6gmh3YfH7mlStozrLb06SjSQU1MhHKBPs/fJPmch202ZAkWrQy025XisCvlHCA&#10;dDi6WF1uPe5EXsJhLWCCJEJUigQVIQH/4Hj4XhdWkOSzzz5FAhzpKyTo6u5CjcVXXBm+IUpxeLq1&#10;FVVKIUujkOLjvavurztyOHYAcr8GT58xAzV2/Lw9XGTsMffWEyNTMTbU1yMhjziqv/7vy7QRxJUz&#10;KlSq3gJi+/bujfG6Nputz2l84++vwbU0znC7WwazuUBQBHM4joH7KwAAgFiEBykjjjdykFXQZmVt&#10;eGNXjG1DeQ+fibb2lZc3drQvWfNccbh02NnOrqlxEI0kL9xMxi83H7c0N5v7tB96vf62dhuxpCgE&#10;k3LkELw86siVvAWLsqq2t9HWztanuDx2v89L1VxSCotpzYb17e2REcoFasXIRCgPq9kQES1a2epw&#10;iPl8ARvKpCYcfUqH61ZWXFY2ASZqSBgZR6GEz+NzuRK+QMDjCrlckAjHGbTpC6t37yKFPBIcD/5m&#10;maHRkJa6Rx9+iCycEl5hmRjT1tlJio8qlWr9a6+vX7d2z759ZO3j6WVl02fM2LN7N6ra3K/BJOGl&#10;WmjZ8fN28mhvv23FutfWUwYQh73y9jtQu6G+ft/BAzH2RrzZK6+8AmVjzJk0iQzQfuPvr1XX1BAN&#10;u8M+tPkZAQBIcEA3BAAAiEpNFQPFIE+eXFA67TxkG+zu8ublB9d++ol165YfwsevuGM52T5Qy1p5&#10;y59Re+myJQsvP0+j4eA2/4Fa03PP/B31EzucfVFeuET4wl8OoVfJzXu8pDTZrYhcHgvVX9Z1OE61&#10;WNra+/4BPFg7ZW/nkcOc/HxFRhYGwcuje/pmz82IJh2aJ7B4FgGz4xxPRPa1NMmSaCOUJXzurOwR&#10;qvA43GZDBG20MkGP1aqRy+FySkBiS4e3/K1q7cqKGysnwUQNDJSj0IA72y224RAKFUIBMhIqxCIo&#10;UZIMkOkLzeZz4khe/8frFN0QseDiS1Cjob4+vNqyw+kkC6pkT8xq6+wk1n7w3rs3Lr+ZEVIDKWkQ&#10;EcR45C7s1+BoVZLJ/pNNTajx/Y8/kGomsfNjDQ0U5XHZddeTwuLatf/bZ0kTY48pMgFiR0fHcORk&#10;BAAg8QHdEAAAICoHak1nvsNVYlivutfZ6WYweJ3t7D+sXot6HnhwxSsvbwzf0GZlrX2591vm40/c&#10;fc/vkYUqqAPOmq3IyVuN6i8T/O2Vr6+9/trePbezyYjmtFQmzD+JWisklkKbMs7sh8SAg4d0R+oN&#10;2VnS/EIFqIejRWzp0F0k5zF6SOlQXVou0OZRxlidzsZuXeS28/IyRyZCeQTMhiS00cpOn88A0cqJ&#10;CpIODTiOu1yRa+/fEPwvANJhnKDo43YLPhzFTCR8HsYXgEqYzJBa27GGc3JShxdWDuea629Ajc1f&#10;f0VZRSqPGo0GNf755sb2traHHnk02qu/8ffXSINe/INJQZMSOBwpdBLjia1I6fDJp9dMLijYsiX4&#10;zytVrb7mmmvJTYhhtXV1cD0AANAvQDcEAACIChmknJunEJ9JnIdKKv/rnXb0dMUdyytnp73y8jkb&#10;frfViayIkycX/PYWJVIMSRYuYj3+xN3IdXjsWAMZ+HzgoOfMgEs06T6Yfwrh2Q+bTvb0WXzZ6/Uf&#10;P9FDLBnpGKQ+HC3ilw4nXEpTRrm+nSY4a4pWlS4doVD0kTEbIlJ55vuwhldtBVQ9xeEQc7kCLigd&#10;iQiLyVSH6i1Ekw6rj3avW1kBE0VLSCi0DbmpEOUllIvEAh6XaEDREoBBp7WRvPnWmxTdsLS4mEwF&#10;uG3HDsp4Unkki5A4nM5Pvvzi4KFDlbNmXXP9DeS2jFBCw88++5TiWIx/MKJbp6M98tMd7WR70ycf&#10;FxdPId/mjctvRq7GcN74+2tvvfvvAc8hmfkRAIBkA26iAAAA6CGDlAmmlogwcW96tcZjHTVVCmQw&#10;nDy54N57c1BGQgKtpjfb2uavehPH/P6BK2grn5SUnk3ihuO9A8gaLL+Zd05qYZuVVV3txW29JjuN&#10;hje1hEXZLTHmu61Om81TUioZ9wHOKPuh3eatrzN0ddtpi2+Eg1IfpqpFuXlytVYI1/YIE490KOVq&#10;sPwyyqqT3Xqri7qJhM+9YELqyBx5x+HaETMbIqZLmue4Un/xUJM8Gm02jVzOYoINOUGJIR1uqg4G&#10;EoJ0SNJuwVGmwnYz7vYNzS9kfA4nqA/yBQqxSCLkc1iQEhSIChnbe/ZLwrlmPYPJNHXKFNT+4L13&#10;I8N1SfmMLI3S+/2w6SSxvPXuvzM0GpFQxDi3gDKFfg2moNfrVSpVQ319eLgx0f7T83/5A+O/aBVS&#10;YpP169ZSgpfj4XRHO0oB+dKLL4BREQCSFtANAQAA6Kmu6v1euHDRJcgPuHTZklA15C9q9x9Fq37/&#10;wBWadF/IgRgkTRP0QB1v5JB5D2fNEjIYNPdFOTk0dzX/t+d471aVMgajVyX89GP33175mlQwEZMn&#10;F7y36YZwT+Knn1jJuOkVdyz/3S256JjHMSKMUz4zLf7aKd06O7GkKAQF56WAejjC9CkdYmkXUDqt&#10;TmeTwRA5eGFB9shEKDOimA0laiVrOAuV3CCvO6yfaQyc4y50+/0GHEfiFJCYEGeHyWTa6LKGbapu&#10;qjtl+nz1fJkoSQteIa0w+DhEAcggFAL9BWUV/Hbz17Ty3JebNyPr30svvmDsMZ0I1VzW6/WffvZp&#10;5ODaujqk3EWrKdyvmiEDKDBy2223Fk6eXH/sGKWfOPInnn7qolmV02fMQA7Khvr6/fv3HWto2FFT&#10;3WdOQ1qIrf7zsdVw/QBAkgO6IQAAAA02K4tMWbj4yhLUKC3L+nBTsIFUvBV3LEclTTo6LeHbHjxg&#10;R42ly5ZECzeO7CfVxsmTC8h6zf9620AWUYkNKRoSbHzjvY1vMP70/P2/u3X8lxUma6fEGbxMDNi5&#10;s12C8SZNkmXnS+FSH8kzFUM6bO6qEjZkZRQsQk+9ft+B1rbIYRdMSFWJRyjksONwbeeRWkonm8MW&#10;yYb3spFy7LdJGv9qKaL04y6XiMcT83hwLSUsKrFYwOHobTQVnA639lz9/E/vrJqTqUqWau9DqxWC&#10;UAgMknWvrY+sMnz2u0GPack1S8intXV1lXMqY+zttttuFQr4I1NTWK/Xh8cjo6ONjGVGOJzOrT/9&#10;SCzhRkgAAIBBArohAAAADdXVZ81rpGewpPRsqVMUoYz6q37eizpz8wQMhr+2tjcjW2lZVrT9H6g9&#10;W6kDlUAh1cbLFvd+VQ0XDUNZFDM1mt4P7dxcBibx0e6N5A+r19buW7LmueLwiGablfXk43W1+4/e&#10;sGzeNdeqxlMWRRS83GNwn2g09Vl52WpzHzyka2w05ecrQD0cMZB0uHdXV7fOHrm2fv+7wfMYkg5P&#10;dutdXqqBVCkWXJCZNmJHS2s2FCsVI/DSU8Sti1zqLS419c7WZhMqFBCtnMhgfH7wPj+KdDjvqS2f&#10;r55fPFExXt++Hnc2G81DpRUqhAK5SIyFEhRCJRMgoYgMXh4O7rvnrrTUtAFbBQEAAIYK0A0BAABo&#10;OFjbm4J6xR3LSXEtN/fsABShjNqUIGJSRsSwqPc5J473fgUkS6CcON77HTQ3L3hLWVPFIEXDDW+v&#10;XrgIKYP+2Hv70/P3X3qp9LNP9WjbDzd9gUnFa549K1/+620DKtn83DMNzz0TrPU8ztRDuZJXrkxD&#10;lZebWyyxUx+issugHo4kXB5r5hzt3l+7aLVdJB1ytZWtph7KKh6bPS83c8SOs2X3L6NiNiS5Rn5o&#10;d/ccSrSyLxAwWiwqmQwupEQG4/M5LJbOaiXOF2WVxeG5+vmfnl1eNp6KLKPaJiF34WDzFfI5nBSR&#10;CBPwg6ZCKGYCJD2hfIKQUhAAgNGHBVMAAABAITxIuXL2WakCk/gff+JuovHAgytQhDIjFF9MDkDC&#10;IkVGpIUsnHLB9DzU+HZzNWpMLQmmx97wxh70dO2rD58RDaN/szzjcJxVKdOk++75vWLD273JaDa+&#10;8V64G5GsEI147pm/XzDt2U8/do+zM4gqLy9YlFV4nlIo6OMXMqQefv9NS3OjBS7+kaF8ZlpGOn2q&#10;vvr979Yf2hzZf0HmyEUoE+x6a11k58iYDRF8ludBxQGaTyev1wLGk4RHwOWqZTI2nTPU4vDcv2HX&#10;i1+MbS3A5fU16Ezbjp9+d9/Rjw821jR3NBstAxMNJXxepkI+JSN9Vm7O7PzcogztRGUKiIYAAAAA&#10;kDiAbggAAEDlxImz7crKc1Sn396i3Lz18Uf+62ywJFkNmRESFhkhCyF6StZLoXCglkUWTlmwUI16&#10;kNqIkhuG5zq8dGHft0/I4UgmRgwdA+uBB1egdk1Vb3EJYrekprl02dk8Pvff99cn/9his463/wgo&#10;9eGCy7OmTlGDephoxJAOPa2bWYZ94T3pUvFUrWrEjq1x+7c2XRf1chLyR8xsiMjkG5YLT0X2G3Hc&#10;6fPBJZTgCNjsDIVCEKWEzotf1K3asMtsH2O/2bRb8Ormjo8ONr6558i246cbdCaryzOA/SiEgklK&#10;ZdnEzIsLC2bkTJqsSUuVSiASGQAAAAASE9ANAQAAovL4E3eHJwdkhJTBktJzenAbNRKWtBA+98zf&#10;O9upN402K2vty73ZrFfcsRwpfWSgMUpuSOY6vHXlQsoBREKqgWRiRMSli7SoQZZprqk2o8bSZUte&#10;Wlu0eevjpHq48Y33Xni+Kcar1FQFKzuHmyvHENn50gWXZ5WXa1IUfYiwoB6OJDGkQ9/pb0jpMBih&#10;nDdhxI7KjdtoMxtiKSkjP0W/kR6fxrZG9vdYrf6IGFgg4b5kM5mpMhnGof/Y3FTddPXzP7Xq8QR/&#10;F1aXu0Fn2tLQsnH3kS8PnzzUoTfgA3G8hmuFZdlZOakqhVgEFwkAAAAAJD6Q3xAAAIBKSal/w9ur&#10;cZs35PXrQ7br7Ow1jJAa3KzZSnLt+vUnw9MLohLJpNnwd7fkMhhB3ZAMNEbJDcmnoUosfRwAKTJO&#10;LVVT3gVqhF5uenC3+1pQz8LLz0MD1jxXnD9Zi5IhbnzjvcrZq6PFRC+9rrcw3/aqJ0hX49gCFU7R&#10;dTgajhpjl12GvIcjRvnMNMavDNpch77T37CJq19ZNi9vgoQ/ckWED2/+iNZsyBcLR35++CzPTfLD&#10;+w0zKf1On8+A42oMg0sowWExmSqZLGCz4S4XzcWWwJVS2i14k9HSbrENTCVEoMImCrEIJEIAAAAA&#10;GLuAbggAAEBDSD7j9anZhYNJxahRUupfccfyjW+8xwiJcQzG8kWLssQYq7PT++H7e0jRcMPbq0kB&#10;Dg1mnKnI3NbaHf/rnhUZp3JRfWdabFYWqogSPhKT+O/5vaKjs/dot35zdOGiIkYobvrBVR9Pysl8&#10;7I8XEgcZniFRo/GP6TOr1grV2gxQDxOH2NJhhlQ8KWXKiB2MG7cd3vwRzV/3aJgNEak8831Yw6u2&#10;Ako/7nKJeDwxjweX0Bj42MEwIZdLW2TZ4vDM/++tz9w07a4FBaN+nC6vr9lkaTcHFcMBVzgBrRAA&#10;AAAAxhmgGwIAAAwKMdb7QarVnJWW7r03p+rnAhQ+vPGN9za+cc4mkycXrH78atLZFx78i0yCTSdb&#10;43x1m5WFJD+yLnM0qqvJ1IfUkYsWZaEj/HDTFy+tDeqGa1/eRRw8sRBH8o+NS3Fb77ZLly3BJP6t&#10;W/wfvr9XJhOvea64zzDqBL2ND6mHdpu3vs5Aq1iRgHo4ApTPTHNs89LKuG1HPjqapjqvYO7IHMnh&#10;zR+57dS4UYFEPCpmQ5LpkuY5rtRfPFRLmtFm48vlHBbknBkDYHw+k8kkTpmPLsD8iff3153qefam&#10;aTLRKAjBVpe7yWhpDroLBxg0LeHz5CIRsaRgIg6LDacbAAAAAMYToBsCAAAMioWLWB9+8lhnpzs8&#10;qFmT7vvHxqXvvH2CNBKSPPDgit/+Lj1cuTtxghrpfNniSqQ5frelo6Q0LcarHzzQ+4q/mVdEWVVT&#10;1dtYccdy4vHkcXO0kVNLzuoOne1s4tgyMlPRU+Iw5s5+hqz0QvDkH1vINzX7ojyyrvRYRIRxymem&#10;FdqUcaqHTU3m4ikqtVYIl/2QU1GprdreZrXRlInYtu01qSQ1Pb1ouI/Bpuvc/9Fbkf2YKmXU5+c/&#10;UvYf7p5jDJxTOMIXCOgtFo1cDtfPmEDM47Flsh6rlbaszabqprpTpndWzclUiUfmePS4s0Fnajaa&#10;B1bbhMNkqiUSuVikEImgpAkAAAAAjGNANwQAABgss2YzIoOa8/K9a57N+t0tT5w44UZ+PY2Gl5PD&#10;DimG59w0kope/uTeSiaVs9NeeTnYeOXljbl5D8fQ5g7UmnpfLo96q7llS282w9LS4G7J6iiRI7/b&#10;2uvzIq2Ij66epNXcjfIeMnozJAYhI53HE/Grh1abe+fO9hSFoOC8FFAPhxYujzV7bkY06fDbLS8u&#10;ueoplSp7WI+BthyKSC7hcEdfE+GzPA8qDjxhvIDS7/T59DiuEovhEhoTCNjsVJnMaLHYvDRZYlG6&#10;w3UrKy4rG8ZCQMhaOOBIZBSGrJZiEoEATigAAAAAJAOgGwIAAAwjefnevHyUKhFBc59GKno5eTLU&#10;mDU7WMoZyXb33/fXzV9d8pt5RWkaIdIfxRiHjHH+aNM21Ah5Bs8Kl1u3+ElX4KULBccbWaT219np&#10;7mwXatJ9NivrxAlGTZWB1AcXX1mCGijvYUnpY3987FPkfKTwwIMrppaqoxVRGYvErx4aTc6dO9tT&#10;1aKp09QiDP6NDhkxpEO32/7Fl08Pq3RobD7euH0LpZPJYmLKlASZn0y+Ybnw1HuOiZR+m9Mp5HIh&#10;0eFYAVVKYeA4ceIi11ocnlv+VnXngsnP3lQ2hC86yMSFfA4nRSRSSTAIQwYAAACAJARueAAAAEYZ&#10;lM1w8uSCykoOqf3d83sFg9ErHW7d8gOp+iE2b328pNR/vJGDRL0VdywPzzO4dYt/5S3Po/baVx8m&#10;Vh3cevYG9f77/kp7GEuXLaEYG1PTOJNyMim64cJFl7zyt4oxmtawT0j1cN+erthVU7p19h++a8lI&#10;x6aWqbk8SDA3NIyidPjrm+torgeZlMVOIJXkUnn9UVy0j6Wi9BttNqFCwWIy4RIaK6jEYgGHY8Jx&#10;2nSH//j+WPXR7sHHLCO5EBkMB7C5hM9TYRKwFgIAAABAkgO6IQAAwCjz8rrrTxx3zpolxCTn2ECQ&#10;4+/jD49QooMfeHAFKp9SU90b4Fz1895PP9bm5gmI/dTWdpBOQ1IKJGsu0zJ5csHvH7giXDQ8UMv6&#10;bkvHKy9vjBzcdLL1xImKktLxfEZEGGf2vLhqLre127q67dlZ0vxCBaiHQ8KoSIcdh2s7j9RSOtkc&#10;tjglsVIH2s2WxfYtLeIbDEx+eL8vEDBaLEEXGzB2wPh8DocTLd3hYGKWByMXcphMuViklkhSpRhY&#10;CwEgHKFAcNGsymU33lRQWLizqurf7/6rtq5uwMMAAADGEMwA3e+csdmw8cfm5u7YY5Qpch6PD/NL&#10;f3/S2dXnmAvKz2MwAixWgMkkFgYz1Ag9ZQQfGQEmO8AiHlkBVmgtixlg9g5GnX6yk2gT55nd2yYe&#10;/b2PrACDGXxkhfUwgxv6g6/F9nW1G3fs2NvnoV51bS6cU2CEqdrWFlvNIZDL+BddPGF8vN/OdnZX&#10;d+DEcWdYhsQgK2/ZQ/EhhrN02RJU79hmZZ2X9xzqfODBFbl551Rlzc0TIBWS5J238D+sXhv7kNa+&#10;+vCYrogSP/Goh8GbbQ6rqFAJBZeHCo/bHy3XIY8nWnrDCxKJeghf7sN7l9p01H/N0jSVSJZYJ1R3&#10;ssXn9TVzC/4umB+5ViIUKkUiuHjGFv5AwGCz4W53tAF3Lpj8yJLieOosD0Yu5HM4qRJMLhKlSiVw&#10;UgBabr1y3jh+d6XFxWmpaTtqqh1O+n/3QoHgmaeevnD27HPm5He/bWw6OYBhJJUzKh597A/vvLnx&#10;ky+/gGtshKn+pRomIZymlpsGs/mkrPdhDscx4DcEAABIdDTpPk06o6QU3TeedaYsvrKk6WRrZP7B&#10;pcuWLLz8vFDywaAgeOLE2VWUUs7ovpWyee2+FrK99tWHTxw3IePh5MkF5Gvdf99fuzrvDgVTj3PU&#10;WqFaG/Qe1u7vdji90YZ5vf6Dh3SNjabSaalQMmXwxHYdojIpfP7QFAM5vPmjSNGQzWEnmmhoN1t8&#10;3uAfb7an4Sq29ktuIWWA1eEQcDiQ6HBswQpVJeY7nUYcpx2AYpbXrawonkj/eTsYuRAikQGA4Lqr&#10;ljz0yKNEY81TT2796UfaMcuuu56iBhI89tgfVtx5+wCGIYQCwaOP/UGlUhUWFTGGTjdMkSumlwUT&#10;pEZ7LwAAAP0FdEMAAICxyrXX8669/trjjZyDB+yoR6PhTS1hUZIPnjje++P50mVLIkRDGhZefl7t&#10;/qOl0867ZUVxSan/yT/2bv77B66YWrL0zhUfIvUwVM5lepJMtVorXKDNam60NDaaYqiHxCpUcLls&#10;ehqUTBkkSDrc/kNr5IQbDC0oYHnw0qEbt9GWUZampSbahOAGE9me7qxpZan3s2kSHfLlcg4LQubH&#10;GFKBgMfl6sxm2nSHh1t75v/31mdumnbXggKyczByoUIoUEkkaolEyOPC5ANJTopcgUTD4EfrjBm0&#10;Whsx5o677yEaer3+Px96MFWtfuGvLxFPCwoL8yflkF7COIeRFOTlqVSqIX9H//PCi8QrEo09+/YZ&#10;e0xwigEAGDxwVwMAADC2CZVsDncYRfgHzyQ3nH1RXjw7XLiItXDRteSu2lq7w1/rvU03rF9/cuMb&#10;75HFl5OH7HwpsTQe6Wk8bvJ6o1aGMZqcUDJlSCBmb3qFtqa6LXK2h0o6PLz5I7ed6vPiCom9JpZp&#10;lDQb9h4hw73Iua0Ju6YncM4XOV8goLdYNHI5XDxjDgGbnaFQGC0Wm5f+l4kn3t//7b62dSsrvCxf&#10;s9HSoOu3HKDCxJC4EAAoIGtebK5avBg13nlzY2PTSWJpqK9H2lzOpEmkINjnsBS5QqlQkOPTUtNQ&#10;43RrK/lalDH9JX9SDnpFvV4PoiEAAEMF3M8AAACMc0jhb9asgUghMlmvLpObFwxk06T71jybdbrr&#10;sSTJb0jzpbxIvmBRVl6unMOJ9T+0rd32/ZaWIwcMcAUOBrmSN6syg3aqkXQ4mJ3bdJ37P3orsl+q&#10;ViXaPISbDXv/MP36pxfSpHB1+nz6KBGvQKJ/KWcyVTJZijiqFF7T0H3R45vXfnWwX6KhChMXajW/&#10;KcgryZyQLpeBaAgA4SxYcCnZnl4xk3bMNdffgBq/7t6FGhv++QZqnGxqinNYhkbz5ptvvfXOv667&#10;agll/x0dvb/vxhgTJ6nq3uS/e3b9CicXAIChAvyGAAAA45zFV5ZkZKYuWpQVT5ByJI/+1xRkVKSU&#10;T0lmuDxWUYkyO1dWX2doa7dFG+b1+o+f6Glrs0HSw8GApMNorsOftq2fP+/ege351zfXRXYKJGKu&#10;ILEKu1HMhghNUenlS+fWWHdtqm6irLI5nQIOB+NDeboxCYpZNlosbj/NRy7u8b/78+kpDaYrL5kg&#10;EEb9Gs8JpU1USbAUTARCIQBEI0WuCE9HSBs1nD8pB/Xr9fq2zk7UWb1716MPP9R8qoXs6XPYwvkX&#10;owHpGRlorVarpbxWcdH5lDH9BcMw1NizezecXwAAhgrQDQEAAMY5oTSIWQPeXJPuS1prYWxEGKd8&#10;ZlquQVF3UBej4DIkPRw8MaTDhoaficcBSIcdh2tP7amidDJZTGnqGDAbEkxbehvxuG5lRd0p0+HW&#10;HspaE45zOBwBGwSjMQlx4jRyuQHHcZeLdsChTrzpg8YllekFk2WUVSpMrJXJoCwyAMRDZJByZCLC&#10;nEmTUIPi4Ks+YyqMc1jdkcPfbv7abDZ/+tmnqGdCZiZqkKbFyDEkQoHgolmV02fMINpoAKlOhjO5&#10;oABOKwAAQw7cwAAAAADAwJErebPn9V1wGSU9zMuV5xcqIOnhwOa5pCR1716a26SBSYe05VBEMikr&#10;wbQ2m7GH1myoPb8Utd9ZNWfeU1ssDk/4AF8g0GO1pspkLCYTLp6xSLDOMoaJeDyjzUZbLMXmPcd4&#10;CLkLAWAALLvxJtTQ6/XI6JeqVlN0Q9IVGJ6FMJI+h7V1dj77lz/HPh7aMSlyxbyLLvrdbSvC7ZCX&#10;XLrwtttujcxgOG1aGXk8+ZNyUNtgMtHmOiQGEO+3W6eLlk6xtLg4Nye3sKiIeFMdHR07aqodTidc&#10;NgCQhIBuCAAAAACDBRVc7rNkCgpbzs9XZOdLYdL6S0aW2ONWHzyki1zV0PCzSpk9derlce6qcfu3&#10;nUdqKZ1sDlucklgVRfw+H26MajZEZKrE61ZW3PI3qnfS6fMZbDa1BHxnYxgxj8eXy3us1mjFUg51&#10;4qc2Hb/nksKSBRNgugCgX5QWF6MSIh+89+6xhoYnn15DtDUaDWUY6QoksxDSEs+wFLkiXL/Lycnt&#10;c0yGRrP+tdcjA6iJnqsWL37r3X8T7coZFViICy+chd4RwR1334OKOyOuvPIKcrdCgeDySxeSVaQZ&#10;Idn0qScer62rC3/dZ9Y8S+6NHHbvPXfR+hwBABjfgOUBAAAAAIYGVDIlOyuWJuhweg8e0lVta+sx&#10;uGHG+kt2vnTqFDXtquqat482bI9zP7RmQ7FSkWhmQ9zYE/BTvWb5cxeRZkPEZWUT7lwwmWZzt9tg&#10;t8NlM6bhsFioWAo7inXU7PH95du6R174sa3dAtMFAPFTWtL7QfrLLzvISOHCoqJhernrrlry1Vdf&#10;b/zHP4UCAeohVTnS7hc5hsx4qNfrX3rxhVt/99s3/v4aWoXKsFTOqHjhry89+fSahx55NDxXYzjh&#10;tZWJPT/z1NPhoiEjpEK++trrGWc0U2LM+tdep4iGaBjRD1cOACTjtxGYAgAAAAAYKrg81tRydV6B&#10;Yt+erhhJD4lVO35uzc6SFk5RQthyv0BWTVrX4bZtwbup8wrmxt7D/g/ftOm6qCdOyBfJEssE6vf5&#10;7GYaJSjcbEjy7E1ldad6ahq6Kf1Wh0PM5Qq4XLhyxjRSgUDE4+ktFqePvrxVTaf58Cvbl5ZNvHVZ&#10;KUwXAPSJUCAg7Xi1dXWkTnfZ4iv6jCYeAClyBZLqCgoLU+Tyts5O8hVjjGGcyXi4Z/duMka4sekk&#10;OnKkJ5aVl0d70Z1VVT3mntOtrdU1NWTn7betIOVFYsDOnTWLr7gSSYTPrHl2xZ23B/c5tYR0OL70&#10;4gs2mw3DMEqgNAAASQXohgAAAAAwxIgwzux5GW0t+JHD+hhJD5tbLF1d9qLzVRlZYpi0+MnOlxoM&#10;DtpK1tXVb6uU2SpVdrRt3bjt8OaPIvuxlJREe5vRzIaYWkM7/u1Vs8sf+YqS6JBAZ7Vq5XIOC+Tp&#10;Mf6VncUKFkux260OB+0As8f7xq6Tvx7ruvPKKWWl6TBjABCDi2ZVosa3m79mBEMBzv7OR5ZGydBo&#10;1CrVZYuvQP2TCwqQLZGSDTCeYYWTey3hZLXlCdreP9KG+vpoYxh0GQ8pguOnn306bVrZyZMnGKHA&#10;Z9IkuPSG6yIDiom3duPym9FL/OdDD6Ij/Oa7rR+8v0mlUhHblhYX19bVkUWZCT758gvU2LZjx/Sy&#10;srojh+HiAYBk/BICUwAAAAAAw0FGlphYjhwwNLdYoiU9dDi9e/d2Np2Easv9o3xmGuNXRqR06Hbb&#10;v/jy6SVXPRVNOtz11jq3Had08sVCYkmoN9gvsyFCJuJ9vnr+/P/eSun3BQJ6iwVqpIwPlCKRmM+3&#10;EUTLeGjCV73z69W7tHcvL5NI+DBjAEDLggWXosae3bsZIa8fuSpn0qTGppMo/jd8kxuX34xEN4L7&#10;7rkLZQOMcxipxFGqLRMgyS/2mNLi4rTUNK1WOyEzc3rFzPBVbZ2dyCTICMmCb73zL0ZIi6TNQlg5&#10;axZqrF+3lpQ1HU7nZx9/hDyMuTm5xAETHzDkJrfe/B+bPvmYGGPsMW396Ue4cgAgOYEfnwEAAABg&#10;GCkqUc6dn5mqFsUYg6otHzlggOmKn/KZaRnpWGQ/kg6tVppAZpuus3H7lsh+SWrCxV5ZuvX9Mhsi&#10;iicq1q6siOxHNVLgmhkfCNjs2BkPCT5v6Fj27NZvfmiE6QKASDI0GjJW98mn11T/Uv3VV1+Ta1Fl&#10;5Bjxv4yQvoYacQ6bXFCAGkimZITUScrgyDGMkGL4xWdfvPra68Rx3nH3PZctvoIMFtbr9ZQ9kPsk&#10;tUgKF/1mbu+AkCNSKBAQ+7/15v8gQ7YloVJa1bt3ffDeu6iHWPXq2r9laDRw2QBAMgPWBgAAAAAY&#10;XkQYZ+Ycra7DUbu/O0bYMqq2XDotVa0VwqTFw9QytcXittqoFWbcbvu3W15cctVTfP45AeA7/kaT&#10;tUqskHESLP2f1+NxWqmmSJ5IHMNsSHJj5aTqo92bqpso/bjbzbLblSIRXDbjA5TxMEapZbPH+9w3&#10;h77ceRLClgGAwswZFTHWosrI/3xzo9ViIdpkADICJQ38dfcu9DTOYTKZDDVsET/hkCph5JhIM+M5&#10;G0bYEklOt7bS9pNRzHfdeRfxSKmjotfrv//xB9Re99p64n0hPZHYav1rr7/w5z9Vn3k7AAAkG6Ab&#10;AgAAAMBIoNYKF2iz+gxb3rmzPSMdm1qmhnopfUJM0ey5GVXb2yKlQ4OhBQUsk9Jhx+HaziO1lGFM&#10;FlOcIk+092XTGyM7z198Q2yzIcm6lRV1p0yHW3so/VaHQ8DhiHk8uHLGyZf4UKllgctlwnFfIEA7&#10;hgxbXn7l+RnpUpg0ACBYfMWV4U9RisPTra1IJkOlURxO51vv/psRljTwpRdfIJP9hf3XjmsYGVzc&#10;rev1wpPuwhhjHn3sD6ix5qkn9+zbh2oik2JiNHEw+P+uo4O2f2dVFdIKKYphQ339pg/eJ0uvIIj3&#10;VXug9ulnnlOFIA7mtttuJesyAwCQVMA9CQAAAACMHPGELbe1277f0tLcaIHp6hMkHUowGi3MYGjZ&#10;tm09+fSXV/8UOUacomCx2Qn1jly4g9ZseP7iG+Lfyeer50uFNCZKo80WrSAvMEbB+PwMhULMj5XK&#10;8POGjjte2f7Wplqr1QUzBiQ5GRoNabt79OGHKudUPvuXPxPLpk8+Dh9DtsmYX1vMbA+xh0VWIo50&#10;F1LG5E/KIXt21FSTgh2ZBjFSHJw+Y0bs995yqiX86c6qqjVPPbn0hutW3Hn71p9+DBcNEbV1dbfd&#10;diuq3EIczFWLF8P1AwDJCeiGAAAAADCioLDlCy9MFwqiuv69Xv/BQ7qqbW12mxdmLDZcHmtaeRqH&#10;Q/OVpqn5/34KSYeN27+16booa9kcNpaAZkMjvdmQJ8bi3wmqkRLZ7wsEjBaLP4o3DRir3+aZTDWG&#10;aaRSQXQRHFVbvuOFHyDpIZDkLLj4EtRoqK8PD7x1OJ3IeEiQPTFrCF8xXIUkq5FQ3IWRY053tJM9&#10;t9+2giyjjNIvMs7kKKQl2qp9e/eS7Vt/99v/fGz11p9+pK2gQmLsMW345xuojSK4AQBIxm8aMAUA&#10;AAAAMPIEw5Yvz8rLjaVbQb2UOJErebMqM2ilw4aGn3fVvLvrzXWRqyRqZaK9ERfu8DiojjBMndYv&#10;syEiWo0Ut9/fbTbDNTP+EHC5Grk8dr2UVtz13DeHHnnhx3217TBjQHJyzfW9H6ebv/6Kssp85rNR&#10;M6RlQERCmggD0ktod9hpxziczkcffgi1b1x+8w/f/7jqnnsXzr+YPH5SgiQhcyyifUZSvXsXMg8S&#10;PPbYH4i95U/KIRaisfEf/yQe0SqhQEC0S4uLGaFK09dccy1lfgAASDYgvyEAAAAAjBpFJcrsXNm+&#10;PV1GkzPamOMnerq67NPK0+RKyEwXFWJypk/X7NxJo4bsO/glT+ZjnnsbxRXyBRIs0d6FVaeP7Jy2&#10;9LZ+mQ1JotVIcfp8OptNjWFw2Yw/pAIBxucbcBx3RQ1Jruk017zz66zvZP/vP6ZD0kMgqSgtLiYF&#10;u207dlDWHmtoQI3CoiJGRI7CARNZOjl/Ug7ZRna/yDGMkMz36MMPkaVRblx+M7mKtEaSkIZEcp+0&#10;PPHkH9e/9joxCQWFhU8+vSZ81fQZM7b+9CMjZG8Mfy2SLVu2wCUEAMkJ+A0BAAAAYDQRYZzZ8zKm&#10;TlHT2uUQVpt7x8+tB/fqPG4/zFg01FohMY20q9xF8oD6nARwUrUq0Y7fbrZ43R5KJ6ZOy5972YD3&#10;uW5lxayC1Mh+3OWyOJ1wzYzPL/dxhC0zQurh0v/54cXXd7a1QypVIFnIzclFjQ/eezeyxEdXd286&#10;C0pxZESMuOA4h+2squpvT/XuXbf+7rekSZCErMJMUpCXF22f4bR1dt5407I3/v4apf/bzV+/+dab&#10;MTZ86cUXIh2OAAAkCeA3BAAAAIDRJztfmpGFHdyna2uPmnm9ucXS1WUvnZaq1gphxqJNo8fjrz9K&#10;E9ntKZRzHQZmKF+kQCLmCviJdvC4gaZOZcWtqwa527dXzZ731NbTBmqtFSOOs1ksKK88XkFhy7aY&#10;1ZYZoZIpxHJ1ARRcBpKCE6HqJXq9/tPPPo1cW1tXR6xSqVThstqe3bsvW3zFzqqq8ISDkcQYtqOm&#10;es1TT6IGZdVnZw4jxpjGppMr7ry9ckZFWXk5sgF+8N67yBgYTlpqGmpQip9EgmpAb/rk47KpJRiG&#10;2Wy2+mPHwlXUf7658VhDw4IFl6Kyy8Sb+ve7/yImB64fAEhamIH+58besPHH5ubu2GOUKXIejw/z&#10;S0tHZ1efYy4oP4/BCLBYASaTWBjMUCP0lBF8ZASY7ACLeGQFWKG1LGaA2TsYdfrJTqJNnGd2b5t4&#10;9Pc+sgIMZvCRFdbDDG7oD74W29fVbtyxY2+fh3rVtblwToERpmpbW4ygToRcxr/o4gkwV8CYQ9fh&#10;qN3f7XDGKoeSnSUtnKLk8iBogJ69v3bRyq9MT4C7W89y+5VZEzhcbkIds1VnwE3U1FGaotLLn35l&#10;8DuvO2W6+vmfLA6qmZHNZKplMkGCVZQGhhZ/IGByOOxOpy/md34Zl7O0bOJ1lxdKJPAFHqDh1ivn&#10;JcPbTJErhAJ+7FIhQ8LC+Rd3dXcNoRi36p57kar46MMPhdd7AaJR/Us1TEI4TS03DWbzSVnvwxyO&#10;Y8BvCAAAAAAJRLBeijbryAHD8RM90caA8TA25TPTGL8yIqXDAJfpnSKXNfkSTTT0+3x2M02s6LSl&#10;tw3J/osnKtatrLjlb9TgNV8goDObMxQKVvRKGsBYhzi5SpFIJhCY7PYYSQ9RweUP950C9RBIZiKD&#10;l4eJSMPgIPnllx0ymaz+yBEQDQEAGHJAN0xQlEoMOQ0ZzKBJkMFk9BoPmSGDYW+PP9RmMHvNhqF+&#10;Bmk5PGM/ZJ4xLfaOR0/95/oTybYfvSLR4MTnP9B1OOB8ASOMxwMp3oBxTlGJMn2CZP/eLqvNTTvA&#10;4fTu3NkOxsNolM9Ms3znjpw9v5SLn8eXdifW0doMxoCf6gWbOH229vzSoXqJy8omPHPTtCfe30/p&#10;9wUC3WZzqkwG0uE4/8bPYqkxTCIU2gi8Ue3MoB4CwBiltq4OQokBABiubxEwBYnJ7Nn5o34MuOQI&#10;g/F9n8Noi1cCAAAAg0Su5M27NLPxSE/jcZPXS6+Vg/Ew1n/SuRlV29sipUM3369P8aiMiWI59Ho8&#10;9h5rZP/M21YN7QvdtaCg7lQPbXllg82mlkjgmhn3CNhsgUyGeTw2u71P9ZBYIO8hAAAAAADgUAAA&#10;AACAxCW/SD53fmaKQhBtADIeQqnlSLg8VsUsLW2ValzsMck9CXKc1m59ZOf5l1+PqTVD/lpRyyu7&#10;3TqbDa6ZJEHA5apkMhWG8Vh93Ah83tABNZcBAAAAIMkB3RAAAAAAEhoRxpk9L6PwPCWtBIZobrFs&#10;/6EVEkdETt2sygzaebNIPLjYN+pH6MIdxELp5InEQ5XZMJK3V80+P1Me2Y+7XLboye+A8QfG56cr&#10;FPGrh//9yo59tRBiAgAAAABJB+iGAAAAADAGAOPhwJAreSUlqbSr9CkuN3+U58qqozMbLr6BJ8aG&#10;6RVlIt47q+ZIhTRh2nqbDaTDZCN+9fD7Fv2qd3595IUfd9S0wLwBAAAAQPIAuiEAAAAAjA2Q8XDq&#10;FDUYD/tFRpaYmDTaVV0ql4c7atKh3Wzxuqnh0pg6bfjMhohMlfjz1fNppUMTjjt9Prhmko341cOa&#10;TvNjH++98YnN3/zQaLWCygwAAAAA4x+oiwIAwPjE5fIdOWBAbS6XLVfQF4Xk8thyJQ+mCxhDZOdL&#10;M7Kwvbu6unV22gFkqeWp5WqYLnLSLBZXcws1R5ufFehMdWW0C1iBka4m7Pf5cIMpsr/i1lUj8OrF&#10;ExXPLi+7f8MuSr8vENCZzWqZTMBmw2WTbGB8PrHYXC6L3e72x9LTW3HXc98ckn1fv7hIe/WCAiic&#10;AgAAAADjGNANAQAYnzic3uMnegbyschhSSVnlUShkEMsqB2uP8qVfC4PLNvA6EBcezPnaNta8AMH&#10;umOUWjYYnNPK00AZR0wtV3s8/rZ2avUPPyvQlepO6+aNsHSIG3t8XqqzT1NUmjVjzsgcwI2Vk8x2&#10;9xPv76f0+wIBo8WikctZTCZcNklI/Oqh2eN970ArsSzIUl31m7yy0nSYPQAAAAAYf4BuCAAAcA5e&#10;r99ocp59burrY/SMzhhsSIMNkYgrxoIBgKAtAsNKRpZYoczct6frnCs2DKvNvePn1rxceVGJEqaL&#10;oHxmmuU7NzEtlH43z2dI8agNIyewej0eu5mmQO1wRyhTuGtBQd2pnk3VTdQJ8fu7zeZUmQykw6QF&#10;qYdOj8dmt9u83tiDv2/Rf/+OPvMT/rUzci6bmyOR8GECAQAAAGDcALohAADA4O7/w3RG2rhRUliU&#10;SnlEG6mKEB8NDAko42HjkZ7G46ZoxsPjJ3qMRmfZ9DRiMMzY7LkZVdvbIqVDu8hr8jEVPdyROQyb&#10;3hjwByid+XMXac8vHeEJWbeygniMlA6dPl+32ayRy+GaSWYEXK5AJsM8HqvTibvdsQe34q5XttUT&#10;y9UF2osrssB+CAAAAADjA7iFAAAAGF5IYTHSFIYkRWRUREHQoCcCAyC/SJ4xEYthPCT6t//UWlSo&#10;zM5P9jRkXB5rWnlaTXVbpMxqkXh4HpYYH/a8fh6ny2nFKZ08kXiEzYYkz940re6U6XArNbGD0+fT&#10;2WxqDIM/sSQnqB5yuQq/32S3O91uXyAQe/znDR3EAvZDAAAAABgfgG4IAAAwapCSIsWoKBQEkyoi&#10;f6I6VQRiItAnfRoPic6Dh3SdnXh5RVqSh88Tf02zKjN2/NwauUqf4uJ6BTzX8M6PRaeP7Dx/8Q2Y&#10;WjMqEyIT8T5fPf/q53+KlA5xV7BgLkiHQPCegcUirgR/IGByOFwuV+zUh4xz7YcVU9IvmpUFcwgA&#10;AAAAY/I7AEwBAADjEolETSy9WoC+2e22j6GDdzi9xIIkRbK6CxITU1IEyJkIyROBSPKL5Oo00f69&#10;XZFxuIhunf37LS3Tp2vUWmEyT5RcyZs6RX3wkC5yVZfKpenmcz3D9cfltNo8DhelkycSn7/4hlGc&#10;EJmI986qOfOe2mJxeCircJeLyWSqxGL4+wIIWEymUiRiiEQ2l8vpdPaZ+pBB2g+/rZuTl3rJrEkF&#10;+SqYRgAAAAAYQ4BuCEQlPb3onrs3wTwA4xurVUcs4T0Wa3d4j0Hf7DqjOY6u/hguJvZ+gofCnKVS&#10;nlDIlSv4Sa4EAQi5kjfv0swjBwzR6ol7vf6dO9uzs6RTy9XJPFHZ+VK73RM5S35WQJ/iGb7yylad&#10;IbKz4rZVPPEoe/oyVWLkOoyUDm1Op4DDwfgQbQqcBRVOwXw+q8OBfKmxacVdqPjyFIV4funEyvKM&#10;jHQpTCMAAAAAJD6gGwIAkNSE2xIR6YyieDZsbz+CGvqgsBhMVUYqjCMmL6Iw53AlkfQkyuQChZIP&#10;dTCSlqISZfoEyZ5dHQ4nvRuoucViMDinlaclcwg8MUsOh7et3Ubpd/N8XalubdfQy2Q2Y4/P66N0&#10;Yuq0/LmXJcKEFE9UfL56/vz/3hq5Sm8LzhJIhwAFAZstwDClWGxzuWwOR5/BywSHTPihUPzygizV&#10;jPO1cyomQgJEAAAAAEhk4JYSAABgIKSnF1EaFFwu3GBoYZwRFt0uu97QzAgTHIeDSE9iikIglfKk&#10;Ur48RQBJEpMK4nTPvSSz/pChucVCO8Bqc9dUt+XnKfKLkrdmbvnMNMt37siwbjfPp0/xqIxDWV7Z&#10;7/PhRlNk/5z7/pA4E1I8UbF2ZcX9G3ZFrgLpEIgGi8mUCgTE4vR4rMQ/vzjshwTft+iJhfHNIRAQ&#10;AQAAACCRAd0QAABgWODzxUhSJIVFq8vdZLTwLXiz0cK0tzN9ToajM+B1Mpw6hs8VcHYF/K4hPwyK&#10;IRHJiEqVCNyIyQCXx5pariZO94ED3dGKpdQfNRgMjmQuljJ7bsb2H1ojjZm42CPwsDDrkJVXthmM&#10;AT+1EK2mqFR7fmlCTciNlZOIx2jSIZPJFPPgFwiAHlR5uV/2QwYIiAAAAACQ2MBNIwAAwPDSZLS0&#10;B7VCs9V1NmtYQJQe1A8kOeEjmcQS0hMD1mam38Vw6Bhei8/dM4QHg2REZEDjcFhIRlSniiA34jgm&#10;I0ucqs3aVd0RriCHk+TFUrg81vQKbU11W6S0apC7OF6BwDEEiqrX47H3WCP7L/r9Ywk4JzGkQ6PN&#10;xpbJBGw2/GUB0ThrPwxlP3S63b5AIJ4NQUAEAAAAgAQEdEMAAIChp92Ct5ttwUcL3q8NkZ6o0k5R&#10;SyTpchnqtOiPOa1dFlOL02504Eaz6cSQHKTX6+/W2YkFlYaQYDylUiCV8lO1IrAijjO4PNbseRmN&#10;R3oaj5uiGQ937mzPy5UXlSiTcH7kSt706RpiBiJX6VKGpryytVsf2Zk/dxGm1iTmnNxYOan6aPem&#10;6iZKvy8Q0JnNapAOgThA2Q+Jhs3lcrjduNsd54akgDhLI5temA5FVAAAAABgFIE7QwAAgCHA5fUh&#10;ldCAO/qrFZJI+LwJKSmpUozDOueGXKqaTCypk+aQPQ7Labu129R1ZAiVRKvtTJa3Q8H6KikpQQ1R&#10;nSaCrIjjhvwiOXFC9+/tikznhzh+oqery14xS5uEwrFaK5w6RX3wkI7S72cFulVubSd/MOWVXbiD&#10;WCidPJG44tZViTwn61ZWEI8gHQKDBxVfVvj9drfb7nQ6fb44N6zpNBPLK9vqM8X8OXmpF5ZklJWm&#10;w3wOOVan0+vzxx4AswQAAJC0gG4IAAAwICHA6zPYne1mm97uNOCO8Bjk/iLh8zQymVoiEfLiLcIg&#10;lE4gFmVGGdnjsJy2Gposphabuc1qbnM5TYN5dw5nsMgssdQfNaBwZqVSCBriOIA4g/MuzTy4Vxej&#10;WMr2n1pLSlIzssTJNjnZ+VKDwRFZXtnL8Q+yvLJVR2M2PH/xDTwxluBzAtIhMJR3HSwWil/2+v09&#10;DoebIL4EiAStuOu9A63EInufMyNdPuN8bUlRGpgQz/7Xdnucnt7vIQ6Px+k++52kx37Ob5l2j9fl&#10;9cKMAQAAAP34Dw5TAAAAEA/tFtzqclud7t7GIIRChAoTqyWSSHfhwEBKIulJ9LgsFv1xq7EpKCP2&#10;tOG29gHvmQxnJjVEjUYMscxjmqnlam06tmdPZ7SY5b17Ow16aeEUZbIVSymfmebY5o1MBDmY8sp2&#10;s8Xrpn5cYOq0aUtvGxNzAtIhMPS3HyyWSixmiMVOn8/mdPZLQDR7vGQU8xSFeMrElPFtQiSdgGcb&#10;LmLagoZNr99PfBuBywkAAAAY9n/cMAUAAAAUUKBxu9nm8vlDXsIhUAkRfA4nRSRSSbAUTDQkcmE0&#10;uHypMqMs3JBoaNuHZEST/viA3YikhkjGMmu0WKpWmLSleMcuaq1wwaJYxVKaWywGg3NaeVqymUwr&#10;KrVV29siQ7lxsUfoYonx/v3Z+n0+3EDz5zZWREPEszdNqztlOtxKrdEE0iEwSIIJEAcqIBIcMuHE&#10;8t6BVsY7DJQJseQ8dUG+agzNgNfvszpcjDOyIPHUFooItjpd3viKyQAAAADAcAO6IRAVFIYJ8wCM&#10;G5QiAZ/Te3NLpiBsNwdjEq0uD/rRfsCpCWOjwsQKkUghFkkEglF7+2EyInIjmrqOmHTHcWub1zuQ&#10;v3QylpkRqqmSliaCusxjC7JYSv1RA+0Aq81dU91WVKjMzpcm1bRMK0+jLa+sT3FxvQKeqx8qOW7s&#10;8Xmpqdw0RaX5cy8bQ3MiE/E+Xz3/6ud/AukQGCYoAqLX44k/ByICZUJkbKuXcYOBzEU56sTREElx&#10;0ITbGWcCh0EZBAAAAMYKoBsCUTHYnV8ePgnzAAADQyEUyEVihTgoFybasVHciBb9MavhpEl3bMBW&#10;RFRT5fiJHjKQOSMLAxPimAAVS9mzq8PhpMl45fX6Dx7SGQyOqWXq5DmhMcord6n6UV7Z6/HYzTR5&#10;JMeW2RAB0iEwMvQKiKEgXLvb7Xa5bP1Mxnc2kHk0NEQTbvcEpU8Xcg5CKDEAAAAwDgDdEAAAYGjg&#10;czgSAV8hCpoKE1ArjAGq15xRsIgRsiKa2g+YdEeN3ccHkBWRDGQ+eEiHTIjpEyRQTSXBIU7Q3Esy&#10;D+7TRZYEQRD9Fos7qWKWY5RX1qd40rp58ZRXtumNAT/VT5Q/d5H2/NKxOCcgHQIjeosSKqLCEAhS&#10;AgG72x2q9eH29dOgF64hEk9naWTnZymnFqTm5yolEv5gDg9ZCFEFEpRw0OQYwzE6PDZbJY4VDyHh&#10;83LyJve5H7FQwIEPAQAAgHEHM9B/h/yGjT82N3fHHqNMkfN4fJhfWjo6u/oc88yam0b9ONstOPgN&#10;ASDWXQ2TKRHw5SIxJuBLBIL4qyGPFQapIZKQmRCTsETv2KK50XKk3kBbLCV4wXNYyRazvPfXLlot&#10;VWTnqA19SKgep8twqi2yf+n6TZhaM3bnxGx300qHBGwmE6RDYFhxejw2t3sAUcyRTFGIc1OlWeny&#10;eKyIVqfT4fbYnC7iAJwedwJKhBThL1169r+tRMCT8M/5vApfCwAAgGhqGZT+MCnrfZjD8XzbC1MA&#10;AAAQJwqhQMDlCbjcYKZCIX9YC5skAly+NHXSHFSjeTAaIpkJ8cABiGJOaLLzpfIUwf69XZFVQRhJ&#10;GbMcrbyyXeQ1+ZiKnlg/FVh0+sjOaTfcOqZFQwa4DoFRhfj/SyyMUBSz0+MZmAkRgWqqMBo6SCti&#10;dpp0UoY8N0uRmi5CRsIeOz7qgcakICjh8yT84HvncYie3lTC4YmbAQAAAGCYAL/hKAB+QwBIcJCR&#10;kM1mS/gCAY8r5HKTQSWMH4/L0t1cM5h8iASpahEIiAnLwb265hZLtLUSjJc8Mcset3/7D620yR9V&#10;Rn608spOq62ng/pNiScSL13/IU+MjYNpAdchkDg4fT63x+PyeHD3kAl8eUphego/TSmUSnlZWcP7&#10;N6sUB79wBNVAkSD0lPjCwe4zcBgAAGBoAb8hEOvuGKYAAIAkhM/hiLjBD0AkDhINTMDnstkcNmsU&#10;Sx6PFbh8aUbBIpQP0aI/Zuw41KM/ru+q69dOwtMgTpggyZiIiTD4l5QoTC1XK1WiAwe6aWOWk6rO&#10;MpfHml6hpS2vbJS7eW76GilWHU2J6orbVo0P0ZABrkMgkQiWUiEuNoFAHQpkxj2egMfT32oqFI4b&#10;HMTCaOy9vLVSvkrE0SoFmRmYXMaTyfv9qwkSB5FnkAwchnhhAAD+P3vnAtfUef//JISQkPsNCBG5&#10;aIjgrcLQeplD539aqXX7W7V1rr/am3Xtul6me3WvtZ11zn+19rLfflXXqut+tZ1t19pSFasVdCpT&#10;RCdYMKACggmQhNzJ7ST8T/LQ05gb4Z6E79vzik+e5znnPM+TnITzyfcCADEB3KQBADBWmJSWKuXz&#10;YB2GFpRTBZU7m/6lU1/rVNb2ywjRZHbUX9PiGwiIUYU0k8kXZpw/pwKfZZ6QNn16SnV1u1+9m9LT&#10;KXJI2pP8cqSY1FoX5h98TZA1UVZ8TzwtC0iHQBRCODKLfDREq8s1MF9mApXRjm+17RbSt70/CUwU&#10;MoTMRC470U9J9MiCSTSPzWACBVkOgisxAAAAEOvAvRkAAGOFZBpk9R1eUDBEOYlkNbZ1tJxXK2sN&#10;uhuR704IiODCHC2XDIu64CcZYXyWx06eZWkm06DnXb/hL5BhVHdHikPS8X1gFrfL1W0IslyzHv5V&#10;/C0LSIdANENoiCTClxnDnE6nw+0e/MF7DRJxvlMSJ6dzMlLZU8fzM0RJwoQE2XgefoHAqwAAAADE&#10;AaAbAgAAAEMMgzMuayq+rSAiIapVNS6XPcLdCRdmJCCOqQS+UUgkPsvTp6fEfbLs/OlCqxULTK/s&#10;oLk0Aqeoq1eeMGu7etz+lk1p+XdJJt8Vl8tCpyX8Yc3UZ/ZcUOn9L3CQDoEoeqMiX2YvmNttxzAb&#10;hg3endmXb5VGfCu7fEcW9TnyFE5y4tTxfPxxSgZ/vIiZIQLfZAAAACDGAN0QAAAAGC4SkziC7B8b&#10;WNPdwsUJ+roeQ0OPpbXHaYhwdyQg1tVrU1OS0ySsuFemopY+fZarq9u1Gs60QnF8r8O0ArHR6Ahc&#10;BAvTybBTmJYEzOns1psCd5z/9Ivxtxp2zFWr0tSotA6Xa929Wfu/bFYZg0uHAhaLCebeQPTc/FAo&#10;VBoNvSdFXlNEzCsj4tcvXh7ac51TePIj+YmJHEbiFK+SSOiJeOXcSSnw0gAAAABR+tUJSwAAABCd&#10;WEyGukvVHSrlzPnFKenjYm78Okt3k1qts9rQUzcvn4RvJBKlW0nuuuI2Xo9QQMQw922lGd/qvqWm&#10;piaPz+KOkUy+UUWfPst4vVZrm1csjWPvcnxqs+ZIKk62BppeagR2moNubO0M3Gvy0vtZ4rR4WgeT&#10;3XGxtVOh/j6MKZ1BXXdfaOnQZOphsVhJSXAdAVGIxw4xIYF4f9qcTszttmEY/t0zhNaIvhitzqB6&#10;Is44IXO81yARyYgZImaG0PN0Cng9AwAAAKMH6IbA4N5AZDKbDncCQBTcx9rs2OCinkcVFpPh4717&#10;/vnRBw0NCvzpMy/89unfvxpD41fqDe16PaEY+tGTnI5vJK+AmKCrIZmuO+36SA5rtWHNLUZ8QxlU&#10;siZyIADiCNOnz/LxspaiojSxhBGvK5DMouITrKxUBjapxHaawt8UkZbMnLFqXdxMX2Ox1ao0vooh&#10;QRjp0LOj2ePfDdIhEP2gkIjovYqsEXGQU7PD7R6S2IhhaNNa8I30naFiIHPkvWaJhJJIaIskkBcB&#10;AACA4QF0wyjl2jWV5z8yiYzjLXjK39V4/v++huytJPX+C9XTm+zRWyb7lL19vP39uuH1RnvfwcjY&#10;9KSCrEx4vYBR51JzSyiVKuZoaah/6herkWKImDyjMCZGjrldSp3hVpfOHoGNRhKVmjOhIJ23AC8b&#10;NQ2qm6ciT8RMZFCRprPAf3mEwVebyZJeru4I5bNcWamcOIGXP10YrysgljCmTRXX1Kr96nsSepwz&#10;BIlVWt/KySUraUxWHMxaabRcbO3AH8P0QdLh30ub2wwgHQJxArJG9HW0RwaJdpdrZJREPwg9MZSw&#10;+P2HT8YdGqKfH7Sv2kjATfY4UIc64NO/ehreD0A88Zf//gssAgBECOiGUYpC0e75j0KiIGmP4pX7&#10;kD5I8RYoveoe2dODREEdKF4FMIF8RxPRufeRgteQiP7k3v4Unxq8jO9mdLjhhQCAIaelof7kkdJL&#10;5/99rOzwytVrtu7e79dKiIa5ufIVD64tWbUm+p2UrQ5na1eXSm+IxOqTz6Cn8XjpPC5RwxHl4pu8&#10;/wIi4b8slbKyJnCTWfClNhLwhLR5xdKaS+rAJCGI6zf0RqOjcFZqvBqEZsk4Wq01cPpuTqIrj5NQ&#10;3+vKzRKnxoGxoUKtU3TqwiuGiCQqNS8nbf7zE3fuO3+8RRPYQWM2W51OMYsFFxEQu/QaJPrU2JxO&#10;V0+PDcPcLhfZ7R4m7+b+4pflvE+dsU9kjZfh1QcAABibwC0WAADACGExGfa/vfPPO18jaq5crvbr&#10;89HePUg0XLl6za9f3hL9iqHO0q3SG1RGYySd+Qx6tljMZyaH6kAIiNrbl1RNZzTttRjWtxmp1YZd&#10;v6HHNwGf7vFfhvzLw08ijVJ4d6qwkVFXrw3qs9yp7q440Vo0SxKvwSjx6Ru/DpIjBUtPpugdZJXn&#10;fTvr4V/F9BwVat3F1g6T3RnJpe37Y8Affj2fuafykEIV5GPQ68oA0iEQTyAlkbBJFJFI7p4eB4Yh&#10;s0S32012uawulyuOoqkAABBnYJh6UB+D9DxYw/gGdEMAAICRwGIy/Gnjs58c/BA9JWwJffu0NNTv&#10;++su1Br9oqFSb2jr6jLZHZF0lnA4Eh43jGLoh1BagG94obPpX8rmc5qOq5Hs1aWz4VtdvXaclDVR&#10;zgfzw+EmS8bhCehV51VWWxD7Grzy3Nnb+XnCeFVy5xVLj5e1BMqmjnwezaSRjJ+SOfOHsTgv30TJ&#10;fXYO9WPAxvWzSWGlQyGTSUGxUQAg7sDf24FmiSRvtESS241fWU63GxknjrynMwAAQCCD1A2BuAfu&#10;qQAAAPpB3aUqVBClSQhdr6WhvvTjj5Ah4eIlJQ89+XTRjxb67bj/7Z1INMzNlT/53KYFJcuYbK5f&#10;n9pLveaHeIeoFQ2tDqdKb2jt6orEJZlKJovZ7GyxiEFLHNjpUrJ/iG9Ou7Gz+dytxnKLWRnBnz5u&#10;lD5FwKdn5/Ag+uGwwhPSihdlVJ/v6FR3B30tamrVWq218O7U+Jt7Io0yZ6709KnWwCZngbBgyWMx&#10;NyOT3VGj0io6dZEohhIOJ0PIZ9PpoTqElw5dGJbC5YJ0CIwpULREJCn6guwTPZeG02Pei0wUPV+4&#10;YKUIAAAARAGgGwIAANx5Q2syXDhd0dyo6FB5JCqTwcDmcs9UnPRNVELy+hGj0ITlh79Yv3YVUX+s&#10;7DC+Xb7V6SsLdirbCPfk//nfg5m5wY35r16+iAo5HlfdqENn6b7V1aUxWyLpTCWTMwSC8SI+lZIw&#10;+FMnJnGk8iX4ZjW23bp2NMIAiB7zw+p2FP1QlseH5MvDBL6wd/9Q0linr7+mDdrhttJs/Noxr1ga&#10;fy8BT0gLniMlkXy+/rPlsqmxMhGT3XGxtTNoouRAJBxOhD8GbFw/O7O0/u3y+sAmm8vVaTCIOBwq&#10;BS5MYKxD2CcGSoq914tXT0RRFHs/ZJy9AQRAWwQAAACGG9ANAQAA7qD8cOnzGx7ts9vESXmkO0XD&#10;lavXXLlcjeTFlsaG/IIionPFkVJU+OOOt0KJhlFLv7Ikk1CiZLHIN+3JEMLgjJPPfFzeH/9lIvqh&#10;NJ01PpMjljDgTT4cyPJ5PH5SVVV70HCHJrPjeFlLUVFa/K1/qBwpSmXd2bPvz537X1E+/kgSJff+&#10;yTigHwNWLctjMahbj9QGNtlcLpVeL+ZyPUZYAACEhtATfTM7B7mmnN9HI7X4lHt6ekh3foOD2ggA&#10;AABEDuiGAAAAd8Bks0M15ebKH3p8QzKLnZMrzy8oammo3/nqS6jpxVe2rHt2k5/tIcHNxl5bxeKl&#10;y2JoKfqV8wRHxGKOFwgiD2I4GAj/5dsNx1tvnIrE/BAlX2azaNnZXMidMhyIJYz/syTzTMXtwGwh&#10;JK/PcmWlMm+SUJbPi7OJh8qRUlN7RCjKnCQvjs5hK9S6GpVGa+k79VASlTpewE/ncwdmPrx0kQx/&#10;DCodunp61AaDmM0OZWYFAEDk+F5HA7imMLcbiyBGAQAAADDWAN0QAADgDhaULD9+/j8Wc6/10M0G&#10;BWF++MLLW/BWoieR+xiJhnghVZIe9Jgo2wlO+KiFxO4Wk2kUV6C/BoZUMlnC42YIBAMOYjhgEpM4&#10;WVNX4BvKv9zeVtXnLiazo6ZWXVevzcrkgPPy0L8iNMqCn2TUVKubW4LLzfXXtEajfVqBOM5WPlSO&#10;lLNn3xcJs0SirOgZKkp7olDrIkmUPFTmw0sXySZk8p9775zB6f+p4urpaTcaRSwWKykJriAAGM3b&#10;QgoF4gYAAAAAQb4gYAkAAAD88HUlzpTlEmU/WRCpgStXr1n16HpUc/VSb4BCXyflyBGn9R7/6uWL&#10;gZlVRoD+GhgiTSGFwxqSIIaDAeVflkdsfohhbsJ5eYKMzxPS4G0/hEwrFHM4SXX12qA+y55wh0bH&#10;rDmSeEp4HSpHisPRXXbs9ZX3v5aUNPr5efqV9iRUouQBI5eJ3nxsTlDpEEdjNttdLmFyMlw+AAAA&#10;AAAAUQXohgAAAOEIzHpM8Mcdb3W2q5atepDo8/d3PUriMy/8dmDnmlpQiArbNr+0cOkyv0iIFpOh&#10;/HCpul256tH1YUY1AKwOp9pkitzAkDSyLsmRMwDzQ+S8LODT5ZMEEPpwCMmScXgCetV5ldUW5E1l&#10;MjsqTrZOn54ST9mueUJa3iRhYHIYk0ldXv7OkiUbR3FsSqNF0amLPO2JhMcdjqtbLhO9++viLXsr&#10;a3VBwimarFa32y1mseDyAQAAAAAAiB5ANwQAAOiDR57YgEwL/dyHVz22wfdp1anenMuTZxT6HWHl&#10;6jWfHPwQL7Q01IfJi4I3LV5ScqzsMF5+6hert+/ai+wWUYrnzz54HzVlyeS+7tKDUhP0BrXJFGGK&#10;ZNJ3iREkPO7IuyT3C2R+OMHYdvt6herWhT7ND7t0tspKJYNOlcn4EPpwqOAJacWLMqrPd3SquwNb&#10;McxdXd1u0PPypwvjZsqyfJ7RaA/MkdLUfLHq4idFP1g58kNSqHWKTl2EaU/EbHaEiZIHjDSds+PZ&#10;4o1vVQSVDi12uwvDUrhcCpkMVxAAAAAAAEA0ALohAABApHSolGFavznyJcmbO2Xm/GK/JpR8Gefk&#10;kdJ1YfMpP/Tk00gcbGhQ/PTH8wI7rFy9JvD4/cVks7VqdWqTCYs4nSKfQU/j8YYpS/IwweCMm1iw&#10;Ft9uK8qUzf826G6E72+1YTW16sZGnVTKgtCHQwK+hnf/UFJ3RXv9hj5oB7zeaHQUzkqNm9WeViDG&#10;ZxSYI+XixU9Fwqzs7KKRGUa/ghgOLFHygGGzk3Y8W7z7w0uHFKrAVpvL1Wkw8NhsSLIMAAAAAAAQ&#10;DcBNEQAAwBBQd6kK2SQ++dymQCfiLJkcFbZtfqn88Be+TRaTYf9b2++dNe2rf3yAPy360cI9H3wc&#10;6iyPPLHhdzveGrCTstXhvKXtOtN440JTi8pojEQ09AgKfN6cCTkFWZmxJRr6IpUvKVr8h5mLXkob&#10;17dqY7Vh12/oj5e11F3RdpsxeG8PnvzpwsLCNCo1+J8cneruMxW39VpHfEw2kUaZNUcSdLIny98x&#10;mdTDPQCT3VF+ve3AJcXFts4+RcMkKjVPkvajSbk5KaKRjFLKZidtXD/7p3JJ0Faby6U2GGyQ1xUA&#10;AAAAACAKAHtDAACAIeDLgwdIXmPDBSXLAlsXlCwnXJXXr12Fl2cX/xgvN19vKCs9hLyb8TLR+cy3&#10;NyqOlF65eAHtsnhJScGsu2fNXzCwdCuY29VpNLfr9TqrLfK9YtHAMDwcUe6Ueblyu7Hl2y/7dF72&#10;TZySN0UYTxk8RgVpJpMvzDh/ThVoiEfyhjs8d/Z23IQ7xN8tRUVplZX+5skOR/fRsh3L73tlmHKk&#10;NHUZa1WaSFyS0QU+TiBI4bBHcaE2rp89+UTj1iO1gU2eJMt6PSRZBgAAAAAAGHXgRggAAKAPpsz4&#10;QfgOLQ31yNhwxYNrQxkDPvH8piuXq5FE+MnBD5EgSLB4ScmyVQ8ST1PSx616bAO+bd29f8DDRnJh&#10;v8IXkrz2RylsVoZAEOURDAdMYhIHOS9X7viFlet0c/qYJkqcAurh4MFXb16xtOaSOjD8Hynuwh2K&#10;JYyJE3iB3tlabcvZc+8vXPDLITyXHXMp1LpalSYSl2SSN+1JhpDPptOjYaGWLpLhj385Xh8qybIN&#10;w0RMJlw+AAAAAAAAowXcAgEAAERKt9kUtP7kkVJUWLi019iw7lLVTa9EuKBkGVISM3PzDp7418d7&#10;92zb/JLvvrm58oce31Cyes0QpkjuNJo0JnO/wheSvCmSJVzu6NofjRgdJw5gDe2JJFIPP9GVzXbx&#10;aeH7Q9rlISGRRim8O5VTlxSYdBgRT+EO86cL8bkE5oRRKE6lp+dPkhcP/hQai61WpWnqMjoicOmN&#10;2qRGSxfJJmTyn3vvXFDp0GyzkTBMwOFAphQAAAAAAIBRAXRDAACASLnZqAis7FS2EVLgR3v3mAwG&#10;X1vCN3btvfeBtajMZHPXPbtp1aPrWxobbjYoUiXpTDZ7YK7HQRmYXMhOoqVxuel87khGNxt1mo9+&#10;jgpknZOq60qgJ7izmVh6cvi9UNplUA8HiSyfx+MnVVW1Y5g7yNvYG+5wRmEqT0iL9ZkWzkrF5xLo&#10;ml1evkskzBKJsgZ85MizJJO8RsQ5YlEKhxW117hcJjr4+8WhkiybMQyDTCkAAAAAAACjBOiGAAAA&#10;g6LiO2NDHOSt7AuTzQ6o4eYXFI26XIj8kSU8bpS4K44kbV/scRgNvjVkm4vebOeShBaWy8hyuinh&#10;VhLUw8GDr1vxwvgPd5hIo8woTMXnEqiQlh17feX9r/U30KHJ7qhRaRWdOkdkOUNELOZ4gYDPTI7+&#10;tUJJlnfuO3+8RRPYijKlCFgsJo0Glw8AAAAAAMBIArohAADAoAhqhEj6LpnJzPnFw3FSFLtQb+nu&#10;r1xIJZPFbLaIzRoj/shBls6su3W8NLCeJRBQXWSugco2Jpg4oB4OO2Mk3CFPSMvPE9bU+qdRNpnU&#10;ZcdeX37fKxEep6nLqFDrmruMkV/m2WJRbEUpZbOT/vDr+eL3qz680hrY6urpwT/ubAyGMDkZLh8A&#10;AAAAAIARA3RDAACASMmRyQMrH3x0faokHS+I0zyPOblyJouVmZs3HAOwOpy67u7+pjpBiFhMMZsd&#10;zb6KI0Nr6T6X3e5XmcRk4BsqU3o86iG+WZguPceJUd1hjgbq4WAYI+EOs2Qco9He3OIv+SmVdVUX&#10;Pyn6wcow+5rsDkWnTqHWRZjzJIlKHS/gx3TYgaf+qyj7BC9okmXPglitbpdLyGJBuEMAGOMw6PSC&#10;adMXLFyYkzNBnpdXeeZMy62WBoXi9LmzVpsN1scXAY9fVFCAF46d/AZWAwCAAQC6IQAAQB/k5PbK&#10;hcmsIDZ6mbl564ZHJfz+VtlmUxvNGrPJZHf0d18+g57G44FciMDMOtXZ8sB6dooosJJpScA3UA+H&#10;m0jCHc6aI4npZNbTCsVarS3QKfvixU9Fwqzs7CBRCxRqXVOXMUIDQ1JMuST3SfhMKRaHwwXhDgFg&#10;jH9xZOe8+OLv5Hnf//U1e9682aR5eEGj0Wzf9qezF87DKhG8vn0HWquqS5e69DpYEAAA+gvohkCs&#10;UnXqZFOjArmIsticrIm5ObnyIYwZBwAE+Pvq0DdnOlTKBSXLR+ykmNvVZe7WmMxd3d12DOvv7ijb&#10;iZjNji1HxeHm+vuvBRob0tlMamLIVQL1cAToM9xhxcnWoqK0mF7VecXS42UtgdroyfJ3Vom2s9ni&#10;3sn2M4IhlUyW8LgZAkGcXenhM6VAuEMAGMvMnTlr+843QrWKRCK89akN6/9z9WpMTEfA4wv5/Mam&#10;m8N0fFl2DhINNRpNKNFwuMcAAECsA7ohEHvUXaratWPbsbLDgU2Ll5QsXv5/ifS1ADBUeDKZjMiJ&#10;TDabztKt6+4egCcyCeTCsNhU19X/qfarJFPILJGgz32ReuhIcus4mI0eTsZF6qE0nZU3RRjTJnIj&#10;TJ/hDvFVzZsklOXzYnSCiTRKUVEaPgu/eoej+2jZjuU/29asM9aoNFqLLfKLfZxAkM7jxutbAmVK&#10;2f3hpUMKVWArCndopdNFTCZcPgAwdrhryhRf0bDyzBm9QY8X7im517fb5i1bH3hwdfQ7LEvT0t7Z&#10;tUckEr2xY/s/v/xiOE6RIu79Xarq/L9HawwAAMQ6cEsDxBjlh79Yv3ZVqNZjZYeRngjSIRBDEElO&#10;BmZaSPI6I4vYbJALw3PtvdcCK5O5nDDGhn7Q7JRUNc2RRO1TPbytNOMbqIf9os9wh3i90WifViCO&#10;0XCHYgkjb5IwcHZabcvfPv1TT+ZPI/q7zZvzJEPIHwuZ0NnspI3rZ2eW1r9dXh+0g9lmI2GYgMOB&#10;cIcAMBYQ8Pibt2xFZY1G85vnnyNM5Ha+9ebqFfc//uQG9FQkEs2fMzf6w/lNyZ+MDxUvpEulw3QK&#10;FouFClUXLozWGAAAiHXgZgaIJapOnQwjGhIw2WxYKyDKQW7I+m7PNoCohb1/FkOqk4gxXKkw3Wr2&#10;qyRTyExBv+3X+qseZmVy8qYKYzqzx0gSPtwhvp5GoyN2wx3is9NqrZ3qbr96t/5qAmu8W1gQZl9k&#10;YDgGr/dVy/ImZnB//9HFoOEOzRhm1enwT0J6IvxqAgBxzn0lJUjh0mg0v9yw/nZ7O9Fktdn+duAD&#10;NofzwJqfo5rVDzw4fLohg06fP2du0cyZnj8wDIbPPv/MdzCRc7Xu26OHv0JHGKYx5MrlwzcGAADG&#10;CKAbAjFDS0P95k3P+tY88sSGKTN+kCpJ71Ap1e3Kf370AV75wstbRjIIHQBEDuZ2max2naV7YBlO&#10;ej+1vdZGIjZLwEoGuTBymr48EFjJFPApA02tELl62NxibLvtUQ9leXxQDyMhknCHc+ZKecKYjG1X&#10;OCv1TMXtwKm5ld+QGWk9yelBL/kxYmAYioK70t9NKd6ytzJouENXT0+70ShgMjljeIkAIO5h0OmE&#10;OeE7//3noBrZe/v3LfrJYqQtyvPyBDw+iui34r7lz2/cdPTwV3/8f9v6PBG+1/hx0tSUVLPZ3Hyr&#10;xe9EeOuC+fMfWvcIOgsCP+m6dQ8PIOUIfvCgQ7prypQJORPy8vPbWltVKpVfkuh+jWHGjN5fpCQS&#10;iSw7B5W1Oh3RM+gY0CnwAaCnVRcuDD5RNUrrnCuXc7lc/IA3m5ogoiIAxAqgGwIxw1/f2N7QoEDl&#10;3Fz59l17/bKgrHt2E6wSEG0MiV0hyWtqxEtOlvC4bLgx7j8dJw4EGhsmUBNYgsEGy0PqoYWZED5r&#10;Coa5r9/QN7cY8/OEWTIOvCJ90me4w9OnWqdNFcfiYibSKDMKU8+dve1nUNnjtpNbD5MmrCVRGcRV&#10;PzYNDIMiTeeECXeI02Wx2J1OIYsFPssAEJcUTJtOlK/WfRu0j9Vm+/zTTwh5Ucjv1Q2f3+i5R7in&#10;5F5CIJOmpU3Jn0y6M8WwLDtn9erVfqESFfX1v9m0EfUhQgH6nRevua+k5G8HPiBqkFL56isv+9o8&#10;zp05a8HChfV1db5hBAlxkxjYllf/6JsqmnSnfWUkY8BPxPIye/Yc4lD4shArg7Ns2b3Eef3GEJh5&#10;Bl+ToImqI58m6ul7QPzx3d27fBcNAICoBXRDIDb46h8ffHLwQ1TOzZX/z/8ezMzNi9G5dCrbUtLH&#10;DespLCbDhdMV50+X7/vrLvzpytVrfv7ELyHZ9IiBcpuYbfYBxyvs/YAmk3nMZDGbzU9OhsCFAwYz&#10;65qPfh5YzxYLh+oUEeZcxjB3Ta26sVGXP1kkzYRkDn2Awh0yrlCv39AH7YAvplZrxfvE3NR4Qlp+&#10;nhAfv1+929ZBufVlwoQH4jJF8uBB4Q4nn2jceqQ2+Hefw+HU6wUsFvgsA0D8kZaWRpTDOAWrVP4/&#10;LUh9diR5TfmeeeZZQk3TaDTLf+ZxVPITtgjwnnm5uUgvI0IB4nv9ff++mtrauXPmIDHuZ/ev9JXA&#10;0KGKZs5EghqDTn9s3SPIh/qeknvxHZGpHTqpor7+qWeettpseLdQmiBej8bZ5xjC55smZk0IhX5j&#10;CLU7SlS9auUK38WPcJqLF/446Nriw8Zfr+gPQwkAAOiGQAxgMRl2v7mdePrkc5v6KxriRyg/XNp8&#10;vcFsMuJPUyXpWTL5wNyZWxrqGSx2UOEPP0tLYwNeyJTlMtlBclx2Ktse+dnShgbFMy/89unfvzpM&#10;a4XPFF8uwjYT55ODH+LboW/OjKJ02OfixDQmm81ks5ttNnzTWQebvA+ZFnrkQmYyXP6Dp7V0n8No&#10;8KtMZCTR2ayhPVGE6qHVhlVXtzfdpMsnCcQSBrxA4cmfLuTy6FeudIYMd/i1Y16xNOYcwLNkHK3W&#10;GmhN6TY15jhrs9JWwEsfiqWLZBMy+a/8/XyrxR7Y6nC7241GNoMhTIbPTwCIKwif2aOHvwrT7WZT&#10;k19NMuP7T4PXt702e94839bGa9dIdwpbivr6g//4KFcuJ0IlymQypBuiUIC+TruNTTeRZucr9gl4&#10;fL8xbHlls+95c7Kz8R3xbuikXpdq3u329oJp04njvLFju9lsZrFYfv7IfY6hoLAw1OKg9NNtra1n&#10;z50jhuo7BqvNvunF3xGd33z7zS69fv6cuS9v7r1tWffwOsJmM8JpkryxJoljHj/+NckrNfrZdQIA&#10;EM2AbgjEABdOVxAq2OIlJf3NlVx16uTmTc/66mjEoX6zeaufBNnSUG8xm0Ppa/vf2r5t80t44cCh&#10;o0U/WkjUlx/+4kTpIcIiEueZF3676pEn/ORFYiJ/3vman27YqWyzmk1+g/n4vV1XLl746YO/8D0X&#10;6TtxEC/MnF/sewp8GDtffSlwpogDf31n6+79gzm+H/ha3WxssJhMTDY7VZIuSpME7Rzh4sQWOku3&#10;1ekcKqEQJ4lKFSQn85jJ4JM4tGBmnepseWA9SyAYpjMi9dDAxYwsp5vSE6pbl85WWalMESdPmyGG&#10;hMvhkWYymSzp5eqOkOEOT7QWzZLEXLjDwrtTjV87Aid1/dtDAslUjigXXvpQyGWidzct2rnv/PEW&#10;TdAOJqu1x+mEPMsAEE/wuBGFFkkRi8O0+qpaivr606cqDv7zUwGPT+hilWfOvLT5FavNduzkN4Ru&#10;+PiTG5AtYWAoQEaw6DFC/h2C2or7lvuJlYi83N7PeY1Gg4z4iNzHOISTb/np00UFBYRrdp9j+Ozz&#10;z2bMKLh58wZezsmZQFhW+pkKBh3Dwz9fSxgzonXAy8geEC3RPSX3vrN7N7JVjHCaJK8oiQrHj3+N&#10;joY/fvVVaWpKKhgbAkBM8P8FYO9c4Jou9z8+BmyDbcDYuEtcElDEGwiUmKFmWmhW5t3TP7U0O6dO&#10;p1KzVPJSFp7MkxVaqR3TFMvSo3jJGxloSmDeQECR+3Vct8EYA//PePDh52+/jXEf2/f92ms8e37P&#10;77n9xi6ffS/wXQXoB5w+coiUJ017vkPnnos/rCsF88kT8Xezb1Ndnr/YsObzTz9BhZXR67WjJR7d&#10;vweLhohLvycQrY2cRQXVnDhyaOcvx6jq2I0rf9KalRUVxB/4IfXSH2gyrBYpc/Wnn+NTkn87u2pZ&#10;ax4YmkZJxEHUfuu+ttxnNNFwxqy5bgM8ydx+jPth8Vttppqd6J+6FScP/4znTGVz7A6aqmv45hgz&#10;VYq6xqYmubJB1qCxK+yK6/EDr78tbsiiFtNCcEjsIW7/95OmBrpREk/I5/J71tDPvsZKWGsps2vS&#10;rx6Wlded/jUXEi63/3VRzBkT6ZFyqVQ7EzGrxYTzQlJhf4wdGT7aLeFsvrYp5dXELx55aoM1F0Jh&#10;6kQo5H7wz7HecX99c4k5rD7Os+woEPA5HNguADABiCaVfPmynmZU6a2iSiNv+fr4UBtIpdKvtn5O&#10;DWv49JOTyCEillHJSE+nPhwRFOTi7OLmhj5le4aGP6J/2hFh4dig72JiYm5eLtEiqVNNvvRH6wuX&#10;vM0I/aV58+MO/oQmg+apLa7pmUNhScnCxS/jsp+P73e7v8dLYHTups3huRdm4IcxGz+i7gOawGuv&#10;v4ElRRI10sBl4tGxdIg6IelQ/rpxA303gic2APQLQDcEjJ3czHSqqVrY2EjDz01LTaaKhv7+AWMi&#10;x8tqakiHmZkZ/45+/+Ovd2HPWaJwHdy3R1s3PHmYQUHbtSVGWxcjnf9n3WqaiR91XWePHSFCZOsQ&#10;J+InTXseS2+lxUW4Es2WdEKTQVF71I+21/bK6PVRM+diVc57oP9bSxfh+uupKaRx5/pHD7/eHEO9&#10;IlRuXPmTqht2enN6CJkBaeBwG7myoeleU72qUaluamxq6sY5cK2shDyuyNZWxLeFDCc9jTwrtfyv&#10;FIZPyRLHXhidfc8Cq4eVIrWC36inJU647DdQ5BfoAFdNF9Yc9iOPuV1LKUfbpX0Ux46srW0YFuLU&#10;jxZlK7AaPtw5JYX+Xa5BWXXzQuyIcSvguuvnpVkjhgU4r9r3Z00jw885Tffulctk9TyehA/hRAHA&#10;dKAqg9r4BwTgAjWEH2H/D3u/3bWTpgxGTZmKC19t/ZwxZTC23WO1qHVr13+oHX8QD6dd+VTUFOyN&#10;m5Gevnpt9NjREYxTJUpo0uVLaIZYdHvl1aVjH49cvWYVTe/r0ByIZkqWoGu70Bw8XF1Jt6nXrtJa&#10;Jl/6Q5dnsf5lIjZu/Ojfmz+TtPDd7u83b4qhpkwBAMD4Ad0QMHaup7Z97Z8xa662hVpZUYG0pDj7&#10;vp2di5s7sZ7b+/VXpNnK6PUzFy3B+uC8xa8tX7oIm9SdPBH//PkEHOvQ3z8AV6L7tNRkqrfyufjD&#10;VPO68U9rPmFQLRDxEEEjR8nlMmKv92PcD09MfZYEUsRZSjATw0cwvHn7B+gRRhltJ6lSYHTMltLi&#10;Ippz8bioqQZudbv9o63++99m6fKDRqDlk3JHN6cXyCor75PnsJDLEXB52LQQ7Ap7k9v7Y7Ur+SJ7&#10;q17MmcC+ZyGptHaosapyaKyz1WmpqlY3p9+qyMmpGTHSGYIe6mFYiJOdHTctvYIx3GFObm1dnTok&#10;3KUfGW96ePFrqh20c79IS2/cTt0zMHg+XHT9BI9wj3t40rrYxAslNYwN5EqlurHRQSjkWUIICAAw&#10;BTSBDnWrTk/cNx48/etJ2qGLiYlbY7/SPoV40SanpuoZV3++EWIzyGLyld74oPketiu0t7enPsSg&#10;Gcpqa3G8QjSxr2K3U7MYGz4HGgX5+Yz11DlQA0Fq66falpUGLpPVEoHxtaVLSMqXt5YtRxfx0y2f&#10;1SuV8HwGgH4B6IaAsZNzO5OUh48KI2Wahy8V7GV8Lv4wMYubNDmKiIaIwODQV/+1nFjh3bySgtWr&#10;MZHjiSiWnZlB1Q1/3vNfav/oEDVbCy3Fs6+fP5EFTx85ZIg0NmPWXLS6yKen6nLdzc1M1+Vw3faO&#10;/mCYwtYTszIN2WdD+t/5n39TRUO06ulz5ju5upMaYmzYvZvT/15YLSyEPK6DLV9jVGjDhXiFfULF&#10;hf/J8nJolRZsC75jH9j0WTVZOFVwVHKrKju1kqdTPaxXqi9eLHIU8YJDXSDooS68/ewcHHnJl4rR&#10;dmkfLSuvS0woHBni0o/CHQYOF1dWKiur6F+fcjJPilwCxR7BcNH1IxRyNy2f8J1un2VlU1NJdbUj&#10;n28HVt4A0G8hvq5PRU3RJTlFhIW3Wcyl0B0Oqmuq9Q+hbZ+IwfaAJGHIuug1xM2ZCHlUYY5mEYna&#10;Y8/c0LCw+29Vml+yiRKHHxK+27vnr6t/YaNCBBp3wYKX8HCGz4GGdprp1u8OOubg6PCAM/KIoCCy&#10;sQX3PZYMXCamsKRk9pxZ1GzL6WlpYHUIAP0FiKYEGDvFBW1vgT5+AaS88LmnN65drS0asu574N68&#10;0vZx4fn5/0fL4Ttl9nx//9beTtyPn0g1l6PqlZpwfvcHQmfNXLSE9WC2lrfXrKc686LywsVLcfnH&#10;uB8Ushpdq5s0OWr7ngNX8so+3LZr5stLdQVDRD38O/p9XJ4xay7pnJG01GQ0YXTbtSXm4xVvPjuB&#10;OURxR/s/F3+Yai+5Mnp93OnfF7y5HO0kuZGj3bI5/QgrCwuRDc9HLB7q4T76Yd/HB/kHe3v5OktE&#10;fFsQDfuK2wd3a1fyHUXsvrM54jSwXco5LlKelVrfm29llfL0r7nXUsobVc1wHRlxEHMin/AUCpiV&#10;QZlcdSGpsDBX0Y9WFB7hZmXF8Ky4fjG2saEWrrghvDRrxM6lYz35XJ3/WQqFtKZG3Qz/VgDQLzn/&#10;WwIpv7xgoXYDGx5v0cuv4HJGejrxtHVzczNwiBFBQaTs5+NLynK5HD0kwtn5C0lEUyPaGVWYowpq&#10;aCba0Qlx4EVGX2PMXzduLFjwEo6riJo9ExWFp2T4HDBEwtMFdQ5Y9cPMmzOHpFtB465d/yEuf7Mt&#10;lii2Bi6TgE7cGvvVuug1+OFby5ZrZ2QGAMA4Ad0QMHaoofT4QqHhJ1Ij6zEatY2JbLXOIwoX1UeY&#10;iIlU0znEq/9ajiXInKw2yztfv7bEl2VFBUf376FKbNjiLy01mTq6v3/A9j0Htu77Gc2Npmlq89Gy&#10;N0nilPc2baHqmy5ubeZ+yb+dfX3O889OGPPW0kXotnHtauo0aI072j9Vh8UWnXqm3dHN6Xdwrawk&#10;Ar62UOhsBxlOjIK7+z5V1dIlaUsrS4Fj3wcQ5NWzPYp54mouu1lfptec3NpTJ3JzskAzYsaawx73&#10;pKeHO3OUK7W6OSWlJCutuh8tJzTUlWkhyr8SNsPlNhCcZ3mil86v4nK1uri6WqFSwV4BQL/j1JnT&#10;pDx77rxJ4yfQGsya/gLxOP788y1E3hrg6am/5+PxR3Fh7foPI8LCHR1ENjze5MmTSYPUa1eJkR2r&#10;RbUkmhoRJbPv3iUNNJ7U5PvI51tImRj3VVZXebi2veZTBTsCarPj22+oS+jQHGgwHtKewzfbYskO&#10;f/n5F6veXYlu3+3+niRZjjv4U4eWqT3oybNnSJ4ZWkZmAACMFnCDAvoTEte2Hwy//D7u7LEjJLlH&#10;YsJZIv/5UswSEfqt86g4uw+YMWsuVipRb2VFBajmXPwR0vOkyVEkXGAp5c07OyuzrLj4blbG1T8v&#10;03KGoFOo/s4Ymutuu5A+ly5bSVPriJa6a0sMLcuKNrqEV0P6z7h5g0weW1zqoSubY4QIuRwrNtvB&#10;ls/jWNtYW4v4tvDPaMyo5VXFSee06+1cnI1nkgKZpa2cV2OvrhXqTJmCc33cvVsTNFQCQQ8ZCXnE&#10;RZxlg3aJ8Wj6rQpNppRgp34R7hBd4oEPMwQ6rKm6A4EOO/By3ZJnOex01hen0vUkS6njcMQCAdvC&#10;AnYMAPoLhSUl32yLxYH/EGvWrvMPCDhx4gSrJdDec889TxIuo2YtuXq13hTS0hh7jouLw2k9JBIJ&#10;Y/RALEEuf/stfHT23Hnotv+HvZkZGSQBMaP2dzz+KHUmVOM+ajBBgg2PN3Z0RGlZKTrL0UGEFtX6&#10;RlBTg6fR0TmQTCZ19XXaw2nPIe7gT0FBQ/FOBgweTHRYVoto+NrSJYzu4XqWifHz8fX18cGO1ZPG&#10;TyDdMs4KAAAjBHRDoD9RL5eRspf/4AUU3e3jFW8Sdc9Jh1UdFYWshli9TZocReofjZxAtK3crEy+&#10;UEg1NtT2d8boigy4cPHSOUwS25jI8e2KhokJZ2k1m2N3aKtsWEulJSGZMWuu2wBP74EaQz80f7Iz&#10;1NM71D+rJYEMmXy7BpJd2Zy+RWSj+fHWwVaTfFPjZWzJhqzH/Y7b//2kqaGBVmltw+XyjUt6Y9+z&#10;EFVbC2VWFY6NeoIeyuSqixeLPNwF/UX/6mVwuMMLSYWMmVIKi+S1taoxkR79YusCh4vRbMvK6d+j&#10;INBhR3n6Cb+HvUSf7U+5XsXsrq5QqZRVVY4CAZ/Dge0CgP4CVdVi3dfOaG2+2Rb73d491BoH+1ZX&#10;A2r6ESpZd7OJHqcNsUZMunyJ2ow6NGmDIWpdXFycrrWQTMdUSPg/Glge7dAcWC0qZNu74YNJmXXN&#10;oV6pfGflioiw8EUvv0IVDdGuos2niYaGLJPVYtX43e7vGTeWcVYAABghoBsC/QmFjvd7zVfrmjaf&#10;RKpjLKsli/Hrq9bSpK4DO7aTcjAlQdjQ4BBSLi0uKo0vetDYcBpllABdk/H3D3jxlaV6kpwYAi1t&#10;8YxZc0kAwfKSNms+PMTJwz+TSb6z9kOqKHnjyp+4K6o82tH+H/genpfX7uR7enO6AjYeZN0XB4ky&#10;CFaEpoE8K7X8rxTtentXZ+OcsFWThUs5R8W1KndUqa10Rl4rLJKXltX5DRT5BTrAVaahCXc43vPS&#10;hWKZnMH/FFWeOpE7OsKjX2RKCQl3STidr53y5frF2Iipn1pz7eByG0iAn2Tb6kl6kqVgw8N6Hs/R&#10;1hYMDwGgX1CvVH70ycfvsd4l0iEVqVT61dbPtaPskcZy3d8jki5fmjp1yrixY4nvbWj4I9p2c6jZ&#10;Sy/+beXK96iaGut+4hTqTNC5x+OP0gwALyYmoskQX2BSqX/VmzfFUPsxcA6al8GBAw0cgtYADYFu&#10;jg4i7EfMaErZ0WUyXKxt2+ApDQD9BdANAWOHOA4jbqT+yejWWlZUQE2djFUz6olbN0RTpcMD38ZS&#10;rfOiZs4lZXQu6gHb1l1MOHOVEtTvxVf/QR3UVkD3+UUnPjZhoo9fAGNeY4WszVhSIGznu19uZjqt&#10;Zt7i10iZeAGT1C7U/DC6LBkDhgR1un9cxlIjGuvo/j3ULCjadHRzeofghzxBHDR5bu9n+JzKF9lb&#10;WRt13ElOgybooVzYVGWnambfY2yjVjen36ooKJCB2zLTa47VmEiPa6nlhUVyxq07/1v+sKFO3n7G&#10;rrtpAh2Gu6HZai1BE+gwdNIHcK07xEuzRgwLcI45eCVf0cDYQK5UqlQqR4GAZw2haQGgH1BZXbV6&#10;bfTY0RGhYWHY3i0jPf3KldTMjIzzF5IYvWhfevFvw4YOlcvlSZcv6e9Zk973fobfVe+uxP3TkhRn&#10;3c1euPjliLDw4JAQbO63/4e9NLEyevX7Ls4uaD60Id5ZuYKU0VGcIYTa7NtdO9FCJk58EmudFxMT&#10;9+z9Xtvn2pA5INAcWj/25+UyLplxDtQN0ZVg2vBlslpMHdEliBg9+rkXZkgkEqlU+stPP2pbLwIA&#10;YMyAbggYO24D2oIZ7/4mNnxspLYutvM//yblSdNaQ4E8MfVZohvu/Do2MeHs9DkaqSv10h9UlW1z&#10;7A6a4dtjEybiBtRgfAsXL6UJXiTQIWbvoeP6FTFqyD/sQawHmmXlyuj1VMGUGFeS1C5E60T3u7bE&#10;LHhzedu79X3zQOqgHe0fgXaPiK3bPotxcXOnrbesqIAvFGJxtqObAwDdQunpvbK8HFqlBduC79g/&#10;bPQMCXoIbsu6QLsR8oiLXRo3/VYFY4Nr18srKupRGyNfiIOYM3iQWHsVNVV3Mi5/ExD2ClzrDhE8&#10;wv2bh8Xbfkg9lFHM2EDV3FxSWysAw0MA6CfUK5Unz55Btw0fbzSkfdbdbF0Wc/peiu97N2snKWbd&#10;t8jbGvsV47ktSt8NQ1aha2mGzFD/HBD+Aa0//6empBg+B8MxZJnUS0DzHwcAoB8BXzkAY2fIyDbH&#10;4czMjInhI3ZtiSG5iZN/O/vxijdJpEJ//wCiWI2LmjZj1lzquRvXrkY3qmi4Mnq9tt1cOCWrMkE7&#10;Eh9faI9OJw8P7fuemjEZldE8j+7v5Bsk1TiR9aBFJOtBQRPz/Pz/I2W0xtfnPH/g21g0BzQBsl5f&#10;ivFgR/vHbYj5IdrMec8+9f6rC1D/6PbFhjVTwoeNGfLwrCceKysq6OnNAQBG1PKqO4f2adcLncRs&#10;S8t+867cEvTQvYTHU+r7Ya+wSH7qRG4/yhfca/gFOoSEuFpZsXXtW+K5wkZVs/GvwtmJwTg6P/t8&#10;2d3f4Sp3FKGQu2zJoxtfCLG31vlvJVcqC6uqINUyAAAIRwcR8W6+kXazn67i99/PH48/unlTjH5D&#10;SwAAgHYBe0PA2AkbG0k8ZDF6sgZHx2yhxjH8cNuuRyMnvLV0EWPjzbE7GJ1tvfwH00ZcGb2e0fl3&#10;5qIlB/ftwS1/jPsB3dCJYyLHF+blEbUOzb8Tgfyoxolo9HZ7GBc1bfueAyQDCRqdKo9iqBaFHe2f&#10;1RLo8O0166lJTvCSqW3QVlw+n4B3tec2BwAYyT+yUzsdihXH2ta+/4WEs25ku5RzlDZWFQ46gx6C&#10;27IuPLz4fIHHlZRSxnCHlVXKhNP5oeFuRh7uUFegw7SU3UKxj40dvHJ2mLGjvUYOdf1056VTuVLG&#10;BpBqGQAAzLw5c3DhYmJi/83d8deNG4x5pQEAADoK2BsCxg5faB8ds8WQltv3HNB2hp0ye/6VvLLN&#10;sTsWLl6Ka1ABPUy8eUdPhL7JU58lZX//gJk60v6iuX35fRzNqnHn17FEF0PnEl3sxpU/KScKDd8B&#10;mjEgFWqcRCwd6mpJlt/p/skQ1KCHNNChsPvWmh3aHADoIsri2wVnT2jXC50k/XdRvHq2WwnXoVaf&#10;vIXdlq+llBu/DV1v4iDmjIn0YDTZY2k8s9QXkgpzsmqNeQk40KF2vSbQ4fmtcIk7h1DI/eCfY/Ub&#10;HipUqsKqKnlDA2wXAJgJk8ZPQDdHBxF5SPIU//LLz7A/AAAAYG8I9ANCHx+/99Dx3du+0Laha32D&#10;nxy1dNlKxpQprBYBa8rs+ej27idbDByR6hxNs2Gk4eU/+MNtu56Y+uzPe/5LnZ6/f8D0OfOpkhxV&#10;g6P2rx/t8IuIDZu27P4mdvLUZ6fOnEOtHxc1LfHmnQM7v/78009op4SPHdf1/vEQaPIJx478fuYU&#10;db3oEkya9vy4qKnUvTJ8cwCgi9z69hPtSp6Qz+X3b0M89j0L+xorvtyywrFRyVPrapaTW1tQKB8+&#10;3NnDiw9PBow1h/3IY27XUsrR5mgfVaubr10vr61tGBbiZLRL0BXoUCEvgkCHXQEbHq6LTbxQUsPY&#10;oOnePalcrlQqHYRCKzb8xA4ApoyHq+uatetw+WJioqNYTPIU7/9hL3j4AgAAICzu3bvX0XN27DyT&#10;k1Omv43Y0YHD4cL+MlJcUtpum1Ehg1q+MrLYFiwLCwtUsNDA0tzYLQV2SxmhacFi4wboHl1US4sH&#10;DpHGrfdsVMMi7S1a27MpNZoPyWyLqrrm1Lx6/fMU2fCCvb16bevOxR8uLy7KzmrzIPb1C+ihFL0H&#10;vo0tKyke//RUXXKkNrmZ6TjfCF8g0PZrVshqzsUfQQXtjCKM4PB/+tMW66KsqIAq7a2MXk/NlNL1&#10;/gk4aqEhW6R/c7pOak5uVX07edkgn7KpUnHhf2m76BZY6AXQyeehfhTZsF2UNs163JYxjiJecKiL&#10;rQB+FGwjJ6s2Lb1CrWbeN2cn25BwF2POMJPyRyljkuhh4YudfR6D69sVjp3O+uJUek2jTkUefT6y&#10;5fHEtvDGAQAs6z8+MMl12fB4+/fFSSR074SLiYmr10ZDzl8TJun3JNiEtg+ZyrTi0vWdPp3HG+zm&#10;sga20YQB3bAPAN0Q6E3KigrMwR0YdEOzRS2vSol+RVVLtxsSSBwF/SSNsuE0W9yT2TVV2+lL3WBl&#10;xfb2sgscLobnBqG6QpV8qVg7ViBGKOCMDHEx2nCHjarmxIRC7ViNVla88CejIdBhF5HJGvREPGz9&#10;OmRp6cDn86ytYbsAc8ZUdUNWi8nhgpcWPBU1BT+USqVfbf28K4mGgX4B6IZUQDcE9APOFwBg4kAM&#10;QcC0yT+yU1s0tLSyND3RkHXfbVl/tmW1uvn2nepzv+aXF9fD0wPjIOZEPuEpFDArgzK56kJSYWGu&#10;wki/q3PYI0NctDNEQ6DDbsGQiIfKpqaS2tpyuby547+1AwBg/BSWlGz4eOPUqVNeevFv6DbtuWkg&#10;GgIAADzwHQS2AAAAAOin6EqHYufibMKrxtmWJZVcdrPOlK+QL4W+aRz2uCc9PdwFjEfV6uaUlJK0&#10;qxXGOXkHMSdwMIMBKQ50CBe364wd7RW3atLkgfrSKCkaGiBfCgCYMJXVVVl3s9ENtgIAAIAG6IYA&#10;AAD9CYWsJi01OTczHbaCpSMdCpdv09/ToRgCX2Fpf73eqqhOT5uc3NqE0/lGa0nX+4Q84jJsqM5E&#10;KLfvVP/xe7FxKq3efnaMomd+9vmyu7/Dle0K6uam7DLp1ZKC0eNcFj3p5WCj0/AQ50uR1tQom5pg&#10;3wAAAAAAMBNANwQAAOgfpKUmf7zizZEPOT87YczE8BFlRQVmviGlp/fK8nJolRZsC6GzxByW39zU&#10;VF9ZY5ley0mtYNc26mpWr1SnpJQYrRzW+3j72Y193FPb7RdTVl6XmFBYXaEywpkPC3ZidLVOS9ld&#10;X1sAV7YTYMUwKfPO3YqKBrUm/KWXl+C16Q8/OURfeFC5Wl1SXS1VKMBtGQAAAAAAcwB0QwAAAGNH&#10;Iav5YsOaZyeM2fl1LK6ZMWuumUeuVMur7hzap13PdxRZmUf6AnlF5b1mjWxhUdVonVxhfUemp3FZ&#10;ed2pE7k5WbXw38RqcfudONmr34U7hECH3Ui9qjGzpBQrhuoH5T+ejdWY0a6vTfUdKNZntixXKgur&#10;qmoh1yoAAAAAAKYO6IYAAAB9TFpq8q4tMa/Ped5fxP14xZvaDbZuiP7801aH3EmTozbH7nhv0xYz&#10;37S7B7Y2aQUas+JYm2Q6FG3UjY111Q8IhewcBSep3EUyUOcp6uZr18sTzxXWydXwT2fNYY+J9Oh3&#10;4Q71BDq8nboHLqsh1Ksa0wqLL9zJzq+qVus2GHR1tXl5ht9rEx62t9H5O0TTvXuVCkVJdbWysRE2&#10;FgAAAAAAU8UKtgAAAKCvUMhqtm6IJlaEiMK8PFqbc/GHSYPNsTumzJ4P+1ZzNaHkIkNMN6GTxEx2&#10;QC6t1K4MGv9c+Auv38pISEr6r0rFHPewskqZcDbfb6DIL9DBzJ9F1hx2yCMudmnc9FvM+uDtO9W1&#10;taqQcBfU0nim7e1nV1FRX1gkp9XnZJ4UuQSKPYLh9UEX9arGu+XS4tr2rW6FXOsAJ9FQNwk3zPJf&#10;zw1fte9KXNJdXY1xtmU+hyPi863Y8Hs8AADmgg2PN3Z0xKzZcwIGD76YmLhn7/d/3bgB2wIAJgl8&#10;vgEAAOhBFLIaXYEI0aF3Fy8gmqC/f8DK6PWrP/2c1uznPf/FBRANCVkHdmhX8oR8c0iHgmhUNihl&#10;dC9aji1/5MwFqDAoIHL+vC98vEfpOl2tbk6/VQGGhxi/QIdHH3XvX+EOdQU6vH4xtrEBXNEZqFLU&#10;YRvDdkVDIdd63MAB84IHjfJ04VpZohp7W87WReG/LB8/xFOf1K5QqQqqqirq6iDoIQAAvfHm5eM7&#10;afyEdptFhIUf/uXw9GemdfsEbHi89dFr16xdFzB4MHr46JgxX8ZuR7OCSwMAJgnohgAAAD3C0f17&#10;Xp/z/MiHnMcMeRgVtDMg7/rPpydPxLNaFMPtew4cvXRtwZvLaVEL0Vm4zaTJUSAaYgoOb68vK6FV&#10;WrAt7JzNxdiwtlyqXTkkagaH3+p1y+XyJ09eNnnSO0KhztzB2PAwK60anlFObjaR4z37UbhDHOhQ&#10;u14T6DBhM1xQKlWKutSc3NS8/HYVQzGfhxXDACcRw3fvQc7n1k5eP2eknY2+8Kmy+vrCqiq5VggF&#10;AACAbiQiLPy73d+vWbtOv3Row+MtX/meRCIZHBjY7XOYNf2FR8eMoVWuXPkeXB0AMEnATxkAAKAz&#10;lBUVSEuKS4uLFDJZeUkRXyCMmjWXL7THR3dtidm4djVpfPJEvMdDD737SVtQwrTUZBKy8Mvv47z8&#10;BzOOcj01BRcmTXse9hyhLL6dd+qIdr3QScy2tDSHHWhQ1DfW01UJgZPLkKgZtEofn1B398A///zp&#10;2vVjjF1hw8PSUkXQMCcHMcecn1e2AqsxkR7XUsu1/X9Z98Md1lQ7BA4XG8mE0fUaPEis7WFdU3Xn&#10;duqegcHwG4NGMbxbXl5V337eEnc7/ihPF3TfbsslEwNmR/jod1tuundPKpfX1tU5CgQ888jRBABA&#10;LyMQtP5MGBoWdvLsGV3NAgYOlEh65CdVRwfRK68uRQWpVPrOW/9ydnKK+VTzq1XA4MF+Pr5Zd7Ph&#10;GgGAiQG6IQAAQDuUFRUkHDuSnZUhq6n5Me4H3dKDEJsEEtHQ3z9gTOR47ImM7qm64aXz53Bhc+wO&#10;XaIhoM2tbz/RTodibcO1tbczkx2oLS3Trhw5cwExNqTC5fIjIv7Pxyf07LmvZLJyxg4rq5Tnf8sf&#10;+LARiWJ9Qr8Ld+gX6FBRUV9WTg9kCYEOy2plBZWV3asYErDbcot6mHozX6e5rqq5uaS2VmBlhb7e&#10;88zjJw0AAHoORweRWCQielxoWBguJF++rOcsF+dWy/SC/Pzunc8zUVG4sHvXTjQrdMtIT8cOy74+&#10;PqAbAoDpAX7KAAAA7bDwuadXLXtz59exekTDSZOjxkVNZbW4JxPR8Mvv4979ZMvK6PUMGsStVrfl&#10;sLGRsMMGUnHhf7K8HO16O7NJh1JXU9ukbqJVCpxc/CKf0nOWu3vg/HlfjBr1gp42t+9Un/s139gC&#10;+fU+/SvcYUi4iw2P4Qdgsw10WFRdk5h153phUbuiYYCT6JkhvujWIdGQgN2WP18Urt9tWa5Wl1RX&#10;l8vl6uZmeAEHAKBzeLi67tr13Xe7v+90mMLi4uLundJzL7S6OPxx+RIu7Pj2G1zIvnsXLhkAmB6g&#10;GwIAALTDmMjxug698faKQ2cSr+SVbd33M19or5DVbPssBh+KjtmCDQn5AiGrRUaknkgkSFpAQ13U&#10;yWXmfAnUzU3ZObfT927XPsQX2VvzuOawCc1NTYqKKu36x/5uUDih0FEzZrzwiVjspauBTK46/xtE&#10;POxP4Q6tOezQcDeG/xfzC3SIFcP04pIGdTvZfgKcRPOCA8YNHNA5xZDK7AiflE1Tl00L0t9M0dBQ&#10;UFUlVSggZQoAAJ0gKHAIdjd29/CgHdIv0rm5ufXEfPx8fPF8pFJpYUlrvOmky5eWv/3WzBnTwdgQ&#10;AEwS0A0BAADa4fVVaw+dSUS3xJt3MqsaFi5eSg79Y9W6wOBQEtYwNyszMzMDFTZs2hL6eKva+PuZ&#10;U+h+8tRnOzG073218eqfl81z8+tVjWmFxUmZd0qO7Linott5WVpZCp3MxbtWUVmtbWzoGjjCbcgI&#10;A3uQSLxnzojRb3gIqZZZ98MdergLGI/icIfXUsqNYao40KF2PQ50aA4XqxOKoZDbbdE87W05y6YF&#10;pcRMnTzSQ39LuVJZCAmXAQDoODfSbh6PP7r/h70///IzrgkNf8SQEwd4euJC99oA+vr44ELypT+o&#10;9UmXLxEZEQAAEwPiGwIAALQDX2gfGBxKHgaNHKWrpZef/xtvr+ALBDNfbtUWSUJk74H+nRiajPtj&#10;3A/zFr9GnQbp/3pqyrioqUS7NBmqFHV5lZVSucawi5t7renan9pt7FyczeRJ2NzUVFfD4Hk6cuaC&#10;jnYVOmqGj7cm4mFFRS5jA5xq2W+gyC/QwWz/69sNd5iTW1tbqwqPcOvzcId6Ah3aibycfR4zyQuk&#10;bm4qqqrJq6xqVy7kWFoGOIuGuYm7US6k4Snh7379saRbZZsO37iQUaarWdO9e7L6+jql0pbHE9va&#10;wnsrAOhi+jPT3lq2/Hj80Q0fb2z/NdDH19nJqay8XJelm6ODKDQ42D8gwN7ePvny5ey7d7toE4c6&#10;HDd2LElSjPo8fyGpXqnsSod6ZlhYUkLbB5LthM/v/CtJu/umC2LGqD9soiG71KELDQBAHwK6IQAA&#10;QMfwfdDjmApfaP+PVeuoNZfOJ+ACLY7hpMlRWE/MzUzXnxfljbdX4MzLy5cuiondQaTDsqKC+AM/&#10;4FiKm2N34JQspiEHlNXKs8ulRA6wrJezft2n3ZIn5HP5NmbyrKstk95rppsp+UVONtzY8MGvHBrD&#10;w+Q/f/zzz5+Yr8L9VMvBoS62AvP9qOAX6OAg4iYnl6AN0T5aWaU8dSJ3dIRHn2ejDgl3STidX6+k&#10;K2hpKbuFYh8buwGmdFHQS0SetCq/slLdnuEex9JymJt4qJuEa9UbmUkiBjlHDBq/P+luzKEbBRU6&#10;PdmxetjQ0GBnayvgclkAAGjx1rLl6P6pqClETvJwdQ0KHIIKyampldWakB02PN7TT07CLTFSqTR6&#10;9ft/3bhB7QorU+Qh6hPdf7Mt9ru9rRbZjg6iZ6Kixj4eidN6HI8/ymoRuchA9P/0sHCcO5jaJxo6&#10;ZuNHSfeD/ZFx10WvoeY7RueOGz8+PS3t4P8OGz5DPEkyGbQVpH7t+g9P/3oyM0Pj6VJaVkpbu6/v&#10;w9rzN3Df9EDMGPWETTRwlwy50AAAGAOgGwJA5ykrKpCWFPMFAsiHa1ZIXA2NF6OQ1ez+RpNM+Y23&#10;V9DiGAYMCcK64dljRxboff5MnTkH64aZmRnPThgzaXKUx0MPFebl4dNbPxrqljL7EfWqxvzKyuLq&#10;GpocwEn6qUlGD+9owbawczaXdCiNygaljEGG6ISxIULWoCqqVUgVyiLOCLafHSs/vllZytgSDA9Z&#10;98MdXrpQLJMzpENRq5vP/5Y/bKiTt19fZvTGgQ7RTLSmp/zr/NZHp3xiGtfCaBVDKrMjfNBt+6mM&#10;TYdu1NY36mqmam6WyuW1dXWgHgIADaouhhgRFPTGG29iUY/VInJNe26aDY+3Pnrto2PGPPDxTCL5&#10;Mnb7zBnTibfspPETqAIZ4ZVXlxYXF2NF798xm0jnrPuyHb7fvCnm2K8nqSZy2nIYGRrVU4fG44aG&#10;heFR0IRfXrBw9tx5uPNr169jKz9DZoiFxYz09L+/8Q80GVsbW+q4uE+yOVQFkKyLWBQauG9dxMBd&#10;MuRCw78DABgJEN8QMH1yM9OP7t+Dbsm/nVXIarqlz7TU5I9XvDlmyMPPThgzMXzElPBhqP/u6rxz&#10;oNHRHL7YsAbdw0XvUagKIHp26Wl5+XwCDncY/lgk7dCQkSG4sHHt6nPxh6mHyooKdm2JwU8q9NDL&#10;f/D2PQdIWpWTJ+J3fh1LRENUv/fQcW3/5f5FWa0sNSf3wp3s/KpqumhYcpvRQ9nexYltaWkmT7na&#10;cql25cgZLwmcXA3sQdagyiivOne7YG/qrb2pGahwvVhaoVDes3W/F/AK22m0TqWmxfAw8Vxho8p8&#10;E8LaCqzGPempK9wh4tr18pQ/Svt2i3QFOlTIi24kft7fL4EmM1KZNCnzzt2KCv2iIcfSctQA53nB&#10;AaM8XXpfNCQsmRiAU6boT7iM1cOiqip5QwO8twJA60suRRf798ZPvozdTtX1sm7dQvcvL1hIxK+L&#10;iYmbN8VkpLd+Hlu/bgNpPGv2HNJmXfQadMPmhAQbHo/aOY23li1fH72WPHR0EC1f+R7pcOaM6U9M&#10;nID6JA0WvLSAtKR1hfqhCnwkRGC7M0RdYWERzdPRQfMbnh7fZKwARoSF46VpNzBw37qC4btkyIUG&#10;AMBIAHtDwJRJS02O3bSRapbl7x/w5fdxXTQPPPBt7Kplb1JrMjMz3lq6aMasue9t2tJXYeYO7NiO&#10;XVYRJuOyavwo5HI9R3/e819Wi0syyZFCGBc1DT1hcFblJfNnovKjkRNQOed2JrYuxGXSeMjIkPgD&#10;P6Re+oM8n/Ep/TqyYb2qsbi6pqimRk+EMvbJvdpiDJdvwxMKzOQ51qCob6ynawocW/6QqBn6T9RY&#10;FNbKi2oVFYp6WUOjnpb33MezHQbpNzw8dSJ3+HBnDy++2f6zhzziIs6yuXadOR1KYZG8tlY1MsSl&#10;D32W/QIdamsb0Exo9SUFyaKMEx4Bk/vpq8Tdcmm5TNaujaGQaz3K0yXASWQkM8cpU2ZH+MQcvhGX&#10;pC8pAdgeAoAuqJZxGenp539LiDv4k5+PL9bgpFLpO2/9CxvTHfv15P59cRKJJGDw4BFBQdjmjuhQ&#10;p079im330P3Ro0dcnF3wwwFu7qT/qVOnYMdYdPr8eX/DQ6P7iLBw7Fr7TFQUySO8em00tkPE/axZ&#10;q4lR81TUlK+2bUOdiEUPvBBNf2YazcSP0O4MB/u3RscmyYvRIbIhGzd+hMsRo0e/8mprZO3lK9+b&#10;9tw0sjSiDBq+b7rwcHV1kkiwMabmW1VAAM64Qo2QaPgutXuh4fkPAMYD6IaAyXIu/vCS+TNplZmZ&#10;GX//26yjl651uttdW2KIPEfjx7gfhPb2736ypU/WS2ZFzfYL9BBE8tP/DMQa3/Pz/4+xweK3ll+9&#10;koINElFvtA7REDMXLiYPnd0HLHhzOf6JtqyogOb13O+oUtQVV9cU19bqb2b7+wF1BV2msWBbCM3G&#10;QxlRW8qQZiF8wescPl05bVA3VdQpi2rk2A1Z1dRk+Cj3bN1ZAa+wi842l19gbICTCOfn2YaEu/R5&#10;JpC+wtvPzsGRl3ypWDuSIEImV11IKuxbdXVYsFNtrUrbpTrr+kGh2NdO4t+Pdhsrhu2+SrCMTzGk&#10;4inhb10UvnxaEKiHAGAgxBYPI5VKv9r6OTXaXcToVht5VE8Uq3ql8peffsTa2cO+D2P9KyM9HQtz&#10;r73+Bkk20nLoBm2si4mJpH/UIGNt9Jeff4HPfe6557Fu+NwLrT/XxWz8iOq8fPLsGdQ/FsvEIhFN&#10;EYsIC8cGg2iI3LxcqtWhITMUCFrf62nJixFx+/eR5aPCX1f/+jJ2O6vF6tDPx5c0y86+09F9Y0Tb&#10;+xithSzn70uX4HMN36V2LzQAAMYD+CkDpklaarK2aIjJzMxARzvX7dH9e3SJhpidX8d2uvMurrft&#10;85ZfADwBehqhfauJX2lxka422NiQdT8jCvaX37UlBt2wS7uX/+C407+vjF5PO9HfP2Bz7I73Nm3R&#10;JQ72X9GwXtWYXSZNzLqTmpffrhzAKbmtTj6vXc93FFlZW5vJM01eWd2kpst/AicXv8incBk7ICfl&#10;FP94LWtXctr/bmb/WVBWVKvokGjYtucPPek0/O88vs4InmXldadO5JYX15vt/76DmBP5hKejiMd4&#10;FKur11LK+2p61hz2yBAXKyu21sSUVxO/aGyo7S8vFGmFxRfuZLf7KiHkWo8bOGBe8CDjFA0JWD1M&#10;iZk6OqCdFPDEc7lWqWxuz8QSAEye/T/snT1n1smzZ6ha0tjHI3EBG7vZ8HgjgoJemjefGNwJhUJc&#10;2LjxI6lUE+hDIpF8t/v76c/ojJeXm5f7wKuQUhm3vzUhGzaF83B1JVmMU69dpZ2uLephnoqagrW2&#10;jPT01WujcQITKu3O0D+g9VN98uXLtBq8fAI9KcqDqlyH9o2R4JAQPUcfbsnB0rld0nWhAQAwHsDe&#10;EDBNLp0/R8o41SzVuTg7M6MT8eAUspptn8VQxZ2316wfMjLk5pUUqkb5v7i9fRtszonicwH0NAqt&#10;fB2YtNRk4lC8dUP0zq9jqUe9/QLGRWk+GvKF9horwjeXo/alxUUubu6mmmanrFZWXFMjlSsMbO9u&#10;x1fGHdR2Are24QoczSVHR3NTk6KS4QN00OJlf+aXSjWmhZ3UB6lwrawcbW0FPK6IbyvUhEN6mDX4&#10;kYzL3+Rnn2dsr1Y3X7xY5O1lN3io2DwND9Gqx4zzSLtacftONWODnNzaigrlmEiPPtkfBzFn+HDn&#10;lBR6ePsGZdVfCZtDJ31gzHtruI2hmM8b5iYxcrmQhqeEf2jF+KRbZZsO37iQUaanpaq5uVKhqKmr&#10;s+XxRDY2bAsLeLcFzJCLiYlbY7/Srie+vUsWL2E96OLKajFbO3XmNC5n3c1+bemSr2K3YzHrrWXL&#10;BwcGfrrlM2IHRzQ4bUWvtOyBwB3UYHxUMzpMaPgj1IfOTk60BhsfNL6T349y0+4M7e//UE1OITU0&#10;Jo2fQHYAdUt0QyI4Gr5vjHy7a6estnaApyfxUyaXqbqm+o8Wk8wO7VK7FxoAAOMBdEPANDm4rzU3&#10;yMLFS3Gwv6DgUeRo55LPnos/gl1KWQ/GSXR2H7B9zwEiHe78Orb3XZWzM9s+7riAbmgEUJVrmmio&#10;eQb60b0FA4NDA01xH3SlSNZDgJNoqJskP37flUJ6clgLtoW9q7P5PIvkFZX3mjX7xhY7sSSuFp4D&#10;m5y9Va4Pn69nsQrKutIz1god+LYiW1sbDoPxZkDYKxKPkLTk7xqUzL/8Y2msb8P59S2Bw8X2Dryr&#10;V8vUaoZ0KDK56tSJ3NBQVyc3m96fm4cXv0Jqh64Rrb6m6k7G5W/QxTXC/axS1N0tL6+qV7bb0t2O&#10;P8rTBd3302dOxCDniEEGqYdN9+7J6uvrlEpbHs+ex7Nig5MQYF5U1zD/NnMxMZEEH6TWZ6Snx+3f&#10;d/5CElWxKiwpmT1nFjWXcXpa2sH/teaj06XBIUYMH0G6pR1ydHjAGXlEUBAxsitocUMhzsWYddFr&#10;sF9waFgYrikrLzdwhkRro55CHav1Zd/V9bXX38Dl3bt2siiSaOf2jeETnVL53V7N1ytf34exBLl5&#10;UwyZpzbt7lK7FxroTZqb62ATAD2AbgiYJkTgCxrZKhdmUyQ/L7/OxHgqL2l7k3vxlaVUo7BxUdMW&#10;Ll6K5aE+CS9InVs3UlZUIC0p7u+5evsERv/lGbPmDhw02NsvwCQtCqmom5vKauUFlZWyBpWBpwi5&#10;1kNbrIe4VpaVObev/Piddhvz8VButhE08u1VLv4Wzg81eA3rlj6FXI6Ay9OjFdIQewQ/IhmYfTVO&#10;l+GhTK46/1v+wIcdAoeLzfPf3MOLLxJ7XrpQrB1PkHXfMLOv9mdYiCbQYWUV/UsgupoCe0+jypFi&#10;PoohlY6qh+jG53LRPy+oh4DJ4+bmpr9Bbl7uo6w25etiYuKpU7/eSLuJ04ZoU69Ubo39KjMjA+fl&#10;eGvZ8nPnz2NJy8G+1YOB5vPr4epKvHexwzI19ce8OXO+3bUTq2x+Pr5r13+I67/ZFosrqbphRno6&#10;zgpCpaKqysAZEq2NQJREIvOh2RKLRTTcsV9PspgMFTu6b7rIzr6DdUO5Vm7ADu1Suxca6E0aVDld&#10;OZ1j7Q17aNqAbgiYONi0kOpi/Oq/lncu/yxVCbIV0COAvL5qbWFeHirMWbSkQ92iuWnPJzcz/Xpq&#10;SnlJEV8gRGMNDQ7RrzSlUiKGEM9Z1InEzV3XYtG4uVmadL1efv6MbdJSk5+doPl4sWHTlpkvQ66V&#10;joGeBkSzRk9CU/U+1qaj/sisFgPDAGcRVQs4/+VG7Wam7aHcbCNosnNstHNSSrzqha5NHF63dCuy&#10;4Ql4PAdbW0eBrRXbsqOnW3PtAsJeETkNSkvZrVYzyzq371SXltaFj3azFZjjJwq06jGRHtdSy7Wz&#10;GJP9qaxUhke49b7PMhr01IlcbXNI48mRgl4uCiorzU0xpGK4eqh5125oQDc+hyPk8XhmE+MVMEMG&#10;eHrqb5CakkLScbz04t+oWpUeTp49M2v2HCx4kewljGmORwQFEZFLk9v3QhIuf7MtFouJaPSRI4Nx&#10;vhHitCuVSkkK4MGBbT4kn3/e5oREJD/GKH7aM/RwdW176b6/TJqSOGn8BJJvRJPCeM0qrMppGyp2&#10;bt86iuG71O6FBvoRbLYtbIJpA7ohYJqQdLelxUVespqPlr2JLRAnTY4aFzW1c31S841cTDiD3Z8J&#10;fKH91n0/P/ARX1ZzYMd2NIE5i5Ywaka5mel//9ssNLG9h46HPj6eVO7bsV3bs3Xh4qWvr1pLFfhw&#10;LhSFTHY3K4OE0kPMe/Yp6onaqt+5+MOnjxyiZu994+0VMxcupmXbOHvsCC5kZ2XQpn09NcXXP0Db&#10;DrGsqCD+wA96lmwyEE1QF2j5ZiIUYmRKZX5FVblMZrg/spBrjRVDIfcBR9crB3ZV5tymNTY9D+Ue&#10;EgqtLCwc+LZCLk/Et0W3bunT2ecxkfvwmxdipaXMaRZlclXC2fzAwWJvPzszfLux5rBDHnERZ9mk&#10;pVcw+ixXVin7xGcZTWx0hMf53+j+/jhHyiNPbbDm9tn1KqquyS6XNqjV7bbU/l3B9OiYeqhSoZvA&#10;yorH40HaZcC0SU9LY6xPunyJpCFeufK9uP37sLWgr4/PrNlz0ENi3+fn44sqcYreSeMnkAB/dfV0&#10;l0wcDRDdT5z4JBETqTIcIu7gT0FBQ/FR1BXpDbd8bekSbT/f4/FHqelKtI0H9c+QGi5QmxFBQVOm&#10;TKVKcmgOxHiQjEUWa/i+dYVO7JKuCw0AgPEAuiFgmgwcdD/074NZlZcuW9k5Y0PWgzaGP8b9gIZY&#10;8OZyPe13/efTzz/9BBUK8/JokiJm347tWM08c+x/WDckSqJ2451fx6J+Pv56F5q/okUJpQp/eqCp&#10;fl9sWINnRQXVnDhyaOcvx6jSYcbN1g86iQln2xa1JYZklD50JpEqHaJZrX/7Daxguri5LzBp1Wxo&#10;cGtSuc7FyjQZZEplcXVNmUxuyPd/qhDg7Wjn48igWZiwh3KT0LHZVtDtQiGL4oAs5HFbEpt0P9Zc&#10;uxHjVhRmnMi6fpDR8FCtbr52vbykRBES7mKeyVK8/ewcHHnJl4rrlWrG/ekTn2UHMWfYUCd0aWj1&#10;fZgjpUOK4ShPZ9rvCiYMVg/zpYqYwzfiku7qbyxXq+VyeW1dHZfLhcQpgIlBfIe13WAJq9eswp65&#10;AYMHY99eQmhYGNa/PFxdv9v9vfa5x+OPanvm0jphtbjxfvTJx1TDwHql8p2VKyLCwhe9/ApVDvtm&#10;W2zcwZ+ochjR8uLi4vSstN0ZaudEpvJl7HbqbD/7z2dkXX4+vuQQdbGG7FsXMXyXDLnQAAAYCaAb&#10;AqaJkytDbpDtew50JVRf2NhI6sONa1eXFhc9M2uerj6JPHfyRHxZUQHNmi83M50YFRJLxiMH9jGK&#10;hqSfpVmZaLhz8UcMFA0RE55+hpR3bYnRFg0xaNz/rFv94bZd1OFwYUxkqy3kgW9jiWjIajFIpK59&#10;64ZocgpjdD9Twst/cOJNjecF7bKaCfWqxnKZLK+yqkNyoZjP05gOtUQwZGygUshNyUNZLXZVCyVq&#10;vr3KzkUu9u7Od24LCyGP62DL12RAtuF2wgG5c3gETHZ0C7px8duaqjuMDcrK6/owGUjff9cVcyKf&#10;8Ey5VIr2gbFBn/gse/vZVVTUa7tR93KOFHVzU560qqimBhRD/XhK+FsXhS+fFmSIeqhqbla1JE7h&#10;cTgQ+hAwGYi5nx45CecSmTX9BRKFEHM8/uiu73bp6VwqlX61bZv+CWjabP1cl4iWdPkSujk6iMQi&#10;TT53Rm9f1INEIkGToR3FmUm+2Rbb0RmiE2mdGDhb6old2TdGaEEhO7pLhlxoAACMBNANARMkNzP9&#10;YgL97XP7ngPjoqbRKhWymnPxRxhdbrVxdh+wMno9VTjb+XUsuk2aHPXYhImRT0+lSUj+/gFEBLx8&#10;PoHm13zpfAIpE0vGE0cOkcrNsTvQKdgpeNtnMagr1KHEVRNCuE4u0zPPGbPmDh8VhvrkC4VDRoaQ&#10;WR3dv4c6ebSWoJGj5HLZp+tW43n+GPfDE1Of1d4lTPJvZ1cte5Na8/mnn/xj1TrSubZvtWljhooh&#10;lgtLamoMz3aC4Fha+jjaDXWTSPjtmML1aw9lYk6osndR2rmqbLtZ6MSRCtHNwKwmPYSN3YDQSR/k&#10;XD94++YhZnmoxbDO28tuWIiTGb77WHPYjzzmlpVWnX6rgrFBn/gshzziUvurSjt5S+/kSMGKYX5l&#10;ZbtBDNBrRYCzaJib2DwVQypEPdyfdHf7rxm19Y36Xnzu3cOhDwVWVjY2NnyOue8e0N956cW/DRs6&#10;VC6XJ12+pO8zSUt637iDPwUPGy4QCFD79MxMqnlgYUkJ6ipi9OjnXpghkUikUukvP/1INXmjRg/E&#10;SUJQobSsNOP2bf2ZhVktAQoZYxRiole/7+LsQgIjEt5ZuYL6sN0Zoh7WRa/BBXLWZ//5zG/QINR+&#10;/w97U1NSUq9d1TPbX375uaP71i7Jly8/FTUF7VhBe1YC+nfJwAsNAIAxYHHP4FhUhB07z+TktBN+&#10;RezowOFA1BVmiktK220zKmSQ5g+bxbZgWVhYoIKFBpbmxm4psFvKCE0LFhs3QPfoolpaPHCING69&#10;Z6MaFmlv0dqeTanR/GLNtqiqa07Nq2/3q2ywt5fx7K1CVkO8g6n4+wfEnf6d5qGMGr+7eAE2kTt1&#10;6S9DotHpdxCmRRKkegTPmDWXasqHeH3O88Q6j4zuL2r7r7mSV0YmjPVNkh2lrKjgwM6v5bJafDQx&#10;4SwRKLUHIj3MeuIx3Aztxpffx5H15mamTwwfoX06mcwbb69Y8M+3yelUEm/ecXYfQDKoEBYuXvru&#10;J1t689Kn5uS2G1w/+CHP7or4ZlZ0Ti5EeDvaBTiJGP2RGV4Yb/51/IN/atcLJI5GaGzYbCNothWo&#10;HD3UtvZqW4fuNSfEYO9jQYvrsRE+b2ulmTf/2KGQ6/zOIBRwRoa4OIjNVMKorlDp8lnG9LLPcqOq&#10;mTFHCiLsidU9lCMFvXTcLZcaEvaUY2k5zE081E2iyxjZnKmpU319KnNf4t2CCoPyTXHYbIGNjYDL&#10;BedloHux/uMDE1uRn48vcRPuuTwhfcWk8RNKy0qp0RUBGkm/J8EmEKqqf6quOdjp0x3sp4scXoBt&#10;NGHA3hAwHfSIepmZGefij9As/lANUe6yszIN0Q35Qvv3Nm0R2tsz2tatWvamQi4jQQ/DH4tk3dcN&#10;0az+uWY9sVDLzUwnQ/v7B5ChJ02OIvVoLWgsLB2ie+rkUT/E0I/VYuv31tJFuPxo5ATGmV8+n0BU&#10;v7fXrKcuFpUXLl6KV4TmiQdFMyQNvAf6b90QTRLLeDz0EFm+tKSYLxQuvz86YEp0LnYhywB/ZG1U&#10;CvnvX37E8C3FODyU71lZN9mLidNx90YnJHCtrBxtbY1WKKRhJ/F/dMonGZe/yc8+z/z8kasuJBX6&#10;DRT5BTqY4b+PIT7LvZmHGudIQVdEWzpMTdgU/mS0jV13GlBjxbC4trbdlqAYtou9LWfZtKBlLbaH&#10;MYdutKseqpqbKxUKdONzuUIbG54lbCwAtE+ByQXY6ZZghQAAABjQDQHTYdd/PiWiob9/wKv/0uh3&#10;RFBDBWKvx2oRGbd9FkPOpcUu1ANfaP/uJ1vCx467eSVF27Bx49rV6BD2eg59fDxVB6S6Kl9PTSGn&#10;TJ/TJgi++Oo/SHu0ltqamqXLVnYoJqOLmztjfQ4lO4qvX5tpSVlRAZoYVQbNbQmhqKCEGsFe0rj8&#10;ztoPqZNXyGQkVzXVL7vddMOA0VJWK6uuq+uEXKgrP7IhnP9yo7ycbojdVx7KTULHexxOj9oS3t+x&#10;NovC3gxT2I0EhL0i8Qi5fjFWV7KU9FsVpaWKXo7oZyS067OM81APH+7s4dUbyYIdxJzAwWLtHCno&#10;2v11fuuoie93S3rlKkXd3fLydq2/8SvGKE8Xb5EdKIYGMjvCB90MTLuseYNucV7mWVoKbGxsORww&#10;PwQAPbTrmAwAAGDOgG4ImAhpqclUFY/44ebcziT1/45+H+cjZrUYGxKRa2X0+o4mWR4XNQ3dZi5c&#10;fPl8AlVWYz2YLWTStDZn5JOHfya64Y0rf5L2VIkt9PHx2/ccIDmg0bnoxhiZURd8oZCxnpqoJDsr&#10;s6y4+G5WxtU/L9PMMydNjtKWKcnqNsfuQLtK1Q3XLm8VDdEeOrm6vwWGh/0TdXNTWa28WlFniEeh&#10;9pd/b0f7ACdRu+ELdZF7+fe85ETtensXp57OoYwNCZt5QrWtncrepdHGvt7ereeGE9nweNac/mJR&#10;aCBij+CIqZ/evBArLWV2hsIR/XpNHTM2/AIdnFxs9eRZTkkpKSkWDAt26gVp1dvPrq6u8fadalq9&#10;Ql6EruCIcSu60nlRdU1JdbXhiiF60YDX3k5ATbt8PLVAf+hDhLKpSSmXW1pY8DgcMD8EAEYy0tNh&#10;EwAAAPQAuiFgIpw9doSUsbyFywv++faJI4ewtqWR8BYveGfthxI3d6qxYdTMuZ0b1Nl9wJTZ88dF&#10;TaUGVaRmC0GHiBUeGv1c/OFxUdMUshqqfV9gcAi1T9Rg76HjRI9DLJk/U790SE2T4uXXfpgqokvS&#10;WLh46ZxFS3A5WyuU4aTJUWg5tErivDxz0ZJz8W2XwNc/AJ6Txo9MqaxS1EllMkO+6tMwPNuJfuTl&#10;Jb8z5VDm8m14QkH3rlctdr1nxWm0c8KGhD3kbtz2/no/6zGPYy1s0QpN9YlkzbUbMW5FYcaJrOsH&#10;dRkepqSUVEjNNFlKuz7LhUXyykplaLhbL4SDDBwurq1Vac9EWnrjRuLnQWPe6ESfRdU12eVSQyyU&#10;3e34Ac4iUAy7Dk6cUjNnZEvilMx2nZdJ7hSepaUtjwfRDwFA8/m5vvWVcMe338BuAAAA6PteA1sA&#10;mAYkSQhiKEWJ4wvt316znmbBR/WofePtFV1MjIuGGP/0VG2fZXzo1X8tJ1Z4P+/577ioaWkUez00&#10;urapY+jj4+NO/751QzSRF9H89WRuyab4IOsynPT10ynkod148ZWl2vmgabz46j9w5zm3M2mHnp//&#10;f+hQeUkRPA+NH3VzU6W8TiqTV9bVddQTmXVfLvR2tDMw20m7nP9io6qO/o23ix7KVCvC3pEIMdic&#10;kGdtLeLb9lO/467gETDZ0S3or/NbdSVLycmtrahQmmeyFOKznHW7ijE5Sb1Sff63/MGDxL0QDjIk&#10;3CUxoVA7vXJJQbIo44Th6ZUNT5TMalEMR3m6oHt4Ee5G7G05SyYGoNvx1ILtpzINcV7WmB/ej35o&#10;y+FA8mXAnCksKZk5YzouwG4AAADoAXRDwAQpKy6mSmzjoqatjF6/ce1qUkN1K/Ye2A15JBWyNou/&#10;GbMesF6kmRwe3b+Hqq9pcqcwgaMouri5k2mfPXZkQXuZWyZNjtJ1yFYg1G782ISJPn4BoY+Pb3eB&#10;CxcvJc2KC/Jph7AtZGkx6IbGi0ypLK+VV9cpOmFayOoOZ2RGrhzYVZL2l3a9g5sr2zBnOrXYFd2r&#10;HD0034clXk1W3B51NH5wTzhca2thS4BCG41FIQ+eZjZ2Ax6d8snt1D05mSeZn4fmnSwF+yxfSSnV&#10;1uwwOBxkcKhLjyZLseaww0e7JZzN11Yw06/stebwnX0e09+D4WlPEOh1o+uGyYB+ngoegG75UsX2&#10;Uxn7E++267zMuh/9sIbN5nA4DjY2Vmw2bCNghoBiCAAAYAigGwImgkDYZv10aN/3gcEhVMu7mYuW&#10;pF76g4QapHIx4UzY2MiumBwqZDVoRPJw+Kgw6lGawSM1GKK/fzuaHZo20Q31qHLELNHjoYd0taG5&#10;GO89dFz/0FTfZ8Qzs+aRMi0kInFtTkw4Syo7lMsF6CGwG3JVXV21oq6jUQsxPSQXYipzbl/58Tvt&#10;elsHIZdvQ6uk6YPovufSlejYClAJDWVg8HyRS2Ba8ncNyirtozhZSkVFfUi4ixkmS3EQc8ZEeqRf&#10;r8jJZRbdKquUvZAsxVZgpSu9clrKbp7QxU7C/IsaeknJq6yUyhWGjIJeOkZ5OnciURLQOTwl/A1z&#10;gpdNCzp+pXD7rxk386vbPUXV3KxSKuVKJaRPAQAAAABAF6AbAiYC1WwQZyKeNO15X/8AhUx2Nyvj&#10;9zOnGEVD3PjqlZSY2B0dkrrSUpNZLVpeeXHR7m9iqQaM4VqpmcdFTSOJlaktX3xlqf5RLp9PIGWq&#10;MEpFIashZV3JlFkt8iXV6PLQvu/5QiFZMlrOpfPnnFzdSeYWqu/zwsVLScvczAdCR2/YtIWYdmZq&#10;hUQEep96VSMWCjvnhowR83noC7+Po13PfeFXKeSnY96jVbLFTpYCIddnYB3fvpnDU9m59Kb9IBWR&#10;JnmAJaiEnUbsEfyIZKCeZCll5XWnTuSGhro6udmY2+ZYc9jDQpzEEturV8sYfZZxOMj8PNselVb1&#10;pFdOTdgUMfVTWnrlouqagspKWYOq3Z45lpbD3MRD3SSQKLlPsLfl4MzLN/Kqtp/KNCR3Cut++hTN&#10;pwUOx5bLBf9lAAAAAAAIoBsCJgLVHZh1P46hgeeis26k/mmgbnh0/x5aAmUqVB2Nyouv/kN7PpFP&#10;P2ADWFZUsP7tN1Az7EGskMuovtVDRoYwjpib1RZt0MnVXc/MZy5acnDfHjzzH+N+QDe0Y2Mixxfm&#10;5ZG5MZpeTnj6GVK2ofg7r4xeP/PlpWTypN4fkqL0LjKlUqZs6KJWiL7qu9vzNbELRXY9922/Qd1U&#10;UadxlP7zl++V3gGWw0c322sSZTR4DSNtFL27e1wrK1trKwGPx7PW6IPo3oZjDU+qrmNIspSLF4sG&#10;PuwQOFxshvvj4cUXiT1Tk0srq5hDB5SV1yWczh8x0rnnpFVvP7vGRo35p9alUf556sNRE99HF7FD&#10;QQyFXOuhbpIAJxEohsZA0EMinDvFcPNDzSuwSoVulS35lyEAIgAAAAAALNANAZOBloFEFzgHSFDw&#10;qNLiok/XrSbyn4+fQVKXQlajZ4g33l5BdDQaoY+PX7h4KTWNMnpIU+ikJcVYv9MWPWfMmqsrnzI1&#10;8bEee0O8RV9+H/f15hjiaIyWTxVA0eZoi4ZoaKpHM2qw99DxM8f+Fz52HHVK1BPHRI6HJ2RPU6Wo&#10;07ghd8EHGSPm89ztBD6Odt2Vr0DWoJI1aGxbimo0pisNTc0VinrN01uhVDU1Uf4Vx7D8e3vTiERo&#10;xbYU8W2tLNlgSNjTtJss5fad6tLSuvDRbj0a0c84QUseM84j7WoF2gTGBvVK9cWLRd5edoOHinvI&#10;8NAv0KG2tqGwSE5/s5MXpZ77VDj0VQODGKJXkmEtiiE8542NzpkfkvzLOACi5pcVS9CCAQAAAMBM&#10;Ad0QMB2wjy2jrufvHzB56rNDRoYQqSuwxbYuPu6HspLi8MciDckNwmqR3qhWjdT+X/3XcuLky8iE&#10;p5+h6obUiIEYiasbY+czZs3955r1urqlZllxdmvHo9PLf/CH23Y9MfXZn/f8lypNonGnz5kfNbMt&#10;o0v42HGsFiGSWolBe8W4XWieWJGk2icC3UW9qlGmVFbX1cmVys7lNiEQ00J3O35HPZGLalvNAWmy&#10;YENTU4VCaTzbhdZlxWaDRGgMGJIsJeFsfuBgsbefnRnuT+BwsfsAYfKl4nols7FwTm5taWldaLhb&#10;D+WhDnnEpf6cWtvsUVadrbi+m+X1rP7TvR3thrlJIFGy8YPND1mLwvcn3d2feNeQ5MssSgBEDgiI&#10;AAAAAGCuWNzruKHKjp1ncnLa+bQhdnTgcLiwv4wUl5S222ZUyCDNHzaLbcGysLBABQsNLM2N3VJg&#10;t5QRmhYsNm6A7tFFtbR44BBp3HrPRjUs0t6itT2bUqPJqse2qKprTs2r1z9PkQ0v2NvLqLa3rKjg&#10;5pUUaoJjX/+AbkzTcS7+MBbdsJOvQGg3ZGRI2NhIahoWRo7u30M0zUmTo7bu+5lx8gnHjlz98zIW&#10;4GbMmvto5IRxUVP1dP7+qwva7AerGgxfSG5mugIHMxIIvNrL1GwIClnNufgjXUwy02lSc3LbVdOC&#10;H/IU8W37ywuFurlJVt+gsSts0Lghd9oBue1lmc/zEdm52wu0v+ET92GWxjCwXqXWGAYarSZIxcrC&#10;Qsjj4liEPI61jbU1OBobLRWFqbqSpWA83AXDgp3MMFkKolHVrCdZCqbnfLrR6IkJhYxZni3FIc0D&#10;nmI8C9Ke9GvypYpjVwq2/5pZUNGx4BAgIJot1n98AJsAmBJJvyfBJhCqqn+qrjnY6dMd7KeLHF6A&#10;bTRhQDfsA0A3NE9en/M8MfE7dCaxu6RMf1HrP9obb6/4x6p1Zru9JqAbdrtQiLDjcSR8G3ue5ou9&#10;ZUuWTFlDI8lsQPcdNmKwizHPmsOztsbGg2BC2B9pbKjVkywFYcOz6jnDOuOnMFehK1kKRijgjAxx&#10;6Yn9aVQ1nzqRyzi05YCnm8XBbXPgWgc4iSDticnQIf9lKq0CIkfzsgzbaA6AbgiYGKAbUgHdENAP&#10;+CkDQG+Q/NtZIhpS0xN3Hewd7O8fMHXmHNjn/oVMqaxXNcqVDdV1irpGdbcIhTRqlSp06zdvSC3G&#10;g5oPH7Yai0gBj2ttaQn2gyb1tbMlWUrO9YM5GScYk6XUK9Xnf8sfPEjsF+hghvvj4cV3dvNKuVRa&#10;Vl7H/KIhV6H96QnDQ2sOe3SEx4WkQm3psKngmCWL1SwOhiCGJgnxXz6eWrAv6e6JK4UGnkhcmC0h&#10;iQoAAAAAmDSgGwJAb7B72xekrB3ZsCt8uG3X4reWS9zc23WUBnoUbC3IeKi+sVGpalQ1qRubmhrV&#10;6gZ1U2Nzc2M/MfTrdnDkQexZzAJx0CzxHjrd0W3ozT926EqWkn6rorRUER7hZoY+y2jJjzzmlpVW&#10;nXW7SpfhIU4mEzRU0r2plh3EnNBQ14sXGS5KU8GxcUGhg7z94NlrwjwVPADdaupUx68UHkstMFxA&#10;JElUylksPodj02KBaMVmw5YCQC/g6CAKDdaYhJ88ewZ2AwCAHgJ0QwDocXZtiekhY0NMt0QnNAeK&#10;qmvKZTK5sjOh+nrIHtAkEdloBEGaMghuxQAVO4n/qInvZ1+Ny88+z9igskp56kRuaKhr90pj/QW/&#10;QAePhwSpyaXa6UowMrmqJ1Ito90eNtTp2vVy7UNJZzdJnomWSLzh2WvakPzLNXUqnEHlZn614acr&#10;VCp0QwWepaU1h8PnciEMIgD0KP+O2RQwWPNFIDk1tbK6CjYEAICeAHRDAOhZdm2J2bh2NXk4Z9ES&#10;2JO+oqS2Fjahi+A4g5rvhNatMa1wNhJUENpwrdjw/RAwFGuuXUDYKyKnQWkpuxl9ltXqZiyNDQtx&#10;MsP9sRVYjRnnod/wEKdaHjHSuRvVVZzVWls6VKnqDv9v7TSQDs0Ge1vOkokB6IYzqHRUQFQ2NSnr&#10;62X19Rw229ra2pbDQe8U7JYwuwAAdBd+Pr5YNJRKpT0qGjo6iMQiUdbd7F4+FwAAIwF0QwDoQQ58&#10;G0sVDTfH7gDbQMA4IYIgsRNk3TcVZIEmCPQYzj6PidyH/5WwuabqDmODnNzaigpl+Gg3W4E5fmJp&#10;1/CwXqm+eLHI2ck2JNyluwwPvf3sKirqC4vktHosHc6f9wWXy4enrvngKeF3RUDUhEFs8WLWvKdY&#10;WVlYW4MRIgB023uoU+vvasmX/ui5UTxcXb+K3S6RSDZvijn4v8O9di4AAMYD6IYA0IOsWvYmKa+M&#10;Xj9l9nzYE6DXwP7CGAGPR4Q/klQafIcBY8Caaxc66YPbqXtyMk8yNpDJVQln8wMHi7EpnLlhiOFh&#10;WXndqRO5fgNF3ZVPJuQRF9YfLF3S4bRnokE6NENoAmLSrTLDYyBi5Go1S62W1dfjVCo21tYQCREA&#10;uoJAIMCF5MuXe26UoMAhEokEFdw9PHrzXAAAjAfQDQGgB9mwacuqZW/6+we8+q/lIBoCnXmNvp9i&#10;uO0zIkUBZFFEQBbogEB/ZmDwfOeHwq4mftGgZPC0Uqubr10vr6ioHxbsZIbJUlgGGB6iLUq/VVFQ&#10;IOuufCm6pMOKilyQDs0cIiB2IokKhqRSQWUOm81p0RDBkRkwfmx4vLGjI0LDwlC5pqbm519+Liwp&#10;eeC12se3oLiovlOhtDuBf0BAL6zrRtrN4/FHcX1He+7KuQAAGA8W9+7d6+g5O3aeyckp099G7OjA&#10;4XBhfxkpLiltt82okEGaP2wW24JlgT5FsTX3Fpoyy4LdUmC3lBGaFiw2boDu0UW1tHjgEGnces9G&#10;NSzS3qK1PZtSo/npl21RVdecmlevf54iG16wtxdcU6DPSc3JrapX9u0ciKuvNjSxD0MiAz7wP0XR&#10;AQHA3GhsqL15IVZaekNXA6GAMzLExUHMMdst0m94iPFwF3SLwNqoak5MKJTJVQwf88ReIB0CVI6n&#10;Fhy7Uph0q6ygQtHpTniWllYtAiJoiEaI9R8f9M5A05+Z9tay5cfjj274eKOeZo4OonFjxw4ODMQP&#10;ky9fPn8hSY9gh9o/NMDDxdlFLpfn5OUSXaxDw724YCG2nsNIpdIFC14igQVXvbvyqagp32yL/W7v&#10;nt7Zq51ff4vjG6JBky5cwJUVVVV4SoYszZB19Tm6rl0XSfo9Cf6vCVXVP1XXHOz06Q7200UOL8A2&#10;mjCgG/YBoBsCQLdjiG7oamen8YpiUusMAWL8AUDvUJhxIuv6QcZkKZjBg8Td5ZDbH6mTq69dKS8r&#10;r9PTxsqK3S1uyyAdAh3lRl4VNkLsUBhEbUBDNDa6ohs6OoieiYoa+3gkFrmOxx9ltSh9jCmAiZoT&#10;8VgELni4ugYFDmFRUgZHhIXHfLqZdqJUKo3Z+FHS5Uu0ej8f31mzZj0VNYVamZGe/s7yZag3Q4Yj&#10;Qfq0l0ZUQtTmwI8H8TSmPTettc+w8HHjx6OVnjx7hnoWVvQ6F/IP9Slo4dFHRz86Zgxjm6lTpxiy&#10;NEPWRa4g7UrhJayLXkNdGl5veloadV20cw0/sd1r18WnNOiGVEA3BPQDfsoAAJgL7g72YM0HAMaP&#10;R8Bkodj35h87FPIixgbptyoqKuq7MRNI/8JWYPXIY26FuYqrV8t0GR5it+WcnJouZltGOzwm0oNR&#10;OqyoyD137qvJk5fBMxagEvSQCN2WTQvKlyqSMsqOpRZcuFVWW9/Y0X6UTU2spiZ5i/kYz9LS0soK&#10;4iH2X/4dswkrhhgsA+H7zZtijv16ktgJeri6Uk8cERT0xhtvknOxJMcoGiIkEgmqnzljOtUeDatU&#10;2o1Rn4P9/XPyctsdjkUJ0odqdu/aee369YjRo195dSmqee6FGVhfs7Whf8J8ad583AatNPvuXZJQ&#10;eNL4CXhK6L6juqGutVPBuZUN2UlD1kX2MCM9/e9v/INcKbyE0LAwLP/Z8HgvL1g4e+48vF7UFV6v&#10;9rkGntjutdMWiAEA6DlANwQAAAAAwLiwk/iPmvh+9tW4/OzzjA1wJpDQUNduieXXH/Hw4ju7eaVf&#10;r8jJrdXVBmdbdhTxgkNdOp2QWo90eDfnz7Pnvho/7jV4xgLaeEr4syU+syN8UDnpVtmFFg2xc0aI&#10;WEMk8RCtray41tYcS0tep7wHgF7GhsejioY03lq2/NFHR7+zcgV+SFXf/r3xE5o9XdatW44OouUr&#10;38MPLyYmfvafzyqrq8eOjlizdh2uXPDSAuKWSxQ6VouRWtz+ff4BAViiQvj5+ZWVl+sfDhdwkD6q&#10;K3TW3Wysr2kb6+HUxhFh4bgBJmL0aCyHebi6kql2guCQEF2H0G5U11QX5Odjh+V2d9LAdaENx3uI&#10;LqKjgwPWZFElbfT10WupQ/j6+KCutM818ERDrh3ohgDQm4BuCAAAAACA0WHNtQsIe0XkNCgtZTej&#10;z7Ja3XzxYtHAhx0Ch4vNdIs47GEhTg95219JKWV0JcZUVilP/5rr4S4YHCTunHqIBhoZ4nIhqVDb&#10;vDEj4zd0D9IhoJ+IQc7otmxaEE6lknSrrNOREFXNzSqVSqFqfcILrKxYLaaIXCsrMEU0Tga4uZMy&#10;9p9ltZi/zZ/3NywYofuIsHBtGYgqJ2Wkp5//LSHu4E+zpr9ATORWr43Gahe2XMN63FNRU77atg2N&#10;4uggIgrdxcRE3Bi1JNrTK68uJTEBdQ2HHxaWlNBCBNpopaHz9fEhZQ9XVyJutm6Cpyc+a/26DV3Z&#10;zJ9/+XnkyODs7DuaEX0fJoIszcrSkJ00cF2D/f1xAW04GUIsekD+m/7MNEaPae1zDTzRkGvXa0Ek&#10;AQBggW4IAAAAAIDR4uzzmFDsc+PitzVVdxgb3L5TXVpaFz7ardP2dP0dBzFn3JOe7eZLKSySl5bV&#10;eXvZ+Q0WdcK/G40yOsIDpEOgi9jbcmZHtBoh5ksVx64UaEwRO+XIjJGr1Sy1GrszW1pY2FhaWlhb&#10;862tOVZWEBXRSCCC2sXERBKT7q8bNzLWRv8/e2cC30SZ/vH0Stscve9SaJG2UhA5LKAc21YRBAH9&#10;K3iuy+EFqKsouKyriKjs4oWwAh6Au+uF4IGAiCggh1hOuVraIr3TK2lzJ03T8p/kLW+HySRN2/RK&#10;fl/nE9+8887MO89M0smP53hv9b+J8nXnnf9HdEO2+iaw6k1r16xmp0G88+4ZpLFyxevsKii79/48&#10;/8mniKQYHmpJqJc5fjzdCVUYr/ruys1t9XBshg4eHB0VHRsb2ychIX3UaAen/MxfnyEz+eKzT6nU&#10;xfDs08+wXS+Zw7XVmOWVlXMefZi0k5P6f/zf/5ETsRUNnT81x+clkUhIg/hR2jJm5CjiGMhc3+KS&#10;Yvb5Ot7WwYbOXDt8sgDoSqAbAgAAAKDnEhjUJ33iyxdPflKUv5t3gEZr2r+39Prro+L7eW6NjuS0&#10;kMQBQY7Dls3mpot/KJkB7VMPIR0C15IQIX5sQiqzCKzVVA7nVXdQQ2y8fJnIiBqDpawfiWj29vER&#10;+/n5+vjAG7HbKb46maDBaNz8xefErYzX6eyLzz79aNNGtmYUHxND42dPnjnNGX8s+zd2AY0pt08l&#10;jbVrVvPWWSZeew4ORxk6ePCy5a/x1g+x1f7oHF5Z+tKlwkIih6WPGj3rgQeZVcz4ggsXyPnaU+Kc&#10;hCqDnBNxxpLOn1dKamqzeY8etR3GnBE537zc3BeXLR1/0xj2WgfbOt6wrdcOANDZQDcEvfn5Iz/3&#10;7MkTpJ05ZapYGuyqwQAAAHoUA4Y/GBqdlnPs43ojjxuI2dx04kRlZYVkyPBIzyyWImCFLZ87U1Nb&#10;Z7caNVs9bGuIN6RD0EmQaiou1BAFVyKamQaREak3or+lyIpvgI8PzN41UPEoPy+Ps6qqusreVkcO&#10;HVqzbi2nk52zz1ZO4vjKUc++YydPtjpJ3sMRHJciodpfbGwsZ4e79/6cnNSfvI2IiCB5A1eueN1S&#10;CtmqG6pUKpdYuKy0tB2n5uR5BQc3/2LSarV0bVRkJGf8iqvdP8lg222d3LBN1w4A0AVANwS9Ep1G&#10;tebVpRs/WNfyUJKS+t7/NvdLGdjBwQAAAHom4fHDR0cMOP/rOnnVOd4B5TKtWm0aNiI6JFzosVZi&#10;zn1sZnx5sS7nvNxgNNsbRtTD8nJtcnJoYnJQm/YP6RB0Krwa4rkSZfvyIVJavBGv9Eh8fS/7+Hh7&#10;e8MhsVOh4pEtQ68f2vztYRN2qlS1UkInLCSUHXI7dPBg6jdXViFjj+QNOhZc7QTn4HA0U+ErS1+i&#10;cb5UdKOaHclgSHn/g/eZV7H4qiLLu3buOHw0+8l5zV+StkJq+6ioqHCw1t6pOXleVI1l15ChAch0&#10;D6SYSfrIkezBtts6uWGbrh0AoAvAH0jQ+9BpVK8vepqtA1r+9ObnLfjzPcyqjgwGAADQk/HzDxqa&#10;+fyAQXf4+gbwDtBoTQd+KS3IUXq4oeL7iSdM7jfgmhBfX0dPegaj+czZmu+/K8w5rWgwNTm5cyId&#10;8u45L++XvfvW4kYFroIIiP99ctzJN6aeWDl19dxRj05IGZQQ4pKda81mXX29xmCoVKvL6upKa2vl&#10;KpVcp1Po9caGBnNTE+zvEkKCm6/XpcLCq76mYmJoxeHNX3xOGhyvPQ5EYyI8cN99tIhHclL/Zctf&#10;I+0P16/juCIOHTyYtqkDoMDq2ub4cGQ8lSMP/HqYylhU/+LV7Jg5kKlGR0Wz+zdv3ixwKKS2Caq1&#10;8eL41Jw/L94oZrb8l5ebS+rSsFHU1fFu6+SGzlw7fLIA6Ergbwi6jWpZ2dED+5nGuVPH2f39k1NF&#10;EunI8RlRcX14N/xyw/tbNn9m25+fn7dv5/bb732w3YM7G51GxRy06GJ+4oCULj40AAC4DYnX3RUW&#10;e9353zbotDLeAbkXFAqFYcSoaI+NWSakXR+ePDC0ILfu4h+OhNR25D2E1yHoehIixPdGJAnGNOd0&#10;swQy51WfLanrYDgzhTokCq6ENguIT6K3t7ePT4Cvr4+XV4CfHy5EW+HNXUgy6zV/aeTmHvj1MGlz&#10;vPZs+XD9OqI23nv/A7SyME0pKJfLaRHkXTt3kH7mQCtXvJ6bn28wGiZNmkR3dfLM6cysLMeHY7su&#10;Pjx7Ds0SSFU5jhhK+G7nTtKgMdoMb7+xkoiJ7CSMLoF3Do4t6eR5xcfE0GFs0XZgWhptr169irap&#10;g2Gtso53W2c2dPLa4ZMFQFcC3RB0Dzknjy2eNzc/365/fkpK6uafDtpmIayWla1Y9iJpz7jn/r++&#10;tHz/99v/sehp0rN729dsPa5Ng7uALze8T+cD3RAAANpNUETKDRNeyDv2cWXZMd4B1TX6PT8Up6fH&#10;RMYGerKh/ITeadeHJ14TnHtOUS5z5KBB1cM+8ZIBqaGt1qd2LB3K5UXTpy319xfjXgWdxJhro5iF&#10;tEvlunMldedKlURMdOFRtObmYH8a3UzyJJIAZ4iJbYLU8WBeJ0y4lYqJloK5L/3DNllhbk4O7042&#10;f7V18ODryOapAwdyyhPPn/cY3dXmzZuJ9hQREcGbyI99UHuHY8YsfnYh2fze+x9gli8++zQ/L4+W&#10;daaKGFUDmQHUfY+6Fh45dOj7H7mlvdh6X2BAwPibxsTGxjInyFsJxBZ6RL1B72AY76k5eV7shJK8&#10;7Nq54/dzLZlD2A6Gjrd1sKHz164dRgMAtA/ohqB7yD6wz4FoKLD6A+o0GlvdcOeXLc6Df31peVRc&#10;n5kPz/vvh+vI3nb/sLPdg7sAKhrOeXQe7gEAAOgIfv5Bg8c+FVV4MOfEf81mnh8MZnPTkSOyAdeE&#10;tLX6h/shkviOGB09UBvujHpYVKxmlvg4yTXJoY4zRTqQDhWK4m3fLYN0CLqGhAgxs9w2vM+i6Za3&#10;REO0vJYoXSsjCjhuiax+6pno5+0t9PEReHuj9AoHUjqZzZFDh17/1z/ZOexoULO9QFSD0fjckufH&#10;jBw19+FH2KLhh+vXccSjgsJLVBqzZdfOHc4cjuHw0Wz2fkh9ZPZOOPzwww+0nZuTc9uU25lhmz7e&#10;5FjYmnzrxIWLFgusAcK20bu20BhthvLKSp7v59ZOzZnzoiWbOVDJkkRe88K7rTMbOnnt2mE0AEC7&#10;gW4IuoeqCpnjAXMenWcbp6zTqL76/BPSnnHP/XTA488sXjhvbkcGdwE5J1ucYvonp9obVpyf++bS&#10;FwovXXz2peWZU6bjVgEAAAdEJY2Thif9fmCNvZjli38oq6r0o26KbdWBzu0h6mHfiqC8C7UOCi43&#10;/xCVaZklLDSgTx+pg8IpkA5BD4RUVqERzWxvxBK5roP1VexBPRM5SHwt3zxeVp9E4p8ISVFg9Q1c&#10;u2a1rdZD/RAdJ7A7fDSbWcJCQsNDQwVXh9Byhk2denvm+PE0PDZ91Gi2a5vzh5v10J+XLPk7W6kU&#10;XF2d48ihQ8zeaDAy4avvtjGL7bkzc8jLzbUX+esMqQMG0OPyDnDm1Jw5L96jkFPYtXMHx/LECB+u&#10;X2dvW+c3bPXatcNoAIB2A90QdA/lJSW0/dSzz2dNntovOcXWu5BDzskT1EvxxoybaX/mlKkpKanM&#10;qlffWNW+wV1MZGycvVVvLn2BOEK+9cqL0A0BAKBVAoP63Hj7vy6e/KQofzfvAI3WtH9v6fXXR8X3&#10;g4DF/AEKjIyNr6kwOKMeMgOYpaCgLj5eYi/1IaRD0MPheCOq9KZzJcpzpRZvxFK5zuUOiRya9UQb&#10;/0TBFUmRhDwL3FRVZCe5O3Lo0J49PzKNquqqvIsXef3vZj305yHXXafVag8fzW5157XKOnv1dtlj&#10;LMrdFfHuH39bQlzeSL1g5w9XUHhpzqMPjxk5aviIEcQ174vPPmXrns8ted5Jm8yf99jgtEHHTp7s&#10;iGFpxZXikmLeAU6emuPzOvDr4VeWvkQa7K2WvvgCMwFOJ8cIvNs6s6GT1w4A0JVANwTdAztG+Il/&#10;vOLkVoUFLaHN/VNaXPbE0uAd2Wc6MrgLuMSKy462rxtSy4zNyMJ9AgAATjJg+IOh0Wlnj6yzF7N8&#10;4kRlZYVkyPBIDy+WQqDqYUmx2nHkssBadvniH0pmiY+T9O0XZJsyslXpMCtzfkREIswOegLBIiE7&#10;N6LA6pBYYhUQmdcuUBIpbElRYKMqkkSKTIOEPzc/xF7Jpejr4+Pr3Qu+ythJ7t7/4H17joEUZkCr&#10;YzoCjd4l9YLbejji57hmXYeqxpdXVvJGFhOqqquc2QmtuHLyxImOW9LeeRmMRt74X2tqwnOt/eHg&#10;2daZDZ28du0wGgCg3UA3BN3MxElTnB98iSUF9ktOceHgLqCmUubMsPc/+TL7wL7o2LiZcx/D7QEA&#10;AM4THj98zNS3zv+6Tl7F/7OkXKatrTWmj4p1nLbPc7Cqh4HO5D2kBmSWwADfxMTgxAFBbAWWSIfH&#10;sisMRm60JvU6hHQIeibEIZFXSWx2Tiypc0nJ5jbRnEjxamihZzYBPj6+Xl6kTb0Xm1cRH0ZKtzoz&#10;llXIuvdCh4WE0ujdcznne84dyEyMFhQuKSt3ZpODBw8EBwfn5uQ445jpBtheu3YYDQDQbqAbgm4m&#10;vm9f5wdv/KAl7UWrQc1tGkzQaVTFBfkCq87o5CbOczL7N9aBmv9RuTg/NyI2jn2szCnT2xqezOwk&#10;UCK1TQfZ2WfU1kMw8zx78kRNpUwskYok0uuGj+iXMrCDIwEAgI2ff9DQzOeLzn5VlPcDr+OhwWg+&#10;8EspiqWwoVVTLubVlZVrbX0GbW2Ye0HBLFGRooS+QTT6OyRcmHFLwqH95RqtibOJyaSHdAh6EbZK&#10;IsPhC9VqvelcqZK4JXaLmMiLsbGx5c3VUqPGic2pY6M9iBYZ0+F5dnvF2wfuu480jhw65MDjr+uZ&#10;//jjJHPfrp07Wo28Jvx+7hy7HrHbY3vt2mE0AEC7gW4IuhmJNKgdW824537XDt63c9tP27/dsrml&#10;/vJTzz4/c86jvGIcpTg/91JBvrXuszQ6Ni4iJpYzntRCYQYUFuSxQ7MfuOM29rBX31g18+F5Do6i&#10;02rThqfzrt20aiUp0/zpt7vS/5TVjjP68qN1p48fveO+P7M3t05btW/ndqYxcnwGrx2cPwRzCp9v&#10;eJ+t5BLmPDrvyX8sY6uNzo8EAAB7JF53V1jsded/2+CgWEptrXHUmFjELFNEEt8hIyIHXhdekFtX&#10;Xq61dRu0pbpGzyynT3tHR4lI8WXGnmMz4u1Jh1u2Pp+ZOe/a1AxYG/RGiIx42/CrHnIOX7AENZPQ&#10;Zna7F8Hr2HgV1rUd1A3zcnO7+LwmZlmSmx87eZKISsxbWjL4m2++7jn2ZyZG0vYdOXTorVXv4IPm&#10;zLWD0QDoYqAbgm6gWlZG22KJxMmt2PWIpcHBLhz871dfWv3WvzidTM8P27/d+M33vJLZji8+2b3t&#10;a7YUSHh73Ybb731QYBXdXl/0NFtTcwA7pJrZ87lTx0eNzyReh3RuS5Yun/30YttpENGQIfvgfir8&#10;OX9Gx37Z+49FT5M2R3Z865UXSWGZiZOmrPn863YbrTg/d8Gf78lnpXekbPxgXXlJyT8/2EQEQedH&#10;AgCAY4IiUm6Y8MKl05tLLx3gHVBbZ9zzQzGKpXDwE3qnXR/OLEUF6rIyTauFU6ySQhONX46OFvVN&#10;DLYnHVr+uOyz/LMQpEPgNhAxkbwuYoWLsDXEsyV1an1D55Vy7snoDXrS2PDRh1153PiYmJeWNedP&#10;P3LoUFh4OC0Z/MVnn/ao2N6q6iq5XH4s+7e169d3u0tmT8CZawejAdDFQDcE3YC8siWd7cns36bI&#10;yqLi+uScPEYqh/RPSbXnW9cZbFq10lb/IuTn5737youvrd/E7izOz/3g7ZX2BMFzp44T3XDfzu1O&#10;ioYMN0+e1vyDaue2hfPmCqwy2Z7s3/ulDKRz++rzT2x1w93bvu7gGVVdyTXDzJb2M9N47MGZLUf5&#10;YSdz1uxI4TYdYvuXn/NKgXTn8wryyRV3fiQAALSKn39Q6shHQiOvPXd0Q9PlRtsBpFiKQh408Lpw&#10;OB5ySEwOYhalwvRHQV1Vtb7V4GWBNX65qFjNLIEBvpGRgYGBvtU1etth+/atU8iLx4z5C4wM3Bi2&#10;nsiGJEy0PDGWWsTElrc9JurZtZRXVs6ccRdpdOVxa5VKuVxO4lhpXjyBVYf6aNPGHmWi38+dm37n&#10;dHxk2nTtYDQAuhjohqCb2f3DTo7XXkpKapfVO2b76wmsPn2Dh92g1Wqoq92WzZ/dMvUOmnCwWlZm&#10;zyGOwGxOGnqto5QyM+65//obRookUrFUOmjYCOqd99P2b+mYQImUWIMcjnnNOXmMrZrt27mNbbqs&#10;yVPbcUY8v+iuFg0JZ0+eoLphWw/xA+ukiD8mSV+4/p2VzHjmBCNiYts6EgAAnCQqady4uOsPffdM&#10;Y6OJd0BRsbqqSo9iKbwwNhkRHt1gaiq6qC4qUjkTvCywCoglpZY/gr4+3uZGHsHxzNnv6026rMz5&#10;sDDwNEg1ZwGfpEggjooCVrwz7eml2mK3ZBI0GI3z5z02e9ZsEs3KIJfL165ZzVsdGPQocO0A6IFA&#10;NwS9gGpZ2dED+4su5tOejR+sm3ZPc54LjgOa84N1GtX6d1aSdkpK6nv/20ylsf7JKRNGDSXtn7Z/&#10;SyWwje++yRYNma3uuu/ByJg42kOcDRkyJk99qrJCq1GTt4f276Ubzrjnfo4PI50PdVGcOGkKERPH&#10;ZmTRDS/l57Hn//Un/6HtJUuXM6vacUYcivNzbUVDziTbegi2xTKnWMRNZhNmYdr7dm6/bniLbOr8&#10;SAAAcB4//6DRE5cd2fVi02WznV8pKJbi0IBC7+S0EGapqTCUFKuddD9k4BUNCXl5v8jlRdOnLfX3&#10;R5w4AC1QPZE2Ftk8shEvxcuGugZjnVxplKub4zR19ebiqubC6KE+lRq9SaN3pPX7+zZEiJROTuyn&#10;gl5myfLKylf/uWLt+vXhoaHM24LCS7i7cO0AAO0DuiHoBmg1YV6efWk5++2xX/ZyqogQ7ri52XE9&#10;JSV16cpVJDdfmwYfPbCfClXMQdlxuEx7zqPzSHWOLZs/+/sbq8TS4H07t7HrdSxZunzm3MfspduL&#10;iuvzxD9eoW93fPEJCUBmuDHjZt5NSFViQuqgwaRBHRgZ2GKoJcHiFWdD5qSYmbTjjATWwGrWdVG9&#10;ufQF0p5xz/3S4GDb+iTtOMTESVPoVF9f9DTtZ16pzEpwfiQAALSJwKA+Cdc9UHzmPw7GkGIpw9Oj&#10;RRI8HfETGRvILA2mpvJirZPZDx2gUBRv+25ZVuZ8FFkGnkB9vY655zk9ckURZ5hMltPqhvYQCwRp&#10;0pa3sSJYXVCrrEOxXVw7AEAHwZMx6AZoTj2BVfOaNPWOxAEp0bFxYqnUNntdYUGe473l5+f9/P13&#10;RAps0+Ai1uD+ySm0TTwW2ZJZsTWt3vlTJ2gPb5USJ2HOtFWzMAYhjZHjM2jnD9u/JVok2+mP4fFn&#10;FhN9ra1nxJnA64ueJrLdxElT/v7GKlJMmTPndhziocefoGrgls2fqVWqeYuW8KYpdH4kAAA4g8Zo&#10;rNPp5RpNncEo8ErwCR/RqDjh6FdKnXH/3lIUS3GMn9CbZD/Ua83lJVrn45dtUSiKv/7mH1lZ8wdc&#10;cxMMC3oFbF1PranWaGpavnA0NQ7eAgAAAL0U6Iagm1m5boNjYWjU+Aya488e/ZNT2zGYrdNdKsiv&#10;rqgoLMg7ffwop57JxElTyAzzzp8jPdS/r32IpVLefrYbJtXpouL6zLjnfjIl5ryqrTVk9u3cTs+R&#10;mR4J6W3HGXGgw+YtWsLxo6Rzbsch0v+U9f4nX9LwZ5LRkumxjZV2fiQAANjD3NRYq9XLNdpavb7e&#10;fJWe1dTnNm9dWZOxytHm1mIppSWiEaOiUSzFMSKJL4lfVipMJUWqqip9OwTExsaGPXve3bdvXUKf&#10;IXFxg+Li0uB+CLoGjh9fuew8bbPFQch/AAAAPBzohqCbadWbrF/KwI3ffC+vrDh38vg/Fj1NOtmJ&#10;BaNj49KGj2jHYDb2kvrNeXTefVckQuoKNzYjy154sj3YZVL6sdz07I1ha4s3ZtxMVbnignxmFdvZ&#10;8P8e/AvvZJw5I4E18SJnwNt8Si5vQRInDyGwJCuc/um3u5YtfprKncy2vIKg8yMBAICNxmisUWvl&#10;Wo2m3uRoXOJdXvkbLjfVO95bdY1+/0+lQ4dFRcYGwratEhIuDAmPZBrtFhDNZlNh0XFmYdpCoSgi&#10;IjEuLi0+blB4eD8kQATOI5cXmUzNVbx5dUDnY34BAAAAQIBuCHoBUXF9OAUxxmZk2QsTdn4wdTy0&#10;JSUl9aFH5mVMnspbiKO8pKStp3CJFd5rT3Nkj2Erd9exhM6qClnVTtnVzobTO3JGHN/MGffcTzMJ&#10;1lTK2FbtoNHS/5S1+aeDa15dSmOZH3tw5p7s39kZEts6EgDg4RhMDXV6fY1Go9TpzZcvO7PJZf8w&#10;74QpjcVft75zo/nIEVliv6AhIyJhaidhC4iyMk1VlV6jNbV1JyaTXibLYZbjgq3MW6k0MiK8X3hE&#10;ImREz4Tt7ieXF9WbdKRNpUD4AwIAAACdCnRD0A2wa3F0IyIJN1544qQp426ekJScShIgcqAR0Lt/&#10;2Lnji0/aV6mDOYTdJ2OVire/X8pAWjDkyP6fT7PSLD70+BMdOaPi/FxOzwOPzqdtGpLMnHi7D8FG&#10;LA3+279WRcfGrVj2IunZ+/322XxqoPMjAQCeBglDVur11RotJwzZSZpC0gL0pcaaY84MLipWKxTG&#10;YSOiQ8KFML7zWAXE8DRBOMmBqFAYqmv07dsVUYUKi45TGZFZLOHM4YkWSRFBzb0TXsdAtgJoWx4E&#10;tAmpROjn13qmhbCwAKd3WQarAuCumBo65Ijt54t/YXVzoBuCnoVOoyouyL9klef6p6R2ak0MmhaQ&#10;8Om3uxwrX3fd9yCVsda/szI6No4zvlpWJpZKed0JqetcfN++9vbPSRHIZtzNE4huyB4z59F5nAm0&#10;9Yx0Wi377ZKly9kGpzrm2Iysdh/ClplzH6NmZGdL7MhIAIDbU6fTWyqctBqG7JDEsKC4IHFSWJBw&#10;eP9t31U7Ga6o0ZoO/FI68Nrw5LQQXIi20pwDUWAxXXmxTiHXKxTGdjghtlwOq7TEFpWIE2JcXJpU&#10;GhkkjYJPYjdCrwu7YIjC4iRokQgRI2xLWChXtgsKEvr6cvW+4JAAIV+6VSRSAD2ciVk3p48cuenj&#10;TeWVlbBGT6apSdeRzX2hG7o70A1BN/PP55uzEGpUKo5wlpKSuiP7TOcdWiwNXrJ0OVWmvv38f+yC&#10;zjknj2Uf2BcZE0f9CqfMvP+rzz8hLofM6wN33DbjnvtvzLiZeVt0Mf+H7d8yncycN37zPSdQV6dp&#10;cSS0V0yZPcaWUayqypT7bGqztPWM2JVYyAmy3/LqmG09hC1HD+ynbYk0yMFZOz8SAOCWXFUNub1I&#10;/f0Sw4KJXMjqFmZlzt/23TLq8dQquRcUVVW64enRIgmendpJfD8xKVSt15qrK/QKhaG21tjuWswU&#10;IkVx3NPi4tLoa3zcINoGbYWdGVCuKGr+bF4dO+z858j9YAt/vr7eQUFXOSZHRonYb0PC/VFtyZMJ&#10;CwlNHz6caeze+3MPnNumTR8zjdmzZ9Uq61r/Po+JmT1rNtNwoAneNW36wkWWVFEhwSHPLXm+3XML&#10;DAjow/oBVVYhMxiNuJ0A6Erw7Au6GeqIZ4vjssguYebcx6gUuGXzZ8ySkpI6NiOrvKSEVkEZOT6D&#10;6IDM67MvLWcXAyGbcOZ89MB+jmpWXJDf8gQZw68bssfYxjL3SxnIqRO9ZOly3nx/bTojthMfs0Pe&#10;vIQdPES1rGz5s08x/SScWafVUM2RYdCwltSNzo8EALgxRCus0+udT1loi9DHJy7YIhTGBYml/vzx&#10;xRERiWPG/GXfvnXO77a2zrh/b2nawPDEZPxLRocQSXwZGxIzulZDpBC1i7ySAGcC8UYkwc6W2yA8&#10;kTgneoiqyFZX2S6Bpno91QQFnhojzA7sDQz0ZRbS9vPzCQn1p8Og/YF28+bKN1IHWp7ej5086Yw2&#10;15WkDx8eERFBGs7ImrNnzb5tyu1Mo3//a+Y8+rDtgLCQUCIaMtw4dmz7ZjUx6+b5Tz5FJsZGLpcv&#10;ffGF38+dw00FQNcA3RB0A076js15dF5nz0QsDX7vf5s/eHsllf/y8/PY8lxKSipbTcucMv39T758&#10;65UX7WmazPiRNr6Bl1iD7fkbsuGNZZ409Y78t/5FjzLTxtmwfWdE4TgbOrhebTqEvLKCiInMK1UV&#10;CTPuuZ9d1MX5kQAAN4OUN1Hq9LV6fftSFhLCxQFJoUFxwZK4IKfCVK9NzZDJcvLyfrFd5ePt3djU&#10;ZNtvNjedOVtTWakbMSoa2oFLYGuIDaam6gqDSmmsrTXW1nWKO0mrcbLsMGe2mEgVRkpXSo28pT/Y&#10;DoAEjvwn8OwsgYEBLdofO/iXHfMLERB0GclJ/YloKJfLe5po2FbCQkKJaMjAnBRzagWFlzhjpk2Z&#10;wjl92zGt/CCKiXlp2Su8qyIiIqKjogUC6IYAdBHQDUE3MGpchuCKBMbLjHvuH3DtQI40FhETS9uD&#10;h93g+BDOD+6XMvC19ZtumXrH15/8hy1XpaSk3nXfg7ZqWuaU6YOGjdj//faDP+9hj584acrE6f+X&#10;OWWqbX7DqwoTx8a2bp/xmbadbIe7pStX2SvK3I4zYnh73QZbMfHVN1b998N1k6beMXXmfe0+BHMh&#10;OJ6S9BL/9aXlnEvm5EgAgBvgKq1Q6u8XFyQhiQv9fX3auvmYm/4ilxfZakleXgKJWKjV8afhq67R&#10;7/mh+Prro0jULXAVfkJvGssssBZlVtYa1ep6tdrUSTKiLeybod2im1AoalPBFlQEdvZ3i693kLTZ&#10;g5gtBdJwYD+hD0oYgZ5JVGRzArhj2b/15Hlqr85+zsvAlJSr/5LexNEEAwMCHnm8o/4fg9MG2Vsl&#10;l8urqqtwUwHQdX9/YQLQ9aT/KWtP9u+0KEe/5BQHKljLn9u4PiSz3sRJU0by5ftr92CBVQ1kluL8&#10;XDIrsUTSz371XmbnMx+exywCa0Y/5tVx/ZaLF1rKFtvbLbOH9z/5UqfRXDd8BO8YZnqvvrGqurIi&#10;a/JUZ8rFOHNGNJ6aNx0hPceOHIKx1cZvvt///fbTx48S/0SSFNJWYHV+JACgl6IxGjXG+o5rhSQM&#10;maQstBeG7CT+/mLeRIfmxiah0HtATMjFP5S8G5rNTSdOVJaWiOB42HlYizK3XF+lwqTTNhBvRIPB&#10;7MKgZpfD3E4oB+w87ABhWt5XJPITS/xIG9U/gBsgkUhI49jRoz1weimpqaRRXdP6v2HExMSw3955&#10;94zNX21l5xwcf9MYziZisagj01v87MLc/Pze7qcJQO8FuiHoHhyocg6Y/fRiZumMwe2elTMSHo3n&#10;fepZRymBWw3Fdazite+MHBQwcdUhqMz62vpNrhoJAOgtuCRfISEuyKIVJoYFR4gDXDhDe4kOa+uM&#10;YWEB4/+UcOpElb36v3A87EqIjMg2dU2FQadt0Osb1GqT2dzUZT6JwBlowRB2tRAaIwzHQOBpUGGu&#10;fQQGBIy/aUz6yJFMW6VSff3N166tUBwc3PyP9HpD62WOBqalXf1nNGL4kOsPH82mPffcy41V6khY&#10;8a6dO9g7BwB0PdANAeh0ZtxzPykeYhvwCwAA7odFKNTplXqdxljfQa0wXBwQFySxqYbsYq5NzSgq&#10;PFZYdJzTf/EPZWSUaGxGfO5ZRVGxmndb4niokAcNvC4cjoddTGRsYKTgKk80vdas0zSwxcQe7pnY&#10;u+B1DGSXDRFL/VBwHDgDqSyckpoaHBx87OjRS4WFziS/S07q32W1dJkZZo4fTwUyZpIHfj3MOTSp&#10;F7xr545X/7mi1R0OGzacNGJjY5kTIW1FXV2rPnRkJg/NnsMuD3LLrROdLHzsDIEBATRfoTNyZEhw&#10;CKdn+IgRVNobOngwyeToKlQqFT4yAHQv+NMOQKfz2vpNjy5cHBEbh3hbAIBbYm5qrNXqlXq91mis&#10;M3T0Fx3VCtuXsrB9ZGbOl2993jbH3LFjlRMm9RsyIjI2TvL7qWp7ClRRsbqqSj90WBQCKrsXkcSX&#10;WThiouCKnmgyNamUlvuTSIoCq1epJ5uLugQKUDkEdCFEbqNviWL14fp1H3/6Ce2Mj4mpVSrZOt2b&#10;K/5149ixX3z26Zp1a5tv4JDQaVOmjP9TBlGpdu3cIbAKfLzVipOT+k+aNOmWWydGRETI5fJj2b+p&#10;VKr8vDxbNZBhzMhRK996m93DTJLZauWK19mOb+QsmFVUN2SmTbLykTkw+5FYufHGm6iU9sjj89i5&#10;/6ZOvd2B/MfscO26920LCjM9zLmzLUas+srSl9jVkJkJZGZl5ebkfPXdNts9M1Ml0m3//te06QrS&#10;+siMTcjc7r3/gY82bSSWHDduPF1bcOECGcwcyLZMc2BAwLNPP5M+ajTHsITYK0nhmcuETw0A3Qt0&#10;QwC6gvbFZQMAQI/FVckKCR0sb9Jx/P3FkyY+t2UrN5uE2dyUfbhibGZ8ZGxgRnjCmZM15TL+nPEG&#10;o/nIEVliPzge9kSInmj5qcwXUd5galIq6km7plpPL71a3RKfrtY0S409CrYDIIEt/wmuzhIogAgI&#10;egATs25mi4aURx6fV1FRsXvvz4EBAcuXLrtx7FiOBEbkp3vvf4Dqhm+ufIPt10b0R/L69hsrv/9x&#10;NxUEw0JCP/7v/+jIiIgI6l4nl8vXrlnN0do4oiHdiumfOeMu4pEXf3WOv6GDBz/11NN0PkRk5N0P&#10;m1ZrKw9OG0SEOWbkfzdtPHP27JibbiKy4513z2DrhsSq6SNHknNhzPjw7DmMuYhNmA2pRycz89mz&#10;ZlMLcObT6hVknzhjOlrymIQqM8clByVrU1JTbxRYLhyNg2Yz/qYxZBqMocaM46ZE7JOQgM8LAD0E&#10;6IYAAAAAaB1zU6PGUO+qAGSB1a8wQhRIKpx0sLyJS7AkOrzpL4d//Q+nv7bOmHNakXa9RQ0cMTo6&#10;plhy+nS1PQkJjoe9EebK0uvl/IWrqTDYW0UCpdswAVaorz1wRwH3gGa+O3Lo0J49PwqsUhdbw5p8&#10;60QiEdJCIhwCAwIMRiPz6iAYduGixTfeeNNzS5r/Kahvn3j73/wRLy17hTkW8cgLCwldvOTvdIbv&#10;vPtOrVI5/qYxVB2bPWs28S4UBbYU+iC+kOzdFly4MHzECHsHZfasVCnLSksP//qrY3Odyzm/a+cO&#10;dpR0QeElohuynRCZaXM2JNorfds/KYnohvYcGAnO1Hpmn/ilwsK83FxyIUio8vAh15NVcrmcmbNL&#10;7pn5Tz5FGjSw3dZ1EQDQqUA3BAAAAAA/1KlQW2/U1Js6vsNuiUF2niFDJstk53kTHcb1kZIyDvH9&#10;xFGx/U5kV1XX8CePJ46HUZEotezmOBDybAOlAQAEKvbt2fMjUX+Y1x07tkdHRZO3NKWgVsvv3N0n&#10;Nq6g8BLzSntoqO/QwYMffODPRC9jXseMHEWiX61FOSwcOXToxWVLiew4fMj1i5f8nShoCxct3nfg&#10;ALOTaVOmUP8+MpLMkHkl0uFtU25fu349x0mQrdDl5eYe+GX/5q+2hoWEDBs2/NKlP5jO/v2voSdO&#10;PRadgRnJSZ7IzJznb2voVbrhXdOmc3RMui1bNGSsUVxSnJ+XN//Jp+wpibb0T0piv93w0YfErZKE&#10;Ks99+BHS/83WLewA8PRRo213RSORHUO0XfauoBsC0MVANwQAAABAMwZTg8Zo1BrrlXpdxzMVNv+e&#10;6dlaIQe7iQ6zKzJuSfBrLgXrPXpcbHmxzoHjIUotAwCALdQ9bf6TT9FyKL+fO0eL7dKaG/Z0Q0Wd&#10;RbOj6tWRQ4eoisfsJ2/Z0vdW/5sc4s47/4/ohrSW8ZEjvxIxi3llVs2f99iXW75q/vIfP/6r77bd&#10;efcM8nblitfZstfuvT9TcS08NJQ5Ikc+I/HO7NSK5ZWVcx59mLSTk/qTQGnm9NtRB3no4MHRUdGx&#10;sbF9EhJ4BTg2Y0aOIjHLRBakUcMM99x1N1VFn1v4DLsWDRHmnKlAwhb7yipkzEKzHC5fuqxFF/75&#10;J/ZWVJdkTEFNN/5PGXQArRVDS9/Yy7rIXBp8jgDoYqAbAgAAAJ4LjT7W1BuVOn3Ho48J/sVnggzq&#10;G+96KC6ol6lm9hIdGozmE9lVo8e1/F5q1fGQlFouLYHjIQAANLNixetvvv1OhJWP//u/t99YySnZ&#10;QR3lqmta/v2GikoMHF+/4pLiq7+rjZu/+JyoYHRXNLkeR4ssr6z84rNPibI2MC0t/mg2lbdOnjnN&#10;mfmx7N94cwIyMDuhVUF4oUoZcT90nqGDBy9b/hqvMyBvLkJmhmSSebm5Ly5bOv6mq5IG0nosK1e8&#10;zlvA2pkKJOy0g+SUaZZDavBdO3fwyqPM6by37n3e3dIElMzMid5KJUimh7mmVdVVOp2+ywpqAwDY&#10;QDcEAAAAPAi2UKgx1ne8pAnBT1npU13kVZp3uayoSVHjJxJPXfulUNwrXe3sJTqsrtEX5CiT00Ja&#10;ztppx8PkAaHsDQEAwDMpKLw0f95jNFp24aLFA9PS3lr1jmMxSCxuzqlHxTLqQmgrdVVVV3F6qI/e&#10;pcJCzipZeTltszP32c7HnqPfkUOHaKmWVikrLXXeVvYqtBDYuQijIiM5a1dc7S+p1WrZ2qutKuo8&#10;VDwlBawZDvx6mLocEjZv3sy7LQ0Yd4Bt2srnFi9yXD0GANDZQDcEAAAA3JlOEgoZAlUVvsXnGkov&#10;XZYVX9ao2bLZzYtfF4olvddoQ4ZMLiw6JpPlcPpzLygio0Uk0SHFGcdDZsOqKt3gIZGcbQEAwNMo&#10;r6y897572NV+c3NyOF6HHIZeP5Q0qFjGW5+XMzgvN5c0qKSlN3C/pafcPpU0OIpeWEgoW6saOngw&#10;3UlZhYw9UqlSOn/uFRUVzg+mFVpeWfoSjYCmYiJ7wpwaMsx44k6YPnIk6WE7bwpsVFEqwrYKuwAL&#10;c9Xo3r7ZuoU6M+7auYPXmTE+JsZe7DmbD9ev4/RANASg24FuCAAAALgVnScU+piM4toioapKWFvu&#10;q6jUq9TqKp44qUGT744dNLS3m3HSxOc++fQJk4n7I5Od6JDijONhbZ3xwC+lA64JSR4YirBlAIAn&#10;YzAa16xbm5+XR+JbaVkS9hjqYyhgJcI7dvQoadA0iBwXwviYGCpgbf7ic8HVhUQ4wbMTs26m3m2H&#10;f/2VrXY9cN99NPQ4Oan/suWvkf4P168jnU7W9CBQ/c55mINSpZIWUxawJEK2BMnWDfNyc23Lhijq&#10;6gIDWoq204oxBAciLAd2AZZKljEZ61Gz79u7l3dbUaCIOejUqbeTnfRPSqLVThirktLSeoOeXCPb&#10;CtEAgG4EuiEAAADQu9EYjQZTAylmojHWuypHYfOvEUWRUF0lVFb71lZ4G1o8BRqM9Zoahe34sMQB&#10;o2Y/6QZW9fcX3zZp0bbvltn83OUmOmz5vdqa46HAWpq5vFybNigC9VIAAB7O7r0/33PvfUS5I8VG&#10;BFZvNRIJe/vtU631UgSzHniQqnvHTp4kDd56wSQbIGlb6hr/elhgrb/Me/SJWTdT3eqLzz4louGH&#10;69cR/eve+x+g1ZBpZK5cLt/81VbSZqf5cx7bQGl7sL0aH549h4qYVK9k74oWoWZYvXoVbdPYamJb&#10;WpRm8ZK/r1zxOls6dBJ2NRi2DyNjPWK6I4cOsXdre77MTGz9BysqKjguipwK0YTAgADmatI5oKoy&#10;AF0GdEMAAACgN0HcCUnVY2ODyVVVjylCvVKkKBKqqn01cl8Ff9nHpsZGVWX15SauQCkUiW9Z/Jrb&#10;mDouLu2GG+4+fnwrp7+6Rl9UoE5MDrLdhDge1lQYfj9VbTDye3palMcTlYWXAhC2DADwNEg5XRJ1&#10;y3b3oxHEx44eJTodLfFBefuNlbaSE1GRmNcJE26lYqJcLn/xpX/Y5igkOf6GXHfdlNun0kMfOXTo&#10;o00bSXvzV1sHD76O7IcZwM61x+xz/rzHbPdJw3UdQE/ENlDaHsyBFj+7kIQk33v/A8zyxWef5ufl&#10;0YrPvLHAu3buIGIrgVNQhbEJySzJwOyZOfE9e368VFjYao1mCtvLkjOBjz/95PCvv3KCuNmwHUjb&#10;xOGDh3n7q6qr2CcLAOg8oBsCAAAAPZo6nd7Q0GA0NSj1On2D2YVxxwShXhmgriTRxz4qhZe5odVN&#10;1NVys4ln2LgFSySRMe5k/PQbZshkObaJDnNyFSFhAfZUv8jYwIzwhNyziqJitb09k7DlxH5BA68L&#10;R9gyAMATiI+JoWVz2bDL7x749fCRQ4ds3QmZzu9/3G27LfUZZI98/V//5E2KZ3v0D9ev2/zVVqoG&#10;Mo3nljw/ZuSouQ8/whYNOcMErEDpVnP2OQiUdszho9lUOhRY1UO2xdgjqS5pryAJPTq7KA1jZF63&#10;TQdQL0vGyLZreaVMirUoCr/MZ1vKBgDQo4BuCAAAAPQgaNCxpt5Y39CgqTe5/BA+JmOgpjJAXuyn&#10;rvFR17Kjj51Br1IbNTrb/uSMSf1GjnO/K8Kb6NBsbjp1ompsRrw9yY/pHzIism9iMDNMo7V7EYuK&#10;1WXlWlRbBgB4LHK5fO369fStwWh8cdnS8TeNoSHMebm5m7/4nJ3jz9Gu1qx2MnyV2e3q1at4HdYO&#10;H81mlrCQUBItyyuHUcWtVd0wdcAA0uDV2hzDTGPWQ39esuTvnCrDNM8jPfGIiAjbgiREgWVXGimv&#10;rJw9e9a0KVNoOsL2ce7cWWeGKersljQpq5CR6b39xkrbq8CcCKdGMwferYCr8PO9xt//Wm8fUWDA&#10;tVcee+QNzFJfUm8633RZCxN5GtANAQAAgG6jC1RCgdWjUGhQtlsoZOMoreGsJ93yGtlLdKjRms6c&#10;rBkxOtrBtiHhwsxbEwpylAUX6+zVSyHVlouKVEh6CABwb8orK2c99OcxN910590zIiIi5HL5N1u3&#10;cPz4BFbpcPfenx3If/ExLY7tJNhWYPVZy7t40VZbZKfkI6G+AmvePcfOcQI7mfgozIkMue46rVbb&#10;apZAq5+dheKS4nYYjZnnnEcfHjNy1PARI4jLIXMWHOMsffEF5igknyOb55Y8z3teH3/6CbMwZoyM&#10;iGA2tPXZtEduTg7xbSRlTFqFORZNqsiBuHY62Pa5hc+Qa8dcWZ1Oz7EJPk2dgY9PjFQ6USIa7ucX&#10;5ejZVXdcpzlkqM+GxTwH6IYAAABAV0DyEnZqxDGlHaHHzuAgreH4BUuEYom7Xru4uLQh100+c/Z7&#10;7m9gmTa8IJA30SGb5LSQ+L6SM6dqHNRLoUkPU68Ni4wNxOcFAOCWFBReYpaPP/2kIzsRBbZkynv/&#10;g/edV5HWrFvr2hNxZmRKaippnDxxot2HIy6Q9uZv9bxrs/NdeWWlNW76XPrIkUQNPJdz3vEmX323&#10;7czZs4o6R4oqh9WrV40bN15WXm4ra7rKwqDjeHmJwsPmBUnHOzNYKr6BWYymIoXiM5PpLKznCUA3&#10;BAAAAFyPxmg0NzbV6fTGhgZjg8nlZY45SBRFvnql42ImHcdeWsNRs58MSxzg3hd0zJi/lMvOKxRc&#10;bxHHiQ5bfuVKfFutlyKwJj08ckQWFSkaMiyS2QSfIwAAcIyDQhwc2hEm7BIOHjwQHBycm5PTjvrF&#10;XcOOHdsF1thnZ9IvtlXL+/3cOQQU93yiIp/w9gpo0yYBwsT42L/XqX5QKv8DA7o9eCQFAAAAOoTB&#10;1GBsaKjT6c1NjVqjsVMdCQnsuGNvvdZHU9sFp+kgrWFyxm2ecKFvm7Toyy2L25rokE1kbOCE2H6O&#10;w5YF1nrNP/1YHB8nGTg4HOohAAA4+hPcWtJDilKl7JYZ9nzhDNIeaKtoSAkNnhQYeK2gyQQbujd4&#10;GAUAAACchXoRdplEKLhSxkSorvLVqTrVndABHpjW0BapNDIrc/4Pu9/k3hVOJDpkk5wWkjggiNmk&#10;XOYo0SSzllmgHgIAgD3ycnOdH1xWWgqLAeByAoSJTU1G2MG9wWMoAAAAwIW4EJJchF0TaMyGBB37&#10;6lXC2nJvvbYjZUxcQlNjo1JW6YFpDW1JSkrvSKJDip/Qe8To6IHa8JPHqmrrHD1tQz0EAAAOekOz&#10;3/eGjz50chO5XL7n559gOgA6A2/vABjBvcEDKAAAAM+F1CppaGzUGuuJC6G5qamTihrz4mMyBGqq&#10;epRKaIuqsrrR3Gjb7wlpDW3pYKJDNiKJ79jM+JoKw7mzco3W0V0H9RAAAFq+EisrZ864izRaHbx7&#10;78+XCgvbVMoDAAAAGzx6AgAAcH9IfDF5Jf6DXRNizMFPWemtqvYpuXDZZBAoqoL9vYU+3j3cdNpa&#10;Zb3OYNs/aPLdHpLW0JaOJzpkExkbmBmbUFSgLiioc1AyRQD1EAAA6PdhZRtSdqAsLwAAdAQ8dAIA&#10;AHATiCxIgouJ8yDTWWfotpQrcUFiUZOp6qctDRVFArWqSVHDdF4WCIgyFBIbJfTp6RG+9TqDVs5T&#10;dMWS1nD2kx57p7kq0SGbxOQgZmm1ZIrginoYFSm6ZkBIZGwgPvgAAAAAAKDzgG4IAACg10DSDjKN&#10;Op3F1Yt4DnZxZDEvcUFioa9PhChAGiCU+gvDRQH+vj4mnfb7l/9aX3TRdnxQdESAtKeLhpa0hhU8&#10;Dh1CkfiWxa95+K3oqkSHHEjJlILcuqJitWP1sLpGzyxhoQF9+kjbfTgAAAAAAAAcA90QAABAD4II&#10;giThINPQ1BsbGy2Z9brRbZCN0McnQhxgKxHajiSiYS2faCgODRYF9wKhp7ZUZlsLhWHcgiWSyBjc&#10;qy5MdMjGT+iddn148sBQZ9TD2jojsxQU1CUmBicOCGpriDQAAAAAAACOgW4IOoS+wXypWg47gJ5w&#10;K8IIPR/qLUhCiQUsWbArqxU7Sbg4wN/HJ1wc6O/jHRds8Q2MCxI7ua0D0TBAKpZGhvf8i6WsqDJb&#10;rxGHYTNm9Rs5DjczIStz/rbvlrkq0SGbNqmHBqM594Ki4GJddJQIqQ8BAAAA0Hn8+NPea1NT+ib0&#10;gSk8BzxZ9lDGjEm2/M+L+U9AGi3/J20vL/YqL/YYusKLt/9Kw8vr6h0KWNtZXn0vGwWCMsfzrDeb&#10;CxUKXC8APBwqCAquOAwKerYmyIatD1pefX3suRA6T/bHa+yJhiGx0T3/gupVaqNGZ9sfkzZ02MzZ&#10;uOEpERGJLk90yKZN6iGzlqQ+RPAyAAAAADqJN1eu3LNn95r31j8x/zFYw0OAbthjf4p0f94rf98m&#10;XAgAPBZzU6PGUE/aNGpYcCWlIGn3kNhhZ/Axan2rLOUUfUou+PgJ02/7P0lcYsf1QV4OvreiYP8P&#10;PH9xhX5BURE931YNxnpNDc8/CEkio5HW0JZOSnTIhqqH5cXaVmsuC64EL+fkKvrESwakhsL9EAAA&#10;AACOmfvwo/v2/rx9x45BaQMdDDufk7tnz26m8eSCx28YMXz0qHSYzhPAoyQAALg/pNAwfUtdAgVX&#10;64A9ocBIR/AxGQM1ljoeAfLipoYGfcE5Qb3xskbNLAJrIWOBtZbx7W9sCEsc0ElzcCAahiXEefv4&#10;9HAbWmqhyCpt0xpaa6G8LhRL8GmyxV6iwzNnazqS6JCDn9Cb1FwuKlAXFqo02lY+qmZzU1Gxmlng&#10;fggAAAAAB/yWfWzjhg+ZxocffrTqnbccjByUNjApqX9hoeUf43fu3And0EOAbggAAD0dtsxH4OiA&#10;DEq97uoBPTo0uCNIFEWWv156pa9exTSEteXMq49K4WVuScbXYKyvLbNX0+NvEA0d3WyyykZzo23/&#10;qNlPdp7d3IDbJi36cstiTqJDhmPZFRm3JLi2XAlRD2sqDH9cVFbX6FsdT90Po6NEffsFRcYG4noB&#10;AAAAwJZ3V73tWDdkmDb9DmYY05DJZLCYhwDdEAAA2oOtcmeLrd5H4ch8LZv0nsjfTkKoVwoNSktD&#10;XeVtMno31PtqLMWXvPVab4PWmT2YGxrsiYajZj2RnHFbJ828YP8uXtHQy9srOCaqV4iG6uqahivB&#10;6WySMyZ1nt3cA6k0kjfRocFozj5cMTYz3uVHjIwNZBa91px7TlFVrXec+lDAyn4YGOAbHS1C/DIA&#10;AAAAbFGp1MHBjmIUBiSnkEZpSQnM5SHgkREA4CkUVFX5evN4/UCq60qIt6DAGkrMvFJZ0Mtk8tHU&#10;dnz/ljDb8kpe0TA5Y9KgKTM66+7av+vge/+07ffy9grrE+cX4N/zL41epdYrNbb9YYkDxi1Yglu3&#10;VZKS0m+44e7jx7dy+mvrjGdO1AwZEdkZBxVJfEeMjm4wNRVdVBcVqVpNfSiwSpkkflkqEfbpI43v&#10;K4GACAAAAHgycXGxtP3T3v133TnNma1IokPgCeBJEQDgKfTqzH09HyoI0ghil2uCrdLU2FhbKjOb&#10;GmxX9U0f23nilxuIhg3GenWV3LZfKBJPfvld3N5Okn7DDJksh1k4/UXF6vAIUXw/cScd10/onZwW&#10;wiw1FYaSYnW5zCnPXI3WlHtBwSwQEAEAAABPpm9CnwkTJhId8IvPP3OsG/6yfx9pzJn7CEznIeAB&#10;EQAAAD+Bqgofc3PUKokabm5bUwoK2hI73DXUySp5RcOwxAHjIRrax6K3lvFnqJm8bDVqobSJSROf&#10;27L1eY2mhtN/+nS1WBLvqhop9iDBy0NMkc67HwquFhDDwwP6JgZ39jwBAAAA0KPIumUC0Q23btn8&#10;4kvXLn/lZd5hv2UfYwaQdlxcHOzmIUA3BAAA94cWGm7+6r/iEkigOqDApsBIL0JZUcWbmy8sccDk&#10;l9/tJPHLnmjIII0M7xWiIUNtaTfUkHFX/P3FRDrk9JvNTadOVI3NiHdtjRReOO6HzmQ/JGi0JmYp&#10;KlYHBviGhQXExEqiYgO7YMIAAAAA6F7uv++eJc8/R9qvLl8mk8kWLnxmUNpA9pjfso/df9+99O2U&#10;KVNgNw8BuiEAAPR0aKkQineDUaiquurbXK/2NrYkp+uy0OAegrKiyqjhKTUjFIlvWfxa14uGQdER&#10;IocppXuU6XidNFELpd1ERCRmZs7bt28dp1+jNZ3Irho9LrbLZkLcDxtMTeXF2rIyTW2ds7lcDUYz&#10;KaLCtMNCA6KjxZHRIjghAgAAAO5K34Q+W7/edvf/TSdvN274kFmSkvpnZt08bPgIrVZ74niLp6HA&#10;GqQ8elQ67OYhQDcEAID2IPTxiRAH8K5qNBlNdTUGucyrrspLpeAdc9lkuFxTIbBEs3oHSKQBQVIv&#10;H4tTT0+L/O0VOBANJy9bLYmM6YyDuodoqK1V8poOtVA6yLWpGTJZTl7eL5z+6hp9zmlF2vXhXTkZ&#10;P6F3YnIQs+i15vISi4Co0bYh2WttnZFZci8oiBNieHhgVKwImRABAAAAN+OuO6expUOGwsJLhRsu&#10;CTZ8yBmZlNR/4cJnYDHPAY99wC5Sf78b+kTBDqAno28wN/LFV/KSECIRCf14V8UFuaZeQcH+XcVH&#10;D5UcO+TMYC9vL1FwkDgsxLvJIFAacDXbhz3li4iGnRRm6x6ioVGj1cp5nFIlkdGohdJxsjLny+VF&#10;CkUxp//iH0qRyC8xuRtuEpHEl8Qvt09AbHFCPCuAhggAAAC4H3fdOe3c+Zy3335no41WSElK6r99&#10;xw5OCDNwb/CoB+wi9RfekBANOwDQKrVFF8/v3FJ89KBJr3NmfIti6OMD63UEvUrNq3wxjJr9JERD&#10;BzQY61VVNbb91sju11ELxSVMn7b0k0+fMJn0nP6cXEVIWEA3hv12UEAU8GmIQUH+iGUGAAAAejuD&#10;0gZu+OiDhQuf2bf/wKmTJ0pLSki9FIa7Z9zzp4zMPz9wX3AvedwFrgK6IQAAtJPaoosF+3YVHzuo&#10;ralychMfX5/AkGBRsBSKYcfRq9TqKjnvqnEL/tZJufncQzRsamxUyip5a6F0nt7qgfj7i6dPW8pb&#10;I+VYdkXGLQndXnKEIyBWVemcz4FIoRpi7gVLWoaw0ICwsIDgkIDQcH+4IgLgmJoK/mgDk6lJpXT0&#10;YVSrTc7UO2poaGrrvwoAAIDAqh7CoxBQ8DwHAABtox1yoeXbVugnCg0W4V/nXAREww7dw6WyRnOj&#10;bf+wGbNQC8W12KuRYjCaD+0vz7w1oYfMkwqIpIiKQmFwvgoz9+6y5kNs/t7z9Q6SComMKJb4wRsR&#10;9F6UClOD6aqvTZ22Qa/nFpUyGMzMwumEeAcA6LH8e+37p06eaHkUHD7CdswNI4aTRlxcbN+EPjCa&#10;BwLdEAAAWsek0xYfO1h5/nfng5EpAVJxYFCQvzgQZnQVDkTDzlO+3EY0dFBAedjM2bi7XI69GimW&#10;8sq/VY0Y3bPygdAiKgKrUCIr01RV6dsteZjNTWwZUWD1RgwM9GW+EUNC/UPC/bvd4xK4PQ2mJqWi&#10;nt1jq/fV1nI9+9rheAsAAL2Uq1IZ2k9rSJkwYWJC375SqXRAcsq0qVOgJHoC0A0BAIAfk05bcf5U&#10;5fnfK3J+ry262NbNfXx9AqSSwJAgXz8/GNOFOBANO0/5chvRUFOjsFdAedSsJ3F3dRL2aqSUy7RB&#10;Of7JaSE9c9oh4cKQ8PA0QXiDqam6wqCQ6xXM7dMxtymLHFNnOfGWe8+qJDILfBIBL7bCX031VTlD&#10;ORG7Fo8/oxl2AwAAZ6C+hM5D0x0yXCxYuOqdt2BGtwe6IQAAtFBx/vfaooLaoosV50+1KQyZjb84&#10;MDBIGiBFZQnX41g0HLdgSWcc9PzOLdkf/5t3Ve8SDRnr6epUtv2W2tMvv4taKJ0KSXSo0XBr0eRe&#10;UIjEfvH9xD158n5Cb2aGZJIu1BAJREm86tnUGt1MxESRyE8s8RNL/ZAqsVfD0f44yfvM5ia1uuVe&#10;QlQvAAB0GaNHpf/16YUajYbdudEJr0PgUeAhDADgudQWXazXaSstEmGlouhiO5wKr/o+FfoFBElR&#10;86Tz6BbR8OB7Kwr2/8C7qneJhg3Gel7rWUTDZashGnY2/v7iSROf2/bdMtvyyqdPV4sl8b3Fz85W&#10;Q1QpjbW1RhfGdZLoZo6YyBAYYFESmUZYWADzGhwSILSGOUfGIgtEV8BJ8MeJ9uXk9YP2BwAAvQVb&#10;h8ENH33AvJ7Pyd2+4/slzz9HOkkxZYHFxzCf6oyTp0yBAT0B6IbALiadVtExGQWAbkQaFSOJjBFc&#10;EQetjQLmrtbWVGqqK7U1Fe12J+R+jVrlwgCpGPHInQpEw47QYKyvLZPxrkIB5S4jIiIxK3P+D7vf&#10;5PT3nPLKbYWtIQqsulJNlV6trlerTZ2hGRmMzfGnvBol8VJsbgQ1i7CRUaIrU/Xx5AhoZ2p6cKJ9&#10;Ifx1O+Hh/fz97Xoi+wtF4RGJzuwnPm6QS+bzyaeP4KIA4FEMShsolUqpbvinjMwn5j8Gs3gm0A2B&#10;XRRFF3e9/FfYAQD+b0/IhV0IRMOO0NTYqKqsvtx02XbVqFlPoIByV5KUlD7mpr8c/vU/nH5SXnls&#10;RnyvrhNizYfYos3VVBiUdfWdJyNyaPZStFJd0+zUefEPJe/gsNCAqz7RQUJfX67lqeZojw5GTzP2&#10;cWYYY8OGhkbeVRylr/leQna/LiQuLo3TY0/OiwhP5BUBHYuDAADQvaDmCWj+5QsTAACAk3h5e/mL&#10;RUJRYIBEjGDkLqPrRUOTTvvTyhcqc37nXdvrRMPaUpm9AsqDpszADdbFDBkyWa4o4i2vfOZkTU8r&#10;r9wRImMD2RHESoVJWWvU6xtqa43drm1xPBZ5HRjtaY6gtyMUiiKulvak0khm4fQESaMcj/E0hg0d&#10;hpsHAE9DpVLTdlVlBQzisUA3BAAAR3h5ewkDA/wCA/1FgX4B/jBIF9MtouH3L/+VN9klczOE9Ynr&#10;XbeBulrOKxrGpA3tJD9N0CoOyiv7nfAeMsI9tQmON6LA6nBHomXVapPBYEZULHASjoTHeesvFHNk&#10;Qfj0uYR/r/k3jACAm6FSqRc++9zGDR/OmWtJRBAXFxcdEytgFVm+kJdPB8tkMljMY4FuCAAANt+M&#10;Qj9ff6FQFOjn7w+tsBvpetFQW1P508oX3EY0VFZUGTU62/6wxAG3LH4NN1g3Mn3a0m3fLbOVDouK&#10;1UFB/onJQZ5gBItDouCqkiZ6rVmnaaBioqXMroYnFBe4ARwtLyI8UegvYr9lr4XwBwAAnUH2seOk&#10;dLIzBZSZMfv2/pyZdbOApTAyxMbG3nXnNBjTzX8dwwQAAA/Hy9vL11/o5y/09vXz82d+m6A0Z4+g&#10;60XD2qKL3y99yqTX8d4kvU40ZAzIKxoKReJbFr+GAsrdC/NFk5U5n7e88pmzNX5CH1psxKMQSXyZ&#10;hSMmCq6U9SB6okVMVFs8EyEpdi9+vv4hofF+fi2ZIjnJ/jjlOGxTAQIAAOheZLK2hR4XFl4q3HDJ&#10;tn/Fv9782+JnYU83BrohAMBTIPqg5deOv9DLy9svwN/L2wcqYc+kR4mGPr4+IXExvU405DWgUCSe&#10;vGw1KTUOupeIiMTp05Zu2fq87arTp6vFknhPrv/LgZjCVk9kaDA1KRX1TMNkalIpLWkKqbAosJO4&#10;ELiEBnN9TY3l1yMJEyaRwsRPEO6BAADQK5j10ANarfbUyRP79v5cWHip3fv5YP1a6IbuDXRDAICb&#10;frsJ/aSREUzD28cbsca9C02NQlen4l3VSaJhwf5dB9/7p70bKSwhrneVwWkw1ttTXRnrhSUOwD3W&#10;Q4iISMzMnLdv3zpOv9nc9Ovh8pvGQDpsHT+hN62+4sBJk8qLhJrqq9w8eQsT9xDNMTDANzCQ/3Gd&#10;6eddZVsJ2k/o02BqJOWtLXVpXFqURqOpYRbbfqonMgvNOQivQwAA6FE8Mf8x9luVSp17Ic/yl1Gj&#10;yc8vYK86dfIE81paUrJnz27OTkjwMnDnX9YwAQDALfHy9oYvYW/EXko+QaeJhud3bsn+mD/dey8V&#10;DWvL+BNXj1vwt34jx+Ee61Fcm5qh0dQcP76V0282N506UTU2I95P6A0rdRy2vCiwplZ0wZeVNXq6&#10;3ZuHhPt38cWlZ01UVCIjqtWmTqpIY09PFFzJV+gvFIVbxURavBiqIgAAdC/BwUGjR6WT9q23ZLX+&#10;FJ2Tq9FoB16bCtO5N9ANAQAA9BS6XjQ8+N6Kgv0/8K4KkIqDoiJ6l2hobmioLZNdbrpsu2rYjFnJ&#10;GbfhHuuBpN8wQ6Opycv7hdOv0ZoO7S+HdNhj6b3eoERFZYunpLY1kRG7IHEkrQhUWHScdwAVEGmD&#10;ZkvkVE8GAADQLZSUll3Iy4+Pi6U6I3BjoBsCAADofpoaG1WV1fU6A+/azhANTTrtTytfqMz5nXdt&#10;gFQcEhvd62yoLK/kFQ0ZAw6bORu3WY8lK3O+qV5nq6FotKYT2VWjx8XCRKBT4dS2pg6JBkND1yiJ&#10;HGSyHE7juGCr7TCqKlLXRQK7JAt0RgAAcAnnc3LLZRX5+QXsfIh3z7hny5dfwDhuj9fly5fbus2G&#10;jT8XFVU7HhMeFiIUIqEYPxWVVa2OmXjrDQLBZS9Bk+X1MtNgXq1tAXO9mrwsV+2y4HKT9a1lQEub&#10;2cQ6XkDHX27einmxbtg80trfMkZAO60bMouqojx39w5cL9BL8QvwD+8bDzv0CpoaG2tLZWZTA+/a&#10;zhANtTWVP618obboIu9acWiwNDLcbWzYN33sLYtfw23Ww6mv1237bhn1w2ITHycZMToaJgLdCFES&#10;SUlrtdpkMJg7Kbq5s7GVEW2Do0l1F06nUCiKYEmTAADg9pSUlh07frKAIT9v44YP7Q1b8956TpJE&#10;4H7A37CHolBoryiDjd6Xm7VCL4vkR5TExitaIXlr1QqZTqIPCpq8qZLYrB42Wd5etiqMgkYqPhKR&#10;UXDllYynKqReIceFAAB0NuaGBmV5pT3RcNyCv7k8utZB6WSGoOgIUXBQrzOjPdEwLHHA+E6I7wYu&#10;x99fPH3aUl7psFymFfwmgHQIupHm0OarS1pzxERLJesu90xsK7ZZF6lLY7txRlLkeEQ6D6+I2S18&#10;sXm7vVVicbCvrx8+JqB3MXfOXBiBDclUeCEvv7KysiA/z8kKy0lJ/VNSkmE9twe6IegoMSn9YQTQ&#10;xShKyxsM9bCDG0CKePCG1go6RzR0UDrZy9srJDamN5bTUVZU2RMNJ7/8rlAswZ3WK/D3F2dlzt/2&#10;3TKTSc9ZVS7TBuX4J6eFwEqg58ArJgquVIxR1tU3NDQSPdFgMLu2iHOPgvnAOiM+2kvm2Fv46usy&#10;3PPAnYBuSCgpLXt47sO2JZLtkZTUPzPr5mHDR0gkkmtTU5Dc0EOAbggAAKB7qNcZlBWVXSkaZm9a&#10;c/77rbyrfHx9QuJi/AJ6X4YNe8VkhCLxLYtfg2jYu4iISCReh7bSYe4FhZ+fd2JyEKwEejikYoxt&#10;0Wrin2j51rJKihYx0WARE3u+lyIAALgrMlmFY9FwwoSJwSEhW7dsJm9PnToVHIxHEY8DuiEAAIBu&#10;QK9Sq6v4kyEIReKbF78eO2ioCw9n0mkPvLei5Ngh/r+FQr+whLjeVTqZ4EA0nLxstSQyBndaryMi&#10;IvG2SYu2fbfMdtWZs5b4SkiHoJdC/BMFfJKigKUqmkxNKqWRaVBhsaGhqZemUwQAgB5OXBx/7bW/&#10;Pr3wkUceHpQ2UGANYaa6IfP8Dt3QA4FuCAAAoKvR1Ch0dSreVUTwCksc4MLD1RZdPPDeCntVUAKk&#10;4qCoiN4oGjJmdCAautaGoGsf4tMyM+ft27fOdtWZszV+Qp/4fmJYCbgZVFVkcHCH11QYSIPkVSRt&#10;Eg1N2u4dEw0AAK6lb0Kf3Xt+fnPlSo7X4bur3s45f37aHXdmZown6iFBJqtgNoHdPA3ohgAAALoU&#10;ey5ygitFPFwreBUfPXjwvRX2qqCIQqRBUZG90Yx6ldqe9jrO1TYEXc+1qRnMK690ePp0tVgST0JB&#10;AfA0qLZom1fRFurDSKCejBS24Njcg6BpAICHcestWczy4097Dx448Okn/6PlUPbs2W0bwnwhLx85&#10;DT0Q6IYAAAC6iKbGRntlfwWdU8Tj1JebTm35mHeVl7eXNDJc1DtDLRxEeY9b8Ld+I8fhZnMDrk3N&#10;0Ghqjh/nZuQ0m5t+PVx+0xhIhwC0AtuHkdA+X1291qzT8P/lYrs92qO21tiOg0LBBAB0JUQ9XP7K&#10;yz/+tPf7nTvfXfU277CdOyyl1e+cPhXRyh6F1+XLl9u6zYaNPxcVVTseEx4WIhT6w768VFRWtTrm&#10;hhHXCgSXBZebvASN3pZr1MRcKi/mVcA8QFz2utzIvLWuJW+bBJetnQLLSGbxbl5rebUMYDovW/dg&#10;2VXzMLJDgXXn5JWMv7Lny1qFvPj40VaninrKoOtxpp6yX4B/eN942Krn0GCsV8oqG82NvGv7po8d&#10;v2CJC0VDxwkNvby9wvrE9cYqKILWREOXF5MB3cvefWvz8n6x7ff19YZ0CADoMmbe9QuMANyJwwcP&#10;wwgOKCkt+277zu++/cZe1ZS/Pr3w3nvvhe+hh+ANEwAAAOhsjBptbZnMnmiYnDHJtZV/a4sufrto&#10;joMqKJFJfSEagl5BVub81NQ/2fYTr0OlAsUiAAAAAOBi+ib0eWL+Yz/++MOR347+48WlSUlcV6F3&#10;V7194+iRcx9+VKVSw1xuD3RDAAAAnYu2VqmsqL7cxO/ePmrWE+MWLHHh4Qr27/p+6VPaGn7P7gCp&#10;OCIxoTdWQRE4FA2TMyZBNHRXIB0CAAAAoFsYPSp9+Ssvnzp1auvX2/769ELO2o0bPvzfp5/DSm4P&#10;dEMAAACdRVNjo7KiSiuv5V0rFInHLfjboCkzXHU4k0578L0VB9/7p70qKJKIsJDY6F5qTMeioWu1&#10;V9DTgHQIAAAAgO4iODjorjunrXrnLaVStek/n8yZ+whdFRsbC/u4PaiLAgAAoFMwNzQoyyvtVUER&#10;isSTl612Ydnf2qKLB95bwbzyru3VCQ0Z6nUGiIYeTlbmfLm8SKEo5n7QUCYFAAAAAF1CcHDQrIce&#10;YJa333oz+9hxmazirjunwSxuD/wNAQAAuJ56nUFRXOagdPLMtV+6UDQkscn2RMNendBQQErKVFTy&#10;roJo6FFMn7Y0PLyfbT+8DgEAAADQlQQHB8XHxf5xseDfa9+HNdwe+BsCAABwMZoaha5OZW9tcsak&#10;UbOedFUVFMd1kxlEIdKgqMjea8wGY31tmYw3OyREQ0/D3188fdrSbd8tg9chAAAAAFzOb9nHSCMu&#10;LrZvQh8Hw956662tWzaTt5kZ4welDYT13Bj4GwIAAHAZTY2NdeUVDkTDYTNmjVuwxFWioeO6yV7e&#10;XiGxURANgTtBpEN4HQIAAADAhXz830/797/mxtEjydKvb8Lchx89n5PLGVZSWsb0MwOoaMig0Whh&#10;QPcGuiEAAADX0GCsVxSX1esMvGuFIvHNi14dNnO2qw536stN3y6aa69usq/QL6xPXIBU0qvtCdEQ&#10;2ALpEAAAAAAu5N9r35/9lwcLCy+xOzdu+HDq7bdT6VClUr/40sv9+iYw/exhSUn94+JQGsXNgW4I&#10;AADABWhrlYqS8kZzI+/asMQBk5et7jdynGuOVVP57aK5p7Z8bG9AgFQcltCLq6AIrNWT7YmGfdPH&#10;QjT0cCAdAgAAAMAllJSWPbngcd5VhYWXpt5+OzPg32vfHzZs2KvLl3EGzJn7yKlTpxxENAP3APkN&#10;AQAAdIimxkZVZbU9N0OBVeca77rY5PM7t5z6cpNJr+Nd6+XtFRwd2avdDAVW0dBe9eSwxAHjIRoC&#10;5DoEAAAAgCv47PPN7LdJSf0fePDPFy5cIJHIhYWX+vVNsN1qztxHGEaPSocBPQHohgAAANqPpdSv&#10;rNKem6HAmtDQVbHJrZZA8RX6hcTH+Pr59WqTOhYNJ7/8rqsUWNDbgXQIAAAAgA6y96c9tL17z8+3&#10;3pIlsEYlq5TKPXt2246HYuiBIE4ZAABAO3EcmywUiW97+V1XiYbFRw9+OX+mA9FQHBockZjgxqJh&#10;3/SxEA0BBwQsAwAAAKDdnM/JZYuDRDRkCA4OemzefM7gpKT+W7/etuGjDyAaehrQDQHwdHyE/n3T&#10;x0oio2EK4DxNjY2K0nKtvNbegLDEAXe8uTF20NCOH8uk0/608oWf3/iHvdhkH1+f0PhYaWR4b7eq&#10;A9EwOWPSLYtfg2gIbGlVOiwqUMNKAAAAALBl3/4DtD1n7iPsVXfdOW3ChInsnu07djCdMJoHAt0Q&#10;AI/GR+g/8qEnB98x97rpf4Y1gJMYNdqawpIGQ729AYMm333HGxskkTEdP1arbob+4sDwfn2Y195u&#10;VceiIQqhAAc4lg7PnK2BdAgAAAAAW6oqK2g7Li6Os5bjcnghrwAW80yQ3xCAXoOP0D/++vTgPkmq&#10;skIHMkqbYHYYmjSIaZBXABzT1NiorpYbNTp7A4Qi8bgFS1xSN1lbU/nbpjUObnUvby9pZLgoOMgN&#10;DKupUejqVLyrIBoCZ/D3F8+csXLvvrV5eb/Yrj1ztoZ5TUwOgqEAAAAAQJHJZLR94cKFf699n2nc&#10;MGJ4uayCgTP4/XVrNRrNtakpTFsqlQxKGwgDegjQDQGwEJaQKIlpqR9ffvpYo6m+p00yOXNy//EW&#10;z/CEGwSu0g0jBgwmDW11KW4D4Jh6nUFdVe2gBEpY4oBbFr/mEjdDx0WTGfwC/YNjonp7NkOCsqLK&#10;nhQL0RC0iaxMi1+APelQra4fMiISVgIAAAAAQSqV0vbWLZtJDWV77Nmzm1MpZcKEic8tXkyzIgJ3&#10;Bboh8GgkkdFJY29NuIH7TRcxYPDJz9f3tNkS0ZCh8ly2q/YZM3gUaWirZbgfgD2aGhu1ilq9UuNg&#10;jKvqJtcWXfxt05rKnN/tDfDy9hKHhUrCQtzDthANgWtxIB0WFasbGppGjEY2WwAAAABYuPfee99d&#10;9Xa7N9+zZ/fFiwWXLv0BS7o30A2B59I3fezgO+byrgpP6gana0lk9PD7F/iLg89v/4/s7EnO2rCE&#10;RNpWlV9y+dEbjDrcEoCXVt0MmVt33IK/d7wEikmntbgZbvnYwRh3cjMUQDQEnYMD6bBcphX8Jhgy&#10;PNJPiAzXAAAAgKczelT6mvfWP7ng8XbvobDwEszo9kA3BB7KtRPvpO57HOoKz5/d9r+un9Lw+xdI&#10;ohKYxqCpf7HVDdkY6uQuOaKP0J+2VWWFuCsAB2fcDPumjx2/YEnH6/wWHz2Y/fEabU2VvQFu5mbI&#10;2La2VGY2NfCuhWgIOkhW5vyI8MTDv/7HdlW5TKtWm8ZmxEM6BAAAAMAT8x9jFk5nSWmZTMbNb3gh&#10;L1+r1TKNiwX5Go1m396fCwsvrfjXm7Ch2wPdEHgifdPHckTDSwe+U8uKjcra2tKi7poVEQ0ZFIW5&#10;PGtZ6ReZebrkiMHRsbgZgD1adTN0VQmUVuufCNzOzdCxaDhuwd+SM27DHQg6yJAhk4X+on371tmu&#10;0mhNh/aXj7opViTBcyAAAAAAbH4vJ/RhFk7n6FHpsIxngudF4HEEBAWzw5OJd6EDLydbfIT+0amD&#10;YgaPJMkBmT3k7d7accHx9y/WMPvU11YV7Pvedq0orM3J7DtpnsDtaWpsVFVW1+sMDsbEpA39//bu&#10;BCyu8t4f+Akw+7DNwrCEZEhAAmQBDKDZGmPVKG2sf0OqXYO1rUtz/11zG3trrra1rbW992qr9nGJ&#10;S12j1XrdojWJMUsTYkIChGBIAAnrMAPMvueemZe8HM4sDGtg5vt55uE5M3POmTNnJjDzzft7f2t+&#10;sG2CLVAiKUyOpqbJhMvuYE8vQkOYBovy17I/Q0WHe3e3r1iZlaIU4kQBAAAAQCjIDSHmaK8c7oLS&#10;39Jw5LlHIm+dHC8UZS0ry7+mSiAbTjFSc4quuKPoX4/fx43k5GpNUnpWgljKLrvtVvuAYbCnK/wD&#10;ddYdC1OenLaoZPgwRBL6KLbBgcDdRn6clLn7PN4b4HsnGAYshv4L3guhVhBKZSWbqosqqyb4QKMW&#10;JrNEMklyelpcfHzUnF6X3WE43xnq9CI0hEm3KH+tSqn9x1v3OZ1W3l1ut/fggY5ly9Ky5stwogAA&#10;AAAgKOSGEFvihSJuhXLdP56PPDTMXFJa9OVvc5M4rvzrNh560je5gzgpubDyVtqnmMvc29568IOO&#10;EzURPijphRIvkiRlZtMqZlZZ9Vbuak27Xjq774OxHiczsvYZwGV3GHV9Llu4N+ekDDPsaqg9/uqO&#10;MB2TfW/7hPgkTZpIJommM2w3mQd7dEFDQ6FUdvXWBybeWwYgkEqlvXHD9lDR4aefdrucam1eEk4U&#10;AAAAAARCbgixRZNfRJfbj+4eU3kyL4zrb2kw63uylw+NXkzNKZKrNewO867eEDQ0ZPwzGC7+ynfy&#10;r6n69Pn/Chz0N69slSp3cXf9kc66Y/FCUfm3trD7jOTAkrMWjOM4eTuxDvbj7RGzIul/MinDDM26&#10;7uOv7jiz9/3wq8lSk2WKlGgaZuj/J2Y09vSFOrc33PewQpuLtyJMEZVK+42v//kfb92n17cF3nuy&#10;TqfX2y6/QoMTBQAAAAA8yA0htihzh5M4fXPD+HZybt9brYd2242DjL8NMZ0tUaHNM+t6Uuflhd9c&#10;IEu64o7tNTse1DUP9z/JXFJK9pO+uMLY/XN2VxGGhqz2mo/HcZzMyDkTyWoQg6yDRpNOH6YwmZmM&#10;YYZkKkP24rRawv3riK7+J5SxVxcqlkVoCNNDJJKRUYdBo8OOTrNtj7tiZQaaLAMAAAAAF3JDiC0C&#10;8fAsToa2s2PatvbVxyWpyt6mOm7E1nGihttlheG0RXZZjJ/8+V6yslyt0RQsy7/uVrpa8aY7dj+0&#10;lRYsz68YnnXR7bALJNIwR9Lf0tD72UmXzeq2W9lnwYv8IjxOxpcbYnRJTHNYbGaDIXxh8qQ0TfY1&#10;P3l1R/jEMD4hPlGtFCfKo+88D3T12E3Bn7tCm3vDf/6PUCbHuxGmgUgk21T14O49jzY1BfnfJkO/&#10;ff/ejpLLNeiUAgAAAAAUckOILdwK4rGOsOMOD6SSNRkjUgD/jISEvqWRPoRZ12PWfdDTeGLND39H&#10;bhHIkjT5RaQRSrxQREcXmnvb2a06ag9LlRqacipzCmjpcX9LA52gcNzHOfQd8mJawe4T742Y4na5&#10;zH2GUGEWlbd2fcXmLRNJtc7sfe/4qzvCTwgwJ26ONDkp+gqTGX8BuKG9M1TrZISGcEmsu+quxET1&#10;0aOvBd5lMjsPHugoK0tXZ0hwogAAAGBUFy645swR4DxEN+SGAGOjyNaSdiJShVqq0PCmMqSdjlmD&#10;Hed425p1Pef2vUUbs0hSVWSBG+r1f36G8WeadW88T2+cV7aKjhbsOPGviR8nQcNKh8WMVzZGeD0e&#10;i2HAOmgMX5gsV2tW333PRNp0RJIYMv6OyYlpqugrTGb8fWYGu3tDhYZ5a9evvnsb3pBwSZQtr0pM&#10;VO/Z81jgXW6399ChzoJFyrzCFJwoAACAqGezn5GI88a3rd3Z6rCfS05ah9MY3ZAbAkRKnVtQUHkr&#10;t68x/3duv16SqhxODWzWwHX0Z0/T3JD2MxGnKOgKg+dbRvnN3q+f+HHybrEaevD6xgKzYcBi6A+f&#10;GAqlsqLKqpJN1eN+lK6G2sPPPGJobQ6/mkAikisUUdYxmXJYbANd3aFONUJDuOQW5a9VKbVBmyyz&#10;Gk/rjUbH0lI1pjsEAACIbnb7CUP/zjTV7QJB2pg21Pf/3Wx6LynpOpzDqIfcEGKXOCk58lLlRdfd&#10;RPO+UDwOG3deQnP3+cB1BJIgKUmCeHirUWNB9lEmfpzMyJJqq0GH90N0sw4aLfp+j9sTfrV5Zauu&#10;qN4y7v4nXQ21x1/d0X2qNvxq8QnxMmWqNDkpis92qNbJrNV3/zxv7fV4T8Ilp1JpN1U9+N77fwjV&#10;KcVodFasyJDK8VkRAAAgmjmddec7/79UslaRetOo6aHXazVbjg4MvuHxdOPUxQh8FoTY0t/SQItz&#10;0/KXfF6zP5Kt5pWt4oZx7E7M+h4yMDD/mio686ChvVW7av3w7197kICP29C5r7meLHDTxqCxIHeF&#10;wZ6uiR8n3gmxI8LEUKHNrdi8ZdyFyWf2vtfwzmujjjEkUxkmqpVRfMLDdEGZlCYzAJMoMVF944bt&#10;e/Y82tJ6NPBek9m5d3c7pjsEAACIiW8Ntr3sRZCwUCItlYgXCRJUNEP0eq12R6vD+bnDdtrhbPBe&#10;wCRXsQW5IcSW3s9O0txw8Ve+Y2g9M+r8ayztimvJgrm3/diLf+FuospdTKYOZO/ibRW4Z0W2Nnv5&#10;8OwPvU11ZIEWLDMhQj3uCrQF8wSPk8x+SIw6yBFmo0jaJTP+MKuiesu4R8BFOI9hFDc/obweT39n&#10;d6gTzp7nG+57WKHNxTsTZhSRSLZ+/c8OHHj2ZN27gfdiukMAAICY4nKfdRnPGo04EzAMuSHElo7a&#10;w/nX3UqvXvnde5o+3NlxooYbxqlzC5IyfZMD9rd8RlI87lyBofIR0s9EmVMQ6qEV2drLv/kjerVp&#10;10u0SloUcUPVwHSSK/Lj5Alf+wyzToSJIaukanNRZdU4Wvo6Lea2mk8iSQxZ4kSZXKWIyuYnw5+x&#10;wnZBQetkmOFWrvy2UjX/wIFnQ013qNfbLq/QYLpDAAAAgFiD3BBii904WP/mU7Q3sUCWxC6zl/6W&#10;BtJTWJ6WyU3f3v2FrzuEubed3Mj+XHTdTad3vUFXYNcnC6QcmNYCc8nVmrmlK3gVxK3/+phepUMg&#10;Q6HdkM29nWFWi/w4Gf8IRHpv0JJqmI0irEpm/K05SjZVj2MqQ6fF3PDOTvbitFpGXTkWEkPfLxaT&#10;ebBHF6oLyryyVWvu3obQEGY40inl/V0PmUxBZrzt1Vn3/rO9rCIjRSnEuQIAAACIHcgNIeZ8XrNf&#10;qlDzmocETe76WxrIQvPuN4tv2UKW2Q3TFpV0HN/f3/KZPH0uDRkDu6CU3noH4x+ByAsT2d0eee4R&#10;OsIxXigKf8DcFcI3Ph7TcXIHOUYyZAxmuMgTw/TC4iuqt4yjYNas6z7+6o4ze9+PZOUYSQxZJp3e&#10;0h+yw1LRDRsrqrfg/Qmzgkqlrdr4+/d3PdTZeSrwXpvdve/jdtQsAwAAAMQU5IYQi07vekN/9nRB&#10;5a3coYU87Ud3n3rnVbLcWXeMYR6hkRy7FbfYmQicl5AOEuRq2vXS2X0fcG9J1mTQ5aBlyNwVwjc+&#10;HtNx0qjUZcH0FbOY1+OxGAasg8ZQg91GvCcLi0s2VY+j+UnbkU8a3nlt1EbJROwkhuzJH+zudVhC&#10;DtdF62SYdUQi2Y0btoea7pBBzTIAAABAjEFuCDFK19yo+5971bkFyoWLUrMX0hCtu/7wYMe5nsYT&#10;vCF4vEiOh91q1Efsb2lo2vVa+F7GQcuQx9TAJMLj5I5h1Lc04v0wG7ldLnOfwWGxRpIYjq9dstNi&#10;9jdK3hnhiNTYSQyZ0SY0RBcUmNVWrvx2Zmbh7j2PBp3uEDXLAAAAALEDuSHENF962BxpatZZd8zQ&#10;9sO8qzdweyIT3fVHGH/nk5E3+kK6vuZ69meEjZvJfnikCjVdtg0aJn6czMgxjOQIYRaxm8w2oynM&#10;MDcuuVpTsql6rKPeuhpqm/e+F2FJ8py4OSKZNHYSQ8ZfFW7S6UMltgpt7he3/mYcc0cCzBw5OWU3&#10;Jm7fvedRvb4t8F7ULAMAAETJNwvHqYlsLkhQ4xxGPeSGAGP5rWocrHvj+TMfvZVVXJFVsoqUOZ/b&#10;95Z/lB/fsZcej2SfhvbW2pcfSRBLQ2WLqdkL6XKEw75GPc7Bni6y4LIYe5vq8MrOCl6Pxzposg0M&#10;RjKJIeOvSs67av2YEkMywPDM3vcNrc2RrD8nbo40OUmmSImLj4+dF8LYq7MOmELdm7d2fcXmLeiC&#10;AlFApdL6apYPPtvU9HHQFRpP63t6LBUrM1CzDAAAEJsSkBvGwquMUwAwVnbj4Nl9H5BpCsVJyezV&#10;wHVoT5VIBI0dKVpD3X5092Qdp8fpqH/zKYFE2lF7OOjxw4zisNhsRqPdZIlw/XHMYzimAYas+IR4&#10;mTJVLJfFVGLo9XgM7Z2hapNZFZt/UFRZhXcsRA2RSLbuqrsyMwsPHHg2aM2yod/+4ftty5alZc2X&#10;4XQBAADMLm63zm7HpFUwCuSGABMSKnRzWMyT9RD9LQ2pOUUui7Fl/weTeJyf1+zHyzfT/5C7XHaT&#10;JfIBhqx5ZauKKqsiTwzNuu6Gt3e21XwSeU9tgUQkS0kWJ8bceDoH+1J0dYeqTRZKZVdvfWAcPWcA&#10;Zr5F+WtVSm2ommW32/vpp93dXfKlpWoMPAQAAJhFTOaPcRJgVMgNAWa6Q08+JFdrbIMDHqcDZyMW&#10;eD0eu9niYC+RzWBI5K1dX7KpOsI59cZaj0yIE2Wy1BSBWBSLH6p0ekt/yJG5mNAQot6oNcsdnWaD&#10;wV5ckqbOkOB0AQAAzIIvHV6r0fTeBHcSF4eCg+iH3BBgSkxus5HIx4LBrGY3mX2JYWQtkgm5WpO3&#10;9vqiyqpIJtRzWsxtNZ+0Hdk/ptGm8QnxkpRkaXJiTJUkU26Xa7C712ULmdpjQkOIEaRmOUdbFqrP&#10;ss3uPnSoUzs/aenlmOoIAKZK8eLFmjTNvoMHbHZ7DD7969ZdXVZevuOZHR3d3bP6iawsr9i67Z7n&#10;djz9+lv/wLv6UukfeM3rtU5wJ0LhfJzJqIfcEGDyodkIjMk44kJmLG1PxhcX+mICmUSSlBiDJcnc&#10;l2awRxemNrmiestYe1UDzGo5OWWbVA/u3vNoZ2fw9outbUa93l5yuSZFKcTpAoDJdfOGG3/8s63s&#10;wv3b7921+6NoempZ6enVm6vZhTCZIH36KckpP93275P10IqU1B07nmEXqqs3Gwb6p+HJSsTirdvu&#10;UalUBYWFDHLDS8Ht1g0a35v4YEOxuAAnMxYgNwSYNIb21vo3n/IttJ5BsxEIz+vxOK22ccSFQqls&#10;fvnqosoqhTY3/JrjjgvjE+LFiXJJSlKCQBDLr1H4vslyteaLWx8Y9VUAiD6JieobN2yvObrz6NHX&#10;gq5gMjv3fdyeuzClcJkSpwsAJosiJZWkZqyy8vIoyw2rN1dfX/kldmHBgoW3fe/28E//ylWrJvGh&#10;y0pLVSoVWZies5qfm0seEab124fXarefstlPWW01bnffpOxTJinDiY0FyA0BJhOajUB4pNWJy2Yb&#10;09yFQ58XtblFlRvnl60OXxJr1nW3HflkrHMXEuJEmSQpSSSL9enJXHbHYHdvmL7J88pWrbl7G2qT&#10;IZaVLa8iNctBm6Wwms8OdHSYMeMhAEzar53S0mh9aoqUVBIasvILCvJyFpxpOcdbZ0NlJfdq0HUm&#10;95CUqalT9BCaNA1ZON/ejjf2lLLbTzmdbQ5XK/uTvUz6/qXS5TjJsQC5IQDA1P/NNpmdNpvDbI28&#10;MzIllMry1l6fd9X14Ye2tR35pLuhdkydkYf/EggF0tRksVwWmzMY8pgNAxZDf5hBoBWbf1BUWYUT&#10;BUCapRw9+trJuneDrkBnPCxYokSrZQCYoGuuuZYul1VcEU1PreCyy7hXV65YwQvsJGLxd++4c8o/&#10;ApnNZCErPf3Rx/6qUqn+9IcHp3T+wa6uLryxJ4vXa3U6W91uncutc7ra2IWpCApHfEkRzk9IwIzG&#10;MQG5IQDAlHBYbE6r1Wm3h2mpEV7e2vXzylbNL18d8uOdf2hhV0Pt+Aa6koYn4kRZjNcjD3/e8ngG&#10;u3vDDAVFbTIAj0gkW7ny2zk5voGHJpMu6DqtbcaeHmthkSprPlouAsA4KVJSucW5UVblmp6ezr16&#10;08aqV15/jdv4Zc2KlbxNZDLpZD36Zfn5ZKFXN/RrfDH7K9t/hjOzsqbi+WZkZOAtPW5OZ5vXayH5&#10;oC8rdLX6E8O26T+S5ETM8R0rkBsCAEwOr8fjsjsnmBUy/hrY+eWrQtUjm3XdXQ3Huxtq2Z/ja7Qd&#10;nxAvkkslSUkCsQivGhW+BQqD2mSA0DIzC6s2/j78wMNPP+1u/1y6tEQtlePDJwCMWWCR8lQX6k4n&#10;X3sQDpVKVbp02YEjh+ktX73lVt4m/lLf+kl59OTkZLJgtQ211q0/1fDeO28PDg7+/Y2/j2+fErF4&#10;zYqVZeXl7DLZD7fZy9zsbLJwrqUF7+0R3yb8YwYv/ukc6j9md/gW3G7dZE1KOCni4qRSKSY3jBX4&#10;6AYAMH4Oi83lcLh9F2eY6fAiESYunHhWyCAuDPMRzeMx9vbZTZZQK6BvMsCoIhl42Kuz7t3dnpeb&#10;mleYgjMGAGNCg7O+vj4yFC5NrQ6aGxYvXrxwwcKCwsLz7e1dXV37Dh7gDtwbn7ycBezD9ep0U5RU&#10;piTzfyuWXn45zQ3ZZ5RfUDBFhyoRi+nUijTaYxd+/bvfju+5KFJSr1qz5lvVt3HHhH7x2uumrVnz&#10;DPqEyQkByVUH5ypJA4eW7Y2z7tlJpcvj4qT41RQjkBsCAET85//iiEKP2z3xoJAIFRcaWpu7Go6T&#10;n+POChnEhaNxWGzGnt4w804qtLlr7t6G2mSASIw68NDt9jae1p8/b1q8RIV+KQAQIRqcvfziC581&#10;Nd173/1MQG0v45+V71f3/5oXsfX19d115/dpIpaXs2D9+vVfvPY6lUrF3lVz+F+Dg4PsPoPGixKx&#10;+IZrr6NdjMnetv/yF7X1Iwb63bzhRnad+7ffy21GvLK84qp16xpPnYpkfkBagk1T0Vu+9vUndzxN&#10;Dmn16jX03jOnT5OVL8vP5z5chIdKT9TiwiJ2D8nJyQsWLAz++SclNWjMx74WmjQNGUhYc+SI2Wzm&#10;joukEyPytmJv2VBZ+cwLfyNXQz3odH+wH5nrBeV0tnm8Qf5r2e3Rud26wJXZfcbIv8rU5I341RQ7&#10;kBsCAATnsju8Hi9JCUlQGKaIdUzkak1GUQlv7kKzrlvfcsYfFNZ2n6qd6C93oUCclIi5C8N9WPR4&#10;zHqDdcAUZp2iGzZWVG/BuQKIXCQDD01m56FDnVmZ8qWlavRLAYBRFS8rJguffLLPYhnKZXy1vZxI&#10;TiIWh0qs2NtvvOlGxp+FPfPc89y76FC7vr6+Rx95mJfE/Wr7fdxJFckmf3nsr5uqbuZW3ZK0rqy8&#10;nGzObnh79W23fO3r7DK7/5N1deGH/mVxAlD2GEgqyiKlyuzeyK7IvZfl51/J+A6JFheP6VDZx6re&#10;XE2fNRd7BugySUKbGhvv/rcf0Dg1MJYl++EGpnRiRHZvz+14mn3uK1esIB1dbtpYRXNDupNLVWk+&#10;L1ve0nYr/mWN/7uMfA06osQU5IYAENPcLpfH6WYXnFbfx1C30+n1eicxIuRKLyyeX74qo6iEDF4z&#10;tDa3HfmEBIWG1jNOq2WC+58TN0ckkwqlEnRGHtWowwzlas3qu+/JKCrGuQIYBzLw8GTdu0ePvhZq&#10;nY5Oc0+vVTs/qXCZEmcMAELhthKura9nr5Ll6yu/xK2lLV26jIaGf/rDg2azWS6X86pl580N2eWD&#10;Xe3e++5nN6HDA2+vvo0mcYf27z906GDll75MAq9f3f/r2753O7lLkZLK2xUvwluQkxM+HZNKhos9&#10;z7W0NDU2kkchpcrs8yJ39fX17Tt4IOgeIjzUUIMBiZrD/6LPiCSh7B4UKSkkdlxZXvHgH/8UdEPa&#10;hZm5ODFizZEjdPwm+9zJy0cfl76CMEvFxUmVqd/GeYgpyA0BIDpd8HrtJrPLPqI/ifPif5l6Xe4w&#10;mdEkSi8szigqTi8qUWpz9a3NhtYzDe/sNPV2T3xE4fDvcaFAJJOKE+WoRI5EJMMM0QIFYOJEIlnZ&#10;8qocbdmBg892dp4Kuo7b7W0+O9DRYS4uSUPZMgAERVsJv/fO24yvWcRwNTG3NYpcPvxXm2Z/e/bt&#10;KystrT/VQK76e4n4HNq//5f3bWd3JRGLS5cu27rtHpJq/fhnW9lNDAP97J7JKL++vr6f/vhH5FHe&#10;/WDXyy+9wq6ZX1BQvHgxKQFWpo7IDW/ecCNv3N+oFuTkcK8+9eQTJKEjpcrfuf275PY3XtvJfe5l&#10;FVfQkxDJofLGY7JnoO3zts+amu7a8m+8JLHgssvIArtDEhoqUlLZU0RXaGps3PfxXsbf3qTmyBFu&#10;nXLgxIiBKeHcjEy6H7y9Z6PU5I2Y2TDWIDcEmGUU2dqs5atdVvOZPe96nA6ckFDcTtdAV+8leej0&#10;wuKUrHnJWfOcFrO/pUltwzs7Jz6ccMTvbqFAKBULJRKhVIKhhZEbdZihUCpbffc2bv04AEyESqW9&#10;ccP2kyffrTm60+kMPuuTze4+dKhTkSouLdOg2zIA8FxzzbVkoebIEWbk+D7uUD7uqLfNX//GK6+/&#10;ZrPbDQP93NLjy/LzycKhQwdJBsf+PHDk8F13fv/Vna+Tu65as+b1t/6xcsUKcvXRRx6mD8Gu/MZr&#10;O8nouYULFgZOHbiyvIKM1COpHK0vDi8jI4Mun+/qZC90lsNfbb+PlvR++NE/R/52HQr7IjzUr968&#10;kVYQ03iRIJXRg4OD5CpNYOkIxA2VlfTheNM4BkXmQGSf19zsbJpvBjp37ize3rOOWFyQlIRWgTEH&#10;H84AZtVv6qTky7/5I4EsiV3uPXXc0N6KczITyJRposQkgVjicTrtpoHuU7WTOJxw+Pc1ssIJ8Ho8&#10;g929DostzDrphcVf3PobDDMEmHRLl96Qn/+FAwefbWr6ONQ6hn77Pz9ow6SHAMCVlZ5Oh+/de9/9&#10;dO4/gpu4HThy+OUXXyBR3XfvuHPNF9b+8t7/4E7tx3DmBOSGjIx/lBzdlkybyG5O7jrX0sL4B83l&#10;5+YWLyumFdOJiYm8Q72+8ktkvr+mxsZf3redDpMc1dzsbLpM0kw6yyF97u+98zbvuVARHiq9+uBv&#10;HwhaN/1ZUxNZoOkqCWoZ/9SEZGHU0LB48eL7fvWboKXQdP5E3vhKmEXi4qRq5Z04DzEIuSHAbJKW&#10;v4SEhr6vWAgNLx2hTO5xOjyuoX7KFn0ve5mKBxJIREKxWCAWISucCOug0aTTh5mzUiiVlWyqLqqs&#10;wrkCmCIikWzdVXctyl+7/8Azen1bqNXopId5BalIDwHgivKKMPdyEzfWI489ajIaSUCWX1Dw6GN/&#10;ffC3D3CraOnYNxKxcXV2dHCv0lF+3//e9xlOfkf09fXR0X9pan53iN/+9gFuQTEvowxEu5SQQmzW&#10;voMH6JBD4pVXXgm1eSSHmpezgN5y7OSJ8MfDS1ez0tPpkYSaYJEIMwciwxm9OHzLxVzyEnySF+JD&#10;9Xho1D9BO5TYhNwQYpo6t6Cg8lZ5WrbLYqx99XFd8zhn2ZhXtipr2RUCWdKxF/9i1vXgxEY9p8U8&#10;RXuOT4gXSMQJIpFAxH7LxmxfE+V2uQa7e122cBX96YXFa36wTa5Ox+kCmGqZmYWbqh4MX7ZMJj1s&#10;bTMWFii1eUk4aQCxrPJLX+ZeJcna+fZ2Eg7yWqOwnnnhb7UnasmQN9bWbfdUV282DPSTe2n+ZbVZ&#10;Qz0Qu3PGX2hMAjheDNfU2PjKyy/Rph/MyHkVGf+IPDKar6y8nNzSq9OFeYLcsuvGU0NTwXKrjMmz&#10;DjpCMCs9vaO7O5JD5eaG3EyT4YwupGi6So6c27YlPDoHInsSao4dI6edhonkxAZ9xOmnUgnxj2vM&#10;X5yVd4jFhTgPsQm5IcQ0EhqyCwJZUnbZF8aXGy5cc23+dbcO/e3X5k1pbqjKXYxXLdp+CwsF8YKE&#10;BKFQKJUKxEIMKpwsXo/HYhiw9A+GWQfDDAEuiUjKlt1u78k63Zkz/Xl5qUgPAWJTVno6HUy39Sc/&#10;piMHuR2WSXbG3aq2vr66evNDD/6B3ValUm2orHzmhb8xIxt08Da5bt3V9IEOHDzI/mz7vO1KZjiG&#10;O7R//4cfflB/qiGwWJibGzY1NgaW8er7+8M8R25blW7OztnDoM9xz+7dQbcliV4kh8rNSVeWV3DH&#10;YNLRhcNfN0ZWGXOPf82KlaHqlPNyFnCHJQbmql1dXbxHHHUkJswcauUdcvkXcB5iFgpAIKaZezvp&#10;cvrikHUQ8UKRIlvL/gy8S5yUTEND3/ccu3W6jrwdL99sNCdujkAikqYkJmlUqVkZ6ZctUGmz2YVE&#10;tVIkQyXypHFYbPq28+FDw3llqzY9+ipCQ4BLgpQtV238fWZmuMELNrv7ZJ3uw3fbOtosOGkAseaa&#10;q79IFpoaG7lRl81upyW92nnzAzc0DPQ/9eQTZJnWMtM2vjzXrbuaTpv48osvkJF9xz79lK6w+Vvf&#10;/Om2f9+1+6OgMwz65kO86OGH/5su01F7dLRjUNzJ/rgjE9nDeOLxxxh/Dsh97oEV1pEcKnuVNi/e&#10;uu2elaGrv7PS07nHQI6fnm32RLGni64gEYvzchaQIZPnu4a/Vd1efRtNaekclPTIeeMZYeZDaAgY&#10;bwgxzWUf/XvIvLJVi7/yHd/KFuPuh7byWhin5S/hXjV2d0zpAcvThj7xcBNPmLHiE+LjBAlCsXhO&#10;fLxAJMJwwmngdrlMvX3h+5+gaTLADEG6Lbe01Bw4+KzJFPILpM3u/vTT7pZz4vxFCnUGJnAAiBW0&#10;Hcc7b/8v7y7a/Df9Ys4lEYvXrFjZ09tTW1+vSEm96ab/x1uTi9TtLl2ypPJLX6YjDQ/t3//kjqfJ&#10;8oEjh5saG8ld27bd88rLL5HYa0FOzldvuZW9Gjjs7r133uZ2WA7aGyQQt7ULrxj5mRf+duDgQW4e&#10;xyOTSSM/1F/e+x+PPvZXUr794B//RIYlsmvy+h0HrUp+5ZVX6CSM9953/11b/q3m8L8WLFhIHpR9&#10;9Nu+d7vNbt/6kx+TkuRbvvZ19vLyiy981tREX0T67MJUi8NMIxTOVyvvZH/iVMQ45IYQ0wbPt2Qv&#10;H74qV2t4VcbipGQSGjL+WuZkTQavG0nWsuG/tebe9qme3JBUVcMMJJD4hqMK/f+5KpRK4+LjBGIR&#10;Tst0IoXJ1kFjmP4nrKIbNpZsqkbTZICZIyenjL2En/SQ8TdcPnSoU5GK9BAgJhQvXkwDpj379vHu&#10;pc1/Sftjxj/GjTRE5nn//fcDb3zmued5tzzx+GOvvP4ad+4/GrTlFxTw+jiXlZfT3JAGamFal4RB&#10;h0Me2r8/8N6g0xpSmjQNw9RHeKgd3d133fl9shrjnwyRNx8iEbTZMXsYNBNk/MEffdYs5cXOMAeO&#10;HOauxn056IhF7kyLoTpEw0wQFydNSrw+NWUjTgUwqFOGGGfuPs+9KklW8FbQXrmOe1WePpd7VZyU&#10;nJpTRK+2Hvxg2o68r7keL9/0E0hE7EWcKJOlJstVitSsDFJrzF6U2VnsJVGtJBXHCA2nmd1kJoXJ&#10;YUJDuVpz/X/+T0X1FoSGADPQ0qU3fOPrf16+fKNQGG4OfpIe7t/TgcplgOi2cMFCsvDyiy8Elvr2&#10;9A79Vz03wAr0pz88GD56Y/zD5e6+8/vPvPA3XsOQju7uW279KikW5nrvnbd3PLNj+DN5Xx8TrHUJ&#10;yQEDNw+lvr4uktWCzpYY4aGyq1VXb47wkHg55oEjhzd/65s0/uM+xF13fp+3Gq2JpgJbJwfNSWEm&#10;iIuTpiTfnJ31CEJDoDDeEGKa0z6imFGSquStkH352jCb84qUe5vqxn0k4qRku3Ew/DqKbC1esqlA&#10;qokvLiewF7IslA59d0V98UzmsjuMur7wHZOFUllRZVXJpmqcLoCZTCSSlS2vWpS/tubozjAtUxh/&#10;emj4tPtUQwK6pgBEq7PnzjL+VO7vb/w98N7a+nr2LpVKRVOwJ3c8/VlT0zXXXEuG0R3av/9vLzzP&#10;LRzmjqQjJbSMf9K9MMGizW5/5oW/vfL6a6VLl8nlcrPZ3PjZZ7wQc/svf6FJ0+w7eIC37U+3/Xsk&#10;T7Px1CkSfZJ+LKNiH51WJY/1UMnm7GrsJSs9Xa1SsUfOG5/IPpH7t99LFnjbsifq17/77R//+7/o&#10;TJHnuzp5YStZ7bbv3b6yvKL08svJkEP2bAeWdb8R7GWdNn19TvabH/6V8UilyxNlX2B/4lQAD3JD&#10;iGm8smKpQs29mrmkVCAL922EW6Tc39LADf7ihaKsZWXJc3MEYhl71WroMXa2ddYdC9yJOCl59Q/u&#10;Zx+o/ejuujeej/DIx9SARa7WKLR57LNz2Swum9XQemaq66lnxG83oSBRHXxmGeSA0cHtcpn7DHbT&#10;KGOO0guL1/xgm1ydjjMGMCskJqrXXXVX2fKqUdND0jUFPZcBolJtff3K1SvDrFBdvVkiFtFaV5vd&#10;vmv3R6G6/fI88tijkR8Ju2duZ5LA4yTFwuPz+lv/OFlXp+/vD98+hevhh/979eo1nR0dgdFe+EPl&#10;Ys+b/9TVl5WXk+Cy/lQDPY3hz8aoQzgZ/8BD9hJ4ntlt799+L5mG8hK+u5rPst/akvGvzPeNKUEl&#10;FhdKRIVSaVlcnBQnBIK/T3AKIMb1tzTQWmOpQjMiblhczltZlbv485qhQfW8IuW2w7vpsjq3oHjT&#10;HYGZY+669mMv/oWX2aXlLyFrZi9fx8sN2YdIEImDZnz2AQP3qiJbm1ZY0nvqOG/6Rblac9kXbwps&#10;Fd1df/jE6zt4PV6izJy4OJEM/5EYnSKcypB9/1ds3oL+JwCzEU0PDxx4pqX1aNgvsb708FSjXjs/&#10;Ka8gVSDEJDwAMSHyoI1nplXIRhLDcdXW109i6Pa2v+dMzZEj0zbbYITZLkwdkhWKBFr2J3qeQETv&#10;GZwCiHEOi5kuK3OGx/yLk5ID4zYuXpFyT1MDWchcUlp8y5agm8jTsq/87j2HnniAGwWqchfzVmMf&#10;WnvlurRFJaQLirm3/ciOP9qNg7zZFSna8XnBmg27f/9DOuxRrtawDxd0yCT71ORpmQce+010R4cQ&#10;layDRpNOHz4xJIXJ7AVTGQLMaomJ6vXrf9bZearm6E72Z5g13W5v89mB1jajJk1asFgpleMjLgAE&#10;NzA4gJNATW4KCTOTWFyQkKBOiFdLfEGhFuMKYazwoQpi3WDHOZoPciO2rOIgoaF/zceHVuAUKbcf&#10;3U0COEW2lhsauixGfUujSCanIxPZhyj92t2hAju5WjO3dMWCNRtG3JiWnZa/hI5zHPE3ICm5sPJW&#10;evzsw7k4k4zkrLo2TJ01u9vA9tAAM5ndZDbp9B63J/xq88pWXVG9BYXJAFEjM7Pwxg3bI0wPOzrN&#10;7CVNLV2Ym4K2ywAQ6Hx7O04CRCuhcH5cnFQsKoyPk7HLvrgwQY3TAhOE3BBincs2YqJA0p8kXiha&#10;sKoy6PrsXR6nQ67WcIuU9c1Dgw3zrxtuO3Vu31tn9rxL88TLv/kjkuLJ07I1+UV0rkPuqMY1P/xd&#10;kCO0GIN2XJlXtir/miqaDLKrHXriAW4cmV4wPKlt/ZtPfV6zn0x0SLZi17cO9uMNALOCw2IzGwzh&#10;m5/4/qFpcys2b8koKsYZA4g+JD3s62s9Wfdu+HkPWb06K3uRiH2NU7Lmy1G8DABEX1/fhx/9E+cB&#10;ZrWEBFVCgjouTiYU+KqMRf4hhBhICFP4lsMpgBhn7j7PvSpNTrUbBzX5RaFG6pExenNLV3BvJEXK&#10;mUtKaZho7m2noSGL3aTpw52kmpilzC0K2iOFp7+lofezkx21h0npMbdtC00h6ZrHX32C15GZu0LH&#10;iRrG3weGvbDLWcvKDK1nRu3gDHDJRZgYCqWyiuoteWuvxxkDiG4qlTbCrikMZ+rDuVny3PxUFC8D&#10;xLJduz8619Iypg4kANPPnwAOzTkoFhWSBYm40H+XDNMRwiWBz08Q65x2W+CNueu+Emp9cYoivqeL&#10;W0rcXX+Y5IPK3OERiM273+RVIn9es58OD0wvWB6mdbK5t53dvKepgbcHbtsWbiZIxhIG3Q+ZIZFV&#10;/q0tR557hOyQ/Rl0fYAZJfLEEFMZAsQabs/llpYap9MaZmW329vaZmQvilTx3LmJ6LwMELPG2oEE&#10;YILIwEDOVd8kg/QqSQOHvmNylgFm3DsZpwBiHK9bsTx9rjhFQeM2xj93YXrBcprTJYilmvwi7iZ9&#10;zUNzCWcvX0dvDDqcUN/SSKqS6d4U2VruCi6LseF/n41kKCLVtOulUCFg4zsvlVVvJcupOUUr7/xF&#10;/d+fxoSGMPO5XS5zn8Fusoy6Zt7a9SWbqjGVIUBsIumhY4XlZN27J0++Gz49ZBn67ewFww8BAIAQ&#10;iwvCr0BrgQOJgtUFI/6DqIQPTAC+tI47fI872NDc237qnVddVjMdYBjY/jhw8sHu+sPjOwxeq+VI&#10;SJWaUHfpmhtrX36E9mmRp2Vfccd29pYx5ZIA08lhsVkHBtifo66ZXlh8RfUWhTYXJw0gxolEsrLl&#10;VezldNPeo0dfM5l04dfnDT/E7IcAADEoZ/5LOAkAEUJuCDA8DJDxx4LcwYak3Fh/9jTNDbltTBh/&#10;sBjhLIHxQhHdlt0q6GGMNTRk/IMcXVbz6V1vBL23s+6Yy/Zg8aY7aDDqjxERHcKME2FVMuNPDEs2&#10;VaP5CQDwLMpfy14iabtM0OGHmjTpwrzUFKUQ5xAAAACAB7khAOOyD5dDcmNBc287ydd0zY2htu04&#10;HqRGmN1JvHAHb3bCvKtuoMu9p4+P4zi5saPLYqQ9WBas2WDsbAsVBbIHv/uhrcturqabF9+yxdj9&#10;83FklABTIfLEUK7WVGzeMr98NU4aAIRC2i6bTLpIpj5k/MMPOzrN7EUiTsjKkmsXJqN+GQAAAIBC&#10;XQYAM3i+JejtrQc/oMuhSo87aodv729poMvLbq6OF4ro1YVrruW2Umk9tJssxIsk9EZufBmeubfz&#10;yHOPcB+u+JYtmUtKQ63vcTqOvfT4uX1v0Vt4/aABLgnroLGvtb2/o2vU0FCu1qy+++ebHn0VoSEA&#10;RIJMffiNr//5qqvuZJcj2cRmdzefHfjnB217Pmg/c2rA5fTiNAIAAADgP1QBGHP3+cAbXRZjx4ka&#10;erWvuZ5Xocz4g0JukXLb4d10DCC7sjKnoP3Tvexy2qISbu1z/ZtP0a0kqUp6e6j4MiiP03HkuUfK&#10;v7WFPuKoBchn9rxLs0tua2aAaeb1eOxmi0Xf73F7Rl1ZrtaUbKrOW3s9zhsAjJVIJKPFy6eb9jY1&#10;fRzJViazs/G0nr2kqaXp6TJMgAgAAACxDLkhAGMd7A+8senDndxCY0PrmcB12g7v5l7trDs2v6KB&#10;BnkCWRJ3jCFxbt9bodofjxWJDlfe+QsaSoaPDrltoCMf2wgwidwul23AaB00XvBeGHVlJIYAMFky&#10;MwvZy8oV325q+vhk3buj9k4henVW9nKyTocAEQAAAGIWckMAxm4cNPe2c4cEsle5gw19t+h6AtcJ&#10;TOgOPfnQvLJVi7/ynaAPVP/mU5MSGtLUz1eA/OJfrvzuPdy2Jz1Nd7C3i5OSy6t/wh6w77kc3y+Q&#10;yLghpr65Aa87TCeX3WHpH7CbIgqskRgCwFQQiWRLl97AXsjww0hmPyQQIAIAAEDMQm4I4P9KcPr4&#10;iFLivz/N62rC+Kc75AaCje+8FHRXn9fs7zhRk7WsTJW7mJQ2d9cf7muu722qC+y8zK5Dl932Ub69&#10;0OCSW9Fs1vUceuIBbnQoSU5hb5Qmp5KV2Z/5193K3U9/SwP6KcO0sQ4abUZTJG1PGCSGADAtyPBD&#10;xwpLS2tNU9PHkTRfHvq0cDFATJQL585NzJonRxMVAAAAiG74rAPgY+xso8v9LQ2G9tbAdTpO1ORf&#10;U0XiuaZdL4VpsuxxOj6v2e8fWvh4+Mfl1gsb2s6GX/nYi3+ZW7rCatDxBi2S6LD0a3fL07LZgyeN&#10;kq2D/S6LkYaJ3Gd3/NUn8IrDVBtTSTIrvbC4ZFN1RlExTh0ATA86+6HJpCOzH0ZYv8xw5kCUiBM0&#10;GmlGplydIcEpBQAAgOgz58KFC2Pd5qmnP2pt7Q2/jlKRIuQ0kwWuru6eUddZfvkihrnAXPDOYTxx&#10;vtfIy75Uc9ifjJe9fc4FD3vVfy+56mUu+G9kfGuyl7ihe30/fSuwN17w78G3q6HVyA4Z/87JT7L+&#10;xT1fMOv72o4eGf3b/mULouN1mVe2SpW72GroaT20O3BgICFOSk7LX2LuPh80WByHeKEoa1kZu2Dr&#10;14cJIiPEHh73yNmrWcUVaZctJVMu9rc0dJz4V8eJmsChlLOOvr1j1PFrArFIOS8Lv3Cmn91kthlN&#10;Dost8n96RZVVSAwB4JLr62ttavr4dNPeCOuXuRIS4jRpUqVSgipmiEqbbv4YJwGiyYFPDuAkAEQI&#10;ueElgNwQYIKQG85AZICh3WSOpEsykbd2fcmmark6HWcPAGaUlpaaltaayCdA5EmUCzUaqTpNikGI&#10;EDWQG0KUQW4IEDnUKQMAwISMdYChXK3JW3t9UWWVUCbH2QOAGSgnp4y9MFeNM0A0mZ3spfnsQEJC&#10;nCJVrFRK1BppilKIEwsAAACzDnJDAAAYD5fdYTMabUZzhDMYshTa3KLKjWh7AgCzxQQDRLfbS1qp&#10;kJkQFQpfhpiWIUU3FQAAAJgt8KkFAADGwO1y2U0Wu9Hkdroi3ypv7frctddjEkMAmKVogNjZeYpk&#10;iJE3USFsdndHp5m9MHUMMkQAAACYLfBJBQAARuf1eOxmi4O9RFyPzKAkGQCiTmZmIXtZufLbfX2t&#10;ZASiXt821p1wM0TUMgMAAMBMhtwQAABCGl9cyPi7JOetXT+/fDXOIQBEJZVKy17Kllc5HJaW1prW&#10;lpqOzlPj6KPCrWVmrypSxQqFODlFnJYhQV9mAAAAuOSQGwIAAN+440IywDDvquvRJRkAYoRIJFuU&#10;v5a9sMukirmjs2EcgxAJQ7+dvZBliTghMVGoVEpSUkVozQwAAACXBHJDAAAYMu64kMEMhgAAF6uY&#10;2QUyCLGz8xR7GetMiJTN7mYvvbqhMYyJcmFSEnsRIUYEAACAaYPcEAAg1pFWJw6LxWVzjHVb0iJ5&#10;ftlqzGAIAEBxByH29bX6A8SG8RUyUyazk734ZkX0S5QLJZKEpCShOk2aohShqBkAAACmAnJDAIAY&#10;5bDYHBaz02ofU2dkAvXIAAARIjMhLl16AzN5GSJzMUbs1Vmbzw74PtMnxCUlChUKsVQqkMkFGJAI&#10;AAAAkwK5IQBADHG7XE6rzWG2OG32C94LY91cKJWRuFChzcXJBAAYq8AMsU/fOpFa5uFf724vd25E&#10;xj89okSSgCQRAAAAJgK5IQBAlPN6PE6rzWmzjW9oIeOPC+eXr55Xtgr9kQEAJgvJEMmyyaQjMeJE&#10;eqrwkOkRA5PEpCShRCJISRXJEgVSOb4LAAAAQDj4rAAAEJ0cFpvTanXa7eOYtZBAXAgAMD0SE9Xs&#10;JSenjFz1jUP0xYgNffq2iQ9FpAKTRMY/T6JAEKdQiAWCeISJAAAAwIOPBQAA0WPiWSHjn7twftnq&#10;eeWr0RwZAOCSIH2ZSTmzw2HR69s6OhtImDjBWREDmcxO9icvTKQjExMS4pJTxEJhHFqvAAAAxCbk&#10;hgAAs5jb5XLbHROpQaYU2tz5/qGFmLsQAGDmEIlkJEYkV2mMqO9rndzRiFxBRyYyF/NEciHjE9kb&#10;MXMiAABAFENuCAAwyzgsNpfD4bLZ3A6nx+2Z4N78ZcirMopK0BkZAGDm48WIzMWiZt8Mif4WK1P6&#10;6CRPZPqD3EXqnUmkyF5Vp0nZn6h6BgAAmO3wh3yGUirlDHNhDuP1/bzALrA//cvMBYbxsrewy8wF&#10;r/+qb4XhZXYT//oMXf/C0FbsD/+GQ2v6bx9eh6E3+jdkfNujGgVgRiBBodt3cU5wUCGh0OZmFBan&#10;FxVj4kIAgNmOFyOaTDr20tHZQBamOkkcflx/vTONFJvPDnDvJami7w+QQsz+pGMVBcL4FKUQLyIA&#10;AMCMNVW5oc1mdzqcOL/jtmpV3iU/hq6G2sZdb4/+MVGnx+sF08zrckfxs3O7XB6n22m1up1Oj8s9&#10;KUEhc7HJSXpRMYYWAgBEMdJiJWiS6HRY+/StUzFJ4ugfF81D3wsCa5+HvpMkxCUlDgWIJFtkkakV&#10;GcSLAAAAl85U5YZWmx0nN0ZY+gdxEgDGjaaEFy54XQ7nRPqZBBJKZelFJRn+rBCzFgIAxKbAJJHx&#10;Vzc7HJY+fau+r9XhtF6SMHHEX0O3l0aKobJFgsyxOLQsGV6WSgUyuYCuhlkXAQAAJgXqlAEAponX&#10;43HZnR63y+N0uZ1Or9c7uSkhgawQAABGRWLEnJwy7o00TCQjE0kPlpl25ENzLBL9kX3h4QxmHLqa&#10;NGL0Ih3YSGFmRgAAgKG/mzgFAACTzmGxsT+dVt/YDafdN25iKiJCSq7WZBSVpBcVK7V5yAoBAGB8&#10;goaJpMyZmycy/oRxFj0v7mBGolc3nsGV3KGOXElJwoSE4NOC80ZBBpWiFAmEmFUcAABmKOSGAADj&#10;+hLiry9mLoaDHrebvVzweCdrOsLwhFKZQpuXUVTs63BSVCKUyfGKAADAVCBlzkxAnsgi1c1GU6/J&#10;pKOR4iUveZ46I4Y6coQvrJ50ilTxVD9EmCQUAABiDXJDAIARyFBBgmSCzMVYkPG3ZPG4PdN/VCQo&#10;VGpzfYMKc/LQ2AQAAC45lUrL/sxkCoP8Mb1Y49znmz/Rwlwcojgza59nl2mIKac5CQUAgJkMuSEA&#10;RCeP2x3Y7JvMKsi7cUoriMdNrtbI1RlkRCGCQgAAmF1EIhmpeub1Y6FogEgqoNkFOmKRmW110AAA&#10;AFEMuSEARCev2zOLmn2TlFCpzZWnpZMCZLyCAAAQxWiwyASrgKbI7IpkmQ5dZEYGi1FcGQ0AAHDJ&#10;ITcEAJhu6YXFQpmcpIRkUCHOCQAAQCA6uyITeugiFzdnZEZGjSy97+qIhBEDGwEAAMJDbggAMFXI&#10;KMJEXziYTiJCpTYXPUwAAACmCDdnZCKLGnmCJokdnQ2BN3ILqyPcDwAAwKyD3BAAYEJIOEjGD7JX&#10;Fb5kMJFkhTg5AAAAs0vQqHEc+eOoeEMjR0X6Vk/10w8cknnRebw3AABiE3JDAICQfCGg1Dc8kMaC&#10;7IJCm8cuiHwLuThFAAAAMA68oZGjCtq3etr09c3FSwYAEJvGkxuWluTk5KTh3EU9kUyeXohp12B2&#10;MHafdzvs3FskyQpJioL/GT3YMEAyQpBeRSkxAAAAANd3bvsOTgIAQGyac+HCBZwFAAAAAAAAAAAA&#10;4IrDKQAAAAAAAAAAAAAe5IYAAAAAAAAAAADAh9wQAAAAAAAAAAAA+JAbAgAAAAAAAAAAAB9yQwAA&#10;AAAAAAAAAOBDbggAAAAAAAAAAAB8yA0BAAAAAAAAAACAD7khAAAAAAAAAAAA8CE3BAAAAAAAAAAA&#10;AD7khgAAAAAAAAAAAMD3f1abWsp/t3U5AAAAAElFTkSuQmCCUEsDBBQABgAIAAAAIQBxJ5A83gAA&#10;AAYBAAAPAAAAZHJzL2Rvd25yZXYueG1sTI9BS8NAEIXvgv9hGcGb3URJNTGbUop6KkJbofQ2zU6T&#10;0OxuyG6T9N87etHLg+E93vsmX0ymFQP1vnFWQTyLQJAtnW5speBr9/7wAsIHtBpbZ0nBlTwsitub&#10;HDPtRruhYRsqwSXWZ6igDqHLpPRlTQb9zHVk2Tu53mDgs6+k7nHkctPKxyiaS4ON5YUaO1rVVJ63&#10;F6PgY8Rx+RS/DevzaXU97JLP/Tompe7vpuUriEBT+AvDDz6jQ8FMR3ex2otWAT8SfpW9NH1OQBw5&#10;FCfzFGSRy//4x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lD5i+YCAADjBgAADgAAAAAAAAAAAAAAAAA6AgAAZHJzL2Uyb0RvYy54bWxQSwECLQAKAAAAAAAA&#10;ACEAlYULHqZvBgCmbwYAFAAAAAAAAAAAAAAAAABMBQAAZHJzL21lZGlhL2ltYWdlMS5wbmdQSwEC&#10;LQAUAAYACAAAACEAcSeQPN4AAAAGAQAADwAAAAAAAAAAAAAAAAAkdQYAZHJzL2Rvd25yZXYueG1s&#10;UEsBAi0AFAAGAAgAAAAhAKomDr68AAAAIQEAABkAAAAAAAAAAAAAAAAAL3YGAGRycy9fcmVscy9l&#10;Mm9Eb2MueG1sLnJlbHNQSwUGAAAAAAYABgB8AQAAIncGAAAA&#10;">
                <v:shape id="Picture 46" o:spid="_x0000_s1078" type="#_x0000_t75" style="position:absolute;left:-4128;width:63341;height:70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LcwwAAANsAAAAPAAAAZHJzL2Rvd25yZXYueG1sRI/dagIx&#10;FITvhb5DOAVvimYtIrIapUilpRbx9/64Oe4uJifLJrrr25tCwcthZr5hpvPWGnGj2peOFQz6CQji&#10;zOmScwWH/bI3BuEDskbjmBTcycN89tKZYqpdw1u67UIuIoR9igqKEKpUSp8VZNH3XUUcvbOrLYYo&#10;61zqGpsIt0a+J8lIWiw5LhRY0aKg7LK7WgX6sP4NzuBl8XN8+2z4a2U27Ump7mv7MQERqA3P8H/7&#10;WysYjuDvS/wBcvYAAAD//wMAUEsBAi0AFAAGAAgAAAAhANvh9svuAAAAhQEAABMAAAAAAAAAAAAA&#10;AAAAAAAAAFtDb250ZW50X1R5cGVzXS54bWxQSwECLQAUAAYACAAAACEAWvQsW78AAAAVAQAACwAA&#10;AAAAAAAAAAAAAAAfAQAAX3JlbHMvLnJlbHNQSwECLQAUAAYACAAAACEA1WHS3MMAAADbAAAADwAA&#10;AAAAAAAAAAAAAAAHAgAAZHJzL2Rvd25yZXYueG1sUEsFBgAAAAADAAMAtwAAAPcCAAAAAA==&#10;">
                  <v:imagedata r:id="rId77" o:title="" cropbottom="10f" cropleft="113f" cropright="120f"/>
                </v:shape>
                <v:shape id="TextBox 2" o:spid="_x0000_s1079" type="#_x0000_t202" style="position:absolute;left:-4128;top:71000;width:34404;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gSxAAAANsAAAAPAAAAZHJzL2Rvd25yZXYueG1sRI/BbsIw&#10;EETvlfoP1iJxIw4RUBpiUAVF6o2W9gNW8RKHxOsoNpD26+tKSD2OZuaNptgMthVX6n3tWME0SUEQ&#10;l07XXCn4+txPliB8QNbYOiYF3+Rhs358KDDX7sYfdD2GSkQI+xwVmBC6XEpfGrLoE9cRR+/keosh&#10;yr6SusdbhNtWZmm6kBZrjgsGO9oaKpvjxSpYpvbQNM/Zu7ezn+ncbHfutTsrNR4NLysQgYbwH763&#10;37SC7An+vsQfINe/AAAA//8DAFBLAQItABQABgAIAAAAIQDb4fbL7gAAAIUBAAATAAAAAAAAAAAA&#10;AAAAAAAAAABbQ29udGVudF9UeXBlc10ueG1sUEsBAi0AFAAGAAgAAAAhAFr0LFu/AAAAFQEAAAsA&#10;AAAAAAAAAAAAAAAAHwEAAF9yZWxzLy5yZWxzUEsBAi0AFAAGAAgAAAAhAEDFqBLEAAAA2wAAAA8A&#10;AAAAAAAAAAAAAAAABwIAAGRycy9kb3ducmV2LnhtbFBLBQYAAAAAAwADALcAAAD4AgAAAAA=&#10;" filled="f" stroked="f">
                  <v:textbox style="mso-fit-shape-to-text:t">
                    <w:txbxContent>
                      <w:p w14:paraId="56116CF1" w14:textId="77777777" w:rsidR="00AD18DC" w:rsidRPr="0082214D" w:rsidRDefault="00AD18DC" w:rsidP="00AD18DC">
                        <w:pPr>
                          <w:spacing w:after="0" w:line="240" w:lineRule="auto"/>
                          <w:rPr>
                            <w:rFonts w:ascii="Calibri" w:hAnsi="Calibri" w:cs="Calibri"/>
                            <w:color w:val="000000" w:themeColor="text1"/>
                            <w:kern w:val="24"/>
                            <w:sz w:val="20"/>
                            <w:szCs w:val="20"/>
                            <w:lang w:val="en-US"/>
                          </w:rPr>
                        </w:pPr>
                        <w:r w:rsidRPr="0082214D">
                          <w:rPr>
                            <w:rFonts w:ascii="Calibri" w:hAnsi="Calibri" w:cs="Calibri"/>
                            <w:color w:val="000000" w:themeColor="text1"/>
                            <w:kern w:val="24"/>
                            <w:sz w:val="20"/>
                            <w:szCs w:val="20"/>
                            <w:lang w:val="en-US"/>
                          </w:rPr>
                          <w:t>* Funding is managed by single fundholders in each jurisdiction</w:t>
                        </w:r>
                      </w:p>
                    </w:txbxContent>
                  </v:textbox>
                </v:shape>
                <w10:anchorlock/>
              </v:group>
            </w:pict>
          </mc:Fallback>
        </mc:AlternateContent>
      </w:r>
    </w:p>
    <w:p w14:paraId="1D587DD8" w14:textId="77777777" w:rsidR="00B61E70" w:rsidRPr="00884FAA" w:rsidRDefault="00B61E70" w:rsidP="00B61E70"/>
    <w:p w14:paraId="2070932B" w14:textId="1D0945D7" w:rsidR="00D32792" w:rsidRPr="00884FAA" w:rsidRDefault="00D32792" w:rsidP="00651D06">
      <w:pPr>
        <w:pStyle w:val="Heading3"/>
      </w:pPr>
      <w:r w:rsidRPr="00884FAA">
        <w:lastRenderedPageBreak/>
        <w:t xml:space="preserve">The majority of </w:t>
      </w:r>
      <w:r w:rsidR="00992A23" w:rsidRPr="00884FAA">
        <w:t xml:space="preserve">IAHP </w:t>
      </w:r>
      <w:r w:rsidRPr="00884FAA">
        <w:t>funding goes to ACCHSs</w:t>
      </w:r>
    </w:p>
    <w:p w14:paraId="3441FF31" w14:textId="745736FC" w:rsidR="0040741E" w:rsidRPr="00884FAA" w:rsidRDefault="0040741E" w:rsidP="00D32792">
      <w:r w:rsidRPr="00884FAA">
        <w:t xml:space="preserve">Most of the funding distributed under IAHP </w:t>
      </w:r>
      <w:r w:rsidR="00F7351A" w:rsidRPr="00884FAA">
        <w:t xml:space="preserve">goes directly to ACCHSs. </w:t>
      </w:r>
      <w:r w:rsidR="003B514E" w:rsidRPr="00884FAA">
        <w:t xml:space="preserve">There is also a further portion of funding that </w:t>
      </w:r>
      <w:r w:rsidR="0061465D" w:rsidRPr="00884FAA">
        <w:t xml:space="preserve">flows indirectly to ACCHSs through PHNs. </w:t>
      </w:r>
    </w:p>
    <w:p w14:paraId="097E7BB0" w14:textId="2D911304" w:rsidR="0012718D" w:rsidRPr="00884FAA" w:rsidRDefault="00B46C91" w:rsidP="00D32792">
      <w:r w:rsidRPr="00884FAA">
        <w:t>In 2021-22, 70.0% of total IAHP funding went to Aboriginal and Torres Strait Islander organisations, including ACCHSs and other Indigenous organisations</w:t>
      </w:r>
      <w:r w:rsidR="00D35B32" w:rsidRPr="00884FAA">
        <w:t xml:space="preserve"> </w:t>
      </w:r>
      <w:r w:rsidR="00B33891" w:rsidRPr="00884FAA">
        <w:t>(</w:t>
      </w:r>
      <w:r w:rsidR="00D35B32" w:rsidRPr="00884FAA">
        <w:fldChar w:fldCharType="begin"/>
      </w:r>
      <w:r w:rsidR="00D35B32" w:rsidRPr="00884FAA">
        <w:instrText xml:space="preserve"> REF _Ref130642373 \h </w:instrText>
      </w:r>
      <w:r w:rsidR="00D35B32" w:rsidRPr="00884FAA">
        <w:fldChar w:fldCharType="separate"/>
      </w:r>
      <w:r w:rsidR="00165B17" w:rsidRPr="00884FAA">
        <w:t xml:space="preserve">Figure </w:t>
      </w:r>
      <w:r w:rsidR="00165B17">
        <w:rPr>
          <w:noProof/>
        </w:rPr>
        <w:t>3</w:t>
      </w:r>
      <w:r w:rsidR="00165B17">
        <w:noBreakHyphen/>
      </w:r>
      <w:r w:rsidR="00165B17">
        <w:rPr>
          <w:noProof/>
        </w:rPr>
        <w:t>5</w:t>
      </w:r>
      <w:r w:rsidR="00D35B32" w:rsidRPr="00884FAA">
        <w:fldChar w:fldCharType="end"/>
      </w:r>
      <w:r w:rsidR="00B33891" w:rsidRPr="00884FAA">
        <w:t>)</w:t>
      </w:r>
      <w:r w:rsidRPr="00884FAA">
        <w:t>.</w:t>
      </w:r>
      <w:r w:rsidR="00D32792" w:rsidRPr="00884FAA">
        <w:t xml:space="preserve"> The remaining funding went to PHNs (11.2%), non-Indigenous organisations (10.3%)</w:t>
      </w:r>
      <w:r w:rsidR="00056F35" w:rsidRPr="00884FAA">
        <w:t>,</w:t>
      </w:r>
      <w:r w:rsidR="00D32792" w:rsidRPr="00884FAA">
        <w:t xml:space="preserve"> and government organisations (8.5%).</w:t>
      </w:r>
      <w:r w:rsidR="00D32792" w:rsidRPr="005D1C41">
        <w:rPr>
          <w:rStyle w:val="FootnoteReference"/>
        </w:rPr>
        <w:footnoteReference w:id="20"/>
      </w:r>
      <w:r w:rsidR="00D32792" w:rsidRPr="00884FAA">
        <w:t xml:space="preserve"> Some of this funding went indirectly to ACCHSs, for example through PHNs commissioning ACCHSs to deliver services under the </w:t>
      </w:r>
      <w:r w:rsidR="0012718D" w:rsidRPr="00884FAA">
        <w:t>m</w:t>
      </w:r>
      <w:r w:rsidR="00D32792" w:rsidRPr="00884FAA">
        <w:t xml:space="preserve">ental </w:t>
      </w:r>
      <w:r w:rsidR="0012718D" w:rsidRPr="00884FAA">
        <w:t>h</w:t>
      </w:r>
      <w:r w:rsidR="00D32792" w:rsidRPr="00884FAA">
        <w:t xml:space="preserve">ealth funding stream and the ITC program. </w:t>
      </w:r>
    </w:p>
    <w:p w14:paraId="19CA9C22" w14:textId="0D23E00F" w:rsidR="00D32792" w:rsidRPr="00884FAA" w:rsidRDefault="00612DBC" w:rsidP="00D32792">
      <w:r>
        <w:t>In 2022-23, t</w:t>
      </w:r>
      <w:r w:rsidR="00D32792" w:rsidRPr="00884FAA">
        <w:t xml:space="preserve">he </w:t>
      </w:r>
      <w:r w:rsidR="000F7ACE">
        <w:t>PHC Program</w:t>
      </w:r>
      <w:r w:rsidR="00D32792" w:rsidRPr="00884FAA">
        <w:t xml:space="preserve"> </w:t>
      </w:r>
      <w:r w:rsidR="008469FE">
        <w:t>funded</w:t>
      </w:r>
      <w:r w:rsidR="00D32792" w:rsidRPr="00884FAA">
        <w:t xml:space="preserve"> 162 organisations, of which 132 (81.5%) </w:t>
      </w:r>
      <w:r w:rsidR="008469FE">
        <w:t>were</w:t>
      </w:r>
      <w:r w:rsidR="00D32792" w:rsidRPr="00884FAA">
        <w:t xml:space="preserve"> ACCHSs</w:t>
      </w:r>
      <w:r w:rsidR="00B33891" w:rsidRPr="00884FAA">
        <w:t xml:space="preserve"> (</w:t>
      </w:r>
      <w:r w:rsidR="00B33891" w:rsidRPr="00884FAA">
        <w:fldChar w:fldCharType="begin"/>
      </w:r>
      <w:r w:rsidR="00B33891" w:rsidRPr="00884FAA">
        <w:instrText xml:space="preserve"> REF _Ref130642399 \h </w:instrText>
      </w:r>
      <w:r w:rsidR="00B33891" w:rsidRPr="00884FAA">
        <w:fldChar w:fldCharType="separate"/>
      </w:r>
      <w:r w:rsidR="00165B17" w:rsidRPr="00884FAA">
        <w:t xml:space="preserve">Figure </w:t>
      </w:r>
      <w:r w:rsidR="00165B17">
        <w:rPr>
          <w:noProof/>
        </w:rPr>
        <w:t>3</w:t>
      </w:r>
      <w:r w:rsidR="00165B17">
        <w:noBreakHyphen/>
      </w:r>
      <w:r w:rsidR="00165B17">
        <w:rPr>
          <w:noProof/>
        </w:rPr>
        <w:t>6</w:t>
      </w:r>
      <w:r w:rsidR="00B33891" w:rsidRPr="00884FAA">
        <w:fldChar w:fldCharType="end"/>
      </w:r>
      <w:r w:rsidR="00B33891" w:rsidRPr="00884FAA">
        <w:t>)</w:t>
      </w:r>
      <w:r w:rsidR="00D32792" w:rsidRPr="00884FAA">
        <w:t>.</w:t>
      </w:r>
      <w:r w:rsidR="00D32792" w:rsidRPr="005D1C41">
        <w:rPr>
          <w:rStyle w:val="FootnoteReference"/>
        </w:rPr>
        <w:footnoteReference w:id="21"/>
      </w:r>
    </w:p>
    <w:p w14:paraId="7B69C99C" w14:textId="25AAE669" w:rsidR="006754B2" w:rsidRPr="00884FAA" w:rsidRDefault="00636390" w:rsidP="00857094">
      <w:pPr>
        <w:pStyle w:val="TableFigure-Header"/>
        <w:rPr>
          <w:lang w:val="en-AU"/>
        </w:rPr>
      </w:pPr>
      <w:bookmarkStart w:id="101" w:name="_Ref130642373"/>
      <w:bookmarkStart w:id="102" w:name="_Toc138851316"/>
      <w:r w:rsidRPr="00884FAA">
        <w:rPr>
          <w:lang w:val="en-AU"/>
        </w:rPr>
        <w:t>Figure</w:t>
      </w:r>
      <w:r w:rsidR="006754B2"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5</w:t>
      </w:r>
      <w:r w:rsidR="005B4A4F">
        <w:rPr>
          <w:lang w:val="en-AU"/>
        </w:rPr>
        <w:fldChar w:fldCharType="end"/>
      </w:r>
      <w:bookmarkEnd w:id="101"/>
      <w:r w:rsidR="00857094" w:rsidRPr="00884FAA">
        <w:rPr>
          <w:lang w:val="en-AU"/>
        </w:rPr>
        <w:t>. IAHP funded organisations (% of funding)</w:t>
      </w:r>
      <w:r w:rsidR="00D8231C">
        <w:rPr>
          <w:lang w:val="en-AU"/>
        </w:rPr>
        <w:t>, 2021-22</w:t>
      </w:r>
      <w:bookmarkEnd w:id="102"/>
    </w:p>
    <w:p w14:paraId="51CE861B" w14:textId="77777777" w:rsidR="00D32792" w:rsidRPr="00884FAA" w:rsidRDefault="00D32792" w:rsidP="00D32792">
      <w:r w:rsidRPr="00884FAA">
        <w:rPr>
          <w:noProof/>
        </w:rPr>
        <w:drawing>
          <wp:inline distT="0" distB="0" distL="0" distR="0" wp14:anchorId="143BF235" wp14:editId="24FAAEDE">
            <wp:extent cx="5738495" cy="1260000"/>
            <wp:effectExtent l="0" t="0" r="14605" b="16510"/>
            <wp:docPr id="449" name="Chart 449" descr="Bar graph">
              <a:extLst xmlns:a="http://schemas.openxmlformats.org/drawingml/2006/main">
                <a:ext uri="{FF2B5EF4-FFF2-40B4-BE49-F238E27FC236}">
                  <a16:creationId xmlns:a16="http://schemas.microsoft.com/office/drawing/2014/main" id="{339996F2-F854-F862-B41A-0DE9553D4B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3C9C04D" w14:textId="7B73B1A9" w:rsidR="006754B2" w:rsidRPr="00884FAA" w:rsidRDefault="00636390" w:rsidP="00857094">
      <w:pPr>
        <w:pStyle w:val="TableFigure-Header"/>
        <w:rPr>
          <w:lang w:val="en-AU"/>
        </w:rPr>
      </w:pPr>
      <w:bookmarkStart w:id="103" w:name="_Ref130642399"/>
      <w:bookmarkStart w:id="104" w:name="_Toc138851317"/>
      <w:r w:rsidRPr="00884FAA">
        <w:rPr>
          <w:lang w:val="en-AU"/>
        </w:rPr>
        <w:t>Figure</w:t>
      </w:r>
      <w:r w:rsidR="006754B2"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6</w:t>
      </w:r>
      <w:r w:rsidR="005B4A4F">
        <w:rPr>
          <w:lang w:val="en-AU"/>
        </w:rPr>
        <w:fldChar w:fldCharType="end"/>
      </w:r>
      <w:bookmarkEnd w:id="103"/>
      <w:r w:rsidR="006754B2" w:rsidRPr="00884FAA">
        <w:rPr>
          <w:lang w:val="en-AU"/>
        </w:rPr>
        <w:t xml:space="preserve">. IAHP </w:t>
      </w:r>
      <w:r w:rsidR="000F7ACE">
        <w:rPr>
          <w:lang w:val="en-AU"/>
        </w:rPr>
        <w:t>PHC Program</w:t>
      </w:r>
      <w:r w:rsidR="006754B2" w:rsidRPr="00884FAA">
        <w:rPr>
          <w:lang w:val="en-AU"/>
        </w:rPr>
        <w:t xml:space="preserve"> funded organisations (% of funded organisations)</w:t>
      </w:r>
      <w:r w:rsidR="00D8231C">
        <w:rPr>
          <w:lang w:val="en-AU"/>
        </w:rPr>
        <w:t>, 2022-23</w:t>
      </w:r>
      <w:bookmarkEnd w:id="104"/>
    </w:p>
    <w:p w14:paraId="04451FDF" w14:textId="78C87408" w:rsidR="00835ED0" w:rsidRPr="00884FAA" w:rsidRDefault="00D32792" w:rsidP="00C17800">
      <w:pPr>
        <w:spacing w:after="360"/>
      </w:pPr>
      <w:r w:rsidRPr="00884FAA">
        <w:rPr>
          <w:noProof/>
        </w:rPr>
        <w:drawing>
          <wp:inline distT="0" distB="0" distL="0" distR="0" wp14:anchorId="33AA59E4" wp14:editId="43E1ADD7">
            <wp:extent cx="5759355" cy="1260000"/>
            <wp:effectExtent l="0" t="0" r="13335" b="16510"/>
            <wp:docPr id="450" name="Chart 450" descr="Bar graph">
              <a:extLst xmlns:a="http://schemas.openxmlformats.org/drawingml/2006/main">
                <a:ext uri="{FF2B5EF4-FFF2-40B4-BE49-F238E27FC236}">
                  <a16:creationId xmlns:a16="http://schemas.microsoft.com/office/drawing/2014/main" id="{D10B35A4-3C7E-1091-BE67-332C38FA6B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6412824" w14:textId="77777777" w:rsidR="001217A7" w:rsidRDefault="001217A7">
      <w:pPr>
        <w:jc w:val="left"/>
        <w:rPr>
          <w:b/>
          <w:color w:val="9E6047" w:themeColor="accent3"/>
          <w:kern w:val="28"/>
          <w:sz w:val="32"/>
          <w:szCs w:val="28"/>
          <w:highlight w:val="lightGray"/>
          <w:lang w:eastAsia="en-GB"/>
        </w:rPr>
      </w:pPr>
      <w:r>
        <w:rPr>
          <w:highlight w:val="lightGray"/>
        </w:rPr>
        <w:br w:type="page"/>
      </w:r>
    </w:p>
    <w:p w14:paraId="5A3A2657" w14:textId="2FE34A4E" w:rsidR="00932B86" w:rsidRPr="00884FAA" w:rsidRDefault="00F724C1" w:rsidP="00651D06">
      <w:pPr>
        <w:pStyle w:val="Heading3"/>
      </w:pPr>
      <w:r w:rsidRPr="00884FAA">
        <w:lastRenderedPageBreak/>
        <w:t>IAHP f</w:t>
      </w:r>
      <w:r w:rsidR="000F3A3F" w:rsidRPr="00884FAA">
        <w:t>unding by state</w:t>
      </w:r>
      <w:r w:rsidRPr="00884FAA">
        <w:t xml:space="preserve"> and</w:t>
      </w:r>
      <w:r w:rsidR="000F3A3F" w:rsidRPr="00884FAA">
        <w:t xml:space="preserve"> territory </w:t>
      </w:r>
    </w:p>
    <w:p w14:paraId="5F4DFB36" w14:textId="07D325AB" w:rsidR="00B02203" w:rsidRDefault="007C2A7E" w:rsidP="002B40E0">
      <w:r w:rsidRPr="00884FAA">
        <w:t>In 202</w:t>
      </w:r>
      <w:r w:rsidR="006B62FF">
        <w:t>1</w:t>
      </w:r>
      <w:r w:rsidRPr="00884FAA">
        <w:t>-2</w:t>
      </w:r>
      <w:r w:rsidR="006B62FF">
        <w:t>2</w:t>
      </w:r>
      <w:r w:rsidRPr="00884FAA">
        <w:t xml:space="preserve">, </w:t>
      </w:r>
      <w:r w:rsidR="00B872A8">
        <w:t xml:space="preserve">organisations in the NT received the highest proportion of IAHP funding </w:t>
      </w:r>
      <w:r w:rsidR="00A00E36">
        <w:t>at 24.1%</w:t>
      </w:r>
      <w:r w:rsidR="00E700CF">
        <w:t xml:space="preserve">, followed by </w:t>
      </w:r>
      <w:r w:rsidR="00E700CF" w:rsidRPr="00884FAA">
        <w:t>Queensland (20.4%), NSW (19.7%)</w:t>
      </w:r>
      <w:r w:rsidR="008F4675">
        <w:t xml:space="preserve"> and WA (14.2%)</w:t>
      </w:r>
      <w:r w:rsidR="000B07E3">
        <w:t xml:space="preserve"> (</w:t>
      </w:r>
      <w:r w:rsidR="00A8662F">
        <w:fldChar w:fldCharType="begin"/>
      </w:r>
      <w:r w:rsidR="00A8662F">
        <w:instrText xml:space="preserve"> REF _Ref136946341 \h </w:instrText>
      </w:r>
      <w:r w:rsidR="00A8662F">
        <w:fldChar w:fldCharType="separate"/>
      </w:r>
      <w:r w:rsidR="00165B17">
        <w:t xml:space="preserve">Figure </w:t>
      </w:r>
      <w:r w:rsidR="00165B17">
        <w:rPr>
          <w:noProof/>
        </w:rPr>
        <w:t>3</w:t>
      </w:r>
      <w:r w:rsidR="00165B17">
        <w:noBreakHyphen/>
      </w:r>
      <w:r w:rsidR="00165B17">
        <w:rPr>
          <w:noProof/>
        </w:rPr>
        <w:t>7</w:t>
      </w:r>
      <w:r w:rsidR="00A8662F">
        <w:fldChar w:fldCharType="end"/>
      </w:r>
      <w:r w:rsidR="000B07E3">
        <w:t>)</w:t>
      </w:r>
      <w:r w:rsidR="00D86F09">
        <w:t>.</w:t>
      </w:r>
    </w:p>
    <w:p w14:paraId="1BCAE34B" w14:textId="15E5069E" w:rsidR="00DC2C6C" w:rsidRPr="00884FAA" w:rsidRDefault="00DC2C6C" w:rsidP="00DC2C6C">
      <w:pPr>
        <w:pStyle w:val="TableFigure-Header"/>
      </w:pPr>
      <w:bookmarkStart w:id="105" w:name="_Ref136946341"/>
      <w:bookmarkStart w:id="106" w:name="_Toc138851318"/>
      <w:r>
        <w:t xml:space="preserve">Figure </w:t>
      </w:r>
      <w:r w:rsidR="005B4A4F">
        <w:fldChar w:fldCharType="begin"/>
      </w:r>
      <w:r w:rsidR="005B4A4F">
        <w:instrText xml:space="preserve"> STYLEREF 1 \s </w:instrText>
      </w:r>
      <w:r w:rsidR="005B4A4F">
        <w:fldChar w:fldCharType="separate"/>
      </w:r>
      <w:r w:rsidR="00165B17">
        <w:rPr>
          <w:noProof/>
        </w:rPr>
        <w:t>3</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7</w:t>
      </w:r>
      <w:r w:rsidR="005B4A4F">
        <w:fldChar w:fldCharType="end"/>
      </w:r>
      <w:bookmarkEnd w:id="105"/>
      <w:r>
        <w:t>. IAHP funding by state and territory, 2021-22</w:t>
      </w:r>
      <w:bookmarkEnd w:id="106"/>
    </w:p>
    <w:p w14:paraId="296F648B" w14:textId="77777777" w:rsidR="007C2A7E" w:rsidRPr="00884FAA" w:rsidRDefault="007C2A7E" w:rsidP="007C2A7E">
      <w:pPr>
        <w:pStyle w:val="TableFigure-Header"/>
        <w:rPr>
          <w:szCs w:val="21"/>
          <w:lang w:val="en-AU"/>
        </w:rPr>
      </w:pPr>
      <w:r w:rsidRPr="00884FAA">
        <w:rPr>
          <w:noProof/>
          <w:lang w:val="en-AU"/>
        </w:rPr>
        <w:drawing>
          <wp:inline distT="0" distB="0" distL="0" distR="0" wp14:anchorId="03663B23" wp14:editId="3CBA7DD4">
            <wp:extent cx="5724525" cy="2520000"/>
            <wp:effectExtent l="0" t="0" r="9525" b="13970"/>
            <wp:docPr id="461" name="Chart 461" descr="Bar graph">
              <a:extLst xmlns:a="http://schemas.openxmlformats.org/drawingml/2006/main">
                <a:ext uri="{FF2B5EF4-FFF2-40B4-BE49-F238E27FC236}">
                  <a16:creationId xmlns:a16="http://schemas.microsoft.com/office/drawing/2014/main" id="{53452E4E-451A-ECF5-DF8A-28B494F1AC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884FAA">
        <w:rPr>
          <w:lang w:val="en-AU"/>
        </w:rPr>
        <w:t xml:space="preserve"> </w:t>
      </w:r>
    </w:p>
    <w:p w14:paraId="31710422" w14:textId="77777777" w:rsidR="007C2A7E" w:rsidRPr="00884FAA" w:rsidRDefault="007C2A7E" w:rsidP="00854AB2">
      <w:pPr>
        <w:pStyle w:val="TableFigure-Header"/>
        <w:spacing w:before="60"/>
        <w:rPr>
          <w:b w:val="0"/>
          <w:bCs/>
          <w:lang w:val="en-AU"/>
        </w:rPr>
      </w:pPr>
      <w:r w:rsidRPr="00884FAA">
        <w:rPr>
          <w:b w:val="0"/>
          <w:bCs/>
          <w:lang w:val="en-AU"/>
        </w:rPr>
        <w:t>Source: Data provided by the Department of Health and Aged Care, March 2022.</w:t>
      </w:r>
    </w:p>
    <w:p w14:paraId="57B86BCF" w14:textId="6C053152" w:rsidR="007C2A7E" w:rsidRDefault="007C2A7E" w:rsidP="00854AB2">
      <w:pPr>
        <w:pStyle w:val="TableFigure-Header"/>
        <w:spacing w:before="60" w:after="360"/>
        <w:rPr>
          <w:b w:val="0"/>
          <w:bCs/>
          <w:lang w:val="en-AU"/>
        </w:rPr>
      </w:pPr>
      <w:r w:rsidRPr="00884FAA">
        <w:rPr>
          <w:b w:val="0"/>
          <w:bCs/>
          <w:lang w:val="en-AU"/>
        </w:rPr>
        <w:t xml:space="preserve">Note: Figures are calculated based on the </w:t>
      </w:r>
      <w:r w:rsidR="002110CD">
        <w:rPr>
          <w:b w:val="0"/>
          <w:bCs/>
          <w:lang w:val="en-AU"/>
        </w:rPr>
        <w:t xml:space="preserve">state or territory of </w:t>
      </w:r>
      <w:r w:rsidRPr="00884FAA">
        <w:rPr>
          <w:b w:val="0"/>
          <w:bCs/>
          <w:lang w:val="en-AU"/>
        </w:rPr>
        <w:t>organisations</w:t>
      </w:r>
      <w:r w:rsidR="00B4199B">
        <w:rPr>
          <w:b w:val="0"/>
          <w:bCs/>
          <w:lang w:val="en-AU"/>
        </w:rPr>
        <w:t>’</w:t>
      </w:r>
      <w:r w:rsidRPr="00884FAA">
        <w:rPr>
          <w:b w:val="0"/>
          <w:bCs/>
          <w:lang w:val="en-AU"/>
        </w:rPr>
        <w:t xml:space="preserve"> business address.</w:t>
      </w:r>
    </w:p>
    <w:p w14:paraId="6842B8E1" w14:textId="77777777" w:rsidR="00241678" w:rsidRDefault="00241678">
      <w:pPr>
        <w:jc w:val="left"/>
        <w:rPr>
          <w:b/>
          <w:color w:val="9E6047" w:themeColor="accent3"/>
          <w:kern w:val="28"/>
          <w:sz w:val="32"/>
          <w:szCs w:val="28"/>
          <w:lang w:val="en-GB" w:eastAsia="en-GB"/>
        </w:rPr>
      </w:pPr>
      <w:r>
        <w:br w:type="page"/>
      </w:r>
    </w:p>
    <w:p w14:paraId="2162D000" w14:textId="32650377" w:rsidR="00041A7B" w:rsidRPr="00884FAA" w:rsidRDefault="00041A7B" w:rsidP="00651D06">
      <w:pPr>
        <w:pStyle w:val="Heading3"/>
      </w:pPr>
      <w:r w:rsidRPr="00884FAA">
        <w:lastRenderedPageBreak/>
        <w:t xml:space="preserve">IAHP funding </w:t>
      </w:r>
      <w:r w:rsidR="0046567C" w:rsidRPr="00884FAA">
        <w:t xml:space="preserve">by population </w:t>
      </w:r>
    </w:p>
    <w:p w14:paraId="06A4FAA1" w14:textId="363E9ED5" w:rsidR="00854AB2" w:rsidRPr="00884FAA" w:rsidRDefault="00854AB2" w:rsidP="00854AB2">
      <w:r w:rsidRPr="00855804">
        <w:t xml:space="preserve">On a population basis, </w:t>
      </w:r>
      <w:r w:rsidR="00576C4B" w:rsidRPr="00855804">
        <w:t xml:space="preserve">total </w:t>
      </w:r>
      <w:r w:rsidRPr="00855804">
        <w:t xml:space="preserve">IAHP </w:t>
      </w:r>
      <w:r w:rsidR="00576C4B" w:rsidRPr="00855804">
        <w:t xml:space="preserve">grant funding </w:t>
      </w:r>
      <w:r w:rsidRPr="00855804">
        <w:t>expenditure was significantly higher in the NT than other states and territories</w:t>
      </w:r>
      <w:r w:rsidR="008F0273" w:rsidRPr="00855804">
        <w:t xml:space="preserve"> (</w:t>
      </w:r>
      <w:r w:rsidR="008F0273" w:rsidRPr="00855804">
        <w:fldChar w:fldCharType="begin"/>
      </w:r>
      <w:r w:rsidR="008F0273" w:rsidRPr="00855804">
        <w:instrText xml:space="preserve"> REF _Ref130643500 \h </w:instrText>
      </w:r>
      <w:r w:rsidR="00855804">
        <w:instrText xml:space="preserve"> \* MERGEFORMAT </w:instrText>
      </w:r>
      <w:r w:rsidR="008F0273" w:rsidRPr="00855804">
        <w:fldChar w:fldCharType="separate"/>
      </w:r>
      <w:r w:rsidR="00165B17" w:rsidRPr="00884FAA">
        <w:t xml:space="preserve">Figure </w:t>
      </w:r>
      <w:r w:rsidR="00165B17">
        <w:rPr>
          <w:noProof/>
        </w:rPr>
        <w:t>3</w:t>
      </w:r>
      <w:r w:rsidR="00165B17">
        <w:rPr>
          <w:noProof/>
        </w:rPr>
        <w:noBreakHyphen/>
        <w:t>8</w:t>
      </w:r>
      <w:r w:rsidR="008F0273" w:rsidRPr="00855804">
        <w:fldChar w:fldCharType="end"/>
      </w:r>
      <w:r w:rsidR="008F0273" w:rsidRPr="00855804">
        <w:t>)</w:t>
      </w:r>
      <w:r w:rsidRPr="00855804">
        <w:t>, at $2,878 per Aboriginal or Torres Strait Islander person</w:t>
      </w:r>
      <w:r w:rsidR="000A1835" w:rsidRPr="00855804">
        <w:t>. This compares</w:t>
      </w:r>
      <w:r w:rsidRPr="00855804">
        <w:t xml:space="preserve"> with a national average of $1,005 per </w:t>
      </w:r>
      <w:r w:rsidR="00361F76" w:rsidRPr="00855804">
        <w:t xml:space="preserve">Aboriginal or Torres Strait Islander </w:t>
      </w:r>
      <w:r w:rsidRPr="00855804">
        <w:t xml:space="preserve">person in 2019-20. This reflects several factors, including </w:t>
      </w:r>
      <w:r w:rsidR="005972EE" w:rsidRPr="00855804">
        <w:t xml:space="preserve">that </w:t>
      </w:r>
      <w:r w:rsidRPr="00855804">
        <w:t xml:space="preserve">the vast majority of the </w:t>
      </w:r>
      <w:r w:rsidR="000A6F84" w:rsidRPr="00855804">
        <w:t xml:space="preserve">Aboriginal or Torres Strait Islander </w:t>
      </w:r>
      <w:r w:rsidRPr="00855804">
        <w:t xml:space="preserve">population in the NT </w:t>
      </w:r>
      <w:r w:rsidR="007E109F" w:rsidRPr="00855804">
        <w:t>receives primary care services from ACCHSs or NT government clinics, both of which receive IAHP funding</w:t>
      </w:r>
      <w:r w:rsidR="00855804">
        <w:t>. Furthermore,</w:t>
      </w:r>
      <w:r w:rsidR="00855804" w:rsidRPr="00855804">
        <w:t xml:space="preserve"> the majority of ACCHSs in the NT are in </w:t>
      </w:r>
      <w:r w:rsidRPr="00855804">
        <w:t>remote or very remote areas</w:t>
      </w:r>
      <w:r w:rsidR="00855804" w:rsidRPr="00855804">
        <w:t xml:space="preserve"> and therefore attract a higher weighting under the</w:t>
      </w:r>
      <w:r w:rsidR="000E4AF6" w:rsidRPr="00855804">
        <w:t xml:space="preserve"> </w:t>
      </w:r>
      <w:r w:rsidR="000F7ACE" w:rsidRPr="00855804">
        <w:t>PHC Program</w:t>
      </w:r>
      <w:r w:rsidR="000E4AF6" w:rsidRPr="00855804">
        <w:t xml:space="preserve"> funding </w:t>
      </w:r>
      <w:r w:rsidR="00515F48" w:rsidRPr="00855804">
        <w:t>model</w:t>
      </w:r>
      <w:r w:rsidRPr="00855804">
        <w:t>.</w:t>
      </w:r>
      <w:r w:rsidRPr="00884FAA">
        <w:t xml:space="preserve"> </w:t>
      </w:r>
    </w:p>
    <w:p w14:paraId="48522014" w14:textId="6B5CCEBE" w:rsidR="00957361" w:rsidRPr="00884FAA" w:rsidRDefault="00636390" w:rsidP="00957361">
      <w:pPr>
        <w:pStyle w:val="Caption"/>
      </w:pPr>
      <w:bookmarkStart w:id="107" w:name="_Ref130643500"/>
      <w:bookmarkStart w:id="108" w:name="_Toc138851319"/>
      <w:r w:rsidRPr="00884FAA">
        <w:t>Figure</w:t>
      </w:r>
      <w:r w:rsidR="00957361" w:rsidRPr="00884FAA">
        <w:t xml:space="preserve"> </w:t>
      </w:r>
      <w:r w:rsidR="005B4A4F">
        <w:fldChar w:fldCharType="begin"/>
      </w:r>
      <w:r w:rsidR="005B4A4F">
        <w:instrText xml:space="preserve"> STYLEREF 1 \s </w:instrText>
      </w:r>
      <w:r w:rsidR="005B4A4F">
        <w:fldChar w:fldCharType="separate"/>
      </w:r>
      <w:r w:rsidR="00165B17">
        <w:rPr>
          <w:noProof/>
        </w:rPr>
        <w:t>3</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8</w:t>
      </w:r>
      <w:r w:rsidR="005B4A4F">
        <w:fldChar w:fldCharType="end"/>
      </w:r>
      <w:bookmarkEnd w:id="107"/>
      <w:r w:rsidR="00957361" w:rsidRPr="00884FAA">
        <w:t>. IAHP funding per Indigenous person</w:t>
      </w:r>
      <w:r w:rsidR="00637128">
        <w:t xml:space="preserve"> by state and territory</w:t>
      </w:r>
      <w:r w:rsidR="00957361" w:rsidRPr="00884FAA">
        <w:t>, 2019-20</w:t>
      </w:r>
      <w:bookmarkEnd w:id="108"/>
    </w:p>
    <w:p w14:paraId="4C891A6E" w14:textId="77777777" w:rsidR="00957361" w:rsidRPr="00884FAA" w:rsidRDefault="00957361" w:rsidP="00957361">
      <w:pPr>
        <w:keepNext/>
        <w:spacing w:after="40"/>
      </w:pPr>
      <w:r w:rsidRPr="00884FAA">
        <w:rPr>
          <w:noProof/>
        </w:rPr>
        <w:drawing>
          <wp:inline distT="0" distB="0" distL="0" distR="0" wp14:anchorId="0521678B" wp14:editId="3A7223E3">
            <wp:extent cx="5733415" cy="2520000"/>
            <wp:effectExtent l="0" t="0" r="635" b="13970"/>
            <wp:docPr id="462" name="Chart 462" descr="Bar graph">
              <a:extLst xmlns:a="http://schemas.openxmlformats.org/drawingml/2006/main">
                <a:ext uri="{FF2B5EF4-FFF2-40B4-BE49-F238E27FC236}">
                  <a16:creationId xmlns:a16="http://schemas.microsoft.com/office/drawing/2014/main" id="{0C6BEBDA-F407-3E41-2EF8-5FD66BC687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2C7D2F7" w14:textId="77777777" w:rsidR="00957361" w:rsidRPr="00884FAA" w:rsidRDefault="00957361" w:rsidP="00957361">
      <w:pPr>
        <w:keepNext/>
        <w:keepLines/>
        <w:spacing w:after="60" w:line="240" w:lineRule="auto"/>
        <w:rPr>
          <w:sz w:val="21"/>
          <w:szCs w:val="21"/>
        </w:rPr>
      </w:pPr>
      <w:r w:rsidRPr="00884FAA">
        <w:rPr>
          <w:sz w:val="21"/>
          <w:szCs w:val="21"/>
        </w:rPr>
        <w:t>Source: Data provided by the Department of Health and Aged Care, March 2022; ABS</w:t>
      </w:r>
      <w:r w:rsidRPr="00884FAA">
        <w:rPr>
          <w:rFonts w:ascii="Arial" w:hAnsi="Arial" w:cs="Arial"/>
          <w:b/>
          <w:bCs/>
          <w:color w:val="000000"/>
          <w:sz w:val="21"/>
          <w:szCs w:val="21"/>
        </w:rPr>
        <w:t xml:space="preserve"> </w:t>
      </w:r>
      <w:r w:rsidRPr="00884FAA">
        <w:rPr>
          <w:rFonts w:ascii="Arial" w:hAnsi="Arial" w:cs="Arial"/>
          <w:color w:val="000000"/>
          <w:sz w:val="21"/>
          <w:szCs w:val="21"/>
        </w:rPr>
        <w:t>Estimates and Projections, Aboriginal and Torres Strait Islander Australians, 2006 to 2031.</w:t>
      </w:r>
    </w:p>
    <w:p w14:paraId="40F0A885" w14:textId="77777777" w:rsidR="00A33464" w:rsidRDefault="00957361">
      <w:pPr>
        <w:jc w:val="left"/>
        <w:rPr>
          <w:bCs/>
        </w:rPr>
      </w:pPr>
      <w:r w:rsidRPr="00884FAA">
        <w:rPr>
          <w:sz w:val="21"/>
          <w:szCs w:val="21"/>
        </w:rPr>
        <w:t xml:space="preserve">Note: </w:t>
      </w:r>
      <w:r w:rsidR="008A5C13" w:rsidRPr="00884FAA">
        <w:rPr>
          <w:bCs/>
        </w:rPr>
        <w:t xml:space="preserve">Figures are calculated based on </w:t>
      </w:r>
      <w:r w:rsidR="008A5C13" w:rsidRPr="008A5C13">
        <w:rPr>
          <w:bCs/>
        </w:rPr>
        <w:t>the state or territory of organisations’</w:t>
      </w:r>
      <w:r w:rsidR="008A5C13" w:rsidRPr="00884FAA">
        <w:rPr>
          <w:bCs/>
        </w:rPr>
        <w:t xml:space="preserve"> business address.</w:t>
      </w:r>
    </w:p>
    <w:p w14:paraId="70C65DB9" w14:textId="77777777" w:rsidR="00165B17" w:rsidRPr="00077075" w:rsidRDefault="009D10C1" w:rsidP="00D82FBC">
      <w:r w:rsidRPr="00884FAA">
        <w:fldChar w:fldCharType="begin"/>
      </w:r>
      <w:r w:rsidRPr="00884FAA">
        <w:instrText xml:space="preserve"> REF _Ref130643620 \h </w:instrText>
      </w:r>
      <w:r w:rsidR="00D82FBC">
        <w:instrText xml:space="preserve"> \* MERGEFORMAT </w:instrText>
      </w:r>
      <w:r w:rsidRPr="00884FAA">
        <w:fldChar w:fldCharType="separate"/>
      </w:r>
    </w:p>
    <w:p w14:paraId="691D1A50" w14:textId="645E8F0F" w:rsidR="00707880" w:rsidRPr="00077075" w:rsidRDefault="00165B17" w:rsidP="00D82FBC">
      <w:r w:rsidRPr="00884FAA">
        <w:t xml:space="preserve">Figure </w:t>
      </w:r>
      <w:r>
        <w:t>3</w:t>
      </w:r>
      <w:r>
        <w:noBreakHyphen/>
        <w:t>9</w:t>
      </w:r>
      <w:r w:rsidR="009D10C1" w:rsidRPr="00884FAA">
        <w:fldChar w:fldCharType="end"/>
      </w:r>
      <w:r w:rsidR="007C2A7E" w:rsidRPr="00884FAA">
        <w:t xml:space="preserve"> shows client numbers for organisations </w:t>
      </w:r>
      <w:r w:rsidR="00D32B4B">
        <w:t xml:space="preserve">that </w:t>
      </w:r>
      <w:r w:rsidR="00D66904">
        <w:t xml:space="preserve">are funded under the IAHP </w:t>
      </w:r>
      <w:r w:rsidR="002D01C0">
        <w:t>to deliver comprehensive PHC</w:t>
      </w:r>
      <w:r w:rsidR="007C2A7E" w:rsidRPr="00884FAA">
        <w:t>.</w:t>
      </w:r>
      <w:r w:rsidR="006C2DB2" w:rsidRPr="005D1C41">
        <w:rPr>
          <w:rStyle w:val="FootnoteReference"/>
        </w:rPr>
        <w:footnoteReference w:id="22"/>
      </w:r>
      <w:r w:rsidR="007C2A7E" w:rsidRPr="00884FAA">
        <w:t xml:space="preserve"> It illustrates the high proportion of clients in the NT, and to a less</w:t>
      </w:r>
      <w:r w:rsidR="00F32F8D" w:rsidRPr="00884FAA">
        <w:t>e</w:t>
      </w:r>
      <w:r w:rsidR="007C2A7E" w:rsidRPr="00884FAA">
        <w:t xml:space="preserve">r extent WA and Queensland, who attend non-ACCHS </w:t>
      </w:r>
      <w:r w:rsidR="00896AF6">
        <w:t xml:space="preserve">IAHP </w:t>
      </w:r>
      <w:r w:rsidR="007C2A7E" w:rsidRPr="00884FAA">
        <w:t xml:space="preserve">funded organisations (predominantly state and territory government primary care clinics). It also shows the high proportion of the Aboriginal and Torres Strait Islander population that attend any </w:t>
      </w:r>
      <w:r w:rsidR="00896AF6">
        <w:t>IAHP</w:t>
      </w:r>
      <w:r w:rsidR="007C2A7E" w:rsidRPr="00884FAA">
        <w:t xml:space="preserve"> funded service in the NT; in this case the number of clients is higher than the total NT Indigenous </w:t>
      </w:r>
      <w:r w:rsidR="007C2A7E" w:rsidRPr="00884FAA">
        <w:lastRenderedPageBreak/>
        <w:t>population.</w:t>
      </w:r>
      <w:r w:rsidR="007C2A7E" w:rsidRPr="005D1C41">
        <w:rPr>
          <w:rStyle w:val="FootnoteReference"/>
        </w:rPr>
        <w:footnoteReference w:id="23"/>
      </w:r>
      <w:r w:rsidR="007C2A7E" w:rsidRPr="00884FAA">
        <w:t xml:space="preserve"> </w:t>
      </w:r>
      <w:r w:rsidR="00D243C3">
        <w:t>In other states and territories (NSW/ACT</w:t>
      </w:r>
      <w:r w:rsidR="00AF1894">
        <w:t xml:space="preserve"> and Victoria/Tasmania in particular) it shows that less than half of the </w:t>
      </w:r>
      <w:r w:rsidR="00942652" w:rsidRPr="00884FAA">
        <w:t>Aboriginal and Torres Strait Islander population</w:t>
      </w:r>
      <w:r w:rsidR="00942652">
        <w:t xml:space="preserve"> attend </w:t>
      </w:r>
      <w:r w:rsidR="001E2BEE">
        <w:t>IAHP funded organisa</w:t>
      </w:r>
      <w:r w:rsidR="00077075">
        <w:t>tions</w:t>
      </w:r>
      <w:r w:rsidR="001E2BEE">
        <w:t>.</w:t>
      </w:r>
      <w:bookmarkStart w:id="109" w:name="_Ref130643620"/>
    </w:p>
    <w:p w14:paraId="69F6865B" w14:textId="1EC09C2E" w:rsidR="009D10C1" w:rsidRPr="0076377E" w:rsidRDefault="00636390" w:rsidP="0076377E">
      <w:pPr>
        <w:pStyle w:val="TableFigure-Header"/>
        <w:rPr>
          <w:lang w:val="en-AU"/>
        </w:rPr>
      </w:pPr>
      <w:bookmarkStart w:id="110" w:name="_Ref138844968"/>
      <w:bookmarkStart w:id="111" w:name="_Toc138851320"/>
      <w:r w:rsidRPr="00884FAA">
        <w:rPr>
          <w:lang w:val="en-AU"/>
        </w:rPr>
        <w:t>Figure</w:t>
      </w:r>
      <w:r w:rsidR="009D10C1"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9</w:t>
      </w:r>
      <w:r w:rsidR="005B4A4F">
        <w:rPr>
          <w:lang w:val="en-AU"/>
        </w:rPr>
        <w:fldChar w:fldCharType="end"/>
      </w:r>
      <w:bookmarkEnd w:id="109"/>
      <w:bookmarkEnd w:id="110"/>
      <w:r w:rsidR="009D10C1" w:rsidRPr="00884FAA">
        <w:rPr>
          <w:lang w:val="en-AU"/>
        </w:rPr>
        <w:t xml:space="preserve">. Number of clients of </w:t>
      </w:r>
      <w:r w:rsidR="00077075">
        <w:rPr>
          <w:lang w:val="en-AU"/>
        </w:rPr>
        <w:t>IAHP</w:t>
      </w:r>
      <w:r w:rsidR="009D10C1" w:rsidRPr="00884FAA">
        <w:rPr>
          <w:lang w:val="en-AU"/>
        </w:rPr>
        <w:t xml:space="preserve"> funded organisations and total Aboriginal and Torres Strait Islander population</w:t>
      </w:r>
      <w:r w:rsidR="00066BAD">
        <w:rPr>
          <w:lang w:val="en-AU"/>
        </w:rPr>
        <w:t xml:space="preserve"> by state and territory</w:t>
      </w:r>
      <w:bookmarkEnd w:id="111"/>
    </w:p>
    <w:p w14:paraId="62B157A8" w14:textId="31185E6A" w:rsidR="007C2A7E" w:rsidRPr="00884FAA" w:rsidRDefault="002673DB" w:rsidP="007C2A7E">
      <w:pPr>
        <w:keepNext/>
        <w:spacing w:after="40"/>
      </w:pPr>
      <w:r w:rsidRPr="00884FAA">
        <w:rPr>
          <w:noProof/>
        </w:rPr>
        <w:drawing>
          <wp:inline distT="0" distB="0" distL="0" distR="0" wp14:anchorId="46F38529" wp14:editId="310C8B1A">
            <wp:extent cx="5733415" cy="2520000"/>
            <wp:effectExtent l="0" t="0" r="635" b="13970"/>
            <wp:docPr id="38" name="Chart 38" descr="Bar graph">
              <a:extLst xmlns:a="http://schemas.openxmlformats.org/drawingml/2006/main">
                <a:ext uri="{FF2B5EF4-FFF2-40B4-BE49-F238E27FC236}">
                  <a16:creationId xmlns:a16="http://schemas.microsoft.com/office/drawing/2014/main" id="{64216A58-1B34-9C70-38E8-CAA5E9217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87CB414" w14:textId="19D24A2E" w:rsidR="007C2A7E" w:rsidRPr="00884FAA" w:rsidRDefault="007C2A7E" w:rsidP="007C2A7E">
      <w:pPr>
        <w:spacing w:after="360" w:line="240" w:lineRule="auto"/>
        <w:rPr>
          <w:b/>
          <w:bCs/>
        </w:rPr>
      </w:pPr>
      <w:r w:rsidRPr="00884FAA">
        <w:rPr>
          <w:sz w:val="21"/>
          <w:szCs w:val="21"/>
        </w:rPr>
        <w:t xml:space="preserve">Source: </w:t>
      </w:r>
      <w:r w:rsidR="0076377E">
        <w:rPr>
          <w:sz w:val="21"/>
          <w:szCs w:val="21"/>
        </w:rPr>
        <w:t xml:space="preserve">Data from </w:t>
      </w:r>
      <w:r w:rsidRPr="00884FAA">
        <w:rPr>
          <w:sz w:val="21"/>
          <w:szCs w:val="21"/>
        </w:rPr>
        <w:t>OSR; ABS</w:t>
      </w:r>
      <w:r w:rsidRPr="00884FAA">
        <w:t xml:space="preserve"> </w:t>
      </w:r>
      <w:r w:rsidRPr="00884FAA">
        <w:rPr>
          <w:sz w:val="21"/>
          <w:szCs w:val="21"/>
        </w:rPr>
        <w:t>Estimates</w:t>
      </w:r>
      <w:r w:rsidRPr="00884FAA">
        <w:rPr>
          <w:rFonts w:ascii="Arial" w:hAnsi="Arial" w:cs="Arial"/>
          <w:color w:val="000000"/>
          <w:sz w:val="21"/>
          <w:szCs w:val="21"/>
        </w:rPr>
        <w:t xml:space="preserve"> and Projections, Aboriginal and Torres Strait Islander Australians, 2006 to 2031.</w:t>
      </w:r>
    </w:p>
    <w:p w14:paraId="52334390" w14:textId="77777777" w:rsidR="00165B17" w:rsidRPr="00241678" w:rsidRDefault="008F1A65" w:rsidP="00ED1064">
      <w:r w:rsidRPr="005B3B01">
        <w:fldChar w:fldCharType="begin"/>
      </w:r>
      <w:r w:rsidRPr="005B3B01">
        <w:instrText xml:space="preserve"> REF _Ref130644429 \h </w:instrText>
      </w:r>
      <w:r w:rsidR="00663DD3" w:rsidRPr="005B3B01">
        <w:instrText xml:space="preserve"> \* MERGEFORMAT </w:instrText>
      </w:r>
      <w:r w:rsidRPr="005B3B01">
        <w:fldChar w:fldCharType="separate"/>
      </w:r>
    </w:p>
    <w:p w14:paraId="34F050F6" w14:textId="75B89725" w:rsidR="00387530" w:rsidRPr="00241678" w:rsidRDefault="00165B17" w:rsidP="00ED1064">
      <w:r w:rsidRPr="00884FAA">
        <w:t>Figure</w:t>
      </w:r>
      <w:r w:rsidRPr="00884FAA">
        <w:rPr>
          <w:noProof/>
        </w:rPr>
        <w:t xml:space="preserve"> </w:t>
      </w:r>
      <w:r>
        <w:rPr>
          <w:noProof/>
        </w:rPr>
        <w:t>3</w:t>
      </w:r>
      <w:r>
        <w:rPr>
          <w:noProof/>
        </w:rPr>
        <w:noBreakHyphen/>
        <w:t>10</w:t>
      </w:r>
      <w:r w:rsidR="008F1A65" w:rsidRPr="005B3B01">
        <w:fldChar w:fldCharType="end"/>
      </w:r>
      <w:r w:rsidR="007C2A7E" w:rsidRPr="005B3B01">
        <w:t xml:space="preserve"> shows total IAHP funding per client of </w:t>
      </w:r>
      <w:r w:rsidR="00077075" w:rsidRPr="005B3B01">
        <w:t xml:space="preserve">IAHP funded </w:t>
      </w:r>
      <w:r w:rsidR="0066589C" w:rsidRPr="005B3B01">
        <w:t>organisations</w:t>
      </w:r>
      <w:r w:rsidR="007C2A7E" w:rsidRPr="005B3B01">
        <w:t xml:space="preserve">. The variation across states and territories is considerably less than by total </w:t>
      </w:r>
      <w:r w:rsidR="005B3B01">
        <w:t>Aboriginal and Torres Strait Islander</w:t>
      </w:r>
      <w:r w:rsidR="007C2A7E" w:rsidRPr="005B3B01">
        <w:t xml:space="preserve"> population. Nevertheless, there is still a large variation between $1,336 per client in Queensland and $2,378 per client in SA.</w:t>
      </w:r>
      <w:bookmarkStart w:id="112" w:name="_Ref130644429"/>
    </w:p>
    <w:p w14:paraId="6FA9BB16" w14:textId="0D29209A" w:rsidR="000C49B5" w:rsidRPr="00655176" w:rsidRDefault="00636390" w:rsidP="00655176">
      <w:pPr>
        <w:pStyle w:val="TableFigure-Header"/>
        <w:rPr>
          <w:lang w:val="en-AU"/>
        </w:rPr>
      </w:pPr>
      <w:bookmarkStart w:id="113" w:name="_Toc138851321"/>
      <w:r w:rsidRPr="00884FAA">
        <w:rPr>
          <w:lang w:val="en-AU"/>
        </w:rPr>
        <w:t>Figure</w:t>
      </w:r>
      <w:r w:rsidR="008F1A65"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10</w:t>
      </w:r>
      <w:r w:rsidR="005B4A4F">
        <w:rPr>
          <w:lang w:val="en-AU"/>
        </w:rPr>
        <w:fldChar w:fldCharType="end"/>
      </w:r>
      <w:bookmarkEnd w:id="112"/>
      <w:r w:rsidR="008F1A65" w:rsidRPr="00884FAA">
        <w:rPr>
          <w:lang w:val="en-AU"/>
        </w:rPr>
        <w:t xml:space="preserve">. </w:t>
      </w:r>
      <w:r w:rsidR="00853D00">
        <w:rPr>
          <w:lang w:val="en-AU"/>
        </w:rPr>
        <w:t xml:space="preserve">Total </w:t>
      </w:r>
      <w:r w:rsidR="008F1A65" w:rsidRPr="00884FAA">
        <w:rPr>
          <w:lang w:val="en-AU"/>
        </w:rPr>
        <w:t>IAHP grant funding expenditure per client</w:t>
      </w:r>
      <w:r w:rsidR="00066BAD">
        <w:rPr>
          <w:lang w:val="en-AU"/>
        </w:rPr>
        <w:t xml:space="preserve"> by state and territory</w:t>
      </w:r>
      <w:r w:rsidR="008F1A65" w:rsidRPr="00884FAA">
        <w:rPr>
          <w:lang w:val="en-AU"/>
        </w:rPr>
        <w:t>, 2019-20</w:t>
      </w:r>
      <w:bookmarkEnd w:id="113"/>
    </w:p>
    <w:p w14:paraId="1F4FBE3B" w14:textId="77777777" w:rsidR="007C2A7E" w:rsidRPr="00884FAA" w:rsidRDefault="007C2A7E" w:rsidP="007C2A7E">
      <w:pPr>
        <w:spacing w:after="40"/>
      </w:pPr>
      <w:r w:rsidRPr="00884FAA">
        <w:rPr>
          <w:noProof/>
        </w:rPr>
        <w:lastRenderedPageBreak/>
        <w:drawing>
          <wp:inline distT="0" distB="0" distL="0" distR="0" wp14:anchorId="1A4E2E83" wp14:editId="62E8F744">
            <wp:extent cx="5760085" cy="3043451"/>
            <wp:effectExtent l="0" t="0" r="12065" b="5080"/>
            <wp:docPr id="60" name="Chart 60" descr="Bar graph">
              <a:extLst xmlns:a="http://schemas.openxmlformats.org/drawingml/2006/main">
                <a:ext uri="{FF2B5EF4-FFF2-40B4-BE49-F238E27FC236}">
                  <a16:creationId xmlns:a16="http://schemas.microsoft.com/office/drawing/2014/main" id="{F2B613A2-F433-A975-4E4F-902BD4F216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1419D6C" w14:textId="77777777" w:rsidR="007C2A7E" w:rsidRPr="00884FAA" w:rsidRDefault="007C2A7E" w:rsidP="007C2A7E">
      <w:pPr>
        <w:keepLines/>
        <w:spacing w:before="40" w:after="60" w:line="240" w:lineRule="auto"/>
        <w:rPr>
          <w:sz w:val="21"/>
          <w:szCs w:val="21"/>
        </w:rPr>
      </w:pPr>
      <w:r w:rsidRPr="00884FAA">
        <w:rPr>
          <w:sz w:val="21"/>
          <w:szCs w:val="21"/>
        </w:rPr>
        <w:t>Source: Data provided by the Department of Health and Aged Care, March 2022; OSR</w:t>
      </w:r>
    </w:p>
    <w:p w14:paraId="5D4116B8" w14:textId="3BF177FE" w:rsidR="007C2A7E" w:rsidRPr="00884FAA" w:rsidRDefault="007C2A7E" w:rsidP="007C2A7E">
      <w:pPr>
        <w:spacing w:before="40" w:after="360" w:line="240" w:lineRule="auto"/>
      </w:pPr>
      <w:r w:rsidRPr="00884FAA">
        <w:rPr>
          <w:sz w:val="21"/>
          <w:szCs w:val="21"/>
        </w:rPr>
        <w:t xml:space="preserve">Note: </w:t>
      </w:r>
      <w:r w:rsidR="008A5C13" w:rsidRPr="00884FAA">
        <w:rPr>
          <w:bCs/>
        </w:rPr>
        <w:t xml:space="preserve">Figures are calculated based on </w:t>
      </w:r>
      <w:r w:rsidR="008A5C13" w:rsidRPr="008A5C13">
        <w:rPr>
          <w:bCs/>
        </w:rPr>
        <w:t>the state or territory of organisations’</w:t>
      </w:r>
      <w:r w:rsidR="008A5C13" w:rsidRPr="00884FAA">
        <w:rPr>
          <w:bCs/>
        </w:rPr>
        <w:t xml:space="preserve"> business address.</w:t>
      </w:r>
    </w:p>
    <w:p w14:paraId="1867D997" w14:textId="113EBEFB" w:rsidR="00540FA2" w:rsidRPr="00884FAA" w:rsidRDefault="001B3348" w:rsidP="00651D06">
      <w:pPr>
        <w:pStyle w:val="Heading3"/>
      </w:pPr>
      <w:bookmarkStart w:id="114" w:name="_Ref131612094"/>
      <w:r w:rsidRPr="00884FAA">
        <w:t>Increases in IAHP</w:t>
      </w:r>
      <w:r w:rsidR="007B167C">
        <w:t xml:space="preserve"> grant</w:t>
      </w:r>
      <w:r w:rsidRPr="00884FAA">
        <w:t xml:space="preserve"> funding</w:t>
      </w:r>
      <w:bookmarkEnd w:id="114"/>
    </w:p>
    <w:p w14:paraId="677BE2DF" w14:textId="18C248FC" w:rsidR="00AE38CC" w:rsidRPr="00884FAA" w:rsidRDefault="00643A82" w:rsidP="00AE38CC">
      <w:r w:rsidRPr="00884FAA">
        <w:t xml:space="preserve">There has been growth in the level of </w:t>
      </w:r>
      <w:r w:rsidR="00591626">
        <w:t xml:space="preserve">grant funding under </w:t>
      </w:r>
      <w:r w:rsidRPr="00884FAA">
        <w:t xml:space="preserve">the IAHP. </w:t>
      </w:r>
      <w:r w:rsidR="008812FC" w:rsidRPr="00884FAA">
        <w:t xml:space="preserve">Data indicates that </w:t>
      </w:r>
      <w:r w:rsidR="00AE38CC" w:rsidRPr="00884FAA">
        <w:t>IAHP grant expenditure has grown steadily from $50</w:t>
      </w:r>
      <w:r w:rsidR="00BA5BAD" w:rsidRPr="00884FAA">
        <w:t>6</w:t>
      </w:r>
      <w:r w:rsidR="00AE38CC" w:rsidRPr="00884FAA">
        <w:t xml:space="preserve"> million in 2014-15 to $89</w:t>
      </w:r>
      <w:r w:rsidR="00BA5BAD" w:rsidRPr="00884FAA">
        <w:t>3</w:t>
      </w:r>
      <w:r w:rsidR="00AE38CC" w:rsidRPr="00884FAA">
        <w:t xml:space="preserve"> million in 2020-21, as shown in</w:t>
      </w:r>
      <w:r w:rsidR="00607375" w:rsidRPr="00884FAA">
        <w:t xml:space="preserve"> </w:t>
      </w:r>
      <w:r w:rsidR="00607375" w:rsidRPr="00884FAA">
        <w:fldChar w:fldCharType="begin"/>
      </w:r>
      <w:r w:rsidR="00607375" w:rsidRPr="00884FAA">
        <w:instrText xml:space="preserve"> REF _Ref130645671 \h </w:instrText>
      </w:r>
      <w:r w:rsidR="00607375" w:rsidRPr="00884FAA">
        <w:fldChar w:fldCharType="separate"/>
      </w:r>
      <w:r w:rsidR="00165B17" w:rsidRPr="00884FAA">
        <w:t xml:space="preserve">Figure </w:t>
      </w:r>
      <w:r w:rsidR="00165B17">
        <w:rPr>
          <w:noProof/>
        </w:rPr>
        <w:t>3</w:t>
      </w:r>
      <w:r w:rsidR="00165B17">
        <w:noBreakHyphen/>
      </w:r>
      <w:r w:rsidR="00165B17">
        <w:rPr>
          <w:noProof/>
        </w:rPr>
        <w:t>11</w:t>
      </w:r>
      <w:r w:rsidR="00607375" w:rsidRPr="00884FAA">
        <w:fldChar w:fldCharType="end"/>
      </w:r>
      <w:r w:rsidR="00AE38CC" w:rsidRPr="00884FAA">
        <w:t xml:space="preserve">. </w:t>
      </w:r>
    </w:p>
    <w:p w14:paraId="19E377AA" w14:textId="40F28D08" w:rsidR="00607375" w:rsidRPr="00884FAA" w:rsidRDefault="00636390" w:rsidP="00483AFB">
      <w:pPr>
        <w:pStyle w:val="TableFigure-Header"/>
        <w:rPr>
          <w:lang w:val="en-AU"/>
        </w:rPr>
      </w:pPr>
      <w:bookmarkStart w:id="115" w:name="_Ref130645671"/>
      <w:bookmarkStart w:id="116" w:name="_Toc138851322"/>
      <w:r w:rsidRPr="00884FAA">
        <w:rPr>
          <w:lang w:val="en-AU"/>
        </w:rPr>
        <w:t>Figure</w:t>
      </w:r>
      <w:r w:rsidR="00607375"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11</w:t>
      </w:r>
      <w:r w:rsidR="005B4A4F">
        <w:rPr>
          <w:lang w:val="en-AU"/>
        </w:rPr>
        <w:fldChar w:fldCharType="end"/>
      </w:r>
      <w:bookmarkEnd w:id="115"/>
      <w:r w:rsidR="00607375" w:rsidRPr="00884FAA">
        <w:rPr>
          <w:lang w:val="en-AU"/>
        </w:rPr>
        <w:t>. National IAHP grant funding expenditure, 2014-15 to 2020-21</w:t>
      </w:r>
      <w:bookmarkEnd w:id="116"/>
    </w:p>
    <w:p w14:paraId="2E12D8C8" w14:textId="77777777" w:rsidR="00AE38CC" w:rsidRPr="00884FAA" w:rsidRDefault="00AE38CC" w:rsidP="00AE38CC">
      <w:pPr>
        <w:spacing w:after="360"/>
        <w:rPr>
          <w:sz w:val="21"/>
          <w:szCs w:val="21"/>
        </w:rPr>
      </w:pPr>
      <w:r w:rsidRPr="00884FAA">
        <w:rPr>
          <w:noProof/>
        </w:rPr>
        <w:drawing>
          <wp:inline distT="0" distB="0" distL="0" distR="0" wp14:anchorId="35C36234" wp14:editId="4EC57138">
            <wp:extent cx="5733415" cy="2520000"/>
            <wp:effectExtent l="0" t="0" r="635" b="13970"/>
            <wp:docPr id="44" name="Chart 44" descr="Bar graph">
              <a:extLst xmlns:a="http://schemas.openxmlformats.org/drawingml/2006/main">
                <a:ext uri="{FF2B5EF4-FFF2-40B4-BE49-F238E27FC236}">
                  <a16:creationId xmlns:a16="http://schemas.microsoft.com/office/drawing/2014/main" id="{AF6B842A-8D7F-A271-83B4-A657DF430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884FAA">
        <w:rPr>
          <w:sz w:val="21"/>
          <w:szCs w:val="21"/>
        </w:rPr>
        <w:t>Source: Data provided by the Department of Health and Aged Care, March 2022.</w:t>
      </w:r>
    </w:p>
    <w:p w14:paraId="6F1484FA" w14:textId="13244034" w:rsidR="00144E47" w:rsidRPr="00884FAA" w:rsidRDefault="00144E47" w:rsidP="00144E47">
      <w:r w:rsidRPr="00884FAA">
        <w:t xml:space="preserve">After accounting for CPI, with prices expressed as constant 2019-20, </w:t>
      </w:r>
      <w:r w:rsidR="00DB754C">
        <w:t xml:space="preserve">IAHP grant funding </w:t>
      </w:r>
      <w:r w:rsidRPr="00884FAA">
        <w:t>expenditure increased from $604 million in 2014-15 to $868 million in 2020-21, an increase of 44% (or 6.2% per year). Half of the increase in spend (22%) occurred in the first year, 2014-15 to 2015-16 (</w:t>
      </w:r>
      <w:r w:rsidR="00393CF7" w:rsidRPr="00884FAA">
        <w:fldChar w:fldCharType="begin"/>
      </w:r>
      <w:r w:rsidR="00393CF7" w:rsidRPr="00884FAA">
        <w:instrText xml:space="preserve"> REF _Ref130645864 \h </w:instrText>
      </w:r>
      <w:r w:rsidR="00393CF7" w:rsidRPr="00884FAA">
        <w:fldChar w:fldCharType="separate"/>
      </w:r>
      <w:r w:rsidR="00165B17" w:rsidRPr="00884FAA">
        <w:t xml:space="preserve">Figure </w:t>
      </w:r>
      <w:r w:rsidR="00165B17">
        <w:rPr>
          <w:noProof/>
        </w:rPr>
        <w:t>3</w:t>
      </w:r>
      <w:r w:rsidR="00165B17">
        <w:noBreakHyphen/>
      </w:r>
      <w:r w:rsidR="00165B17">
        <w:rPr>
          <w:noProof/>
        </w:rPr>
        <w:t>12</w:t>
      </w:r>
      <w:r w:rsidR="00393CF7" w:rsidRPr="00884FAA">
        <w:fldChar w:fldCharType="end"/>
      </w:r>
      <w:r w:rsidRPr="00884FAA">
        <w:t>). Since then, total IAHP expenditure has increased at a rate of 3.3% per year.</w:t>
      </w:r>
    </w:p>
    <w:p w14:paraId="2ED773CB" w14:textId="727D4BFF" w:rsidR="00393CF7" w:rsidRPr="00884FAA" w:rsidRDefault="00636390" w:rsidP="00393CF7">
      <w:pPr>
        <w:pStyle w:val="Caption"/>
      </w:pPr>
      <w:bookmarkStart w:id="117" w:name="_Ref130645864"/>
      <w:bookmarkStart w:id="118" w:name="_Toc138851323"/>
      <w:r w:rsidRPr="00884FAA">
        <w:lastRenderedPageBreak/>
        <w:t>Figure</w:t>
      </w:r>
      <w:r w:rsidR="00393CF7" w:rsidRPr="00884FAA">
        <w:t xml:space="preserve"> </w:t>
      </w:r>
      <w:r w:rsidR="005B4A4F">
        <w:fldChar w:fldCharType="begin"/>
      </w:r>
      <w:r w:rsidR="005B4A4F">
        <w:instrText xml:space="preserve"> STYLEREF 1 \s </w:instrText>
      </w:r>
      <w:r w:rsidR="005B4A4F">
        <w:fldChar w:fldCharType="separate"/>
      </w:r>
      <w:r w:rsidR="00165B17">
        <w:rPr>
          <w:noProof/>
        </w:rPr>
        <w:t>3</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12</w:t>
      </w:r>
      <w:r w:rsidR="005B4A4F">
        <w:fldChar w:fldCharType="end"/>
      </w:r>
      <w:bookmarkEnd w:id="117"/>
      <w:r w:rsidR="00393CF7" w:rsidRPr="00884FAA">
        <w:t xml:space="preserve">. </w:t>
      </w:r>
      <w:r w:rsidR="00EF0258">
        <w:t xml:space="preserve">Total </w:t>
      </w:r>
      <w:r w:rsidR="00393CF7" w:rsidRPr="00884FAA">
        <w:t xml:space="preserve">IAHP </w:t>
      </w:r>
      <w:r w:rsidR="00DB754C">
        <w:t xml:space="preserve">grant </w:t>
      </w:r>
      <w:r w:rsidR="00393CF7" w:rsidRPr="00884FAA">
        <w:t>funding expenditure, constant prices, 2014-15 to 2020-21</w:t>
      </w:r>
      <w:bookmarkEnd w:id="118"/>
    </w:p>
    <w:p w14:paraId="5254BA3C" w14:textId="77777777" w:rsidR="00144E47" w:rsidRPr="00884FAA" w:rsidRDefault="00144E47" w:rsidP="00144E47">
      <w:pPr>
        <w:keepNext/>
        <w:spacing w:after="40"/>
      </w:pPr>
      <w:r w:rsidRPr="00884FAA">
        <w:rPr>
          <w:noProof/>
        </w:rPr>
        <w:drawing>
          <wp:inline distT="0" distB="0" distL="0" distR="0" wp14:anchorId="3688C1D5" wp14:editId="05B718A5">
            <wp:extent cx="5667375" cy="2581275"/>
            <wp:effectExtent l="0" t="0" r="9525" b="9525"/>
            <wp:docPr id="55" name="Chart 55" descr="Line graph">
              <a:extLst xmlns:a="http://schemas.openxmlformats.org/drawingml/2006/main">
                <a:ext uri="{FF2B5EF4-FFF2-40B4-BE49-F238E27FC236}">
                  <a16:creationId xmlns:a16="http://schemas.microsoft.com/office/drawing/2014/main" id="{2E4F140B-0A06-B2EC-8E71-D90CD94055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7796B10" w14:textId="4E66D989" w:rsidR="00144E47" w:rsidRPr="00884FAA" w:rsidRDefault="00144E47" w:rsidP="00144E47">
      <w:pPr>
        <w:keepNext/>
        <w:spacing w:after="40" w:line="240" w:lineRule="auto"/>
        <w:rPr>
          <w:sz w:val="21"/>
          <w:szCs w:val="21"/>
        </w:rPr>
      </w:pPr>
      <w:r w:rsidRPr="00884FAA">
        <w:rPr>
          <w:sz w:val="21"/>
          <w:szCs w:val="21"/>
        </w:rPr>
        <w:t xml:space="preserve">Notes: </w:t>
      </w:r>
      <w:r w:rsidR="005749C5" w:rsidRPr="00884FAA">
        <w:rPr>
          <w:bCs/>
        </w:rPr>
        <w:t xml:space="preserve">Figures are calculated based </w:t>
      </w:r>
      <w:r w:rsidR="005749C5" w:rsidRPr="005749C5">
        <w:rPr>
          <w:bCs/>
        </w:rPr>
        <w:t>on the state or territory of organisations’</w:t>
      </w:r>
      <w:r w:rsidR="005749C5" w:rsidRPr="00884FAA">
        <w:rPr>
          <w:bCs/>
        </w:rPr>
        <w:t xml:space="preserve"> business address.</w:t>
      </w:r>
    </w:p>
    <w:p w14:paraId="280D0CE5" w14:textId="77777777" w:rsidR="00144E47" w:rsidRPr="00884FAA" w:rsidRDefault="00144E47" w:rsidP="00144E47">
      <w:pPr>
        <w:spacing w:after="360" w:line="240" w:lineRule="auto"/>
        <w:rPr>
          <w:sz w:val="21"/>
          <w:szCs w:val="21"/>
        </w:rPr>
      </w:pPr>
      <w:r w:rsidRPr="00884FAA">
        <w:rPr>
          <w:sz w:val="21"/>
          <w:szCs w:val="21"/>
        </w:rPr>
        <w:t>Source: Data provided by the Department of Health and Aged Care, March 2022.</w:t>
      </w:r>
    </w:p>
    <w:p w14:paraId="7068C908" w14:textId="1D666F44" w:rsidR="004663EC" w:rsidRPr="00884FAA" w:rsidRDefault="004663EC" w:rsidP="00651D06">
      <w:pPr>
        <w:pStyle w:val="Heading3"/>
      </w:pPr>
      <w:r w:rsidRPr="00884FAA">
        <w:t xml:space="preserve">Increase in client activity </w:t>
      </w:r>
    </w:p>
    <w:p w14:paraId="47445B75" w14:textId="19C8EA70" w:rsidR="008C2A30" w:rsidRPr="00884FAA" w:rsidRDefault="00A00AB6" w:rsidP="00144E47">
      <w:pPr>
        <w:rPr>
          <w:lang w:eastAsia="en-NZ"/>
        </w:rPr>
      </w:pPr>
      <w:r>
        <w:rPr>
          <w:lang w:eastAsia="en-NZ"/>
        </w:rPr>
        <w:t>An analysis of OSR data shows that the</w:t>
      </w:r>
      <w:r w:rsidR="000F6EE4" w:rsidRPr="00884FAA">
        <w:rPr>
          <w:lang w:eastAsia="en-NZ"/>
        </w:rPr>
        <w:t xml:space="preserve"> number of people supported by services receiving </w:t>
      </w:r>
      <w:r w:rsidR="00750640">
        <w:rPr>
          <w:lang w:eastAsia="en-NZ"/>
        </w:rPr>
        <w:t xml:space="preserve">IAHP </w:t>
      </w:r>
      <w:r w:rsidR="000F6EE4" w:rsidRPr="00884FAA">
        <w:rPr>
          <w:lang w:eastAsia="en-NZ"/>
        </w:rPr>
        <w:t xml:space="preserve">funding </w:t>
      </w:r>
      <w:r w:rsidR="00750640">
        <w:rPr>
          <w:lang w:eastAsia="en-NZ"/>
        </w:rPr>
        <w:t>to deliver comprehensive PHC services</w:t>
      </w:r>
      <w:r w:rsidR="00665303">
        <w:rPr>
          <w:lang w:eastAsia="en-NZ"/>
        </w:rPr>
        <w:t xml:space="preserve"> </w:t>
      </w:r>
      <w:r w:rsidR="000F6EE4" w:rsidRPr="00884FAA">
        <w:rPr>
          <w:lang w:eastAsia="en-NZ"/>
        </w:rPr>
        <w:t xml:space="preserve">has grown. </w:t>
      </w:r>
      <w:r w:rsidR="008C2A30" w:rsidRPr="00884FAA">
        <w:rPr>
          <w:lang w:eastAsia="en-NZ"/>
        </w:rPr>
        <w:t xml:space="preserve">The number of client contacts with </w:t>
      </w:r>
      <w:r w:rsidR="00BD545D">
        <w:rPr>
          <w:lang w:eastAsia="en-NZ"/>
        </w:rPr>
        <w:t>IAHP</w:t>
      </w:r>
      <w:r w:rsidR="00D46476">
        <w:rPr>
          <w:lang w:eastAsia="en-NZ"/>
        </w:rPr>
        <w:t xml:space="preserve"> funded</w:t>
      </w:r>
      <w:r w:rsidR="008C2A30" w:rsidRPr="00884FAA">
        <w:rPr>
          <w:lang w:eastAsia="en-NZ"/>
        </w:rPr>
        <w:t xml:space="preserve"> services has also increased. </w:t>
      </w:r>
    </w:p>
    <w:p w14:paraId="5E502723" w14:textId="366C1102" w:rsidR="009227CA" w:rsidRPr="00884FAA" w:rsidRDefault="00144E47" w:rsidP="00AE32FE">
      <w:pPr>
        <w:rPr>
          <w:lang w:eastAsia="en-NZ"/>
        </w:rPr>
      </w:pPr>
      <w:r w:rsidRPr="00884FAA">
        <w:rPr>
          <w:lang w:eastAsia="en-NZ"/>
        </w:rPr>
        <w:t xml:space="preserve">The amount of activity undertaken by organisations </w:t>
      </w:r>
      <w:r w:rsidR="00817B96" w:rsidRPr="00884FAA">
        <w:rPr>
          <w:lang w:eastAsia="en-NZ"/>
        </w:rPr>
        <w:t>that</w:t>
      </w:r>
      <w:r w:rsidRPr="00884FAA">
        <w:rPr>
          <w:lang w:eastAsia="en-NZ"/>
        </w:rPr>
        <w:t xml:space="preserve"> receive IAHP</w:t>
      </w:r>
      <w:r w:rsidR="00C2578B">
        <w:rPr>
          <w:lang w:eastAsia="en-NZ"/>
        </w:rPr>
        <w:t xml:space="preserve"> </w:t>
      </w:r>
      <w:r w:rsidRPr="00884FAA">
        <w:rPr>
          <w:lang w:eastAsia="en-NZ"/>
        </w:rPr>
        <w:t>funding increased from 2014-15 to 2019-20 with more clients and more client contacts (</w:t>
      </w:r>
      <w:r w:rsidR="00AE32FE">
        <w:rPr>
          <w:lang w:eastAsia="en-NZ"/>
        </w:rPr>
        <w:fldChar w:fldCharType="begin"/>
      </w:r>
      <w:r w:rsidR="00AE32FE">
        <w:rPr>
          <w:lang w:eastAsia="en-NZ"/>
        </w:rPr>
        <w:instrText xml:space="preserve"> REF _Ref138749643 \h </w:instrText>
      </w:r>
      <w:r w:rsidR="00AE32FE">
        <w:rPr>
          <w:lang w:eastAsia="en-NZ"/>
        </w:rPr>
      </w:r>
      <w:r w:rsidR="00AE32FE">
        <w:rPr>
          <w:lang w:eastAsia="en-NZ"/>
        </w:rPr>
        <w:fldChar w:fldCharType="separate"/>
      </w:r>
      <w:r w:rsidR="00165B17" w:rsidRPr="00884FAA">
        <w:t xml:space="preserve">Figure </w:t>
      </w:r>
      <w:r w:rsidR="00165B17">
        <w:rPr>
          <w:noProof/>
        </w:rPr>
        <w:t>3</w:t>
      </w:r>
      <w:r w:rsidR="00165B17">
        <w:noBreakHyphen/>
      </w:r>
      <w:r w:rsidR="00165B17">
        <w:rPr>
          <w:noProof/>
        </w:rPr>
        <w:t>13</w:t>
      </w:r>
      <w:r w:rsidR="00AE32FE">
        <w:rPr>
          <w:lang w:eastAsia="en-NZ"/>
        </w:rPr>
        <w:fldChar w:fldCharType="end"/>
      </w:r>
      <w:r w:rsidRPr="00884FAA">
        <w:rPr>
          <w:lang w:eastAsia="en-NZ"/>
        </w:rPr>
        <w:t xml:space="preserve">). Nationally, client numbers have increased from 434,610 in 2014-15 to 468,500 in 2019-20, an increase of 7.8%. Client contacts increased over the same period from 5,022,709 to 5,440,291, an increase of 8.3%. There was a drop in 2019-20, which may be </w:t>
      </w:r>
      <w:r w:rsidR="0025137C" w:rsidRPr="00884FAA">
        <w:rPr>
          <w:lang w:eastAsia="en-NZ"/>
        </w:rPr>
        <w:t>a result of the beginning of the</w:t>
      </w:r>
      <w:r w:rsidRPr="00884FAA">
        <w:rPr>
          <w:lang w:eastAsia="en-NZ"/>
        </w:rPr>
        <w:t xml:space="preserve"> COVID</w:t>
      </w:r>
      <w:r w:rsidR="00817B96" w:rsidRPr="00884FAA">
        <w:rPr>
          <w:lang w:eastAsia="en-NZ"/>
        </w:rPr>
        <w:t>-19</w:t>
      </w:r>
      <w:r w:rsidRPr="00884FAA">
        <w:rPr>
          <w:lang w:eastAsia="en-NZ"/>
        </w:rPr>
        <w:t xml:space="preserve"> pandemic. Queensland had the highest number of clients and South Australia the fewest.</w:t>
      </w:r>
      <w:r w:rsidR="0073212C" w:rsidRPr="00884FAA">
        <w:rPr>
          <w:lang w:eastAsia="en-NZ"/>
        </w:rPr>
        <w:t xml:space="preserve"> Nationally, the Aboriginal and Torres Strait Islander population increased by approximately 17% o</w:t>
      </w:r>
      <w:r w:rsidR="0051263E" w:rsidRPr="00884FAA">
        <w:rPr>
          <w:lang w:eastAsia="en-NZ"/>
        </w:rPr>
        <w:t>ver</w:t>
      </w:r>
      <w:r w:rsidR="0073212C" w:rsidRPr="00884FAA">
        <w:rPr>
          <w:lang w:eastAsia="en-NZ"/>
        </w:rPr>
        <w:t xml:space="preserve"> this same period (2014-15 to 2019-20).</w:t>
      </w:r>
    </w:p>
    <w:p w14:paraId="6FB10281" w14:textId="20291508" w:rsidR="00817B96" w:rsidRPr="00884FAA" w:rsidRDefault="00636390" w:rsidP="00817B96">
      <w:pPr>
        <w:pStyle w:val="TableFigure-Header"/>
        <w:rPr>
          <w:lang w:val="en-AU"/>
        </w:rPr>
      </w:pPr>
      <w:bookmarkStart w:id="119" w:name="_Ref130646244"/>
      <w:bookmarkStart w:id="120" w:name="_Ref138749643"/>
      <w:bookmarkStart w:id="121" w:name="_Toc138851324"/>
      <w:r w:rsidRPr="00884FAA">
        <w:rPr>
          <w:lang w:val="en-AU"/>
        </w:rPr>
        <w:t>Figure</w:t>
      </w:r>
      <w:r w:rsidR="00817B96"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3</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13</w:t>
      </w:r>
      <w:r w:rsidR="005B4A4F">
        <w:rPr>
          <w:lang w:val="en-AU"/>
        </w:rPr>
        <w:fldChar w:fldCharType="end"/>
      </w:r>
      <w:bookmarkEnd w:id="119"/>
      <w:bookmarkEnd w:id="120"/>
      <w:r w:rsidR="00817B96" w:rsidRPr="00884FAA">
        <w:rPr>
          <w:lang w:val="en-AU"/>
        </w:rPr>
        <w:t xml:space="preserve">. </w:t>
      </w:r>
      <w:r w:rsidR="00817B96" w:rsidRPr="00884FAA">
        <w:rPr>
          <w:lang w:val="en-AU" w:eastAsia="en-NZ"/>
        </w:rPr>
        <w:t>Number of clients and client contacts at organisations receiving IAHP</w:t>
      </w:r>
      <w:r w:rsidR="00663DD3">
        <w:rPr>
          <w:lang w:val="en-AU" w:eastAsia="en-NZ"/>
        </w:rPr>
        <w:t xml:space="preserve"> </w:t>
      </w:r>
      <w:r w:rsidR="00817B96" w:rsidRPr="00884FAA">
        <w:rPr>
          <w:lang w:val="en-AU" w:eastAsia="en-NZ"/>
        </w:rPr>
        <w:t>funding, 2014-15 to 2019-20</w:t>
      </w:r>
      <w:bookmarkEnd w:id="121"/>
    </w:p>
    <w:p w14:paraId="4F139B2D" w14:textId="162954F0" w:rsidR="00144E47" w:rsidRPr="00884FAA" w:rsidRDefault="00746D35" w:rsidP="00C2578B">
      <w:pPr>
        <w:keepNext/>
        <w:spacing w:after="0"/>
        <w:rPr>
          <w:lang w:eastAsia="en-NZ"/>
        </w:rPr>
      </w:pPr>
      <w:r w:rsidRPr="00884FAA">
        <w:rPr>
          <w:noProof/>
          <w:lang w:eastAsia="en-NZ"/>
        </w:rPr>
        <w:lastRenderedPageBreak/>
        <w:drawing>
          <wp:inline distT="0" distB="0" distL="0" distR="0" wp14:anchorId="4AAC266C" wp14:editId="07FF6152">
            <wp:extent cx="5733415" cy="4017672"/>
            <wp:effectExtent l="19050" t="19050" r="19685" b="20955"/>
            <wp:docPr id="21" name="Picture 21" descr="Line char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ine chart&#10;&#10;"/>
                    <pic:cNvPicPr/>
                  </pic:nvPicPr>
                  <pic:blipFill rotWithShape="1">
                    <a:blip r:embed="rId86" cstate="print">
                      <a:extLst>
                        <a:ext uri="{28A0092B-C50C-407E-A947-70E740481C1C}">
                          <a14:useLocalDpi xmlns:a14="http://schemas.microsoft.com/office/drawing/2010/main" val="0"/>
                        </a:ext>
                      </a:extLst>
                    </a:blip>
                    <a:srcRect l="-887" t="-2385" r="1" b="-712"/>
                    <a:stretch/>
                  </pic:blipFill>
                  <pic:spPr bwMode="auto">
                    <a:xfrm>
                      <a:off x="0" y="0"/>
                      <a:ext cx="5733415" cy="4017672"/>
                    </a:xfrm>
                    <a:prstGeom prst="rect">
                      <a:avLst/>
                    </a:prstGeom>
                    <a:ln w="9525" cap="flat" cmpd="sng" algn="ctr">
                      <a:solidFill>
                        <a:srgbClr val="3B7D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34DD85" w14:textId="77777777" w:rsidR="00144E47" w:rsidRPr="00884FAA" w:rsidRDefault="00144E47" w:rsidP="00C2578B">
      <w:pPr>
        <w:rPr>
          <w:sz w:val="21"/>
          <w:szCs w:val="21"/>
        </w:rPr>
      </w:pPr>
      <w:r w:rsidRPr="00884FAA">
        <w:rPr>
          <w:sz w:val="21"/>
          <w:szCs w:val="21"/>
        </w:rPr>
        <w:t>Source: OSR data provided by the Department of Health and Aged Care.</w:t>
      </w:r>
    </w:p>
    <w:p w14:paraId="0244DDD3" w14:textId="2A23184F" w:rsidR="00F44072" w:rsidRDefault="00F44072">
      <w:pPr>
        <w:jc w:val="left"/>
      </w:pPr>
      <w:r>
        <w:br w:type="page"/>
      </w:r>
    </w:p>
    <w:p w14:paraId="176125AB" w14:textId="754846D9" w:rsidR="00144E47" w:rsidRPr="00884FAA" w:rsidRDefault="00144E47" w:rsidP="00144E47">
      <w:pPr>
        <w:spacing w:before="360"/>
      </w:pPr>
      <w:r w:rsidRPr="00DB10B2">
        <w:lastRenderedPageBreak/>
        <w:t>IAHP funding per client at IAHP</w:t>
      </w:r>
      <w:r w:rsidR="00614230" w:rsidRPr="00DB10B2">
        <w:t xml:space="preserve"> </w:t>
      </w:r>
      <w:r w:rsidRPr="00DB10B2">
        <w:t>funded organisations increased from $1,390 to $1,831 (32%) between 2014-15 and 2019-20</w:t>
      </w:r>
      <w:r w:rsidR="00993D88" w:rsidRPr="00DB10B2">
        <w:t>, adjusted for CPI</w:t>
      </w:r>
      <w:r w:rsidRPr="00DB10B2">
        <w:t xml:space="preserve"> (</w:t>
      </w:r>
      <w:r w:rsidR="003C26FF" w:rsidRPr="00DB10B2">
        <w:fldChar w:fldCharType="begin"/>
      </w:r>
      <w:r w:rsidR="003C26FF" w:rsidRPr="00DB10B2">
        <w:instrText xml:space="preserve"> REF _Ref130646407 \h </w:instrText>
      </w:r>
      <w:r w:rsidR="00DB10B2">
        <w:instrText xml:space="preserve"> \* MERGEFORMAT </w:instrText>
      </w:r>
      <w:r w:rsidR="003C26FF" w:rsidRPr="00DB10B2">
        <w:fldChar w:fldCharType="separate"/>
      </w:r>
      <w:r w:rsidR="00165B17" w:rsidRPr="00884FAA">
        <w:t xml:space="preserve">Figure </w:t>
      </w:r>
      <w:r w:rsidR="00165B17">
        <w:rPr>
          <w:noProof/>
        </w:rPr>
        <w:t>3</w:t>
      </w:r>
      <w:r w:rsidR="00165B17">
        <w:rPr>
          <w:noProof/>
        </w:rPr>
        <w:noBreakHyphen/>
        <w:t>14</w:t>
      </w:r>
      <w:r w:rsidR="003C26FF" w:rsidRPr="00DB10B2">
        <w:fldChar w:fldCharType="end"/>
      </w:r>
      <w:r w:rsidRPr="00DB10B2">
        <w:t>). Around half of this growth (15%) occurred in the first year, 2014-15 to 2015-16. In 2019-20, South Australia received the greatest funding per client and Queensland the least. IAHP funding also increased per client contact at organisations receiving IAHP funding from 2014-15 to 2019-20, from $120 per client in 2014-15 to $158 in 2019-20, adjusted for CPI (constant 2019-20).</w:t>
      </w:r>
    </w:p>
    <w:p w14:paraId="34C74917" w14:textId="362B3BAC" w:rsidR="003C26FF" w:rsidRPr="00884FAA" w:rsidRDefault="00636390" w:rsidP="003C26FF">
      <w:pPr>
        <w:pStyle w:val="Caption"/>
      </w:pPr>
      <w:bookmarkStart w:id="122" w:name="_Ref130646407"/>
      <w:bookmarkStart w:id="123" w:name="_Toc138851325"/>
      <w:r w:rsidRPr="00884FAA">
        <w:t>Figure</w:t>
      </w:r>
      <w:r w:rsidR="003C26FF" w:rsidRPr="00884FAA">
        <w:t xml:space="preserve"> </w:t>
      </w:r>
      <w:r w:rsidR="005B4A4F">
        <w:fldChar w:fldCharType="begin"/>
      </w:r>
      <w:r w:rsidR="005B4A4F">
        <w:instrText xml:space="preserve"> STYLEREF 1 \s </w:instrText>
      </w:r>
      <w:r w:rsidR="005B4A4F">
        <w:fldChar w:fldCharType="separate"/>
      </w:r>
      <w:r w:rsidR="00165B17">
        <w:rPr>
          <w:noProof/>
        </w:rPr>
        <w:t>3</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14</w:t>
      </w:r>
      <w:r w:rsidR="005B4A4F">
        <w:fldChar w:fldCharType="end"/>
      </w:r>
      <w:bookmarkEnd w:id="122"/>
      <w:r w:rsidR="003C26FF" w:rsidRPr="00884FAA">
        <w:t xml:space="preserve">. </w:t>
      </w:r>
      <w:r w:rsidR="007F26CD">
        <w:t xml:space="preserve">Total </w:t>
      </w:r>
      <w:r w:rsidR="003C26FF" w:rsidRPr="00884FAA">
        <w:t>IAHP funding expenditure by client, constant prices, 2014-15 to 2020-21</w:t>
      </w:r>
      <w:bookmarkEnd w:id="123"/>
    </w:p>
    <w:p w14:paraId="597CD649" w14:textId="77777777" w:rsidR="00144E47" w:rsidRPr="00884FAA" w:rsidRDefault="00144E47" w:rsidP="00144E47">
      <w:pPr>
        <w:keepNext/>
        <w:spacing w:after="40"/>
        <w:rPr>
          <w:sz w:val="21"/>
          <w:szCs w:val="21"/>
        </w:rPr>
      </w:pPr>
      <w:r w:rsidRPr="00884FAA">
        <w:rPr>
          <w:noProof/>
        </w:rPr>
        <w:drawing>
          <wp:inline distT="0" distB="0" distL="0" distR="0" wp14:anchorId="7D3C0BED" wp14:editId="1B4F8873">
            <wp:extent cx="5760085" cy="2520000"/>
            <wp:effectExtent l="0" t="0" r="12065" b="13970"/>
            <wp:docPr id="59" name="Chart 59" descr="Line chart">
              <a:extLst xmlns:a="http://schemas.openxmlformats.org/drawingml/2006/main">
                <a:ext uri="{FF2B5EF4-FFF2-40B4-BE49-F238E27FC236}">
                  <a16:creationId xmlns:a16="http://schemas.microsoft.com/office/drawing/2014/main" id="{CFF42468-B727-6D4D-3786-0F7F853B0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5358583" w14:textId="4FA284B4" w:rsidR="00144E47" w:rsidRPr="00884FAA" w:rsidRDefault="00144E47" w:rsidP="00144E47">
      <w:pPr>
        <w:keepNext/>
        <w:spacing w:after="40" w:line="240" w:lineRule="auto"/>
        <w:rPr>
          <w:sz w:val="21"/>
          <w:szCs w:val="21"/>
        </w:rPr>
      </w:pPr>
      <w:r w:rsidRPr="00884FAA">
        <w:rPr>
          <w:sz w:val="21"/>
          <w:szCs w:val="21"/>
        </w:rPr>
        <w:t xml:space="preserve">Note: </w:t>
      </w:r>
      <w:r w:rsidR="005749C5" w:rsidRPr="00884FAA">
        <w:rPr>
          <w:bCs/>
        </w:rPr>
        <w:t xml:space="preserve">Figures are calculated based on </w:t>
      </w:r>
      <w:r w:rsidR="005749C5" w:rsidRPr="005749C5">
        <w:rPr>
          <w:bCs/>
        </w:rPr>
        <w:t>the state or territory of organisations’</w:t>
      </w:r>
      <w:r w:rsidR="005749C5" w:rsidRPr="00884FAA">
        <w:rPr>
          <w:bCs/>
        </w:rPr>
        <w:t xml:space="preserve"> business address.</w:t>
      </w:r>
      <w:r w:rsidRPr="00884FAA">
        <w:rPr>
          <w:sz w:val="21"/>
          <w:szCs w:val="21"/>
        </w:rPr>
        <w:t xml:space="preserve"> </w:t>
      </w:r>
    </w:p>
    <w:p w14:paraId="114FC803" w14:textId="0BE0ACD3" w:rsidR="00144E47" w:rsidRPr="00884FAA" w:rsidRDefault="00144E47" w:rsidP="00CF2FF7">
      <w:pPr>
        <w:spacing w:after="480" w:line="240" w:lineRule="auto"/>
        <w:rPr>
          <w:sz w:val="21"/>
          <w:szCs w:val="21"/>
        </w:rPr>
      </w:pPr>
      <w:r w:rsidRPr="00884FAA">
        <w:rPr>
          <w:sz w:val="21"/>
          <w:szCs w:val="21"/>
        </w:rPr>
        <w:t>Source: Data provided by the Department of Health and Aged Care, March 2022; OSR.</w:t>
      </w:r>
    </w:p>
    <w:p w14:paraId="47C30500" w14:textId="77777777" w:rsidR="00290098" w:rsidRDefault="00290098">
      <w:pPr>
        <w:jc w:val="left"/>
        <w:rPr>
          <w:b/>
          <w:bCs/>
          <w:color w:val="9E6047" w:themeColor="accent3"/>
          <w:sz w:val="36"/>
          <w:szCs w:val="36"/>
          <w:lang w:val="en-NZ"/>
        </w:rPr>
      </w:pPr>
      <w:r>
        <w:br w:type="page"/>
      </w:r>
    </w:p>
    <w:p w14:paraId="3270CFC8" w14:textId="434BA342" w:rsidR="00F64E7D" w:rsidRPr="00884FAA" w:rsidRDefault="00F64E7D" w:rsidP="0035030F">
      <w:pPr>
        <w:pStyle w:val="Heading2"/>
      </w:pPr>
      <w:bookmarkStart w:id="124" w:name="_Toc137208898"/>
      <w:r w:rsidRPr="00884FAA">
        <w:lastRenderedPageBreak/>
        <w:t>Distribution of funding to organisations in evaluation sites</w:t>
      </w:r>
      <w:bookmarkEnd w:id="124"/>
    </w:p>
    <w:p w14:paraId="2CDFF04B" w14:textId="01443909" w:rsidR="00F64E7D" w:rsidRPr="00884FAA" w:rsidRDefault="00EB1583" w:rsidP="000B5D6D">
      <w:pPr>
        <w:spacing w:before="120"/>
      </w:pPr>
      <w:r w:rsidRPr="00884FAA">
        <w:t xml:space="preserve">To </w:t>
      </w:r>
      <w:r w:rsidR="000355AE" w:rsidRPr="00884FAA">
        <w:t xml:space="preserve">understand funding </w:t>
      </w:r>
      <w:r w:rsidR="008D25D8" w:rsidRPr="00884FAA">
        <w:t xml:space="preserve">arrangements relevant to </w:t>
      </w:r>
      <w:r w:rsidR="00974308" w:rsidRPr="00884FAA">
        <w:t>the</w:t>
      </w:r>
      <w:r w:rsidR="008D25D8" w:rsidRPr="00884FAA">
        <w:t xml:space="preserve"> </w:t>
      </w:r>
      <w:r w:rsidR="00F64E7D" w:rsidRPr="00884FAA" w:rsidDel="008D25D8">
        <w:t>evaluation</w:t>
      </w:r>
      <w:r w:rsidR="008D25D8" w:rsidRPr="00884FAA">
        <w:t xml:space="preserve"> </w:t>
      </w:r>
      <w:r w:rsidR="004D5FC3" w:rsidRPr="00884FAA">
        <w:t>sites</w:t>
      </w:r>
      <w:r w:rsidR="00F64E7D" w:rsidRPr="00884FAA">
        <w:t>,</w:t>
      </w:r>
      <w:r w:rsidR="00F64E7D" w:rsidRPr="00884FAA" w:rsidDel="008D25D8">
        <w:t xml:space="preserve"> </w:t>
      </w:r>
      <w:r w:rsidR="00DA05E0" w:rsidRPr="00884FAA">
        <w:t>the evaluation</w:t>
      </w:r>
      <w:r w:rsidR="004D5FC3" w:rsidRPr="00884FAA">
        <w:t xml:space="preserve"> </w:t>
      </w:r>
      <w:r w:rsidR="00C13790" w:rsidRPr="00884FAA">
        <w:t xml:space="preserve">assessed the distribution of </w:t>
      </w:r>
      <w:r w:rsidR="005F4ACF" w:rsidRPr="00884FAA">
        <w:t>IAHP</w:t>
      </w:r>
      <w:r w:rsidR="00C13790" w:rsidRPr="00884FAA">
        <w:t xml:space="preserve"> </w:t>
      </w:r>
      <w:r w:rsidR="00DA1608" w:rsidRPr="00884FAA">
        <w:t xml:space="preserve">funding to organisations across the 17 sites. </w:t>
      </w:r>
      <w:r w:rsidR="00F64E7D" w:rsidRPr="00884FAA">
        <w:t>Across the sites, all 2</w:t>
      </w:r>
      <w:r w:rsidR="00A359AB">
        <w:t>3</w:t>
      </w:r>
      <w:r w:rsidR="00F64E7D" w:rsidRPr="00884FAA">
        <w:t xml:space="preserve"> ACCHS</w:t>
      </w:r>
      <w:r w:rsidR="00EA765F" w:rsidRPr="00884FAA">
        <w:t>s</w:t>
      </w:r>
      <w:r w:rsidR="00EE46C7">
        <w:t>, the one</w:t>
      </w:r>
      <w:r w:rsidR="00F64E7D" w:rsidRPr="00884FAA">
        <w:t xml:space="preserve"> government primary care service</w:t>
      </w:r>
      <w:r w:rsidR="00EE46C7">
        <w:t>,</w:t>
      </w:r>
      <w:r w:rsidR="00F64E7D" w:rsidRPr="00884FAA">
        <w:t xml:space="preserve"> and </w:t>
      </w:r>
      <w:r w:rsidR="00EE46C7">
        <w:t xml:space="preserve">all </w:t>
      </w:r>
      <w:r w:rsidR="00F64E7D" w:rsidRPr="00884FAA">
        <w:t>13 PHNs</w:t>
      </w:r>
      <w:r w:rsidR="00F64E7D" w:rsidRPr="005D1C41">
        <w:rPr>
          <w:rStyle w:val="FootnoteReference"/>
        </w:rPr>
        <w:footnoteReference w:id="24"/>
      </w:r>
      <w:r w:rsidR="00F64E7D" w:rsidRPr="00884FAA">
        <w:t xml:space="preserve"> received IAHP funding. All but one health service, Torres Health, received IAHP </w:t>
      </w:r>
      <w:r w:rsidR="000F7ACE">
        <w:t>PHC Program</w:t>
      </w:r>
      <w:r w:rsidR="00F64E7D" w:rsidRPr="00884FAA">
        <w:t xml:space="preserve"> funding and ITC program funding.</w:t>
      </w:r>
      <w:r w:rsidR="00F64E7D" w:rsidRPr="005D1C41">
        <w:rPr>
          <w:rStyle w:val="FootnoteReference"/>
        </w:rPr>
        <w:footnoteReference w:id="25"/>
      </w:r>
      <w:r w:rsidR="00F64E7D" w:rsidRPr="00884FAA">
        <w:t xml:space="preserve"> In the 5-year period 2018-19 to 2022-23, 10 sites received IAHP capital works funding, 8 sites received funding for Tackling Indigenous Smoking and 5 sites </w:t>
      </w:r>
      <w:r w:rsidR="00EE1D31">
        <w:t xml:space="preserve">received </w:t>
      </w:r>
      <w:r w:rsidR="00F64E7D" w:rsidRPr="00884FAA">
        <w:t xml:space="preserve">ANFPP funding. </w:t>
      </w:r>
      <w:r w:rsidR="00F64E7D" w:rsidRPr="005648B9">
        <w:t xml:space="preserve">IAHP programs and activities in each site is included in </w:t>
      </w:r>
      <w:r w:rsidR="00217403" w:rsidRPr="005648B9">
        <w:t xml:space="preserve">Final Report Supporting Material Appendix </w:t>
      </w:r>
      <w:r w:rsidR="005648B9" w:rsidRPr="005648B9">
        <w:t>J</w:t>
      </w:r>
      <w:r w:rsidR="00217403" w:rsidRPr="005648B9">
        <w:t>.</w:t>
      </w:r>
    </w:p>
    <w:p w14:paraId="26122F69" w14:textId="4B4037DC" w:rsidR="00F64E7D" w:rsidRPr="00884FAA" w:rsidRDefault="00F64E7D" w:rsidP="00F64E7D">
      <w:r w:rsidRPr="00884FAA">
        <w:t>For the 23 ACCHSs across the sites, total IAHP funding received through grants made directly from the department in the year ending 30 June 2021 ranged from less than $1 million to more than $30 million per annum (average of $</w:t>
      </w:r>
      <w:r w:rsidR="00467674" w:rsidRPr="00884FAA">
        <w:t>6</w:t>
      </w:r>
      <w:r w:rsidRPr="00884FAA">
        <w:t>.</w:t>
      </w:r>
      <w:r w:rsidR="00467674" w:rsidRPr="00884FAA">
        <w:t>3</w:t>
      </w:r>
      <w:r w:rsidRPr="00884FAA">
        <w:t xml:space="preserve"> million, median of $4.5 million).</w:t>
      </w:r>
      <w:r w:rsidRPr="005D1C41">
        <w:rPr>
          <w:rStyle w:val="FootnoteReference"/>
        </w:rPr>
        <w:footnoteReference w:id="26"/>
      </w:r>
      <w:r w:rsidRPr="00884FAA">
        <w:t xml:space="preserve"> The distribution of funding is shown in </w:t>
      </w:r>
      <w:r w:rsidRPr="00884FAA">
        <w:fldChar w:fldCharType="begin"/>
      </w:r>
      <w:r w:rsidRPr="00884FAA">
        <w:instrText xml:space="preserve"> REF _Ref130645206 \h </w:instrText>
      </w:r>
      <w:r w:rsidRPr="00884FAA">
        <w:fldChar w:fldCharType="separate"/>
      </w:r>
      <w:r w:rsidR="00165B17" w:rsidRPr="00884FAA">
        <w:t xml:space="preserve">Figure </w:t>
      </w:r>
      <w:r w:rsidR="00165B17">
        <w:rPr>
          <w:noProof/>
        </w:rPr>
        <w:t>3</w:t>
      </w:r>
      <w:r w:rsidR="00165B17">
        <w:noBreakHyphen/>
      </w:r>
      <w:r w:rsidR="00165B17">
        <w:rPr>
          <w:noProof/>
        </w:rPr>
        <w:t>15</w:t>
      </w:r>
      <w:r w:rsidRPr="00884FAA">
        <w:fldChar w:fldCharType="end"/>
      </w:r>
      <w:r w:rsidRPr="00884FAA">
        <w:t xml:space="preserve">, with over half of the ACCHSs receiving less than $5 million. For most ACCHSs, the majority of the IAHP funding through direct grants was under the </w:t>
      </w:r>
      <w:r w:rsidR="000F7ACE">
        <w:t>PHC Program</w:t>
      </w:r>
      <w:r w:rsidRPr="00884FAA">
        <w:t xml:space="preserve">, with the exception of Torres Health which received no funding under the </w:t>
      </w:r>
      <w:r w:rsidR="000F7ACE">
        <w:t>PHC Program</w:t>
      </w:r>
      <w:r w:rsidRPr="00884FAA">
        <w:t xml:space="preserve">. </w:t>
      </w:r>
    </w:p>
    <w:p w14:paraId="22B19188" w14:textId="70E6EE2D" w:rsidR="00F64E7D" w:rsidRPr="00884FAA" w:rsidRDefault="00F64E7D" w:rsidP="00F64E7D">
      <w:pPr>
        <w:pStyle w:val="Caption"/>
      </w:pPr>
      <w:bookmarkStart w:id="125" w:name="_Ref130645206"/>
      <w:bookmarkStart w:id="126" w:name="_Toc138851326"/>
      <w:r w:rsidRPr="00884FAA">
        <w:t xml:space="preserve">Figure </w:t>
      </w:r>
      <w:r w:rsidR="005B4A4F">
        <w:fldChar w:fldCharType="begin"/>
      </w:r>
      <w:r w:rsidR="005B4A4F">
        <w:instrText xml:space="preserve"> STYLEREF 1 \s </w:instrText>
      </w:r>
      <w:r w:rsidR="005B4A4F">
        <w:fldChar w:fldCharType="separate"/>
      </w:r>
      <w:r w:rsidR="00165B17">
        <w:rPr>
          <w:noProof/>
        </w:rPr>
        <w:t>3</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15</w:t>
      </w:r>
      <w:r w:rsidR="005B4A4F">
        <w:fldChar w:fldCharType="end"/>
      </w:r>
      <w:bookmarkEnd w:id="125"/>
      <w:r w:rsidRPr="00884FAA">
        <w:t xml:space="preserve">. </w:t>
      </w:r>
      <w:r w:rsidR="00160539">
        <w:t>Total</w:t>
      </w:r>
      <w:r w:rsidRPr="00884FAA">
        <w:t xml:space="preserve"> IAHP funding received directly through grants from the Department of Health and Aged Care, year ending 30 June 2021</w:t>
      </w:r>
      <w:bookmarkEnd w:id="126"/>
    </w:p>
    <w:p w14:paraId="1128E5B3" w14:textId="6B2DD892" w:rsidR="00F64E7D" w:rsidRPr="00884FAA" w:rsidRDefault="0026236A" w:rsidP="00F64E7D">
      <w:pPr>
        <w:spacing w:after="0"/>
      </w:pPr>
      <w:r w:rsidRPr="00884FAA">
        <w:rPr>
          <w:noProof/>
        </w:rPr>
        <w:drawing>
          <wp:inline distT="0" distB="0" distL="0" distR="0" wp14:anchorId="58DA51D3" wp14:editId="398D26E4">
            <wp:extent cx="4572000" cy="2676525"/>
            <wp:effectExtent l="0" t="0" r="0" b="9525"/>
            <wp:docPr id="53" name="Chart 53" descr="Line chart">
              <a:extLst xmlns:a="http://schemas.openxmlformats.org/drawingml/2006/main">
                <a:ext uri="{FF2B5EF4-FFF2-40B4-BE49-F238E27FC236}">
                  <a16:creationId xmlns:a16="http://schemas.microsoft.com/office/drawing/2014/main" id="{0797BC68-DAC3-1333-AA4A-284E24211A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A6B56A3" w14:textId="4CFE0850" w:rsidR="005D4CC7" w:rsidRPr="00884FAA" w:rsidRDefault="00F64E7D" w:rsidP="006D6569">
      <w:pPr>
        <w:spacing w:before="40" w:after="480"/>
      </w:pPr>
      <w:r w:rsidRPr="00884FAA">
        <w:rPr>
          <w:sz w:val="21"/>
          <w:szCs w:val="21"/>
        </w:rPr>
        <w:t>Source: Based on data provided by the Department of Health and Aged Care, March 2023</w:t>
      </w:r>
    </w:p>
    <w:p w14:paraId="6D7E5471" w14:textId="77777777" w:rsidR="001D29FC" w:rsidRPr="00884FAA" w:rsidRDefault="001D29FC" w:rsidP="005D4CC7">
      <w:pPr>
        <w:sectPr w:rsidR="001D29FC" w:rsidRPr="00884FAA" w:rsidSect="000B5D6D">
          <w:type w:val="continuous"/>
          <w:pgSz w:w="11909" w:h="16834" w:code="9"/>
          <w:pgMar w:top="1440" w:right="1440" w:bottom="1440" w:left="1440" w:header="720" w:footer="720" w:gutter="0"/>
          <w:cols w:space="720"/>
          <w:titlePg/>
          <w:docGrid w:linePitch="360"/>
        </w:sectPr>
      </w:pPr>
    </w:p>
    <w:p w14:paraId="5CC9E2EC" w14:textId="668E8950" w:rsidR="00FB090A" w:rsidRPr="00884FAA" w:rsidRDefault="00FB090A" w:rsidP="005D4CC7">
      <w:pPr>
        <w:rPr>
          <w:highlight w:val="yellow"/>
        </w:rPr>
      </w:pPr>
      <w:r w:rsidRPr="00884FAA">
        <w:rPr>
          <w:noProof/>
        </w:rPr>
        <w:lastRenderedPageBreak/>
        <mc:AlternateContent>
          <mc:Choice Requires="wps">
            <w:drawing>
              <wp:anchor distT="0" distB="0" distL="114300" distR="114300" simplePos="0" relativeHeight="251657228" behindDoc="0" locked="1" layoutInCell="1" allowOverlap="1" wp14:anchorId="0536BAC7" wp14:editId="7FBD497E">
                <wp:simplePos x="0" y="0"/>
                <wp:positionH relativeFrom="column">
                  <wp:posOffset>-8890</wp:posOffset>
                </wp:positionH>
                <wp:positionV relativeFrom="margin">
                  <wp:posOffset>1596390</wp:posOffset>
                </wp:positionV>
                <wp:extent cx="5734050" cy="226758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734050" cy="2267585"/>
                        </a:xfrm>
                        <a:prstGeom prst="rect">
                          <a:avLst/>
                        </a:prstGeom>
                        <a:noFill/>
                        <a:ln w="6350">
                          <a:noFill/>
                        </a:ln>
                      </wps:spPr>
                      <wps:txbx>
                        <w:txbxContent>
                          <w:p w14:paraId="147DE1D1" w14:textId="4F010037" w:rsidR="00FB090A" w:rsidRPr="005444A1" w:rsidRDefault="00FB090A" w:rsidP="005361DC">
                            <w:pPr>
                              <w:pStyle w:val="Partheading"/>
                            </w:pPr>
                            <w:bookmarkStart w:id="127" w:name="_Toc137208899"/>
                            <w:r>
                              <w:t>Part B</w:t>
                            </w:r>
                            <w:r w:rsidR="00D441C6">
                              <w:t xml:space="preserve"> – </w:t>
                            </w:r>
                            <w:r w:rsidR="00E54060">
                              <w:t>Values and experiences</w:t>
                            </w:r>
                            <w:bookmarkEnd w:id="127"/>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6BAC7" id="Text Box 48" o:spid="_x0000_s1080" type="#_x0000_t202" style="position:absolute;left:0;text-align:left;margin-left:-.7pt;margin-top:125.7pt;width:451.5pt;height:178.55pt;z-index:2516572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qVGwIAADUEAAAOAAAAZHJzL2Uyb0RvYy54bWysU01v2zAMvQ/YfxB0X5zvdEacImuRYUDQ&#10;FkiHnhVZigXIoiYpsbNfP0rO17qdhl1kUqQfyfeo+X1ba3IQziswBR30+pQIw6FUZlfQ76+rT3eU&#10;+MBMyTQYUdCj8PR+8fHDvLG5GEIFuhSOIIjxeWMLWoVg8yzzvBI18z2wwmBQgqtZQNftstKxBtFr&#10;nQ37/WnWgCutAy68x9vHLkgXCV9KwcOzlF4EoguKvYV0unRu45kt5izfOWYrxU9tsH/oombKYNEL&#10;1CMLjOyd+gOqVtyBBxl6HOoMpFRcpBlwmkH/3TSbilmRZkFyvL3Q5P8fLH86bOyLI6H9Ai0KGAlp&#10;rM89XsZ5Wunq+MVOCcaRwuOFNtEGwvFyMhuN+xMMcYwNh9PZ5G4ScbLr79b58FVATaJRUIe6JLrY&#10;Ye1Dl3pOidUMrJTWSRttSFPQ6Qjxf4sguDZY49pstEK7bYkqsY3ReZItlEcc0EGnvbd8pbCJNfPh&#10;hTkUGxvHBQ7PeEgNWAxOFiUVuJ9/u4/5qAFGKWlweQrqf+yZE5TobwbV+TwYj+O2JWc8mQ3RcbeR&#10;7W3E7OsHwP0c4FOxPJkxP+izKR3Ub7jny1gVQ8xwrF3Q7dl8CN1K4zvhYrlMSbhfloW12VgeoSN5&#10;keLX9o05e9IhoIRPcF4zlr+To8vtaF/uA0iVtIpEd6ye+MfdTGqf3lFc/ls/ZV1f++IXAAAA//8D&#10;AFBLAwQUAAYACAAAACEAd9dpy+EAAAAKAQAADwAAAGRycy9kb3ducmV2LnhtbEyPwU7DMAyG70i8&#10;Q2QkblvSQatRmk5o0sQJiQ2miVvaeE1F41RN1pa3JzvBzZY//f7+YjPbjo04+NaRhGQpgCHVTrfU&#10;SPj82C3WwHxQpFXnCCX8oIdNeXtTqFy7ifY4HkLDYgj5XEkwIfQ55742aJVfuh4p3s5usCrEdWi4&#10;HtQUw23HV0Jk3KqW4gejetwarL8PFyvhy6aVP2/r3dtxfJ2O+4fTu2lOUt7fzS/PwALO4Q+Gq35U&#10;hzI6Ve5C2rNOwiJ5jKSEVXodIvAkkgxYJSET6xR4WfD/FcpfAAAA//8DAFBLAQItABQABgAIAAAA&#10;IQC2gziS/gAAAOEBAAATAAAAAAAAAAAAAAAAAAAAAABbQ29udGVudF9UeXBlc10ueG1sUEsBAi0A&#10;FAAGAAgAAAAhADj9If/WAAAAlAEAAAsAAAAAAAAAAAAAAAAALwEAAF9yZWxzLy5yZWxzUEsBAi0A&#10;FAAGAAgAAAAhABoMipUbAgAANQQAAA4AAAAAAAAAAAAAAAAALgIAAGRycy9lMm9Eb2MueG1sUEsB&#10;Ai0AFAAGAAgAAAAhAHfXacvhAAAACgEAAA8AAAAAAAAAAAAAAAAAdQQAAGRycy9kb3ducmV2Lnht&#10;bFBLBQYAAAAABAAEAPMAAACDBQAAAAA=&#10;" filled="f" stroked="f" strokeweight=".5pt">
                <v:textbox>
                  <w:txbxContent>
                    <w:p w14:paraId="147DE1D1" w14:textId="4F010037" w:rsidR="00FB090A" w:rsidRPr="005444A1" w:rsidRDefault="00FB090A" w:rsidP="005361DC">
                      <w:pPr>
                        <w:pStyle w:val="Partheading"/>
                      </w:pPr>
                      <w:bookmarkStart w:id="128" w:name="_Toc137208899"/>
                      <w:r>
                        <w:t>Part B</w:t>
                      </w:r>
                      <w:r w:rsidR="00D441C6">
                        <w:t xml:space="preserve"> – </w:t>
                      </w:r>
                      <w:r w:rsidR="00E54060">
                        <w:t>Values and experiences</w:t>
                      </w:r>
                      <w:bookmarkEnd w:id="128"/>
                    </w:p>
                  </w:txbxContent>
                </v:textbox>
                <w10:wrap anchory="margin"/>
                <w10:anchorlock/>
              </v:shape>
            </w:pict>
          </mc:Fallback>
        </mc:AlternateContent>
      </w:r>
      <w:r w:rsidRPr="00884FAA">
        <w:rPr>
          <w:noProof/>
        </w:rPr>
        <w:drawing>
          <wp:anchor distT="0" distB="0" distL="114300" distR="114300" simplePos="0" relativeHeight="251657227" behindDoc="1" locked="1" layoutInCell="1" allowOverlap="1" wp14:anchorId="68283DEE" wp14:editId="0B84C66F">
            <wp:simplePos x="0" y="0"/>
            <wp:positionH relativeFrom="page">
              <wp:posOffset>15240</wp:posOffset>
            </wp:positionH>
            <wp:positionV relativeFrom="page">
              <wp:align>top</wp:align>
            </wp:positionV>
            <wp:extent cx="7546975" cy="10680700"/>
            <wp:effectExtent l="0" t="0" r="0" b="635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546975" cy="10680700"/>
                    </a:xfrm>
                    <a:prstGeom prst="rect">
                      <a:avLst/>
                    </a:prstGeom>
                  </pic:spPr>
                </pic:pic>
              </a:graphicData>
            </a:graphic>
            <wp14:sizeRelH relativeFrom="margin">
              <wp14:pctWidth>0</wp14:pctWidth>
            </wp14:sizeRelH>
            <wp14:sizeRelV relativeFrom="margin">
              <wp14:pctHeight>0</wp14:pctHeight>
            </wp14:sizeRelV>
          </wp:anchor>
        </w:drawing>
      </w:r>
    </w:p>
    <w:p w14:paraId="2ABCA897" w14:textId="77777777" w:rsidR="00FB090A" w:rsidRPr="00884FAA" w:rsidRDefault="00FB090A" w:rsidP="005D4CC7">
      <w:pPr>
        <w:rPr>
          <w:highlight w:val="yellow"/>
        </w:rPr>
      </w:pPr>
    </w:p>
    <w:p w14:paraId="666919B3" w14:textId="77777777" w:rsidR="00FB090A" w:rsidRPr="00884FAA" w:rsidRDefault="00FB090A" w:rsidP="005D4CC7">
      <w:pPr>
        <w:rPr>
          <w:highlight w:val="yellow"/>
        </w:rPr>
      </w:pPr>
    </w:p>
    <w:p w14:paraId="072404C4" w14:textId="77777777" w:rsidR="00FB090A" w:rsidRPr="00884FAA" w:rsidRDefault="00FB090A" w:rsidP="005D4CC7">
      <w:pPr>
        <w:rPr>
          <w:highlight w:val="yellow"/>
        </w:rPr>
      </w:pPr>
    </w:p>
    <w:p w14:paraId="6DA3D177" w14:textId="77777777" w:rsidR="00FB090A" w:rsidRPr="00884FAA" w:rsidRDefault="00FB090A" w:rsidP="005D4CC7">
      <w:pPr>
        <w:rPr>
          <w:highlight w:val="yellow"/>
        </w:rPr>
      </w:pPr>
    </w:p>
    <w:p w14:paraId="7E31559F" w14:textId="77777777" w:rsidR="00FB090A" w:rsidRPr="00884FAA" w:rsidRDefault="00FB090A" w:rsidP="005D4CC7">
      <w:pPr>
        <w:rPr>
          <w:highlight w:val="yellow"/>
        </w:rPr>
      </w:pPr>
    </w:p>
    <w:p w14:paraId="5C4143F4" w14:textId="77777777" w:rsidR="00FB090A" w:rsidRPr="00884FAA" w:rsidRDefault="00FB090A" w:rsidP="005D4CC7">
      <w:pPr>
        <w:rPr>
          <w:highlight w:val="yellow"/>
        </w:rPr>
      </w:pPr>
    </w:p>
    <w:p w14:paraId="6EE1E211" w14:textId="77777777" w:rsidR="00FB090A" w:rsidRPr="00884FAA" w:rsidRDefault="00FB090A" w:rsidP="005D4CC7">
      <w:pPr>
        <w:rPr>
          <w:highlight w:val="yellow"/>
        </w:rPr>
      </w:pPr>
    </w:p>
    <w:p w14:paraId="2BD835CA" w14:textId="77777777" w:rsidR="00FB090A" w:rsidRPr="00884FAA" w:rsidRDefault="00FB090A" w:rsidP="005D4CC7">
      <w:pPr>
        <w:rPr>
          <w:highlight w:val="yellow"/>
        </w:rPr>
      </w:pPr>
    </w:p>
    <w:p w14:paraId="73008D22" w14:textId="77777777" w:rsidR="00FB090A" w:rsidRPr="00884FAA" w:rsidRDefault="00FB090A" w:rsidP="005D4CC7">
      <w:pPr>
        <w:rPr>
          <w:highlight w:val="yellow"/>
        </w:rPr>
      </w:pPr>
    </w:p>
    <w:p w14:paraId="03D88846" w14:textId="77777777" w:rsidR="00FB090A" w:rsidRPr="00884FAA" w:rsidRDefault="00FB090A" w:rsidP="005D4CC7">
      <w:pPr>
        <w:rPr>
          <w:highlight w:val="yellow"/>
        </w:rPr>
      </w:pPr>
    </w:p>
    <w:p w14:paraId="3E8B3DEB" w14:textId="77777777" w:rsidR="00FB090A" w:rsidRPr="00884FAA" w:rsidRDefault="00FB090A" w:rsidP="005D4CC7">
      <w:pPr>
        <w:rPr>
          <w:highlight w:val="yellow"/>
        </w:rPr>
      </w:pPr>
    </w:p>
    <w:p w14:paraId="06845147" w14:textId="0665BAF9" w:rsidR="00FB090A" w:rsidRPr="00884FAA" w:rsidRDefault="00FB090A" w:rsidP="005D4CC7">
      <w:pPr>
        <w:rPr>
          <w:highlight w:val="yellow"/>
        </w:rPr>
      </w:pPr>
    </w:p>
    <w:p w14:paraId="279C4C30" w14:textId="1096A3A0" w:rsidR="00007EF8" w:rsidRDefault="00007EF8">
      <w:pPr>
        <w:jc w:val="left"/>
        <w:rPr>
          <w:highlight w:val="yellow"/>
        </w:rPr>
      </w:pPr>
      <w:r>
        <w:rPr>
          <w:highlight w:val="yellow"/>
        </w:rPr>
        <w:br w:type="page"/>
      </w:r>
    </w:p>
    <w:p w14:paraId="46E3CC76" w14:textId="0684AC86" w:rsidR="006B609E" w:rsidRDefault="00DD13F3" w:rsidP="003D4A7C">
      <w:pPr>
        <w:pStyle w:val="Heading1NotNumbered"/>
      </w:pPr>
      <w:bookmarkStart w:id="129" w:name="_Toc137208900"/>
      <w:bookmarkStart w:id="130" w:name="_Ref131606427"/>
      <w:r w:rsidRPr="00B44FA0">
        <w:rPr>
          <w:noProof/>
        </w:rPr>
        <w:lastRenderedPageBreak/>
        <w:drawing>
          <wp:anchor distT="0" distB="0" distL="114300" distR="114300" simplePos="0" relativeHeight="251658288" behindDoc="0" locked="1" layoutInCell="1" allowOverlap="0" wp14:anchorId="3B8ACB51" wp14:editId="32B412D0">
            <wp:simplePos x="0" y="0"/>
            <wp:positionH relativeFrom="column">
              <wp:posOffset>3274518</wp:posOffset>
            </wp:positionH>
            <wp:positionV relativeFrom="paragraph">
              <wp:posOffset>-777875</wp:posOffset>
            </wp:positionV>
            <wp:extent cx="3222000" cy="687600"/>
            <wp:effectExtent l="0" t="0" r="0" b="0"/>
            <wp:wrapNone/>
            <wp:docPr id="1098" name="Picture 1098">
              <a:extLst xmlns:a="http://schemas.openxmlformats.org/drawingml/2006/main">
                <a:ext uri="{FF2B5EF4-FFF2-40B4-BE49-F238E27FC236}">
                  <a16:creationId xmlns:a16="http://schemas.microsoft.com/office/drawing/2014/main" id="{4EBDE618-B0E6-E7AE-AE86-00238D7845F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Picture 1098">
                      <a:extLst>
                        <a:ext uri="{FF2B5EF4-FFF2-40B4-BE49-F238E27FC236}">
                          <a16:creationId xmlns:a16="http://schemas.microsoft.com/office/drawing/2014/main" id="{4EBDE618-B0E6-E7AE-AE86-00238D7845FD}"/>
                        </a:ext>
                        <a:ext uri="{C183D7F6-B498-43B3-948B-1728B52AA6E4}">
                          <adec:decorative xmlns:adec="http://schemas.microsoft.com/office/drawing/2017/decorative" val="1"/>
                        </a:ext>
                      </a:extLst>
                    </pic:cNvPr>
                    <pic:cNvPicPr>
                      <a:picLocks noChangeAspect="1"/>
                    </pic:cNvPicPr>
                  </pic:nvPicPr>
                  <pic:blipFill>
                    <a:blip r:embed="rId89">
                      <a:extLst>
                        <a:ext uri="{96DAC541-7B7A-43D3-8B79-37D633B846F1}">
                          <asvg:svgBlip xmlns:asvg="http://schemas.microsoft.com/office/drawing/2016/SVG/main" r:embed="rId90"/>
                        </a:ext>
                      </a:extLst>
                    </a:blip>
                    <a:stretch>
                      <a:fillRect/>
                    </a:stretch>
                  </pic:blipFill>
                  <pic:spPr>
                    <a:xfrm>
                      <a:off x="0" y="0"/>
                      <a:ext cx="3222000" cy="687600"/>
                    </a:xfrm>
                    <a:prstGeom prst="rect">
                      <a:avLst/>
                    </a:prstGeom>
                  </pic:spPr>
                </pic:pic>
              </a:graphicData>
            </a:graphic>
            <wp14:sizeRelH relativeFrom="margin">
              <wp14:pctWidth>0</wp14:pctWidth>
            </wp14:sizeRelH>
            <wp14:sizeRelV relativeFrom="margin">
              <wp14:pctHeight>0</wp14:pctHeight>
            </wp14:sizeRelV>
          </wp:anchor>
        </w:drawing>
      </w:r>
      <w:r w:rsidR="006B609E" w:rsidRPr="00B44FA0">
        <w:t>Overview of Part B</w:t>
      </w:r>
      <w:bookmarkEnd w:id="129"/>
    </w:p>
    <w:p w14:paraId="1F99CE07" w14:textId="7894D6C5" w:rsidR="007E760F" w:rsidRDefault="000A6892">
      <w:pPr>
        <w:jc w:val="left"/>
      </w:pPr>
      <w:r>
        <w:t xml:space="preserve">Part B outlines findings relating to </w:t>
      </w:r>
      <w:r w:rsidR="008362E0">
        <w:t xml:space="preserve">the </w:t>
      </w:r>
      <w:r w:rsidR="00D547F4">
        <w:t xml:space="preserve">values and experiences of </w:t>
      </w:r>
      <w:r w:rsidR="00403E35">
        <w:t>Aboriginal and Torres Strait Islander people</w:t>
      </w:r>
      <w:r>
        <w:t xml:space="preserve">. </w:t>
      </w:r>
      <w:r w:rsidR="007E760F">
        <w:t>This</w:t>
      </w:r>
      <w:r w:rsidR="00DF5A73">
        <w:t xml:space="preserve"> Part</w:t>
      </w:r>
      <w:r w:rsidR="007E760F">
        <w:t xml:space="preserve"> includes the following </w:t>
      </w:r>
      <w:r w:rsidR="00C4537A">
        <w:t>sections</w:t>
      </w:r>
      <w:r w:rsidR="007E760F">
        <w:t>:</w:t>
      </w:r>
    </w:p>
    <w:p w14:paraId="102DAD0B" w14:textId="4B160FD7" w:rsidR="008362E0" w:rsidRPr="008F6539" w:rsidRDefault="003F6EFE" w:rsidP="003B3C05">
      <w:pPr>
        <w:numPr>
          <w:ilvl w:val="0"/>
          <w:numId w:val="19"/>
        </w:numPr>
        <w:spacing w:after="120"/>
        <w:rPr>
          <w:b/>
          <w:bCs/>
        </w:rPr>
      </w:pPr>
      <w:r w:rsidRPr="002866B4">
        <w:rPr>
          <w:b/>
          <w:bCs/>
        </w:rPr>
        <w:t xml:space="preserve">Section </w:t>
      </w:r>
      <w:r w:rsidR="00C226AF" w:rsidRPr="002866B4">
        <w:rPr>
          <w:b/>
          <w:bCs/>
        </w:rPr>
        <w:t>6</w:t>
      </w:r>
      <w:r>
        <w:t xml:space="preserve"> </w:t>
      </w:r>
      <w:r w:rsidR="00AD3BB5">
        <w:t>–</w:t>
      </w:r>
      <w:r>
        <w:t xml:space="preserve"> </w:t>
      </w:r>
      <w:r w:rsidR="007E760F" w:rsidRPr="008F6539">
        <w:rPr>
          <w:b/>
          <w:bCs/>
        </w:rPr>
        <w:t>Understanding</w:t>
      </w:r>
      <w:r w:rsidR="00AD3BB5">
        <w:rPr>
          <w:b/>
          <w:bCs/>
        </w:rPr>
        <w:t xml:space="preserve"> </w:t>
      </w:r>
      <w:r w:rsidR="007E760F" w:rsidRPr="008F6539">
        <w:rPr>
          <w:b/>
          <w:bCs/>
        </w:rPr>
        <w:t>what Aboriginal and Torres Strait Islander people value in health care</w:t>
      </w:r>
      <w:r w:rsidR="005C0983">
        <w:rPr>
          <w:b/>
          <w:bCs/>
        </w:rPr>
        <w:t xml:space="preserve"> </w:t>
      </w:r>
      <w:r w:rsidR="005C0983" w:rsidRPr="003A3A25">
        <w:t>uses</w:t>
      </w:r>
      <w:r w:rsidR="005C0983">
        <w:rPr>
          <w:b/>
          <w:bCs/>
        </w:rPr>
        <w:t xml:space="preserve"> </w:t>
      </w:r>
      <w:r w:rsidR="005C0983" w:rsidRPr="003A3A25">
        <w:t xml:space="preserve">the Babuny – or bottle tree – to </w:t>
      </w:r>
      <w:r w:rsidR="00695A5F">
        <w:t xml:space="preserve">explain </w:t>
      </w:r>
      <w:r w:rsidR="005C0983" w:rsidRPr="003A3A25">
        <w:t>what Aboriginal and Torres Strait Islander people value in health</w:t>
      </w:r>
      <w:r w:rsidR="004C212B">
        <w:t xml:space="preserve"> </w:t>
      </w:r>
      <w:r w:rsidR="00906521">
        <w:t>service design and delivery</w:t>
      </w:r>
      <w:r w:rsidR="00695A5F">
        <w:t xml:space="preserve">. </w:t>
      </w:r>
    </w:p>
    <w:p w14:paraId="13140FAF" w14:textId="7860089F" w:rsidR="00C4537A" w:rsidRPr="003A6C66" w:rsidRDefault="003F6EFE" w:rsidP="003B3C05">
      <w:pPr>
        <w:numPr>
          <w:ilvl w:val="0"/>
          <w:numId w:val="19"/>
        </w:numPr>
        <w:spacing w:after="120"/>
      </w:pPr>
      <w:r w:rsidRPr="002866B4">
        <w:rPr>
          <w:b/>
          <w:bCs/>
        </w:rPr>
        <w:t xml:space="preserve">Section </w:t>
      </w:r>
      <w:r w:rsidR="00C226AF" w:rsidRPr="002866B4">
        <w:rPr>
          <w:b/>
          <w:bCs/>
        </w:rPr>
        <w:t>7</w:t>
      </w:r>
      <w:r w:rsidR="00AD3BB5">
        <w:rPr>
          <w:b/>
          <w:bCs/>
        </w:rPr>
        <w:t xml:space="preserve"> </w:t>
      </w:r>
      <w:r w:rsidR="00AD3BB5">
        <w:t>–</w:t>
      </w:r>
      <w:r w:rsidR="00C226AF">
        <w:t xml:space="preserve"> </w:t>
      </w:r>
      <w:r w:rsidR="00C4537A" w:rsidRPr="003A3A25">
        <w:rPr>
          <w:b/>
          <w:bCs/>
        </w:rPr>
        <w:t>Understanding</w:t>
      </w:r>
      <w:r w:rsidR="00AD3BB5">
        <w:rPr>
          <w:b/>
          <w:bCs/>
        </w:rPr>
        <w:t xml:space="preserve"> </w:t>
      </w:r>
      <w:r w:rsidR="00C4537A" w:rsidRPr="003A3A25">
        <w:rPr>
          <w:b/>
          <w:bCs/>
        </w:rPr>
        <w:t>how Aboriginal and Torres Strait Islander people experience the health system</w:t>
      </w:r>
      <w:r w:rsidR="003A6C66">
        <w:rPr>
          <w:b/>
          <w:bCs/>
        </w:rPr>
        <w:t xml:space="preserve"> </w:t>
      </w:r>
      <w:r w:rsidR="003A6C66" w:rsidRPr="003A3A25">
        <w:t>sets out the findings in relation to experiences of the health system for Aboriginal and Torres Strait Islander people. This includes people’s experiences across the health system; in Aboriginal and Torres Strait Islander community-controlled health settings and mainstream health settings.</w:t>
      </w:r>
      <w:r w:rsidR="00AA35E2">
        <w:t xml:space="preserve"> </w:t>
      </w:r>
      <w:r w:rsidR="00C4537A" w:rsidRPr="003A6C66">
        <w:t xml:space="preserve"> </w:t>
      </w:r>
    </w:p>
    <w:p w14:paraId="5FC99D8A" w14:textId="09E82693" w:rsidR="00487EB4" w:rsidRDefault="00C4537A" w:rsidP="001A7B8A">
      <w:r>
        <w:t xml:space="preserve">Importantly, </w:t>
      </w:r>
      <w:r w:rsidR="00982A49">
        <w:t xml:space="preserve">the </w:t>
      </w:r>
      <w:r>
        <w:t xml:space="preserve">analysis and </w:t>
      </w:r>
      <w:r w:rsidR="00982A49">
        <w:t xml:space="preserve">key </w:t>
      </w:r>
      <w:r>
        <w:t xml:space="preserve">findings </w:t>
      </w:r>
      <w:r w:rsidR="00982A49">
        <w:t xml:space="preserve">in this Part </w:t>
      </w:r>
      <w:r>
        <w:t xml:space="preserve">relate to the values and experiences of Aboriginal and Torres Strait Islander people across the </w:t>
      </w:r>
      <w:r w:rsidR="009538B5">
        <w:t xml:space="preserve">health system and are not confined to experiences of </w:t>
      </w:r>
      <w:r w:rsidR="003279C5">
        <w:t>PHC</w:t>
      </w:r>
      <w:r w:rsidR="009538B5">
        <w:t xml:space="preserve"> funded through IAHP. </w:t>
      </w:r>
    </w:p>
    <w:p w14:paraId="29CE0DE9" w14:textId="4DE85EDC" w:rsidR="00A905E9" w:rsidRPr="00E54060" w:rsidRDefault="003A50D3" w:rsidP="001A7B8A">
      <w:r w:rsidRPr="00E54060">
        <w:t xml:space="preserve">This Part </w:t>
      </w:r>
      <w:r w:rsidR="00D54C64" w:rsidRPr="00E54060">
        <w:t xml:space="preserve">draws on qualitative analysis to </w:t>
      </w:r>
      <w:r w:rsidR="00597539" w:rsidRPr="00E54060">
        <w:t xml:space="preserve">develop </w:t>
      </w:r>
      <w:r w:rsidR="00EA5CEE" w:rsidRPr="00E54060">
        <w:t>evaluative criteri</w:t>
      </w:r>
      <w:r w:rsidR="00EA5CEE">
        <w:t xml:space="preserve">a </w:t>
      </w:r>
      <w:r w:rsidR="00597539" w:rsidRPr="00E54060">
        <w:t xml:space="preserve">to </w:t>
      </w:r>
      <w:r w:rsidR="00FC1F89">
        <w:t xml:space="preserve">inform </w:t>
      </w:r>
      <w:r w:rsidR="00E54060" w:rsidRPr="00E54060">
        <w:t xml:space="preserve">responses </w:t>
      </w:r>
      <w:r w:rsidR="00597539" w:rsidRPr="00E54060">
        <w:t xml:space="preserve">to the </w:t>
      </w:r>
      <w:r w:rsidR="00E54060" w:rsidRPr="00E54060">
        <w:t>KEQs</w:t>
      </w:r>
      <w:r w:rsidR="00597539" w:rsidRPr="00E54060">
        <w:t>.</w:t>
      </w:r>
      <w:r w:rsidR="00A905E9" w:rsidRPr="00E54060">
        <w:t xml:space="preserve"> </w:t>
      </w:r>
      <w:r w:rsidR="00597539" w:rsidRPr="00E54060">
        <w:t xml:space="preserve">Developing an improved understanding of consumer perspectives and experiences of the health system </w:t>
      </w:r>
      <w:r w:rsidR="00132BAA">
        <w:t xml:space="preserve">based on </w:t>
      </w:r>
      <w:r w:rsidR="00597539" w:rsidRPr="00E54060">
        <w:t xml:space="preserve">what </w:t>
      </w:r>
      <w:r w:rsidR="004611F2">
        <w:t>Aboriginal and Torres Strait Islander people</w:t>
      </w:r>
      <w:r w:rsidR="00597539" w:rsidRPr="00E54060">
        <w:t xml:space="preserve"> </w:t>
      </w:r>
      <w:r w:rsidR="00597539" w:rsidRPr="00132BAA">
        <w:rPr>
          <w:b/>
          <w:bCs/>
          <w:i/>
          <w:iCs/>
        </w:rPr>
        <w:t>value</w:t>
      </w:r>
      <w:r w:rsidR="00597539" w:rsidRPr="00E54060">
        <w:t xml:space="preserve"> was essential to shape the approach to the evaluation of </w:t>
      </w:r>
      <w:r w:rsidR="00597539" w:rsidRPr="00FC1F89">
        <w:rPr>
          <w:b/>
          <w:bCs/>
          <w:i/>
          <w:iCs/>
        </w:rPr>
        <w:t>how well</w:t>
      </w:r>
      <w:r w:rsidR="00597539" w:rsidRPr="00E54060">
        <w:t xml:space="preserve"> the PHC </w:t>
      </w:r>
      <w:r w:rsidR="0068190C">
        <w:t xml:space="preserve">system </w:t>
      </w:r>
      <w:r w:rsidR="00597539" w:rsidRPr="00E54060">
        <w:t xml:space="preserve">was </w:t>
      </w:r>
      <w:r w:rsidR="00597539" w:rsidRPr="00E900D3">
        <w:rPr>
          <w:b/>
          <w:bCs/>
          <w:i/>
          <w:iCs/>
        </w:rPr>
        <w:t>working</w:t>
      </w:r>
      <w:r w:rsidR="00597539" w:rsidRPr="00E54060">
        <w:t xml:space="preserve"> </w:t>
      </w:r>
      <w:r w:rsidR="00597539" w:rsidRPr="00132BAA">
        <w:rPr>
          <w:b/>
          <w:bCs/>
          <w:i/>
          <w:iCs/>
        </w:rPr>
        <w:t>for</w:t>
      </w:r>
      <w:r w:rsidR="00597539" w:rsidRPr="00E54060">
        <w:t xml:space="preserve"> Aboriginal and Torres Strait Islander people.</w:t>
      </w:r>
      <w:r w:rsidR="00AA35E2">
        <w:t xml:space="preserve"> </w:t>
      </w:r>
    </w:p>
    <w:p w14:paraId="6C9CE093" w14:textId="019FF465" w:rsidR="00597539" w:rsidRDefault="00597539" w:rsidP="001A7B8A">
      <w:r w:rsidRPr="00E54060">
        <w:t xml:space="preserve">Building a detailed understanding of consumer perspectives was also essential to shape the evaluative criteria to </w:t>
      </w:r>
      <w:r w:rsidR="008722A8">
        <w:t xml:space="preserve">assess </w:t>
      </w:r>
      <w:r w:rsidRPr="00E54060">
        <w:t xml:space="preserve">the contribution of the IAHP to enabling the PHC system to </w:t>
      </w:r>
      <w:r w:rsidRPr="00132BAA">
        <w:rPr>
          <w:b/>
          <w:bCs/>
          <w:i/>
          <w:iCs/>
        </w:rPr>
        <w:t>work for</w:t>
      </w:r>
      <w:r w:rsidRPr="00E54060">
        <w:t xml:space="preserve"> Aboriginal and Torres Strait Islander people</w:t>
      </w:r>
      <w:r w:rsidR="00E900D3">
        <w:t>,</w:t>
      </w:r>
      <w:r w:rsidRPr="00E54060">
        <w:t xml:space="preserve"> and approach key questions relating to the impact of this investment on health and wellbeing outcomes and improvements to experiences of PHC for Aboriginal and Torres Strait Islander people.</w:t>
      </w:r>
    </w:p>
    <w:p w14:paraId="2D0CA889" w14:textId="10FE8160" w:rsidR="00DD709D" w:rsidRDefault="008722A8" w:rsidP="001A7B8A">
      <w:r>
        <w:t xml:space="preserve">The findings in this Part </w:t>
      </w:r>
      <w:r w:rsidR="00982A49">
        <w:t xml:space="preserve">provide important </w:t>
      </w:r>
      <w:r>
        <w:t xml:space="preserve">foundation </w:t>
      </w:r>
      <w:r w:rsidR="00982A49">
        <w:t xml:space="preserve">to understanding </w:t>
      </w:r>
      <w:r w:rsidR="004D5CD1">
        <w:t>the extent to which</w:t>
      </w:r>
      <w:r w:rsidR="00982A49">
        <w:t xml:space="preserve"> the IAHP </w:t>
      </w:r>
      <w:r w:rsidR="00795D3C">
        <w:t xml:space="preserve">supports the delivery of </w:t>
      </w:r>
      <w:r w:rsidR="003279C5">
        <w:t>PHC</w:t>
      </w:r>
      <w:r w:rsidR="00795D3C">
        <w:t xml:space="preserve"> that aligns</w:t>
      </w:r>
      <w:r w:rsidR="00F56FE7">
        <w:t xml:space="preserve"> with what </w:t>
      </w:r>
      <w:r w:rsidR="00004D78">
        <w:t>Aboriginal and Torres S</w:t>
      </w:r>
      <w:r w:rsidR="00DD709D">
        <w:t xml:space="preserve">trait Islander </w:t>
      </w:r>
      <w:r w:rsidR="00F56FE7">
        <w:t xml:space="preserve">people value </w:t>
      </w:r>
      <w:r w:rsidR="00004D78">
        <w:t>in</w:t>
      </w:r>
      <w:r w:rsidR="00DD709D">
        <w:t xml:space="preserve"> health care</w:t>
      </w:r>
      <w:r w:rsidR="00795D3C">
        <w:t xml:space="preserve">. </w:t>
      </w:r>
    </w:p>
    <w:p w14:paraId="2146682F" w14:textId="23285FF4" w:rsidR="00C4537A" w:rsidRDefault="00795D3C" w:rsidP="001A7B8A">
      <w:r>
        <w:t>Specific findings relating to the IAHP are set out in Part C.</w:t>
      </w:r>
      <w:r w:rsidR="00AA35E2">
        <w:t xml:space="preserve"> </w:t>
      </w:r>
    </w:p>
    <w:p w14:paraId="62AB465D" w14:textId="2C59E833" w:rsidR="006B609E" w:rsidRDefault="006B609E">
      <w:pPr>
        <w:jc w:val="left"/>
        <w:rPr>
          <w:b/>
          <w:caps/>
          <w:color w:val="9E6047" w:themeColor="accent3"/>
          <w:kern w:val="28"/>
          <w:sz w:val="40"/>
          <w:szCs w:val="48"/>
        </w:rPr>
      </w:pPr>
      <w:r>
        <w:br w:type="page"/>
      </w:r>
    </w:p>
    <w:bookmarkStart w:id="131" w:name="_Ref137154091"/>
    <w:bookmarkStart w:id="132" w:name="_Ref137154268"/>
    <w:bookmarkStart w:id="133" w:name="_Ref137154491"/>
    <w:bookmarkStart w:id="134" w:name="_Toc137208901"/>
    <w:p w14:paraId="3AFE77E2" w14:textId="3F0D1014" w:rsidR="003A32E1" w:rsidRPr="00884FAA" w:rsidRDefault="00A738EC" w:rsidP="003D4A7C">
      <w:pPr>
        <w:pStyle w:val="Heading1"/>
      </w:pPr>
      <w:r>
        <w:rPr>
          <w:noProof/>
        </w:rPr>
        <w:lastRenderedPageBreak/>
        <mc:AlternateContent>
          <mc:Choice Requires="wpg">
            <w:drawing>
              <wp:anchor distT="0" distB="0" distL="114300" distR="114300" simplePos="0" relativeHeight="251657234" behindDoc="1" locked="1" layoutInCell="1" allowOverlap="0" wp14:anchorId="0C293ABF" wp14:editId="19B8F063">
                <wp:simplePos x="0" y="0"/>
                <wp:positionH relativeFrom="margin">
                  <wp:posOffset>-111760</wp:posOffset>
                </wp:positionH>
                <wp:positionV relativeFrom="page">
                  <wp:posOffset>2066290</wp:posOffset>
                </wp:positionV>
                <wp:extent cx="5831840" cy="6162675"/>
                <wp:effectExtent l="19050" t="19050" r="35560" b="47625"/>
                <wp:wrapNone/>
                <wp:docPr id="794351315" name="Group 794351315" descr="Text box - Key Findings"/>
                <wp:cNvGraphicFramePr/>
                <a:graphic xmlns:a="http://schemas.openxmlformats.org/drawingml/2006/main">
                  <a:graphicData uri="http://schemas.microsoft.com/office/word/2010/wordprocessingGroup">
                    <wpg:wgp>
                      <wpg:cNvGrpSpPr/>
                      <wpg:grpSpPr>
                        <a:xfrm>
                          <a:off x="0" y="0"/>
                          <a:ext cx="5831840" cy="6162675"/>
                          <a:chOff x="0" y="-66594"/>
                          <a:chExt cx="7727152" cy="6167103"/>
                        </a:xfrm>
                      </wpg:grpSpPr>
                      <wps:wsp>
                        <wps:cNvPr id="1246684989" name="Rectangle 5"/>
                        <wps:cNvSpPr/>
                        <wps:spPr>
                          <a:xfrm>
                            <a:off x="0" y="1275477"/>
                            <a:ext cx="7716522" cy="4516081"/>
                          </a:xfrm>
                          <a:custGeom>
                            <a:avLst/>
                            <a:gdLst>
                              <a:gd name="connsiteX0" fmla="*/ 0 w 7716522"/>
                              <a:gd name="connsiteY0" fmla="*/ 0 h 4516081"/>
                              <a:gd name="connsiteX1" fmla="*/ 411548 w 7716522"/>
                              <a:gd name="connsiteY1" fmla="*/ 0 h 4516081"/>
                              <a:gd name="connsiteX2" fmla="*/ 1131757 w 7716522"/>
                              <a:gd name="connsiteY2" fmla="*/ 0 h 4516081"/>
                              <a:gd name="connsiteX3" fmla="*/ 1543304 w 7716522"/>
                              <a:gd name="connsiteY3" fmla="*/ 0 h 4516081"/>
                              <a:gd name="connsiteX4" fmla="*/ 1954852 w 7716522"/>
                              <a:gd name="connsiteY4" fmla="*/ 0 h 4516081"/>
                              <a:gd name="connsiteX5" fmla="*/ 2752226 w 7716522"/>
                              <a:gd name="connsiteY5" fmla="*/ 0 h 4516081"/>
                              <a:gd name="connsiteX6" fmla="*/ 3395270 w 7716522"/>
                              <a:gd name="connsiteY6" fmla="*/ 0 h 4516081"/>
                              <a:gd name="connsiteX7" fmla="*/ 3806818 w 7716522"/>
                              <a:gd name="connsiteY7" fmla="*/ 0 h 4516081"/>
                              <a:gd name="connsiteX8" fmla="*/ 4449861 w 7716522"/>
                              <a:gd name="connsiteY8" fmla="*/ 0 h 4516081"/>
                              <a:gd name="connsiteX9" fmla="*/ 5247235 w 7716522"/>
                              <a:gd name="connsiteY9" fmla="*/ 0 h 4516081"/>
                              <a:gd name="connsiteX10" fmla="*/ 5813113 w 7716522"/>
                              <a:gd name="connsiteY10" fmla="*/ 0 h 4516081"/>
                              <a:gd name="connsiteX11" fmla="*/ 6378992 w 7716522"/>
                              <a:gd name="connsiteY11" fmla="*/ 0 h 4516081"/>
                              <a:gd name="connsiteX12" fmla="*/ 7022035 w 7716522"/>
                              <a:gd name="connsiteY12" fmla="*/ 0 h 4516081"/>
                              <a:gd name="connsiteX13" fmla="*/ 7716522 w 7716522"/>
                              <a:gd name="connsiteY13" fmla="*/ 0 h 4516081"/>
                              <a:gd name="connsiteX14" fmla="*/ 7716522 w 7716522"/>
                              <a:gd name="connsiteY14" fmla="*/ 690315 h 4516081"/>
                              <a:gd name="connsiteX15" fmla="*/ 7716522 w 7716522"/>
                              <a:gd name="connsiteY15" fmla="*/ 1425791 h 4516081"/>
                              <a:gd name="connsiteX16" fmla="*/ 7716522 w 7716522"/>
                              <a:gd name="connsiteY16" fmla="*/ 2025785 h 4516081"/>
                              <a:gd name="connsiteX17" fmla="*/ 7716522 w 7716522"/>
                              <a:gd name="connsiteY17" fmla="*/ 2580618 h 4516081"/>
                              <a:gd name="connsiteX18" fmla="*/ 7716522 w 7716522"/>
                              <a:gd name="connsiteY18" fmla="*/ 3225772 h 4516081"/>
                              <a:gd name="connsiteX19" fmla="*/ 7716522 w 7716522"/>
                              <a:gd name="connsiteY19" fmla="*/ 3916087 h 4516081"/>
                              <a:gd name="connsiteX20" fmla="*/ 7716522 w 7716522"/>
                              <a:gd name="connsiteY20" fmla="*/ 4516081 h 4516081"/>
                              <a:gd name="connsiteX21" fmla="*/ 6996313 w 7716522"/>
                              <a:gd name="connsiteY21" fmla="*/ 4516081 h 4516081"/>
                              <a:gd name="connsiteX22" fmla="*/ 6430435 w 7716522"/>
                              <a:gd name="connsiteY22" fmla="*/ 4516081 h 4516081"/>
                              <a:gd name="connsiteX23" fmla="*/ 5864557 w 7716522"/>
                              <a:gd name="connsiteY23" fmla="*/ 4516081 h 4516081"/>
                              <a:gd name="connsiteX24" fmla="*/ 5298678 w 7716522"/>
                              <a:gd name="connsiteY24" fmla="*/ 4516081 h 4516081"/>
                              <a:gd name="connsiteX25" fmla="*/ 4732800 w 7716522"/>
                              <a:gd name="connsiteY25" fmla="*/ 4516081 h 4516081"/>
                              <a:gd name="connsiteX26" fmla="*/ 4012591 w 7716522"/>
                              <a:gd name="connsiteY26" fmla="*/ 4516081 h 4516081"/>
                              <a:gd name="connsiteX27" fmla="*/ 3369548 w 7716522"/>
                              <a:gd name="connsiteY27" fmla="*/ 4516081 h 4516081"/>
                              <a:gd name="connsiteX28" fmla="*/ 2958000 w 7716522"/>
                              <a:gd name="connsiteY28" fmla="*/ 4516081 h 4516081"/>
                              <a:gd name="connsiteX29" fmla="*/ 2392122 w 7716522"/>
                              <a:gd name="connsiteY29" fmla="*/ 4516081 h 4516081"/>
                              <a:gd name="connsiteX30" fmla="*/ 1671913 w 7716522"/>
                              <a:gd name="connsiteY30" fmla="*/ 4516081 h 4516081"/>
                              <a:gd name="connsiteX31" fmla="*/ 1183200 w 7716522"/>
                              <a:gd name="connsiteY31" fmla="*/ 4516081 h 4516081"/>
                              <a:gd name="connsiteX32" fmla="*/ 0 w 7716522"/>
                              <a:gd name="connsiteY32" fmla="*/ 4516081 h 4516081"/>
                              <a:gd name="connsiteX33" fmla="*/ 0 w 7716522"/>
                              <a:gd name="connsiteY33" fmla="*/ 3780605 h 4516081"/>
                              <a:gd name="connsiteX34" fmla="*/ 0 w 7716522"/>
                              <a:gd name="connsiteY34" fmla="*/ 3045129 h 4516081"/>
                              <a:gd name="connsiteX35" fmla="*/ 0 w 7716522"/>
                              <a:gd name="connsiteY35" fmla="*/ 2535457 h 4516081"/>
                              <a:gd name="connsiteX36" fmla="*/ 0 w 7716522"/>
                              <a:gd name="connsiteY36" fmla="*/ 1890302 h 4516081"/>
                              <a:gd name="connsiteX37" fmla="*/ 0 w 7716522"/>
                              <a:gd name="connsiteY37" fmla="*/ 1335470 h 4516081"/>
                              <a:gd name="connsiteX38" fmla="*/ 0 w 7716522"/>
                              <a:gd name="connsiteY38" fmla="*/ 780637 h 4516081"/>
                              <a:gd name="connsiteX39" fmla="*/ 0 w 7716522"/>
                              <a:gd name="connsiteY39" fmla="*/ 0 h 45160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7716522" h="4516081" fill="none" extrusionOk="0">
                                <a:moveTo>
                                  <a:pt x="0" y="0"/>
                                </a:moveTo>
                                <a:cubicBezTo>
                                  <a:pt x="112585" y="-19415"/>
                                  <a:pt x="237102" y="16855"/>
                                  <a:pt x="411548" y="0"/>
                                </a:cubicBezTo>
                                <a:cubicBezTo>
                                  <a:pt x="585994" y="-16855"/>
                                  <a:pt x="814362" y="20284"/>
                                  <a:pt x="1131757" y="0"/>
                                </a:cubicBezTo>
                                <a:cubicBezTo>
                                  <a:pt x="1449152" y="-20284"/>
                                  <a:pt x="1418550" y="20248"/>
                                  <a:pt x="1543304" y="0"/>
                                </a:cubicBezTo>
                                <a:cubicBezTo>
                                  <a:pt x="1668058" y="-20248"/>
                                  <a:pt x="1783798" y="13784"/>
                                  <a:pt x="1954852" y="0"/>
                                </a:cubicBezTo>
                                <a:cubicBezTo>
                                  <a:pt x="2125906" y="-13784"/>
                                  <a:pt x="2485679" y="6598"/>
                                  <a:pt x="2752226" y="0"/>
                                </a:cubicBezTo>
                                <a:cubicBezTo>
                                  <a:pt x="3018773" y="-6598"/>
                                  <a:pt x="3109923" y="21674"/>
                                  <a:pt x="3395270" y="0"/>
                                </a:cubicBezTo>
                                <a:cubicBezTo>
                                  <a:pt x="3680617" y="-21674"/>
                                  <a:pt x="3622140" y="10107"/>
                                  <a:pt x="3806818" y="0"/>
                                </a:cubicBezTo>
                                <a:cubicBezTo>
                                  <a:pt x="3991496" y="-10107"/>
                                  <a:pt x="4162134" y="1615"/>
                                  <a:pt x="4449861" y="0"/>
                                </a:cubicBezTo>
                                <a:cubicBezTo>
                                  <a:pt x="4737588" y="-1615"/>
                                  <a:pt x="4909713" y="24402"/>
                                  <a:pt x="5247235" y="0"/>
                                </a:cubicBezTo>
                                <a:cubicBezTo>
                                  <a:pt x="5584757" y="-24402"/>
                                  <a:pt x="5584570" y="-5680"/>
                                  <a:pt x="5813113" y="0"/>
                                </a:cubicBezTo>
                                <a:cubicBezTo>
                                  <a:pt x="6041656" y="5680"/>
                                  <a:pt x="6193311" y="-26079"/>
                                  <a:pt x="6378992" y="0"/>
                                </a:cubicBezTo>
                                <a:cubicBezTo>
                                  <a:pt x="6564673" y="26079"/>
                                  <a:pt x="6827334" y="-13106"/>
                                  <a:pt x="7022035" y="0"/>
                                </a:cubicBezTo>
                                <a:cubicBezTo>
                                  <a:pt x="7216736" y="13106"/>
                                  <a:pt x="7384035" y="-5729"/>
                                  <a:pt x="7716522" y="0"/>
                                </a:cubicBezTo>
                                <a:cubicBezTo>
                                  <a:pt x="7710664" y="300104"/>
                                  <a:pt x="7713205" y="497343"/>
                                  <a:pt x="7716522" y="690315"/>
                                </a:cubicBezTo>
                                <a:cubicBezTo>
                                  <a:pt x="7719839" y="883288"/>
                                  <a:pt x="7738025" y="1078537"/>
                                  <a:pt x="7716522" y="1425791"/>
                                </a:cubicBezTo>
                                <a:cubicBezTo>
                                  <a:pt x="7695019" y="1773045"/>
                                  <a:pt x="7701319" y="1746013"/>
                                  <a:pt x="7716522" y="2025785"/>
                                </a:cubicBezTo>
                                <a:cubicBezTo>
                                  <a:pt x="7731725" y="2305557"/>
                                  <a:pt x="7714307" y="2468834"/>
                                  <a:pt x="7716522" y="2580618"/>
                                </a:cubicBezTo>
                                <a:cubicBezTo>
                                  <a:pt x="7718737" y="2692402"/>
                                  <a:pt x="7729057" y="2982372"/>
                                  <a:pt x="7716522" y="3225772"/>
                                </a:cubicBezTo>
                                <a:cubicBezTo>
                                  <a:pt x="7703987" y="3469172"/>
                                  <a:pt x="7706006" y="3572098"/>
                                  <a:pt x="7716522" y="3916087"/>
                                </a:cubicBezTo>
                                <a:cubicBezTo>
                                  <a:pt x="7727038" y="4260076"/>
                                  <a:pt x="7696363" y="4334440"/>
                                  <a:pt x="7716522" y="4516081"/>
                                </a:cubicBezTo>
                                <a:cubicBezTo>
                                  <a:pt x="7448272" y="4497511"/>
                                  <a:pt x="7183906" y="4543335"/>
                                  <a:pt x="6996313" y="4516081"/>
                                </a:cubicBezTo>
                                <a:cubicBezTo>
                                  <a:pt x="6808720" y="4488827"/>
                                  <a:pt x="6637622" y="4509048"/>
                                  <a:pt x="6430435" y="4516081"/>
                                </a:cubicBezTo>
                                <a:cubicBezTo>
                                  <a:pt x="6223248" y="4523114"/>
                                  <a:pt x="6144721" y="4522423"/>
                                  <a:pt x="5864557" y="4516081"/>
                                </a:cubicBezTo>
                                <a:cubicBezTo>
                                  <a:pt x="5584393" y="4509739"/>
                                  <a:pt x="5424056" y="4533371"/>
                                  <a:pt x="5298678" y="4516081"/>
                                </a:cubicBezTo>
                                <a:cubicBezTo>
                                  <a:pt x="5173300" y="4498791"/>
                                  <a:pt x="4971899" y="4517231"/>
                                  <a:pt x="4732800" y="4516081"/>
                                </a:cubicBezTo>
                                <a:cubicBezTo>
                                  <a:pt x="4493701" y="4514931"/>
                                  <a:pt x="4309092" y="4530798"/>
                                  <a:pt x="4012591" y="4516081"/>
                                </a:cubicBezTo>
                                <a:cubicBezTo>
                                  <a:pt x="3716090" y="4501364"/>
                                  <a:pt x="3540508" y="4520966"/>
                                  <a:pt x="3369548" y="4516081"/>
                                </a:cubicBezTo>
                                <a:cubicBezTo>
                                  <a:pt x="3198588" y="4511196"/>
                                  <a:pt x="3145828" y="4510020"/>
                                  <a:pt x="2958000" y="4516081"/>
                                </a:cubicBezTo>
                                <a:cubicBezTo>
                                  <a:pt x="2770172" y="4522142"/>
                                  <a:pt x="2551003" y="4541760"/>
                                  <a:pt x="2392122" y="4516081"/>
                                </a:cubicBezTo>
                                <a:cubicBezTo>
                                  <a:pt x="2233241" y="4490402"/>
                                  <a:pt x="1919844" y="4508252"/>
                                  <a:pt x="1671913" y="4516081"/>
                                </a:cubicBezTo>
                                <a:cubicBezTo>
                                  <a:pt x="1423982" y="4523910"/>
                                  <a:pt x="1401758" y="4538283"/>
                                  <a:pt x="1183200" y="4516081"/>
                                </a:cubicBezTo>
                                <a:cubicBezTo>
                                  <a:pt x="964642" y="4493879"/>
                                  <a:pt x="487129" y="4491469"/>
                                  <a:pt x="0" y="4516081"/>
                                </a:cubicBezTo>
                                <a:cubicBezTo>
                                  <a:pt x="-23448" y="4251991"/>
                                  <a:pt x="30638" y="3996444"/>
                                  <a:pt x="0" y="3780605"/>
                                </a:cubicBezTo>
                                <a:cubicBezTo>
                                  <a:pt x="-30638" y="3564766"/>
                                  <a:pt x="-25790" y="3315081"/>
                                  <a:pt x="0" y="3045129"/>
                                </a:cubicBezTo>
                                <a:cubicBezTo>
                                  <a:pt x="25790" y="2775177"/>
                                  <a:pt x="-2636" y="2652219"/>
                                  <a:pt x="0" y="2535457"/>
                                </a:cubicBezTo>
                                <a:cubicBezTo>
                                  <a:pt x="2636" y="2418695"/>
                                  <a:pt x="-27145" y="2119528"/>
                                  <a:pt x="0" y="1890302"/>
                                </a:cubicBezTo>
                                <a:cubicBezTo>
                                  <a:pt x="27145" y="1661077"/>
                                  <a:pt x="-13015" y="1447559"/>
                                  <a:pt x="0" y="1335470"/>
                                </a:cubicBezTo>
                                <a:cubicBezTo>
                                  <a:pt x="13015" y="1223381"/>
                                  <a:pt x="-19066" y="1028303"/>
                                  <a:pt x="0" y="780637"/>
                                </a:cubicBezTo>
                                <a:cubicBezTo>
                                  <a:pt x="19066" y="532971"/>
                                  <a:pt x="25129" y="218802"/>
                                  <a:pt x="0" y="0"/>
                                </a:cubicBezTo>
                                <a:close/>
                              </a:path>
                              <a:path w="7716522" h="4516081"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6702" y="7578"/>
                                  <a:pt x="2906557" y="0"/>
                                </a:cubicBezTo>
                                <a:cubicBezTo>
                                  <a:pt x="3116412" y="-7578"/>
                                  <a:pt x="3434644" y="36419"/>
                                  <a:pt x="3703931" y="0"/>
                                </a:cubicBezTo>
                                <a:cubicBezTo>
                                  <a:pt x="3973218" y="-36419"/>
                                  <a:pt x="4031747" y="19821"/>
                                  <a:pt x="4192644" y="0"/>
                                </a:cubicBezTo>
                                <a:cubicBezTo>
                                  <a:pt x="4353541" y="-19821"/>
                                  <a:pt x="4768906" y="996"/>
                                  <a:pt x="4990018" y="0"/>
                                </a:cubicBezTo>
                                <a:cubicBezTo>
                                  <a:pt x="5211130" y="-996"/>
                                  <a:pt x="5500863" y="-10311"/>
                                  <a:pt x="5787392" y="0"/>
                                </a:cubicBezTo>
                                <a:cubicBezTo>
                                  <a:pt x="6073921" y="10311"/>
                                  <a:pt x="6246911" y="-286"/>
                                  <a:pt x="6430435" y="0"/>
                                </a:cubicBezTo>
                                <a:cubicBezTo>
                                  <a:pt x="6613959" y="286"/>
                                  <a:pt x="7376104" y="21728"/>
                                  <a:pt x="7716522" y="0"/>
                                </a:cubicBezTo>
                                <a:cubicBezTo>
                                  <a:pt x="7699931" y="129315"/>
                                  <a:pt x="7700802" y="326820"/>
                                  <a:pt x="7716522" y="599994"/>
                                </a:cubicBezTo>
                                <a:cubicBezTo>
                                  <a:pt x="7732242" y="873168"/>
                                  <a:pt x="7739890" y="913074"/>
                                  <a:pt x="7716522" y="1109666"/>
                                </a:cubicBezTo>
                                <a:cubicBezTo>
                                  <a:pt x="7693154" y="1306258"/>
                                  <a:pt x="7705448" y="1500383"/>
                                  <a:pt x="7716522" y="1754820"/>
                                </a:cubicBezTo>
                                <a:cubicBezTo>
                                  <a:pt x="7727596" y="2009257"/>
                                  <a:pt x="7728721" y="2187654"/>
                                  <a:pt x="7716522" y="2399974"/>
                                </a:cubicBezTo>
                                <a:cubicBezTo>
                                  <a:pt x="7704323" y="2612294"/>
                                  <a:pt x="7688140" y="2870535"/>
                                  <a:pt x="7716522" y="3045129"/>
                                </a:cubicBezTo>
                                <a:cubicBezTo>
                                  <a:pt x="7744904" y="3219723"/>
                                  <a:pt x="7691343" y="3392926"/>
                                  <a:pt x="7716522" y="3735444"/>
                                </a:cubicBezTo>
                                <a:cubicBezTo>
                                  <a:pt x="7741701" y="4077963"/>
                                  <a:pt x="7678140" y="4313084"/>
                                  <a:pt x="7716522" y="4516081"/>
                                </a:cubicBezTo>
                                <a:cubicBezTo>
                                  <a:pt x="7410723" y="4529313"/>
                                  <a:pt x="7142671" y="4533915"/>
                                  <a:pt x="6996313" y="4516081"/>
                                </a:cubicBezTo>
                                <a:cubicBezTo>
                                  <a:pt x="6849955" y="4498247"/>
                                  <a:pt x="6609526" y="4516113"/>
                                  <a:pt x="6507600" y="4516081"/>
                                </a:cubicBezTo>
                                <a:cubicBezTo>
                                  <a:pt x="6405674" y="4516049"/>
                                  <a:pt x="5954979" y="4513734"/>
                                  <a:pt x="5710226" y="4516081"/>
                                </a:cubicBezTo>
                                <a:cubicBezTo>
                                  <a:pt x="5465473" y="4518428"/>
                                  <a:pt x="5357704" y="4539788"/>
                                  <a:pt x="5067183" y="4516081"/>
                                </a:cubicBezTo>
                                <a:cubicBezTo>
                                  <a:pt x="4776662" y="4492374"/>
                                  <a:pt x="4677814" y="4498004"/>
                                  <a:pt x="4578470" y="4516081"/>
                                </a:cubicBezTo>
                                <a:cubicBezTo>
                                  <a:pt x="4479126" y="4534158"/>
                                  <a:pt x="4229145" y="4491367"/>
                                  <a:pt x="3935426" y="4516081"/>
                                </a:cubicBezTo>
                                <a:cubicBezTo>
                                  <a:pt x="3641707" y="4540795"/>
                                  <a:pt x="3675505" y="4522621"/>
                                  <a:pt x="3523878" y="4516081"/>
                                </a:cubicBezTo>
                                <a:cubicBezTo>
                                  <a:pt x="3372251" y="4509541"/>
                                  <a:pt x="3225000" y="4519829"/>
                                  <a:pt x="3112331" y="4516081"/>
                                </a:cubicBezTo>
                                <a:cubicBezTo>
                                  <a:pt x="2999662" y="4512333"/>
                                  <a:pt x="2783685" y="4547776"/>
                                  <a:pt x="2469287" y="4516081"/>
                                </a:cubicBezTo>
                                <a:cubicBezTo>
                                  <a:pt x="2154889" y="4484386"/>
                                  <a:pt x="2082893" y="4518085"/>
                                  <a:pt x="1980574" y="4516081"/>
                                </a:cubicBezTo>
                                <a:cubicBezTo>
                                  <a:pt x="1878255" y="4514077"/>
                                  <a:pt x="1592158" y="4546516"/>
                                  <a:pt x="1260365" y="4516081"/>
                                </a:cubicBezTo>
                                <a:cubicBezTo>
                                  <a:pt x="928572" y="4485646"/>
                                  <a:pt x="1001206" y="4517560"/>
                                  <a:pt x="771652" y="4516081"/>
                                </a:cubicBezTo>
                                <a:cubicBezTo>
                                  <a:pt x="542098" y="4514602"/>
                                  <a:pt x="332940" y="4551138"/>
                                  <a:pt x="0" y="4516081"/>
                                </a:cubicBezTo>
                                <a:cubicBezTo>
                                  <a:pt x="2498" y="4359648"/>
                                  <a:pt x="22188" y="4188798"/>
                                  <a:pt x="0" y="4006409"/>
                                </a:cubicBezTo>
                                <a:cubicBezTo>
                                  <a:pt x="-22188" y="3824020"/>
                                  <a:pt x="22153" y="3615886"/>
                                  <a:pt x="0" y="3451576"/>
                                </a:cubicBezTo>
                                <a:cubicBezTo>
                                  <a:pt x="-22153" y="3287266"/>
                                  <a:pt x="-18557" y="3058993"/>
                                  <a:pt x="0" y="2761261"/>
                                </a:cubicBezTo>
                                <a:cubicBezTo>
                                  <a:pt x="18557" y="2463530"/>
                                  <a:pt x="22141" y="2219567"/>
                                  <a:pt x="0" y="2025785"/>
                                </a:cubicBezTo>
                                <a:cubicBezTo>
                                  <a:pt x="-22141" y="1832003"/>
                                  <a:pt x="14056" y="1712085"/>
                                  <a:pt x="0" y="1425791"/>
                                </a:cubicBezTo>
                                <a:cubicBezTo>
                                  <a:pt x="-14056" y="1139497"/>
                                  <a:pt x="28779" y="910420"/>
                                  <a:pt x="0" y="690315"/>
                                </a:cubicBezTo>
                                <a:cubicBezTo>
                                  <a:pt x="-28779" y="470210"/>
                                  <a:pt x="-21831" y="312705"/>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117449" name="Rectangle 5"/>
                        <wps:cNvSpPr/>
                        <wps:spPr>
                          <a:xfrm>
                            <a:off x="0" y="-66594"/>
                            <a:ext cx="7716520" cy="880132"/>
                          </a:xfrm>
                          <a:custGeom>
                            <a:avLst/>
                            <a:gdLst>
                              <a:gd name="connsiteX0" fmla="*/ 0 w 7716520"/>
                              <a:gd name="connsiteY0" fmla="*/ 0 h 880132"/>
                              <a:gd name="connsiteX1" fmla="*/ 797374 w 7716520"/>
                              <a:gd name="connsiteY1" fmla="*/ 0 h 880132"/>
                              <a:gd name="connsiteX2" fmla="*/ 1594747 w 7716520"/>
                              <a:gd name="connsiteY2" fmla="*/ 0 h 880132"/>
                              <a:gd name="connsiteX3" fmla="*/ 2237791 w 7716520"/>
                              <a:gd name="connsiteY3" fmla="*/ 0 h 880132"/>
                              <a:gd name="connsiteX4" fmla="*/ 2957999 w 7716520"/>
                              <a:gd name="connsiteY4" fmla="*/ 0 h 880132"/>
                              <a:gd name="connsiteX5" fmla="*/ 3523877 w 7716520"/>
                              <a:gd name="connsiteY5" fmla="*/ 0 h 880132"/>
                              <a:gd name="connsiteX6" fmla="*/ 4166921 w 7716520"/>
                              <a:gd name="connsiteY6" fmla="*/ 0 h 880132"/>
                              <a:gd name="connsiteX7" fmla="*/ 4964295 w 7716520"/>
                              <a:gd name="connsiteY7" fmla="*/ 0 h 880132"/>
                              <a:gd name="connsiteX8" fmla="*/ 5453007 w 7716520"/>
                              <a:gd name="connsiteY8" fmla="*/ 0 h 880132"/>
                              <a:gd name="connsiteX9" fmla="*/ 6173216 w 7716520"/>
                              <a:gd name="connsiteY9" fmla="*/ 0 h 880132"/>
                              <a:gd name="connsiteX10" fmla="*/ 6661929 w 7716520"/>
                              <a:gd name="connsiteY10" fmla="*/ 0 h 880132"/>
                              <a:gd name="connsiteX11" fmla="*/ 7716520 w 7716520"/>
                              <a:gd name="connsiteY11" fmla="*/ 0 h 880132"/>
                              <a:gd name="connsiteX12" fmla="*/ 7716520 w 7716520"/>
                              <a:gd name="connsiteY12" fmla="*/ 448867 h 880132"/>
                              <a:gd name="connsiteX13" fmla="*/ 7716520 w 7716520"/>
                              <a:gd name="connsiteY13" fmla="*/ 880132 h 880132"/>
                              <a:gd name="connsiteX14" fmla="*/ 6919146 w 7716520"/>
                              <a:gd name="connsiteY14" fmla="*/ 880132 h 880132"/>
                              <a:gd name="connsiteX15" fmla="*/ 6276103 w 7716520"/>
                              <a:gd name="connsiteY15" fmla="*/ 880132 h 880132"/>
                              <a:gd name="connsiteX16" fmla="*/ 5633060 w 7716520"/>
                              <a:gd name="connsiteY16" fmla="*/ 880132 h 880132"/>
                              <a:gd name="connsiteX17" fmla="*/ 4990016 w 7716520"/>
                              <a:gd name="connsiteY17" fmla="*/ 880132 h 880132"/>
                              <a:gd name="connsiteX18" fmla="*/ 4346973 w 7716520"/>
                              <a:gd name="connsiteY18" fmla="*/ 880132 h 880132"/>
                              <a:gd name="connsiteX19" fmla="*/ 3781095 w 7716520"/>
                              <a:gd name="connsiteY19" fmla="*/ 880132 h 880132"/>
                              <a:gd name="connsiteX20" fmla="*/ 3060886 w 7716520"/>
                              <a:gd name="connsiteY20" fmla="*/ 880132 h 880132"/>
                              <a:gd name="connsiteX21" fmla="*/ 2417843 w 7716520"/>
                              <a:gd name="connsiteY21" fmla="*/ 880132 h 880132"/>
                              <a:gd name="connsiteX22" fmla="*/ 1620469 w 7716520"/>
                              <a:gd name="connsiteY22" fmla="*/ 880132 h 880132"/>
                              <a:gd name="connsiteX23" fmla="*/ 823095 w 7716520"/>
                              <a:gd name="connsiteY23" fmla="*/ 880132 h 880132"/>
                              <a:gd name="connsiteX24" fmla="*/ 0 w 7716520"/>
                              <a:gd name="connsiteY24" fmla="*/ 880132 h 880132"/>
                              <a:gd name="connsiteX25" fmla="*/ 0 w 7716520"/>
                              <a:gd name="connsiteY25" fmla="*/ 431265 h 880132"/>
                              <a:gd name="connsiteX26" fmla="*/ 0 w 7716520"/>
                              <a:gd name="connsiteY26" fmla="*/ 0 h 8801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80132"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22387" y="112939"/>
                                  <a:pt x="7720817" y="233695"/>
                                  <a:pt x="7716520" y="448867"/>
                                </a:cubicBezTo>
                                <a:cubicBezTo>
                                  <a:pt x="7712223" y="664039"/>
                                  <a:pt x="7719089" y="687516"/>
                                  <a:pt x="7716520" y="880132"/>
                                </a:cubicBezTo>
                                <a:cubicBezTo>
                                  <a:pt x="7508045" y="858979"/>
                                  <a:pt x="7283950" y="902226"/>
                                  <a:pt x="6919146" y="880132"/>
                                </a:cubicBezTo>
                                <a:cubicBezTo>
                                  <a:pt x="6554342" y="858038"/>
                                  <a:pt x="6483499" y="904007"/>
                                  <a:pt x="6276103" y="880132"/>
                                </a:cubicBezTo>
                                <a:cubicBezTo>
                                  <a:pt x="6068707" y="856257"/>
                                  <a:pt x="5881943" y="872006"/>
                                  <a:pt x="5633060" y="880132"/>
                                </a:cubicBezTo>
                                <a:cubicBezTo>
                                  <a:pt x="5384177" y="888258"/>
                                  <a:pt x="5301279" y="890347"/>
                                  <a:pt x="4990016" y="880132"/>
                                </a:cubicBezTo>
                                <a:cubicBezTo>
                                  <a:pt x="4678753" y="869917"/>
                                  <a:pt x="4644713" y="872887"/>
                                  <a:pt x="4346973" y="880132"/>
                                </a:cubicBezTo>
                                <a:cubicBezTo>
                                  <a:pt x="4049233" y="887377"/>
                                  <a:pt x="4055228" y="862504"/>
                                  <a:pt x="3781095" y="880132"/>
                                </a:cubicBezTo>
                                <a:cubicBezTo>
                                  <a:pt x="3506962" y="897760"/>
                                  <a:pt x="3393564" y="912093"/>
                                  <a:pt x="3060886" y="880132"/>
                                </a:cubicBezTo>
                                <a:cubicBezTo>
                                  <a:pt x="2728208" y="848171"/>
                                  <a:pt x="2660656" y="909796"/>
                                  <a:pt x="2417843" y="880132"/>
                                </a:cubicBezTo>
                                <a:cubicBezTo>
                                  <a:pt x="2175030" y="850468"/>
                                  <a:pt x="1938090" y="884799"/>
                                  <a:pt x="1620469" y="880132"/>
                                </a:cubicBezTo>
                                <a:cubicBezTo>
                                  <a:pt x="1302848" y="875465"/>
                                  <a:pt x="1220111" y="845743"/>
                                  <a:pt x="823095" y="880132"/>
                                </a:cubicBezTo>
                                <a:cubicBezTo>
                                  <a:pt x="426079" y="914521"/>
                                  <a:pt x="306208" y="888025"/>
                                  <a:pt x="0" y="880132"/>
                                </a:cubicBezTo>
                                <a:cubicBezTo>
                                  <a:pt x="16209" y="722848"/>
                                  <a:pt x="208" y="610647"/>
                                  <a:pt x="0" y="431265"/>
                                </a:cubicBezTo>
                                <a:cubicBezTo>
                                  <a:pt x="-208" y="251883"/>
                                  <a:pt x="16898" y="87987"/>
                                  <a:pt x="0" y="0"/>
                                </a:cubicBezTo>
                                <a:close/>
                              </a:path>
                              <a:path w="7716520" h="880132"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20484" y="101954"/>
                                  <a:pt x="7727566" y="329636"/>
                                  <a:pt x="7716520" y="431265"/>
                                </a:cubicBezTo>
                                <a:cubicBezTo>
                                  <a:pt x="7705474" y="532894"/>
                                  <a:pt x="7713974" y="728119"/>
                                  <a:pt x="7716520" y="880132"/>
                                </a:cubicBezTo>
                                <a:cubicBezTo>
                                  <a:pt x="7584340" y="912260"/>
                                  <a:pt x="7351923" y="895732"/>
                                  <a:pt x="7073477" y="880132"/>
                                </a:cubicBezTo>
                                <a:cubicBezTo>
                                  <a:pt x="6795031" y="864532"/>
                                  <a:pt x="6789739" y="897102"/>
                                  <a:pt x="6584764" y="880132"/>
                                </a:cubicBezTo>
                                <a:cubicBezTo>
                                  <a:pt x="6379789" y="863162"/>
                                  <a:pt x="6180293" y="903598"/>
                                  <a:pt x="5941720" y="880132"/>
                                </a:cubicBezTo>
                                <a:cubicBezTo>
                                  <a:pt x="5703147" y="856666"/>
                                  <a:pt x="5421160" y="858860"/>
                                  <a:pt x="5144347" y="880132"/>
                                </a:cubicBezTo>
                                <a:cubicBezTo>
                                  <a:pt x="4867534" y="901404"/>
                                  <a:pt x="4751766" y="892513"/>
                                  <a:pt x="4501303" y="880132"/>
                                </a:cubicBezTo>
                                <a:cubicBezTo>
                                  <a:pt x="4250840" y="867751"/>
                                  <a:pt x="4237304" y="866861"/>
                                  <a:pt x="4089756" y="880132"/>
                                </a:cubicBezTo>
                                <a:cubicBezTo>
                                  <a:pt x="3942208" y="893403"/>
                                  <a:pt x="3702969" y="880164"/>
                                  <a:pt x="3601043" y="880132"/>
                                </a:cubicBezTo>
                                <a:cubicBezTo>
                                  <a:pt x="3499117" y="880100"/>
                                  <a:pt x="3048422" y="877785"/>
                                  <a:pt x="2803669" y="880132"/>
                                </a:cubicBezTo>
                                <a:cubicBezTo>
                                  <a:pt x="2558916" y="882479"/>
                                  <a:pt x="2451147" y="903839"/>
                                  <a:pt x="2160626" y="880132"/>
                                </a:cubicBezTo>
                                <a:cubicBezTo>
                                  <a:pt x="1870105" y="856425"/>
                                  <a:pt x="1771257" y="862055"/>
                                  <a:pt x="1671913" y="880132"/>
                                </a:cubicBezTo>
                                <a:cubicBezTo>
                                  <a:pt x="1572569" y="898209"/>
                                  <a:pt x="1322588" y="855418"/>
                                  <a:pt x="1028869" y="880132"/>
                                </a:cubicBezTo>
                                <a:cubicBezTo>
                                  <a:pt x="735150" y="904846"/>
                                  <a:pt x="762570" y="878150"/>
                                  <a:pt x="617322" y="880132"/>
                                </a:cubicBezTo>
                                <a:cubicBezTo>
                                  <a:pt x="472074" y="882114"/>
                                  <a:pt x="276811" y="897999"/>
                                  <a:pt x="0" y="880132"/>
                                </a:cubicBezTo>
                                <a:cubicBezTo>
                                  <a:pt x="-127" y="734384"/>
                                  <a:pt x="5126" y="575735"/>
                                  <a:pt x="0" y="440066"/>
                                </a:cubicBezTo>
                                <a:cubicBezTo>
                                  <a:pt x="-5126" y="304397"/>
                                  <a:pt x="-18373" y="123817"/>
                                  <a:pt x="0" y="0"/>
                                </a:cubicBezTo>
                                <a:close/>
                              </a:path>
                            </a:pathLst>
                          </a:custGeom>
                          <a:solidFill>
                            <a:srgbClr val="E5E97A"/>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773584" name="Rectangle 5"/>
                        <wps:cNvSpPr/>
                        <wps:spPr>
                          <a:xfrm>
                            <a:off x="10632" y="669375"/>
                            <a:ext cx="7705888" cy="630562"/>
                          </a:xfrm>
                          <a:custGeom>
                            <a:avLst/>
                            <a:gdLst>
                              <a:gd name="connsiteX0" fmla="*/ 0 w 7705888"/>
                              <a:gd name="connsiteY0" fmla="*/ 0 h 630562"/>
                              <a:gd name="connsiteX1" fmla="*/ 410981 w 7705888"/>
                              <a:gd name="connsiteY1" fmla="*/ 0 h 630562"/>
                              <a:gd name="connsiteX2" fmla="*/ 1130197 w 7705888"/>
                              <a:gd name="connsiteY2" fmla="*/ 0 h 630562"/>
                              <a:gd name="connsiteX3" fmla="*/ 1541178 w 7705888"/>
                              <a:gd name="connsiteY3" fmla="*/ 0 h 630562"/>
                              <a:gd name="connsiteX4" fmla="*/ 2106276 w 7705888"/>
                              <a:gd name="connsiteY4" fmla="*/ 0 h 630562"/>
                              <a:gd name="connsiteX5" fmla="*/ 2902551 w 7705888"/>
                              <a:gd name="connsiteY5" fmla="*/ 0 h 630562"/>
                              <a:gd name="connsiteX6" fmla="*/ 3544708 w 7705888"/>
                              <a:gd name="connsiteY6" fmla="*/ 0 h 630562"/>
                              <a:gd name="connsiteX7" fmla="*/ 4263925 w 7705888"/>
                              <a:gd name="connsiteY7" fmla="*/ 0 h 630562"/>
                              <a:gd name="connsiteX8" fmla="*/ 4829023 w 7705888"/>
                              <a:gd name="connsiteY8" fmla="*/ 0 h 630562"/>
                              <a:gd name="connsiteX9" fmla="*/ 5471180 w 7705888"/>
                              <a:gd name="connsiteY9" fmla="*/ 0 h 630562"/>
                              <a:gd name="connsiteX10" fmla="*/ 6267456 w 7705888"/>
                              <a:gd name="connsiteY10" fmla="*/ 0 h 630562"/>
                              <a:gd name="connsiteX11" fmla="*/ 6755495 w 7705888"/>
                              <a:gd name="connsiteY11" fmla="*/ 0 h 630562"/>
                              <a:gd name="connsiteX12" fmla="*/ 7705888 w 7705888"/>
                              <a:gd name="connsiteY12" fmla="*/ 0 h 630562"/>
                              <a:gd name="connsiteX13" fmla="*/ 7705888 w 7705888"/>
                              <a:gd name="connsiteY13" fmla="*/ 630562 h 630562"/>
                              <a:gd name="connsiteX14" fmla="*/ 7140790 w 7705888"/>
                              <a:gd name="connsiteY14" fmla="*/ 630562 h 630562"/>
                              <a:gd name="connsiteX15" fmla="*/ 6729809 w 7705888"/>
                              <a:gd name="connsiteY15" fmla="*/ 630562 h 630562"/>
                              <a:gd name="connsiteX16" fmla="*/ 6087652 w 7705888"/>
                              <a:gd name="connsiteY16" fmla="*/ 630562 h 630562"/>
                              <a:gd name="connsiteX17" fmla="*/ 5599612 w 7705888"/>
                              <a:gd name="connsiteY17" fmla="*/ 630562 h 630562"/>
                              <a:gd name="connsiteX18" fmla="*/ 4957455 w 7705888"/>
                              <a:gd name="connsiteY18" fmla="*/ 630562 h 630562"/>
                              <a:gd name="connsiteX19" fmla="*/ 4315297 w 7705888"/>
                              <a:gd name="connsiteY19" fmla="*/ 630562 h 630562"/>
                              <a:gd name="connsiteX20" fmla="*/ 3673140 w 7705888"/>
                              <a:gd name="connsiteY20" fmla="*/ 630562 h 630562"/>
                              <a:gd name="connsiteX21" fmla="*/ 3030983 w 7705888"/>
                              <a:gd name="connsiteY21" fmla="*/ 630562 h 630562"/>
                              <a:gd name="connsiteX22" fmla="*/ 2465884 w 7705888"/>
                              <a:gd name="connsiteY22" fmla="*/ 630562 h 630562"/>
                              <a:gd name="connsiteX23" fmla="*/ 1746668 w 7705888"/>
                              <a:gd name="connsiteY23" fmla="*/ 630562 h 630562"/>
                              <a:gd name="connsiteX24" fmla="*/ 1104511 w 7705888"/>
                              <a:gd name="connsiteY24" fmla="*/ 630562 h 630562"/>
                              <a:gd name="connsiteX25" fmla="*/ 0 w 7705888"/>
                              <a:gd name="connsiteY25" fmla="*/ 630562 h 630562"/>
                              <a:gd name="connsiteX26" fmla="*/ 0 w 7705888"/>
                              <a:gd name="connsiteY26" fmla="*/ 0 h 630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05888" h="630562" fill="none" extrusionOk="0">
                                <a:moveTo>
                                  <a:pt x="0" y="0"/>
                                </a:moveTo>
                                <a:cubicBezTo>
                                  <a:pt x="94620" y="-6899"/>
                                  <a:pt x="240419" y="-9164"/>
                                  <a:pt x="410981" y="0"/>
                                </a:cubicBezTo>
                                <a:cubicBezTo>
                                  <a:pt x="581543" y="9164"/>
                                  <a:pt x="886410" y="34075"/>
                                  <a:pt x="1130197" y="0"/>
                                </a:cubicBezTo>
                                <a:cubicBezTo>
                                  <a:pt x="1373984" y="-34075"/>
                                  <a:pt x="1444062" y="6732"/>
                                  <a:pt x="1541178" y="0"/>
                                </a:cubicBezTo>
                                <a:cubicBezTo>
                                  <a:pt x="1638294" y="-6732"/>
                                  <a:pt x="1902444" y="-11774"/>
                                  <a:pt x="2106276" y="0"/>
                                </a:cubicBezTo>
                                <a:cubicBezTo>
                                  <a:pt x="2310108" y="11774"/>
                                  <a:pt x="2614008" y="-29144"/>
                                  <a:pt x="2902551" y="0"/>
                                </a:cubicBezTo>
                                <a:cubicBezTo>
                                  <a:pt x="3191095" y="29144"/>
                                  <a:pt x="3253283" y="16936"/>
                                  <a:pt x="3544708" y="0"/>
                                </a:cubicBezTo>
                                <a:cubicBezTo>
                                  <a:pt x="3836133" y="-16936"/>
                                  <a:pt x="4084666" y="-13588"/>
                                  <a:pt x="4263925" y="0"/>
                                </a:cubicBezTo>
                                <a:cubicBezTo>
                                  <a:pt x="4443184" y="13588"/>
                                  <a:pt x="4699102" y="-27085"/>
                                  <a:pt x="4829023" y="0"/>
                                </a:cubicBezTo>
                                <a:cubicBezTo>
                                  <a:pt x="4958944" y="27085"/>
                                  <a:pt x="5179465" y="-11455"/>
                                  <a:pt x="5471180" y="0"/>
                                </a:cubicBezTo>
                                <a:cubicBezTo>
                                  <a:pt x="5762895" y="11455"/>
                                  <a:pt x="6012229" y="37321"/>
                                  <a:pt x="6267456" y="0"/>
                                </a:cubicBezTo>
                                <a:cubicBezTo>
                                  <a:pt x="6522683" y="-37321"/>
                                  <a:pt x="6596962" y="-5165"/>
                                  <a:pt x="6755495" y="0"/>
                                </a:cubicBezTo>
                                <a:cubicBezTo>
                                  <a:pt x="6914028" y="5165"/>
                                  <a:pt x="7426236" y="30325"/>
                                  <a:pt x="7705888" y="0"/>
                                </a:cubicBezTo>
                                <a:cubicBezTo>
                                  <a:pt x="7697159" y="304585"/>
                                  <a:pt x="7733890" y="322855"/>
                                  <a:pt x="7705888" y="630562"/>
                                </a:cubicBezTo>
                                <a:cubicBezTo>
                                  <a:pt x="7462618" y="654053"/>
                                  <a:pt x="7396755" y="648993"/>
                                  <a:pt x="7140790" y="630562"/>
                                </a:cubicBezTo>
                                <a:cubicBezTo>
                                  <a:pt x="6884825" y="612131"/>
                                  <a:pt x="6852783" y="613968"/>
                                  <a:pt x="6729809" y="630562"/>
                                </a:cubicBezTo>
                                <a:cubicBezTo>
                                  <a:pt x="6606835" y="647156"/>
                                  <a:pt x="6248939" y="601488"/>
                                  <a:pt x="6087652" y="630562"/>
                                </a:cubicBezTo>
                                <a:cubicBezTo>
                                  <a:pt x="5926365" y="659636"/>
                                  <a:pt x="5748507" y="651703"/>
                                  <a:pt x="5599612" y="630562"/>
                                </a:cubicBezTo>
                                <a:cubicBezTo>
                                  <a:pt x="5450717" y="609421"/>
                                  <a:pt x="5184685" y="632848"/>
                                  <a:pt x="4957455" y="630562"/>
                                </a:cubicBezTo>
                                <a:cubicBezTo>
                                  <a:pt x="4730225" y="628276"/>
                                  <a:pt x="4587978" y="645742"/>
                                  <a:pt x="4315297" y="630562"/>
                                </a:cubicBezTo>
                                <a:cubicBezTo>
                                  <a:pt x="4042616" y="615382"/>
                                  <a:pt x="3988275" y="647976"/>
                                  <a:pt x="3673140" y="630562"/>
                                </a:cubicBezTo>
                                <a:cubicBezTo>
                                  <a:pt x="3358005" y="613148"/>
                                  <a:pt x="3206014" y="652415"/>
                                  <a:pt x="3030983" y="630562"/>
                                </a:cubicBezTo>
                                <a:cubicBezTo>
                                  <a:pt x="2855952" y="608709"/>
                                  <a:pt x="2733781" y="641719"/>
                                  <a:pt x="2465884" y="630562"/>
                                </a:cubicBezTo>
                                <a:cubicBezTo>
                                  <a:pt x="2197987" y="619405"/>
                                  <a:pt x="2034407" y="616556"/>
                                  <a:pt x="1746668" y="630562"/>
                                </a:cubicBezTo>
                                <a:cubicBezTo>
                                  <a:pt x="1458929" y="644568"/>
                                  <a:pt x="1268926" y="624281"/>
                                  <a:pt x="1104511" y="630562"/>
                                </a:cubicBezTo>
                                <a:cubicBezTo>
                                  <a:pt x="940096" y="636843"/>
                                  <a:pt x="231812" y="677373"/>
                                  <a:pt x="0" y="630562"/>
                                </a:cubicBezTo>
                                <a:cubicBezTo>
                                  <a:pt x="7731" y="350953"/>
                                  <a:pt x="10251" y="206114"/>
                                  <a:pt x="0" y="0"/>
                                </a:cubicBezTo>
                                <a:close/>
                              </a:path>
                              <a:path w="7705888" h="630562" stroke="0" extrusionOk="0">
                                <a:moveTo>
                                  <a:pt x="0" y="0"/>
                                </a:moveTo>
                                <a:cubicBezTo>
                                  <a:pt x="117921" y="-20534"/>
                                  <a:pt x="291363" y="-21739"/>
                                  <a:pt x="565098" y="0"/>
                                </a:cubicBezTo>
                                <a:cubicBezTo>
                                  <a:pt x="838833" y="21739"/>
                                  <a:pt x="888144" y="-2151"/>
                                  <a:pt x="976079" y="0"/>
                                </a:cubicBezTo>
                                <a:cubicBezTo>
                                  <a:pt x="1064014" y="2151"/>
                                  <a:pt x="1563032" y="2145"/>
                                  <a:pt x="1772354" y="0"/>
                                </a:cubicBezTo>
                                <a:cubicBezTo>
                                  <a:pt x="1981676" y="-2145"/>
                                  <a:pt x="2151937" y="-18813"/>
                                  <a:pt x="2337453" y="0"/>
                                </a:cubicBezTo>
                                <a:cubicBezTo>
                                  <a:pt x="2522969" y="18813"/>
                                  <a:pt x="2746392" y="-7862"/>
                                  <a:pt x="2902551" y="0"/>
                                </a:cubicBezTo>
                                <a:cubicBezTo>
                                  <a:pt x="3058710" y="7862"/>
                                  <a:pt x="3454350" y="10340"/>
                                  <a:pt x="3698826" y="0"/>
                                </a:cubicBezTo>
                                <a:cubicBezTo>
                                  <a:pt x="3943302" y="-10340"/>
                                  <a:pt x="4018505" y="-1467"/>
                                  <a:pt x="4186866" y="0"/>
                                </a:cubicBezTo>
                                <a:cubicBezTo>
                                  <a:pt x="4355227" y="1467"/>
                                  <a:pt x="4607845" y="-27253"/>
                                  <a:pt x="4983141" y="0"/>
                                </a:cubicBezTo>
                                <a:cubicBezTo>
                                  <a:pt x="5358437" y="27253"/>
                                  <a:pt x="5395389" y="9677"/>
                                  <a:pt x="5779416" y="0"/>
                                </a:cubicBezTo>
                                <a:cubicBezTo>
                                  <a:pt x="6163443" y="-9677"/>
                                  <a:pt x="6224365" y="-9199"/>
                                  <a:pt x="6421573" y="0"/>
                                </a:cubicBezTo>
                                <a:cubicBezTo>
                                  <a:pt x="6618781" y="9199"/>
                                  <a:pt x="7437026" y="-54349"/>
                                  <a:pt x="7705888" y="0"/>
                                </a:cubicBezTo>
                                <a:cubicBezTo>
                                  <a:pt x="7715834" y="222795"/>
                                  <a:pt x="7705862" y="414835"/>
                                  <a:pt x="7705888" y="630562"/>
                                </a:cubicBezTo>
                                <a:cubicBezTo>
                                  <a:pt x="7563414" y="643753"/>
                                  <a:pt x="7459425" y="638718"/>
                                  <a:pt x="7294907" y="630562"/>
                                </a:cubicBezTo>
                                <a:cubicBezTo>
                                  <a:pt x="7130389" y="622406"/>
                                  <a:pt x="6854097" y="654082"/>
                                  <a:pt x="6498632" y="630562"/>
                                </a:cubicBezTo>
                                <a:cubicBezTo>
                                  <a:pt x="6143167" y="607042"/>
                                  <a:pt x="6154303" y="632942"/>
                                  <a:pt x="6010593" y="630562"/>
                                </a:cubicBezTo>
                                <a:cubicBezTo>
                                  <a:pt x="5866883" y="628182"/>
                                  <a:pt x="5510734" y="617216"/>
                                  <a:pt x="5368435" y="630562"/>
                                </a:cubicBezTo>
                                <a:cubicBezTo>
                                  <a:pt x="5226136" y="643908"/>
                                  <a:pt x="4898973" y="642276"/>
                                  <a:pt x="4572160" y="630562"/>
                                </a:cubicBezTo>
                                <a:cubicBezTo>
                                  <a:pt x="4245348" y="618848"/>
                                  <a:pt x="4209136" y="614000"/>
                                  <a:pt x="3930003" y="630562"/>
                                </a:cubicBezTo>
                                <a:cubicBezTo>
                                  <a:pt x="3650870" y="647124"/>
                                  <a:pt x="3697287" y="611461"/>
                                  <a:pt x="3519022" y="630562"/>
                                </a:cubicBezTo>
                                <a:cubicBezTo>
                                  <a:pt x="3340757" y="649663"/>
                                  <a:pt x="3274291" y="638252"/>
                                  <a:pt x="3030983" y="630562"/>
                                </a:cubicBezTo>
                                <a:cubicBezTo>
                                  <a:pt x="2787675" y="622872"/>
                                  <a:pt x="2464839" y="644215"/>
                                  <a:pt x="2234708" y="630562"/>
                                </a:cubicBezTo>
                                <a:cubicBezTo>
                                  <a:pt x="2004577" y="616909"/>
                                  <a:pt x="1751102" y="661608"/>
                                  <a:pt x="1592550" y="630562"/>
                                </a:cubicBezTo>
                                <a:cubicBezTo>
                                  <a:pt x="1433998" y="599516"/>
                                  <a:pt x="1312617" y="653652"/>
                                  <a:pt x="1104511" y="630562"/>
                                </a:cubicBezTo>
                                <a:cubicBezTo>
                                  <a:pt x="896405" y="607472"/>
                                  <a:pt x="253519" y="600291"/>
                                  <a:pt x="0" y="630562"/>
                                </a:cubicBezTo>
                                <a:cubicBezTo>
                                  <a:pt x="-10532" y="501211"/>
                                  <a:pt x="-30403" y="202778"/>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632167" name="Rectangle 5"/>
                        <wps:cNvSpPr/>
                        <wps:spPr>
                          <a:xfrm>
                            <a:off x="10632" y="1920077"/>
                            <a:ext cx="7716520" cy="576033"/>
                          </a:xfrm>
                          <a:custGeom>
                            <a:avLst/>
                            <a:gdLst>
                              <a:gd name="connsiteX0" fmla="*/ 0 w 7716520"/>
                              <a:gd name="connsiteY0" fmla="*/ 0 h 576033"/>
                              <a:gd name="connsiteX1" fmla="*/ 411548 w 7716520"/>
                              <a:gd name="connsiteY1" fmla="*/ 0 h 576033"/>
                              <a:gd name="connsiteX2" fmla="*/ 1131756 w 7716520"/>
                              <a:gd name="connsiteY2" fmla="*/ 0 h 576033"/>
                              <a:gd name="connsiteX3" fmla="*/ 1543304 w 7716520"/>
                              <a:gd name="connsiteY3" fmla="*/ 0 h 576033"/>
                              <a:gd name="connsiteX4" fmla="*/ 2109182 w 7716520"/>
                              <a:gd name="connsiteY4" fmla="*/ 0 h 576033"/>
                              <a:gd name="connsiteX5" fmla="*/ 2906556 w 7716520"/>
                              <a:gd name="connsiteY5" fmla="*/ 0 h 576033"/>
                              <a:gd name="connsiteX6" fmla="*/ 3549599 w 7716520"/>
                              <a:gd name="connsiteY6" fmla="*/ 0 h 576033"/>
                              <a:gd name="connsiteX7" fmla="*/ 4269808 w 7716520"/>
                              <a:gd name="connsiteY7" fmla="*/ 0 h 576033"/>
                              <a:gd name="connsiteX8" fmla="*/ 4835686 w 7716520"/>
                              <a:gd name="connsiteY8" fmla="*/ 0 h 576033"/>
                              <a:gd name="connsiteX9" fmla="*/ 5478729 w 7716520"/>
                              <a:gd name="connsiteY9" fmla="*/ 0 h 576033"/>
                              <a:gd name="connsiteX10" fmla="*/ 6276103 w 7716520"/>
                              <a:gd name="connsiteY10" fmla="*/ 0 h 576033"/>
                              <a:gd name="connsiteX11" fmla="*/ 6764816 w 7716520"/>
                              <a:gd name="connsiteY11" fmla="*/ 0 h 576033"/>
                              <a:gd name="connsiteX12" fmla="*/ 7716520 w 7716520"/>
                              <a:gd name="connsiteY12" fmla="*/ 0 h 576033"/>
                              <a:gd name="connsiteX13" fmla="*/ 7716520 w 7716520"/>
                              <a:gd name="connsiteY13" fmla="*/ 576033 h 576033"/>
                              <a:gd name="connsiteX14" fmla="*/ 7150642 w 7716520"/>
                              <a:gd name="connsiteY14" fmla="*/ 576033 h 576033"/>
                              <a:gd name="connsiteX15" fmla="*/ 6739094 w 7716520"/>
                              <a:gd name="connsiteY15" fmla="*/ 576033 h 576033"/>
                              <a:gd name="connsiteX16" fmla="*/ 6096051 w 7716520"/>
                              <a:gd name="connsiteY16" fmla="*/ 576033 h 576033"/>
                              <a:gd name="connsiteX17" fmla="*/ 5607338 w 7716520"/>
                              <a:gd name="connsiteY17" fmla="*/ 576033 h 576033"/>
                              <a:gd name="connsiteX18" fmla="*/ 4964295 w 7716520"/>
                              <a:gd name="connsiteY18" fmla="*/ 576033 h 576033"/>
                              <a:gd name="connsiteX19" fmla="*/ 4321251 w 7716520"/>
                              <a:gd name="connsiteY19" fmla="*/ 576033 h 576033"/>
                              <a:gd name="connsiteX20" fmla="*/ 3678208 w 7716520"/>
                              <a:gd name="connsiteY20" fmla="*/ 576033 h 576033"/>
                              <a:gd name="connsiteX21" fmla="*/ 3035165 w 7716520"/>
                              <a:gd name="connsiteY21" fmla="*/ 576033 h 576033"/>
                              <a:gd name="connsiteX22" fmla="*/ 2469286 w 7716520"/>
                              <a:gd name="connsiteY22" fmla="*/ 576033 h 576033"/>
                              <a:gd name="connsiteX23" fmla="*/ 1749078 w 7716520"/>
                              <a:gd name="connsiteY23" fmla="*/ 576033 h 576033"/>
                              <a:gd name="connsiteX24" fmla="*/ 1106035 w 7716520"/>
                              <a:gd name="connsiteY24" fmla="*/ 576033 h 576033"/>
                              <a:gd name="connsiteX25" fmla="*/ 0 w 7716520"/>
                              <a:gd name="connsiteY25" fmla="*/ 576033 h 576033"/>
                              <a:gd name="connsiteX26" fmla="*/ 0 w 7716520"/>
                              <a:gd name="connsiteY26" fmla="*/ 0 h 5760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576033"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736332" y="192091"/>
                                  <a:pt x="7710108" y="421731"/>
                                  <a:pt x="7716520" y="576033"/>
                                </a:cubicBezTo>
                                <a:cubicBezTo>
                                  <a:pt x="7591311" y="591228"/>
                                  <a:pt x="7393685" y="584134"/>
                                  <a:pt x="7150642" y="576033"/>
                                </a:cubicBezTo>
                                <a:cubicBezTo>
                                  <a:pt x="6907599" y="567932"/>
                                  <a:pt x="6856554" y="569385"/>
                                  <a:pt x="6739094" y="576033"/>
                                </a:cubicBezTo>
                                <a:cubicBezTo>
                                  <a:pt x="6621634" y="582681"/>
                                  <a:pt x="6301086" y="571422"/>
                                  <a:pt x="6096051" y="576033"/>
                                </a:cubicBezTo>
                                <a:cubicBezTo>
                                  <a:pt x="5891016" y="580644"/>
                                  <a:pt x="5802012" y="574532"/>
                                  <a:pt x="5607338" y="576033"/>
                                </a:cubicBezTo>
                                <a:cubicBezTo>
                                  <a:pt x="5412664" y="577534"/>
                                  <a:pt x="5171691" y="599908"/>
                                  <a:pt x="4964295" y="576033"/>
                                </a:cubicBezTo>
                                <a:cubicBezTo>
                                  <a:pt x="4756899" y="552158"/>
                                  <a:pt x="4573808" y="569187"/>
                                  <a:pt x="4321251" y="576033"/>
                                </a:cubicBezTo>
                                <a:cubicBezTo>
                                  <a:pt x="4068694" y="582879"/>
                                  <a:pt x="3984045" y="581405"/>
                                  <a:pt x="3678208" y="576033"/>
                                </a:cubicBezTo>
                                <a:cubicBezTo>
                                  <a:pt x="3372371" y="570661"/>
                                  <a:pt x="3332905" y="568788"/>
                                  <a:pt x="3035165" y="576033"/>
                                </a:cubicBezTo>
                                <a:cubicBezTo>
                                  <a:pt x="2737425" y="583278"/>
                                  <a:pt x="2747562" y="564824"/>
                                  <a:pt x="2469286" y="576033"/>
                                </a:cubicBezTo>
                                <a:cubicBezTo>
                                  <a:pt x="2191010" y="587242"/>
                                  <a:pt x="2075844" y="604761"/>
                                  <a:pt x="1749078" y="576033"/>
                                </a:cubicBezTo>
                                <a:cubicBezTo>
                                  <a:pt x="1422312" y="547305"/>
                                  <a:pt x="1348848" y="605697"/>
                                  <a:pt x="1106035" y="576033"/>
                                </a:cubicBezTo>
                                <a:cubicBezTo>
                                  <a:pt x="863222" y="546369"/>
                                  <a:pt x="400036" y="539603"/>
                                  <a:pt x="0" y="576033"/>
                                </a:cubicBezTo>
                                <a:cubicBezTo>
                                  <a:pt x="-16010" y="338702"/>
                                  <a:pt x="-7285" y="117965"/>
                                  <a:pt x="0" y="0"/>
                                </a:cubicBezTo>
                                <a:close/>
                              </a:path>
                              <a:path w="7716520" h="576033"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12658" y="259850"/>
                                  <a:pt x="7723904" y="450437"/>
                                  <a:pt x="7716520" y="576033"/>
                                </a:cubicBezTo>
                                <a:cubicBezTo>
                                  <a:pt x="7632413" y="577078"/>
                                  <a:pt x="7423486" y="577855"/>
                                  <a:pt x="7304972" y="576033"/>
                                </a:cubicBezTo>
                                <a:cubicBezTo>
                                  <a:pt x="7186458" y="574211"/>
                                  <a:pt x="6741738" y="601689"/>
                                  <a:pt x="6507599" y="576033"/>
                                </a:cubicBezTo>
                                <a:cubicBezTo>
                                  <a:pt x="6273460" y="550377"/>
                                  <a:pt x="6223861" y="593003"/>
                                  <a:pt x="6018886" y="576033"/>
                                </a:cubicBezTo>
                                <a:cubicBezTo>
                                  <a:pt x="5813911" y="559063"/>
                                  <a:pt x="5614415" y="599499"/>
                                  <a:pt x="5375842" y="576033"/>
                                </a:cubicBezTo>
                                <a:cubicBezTo>
                                  <a:pt x="5137269" y="552567"/>
                                  <a:pt x="4855282" y="554761"/>
                                  <a:pt x="4578469" y="576033"/>
                                </a:cubicBezTo>
                                <a:cubicBezTo>
                                  <a:pt x="4301656" y="597305"/>
                                  <a:pt x="4185888" y="588414"/>
                                  <a:pt x="3935425" y="576033"/>
                                </a:cubicBezTo>
                                <a:cubicBezTo>
                                  <a:pt x="3684962" y="563652"/>
                                  <a:pt x="3674203" y="568145"/>
                                  <a:pt x="3523877" y="576033"/>
                                </a:cubicBezTo>
                                <a:cubicBezTo>
                                  <a:pt x="3373551" y="583921"/>
                                  <a:pt x="3135346" y="567459"/>
                                  <a:pt x="3035165" y="576033"/>
                                </a:cubicBezTo>
                                <a:cubicBezTo>
                                  <a:pt x="2934984" y="584607"/>
                                  <a:pt x="2482544" y="573686"/>
                                  <a:pt x="2237791" y="576033"/>
                                </a:cubicBezTo>
                                <a:cubicBezTo>
                                  <a:pt x="1993038" y="578380"/>
                                  <a:pt x="1885635" y="600385"/>
                                  <a:pt x="1594747" y="576033"/>
                                </a:cubicBezTo>
                                <a:cubicBezTo>
                                  <a:pt x="1303859" y="551681"/>
                                  <a:pt x="1346507" y="598924"/>
                                  <a:pt x="1106035" y="576033"/>
                                </a:cubicBezTo>
                                <a:cubicBezTo>
                                  <a:pt x="865563" y="553142"/>
                                  <a:pt x="337839" y="578957"/>
                                  <a:pt x="0" y="576033"/>
                                </a:cubicBezTo>
                                <a:cubicBezTo>
                                  <a:pt x="-4335" y="332261"/>
                                  <a:pt x="26186" y="130333"/>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812893" name="Rectangle 5"/>
                        <wps:cNvSpPr/>
                        <wps:spPr>
                          <a:xfrm>
                            <a:off x="0" y="3140860"/>
                            <a:ext cx="7716520" cy="663175"/>
                          </a:xfrm>
                          <a:custGeom>
                            <a:avLst/>
                            <a:gdLst>
                              <a:gd name="connsiteX0" fmla="*/ 0 w 7716520"/>
                              <a:gd name="connsiteY0" fmla="*/ 0 h 663175"/>
                              <a:gd name="connsiteX1" fmla="*/ 411548 w 7716520"/>
                              <a:gd name="connsiteY1" fmla="*/ 0 h 663175"/>
                              <a:gd name="connsiteX2" fmla="*/ 1131756 w 7716520"/>
                              <a:gd name="connsiteY2" fmla="*/ 0 h 663175"/>
                              <a:gd name="connsiteX3" fmla="*/ 1543304 w 7716520"/>
                              <a:gd name="connsiteY3" fmla="*/ 0 h 663175"/>
                              <a:gd name="connsiteX4" fmla="*/ 2109182 w 7716520"/>
                              <a:gd name="connsiteY4" fmla="*/ 0 h 663175"/>
                              <a:gd name="connsiteX5" fmla="*/ 2906556 w 7716520"/>
                              <a:gd name="connsiteY5" fmla="*/ 0 h 663175"/>
                              <a:gd name="connsiteX6" fmla="*/ 3549599 w 7716520"/>
                              <a:gd name="connsiteY6" fmla="*/ 0 h 663175"/>
                              <a:gd name="connsiteX7" fmla="*/ 4269808 w 7716520"/>
                              <a:gd name="connsiteY7" fmla="*/ 0 h 663175"/>
                              <a:gd name="connsiteX8" fmla="*/ 4835686 w 7716520"/>
                              <a:gd name="connsiteY8" fmla="*/ 0 h 663175"/>
                              <a:gd name="connsiteX9" fmla="*/ 5478729 w 7716520"/>
                              <a:gd name="connsiteY9" fmla="*/ 0 h 663175"/>
                              <a:gd name="connsiteX10" fmla="*/ 6276103 w 7716520"/>
                              <a:gd name="connsiteY10" fmla="*/ 0 h 663175"/>
                              <a:gd name="connsiteX11" fmla="*/ 6764816 w 7716520"/>
                              <a:gd name="connsiteY11" fmla="*/ 0 h 663175"/>
                              <a:gd name="connsiteX12" fmla="*/ 7716520 w 7716520"/>
                              <a:gd name="connsiteY12" fmla="*/ 0 h 663175"/>
                              <a:gd name="connsiteX13" fmla="*/ 7716520 w 7716520"/>
                              <a:gd name="connsiteY13" fmla="*/ 663175 h 663175"/>
                              <a:gd name="connsiteX14" fmla="*/ 7150642 w 7716520"/>
                              <a:gd name="connsiteY14" fmla="*/ 663175 h 663175"/>
                              <a:gd name="connsiteX15" fmla="*/ 6739094 w 7716520"/>
                              <a:gd name="connsiteY15" fmla="*/ 663175 h 663175"/>
                              <a:gd name="connsiteX16" fmla="*/ 6096051 w 7716520"/>
                              <a:gd name="connsiteY16" fmla="*/ 663175 h 663175"/>
                              <a:gd name="connsiteX17" fmla="*/ 5607338 w 7716520"/>
                              <a:gd name="connsiteY17" fmla="*/ 663175 h 663175"/>
                              <a:gd name="connsiteX18" fmla="*/ 4964295 w 7716520"/>
                              <a:gd name="connsiteY18" fmla="*/ 663175 h 663175"/>
                              <a:gd name="connsiteX19" fmla="*/ 4321251 w 7716520"/>
                              <a:gd name="connsiteY19" fmla="*/ 663175 h 663175"/>
                              <a:gd name="connsiteX20" fmla="*/ 3678208 w 7716520"/>
                              <a:gd name="connsiteY20" fmla="*/ 663175 h 663175"/>
                              <a:gd name="connsiteX21" fmla="*/ 3035165 w 7716520"/>
                              <a:gd name="connsiteY21" fmla="*/ 663175 h 663175"/>
                              <a:gd name="connsiteX22" fmla="*/ 2469286 w 7716520"/>
                              <a:gd name="connsiteY22" fmla="*/ 663175 h 663175"/>
                              <a:gd name="connsiteX23" fmla="*/ 1749078 w 7716520"/>
                              <a:gd name="connsiteY23" fmla="*/ 663175 h 663175"/>
                              <a:gd name="connsiteX24" fmla="*/ 1106035 w 7716520"/>
                              <a:gd name="connsiteY24" fmla="*/ 663175 h 663175"/>
                              <a:gd name="connsiteX25" fmla="*/ 0 w 7716520"/>
                              <a:gd name="connsiteY25" fmla="*/ 663175 h 663175"/>
                              <a:gd name="connsiteX26" fmla="*/ 0 w 7716520"/>
                              <a:gd name="connsiteY26" fmla="*/ 0 h 663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663175"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718572" y="245266"/>
                                  <a:pt x="7724511" y="464246"/>
                                  <a:pt x="7716520" y="663175"/>
                                </a:cubicBezTo>
                                <a:cubicBezTo>
                                  <a:pt x="7591311" y="678370"/>
                                  <a:pt x="7393685" y="671276"/>
                                  <a:pt x="7150642" y="663175"/>
                                </a:cubicBezTo>
                                <a:cubicBezTo>
                                  <a:pt x="6907599" y="655074"/>
                                  <a:pt x="6856554" y="656527"/>
                                  <a:pt x="6739094" y="663175"/>
                                </a:cubicBezTo>
                                <a:cubicBezTo>
                                  <a:pt x="6621634" y="669823"/>
                                  <a:pt x="6301086" y="658564"/>
                                  <a:pt x="6096051" y="663175"/>
                                </a:cubicBezTo>
                                <a:cubicBezTo>
                                  <a:pt x="5891016" y="667786"/>
                                  <a:pt x="5802012" y="661674"/>
                                  <a:pt x="5607338" y="663175"/>
                                </a:cubicBezTo>
                                <a:cubicBezTo>
                                  <a:pt x="5412664" y="664676"/>
                                  <a:pt x="5171691" y="687050"/>
                                  <a:pt x="4964295" y="663175"/>
                                </a:cubicBezTo>
                                <a:cubicBezTo>
                                  <a:pt x="4756899" y="639300"/>
                                  <a:pt x="4573808" y="656329"/>
                                  <a:pt x="4321251" y="663175"/>
                                </a:cubicBezTo>
                                <a:cubicBezTo>
                                  <a:pt x="4068694" y="670021"/>
                                  <a:pt x="3984045" y="668547"/>
                                  <a:pt x="3678208" y="663175"/>
                                </a:cubicBezTo>
                                <a:cubicBezTo>
                                  <a:pt x="3372371" y="657803"/>
                                  <a:pt x="3332905" y="655930"/>
                                  <a:pt x="3035165" y="663175"/>
                                </a:cubicBezTo>
                                <a:cubicBezTo>
                                  <a:pt x="2737425" y="670420"/>
                                  <a:pt x="2747562" y="651966"/>
                                  <a:pt x="2469286" y="663175"/>
                                </a:cubicBezTo>
                                <a:cubicBezTo>
                                  <a:pt x="2191010" y="674384"/>
                                  <a:pt x="2075844" y="691903"/>
                                  <a:pt x="1749078" y="663175"/>
                                </a:cubicBezTo>
                                <a:cubicBezTo>
                                  <a:pt x="1422312" y="634447"/>
                                  <a:pt x="1348848" y="692839"/>
                                  <a:pt x="1106035" y="663175"/>
                                </a:cubicBezTo>
                                <a:cubicBezTo>
                                  <a:pt x="863222" y="633511"/>
                                  <a:pt x="400036" y="626745"/>
                                  <a:pt x="0" y="663175"/>
                                </a:cubicBezTo>
                                <a:cubicBezTo>
                                  <a:pt x="-13704" y="441361"/>
                                  <a:pt x="1523" y="221777"/>
                                  <a:pt x="0" y="0"/>
                                </a:cubicBezTo>
                                <a:close/>
                              </a:path>
                              <a:path w="7716520" h="663175"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01157" y="162369"/>
                                  <a:pt x="7717965" y="339267"/>
                                  <a:pt x="7716520" y="663175"/>
                                </a:cubicBezTo>
                                <a:cubicBezTo>
                                  <a:pt x="7632413" y="664220"/>
                                  <a:pt x="7423486" y="664997"/>
                                  <a:pt x="7304972" y="663175"/>
                                </a:cubicBezTo>
                                <a:cubicBezTo>
                                  <a:pt x="7186458" y="661353"/>
                                  <a:pt x="6741738" y="688831"/>
                                  <a:pt x="6507599" y="663175"/>
                                </a:cubicBezTo>
                                <a:cubicBezTo>
                                  <a:pt x="6273460" y="637519"/>
                                  <a:pt x="6223861" y="680145"/>
                                  <a:pt x="6018886" y="663175"/>
                                </a:cubicBezTo>
                                <a:cubicBezTo>
                                  <a:pt x="5813911" y="646205"/>
                                  <a:pt x="5614415" y="686641"/>
                                  <a:pt x="5375842" y="663175"/>
                                </a:cubicBezTo>
                                <a:cubicBezTo>
                                  <a:pt x="5137269" y="639709"/>
                                  <a:pt x="4855282" y="641903"/>
                                  <a:pt x="4578469" y="663175"/>
                                </a:cubicBezTo>
                                <a:cubicBezTo>
                                  <a:pt x="4301656" y="684447"/>
                                  <a:pt x="4185888" y="675556"/>
                                  <a:pt x="3935425" y="663175"/>
                                </a:cubicBezTo>
                                <a:cubicBezTo>
                                  <a:pt x="3684962" y="650794"/>
                                  <a:pt x="3674203" y="655287"/>
                                  <a:pt x="3523877" y="663175"/>
                                </a:cubicBezTo>
                                <a:cubicBezTo>
                                  <a:pt x="3373551" y="671063"/>
                                  <a:pt x="3135346" y="654601"/>
                                  <a:pt x="3035165" y="663175"/>
                                </a:cubicBezTo>
                                <a:cubicBezTo>
                                  <a:pt x="2934984" y="671749"/>
                                  <a:pt x="2482544" y="660828"/>
                                  <a:pt x="2237791" y="663175"/>
                                </a:cubicBezTo>
                                <a:cubicBezTo>
                                  <a:pt x="1993038" y="665522"/>
                                  <a:pt x="1885635" y="687527"/>
                                  <a:pt x="1594747" y="663175"/>
                                </a:cubicBezTo>
                                <a:cubicBezTo>
                                  <a:pt x="1303859" y="638823"/>
                                  <a:pt x="1346507" y="686066"/>
                                  <a:pt x="1106035" y="663175"/>
                                </a:cubicBezTo>
                                <a:cubicBezTo>
                                  <a:pt x="865563" y="640284"/>
                                  <a:pt x="337839" y="666099"/>
                                  <a:pt x="0" y="663175"/>
                                </a:cubicBezTo>
                                <a:cubicBezTo>
                                  <a:pt x="-24045" y="423026"/>
                                  <a:pt x="-20517" y="135952"/>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4662" name="Rectangle 5"/>
                        <wps:cNvSpPr/>
                        <wps:spPr>
                          <a:xfrm>
                            <a:off x="0" y="4342827"/>
                            <a:ext cx="7716520" cy="628609"/>
                          </a:xfrm>
                          <a:custGeom>
                            <a:avLst/>
                            <a:gdLst>
                              <a:gd name="connsiteX0" fmla="*/ 0 w 7716520"/>
                              <a:gd name="connsiteY0" fmla="*/ 0 h 628609"/>
                              <a:gd name="connsiteX1" fmla="*/ 411548 w 7716520"/>
                              <a:gd name="connsiteY1" fmla="*/ 0 h 628609"/>
                              <a:gd name="connsiteX2" fmla="*/ 1131756 w 7716520"/>
                              <a:gd name="connsiteY2" fmla="*/ 0 h 628609"/>
                              <a:gd name="connsiteX3" fmla="*/ 1543304 w 7716520"/>
                              <a:gd name="connsiteY3" fmla="*/ 0 h 628609"/>
                              <a:gd name="connsiteX4" fmla="*/ 2109182 w 7716520"/>
                              <a:gd name="connsiteY4" fmla="*/ 0 h 628609"/>
                              <a:gd name="connsiteX5" fmla="*/ 2906556 w 7716520"/>
                              <a:gd name="connsiteY5" fmla="*/ 0 h 628609"/>
                              <a:gd name="connsiteX6" fmla="*/ 3549599 w 7716520"/>
                              <a:gd name="connsiteY6" fmla="*/ 0 h 628609"/>
                              <a:gd name="connsiteX7" fmla="*/ 4269808 w 7716520"/>
                              <a:gd name="connsiteY7" fmla="*/ 0 h 628609"/>
                              <a:gd name="connsiteX8" fmla="*/ 4835686 w 7716520"/>
                              <a:gd name="connsiteY8" fmla="*/ 0 h 628609"/>
                              <a:gd name="connsiteX9" fmla="*/ 5478729 w 7716520"/>
                              <a:gd name="connsiteY9" fmla="*/ 0 h 628609"/>
                              <a:gd name="connsiteX10" fmla="*/ 6276103 w 7716520"/>
                              <a:gd name="connsiteY10" fmla="*/ 0 h 628609"/>
                              <a:gd name="connsiteX11" fmla="*/ 6764816 w 7716520"/>
                              <a:gd name="connsiteY11" fmla="*/ 0 h 628609"/>
                              <a:gd name="connsiteX12" fmla="*/ 7716520 w 7716520"/>
                              <a:gd name="connsiteY12" fmla="*/ 0 h 628609"/>
                              <a:gd name="connsiteX13" fmla="*/ 7716520 w 7716520"/>
                              <a:gd name="connsiteY13" fmla="*/ 628609 h 628609"/>
                              <a:gd name="connsiteX14" fmla="*/ 7150642 w 7716520"/>
                              <a:gd name="connsiteY14" fmla="*/ 628609 h 628609"/>
                              <a:gd name="connsiteX15" fmla="*/ 6739094 w 7716520"/>
                              <a:gd name="connsiteY15" fmla="*/ 628609 h 628609"/>
                              <a:gd name="connsiteX16" fmla="*/ 6096051 w 7716520"/>
                              <a:gd name="connsiteY16" fmla="*/ 628609 h 628609"/>
                              <a:gd name="connsiteX17" fmla="*/ 5607338 w 7716520"/>
                              <a:gd name="connsiteY17" fmla="*/ 628609 h 628609"/>
                              <a:gd name="connsiteX18" fmla="*/ 4964295 w 7716520"/>
                              <a:gd name="connsiteY18" fmla="*/ 628609 h 628609"/>
                              <a:gd name="connsiteX19" fmla="*/ 4321251 w 7716520"/>
                              <a:gd name="connsiteY19" fmla="*/ 628609 h 628609"/>
                              <a:gd name="connsiteX20" fmla="*/ 3678208 w 7716520"/>
                              <a:gd name="connsiteY20" fmla="*/ 628609 h 628609"/>
                              <a:gd name="connsiteX21" fmla="*/ 3035165 w 7716520"/>
                              <a:gd name="connsiteY21" fmla="*/ 628609 h 628609"/>
                              <a:gd name="connsiteX22" fmla="*/ 2469286 w 7716520"/>
                              <a:gd name="connsiteY22" fmla="*/ 628609 h 628609"/>
                              <a:gd name="connsiteX23" fmla="*/ 1749078 w 7716520"/>
                              <a:gd name="connsiteY23" fmla="*/ 628609 h 628609"/>
                              <a:gd name="connsiteX24" fmla="*/ 1106035 w 7716520"/>
                              <a:gd name="connsiteY24" fmla="*/ 628609 h 628609"/>
                              <a:gd name="connsiteX25" fmla="*/ 0 w 7716520"/>
                              <a:gd name="connsiteY25" fmla="*/ 628609 h 628609"/>
                              <a:gd name="connsiteX26" fmla="*/ 0 w 7716520"/>
                              <a:gd name="connsiteY26" fmla="*/ 0 h 628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628609"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701017" y="172664"/>
                                  <a:pt x="7691235" y="347765"/>
                                  <a:pt x="7716520" y="628609"/>
                                </a:cubicBezTo>
                                <a:cubicBezTo>
                                  <a:pt x="7591311" y="643804"/>
                                  <a:pt x="7393685" y="636710"/>
                                  <a:pt x="7150642" y="628609"/>
                                </a:cubicBezTo>
                                <a:cubicBezTo>
                                  <a:pt x="6907599" y="620508"/>
                                  <a:pt x="6856554" y="621961"/>
                                  <a:pt x="6739094" y="628609"/>
                                </a:cubicBezTo>
                                <a:cubicBezTo>
                                  <a:pt x="6621634" y="635257"/>
                                  <a:pt x="6301086" y="623998"/>
                                  <a:pt x="6096051" y="628609"/>
                                </a:cubicBezTo>
                                <a:cubicBezTo>
                                  <a:pt x="5891016" y="633220"/>
                                  <a:pt x="5802012" y="627108"/>
                                  <a:pt x="5607338" y="628609"/>
                                </a:cubicBezTo>
                                <a:cubicBezTo>
                                  <a:pt x="5412664" y="630110"/>
                                  <a:pt x="5171691" y="652484"/>
                                  <a:pt x="4964295" y="628609"/>
                                </a:cubicBezTo>
                                <a:cubicBezTo>
                                  <a:pt x="4756899" y="604734"/>
                                  <a:pt x="4573808" y="621763"/>
                                  <a:pt x="4321251" y="628609"/>
                                </a:cubicBezTo>
                                <a:cubicBezTo>
                                  <a:pt x="4068694" y="635455"/>
                                  <a:pt x="3984045" y="633981"/>
                                  <a:pt x="3678208" y="628609"/>
                                </a:cubicBezTo>
                                <a:cubicBezTo>
                                  <a:pt x="3372371" y="623237"/>
                                  <a:pt x="3332905" y="621364"/>
                                  <a:pt x="3035165" y="628609"/>
                                </a:cubicBezTo>
                                <a:cubicBezTo>
                                  <a:pt x="2737425" y="635854"/>
                                  <a:pt x="2747562" y="617400"/>
                                  <a:pt x="2469286" y="628609"/>
                                </a:cubicBezTo>
                                <a:cubicBezTo>
                                  <a:pt x="2191010" y="639818"/>
                                  <a:pt x="2075844" y="657337"/>
                                  <a:pt x="1749078" y="628609"/>
                                </a:cubicBezTo>
                                <a:cubicBezTo>
                                  <a:pt x="1422312" y="599881"/>
                                  <a:pt x="1348848" y="658273"/>
                                  <a:pt x="1106035" y="628609"/>
                                </a:cubicBezTo>
                                <a:cubicBezTo>
                                  <a:pt x="863222" y="598945"/>
                                  <a:pt x="400036" y="592179"/>
                                  <a:pt x="0" y="628609"/>
                                </a:cubicBezTo>
                                <a:cubicBezTo>
                                  <a:pt x="-21599" y="337369"/>
                                  <a:pt x="-12815" y="134708"/>
                                  <a:pt x="0" y="0"/>
                                </a:cubicBezTo>
                                <a:close/>
                              </a:path>
                              <a:path w="7716520" h="628609"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40687" y="293139"/>
                                  <a:pt x="7692220" y="331544"/>
                                  <a:pt x="7716520" y="628609"/>
                                </a:cubicBezTo>
                                <a:cubicBezTo>
                                  <a:pt x="7632413" y="629654"/>
                                  <a:pt x="7423486" y="630431"/>
                                  <a:pt x="7304972" y="628609"/>
                                </a:cubicBezTo>
                                <a:cubicBezTo>
                                  <a:pt x="7186458" y="626787"/>
                                  <a:pt x="6741738" y="654265"/>
                                  <a:pt x="6507599" y="628609"/>
                                </a:cubicBezTo>
                                <a:cubicBezTo>
                                  <a:pt x="6273460" y="602953"/>
                                  <a:pt x="6223861" y="645579"/>
                                  <a:pt x="6018886" y="628609"/>
                                </a:cubicBezTo>
                                <a:cubicBezTo>
                                  <a:pt x="5813911" y="611639"/>
                                  <a:pt x="5614415" y="652075"/>
                                  <a:pt x="5375842" y="628609"/>
                                </a:cubicBezTo>
                                <a:cubicBezTo>
                                  <a:pt x="5137269" y="605143"/>
                                  <a:pt x="4855282" y="607337"/>
                                  <a:pt x="4578469" y="628609"/>
                                </a:cubicBezTo>
                                <a:cubicBezTo>
                                  <a:pt x="4301656" y="649881"/>
                                  <a:pt x="4185888" y="640990"/>
                                  <a:pt x="3935425" y="628609"/>
                                </a:cubicBezTo>
                                <a:cubicBezTo>
                                  <a:pt x="3684962" y="616228"/>
                                  <a:pt x="3674203" y="620721"/>
                                  <a:pt x="3523877" y="628609"/>
                                </a:cubicBezTo>
                                <a:cubicBezTo>
                                  <a:pt x="3373551" y="636497"/>
                                  <a:pt x="3135346" y="620035"/>
                                  <a:pt x="3035165" y="628609"/>
                                </a:cubicBezTo>
                                <a:cubicBezTo>
                                  <a:pt x="2934984" y="637183"/>
                                  <a:pt x="2482544" y="626262"/>
                                  <a:pt x="2237791" y="628609"/>
                                </a:cubicBezTo>
                                <a:cubicBezTo>
                                  <a:pt x="1993038" y="630956"/>
                                  <a:pt x="1885635" y="652961"/>
                                  <a:pt x="1594747" y="628609"/>
                                </a:cubicBezTo>
                                <a:cubicBezTo>
                                  <a:pt x="1303859" y="604257"/>
                                  <a:pt x="1346507" y="651500"/>
                                  <a:pt x="1106035" y="628609"/>
                                </a:cubicBezTo>
                                <a:cubicBezTo>
                                  <a:pt x="865563" y="605718"/>
                                  <a:pt x="337839" y="631533"/>
                                  <a:pt x="0" y="628609"/>
                                </a:cubicBezTo>
                                <a:cubicBezTo>
                                  <a:pt x="-22979" y="477628"/>
                                  <a:pt x="-11469" y="180899"/>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445368" name="Rectangle 5"/>
                        <wps:cNvSpPr/>
                        <wps:spPr>
                          <a:xfrm>
                            <a:off x="0" y="5542957"/>
                            <a:ext cx="7716520" cy="557552"/>
                          </a:xfrm>
                          <a:custGeom>
                            <a:avLst/>
                            <a:gdLst>
                              <a:gd name="connsiteX0" fmla="*/ 0 w 7716520"/>
                              <a:gd name="connsiteY0" fmla="*/ 0 h 557552"/>
                              <a:gd name="connsiteX1" fmla="*/ 411548 w 7716520"/>
                              <a:gd name="connsiteY1" fmla="*/ 0 h 557552"/>
                              <a:gd name="connsiteX2" fmla="*/ 1131756 w 7716520"/>
                              <a:gd name="connsiteY2" fmla="*/ 0 h 557552"/>
                              <a:gd name="connsiteX3" fmla="*/ 1543304 w 7716520"/>
                              <a:gd name="connsiteY3" fmla="*/ 0 h 557552"/>
                              <a:gd name="connsiteX4" fmla="*/ 2109182 w 7716520"/>
                              <a:gd name="connsiteY4" fmla="*/ 0 h 557552"/>
                              <a:gd name="connsiteX5" fmla="*/ 2906556 w 7716520"/>
                              <a:gd name="connsiteY5" fmla="*/ 0 h 557552"/>
                              <a:gd name="connsiteX6" fmla="*/ 3549599 w 7716520"/>
                              <a:gd name="connsiteY6" fmla="*/ 0 h 557552"/>
                              <a:gd name="connsiteX7" fmla="*/ 4269808 w 7716520"/>
                              <a:gd name="connsiteY7" fmla="*/ 0 h 557552"/>
                              <a:gd name="connsiteX8" fmla="*/ 4835686 w 7716520"/>
                              <a:gd name="connsiteY8" fmla="*/ 0 h 557552"/>
                              <a:gd name="connsiteX9" fmla="*/ 5478729 w 7716520"/>
                              <a:gd name="connsiteY9" fmla="*/ 0 h 557552"/>
                              <a:gd name="connsiteX10" fmla="*/ 6276103 w 7716520"/>
                              <a:gd name="connsiteY10" fmla="*/ 0 h 557552"/>
                              <a:gd name="connsiteX11" fmla="*/ 6764816 w 7716520"/>
                              <a:gd name="connsiteY11" fmla="*/ 0 h 557552"/>
                              <a:gd name="connsiteX12" fmla="*/ 7716520 w 7716520"/>
                              <a:gd name="connsiteY12" fmla="*/ 0 h 557552"/>
                              <a:gd name="connsiteX13" fmla="*/ 7716520 w 7716520"/>
                              <a:gd name="connsiteY13" fmla="*/ 557552 h 557552"/>
                              <a:gd name="connsiteX14" fmla="*/ 7150642 w 7716520"/>
                              <a:gd name="connsiteY14" fmla="*/ 557552 h 557552"/>
                              <a:gd name="connsiteX15" fmla="*/ 6739094 w 7716520"/>
                              <a:gd name="connsiteY15" fmla="*/ 557552 h 557552"/>
                              <a:gd name="connsiteX16" fmla="*/ 6096051 w 7716520"/>
                              <a:gd name="connsiteY16" fmla="*/ 557552 h 557552"/>
                              <a:gd name="connsiteX17" fmla="*/ 5607338 w 7716520"/>
                              <a:gd name="connsiteY17" fmla="*/ 557552 h 557552"/>
                              <a:gd name="connsiteX18" fmla="*/ 4964295 w 7716520"/>
                              <a:gd name="connsiteY18" fmla="*/ 557552 h 557552"/>
                              <a:gd name="connsiteX19" fmla="*/ 4321251 w 7716520"/>
                              <a:gd name="connsiteY19" fmla="*/ 557552 h 557552"/>
                              <a:gd name="connsiteX20" fmla="*/ 3678208 w 7716520"/>
                              <a:gd name="connsiteY20" fmla="*/ 557552 h 557552"/>
                              <a:gd name="connsiteX21" fmla="*/ 3035165 w 7716520"/>
                              <a:gd name="connsiteY21" fmla="*/ 557552 h 557552"/>
                              <a:gd name="connsiteX22" fmla="*/ 2469286 w 7716520"/>
                              <a:gd name="connsiteY22" fmla="*/ 557552 h 557552"/>
                              <a:gd name="connsiteX23" fmla="*/ 1749078 w 7716520"/>
                              <a:gd name="connsiteY23" fmla="*/ 557552 h 557552"/>
                              <a:gd name="connsiteX24" fmla="*/ 1106035 w 7716520"/>
                              <a:gd name="connsiteY24" fmla="*/ 557552 h 557552"/>
                              <a:gd name="connsiteX25" fmla="*/ 0 w 7716520"/>
                              <a:gd name="connsiteY25" fmla="*/ 557552 h 557552"/>
                              <a:gd name="connsiteX26" fmla="*/ 0 w 7716520"/>
                              <a:gd name="connsiteY26" fmla="*/ 0 h 557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557552"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714907" y="222121"/>
                                  <a:pt x="7740135" y="302693"/>
                                  <a:pt x="7716520" y="557552"/>
                                </a:cubicBezTo>
                                <a:cubicBezTo>
                                  <a:pt x="7591311" y="572747"/>
                                  <a:pt x="7393685" y="565653"/>
                                  <a:pt x="7150642" y="557552"/>
                                </a:cubicBezTo>
                                <a:cubicBezTo>
                                  <a:pt x="6907599" y="549451"/>
                                  <a:pt x="6856554" y="550904"/>
                                  <a:pt x="6739094" y="557552"/>
                                </a:cubicBezTo>
                                <a:cubicBezTo>
                                  <a:pt x="6621634" y="564200"/>
                                  <a:pt x="6301086" y="552941"/>
                                  <a:pt x="6096051" y="557552"/>
                                </a:cubicBezTo>
                                <a:cubicBezTo>
                                  <a:pt x="5891016" y="562163"/>
                                  <a:pt x="5802012" y="556051"/>
                                  <a:pt x="5607338" y="557552"/>
                                </a:cubicBezTo>
                                <a:cubicBezTo>
                                  <a:pt x="5412664" y="559053"/>
                                  <a:pt x="5171691" y="581427"/>
                                  <a:pt x="4964295" y="557552"/>
                                </a:cubicBezTo>
                                <a:cubicBezTo>
                                  <a:pt x="4756899" y="533677"/>
                                  <a:pt x="4573808" y="550706"/>
                                  <a:pt x="4321251" y="557552"/>
                                </a:cubicBezTo>
                                <a:cubicBezTo>
                                  <a:pt x="4068694" y="564398"/>
                                  <a:pt x="3984045" y="562924"/>
                                  <a:pt x="3678208" y="557552"/>
                                </a:cubicBezTo>
                                <a:cubicBezTo>
                                  <a:pt x="3372371" y="552180"/>
                                  <a:pt x="3332905" y="550307"/>
                                  <a:pt x="3035165" y="557552"/>
                                </a:cubicBezTo>
                                <a:cubicBezTo>
                                  <a:pt x="2737425" y="564797"/>
                                  <a:pt x="2747562" y="546343"/>
                                  <a:pt x="2469286" y="557552"/>
                                </a:cubicBezTo>
                                <a:cubicBezTo>
                                  <a:pt x="2191010" y="568761"/>
                                  <a:pt x="2075844" y="586280"/>
                                  <a:pt x="1749078" y="557552"/>
                                </a:cubicBezTo>
                                <a:cubicBezTo>
                                  <a:pt x="1422312" y="528824"/>
                                  <a:pt x="1348848" y="587216"/>
                                  <a:pt x="1106035" y="557552"/>
                                </a:cubicBezTo>
                                <a:cubicBezTo>
                                  <a:pt x="863222" y="527888"/>
                                  <a:pt x="400036" y="521122"/>
                                  <a:pt x="0" y="557552"/>
                                </a:cubicBezTo>
                                <a:cubicBezTo>
                                  <a:pt x="2273" y="413277"/>
                                  <a:pt x="878" y="127184"/>
                                  <a:pt x="0" y="0"/>
                                </a:cubicBezTo>
                                <a:close/>
                              </a:path>
                              <a:path w="7716520" h="557552"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692760" y="193627"/>
                                  <a:pt x="7736880" y="310388"/>
                                  <a:pt x="7716520" y="557552"/>
                                </a:cubicBezTo>
                                <a:cubicBezTo>
                                  <a:pt x="7632413" y="558597"/>
                                  <a:pt x="7423486" y="559374"/>
                                  <a:pt x="7304972" y="557552"/>
                                </a:cubicBezTo>
                                <a:cubicBezTo>
                                  <a:pt x="7186458" y="555730"/>
                                  <a:pt x="6741738" y="583208"/>
                                  <a:pt x="6507599" y="557552"/>
                                </a:cubicBezTo>
                                <a:cubicBezTo>
                                  <a:pt x="6273460" y="531896"/>
                                  <a:pt x="6223861" y="574522"/>
                                  <a:pt x="6018886" y="557552"/>
                                </a:cubicBezTo>
                                <a:cubicBezTo>
                                  <a:pt x="5813911" y="540582"/>
                                  <a:pt x="5614415" y="581018"/>
                                  <a:pt x="5375842" y="557552"/>
                                </a:cubicBezTo>
                                <a:cubicBezTo>
                                  <a:pt x="5137269" y="534086"/>
                                  <a:pt x="4855282" y="536280"/>
                                  <a:pt x="4578469" y="557552"/>
                                </a:cubicBezTo>
                                <a:cubicBezTo>
                                  <a:pt x="4301656" y="578824"/>
                                  <a:pt x="4185888" y="569933"/>
                                  <a:pt x="3935425" y="557552"/>
                                </a:cubicBezTo>
                                <a:cubicBezTo>
                                  <a:pt x="3684962" y="545171"/>
                                  <a:pt x="3674203" y="549664"/>
                                  <a:pt x="3523877" y="557552"/>
                                </a:cubicBezTo>
                                <a:cubicBezTo>
                                  <a:pt x="3373551" y="565440"/>
                                  <a:pt x="3135346" y="548978"/>
                                  <a:pt x="3035165" y="557552"/>
                                </a:cubicBezTo>
                                <a:cubicBezTo>
                                  <a:pt x="2934984" y="566126"/>
                                  <a:pt x="2482544" y="555205"/>
                                  <a:pt x="2237791" y="557552"/>
                                </a:cubicBezTo>
                                <a:cubicBezTo>
                                  <a:pt x="1993038" y="559899"/>
                                  <a:pt x="1885635" y="581904"/>
                                  <a:pt x="1594747" y="557552"/>
                                </a:cubicBezTo>
                                <a:cubicBezTo>
                                  <a:pt x="1303859" y="533200"/>
                                  <a:pt x="1346507" y="580443"/>
                                  <a:pt x="1106035" y="557552"/>
                                </a:cubicBezTo>
                                <a:cubicBezTo>
                                  <a:pt x="865563" y="534661"/>
                                  <a:pt x="337839" y="560476"/>
                                  <a:pt x="0" y="557552"/>
                                </a:cubicBezTo>
                                <a:cubicBezTo>
                                  <a:pt x="2316" y="396382"/>
                                  <a:pt x="666" y="167469"/>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BE5FC2" id="Group 794351315" o:spid="_x0000_s1026" alt="Text box - Key Findings" style="position:absolute;margin-left:-8.8pt;margin-top:162.7pt;width:459.2pt;height:485.25pt;z-index:-251659246;mso-position-horizontal-relative:margin;mso-position-vertical-relative:page;mso-width-relative:margin;mso-height-relative:margin" coordorigin=",-665" coordsize="77271,6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Hp6MzYAAG5ZAQAOAAAAZHJzL2Uyb0RvYy54bWzsnV1vHDmSru8PcP6DoMsDqF35nWmMe9Hz&#10;0YMDzNlpzMxiti/VctkWVlZpS3LbPb/+PMFgZkVkyZVk2r2DXdRNt8qZ5Jskg8Fg8I3gb/7l0/u7&#10;i5+3+8fb3f2ry+KbzeXF9v5m9/r2/u2ry3/72/dX/eXF49P1/evru9399tXlL9vHy3/59n//r998&#10;fHi5LXfvdnevt/sLKrl/fPnx4dXlu6enh5cvXjzevNu+v378Zvewvefhm93+/fUTP/dvX7zeX3+k&#10;9vd3L8rNpn3xcbd//bDf3WwfH/nX3+vDy29D/W/ebG+e/vzmzeP26eLu1SXf9hT+uw///Un+++Lb&#10;31y/fLu/fnh3exM/43rFV7y/vr0HdKrq99dP1xcf9rdHVb2/vdnvHndvnr652b1/sXvz5vZmG9pA&#10;a4rNrDV/3O8+PIS2vH358e3D1E107ayfVld7868//3H/8NeHH/b0xMeHt/RF+CVt+fRm/17+z1de&#10;fApd9svUZdtPTxc3/GPTV0Vf07M3PGuLtmy7Rjv15h09fyh31bbNUI+P/hCLd13ZFU05Fe+KTSXv&#10;vBjRX7hv+viAlDweOuLxyzrir++uH7ahfx9f0hE/7C9uXyPEZd22fT30w+XF/fV7hPYviNH1/du7&#10;7UVom3wFr0+d9vjykf77bI8VZdfUXadNH/ut64q2KWPD66ZoN33hGn798ubD49Mft7swBNc//+nx&#10;SWX1NX8FSXsdv+5md3//ePu0/XdG4c37O8T3/7y42Fx8vBgxYrnZ6z/6199dmK9Ajo9qL0ztdVE0&#10;db8MYctsLhYh6I6pAUVRFV3TLWPYQgkYlcVo6qra1MsYtlACRm0xBnqqKZcxbKEEjMZgIGBlWbbL&#10;GLZQAkZrMKpqaMouQaxsoQSMzmL0m7YvEuTKFkrAYA2a5KqumdltsdxXtlACBspiwmjKuiurZhnD&#10;FkrAKOyUbXpmSFEtg7hSKSh21rZV1w9DgvgWtlQKip233aYsNykdVthSKSh25kZ9mNBjtlQKip27&#10;6Si2VDtsqqJZVpGFncLpULZUUZdNNxQJWHYqp2PZUuUGrD6lXXZKp2PZUmWD+kB7LC4zhZ3a6Vi2&#10;VFXSrq5MwLJTPB3LlqoGsQ66ZazSqodkLFcq2gAJWHa6t8PQVimqqLSl0rHspG9rVuwUVSHG1aSR&#10;07Hs1G/6tm6SbBBbKh3LKoCmZFnqEta+0pZKx7IaoO6qst8krOWlK6VWaoJsWA1Qb4qyQdssmqOl&#10;K5WMZTVAVbVibSVg2VLpfWg1QDmgbpL60JZKx7IaoKyGsigTFuHSlkrGqqzeKNquGFLmsiuVjmU1&#10;QFH0FZv45fGqbKl0LKsBUlDs++kodu6noNj3sa427SZhfazsrE9Bse+jMZuiHJZnbmXnewqKfb9s&#10;qqZGWy6uv5Wd6Sko9v2ix1LaJKy8lZ3jKSj2/aKiLex2lttiZ3cKin1fBr9K6TA7rVNA/PuuEXhW&#10;3o4uhOt3o1fh5tN9dCvw1wW+DnH0iJfhYfcoPhzrY8DRM/7Eh6DOGkrJ2wuFmcW28OjwSCvM5LSF&#10;yyxk5pwtPPqY0pCZSrZwcGLRjWmFmSG2cHAgJRdG8G3hNqvNyLMtHBxQyciIqS3cZyEjfrbwkFVY&#10;tqu2NL+zZGwuZHlSJhtMh54nZ8VM0Pid9fEzUSvyZE02h+7j86StmIkbv7M+fiZwRZ7Eya7MfXye&#10;zBUzoeN3zsfLLsii8zur+Ezq2OhkFZ9JHXuXrOIzqSvzpE52FK7teVInmwRXPE/qxO53xfOkrpxJ&#10;Hb+zum4mdWWe1InB7T4+T+rEhrbF+Z3z8WIWu+J5UlfNpI7fWegzqavypE4sWvfxeVInpqornid1&#10;YoO64nlSJ8alK54nddVM6vid1fMzqauc1OkaH825PUdXcvZ5F84+ny4vOPvcX15w9vmTQGLgXT+J&#10;FTj+efHx1WV0HV1evHt1GbdBuFJu76jmnkNcTng/Pe0/yInvn/9jtBPf737e/m0Xank6HPqN4nx4&#10;evPhp9ub327/Yd8t8BD0OpxXxVCziumXhYrKijNBFdSi7Rv3TI+hwkiMSL5+/+shVAjUwEGkDN/V&#10;UY19UVetouG67INI0kehYDyRyoQrOG8IJ5yCd1xnXdAm1QI8rIMcTIB6PJULyOHlplEBE8BZnV1f&#10;dYM+Ldh9+hbqWVUmIK6JZtjofLo6qhP8pu1UYDkBdg2M51aZeNWm6LtOlc/VvMqq2HBcoQ9LfBmu&#10;ffEMKxeP/mwxZoLEHNfZlmUhB+CMb8ERflAE4whWlORAKxdwGIp6GDt0XmfNIXsRlWfR+skSD7cy&#10;8XAHdk0fJeaoymEzdNGsLeuaqWgmZzzoysRrmr7maDeUujquk6dNpx161dD3DlAPvTIB2w2d1miH&#10;zmtsi6HiHC1+TLtBVE0D4/FXLl7T1m2U0PKoyr7sqjh+TJeCmWMA40lYJmAnYhmXtOMqKwgacbm8&#10;ajpMFos38hAQ33QdygqxaVtVotUGCXXTjKe49VSh10NX1cEwGOfEtLqAqKde8j2yaLmlwf9SDUzR&#10;oWexk7nW4zpEZl1TmG7RGGUe9g2LtHscGRcyUfUILB0Yv/Im7jAKdA/+NF/1hl7X7yq6uuWXf3xA&#10;RiHLgVg6cgcNIjaqrDYNxxGzqjkP0akEbYVOmY+Eskxoczwey0BGzUY7p2yHcjb1Of0aNnESc3TB&#10;Mu00gx3leFiWgbyphl4bVdXtQAf4NuMyjetNhTxv/KLikPXoLAMZikM0zmpm7qbzk7PlnKvVxQXm&#10;CNrWKSeLPNpNyaJd1+gFtTywGLoGlWSFF0/5uMbWYhYwn83jeAAXJkYuMhq2pxO1bN33fIarGhXI&#10;Eher3gwbb0/E47h1yGVZiXki07luSrSwE94W0wnFNj4ua93WjnokHs6tQpYVqBriQDYscGpBT1XX&#10;SHtcL+qGzu7cYMSjunXIBcp/M/Y2Uj64qhl5HNyqSRhIWCT+sR7crUJGqqpuM3YnBsas6oqxHcZx&#10;Rqf4WRWP8VYh030tlceyKEdWDiO8eNo3zWYSg83QukkXD/XWIbNejJYN3VkUWFUWuaibnh2/CmCx&#10;2ajXZxSDeMQ3PjYUPb84+V+6VJUdfT3OZ9hZrDgWuWwa4EYBrIuudZokHvitQy4rZlUc55r56k02&#10;DveGvtalu6bbS9iXpkvi8d8qZNqI3h5FiL/VdTt2J1YyjL6xtys63q2S8TBwFfKAvUUHh3FEsJlV&#10;tk1133H6NT4tWFHs01EuLQXTj6j/peN7VaL+Y1vKpsBit3VWnOvowwpqBOuEfaiA8eRPHiTZPlem&#10;TszLzk+SK6H0xIrhEUUy6djz8YGeAiYjHqpEmNFFblm4KlkJQ5eWYmGot9XjxfPAdLypRjbFGFy2&#10;z66gCWNzyQCXzOJG3XQeL54MpuNNVRZti8Ho21ewzVRAWYaa5hmZiYeEyYCmSla+Sgm/YxvwfGBS&#10;hxbi7+gr5UGPT3UE9bwwHW+qsalKFhbbochsnBJl0WM222cK9pndwN3ucasyK56jRbfR49N+9x9Q&#10;qKnzK3uNEMAyigSbyNbbiLXYjdoOeYgBbXRc0zZ9p9PzM410OxGd8O3QjeNzVGE3cFYc0XBgqfN/&#10;HLqh6zAlw8CmoxVoo9FrdFQjzzhoV4VWis/BNo55WkNMycUb6rqIi8bVUZ3Mb+RH1ww2IX53gyLc&#10;QFzKBJTNCktAKIUundeJoc1OODzFU+C2eWw7WtkFiS5I71CMy7aOh3tX8yrZobJ+xO0sr7m5jtGE&#10;qajraQYeNiUzS9uHwePrZD/OPlHbwHLsBYZ3y/Fr0gHhxGFI6WeiS+Z1di28CZVCViQrMPUwsIPP&#10;Hb8GNYw+0/bNasShuenjNumKgA6/lWE4Mbd1bNObhxdFSFAB76jKFmkaJh9O75pnNygZcG0B3z1O&#10;MV8he2JWizgZMPGccNotYDpax/5tFDFmGgu4HSAsyY1oaBH4qmx7b6RaRBzb4tpONSlwZJTsqkLF&#10;jAnOcA+LMRd1KISwjXelWtgCn2ur9kiSKUNzaaL2IBWjnWfAqLdoW2HKsB93dqJDJrIm9kcaMuFG&#10;TfSsQjwbMHF8k0u2wipkTN6u5SPNumGRsW4HUYnpfQ1rdfRLt5D5xlio6NnCdTN6kfmGDXP5c8iR&#10;zJWBzM4vyisqaWBP6apm5oiHLkgXUwzd4x4b/2DVoWHUlk3sbTY2444T+wrniauaVWNscw19eOMP&#10;I2xv5/o0uhp7LvY2ngXEzSOzU4HmGNos+3sOaOyHfZk3BX3KKZV0J/3eEwniqmYj3ERrQBqFDnWP&#10;GzxOo3fABYX5PYj/FQ0UcVnERTr0V+2WsYaznSGew/CYsXSy3cgpm/mwQziax/K/FLmpmSjR3U3V&#10;fe11IrKMCtPpTm8PnXfbNlgPeLfiYOTtwgirQ/GoBqO3cUK6RmEViohNg7HxfmqOGTiI0DUs9NgU&#10;gudb6X9pm9kTDMXUXxWHlk6H1UzwccPCh+HycGKAQdGMRmEushgTXXT54grEUeOEFyTW3yiA7Mw4&#10;LLISVuFnG43fbGR8vOwb4kghyJgbRj2KmxdG9DiQyL4TQMwANj1j6bxxLlG20zizc8ElZ5FLDjU5&#10;G47ICIV324p1gFIdPyzPjyOBjhIJGuYzXkNvDJQ4UPrJkVjgSnWDgR2Gj3wU/bw2s/7gnBkbhaL0&#10;G9SiwRyavCnMQGVrjbsOZHNTtVPprDbTWbjVxybLWZbtbPxWRRlNSSSoa7zrStX2qr5mSogvP3R1&#10;g5vG70rxag3xnJWgDBSnm3CT2GW1tERDK16FWeA922x64pko7gg8Ss/BcQxRb4KUJy2IV4c62fvg&#10;mAsm4jhkPGziOsyxbu8FTdtX0eGNCncy4FinmDYzp5FwD+IxC4wBTFA7zopYYuyWbZjnSYiHKpl1&#10;bEnmLYw7FNo6sFo9g5d5PiZdGuvUYALXBmZNdOMXuABnk1MbmHsUeGXqZI/AmmobQSfHNRbnJ+Js&#10;nyle5pHn1aFGlip25rZGduqE3wcBrogyR+sbdaxw4f3jkZt7cXhjIgKFtw+h54+7u9vX38P+EV9P&#10;yMuw/d3d/uLna+hAP70dJcO9dRfI4O6fniko9d19eP//dq+1sjasHmpQT68H76ipiY+T2kkLMEbd&#10;h7+efrnbhvru/7J9QxQ/lPUy8NenihTj+uZme/9U6KN316+3+s+CPPbUVCJA30mFUrPwn6a6YwWS&#10;pOLQGWPd2oL4vhTdhjwUU2El1k8w/sO08FQiIO/un6bC72/vd/vnWnZHqyKyvj92knaN9NJPu9e/&#10;kONgv9MsGI8PN9/f7h+f/nT9+PTD9Z68AYgMqTye/sx/3tztYIJB6gp/QQXb7f/x3L/L+yRh4Onl&#10;xUfSaLy6fPzPD9f77eXF3f+9Jz0DVpAo7afwA4OLKXGxt09+sk/uP7z/3Q65Qqb5uvCnvP90N/75&#10;Zr97/3cyfnwnqDy6vr8Bm4CEp/3443dP/OYROUNutt99F/4m1wbi/af7vz7cSOXSqw+0/G+f/n69&#10;f7iQP19dPuGf/NfdmBLi+uWYckGmxvSulLzffffhaffmVvIxBDnUfo0/SE8hiTT+C/JUVESA40XC&#10;zP8qaSpsgg6fpYLOlOweuInhdUQhG3ODfKUkFVGtHWWd+FEG8pDT4t3F4SOWclR0eOC6Q26HzyIg&#10;axkImEXT25hgNV68KXztsxC2kMQUnW4ENsAEwTkBC8ohevKzELbQMgQW6QFi4OhoGJZbYQstQ2B6&#10;ThC66UjoKFtoGQJ35gQBwQsjP6GjbKFlCKyjAwQWIkfCyx1lCy1DYIBOELj1IQckdJQttAyBhpgg&#10;YDLiBTrkCvmsRNlCyxAYJgaD8zQ8Scs95UolgNi5qhuNQzTcZxsijuGp+Qkgdramg9hSeC+J5V6c&#10;6Ph+Dh+WjmRLqSZZRrJzF4cfq3KCBIjnZOq4VCQ7hVvZPWwOKUo+P0S2VCqSnclNC6umTREGWyoV&#10;yU5oPS5J6T1bKhXJzutwhtml9J4tlYpkpzdcBFz4CZpNOI65EiEW31RGBom5sawZXKnENonnfkKC&#10;AoN3L6H3XKlUJDvb4WNv8DAltMmWSkVys52D0pRhEs/31BGpQHayJ0wkl4YiFcNO8xQM+z5HBFBN&#10;FlWd+GSntqdg+PetcYblfw6VDv4UcQkkRXgjROwUpvDw6XwsqTCjbQsHb0YyMsNoCweXZXJhVLUt&#10;HFw6yYXRvrZw8BMmF0ah2sKTLzGpw8R8sqXVO5SMHU/Mp9HSc/r04qgzhz7uDdNERawfVzxP0uKx&#10;zuHj82QtcrsOxfOk7RwqfZjkLNXqeEobd1lv7bjzO6v4TOrOodLjhNX/f3HcJzqFuE9d0VlKf72w&#10;T8gXI+8IBljjz3MgXEomWZGUKxKy+tMXde2Eh5PsOcrecye2bEQ4XVelc1RjQawnBwmKh5Wlhzrj&#10;yUx09OQCEh9Dmq1Q6qhK4qOg3uhUoPW0X2bBCBjdPpmAEiEBpSACzqskck5YrKFHybboSWD4NcQJ&#10;lAlI8FpJHIUCzquEqkS7dHGEyuhJfNEjlItH5NR4bH51VCfnaY3QkFRmihlPKjqIMhEJruoh54dS&#10;ENRV1Y2jBK+UsLAISM+PmY8jQ0DdRZmAkFUGIcJII46qhDlCtKIqQGbFZsbwUOdRLiBUQw6xtYVH&#10;VUINhFYRHjbwPK2MRkdSJhxoeE11UlwdVVnDx4hWSSkn9mZKMLLiU8qFI2yqiERLjgp9lbAZhB0Y&#10;qiQSk6+xgNEhkwlIWJwQLEIpCA+DDyziqchTeAqJYUZyt4jqQpLvEbW+qNwoSgZgVW4EZsJYnTUF&#10;odK+a3u4/O5A38JGtZ8MS6SBxEKKtBJoI/wiM2RwIyFRav8OsIvYmpmn0Q2lZe3RwnJr4f/iHFGx&#10;BFYi9mzFNVGQUZdJ+IsPyY4+qVWwBHOPzBuC2mfkQU7sYWrrEEhAHYrBfFR0UK2BZWXEl6FCI+F5&#10;nmmEw5ijXx1bSY3m+WbRW7UGFvIUohLbAyUOsTXtEb70GBZOayFIuKdCv49rbaZI1aJwoPcEkZIA&#10;VF8xEbBMY33KCHhCV/RjrWkttgGc8yhSUPY9qQWKYAUPJlQM7WvjmRLRqbUGlpBPFpXYnhrVEIzh&#10;cYGBrwHXXRcYCcOfrdnq4VoFC22HLHpalE70zF/WmH6M1+vRyMwlM/LR3bUGFo4ndlZsLdRd+Em2&#10;YqwSSOVaMUfFPmycCGN8X2tQsRgkql8ESjh5ut8Yu1jox2P/I6k+UCR2UJ5ykv5RNJYCaa1p4giF&#10;V5wQLvtEodTHJf+epPVJ76GdCSuP0G9bH2TuSG0S6tIzUJ8xnOfEEPqJMJ9DVhi+0+wOHs/RPefo&#10;HmecqO27GN3TsxULMxKzBa1rp0gI71Gd9xkZfQZQYseJigpVYhnP6tT4Hl1TjmJxNL5H518GYIjv&#10;0TZcHdWp8T1x23AUixPie/Rr0gE1vkc/87n4no5gOFU7EM+cKrA2QDpeU24Ik9KvJIjHV6kRPnH3&#10;ehSOoxE+uT0aInzkgAk9fVRliPCJahVKnDOtNMIntz/ZTmCcRlPcV6gRPmoLlM9H+OQ2Tgx/Njex&#10;cXAfZ1sNwlLizhWWq8TBmhlh7fPMBQLePcx8hSUGtJ8FnWDAjWF92CHE1X4ONtOGI8ob+1z7CHOJ&#10;9ddVXBEvHfcqPUOgnKJxQcbAxoYdrV3DOErYFkCFJ9osdLJkbvcVY84yZ1W++EuSiplOJiSUmGrt&#10;qczWkiCDmIZYMXnwvT7jRoIN28DwUZjnswxY7IURMO2pTFi8Z9W4tWU3Ip4P0x78JBJDqn0hZGI3&#10;BLCrGaBVnVzDbJCdcjCnNpBhnSQTKY27RBVfT3iVD28h3wAmoPZFZmtJ2INbJLaHsA7CEExrcXxJ&#10;Up448i33u7in7H2ZX/o0z5iD4ItVGi3WAZl2mpWlg9kaR56KZ3ktCOEVvak7mSxJlv0r3L6pqJJT&#10;xylCS/FWxr0KwQ4+5gCXYwUXaio7UfaWJxDhBj0Zc2JRQpecQmCBYZXVj0KSJRGTGQI4RZjSY9ms&#10;1hLpQE+NXgRIVn5bIL6NqKh7bGufAtDmq8gUKZj0OAxHhcA2zLUHqiM77Tjy+BuIkDWtlRB9chSs&#10;6WSC6IhqDCUlmY4PriDVzpj7jPAPec+ABo9bHPY8MSaPjsRvqiSiGNychaSD7teH7DH9bm+VasIC&#10;UzGR3F8+qo/gHZWRRqwLN9AKhTdS4uxpdtoWaKqQWcFqZvvrCnb85PAn3YJ7qGifsYfmuyA+JY0e&#10;v3/700SO/0Pzh6H7LrbEUNiVwQ6XfoFYL8cBZ358jDTw5PozP/7Mjze3fo6kfaHdm3sccTAR4o5h&#10;96UEebw18dSFhZVcmapkDiR5gqdkpQhXYJKjTw1AdMZXJMkrRFgMlkny7fQRSyR54qSHXlnTJxFY&#10;Hgyp6t3FaQTWqOltyRJB0Hlgx52EsIWEpXsaArPqAMHqDNlvGcIWWoZAbCYIAq/k4GAZwhZahsDm&#10;OUBwREJc4zKELbQMwWo7QUj4frdJ6ChbaBmCtX6CwNlKEgGlkp4cbltoGYLZdYAgsHhTKrPzJIQt&#10;tAyBMTdBsGnmtFfZgychbKFlCEd3l6ty6yZBpFypBBA7VyUYvI6U0ZMNEQNwan4CiJ2t4mVAAS5L&#10;7tHtjafn+IwfnwpiZ7kCLGoTx3QnLRjnBQmD70qlItnZS9IqAsSVOXx6dFypoN2X22QnMaxrspno&#10;DWKnkVypRCQ7l+GYDIQMJwiDLZXae3ZKI9dMoARVI8mNJtlORbIzG68bvIyENczx4xORHNOd7A04&#10;dRJkz5VKRbJzHD8MS3+CFhWSUm7viXNiKsNhAOpBI/FOyp4rldomO9sl9zLZ75dlzxHkU5Hs0k7K&#10;I/GGJCDZUqlIdranyIJ9PxXDzvMUDP++Nc8wdM80+TzyMkLBKcdEPg7uGHF3JLG+GW1bOOxGkgsz&#10;jLbw5GhJQkZj28LBn5KMjBK2hc80+bTRPtPkD/NEPXjJEheTGk7TTF246cXVvXsoHvzDycXjqc5U&#10;nN/RqZk01yI3+FA8HGmko7MC2+l2psmPXaf//yKavFoxQoTR1RZj59ejyQ/QjNVZfQWnx51RkEJI&#10;EovKQF9xbuO8+urZCc8mwXPECX8cFDO5ceQQT6zm9XHcQZWhPo7BRh+YFos+nkwwyUFHKnL9/OM6&#10;5XaFSMjDKHaHtXykOHxy8cjJLWkXQ3cdVYlLQXIbhodU7hPJRfdPJiBsfM619DOPq+R6A/J6KqAk&#10;i3OjJx4OnEGZgNxBInG8odRRlRX5uCXlurSwwI3pjoujZygXj7RrJMEOpbhLa1YntHIxx+NT/LDu&#10;BC06ijIRGaKKBIOhFIztWZXCUo2JUkkYPkv3RKJQcRvlAnLNN7mRQ6mjKjnrZnZqf19xquaPJqMT&#10;KROQ9F7wNLTOoyo5UYZGrTOe2eOpjNGhlIkn2dtJxRxKXR3XSRjOSIu9gjfuDuyicykXEFnn9DSU&#10;mtcombLLmFeeDao/CI5upkw4ks12xO+EUhwRykVz5kiV84FqTHLLge/sfjmLGDV96rkkO1GCNbSV&#10;ZMckoauDrSS6SQeZtHOzzGvRARU+OROWNLLIeay44J4wR4QgR6KkStSK4f542m/0Rq2C5ey/5zRX&#10;dAvE1gKyhelkyFvkSNQhQIJJjuGeqmtqDSwpEOFKRVgk1es0vEMTzZD0iNBlLGz0U62ChcfSYYuG&#10;1m7m+d4lAeqYjJJjoxkDODqt1sCSYpUgithaaOM+ySWSLTQkrVjY027FjB6sVbDksWsjKYS8hJK0&#10;3YwtKzhfMo384D8qurPWwHLDEWnsY8XIsSdSc7+YSJJWTCSdT+AbfVtrYEUFkKFXiyKZnhQiN7dB&#10;y9CnMLc8Yy46ulbBckQ2XnlFnBP6wnZySVgHNpdWjBL20yt6vdbAsmTB0oozk8gsrxCgavBUF3Dm&#10;MAxB+1HRBbYGlvZJ/GGYPyRu9dxSrKY+JuqX41sIHEbc1ADNVIrUokNGkMfgFTHmQrSyEKgZLyaL&#10;IaIEEeXJH28Pfj2ePHblmBafaIBZCBs24HhdGakihfxoupJbMMZsq+kbBO5s6KPBd1QhR0Bixcqo&#10;guYJeuiFMQYjHUyCJMZJPq+QJUYMhIBG4K6bLljvBL/ql2SgcRDexlBPvt9XKfCc/GvjiLXwvEbi&#10;lTiJyDUtuXlpYg8eV4kBMd6ScNXBe7NDt3J3gFxCew1tmNdIYlkI5voM8rWP9CROESWv8zW9P6FO&#10;kpNJR0hugfB1MrAszqreSanqU8HK/T993DmkA9IAelTH6KhGxI9rRaNwwvtzWoXwchaY3N0Wec1R&#10;XYpHHJevkjznLJWqWbH1HPWMdOjQfnP7kzWYVSAa6vMquaGPi4tj+8jv5WY6jEq4jrniCUFeKIih&#10;y+Y1EpsF9VVbcCWxmA7Pms3pwwfNs5HrK0V/sMmZpTUPdUZ3ADfViLFpdJlFzF0cUCRUGGCJJJCI&#10;R1uxRCuPNhdxvepCHIm4HN9ytUJclyfOjTiYFj0tUO+h0MaVl8Hz0aLYj+SVjhXzp7e5WuR1IiTl&#10;weJ0kKhybe2GrPxOr2DeEQ8d9weSbts/FZJuZLJndjJ3NcrdpAqLHeHbI3fhyXUEwR6ADu/Dk5tg&#10;IURDMK+1srVlBRzHlhhoO7ZsSiQiID5F4tymRXLVjgT6zNZyeyQLcTTF0ezedJUk59NHiQ8oTJFR&#10;pAg05V/GITBcsmWRYv6LwRrbA2naeZRQ4sR4xJHH0vEUeQnJYHOhZfM6mXtQJVIowpKm302gqmQn&#10;wuV4auvNbxv8EkOd6GT20FqxRPY7WcUUR0dMhi36z448kfLCg1rTWuK6kYyxG0nm7TQfYbWYxbEb&#10;Udhe4CRl/3jZe6ZIMW25cEa/GILFLIKf7RGCHj+K+TK70lHPqte0tieHxbgHg0A+62MWwOh95s4S&#10;GWSjOKMY5okSZoIE7YisECkCT93WyAWIEn4RlocNNxK6uaxwn1lsvgqb+/vffv/d7/8gH4R+d9Tt&#10;c7bzKTu6UNYnbramYT9nOz9nO//m/e3Nfve4e/P0DZnYX+zevLm92b74SB73F4T8b8JfD/vdzfbx&#10;8fb+7WfY3HiDMHqC8XJ//Z4rJf+yvXm6vn97t70Iyj2Sv//68MOeSSq/HvlTJHKkYYN7wcUABzY3&#10;YYhkB4m2+YHOLbe1o1CEzo03fqN3zTDrx3r+q3OeHz5imc4t19UEVpI2ImjkY8I46/FEzxKy52kE&#10;NPL0Nkd9cuXLMoQttAyBXj9AYISi65chbKFlCOzLCYLzvAEjdBnCFlqGwBo5QGgc+zKELbQMgTE7&#10;QeDj4I7ChMSzttAyBHbEBIHrF4ZqgkTZQssQGDIHCPZy7PaXO8oWWobA9psgOInDPkzoKFtoGcIR&#10;s9NzXaNapi9LALFzFf8USWIS+uqIzn16hjtidow3Xx4QVyqhJXa+poPYUtqKRYXliNm4FfAjJsx1&#10;VyoVyc5eOAXsBxIUlyQfnUQgFclOYm4RJNtFwm0H4mXKRrJzmdu95Ig0QRhcqbBsLo+TndJ16vUK&#10;cqqa3SY7s7mIk4jilN6zpRLHSSyH6es4/5L0Tsu950qlIlnNwE5aDtMTkGypVCS7mLO15oK4BB3k&#10;6NypSHa2c7CFdy2l92ypVCS7tLNpx85L6T1bKhXJznalWp80zsTdOElQKoad5ykY/n1rAWLonunc&#10;wYcljtwkriZCwV5homqe6dzSb9zN9VYu3wpZbXePsvMae+jf0au2w4IPLbm34xHWWNmP/FavTNpg&#10;xVQHh+LBy5SOrv6pQ/Hgd0wvjqqyTdeDxPTiM1HDZslqO6rFoYedczo6WsMVzwsfiB7KQ9flBRBE&#10;NtWhePAApn/8TOiUu5FcXFZo23Z+5/T8mc49zf4fWeCyum4mdZw7muI6gF9E547+Hujcutqy/P56&#10;dG7SI+G/D7IkaVI8lUdyf0WXOvQMd7QA4xnXTig3Sd7iKSMJo8kPpGDzCge591y7lrMDhxWdPJlg&#10;ZMzBHaE1Xh1VyfmT8GNlDuHckREcj7zk0FH+SR6lNw3yFTs71aZyNOBq5OyddIChxqKRIxcDF30/&#10;mXCcJGKM6keSenxeJyc7YzK5K5IKqVoeGwhdI3C28hoIHXUDUPjOoypD7uh4vkVea04NbROjYyiz&#10;idzuPYjQyWceVVlzHMORf3gItxrChAWMbqJMwBoGHWRgBTyqEgojEQLh4XGqd/UZZeLBdxJiUCh1&#10;nD4ekanYBOhTzmzdjIgepFxATp+FUiw9elQjFBBIJwp3lOndZqlOnxNQNkh1poN0XCW5rsak2WQ7&#10;58TOjmD0LGU2EG44B39xos2r7OjOMScnB84+SXf0/2TiweTjojdtoDjv/ZkjdU7xFlBehPVn5r1F&#10;jHo+LiOLarRrOLGPdiN/SgJqWzGzbyT8wggqZmnk1f0UGpoJy+kyyDohuSxbMv8bWCAlD7pWzNB6&#10;Ynv0Ra2CbTlliXSMBt6Xp31ycI2QqZZvYKprYNmo6qJjag2spJ4jhZ4W7XHZOZUOGRh1qCMvYf++&#10;L6KXahUsmo2M+bFoSG1oOhnaOHEtuEyYwQzFnEFirnjIHFsSJYZorlAxOal9UncoBqTg1tWeaQsR&#10;y4589F+taS08I9LWxdb2sCaclpNwrDGdP5cLz1jI0Zm1BhZ+JBkaYzd25HdzM7NiSnNXilZMin0f&#10;HxA9W2tgoWvDPokV91BR3LyFmcIgRJHCr+75MtHNtQpWwrDiLhXKJcxpO3qSV7ePPNl2Q9JR1xfR&#10;57UGVuYiRBAtKsECwcweZyZqKTCRRODQyrCB7EdFB9gaWKGiReYQCbcw82y9Qm+KBCwYkbK8msml&#10;60bmxCHObOxb/NJikpgar6A46XALL9pHKynaZxbTOUWEXnsm7Xn81Itfj85NPAvksTAMV0igJ9zA&#10;s2RJmB7qNmocXxYDZk54+Jk2umVOAzeRAkm2KDIBmq8QjmoHN02ekW9a7ioyHc0NCdh8mWiSkBZT&#10;LpQ6qpFn3H4crc8wfQycxGNy/p+LR+DeSOuF0S1iY+osOQQYsx9zt8Cc0Y2mzO5O+hCCvDaQS53m&#10;dXKUek57njmG57TnQjEMk/C/ZdpzjCtMm6BgSH3td+ISpjHuqQmpEy69mZ9fYq+LFo2JMyBrcobk&#10;KiZbNFmsw0fxdB7ziS+BbWJ8atg/ywRc2OFkHY9WG/rR8xfJ9saWRJ+iB7H+7EfB3T3Y+pZ0tAzL&#10;XnHyduCXmN2YQ2RAJfmwZQhgbwu32HQyH0LYztgXWa3FQMSBFCtucHG4isUHIlF5CgtN3rW2gWdP&#10;Cus1nUxK8Q5SihZtcIw4oSHikzv3YsVs2r1xhVlNbGYsm9fJ8OJxE8aOgjXujSsCViQDnn4UZpb3&#10;/8jlQZMZmgcr3Pcx/ppAhRmzF4scNrm6LNhOzGKW7B17mUYW9jrBNHFs4VH7xb8Kd6XFvpAkhm5s&#10;v8Rex0ExZoRAPqAeWFklirgkgWUUGnrG8fURc8Jqxi1GliQTLsNHj/OWFdzZCUwQel4lGZ7zbJ9t&#10;r4bM7OQQARItHjp7ts/GXhedoK0lUMHvTr7IXid+NMpMgwfKGdAS3hrdiswVcWkaZaH2V2Yrr3Du&#10;auexy4OlbivkZ9Q90hfKsxzt2ZPG3txc5xAgPz/3mdF98277fjvlK/cptuUI5C/bN2dGN5HXlxdP&#10;gcQtMUH82J8Z3V+D0Y1+IdCbzBBfmp5bVQWqDL9kVN3PkrkJTYK7LAoIffHPInMfPuLXInOfRsA2&#10;mshFq8ncpyEY0APEWjL3aQisgAliNZn7NASL1gFiLZn7NAQm1ASxmsx9GsKyMleTuU9DYDhNrZDA&#10;3FVk7tMQmOwTxGoy92kI8ddOGOvJ3Asg2KcHkNVk7gUQO8XjLnqZF3pE5l4AsZM8HcSWUgDJYz3p&#10;5WdVop3r68jcqUh2yq8jc6ci2Zm/jsydimQVwDoydyqS0wOryNypSFYdrCNzJyKJtTfN13Vk7lQk&#10;qxniFnp50gqrbPq+VCSrHuIpVwKSLZWKZGf7OjJ3KpLVEevI3KlIVkekEK3t+6kYVjukYPj3rULF&#10;0D2TuYNjUnmCsp1d4Carg2limeYRbBlt/KxT4XGzkcZMZhhtYUdzXPxs9RRNyMFxk9xm9X1NhfOI&#10;tepPnQoHZ2Aycjwmn0rrGV16cXX4HYoH/1J6cbSa7XKMIN0dpg1YPGI4oOdJWmR/HYrnyVr0rh+K&#10;50lbpNociufJ25nMfZjm6h5PlrrIlph6XilU6cVZVq3QktM2R2hxJPvieVIX6TSHj8+TukgaOBR3&#10;Uqd98JXI3LraYiCdydxCM5dBT2eGnMncocPOZO6oWhx5yJ9JK5XoTOY+k7nzVAxeo54DlTDPIL3B&#10;wrVng5BD5Ial8JRkXmxU/dMYtINSi3o+VVAtmRuKF4kMXcWGzN2SQ80nhYvup/BRmbCWzA1vW65j&#10;5ovH005L5oZmQJpu91QTC6yCNWRuLi/t1ViYYA2ZG55O46+QsGTuzNZaMndLDJI/q7dkbrjAUAhs&#10;ay2ZOxfWkLkhdUs6V9PJlswNzXjj2Ugx/8CaTrZkbrK2QrKxsJbMzdjCdXZPNRnBKlhD5m7has5Y&#10;GobMTfZF3OYW1pK5MzvZkrlbWAKeUWTJ3Mg5neFgNU3BmtZaMjethfhiK7ZkbpK9k4bQPdWcBatg&#10;DZkbQZ1dZ+7I3GRJ9X1hydyZnWzJ3JL31Y+eI3OTjcFndrbkkExYQ+Ym0Eb0r5k/hsytd03Yh3oI&#10;mwlHHBIjGYYF+4HLRGyNUIV1pwNTV6IYzZcoWBAA2TJ442RODlFuiKbmPoR6xi89c7kvz1xuL0Bq&#10;z5653JAlMLrEpiuwG9zU5NYp4mF1dn5mFro5GbcIFRlDhU1DlYQUzOsMFp86E8lY6tik0Ec3Y2xY&#10;Oh5Z/EhMq19JalFfJSYYdBG1LyU9uVd1LGtic4VPTQeUXEksAtpn8yq5QSGkiw2t/2/J5d4Qgq5u&#10;5kJu6XFmDMZ8CLiR1hFYTty51dfxgDh0TOYS0RkuNyYdQdGuYsPl5ungo5qg6U5c7lxYw+XGREVy&#10;LSyGwIHLDfHXR5paLncmrOVyt5CkNUnFZK4bLnfbczVC8L1NTw2XOxPWcrkxm7lIwrbWcrkhd3AP&#10;nHtquNy5sIbLjd08u2zFcrnBnNlWlsudCWu53PCrZ7aV5XLLJU0+Q4PlcmfCWi63iAhhmMaksVxu&#10;7GZJ1W2fYgv1Y9rpiS5xbPs8o3Utl5sd7Yynb7nc3FNFPICD/QJz3XC5gSWVl63Ycrlb0mT7iGrL&#10;5c7sZMvlbqUfHb3Zcbn7brbNtlzuXFghkEcuN9cMzrbZlsvNBJKQOzO2X2SuT1xuEnVz15St13C5&#10;uYZv4yMw1pnrcuGkHnGid+UCCNMMuX4mHgqhLuUOJfPw5Eo6N9gR6zObW3qPjngcOdrh1919pGRH&#10;dram2C5Cjq3pzYufr+9eXZ7Z3Pvrh1eXj//54Xq/vby4s5ztM5v73dPTw8sXL4LMXD9+FTa32LcS&#10;Tf9lyblVURDpLBfcqQZ5nsuNBa13LzBJ/mlc7ukjniUuGm6WZm9apllZPpdk1OUu0NjM5xAsJ2s9&#10;l/skBLuniWAWEzUtt8IWWm6F5W6t53KfbIUlYcVsTMutsIWWW2E5WOu53CdbYamc67ncJyEch3M1&#10;l/skhCVvrudyn4T4Wlzu0yB2rq5PzH16hjtWdjrN2iqGZdEVGtM0ydNBbCltxaLCkiPSA9KqxNyp&#10;SHb2ruRyh+FfbpOd+fHIbFm5uMTcqW2yCmAllzuxTU4PrONyJyJZdbCSy52G9DW43IlIVjOs5HIn&#10;ItmJLv5Fii3LnvDPplmYKHtyFDOVWcnlTmyT1RErudyJSFZHpPCs7fup/Wa1QwqGf99agBi6Zy53&#10;HtdRjxYnsmFwj9CNaexeRhtn9lQ4j+fIMNrCwVOSjHzmct8+bX/UE5nkTouZz6bxOnO507tuJnC4&#10;8dT7lDZRzom5D1rizOUepU7//7W43GFFxwQ5c7nPXO5//G13YE6eE3OfE3PDqBRrK52owYn2OTF3&#10;6LOvlpib7Jrj6R/52TyRmCsPijHxOjcvdz4xqyOHqJ6P1oc7zX6OpOW43HAz/TUAkHGmxNzkTuPs&#10;2x5JOi53HqzjcnPs6a95dlzuEiqqO1K3ibl1DznaWout5XhlSsxNRrLSZ+eyibmh58ht0XTjgRwS&#10;bowLY54J67jcksTLdaPjcpf0sYN1XO68Tm4slxueuh89x+VuoBO4o2/H5c6DdVxu0jP7bO6Oy43i&#10;9UkPbWLuzE62ibkZW7kqw4yeTcwNL5e8Se6p3jK3Zmwdl7usyKHnKjaJuZG9ys/q6NlaA+u43BWB&#10;B270HJcbX5On00c31ypYy+WWXnSy6rjc8AZ9X0Sf1xpYy+UmiXzvR89xucm3D2HRjLwjh+RJsuFy&#10;k3qV21dsvYbLzd0ls/tfIjkkD44My+NlBUI58vRArrrpY7wy7e28ksgihyg35IjNrd96ZnOf2dyz&#10;cIAzm1tu3qthI5/Z3HmbhP/hbG6xONTvVw6wQB09E4OdOx1UL1cVvA+3Pn+JwW7Z3HLdlK/Ysrnh&#10;bntatWNz561NNjO3hC55cq1jc5Op2W9PHJs7D9axubkoaUYit2xuDD5/F4vNzJ1pSzo2N5cu+LF1&#10;bO4QImHtApuZOxfWsrnhgvp4C8fmljulnaXp2Nx5nezY3KSP9taVY3PXkGDd5sWxufNgHZubeAjP&#10;YHZsbgxLHz5jM3NndrKYVmNmbva0hDfY0XNs7pJk1c7m+xKD3bK5ucnHX//m2NwlE8xxfx2bO6+T&#10;HZu72gyei+/Y3A3axO2KHJs7E9ayuYk09Rttx+ZuILE4kfoig/3A5t5wt5bbnTDwY2Zu+P/Nc8my&#10;M0WJewMHdI4siuKT8QJ8hWMoZsovuInqOfJ4aLZ4+b3j4szmxuny+O769VaJ2MiHSghdNXG0z2zu&#10;y93P2/2bu93Hy4t3u/0//hx/vTL/zj89vbqUp5cXH89s7seXHx8fvv3Nx4fwx8Wn93f3/PXwSBd9&#10;dTY3VyMRF9WwyH0dQjcXFYYLUoNn41lCN/YP0TqymDFP/lmE7sNHPEe3trSutYTu0wiWmLWa0H0a&#10;wvG41ibnPg1hCVyrCd2nISwTazWh+zSEJWKtJnSfhmD7NXHqVhO6T0M4IudaQvdpCMvgXE3oPg3x&#10;lQjdCyB2fq8ndC+A2CmezrW2pYTQvQBiJ3k6iC2lAMtIdq6vS86dimSn/DpCdyqSnfnrCN2pSFYB&#10;rCN0pyI5PbCK0J2KZNXBOkJ3ItJXIHSnIlnNsI7QnYpkJ/o6Qncqkp3t6wjdqUhWR6wjdKciWR2R&#10;Qra276diWO2QguHft6obQ/dM6D4TupcSkqO6LZU8eIXE7fLpPiGbufp3JlJ08PInFxazy0IrBSO9&#10;OGrTFQ/+ufTi6EJXfNwdprX8nJz7wEo+E7qTpU6Co6zUnQndY9fp/78SoVtX2zOhu5Ar6TARELnP&#10;+NOdd13ZDOfk3KHDzsm51Vs6O4B5RmDOybnPybnzVAxeo3qI1w9DBSn8AXYHKZMkT2EWSh4o7vA0&#10;nEXLD4l6PlVQLaGb3OCdT3trCd0kyW49n8ISujNhLaG7qaFKupNkS+gmbaRcWW9aawndubCG0E3u&#10;bQ7sXcUmOTdHI4NPuxcdU2EIMmEtobsJn2BhLaGb82iIHO6psKLGu7Ltkc2yErKEbhJDb/zoWUI3&#10;BJZ6zP4TU4eqy2pNay2hm2NzkpHb9lhCt2Rl37icZpbQndnJltDN2MI2trCW0M0QzG735iP7Eo6s&#10;TNlMWGgCkLh144XQcHbvYA2hm9ZW/oJ1yw/JhLWEblrbeVqKJXSTY7DyzCBL6M6FNYRu7h3tPAPE&#10;ErqbHoKD6wtL6M6EdYTukmx/TiFYQnfTQ/1xImX5IZmwltBddqQdtUNrCd1lUei2ZYz+0H18Jlwp&#10;VHQRQTJzl37W9J0KJ/cjFD7y4itwueNnnrncZy73jFt05nKfudznzNy3N7/duhBoYWt33Hwvurog&#10;5NGbTh2xOD1LnzytSHTul40vsdUNl7shhsuv+Z3hcss1IP6OF8vlzlyWLJeb7MzUZJdBy+Vu+kqs&#10;KGurY+GNQUqZsJbL3VRFP7hVHf5vNWaTbzouM3IMWMvlzoS1XG5y5xMfZttjudy8SQJw99Rk5s6F&#10;NVzupqrJlG8rtlxuOGIzw8pyuTNhLZebiT4zrCyXu2mHwXNgLZc7E9ZyuQm9LLCfjdBYLjebw1ls&#10;s+Vy58IaLjeb2ZqrESysJJ2PFzA0dT9gctmnJjN3JizhHtDkNTVSQ257n8bZcrmZXrNU8JbLnQlr&#10;udwohBml2HK5keTZHttyuXNhDZeb7d9sj2253Gx8a78z+SJbfeJyyyj6jYnhcrPBrv0tVets9Spe&#10;51oNpB93OoLc37oyoBp9UGaWrY73/5yUW2YgHXGmcT9H1z7TuD/9/XoPQ/v65f3uuw9Puze3TyIv&#10;Qtj+aff6lx/28UegcfPPb19+fMvrCNRb2O3vbm9+f/10bX+H919uy9273d3r7f7b/w8AAP//AwBQ&#10;SwMEFAAGAAgAAAAhAPB6jn/jAAAADAEAAA8AAABkcnMvZG93bnJldi54bWxMj8FOwzAQRO9I/IO1&#10;SNxaOykpTYhTVRVwqpBokVBvbrxNosZ2FLtJ+vcsJziu9mnmTb6eTMsG7H3jrIRoLoChLZ1ubCXh&#10;6/A2WwHzQVmtWmdRwg09rIv7u1xl2o32E4d9qBiFWJ8pCXUIXca5L2s0ys9dh5Z+Z9cbFejsK657&#10;NVK4aXksxJIb1VhqqFWH2xrLy/5qJLyPatwsotdhdzlvb8dD8vG9i1DKx4dp8wIs4BT+YPjVJ3Uo&#10;yOnkrlZ71kqYRc9LQiUs4uQJGBGpEDTmRGicJinwIuf/RxQ/AAAA//8DAFBLAQItABQABgAIAAAA&#10;IQC2gziS/gAAAOEBAAATAAAAAAAAAAAAAAAAAAAAAABbQ29udGVudF9UeXBlc10ueG1sUEsBAi0A&#10;FAAGAAgAAAAhADj9If/WAAAAlAEAAAsAAAAAAAAAAAAAAAAALwEAAF9yZWxzLy5yZWxzUEsBAi0A&#10;FAAGAAgAAAAhACrAenozNgAAblkBAA4AAAAAAAAAAAAAAAAALgIAAGRycy9lMm9Eb2MueG1sUEsB&#10;Ai0AFAAGAAgAAAAhAPB6jn/jAAAADAEAAA8AAAAAAAAAAAAAAAAAjTgAAGRycy9kb3ducmV2Lnht&#10;bFBLBQYAAAAABAAEAPMAAACdOQAAAAA=&#10;" o:allowoverlap="f">
                <v:rect id="Rectangle 5" o:spid="_x0000_s1027" style="position:absolute;top:12754;width:77165;height:45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0QyQAAAOMAAAAPAAAAZHJzL2Rvd25yZXYueG1sRE/dS8Mw&#10;EH8X9j+EG/giLrWM0nXLhigDQfFj7mGPR3Nry5JLSbK1+tcbQfDxft+32ozWiAv50DlWcDfLQBDX&#10;TnfcKNh/bm9LECEiazSOScEXBdisJ1crrLQb+IMuu9iIFMKhQgVtjH0lZahbshhmridO3NF5izGd&#10;vpHa45DCrZF5lhXSYsepocWeHlqqT7uzVbAN5vAyGDf4m/i6L9+fv9/y86NS19Pxfgki0hj/xX/u&#10;J53m5/OiKOeLcgG/PyUA5PoHAAD//wMAUEsBAi0AFAAGAAgAAAAhANvh9svuAAAAhQEAABMAAAAA&#10;AAAAAAAAAAAAAAAAAFtDb250ZW50X1R5cGVzXS54bWxQSwECLQAUAAYACAAAACEAWvQsW78AAAAV&#10;AQAACwAAAAAAAAAAAAAAAAAfAQAAX3JlbHMvLnJlbHNQSwECLQAUAAYACAAAACEAN2y9EMkAAADj&#10;AAAADwAAAAAAAAAAAAAAAAAHAgAAZHJzL2Rvd25yZXYueG1sUEsFBgAAAAADAAMAtwAAAP0CAAAA&#10;AA==&#10;" fillcolor="white [3212]" strokecolor="#a5a5a5 [2092]" strokeweight="1pt"/>
                <v:rect id="Rectangle 5" o:spid="_x0000_s1028" style="position:absolute;top:-665;width:77165;height: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4y2ygAAAOIAAAAPAAAAZHJzL2Rvd25yZXYueG1sRI/NTsMw&#10;EITvSH0Ha5G4Ucf9gTTUrVoqBOJGKPdVvMRR43UUmybw9LgSEsfRzHyjWW9H14oz9aHxrEFNMxDE&#10;lTcN1xqO70+3OYgQkQ22nknDNwXYbiZXayyMH/iNzmWsRYJwKFCDjbErpAyVJYdh6jvi5H363mFM&#10;sq+l6XFIcNfKWZbdSYcNpwWLHT1aqk7ll9NQHvKP2el19WOfh+YwP5Y7pfa11jfX4+4BRKQx/of/&#10;2i9Gw3yZK3W/WKzgcindAbn5BQAA//8DAFBLAQItABQABgAIAAAAIQDb4fbL7gAAAIUBAAATAAAA&#10;AAAAAAAAAAAAAAAAAABbQ29udGVudF9UeXBlc10ueG1sUEsBAi0AFAAGAAgAAAAhAFr0LFu/AAAA&#10;FQEAAAsAAAAAAAAAAAAAAAAAHwEAAF9yZWxzLy5yZWxzUEsBAi0AFAAGAAgAAAAhAJh3jLbKAAAA&#10;4gAAAA8AAAAAAAAAAAAAAAAABwIAAGRycy9kb3ducmV2LnhtbFBLBQYAAAAAAwADALcAAAD+AgAA&#10;AAA=&#10;" fillcolor="#e5e97a" strokecolor="#a5a5a5 [2092]" strokeweight="1pt"/>
                <v:rect id="Rectangle 5" o:spid="_x0000_s1029" style="position:absolute;left:106;top:6693;width:77059;height:6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RuyQAAAOMAAAAPAAAAZHJzL2Rvd25yZXYueG1sRE/NasJA&#10;EL4XfIdlhN7qRhtNSF1FrAWph1LrweOQnSZLs7MhuzHp23cLhR7n+5/1drSNuFHnjWMF81kCgrh0&#10;2nCl4PLx8pCD8AFZY+OYFHyTh+1mcrfGQruB3+l2DpWIIewLVFCH0BZS+rImi37mWuLIfbrOYohn&#10;V0nd4RDDbSMXSbKSFg3Hhhpb2tdUfp17qyDNDpfDW3g1J3M95jh/7q+LoVfqfjrunkAEGsO/+M99&#10;1HH+Ml1l2eMyT+H3pwiA3PwAAAD//wMAUEsBAi0AFAAGAAgAAAAhANvh9svuAAAAhQEAABMAAAAA&#10;AAAAAAAAAAAAAAAAAFtDb250ZW50X1R5cGVzXS54bWxQSwECLQAUAAYACAAAACEAWvQsW78AAAAV&#10;AQAACwAAAAAAAAAAAAAAAAAfAQAAX3JlbHMvLnJlbHNQSwECLQAUAAYACAAAACEAXiR0bskAAADj&#10;AAAADwAAAAAAAAAAAAAAAAAHAgAAZHJzL2Rvd25yZXYueG1sUEsFBgAAAAADAAMAtwAAAP0CAAAA&#10;AA==&#10;" fillcolor="#fbfade" strokecolor="#a5a5a5 [2092]" strokeweight="1pt"/>
                <v:rect id="Rectangle 5" o:spid="_x0000_s1030" style="position:absolute;left:106;top:19200;width:77165;height:5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lBywAAAOMAAAAPAAAAZHJzL2Rvd25yZXYueG1sRI9Ba8JA&#10;EIXvhf6HZQq91U1i0ZC6SqkWxB5E68HjkJ0mS7OzIbsx6b93BaHHmffeN28Wq9E24kKdN44VpJME&#10;BHHptOFKwen78yUH4QOyxsYxKfgjD6vl48MCC+0GPtDlGCoRIewLVFCH0BZS+rImi37iWuKo/bjO&#10;YohjV0nd4RDhtpFZksykRcPxQo0tfdRU/h57q+B1vjlt9mFnvsx5m2O67s/Z0Cv1/DS+v4EINIZ/&#10;8z291bF+HpHTLJ3N4fZTXIBcXgEAAP//AwBQSwECLQAUAAYACAAAACEA2+H2y+4AAACFAQAAEwAA&#10;AAAAAAAAAAAAAAAAAAAAW0NvbnRlbnRfVHlwZXNdLnhtbFBLAQItABQABgAIAAAAIQBa9CxbvwAA&#10;ABUBAAALAAAAAAAAAAAAAAAAAB8BAABfcmVscy8ucmVsc1BLAQItABQABgAIAAAAIQDjnolBywAA&#10;AOMAAAAPAAAAAAAAAAAAAAAAAAcCAABkcnMvZG93bnJldi54bWxQSwUGAAAAAAMAAwC3AAAA/wIA&#10;AAAA&#10;" fillcolor="#fbfade" strokecolor="#a5a5a5 [2092]" strokeweight="1pt"/>
                <v:rect id="Rectangle 5" o:spid="_x0000_s1031" style="position:absolute;top:31408;width:77165;height:6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ZZywAAAOIAAAAPAAAAZHJzL2Rvd25yZXYueG1sRI9BS8NA&#10;FITvgv9heYI3u0kUu43dFtEKxR7E2kOPj+xrsjT7NmQ3Tfz3riB4HGbmG2a5nlwrLtQH61lDPstA&#10;EFfeWK41HL7e7hSIEJENtp5JwzcFWK+ur5ZYGj/yJ132sRYJwqFEDU2MXSllqBpyGGa+I07eyfcO&#10;Y5J9LU2PY4K7VhZZ9igdWk4LDXb00lB13g9Ow8N8c9h8xHe7s8etwvx1OBbjoPXtzfT8BCLSFP/D&#10;f+2t0TBXC5UXanEPv5fSHZCrHwAAAP//AwBQSwECLQAUAAYACAAAACEA2+H2y+4AAACFAQAAEwAA&#10;AAAAAAAAAAAAAAAAAAAAW0NvbnRlbnRfVHlwZXNdLnhtbFBLAQItABQABgAIAAAAIQBa9CxbvwAA&#10;ABUBAAALAAAAAAAAAAAAAAAAAB8BAABfcmVscy8ucmVsc1BLAQItABQABgAIAAAAIQCjcxZZywAA&#10;AOIAAAAPAAAAAAAAAAAAAAAAAAcCAABkcnMvZG93bnJldi54bWxQSwUGAAAAAAMAAwC3AAAA/wIA&#10;AAAA&#10;" fillcolor="#fbfade" strokecolor="#a5a5a5 [2092]" strokeweight="1pt"/>
                <v:rect id="Rectangle 5" o:spid="_x0000_s1032" style="position:absolute;top:43428;width:7716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TGZyQAAAOAAAAAPAAAAZHJzL2Rvd25yZXYueG1sRI9Pa8JA&#10;FMTvQr/D8gq96cYgUVJXkdaC2IP45+DxkX1NFrNvQ3Zj0m/fFQoeh5n5DbNcD7YWd2q9caxgOklA&#10;EBdOGy4VXM5f4wUIH5A11o5JwS95WK9eRkvMtev5SPdTKEWEsM9RQRVCk0vpi4os+olriKP341qL&#10;Icq2lLrFPsJtLdMkyaRFw3GhwoY+Kipup84qmM23l+0h7M23ue4WOP3srmnfKfX2OmzeQQQawjP8&#10;395pBfMsnWVZCo9D8QzI1R8AAAD//wMAUEsBAi0AFAAGAAgAAAAhANvh9svuAAAAhQEAABMAAAAA&#10;AAAAAAAAAAAAAAAAAFtDb250ZW50X1R5cGVzXS54bWxQSwECLQAUAAYACAAAACEAWvQsW78AAAAV&#10;AQAACwAAAAAAAAAAAAAAAAAfAQAAX3JlbHMvLnJlbHNQSwECLQAUAAYACAAAACEAYgExmckAAADg&#10;AAAADwAAAAAAAAAAAAAAAAAHAgAAZHJzL2Rvd25yZXYueG1sUEsFBgAAAAADAAMAtwAAAP0CAAAA&#10;AA==&#10;" fillcolor="#fbfade" strokecolor="#a5a5a5 [2092]" strokeweight="1pt"/>
                <v:rect id="Rectangle 5" o:spid="_x0000_s1033" style="position:absolute;top:55429;width:77165;height:5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nizAAAAOMAAAAPAAAAZHJzL2Rvd25yZXYueG1sRI9BT8Mw&#10;DIXvSPyHyEjcWLpSxijLJgRDmsYBMXbY0WpMG9E4VZOu5d/jAxJH+z2/93m1mXyrztRHF9jAfJaB&#10;Iq6CdVwbOH6+3ixBxYRssQ1MBn4owmZ9ebHC0oaRP+h8SLWSEI4lGmhS6kqtY9WQxzgLHbFoX6H3&#10;mGTsa217HCXctzrPsoX26FgaGuzouaHq+zB4A8X99rh9T3v35k67Jc5fhlM+DsZcX01Pj6ASTenf&#10;/He9s4KfPxRFcXe7EGj5SRag178AAAD//wMAUEsBAi0AFAAGAAgAAAAhANvh9svuAAAAhQEAABMA&#10;AAAAAAAAAAAAAAAAAAAAAFtDb250ZW50X1R5cGVzXS54bWxQSwECLQAUAAYACAAAACEAWvQsW78A&#10;AAAVAQAACwAAAAAAAAAAAAAAAAAfAQAAX3JlbHMvLnJlbHNQSwECLQAUAAYACAAAACEAckhJ4swA&#10;AADjAAAADwAAAAAAAAAAAAAAAAAHAgAAZHJzL2Rvd25yZXYueG1sUEsFBgAAAAADAAMAtwAAAAAD&#10;AAAAAA==&#10;" fillcolor="#fbfade" strokecolor="#a5a5a5 [2092]" strokeweight="1pt"/>
                <w10:wrap anchorx="margin" anchory="page"/>
                <w10:anchorlock/>
              </v:group>
            </w:pict>
          </mc:Fallback>
        </mc:AlternateContent>
      </w:r>
      <w:r w:rsidR="00407FBD" w:rsidRPr="00884FAA">
        <w:t>U</w:t>
      </w:r>
      <w:r w:rsidR="00E72BF9" w:rsidRPr="00884FAA">
        <w:t xml:space="preserve">nderstanding </w:t>
      </w:r>
      <w:r w:rsidR="008A6CA8" w:rsidRPr="00884FAA">
        <w:t xml:space="preserve">what </w:t>
      </w:r>
      <w:r w:rsidR="00407FBD" w:rsidRPr="00884FAA">
        <w:t xml:space="preserve">Aboriginal and Torres Strait Islander people </w:t>
      </w:r>
      <w:r w:rsidR="008A6CA8" w:rsidRPr="00884FAA">
        <w:t xml:space="preserve">value </w:t>
      </w:r>
      <w:r w:rsidR="00463E6E" w:rsidRPr="00884FAA">
        <w:t>in</w:t>
      </w:r>
      <w:r w:rsidR="005D1CEC" w:rsidRPr="00884FAA">
        <w:t xml:space="preserve"> health care</w:t>
      </w:r>
      <w:bookmarkEnd w:id="130"/>
      <w:bookmarkEnd w:id="131"/>
      <w:bookmarkEnd w:id="132"/>
      <w:bookmarkEnd w:id="133"/>
      <w:bookmarkEnd w:id="134"/>
      <w:r w:rsidR="005D1CEC" w:rsidRPr="00884FAA">
        <w:t xml:space="preserve"> </w:t>
      </w:r>
    </w:p>
    <w:tbl>
      <w:tblPr>
        <w:tblW w:w="0" w:type="auto"/>
        <w:tblLook w:val="0000" w:firstRow="0" w:lastRow="0" w:firstColumn="0" w:lastColumn="0" w:noHBand="0" w:noVBand="0"/>
      </w:tblPr>
      <w:tblGrid>
        <w:gridCol w:w="988"/>
        <w:gridCol w:w="8031"/>
      </w:tblGrid>
      <w:tr w:rsidR="004A28BE" w14:paraId="05508D54" w14:textId="77777777" w:rsidTr="00DB3199">
        <w:trPr>
          <w:trHeight w:val="708"/>
        </w:trPr>
        <w:tc>
          <w:tcPr>
            <w:tcW w:w="9019" w:type="dxa"/>
            <w:gridSpan w:val="2"/>
            <w:vAlign w:val="center"/>
          </w:tcPr>
          <w:p w14:paraId="53A8945D" w14:textId="2FD9FB88" w:rsidR="004A28BE" w:rsidRPr="001414CF" w:rsidRDefault="004A28BE" w:rsidP="00741C8F">
            <w:pPr>
              <w:pStyle w:val="Heading6"/>
              <w:numPr>
                <w:ilvl w:val="0"/>
                <w:numId w:val="0"/>
              </w:numPr>
            </w:pPr>
            <w:r w:rsidRPr="00E12C9F">
              <w:rPr>
                <w:color w:val="000000"/>
              </w:rPr>
              <w:t>Key findings</w:t>
            </w:r>
          </w:p>
        </w:tc>
      </w:tr>
      <w:tr w:rsidR="004A28BE" w14:paraId="4AAF3600" w14:textId="77777777" w:rsidTr="00DB3199">
        <w:tc>
          <w:tcPr>
            <w:tcW w:w="9019" w:type="dxa"/>
            <w:gridSpan w:val="2"/>
            <w:vAlign w:val="center"/>
          </w:tcPr>
          <w:p w14:paraId="1FC459A1" w14:textId="684389BA" w:rsidR="004A28BE" w:rsidRPr="001414CF" w:rsidRDefault="004A28BE" w:rsidP="004D2759">
            <w:pPr>
              <w:spacing w:after="120" w:line="240" w:lineRule="auto"/>
              <w:jc w:val="left"/>
              <w:rPr>
                <w:color w:val="000000" w:themeColor="text1"/>
              </w:rPr>
            </w:pPr>
            <w:r w:rsidRPr="001414CF">
              <w:rPr>
                <w:color w:val="000000" w:themeColor="text1"/>
              </w:rPr>
              <w:t xml:space="preserve">Aboriginal and Torres Strait Islander people value health </w:t>
            </w:r>
            <w:r w:rsidR="004B6454">
              <w:rPr>
                <w:color w:val="000000" w:themeColor="text1"/>
              </w:rPr>
              <w:t>service design and delivery</w:t>
            </w:r>
            <w:r w:rsidR="004B6454" w:rsidRPr="001414CF">
              <w:rPr>
                <w:color w:val="000000" w:themeColor="text1"/>
              </w:rPr>
              <w:t xml:space="preserve"> </w:t>
            </w:r>
            <w:r w:rsidRPr="001414CF">
              <w:rPr>
                <w:color w:val="000000" w:themeColor="text1"/>
              </w:rPr>
              <w:t>that:</w:t>
            </w:r>
          </w:p>
        </w:tc>
      </w:tr>
      <w:tr w:rsidR="004A28BE" w14:paraId="74100A0D" w14:textId="77777777" w:rsidTr="00DB3199">
        <w:tc>
          <w:tcPr>
            <w:tcW w:w="988" w:type="dxa"/>
            <w:vAlign w:val="center"/>
          </w:tcPr>
          <w:p w14:paraId="55FB059F" w14:textId="29586364" w:rsidR="004A28BE" w:rsidRPr="00684EA9" w:rsidRDefault="004A28BE" w:rsidP="00AA2758">
            <w:pPr>
              <w:pStyle w:val="Bullet1"/>
              <w:spacing w:before="120" w:line="240" w:lineRule="auto"/>
              <w:ind w:left="0" w:firstLine="0"/>
              <w:jc w:val="center"/>
            </w:pPr>
            <w:r w:rsidRPr="00BD3BBE">
              <w:rPr>
                <w:rFonts w:ascii="Calibri" w:hAnsi="Calibri" w:cs="Calibri"/>
                <w:b/>
                <w:bCs/>
                <w:sz w:val="56"/>
                <w:szCs w:val="56"/>
              </w:rPr>
              <w:t>1</w:t>
            </w:r>
          </w:p>
        </w:tc>
        <w:tc>
          <w:tcPr>
            <w:tcW w:w="8031" w:type="dxa"/>
            <w:shd w:val="clear" w:color="auto" w:fill="auto"/>
            <w:vAlign w:val="center"/>
          </w:tcPr>
          <w:p w14:paraId="40C581C4" w14:textId="4C1B7F9A" w:rsidR="004A28BE" w:rsidRDefault="004A28BE" w:rsidP="00AA2758">
            <w:pPr>
              <w:pStyle w:val="Bullet1"/>
              <w:spacing w:before="120" w:line="240" w:lineRule="auto"/>
              <w:ind w:left="0" w:firstLine="0"/>
              <w:jc w:val="left"/>
            </w:pPr>
            <w:r w:rsidRPr="00684EA9">
              <w:t xml:space="preserve">is place </w:t>
            </w:r>
            <w:r w:rsidRPr="00EB1806">
              <w:t>based, flexible and contextually relevant, including health care that considers local environmental, social and cultural contexts and create wellness through prevention, early intervention, and social determinants of health.</w:t>
            </w:r>
          </w:p>
        </w:tc>
      </w:tr>
      <w:tr w:rsidR="004A28BE" w14:paraId="34833DE5" w14:textId="77777777" w:rsidTr="00DB3199">
        <w:tc>
          <w:tcPr>
            <w:tcW w:w="988" w:type="dxa"/>
            <w:vAlign w:val="center"/>
          </w:tcPr>
          <w:p w14:paraId="4494B637" w14:textId="3EE9AAB3" w:rsidR="004A28BE" w:rsidRPr="00684EA9" w:rsidRDefault="004A28BE" w:rsidP="00AA2758">
            <w:pPr>
              <w:pStyle w:val="Bullet1"/>
              <w:spacing w:before="120" w:line="240" w:lineRule="auto"/>
              <w:ind w:left="0" w:firstLine="0"/>
              <w:jc w:val="center"/>
            </w:pPr>
            <w:r w:rsidRPr="00BD3BBE">
              <w:rPr>
                <w:rFonts w:ascii="Calibri" w:hAnsi="Calibri" w:cs="Calibri"/>
                <w:b/>
                <w:bCs/>
                <w:sz w:val="56"/>
                <w:szCs w:val="56"/>
              </w:rPr>
              <w:t>2</w:t>
            </w:r>
          </w:p>
        </w:tc>
        <w:tc>
          <w:tcPr>
            <w:tcW w:w="8031" w:type="dxa"/>
            <w:shd w:val="clear" w:color="auto" w:fill="auto"/>
            <w:vAlign w:val="center"/>
          </w:tcPr>
          <w:p w14:paraId="5321032A" w14:textId="3DE2E5BF" w:rsidR="004A28BE" w:rsidRPr="00684EA9" w:rsidRDefault="004A28BE" w:rsidP="00AA2758">
            <w:pPr>
              <w:pStyle w:val="Bullet1"/>
              <w:spacing w:before="120" w:line="240" w:lineRule="auto"/>
              <w:ind w:left="0" w:firstLine="0"/>
              <w:jc w:val="left"/>
            </w:pPr>
            <w:r w:rsidRPr="00684EA9">
              <w:t xml:space="preserve">is accessible in a broad sense, including </w:t>
            </w:r>
            <w:r>
              <w:t xml:space="preserve">people being aware </w:t>
            </w:r>
            <w:r w:rsidRPr="00684EA9">
              <w:t>of health services, an ability to access services, afford</w:t>
            </w:r>
            <w:r>
              <w:t>able</w:t>
            </w:r>
            <w:r w:rsidRPr="00684EA9">
              <w:t xml:space="preserve"> care, </w:t>
            </w:r>
            <w:r>
              <w:t xml:space="preserve">care </w:t>
            </w:r>
            <w:r w:rsidRPr="00684EA9">
              <w:t xml:space="preserve">that </w:t>
            </w:r>
            <w:r>
              <w:t xml:space="preserve">is </w:t>
            </w:r>
            <w:r w:rsidRPr="00684EA9">
              <w:t>available when needed, and health care that is provided in an acceptable way.</w:t>
            </w:r>
          </w:p>
        </w:tc>
      </w:tr>
      <w:tr w:rsidR="004A28BE" w14:paraId="76040703" w14:textId="77777777" w:rsidTr="00DB3199">
        <w:tc>
          <w:tcPr>
            <w:tcW w:w="988" w:type="dxa"/>
            <w:vAlign w:val="center"/>
          </w:tcPr>
          <w:p w14:paraId="66F73916" w14:textId="254677C9" w:rsidR="004A28BE" w:rsidRDefault="004A28BE" w:rsidP="00AA2758">
            <w:pPr>
              <w:pStyle w:val="Bullet1"/>
              <w:spacing w:before="120" w:line="240" w:lineRule="auto"/>
              <w:ind w:left="0" w:firstLine="0"/>
              <w:jc w:val="center"/>
            </w:pPr>
            <w:r w:rsidRPr="00BD3BBE">
              <w:rPr>
                <w:rFonts w:ascii="Calibri" w:hAnsi="Calibri" w:cs="Calibri"/>
                <w:b/>
                <w:bCs/>
                <w:sz w:val="56"/>
                <w:szCs w:val="56"/>
              </w:rPr>
              <w:t>3</w:t>
            </w:r>
          </w:p>
        </w:tc>
        <w:tc>
          <w:tcPr>
            <w:tcW w:w="8031" w:type="dxa"/>
            <w:shd w:val="clear" w:color="auto" w:fill="auto"/>
            <w:vAlign w:val="center"/>
          </w:tcPr>
          <w:p w14:paraId="61FB0537" w14:textId="52DD063F" w:rsidR="004A28BE" w:rsidRPr="00684EA9" w:rsidRDefault="00795369" w:rsidP="00AA2758">
            <w:pPr>
              <w:pStyle w:val="Bullet1"/>
              <w:spacing w:before="120" w:line="240" w:lineRule="auto"/>
              <w:ind w:left="0" w:firstLine="0"/>
              <w:jc w:val="left"/>
            </w:pPr>
            <w:r>
              <w:t>is underpinned by</w:t>
            </w:r>
            <w:r w:rsidR="004A28BE">
              <w:t xml:space="preserve"> </w:t>
            </w:r>
            <w:r w:rsidR="004A28BE" w:rsidRPr="00684EA9">
              <w:t xml:space="preserve">self-determination and Aboriginal and Torres Strait Islander leadership </w:t>
            </w:r>
            <w:r w:rsidR="004A28BE">
              <w:t xml:space="preserve">so that </w:t>
            </w:r>
            <w:r w:rsidR="004A28BE" w:rsidRPr="00684EA9">
              <w:t xml:space="preserve">health services </w:t>
            </w:r>
            <w:r w:rsidR="004A28BE">
              <w:t>can meet</w:t>
            </w:r>
            <w:r w:rsidR="004A28BE" w:rsidRPr="00684EA9">
              <w:t xml:space="preserve"> community needs. </w:t>
            </w:r>
          </w:p>
        </w:tc>
      </w:tr>
      <w:tr w:rsidR="004A28BE" w14:paraId="1CEB53BE" w14:textId="77777777" w:rsidTr="00DB3199">
        <w:tc>
          <w:tcPr>
            <w:tcW w:w="988" w:type="dxa"/>
            <w:vAlign w:val="center"/>
          </w:tcPr>
          <w:p w14:paraId="6D64628D" w14:textId="1B6E1CEF" w:rsidR="004A28BE" w:rsidRPr="00684EA9" w:rsidRDefault="004A28BE" w:rsidP="00AA2758">
            <w:pPr>
              <w:spacing w:before="120" w:after="120" w:line="240" w:lineRule="auto"/>
              <w:jc w:val="center"/>
            </w:pPr>
            <w:r w:rsidRPr="00BD3BBE">
              <w:rPr>
                <w:rFonts w:ascii="Calibri" w:hAnsi="Calibri" w:cs="Calibri"/>
                <w:b/>
                <w:bCs/>
                <w:sz w:val="56"/>
                <w:szCs w:val="56"/>
              </w:rPr>
              <w:t>4</w:t>
            </w:r>
          </w:p>
        </w:tc>
        <w:tc>
          <w:tcPr>
            <w:tcW w:w="8031" w:type="dxa"/>
            <w:shd w:val="clear" w:color="auto" w:fill="auto"/>
            <w:vAlign w:val="center"/>
          </w:tcPr>
          <w:p w14:paraId="205FF94A" w14:textId="2B761DDD" w:rsidR="004A28BE" w:rsidRPr="00684EA9" w:rsidRDefault="004A28BE" w:rsidP="00AA2758">
            <w:pPr>
              <w:spacing w:before="120" w:after="120" w:line="240" w:lineRule="auto"/>
              <w:jc w:val="left"/>
            </w:pPr>
            <w:r w:rsidRPr="00684EA9">
              <w:t>provides equitable funding for health care that is ongoing, provides for appropriate infrastructure, and supports the employment and career development of Aboriginal and Torres Strait Islander people.</w:t>
            </w:r>
          </w:p>
        </w:tc>
      </w:tr>
      <w:tr w:rsidR="004A28BE" w14:paraId="3A2E8F8D" w14:textId="77777777" w:rsidTr="00DB3199">
        <w:tc>
          <w:tcPr>
            <w:tcW w:w="988" w:type="dxa"/>
            <w:vAlign w:val="center"/>
          </w:tcPr>
          <w:p w14:paraId="5F8B2F0D" w14:textId="790C675A" w:rsidR="004A28BE" w:rsidRDefault="004A28BE" w:rsidP="00AA2758">
            <w:pPr>
              <w:spacing w:before="120" w:after="120" w:line="240" w:lineRule="auto"/>
              <w:jc w:val="center"/>
            </w:pPr>
            <w:r w:rsidRPr="00BD3BBE">
              <w:rPr>
                <w:rFonts w:ascii="Calibri" w:hAnsi="Calibri" w:cs="Calibri"/>
                <w:b/>
                <w:bCs/>
                <w:sz w:val="56"/>
                <w:szCs w:val="56"/>
              </w:rPr>
              <w:t>5</w:t>
            </w:r>
          </w:p>
        </w:tc>
        <w:tc>
          <w:tcPr>
            <w:tcW w:w="8031" w:type="dxa"/>
            <w:shd w:val="clear" w:color="auto" w:fill="auto"/>
            <w:vAlign w:val="center"/>
          </w:tcPr>
          <w:p w14:paraId="74C4BA5E" w14:textId="29CAAE3D" w:rsidR="004A28BE" w:rsidRPr="00684EA9" w:rsidRDefault="004A28BE" w:rsidP="00AA2758">
            <w:pPr>
              <w:spacing w:before="120" w:after="120" w:line="240" w:lineRule="auto"/>
              <w:jc w:val="left"/>
            </w:pPr>
            <w:r>
              <w:t>supports</w:t>
            </w:r>
            <w:r w:rsidRPr="00684EA9">
              <w:t xml:space="preserve"> an ethic of </w:t>
            </w:r>
            <w:r>
              <w:t>responsibility</w:t>
            </w:r>
            <w:r w:rsidRPr="00684EA9">
              <w:t xml:space="preserve"> and </w:t>
            </w:r>
            <w:r>
              <w:t xml:space="preserve">care </w:t>
            </w:r>
            <w:r w:rsidRPr="00684EA9">
              <w:t>that extends beyond services to the system level (i.e. across all decision-making and actions on policy and resourcing that influence health care from government to frontline clinicians).</w:t>
            </w:r>
          </w:p>
        </w:tc>
      </w:tr>
      <w:tr w:rsidR="004A28BE" w14:paraId="231F223F" w14:textId="77777777" w:rsidTr="00DB3199">
        <w:tc>
          <w:tcPr>
            <w:tcW w:w="988" w:type="dxa"/>
            <w:vAlign w:val="center"/>
          </w:tcPr>
          <w:p w14:paraId="6D711C4A" w14:textId="5E4B451C" w:rsidR="004A28BE" w:rsidRDefault="004A28BE" w:rsidP="00AA2758">
            <w:pPr>
              <w:spacing w:before="120" w:after="120" w:line="240" w:lineRule="auto"/>
              <w:jc w:val="center"/>
            </w:pPr>
            <w:r w:rsidRPr="00BD3BBE">
              <w:rPr>
                <w:rFonts w:ascii="Calibri" w:hAnsi="Calibri" w:cs="Calibri"/>
                <w:b/>
                <w:bCs/>
                <w:sz w:val="56"/>
                <w:szCs w:val="56"/>
              </w:rPr>
              <w:t>6</w:t>
            </w:r>
          </w:p>
        </w:tc>
        <w:tc>
          <w:tcPr>
            <w:tcW w:w="8031" w:type="dxa"/>
            <w:shd w:val="clear" w:color="auto" w:fill="auto"/>
            <w:vAlign w:val="center"/>
          </w:tcPr>
          <w:p w14:paraId="3EDC43BB" w14:textId="76D8924A" w:rsidR="004A28BE" w:rsidRPr="00684EA9" w:rsidRDefault="004A28BE" w:rsidP="00AA2758">
            <w:pPr>
              <w:spacing w:before="120" w:after="120" w:line="240" w:lineRule="auto"/>
              <w:jc w:val="left"/>
            </w:pPr>
            <w:r>
              <w:t>responds to</w:t>
            </w:r>
            <w:r w:rsidRPr="00684EA9">
              <w:t xml:space="preserve"> the whole person which includes all the interrelationships with family, community, and the environment.</w:t>
            </w:r>
          </w:p>
        </w:tc>
      </w:tr>
      <w:tr w:rsidR="004A28BE" w14:paraId="4E1825FC" w14:textId="77777777" w:rsidTr="00DB3199">
        <w:tc>
          <w:tcPr>
            <w:tcW w:w="988" w:type="dxa"/>
            <w:vAlign w:val="center"/>
          </w:tcPr>
          <w:p w14:paraId="051D0E24" w14:textId="44A01DED" w:rsidR="004A28BE" w:rsidRDefault="004A28BE" w:rsidP="00AA2758">
            <w:pPr>
              <w:spacing w:before="120" w:after="120" w:line="240" w:lineRule="auto"/>
              <w:jc w:val="center"/>
            </w:pPr>
            <w:r w:rsidRPr="00BD3BBE">
              <w:rPr>
                <w:rFonts w:ascii="Calibri" w:hAnsi="Calibri" w:cs="Calibri"/>
                <w:b/>
                <w:bCs/>
                <w:sz w:val="56"/>
                <w:szCs w:val="56"/>
              </w:rPr>
              <w:t>7</w:t>
            </w:r>
          </w:p>
        </w:tc>
        <w:tc>
          <w:tcPr>
            <w:tcW w:w="8031" w:type="dxa"/>
            <w:shd w:val="clear" w:color="auto" w:fill="auto"/>
            <w:vAlign w:val="center"/>
          </w:tcPr>
          <w:p w14:paraId="2923664B" w14:textId="009F023A" w:rsidR="004A28BE" w:rsidRPr="00684EA9" w:rsidRDefault="004A28BE" w:rsidP="00AA2758">
            <w:pPr>
              <w:spacing w:before="120" w:after="120" w:line="240" w:lineRule="auto"/>
              <w:jc w:val="left"/>
            </w:pPr>
            <w:r>
              <w:t>adopts</w:t>
            </w:r>
            <w:r w:rsidRPr="00684EA9">
              <w:t xml:space="preserve"> collective approaches to health and wellbeing; </w:t>
            </w:r>
            <w:r w:rsidR="00C917F4">
              <w:t xml:space="preserve">and </w:t>
            </w:r>
            <w:r w:rsidRPr="00684EA9">
              <w:t>enables choice in how, where and by whom care is provided.</w:t>
            </w:r>
          </w:p>
        </w:tc>
      </w:tr>
      <w:tr w:rsidR="00BD469A" w14:paraId="33B53554" w14:textId="77777777" w:rsidTr="00DB3199">
        <w:tc>
          <w:tcPr>
            <w:tcW w:w="988" w:type="dxa"/>
            <w:vAlign w:val="center"/>
          </w:tcPr>
          <w:p w14:paraId="0733A037" w14:textId="12106131" w:rsidR="00BD469A" w:rsidRPr="00BD3BBE" w:rsidRDefault="00C917F4" w:rsidP="00AA2758">
            <w:pPr>
              <w:spacing w:before="120" w:after="120" w:line="240" w:lineRule="auto"/>
              <w:jc w:val="center"/>
              <w:rPr>
                <w:rFonts w:ascii="Calibri" w:hAnsi="Calibri" w:cs="Calibri"/>
                <w:b/>
                <w:bCs/>
                <w:sz w:val="56"/>
                <w:szCs w:val="56"/>
              </w:rPr>
            </w:pPr>
            <w:r>
              <w:rPr>
                <w:rFonts w:ascii="Calibri" w:hAnsi="Calibri" w:cs="Calibri"/>
                <w:b/>
                <w:bCs/>
                <w:sz w:val="56"/>
                <w:szCs w:val="56"/>
              </w:rPr>
              <w:t>8</w:t>
            </w:r>
          </w:p>
        </w:tc>
        <w:tc>
          <w:tcPr>
            <w:tcW w:w="8031" w:type="dxa"/>
            <w:shd w:val="clear" w:color="auto" w:fill="auto"/>
            <w:vAlign w:val="center"/>
          </w:tcPr>
          <w:p w14:paraId="62961BCB" w14:textId="5157B094" w:rsidR="00BD469A" w:rsidRDefault="00C917F4" w:rsidP="00AA2758">
            <w:pPr>
              <w:spacing w:before="120" w:after="120" w:line="240" w:lineRule="auto"/>
              <w:jc w:val="left"/>
            </w:pPr>
            <w:r w:rsidRPr="00684EA9">
              <w:t>provides quality care</w:t>
            </w:r>
            <w:r w:rsidR="00EB4898">
              <w:t>,</w:t>
            </w:r>
            <w:r w:rsidRPr="00684EA9">
              <w:t xml:space="preserve"> </w:t>
            </w:r>
            <w:r>
              <w:t>is</w:t>
            </w:r>
            <w:r w:rsidRPr="00684EA9">
              <w:t xml:space="preserve"> cultural</w:t>
            </w:r>
            <w:r>
              <w:t>ly</w:t>
            </w:r>
            <w:r w:rsidRPr="00684EA9">
              <w:t xml:space="preserve"> safe</w:t>
            </w:r>
            <w:r w:rsidR="00EB4898">
              <w:t>, and</w:t>
            </w:r>
            <w:r w:rsidRPr="00684EA9">
              <w:t xml:space="preserve"> provides consistent programs, services and continuity of care support</w:t>
            </w:r>
            <w:r w:rsidR="00C25B8F">
              <w:t>.</w:t>
            </w:r>
          </w:p>
        </w:tc>
      </w:tr>
      <w:tr w:rsidR="00C917F4" w14:paraId="5269D53D" w14:textId="77777777" w:rsidTr="00DB3199">
        <w:tc>
          <w:tcPr>
            <w:tcW w:w="988" w:type="dxa"/>
            <w:vAlign w:val="center"/>
          </w:tcPr>
          <w:p w14:paraId="5E0BB7DC" w14:textId="2C56E66F" w:rsidR="00C917F4" w:rsidRDefault="00C917F4" w:rsidP="00AA2758">
            <w:pPr>
              <w:spacing w:before="120" w:after="120" w:line="240" w:lineRule="auto"/>
              <w:jc w:val="center"/>
              <w:rPr>
                <w:rFonts w:ascii="Calibri" w:hAnsi="Calibri" w:cs="Calibri"/>
                <w:b/>
                <w:bCs/>
                <w:sz w:val="56"/>
                <w:szCs w:val="56"/>
              </w:rPr>
            </w:pPr>
            <w:r>
              <w:rPr>
                <w:rFonts w:ascii="Calibri" w:hAnsi="Calibri" w:cs="Calibri"/>
                <w:b/>
                <w:bCs/>
                <w:sz w:val="56"/>
                <w:szCs w:val="56"/>
              </w:rPr>
              <w:t>9</w:t>
            </w:r>
          </w:p>
        </w:tc>
        <w:tc>
          <w:tcPr>
            <w:tcW w:w="8031" w:type="dxa"/>
            <w:shd w:val="clear" w:color="auto" w:fill="auto"/>
            <w:vAlign w:val="center"/>
          </w:tcPr>
          <w:p w14:paraId="02996950" w14:textId="174E2EBC" w:rsidR="00C917F4" w:rsidRPr="00684EA9" w:rsidRDefault="00C917F4" w:rsidP="00AA2758">
            <w:pPr>
              <w:spacing w:before="120" w:after="120" w:line="240" w:lineRule="auto"/>
              <w:jc w:val="left"/>
            </w:pPr>
            <w:r w:rsidRPr="00684EA9">
              <w:t>connects people to the support they need and cares for people across the life course</w:t>
            </w:r>
            <w:r w:rsidR="00C25B8F">
              <w:t>.</w:t>
            </w:r>
          </w:p>
        </w:tc>
      </w:tr>
    </w:tbl>
    <w:p w14:paraId="0E117DF3" w14:textId="184E1407" w:rsidR="002B3177" w:rsidRDefault="002B3177" w:rsidP="0022454C"/>
    <w:p w14:paraId="0E4B8773" w14:textId="430A55A2" w:rsidR="002B3177" w:rsidRDefault="002B3177">
      <w:pPr>
        <w:jc w:val="left"/>
      </w:pPr>
      <w:r>
        <w:br w:type="page"/>
      </w:r>
    </w:p>
    <w:p w14:paraId="7BFA015B" w14:textId="394A0C94" w:rsidR="00194CF5" w:rsidRDefault="00554CB4" w:rsidP="0035030F">
      <w:pPr>
        <w:pStyle w:val="Heading2"/>
      </w:pPr>
      <w:bookmarkStart w:id="135" w:name="_Toc137208902"/>
      <w:r>
        <w:lastRenderedPageBreak/>
        <w:t>Overview</w:t>
      </w:r>
      <w:bookmarkEnd w:id="135"/>
      <w:r>
        <w:t xml:space="preserve"> </w:t>
      </w:r>
    </w:p>
    <w:p w14:paraId="3943A019" w14:textId="72AB7436" w:rsidR="00554CB4" w:rsidRDefault="00554CB4" w:rsidP="00554CB4">
      <w:r w:rsidRPr="00684EA9">
        <w:t xml:space="preserve">This section </w:t>
      </w:r>
      <w:r w:rsidR="008F6664">
        <w:t>outlines</w:t>
      </w:r>
      <w:r w:rsidRPr="00684EA9">
        <w:t xml:space="preserve"> what Aboriginal and Torres Strait Islander people value in  health service design and delivery</w:t>
      </w:r>
      <w:r>
        <w:t xml:space="preserve">. </w:t>
      </w:r>
      <w:r w:rsidR="0048419C">
        <w:t>This is one of the evaluation questions (1.1) and</w:t>
      </w:r>
      <w:r w:rsidRPr="00684EA9">
        <w:t xml:space="preserve"> is critical to understanding how well the IAHP is enabling the primary health care system to </w:t>
      </w:r>
      <w:r w:rsidRPr="008F6664">
        <w:rPr>
          <w:b/>
          <w:bCs/>
          <w:i/>
          <w:iCs/>
        </w:rPr>
        <w:t>work for</w:t>
      </w:r>
      <w:r w:rsidRPr="00684EA9">
        <w:t xml:space="preserve"> Aboriginal and Torres Strait Islander people (KEQ1). This section </w:t>
      </w:r>
      <w:r w:rsidR="00142D64">
        <w:t>sets out</w:t>
      </w:r>
      <w:r w:rsidR="00142D64" w:rsidRPr="00684EA9">
        <w:t xml:space="preserve"> </w:t>
      </w:r>
      <w:r w:rsidRPr="00684EA9">
        <w:t>a framework</w:t>
      </w:r>
      <w:r w:rsidR="005507C9">
        <w:t>, using the metaphor</w:t>
      </w:r>
      <w:r w:rsidRPr="00684EA9">
        <w:t xml:space="preserve"> of Babuny – bottle tree – to visualise and represent the </w:t>
      </w:r>
      <w:r w:rsidR="000E3692">
        <w:t xml:space="preserve">interconnected </w:t>
      </w:r>
      <w:r w:rsidRPr="00684EA9">
        <w:t>elements and characteristics of what Aboriginal and Torres Strait Islander people value in health service design and delivery</w:t>
      </w:r>
      <w:r>
        <w:t xml:space="preserve">. </w:t>
      </w:r>
    </w:p>
    <w:p w14:paraId="7411C62F" w14:textId="1EB39738" w:rsidR="006608BD" w:rsidRDefault="006608BD" w:rsidP="00554CB4">
      <w:r>
        <w:t xml:space="preserve">This section </w:t>
      </w:r>
      <w:r w:rsidR="001C7FE2">
        <w:t xml:space="preserve">is framed around </w:t>
      </w:r>
      <w:r w:rsidR="003F2D0B">
        <w:t>values in health service design and delivery associated with</w:t>
      </w:r>
      <w:r>
        <w:t>:</w:t>
      </w:r>
    </w:p>
    <w:p w14:paraId="7A762EBB" w14:textId="6472D335" w:rsidR="006608BD" w:rsidRPr="003B3C05" w:rsidRDefault="007C6E21" w:rsidP="003B3C05">
      <w:pPr>
        <w:numPr>
          <w:ilvl w:val="0"/>
          <w:numId w:val="19"/>
        </w:numPr>
        <w:spacing w:after="120"/>
      </w:pPr>
      <w:r w:rsidRPr="003B3C05">
        <w:t>Place based and contextually relevant care</w:t>
      </w:r>
      <w:r w:rsidR="001A1D9F" w:rsidRPr="003B3C05">
        <w:t>.</w:t>
      </w:r>
    </w:p>
    <w:p w14:paraId="0D77FF05" w14:textId="576E55B1" w:rsidR="007C6E21" w:rsidRPr="003B3C05" w:rsidRDefault="00235C9F" w:rsidP="003B3C05">
      <w:pPr>
        <w:numPr>
          <w:ilvl w:val="0"/>
          <w:numId w:val="19"/>
        </w:numPr>
        <w:spacing w:after="120"/>
      </w:pPr>
      <w:r w:rsidRPr="003B3C05">
        <w:t>Identifiable and accessible places</w:t>
      </w:r>
      <w:r w:rsidR="001A1D9F" w:rsidRPr="003B3C05">
        <w:t>.</w:t>
      </w:r>
    </w:p>
    <w:p w14:paraId="4B272806" w14:textId="546A226E" w:rsidR="00235C9F" w:rsidRPr="003B3C05" w:rsidRDefault="000D19F7" w:rsidP="003B3C05">
      <w:pPr>
        <w:numPr>
          <w:ilvl w:val="0"/>
          <w:numId w:val="19"/>
        </w:numPr>
        <w:spacing w:after="120"/>
      </w:pPr>
      <w:r w:rsidRPr="003B3C05">
        <w:t>Governance and resourcing of health care</w:t>
      </w:r>
      <w:r w:rsidR="001A1D9F" w:rsidRPr="003B3C05">
        <w:t>.</w:t>
      </w:r>
    </w:p>
    <w:p w14:paraId="08C51370" w14:textId="4143FD5C" w:rsidR="000D19F7" w:rsidRPr="003B3C05" w:rsidRDefault="000D19F7" w:rsidP="003B3C05">
      <w:pPr>
        <w:numPr>
          <w:ilvl w:val="0"/>
          <w:numId w:val="19"/>
        </w:numPr>
        <w:spacing w:after="120"/>
      </w:pPr>
      <w:r w:rsidRPr="003B3C05">
        <w:t>Responsibility and resistance</w:t>
      </w:r>
      <w:r w:rsidR="001A1D9F" w:rsidRPr="003B3C05">
        <w:t>.</w:t>
      </w:r>
    </w:p>
    <w:p w14:paraId="526B6CFC" w14:textId="3268D96C" w:rsidR="000D19F7" w:rsidRPr="003B3C05" w:rsidRDefault="000D19F7" w:rsidP="003B3C05">
      <w:pPr>
        <w:numPr>
          <w:ilvl w:val="0"/>
          <w:numId w:val="19"/>
        </w:numPr>
        <w:spacing w:after="120"/>
      </w:pPr>
      <w:r w:rsidRPr="003B3C05">
        <w:t>Holistic care</w:t>
      </w:r>
      <w:r w:rsidR="000E3692" w:rsidRPr="003B3C05">
        <w:t>.</w:t>
      </w:r>
    </w:p>
    <w:p w14:paraId="56CCAD78" w14:textId="309B6259" w:rsidR="00F82250" w:rsidRDefault="00B632B6" w:rsidP="006F272C">
      <w:pPr>
        <w:spacing w:before="240"/>
      </w:pPr>
      <w:r>
        <w:t>While this section refers to what Aboriginal and Torres Strait Islander people value</w:t>
      </w:r>
      <w:r w:rsidR="000462FD">
        <w:t xml:space="preserve"> in health service design and delivery</w:t>
      </w:r>
      <w:r>
        <w:t xml:space="preserve">, this does not suggest that there is a singular </w:t>
      </w:r>
      <w:r w:rsidR="002C426B">
        <w:t xml:space="preserve">or </w:t>
      </w:r>
      <w:r w:rsidR="00A7338F">
        <w:t xml:space="preserve">representative view </w:t>
      </w:r>
      <w:r w:rsidR="002C426B">
        <w:t>from Aboriginal and Torres Strait Islander people on what is valued</w:t>
      </w:r>
      <w:r w:rsidR="00E34F00">
        <w:t xml:space="preserve">. The values </w:t>
      </w:r>
      <w:r w:rsidR="00982A22">
        <w:t xml:space="preserve">for health service design and delivery </w:t>
      </w:r>
      <w:r w:rsidR="00E34F00">
        <w:t xml:space="preserve">identified in this section </w:t>
      </w:r>
      <w:r w:rsidR="00282F2B">
        <w:t xml:space="preserve">are </w:t>
      </w:r>
      <w:r w:rsidR="00E34F00">
        <w:t xml:space="preserve">informed </w:t>
      </w:r>
      <w:r w:rsidR="00282F2B">
        <w:t xml:space="preserve">by the </w:t>
      </w:r>
      <w:r w:rsidR="00A76F3E">
        <w:t xml:space="preserve">yarning with community members for the purpose of informing and guiding the evaluation. </w:t>
      </w:r>
    </w:p>
    <w:p w14:paraId="7DC5CCB3" w14:textId="20905F9E" w:rsidR="000D19F7" w:rsidRDefault="001C7FE2" w:rsidP="00554CB4">
      <w:r w:rsidRPr="00684EA9">
        <w:t xml:space="preserve">Findings in relation to the experiences of Aboriginal and Torres Strait Islander people within the health system </w:t>
      </w:r>
      <w:r w:rsidRPr="001700E5">
        <w:t xml:space="preserve">are outlined in Section </w:t>
      </w:r>
      <w:r w:rsidR="001700E5" w:rsidRPr="001700E5">
        <w:fldChar w:fldCharType="begin"/>
      </w:r>
      <w:r w:rsidR="001700E5" w:rsidRPr="001700E5">
        <w:instrText xml:space="preserve"> REF _Ref131605676 \r \h </w:instrText>
      </w:r>
      <w:r w:rsidR="001700E5">
        <w:instrText xml:space="preserve"> \* MERGEFORMAT </w:instrText>
      </w:r>
      <w:r w:rsidR="001700E5" w:rsidRPr="001700E5">
        <w:fldChar w:fldCharType="separate"/>
      </w:r>
      <w:r w:rsidR="00165B17">
        <w:t>5</w:t>
      </w:r>
      <w:r w:rsidR="001700E5" w:rsidRPr="001700E5">
        <w:fldChar w:fldCharType="end"/>
      </w:r>
      <w:r w:rsidRPr="001700E5">
        <w:t>.</w:t>
      </w:r>
    </w:p>
    <w:p w14:paraId="23BEEABF" w14:textId="4750CE9A" w:rsidR="00DA6112" w:rsidRPr="002B3177" w:rsidRDefault="00DA6112" w:rsidP="00741C8F">
      <w:pPr>
        <w:pStyle w:val="Heading6"/>
        <w:numPr>
          <w:ilvl w:val="0"/>
          <w:numId w:val="0"/>
        </w:numPr>
        <w:ind w:left="1152" w:hanging="1152"/>
      </w:pPr>
      <w:r w:rsidRPr="002B3177">
        <w:t xml:space="preserve">Data sources and methods </w:t>
      </w:r>
    </w:p>
    <w:p w14:paraId="2138F593" w14:textId="0208EFD3" w:rsidR="00FF394D" w:rsidRPr="00526999" w:rsidRDefault="004B02C8" w:rsidP="00FF394D">
      <w:pPr>
        <w:rPr>
          <w:lang w:val="en-NZ"/>
        </w:rPr>
      </w:pPr>
      <w:r>
        <w:t xml:space="preserve">This section draws on data generated through community and individual yarns held between March 2021 and November 2022. </w:t>
      </w:r>
      <w:r w:rsidR="00554CB4" w:rsidRPr="00684EA9">
        <w:t>Yarning was used as the primary method to facilitate the active voices of Aboriginal and Torres Strait Islander people as knowledge holders. 452 Aboriginal and Torres Strait Islander community members participated in these yarns.</w:t>
      </w:r>
      <w:r w:rsidR="009E1694">
        <w:t xml:space="preserve"> </w:t>
      </w:r>
      <w:r w:rsidR="00526999" w:rsidRPr="00526999">
        <w:t>The data generated included people’s explicit statements of what they valued</w:t>
      </w:r>
      <w:r w:rsidR="00982A22">
        <w:t xml:space="preserve"> in health service design and delivery</w:t>
      </w:r>
      <w:r w:rsidR="00526999" w:rsidRPr="00526999">
        <w:t>, the use of rich experiential narrative that provides context</w:t>
      </w:r>
      <w:r w:rsidR="0007007D">
        <w:t xml:space="preserve">, </w:t>
      </w:r>
      <w:r w:rsidR="0007007D" w:rsidRPr="0007007D">
        <w:t>and dialogue that creates meaning from the evidence being shared within the yarn.</w:t>
      </w:r>
    </w:p>
    <w:p w14:paraId="2131CAA4" w14:textId="3DCE3D9B" w:rsidR="00526999" w:rsidRPr="00526999" w:rsidRDefault="00526999" w:rsidP="00526999">
      <w:pPr>
        <w:rPr>
          <w:lang w:val="en-NZ"/>
        </w:rPr>
      </w:pPr>
      <w:r w:rsidRPr="00526999">
        <w:rPr>
          <w:lang w:val="en-NZ"/>
        </w:rPr>
        <w:t>Data</w:t>
      </w:r>
      <w:r w:rsidRPr="00526999" w:rsidDel="007B3B02">
        <w:rPr>
          <w:lang w:val="en-NZ"/>
        </w:rPr>
        <w:t xml:space="preserve"> </w:t>
      </w:r>
      <w:r w:rsidR="007B3B02">
        <w:rPr>
          <w:lang w:val="en-NZ"/>
        </w:rPr>
        <w:t>were</w:t>
      </w:r>
      <w:r w:rsidR="007B3B02" w:rsidRPr="00526999">
        <w:rPr>
          <w:lang w:val="en-NZ"/>
        </w:rPr>
        <w:t xml:space="preserve"> </w:t>
      </w:r>
      <w:r w:rsidRPr="00526999">
        <w:rPr>
          <w:lang w:val="en-NZ"/>
        </w:rPr>
        <w:t xml:space="preserve">initially inductively coded using an adapted Schema analysis </w:t>
      </w:r>
      <w:r w:rsidRPr="00526999">
        <w:rPr>
          <w:lang w:val="en-NZ"/>
        </w:rPr>
        <w:fldChar w:fldCharType="begin"/>
      </w:r>
      <w:r w:rsidR="00F8760E">
        <w:rPr>
          <w:lang w:val="en-NZ"/>
        </w:rPr>
        <w:instrText xml:space="preserve"> ADDIN ZOTERO_ITEM CSL_CITATION {"citationID":"Eav9f8Ou","properties":{"formattedCitation":"(Rapport et al., 2019)","plainCitation":"(Rapport et al., 2019)","noteIndex":0},"citationItems":[{"id":3845,"uris":["http://zotero.org/groups/5010721/items/RGRCV8LT",["http://zotero.org/groups/5010721/items/RGRCV8LT"],["http://zotero.org/groups/5010721/items/RGRCV8LT",["http://zotero.org/groups/5010721/items/RGRCV8LT"]]],"itemData":{"id":3845,"type":"chapter","container-title":"Handbook of Research Methods in Health Social Sciences","edition":"Pranee Liamputtong","event-place":"Singapore","page":"897-915","publisher":"Springer","publisher-place":"Singapore","title":"Schema Analysis of Qualitative Data: A Team-Based Approach","author":[{"family":"Rapport","given":"Frances"},{"family":"Shih","given":"Patti"},{"family":"Bierbaum","given":"Mia"},{"family":"Hogden","given":"Anne"}],"issued":{"date-parts":[["2019"]]}}}],"schema":"https://github.com/citation-style-language/schema/raw/master/csl-citation.json"} </w:instrText>
      </w:r>
      <w:r w:rsidRPr="00526999">
        <w:rPr>
          <w:lang w:val="en-NZ"/>
        </w:rPr>
        <w:fldChar w:fldCharType="separate"/>
      </w:r>
      <w:r w:rsidRPr="00526999">
        <w:t>(Rapport et al., 2019)</w:t>
      </w:r>
      <w:r w:rsidRPr="00526999">
        <w:fldChar w:fldCharType="end"/>
      </w:r>
      <w:r w:rsidRPr="00526999">
        <w:rPr>
          <w:lang w:val="en-NZ"/>
        </w:rPr>
        <w:t xml:space="preserve">. Each transcript was coded in larger fragments (or ‘chunks’) reflecting segments or incidents rather than individual lines. Data interrogation was conducted by asking, ‘what does this tell us about what the community values in </w:t>
      </w:r>
      <w:r w:rsidR="009C2B18">
        <w:rPr>
          <w:lang w:val="en-NZ"/>
        </w:rPr>
        <w:t>h</w:t>
      </w:r>
      <w:r w:rsidRPr="00526999">
        <w:rPr>
          <w:lang w:val="en-NZ"/>
        </w:rPr>
        <w:t xml:space="preserve">ealth service design or delivery?’ This approach supported the summative nature of Schema analysis and ensured that the codes generated were neutral statements of what is valued. </w:t>
      </w:r>
    </w:p>
    <w:p w14:paraId="02E8690F" w14:textId="3761AED3" w:rsidR="00C422FB" w:rsidRDefault="00F26E8D" w:rsidP="00526999">
      <w:pPr>
        <w:rPr>
          <w:lang w:val="en-NZ"/>
        </w:rPr>
      </w:pPr>
      <w:r>
        <w:rPr>
          <w:lang w:val="en-NZ"/>
        </w:rPr>
        <w:t>Coding</w:t>
      </w:r>
      <w:r w:rsidR="00526999" w:rsidRPr="00526999">
        <w:rPr>
          <w:lang w:val="en-NZ"/>
        </w:rPr>
        <w:t xml:space="preserve"> from each group yarn were visualised to provide feedback to contributing knowledge-holders in group yarns in Cycle 1. The codes were written as shorter labels using more </w:t>
      </w:r>
      <w:r w:rsidR="00526999" w:rsidRPr="00526999">
        <w:rPr>
          <w:lang w:val="en-NZ"/>
        </w:rPr>
        <w:lastRenderedPageBreak/>
        <w:t>accessible language.</w:t>
      </w:r>
      <w:r w:rsidR="0068069F">
        <w:rPr>
          <w:lang w:val="en-NZ"/>
        </w:rPr>
        <w:t xml:space="preserve"> </w:t>
      </w:r>
      <w:r w:rsidR="00526999" w:rsidRPr="00526999">
        <w:rPr>
          <w:lang w:val="en-NZ"/>
        </w:rPr>
        <w:t xml:space="preserve">Situational analysis analytic mapping tools were then </w:t>
      </w:r>
      <w:r w:rsidR="00F85C82">
        <w:rPr>
          <w:lang w:val="en-NZ"/>
        </w:rPr>
        <w:t>applied</w:t>
      </w:r>
      <w:r w:rsidR="00526999" w:rsidRPr="00526999">
        <w:rPr>
          <w:lang w:val="en-NZ"/>
        </w:rPr>
        <w:t xml:space="preserve"> to progress the analysis. During this part of the analytic process questions were asked like, ‘what are the conditions in which this is enabled/enacted?’, ‘what are the mechanisms of power in this situation? And ‘how does this manifest and under what conditions?’ </w:t>
      </w:r>
      <w:r w:rsidR="00526999" w:rsidRPr="00526999">
        <w:rPr>
          <w:lang w:val="en-NZ"/>
        </w:rPr>
        <w:fldChar w:fldCharType="begin"/>
      </w:r>
      <w:r w:rsidR="00F8760E">
        <w:rPr>
          <w:lang w:val="en-NZ"/>
        </w:rPr>
        <w:instrText xml:space="preserve"> ADDIN ZOTERO_ITEM CSL_CITATION {"citationID":"NvERNuXO","properties":{"formattedCitation":"(Flyvbjerg, 2001)","plainCitation":"(Flyvbjerg, 2001)","noteIndex":0},"citationItems":[{"id":3826,"uris":["http://zotero.org/groups/5010721/items/EF4EK4VT",["http://zotero.org/groups/5010721/items/EF4EK4VT"],["http://zotero.org/groups/5010721/items/EF4EK4VT",["http://zotero.org/groups/5010721/items/EF4EK4VT"]]],"itemData":{"id":3826,"type":"book","abstract":"Making Social Science Matter presents an exciting new approach to social science, including theoretical argument, methodological guidelines, and examples of practical application. Why has social science failed in attempts to emulate natural science and produce normal theory? Bent Flyvbjerg argues that the strength of social science is in its rich, reflexive analysis of values and power, essential to the social and economic development of any society. Richly informed, powerfully argued, and clearly written, this book provides essential reading for all those in the social and behavioral sciences.","edition":"1st edition","event-place":"Cambridge","ISBN":"978-0-521-77568-7","language":"English","number-of-pages":"212","publisher":"Cambridge University Press","publisher-place":"Cambridge","source":"Amazon","title":"Making Social Science Matter: Why Social Inquiry Fails and How it Can Succeed Again","title-short":"Making Social Science Matter","author":[{"family":"Flyvbjerg","given":"Bent"}],"translator":[{"family":"Sampson","given":"Steven"}],"issued":{"date-parts":[["2001",1,15]]}}}],"schema":"https://github.com/citation-style-language/schema/raw/master/csl-citation.json"} </w:instrText>
      </w:r>
      <w:r w:rsidR="00526999" w:rsidRPr="00526999">
        <w:rPr>
          <w:lang w:val="en-NZ"/>
        </w:rPr>
        <w:fldChar w:fldCharType="separate"/>
      </w:r>
      <w:r w:rsidR="00526999" w:rsidRPr="00526999">
        <w:t>(Flyvbjerg, 2001)</w:t>
      </w:r>
      <w:r w:rsidR="00526999" w:rsidRPr="00526999">
        <w:fldChar w:fldCharType="end"/>
      </w:r>
      <w:r w:rsidR="00526999" w:rsidRPr="00526999">
        <w:rPr>
          <w:lang w:val="en-NZ"/>
        </w:rPr>
        <w:t>. Further coding and mapping were undertaken to examine and capture the relational nature of the concepts and develop them into a framework. The analysis also considered any divergence between sites and the dynamic nature of the health system.</w:t>
      </w:r>
    </w:p>
    <w:p w14:paraId="61AB399B" w14:textId="38234615" w:rsidR="0091559D" w:rsidRDefault="00C422FB" w:rsidP="00526999">
      <w:pPr>
        <w:rPr>
          <w:lang w:val="en-NZ"/>
        </w:rPr>
      </w:pPr>
      <w:r>
        <w:rPr>
          <w:lang w:val="en-NZ"/>
        </w:rPr>
        <w:t>In Cycle 3</w:t>
      </w:r>
      <w:r w:rsidR="00484624" w:rsidRPr="00484624">
        <w:t xml:space="preserve">, the values of health </w:t>
      </w:r>
      <w:r w:rsidR="008763FB">
        <w:t>service design and delivery</w:t>
      </w:r>
      <w:r w:rsidR="008763FB" w:rsidRPr="00484624">
        <w:t xml:space="preserve"> </w:t>
      </w:r>
      <w:r w:rsidR="00484624" w:rsidRPr="00484624">
        <w:t>w</w:t>
      </w:r>
      <w:r w:rsidR="00E96E58">
        <w:t xml:space="preserve">ithin a draft </w:t>
      </w:r>
      <w:r w:rsidR="00E96E58" w:rsidRPr="0091559D">
        <w:rPr>
          <w:lang w:val="en-NZ"/>
        </w:rPr>
        <w:t xml:space="preserve">Babuny framework </w:t>
      </w:r>
      <w:r w:rsidR="00E96E58">
        <w:rPr>
          <w:lang w:val="en-NZ"/>
        </w:rPr>
        <w:t xml:space="preserve">were shared and sense-checked </w:t>
      </w:r>
      <w:r w:rsidR="007D0A26">
        <w:rPr>
          <w:lang w:val="en-NZ"/>
        </w:rPr>
        <w:t xml:space="preserve">in group yarns </w:t>
      </w:r>
      <w:r w:rsidR="00E96E58">
        <w:rPr>
          <w:lang w:val="en-NZ"/>
        </w:rPr>
        <w:t xml:space="preserve">with community members to </w:t>
      </w:r>
      <w:r w:rsidR="0091559D" w:rsidRPr="0091559D">
        <w:rPr>
          <w:lang w:val="en-NZ"/>
        </w:rPr>
        <w:t>check for resonance and explore nuances</w:t>
      </w:r>
      <w:r w:rsidR="004A61BA">
        <w:rPr>
          <w:lang w:val="en-NZ"/>
        </w:rPr>
        <w:t xml:space="preserve"> between sites</w:t>
      </w:r>
      <w:r w:rsidR="0091559D" w:rsidRPr="0091559D">
        <w:rPr>
          <w:lang w:val="en-NZ"/>
        </w:rPr>
        <w:t>.</w:t>
      </w:r>
      <w:r w:rsidR="00B56791">
        <w:rPr>
          <w:lang w:val="en-NZ"/>
        </w:rPr>
        <w:t xml:space="preserve"> These discussions were also used to check that the </w:t>
      </w:r>
      <w:r w:rsidR="00B34D7D">
        <w:rPr>
          <w:lang w:val="en-NZ"/>
        </w:rPr>
        <w:t>framework</w:t>
      </w:r>
      <w:r w:rsidR="003A55D0">
        <w:rPr>
          <w:lang w:val="en-NZ"/>
        </w:rPr>
        <w:t xml:space="preserve"> for what </w:t>
      </w:r>
      <w:r w:rsidR="002D5199">
        <w:rPr>
          <w:lang w:val="en-NZ"/>
        </w:rPr>
        <w:t xml:space="preserve">Aboriginal and Torres Strait Islander people value in health care design and delivery – Babuny </w:t>
      </w:r>
      <w:r w:rsidR="00EA564A">
        <w:rPr>
          <w:lang w:val="en-NZ"/>
        </w:rPr>
        <w:t>–</w:t>
      </w:r>
      <w:r w:rsidR="00B34D7D">
        <w:rPr>
          <w:lang w:val="en-NZ"/>
        </w:rPr>
        <w:t xml:space="preserve"> </w:t>
      </w:r>
      <w:r w:rsidR="00B56791">
        <w:rPr>
          <w:lang w:val="en-NZ"/>
        </w:rPr>
        <w:t xml:space="preserve">resonated </w:t>
      </w:r>
      <w:r w:rsidR="00B34D7D">
        <w:rPr>
          <w:lang w:val="en-NZ"/>
        </w:rPr>
        <w:t>with community members</w:t>
      </w:r>
      <w:r w:rsidR="00B56791">
        <w:rPr>
          <w:lang w:val="en-NZ"/>
        </w:rPr>
        <w:t>.</w:t>
      </w:r>
      <w:r w:rsidR="00AA35E2">
        <w:rPr>
          <w:lang w:val="en-NZ"/>
        </w:rPr>
        <w:t xml:space="preserve"> </w:t>
      </w:r>
      <w:r w:rsidR="0091559D" w:rsidRPr="0091559D">
        <w:rPr>
          <w:lang w:val="en-NZ"/>
        </w:rPr>
        <w:t xml:space="preserve"> </w:t>
      </w:r>
    </w:p>
    <w:p w14:paraId="0A1A58A6" w14:textId="2FC7A0FD" w:rsidR="00A27902" w:rsidRDefault="00A27902">
      <w:pPr>
        <w:jc w:val="left"/>
        <w:rPr>
          <w:lang w:val="en-NZ"/>
        </w:rPr>
      </w:pPr>
      <w:r>
        <w:rPr>
          <w:lang w:val="en-NZ"/>
        </w:rPr>
        <w:br w:type="page"/>
      </w:r>
    </w:p>
    <w:p w14:paraId="748CBB6D" w14:textId="21364A70" w:rsidR="005C490E" w:rsidRPr="00003B90" w:rsidRDefault="0092700C" w:rsidP="0035030F">
      <w:pPr>
        <w:pStyle w:val="Heading2"/>
      </w:pPr>
      <w:bookmarkStart w:id="136" w:name="_Toc137208903"/>
      <w:r w:rsidRPr="00884FAA">
        <w:lastRenderedPageBreak/>
        <w:t xml:space="preserve">Babuny: </w:t>
      </w:r>
      <w:r w:rsidR="00D4204D" w:rsidRPr="00884FAA">
        <w:t>a</w:t>
      </w:r>
      <w:r w:rsidR="005C490E" w:rsidRPr="00884FAA">
        <w:t xml:space="preserve"> framework of what Aboriginal and Torres Strait Islander people value in health service design and delivery</w:t>
      </w:r>
      <w:bookmarkEnd w:id="136"/>
    </w:p>
    <w:p w14:paraId="1251FBC7" w14:textId="2798D0B3" w:rsidR="0023669E" w:rsidRPr="00884FAA" w:rsidRDefault="00E26AF7" w:rsidP="0023669E">
      <w:r w:rsidRPr="00884FAA">
        <w:t>The evaluation’s findings about what Aboriginal and Torres Strait Islander people value in health</w:t>
      </w:r>
      <w:r w:rsidR="00BA6DAF" w:rsidRPr="00884FAA">
        <w:t xml:space="preserve"> </w:t>
      </w:r>
      <w:r w:rsidRPr="00884FAA">
        <w:t>service design and delivery</w:t>
      </w:r>
      <w:r w:rsidR="0038757F" w:rsidRPr="00884FAA">
        <w:t xml:space="preserve"> have been </w:t>
      </w:r>
      <w:r w:rsidR="00B73C77">
        <w:t>explained</w:t>
      </w:r>
      <w:r w:rsidR="00B73C77" w:rsidRPr="00884FAA">
        <w:t xml:space="preserve"> </w:t>
      </w:r>
      <w:r w:rsidR="00CE711A" w:rsidRPr="00884FAA">
        <w:t>using the me</w:t>
      </w:r>
      <w:r w:rsidR="002E6935" w:rsidRPr="00884FAA">
        <w:t>taphor o</w:t>
      </w:r>
      <w:r w:rsidR="00B57D97" w:rsidRPr="00884FAA">
        <w:t>f</w:t>
      </w:r>
      <w:r w:rsidR="002E6935" w:rsidRPr="00884FAA">
        <w:t xml:space="preserve"> a tree</w:t>
      </w:r>
      <w:r w:rsidR="00B57D97" w:rsidRPr="00884FAA">
        <w:t xml:space="preserve">. </w:t>
      </w:r>
      <w:r w:rsidR="00C87098" w:rsidRPr="00884FAA">
        <w:t xml:space="preserve">This approach was selected because </w:t>
      </w:r>
      <w:r w:rsidR="0023669E" w:rsidRPr="00884FAA">
        <w:t xml:space="preserve">metaphor is consistent with Aboriginal and Torres Strait Islander epistemologies, </w:t>
      </w:r>
      <w:r w:rsidR="000513CD" w:rsidRPr="00884FAA">
        <w:t xml:space="preserve">provides an appropriate way to explain relationships </w:t>
      </w:r>
      <w:r w:rsidR="00F40A63" w:rsidRPr="00884FAA">
        <w:t xml:space="preserve">between concepts, and </w:t>
      </w:r>
      <w:r w:rsidR="00F62AF7" w:rsidRPr="00884FAA">
        <w:t>is</w:t>
      </w:r>
      <w:r w:rsidR="0023669E" w:rsidRPr="00884FAA">
        <w:t xml:space="preserve"> a way of sharing social knowledge </w:t>
      </w:r>
      <w:r w:rsidR="0023669E" w:rsidRPr="00884FAA">
        <w:fldChar w:fldCharType="begin"/>
      </w:r>
      <w:r w:rsidR="00F8760E">
        <w:instrText xml:space="preserve"> ADDIN ZOTERO_ITEM CSL_CITATION {"citationID":"pYHXDIVS","properties":{"formattedCitation":"(Fredericks et al., 2015; Kwaymullina &amp; Kwaymullina, 2010; Moreton-Robinson, 2017; St. Clair, 2000)","plainCitation":"(Fredericks et al., 2015; Kwaymullina &amp; Kwaymullina, 2010; Moreton-Robinson, 2017; St. Clair, 2000)","noteIndex":0},"citationItems":[{"id":3798,"uris":["http://zotero.org/groups/5010721/items/XFQXT9UY",["http://zotero.org/groups/5010721/items/XFQXT9UY"],["http://zotero.org/groups/5010721/items/XFQXT9UY",["http://zotero.org/groups/5010721/items/XFQXT9UY"]]],"itemData":{"id":3798,"type":"article-journal","abstract":"This paper describes the development of Pictorial Conceptual Metaphors, a pictorial outcome of systemic action research that captures and explains complex systems from the perspectives of the participants involved. Page 78 and argue that PCMs provide a powerful way of 'seeing the system', understanding a system within its historical context, and developing a channel for systemic change. They propose that PCMs can be used, to encourage conversations and enhance understandings about the change needed in Australia's health system, in a way that is culturally respectful and appropriate for Indigenous Australians.","container-title":"ALARj-Action Learning Action Research Journal","journalAbbreviation":"ALARj-Action Learning Action Research Journal","page":"77-107","source":"ResearchGate","title":"Developing Pictorial Conceptual Metaphors as a means of understanding and changing the Australian Health System for Indigenous People","volume":"21","author":[{"family":"Fredericks","given":"Bronwyn"},{"family":"Clapham","given":"Kathleen"},{"family":"Bessarab","given":"Dawn"},{"family":"Dudgeon","given":"Pat"},{"family":"Bainbridge","given":"Roxanne"},{"family":"Ball","given":"Rowena"},{"family":"Longbottom","given":"Marlene"},{"family":"Andersen","given":"Clair"},{"family":"M.","given":"Adams"},{"family":"Collard","given":"Len"},{"family":"Duthie","given":"Deb"},{"family":"Daniels","given":"Carolyn"}],"issued":{"date-parts":[["2015",1,1]]}}},{"id":3803,"uris":["http://zotero.org/groups/5010721/items/72H5IA9C",["http://zotero.org/groups/5010721/items/72H5IA9C"],["http://zotero.org/groups/5010721/items/72H5IA9C",["http://zotero.org/groups/5010721/items/72H5IA9C"]]],"itemData":{"id":3803,"type":"article-journal","abstract":"This article examines Aboriginal views of knowledge, time and space, and discusses the implications of these views for understanding Aboriginal legal systems. In doing this, we adopt an Indigenous perspective formed and informed by the ancient holistic knowledge systems of Aboriginal people. The article is part of a new wave of Indigenous scholarship where Indigenous thinkers worldwide are seeking to elucidate the nature of our systems and their interaction with Western ways of knowing.","container-title":"Journal of Australian Studies","DOI":"10.1080/14443051003721189","ISSN":"1444-3058","issue":"2","note":"publisher: Routledge\n_eprint: https://doi.org/10.1080/14443051003721189","page":"195-208","source":"Taylor and Francis+NEJM","title":"Learning to read the signs: law in an Indigenous reality","title-short":"Learning to read the signs","URL":"https://doi.org/10.1080/14443051003721189","volume":"34","author":[{"family":"Kwaymullina","given":"Ambelin"},{"family":"Kwaymullina","given":"Blaze"}],"accessed":{"date-parts":[["2023",3,28]]},"issued":{"date-parts":[["2010",6,1]]}}},{"id":3796,"uris":["http://zotero.org/groups/5010721/items/L4UGASPT",["http://zotero.org/groups/5010721/items/L4UGASPT"],["http://zotero.org/groups/5010721/items/L4UGASPT",["http://zotero.org/groups/5010721/items/L4UGASPT"]]],"itemData":{"id":3796,"type":"chapter","abstract":"Moreton-Robinson, Aileen &lt;https://eprints.qut.edu.au/view/person/Moreton-Robinson,_Aileen.html&gt; (2017) Relationality: A key presupposition of an Indigenous social research paradigm. In O'Brien, J M &amp; Andersen, C (Eds.) Sources and methods in Indigenous studies (Routledge Guides to Using Historical Sources). Routledge, United Kingdom, pp. 69-77.","container-title":"Sources and methods in Indigenous studies (Routledge Guides to Using Historical Sources)","event-place":"United Kingdom","ISBN":"978-1-138-82360-0","language":"en","license":"Consult author(s) regarding copyright matters","page":"69-77","publisher":"Routledge","publisher-place":"United Kingdom","source":"eprints.qut.edu.au","title":"Relationality: A key presupposition of an Indigenous social research paradigm","title-short":"Relationality","URL":"https://eprints.qut.edu.au/93245/","author":[{"family":"Moreton-Robinson","given":"Aileen"}],"editor":[{"family":"O'Brien","given":"J. M."},{"family":"Andersen","given":"C."}],"accessed":{"date-parts":[["2023",3,28]]},"issued":{"date-parts":[["2017"]]}}},{"id":3801,"uris":["http://zotero.org/groups/5010721/items/GHZYE9S4",["http://zotero.org/groups/5010721/items/GHZYE9S4"],["http://zotero.org/groups/5010721/items/GHZYE9S4",["http://zotero.org/groups/5010721/items/GHZYE9S4"]]],"itemData":{"id":3801,"type":"chapter","abstract":"Modern Western European ways of thinking are based on a print culture that uses verbal metaphors, and indigenous ways of thinking are based on an oral culture that uses visual metaphors. Visual metaphors provide a dominant mode of information processing and are used among indigenous groups to share cultural knowledge, yet Western culture is oblivious to it. One way of knowing involves reading people through nonverbal communication, but in Western culture, nonverbal communication can be virtually invisible. Problems occur when knowing and sensitive children from oral cultures such as American Indians are judged by people from cultures that do not know much about visual thinking. These children are aware of visual space, are sensitive to nonverbal communication, and understand that  silence communicates. In writing English compositions for school, these children do not use the syllogistic reasoning of Aristotle because it is not part of their cultural knowledge, nor do they use the forms of logic that underlie the classical tradition of rhetoric. These students' writings have been criticized by their teachers as not having any structure. The fact that their structure is based on visual metaphor goes unnoticed. Teachers must be aware of the distinction between these two types of metaphors if they are to understand how indigenous people learn. Two dominant American Indian metaphors--the journey and the Quaternity (recurrence of the number four)--are discussed, and aspects of visual literacy that inform both aesthetics and the psychology of visual thinking are examined.  (Contains 43 references.) (TD)","container-title":"Learn in Beauty: Indigenous Education for a New Century","event-place":"Flagstaff, Arizona","language":"en","note":"ERIC Number: ED445871","page":"85-101","publisher":"Northern Arizona University","publisher-place":"Flagstaff, Arizona","source":"ERIC","title":"Visual Metaphor, Cultural Knowledge, and the New Rhetoric","URL":"https://jan.ucc.nau.edu/~jar/LIB/LIB8.html","author":[{"family":"St. Clair","given":"Robert"}],"editor":[{"family":"Reyhmer","given":"Jon"},{"family":"Martin","given":"Joseph"},{"family":"Lockard","given":"Louise"},{"family":"Gilbert","given":"W. Sakiestewa"}],"accessed":{"date-parts":[["2023",3,28]]},"issued":{"date-parts":[["2000"]]}},"label":"page"}],"schema":"https://github.com/citation-style-language/schema/raw/master/csl-citation.json"} </w:instrText>
      </w:r>
      <w:r w:rsidR="0023669E" w:rsidRPr="00884FAA">
        <w:fldChar w:fldCharType="separate"/>
      </w:r>
      <w:r w:rsidR="009C4091" w:rsidRPr="009C4091">
        <w:rPr>
          <w:rFonts w:ascii="Arial" w:hAnsi="Arial" w:cs="Arial"/>
        </w:rPr>
        <w:t>(Fredericks et al., 2015; Kwaymullina &amp; Kwaymullina, 2010; Moreton-Robinson, 2017; St. Clair, 2000)</w:t>
      </w:r>
      <w:r w:rsidR="0023669E" w:rsidRPr="00884FAA">
        <w:fldChar w:fldCharType="end"/>
      </w:r>
      <w:r w:rsidR="0023669E" w:rsidRPr="00884FAA">
        <w:t xml:space="preserve">. </w:t>
      </w:r>
    </w:p>
    <w:p w14:paraId="396D2759" w14:textId="43A4FD3E" w:rsidR="005C490E" w:rsidRPr="00884FAA" w:rsidRDefault="005C490E" w:rsidP="0076105F">
      <w:bookmarkStart w:id="137" w:name="_Hlk130109059"/>
      <w:r w:rsidRPr="00884FAA">
        <w:t xml:space="preserve">The framework uses the metaphor of the bottle tree, </w:t>
      </w:r>
      <w:r w:rsidR="006028D2">
        <w:rPr>
          <w:i/>
        </w:rPr>
        <w:t>B</w:t>
      </w:r>
      <w:r w:rsidRPr="00884FAA">
        <w:rPr>
          <w:i/>
        </w:rPr>
        <w:t>rachychiton rupestris</w:t>
      </w:r>
      <w:r w:rsidRPr="00884FAA">
        <w:t xml:space="preserve"> or Babuny.</w:t>
      </w:r>
      <w:r w:rsidR="00CE555A" w:rsidRPr="005D1C41">
        <w:rPr>
          <w:rStyle w:val="FootnoteReference"/>
        </w:rPr>
        <w:footnoteReference w:id="27"/>
      </w:r>
      <w:r w:rsidRPr="00884FAA">
        <w:t xml:space="preserve"> The bottle tree has medicinal properties</w:t>
      </w:r>
      <w:r w:rsidR="002A0E87" w:rsidRPr="00884FAA">
        <w:t xml:space="preserve"> </w:t>
      </w:r>
      <w:r w:rsidR="00967302" w:rsidRPr="00884FAA">
        <w:fldChar w:fldCharType="begin"/>
      </w:r>
      <w:r w:rsidR="00F8760E">
        <w:instrText xml:space="preserve"> ADDIN ZOTERO_ITEM CSL_CITATION {"citationID":"Ty0q15ji","properties":{"formattedCitation":"(Thabet et al., 2018)","plainCitation":"(Thabet et al., 2018)","noteIndex":0},"citationItems":[{"id":3804,"uris":["http://zotero.org/groups/5010721/items/ET6T3CQ5",["http://zotero.org/groups/5010721/items/ET6T3CQ5"],["http://zotero.org/groups/5010721/items/ET6T3CQ5",["http://zotero.org/groups/5010721/items/ET6T3CQ5"]]],"itemData":{"id":3804,"type":"article-journal","abstract":"Brachychiton rupestris and Brachychiton discolor (Malvaceae) are ornamental trees native to Australia. Some members of Brachychiton and its highly related genus, Sterculia, are employed in traditional medicine for itching, dermatitis and other skin diseases. However, scientific studies on these two genera are scarce. Aiming to reveal the scientific basis of the folk medicinal use of these plants, the cytotoxicity, anti-inflammatory and anti-allergic activities of Brachychiton rupestris and Brachychiton discolor leaves extracts and fractions were evaluated. Also, phytochemical investigation of B. rupestris was performed to identify the compounds exerting the biological effect.","container-title":"BMC Complementary and Alternative Medicine","DOI":"10.1186/s12906-018-2359-6","ISSN":"1472-6882","issue":"1","journalAbbreviation":"BMC Complementary and Alternative Medicine","page":"299","source":"BioMed Central","title":"Study of the anti-allergic and anti-inflammatory activity of Brachychiton rupestris and Brachychiton discolor leaves (Malvaceae) using in vitro models","URL":"https://doi.org/10.1186/s12906-018-2359-6","volume":"18","author":[{"family":"Thabet","given":"Amany A."},{"family":"Youssef","given":"Fadia S."},{"family":"Korinek","given":"Michal"},{"family":"Chang","given":"Fang-Rong"},{"family":"Wu","given":"Yang-Chang"},{"family":"Chen","given":"Bing-Hung"},{"family":"El-Shazly","given":"Mohamed"},{"family":"Singab","given":"Abdel Nasser B."},{"family":"Hwang","given":"Tsong-Long"}],"accessed":{"date-parts":[["2023",3,28]]},"issued":{"date-parts":[["2018",11,9]]}}}],"schema":"https://github.com/citation-style-language/schema/raw/master/csl-citation.json"} </w:instrText>
      </w:r>
      <w:r w:rsidR="00967302" w:rsidRPr="00884FAA">
        <w:fldChar w:fldCharType="separate"/>
      </w:r>
      <w:r w:rsidR="004823BD" w:rsidRPr="004823BD">
        <w:rPr>
          <w:rFonts w:ascii="Arial" w:hAnsi="Arial" w:cs="Arial"/>
        </w:rPr>
        <w:t>(Thabet et al., 2018)</w:t>
      </w:r>
      <w:r w:rsidR="00967302" w:rsidRPr="00884FAA">
        <w:fldChar w:fldCharType="end"/>
      </w:r>
      <w:r w:rsidRPr="00884FAA">
        <w:t xml:space="preserve"> and specific characteristics that reflect important elements of what Aboriginal and Torres Strait Islander people value in health </w:t>
      </w:r>
      <w:r w:rsidR="003A3052" w:rsidRPr="00884FAA">
        <w:t>service</w:t>
      </w:r>
      <w:r w:rsidRPr="00884FAA">
        <w:t xml:space="preserve"> design and delivery. The framework is illustrated in</w:t>
      </w:r>
      <w:r w:rsidR="007D633A" w:rsidRPr="00884FAA">
        <w:t xml:space="preserve"> </w:t>
      </w:r>
      <w:r w:rsidR="00F03360">
        <w:fldChar w:fldCharType="begin"/>
      </w:r>
      <w:r w:rsidR="00F03360">
        <w:instrText xml:space="preserve"> REF _Ref137220732 \h </w:instrText>
      </w:r>
      <w:r w:rsidR="0076105F">
        <w:instrText xml:space="preserve"> \* MERGEFORMAT </w:instrText>
      </w:r>
      <w:r w:rsidR="00F03360">
        <w:fldChar w:fldCharType="separate"/>
      </w:r>
      <w:r w:rsidR="00165B17" w:rsidRPr="00884FAA">
        <w:t xml:space="preserve">Figure </w:t>
      </w:r>
      <w:r w:rsidR="00165B17">
        <w:rPr>
          <w:noProof/>
        </w:rPr>
        <w:t>4</w:t>
      </w:r>
      <w:r w:rsidR="00165B17">
        <w:rPr>
          <w:noProof/>
        </w:rPr>
        <w:noBreakHyphen/>
        <w:t>1</w:t>
      </w:r>
      <w:r w:rsidR="00F03360">
        <w:fldChar w:fldCharType="end"/>
      </w:r>
      <w:r w:rsidR="007D633A" w:rsidRPr="00884FAA">
        <w:t>.</w:t>
      </w:r>
      <w:r w:rsidRPr="00884FAA">
        <w:t xml:space="preserve"> </w:t>
      </w:r>
    </w:p>
    <w:p w14:paraId="5F89D071" w14:textId="78DB6DD9" w:rsidR="001002F5" w:rsidRPr="00884FAA" w:rsidRDefault="005C490E" w:rsidP="00FE7BC0">
      <w:r w:rsidRPr="00884FAA">
        <w:t xml:space="preserve">A bottle tree represents a dynamic system </w:t>
      </w:r>
      <w:r w:rsidR="00B464DF">
        <w:t xml:space="preserve">that is </w:t>
      </w:r>
      <w:r w:rsidRPr="00884FAA">
        <w:t xml:space="preserve">connected to, and part of, place. </w:t>
      </w:r>
      <w:r w:rsidR="003556C9">
        <w:t xml:space="preserve">A bottle tree </w:t>
      </w:r>
      <w:r w:rsidRPr="00884FAA">
        <w:t>transforms its resources</w:t>
      </w:r>
      <w:r w:rsidR="003556C9">
        <w:t xml:space="preserve"> - </w:t>
      </w:r>
      <w:r w:rsidRPr="00884FAA">
        <w:t>such as water and nutrients</w:t>
      </w:r>
      <w:r w:rsidR="00C17CFC">
        <w:t xml:space="preserve"> </w:t>
      </w:r>
      <w:r w:rsidR="003556C9">
        <w:t xml:space="preserve">- </w:t>
      </w:r>
      <w:r w:rsidRPr="00884FAA">
        <w:t xml:space="preserve">to create shelter and other resources. It supports the survival of other </w:t>
      </w:r>
      <w:r w:rsidR="002225EE">
        <w:t xml:space="preserve">living things </w:t>
      </w:r>
      <w:r w:rsidRPr="00884FAA">
        <w:t xml:space="preserve">and creates growth and wellbeing of individuals and the landscape by returning resources to </w:t>
      </w:r>
      <w:r w:rsidR="00A66D86">
        <w:t>people and place</w:t>
      </w:r>
      <w:r w:rsidRPr="00884FAA">
        <w:t xml:space="preserve">. </w:t>
      </w:r>
    </w:p>
    <w:p w14:paraId="16AC6EDC" w14:textId="77777777" w:rsidR="00B83BC1" w:rsidRDefault="005C490E" w:rsidP="00FE7BC0">
      <w:r w:rsidRPr="00884FAA">
        <w:t xml:space="preserve">Similarly, </w:t>
      </w:r>
      <w:r w:rsidR="009E3F98">
        <w:t xml:space="preserve">when contributing to the </w:t>
      </w:r>
      <w:r w:rsidR="00E4291C" w:rsidRPr="00884FAA">
        <w:t xml:space="preserve">evaluation </w:t>
      </w:r>
      <w:r w:rsidRPr="00884FAA">
        <w:t xml:space="preserve">Aboriginal and Torres Strait Islander </w:t>
      </w:r>
      <w:r w:rsidR="00774DD6" w:rsidRPr="00884FAA">
        <w:t>community members</w:t>
      </w:r>
      <w:r w:rsidRPr="00884FAA">
        <w:t xml:space="preserve"> stated a good quality health service should connect to</w:t>
      </w:r>
      <w:r w:rsidR="001862ED" w:rsidRPr="00884FAA">
        <w:t>,</w:t>
      </w:r>
      <w:r w:rsidRPr="00884FAA">
        <w:t xml:space="preserve"> and be part of</w:t>
      </w:r>
      <w:r w:rsidR="001862ED" w:rsidRPr="00884FAA">
        <w:t>,</w:t>
      </w:r>
      <w:r w:rsidRPr="00884FAA">
        <w:t xml:space="preserve"> the communities it serves. Drawing on the resources available, a health service should provide spaces, programs, and services where individual and collective wellness is supported, creating stronger communities, and strengthening health determinants. </w:t>
      </w:r>
    </w:p>
    <w:p w14:paraId="2B8B4179" w14:textId="667B5C8C" w:rsidR="005C490E" w:rsidRPr="00884FAA" w:rsidRDefault="005C490E" w:rsidP="00FE7BC0">
      <w:r w:rsidRPr="00884FAA">
        <w:t xml:space="preserve">The appropriateness of the tree metaphor for the framework was supported by community </w:t>
      </w:r>
      <w:r w:rsidR="009F1773" w:rsidRPr="00884FAA">
        <w:t>members</w:t>
      </w:r>
      <w:r w:rsidRPr="00884FAA">
        <w:t xml:space="preserve"> who provided feedback</w:t>
      </w:r>
      <w:r w:rsidR="008A2CA2" w:rsidRPr="00884FAA">
        <w:t xml:space="preserve"> on the </w:t>
      </w:r>
      <w:r w:rsidR="00F574F5">
        <w:t xml:space="preserve">Babuny </w:t>
      </w:r>
      <w:r w:rsidR="008A2CA2" w:rsidRPr="00884FAA">
        <w:t>framework</w:t>
      </w:r>
      <w:r w:rsidRPr="00884FAA">
        <w:t>. Trees have always been places to access resources, shelter</w:t>
      </w:r>
      <w:r w:rsidR="00810B12" w:rsidRPr="00884FAA">
        <w:t>,</w:t>
      </w:r>
      <w:r w:rsidRPr="00884FAA">
        <w:t xml:space="preserve"> and gather</w:t>
      </w:r>
      <w:r w:rsidR="007D633A" w:rsidRPr="00884FAA">
        <w:t>.</w:t>
      </w:r>
      <w:r w:rsidR="007F2867">
        <w:t xml:space="preserve"> As one Elder stated:</w:t>
      </w:r>
    </w:p>
    <w:p w14:paraId="4854058E" w14:textId="79B4347C" w:rsidR="00FA508F" w:rsidRPr="00A1178E" w:rsidRDefault="005C490E" w:rsidP="00272710">
      <w:pPr>
        <w:pStyle w:val="Quote"/>
        <w:spacing w:after="0"/>
        <w:rPr>
          <w:color w:val="18525E" w:themeColor="accent5" w:themeShade="80"/>
        </w:rPr>
      </w:pPr>
      <w:r w:rsidRPr="00A1178E">
        <w:rPr>
          <w:color w:val="18525E" w:themeColor="accent5" w:themeShade="80"/>
        </w:rPr>
        <w:t>And trees are good. I believe with trees. Trees can help you with birthing. They grow and they're grounding, and they help support you when you need them.</w:t>
      </w:r>
    </w:p>
    <w:p w14:paraId="2B1EAACD" w14:textId="6A6F41F4" w:rsidR="009E3E96" w:rsidRPr="00884FAA" w:rsidRDefault="009E3E96" w:rsidP="00272710">
      <w:pPr>
        <w:spacing w:before="240"/>
        <w:jc w:val="right"/>
        <w:rPr>
          <w:b/>
          <w:bCs/>
        </w:rPr>
      </w:pPr>
      <w:r w:rsidRPr="00884FAA">
        <w:rPr>
          <w:b/>
          <w:bCs/>
        </w:rPr>
        <w:t xml:space="preserve">Community </w:t>
      </w:r>
      <w:r w:rsidR="00FD2B7B">
        <w:rPr>
          <w:b/>
          <w:bCs/>
        </w:rPr>
        <w:t>Elder</w:t>
      </w:r>
    </w:p>
    <w:p w14:paraId="5B634C33" w14:textId="0C16477D" w:rsidR="007139F6" w:rsidRPr="007139F6" w:rsidRDefault="007139F6" w:rsidP="007139F6">
      <w:bookmarkStart w:id="138" w:name="_Ref131244429"/>
      <w:bookmarkEnd w:id="137"/>
      <w:r w:rsidRPr="007139F6">
        <w:t xml:space="preserve">From the data shared by community knowledge holders, the core characteristics of care and connection are woven throughout Babuny. Care and connection manifest in the resources that support health care, the sharing of power for self-determination and community leadership, through to the way services are designed and delivered. </w:t>
      </w:r>
    </w:p>
    <w:p w14:paraId="76BB33AE" w14:textId="77777777" w:rsidR="00A27902" w:rsidRDefault="00A27902">
      <w:pPr>
        <w:jc w:val="left"/>
        <w:rPr>
          <w:b/>
          <w:sz w:val="21"/>
          <w:szCs w:val="20"/>
        </w:rPr>
      </w:pPr>
      <w:r>
        <w:br w:type="page"/>
      </w:r>
    </w:p>
    <w:p w14:paraId="78C7E20D" w14:textId="79AD055C" w:rsidR="005C490E" w:rsidRPr="00884FAA" w:rsidRDefault="007D633A" w:rsidP="004667FD">
      <w:pPr>
        <w:pStyle w:val="TableFigure-Header"/>
        <w:rPr>
          <w:lang w:val="en-AU"/>
        </w:rPr>
      </w:pPr>
      <w:bookmarkStart w:id="139" w:name="_Ref137220732"/>
      <w:bookmarkStart w:id="140" w:name="_Toc138851327"/>
      <w:r w:rsidRPr="00884FAA">
        <w:rPr>
          <w:lang w:val="en-AU"/>
        </w:rPr>
        <w:lastRenderedPageBreak/>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4</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w:t>
      </w:r>
      <w:r w:rsidR="005B4A4F">
        <w:rPr>
          <w:lang w:val="en-AU"/>
        </w:rPr>
        <w:fldChar w:fldCharType="end"/>
      </w:r>
      <w:bookmarkEnd w:id="138"/>
      <w:bookmarkEnd w:id="139"/>
      <w:r w:rsidRPr="00884FAA">
        <w:rPr>
          <w:lang w:val="en-AU"/>
        </w:rPr>
        <w:t xml:space="preserve">. </w:t>
      </w:r>
      <w:r w:rsidR="005C490E" w:rsidRPr="00884FAA">
        <w:rPr>
          <w:lang w:val="en-AU"/>
        </w:rPr>
        <w:t xml:space="preserve">Babuny </w:t>
      </w:r>
      <w:r w:rsidR="006F0E60" w:rsidRPr="00884FAA">
        <w:rPr>
          <w:lang w:val="en-AU"/>
        </w:rPr>
        <w:t>f</w:t>
      </w:r>
      <w:r w:rsidR="005C490E" w:rsidRPr="00884FAA">
        <w:rPr>
          <w:lang w:val="en-AU"/>
        </w:rPr>
        <w:t xml:space="preserve">ramework </w:t>
      </w:r>
      <w:r w:rsidR="008C135F" w:rsidRPr="00884FAA">
        <w:rPr>
          <w:lang w:val="en-AU"/>
        </w:rPr>
        <w:t>showing what Aboriginal and Torres Strait Islander people value in health service design and delivery</w:t>
      </w:r>
      <w:bookmarkEnd w:id="140"/>
    </w:p>
    <w:p w14:paraId="273807D5" w14:textId="6F5988A5" w:rsidR="005C490E" w:rsidRPr="00884FAA" w:rsidRDefault="007D633A" w:rsidP="00FE7BC0">
      <w:r w:rsidRPr="00884FAA">
        <w:rPr>
          <w:noProof/>
        </w:rPr>
        <w:drawing>
          <wp:inline distT="0" distB="0" distL="0" distR="0" wp14:anchorId="58DC09A2" wp14:editId="45E4CC65">
            <wp:extent cx="5731510" cy="6965543"/>
            <wp:effectExtent l="0" t="0" r="2540" b="6985"/>
            <wp:docPr id="35" name="Picture 35" descr="Image of a tree with words showing holistic health car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of a tree with words showing holistic health care values"/>
                    <pic:cNvPicPr/>
                  </pic:nvPicPr>
                  <pic:blipFill>
                    <a:blip r:embed="rId91">
                      <a:extLst>
                        <a:ext uri="{BEBA8EAE-BF5A-486C-A8C5-ECC9F3942E4B}">
                          <a14:imgProps xmlns:a14="http://schemas.microsoft.com/office/drawing/2010/main">
                            <a14:imgLayer r:embed="rId92">
                              <a14:imgEffect>
                                <a14:sharpenSoften amount="25000"/>
                              </a14:imgEffect>
                            </a14:imgLayer>
                          </a14:imgProps>
                        </a:ext>
                      </a:extLst>
                    </a:blip>
                    <a:stretch>
                      <a:fillRect/>
                    </a:stretch>
                  </pic:blipFill>
                  <pic:spPr>
                    <a:xfrm>
                      <a:off x="0" y="0"/>
                      <a:ext cx="5731510" cy="6965543"/>
                    </a:xfrm>
                    <a:prstGeom prst="rect">
                      <a:avLst/>
                    </a:prstGeom>
                  </pic:spPr>
                </pic:pic>
              </a:graphicData>
            </a:graphic>
          </wp:inline>
        </w:drawing>
      </w:r>
    </w:p>
    <w:p w14:paraId="2B913AA4" w14:textId="4A27B060" w:rsidR="005C490E" w:rsidRPr="00884FAA" w:rsidRDefault="005C490E" w:rsidP="005C490E">
      <w:pPr>
        <w:rPr>
          <w:rFonts w:asciiTheme="majorHAnsi" w:eastAsia="Calibri" w:hAnsiTheme="majorHAnsi" w:cstheme="majorBidi"/>
          <w:color w:val="275D8E" w:themeColor="accent1" w:themeShade="BF"/>
          <w:sz w:val="26"/>
          <w:szCs w:val="26"/>
        </w:rPr>
      </w:pPr>
      <w:r w:rsidRPr="00884FAA">
        <w:rPr>
          <w:rFonts w:eastAsia="Calibri"/>
        </w:rPr>
        <w:br w:type="page"/>
      </w:r>
    </w:p>
    <w:p w14:paraId="7D836B42" w14:textId="40365DE2" w:rsidR="005C490E" w:rsidRPr="00884FAA" w:rsidRDefault="005C490E" w:rsidP="0035030F">
      <w:pPr>
        <w:pStyle w:val="Heading2"/>
      </w:pPr>
      <w:bookmarkStart w:id="141" w:name="_Toc137208904"/>
      <w:r w:rsidRPr="00884FAA">
        <w:lastRenderedPageBreak/>
        <w:t xml:space="preserve">Place based and contextually relevant </w:t>
      </w:r>
      <w:r w:rsidR="00807F93" w:rsidRPr="00884FAA">
        <w:t>health care</w:t>
      </w:r>
      <w:bookmarkEnd w:id="141"/>
    </w:p>
    <w:p w14:paraId="35B6C055" w14:textId="300FB4B0" w:rsidR="005C490E" w:rsidRDefault="005C490E" w:rsidP="005C490E">
      <w:r w:rsidRPr="00884FAA">
        <w:t xml:space="preserve">Comprehensive health services </w:t>
      </w:r>
      <w:r w:rsidR="003872EA">
        <w:t>that are</w:t>
      </w:r>
      <w:r w:rsidRPr="00884FAA">
        <w:t xml:space="preserve"> designed and delivered to respond to health need and create wellness </w:t>
      </w:r>
      <w:r w:rsidR="00371F9A">
        <w:t xml:space="preserve">are valued by community members. </w:t>
      </w:r>
      <w:r w:rsidR="002F74A2">
        <w:t xml:space="preserve">These place-based responses are demonstrated </w:t>
      </w:r>
      <w:r w:rsidRPr="00884FAA">
        <w:t xml:space="preserve">through how </w:t>
      </w:r>
      <w:r w:rsidR="002F74A2">
        <w:t>services</w:t>
      </w:r>
      <w:r w:rsidR="002F74A2" w:rsidRPr="00884FAA">
        <w:t xml:space="preserve"> </w:t>
      </w:r>
      <w:r w:rsidRPr="00884FAA">
        <w:t xml:space="preserve">operate and interact with local contexts regarding prevention, early intervention, and social determinants of health. This is reflected in the way a bottle tree has adapted to, and interacts with, its environment through constituent and responsive characteristics </w:t>
      </w:r>
      <w:r w:rsidR="00491E47" w:rsidRPr="00884FAA">
        <w:fldChar w:fldCharType="begin"/>
      </w:r>
      <w:r w:rsidR="00F8760E">
        <w:instrText xml:space="preserve"> ADDIN ZOTERO_ITEM CSL_CITATION {"citationID":"GPnFcaoz","properties":{"formattedCitation":"(Reynolds et al., 2018)","plainCitation":"(Reynolds et al., 2018)","noteIndex":0},"citationItems":[{"id":3747,"uris":["http://zotero.org/groups/5010721/items/WKMFKXMG",["http://zotero.org/groups/5010721/items/WKMFKXMG"],["http://zotero.org/groups/5010721/items/WKMFKXMG",["http://zotero.org/groups/5010721/items/WKMFKXMG"]]],"itemData":{"id":3747,"type":"article-journal","container-title":"Tree physiology","issue":"5","page":"664-677","title":"Unexpected drought resistance strategies in seedlings of four Brachychiton species","volume":"38","author":[{"family":"Reynolds","given":"V.A."},{"family":"Anderegg","given":"L. D."},{"family":"Loy","given":"X."},{"family":"HilleRisLamders","given":"J."},{"family":"Mayfield","given":"M. M."}],"issued":{"date-parts":[["2018"]]}}}],"schema":"https://github.com/citation-style-language/schema/raw/master/csl-citation.json"} </w:instrText>
      </w:r>
      <w:r w:rsidR="00491E47" w:rsidRPr="00884FAA">
        <w:fldChar w:fldCharType="separate"/>
      </w:r>
      <w:r w:rsidR="00383130" w:rsidRPr="00383130">
        <w:rPr>
          <w:rFonts w:ascii="Arial" w:hAnsi="Arial" w:cs="Arial"/>
        </w:rPr>
        <w:t>(Reynolds et al., 2018)</w:t>
      </w:r>
      <w:r w:rsidR="00491E47" w:rsidRPr="00884FAA">
        <w:fldChar w:fldCharType="end"/>
      </w:r>
      <w:r w:rsidRPr="00884FAA">
        <w:t>. These two place-based characteristics of health care design and delivery are identified on</w:t>
      </w:r>
      <w:r w:rsidR="00EA0DCD">
        <w:t xml:space="preserve"> </w:t>
      </w:r>
      <w:r w:rsidRPr="00884FAA">
        <w:t>Babuny</w:t>
      </w:r>
      <w:r w:rsidR="001F5F6C">
        <w:t xml:space="preserve"> </w:t>
      </w:r>
      <w:r w:rsidRPr="00884FAA">
        <w:t xml:space="preserve">with labels of </w:t>
      </w:r>
      <w:r w:rsidRPr="00884FAA">
        <w:rPr>
          <w:b/>
          <w:bCs/>
          <w:i/>
          <w:iCs/>
        </w:rPr>
        <w:t>flexible for local contexts</w:t>
      </w:r>
      <w:r w:rsidRPr="00884FAA">
        <w:t xml:space="preserve"> and </w:t>
      </w:r>
      <w:r w:rsidRPr="00884FAA">
        <w:rPr>
          <w:b/>
          <w:bCs/>
          <w:i/>
          <w:iCs/>
        </w:rPr>
        <w:t>responsive to</w:t>
      </w:r>
      <w:r w:rsidRPr="00884FAA">
        <w:t xml:space="preserve"> </w:t>
      </w:r>
      <w:r w:rsidRPr="00884FAA">
        <w:rPr>
          <w:b/>
          <w:bCs/>
          <w:i/>
          <w:iCs/>
        </w:rPr>
        <w:t>changing environments</w:t>
      </w:r>
      <w:r w:rsidRPr="00884FAA">
        <w:t>.</w:t>
      </w:r>
    </w:p>
    <w:p w14:paraId="600FC08B" w14:textId="33CD2745" w:rsidR="00F640AA" w:rsidRDefault="00F640AA" w:rsidP="001B415C">
      <w:pPr>
        <w:pStyle w:val="Caption"/>
        <w:keepNext/>
        <w:jc w:val="left"/>
      </w:pPr>
      <w:bookmarkStart w:id="142" w:name="_Toc138851328"/>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2</w:t>
      </w:r>
      <w:r w:rsidR="005B4A4F">
        <w:fldChar w:fldCharType="end"/>
      </w:r>
      <w:r w:rsidR="00C67475">
        <w:t>.</w:t>
      </w:r>
      <w:r w:rsidR="00902814">
        <w:t xml:space="preserve"> Babuny framework spotlight on </w:t>
      </w:r>
      <w:r w:rsidR="001B415C">
        <w:t>flexible and responsive</w:t>
      </w:r>
      <w:bookmarkEnd w:id="142"/>
    </w:p>
    <w:p w14:paraId="79F04499" w14:textId="105337F7" w:rsidR="00892650" w:rsidRPr="00884FAA" w:rsidRDefault="00892650" w:rsidP="003037AB">
      <w:pPr>
        <w:jc w:val="center"/>
      </w:pPr>
      <w:r>
        <w:rPr>
          <w:noProof/>
        </w:rPr>
        <w:drawing>
          <wp:inline distT="0" distB="0" distL="0" distR="0" wp14:anchorId="606CA486" wp14:editId="21E6BAFF">
            <wp:extent cx="4438532" cy="1971675"/>
            <wp:effectExtent l="38100" t="38100" r="38735" b="28575"/>
            <wp:docPr id="95801379" name="Picture 95801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1379" name="Picture 95801379">
                      <a:extLst>
                        <a:ext uri="{C183D7F6-B498-43B3-948B-1728B52AA6E4}">
                          <adec:decorative xmlns:adec="http://schemas.microsoft.com/office/drawing/2017/decorative" val="1"/>
                        </a:ext>
                      </a:extLst>
                    </pic:cNvPr>
                    <pic:cNvPicPr>
                      <a:picLocks noChangeAspect="1" noChangeArrowheads="1"/>
                    </pic:cNvPicPr>
                  </pic:nvPicPr>
                  <pic:blipFill rotWithShape="1">
                    <a:blip r:embed="rId93"/>
                    <a:srcRect t="53975" b="9473"/>
                    <a:stretch/>
                  </pic:blipFill>
                  <pic:spPr bwMode="auto">
                    <a:xfrm>
                      <a:off x="0" y="0"/>
                      <a:ext cx="4484601" cy="1992140"/>
                    </a:xfrm>
                    <a:custGeom>
                      <a:avLst/>
                      <a:gdLst>
                        <a:gd name="connsiteX0" fmla="*/ 0 w 3420983"/>
                        <a:gd name="connsiteY0" fmla="*/ 0 h 2285904"/>
                        <a:gd name="connsiteX1" fmla="*/ 615777 w 3420983"/>
                        <a:gd name="connsiteY1" fmla="*/ 0 h 2285904"/>
                        <a:gd name="connsiteX2" fmla="*/ 1334183 w 3420983"/>
                        <a:gd name="connsiteY2" fmla="*/ 0 h 2285904"/>
                        <a:gd name="connsiteX3" fmla="*/ 1984170 w 3420983"/>
                        <a:gd name="connsiteY3" fmla="*/ 0 h 2285904"/>
                        <a:gd name="connsiteX4" fmla="*/ 2599947 w 3420983"/>
                        <a:gd name="connsiteY4" fmla="*/ 0 h 2285904"/>
                        <a:gd name="connsiteX5" fmla="*/ 3420983 w 3420983"/>
                        <a:gd name="connsiteY5" fmla="*/ 0 h 2285904"/>
                        <a:gd name="connsiteX6" fmla="*/ 3420983 w 3420983"/>
                        <a:gd name="connsiteY6" fmla="*/ 571476 h 2285904"/>
                        <a:gd name="connsiteX7" fmla="*/ 3420983 w 3420983"/>
                        <a:gd name="connsiteY7" fmla="*/ 1142952 h 2285904"/>
                        <a:gd name="connsiteX8" fmla="*/ 3420983 w 3420983"/>
                        <a:gd name="connsiteY8" fmla="*/ 1668710 h 2285904"/>
                        <a:gd name="connsiteX9" fmla="*/ 3420983 w 3420983"/>
                        <a:gd name="connsiteY9" fmla="*/ 2285904 h 2285904"/>
                        <a:gd name="connsiteX10" fmla="*/ 2805206 w 3420983"/>
                        <a:gd name="connsiteY10" fmla="*/ 2285904 h 2285904"/>
                        <a:gd name="connsiteX11" fmla="*/ 2223639 w 3420983"/>
                        <a:gd name="connsiteY11" fmla="*/ 2285904 h 2285904"/>
                        <a:gd name="connsiteX12" fmla="*/ 1505233 w 3420983"/>
                        <a:gd name="connsiteY12" fmla="*/ 2285904 h 2285904"/>
                        <a:gd name="connsiteX13" fmla="*/ 889456 w 3420983"/>
                        <a:gd name="connsiteY13" fmla="*/ 2285904 h 2285904"/>
                        <a:gd name="connsiteX14" fmla="*/ 0 w 3420983"/>
                        <a:gd name="connsiteY14" fmla="*/ 2285904 h 2285904"/>
                        <a:gd name="connsiteX15" fmla="*/ 0 w 3420983"/>
                        <a:gd name="connsiteY15" fmla="*/ 1668710 h 2285904"/>
                        <a:gd name="connsiteX16" fmla="*/ 0 w 3420983"/>
                        <a:gd name="connsiteY16" fmla="*/ 1142952 h 2285904"/>
                        <a:gd name="connsiteX17" fmla="*/ 0 w 3420983"/>
                        <a:gd name="connsiteY17" fmla="*/ 548617 h 2285904"/>
                        <a:gd name="connsiteX18" fmla="*/ 0 w 3420983"/>
                        <a:gd name="connsiteY18" fmla="*/ 0 h 2285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420983" h="2285904" fill="none" extrusionOk="0">
                          <a:moveTo>
                            <a:pt x="0" y="0"/>
                          </a:moveTo>
                          <a:cubicBezTo>
                            <a:pt x="281123" y="-27245"/>
                            <a:pt x="382485" y="-16570"/>
                            <a:pt x="615777" y="0"/>
                          </a:cubicBezTo>
                          <a:cubicBezTo>
                            <a:pt x="849069" y="16570"/>
                            <a:pt x="1033038" y="-4437"/>
                            <a:pt x="1334183" y="0"/>
                          </a:cubicBezTo>
                          <a:cubicBezTo>
                            <a:pt x="1635328" y="4437"/>
                            <a:pt x="1673609" y="9751"/>
                            <a:pt x="1984170" y="0"/>
                          </a:cubicBezTo>
                          <a:cubicBezTo>
                            <a:pt x="2294731" y="-9751"/>
                            <a:pt x="2467955" y="-26137"/>
                            <a:pt x="2599947" y="0"/>
                          </a:cubicBezTo>
                          <a:cubicBezTo>
                            <a:pt x="2731939" y="26137"/>
                            <a:pt x="3132509" y="9591"/>
                            <a:pt x="3420983" y="0"/>
                          </a:cubicBezTo>
                          <a:cubicBezTo>
                            <a:pt x="3429850" y="203706"/>
                            <a:pt x="3420835" y="402798"/>
                            <a:pt x="3420983" y="571476"/>
                          </a:cubicBezTo>
                          <a:cubicBezTo>
                            <a:pt x="3421131" y="740154"/>
                            <a:pt x="3447341" y="952708"/>
                            <a:pt x="3420983" y="1142952"/>
                          </a:cubicBezTo>
                          <a:cubicBezTo>
                            <a:pt x="3394625" y="1333196"/>
                            <a:pt x="3432142" y="1467238"/>
                            <a:pt x="3420983" y="1668710"/>
                          </a:cubicBezTo>
                          <a:cubicBezTo>
                            <a:pt x="3409824" y="1870182"/>
                            <a:pt x="3431330" y="2076478"/>
                            <a:pt x="3420983" y="2285904"/>
                          </a:cubicBezTo>
                          <a:cubicBezTo>
                            <a:pt x="3254572" y="2312462"/>
                            <a:pt x="3044286" y="2258422"/>
                            <a:pt x="2805206" y="2285904"/>
                          </a:cubicBezTo>
                          <a:cubicBezTo>
                            <a:pt x="2566126" y="2313386"/>
                            <a:pt x="2514077" y="2300115"/>
                            <a:pt x="2223639" y="2285904"/>
                          </a:cubicBezTo>
                          <a:cubicBezTo>
                            <a:pt x="1933201" y="2271693"/>
                            <a:pt x="1847439" y="2252504"/>
                            <a:pt x="1505233" y="2285904"/>
                          </a:cubicBezTo>
                          <a:cubicBezTo>
                            <a:pt x="1163027" y="2319304"/>
                            <a:pt x="1079243" y="2296332"/>
                            <a:pt x="889456" y="2285904"/>
                          </a:cubicBezTo>
                          <a:cubicBezTo>
                            <a:pt x="699669" y="2275476"/>
                            <a:pt x="313922" y="2281380"/>
                            <a:pt x="0" y="2285904"/>
                          </a:cubicBezTo>
                          <a:cubicBezTo>
                            <a:pt x="2053" y="2156253"/>
                            <a:pt x="24705" y="1967800"/>
                            <a:pt x="0" y="1668710"/>
                          </a:cubicBezTo>
                          <a:cubicBezTo>
                            <a:pt x="-24705" y="1369620"/>
                            <a:pt x="15902" y="1380762"/>
                            <a:pt x="0" y="1142952"/>
                          </a:cubicBezTo>
                          <a:cubicBezTo>
                            <a:pt x="-15902" y="905142"/>
                            <a:pt x="-18664" y="692852"/>
                            <a:pt x="0" y="548617"/>
                          </a:cubicBezTo>
                          <a:cubicBezTo>
                            <a:pt x="18664" y="404382"/>
                            <a:pt x="1481" y="173342"/>
                            <a:pt x="0" y="0"/>
                          </a:cubicBezTo>
                          <a:close/>
                        </a:path>
                        <a:path w="3420983" h="2285904" stroke="0" extrusionOk="0">
                          <a:moveTo>
                            <a:pt x="0" y="0"/>
                          </a:moveTo>
                          <a:cubicBezTo>
                            <a:pt x="287197" y="-13735"/>
                            <a:pt x="390073" y="9345"/>
                            <a:pt x="649987" y="0"/>
                          </a:cubicBezTo>
                          <a:cubicBezTo>
                            <a:pt x="909901" y="-9345"/>
                            <a:pt x="957513" y="3828"/>
                            <a:pt x="1231554" y="0"/>
                          </a:cubicBezTo>
                          <a:cubicBezTo>
                            <a:pt x="1505595" y="-3828"/>
                            <a:pt x="1721324" y="22537"/>
                            <a:pt x="1984170" y="0"/>
                          </a:cubicBezTo>
                          <a:cubicBezTo>
                            <a:pt x="2247016" y="-22537"/>
                            <a:pt x="2423514" y="-2473"/>
                            <a:pt x="2634157" y="0"/>
                          </a:cubicBezTo>
                          <a:cubicBezTo>
                            <a:pt x="2844800" y="2473"/>
                            <a:pt x="3257981" y="-9682"/>
                            <a:pt x="3420983" y="0"/>
                          </a:cubicBezTo>
                          <a:cubicBezTo>
                            <a:pt x="3432952" y="131872"/>
                            <a:pt x="3422312" y="385908"/>
                            <a:pt x="3420983" y="617194"/>
                          </a:cubicBezTo>
                          <a:cubicBezTo>
                            <a:pt x="3419654" y="848480"/>
                            <a:pt x="3423505" y="920381"/>
                            <a:pt x="3420983" y="1188670"/>
                          </a:cubicBezTo>
                          <a:cubicBezTo>
                            <a:pt x="3418461" y="1456959"/>
                            <a:pt x="3441764" y="1558927"/>
                            <a:pt x="3420983" y="1760146"/>
                          </a:cubicBezTo>
                          <a:cubicBezTo>
                            <a:pt x="3400202" y="1961365"/>
                            <a:pt x="3435388" y="2050408"/>
                            <a:pt x="3420983" y="2285904"/>
                          </a:cubicBezTo>
                          <a:cubicBezTo>
                            <a:pt x="3209128" y="2293179"/>
                            <a:pt x="3105718" y="2315228"/>
                            <a:pt x="2805206" y="2285904"/>
                          </a:cubicBezTo>
                          <a:cubicBezTo>
                            <a:pt x="2504694" y="2256580"/>
                            <a:pt x="2426388" y="2262188"/>
                            <a:pt x="2121009" y="2285904"/>
                          </a:cubicBezTo>
                          <a:cubicBezTo>
                            <a:pt x="1815630" y="2309620"/>
                            <a:pt x="1736067" y="2300644"/>
                            <a:pt x="1471023" y="2285904"/>
                          </a:cubicBezTo>
                          <a:cubicBezTo>
                            <a:pt x="1205979" y="2271164"/>
                            <a:pt x="1078664" y="2287432"/>
                            <a:pt x="718406" y="2285904"/>
                          </a:cubicBezTo>
                          <a:cubicBezTo>
                            <a:pt x="358148" y="2284376"/>
                            <a:pt x="308006" y="2291345"/>
                            <a:pt x="0" y="2285904"/>
                          </a:cubicBezTo>
                          <a:cubicBezTo>
                            <a:pt x="10900" y="2073172"/>
                            <a:pt x="9822" y="1878972"/>
                            <a:pt x="0" y="1760146"/>
                          </a:cubicBezTo>
                          <a:cubicBezTo>
                            <a:pt x="-9822" y="1641320"/>
                            <a:pt x="-16482" y="1397746"/>
                            <a:pt x="0" y="1188670"/>
                          </a:cubicBezTo>
                          <a:cubicBezTo>
                            <a:pt x="16482" y="979594"/>
                            <a:pt x="12127" y="893035"/>
                            <a:pt x="0" y="640053"/>
                          </a:cubicBezTo>
                          <a:cubicBezTo>
                            <a:pt x="-12127" y="387071"/>
                            <a:pt x="11" y="181055"/>
                            <a:pt x="0" y="0"/>
                          </a:cubicBezTo>
                          <a:close/>
                        </a:path>
                      </a:pathLst>
                    </a:custGeom>
                    <a:ln w="3175"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CDC3A04" w14:textId="6DF8D292" w:rsidR="00C655AD" w:rsidRPr="00884FAA" w:rsidRDefault="000E1816" w:rsidP="005C490E">
      <w:r w:rsidRPr="00884FAA">
        <w:t xml:space="preserve">Place-based service design and delivery </w:t>
      </w:r>
      <w:r w:rsidR="00F6064B">
        <w:t>that</w:t>
      </w:r>
      <w:r w:rsidR="00F6064B" w:rsidRPr="00884FAA">
        <w:t xml:space="preserve"> </w:t>
      </w:r>
      <w:r w:rsidRPr="00884FAA">
        <w:t>incorporate</w:t>
      </w:r>
      <w:r w:rsidR="00F6064B">
        <w:t>s</w:t>
      </w:r>
      <w:r w:rsidRPr="00884FAA">
        <w:t xml:space="preserve"> a nuanced understanding of local contexts beyond broad geographic differences (urban, regional, remote), and consider</w:t>
      </w:r>
      <w:r w:rsidR="00F6064B">
        <w:t>s</w:t>
      </w:r>
      <w:r w:rsidRPr="00884FAA">
        <w:t xml:space="preserve"> environmental, social, and cultural differences between Aboriginal and Torres Strait Islander communities</w:t>
      </w:r>
      <w:r w:rsidR="00F6064B">
        <w:t xml:space="preserve"> are valued by Aboriginal and Torres Strait Islander people that contributed to the evaluation</w:t>
      </w:r>
      <w:r w:rsidRPr="00884FAA">
        <w:t>. Similarly, b</w:t>
      </w:r>
      <w:r w:rsidR="005C490E" w:rsidRPr="00884FAA">
        <w:t xml:space="preserve">ottle trees vary between locations as long-term adaptation creates constituent characteristics that are responsive to local environments, such as tougher leaves in areas of persistent lower rainfall </w:t>
      </w:r>
      <w:r w:rsidR="00350581" w:rsidRPr="00884FAA">
        <w:fldChar w:fldCharType="begin"/>
      </w:r>
      <w:r w:rsidR="00F8760E">
        <w:instrText xml:space="preserve"> ADDIN ZOTERO_ITEM CSL_CITATION {"citationID":"fQJwPy8l","properties":{"formattedCitation":"(Reynolds et al., 2018)","plainCitation":"(Reynolds et al., 2018)","noteIndex":0},"citationItems":[{"id":3747,"uris":["http://zotero.org/groups/5010721/items/WKMFKXMG",["http://zotero.org/groups/5010721/items/WKMFKXMG"],["http://zotero.org/groups/5010721/items/WKMFKXMG",["http://zotero.org/groups/5010721/items/WKMFKXMG"]]],"itemData":{"id":3747,"type":"article-journal","container-title":"Tree physiology","issue":"5","page":"664-677","title":"Unexpected drought resistance strategies in seedlings of four Brachychiton species","volume":"38","author":[{"family":"Reynolds","given":"V.A."},{"family":"Anderegg","given":"L. D."},{"family":"Loy","given":"X."},{"family":"HilleRisLamders","given":"J."},{"family":"Mayfield","given":"M. M."}],"issued":{"date-parts":[["2018"]]}}}],"schema":"https://github.com/citation-style-language/schema/raw/master/csl-citation.json"} </w:instrText>
      </w:r>
      <w:r w:rsidR="00350581" w:rsidRPr="00884FAA">
        <w:fldChar w:fldCharType="separate"/>
      </w:r>
      <w:r w:rsidR="00383130" w:rsidRPr="00383130">
        <w:rPr>
          <w:rFonts w:ascii="Arial" w:hAnsi="Arial" w:cs="Arial"/>
        </w:rPr>
        <w:t>(Reynolds et al., 2018)</w:t>
      </w:r>
      <w:r w:rsidR="00350581" w:rsidRPr="00884FAA">
        <w:fldChar w:fldCharType="end"/>
      </w:r>
      <w:r w:rsidR="00446836" w:rsidRPr="00884FAA">
        <w:t>.</w:t>
      </w:r>
      <w:r w:rsidR="005C490E" w:rsidRPr="00884FAA">
        <w:t xml:space="preserve"> </w:t>
      </w:r>
    </w:p>
    <w:p w14:paraId="3EFD525F" w14:textId="3B44A237" w:rsidR="005C490E" w:rsidRPr="00884FAA" w:rsidRDefault="005C490E" w:rsidP="005C490E">
      <w:r w:rsidRPr="00884FAA">
        <w:t xml:space="preserve">Aboriginal and Torres Strait Islander people value </w:t>
      </w:r>
      <w:r w:rsidR="00807F93" w:rsidRPr="00884FAA">
        <w:t>health care</w:t>
      </w:r>
      <w:r w:rsidRPr="00884FAA">
        <w:t xml:space="preserve"> design and delivery that is flexible enough to respond to the </w:t>
      </w:r>
      <w:r w:rsidR="00246F37" w:rsidRPr="00884FAA">
        <w:t>diversity</w:t>
      </w:r>
      <w:r w:rsidRPr="00884FAA">
        <w:t xml:space="preserve"> of their communities and experiences. This flexibility </w:t>
      </w:r>
      <w:r w:rsidR="002F3A0D">
        <w:t xml:space="preserve">can be shown through </w:t>
      </w:r>
      <w:r w:rsidR="00A9352F" w:rsidRPr="00884FAA">
        <w:t>diverse</w:t>
      </w:r>
      <w:r w:rsidRPr="00884FAA">
        <w:t xml:space="preserve"> approaches to health service delivery through to individual program design. </w:t>
      </w:r>
      <w:r w:rsidR="00AF6389">
        <w:t>Th</w:t>
      </w:r>
      <w:r w:rsidR="00D05BB1">
        <w:t xml:space="preserve">e value of flexibility was </w:t>
      </w:r>
      <w:r w:rsidRPr="00884FAA">
        <w:t xml:space="preserve">explained </w:t>
      </w:r>
      <w:r w:rsidR="00D05BB1">
        <w:t xml:space="preserve">by one Elder </w:t>
      </w:r>
      <w:r w:rsidRPr="00884FAA">
        <w:t xml:space="preserve">for how different models of </w:t>
      </w:r>
      <w:r w:rsidR="00807F93" w:rsidRPr="00884FAA">
        <w:t>health care</w:t>
      </w:r>
      <w:r w:rsidR="002F3A0D">
        <w:t xml:space="preserve"> </w:t>
      </w:r>
      <w:r w:rsidR="0003337D">
        <w:t>delivery</w:t>
      </w:r>
      <w:r w:rsidRPr="00884FAA">
        <w:t xml:space="preserve"> might respond to the challenges of lower population density</w:t>
      </w:r>
      <w:r w:rsidR="00281DCF">
        <w:t>:</w:t>
      </w:r>
    </w:p>
    <w:p w14:paraId="174DEA05" w14:textId="3C061752" w:rsidR="005C490E" w:rsidRPr="00884FAA" w:rsidRDefault="005C490E" w:rsidP="009E3E96">
      <w:pPr>
        <w:pStyle w:val="Quote"/>
        <w:spacing w:after="0"/>
        <w:rPr>
          <w:b/>
          <w:bCs/>
          <w:color w:val="auto"/>
        </w:rPr>
      </w:pPr>
      <w:r w:rsidRPr="00A1178E">
        <w:rPr>
          <w:color w:val="18525E" w:themeColor="accent5" w:themeShade="80"/>
        </w:rPr>
        <w:t>You got to think differently about different areas. . . it depends on the area. You go to Dubbo, you go to Cairns, you go to, you know, you go to Katherine or something like that. There's a concentration of Aboriginal people in one area. . . there's you know thousands living around, they're not far away from it. But here where we've got an AMS, we're scattered. We've got communities that are small and scattered. Right. So having a big AMS in one area is not the solution. That's my belief, right? Yeah. And I always thought it should, should be like a brokerage type service in an area like this.</w:t>
      </w:r>
    </w:p>
    <w:p w14:paraId="3E705809" w14:textId="1ED8FA7C" w:rsidR="00361E13" w:rsidRPr="00884FAA" w:rsidRDefault="00361E13" w:rsidP="009E3E96">
      <w:pPr>
        <w:spacing w:before="120"/>
        <w:jc w:val="right"/>
        <w:rPr>
          <w:b/>
          <w:bCs/>
        </w:rPr>
      </w:pPr>
      <w:r w:rsidRPr="00884FAA">
        <w:rPr>
          <w:b/>
          <w:bCs/>
        </w:rPr>
        <w:t xml:space="preserve">Community member </w:t>
      </w:r>
    </w:p>
    <w:p w14:paraId="23177DB0" w14:textId="15363082" w:rsidR="005C490E" w:rsidRPr="00884FAA" w:rsidRDefault="005C490E" w:rsidP="005C490E">
      <w:r w:rsidRPr="00884FAA">
        <w:lastRenderedPageBreak/>
        <w:t xml:space="preserve">The importance of </w:t>
      </w:r>
      <w:r w:rsidRPr="00884FAA" w:rsidDel="002100BB">
        <w:t>place</w:t>
      </w:r>
      <w:r w:rsidR="002100BB" w:rsidRPr="00884FAA">
        <w:t>-based</w:t>
      </w:r>
      <w:r w:rsidRPr="00884FAA">
        <w:t xml:space="preserve"> program delivery relevant to local contexts was also </w:t>
      </w:r>
      <w:r w:rsidR="00F736D8">
        <w:t>identified</w:t>
      </w:r>
      <w:r w:rsidR="00E74B57">
        <w:t xml:space="preserve"> by participants in community yarns</w:t>
      </w:r>
      <w:r w:rsidRPr="00884FAA">
        <w:t xml:space="preserve">. Community members explained the importance of tailoring or adapting programs that are being scaled up or rolled out to ensure their uptake and success in different communities. This was illustrated by </w:t>
      </w:r>
      <w:r w:rsidR="00315EAE" w:rsidRPr="00884FAA">
        <w:t>a</w:t>
      </w:r>
      <w:r w:rsidR="00CF77F3">
        <w:t xml:space="preserve">n Elder’s </w:t>
      </w:r>
      <w:r w:rsidRPr="00884FAA">
        <w:t xml:space="preserve">concerns </w:t>
      </w:r>
      <w:r w:rsidR="00CB1F0C">
        <w:t>about</w:t>
      </w:r>
      <w:r w:rsidR="00CB1F0C" w:rsidRPr="00884FAA">
        <w:t xml:space="preserve"> </w:t>
      </w:r>
      <w:r w:rsidRPr="00884FAA">
        <w:t>programs being rolled out to their community without consideration of adaptation</w:t>
      </w:r>
      <w:r w:rsidR="002D38E3" w:rsidRPr="00884FAA">
        <w:t xml:space="preserve"> to local need</w:t>
      </w:r>
      <w:r w:rsidR="00166D22" w:rsidRPr="00884FAA">
        <w:t xml:space="preserve"> and context</w:t>
      </w:r>
      <w:r w:rsidR="00315EAE" w:rsidRPr="00884FAA">
        <w:t>.</w:t>
      </w:r>
    </w:p>
    <w:p w14:paraId="267755BA" w14:textId="1F9BA5DA" w:rsidR="00166D22" w:rsidRPr="00A1178E" w:rsidRDefault="005C490E" w:rsidP="009E3E96">
      <w:pPr>
        <w:pStyle w:val="Quote"/>
        <w:keepLines/>
        <w:spacing w:after="0"/>
        <w:rPr>
          <w:color w:val="18525E" w:themeColor="accent5" w:themeShade="80"/>
        </w:rPr>
      </w:pPr>
      <w:r w:rsidRPr="00A1178E">
        <w:rPr>
          <w:color w:val="18525E" w:themeColor="accent5" w:themeShade="80"/>
        </w:rPr>
        <w:t xml:space="preserve">Red dust isn’t our </w:t>
      </w:r>
      <w:r w:rsidR="00272868" w:rsidRPr="00A1178E">
        <w:rPr>
          <w:color w:val="18525E" w:themeColor="accent5" w:themeShade="80"/>
        </w:rPr>
        <w:t>C</w:t>
      </w:r>
      <w:r w:rsidRPr="00A1178E">
        <w:rPr>
          <w:color w:val="18525E" w:themeColor="accent5" w:themeShade="80"/>
        </w:rPr>
        <w:t xml:space="preserve">ountry. But you know that us fellows here, Kooris. We've got a different language and different ways to the Noongars, to the Bardi people. You know, all around. We got that different way of addressing how our people are and how we feel. It’d be well worth it to adapt it to that area. </w:t>
      </w:r>
    </w:p>
    <w:p w14:paraId="35805F52" w14:textId="4C8ED87D" w:rsidR="009E3E96" w:rsidRPr="00884FAA" w:rsidRDefault="009E3E96" w:rsidP="009E3E96">
      <w:pPr>
        <w:keepLines/>
        <w:spacing w:before="120"/>
        <w:jc w:val="right"/>
        <w:rPr>
          <w:b/>
          <w:bCs/>
        </w:rPr>
      </w:pPr>
      <w:r w:rsidRPr="00884FAA">
        <w:rPr>
          <w:b/>
          <w:bCs/>
        </w:rPr>
        <w:t xml:space="preserve">Community </w:t>
      </w:r>
      <w:r w:rsidR="006A3FF3">
        <w:rPr>
          <w:b/>
          <w:bCs/>
        </w:rPr>
        <w:t>Elder</w:t>
      </w:r>
    </w:p>
    <w:p w14:paraId="5CC7D75B" w14:textId="134883B5" w:rsidR="00164ACD" w:rsidRPr="00884FAA" w:rsidRDefault="003343C6" w:rsidP="005C490E">
      <w:r w:rsidRPr="00884FAA">
        <w:t xml:space="preserve">Health service design and delivery </w:t>
      </w:r>
      <w:r w:rsidR="004B2D2A">
        <w:t>that is</w:t>
      </w:r>
      <w:r w:rsidR="004B2D2A" w:rsidRPr="00884FAA">
        <w:t xml:space="preserve"> </w:t>
      </w:r>
      <w:r w:rsidRPr="00884FAA">
        <w:t>agile enough to respond to local cyclic (cultural protocols, seasonal influences) or emergent changes (social or economic changes, or disaster response)</w:t>
      </w:r>
      <w:r w:rsidR="004B2D2A">
        <w:t xml:space="preserve"> </w:t>
      </w:r>
      <w:r w:rsidR="00CF180E">
        <w:t>i</w:t>
      </w:r>
      <w:r w:rsidR="004B2D2A">
        <w:t>s valued by Aboriginal and Torres Strait Islander people</w:t>
      </w:r>
      <w:r w:rsidRPr="00884FAA">
        <w:t>.</w:t>
      </w:r>
      <w:r w:rsidR="00024096" w:rsidRPr="00884FAA">
        <w:t xml:space="preserve"> Simi</w:t>
      </w:r>
      <w:r w:rsidR="00A56998" w:rsidRPr="00884FAA">
        <w:t>larly</w:t>
      </w:r>
      <w:r w:rsidR="00024096" w:rsidRPr="00884FAA">
        <w:t>, t</w:t>
      </w:r>
      <w:r w:rsidR="005C490E" w:rsidRPr="00884FAA">
        <w:t xml:space="preserve">he bottle tree </w:t>
      </w:r>
      <w:r w:rsidR="00CA3B4A">
        <w:t>can</w:t>
      </w:r>
      <w:r w:rsidR="005C490E" w:rsidRPr="00884FAA">
        <w:t xml:space="preserve"> quickly respond to changes in its environment through responsive characteristics such as those that allow it to swiftly reduce water loss </w:t>
      </w:r>
      <w:r w:rsidR="00025DA9" w:rsidRPr="00884FAA">
        <w:fldChar w:fldCharType="begin"/>
      </w:r>
      <w:r w:rsidR="00F8760E">
        <w:instrText xml:space="preserve"> ADDIN ZOTERO_ITEM CSL_CITATION {"citationID":"q3gmCxcy","properties":{"formattedCitation":"(Reynolds et al., 2018)","plainCitation":"(Reynolds et al., 2018)","noteIndex":0},"citationItems":[{"id":3747,"uris":["http://zotero.org/groups/5010721/items/WKMFKXMG",["http://zotero.org/groups/5010721/items/WKMFKXMG"],["http://zotero.org/groups/5010721/items/WKMFKXMG",["http://zotero.org/groups/5010721/items/WKMFKXMG"]]],"itemData":{"id":3747,"type":"article-journal","container-title":"Tree physiology","issue":"5","page":"664-677","title":"Unexpected drought resistance strategies in seedlings of four Brachychiton species","volume":"38","author":[{"family":"Reynolds","given":"V.A."},{"family":"Anderegg","given":"L. D."},{"family":"Loy","given":"X."},{"family":"HilleRisLamders","given":"J."},{"family":"Mayfield","given":"M. M."}],"issued":{"date-parts":[["2018"]]}}}],"schema":"https://github.com/citation-style-language/schema/raw/master/csl-citation.json"} </w:instrText>
      </w:r>
      <w:r w:rsidR="00025DA9" w:rsidRPr="00884FAA">
        <w:fldChar w:fldCharType="separate"/>
      </w:r>
      <w:r w:rsidR="00383130" w:rsidRPr="00383130">
        <w:rPr>
          <w:rFonts w:ascii="Arial" w:hAnsi="Arial" w:cs="Arial"/>
        </w:rPr>
        <w:t>(Reynolds et al., 2018)</w:t>
      </w:r>
      <w:r w:rsidR="00025DA9" w:rsidRPr="00884FAA">
        <w:fldChar w:fldCharType="end"/>
      </w:r>
      <w:r w:rsidR="005C490E" w:rsidRPr="00884FAA">
        <w:t xml:space="preserve">. </w:t>
      </w:r>
    </w:p>
    <w:p w14:paraId="6D9B5783" w14:textId="66614AC9" w:rsidR="005C490E" w:rsidRPr="00884FAA" w:rsidRDefault="005C490E" w:rsidP="005C490E">
      <w:r w:rsidRPr="00884FAA">
        <w:t>The COVID</w:t>
      </w:r>
      <w:r w:rsidR="00776703" w:rsidRPr="00884FAA">
        <w:t>-</w:t>
      </w:r>
      <w:r w:rsidRPr="00884FAA">
        <w:t xml:space="preserve">19 pandemic, disasters such as fires and floods, and social or economic influences such as the Cashless Debit Card had created impactful and recent experiences of situations that </w:t>
      </w:r>
      <w:r w:rsidR="00164ACD" w:rsidRPr="00884FAA">
        <w:t xml:space="preserve">forced </w:t>
      </w:r>
      <w:r w:rsidRPr="00884FAA">
        <w:t>health system</w:t>
      </w:r>
      <w:r w:rsidR="00164ACD" w:rsidRPr="00884FAA">
        <w:t>s</w:t>
      </w:r>
      <w:r w:rsidRPr="00884FAA">
        <w:t xml:space="preserve"> to </w:t>
      </w:r>
      <w:r w:rsidR="00A11EB6" w:rsidRPr="00884FAA">
        <w:t>stage a quick response</w:t>
      </w:r>
      <w:r w:rsidRPr="00884FAA">
        <w:t xml:space="preserve">. Community </w:t>
      </w:r>
      <w:r w:rsidR="007C3CE8" w:rsidRPr="00884FAA">
        <w:t>members</w:t>
      </w:r>
      <w:r w:rsidRPr="00884FAA">
        <w:t xml:space="preserve"> shared experiences from each of these diverse circumstances </w:t>
      </w:r>
      <w:r w:rsidR="00C00479" w:rsidRPr="00884FAA">
        <w:t xml:space="preserve">as </w:t>
      </w:r>
      <w:r w:rsidRPr="00884FAA">
        <w:t xml:space="preserve">evidence </w:t>
      </w:r>
      <w:r w:rsidR="00C00479" w:rsidRPr="00884FAA">
        <w:t xml:space="preserve">of the </w:t>
      </w:r>
      <w:r w:rsidRPr="00884FAA">
        <w:t xml:space="preserve">importance of agile and responsive </w:t>
      </w:r>
      <w:r w:rsidR="00807F93" w:rsidRPr="00884FAA">
        <w:t>health care</w:t>
      </w:r>
      <w:r w:rsidRPr="00884FAA">
        <w:t xml:space="preserve">. </w:t>
      </w:r>
      <w:r w:rsidR="00382FA3">
        <w:t>H</w:t>
      </w:r>
      <w:r w:rsidR="00315EAE" w:rsidRPr="00884FAA">
        <w:t>ealth</w:t>
      </w:r>
      <w:r w:rsidR="001056F7" w:rsidRPr="00884FAA">
        <w:t xml:space="preserve"> </w:t>
      </w:r>
      <w:r w:rsidR="00315EAE" w:rsidRPr="00884FAA">
        <w:t>care</w:t>
      </w:r>
      <w:r w:rsidRPr="00884FAA">
        <w:t xml:space="preserve"> responses that were </w:t>
      </w:r>
      <w:r w:rsidR="00EA60DD" w:rsidRPr="00884FAA">
        <w:t xml:space="preserve">most </w:t>
      </w:r>
      <w:r w:rsidRPr="00884FAA">
        <w:t xml:space="preserve">valued </w:t>
      </w:r>
      <w:r w:rsidR="00382FA3">
        <w:t xml:space="preserve">by participants </w:t>
      </w:r>
      <w:r w:rsidR="00E75E9B" w:rsidRPr="00884FAA">
        <w:t xml:space="preserve">during these crises were those that </w:t>
      </w:r>
      <w:r w:rsidRPr="00884FAA">
        <w:t>helped people meet basic needs, provided clear communication of information and health advice relevant to the situation</w:t>
      </w:r>
      <w:r w:rsidR="00572CE2" w:rsidRPr="00884FAA">
        <w:t>,</w:t>
      </w:r>
      <w:r w:rsidRPr="00884FAA">
        <w:t xml:space="preserve"> and adapted the way services were provided or could be accessed. One community</w:t>
      </w:r>
      <w:r w:rsidRPr="00884FAA" w:rsidDel="00B0255D">
        <w:t xml:space="preserve"> </w:t>
      </w:r>
      <w:r w:rsidR="00B0255D">
        <w:t>representative</w:t>
      </w:r>
      <w:r w:rsidR="00B0255D" w:rsidRPr="00884FAA">
        <w:t xml:space="preserve"> </w:t>
      </w:r>
      <w:r w:rsidRPr="00884FAA">
        <w:t>described how their ACCH</w:t>
      </w:r>
      <w:r w:rsidR="00735790" w:rsidRPr="00884FAA">
        <w:t>S</w:t>
      </w:r>
      <w:r w:rsidRPr="00884FAA" w:rsidDel="0086194D">
        <w:t xml:space="preserve"> </w:t>
      </w:r>
      <w:r w:rsidRPr="00884FAA">
        <w:t xml:space="preserve">responded to support the health and wellbeing of </w:t>
      </w:r>
      <w:r w:rsidR="00735790" w:rsidRPr="00884FAA">
        <w:t>E</w:t>
      </w:r>
      <w:r w:rsidRPr="00884FAA">
        <w:t xml:space="preserve">lders during </w:t>
      </w:r>
      <w:r w:rsidR="0086194D">
        <w:t xml:space="preserve">COVID </w:t>
      </w:r>
      <w:r w:rsidRPr="00884FAA">
        <w:t>lockdown</w:t>
      </w:r>
      <w:r w:rsidR="002760DD">
        <w:t>:</w:t>
      </w:r>
    </w:p>
    <w:p w14:paraId="39B04322" w14:textId="2BE5189E" w:rsidR="00E75E9B" w:rsidRPr="00A1178E" w:rsidRDefault="005C490E" w:rsidP="009E3E96">
      <w:pPr>
        <w:pStyle w:val="Quote"/>
        <w:spacing w:after="0"/>
        <w:rPr>
          <w:color w:val="18525E" w:themeColor="accent5" w:themeShade="80"/>
        </w:rPr>
      </w:pPr>
      <w:r w:rsidRPr="00A1178E">
        <w:rPr>
          <w:color w:val="18525E" w:themeColor="accent5" w:themeShade="80"/>
        </w:rPr>
        <w:t xml:space="preserve">In the last 12 months, through the pandemic, one of the ways we’ve distinguished ourselves from other services, is we have the </w:t>
      </w:r>
      <w:r w:rsidR="00312693" w:rsidRPr="00A1178E">
        <w:rPr>
          <w:color w:val="18525E" w:themeColor="accent5" w:themeShade="80"/>
        </w:rPr>
        <w:t>E</w:t>
      </w:r>
      <w:r w:rsidRPr="00A1178E">
        <w:rPr>
          <w:color w:val="18525E" w:themeColor="accent5" w:themeShade="80"/>
        </w:rPr>
        <w:t xml:space="preserve">lder support program. The </w:t>
      </w:r>
      <w:r w:rsidR="00312693" w:rsidRPr="00A1178E">
        <w:rPr>
          <w:color w:val="18525E" w:themeColor="accent5" w:themeShade="80"/>
        </w:rPr>
        <w:t>E</w:t>
      </w:r>
      <w:r w:rsidRPr="00A1178E">
        <w:rPr>
          <w:color w:val="18525E" w:themeColor="accent5" w:themeShade="80"/>
        </w:rPr>
        <w:t xml:space="preserve">lder support program was almost a, just a safety net from the heart health program. We couldn’t engage with the community anymore, because of what’s that, physical restrictions. They couldn’t come to us, in our conference room, but we’re aware that there is a health risk when people are socially isolated, that they are not engaging with health services. So, we came up with a strategy of looking at supporting elders in the community. We would go out to their homes, support them in </w:t>
      </w:r>
      <w:r w:rsidR="00C647A8" w:rsidRPr="00A1178E">
        <w:rPr>
          <w:color w:val="18525E" w:themeColor="accent5" w:themeShade="80"/>
        </w:rPr>
        <w:t>…</w:t>
      </w:r>
      <w:r w:rsidRPr="00A1178E">
        <w:rPr>
          <w:color w:val="18525E" w:themeColor="accent5" w:themeShade="80"/>
        </w:rPr>
        <w:t xml:space="preserve"> their basic health needs. For example, there was a time, almost the whole of [location] ran out of toilet paper, and we would purchase that and assist the elderly clients to be able to have those basics. They don’t have to leave home. They don’t have to be questioned. That can trigger some post-traumatic stress for some people. Also, they are still engaged with us and we’re able to look after their health.</w:t>
      </w:r>
    </w:p>
    <w:p w14:paraId="7B7934C6" w14:textId="387DE562" w:rsidR="005C490E" w:rsidRPr="00884FAA" w:rsidRDefault="005C490E" w:rsidP="0081351B">
      <w:pPr>
        <w:pStyle w:val="Quote"/>
        <w:spacing w:before="120" w:after="360"/>
        <w:ind w:left="562"/>
        <w:jc w:val="right"/>
        <w:rPr>
          <w:b/>
          <w:bCs/>
          <w:color w:val="auto"/>
        </w:rPr>
      </w:pPr>
      <w:r w:rsidRPr="006B54FE">
        <w:rPr>
          <w:b/>
          <w:color w:val="auto"/>
        </w:rPr>
        <w:t xml:space="preserve">Community </w:t>
      </w:r>
      <w:r w:rsidR="00B0255D">
        <w:rPr>
          <w:b/>
          <w:color w:val="auto"/>
        </w:rPr>
        <w:t>representative</w:t>
      </w:r>
    </w:p>
    <w:p w14:paraId="73EA7741" w14:textId="110F6975" w:rsidR="005C490E" w:rsidRPr="00884FAA" w:rsidRDefault="005C490E" w:rsidP="005C490E">
      <w:r w:rsidRPr="00884FAA">
        <w:t xml:space="preserve">Often what was most valued by community members was </w:t>
      </w:r>
      <w:r w:rsidR="00C70410" w:rsidRPr="00884FAA">
        <w:t>health</w:t>
      </w:r>
      <w:r w:rsidRPr="00884FAA">
        <w:t xml:space="preserve"> services </w:t>
      </w:r>
      <w:r w:rsidR="00824F25">
        <w:t xml:space="preserve">staff </w:t>
      </w:r>
      <w:r w:rsidRPr="00884FAA">
        <w:t>checking in on people’s wellbeing and ensuring they remained connected and cared for.</w:t>
      </w:r>
    </w:p>
    <w:p w14:paraId="04EDE50A" w14:textId="57ECF4A2" w:rsidR="005C490E" w:rsidRPr="00884FAA" w:rsidRDefault="002619E9" w:rsidP="0035030F">
      <w:pPr>
        <w:pStyle w:val="Heading2"/>
      </w:pPr>
      <w:bookmarkStart w:id="143" w:name="_Toc137208905"/>
      <w:r w:rsidRPr="002619E9">
        <w:lastRenderedPageBreak/>
        <w:t>Delivery of primary health</w:t>
      </w:r>
      <w:r w:rsidR="000B7B14">
        <w:t xml:space="preserve"> </w:t>
      </w:r>
      <w:r w:rsidRPr="002619E9">
        <w:t>care from easily identified and accessible spaces</w:t>
      </w:r>
      <w:bookmarkEnd w:id="143"/>
      <w:r w:rsidRPr="002619E9">
        <w:t xml:space="preserve"> </w:t>
      </w:r>
    </w:p>
    <w:p w14:paraId="759DABB4" w14:textId="66ADB62D" w:rsidR="00F96901" w:rsidRPr="00884FAA" w:rsidRDefault="005C490E" w:rsidP="005C490E">
      <w:r w:rsidRPr="00884FAA">
        <w:t xml:space="preserve">Aboriginal and Torres Strait Islander people value health services that are accessible in </w:t>
      </w:r>
      <w:r w:rsidR="001E4BA3" w:rsidRPr="00884FAA">
        <w:t>a</w:t>
      </w:r>
      <w:r w:rsidRPr="00884FAA">
        <w:t xml:space="preserve"> broad sense of the term. Five components of accessibility were distinguished within the data that interacted and varied in how they manifested </w:t>
      </w:r>
      <w:r w:rsidR="003B2189" w:rsidRPr="00884FAA">
        <w:t>in</w:t>
      </w:r>
      <w:r w:rsidRPr="00884FAA">
        <w:t xml:space="preserve"> different contexts. </w:t>
      </w:r>
      <w:r w:rsidR="00807F93" w:rsidRPr="00884FAA">
        <w:t>Health care</w:t>
      </w:r>
      <w:r w:rsidR="003B4838" w:rsidRPr="00884FAA">
        <w:t xml:space="preserve"> </w:t>
      </w:r>
      <w:r w:rsidR="002C6360" w:rsidRPr="00884FAA">
        <w:t xml:space="preserve">services </w:t>
      </w:r>
      <w:r w:rsidR="003B4838" w:rsidRPr="00884FAA">
        <w:t>need to ensure people are: (</w:t>
      </w:r>
      <w:r w:rsidR="001F3CF9">
        <w:t>1</w:t>
      </w:r>
      <w:r w:rsidR="003B4838" w:rsidRPr="00884FAA">
        <w:t>) aware of health services, (</w:t>
      </w:r>
      <w:r w:rsidR="001F3CF9">
        <w:t>2</w:t>
      </w:r>
      <w:r w:rsidR="003B4838" w:rsidRPr="00884FAA">
        <w:t>) able to access the service, (</w:t>
      </w:r>
      <w:r w:rsidR="001F3CF9">
        <w:t>3</w:t>
      </w:r>
      <w:r w:rsidR="003B4838" w:rsidRPr="00884FAA">
        <w:t xml:space="preserve">) with the resources available to them, </w:t>
      </w:r>
      <w:r w:rsidR="001D036D" w:rsidRPr="00884FAA">
        <w:t xml:space="preserve">and that </w:t>
      </w:r>
      <w:r w:rsidR="00FA049B" w:rsidRPr="00884FAA">
        <w:t xml:space="preserve">services are provided </w:t>
      </w:r>
      <w:r w:rsidR="003B4838" w:rsidRPr="00884FAA">
        <w:t>(</w:t>
      </w:r>
      <w:r w:rsidR="00B8024C">
        <w:t>4</w:t>
      </w:r>
      <w:r w:rsidR="003B4838" w:rsidRPr="00884FAA">
        <w:t xml:space="preserve">) when </w:t>
      </w:r>
      <w:r w:rsidR="00FA049B" w:rsidRPr="00884FAA">
        <w:t>people</w:t>
      </w:r>
      <w:r w:rsidR="003B4838" w:rsidRPr="00884FAA">
        <w:t xml:space="preserve"> need t</w:t>
      </w:r>
      <w:r w:rsidR="00FA049B" w:rsidRPr="00884FAA">
        <w:t>hem</w:t>
      </w:r>
      <w:r w:rsidR="003B4838" w:rsidRPr="00884FAA">
        <w:t>,</w:t>
      </w:r>
      <w:r w:rsidR="00FA049B" w:rsidRPr="00884FAA">
        <w:t xml:space="preserve"> and</w:t>
      </w:r>
      <w:r w:rsidR="003B4838" w:rsidRPr="00884FAA">
        <w:t xml:space="preserve"> (</w:t>
      </w:r>
      <w:r w:rsidR="00B8024C">
        <w:t>5</w:t>
      </w:r>
      <w:r w:rsidR="003B4838" w:rsidRPr="00884FAA">
        <w:t>)</w:t>
      </w:r>
      <w:r w:rsidR="00FA049B" w:rsidRPr="00884FAA">
        <w:t xml:space="preserve"> </w:t>
      </w:r>
      <w:r w:rsidR="003B4838" w:rsidRPr="00884FAA">
        <w:t>in an acceptable way</w:t>
      </w:r>
      <w:r w:rsidR="001F53AB" w:rsidRPr="00884FAA">
        <w:t>.</w:t>
      </w:r>
      <w:r w:rsidR="003B4838" w:rsidRPr="005D1C41">
        <w:rPr>
          <w:rStyle w:val="FootnoteReference"/>
        </w:rPr>
        <w:footnoteReference w:id="28"/>
      </w:r>
      <w:r w:rsidR="00F96901" w:rsidRPr="00884FAA">
        <w:t xml:space="preserve"> </w:t>
      </w:r>
    </w:p>
    <w:p w14:paraId="35785DD1" w14:textId="6D51303D" w:rsidR="005C490E" w:rsidRDefault="00492B91" w:rsidP="006B7B82">
      <w:r w:rsidRPr="00884FAA">
        <w:t>These</w:t>
      </w:r>
      <w:r w:rsidR="009C7830" w:rsidRPr="00884FAA">
        <w:t xml:space="preserve"> elements of accessibility</w:t>
      </w:r>
      <w:r w:rsidRPr="00884FAA">
        <w:t xml:space="preserve"> </w:t>
      </w:r>
      <w:r w:rsidR="005C490E" w:rsidRPr="00884FAA">
        <w:t xml:space="preserve">are </w:t>
      </w:r>
      <w:r w:rsidR="009C7830" w:rsidRPr="00884FAA">
        <w:t xml:space="preserve">represented </w:t>
      </w:r>
      <w:r w:rsidR="005C490E" w:rsidRPr="00884FAA">
        <w:t>by the canopy of</w:t>
      </w:r>
      <w:r w:rsidR="00FA1A47">
        <w:t xml:space="preserve"> </w:t>
      </w:r>
      <w:r w:rsidR="005C490E" w:rsidRPr="00884FAA">
        <w:t xml:space="preserve">Babuny. A tree’s canopy </w:t>
      </w:r>
      <w:r w:rsidR="009C7830" w:rsidRPr="00884FAA">
        <w:t xml:space="preserve">can </w:t>
      </w:r>
      <w:r w:rsidR="005C490E" w:rsidRPr="00884FAA">
        <w:t xml:space="preserve">be seen across the landscape and </w:t>
      </w:r>
      <w:r w:rsidR="009C7830" w:rsidRPr="00884FAA">
        <w:t xml:space="preserve">is </w:t>
      </w:r>
      <w:r w:rsidR="005C490E" w:rsidRPr="00884FAA">
        <w:t xml:space="preserve">recognised as a potential space of shelter and resources if you are able to reach it. </w:t>
      </w:r>
    </w:p>
    <w:p w14:paraId="7AF4A3FC" w14:textId="15380ECA" w:rsidR="001B415C" w:rsidRDefault="001B415C" w:rsidP="001B415C">
      <w:pPr>
        <w:pStyle w:val="Caption"/>
        <w:keepNext/>
        <w:jc w:val="left"/>
      </w:pPr>
      <w:bookmarkStart w:id="144" w:name="_Toc138851329"/>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3</w:t>
      </w:r>
      <w:r w:rsidR="005B4A4F">
        <w:fldChar w:fldCharType="end"/>
      </w:r>
      <w:r w:rsidR="00C67475">
        <w:t>.</w:t>
      </w:r>
      <w:r>
        <w:t xml:space="preserve"> Babuny framework spotlight on awareness, affordable, accessible, available, accessible</w:t>
      </w:r>
      <w:bookmarkEnd w:id="144"/>
    </w:p>
    <w:p w14:paraId="6A2D6AA2" w14:textId="683B42B1" w:rsidR="00433F94" w:rsidRPr="00884FAA" w:rsidRDefault="00433F94" w:rsidP="00FF4B9C">
      <w:pPr>
        <w:jc w:val="center"/>
      </w:pPr>
      <w:r w:rsidRPr="00433F94">
        <w:rPr>
          <w:noProof/>
        </w:rPr>
        <w:drawing>
          <wp:inline distT="0" distB="0" distL="0" distR="0" wp14:anchorId="447A684D" wp14:editId="75697150">
            <wp:extent cx="4558666" cy="2438074"/>
            <wp:effectExtent l="38100" t="38100" r="32385" b="38735"/>
            <wp:docPr id="8" name="Picture 8">
              <a:extLst xmlns:a="http://schemas.openxmlformats.org/drawingml/2006/main">
                <a:ext uri="{FF2B5EF4-FFF2-40B4-BE49-F238E27FC236}">
                  <a16:creationId xmlns:a16="http://schemas.microsoft.com/office/drawing/2014/main" id="{E936C783-A624-1E4B-4BAE-1946530C390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FF2B5EF4-FFF2-40B4-BE49-F238E27FC236}">
                          <a16:creationId xmlns:a16="http://schemas.microsoft.com/office/drawing/2014/main" id="{E936C783-A624-1E4B-4BAE-1946530C3904}"/>
                        </a:ext>
                        <a:ext uri="{C183D7F6-B498-43B3-948B-1728B52AA6E4}">
                          <adec:decorative xmlns:adec="http://schemas.microsoft.com/office/drawing/2017/decorative" val="1"/>
                        </a:ext>
                      </a:extLst>
                    </pic:cNvPr>
                    <pic:cNvPicPr>
                      <a:picLocks noChangeAspect="1"/>
                    </pic:cNvPicPr>
                  </pic:nvPicPr>
                  <pic:blipFill rotWithShape="1">
                    <a:blip r:embed="rId94"/>
                    <a:srcRect l="-2778" t="915" r="-2780" b="52632"/>
                    <a:stretch/>
                  </pic:blipFill>
                  <pic:spPr bwMode="auto">
                    <a:xfrm>
                      <a:off x="0" y="0"/>
                      <a:ext cx="4560107" cy="2438845"/>
                    </a:xfrm>
                    <a:custGeom>
                      <a:avLst/>
                      <a:gdLst>
                        <a:gd name="connsiteX0" fmla="*/ 0 w 4123799"/>
                        <a:gd name="connsiteY0" fmla="*/ 0 h 2221983"/>
                        <a:gd name="connsiteX1" fmla="*/ 646062 w 4123799"/>
                        <a:gd name="connsiteY1" fmla="*/ 0 h 2221983"/>
                        <a:gd name="connsiteX2" fmla="*/ 1250886 w 4123799"/>
                        <a:gd name="connsiteY2" fmla="*/ 0 h 2221983"/>
                        <a:gd name="connsiteX3" fmla="*/ 1979424 w 4123799"/>
                        <a:gd name="connsiteY3" fmla="*/ 0 h 2221983"/>
                        <a:gd name="connsiteX4" fmla="*/ 2666723 w 4123799"/>
                        <a:gd name="connsiteY4" fmla="*/ 0 h 2221983"/>
                        <a:gd name="connsiteX5" fmla="*/ 3354023 w 4123799"/>
                        <a:gd name="connsiteY5" fmla="*/ 0 h 2221983"/>
                        <a:gd name="connsiteX6" fmla="*/ 4123799 w 4123799"/>
                        <a:gd name="connsiteY6" fmla="*/ 0 h 2221983"/>
                        <a:gd name="connsiteX7" fmla="*/ 4123799 w 4123799"/>
                        <a:gd name="connsiteY7" fmla="*/ 577716 h 2221983"/>
                        <a:gd name="connsiteX8" fmla="*/ 4123799 w 4123799"/>
                        <a:gd name="connsiteY8" fmla="*/ 1088772 h 2221983"/>
                        <a:gd name="connsiteX9" fmla="*/ 4123799 w 4123799"/>
                        <a:gd name="connsiteY9" fmla="*/ 1666487 h 2221983"/>
                        <a:gd name="connsiteX10" fmla="*/ 4123799 w 4123799"/>
                        <a:gd name="connsiteY10" fmla="*/ 2221983 h 2221983"/>
                        <a:gd name="connsiteX11" fmla="*/ 3395261 w 4123799"/>
                        <a:gd name="connsiteY11" fmla="*/ 2221983 h 2221983"/>
                        <a:gd name="connsiteX12" fmla="*/ 2666723 w 4123799"/>
                        <a:gd name="connsiteY12" fmla="*/ 2221983 h 2221983"/>
                        <a:gd name="connsiteX13" fmla="*/ 1896948 w 4123799"/>
                        <a:gd name="connsiteY13" fmla="*/ 2221983 h 2221983"/>
                        <a:gd name="connsiteX14" fmla="*/ 1250886 w 4123799"/>
                        <a:gd name="connsiteY14" fmla="*/ 2221983 h 2221983"/>
                        <a:gd name="connsiteX15" fmla="*/ 0 w 4123799"/>
                        <a:gd name="connsiteY15" fmla="*/ 2221983 h 2221983"/>
                        <a:gd name="connsiteX16" fmla="*/ 0 w 4123799"/>
                        <a:gd name="connsiteY16" fmla="*/ 1710927 h 2221983"/>
                        <a:gd name="connsiteX17" fmla="*/ 0 w 4123799"/>
                        <a:gd name="connsiteY17" fmla="*/ 1155431 h 2221983"/>
                        <a:gd name="connsiteX18" fmla="*/ 0 w 4123799"/>
                        <a:gd name="connsiteY18" fmla="*/ 577716 h 2221983"/>
                        <a:gd name="connsiteX19" fmla="*/ 0 w 4123799"/>
                        <a:gd name="connsiteY19" fmla="*/ 0 h 22219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123799" h="2221983" fill="none" extrusionOk="0">
                          <a:moveTo>
                            <a:pt x="0" y="0"/>
                          </a:moveTo>
                          <a:cubicBezTo>
                            <a:pt x="319878" y="-7636"/>
                            <a:pt x="514993" y="-14954"/>
                            <a:pt x="646062" y="0"/>
                          </a:cubicBezTo>
                          <a:cubicBezTo>
                            <a:pt x="777131" y="14954"/>
                            <a:pt x="1060385" y="14163"/>
                            <a:pt x="1250886" y="0"/>
                          </a:cubicBezTo>
                          <a:cubicBezTo>
                            <a:pt x="1441387" y="-14163"/>
                            <a:pt x="1627282" y="32429"/>
                            <a:pt x="1979424" y="0"/>
                          </a:cubicBezTo>
                          <a:cubicBezTo>
                            <a:pt x="2331566" y="-32429"/>
                            <a:pt x="2369241" y="-10562"/>
                            <a:pt x="2666723" y="0"/>
                          </a:cubicBezTo>
                          <a:cubicBezTo>
                            <a:pt x="2964205" y="10562"/>
                            <a:pt x="3045899" y="-16806"/>
                            <a:pt x="3354023" y="0"/>
                          </a:cubicBezTo>
                          <a:cubicBezTo>
                            <a:pt x="3662147" y="16806"/>
                            <a:pt x="3869605" y="33186"/>
                            <a:pt x="4123799" y="0"/>
                          </a:cubicBezTo>
                          <a:cubicBezTo>
                            <a:pt x="4107431" y="273944"/>
                            <a:pt x="4113148" y="336154"/>
                            <a:pt x="4123799" y="577716"/>
                          </a:cubicBezTo>
                          <a:cubicBezTo>
                            <a:pt x="4134450" y="819278"/>
                            <a:pt x="4135261" y="867706"/>
                            <a:pt x="4123799" y="1088772"/>
                          </a:cubicBezTo>
                          <a:cubicBezTo>
                            <a:pt x="4112337" y="1309838"/>
                            <a:pt x="4099284" y="1442960"/>
                            <a:pt x="4123799" y="1666487"/>
                          </a:cubicBezTo>
                          <a:cubicBezTo>
                            <a:pt x="4148314" y="1890015"/>
                            <a:pt x="4149809" y="1959028"/>
                            <a:pt x="4123799" y="2221983"/>
                          </a:cubicBezTo>
                          <a:cubicBezTo>
                            <a:pt x="3859969" y="2185773"/>
                            <a:pt x="3701097" y="2205184"/>
                            <a:pt x="3395261" y="2221983"/>
                          </a:cubicBezTo>
                          <a:cubicBezTo>
                            <a:pt x="3089425" y="2238782"/>
                            <a:pt x="2973410" y="2212244"/>
                            <a:pt x="2666723" y="2221983"/>
                          </a:cubicBezTo>
                          <a:cubicBezTo>
                            <a:pt x="2360036" y="2231722"/>
                            <a:pt x="2216436" y="2198435"/>
                            <a:pt x="1896948" y="2221983"/>
                          </a:cubicBezTo>
                          <a:cubicBezTo>
                            <a:pt x="1577461" y="2245531"/>
                            <a:pt x="1527347" y="2190973"/>
                            <a:pt x="1250886" y="2221983"/>
                          </a:cubicBezTo>
                          <a:cubicBezTo>
                            <a:pt x="974425" y="2252993"/>
                            <a:pt x="250224" y="2239955"/>
                            <a:pt x="0" y="2221983"/>
                          </a:cubicBezTo>
                          <a:cubicBezTo>
                            <a:pt x="-17087" y="2060276"/>
                            <a:pt x="-16529" y="1835888"/>
                            <a:pt x="0" y="1710927"/>
                          </a:cubicBezTo>
                          <a:cubicBezTo>
                            <a:pt x="16529" y="1585966"/>
                            <a:pt x="-12144" y="1318804"/>
                            <a:pt x="0" y="1155431"/>
                          </a:cubicBezTo>
                          <a:cubicBezTo>
                            <a:pt x="12144" y="992058"/>
                            <a:pt x="27894" y="771705"/>
                            <a:pt x="0" y="577716"/>
                          </a:cubicBezTo>
                          <a:cubicBezTo>
                            <a:pt x="-27894" y="383727"/>
                            <a:pt x="2697" y="218937"/>
                            <a:pt x="0" y="0"/>
                          </a:cubicBezTo>
                          <a:close/>
                        </a:path>
                        <a:path w="4123799" h="2221983" stroke="0" extrusionOk="0">
                          <a:moveTo>
                            <a:pt x="0" y="0"/>
                          </a:moveTo>
                          <a:cubicBezTo>
                            <a:pt x="261092" y="966"/>
                            <a:pt x="469203" y="26480"/>
                            <a:pt x="646062" y="0"/>
                          </a:cubicBezTo>
                          <a:cubicBezTo>
                            <a:pt x="822921" y="-26480"/>
                            <a:pt x="998497" y="18378"/>
                            <a:pt x="1209648" y="0"/>
                          </a:cubicBezTo>
                          <a:cubicBezTo>
                            <a:pt x="1420799" y="-18378"/>
                            <a:pt x="1680710" y="-21161"/>
                            <a:pt x="1979424" y="0"/>
                          </a:cubicBezTo>
                          <a:cubicBezTo>
                            <a:pt x="2278138" y="21161"/>
                            <a:pt x="2365900" y="-2497"/>
                            <a:pt x="2625485" y="0"/>
                          </a:cubicBezTo>
                          <a:cubicBezTo>
                            <a:pt x="2885070" y="2497"/>
                            <a:pt x="3090564" y="-26240"/>
                            <a:pt x="3271547" y="0"/>
                          </a:cubicBezTo>
                          <a:cubicBezTo>
                            <a:pt x="3452530" y="26240"/>
                            <a:pt x="3781468" y="26958"/>
                            <a:pt x="4123799" y="0"/>
                          </a:cubicBezTo>
                          <a:cubicBezTo>
                            <a:pt x="4109365" y="205575"/>
                            <a:pt x="4141464" y="257472"/>
                            <a:pt x="4123799" y="511056"/>
                          </a:cubicBezTo>
                          <a:cubicBezTo>
                            <a:pt x="4106134" y="764640"/>
                            <a:pt x="4131656" y="822663"/>
                            <a:pt x="4123799" y="1066552"/>
                          </a:cubicBezTo>
                          <a:cubicBezTo>
                            <a:pt x="4115942" y="1310441"/>
                            <a:pt x="4108521" y="1408694"/>
                            <a:pt x="4123799" y="1577608"/>
                          </a:cubicBezTo>
                          <a:cubicBezTo>
                            <a:pt x="4139077" y="1746522"/>
                            <a:pt x="4138090" y="2019550"/>
                            <a:pt x="4123799" y="2221983"/>
                          </a:cubicBezTo>
                          <a:cubicBezTo>
                            <a:pt x="3915542" y="2212827"/>
                            <a:pt x="3619198" y="2248534"/>
                            <a:pt x="3436499" y="2221983"/>
                          </a:cubicBezTo>
                          <a:cubicBezTo>
                            <a:pt x="3253800" y="2195432"/>
                            <a:pt x="3048243" y="2246789"/>
                            <a:pt x="2790437" y="2221983"/>
                          </a:cubicBezTo>
                          <a:cubicBezTo>
                            <a:pt x="2532631" y="2197177"/>
                            <a:pt x="2323610" y="2212578"/>
                            <a:pt x="2020662" y="2221983"/>
                          </a:cubicBezTo>
                          <a:cubicBezTo>
                            <a:pt x="1717715" y="2231388"/>
                            <a:pt x="1537310" y="2194656"/>
                            <a:pt x="1250886" y="2221983"/>
                          </a:cubicBezTo>
                          <a:cubicBezTo>
                            <a:pt x="964462" y="2249310"/>
                            <a:pt x="905747" y="2217317"/>
                            <a:pt x="646062" y="2221983"/>
                          </a:cubicBezTo>
                          <a:cubicBezTo>
                            <a:pt x="386377" y="2226649"/>
                            <a:pt x="184525" y="2242675"/>
                            <a:pt x="0" y="2221983"/>
                          </a:cubicBezTo>
                          <a:cubicBezTo>
                            <a:pt x="25688" y="1953971"/>
                            <a:pt x="-26538" y="1882661"/>
                            <a:pt x="0" y="1622048"/>
                          </a:cubicBezTo>
                          <a:cubicBezTo>
                            <a:pt x="26538" y="1361436"/>
                            <a:pt x="424" y="1239159"/>
                            <a:pt x="0" y="1133211"/>
                          </a:cubicBezTo>
                          <a:cubicBezTo>
                            <a:pt x="-424" y="1027263"/>
                            <a:pt x="-21117" y="847101"/>
                            <a:pt x="0" y="622155"/>
                          </a:cubicBezTo>
                          <a:cubicBezTo>
                            <a:pt x="21117" y="397209"/>
                            <a:pt x="6341" y="274650"/>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4D63BF" w14:textId="7647FA77" w:rsidR="006C3D47" w:rsidRPr="00884FAA" w:rsidRDefault="005C490E" w:rsidP="00651D06">
      <w:pPr>
        <w:pStyle w:val="Heading3"/>
      </w:pPr>
      <w:r w:rsidRPr="00884FAA">
        <w:t xml:space="preserve">Awareness </w:t>
      </w:r>
    </w:p>
    <w:p w14:paraId="65B3E2B5" w14:textId="2118A636" w:rsidR="005C490E" w:rsidRPr="00884FAA" w:rsidRDefault="00BD7A57" w:rsidP="005C490E">
      <w:r>
        <w:t>The visibility of health services</w:t>
      </w:r>
      <w:r w:rsidR="00453A27">
        <w:t>, including increasing awareness through outreach, participation and word of mouth, was valued by community members.</w:t>
      </w:r>
      <w:r w:rsidR="00412AAB">
        <w:t xml:space="preserve"> </w:t>
      </w:r>
      <w:r w:rsidR="005C490E" w:rsidRPr="00884FAA">
        <w:t>People value being made aware of the services that can support their health and wellbeing and that different forms of communication are used to achieve this. Services’ social media accounts were commonly referenced within the yarns</w:t>
      </w:r>
      <w:r w:rsidR="00625207" w:rsidRPr="00884FAA">
        <w:t xml:space="preserve"> with community members</w:t>
      </w:r>
      <w:r w:rsidR="005C490E" w:rsidRPr="00884FAA">
        <w:t>, but alternate communication approaches that m</w:t>
      </w:r>
      <w:r w:rsidR="001F53AB" w:rsidRPr="00884FAA">
        <w:t>e</w:t>
      </w:r>
      <w:r w:rsidR="005C490E" w:rsidRPr="00884FAA">
        <w:t xml:space="preserve">et the needs of people without access to social media were </w:t>
      </w:r>
      <w:r w:rsidR="00C06636" w:rsidRPr="00884FAA">
        <w:t xml:space="preserve">also </w:t>
      </w:r>
      <w:r w:rsidR="005C490E" w:rsidRPr="00884FAA">
        <w:t xml:space="preserve">appreciated. The importance of increasing people’s awareness was often evidenced through side discussions between community members during the yarns sharing information about </w:t>
      </w:r>
      <w:r w:rsidR="005C490E" w:rsidRPr="00884FAA">
        <w:lastRenderedPageBreak/>
        <w:t>services people were utilising. ACCH</w:t>
      </w:r>
      <w:r w:rsidR="00570100" w:rsidRPr="00884FAA">
        <w:t>S</w:t>
      </w:r>
      <w:r w:rsidR="005C490E" w:rsidRPr="00884FAA">
        <w:t>s were identified as a place for community members to find out about other health services and support</w:t>
      </w:r>
      <w:r w:rsidR="00570100" w:rsidRPr="00884FAA">
        <w:t>.</w:t>
      </w:r>
    </w:p>
    <w:p w14:paraId="4C54C284" w14:textId="7448CA83" w:rsidR="002055CA" w:rsidRPr="00A1178E" w:rsidRDefault="005C490E" w:rsidP="00972CD3">
      <w:pPr>
        <w:pStyle w:val="Quote"/>
        <w:spacing w:after="120"/>
        <w:ind w:left="562"/>
        <w:rPr>
          <w:color w:val="18525E" w:themeColor="accent5" w:themeShade="80"/>
        </w:rPr>
      </w:pPr>
      <w:r w:rsidRPr="00A1178E">
        <w:rPr>
          <w:color w:val="18525E" w:themeColor="accent5" w:themeShade="80"/>
        </w:rPr>
        <w:t>It's important that we know what's available, whereas I think most people start off by just going to the medical centre, but they don</w:t>
      </w:r>
      <w:r w:rsidR="008F1F6D" w:rsidRPr="00A1178E">
        <w:rPr>
          <w:color w:val="18525E" w:themeColor="accent5" w:themeShade="80"/>
        </w:rPr>
        <w:t>’</w:t>
      </w:r>
      <w:r w:rsidRPr="00A1178E">
        <w:rPr>
          <w:color w:val="18525E" w:themeColor="accent5" w:themeShade="80"/>
        </w:rPr>
        <w:t xml:space="preserve">t really know what else there is. </w:t>
      </w:r>
    </w:p>
    <w:p w14:paraId="410D140B" w14:textId="14FDD915" w:rsidR="005C490E" w:rsidRPr="00884FAA" w:rsidRDefault="005C490E" w:rsidP="00972CD3">
      <w:pPr>
        <w:pStyle w:val="Quote"/>
        <w:spacing w:before="120" w:after="240"/>
        <w:ind w:left="562"/>
        <w:jc w:val="right"/>
        <w:rPr>
          <w:b/>
          <w:bCs/>
          <w:color w:val="auto"/>
        </w:rPr>
      </w:pPr>
      <w:r w:rsidRPr="00393C85">
        <w:rPr>
          <w:b/>
          <w:color w:val="auto"/>
        </w:rPr>
        <w:t xml:space="preserve">Community </w:t>
      </w:r>
      <w:r w:rsidR="00570100" w:rsidRPr="00393C85">
        <w:rPr>
          <w:b/>
          <w:color w:val="auto"/>
        </w:rPr>
        <w:t>member</w:t>
      </w:r>
      <w:r w:rsidRPr="00884FAA">
        <w:rPr>
          <w:b/>
          <w:bCs/>
          <w:color w:val="auto"/>
        </w:rPr>
        <w:t xml:space="preserve"> </w:t>
      </w:r>
    </w:p>
    <w:p w14:paraId="44D1849C" w14:textId="6AF967C8" w:rsidR="005848E1" w:rsidRPr="00884FAA" w:rsidRDefault="005C490E" w:rsidP="00651D06">
      <w:pPr>
        <w:pStyle w:val="Heading3"/>
      </w:pPr>
      <w:r w:rsidRPr="00884FAA">
        <w:t xml:space="preserve">Accessible </w:t>
      </w:r>
    </w:p>
    <w:p w14:paraId="6F630EBD" w14:textId="7E3357B6" w:rsidR="00E42A83" w:rsidRPr="00884FAA" w:rsidRDefault="005C490E" w:rsidP="005C490E">
      <w:r w:rsidRPr="00884FAA">
        <w:t xml:space="preserve">Community members value services that are available in terms of people’s capacity to attend services at the location safely. The importance of access was highlighted across all </w:t>
      </w:r>
      <w:r w:rsidR="00717A3F" w:rsidRPr="00884FAA">
        <w:t xml:space="preserve">evaluation </w:t>
      </w:r>
      <w:r w:rsidRPr="00884FAA">
        <w:t>sites. There is</w:t>
      </w:r>
      <w:r w:rsidR="00321D09">
        <w:t xml:space="preserve"> already</w:t>
      </w:r>
      <w:r w:rsidRPr="00884FAA">
        <w:t xml:space="preserve"> significant support across PHC to </w:t>
      </w:r>
      <w:r w:rsidR="00717A3F" w:rsidRPr="00884FAA">
        <w:t xml:space="preserve">facilitate access through support with transport including </w:t>
      </w:r>
      <w:r w:rsidRPr="00884FAA">
        <w:t xml:space="preserve">bus pickups, taxis vouchers, and travel subsidies. </w:t>
      </w:r>
      <w:r w:rsidR="00321D09">
        <w:t xml:space="preserve">These options are valued by community members. </w:t>
      </w:r>
    </w:p>
    <w:p w14:paraId="2DC6BF1E" w14:textId="6A22A1E0" w:rsidR="005C490E" w:rsidRPr="00884FAA" w:rsidRDefault="005C490E" w:rsidP="005C490E">
      <w:r w:rsidRPr="00884FAA">
        <w:t xml:space="preserve">However, </w:t>
      </w:r>
      <w:r w:rsidR="00321D09">
        <w:t>community members reported</w:t>
      </w:r>
      <w:r w:rsidR="00321D09" w:rsidRPr="00884FAA">
        <w:t xml:space="preserve"> </w:t>
      </w:r>
      <w:r w:rsidRPr="00884FAA">
        <w:t>less understanding and capacity within the PHC system to address access</w:t>
      </w:r>
      <w:r w:rsidR="00E42A83" w:rsidRPr="00884FAA">
        <w:t xml:space="preserve"> issues created </w:t>
      </w:r>
      <w:r w:rsidR="00FA57A6" w:rsidRPr="00884FAA">
        <w:t xml:space="preserve">by a person’s </w:t>
      </w:r>
      <w:r w:rsidRPr="00884FAA">
        <w:t xml:space="preserve">own health or caring responsibilities. People who are living with poor health have less capacity to access health services and may need additional </w:t>
      </w:r>
      <w:r w:rsidR="00F611B4">
        <w:t>accommodations</w:t>
      </w:r>
      <w:r w:rsidR="00F611B4" w:rsidRPr="00884FAA">
        <w:t xml:space="preserve"> </w:t>
      </w:r>
      <w:r w:rsidRPr="00884FAA">
        <w:t>(including different modalities of transport or an accompanying support person)</w:t>
      </w:r>
      <w:r w:rsidR="008F1F6D">
        <w:t>.</w:t>
      </w:r>
      <w:r w:rsidR="008F1F6D">
        <w:rPr>
          <w:b/>
          <w:bCs/>
          <w:color w:val="9E6047" w:themeColor="accent3"/>
          <w:sz w:val="36"/>
          <w:szCs w:val="36"/>
          <w:lang w:val="en-NZ"/>
        </w:rPr>
        <w:t xml:space="preserve"> </w:t>
      </w:r>
      <w:r w:rsidR="008F1F6D" w:rsidRPr="00E05ACB">
        <w:t>This was</w:t>
      </w:r>
      <w:r w:rsidRPr="00884FAA" w:rsidDel="008F1F6D">
        <w:t xml:space="preserve"> </w:t>
      </w:r>
      <w:r w:rsidRPr="00884FAA">
        <w:t>described by a community member living with a chronic illness</w:t>
      </w:r>
      <w:r w:rsidR="008F1F6D">
        <w:t>:</w:t>
      </w:r>
    </w:p>
    <w:p w14:paraId="4924E220" w14:textId="299AC583" w:rsidR="009D7F46" w:rsidRPr="00A1178E" w:rsidRDefault="005C490E" w:rsidP="00272710">
      <w:pPr>
        <w:pStyle w:val="Quote"/>
        <w:spacing w:after="0"/>
        <w:rPr>
          <w:color w:val="18525E" w:themeColor="accent5" w:themeShade="80"/>
        </w:rPr>
      </w:pPr>
      <w:r w:rsidRPr="00A1178E">
        <w:rPr>
          <w:color w:val="18525E" w:themeColor="accent5" w:themeShade="80"/>
        </w:rPr>
        <w:t>Some of them [appointments] I cancel because I just can't. I haven't got the energy to get there. Most of them I try to make it. But the other ones, I just have to cancel because I know how much of a struggle it is to get this oxygen bottle in and out.</w:t>
      </w:r>
      <w:r w:rsidR="00AA35E2" w:rsidRPr="00A1178E">
        <w:rPr>
          <w:color w:val="18525E" w:themeColor="accent5" w:themeShade="80"/>
        </w:rPr>
        <w:t xml:space="preserve"> </w:t>
      </w:r>
    </w:p>
    <w:p w14:paraId="3C9EA290" w14:textId="6059ABC8" w:rsidR="005C490E" w:rsidRPr="00E66D94" w:rsidRDefault="005C490E" w:rsidP="00E66D94">
      <w:pPr>
        <w:pStyle w:val="Quote"/>
        <w:spacing w:before="120" w:after="360"/>
        <w:ind w:left="562"/>
        <w:jc w:val="right"/>
        <w:rPr>
          <w:b/>
          <w:color w:val="auto"/>
        </w:rPr>
      </w:pPr>
      <w:r w:rsidRPr="00E66D94">
        <w:rPr>
          <w:b/>
          <w:color w:val="auto"/>
        </w:rPr>
        <w:t xml:space="preserve">Community </w:t>
      </w:r>
      <w:r w:rsidR="00567329" w:rsidRPr="00E66D94">
        <w:rPr>
          <w:b/>
          <w:color w:val="auto"/>
        </w:rPr>
        <w:t>member</w:t>
      </w:r>
    </w:p>
    <w:p w14:paraId="2CCF3EC9" w14:textId="499C08F7" w:rsidR="005C490E" w:rsidRPr="00884FAA" w:rsidRDefault="005C490E" w:rsidP="005C490E">
      <w:r w:rsidRPr="00884FAA">
        <w:t xml:space="preserve">Health service delivery that supports the ability to attend services through access to transport and </w:t>
      </w:r>
      <w:r w:rsidR="009E42FE" w:rsidRPr="00884FAA">
        <w:t>responds</w:t>
      </w:r>
      <w:r w:rsidRPr="00884FAA">
        <w:t xml:space="preserve"> to the influence of disability and health conditions on access requirements is valued because it empowers people </w:t>
      </w:r>
      <w:r w:rsidR="00C8003F" w:rsidRPr="00884FAA">
        <w:t xml:space="preserve">to </w:t>
      </w:r>
      <w:r w:rsidRPr="00884FAA">
        <w:t>engage with health services</w:t>
      </w:r>
      <w:r w:rsidR="00B24118">
        <w:t>.</w:t>
      </w:r>
    </w:p>
    <w:p w14:paraId="5198C27B" w14:textId="5F7D34A9" w:rsidR="005848E1" w:rsidRPr="00884FAA" w:rsidRDefault="005C490E" w:rsidP="00651D06">
      <w:pPr>
        <w:pStyle w:val="Heading3"/>
      </w:pPr>
      <w:r w:rsidRPr="00884FAA">
        <w:t xml:space="preserve">Affordable </w:t>
      </w:r>
    </w:p>
    <w:p w14:paraId="64EC0B0B" w14:textId="77777777" w:rsidR="00DD2B8E" w:rsidRDefault="00807F93" w:rsidP="005C490E">
      <w:r w:rsidRPr="00884FAA">
        <w:t>Health care</w:t>
      </w:r>
      <w:r w:rsidR="005C490E" w:rsidRPr="00884FAA">
        <w:t xml:space="preserve"> </w:t>
      </w:r>
      <w:r w:rsidR="000F2529">
        <w:t>that is</w:t>
      </w:r>
      <w:r w:rsidR="000F2529" w:rsidRPr="00884FAA">
        <w:t xml:space="preserve"> </w:t>
      </w:r>
      <w:r w:rsidR="005C490E" w:rsidRPr="00884FAA">
        <w:t>affordable in a way that addresses health inequities</w:t>
      </w:r>
      <w:r w:rsidR="004266F6">
        <w:t xml:space="preserve"> is valued by Aboriginal and Torres Strait Islander people</w:t>
      </w:r>
      <w:r w:rsidR="005C490E" w:rsidRPr="00884FAA">
        <w:t>. Affordability and accessibility were often intertwined</w:t>
      </w:r>
      <w:r w:rsidR="00B91A30">
        <w:t xml:space="preserve"> for community members</w:t>
      </w:r>
      <w:r w:rsidR="005C490E" w:rsidRPr="00884FAA">
        <w:t>, reflecting the importance of understanding individual experiences and needs. Affordability relates not only to the cost of any service provision, but the cost of attending. The cost includes direct costs such as travel and parking</w:t>
      </w:r>
      <w:r w:rsidR="00EF7EE4" w:rsidRPr="00884FAA">
        <w:t>,</w:t>
      </w:r>
      <w:r w:rsidR="005C490E" w:rsidRPr="00884FAA">
        <w:t xml:space="preserve"> and indirect costs such as loss of income or caring costs. Both direct and indirect costs increase when people have to travel further to access health services, have to remain in a different location, and if they are accompanied. </w:t>
      </w:r>
    </w:p>
    <w:p w14:paraId="5267683C" w14:textId="77777777" w:rsidR="00DD2B8E" w:rsidRDefault="00DD2B8E" w:rsidP="005C490E"/>
    <w:p w14:paraId="5216CBF9" w14:textId="77777777" w:rsidR="00DD2B8E" w:rsidRDefault="00DD2B8E" w:rsidP="005C490E"/>
    <w:p w14:paraId="25A88202" w14:textId="641699CA" w:rsidR="005C490E" w:rsidRPr="00884FAA" w:rsidRDefault="005C490E" w:rsidP="005C490E">
      <w:r w:rsidRPr="00884FAA">
        <w:lastRenderedPageBreak/>
        <w:t>One young woman from a remote location described the concerns about costs of ongoing care in a city</w:t>
      </w:r>
      <w:r w:rsidR="0020368F">
        <w:t>:</w:t>
      </w:r>
      <w:r w:rsidRPr="00884FAA">
        <w:t xml:space="preserve"> </w:t>
      </w:r>
    </w:p>
    <w:p w14:paraId="1CE0C82B" w14:textId="728939A8" w:rsidR="00C12681" w:rsidRPr="00A1178E" w:rsidRDefault="005C490E" w:rsidP="00272710">
      <w:pPr>
        <w:pStyle w:val="Quote"/>
        <w:spacing w:after="0"/>
        <w:rPr>
          <w:color w:val="18525E" w:themeColor="accent5" w:themeShade="80"/>
        </w:rPr>
      </w:pPr>
      <w:r w:rsidRPr="00A1178E">
        <w:rPr>
          <w:color w:val="18525E" w:themeColor="accent5" w:themeShade="80"/>
        </w:rPr>
        <w:t xml:space="preserve">But the thing is that we have to go down like a month. So that's my partner out of work. I'm not too sure if we actually have to pay for our accommodation or not. But then again, hopefully we don't because that's a long time. But we have to pay for everything. And we don't, like we're not working. That's probably another thing I'm worried about. </w:t>
      </w:r>
    </w:p>
    <w:p w14:paraId="4C904A29" w14:textId="3CAD59CC" w:rsidR="005C490E" w:rsidRPr="00884FAA" w:rsidRDefault="005C490E" w:rsidP="005E0EC8">
      <w:pPr>
        <w:pStyle w:val="Quote"/>
        <w:spacing w:before="120" w:after="360"/>
        <w:ind w:left="562"/>
        <w:jc w:val="right"/>
        <w:rPr>
          <w:b/>
          <w:bCs/>
          <w:color w:val="auto"/>
        </w:rPr>
      </w:pPr>
      <w:r w:rsidRPr="002119EA">
        <w:rPr>
          <w:b/>
          <w:bCs/>
          <w:color w:val="auto"/>
        </w:rPr>
        <w:t xml:space="preserve">Community </w:t>
      </w:r>
      <w:r w:rsidR="00C33387" w:rsidRPr="002119EA">
        <w:rPr>
          <w:b/>
          <w:bCs/>
          <w:color w:val="auto"/>
        </w:rPr>
        <w:t>member</w:t>
      </w:r>
      <w:r w:rsidR="001F53AB" w:rsidRPr="002119EA">
        <w:rPr>
          <w:b/>
          <w:bCs/>
          <w:color w:val="auto"/>
        </w:rPr>
        <w:t xml:space="preserve"> </w:t>
      </w:r>
    </w:p>
    <w:p w14:paraId="5679F304" w14:textId="1F3F9253" w:rsidR="005C490E" w:rsidRPr="00884FAA" w:rsidRDefault="005C490E" w:rsidP="005C490E">
      <w:r w:rsidRPr="00884FAA">
        <w:t>From a health equity perspective, it is also important to consider the interactive effect of health conditions with other social and economic factors</w:t>
      </w:r>
      <w:r w:rsidR="00112C2D" w:rsidRPr="00884FAA">
        <w:t>. These factors</w:t>
      </w:r>
      <w:r w:rsidRPr="00884FAA">
        <w:t xml:space="preserve"> often leav</w:t>
      </w:r>
      <w:r w:rsidR="009413E5" w:rsidRPr="00884FAA">
        <w:t>e</w:t>
      </w:r>
      <w:r w:rsidRPr="00884FAA">
        <w:t xml:space="preserve"> people with limited resources to meet out of pocket </w:t>
      </w:r>
      <w:r w:rsidR="009413E5" w:rsidRPr="00884FAA">
        <w:t xml:space="preserve">medical </w:t>
      </w:r>
      <w:r w:rsidRPr="00884FAA">
        <w:t xml:space="preserve">expenses. </w:t>
      </w:r>
      <w:r w:rsidR="00C11386" w:rsidRPr="00C11386">
        <w:t>Affordable health care is valued when it addresses health inequities, such as removing the need for upfront payments instead of just offering reimbursement.</w:t>
      </w:r>
      <w:r w:rsidR="00EC26DF">
        <w:t xml:space="preserve"> </w:t>
      </w:r>
      <w:r w:rsidRPr="00884FAA">
        <w:t xml:space="preserve">This was particularly evident in discussions </w:t>
      </w:r>
      <w:r w:rsidR="00EC26DF">
        <w:t>about</w:t>
      </w:r>
      <w:r w:rsidR="00EC26DF" w:rsidRPr="00884FAA">
        <w:t xml:space="preserve"> </w:t>
      </w:r>
      <w:r w:rsidRPr="00884FAA">
        <w:t>the ITC program in some locations.</w:t>
      </w:r>
      <w:r w:rsidR="00FB21EF">
        <w:t xml:space="preserve"> </w:t>
      </w:r>
      <w:r w:rsidR="00FB21EF" w:rsidRPr="00FB21EF">
        <w:t>As one community member recounted:</w:t>
      </w:r>
    </w:p>
    <w:p w14:paraId="19CCB08F" w14:textId="26B7B349" w:rsidR="00C12681" w:rsidRPr="00A1178E" w:rsidRDefault="005C490E" w:rsidP="000913D4">
      <w:pPr>
        <w:pStyle w:val="Quote"/>
        <w:spacing w:before="120" w:after="120"/>
        <w:ind w:left="562"/>
        <w:rPr>
          <w:color w:val="18525E" w:themeColor="accent5" w:themeShade="80"/>
        </w:rPr>
      </w:pPr>
      <w:r w:rsidRPr="00A1178E">
        <w:rPr>
          <w:color w:val="18525E" w:themeColor="accent5" w:themeShade="80"/>
        </w:rPr>
        <w:t xml:space="preserve">The amount of people that come up and say, Oh, thank God for </w:t>
      </w:r>
      <w:r w:rsidR="000B168C" w:rsidRPr="00A1178E">
        <w:rPr>
          <w:color w:val="18525E" w:themeColor="accent5" w:themeShade="80"/>
        </w:rPr>
        <w:t>[</w:t>
      </w:r>
      <w:r w:rsidR="00CB2A92" w:rsidRPr="00A1178E">
        <w:rPr>
          <w:color w:val="18525E" w:themeColor="accent5" w:themeShade="80"/>
        </w:rPr>
        <w:t>ITC health support service</w:t>
      </w:r>
      <w:r w:rsidR="000B168C" w:rsidRPr="00A1178E">
        <w:rPr>
          <w:color w:val="18525E" w:themeColor="accent5" w:themeShade="80"/>
        </w:rPr>
        <w:t>]</w:t>
      </w:r>
      <w:r w:rsidRPr="00A1178E">
        <w:rPr>
          <w:color w:val="18525E" w:themeColor="accent5" w:themeShade="80"/>
        </w:rPr>
        <w:t xml:space="preserve">. We'd be dead now without it. I say you're exaggerating things like that, and they say, </w:t>
      </w:r>
      <w:r w:rsidR="00B603C7" w:rsidRPr="00A1178E">
        <w:rPr>
          <w:color w:val="18525E" w:themeColor="accent5" w:themeShade="80"/>
        </w:rPr>
        <w:t>‘</w:t>
      </w:r>
      <w:r w:rsidRPr="00A1178E">
        <w:rPr>
          <w:color w:val="18525E" w:themeColor="accent5" w:themeShade="80"/>
        </w:rPr>
        <w:t>No, we're fair dinkum</w:t>
      </w:r>
      <w:r w:rsidR="00B603C7" w:rsidRPr="00A1178E">
        <w:rPr>
          <w:color w:val="18525E" w:themeColor="accent5" w:themeShade="80"/>
        </w:rPr>
        <w:t>’</w:t>
      </w:r>
      <w:r w:rsidRPr="00A1178E">
        <w:rPr>
          <w:color w:val="18525E" w:themeColor="accent5" w:themeShade="80"/>
        </w:rPr>
        <w:t xml:space="preserve">. </w:t>
      </w:r>
    </w:p>
    <w:p w14:paraId="1F6CBE6A" w14:textId="14D02226" w:rsidR="005C490E" w:rsidRPr="00884FAA" w:rsidRDefault="005C490E" w:rsidP="005E0EC8">
      <w:pPr>
        <w:pStyle w:val="Quote"/>
        <w:spacing w:before="120" w:after="360"/>
        <w:ind w:left="562"/>
        <w:jc w:val="right"/>
        <w:rPr>
          <w:b/>
          <w:bCs/>
          <w:color w:val="auto"/>
        </w:rPr>
      </w:pPr>
      <w:r w:rsidRPr="002119EA">
        <w:rPr>
          <w:b/>
          <w:bCs/>
          <w:color w:val="auto"/>
        </w:rPr>
        <w:t xml:space="preserve">Community </w:t>
      </w:r>
      <w:r w:rsidR="00B603C7" w:rsidRPr="002119EA">
        <w:rPr>
          <w:b/>
          <w:bCs/>
          <w:color w:val="auto"/>
        </w:rPr>
        <w:t>member</w:t>
      </w:r>
    </w:p>
    <w:p w14:paraId="1FB75C66" w14:textId="1A45E2A5" w:rsidR="005848E1" w:rsidRPr="00884FAA" w:rsidRDefault="005C490E" w:rsidP="00651D06">
      <w:pPr>
        <w:pStyle w:val="Heading3"/>
      </w:pPr>
      <w:r w:rsidRPr="00884FAA">
        <w:t xml:space="preserve">Available </w:t>
      </w:r>
    </w:p>
    <w:p w14:paraId="5BD868A1" w14:textId="22B199D4" w:rsidR="00C158E5" w:rsidRPr="00884FAA" w:rsidRDefault="00807F93" w:rsidP="005C490E">
      <w:r w:rsidRPr="00884FAA">
        <w:t>Health care</w:t>
      </w:r>
      <w:r w:rsidR="005C490E" w:rsidRPr="00884FAA">
        <w:t xml:space="preserve"> </w:t>
      </w:r>
      <w:r w:rsidR="00514EAE">
        <w:t>that is</w:t>
      </w:r>
      <w:r w:rsidR="005C490E" w:rsidRPr="00884FAA">
        <w:t xml:space="preserve"> available when people require it (</w:t>
      </w:r>
      <w:r w:rsidR="00275DEC" w:rsidRPr="00884FAA">
        <w:t xml:space="preserve">for example, </w:t>
      </w:r>
      <w:r w:rsidR="005C490E" w:rsidRPr="00884FAA">
        <w:t>urgent care), and around other commitments such as employment and caring requirements (non-urgent care)</w:t>
      </w:r>
      <w:r w:rsidR="00514EAE">
        <w:t xml:space="preserve"> </w:t>
      </w:r>
      <w:r w:rsidR="00480EE1">
        <w:t>is</w:t>
      </w:r>
      <w:r w:rsidR="00514EAE">
        <w:t xml:space="preserve"> valued</w:t>
      </w:r>
      <w:r w:rsidR="005C490E" w:rsidRPr="00884FAA">
        <w:t xml:space="preserve">. Community members were aware of the impact of workforce shortages </w:t>
      </w:r>
      <w:r w:rsidR="00C5115E" w:rsidRPr="00884FAA">
        <w:t>on access</w:t>
      </w:r>
      <w:r w:rsidR="00053F32" w:rsidRPr="00884FAA">
        <w:t xml:space="preserve"> to services</w:t>
      </w:r>
      <w:r w:rsidR="00C5115E" w:rsidRPr="00884FAA">
        <w:t xml:space="preserve"> </w:t>
      </w:r>
      <w:r w:rsidR="005B0DDD">
        <w:t>but</w:t>
      </w:r>
      <w:r w:rsidR="005B0DDD" w:rsidRPr="00884FAA">
        <w:t xml:space="preserve"> </w:t>
      </w:r>
      <w:r w:rsidR="005C490E" w:rsidRPr="00884FAA">
        <w:t xml:space="preserve">noted that wait times were significantly longer for services or individual doctors who were affordable (bulk billed) or provided good quality of care. </w:t>
      </w:r>
      <w:r w:rsidR="00FC212B">
        <w:t>People shared the need to</w:t>
      </w:r>
      <w:r w:rsidR="005C490E" w:rsidRPr="00884FAA">
        <w:t xml:space="preserve"> trade-off between availability, affordability, and quality of care</w:t>
      </w:r>
      <w:r w:rsidR="002D27D1">
        <w:t xml:space="preserve"> when </w:t>
      </w:r>
      <w:r w:rsidR="008868BD">
        <w:t>obtaining health care</w:t>
      </w:r>
      <w:r w:rsidR="005C490E" w:rsidRPr="00884FAA">
        <w:t xml:space="preserve">. </w:t>
      </w:r>
    </w:p>
    <w:p w14:paraId="29D1B9CF" w14:textId="5912EEC2" w:rsidR="005C490E" w:rsidRPr="00884FAA" w:rsidRDefault="00C158E5" w:rsidP="005C490E">
      <w:r w:rsidRPr="00884FAA">
        <w:t xml:space="preserve">Challenges of availability were </w:t>
      </w:r>
      <w:r w:rsidR="005C490E" w:rsidRPr="00884FAA">
        <w:t xml:space="preserve">particularly evident in out of hours care where </w:t>
      </w:r>
      <w:r w:rsidR="00984C72">
        <w:t>people reported</w:t>
      </w:r>
      <w:r w:rsidR="00984C72" w:rsidRPr="00884FAA">
        <w:t xml:space="preserve"> </w:t>
      </w:r>
      <w:r w:rsidR="005C490E" w:rsidRPr="00884FAA">
        <w:t xml:space="preserve">limited (or no) choice of care provider due to availability or affordability. Community members </w:t>
      </w:r>
      <w:r w:rsidR="00010591">
        <w:t xml:space="preserve">said they </w:t>
      </w:r>
      <w:r w:rsidR="005C490E" w:rsidRPr="00884FAA">
        <w:t xml:space="preserve">were more likely to experience poor levels of care from mainstream services. </w:t>
      </w:r>
      <w:r w:rsidR="00DB7601" w:rsidRPr="00884FAA">
        <w:t>This include</w:t>
      </w:r>
      <w:r w:rsidR="009202F0" w:rsidRPr="00884FAA">
        <w:t>s</w:t>
      </w:r>
      <w:r w:rsidR="00DB7601" w:rsidRPr="00884FAA">
        <w:t xml:space="preserve"> experiences of racism</w:t>
      </w:r>
      <w:r w:rsidR="00D266E6">
        <w:t xml:space="preserve"> contributing to poor experiences of care</w:t>
      </w:r>
      <w:r w:rsidR="00DB7601" w:rsidRPr="00884FAA">
        <w:t xml:space="preserve">. </w:t>
      </w:r>
      <w:r w:rsidR="005C490E" w:rsidRPr="00884FAA">
        <w:t xml:space="preserve">Out of hours services need to be accessible, affordable, and provide acceptable standards of care, particularly in relation to </w:t>
      </w:r>
      <w:r w:rsidR="009168E4" w:rsidRPr="00884FAA">
        <w:t xml:space="preserve">safety, including </w:t>
      </w:r>
      <w:r w:rsidR="005C490E" w:rsidRPr="00884FAA">
        <w:t>cultural safety.</w:t>
      </w:r>
    </w:p>
    <w:p w14:paraId="1F2F7289" w14:textId="50AFB4AE" w:rsidR="005848E1" w:rsidRPr="00884FAA" w:rsidRDefault="005C490E" w:rsidP="00651D06">
      <w:pPr>
        <w:pStyle w:val="Heading3"/>
      </w:pPr>
      <w:r w:rsidRPr="00884FAA">
        <w:t xml:space="preserve">Acceptable </w:t>
      </w:r>
    </w:p>
    <w:p w14:paraId="3BF673BE" w14:textId="77777777" w:rsidR="00811274" w:rsidRDefault="007040C8" w:rsidP="005C490E">
      <w:r>
        <w:t>Health</w:t>
      </w:r>
      <w:r w:rsidR="005C490E" w:rsidRPr="00884FAA">
        <w:t xml:space="preserve"> service</w:t>
      </w:r>
      <w:r>
        <w:t>s</w:t>
      </w:r>
      <w:r w:rsidR="005C490E" w:rsidRPr="00884FAA">
        <w:t xml:space="preserve"> where people feel welcome, supported, comfortable</w:t>
      </w:r>
      <w:r w:rsidR="00CB55D0" w:rsidRPr="00884FAA">
        <w:t>,</w:t>
      </w:r>
      <w:r w:rsidR="005C490E" w:rsidRPr="00884FAA">
        <w:t xml:space="preserve"> and safe, regardless of whose traditional lands they reside on</w:t>
      </w:r>
      <w:r w:rsidR="00221D9A">
        <w:t xml:space="preserve"> </w:t>
      </w:r>
      <w:r w:rsidR="00450D8B">
        <w:t>can provide</w:t>
      </w:r>
      <w:r w:rsidR="00221D9A">
        <w:t xml:space="preserve"> acceptable care that is valued </w:t>
      </w:r>
      <w:r w:rsidR="00450D8B">
        <w:t xml:space="preserve">by </w:t>
      </w:r>
      <w:r w:rsidR="001150DB">
        <w:t xml:space="preserve">Aboriginal and </w:t>
      </w:r>
      <w:r w:rsidR="00C954F4">
        <w:t>Torres Strait Islander people</w:t>
      </w:r>
      <w:r w:rsidR="005C490E" w:rsidRPr="00884FAA">
        <w:t xml:space="preserve">. Whilst community members appreciated mainstream services’ inclusion of Aboriginal and Torres Strait Islander artwork and design elements in the </w:t>
      </w:r>
      <w:r w:rsidR="002C72E6">
        <w:t>décor</w:t>
      </w:r>
      <w:r w:rsidR="005C490E" w:rsidRPr="00884FAA">
        <w:t xml:space="preserve">, it was the </w:t>
      </w:r>
      <w:r w:rsidR="00AC31E8" w:rsidRPr="00884FAA">
        <w:t>behaviour</w:t>
      </w:r>
      <w:r w:rsidR="00A64793" w:rsidRPr="00884FAA">
        <w:t xml:space="preserve"> </w:t>
      </w:r>
      <w:r w:rsidR="005C490E" w:rsidRPr="00884FAA">
        <w:t>of health service staff that was most valued. People valued the behaviour and environment that made them feel welcome and comfortable</w:t>
      </w:r>
      <w:r w:rsidR="002C72E6">
        <w:t xml:space="preserve"> and spaces </w:t>
      </w:r>
      <w:r w:rsidR="005C490E" w:rsidRPr="00884FAA">
        <w:t>that were more relaxed and less clinical from the reception through to the consultation.</w:t>
      </w:r>
      <w:r w:rsidR="00076D3D">
        <w:t xml:space="preserve"> </w:t>
      </w:r>
    </w:p>
    <w:p w14:paraId="6DD1F0BF" w14:textId="1FBD4B17" w:rsidR="005C490E" w:rsidRPr="00884FAA" w:rsidRDefault="00076D3D" w:rsidP="005C490E">
      <w:r>
        <w:lastRenderedPageBreak/>
        <w:t>One participant described the feeling as:</w:t>
      </w:r>
    </w:p>
    <w:p w14:paraId="1244675A" w14:textId="4DE30150" w:rsidR="00543EBF" w:rsidRPr="00A1178E" w:rsidRDefault="005C490E" w:rsidP="00AD640F">
      <w:pPr>
        <w:pStyle w:val="Quote"/>
        <w:spacing w:after="0"/>
        <w:rPr>
          <w:color w:val="18525E" w:themeColor="accent5" w:themeShade="80"/>
        </w:rPr>
      </w:pPr>
      <w:r w:rsidRPr="00A1178E">
        <w:rPr>
          <w:color w:val="18525E" w:themeColor="accent5" w:themeShade="80"/>
        </w:rPr>
        <w:t xml:space="preserve">Well that’s sort a known fact that when an Aboriginal walks into an Aboriginal habitat like that, it feels good, comfortable. When you walk into a big white society with the big doctors and then they come out and they are jamming down words that you’ve got to push around in a wheelbarrow and you don’t understand them. You just need someone that you can talk to them on their own terms to them. </w:t>
      </w:r>
    </w:p>
    <w:p w14:paraId="2A0DB238" w14:textId="0EAF8F64" w:rsidR="005C490E" w:rsidRPr="00884FAA" w:rsidRDefault="005C490E" w:rsidP="002A2F90">
      <w:pPr>
        <w:pStyle w:val="Quote"/>
        <w:spacing w:before="0" w:after="360"/>
        <w:ind w:left="562"/>
        <w:jc w:val="right"/>
        <w:rPr>
          <w:b/>
          <w:bCs/>
          <w:color w:val="auto"/>
        </w:rPr>
      </w:pPr>
      <w:r w:rsidRPr="00884FAA">
        <w:rPr>
          <w:b/>
          <w:bCs/>
          <w:color w:val="auto"/>
        </w:rPr>
        <w:t xml:space="preserve">Community </w:t>
      </w:r>
      <w:r w:rsidR="00A35985" w:rsidRPr="00884FAA">
        <w:rPr>
          <w:b/>
          <w:bCs/>
          <w:color w:val="auto"/>
        </w:rPr>
        <w:t>member</w:t>
      </w:r>
    </w:p>
    <w:p w14:paraId="6A7AD84C" w14:textId="2D02B919" w:rsidR="005C490E" w:rsidRPr="00884FAA" w:rsidRDefault="00AE1D0B" w:rsidP="005C490E">
      <w:r w:rsidRPr="00AE1D0B">
        <w:t xml:space="preserve">Simply incorporating Aboriginal and Torres Strait Islander artwork is insufficient to make a service acceptable. Acceptability is about the way people are treated. As one </w:t>
      </w:r>
      <w:r>
        <w:t>E</w:t>
      </w:r>
      <w:r w:rsidRPr="00AE1D0B">
        <w:t>lder stated</w:t>
      </w:r>
      <w:r>
        <w:t>:</w:t>
      </w:r>
      <w:r w:rsidR="00AA35E2">
        <w:t xml:space="preserve"> </w:t>
      </w:r>
      <w:r w:rsidR="005C490E" w:rsidRPr="00884FAA">
        <w:t xml:space="preserve"> </w:t>
      </w:r>
    </w:p>
    <w:p w14:paraId="264CFDFF" w14:textId="5A76AAF5" w:rsidR="00543EBF" w:rsidRPr="00A1178E" w:rsidRDefault="005C490E" w:rsidP="00AD640F">
      <w:pPr>
        <w:pStyle w:val="Quote"/>
        <w:spacing w:after="0"/>
        <w:rPr>
          <w:color w:val="18525E" w:themeColor="accent5" w:themeShade="80"/>
        </w:rPr>
      </w:pPr>
      <w:r w:rsidRPr="00A1178E">
        <w:rPr>
          <w:color w:val="18525E" w:themeColor="accent5" w:themeShade="80"/>
        </w:rPr>
        <w:t xml:space="preserve">People go places where they feel welcome. </w:t>
      </w:r>
    </w:p>
    <w:p w14:paraId="05C8C02B" w14:textId="53D2D655" w:rsidR="005C490E" w:rsidRPr="00884FAA" w:rsidRDefault="00431605" w:rsidP="00AD640F">
      <w:pPr>
        <w:pStyle w:val="Quote"/>
        <w:spacing w:before="0"/>
        <w:jc w:val="right"/>
        <w:rPr>
          <w:b/>
          <w:bCs/>
        </w:rPr>
      </w:pPr>
      <w:r w:rsidRPr="00884FAA">
        <w:rPr>
          <w:b/>
          <w:bCs/>
          <w:color w:val="auto"/>
        </w:rPr>
        <w:t xml:space="preserve">Community </w:t>
      </w:r>
      <w:r w:rsidR="00AE1D0B">
        <w:rPr>
          <w:b/>
          <w:bCs/>
          <w:color w:val="auto"/>
        </w:rPr>
        <w:t>Elder</w:t>
      </w:r>
    </w:p>
    <w:p w14:paraId="0180DBF6" w14:textId="4F90FBA2" w:rsidR="005C490E" w:rsidRPr="00884FAA" w:rsidRDefault="005C490E" w:rsidP="0035030F">
      <w:pPr>
        <w:pStyle w:val="Heading2"/>
      </w:pPr>
      <w:bookmarkStart w:id="145" w:name="_Toc137208906"/>
      <w:r w:rsidRPr="00884FAA">
        <w:t xml:space="preserve">Governance and resourcing of primary </w:t>
      </w:r>
      <w:r w:rsidR="00807F93" w:rsidRPr="00884FAA">
        <w:t>health care</w:t>
      </w:r>
      <w:bookmarkEnd w:id="145"/>
      <w:r w:rsidRPr="00884FAA">
        <w:t xml:space="preserve"> </w:t>
      </w:r>
    </w:p>
    <w:p w14:paraId="47831188" w14:textId="11CDF25B" w:rsidR="005C490E" w:rsidRDefault="00C23F5A" w:rsidP="005C490E">
      <w:r>
        <w:t xml:space="preserve">People value health care that </w:t>
      </w:r>
      <w:r w:rsidR="00B3382A">
        <w:t xml:space="preserve">responds to the </w:t>
      </w:r>
      <w:r w:rsidR="006819E4">
        <w:t xml:space="preserve">needs of the community. </w:t>
      </w:r>
      <w:r w:rsidR="00B55B84" w:rsidRPr="00884FAA">
        <w:t>The</w:t>
      </w:r>
      <w:r w:rsidR="005C490E" w:rsidRPr="00884FAA">
        <w:t xml:space="preserve"> governance and resourcing </w:t>
      </w:r>
      <w:r w:rsidR="00D6737D" w:rsidRPr="00884FAA">
        <w:t xml:space="preserve">required </w:t>
      </w:r>
      <w:r w:rsidR="005C490E" w:rsidRPr="00884FAA">
        <w:t xml:space="preserve">for </w:t>
      </w:r>
      <w:r w:rsidR="00807F93" w:rsidRPr="00884FAA">
        <w:t>health care</w:t>
      </w:r>
      <w:r w:rsidR="005C490E" w:rsidRPr="00884FAA">
        <w:t xml:space="preserve"> </w:t>
      </w:r>
      <w:r w:rsidR="00336034">
        <w:t>that aligns with what Aboriginal and Torres Strait Islander people value</w:t>
      </w:r>
      <w:r w:rsidR="00336034" w:rsidRPr="00884FAA">
        <w:t xml:space="preserve"> </w:t>
      </w:r>
      <w:r w:rsidR="005C490E" w:rsidRPr="00884FAA">
        <w:t>include</w:t>
      </w:r>
      <w:r w:rsidR="00CB2A92" w:rsidRPr="00884FAA">
        <w:t>s</w:t>
      </w:r>
      <w:r w:rsidR="005C490E" w:rsidRPr="00884FAA">
        <w:t xml:space="preserve"> </w:t>
      </w:r>
      <w:r w:rsidR="00CF5A21" w:rsidRPr="00884FAA">
        <w:t>self-determination</w:t>
      </w:r>
      <w:r w:rsidR="005C490E" w:rsidRPr="00884FAA">
        <w:t xml:space="preserve">, Aboriginal and Torres Strait Islander leadership, and for health services to be driven by the </w:t>
      </w:r>
      <w:r w:rsidR="00CF5A21" w:rsidRPr="00884FAA">
        <w:t>needs of the community</w:t>
      </w:r>
      <w:r w:rsidR="005C490E" w:rsidRPr="00884FAA">
        <w:t xml:space="preserve">. Resourcing </w:t>
      </w:r>
      <w:r w:rsidR="009777E9">
        <w:t xml:space="preserve">that </w:t>
      </w:r>
      <w:r w:rsidR="003E2A9E">
        <w:t xml:space="preserve">aligns with </w:t>
      </w:r>
      <w:r w:rsidR="00D42DE3">
        <w:t xml:space="preserve">what people </w:t>
      </w:r>
      <w:r w:rsidR="009777E9">
        <w:t>value</w:t>
      </w:r>
      <w:r w:rsidR="00D42DE3">
        <w:t xml:space="preserve"> and </w:t>
      </w:r>
      <w:r w:rsidR="001B3EDD">
        <w:t xml:space="preserve">the </w:t>
      </w:r>
      <w:r w:rsidR="003E2A9E">
        <w:t xml:space="preserve">needs </w:t>
      </w:r>
      <w:r w:rsidR="009777E9">
        <w:t xml:space="preserve">of the community </w:t>
      </w:r>
      <w:r w:rsidR="00355714">
        <w:t>has</w:t>
      </w:r>
      <w:r w:rsidR="005C490E" w:rsidRPr="00884FAA">
        <w:t xml:space="preserve"> to </w:t>
      </w:r>
      <w:r w:rsidR="003E2A9E">
        <w:t>be supported by</w:t>
      </w:r>
      <w:r w:rsidR="005C490E" w:rsidRPr="00884FAA">
        <w:t xml:space="preserve"> equitable and consistent funding, appropriate infrastructure, and </w:t>
      </w:r>
      <w:r w:rsidR="00CB2A92" w:rsidRPr="00884FAA">
        <w:t>Aboriginal and Torres Strait Islander</w:t>
      </w:r>
      <w:r w:rsidR="005C490E" w:rsidRPr="00884FAA">
        <w:t xml:space="preserve"> staff who have opportunities to develop and grow in their work.</w:t>
      </w:r>
      <w:r w:rsidR="00303F93" w:rsidRPr="00884FAA">
        <w:t xml:space="preserve"> These are represented by the roots that anchor Babuny to place and secure the resources it needs to survive and thrive</w:t>
      </w:r>
      <w:r w:rsidR="0076352A" w:rsidRPr="00884FAA">
        <w:t>.</w:t>
      </w:r>
    </w:p>
    <w:p w14:paraId="096578B1" w14:textId="22D54560" w:rsidR="001B415C" w:rsidRDefault="001B415C" w:rsidP="007D3E14">
      <w:pPr>
        <w:pStyle w:val="Caption"/>
        <w:keepNext/>
        <w:jc w:val="left"/>
      </w:pPr>
      <w:bookmarkStart w:id="146" w:name="_Toc138851330"/>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4</w:t>
      </w:r>
      <w:r w:rsidR="005B4A4F">
        <w:fldChar w:fldCharType="end"/>
      </w:r>
      <w:r w:rsidR="00C67475">
        <w:t>.</w:t>
      </w:r>
      <w:r>
        <w:t xml:space="preserve"> Babuny framework spotlight on</w:t>
      </w:r>
      <w:r w:rsidR="007D3E14">
        <w:t xml:space="preserve"> governance and resourcing</w:t>
      </w:r>
      <w:bookmarkEnd w:id="146"/>
    </w:p>
    <w:p w14:paraId="2BC85EA8" w14:textId="670DC71F" w:rsidR="00152A4A" w:rsidRPr="00884FAA" w:rsidRDefault="00EA5B32" w:rsidP="00D44A23">
      <w:pPr>
        <w:jc w:val="center"/>
      </w:pPr>
      <w:r w:rsidRPr="00EA5B32">
        <w:rPr>
          <w:noProof/>
        </w:rPr>
        <w:drawing>
          <wp:inline distT="0" distB="0" distL="0" distR="0" wp14:anchorId="169CE8E6" wp14:editId="692D0218">
            <wp:extent cx="4319270" cy="2080798"/>
            <wp:effectExtent l="38100" t="38100" r="24130" b="34290"/>
            <wp:docPr id="469384481" name="Picture 469384481">
              <a:extLst xmlns:a="http://schemas.openxmlformats.org/drawingml/2006/main">
                <a:ext uri="{FF2B5EF4-FFF2-40B4-BE49-F238E27FC236}">
                  <a16:creationId xmlns:a16="http://schemas.microsoft.com/office/drawing/2014/main" id="{134C017B-C513-8D41-ADF0-F32A54B8E3A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84481" name="Picture 469384481">
                      <a:extLst>
                        <a:ext uri="{FF2B5EF4-FFF2-40B4-BE49-F238E27FC236}">
                          <a16:creationId xmlns:a16="http://schemas.microsoft.com/office/drawing/2014/main" id="{134C017B-C513-8D41-ADF0-F32A54B8E3A8}"/>
                        </a:ext>
                        <a:ext uri="{C183D7F6-B498-43B3-948B-1728B52AA6E4}">
                          <adec:decorative xmlns:adec="http://schemas.microsoft.com/office/drawing/2017/decorative" val="1"/>
                        </a:ext>
                      </a:extLst>
                    </pic:cNvPr>
                    <pic:cNvPicPr>
                      <a:picLocks noChangeAspect="1"/>
                    </pic:cNvPicPr>
                  </pic:nvPicPr>
                  <pic:blipFill rotWithShape="1">
                    <a:blip r:embed="rId95"/>
                    <a:srcRect l="6393" t="65899" r="7135" b="-177"/>
                    <a:stretch/>
                  </pic:blipFill>
                  <pic:spPr bwMode="auto">
                    <a:xfrm>
                      <a:off x="0" y="0"/>
                      <a:ext cx="4320000" cy="2081150"/>
                    </a:xfrm>
                    <a:custGeom>
                      <a:avLst/>
                      <a:gdLst>
                        <a:gd name="connsiteX0" fmla="*/ 0 w 3955887"/>
                        <a:gd name="connsiteY0" fmla="*/ 0 h 2422866"/>
                        <a:gd name="connsiteX1" fmla="*/ 619756 w 3955887"/>
                        <a:gd name="connsiteY1" fmla="*/ 0 h 2422866"/>
                        <a:gd name="connsiteX2" fmla="*/ 1199952 w 3955887"/>
                        <a:gd name="connsiteY2" fmla="*/ 0 h 2422866"/>
                        <a:gd name="connsiteX3" fmla="*/ 1898826 w 3955887"/>
                        <a:gd name="connsiteY3" fmla="*/ 0 h 2422866"/>
                        <a:gd name="connsiteX4" fmla="*/ 2558140 w 3955887"/>
                        <a:gd name="connsiteY4" fmla="*/ 0 h 2422866"/>
                        <a:gd name="connsiteX5" fmla="*/ 3217455 w 3955887"/>
                        <a:gd name="connsiteY5" fmla="*/ 0 h 2422866"/>
                        <a:gd name="connsiteX6" fmla="*/ 3955887 w 3955887"/>
                        <a:gd name="connsiteY6" fmla="*/ 0 h 2422866"/>
                        <a:gd name="connsiteX7" fmla="*/ 3955887 w 3955887"/>
                        <a:gd name="connsiteY7" fmla="*/ 629945 h 2422866"/>
                        <a:gd name="connsiteX8" fmla="*/ 3955887 w 3955887"/>
                        <a:gd name="connsiteY8" fmla="*/ 1187204 h 2422866"/>
                        <a:gd name="connsiteX9" fmla="*/ 3955887 w 3955887"/>
                        <a:gd name="connsiteY9" fmla="*/ 1817150 h 2422866"/>
                        <a:gd name="connsiteX10" fmla="*/ 3955887 w 3955887"/>
                        <a:gd name="connsiteY10" fmla="*/ 2422866 h 2422866"/>
                        <a:gd name="connsiteX11" fmla="*/ 3257014 w 3955887"/>
                        <a:gd name="connsiteY11" fmla="*/ 2422866 h 2422866"/>
                        <a:gd name="connsiteX12" fmla="*/ 2558140 w 3955887"/>
                        <a:gd name="connsiteY12" fmla="*/ 2422866 h 2422866"/>
                        <a:gd name="connsiteX13" fmla="*/ 1819708 w 3955887"/>
                        <a:gd name="connsiteY13" fmla="*/ 2422866 h 2422866"/>
                        <a:gd name="connsiteX14" fmla="*/ 1199952 w 3955887"/>
                        <a:gd name="connsiteY14" fmla="*/ 2422866 h 2422866"/>
                        <a:gd name="connsiteX15" fmla="*/ 0 w 3955887"/>
                        <a:gd name="connsiteY15" fmla="*/ 2422866 h 2422866"/>
                        <a:gd name="connsiteX16" fmla="*/ 0 w 3955887"/>
                        <a:gd name="connsiteY16" fmla="*/ 1865607 h 2422866"/>
                        <a:gd name="connsiteX17" fmla="*/ 0 w 3955887"/>
                        <a:gd name="connsiteY17" fmla="*/ 1259890 h 2422866"/>
                        <a:gd name="connsiteX18" fmla="*/ 0 w 3955887"/>
                        <a:gd name="connsiteY18" fmla="*/ 629945 h 2422866"/>
                        <a:gd name="connsiteX19" fmla="*/ 0 w 3955887"/>
                        <a:gd name="connsiteY19" fmla="*/ 0 h 24228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955887" h="2422866" fill="none" extrusionOk="0">
                          <a:moveTo>
                            <a:pt x="0" y="0"/>
                          </a:moveTo>
                          <a:cubicBezTo>
                            <a:pt x="197931" y="-21371"/>
                            <a:pt x="455079" y="-13312"/>
                            <a:pt x="619756" y="0"/>
                          </a:cubicBezTo>
                          <a:cubicBezTo>
                            <a:pt x="784433" y="13312"/>
                            <a:pt x="955965" y="7788"/>
                            <a:pt x="1199952" y="0"/>
                          </a:cubicBezTo>
                          <a:cubicBezTo>
                            <a:pt x="1443939" y="-7788"/>
                            <a:pt x="1571531" y="-21009"/>
                            <a:pt x="1898826" y="0"/>
                          </a:cubicBezTo>
                          <a:cubicBezTo>
                            <a:pt x="2226121" y="21009"/>
                            <a:pt x="2265576" y="-14392"/>
                            <a:pt x="2558140" y="0"/>
                          </a:cubicBezTo>
                          <a:cubicBezTo>
                            <a:pt x="2850704" y="14392"/>
                            <a:pt x="3012784" y="-22512"/>
                            <a:pt x="3217455" y="0"/>
                          </a:cubicBezTo>
                          <a:cubicBezTo>
                            <a:pt x="3422127" y="22512"/>
                            <a:pt x="3740733" y="-18786"/>
                            <a:pt x="3955887" y="0"/>
                          </a:cubicBezTo>
                          <a:cubicBezTo>
                            <a:pt x="3935085" y="155048"/>
                            <a:pt x="3973205" y="447834"/>
                            <a:pt x="3955887" y="629945"/>
                          </a:cubicBezTo>
                          <a:cubicBezTo>
                            <a:pt x="3938569" y="812056"/>
                            <a:pt x="3934604" y="955195"/>
                            <a:pt x="3955887" y="1187204"/>
                          </a:cubicBezTo>
                          <a:cubicBezTo>
                            <a:pt x="3977170" y="1419213"/>
                            <a:pt x="3938288" y="1626003"/>
                            <a:pt x="3955887" y="1817150"/>
                          </a:cubicBezTo>
                          <a:cubicBezTo>
                            <a:pt x="3973486" y="2008297"/>
                            <a:pt x="3943258" y="2173854"/>
                            <a:pt x="3955887" y="2422866"/>
                          </a:cubicBezTo>
                          <a:cubicBezTo>
                            <a:pt x="3754691" y="2435767"/>
                            <a:pt x="3459183" y="2443510"/>
                            <a:pt x="3257014" y="2422866"/>
                          </a:cubicBezTo>
                          <a:cubicBezTo>
                            <a:pt x="3054845" y="2402222"/>
                            <a:pt x="2729360" y="2454636"/>
                            <a:pt x="2558140" y="2422866"/>
                          </a:cubicBezTo>
                          <a:cubicBezTo>
                            <a:pt x="2386920" y="2391096"/>
                            <a:pt x="1982555" y="2411425"/>
                            <a:pt x="1819708" y="2422866"/>
                          </a:cubicBezTo>
                          <a:cubicBezTo>
                            <a:pt x="1656861" y="2434307"/>
                            <a:pt x="1502207" y="2417678"/>
                            <a:pt x="1199952" y="2422866"/>
                          </a:cubicBezTo>
                          <a:cubicBezTo>
                            <a:pt x="897697" y="2428054"/>
                            <a:pt x="356599" y="2432644"/>
                            <a:pt x="0" y="2422866"/>
                          </a:cubicBezTo>
                          <a:cubicBezTo>
                            <a:pt x="-20403" y="2265482"/>
                            <a:pt x="-12694" y="2027877"/>
                            <a:pt x="0" y="1865607"/>
                          </a:cubicBezTo>
                          <a:cubicBezTo>
                            <a:pt x="12694" y="1703337"/>
                            <a:pt x="4489" y="1544538"/>
                            <a:pt x="0" y="1259890"/>
                          </a:cubicBezTo>
                          <a:cubicBezTo>
                            <a:pt x="-4489" y="975242"/>
                            <a:pt x="8446" y="922254"/>
                            <a:pt x="0" y="629945"/>
                          </a:cubicBezTo>
                          <a:cubicBezTo>
                            <a:pt x="-8446" y="337636"/>
                            <a:pt x="-7705" y="165893"/>
                            <a:pt x="0" y="0"/>
                          </a:cubicBezTo>
                          <a:close/>
                        </a:path>
                        <a:path w="3955887" h="2422866" stroke="0" extrusionOk="0">
                          <a:moveTo>
                            <a:pt x="0" y="0"/>
                          </a:moveTo>
                          <a:cubicBezTo>
                            <a:pt x="297058" y="-23568"/>
                            <a:pt x="340319" y="-29524"/>
                            <a:pt x="619756" y="0"/>
                          </a:cubicBezTo>
                          <a:cubicBezTo>
                            <a:pt x="899193" y="29524"/>
                            <a:pt x="1048796" y="639"/>
                            <a:pt x="1160394" y="0"/>
                          </a:cubicBezTo>
                          <a:cubicBezTo>
                            <a:pt x="1271992" y="-639"/>
                            <a:pt x="1690095" y="-17621"/>
                            <a:pt x="1898826" y="0"/>
                          </a:cubicBezTo>
                          <a:cubicBezTo>
                            <a:pt x="2107557" y="17621"/>
                            <a:pt x="2345477" y="-961"/>
                            <a:pt x="2518581" y="0"/>
                          </a:cubicBezTo>
                          <a:cubicBezTo>
                            <a:pt x="2691685" y="961"/>
                            <a:pt x="2904574" y="-14602"/>
                            <a:pt x="3138337" y="0"/>
                          </a:cubicBezTo>
                          <a:cubicBezTo>
                            <a:pt x="3372100" y="14602"/>
                            <a:pt x="3786732" y="31274"/>
                            <a:pt x="3955887" y="0"/>
                          </a:cubicBezTo>
                          <a:cubicBezTo>
                            <a:pt x="3930258" y="153091"/>
                            <a:pt x="3938907" y="388037"/>
                            <a:pt x="3955887" y="557259"/>
                          </a:cubicBezTo>
                          <a:cubicBezTo>
                            <a:pt x="3972867" y="726481"/>
                            <a:pt x="3936808" y="1041516"/>
                            <a:pt x="3955887" y="1162976"/>
                          </a:cubicBezTo>
                          <a:cubicBezTo>
                            <a:pt x="3974966" y="1284436"/>
                            <a:pt x="3977884" y="1550686"/>
                            <a:pt x="3955887" y="1720235"/>
                          </a:cubicBezTo>
                          <a:cubicBezTo>
                            <a:pt x="3933890" y="1889784"/>
                            <a:pt x="3950310" y="2186830"/>
                            <a:pt x="3955887" y="2422866"/>
                          </a:cubicBezTo>
                          <a:cubicBezTo>
                            <a:pt x="3722378" y="2424068"/>
                            <a:pt x="3463801" y="2451234"/>
                            <a:pt x="3296573" y="2422866"/>
                          </a:cubicBezTo>
                          <a:cubicBezTo>
                            <a:pt x="3129345" y="2394498"/>
                            <a:pt x="2959512" y="2399138"/>
                            <a:pt x="2676817" y="2422866"/>
                          </a:cubicBezTo>
                          <a:cubicBezTo>
                            <a:pt x="2394122" y="2446594"/>
                            <a:pt x="2247728" y="2424824"/>
                            <a:pt x="1938385" y="2422866"/>
                          </a:cubicBezTo>
                          <a:cubicBezTo>
                            <a:pt x="1629042" y="2420908"/>
                            <a:pt x="1473775" y="2419415"/>
                            <a:pt x="1199952" y="2422866"/>
                          </a:cubicBezTo>
                          <a:cubicBezTo>
                            <a:pt x="926129" y="2426317"/>
                            <a:pt x="773165" y="2441368"/>
                            <a:pt x="619756" y="2422866"/>
                          </a:cubicBezTo>
                          <a:cubicBezTo>
                            <a:pt x="466347" y="2404364"/>
                            <a:pt x="292989" y="2441560"/>
                            <a:pt x="0" y="2422866"/>
                          </a:cubicBezTo>
                          <a:cubicBezTo>
                            <a:pt x="-32161" y="2240504"/>
                            <a:pt x="18512" y="2087405"/>
                            <a:pt x="0" y="1768692"/>
                          </a:cubicBezTo>
                          <a:cubicBezTo>
                            <a:pt x="-18512" y="1449979"/>
                            <a:pt x="25079" y="1345403"/>
                            <a:pt x="0" y="1235662"/>
                          </a:cubicBezTo>
                          <a:cubicBezTo>
                            <a:pt x="-25079" y="1125921"/>
                            <a:pt x="-3878" y="882580"/>
                            <a:pt x="0" y="678402"/>
                          </a:cubicBezTo>
                          <a:cubicBezTo>
                            <a:pt x="3878" y="474224"/>
                            <a:pt x="-19951" y="245028"/>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6B87B8" w14:textId="4ACB578B" w:rsidR="00204836" w:rsidRPr="00884FAA" w:rsidRDefault="00204836" w:rsidP="00D44A23">
      <w:pPr>
        <w:jc w:val="center"/>
      </w:pPr>
    </w:p>
    <w:p w14:paraId="5A6EF3F6" w14:textId="365B29F8" w:rsidR="008E0F7F" w:rsidRPr="00884FAA" w:rsidRDefault="00A8791D" w:rsidP="00651D06">
      <w:pPr>
        <w:pStyle w:val="Heading3"/>
      </w:pPr>
      <w:r>
        <w:lastRenderedPageBreak/>
        <w:t>S</w:t>
      </w:r>
      <w:r w:rsidR="00990E7A" w:rsidRPr="00884FAA">
        <w:t>elf-determination</w:t>
      </w:r>
    </w:p>
    <w:p w14:paraId="4C612D1A" w14:textId="55A28D1C" w:rsidR="007D3E14" w:rsidRDefault="007D3E14" w:rsidP="007D3E14">
      <w:pPr>
        <w:pStyle w:val="Caption"/>
        <w:keepNext/>
        <w:jc w:val="left"/>
      </w:pPr>
      <w:bookmarkStart w:id="147" w:name="_Toc138851331"/>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5</w:t>
      </w:r>
      <w:r w:rsidR="005B4A4F">
        <w:fldChar w:fldCharType="end"/>
      </w:r>
      <w:r w:rsidR="00C67475">
        <w:t>.</w:t>
      </w:r>
      <w:r>
        <w:t xml:space="preserve"> Babuny framework spotlight on self-determination</w:t>
      </w:r>
      <w:bookmarkEnd w:id="147"/>
    </w:p>
    <w:p w14:paraId="36FB2633" w14:textId="5BF553DC" w:rsidR="00C01FCE" w:rsidRPr="00C01FCE" w:rsidRDefault="00C01FCE" w:rsidP="00C01FCE">
      <w:pPr>
        <w:jc w:val="center"/>
        <w:rPr>
          <w:lang w:eastAsia="en-GB"/>
        </w:rPr>
      </w:pPr>
      <w:r w:rsidRPr="00EA5B32">
        <w:rPr>
          <w:noProof/>
        </w:rPr>
        <w:drawing>
          <wp:inline distT="0" distB="0" distL="0" distR="0" wp14:anchorId="6D9EF6E3" wp14:editId="7EB6529E">
            <wp:extent cx="4320000" cy="2081150"/>
            <wp:effectExtent l="38100" t="38100" r="23495" b="33655"/>
            <wp:docPr id="1734879470" name="Picture 1734879470">
              <a:extLst xmlns:a="http://schemas.openxmlformats.org/drawingml/2006/main">
                <a:ext uri="{FF2B5EF4-FFF2-40B4-BE49-F238E27FC236}">
                  <a16:creationId xmlns:a16="http://schemas.microsoft.com/office/drawing/2014/main" id="{134C017B-C513-8D41-ADF0-F32A54B8E3A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79470" name="Picture 1734879470">
                      <a:extLst>
                        <a:ext uri="{FF2B5EF4-FFF2-40B4-BE49-F238E27FC236}">
                          <a16:creationId xmlns:a16="http://schemas.microsoft.com/office/drawing/2014/main" id="{134C017B-C513-8D41-ADF0-F32A54B8E3A8}"/>
                        </a:ext>
                        <a:ext uri="{C183D7F6-B498-43B3-948B-1728B52AA6E4}">
                          <adec:decorative xmlns:adec="http://schemas.microsoft.com/office/drawing/2017/decorative" val="1"/>
                        </a:ext>
                      </a:extLst>
                    </pic:cNvPr>
                    <pic:cNvPicPr>
                      <a:picLocks noChangeAspect="1"/>
                    </pic:cNvPicPr>
                  </pic:nvPicPr>
                  <pic:blipFill rotWithShape="1">
                    <a:blip r:embed="rId96"/>
                    <a:srcRect l="6087" t="65057" r="8721" b="1172"/>
                    <a:stretch/>
                  </pic:blipFill>
                  <pic:spPr bwMode="auto">
                    <a:xfrm>
                      <a:off x="0" y="0"/>
                      <a:ext cx="4320000" cy="2081150"/>
                    </a:xfrm>
                    <a:custGeom>
                      <a:avLst/>
                      <a:gdLst>
                        <a:gd name="connsiteX0" fmla="*/ 0 w 3955887"/>
                        <a:gd name="connsiteY0" fmla="*/ 0 h 2422866"/>
                        <a:gd name="connsiteX1" fmla="*/ 619756 w 3955887"/>
                        <a:gd name="connsiteY1" fmla="*/ 0 h 2422866"/>
                        <a:gd name="connsiteX2" fmla="*/ 1199952 w 3955887"/>
                        <a:gd name="connsiteY2" fmla="*/ 0 h 2422866"/>
                        <a:gd name="connsiteX3" fmla="*/ 1898826 w 3955887"/>
                        <a:gd name="connsiteY3" fmla="*/ 0 h 2422866"/>
                        <a:gd name="connsiteX4" fmla="*/ 2558140 w 3955887"/>
                        <a:gd name="connsiteY4" fmla="*/ 0 h 2422866"/>
                        <a:gd name="connsiteX5" fmla="*/ 3217455 w 3955887"/>
                        <a:gd name="connsiteY5" fmla="*/ 0 h 2422866"/>
                        <a:gd name="connsiteX6" fmla="*/ 3955887 w 3955887"/>
                        <a:gd name="connsiteY6" fmla="*/ 0 h 2422866"/>
                        <a:gd name="connsiteX7" fmla="*/ 3955887 w 3955887"/>
                        <a:gd name="connsiteY7" fmla="*/ 629945 h 2422866"/>
                        <a:gd name="connsiteX8" fmla="*/ 3955887 w 3955887"/>
                        <a:gd name="connsiteY8" fmla="*/ 1187204 h 2422866"/>
                        <a:gd name="connsiteX9" fmla="*/ 3955887 w 3955887"/>
                        <a:gd name="connsiteY9" fmla="*/ 1817150 h 2422866"/>
                        <a:gd name="connsiteX10" fmla="*/ 3955887 w 3955887"/>
                        <a:gd name="connsiteY10" fmla="*/ 2422866 h 2422866"/>
                        <a:gd name="connsiteX11" fmla="*/ 3257014 w 3955887"/>
                        <a:gd name="connsiteY11" fmla="*/ 2422866 h 2422866"/>
                        <a:gd name="connsiteX12" fmla="*/ 2558140 w 3955887"/>
                        <a:gd name="connsiteY12" fmla="*/ 2422866 h 2422866"/>
                        <a:gd name="connsiteX13" fmla="*/ 1819708 w 3955887"/>
                        <a:gd name="connsiteY13" fmla="*/ 2422866 h 2422866"/>
                        <a:gd name="connsiteX14" fmla="*/ 1199952 w 3955887"/>
                        <a:gd name="connsiteY14" fmla="*/ 2422866 h 2422866"/>
                        <a:gd name="connsiteX15" fmla="*/ 0 w 3955887"/>
                        <a:gd name="connsiteY15" fmla="*/ 2422866 h 2422866"/>
                        <a:gd name="connsiteX16" fmla="*/ 0 w 3955887"/>
                        <a:gd name="connsiteY16" fmla="*/ 1865607 h 2422866"/>
                        <a:gd name="connsiteX17" fmla="*/ 0 w 3955887"/>
                        <a:gd name="connsiteY17" fmla="*/ 1259890 h 2422866"/>
                        <a:gd name="connsiteX18" fmla="*/ 0 w 3955887"/>
                        <a:gd name="connsiteY18" fmla="*/ 629945 h 2422866"/>
                        <a:gd name="connsiteX19" fmla="*/ 0 w 3955887"/>
                        <a:gd name="connsiteY19" fmla="*/ 0 h 24228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955887" h="2422866" fill="none" extrusionOk="0">
                          <a:moveTo>
                            <a:pt x="0" y="0"/>
                          </a:moveTo>
                          <a:cubicBezTo>
                            <a:pt x="197931" y="-21371"/>
                            <a:pt x="455079" y="-13312"/>
                            <a:pt x="619756" y="0"/>
                          </a:cubicBezTo>
                          <a:cubicBezTo>
                            <a:pt x="784433" y="13312"/>
                            <a:pt x="955965" y="7788"/>
                            <a:pt x="1199952" y="0"/>
                          </a:cubicBezTo>
                          <a:cubicBezTo>
                            <a:pt x="1443939" y="-7788"/>
                            <a:pt x="1571531" y="-21009"/>
                            <a:pt x="1898826" y="0"/>
                          </a:cubicBezTo>
                          <a:cubicBezTo>
                            <a:pt x="2226121" y="21009"/>
                            <a:pt x="2265576" y="-14392"/>
                            <a:pt x="2558140" y="0"/>
                          </a:cubicBezTo>
                          <a:cubicBezTo>
                            <a:pt x="2850704" y="14392"/>
                            <a:pt x="3012784" y="-22512"/>
                            <a:pt x="3217455" y="0"/>
                          </a:cubicBezTo>
                          <a:cubicBezTo>
                            <a:pt x="3422127" y="22512"/>
                            <a:pt x="3740733" y="-18786"/>
                            <a:pt x="3955887" y="0"/>
                          </a:cubicBezTo>
                          <a:cubicBezTo>
                            <a:pt x="3935085" y="155048"/>
                            <a:pt x="3973205" y="447834"/>
                            <a:pt x="3955887" y="629945"/>
                          </a:cubicBezTo>
                          <a:cubicBezTo>
                            <a:pt x="3938569" y="812056"/>
                            <a:pt x="3934604" y="955195"/>
                            <a:pt x="3955887" y="1187204"/>
                          </a:cubicBezTo>
                          <a:cubicBezTo>
                            <a:pt x="3977170" y="1419213"/>
                            <a:pt x="3938288" y="1626003"/>
                            <a:pt x="3955887" y="1817150"/>
                          </a:cubicBezTo>
                          <a:cubicBezTo>
                            <a:pt x="3973486" y="2008297"/>
                            <a:pt x="3943258" y="2173854"/>
                            <a:pt x="3955887" y="2422866"/>
                          </a:cubicBezTo>
                          <a:cubicBezTo>
                            <a:pt x="3754691" y="2435767"/>
                            <a:pt x="3459183" y="2443510"/>
                            <a:pt x="3257014" y="2422866"/>
                          </a:cubicBezTo>
                          <a:cubicBezTo>
                            <a:pt x="3054845" y="2402222"/>
                            <a:pt x="2729360" y="2454636"/>
                            <a:pt x="2558140" y="2422866"/>
                          </a:cubicBezTo>
                          <a:cubicBezTo>
                            <a:pt x="2386920" y="2391096"/>
                            <a:pt x="1982555" y="2411425"/>
                            <a:pt x="1819708" y="2422866"/>
                          </a:cubicBezTo>
                          <a:cubicBezTo>
                            <a:pt x="1656861" y="2434307"/>
                            <a:pt x="1502207" y="2417678"/>
                            <a:pt x="1199952" y="2422866"/>
                          </a:cubicBezTo>
                          <a:cubicBezTo>
                            <a:pt x="897697" y="2428054"/>
                            <a:pt x="356599" y="2432644"/>
                            <a:pt x="0" y="2422866"/>
                          </a:cubicBezTo>
                          <a:cubicBezTo>
                            <a:pt x="-20403" y="2265482"/>
                            <a:pt x="-12694" y="2027877"/>
                            <a:pt x="0" y="1865607"/>
                          </a:cubicBezTo>
                          <a:cubicBezTo>
                            <a:pt x="12694" y="1703337"/>
                            <a:pt x="4489" y="1544538"/>
                            <a:pt x="0" y="1259890"/>
                          </a:cubicBezTo>
                          <a:cubicBezTo>
                            <a:pt x="-4489" y="975242"/>
                            <a:pt x="8446" y="922254"/>
                            <a:pt x="0" y="629945"/>
                          </a:cubicBezTo>
                          <a:cubicBezTo>
                            <a:pt x="-8446" y="337636"/>
                            <a:pt x="-7705" y="165893"/>
                            <a:pt x="0" y="0"/>
                          </a:cubicBezTo>
                          <a:close/>
                        </a:path>
                        <a:path w="3955887" h="2422866" stroke="0" extrusionOk="0">
                          <a:moveTo>
                            <a:pt x="0" y="0"/>
                          </a:moveTo>
                          <a:cubicBezTo>
                            <a:pt x="297058" y="-23568"/>
                            <a:pt x="340319" y="-29524"/>
                            <a:pt x="619756" y="0"/>
                          </a:cubicBezTo>
                          <a:cubicBezTo>
                            <a:pt x="899193" y="29524"/>
                            <a:pt x="1048796" y="639"/>
                            <a:pt x="1160394" y="0"/>
                          </a:cubicBezTo>
                          <a:cubicBezTo>
                            <a:pt x="1271992" y="-639"/>
                            <a:pt x="1690095" y="-17621"/>
                            <a:pt x="1898826" y="0"/>
                          </a:cubicBezTo>
                          <a:cubicBezTo>
                            <a:pt x="2107557" y="17621"/>
                            <a:pt x="2345477" y="-961"/>
                            <a:pt x="2518581" y="0"/>
                          </a:cubicBezTo>
                          <a:cubicBezTo>
                            <a:pt x="2691685" y="961"/>
                            <a:pt x="2904574" y="-14602"/>
                            <a:pt x="3138337" y="0"/>
                          </a:cubicBezTo>
                          <a:cubicBezTo>
                            <a:pt x="3372100" y="14602"/>
                            <a:pt x="3786732" y="31274"/>
                            <a:pt x="3955887" y="0"/>
                          </a:cubicBezTo>
                          <a:cubicBezTo>
                            <a:pt x="3930258" y="153091"/>
                            <a:pt x="3938907" y="388037"/>
                            <a:pt x="3955887" y="557259"/>
                          </a:cubicBezTo>
                          <a:cubicBezTo>
                            <a:pt x="3972867" y="726481"/>
                            <a:pt x="3936808" y="1041516"/>
                            <a:pt x="3955887" y="1162976"/>
                          </a:cubicBezTo>
                          <a:cubicBezTo>
                            <a:pt x="3974966" y="1284436"/>
                            <a:pt x="3977884" y="1550686"/>
                            <a:pt x="3955887" y="1720235"/>
                          </a:cubicBezTo>
                          <a:cubicBezTo>
                            <a:pt x="3933890" y="1889784"/>
                            <a:pt x="3950310" y="2186830"/>
                            <a:pt x="3955887" y="2422866"/>
                          </a:cubicBezTo>
                          <a:cubicBezTo>
                            <a:pt x="3722378" y="2424068"/>
                            <a:pt x="3463801" y="2451234"/>
                            <a:pt x="3296573" y="2422866"/>
                          </a:cubicBezTo>
                          <a:cubicBezTo>
                            <a:pt x="3129345" y="2394498"/>
                            <a:pt x="2959512" y="2399138"/>
                            <a:pt x="2676817" y="2422866"/>
                          </a:cubicBezTo>
                          <a:cubicBezTo>
                            <a:pt x="2394122" y="2446594"/>
                            <a:pt x="2247728" y="2424824"/>
                            <a:pt x="1938385" y="2422866"/>
                          </a:cubicBezTo>
                          <a:cubicBezTo>
                            <a:pt x="1629042" y="2420908"/>
                            <a:pt x="1473775" y="2419415"/>
                            <a:pt x="1199952" y="2422866"/>
                          </a:cubicBezTo>
                          <a:cubicBezTo>
                            <a:pt x="926129" y="2426317"/>
                            <a:pt x="773165" y="2441368"/>
                            <a:pt x="619756" y="2422866"/>
                          </a:cubicBezTo>
                          <a:cubicBezTo>
                            <a:pt x="466347" y="2404364"/>
                            <a:pt x="292989" y="2441560"/>
                            <a:pt x="0" y="2422866"/>
                          </a:cubicBezTo>
                          <a:cubicBezTo>
                            <a:pt x="-32161" y="2240504"/>
                            <a:pt x="18512" y="2087405"/>
                            <a:pt x="0" y="1768692"/>
                          </a:cubicBezTo>
                          <a:cubicBezTo>
                            <a:pt x="-18512" y="1449979"/>
                            <a:pt x="25079" y="1345403"/>
                            <a:pt x="0" y="1235662"/>
                          </a:cubicBezTo>
                          <a:cubicBezTo>
                            <a:pt x="-25079" y="1125921"/>
                            <a:pt x="-3878" y="882580"/>
                            <a:pt x="0" y="678402"/>
                          </a:cubicBezTo>
                          <a:cubicBezTo>
                            <a:pt x="3878" y="474224"/>
                            <a:pt x="-19951" y="245028"/>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B4C4DC" w14:textId="48765C43" w:rsidR="00462D73" w:rsidRDefault="00462D73" w:rsidP="005C490E">
      <w:r w:rsidRPr="00884FAA" w:rsidDel="00543EBF">
        <w:t>Self</w:t>
      </w:r>
      <w:r w:rsidRPr="00884FAA">
        <w:t xml:space="preserve">-determination is valued </w:t>
      </w:r>
      <w:r>
        <w:t xml:space="preserve">by community members </w:t>
      </w:r>
      <w:r w:rsidRPr="00884FAA">
        <w:t xml:space="preserve">as necessary to ensure that health services can meet the needs of Aboriginal and Torres Strait Islander people. </w:t>
      </w:r>
      <w:r w:rsidR="005C490E" w:rsidRPr="00884FAA">
        <w:t>The</w:t>
      </w:r>
      <w:r w:rsidR="005D100A">
        <w:t xml:space="preserve"> </w:t>
      </w:r>
      <w:r w:rsidR="005C490E" w:rsidRPr="00884FAA">
        <w:t>taproot</w:t>
      </w:r>
      <w:r w:rsidR="000150E1">
        <w:rPr>
          <w:rStyle w:val="FootnoteReference"/>
        </w:rPr>
        <w:footnoteReference w:id="29"/>
      </w:r>
      <w:r w:rsidR="005141B3">
        <w:t xml:space="preserve"> </w:t>
      </w:r>
      <w:r w:rsidR="005C490E" w:rsidRPr="00884FAA">
        <w:t>on</w:t>
      </w:r>
      <w:r w:rsidR="00EA0DCD">
        <w:t xml:space="preserve"> </w:t>
      </w:r>
      <w:r w:rsidR="005C490E" w:rsidRPr="00884FAA">
        <w:t xml:space="preserve">Babuny represents </w:t>
      </w:r>
      <w:r w:rsidR="00543EBF" w:rsidRPr="00884FAA">
        <w:t>self-determination</w:t>
      </w:r>
      <w:r w:rsidR="005C490E" w:rsidRPr="00884FAA">
        <w:t xml:space="preserve">, the right of Aboriginal and Torres Strait Islander people to exercise meaningful control over their </w:t>
      </w:r>
      <w:r w:rsidR="005C490E" w:rsidRPr="00884FAA" w:rsidDel="00EA7307">
        <w:t>lives</w:t>
      </w:r>
      <w:r w:rsidR="00EA7307" w:rsidRPr="00884FAA">
        <w:t xml:space="preserve"> and</w:t>
      </w:r>
      <w:r w:rsidR="005C490E" w:rsidRPr="00884FAA">
        <w:t xml:space="preserve"> requires a substantive shift in the sharing of power by governments. </w:t>
      </w:r>
    </w:p>
    <w:p w14:paraId="0A446BD9" w14:textId="14F4B86E" w:rsidR="005C490E" w:rsidRPr="00884FAA" w:rsidRDefault="00EF0883" w:rsidP="005C490E">
      <w:r w:rsidRPr="00884FAA">
        <w:t>Community members</w:t>
      </w:r>
      <w:r w:rsidR="0059664D" w:rsidRPr="00884FAA" w:rsidDel="00DC50A7">
        <w:t xml:space="preserve"> </w:t>
      </w:r>
      <w:r w:rsidR="005C490E" w:rsidRPr="00884FAA">
        <w:t xml:space="preserve">value </w:t>
      </w:r>
      <w:r w:rsidR="00543EBF" w:rsidRPr="00884FAA">
        <w:t>community-controlled</w:t>
      </w:r>
      <w:r w:rsidR="005C490E" w:rsidRPr="00884FAA">
        <w:t xml:space="preserve"> health services as an expression of </w:t>
      </w:r>
      <w:r w:rsidR="00543EBF" w:rsidRPr="00884FAA">
        <w:t>self-determination</w:t>
      </w:r>
      <w:r w:rsidR="00500567" w:rsidRPr="00884FAA">
        <w:t xml:space="preserve">. However, </w:t>
      </w:r>
      <w:r w:rsidR="000F4461">
        <w:t>some participants</w:t>
      </w:r>
      <w:r w:rsidR="000F4461" w:rsidRPr="00884FAA">
        <w:t xml:space="preserve"> </w:t>
      </w:r>
      <w:r w:rsidR="005C490E" w:rsidRPr="00884FAA">
        <w:t xml:space="preserve">were critical of the constraints and control still exercised by different levels of government on the provision of </w:t>
      </w:r>
      <w:r w:rsidR="002C613A">
        <w:t xml:space="preserve">health </w:t>
      </w:r>
      <w:r w:rsidR="005C490E" w:rsidRPr="00884FAA">
        <w:t>services</w:t>
      </w:r>
      <w:r w:rsidR="002C613A">
        <w:t xml:space="preserve"> in community-controlled settings</w:t>
      </w:r>
      <w:r w:rsidR="005C490E" w:rsidRPr="00884FAA">
        <w:t>.</w:t>
      </w:r>
      <w:r w:rsidR="00D42F4D">
        <w:t xml:space="preserve"> </w:t>
      </w:r>
      <w:r w:rsidR="00D42F4D" w:rsidRPr="00D42F4D">
        <w:t xml:space="preserve">As one </w:t>
      </w:r>
      <w:r w:rsidR="00D42F4D">
        <w:t>E</w:t>
      </w:r>
      <w:r w:rsidR="00D42F4D" w:rsidRPr="00D42F4D">
        <w:t>lder described the current situation:</w:t>
      </w:r>
    </w:p>
    <w:p w14:paraId="67626A67" w14:textId="6ED1EB61" w:rsidR="00543EBF" w:rsidRPr="00A1178E" w:rsidRDefault="005C490E" w:rsidP="006D4226">
      <w:pPr>
        <w:pStyle w:val="Quote"/>
        <w:spacing w:after="0"/>
        <w:rPr>
          <w:color w:val="18525E" w:themeColor="accent5" w:themeShade="80"/>
        </w:rPr>
      </w:pPr>
      <w:r w:rsidRPr="00A1178E">
        <w:rPr>
          <w:color w:val="18525E" w:themeColor="accent5" w:themeShade="80"/>
        </w:rPr>
        <w:t xml:space="preserve">Yeah, but the white people don't make suggestions, they tell us what to do. You have to do this. </w:t>
      </w:r>
    </w:p>
    <w:p w14:paraId="7DEA0FD0" w14:textId="18B0BCA5" w:rsidR="005C490E" w:rsidRPr="00884FAA" w:rsidRDefault="002F0424" w:rsidP="006D4226">
      <w:pPr>
        <w:pStyle w:val="Quote"/>
        <w:spacing w:before="0"/>
        <w:jc w:val="right"/>
        <w:rPr>
          <w:b/>
          <w:color w:val="auto"/>
        </w:rPr>
      </w:pPr>
      <w:r w:rsidRPr="00884FAA">
        <w:rPr>
          <w:b/>
          <w:bCs/>
          <w:color w:val="auto"/>
        </w:rPr>
        <w:t xml:space="preserve">Community </w:t>
      </w:r>
      <w:r w:rsidR="00D42F4D">
        <w:rPr>
          <w:b/>
          <w:bCs/>
          <w:color w:val="auto"/>
        </w:rPr>
        <w:t>Elder</w:t>
      </w:r>
    </w:p>
    <w:p w14:paraId="176D904E" w14:textId="759F0C21" w:rsidR="005C490E" w:rsidRPr="00884FAA" w:rsidRDefault="005C490E" w:rsidP="005C490E">
      <w:r w:rsidRPr="00884FAA">
        <w:t>The difference in power and accountability between governments and the community was referenced by many community members who expressed the need for this to change</w:t>
      </w:r>
      <w:r w:rsidR="00D42F4D">
        <w:t>:</w:t>
      </w:r>
    </w:p>
    <w:p w14:paraId="1C3BAE6D" w14:textId="61D8140B" w:rsidR="00543EBF" w:rsidRPr="00A1178E" w:rsidRDefault="005C490E" w:rsidP="006D4226">
      <w:pPr>
        <w:pStyle w:val="Quote"/>
        <w:spacing w:after="0"/>
        <w:rPr>
          <w:color w:val="18525E" w:themeColor="accent5" w:themeShade="80"/>
        </w:rPr>
      </w:pPr>
      <w:r w:rsidRPr="00A1178E">
        <w:rPr>
          <w:color w:val="18525E" w:themeColor="accent5" w:themeShade="80"/>
        </w:rPr>
        <w:t xml:space="preserve">But at the end of the day, no one is taking the moral thing and accepting that our health is falling behind. It’s not about your power, it’s not about your bucket of money; it’s about our health, and empowering the whole damn lot of us, to get on a same level as what a white person is born with. </w:t>
      </w:r>
    </w:p>
    <w:p w14:paraId="6145CFFC" w14:textId="6AC5E3EE" w:rsidR="005C490E" w:rsidRPr="00884FAA" w:rsidRDefault="005C490E" w:rsidP="006D4226">
      <w:pPr>
        <w:pStyle w:val="Quote"/>
        <w:spacing w:before="0"/>
        <w:jc w:val="right"/>
        <w:rPr>
          <w:b/>
          <w:color w:val="auto"/>
        </w:rPr>
      </w:pPr>
      <w:r w:rsidRPr="00884FAA">
        <w:rPr>
          <w:b/>
          <w:color w:val="auto"/>
        </w:rPr>
        <w:t xml:space="preserve">Community </w:t>
      </w:r>
      <w:r w:rsidR="00B442A6" w:rsidRPr="00884FAA">
        <w:rPr>
          <w:b/>
          <w:bCs/>
          <w:color w:val="auto"/>
        </w:rPr>
        <w:t>member</w:t>
      </w:r>
    </w:p>
    <w:p w14:paraId="5AEAD213" w14:textId="65A5431F" w:rsidR="005C490E" w:rsidRPr="00884FAA" w:rsidRDefault="005C490E" w:rsidP="005C490E">
      <w:r w:rsidRPr="00884FAA">
        <w:t xml:space="preserve">Entwined with </w:t>
      </w:r>
      <w:r w:rsidR="008A151B" w:rsidRPr="00884FAA">
        <w:t>self-determination</w:t>
      </w:r>
      <w:r w:rsidRPr="00884FAA">
        <w:t xml:space="preserve"> is the need for Aboriginal and Torres Strait Islander leadership within and beyond the community</w:t>
      </w:r>
      <w:r w:rsidR="004232FB" w:rsidRPr="00884FAA">
        <w:t>-</w:t>
      </w:r>
      <w:r w:rsidRPr="00884FAA">
        <w:t xml:space="preserve">controlled sector. Aboriginal and Torres Strait Islander leadership </w:t>
      </w:r>
      <w:r w:rsidR="00B104CE">
        <w:t xml:space="preserve">shapes </w:t>
      </w:r>
      <w:r w:rsidRPr="00884FAA">
        <w:t xml:space="preserve">health systems by embedding </w:t>
      </w:r>
      <w:r w:rsidR="00247910">
        <w:t xml:space="preserve">what people </w:t>
      </w:r>
      <w:r w:rsidRPr="00884FAA">
        <w:t xml:space="preserve">value and </w:t>
      </w:r>
      <w:r w:rsidR="00506E5F">
        <w:t xml:space="preserve">the </w:t>
      </w:r>
      <w:r w:rsidRPr="00884FAA">
        <w:t xml:space="preserve">ways of </w:t>
      </w:r>
      <w:r w:rsidRPr="00884FAA">
        <w:lastRenderedPageBreak/>
        <w:t>being of Aboriginal and Torres Strait Islander communities into institutional decisions and processes. Community members recognised the challenges for Aboriginal and Torres Strait Islander leaders working to meet the needs of their communities</w:t>
      </w:r>
      <w:r w:rsidR="00620DFA">
        <w:t>.</w:t>
      </w:r>
      <w:r w:rsidRPr="00884FAA">
        <w:t xml:space="preserve"> These roles </w:t>
      </w:r>
      <w:r w:rsidR="00CB2C09">
        <w:t>are</w:t>
      </w:r>
      <w:r w:rsidR="00CB2C09" w:rsidRPr="00884FAA">
        <w:t xml:space="preserve"> </w:t>
      </w:r>
      <w:r w:rsidRPr="00884FAA">
        <w:t xml:space="preserve">understood and valued as an expression of care for community through shaping how </w:t>
      </w:r>
      <w:r w:rsidR="00807F93" w:rsidRPr="00884FAA">
        <w:t>health care</w:t>
      </w:r>
      <w:r w:rsidRPr="00884FAA">
        <w:t xml:space="preserve"> was delivered and experienced. </w:t>
      </w:r>
    </w:p>
    <w:p w14:paraId="7D8A0AE6" w14:textId="7FD3DA0B" w:rsidR="005C490E" w:rsidRPr="00884FAA" w:rsidRDefault="005C490E" w:rsidP="005C490E">
      <w:r w:rsidRPr="00884FAA">
        <w:t xml:space="preserve">Aboriginal and Torres Strait Islander people value health service design and delivery that draws on knowledge, understanding, and respect to ensure safe and appropriate </w:t>
      </w:r>
      <w:r w:rsidR="00807F93" w:rsidRPr="00884FAA">
        <w:t>health care</w:t>
      </w:r>
      <w:r w:rsidRPr="00884FAA">
        <w:t xml:space="preserve"> experiences and outcomes that meet the community’s needs. This occurs when </w:t>
      </w:r>
      <w:r w:rsidR="00807F93" w:rsidRPr="00884FAA">
        <w:t>health care</w:t>
      </w:r>
      <w:r w:rsidRPr="00884FAA">
        <w:t xml:space="preserve"> has active and meaningful community participation to allow input to influence service design and delivery, particularly beyond the ACCH</w:t>
      </w:r>
      <w:r w:rsidR="0000659D" w:rsidRPr="00884FAA">
        <w:t>S</w:t>
      </w:r>
      <w:r w:rsidRPr="00884FAA">
        <w:t xml:space="preserve"> sector. </w:t>
      </w:r>
    </w:p>
    <w:p w14:paraId="31F92B95" w14:textId="0E43E71F" w:rsidR="008E0F7F" w:rsidRPr="00884FAA" w:rsidRDefault="005C490E" w:rsidP="00651D06">
      <w:pPr>
        <w:pStyle w:val="Heading3"/>
      </w:pPr>
      <w:r w:rsidRPr="00884FAA">
        <w:t xml:space="preserve">Resourcing </w:t>
      </w:r>
    </w:p>
    <w:p w14:paraId="33D11E41" w14:textId="163AF83B" w:rsidR="005C490E" w:rsidRPr="00884FAA" w:rsidRDefault="005C490E" w:rsidP="005C490E">
      <w:r w:rsidRPr="00884FAA">
        <w:t xml:space="preserve">Community members identified appropriate resourcing as including equitable, ongoing funding, having appropriate infrastructure, and the employment of Aboriginal and Torres Strait Islander staff who had opportunities for career progress and development. </w:t>
      </w:r>
      <w:r w:rsidR="00AC2D7E" w:rsidRPr="00884FAA">
        <w:t>Community members</w:t>
      </w:r>
      <w:r w:rsidRPr="00884FAA">
        <w:t xml:space="preserve"> are aware of the influence of funding, in particular its short-term nature and erosion over time. Woven through the yarns </w:t>
      </w:r>
      <w:r w:rsidR="00B8508E" w:rsidRPr="00884FAA">
        <w:t>with community members</w:t>
      </w:r>
      <w:r w:rsidRPr="00884FAA">
        <w:t xml:space="preserve"> were experiences of highly valued programs and services that had been implemented, were starting to create health gains, and then defunded or cancelled</w:t>
      </w:r>
      <w:r w:rsidR="006C29BE">
        <w:t>.</w:t>
      </w:r>
      <w:r w:rsidR="00260119">
        <w:t xml:space="preserve"> </w:t>
      </w:r>
      <w:r w:rsidR="00DB3D24" w:rsidRPr="00DB3D24">
        <w:t>These experiences of defunding were often unexpected and disempowering as reflected by community’s members descriptions of the work involved in designing, resourcing and delivering programs, the observations of improvements in health and wellbeing, followed by the blunt ending:</w:t>
      </w:r>
    </w:p>
    <w:p w14:paraId="57AA33D3" w14:textId="77777777" w:rsidR="00B8508E" w:rsidRPr="00A1178E" w:rsidRDefault="005C490E" w:rsidP="00BB3C21">
      <w:pPr>
        <w:pStyle w:val="Quote"/>
        <w:spacing w:after="0"/>
        <w:rPr>
          <w:color w:val="18525E" w:themeColor="accent5" w:themeShade="80"/>
        </w:rPr>
      </w:pPr>
      <w:r w:rsidRPr="00A1178E">
        <w:rPr>
          <w:color w:val="18525E" w:themeColor="accent5" w:themeShade="80"/>
        </w:rPr>
        <w:t xml:space="preserve">So what did the government do, pull the funding on the lot. </w:t>
      </w:r>
    </w:p>
    <w:p w14:paraId="78827176" w14:textId="2BB4F1BA" w:rsidR="005C490E" w:rsidRPr="00BB3C21" w:rsidRDefault="005C490E" w:rsidP="00BB3C21">
      <w:pPr>
        <w:pStyle w:val="Quote"/>
        <w:spacing w:before="0"/>
        <w:jc w:val="right"/>
        <w:rPr>
          <w:b/>
          <w:bCs/>
          <w:color w:val="auto"/>
        </w:rPr>
      </w:pPr>
      <w:r w:rsidRPr="00E93837">
        <w:rPr>
          <w:b/>
          <w:color w:val="auto"/>
        </w:rPr>
        <w:t xml:space="preserve">Community </w:t>
      </w:r>
      <w:r w:rsidR="00B8508E" w:rsidRPr="00E93837">
        <w:rPr>
          <w:b/>
          <w:color w:val="auto"/>
        </w:rPr>
        <w:t>member</w:t>
      </w:r>
    </w:p>
    <w:p w14:paraId="3F47B181" w14:textId="64DE6770" w:rsidR="005C490E" w:rsidRPr="00884FAA" w:rsidRDefault="005C490E" w:rsidP="005C490E">
      <w:r w:rsidRPr="00884FAA">
        <w:t xml:space="preserve">Community members do not value short-term funded programs and </w:t>
      </w:r>
      <w:r w:rsidR="000A673D">
        <w:t>some partici</w:t>
      </w:r>
      <w:r w:rsidR="006D3BAF">
        <w:t>pants reported</w:t>
      </w:r>
      <w:r w:rsidRPr="00884FAA">
        <w:t xml:space="preserve"> not bother</w:t>
      </w:r>
      <w:r w:rsidR="006D3BAF">
        <w:t>ing</w:t>
      </w:r>
      <w:r w:rsidRPr="00884FAA">
        <w:t xml:space="preserve"> to start programs that they </w:t>
      </w:r>
      <w:r w:rsidR="004A1C8D">
        <w:t xml:space="preserve">think will </w:t>
      </w:r>
      <w:r w:rsidRPr="00884FAA">
        <w:t xml:space="preserve">not continue. They do, however, value funding that enables the appropriate and ongoing delivery of clinical services and programs within their community and with a consistency that allows health benefits to be realised and embedded. </w:t>
      </w:r>
      <w:r w:rsidR="002F0424" w:rsidRPr="00884FAA">
        <w:t>Community members</w:t>
      </w:r>
      <w:r w:rsidRPr="00884FAA">
        <w:t xml:space="preserve"> also appreciated the consistency of funding as an important enabler for the ongoing employment of Aboriginal and Torres Strait Islander people, particularly health workers.</w:t>
      </w:r>
    </w:p>
    <w:p w14:paraId="28A4F41D" w14:textId="77777777" w:rsidR="00811274" w:rsidRDefault="005C490E" w:rsidP="005C490E">
      <w:r w:rsidRPr="00884FAA">
        <w:t xml:space="preserve">Community members value having </w:t>
      </w:r>
      <w:r w:rsidR="00807F93" w:rsidRPr="00884FAA">
        <w:t>health care</w:t>
      </w:r>
      <w:r w:rsidRPr="00884FAA">
        <w:t xml:space="preserve"> provided in single locations where they felt welcome and safe. Co</w:t>
      </w:r>
      <w:r w:rsidR="002F0424" w:rsidRPr="00884FAA">
        <w:t>-</w:t>
      </w:r>
      <w:r w:rsidRPr="00884FAA">
        <w:t xml:space="preserve">location was valued because it was associated with ease of access, better care coordination, and supported a comprehensive </w:t>
      </w:r>
      <w:r w:rsidR="00807F93" w:rsidRPr="00884FAA">
        <w:t>health care</w:t>
      </w:r>
      <w:r w:rsidRPr="00884FAA">
        <w:t xml:space="preserve"> model. Building design that incorporated spaces for people to connect w</w:t>
      </w:r>
      <w:r w:rsidR="00B9256C" w:rsidRPr="00884FAA">
        <w:t>as</w:t>
      </w:r>
      <w:r w:rsidRPr="00884FAA">
        <w:t xml:space="preserve"> highly valued by community members. At several ACCH</w:t>
      </w:r>
      <w:r w:rsidR="00B9256C" w:rsidRPr="00884FAA">
        <w:t>S</w:t>
      </w:r>
      <w:r w:rsidRPr="00884FAA">
        <w:t>s</w:t>
      </w:r>
      <w:r w:rsidR="00204239" w:rsidRPr="00884FAA">
        <w:t>,</w:t>
      </w:r>
      <w:r w:rsidRPr="00884FAA">
        <w:t xml:space="preserve"> buildings include simple courtyards and meeting rooms that were used for community events, delivering health education and promotion programs, and support</w:t>
      </w:r>
      <w:r w:rsidR="002F0424" w:rsidRPr="00884FAA">
        <w:t>ing</w:t>
      </w:r>
      <w:r w:rsidRPr="00884FAA">
        <w:t xml:space="preserve"> other community initiatives. Courtyards provided safe spaces where people could connect with others whilst visiting the service or waiting for transport. </w:t>
      </w:r>
    </w:p>
    <w:p w14:paraId="37CA9C73" w14:textId="77777777" w:rsidR="00811274" w:rsidRDefault="00811274" w:rsidP="005C490E"/>
    <w:p w14:paraId="69ABEE2A" w14:textId="5B35BE19" w:rsidR="005C490E" w:rsidRPr="00884FAA" w:rsidRDefault="00735256" w:rsidP="005C490E">
      <w:r w:rsidRPr="00735256">
        <w:lastRenderedPageBreak/>
        <w:t xml:space="preserve">One </w:t>
      </w:r>
      <w:r>
        <w:t>E</w:t>
      </w:r>
      <w:r w:rsidRPr="00735256">
        <w:t>lder described how the courtyard at their ACCH</w:t>
      </w:r>
      <w:r w:rsidR="00E07F99">
        <w:t>S</w:t>
      </w:r>
      <w:r w:rsidRPr="00735256">
        <w:t xml:space="preserve"> provided a space for people to connect:</w:t>
      </w:r>
    </w:p>
    <w:p w14:paraId="28B903F5" w14:textId="6E3ADCB3" w:rsidR="000E32CF" w:rsidRPr="00A1178E" w:rsidRDefault="005C490E" w:rsidP="00BB3C21">
      <w:pPr>
        <w:pStyle w:val="Quote"/>
        <w:spacing w:after="0"/>
        <w:rPr>
          <w:color w:val="18525E" w:themeColor="accent5" w:themeShade="80"/>
        </w:rPr>
      </w:pPr>
      <w:r w:rsidRPr="00A1178E">
        <w:rPr>
          <w:color w:val="18525E" w:themeColor="accent5" w:themeShade="80"/>
        </w:rPr>
        <w:t xml:space="preserve">When you come here and sitting in medical you see them walk in the door and you all sit there [courtyard] and have a yarn while you wait to see the doctors. </w:t>
      </w:r>
    </w:p>
    <w:p w14:paraId="03DC9F26" w14:textId="41D150B2" w:rsidR="005C490E" w:rsidRPr="00BB3C21" w:rsidRDefault="005C490E" w:rsidP="008954E7">
      <w:pPr>
        <w:pStyle w:val="Quote"/>
        <w:spacing w:before="120"/>
        <w:ind w:left="562"/>
        <w:jc w:val="right"/>
        <w:rPr>
          <w:b/>
          <w:bCs/>
          <w:color w:val="auto"/>
        </w:rPr>
      </w:pPr>
      <w:r w:rsidRPr="00BB3C21">
        <w:rPr>
          <w:b/>
          <w:bCs/>
          <w:color w:val="auto"/>
        </w:rPr>
        <w:t xml:space="preserve">Community </w:t>
      </w:r>
      <w:r w:rsidR="00735256">
        <w:rPr>
          <w:b/>
          <w:bCs/>
          <w:color w:val="auto"/>
        </w:rPr>
        <w:t>Elder</w:t>
      </w:r>
      <w:r w:rsidR="00735256" w:rsidRPr="00BB3C21">
        <w:rPr>
          <w:b/>
          <w:bCs/>
          <w:color w:val="auto"/>
        </w:rPr>
        <w:t xml:space="preserve"> </w:t>
      </w:r>
    </w:p>
    <w:p w14:paraId="41D218C5" w14:textId="317CB294" w:rsidR="005C490E" w:rsidRPr="00884FAA" w:rsidRDefault="005C490E" w:rsidP="005C490E">
      <w:r w:rsidRPr="00884FAA">
        <w:t>Community members highly value Aboriginal and Torres Strait Islander staff in a health service</w:t>
      </w:r>
      <w:r w:rsidR="00931B93" w:rsidRPr="00884FAA">
        <w:t xml:space="preserve">, as well as the </w:t>
      </w:r>
      <w:r w:rsidRPr="00884FAA">
        <w:t xml:space="preserve">positive influence </w:t>
      </w:r>
      <w:r w:rsidR="00931B93" w:rsidRPr="00884FAA">
        <w:t xml:space="preserve">those staff have </w:t>
      </w:r>
      <w:r w:rsidRPr="00884FAA">
        <w:t xml:space="preserve">on service design and delivery when given opportunities for progress and influence. The latter is related to service design processes and environments that support Aboriginal and Torres Strait Islander self-determination and leadership that are highly valued by the community. </w:t>
      </w:r>
      <w:r w:rsidR="0091675A" w:rsidRPr="00884FAA">
        <w:t>Community members</w:t>
      </w:r>
      <w:r w:rsidRPr="00884FAA">
        <w:t xml:space="preserve"> value Aboriginal and Torres Strait Islander clinicians and operations staff for the cultural safety and familiarity they provide</w:t>
      </w:r>
      <w:r w:rsidR="00192951">
        <w:t>,</w:t>
      </w:r>
      <w:r w:rsidRPr="00884FAA">
        <w:t xml:space="preserve"> in addition to their professional skills and knowledge. Community members spoke with pride of Aboriginal and Torres Strait Islander staff and how </w:t>
      </w:r>
      <w:r w:rsidR="007A5215">
        <w:t>the</w:t>
      </w:r>
      <w:r w:rsidR="007A5215" w:rsidRPr="00884FAA">
        <w:t xml:space="preserve"> </w:t>
      </w:r>
      <w:r w:rsidRPr="00884FAA">
        <w:t xml:space="preserve">contributions and achievements </w:t>
      </w:r>
      <w:r w:rsidR="007A5215">
        <w:t xml:space="preserve">of these staff </w:t>
      </w:r>
      <w:r w:rsidRPr="00884FAA">
        <w:t>also created longer term impact</w:t>
      </w:r>
      <w:r w:rsidR="004D5929" w:rsidRPr="00884FAA">
        <w:t>.</w:t>
      </w:r>
    </w:p>
    <w:p w14:paraId="48F4821A" w14:textId="77777777" w:rsidR="00931B93" w:rsidRPr="00A1178E" w:rsidRDefault="005C490E" w:rsidP="00BB3C21">
      <w:pPr>
        <w:pStyle w:val="Quote"/>
        <w:spacing w:after="0"/>
        <w:rPr>
          <w:color w:val="18525E" w:themeColor="accent5" w:themeShade="80"/>
        </w:rPr>
      </w:pPr>
      <w:r w:rsidRPr="00A1178E">
        <w:rPr>
          <w:color w:val="18525E" w:themeColor="accent5" w:themeShade="80"/>
        </w:rPr>
        <w:t>And it encourages Aboriginal people then, because that becomes self</w:t>
      </w:r>
      <w:r w:rsidR="00323F5B" w:rsidRPr="00A1178E">
        <w:rPr>
          <w:color w:val="18525E" w:themeColor="accent5" w:themeShade="80"/>
        </w:rPr>
        <w:t>-</w:t>
      </w:r>
      <w:r w:rsidRPr="00A1178E">
        <w:rPr>
          <w:color w:val="18525E" w:themeColor="accent5" w:themeShade="80"/>
        </w:rPr>
        <w:t>sufficiency, self</w:t>
      </w:r>
      <w:r w:rsidR="00323F5B" w:rsidRPr="00A1178E">
        <w:rPr>
          <w:color w:val="18525E" w:themeColor="accent5" w:themeShade="80"/>
        </w:rPr>
        <w:t>-</w:t>
      </w:r>
      <w:r w:rsidRPr="00A1178E">
        <w:rPr>
          <w:color w:val="18525E" w:themeColor="accent5" w:themeShade="80"/>
        </w:rPr>
        <w:t>determination. And people don't understand that is a part of our cultural practice</w:t>
      </w:r>
      <w:r w:rsidR="0091675A" w:rsidRPr="00A1178E">
        <w:rPr>
          <w:color w:val="18525E" w:themeColor="accent5" w:themeShade="80"/>
        </w:rPr>
        <w:t>.</w:t>
      </w:r>
      <w:r w:rsidRPr="00A1178E">
        <w:rPr>
          <w:color w:val="18525E" w:themeColor="accent5" w:themeShade="80"/>
        </w:rPr>
        <w:t xml:space="preserve"> </w:t>
      </w:r>
    </w:p>
    <w:p w14:paraId="340D1E99" w14:textId="474BFB4D" w:rsidR="005C490E" w:rsidRPr="00BB3C21" w:rsidRDefault="005C490E" w:rsidP="008954E7">
      <w:pPr>
        <w:pStyle w:val="Quote"/>
        <w:spacing w:before="120"/>
        <w:ind w:left="562"/>
        <w:jc w:val="right"/>
        <w:rPr>
          <w:b/>
          <w:bCs/>
          <w:color w:val="auto"/>
        </w:rPr>
      </w:pPr>
      <w:r w:rsidRPr="00BB3C21">
        <w:rPr>
          <w:b/>
          <w:bCs/>
          <w:color w:val="auto"/>
        </w:rPr>
        <w:t xml:space="preserve">Community </w:t>
      </w:r>
      <w:r w:rsidR="00323F5B" w:rsidRPr="00BB3C21">
        <w:rPr>
          <w:b/>
          <w:bCs/>
          <w:color w:val="auto"/>
        </w:rPr>
        <w:t>member</w:t>
      </w:r>
    </w:p>
    <w:p w14:paraId="765BB609" w14:textId="7A7B5DB4" w:rsidR="005C490E" w:rsidRPr="00884FAA" w:rsidRDefault="005C490E" w:rsidP="005C490E">
      <w:r w:rsidRPr="00884FAA">
        <w:t xml:space="preserve">Having Aboriginal and Torres Strait Islander staff created a feeling of welcome, safety, and understanding. Aboriginal and Torres Strait Islander staff </w:t>
      </w:r>
      <w:r w:rsidR="00043D47" w:rsidRPr="00884FAA">
        <w:t>are</w:t>
      </w:r>
      <w:r w:rsidRPr="00884FAA">
        <w:t xml:space="preserve"> valued for the benefit to community members in terms of the care they receive as well as the opportunity employment offered</w:t>
      </w:r>
      <w:r w:rsidR="00BA1186" w:rsidRPr="00884FAA">
        <w:t>,</w:t>
      </w:r>
      <w:r w:rsidRPr="00884FAA">
        <w:t xml:space="preserve"> particularly </w:t>
      </w:r>
      <w:r w:rsidR="00BA1186" w:rsidRPr="00884FAA">
        <w:t xml:space="preserve">for </w:t>
      </w:r>
      <w:r w:rsidRPr="00884FAA">
        <w:t xml:space="preserve">young people. Aboriginal and Torres Strait Islander staff were often those identified as </w:t>
      </w:r>
      <w:r w:rsidR="00043D47" w:rsidRPr="00884FAA">
        <w:t>‘</w:t>
      </w:r>
      <w:r w:rsidRPr="00884FAA">
        <w:rPr>
          <w:i/>
          <w:iCs/>
        </w:rPr>
        <w:t>going the extra mile</w:t>
      </w:r>
      <w:r w:rsidR="00043D47" w:rsidRPr="00884FAA">
        <w:rPr>
          <w:i/>
          <w:iCs/>
        </w:rPr>
        <w:t>’</w:t>
      </w:r>
      <w:r w:rsidRPr="00884FAA">
        <w:t>, and community members want to see them better supported and rewarded for the work they do</w:t>
      </w:r>
      <w:r w:rsidR="00043D47" w:rsidRPr="00884FAA">
        <w:t>.</w:t>
      </w:r>
    </w:p>
    <w:p w14:paraId="2379B17E" w14:textId="3F6DB909" w:rsidR="001C2AC6" w:rsidRPr="00A1178E" w:rsidRDefault="005C490E" w:rsidP="00BB3C21">
      <w:pPr>
        <w:pStyle w:val="Quote"/>
        <w:spacing w:after="0"/>
        <w:rPr>
          <w:color w:val="18525E" w:themeColor="accent5" w:themeShade="80"/>
        </w:rPr>
      </w:pPr>
      <w:r w:rsidRPr="00A1178E">
        <w:rPr>
          <w:color w:val="18525E" w:themeColor="accent5" w:themeShade="80"/>
        </w:rPr>
        <w:t>Those people that are</w:t>
      </w:r>
      <w:r w:rsidR="008E53C5" w:rsidRPr="00A1178E">
        <w:rPr>
          <w:color w:val="18525E" w:themeColor="accent5" w:themeShade="80"/>
        </w:rPr>
        <w:t xml:space="preserve"> </w:t>
      </w:r>
      <w:r w:rsidRPr="00A1178E">
        <w:rPr>
          <w:color w:val="18525E" w:themeColor="accent5" w:themeShade="80"/>
        </w:rPr>
        <w:t xml:space="preserve">… I don’t want to say good, but they’re the doers in the community. They have that many hats, and you know, you have to be really, really strong to just not get burnt out. </w:t>
      </w:r>
    </w:p>
    <w:p w14:paraId="37636B09" w14:textId="33843B37" w:rsidR="005C490E" w:rsidRDefault="005C490E" w:rsidP="00BB3C21">
      <w:pPr>
        <w:pStyle w:val="Quote"/>
        <w:spacing w:before="0"/>
        <w:jc w:val="right"/>
        <w:rPr>
          <w:b/>
          <w:color w:val="auto"/>
        </w:rPr>
      </w:pPr>
      <w:r w:rsidRPr="00884FAA">
        <w:rPr>
          <w:b/>
          <w:color w:val="auto"/>
        </w:rPr>
        <w:t xml:space="preserve">Community </w:t>
      </w:r>
      <w:r w:rsidR="008E53C5" w:rsidRPr="00884FAA">
        <w:rPr>
          <w:b/>
          <w:color w:val="auto"/>
        </w:rPr>
        <w:t>member</w:t>
      </w:r>
    </w:p>
    <w:p w14:paraId="063EF80F" w14:textId="38BF18DD" w:rsidR="00A91E62" w:rsidRDefault="00A91E62">
      <w:pPr>
        <w:jc w:val="left"/>
      </w:pPr>
      <w:r>
        <w:br w:type="page"/>
      </w:r>
    </w:p>
    <w:p w14:paraId="6067BDFC" w14:textId="0FAFCD7D" w:rsidR="00362E8E" w:rsidRPr="00884FAA" w:rsidRDefault="00362E8E" w:rsidP="0035030F">
      <w:pPr>
        <w:pStyle w:val="Heading2"/>
      </w:pPr>
      <w:bookmarkStart w:id="148" w:name="_Toc137208907"/>
      <w:r w:rsidRPr="00884FAA">
        <w:lastRenderedPageBreak/>
        <w:t>Responsibility and resistance</w:t>
      </w:r>
      <w:bookmarkEnd w:id="148"/>
      <w:r w:rsidRPr="00884FAA">
        <w:t xml:space="preserve"> </w:t>
      </w:r>
    </w:p>
    <w:p w14:paraId="40C2E5E6" w14:textId="4FB7D367" w:rsidR="005C490E" w:rsidRDefault="006B6F65" w:rsidP="005C490E">
      <w:r>
        <w:t>H</w:t>
      </w:r>
      <w:r w:rsidRPr="003C28D7">
        <w:t>ealth services and systems develop their capacity over time, beyond the physical assets are the processes, policies, culture, and ways of doing that all institutions possess.</w:t>
      </w:r>
      <w:r w:rsidR="008B170B">
        <w:t xml:space="preserve"> A health service transforms these </w:t>
      </w:r>
      <w:r w:rsidR="00D14D03">
        <w:t xml:space="preserve">resources into </w:t>
      </w:r>
      <w:r w:rsidR="00E44105" w:rsidRPr="003C28D7">
        <w:t>services whilst power and influence are transformed into institutional structures such as policies and processes.</w:t>
      </w:r>
      <w:r w:rsidR="00E4025C">
        <w:t xml:space="preserve"> </w:t>
      </w:r>
      <w:r w:rsidR="009E72A1">
        <w:t>Similarly, a</w:t>
      </w:r>
      <w:r w:rsidR="00D14D03" w:rsidRPr="00E44105">
        <w:t xml:space="preserve"> </w:t>
      </w:r>
      <w:r w:rsidR="00D14D03" w:rsidRPr="003C28D7">
        <w:t xml:space="preserve">tree’s trunk is the conduit that moves the water and nutrients to sustain the branches, leaves and produce of the tree and provides the tree’s strength and structure. </w:t>
      </w:r>
      <w:r w:rsidR="00E44105" w:rsidRPr="003C28D7">
        <w:t xml:space="preserve">Babuny’s distinctive trunk forms over a number of years fed from the resources drawn from its roots and acts as a buffer to fluctuations in the availability of resources, reflecting its resistance and capacity. </w:t>
      </w:r>
    </w:p>
    <w:p w14:paraId="1CDA652F" w14:textId="2277C55A" w:rsidR="00576AD2" w:rsidRDefault="00576AD2" w:rsidP="00576AD2">
      <w:pPr>
        <w:pStyle w:val="Caption"/>
        <w:keepNext/>
        <w:jc w:val="left"/>
      </w:pPr>
      <w:bookmarkStart w:id="149" w:name="_Toc138851332"/>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6</w:t>
      </w:r>
      <w:r w:rsidR="005B4A4F">
        <w:fldChar w:fldCharType="end"/>
      </w:r>
      <w:r w:rsidR="00C67475">
        <w:t>.</w:t>
      </w:r>
      <w:r>
        <w:t xml:space="preserve"> Babuny framework spotlight on responsibility and resistance</w:t>
      </w:r>
      <w:bookmarkEnd w:id="149"/>
    </w:p>
    <w:p w14:paraId="255406EC" w14:textId="1870404E" w:rsidR="00AF64F9" w:rsidRPr="00884FAA" w:rsidRDefault="003C1B0B" w:rsidP="005A2E8C">
      <w:pPr>
        <w:jc w:val="center"/>
      </w:pPr>
      <w:r w:rsidRPr="003C1B0B">
        <w:rPr>
          <w:noProof/>
        </w:rPr>
        <w:drawing>
          <wp:inline distT="0" distB="0" distL="0" distR="0" wp14:anchorId="255F9DD2" wp14:editId="338C79ED">
            <wp:extent cx="4319269" cy="1914525"/>
            <wp:effectExtent l="38100" t="38100" r="43815" b="28575"/>
            <wp:docPr id="1632298737" name="Picture 1632298737">
              <a:extLst xmlns:a="http://schemas.openxmlformats.org/drawingml/2006/main">
                <a:ext uri="{FF2B5EF4-FFF2-40B4-BE49-F238E27FC236}">
                  <a16:creationId xmlns:a16="http://schemas.microsoft.com/office/drawing/2014/main" id="{F2E4094E-D3F8-ABC7-5BD1-0C6C6D54F08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98737" name="Picture 1632298737">
                      <a:extLst>
                        <a:ext uri="{FF2B5EF4-FFF2-40B4-BE49-F238E27FC236}">
                          <a16:creationId xmlns:a16="http://schemas.microsoft.com/office/drawing/2014/main" id="{F2E4094E-D3F8-ABC7-5BD1-0C6C6D54F086}"/>
                        </a:ext>
                        <a:ext uri="{C183D7F6-B498-43B3-948B-1728B52AA6E4}">
                          <adec:decorative xmlns:adec="http://schemas.microsoft.com/office/drawing/2017/decorative" val="1"/>
                        </a:ext>
                      </a:extLst>
                    </pic:cNvPr>
                    <pic:cNvPicPr>
                      <a:picLocks noChangeAspect="1"/>
                    </pic:cNvPicPr>
                  </pic:nvPicPr>
                  <pic:blipFill rotWithShape="1">
                    <a:blip r:embed="rId97"/>
                    <a:srcRect l="10756" t="51076" r="8134" b="19341"/>
                    <a:stretch/>
                  </pic:blipFill>
                  <pic:spPr bwMode="auto">
                    <a:xfrm>
                      <a:off x="0" y="0"/>
                      <a:ext cx="4320000" cy="1914849"/>
                    </a:xfrm>
                    <a:custGeom>
                      <a:avLst/>
                      <a:gdLst>
                        <a:gd name="connsiteX0" fmla="*/ 0 w 3580962"/>
                        <a:gd name="connsiteY0" fmla="*/ 0 h 2188476"/>
                        <a:gd name="connsiteX1" fmla="*/ 561017 w 3580962"/>
                        <a:gd name="connsiteY1" fmla="*/ 0 h 2188476"/>
                        <a:gd name="connsiteX2" fmla="*/ 1086225 w 3580962"/>
                        <a:gd name="connsiteY2" fmla="*/ 0 h 2188476"/>
                        <a:gd name="connsiteX3" fmla="*/ 1718862 w 3580962"/>
                        <a:gd name="connsiteY3" fmla="*/ 0 h 2188476"/>
                        <a:gd name="connsiteX4" fmla="*/ 2315689 w 3580962"/>
                        <a:gd name="connsiteY4" fmla="*/ 0 h 2188476"/>
                        <a:gd name="connsiteX5" fmla="*/ 2912516 w 3580962"/>
                        <a:gd name="connsiteY5" fmla="*/ 0 h 2188476"/>
                        <a:gd name="connsiteX6" fmla="*/ 3580962 w 3580962"/>
                        <a:gd name="connsiteY6" fmla="*/ 0 h 2188476"/>
                        <a:gd name="connsiteX7" fmla="*/ 3580962 w 3580962"/>
                        <a:gd name="connsiteY7" fmla="*/ 569004 h 2188476"/>
                        <a:gd name="connsiteX8" fmla="*/ 3580962 w 3580962"/>
                        <a:gd name="connsiteY8" fmla="*/ 1072353 h 2188476"/>
                        <a:gd name="connsiteX9" fmla="*/ 3580962 w 3580962"/>
                        <a:gd name="connsiteY9" fmla="*/ 1641357 h 2188476"/>
                        <a:gd name="connsiteX10" fmla="*/ 3580962 w 3580962"/>
                        <a:gd name="connsiteY10" fmla="*/ 2188476 h 2188476"/>
                        <a:gd name="connsiteX11" fmla="*/ 2948325 w 3580962"/>
                        <a:gd name="connsiteY11" fmla="*/ 2188476 h 2188476"/>
                        <a:gd name="connsiteX12" fmla="*/ 2315689 w 3580962"/>
                        <a:gd name="connsiteY12" fmla="*/ 2188476 h 2188476"/>
                        <a:gd name="connsiteX13" fmla="*/ 1647243 w 3580962"/>
                        <a:gd name="connsiteY13" fmla="*/ 2188476 h 2188476"/>
                        <a:gd name="connsiteX14" fmla="*/ 1086225 w 3580962"/>
                        <a:gd name="connsiteY14" fmla="*/ 2188476 h 2188476"/>
                        <a:gd name="connsiteX15" fmla="*/ 0 w 3580962"/>
                        <a:gd name="connsiteY15" fmla="*/ 2188476 h 2188476"/>
                        <a:gd name="connsiteX16" fmla="*/ 0 w 3580962"/>
                        <a:gd name="connsiteY16" fmla="*/ 1685127 h 2188476"/>
                        <a:gd name="connsiteX17" fmla="*/ 0 w 3580962"/>
                        <a:gd name="connsiteY17" fmla="*/ 1138008 h 2188476"/>
                        <a:gd name="connsiteX18" fmla="*/ 0 w 3580962"/>
                        <a:gd name="connsiteY18" fmla="*/ 569004 h 2188476"/>
                        <a:gd name="connsiteX19" fmla="*/ 0 w 3580962"/>
                        <a:gd name="connsiteY19" fmla="*/ 0 h 2188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80962" h="2188476" fill="none" extrusionOk="0">
                          <a:moveTo>
                            <a:pt x="0" y="0"/>
                          </a:moveTo>
                          <a:cubicBezTo>
                            <a:pt x="113705" y="-20217"/>
                            <a:pt x="320851" y="-17911"/>
                            <a:pt x="561017" y="0"/>
                          </a:cubicBezTo>
                          <a:cubicBezTo>
                            <a:pt x="801183" y="17911"/>
                            <a:pt x="938063" y="-5335"/>
                            <a:pt x="1086225" y="0"/>
                          </a:cubicBezTo>
                          <a:cubicBezTo>
                            <a:pt x="1234387" y="5335"/>
                            <a:pt x="1499832" y="-8269"/>
                            <a:pt x="1718862" y="0"/>
                          </a:cubicBezTo>
                          <a:cubicBezTo>
                            <a:pt x="1937892" y="8269"/>
                            <a:pt x="2126338" y="-29111"/>
                            <a:pt x="2315689" y="0"/>
                          </a:cubicBezTo>
                          <a:cubicBezTo>
                            <a:pt x="2505040" y="29111"/>
                            <a:pt x="2783454" y="-22248"/>
                            <a:pt x="2912516" y="0"/>
                          </a:cubicBezTo>
                          <a:cubicBezTo>
                            <a:pt x="3041578" y="22248"/>
                            <a:pt x="3302513" y="-4744"/>
                            <a:pt x="3580962" y="0"/>
                          </a:cubicBezTo>
                          <a:cubicBezTo>
                            <a:pt x="3595288" y="193247"/>
                            <a:pt x="3563519" y="416841"/>
                            <a:pt x="3580962" y="569004"/>
                          </a:cubicBezTo>
                          <a:cubicBezTo>
                            <a:pt x="3598405" y="721167"/>
                            <a:pt x="3575860" y="851673"/>
                            <a:pt x="3580962" y="1072353"/>
                          </a:cubicBezTo>
                          <a:cubicBezTo>
                            <a:pt x="3586064" y="1293033"/>
                            <a:pt x="3571229" y="1505037"/>
                            <a:pt x="3580962" y="1641357"/>
                          </a:cubicBezTo>
                          <a:cubicBezTo>
                            <a:pt x="3590695" y="1777677"/>
                            <a:pt x="3598707" y="1931798"/>
                            <a:pt x="3580962" y="2188476"/>
                          </a:cubicBezTo>
                          <a:cubicBezTo>
                            <a:pt x="3307083" y="2173015"/>
                            <a:pt x="3079934" y="2168410"/>
                            <a:pt x="2948325" y="2188476"/>
                          </a:cubicBezTo>
                          <a:cubicBezTo>
                            <a:pt x="2816716" y="2208542"/>
                            <a:pt x="2617399" y="2176357"/>
                            <a:pt x="2315689" y="2188476"/>
                          </a:cubicBezTo>
                          <a:cubicBezTo>
                            <a:pt x="2013979" y="2200595"/>
                            <a:pt x="1950451" y="2200076"/>
                            <a:pt x="1647243" y="2188476"/>
                          </a:cubicBezTo>
                          <a:cubicBezTo>
                            <a:pt x="1344035" y="2176876"/>
                            <a:pt x="1262772" y="2169513"/>
                            <a:pt x="1086225" y="2188476"/>
                          </a:cubicBezTo>
                          <a:cubicBezTo>
                            <a:pt x="909678" y="2207439"/>
                            <a:pt x="503148" y="2205061"/>
                            <a:pt x="0" y="2188476"/>
                          </a:cubicBezTo>
                          <a:cubicBezTo>
                            <a:pt x="-6659" y="2049907"/>
                            <a:pt x="3059" y="1814950"/>
                            <a:pt x="0" y="1685127"/>
                          </a:cubicBezTo>
                          <a:cubicBezTo>
                            <a:pt x="-3059" y="1555304"/>
                            <a:pt x="-103" y="1373636"/>
                            <a:pt x="0" y="1138008"/>
                          </a:cubicBezTo>
                          <a:cubicBezTo>
                            <a:pt x="103" y="902380"/>
                            <a:pt x="-8026" y="684387"/>
                            <a:pt x="0" y="569004"/>
                          </a:cubicBezTo>
                          <a:cubicBezTo>
                            <a:pt x="8026" y="453621"/>
                            <a:pt x="-27546" y="223677"/>
                            <a:pt x="0" y="0"/>
                          </a:cubicBezTo>
                          <a:close/>
                        </a:path>
                        <a:path w="3580962" h="2188476" stroke="0" extrusionOk="0">
                          <a:moveTo>
                            <a:pt x="0" y="0"/>
                          </a:moveTo>
                          <a:cubicBezTo>
                            <a:pt x="207729" y="324"/>
                            <a:pt x="363369" y="-4955"/>
                            <a:pt x="561017" y="0"/>
                          </a:cubicBezTo>
                          <a:cubicBezTo>
                            <a:pt x="758665" y="4955"/>
                            <a:pt x="831179" y="-10683"/>
                            <a:pt x="1050416" y="0"/>
                          </a:cubicBezTo>
                          <a:cubicBezTo>
                            <a:pt x="1269653" y="10683"/>
                            <a:pt x="1417911" y="23454"/>
                            <a:pt x="1718862" y="0"/>
                          </a:cubicBezTo>
                          <a:cubicBezTo>
                            <a:pt x="2019813" y="-23454"/>
                            <a:pt x="2031339" y="2439"/>
                            <a:pt x="2279879" y="0"/>
                          </a:cubicBezTo>
                          <a:cubicBezTo>
                            <a:pt x="2528419" y="-2439"/>
                            <a:pt x="2654673" y="-3988"/>
                            <a:pt x="2840897" y="0"/>
                          </a:cubicBezTo>
                          <a:cubicBezTo>
                            <a:pt x="3027121" y="3988"/>
                            <a:pt x="3281322" y="-30939"/>
                            <a:pt x="3580962" y="0"/>
                          </a:cubicBezTo>
                          <a:cubicBezTo>
                            <a:pt x="3597659" y="159044"/>
                            <a:pt x="3588779" y="251856"/>
                            <a:pt x="3580962" y="503349"/>
                          </a:cubicBezTo>
                          <a:cubicBezTo>
                            <a:pt x="3573145" y="754842"/>
                            <a:pt x="3555697" y="798058"/>
                            <a:pt x="3580962" y="1050468"/>
                          </a:cubicBezTo>
                          <a:cubicBezTo>
                            <a:pt x="3606227" y="1302878"/>
                            <a:pt x="3570495" y="1318382"/>
                            <a:pt x="3580962" y="1553818"/>
                          </a:cubicBezTo>
                          <a:cubicBezTo>
                            <a:pt x="3591430" y="1789254"/>
                            <a:pt x="3578886" y="1942704"/>
                            <a:pt x="3580962" y="2188476"/>
                          </a:cubicBezTo>
                          <a:cubicBezTo>
                            <a:pt x="3309185" y="2195108"/>
                            <a:pt x="3248161" y="2179536"/>
                            <a:pt x="2984135" y="2188476"/>
                          </a:cubicBezTo>
                          <a:cubicBezTo>
                            <a:pt x="2720109" y="2197416"/>
                            <a:pt x="2570825" y="2203349"/>
                            <a:pt x="2423118" y="2188476"/>
                          </a:cubicBezTo>
                          <a:cubicBezTo>
                            <a:pt x="2275411" y="2173603"/>
                            <a:pt x="1939711" y="2219326"/>
                            <a:pt x="1754671" y="2188476"/>
                          </a:cubicBezTo>
                          <a:cubicBezTo>
                            <a:pt x="1569631" y="2157626"/>
                            <a:pt x="1331820" y="2180993"/>
                            <a:pt x="1086225" y="2188476"/>
                          </a:cubicBezTo>
                          <a:cubicBezTo>
                            <a:pt x="840630" y="2195959"/>
                            <a:pt x="672672" y="2179495"/>
                            <a:pt x="561017" y="2188476"/>
                          </a:cubicBezTo>
                          <a:cubicBezTo>
                            <a:pt x="449362" y="2197457"/>
                            <a:pt x="202528" y="2190551"/>
                            <a:pt x="0" y="2188476"/>
                          </a:cubicBezTo>
                          <a:cubicBezTo>
                            <a:pt x="27475" y="2069917"/>
                            <a:pt x="20015" y="1798560"/>
                            <a:pt x="0" y="1597587"/>
                          </a:cubicBezTo>
                          <a:cubicBezTo>
                            <a:pt x="-20015" y="1396614"/>
                            <a:pt x="3193" y="1289650"/>
                            <a:pt x="0" y="1116123"/>
                          </a:cubicBezTo>
                          <a:cubicBezTo>
                            <a:pt x="-3193" y="942596"/>
                            <a:pt x="3617" y="729077"/>
                            <a:pt x="0" y="612773"/>
                          </a:cubicBezTo>
                          <a:cubicBezTo>
                            <a:pt x="-3617" y="496469"/>
                            <a:pt x="-15110" y="199011"/>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FA8133" w14:textId="597A7DE3" w:rsidR="005C490E" w:rsidRPr="00884FAA" w:rsidRDefault="005C490E" w:rsidP="00651D06">
      <w:pPr>
        <w:pStyle w:val="Heading3"/>
      </w:pPr>
      <w:r w:rsidRPr="00884FAA">
        <w:t>An ethic of responsibility and care</w:t>
      </w:r>
    </w:p>
    <w:p w14:paraId="39549215" w14:textId="2E987C20" w:rsidR="0089107A" w:rsidRPr="00884FAA" w:rsidRDefault="006C2074" w:rsidP="0089107A">
      <w:r w:rsidRPr="00884FAA">
        <w:t xml:space="preserve">Aboriginal and Torres Strait Islander people </w:t>
      </w:r>
      <w:r w:rsidR="005C490E" w:rsidRPr="00884FAA">
        <w:t>value health service design and delivery that draws on knowledge, understanding, and respect to ensure safe and appropriate experiences and outcomes for Aboriginal and Torres Strait Islander clients. The pathway for this transformation is through an ethic of responsibility and care</w:t>
      </w:r>
      <w:r w:rsidR="00115F63" w:rsidRPr="00884FAA">
        <w:t>.</w:t>
      </w:r>
      <w:r w:rsidR="005C490E" w:rsidRPr="00884FAA">
        <w:t xml:space="preserve"> Aboriginal and Torres Strait Islander people value an ethic of responsibility and care t</w:t>
      </w:r>
      <w:r w:rsidR="00960B55" w:rsidRPr="00884FAA">
        <w:t>hat</w:t>
      </w:r>
      <w:r w:rsidR="005C490E" w:rsidRPr="00884FAA">
        <w:t xml:space="preserve"> underpin</w:t>
      </w:r>
      <w:r w:rsidR="00960B55" w:rsidRPr="00884FAA">
        <w:t>s</w:t>
      </w:r>
      <w:r w:rsidR="005C490E" w:rsidRPr="00884FAA">
        <w:t xml:space="preserve"> the design and delivery of </w:t>
      </w:r>
      <w:r w:rsidR="00807F93" w:rsidRPr="00884FAA">
        <w:t>health care</w:t>
      </w:r>
      <w:r w:rsidR="005C490E" w:rsidRPr="00884FAA">
        <w:t xml:space="preserve">. </w:t>
      </w:r>
    </w:p>
    <w:p w14:paraId="183B306F" w14:textId="0186ADE6" w:rsidR="005C490E" w:rsidRPr="00884FAA" w:rsidRDefault="005C490E" w:rsidP="005C490E">
      <w:r w:rsidRPr="00884FAA">
        <w:t xml:space="preserve">This </w:t>
      </w:r>
      <w:r w:rsidR="001E74AD" w:rsidRPr="00884FAA">
        <w:t xml:space="preserve">ethic </w:t>
      </w:r>
      <w:r w:rsidRPr="00884FAA">
        <w:t>extends beyond individual services to the system level and should be present in all decision</w:t>
      </w:r>
      <w:r w:rsidR="00960B55" w:rsidRPr="00884FAA">
        <w:t>-</w:t>
      </w:r>
      <w:r w:rsidRPr="00884FAA">
        <w:t xml:space="preserve">making and actions </w:t>
      </w:r>
      <w:r w:rsidR="00FE1C1A" w:rsidRPr="00884FAA">
        <w:t xml:space="preserve">on </w:t>
      </w:r>
      <w:r w:rsidR="0089107A" w:rsidRPr="00884FAA">
        <w:t xml:space="preserve">policy and resourcing </w:t>
      </w:r>
      <w:r w:rsidRPr="00884FAA">
        <w:t xml:space="preserve">that influence </w:t>
      </w:r>
      <w:r w:rsidR="00807F93" w:rsidRPr="00884FAA">
        <w:t>health care</w:t>
      </w:r>
      <w:r w:rsidRPr="00884FAA">
        <w:t xml:space="preserve"> from government to frontline clinicians. An ethic of responsibility and care is about how Aboriginal and Torres Strait Islander </w:t>
      </w:r>
      <w:r w:rsidR="00961135" w:rsidRPr="00884FAA">
        <w:t>individual</w:t>
      </w:r>
      <w:r w:rsidR="006F19DD" w:rsidRPr="00884FAA">
        <w:t>s, families</w:t>
      </w:r>
      <w:r w:rsidR="000F5C8D" w:rsidRPr="00884FAA">
        <w:t>,</w:t>
      </w:r>
      <w:r w:rsidR="006F19DD" w:rsidRPr="00884FAA">
        <w:t xml:space="preserve"> and communities</w:t>
      </w:r>
      <w:r w:rsidRPr="00884FAA">
        <w:t xml:space="preserve"> are valued and subsequently treated.</w:t>
      </w:r>
      <w:r w:rsidR="00663DE0" w:rsidRPr="00884FAA">
        <w:t xml:space="preserve"> </w:t>
      </w:r>
    </w:p>
    <w:p w14:paraId="4C45838B" w14:textId="3985E3AE" w:rsidR="008B328B" w:rsidRDefault="003A4BA8" w:rsidP="005C490E">
      <w:r>
        <w:t>C</w:t>
      </w:r>
      <w:r w:rsidR="005C490E" w:rsidRPr="00884FAA">
        <w:t>ommunity members experience differences in the quality of care based on the judgements and choices clinician</w:t>
      </w:r>
      <w:r w:rsidR="0091675A" w:rsidRPr="00884FAA">
        <w:t>s</w:t>
      </w:r>
      <w:r w:rsidR="005C490E" w:rsidRPr="00884FAA">
        <w:t xml:space="preserve"> make in how they engage with </w:t>
      </w:r>
      <w:r w:rsidR="0091675A" w:rsidRPr="00884FAA">
        <w:t>their clients</w:t>
      </w:r>
      <w:r w:rsidR="005C490E" w:rsidRPr="00884FAA">
        <w:t xml:space="preserve">. Community members often described being </w:t>
      </w:r>
      <w:r w:rsidR="00312F33">
        <w:t xml:space="preserve">treated as </w:t>
      </w:r>
      <w:r w:rsidR="00DA5055" w:rsidRPr="0058387D">
        <w:rPr>
          <w:color w:val="1A3E5F" w:themeColor="accent1" w:themeShade="80"/>
        </w:rPr>
        <w:t>‘</w:t>
      </w:r>
      <w:r w:rsidR="005C490E" w:rsidRPr="0058387D">
        <w:rPr>
          <w:i/>
          <w:color w:val="1A3E5F" w:themeColor="accent1" w:themeShade="80"/>
        </w:rPr>
        <w:t xml:space="preserve">just a </w:t>
      </w:r>
      <w:r w:rsidR="005C490E" w:rsidRPr="0058387D">
        <w:rPr>
          <w:i/>
          <w:iCs/>
          <w:color w:val="1A3E5F" w:themeColor="accent1" w:themeShade="80"/>
        </w:rPr>
        <w:t>number</w:t>
      </w:r>
      <w:r w:rsidR="00DA5055" w:rsidRPr="0058387D">
        <w:rPr>
          <w:i/>
          <w:iCs/>
          <w:color w:val="1A3E5F" w:themeColor="accent1" w:themeShade="80"/>
        </w:rPr>
        <w:t>’</w:t>
      </w:r>
      <w:r w:rsidR="005C490E" w:rsidRPr="00884FAA">
        <w:t xml:space="preserve">, </w:t>
      </w:r>
      <w:r w:rsidR="00DA5055" w:rsidRPr="0058387D">
        <w:rPr>
          <w:color w:val="1A3E5F" w:themeColor="accent1" w:themeShade="80"/>
        </w:rPr>
        <w:t>‘</w:t>
      </w:r>
      <w:r w:rsidR="005C490E" w:rsidRPr="0058387D">
        <w:rPr>
          <w:i/>
          <w:iCs/>
          <w:color w:val="1A3E5F" w:themeColor="accent1" w:themeShade="80"/>
        </w:rPr>
        <w:t>invisible</w:t>
      </w:r>
      <w:r w:rsidR="00DA5055" w:rsidRPr="0058387D">
        <w:rPr>
          <w:i/>
          <w:iCs/>
          <w:color w:val="1A3E5F" w:themeColor="accent1" w:themeShade="80"/>
        </w:rPr>
        <w:t>’</w:t>
      </w:r>
      <w:r w:rsidR="005C490E" w:rsidRPr="00884FAA">
        <w:t xml:space="preserve">, that they </w:t>
      </w:r>
      <w:r w:rsidR="00DA5055" w:rsidRPr="0058387D">
        <w:rPr>
          <w:color w:val="1A3E5F" w:themeColor="accent1" w:themeShade="80"/>
        </w:rPr>
        <w:t>‘</w:t>
      </w:r>
      <w:r w:rsidR="005C490E" w:rsidRPr="0058387D">
        <w:rPr>
          <w:i/>
          <w:color w:val="1A3E5F" w:themeColor="accent1" w:themeShade="80"/>
        </w:rPr>
        <w:t>did not matter</w:t>
      </w:r>
      <w:r w:rsidR="00E54DAB" w:rsidRPr="0058387D">
        <w:rPr>
          <w:i/>
          <w:color w:val="1A3E5F" w:themeColor="accent1" w:themeShade="80"/>
        </w:rPr>
        <w:t xml:space="preserve">’ </w:t>
      </w:r>
      <w:r w:rsidR="00E54DAB" w:rsidRPr="00E54DAB">
        <w:rPr>
          <w:iCs/>
        </w:rPr>
        <w:t>i</w:t>
      </w:r>
      <w:r w:rsidR="00312F33" w:rsidRPr="00E54DAB">
        <w:rPr>
          <w:iCs/>
        </w:rPr>
        <w:t>n</w:t>
      </w:r>
      <w:r w:rsidR="00312F33">
        <w:t xml:space="preserve"> services that did not show </w:t>
      </w:r>
      <w:r w:rsidR="00A62CEF">
        <w:t>this</w:t>
      </w:r>
      <w:r w:rsidR="00312F33">
        <w:t xml:space="preserve"> ethic of responsibility and care and act upon a person’s humanity and inherent value.</w:t>
      </w:r>
      <w:r w:rsidR="005C490E" w:rsidRPr="00884FAA">
        <w:t xml:space="preserve"> </w:t>
      </w:r>
    </w:p>
    <w:p w14:paraId="67244988" w14:textId="77777777" w:rsidR="008B328B" w:rsidRDefault="008B328B" w:rsidP="005C490E"/>
    <w:p w14:paraId="31BDE0ED" w14:textId="21D4433D" w:rsidR="005C490E" w:rsidRPr="00884FAA" w:rsidRDefault="005C490E" w:rsidP="005C490E">
      <w:r w:rsidRPr="00884FAA">
        <w:lastRenderedPageBreak/>
        <w:t xml:space="preserve">When one </w:t>
      </w:r>
      <w:r w:rsidR="00872EE5" w:rsidRPr="00884FAA">
        <w:t>community member</w:t>
      </w:r>
      <w:r w:rsidRPr="00884FAA">
        <w:t xml:space="preserve"> was asked if this was about cultural competency or safety they responded:</w:t>
      </w:r>
    </w:p>
    <w:p w14:paraId="5F037396" w14:textId="6BB06CB3" w:rsidR="00A73B82" w:rsidRPr="00A1178E" w:rsidRDefault="005C490E" w:rsidP="00BB3C21">
      <w:pPr>
        <w:pStyle w:val="Quote"/>
        <w:spacing w:after="0"/>
        <w:rPr>
          <w:iCs w:val="0"/>
          <w:color w:val="18525E" w:themeColor="accent5" w:themeShade="80"/>
        </w:rPr>
      </w:pPr>
      <w:r w:rsidRPr="00A1178E">
        <w:rPr>
          <w:iCs w:val="0"/>
          <w:color w:val="18525E" w:themeColor="accent5" w:themeShade="80"/>
        </w:rPr>
        <w:t xml:space="preserve">I think it’s about just treating us as a human being. </w:t>
      </w:r>
    </w:p>
    <w:p w14:paraId="5C6AAC54" w14:textId="3B8D42F7" w:rsidR="005C490E" w:rsidRPr="00480F69" w:rsidRDefault="005C490E" w:rsidP="002D4084">
      <w:pPr>
        <w:ind w:left="720"/>
        <w:jc w:val="right"/>
        <w:rPr>
          <w:b/>
          <w:bCs/>
        </w:rPr>
      </w:pPr>
      <w:r w:rsidRPr="008954E7">
        <w:rPr>
          <w:b/>
        </w:rPr>
        <w:t xml:space="preserve">Community </w:t>
      </w:r>
      <w:r w:rsidR="00872EE5" w:rsidRPr="008954E7">
        <w:rPr>
          <w:b/>
        </w:rPr>
        <w:t>member</w:t>
      </w:r>
    </w:p>
    <w:p w14:paraId="0361F041" w14:textId="1E438759" w:rsidR="005C490E" w:rsidRPr="00480F69" w:rsidRDefault="005C490E" w:rsidP="005C490E">
      <w:r w:rsidRPr="00480F69">
        <w:t>Intersections of racism, classism and discrimination based on health conditions also contribute</w:t>
      </w:r>
      <w:r w:rsidR="00C37565">
        <w:t>.</w:t>
      </w:r>
      <w:r w:rsidR="00953F8F" w:rsidRPr="00480F69">
        <w:t xml:space="preserve"> </w:t>
      </w:r>
      <w:r w:rsidRPr="00480F69">
        <w:t xml:space="preserve">Labels given to </w:t>
      </w:r>
      <w:r w:rsidR="009E3D39">
        <w:t>people</w:t>
      </w:r>
      <w:r w:rsidRPr="00480F69">
        <w:t xml:space="preserve"> such as </w:t>
      </w:r>
      <w:r w:rsidR="008C14A1" w:rsidRPr="0058387D">
        <w:rPr>
          <w:color w:val="1A3E5F" w:themeColor="accent1" w:themeShade="80"/>
        </w:rPr>
        <w:t>‘</w:t>
      </w:r>
      <w:r w:rsidRPr="0058387D">
        <w:rPr>
          <w:i/>
          <w:iCs/>
          <w:color w:val="1A3E5F" w:themeColor="accent1" w:themeShade="80"/>
        </w:rPr>
        <w:t>frequent flyers</w:t>
      </w:r>
      <w:r w:rsidR="008C14A1" w:rsidRPr="0058387D">
        <w:rPr>
          <w:i/>
          <w:iCs/>
          <w:color w:val="1A3E5F" w:themeColor="accent1" w:themeShade="80"/>
        </w:rPr>
        <w:t>’</w:t>
      </w:r>
      <w:r w:rsidRPr="0058387D">
        <w:rPr>
          <w:color w:val="1A3E5F" w:themeColor="accent1" w:themeShade="80"/>
        </w:rPr>
        <w:t xml:space="preserve"> </w:t>
      </w:r>
      <w:r w:rsidRPr="00480F69">
        <w:t>reflect the dehumanising attitudes of individuals and institutions towards those in their care. Community members saw this attitude demonstrated across the system, beyond individuals and organisations, and reflected in policy and resourcing choices. They were cynically aware of performative approaches by individuals and institutions committing to improving health outcomes that were at odds with daily experiences of Aboriginal and Torres Strait Islander people engaging with the health system.</w:t>
      </w:r>
    </w:p>
    <w:p w14:paraId="7413898B" w14:textId="7C1ADE9F" w:rsidR="00242E8E" w:rsidRDefault="00242E8E" w:rsidP="00362E8E">
      <w:r w:rsidRPr="00242E8E">
        <w:t xml:space="preserve">The ethic of responsibility </w:t>
      </w:r>
      <w:r w:rsidR="00B23851">
        <w:t>and care</w:t>
      </w:r>
      <w:r w:rsidR="00BC44DA">
        <w:t xml:space="preserve"> </w:t>
      </w:r>
      <w:r w:rsidRPr="00242E8E">
        <w:t xml:space="preserve">valued by community members </w:t>
      </w:r>
      <w:r w:rsidR="00BC44DA">
        <w:t>can be in conflict</w:t>
      </w:r>
      <w:r w:rsidRPr="00242E8E">
        <w:t xml:space="preserve"> with health</w:t>
      </w:r>
      <w:r w:rsidR="00BC44DA">
        <w:t xml:space="preserve"> </w:t>
      </w:r>
      <w:r w:rsidRPr="00242E8E">
        <w:t xml:space="preserve">care delivery as a business. </w:t>
      </w:r>
      <w:r>
        <w:t xml:space="preserve">People </w:t>
      </w:r>
      <w:r w:rsidRPr="00242E8E">
        <w:t xml:space="preserve">distinguished between service delivery based on a responsibility to look after the wellbeing of communities and a responsibility to look after the financial interests of business owners. </w:t>
      </w:r>
    </w:p>
    <w:p w14:paraId="7988DF48" w14:textId="766E4104" w:rsidR="00362E8E" w:rsidRPr="00480F69" w:rsidRDefault="00537C7F" w:rsidP="00362E8E">
      <w:r w:rsidRPr="00480F69">
        <w:t>Community members</w:t>
      </w:r>
      <w:r w:rsidR="00362E8E" w:rsidRPr="00480F69">
        <w:t xml:space="preserve"> value </w:t>
      </w:r>
      <w:r w:rsidR="00152B46" w:rsidRPr="00480F69">
        <w:t xml:space="preserve">the care provided through </w:t>
      </w:r>
      <w:r w:rsidR="00362E8E" w:rsidRPr="00480F69">
        <w:t>ACCH</w:t>
      </w:r>
      <w:r w:rsidR="00767339" w:rsidRPr="00480F69">
        <w:t>S</w:t>
      </w:r>
      <w:r w:rsidR="00362E8E" w:rsidRPr="00480F69">
        <w:t>s because the</w:t>
      </w:r>
      <w:r w:rsidRPr="00480F69">
        <w:t>se services</w:t>
      </w:r>
      <w:r w:rsidR="00092763">
        <w:t xml:space="preserve"> show an</w:t>
      </w:r>
      <w:r w:rsidR="00362E8E" w:rsidRPr="00480F69">
        <w:t xml:space="preserve"> ethic of responsibility</w:t>
      </w:r>
      <w:r w:rsidR="00A27BEF">
        <w:t xml:space="preserve"> and care</w:t>
      </w:r>
      <w:r w:rsidR="00362E8E" w:rsidRPr="00480F69">
        <w:t xml:space="preserve">. </w:t>
      </w:r>
      <w:r w:rsidRPr="00480F69">
        <w:t>Community members</w:t>
      </w:r>
      <w:r w:rsidR="00362E8E" w:rsidRPr="00480F69">
        <w:t xml:space="preserve"> value the efforts taken by the</w:t>
      </w:r>
      <w:r w:rsidR="000B7B86">
        <w:t>se</w:t>
      </w:r>
      <w:r w:rsidR="00362E8E" w:rsidRPr="00480F69">
        <w:t xml:space="preserve"> organisations to seek out and secure scarce resources and transform </w:t>
      </w:r>
      <w:r w:rsidR="00B52146">
        <w:t xml:space="preserve">community-led services </w:t>
      </w:r>
      <w:r w:rsidR="00362E8E" w:rsidRPr="00480F69">
        <w:t xml:space="preserve">into holistic </w:t>
      </w:r>
      <w:r w:rsidR="00807F93" w:rsidRPr="00480F69">
        <w:t>health care</w:t>
      </w:r>
      <w:r w:rsidR="007C4A2B" w:rsidRPr="00480F69">
        <w:t xml:space="preserve"> </w:t>
      </w:r>
      <w:r w:rsidR="00362E8E" w:rsidRPr="00480F69">
        <w:t xml:space="preserve">practices. The importance of this ethic was reflected in what </w:t>
      </w:r>
      <w:r w:rsidR="00247509" w:rsidRPr="00480F69">
        <w:t>community members</w:t>
      </w:r>
      <w:r w:rsidR="00362E8E" w:rsidRPr="00480F69">
        <w:t xml:space="preserve"> identified as the distinguishing characteristic of valued non-Indigenous staff delivering care. Describing </w:t>
      </w:r>
      <w:r w:rsidR="00341ED5" w:rsidRPr="00480F69">
        <w:t>a</w:t>
      </w:r>
      <w:r w:rsidR="00362E8E" w:rsidRPr="00480F69">
        <w:t xml:space="preserve"> highly valued, non-Indigenous staff member at an ACCH</w:t>
      </w:r>
      <w:r w:rsidR="00947C68" w:rsidRPr="00480F69">
        <w:t>S</w:t>
      </w:r>
      <w:r w:rsidR="00362E8E" w:rsidRPr="00480F69">
        <w:t xml:space="preserve">, </w:t>
      </w:r>
      <w:r w:rsidR="00947C68" w:rsidRPr="00480F69">
        <w:t>one community member</w:t>
      </w:r>
      <w:r w:rsidR="00362E8E" w:rsidRPr="00480F69">
        <w:t xml:space="preserve"> stated:</w:t>
      </w:r>
    </w:p>
    <w:p w14:paraId="49F54204" w14:textId="274B5689" w:rsidR="00AF3BF5" w:rsidRPr="00A1178E" w:rsidRDefault="00362E8E" w:rsidP="00BB3C21">
      <w:pPr>
        <w:pStyle w:val="Quote"/>
        <w:spacing w:after="0"/>
        <w:rPr>
          <w:color w:val="18525E" w:themeColor="accent5" w:themeShade="80"/>
        </w:rPr>
      </w:pPr>
      <w:r w:rsidRPr="00A1178E">
        <w:rPr>
          <w:color w:val="18525E" w:themeColor="accent5" w:themeShade="80"/>
        </w:rPr>
        <w:t xml:space="preserve">She cares for us. She cares for her community. </w:t>
      </w:r>
    </w:p>
    <w:p w14:paraId="12EABD41" w14:textId="47E18BE4" w:rsidR="00362E8E" w:rsidRDefault="00362E8E" w:rsidP="00BB3C21">
      <w:pPr>
        <w:pStyle w:val="Quote"/>
        <w:spacing w:before="0"/>
        <w:jc w:val="right"/>
        <w:rPr>
          <w:b/>
          <w:color w:val="auto"/>
        </w:rPr>
      </w:pPr>
      <w:r w:rsidRPr="008954E7">
        <w:rPr>
          <w:b/>
          <w:color w:val="auto"/>
        </w:rPr>
        <w:t xml:space="preserve">Community </w:t>
      </w:r>
      <w:r w:rsidR="00947C68" w:rsidRPr="008954E7">
        <w:rPr>
          <w:b/>
          <w:color w:val="auto"/>
        </w:rPr>
        <w:t>member</w:t>
      </w:r>
    </w:p>
    <w:p w14:paraId="07D4AC5D" w14:textId="511D1F08" w:rsidR="000121CD" w:rsidRPr="00EA257B" w:rsidRDefault="000121CD" w:rsidP="00EA257B">
      <w:r w:rsidRPr="000121CD">
        <w:t xml:space="preserve">Community members value </w:t>
      </w:r>
      <w:r w:rsidR="007629CD">
        <w:t xml:space="preserve">a </w:t>
      </w:r>
      <w:r w:rsidR="002272E5">
        <w:t xml:space="preserve">health </w:t>
      </w:r>
      <w:r w:rsidR="007629CD">
        <w:t>service</w:t>
      </w:r>
      <w:r w:rsidRPr="000121CD">
        <w:t xml:space="preserve"> that is embedded in care for the wellbeing and empowerment of themselves as individuals, their families, and communities. This manifests in decisions of policy, resourcing, and self-determination at individual and collective levels.</w:t>
      </w:r>
    </w:p>
    <w:p w14:paraId="704DC79D" w14:textId="64DC8848" w:rsidR="00362E8E" w:rsidRPr="00884FAA" w:rsidRDefault="00362E8E" w:rsidP="00651D06">
      <w:pPr>
        <w:pStyle w:val="Heading3"/>
      </w:pPr>
      <w:r w:rsidRPr="00884FAA">
        <w:t>Resistance through knowing</w:t>
      </w:r>
      <w:r w:rsidR="007F60D4" w:rsidRPr="00884FAA">
        <w:t xml:space="preserve"> </w:t>
      </w:r>
    </w:p>
    <w:p w14:paraId="1F7E352E" w14:textId="27916BE5" w:rsidR="00537C7F" w:rsidRPr="00884FAA" w:rsidRDefault="005A26D1" w:rsidP="005C490E">
      <w:r>
        <w:t xml:space="preserve">Community members </w:t>
      </w:r>
      <w:r w:rsidR="00941249">
        <w:t>discuss</w:t>
      </w:r>
      <w:r w:rsidR="003C4CCE">
        <w:t>ed</w:t>
      </w:r>
      <w:r w:rsidR="00941249">
        <w:t xml:space="preserve"> the </w:t>
      </w:r>
      <w:r w:rsidR="00931094">
        <w:t>value</w:t>
      </w:r>
      <w:r w:rsidR="00941249">
        <w:t xml:space="preserve"> of</w:t>
      </w:r>
      <w:r w:rsidR="00931094">
        <w:t xml:space="preserve"> feeling understood by health care services. </w:t>
      </w:r>
      <w:r w:rsidR="005C490E" w:rsidRPr="00884FAA">
        <w:t xml:space="preserve">Knowing history allows </w:t>
      </w:r>
      <w:r w:rsidR="000940FB">
        <w:t>services and systems</w:t>
      </w:r>
      <w:r w:rsidR="005C490E" w:rsidRPr="00884FAA">
        <w:t xml:space="preserve"> to provide culturally safe and appropriate care, through an understanding of collective experiences and influences on people’s lives.</w:t>
      </w:r>
      <w:r w:rsidR="007F60D4" w:rsidRPr="00884FAA">
        <w:t xml:space="preserve"> </w:t>
      </w:r>
      <w:r w:rsidR="00197877" w:rsidRPr="00884FAA">
        <w:t xml:space="preserve">Knowing history manifests in care experiences that demonstrate an understanding of the impact of ongoing colonisation, institutional abuses, and different forms of racism. </w:t>
      </w:r>
      <w:r w:rsidR="007F60D4" w:rsidRPr="00884FAA">
        <w:t xml:space="preserve">The importance of services </w:t>
      </w:r>
      <w:r w:rsidR="000940FB">
        <w:t xml:space="preserve">and systems </w:t>
      </w:r>
      <w:r w:rsidR="007F60D4" w:rsidRPr="00884FAA">
        <w:t xml:space="preserve">knowing history is reflected by the hardwood in </w:t>
      </w:r>
      <w:r w:rsidR="0060440D">
        <w:t>the</w:t>
      </w:r>
      <w:r w:rsidR="007F60D4" w:rsidRPr="00884FAA">
        <w:t xml:space="preserve"> trunk that provides strength and structure</w:t>
      </w:r>
      <w:r w:rsidR="005C490E" w:rsidRPr="00884FAA">
        <w:t xml:space="preserve"> </w:t>
      </w:r>
      <w:r w:rsidR="000E6468" w:rsidRPr="00884FAA">
        <w:t xml:space="preserve">to </w:t>
      </w:r>
      <w:r w:rsidR="0060440D">
        <w:t>Babuny</w:t>
      </w:r>
      <w:r w:rsidR="000E6468" w:rsidRPr="00884FAA">
        <w:t xml:space="preserve">. </w:t>
      </w:r>
    </w:p>
    <w:p w14:paraId="5E363062" w14:textId="3D43AD73" w:rsidR="005C490E" w:rsidRPr="00884FAA" w:rsidRDefault="005C490E" w:rsidP="005C490E">
      <w:r w:rsidRPr="00884FAA">
        <w:lastRenderedPageBreak/>
        <w:t xml:space="preserve">At a local and individual level this </w:t>
      </w:r>
      <w:r w:rsidR="005F0340">
        <w:t>is reflected</w:t>
      </w:r>
      <w:r w:rsidR="005F0340" w:rsidRPr="00884FAA">
        <w:t xml:space="preserve"> </w:t>
      </w:r>
      <w:r w:rsidRPr="00884FAA">
        <w:t xml:space="preserve">in understanding peoples’ stories and factors that impact local communities. </w:t>
      </w:r>
      <w:r w:rsidR="00197877">
        <w:t>C</w:t>
      </w:r>
      <w:r w:rsidR="000510BA" w:rsidRPr="00884FAA">
        <w:t>ommunity members</w:t>
      </w:r>
      <w:r w:rsidR="00901873" w:rsidRPr="00884FAA">
        <w:t xml:space="preserve"> </w:t>
      </w:r>
      <w:r w:rsidR="00402926">
        <w:t xml:space="preserve">discussed how they </w:t>
      </w:r>
      <w:r w:rsidRPr="00884FAA">
        <w:t>would delay seeking care until they could access their ACCH</w:t>
      </w:r>
      <w:r w:rsidR="000510BA" w:rsidRPr="00884FAA">
        <w:t>S</w:t>
      </w:r>
      <w:r w:rsidRPr="00884FAA">
        <w:t xml:space="preserve"> because of how this knowledge and understanding influences </w:t>
      </w:r>
      <w:r w:rsidR="00901873" w:rsidRPr="00884FAA">
        <w:t xml:space="preserve">the approach to </w:t>
      </w:r>
      <w:r w:rsidR="00807F93" w:rsidRPr="00884FAA">
        <w:t>health care</w:t>
      </w:r>
      <w:r w:rsidRPr="00884FAA">
        <w:t xml:space="preserve"> delivery</w:t>
      </w:r>
      <w:r w:rsidR="00063F8E">
        <w:t>:</w:t>
      </w:r>
    </w:p>
    <w:p w14:paraId="3947540B" w14:textId="0150BDF4" w:rsidR="003E4FBE" w:rsidRPr="00A1178E" w:rsidRDefault="005C490E" w:rsidP="00BB3C21">
      <w:pPr>
        <w:pStyle w:val="Quote"/>
        <w:spacing w:after="0"/>
        <w:rPr>
          <w:color w:val="18525E" w:themeColor="accent5" w:themeShade="80"/>
        </w:rPr>
      </w:pPr>
      <w:r w:rsidRPr="00A1178E">
        <w:rPr>
          <w:color w:val="18525E" w:themeColor="accent5" w:themeShade="80"/>
        </w:rPr>
        <w:t xml:space="preserve">I'm not going to go to the hospital because there might be whitefellas there. They don't understand me. They don't know what I'm talking about. They're too hard to talk to, you know? So the opposite of that is we come here to [ACCHO]. We know people. They know how to talk to us. They know what's going on in my community. </w:t>
      </w:r>
    </w:p>
    <w:p w14:paraId="5FEB152A" w14:textId="7F6B3CE4" w:rsidR="005C490E" w:rsidRPr="00884FAA" w:rsidRDefault="005C490E" w:rsidP="008954E7">
      <w:pPr>
        <w:pStyle w:val="Quote"/>
        <w:spacing w:before="120"/>
        <w:ind w:left="562"/>
        <w:jc w:val="right"/>
        <w:rPr>
          <w:b/>
          <w:bCs/>
          <w:color w:val="auto"/>
        </w:rPr>
      </w:pPr>
      <w:r w:rsidRPr="00884FAA">
        <w:rPr>
          <w:b/>
          <w:bCs/>
          <w:color w:val="auto"/>
        </w:rPr>
        <w:t xml:space="preserve">Community </w:t>
      </w:r>
      <w:r w:rsidR="00A31084" w:rsidRPr="00884FAA">
        <w:rPr>
          <w:b/>
          <w:bCs/>
          <w:color w:val="auto"/>
        </w:rPr>
        <w:t>member</w:t>
      </w:r>
    </w:p>
    <w:p w14:paraId="7C26CD4C" w14:textId="70EAE74F" w:rsidR="005C490E" w:rsidRPr="00884FAA" w:rsidRDefault="005C490E" w:rsidP="005C490E">
      <w:r w:rsidRPr="00884FAA">
        <w:t xml:space="preserve">Knowing history also incorporates institutional histories at all levels of the health system, understanding how health service design and delivery has been shaped, what works and why. A number of </w:t>
      </w:r>
      <w:r w:rsidR="00A96E62" w:rsidRPr="00884FAA">
        <w:t>community members</w:t>
      </w:r>
      <w:r w:rsidR="004C7DEB" w:rsidRPr="00884FAA">
        <w:t xml:space="preserve"> </w:t>
      </w:r>
      <w:r w:rsidRPr="00884FAA">
        <w:t xml:space="preserve">recounted rich histories of the successes and failures of the health system over their lives. </w:t>
      </w:r>
      <w:r w:rsidR="004C7DEB" w:rsidRPr="00884FAA">
        <w:t xml:space="preserve">People </w:t>
      </w:r>
      <w:r w:rsidRPr="00884FAA">
        <w:t xml:space="preserve">clearly identified the influence of political cycles and continual changes in government structures that had influenced their experiences of </w:t>
      </w:r>
      <w:r w:rsidR="00537C7F" w:rsidRPr="00884FAA">
        <w:t>health care</w:t>
      </w:r>
      <w:r w:rsidRPr="00884FAA">
        <w:t xml:space="preserve">. </w:t>
      </w:r>
      <w:r w:rsidR="00E255E3" w:rsidRPr="00884FAA">
        <w:t>People</w:t>
      </w:r>
      <w:r w:rsidR="00E255E3" w:rsidRPr="00884FAA" w:rsidDel="00931A00">
        <w:t xml:space="preserve"> </w:t>
      </w:r>
      <w:r w:rsidRPr="00884FAA">
        <w:t xml:space="preserve">value organisations and institutions </w:t>
      </w:r>
      <w:r w:rsidR="00931A00">
        <w:t xml:space="preserve">that </w:t>
      </w:r>
      <w:r w:rsidRPr="00884FAA">
        <w:t xml:space="preserve">learn from the past and leverage that knowledge to provide culturally safe </w:t>
      </w:r>
      <w:r w:rsidR="00807F93" w:rsidRPr="00884FAA">
        <w:t>health</w:t>
      </w:r>
      <w:r w:rsidR="00537C7F" w:rsidRPr="00884FAA">
        <w:t xml:space="preserve"> </w:t>
      </w:r>
      <w:r w:rsidR="00023F43" w:rsidRPr="00884FAA">
        <w:t>care</w:t>
      </w:r>
      <w:r w:rsidRPr="00884FAA">
        <w:t xml:space="preserve"> for Aboriginal and Torres Strait Islander people.</w:t>
      </w:r>
    </w:p>
    <w:p w14:paraId="44BAC076" w14:textId="70FF341A" w:rsidR="00AA4C67" w:rsidRPr="00884FAA" w:rsidRDefault="00AA4C67" w:rsidP="0035030F">
      <w:pPr>
        <w:pStyle w:val="Heading2"/>
      </w:pPr>
      <w:bookmarkStart w:id="150" w:name="_Toc137208908"/>
      <w:r w:rsidRPr="00884FAA">
        <w:t>Holistic care</w:t>
      </w:r>
      <w:bookmarkEnd w:id="150"/>
    </w:p>
    <w:p w14:paraId="0253B8E5" w14:textId="5F825E11" w:rsidR="00576AD2" w:rsidRDefault="00576AD2" w:rsidP="00576AD2">
      <w:pPr>
        <w:pStyle w:val="Caption"/>
        <w:keepNext/>
        <w:jc w:val="left"/>
      </w:pPr>
      <w:bookmarkStart w:id="151" w:name="_Toc138851333"/>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7</w:t>
      </w:r>
      <w:r w:rsidR="005B4A4F">
        <w:fldChar w:fldCharType="end"/>
      </w:r>
      <w:r w:rsidR="00C67475">
        <w:t>.</w:t>
      </w:r>
      <w:r>
        <w:t xml:space="preserve"> Babuny framework spotlight on holistic care</w:t>
      </w:r>
      <w:bookmarkEnd w:id="151"/>
    </w:p>
    <w:p w14:paraId="5EFB14DF" w14:textId="615C9B82" w:rsidR="00C01FCE" w:rsidRPr="00C01FCE" w:rsidRDefault="00C01FCE" w:rsidP="00C01FCE">
      <w:pPr>
        <w:jc w:val="center"/>
        <w:rPr>
          <w:lang w:val="en-NZ"/>
        </w:rPr>
      </w:pPr>
      <w:r w:rsidRPr="00B0446C">
        <w:rPr>
          <w:noProof/>
        </w:rPr>
        <w:drawing>
          <wp:inline distT="0" distB="0" distL="0" distR="0" wp14:anchorId="38C6A4AA" wp14:editId="2F2E3CC2">
            <wp:extent cx="4319269" cy="2276475"/>
            <wp:effectExtent l="38100" t="38100" r="43815" b="28575"/>
            <wp:docPr id="1029278090" name="Picture 1029278090">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78090" name="Picture 1029278090">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98"/>
                    <a:srcRect l="6697" t="31832" r="6697" b="30608"/>
                    <a:stretch/>
                  </pic:blipFill>
                  <pic:spPr bwMode="auto">
                    <a:xfrm>
                      <a:off x="0" y="0"/>
                      <a:ext cx="4320000" cy="227686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090491" w14:textId="2BB44D44" w:rsidR="001D0F1C" w:rsidRDefault="00AA4C67" w:rsidP="00AA4C67">
      <w:r w:rsidRPr="00884FAA">
        <w:t>Aboriginal and Torres Strait Islander people value being treated as a whole person which includes all the interrelationships with family, community</w:t>
      </w:r>
      <w:r w:rsidR="00813BE1" w:rsidRPr="00884FAA">
        <w:t>,</w:t>
      </w:r>
      <w:r w:rsidRPr="00884FAA">
        <w:t xml:space="preserve"> and their environment. </w:t>
      </w:r>
    </w:p>
    <w:p w14:paraId="79C7789D" w14:textId="438804BA" w:rsidR="004C212B" w:rsidRDefault="00AA4C67" w:rsidP="00AA4C67">
      <w:r w:rsidRPr="00884FAA">
        <w:t>Holistic care</w:t>
      </w:r>
      <w:r w:rsidR="00817566">
        <w:t xml:space="preserve"> as understood and</w:t>
      </w:r>
      <w:r w:rsidRPr="00884FAA">
        <w:t xml:space="preserve"> </w:t>
      </w:r>
      <w:r w:rsidR="00BC3B75">
        <w:t xml:space="preserve">valued by Aboriginal and Torres Strait Islander people </w:t>
      </w:r>
      <w:r w:rsidRPr="00884FAA">
        <w:t>extends beyond the diagnosis or physical being into connection with others, the environment, and community roles.</w:t>
      </w:r>
      <w:r w:rsidR="004C212B">
        <w:t xml:space="preserve"> It is broader than the term ‘holistic care’ that is used with</w:t>
      </w:r>
      <w:r w:rsidR="0097573D">
        <w:t>in</w:t>
      </w:r>
      <w:r w:rsidR="004C212B">
        <w:t xml:space="preserve"> the mainstream health system. The mainstream framing of holistic care generally relates to joined up care beyond a single body part of diagnosis. </w:t>
      </w:r>
    </w:p>
    <w:p w14:paraId="2D257004" w14:textId="47522FD3" w:rsidR="00AA4C67" w:rsidRPr="00884FAA" w:rsidRDefault="00AA4C67" w:rsidP="00AA4C67">
      <w:r w:rsidRPr="00884FAA">
        <w:lastRenderedPageBreak/>
        <w:t xml:space="preserve">Community members value and view holistic care </w:t>
      </w:r>
      <w:r w:rsidR="004C212B">
        <w:t xml:space="preserve">that aligns with how Aboriginal and Torres Strait Islander people understand holistic health and wellbeing </w:t>
      </w:r>
      <w:r w:rsidRPr="00884FAA">
        <w:t xml:space="preserve">as the foundation </w:t>
      </w:r>
      <w:r w:rsidR="008306A0">
        <w:t>for</w:t>
      </w:r>
      <w:r w:rsidRPr="00884FAA">
        <w:t xml:space="preserve"> effective experiences and outcomes.</w:t>
      </w:r>
      <w:r w:rsidR="00A1270D">
        <w:t xml:space="preserve"> </w:t>
      </w:r>
      <w:r w:rsidRPr="00884FAA">
        <w:t xml:space="preserve">This different way of </w:t>
      </w:r>
      <w:r w:rsidR="00650254">
        <w:t>being</w:t>
      </w:r>
      <w:r w:rsidR="00C7362A" w:rsidRPr="00884FAA">
        <w:t xml:space="preserve"> </w:t>
      </w:r>
      <w:r w:rsidRPr="00884FAA">
        <w:t>was expressed by a number of community members</w:t>
      </w:r>
      <w:r w:rsidR="0006085F">
        <w:t xml:space="preserve">, and put simply </w:t>
      </w:r>
      <w:r w:rsidR="009265AE">
        <w:t>by one contributor as:</w:t>
      </w:r>
    </w:p>
    <w:p w14:paraId="1047028D" w14:textId="77777777" w:rsidR="00AA4C67" w:rsidRPr="00A1178E" w:rsidRDefault="00AA4C67" w:rsidP="00BB3C21">
      <w:pPr>
        <w:pStyle w:val="Quote"/>
        <w:spacing w:after="0"/>
        <w:rPr>
          <w:color w:val="18525E" w:themeColor="accent5" w:themeShade="80"/>
        </w:rPr>
      </w:pPr>
      <w:r w:rsidRPr="00A1178E">
        <w:rPr>
          <w:color w:val="18525E" w:themeColor="accent5" w:themeShade="80"/>
        </w:rPr>
        <w:t xml:space="preserve">So you have this aged care, disability, mental health, primary health and then you know, everything is so disjointed especially in a white world. Why do they have them separately in a white world. In a black world, they don’t sit apart in any way, shape or form. </w:t>
      </w:r>
    </w:p>
    <w:p w14:paraId="0F399E70" w14:textId="77777777" w:rsidR="00AA4C67" w:rsidRPr="00884FAA" w:rsidRDefault="00AA4C67" w:rsidP="008C5876">
      <w:pPr>
        <w:pStyle w:val="Quote"/>
        <w:spacing w:before="120" w:after="240"/>
        <w:jc w:val="right"/>
        <w:rPr>
          <w:b/>
          <w:bCs/>
          <w:color w:val="auto"/>
        </w:rPr>
      </w:pPr>
      <w:r w:rsidRPr="00884FAA">
        <w:rPr>
          <w:b/>
          <w:bCs/>
          <w:color w:val="auto"/>
        </w:rPr>
        <w:t>Community member</w:t>
      </w:r>
    </w:p>
    <w:p w14:paraId="45126174" w14:textId="441E6F55" w:rsidR="00B0446C" w:rsidRPr="00884FAA" w:rsidRDefault="008D68C0" w:rsidP="00C62887">
      <w:r w:rsidRPr="00BC3B75">
        <w:t xml:space="preserve">The importance of holistic care for Aboriginal and Torres Strait Islander people cannot be overstated. </w:t>
      </w:r>
      <w:r w:rsidR="00A0085A">
        <w:t>Health care</w:t>
      </w:r>
      <w:r w:rsidRPr="00BC3B75">
        <w:t xml:space="preserve"> can only be determined to be holistic if it is consistent with Aboriginal and Torres Strait Islander ways of being and meet</w:t>
      </w:r>
      <w:r w:rsidR="00D9688B">
        <w:t>s</w:t>
      </w:r>
      <w:r w:rsidRPr="00BC3B75">
        <w:t xml:space="preserve"> their needs for wellbeing.</w:t>
      </w:r>
      <w:r w:rsidR="00AA35E2">
        <w:t xml:space="preserve"> </w:t>
      </w:r>
    </w:p>
    <w:p w14:paraId="21B1C438" w14:textId="50827C76" w:rsidR="000C14F5" w:rsidRPr="00884FAA" w:rsidRDefault="00C070E1" w:rsidP="00651D06">
      <w:pPr>
        <w:pStyle w:val="Heading3"/>
      </w:pPr>
      <w:r>
        <w:t>Improving h</w:t>
      </w:r>
      <w:r w:rsidR="00A05ADB" w:rsidRPr="00884FAA">
        <w:t>ealth and wellbeing for all</w:t>
      </w:r>
      <w:r w:rsidR="005918FC" w:rsidRPr="00884FAA">
        <w:t xml:space="preserve"> </w:t>
      </w:r>
    </w:p>
    <w:p w14:paraId="21D8C7BE" w14:textId="2AEAC1CB" w:rsidR="00FA47F8" w:rsidRPr="00884FAA" w:rsidRDefault="00FA47F8" w:rsidP="00FA47F8">
      <w:r w:rsidRPr="00884FAA">
        <w:t xml:space="preserve">Aboriginal and Torres Strait Islander people value health care that improves health and wellbeing for all. </w:t>
      </w:r>
      <w:r w:rsidR="00E85B04">
        <w:t>This manifests in h</w:t>
      </w:r>
      <w:r w:rsidRPr="00884FAA">
        <w:t>ealth services provid</w:t>
      </w:r>
      <w:r w:rsidR="00E85B04">
        <w:t>ing</w:t>
      </w:r>
      <w:r w:rsidRPr="00884FAA">
        <w:t xml:space="preserve"> the places and resources to nurture the health and wellbeing of their community. This supports and strengthens that community into the future. </w:t>
      </w:r>
      <w:r w:rsidR="004A66A7">
        <w:t>Similarly, t</w:t>
      </w:r>
      <w:r w:rsidRPr="00884FAA">
        <w:t>he branches and leaves of a Babuny tree provide shelter and resources to their environment and eventually become resources that feed the landscape.</w:t>
      </w:r>
    </w:p>
    <w:p w14:paraId="6976919A" w14:textId="4C5370EC" w:rsidR="00705BFC" w:rsidRPr="00884FAA" w:rsidRDefault="005C490E" w:rsidP="00651D06">
      <w:pPr>
        <w:pStyle w:val="Heading3"/>
      </w:pPr>
      <w:r w:rsidRPr="00884FAA">
        <w:t>Choice of care</w:t>
      </w:r>
    </w:p>
    <w:p w14:paraId="2E66AD70" w14:textId="62BBF09E" w:rsidR="00576AD2" w:rsidRDefault="00576AD2" w:rsidP="00576AD2">
      <w:pPr>
        <w:pStyle w:val="Caption"/>
        <w:keepNext/>
        <w:jc w:val="left"/>
      </w:pPr>
      <w:bookmarkStart w:id="152" w:name="_Toc138851334"/>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8</w:t>
      </w:r>
      <w:r w:rsidR="005B4A4F">
        <w:fldChar w:fldCharType="end"/>
      </w:r>
      <w:r w:rsidR="00C67475">
        <w:t>.</w:t>
      </w:r>
      <w:r>
        <w:t xml:space="preserve"> Babuny framework spotlight on choice of care</w:t>
      </w:r>
      <w:bookmarkEnd w:id="152"/>
    </w:p>
    <w:p w14:paraId="310F5E54" w14:textId="35A290A9" w:rsidR="00165557" w:rsidRPr="00165557" w:rsidRDefault="00165557" w:rsidP="00165557">
      <w:pPr>
        <w:jc w:val="center"/>
        <w:rPr>
          <w:lang w:val="en-GB" w:eastAsia="en-GB"/>
        </w:rPr>
      </w:pPr>
      <w:r w:rsidRPr="00B0446C">
        <w:rPr>
          <w:noProof/>
        </w:rPr>
        <w:drawing>
          <wp:inline distT="0" distB="0" distL="0" distR="0" wp14:anchorId="38947C8F" wp14:editId="1BDDB924">
            <wp:extent cx="4319270" cy="2524125"/>
            <wp:effectExtent l="38100" t="38100" r="43180" b="47625"/>
            <wp:docPr id="2130057210" name="Picture 2130057210">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57210" name="Picture 2130057210">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99"/>
                    <a:srcRect l="724" t="7023" r="724" b="45585"/>
                    <a:stretch/>
                  </pic:blipFill>
                  <pic:spPr bwMode="auto">
                    <a:xfrm>
                      <a:off x="0" y="0"/>
                      <a:ext cx="4320000" cy="2524552"/>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A99631" w14:textId="39F3124A" w:rsidR="005C490E" w:rsidRPr="00884FAA" w:rsidRDefault="005C490E" w:rsidP="005C490E">
      <w:r w:rsidRPr="00884FAA">
        <w:t xml:space="preserve">Community members value having choice in how, where, and from whom they receive their </w:t>
      </w:r>
      <w:r w:rsidR="00807F93" w:rsidRPr="00884FAA">
        <w:t>health care</w:t>
      </w:r>
      <w:r w:rsidRPr="00884FAA">
        <w:t xml:space="preserve">. Choice </w:t>
      </w:r>
      <w:r w:rsidR="000C07CD">
        <w:t xml:space="preserve">can be </w:t>
      </w:r>
      <w:r w:rsidRPr="00884FAA">
        <w:t xml:space="preserve">influenced by </w:t>
      </w:r>
      <w:r w:rsidR="001F6983" w:rsidRPr="00884FAA">
        <w:t xml:space="preserve">a person’s </w:t>
      </w:r>
      <w:r w:rsidRPr="00884FAA">
        <w:t>location and capacity to access services based on awareness, affordability, availability, appropriateness, and accessibility. Choice is a mechanism of empowerment</w:t>
      </w:r>
      <w:r w:rsidR="000C07CD">
        <w:t xml:space="preserve"> for Aboriginal and Torres Strait Islander people</w:t>
      </w:r>
      <w:r w:rsidR="00493CB0" w:rsidRPr="00884FAA">
        <w:t>.</w:t>
      </w:r>
      <w:r w:rsidR="00F52568" w:rsidRPr="00884FAA">
        <w:t xml:space="preserve"> Choice is represented on Babuny as a branch from which people can then leverage to the type of </w:t>
      </w:r>
      <w:r w:rsidR="00807F93" w:rsidRPr="00884FAA">
        <w:t>health care</w:t>
      </w:r>
      <w:r w:rsidR="00F52568" w:rsidRPr="00884FAA">
        <w:t xml:space="preserve"> services and experiences that best meet their individual needs</w:t>
      </w:r>
      <w:r w:rsidR="0032703F" w:rsidRPr="00884FAA">
        <w:t>. T</w:t>
      </w:r>
      <w:r w:rsidR="00F52568" w:rsidRPr="00884FAA">
        <w:t xml:space="preserve">he services and </w:t>
      </w:r>
      <w:r w:rsidR="00F52568" w:rsidRPr="00884FAA">
        <w:lastRenderedPageBreak/>
        <w:t xml:space="preserve">experiences </w:t>
      </w:r>
      <w:r w:rsidR="0032703F" w:rsidRPr="00884FAA">
        <w:t xml:space="preserve">are </w:t>
      </w:r>
      <w:r w:rsidR="00F52568" w:rsidRPr="00884FAA">
        <w:t>illustrated in Babuny’s branches and leaves.</w:t>
      </w:r>
      <w:r w:rsidR="000C7D10">
        <w:t xml:space="preserve"> </w:t>
      </w:r>
      <w:r w:rsidR="000C7D10" w:rsidRPr="000C7D10">
        <w:t xml:space="preserve">Choice </w:t>
      </w:r>
      <w:r w:rsidR="000C07CD">
        <w:t>as</w:t>
      </w:r>
      <w:r w:rsidR="000C7D10" w:rsidRPr="000C7D10">
        <w:t xml:space="preserve"> a mechanism of empowerment </w:t>
      </w:r>
      <w:r w:rsidR="000C07CD">
        <w:t>was</w:t>
      </w:r>
      <w:r w:rsidR="000C7D10" w:rsidRPr="000C7D10">
        <w:t xml:space="preserve"> described by one </w:t>
      </w:r>
      <w:r w:rsidR="00FB12FF">
        <w:t xml:space="preserve">community member: </w:t>
      </w:r>
    </w:p>
    <w:p w14:paraId="6ABE19D6" w14:textId="607C6373" w:rsidR="0030072B" w:rsidRPr="00A1178E" w:rsidRDefault="005C490E" w:rsidP="006F3E5F">
      <w:pPr>
        <w:pStyle w:val="Quote"/>
        <w:spacing w:after="0"/>
        <w:rPr>
          <w:color w:val="18525E" w:themeColor="accent5" w:themeShade="80"/>
        </w:rPr>
      </w:pPr>
      <w:r w:rsidRPr="00A1178E">
        <w:rPr>
          <w:color w:val="18525E" w:themeColor="accent5" w:themeShade="80"/>
        </w:rPr>
        <w:t xml:space="preserve">I do also think that it still needs to come back to that choice. I think there needs to be options and there needs to be choices. With choice comes agency and with that comes safety. </w:t>
      </w:r>
    </w:p>
    <w:p w14:paraId="03F38FCD" w14:textId="0BDA571A" w:rsidR="005C490E" w:rsidRPr="00884FAA" w:rsidRDefault="005C490E" w:rsidP="006F3E5F">
      <w:pPr>
        <w:pStyle w:val="Quote"/>
        <w:spacing w:before="0"/>
        <w:jc w:val="right"/>
        <w:rPr>
          <w:b/>
          <w:color w:val="auto"/>
        </w:rPr>
      </w:pPr>
      <w:r w:rsidRPr="00884FAA">
        <w:rPr>
          <w:b/>
          <w:color w:val="auto"/>
        </w:rPr>
        <w:t xml:space="preserve">Community </w:t>
      </w:r>
      <w:r w:rsidR="00493CB0" w:rsidRPr="00884FAA">
        <w:rPr>
          <w:b/>
          <w:bCs/>
          <w:color w:val="auto"/>
        </w:rPr>
        <w:t>member</w:t>
      </w:r>
    </w:p>
    <w:p w14:paraId="0FF9EC51" w14:textId="0AEBA865" w:rsidR="00705BFC" w:rsidRPr="00884FAA" w:rsidRDefault="005C490E" w:rsidP="00651D06">
      <w:pPr>
        <w:pStyle w:val="Heading3"/>
      </w:pPr>
      <w:r w:rsidRPr="00884FAA">
        <w:t xml:space="preserve">Innovation </w:t>
      </w:r>
    </w:p>
    <w:p w14:paraId="31E04F37" w14:textId="3D11861D" w:rsidR="005C490E" w:rsidRPr="00884FAA" w:rsidRDefault="005C490E" w:rsidP="005C490E">
      <w:r w:rsidRPr="00884FAA">
        <w:t xml:space="preserve">Woven throughout the yarns </w:t>
      </w:r>
      <w:r w:rsidR="00F01FFF" w:rsidRPr="00884FAA">
        <w:t>with</w:t>
      </w:r>
      <w:r w:rsidR="00AC3B6B" w:rsidRPr="00884FAA">
        <w:t xml:space="preserve"> </w:t>
      </w:r>
      <w:r w:rsidRPr="00884FAA">
        <w:t xml:space="preserve">community members </w:t>
      </w:r>
      <w:r w:rsidR="00F01FFF" w:rsidRPr="00884FAA">
        <w:t xml:space="preserve">was the regard </w:t>
      </w:r>
      <w:r w:rsidR="006217E9">
        <w:t>people</w:t>
      </w:r>
      <w:r w:rsidR="006217E9" w:rsidRPr="00884FAA">
        <w:t xml:space="preserve"> </w:t>
      </w:r>
      <w:r w:rsidR="00AC3B6B" w:rsidRPr="00884FAA">
        <w:t>ha</w:t>
      </w:r>
      <w:r w:rsidR="00F01FFF" w:rsidRPr="00884FAA">
        <w:t>ve</w:t>
      </w:r>
      <w:r w:rsidRPr="00884FAA">
        <w:t xml:space="preserve"> for the innovation shown by health services in using limited resources to </w:t>
      </w:r>
      <w:r w:rsidR="00254063" w:rsidRPr="00884FAA">
        <w:t xml:space="preserve">adapt and </w:t>
      </w:r>
      <w:r w:rsidRPr="00884FAA">
        <w:t>meet the community’s health needs.</w:t>
      </w:r>
      <w:r w:rsidR="00BA5B3A" w:rsidRPr="00884FAA">
        <w:t xml:space="preserve"> </w:t>
      </w:r>
      <w:r w:rsidR="001F4623">
        <w:t>Community members</w:t>
      </w:r>
      <w:r w:rsidR="00BA5B3A" w:rsidRPr="00884FAA" w:rsidDel="00D14742">
        <w:t xml:space="preserve"> </w:t>
      </w:r>
      <w:r w:rsidR="00BA5B3A" w:rsidRPr="00884FAA" w:rsidDel="00125063">
        <w:t xml:space="preserve">value the effort and innovation required to </w:t>
      </w:r>
      <w:r w:rsidR="00993F44" w:rsidRPr="00884FAA" w:rsidDel="00125063">
        <w:t>ensure services are adapted to local needs, but still fit within funding budgets and conditions.</w:t>
      </w:r>
      <w:r w:rsidRPr="00884FAA" w:rsidDel="00125063">
        <w:t xml:space="preserve"> </w:t>
      </w:r>
      <w:r w:rsidRPr="00884FAA">
        <w:t>Innovation is represented on Babuny by new growth sprout</w:t>
      </w:r>
      <w:r w:rsidR="00956B99" w:rsidRPr="00884FAA">
        <w:t xml:space="preserve">s </w:t>
      </w:r>
      <w:r w:rsidR="00DA1177" w:rsidRPr="00884FAA">
        <w:t>on the branches</w:t>
      </w:r>
      <w:r w:rsidRPr="00884FAA">
        <w:t xml:space="preserve">. </w:t>
      </w:r>
    </w:p>
    <w:p w14:paraId="054BBD1D" w14:textId="2EBC37FA" w:rsidR="005C490E" w:rsidRPr="00884FAA" w:rsidRDefault="005C490E" w:rsidP="00651D06">
      <w:pPr>
        <w:pStyle w:val="Heading3"/>
      </w:pPr>
      <w:r w:rsidRPr="00884FAA">
        <w:t xml:space="preserve">Quality of care </w:t>
      </w:r>
    </w:p>
    <w:p w14:paraId="0B1333B7" w14:textId="0E5F49E2" w:rsidR="00576AD2" w:rsidRDefault="00576AD2" w:rsidP="00576AD2">
      <w:pPr>
        <w:pStyle w:val="Caption"/>
        <w:keepNext/>
        <w:jc w:val="left"/>
      </w:pPr>
      <w:bookmarkStart w:id="153" w:name="_Toc138851335"/>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9</w:t>
      </w:r>
      <w:r w:rsidR="005B4A4F">
        <w:fldChar w:fldCharType="end"/>
      </w:r>
      <w:r w:rsidR="00C67475">
        <w:t>.</w:t>
      </w:r>
      <w:r>
        <w:t xml:space="preserve"> Babuny framework spotlight on quality of care</w:t>
      </w:r>
      <w:bookmarkEnd w:id="153"/>
    </w:p>
    <w:p w14:paraId="1D3B09AD" w14:textId="7CEF0085" w:rsidR="00165557" w:rsidRPr="00165557" w:rsidRDefault="00165557" w:rsidP="00165557">
      <w:pPr>
        <w:jc w:val="center"/>
        <w:rPr>
          <w:lang w:val="en-GB" w:eastAsia="en-GB"/>
        </w:rPr>
      </w:pPr>
      <w:r w:rsidRPr="00B0446C">
        <w:rPr>
          <w:noProof/>
        </w:rPr>
        <w:drawing>
          <wp:inline distT="0" distB="0" distL="0" distR="0" wp14:anchorId="77F3E3E0" wp14:editId="24146BAD">
            <wp:extent cx="4319270" cy="2781300"/>
            <wp:effectExtent l="38100" t="38100" r="43180" b="38100"/>
            <wp:docPr id="2054548888" name="Picture 2054548888">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48888" name="Picture 2054548888">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100"/>
                    <a:srcRect t="1518" b="45497"/>
                    <a:stretch/>
                  </pic:blipFill>
                  <pic:spPr bwMode="auto">
                    <a:xfrm>
                      <a:off x="0" y="0"/>
                      <a:ext cx="4320000" cy="278177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5A27B2" w14:textId="3939438C" w:rsidR="00993F44" w:rsidRPr="00884FAA" w:rsidRDefault="00E004C2" w:rsidP="00993F44">
      <w:r>
        <w:t xml:space="preserve">Community members </w:t>
      </w:r>
      <w:r w:rsidR="00993F44" w:rsidRPr="00884FAA">
        <w:t xml:space="preserve">value quality of care in </w:t>
      </w:r>
      <w:r w:rsidR="00993F44" w:rsidRPr="00884FAA" w:rsidDel="00D04425">
        <w:t>health services</w:t>
      </w:r>
      <w:r w:rsidR="00034081">
        <w:t xml:space="preserve">. People </w:t>
      </w:r>
      <w:r w:rsidR="00993F44" w:rsidRPr="00884FAA">
        <w:t>experienced</w:t>
      </w:r>
      <w:r w:rsidR="00993F44" w:rsidRPr="00884FAA" w:rsidDel="00E8327B">
        <w:t xml:space="preserve"> </w:t>
      </w:r>
      <w:r w:rsidR="000747B1">
        <w:t>this as</w:t>
      </w:r>
      <w:r w:rsidR="000D5B59">
        <w:t xml:space="preserve"> </w:t>
      </w:r>
      <w:r w:rsidR="00993F44" w:rsidRPr="00884FAA">
        <w:t>timely treatment, early intervention, coordinated care, and feeling supported, informed</w:t>
      </w:r>
      <w:r w:rsidR="00D73A07" w:rsidRPr="00884FAA">
        <w:t>,</w:t>
      </w:r>
      <w:r w:rsidR="00993F44" w:rsidRPr="00884FAA">
        <w:t xml:space="preserve"> and included in their care by competent and caring staff. </w:t>
      </w:r>
    </w:p>
    <w:p w14:paraId="0AA66BB3" w14:textId="0F06340C" w:rsidR="00A05ADB" w:rsidRPr="00884FAA" w:rsidRDefault="00993F44" w:rsidP="00A05ADB">
      <w:r w:rsidRPr="00884FAA">
        <w:t xml:space="preserve">The value of timely treatment and early intervention were often </w:t>
      </w:r>
      <w:r w:rsidR="00407FD5">
        <w:t>identified from discussions about</w:t>
      </w:r>
      <w:r w:rsidRPr="00884FAA">
        <w:t xml:space="preserve"> negative experiences of late diagnosis or health issues not being diagnosed due to </w:t>
      </w:r>
      <w:r w:rsidR="007262FD">
        <w:t xml:space="preserve">people experiencing </w:t>
      </w:r>
      <w:r w:rsidRPr="00884FAA">
        <w:t xml:space="preserve">racist or dismissive interactions with clinicians. People shared the </w:t>
      </w:r>
      <w:r w:rsidR="0061758B">
        <w:t xml:space="preserve">various </w:t>
      </w:r>
      <w:r w:rsidRPr="00884FAA">
        <w:t>impact</w:t>
      </w:r>
      <w:r w:rsidR="0061758B">
        <w:t>s</w:t>
      </w:r>
      <w:r w:rsidRPr="00884FAA">
        <w:t xml:space="preserve"> of loss, complications, disability, and even deaths. </w:t>
      </w:r>
      <w:r w:rsidR="00A05ADB" w:rsidRPr="00884FAA">
        <w:t xml:space="preserve">Community members recognised the effect of staff shortages and </w:t>
      </w:r>
      <w:r w:rsidR="000C0698">
        <w:t xml:space="preserve">community </w:t>
      </w:r>
      <w:r w:rsidR="00A05ADB" w:rsidRPr="00884FAA">
        <w:t xml:space="preserve">demand on wait times within services but appreciated innovative approaches </w:t>
      </w:r>
      <w:r w:rsidR="00352C79">
        <w:t xml:space="preserve">taken by services </w:t>
      </w:r>
      <w:r w:rsidR="00A05ADB" w:rsidRPr="00884FAA">
        <w:t xml:space="preserve">to ensuring timely treatment. In one </w:t>
      </w:r>
      <w:r w:rsidR="00A05ADB" w:rsidRPr="00884FAA">
        <w:lastRenderedPageBreak/>
        <w:t xml:space="preserve">remote setting this included </w:t>
      </w:r>
      <w:r w:rsidR="00352C79">
        <w:t xml:space="preserve">securing </w:t>
      </w:r>
      <w:r w:rsidR="00A05ADB" w:rsidRPr="00884FAA">
        <w:t xml:space="preserve">support from the local paramedics when they were </w:t>
      </w:r>
      <w:r w:rsidR="00792387">
        <w:t>available:</w:t>
      </w:r>
    </w:p>
    <w:p w14:paraId="2D7E6175" w14:textId="77777777" w:rsidR="00A05ADB" w:rsidRPr="00A1178E" w:rsidRDefault="00A05ADB" w:rsidP="006F3E5F">
      <w:pPr>
        <w:pStyle w:val="Quote"/>
        <w:spacing w:after="0"/>
        <w:rPr>
          <w:color w:val="18525E" w:themeColor="accent5" w:themeShade="80"/>
        </w:rPr>
      </w:pPr>
      <w:r w:rsidRPr="00A1178E">
        <w:rPr>
          <w:color w:val="18525E" w:themeColor="accent5" w:themeShade="80"/>
        </w:rPr>
        <w:t xml:space="preserve">And we’ve got the ambulance mob come over there, the paramedics, they come over to the day centre and that. And a lot of people that come there, we get about 30, 40 people in there every day, in the mornings and at lunch time. And the paramedics deal with them there, which anything that’s major wrong with them, they will bring them straight to the hospital. </w:t>
      </w:r>
    </w:p>
    <w:p w14:paraId="646D9E84" w14:textId="001F6903" w:rsidR="00A05ADB" w:rsidRPr="00884FAA" w:rsidRDefault="00A05ADB" w:rsidP="006F3E5F">
      <w:pPr>
        <w:pStyle w:val="Quote"/>
        <w:spacing w:before="0"/>
        <w:jc w:val="right"/>
        <w:rPr>
          <w:b/>
          <w:bCs/>
          <w:color w:val="auto"/>
        </w:rPr>
      </w:pPr>
      <w:r w:rsidRPr="00884FAA">
        <w:rPr>
          <w:b/>
          <w:bCs/>
          <w:color w:val="auto"/>
        </w:rPr>
        <w:t>Community member</w:t>
      </w:r>
      <w:r w:rsidR="00085A70">
        <w:rPr>
          <w:b/>
          <w:bCs/>
          <w:color w:val="auto"/>
        </w:rPr>
        <w:t xml:space="preserve"> </w:t>
      </w:r>
    </w:p>
    <w:p w14:paraId="28156D9E" w14:textId="5D18F530" w:rsidR="005C490E" w:rsidRPr="00884FAA" w:rsidRDefault="005C490E" w:rsidP="005C490E">
      <w:r w:rsidRPr="00884FAA">
        <w:t xml:space="preserve">Programs and staff that assisted with care coordination are strongly valued by community members. Navigating the health system can </w:t>
      </w:r>
      <w:r w:rsidR="00B0422D">
        <w:t xml:space="preserve">be </w:t>
      </w:r>
      <w:r w:rsidR="00AC2527">
        <w:t xml:space="preserve">complicated and it is </w:t>
      </w:r>
      <w:r w:rsidR="00B0422D">
        <w:t xml:space="preserve">even </w:t>
      </w:r>
      <w:r w:rsidRPr="00884FAA">
        <w:t xml:space="preserve">harder </w:t>
      </w:r>
      <w:r w:rsidR="00A22910">
        <w:t xml:space="preserve">for people who </w:t>
      </w:r>
      <w:r w:rsidR="00BC394D" w:rsidRPr="00884FAA">
        <w:t>experience</w:t>
      </w:r>
      <w:r w:rsidRPr="00884FAA">
        <w:t xml:space="preserve"> complex health issues, caring responsibilities, or accessibility barriers. </w:t>
      </w:r>
      <w:r w:rsidR="006B7FD9">
        <w:t xml:space="preserve">Elements of coordinated care that </w:t>
      </w:r>
      <w:r w:rsidR="00C24980">
        <w:t xml:space="preserve">are valued </w:t>
      </w:r>
      <w:r w:rsidR="003E7581">
        <w:t>includ</w:t>
      </w:r>
      <w:r w:rsidR="00AC2527">
        <w:t>e</w:t>
      </w:r>
      <w:r w:rsidR="003E7581">
        <w:t xml:space="preserve"> </w:t>
      </w:r>
      <w:r w:rsidRPr="00884FAA">
        <w:t>shar</w:t>
      </w:r>
      <w:r w:rsidR="004D358D">
        <w:t>ing of</w:t>
      </w:r>
      <w:r w:rsidRPr="00884FAA">
        <w:t xml:space="preserve"> information such as referrals, medical histories, and follow</w:t>
      </w:r>
      <w:r w:rsidR="005D6AE4">
        <w:t>-</w:t>
      </w:r>
      <w:r w:rsidRPr="00884FAA">
        <w:t>up care. The value of coordinated care was also evidenced for shorter term care programs such as the antenatal programs being run through community</w:t>
      </w:r>
      <w:r w:rsidR="00BC394D" w:rsidRPr="00884FAA">
        <w:t>-</w:t>
      </w:r>
      <w:r w:rsidRPr="00884FAA">
        <w:t xml:space="preserve">controlled services. One </w:t>
      </w:r>
      <w:r w:rsidR="00BC394D" w:rsidRPr="00884FAA">
        <w:t>community member</w:t>
      </w:r>
      <w:r w:rsidRPr="00884FAA">
        <w:t xml:space="preserve"> contrasted her experiences </w:t>
      </w:r>
      <w:r w:rsidR="00CC5348">
        <w:t>of an</w:t>
      </w:r>
      <w:r w:rsidR="000B1E96">
        <w:t xml:space="preserve">tenatal care </w:t>
      </w:r>
      <w:r w:rsidRPr="00884FAA">
        <w:t>between her two pregnancies</w:t>
      </w:r>
      <w:r w:rsidR="00384C33">
        <w:t xml:space="preserve"> in different care settings</w:t>
      </w:r>
      <w:r w:rsidR="004E4E6E">
        <w:t>:</w:t>
      </w:r>
    </w:p>
    <w:p w14:paraId="470C4895" w14:textId="7E6ED769" w:rsidR="008E5CBB" w:rsidRPr="00A1178E" w:rsidRDefault="005C490E" w:rsidP="000420FB">
      <w:pPr>
        <w:pStyle w:val="Quote"/>
        <w:spacing w:after="0"/>
        <w:rPr>
          <w:color w:val="18525E" w:themeColor="accent5" w:themeShade="80"/>
        </w:rPr>
      </w:pPr>
      <w:r w:rsidRPr="00A1178E">
        <w:rPr>
          <w:color w:val="18525E" w:themeColor="accent5" w:themeShade="80"/>
        </w:rPr>
        <w:t>When I had my first son, I just went like with regular midwives and stuff and I thought it was all right until I had my second one. And I found out there was like an Aboriginal midwife team and I went through them and it was so much better, like having the same midwife every single time. I just felt like I never even knew about the midwife program with my first</w:t>
      </w:r>
      <w:r w:rsidR="001A11B0" w:rsidRPr="00A1178E">
        <w:rPr>
          <w:color w:val="18525E" w:themeColor="accent5" w:themeShade="80"/>
        </w:rPr>
        <w:t xml:space="preserve"> …</w:t>
      </w:r>
      <w:r w:rsidRPr="00A1178E">
        <w:rPr>
          <w:color w:val="18525E" w:themeColor="accent5" w:themeShade="80"/>
        </w:rPr>
        <w:t xml:space="preserve">.. Like had they came to your house instead of going into the hospital and like you never had to wait to like sit around and do blood tests and things like they'd come to your house, do it for you, which made it. Like I feel like you. You weren't just like a number sitting in the waiting room. Like they knew everything about you. Like they would come over and, like, play with my son and knew him, like, by his first name. Like, </w:t>
      </w:r>
      <w:r w:rsidR="00BF1F60" w:rsidRPr="00A1178E">
        <w:rPr>
          <w:color w:val="18525E" w:themeColor="accent5" w:themeShade="80"/>
        </w:rPr>
        <w:t>y</w:t>
      </w:r>
      <w:r w:rsidRPr="00A1178E">
        <w:rPr>
          <w:color w:val="18525E" w:themeColor="accent5" w:themeShade="80"/>
        </w:rPr>
        <w:t xml:space="preserve">eah, like [other </w:t>
      </w:r>
      <w:r w:rsidR="00255FC4" w:rsidRPr="00A1178E">
        <w:rPr>
          <w:color w:val="18525E" w:themeColor="accent5" w:themeShade="80"/>
        </w:rPr>
        <w:t>participant</w:t>
      </w:r>
      <w:r w:rsidRPr="00A1178E">
        <w:rPr>
          <w:color w:val="18525E" w:themeColor="accent5" w:themeShade="80"/>
        </w:rPr>
        <w:t xml:space="preserve">] said, it was a lot more like, informal. Like it wasn't. You weren't scared sitting there in, like, a big waiting room for an appointment. </w:t>
      </w:r>
    </w:p>
    <w:p w14:paraId="591B1D8A" w14:textId="00737F33" w:rsidR="005C490E" w:rsidRPr="00884FAA" w:rsidRDefault="005C490E" w:rsidP="000420FB">
      <w:pPr>
        <w:pStyle w:val="Quote"/>
        <w:spacing w:before="120"/>
        <w:ind w:left="562"/>
        <w:jc w:val="right"/>
        <w:rPr>
          <w:b/>
          <w:color w:val="auto"/>
        </w:rPr>
      </w:pPr>
      <w:r w:rsidRPr="00884FAA">
        <w:rPr>
          <w:b/>
          <w:color w:val="auto"/>
        </w:rPr>
        <w:t xml:space="preserve">Community </w:t>
      </w:r>
      <w:r w:rsidR="00255FC4" w:rsidRPr="00884FAA">
        <w:rPr>
          <w:b/>
          <w:bCs/>
          <w:color w:val="auto"/>
        </w:rPr>
        <w:t>member</w:t>
      </w:r>
    </w:p>
    <w:p w14:paraId="00491A7E" w14:textId="636D26B9" w:rsidR="005C490E" w:rsidRPr="00884FAA" w:rsidRDefault="00412C4D" w:rsidP="005C490E">
      <w:r>
        <w:t>People felt supported by g</w:t>
      </w:r>
      <w:r w:rsidR="005C490E" w:rsidRPr="00884FAA">
        <w:t xml:space="preserve">ood quality </w:t>
      </w:r>
      <w:r w:rsidR="00807F93" w:rsidRPr="00884FAA">
        <w:t>health care</w:t>
      </w:r>
      <w:r w:rsidR="005C490E" w:rsidRPr="00884FAA">
        <w:t xml:space="preserve">. </w:t>
      </w:r>
      <w:r>
        <w:t xml:space="preserve">This can include </w:t>
      </w:r>
      <w:r w:rsidR="00065017">
        <w:t xml:space="preserve">the </w:t>
      </w:r>
      <w:r w:rsidR="005C490E" w:rsidRPr="00884FAA">
        <w:t>provision of timely treatment, early diagnosis</w:t>
      </w:r>
      <w:r w:rsidR="00E77A41" w:rsidRPr="00884FAA">
        <w:t>,</w:t>
      </w:r>
      <w:r w:rsidR="005C490E" w:rsidRPr="00884FAA">
        <w:t xml:space="preserve"> and coordinated care</w:t>
      </w:r>
      <w:r w:rsidR="00993F44" w:rsidRPr="00884FAA">
        <w:t>.</w:t>
      </w:r>
      <w:r w:rsidR="006722D1">
        <w:t xml:space="preserve"> </w:t>
      </w:r>
      <w:r w:rsidR="00402F91">
        <w:t>The value placed on good quality health care</w:t>
      </w:r>
      <w:r w:rsidR="006722D1">
        <w:t xml:space="preserve"> was illustrated by one Aboriginal mother’s experience with getting help for her toddler: </w:t>
      </w:r>
    </w:p>
    <w:p w14:paraId="14DA5761" w14:textId="2DE8C75E" w:rsidR="008E5CBB" w:rsidRPr="00A1178E" w:rsidRDefault="005C490E" w:rsidP="000420FB">
      <w:pPr>
        <w:pStyle w:val="Quote"/>
        <w:spacing w:after="0"/>
        <w:rPr>
          <w:color w:val="18525E" w:themeColor="accent5" w:themeShade="80"/>
        </w:rPr>
      </w:pPr>
      <w:r w:rsidRPr="00A1178E">
        <w:rPr>
          <w:color w:val="18525E" w:themeColor="accent5" w:themeShade="80"/>
        </w:rPr>
        <w:t>Besides here, the paediatrician at [hospital] was amazing with my youngest daughter. Absolutely amazing. She listened to me. I expressed I think she had actually something wrong with her because she's 17 months and can't walk, can't crawl, can't do anything most children can do. And she actually took the time to look into it and give me a diagnosis. And then between [ACCH</w:t>
      </w:r>
      <w:r w:rsidR="003417C7" w:rsidRPr="00A1178E">
        <w:rPr>
          <w:color w:val="18525E" w:themeColor="accent5" w:themeShade="80"/>
        </w:rPr>
        <w:t>S</w:t>
      </w:r>
      <w:r w:rsidRPr="00A1178E">
        <w:rPr>
          <w:color w:val="18525E" w:themeColor="accent5" w:themeShade="80"/>
        </w:rPr>
        <w:t xml:space="preserve">] and paediatrician they got me involved with [NDIS provider] and got me the extra support that she actually needed. </w:t>
      </w:r>
    </w:p>
    <w:p w14:paraId="0F8A01B5" w14:textId="620E5E2D" w:rsidR="005C490E" w:rsidRPr="00884FAA" w:rsidRDefault="005C490E" w:rsidP="000420FB">
      <w:pPr>
        <w:pStyle w:val="Quote"/>
        <w:spacing w:before="120"/>
        <w:ind w:left="562"/>
        <w:jc w:val="right"/>
        <w:rPr>
          <w:b/>
          <w:color w:val="auto"/>
        </w:rPr>
      </w:pPr>
      <w:r w:rsidRPr="00884FAA">
        <w:rPr>
          <w:b/>
          <w:color w:val="auto"/>
        </w:rPr>
        <w:t xml:space="preserve">Community </w:t>
      </w:r>
      <w:r w:rsidR="003417C7" w:rsidRPr="00884FAA">
        <w:rPr>
          <w:b/>
          <w:bCs/>
          <w:color w:val="auto"/>
        </w:rPr>
        <w:t>member</w:t>
      </w:r>
    </w:p>
    <w:p w14:paraId="3C703D7E" w14:textId="57BD3D09" w:rsidR="005C490E" w:rsidRPr="00884FAA" w:rsidRDefault="005C490E" w:rsidP="005C490E">
      <w:r w:rsidRPr="00884FAA">
        <w:t xml:space="preserve">Community members consistently identified the relational aspects of their </w:t>
      </w:r>
      <w:r w:rsidR="00807F93" w:rsidRPr="00884FAA">
        <w:t>health care</w:t>
      </w:r>
      <w:r w:rsidRPr="00884FAA">
        <w:t xml:space="preserve"> experience as contributing to quality of care. When staff are dismissive, overly clinical, or </w:t>
      </w:r>
      <w:r w:rsidRPr="00884FAA">
        <w:lastRenderedPageBreak/>
        <w:t>rushed they cannot deliver quality, holistic care</w:t>
      </w:r>
      <w:r w:rsidR="00C145E1">
        <w:t xml:space="preserve"> that aligns with the relational elements of health care that are valued by community members</w:t>
      </w:r>
      <w:r w:rsidRPr="00884FAA">
        <w:t xml:space="preserve">. </w:t>
      </w:r>
      <w:r w:rsidR="00843F59">
        <w:t xml:space="preserve">Ensuring that people feel supported and </w:t>
      </w:r>
      <w:r w:rsidR="00F3172C">
        <w:t>experience</w:t>
      </w:r>
      <w:r w:rsidR="00843F59">
        <w:t xml:space="preserve"> </w:t>
      </w:r>
      <w:r w:rsidRPr="00884FAA">
        <w:t xml:space="preserve">quality care requires health service staff (both clinicians and </w:t>
      </w:r>
      <w:r w:rsidR="00BA2B3B" w:rsidRPr="00884FAA">
        <w:t>administrative</w:t>
      </w:r>
      <w:r w:rsidR="0072710F" w:rsidRPr="00884FAA">
        <w:t>/support</w:t>
      </w:r>
      <w:r w:rsidR="00BA2B3B" w:rsidRPr="00884FAA">
        <w:t xml:space="preserve"> staff</w:t>
      </w:r>
      <w:r w:rsidRPr="00884FAA">
        <w:t xml:space="preserve">) that take the time, listen, and care about the person. When asked what good care looks like, </w:t>
      </w:r>
      <w:r w:rsidR="0072710F" w:rsidRPr="00884FAA">
        <w:t>community members</w:t>
      </w:r>
      <w:r w:rsidRPr="00884FAA">
        <w:t xml:space="preserve"> often shared descriptions that included these characteristics</w:t>
      </w:r>
      <w:r w:rsidR="0006575C">
        <w:t>:</w:t>
      </w:r>
    </w:p>
    <w:p w14:paraId="1F442326" w14:textId="01FCB1CE" w:rsidR="008E5CBB" w:rsidRPr="00A1178E" w:rsidRDefault="005C490E" w:rsidP="000420FB">
      <w:pPr>
        <w:pStyle w:val="Quote"/>
        <w:spacing w:after="0"/>
        <w:rPr>
          <w:color w:val="18525E" w:themeColor="accent5" w:themeShade="80"/>
        </w:rPr>
      </w:pPr>
      <w:r w:rsidRPr="00A1178E">
        <w:rPr>
          <w:color w:val="18525E" w:themeColor="accent5" w:themeShade="80"/>
        </w:rPr>
        <w:t>I reckon the best service I ever got from a doctor was here. When I went here, like it didn't feel like the appointment was rushed, so, like, I could ask questions and they could actually give me answers. When you go to, like, I don't know, like a white doctor. Like it's just like, it's like, it feels like they like downplaying whatever you have or whatever questions you have and they try and get you out as quick as possible. At [ACCH</w:t>
      </w:r>
      <w:r w:rsidR="00D624B5" w:rsidRPr="00A1178E">
        <w:rPr>
          <w:color w:val="18525E" w:themeColor="accent5" w:themeShade="80"/>
        </w:rPr>
        <w:t>S</w:t>
      </w:r>
      <w:r w:rsidRPr="00A1178E">
        <w:rPr>
          <w:color w:val="18525E" w:themeColor="accent5" w:themeShade="80"/>
        </w:rPr>
        <w:t xml:space="preserve">] I felt it was like, you can have a conversation with the doctor, ask questions and actually get answers. </w:t>
      </w:r>
    </w:p>
    <w:p w14:paraId="38F3F095" w14:textId="27AAAF1B" w:rsidR="005C490E" w:rsidRPr="00884FAA" w:rsidRDefault="005C490E" w:rsidP="000420FB">
      <w:pPr>
        <w:pStyle w:val="Quote"/>
        <w:spacing w:before="0"/>
        <w:jc w:val="right"/>
        <w:rPr>
          <w:b/>
          <w:color w:val="auto"/>
        </w:rPr>
      </w:pPr>
      <w:r w:rsidRPr="00884FAA">
        <w:rPr>
          <w:b/>
          <w:color w:val="auto"/>
        </w:rPr>
        <w:t xml:space="preserve">Community </w:t>
      </w:r>
      <w:r w:rsidR="00D44C25" w:rsidRPr="00884FAA">
        <w:rPr>
          <w:b/>
          <w:bCs/>
          <w:color w:val="auto"/>
        </w:rPr>
        <w:t>member</w:t>
      </w:r>
    </w:p>
    <w:p w14:paraId="01616012" w14:textId="1DAB8495" w:rsidR="005C490E" w:rsidRPr="00884FAA" w:rsidRDefault="00767E8B" w:rsidP="000420FB">
      <w:pPr>
        <w:spacing w:after="120"/>
      </w:pPr>
      <w:r>
        <w:t>R</w:t>
      </w:r>
      <w:r w:rsidR="005C490E" w:rsidRPr="00884FAA">
        <w:t>elational practices of taking the time, listening</w:t>
      </w:r>
      <w:r w:rsidR="001D5374" w:rsidRPr="00884FAA">
        <w:t>,</w:t>
      </w:r>
      <w:r w:rsidR="005C490E" w:rsidRPr="00884FAA">
        <w:t xml:space="preserve"> and seeing </w:t>
      </w:r>
      <w:r w:rsidR="005C490E" w:rsidRPr="00737F71">
        <w:t xml:space="preserve">the </w:t>
      </w:r>
      <w:r w:rsidR="009E3D39" w:rsidRPr="00737F71">
        <w:t>‘</w:t>
      </w:r>
      <w:r w:rsidR="005C490E" w:rsidRPr="00737F71">
        <w:t>patient</w:t>
      </w:r>
      <w:r w:rsidR="009E3D39" w:rsidRPr="00737F71">
        <w:t>’</w:t>
      </w:r>
      <w:r w:rsidR="005C490E" w:rsidRPr="00737F71">
        <w:t xml:space="preserve"> as a</w:t>
      </w:r>
      <w:r w:rsidR="005C490E" w:rsidRPr="00884FAA">
        <w:t xml:space="preserve"> person</w:t>
      </w:r>
      <w:r>
        <w:t xml:space="preserve"> were valued by community members. </w:t>
      </w:r>
      <w:r w:rsidR="005E348A">
        <w:t xml:space="preserve">People identified </w:t>
      </w:r>
      <w:r w:rsidR="003670C4">
        <w:t xml:space="preserve">approaches that </w:t>
      </w:r>
      <w:r w:rsidR="00FC102E">
        <w:t>including s</w:t>
      </w:r>
      <w:r w:rsidR="005C490E" w:rsidRPr="00884FAA">
        <w:t xml:space="preserve">eeing the patient as a person </w:t>
      </w:r>
      <w:r w:rsidR="00D477FA">
        <w:t xml:space="preserve">as </w:t>
      </w:r>
      <w:r w:rsidR="005C490E" w:rsidRPr="00884FAA">
        <w:t>relat</w:t>
      </w:r>
      <w:r w:rsidR="00D477FA">
        <w:t xml:space="preserve">ing </w:t>
      </w:r>
      <w:r w:rsidR="005C490E" w:rsidRPr="00884FAA">
        <w:t xml:space="preserve">to things such as the consideration of the impact of ill health and understanding the importance of interrelatedness through kinship and country. </w:t>
      </w:r>
      <w:r w:rsidR="00E25D39" w:rsidRPr="00884FAA">
        <w:t>Community members</w:t>
      </w:r>
      <w:r w:rsidR="005C490E" w:rsidRPr="00884FAA">
        <w:t xml:space="preserve"> value</w:t>
      </w:r>
      <w:r w:rsidR="005C490E" w:rsidRPr="00884FAA" w:rsidDel="001015E8">
        <w:t xml:space="preserve"> </w:t>
      </w:r>
      <w:r w:rsidR="005C490E" w:rsidRPr="00884FAA">
        <w:t>staff who use accessible language and explanations when communicati</w:t>
      </w:r>
      <w:r w:rsidR="00DC7A52" w:rsidRPr="00884FAA">
        <w:t>ng</w:t>
      </w:r>
      <w:r w:rsidR="005C490E" w:rsidRPr="00884FAA">
        <w:t xml:space="preserve"> about their health. Community members value staff with communication and relational competencies as much as their clinical or professional </w:t>
      </w:r>
      <w:r w:rsidR="00E7597E">
        <w:t>competencies</w:t>
      </w:r>
      <w:r w:rsidR="005C490E" w:rsidRPr="00884FAA">
        <w:t xml:space="preserve">. </w:t>
      </w:r>
      <w:r w:rsidR="00EC5A23">
        <w:t>Describing a valued GP, one community member shared:</w:t>
      </w:r>
    </w:p>
    <w:p w14:paraId="753F2F13" w14:textId="0641F164" w:rsidR="008E5CBB" w:rsidRPr="00A1178E" w:rsidRDefault="005C490E" w:rsidP="000420FB">
      <w:pPr>
        <w:pStyle w:val="Quote"/>
        <w:spacing w:before="360" w:after="0"/>
        <w:ind w:left="562"/>
        <w:rPr>
          <w:color w:val="18525E" w:themeColor="accent5" w:themeShade="80"/>
        </w:rPr>
      </w:pPr>
      <w:r w:rsidRPr="00A1178E">
        <w:rPr>
          <w:color w:val="18525E" w:themeColor="accent5" w:themeShade="80"/>
        </w:rPr>
        <w:t xml:space="preserve">And she's one of those doctors that knows the, like, the difference between being professional and having that personal connection with someone. Like she knows boundaries for both. Like, she can do both really well with the person. </w:t>
      </w:r>
    </w:p>
    <w:p w14:paraId="0FAF4126" w14:textId="051AA180" w:rsidR="005C490E" w:rsidRDefault="005C490E" w:rsidP="000420FB">
      <w:pPr>
        <w:pStyle w:val="Quote"/>
        <w:spacing w:before="120"/>
        <w:ind w:left="562"/>
        <w:jc w:val="right"/>
        <w:rPr>
          <w:b/>
          <w:bCs/>
          <w:color w:val="auto"/>
        </w:rPr>
      </w:pPr>
      <w:r w:rsidRPr="00884FAA">
        <w:rPr>
          <w:b/>
          <w:color w:val="auto"/>
        </w:rPr>
        <w:t xml:space="preserve">Community </w:t>
      </w:r>
      <w:r w:rsidR="00D44C25" w:rsidRPr="00884FAA">
        <w:rPr>
          <w:b/>
          <w:bCs/>
          <w:color w:val="auto"/>
        </w:rPr>
        <w:t>member</w:t>
      </w:r>
    </w:p>
    <w:p w14:paraId="2707009B" w14:textId="52AEF593" w:rsidR="008B328B" w:rsidRDefault="008B328B">
      <w:pPr>
        <w:jc w:val="left"/>
      </w:pPr>
      <w:r>
        <w:br w:type="page"/>
      </w:r>
    </w:p>
    <w:p w14:paraId="51630188" w14:textId="1532028A" w:rsidR="005C490E" w:rsidRPr="00884FAA" w:rsidRDefault="005C490E" w:rsidP="00651D06">
      <w:pPr>
        <w:pStyle w:val="Heading3"/>
      </w:pPr>
      <w:r w:rsidRPr="00884FAA">
        <w:lastRenderedPageBreak/>
        <w:t>Cultural safety</w:t>
      </w:r>
    </w:p>
    <w:p w14:paraId="5E3EA29F" w14:textId="336B57C1" w:rsidR="005C490E" w:rsidRPr="00884FAA" w:rsidRDefault="005C490E" w:rsidP="005C490E">
      <w:r w:rsidRPr="00884FAA">
        <w:t xml:space="preserve">Cultural safety that extends beyond basic cultural competency training for staff, is embedded in service design and delivery and reflects Aboriginal and Torres Strait Islander ways of being, knowing and doing, is valued by community members. </w:t>
      </w:r>
      <w:r w:rsidR="00011BD9">
        <w:t>This</w:t>
      </w:r>
      <w:r w:rsidRPr="00884FAA">
        <w:t xml:space="preserve"> is created and sustained through knowing and understanding the history and experiences of individuals and communities and </w:t>
      </w:r>
      <w:r w:rsidR="00D60F3D">
        <w:t xml:space="preserve">it </w:t>
      </w:r>
      <w:r w:rsidRPr="00884FAA">
        <w:t xml:space="preserve">manifests as quality of care. </w:t>
      </w:r>
    </w:p>
    <w:p w14:paraId="5932AF4E" w14:textId="54908059" w:rsidR="00CE58D2" w:rsidRDefault="00CE58D2" w:rsidP="00CE58D2">
      <w:pPr>
        <w:pStyle w:val="Caption"/>
        <w:keepNext/>
        <w:jc w:val="left"/>
      </w:pPr>
      <w:bookmarkStart w:id="154" w:name="_Toc138851336"/>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10</w:t>
      </w:r>
      <w:r w:rsidR="005B4A4F">
        <w:fldChar w:fldCharType="end"/>
      </w:r>
      <w:r w:rsidR="00C67475">
        <w:t>.</w:t>
      </w:r>
      <w:r>
        <w:t xml:space="preserve"> Babuny framework spotlight on cultural safety</w:t>
      </w:r>
      <w:bookmarkEnd w:id="154"/>
    </w:p>
    <w:p w14:paraId="1BCB3815" w14:textId="5E333021" w:rsidR="00086141" w:rsidRPr="00884FAA" w:rsidRDefault="00086141" w:rsidP="00086141">
      <w:pPr>
        <w:jc w:val="center"/>
      </w:pPr>
      <w:r w:rsidRPr="00B0446C">
        <w:rPr>
          <w:noProof/>
        </w:rPr>
        <w:drawing>
          <wp:inline distT="0" distB="0" distL="0" distR="0" wp14:anchorId="6CCA4C29" wp14:editId="3E739E45">
            <wp:extent cx="4320000" cy="2781770"/>
            <wp:effectExtent l="38100" t="38100" r="42545" b="38100"/>
            <wp:docPr id="686567326" name="Picture 686567326">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67326" name="Picture 686567326">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101"/>
                    <a:srcRect t="1439" b="45577"/>
                    <a:stretch/>
                  </pic:blipFill>
                  <pic:spPr bwMode="auto">
                    <a:xfrm>
                      <a:off x="0" y="0"/>
                      <a:ext cx="4320000" cy="278177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F1989D" w14:textId="132B050F" w:rsidR="005C490E" w:rsidRPr="00884FAA" w:rsidRDefault="00AD6170" w:rsidP="005C490E">
      <w:r w:rsidRPr="00884FAA">
        <w:t xml:space="preserve">Aboriginal and Torres Strait Islander </w:t>
      </w:r>
      <w:r w:rsidR="005819F5" w:rsidRPr="00884FAA">
        <w:t>people</w:t>
      </w:r>
      <w:r w:rsidR="005C490E" w:rsidRPr="00884FAA">
        <w:t xml:space="preserve"> value care that demonstrates</w:t>
      </w:r>
      <w:r w:rsidR="00622E17">
        <w:t xml:space="preserve"> </w:t>
      </w:r>
      <w:r w:rsidR="005C490E" w:rsidRPr="00884FAA">
        <w:t xml:space="preserve">cultural understanding, such as appropriate treatment of Elders, understanding when someone would feel comfortable to speak up, the nature of relationships and roles, and collective ways of addressing problems. </w:t>
      </w:r>
      <w:r w:rsidR="002D65D2">
        <w:t>People value</w:t>
      </w:r>
      <w:r w:rsidR="005C490E" w:rsidRPr="00884FAA">
        <w:t xml:space="preserve"> </w:t>
      </w:r>
      <w:r w:rsidR="00195435">
        <w:t xml:space="preserve">care </w:t>
      </w:r>
      <w:r w:rsidR="00625EC7">
        <w:t>that reflects an</w:t>
      </w:r>
      <w:r w:rsidR="00195435">
        <w:t xml:space="preserve"> </w:t>
      </w:r>
      <w:r w:rsidR="005C490E" w:rsidRPr="00884FAA">
        <w:t xml:space="preserve">understanding </w:t>
      </w:r>
      <w:r w:rsidR="00625EC7">
        <w:t xml:space="preserve">about </w:t>
      </w:r>
      <w:r w:rsidR="005C490E" w:rsidRPr="00884FAA">
        <w:t xml:space="preserve">how experiences of dispossession and colonisation impact individuals and communities including fear of government agencies. </w:t>
      </w:r>
      <w:r w:rsidR="00B24829">
        <w:t>Health</w:t>
      </w:r>
      <w:r w:rsidR="006D2482">
        <w:t xml:space="preserve"> </w:t>
      </w:r>
      <w:r w:rsidR="00B24829">
        <w:t xml:space="preserve">care that demonstrated the cultural understanding and culturally embedded practices that are valued by the community </w:t>
      </w:r>
      <w:r w:rsidR="005C490E" w:rsidRPr="00884FAA">
        <w:t>was evidenced through experiences of ACCH</w:t>
      </w:r>
      <w:r w:rsidR="005819F5" w:rsidRPr="00884FAA">
        <w:t>S</w:t>
      </w:r>
      <w:r w:rsidR="005C490E" w:rsidRPr="00884FAA">
        <w:t>s supporting community members during disasters and the pandemic</w:t>
      </w:r>
      <w:r w:rsidR="006F1369">
        <w:t xml:space="preserve">. This included </w:t>
      </w:r>
      <w:r w:rsidR="005C490E" w:rsidRPr="00884FAA">
        <w:t xml:space="preserve">through a culturally embedded practice of resource sharing to ensure that </w:t>
      </w:r>
      <w:r w:rsidR="00530547">
        <w:t>people</w:t>
      </w:r>
      <w:r w:rsidR="005C490E" w:rsidRPr="00884FAA">
        <w:t xml:space="preserve"> were not retraumatised through trying to access basic needs.</w:t>
      </w:r>
    </w:p>
    <w:p w14:paraId="06787344" w14:textId="227900BF" w:rsidR="005C490E" w:rsidRPr="00884FAA" w:rsidRDefault="005C490E" w:rsidP="005C490E">
      <w:r w:rsidRPr="00884FAA">
        <w:t xml:space="preserve">The compartmentalisation of </w:t>
      </w:r>
      <w:r w:rsidR="00807F93" w:rsidRPr="00884FAA">
        <w:t>health care</w:t>
      </w:r>
      <w:r w:rsidRPr="00884FAA">
        <w:t xml:space="preserve"> funding and delivery </w:t>
      </w:r>
      <w:r w:rsidR="00574958">
        <w:t>can operate as</w:t>
      </w:r>
      <w:r w:rsidR="00574958" w:rsidRPr="00884FAA">
        <w:t xml:space="preserve"> </w:t>
      </w:r>
      <w:r w:rsidRPr="00884FAA">
        <w:t xml:space="preserve">a barrier to achieving cultural safety in </w:t>
      </w:r>
      <w:r w:rsidR="00807F93" w:rsidRPr="00884FAA">
        <w:t>health care</w:t>
      </w:r>
      <w:r w:rsidRPr="00884FAA">
        <w:t xml:space="preserve"> and is why </w:t>
      </w:r>
      <w:r w:rsidR="00504E90">
        <w:t>many</w:t>
      </w:r>
      <w:r w:rsidRPr="00884FAA">
        <w:t xml:space="preserve"> Aboriginal and Torres Strait Islander people value the comprehensive PHC model of the </w:t>
      </w:r>
      <w:r w:rsidR="00703DD2" w:rsidRPr="00884FAA">
        <w:t>community-controlled</w:t>
      </w:r>
      <w:r w:rsidRPr="00884FAA">
        <w:t xml:space="preserve"> sector. The concept of </w:t>
      </w:r>
      <w:r w:rsidR="00BD7CC2" w:rsidRPr="0058387D">
        <w:rPr>
          <w:color w:val="1A3E5F" w:themeColor="accent1" w:themeShade="80"/>
        </w:rPr>
        <w:t>‘</w:t>
      </w:r>
      <w:r w:rsidRPr="0058387D">
        <w:rPr>
          <w:i/>
          <w:iCs/>
          <w:color w:val="1A3E5F" w:themeColor="accent1" w:themeShade="80"/>
        </w:rPr>
        <w:t>one stop shops</w:t>
      </w:r>
      <w:r w:rsidR="00BD7CC2" w:rsidRPr="0058387D">
        <w:rPr>
          <w:i/>
          <w:iCs/>
          <w:color w:val="1A3E5F" w:themeColor="accent1" w:themeShade="80"/>
        </w:rPr>
        <w:t>’</w:t>
      </w:r>
      <w:r w:rsidRPr="0058387D">
        <w:rPr>
          <w:color w:val="1A3E5F" w:themeColor="accent1" w:themeShade="80"/>
        </w:rPr>
        <w:t xml:space="preserve"> </w:t>
      </w:r>
      <w:r w:rsidRPr="00884FAA">
        <w:t>is more than just a convenience of co</w:t>
      </w:r>
      <w:r w:rsidR="00BD7CC2" w:rsidRPr="00884FAA">
        <w:t>-</w:t>
      </w:r>
      <w:r w:rsidRPr="00884FAA">
        <w:t xml:space="preserve">location. Integration of </w:t>
      </w:r>
      <w:r w:rsidR="00807F93" w:rsidRPr="00884FAA">
        <w:t>health care</w:t>
      </w:r>
      <w:r w:rsidRPr="00884FAA">
        <w:t xml:space="preserve"> across the life course provides </w:t>
      </w:r>
      <w:r w:rsidR="005671BA">
        <w:t>people with</w:t>
      </w:r>
      <w:r w:rsidRPr="00884FAA">
        <w:t xml:space="preserve"> the institutional structures to facilitate culturally safe </w:t>
      </w:r>
      <w:r w:rsidR="00807F93" w:rsidRPr="00884FAA">
        <w:t>health care</w:t>
      </w:r>
      <w:r w:rsidRPr="00884FAA">
        <w:t xml:space="preserve"> and </w:t>
      </w:r>
      <w:r w:rsidR="005671BA">
        <w:t>support</w:t>
      </w:r>
      <w:r w:rsidR="00101F55">
        <w:t xml:space="preserve"> </w:t>
      </w:r>
      <w:r w:rsidRPr="00884FAA">
        <w:t>the wellbeing of Aboriginal and Torres Strait Islander people.</w:t>
      </w:r>
      <w:r w:rsidR="00811009">
        <w:t xml:space="preserve"> One community member described the push to place a family member into residential care:</w:t>
      </w:r>
    </w:p>
    <w:p w14:paraId="40826B6B" w14:textId="7D3C7D5B" w:rsidR="008E5CBB" w:rsidRPr="00A1178E" w:rsidRDefault="005C490E" w:rsidP="00DF002E">
      <w:pPr>
        <w:pStyle w:val="Quote"/>
        <w:spacing w:after="0"/>
        <w:rPr>
          <w:color w:val="18525E" w:themeColor="accent5" w:themeShade="80"/>
        </w:rPr>
      </w:pPr>
      <w:r w:rsidRPr="00A1178E">
        <w:rPr>
          <w:color w:val="18525E" w:themeColor="accent5" w:themeShade="80"/>
        </w:rPr>
        <w:t xml:space="preserve">They said, </w:t>
      </w:r>
      <w:r w:rsidR="00B0268C" w:rsidRPr="00A1178E">
        <w:rPr>
          <w:color w:val="18525E" w:themeColor="accent5" w:themeShade="80"/>
        </w:rPr>
        <w:t>’P</w:t>
      </w:r>
      <w:r w:rsidRPr="00A1178E">
        <w:rPr>
          <w:color w:val="18525E" w:themeColor="accent5" w:themeShade="80"/>
        </w:rPr>
        <w:t>ut him in a home</w:t>
      </w:r>
      <w:r w:rsidR="00B0268C" w:rsidRPr="00A1178E">
        <w:rPr>
          <w:color w:val="18525E" w:themeColor="accent5" w:themeShade="80"/>
        </w:rPr>
        <w:t>’</w:t>
      </w:r>
      <w:r w:rsidRPr="00A1178E">
        <w:rPr>
          <w:color w:val="18525E" w:themeColor="accent5" w:themeShade="80"/>
        </w:rPr>
        <w:t xml:space="preserve">, and I said, </w:t>
      </w:r>
      <w:r w:rsidR="00B0268C" w:rsidRPr="00A1178E">
        <w:rPr>
          <w:color w:val="18525E" w:themeColor="accent5" w:themeShade="80"/>
        </w:rPr>
        <w:t>‘</w:t>
      </w:r>
      <w:r w:rsidRPr="00A1178E">
        <w:rPr>
          <w:color w:val="18525E" w:themeColor="accent5" w:themeShade="80"/>
        </w:rPr>
        <w:t>No, no.</w:t>
      </w:r>
      <w:r w:rsidR="00B0268C" w:rsidRPr="00A1178E">
        <w:rPr>
          <w:color w:val="18525E" w:themeColor="accent5" w:themeShade="80"/>
        </w:rPr>
        <w:t>’</w:t>
      </w:r>
      <w:r w:rsidRPr="00A1178E">
        <w:rPr>
          <w:color w:val="18525E" w:themeColor="accent5" w:themeShade="80"/>
        </w:rPr>
        <w:t xml:space="preserve"> We never put old people in a home. We looked after them. That was the responsibility of the family, and the </w:t>
      </w:r>
      <w:r w:rsidR="00B0268C" w:rsidRPr="00A1178E">
        <w:rPr>
          <w:color w:val="18525E" w:themeColor="accent5" w:themeShade="80"/>
        </w:rPr>
        <w:t>E</w:t>
      </w:r>
      <w:r w:rsidRPr="00A1178E">
        <w:rPr>
          <w:color w:val="18525E" w:themeColor="accent5" w:themeShade="80"/>
        </w:rPr>
        <w:t>lders in the Aboriginal community. You know, I mean, we had</w:t>
      </w:r>
      <w:r w:rsidR="00B0268C" w:rsidRPr="00A1178E">
        <w:rPr>
          <w:color w:val="18525E" w:themeColor="accent5" w:themeShade="80"/>
        </w:rPr>
        <w:t xml:space="preserve"> </w:t>
      </w:r>
      <w:r w:rsidRPr="00A1178E">
        <w:rPr>
          <w:color w:val="18525E" w:themeColor="accent5" w:themeShade="80"/>
        </w:rPr>
        <w:t xml:space="preserve">… I was only talking the other day, </w:t>
      </w:r>
      <w:r w:rsidRPr="00A1178E">
        <w:rPr>
          <w:color w:val="18525E" w:themeColor="accent5" w:themeShade="80"/>
        </w:rPr>
        <w:lastRenderedPageBreak/>
        <w:t xml:space="preserve">we had our Aunty, she was disability, and she was young, welfare wanted to put her in a home; one fella said, </w:t>
      </w:r>
      <w:r w:rsidR="00B0268C" w:rsidRPr="00A1178E">
        <w:rPr>
          <w:color w:val="18525E" w:themeColor="accent5" w:themeShade="80"/>
        </w:rPr>
        <w:t>‘</w:t>
      </w:r>
      <w:r w:rsidRPr="00A1178E">
        <w:rPr>
          <w:color w:val="18525E" w:themeColor="accent5" w:themeShade="80"/>
        </w:rPr>
        <w:t>No way, you’re not taking her to the home.</w:t>
      </w:r>
      <w:r w:rsidR="00B0268C" w:rsidRPr="00A1178E">
        <w:rPr>
          <w:color w:val="18525E" w:themeColor="accent5" w:themeShade="80"/>
        </w:rPr>
        <w:t>’</w:t>
      </w:r>
      <w:r w:rsidRPr="00A1178E">
        <w:rPr>
          <w:color w:val="18525E" w:themeColor="accent5" w:themeShade="80"/>
        </w:rPr>
        <w:t xml:space="preserve"> She lived until she’s 85 years old. She outlived Granny and Grandfather. She outlived Mum, too. Mum was the eldest, and this was the family that took care of her. If they would have put her into a home, you know. She would just become a vegetable there, I think, you know. But part of our job was taking her around, swimming the drains</w:t>
      </w:r>
      <w:r w:rsidR="008D4663" w:rsidRPr="00A1178E">
        <w:rPr>
          <w:color w:val="18525E" w:themeColor="accent5" w:themeShade="80"/>
        </w:rPr>
        <w:t xml:space="preserve"> [irrigation channels]</w:t>
      </w:r>
      <w:r w:rsidRPr="00A1178E">
        <w:rPr>
          <w:color w:val="18525E" w:themeColor="accent5" w:themeShade="80"/>
        </w:rPr>
        <w:t>, that was part of our</w:t>
      </w:r>
      <w:r w:rsidR="00B0268C" w:rsidRPr="00A1178E">
        <w:rPr>
          <w:color w:val="18525E" w:themeColor="accent5" w:themeShade="80"/>
        </w:rPr>
        <w:t xml:space="preserve"> </w:t>
      </w:r>
      <w:r w:rsidRPr="00A1178E">
        <w:rPr>
          <w:color w:val="18525E" w:themeColor="accent5" w:themeShade="80"/>
        </w:rPr>
        <w:t xml:space="preserve">… he’d say </w:t>
      </w:r>
      <w:r w:rsidR="00B0268C" w:rsidRPr="00A1178E">
        <w:rPr>
          <w:color w:val="18525E" w:themeColor="accent5" w:themeShade="80"/>
        </w:rPr>
        <w:t>‘</w:t>
      </w:r>
      <w:r w:rsidRPr="00A1178E">
        <w:rPr>
          <w:color w:val="18525E" w:themeColor="accent5" w:themeShade="80"/>
        </w:rPr>
        <w:t>take her now and look after her</w:t>
      </w:r>
      <w:r w:rsidR="00B0268C" w:rsidRPr="00A1178E">
        <w:rPr>
          <w:color w:val="18525E" w:themeColor="accent5" w:themeShade="80"/>
        </w:rPr>
        <w:t>’</w:t>
      </w:r>
      <w:r w:rsidRPr="00A1178E">
        <w:rPr>
          <w:color w:val="18525E" w:themeColor="accent5" w:themeShade="80"/>
        </w:rPr>
        <w:t xml:space="preserve">. Everybody looks after. </w:t>
      </w:r>
    </w:p>
    <w:p w14:paraId="55EA9BF8" w14:textId="648A4B11" w:rsidR="005C490E" w:rsidRPr="00884FAA" w:rsidRDefault="005C490E" w:rsidP="00F5353B">
      <w:pPr>
        <w:pStyle w:val="Quote"/>
        <w:spacing w:before="120"/>
        <w:ind w:left="562"/>
        <w:jc w:val="right"/>
        <w:rPr>
          <w:b/>
          <w:color w:val="auto"/>
        </w:rPr>
      </w:pPr>
      <w:r w:rsidRPr="00884FAA">
        <w:rPr>
          <w:b/>
          <w:color w:val="auto"/>
        </w:rPr>
        <w:t xml:space="preserve">Community </w:t>
      </w:r>
      <w:r w:rsidR="00B0268C" w:rsidRPr="00884FAA">
        <w:rPr>
          <w:b/>
          <w:bCs/>
          <w:color w:val="auto"/>
        </w:rPr>
        <w:t>member</w:t>
      </w:r>
    </w:p>
    <w:p w14:paraId="246E4FA3" w14:textId="24192DCC" w:rsidR="005C490E" w:rsidRPr="00884FAA" w:rsidRDefault="005C490E" w:rsidP="005C490E">
      <w:r w:rsidRPr="00884FAA">
        <w:t xml:space="preserve">Aboriginal and Torres Strait Islander people value </w:t>
      </w:r>
      <w:r w:rsidR="00807F93" w:rsidRPr="00884FAA">
        <w:t>health care</w:t>
      </w:r>
      <w:r w:rsidRPr="00884FAA">
        <w:t xml:space="preserve"> design that provides culturally appropriate choices and services to support wellbeing, including access to traditional healing and wellbeing practices. Cultural safety in </w:t>
      </w:r>
      <w:r w:rsidR="00807F93" w:rsidRPr="00884FAA">
        <w:t>health care</w:t>
      </w:r>
      <w:r w:rsidRPr="00884FAA">
        <w:t xml:space="preserve"> provision is not about duplication or segregation, but</w:t>
      </w:r>
      <w:r w:rsidR="008C2284" w:rsidRPr="00884FAA">
        <w:t xml:space="preserve"> </w:t>
      </w:r>
      <w:r w:rsidR="00B44A42" w:rsidRPr="00884FAA">
        <w:t xml:space="preserve">it </w:t>
      </w:r>
      <w:r w:rsidR="008C2284" w:rsidRPr="00884FAA">
        <w:t>is about</w:t>
      </w:r>
      <w:r w:rsidRPr="00884FAA">
        <w:t xml:space="preserve"> bringing things together</w:t>
      </w:r>
      <w:r w:rsidR="0088064D" w:rsidRPr="00884FAA">
        <w:t>.</w:t>
      </w:r>
      <w:r w:rsidR="00DA6403">
        <w:t xml:space="preserve"> As one community member explained:</w:t>
      </w:r>
    </w:p>
    <w:p w14:paraId="2C19F14D" w14:textId="0FC71F7B" w:rsidR="008E5CBB" w:rsidRPr="00A1178E" w:rsidRDefault="005C490E" w:rsidP="00DF002E">
      <w:pPr>
        <w:pStyle w:val="Quote"/>
        <w:spacing w:after="0"/>
        <w:rPr>
          <w:color w:val="18525E" w:themeColor="accent5" w:themeShade="80"/>
        </w:rPr>
      </w:pPr>
      <w:r w:rsidRPr="00A1178E">
        <w:rPr>
          <w:color w:val="18525E" w:themeColor="accent5" w:themeShade="80"/>
        </w:rPr>
        <w:t>We want to have our own plants and be able to make our own medicines in that and in the hospitals as well. I know in [state] they’ve actually hired Aboriginal healers to go through the hospital, and I hear it’s doing wonderful. So, to have [our] medicines and stuff actually at [ACCH</w:t>
      </w:r>
      <w:r w:rsidR="00A06FFE" w:rsidRPr="00A1178E">
        <w:rPr>
          <w:color w:val="18525E" w:themeColor="accent5" w:themeShade="80"/>
        </w:rPr>
        <w:t>S</w:t>
      </w:r>
      <w:r w:rsidRPr="00A1178E">
        <w:rPr>
          <w:color w:val="18525E" w:themeColor="accent5" w:themeShade="80"/>
        </w:rPr>
        <w:t>], and [name] knows all about that type of stuff. To learn that and bring it in together, absolutely, bring it together, it</w:t>
      </w:r>
      <w:r w:rsidR="00A06FFE" w:rsidRPr="00A1178E">
        <w:rPr>
          <w:color w:val="18525E" w:themeColor="accent5" w:themeShade="80"/>
        </w:rPr>
        <w:t>’</w:t>
      </w:r>
      <w:r w:rsidRPr="00A1178E">
        <w:rPr>
          <w:color w:val="18525E" w:themeColor="accent5" w:themeShade="80"/>
        </w:rPr>
        <w:t>s not pushing one aside, it</w:t>
      </w:r>
      <w:r w:rsidR="00A06FFE" w:rsidRPr="00A1178E">
        <w:rPr>
          <w:color w:val="18525E" w:themeColor="accent5" w:themeShade="80"/>
        </w:rPr>
        <w:t>’</w:t>
      </w:r>
      <w:r w:rsidRPr="00A1178E">
        <w:rPr>
          <w:color w:val="18525E" w:themeColor="accent5" w:themeShade="80"/>
        </w:rPr>
        <w:t xml:space="preserve">s bringing it together. </w:t>
      </w:r>
    </w:p>
    <w:p w14:paraId="36F1F230" w14:textId="778C4943" w:rsidR="005C490E" w:rsidRPr="00884FAA" w:rsidRDefault="005C490E" w:rsidP="00DF002E">
      <w:pPr>
        <w:pStyle w:val="Quote"/>
        <w:spacing w:before="0"/>
        <w:jc w:val="right"/>
        <w:rPr>
          <w:b/>
          <w:color w:val="auto"/>
        </w:rPr>
      </w:pPr>
      <w:r w:rsidRPr="00884FAA">
        <w:rPr>
          <w:b/>
          <w:color w:val="auto"/>
        </w:rPr>
        <w:t xml:space="preserve">Community </w:t>
      </w:r>
      <w:r w:rsidR="00A06FFE" w:rsidRPr="00884FAA">
        <w:rPr>
          <w:b/>
          <w:bCs/>
          <w:color w:val="auto"/>
        </w:rPr>
        <w:t>membe</w:t>
      </w:r>
      <w:r w:rsidRPr="00884FAA">
        <w:rPr>
          <w:b/>
          <w:bCs/>
          <w:color w:val="auto"/>
        </w:rPr>
        <w:t>r</w:t>
      </w:r>
    </w:p>
    <w:p w14:paraId="7AE4EA55" w14:textId="6A5FC3F9" w:rsidR="005C490E" w:rsidRPr="00884FAA" w:rsidRDefault="005C490E" w:rsidP="00651D06">
      <w:pPr>
        <w:pStyle w:val="Heading3"/>
      </w:pPr>
      <w:r w:rsidRPr="00884FAA">
        <w:t xml:space="preserve">Consistency of care </w:t>
      </w:r>
    </w:p>
    <w:p w14:paraId="054A871F" w14:textId="39E3834F" w:rsidR="00CE58D2" w:rsidRDefault="00CE58D2" w:rsidP="00CE58D2">
      <w:pPr>
        <w:pStyle w:val="Caption"/>
        <w:keepNext/>
        <w:jc w:val="left"/>
      </w:pPr>
      <w:bookmarkStart w:id="155" w:name="_Toc138851337"/>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11</w:t>
      </w:r>
      <w:r w:rsidR="005B4A4F">
        <w:fldChar w:fldCharType="end"/>
      </w:r>
      <w:r w:rsidR="00C67475">
        <w:t>.</w:t>
      </w:r>
      <w:r>
        <w:t xml:space="preserve"> Babuny framework spotlight on consistency of care</w:t>
      </w:r>
      <w:bookmarkEnd w:id="155"/>
    </w:p>
    <w:p w14:paraId="797757F9" w14:textId="7276E25E" w:rsidR="00086141" w:rsidRDefault="00086141" w:rsidP="00086141">
      <w:pPr>
        <w:jc w:val="center"/>
      </w:pPr>
      <w:r w:rsidRPr="00B0446C">
        <w:rPr>
          <w:noProof/>
        </w:rPr>
        <w:drawing>
          <wp:inline distT="0" distB="0" distL="0" distR="0" wp14:anchorId="55D7142D" wp14:editId="748B8F69">
            <wp:extent cx="4320000" cy="2781770"/>
            <wp:effectExtent l="38100" t="38100" r="42545" b="38100"/>
            <wp:docPr id="991102685" name="Picture 991102685">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02685" name="Picture 991102685">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102"/>
                    <a:srcRect t="1977" b="45039"/>
                    <a:stretch/>
                  </pic:blipFill>
                  <pic:spPr bwMode="auto">
                    <a:xfrm>
                      <a:off x="0" y="0"/>
                      <a:ext cx="4320000" cy="278177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FEC959" w14:textId="18D9CDA3" w:rsidR="005C490E" w:rsidRPr="00884FAA" w:rsidRDefault="006155C2" w:rsidP="005C490E">
      <w:r w:rsidRPr="00884FAA">
        <w:t xml:space="preserve">Aboriginal and Torres Strait Islander people </w:t>
      </w:r>
      <w:r w:rsidR="005C490E" w:rsidRPr="00884FAA">
        <w:t>value the consistency of programs</w:t>
      </w:r>
      <w:r w:rsidR="00040105" w:rsidRPr="00884FAA">
        <w:t xml:space="preserve"> and</w:t>
      </w:r>
      <w:r w:rsidR="005C490E" w:rsidRPr="00884FAA">
        <w:t xml:space="preserve"> services and continuity of care </w:t>
      </w:r>
      <w:r w:rsidR="00F467AE">
        <w:t>when accessing health care</w:t>
      </w:r>
      <w:r w:rsidR="00151B01">
        <w:t>.</w:t>
      </w:r>
      <w:r w:rsidR="005C490E" w:rsidRPr="00884FAA">
        <w:t xml:space="preserve"> Service consistency and continuity of care support improved health outcomes through the quality of care received and by eliminating the client's need to </w:t>
      </w:r>
      <w:r w:rsidR="00166FE0">
        <w:t xml:space="preserve">repeat </w:t>
      </w:r>
      <w:r w:rsidR="005C490E" w:rsidRPr="00884FAA">
        <w:t>their health story to another clinician</w:t>
      </w:r>
      <w:r w:rsidR="00166FE0">
        <w:t>.</w:t>
      </w:r>
      <w:r w:rsidR="003E7333">
        <w:t xml:space="preserve"> </w:t>
      </w:r>
      <w:r w:rsidR="005C490E" w:rsidRPr="00884FAA">
        <w:t xml:space="preserve">This was evident in the contrasting </w:t>
      </w:r>
      <w:r w:rsidR="005C490E" w:rsidRPr="00884FAA">
        <w:lastRenderedPageBreak/>
        <w:t xml:space="preserve">experiences of </w:t>
      </w:r>
      <w:r w:rsidR="009375E5">
        <w:t xml:space="preserve">community </w:t>
      </w:r>
      <w:r w:rsidR="007923C9">
        <w:t xml:space="preserve">yarn participants </w:t>
      </w:r>
      <w:r w:rsidR="005C490E" w:rsidRPr="00884FAA">
        <w:t>who were able to access the same clinicians compared to those who were not</w:t>
      </w:r>
      <w:r w:rsidR="00887C7D">
        <w:t>:</w:t>
      </w:r>
    </w:p>
    <w:p w14:paraId="5A3997B4" w14:textId="43A0A66C" w:rsidR="008E5CBB" w:rsidRPr="00A1178E" w:rsidRDefault="005C490E" w:rsidP="00DF002E">
      <w:pPr>
        <w:pStyle w:val="Quote"/>
        <w:spacing w:after="0"/>
        <w:rPr>
          <w:color w:val="18525E" w:themeColor="accent5" w:themeShade="80"/>
        </w:rPr>
      </w:pPr>
      <w:r w:rsidRPr="00A1178E">
        <w:rPr>
          <w:color w:val="18525E" w:themeColor="accent5" w:themeShade="80"/>
        </w:rPr>
        <w:t>I use my doctor right. Now. I use my doctor for a couple of reasons. One is I think I get a good service. He's got a history. He's</w:t>
      </w:r>
      <w:r w:rsidR="00040105" w:rsidRPr="00A1178E">
        <w:rPr>
          <w:color w:val="18525E" w:themeColor="accent5" w:themeShade="80"/>
        </w:rPr>
        <w:t>,</w:t>
      </w:r>
      <w:r w:rsidRPr="00A1178E">
        <w:rPr>
          <w:color w:val="18525E" w:themeColor="accent5" w:themeShade="80"/>
        </w:rPr>
        <w:t xml:space="preserve"> I've been with him for a long time. He knows my history and I can talk to him easier. </w:t>
      </w:r>
    </w:p>
    <w:p w14:paraId="5B7F2895" w14:textId="58FC0480" w:rsidR="005C490E" w:rsidRPr="00884FAA" w:rsidRDefault="005C490E" w:rsidP="00DF002E">
      <w:pPr>
        <w:pStyle w:val="Quote"/>
        <w:spacing w:before="0"/>
        <w:jc w:val="right"/>
        <w:rPr>
          <w:b/>
          <w:color w:val="auto"/>
        </w:rPr>
      </w:pPr>
      <w:r w:rsidRPr="00884FAA">
        <w:rPr>
          <w:b/>
          <w:color w:val="auto"/>
        </w:rPr>
        <w:t xml:space="preserve">Community </w:t>
      </w:r>
      <w:r w:rsidR="00040105" w:rsidRPr="00884FAA">
        <w:rPr>
          <w:b/>
          <w:bCs/>
          <w:color w:val="auto"/>
        </w:rPr>
        <w:t>member</w:t>
      </w:r>
    </w:p>
    <w:p w14:paraId="38CEF6F6" w14:textId="6E6240AE" w:rsidR="00D84F03" w:rsidRPr="00A1178E" w:rsidRDefault="005C490E" w:rsidP="00286FE5">
      <w:pPr>
        <w:pStyle w:val="Quote"/>
        <w:tabs>
          <w:tab w:val="left" w:pos="2408"/>
        </w:tabs>
        <w:spacing w:after="0"/>
        <w:jc w:val="left"/>
        <w:rPr>
          <w:color w:val="18525E" w:themeColor="accent5" w:themeShade="80"/>
        </w:rPr>
      </w:pPr>
      <w:r w:rsidRPr="00A1178E">
        <w:rPr>
          <w:color w:val="18525E" w:themeColor="accent5" w:themeShade="80"/>
        </w:rPr>
        <w:t>They don’t have the same doctor all the time so we have to tell our story over and over its ha</w:t>
      </w:r>
      <w:r w:rsidR="00EE4E40" w:rsidRPr="00A1178E">
        <w:rPr>
          <w:color w:val="18525E" w:themeColor="accent5" w:themeShade="80"/>
        </w:rPr>
        <w:t>r</w:t>
      </w:r>
      <w:r w:rsidRPr="00A1178E">
        <w:rPr>
          <w:color w:val="18525E" w:themeColor="accent5" w:themeShade="80"/>
        </w:rPr>
        <w:t xml:space="preserve">d to tell it and sometimes I miss things out that are important to my health. </w:t>
      </w:r>
    </w:p>
    <w:p w14:paraId="3844C062" w14:textId="7640D192" w:rsidR="005C490E" w:rsidRPr="00884FAA" w:rsidRDefault="005C490E" w:rsidP="003E7333">
      <w:pPr>
        <w:pStyle w:val="Quote"/>
        <w:spacing w:before="60"/>
        <w:jc w:val="right"/>
        <w:rPr>
          <w:b/>
          <w:color w:val="auto"/>
        </w:rPr>
      </w:pPr>
      <w:r w:rsidRPr="00884FAA">
        <w:rPr>
          <w:b/>
          <w:color w:val="auto"/>
        </w:rPr>
        <w:t xml:space="preserve">Community </w:t>
      </w:r>
      <w:r w:rsidR="00EB25F5" w:rsidRPr="00884FAA">
        <w:rPr>
          <w:b/>
          <w:bCs/>
          <w:color w:val="auto"/>
        </w:rPr>
        <w:t>member</w:t>
      </w:r>
    </w:p>
    <w:p w14:paraId="40954ACA" w14:textId="7C5912DF" w:rsidR="005C490E" w:rsidRPr="00884FAA" w:rsidRDefault="005C490E" w:rsidP="005C490E">
      <w:r w:rsidRPr="00884FAA">
        <w:t xml:space="preserve">Continuity of care allows people to build a therapeutic relationship based on trust and understanding and contributes to feelings of safety and better experiences of care. True holistic care is premised on continuity of care because clinicians are able to get to know the </w:t>
      </w:r>
      <w:r w:rsidR="006417BA">
        <w:t>person</w:t>
      </w:r>
      <w:r w:rsidR="006417BA" w:rsidRPr="00884FAA">
        <w:t xml:space="preserve"> </w:t>
      </w:r>
      <w:r w:rsidRPr="00884FAA">
        <w:t xml:space="preserve">in terms of the health and wellbeing and the network of relationships and circumstances that influence it. For </w:t>
      </w:r>
      <w:r w:rsidR="008906BD">
        <w:t>people</w:t>
      </w:r>
      <w:r w:rsidR="008906BD" w:rsidRPr="00884FAA">
        <w:t xml:space="preserve"> </w:t>
      </w:r>
      <w:r w:rsidRPr="00884FAA">
        <w:t xml:space="preserve">with complex health needs and experiences of trauma this is even more important. </w:t>
      </w:r>
    </w:p>
    <w:p w14:paraId="3A630365" w14:textId="066A542E" w:rsidR="005C490E" w:rsidRPr="00884FAA" w:rsidRDefault="005C490E" w:rsidP="005C490E">
      <w:r w:rsidRPr="00884FAA">
        <w:t xml:space="preserve">Similarly, </w:t>
      </w:r>
      <w:r w:rsidR="006155C2" w:rsidRPr="00884FAA">
        <w:t>community members</w:t>
      </w:r>
      <w:r w:rsidRPr="00884FAA">
        <w:t xml:space="preserve"> value health promotion programs delivered consistently and are frustrated and less likely to engage when programs </w:t>
      </w:r>
      <w:r w:rsidR="008906BD">
        <w:t xml:space="preserve">can be </w:t>
      </w:r>
      <w:r w:rsidRPr="00884FAA">
        <w:t>short-lived or change eligibility. Community members appreciate the efforts of individual services to maintain programs and staff employment through seeking alternate funding options but acknowledged the work required to do this was not insignificant.</w:t>
      </w:r>
      <w:r w:rsidR="00AA35E2">
        <w:t xml:space="preserve"> </w:t>
      </w:r>
    </w:p>
    <w:p w14:paraId="04B7C717" w14:textId="77777777" w:rsidR="00A55DD1" w:rsidRDefault="00A55DD1">
      <w:pPr>
        <w:jc w:val="left"/>
        <w:rPr>
          <w:b/>
          <w:color w:val="9E6047" w:themeColor="accent3"/>
          <w:kern w:val="28"/>
          <w:sz w:val="32"/>
          <w:szCs w:val="28"/>
          <w:lang w:val="en-GB" w:eastAsia="en-GB"/>
        </w:rPr>
      </w:pPr>
      <w:r>
        <w:br w:type="page"/>
      </w:r>
    </w:p>
    <w:p w14:paraId="038615A2" w14:textId="765DBA0F" w:rsidR="005C490E" w:rsidRPr="00884FAA" w:rsidRDefault="005C490E" w:rsidP="00651D06">
      <w:pPr>
        <w:pStyle w:val="Heading3"/>
      </w:pPr>
      <w:r w:rsidRPr="00884FAA">
        <w:lastRenderedPageBreak/>
        <w:t xml:space="preserve">Ensuring people receive services and support </w:t>
      </w:r>
    </w:p>
    <w:p w14:paraId="72121F82" w14:textId="44A74FAD" w:rsidR="00CE58D2" w:rsidRDefault="00CE58D2" w:rsidP="00CE58D2">
      <w:pPr>
        <w:pStyle w:val="Caption"/>
        <w:keepNext/>
        <w:jc w:val="left"/>
      </w:pPr>
      <w:bookmarkStart w:id="156" w:name="_Toc138851338"/>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12</w:t>
      </w:r>
      <w:r w:rsidR="005B4A4F">
        <w:fldChar w:fldCharType="end"/>
      </w:r>
      <w:r w:rsidR="00C67475">
        <w:t>.</w:t>
      </w:r>
      <w:r>
        <w:t xml:space="preserve"> Babuny framework spotlight on services and support</w:t>
      </w:r>
      <w:bookmarkEnd w:id="156"/>
    </w:p>
    <w:p w14:paraId="045697D2" w14:textId="090B0BDD" w:rsidR="00590DDF" w:rsidRPr="00590DDF" w:rsidRDefault="00590DDF" w:rsidP="00590DDF">
      <w:pPr>
        <w:jc w:val="center"/>
        <w:rPr>
          <w:lang w:val="en-GB" w:eastAsia="en-GB"/>
        </w:rPr>
      </w:pPr>
      <w:r w:rsidRPr="00B0446C">
        <w:rPr>
          <w:noProof/>
        </w:rPr>
        <w:drawing>
          <wp:inline distT="0" distB="0" distL="0" distR="0" wp14:anchorId="07D2D616" wp14:editId="2909A0E3">
            <wp:extent cx="4320000" cy="2781770"/>
            <wp:effectExtent l="38100" t="38100" r="42545" b="38100"/>
            <wp:docPr id="1603313527" name="Picture 1603313527">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13527" name="Picture 1603313527">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103"/>
                    <a:srcRect t="1438" b="45577"/>
                    <a:stretch/>
                  </pic:blipFill>
                  <pic:spPr bwMode="auto">
                    <a:xfrm>
                      <a:off x="0" y="0"/>
                      <a:ext cx="4320000" cy="278177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F89675" w14:textId="74AB57E1" w:rsidR="005C490E" w:rsidRPr="00884FAA" w:rsidRDefault="005C490E" w:rsidP="005C490E">
      <w:r w:rsidRPr="00884FAA">
        <w:t xml:space="preserve">Navigating the health system is difficult and increasingly complex </w:t>
      </w:r>
      <w:r w:rsidR="009A7DD6">
        <w:t>for people</w:t>
      </w:r>
      <w:r w:rsidR="009A7DD6" w:rsidRPr="00884FAA">
        <w:t xml:space="preserve"> </w:t>
      </w:r>
      <w:r w:rsidRPr="00884FAA">
        <w:t xml:space="preserve">dealing with multiple morbidities or connected sectors such as aged care or disability support. </w:t>
      </w:r>
      <w:r w:rsidR="00EE6176">
        <w:t>The combination of c</w:t>
      </w:r>
      <w:r w:rsidRPr="00884FAA">
        <w:t xml:space="preserve">hanges in individual circumstances and policy </w:t>
      </w:r>
      <w:r w:rsidR="002A3862">
        <w:t>settings can</w:t>
      </w:r>
      <w:r w:rsidRPr="00884FAA">
        <w:t xml:space="preserve"> create further complexity, at times when people are unwell. Community members value a health service that is connected and supportive enough to ensure that people receive the services and supports they are entitled to based on their health needs.</w:t>
      </w:r>
      <w:r w:rsidR="00C8618E">
        <w:t xml:space="preserve"> As one community member shared:</w:t>
      </w:r>
    </w:p>
    <w:p w14:paraId="64BA6C45" w14:textId="4F47C1B0" w:rsidR="00CD7D67" w:rsidRPr="00A1178E" w:rsidRDefault="005C490E" w:rsidP="00DF002E">
      <w:pPr>
        <w:pStyle w:val="Quote"/>
        <w:spacing w:after="0"/>
        <w:rPr>
          <w:color w:val="18525E" w:themeColor="accent5" w:themeShade="80"/>
        </w:rPr>
      </w:pPr>
      <w:r w:rsidRPr="00A1178E">
        <w:rPr>
          <w:color w:val="18525E" w:themeColor="accent5" w:themeShade="80"/>
        </w:rPr>
        <w:t>There are some people out there who does care. But if I didn't come to this place, I wouldn't find out about all this stuff. I would not find out about the eye specialist, getting glasses, diabetic or all that stuff. If it wasn't for [ACCH</w:t>
      </w:r>
      <w:r w:rsidR="00BF766F" w:rsidRPr="00A1178E">
        <w:rPr>
          <w:color w:val="18525E" w:themeColor="accent5" w:themeShade="80"/>
        </w:rPr>
        <w:t>S</w:t>
      </w:r>
      <w:r w:rsidRPr="00A1178E">
        <w:rPr>
          <w:color w:val="18525E" w:themeColor="accent5" w:themeShade="80"/>
        </w:rPr>
        <w:t xml:space="preserve">], I would not find out about all this stuff. I would still be paying $400 and $500 for my tablets if it wasn't for me to find out about Close the Gap. Like wow. </w:t>
      </w:r>
    </w:p>
    <w:p w14:paraId="60B0DF98" w14:textId="24878434" w:rsidR="005C490E" w:rsidRPr="00884FAA" w:rsidRDefault="005C490E" w:rsidP="00DF002E">
      <w:pPr>
        <w:pStyle w:val="Quote"/>
        <w:spacing w:before="0"/>
        <w:jc w:val="right"/>
        <w:rPr>
          <w:b/>
          <w:color w:val="auto"/>
        </w:rPr>
      </w:pPr>
      <w:r w:rsidRPr="00884FAA">
        <w:rPr>
          <w:b/>
          <w:color w:val="auto"/>
        </w:rPr>
        <w:t xml:space="preserve">Community </w:t>
      </w:r>
      <w:r w:rsidR="00BF766F" w:rsidRPr="00884FAA">
        <w:rPr>
          <w:b/>
          <w:bCs/>
          <w:color w:val="auto"/>
        </w:rPr>
        <w:t>member</w:t>
      </w:r>
    </w:p>
    <w:p w14:paraId="7C7EA2EE" w14:textId="6AD3BCD4" w:rsidR="005C490E" w:rsidRPr="00884FAA" w:rsidRDefault="005C490E" w:rsidP="005C490E">
      <w:r w:rsidRPr="00884FAA">
        <w:t>Increasing awareness of different services and supports alone</w:t>
      </w:r>
      <w:r w:rsidR="008769DE" w:rsidRPr="00884FAA">
        <w:t>,</w:t>
      </w:r>
      <w:r w:rsidRPr="00884FAA">
        <w:t xml:space="preserve"> however</w:t>
      </w:r>
      <w:r w:rsidR="008769DE" w:rsidRPr="00884FAA">
        <w:t>,</w:t>
      </w:r>
      <w:r w:rsidRPr="00884FAA">
        <w:t xml:space="preserve"> is insufficient to ensure </w:t>
      </w:r>
      <w:r w:rsidR="00E97D42">
        <w:t xml:space="preserve">people experience </w:t>
      </w:r>
      <w:r w:rsidRPr="00884FAA">
        <w:t xml:space="preserve">access </w:t>
      </w:r>
      <w:r w:rsidR="008769DE" w:rsidRPr="00884FAA">
        <w:t>to</w:t>
      </w:r>
      <w:r w:rsidRPr="00884FAA">
        <w:t xml:space="preserve"> those services. Application processes </w:t>
      </w:r>
      <w:r w:rsidR="00A602CC">
        <w:t>frequently</w:t>
      </w:r>
      <w:r w:rsidR="00624CA4">
        <w:t xml:space="preserve"> </w:t>
      </w:r>
      <w:r w:rsidRPr="00884FAA">
        <w:t xml:space="preserve">require literacy, digital literacy, access to a consistent contact point (usually phone or email), and feeling safe </w:t>
      </w:r>
      <w:r w:rsidR="003E036A">
        <w:t>to share</w:t>
      </w:r>
      <w:r w:rsidRPr="00884FAA">
        <w:t xml:space="preserve"> sensitive personal information </w:t>
      </w:r>
      <w:r w:rsidR="003E036A">
        <w:t xml:space="preserve">with </w:t>
      </w:r>
      <w:r w:rsidRPr="00884FAA">
        <w:t xml:space="preserve">institutions. </w:t>
      </w:r>
      <w:r w:rsidR="006054EC">
        <w:t xml:space="preserve">Community members value the system </w:t>
      </w:r>
      <w:r w:rsidR="007D5FE1">
        <w:t xml:space="preserve">navigation </w:t>
      </w:r>
      <w:r w:rsidR="006054EC">
        <w:t xml:space="preserve">role </w:t>
      </w:r>
      <w:r w:rsidR="007D5FE1">
        <w:t xml:space="preserve">performed by </w:t>
      </w:r>
      <w:r w:rsidRPr="00884FAA">
        <w:t>ACCH</w:t>
      </w:r>
      <w:r w:rsidR="008769DE" w:rsidRPr="00884FAA">
        <w:t>Ss</w:t>
      </w:r>
      <w:r w:rsidRPr="00884FAA">
        <w:t xml:space="preserve"> to support their community members to access information and services to support wellbeing. The provision of this type of support is consistent with holistic, culturally safe, comprehensive PHC and highly valued by community members. </w:t>
      </w:r>
    </w:p>
    <w:p w14:paraId="213D8710" w14:textId="788983A0" w:rsidR="005C490E" w:rsidRPr="00884FAA" w:rsidRDefault="005C490E" w:rsidP="00651D06">
      <w:pPr>
        <w:pStyle w:val="Heading3"/>
      </w:pPr>
      <w:r w:rsidRPr="00884FAA">
        <w:lastRenderedPageBreak/>
        <w:t xml:space="preserve">Staying healthy for mob </w:t>
      </w:r>
    </w:p>
    <w:p w14:paraId="4B9FE742" w14:textId="7C12A2C8" w:rsidR="00CE58D2" w:rsidRDefault="00CE58D2" w:rsidP="00CE58D2">
      <w:pPr>
        <w:pStyle w:val="Caption"/>
        <w:keepNext/>
        <w:jc w:val="left"/>
      </w:pPr>
      <w:bookmarkStart w:id="157" w:name="_Toc138851339"/>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13</w:t>
      </w:r>
      <w:r w:rsidR="005B4A4F">
        <w:fldChar w:fldCharType="end"/>
      </w:r>
      <w:r w:rsidR="00C67475">
        <w:t>.</w:t>
      </w:r>
      <w:r>
        <w:t xml:space="preserve"> Babuny framework spotlight on staying healthy for mob</w:t>
      </w:r>
      <w:bookmarkEnd w:id="157"/>
    </w:p>
    <w:p w14:paraId="7D091A6C" w14:textId="6147AEC6" w:rsidR="00590DDF" w:rsidRPr="00590DDF" w:rsidRDefault="00590DDF" w:rsidP="00590DDF">
      <w:pPr>
        <w:jc w:val="center"/>
        <w:rPr>
          <w:lang w:val="en-GB" w:eastAsia="en-GB"/>
        </w:rPr>
      </w:pPr>
      <w:r w:rsidRPr="00B0446C">
        <w:rPr>
          <w:noProof/>
        </w:rPr>
        <w:drawing>
          <wp:inline distT="0" distB="0" distL="0" distR="0" wp14:anchorId="1608C06B" wp14:editId="716DF41C">
            <wp:extent cx="4320000" cy="2781770"/>
            <wp:effectExtent l="38100" t="38100" r="42545" b="38100"/>
            <wp:docPr id="300177976" name="Picture 300177976">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77976" name="Picture 300177976">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104"/>
                    <a:srcRect t="1618" b="45398"/>
                    <a:stretch/>
                  </pic:blipFill>
                  <pic:spPr bwMode="auto">
                    <a:xfrm>
                      <a:off x="0" y="0"/>
                      <a:ext cx="4320000" cy="278177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733B5E" w14:textId="771969B6" w:rsidR="005C490E" w:rsidRPr="00884FAA" w:rsidRDefault="005C490E" w:rsidP="005C490E">
      <w:r w:rsidRPr="00884FAA">
        <w:t xml:space="preserve">Aboriginal and Torres Strait Islander people value their wellbeing beyond the </w:t>
      </w:r>
      <w:r w:rsidR="00810CCB">
        <w:t>individual</w:t>
      </w:r>
      <w:r w:rsidRPr="00884FAA">
        <w:t xml:space="preserve"> benefits </w:t>
      </w:r>
      <w:r w:rsidR="00127DC9">
        <w:t>of keeping well</w:t>
      </w:r>
      <w:r w:rsidR="000618B8">
        <w:t>.</w:t>
      </w:r>
      <w:r w:rsidRPr="00884FAA">
        <w:t xml:space="preserve"> Individual </w:t>
      </w:r>
      <w:r w:rsidR="00E32A00">
        <w:t>wellbeing</w:t>
      </w:r>
      <w:r w:rsidRPr="00884FAA">
        <w:t xml:space="preserve"> cannot be separated from the wellbeing of people’s families, communities, and environment. Individual wellbeing also enables people to support family and community through formal and informal roles.</w:t>
      </w:r>
      <w:r w:rsidR="00681247">
        <w:t xml:space="preserve"> When asked why it is important to have good health</w:t>
      </w:r>
      <w:r w:rsidR="00E32A00">
        <w:t xml:space="preserve"> and wellbeing</w:t>
      </w:r>
      <w:r w:rsidR="00681247">
        <w:t>, one community member replied</w:t>
      </w:r>
      <w:r w:rsidR="00C05D1F">
        <w:t>:</w:t>
      </w:r>
    </w:p>
    <w:p w14:paraId="4E3ED66B" w14:textId="672BC6C2" w:rsidR="00D84F03" w:rsidRPr="00A1178E" w:rsidRDefault="005C490E" w:rsidP="00DF002E">
      <w:pPr>
        <w:pStyle w:val="Quote"/>
        <w:spacing w:after="0"/>
        <w:rPr>
          <w:color w:val="18525E" w:themeColor="accent5" w:themeShade="80"/>
        </w:rPr>
      </w:pPr>
      <w:r w:rsidRPr="00A1178E">
        <w:rPr>
          <w:color w:val="18525E" w:themeColor="accent5" w:themeShade="80"/>
        </w:rPr>
        <w:t xml:space="preserve">You got to keep being fit and being there for your family and your kids and especially community. So, yeah, that's me. </w:t>
      </w:r>
    </w:p>
    <w:p w14:paraId="6FB954B8" w14:textId="20CD1B9F" w:rsidR="005C490E" w:rsidRPr="00884FAA" w:rsidRDefault="005C490E" w:rsidP="00085C11">
      <w:pPr>
        <w:pStyle w:val="Quote"/>
        <w:spacing w:before="0"/>
        <w:jc w:val="right"/>
        <w:rPr>
          <w:b/>
          <w:color w:val="auto"/>
        </w:rPr>
      </w:pPr>
      <w:r w:rsidRPr="00884FAA">
        <w:rPr>
          <w:b/>
          <w:color w:val="auto"/>
        </w:rPr>
        <w:t xml:space="preserve">Community </w:t>
      </w:r>
      <w:r w:rsidR="00E61BB0" w:rsidRPr="00884FAA">
        <w:rPr>
          <w:b/>
          <w:bCs/>
          <w:color w:val="auto"/>
        </w:rPr>
        <w:t>member</w:t>
      </w:r>
    </w:p>
    <w:p w14:paraId="33F4134D" w14:textId="73D41A7D" w:rsidR="005C490E" w:rsidRPr="00884FAA" w:rsidRDefault="00B15AA5" w:rsidP="005C490E">
      <w:r w:rsidRPr="00884FAA">
        <w:t>Community</w:t>
      </w:r>
      <w:r w:rsidR="005C490E" w:rsidRPr="00884FAA">
        <w:t xml:space="preserve"> members value health services that support their wellbeing across the life course, </w:t>
      </w:r>
      <w:r w:rsidR="00722F16">
        <w:t xml:space="preserve">including </w:t>
      </w:r>
      <w:r w:rsidR="005C490E" w:rsidRPr="00884FAA">
        <w:t>prevention</w:t>
      </w:r>
      <w:r w:rsidR="000D6B26">
        <w:t xml:space="preserve"> programs</w:t>
      </w:r>
      <w:r w:rsidR="005C490E" w:rsidRPr="00884FAA">
        <w:t xml:space="preserve">, screening, and health checks. The annual health check was often referenced by participants as something that </w:t>
      </w:r>
      <w:r w:rsidRPr="00884FAA">
        <w:t>t</w:t>
      </w:r>
      <w:r w:rsidR="0022783A" w:rsidRPr="00884FAA">
        <w:t xml:space="preserve">hey did </w:t>
      </w:r>
      <w:r w:rsidR="005C490E" w:rsidRPr="00884FAA">
        <w:t xml:space="preserve">for others more than for themselves. </w:t>
      </w:r>
      <w:r w:rsidR="00D923A8">
        <w:t xml:space="preserve">Community members framed </w:t>
      </w:r>
      <w:r w:rsidR="00C8794E" w:rsidRPr="00C8794E">
        <w:t xml:space="preserve">the health check as a responsibility or obligation. Whilst health checks and screening programs could be intrusive or uncomfortable, community members appreciated the support of health services to have </w:t>
      </w:r>
      <w:r w:rsidR="00237BC3">
        <w:t>these checks completed</w:t>
      </w:r>
      <w:r w:rsidR="00C8794E" w:rsidRPr="00C8794E">
        <w:t xml:space="preserve"> and the value of preventative health. </w:t>
      </w:r>
      <w:r w:rsidR="005C490E" w:rsidRPr="00884FAA">
        <w:t>Community members link</w:t>
      </w:r>
      <w:r w:rsidR="00E16B59">
        <w:t>ed</w:t>
      </w:r>
      <w:r w:rsidR="005C490E" w:rsidRPr="00884FAA">
        <w:t xml:space="preserve"> being able to access health checks and screening </w:t>
      </w:r>
      <w:r w:rsidR="00C434D4">
        <w:t xml:space="preserve">with </w:t>
      </w:r>
      <w:r w:rsidR="005C490E" w:rsidRPr="00884FAA">
        <w:t>their families living longer</w:t>
      </w:r>
      <w:r w:rsidR="00763C9E" w:rsidRPr="00884FAA">
        <w:t>.</w:t>
      </w:r>
      <w:r w:rsidR="00C05D1F">
        <w:t xml:space="preserve"> One community member recounted:</w:t>
      </w:r>
    </w:p>
    <w:p w14:paraId="7352CDD6" w14:textId="3E8B8E29" w:rsidR="00D84F03" w:rsidRPr="00A1178E" w:rsidRDefault="005C490E" w:rsidP="00085C11">
      <w:pPr>
        <w:pStyle w:val="Quote"/>
        <w:spacing w:after="0"/>
        <w:rPr>
          <w:color w:val="18525E" w:themeColor="accent5" w:themeShade="80"/>
        </w:rPr>
      </w:pPr>
      <w:r w:rsidRPr="00A1178E">
        <w:rPr>
          <w:color w:val="18525E" w:themeColor="accent5" w:themeShade="80"/>
        </w:rPr>
        <w:t>With all the assessments and all the follow</w:t>
      </w:r>
      <w:r w:rsidR="005D6AE4" w:rsidRPr="00A1178E">
        <w:rPr>
          <w:color w:val="18525E" w:themeColor="accent5" w:themeShade="80"/>
        </w:rPr>
        <w:t>-</w:t>
      </w:r>
      <w:r w:rsidRPr="00A1178E">
        <w:rPr>
          <w:color w:val="18525E" w:themeColor="accent5" w:themeShade="80"/>
        </w:rPr>
        <w:t>up stuff that’s happening to us over the years, it’s making us more aware of what we can do ourselves for our own bodies. And that’s a great thing. And a lot of the stuff that’s put on at the hall and different stuff with brochures and advice and seeing doctors continually and health workers, it’s just made such a big</w:t>
      </w:r>
      <w:r w:rsidR="00763C9E" w:rsidRPr="00A1178E">
        <w:rPr>
          <w:color w:val="18525E" w:themeColor="accent5" w:themeShade="80"/>
        </w:rPr>
        <w:t xml:space="preserve"> </w:t>
      </w:r>
      <w:r w:rsidRPr="00A1178E">
        <w:rPr>
          <w:color w:val="18525E" w:themeColor="accent5" w:themeShade="80"/>
        </w:rPr>
        <w:t xml:space="preserve">...  Like I was saying before, mum’s 95, I’m 68 and the baby of the family is 55. So it’s because we’re all having these checks. But I’ve said, you know, we’re doing it fine. We’re going along great, but like I said there are others that are on a different </w:t>
      </w:r>
      <w:r w:rsidRPr="00A1178E">
        <w:rPr>
          <w:color w:val="18525E" w:themeColor="accent5" w:themeShade="80"/>
        </w:rPr>
        <w:lastRenderedPageBreak/>
        <w:t xml:space="preserve">path to what we are on and they’re ones that we should be actually talking about it eh, that have the issues and problems. </w:t>
      </w:r>
    </w:p>
    <w:p w14:paraId="35953F93" w14:textId="6909CC54" w:rsidR="005C490E" w:rsidRPr="00884FAA" w:rsidRDefault="005C490E" w:rsidP="00085C11">
      <w:pPr>
        <w:pStyle w:val="Quote"/>
        <w:spacing w:before="0"/>
        <w:jc w:val="right"/>
        <w:rPr>
          <w:b/>
          <w:color w:val="auto"/>
        </w:rPr>
      </w:pPr>
      <w:r w:rsidRPr="00884FAA">
        <w:rPr>
          <w:b/>
          <w:color w:val="auto"/>
        </w:rPr>
        <w:t xml:space="preserve">Community </w:t>
      </w:r>
      <w:r w:rsidR="004A181A" w:rsidRPr="00884FAA">
        <w:rPr>
          <w:b/>
          <w:bCs/>
          <w:color w:val="auto"/>
        </w:rPr>
        <w:t>member</w:t>
      </w:r>
    </w:p>
    <w:p w14:paraId="39B4B2A2" w14:textId="10C63DA7" w:rsidR="005C490E" w:rsidRPr="00884FAA" w:rsidRDefault="003C6CF2" w:rsidP="005C490E">
      <w:r>
        <w:t>Availability of</w:t>
      </w:r>
      <w:r w:rsidR="00BF4AA3">
        <w:t xml:space="preserve"> </w:t>
      </w:r>
      <w:r>
        <w:t xml:space="preserve">a </w:t>
      </w:r>
      <w:r w:rsidR="00BF4AA3">
        <w:t xml:space="preserve">range of </w:t>
      </w:r>
      <w:r w:rsidRPr="00884FAA">
        <w:t>programs</w:t>
      </w:r>
      <w:r w:rsidR="005C490E" w:rsidRPr="00884FAA">
        <w:t xml:space="preserve"> and services that support important life transitions such as early childhood, sexual health, parenting, ageing, end of life care</w:t>
      </w:r>
      <w:r w:rsidR="009E6B7A">
        <w:t xml:space="preserve"> were valued. </w:t>
      </w:r>
      <w:r w:rsidR="002F5D52">
        <w:t>In addition</w:t>
      </w:r>
      <w:r w:rsidR="00AA35E2">
        <w:t xml:space="preserve">, </w:t>
      </w:r>
      <w:r w:rsidR="009E6B7A">
        <w:t xml:space="preserve">programs </w:t>
      </w:r>
      <w:r w:rsidR="002F5D52">
        <w:t xml:space="preserve">that provide support to people with </w:t>
      </w:r>
      <w:r w:rsidR="005C490E" w:rsidRPr="00884FAA">
        <w:t>experiences of out of home care or incarceration are also valued by community members. These programs and services extend beyond health education and often intertwine with care coordination, accessing services and entitlements, and supporting wellbeing through connection with community.</w:t>
      </w:r>
      <w:r w:rsidR="00AA35E2">
        <w:t xml:space="preserve"> </w:t>
      </w:r>
    </w:p>
    <w:p w14:paraId="6435CE96" w14:textId="6E9DE105" w:rsidR="005C490E" w:rsidRPr="00884FAA" w:rsidRDefault="005C490E" w:rsidP="00651D06">
      <w:pPr>
        <w:pStyle w:val="Heading3"/>
      </w:pPr>
      <w:r w:rsidRPr="00884FAA">
        <w:t>Strengthens wellbeing</w:t>
      </w:r>
    </w:p>
    <w:p w14:paraId="39C6C65C" w14:textId="6D36F34C" w:rsidR="00CE58D2" w:rsidRDefault="00CE58D2" w:rsidP="00CE58D2">
      <w:pPr>
        <w:pStyle w:val="Caption"/>
        <w:keepNext/>
        <w:jc w:val="left"/>
      </w:pPr>
      <w:bookmarkStart w:id="158" w:name="_Toc138851340"/>
      <w:r>
        <w:t xml:space="preserve">Figure </w:t>
      </w:r>
      <w:r w:rsidR="005B4A4F">
        <w:fldChar w:fldCharType="begin"/>
      </w:r>
      <w:r w:rsidR="005B4A4F">
        <w:instrText xml:space="preserve"> STYLEREF 1 \s </w:instrText>
      </w:r>
      <w:r w:rsidR="005B4A4F">
        <w:fldChar w:fldCharType="separate"/>
      </w:r>
      <w:r w:rsidR="00165B17">
        <w:rPr>
          <w:noProof/>
        </w:rPr>
        <w:t>4</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14</w:t>
      </w:r>
      <w:r w:rsidR="005B4A4F">
        <w:fldChar w:fldCharType="end"/>
      </w:r>
      <w:r w:rsidR="00C67475">
        <w:t>.</w:t>
      </w:r>
      <w:r>
        <w:t xml:space="preserve"> Babuny framework spotlight on wellbeing</w:t>
      </w:r>
      <w:bookmarkEnd w:id="158"/>
    </w:p>
    <w:p w14:paraId="4EF8306F" w14:textId="2266F36F" w:rsidR="008C3211" w:rsidRPr="008C3211" w:rsidRDefault="008C3211" w:rsidP="008119C4">
      <w:pPr>
        <w:jc w:val="center"/>
        <w:rPr>
          <w:lang w:val="en-GB" w:eastAsia="en-GB"/>
        </w:rPr>
      </w:pPr>
      <w:r w:rsidRPr="00B0446C">
        <w:rPr>
          <w:noProof/>
        </w:rPr>
        <w:drawing>
          <wp:inline distT="0" distB="0" distL="0" distR="0" wp14:anchorId="6295AC62" wp14:editId="223AD999">
            <wp:extent cx="4320000" cy="2781770"/>
            <wp:effectExtent l="38100" t="38100" r="42545" b="38100"/>
            <wp:docPr id="2033418248" name="Picture 2033418248">
              <a:extLst xmlns:a="http://schemas.openxmlformats.org/drawingml/2006/main">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18248" name="Picture 2033418248">
                      <a:extLst>
                        <a:ext uri="{FF2B5EF4-FFF2-40B4-BE49-F238E27FC236}">
                          <a16:creationId xmlns:a16="http://schemas.microsoft.com/office/drawing/2014/main" id="{893888F6-BA31-A530-DE95-8CF5A95B6221}"/>
                        </a:ext>
                        <a:ext uri="{C183D7F6-B498-43B3-948B-1728B52AA6E4}">
                          <adec:decorative xmlns:adec="http://schemas.microsoft.com/office/drawing/2017/decorative" val="1"/>
                        </a:ext>
                      </a:extLst>
                    </pic:cNvPr>
                    <pic:cNvPicPr>
                      <a:picLocks noChangeAspect="1"/>
                    </pic:cNvPicPr>
                  </pic:nvPicPr>
                  <pic:blipFill rotWithShape="1">
                    <a:blip r:embed="rId105"/>
                    <a:srcRect t="1439" b="45577"/>
                    <a:stretch/>
                  </pic:blipFill>
                  <pic:spPr bwMode="auto">
                    <a:xfrm>
                      <a:off x="0" y="0"/>
                      <a:ext cx="4320000" cy="2781770"/>
                    </a:xfrm>
                    <a:custGeom>
                      <a:avLst/>
                      <a:gdLst>
                        <a:gd name="connsiteX0" fmla="*/ 0 w 3767651"/>
                        <a:gd name="connsiteY0" fmla="*/ 0 h 2302986"/>
                        <a:gd name="connsiteX1" fmla="*/ 590265 w 3767651"/>
                        <a:gd name="connsiteY1" fmla="*/ 0 h 2302986"/>
                        <a:gd name="connsiteX2" fmla="*/ 1142854 w 3767651"/>
                        <a:gd name="connsiteY2" fmla="*/ 0 h 2302986"/>
                        <a:gd name="connsiteX3" fmla="*/ 1808472 w 3767651"/>
                        <a:gd name="connsiteY3" fmla="*/ 0 h 2302986"/>
                        <a:gd name="connsiteX4" fmla="*/ 2436414 w 3767651"/>
                        <a:gd name="connsiteY4" fmla="*/ 0 h 2302986"/>
                        <a:gd name="connsiteX5" fmla="*/ 3064356 w 3767651"/>
                        <a:gd name="connsiteY5" fmla="*/ 0 h 2302986"/>
                        <a:gd name="connsiteX6" fmla="*/ 3767651 w 3767651"/>
                        <a:gd name="connsiteY6" fmla="*/ 0 h 2302986"/>
                        <a:gd name="connsiteX7" fmla="*/ 3767651 w 3767651"/>
                        <a:gd name="connsiteY7" fmla="*/ 598776 h 2302986"/>
                        <a:gd name="connsiteX8" fmla="*/ 3767651 w 3767651"/>
                        <a:gd name="connsiteY8" fmla="*/ 1128463 h 2302986"/>
                        <a:gd name="connsiteX9" fmla="*/ 3767651 w 3767651"/>
                        <a:gd name="connsiteY9" fmla="*/ 1727240 h 2302986"/>
                        <a:gd name="connsiteX10" fmla="*/ 3767651 w 3767651"/>
                        <a:gd name="connsiteY10" fmla="*/ 2302986 h 2302986"/>
                        <a:gd name="connsiteX11" fmla="*/ 3102033 w 3767651"/>
                        <a:gd name="connsiteY11" fmla="*/ 2302986 h 2302986"/>
                        <a:gd name="connsiteX12" fmla="*/ 2436414 w 3767651"/>
                        <a:gd name="connsiteY12" fmla="*/ 2302986 h 2302986"/>
                        <a:gd name="connsiteX13" fmla="*/ 1733119 w 3767651"/>
                        <a:gd name="connsiteY13" fmla="*/ 2302986 h 2302986"/>
                        <a:gd name="connsiteX14" fmla="*/ 1142854 w 3767651"/>
                        <a:gd name="connsiteY14" fmla="*/ 2302986 h 2302986"/>
                        <a:gd name="connsiteX15" fmla="*/ 0 w 3767651"/>
                        <a:gd name="connsiteY15" fmla="*/ 2302986 h 2302986"/>
                        <a:gd name="connsiteX16" fmla="*/ 0 w 3767651"/>
                        <a:gd name="connsiteY16" fmla="*/ 1773299 h 2302986"/>
                        <a:gd name="connsiteX17" fmla="*/ 0 w 3767651"/>
                        <a:gd name="connsiteY17" fmla="*/ 1197553 h 2302986"/>
                        <a:gd name="connsiteX18" fmla="*/ 0 w 3767651"/>
                        <a:gd name="connsiteY18" fmla="*/ 598776 h 2302986"/>
                        <a:gd name="connsiteX19" fmla="*/ 0 w 3767651"/>
                        <a:gd name="connsiteY19" fmla="*/ 0 h 230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67651" h="2302986" fill="none" extrusionOk="0">
                          <a:moveTo>
                            <a:pt x="0" y="0"/>
                          </a:moveTo>
                          <a:cubicBezTo>
                            <a:pt x="259781" y="-25403"/>
                            <a:pt x="327949" y="29264"/>
                            <a:pt x="590265" y="0"/>
                          </a:cubicBezTo>
                          <a:cubicBezTo>
                            <a:pt x="852581" y="-29264"/>
                            <a:pt x="1027342" y="-12363"/>
                            <a:pt x="1142854" y="0"/>
                          </a:cubicBezTo>
                          <a:cubicBezTo>
                            <a:pt x="1258366" y="12363"/>
                            <a:pt x="1509487" y="30268"/>
                            <a:pt x="1808472" y="0"/>
                          </a:cubicBezTo>
                          <a:cubicBezTo>
                            <a:pt x="2107457" y="-30268"/>
                            <a:pt x="2128746" y="-2340"/>
                            <a:pt x="2436414" y="0"/>
                          </a:cubicBezTo>
                          <a:cubicBezTo>
                            <a:pt x="2744082" y="2340"/>
                            <a:pt x="2892717" y="7372"/>
                            <a:pt x="3064356" y="0"/>
                          </a:cubicBezTo>
                          <a:cubicBezTo>
                            <a:pt x="3235995" y="-7372"/>
                            <a:pt x="3433466" y="19119"/>
                            <a:pt x="3767651" y="0"/>
                          </a:cubicBezTo>
                          <a:cubicBezTo>
                            <a:pt x="3783432" y="183524"/>
                            <a:pt x="3771574" y="360626"/>
                            <a:pt x="3767651" y="598776"/>
                          </a:cubicBezTo>
                          <a:cubicBezTo>
                            <a:pt x="3763728" y="836926"/>
                            <a:pt x="3754069" y="986754"/>
                            <a:pt x="3767651" y="1128463"/>
                          </a:cubicBezTo>
                          <a:cubicBezTo>
                            <a:pt x="3781233" y="1270172"/>
                            <a:pt x="3759493" y="1538677"/>
                            <a:pt x="3767651" y="1727240"/>
                          </a:cubicBezTo>
                          <a:cubicBezTo>
                            <a:pt x="3775809" y="1915803"/>
                            <a:pt x="3791088" y="2169105"/>
                            <a:pt x="3767651" y="2302986"/>
                          </a:cubicBezTo>
                          <a:cubicBezTo>
                            <a:pt x="3590343" y="2282277"/>
                            <a:pt x="3425742" y="2315961"/>
                            <a:pt x="3102033" y="2302986"/>
                          </a:cubicBezTo>
                          <a:cubicBezTo>
                            <a:pt x="2778324" y="2290011"/>
                            <a:pt x="2617908" y="2278176"/>
                            <a:pt x="2436414" y="2302986"/>
                          </a:cubicBezTo>
                          <a:cubicBezTo>
                            <a:pt x="2254920" y="2327796"/>
                            <a:pt x="1885513" y="2274439"/>
                            <a:pt x="1733119" y="2302986"/>
                          </a:cubicBezTo>
                          <a:cubicBezTo>
                            <a:pt x="1580726" y="2331533"/>
                            <a:pt x="1332623" y="2299414"/>
                            <a:pt x="1142854" y="2302986"/>
                          </a:cubicBezTo>
                          <a:cubicBezTo>
                            <a:pt x="953086" y="2306558"/>
                            <a:pt x="465454" y="2280274"/>
                            <a:pt x="0" y="2302986"/>
                          </a:cubicBezTo>
                          <a:cubicBezTo>
                            <a:pt x="19602" y="2150156"/>
                            <a:pt x="23700" y="1974497"/>
                            <a:pt x="0" y="1773299"/>
                          </a:cubicBezTo>
                          <a:cubicBezTo>
                            <a:pt x="-23700" y="1572101"/>
                            <a:pt x="19415" y="1377586"/>
                            <a:pt x="0" y="1197553"/>
                          </a:cubicBezTo>
                          <a:cubicBezTo>
                            <a:pt x="-19415" y="1017520"/>
                            <a:pt x="28816" y="887582"/>
                            <a:pt x="0" y="598776"/>
                          </a:cubicBezTo>
                          <a:cubicBezTo>
                            <a:pt x="-28816" y="309970"/>
                            <a:pt x="-20611" y="290238"/>
                            <a:pt x="0" y="0"/>
                          </a:cubicBezTo>
                          <a:close/>
                        </a:path>
                        <a:path w="3767651" h="2302986" stroke="0" extrusionOk="0">
                          <a:moveTo>
                            <a:pt x="0" y="0"/>
                          </a:moveTo>
                          <a:cubicBezTo>
                            <a:pt x="157495" y="-10257"/>
                            <a:pt x="302455" y="26724"/>
                            <a:pt x="590265" y="0"/>
                          </a:cubicBezTo>
                          <a:cubicBezTo>
                            <a:pt x="878075" y="-26724"/>
                            <a:pt x="991337" y="24805"/>
                            <a:pt x="1105178" y="0"/>
                          </a:cubicBezTo>
                          <a:cubicBezTo>
                            <a:pt x="1219019" y="-24805"/>
                            <a:pt x="1656568" y="-15541"/>
                            <a:pt x="1808472" y="0"/>
                          </a:cubicBezTo>
                          <a:cubicBezTo>
                            <a:pt x="1960376" y="15541"/>
                            <a:pt x="2192560" y="-23515"/>
                            <a:pt x="2398738" y="0"/>
                          </a:cubicBezTo>
                          <a:cubicBezTo>
                            <a:pt x="2604916" y="23515"/>
                            <a:pt x="2848147" y="15683"/>
                            <a:pt x="2989003" y="0"/>
                          </a:cubicBezTo>
                          <a:cubicBezTo>
                            <a:pt x="3129859" y="-15683"/>
                            <a:pt x="3470811" y="33373"/>
                            <a:pt x="3767651" y="0"/>
                          </a:cubicBezTo>
                          <a:cubicBezTo>
                            <a:pt x="3789404" y="118391"/>
                            <a:pt x="3773703" y="322348"/>
                            <a:pt x="3767651" y="529687"/>
                          </a:cubicBezTo>
                          <a:cubicBezTo>
                            <a:pt x="3761599" y="737026"/>
                            <a:pt x="3772929" y="945351"/>
                            <a:pt x="3767651" y="1105433"/>
                          </a:cubicBezTo>
                          <a:cubicBezTo>
                            <a:pt x="3762373" y="1265515"/>
                            <a:pt x="3763625" y="1481395"/>
                            <a:pt x="3767651" y="1635120"/>
                          </a:cubicBezTo>
                          <a:cubicBezTo>
                            <a:pt x="3771677" y="1788845"/>
                            <a:pt x="3778731" y="2167201"/>
                            <a:pt x="3767651" y="2302986"/>
                          </a:cubicBezTo>
                          <a:cubicBezTo>
                            <a:pt x="3465430" y="2286236"/>
                            <a:pt x="3416457" y="2287753"/>
                            <a:pt x="3139709" y="2302986"/>
                          </a:cubicBezTo>
                          <a:cubicBezTo>
                            <a:pt x="2862961" y="2318219"/>
                            <a:pt x="2842395" y="2304861"/>
                            <a:pt x="2549444" y="2302986"/>
                          </a:cubicBezTo>
                          <a:cubicBezTo>
                            <a:pt x="2256493" y="2301111"/>
                            <a:pt x="2197554" y="2278645"/>
                            <a:pt x="1846149" y="2302986"/>
                          </a:cubicBezTo>
                          <a:cubicBezTo>
                            <a:pt x="1494745" y="2327327"/>
                            <a:pt x="1389406" y="2280098"/>
                            <a:pt x="1142854" y="2302986"/>
                          </a:cubicBezTo>
                          <a:cubicBezTo>
                            <a:pt x="896303" y="2325874"/>
                            <a:pt x="785363" y="2305186"/>
                            <a:pt x="590265" y="2302986"/>
                          </a:cubicBezTo>
                          <a:cubicBezTo>
                            <a:pt x="395167" y="2300786"/>
                            <a:pt x="173194" y="2318378"/>
                            <a:pt x="0" y="2302986"/>
                          </a:cubicBezTo>
                          <a:cubicBezTo>
                            <a:pt x="-12451" y="2056341"/>
                            <a:pt x="7079" y="1834428"/>
                            <a:pt x="0" y="1681180"/>
                          </a:cubicBezTo>
                          <a:cubicBezTo>
                            <a:pt x="-7079" y="1527932"/>
                            <a:pt x="-18203" y="1396431"/>
                            <a:pt x="0" y="1174523"/>
                          </a:cubicBezTo>
                          <a:cubicBezTo>
                            <a:pt x="18203" y="952615"/>
                            <a:pt x="-20834" y="836934"/>
                            <a:pt x="0" y="644836"/>
                          </a:cubicBezTo>
                          <a:cubicBezTo>
                            <a:pt x="20834" y="452738"/>
                            <a:pt x="30333" y="133343"/>
                            <a:pt x="0" y="0"/>
                          </a:cubicBezTo>
                          <a:close/>
                        </a:path>
                      </a:pathLst>
                    </a:cu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43333E" w14:textId="4BBA0327" w:rsidR="005C490E" w:rsidRPr="00884FAA" w:rsidRDefault="004A181A" w:rsidP="005C490E">
      <w:r w:rsidRPr="00884FAA">
        <w:t>Aboriginal and Torres Strait Islander people</w:t>
      </w:r>
      <w:r w:rsidR="005C490E" w:rsidRPr="00884FAA">
        <w:t xml:space="preserve"> value </w:t>
      </w:r>
      <w:r w:rsidR="00807F93" w:rsidRPr="00884FAA">
        <w:t>health care</w:t>
      </w:r>
      <w:r w:rsidR="005C490E" w:rsidRPr="00884FAA">
        <w:t xml:space="preserve"> that strengthens wellbeing through advocacy, education, and connection</w:t>
      </w:r>
      <w:r w:rsidR="00925402">
        <w:t xml:space="preserve"> within their community</w:t>
      </w:r>
      <w:r w:rsidR="005C490E" w:rsidRPr="00884FAA">
        <w:t xml:space="preserve">. </w:t>
      </w:r>
      <w:r w:rsidR="007844C9" w:rsidRPr="00884FAA">
        <w:t>Community member</w:t>
      </w:r>
      <w:r w:rsidR="005229D7">
        <w:t>s</w:t>
      </w:r>
      <w:r w:rsidR="00275A63">
        <w:t xml:space="preserve"> </w:t>
      </w:r>
      <w:r w:rsidR="005C490E" w:rsidRPr="00884FAA">
        <w:t>valued both collective and individual health education tailored for local and personal contexts. Education should occur individually through the delivery of quality care by clinicians as well as through formal and collective programs and campaigns. Education is valued because it empowers individuals and communities to improve wellbeing both directly (health literacy, empowerment in their care) and indirectly (social determinants, self-determination). The value of education as both prevention and empowerment was highlighted</w:t>
      </w:r>
      <w:r w:rsidR="005250CB">
        <w:t xml:space="preserve"> by one person’s experience:</w:t>
      </w:r>
      <w:r w:rsidR="005C490E" w:rsidRPr="00884FAA">
        <w:t xml:space="preserve"> </w:t>
      </w:r>
    </w:p>
    <w:p w14:paraId="557DACBB" w14:textId="365980A5" w:rsidR="00D84F03" w:rsidRPr="00A1178E" w:rsidRDefault="005C490E" w:rsidP="00085C11">
      <w:pPr>
        <w:pStyle w:val="Quote"/>
        <w:spacing w:after="0"/>
        <w:rPr>
          <w:color w:val="18525E" w:themeColor="accent5" w:themeShade="80"/>
        </w:rPr>
      </w:pPr>
      <w:r w:rsidRPr="00A1178E">
        <w:rPr>
          <w:color w:val="18525E" w:themeColor="accent5" w:themeShade="80"/>
        </w:rPr>
        <w:t xml:space="preserve">I’ve gone through cancer, you know, but I was very fortunate, I knew what to look for, what to do, and I questioned and I asked and I followed up on everything. Now I look at that and I think, well, I’ve lost family members that were afraid to ask, if they would have only asked earlier, if they only managed to have someone there to talk with them, but you cannot get that service anywhere. </w:t>
      </w:r>
    </w:p>
    <w:p w14:paraId="5011E129" w14:textId="5A4D6ADC" w:rsidR="005C490E" w:rsidRPr="00884FAA" w:rsidRDefault="005C490E" w:rsidP="00085C11">
      <w:pPr>
        <w:pStyle w:val="Quote"/>
        <w:spacing w:before="0"/>
        <w:jc w:val="right"/>
        <w:rPr>
          <w:b/>
          <w:color w:val="auto"/>
        </w:rPr>
      </w:pPr>
      <w:r w:rsidRPr="00884FAA">
        <w:rPr>
          <w:b/>
          <w:color w:val="auto"/>
        </w:rPr>
        <w:t xml:space="preserve">Community </w:t>
      </w:r>
      <w:r w:rsidR="00271C5F" w:rsidRPr="00884FAA">
        <w:rPr>
          <w:b/>
          <w:bCs/>
          <w:color w:val="auto"/>
        </w:rPr>
        <w:t>member</w:t>
      </w:r>
    </w:p>
    <w:p w14:paraId="58F7C3AD" w14:textId="198C20C2" w:rsidR="005C490E" w:rsidRPr="00884FAA" w:rsidRDefault="005C490E" w:rsidP="005C490E">
      <w:r w:rsidRPr="00884FAA">
        <w:lastRenderedPageBreak/>
        <w:t xml:space="preserve">Individual and collective wellbeing strengthens when there are opportunities for Aboriginal and Torres Strait Islander people to come together. Collective health education events and programs provided health gains through the sharing of knowledge, the specific benefits of programs such as exercise classes, but also in a large part through connection. </w:t>
      </w:r>
      <w:r w:rsidR="00807F93" w:rsidRPr="00884FAA">
        <w:t>Health care</w:t>
      </w:r>
      <w:r w:rsidRPr="00884FAA">
        <w:t xml:space="preserve"> that facilitates connection in the design of treatment and prevention services and programs is highly valued by community members. Connection is foundational to individual and collective wellbeing.</w:t>
      </w:r>
      <w:r w:rsidR="00FD35A3">
        <w:t xml:space="preserve"> As one Elder described:</w:t>
      </w:r>
    </w:p>
    <w:p w14:paraId="778DC895" w14:textId="17CC13A2" w:rsidR="001E50E9" w:rsidRPr="00A1178E" w:rsidRDefault="005C490E" w:rsidP="00085C11">
      <w:pPr>
        <w:pStyle w:val="Quote"/>
        <w:spacing w:after="0"/>
        <w:rPr>
          <w:color w:val="18525E" w:themeColor="accent5" w:themeShade="80"/>
        </w:rPr>
      </w:pPr>
      <w:r w:rsidRPr="00A1178E">
        <w:rPr>
          <w:color w:val="18525E" w:themeColor="accent5" w:themeShade="80"/>
        </w:rPr>
        <w:t>Yeah, it was just sociali</w:t>
      </w:r>
      <w:r w:rsidR="00CC58F9" w:rsidRPr="00A1178E">
        <w:rPr>
          <w:color w:val="18525E" w:themeColor="accent5" w:themeShade="80"/>
        </w:rPr>
        <w:t>s</w:t>
      </w:r>
      <w:r w:rsidRPr="00A1178E">
        <w:rPr>
          <w:color w:val="18525E" w:themeColor="accent5" w:themeShade="80"/>
        </w:rPr>
        <w:t>ation. We'd go out the back and there was a barbecue at the back thing. We had a barbecue once. We just sat around and yarned at the barbecue, and sometimes they'd bring guest speakers in and talk because it's a good program, but it's a bit of organi</w:t>
      </w:r>
      <w:r w:rsidR="00CC58F9" w:rsidRPr="00A1178E">
        <w:rPr>
          <w:color w:val="18525E" w:themeColor="accent5" w:themeShade="80"/>
        </w:rPr>
        <w:t>s</w:t>
      </w:r>
      <w:r w:rsidRPr="00A1178E">
        <w:rPr>
          <w:color w:val="18525E" w:themeColor="accent5" w:themeShade="80"/>
        </w:rPr>
        <w:t xml:space="preserve">ation. </w:t>
      </w:r>
    </w:p>
    <w:p w14:paraId="341A9F43" w14:textId="5DB04B14" w:rsidR="005C490E" w:rsidRPr="00884FAA" w:rsidRDefault="005C490E" w:rsidP="00085C11">
      <w:pPr>
        <w:pStyle w:val="Quote"/>
        <w:spacing w:before="0"/>
        <w:jc w:val="right"/>
        <w:rPr>
          <w:b/>
          <w:color w:val="auto"/>
        </w:rPr>
      </w:pPr>
      <w:r w:rsidRPr="00884FAA">
        <w:rPr>
          <w:b/>
          <w:color w:val="auto"/>
        </w:rPr>
        <w:t xml:space="preserve">Community </w:t>
      </w:r>
      <w:r w:rsidR="00FD35A3">
        <w:rPr>
          <w:b/>
          <w:bCs/>
          <w:color w:val="auto"/>
        </w:rPr>
        <w:t>Elder</w:t>
      </w:r>
    </w:p>
    <w:p w14:paraId="7C5C97E4" w14:textId="7002CA00" w:rsidR="005C490E" w:rsidRPr="00884FAA" w:rsidRDefault="005C490E" w:rsidP="005C490E">
      <w:r w:rsidRPr="00884FAA">
        <w:t xml:space="preserve">The effects of access to transport, lockdowns during </w:t>
      </w:r>
      <w:r w:rsidR="006275C3">
        <w:t xml:space="preserve">the </w:t>
      </w:r>
      <w:r w:rsidRPr="00884FAA">
        <w:t xml:space="preserve">pandemic, and the </w:t>
      </w:r>
      <w:r w:rsidR="004F5894">
        <w:t xml:space="preserve">various </w:t>
      </w:r>
      <w:r w:rsidRPr="00884FAA">
        <w:t xml:space="preserve">impacts of different health conditions or caring responsibilities can have impacts on people’s capacity to connect with others. </w:t>
      </w:r>
      <w:r w:rsidR="00807F93" w:rsidRPr="00884FAA">
        <w:t>Health care</w:t>
      </w:r>
      <w:r w:rsidRPr="00884FAA">
        <w:t xml:space="preserve"> that facilitated opportunities and spaces for connection </w:t>
      </w:r>
      <w:r w:rsidR="00E3119A">
        <w:t>was</w:t>
      </w:r>
      <w:r w:rsidR="00E3119A" w:rsidRPr="00884FAA">
        <w:t xml:space="preserve"> </w:t>
      </w:r>
      <w:r w:rsidRPr="00884FAA">
        <w:t xml:space="preserve">highly valued by community members due to the positive impact this had on wellbeing. When asked to identify what they most valued in </w:t>
      </w:r>
      <w:r w:rsidR="00807F93" w:rsidRPr="00884FAA">
        <w:t>health care</w:t>
      </w:r>
      <w:r w:rsidR="00DE2B9A" w:rsidRPr="00884FAA">
        <w:t>,</w:t>
      </w:r>
      <w:r w:rsidRPr="00884FAA">
        <w:t xml:space="preserve"> programs that supported health through connection were often the first thing </w:t>
      </w:r>
      <w:r w:rsidR="0006194C">
        <w:t xml:space="preserve">people </w:t>
      </w:r>
      <w:r w:rsidRPr="00884FAA">
        <w:t xml:space="preserve">identified. These programs included groups for </w:t>
      </w:r>
      <w:r w:rsidR="00DE2B9A" w:rsidRPr="00884FAA">
        <w:t>E</w:t>
      </w:r>
      <w:r w:rsidRPr="00884FAA">
        <w:t xml:space="preserve">lders, men, women, young people, </w:t>
      </w:r>
      <w:r w:rsidR="006A3B6D" w:rsidRPr="00884FAA">
        <w:t xml:space="preserve">and </w:t>
      </w:r>
      <w:r w:rsidRPr="00884FAA">
        <w:t xml:space="preserve">mums and bubs. In one </w:t>
      </w:r>
      <w:r w:rsidR="00DE2B9A" w:rsidRPr="00884FAA">
        <w:t xml:space="preserve">yarn with </w:t>
      </w:r>
      <w:r w:rsidRPr="00884FAA">
        <w:t xml:space="preserve">community </w:t>
      </w:r>
      <w:r w:rsidR="00DE2B9A" w:rsidRPr="00884FAA">
        <w:t>members,</w:t>
      </w:r>
      <w:r w:rsidRPr="00884FAA">
        <w:t xml:space="preserve"> a group of older men shared the thing they appreciated most about their health service, the men’s group</w:t>
      </w:r>
      <w:r w:rsidR="009816BF" w:rsidRPr="00884FAA">
        <w:t>.</w:t>
      </w:r>
    </w:p>
    <w:p w14:paraId="073BFBC5" w14:textId="4CE56848" w:rsidR="005C490E" w:rsidRPr="00A1178E" w:rsidRDefault="005C490E" w:rsidP="005F3C3F">
      <w:pPr>
        <w:pStyle w:val="Quote"/>
        <w:rPr>
          <w:color w:val="18525E" w:themeColor="accent5" w:themeShade="80"/>
        </w:rPr>
      </w:pPr>
      <w:r w:rsidRPr="00A1178E">
        <w:rPr>
          <w:color w:val="18525E" w:themeColor="accent5" w:themeShade="80"/>
        </w:rPr>
        <w:t>Men’s group. I love men’s group. It’s the bomb. Yeah.</w:t>
      </w:r>
    </w:p>
    <w:p w14:paraId="23366473" w14:textId="059E1F3D" w:rsidR="005C490E" w:rsidRPr="00A1178E" w:rsidRDefault="005C490E" w:rsidP="005F3C3F">
      <w:pPr>
        <w:pStyle w:val="Quote"/>
        <w:rPr>
          <w:color w:val="18525E" w:themeColor="accent5" w:themeShade="80"/>
        </w:rPr>
      </w:pPr>
      <w:r w:rsidRPr="00A1178E">
        <w:rPr>
          <w:color w:val="18525E" w:themeColor="accent5" w:themeShade="80"/>
        </w:rPr>
        <w:t>Social health.</w:t>
      </w:r>
    </w:p>
    <w:p w14:paraId="78B845DF" w14:textId="4AB7FF9B" w:rsidR="005C490E" w:rsidRPr="00A1178E" w:rsidRDefault="005C490E" w:rsidP="005F3C3F">
      <w:pPr>
        <w:pStyle w:val="Quote"/>
        <w:rPr>
          <w:color w:val="18525E" w:themeColor="accent5" w:themeShade="80"/>
        </w:rPr>
      </w:pPr>
      <w:r w:rsidRPr="00A1178E">
        <w:rPr>
          <w:color w:val="18525E" w:themeColor="accent5" w:themeShade="80"/>
        </w:rPr>
        <w:t>Yeah, love men’s group.</w:t>
      </w:r>
    </w:p>
    <w:p w14:paraId="505D81C2" w14:textId="17DE7630" w:rsidR="005C490E" w:rsidRPr="00A1178E" w:rsidRDefault="005C490E" w:rsidP="00085C11">
      <w:pPr>
        <w:pStyle w:val="Quote"/>
        <w:spacing w:after="0"/>
        <w:rPr>
          <w:color w:val="18525E" w:themeColor="accent5" w:themeShade="80"/>
        </w:rPr>
      </w:pPr>
      <w:r w:rsidRPr="00A1178E">
        <w:rPr>
          <w:color w:val="18525E" w:themeColor="accent5" w:themeShade="80"/>
        </w:rPr>
        <w:t>I just like, you know, good environment, having all the black faces greeting you, or seeing you, and being able to connect to them and everything. Able to connect to them is a good thing.</w:t>
      </w:r>
    </w:p>
    <w:p w14:paraId="4ED53E28" w14:textId="0B53574D" w:rsidR="001E50E9" w:rsidRPr="00085C11" w:rsidRDefault="009816BF" w:rsidP="008E07DA">
      <w:pPr>
        <w:jc w:val="right"/>
        <w:rPr>
          <w:b/>
          <w:bCs/>
        </w:rPr>
      </w:pPr>
      <w:r w:rsidRPr="00085C11">
        <w:rPr>
          <w:b/>
          <w:bCs/>
        </w:rPr>
        <w:t>Community members</w:t>
      </w:r>
    </w:p>
    <w:p w14:paraId="2E47D229" w14:textId="7557A3BE" w:rsidR="005C490E" w:rsidRPr="00884FAA" w:rsidRDefault="005C490E" w:rsidP="005C490E">
      <w:r w:rsidRPr="00884FAA">
        <w:t xml:space="preserve">Consistent programs and spaces that facilitate community connection are a culturally appropriate way of supporting wellbeing. Aboriginal and Torres Strait Islander cultures are inherently communitarian and coming together is fundamental to supporting health and wellbeing. Programs run through </w:t>
      </w:r>
      <w:r w:rsidR="002B01D6" w:rsidRPr="00884FAA">
        <w:t>community-controlled</w:t>
      </w:r>
      <w:r w:rsidRPr="00884FAA">
        <w:t xml:space="preserve"> services offered </w:t>
      </w:r>
      <w:r w:rsidR="00D37066">
        <w:t xml:space="preserve">people </w:t>
      </w:r>
      <w:r w:rsidRPr="00884FAA">
        <w:t xml:space="preserve">welcoming and safe spaces connected to the community. </w:t>
      </w:r>
      <w:r w:rsidR="00B3753A">
        <w:t xml:space="preserve">These spaces were valued by Aboriginal and Torres Strait Islander people. </w:t>
      </w:r>
      <w:r w:rsidRPr="00884FAA">
        <w:t>The ACCH</w:t>
      </w:r>
      <w:r w:rsidR="00220EF8" w:rsidRPr="00884FAA">
        <w:t>S</w:t>
      </w:r>
      <w:r w:rsidRPr="00884FAA">
        <w:t xml:space="preserve"> was often the only </w:t>
      </w:r>
      <w:r w:rsidR="00220EF8" w:rsidRPr="00884FAA">
        <w:t>‘</w:t>
      </w:r>
      <w:r w:rsidRPr="00884FAA">
        <w:rPr>
          <w:i/>
          <w:iCs/>
        </w:rPr>
        <w:t>black space</w:t>
      </w:r>
      <w:r w:rsidR="00220EF8" w:rsidRPr="00884FAA">
        <w:rPr>
          <w:i/>
          <w:iCs/>
        </w:rPr>
        <w:t>’</w:t>
      </w:r>
      <w:r w:rsidRPr="00884FAA">
        <w:t xml:space="preserve"> for all Aboriginal and Torres Strait Islander people living in that community regardless of their traditional lands. Consistent with a holistic view of health, ACCH</w:t>
      </w:r>
      <w:r w:rsidR="00220EF8" w:rsidRPr="00884FAA">
        <w:t>S</w:t>
      </w:r>
      <w:r w:rsidR="00576E8F" w:rsidRPr="00884FAA">
        <w:t>’</w:t>
      </w:r>
      <w:r w:rsidRPr="00884FAA">
        <w:t xml:space="preserve">s role in facilitating connection was valued </w:t>
      </w:r>
      <w:r w:rsidR="005E519B">
        <w:t>by community members</w:t>
      </w:r>
      <w:r w:rsidRPr="00884FAA">
        <w:t xml:space="preserve"> as a critical part of </w:t>
      </w:r>
      <w:r w:rsidR="00807F93" w:rsidRPr="00884FAA">
        <w:t>health care</w:t>
      </w:r>
      <w:r w:rsidRPr="00884FAA">
        <w:t>.</w:t>
      </w:r>
    </w:p>
    <w:p w14:paraId="14562AD7" w14:textId="1CD2C853" w:rsidR="005C490E" w:rsidRPr="00884FAA" w:rsidRDefault="005C490E" w:rsidP="005C490E">
      <w:r w:rsidRPr="00884FAA">
        <w:lastRenderedPageBreak/>
        <w:t>Connection was seen as something that both maintains and restores health</w:t>
      </w:r>
      <w:r w:rsidR="00576E8F" w:rsidRPr="00884FAA">
        <w:t>,</w:t>
      </w:r>
      <w:r w:rsidRPr="00884FAA">
        <w:t xml:space="preserve"> and many </w:t>
      </w:r>
      <w:r w:rsidR="00F139DB" w:rsidRPr="00884FAA">
        <w:t>community members</w:t>
      </w:r>
      <w:r w:rsidRPr="00884FAA">
        <w:t xml:space="preserve"> identified the value of programs where people could heal together</w:t>
      </w:r>
      <w:r w:rsidR="00F139DB" w:rsidRPr="00884FAA">
        <w:t>.</w:t>
      </w:r>
    </w:p>
    <w:p w14:paraId="790076B1" w14:textId="1DDD93EA" w:rsidR="001E50E9" w:rsidRPr="00A1178E" w:rsidRDefault="005C490E" w:rsidP="008C5876">
      <w:pPr>
        <w:pStyle w:val="Quote"/>
        <w:spacing w:after="0"/>
        <w:rPr>
          <w:color w:val="18525E" w:themeColor="accent5" w:themeShade="80"/>
        </w:rPr>
      </w:pPr>
      <w:r w:rsidRPr="00A1178E">
        <w:rPr>
          <w:color w:val="18525E" w:themeColor="accent5" w:themeShade="80"/>
        </w:rPr>
        <w:t>I think it would be good to have like more informal groups, I guess like so people know, you know, you're not the only person that's feeling like this certain way instead of like, Oh, you've got to have a doctor's appointment and sit there alone. You know, like, I feel like more groups and open discussions would be easier.</w:t>
      </w:r>
      <w:r w:rsidR="00AA35E2" w:rsidRPr="00A1178E">
        <w:rPr>
          <w:color w:val="18525E" w:themeColor="accent5" w:themeShade="80"/>
        </w:rPr>
        <w:t xml:space="preserve"> </w:t>
      </w:r>
    </w:p>
    <w:p w14:paraId="48B63992" w14:textId="57285E0F" w:rsidR="005C490E" w:rsidRPr="00884FAA" w:rsidRDefault="005C490E" w:rsidP="008C5876">
      <w:pPr>
        <w:pStyle w:val="Quote"/>
        <w:spacing w:before="0"/>
        <w:jc w:val="right"/>
        <w:rPr>
          <w:b/>
          <w:color w:val="auto"/>
        </w:rPr>
      </w:pPr>
      <w:r w:rsidRPr="001C4899">
        <w:rPr>
          <w:b/>
          <w:color w:val="auto"/>
        </w:rPr>
        <w:t xml:space="preserve">Community </w:t>
      </w:r>
      <w:r w:rsidR="00F139DB" w:rsidRPr="00436E12">
        <w:rPr>
          <w:b/>
          <w:bCs/>
          <w:color w:val="auto"/>
        </w:rPr>
        <w:t>member</w:t>
      </w:r>
    </w:p>
    <w:p w14:paraId="6923FB1D" w14:textId="2B00E50E" w:rsidR="0053464F" w:rsidRPr="00884FAA" w:rsidRDefault="0053464F">
      <w:pPr>
        <w:jc w:val="left"/>
      </w:pPr>
      <w:r w:rsidRPr="00884FAA">
        <w:br w:type="page"/>
      </w:r>
    </w:p>
    <w:p w14:paraId="7D0C5EA4" w14:textId="18DB5326" w:rsidR="006E1D3D" w:rsidRPr="00884FAA" w:rsidRDefault="00BC174D" w:rsidP="003D4A7C">
      <w:pPr>
        <w:pStyle w:val="Heading1"/>
      </w:pPr>
      <w:bookmarkStart w:id="159" w:name="_Toc83293346"/>
      <w:bookmarkStart w:id="160" w:name="_Toc83293422"/>
      <w:bookmarkStart w:id="161" w:name="_Toc83738198"/>
      <w:bookmarkStart w:id="162" w:name="_Ref131605676"/>
      <w:bookmarkStart w:id="163" w:name="_Toc137208909"/>
      <w:r w:rsidRPr="00884FAA">
        <w:lastRenderedPageBreak/>
        <w:t xml:space="preserve">Understanding how </w:t>
      </w:r>
      <w:bookmarkEnd w:id="159"/>
      <w:bookmarkEnd w:id="160"/>
      <w:bookmarkEnd w:id="161"/>
      <w:r w:rsidRPr="00884FAA">
        <w:t xml:space="preserve">Aboriginal and Torres Strait Islander </w:t>
      </w:r>
      <w:r w:rsidR="00003B90">
        <w:t>p</w:t>
      </w:r>
      <w:r w:rsidRPr="00884FAA">
        <w:t xml:space="preserve">eople experience </w:t>
      </w:r>
      <w:r w:rsidR="00D85D74" w:rsidRPr="00884FAA">
        <w:t>the health system</w:t>
      </w:r>
      <w:bookmarkEnd w:id="162"/>
      <w:bookmarkEnd w:id="163"/>
    </w:p>
    <w:tbl>
      <w:tblPr>
        <w:tblW w:w="9214" w:type="dxa"/>
        <w:tblCellMar>
          <w:top w:w="85" w:type="dxa"/>
          <w:left w:w="57" w:type="dxa"/>
          <w:bottom w:w="85" w:type="dxa"/>
          <w:right w:w="57" w:type="dxa"/>
        </w:tblCellMar>
        <w:tblLook w:val="0000" w:firstRow="0" w:lastRow="0" w:firstColumn="0" w:lastColumn="0" w:noHBand="0" w:noVBand="0"/>
      </w:tblPr>
      <w:tblGrid>
        <w:gridCol w:w="562"/>
        <w:gridCol w:w="8652"/>
      </w:tblGrid>
      <w:tr w:rsidR="0031100F" w14:paraId="182EBAFA" w14:textId="77777777" w:rsidTr="002E6DFD">
        <w:trPr>
          <w:trHeight w:val="212"/>
        </w:trPr>
        <w:tc>
          <w:tcPr>
            <w:tcW w:w="9214" w:type="dxa"/>
            <w:gridSpan w:val="2"/>
          </w:tcPr>
          <w:p w14:paraId="684773B4" w14:textId="10B9BD3D" w:rsidR="0031100F" w:rsidRPr="00EB6AA8" w:rsidRDefault="00B52E63" w:rsidP="009F04D9">
            <w:pPr>
              <w:pStyle w:val="Heading6"/>
              <w:numPr>
                <w:ilvl w:val="0"/>
                <w:numId w:val="0"/>
              </w:numPr>
              <w:spacing w:before="60" w:after="60"/>
              <w:rPr>
                <w:color w:val="000000"/>
              </w:rPr>
            </w:pPr>
            <w:r w:rsidRPr="00EB6AA8">
              <w:rPr>
                <w:noProof/>
                <w:color w:val="000000"/>
              </w:rPr>
              <mc:AlternateContent>
                <mc:Choice Requires="wpg">
                  <w:drawing>
                    <wp:anchor distT="0" distB="0" distL="114300" distR="114300" simplePos="0" relativeHeight="251657235" behindDoc="1" locked="1" layoutInCell="1" allowOverlap="0" wp14:anchorId="409D7E2A" wp14:editId="6BF9C7C4">
                      <wp:simplePos x="0" y="0"/>
                      <wp:positionH relativeFrom="margin">
                        <wp:posOffset>-222885</wp:posOffset>
                      </wp:positionH>
                      <wp:positionV relativeFrom="page">
                        <wp:posOffset>-59690</wp:posOffset>
                      </wp:positionV>
                      <wp:extent cx="6123305" cy="7590790"/>
                      <wp:effectExtent l="19050" t="19050" r="29845" b="48260"/>
                      <wp:wrapNone/>
                      <wp:docPr id="642660952" name="Group 6426609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7590790"/>
                                <a:chOff x="0" y="-168904"/>
                                <a:chExt cx="7727152" cy="7595743"/>
                              </a:xfrm>
                            </wpg:grpSpPr>
                            <wps:wsp>
                              <wps:cNvPr id="769640170" name="Rectangle 5"/>
                              <wps:cNvSpPr/>
                              <wps:spPr>
                                <a:xfrm>
                                  <a:off x="0" y="728195"/>
                                  <a:ext cx="7716522" cy="5907620"/>
                                </a:xfrm>
                                <a:custGeom>
                                  <a:avLst/>
                                  <a:gdLst>
                                    <a:gd name="connsiteX0" fmla="*/ 0 w 7716522"/>
                                    <a:gd name="connsiteY0" fmla="*/ 0 h 5907620"/>
                                    <a:gd name="connsiteX1" fmla="*/ 643044 w 7716522"/>
                                    <a:gd name="connsiteY1" fmla="*/ 0 h 5907620"/>
                                    <a:gd name="connsiteX2" fmla="*/ 1286087 w 7716522"/>
                                    <a:gd name="connsiteY2" fmla="*/ 0 h 5907620"/>
                                    <a:gd name="connsiteX3" fmla="*/ 1697635 w 7716522"/>
                                    <a:gd name="connsiteY3" fmla="*/ 0 h 5907620"/>
                                    <a:gd name="connsiteX4" fmla="*/ 2340678 w 7716522"/>
                                    <a:gd name="connsiteY4" fmla="*/ 0 h 5907620"/>
                                    <a:gd name="connsiteX5" fmla="*/ 3138052 w 7716522"/>
                                    <a:gd name="connsiteY5" fmla="*/ 0 h 5907620"/>
                                    <a:gd name="connsiteX6" fmla="*/ 3703931 w 7716522"/>
                                    <a:gd name="connsiteY6" fmla="*/ 0 h 5907620"/>
                                    <a:gd name="connsiteX7" fmla="*/ 4269809 w 7716522"/>
                                    <a:gd name="connsiteY7" fmla="*/ 0 h 5907620"/>
                                    <a:gd name="connsiteX8" fmla="*/ 4912852 w 7716522"/>
                                    <a:gd name="connsiteY8" fmla="*/ 0 h 5907620"/>
                                    <a:gd name="connsiteX9" fmla="*/ 5633061 w 7716522"/>
                                    <a:gd name="connsiteY9" fmla="*/ 0 h 5907620"/>
                                    <a:gd name="connsiteX10" fmla="*/ 6353270 w 7716522"/>
                                    <a:gd name="connsiteY10" fmla="*/ 0 h 5907620"/>
                                    <a:gd name="connsiteX11" fmla="*/ 7073478 w 7716522"/>
                                    <a:gd name="connsiteY11" fmla="*/ 0 h 5907620"/>
                                    <a:gd name="connsiteX12" fmla="*/ 7716522 w 7716522"/>
                                    <a:gd name="connsiteY12" fmla="*/ 0 h 5907620"/>
                                    <a:gd name="connsiteX13" fmla="*/ 7716522 w 7716522"/>
                                    <a:gd name="connsiteY13" fmla="*/ 656402 h 5907620"/>
                                    <a:gd name="connsiteX14" fmla="*/ 7716522 w 7716522"/>
                                    <a:gd name="connsiteY14" fmla="*/ 1312804 h 5907620"/>
                                    <a:gd name="connsiteX15" fmla="*/ 7716522 w 7716522"/>
                                    <a:gd name="connsiteY15" fmla="*/ 2028283 h 5907620"/>
                                    <a:gd name="connsiteX16" fmla="*/ 7716522 w 7716522"/>
                                    <a:gd name="connsiteY16" fmla="*/ 2802837 h 5907620"/>
                                    <a:gd name="connsiteX17" fmla="*/ 7716522 w 7716522"/>
                                    <a:gd name="connsiteY17" fmla="*/ 3518316 h 5907620"/>
                                    <a:gd name="connsiteX18" fmla="*/ 7716522 w 7716522"/>
                                    <a:gd name="connsiteY18" fmla="*/ 4292871 h 5907620"/>
                                    <a:gd name="connsiteX19" fmla="*/ 7716522 w 7716522"/>
                                    <a:gd name="connsiteY19" fmla="*/ 5008349 h 5907620"/>
                                    <a:gd name="connsiteX20" fmla="*/ 7716522 w 7716522"/>
                                    <a:gd name="connsiteY20" fmla="*/ 5907620 h 5907620"/>
                                    <a:gd name="connsiteX21" fmla="*/ 6996313 w 7716522"/>
                                    <a:gd name="connsiteY21" fmla="*/ 5907620 h 5907620"/>
                                    <a:gd name="connsiteX22" fmla="*/ 6276105 w 7716522"/>
                                    <a:gd name="connsiteY22" fmla="*/ 5907620 h 5907620"/>
                                    <a:gd name="connsiteX23" fmla="*/ 5633061 w 7716522"/>
                                    <a:gd name="connsiteY23" fmla="*/ 5907620 h 5907620"/>
                                    <a:gd name="connsiteX24" fmla="*/ 5221513 w 7716522"/>
                                    <a:gd name="connsiteY24" fmla="*/ 5907620 h 5907620"/>
                                    <a:gd name="connsiteX25" fmla="*/ 4655635 w 7716522"/>
                                    <a:gd name="connsiteY25" fmla="*/ 5907620 h 5907620"/>
                                    <a:gd name="connsiteX26" fmla="*/ 3935426 w 7716522"/>
                                    <a:gd name="connsiteY26" fmla="*/ 5907620 h 5907620"/>
                                    <a:gd name="connsiteX27" fmla="*/ 3446713 w 7716522"/>
                                    <a:gd name="connsiteY27" fmla="*/ 5907620 h 5907620"/>
                                    <a:gd name="connsiteX28" fmla="*/ 2649339 w 7716522"/>
                                    <a:gd name="connsiteY28" fmla="*/ 5907620 h 5907620"/>
                                    <a:gd name="connsiteX29" fmla="*/ 1851965 w 7716522"/>
                                    <a:gd name="connsiteY29" fmla="*/ 5907620 h 5907620"/>
                                    <a:gd name="connsiteX30" fmla="*/ 1208922 w 7716522"/>
                                    <a:gd name="connsiteY30" fmla="*/ 5907620 h 5907620"/>
                                    <a:gd name="connsiteX31" fmla="*/ 0 w 7716522"/>
                                    <a:gd name="connsiteY31" fmla="*/ 5907620 h 5907620"/>
                                    <a:gd name="connsiteX32" fmla="*/ 0 w 7716522"/>
                                    <a:gd name="connsiteY32" fmla="*/ 5251218 h 5907620"/>
                                    <a:gd name="connsiteX33" fmla="*/ 0 w 7716522"/>
                                    <a:gd name="connsiteY33" fmla="*/ 4712968 h 5907620"/>
                                    <a:gd name="connsiteX34" fmla="*/ 0 w 7716522"/>
                                    <a:gd name="connsiteY34" fmla="*/ 4174718 h 5907620"/>
                                    <a:gd name="connsiteX35" fmla="*/ 0 w 7716522"/>
                                    <a:gd name="connsiteY35" fmla="*/ 3636468 h 5907620"/>
                                    <a:gd name="connsiteX36" fmla="*/ 0 w 7716522"/>
                                    <a:gd name="connsiteY36" fmla="*/ 3098218 h 5907620"/>
                                    <a:gd name="connsiteX37" fmla="*/ 0 w 7716522"/>
                                    <a:gd name="connsiteY37" fmla="*/ 2500892 h 5907620"/>
                                    <a:gd name="connsiteX38" fmla="*/ 0 w 7716522"/>
                                    <a:gd name="connsiteY38" fmla="*/ 1962643 h 5907620"/>
                                    <a:gd name="connsiteX39" fmla="*/ 0 w 7716522"/>
                                    <a:gd name="connsiteY39" fmla="*/ 1365317 h 5907620"/>
                                    <a:gd name="connsiteX40" fmla="*/ 0 w 7716522"/>
                                    <a:gd name="connsiteY40" fmla="*/ 649838 h 5907620"/>
                                    <a:gd name="connsiteX41" fmla="*/ 0 w 7716522"/>
                                    <a:gd name="connsiteY41" fmla="*/ 0 h 5907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7716522" h="5907620" fill="none" extrusionOk="0">
                                      <a:moveTo>
                                        <a:pt x="0" y="0"/>
                                      </a:moveTo>
                                      <a:cubicBezTo>
                                        <a:pt x="240045" y="-1940"/>
                                        <a:pt x="365263" y="-3233"/>
                                        <a:pt x="643044" y="0"/>
                                      </a:cubicBezTo>
                                      <a:cubicBezTo>
                                        <a:pt x="920825" y="3233"/>
                                        <a:pt x="1003081" y="23391"/>
                                        <a:pt x="1286087" y="0"/>
                                      </a:cubicBezTo>
                                      <a:cubicBezTo>
                                        <a:pt x="1569093" y="-23391"/>
                                        <a:pt x="1512957" y="10107"/>
                                        <a:pt x="1697635" y="0"/>
                                      </a:cubicBezTo>
                                      <a:cubicBezTo>
                                        <a:pt x="1882313" y="-10107"/>
                                        <a:pt x="2052951" y="1615"/>
                                        <a:pt x="2340678" y="0"/>
                                      </a:cubicBezTo>
                                      <a:cubicBezTo>
                                        <a:pt x="2628405" y="-1615"/>
                                        <a:pt x="2800530" y="24402"/>
                                        <a:pt x="3138052" y="0"/>
                                      </a:cubicBezTo>
                                      <a:cubicBezTo>
                                        <a:pt x="3475574" y="-24402"/>
                                        <a:pt x="3468992" y="-9823"/>
                                        <a:pt x="3703931" y="0"/>
                                      </a:cubicBezTo>
                                      <a:cubicBezTo>
                                        <a:pt x="3938870" y="9823"/>
                                        <a:pt x="4084455" y="-18555"/>
                                        <a:pt x="4269809" y="0"/>
                                      </a:cubicBezTo>
                                      <a:cubicBezTo>
                                        <a:pt x="4455163" y="18555"/>
                                        <a:pt x="4718151" y="-13106"/>
                                        <a:pt x="4912852" y="0"/>
                                      </a:cubicBezTo>
                                      <a:cubicBezTo>
                                        <a:pt x="5107553" y="13106"/>
                                        <a:pt x="5426568" y="23029"/>
                                        <a:pt x="5633061" y="0"/>
                                      </a:cubicBezTo>
                                      <a:cubicBezTo>
                                        <a:pt x="5839554" y="-23029"/>
                                        <a:pt x="6053832" y="15489"/>
                                        <a:pt x="6353270" y="0"/>
                                      </a:cubicBezTo>
                                      <a:cubicBezTo>
                                        <a:pt x="6652708" y="-15489"/>
                                        <a:pt x="6812538" y="27883"/>
                                        <a:pt x="7073478" y="0"/>
                                      </a:cubicBezTo>
                                      <a:cubicBezTo>
                                        <a:pt x="7334418" y="-27883"/>
                                        <a:pt x="7526488" y="3792"/>
                                        <a:pt x="7716522" y="0"/>
                                      </a:cubicBezTo>
                                      <a:cubicBezTo>
                                        <a:pt x="7733265" y="316258"/>
                                        <a:pt x="7686697" y="351344"/>
                                        <a:pt x="7716522" y="656402"/>
                                      </a:cubicBezTo>
                                      <a:cubicBezTo>
                                        <a:pt x="7746347" y="961460"/>
                                        <a:pt x="7743477" y="1106251"/>
                                        <a:pt x="7716522" y="1312804"/>
                                      </a:cubicBezTo>
                                      <a:cubicBezTo>
                                        <a:pt x="7689567" y="1519357"/>
                                        <a:pt x="7694247" y="1880809"/>
                                        <a:pt x="7716522" y="2028283"/>
                                      </a:cubicBezTo>
                                      <a:cubicBezTo>
                                        <a:pt x="7738797" y="2175757"/>
                                        <a:pt x="7713741" y="2620331"/>
                                        <a:pt x="7716522" y="2802837"/>
                                      </a:cubicBezTo>
                                      <a:cubicBezTo>
                                        <a:pt x="7719303" y="2985343"/>
                                        <a:pt x="7700799" y="3221673"/>
                                        <a:pt x="7716522" y="3518316"/>
                                      </a:cubicBezTo>
                                      <a:cubicBezTo>
                                        <a:pt x="7732245" y="3814959"/>
                                        <a:pt x="7680327" y="4135168"/>
                                        <a:pt x="7716522" y="4292871"/>
                                      </a:cubicBezTo>
                                      <a:cubicBezTo>
                                        <a:pt x="7752717" y="4450574"/>
                                        <a:pt x="7747377" y="4750946"/>
                                        <a:pt x="7716522" y="5008349"/>
                                      </a:cubicBezTo>
                                      <a:cubicBezTo>
                                        <a:pt x="7685667" y="5265752"/>
                                        <a:pt x="7720394" y="5518358"/>
                                        <a:pt x="7716522" y="5907620"/>
                                      </a:cubicBezTo>
                                      <a:cubicBezTo>
                                        <a:pt x="7490454" y="5939812"/>
                                        <a:pt x="7173232" y="5942740"/>
                                        <a:pt x="6996313" y="5907620"/>
                                      </a:cubicBezTo>
                                      <a:cubicBezTo>
                                        <a:pt x="6819394" y="5872500"/>
                                        <a:pt x="6570291" y="5918286"/>
                                        <a:pt x="6276105" y="5907620"/>
                                      </a:cubicBezTo>
                                      <a:cubicBezTo>
                                        <a:pt x="5981919" y="5896954"/>
                                        <a:pt x="5810099" y="5915368"/>
                                        <a:pt x="5633061" y="5907620"/>
                                      </a:cubicBezTo>
                                      <a:cubicBezTo>
                                        <a:pt x="5456023" y="5899872"/>
                                        <a:pt x="5409341" y="5901559"/>
                                        <a:pt x="5221513" y="5907620"/>
                                      </a:cubicBezTo>
                                      <a:cubicBezTo>
                                        <a:pt x="5033685" y="5913681"/>
                                        <a:pt x="4814516" y="5933299"/>
                                        <a:pt x="4655635" y="5907620"/>
                                      </a:cubicBezTo>
                                      <a:cubicBezTo>
                                        <a:pt x="4496754" y="5881941"/>
                                        <a:pt x="4183357" y="5899791"/>
                                        <a:pt x="3935426" y="5907620"/>
                                      </a:cubicBezTo>
                                      <a:cubicBezTo>
                                        <a:pt x="3687495" y="5915449"/>
                                        <a:pt x="3665271" y="5929822"/>
                                        <a:pt x="3446713" y="5907620"/>
                                      </a:cubicBezTo>
                                      <a:cubicBezTo>
                                        <a:pt x="3228155" y="5885418"/>
                                        <a:pt x="2871223" y="5920733"/>
                                        <a:pt x="2649339" y="5907620"/>
                                      </a:cubicBezTo>
                                      <a:cubicBezTo>
                                        <a:pt x="2427455" y="5894507"/>
                                        <a:pt x="2190015" y="5888916"/>
                                        <a:pt x="1851965" y="5907620"/>
                                      </a:cubicBezTo>
                                      <a:cubicBezTo>
                                        <a:pt x="1513915" y="5926324"/>
                                        <a:pt x="1424034" y="5897739"/>
                                        <a:pt x="1208922" y="5907620"/>
                                      </a:cubicBezTo>
                                      <a:cubicBezTo>
                                        <a:pt x="993810" y="5917501"/>
                                        <a:pt x="602424" y="5898399"/>
                                        <a:pt x="0" y="5907620"/>
                                      </a:cubicBezTo>
                                      <a:cubicBezTo>
                                        <a:pt x="19694" y="5766569"/>
                                        <a:pt x="31507" y="5487955"/>
                                        <a:pt x="0" y="5251218"/>
                                      </a:cubicBezTo>
                                      <a:cubicBezTo>
                                        <a:pt x="-31507" y="5014481"/>
                                        <a:pt x="-7059" y="4825159"/>
                                        <a:pt x="0" y="4712968"/>
                                      </a:cubicBezTo>
                                      <a:cubicBezTo>
                                        <a:pt x="7059" y="4600777"/>
                                        <a:pt x="15496" y="4352208"/>
                                        <a:pt x="0" y="4174718"/>
                                      </a:cubicBezTo>
                                      <a:cubicBezTo>
                                        <a:pt x="-15496" y="3997228"/>
                                        <a:pt x="1008" y="3873221"/>
                                        <a:pt x="0" y="3636468"/>
                                      </a:cubicBezTo>
                                      <a:cubicBezTo>
                                        <a:pt x="-1008" y="3399715"/>
                                        <a:pt x="-16078" y="3324949"/>
                                        <a:pt x="0" y="3098218"/>
                                      </a:cubicBezTo>
                                      <a:cubicBezTo>
                                        <a:pt x="16078" y="2871487"/>
                                        <a:pt x="15108" y="2636693"/>
                                        <a:pt x="0" y="2500892"/>
                                      </a:cubicBezTo>
                                      <a:cubicBezTo>
                                        <a:pt x="-15108" y="2365091"/>
                                        <a:pt x="12923" y="2072362"/>
                                        <a:pt x="0" y="1962643"/>
                                      </a:cubicBezTo>
                                      <a:cubicBezTo>
                                        <a:pt x="-12923" y="1852924"/>
                                        <a:pt x="4775" y="1640801"/>
                                        <a:pt x="0" y="1365317"/>
                                      </a:cubicBezTo>
                                      <a:cubicBezTo>
                                        <a:pt x="-4775" y="1089833"/>
                                        <a:pt x="32052" y="971613"/>
                                        <a:pt x="0" y="649838"/>
                                      </a:cubicBezTo>
                                      <a:cubicBezTo>
                                        <a:pt x="-32052" y="328063"/>
                                        <a:pt x="-2480" y="244587"/>
                                        <a:pt x="0" y="0"/>
                                      </a:cubicBezTo>
                                      <a:close/>
                                    </a:path>
                                    <a:path w="7716522" h="5907620"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6702" y="7578"/>
                                        <a:pt x="2906557" y="0"/>
                                      </a:cubicBezTo>
                                      <a:cubicBezTo>
                                        <a:pt x="3116412" y="-7578"/>
                                        <a:pt x="3434644" y="36419"/>
                                        <a:pt x="3703931" y="0"/>
                                      </a:cubicBezTo>
                                      <a:cubicBezTo>
                                        <a:pt x="3973218" y="-36419"/>
                                        <a:pt x="4031747" y="19821"/>
                                        <a:pt x="4192644" y="0"/>
                                      </a:cubicBezTo>
                                      <a:cubicBezTo>
                                        <a:pt x="4353541" y="-19821"/>
                                        <a:pt x="4768906" y="996"/>
                                        <a:pt x="4990018" y="0"/>
                                      </a:cubicBezTo>
                                      <a:cubicBezTo>
                                        <a:pt x="5211130" y="-996"/>
                                        <a:pt x="5500863" y="-10311"/>
                                        <a:pt x="5787392" y="0"/>
                                      </a:cubicBezTo>
                                      <a:cubicBezTo>
                                        <a:pt x="6073921" y="10311"/>
                                        <a:pt x="6246911" y="-286"/>
                                        <a:pt x="6430435" y="0"/>
                                      </a:cubicBezTo>
                                      <a:cubicBezTo>
                                        <a:pt x="6613959" y="286"/>
                                        <a:pt x="7376104" y="21728"/>
                                        <a:pt x="7716522" y="0"/>
                                      </a:cubicBezTo>
                                      <a:cubicBezTo>
                                        <a:pt x="7702248" y="182112"/>
                                        <a:pt x="7742416" y="349928"/>
                                        <a:pt x="7716522" y="597326"/>
                                      </a:cubicBezTo>
                                      <a:cubicBezTo>
                                        <a:pt x="7690628" y="844724"/>
                                        <a:pt x="7734341" y="923974"/>
                                        <a:pt x="7716522" y="1076500"/>
                                      </a:cubicBezTo>
                                      <a:cubicBezTo>
                                        <a:pt x="7698703" y="1229026"/>
                                        <a:pt x="7732547" y="1498526"/>
                                        <a:pt x="7716522" y="1732902"/>
                                      </a:cubicBezTo>
                                      <a:cubicBezTo>
                                        <a:pt x="7700497" y="1967278"/>
                                        <a:pt x="7735981" y="2108034"/>
                                        <a:pt x="7716522" y="2389304"/>
                                      </a:cubicBezTo>
                                      <a:cubicBezTo>
                                        <a:pt x="7697063" y="2670574"/>
                                        <a:pt x="7690536" y="2790228"/>
                                        <a:pt x="7716522" y="3045706"/>
                                      </a:cubicBezTo>
                                      <a:cubicBezTo>
                                        <a:pt x="7742508" y="3301184"/>
                                        <a:pt x="7743504" y="3515522"/>
                                        <a:pt x="7716522" y="3761185"/>
                                      </a:cubicBezTo>
                                      <a:cubicBezTo>
                                        <a:pt x="7689540" y="4006848"/>
                                        <a:pt x="7743947" y="4156326"/>
                                        <a:pt x="7716522" y="4476663"/>
                                      </a:cubicBezTo>
                                      <a:cubicBezTo>
                                        <a:pt x="7689097" y="4797000"/>
                                        <a:pt x="7745436" y="4867028"/>
                                        <a:pt x="7716522" y="5192142"/>
                                      </a:cubicBezTo>
                                      <a:cubicBezTo>
                                        <a:pt x="7687608" y="5517256"/>
                                        <a:pt x="7689300" y="5587507"/>
                                        <a:pt x="7716522" y="5907620"/>
                                      </a:cubicBezTo>
                                      <a:cubicBezTo>
                                        <a:pt x="7574188" y="5908838"/>
                                        <a:pt x="7425768" y="5892391"/>
                                        <a:pt x="7227809" y="5907620"/>
                                      </a:cubicBezTo>
                                      <a:cubicBezTo>
                                        <a:pt x="7029850" y="5922849"/>
                                        <a:pt x="6875653" y="5931972"/>
                                        <a:pt x="6584765" y="5907620"/>
                                      </a:cubicBezTo>
                                      <a:cubicBezTo>
                                        <a:pt x="6293877" y="5883268"/>
                                        <a:pt x="6195396" y="5889543"/>
                                        <a:pt x="6096052" y="5907620"/>
                                      </a:cubicBezTo>
                                      <a:cubicBezTo>
                                        <a:pt x="5996708" y="5925697"/>
                                        <a:pt x="5745511" y="5881248"/>
                                        <a:pt x="5453009" y="5907620"/>
                                      </a:cubicBezTo>
                                      <a:cubicBezTo>
                                        <a:pt x="5160507" y="5933992"/>
                                        <a:pt x="5193088" y="5914160"/>
                                        <a:pt x="5041461" y="5907620"/>
                                      </a:cubicBezTo>
                                      <a:cubicBezTo>
                                        <a:pt x="4889834" y="5901080"/>
                                        <a:pt x="4746888" y="5915198"/>
                                        <a:pt x="4629913" y="5907620"/>
                                      </a:cubicBezTo>
                                      <a:cubicBezTo>
                                        <a:pt x="4512938" y="5900042"/>
                                        <a:pt x="4299637" y="5936733"/>
                                        <a:pt x="3986870" y="5907620"/>
                                      </a:cubicBezTo>
                                      <a:cubicBezTo>
                                        <a:pt x="3674103" y="5878507"/>
                                        <a:pt x="3600476" y="5909624"/>
                                        <a:pt x="3498157" y="5907620"/>
                                      </a:cubicBezTo>
                                      <a:cubicBezTo>
                                        <a:pt x="3395838" y="5905616"/>
                                        <a:pt x="3109741" y="5938055"/>
                                        <a:pt x="2777948" y="5907620"/>
                                      </a:cubicBezTo>
                                      <a:cubicBezTo>
                                        <a:pt x="2446155" y="5877185"/>
                                        <a:pt x="2518789" y="5909099"/>
                                        <a:pt x="2289235" y="5907620"/>
                                      </a:cubicBezTo>
                                      <a:cubicBezTo>
                                        <a:pt x="2059681" y="5906141"/>
                                        <a:pt x="1876564" y="5895390"/>
                                        <a:pt x="1569026" y="5907620"/>
                                      </a:cubicBezTo>
                                      <a:cubicBezTo>
                                        <a:pt x="1261488" y="5919850"/>
                                        <a:pt x="1302582" y="5893911"/>
                                        <a:pt x="1157478" y="5907620"/>
                                      </a:cubicBezTo>
                                      <a:cubicBezTo>
                                        <a:pt x="1012374" y="5921329"/>
                                        <a:pt x="241247" y="5878463"/>
                                        <a:pt x="0" y="5907620"/>
                                      </a:cubicBezTo>
                                      <a:cubicBezTo>
                                        <a:pt x="6841" y="5790178"/>
                                        <a:pt x="-289" y="5512459"/>
                                        <a:pt x="0" y="5369370"/>
                                      </a:cubicBezTo>
                                      <a:cubicBezTo>
                                        <a:pt x="289" y="5226281"/>
                                        <a:pt x="-36542" y="4967896"/>
                                        <a:pt x="0" y="4594816"/>
                                      </a:cubicBezTo>
                                      <a:cubicBezTo>
                                        <a:pt x="36542" y="4221736"/>
                                        <a:pt x="-6840" y="4152106"/>
                                        <a:pt x="0" y="3997490"/>
                                      </a:cubicBezTo>
                                      <a:cubicBezTo>
                                        <a:pt x="6840" y="3842874"/>
                                        <a:pt x="-20841" y="3568632"/>
                                        <a:pt x="0" y="3222935"/>
                                      </a:cubicBezTo>
                                      <a:cubicBezTo>
                                        <a:pt x="20841" y="2877239"/>
                                        <a:pt x="11755" y="2836172"/>
                                        <a:pt x="0" y="2684685"/>
                                      </a:cubicBezTo>
                                      <a:cubicBezTo>
                                        <a:pt x="-11755" y="2533198"/>
                                        <a:pt x="18976" y="2309981"/>
                                        <a:pt x="0" y="2205511"/>
                                      </a:cubicBezTo>
                                      <a:cubicBezTo>
                                        <a:pt x="-18976" y="2101041"/>
                                        <a:pt x="17493" y="1947297"/>
                                        <a:pt x="0" y="1726338"/>
                                      </a:cubicBezTo>
                                      <a:cubicBezTo>
                                        <a:pt x="-17493" y="1505379"/>
                                        <a:pt x="-25571" y="1317315"/>
                                        <a:pt x="0" y="1010859"/>
                                      </a:cubicBezTo>
                                      <a:cubicBezTo>
                                        <a:pt x="25571" y="704403"/>
                                        <a:pt x="35537" y="432500"/>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0447153" name="Rectangle 5"/>
                              <wps:cNvSpPr/>
                              <wps:spPr>
                                <a:xfrm>
                                  <a:off x="0" y="-168904"/>
                                  <a:ext cx="7716520" cy="807969"/>
                                </a:xfrm>
                                <a:custGeom>
                                  <a:avLst/>
                                  <a:gdLst>
                                    <a:gd name="connsiteX0" fmla="*/ 0 w 7716520"/>
                                    <a:gd name="connsiteY0" fmla="*/ 0 h 807969"/>
                                    <a:gd name="connsiteX1" fmla="*/ 797374 w 7716520"/>
                                    <a:gd name="connsiteY1" fmla="*/ 0 h 807969"/>
                                    <a:gd name="connsiteX2" fmla="*/ 1594747 w 7716520"/>
                                    <a:gd name="connsiteY2" fmla="*/ 0 h 807969"/>
                                    <a:gd name="connsiteX3" fmla="*/ 2237791 w 7716520"/>
                                    <a:gd name="connsiteY3" fmla="*/ 0 h 807969"/>
                                    <a:gd name="connsiteX4" fmla="*/ 2957999 w 7716520"/>
                                    <a:gd name="connsiteY4" fmla="*/ 0 h 807969"/>
                                    <a:gd name="connsiteX5" fmla="*/ 3523877 w 7716520"/>
                                    <a:gd name="connsiteY5" fmla="*/ 0 h 807969"/>
                                    <a:gd name="connsiteX6" fmla="*/ 4166921 w 7716520"/>
                                    <a:gd name="connsiteY6" fmla="*/ 0 h 807969"/>
                                    <a:gd name="connsiteX7" fmla="*/ 4964295 w 7716520"/>
                                    <a:gd name="connsiteY7" fmla="*/ 0 h 807969"/>
                                    <a:gd name="connsiteX8" fmla="*/ 5453007 w 7716520"/>
                                    <a:gd name="connsiteY8" fmla="*/ 0 h 807969"/>
                                    <a:gd name="connsiteX9" fmla="*/ 6173216 w 7716520"/>
                                    <a:gd name="connsiteY9" fmla="*/ 0 h 807969"/>
                                    <a:gd name="connsiteX10" fmla="*/ 6661929 w 7716520"/>
                                    <a:gd name="connsiteY10" fmla="*/ 0 h 807969"/>
                                    <a:gd name="connsiteX11" fmla="*/ 7716520 w 7716520"/>
                                    <a:gd name="connsiteY11" fmla="*/ 0 h 807969"/>
                                    <a:gd name="connsiteX12" fmla="*/ 7716520 w 7716520"/>
                                    <a:gd name="connsiteY12" fmla="*/ 412064 h 807969"/>
                                    <a:gd name="connsiteX13" fmla="*/ 7716520 w 7716520"/>
                                    <a:gd name="connsiteY13" fmla="*/ 807969 h 807969"/>
                                    <a:gd name="connsiteX14" fmla="*/ 6919146 w 7716520"/>
                                    <a:gd name="connsiteY14" fmla="*/ 807969 h 807969"/>
                                    <a:gd name="connsiteX15" fmla="*/ 6276103 w 7716520"/>
                                    <a:gd name="connsiteY15" fmla="*/ 807969 h 807969"/>
                                    <a:gd name="connsiteX16" fmla="*/ 5633060 w 7716520"/>
                                    <a:gd name="connsiteY16" fmla="*/ 807969 h 807969"/>
                                    <a:gd name="connsiteX17" fmla="*/ 4990016 w 7716520"/>
                                    <a:gd name="connsiteY17" fmla="*/ 807969 h 807969"/>
                                    <a:gd name="connsiteX18" fmla="*/ 4346973 w 7716520"/>
                                    <a:gd name="connsiteY18" fmla="*/ 807969 h 807969"/>
                                    <a:gd name="connsiteX19" fmla="*/ 3781095 w 7716520"/>
                                    <a:gd name="connsiteY19" fmla="*/ 807969 h 807969"/>
                                    <a:gd name="connsiteX20" fmla="*/ 3060886 w 7716520"/>
                                    <a:gd name="connsiteY20" fmla="*/ 807969 h 807969"/>
                                    <a:gd name="connsiteX21" fmla="*/ 2417843 w 7716520"/>
                                    <a:gd name="connsiteY21" fmla="*/ 807969 h 807969"/>
                                    <a:gd name="connsiteX22" fmla="*/ 1620469 w 7716520"/>
                                    <a:gd name="connsiteY22" fmla="*/ 807969 h 807969"/>
                                    <a:gd name="connsiteX23" fmla="*/ 823095 w 7716520"/>
                                    <a:gd name="connsiteY23" fmla="*/ 807969 h 807969"/>
                                    <a:gd name="connsiteX24" fmla="*/ 0 w 7716520"/>
                                    <a:gd name="connsiteY24" fmla="*/ 807969 h 807969"/>
                                    <a:gd name="connsiteX25" fmla="*/ 0 w 7716520"/>
                                    <a:gd name="connsiteY25" fmla="*/ 395905 h 807969"/>
                                    <a:gd name="connsiteX26" fmla="*/ 0 w 7716520"/>
                                    <a:gd name="connsiteY26" fmla="*/ 0 h 807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07969"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17050" y="119812"/>
                                        <a:pt x="7702546" y="311939"/>
                                        <a:pt x="7716520" y="412064"/>
                                      </a:cubicBezTo>
                                      <a:cubicBezTo>
                                        <a:pt x="7730494" y="512189"/>
                                        <a:pt x="7698783" y="720702"/>
                                        <a:pt x="7716520" y="807969"/>
                                      </a:cubicBezTo>
                                      <a:cubicBezTo>
                                        <a:pt x="7508045" y="786816"/>
                                        <a:pt x="7283950" y="830063"/>
                                        <a:pt x="6919146" y="807969"/>
                                      </a:cubicBezTo>
                                      <a:cubicBezTo>
                                        <a:pt x="6554342" y="785875"/>
                                        <a:pt x="6483499" y="831844"/>
                                        <a:pt x="6276103" y="807969"/>
                                      </a:cubicBezTo>
                                      <a:cubicBezTo>
                                        <a:pt x="6068707" y="784094"/>
                                        <a:pt x="5881943" y="799843"/>
                                        <a:pt x="5633060" y="807969"/>
                                      </a:cubicBezTo>
                                      <a:cubicBezTo>
                                        <a:pt x="5384177" y="816095"/>
                                        <a:pt x="5301279" y="818184"/>
                                        <a:pt x="4990016" y="807969"/>
                                      </a:cubicBezTo>
                                      <a:cubicBezTo>
                                        <a:pt x="4678753" y="797754"/>
                                        <a:pt x="4644713" y="800724"/>
                                        <a:pt x="4346973" y="807969"/>
                                      </a:cubicBezTo>
                                      <a:cubicBezTo>
                                        <a:pt x="4049233" y="815214"/>
                                        <a:pt x="4055228" y="790341"/>
                                        <a:pt x="3781095" y="807969"/>
                                      </a:cubicBezTo>
                                      <a:cubicBezTo>
                                        <a:pt x="3506962" y="825597"/>
                                        <a:pt x="3393564" y="839930"/>
                                        <a:pt x="3060886" y="807969"/>
                                      </a:cubicBezTo>
                                      <a:cubicBezTo>
                                        <a:pt x="2728208" y="776008"/>
                                        <a:pt x="2660656" y="837633"/>
                                        <a:pt x="2417843" y="807969"/>
                                      </a:cubicBezTo>
                                      <a:cubicBezTo>
                                        <a:pt x="2175030" y="778305"/>
                                        <a:pt x="1938090" y="812636"/>
                                        <a:pt x="1620469" y="807969"/>
                                      </a:cubicBezTo>
                                      <a:cubicBezTo>
                                        <a:pt x="1302848" y="803302"/>
                                        <a:pt x="1220111" y="773580"/>
                                        <a:pt x="823095" y="807969"/>
                                      </a:cubicBezTo>
                                      <a:cubicBezTo>
                                        <a:pt x="426079" y="842358"/>
                                        <a:pt x="306208" y="815862"/>
                                        <a:pt x="0" y="807969"/>
                                      </a:cubicBezTo>
                                      <a:cubicBezTo>
                                        <a:pt x="-130" y="625752"/>
                                        <a:pt x="13275" y="523711"/>
                                        <a:pt x="0" y="395905"/>
                                      </a:cubicBezTo>
                                      <a:cubicBezTo>
                                        <a:pt x="-13275" y="268099"/>
                                        <a:pt x="19782" y="97368"/>
                                        <a:pt x="0" y="0"/>
                                      </a:cubicBezTo>
                                      <a:close/>
                                    </a:path>
                                    <a:path w="7716520" h="807969"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05310" y="153657"/>
                                        <a:pt x="7713389" y="253682"/>
                                        <a:pt x="7716520" y="395905"/>
                                      </a:cubicBezTo>
                                      <a:cubicBezTo>
                                        <a:pt x="7719651" y="538129"/>
                                        <a:pt x="7699466" y="645723"/>
                                        <a:pt x="7716520" y="807969"/>
                                      </a:cubicBezTo>
                                      <a:cubicBezTo>
                                        <a:pt x="7584340" y="840097"/>
                                        <a:pt x="7351923" y="823569"/>
                                        <a:pt x="7073477" y="807969"/>
                                      </a:cubicBezTo>
                                      <a:cubicBezTo>
                                        <a:pt x="6795031" y="792369"/>
                                        <a:pt x="6789739" y="824939"/>
                                        <a:pt x="6584764" y="807969"/>
                                      </a:cubicBezTo>
                                      <a:cubicBezTo>
                                        <a:pt x="6379789" y="790999"/>
                                        <a:pt x="6180293" y="831435"/>
                                        <a:pt x="5941720" y="807969"/>
                                      </a:cubicBezTo>
                                      <a:cubicBezTo>
                                        <a:pt x="5703147" y="784503"/>
                                        <a:pt x="5421160" y="786697"/>
                                        <a:pt x="5144347" y="807969"/>
                                      </a:cubicBezTo>
                                      <a:cubicBezTo>
                                        <a:pt x="4867534" y="829241"/>
                                        <a:pt x="4751766" y="820350"/>
                                        <a:pt x="4501303" y="807969"/>
                                      </a:cubicBezTo>
                                      <a:cubicBezTo>
                                        <a:pt x="4250840" y="795588"/>
                                        <a:pt x="4237304" y="794698"/>
                                        <a:pt x="4089756" y="807969"/>
                                      </a:cubicBezTo>
                                      <a:cubicBezTo>
                                        <a:pt x="3942208" y="821240"/>
                                        <a:pt x="3702969" y="808001"/>
                                        <a:pt x="3601043" y="807969"/>
                                      </a:cubicBezTo>
                                      <a:cubicBezTo>
                                        <a:pt x="3499117" y="807937"/>
                                        <a:pt x="3048422" y="805622"/>
                                        <a:pt x="2803669" y="807969"/>
                                      </a:cubicBezTo>
                                      <a:cubicBezTo>
                                        <a:pt x="2558916" y="810316"/>
                                        <a:pt x="2451147" y="831676"/>
                                        <a:pt x="2160626" y="807969"/>
                                      </a:cubicBezTo>
                                      <a:cubicBezTo>
                                        <a:pt x="1870105" y="784262"/>
                                        <a:pt x="1771257" y="789892"/>
                                        <a:pt x="1671913" y="807969"/>
                                      </a:cubicBezTo>
                                      <a:cubicBezTo>
                                        <a:pt x="1572569" y="826046"/>
                                        <a:pt x="1322588" y="783255"/>
                                        <a:pt x="1028869" y="807969"/>
                                      </a:cubicBezTo>
                                      <a:cubicBezTo>
                                        <a:pt x="735150" y="832683"/>
                                        <a:pt x="762570" y="805987"/>
                                        <a:pt x="617322" y="807969"/>
                                      </a:cubicBezTo>
                                      <a:cubicBezTo>
                                        <a:pt x="472074" y="809951"/>
                                        <a:pt x="276811" y="825836"/>
                                        <a:pt x="0" y="807969"/>
                                      </a:cubicBezTo>
                                      <a:cubicBezTo>
                                        <a:pt x="11596" y="650219"/>
                                        <a:pt x="-19419" y="485644"/>
                                        <a:pt x="0" y="403985"/>
                                      </a:cubicBezTo>
                                      <a:cubicBezTo>
                                        <a:pt x="19419" y="322326"/>
                                        <a:pt x="-32" y="169192"/>
                                        <a:pt x="0" y="0"/>
                                      </a:cubicBezTo>
                                      <a:close/>
                                    </a:path>
                                  </a:pathLst>
                                </a:custGeom>
                                <a:solidFill>
                                  <a:srgbClr val="E5E97A"/>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500168" name="Rectangle 5"/>
                              <wps:cNvSpPr/>
                              <wps:spPr>
                                <a:xfrm>
                                  <a:off x="0" y="219536"/>
                                  <a:ext cx="7716520" cy="570517"/>
                                </a:xfrm>
                                <a:custGeom>
                                  <a:avLst/>
                                  <a:gdLst>
                                    <a:gd name="connsiteX0" fmla="*/ 0 w 7716520"/>
                                    <a:gd name="connsiteY0" fmla="*/ 0 h 570517"/>
                                    <a:gd name="connsiteX1" fmla="*/ 411548 w 7716520"/>
                                    <a:gd name="connsiteY1" fmla="*/ 0 h 570517"/>
                                    <a:gd name="connsiteX2" fmla="*/ 1131756 w 7716520"/>
                                    <a:gd name="connsiteY2" fmla="*/ 0 h 570517"/>
                                    <a:gd name="connsiteX3" fmla="*/ 1543304 w 7716520"/>
                                    <a:gd name="connsiteY3" fmla="*/ 0 h 570517"/>
                                    <a:gd name="connsiteX4" fmla="*/ 2109182 w 7716520"/>
                                    <a:gd name="connsiteY4" fmla="*/ 0 h 570517"/>
                                    <a:gd name="connsiteX5" fmla="*/ 2906556 w 7716520"/>
                                    <a:gd name="connsiteY5" fmla="*/ 0 h 570517"/>
                                    <a:gd name="connsiteX6" fmla="*/ 3549599 w 7716520"/>
                                    <a:gd name="connsiteY6" fmla="*/ 0 h 570517"/>
                                    <a:gd name="connsiteX7" fmla="*/ 4269808 w 7716520"/>
                                    <a:gd name="connsiteY7" fmla="*/ 0 h 570517"/>
                                    <a:gd name="connsiteX8" fmla="*/ 4835686 w 7716520"/>
                                    <a:gd name="connsiteY8" fmla="*/ 0 h 570517"/>
                                    <a:gd name="connsiteX9" fmla="*/ 5478729 w 7716520"/>
                                    <a:gd name="connsiteY9" fmla="*/ 0 h 570517"/>
                                    <a:gd name="connsiteX10" fmla="*/ 6276103 w 7716520"/>
                                    <a:gd name="connsiteY10" fmla="*/ 0 h 570517"/>
                                    <a:gd name="connsiteX11" fmla="*/ 6764816 w 7716520"/>
                                    <a:gd name="connsiteY11" fmla="*/ 0 h 570517"/>
                                    <a:gd name="connsiteX12" fmla="*/ 7716520 w 7716520"/>
                                    <a:gd name="connsiteY12" fmla="*/ 0 h 570517"/>
                                    <a:gd name="connsiteX13" fmla="*/ 7716520 w 7716520"/>
                                    <a:gd name="connsiteY13" fmla="*/ 570517 h 570517"/>
                                    <a:gd name="connsiteX14" fmla="*/ 7150642 w 7716520"/>
                                    <a:gd name="connsiteY14" fmla="*/ 570517 h 570517"/>
                                    <a:gd name="connsiteX15" fmla="*/ 6739094 w 7716520"/>
                                    <a:gd name="connsiteY15" fmla="*/ 570517 h 570517"/>
                                    <a:gd name="connsiteX16" fmla="*/ 6096051 w 7716520"/>
                                    <a:gd name="connsiteY16" fmla="*/ 570517 h 570517"/>
                                    <a:gd name="connsiteX17" fmla="*/ 5607338 w 7716520"/>
                                    <a:gd name="connsiteY17" fmla="*/ 570517 h 570517"/>
                                    <a:gd name="connsiteX18" fmla="*/ 4964295 w 7716520"/>
                                    <a:gd name="connsiteY18" fmla="*/ 570517 h 570517"/>
                                    <a:gd name="connsiteX19" fmla="*/ 4321251 w 7716520"/>
                                    <a:gd name="connsiteY19" fmla="*/ 570517 h 570517"/>
                                    <a:gd name="connsiteX20" fmla="*/ 3678208 w 7716520"/>
                                    <a:gd name="connsiteY20" fmla="*/ 570517 h 570517"/>
                                    <a:gd name="connsiteX21" fmla="*/ 3035165 w 7716520"/>
                                    <a:gd name="connsiteY21" fmla="*/ 570517 h 570517"/>
                                    <a:gd name="connsiteX22" fmla="*/ 2469286 w 7716520"/>
                                    <a:gd name="connsiteY22" fmla="*/ 570517 h 570517"/>
                                    <a:gd name="connsiteX23" fmla="*/ 1749078 w 7716520"/>
                                    <a:gd name="connsiteY23" fmla="*/ 570517 h 570517"/>
                                    <a:gd name="connsiteX24" fmla="*/ 1106035 w 7716520"/>
                                    <a:gd name="connsiteY24" fmla="*/ 570517 h 570517"/>
                                    <a:gd name="connsiteX25" fmla="*/ 0 w 7716520"/>
                                    <a:gd name="connsiteY25" fmla="*/ 570517 h 570517"/>
                                    <a:gd name="connsiteX26" fmla="*/ 0 w 7716520"/>
                                    <a:gd name="connsiteY26" fmla="*/ 0 h 5705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570517"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734575" y="123626"/>
                                        <a:pt x="7704790" y="431438"/>
                                        <a:pt x="7716520" y="570517"/>
                                      </a:cubicBezTo>
                                      <a:cubicBezTo>
                                        <a:pt x="7591311" y="585712"/>
                                        <a:pt x="7393685" y="578618"/>
                                        <a:pt x="7150642" y="570517"/>
                                      </a:cubicBezTo>
                                      <a:cubicBezTo>
                                        <a:pt x="6907599" y="562416"/>
                                        <a:pt x="6856554" y="563869"/>
                                        <a:pt x="6739094" y="570517"/>
                                      </a:cubicBezTo>
                                      <a:cubicBezTo>
                                        <a:pt x="6621634" y="577165"/>
                                        <a:pt x="6301086" y="565906"/>
                                        <a:pt x="6096051" y="570517"/>
                                      </a:cubicBezTo>
                                      <a:cubicBezTo>
                                        <a:pt x="5891016" y="575128"/>
                                        <a:pt x="5802012" y="569016"/>
                                        <a:pt x="5607338" y="570517"/>
                                      </a:cubicBezTo>
                                      <a:cubicBezTo>
                                        <a:pt x="5412664" y="572018"/>
                                        <a:pt x="5171691" y="594392"/>
                                        <a:pt x="4964295" y="570517"/>
                                      </a:cubicBezTo>
                                      <a:cubicBezTo>
                                        <a:pt x="4756899" y="546642"/>
                                        <a:pt x="4573808" y="563671"/>
                                        <a:pt x="4321251" y="570517"/>
                                      </a:cubicBezTo>
                                      <a:cubicBezTo>
                                        <a:pt x="4068694" y="577363"/>
                                        <a:pt x="3984045" y="575889"/>
                                        <a:pt x="3678208" y="570517"/>
                                      </a:cubicBezTo>
                                      <a:cubicBezTo>
                                        <a:pt x="3372371" y="565145"/>
                                        <a:pt x="3332905" y="563272"/>
                                        <a:pt x="3035165" y="570517"/>
                                      </a:cubicBezTo>
                                      <a:cubicBezTo>
                                        <a:pt x="2737425" y="577762"/>
                                        <a:pt x="2747562" y="559308"/>
                                        <a:pt x="2469286" y="570517"/>
                                      </a:cubicBezTo>
                                      <a:cubicBezTo>
                                        <a:pt x="2191010" y="581726"/>
                                        <a:pt x="2075844" y="599245"/>
                                        <a:pt x="1749078" y="570517"/>
                                      </a:cubicBezTo>
                                      <a:cubicBezTo>
                                        <a:pt x="1422312" y="541789"/>
                                        <a:pt x="1348848" y="600181"/>
                                        <a:pt x="1106035" y="570517"/>
                                      </a:cubicBezTo>
                                      <a:cubicBezTo>
                                        <a:pt x="863222" y="540853"/>
                                        <a:pt x="400036" y="534087"/>
                                        <a:pt x="0" y="570517"/>
                                      </a:cubicBezTo>
                                      <a:cubicBezTo>
                                        <a:pt x="25297" y="360801"/>
                                        <a:pt x="10916" y="255543"/>
                                        <a:pt x="0" y="0"/>
                                      </a:cubicBezTo>
                                      <a:close/>
                                    </a:path>
                                    <a:path w="7716520" h="570517"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34888" y="226650"/>
                                        <a:pt x="7692457" y="359748"/>
                                        <a:pt x="7716520" y="570517"/>
                                      </a:cubicBezTo>
                                      <a:cubicBezTo>
                                        <a:pt x="7632413" y="571562"/>
                                        <a:pt x="7423486" y="572339"/>
                                        <a:pt x="7304972" y="570517"/>
                                      </a:cubicBezTo>
                                      <a:cubicBezTo>
                                        <a:pt x="7186458" y="568695"/>
                                        <a:pt x="6741738" y="596173"/>
                                        <a:pt x="6507599" y="570517"/>
                                      </a:cubicBezTo>
                                      <a:cubicBezTo>
                                        <a:pt x="6273460" y="544861"/>
                                        <a:pt x="6223861" y="587487"/>
                                        <a:pt x="6018886" y="570517"/>
                                      </a:cubicBezTo>
                                      <a:cubicBezTo>
                                        <a:pt x="5813911" y="553547"/>
                                        <a:pt x="5614415" y="593983"/>
                                        <a:pt x="5375842" y="570517"/>
                                      </a:cubicBezTo>
                                      <a:cubicBezTo>
                                        <a:pt x="5137269" y="547051"/>
                                        <a:pt x="4855282" y="549245"/>
                                        <a:pt x="4578469" y="570517"/>
                                      </a:cubicBezTo>
                                      <a:cubicBezTo>
                                        <a:pt x="4301656" y="591789"/>
                                        <a:pt x="4185888" y="582898"/>
                                        <a:pt x="3935425" y="570517"/>
                                      </a:cubicBezTo>
                                      <a:cubicBezTo>
                                        <a:pt x="3684962" y="558136"/>
                                        <a:pt x="3674203" y="562629"/>
                                        <a:pt x="3523877" y="570517"/>
                                      </a:cubicBezTo>
                                      <a:cubicBezTo>
                                        <a:pt x="3373551" y="578405"/>
                                        <a:pt x="3135346" y="561943"/>
                                        <a:pt x="3035165" y="570517"/>
                                      </a:cubicBezTo>
                                      <a:cubicBezTo>
                                        <a:pt x="2934984" y="579091"/>
                                        <a:pt x="2482544" y="568170"/>
                                        <a:pt x="2237791" y="570517"/>
                                      </a:cubicBezTo>
                                      <a:cubicBezTo>
                                        <a:pt x="1993038" y="572864"/>
                                        <a:pt x="1885635" y="594869"/>
                                        <a:pt x="1594747" y="570517"/>
                                      </a:cubicBezTo>
                                      <a:cubicBezTo>
                                        <a:pt x="1303859" y="546165"/>
                                        <a:pt x="1346507" y="593408"/>
                                        <a:pt x="1106035" y="570517"/>
                                      </a:cubicBezTo>
                                      <a:cubicBezTo>
                                        <a:pt x="865563" y="547626"/>
                                        <a:pt x="337839" y="573441"/>
                                        <a:pt x="0" y="570517"/>
                                      </a:cubicBezTo>
                                      <a:cubicBezTo>
                                        <a:pt x="-23896" y="349728"/>
                                        <a:pt x="-8832" y="125755"/>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256687" name="Rectangle 5"/>
                              <wps:cNvSpPr/>
                              <wps:spPr>
                                <a:xfrm>
                                  <a:off x="10630" y="1508090"/>
                                  <a:ext cx="7716520" cy="667139"/>
                                </a:xfrm>
                                <a:custGeom>
                                  <a:avLst/>
                                  <a:gdLst>
                                    <a:gd name="connsiteX0" fmla="*/ 0 w 7716520"/>
                                    <a:gd name="connsiteY0" fmla="*/ 0 h 667139"/>
                                    <a:gd name="connsiteX1" fmla="*/ 411548 w 7716520"/>
                                    <a:gd name="connsiteY1" fmla="*/ 0 h 667139"/>
                                    <a:gd name="connsiteX2" fmla="*/ 1131756 w 7716520"/>
                                    <a:gd name="connsiteY2" fmla="*/ 0 h 667139"/>
                                    <a:gd name="connsiteX3" fmla="*/ 1543304 w 7716520"/>
                                    <a:gd name="connsiteY3" fmla="*/ 0 h 667139"/>
                                    <a:gd name="connsiteX4" fmla="*/ 2109182 w 7716520"/>
                                    <a:gd name="connsiteY4" fmla="*/ 0 h 667139"/>
                                    <a:gd name="connsiteX5" fmla="*/ 2906556 w 7716520"/>
                                    <a:gd name="connsiteY5" fmla="*/ 0 h 667139"/>
                                    <a:gd name="connsiteX6" fmla="*/ 3549599 w 7716520"/>
                                    <a:gd name="connsiteY6" fmla="*/ 0 h 667139"/>
                                    <a:gd name="connsiteX7" fmla="*/ 4269808 w 7716520"/>
                                    <a:gd name="connsiteY7" fmla="*/ 0 h 667139"/>
                                    <a:gd name="connsiteX8" fmla="*/ 4835686 w 7716520"/>
                                    <a:gd name="connsiteY8" fmla="*/ 0 h 667139"/>
                                    <a:gd name="connsiteX9" fmla="*/ 5478729 w 7716520"/>
                                    <a:gd name="connsiteY9" fmla="*/ 0 h 667139"/>
                                    <a:gd name="connsiteX10" fmla="*/ 6276103 w 7716520"/>
                                    <a:gd name="connsiteY10" fmla="*/ 0 h 667139"/>
                                    <a:gd name="connsiteX11" fmla="*/ 6764816 w 7716520"/>
                                    <a:gd name="connsiteY11" fmla="*/ 0 h 667139"/>
                                    <a:gd name="connsiteX12" fmla="*/ 7716520 w 7716520"/>
                                    <a:gd name="connsiteY12" fmla="*/ 0 h 667139"/>
                                    <a:gd name="connsiteX13" fmla="*/ 7716520 w 7716520"/>
                                    <a:gd name="connsiteY13" fmla="*/ 667139 h 667139"/>
                                    <a:gd name="connsiteX14" fmla="*/ 7150642 w 7716520"/>
                                    <a:gd name="connsiteY14" fmla="*/ 667139 h 667139"/>
                                    <a:gd name="connsiteX15" fmla="*/ 6739094 w 7716520"/>
                                    <a:gd name="connsiteY15" fmla="*/ 667139 h 667139"/>
                                    <a:gd name="connsiteX16" fmla="*/ 6096051 w 7716520"/>
                                    <a:gd name="connsiteY16" fmla="*/ 667139 h 667139"/>
                                    <a:gd name="connsiteX17" fmla="*/ 5607338 w 7716520"/>
                                    <a:gd name="connsiteY17" fmla="*/ 667139 h 667139"/>
                                    <a:gd name="connsiteX18" fmla="*/ 4964295 w 7716520"/>
                                    <a:gd name="connsiteY18" fmla="*/ 667139 h 667139"/>
                                    <a:gd name="connsiteX19" fmla="*/ 4321251 w 7716520"/>
                                    <a:gd name="connsiteY19" fmla="*/ 667139 h 667139"/>
                                    <a:gd name="connsiteX20" fmla="*/ 3678208 w 7716520"/>
                                    <a:gd name="connsiteY20" fmla="*/ 667139 h 667139"/>
                                    <a:gd name="connsiteX21" fmla="*/ 3035165 w 7716520"/>
                                    <a:gd name="connsiteY21" fmla="*/ 667139 h 667139"/>
                                    <a:gd name="connsiteX22" fmla="*/ 2469286 w 7716520"/>
                                    <a:gd name="connsiteY22" fmla="*/ 667139 h 667139"/>
                                    <a:gd name="connsiteX23" fmla="*/ 1749078 w 7716520"/>
                                    <a:gd name="connsiteY23" fmla="*/ 667139 h 667139"/>
                                    <a:gd name="connsiteX24" fmla="*/ 1106035 w 7716520"/>
                                    <a:gd name="connsiteY24" fmla="*/ 667139 h 667139"/>
                                    <a:gd name="connsiteX25" fmla="*/ 0 w 7716520"/>
                                    <a:gd name="connsiteY25" fmla="*/ 667139 h 667139"/>
                                    <a:gd name="connsiteX26" fmla="*/ 0 w 7716520"/>
                                    <a:gd name="connsiteY26" fmla="*/ 0 h 6671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667139"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2957" y="-25614"/>
                                        <a:pt x="2906556" y="0"/>
                                      </a:cubicBezTo>
                                      <a:cubicBezTo>
                                        <a:pt x="3220155" y="25614"/>
                                        <a:pt x="3369539" y="-22393"/>
                                        <a:pt x="3549599" y="0"/>
                                      </a:cubicBezTo>
                                      <a:cubicBezTo>
                                        <a:pt x="3729659" y="22393"/>
                                        <a:pt x="4121702" y="-27983"/>
                                        <a:pt x="4269808" y="0"/>
                                      </a:cubicBezTo>
                                      <a:cubicBezTo>
                                        <a:pt x="4417914" y="27983"/>
                                        <a:pt x="4574137" y="15278"/>
                                        <a:pt x="4835686" y="0"/>
                                      </a:cubicBezTo>
                                      <a:cubicBezTo>
                                        <a:pt x="5097235" y="-15278"/>
                                        <a:pt x="5343603" y="-8489"/>
                                        <a:pt x="5478729" y="0"/>
                                      </a:cubicBezTo>
                                      <a:cubicBezTo>
                                        <a:pt x="5613855" y="8489"/>
                                        <a:pt x="5941314" y="-31675"/>
                                        <a:pt x="6276103" y="0"/>
                                      </a:cubicBezTo>
                                      <a:cubicBezTo>
                                        <a:pt x="6610892" y="31675"/>
                                        <a:pt x="6569342" y="-13002"/>
                                        <a:pt x="6764816" y="0"/>
                                      </a:cubicBezTo>
                                      <a:cubicBezTo>
                                        <a:pt x="6960290" y="13002"/>
                                        <a:pt x="7360605" y="11438"/>
                                        <a:pt x="7716520" y="0"/>
                                      </a:cubicBezTo>
                                      <a:cubicBezTo>
                                        <a:pt x="7689401" y="279848"/>
                                        <a:pt x="7721057" y="504916"/>
                                        <a:pt x="7716520" y="667139"/>
                                      </a:cubicBezTo>
                                      <a:cubicBezTo>
                                        <a:pt x="7591311" y="682334"/>
                                        <a:pt x="7393685" y="675240"/>
                                        <a:pt x="7150642" y="667139"/>
                                      </a:cubicBezTo>
                                      <a:cubicBezTo>
                                        <a:pt x="6907599" y="659038"/>
                                        <a:pt x="6856554" y="660491"/>
                                        <a:pt x="6739094" y="667139"/>
                                      </a:cubicBezTo>
                                      <a:cubicBezTo>
                                        <a:pt x="6621634" y="673787"/>
                                        <a:pt x="6301086" y="662528"/>
                                        <a:pt x="6096051" y="667139"/>
                                      </a:cubicBezTo>
                                      <a:cubicBezTo>
                                        <a:pt x="5891016" y="671750"/>
                                        <a:pt x="5802012" y="665638"/>
                                        <a:pt x="5607338" y="667139"/>
                                      </a:cubicBezTo>
                                      <a:cubicBezTo>
                                        <a:pt x="5412664" y="668640"/>
                                        <a:pt x="5171691" y="691014"/>
                                        <a:pt x="4964295" y="667139"/>
                                      </a:cubicBezTo>
                                      <a:cubicBezTo>
                                        <a:pt x="4756899" y="643264"/>
                                        <a:pt x="4573808" y="660293"/>
                                        <a:pt x="4321251" y="667139"/>
                                      </a:cubicBezTo>
                                      <a:cubicBezTo>
                                        <a:pt x="4068694" y="673985"/>
                                        <a:pt x="3984045" y="672511"/>
                                        <a:pt x="3678208" y="667139"/>
                                      </a:cubicBezTo>
                                      <a:cubicBezTo>
                                        <a:pt x="3372371" y="661767"/>
                                        <a:pt x="3332905" y="659894"/>
                                        <a:pt x="3035165" y="667139"/>
                                      </a:cubicBezTo>
                                      <a:cubicBezTo>
                                        <a:pt x="2737425" y="674384"/>
                                        <a:pt x="2747562" y="655930"/>
                                        <a:pt x="2469286" y="667139"/>
                                      </a:cubicBezTo>
                                      <a:cubicBezTo>
                                        <a:pt x="2191010" y="678348"/>
                                        <a:pt x="2075844" y="695867"/>
                                        <a:pt x="1749078" y="667139"/>
                                      </a:cubicBezTo>
                                      <a:cubicBezTo>
                                        <a:pt x="1422312" y="638411"/>
                                        <a:pt x="1348848" y="696803"/>
                                        <a:pt x="1106035" y="667139"/>
                                      </a:cubicBezTo>
                                      <a:cubicBezTo>
                                        <a:pt x="863222" y="637475"/>
                                        <a:pt x="400036" y="630709"/>
                                        <a:pt x="0" y="667139"/>
                                      </a:cubicBezTo>
                                      <a:cubicBezTo>
                                        <a:pt x="-2923" y="522898"/>
                                        <a:pt x="-4430" y="142169"/>
                                        <a:pt x="0" y="0"/>
                                      </a:cubicBezTo>
                                      <a:close/>
                                    </a:path>
                                    <a:path w="7716520" h="667139"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34664" y="188981"/>
                                        <a:pt x="7718861" y="480045"/>
                                        <a:pt x="7716520" y="667139"/>
                                      </a:cubicBezTo>
                                      <a:cubicBezTo>
                                        <a:pt x="7632413" y="668184"/>
                                        <a:pt x="7423486" y="668961"/>
                                        <a:pt x="7304972" y="667139"/>
                                      </a:cubicBezTo>
                                      <a:cubicBezTo>
                                        <a:pt x="7186458" y="665317"/>
                                        <a:pt x="6741738" y="692795"/>
                                        <a:pt x="6507599" y="667139"/>
                                      </a:cubicBezTo>
                                      <a:cubicBezTo>
                                        <a:pt x="6273460" y="641483"/>
                                        <a:pt x="6223861" y="684109"/>
                                        <a:pt x="6018886" y="667139"/>
                                      </a:cubicBezTo>
                                      <a:cubicBezTo>
                                        <a:pt x="5813911" y="650169"/>
                                        <a:pt x="5614415" y="690605"/>
                                        <a:pt x="5375842" y="667139"/>
                                      </a:cubicBezTo>
                                      <a:cubicBezTo>
                                        <a:pt x="5137269" y="643673"/>
                                        <a:pt x="4855282" y="645867"/>
                                        <a:pt x="4578469" y="667139"/>
                                      </a:cubicBezTo>
                                      <a:cubicBezTo>
                                        <a:pt x="4301656" y="688411"/>
                                        <a:pt x="4185888" y="679520"/>
                                        <a:pt x="3935425" y="667139"/>
                                      </a:cubicBezTo>
                                      <a:cubicBezTo>
                                        <a:pt x="3684962" y="654758"/>
                                        <a:pt x="3674203" y="659251"/>
                                        <a:pt x="3523877" y="667139"/>
                                      </a:cubicBezTo>
                                      <a:cubicBezTo>
                                        <a:pt x="3373551" y="675027"/>
                                        <a:pt x="3135346" y="658565"/>
                                        <a:pt x="3035165" y="667139"/>
                                      </a:cubicBezTo>
                                      <a:cubicBezTo>
                                        <a:pt x="2934984" y="675713"/>
                                        <a:pt x="2482544" y="664792"/>
                                        <a:pt x="2237791" y="667139"/>
                                      </a:cubicBezTo>
                                      <a:cubicBezTo>
                                        <a:pt x="1993038" y="669486"/>
                                        <a:pt x="1885635" y="691491"/>
                                        <a:pt x="1594747" y="667139"/>
                                      </a:cubicBezTo>
                                      <a:cubicBezTo>
                                        <a:pt x="1303859" y="642787"/>
                                        <a:pt x="1346507" y="690030"/>
                                        <a:pt x="1106035" y="667139"/>
                                      </a:cubicBezTo>
                                      <a:cubicBezTo>
                                        <a:pt x="865563" y="644248"/>
                                        <a:pt x="337839" y="670063"/>
                                        <a:pt x="0" y="667139"/>
                                      </a:cubicBezTo>
                                      <a:cubicBezTo>
                                        <a:pt x="27418" y="506560"/>
                                        <a:pt x="-3824" y="270508"/>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69604" name="Rectangle 5"/>
                              <wps:cNvSpPr/>
                              <wps:spPr>
                                <a:xfrm>
                                  <a:off x="10633" y="2965902"/>
                                  <a:ext cx="7716519" cy="686891"/>
                                </a:xfrm>
                                <a:custGeom>
                                  <a:avLst/>
                                  <a:gdLst>
                                    <a:gd name="connsiteX0" fmla="*/ 0 w 7716519"/>
                                    <a:gd name="connsiteY0" fmla="*/ 0 h 686891"/>
                                    <a:gd name="connsiteX1" fmla="*/ 411548 w 7716519"/>
                                    <a:gd name="connsiteY1" fmla="*/ 0 h 686891"/>
                                    <a:gd name="connsiteX2" fmla="*/ 1131756 w 7716519"/>
                                    <a:gd name="connsiteY2" fmla="*/ 0 h 686891"/>
                                    <a:gd name="connsiteX3" fmla="*/ 1543304 w 7716519"/>
                                    <a:gd name="connsiteY3" fmla="*/ 0 h 686891"/>
                                    <a:gd name="connsiteX4" fmla="*/ 2109182 w 7716519"/>
                                    <a:gd name="connsiteY4" fmla="*/ 0 h 686891"/>
                                    <a:gd name="connsiteX5" fmla="*/ 2906555 w 7716519"/>
                                    <a:gd name="connsiteY5" fmla="*/ 0 h 686891"/>
                                    <a:gd name="connsiteX6" fmla="*/ 3549599 w 7716519"/>
                                    <a:gd name="connsiteY6" fmla="*/ 0 h 686891"/>
                                    <a:gd name="connsiteX7" fmla="*/ 4269807 w 7716519"/>
                                    <a:gd name="connsiteY7" fmla="*/ 0 h 686891"/>
                                    <a:gd name="connsiteX8" fmla="*/ 4835685 w 7716519"/>
                                    <a:gd name="connsiteY8" fmla="*/ 0 h 686891"/>
                                    <a:gd name="connsiteX9" fmla="*/ 5478728 w 7716519"/>
                                    <a:gd name="connsiteY9" fmla="*/ 0 h 686891"/>
                                    <a:gd name="connsiteX10" fmla="*/ 6276102 w 7716519"/>
                                    <a:gd name="connsiteY10" fmla="*/ 0 h 686891"/>
                                    <a:gd name="connsiteX11" fmla="*/ 6764815 w 7716519"/>
                                    <a:gd name="connsiteY11" fmla="*/ 0 h 686891"/>
                                    <a:gd name="connsiteX12" fmla="*/ 7716519 w 7716519"/>
                                    <a:gd name="connsiteY12" fmla="*/ 0 h 686891"/>
                                    <a:gd name="connsiteX13" fmla="*/ 7716519 w 7716519"/>
                                    <a:gd name="connsiteY13" fmla="*/ 686891 h 686891"/>
                                    <a:gd name="connsiteX14" fmla="*/ 7150641 w 7716519"/>
                                    <a:gd name="connsiteY14" fmla="*/ 686891 h 686891"/>
                                    <a:gd name="connsiteX15" fmla="*/ 6739093 w 7716519"/>
                                    <a:gd name="connsiteY15" fmla="*/ 686891 h 686891"/>
                                    <a:gd name="connsiteX16" fmla="*/ 6096050 w 7716519"/>
                                    <a:gd name="connsiteY16" fmla="*/ 686891 h 686891"/>
                                    <a:gd name="connsiteX17" fmla="*/ 5607337 w 7716519"/>
                                    <a:gd name="connsiteY17" fmla="*/ 686891 h 686891"/>
                                    <a:gd name="connsiteX18" fmla="*/ 4964294 w 7716519"/>
                                    <a:gd name="connsiteY18" fmla="*/ 686891 h 686891"/>
                                    <a:gd name="connsiteX19" fmla="*/ 4321251 w 7716519"/>
                                    <a:gd name="connsiteY19" fmla="*/ 686891 h 686891"/>
                                    <a:gd name="connsiteX20" fmla="*/ 3678207 w 7716519"/>
                                    <a:gd name="connsiteY20" fmla="*/ 686891 h 686891"/>
                                    <a:gd name="connsiteX21" fmla="*/ 3035164 w 7716519"/>
                                    <a:gd name="connsiteY21" fmla="*/ 686891 h 686891"/>
                                    <a:gd name="connsiteX22" fmla="*/ 2469286 w 7716519"/>
                                    <a:gd name="connsiteY22" fmla="*/ 686891 h 686891"/>
                                    <a:gd name="connsiteX23" fmla="*/ 1749078 w 7716519"/>
                                    <a:gd name="connsiteY23" fmla="*/ 686891 h 686891"/>
                                    <a:gd name="connsiteX24" fmla="*/ 1106034 w 7716519"/>
                                    <a:gd name="connsiteY24" fmla="*/ 686891 h 686891"/>
                                    <a:gd name="connsiteX25" fmla="*/ 0 w 7716519"/>
                                    <a:gd name="connsiteY25" fmla="*/ 686891 h 686891"/>
                                    <a:gd name="connsiteX26" fmla="*/ 0 w 7716519"/>
                                    <a:gd name="connsiteY26" fmla="*/ 0 h 6868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19" h="686891" fill="none" extrusionOk="0">
                                      <a:moveTo>
                                        <a:pt x="0" y="0"/>
                                      </a:moveTo>
                                      <a:cubicBezTo>
                                        <a:pt x="176995" y="-12756"/>
                                        <a:pt x="296319" y="5659"/>
                                        <a:pt x="411548" y="0"/>
                                      </a:cubicBezTo>
                                      <a:cubicBezTo>
                                        <a:pt x="526777" y="-5659"/>
                                        <a:pt x="933916" y="6179"/>
                                        <a:pt x="1131756" y="0"/>
                                      </a:cubicBezTo>
                                      <a:cubicBezTo>
                                        <a:pt x="1329596" y="-6179"/>
                                        <a:pt x="1369455" y="304"/>
                                        <a:pt x="1543304" y="0"/>
                                      </a:cubicBezTo>
                                      <a:cubicBezTo>
                                        <a:pt x="1717153" y="-304"/>
                                        <a:pt x="1953460" y="15550"/>
                                        <a:pt x="2109182" y="0"/>
                                      </a:cubicBezTo>
                                      <a:cubicBezTo>
                                        <a:pt x="2264904" y="-15550"/>
                                        <a:pt x="2596022" y="-23009"/>
                                        <a:pt x="2906555" y="0"/>
                                      </a:cubicBezTo>
                                      <a:cubicBezTo>
                                        <a:pt x="3217088" y="23009"/>
                                        <a:pt x="3364229" y="-23235"/>
                                        <a:pt x="3549599" y="0"/>
                                      </a:cubicBezTo>
                                      <a:cubicBezTo>
                                        <a:pt x="3734969" y="23235"/>
                                        <a:pt x="4125367" y="-22096"/>
                                        <a:pt x="4269807" y="0"/>
                                      </a:cubicBezTo>
                                      <a:cubicBezTo>
                                        <a:pt x="4414247" y="22096"/>
                                        <a:pt x="4574136" y="15278"/>
                                        <a:pt x="4835685" y="0"/>
                                      </a:cubicBezTo>
                                      <a:cubicBezTo>
                                        <a:pt x="5097234" y="-15278"/>
                                        <a:pt x="5343602" y="-8489"/>
                                        <a:pt x="5478728" y="0"/>
                                      </a:cubicBezTo>
                                      <a:cubicBezTo>
                                        <a:pt x="5613854" y="8489"/>
                                        <a:pt x="5941313" y="-31675"/>
                                        <a:pt x="6276102" y="0"/>
                                      </a:cubicBezTo>
                                      <a:cubicBezTo>
                                        <a:pt x="6610891" y="31675"/>
                                        <a:pt x="6569341" y="-13002"/>
                                        <a:pt x="6764815" y="0"/>
                                      </a:cubicBezTo>
                                      <a:cubicBezTo>
                                        <a:pt x="6960289" y="13002"/>
                                        <a:pt x="7360604" y="11438"/>
                                        <a:pt x="7716519" y="0"/>
                                      </a:cubicBezTo>
                                      <a:cubicBezTo>
                                        <a:pt x="7735253" y="262857"/>
                                        <a:pt x="7707425" y="451494"/>
                                        <a:pt x="7716519" y="686891"/>
                                      </a:cubicBezTo>
                                      <a:cubicBezTo>
                                        <a:pt x="7591310" y="702086"/>
                                        <a:pt x="7393684" y="694992"/>
                                        <a:pt x="7150641" y="686891"/>
                                      </a:cubicBezTo>
                                      <a:cubicBezTo>
                                        <a:pt x="6907598" y="678790"/>
                                        <a:pt x="6856553" y="680243"/>
                                        <a:pt x="6739093" y="686891"/>
                                      </a:cubicBezTo>
                                      <a:cubicBezTo>
                                        <a:pt x="6621633" y="693539"/>
                                        <a:pt x="6301085" y="682280"/>
                                        <a:pt x="6096050" y="686891"/>
                                      </a:cubicBezTo>
                                      <a:cubicBezTo>
                                        <a:pt x="5891015" y="691502"/>
                                        <a:pt x="5802011" y="685390"/>
                                        <a:pt x="5607337" y="686891"/>
                                      </a:cubicBezTo>
                                      <a:cubicBezTo>
                                        <a:pt x="5412663" y="688392"/>
                                        <a:pt x="5171690" y="710766"/>
                                        <a:pt x="4964294" y="686891"/>
                                      </a:cubicBezTo>
                                      <a:cubicBezTo>
                                        <a:pt x="4756898" y="663016"/>
                                        <a:pt x="4570134" y="678765"/>
                                        <a:pt x="4321251" y="686891"/>
                                      </a:cubicBezTo>
                                      <a:cubicBezTo>
                                        <a:pt x="4072368" y="695017"/>
                                        <a:pt x="3989470" y="697106"/>
                                        <a:pt x="3678207" y="686891"/>
                                      </a:cubicBezTo>
                                      <a:cubicBezTo>
                                        <a:pt x="3366944" y="676676"/>
                                        <a:pt x="3332904" y="679646"/>
                                        <a:pt x="3035164" y="686891"/>
                                      </a:cubicBezTo>
                                      <a:cubicBezTo>
                                        <a:pt x="2737424" y="694136"/>
                                        <a:pt x="2743419" y="669263"/>
                                        <a:pt x="2469286" y="686891"/>
                                      </a:cubicBezTo>
                                      <a:cubicBezTo>
                                        <a:pt x="2195153" y="704519"/>
                                        <a:pt x="2075844" y="715619"/>
                                        <a:pt x="1749078" y="686891"/>
                                      </a:cubicBezTo>
                                      <a:cubicBezTo>
                                        <a:pt x="1422312" y="658163"/>
                                        <a:pt x="1350240" y="656350"/>
                                        <a:pt x="1106034" y="686891"/>
                                      </a:cubicBezTo>
                                      <a:cubicBezTo>
                                        <a:pt x="861828" y="717432"/>
                                        <a:pt x="397969" y="649863"/>
                                        <a:pt x="0" y="686891"/>
                                      </a:cubicBezTo>
                                      <a:cubicBezTo>
                                        <a:pt x="28668" y="450208"/>
                                        <a:pt x="-26582" y="146459"/>
                                        <a:pt x="0" y="0"/>
                                      </a:cubicBezTo>
                                      <a:close/>
                                    </a:path>
                                    <a:path w="7716519" h="686891" stroke="0" extrusionOk="0">
                                      <a:moveTo>
                                        <a:pt x="0" y="0"/>
                                      </a:moveTo>
                                      <a:cubicBezTo>
                                        <a:pt x="263245" y="-24672"/>
                                        <a:pt x="434690" y="-24625"/>
                                        <a:pt x="565878" y="0"/>
                                      </a:cubicBezTo>
                                      <a:cubicBezTo>
                                        <a:pt x="697066" y="24625"/>
                                        <a:pt x="794700" y="-19421"/>
                                        <a:pt x="977426" y="0"/>
                                      </a:cubicBezTo>
                                      <a:cubicBezTo>
                                        <a:pt x="1160152" y="19421"/>
                                        <a:pt x="1607378" y="25268"/>
                                        <a:pt x="1774799" y="0"/>
                                      </a:cubicBezTo>
                                      <a:cubicBezTo>
                                        <a:pt x="1942220" y="-25268"/>
                                        <a:pt x="2212973" y="23013"/>
                                        <a:pt x="2340677" y="0"/>
                                      </a:cubicBezTo>
                                      <a:cubicBezTo>
                                        <a:pt x="2468381" y="-23013"/>
                                        <a:pt x="2698506" y="12262"/>
                                        <a:pt x="2906555" y="0"/>
                                      </a:cubicBezTo>
                                      <a:cubicBezTo>
                                        <a:pt x="3114604" y="-12262"/>
                                        <a:pt x="3434642" y="36419"/>
                                        <a:pt x="3703929" y="0"/>
                                      </a:cubicBezTo>
                                      <a:cubicBezTo>
                                        <a:pt x="3973216" y="-36419"/>
                                        <a:pt x="4031745" y="19821"/>
                                        <a:pt x="4192642" y="0"/>
                                      </a:cubicBezTo>
                                      <a:cubicBezTo>
                                        <a:pt x="4353539" y="-19821"/>
                                        <a:pt x="4768904" y="996"/>
                                        <a:pt x="4990016" y="0"/>
                                      </a:cubicBezTo>
                                      <a:cubicBezTo>
                                        <a:pt x="5211128" y="-996"/>
                                        <a:pt x="5502510" y="-9278"/>
                                        <a:pt x="5787389" y="0"/>
                                      </a:cubicBezTo>
                                      <a:cubicBezTo>
                                        <a:pt x="6072268" y="9278"/>
                                        <a:pt x="6243010" y="-5566"/>
                                        <a:pt x="6430433" y="0"/>
                                      </a:cubicBezTo>
                                      <a:cubicBezTo>
                                        <a:pt x="6617856" y="5566"/>
                                        <a:pt x="7378098" y="22410"/>
                                        <a:pt x="7716519" y="0"/>
                                      </a:cubicBezTo>
                                      <a:cubicBezTo>
                                        <a:pt x="7732664" y="193526"/>
                                        <a:pt x="7689791" y="412993"/>
                                        <a:pt x="7716519" y="686891"/>
                                      </a:cubicBezTo>
                                      <a:cubicBezTo>
                                        <a:pt x="7632412" y="687936"/>
                                        <a:pt x="7423485" y="688713"/>
                                        <a:pt x="7304971" y="686891"/>
                                      </a:cubicBezTo>
                                      <a:cubicBezTo>
                                        <a:pt x="7186457" y="685069"/>
                                        <a:pt x="6741737" y="712547"/>
                                        <a:pt x="6507598" y="686891"/>
                                      </a:cubicBezTo>
                                      <a:cubicBezTo>
                                        <a:pt x="6273459" y="661235"/>
                                        <a:pt x="6223860" y="703861"/>
                                        <a:pt x="6018885" y="686891"/>
                                      </a:cubicBezTo>
                                      <a:cubicBezTo>
                                        <a:pt x="5813910" y="669921"/>
                                        <a:pt x="5608653" y="704300"/>
                                        <a:pt x="5375842" y="686891"/>
                                      </a:cubicBezTo>
                                      <a:cubicBezTo>
                                        <a:pt x="5143031" y="669482"/>
                                        <a:pt x="4856759" y="667329"/>
                                        <a:pt x="4578468" y="686891"/>
                                      </a:cubicBezTo>
                                      <a:cubicBezTo>
                                        <a:pt x="4300177" y="706453"/>
                                        <a:pt x="4181794" y="697574"/>
                                        <a:pt x="3935425" y="686891"/>
                                      </a:cubicBezTo>
                                      <a:cubicBezTo>
                                        <a:pt x="3689056" y="676208"/>
                                        <a:pt x="3674203" y="679003"/>
                                        <a:pt x="3523877" y="686891"/>
                                      </a:cubicBezTo>
                                      <a:cubicBezTo>
                                        <a:pt x="3373551" y="694779"/>
                                        <a:pt x="3137090" y="686923"/>
                                        <a:pt x="3035164" y="686891"/>
                                      </a:cubicBezTo>
                                      <a:cubicBezTo>
                                        <a:pt x="2933238" y="686859"/>
                                        <a:pt x="2478835" y="684414"/>
                                        <a:pt x="2237791" y="686891"/>
                                      </a:cubicBezTo>
                                      <a:cubicBezTo>
                                        <a:pt x="1996747" y="689368"/>
                                        <a:pt x="1885635" y="711243"/>
                                        <a:pt x="1594747" y="686891"/>
                                      </a:cubicBezTo>
                                      <a:cubicBezTo>
                                        <a:pt x="1303859" y="662539"/>
                                        <a:pt x="1205378" y="668814"/>
                                        <a:pt x="1106034" y="686891"/>
                                      </a:cubicBezTo>
                                      <a:cubicBezTo>
                                        <a:pt x="1006690" y="704968"/>
                                        <a:pt x="337131" y="688851"/>
                                        <a:pt x="0" y="686891"/>
                                      </a:cubicBezTo>
                                      <a:cubicBezTo>
                                        <a:pt x="-18628" y="354639"/>
                                        <a:pt x="16299" y="261442"/>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725431" name="Rectangle 5"/>
                              <wps:cNvSpPr/>
                              <wps:spPr>
                                <a:xfrm>
                                  <a:off x="0" y="4327195"/>
                                  <a:ext cx="7716520" cy="831404"/>
                                </a:xfrm>
                                <a:custGeom>
                                  <a:avLst/>
                                  <a:gdLst>
                                    <a:gd name="connsiteX0" fmla="*/ 0 w 7716520"/>
                                    <a:gd name="connsiteY0" fmla="*/ 0 h 831404"/>
                                    <a:gd name="connsiteX1" fmla="*/ 797374 w 7716520"/>
                                    <a:gd name="connsiteY1" fmla="*/ 0 h 831404"/>
                                    <a:gd name="connsiteX2" fmla="*/ 1594747 w 7716520"/>
                                    <a:gd name="connsiteY2" fmla="*/ 0 h 831404"/>
                                    <a:gd name="connsiteX3" fmla="*/ 2237791 w 7716520"/>
                                    <a:gd name="connsiteY3" fmla="*/ 0 h 831404"/>
                                    <a:gd name="connsiteX4" fmla="*/ 2957999 w 7716520"/>
                                    <a:gd name="connsiteY4" fmla="*/ 0 h 831404"/>
                                    <a:gd name="connsiteX5" fmla="*/ 3523877 w 7716520"/>
                                    <a:gd name="connsiteY5" fmla="*/ 0 h 831404"/>
                                    <a:gd name="connsiteX6" fmla="*/ 4166921 w 7716520"/>
                                    <a:gd name="connsiteY6" fmla="*/ 0 h 831404"/>
                                    <a:gd name="connsiteX7" fmla="*/ 4964295 w 7716520"/>
                                    <a:gd name="connsiteY7" fmla="*/ 0 h 831404"/>
                                    <a:gd name="connsiteX8" fmla="*/ 5453007 w 7716520"/>
                                    <a:gd name="connsiteY8" fmla="*/ 0 h 831404"/>
                                    <a:gd name="connsiteX9" fmla="*/ 6173216 w 7716520"/>
                                    <a:gd name="connsiteY9" fmla="*/ 0 h 831404"/>
                                    <a:gd name="connsiteX10" fmla="*/ 6661929 w 7716520"/>
                                    <a:gd name="connsiteY10" fmla="*/ 0 h 831404"/>
                                    <a:gd name="connsiteX11" fmla="*/ 7716520 w 7716520"/>
                                    <a:gd name="connsiteY11" fmla="*/ 0 h 831404"/>
                                    <a:gd name="connsiteX12" fmla="*/ 7716520 w 7716520"/>
                                    <a:gd name="connsiteY12" fmla="*/ 424016 h 831404"/>
                                    <a:gd name="connsiteX13" fmla="*/ 7716520 w 7716520"/>
                                    <a:gd name="connsiteY13" fmla="*/ 831404 h 831404"/>
                                    <a:gd name="connsiteX14" fmla="*/ 6919146 w 7716520"/>
                                    <a:gd name="connsiteY14" fmla="*/ 831404 h 831404"/>
                                    <a:gd name="connsiteX15" fmla="*/ 6276103 w 7716520"/>
                                    <a:gd name="connsiteY15" fmla="*/ 831404 h 831404"/>
                                    <a:gd name="connsiteX16" fmla="*/ 5633060 w 7716520"/>
                                    <a:gd name="connsiteY16" fmla="*/ 831404 h 831404"/>
                                    <a:gd name="connsiteX17" fmla="*/ 4990016 w 7716520"/>
                                    <a:gd name="connsiteY17" fmla="*/ 831404 h 831404"/>
                                    <a:gd name="connsiteX18" fmla="*/ 4346973 w 7716520"/>
                                    <a:gd name="connsiteY18" fmla="*/ 831404 h 831404"/>
                                    <a:gd name="connsiteX19" fmla="*/ 3781095 w 7716520"/>
                                    <a:gd name="connsiteY19" fmla="*/ 831404 h 831404"/>
                                    <a:gd name="connsiteX20" fmla="*/ 3060886 w 7716520"/>
                                    <a:gd name="connsiteY20" fmla="*/ 831404 h 831404"/>
                                    <a:gd name="connsiteX21" fmla="*/ 2417843 w 7716520"/>
                                    <a:gd name="connsiteY21" fmla="*/ 831404 h 831404"/>
                                    <a:gd name="connsiteX22" fmla="*/ 1620469 w 7716520"/>
                                    <a:gd name="connsiteY22" fmla="*/ 831404 h 831404"/>
                                    <a:gd name="connsiteX23" fmla="*/ 823095 w 7716520"/>
                                    <a:gd name="connsiteY23" fmla="*/ 831404 h 831404"/>
                                    <a:gd name="connsiteX24" fmla="*/ 0 w 7716520"/>
                                    <a:gd name="connsiteY24" fmla="*/ 831404 h 831404"/>
                                    <a:gd name="connsiteX25" fmla="*/ 0 w 7716520"/>
                                    <a:gd name="connsiteY25" fmla="*/ 407388 h 831404"/>
                                    <a:gd name="connsiteX26" fmla="*/ 0 w 7716520"/>
                                    <a:gd name="connsiteY26" fmla="*/ 0 h 8314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31404"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06964" y="202895"/>
                                        <a:pt x="7697121" y="234334"/>
                                        <a:pt x="7716520" y="424016"/>
                                      </a:cubicBezTo>
                                      <a:cubicBezTo>
                                        <a:pt x="7735919" y="613698"/>
                                        <a:pt x="7719983" y="696217"/>
                                        <a:pt x="7716520" y="831404"/>
                                      </a:cubicBezTo>
                                      <a:cubicBezTo>
                                        <a:pt x="7508045" y="810251"/>
                                        <a:pt x="7283950" y="853498"/>
                                        <a:pt x="6919146" y="831404"/>
                                      </a:cubicBezTo>
                                      <a:cubicBezTo>
                                        <a:pt x="6554342" y="809310"/>
                                        <a:pt x="6483499" y="855279"/>
                                        <a:pt x="6276103" y="831404"/>
                                      </a:cubicBezTo>
                                      <a:cubicBezTo>
                                        <a:pt x="6068707" y="807529"/>
                                        <a:pt x="5881943" y="823278"/>
                                        <a:pt x="5633060" y="831404"/>
                                      </a:cubicBezTo>
                                      <a:cubicBezTo>
                                        <a:pt x="5384177" y="839530"/>
                                        <a:pt x="5301279" y="841619"/>
                                        <a:pt x="4990016" y="831404"/>
                                      </a:cubicBezTo>
                                      <a:cubicBezTo>
                                        <a:pt x="4678753" y="821189"/>
                                        <a:pt x="4644713" y="824159"/>
                                        <a:pt x="4346973" y="831404"/>
                                      </a:cubicBezTo>
                                      <a:cubicBezTo>
                                        <a:pt x="4049233" y="838649"/>
                                        <a:pt x="4055228" y="813776"/>
                                        <a:pt x="3781095" y="831404"/>
                                      </a:cubicBezTo>
                                      <a:cubicBezTo>
                                        <a:pt x="3506962" y="849032"/>
                                        <a:pt x="3393564" y="863365"/>
                                        <a:pt x="3060886" y="831404"/>
                                      </a:cubicBezTo>
                                      <a:cubicBezTo>
                                        <a:pt x="2728208" y="799443"/>
                                        <a:pt x="2660656" y="861068"/>
                                        <a:pt x="2417843" y="831404"/>
                                      </a:cubicBezTo>
                                      <a:cubicBezTo>
                                        <a:pt x="2175030" y="801740"/>
                                        <a:pt x="1938090" y="836071"/>
                                        <a:pt x="1620469" y="831404"/>
                                      </a:cubicBezTo>
                                      <a:cubicBezTo>
                                        <a:pt x="1302848" y="826737"/>
                                        <a:pt x="1220111" y="797015"/>
                                        <a:pt x="823095" y="831404"/>
                                      </a:cubicBezTo>
                                      <a:cubicBezTo>
                                        <a:pt x="426079" y="865793"/>
                                        <a:pt x="306208" y="839297"/>
                                        <a:pt x="0" y="831404"/>
                                      </a:cubicBezTo>
                                      <a:cubicBezTo>
                                        <a:pt x="-7470" y="733581"/>
                                        <a:pt x="-16001" y="580446"/>
                                        <a:pt x="0" y="407388"/>
                                      </a:cubicBezTo>
                                      <a:cubicBezTo>
                                        <a:pt x="16001" y="234330"/>
                                        <a:pt x="-13445" y="139586"/>
                                        <a:pt x="0" y="0"/>
                                      </a:cubicBezTo>
                                      <a:close/>
                                    </a:path>
                                    <a:path w="7716520" h="831404"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17972" y="171916"/>
                                        <a:pt x="7699068" y="278256"/>
                                        <a:pt x="7716520" y="407388"/>
                                      </a:cubicBezTo>
                                      <a:cubicBezTo>
                                        <a:pt x="7733972" y="536520"/>
                                        <a:pt x="7728286" y="683268"/>
                                        <a:pt x="7716520" y="831404"/>
                                      </a:cubicBezTo>
                                      <a:cubicBezTo>
                                        <a:pt x="7584340" y="863532"/>
                                        <a:pt x="7351923" y="847004"/>
                                        <a:pt x="7073477" y="831404"/>
                                      </a:cubicBezTo>
                                      <a:cubicBezTo>
                                        <a:pt x="6795031" y="815804"/>
                                        <a:pt x="6789739" y="848374"/>
                                        <a:pt x="6584764" y="831404"/>
                                      </a:cubicBezTo>
                                      <a:cubicBezTo>
                                        <a:pt x="6379789" y="814434"/>
                                        <a:pt x="6180293" y="854870"/>
                                        <a:pt x="5941720" y="831404"/>
                                      </a:cubicBezTo>
                                      <a:cubicBezTo>
                                        <a:pt x="5703147" y="807938"/>
                                        <a:pt x="5421160" y="810132"/>
                                        <a:pt x="5144347" y="831404"/>
                                      </a:cubicBezTo>
                                      <a:cubicBezTo>
                                        <a:pt x="4867534" y="852676"/>
                                        <a:pt x="4751766" y="843785"/>
                                        <a:pt x="4501303" y="831404"/>
                                      </a:cubicBezTo>
                                      <a:cubicBezTo>
                                        <a:pt x="4250840" y="819023"/>
                                        <a:pt x="4237304" y="818133"/>
                                        <a:pt x="4089756" y="831404"/>
                                      </a:cubicBezTo>
                                      <a:cubicBezTo>
                                        <a:pt x="3942208" y="844675"/>
                                        <a:pt x="3702969" y="831436"/>
                                        <a:pt x="3601043" y="831404"/>
                                      </a:cubicBezTo>
                                      <a:cubicBezTo>
                                        <a:pt x="3499117" y="831372"/>
                                        <a:pt x="3048422" y="829057"/>
                                        <a:pt x="2803669" y="831404"/>
                                      </a:cubicBezTo>
                                      <a:cubicBezTo>
                                        <a:pt x="2558916" y="833751"/>
                                        <a:pt x="2451147" y="855111"/>
                                        <a:pt x="2160626" y="831404"/>
                                      </a:cubicBezTo>
                                      <a:cubicBezTo>
                                        <a:pt x="1870105" y="807697"/>
                                        <a:pt x="1771257" y="813327"/>
                                        <a:pt x="1671913" y="831404"/>
                                      </a:cubicBezTo>
                                      <a:cubicBezTo>
                                        <a:pt x="1572569" y="849481"/>
                                        <a:pt x="1322588" y="806690"/>
                                        <a:pt x="1028869" y="831404"/>
                                      </a:cubicBezTo>
                                      <a:cubicBezTo>
                                        <a:pt x="735150" y="856118"/>
                                        <a:pt x="762570" y="829422"/>
                                        <a:pt x="617322" y="831404"/>
                                      </a:cubicBezTo>
                                      <a:cubicBezTo>
                                        <a:pt x="472074" y="833386"/>
                                        <a:pt x="276811" y="849271"/>
                                        <a:pt x="0" y="831404"/>
                                      </a:cubicBezTo>
                                      <a:cubicBezTo>
                                        <a:pt x="-2304" y="646375"/>
                                        <a:pt x="2491" y="514596"/>
                                        <a:pt x="0" y="415702"/>
                                      </a:cubicBezTo>
                                      <a:cubicBezTo>
                                        <a:pt x="-2491" y="316808"/>
                                        <a:pt x="17680" y="86274"/>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23171" name="Rectangle 5"/>
                              <wps:cNvSpPr/>
                              <wps:spPr>
                                <a:xfrm>
                                  <a:off x="0" y="6595435"/>
                                  <a:ext cx="7716520" cy="831404"/>
                                </a:xfrm>
                                <a:custGeom>
                                  <a:avLst/>
                                  <a:gdLst>
                                    <a:gd name="connsiteX0" fmla="*/ 0 w 7716520"/>
                                    <a:gd name="connsiteY0" fmla="*/ 0 h 831404"/>
                                    <a:gd name="connsiteX1" fmla="*/ 797374 w 7716520"/>
                                    <a:gd name="connsiteY1" fmla="*/ 0 h 831404"/>
                                    <a:gd name="connsiteX2" fmla="*/ 1594747 w 7716520"/>
                                    <a:gd name="connsiteY2" fmla="*/ 0 h 831404"/>
                                    <a:gd name="connsiteX3" fmla="*/ 2237791 w 7716520"/>
                                    <a:gd name="connsiteY3" fmla="*/ 0 h 831404"/>
                                    <a:gd name="connsiteX4" fmla="*/ 2957999 w 7716520"/>
                                    <a:gd name="connsiteY4" fmla="*/ 0 h 831404"/>
                                    <a:gd name="connsiteX5" fmla="*/ 3523877 w 7716520"/>
                                    <a:gd name="connsiteY5" fmla="*/ 0 h 831404"/>
                                    <a:gd name="connsiteX6" fmla="*/ 4166921 w 7716520"/>
                                    <a:gd name="connsiteY6" fmla="*/ 0 h 831404"/>
                                    <a:gd name="connsiteX7" fmla="*/ 4964295 w 7716520"/>
                                    <a:gd name="connsiteY7" fmla="*/ 0 h 831404"/>
                                    <a:gd name="connsiteX8" fmla="*/ 5453007 w 7716520"/>
                                    <a:gd name="connsiteY8" fmla="*/ 0 h 831404"/>
                                    <a:gd name="connsiteX9" fmla="*/ 6173216 w 7716520"/>
                                    <a:gd name="connsiteY9" fmla="*/ 0 h 831404"/>
                                    <a:gd name="connsiteX10" fmla="*/ 6661929 w 7716520"/>
                                    <a:gd name="connsiteY10" fmla="*/ 0 h 831404"/>
                                    <a:gd name="connsiteX11" fmla="*/ 7716520 w 7716520"/>
                                    <a:gd name="connsiteY11" fmla="*/ 0 h 831404"/>
                                    <a:gd name="connsiteX12" fmla="*/ 7716520 w 7716520"/>
                                    <a:gd name="connsiteY12" fmla="*/ 424016 h 831404"/>
                                    <a:gd name="connsiteX13" fmla="*/ 7716520 w 7716520"/>
                                    <a:gd name="connsiteY13" fmla="*/ 831404 h 831404"/>
                                    <a:gd name="connsiteX14" fmla="*/ 6919146 w 7716520"/>
                                    <a:gd name="connsiteY14" fmla="*/ 831404 h 831404"/>
                                    <a:gd name="connsiteX15" fmla="*/ 6276103 w 7716520"/>
                                    <a:gd name="connsiteY15" fmla="*/ 831404 h 831404"/>
                                    <a:gd name="connsiteX16" fmla="*/ 5633060 w 7716520"/>
                                    <a:gd name="connsiteY16" fmla="*/ 831404 h 831404"/>
                                    <a:gd name="connsiteX17" fmla="*/ 4990016 w 7716520"/>
                                    <a:gd name="connsiteY17" fmla="*/ 831404 h 831404"/>
                                    <a:gd name="connsiteX18" fmla="*/ 4346973 w 7716520"/>
                                    <a:gd name="connsiteY18" fmla="*/ 831404 h 831404"/>
                                    <a:gd name="connsiteX19" fmla="*/ 3781095 w 7716520"/>
                                    <a:gd name="connsiteY19" fmla="*/ 831404 h 831404"/>
                                    <a:gd name="connsiteX20" fmla="*/ 3060886 w 7716520"/>
                                    <a:gd name="connsiteY20" fmla="*/ 831404 h 831404"/>
                                    <a:gd name="connsiteX21" fmla="*/ 2417843 w 7716520"/>
                                    <a:gd name="connsiteY21" fmla="*/ 831404 h 831404"/>
                                    <a:gd name="connsiteX22" fmla="*/ 1620469 w 7716520"/>
                                    <a:gd name="connsiteY22" fmla="*/ 831404 h 831404"/>
                                    <a:gd name="connsiteX23" fmla="*/ 823095 w 7716520"/>
                                    <a:gd name="connsiteY23" fmla="*/ 831404 h 831404"/>
                                    <a:gd name="connsiteX24" fmla="*/ 0 w 7716520"/>
                                    <a:gd name="connsiteY24" fmla="*/ 831404 h 831404"/>
                                    <a:gd name="connsiteX25" fmla="*/ 0 w 7716520"/>
                                    <a:gd name="connsiteY25" fmla="*/ 407388 h 831404"/>
                                    <a:gd name="connsiteX26" fmla="*/ 0 w 7716520"/>
                                    <a:gd name="connsiteY26" fmla="*/ 0 h 8314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31404"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06964" y="202895"/>
                                        <a:pt x="7697121" y="234334"/>
                                        <a:pt x="7716520" y="424016"/>
                                      </a:cubicBezTo>
                                      <a:cubicBezTo>
                                        <a:pt x="7735919" y="613698"/>
                                        <a:pt x="7719983" y="696217"/>
                                        <a:pt x="7716520" y="831404"/>
                                      </a:cubicBezTo>
                                      <a:cubicBezTo>
                                        <a:pt x="7508045" y="810251"/>
                                        <a:pt x="7283950" y="853498"/>
                                        <a:pt x="6919146" y="831404"/>
                                      </a:cubicBezTo>
                                      <a:cubicBezTo>
                                        <a:pt x="6554342" y="809310"/>
                                        <a:pt x="6483499" y="855279"/>
                                        <a:pt x="6276103" y="831404"/>
                                      </a:cubicBezTo>
                                      <a:cubicBezTo>
                                        <a:pt x="6068707" y="807529"/>
                                        <a:pt x="5881943" y="823278"/>
                                        <a:pt x="5633060" y="831404"/>
                                      </a:cubicBezTo>
                                      <a:cubicBezTo>
                                        <a:pt x="5384177" y="839530"/>
                                        <a:pt x="5301279" y="841619"/>
                                        <a:pt x="4990016" y="831404"/>
                                      </a:cubicBezTo>
                                      <a:cubicBezTo>
                                        <a:pt x="4678753" y="821189"/>
                                        <a:pt x="4644713" y="824159"/>
                                        <a:pt x="4346973" y="831404"/>
                                      </a:cubicBezTo>
                                      <a:cubicBezTo>
                                        <a:pt x="4049233" y="838649"/>
                                        <a:pt x="4055228" y="813776"/>
                                        <a:pt x="3781095" y="831404"/>
                                      </a:cubicBezTo>
                                      <a:cubicBezTo>
                                        <a:pt x="3506962" y="849032"/>
                                        <a:pt x="3393564" y="863365"/>
                                        <a:pt x="3060886" y="831404"/>
                                      </a:cubicBezTo>
                                      <a:cubicBezTo>
                                        <a:pt x="2728208" y="799443"/>
                                        <a:pt x="2660656" y="861068"/>
                                        <a:pt x="2417843" y="831404"/>
                                      </a:cubicBezTo>
                                      <a:cubicBezTo>
                                        <a:pt x="2175030" y="801740"/>
                                        <a:pt x="1938090" y="836071"/>
                                        <a:pt x="1620469" y="831404"/>
                                      </a:cubicBezTo>
                                      <a:cubicBezTo>
                                        <a:pt x="1302848" y="826737"/>
                                        <a:pt x="1220111" y="797015"/>
                                        <a:pt x="823095" y="831404"/>
                                      </a:cubicBezTo>
                                      <a:cubicBezTo>
                                        <a:pt x="426079" y="865793"/>
                                        <a:pt x="306208" y="839297"/>
                                        <a:pt x="0" y="831404"/>
                                      </a:cubicBezTo>
                                      <a:cubicBezTo>
                                        <a:pt x="-7470" y="733581"/>
                                        <a:pt x="-16001" y="580446"/>
                                        <a:pt x="0" y="407388"/>
                                      </a:cubicBezTo>
                                      <a:cubicBezTo>
                                        <a:pt x="16001" y="234330"/>
                                        <a:pt x="-13445" y="139586"/>
                                        <a:pt x="0" y="0"/>
                                      </a:cubicBezTo>
                                      <a:close/>
                                    </a:path>
                                    <a:path w="7716520" h="831404"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17972" y="171916"/>
                                        <a:pt x="7699068" y="278256"/>
                                        <a:pt x="7716520" y="407388"/>
                                      </a:cubicBezTo>
                                      <a:cubicBezTo>
                                        <a:pt x="7733972" y="536520"/>
                                        <a:pt x="7728286" y="683268"/>
                                        <a:pt x="7716520" y="831404"/>
                                      </a:cubicBezTo>
                                      <a:cubicBezTo>
                                        <a:pt x="7584340" y="863532"/>
                                        <a:pt x="7351923" y="847004"/>
                                        <a:pt x="7073477" y="831404"/>
                                      </a:cubicBezTo>
                                      <a:cubicBezTo>
                                        <a:pt x="6795031" y="815804"/>
                                        <a:pt x="6789739" y="848374"/>
                                        <a:pt x="6584764" y="831404"/>
                                      </a:cubicBezTo>
                                      <a:cubicBezTo>
                                        <a:pt x="6379789" y="814434"/>
                                        <a:pt x="6180293" y="854870"/>
                                        <a:pt x="5941720" y="831404"/>
                                      </a:cubicBezTo>
                                      <a:cubicBezTo>
                                        <a:pt x="5703147" y="807938"/>
                                        <a:pt x="5421160" y="810132"/>
                                        <a:pt x="5144347" y="831404"/>
                                      </a:cubicBezTo>
                                      <a:cubicBezTo>
                                        <a:pt x="4867534" y="852676"/>
                                        <a:pt x="4751766" y="843785"/>
                                        <a:pt x="4501303" y="831404"/>
                                      </a:cubicBezTo>
                                      <a:cubicBezTo>
                                        <a:pt x="4250840" y="819023"/>
                                        <a:pt x="4237304" y="818133"/>
                                        <a:pt x="4089756" y="831404"/>
                                      </a:cubicBezTo>
                                      <a:cubicBezTo>
                                        <a:pt x="3942208" y="844675"/>
                                        <a:pt x="3702969" y="831436"/>
                                        <a:pt x="3601043" y="831404"/>
                                      </a:cubicBezTo>
                                      <a:cubicBezTo>
                                        <a:pt x="3499117" y="831372"/>
                                        <a:pt x="3048422" y="829057"/>
                                        <a:pt x="2803669" y="831404"/>
                                      </a:cubicBezTo>
                                      <a:cubicBezTo>
                                        <a:pt x="2558916" y="833751"/>
                                        <a:pt x="2451147" y="855111"/>
                                        <a:pt x="2160626" y="831404"/>
                                      </a:cubicBezTo>
                                      <a:cubicBezTo>
                                        <a:pt x="1870105" y="807697"/>
                                        <a:pt x="1771257" y="813327"/>
                                        <a:pt x="1671913" y="831404"/>
                                      </a:cubicBezTo>
                                      <a:cubicBezTo>
                                        <a:pt x="1572569" y="849481"/>
                                        <a:pt x="1322588" y="806690"/>
                                        <a:pt x="1028869" y="831404"/>
                                      </a:cubicBezTo>
                                      <a:cubicBezTo>
                                        <a:pt x="735150" y="856118"/>
                                        <a:pt x="762570" y="829422"/>
                                        <a:pt x="617322" y="831404"/>
                                      </a:cubicBezTo>
                                      <a:cubicBezTo>
                                        <a:pt x="472074" y="833386"/>
                                        <a:pt x="276811" y="849271"/>
                                        <a:pt x="0" y="831404"/>
                                      </a:cubicBezTo>
                                      <a:cubicBezTo>
                                        <a:pt x="-2304" y="646375"/>
                                        <a:pt x="2491" y="514596"/>
                                        <a:pt x="0" y="415702"/>
                                      </a:cubicBezTo>
                                      <a:cubicBezTo>
                                        <a:pt x="-2491" y="316808"/>
                                        <a:pt x="17680" y="86274"/>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6A3BC4" id="Group 642660952" o:spid="_x0000_s1026" alt="&quot;&quot;" style="position:absolute;margin-left:-17.55pt;margin-top:-4.7pt;width:482.15pt;height:597.7pt;z-index:-251659245;mso-position-horizontal-relative:margin;mso-position-vertical-relative:page;mso-width-relative:margin;mso-height-relative:margin" coordorigin=",-1689" coordsize="77271,75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Pk0IjYAACFgAQAOAAAAZHJzL2Uyb0RvYy54bWzsnW9vJLmR5t8fcN9B0MsF5K78W5kNtxez&#10;tmdxgHdt2D7Y87JGLXULq1ZpS5rpGX/6+wWDmRWRpVKS2T23d4vcBcaqzgw+STIYDAYfBn/9zz99&#10;ur/48ebwdLd/eHdZ/GpzeXHzcL1/f/fw4d3l//7rt1fd5cXT8+7h/e5+/3Dz7vLnm6fLf/7N//wf&#10;v/78+Pam3H/c37+/OVxQyMPT28+P7y4/Pj8/vn3z5un6482n3dOv9o83Dzy83R8+7Z75efjw5v1h&#10;95nSP92/KTeb9s3n/eH942F/ffP0xL/+Th9e/iaUf3t7c/38x9vbp5vni/t3l3zbc/jvIfz3e/nv&#10;m9/8evf2w2H3+PHuOn7GbsFXfNrdPQA6FvW73fPu4ofD3UlRn+6uD/un/e3zr673n97sb2/vrm9C&#10;HahNsZnU5l8P+x8eQ10+vP384XFsJpp20k6Li73+9x//9fD4l8c/HWiJz48faIvwS+ry0+3hk/wv&#10;X3nxU2iyn8cmu/np+eKaf2yLsqo2zeXFNc+2Tb/Z9rFRrz/S8ke5q6Lt+k2tDX798fdRfrstt0VT&#10;jvLNtq7knTcD/Bv3UZ8fUZOnY0s8fVlL/OXj7vEmNPDTW1riT4eLu/dUo+3belNs0ZeH3SeU9s+o&#10;0e7hw/3NRSPfJh/B22OjPb19ov3Otti27Io+CO7eDs223RZtU8ZqS6u1ZWi2sdq7t9c/PD3/680+&#10;9MDuxz88PauqvuevoGjv48dd7x8enu6eb/7O595+ukd7/+nNxebi88WAEeUmr3/nX/94Yb4CNT4p&#10;vTClt3W1qet5CCuzuZiFoDnGChRl12667TyGFUrAqCxG22/bqpnHsEIJGLXBKKt60267eQwrlIDB&#10;iBvbqiqqbtOU8xhWKAGjtRjbTdVXxTyGFUrA2BqMumz7btPPY1ihBAymoLGt6h7NSmkrK5SA0RuM&#10;psUktgltZYUSMAo7ZFHcqtwmjHMnlYJiR+12s63qFPUtrFQKih230VLNd3xhpVJQ7MhNR7FSbcNc&#10;UM4br8IO4HQoK1VU6OamTsCyAzkdy0qVm7IruyoByw7odCwrRaWA2iZg2YGdjmWlqqboqqJNwLID&#10;PB3LStVlX3bbIgHLDvR0LCvVbDZdVffzWPgRR2uXjOWkoieQgGUHfdv3LTPR/CAurVQ6lh36bblt&#10;i03CzC0u1mj707GsAUi25qWTUp8uoQ2tBcAlLJqkNnRSyVjWAtRtQ9VS2tBKpbehtQC4Dg2ze4Ju&#10;WKl0LGcB6rrdJrWhlUrHshagbOu+qhI8ltJKpWNZC1B0TdG3Kf1lpZKxKms3inLT9WWCR+mk0rGs&#10;BUhwYSr7fjqKHfspKPb9pmyKsujmx29lR30Kin2/3hZl36ag2PGegmLfr4stQCkodqSnoNj3q7Zq&#10;66S62DGegmLfrzZ9l9YvdnSnoNj3S5lu+wSvr7LjOgXFvs9wxoAk+GCVHdEpKPb9omqbqkjwvmpr&#10;ARJQ3PsYwq5KULHaDuUUEP++iyEQLPkwhEN2H4cIyfVPDzFEwl8XhG0kZiURk8f9k4SjbLyEmNXw&#10;k3iIhp2QkrdnhPksK1xkCWNorHCZJYz9sMJDtCztszELVjiE42jGNGFGuxUOIa1kYQaxFW6z6szY&#10;tMLbLGGGnBXusoQZSVa4zxKWpbeV5neWjk2VLE/LZLHs0PP0rJgoGr+zPn6iaqyPs8QnylbkaVsx&#10;UTd+Z6FPFK7I07hionL8zkKfKF2Rp3WylrP9zu8cdFmeOfE8rZMVlxPP0zpZRDnxPK0rJ1rH76y6&#10;T7SuzNO6cqJ1/M5Cn2hdmad1ssZwTZendeVE6/id8/GyErDo/M4Sn2gdLn+W+ETrqjytEyfefXye&#10;1lUTreN31sdPtK7K07pqonX8zkKfaF2Vp3XiAbumy9M6cW2deJ7WiQ9qxfmdU3fxRp240zr1baIz&#10;eWAPUDaR78Mm8vPlBZvIh8sLNpG/F0jcy92z+KDDnxef2Ugcdvk+vruMy1bCUXf3FPPAbjhb5T89&#10;H36QrfM//sfgpX7a/3jz130o5fm4ezpU6/j0+ofv767/5eYf9t2y3mxqVaarote24MNCOawCylbV&#10;/KpizzZ+dHim+3mhKQYgX7z/pQX2xAiwj9J+0/KKzabadNq2QPWhVYcPiTt7mWhF0/abPn7/aZks&#10;1vtGFblgHz2o8Aio23y5gF1XEs4MUlcnZZbst/WN1rBo1TkZ8OKWXyZe2ZZdLRvptCd75ZMiu82m&#10;iRa2rNmPsL0Xt/8y8djWadhsV7zTMlnJ970a1StW3E5dKt0LzAXsq66TPXUqOC2x3nR13QyV7xr+&#10;1DEV1DPuC2biSYFF1HhiZ5MiiYcQadXas++yCTZz6MG4SZgJ2KB3TaMac1KkhD+bVm1lWW10ch3w&#10;Yog5F6+r+qYZenBaZovCdEyD0txFU3fBrg6AcfMwE7DFhGw3Woer0zK7ogQylFluu86pTNxHzATc&#10;VlVdR2f66rRMDFrdKWC1RVmNyoyWl9qnm7QtgHRT+Eo2kcomzGVDo23brsWU6FOi9HWY5ceng60H&#10;UfcM5XtkCnGG2v9SS7rd1i3DMRTct0Xdhi8+FlzzMNo2FJXA5Lmaxg3EdGAGedPGookuV5hQ24ht&#10;X5fxu4qu27A37x6bGsftxHTkbdVtY1uWxbbh/ydFV9s4OWMYN5W6g8cmiewZ2jpuLmYgU8+NjtKy&#10;75pK+UbHojdQmNQpqdiNabdej02d41ZjBjIFxum56oq6b3xztt2GHf2gBXVB4VgL2xkGOW48ZiAz&#10;cItYdN1sxO67outtFTWMWWHT184a2rEUtyHTkduuaaOGMVzp58kwpW97NWFY666ajDhT58F/Sh5U&#10;NWyzaB2bvuqxTq7OxRavRc1jg5pvvbcUNzNDZ+Qit9C9xkp1W4klW2QaAfOvU0/TF+zCu9aOW5uL&#10;kBtq2RMtEJvfdH3bU3/Tz02HYxZ1G+Sm8hpmZ6HcOjd1027i2h3knmo75BrfLY5nii4ar/px23NZ&#10;nTEOKFmUJdiN32nqXDPQGErxMead+tvHugm6CLmu+3Y7aFhHy1NBWzTqLAY1dka/9W5w3BJdhEwl&#10;t5iPKMtMXLtKVWGiHjQMI0dMxnwYE5dskC5DLiEzRket6bpGZmdTtNAhykENWCAwn7rHul26CLmU&#10;MToi91gxN2OURb9Br7Torut6jfgNZj1uni5Clh15RkuUZRGlQaWxaObITYwAoPr4EK4z4lbqIuQe&#10;lznGkBmvWGanYAw4oGON2X3xmq2Odu44ZktqMMdbtKh1VakKafSgzzWzt/eoI55um0qnJ7k+V6bM&#10;TVEzWq2+XG03GAoBrFlqFt5oKGDcQU0GPJbYMtEz6RntZSD1ainqCpOEp2seRjjdSk2GEzc5lkn/&#10;bBk9tkzMcXRfO2YjAq8neHFTNQNvLFLw/CqSZeVmGwFR4t5bDa1g3F9NBjwWKWMftbB1YOTECjJq&#10;8J2dMVC8uNOajEeDjmUS0th4o0oUIFofbE9Ztc7uKWDcdM0AHMvEiPC3m1JxzNUwFLAEOz8+I55u&#10;v6bjHYtkC5opxDZoJXGHMCDo21Z3ZAY7pHC6D5uOdiyxwpNmuWxU8Kqsu9hLLKZ91+q/n1la3e+f&#10;bigHCyBBsdmI2NPzYf8f0Owp82sHxMRYawdRmdY7JSyriCmF1pSHGusfWrNpqbCOlTOVdMs6Xcix&#10;Oty0akFOCtz29RZHUIyZxOb8YGfWID4QHqajFYy9cHSCIk9K5Bk+mRrPUsJXtmML4Igo5eL1LMaj&#10;E3d1Uibmq+xjPIkAh9fNhSExglBVF4NQp2VySgNPOlSC5aMzrGW/wbHTuSq9QStatI67plfTIlkn&#10;1i1LfulAiC66Jzdoy9KIGFZ/CG+clIlTIZNNACyE9GJ7EHyCH/o16RVkWoOHN0S9TsokwEG7BUC4&#10;nA6uF+8qdzg0ZVEUMWp5NSmxkZXkEI8uqKqrHt2JG6V9m149ZjeEtHonRbaMyF5Y6jIAp2suOc/C&#10;ros8y4DDAMsaXqQmBbKchp+q3UN4w8/6dj2djrZF17HHAY1FYzFZzmI/6rjMgSYML9l2n0VsepQu&#10;dG6Sg8ZZKEJOCkuMduunP5xdhoU2KjOvjH8zf1hYYqPM1hnV5SgIYWatbsl41m8eBhzAZTMMDqhH&#10;xBbOIvMq4vI4rcaY6TqGpnAWOJ82actKltna67gi4vqfqXNZdYSawuM05DB/xNAUtm0apqErWLMr&#10;MsfsJs6kbW1QiTJk9DLq0wy+KMa76CaVYnREdSYw1cjJtTN1FsXHT0pvbQlBxl08dq/aDhV3RdeE&#10;UtQI1uwBRdU9qsExEIhytq06MImtjbWL/VwTi9z4MA1TZFPH1q47mWkmH3ZEJnJaFnWGhrF853Bb&#10;6EiiXkSIvPLSJFWcnRu8kMlK1/Zz7vKOSY0Ve0TuNwTpfaXQAiYB/TD4j5OdO5YvW4kBi8HLRibm&#10;1TXqcjRQizu/+KBF8LiGmERVsFSyaoAzRu8OS3B7WtLH0/2v6JSVrKJjdJOQBRrk6txyNrOKSzQe&#10;o4zOB243PZ6UzkS5dW6Y84b9EurMatqtjugLel8tCciFWHej+rhvaMGy1ibitRnX6sJQ97sjEuqn&#10;82NH4tP5HQeGOpsQ8cPc2VTfvv6XtjYbMixaYlSCSB8G0laqZquD6MyAzIe4OuOF9/3C0BRhPunp&#10;QTsx4k6FiJlzPiWGL/qKuL7rZwLE6OCgn3kaRmE1/oYis2qYDNiKSAPaO3wYpF9nXJmuCakNH5aJ&#10;jAMiYziOyKb1US/2NZmSh46UQ6JuX7Uk/tFHlyJXt9kxZo86jkiGV7T5g2EmWkNDjMqLoXWRJMY/&#10;1mXZeGYJDGV+qBTnLKmgGTbgyvZb7AwZ204BA48gLrVy61yUgB2VN9gzi8wWbBOXKwQCMZ7+w+hk&#10;jlIOfWVOfPtx5H/pqGIBV7IhFmXLAo/G1hnXb9ink1Uru4n26TKlZiaObYyrUXgfCP85di1jTlaZ&#10;phUiWkW0h+HEg6TJeCywFB6Ea7crAigMZVFxCbizrXEKxzcQOkz3d0yRrFu3ypgadPeKqmst8DhY&#10;576AJ7E19peSqzeWWHU1cTI3/q8INMamrmAI4OKc1o/gILYt3as6FgkagTDXQwWRZB16nMpscT9O&#10;8ZgjsdPpeFemzIbNWm/VC6Li0W0lvCjO84m+EG0Nc2GqvlyZMiW6MbEBdE5cOuA8EpY4BaTanNIO&#10;k0+Sgl6xFh/KZAMVvoEt86ok2qDDhT34LUFt+1SVST6z07GShHgsckuyBaYX02gVPJPoFLMO8o6r&#10;op3RzWlkji8ZeWvhq445J57293fvv4WsJvG7kI/l5rf3h4sfd7DXvv8Q+hAJ99Z9ODnh/ukFQSnv&#10;/odP/7Z/r4XJunD43PH1YDdMSUBJ6WQDGbJthL+ef76/CeU9/PnmluQdnO8ow2GPsSDF2F1f3zw8&#10;F/ro4+79jf6zIL8MfS8FSslC1xvLjgVIcppjYwxlq+7G90X0JuSfGYX1FMqZD1PhUSIg7x+eR+FP&#10;dw/7w0s1u6dWEVnfHxpJm0Za6fv9+59JbXLYa/abp8frb+8OT89/2D09/2l3IGEIKkMKn+c/8p/b&#10;+z3ERTiI4a/Li4/7wz9e+nd5n9wrPL28+Ez6nHeXT//5w+5wc3lx/78eyMrSs5lDsc/hB4vRkh8H&#10;++R7++Thh0+/3aNXDCG+Lvwp7z/fD3/eHvaf/kamn28ElUe7h2uwOb3zfBh+/PaZ3zwiV9D1zTff&#10;hL/JsYN6/+HhL4/XUri06iM1/+tPf9sdHi/kz3eXz8Sc/30/ZILZvR1yrcjQGN8VyYf9Nz8872/v&#10;JBFL0ENt1/jj89OjZobhjzFRzy+SnoZQHGtdtu+/Tnoal5jH56ehNSWtTwcjRncCaZMhKdBXSk8T&#10;Rt8L+WY4jnU8uC2ZHo4f8cLbf0dxxmPerOXxlcazxmcRrMw8Ah7IiMBOJAuZY3KasxBWaB6CDh0h&#10;2EXHOT/mEDkLYYXmIXAhjxAwZvv+eHj5LIQVmofAtRgh2EaVtfd8X1iheQiciRGCxWtL+GUewgrN&#10;QzC7HiFIBwXbdx7CCs1DsBQYIXSxn9BQVmgeAi99hMDTY7fheAb/bHdboXkI4SccMVrCKWWCSjmp&#10;BBA7VjUAdjw7erYiElsZPy0BxI7WdBArxTps00oClxlrZQdtOpKVUoB5JDt22f9gWk7QAJfLJhXJ&#10;DmElsR1zgZzvIiuVimRHspLWUpTBSqUi2QHNrgp7YCmtZ6VSkey4DhvT25TWs1KpSHZ4V1v4RSmW&#10;TUiF41BKRBKXb5QhIRYRx4TWc1KpSHagEwwhBJLQerJTOH5fKpId7TDEN2wqzs8LciYyG8mNdna/&#10;U7pJyC/ZQNZEJAwkoZxlY9hhnoJh35dNVnL9zBlVCeqN35WC4d+3xePmrokFQsCBlkjLDYBSsFIY&#10;kymMm55JyRTobSs8xp2ShOlGKzwGAZOEMdVWOASKkuuM9bXCYzApCRmDaoVDOCkZOZJCx+ZWek+6&#10;OJbPgmugOl0cc+bEQwQxXRwj5cTzNE2cEyeep2uRyHtsujxtixyLo3ievhUTheO3Bm/SRlmk4BzR&#10;83QuHg04iudpnUzNtuX5nfPxkZkzovM7S3yidcpBSNa6yAs9oudpncx6ru55WhcPyh7R87Qublgd&#10;xZ3WaRt88TllepdzyuoIMZX+gseU4aYMtDd2ATUKP+y+cDSEUxWhsa/YXPI7CRraCQ9H3XM8zJc3&#10;zyCvcIxL+u+kRE4jw8XUzr3Cy/JH3GKgJxcQdwUybZA6KVIYvML+lK8BUHZBGQVD7WPYJxOQAjmu&#10;qGWeFtlxmCzS1K7YZ/H7Z3JsmiBQJiAbyyXEHK3htEgYFnyETo5soPmtwxgRysVjU30gyMIAn5TJ&#10;eWgOmakfwE5Up3ZpaNIYIMpEhBHYFXHX6rRIaApNZEpygkH01fQhu5QSLsoEhFoOIUcV8aRI6G1Q&#10;NtQAMirgp1nAGDzKBYQ/ygn+IHVapASZIwGTI5Jx/R4JNRpIyoQDjaipDoqrkyJr+D2RCgM3wO3X&#10;0bMSU8qF4zxMEYljaL0vEiKTpDwIRV4xOl6i8OnTdCtDGAfGnkoVbIBO+ZnoKMcqZdTDdYUcYDsw&#10;hoDCUw0hyVMx67PGDSIkHaVqEzIW+oKFRclJbIFlC0bo0kZRLWw0+8mwsAWHVBNbmDOedwLhlUWb&#10;tkWHTfV8hBiGCh+VCQupm+CI6iwmAdKYrQ+nwYX7qgVXcBjdPnuMSS2ChZfICXZtRsgBtLdpRuFu&#10;9bDGQiOzve0JZDFAtQSWmZFYhsLSwkQAHCw8zZJtaIHtyGbgKZsxWrUElnMSNOxQHw64uNoKCX44&#10;PcgZggkhOIauFsGKwYGUpfWBeOFh4QcwjMNTCClCOjZdEONYS2DxDThIoCrFITPo0a5gOaYZ2URy&#10;wk6zGg1TSwxqLYEtGSNywiwoDWxQ/jT1KduWAwxqLsicDVPBPdUI1yJYOUUYLd8Wy0DCEQOLXYLf&#10;GcctbCfPi4nhriWwnALAz9Lawpjml4PFK+GkQGwLzoC76YbkI6L5QS3sRuS8bcRjQEAl8ZD82XL6&#10;bmh/6HfdS0fFMo0TM4k2HUeJJufcIWxFn5YNMZnoTKOrjAa55N+TzD5YQ4lwdSbsOtizcV5nJ9Sz&#10;XRXszKw2JYeg5hzfOiYyQtgsEJ7WU1vrqS3nn6h7yDmb109tBX6sDGeOivthp8e21Oyd0dEXAPGn&#10;SJkyLhknZeq5LZ1WTs5Y6bmtVwfFS4ByhIbIjdQBduLkLJie29JKnDm3pV+TXkM9t6WfyeHB6Vkw&#10;GH7DUT+YcG6qsG5AOl6Dq9jEFTO5r3yRenIrLmBPjlnpya3cFg0nt2J06qTIcHIrEuFfPrmV256s&#10;KLC32oEvntxSd+DMya3cynFyiwTMKiVJNwA25h8nHB6izlLkT2qx3P4pSZdUNnOKoGDSxWs/4UlC&#10;jncFk+GkjmvmVvhZTm2+aGWAAxzXebjKcsLG1ofjQ3h5OiczJfsEA5olKjq8eXN9Sz4CThGGgskF&#10;Bf3YwgptWPIyBCeCoJJffunpEl1DZc75nChgstWCcUslkmJq2xbcfBJZo9xKIkcMzVOWw7BQtW8z&#10;YQmgUZw2FJud1NwVTHxJjnRIbVmcTY+dwMwbsk1lwso5KFksazNyFN45MqQOImISnVby+rAANLXl&#10;I/GPYs/n9W04mxZVStJOQMG3BeNRySm7UFt02kcMCXH0HC3ST86D5eBZSAKhtSVy6OrD1EHq/qhS&#10;LIb92X/OfAS7GWQzYbHZ0KnHL9Z8nMclB6ES2U+WVd+maTUKPjwl6ih5FkZZHQVJHiVLn5A0JRQs&#10;NtjR3plgmGXjR0l4yj9F20hlvwSW4xq0lE7eaPJk8mb1S1K5Qc97Do3YnuczILQsUinOYsh5LP1i&#10;lgk+4xXONSc54uKME2P+2AyxT5gMixp5K6cn44iXg2hu2HIihHE99CyBG1vXwN4aut3QMRNWQRL4&#10;GYxbL0krzeDhHp0urrxY/HIcwD4cviULriBmrpoAr5usPLZASXwQZ/mavGA+PqNoeE+cqxGhJK09&#10;FkiXTQ6HkuY0NGYhASenOAp1xh+aroL4jjSK/OHD9yNB/vfN7/vtN7EahsauLPYJbX5CCRdyvewI&#10;rBz5eNrAE+xXjvzKkTc3/g7EfTnocLzCFT8bhwO6Hkb8a9zhiiGTo/fBcr7Ikcdy4/3EAf9fxZE/&#10;fsQcR77GTNfHW0mjZ3Ny6+t3ONSGU8XtK2M1X0LA3o5vk/mDWGMK4c8ICUn3dQhm+yMEmwF4fvP8&#10;Oys0D8FcOUJw/E9SNM5DWKF5CPydI0TIVZPQUFZoHoI5eIQg6QscugSiohWah8AvGyHw3Li7NUGj&#10;rNA8BMP3CEF6UM5HzveFFZqHwJEbIUgpQubKhIayQvMQju2ezo3GTRm/LAHEjlUcdDkQO99W4vzl&#10;gNghHqMECSBWKqEmdrymg1gpNSKz1sQR3TlSBXk/Yaw7qVQkO3pJPkCsIMFwCVlt7J1UJDuINX1F&#10;wukY4bVlI9mxTP5XUiokGABZ2mYj2SEd+RUJamelUlvPjuyaMC+ZDBKQrFQikkR+xnYghYRsB84j&#10;OalUJDvGicGQHSThMJOjx6ci2YEuCbeIribUyUqlItnRLmezyWyZgGSlUpHs1F6QDoAGTECyUqlI&#10;drSnMNjt+6kYdpynYPj3rXvGwnhlyYcIjoQqkkjfKAVxu5HGGRgOycL0thUegyRJyHSjFQ5LmWRk&#10;LLYVHpY5aXXGCFvhPMYydtUKh2hS8mevLPmjqimbJr3pJsqmCS3SxSfqpsHkdPGJwo0L6zSNW1ny&#10;x35fWfKD1un/fiWWvM62OHC/HEuevTSi9cH+QfmVPSwbtyeXWYykkzfPBdk1tBPkzkS4X6A0QDCW&#10;ZOhibK+mBUr+OFke8IxdCIcVgzyZYJK+atgkuDopkq3bIc+/bOuZShOyknhPLhrE3JAsQ+o2LZGo&#10;nly3I3Ujm5nfsYyxn0w4oRZz80iQgqo+LZM8gAPzgKRB5BOzFVzIfxH63JDRaVokl2NIDjT9HLZI&#10;fA72GBjKrGJFiESUTlrtpEj4yxCh8eilueGn+j2uGCbKBCTvNLkwtE1Pi5ScljEb0unRAI0ZZeKR&#10;Vh5CxDD2pscNUBm2d1lJSA1hNboRESNIuYAQUriiLEidlMieGZv9CndyMsCymtOHOwQYud88lHla&#10;JBujA8laOI2erBkjS5kVhGLLdnkcaNMiISmyqtLas8vszwNZKkp6BSUxMSTM8JWkzpPNaWNIYOSQ&#10;8VW/phZehiMUWMRo55GV6cMZTv9LuW9brumQVNaiGk1HSjC37UjUB36PfhQ8Kdgh7qM0/KSyY5g9&#10;CZbEwCDrgIQSIImgTW3lCqbhnjjY6LJ1bZ9qLGoRbEs+kSHXZ2g1VzD8dFJ8a8GYC59HLwamlsAK&#10;T4GdnSjKoQfXjLCHMYeq2iiyvGhqG6NUi2CxbO2QWJI9dd97bP7IPrMWzGkAv+FsjwRlqhSsGvIB&#10;x76FsTXJagpNj7C7wsLXJgmdqW2MXy2pbc2Rh+NVMIxQR1Vgj74ejn8wzMj5amFjMGsJbMXcAkE6&#10;1qfh7iZXsNzfFA2F5IL2qQtjZGsJbCkZo+IZzQZHaEJLJdcTw0oL5i6xCVdfw1yLYKGvMEhUlONm&#10;3koJCVPOsARjQgZf3xYx5rUEllzVnBeM9ZGzBK73uNiwG7j6nEvgZIntghgAWwIrqS0jc4mM39y8&#10;Z8uFKQh1SYuFPujJL7GF8oxiyYk69WiZXiZXs8iunoLB7ZlkfFawM1PNlByi3JApRX5YHawU+fVi&#10;k5fchJUiL1eb6AA8pbND1uJ0ZjAFZ0ah88PU81op8uwohjb7/5MiL5OOujEsoGEO2rmBQAiTX7Tl&#10;HNDzefK/xF1nRmJxFSczUoN7d50zYzCe41O5c9x9FKEEuaUgzM55MxPJ0qHcD04bbpZzciSZPE6d&#10;Fsx1wP4CWprm6OrnwbJUHIMdXBnJ+sPWByYxS4Nh6UIbe/opfgCk1yW15dbRkAo9NJTcP+QKlngF&#10;abZjbfErnVdAlmNcoEWNzKWN+FOD3ywtZWsL/ZQUDYMLNPWtUDbyX0fZvEbmWDm7q7GhuLPR+1Zc&#10;voGzHPuWm189V12vBB3Wh4ZP5ucQ/0vNH+tK1hixPtLibtUjFxRAyNdGZi3sj4LYlAyZixPcdXJL&#10;RKWhzfDNzfKDi+klvBZhwxlp+1Q3opeoFGcqSAwSPWM5duH6lns0OGsfn0Jv1jT0I0VeE6sugS3k&#10;/O8wMjm/y2LQ1IcBwppk0GSGlzMXNpNIZiPLsQlJHB4GELcucA+KhaWFzVUfuM7uqe5XL6ltF67G&#10;jaisiLxGceI6RhVZgTKCLegid51cKJLaXypJ506uzLqSe1vCMzkO4On4Wf464ZR8Mve3//LtN7/7&#10;vdQQ8ZXMfen52GvCc5vWfE14/vH5+fHtmzfhUMPu6Vef7q4P+6f97fOvSMb+Zn97e3d98+Yzqdzf&#10;EELbhL8eD/vrm6enu4cPL5O5mUckwQ8eyRdyuTGG8Yg+sdaQ6SAY0hcJ3dxaj98SB/1/FaH7+BEv&#10;0a2Zd0cC2VJC9+sI2NwRYTGh+3UIvJIjxFJC9+sQuAIjxGJC9+sQTPtHiKWE7tchmBtHiMWE7tch&#10;GGAjxGJC9+sQ+L5HiKWE7tch8JRGiMWE7tchvhKhewbEju/lhO4ZEDvE41J6nt0oweOxjYXQPQNi&#10;B3k6iJVSgHkkO9aXEbpTkeyQX0boTkWyI38ZoTsVyRqAZYTuVCRnB1LvVxBi16h2qUjWHCwjdCci&#10;OWr2MkJ3KpK1DMsI3alIdqAvI3SnItnRvozQnYpkbcQyQncqkrURKWRr+34qhrUOKRj+fWu6Wd2u&#10;hO6V0C1cdi7Y+iA3aIXMtPunC+5VG1jrf9fw5fDzuxBvEppKEg9dw1ij8LDAShNeCd1jL3y3ErqT&#10;dS4SZUel06QUyeIyrxOVHMX5raHANKVd056bpguh6/SWZ65yLR9i0IO4/u9XInTrbIt7uRK6hWou&#10;zT6qudtuf2n3aSV0hwZbCd3RLs4qzEroXgndeSaGPFVkj9edZjkCMOWAENeNDJEGXoYn/VqGSLTz&#10;qYpqCd2kZqwmmeINoZvMeJMMcTH8FExDJqwldAt12hPULaGbRNFU1+6+xljUIlhD6KYYcmG4gg2h&#10;uyVXmeddW0J3Zm0toZtdFzJUW1hL6IYZBIHdPdW0A0tq2xhCN7tLrc/vZwndELs36m8PLAJL6M6s&#10;rSV0w3OD62brA/VkJHTTt5I9MuxRDSy3kJBgSW0toVtURJOsDfWxhO6W1Hg+RbUldGfW1hK6OXWy&#10;bZ1KVYbQjZ4zxG1tLaE7E9YSuiG/kEjfFlwaQjcsh0lW9xjmWtLIpIkaCd1kdIA+5mANoRvSF8k0&#10;7VNL6M6srSV0Mz7YC3QFW0J3T7Zwp1KW0J0Jawjd5EFFry2qIXSz6br19+roiioT7qocMsfKTQCe&#10;OnVFTlMtlLbgIIb9kiyCiPJDpoTu+KUXK6F7JXS/tABaCd0roftVM+NWRDqX/zfPeQ4tMR6WgxjJ&#10;dUjWIuOQQyZWZ74mdbI/2fQl7rohdOPSTe7EgQQ7Erp5CrfafZQhdGfOTJbQjYvKWLAFW0I3THYy&#10;WLunhtCdCWsJ3dxCwO1HrmBD6IYdzJEn99QQujNhLaEb6ulktrWEbpYxcq7XOLCW0J0Lawjd+M34&#10;sLZgS+gWcr33rSyhOxPWErpbDsZ538oSuiUFvcaGj141RJ14rDAT1hK6W1gsk8trDKEbvxl/3baF&#10;JXTnwhpCNyvaTek02RK6SZrPsWIHawjdmbCW0A2s3C9llMYSujEqpPd3Tw2hOxPWErpJmy6HPQys&#10;JXSzApwssy2hOxfWELo5zztZZnP+ciR0M4Dktib7UYbQnQlrCN2k3qZRbbms0wZCd7ud3ti2yF1n&#10;kRUT8ZBWETKJRbuqunihasnxCk9Zf3UenZ6/ZA9g5XNLy9IQYxrx8Ov+4c83t7J9G/nZF3fv2cTV&#10;zOLjmxc/7u7frXzuz4fd47vLp//8YXe4uby4X/ncFz99un94ektO7XeXX5/PLWc/JSEIPJwvy80t&#10;fG5oQ+xVhYQ0Q6ISx+eWzd9r3iDAR96IOFS+Lp9b95NfYGh/hy0b+WqBJjl+xAtv/92yujyf+zyC&#10;lZlHsGyuCZ/7PIQVmodwNC7P5z4PYYXmISx/a8LnPg9hheYhLBFLszKNOT/PQ1iheQjLw5rwuc9D&#10;WKF5CEvnVD73duD2noewQvMQlpHJAoRcJQkNZYXmISyBU/ncY6bX87WwQvMQL/C5xzzQ5zGcVAKI&#10;HavK505oK8kmlGND7GgNK+liTGf+Sk2sVEJN7HhNB7FSao6Fz/26SbTDVjfUxnTMr1THSqUi2dGr&#10;e2jV/GBxCbpTkewg1m2zkbf5Sp2cVGi0+dazY1n53AkGgOjFUeNS62SHtG6OjenNX6mTlUpFsiN7&#10;wud+BclKJSIJ72sceboFltB6TioVyY5x3fVKaD2XoDsVyQ70CZ/7fOtJ1p6xJVKR7Gif8LlfQbJS&#10;qUh2tOt2VkrrWalUJGsjEsashH6y282O8xQM/741qKwJVz53iCQpVVBWwzPcZpTCEg7DrnGyML1t&#10;hUNwLFmYbrTCjuk4+9lYbCscgnbJyBhhK7zyudN4vTFvzEgL1phlcqtHAthRPE/XYsqUo3ietsXs&#10;Z0fxPH0TF8HqjG54pNd9onKaSjFdnMncoeedIpAZ2oprzD4ZfeVz/z/N58a3kFvqdUZn+l353Cuf&#10;+x9/3YeDTM9yjmk2QTesO/xdLAQpabi/2u5bxFBQeJpOj5fL4jdDdrNpkSToJh2nWjQAJe202e6J&#10;gaFcQFLyDHcTnxQJ65GrDNWAX5E6nKQ7BjCGiTIB4XOzoaRlnhYZEnSrf3MmQbd6Tuktqgm61Vkj&#10;yTpbaLYOmqA79uFJOu1wxZtOQBmAIUG3Ap6UGBJ0s3ARlTnNps0Vu9wYnNmgmqCbZSFlnhYZEnTr&#10;w3MJunNbNCToJlmZAJ7k/NYE3Vr7lxN0i9VFMr1BSdDdoIdBioRk5Mq2PUiC7jEfLzdP154XGiNO&#10;QTbaed0Bu3Y0G/9LSTfK51YHgCz1kp/aKL8m6NZ6sh1Mzl33NCTo1mbPhFU+tyodvFDJPW5glc+t&#10;bQE9syT5pX0aEnQPT80mhq+f/xUpRoHPHUV7krE5YwYtkwTdqihw27k73MFiGNiaXdLIyueOBfe0&#10;mmtG5XMPzcg3OdgYpVoEG/jcQ0Oxm+1hQ4Lu2PPFRi6qN40cQ1ZLYJXPHftW2tQXTLI3dvS1YHre&#10;UyZsgu5Mlao3ZMqW620ZdpCJN4UbQPC5+zpeJt72WzbKbG1jMGtJbZmuGBlDfWAg+IIDn3t4SloH&#10;/zQQROLTMewrjvfsuFU+dxQVe+sKhmpQDReL83mlT1bu+NyZsFz7O9wdwp0BzRC40uFlE3QTm279&#10;U8fnzoN1fG7oVr4+ZFXERsSRKSkH3QCKAbAlfSs3EnCoQzSKUxjoptOZPlwDH9SN5Iv+kxaZCRIo&#10;Rv3lqmZMsUW7KuEX6aRZ1PC5nOFStFDrU+WZMkQmhO7J8mAldP8ihG45OxT0iFNC9LExtMWWgwLx&#10;OoMzPeiMgY40coeSOl77nVOWkzJLDsX00AFFN3HZJ+Qxsslzt1F4mA6ohO7oYp2WyV3HkJpCmQXr&#10;CTdQFq4R8KsCI4I6cN3TpExunGEU6HhgveANTbXdMNflOmAVLcZJiVCHq5My640QunUKP5OhO9el&#10;DRm6Y87Qq9My5YBfvDapnyxJelhw8UvTe7Api0KuBhGluJqUyKVMUCajOsHIdRpK7l+OYOU2J2xu&#10;Ok3hpiVyI4u4WvopDZkM7YCAyrrhWqvwML12cpQK/mWQmpYog2/D8ZgwHMhvHUodKKnWd06Hw1sf&#10;7z4pcCR9MljpOu5nCoD4YGTJtRW0iJk+zjbQuVXRSP/I7Tmu4EDnHvzXbkIa3QY69+BmZrnNSudW&#10;k4FvvvHHiZTOrU+54GeSz1rzc2vjZ9Y20Lljnl/6dxIJ0PzcqkQM+Gn27kDnHtoiq7ZK59aCcZ56&#10;4pvGXuOPwxtV9cQDInrhnpr83Jm1ZVXHTmfsH+HeOiMKnRsesA5CnEyufbGwSude1MhSA+agoKtb&#10;rvue3ELCbSdbFpvBy+khIrtjgzY/d2Zt8dS5uEbHKz7zxNvBHx/zc8Mih/Nra+vo3HmOpM3PTRtv&#10;/e190Lk5lxd7nnzVpYf9Am+dKwNJ56zNyBd7941AEemcB12V0JGtLacW+MxF4xY6Nw05jFu5a8sW&#10;bOncW6YGv8p2dO68Rrb5ueVctF9lF+WGQw+xLThA4Gv7Bd56AUubuELUZBawrrb0PDeRxR4gM7kb&#10;1GOXHxmR80uwK24tiPMpUcl2UktyyutoLSWhvxvLinZmspm66zj0K6Fb1JaGGGnaK6H7cv/jzeH2&#10;fv+ZzZ394R9/jL/emX/nn55hK/P08mIldD/C3n56/M2voXDLH78soRtzQM4AblL8UkK3mgoiD1sC&#10;L2q8HZlbloBC5u64tJHFgg6Tr0vm1t3gF+jZ34E9knmEI3n8iBfedmTuLWut7chJOo9A+2Ug4BeP&#10;b8fpayAsnoewQvOVwO8bIeLEPA9hheYhcLaOEFyN2/cjX/V8LazQPASuxggRnan5WliheQg8uxGC&#10;6zfxpUaa6vlaWKF5CPyaI0RqxlwrNA+BlzJCNLjGm81IeDxfCys0D4GTMELI3UaEIOb7wgrNQzha&#10;dstKiuDIPIaTSgCxYzUsccuRrHe+rU7I3DM2xI7WdBArxbYssZN5a2UHbTqSldKqzCPZscuxSg5W&#10;JmiAsKVGvUlFskM43pOcoAdWKhXJjmQi8hXHnhOQrFQqkh3QbFBKYCwByUqlItlxLeFH5rAEJCuV&#10;imSHN0slTqqP5yJeGUpWKhGJ0o5aJJ1EFoL5OjmpVCRrHojBcTdWQus5Rncqkh3tBZEFeiqhTlYq&#10;FcmNdoLiKd1ETOHY5KlAdrAnDCQ5SpxrHBw1OwXDmgX2XquumzV1REmP35WC4d+3HiarwZXKHcJT&#10;suOXlGkapWClMDJch9VCmjC9bYXzyLV0oxUOQevkz8ZUW+GVyv2QQNuPl1mPnc1vXRum9fZK5T6O&#10;E+WRJKtrTPFwbPkQhUwXZxa36q47m8niMjVbcXUX0sWZpZ34cD48TW0iTXSsO79ztE6mRoeeZ99i&#10;Ao0jep6Fi2lpjuJ5Nk7mNvfxzsppD3yl1NzqNTCV/nJUbi6VZAMt1AgObjNJMdqwraATAjvzcF80&#10;MBUJhSG0EyTPRLhfojOwtYILEaROSmTTmhSGOnudMpDtPkUGIJtPwu+TLjslNfMMxKH2k31Hux+T&#10;DkiB0Fa1zBMGcsn9tGTdjIBTBnKpQaDwNB2wgmNbR3bBCQOZzWs+Qvv3hC1st9cy8Nh+hyutdTgp&#10;s4ZfQOQhPoVVFQoe9uBjgCizhuxcsjmpZRYnRbL/MjBSTjnIym5UFU6vYsOWzibesnvCQYYCABGA&#10;VQQaxaggCbEdFTF4lFnDhrREm4H1dVIka90aSqcAQvB2DRoDSZlwoDXklNYqnBRZdzW7hOEh1FhH&#10;rowxpVw4GKlF3J2Ed++LFPIIHazfEq5Nts0ZAzKZgJCoYXWrISk3ZEx1Jwu4VB32wjBCYaC4XViL&#10;qCGkYWpz5szvGkaLCLObsE74WFjzUKUmVenlkm/pRr6OkxGTp63kUJOn0ezHGXUeVm70jIwlQgiT&#10;lGjcJ1wxQLRg+tp/VAxDLYElfTDBEVVLWDeYIVuflpQYRGkiLOcU3CiJMalFsBv4MBtdK3SkFfb8&#10;CO4YD7dth2bE8k0IThqgWgLLzEgsI8LSoD43GT8LqWKAxch5mlqMVi2BZXup20YSSgeva3KpOgNZ&#10;yD9aWy6Td40cQ1eLYMXgRGpWB+PG2zguO5c8xFowTIoJE1rjWEtg8Q1kZKhoTfJ3t5teCQsljmpY&#10;uJUnlMeg1hLYkjEivBRpRnZhSKhsNRn6l2Rx04I50OLZBjHCtQhW8r1Hy9dBzfGWnTkm3NMb+raC&#10;ZOd4DDHctQQW0gZ+Vuy9EoaRs0MQMDfQB2Nb4Bs608k9AMS+lqDiMWyGAdKy1+WamL4b2l8OL/Tu&#10;ixbZxCvYMCq4rSp4XrZDr4qW4HGoBCcyas/UVyENc4mQ+POzFvhYIGlWiYF7NC6J1ybjVmXSc9qH&#10;inbGMZkSRCZ8bpksOO45rBFWPvcvwufGn1OzTrotP8MJn5sMvkGPzvSgU5yRzw3tS7Xv6qRM5XNH&#10;x+VlPrcO3HTANUH3mqA7V0n/myfohui6VSeDk3HTG3PgAcsUL9Mu3iOLWWuv3eIgbIUkzxEQyTl4&#10;MKzigq/P9DIsjLfigjA3CGzbsWqfLh2WLw7Yf4tLPZymxrtULFjgCEQHkhlTmUXjR1FDmLPhozLX&#10;JJIReuA4d4VMs7YZcWoJHg3ucgdDyD1tWIAOfp6lO81PxFzG0VO2fjFsTL+045BXuFYmuFRNzTLC&#10;wrIiLrbLVmDE0PjOcU2C5+YKJsSEhxA/ikM6zquFDc5nLmpksjazNtDZoiMs4f1wTmcSNIl+a83u&#10;svPkOHgm7N0lfUteb4IjQ336jSdPE/6SAwixtsS7nKdHlANyefyovL6t5CRU9NI7vDZ/6Qp8bjKh&#10;xp6nYH9gAv+5gMK/pLayii1Yq6sfLpnYbd9SU2KWccXC+Sd/mJvAoxwaHWSPxL15TS4bOUs8NBSH&#10;DZwLW3Igc1S4hr/9U7StjRG6zHFbMCi4T0y/mKPC3hXH5eHYR2wLetbnSC+4waofVqN5fVs0sCiH&#10;huLMu3fYGTElC/v4UYH6bUwnEQ/IDIsaWczfGBppWV3bruWsAuNaQUvRPfswxN1it+dVtcbGYO9U&#10;nSrW1rZYMiZ0cfHVsQL3a774LXlwEkdXNI4ko0YOTRK7y4dgg4j020eKRUSBYSX/nrQMumKLQAsk&#10;aNr5Y62YohiFh0vv7b1infFop4sgPmRlycceWVnyL7HhV5b8T3/bHSDA794+7L/54Xl/e/csI1j4&#10;8N/v3//8p0P88X+PJU+0XXbFMGdfmPZcTQX3fhB6jqZsZcmr3f7wPrbtsK/9d6ankRu2suSj8/XS&#10;gQXcnbGhVpb8Kw2FCzY21MqSHx2xl3RKvLixrWLYYJ6c6qQSqPh2iKeDWKmVJb97d/lPby5Wlvyn&#10;e20JXTHOUnyFNDQqeNxqTFBwK5WKxNpuRFpZ8pn9JMGJsfVWlnw8uzir3itLXpmMKRTkEEMY3M7v&#10;QigqWRjtJAAxCo/BhiSiuwb0RuE8FqlGRUbhPA6pRshG4bAWSa6zRvVG4RB4SRbW6NsoHLbKk4U1&#10;hjYKh3hXsrCG2EbhwDVJFpZDhrajdS81XVzjSiO4BjzTxSdqtrLk05tuonCEwmM8MGmIrix5Y9zy&#10;rNvKkv9eQxtjwFdjv9Mr6uMWx8qSlxzfK0t+SthS3s3Kkl9Z8sEDObPP9AJVa2XJryx5NR4rSz5x&#10;B3hlyR8pXStL/tgWK0s+jUGxsuTlDo6VJT/PD4OZRRLM4NHA8CZaaRhR5HGFyhmekW5aDriahytL&#10;3jeuzvArS35lyb/KQ3tpfQA9ejjuWUAAdsOMzOekqNWQ6ZUwu80QXJz4HMuo0bhJgZzhGm9a4lwp&#10;R/MMmuWspy9+kFpZ8m/VOKws+aMnt7LkE5dCK0v+qDQrS/7YFitLfhqgfckfW1nyK0texsz9w59v&#10;bi/u3svtpZfyDyPn/eLH3f27y9319c3Dc6GPPu7e3+g/Nxv+T5wgtjlHifArFCgFSU6lsexYwPXH&#10;m083v70/+LK1mPi+iN7c3t5cP4/Cm9c+TIVHiYC8fzgKf7p72B9eKuCeWkVkfZ/PFwr30/PP9zea&#10;3VzZ3BeHPdnfcV6fHq+/vTs8Pf9h9/T8p90BNhf/KLnhV5a8NPvuR7JyaYs+0kp/zWHJ0/If3n7+&#10;AKkehfpw2D1+vLv+3e55Z3+H/nl7U+4/7u/f3xx+838AAAD//wMAUEsDBBQABgAIAAAAIQB6dxrv&#10;4gAAAAsBAAAPAAAAZHJzL2Rvd25yZXYueG1sTI/BSsNAEIbvgu+wjOCt3SS1pYnZlFLUUxFsBfG2&#10;zU6T0OxsyG6T9O0dT3qbYT7++f58M9lWDNj7xpGCeB6BQCqdaahS8Hl8na1B+KDJ6NYRKrihh01x&#10;f5frzLiRPnA4hEpwCPlMK6hD6DIpfVmj1X7uOiS+nV1vdeC1r6Tp9cjhtpVJFK2k1Q3xh1p3uKux&#10;vByuVsHbqMftIn4Z9pfz7vZ9XL5/7WNU6vFh2j6DCDiFPxh+9VkdCnY6uSsZL1oFs8UyZpSH9AkE&#10;A2mSJiBOTMbrVQSyyOX/DsUPAAAA//8DAFBLAQItABQABgAIAAAAIQC2gziS/gAAAOEBAAATAAAA&#10;AAAAAAAAAAAAAAAAAABbQ29udGVudF9UeXBlc10ueG1sUEsBAi0AFAAGAAgAAAAhADj9If/WAAAA&#10;lAEAAAsAAAAAAAAAAAAAAAAALwEAAF9yZWxzLy5yZWxzUEsBAi0AFAAGAAgAAAAhAGJI+TQiNgAA&#10;IWABAA4AAAAAAAAAAAAAAAAALgIAAGRycy9lMm9Eb2MueG1sUEsBAi0AFAAGAAgAAAAhAHp3Gu/i&#10;AAAACwEAAA8AAAAAAAAAAAAAAAAAfDgAAGRycy9kb3ducmV2LnhtbFBLBQYAAAAABAAEAPMAAACL&#10;OQAAAAA=&#10;" o:allowoverlap="f">
                      <v:rect id="Rectangle 5" o:spid="_x0000_s1027" style="position:absolute;top:7281;width:77165;height:59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7eBywAAAOIAAAAPAAAAZHJzL2Rvd25yZXYueG1sRI/NagIx&#10;FIX3hb5DuIVuSs0oMurUKKVFECq2VRddXia3M0OTmyGJztSnNwvB5eH88c2XvTXiRD40jhUMBxkI&#10;4tLphisFh/3qeQoiRGSNxjEp+KcAy8X93RwL7Tr+ptMuViKNcChQQR1jW0gZyposhoFriZP367zF&#10;mKSvpPbYpXFr5CjLcmmx4fRQY0tvNZV/u6NVsArmZ9MZ1/mnuD1Mvz7On6Pju1KPD/3rC4hIfbyF&#10;r+21VjDJZ/k4G04SREJKOCAXFwAAAP//AwBQSwECLQAUAAYACAAAACEA2+H2y+4AAACFAQAAEwAA&#10;AAAAAAAAAAAAAAAAAAAAW0NvbnRlbnRfVHlwZXNdLnhtbFBLAQItABQABgAIAAAAIQBa9CxbvwAA&#10;ABUBAAALAAAAAAAAAAAAAAAAAB8BAABfcmVscy8ucmVsc1BLAQItABQABgAIAAAAIQBSg7eBywAA&#10;AOIAAAAPAAAAAAAAAAAAAAAAAAcCAABkcnMvZG93bnJldi54bWxQSwUGAAAAAAMAAwC3AAAA/wIA&#10;AAAA&#10;" fillcolor="white [3212]" strokecolor="#a5a5a5 [2092]" strokeweight="1pt"/>
                      <v:rect id="Rectangle 5" o:spid="_x0000_s1028" style="position:absolute;top:-1689;width:77165;height:8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f1ygAAAOIAAAAPAAAAZHJzL2Rvd25yZXYueG1sRI9BTwIx&#10;FITvJvyH5pF4k3YBFRYKAYnReHOF+8v2sd2wfd1sK7v6662JicfJzHyTWW8H14grdaH2rCGbKBDE&#10;pTc1VxqOH893CxAhIhtsPJOGLwqw3Yxu1pgb3/M7XYtYiQThkKMGG2ObSxlKSw7DxLfEyTv7zmFM&#10;squk6bBPcNfIqVIP0mHNacFiS0+Wykvx6TQUh8VpenlbftuXvj7MjsUuy/aV1rfjYbcCEWmI/+G/&#10;9qvRsFRqPn/M7mfweyndAbn5AQAA//8DAFBLAQItABQABgAIAAAAIQDb4fbL7gAAAIUBAAATAAAA&#10;AAAAAAAAAAAAAAAAAABbQ29udGVudF9UeXBlc10ueG1sUEsBAi0AFAAGAAgAAAAhAFr0LFu/AAAA&#10;FQEAAAsAAAAAAAAAAAAAAAAAHwEAAF9yZWxzLy5yZWxzUEsBAi0AFAAGAAgAAAAhAAOat/XKAAAA&#10;4gAAAA8AAAAAAAAAAAAAAAAABwIAAGRycy9kb3ducmV2LnhtbFBLBQYAAAAAAwADALcAAAD+AgAA&#10;AAA=&#10;" fillcolor="#e5e97a" strokecolor="#a5a5a5 [2092]" strokeweight="1pt"/>
                      <v:rect id="Rectangle 5" o:spid="_x0000_s1029" style="position:absolute;top:2195;width:77165;height:5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Gb/zAAAAOMAAAAPAAAAZHJzL2Rvd25yZXYueG1sRI9Bb8Iw&#10;DIXvk/YfIiPtNpIyYKgQ0LQxCY0DgnHgaDWmjWicqklp9++Xw6Qd7ff83ufVZnC1uFMbrGcN2ViB&#10;IC68sVxqOH9/Pi9AhIhssPZMGn4owGb9+LDC3Piej3Q/xVKkEA45aqhibHIpQ1GRwzD2DXHSrr51&#10;GNPYltK02KdwV8uJUnPp0HJqqLCh94qK26lzGqav2/P2EL/s3l52C8w+usuk77R+Gg1vSxCRhvhv&#10;/rvemYQ/e5nOlMrmCTr9lBYg178AAAD//wMAUEsBAi0AFAAGAAgAAAAhANvh9svuAAAAhQEAABMA&#10;AAAAAAAAAAAAAAAAAAAAAFtDb250ZW50X1R5cGVzXS54bWxQSwECLQAUAAYACAAAACEAWvQsW78A&#10;AAAVAQAACwAAAAAAAAAAAAAAAAAfAQAAX3JlbHMvLnJlbHNQSwECLQAUAAYACAAAACEAdwhm/8wA&#10;AADjAAAADwAAAAAAAAAAAAAAAAAHAgAAZHJzL2Rvd25yZXYueG1sUEsFBgAAAAADAAMAtwAAAAAD&#10;AAAAAA==&#10;" fillcolor="#fbfade" strokecolor="#a5a5a5 [2092]" strokeweight="1pt"/>
                      <v:rect id="Rectangle 5" o:spid="_x0000_s1030" style="position:absolute;left:106;top:15080;width:77165;height:6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VeiywAAAOIAAAAPAAAAZHJzL2Rvd25yZXYueG1sRI9BS8NA&#10;FITvQv/D8gRvdpNU0xC7LUUrFD2ItYceH9lnsph9G7KbJv77bkHwOMzMN8xqM9lWnKn3xrGCdJ6A&#10;IK6cNlwrOH693hcgfEDW2DomBb/kYbOe3ayw1G7kTzofQi0ihH2JCpoQulJKXzVk0c9dRxy9b9db&#10;DFH2tdQ9jhFuW5klSS4tGo4LDXb03FD1cxisgofl7rj7CG/m3Zz2BaYvwykbB6XubqftE4hAU/gP&#10;/7X3WsEiXWSPeV4s4Xop3gG5vgAAAP//AwBQSwECLQAUAAYACAAAACEA2+H2y+4AAACFAQAAEwAA&#10;AAAAAAAAAAAAAAAAAAAAW0NvbnRlbnRfVHlwZXNdLnhtbFBLAQItABQABgAIAAAAIQBa9CxbvwAA&#10;ABUBAAALAAAAAAAAAAAAAAAAAB8BAABfcmVscy8ucmVsc1BLAQItABQABgAIAAAAIQBvgVeiywAA&#10;AOIAAAAPAAAAAAAAAAAAAAAAAAcCAABkcnMvZG93bnJldi54bWxQSwUGAAAAAAMAAwC3AAAA/wIA&#10;AAAA&#10;" fillcolor="#fbfade" strokecolor="#a5a5a5 [2092]" strokeweight="1pt"/>
                      <v:rect id="Rectangle 5" o:spid="_x0000_s1031" style="position:absolute;left:106;top:29659;width:77165;height:6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743xwAAAOIAAAAPAAAAZHJzL2Rvd25yZXYueG1sRE/Pa8Iw&#10;FL4P9j+EN9hNU6VUrUYZmwOZB5nz4PHRPNtg81Ka1Hb//SIIO358v1ebwdbiRq03jhVMxgkI4sJp&#10;w6WC08/naA7CB2SNtWNS8EseNuvnpxXm2vX8TbdjKEUMYZ+jgiqEJpfSFxVZ9GPXEEfu4lqLIcK2&#10;lLrFPobbWk6TJJMWDceGCht6r6i4HjurIJ1tT9tD+DJ7c97NcfLRnad9p9Try/C2BBFoCP/ih3un&#10;4/xZmmWLLEnhfilikOs/AAAA//8DAFBLAQItABQABgAIAAAAIQDb4fbL7gAAAIUBAAATAAAAAAAA&#10;AAAAAAAAAAAAAABbQ29udGVudF9UeXBlc10ueG1sUEsBAi0AFAAGAAgAAAAhAFr0LFu/AAAAFQEA&#10;AAsAAAAAAAAAAAAAAAAAHwEAAF9yZWxzLy5yZWxzUEsBAi0AFAAGAAgAAAAhAKmnvjfHAAAA4gAA&#10;AA8AAAAAAAAAAAAAAAAABwIAAGRycy9kb3ducmV2LnhtbFBLBQYAAAAAAwADALcAAAD7AgAAAAA=&#10;" fillcolor="#fbfade" strokecolor="#a5a5a5 [2092]" strokeweight="1pt"/>
                      <v:rect id="Rectangle 5" o:spid="_x0000_s1032" style="position:absolute;top:43271;width:77165;height:8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LQNzAAAAOIAAAAPAAAAZHJzL2Rvd25yZXYueG1sRI/NasMw&#10;EITvhbyD2EBvjWzX+cGNEkqbQmgOIWkOOS7W1ha1VsaSY/ftq0Khx2FmvmHW29E24kadN44VpLME&#10;BHHptOFKweXj7WEFwgdkjY1jUvBNHrabyd0aC+0GPtHtHCoRIewLVFCH0BZS+rImi37mWuLofbrO&#10;Yoiyq6TucIhw28gsSRbSouG4UGNLLzWVX+feKsiXu8vuGN7NwVz3K0xf+2s29ErdT8fnJxCBxvAf&#10;/mvvtYJ5vlhm8/wxhd9L8Q7IzQ8AAAD//wMAUEsBAi0AFAAGAAgAAAAhANvh9svuAAAAhQEAABMA&#10;AAAAAAAAAAAAAAAAAAAAAFtDb250ZW50X1R5cGVzXS54bWxQSwECLQAUAAYACAAAACEAWvQsW78A&#10;AAAVAQAACwAAAAAAAAAAAAAAAAAfAQAAX3JlbHMvLnJlbHNQSwECLQAUAAYACAAAACEAiVC0DcwA&#10;AADiAAAADwAAAAAAAAAAAAAAAAAHAgAAZHJzL2Rvd25yZXYueG1sUEsFBgAAAAADAAMAtwAAAAAD&#10;AAAAAA==&#10;" fillcolor="#fbfade" strokecolor="#a5a5a5 [2092]" strokeweight="1pt"/>
                      <v:rect id="Rectangle 5" o:spid="_x0000_s1033" style="position:absolute;top:65954;width:77165;height:8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EKxwAAAOIAAAAPAAAAZHJzL2Rvd25yZXYueG1sRE/Pa8Iw&#10;FL4P9j+EN/A203QypTOKOAXZDmPOg8dH82yDzUtpUtv998tgsOPH93u5Hl0jbtQF61mDmmYgiEtv&#10;LFcaTl/7xwWIEJENNp5JwzcFWK/u75ZYGD/wJ92OsRIphEOBGuoY20LKUNbkMEx9S5y4i+8cxgS7&#10;SpoOhxTuGpln2bN0aDk11NjStqbyeuydhtl8d9p9xDf7bs+HBarX/pwPvdaTh3HzAiLSGP/Ff+6D&#10;SfNzNcuf1FzB76WEQa5+AAAA//8DAFBLAQItABQABgAIAAAAIQDb4fbL7gAAAIUBAAATAAAAAAAA&#10;AAAAAAAAAAAAAABbQ29udGVudF9UeXBlc10ueG1sUEsBAi0AFAAGAAgAAAAhAFr0LFu/AAAAFQEA&#10;AAsAAAAAAAAAAAAAAAAAHwEAAF9yZWxzLy5yZWxzUEsBAi0AFAAGAAgAAAAhACox0QrHAAAA4gAA&#10;AA8AAAAAAAAAAAAAAAAABwIAAGRycy9kb3ducmV2LnhtbFBLBQYAAAAAAwADALcAAAD7AgAAAAA=&#10;" fillcolor="#fbfade" strokecolor="#a5a5a5 [2092]" strokeweight="1pt"/>
                      <w10:wrap anchorx="margin" anchory="page"/>
                      <w10:anchorlock/>
                    </v:group>
                  </w:pict>
                </mc:Fallback>
              </mc:AlternateContent>
            </w:r>
            <w:r w:rsidR="006F4F7B" w:rsidRPr="00EB6AA8">
              <w:rPr>
                <w:color w:val="000000"/>
              </w:rPr>
              <w:t>Key findings</w:t>
            </w:r>
          </w:p>
        </w:tc>
      </w:tr>
      <w:tr w:rsidR="0031100F" w14:paraId="3B7A3F5D" w14:textId="77777777" w:rsidTr="002E6DFD">
        <w:tc>
          <w:tcPr>
            <w:tcW w:w="562" w:type="dxa"/>
            <w:vAlign w:val="center"/>
          </w:tcPr>
          <w:p w14:paraId="53C7C297"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1</w:t>
            </w:r>
          </w:p>
        </w:tc>
        <w:tc>
          <w:tcPr>
            <w:tcW w:w="8652" w:type="dxa"/>
            <w:shd w:val="clear" w:color="auto" w:fill="auto"/>
            <w:vAlign w:val="center"/>
          </w:tcPr>
          <w:p w14:paraId="3180F66B" w14:textId="5F7706D9" w:rsidR="0031100F" w:rsidRDefault="009B40A3" w:rsidP="00E86285">
            <w:pPr>
              <w:pStyle w:val="Bullet1"/>
              <w:spacing w:before="60" w:after="60" w:line="240" w:lineRule="auto"/>
              <w:ind w:left="0" w:firstLine="0"/>
              <w:jc w:val="left"/>
            </w:pPr>
            <w:r>
              <w:t>Aboriginal and Torres Strait Islander people have diverse experiences of the health system</w:t>
            </w:r>
            <w:r w:rsidR="00A37DCC">
              <w:t>.</w:t>
            </w:r>
          </w:p>
        </w:tc>
      </w:tr>
      <w:tr w:rsidR="0031100F" w14:paraId="24C30B82" w14:textId="77777777" w:rsidTr="002E6DFD">
        <w:tc>
          <w:tcPr>
            <w:tcW w:w="562" w:type="dxa"/>
            <w:vAlign w:val="center"/>
          </w:tcPr>
          <w:p w14:paraId="5BDD9A1E"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2</w:t>
            </w:r>
          </w:p>
        </w:tc>
        <w:tc>
          <w:tcPr>
            <w:tcW w:w="8652" w:type="dxa"/>
            <w:shd w:val="clear" w:color="auto" w:fill="auto"/>
            <w:vAlign w:val="center"/>
          </w:tcPr>
          <w:p w14:paraId="5F6E47BD" w14:textId="744E9E6D" w:rsidR="0031100F" w:rsidRDefault="009B40A3" w:rsidP="00E86285">
            <w:pPr>
              <w:pStyle w:val="Bullet1"/>
              <w:spacing w:before="60" w:after="60" w:line="240" w:lineRule="auto"/>
              <w:ind w:left="0" w:firstLine="0"/>
              <w:jc w:val="left"/>
            </w:pPr>
            <w:r>
              <w:t xml:space="preserve">The elements of health care that are valued by </w:t>
            </w:r>
            <w:r w:rsidRPr="00A55751">
              <w:t xml:space="preserve">Aboriginal and Torres Strait Islander people </w:t>
            </w:r>
            <w:r>
              <w:t xml:space="preserve">are </w:t>
            </w:r>
            <w:r w:rsidRPr="00A55751">
              <w:t>not well supported at the various levels of care across the different parts of the health system</w:t>
            </w:r>
            <w:r w:rsidR="00A37DCC">
              <w:t>.</w:t>
            </w:r>
          </w:p>
        </w:tc>
      </w:tr>
      <w:tr w:rsidR="0031100F" w14:paraId="4E6FB73D" w14:textId="77777777" w:rsidTr="002E6DFD">
        <w:tc>
          <w:tcPr>
            <w:tcW w:w="562" w:type="dxa"/>
            <w:vAlign w:val="center"/>
          </w:tcPr>
          <w:p w14:paraId="699D38A4"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3</w:t>
            </w:r>
          </w:p>
        </w:tc>
        <w:tc>
          <w:tcPr>
            <w:tcW w:w="8652" w:type="dxa"/>
            <w:shd w:val="clear" w:color="auto" w:fill="auto"/>
            <w:vAlign w:val="center"/>
          </w:tcPr>
          <w:p w14:paraId="4F92D12E" w14:textId="0720B583" w:rsidR="0031100F" w:rsidRDefault="009B40A3" w:rsidP="00E86285">
            <w:pPr>
              <w:pStyle w:val="Bullet1"/>
              <w:spacing w:before="60" w:after="60" w:line="240" w:lineRule="auto"/>
              <w:ind w:left="0" w:firstLine="0"/>
              <w:jc w:val="left"/>
            </w:pPr>
            <w:r w:rsidRPr="00A55751">
              <w:t xml:space="preserve">Discordance was predominantly experienced when people left </w:t>
            </w:r>
            <w:r>
              <w:t xml:space="preserve">community-led service settings to </w:t>
            </w:r>
            <w:r w:rsidRPr="00A55751">
              <w:t xml:space="preserve">access health care </w:t>
            </w:r>
            <w:r>
              <w:t xml:space="preserve">that is not available in primary care settings, such as </w:t>
            </w:r>
            <w:r w:rsidRPr="00A55751">
              <w:t>specialist services and tertiary care</w:t>
            </w:r>
            <w:r w:rsidR="00A37DCC">
              <w:t>.</w:t>
            </w:r>
          </w:p>
        </w:tc>
      </w:tr>
      <w:tr w:rsidR="0031100F" w14:paraId="20199CFD" w14:textId="77777777" w:rsidTr="002E6DFD">
        <w:tc>
          <w:tcPr>
            <w:tcW w:w="562" w:type="dxa"/>
            <w:vAlign w:val="center"/>
          </w:tcPr>
          <w:p w14:paraId="2ED57DB9"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4</w:t>
            </w:r>
          </w:p>
        </w:tc>
        <w:tc>
          <w:tcPr>
            <w:tcW w:w="8652" w:type="dxa"/>
            <w:shd w:val="clear" w:color="auto" w:fill="auto"/>
            <w:vAlign w:val="center"/>
          </w:tcPr>
          <w:p w14:paraId="4F44DE86" w14:textId="5A7CEF1D" w:rsidR="0031100F" w:rsidRDefault="009B40A3" w:rsidP="00E86285">
            <w:pPr>
              <w:pStyle w:val="Bullet1"/>
              <w:spacing w:before="60" w:after="60" w:line="240" w:lineRule="auto"/>
              <w:ind w:left="0" w:firstLine="0"/>
              <w:jc w:val="left"/>
            </w:pPr>
            <w:r w:rsidRPr="00A55751">
              <w:t xml:space="preserve">People experience Aboriginal and Torres Strait Islander </w:t>
            </w:r>
            <w:r w:rsidR="00332C7F">
              <w:t>H</w:t>
            </w:r>
            <w:r w:rsidRPr="00A55751">
              <w:t xml:space="preserve">ealth </w:t>
            </w:r>
            <w:r w:rsidR="00332C7F">
              <w:t>W</w:t>
            </w:r>
            <w:r w:rsidRPr="00A55751">
              <w:t>orkers as the backbone of health services. Health workers were often people’s first point of contact with a health service, their translator, support person, advocate, and navigator in the health service and across the health system</w:t>
            </w:r>
            <w:r w:rsidR="00A37DCC">
              <w:t>.</w:t>
            </w:r>
          </w:p>
        </w:tc>
      </w:tr>
      <w:tr w:rsidR="0031100F" w14:paraId="0D03711D" w14:textId="77777777" w:rsidTr="002E6DFD">
        <w:tc>
          <w:tcPr>
            <w:tcW w:w="562" w:type="dxa"/>
            <w:vAlign w:val="center"/>
          </w:tcPr>
          <w:p w14:paraId="11A85561"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5</w:t>
            </w:r>
          </w:p>
        </w:tc>
        <w:tc>
          <w:tcPr>
            <w:tcW w:w="8652" w:type="dxa"/>
            <w:shd w:val="clear" w:color="auto" w:fill="auto"/>
            <w:vAlign w:val="center"/>
          </w:tcPr>
          <w:p w14:paraId="01E017F3" w14:textId="09097AE4" w:rsidR="0031100F" w:rsidRDefault="009B40A3" w:rsidP="00E86285">
            <w:pPr>
              <w:pStyle w:val="Bullet1"/>
              <w:spacing w:before="60" w:after="60" w:line="240" w:lineRule="auto"/>
              <w:ind w:left="0" w:firstLine="0"/>
              <w:jc w:val="left"/>
            </w:pPr>
            <w:r w:rsidRPr="00A55751">
              <w:t xml:space="preserve">ACCHSs made people feel welcome, comfortable and safe because they were places that provided care that aligned with </w:t>
            </w:r>
            <w:r>
              <w:t>what people value in health care and</w:t>
            </w:r>
            <w:r w:rsidRPr="00A55751">
              <w:t xml:space="preserve"> provided a place of connection to culture and to other Aboriginal and Torres Strait Islander people</w:t>
            </w:r>
            <w:r w:rsidR="00A37DCC">
              <w:t>.</w:t>
            </w:r>
          </w:p>
        </w:tc>
      </w:tr>
      <w:tr w:rsidR="0031100F" w14:paraId="13B286FA" w14:textId="77777777" w:rsidTr="002E6DFD">
        <w:tc>
          <w:tcPr>
            <w:tcW w:w="562" w:type="dxa"/>
            <w:vAlign w:val="center"/>
          </w:tcPr>
          <w:p w14:paraId="581722FA"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6</w:t>
            </w:r>
          </w:p>
        </w:tc>
        <w:tc>
          <w:tcPr>
            <w:tcW w:w="8652" w:type="dxa"/>
            <w:shd w:val="clear" w:color="auto" w:fill="auto"/>
            <w:vAlign w:val="center"/>
          </w:tcPr>
          <w:p w14:paraId="0AA5BF8F" w14:textId="4BBC2776" w:rsidR="0031100F" w:rsidRPr="001D37CB" w:rsidRDefault="009B40A3" w:rsidP="00E86285">
            <w:pPr>
              <w:pStyle w:val="Bullet1"/>
              <w:spacing w:before="60" w:after="60" w:line="240" w:lineRule="auto"/>
              <w:ind w:left="0" w:firstLine="0"/>
              <w:jc w:val="left"/>
            </w:pPr>
            <w:r w:rsidRPr="00A55751">
              <w:t xml:space="preserve">Experiences of poor quality care and care that </w:t>
            </w:r>
            <w:r>
              <w:t>was</w:t>
            </w:r>
            <w:r w:rsidRPr="00A55751">
              <w:t xml:space="preserve"> unsafe and traumatising were most common</w:t>
            </w:r>
            <w:r>
              <w:t>ly reported</w:t>
            </w:r>
            <w:r w:rsidRPr="00A55751">
              <w:t xml:space="preserve"> in tertiary care</w:t>
            </w:r>
            <w:r>
              <w:t xml:space="preserve"> settings</w:t>
            </w:r>
            <w:r w:rsidRPr="00A55751">
              <w:t xml:space="preserve"> and </w:t>
            </w:r>
            <w:r>
              <w:t xml:space="preserve">people </w:t>
            </w:r>
            <w:r w:rsidRPr="00A55751">
              <w:t xml:space="preserve">attributed </w:t>
            </w:r>
            <w:r>
              <w:t xml:space="preserve">these poor experiences </w:t>
            </w:r>
            <w:r w:rsidRPr="00A55751">
              <w:t xml:space="preserve">to racism, cost, staff negligence and </w:t>
            </w:r>
            <w:r>
              <w:t>lack of competency</w:t>
            </w:r>
            <w:r w:rsidR="00A37DCC">
              <w:t>.</w:t>
            </w:r>
          </w:p>
        </w:tc>
      </w:tr>
      <w:tr w:rsidR="0031100F" w14:paraId="6218A09F" w14:textId="77777777" w:rsidTr="002E6DFD">
        <w:tc>
          <w:tcPr>
            <w:tcW w:w="562" w:type="dxa"/>
            <w:vAlign w:val="center"/>
          </w:tcPr>
          <w:p w14:paraId="42F0D6DF"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7</w:t>
            </w:r>
          </w:p>
        </w:tc>
        <w:tc>
          <w:tcPr>
            <w:tcW w:w="8652" w:type="dxa"/>
            <w:shd w:val="clear" w:color="auto" w:fill="auto"/>
            <w:vAlign w:val="center"/>
          </w:tcPr>
          <w:p w14:paraId="2C700FBD" w14:textId="0C42C146" w:rsidR="0031100F" w:rsidRPr="001D37CB" w:rsidRDefault="009B40A3" w:rsidP="00E86285">
            <w:pPr>
              <w:pStyle w:val="Bullet1"/>
              <w:spacing w:before="60" w:after="60" w:line="240" w:lineRule="auto"/>
              <w:ind w:left="0" w:firstLine="0"/>
              <w:jc w:val="left"/>
            </w:pPr>
            <w:r>
              <w:t xml:space="preserve">While many </w:t>
            </w:r>
            <w:r w:rsidRPr="00A55751">
              <w:t>Aboriginal and Torres Strait Islander people experience</w:t>
            </w:r>
            <w:r>
              <w:t>d</w:t>
            </w:r>
            <w:r w:rsidRPr="00A55751">
              <w:t xml:space="preserve"> better quality of care in ACCHSs, </w:t>
            </w:r>
            <w:r>
              <w:t xml:space="preserve">some </w:t>
            </w:r>
            <w:r w:rsidRPr="00A55751">
              <w:t xml:space="preserve">people also reported </w:t>
            </w:r>
            <w:r>
              <w:t xml:space="preserve">issues with </w:t>
            </w:r>
            <w:r w:rsidRPr="00A55751">
              <w:t>health care at ACCHSs. People reflected on wait times, difficulties in seeing the same doctor, or a doctor at all, a lack of other specialist services, and perceived risks to confidentiality</w:t>
            </w:r>
            <w:r w:rsidR="00A37DCC">
              <w:t>.</w:t>
            </w:r>
          </w:p>
        </w:tc>
      </w:tr>
      <w:tr w:rsidR="0031100F" w14:paraId="253D0C25" w14:textId="77777777" w:rsidTr="002E6DFD">
        <w:tc>
          <w:tcPr>
            <w:tcW w:w="562" w:type="dxa"/>
            <w:vAlign w:val="center"/>
          </w:tcPr>
          <w:p w14:paraId="65D6E13B"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8</w:t>
            </w:r>
          </w:p>
        </w:tc>
        <w:tc>
          <w:tcPr>
            <w:tcW w:w="8652" w:type="dxa"/>
            <w:shd w:val="clear" w:color="auto" w:fill="auto"/>
            <w:vAlign w:val="center"/>
          </w:tcPr>
          <w:p w14:paraId="7F8B7CBB" w14:textId="77FD4104" w:rsidR="0031100F" w:rsidRPr="001D37CB" w:rsidRDefault="009B40A3" w:rsidP="00E86285">
            <w:pPr>
              <w:pStyle w:val="Bullet1"/>
              <w:spacing w:before="60" w:after="60" w:line="240" w:lineRule="auto"/>
              <w:ind w:left="0" w:firstLine="0"/>
              <w:jc w:val="left"/>
            </w:pPr>
            <w:r>
              <w:t>Aboriginal and Torres Strait Islander people</w:t>
            </w:r>
            <w:r w:rsidRPr="00A55751">
              <w:t xml:space="preserve"> identified </w:t>
            </w:r>
            <w:r>
              <w:t xml:space="preserve">various </w:t>
            </w:r>
            <w:r w:rsidRPr="00A55751">
              <w:t>quality of care concerns</w:t>
            </w:r>
            <w:r>
              <w:t xml:space="preserve"> across all health</w:t>
            </w:r>
            <w:r w:rsidR="006D2482">
              <w:t xml:space="preserve"> </w:t>
            </w:r>
            <w:r>
              <w:t>care settings</w:t>
            </w:r>
            <w:r w:rsidRPr="00A55751">
              <w:t xml:space="preserve"> including a lack of access to health care because of location; a lack of choice about their health care; limited resourcing which resulted in the withdrawal of GPs, visiting specialist</w:t>
            </w:r>
            <w:r>
              <w:t>s</w:t>
            </w:r>
            <w:r w:rsidRPr="00A55751">
              <w:t xml:space="preserve"> and programs; an absence of holistic approaches to care; feeling unvalued as a result of experiences of paternalism, discrimination and racism; poor communication between health professionals and clients; poor access to a comprehensive suite of services; and experiences of culturally-unsafe care</w:t>
            </w:r>
            <w:r w:rsidR="00A37DCC">
              <w:t>.</w:t>
            </w:r>
          </w:p>
        </w:tc>
      </w:tr>
      <w:tr w:rsidR="0031100F" w14:paraId="43D047F4" w14:textId="77777777" w:rsidTr="002E6DFD">
        <w:trPr>
          <w:trHeight w:val="19"/>
        </w:trPr>
        <w:tc>
          <w:tcPr>
            <w:tcW w:w="562" w:type="dxa"/>
            <w:vAlign w:val="center"/>
          </w:tcPr>
          <w:p w14:paraId="3207A4CF" w14:textId="77777777" w:rsidR="0031100F" w:rsidRPr="00BD3BBE" w:rsidRDefault="0031100F" w:rsidP="00E86285">
            <w:pPr>
              <w:pStyle w:val="Bullet1"/>
              <w:spacing w:before="60" w:after="60" w:line="240" w:lineRule="auto"/>
              <w:ind w:left="0" w:firstLine="0"/>
              <w:jc w:val="center"/>
              <w:rPr>
                <w:sz w:val="56"/>
                <w:szCs w:val="56"/>
              </w:rPr>
            </w:pPr>
            <w:r w:rsidRPr="00BD3BBE">
              <w:rPr>
                <w:rFonts w:ascii="Calibri" w:hAnsi="Calibri" w:cs="Calibri"/>
                <w:b/>
                <w:bCs/>
                <w:sz w:val="56"/>
                <w:szCs w:val="56"/>
              </w:rPr>
              <w:t>9</w:t>
            </w:r>
          </w:p>
        </w:tc>
        <w:tc>
          <w:tcPr>
            <w:tcW w:w="8652" w:type="dxa"/>
            <w:shd w:val="clear" w:color="auto" w:fill="auto"/>
            <w:vAlign w:val="center"/>
          </w:tcPr>
          <w:p w14:paraId="6A4A69F8" w14:textId="49B42532" w:rsidR="0031100F" w:rsidRPr="001D37CB" w:rsidRDefault="009B40A3" w:rsidP="00E86285">
            <w:pPr>
              <w:pStyle w:val="Bullet1"/>
              <w:spacing w:before="60" w:after="60" w:line="240" w:lineRule="auto"/>
              <w:ind w:left="0" w:firstLine="0"/>
              <w:jc w:val="left"/>
            </w:pPr>
            <w:r w:rsidRPr="00A55751">
              <w:t>As a consequence of their experiences</w:t>
            </w:r>
            <w:r>
              <w:t xml:space="preserve"> of the health system</w:t>
            </w:r>
            <w:r w:rsidRPr="00A55751">
              <w:t xml:space="preserve">, people </w:t>
            </w:r>
            <w:r>
              <w:t>reported feeling compelled to</w:t>
            </w:r>
            <w:r w:rsidRPr="00A55751">
              <w:t xml:space="preserve"> tak</w:t>
            </w:r>
            <w:r>
              <w:t>e</w:t>
            </w:r>
            <w:r w:rsidRPr="00A55751">
              <w:t xml:space="preserve"> more responsibility for their own health and </w:t>
            </w:r>
            <w:r>
              <w:t xml:space="preserve">the health of </w:t>
            </w:r>
            <w:r w:rsidRPr="00A55751">
              <w:t xml:space="preserve">their family and community. </w:t>
            </w:r>
            <w:r>
              <w:t xml:space="preserve">People reported that their </w:t>
            </w:r>
            <w:r w:rsidRPr="00A55751">
              <w:t xml:space="preserve">experiences </w:t>
            </w:r>
            <w:r>
              <w:t xml:space="preserve">make them feel </w:t>
            </w:r>
            <w:r w:rsidRPr="00A55751">
              <w:t>concerned for future generations of Aboriginal and Torres Strait Islander people</w:t>
            </w:r>
            <w:r w:rsidR="00A37DCC">
              <w:t>.</w:t>
            </w:r>
          </w:p>
        </w:tc>
      </w:tr>
    </w:tbl>
    <w:p w14:paraId="37B6C9A7" w14:textId="5B48579E" w:rsidR="00957AA9" w:rsidRDefault="009E195B" w:rsidP="0035030F">
      <w:pPr>
        <w:pStyle w:val="Heading2"/>
      </w:pPr>
      <w:bookmarkStart w:id="164" w:name="_Toc137208910"/>
      <w:r w:rsidRPr="009E195B">
        <w:lastRenderedPageBreak/>
        <w:t>Overview</w:t>
      </w:r>
      <w:bookmarkEnd w:id="164"/>
    </w:p>
    <w:p w14:paraId="4EFB54C7" w14:textId="2572B9CF" w:rsidR="00957AA9" w:rsidRDefault="00957AA9" w:rsidP="00957AA9">
      <w:r>
        <w:t xml:space="preserve">This section examines how Aboriginal and Torres Strait Islander experience the health system (Evaluation Question 1.2). This includes people’s experiences in a range of health </w:t>
      </w:r>
      <w:r w:rsidR="009211C0">
        <w:t xml:space="preserve">settings </w:t>
      </w:r>
      <w:r>
        <w:t xml:space="preserve">across primary, secondary, and tertiary care in the broader Australian health system. These health care settings include the range of mainstream and Aboriginal and Torres Strait Islander community-controlled services that people have contact with on their health care journeys. </w:t>
      </w:r>
    </w:p>
    <w:p w14:paraId="4DD71499" w14:textId="77557F45" w:rsidR="00DA6112" w:rsidRDefault="00DA6112" w:rsidP="00595ED3">
      <w:pPr>
        <w:pStyle w:val="Heading6"/>
        <w:numPr>
          <w:ilvl w:val="0"/>
          <w:numId w:val="0"/>
        </w:numPr>
        <w:ind w:left="1152" w:hanging="1152"/>
      </w:pPr>
      <w:r>
        <w:t xml:space="preserve">Data sources and methods </w:t>
      </w:r>
    </w:p>
    <w:p w14:paraId="75F695D4" w14:textId="0E9CBC55" w:rsidR="00957AA9" w:rsidRDefault="00957AA9" w:rsidP="00957AA9">
      <w:r>
        <w:t xml:space="preserve">This section draws on data generated through community and individual yarns held between March 2021 and November 2022. Yarning was used as the primary method to facilitate the active voices of Aboriginal and Torres Strait Islander people as knowledge holders. 452 Aboriginal and Torres Strait Islander community members participated in these yarns. This section also draws on data generated through yarns with Aboriginal and Torres Strait Islander staff in primary care services. </w:t>
      </w:r>
    </w:p>
    <w:p w14:paraId="306D067C" w14:textId="07CFF2C1" w:rsidR="003C2D11" w:rsidRPr="002370E4" w:rsidRDefault="003C2D11" w:rsidP="003C2D11">
      <w:r w:rsidRPr="002370E4">
        <w:t>An inductive grounded theory methodology inspired the overarching approach</w:t>
      </w:r>
      <w:r w:rsidR="009211C0" w:rsidRPr="002370E4">
        <w:t xml:space="preserve"> to analys</w:t>
      </w:r>
      <w:r w:rsidR="003B01C7" w:rsidRPr="002370E4">
        <w:t>ing this qualitative data</w:t>
      </w:r>
      <w:r w:rsidRPr="002370E4">
        <w:t xml:space="preserve">. Grounded theory is a systems method of analysis, designed to explore and understand the nature and occurrence of complex social phenomenon </w:t>
      </w:r>
      <w:r w:rsidRPr="002370E4">
        <w:fldChar w:fldCharType="begin"/>
      </w:r>
      <w:r w:rsidR="00F8760E">
        <w:instrText xml:space="preserve"> ADDIN ZOTERO_ITEM CSL_CITATION {"citationID":"0jL8gP5a","properties":{"formattedCitation":"(Bainbridge et al., 2019)","plainCitation":"(Bainbridge et al., 2019)","noteIndex":0},"citationItems":[{"id":741,"uris":["http://zotero.org/groups/4420056/items/PI2RUU8G",["http://zotero.org/groups/4420056/items/PI2RUU8G"],["http://zotero.org/groups/4420056/items/PI2RUU8G",["http://zotero.org/groups/4420056/items/PI2RUU8G"]],["http://zotero.org/groups/4420056/items/PI2RUU8G",["http://zotero.org/groups/4420056/items/PI2RUU8G"],["http://zotero.org/groups/4420056/items/PI2RUU8G",["http://zotero.org/groups/4420056/items/PI2RUU8G"]]]],"itemData":{"id":741,"type":"chapter","container-title":"The SAGE Handbook of Current Developments in Grounded Theory","edition":"A. Bryant &amp; K. Charmaz","page":"611-629","publisher":"Sage Publications","title":"Grounded theory as systems science: working with Indigenous nations for social justice","author":[{"family":"Bainbridge","given":"Roxanne"},{"family":"McCalman","given":"J"},{"family":"Whiteside","given":"M"},{"family":"Redman-MacLaren","given":"Michelle"}],"issued":{"date-parts":[["2019"]]}}}],"schema":"https://github.com/citation-style-language/schema/raw/master/csl-citation.json"} </w:instrText>
      </w:r>
      <w:r w:rsidRPr="002370E4">
        <w:fldChar w:fldCharType="separate"/>
      </w:r>
      <w:r w:rsidRPr="002370E4">
        <w:t>(Bainbridge et al., 2019)</w:t>
      </w:r>
      <w:r w:rsidRPr="002370E4">
        <w:fldChar w:fldCharType="end"/>
      </w:r>
      <w:r w:rsidRPr="002370E4">
        <w:t xml:space="preserve">. The approach ensures that the values, preferences and priorities of participants are reflected and ground the evaluation, captures </w:t>
      </w:r>
      <w:r w:rsidR="003B01C7" w:rsidRPr="002370E4">
        <w:t xml:space="preserve">Aboriginal and Torres Strait Islander </w:t>
      </w:r>
      <w:r w:rsidRPr="002370E4">
        <w:t xml:space="preserve">voices, and makes transparent the process of development and model generation from verbatim concepts. </w:t>
      </w:r>
      <w:r w:rsidR="00865C56" w:rsidRPr="002370E4">
        <w:t>This approach</w:t>
      </w:r>
      <w:r w:rsidRPr="002370E4">
        <w:t xml:space="preserve"> also ensures that explanations are developed ‘from the ground up’</w:t>
      </w:r>
      <w:r w:rsidR="00004A53" w:rsidRPr="002370E4">
        <w:t>.</w:t>
      </w:r>
    </w:p>
    <w:p w14:paraId="22430E51" w14:textId="277D5F01" w:rsidR="00974C3F" w:rsidRDefault="003C2D11" w:rsidP="00974C3F">
      <w:r w:rsidRPr="002370E4">
        <w:t>This approach was used to identify codes and categories</w:t>
      </w:r>
      <w:r w:rsidR="00466188" w:rsidRPr="002370E4">
        <w:t xml:space="preserve"> within the qualitative data.</w:t>
      </w:r>
      <w:r w:rsidRPr="002370E4">
        <w:t xml:space="preserve"> Constant comparative methods enabled exploration of issues to establish points of consensus and dissent and to saturate categories. </w:t>
      </w:r>
    </w:p>
    <w:p w14:paraId="4C38818B" w14:textId="31157197" w:rsidR="006E1D3D" w:rsidRDefault="006E1D3D" w:rsidP="0035030F">
      <w:pPr>
        <w:pStyle w:val="Heading2"/>
      </w:pPr>
      <w:bookmarkStart w:id="165" w:name="_Toc137208911"/>
      <w:bookmarkStart w:id="166" w:name="_Hlk83887888"/>
      <w:r w:rsidRPr="00884FAA">
        <w:t xml:space="preserve">Dominant cultural norms </w:t>
      </w:r>
      <w:r w:rsidR="00B45F23">
        <w:t>shape</w:t>
      </w:r>
      <w:r w:rsidR="00B45F23" w:rsidRPr="00884FAA">
        <w:t xml:space="preserve"> </w:t>
      </w:r>
      <w:r w:rsidRPr="00884FAA">
        <w:t xml:space="preserve">the health </w:t>
      </w:r>
      <w:r w:rsidR="00B45F23">
        <w:t xml:space="preserve">experiences </w:t>
      </w:r>
      <w:r w:rsidRPr="00884FAA">
        <w:t xml:space="preserve">of Aboriginal and Torres Strait Islander </w:t>
      </w:r>
      <w:r w:rsidR="00E447F3" w:rsidRPr="00884FAA">
        <w:t>people</w:t>
      </w:r>
      <w:bookmarkEnd w:id="165"/>
    </w:p>
    <w:p w14:paraId="6D9CA5F6" w14:textId="004A4EBC" w:rsidR="00B30B2D" w:rsidRPr="00706D35" w:rsidRDefault="00A6426A" w:rsidP="00BA5726">
      <w:r>
        <w:rPr>
          <w:lang w:val="en-NZ"/>
        </w:rPr>
        <w:t>Aboriginal and Torres Strait Islander concepts of holistic</w:t>
      </w:r>
      <w:r w:rsidR="00F8225D">
        <w:rPr>
          <w:lang w:val="en-NZ"/>
        </w:rPr>
        <w:t xml:space="preserve"> </w:t>
      </w:r>
      <w:r>
        <w:rPr>
          <w:lang w:val="en-NZ"/>
        </w:rPr>
        <w:t>health and wellbeing</w:t>
      </w:r>
      <w:r w:rsidR="00F8225D">
        <w:rPr>
          <w:lang w:val="en-NZ"/>
        </w:rPr>
        <w:t xml:space="preserve"> differ from </w:t>
      </w:r>
      <w:r w:rsidR="00BA5726">
        <w:rPr>
          <w:lang w:val="en-NZ"/>
        </w:rPr>
        <w:t>Western-derived concepts of health and illness.</w:t>
      </w:r>
      <w:r w:rsidR="00BA5726">
        <w:rPr>
          <w:rStyle w:val="CommentReference"/>
        </w:rPr>
        <w:t xml:space="preserve"> </w:t>
      </w:r>
      <w:r w:rsidR="00B40CB3" w:rsidRPr="00706D35">
        <w:t xml:space="preserve">As a result, Aboriginal and Torres Strait Islander people </w:t>
      </w:r>
      <w:r w:rsidR="00B45F23">
        <w:t>commonly experience</w:t>
      </w:r>
      <w:r w:rsidR="00B45F23" w:rsidRPr="00365514">
        <w:t xml:space="preserve"> </w:t>
      </w:r>
      <w:r w:rsidR="00365514" w:rsidRPr="00365514">
        <w:t xml:space="preserve">more barriers to </w:t>
      </w:r>
      <w:r w:rsidR="00B40CB3" w:rsidRPr="00706D35">
        <w:t xml:space="preserve">gaining access and </w:t>
      </w:r>
      <w:r w:rsidR="00365514" w:rsidRPr="00365514">
        <w:t xml:space="preserve">achieving desired health outcomes </w:t>
      </w:r>
      <w:r w:rsidR="00B40CB3" w:rsidRPr="00706D35">
        <w:t>through their</w:t>
      </w:r>
      <w:r w:rsidR="00B40CB3">
        <w:t xml:space="preserve"> encounters with health service providers</w:t>
      </w:r>
      <w:r w:rsidR="00B40CB3" w:rsidRPr="00706D35">
        <w:t>.</w:t>
      </w:r>
      <w:r w:rsidR="00B30B2D" w:rsidRPr="00706D35">
        <w:t xml:space="preserve"> Aboriginal and Torres Strait Islander people understand health as living lives well</w:t>
      </w:r>
      <w:r w:rsidR="00B30B2D">
        <w:t>,</w:t>
      </w:r>
      <w:r w:rsidR="00B30B2D" w:rsidRPr="00706D35">
        <w:t xml:space="preserve"> as determined by them</w:t>
      </w:r>
      <w:r w:rsidR="00B30B2D">
        <w:t>. This includes</w:t>
      </w:r>
      <w:r w:rsidR="00B30B2D" w:rsidRPr="00706D35">
        <w:t xml:space="preserve"> having basic human needs met, and experiencing a balance of physical, social, emotional, cultural and spiritual wellbeing through which </w:t>
      </w:r>
      <w:r w:rsidR="00B30B2D">
        <w:t>people</w:t>
      </w:r>
      <w:r w:rsidR="00B30B2D" w:rsidRPr="00706D35">
        <w:t xml:space="preserve"> express an ethic of care and responsibility for Country, self and community. The significance of relatedness was described by community members</w:t>
      </w:r>
      <w:r w:rsidR="00B30B2D">
        <w:t>.</w:t>
      </w:r>
    </w:p>
    <w:p w14:paraId="0267F282" w14:textId="77777777" w:rsidR="0019475F" w:rsidRDefault="0019475F">
      <w:pPr>
        <w:jc w:val="left"/>
        <w:rPr>
          <w:iCs/>
          <w:color w:val="30A6BC" w:themeColor="accent5"/>
          <w:szCs w:val="28"/>
        </w:rPr>
      </w:pPr>
      <w:r>
        <w:br w:type="page"/>
      </w:r>
    </w:p>
    <w:p w14:paraId="2D97B65E" w14:textId="589FB823" w:rsidR="00B30B2D" w:rsidRPr="00A1178E" w:rsidRDefault="00B30B2D" w:rsidP="008C5876">
      <w:pPr>
        <w:pStyle w:val="Quote"/>
        <w:spacing w:after="0"/>
        <w:rPr>
          <w:color w:val="18525E" w:themeColor="accent5" w:themeShade="80"/>
        </w:rPr>
      </w:pPr>
      <w:r w:rsidRPr="00A1178E">
        <w:rPr>
          <w:color w:val="18525E" w:themeColor="accent5" w:themeShade="80"/>
        </w:rPr>
        <w:lastRenderedPageBreak/>
        <w:t xml:space="preserve">Spiritualness definitely for me comes into my health, if I feel like I'm coming, like if I, if I'm, if I feel like a lot like not connected with the land or something like that. And I feel like my spiritual side is getting unhealthy I notice my own body is getting unhealthy as well. And usually the spiritualness is showing you that you're getting unhealthy before you actually are unhealthy. </w:t>
      </w:r>
    </w:p>
    <w:p w14:paraId="303C127C" w14:textId="77777777" w:rsidR="00B40CB3" w:rsidRPr="00662DF1" w:rsidRDefault="00B40CB3" w:rsidP="00B40CB3">
      <w:pPr>
        <w:jc w:val="right"/>
        <w:rPr>
          <w:b/>
          <w:bCs/>
        </w:rPr>
      </w:pPr>
      <w:r w:rsidRPr="00662DF1">
        <w:rPr>
          <w:b/>
          <w:bCs/>
        </w:rPr>
        <w:t>Community member, regional location</w:t>
      </w:r>
    </w:p>
    <w:p w14:paraId="422675E6" w14:textId="663733EB" w:rsidR="00535582" w:rsidRDefault="00535582" w:rsidP="00535582">
      <w:r>
        <w:t>Contact</w:t>
      </w:r>
      <w:r w:rsidRPr="00A43100">
        <w:t xml:space="preserve"> with the Australian health</w:t>
      </w:r>
      <w:r>
        <w:t xml:space="preserve"> </w:t>
      </w:r>
      <w:r w:rsidRPr="00A43100">
        <w:t xml:space="preserve">care system is often a complex interaction for Aboriginal and Torres Strait Islander people. </w:t>
      </w:r>
      <w:r>
        <w:t>The health system</w:t>
      </w:r>
      <w:r w:rsidRPr="00A43100">
        <w:t xml:space="preserve"> is largely a challenge </w:t>
      </w:r>
      <w:r>
        <w:t>for m</w:t>
      </w:r>
      <w:r w:rsidR="00CE25BD">
        <w:t>any</w:t>
      </w:r>
      <w:r>
        <w:t xml:space="preserve"> people </w:t>
      </w:r>
      <w:r w:rsidRPr="00A43100">
        <w:t>to understand and navigate</w:t>
      </w:r>
      <w:r>
        <w:t>, d</w:t>
      </w:r>
      <w:r w:rsidRPr="00A43100">
        <w:t>espite the system being designed to respond to individual needs by providing safe, effective, accessible and appropriate treatment and services</w:t>
      </w:r>
      <w:r>
        <w:t>.</w:t>
      </w:r>
      <w:r w:rsidRPr="00A43100">
        <w:t xml:space="preserve"> Dominant cultural norms enforced through the structure and function of the mainstream health system</w:t>
      </w:r>
      <w:r>
        <w:t>,</w:t>
      </w:r>
      <w:r w:rsidRPr="00A43100">
        <w:t xml:space="preserve"> made </w:t>
      </w:r>
      <w:r>
        <w:t xml:space="preserve">the experience of </w:t>
      </w:r>
      <w:r w:rsidRPr="00A43100">
        <w:t xml:space="preserve">navigating the system almost impossible </w:t>
      </w:r>
      <w:r>
        <w:t xml:space="preserve">for </w:t>
      </w:r>
      <w:r w:rsidR="00AC1F5B">
        <w:t xml:space="preserve">many participants in community yarns </w:t>
      </w:r>
      <w:r w:rsidRPr="00A43100">
        <w:t>witho</w:t>
      </w:r>
      <w:r>
        <w:t>u</w:t>
      </w:r>
      <w:r w:rsidRPr="00A43100">
        <w:t>t support</w:t>
      </w:r>
      <w:r>
        <w:t>. As a result</w:t>
      </w:r>
      <w:r w:rsidR="005E2E61">
        <w:t xml:space="preserve">, </w:t>
      </w:r>
      <w:r w:rsidRPr="00A43100">
        <w:t>Aboriginal and Torres Strait Islander people</w:t>
      </w:r>
      <w:r>
        <w:t xml:space="preserve"> frequently reported experiencing </w:t>
      </w:r>
      <w:r w:rsidR="005E2E61">
        <w:t xml:space="preserve">significant </w:t>
      </w:r>
      <w:r w:rsidRPr="00A43100">
        <w:t>consequences</w:t>
      </w:r>
      <w:r>
        <w:t xml:space="preserve"> in their health care journeys. </w:t>
      </w:r>
    </w:p>
    <w:p w14:paraId="0B9DECD3" w14:textId="6E145246" w:rsidR="00B30B2D" w:rsidRPr="00B80B55" w:rsidRDefault="00B30B2D" w:rsidP="00B30B2D">
      <w:r w:rsidRPr="00706D35">
        <w:t xml:space="preserve">Aboriginal and Torres Strait Islander </w:t>
      </w:r>
      <w:r w:rsidRPr="00B80B55">
        <w:t xml:space="preserve">people </w:t>
      </w:r>
      <w:r>
        <w:t>reported</w:t>
      </w:r>
      <w:r w:rsidRPr="00B80B55">
        <w:t xml:space="preserve"> that their understanding of health was not well supported through </w:t>
      </w:r>
      <w:r w:rsidR="00087C86">
        <w:t xml:space="preserve">direct </w:t>
      </w:r>
      <w:r w:rsidR="00B45F23">
        <w:t>experiences of</w:t>
      </w:r>
      <w:r w:rsidRPr="00B80B55">
        <w:t xml:space="preserve"> various levels of care across the different parts of the health system. Discordance was predominantly experienced when people left the system of ACCHSs to access health</w:t>
      </w:r>
      <w:r>
        <w:t xml:space="preserve"> </w:t>
      </w:r>
      <w:r w:rsidRPr="00B80B55">
        <w:t>care through specialist services and tertiary care. However, because Western medical science predominates in ACCHSs through the employment of non-Indigenous health</w:t>
      </w:r>
      <w:r>
        <w:t xml:space="preserve"> and medical</w:t>
      </w:r>
      <w:r w:rsidRPr="00B80B55">
        <w:t xml:space="preserve"> staff and Western-trained Aboriginal and Torres Strait Islander staff, people </w:t>
      </w:r>
      <w:r>
        <w:t xml:space="preserve">also </w:t>
      </w:r>
      <w:r w:rsidRPr="00B80B55">
        <w:t>experience</w:t>
      </w:r>
      <w:r>
        <w:t>d</w:t>
      </w:r>
      <w:r w:rsidRPr="00B80B55">
        <w:t xml:space="preserve"> incongruence in ACCHSs, but it was </w:t>
      </w:r>
      <w:r w:rsidR="00AC25DE">
        <w:t xml:space="preserve">experienced in these settings </w:t>
      </w:r>
      <w:r w:rsidRPr="00B80B55">
        <w:t xml:space="preserve">to a much lesser degree. </w:t>
      </w:r>
    </w:p>
    <w:p w14:paraId="449322F5" w14:textId="4C68D5B8" w:rsidR="00B30B2D" w:rsidRDefault="00B30B2D" w:rsidP="00B30B2D">
      <w:r w:rsidRPr="00B80B55">
        <w:t xml:space="preserve">The circumstances under which Aboriginal and Torres Strait Islander people encountered health care influenced </w:t>
      </w:r>
      <w:r w:rsidR="00924411">
        <w:t>the</w:t>
      </w:r>
      <w:r w:rsidR="00924411" w:rsidRPr="00B80B55">
        <w:t xml:space="preserve"> </w:t>
      </w:r>
      <w:r w:rsidRPr="00B80B55">
        <w:t xml:space="preserve">health </w:t>
      </w:r>
      <w:r w:rsidR="00924411">
        <w:t>care</w:t>
      </w:r>
      <w:r w:rsidRPr="00B80B55">
        <w:t xml:space="preserve"> experiences</w:t>
      </w:r>
      <w:r w:rsidR="00924411">
        <w:t xml:space="preserve"> reported by community members</w:t>
      </w:r>
      <w:r w:rsidR="00EE4748">
        <w:t>. This included</w:t>
      </w:r>
      <w:r w:rsidRPr="00B80B55">
        <w:t xml:space="preserve"> the nature of their care, </w:t>
      </w:r>
      <w:r>
        <w:t>care</w:t>
      </w:r>
      <w:r w:rsidRPr="00B80B55">
        <w:t xml:space="preserve"> pathways</w:t>
      </w:r>
      <w:r>
        <w:t>,</w:t>
      </w:r>
      <w:r w:rsidRPr="00B80B55">
        <w:t xml:space="preserve"> and outcomes. Individual care experiences</w:t>
      </w:r>
      <w:r>
        <w:t xml:space="preserve"> </w:t>
      </w:r>
      <w:r w:rsidRPr="00B80B55">
        <w:t>had a flow-on effect on how people approached and engaged in future health</w:t>
      </w:r>
      <w:r>
        <w:t xml:space="preserve"> </w:t>
      </w:r>
      <w:r w:rsidRPr="00B80B55">
        <w:t xml:space="preserve">care encounters and </w:t>
      </w:r>
      <w:r w:rsidR="00887532">
        <w:t xml:space="preserve">influenced how other people in their lives </w:t>
      </w:r>
      <w:r w:rsidRPr="00B80B55">
        <w:t>viewed the health system and engaged in care.</w:t>
      </w:r>
      <w:r>
        <w:t xml:space="preserve"> </w:t>
      </w:r>
      <w:r w:rsidRPr="00B80B55">
        <w:t xml:space="preserve">Discordance between how Aboriginal and Torres Strait Islander people viewed health and </w:t>
      </w:r>
      <w:r w:rsidR="00D629BA">
        <w:t xml:space="preserve">wellbeing </w:t>
      </w:r>
      <w:r w:rsidRPr="00B80B55">
        <w:t xml:space="preserve">and different approaches to care contributed to </w:t>
      </w:r>
      <w:r>
        <w:t>people’s</w:t>
      </w:r>
      <w:r w:rsidRPr="00B80B55">
        <w:t xml:space="preserve"> health trajectory by stifling opportunities to define and realise their health needs. </w:t>
      </w:r>
    </w:p>
    <w:p w14:paraId="5BB0F5B5" w14:textId="01E1F6A2" w:rsidR="00B30B2D" w:rsidRPr="001D3616" w:rsidRDefault="00D629BA" w:rsidP="00B30B2D">
      <w:pPr>
        <w:rPr>
          <w:lang w:val="en-NZ"/>
        </w:rPr>
      </w:pPr>
      <w:r>
        <w:t>Community members</w:t>
      </w:r>
      <w:r w:rsidR="00934761">
        <w:t xml:space="preserve">’ </w:t>
      </w:r>
      <w:r w:rsidR="00D83860" w:rsidRPr="00B80B55">
        <w:t>narratives reflected</w:t>
      </w:r>
      <w:r w:rsidR="00B30B2D" w:rsidRPr="00B80B55">
        <w:t xml:space="preserve"> a biomedical approach to care. In these interactions, the medical profession maintains power dynamics by functioning in silos, treating disease instead of creating health, taking a body part approach to treatment rather than working with the whole person, and not partnering with people in their health</w:t>
      </w:r>
      <w:r w:rsidR="00B30B2D">
        <w:t xml:space="preserve"> </w:t>
      </w:r>
      <w:r w:rsidR="00B30B2D" w:rsidRPr="00B80B55">
        <w:t>care by maintaining power through a lack of knowledge-sharing and appropriate communication</w:t>
      </w:r>
      <w:r w:rsidR="00B30B2D">
        <w:t>. This has consequences</w:t>
      </w:r>
      <w:r w:rsidR="006A38A4">
        <w:t xml:space="preserve"> for how people experience the system</w:t>
      </w:r>
      <w:r w:rsidR="00B30B2D" w:rsidRPr="00B80B55">
        <w:t>,</w:t>
      </w:r>
      <w:r w:rsidR="00B30B2D">
        <w:t xml:space="preserve"> including </w:t>
      </w:r>
      <w:r w:rsidR="00B30B2D" w:rsidRPr="00B80B55">
        <w:t xml:space="preserve">treatment </w:t>
      </w:r>
      <w:r w:rsidR="00B30B2D">
        <w:t xml:space="preserve">being imposed on people </w:t>
      </w:r>
      <w:r w:rsidR="00B30B2D" w:rsidRPr="00B80B55">
        <w:t xml:space="preserve">rather than considering </w:t>
      </w:r>
      <w:r w:rsidR="00B30B2D">
        <w:t xml:space="preserve">client’s </w:t>
      </w:r>
      <w:r w:rsidR="00B30B2D" w:rsidRPr="00B80B55">
        <w:t>preferred options</w:t>
      </w:r>
      <w:r w:rsidR="00B30B2D">
        <w:t>,</w:t>
      </w:r>
      <w:r w:rsidR="00B30B2D" w:rsidRPr="00B80B55">
        <w:t xml:space="preserve"> and conducting procedures without informed prior consent. </w:t>
      </w:r>
      <w:r w:rsidR="00B40CB3">
        <w:t xml:space="preserve">These </w:t>
      </w:r>
      <w:r w:rsidR="000E48A9">
        <w:t>experiences</w:t>
      </w:r>
      <w:r w:rsidR="00B40CB3">
        <w:t xml:space="preserve"> occurred when </w:t>
      </w:r>
      <w:r w:rsidR="00F53E67">
        <w:t>people were</w:t>
      </w:r>
      <w:r w:rsidR="00B40CB3">
        <w:t xml:space="preserve"> seeking </w:t>
      </w:r>
      <w:r w:rsidR="00B40CB3" w:rsidRPr="001D3616">
        <w:rPr>
          <w:lang w:val="en-NZ"/>
        </w:rPr>
        <w:t xml:space="preserve">health care </w:t>
      </w:r>
      <w:r w:rsidR="00F53E67">
        <w:rPr>
          <w:lang w:val="en-NZ"/>
        </w:rPr>
        <w:t>across all settings within the health system</w:t>
      </w:r>
      <w:r w:rsidR="007712A1">
        <w:rPr>
          <w:lang w:val="en-NZ"/>
        </w:rPr>
        <w:t>, including ACCHS and mainstream services</w:t>
      </w:r>
      <w:r w:rsidR="00B40CB3" w:rsidRPr="001D3616">
        <w:rPr>
          <w:lang w:val="en-NZ"/>
        </w:rPr>
        <w:t>.</w:t>
      </w:r>
    </w:p>
    <w:p w14:paraId="2ECEFF64" w14:textId="209EE3FE" w:rsidR="00B30B2D" w:rsidRPr="00F86362" w:rsidRDefault="00B30B2D" w:rsidP="00B30B2D">
      <w:pPr>
        <w:rPr>
          <w:i/>
          <w:iCs/>
          <w:color w:val="357DBE" w:themeColor="accent1"/>
        </w:rPr>
      </w:pPr>
      <w:r w:rsidRPr="00B80B55">
        <w:t xml:space="preserve">The ways in which medical staff relate to and influence the care of clients were motivated by the rules of overarching systems. </w:t>
      </w:r>
      <w:r w:rsidR="0008046A">
        <w:t>Community</w:t>
      </w:r>
      <w:r>
        <w:t xml:space="preserve"> members discussed health care encounters </w:t>
      </w:r>
      <w:r w:rsidR="00B40CB3">
        <w:t>with m</w:t>
      </w:r>
      <w:r w:rsidR="00B40CB3" w:rsidRPr="00B80B55">
        <w:t>edical staff</w:t>
      </w:r>
      <w:r w:rsidR="00B40CB3">
        <w:t xml:space="preserve"> where staff </w:t>
      </w:r>
      <w:r>
        <w:t xml:space="preserve">frequently took a paternalistic approach. These </w:t>
      </w:r>
      <w:r w:rsidR="0008046A">
        <w:t>experiences</w:t>
      </w:r>
      <w:r>
        <w:t xml:space="preserve"> were common </w:t>
      </w:r>
      <w:r w:rsidRPr="00B80B55">
        <w:t xml:space="preserve">regardless of </w:t>
      </w:r>
      <w:r>
        <w:t>whether the staff were located in an ACCHS or mainstream service</w:t>
      </w:r>
      <w:r w:rsidRPr="00B80B55">
        <w:t>.</w:t>
      </w:r>
      <w:r w:rsidRPr="00B80B55">
        <w:rPr>
          <w:i/>
          <w:iCs/>
        </w:rPr>
        <w:t xml:space="preserve"> </w:t>
      </w:r>
    </w:p>
    <w:p w14:paraId="5628629D" w14:textId="77777777" w:rsidR="005A5042" w:rsidRPr="00A1178E" w:rsidRDefault="005A5042" w:rsidP="00B5610D">
      <w:pPr>
        <w:pStyle w:val="Quote"/>
        <w:spacing w:after="0"/>
        <w:rPr>
          <w:color w:val="18525E" w:themeColor="accent5" w:themeShade="80"/>
        </w:rPr>
      </w:pPr>
      <w:r w:rsidRPr="00A1178E">
        <w:rPr>
          <w:color w:val="18525E" w:themeColor="accent5" w:themeShade="80"/>
        </w:rPr>
        <w:lastRenderedPageBreak/>
        <w:t>We can be free walking around, but mentally we're still enslaved to the system. They control us every day of what we eat and how we do things all the time. So we have to wake up.</w:t>
      </w:r>
    </w:p>
    <w:p w14:paraId="665BFF38" w14:textId="77777777" w:rsidR="005A5042" w:rsidRPr="00A1178E" w:rsidRDefault="005A5042" w:rsidP="007B0923">
      <w:pPr>
        <w:pStyle w:val="Quote"/>
        <w:spacing w:before="240" w:after="0"/>
        <w:ind w:left="562"/>
        <w:rPr>
          <w:color w:val="18525E" w:themeColor="accent5" w:themeShade="80"/>
        </w:rPr>
      </w:pPr>
      <w:r w:rsidRPr="00A1178E">
        <w:rPr>
          <w:color w:val="18525E" w:themeColor="accent5" w:themeShade="80"/>
        </w:rPr>
        <w:t>Yeah, but the white people don't make suggestions, they tell us what to do. You have to do this.</w:t>
      </w:r>
    </w:p>
    <w:p w14:paraId="725AED8B" w14:textId="2EB35F25" w:rsidR="005A5042" w:rsidRPr="00C6186F" w:rsidRDefault="005A5042" w:rsidP="007B0923">
      <w:pPr>
        <w:spacing w:after="120"/>
        <w:jc w:val="right"/>
        <w:rPr>
          <w:b/>
          <w:bCs/>
        </w:rPr>
      </w:pPr>
      <w:r w:rsidRPr="00C6186F">
        <w:rPr>
          <w:b/>
          <w:bCs/>
        </w:rPr>
        <w:t xml:space="preserve">Community </w:t>
      </w:r>
      <w:r w:rsidR="002C6B2C">
        <w:rPr>
          <w:b/>
          <w:bCs/>
        </w:rPr>
        <w:t>m</w:t>
      </w:r>
      <w:r w:rsidRPr="00C6186F">
        <w:rPr>
          <w:b/>
          <w:bCs/>
        </w:rPr>
        <w:t>embers</w:t>
      </w:r>
    </w:p>
    <w:p w14:paraId="37E24DD0" w14:textId="2B45EBBA" w:rsidR="00B40CB3" w:rsidRDefault="00505929" w:rsidP="00B40CB3">
      <w:r>
        <w:t xml:space="preserve">People experienced </w:t>
      </w:r>
      <w:r w:rsidR="008977BA">
        <w:t xml:space="preserve">attitudes </w:t>
      </w:r>
      <w:r w:rsidR="00B40CB3">
        <w:t>of some medical staff</w:t>
      </w:r>
      <w:r w:rsidR="00B40CB3" w:rsidRPr="00B80B55">
        <w:t xml:space="preserve"> </w:t>
      </w:r>
      <w:r>
        <w:t>that were shaped by</w:t>
      </w:r>
      <w:r w:rsidRPr="00B80B55">
        <w:t xml:space="preserve"> </w:t>
      </w:r>
      <w:r w:rsidR="00B40CB3" w:rsidRPr="00B80B55">
        <w:t xml:space="preserve">stereotypical assumptions about Aboriginal and Torres Strait Islander people </w:t>
      </w:r>
      <w:r>
        <w:t xml:space="preserve">and </w:t>
      </w:r>
      <w:r w:rsidR="00B40CB3" w:rsidRPr="00B80B55">
        <w:t xml:space="preserve">a lack of knowledge about the culture and context in which </w:t>
      </w:r>
      <w:r w:rsidR="00966DD0">
        <w:t>they were working</w:t>
      </w:r>
      <w:r w:rsidR="00B40CB3" w:rsidRPr="00B80B55">
        <w:t xml:space="preserve">. </w:t>
      </w:r>
      <w:r w:rsidR="00B40CB3">
        <w:t>Community members experiences reflected m</w:t>
      </w:r>
      <w:r w:rsidR="00B40CB3" w:rsidRPr="00B80B55">
        <w:t>edical staff not regularly work</w:t>
      </w:r>
      <w:r w:rsidR="00B40CB3">
        <w:t>ing</w:t>
      </w:r>
      <w:r w:rsidR="00B40CB3" w:rsidRPr="00B80B55">
        <w:t xml:space="preserve"> with people as partners in their </w:t>
      </w:r>
      <w:r w:rsidR="00966DD0">
        <w:t>own</w:t>
      </w:r>
      <w:r w:rsidR="00B40CB3" w:rsidRPr="00B80B55">
        <w:t xml:space="preserve"> health</w:t>
      </w:r>
      <w:r w:rsidR="00B40CB3">
        <w:t xml:space="preserve"> </w:t>
      </w:r>
      <w:r w:rsidR="00B40CB3" w:rsidRPr="00B80B55">
        <w:t>care journeys, not listen</w:t>
      </w:r>
      <w:r w:rsidR="00B40CB3">
        <w:t>ing</w:t>
      </w:r>
      <w:r w:rsidR="00B40CB3" w:rsidRPr="00B80B55">
        <w:t xml:space="preserve"> to </w:t>
      </w:r>
      <w:r w:rsidR="00B40CB3">
        <w:t>clients’</w:t>
      </w:r>
      <w:r w:rsidR="00B40CB3" w:rsidRPr="00B80B55">
        <w:t xml:space="preserve"> concerns</w:t>
      </w:r>
      <w:r w:rsidR="00666137">
        <w:t>,</w:t>
      </w:r>
      <w:r w:rsidR="001578D5">
        <w:t xml:space="preserve"> and not </w:t>
      </w:r>
      <w:r w:rsidR="00B40CB3" w:rsidRPr="00B80B55">
        <w:t>provid</w:t>
      </w:r>
      <w:r w:rsidR="00B40CB3">
        <w:t>ing</w:t>
      </w:r>
      <w:r w:rsidR="00B40CB3" w:rsidRPr="00B80B55">
        <w:t xml:space="preserve"> clear explanations of diagnoses and treatment</w:t>
      </w:r>
      <w:r w:rsidR="00BE111D">
        <w:t>s</w:t>
      </w:r>
      <w:r w:rsidR="00B40CB3" w:rsidRPr="00B80B55">
        <w:t xml:space="preserve">. These experiences were evident across urban, rural and remote settings, but </w:t>
      </w:r>
      <w:r w:rsidR="00BE111D">
        <w:t xml:space="preserve">were </w:t>
      </w:r>
      <w:r w:rsidR="00B40CB3" w:rsidRPr="00B80B55">
        <w:t>more prevalent in</w:t>
      </w:r>
      <w:r w:rsidR="00B40CB3">
        <w:t xml:space="preserve"> the experiences of</w:t>
      </w:r>
      <w:r w:rsidR="00B40CB3" w:rsidRPr="00B80B55">
        <w:t xml:space="preserve"> younger people. </w:t>
      </w:r>
    </w:p>
    <w:p w14:paraId="7FCFEAD7" w14:textId="7F3F5030" w:rsidR="005A5042" w:rsidRPr="005A5042" w:rsidRDefault="00B40CB3" w:rsidP="005A5042">
      <w:r>
        <w:t>Traversing the mainstream health system</w:t>
      </w:r>
      <w:r w:rsidR="00916A3C">
        <w:t xml:space="preserve"> can</w:t>
      </w:r>
      <w:r>
        <w:t xml:space="preserve"> send people on a trajectory that is </w:t>
      </w:r>
      <w:r w:rsidR="000E48A9">
        <w:t>detrimental</w:t>
      </w:r>
      <w:r>
        <w:t xml:space="preserve"> to health. People</w:t>
      </w:r>
      <w:r w:rsidR="00916A3C">
        <w:t xml:space="preserve"> frequently</w:t>
      </w:r>
      <w:r>
        <w:t xml:space="preserve"> reported various </w:t>
      </w:r>
      <w:r w:rsidR="005A5042" w:rsidRPr="005A5042">
        <w:t xml:space="preserve">consequences </w:t>
      </w:r>
      <w:r>
        <w:t>from</w:t>
      </w:r>
      <w:r w:rsidR="005A5042" w:rsidRPr="005A5042">
        <w:t xml:space="preserve"> finding themselves in the mainstream system without someone by their side who can help </w:t>
      </w:r>
      <w:r w:rsidR="00267448">
        <w:t xml:space="preserve">them </w:t>
      </w:r>
      <w:r w:rsidR="005A5042" w:rsidRPr="005A5042">
        <w:t>translate, interpret and navigate the system. These consequences include</w:t>
      </w:r>
      <w:r w:rsidR="00AA1343">
        <w:t>d</w:t>
      </w:r>
      <w:r w:rsidR="005A5042" w:rsidRPr="005A5042">
        <w:t xml:space="preserve"> not presenting for </w:t>
      </w:r>
      <w:r w:rsidR="0008046A" w:rsidRPr="005A5042">
        <w:t>appointments</w:t>
      </w:r>
      <w:r w:rsidR="005A5042" w:rsidRPr="005A5042">
        <w:t xml:space="preserve"> and discharging against medical advice. The following story of two older men who did not return home after receiving care highlights the critical need for the support of navigators</w:t>
      </w:r>
      <w:r w:rsidR="000637C8">
        <w:t>, after care</w:t>
      </w:r>
      <w:r w:rsidR="00970E92">
        <w:t xml:space="preserve"> and transport as part of accessible health care for Aboriginal and Torres Strait Islander people</w:t>
      </w:r>
      <w:r w:rsidR="005A5042" w:rsidRPr="005A5042">
        <w:t>.</w:t>
      </w:r>
    </w:p>
    <w:p w14:paraId="667148D8" w14:textId="3A4C95C4" w:rsidR="005A5042" w:rsidRPr="00A1178E" w:rsidRDefault="005A5042" w:rsidP="00464B6F">
      <w:pPr>
        <w:pStyle w:val="Quote"/>
        <w:spacing w:after="0"/>
        <w:rPr>
          <w:color w:val="18525E" w:themeColor="accent5" w:themeShade="80"/>
        </w:rPr>
      </w:pPr>
      <w:r w:rsidRPr="00A1178E">
        <w:rPr>
          <w:color w:val="18525E" w:themeColor="accent5" w:themeShade="80"/>
        </w:rPr>
        <w:t>Our people go by themselves. No one did a thing last time, but a year ago two old fellas went down. Back with the walk, they can't communicate or anything like that. That was in Perth after they've seen doctors. After seein’ doctors they got let free so they lost their accommodation, they didn't see a social worker, they were living in the park until someone came to the park and spotted them. They were hungry they were cold, they had no rugs or anything like that. They were down there for 6 months. Until someone, a Black person went there, went there to the park and seen them. So if they were allowed an escort, who know the language who, or, you know, a Blackfella anyway. Yeah, take the old people, take the people who don't understand English properly.</w:t>
      </w:r>
    </w:p>
    <w:bookmarkEnd w:id="166"/>
    <w:p w14:paraId="6D809D41" w14:textId="77777777" w:rsidR="00970E92" w:rsidRDefault="00B40CB3" w:rsidP="00662DF1">
      <w:pPr>
        <w:jc w:val="right"/>
        <w:rPr>
          <w:b/>
          <w:bCs/>
        </w:rPr>
      </w:pPr>
      <w:r w:rsidRPr="00662DF1">
        <w:rPr>
          <w:b/>
          <w:bCs/>
        </w:rPr>
        <w:t>Community member</w:t>
      </w:r>
    </w:p>
    <w:p w14:paraId="05AE649C" w14:textId="3F341F38" w:rsidR="00577C7B" w:rsidRPr="009E195B" w:rsidRDefault="00577C7B" w:rsidP="0035030F">
      <w:pPr>
        <w:pStyle w:val="Heading2"/>
      </w:pPr>
      <w:bookmarkStart w:id="167" w:name="_Toc137208912"/>
      <w:r w:rsidRPr="009E195B">
        <w:t>Moving across health care systems presents challenges for Aboriginal and Torres Strait Islander people</w:t>
      </w:r>
      <w:bookmarkEnd w:id="167"/>
    </w:p>
    <w:p w14:paraId="0E566946" w14:textId="0F09D7D7" w:rsidR="00577C7B" w:rsidRPr="009E195B" w:rsidRDefault="00577C7B" w:rsidP="00577C7B">
      <w:r w:rsidRPr="009E195B">
        <w:t xml:space="preserve">Many Aboriginal and Torres Strait Islander people experience a high disease burden and have complex care needs. </w:t>
      </w:r>
      <w:r>
        <w:t xml:space="preserve">Accessing </w:t>
      </w:r>
      <w:r w:rsidRPr="009E195B">
        <w:t>the care</w:t>
      </w:r>
      <w:r>
        <w:t xml:space="preserve"> Aboriginal and Torres Strait Islander</w:t>
      </w:r>
      <w:r w:rsidRPr="009E195B">
        <w:t xml:space="preserve"> </w:t>
      </w:r>
      <w:r>
        <w:t>people</w:t>
      </w:r>
      <w:r w:rsidRPr="009E195B">
        <w:t xml:space="preserve"> need to manage their health means engaging in the Australian health system broadly – across primary, secondary, and tertiary care </w:t>
      </w:r>
      <w:r>
        <w:t>settings</w:t>
      </w:r>
      <w:r w:rsidRPr="009E195B">
        <w:t xml:space="preserve">. For many people, this involves moving beyond the </w:t>
      </w:r>
      <w:r>
        <w:t xml:space="preserve">community-led health services delivered by </w:t>
      </w:r>
      <w:r w:rsidRPr="009E195B">
        <w:t>ACCHSs</w:t>
      </w:r>
      <w:r>
        <w:t xml:space="preserve"> into mainstream health</w:t>
      </w:r>
      <w:r w:rsidR="006D2482">
        <w:t xml:space="preserve"> </w:t>
      </w:r>
      <w:r>
        <w:t>care settings</w:t>
      </w:r>
      <w:r w:rsidR="009F7D2D">
        <w:t>.</w:t>
      </w:r>
    </w:p>
    <w:p w14:paraId="2411698A" w14:textId="35D53613" w:rsidR="00577C7B" w:rsidRPr="009E195B" w:rsidRDefault="00577C7B" w:rsidP="00577C7B">
      <w:r>
        <w:t>When required</w:t>
      </w:r>
      <w:r w:rsidRPr="009E195B">
        <w:t xml:space="preserve"> to navigate health care across multiple systems, Aboriginal and Torres Strait Islander people </w:t>
      </w:r>
      <w:r w:rsidR="001F02F6">
        <w:t>discussed experiences that reflected a</w:t>
      </w:r>
      <w:r w:rsidRPr="009E195B">
        <w:t xml:space="preserve"> disconnected, fractured and insensitive systems. At an operational level, many people experience two parallel systems – the ACCHS </w:t>
      </w:r>
      <w:r w:rsidRPr="009E195B">
        <w:lastRenderedPageBreak/>
        <w:t xml:space="preserve">sector and the mainstream sector. </w:t>
      </w:r>
      <w:r>
        <w:t xml:space="preserve">The </w:t>
      </w:r>
      <w:r w:rsidRPr="009E195B">
        <w:t>differen</w:t>
      </w:r>
      <w:r>
        <w:t xml:space="preserve">t values and knowledge systems embedded across these systems present </w:t>
      </w:r>
      <w:r w:rsidRPr="009E195B">
        <w:t>difficulties for people who must traverse both systems</w:t>
      </w:r>
      <w:r>
        <w:t xml:space="preserve"> to obtain essential health care</w:t>
      </w:r>
      <w:r w:rsidRPr="009E195B">
        <w:t>.</w:t>
      </w:r>
      <w:r>
        <w:t xml:space="preserve"> </w:t>
      </w:r>
    </w:p>
    <w:p w14:paraId="7005A762" w14:textId="29F18D13" w:rsidR="00577C7B" w:rsidRPr="009E195B" w:rsidRDefault="00577C7B" w:rsidP="00577C7B">
      <w:r w:rsidRPr="009E195B">
        <w:t xml:space="preserve">Dominant cultural norms contribute to the health care experiences and trajectories of Aboriginal and Torres Strait Islander people. Colonial histories set the socio-economic and cultural norms </w:t>
      </w:r>
      <w:r>
        <w:t xml:space="preserve">across </w:t>
      </w:r>
      <w:r w:rsidRPr="009E195B">
        <w:t xml:space="preserve">policy </w:t>
      </w:r>
      <w:r>
        <w:t xml:space="preserve">and </w:t>
      </w:r>
      <w:r w:rsidRPr="009E195B">
        <w:t>practice</w:t>
      </w:r>
      <w:r>
        <w:t>.</w:t>
      </w:r>
      <w:r w:rsidRPr="009E195B">
        <w:t xml:space="preserve"> These </w:t>
      </w:r>
      <w:r>
        <w:t xml:space="preserve">dominant cultural </w:t>
      </w:r>
      <w:r w:rsidRPr="009E195B">
        <w:t xml:space="preserve">norms </w:t>
      </w:r>
      <w:r>
        <w:t xml:space="preserve">shape </w:t>
      </w:r>
      <w:r w:rsidRPr="009E195B">
        <w:t xml:space="preserve">the Australian health system, and </w:t>
      </w:r>
      <w:r>
        <w:t>the</w:t>
      </w:r>
      <w:r w:rsidRPr="009E195B">
        <w:t xml:space="preserve"> influence can negatively affect </w:t>
      </w:r>
      <w:r>
        <w:t xml:space="preserve">the experiences of people with </w:t>
      </w:r>
      <w:r w:rsidRPr="009E195B">
        <w:t>differ</w:t>
      </w:r>
      <w:r>
        <w:t xml:space="preserve">ent </w:t>
      </w:r>
      <w:r w:rsidRPr="009E195B">
        <w:t>worldviews</w:t>
      </w:r>
      <w:r>
        <w:t xml:space="preserve"> and cultural norms</w:t>
      </w:r>
      <w:r w:rsidRPr="009E195B">
        <w:t>. The user interface where differences between Aboriginal and Torres Strait Islander expectations and perceptions of health and care and the dominant societal way of doing business occur</w:t>
      </w:r>
      <w:r w:rsidR="00ED124C">
        <w:t>,</w:t>
      </w:r>
      <w:r w:rsidRPr="009E195B">
        <w:t xml:space="preserve"> are significant determinants of health. As a health determinant, it sits alongside other contributors such as clinical care, health risk factors and socio-economic and historical determinants.</w:t>
      </w:r>
    </w:p>
    <w:p w14:paraId="23F33E42" w14:textId="5DEE6393" w:rsidR="00577C7B" w:rsidRDefault="00577C7B" w:rsidP="00577C7B">
      <w:r>
        <w:t>The</w:t>
      </w:r>
      <w:r w:rsidRPr="009E195B">
        <w:t xml:space="preserve"> Australian health system </w:t>
      </w:r>
      <w:r>
        <w:t xml:space="preserve">does not consistently </w:t>
      </w:r>
      <w:r w:rsidRPr="009E195B">
        <w:t xml:space="preserve">provide holistic, person-centred, integrated, culturally safe mainstream services </w:t>
      </w:r>
      <w:r>
        <w:t>which has</w:t>
      </w:r>
      <w:r w:rsidRPr="009E195B">
        <w:t xml:space="preserve"> </w:t>
      </w:r>
      <w:r>
        <w:t xml:space="preserve">serious </w:t>
      </w:r>
      <w:r w:rsidRPr="009E195B">
        <w:t xml:space="preserve">implications for </w:t>
      </w:r>
      <w:r>
        <w:t xml:space="preserve">the health and wellbeing of </w:t>
      </w:r>
      <w:r w:rsidRPr="009E195B">
        <w:t xml:space="preserve">Aboriginal and Torres Strait Islander people. </w:t>
      </w:r>
      <w:r>
        <w:t xml:space="preserve">People can experience reduced choices when accessing care. </w:t>
      </w:r>
      <w:r w:rsidRPr="009E195B">
        <w:t xml:space="preserve">For example, people’s choice of health care provider influences the nature of care accessed and received, </w:t>
      </w:r>
      <w:r>
        <w:t xml:space="preserve">can contribute to </w:t>
      </w:r>
      <w:r w:rsidRPr="009E195B">
        <w:t xml:space="preserve">experiences of discrimination and racism, and limits affordability of care and continuity of care. All of these </w:t>
      </w:r>
      <w:r>
        <w:t>factors</w:t>
      </w:r>
      <w:r w:rsidRPr="009E195B">
        <w:t xml:space="preserve"> influence people’s health care experiences and health outcomes. </w:t>
      </w:r>
      <w:r>
        <w:t xml:space="preserve">Some of these constraints are also experienced </w:t>
      </w:r>
      <w:r w:rsidR="004D52A0">
        <w:t xml:space="preserve">within </w:t>
      </w:r>
      <w:r w:rsidRPr="009E195B">
        <w:t xml:space="preserve">ACCHSs, but to a much lesser degree, </w:t>
      </w:r>
      <w:r>
        <w:t xml:space="preserve">when </w:t>
      </w:r>
      <w:r w:rsidRPr="009E195B">
        <w:t>deliver</w:t>
      </w:r>
      <w:r>
        <w:t xml:space="preserve">ing </w:t>
      </w:r>
      <w:r w:rsidRPr="009E195B">
        <w:t xml:space="preserve">comprehensive </w:t>
      </w:r>
      <w:r>
        <w:t>PHC</w:t>
      </w:r>
      <w:r w:rsidRPr="009E195B">
        <w:t>.</w:t>
      </w:r>
    </w:p>
    <w:p w14:paraId="73379309" w14:textId="14089F93" w:rsidR="0078637D" w:rsidRDefault="0020445C" w:rsidP="0035030F">
      <w:pPr>
        <w:pStyle w:val="Heading2"/>
      </w:pPr>
      <w:bookmarkStart w:id="168" w:name="_Toc137208913"/>
      <w:r w:rsidRPr="0078637D">
        <w:t>People’s experiences of care and interactions across the broader health system are diverse</w:t>
      </w:r>
      <w:bookmarkEnd w:id="168"/>
      <w:r w:rsidRPr="0078637D">
        <w:t xml:space="preserve"> </w:t>
      </w:r>
    </w:p>
    <w:p w14:paraId="56276122" w14:textId="77777777" w:rsidR="007813E8" w:rsidRDefault="007813E8" w:rsidP="007813E8">
      <w:r w:rsidRPr="00F10381">
        <w:t>Aboriginal and Torres Strait Islander people</w:t>
      </w:r>
      <w:r>
        <w:t>’</w:t>
      </w:r>
      <w:r w:rsidRPr="00F10381">
        <w:t>s experiences of care and interactions across the broader health system are diverse and sit along a continuum that ranges from no care - to poor quality care that is unsafe and traumatising - to good and exceptional quality care.</w:t>
      </w:r>
      <w:r>
        <w:t xml:space="preserve"> </w:t>
      </w:r>
    </w:p>
    <w:p w14:paraId="3FC64AFD" w14:textId="329BB2E1" w:rsidR="007813E8" w:rsidRPr="00F10381" w:rsidRDefault="007813E8" w:rsidP="007813E8">
      <w:r w:rsidRPr="004E5B18">
        <w:t>The nature of people’s experiences depends on the touchpoints encountered as they traverse the health system. Largely, Aboriginal and Torres Strait Islander people experience a good quality of care in ACCHSs</w:t>
      </w:r>
      <w:r>
        <w:t>. E</w:t>
      </w:r>
      <w:r w:rsidRPr="004E5B18">
        <w:t xml:space="preserve">xperiences outside this care environment are often sub-optimal. </w:t>
      </w:r>
      <w:r>
        <w:t>P</w:t>
      </w:r>
      <w:r w:rsidRPr="004E5B18">
        <w:t>articular subgroups of the Aboriginal and Torres Strait Islander population</w:t>
      </w:r>
      <w:r>
        <w:t>,</w:t>
      </w:r>
      <w:r w:rsidRPr="004E5B18">
        <w:t xml:space="preserve"> such as those experiencing poor mental health, women and young people</w:t>
      </w:r>
      <w:r>
        <w:t>,</w:t>
      </w:r>
      <w:r w:rsidRPr="004E5B18">
        <w:t xml:space="preserve"> also </w:t>
      </w:r>
      <w:r w:rsidR="006B6F86">
        <w:t>experienced care through ACCH</w:t>
      </w:r>
      <w:r w:rsidR="00DC1116">
        <w:t xml:space="preserve">Ss that </w:t>
      </w:r>
      <w:r w:rsidRPr="004E5B18">
        <w:t xml:space="preserve">did not provide appropriate and adequate </w:t>
      </w:r>
      <w:r w:rsidRPr="009843C2">
        <w:t xml:space="preserve">access or meet their health needs. Some of the gaps in the reach of comprehensive </w:t>
      </w:r>
      <w:r w:rsidR="003279C5">
        <w:t>PHC</w:t>
      </w:r>
      <w:r w:rsidRPr="009843C2">
        <w:t xml:space="preserve"> for Aboriginal and Torres Strait Islander people are discussed further </w:t>
      </w:r>
      <w:r w:rsidRPr="00F73477">
        <w:t xml:space="preserve">in Section </w:t>
      </w:r>
      <w:r w:rsidR="00435E17">
        <w:fldChar w:fldCharType="begin"/>
      </w:r>
      <w:r w:rsidR="00435E17">
        <w:instrText xml:space="preserve"> REF _Ref137154242 \r \h </w:instrText>
      </w:r>
      <w:r w:rsidR="00435E17">
        <w:fldChar w:fldCharType="separate"/>
      </w:r>
      <w:r w:rsidR="00165B17">
        <w:t>6.5</w:t>
      </w:r>
      <w:r w:rsidR="00435E17">
        <w:fldChar w:fldCharType="end"/>
      </w:r>
      <w:r w:rsidR="00435E17">
        <w:t>.</w:t>
      </w:r>
    </w:p>
    <w:p w14:paraId="4C46656D" w14:textId="6C8F04F2" w:rsidR="006E1D3D" w:rsidRPr="00884FAA" w:rsidRDefault="006E1D3D" w:rsidP="00651D06">
      <w:pPr>
        <w:pStyle w:val="Heading3"/>
      </w:pPr>
      <w:r w:rsidRPr="00884FAA">
        <w:t xml:space="preserve">Exceptional care – taking </w:t>
      </w:r>
      <w:r w:rsidR="00807F93" w:rsidRPr="00884FAA">
        <w:t>health care</w:t>
      </w:r>
      <w:r w:rsidRPr="00884FAA">
        <w:t xml:space="preserve"> to the people </w:t>
      </w:r>
    </w:p>
    <w:p w14:paraId="4E051E4E" w14:textId="77777777" w:rsidR="00147BFE" w:rsidRDefault="00147BFE" w:rsidP="00147BFE">
      <w:r w:rsidRPr="004E5B18">
        <w:t xml:space="preserve">ACCHSs </w:t>
      </w:r>
      <w:r>
        <w:t>were</w:t>
      </w:r>
      <w:r w:rsidRPr="004E5B18">
        <w:t xml:space="preserve"> praised</w:t>
      </w:r>
      <w:r>
        <w:t xml:space="preserve"> by many community members</w:t>
      </w:r>
      <w:r w:rsidRPr="004E5B18">
        <w:t xml:space="preserve"> for providing appropriate and committed care. </w:t>
      </w:r>
      <w:r>
        <w:t>ACCHSs</w:t>
      </w:r>
      <w:r w:rsidRPr="004E5B18">
        <w:t xml:space="preserve"> made people feel welcome, comfortable and safe because it was a place that provided care that aligned with </w:t>
      </w:r>
      <w:r>
        <w:t>people’s</w:t>
      </w:r>
      <w:r w:rsidRPr="004E5B18">
        <w:t xml:space="preserve"> views of health, provided a place of connection to culture and </w:t>
      </w:r>
      <w:r>
        <w:t xml:space="preserve">to </w:t>
      </w:r>
      <w:r w:rsidRPr="004E5B18">
        <w:t>other Aboriginal and Torres Strait Islander people</w:t>
      </w:r>
      <w:r>
        <w:t xml:space="preserve">. </w:t>
      </w:r>
      <w:r w:rsidRPr="004C0DF7">
        <w:t xml:space="preserve">People reported that they felt </w:t>
      </w:r>
      <w:r w:rsidRPr="004C0DF7">
        <w:lastRenderedPageBreak/>
        <w:t xml:space="preserve">they were important and that their health mattered. </w:t>
      </w:r>
      <w:r w:rsidRPr="004E5B18">
        <w:t>Despite some misgivings</w:t>
      </w:r>
      <w:r>
        <w:t>, that were mainly recognised as beyond the control of ACCHSs</w:t>
      </w:r>
      <w:r w:rsidRPr="004E5B18">
        <w:t>, ACCHSs were endorsed for taking health to the people where possible.</w:t>
      </w:r>
      <w:r>
        <w:t xml:space="preserve"> The lack of care in other health care encounters is so pervasive that people were surprised when genuine care was experienced at the ACCHS.</w:t>
      </w:r>
    </w:p>
    <w:p w14:paraId="356875DF" w14:textId="77777777" w:rsidR="00147BFE" w:rsidRPr="00A1178E" w:rsidRDefault="00147BFE" w:rsidP="00464B6F">
      <w:pPr>
        <w:pStyle w:val="Quote"/>
        <w:spacing w:after="0"/>
        <w:rPr>
          <w:color w:val="18525E" w:themeColor="accent5" w:themeShade="80"/>
        </w:rPr>
      </w:pPr>
      <w:r w:rsidRPr="00A1178E">
        <w:rPr>
          <w:color w:val="18525E" w:themeColor="accent5" w:themeShade="80"/>
        </w:rPr>
        <w:t xml:space="preserve">Yeah. Like he... it's like he actually cared kind of thing as well.   </w:t>
      </w:r>
    </w:p>
    <w:p w14:paraId="037EB632" w14:textId="4E6C73FA" w:rsidR="00DD0140" w:rsidRPr="00884FAA" w:rsidRDefault="00C9192B" w:rsidP="00DD0140">
      <w:pPr>
        <w:jc w:val="right"/>
        <w:rPr>
          <w:b/>
          <w:bCs/>
        </w:rPr>
      </w:pPr>
      <w:r w:rsidRPr="007D6580">
        <w:rPr>
          <w:b/>
        </w:rPr>
        <w:t>Community member</w:t>
      </w:r>
      <w:r w:rsidR="00162F5B">
        <w:rPr>
          <w:b/>
          <w:bCs/>
        </w:rPr>
        <w:t xml:space="preserve"> </w:t>
      </w:r>
    </w:p>
    <w:p w14:paraId="1DBF9B58" w14:textId="539838FD" w:rsidR="00187B3D" w:rsidRPr="00884FAA" w:rsidRDefault="006E1D3D" w:rsidP="00187B3D">
      <w:pPr>
        <w:rPr>
          <w:noProof/>
        </w:rPr>
      </w:pPr>
      <w:r w:rsidRPr="00884FAA">
        <w:rPr>
          <w:noProof/>
        </w:rPr>
        <w:t xml:space="preserve">Some </w:t>
      </w:r>
      <w:r w:rsidR="00C47C9F">
        <w:rPr>
          <w:noProof/>
        </w:rPr>
        <w:t>community members</w:t>
      </w:r>
      <w:r w:rsidR="00C47C9F" w:rsidRPr="00884FAA">
        <w:rPr>
          <w:noProof/>
        </w:rPr>
        <w:t xml:space="preserve"> </w:t>
      </w:r>
      <w:r w:rsidRPr="00884FAA">
        <w:rPr>
          <w:noProof/>
        </w:rPr>
        <w:t xml:space="preserve">credited </w:t>
      </w:r>
      <w:r w:rsidR="00DC1116">
        <w:rPr>
          <w:noProof/>
        </w:rPr>
        <w:t xml:space="preserve">the experience of accessing health care through </w:t>
      </w:r>
      <w:r w:rsidRPr="00884FAA">
        <w:rPr>
          <w:noProof/>
        </w:rPr>
        <w:t>ACCHSs for completely turning their lives around</w:t>
      </w:r>
      <w:r w:rsidR="00147BFE" w:rsidRPr="004E5B18">
        <w:t>.</w:t>
      </w:r>
    </w:p>
    <w:p w14:paraId="02224A41" w14:textId="77777777" w:rsidR="00A37C93" w:rsidRPr="0058387D" w:rsidRDefault="00A37C93" w:rsidP="00A37C93">
      <w:pPr>
        <w:pStyle w:val="NoSpacing"/>
        <w:spacing w:before="240"/>
        <w:rPr>
          <w:b/>
          <w:bCs/>
          <w:color w:val="1A3E5F" w:themeColor="accent1" w:themeShade="80"/>
        </w:rPr>
      </w:pPr>
      <w:r w:rsidRPr="0058387D">
        <w:rPr>
          <w:b/>
          <w:bCs/>
          <w:color w:val="1A3E5F" w:themeColor="accent1" w:themeShade="80"/>
          <w:lang w:val="en-AU"/>
        </w:rPr>
        <w:t>Changing lives through ACCHS outreach services</w:t>
      </w:r>
      <w:r w:rsidRPr="0058387D">
        <w:rPr>
          <w:b/>
          <w:bCs/>
          <w:color w:val="1A3E5F" w:themeColor="accent1" w:themeShade="80"/>
        </w:rPr>
        <w:t xml:space="preserve"> </w:t>
      </w:r>
    </w:p>
    <w:p w14:paraId="78874021" w14:textId="77777777" w:rsidR="00A37C93" w:rsidRPr="00E110C3" w:rsidRDefault="00A37C93" w:rsidP="00E110C3">
      <w:pPr>
        <w:pStyle w:val="Quote"/>
        <w:spacing w:after="0"/>
        <w:rPr>
          <w:noProof/>
          <w:color w:val="18525E" w:themeColor="accent5" w:themeShade="80"/>
        </w:rPr>
      </w:pPr>
      <w:r w:rsidRPr="00E110C3">
        <w:rPr>
          <w:noProof/>
          <w:color w:val="18525E" w:themeColor="accent5" w:themeShade="80"/>
        </w:rPr>
        <w:t>One community member talked about receiving optimal care in the right way and at the right time in their life even though they never walked through the door of the ACCHSs. This person was identified through outreach care initiated by ACCHS staff who adopted an inclusive, whole-of-community approach to providing care to the community.</w:t>
      </w:r>
    </w:p>
    <w:p w14:paraId="77B42BBF" w14:textId="77777777" w:rsidR="00A37C93" w:rsidRPr="00E110C3" w:rsidRDefault="00A37C93" w:rsidP="00E110C3">
      <w:pPr>
        <w:pStyle w:val="Quote"/>
        <w:spacing w:after="0"/>
        <w:rPr>
          <w:noProof/>
          <w:color w:val="18525E" w:themeColor="accent5" w:themeShade="80"/>
        </w:rPr>
      </w:pPr>
      <w:r w:rsidRPr="00E110C3">
        <w:rPr>
          <w:noProof/>
          <w:color w:val="18525E" w:themeColor="accent5" w:themeShade="80"/>
        </w:rPr>
        <w:t xml:space="preserve">This person experienced addiction and serious ill health with complex chronic conditions. They were cared for and supported on their journey towards good health by dedicated health workers and medical staff. With the ongoing support of the ITC program, they transitioned from a life of dependency and illness to becoming a key contributor to society with well-managed health concerns. Importantly, this person then used their own experience of receiving support to help other people in similar situations. </w:t>
      </w:r>
    </w:p>
    <w:p w14:paraId="65D7783D" w14:textId="3940B310" w:rsidR="00147BFE" w:rsidRDefault="00147BFE" w:rsidP="00147BFE"/>
    <w:p w14:paraId="6F3A3392" w14:textId="0E74033F" w:rsidR="006E1D3D" w:rsidRPr="00884FAA" w:rsidRDefault="006E1D3D" w:rsidP="00651D06">
      <w:pPr>
        <w:pStyle w:val="Heading3"/>
      </w:pPr>
      <w:r w:rsidRPr="00884FAA">
        <w:t>No care, poor quality care</w:t>
      </w:r>
      <w:r w:rsidR="00C969F2" w:rsidRPr="00884FAA">
        <w:t>,</w:t>
      </w:r>
      <w:r w:rsidRPr="00884FAA">
        <w:t xml:space="preserve"> and care that is unsafe and traumatising </w:t>
      </w:r>
    </w:p>
    <w:p w14:paraId="73D3A8E0" w14:textId="23EA58A9" w:rsidR="002D7BE6" w:rsidRPr="004E5B18" w:rsidRDefault="002D7BE6" w:rsidP="002D7BE6">
      <w:r w:rsidRPr="004E5B18">
        <w:t xml:space="preserve">Some </w:t>
      </w:r>
      <w:r>
        <w:t>community members</w:t>
      </w:r>
      <w:r w:rsidRPr="004E5B18">
        <w:t xml:space="preserve"> reported being turned away from care and sent back to the ACCHS </w:t>
      </w:r>
      <w:r>
        <w:t>when seeking care in the</w:t>
      </w:r>
      <w:r w:rsidRPr="004E5B18">
        <w:t xml:space="preserve"> </w:t>
      </w:r>
      <w:r>
        <w:t>mainstream</w:t>
      </w:r>
      <w:r w:rsidRPr="004E5B18">
        <w:t xml:space="preserve"> health system. These encounters included people of different ages and stages of illness. Similarly, many people spoke of experiencing treatment with which they disagreed</w:t>
      </w:r>
      <w:r>
        <w:t>,</w:t>
      </w:r>
      <w:r w:rsidRPr="004E5B18">
        <w:t xml:space="preserve"> or </w:t>
      </w:r>
      <w:r>
        <w:t xml:space="preserve">of </w:t>
      </w:r>
      <w:r w:rsidRPr="004E5B18">
        <w:t xml:space="preserve">being sent home with </w:t>
      </w:r>
      <w:r w:rsidR="00CF196E">
        <w:t>paracetamol</w:t>
      </w:r>
      <w:r w:rsidRPr="004E5B18">
        <w:t>, only to return with advanced diagnoses or worse</w:t>
      </w:r>
      <w:r>
        <w:t>. These experiences were</w:t>
      </w:r>
      <w:r w:rsidRPr="004E5B18">
        <w:t xml:space="preserve"> most common</w:t>
      </w:r>
      <w:r w:rsidR="00CF196E">
        <w:t>ly reported</w:t>
      </w:r>
      <w:r w:rsidRPr="004E5B18">
        <w:t xml:space="preserve"> in tertiary care and mainly attributed to racism, costs, staff negligence and health professional incompetenc</w:t>
      </w:r>
      <w:r>
        <w:t>ies</w:t>
      </w:r>
      <w:r w:rsidRPr="004E5B18">
        <w:t>.</w:t>
      </w:r>
    </w:p>
    <w:p w14:paraId="1A029203" w14:textId="77777777" w:rsidR="002D7BE6" w:rsidRDefault="002D7BE6" w:rsidP="002D7BE6">
      <w:r w:rsidRPr="004E5B18">
        <w:t xml:space="preserve">Others </w:t>
      </w:r>
      <w:r>
        <w:t>community members</w:t>
      </w:r>
      <w:r w:rsidRPr="004E5B18">
        <w:t xml:space="preserve"> </w:t>
      </w:r>
      <w:r>
        <w:t>spoke</w:t>
      </w:r>
      <w:r w:rsidRPr="004E5B18">
        <w:t xml:space="preserve"> about long wait times, frequently accessing care without </w:t>
      </w:r>
      <w:r>
        <w:t xml:space="preserve">receiving </w:t>
      </w:r>
      <w:r w:rsidRPr="004E5B18">
        <w:t xml:space="preserve">treatment and bearing the long-term costs of </w:t>
      </w:r>
      <w:r>
        <w:t xml:space="preserve">systemic </w:t>
      </w:r>
      <w:r w:rsidRPr="004E5B18">
        <w:t xml:space="preserve">neglect, racism and discrimination because of misdirected assumptions of health professionals. </w:t>
      </w:r>
    </w:p>
    <w:p w14:paraId="2BB67040" w14:textId="159FFB16" w:rsidR="006E1D3D" w:rsidRPr="00A1178E" w:rsidRDefault="006E1D3D" w:rsidP="009E3CE2">
      <w:pPr>
        <w:pStyle w:val="Quote"/>
        <w:spacing w:after="0"/>
        <w:rPr>
          <w:noProof/>
          <w:color w:val="18525E" w:themeColor="accent5" w:themeShade="80"/>
        </w:rPr>
      </w:pPr>
      <w:r w:rsidRPr="00A1178E">
        <w:rPr>
          <w:noProof/>
          <w:color w:val="18525E" w:themeColor="accent5" w:themeShade="80"/>
        </w:rPr>
        <w:t>You have to make an appointment if you seriously sick. Doctor's overloaded. Say sorry, no appointment, got to wait another week or two till you see a doctor. I'm saying I need to see a doctor. Need. This is serious. You know? And that's the number one thing… but yet you're still waiting two weeks, you could be dead by then. So that's serious what I'm saying.</w:t>
      </w:r>
    </w:p>
    <w:p w14:paraId="5D531B52" w14:textId="57B918FA" w:rsidR="00DD0140" w:rsidRPr="00884FAA" w:rsidRDefault="002F2595" w:rsidP="00DD0140">
      <w:pPr>
        <w:jc w:val="right"/>
        <w:rPr>
          <w:b/>
          <w:bCs/>
        </w:rPr>
      </w:pPr>
      <w:r w:rsidRPr="00884FAA">
        <w:rPr>
          <w:b/>
          <w:bCs/>
        </w:rPr>
        <w:t>Community member</w:t>
      </w:r>
    </w:p>
    <w:p w14:paraId="74A30AF1" w14:textId="29B19E5C" w:rsidR="002D7BE6" w:rsidRDefault="004D78D3" w:rsidP="002D7BE6">
      <w:r>
        <w:lastRenderedPageBreak/>
        <w:t>Assumptions</w:t>
      </w:r>
      <w:r w:rsidR="002D7BE6" w:rsidRPr="00D35D66">
        <w:t xml:space="preserve"> and decisions to deny or delay treatment contributed to trauma, lifetime disability, and death</w:t>
      </w:r>
      <w:r>
        <w:t xml:space="preserve"> were also discussed by participants</w:t>
      </w:r>
      <w:r w:rsidR="002D7BE6" w:rsidRPr="00D35D66">
        <w:t>. These kinds of experiences shaped decisions about future access to health care for people and significant others who witnessed their health journeys.</w:t>
      </w:r>
    </w:p>
    <w:p w14:paraId="2DE7A468" w14:textId="77777777" w:rsidR="002D7BE6" w:rsidRPr="00A1178E" w:rsidRDefault="002D7BE6" w:rsidP="009E3CE2">
      <w:pPr>
        <w:pStyle w:val="Quote"/>
        <w:spacing w:after="0"/>
        <w:rPr>
          <w:color w:val="18525E" w:themeColor="accent5" w:themeShade="80"/>
        </w:rPr>
      </w:pPr>
      <w:r w:rsidRPr="00A1178E">
        <w:rPr>
          <w:color w:val="18525E" w:themeColor="accent5" w:themeShade="80"/>
        </w:rPr>
        <w:t xml:space="preserve">It's always anxious because you always have that anxiety or the first time you go, coz you don't know what you're walking into. There's plenty of times I've been referred and just didn't turn up because I get anxiety. </w:t>
      </w:r>
    </w:p>
    <w:p w14:paraId="2A9AF024" w14:textId="0813E377" w:rsidR="00DD0140" w:rsidRPr="00884FAA" w:rsidRDefault="000B00B4" w:rsidP="00DD0140">
      <w:pPr>
        <w:jc w:val="right"/>
        <w:rPr>
          <w:b/>
          <w:bCs/>
        </w:rPr>
      </w:pPr>
      <w:r w:rsidRPr="00884FAA">
        <w:rPr>
          <w:b/>
          <w:bCs/>
        </w:rPr>
        <w:t>Community member</w:t>
      </w:r>
    </w:p>
    <w:p w14:paraId="10FD224B" w14:textId="3511B911" w:rsidR="006E1D3D" w:rsidRDefault="001F33E6" w:rsidP="000B00B4">
      <w:pPr>
        <w:rPr>
          <w:noProof/>
        </w:rPr>
      </w:pPr>
      <w:r>
        <w:rPr>
          <w:noProof/>
        </w:rPr>
        <w:t>Community members often reported experiencing this</w:t>
      </w:r>
      <w:r w:rsidR="006E1D3D" w:rsidRPr="00884FAA">
        <w:rPr>
          <w:noProof/>
        </w:rPr>
        <w:t xml:space="preserve"> fear and mistrust </w:t>
      </w:r>
      <w:r w:rsidR="00876B31">
        <w:rPr>
          <w:noProof/>
        </w:rPr>
        <w:t>of health systems</w:t>
      </w:r>
      <w:r w:rsidR="006E1D3D" w:rsidRPr="00884FAA">
        <w:rPr>
          <w:noProof/>
        </w:rPr>
        <w:t xml:space="preserve"> from a young age and </w:t>
      </w:r>
      <w:r w:rsidR="00A36F6D">
        <w:rPr>
          <w:noProof/>
        </w:rPr>
        <w:t>this</w:t>
      </w:r>
      <w:r>
        <w:rPr>
          <w:noProof/>
        </w:rPr>
        <w:t xml:space="preserve"> having</w:t>
      </w:r>
      <w:r w:rsidR="006E1D3D" w:rsidRPr="00884FAA">
        <w:rPr>
          <w:noProof/>
        </w:rPr>
        <w:t xml:space="preserve"> a huge </w:t>
      </w:r>
      <w:r w:rsidR="00684B43" w:rsidRPr="00884FAA">
        <w:rPr>
          <w:noProof/>
        </w:rPr>
        <w:t xml:space="preserve">influence </w:t>
      </w:r>
      <w:r w:rsidR="006E1D3D" w:rsidRPr="00884FAA">
        <w:rPr>
          <w:noProof/>
        </w:rPr>
        <w:t>on future access, timely care</w:t>
      </w:r>
      <w:r w:rsidR="00F66B68" w:rsidRPr="00884FAA">
        <w:rPr>
          <w:noProof/>
        </w:rPr>
        <w:t>,</w:t>
      </w:r>
      <w:r w:rsidR="006E1D3D" w:rsidRPr="00884FAA">
        <w:rPr>
          <w:noProof/>
        </w:rPr>
        <w:t xml:space="preserve"> and health outcomes. </w:t>
      </w:r>
      <w:r w:rsidR="00BD0091">
        <w:rPr>
          <w:noProof/>
        </w:rPr>
        <w:t>Where people experience this fear and mistrust, a</w:t>
      </w:r>
      <w:r w:rsidR="003209D6" w:rsidRPr="00884FAA">
        <w:rPr>
          <w:noProof/>
        </w:rPr>
        <w:t xml:space="preserve"> lack of understanding from medical professionals can </w:t>
      </w:r>
      <w:r w:rsidR="00BD0091">
        <w:rPr>
          <w:noProof/>
        </w:rPr>
        <w:t xml:space="preserve">result in people </w:t>
      </w:r>
      <w:r w:rsidR="003209D6" w:rsidRPr="00884FAA">
        <w:rPr>
          <w:noProof/>
        </w:rPr>
        <w:t xml:space="preserve">being dismissed as non-compliant and difficult. </w:t>
      </w:r>
    </w:p>
    <w:p w14:paraId="16FF5823" w14:textId="22856CDE" w:rsidR="004A1F1F" w:rsidRDefault="004A1F1F" w:rsidP="004A1F1F">
      <w:pPr>
        <w:rPr>
          <w:rFonts w:ascii="Calibri" w:hAnsi="Calibri" w:cs="Calibri"/>
        </w:rPr>
      </w:pPr>
      <w:r w:rsidRPr="004A1F1F">
        <w:rPr>
          <w:noProof/>
        </w:rPr>
        <w:t xml:space="preserve">Many Aboriginal and Torres Strait Islander people continue to mistrust mainstream and government services. </w:t>
      </w:r>
      <w:r w:rsidR="0032547E">
        <w:rPr>
          <w:noProof/>
        </w:rPr>
        <w:t xml:space="preserve">People </w:t>
      </w:r>
      <w:r w:rsidRPr="004A1F1F">
        <w:rPr>
          <w:noProof/>
        </w:rPr>
        <w:t>access</w:t>
      </w:r>
      <w:r w:rsidR="0032547E">
        <w:rPr>
          <w:noProof/>
        </w:rPr>
        <w:t>ing</w:t>
      </w:r>
      <w:r w:rsidRPr="004A1F1F">
        <w:rPr>
          <w:noProof/>
        </w:rPr>
        <w:t xml:space="preserve"> these services </w:t>
      </w:r>
      <w:r w:rsidR="0032547E">
        <w:rPr>
          <w:noProof/>
        </w:rPr>
        <w:t xml:space="preserve">reported </w:t>
      </w:r>
      <w:r w:rsidRPr="004A1F1F">
        <w:rPr>
          <w:noProof/>
        </w:rPr>
        <w:t>experience</w:t>
      </w:r>
      <w:r w:rsidR="0032547E">
        <w:rPr>
          <w:noProof/>
        </w:rPr>
        <w:t>s of</w:t>
      </w:r>
      <w:r w:rsidRPr="004A1F1F">
        <w:rPr>
          <w:noProof/>
        </w:rPr>
        <w:t xml:space="preserve"> poor-quality care.</w:t>
      </w:r>
      <w:r w:rsidRPr="00A45054">
        <w:rPr>
          <w:rFonts w:ascii="Calibri" w:hAnsi="Calibri" w:cs="Calibri"/>
        </w:rPr>
        <w:t xml:space="preserve"> </w:t>
      </w:r>
    </w:p>
    <w:p w14:paraId="5CE50371" w14:textId="77777777" w:rsidR="004A1F1F" w:rsidRPr="00E110C3" w:rsidRDefault="004A1F1F" w:rsidP="009E3CE2">
      <w:pPr>
        <w:pStyle w:val="Quote"/>
        <w:spacing w:after="0"/>
        <w:rPr>
          <w:color w:val="18525E" w:themeColor="accent5" w:themeShade="80"/>
        </w:rPr>
      </w:pPr>
      <w:r w:rsidRPr="00E110C3">
        <w:rPr>
          <w:color w:val="18525E" w:themeColor="accent5" w:themeShade="80"/>
        </w:rPr>
        <w:t>And blackfellas don't like to communicate with whitefellas, right? Yeah. Because they don't have that trust.</w:t>
      </w:r>
    </w:p>
    <w:p w14:paraId="58C1DFE3" w14:textId="43F287CA" w:rsidR="004A1F1F" w:rsidRPr="00180FFD" w:rsidRDefault="004A1F1F" w:rsidP="00C6186F">
      <w:pPr>
        <w:jc w:val="right"/>
      </w:pPr>
      <w:r w:rsidRPr="00C6186F">
        <w:rPr>
          <w:b/>
          <w:bCs/>
          <w:noProof/>
        </w:rPr>
        <w:t>Community</w:t>
      </w:r>
      <w:r w:rsidRPr="00180FFD">
        <w:t xml:space="preserve"> </w:t>
      </w:r>
      <w:r w:rsidR="00F805FF">
        <w:rPr>
          <w:b/>
          <w:bCs/>
          <w:noProof/>
        </w:rPr>
        <w:t>m</w:t>
      </w:r>
      <w:r w:rsidRPr="00C6186F">
        <w:rPr>
          <w:b/>
          <w:bCs/>
          <w:noProof/>
        </w:rPr>
        <w:t>ember</w:t>
      </w:r>
    </w:p>
    <w:p w14:paraId="72BD1F87" w14:textId="51EFB408" w:rsidR="002D7BE6" w:rsidRDefault="000A0B90" w:rsidP="002D7BE6">
      <w:r>
        <w:t xml:space="preserve">People shared experiences of </w:t>
      </w:r>
      <w:r w:rsidR="002D7BE6" w:rsidRPr="004E5B18">
        <w:t>racism, discrimination and lack of decision-making options and communication around their care</w:t>
      </w:r>
      <w:r>
        <w:t xml:space="preserve">. These experiences </w:t>
      </w:r>
      <w:r w:rsidR="002D7BE6" w:rsidRPr="004E5B18">
        <w:t>reinforced distrust</w:t>
      </w:r>
      <w:r w:rsidR="00F31ADD">
        <w:t xml:space="preserve"> and contributed to </w:t>
      </w:r>
      <w:r w:rsidR="002D7BE6" w:rsidRPr="004E5B18">
        <w:t>a reluctance to attend specialist or hospital appointments</w:t>
      </w:r>
      <w:r w:rsidR="00F31ADD">
        <w:t xml:space="preserve">. </w:t>
      </w:r>
      <w:r w:rsidR="00F5626A">
        <w:t>T</w:t>
      </w:r>
      <w:r w:rsidR="00C5708A">
        <w:t xml:space="preserve">hese experiences also </w:t>
      </w:r>
      <w:r w:rsidR="002D7BE6" w:rsidRPr="004E5B18">
        <w:t>compromised compliance with recommended treatment, including hospital stays and medications</w:t>
      </w:r>
      <w:r w:rsidR="007A48DA">
        <w:t xml:space="preserve"> for those people that did access care</w:t>
      </w:r>
      <w:r w:rsidR="002D7BE6" w:rsidRPr="004E5B18">
        <w:t xml:space="preserve">. </w:t>
      </w:r>
    </w:p>
    <w:p w14:paraId="5A193EF5" w14:textId="0BAF4B51" w:rsidR="006E1D3D" w:rsidRPr="00884FAA" w:rsidRDefault="006E1D3D" w:rsidP="0035030F">
      <w:pPr>
        <w:pStyle w:val="Heading2"/>
      </w:pPr>
      <w:bookmarkStart w:id="169" w:name="_Toc137208914"/>
      <w:r w:rsidRPr="00884FAA">
        <w:t xml:space="preserve">People </w:t>
      </w:r>
      <w:r w:rsidR="009C5EDA" w:rsidRPr="00884FAA">
        <w:t xml:space="preserve">generally </w:t>
      </w:r>
      <w:r w:rsidRPr="00884FAA">
        <w:t>experience a better quality of care in ACCHSs</w:t>
      </w:r>
      <w:bookmarkEnd w:id="169"/>
    </w:p>
    <w:p w14:paraId="4B566BB6" w14:textId="6C5372E6" w:rsidR="00033759" w:rsidRPr="00033759" w:rsidRDefault="00033759" w:rsidP="00033759">
      <w:pPr>
        <w:rPr>
          <w:noProof/>
        </w:rPr>
      </w:pPr>
      <w:r w:rsidRPr="00033759">
        <w:rPr>
          <w:noProof/>
          <w:lang w:val="en-NZ"/>
        </w:rPr>
        <w:t xml:space="preserve">People reported that when they receive care at ACCHSs, they feel like someone cares about them, treats them </w:t>
      </w:r>
      <w:r w:rsidRPr="00033759">
        <w:rPr>
          <w:noProof/>
        </w:rPr>
        <w:t xml:space="preserve">with dignity and respect and understands health in its broadest sense. People feel safer accessing care and are welcomed by seeing and connecting with other Aboriginal and Torres Strait Islander people in the immediate environment. Under these conditions, people experience a sense of shared strength and solidarity as they traverse the highs and lows of life. People emphasised </w:t>
      </w:r>
      <w:r w:rsidRPr="00EC28C6">
        <w:rPr>
          <w:noProof/>
        </w:rPr>
        <w:t xml:space="preserve">that </w:t>
      </w:r>
      <w:r w:rsidRPr="00E110C3">
        <w:rPr>
          <w:iCs/>
          <w:color w:val="18525E" w:themeColor="accent5" w:themeShade="80"/>
          <w:szCs w:val="28"/>
        </w:rPr>
        <w:t>‘seeing other Black faces</w:t>
      </w:r>
      <w:r w:rsidR="00EB595C" w:rsidRPr="00E110C3">
        <w:rPr>
          <w:iCs/>
          <w:color w:val="18525E" w:themeColor="accent5" w:themeShade="80"/>
          <w:szCs w:val="28"/>
        </w:rPr>
        <w:t>’</w:t>
      </w:r>
      <w:r w:rsidR="00BA5553" w:rsidRPr="00EB595C">
        <w:rPr>
          <w:rStyle w:val="FootnoteReference"/>
          <w:i/>
        </w:rPr>
        <w:footnoteReference w:id="30"/>
      </w:r>
      <w:r w:rsidRPr="009E3CE2">
        <w:rPr>
          <w:noProof/>
          <w:color w:val="309EB7" w:themeColor="accent6" w:themeShade="80"/>
        </w:rPr>
        <w:t xml:space="preserve"> </w:t>
      </w:r>
      <w:r w:rsidRPr="00033759">
        <w:rPr>
          <w:noProof/>
        </w:rPr>
        <w:t xml:space="preserve">at the reception desk made them immediately feel more comfortable, welcome and safe. </w:t>
      </w:r>
    </w:p>
    <w:p w14:paraId="4D6EEF72" w14:textId="77777777" w:rsidR="00033759" w:rsidRPr="00033759" w:rsidRDefault="00033759" w:rsidP="00033759">
      <w:pPr>
        <w:rPr>
          <w:noProof/>
        </w:rPr>
      </w:pPr>
      <w:r w:rsidRPr="00033759">
        <w:rPr>
          <w:noProof/>
        </w:rPr>
        <w:lastRenderedPageBreak/>
        <w:t xml:space="preserve">While in the main, Aboriginal and Torres Strait Islander people experience a better quality of care in ACCHSs, people sometimes described their experience as </w:t>
      </w:r>
      <w:r w:rsidRPr="00E110C3">
        <w:rPr>
          <w:i/>
          <w:iCs/>
          <w:noProof/>
        </w:rPr>
        <w:t>‘</w:t>
      </w:r>
      <w:r w:rsidRPr="00E110C3">
        <w:rPr>
          <w:i/>
          <w:iCs/>
          <w:noProof/>
          <w:color w:val="18525E" w:themeColor="accent5" w:themeShade="80"/>
          <w:szCs w:val="28"/>
        </w:rPr>
        <w:t>good, but…’</w:t>
      </w:r>
      <w:r w:rsidRPr="00033759">
        <w:rPr>
          <w:i/>
          <w:iCs/>
          <w:noProof/>
        </w:rPr>
        <w:t>.</w:t>
      </w:r>
      <w:r w:rsidRPr="00033759">
        <w:rPr>
          <w:i/>
          <w:vertAlign w:val="superscript"/>
        </w:rPr>
        <w:footnoteReference w:id="31"/>
      </w:r>
      <w:r w:rsidRPr="00033759">
        <w:rPr>
          <w:noProof/>
        </w:rPr>
        <w:t xml:space="preserve"> Where historical, and cultural tensions existed, people had been prevented from accessing care. </w:t>
      </w:r>
    </w:p>
    <w:p w14:paraId="33E4C972" w14:textId="06C7DE1D" w:rsidR="00033759" w:rsidRPr="00033759" w:rsidRDefault="00033759" w:rsidP="00033759">
      <w:pPr>
        <w:rPr>
          <w:noProof/>
        </w:rPr>
      </w:pPr>
      <w:r w:rsidRPr="00033759">
        <w:rPr>
          <w:noProof/>
        </w:rPr>
        <w:t>People also reported a sense that ACCHSs had recently shifted ‘</w:t>
      </w:r>
      <w:r w:rsidRPr="00E110C3">
        <w:rPr>
          <w:i/>
          <w:noProof/>
          <w:color w:val="18525E" w:themeColor="accent5" w:themeShade="80"/>
          <w:szCs w:val="28"/>
        </w:rPr>
        <w:t>to a business model’</w:t>
      </w:r>
      <w:r w:rsidRPr="00033759">
        <w:rPr>
          <w:noProof/>
        </w:rPr>
        <w:t>.</w:t>
      </w:r>
      <w:r w:rsidRPr="00033759">
        <w:rPr>
          <w:vertAlign w:val="superscript"/>
        </w:rPr>
        <w:footnoteReference w:id="32"/>
      </w:r>
      <w:r w:rsidRPr="00033759">
        <w:rPr>
          <w:noProof/>
        </w:rPr>
        <w:t xml:space="preserve"> They stated that services appeared to focus on income-generating practices, while their preferences were for more holistic</w:t>
      </w:r>
      <w:r w:rsidRPr="003F389B">
        <w:rPr>
          <w:noProof/>
        </w:rPr>
        <w:t>, integrated, person-centred health</w:t>
      </w:r>
      <w:r w:rsidRPr="00033759">
        <w:rPr>
          <w:noProof/>
        </w:rPr>
        <w:t xml:space="preserve"> care that aligned with their concept of health.</w:t>
      </w:r>
    </w:p>
    <w:p w14:paraId="6B10FCDE" w14:textId="77777777" w:rsidR="00033759" w:rsidRPr="00A1178E" w:rsidRDefault="00033759" w:rsidP="009E3CE2">
      <w:pPr>
        <w:pStyle w:val="Quote"/>
        <w:spacing w:after="0"/>
        <w:rPr>
          <w:noProof/>
          <w:color w:val="18525E" w:themeColor="accent5" w:themeShade="80"/>
        </w:rPr>
      </w:pPr>
      <w:r w:rsidRPr="00A1178E">
        <w:rPr>
          <w:noProof/>
          <w:color w:val="18525E" w:themeColor="accent5" w:themeShade="80"/>
        </w:rPr>
        <w:t>They don't care, they're not worried about your health. They're not there for that. They're only there for the dollar sign. And we've had a few bad experiences here. We have been made to feel very poor.</w:t>
      </w:r>
    </w:p>
    <w:p w14:paraId="05C1C46B" w14:textId="77777777" w:rsidR="00252A51" w:rsidRPr="00DE3527" w:rsidRDefault="004152C4" w:rsidP="00C6186F">
      <w:pPr>
        <w:jc w:val="right"/>
        <w:rPr>
          <w:b/>
        </w:rPr>
      </w:pPr>
      <w:r w:rsidRPr="00DE3527">
        <w:rPr>
          <w:b/>
        </w:rPr>
        <w:t>Community member</w:t>
      </w:r>
    </w:p>
    <w:p w14:paraId="7598E268" w14:textId="64CCCA1F" w:rsidR="006E1D3D" w:rsidRDefault="006E1D3D" w:rsidP="00900133">
      <w:pPr>
        <w:rPr>
          <w:noProof/>
        </w:rPr>
      </w:pPr>
      <w:r w:rsidRPr="00884FAA">
        <w:rPr>
          <w:noProof/>
        </w:rPr>
        <w:t xml:space="preserve">ACCHS clients recognise that </w:t>
      </w:r>
      <w:r w:rsidR="007A48DA">
        <w:rPr>
          <w:noProof/>
        </w:rPr>
        <w:t>not all services have the resources</w:t>
      </w:r>
      <w:r w:rsidRPr="00884FAA">
        <w:rPr>
          <w:noProof/>
        </w:rPr>
        <w:t xml:space="preserve"> to provide the kind of access, care</w:t>
      </w:r>
      <w:r w:rsidR="00033759" w:rsidRPr="00033759">
        <w:rPr>
          <w:noProof/>
        </w:rPr>
        <w:t xml:space="preserve"> and programs they value. </w:t>
      </w:r>
      <w:r w:rsidR="00120FDE" w:rsidRPr="00884FAA">
        <w:rPr>
          <w:noProof/>
        </w:rPr>
        <w:t xml:space="preserve">People reflected that </w:t>
      </w:r>
      <w:r w:rsidRPr="00884FAA">
        <w:rPr>
          <w:noProof/>
        </w:rPr>
        <w:t>wait times are sometimes long</w:t>
      </w:r>
      <w:r w:rsidR="00120FDE" w:rsidRPr="00884FAA">
        <w:rPr>
          <w:noProof/>
        </w:rPr>
        <w:t xml:space="preserve"> and </w:t>
      </w:r>
      <w:r w:rsidRPr="00884FAA">
        <w:rPr>
          <w:noProof/>
        </w:rPr>
        <w:t xml:space="preserve">that it </w:t>
      </w:r>
      <w:r w:rsidR="00033759" w:rsidRPr="00033759">
        <w:rPr>
          <w:noProof/>
        </w:rPr>
        <w:t>is</w:t>
      </w:r>
      <w:r w:rsidR="00120FDE" w:rsidRPr="00884FAA">
        <w:rPr>
          <w:noProof/>
        </w:rPr>
        <w:t xml:space="preserve"> </w:t>
      </w:r>
      <w:r w:rsidRPr="00884FAA">
        <w:rPr>
          <w:noProof/>
        </w:rPr>
        <w:t>difficult to see the same doctor all the tim</w:t>
      </w:r>
      <w:r w:rsidR="007A59DE" w:rsidRPr="00884FAA">
        <w:rPr>
          <w:noProof/>
        </w:rPr>
        <w:t>e</w:t>
      </w:r>
      <w:r w:rsidR="0080231C">
        <w:rPr>
          <w:noProof/>
        </w:rPr>
        <w:t xml:space="preserve">, or </w:t>
      </w:r>
      <w:r w:rsidR="00033759" w:rsidRPr="00033759">
        <w:rPr>
          <w:noProof/>
        </w:rPr>
        <w:t>a doctor at all, and that specialist services are not always available.</w:t>
      </w:r>
      <w:r w:rsidR="007A59DE" w:rsidRPr="00884FAA">
        <w:rPr>
          <w:noProof/>
        </w:rPr>
        <w:t xml:space="preserve"> As a service offered within the community</w:t>
      </w:r>
      <w:r w:rsidR="00036DB3" w:rsidRPr="00884FAA">
        <w:rPr>
          <w:noProof/>
        </w:rPr>
        <w:t>,</w:t>
      </w:r>
      <w:r w:rsidR="007A59DE" w:rsidRPr="00884FAA">
        <w:rPr>
          <w:noProof/>
        </w:rPr>
        <w:t xml:space="preserve"> people perceived </w:t>
      </w:r>
      <w:r w:rsidRPr="00884FAA">
        <w:rPr>
          <w:noProof/>
        </w:rPr>
        <w:t xml:space="preserve">risks to confidentiality, that </w:t>
      </w:r>
      <w:r w:rsidR="0076292E">
        <w:rPr>
          <w:noProof/>
        </w:rPr>
        <w:t xml:space="preserve">ACCHSs </w:t>
      </w:r>
      <w:r w:rsidR="00655E3D">
        <w:rPr>
          <w:noProof/>
        </w:rPr>
        <w:t xml:space="preserve">can be </w:t>
      </w:r>
      <w:r w:rsidRPr="00884FAA">
        <w:rPr>
          <w:noProof/>
        </w:rPr>
        <w:t xml:space="preserve">places of nepotism and lateral violence, and that </w:t>
      </w:r>
      <w:r w:rsidR="00655E3D">
        <w:rPr>
          <w:noProof/>
        </w:rPr>
        <w:t xml:space="preserve">not </w:t>
      </w:r>
      <w:r w:rsidRPr="00884FAA">
        <w:rPr>
          <w:noProof/>
        </w:rPr>
        <w:t xml:space="preserve">everyone’s needs </w:t>
      </w:r>
      <w:r w:rsidR="00655E3D">
        <w:rPr>
          <w:noProof/>
        </w:rPr>
        <w:t xml:space="preserve">are </w:t>
      </w:r>
      <w:r w:rsidRPr="00884FAA">
        <w:rPr>
          <w:noProof/>
        </w:rPr>
        <w:t xml:space="preserve">well addressed. </w:t>
      </w:r>
      <w:r w:rsidR="00946AB6" w:rsidRPr="00946AB6">
        <w:rPr>
          <w:noProof/>
        </w:rPr>
        <w:t xml:space="preserve">However, people </w:t>
      </w:r>
      <w:r w:rsidR="003471ED">
        <w:rPr>
          <w:noProof/>
        </w:rPr>
        <w:t>al</w:t>
      </w:r>
      <w:r w:rsidR="00E77210">
        <w:rPr>
          <w:noProof/>
        </w:rPr>
        <w:t>s</w:t>
      </w:r>
      <w:r w:rsidR="003471ED">
        <w:rPr>
          <w:noProof/>
        </w:rPr>
        <w:t xml:space="preserve">o </w:t>
      </w:r>
      <w:r w:rsidR="00946AB6" w:rsidRPr="00946AB6">
        <w:rPr>
          <w:noProof/>
        </w:rPr>
        <w:t>recognised that community-controlled services will not suit all people all of the time. Where these issues were of greatest concern was in areas where there were no other providers to access.</w:t>
      </w:r>
    </w:p>
    <w:p w14:paraId="12CAC3E0" w14:textId="0EB26905" w:rsidR="00F8430C" w:rsidRPr="00F8430C" w:rsidRDefault="00F8430C" w:rsidP="00F8430C">
      <w:pPr>
        <w:rPr>
          <w:noProof/>
        </w:rPr>
      </w:pPr>
      <w:r w:rsidRPr="00F8430C">
        <w:rPr>
          <w:noProof/>
        </w:rPr>
        <w:t xml:space="preserve">Accessing mainstream services </w:t>
      </w:r>
      <w:r w:rsidR="003471ED">
        <w:rPr>
          <w:noProof/>
        </w:rPr>
        <w:t xml:space="preserve">can involve additional </w:t>
      </w:r>
      <w:r w:rsidRPr="00F8430C">
        <w:rPr>
          <w:noProof/>
        </w:rPr>
        <w:t>layers of complexity and difficulties</w:t>
      </w:r>
      <w:r w:rsidR="00FA46F5">
        <w:rPr>
          <w:noProof/>
        </w:rPr>
        <w:t xml:space="preserve"> for Aboriginal and Torres Strait Islander people</w:t>
      </w:r>
      <w:r w:rsidR="00C7187C">
        <w:rPr>
          <w:noProof/>
        </w:rPr>
        <w:t>.</w:t>
      </w:r>
      <w:r w:rsidRPr="00F8430C">
        <w:rPr>
          <w:noProof/>
        </w:rPr>
        <w:t xml:space="preserve"> As previously noted, challenges primarily sit at the interface of two different approaches to care – one that takes a more traditional biomedical approach – predominantly experienced through Western-trained medical staff – and the other a holistic value-</w:t>
      </w:r>
      <w:r w:rsidRPr="006F0F55">
        <w:rPr>
          <w:noProof/>
        </w:rPr>
        <w:t xml:space="preserve">based, </w:t>
      </w:r>
      <w:r w:rsidR="004738E5" w:rsidRPr="006F0F55">
        <w:rPr>
          <w:noProof/>
        </w:rPr>
        <w:t>person</w:t>
      </w:r>
      <w:r w:rsidRPr="006F0F55">
        <w:rPr>
          <w:noProof/>
        </w:rPr>
        <w:t>-centred integrated care</w:t>
      </w:r>
      <w:r w:rsidRPr="00F8430C">
        <w:rPr>
          <w:noProof/>
        </w:rPr>
        <w:t xml:space="preserve"> model that ACCHSs strive to deliver. Poor experiences </w:t>
      </w:r>
      <w:r w:rsidR="003D5CBB">
        <w:rPr>
          <w:noProof/>
        </w:rPr>
        <w:t xml:space="preserve">were expereinced at higher rates when </w:t>
      </w:r>
      <w:r w:rsidRPr="00F8430C">
        <w:rPr>
          <w:noProof/>
        </w:rPr>
        <w:t xml:space="preserve">people leave the relative safety of ACCHSs. </w:t>
      </w:r>
    </w:p>
    <w:p w14:paraId="35AFD5D6" w14:textId="1F4AADD1" w:rsidR="006E1D3D" w:rsidRPr="00884FAA" w:rsidRDefault="00F8430C" w:rsidP="0035030F">
      <w:pPr>
        <w:pStyle w:val="Heading2"/>
      </w:pPr>
      <w:bookmarkStart w:id="170" w:name="_Toc137208915"/>
      <w:r>
        <w:t>People identified quality of care concerns across the health system</w:t>
      </w:r>
      <w:bookmarkEnd w:id="170"/>
    </w:p>
    <w:p w14:paraId="1B4DCFB6" w14:textId="77777777" w:rsidR="0030454F" w:rsidRDefault="0030454F" w:rsidP="0030454F">
      <w:r w:rsidRPr="004E5B18">
        <w:t xml:space="preserve">While there were differences in people’s experiences, the underlying causes were often similar. </w:t>
      </w:r>
      <w:r>
        <w:t>People</w:t>
      </w:r>
      <w:r w:rsidRPr="004E5B18">
        <w:t xml:space="preserve"> still needed to engage with the same issues and complexities that characterise the broader health system such as discrimination, racism and system complexities. </w:t>
      </w:r>
    </w:p>
    <w:p w14:paraId="13264672" w14:textId="06689773" w:rsidR="0030454F" w:rsidRPr="00703410" w:rsidRDefault="0030454F" w:rsidP="00651D06">
      <w:pPr>
        <w:pStyle w:val="Heading3"/>
      </w:pPr>
      <w:r w:rsidRPr="00557AAF">
        <w:t>Location</w:t>
      </w:r>
    </w:p>
    <w:p w14:paraId="3E694846" w14:textId="75375C0A" w:rsidR="0030454F" w:rsidRDefault="0030454F" w:rsidP="0030454F">
      <w:r>
        <w:t>Some elements of quality in health care arose specifically because of location, such as access and choice of provider.</w:t>
      </w:r>
      <w:r w:rsidRPr="004E5B18">
        <w:t xml:space="preserve"> </w:t>
      </w:r>
      <w:r>
        <w:t>The nature of v</w:t>
      </w:r>
      <w:r w:rsidRPr="004E5B18">
        <w:t xml:space="preserve">ariance </w:t>
      </w:r>
      <w:r>
        <w:t xml:space="preserve">across </w:t>
      </w:r>
      <w:r w:rsidRPr="004E5B18">
        <w:t>rural</w:t>
      </w:r>
      <w:r>
        <w:t xml:space="preserve">, </w:t>
      </w:r>
      <w:r w:rsidRPr="004E5B18">
        <w:t>remote</w:t>
      </w:r>
      <w:r>
        <w:t xml:space="preserve">, and </w:t>
      </w:r>
      <w:r w:rsidR="0054483D">
        <w:t>metropolitan</w:t>
      </w:r>
      <w:r w:rsidR="0054483D" w:rsidRPr="004E5B18">
        <w:t xml:space="preserve"> </w:t>
      </w:r>
      <w:r>
        <w:t>locations manifests in</w:t>
      </w:r>
      <w:r w:rsidRPr="004E5B18">
        <w:t xml:space="preserve"> irregularities in the timeliness and access to </w:t>
      </w:r>
      <w:r>
        <w:t xml:space="preserve">particular </w:t>
      </w:r>
      <w:r w:rsidRPr="004E5B18">
        <w:t xml:space="preserve">care, especially dental, </w:t>
      </w:r>
      <w:r w:rsidRPr="004E5B18">
        <w:lastRenderedPageBreak/>
        <w:t>mental health, drug and alcohol, dialysis, optometry, psychology, youth care, aged care, physiotherapy</w:t>
      </w:r>
      <w:r>
        <w:t>,</w:t>
      </w:r>
      <w:r w:rsidRPr="004E5B18">
        <w:t xml:space="preserve"> continuity of care, </w:t>
      </w:r>
      <w:r>
        <w:t xml:space="preserve">transport, </w:t>
      </w:r>
      <w:r w:rsidRPr="004E5B18">
        <w:t xml:space="preserve">prevention and early intervention, and care coordination. </w:t>
      </w:r>
    </w:p>
    <w:p w14:paraId="68067C7F" w14:textId="52C48C8F" w:rsidR="0030454F" w:rsidRDefault="0030454F" w:rsidP="0030454F">
      <w:r w:rsidRPr="004E5B18">
        <w:t xml:space="preserve">In some cases, people </w:t>
      </w:r>
      <w:r w:rsidR="00703410" w:rsidRPr="00703410">
        <w:t xml:space="preserve">seeking health care </w:t>
      </w:r>
      <w:r w:rsidRPr="004E5B18">
        <w:t xml:space="preserve">experience a long wait for GP services, and in extreme cases, there are no available GP services. Lack of services </w:t>
      </w:r>
      <w:r w:rsidR="00703410" w:rsidRPr="00703410">
        <w:t>accessible services limits</w:t>
      </w:r>
      <w:r w:rsidRPr="004E5B18">
        <w:t xml:space="preserve"> choice and forces people to access mainstream GP services or hospital Emergency Departments where they </w:t>
      </w:r>
      <w:r w:rsidR="00703410" w:rsidRPr="00703410">
        <w:t>often</w:t>
      </w:r>
      <w:r w:rsidRPr="004E5B18">
        <w:t xml:space="preserve"> receive less than optimal care</w:t>
      </w:r>
      <w:r>
        <w:t xml:space="preserve">. </w:t>
      </w:r>
    </w:p>
    <w:p w14:paraId="5BE2F086" w14:textId="77777777" w:rsidR="0030454F" w:rsidRPr="00A1178E" w:rsidRDefault="0030454F" w:rsidP="009E3CE2">
      <w:pPr>
        <w:pStyle w:val="Quote"/>
        <w:spacing w:after="0"/>
        <w:rPr>
          <w:color w:val="18525E" w:themeColor="accent5" w:themeShade="80"/>
        </w:rPr>
      </w:pPr>
      <w:r w:rsidRPr="00A1178E">
        <w:rPr>
          <w:color w:val="18525E" w:themeColor="accent5" w:themeShade="80"/>
        </w:rPr>
        <w:t>Think the hospitals need to be able to treat everyone the same and make our people welcome. Don't shun them. Don't look down at them.</w:t>
      </w:r>
    </w:p>
    <w:p w14:paraId="2C321D19" w14:textId="77777777" w:rsidR="0030454F" w:rsidRPr="00981AB3" w:rsidRDefault="0030454F" w:rsidP="009E3CE2">
      <w:pPr>
        <w:spacing w:before="240"/>
        <w:jc w:val="right"/>
        <w:rPr>
          <w:b/>
          <w:bCs/>
        </w:rPr>
      </w:pPr>
      <w:r w:rsidRPr="00981AB3">
        <w:rPr>
          <w:b/>
          <w:bCs/>
        </w:rPr>
        <w:t xml:space="preserve">Community </w:t>
      </w:r>
      <w:r w:rsidR="00703410" w:rsidRPr="00703410">
        <w:rPr>
          <w:b/>
          <w:bCs/>
        </w:rPr>
        <w:t>member</w:t>
      </w:r>
    </w:p>
    <w:p w14:paraId="19930873" w14:textId="0246DABC" w:rsidR="00703410" w:rsidRPr="00703410" w:rsidRDefault="00703410" w:rsidP="00651D06">
      <w:pPr>
        <w:pStyle w:val="Heading3"/>
      </w:pPr>
      <w:r w:rsidRPr="00703410">
        <w:t>Lacking choice</w:t>
      </w:r>
    </w:p>
    <w:p w14:paraId="38B7D861" w14:textId="75162CDB" w:rsidR="00703410" w:rsidRPr="00703410" w:rsidRDefault="00703410" w:rsidP="00703410">
      <w:r w:rsidRPr="00703410">
        <w:t xml:space="preserve">People spoke about feeling unheard and lacking choice and input into how health care should look for them. </w:t>
      </w:r>
      <w:r w:rsidR="003640D2">
        <w:t>P</w:t>
      </w:r>
      <w:r w:rsidRPr="00703410">
        <w:t xml:space="preserve">eople reported a lack of choice about their health care provider and nature of care, treatment options, or point of care. This </w:t>
      </w:r>
      <w:r w:rsidR="00672B28">
        <w:t>experience</w:t>
      </w:r>
      <w:r w:rsidRPr="00703410">
        <w:t xml:space="preserve"> was accentuated in regional and remote areas where there are few </w:t>
      </w:r>
      <w:r w:rsidR="00443961">
        <w:t xml:space="preserve">health service </w:t>
      </w:r>
      <w:r w:rsidRPr="00703410">
        <w:t>options</w:t>
      </w:r>
      <w:r w:rsidR="00443961">
        <w:t>.</w:t>
      </w:r>
      <w:r w:rsidR="00672B28" w:rsidRPr="00703410">
        <w:t xml:space="preserve"> </w:t>
      </w:r>
      <w:r w:rsidR="00F83C7D">
        <w:t>People</w:t>
      </w:r>
      <w:r w:rsidR="00E7207A">
        <w:t xml:space="preserve"> report</w:t>
      </w:r>
      <w:r w:rsidR="00D10191">
        <w:t>ed</w:t>
      </w:r>
      <w:r w:rsidR="00F83C7D">
        <w:t xml:space="preserve"> </w:t>
      </w:r>
      <w:r w:rsidR="00511DC6">
        <w:t>experienc</w:t>
      </w:r>
      <w:r w:rsidR="00D10191">
        <w:t>es of</w:t>
      </w:r>
      <w:r w:rsidR="00511DC6">
        <w:t xml:space="preserve"> care</w:t>
      </w:r>
      <w:r w:rsidR="00075005">
        <w:t xml:space="preserve"> </w:t>
      </w:r>
      <w:r w:rsidRPr="00703410">
        <w:t>that</w:t>
      </w:r>
      <w:r w:rsidR="00075005">
        <w:t xml:space="preserve"> </w:t>
      </w:r>
      <w:r w:rsidRPr="00703410">
        <w:t xml:space="preserve">did not meet their needs or was culturally insensitive, </w:t>
      </w:r>
      <w:r w:rsidR="00D10191">
        <w:t>going</w:t>
      </w:r>
      <w:r w:rsidR="00075005">
        <w:t xml:space="preserve"> </w:t>
      </w:r>
      <w:r w:rsidRPr="00703410">
        <w:t xml:space="preserve">without care, or </w:t>
      </w:r>
      <w:r w:rsidR="00D10191">
        <w:t xml:space="preserve">being </w:t>
      </w:r>
      <w:r w:rsidR="00075005">
        <w:t xml:space="preserve">required to </w:t>
      </w:r>
      <w:r w:rsidRPr="00703410">
        <w:t xml:space="preserve">access mainstream services where appropriate and safe care was largely unavailable. </w:t>
      </w:r>
    </w:p>
    <w:p w14:paraId="7FF4C857" w14:textId="47293478" w:rsidR="00703410" w:rsidRPr="00703410" w:rsidRDefault="00703410" w:rsidP="00703410">
      <w:r w:rsidRPr="00703410">
        <w:t xml:space="preserve">People reported having little input into their health care., </w:t>
      </w:r>
      <w:r w:rsidR="00D5420A">
        <w:t>P</w:t>
      </w:r>
      <w:r w:rsidRPr="00703410">
        <w:t>eople regularly experienced ‘prescribed’ care rather than care developed in partnership or by informed choice</w:t>
      </w:r>
      <w:r w:rsidR="00D5420A">
        <w:t xml:space="preserve">, </w:t>
      </w:r>
      <w:r w:rsidR="00D06008">
        <w:t>especially in hospital settings</w:t>
      </w:r>
      <w:r w:rsidRPr="00703410">
        <w:t xml:space="preserve">. However, ‘prescribed’ care was also experienced </w:t>
      </w:r>
      <w:r w:rsidR="00D06008">
        <w:t>by people accessing health care at</w:t>
      </w:r>
      <w:r w:rsidR="00D06008" w:rsidRPr="00703410">
        <w:t xml:space="preserve"> </w:t>
      </w:r>
      <w:r w:rsidRPr="00703410">
        <w:t>ACCHSs.</w:t>
      </w:r>
    </w:p>
    <w:p w14:paraId="6CB6C044" w14:textId="1958C86D" w:rsidR="00703410" w:rsidRPr="00703410" w:rsidRDefault="00703410" w:rsidP="00651D06">
      <w:pPr>
        <w:pStyle w:val="Heading3"/>
      </w:pPr>
      <w:r w:rsidRPr="00703410">
        <w:t>Competing for care</w:t>
      </w:r>
    </w:p>
    <w:p w14:paraId="39FAEAE9" w14:textId="67E19C1D" w:rsidR="00703410" w:rsidRPr="00703410" w:rsidRDefault="007B7EA7" w:rsidP="00703410">
      <w:r>
        <w:t xml:space="preserve">People also experienced challenging accessing services </w:t>
      </w:r>
      <w:r w:rsidR="00D538F0">
        <w:t>through ACCHSs.</w:t>
      </w:r>
      <w:r w:rsidR="00703410" w:rsidRPr="00703410">
        <w:t xml:space="preserve"> In some instances, people </w:t>
      </w:r>
      <w:r w:rsidR="00D538F0">
        <w:t xml:space="preserve">suggested </w:t>
      </w:r>
      <w:r w:rsidR="00703410" w:rsidRPr="00703410">
        <w:t xml:space="preserve">that non-Indigenous clients receiving care </w:t>
      </w:r>
      <w:r w:rsidR="008238AA">
        <w:t xml:space="preserve">through ACCHSs </w:t>
      </w:r>
      <w:r w:rsidR="00703410" w:rsidRPr="00703410">
        <w:t>increased wait times</w:t>
      </w:r>
      <w:r w:rsidR="00D538F0">
        <w:t xml:space="preserve"> for these services</w:t>
      </w:r>
      <w:r w:rsidR="00703410" w:rsidRPr="00703410">
        <w:t xml:space="preserve">. People felt that they were relegated to the back stalls yet again. These people </w:t>
      </w:r>
      <w:r w:rsidR="008238AA">
        <w:t xml:space="preserve">experienced the </w:t>
      </w:r>
      <w:r w:rsidR="00703410" w:rsidRPr="00703410">
        <w:t xml:space="preserve">ACCHSs’ inclusion of non-Indigenous clients </w:t>
      </w:r>
      <w:r w:rsidR="008238AA">
        <w:t xml:space="preserve">as </w:t>
      </w:r>
      <w:r w:rsidR="002C0F4E">
        <w:t xml:space="preserve">influencing </w:t>
      </w:r>
      <w:r w:rsidR="00703410" w:rsidRPr="00703410">
        <w:t xml:space="preserve">their quality of care. However, people were </w:t>
      </w:r>
      <w:r w:rsidR="002C0F4E">
        <w:t xml:space="preserve">also </w:t>
      </w:r>
      <w:r w:rsidR="00703410" w:rsidRPr="00703410">
        <w:t xml:space="preserve">aware that non-Indigenous clients generated </w:t>
      </w:r>
      <w:r w:rsidR="0018324B">
        <w:t>Medicare</w:t>
      </w:r>
      <w:r w:rsidR="0018324B" w:rsidRPr="00703410">
        <w:t xml:space="preserve"> </w:t>
      </w:r>
      <w:r w:rsidR="00703410" w:rsidRPr="00703410">
        <w:t xml:space="preserve">Benefits Schedule (MBS) funding and that this </w:t>
      </w:r>
      <w:r w:rsidR="002C0F4E">
        <w:t xml:space="preserve">funding </w:t>
      </w:r>
      <w:r w:rsidR="00703410" w:rsidRPr="00703410">
        <w:t xml:space="preserve">would </w:t>
      </w:r>
      <w:r w:rsidR="002C0F4E">
        <w:t>also</w:t>
      </w:r>
      <w:r w:rsidR="00703410" w:rsidRPr="00703410">
        <w:t xml:space="preserve"> support their </w:t>
      </w:r>
      <w:r w:rsidR="002C0F4E">
        <w:t xml:space="preserve">own </w:t>
      </w:r>
      <w:r w:rsidR="00703410" w:rsidRPr="00703410">
        <w:t xml:space="preserve">care and access to programs at other times. </w:t>
      </w:r>
    </w:p>
    <w:p w14:paraId="6A12D05F" w14:textId="5931FE1F" w:rsidR="00703410" w:rsidRPr="00703410" w:rsidRDefault="00703410" w:rsidP="00651D06">
      <w:pPr>
        <w:pStyle w:val="Heading3"/>
      </w:pPr>
      <w:r w:rsidRPr="00703410">
        <w:t xml:space="preserve">Influence of </w:t>
      </w:r>
      <w:r w:rsidR="00AA1F53">
        <w:t xml:space="preserve">limited </w:t>
      </w:r>
      <w:r w:rsidRPr="00703410">
        <w:t>funding on care</w:t>
      </w:r>
    </w:p>
    <w:p w14:paraId="6ED0C3A5" w14:textId="4E2CE94D" w:rsidR="00703410" w:rsidRPr="00703410" w:rsidRDefault="00703410" w:rsidP="00703410">
      <w:r w:rsidRPr="00703410">
        <w:t xml:space="preserve">Aboriginal and Torres Strait Islander people were acutely aware of funding limitations and recruitment issues that resulted in the withdrawal of GPs, visiting specialists, and programs, and had resulted in some clinics closing or operating </w:t>
      </w:r>
      <w:r w:rsidR="009B5F3B">
        <w:t>with</w:t>
      </w:r>
      <w:r w:rsidR="009B5F3B" w:rsidRPr="00703410">
        <w:t xml:space="preserve"> </w:t>
      </w:r>
      <w:r w:rsidRPr="00703410">
        <w:t xml:space="preserve">reduced opening hours. People often referenced lacking continuity of care when talking about the churn of doctors and specialists in ACCHSs. However, people experienced these issues across health service settings and consistently complained about the situation and blamed it largely on the lack of available funding to bring a steady competent medical workforce. </w:t>
      </w:r>
    </w:p>
    <w:p w14:paraId="59EE89CD" w14:textId="77777777" w:rsidR="00703410" w:rsidRPr="00A1178E" w:rsidRDefault="00703410" w:rsidP="009E3CE2">
      <w:pPr>
        <w:pStyle w:val="Quote"/>
        <w:spacing w:after="0"/>
        <w:rPr>
          <w:color w:val="18525E" w:themeColor="accent5" w:themeShade="80"/>
        </w:rPr>
      </w:pPr>
      <w:r w:rsidRPr="00A1178E">
        <w:rPr>
          <w:color w:val="18525E" w:themeColor="accent5" w:themeShade="80"/>
        </w:rPr>
        <w:lastRenderedPageBreak/>
        <w:t xml:space="preserve">And more doctors. We need more doctors .… Not a minimum funding. The proper funding. Enough to have the proper doctors and not fly-in / fly-out. A week here, week of no doctors. One doctor. </w:t>
      </w:r>
    </w:p>
    <w:p w14:paraId="2F2956DD" w14:textId="77777777" w:rsidR="00703410" w:rsidRPr="00703410" w:rsidRDefault="00703410" w:rsidP="00DB74A5">
      <w:pPr>
        <w:jc w:val="right"/>
        <w:rPr>
          <w:b/>
          <w:bCs/>
        </w:rPr>
      </w:pPr>
      <w:r w:rsidRPr="00703410">
        <w:rPr>
          <w:b/>
          <w:bCs/>
        </w:rPr>
        <w:t>Community member</w:t>
      </w:r>
    </w:p>
    <w:p w14:paraId="5FF62A82" w14:textId="4F90DCE2" w:rsidR="0030454F" w:rsidRDefault="00703410" w:rsidP="0030454F">
      <w:r w:rsidRPr="00703410">
        <w:t xml:space="preserve">People </w:t>
      </w:r>
      <w:r w:rsidR="009B5F3B">
        <w:t>observed</w:t>
      </w:r>
      <w:r w:rsidR="0030454F">
        <w:t xml:space="preserve"> that </w:t>
      </w:r>
      <w:r w:rsidR="0030454F" w:rsidRPr="004E5B18">
        <w:t xml:space="preserve">ACCHSs </w:t>
      </w:r>
      <w:r w:rsidR="009B5F3B">
        <w:t xml:space="preserve">showed creativity </w:t>
      </w:r>
      <w:r w:rsidR="0030454F" w:rsidRPr="004E5B18">
        <w:t xml:space="preserve">in how they </w:t>
      </w:r>
      <w:r w:rsidRPr="00703410">
        <w:t>bridged</w:t>
      </w:r>
      <w:r w:rsidR="0030454F" w:rsidRPr="004E5B18">
        <w:t xml:space="preserve"> gaps in the </w:t>
      </w:r>
      <w:r w:rsidRPr="00703410">
        <w:t xml:space="preserve">health </w:t>
      </w:r>
      <w:r w:rsidR="0030454F" w:rsidRPr="004E5B18">
        <w:t xml:space="preserve">system. For </w:t>
      </w:r>
      <w:r w:rsidRPr="00703410">
        <w:t>example</w:t>
      </w:r>
      <w:r w:rsidR="0030454F" w:rsidRPr="004E5B18">
        <w:t xml:space="preserve">, many ACCHSs use technologies to maintain continuity of care with specialist doctors and overcome the tyranny of long-distance travel for clients. </w:t>
      </w:r>
      <w:r w:rsidRPr="00703410">
        <w:t>People reported</w:t>
      </w:r>
      <w:r w:rsidR="0030454F" w:rsidRPr="004E5B18">
        <w:t xml:space="preserve"> that telehealth b</w:t>
      </w:r>
      <w:r w:rsidR="0030454F">
        <w:t>r</w:t>
      </w:r>
      <w:r w:rsidR="0030454F" w:rsidRPr="004E5B18">
        <w:t xml:space="preserve">ought </w:t>
      </w:r>
      <w:r w:rsidRPr="00703410">
        <w:t xml:space="preserve">specific </w:t>
      </w:r>
      <w:r w:rsidR="0030454F" w:rsidRPr="004E5B18">
        <w:t>benefits</w:t>
      </w:r>
      <w:r w:rsidR="00EA5CDE">
        <w:t xml:space="preserve"> and</w:t>
      </w:r>
      <w:r w:rsidR="0030454F" w:rsidRPr="004E5B18">
        <w:t xml:space="preserve"> made access more straightforward and manageable, especially </w:t>
      </w:r>
      <w:r w:rsidRPr="00703410">
        <w:t xml:space="preserve">when a person was </w:t>
      </w:r>
      <w:r w:rsidR="0030454F" w:rsidRPr="004E5B18">
        <w:t xml:space="preserve">unwell, or </w:t>
      </w:r>
      <w:r w:rsidR="00E6718A">
        <w:t xml:space="preserve">travel </w:t>
      </w:r>
      <w:r w:rsidR="0030454F" w:rsidRPr="004E5B18">
        <w:t>distance</w:t>
      </w:r>
      <w:r w:rsidR="00E6718A">
        <w:t xml:space="preserve"> was a factor</w:t>
      </w:r>
      <w:r w:rsidR="00EA5CDE">
        <w:t>.</w:t>
      </w:r>
      <w:r w:rsidR="0030454F" w:rsidRPr="004E5B18">
        <w:t xml:space="preserve"> </w:t>
      </w:r>
      <w:r w:rsidRPr="00703410">
        <w:t>However, some people, both</w:t>
      </w:r>
      <w:r w:rsidR="0030454F">
        <w:t xml:space="preserve"> young and older, noted that while telehealth was convenient during </w:t>
      </w:r>
      <w:r w:rsidRPr="00703410">
        <w:t>COVID-19</w:t>
      </w:r>
      <w:r w:rsidR="0030454F">
        <w:t xml:space="preserve">, </w:t>
      </w:r>
      <w:r w:rsidR="00533144">
        <w:t xml:space="preserve">they still </w:t>
      </w:r>
      <w:r w:rsidRPr="00703410">
        <w:t>prefer</w:t>
      </w:r>
      <w:r w:rsidR="008542B5">
        <w:t>r</w:t>
      </w:r>
      <w:r w:rsidRPr="00703410">
        <w:t xml:space="preserve">ed to access </w:t>
      </w:r>
      <w:r w:rsidR="00533144">
        <w:t xml:space="preserve">in person </w:t>
      </w:r>
      <w:r w:rsidRPr="00703410">
        <w:t>care.</w:t>
      </w:r>
      <w:r w:rsidR="0030454F">
        <w:t xml:space="preserve"> </w:t>
      </w:r>
    </w:p>
    <w:p w14:paraId="01C9AF59" w14:textId="77777777" w:rsidR="0030454F" w:rsidRPr="00A1178E" w:rsidRDefault="0030454F" w:rsidP="009E3CE2">
      <w:pPr>
        <w:pStyle w:val="Quote"/>
        <w:spacing w:after="0"/>
        <w:rPr>
          <w:color w:val="18525E" w:themeColor="accent5" w:themeShade="80"/>
        </w:rPr>
      </w:pPr>
      <w:r w:rsidRPr="00A1178E">
        <w:rPr>
          <w:color w:val="18525E" w:themeColor="accent5" w:themeShade="80"/>
        </w:rPr>
        <w:t>I don't like telehealth because they talking to you over a bloody video camera where I'd like to have it in person where they can see you, your body language, your everything, physical thing.</w:t>
      </w:r>
    </w:p>
    <w:p w14:paraId="31588EF2" w14:textId="62DB2384" w:rsidR="00703410" w:rsidRPr="00703410" w:rsidRDefault="00703410" w:rsidP="008542B5">
      <w:pPr>
        <w:jc w:val="right"/>
        <w:rPr>
          <w:b/>
          <w:bCs/>
        </w:rPr>
      </w:pPr>
      <w:r w:rsidRPr="00703410">
        <w:rPr>
          <w:b/>
          <w:bCs/>
        </w:rPr>
        <w:t>Community member</w:t>
      </w:r>
    </w:p>
    <w:p w14:paraId="2D70BACD" w14:textId="222C98BC" w:rsidR="00703410" w:rsidRPr="00703410" w:rsidRDefault="00867AF4" w:rsidP="00651D06">
      <w:pPr>
        <w:pStyle w:val="Heading3"/>
      </w:pPr>
      <w:r>
        <w:t xml:space="preserve">Limited access to </w:t>
      </w:r>
      <w:r w:rsidR="00703410" w:rsidRPr="00703410">
        <w:t>holistic care</w:t>
      </w:r>
    </w:p>
    <w:p w14:paraId="58BB0FA1" w14:textId="23530C33" w:rsidR="00703410" w:rsidRPr="00703410" w:rsidRDefault="00703410" w:rsidP="00703410">
      <w:r w:rsidRPr="00703410">
        <w:rPr>
          <w:bCs/>
        </w:rPr>
        <w:t xml:space="preserve">When </w:t>
      </w:r>
      <w:r w:rsidRPr="00703410">
        <w:t>Aboriginal and Torres Strait Islander community members discussed their experiences of health care, it was apparent that h</w:t>
      </w:r>
      <w:r w:rsidRPr="00703410">
        <w:rPr>
          <w:bCs/>
        </w:rPr>
        <w:t xml:space="preserve">olistic approaches to care </w:t>
      </w:r>
      <w:r w:rsidR="0026166D">
        <w:rPr>
          <w:bCs/>
        </w:rPr>
        <w:t xml:space="preserve">that align with their values </w:t>
      </w:r>
      <w:r w:rsidR="00533144">
        <w:rPr>
          <w:bCs/>
        </w:rPr>
        <w:t>were not available across the system</w:t>
      </w:r>
      <w:r w:rsidRPr="00703410">
        <w:rPr>
          <w:bCs/>
        </w:rPr>
        <w:t xml:space="preserve">. </w:t>
      </w:r>
      <w:r w:rsidR="001E146A">
        <w:rPr>
          <w:bCs/>
        </w:rPr>
        <w:t xml:space="preserve">People </w:t>
      </w:r>
      <w:r w:rsidR="001E146A">
        <w:t xml:space="preserve">reported </w:t>
      </w:r>
      <w:r w:rsidRPr="00703410">
        <w:t xml:space="preserve">that doctors </w:t>
      </w:r>
      <w:r w:rsidR="001E146A">
        <w:t xml:space="preserve">frequently </w:t>
      </w:r>
      <w:r w:rsidRPr="00703410">
        <w:t xml:space="preserve">treated the disease rather than </w:t>
      </w:r>
      <w:r w:rsidR="001E146A">
        <w:t>caring for</w:t>
      </w:r>
      <w:r w:rsidRPr="00703410">
        <w:t xml:space="preserve"> the person</w:t>
      </w:r>
      <w:r w:rsidR="001E146A">
        <w:t xml:space="preserve"> in a holistic way</w:t>
      </w:r>
      <w:r w:rsidR="00F45DFE">
        <w:t xml:space="preserve"> – for example, </w:t>
      </w:r>
      <w:r w:rsidR="00D7341C">
        <w:t xml:space="preserve">treating issues such as </w:t>
      </w:r>
      <w:r w:rsidRPr="00703410">
        <w:t>mental health</w:t>
      </w:r>
      <w:r w:rsidR="00D7341C">
        <w:t>,</w:t>
      </w:r>
      <w:r w:rsidRPr="00703410">
        <w:t xml:space="preserve"> chronic disease</w:t>
      </w:r>
      <w:r w:rsidR="00D7341C">
        <w:t>,</w:t>
      </w:r>
      <w:r w:rsidRPr="00703410">
        <w:t xml:space="preserve"> or drug and alcohol issues</w:t>
      </w:r>
      <w:r w:rsidR="0043355D">
        <w:t xml:space="preserve"> in isolation rather than as a whole.</w:t>
      </w:r>
      <w:r w:rsidRPr="00703410">
        <w:t xml:space="preserve"> Instead, the treatment of single conditions was </w:t>
      </w:r>
      <w:r w:rsidR="00E42B37">
        <w:t xml:space="preserve">experienced as being </w:t>
      </w:r>
      <w:r w:rsidRPr="00703410">
        <w:t xml:space="preserve">independent of </w:t>
      </w:r>
      <w:r w:rsidR="00940801">
        <w:t xml:space="preserve">the treatment of </w:t>
      </w:r>
      <w:r w:rsidRPr="00703410">
        <w:t>other</w:t>
      </w:r>
      <w:r w:rsidR="00E42B37">
        <w:t xml:space="preserve"> health issues</w:t>
      </w:r>
      <w:r w:rsidRPr="00703410">
        <w:t xml:space="preserve">. People did not appreciate being treated as a disease and acknowledged that poorer health outcomes would remain until policy addressed the full spectrum of health determinants, and met their basic human needs. </w:t>
      </w:r>
    </w:p>
    <w:p w14:paraId="1B53866E" w14:textId="4B6EED5B" w:rsidR="00703410" w:rsidRPr="00703410" w:rsidRDefault="00703410" w:rsidP="00703410">
      <w:r w:rsidRPr="00703410">
        <w:t>People reflected on the inextricable links between social determinants such as housing, income, employment and health</w:t>
      </w:r>
      <w:r w:rsidR="00940801">
        <w:t xml:space="preserve"> and wellbeing</w:t>
      </w:r>
      <w:r w:rsidRPr="00703410">
        <w:t xml:space="preserve">. People also spoke about the indifference they had </w:t>
      </w:r>
      <w:r w:rsidR="009B4585" w:rsidRPr="00703410">
        <w:t>experienced</w:t>
      </w:r>
      <w:r w:rsidRPr="00703410">
        <w:t xml:space="preserve"> from health </w:t>
      </w:r>
      <w:r w:rsidR="009B4585" w:rsidRPr="00703410">
        <w:t>personnel</w:t>
      </w:r>
      <w:r w:rsidRPr="00703410">
        <w:t xml:space="preserve"> to the social determinants and </w:t>
      </w:r>
      <w:r w:rsidR="00940801">
        <w:t xml:space="preserve">lack of action </w:t>
      </w:r>
      <w:r w:rsidR="00831238">
        <w:t>to address these issues alongside their health needs</w:t>
      </w:r>
      <w:r w:rsidRPr="00703410">
        <w:t>.</w:t>
      </w:r>
    </w:p>
    <w:p w14:paraId="6E58F5DC" w14:textId="77777777" w:rsidR="00703410" w:rsidRPr="00A1178E" w:rsidRDefault="00703410" w:rsidP="009E3CE2">
      <w:pPr>
        <w:pStyle w:val="Quote"/>
        <w:spacing w:after="0"/>
        <w:rPr>
          <w:color w:val="18525E" w:themeColor="accent5" w:themeShade="80"/>
        </w:rPr>
      </w:pPr>
      <w:r w:rsidRPr="00A1178E">
        <w:rPr>
          <w:color w:val="18525E" w:themeColor="accent5" w:themeShade="80"/>
        </w:rPr>
        <w:t>And like, we want people to come there and see how we live in those houses. Yeah. And yeah. And like there is drains smelling. And some of our kids got asthmatic and like you know, even old people. Yeah. And when the health people come there, they just have a look and do nothing about it.</w:t>
      </w:r>
    </w:p>
    <w:p w14:paraId="65DCF932" w14:textId="77777777" w:rsidR="00703410" w:rsidRDefault="00703410" w:rsidP="009B4585">
      <w:pPr>
        <w:jc w:val="right"/>
        <w:rPr>
          <w:b/>
          <w:bCs/>
        </w:rPr>
      </w:pPr>
      <w:r w:rsidRPr="00703410">
        <w:rPr>
          <w:b/>
          <w:bCs/>
        </w:rPr>
        <w:t>Community member</w:t>
      </w:r>
    </w:p>
    <w:p w14:paraId="6950F22A" w14:textId="2EC69E2D" w:rsidR="00703410" w:rsidRPr="00703410" w:rsidRDefault="00703410" w:rsidP="00651D06">
      <w:pPr>
        <w:pStyle w:val="Heading3"/>
      </w:pPr>
      <w:r w:rsidRPr="00703410">
        <w:t>Struggling to be counted and feel valued</w:t>
      </w:r>
    </w:p>
    <w:p w14:paraId="616730E3" w14:textId="1989C369" w:rsidR="00703410" w:rsidRPr="00703410" w:rsidRDefault="00703410" w:rsidP="00703410">
      <w:r w:rsidRPr="00703410">
        <w:t>People reflected on experiences of care in mainstream services that ‘</w:t>
      </w:r>
      <w:r w:rsidRPr="00E110C3">
        <w:rPr>
          <w:i/>
          <w:color w:val="18525E" w:themeColor="accent5" w:themeShade="80"/>
          <w:szCs w:val="28"/>
        </w:rPr>
        <w:t>make them feel less than human’</w:t>
      </w:r>
      <w:r w:rsidRPr="00703410">
        <w:t xml:space="preserve">, </w:t>
      </w:r>
      <w:r w:rsidRPr="00E110C3">
        <w:rPr>
          <w:i/>
          <w:color w:val="18525E" w:themeColor="accent5" w:themeShade="80"/>
          <w:szCs w:val="28"/>
        </w:rPr>
        <w:t>‘like a statistic’,</w:t>
      </w:r>
      <w:r w:rsidRPr="00703410">
        <w:t xml:space="preserve"> </w:t>
      </w:r>
      <w:r w:rsidRPr="00E110C3">
        <w:rPr>
          <w:i/>
          <w:color w:val="18525E" w:themeColor="accent5" w:themeShade="80"/>
          <w:szCs w:val="28"/>
        </w:rPr>
        <w:t>‘like a number’</w:t>
      </w:r>
      <w:r w:rsidRPr="00E110C3">
        <w:rPr>
          <w:color w:val="1A3E5F" w:themeColor="accent1" w:themeShade="80"/>
        </w:rPr>
        <w:t>,</w:t>
      </w:r>
      <w:r w:rsidR="00C40CCF">
        <w:rPr>
          <w:rStyle w:val="FootnoteReference"/>
          <w:i/>
          <w:iCs/>
        </w:rPr>
        <w:footnoteReference w:id="33"/>
      </w:r>
      <w:r w:rsidRPr="00703410">
        <w:t xml:space="preserve"> and are places where they have experienced </w:t>
      </w:r>
      <w:r w:rsidRPr="00703410">
        <w:lastRenderedPageBreak/>
        <w:t xml:space="preserve">paternalism, discrimination and racism. Stories ranged from being turned away from hospitals to poor care and neglect that resulted in distress, death or lifetime disability. Many people </w:t>
      </w:r>
      <w:r w:rsidR="00760273">
        <w:t>reported that they</w:t>
      </w:r>
      <w:r w:rsidRPr="00703410">
        <w:t xml:space="preserve"> tried to avoid hospitals altogether.</w:t>
      </w:r>
    </w:p>
    <w:p w14:paraId="4ECB696D" w14:textId="77777777" w:rsidR="0030454F" w:rsidRPr="00A1178E" w:rsidRDefault="0030454F" w:rsidP="009E3CE2">
      <w:pPr>
        <w:pStyle w:val="Quote"/>
        <w:spacing w:after="0"/>
        <w:rPr>
          <w:color w:val="18525E" w:themeColor="accent5" w:themeShade="80"/>
        </w:rPr>
      </w:pPr>
      <w:r w:rsidRPr="00A1178E">
        <w:rPr>
          <w:color w:val="18525E" w:themeColor="accent5" w:themeShade="80"/>
        </w:rPr>
        <w:t>And white hospitals. You get treated like shit, so. That's why we don't go to them. At the hospital. But you sit in there all day all night.</w:t>
      </w:r>
    </w:p>
    <w:p w14:paraId="6C986930" w14:textId="1ED876FD" w:rsidR="00703410" w:rsidRPr="00703410" w:rsidRDefault="00703410" w:rsidP="009B4585">
      <w:pPr>
        <w:jc w:val="right"/>
        <w:rPr>
          <w:b/>
          <w:bCs/>
        </w:rPr>
      </w:pPr>
      <w:r w:rsidRPr="00703410">
        <w:rPr>
          <w:b/>
          <w:bCs/>
        </w:rPr>
        <w:t>Community member</w:t>
      </w:r>
    </w:p>
    <w:p w14:paraId="2E085A8A" w14:textId="2D3930E9" w:rsidR="00703410" w:rsidRPr="00703410" w:rsidRDefault="00703410" w:rsidP="00703410">
      <w:r w:rsidRPr="00703410">
        <w:t xml:space="preserve">Many people put the reason for poor care down to health services </w:t>
      </w:r>
      <w:r w:rsidR="00760273">
        <w:t>operating</w:t>
      </w:r>
      <w:r w:rsidR="00760273" w:rsidRPr="00703410">
        <w:t xml:space="preserve"> </w:t>
      </w:r>
      <w:r w:rsidRPr="00703410">
        <w:t>like a business.</w:t>
      </w:r>
    </w:p>
    <w:p w14:paraId="11861C9A" w14:textId="77777777" w:rsidR="00703410" w:rsidRPr="00A1178E" w:rsidRDefault="00703410" w:rsidP="009E3CE2">
      <w:pPr>
        <w:pStyle w:val="Quote"/>
        <w:spacing w:after="0"/>
        <w:rPr>
          <w:color w:val="18525E" w:themeColor="accent5" w:themeShade="80"/>
        </w:rPr>
      </w:pPr>
      <w:r w:rsidRPr="00A1178E">
        <w:rPr>
          <w:color w:val="18525E" w:themeColor="accent5" w:themeShade="80"/>
        </w:rPr>
        <w:t>Because that's, that's how they make their money, see if they call it click clack in and out. They have about 15 minutes to do a consult. So the next one waiting come in click clack, the next one waiting. So that's how they generate their funds, which is, you know, if you're an Aboriginal person and you want to sit down and have a yarn about, you know, your holistic health, that's not going to work, is it?</w:t>
      </w:r>
    </w:p>
    <w:p w14:paraId="610409D3" w14:textId="77777777" w:rsidR="00703410" w:rsidRPr="00703410" w:rsidRDefault="00703410" w:rsidP="009B4585">
      <w:pPr>
        <w:jc w:val="right"/>
        <w:rPr>
          <w:b/>
          <w:bCs/>
        </w:rPr>
      </w:pPr>
      <w:r w:rsidRPr="00703410">
        <w:rPr>
          <w:b/>
          <w:bCs/>
        </w:rPr>
        <w:t>Community member</w:t>
      </w:r>
    </w:p>
    <w:p w14:paraId="72F9C13C" w14:textId="01B5F6A3" w:rsidR="00703410" w:rsidRPr="00703410" w:rsidRDefault="00703410" w:rsidP="00651D06">
      <w:pPr>
        <w:pStyle w:val="Heading3"/>
      </w:pPr>
      <w:r w:rsidRPr="00703410">
        <w:t xml:space="preserve">Varying levels of communication  </w:t>
      </w:r>
    </w:p>
    <w:p w14:paraId="727715FA" w14:textId="66B35786" w:rsidR="00703410" w:rsidRPr="00703410" w:rsidRDefault="00703410" w:rsidP="00703410">
      <w:r w:rsidRPr="00703410">
        <w:t xml:space="preserve">People reported experiences of poor communication between health professionals and clients, and between different levels of the system. Health information from health professionals such as GPs or specialist doctors to clients often remains unexplained, not communicated in plain language, or expressed appropriately, for example, not expressed in a language accent that people understood. </w:t>
      </w:r>
      <w:r w:rsidR="00760273">
        <w:t xml:space="preserve">This can be particularly challenging for people with poor health literacy. </w:t>
      </w:r>
      <w:r w:rsidRPr="00703410">
        <w:t xml:space="preserve">People most often sought alternate ways to understand those health explanations, such as consulting Aboriginal and Torres Strait Islander </w:t>
      </w:r>
      <w:r w:rsidR="00873944">
        <w:t>H</w:t>
      </w:r>
      <w:r w:rsidRPr="00703410">
        <w:t xml:space="preserve">ealth </w:t>
      </w:r>
      <w:r w:rsidR="00873944">
        <w:t>W</w:t>
      </w:r>
      <w:r w:rsidRPr="00703410">
        <w:t>orkers, books, and the internet.</w:t>
      </w:r>
    </w:p>
    <w:p w14:paraId="5D930956" w14:textId="77777777" w:rsidR="0030454F" w:rsidRPr="00A1178E" w:rsidRDefault="0030454F" w:rsidP="00744896">
      <w:pPr>
        <w:pStyle w:val="Quote"/>
        <w:spacing w:before="240" w:after="0"/>
        <w:ind w:left="562"/>
        <w:rPr>
          <w:color w:val="18525E" w:themeColor="accent5" w:themeShade="80"/>
        </w:rPr>
      </w:pPr>
      <w:r w:rsidRPr="00A1178E">
        <w:rPr>
          <w:color w:val="18525E" w:themeColor="accent5" w:themeShade="80"/>
        </w:rPr>
        <w:t>A lot of the time you look at them books, they'll tell you. They tell you better than what the doctors say.</w:t>
      </w:r>
    </w:p>
    <w:p w14:paraId="6CDA0946" w14:textId="77777777" w:rsidR="0030454F" w:rsidRPr="00307448" w:rsidRDefault="0030454F" w:rsidP="0030454F">
      <w:pPr>
        <w:jc w:val="right"/>
        <w:rPr>
          <w:b/>
          <w:bCs/>
        </w:rPr>
      </w:pPr>
      <w:r w:rsidRPr="00307448">
        <w:rPr>
          <w:b/>
          <w:bCs/>
        </w:rPr>
        <w:t xml:space="preserve">Community </w:t>
      </w:r>
      <w:r w:rsidR="00703410" w:rsidRPr="00703410">
        <w:rPr>
          <w:b/>
          <w:bCs/>
        </w:rPr>
        <w:t>member</w:t>
      </w:r>
    </w:p>
    <w:p w14:paraId="5B702B17" w14:textId="46CC4B5F" w:rsidR="008C7C09" w:rsidRDefault="00703410" w:rsidP="00703410">
      <w:r w:rsidRPr="00703410">
        <w:t xml:space="preserve">People discussed experiencing inconsistencies between ACCHSs and mainstream systems regarding, for example, discharge, follow-up treatment, and the transfer of results. </w:t>
      </w:r>
      <w:r w:rsidR="000D352E" w:rsidRPr="00703410">
        <w:t xml:space="preserve">Communication, </w:t>
      </w:r>
      <w:r w:rsidR="000D352E">
        <w:t xml:space="preserve">including </w:t>
      </w:r>
      <w:r w:rsidR="000D352E" w:rsidRPr="00703410">
        <w:t>information sharing between services and across systems, including data systems, is often incompatible and, in some cases, non-existent.</w:t>
      </w:r>
      <w:r w:rsidR="00642B53" w:rsidRPr="00642B53">
        <w:t xml:space="preserve"> </w:t>
      </w:r>
      <w:r w:rsidR="00642B53">
        <w:t>People reporting experiencing delays accessing care when travelling to other locations and needing health care due to poor communication and information sharing across systems.</w:t>
      </w:r>
    </w:p>
    <w:p w14:paraId="03A2A4E4" w14:textId="6C077CD7" w:rsidR="00703410" w:rsidRPr="00703410" w:rsidRDefault="00703410" w:rsidP="00703410">
      <w:r w:rsidRPr="00703410">
        <w:t xml:space="preserve">Aboriginal and Torres Strait Islander </w:t>
      </w:r>
      <w:r w:rsidR="00873944">
        <w:t>H</w:t>
      </w:r>
      <w:r w:rsidRPr="00703410">
        <w:t xml:space="preserve">ealth </w:t>
      </w:r>
      <w:r w:rsidR="00873944">
        <w:t>W</w:t>
      </w:r>
      <w:r w:rsidRPr="00703410">
        <w:t xml:space="preserve">orkers work tirelessly to help to fill these communication gaps. People regularly reported that, if not for the follow-up </w:t>
      </w:r>
      <w:r w:rsidR="008E164C">
        <w:t>by Abor</w:t>
      </w:r>
      <w:r w:rsidR="0053151E">
        <w:t>iginal and Torres Strait Islander</w:t>
      </w:r>
      <w:r w:rsidR="008E164C" w:rsidRPr="00703410">
        <w:t xml:space="preserve"> </w:t>
      </w:r>
      <w:r w:rsidR="00D87462">
        <w:t>H</w:t>
      </w:r>
      <w:r w:rsidRPr="00703410">
        <w:t xml:space="preserve">ealth </w:t>
      </w:r>
      <w:r w:rsidR="00D87462">
        <w:t>W</w:t>
      </w:r>
      <w:r w:rsidRPr="00703410">
        <w:t xml:space="preserve">orkers, people would not meet their appointment schedule, understand their health diagnoses, receive their medical results from other parts of the system, or understand what medications they should take. </w:t>
      </w:r>
    </w:p>
    <w:p w14:paraId="38028138" w14:textId="62FA6120" w:rsidR="0030454F" w:rsidRPr="00981AB3" w:rsidRDefault="0030454F" w:rsidP="00651D06">
      <w:pPr>
        <w:pStyle w:val="Heading3"/>
      </w:pPr>
      <w:r w:rsidRPr="00981AB3">
        <w:lastRenderedPageBreak/>
        <w:t>Accessing a comprehensive suite of services and programs</w:t>
      </w:r>
    </w:p>
    <w:p w14:paraId="53240C0C" w14:textId="77777777" w:rsidR="0030454F" w:rsidRDefault="0030454F" w:rsidP="0030454F">
      <w:r w:rsidRPr="004E5B18">
        <w:t>People</w:t>
      </w:r>
      <w:r>
        <w:t xml:space="preserve"> noted that they</w:t>
      </w:r>
      <w:r w:rsidRPr="004E5B18">
        <w:t xml:space="preserve"> experience poor access to a consistent, comprehensive suite of services and programs that meet their needs.</w:t>
      </w:r>
      <w:r w:rsidRPr="004E5B18">
        <w:rPr>
          <w:b/>
        </w:rPr>
        <w:t xml:space="preserve"> </w:t>
      </w:r>
      <w:r w:rsidRPr="004E5B18">
        <w:t xml:space="preserve">They described the ad-hoc nature of service delivery in ACCHSs. </w:t>
      </w:r>
      <w:r w:rsidR="00703410" w:rsidRPr="00703410">
        <w:t>People</w:t>
      </w:r>
      <w:r w:rsidRPr="004E5B18">
        <w:t xml:space="preserve"> often described the withdrawal of government funding for programs and services </w:t>
      </w:r>
      <w:r w:rsidR="00703410" w:rsidRPr="00703410">
        <w:t xml:space="preserve">that were beneficial making them </w:t>
      </w:r>
      <w:r w:rsidRPr="004E5B18">
        <w:t xml:space="preserve">no longer available, </w:t>
      </w:r>
      <w:r w:rsidR="00703410" w:rsidRPr="00703410">
        <w:t>for example,</w:t>
      </w:r>
      <w:r w:rsidRPr="004E5B18">
        <w:t xml:space="preserve"> transport</w:t>
      </w:r>
      <w:r>
        <w:t xml:space="preserve">, </w:t>
      </w:r>
      <w:r w:rsidRPr="004E5B18">
        <w:t>dental</w:t>
      </w:r>
      <w:r w:rsidR="00703410" w:rsidRPr="00703410">
        <w:t xml:space="preserve"> service, and</w:t>
      </w:r>
      <w:r>
        <w:t xml:space="preserve"> health promotion programs</w:t>
      </w:r>
      <w:r w:rsidR="00703410" w:rsidRPr="00703410">
        <w:t>.</w:t>
      </w:r>
      <w:r w:rsidRPr="004E5B18">
        <w:t xml:space="preserve"> </w:t>
      </w:r>
    </w:p>
    <w:p w14:paraId="28EF05DF" w14:textId="77777777" w:rsidR="0030454F" w:rsidRPr="00A1178E" w:rsidRDefault="0030454F" w:rsidP="009E3CE2">
      <w:pPr>
        <w:pStyle w:val="Quote"/>
        <w:spacing w:after="0"/>
        <w:rPr>
          <w:color w:val="18525E" w:themeColor="accent5" w:themeShade="80"/>
        </w:rPr>
      </w:pPr>
      <w:r w:rsidRPr="00A1178E">
        <w:rPr>
          <w:color w:val="18525E" w:themeColor="accent5" w:themeShade="80"/>
        </w:rPr>
        <w:t>Community programs like from ACCHS or from anyone really, that are funded only for a short time. People want programs that funded or go. Either for a short time or public course funded for a short amount so cater for 10. So first 10 then that's the peak.</w:t>
      </w:r>
    </w:p>
    <w:p w14:paraId="74C109DC" w14:textId="0BEE65D5" w:rsidR="00703410" w:rsidRPr="00703410" w:rsidRDefault="00703410" w:rsidP="006723C8">
      <w:pPr>
        <w:spacing w:before="120"/>
        <w:jc w:val="right"/>
        <w:rPr>
          <w:b/>
          <w:bCs/>
        </w:rPr>
      </w:pPr>
      <w:r w:rsidRPr="00703410">
        <w:rPr>
          <w:b/>
          <w:bCs/>
        </w:rPr>
        <w:t>Community member</w:t>
      </w:r>
    </w:p>
    <w:p w14:paraId="2CA43290" w14:textId="77777777" w:rsidR="00703410" w:rsidRPr="00703410" w:rsidRDefault="00703410" w:rsidP="00703410">
      <w:pPr>
        <w:rPr>
          <w:i/>
          <w:iCs/>
        </w:rPr>
      </w:pPr>
      <w:r w:rsidRPr="00703410">
        <w:t>People also pondered the gaps in service delivery, such as youth programs, and celebrated the opportunities where additional services such as medical imaging were available under one roof. ACCHS clients also contrasted the quality of care and opportunities available at different locations, such as the varied availability of programs between satellite clinics and the home centre or hub of the health service operating the satellite clinics.</w:t>
      </w:r>
      <w:r w:rsidRPr="00703410" w:rsidDel="00863698">
        <w:t xml:space="preserve"> </w:t>
      </w:r>
      <w:r w:rsidRPr="00703410">
        <w:t>People reflected that these programs were not always equitably distributed.</w:t>
      </w:r>
    </w:p>
    <w:p w14:paraId="323478AF" w14:textId="2ED6D02A" w:rsidR="00703410" w:rsidRPr="00703410" w:rsidRDefault="00703410" w:rsidP="00651D06">
      <w:pPr>
        <w:pStyle w:val="Heading3"/>
      </w:pPr>
      <w:r w:rsidRPr="00703410">
        <w:t>Experiencing culturally-unsafe care</w:t>
      </w:r>
    </w:p>
    <w:p w14:paraId="501BDA08" w14:textId="71DF7CC2" w:rsidR="0065464E" w:rsidRPr="00703410" w:rsidRDefault="00E1631E" w:rsidP="00703410">
      <w:r>
        <w:t xml:space="preserve">Experiences of culturally-unsafe care were most commonly reported with </w:t>
      </w:r>
      <w:r w:rsidRPr="00E1631E">
        <w:t xml:space="preserve">specialist doctors, GPs and hospital staff. </w:t>
      </w:r>
      <w:r w:rsidR="0065464E">
        <w:t xml:space="preserve">Experiences of </w:t>
      </w:r>
      <w:r w:rsidRPr="00E1631E">
        <w:t xml:space="preserve">discrimination, racism and stereotyping regularly led to changes in access, trauma, misdiagnosis, leaving hospital against medical advice, and missed appointments. </w:t>
      </w:r>
      <w:r w:rsidR="00703410" w:rsidRPr="00703410">
        <w:t xml:space="preserve">Despite the </w:t>
      </w:r>
      <w:r w:rsidR="00DB1290">
        <w:t xml:space="preserve">position that </w:t>
      </w:r>
      <w:r w:rsidR="00703410" w:rsidRPr="00703410">
        <w:t xml:space="preserve">ACCHSs are </w:t>
      </w:r>
      <w:r w:rsidR="00DB1290">
        <w:t xml:space="preserve">generally more </w:t>
      </w:r>
      <w:r w:rsidR="00703410" w:rsidRPr="00703410">
        <w:t xml:space="preserve">culturally-safe places to access health care for Aboriginal and Torres Strait Islander people, the </w:t>
      </w:r>
      <w:r w:rsidR="006C3C91">
        <w:t xml:space="preserve">reliance on a </w:t>
      </w:r>
      <w:r w:rsidR="00703410" w:rsidRPr="00703410">
        <w:t xml:space="preserve">non-Indigenous workforce </w:t>
      </w:r>
      <w:r w:rsidR="006C3C91">
        <w:t>can</w:t>
      </w:r>
      <w:r w:rsidR="0065464E">
        <w:t xml:space="preserve"> also</w:t>
      </w:r>
      <w:r w:rsidR="006C3C91">
        <w:t xml:space="preserve"> </w:t>
      </w:r>
      <w:r w:rsidR="00703410" w:rsidRPr="00703410">
        <w:t>create environments that are culturally-unsafe</w:t>
      </w:r>
      <w:r w:rsidR="006C3C91">
        <w:t xml:space="preserve"> for Aboriginal and Torres Strait Islander people</w:t>
      </w:r>
      <w:r w:rsidR="00703410" w:rsidRPr="00703410">
        <w:t xml:space="preserve">. People reported experiencing culturally unsafe care and interactions with a </w:t>
      </w:r>
      <w:r w:rsidR="006B79F7">
        <w:t xml:space="preserve">non-Indigenous </w:t>
      </w:r>
      <w:r w:rsidR="00703410" w:rsidRPr="00703410">
        <w:t>workforce that does not always have the right qualifications, knowledge, and skills to provide appropriate, safe, quality health care for Aboriginal and Torres Strait Islander people</w:t>
      </w:r>
      <w:r w:rsidR="00A91B69">
        <w:t xml:space="preserve">. </w:t>
      </w:r>
      <w:r w:rsidR="00703410" w:rsidRPr="00703410">
        <w:t xml:space="preserve">People repeatedly questioned </w:t>
      </w:r>
      <w:r w:rsidR="00211108">
        <w:t xml:space="preserve">whether these non-Indigenous staff had </w:t>
      </w:r>
      <w:r w:rsidR="00703410" w:rsidRPr="00703410">
        <w:t xml:space="preserve">the professional and cultural competencies </w:t>
      </w:r>
      <w:r w:rsidR="00211108">
        <w:t>to deliver health care to Aboriginal and Torres Strait Islander people</w:t>
      </w:r>
      <w:r w:rsidR="00703410" w:rsidRPr="00703410">
        <w:t xml:space="preserve">. </w:t>
      </w:r>
    </w:p>
    <w:p w14:paraId="7208146A" w14:textId="1E622D69" w:rsidR="00703410" w:rsidRPr="00703410" w:rsidRDefault="00703410" w:rsidP="00651D06">
      <w:pPr>
        <w:pStyle w:val="Heading3"/>
      </w:pPr>
      <w:r w:rsidRPr="00703410">
        <w:t xml:space="preserve">Aboriginal and Torres Strait Islander </w:t>
      </w:r>
      <w:r w:rsidR="00A96990">
        <w:t>H</w:t>
      </w:r>
      <w:r w:rsidRPr="00703410">
        <w:t xml:space="preserve">ealth </w:t>
      </w:r>
      <w:r w:rsidR="00A96990">
        <w:t>W</w:t>
      </w:r>
      <w:r w:rsidRPr="00703410">
        <w:t>orkers</w:t>
      </w:r>
      <w:r w:rsidR="00CE370D">
        <w:t xml:space="preserve"> provide essential support</w:t>
      </w:r>
    </w:p>
    <w:p w14:paraId="3B041733" w14:textId="4A1FDEA8" w:rsidR="00703410" w:rsidRPr="00703410" w:rsidRDefault="00703410" w:rsidP="00703410">
      <w:r w:rsidRPr="00703410">
        <w:rPr>
          <w:bCs/>
        </w:rPr>
        <w:t>ACCHSs provide continuity of care through A</w:t>
      </w:r>
      <w:r w:rsidRPr="00703410">
        <w:t xml:space="preserve">boriginal and Torres Strait Islander </w:t>
      </w:r>
      <w:r w:rsidR="00A96990">
        <w:rPr>
          <w:bCs/>
        </w:rPr>
        <w:t>H</w:t>
      </w:r>
      <w:r w:rsidRPr="00703410">
        <w:rPr>
          <w:bCs/>
        </w:rPr>
        <w:t xml:space="preserve">ealth </w:t>
      </w:r>
      <w:r w:rsidR="00A96990">
        <w:rPr>
          <w:bCs/>
        </w:rPr>
        <w:t>W</w:t>
      </w:r>
      <w:r w:rsidRPr="00703410">
        <w:rPr>
          <w:bCs/>
        </w:rPr>
        <w:t xml:space="preserve">orkers. </w:t>
      </w:r>
      <w:r w:rsidR="0010292F">
        <w:rPr>
          <w:bCs/>
        </w:rPr>
        <w:t xml:space="preserve">Community members experienced </w:t>
      </w:r>
      <w:r w:rsidRPr="00703410">
        <w:t xml:space="preserve">Aboriginal and Torres Strait Islander </w:t>
      </w:r>
      <w:r w:rsidR="00A96990">
        <w:t>H</w:t>
      </w:r>
      <w:r w:rsidRPr="00703410">
        <w:t xml:space="preserve">ealth </w:t>
      </w:r>
      <w:r w:rsidR="00A96990">
        <w:t>W</w:t>
      </w:r>
      <w:r w:rsidRPr="00703410">
        <w:t xml:space="preserve">orkers </w:t>
      </w:r>
      <w:r w:rsidR="0010292F">
        <w:t xml:space="preserve">as </w:t>
      </w:r>
      <w:r w:rsidRPr="00703410">
        <w:t xml:space="preserve">the backbone of the </w:t>
      </w:r>
      <w:r w:rsidR="0010292F">
        <w:t xml:space="preserve">ACCHS </w:t>
      </w:r>
      <w:r w:rsidRPr="00703410">
        <w:t xml:space="preserve">and the glue that holds </w:t>
      </w:r>
      <w:r w:rsidR="005E1CFF">
        <w:t>the delivery of care</w:t>
      </w:r>
      <w:r w:rsidR="005E1CFF" w:rsidRPr="00703410">
        <w:t xml:space="preserve"> </w:t>
      </w:r>
      <w:r w:rsidRPr="00703410">
        <w:t xml:space="preserve">together. </w:t>
      </w:r>
      <w:r w:rsidR="00AA4AA6">
        <w:t xml:space="preserve">Aboriginal and Torres Strait Islander </w:t>
      </w:r>
      <w:r w:rsidR="00A96990">
        <w:t>H</w:t>
      </w:r>
      <w:r w:rsidR="00AA4AA6">
        <w:t xml:space="preserve">ealth </w:t>
      </w:r>
      <w:r w:rsidR="00A96990">
        <w:t>W</w:t>
      </w:r>
      <w:r w:rsidR="00AA4AA6">
        <w:t>orkers were identified as a person’s</w:t>
      </w:r>
      <w:r w:rsidRPr="00703410">
        <w:t xml:space="preserve"> first point of contact with a health service, their translator, support person, advocate and act as their navigators in the health service and across the health system</w:t>
      </w:r>
      <w:r w:rsidR="00AA4AA6">
        <w:t xml:space="preserve"> and improved the experiences of </w:t>
      </w:r>
      <w:r w:rsidR="001F5007">
        <w:t>accessing care.</w:t>
      </w:r>
    </w:p>
    <w:p w14:paraId="26FAE090" w14:textId="753D8383" w:rsidR="00703410" w:rsidRPr="00703410" w:rsidRDefault="00703410" w:rsidP="00651D06">
      <w:pPr>
        <w:pStyle w:val="Heading3"/>
      </w:pPr>
      <w:bookmarkStart w:id="171" w:name="_Ref131611973"/>
      <w:r w:rsidRPr="00703410">
        <w:lastRenderedPageBreak/>
        <w:t>Navigating the health system</w:t>
      </w:r>
      <w:bookmarkEnd w:id="171"/>
    </w:p>
    <w:p w14:paraId="0185B069" w14:textId="709AC8E7" w:rsidR="00703410" w:rsidRPr="00703410" w:rsidRDefault="00703410" w:rsidP="00703410">
      <w:pPr>
        <w:rPr>
          <w:b/>
        </w:rPr>
      </w:pPr>
      <w:r w:rsidRPr="00703410">
        <w:t xml:space="preserve">Navigators facilitate, translate and advocate for people through the system. </w:t>
      </w:r>
      <w:r w:rsidR="00CE2ACA">
        <w:t xml:space="preserve">People experienced this essential navigation support </w:t>
      </w:r>
      <w:r w:rsidR="00B661FA">
        <w:t xml:space="preserve">from </w:t>
      </w:r>
      <w:r w:rsidRPr="00703410">
        <w:t xml:space="preserve">family members, Aboriginal and Torres Strait Islander </w:t>
      </w:r>
      <w:r w:rsidR="00A96990">
        <w:t>H</w:t>
      </w:r>
      <w:r w:rsidRPr="00703410">
        <w:t xml:space="preserve">ealth </w:t>
      </w:r>
      <w:r w:rsidR="00055575">
        <w:t>W</w:t>
      </w:r>
      <w:r w:rsidRPr="00703410">
        <w:t xml:space="preserve">orkers and other health service staff, and ITC care coordinators. </w:t>
      </w:r>
      <w:r w:rsidR="00066547">
        <w:t xml:space="preserve">These roles are often </w:t>
      </w:r>
      <w:r w:rsidRPr="00703410">
        <w:t>informal and mainly unfunded and invisible in the system. People appreciate</w:t>
      </w:r>
      <w:r w:rsidR="00B661FA">
        <w:t>d</w:t>
      </w:r>
      <w:r w:rsidRPr="00703410">
        <w:t xml:space="preserve"> the ITC program, which is primarily but not exclusively delivered through ACCHSs. Without the support of ITC care coordinators and other navigators, most people would find the system impossible to navigate outside ACCHSs. Hospital Liaison Officers are also greatly appreciated </w:t>
      </w:r>
      <w:r w:rsidR="00A20004">
        <w:t xml:space="preserve">by community members </w:t>
      </w:r>
      <w:r w:rsidRPr="00703410">
        <w:t xml:space="preserve">but are stretched </w:t>
      </w:r>
      <w:r w:rsidR="00A20004">
        <w:t xml:space="preserve">to capacity </w:t>
      </w:r>
      <w:r w:rsidRPr="00703410">
        <w:t xml:space="preserve">and cannot </w:t>
      </w:r>
      <w:r w:rsidR="00387DD5">
        <w:t xml:space="preserve">meet the demand for </w:t>
      </w:r>
      <w:r w:rsidR="00543A52">
        <w:t>support</w:t>
      </w:r>
      <w:r w:rsidRPr="00703410">
        <w:t>.</w:t>
      </w:r>
    </w:p>
    <w:p w14:paraId="00CD5330" w14:textId="3C0C3F67" w:rsidR="00703410" w:rsidRPr="00703410" w:rsidRDefault="00703410" w:rsidP="00651D06">
      <w:pPr>
        <w:pStyle w:val="Heading3"/>
      </w:pPr>
      <w:r w:rsidRPr="00703410">
        <w:t>Feeding into service design and delivery</w:t>
      </w:r>
    </w:p>
    <w:p w14:paraId="5FFCFDE7" w14:textId="6524E093" w:rsidR="0030454F" w:rsidRDefault="00703410" w:rsidP="0030454F">
      <w:r w:rsidRPr="00703410">
        <w:t>Many ACCHS</w:t>
      </w:r>
      <w:r w:rsidR="0030454F" w:rsidRPr="004E5B18">
        <w:t xml:space="preserve"> clients </w:t>
      </w:r>
      <w:r w:rsidR="007377DB">
        <w:t>reported being</w:t>
      </w:r>
      <w:r w:rsidR="007377DB" w:rsidRPr="004E5B18">
        <w:t xml:space="preserve"> </w:t>
      </w:r>
      <w:r w:rsidR="0030454F" w:rsidRPr="004E5B18">
        <w:t xml:space="preserve">unaware of opportunities for community input into decisions about the provision of care and programs delivered. </w:t>
      </w:r>
      <w:r w:rsidRPr="00703410">
        <w:t xml:space="preserve">Other people </w:t>
      </w:r>
      <w:r w:rsidR="0030454F" w:rsidRPr="004E5B18">
        <w:t>found the opportunities for input inappropriate</w:t>
      </w:r>
      <w:r w:rsidR="00F40229">
        <w:t xml:space="preserve"> or that some </w:t>
      </w:r>
      <w:r w:rsidR="00E3112B">
        <w:t xml:space="preserve">people were given a more significant say in </w:t>
      </w:r>
      <w:r w:rsidR="002B2374">
        <w:t>ACCHS</w:t>
      </w:r>
      <w:r w:rsidR="00D81BC1">
        <w:t>s</w:t>
      </w:r>
      <w:r w:rsidR="0030454F" w:rsidRPr="004E5B18">
        <w:t xml:space="preserve">. </w:t>
      </w:r>
      <w:r w:rsidRPr="00703410">
        <w:t xml:space="preserve">Some people </w:t>
      </w:r>
      <w:r w:rsidR="0030454F" w:rsidRPr="004E5B18">
        <w:t xml:space="preserve">also expressed providing negative feedback </w:t>
      </w:r>
      <w:r w:rsidR="002B7E2E">
        <w:t xml:space="preserve">in this context </w:t>
      </w:r>
      <w:r w:rsidR="0030454F" w:rsidRPr="004E5B18">
        <w:t xml:space="preserve">risks repercussions for themselves or family members. As a result, people feel their needs and aspirations </w:t>
      </w:r>
      <w:r w:rsidR="0030454F">
        <w:t xml:space="preserve">for care </w:t>
      </w:r>
      <w:r w:rsidR="007377DB">
        <w:t>were not always heard</w:t>
      </w:r>
      <w:r w:rsidR="0030454F" w:rsidRPr="004E5B18">
        <w:t xml:space="preserve">. </w:t>
      </w:r>
    </w:p>
    <w:p w14:paraId="0E0F26B3" w14:textId="79C55C05" w:rsidR="006E1D3D" w:rsidRPr="00884FAA" w:rsidRDefault="0030454F" w:rsidP="00115B7C">
      <w:pPr>
        <w:rPr>
          <w:noProof/>
        </w:rPr>
      </w:pPr>
      <w:r>
        <w:t>The situation for reporting neglectful care was not ideal</w:t>
      </w:r>
      <w:r w:rsidR="004D2EE0">
        <w:t xml:space="preserve"> </w:t>
      </w:r>
      <w:r w:rsidR="001F3C00">
        <w:t>across all settings</w:t>
      </w:r>
      <w:r>
        <w:t xml:space="preserve">. People </w:t>
      </w:r>
      <w:r w:rsidR="008B2E32">
        <w:t xml:space="preserve">shared experiences of being afraid to </w:t>
      </w:r>
      <w:r w:rsidR="000C07FD">
        <w:t xml:space="preserve">share negative feedback </w:t>
      </w:r>
      <w:r w:rsidR="00F4113B">
        <w:t xml:space="preserve">or make </w:t>
      </w:r>
      <w:r>
        <w:t xml:space="preserve">complaints </w:t>
      </w:r>
      <w:r w:rsidR="00625FED">
        <w:t xml:space="preserve">because their complaint </w:t>
      </w:r>
      <w:r>
        <w:t xml:space="preserve">would </w:t>
      </w:r>
      <w:r w:rsidR="0072252B">
        <w:t>not actioned</w:t>
      </w:r>
      <w:r>
        <w:t xml:space="preserve"> or they would </w:t>
      </w:r>
      <w:r w:rsidR="00625FED">
        <w:t xml:space="preserve">personally </w:t>
      </w:r>
      <w:r>
        <w:t xml:space="preserve">wear the consequences. For example, some people </w:t>
      </w:r>
      <w:r w:rsidR="000F40C9">
        <w:t xml:space="preserve">shared experiences of </w:t>
      </w:r>
      <w:r>
        <w:t>submit</w:t>
      </w:r>
      <w:r w:rsidR="000F40C9">
        <w:t>ting</w:t>
      </w:r>
      <w:r>
        <w:t xml:space="preserve"> a formal complaint at their local hospital </w:t>
      </w:r>
      <w:r w:rsidR="000F40C9">
        <w:t>and receiving</w:t>
      </w:r>
      <w:r>
        <w:t xml:space="preserve"> no response and no changes were made despite </w:t>
      </w:r>
      <w:r w:rsidR="00A01970">
        <w:t>people in leadership roles personally</w:t>
      </w:r>
      <w:r>
        <w:t xml:space="preserve"> </w:t>
      </w:r>
      <w:r w:rsidR="004D2EE0">
        <w:t xml:space="preserve">supporting and </w:t>
      </w:r>
      <w:r>
        <w:t>following-up their claim.</w:t>
      </w:r>
    </w:p>
    <w:p w14:paraId="5868EDAA" w14:textId="77777777" w:rsidR="00462995" w:rsidRDefault="00462995" w:rsidP="0035030F">
      <w:pPr>
        <w:pStyle w:val="Heading2"/>
        <w:rPr>
          <w:lang w:eastAsia="en-GB"/>
        </w:rPr>
      </w:pPr>
      <w:bookmarkStart w:id="172" w:name="_Toc137208916"/>
      <w:r w:rsidRPr="00462995">
        <w:rPr>
          <w:lang w:eastAsia="en-GB"/>
        </w:rPr>
        <w:t>ACCHSs are ‘doing their best to bridge the gaps’ within and between systems</w:t>
      </w:r>
      <w:bookmarkEnd w:id="172"/>
      <w:r w:rsidRPr="00462995">
        <w:rPr>
          <w:lang w:eastAsia="en-GB"/>
        </w:rPr>
        <w:t xml:space="preserve"> </w:t>
      </w:r>
    </w:p>
    <w:p w14:paraId="3F77F25D" w14:textId="026F29FB" w:rsidR="00C95A29" w:rsidRDefault="002A60F0" w:rsidP="00C95A29">
      <w:pPr>
        <w:rPr>
          <w:noProof/>
        </w:rPr>
      </w:pPr>
      <w:r>
        <w:rPr>
          <w:noProof/>
        </w:rPr>
        <w:t xml:space="preserve">People </w:t>
      </w:r>
      <w:r w:rsidR="00AA5EEB" w:rsidRPr="00AA5EEB">
        <w:rPr>
          <w:noProof/>
        </w:rPr>
        <w:t>experience</w:t>
      </w:r>
      <w:r>
        <w:rPr>
          <w:noProof/>
        </w:rPr>
        <w:t>d</w:t>
      </w:r>
      <w:r w:rsidR="00AA5EEB" w:rsidRPr="00AA5EEB">
        <w:rPr>
          <w:noProof/>
        </w:rPr>
        <w:t xml:space="preserve"> </w:t>
      </w:r>
      <w:r>
        <w:rPr>
          <w:noProof/>
        </w:rPr>
        <w:t xml:space="preserve">the </w:t>
      </w:r>
      <w:r w:rsidR="00AA5EEB" w:rsidRPr="00AA5EEB">
        <w:rPr>
          <w:noProof/>
        </w:rPr>
        <w:t xml:space="preserve">health system in silos </w:t>
      </w:r>
      <w:r>
        <w:rPr>
          <w:noProof/>
        </w:rPr>
        <w:t xml:space="preserve">that </w:t>
      </w:r>
      <w:r w:rsidR="00AA5EEB" w:rsidRPr="00AA5EEB">
        <w:rPr>
          <w:noProof/>
        </w:rPr>
        <w:t>deliver</w:t>
      </w:r>
      <w:r>
        <w:rPr>
          <w:noProof/>
        </w:rPr>
        <w:t>s</w:t>
      </w:r>
      <w:r w:rsidR="00AA5EEB" w:rsidRPr="00AA5EEB">
        <w:rPr>
          <w:noProof/>
        </w:rPr>
        <w:t xml:space="preserve"> discrete episodes of care that </w:t>
      </w:r>
      <w:r>
        <w:rPr>
          <w:noProof/>
        </w:rPr>
        <w:t xml:space="preserve">do not support </w:t>
      </w:r>
      <w:r w:rsidR="00AA5EEB" w:rsidRPr="00AA5EEB">
        <w:rPr>
          <w:noProof/>
        </w:rPr>
        <w:t xml:space="preserve">a seamless client journey </w:t>
      </w:r>
      <w:r>
        <w:rPr>
          <w:noProof/>
        </w:rPr>
        <w:t xml:space="preserve">and </w:t>
      </w:r>
      <w:r w:rsidR="00AA5EEB" w:rsidRPr="00AA5EEB">
        <w:rPr>
          <w:noProof/>
        </w:rPr>
        <w:t xml:space="preserve">improved </w:t>
      </w:r>
      <w:r w:rsidR="00AA5EEB" w:rsidRPr="007D2B35">
        <w:rPr>
          <w:noProof/>
        </w:rPr>
        <w:t xml:space="preserve">quality of life. In this scenario, people </w:t>
      </w:r>
      <w:r w:rsidR="00C63F54" w:rsidRPr="007D2B35">
        <w:t>experienced</w:t>
      </w:r>
      <w:r w:rsidR="00C63F54" w:rsidRPr="007D2B35">
        <w:rPr>
          <w:noProof/>
        </w:rPr>
        <w:t xml:space="preserve"> </w:t>
      </w:r>
      <w:r w:rsidR="00AA5EEB" w:rsidRPr="007D2B35">
        <w:rPr>
          <w:noProof/>
        </w:rPr>
        <w:t xml:space="preserve">ACCHSs usually doing all the heavy lifting without other providers taking responsibility for contributing to integrated </w:t>
      </w:r>
      <w:r w:rsidR="00EF4DA8" w:rsidRPr="007D2B35">
        <w:rPr>
          <w:noProof/>
        </w:rPr>
        <w:t>person</w:t>
      </w:r>
      <w:r w:rsidR="00AA5EEB" w:rsidRPr="007D2B35">
        <w:rPr>
          <w:noProof/>
        </w:rPr>
        <w:t>-centred care. People are also astutely aware that ACCHSs’ staff bear the consequences of ‘bridging</w:t>
      </w:r>
      <w:r w:rsidR="00AA5EEB" w:rsidRPr="00AA5EEB">
        <w:rPr>
          <w:noProof/>
        </w:rPr>
        <w:t xml:space="preserve"> the gaps’ and staff suffer burnout.</w:t>
      </w:r>
      <w:r w:rsidR="002333FF">
        <w:rPr>
          <w:noProof/>
        </w:rPr>
        <w:t xml:space="preserve"> The extended role of ACCHS</w:t>
      </w:r>
      <w:r w:rsidR="007D2B35">
        <w:rPr>
          <w:noProof/>
        </w:rPr>
        <w:t>s,</w:t>
      </w:r>
      <w:r w:rsidR="002333FF">
        <w:rPr>
          <w:noProof/>
        </w:rPr>
        <w:t xml:space="preserve"> bridging gaps </w:t>
      </w:r>
      <w:r w:rsidR="005937EB">
        <w:rPr>
          <w:noProof/>
        </w:rPr>
        <w:t>within the system</w:t>
      </w:r>
      <w:r w:rsidR="002073E4">
        <w:rPr>
          <w:noProof/>
        </w:rPr>
        <w:t>, was</w:t>
      </w:r>
      <w:r w:rsidR="005937EB">
        <w:rPr>
          <w:noProof/>
        </w:rPr>
        <w:t xml:space="preserve"> recognised through positive expereinces by people receiving this support. </w:t>
      </w:r>
    </w:p>
    <w:p w14:paraId="5F81FCF6" w14:textId="77777777" w:rsidR="003F330A" w:rsidRDefault="003F330A">
      <w:pPr>
        <w:jc w:val="left"/>
        <w:rPr>
          <w:b/>
          <w:bCs/>
          <w:noProof/>
          <w:color w:val="9E6047" w:themeColor="accent3"/>
          <w:sz w:val="36"/>
          <w:szCs w:val="36"/>
          <w:lang w:val="en-NZ"/>
        </w:rPr>
      </w:pPr>
      <w:bookmarkStart w:id="173" w:name="_Toc137208917"/>
      <w:r>
        <w:br w:type="page"/>
      </w:r>
    </w:p>
    <w:p w14:paraId="703EF7E8" w14:textId="4230A6F6" w:rsidR="003F42E1" w:rsidRDefault="003F42E1" w:rsidP="0035030F">
      <w:pPr>
        <w:pStyle w:val="Heading2"/>
      </w:pPr>
      <w:r>
        <w:lastRenderedPageBreak/>
        <w:t>Contrasting outcomes</w:t>
      </w:r>
      <w:bookmarkEnd w:id="173"/>
    </w:p>
    <w:p w14:paraId="46EB1699" w14:textId="29C39514" w:rsidR="00663586" w:rsidRPr="00663586" w:rsidRDefault="008718BF" w:rsidP="00663586">
      <w:pPr>
        <w:rPr>
          <w:noProof/>
        </w:rPr>
      </w:pPr>
      <w:r>
        <w:rPr>
          <w:noProof/>
        </w:rPr>
        <w:t xml:space="preserve">The experiences of Aboriginal and Torres Strait Islander people in the health system have contributed to two </w:t>
      </w:r>
      <w:r w:rsidR="00663586" w:rsidRPr="00663586">
        <w:rPr>
          <w:noProof/>
        </w:rPr>
        <w:t xml:space="preserve">main outcomes </w:t>
      </w:r>
      <w:r w:rsidR="009152EF">
        <w:rPr>
          <w:noProof/>
        </w:rPr>
        <w:t xml:space="preserve">for how Aboriginal and Torres Strait Islander interract with health systems. </w:t>
      </w:r>
    </w:p>
    <w:p w14:paraId="43CECF16" w14:textId="4121ACE5" w:rsidR="00663586" w:rsidRPr="00663586" w:rsidRDefault="00663586" w:rsidP="00651D06">
      <w:pPr>
        <w:pStyle w:val="Heading3"/>
        <w:rPr>
          <w:noProof/>
        </w:rPr>
      </w:pPr>
      <w:r w:rsidRPr="00663586">
        <w:rPr>
          <w:noProof/>
        </w:rPr>
        <w:t>Assuming an ethic of responsibility</w:t>
      </w:r>
      <w:r w:rsidR="00421E3A">
        <w:rPr>
          <w:noProof/>
        </w:rPr>
        <w:t xml:space="preserve"> and care</w:t>
      </w:r>
    </w:p>
    <w:p w14:paraId="6FEB6138" w14:textId="1EA41773" w:rsidR="00663586" w:rsidRPr="00663586" w:rsidRDefault="00641165" w:rsidP="00663586">
      <w:pPr>
        <w:rPr>
          <w:noProof/>
        </w:rPr>
      </w:pPr>
      <w:r>
        <w:rPr>
          <w:noProof/>
        </w:rPr>
        <w:t>Aboriginal and Torres Strait Islander people</w:t>
      </w:r>
      <w:r w:rsidR="00663586" w:rsidRPr="00663586">
        <w:rPr>
          <w:noProof/>
        </w:rPr>
        <w:t xml:space="preserve"> acknowledge that to improve their health care experiences, they need to take more control over their own health, that of their family, and community and more control over resources and institutions that challenge them.</w:t>
      </w:r>
    </w:p>
    <w:p w14:paraId="33FDA691" w14:textId="77777777" w:rsidR="00663586" w:rsidRPr="00A1178E" w:rsidRDefault="00663586" w:rsidP="009E3CE2">
      <w:pPr>
        <w:pStyle w:val="Quote"/>
        <w:spacing w:after="0"/>
        <w:rPr>
          <w:noProof/>
          <w:color w:val="18525E" w:themeColor="accent5" w:themeShade="80"/>
        </w:rPr>
      </w:pPr>
      <w:r w:rsidRPr="00A1178E">
        <w:rPr>
          <w:noProof/>
          <w:color w:val="18525E" w:themeColor="accent5" w:themeShade="80"/>
        </w:rPr>
        <w:t xml:space="preserve">What I'd love to see in our AMS. Is to let it come back to an AMS. Just Aboriginal people only and Torres Strait Islanders, no non-Aboriginal people. </w:t>
      </w:r>
    </w:p>
    <w:p w14:paraId="24EBE105" w14:textId="77777777" w:rsidR="00663586" w:rsidRPr="00663586" w:rsidRDefault="00663586" w:rsidP="003357C8">
      <w:pPr>
        <w:jc w:val="right"/>
        <w:rPr>
          <w:b/>
          <w:noProof/>
        </w:rPr>
      </w:pPr>
      <w:bookmarkStart w:id="174" w:name="_Hlk131454198"/>
      <w:r w:rsidRPr="00663586">
        <w:rPr>
          <w:b/>
          <w:noProof/>
        </w:rPr>
        <w:t>Community member</w:t>
      </w:r>
    </w:p>
    <w:bookmarkEnd w:id="174"/>
    <w:p w14:paraId="08243637" w14:textId="482C78A4" w:rsidR="00663586" w:rsidRPr="00663586" w:rsidRDefault="00663586" w:rsidP="00663586">
      <w:pPr>
        <w:rPr>
          <w:noProof/>
        </w:rPr>
      </w:pPr>
      <w:r w:rsidRPr="00663586">
        <w:rPr>
          <w:noProof/>
        </w:rPr>
        <w:t>People are assuming</w:t>
      </w:r>
      <w:r w:rsidRPr="00663586">
        <w:rPr>
          <w:bCs/>
          <w:noProof/>
        </w:rPr>
        <w:t xml:space="preserve"> an ethic of responsibility </w:t>
      </w:r>
      <w:r w:rsidR="00A65455">
        <w:rPr>
          <w:bCs/>
          <w:noProof/>
        </w:rPr>
        <w:t xml:space="preserve">and care </w:t>
      </w:r>
      <w:r w:rsidRPr="00663586">
        <w:rPr>
          <w:bCs/>
          <w:noProof/>
        </w:rPr>
        <w:t>for themselves, family and the community</w:t>
      </w:r>
      <w:r w:rsidRPr="00663586">
        <w:rPr>
          <w:noProof/>
        </w:rPr>
        <w:t xml:space="preserve"> to ensure that control over services is increased. For instance, some people were taking on positions on hospital, PHN and institutional boards to change the situation for themselves, their children, and future generations. People spoke about engaging in efforts to support young Aboriginal and Torres Strait Islander people to take up training as doctors, nurses and health workers.</w:t>
      </w:r>
    </w:p>
    <w:p w14:paraId="704094B3" w14:textId="77777777" w:rsidR="00663586" w:rsidRPr="00A1178E" w:rsidRDefault="00663586" w:rsidP="009E3CE2">
      <w:pPr>
        <w:pStyle w:val="Quote"/>
        <w:spacing w:after="0"/>
        <w:rPr>
          <w:noProof/>
          <w:color w:val="18525E" w:themeColor="accent5" w:themeShade="80"/>
        </w:rPr>
      </w:pPr>
      <w:r w:rsidRPr="00A1178E">
        <w:rPr>
          <w:noProof/>
          <w:color w:val="18525E" w:themeColor="accent5" w:themeShade="80"/>
        </w:rPr>
        <w:t>All our grandkids and all that and our kids. We need to do it so they are doctors and the nurses and for future doctors.</w:t>
      </w:r>
    </w:p>
    <w:p w14:paraId="7895841F" w14:textId="77777777" w:rsidR="00663586" w:rsidRPr="00663586" w:rsidRDefault="00663586" w:rsidP="003357C8">
      <w:pPr>
        <w:jc w:val="right"/>
        <w:rPr>
          <w:b/>
          <w:noProof/>
        </w:rPr>
      </w:pPr>
      <w:r w:rsidRPr="00663586">
        <w:rPr>
          <w:b/>
          <w:noProof/>
        </w:rPr>
        <w:t xml:space="preserve">Community member </w:t>
      </w:r>
    </w:p>
    <w:p w14:paraId="1AFA8516" w14:textId="49548C75" w:rsidR="00663586" w:rsidRPr="00663586" w:rsidRDefault="00663586" w:rsidP="00663586">
      <w:pPr>
        <w:rPr>
          <w:noProof/>
        </w:rPr>
      </w:pPr>
      <w:r w:rsidRPr="00663586">
        <w:rPr>
          <w:noProof/>
        </w:rPr>
        <w:t xml:space="preserve">Other people discussed action taken to provide </w:t>
      </w:r>
      <w:r w:rsidR="006F6672">
        <w:rPr>
          <w:noProof/>
        </w:rPr>
        <w:t xml:space="preserve">more </w:t>
      </w:r>
      <w:r w:rsidRPr="00663586">
        <w:rPr>
          <w:noProof/>
        </w:rPr>
        <w:t>welcoming space</w:t>
      </w:r>
      <w:r w:rsidR="007A4D49">
        <w:rPr>
          <w:noProof/>
        </w:rPr>
        <w:t>s</w:t>
      </w:r>
      <w:r w:rsidRPr="00663586">
        <w:rPr>
          <w:noProof/>
        </w:rPr>
        <w:t xml:space="preserve"> for Aboriginal and Torres Strait Islander people who access hospitals. Conversely, other people spoke about descending on Canberra in protest of the quality of care available to them. </w:t>
      </w:r>
    </w:p>
    <w:p w14:paraId="17D05F28" w14:textId="4508040F" w:rsidR="00663586" w:rsidRPr="00663586" w:rsidRDefault="00663586" w:rsidP="00651D06">
      <w:pPr>
        <w:pStyle w:val="Heading3"/>
        <w:rPr>
          <w:noProof/>
        </w:rPr>
      </w:pPr>
      <w:r w:rsidRPr="00663586">
        <w:rPr>
          <w:noProof/>
        </w:rPr>
        <w:t xml:space="preserve">Fearing for future generations </w:t>
      </w:r>
    </w:p>
    <w:p w14:paraId="2FDF43EB" w14:textId="69192BB3" w:rsidR="00663586" w:rsidRPr="00663586" w:rsidRDefault="009152EF" w:rsidP="00663586">
      <w:pPr>
        <w:rPr>
          <w:noProof/>
        </w:rPr>
      </w:pPr>
      <w:r>
        <w:rPr>
          <w:noProof/>
        </w:rPr>
        <w:t xml:space="preserve">People shared the </w:t>
      </w:r>
      <w:r w:rsidR="00663586" w:rsidRPr="00663586">
        <w:rPr>
          <w:noProof/>
        </w:rPr>
        <w:t xml:space="preserve">influence and flow-on effects of mistrust and previous traumatic experiences of poor health service design, treatment and health care – such as unwarranted suffering, adverse health outcomes, </w:t>
      </w:r>
      <w:r w:rsidR="00C269A3">
        <w:rPr>
          <w:noProof/>
        </w:rPr>
        <w:t xml:space="preserve">and </w:t>
      </w:r>
      <w:r w:rsidR="00663586" w:rsidRPr="00663586">
        <w:rPr>
          <w:noProof/>
        </w:rPr>
        <w:t>grief and loss</w:t>
      </w:r>
      <w:r>
        <w:rPr>
          <w:noProof/>
        </w:rPr>
        <w:t>.</w:t>
      </w:r>
      <w:r w:rsidR="00663586" w:rsidRPr="00663586">
        <w:rPr>
          <w:noProof/>
        </w:rPr>
        <w:t xml:space="preserve"> The continuing effects </w:t>
      </w:r>
      <w:r>
        <w:rPr>
          <w:noProof/>
        </w:rPr>
        <w:t xml:space="preserve">of these experiences </w:t>
      </w:r>
      <w:r w:rsidR="00663586" w:rsidRPr="00663586">
        <w:rPr>
          <w:noProof/>
        </w:rPr>
        <w:t>further entrench mistrust, perpetuate the levels of disengagement in the health system, and contribute to ill health.</w:t>
      </w:r>
    </w:p>
    <w:p w14:paraId="233D65AA" w14:textId="5926734D" w:rsidR="00663586" w:rsidRPr="00663586" w:rsidRDefault="00663586" w:rsidP="00663586">
      <w:pPr>
        <w:rPr>
          <w:i/>
          <w:iCs/>
          <w:noProof/>
        </w:rPr>
      </w:pPr>
      <w:r w:rsidRPr="00663586">
        <w:rPr>
          <w:noProof/>
        </w:rPr>
        <w:t xml:space="preserve">While people sought increased control over the things that affect them, </w:t>
      </w:r>
      <w:r w:rsidR="001C14B3">
        <w:rPr>
          <w:noProof/>
        </w:rPr>
        <w:t>people</w:t>
      </w:r>
      <w:r w:rsidR="001C14B3" w:rsidRPr="00663586">
        <w:rPr>
          <w:noProof/>
        </w:rPr>
        <w:t xml:space="preserve"> </w:t>
      </w:r>
      <w:r w:rsidRPr="00663586">
        <w:rPr>
          <w:noProof/>
        </w:rPr>
        <w:t xml:space="preserve">lamented that successive governments had not made any ground regarding the health and wellbeing of Aboriginal and Torres Strait Islander people. People spoke about not having access to the right services at the level they need, in the ways they want them delivered, at the time they need them, or in the right location. </w:t>
      </w:r>
      <w:r w:rsidR="001C14B3">
        <w:rPr>
          <w:noProof/>
        </w:rPr>
        <w:t xml:space="preserve">People shared expereinces of not being able to </w:t>
      </w:r>
      <w:r w:rsidRPr="00663586">
        <w:rPr>
          <w:noProof/>
        </w:rPr>
        <w:t xml:space="preserve">afford the costs of accessing </w:t>
      </w:r>
      <w:r w:rsidR="00DD52F1">
        <w:rPr>
          <w:noProof/>
        </w:rPr>
        <w:t>health care</w:t>
      </w:r>
      <w:r w:rsidR="00DD52F1" w:rsidRPr="00663586">
        <w:rPr>
          <w:noProof/>
        </w:rPr>
        <w:t xml:space="preserve"> </w:t>
      </w:r>
      <w:r w:rsidRPr="00663586">
        <w:rPr>
          <w:noProof/>
        </w:rPr>
        <w:t xml:space="preserve">services, particularly in rural-remote locations. People are well aware that these issues emerge from an under-resourced health system. </w:t>
      </w:r>
      <w:r w:rsidR="00085C76">
        <w:rPr>
          <w:noProof/>
        </w:rPr>
        <w:t>People</w:t>
      </w:r>
      <w:r w:rsidRPr="00663586">
        <w:rPr>
          <w:noProof/>
        </w:rPr>
        <w:t xml:space="preserve"> continue to </w:t>
      </w:r>
      <w:r w:rsidRPr="00663586">
        <w:rPr>
          <w:noProof/>
        </w:rPr>
        <w:lastRenderedPageBreak/>
        <w:t xml:space="preserve">have harrowing experiences of paternalism, discrimination and racism. People were concerned for future generations. </w:t>
      </w:r>
    </w:p>
    <w:p w14:paraId="0571F5B1" w14:textId="77777777" w:rsidR="00663586" w:rsidRPr="00A1178E" w:rsidRDefault="00663586" w:rsidP="009E3CE2">
      <w:pPr>
        <w:pStyle w:val="Quote"/>
        <w:spacing w:after="0"/>
        <w:rPr>
          <w:noProof/>
          <w:color w:val="18525E" w:themeColor="accent5" w:themeShade="80"/>
        </w:rPr>
      </w:pPr>
      <w:r w:rsidRPr="00A1178E">
        <w:rPr>
          <w:noProof/>
          <w:color w:val="18525E" w:themeColor="accent5" w:themeShade="80"/>
        </w:rPr>
        <w:t>They haven’t got it right for our grandparents, they haven’t got it right for us, and we’re worried for our children and grandchildren.</w:t>
      </w:r>
    </w:p>
    <w:p w14:paraId="2F43511B" w14:textId="7FEB2CFC" w:rsidR="003F42E1" w:rsidRPr="003357C8" w:rsidRDefault="00663586" w:rsidP="003357C8">
      <w:pPr>
        <w:jc w:val="right"/>
        <w:rPr>
          <w:b/>
          <w:bCs/>
          <w:noProof/>
        </w:rPr>
      </w:pPr>
      <w:r w:rsidRPr="003357C8">
        <w:rPr>
          <w:b/>
          <w:bCs/>
          <w:noProof/>
        </w:rPr>
        <w:t>Community member</w:t>
      </w:r>
    </w:p>
    <w:p w14:paraId="1B8E0DE4" w14:textId="1E76F792" w:rsidR="005C490E" w:rsidRPr="00884FAA" w:rsidRDefault="005C490E" w:rsidP="005C490E"/>
    <w:p w14:paraId="73CA720D" w14:textId="3BD265E6" w:rsidR="00CE06E9" w:rsidRPr="00884FAA" w:rsidRDefault="00CE06E9">
      <w:pPr>
        <w:jc w:val="left"/>
        <w:rPr>
          <w:b/>
          <w:caps/>
          <w:color w:val="9E6047" w:themeColor="accent3"/>
          <w:kern w:val="28"/>
          <w:sz w:val="40"/>
          <w:szCs w:val="48"/>
        </w:rPr>
      </w:pPr>
      <w:r w:rsidRPr="00884FAA">
        <w:rPr>
          <w:b/>
          <w:caps/>
          <w:color w:val="9E6047" w:themeColor="accent3"/>
          <w:kern w:val="28"/>
          <w:sz w:val="40"/>
          <w:szCs w:val="48"/>
        </w:rPr>
        <w:br w:type="page"/>
      </w:r>
    </w:p>
    <w:p w14:paraId="1FAEA141" w14:textId="77777777" w:rsidR="00D841DE" w:rsidRPr="00884FAA" w:rsidRDefault="00D841DE" w:rsidP="00DA6112">
      <w:pPr>
        <w:rPr>
          <w:color w:val="357DBE" w:themeColor="accent1"/>
        </w:rPr>
        <w:sectPr w:rsidR="00D841DE" w:rsidRPr="00884FAA" w:rsidSect="00100AA9">
          <w:headerReference w:type="even" r:id="rId106"/>
          <w:headerReference w:type="default" r:id="rId107"/>
          <w:headerReference w:type="first" r:id="rId108"/>
          <w:pgSz w:w="11909" w:h="16834" w:code="9"/>
          <w:pgMar w:top="1440" w:right="1440" w:bottom="1440" w:left="1440" w:header="720" w:footer="720" w:gutter="0"/>
          <w:cols w:space="720"/>
          <w:titlePg/>
          <w:docGrid w:linePitch="360"/>
        </w:sectPr>
      </w:pPr>
      <w:r w:rsidRPr="00884FAA">
        <w:rPr>
          <w:noProof/>
        </w:rPr>
        <w:lastRenderedPageBreak/>
        <mc:AlternateContent>
          <mc:Choice Requires="wps">
            <w:drawing>
              <wp:anchor distT="0" distB="0" distL="114300" distR="114300" simplePos="0" relativeHeight="251657231" behindDoc="0" locked="1" layoutInCell="1" allowOverlap="1" wp14:anchorId="096D00D3" wp14:editId="2A7C45C2">
                <wp:simplePos x="0" y="0"/>
                <wp:positionH relativeFrom="margin">
                  <wp:posOffset>-635</wp:posOffset>
                </wp:positionH>
                <wp:positionV relativeFrom="margin">
                  <wp:posOffset>869950</wp:posOffset>
                </wp:positionV>
                <wp:extent cx="5734050" cy="2267585"/>
                <wp:effectExtent l="0" t="0" r="0" b="0"/>
                <wp:wrapNone/>
                <wp:docPr id="1143957011" name="Text Box 1143957011"/>
                <wp:cNvGraphicFramePr/>
                <a:graphic xmlns:a="http://schemas.openxmlformats.org/drawingml/2006/main">
                  <a:graphicData uri="http://schemas.microsoft.com/office/word/2010/wordprocessingShape">
                    <wps:wsp>
                      <wps:cNvSpPr txBox="1"/>
                      <wps:spPr>
                        <a:xfrm>
                          <a:off x="0" y="0"/>
                          <a:ext cx="5734050" cy="2267585"/>
                        </a:xfrm>
                        <a:prstGeom prst="rect">
                          <a:avLst/>
                        </a:prstGeom>
                        <a:noFill/>
                        <a:ln w="6350">
                          <a:noFill/>
                        </a:ln>
                      </wps:spPr>
                      <wps:txbx>
                        <w:txbxContent>
                          <w:p w14:paraId="3A1AED6E" w14:textId="6F857DF6" w:rsidR="00D841DE" w:rsidRPr="005444A1" w:rsidRDefault="00D841DE" w:rsidP="00D841DE">
                            <w:pPr>
                              <w:pStyle w:val="Partheading"/>
                            </w:pPr>
                            <w:bookmarkStart w:id="175" w:name="_Toc137208918"/>
                            <w:r>
                              <w:t xml:space="preserve">Part C: </w:t>
                            </w:r>
                            <w:r w:rsidR="004464F4">
                              <w:t>Evaluating the</w:t>
                            </w:r>
                            <w:r w:rsidR="00AA35E2">
                              <w:t xml:space="preserve"> </w:t>
                            </w:r>
                            <w:r>
                              <w:t>IAHP</w:t>
                            </w:r>
                            <w:bookmarkEnd w:id="175"/>
                            <w:r>
                              <w:t xml:space="preserve">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D00D3" id="Text Box 1143957011" o:spid="_x0000_s1081" type="#_x0000_t202" style="position:absolute;left:0;text-align:left;margin-left:-.05pt;margin-top:68.5pt;width:451.5pt;height:178.55pt;z-index:25165723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fSHAIAADUEAAAOAAAAZHJzL2Uyb0RvYy54bWysU01v2zAMvQ/YfxB0b5yk+eiMOEXWIsOA&#10;oC2QDj0rshQbkERNUmJnv36UnK91Ow29yKRIP5LvUbP7ViuyF87XYAo66PUpEYZDWZttQX+8Lm/u&#10;KPGBmZIpMKKgB+Hp/fzzp1ljczGEClQpHEEQ4/PGFrQKweZZ5nklNPM9sMJgUILTLKDrtlnpWIPo&#10;WmXDfn+SNeBK64AL7/H2sQvSecKXUvDwLKUXgaiCYm8hnS6dm3hm8xnLt47ZqubHNth/dKFZbbDo&#10;GeqRBUZ2rv4LStfcgQcZehx0BlLWXKQZcJpB/90064pZkWZBcrw90+Q/DpY/7df2xZHQfoUWBYyE&#10;NNbnHi/jPK10On6xU4JxpPBwpk20gXC8HE9vR/0xhjjGhsPJdHw3jjjZ5XfrfPgmQJNoFNShLoku&#10;tl/50KWeUmI1A8taqaSNMqQp6OQW8f+IILgyWOPSbLRCu2lJXWIbo9MkGygPOKCDTntv+bLGJlbM&#10;hxfmUGxsHBc4POMhFWAxOFqUVOB+/es+5qMGGKWkweUpqP+5Y05Qor4bVOfLYDSK25ac0Xg6RMdd&#10;RzbXEbPTD4D7OcCnYnkyY35QJ1M60G+454tYFUPMcKxd0M3JfAjdSuM74WKxSEm4X5aFlVlbHqEj&#10;eZHi1/aNOXvUIaCET3BaM5a/k6PL7Whf7ALIOmkVie5YPfKPu5nUPr6juPzXfsq6vPb5bwAAAP//&#10;AwBQSwMEFAAGAAgAAAAhAJMfu2vgAAAACQEAAA8AAABkcnMvZG93bnJldi54bWxMj8FOwzAQRO9I&#10;/IO1SNxaJ22BJsSpUKWKExItVFVvTrxNIuJ1FLtJ+HuWExx3ZjT7JttMthUD9r5xpCCeRyCQSmca&#10;qhR8fuxmaxA+aDK6dYQKvtHDJr+9yXRq3Eh7HA6hElxCPtUK6hC6VEpf1mi1n7sOib2L660OfPaV&#10;NL0eudy2chFFj9LqhvhDrTvc1lh+Ha5Wwdk+FP6yLXdvx+F1PO6Xp/e6Oil1fze9PIMIOIW/MPzi&#10;MzrkzFS4KxkvWgWzmIMsL594EvtJtEhAFApWySoGmWfy/4L8BwAA//8DAFBLAQItABQABgAIAAAA&#10;IQC2gziS/gAAAOEBAAATAAAAAAAAAAAAAAAAAAAAAABbQ29udGVudF9UeXBlc10ueG1sUEsBAi0A&#10;FAAGAAgAAAAhADj9If/WAAAAlAEAAAsAAAAAAAAAAAAAAAAALwEAAF9yZWxzLy5yZWxzUEsBAi0A&#10;FAAGAAgAAAAhAKQZ99IcAgAANQQAAA4AAAAAAAAAAAAAAAAALgIAAGRycy9lMm9Eb2MueG1sUEsB&#10;Ai0AFAAGAAgAAAAhAJMfu2vgAAAACQEAAA8AAAAAAAAAAAAAAAAAdgQAAGRycy9kb3ducmV2Lnht&#10;bFBLBQYAAAAABAAEAPMAAACDBQAAAAA=&#10;" filled="f" stroked="f" strokeweight=".5pt">
                <v:textbox>
                  <w:txbxContent>
                    <w:p w14:paraId="3A1AED6E" w14:textId="6F857DF6" w:rsidR="00D841DE" w:rsidRPr="005444A1" w:rsidRDefault="00D841DE" w:rsidP="00D841DE">
                      <w:pPr>
                        <w:pStyle w:val="Partheading"/>
                      </w:pPr>
                      <w:bookmarkStart w:id="176" w:name="_Toc137208918"/>
                      <w:r>
                        <w:t xml:space="preserve">Part C: </w:t>
                      </w:r>
                      <w:r w:rsidR="004464F4">
                        <w:t>Evaluating the</w:t>
                      </w:r>
                      <w:r w:rsidR="00AA35E2">
                        <w:t xml:space="preserve"> </w:t>
                      </w:r>
                      <w:r>
                        <w:t>IAHP</w:t>
                      </w:r>
                      <w:bookmarkEnd w:id="176"/>
                      <w:r>
                        <w:t xml:space="preserve"> </w:t>
                      </w:r>
                    </w:p>
                  </w:txbxContent>
                </v:textbox>
                <w10:wrap anchorx="margin" anchory="margin"/>
                <w10:anchorlock/>
              </v:shape>
            </w:pict>
          </mc:Fallback>
        </mc:AlternateContent>
      </w:r>
      <w:r w:rsidRPr="00884FAA">
        <w:rPr>
          <w:noProof/>
        </w:rPr>
        <w:drawing>
          <wp:anchor distT="0" distB="0" distL="114300" distR="114300" simplePos="0" relativeHeight="251657230" behindDoc="1" locked="1" layoutInCell="1" allowOverlap="1" wp14:anchorId="6F0EE098" wp14:editId="305791AC">
            <wp:simplePos x="0" y="0"/>
            <wp:positionH relativeFrom="page">
              <wp:posOffset>3175</wp:posOffset>
            </wp:positionH>
            <wp:positionV relativeFrom="page">
              <wp:posOffset>0</wp:posOffset>
            </wp:positionV>
            <wp:extent cx="7546975" cy="10680700"/>
            <wp:effectExtent l="0" t="0" r="0" b="6350"/>
            <wp:wrapNone/>
            <wp:docPr id="1022358106" name="Picture 1022358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58106" name="Picture 1022358106">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546975" cy="10680700"/>
                    </a:xfrm>
                    <a:prstGeom prst="rect">
                      <a:avLst/>
                    </a:prstGeom>
                  </pic:spPr>
                </pic:pic>
              </a:graphicData>
            </a:graphic>
            <wp14:sizeRelH relativeFrom="margin">
              <wp14:pctWidth>0</wp14:pctWidth>
            </wp14:sizeRelH>
            <wp14:sizeRelV relativeFrom="margin">
              <wp14:pctHeight>0</wp14:pctHeight>
            </wp14:sizeRelV>
          </wp:anchor>
        </w:drawing>
      </w:r>
    </w:p>
    <w:p w14:paraId="44A91681" w14:textId="1EC4F8CB" w:rsidR="005E1B27" w:rsidRDefault="00295D18" w:rsidP="003D4A7C">
      <w:pPr>
        <w:pStyle w:val="Heading1NotNumbered"/>
      </w:pPr>
      <w:bookmarkStart w:id="177" w:name="_Toc137208919"/>
      <w:r>
        <w:rPr>
          <w:noProof/>
        </w:rPr>
        <w:lastRenderedPageBreak/>
        <w:drawing>
          <wp:anchor distT="0" distB="0" distL="114300" distR="114300" simplePos="0" relativeHeight="251658289" behindDoc="0" locked="1" layoutInCell="1" allowOverlap="0" wp14:anchorId="7BEA25F4" wp14:editId="4DF15696">
            <wp:simplePos x="0" y="0"/>
            <wp:positionH relativeFrom="column">
              <wp:posOffset>3348694</wp:posOffset>
            </wp:positionH>
            <wp:positionV relativeFrom="paragraph">
              <wp:posOffset>-1128366</wp:posOffset>
            </wp:positionV>
            <wp:extent cx="3186000" cy="676800"/>
            <wp:effectExtent l="0" t="0" r="0" b="0"/>
            <wp:wrapNone/>
            <wp:docPr id="1099" name="Picture 1099">
              <a:extLst xmlns:a="http://schemas.openxmlformats.org/drawingml/2006/main">
                <a:ext uri="{FF2B5EF4-FFF2-40B4-BE49-F238E27FC236}">
                  <a16:creationId xmlns:a16="http://schemas.microsoft.com/office/drawing/2014/main" id="{16F4EC3E-E672-7A65-A890-85FC0114E36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Picture 1099">
                      <a:extLst>
                        <a:ext uri="{FF2B5EF4-FFF2-40B4-BE49-F238E27FC236}">
                          <a16:creationId xmlns:a16="http://schemas.microsoft.com/office/drawing/2014/main" id="{16F4EC3E-E672-7A65-A890-85FC0114E36D}"/>
                        </a:ext>
                        <a:ext uri="{C183D7F6-B498-43B3-948B-1728B52AA6E4}">
                          <adec:decorative xmlns:adec="http://schemas.microsoft.com/office/drawing/2017/decorative" val="1"/>
                        </a:ext>
                      </a:extLst>
                    </pic:cNvPr>
                    <pic:cNvPicPr>
                      <a:picLocks noChangeAspect="1"/>
                    </pic:cNvPicPr>
                  </pic:nvPicPr>
                  <pic:blipFill>
                    <a:blip r:embed="rId109">
                      <a:extLst>
                        <a:ext uri="{96DAC541-7B7A-43D3-8B79-37D633B846F1}">
                          <asvg:svgBlip xmlns:asvg="http://schemas.microsoft.com/office/drawing/2016/SVG/main" r:embed="rId110"/>
                        </a:ext>
                      </a:extLst>
                    </a:blip>
                    <a:stretch>
                      <a:fillRect/>
                    </a:stretch>
                  </pic:blipFill>
                  <pic:spPr>
                    <a:xfrm>
                      <a:off x="0" y="0"/>
                      <a:ext cx="3186000" cy="676800"/>
                    </a:xfrm>
                    <a:prstGeom prst="rect">
                      <a:avLst/>
                    </a:prstGeom>
                  </pic:spPr>
                </pic:pic>
              </a:graphicData>
            </a:graphic>
            <wp14:sizeRelH relativeFrom="margin">
              <wp14:pctWidth>0</wp14:pctWidth>
            </wp14:sizeRelH>
            <wp14:sizeRelV relativeFrom="margin">
              <wp14:pctHeight>0</wp14:pctHeight>
            </wp14:sizeRelV>
          </wp:anchor>
        </w:drawing>
      </w:r>
      <w:r w:rsidR="005E1B27">
        <w:t>O</w:t>
      </w:r>
      <w:r w:rsidR="002866B4">
        <w:t>verview of Part C</w:t>
      </w:r>
      <w:bookmarkEnd w:id="177"/>
    </w:p>
    <w:p w14:paraId="5511BFBF" w14:textId="0486368D" w:rsidR="003F6EFE" w:rsidRDefault="005E1B27">
      <w:pPr>
        <w:jc w:val="left"/>
      </w:pPr>
      <w:r>
        <w:t xml:space="preserve">This Part </w:t>
      </w:r>
      <w:r w:rsidR="003F6EFE">
        <w:t xml:space="preserve">sets out the findings relating to the IAHP. </w:t>
      </w:r>
      <w:r w:rsidR="00C54977">
        <w:t xml:space="preserve">Part C </w:t>
      </w:r>
      <w:r w:rsidR="003F6EFE">
        <w:t>includes the following sections</w:t>
      </w:r>
      <w:r w:rsidR="00774295">
        <w:t xml:space="preserve">, which are structured by </w:t>
      </w:r>
      <w:r w:rsidR="001229E0">
        <w:t>KEQs 1-4</w:t>
      </w:r>
      <w:r w:rsidR="003F6EFE">
        <w:t>:</w:t>
      </w:r>
    </w:p>
    <w:p w14:paraId="03BA6948" w14:textId="003FAFDA" w:rsidR="003F6EFE" w:rsidRDefault="00574448" w:rsidP="003B3C05">
      <w:pPr>
        <w:numPr>
          <w:ilvl w:val="0"/>
          <w:numId w:val="19"/>
        </w:numPr>
        <w:spacing w:after="120"/>
      </w:pPr>
      <w:r w:rsidRPr="00021289">
        <w:rPr>
          <w:b/>
          <w:bCs/>
        </w:rPr>
        <w:t xml:space="preserve">Section </w:t>
      </w:r>
      <w:r w:rsidR="00205236">
        <w:rPr>
          <w:b/>
          <w:bCs/>
        </w:rPr>
        <w:t>6</w:t>
      </w:r>
      <w:r>
        <w:t xml:space="preserve"> – </w:t>
      </w:r>
      <w:r w:rsidRPr="00BD7BAF">
        <w:rPr>
          <w:b/>
          <w:bCs/>
        </w:rPr>
        <w:t>How well is the IAHP enabling the PHC system to work for Aboriginal and Torres Strait Islander people</w:t>
      </w:r>
      <w:r w:rsidR="00EB75A0" w:rsidRPr="00BD7BAF">
        <w:rPr>
          <w:b/>
          <w:bCs/>
        </w:rPr>
        <w:t>?</w:t>
      </w:r>
      <w:r w:rsidR="007242AA">
        <w:rPr>
          <w:b/>
          <w:bCs/>
        </w:rPr>
        <w:t xml:space="preserve"> </w:t>
      </w:r>
      <w:r w:rsidR="00F02DFC">
        <w:t>ex</w:t>
      </w:r>
      <w:r w:rsidR="00E80361" w:rsidRPr="00E80361">
        <w:t xml:space="preserve">amines how well the IAHP enables the delivery of comprehensive </w:t>
      </w:r>
      <w:r w:rsidR="003279C5">
        <w:t>PHC</w:t>
      </w:r>
      <w:r w:rsidR="00E80361" w:rsidRPr="00E80361">
        <w:t xml:space="preserve"> to Aboriginal and Torres Strait Islander people. It outlines the contribution of the IAHP to access and navigation within the </w:t>
      </w:r>
      <w:r w:rsidR="003279C5">
        <w:t>PHC</w:t>
      </w:r>
      <w:r w:rsidR="00E80361" w:rsidRPr="00E80361">
        <w:t xml:space="preserve"> system, and it identifies gaps in the coverage of primary care services</w:t>
      </w:r>
      <w:r w:rsidR="004613D2">
        <w:t xml:space="preserve">. </w:t>
      </w:r>
    </w:p>
    <w:p w14:paraId="38B6F0D7" w14:textId="6F0A3DC5" w:rsidR="00C54977" w:rsidRDefault="00C54977" w:rsidP="003B3C05">
      <w:pPr>
        <w:numPr>
          <w:ilvl w:val="0"/>
          <w:numId w:val="19"/>
        </w:numPr>
        <w:spacing w:after="120"/>
      </w:pPr>
      <w:r w:rsidRPr="00021289">
        <w:rPr>
          <w:b/>
          <w:bCs/>
        </w:rPr>
        <w:t xml:space="preserve">Section </w:t>
      </w:r>
      <w:r w:rsidR="00095C6C">
        <w:rPr>
          <w:b/>
          <w:bCs/>
        </w:rPr>
        <w:t>7</w:t>
      </w:r>
      <w:r>
        <w:t xml:space="preserve"> </w:t>
      </w:r>
      <w:r w:rsidR="00EB75A0">
        <w:t xml:space="preserve">– </w:t>
      </w:r>
      <w:r w:rsidR="00EB75A0" w:rsidRPr="00BD7BAF">
        <w:rPr>
          <w:b/>
          <w:bCs/>
        </w:rPr>
        <w:t>What difference is the IAHP making to the PHC system?</w:t>
      </w:r>
      <w:r w:rsidR="004613D2">
        <w:rPr>
          <w:b/>
          <w:bCs/>
        </w:rPr>
        <w:t xml:space="preserve"> </w:t>
      </w:r>
      <w:r w:rsidR="000F76C9">
        <w:t xml:space="preserve">situates the </w:t>
      </w:r>
      <w:r w:rsidR="004613D2">
        <w:t>IAHP within the</w:t>
      </w:r>
      <w:r w:rsidR="000F76C9">
        <w:t xml:space="preserve"> broader PHC system </w:t>
      </w:r>
      <w:r w:rsidR="00F02DFC">
        <w:t xml:space="preserve">and </w:t>
      </w:r>
      <w:r w:rsidR="00CB2E75" w:rsidRPr="00CB2E75">
        <w:t>examines how the IAHP interacts with the broader health system, considering key health system levers including funding, workforce, governance and leadership, and knowledge and information</w:t>
      </w:r>
      <w:r w:rsidR="00511193">
        <w:t>.</w:t>
      </w:r>
      <w:r w:rsidR="000F1A34">
        <w:t xml:space="preserve"> </w:t>
      </w:r>
    </w:p>
    <w:p w14:paraId="03A1B51E" w14:textId="7A9F3BBD" w:rsidR="00D841DE" w:rsidRDefault="00D841DE" w:rsidP="003B3C05">
      <w:pPr>
        <w:numPr>
          <w:ilvl w:val="0"/>
          <w:numId w:val="19"/>
        </w:numPr>
        <w:spacing w:after="120"/>
      </w:pPr>
      <w:r w:rsidRPr="00021289">
        <w:rPr>
          <w:b/>
          <w:bCs/>
        </w:rPr>
        <w:t xml:space="preserve">Section </w:t>
      </w:r>
      <w:r w:rsidR="00095C6C">
        <w:rPr>
          <w:b/>
          <w:bCs/>
        </w:rPr>
        <w:t>8</w:t>
      </w:r>
      <w:r>
        <w:t xml:space="preserve"> – </w:t>
      </w:r>
      <w:r w:rsidRPr="003235A4">
        <w:rPr>
          <w:b/>
          <w:bCs/>
        </w:rPr>
        <w:t>What difference is the IAHP making to health and wellbeing?</w:t>
      </w:r>
      <w:r w:rsidR="000F1A34">
        <w:rPr>
          <w:b/>
          <w:bCs/>
        </w:rPr>
        <w:t xml:space="preserve"> </w:t>
      </w:r>
      <w:r w:rsidR="000F1A34">
        <w:t>sets out</w:t>
      </w:r>
      <w:r w:rsidR="00E86752">
        <w:t xml:space="preserve"> findings from the </w:t>
      </w:r>
      <w:r w:rsidR="000F1A34">
        <w:t xml:space="preserve">analysis of key health datasets to assist </w:t>
      </w:r>
      <w:r w:rsidR="00585E88">
        <w:t>in</w:t>
      </w:r>
      <w:r w:rsidR="000F1A34">
        <w:t xml:space="preserve"> understand</w:t>
      </w:r>
      <w:r w:rsidR="00585E88">
        <w:t>ing</w:t>
      </w:r>
      <w:r w:rsidR="000F1A34">
        <w:t xml:space="preserve"> the contribution of</w:t>
      </w:r>
      <w:r w:rsidR="00585E88">
        <w:t xml:space="preserve"> the</w:t>
      </w:r>
      <w:r w:rsidR="000F1A34">
        <w:t xml:space="preserve"> IAHP to health and wellbeing outcomes</w:t>
      </w:r>
      <w:r w:rsidR="006E6BB4">
        <w:t xml:space="preserve"> for Aboriginal and Torres Strait Islander people</w:t>
      </w:r>
      <w:r w:rsidR="000F1A34">
        <w:t xml:space="preserve">. </w:t>
      </w:r>
    </w:p>
    <w:p w14:paraId="06FF89CE" w14:textId="0032C931" w:rsidR="00D841DE" w:rsidRDefault="00D841DE" w:rsidP="003B3C05">
      <w:pPr>
        <w:numPr>
          <w:ilvl w:val="0"/>
          <w:numId w:val="19"/>
        </w:numPr>
        <w:spacing w:after="120"/>
      </w:pPr>
      <w:r w:rsidRPr="00021289">
        <w:rPr>
          <w:b/>
          <w:bCs/>
        </w:rPr>
        <w:t xml:space="preserve">Section </w:t>
      </w:r>
      <w:r w:rsidR="00095C6C">
        <w:rPr>
          <w:b/>
          <w:bCs/>
        </w:rPr>
        <w:t>9</w:t>
      </w:r>
      <w:r w:rsidR="00585E88">
        <w:rPr>
          <w:b/>
          <w:bCs/>
        </w:rPr>
        <w:t xml:space="preserve"> –</w:t>
      </w:r>
      <w:r w:rsidRPr="008D2796">
        <w:rPr>
          <w:b/>
          <w:bCs/>
        </w:rPr>
        <w:t xml:space="preserve"> What</w:t>
      </w:r>
      <w:r w:rsidR="00585E88">
        <w:rPr>
          <w:b/>
          <w:bCs/>
        </w:rPr>
        <w:t xml:space="preserve"> </w:t>
      </w:r>
      <w:r w:rsidRPr="008D2796">
        <w:rPr>
          <w:b/>
          <w:bCs/>
        </w:rPr>
        <w:t>needs to change and improve?</w:t>
      </w:r>
      <w:r>
        <w:t xml:space="preserve"> </w:t>
      </w:r>
      <w:r w:rsidR="00A67BE8">
        <w:t>o</w:t>
      </w:r>
      <w:r w:rsidR="006E6BB4">
        <w:t>utlines the key opportunities identified by participants in the evaluation to accelerate progress towards improved health and wellbeing outcomes for Aboriginal and Torres Strait Islander people</w:t>
      </w:r>
      <w:r w:rsidR="00A67BE8">
        <w:t>.</w:t>
      </w:r>
      <w:r w:rsidR="006E6BB4">
        <w:t xml:space="preserve"> </w:t>
      </w:r>
    </w:p>
    <w:p w14:paraId="138E3493" w14:textId="77777777" w:rsidR="00DD02AB" w:rsidRDefault="00DD02AB" w:rsidP="00DD02AB">
      <w:pPr>
        <w:pStyle w:val="Bullet1"/>
        <w:ind w:firstLine="0"/>
        <w:sectPr w:rsidR="00DD02AB">
          <w:headerReference w:type="even" r:id="rId111"/>
          <w:headerReference w:type="default" r:id="rId112"/>
          <w:footerReference w:type="default" r:id="rId113"/>
          <w:headerReference w:type="first" r:id="rId114"/>
          <w:pgSz w:w="11906" w:h="16838"/>
          <w:pgMar w:top="1440" w:right="1440" w:bottom="1440" w:left="1440" w:header="709" w:footer="709" w:gutter="0"/>
          <w:cols w:space="708"/>
          <w:docGrid w:linePitch="360"/>
        </w:sectPr>
      </w:pPr>
    </w:p>
    <w:p w14:paraId="7E89B619" w14:textId="5FAD6FB7" w:rsidR="007B254E" w:rsidRPr="00884FAA" w:rsidRDefault="007B254E" w:rsidP="003D4A7C">
      <w:pPr>
        <w:pStyle w:val="Heading1"/>
      </w:pPr>
      <w:bookmarkStart w:id="178" w:name="_Toc137208920"/>
      <w:r w:rsidRPr="00884FAA">
        <w:lastRenderedPageBreak/>
        <w:t xml:space="preserve">How </w:t>
      </w:r>
      <w:r w:rsidR="00377727" w:rsidRPr="00884FAA">
        <w:t xml:space="preserve">well </w:t>
      </w:r>
      <w:r w:rsidRPr="00884FAA">
        <w:t xml:space="preserve">is the IAHP </w:t>
      </w:r>
      <w:r w:rsidR="007D3D42" w:rsidRPr="00884FAA">
        <w:t xml:space="preserve">enabling </w:t>
      </w:r>
      <w:r w:rsidR="00CB656F" w:rsidRPr="00884FAA">
        <w:t xml:space="preserve">the PHC system to work for </w:t>
      </w:r>
      <w:r w:rsidR="003640E0" w:rsidRPr="00884FAA">
        <w:t>A</w:t>
      </w:r>
      <w:r w:rsidR="00FB5529" w:rsidRPr="00884FAA">
        <w:t xml:space="preserve">boriginal and </w:t>
      </w:r>
      <w:r w:rsidR="003640E0" w:rsidRPr="00884FAA">
        <w:t>T</w:t>
      </w:r>
      <w:r w:rsidR="00FB5529" w:rsidRPr="00884FAA">
        <w:t xml:space="preserve">orres </w:t>
      </w:r>
      <w:r w:rsidR="003640E0" w:rsidRPr="00884FAA">
        <w:t>S</w:t>
      </w:r>
      <w:r w:rsidR="00FB5529" w:rsidRPr="00884FAA">
        <w:t>trait Islander people</w:t>
      </w:r>
      <w:r w:rsidR="000E630A" w:rsidRPr="00884FAA">
        <w:t>?</w:t>
      </w:r>
      <w:r w:rsidR="005B7F2A" w:rsidRPr="005B7F2A">
        <w:rPr>
          <w:noProof/>
        </w:rPr>
        <w:t xml:space="preserve"> </w:t>
      </w:r>
      <w:bookmarkEnd w:id="178"/>
    </w:p>
    <w:tbl>
      <w:tblPr>
        <w:tblW w:w="0" w:type="auto"/>
        <w:tblCellMar>
          <w:top w:w="57" w:type="dxa"/>
          <w:bottom w:w="57" w:type="dxa"/>
        </w:tblCellMar>
        <w:tblLook w:val="0000" w:firstRow="0" w:lastRow="0" w:firstColumn="0" w:lastColumn="0" w:noHBand="0" w:noVBand="0"/>
      </w:tblPr>
      <w:tblGrid>
        <w:gridCol w:w="988"/>
        <w:gridCol w:w="8028"/>
      </w:tblGrid>
      <w:tr w:rsidR="00FC14D6" w14:paraId="65CD35AA" w14:textId="77777777" w:rsidTr="005B7F2A">
        <w:tc>
          <w:tcPr>
            <w:tcW w:w="9016" w:type="dxa"/>
            <w:gridSpan w:val="2"/>
            <w:shd w:val="clear" w:color="auto" w:fill="auto"/>
          </w:tcPr>
          <w:p w14:paraId="4F936D19" w14:textId="174A91EE" w:rsidR="00FC14D6" w:rsidRPr="00F435B9" w:rsidRDefault="00FC14D6" w:rsidP="005154E1">
            <w:pPr>
              <w:pStyle w:val="Heading6"/>
              <w:numPr>
                <w:ilvl w:val="0"/>
                <w:numId w:val="0"/>
              </w:numPr>
            </w:pPr>
            <w:bookmarkStart w:id="179" w:name="_Toc131415182"/>
            <w:bookmarkStart w:id="180" w:name="_Toc131490337"/>
            <w:bookmarkEnd w:id="179"/>
            <w:bookmarkEnd w:id="180"/>
            <w:r w:rsidRPr="00BF7AD4">
              <w:rPr>
                <w:color w:val="000000"/>
              </w:rPr>
              <w:t>Key findings</w:t>
            </w:r>
          </w:p>
        </w:tc>
      </w:tr>
      <w:tr w:rsidR="00FC14D6" w14:paraId="7C9B3F58" w14:textId="77777777" w:rsidTr="005B7F2A">
        <w:tc>
          <w:tcPr>
            <w:tcW w:w="988" w:type="dxa"/>
            <w:shd w:val="clear" w:color="auto" w:fill="auto"/>
            <w:vAlign w:val="center"/>
          </w:tcPr>
          <w:p w14:paraId="0C90B5F2" w14:textId="77777777" w:rsidR="00FC14D6" w:rsidRPr="00F435B9" w:rsidRDefault="00FC14D6">
            <w:pPr>
              <w:pStyle w:val="Bullet1"/>
              <w:spacing w:before="80" w:after="80" w:line="240" w:lineRule="auto"/>
              <w:ind w:left="0" w:firstLine="0"/>
              <w:jc w:val="center"/>
              <w:rPr>
                <w:rFonts w:ascii="Calibri" w:hAnsi="Calibri" w:cs="Calibri"/>
                <w:b/>
                <w:bCs/>
                <w:sz w:val="56"/>
                <w:szCs w:val="56"/>
              </w:rPr>
            </w:pPr>
            <w:r w:rsidRPr="00F435B9">
              <w:rPr>
                <w:rFonts w:ascii="Calibri" w:hAnsi="Calibri" w:cs="Calibri"/>
                <w:b/>
                <w:bCs/>
                <w:sz w:val="56"/>
                <w:szCs w:val="56"/>
              </w:rPr>
              <w:t>1</w:t>
            </w:r>
          </w:p>
        </w:tc>
        <w:tc>
          <w:tcPr>
            <w:tcW w:w="8028" w:type="dxa"/>
            <w:shd w:val="clear" w:color="auto" w:fill="auto"/>
          </w:tcPr>
          <w:p w14:paraId="26A0A9B5" w14:textId="77777777" w:rsidR="00FC14D6" w:rsidRDefault="00FC14D6">
            <w:pPr>
              <w:pStyle w:val="Bullet1"/>
              <w:spacing w:before="80" w:after="80" w:line="240" w:lineRule="auto"/>
              <w:ind w:left="0" w:firstLine="0"/>
              <w:jc w:val="left"/>
            </w:pPr>
            <w:r w:rsidRPr="00A658AE">
              <w:t>The IAHP directly contributes to people being able to access and navigate the health system. The ITC program, in particular, has a positive effect on health care access and navigation for eligible people who are able to access support. The evaluation concludes that there is an opportunity to scale the ITC program by widening eligibility.</w:t>
            </w:r>
          </w:p>
        </w:tc>
      </w:tr>
      <w:tr w:rsidR="00FC14D6" w14:paraId="5F190FF6" w14:textId="77777777" w:rsidTr="005B7F2A">
        <w:tc>
          <w:tcPr>
            <w:tcW w:w="988" w:type="dxa"/>
            <w:shd w:val="clear" w:color="auto" w:fill="auto"/>
            <w:vAlign w:val="center"/>
          </w:tcPr>
          <w:p w14:paraId="6ADA14D1" w14:textId="77777777" w:rsidR="00FC14D6" w:rsidRPr="00F435B9" w:rsidRDefault="00FC14D6">
            <w:pPr>
              <w:pStyle w:val="Bullet1"/>
              <w:spacing w:before="80" w:after="80" w:line="240" w:lineRule="auto"/>
              <w:ind w:left="0" w:firstLine="0"/>
              <w:jc w:val="center"/>
              <w:rPr>
                <w:rFonts w:ascii="Calibri" w:hAnsi="Calibri" w:cs="Calibri"/>
                <w:b/>
                <w:bCs/>
                <w:sz w:val="56"/>
                <w:szCs w:val="56"/>
              </w:rPr>
            </w:pPr>
            <w:r w:rsidRPr="00F435B9">
              <w:rPr>
                <w:rFonts w:ascii="Calibri" w:hAnsi="Calibri" w:cs="Calibri"/>
                <w:b/>
                <w:bCs/>
                <w:sz w:val="56"/>
                <w:szCs w:val="56"/>
              </w:rPr>
              <w:t>2</w:t>
            </w:r>
          </w:p>
        </w:tc>
        <w:tc>
          <w:tcPr>
            <w:tcW w:w="8028" w:type="dxa"/>
            <w:shd w:val="clear" w:color="auto" w:fill="auto"/>
          </w:tcPr>
          <w:p w14:paraId="4B5D8DE3" w14:textId="77777777" w:rsidR="00FC14D6" w:rsidRPr="00A658AE" w:rsidRDefault="00FC14D6">
            <w:pPr>
              <w:pStyle w:val="Bullet1"/>
              <w:spacing w:before="80" w:after="80" w:line="240" w:lineRule="auto"/>
              <w:ind w:left="0" w:firstLine="0"/>
              <w:jc w:val="left"/>
            </w:pPr>
            <w:r w:rsidRPr="00A658AE">
              <w:t>While the IAHP funding intends to enable access to a holistic models of primary health care that meet the needs of Aboriginal and Torres Strait Islander people, the funding provided through the IAHP is mostly applied</w:t>
            </w:r>
            <w:r>
              <w:t xml:space="preserve"> by ACCHSs</w:t>
            </w:r>
            <w:r w:rsidRPr="00A658AE">
              <w:t xml:space="preserve"> to the delivery of clinical services. This largely reflects the high demand for clinical services coupled with limited resources</w:t>
            </w:r>
            <w:r>
              <w:t xml:space="preserve"> to deliver health promotion and prevention activities outside of clinical services</w:t>
            </w:r>
            <w:r w:rsidRPr="00A658AE">
              <w:t xml:space="preserve">. </w:t>
            </w:r>
          </w:p>
        </w:tc>
      </w:tr>
      <w:tr w:rsidR="00FC14D6" w14:paraId="65F2EC40" w14:textId="77777777" w:rsidTr="005B7F2A">
        <w:tc>
          <w:tcPr>
            <w:tcW w:w="988" w:type="dxa"/>
            <w:shd w:val="clear" w:color="auto" w:fill="auto"/>
            <w:vAlign w:val="center"/>
          </w:tcPr>
          <w:p w14:paraId="5F8629AE" w14:textId="77777777" w:rsidR="00FC14D6" w:rsidRPr="00F435B9" w:rsidRDefault="00FC14D6">
            <w:pPr>
              <w:pStyle w:val="Bullet1"/>
              <w:spacing w:before="80" w:after="80" w:line="240" w:lineRule="auto"/>
              <w:ind w:left="0" w:firstLine="0"/>
              <w:jc w:val="center"/>
              <w:rPr>
                <w:rFonts w:ascii="Calibri" w:hAnsi="Calibri" w:cs="Calibri"/>
                <w:b/>
                <w:bCs/>
                <w:sz w:val="56"/>
                <w:szCs w:val="56"/>
              </w:rPr>
            </w:pPr>
            <w:r w:rsidRPr="00F435B9">
              <w:rPr>
                <w:rFonts w:ascii="Calibri" w:hAnsi="Calibri" w:cs="Calibri"/>
                <w:b/>
                <w:bCs/>
                <w:sz w:val="56"/>
                <w:szCs w:val="56"/>
              </w:rPr>
              <w:t>3</w:t>
            </w:r>
          </w:p>
        </w:tc>
        <w:tc>
          <w:tcPr>
            <w:tcW w:w="8028" w:type="dxa"/>
            <w:shd w:val="clear" w:color="auto" w:fill="auto"/>
          </w:tcPr>
          <w:p w14:paraId="38F9E5D5" w14:textId="77777777" w:rsidR="00FC14D6" w:rsidRPr="00A658AE" w:rsidRDefault="00FC14D6">
            <w:pPr>
              <w:pStyle w:val="Bullet1"/>
              <w:spacing w:before="80" w:after="80" w:line="240" w:lineRule="auto"/>
              <w:ind w:left="0" w:firstLine="0"/>
              <w:jc w:val="left"/>
            </w:pPr>
            <w:r w:rsidRPr="00A658AE">
              <w:t xml:space="preserve">In efforts to provide wrap-around support to clients through a comprehensive suite of services, ACCHSs work creatively to access multiple funding streams </w:t>
            </w:r>
            <w:r>
              <w:t xml:space="preserve">in addition to the IAHP </w:t>
            </w:r>
            <w:r w:rsidRPr="00A658AE">
              <w:t xml:space="preserve">and to build connections with other services to coordinate people’s care. In doing this, ACCHSs work against </w:t>
            </w:r>
            <w:r>
              <w:t xml:space="preserve">general health care </w:t>
            </w:r>
            <w:r w:rsidRPr="00A658AE">
              <w:t>funding constraints – including insufficient funding, and fragmented funding systems and programs – and broader system barriers to the delivery of holistic care, including the availability and accessibility of referral services, and a lack of a systematic approach to the coordination and integration of care across the health system.</w:t>
            </w:r>
          </w:p>
        </w:tc>
      </w:tr>
      <w:tr w:rsidR="00FC14D6" w14:paraId="7DCA1FB9" w14:textId="77777777" w:rsidTr="005B7F2A">
        <w:tc>
          <w:tcPr>
            <w:tcW w:w="988" w:type="dxa"/>
            <w:shd w:val="clear" w:color="auto" w:fill="auto"/>
            <w:vAlign w:val="center"/>
          </w:tcPr>
          <w:p w14:paraId="335E4538" w14:textId="77777777" w:rsidR="00FC14D6" w:rsidRPr="00F435B9" w:rsidRDefault="00FC14D6">
            <w:pPr>
              <w:pStyle w:val="Bullet1"/>
              <w:spacing w:before="80" w:after="80" w:line="240" w:lineRule="auto"/>
              <w:ind w:left="0" w:firstLine="0"/>
              <w:jc w:val="center"/>
              <w:rPr>
                <w:rFonts w:ascii="Calibri" w:hAnsi="Calibri" w:cs="Calibri"/>
                <w:b/>
                <w:bCs/>
                <w:sz w:val="56"/>
                <w:szCs w:val="56"/>
              </w:rPr>
            </w:pPr>
            <w:r w:rsidRPr="00F435B9">
              <w:rPr>
                <w:rFonts w:ascii="Calibri" w:hAnsi="Calibri" w:cs="Calibri"/>
                <w:b/>
                <w:bCs/>
                <w:sz w:val="56"/>
                <w:szCs w:val="56"/>
              </w:rPr>
              <w:t>4</w:t>
            </w:r>
          </w:p>
        </w:tc>
        <w:tc>
          <w:tcPr>
            <w:tcW w:w="8028" w:type="dxa"/>
            <w:shd w:val="clear" w:color="auto" w:fill="auto"/>
          </w:tcPr>
          <w:p w14:paraId="42923362" w14:textId="77777777" w:rsidR="00FC14D6" w:rsidRPr="00A658AE" w:rsidRDefault="00FC14D6">
            <w:pPr>
              <w:pStyle w:val="Bullet1"/>
              <w:spacing w:before="80" w:after="80" w:line="240" w:lineRule="auto"/>
              <w:ind w:left="0" w:firstLine="0"/>
              <w:jc w:val="left"/>
            </w:pPr>
            <w:r w:rsidRPr="00A658AE">
              <w:t>The way that</w:t>
            </w:r>
            <w:r>
              <w:t xml:space="preserve"> the</w:t>
            </w:r>
            <w:r w:rsidRPr="00A658AE">
              <w:t xml:space="preserve"> IAHP </w:t>
            </w:r>
            <w:r>
              <w:t xml:space="preserve">is implemented </w:t>
            </w:r>
            <w:r w:rsidRPr="00A658AE">
              <w:t>does not always align with the philosophy and practice of Aboriginal and Torres Strait Islander community control. For example, ACCHSs’ relational nature of care and deep care and commitment to the wider community is not adequately valued; and autonomy and self-determination are limited by the centrally-prescribed and rigid nature of some programs</w:t>
            </w:r>
            <w:r>
              <w:t xml:space="preserve"> that have been designed to be delivered in a specific way</w:t>
            </w:r>
            <w:r w:rsidRPr="00A658AE">
              <w:t xml:space="preserve">. The PHC </w:t>
            </w:r>
            <w:r>
              <w:t>Program</w:t>
            </w:r>
            <w:r w:rsidRPr="001C40C0">
              <w:t xml:space="preserve"> </w:t>
            </w:r>
            <w:r w:rsidRPr="00A658AE">
              <w:t>is an exception and the flexibility and stability in this program is highly valued by ACCHSs.</w:t>
            </w:r>
            <w:r>
              <w:t xml:space="preserve"> </w:t>
            </w:r>
          </w:p>
        </w:tc>
      </w:tr>
      <w:tr w:rsidR="00FC14D6" w14:paraId="21F07EEA" w14:textId="77777777" w:rsidTr="005B7F2A">
        <w:tc>
          <w:tcPr>
            <w:tcW w:w="988" w:type="dxa"/>
            <w:shd w:val="clear" w:color="auto" w:fill="auto"/>
            <w:vAlign w:val="center"/>
          </w:tcPr>
          <w:p w14:paraId="4E2FF657" w14:textId="77777777" w:rsidR="00FC14D6" w:rsidRPr="00F435B9" w:rsidRDefault="00FC14D6">
            <w:pPr>
              <w:pStyle w:val="Bullet1"/>
              <w:spacing w:before="80" w:after="80" w:line="240" w:lineRule="auto"/>
              <w:ind w:left="0" w:firstLine="0"/>
              <w:jc w:val="center"/>
              <w:rPr>
                <w:rFonts w:ascii="Calibri" w:hAnsi="Calibri" w:cs="Calibri"/>
                <w:b/>
                <w:bCs/>
                <w:sz w:val="56"/>
                <w:szCs w:val="56"/>
              </w:rPr>
            </w:pPr>
            <w:r w:rsidRPr="00F435B9">
              <w:rPr>
                <w:rFonts w:ascii="Calibri" w:hAnsi="Calibri" w:cs="Calibri"/>
                <w:b/>
                <w:bCs/>
                <w:sz w:val="56"/>
                <w:szCs w:val="56"/>
              </w:rPr>
              <w:t>5</w:t>
            </w:r>
          </w:p>
        </w:tc>
        <w:tc>
          <w:tcPr>
            <w:tcW w:w="8028" w:type="dxa"/>
            <w:shd w:val="clear" w:color="auto" w:fill="auto"/>
          </w:tcPr>
          <w:p w14:paraId="210A4472" w14:textId="77777777" w:rsidR="00FC14D6" w:rsidRPr="00A658AE" w:rsidRDefault="00FC14D6">
            <w:pPr>
              <w:pStyle w:val="Bullet1"/>
              <w:spacing w:before="80" w:after="80" w:line="240" w:lineRule="auto"/>
              <w:ind w:left="0" w:firstLine="0"/>
              <w:jc w:val="left"/>
            </w:pPr>
            <w:r w:rsidRPr="00A658AE">
              <w:t>While the IAHP makes a significant contribution to the delivery of primary health care services to Aboriginal and Torres Strait Islander people, there are significant unmet needs across the system. The main gaps identified relate to the accessibility of primary health services. This includes gaps for vulnerable population groups, including transient populations, people experiencing incarceration, and people requiring mental health support. Meeting the needs of young people was also found to be a significant gap.</w:t>
            </w:r>
          </w:p>
        </w:tc>
      </w:tr>
    </w:tbl>
    <w:p w14:paraId="26D53EBE" w14:textId="128F83DF" w:rsidR="008419BC" w:rsidRDefault="008419BC" w:rsidP="0035030F">
      <w:pPr>
        <w:pStyle w:val="Heading2"/>
      </w:pPr>
      <w:bookmarkStart w:id="181" w:name="_Toc137208921"/>
      <w:r>
        <w:lastRenderedPageBreak/>
        <w:t>Overview</w:t>
      </w:r>
      <w:bookmarkEnd w:id="181"/>
    </w:p>
    <w:p w14:paraId="53DA6B35" w14:textId="01408A5A" w:rsidR="00735D32" w:rsidRPr="001D7A4A" w:rsidRDefault="0048532A" w:rsidP="00735D32">
      <w:r w:rsidRPr="00A55751">
        <w:rPr>
          <w:szCs w:val="21"/>
        </w:rPr>
        <w:t xml:space="preserve">This section considers how well the IAHP is enabling the </w:t>
      </w:r>
      <w:r w:rsidR="003279C5">
        <w:rPr>
          <w:szCs w:val="21"/>
        </w:rPr>
        <w:t>PHC</w:t>
      </w:r>
      <w:r w:rsidRPr="00A55751">
        <w:rPr>
          <w:szCs w:val="21"/>
        </w:rPr>
        <w:t xml:space="preserve"> system to work for Aboriginal and Torres Strait Islander people (KEQ1). </w:t>
      </w:r>
      <w:r w:rsidR="00735D32" w:rsidRPr="001D7A4A">
        <w:t xml:space="preserve">By asking </w:t>
      </w:r>
      <w:r w:rsidR="00735D32" w:rsidRPr="001D7A4A">
        <w:rPr>
          <w:i/>
          <w:iCs/>
        </w:rPr>
        <w:t>how well</w:t>
      </w:r>
      <w:r w:rsidR="00735D32" w:rsidRPr="001D7A4A">
        <w:t xml:space="preserve"> the IAHP is enabling the system to work, KEQ1 is explicitly evaluative. The core of the question is how the IAHP, as a program, </w:t>
      </w:r>
      <w:r w:rsidR="00735D32" w:rsidRPr="001D7A4A">
        <w:rPr>
          <w:i/>
          <w:iCs/>
        </w:rPr>
        <w:t>enables</w:t>
      </w:r>
      <w:r w:rsidR="00735D32" w:rsidRPr="001D7A4A">
        <w:t xml:space="preserve">, or makes it possible, for the PHC system to work. The question, therefore, requires an understanding of how the IAHP interacts with the broader PHC system. Critically, the question is about the PHC system working </w:t>
      </w:r>
      <w:r w:rsidR="00735D32" w:rsidRPr="001D7A4A">
        <w:rPr>
          <w:i/>
          <w:iCs/>
        </w:rPr>
        <w:t>for Aboriginal and Torres Strait Islander people.</w:t>
      </w:r>
      <w:r w:rsidR="00735D32" w:rsidRPr="001D7A4A">
        <w:t xml:space="preserve"> This requires an understanding of what is important for Aboriginal and Torres Strait Islander people in terms of a PHC </w:t>
      </w:r>
      <w:r w:rsidR="00735D32" w:rsidRPr="00876CA6">
        <w:t xml:space="preserve">system </w:t>
      </w:r>
      <w:r w:rsidR="00A25D20" w:rsidRPr="00876CA6">
        <w:t>(</w:t>
      </w:r>
      <w:r w:rsidR="00976779" w:rsidRPr="00876CA6">
        <w:t>S</w:t>
      </w:r>
      <w:r w:rsidR="00A25D20" w:rsidRPr="00876CA6">
        <w:t xml:space="preserve">ection </w:t>
      </w:r>
      <w:r w:rsidR="00876CA6" w:rsidRPr="00876CA6">
        <w:fldChar w:fldCharType="begin"/>
      </w:r>
      <w:r w:rsidR="00876CA6" w:rsidRPr="00876CA6">
        <w:instrText xml:space="preserve"> REF _Ref137154268 \r \h </w:instrText>
      </w:r>
      <w:r w:rsidR="00876CA6">
        <w:instrText xml:space="preserve"> \* MERGEFORMAT </w:instrText>
      </w:r>
      <w:r w:rsidR="00876CA6" w:rsidRPr="00876CA6">
        <w:fldChar w:fldCharType="separate"/>
      </w:r>
      <w:r w:rsidR="00165B17">
        <w:t>4</w:t>
      </w:r>
      <w:r w:rsidR="00876CA6" w:rsidRPr="00876CA6">
        <w:fldChar w:fldCharType="end"/>
      </w:r>
      <w:r w:rsidR="00876CA6" w:rsidRPr="00876CA6">
        <w:t>)</w:t>
      </w:r>
      <w:r w:rsidR="00524D5A" w:rsidRPr="00876CA6">
        <w:t xml:space="preserve"> </w:t>
      </w:r>
      <w:r w:rsidR="00735D32" w:rsidRPr="00876CA6">
        <w:t>and an understanding of their experiences of how well things are currently working</w:t>
      </w:r>
      <w:r w:rsidR="00524D5A" w:rsidRPr="00876CA6">
        <w:t xml:space="preserve"> (</w:t>
      </w:r>
      <w:r w:rsidR="00976779" w:rsidRPr="00876CA6">
        <w:t>S</w:t>
      </w:r>
      <w:r w:rsidR="00524D5A" w:rsidRPr="00876CA6">
        <w:t xml:space="preserve">ection </w:t>
      </w:r>
      <w:r w:rsidR="00876CA6" w:rsidRPr="00876CA6">
        <w:fldChar w:fldCharType="begin"/>
      </w:r>
      <w:r w:rsidR="00876CA6" w:rsidRPr="00876CA6">
        <w:instrText xml:space="preserve"> REF _Ref131605676 \r \h </w:instrText>
      </w:r>
      <w:r w:rsidR="00876CA6">
        <w:instrText xml:space="preserve"> \* MERGEFORMAT </w:instrText>
      </w:r>
      <w:r w:rsidR="00876CA6" w:rsidRPr="00876CA6">
        <w:fldChar w:fldCharType="separate"/>
      </w:r>
      <w:r w:rsidR="00165B17">
        <w:t>5</w:t>
      </w:r>
      <w:r w:rsidR="00876CA6" w:rsidRPr="00876CA6">
        <w:fldChar w:fldCharType="end"/>
      </w:r>
      <w:r w:rsidR="00524D5A" w:rsidRPr="00876CA6">
        <w:t>)</w:t>
      </w:r>
      <w:r w:rsidR="00735D32" w:rsidRPr="00876CA6">
        <w:t>.</w:t>
      </w:r>
      <w:r w:rsidR="00735D32" w:rsidRPr="001D7A4A">
        <w:t xml:space="preserve"> </w:t>
      </w:r>
    </w:p>
    <w:p w14:paraId="44898E03" w14:textId="46E9F0D6" w:rsidR="00C562F7" w:rsidRDefault="00C562F7" w:rsidP="00C562F7">
      <w:r>
        <w:t>This section covers</w:t>
      </w:r>
      <w:r w:rsidR="000A3295">
        <w:t xml:space="preserve"> how well the IAHP contributes to</w:t>
      </w:r>
      <w:r>
        <w:t>:</w:t>
      </w:r>
    </w:p>
    <w:p w14:paraId="6C19E15A" w14:textId="1B3FFA00" w:rsidR="00C562F7" w:rsidRPr="003B3C05" w:rsidRDefault="000A3295" w:rsidP="003B3C05">
      <w:pPr>
        <w:numPr>
          <w:ilvl w:val="0"/>
          <w:numId w:val="19"/>
        </w:numPr>
        <w:spacing w:after="120"/>
      </w:pPr>
      <w:r w:rsidRPr="003B3C05">
        <w:t>E</w:t>
      </w:r>
      <w:r w:rsidR="006D720D" w:rsidRPr="003B3C05">
        <w:t xml:space="preserve">nabling </w:t>
      </w:r>
      <w:r w:rsidR="00015DEB" w:rsidRPr="003B3C05">
        <w:t xml:space="preserve">holistic comprehensive PHC for Aboriginal and Torres Strait Islander people. </w:t>
      </w:r>
    </w:p>
    <w:p w14:paraId="2ED888C5" w14:textId="4787B3A3" w:rsidR="00CF07DB" w:rsidRPr="003B3C05" w:rsidRDefault="000A3295" w:rsidP="003B3C05">
      <w:pPr>
        <w:numPr>
          <w:ilvl w:val="0"/>
          <w:numId w:val="19"/>
        </w:numPr>
        <w:spacing w:after="120"/>
      </w:pPr>
      <w:r w:rsidRPr="003B3C05">
        <w:t>S</w:t>
      </w:r>
      <w:r w:rsidR="0048532A" w:rsidRPr="003B3C05">
        <w:t>upporting people to confidently access and navigate the primary care system.</w:t>
      </w:r>
    </w:p>
    <w:p w14:paraId="0FB151D5" w14:textId="2E37C35D" w:rsidR="008B0B59" w:rsidRPr="003B3C05" w:rsidRDefault="000A3295" w:rsidP="003B3C05">
      <w:pPr>
        <w:numPr>
          <w:ilvl w:val="0"/>
          <w:numId w:val="19"/>
        </w:numPr>
        <w:spacing w:after="120"/>
      </w:pPr>
      <w:r w:rsidRPr="003B3C05">
        <w:t>E</w:t>
      </w:r>
      <w:r w:rsidR="00CB74BA" w:rsidRPr="003B3C05">
        <w:t xml:space="preserve">nabling </w:t>
      </w:r>
      <w:r w:rsidR="008B0B59" w:rsidRPr="003B3C05">
        <w:t>stronger communities and a strong</w:t>
      </w:r>
      <w:r w:rsidR="00CB74BA" w:rsidRPr="003B3C05">
        <w:t>er</w:t>
      </w:r>
      <w:r w:rsidR="008B0B59" w:rsidRPr="003B3C05">
        <w:t xml:space="preserve"> community-controlled sector.</w:t>
      </w:r>
    </w:p>
    <w:p w14:paraId="34922D5B" w14:textId="570D660B" w:rsidR="009B48BA" w:rsidRPr="003B3C05" w:rsidRDefault="00B82E62" w:rsidP="003B3C05">
      <w:pPr>
        <w:numPr>
          <w:ilvl w:val="0"/>
          <w:numId w:val="19"/>
        </w:numPr>
        <w:spacing w:after="120"/>
      </w:pPr>
      <w:r w:rsidRPr="003B3C05">
        <w:t>Equitabl</w:t>
      </w:r>
      <w:r w:rsidR="00170915" w:rsidRPr="003B3C05">
        <w:t>e access to comprehensive PHC.</w:t>
      </w:r>
    </w:p>
    <w:p w14:paraId="41C6E31E" w14:textId="77777777" w:rsidR="008419BC" w:rsidRDefault="008419BC" w:rsidP="005154E1">
      <w:pPr>
        <w:pStyle w:val="Heading6"/>
        <w:numPr>
          <w:ilvl w:val="0"/>
          <w:numId w:val="0"/>
        </w:numPr>
      </w:pPr>
      <w:r>
        <w:t>Data sources and methods</w:t>
      </w:r>
    </w:p>
    <w:p w14:paraId="2408C023" w14:textId="3F7807BA" w:rsidR="003B6D73" w:rsidRDefault="003B6D73" w:rsidP="008419BC">
      <w:r w:rsidRPr="00A55751">
        <w:rPr>
          <w:szCs w:val="21"/>
        </w:rPr>
        <w:t xml:space="preserve">This section draws primarily on data generated through interviews with managers and staff from Aboriginal and Torres Strait Islander health services and PHNs across the 17 evaluation sites, and through Collective Action for Change workshops with representatives of these site partner organisations. </w:t>
      </w:r>
      <w:r w:rsidR="00492051">
        <w:rPr>
          <w:szCs w:val="21"/>
        </w:rPr>
        <w:t>It also draws on data generated through yarns with Aboriginal and Torres Strait Islander community members, and</w:t>
      </w:r>
      <w:r w:rsidRPr="00A55751">
        <w:rPr>
          <w:szCs w:val="21"/>
        </w:rPr>
        <w:t xml:space="preserve"> </w:t>
      </w:r>
      <w:r w:rsidR="00333173">
        <w:rPr>
          <w:szCs w:val="21"/>
        </w:rPr>
        <w:t xml:space="preserve">through </w:t>
      </w:r>
      <w:r w:rsidRPr="00A55751">
        <w:rPr>
          <w:szCs w:val="21"/>
        </w:rPr>
        <w:t>discussion on contribution cases that examined the contribution of the IAHP to meeting its objectives. Interviews with government and community-controlled representatives in state, territory, and national organisations have also contributed to this section.</w:t>
      </w:r>
      <w:r w:rsidR="00301444">
        <w:rPr>
          <w:szCs w:val="21"/>
        </w:rPr>
        <w:t xml:space="preserve"> Health workforce data</w:t>
      </w:r>
      <w:r w:rsidR="00180CF9">
        <w:rPr>
          <w:szCs w:val="21"/>
        </w:rPr>
        <w:t xml:space="preserve">, at the national and site level, </w:t>
      </w:r>
      <w:r w:rsidR="00C82095">
        <w:rPr>
          <w:szCs w:val="21"/>
        </w:rPr>
        <w:t>and</w:t>
      </w:r>
      <w:r w:rsidR="005942B5">
        <w:rPr>
          <w:szCs w:val="21"/>
        </w:rPr>
        <w:t xml:space="preserve"> national survey</w:t>
      </w:r>
      <w:r w:rsidR="00C82095">
        <w:rPr>
          <w:szCs w:val="21"/>
        </w:rPr>
        <w:t xml:space="preserve"> dat</w:t>
      </w:r>
      <w:r w:rsidR="005942B5">
        <w:rPr>
          <w:szCs w:val="21"/>
        </w:rPr>
        <w:t xml:space="preserve">a on health service access </w:t>
      </w:r>
      <w:r w:rsidR="005C1429">
        <w:rPr>
          <w:szCs w:val="21"/>
        </w:rPr>
        <w:t>has also informed this section.</w:t>
      </w:r>
      <w:r w:rsidR="00301444">
        <w:rPr>
          <w:szCs w:val="21"/>
        </w:rPr>
        <w:t xml:space="preserve"> </w:t>
      </w:r>
    </w:p>
    <w:p w14:paraId="5E01871D" w14:textId="6D569E64" w:rsidR="00F51873" w:rsidRDefault="008419BC" w:rsidP="008419BC">
      <w:r w:rsidRPr="00615473">
        <w:t xml:space="preserve">These data were analysed, primarily, through content and contribution analysis. </w:t>
      </w:r>
      <w:r w:rsidR="009267A1">
        <w:t xml:space="preserve">While contribution analysis </w:t>
      </w:r>
      <w:r w:rsidR="00E466D3">
        <w:t>was</w:t>
      </w:r>
      <w:r w:rsidR="00AD14D4">
        <w:t xml:space="preserve"> used to analyse data across this section, it was </w:t>
      </w:r>
      <w:r w:rsidR="00AE6CB9">
        <w:t>the primary method of analysis on</w:t>
      </w:r>
      <w:r w:rsidR="00FF36A5">
        <w:t xml:space="preserve"> the IAHP’s contribution to</w:t>
      </w:r>
      <w:r w:rsidR="00375BB4">
        <w:t xml:space="preserve"> PHC system access and navigation</w:t>
      </w:r>
      <w:r w:rsidR="00F7791D">
        <w:t xml:space="preserve"> and is discussed </w:t>
      </w:r>
      <w:r w:rsidR="00F7791D" w:rsidRPr="002A0AE5">
        <w:t xml:space="preserve">further </w:t>
      </w:r>
      <w:r w:rsidR="002A0AE5" w:rsidRPr="002A0AE5">
        <w:t xml:space="preserve">in </w:t>
      </w:r>
      <w:r w:rsidR="00F51873" w:rsidRPr="002A0AE5">
        <w:t xml:space="preserve">Section </w:t>
      </w:r>
      <w:r w:rsidR="002A0AE5" w:rsidRPr="002A0AE5">
        <w:fldChar w:fldCharType="begin"/>
      </w:r>
      <w:r w:rsidR="002A0AE5" w:rsidRPr="002A0AE5">
        <w:instrText xml:space="preserve"> REF _Ref137154456 \r \h </w:instrText>
      </w:r>
      <w:r w:rsidR="002A0AE5">
        <w:instrText xml:space="preserve"> \* MERGEFORMAT </w:instrText>
      </w:r>
      <w:r w:rsidR="002A0AE5" w:rsidRPr="002A0AE5">
        <w:fldChar w:fldCharType="separate"/>
      </w:r>
      <w:r w:rsidR="00165B17">
        <w:t>6.3</w:t>
      </w:r>
      <w:r w:rsidR="002A0AE5" w:rsidRPr="002A0AE5">
        <w:fldChar w:fldCharType="end"/>
      </w:r>
      <w:r w:rsidR="002A0AE5">
        <w:t>.</w:t>
      </w:r>
    </w:p>
    <w:p w14:paraId="272421B3" w14:textId="77777777" w:rsidR="008419BC" w:rsidRDefault="008419BC" w:rsidP="008419BC"/>
    <w:p w14:paraId="48C7FFDA" w14:textId="6D023B23" w:rsidR="00876CA6" w:rsidRDefault="00876CA6">
      <w:pPr>
        <w:jc w:val="left"/>
      </w:pPr>
      <w:r>
        <w:br w:type="page"/>
      </w:r>
    </w:p>
    <w:p w14:paraId="078082B9" w14:textId="67B61D1B" w:rsidR="00E55696" w:rsidRDefault="00E55696" w:rsidP="0035030F">
      <w:pPr>
        <w:pStyle w:val="Heading2"/>
      </w:pPr>
      <w:bookmarkStart w:id="182" w:name="_Toc137208922"/>
      <w:r w:rsidRPr="00884FAA">
        <w:lastRenderedPageBreak/>
        <w:t xml:space="preserve">Contribution of IAHP to enabling </w:t>
      </w:r>
      <w:r w:rsidR="00531D80">
        <w:t xml:space="preserve">holistic </w:t>
      </w:r>
      <w:r w:rsidRPr="00884FAA">
        <w:t>comprehensive primary health care</w:t>
      </w:r>
      <w:bookmarkEnd w:id="182"/>
    </w:p>
    <w:p w14:paraId="2FD63EC6" w14:textId="44C871D1" w:rsidR="00A64446" w:rsidRPr="00884FAA" w:rsidRDefault="00A64446" w:rsidP="00A64446">
      <w:pPr>
        <w:rPr>
          <w:noProof/>
        </w:rPr>
      </w:pPr>
      <w:r w:rsidRPr="00884FAA">
        <w:rPr>
          <w:noProof/>
        </w:rPr>
        <w:t xml:space="preserve">As </w:t>
      </w:r>
      <w:r w:rsidRPr="002A0AE5">
        <w:rPr>
          <w:noProof/>
        </w:rPr>
        <w:t xml:space="preserve">discussed in </w:t>
      </w:r>
      <w:r w:rsidRPr="002A0AE5">
        <w:t xml:space="preserve">Section </w:t>
      </w:r>
      <w:r w:rsidR="002A0AE5" w:rsidRPr="002A0AE5">
        <w:fldChar w:fldCharType="begin"/>
      </w:r>
      <w:r w:rsidR="002A0AE5" w:rsidRPr="002A0AE5">
        <w:instrText xml:space="preserve"> REF _Ref137154491 \r \h </w:instrText>
      </w:r>
      <w:r w:rsidR="002A0AE5">
        <w:instrText xml:space="preserve"> \* MERGEFORMAT </w:instrText>
      </w:r>
      <w:r w:rsidR="002A0AE5" w:rsidRPr="002A0AE5">
        <w:fldChar w:fldCharType="separate"/>
      </w:r>
      <w:r w:rsidR="00165B17">
        <w:t>4</w:t>
      </w:r>
      <w:r w:rsidR="002A0AE5" w:rsidRPr="002A0AE5">
        <w:fldChar w:fldCharType="end"/>
      </w:r>
      <w:r w:rsidRPr="002A0AE5">
        <w:rPr>
          <w:noProof/>
        </w:rPr>
        <w:t>, Aboriginal and</w:t>
      </w:r>
      <w:r w:rsidRPr="00884FAA">
        <w:rPr>
          <w:noProof/>
        </w:rPr>
        <w:t xml:space="preserve"> Torres Strait Islander people value health </w:t>
      </w:r>
      <w:r w:rsidR="00C6134E">
        <w:rPr>
          <w:noProof/>
        </w:rPr>
        <w:t xml:space="preserve">service design and delivery </w:t>
      </w:r>
      <w:r w:rsidRPr="00884FAA">
        <w:rPr>
          <w:noProof/>
        </w:rPr>
        <w:t>that:</w:t>
      </w:r>
    </w:p>
    <w:p w14:paraId="4932F1B2" w14:textId="77777777" w:rsidR="00A64446" w:rsidRPr="00325F02" w:rsidRDefault="00A64446" w:rsidP="003B3C05">
      <w:pPr>
        <w:numPr>
          <w:ilvl w:val="0"/>
          <w:numId w:val="19"/>
        </w:numPr>
        <w:spacing w:after="120"/>
      </w:pPr>
      <w:r w:rsidRPr="00325F02">
        <w:t>is place based, contextually relevant, and accessible in a broad sense</w:t>
      </w:r>
    </w:p>
    <w:p w14:paraId="426F033E" w14:textId="77777777" w:rsidR="00A64446" w:rsidRPr="00325F02" w:rsidRDefault="00A64446" w:rsidP="003B3C05">
      <w:pPr>
        <w:numPr>
          <w:ilvl w:val="0"/>
          <w:numId w:val="19"/>
        </w:numPr>
        <w:spacing w:after="120"/>
      </w:pPr>
      <w:r w:rsidRPr="00325F02">
        <w:t>is Aboriginal and Torres Strait Islander-led and connected to, and part of, the communities it serves</w:t>
      </w:r>
    </w:p>
    <w:p w14:paraId="37DC499A" w14:textId="77777777" w:rsidR="00A64446" w:rsidRPr="00325F02" w:rsidRDefault="00A64446" w:rsidP="003B3C05">
      <w:pPr>
        <w:numPr>
          <w:ilvl w:val="0"/>
          <w:numId w:val="19"/>
        </w:numPr>
        <w:spacing w:after="120"/>
      </w:pPr>
      <w:r w:rsidRPr="00325F02">
        <w:t xml:space="preserve">provides equitable funding for health care, including for the employment and development of Aboriginal and Torres Strait Islander staff </w:t>
      </w:r>
    </w:p>
    <w:p w14:paraId="190057E3" w14:textId="77777777" w:rsidR="00A64446" w:rsidRPr="00325F02" w:rsidRDefault="00A64446" w:rsidP="003B3C05">
      <w:pPr>
        <w:numPr>
          <w:ilvl w:val="0"/>
          <w:numId w:val="19"/>
        </w:numPr>
        <w:spacing w:after="120"/>
      </w:pPr>
      <w:r w:rsidRPr="00325F02">
        <w:t>treats people with kindness, understanding, and empathy in their health care interactions</w:t>
      </w:r>
    </w:p>
    <w:p w14:paraId="3D38691F" w14:textId="77777777" w:rsidR="00A64446" w:rsidRPr="00325F02" w:rsidRDefault="00A64446" w:rsidP="003B3C05">
      <w:pPr>
        <w:numPr>
          <w:ilvl w:val="0"/>
          <w:numId w:val="19"/>
        </w:numPr>
        <w:spacing w:after="120"/>
      </w:pPr>
      <w:r w:rsidRPr="00325F02">
        <w:t>treats the whole person considering people’s physical, emotional, social, and spiritual health and wellbeing needs and that of their families and communities</w:t>
      </w:r>
    </w:p>
    <w:p w14:paraId="382592F1" w14:textId="77777777" w:rsidR="00A64446" w:rsidRPr="00325F02" w:rsidRDefault="00A64446" w:rsidP="00D97545">
      <w:pPr>
        <w:numPr>
          <w:ilvl w:val="0"/>
          <w:numId w:val="19"/>
        </w:numPr>
        <w:ind w:left="714" w:hanging="357"/>
      </w:pPr>
      <w:r w:rsidRPr="00325F02">
        <w:t xml:space="preserve">provides spaces, programs, and services where individual and collective wellness is supported, provide for choice in care, cultural safety is embedded, provides for consistent programs and services and continuity of care support; connects people to the support they need; and cares for people across the life course. </w:t>
      </w:r>
    </w:p>
    <w:p w14:paraId="148308BC" w14:textId="2660AA43" w:rsidR="00A64446" w:rsidRPr="00884FAA" w:rsidRDefault="00A64446" w:rsidP="00A64446">
      <w:r w:rsidRPr="00884FAA">
        <w:t xml:space="preserve">Many ACCHS staff reported that their organisations strive to deliver comprehensive PHC aligned to </w:t>
      </w:r>
      <w:r>
        <w:t xml:space="preserve">what people value in service design and delivery. </w:t>
      </w:r>
      <w:r w:rsidRPr="00884FAA">
        <w:t xml:space="preserve">The need to </w:t>
      </w:r>
      <w:r>
        <w:t>fund</w:t>
      </w:r>
      <w:r w:rsidRPr="00884FAA">
        <w:t xml:space="preserve"> the delivery of comprehensive care that supports Aboriginal and Torres Strait Islander people with issues beyond clinical care to address social and cultural determinants of health is also recognised by the IAHP </w:t>
      </w:r>
      <w:r w:rsidR="008073AD">
        <w:t>G</w:t>
      </w:r>
      <w:r w:rsidRPr="00884FAA">
        <w:t xml:space="preserve">rant </w:t>
      </w:r>
      <w:r w:rsidR="008073AD">
        <w:t>Opportunity G</w:t>
      </w:r>
      <w:r w:rsidRPr="00884FAA">
        <w:t>uidelines issued by the department. This reflects clear recognition and understanding that the concept of health in Aboriginal and Torres Strait Islander communities differs from mainstream.</w:t>
      </w:r>
    </w:p>
    <w:p w14:paraId="01F2DE55" w14:textId="2AC8DE50" w:rsidR="00A64446" w:rsidRPr="00A1178E" w:rsidRDefault="00A64446" w:rsidP="00A64446">
      <w:pPr>
        <w:pStyle w:val="Quote"/>
        <w:rPr>
          <w:color w:val="18525E" w:themeColor="accent5" w:themeShade="80"/>
        </w:rPr>
      </w:pPr>
      <w:r w:rsidRPr="00A1178E">
        <w:rPr>
          <w:color w:val="18525E" w:themeColor="accent5" w:themeShade="80"/>
        </w:rPr>
        <w:t xml:space="preserve">It is not just about physical health and wellbeing, but also includes the social, emotional and cultural wellbeing of individuals, families and communities. This means that programs, policies and services need to move beyond physical and medical health and include the social determinants and cultural determinants of health. Social and cultural determinants of health – the conditions that people are born into and live in – affect people’s health and wellbeing </w:t>
      </w:r>
      <w:r w:rsidRPr="00A1178E">
        <w:rPr>
          <w:color w:val="18525E" w:themeColor="accent5" w:themeShade="80"/>
        </w:rPr>
        <w:fldChar w:fldCharType="begin"/>
      </w:r>
      <w:r w:rsidR="00F8760E" w:rsidRPr="00A1178E">
        <w:rPr>
          <w:color w:val="18525E" w:themeColor="accent5" w:themeShade="80"/>
        </w:rPr>
        <w:instrText xml:space="preserve"> ADDIN ZOTERO_ITEM CSL_CITATION {"citationID":"XhnnmnKG","properties":{"formattedCitation":"(Australian Department of Health, 2021c)","plainCitation":"(Australian Department of Health, 2021c)","noteIndex":0},"citationItems":[{"id":3665,"uris":["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http://zotero.org/groups/4420056/items/T9V2W42D"]]]]],"itemData":{"id":3665,"type":"webpage","abstract":"The strength of Aboriginal and Torres Strait Islander Peoples has sustained them through a history of colonisation that has affected their health. Improving the social and cultural determinants of health is a key part of work to improve health outcomes.","genre":"webpage text","language":"en","note":"publisher: Australian Government Department of Health and Aged Care","title":"Status and determinants of Aboriginal and Torres Strait Islander health","URL":"https://www.health.gov.au/topics/aboriginal-and-torres-strait-islander-health/status-and-determinants","author":[{"literal":"Australian Department of Health"}],"accessed":{"date-parts":[["2023",3,21]]},"issued":{"date-parts":[["2021",6,30]]}}}],"schema":"https://github.com/citation-style-language/schema/raw/master/csl-citation.json"} </w:instrText>
      </w:r>
      <w:r w:rsidRPr="00A1178E">
        <w:rPr>
          <w:color w:val="18525E" w:themeColor="accent5" w:themeShade="80"/>
        </w:rPr>
        <w:fldChar w:fldCharType="separate"/>
      </w:r>
      <w:r w:rsidR="00685726" w:rsidRPr="00A1178E">
        <w:rPr>
          <w:rFonts w:ascii="Arial" w:hAnsi="Arial" w:cs="Arial"/>
          <w:color w:val="18525E" w:themeColor="accent5" w:themeShade="80"/>
        </w:rPr>
        <w:t>(Australian Department of Health, 2021c)</w:t>
      </w:r>
      <w:r w:rsidRPr="00A1178E">
        <w:rPr>
          <w:color w:val="18525E" w:themeColor="accent5" w:themeShade="80"/>
        </w:rPr>
        <w:fldChar w:fldCharType="end"/>
      </w:r>
      <w:r w:rsidRPr="00A1178E">
        <w:rPr>
          <w:color w:val="18525E" w:themeColor="accent5" w:themeShade="80"/>
        </w:rPr>
        <w:t>.</w:t>
      </w:r>
    </w:p>
    <w:p w14:paraId="5D4801AC" w14:textId="605F890F" w:rsidR="00A64446" w:rsidRPr="00884FAA" w:rsidRDefault="00A64446" w:rsidP="00A64446">
      <w:r w:rsidRPr="00884FAA">
        <w:t>The evaluation findings demonstrate that there are elements of alignment between the Australian Government’s understanding of comprehensive, safe, and appropriate PHC for Aboriginal and Torres Strait Islander people and the concepts, priorities and practices that ACCHSs identify as important to the delivery of</w:t>
      </w:r>
      <w:r w:rsidR="00563A59">
        <w:t xml:space="preserve"> primary care </w:t>
      </w:r>
      <w:r>
        <w:t>in</w:t>
      </w:r>
      <w:r w:rsidRPr="00884FAA">
        <w:t xml:space="preserve"> their communities. </w:t>
      </w:r>
    </w:p>
    <w:p w14:paraId="68239B4B" w14:textId="44BA95B3" w:rsidR="00E55696" w:rsidRDefault="00A64446" w:rsidP="006A0B81">
      <w:pPr>
        <w:rPr>
          <w:noProof/>
        </w:rPr>
      </w:pPr>
      <w:r w:rsidRPr="00884FAA" w:rsidDel="00257C1B">
        <w:t xml:space="preserve">This section discusses how well the IAHP is enabling the PHC system to meet people’s holistic health needs. </w:t>
      </w:r>
      <w:r w:rsidRPr="00884FAA">
        <w:t xml:space="preserve">It was clear over the course of the evaluation </w:t>
      </w:r>
      <w:r w:rsidRPr="00884FAA" w:rsidDel="00257C1B">
        <w:t xml:space="preserve">the circumstances, practices, and challenges of service delivery vary significantly between ACCHSs and across sites.  </w:t>
      </w:r>
      <w:r w:rsidR="0072319F" w:rsidRPr="00884FAA">
        <w:rPr>
          <w:noProof/>
        </w:rPr>
        <w:t xml:space="preserve">  </w:t>
      </w:r>
    </w:p>
    <w:p w14:paraId="645F1A91" w14:textId="18C5AC87" w:rsidR="00E55696" w:rsidRPr="00884FAA" w:rsidRDefault="00E55696" w:rsidP="00651D06">
      <w:pPr>
        <w:pStyle w:val="Heading3"/>
      </w:pPr>
      <w:r w:rsidRPr="00884FAA">
        <w:lastRenderedPageBreak/>
        <w:t xml:space="preserve">Services must </w:t>
      </w:r>
      <w:r w:rsidR="00C40B3C">
        <w:t xml:space="preserve">source and combine </w:t>
      </w:r>
      <w:r w:rsidRPr="00884FAA">
        <w:t xml:space="preserve">funding </w:t>
      </w:r>
      <w:r w:rsidR="000A16EA">
        <w:t xml:space="preserve">from different programs </w:t>
      </w:r>
      <w:r w:rsidRPr="00884FAA">
        <w:t>to enable delivery of wrap-around care</w:t>
      </w:r>
    </w:p>
    <w:p w14:paraId="2F8B295C" w14:textId="0C209A28" w:rsidR="00E55696" w:rsidRPr="00A1178E" w:rsidRDefault="00E55696" w:rsidP="00941C5D">
      <w:pPr>
        <w:pStyle w:val="Quote"/>
        <w:spacing w:after="0"/>
        <w:rPr>
          <w:color w:val="18525E" w:themeColor="accent5" w:themeShade="80"/>
        </w:rPr>
      </w:pPr>
      <w:r w:rsidRPr="00A1178E">
        <w:rPr>
          <w:color w:val="18525E" w:themeColor="accent5" w:themeShade="80"/>
        </w:rPr>
        <w:t>Aboriginal services don’t treat [people like that] they treat the whole part of the Aboriginal person.</w:t>
      </w:r>
    </w:p>
    <w:p w14:paraId="114E1C94" w14:textId="262DA738" w:rsidR="00644B65" w:rsidRPr="005D5E7B" w:rsidRDefault="00644B65" w:rsidP="00644B65">
      <w:pPr>
        <w:jc w:val="right"/>
        <w:rPr>
          <w:b/>
          <w:bCs/>
        </w:rPr>
      </w:pPr>
      <w:r w:rsidRPr="005D5E7B">
        <w:rPr>
          <w:b/>
          <w:bCs/>
        </w:rPr>
        <w:t xml:space="preserve">ACCHS, </w:t>
      </w:r>
      <w:r>
        <w:rPr>
          <w:b/>
          <w:bCs/>
        </w:rPr>
        <w:t>Remote</w:t>
      </w:r>
      <w:r w:rsidRPr="005D5E7B">
        <w:rPr>
          <w:b/>
          <w:bCs/>
        </w:rPr>
        <w:t xml:space="preserve"> location </w:t>
      </w:r>
    </w:p>
    <w:p w14:paraId="69D53C99" w14:textId="32B7A8FC" w:rsidR="00D37537" w:rsidRDefault="00E55696" w:rsidP="00E55696">
      <w:r w:rsidRPr="00884FAA">
        <w:t xml:space="preserve">Throughout the site engagement activities, people told </w:t>
      </w:r>
      <w:r w:rsidR="009B70DE" w:rsidRPr="00884FAA">
        <w:t>the evaluation team</w:t>
      </w:r>
      <w:r w:rsidRPr="00884FAA">
        <w:t xml:space="preserve"> about how ACCHSs were delivering wrap-around support to clients, families</w:t>
      </w:r>
      <w:r w:rsidR="009B70DE" w:rsidRPr="00884FAA">
        <w:t>,</w:t>
      </w:r>
      <w:r w:rsidRPr="00884FAA">
        <w:t xml:space="preserve"> and communities and how this was a critical part of the ACCHS offering. </w:t>
      </w:r>
      <w:r w:rsidR="00133747">
        <w:t>Staff from many ACCHS</w:t>
      </w:r>
      <w:r w:rsidR="000328CB">
        <w:t xml:space="preserve">s discussed their organisation’s </w:t>
      </w:r>
      <w:r w:rsidR="009F512A">
        <w:t>goal to</w:t>
      </w:r>
      <w:r w:rsidRPr="00884FAA">
        <w:t xml:space="preserve"> </w:t>
      </w:r>
      <w:r w:rsidR="00326C28">
        <w:t>provide</w:t>
      </w:r>
      <w:r w:rsidR="00326C28" w:rsidRPr="00884FAA">
        <w:t xml:space="preserve"> </w:t>
      </w:r>
      <w:r w:rsidRPr="00884FAA">
        <w:t>wrap-around support through a comprehensive suite of services, such as child day care, family support, child protection</w:t>
      </w:r>
      <w:r w:rsidR="009B70DE" w:rsidRPr="00884FAA">
        <w:t>,</w:t>
      </w:r>
      <w:r w:rsidRPr="00884FAA">
        <w:t xml:space="preserve"> and housing services, alongside their core health service. Others </w:t>
      </w:r>
      <w:r w:rsidR="00231A2C">
        <w:t xml:space="preserve">ACCHS staff </w:t>
      </w:r>
      <w:r w:rsidR="00826BC6">
        <w:t xml:space="preserve">spoke about their </w:t>
      </w:r>
      <w:r w:rsidR="00A50A3C">
        <w:t>emph</w:t>
      </w:r>
      <w:r w:rsidR="00826BC6">
        <w:t xml:space="preserve">asis on </w:t>
      </w:r>
      <w:r w:rsidRPr="00884FAA">
        <w:t>buil</w:t>
      </w:r>
      <w:r w:rsidR="009B7762">
        <w:t>ding</w:t>
      </w:r>
      <w:r w:rsidRPr="00884FAA">
        <w:t xml:space="preserve"> connections with other organisations who provide these services</w:t>
      </w:r>
      <w:r w:rsidR="00356F6E">
        <w:t>, such as NDIS service</w:t>
      </w:r>
      <w:r w:rsidR="00B43156">
        <w:t xml:space="preserve"> providers</w:t>
      </w:r>
      <w:r w:rsidR="00510D09">
        <w:t>, youth mental health services and aged care facilities,</w:t>
      </w:r>
      <w:r w:rsidRPr="00884FAA">
        <w:t xml:space="preserve"> to deliver a coordinated response. </w:t>
      </w:r>
    </w:p>
    <w:p w14:paraId="0C2E75AD" w14:textId="538DF293" w:rsidR="00E55696" w:rsidRPr="00884FAA" w:rsidRDefault="00E55696" w:rsidP="00E55696">
      <w:r w:rsidRPr="00884FAA">
        <w:t xml:space="preserve">At a practical level, the way that many ACCHSs provide </w:t>
      </w:r>
      <w:r w:rsidR="00807F93" w:rsidRPr="00884FAA">
        <w:t>health care</w:t>
      </w:r>
      <w:r w:rsidRPr="00884FAA">
        <w:t xml:space="preserve"> naturally takes a whole of person approach that looks beyond medical needs to consider a person’s wider social and emotional wellbeing needs along with the needs of their family and community.</w:t>
      </w:r>
      <w:r w:rsidR="00775EB6">
        <w:t xml:space="preserve"> </w:t>
      </w:r>
      <w:r w:rsidR="00141392">
        <w:t xml:space="preserve">This was evidenced through yarns and interviews with community members about their experiences of care, as </w:t>
      </w:r>
      <w:r w:rsidR="00141392" w:rsidRPr="00991246">
        <w:t xml:space="preserve">discussed in </w:t>
      </w:r>
      <w:r w:rsidR="00775EB6" w:rsidRPr="00991246">
        <w:t xml:space="preserve">Section </w:t>
      </w:r>
      <w:r w:rsidR="00991246" w:rsidRPr="00991246">
        <w:fldChar w:fldCharType="begin"/>
      </w:r>
      <w:r w:rsidR="00991246" w:rsidRPr="00991246">
        <w:instrText xml:space="preserve"> REF _Ref131605676 \r \h </w:instrText>
      </w:r>
      <w:r w:rsidR="00991246">
        <w:instrText xml:space="preserve"> \* MERGEFORMAT </w:instrText>
      </w:r>
      <w:r w:rsidR="00991246" w:rsidRPr="00991246">
        <w:fldChar w:fldCharType="separate"/>
      </w:r>
      <w:r w:rsidR="00165B17">
        <w:t>5</w:t>
      </w:r>
      <w:r w:rsidR="00991246" w:rsidRPr="00991246">
        <w:fldChar w:fldCharType="end"/>
      </w:r>
      <w:r w:rsidR="00141392" w:rsidRPr="00991246">
        <w:t>.</w:t>
      </w:r>
    </w:p>
    <w:p w14:paraId="6D652A76" w14:textId="715A9C60" w:rsidR="00E55696" w:rsidRPr="00884FAA" w:rsidRDefault="00FF3BB9" w:rsidP="00E55696">
      <w:r>
        <w:t xml:space="preserve">Participants shared </w:t>
      </w:r>
      <w:r w:rsidR="00E55696" w:rsidRPr="00884FAA">
        <w:t>that supporting ACCHSs to provide multiple support services within one organisation enables services to minimise the need for referrals and keep clients engaged. This assists to ensure that people remain connected to services and do not fall between the cracks of services</w:t>
      </w:r>
      <w:r w:rsidR="00CA58D4">
        <w:t xml:space="preserve">, for example, </w:t>
      </w:r>
      <w:r w:rsidR="00E55696" w:rsidRPr="00884FAA">
        <w:t xml:space="preserve">if a person is required to move between a community-controlled and mainstream service to access the care they need. </w:t>
      </w:r>
    </w:p>
    <w:p w14:paraId="5D1AEF0C" w14:textId="12B6A2B5" w:rsidR="00E55696" w:rsidRPr="00A1178E" w:rsidRDefault="00E55696" w:rsidP="00941C5D">
      <w:pPr>
        <w:pStyle w:val="Quote"/>
        <w:spacing w:after="120"/>
        <w:ind w:left="562"/>
        <w:rPr>
          <w:color w:val="18525E" w:themeColor="accent5" w:themeShade="80"/>
        </w:rPr>
      </w:pPr>
      <w:r w:rsidRPr="00A1178E">
        <w:rPr>
          <w:color w:val="18525E" w:themeColor="accent5" w:themeShade="80"/>
        </w:rPr>
        <w:t>The minute they hear that you’re referring them out and you’re trying to explain to them ‘it’s because they will help with this, this and this’ and they’re thinking that you’re outing them, and then when they have one bad experience with them [mainstream providers] they come back to you and then they’ll say ‘Don’t ever…’.</w:t>
      </w:r>
    </w:p>
    <w:p w14:paraId="39A817BB" w14:textId="494DEA85" w:rsidR="00644B65" w:rsidRPr="00941C5D" w:rsidRDefault="00644B65" w:rsidP="00941C5D">
      <w:pPr>
        <w:jc w:val="right"/>
        <w:rPr>
          <w:b/>
        </w:rPr>
      </w:pPr>
      <w:r w:rsidRPr="00941C5D">
        <w:rPr>
          <w:b/>
        </w:rPr>
        <w:t xml:space="preserve">ACCHS, Metropolitan location </w:t>
      </w:r>
    </w:p>
    <w:p w14:paraId="3B37DDC2" w14:textId="360D4442" w:rsidR="00590389" w:rsidRDefault="00E55696" w:rsidP="00BF23E0">
      <w:r w:rsidRPr="00884FAA">
        <w:t xml:space="preserve">ACCHSs </w:t>
      </w:r>
      <w:r w:rsidR="00CA58D4">
        <w:t xml:space="preserve">reported </w:t>
      </w:r>
      <w:r w:rsidRPr="00884FAA">
        <w:t>work</w:t>
      </w:r>
      <w:r w:rsidR="00CA58D4">
        <w:t>ing</w:t>
      </w:r>
      <w:r w:rsidRPr="00884FAA">
        <w:t xml:space="preserve"> creatively to build connections with other services to better coordinate care. This could be anything from a formal relationship with a local hospital network to coordinate referrals and discharges, to an informal arrangement with a local store to support health and nutrition by promoting fresh fruit and vegetables and discouraging sugary</w:t>
      </w:r>
      <w:r w:rsidR="000F350E" w:rsidRPr="00884FAA">
        <w:t xml:space="preserve"> drinks</w:t>
      </w:r>
      <w:r w:rsidRPr="00884FAA">
        <w:t xml:space="preserve">. </w:t>
      </w:r>
      <w:r w:rsidR="00B0734C">
        <w:t>Some</w:t>
      </w:r>
      <w:r w:rsidR="00B0734C" w:rsidRPr="00884FAA">
        <w:t xml:space="preserve"> </w:t>
      </w:r>
      <w:r w:rsidRPr="00884FAA">
        <w:t xml:space="preserve">ACCHSs built connections with local prisons or correctional staff to ensure people were connected to health </w:t>
      </w:r>
      <w:r w:rsidR="00F91B67">
        <w:t xml:space="preserve">and social </w:t>
      </w:r>
      <w:r w:rsidRPr="00884FAA">
        <w:t>service</w:t>
      </w:r>
      <w:r w:rsidR="00F91B67">
        <w:t>s</w:t>
      </w:r>
      <w:r w:rsidRPr="00884FAA">
        <w:t xml:space="preserve"> on </w:t>
      </w:r>
      <w:r w:rsidR="00F91B67">
        <w:t xml:space="preserve">their </w:t>
      </w:r>
      <w:r w:rsidRPr="00884FAA">
        <w:t>release.</w:t>
      </w:r>
    </w:p>
    <w:p w14:paraId="34000326" w14:textId="77777777" w:rsidR="00505CD9" w:rsidRDefault="00505CD9">
      <w:pPr>
        <w:jc w:val="left"/>
      </w:pPr>
      <w:r>
        <w:br w:type="page"/>
      </w:r>
    </w:p>
    <w:p w14:paraId="68F6F2F5" w14:textId="1886F839" w:rsidR="00E55696" w:rsidRPr="00884FAA" w:rsidRDefault="002252AB" w:rsidP="00E55696">
      <w:r>
        <w:lastRenderedPageBreak/>
        <w:t xml:space="preserve">As discussed in Section </w:t>
      </w:r>
      <w:r w:rsidR="00BB19BD">
        <w:fldChar w:fldCharType="begin"/>
      </w:r>
      <w:r w:rsidR="00BB19BD">
        <w:instrText xml:space="preserve"> REF _Ref131605676 \r \h </w:instrText>
      </w:r>
      <w:r w:rsidR="00BB19BD">
        <w:fldChar w:fldCharType="separate"/>
      </w:r>
      <w:r w:rsidR="00165B17">
        <w:t>5</w:t>
      </w:r>
      <w:r w:rsidR="00BB19BD">
        <w:fldChar w:fldCharType="end"/>
      </w:r>
      <w:r w:rsidR="0037022F">
        <w:t>, based on people’s experiences of care, t</w:t>
      </w:r>
      <w:r w:rsidR="00E55696" w:rsidRPr="00884FAA">
        <w:t>aking a whole of person approach depend</w:t>
      </w:r>
      <w:r w:rsidR="00B217B4">
        <w:t>s</w:t>
      </w:r>
      <w:r w:rsidR="00E55696" w:rsidRPr="00884FAA">
        <w:t>, somewhat, on the individual health service practitioner. Nevertheless, it is an approach that is clearly evident in ACCHSs.</w:t>
      </w:r>
    </w:p>
    <w:p w14:paraId="64D38BA0" w14:textId="3FC4F427" w:rsidR="00E55696" w:rsidRPr="00A1178E" w:rsidRDefault="00E55696" w:rsidP="009F5816">
      <w:pPr>
        <w:pStyle w:val="Quote"/>
        <w:spacing w:after="0"/>
        <w:rPr>
          <w:color w:val="18525E" w:themeColor="accent5" w:themeShade="80"/>
        </w:rPr>
      </w:pPr>
      <w:r w:rsidRPr="00A1178E">
        <w:rPr>
          <w:color w:val="18525E" w:themeColor="accent5" w:themeShade="80"/>
        </w:rPr>
        <w:t>… we had a lady with chronic conditions and mental health given a diagnosis, given a community treatment order and inpatient facility admission, no contact with an Aboriginal health organisation to support this lady. So she's come out in absolute crisis. We've gone in … to support her, and they've heard us and the diagnosis was removed and the cultural symptoms and the cultural considerations were finally brought into her care plan. And she made a huge transition to health, a healthy lifestyle …. It does not work in the medical model, doesn't always work. There's a place for it, but it has to be a combined effort.</w:t>
      </w:r>
    </w:p>
    <w:p w14:paraId="630C1C4E" w14:textId="77777777" w:rsidR="00C4729B" w:rsidRPr="005D5E7B" w:rsidRDefault="00C4729B" w:rsidP="00C4729B">
      <w:pPr>
        <w:jc w:val="right"/>
        <w:rPr>
          <w:b/>
          <w:bCs/>
        </w:rPr>
      </w:pPr>
      <w:r w:rsidRPr="005D5E7B">
        <w:rPr>
          <w:b/>
          <w:bCs/>
        </w:rPr>
        <w:t xml:space="preserve">ACCHS, Metropolitan location </w:t>
      </w:r>
    </w:p>
    <w:p w14:paraId="22A0652C" w14:textId="6E447BB8" w:rsidR="00E55696" w:rsidRPr="00884FAA" w:rsidRDefault="00E55696" w:rsidP="00E55696">
      <w:r w:rsidRPr="00884FAA">
        <w:t>By supporting the core clinical operations of ACCHSs, the IAHP contribut</w:t>
      </w:r>
      <w:r w:rsidR="00B217B4">
        <w:t>es</w:t>
      </w:r>
      <w:r w:rsidRPr="00884FAA">
        <w:t xml:space="preserve"> to organisations’ ability to provide wrap-around care. </w:t>
      </w:r>
    </w:p>
    <w:p w14:paraId="7E561FF9" w14:textId="65542634" w:rsidR="00E55696" w:rsidRPr="00A1178E" w:rsidRDefault="00E55696" w:rsidP="009F5816">
      <w:pPr>
        <w:pStyle w:val="Quote"/>
        <w:spacing w:after="0"/>
        <w:rPr>
          <w:color w:val="18525E" w:themeColor="accent5" w:themeShade="80"/>
        </w:rPr>
      </w:pPr>
      <w:r w:rsidRPr="00A1178E">
        <w:rPr>
          <w:color w:val="18525E" w:themeColor="accent5" w:themeShade="80"/>
        </w:rPr>
        <w:t>Without having the clinic on the ground … we wouldn't have the referral pathways to then refer these mothers and babies and families into that specialist program. We certainly wouldn't have a mechanism for obstetrics and visiting specialists around child health paediatricians to come in and see children and families on site. So again, IAHP supports that to happen.</w:t>
      </w:r>
    </w:p>
    <w:p w14:paraId="1CA9A484" w14:textId="0DA892CE" w:rsidR="00C3137B" w:rsidRPr="009F5816" w:rsidRDefault="00C3137B" w:rsidP="009F5816">
      <w:pPr>
        <w:jc w:val="right"/>
        <w:rPr>
          <w:b/>
        </w:rPr>
      </w:pPr>
      <w:r w:rsidRPr="009F5816">
        <w:rPr>
          <w:b/>
        </w:rPr>
        <w:t>ACCHS, Remote location</w:t>
      </w:r>
    </w:p>
    <w:p w14:paraId="49158F3D" w14:textId="32F587D3" w:rsidR="00E55696" w:rsidRPr="00884FAA" w:rsidRDefault="00E55696" w:rsidP="00E55696">
      <w:r w:rsidRPr="00884FAA">
        <w:t xml:space="preserve">However, the level of </w:t>
      </w:r>
      <w:r w:rsidR="002752F7">
        <w:t xml:space="preserve">overall health </w:t>
      </w:r>
      <w:r w:rsidRPr="00884FAA">
        <w:t xml:space="preserve">funding ACCHSs receive, and the way funding programs are organised, does not align well with the provision of wrap-around care. </w:t>
      </w:r>
      <w:r w:rsidR="003247FE" w:rsidRPr="00884FAA">
        <w:t>This can include:</w:t>
      </w:r>
    </w:p>
    <w:p w14:paraId="5B24F3B2" w14:textId="5DB6BB17" w:rsidR="00E55696" w:rsidRPr="00884FAA" w:rsidRDefault="00514984" w:rsidP="003B3C05">
      <w:pPr>
        <w:numPr>
          <w:ilvl w:val="0"/>
          <w:numId w:val="19"/>
        </w:numPr>
        <w:spacing w:after="120"/>
      </w:pPr>
      <w:r w:rsidRPr="00884FAA">
        <w:rPr>
          <w:b/>
          <w:bCs/>
        </w:rPr>
        <w:t>I</w:t>
      </w:r>
      <w:r w:rsidR="00E55696" w:rsidRPr="00884FAA">
        <w:rPr>
          <w:b/>
          <w:bCs/>
        </w:rPr>
        <w:t>nsufficient funding</w:t>
      </w:r>
      <w:r w:rsidR="00E55696" w:rsidRPr="00884FAA">
        <w:t xml:space="preserve"> for the level of need, particularly in areas like mental health, alcohol and drug services, dental care</w:t>
      </w:r>
      <w:r w:rsidR="00E55696" w:rsidRPr="00884FAA">
        <w:rPr>
          <w:vertAlign w:val="superscript"/>
        </w:rPr>
        <w:footnoteReference w:id="34"/>
      </w:r>
      <w:r w:rsidR="00451ECA" w:rsidRPr="00884FAA">
        <w:t xml:space="preserve">. Several </w:t>
      </w:r>
      <w:r w:rsidR="008A411C" w:rsidRPr="00884FAA">
        <w:t>ACCHS managers spoke about</w:t>
      </w:r>
      <w:r w:rsidR="00026BCE" w:rsidRPr="00884FAA">
        <w:t xml:space="preserve"> the overwhelming demand for clinical acute care precluding all other care</w:t>
      </w:r>
      <w:r w:rsidR="00E55696" w:rsidRPr="00884FAA">
        <w:t>.</w:t>
      </w:r>
    </w:p>
    <w:p w14:paraId="33A5DA04" w14:textId="02FD4227" w:rsidR="00E55696" w:rsidRPr="00884FAA" w:rsidRDefault="00514984">
      <w:pPr>
        <w:numPr>
          <w:ilvl w:val="0"/>
          <w:numId w:val="19"/>
        </w:numPr>
        <w:spacing w:after="120"/>
      </w:pPr>
      <w:r w:rsidRPr="00884FAA">
        <w:rPr>
          <w:b/>
          <w:bCs/>
        </w:rPr>
        <w:t>F</w:t>
      </w:r>
      <w:r w:rsidR="00E55696" w:rsidRPr="00884FAA">
        <w:rPr>
          <w:b/>
          <w:bCs/>
        </w:rPr>
        <w:t>ragmented funding system</w:t>
      </w:r>
      <w:r w:rsidR="00E55696" w:rsidRPr="00884FAA">
        <w:t xml:space="preserve"> </w:t>
      </w:r>
      <w:r w:rsidR="00D35566" w:rsidRPr="00884FAA">
        <w:t xml:space="preserve">which </w:t>
      </w:r>
      <w:r w:rsidR="008F2F27" w:rsidRPr="00884FAA">
        <w:t>impacts</w:t>
      </w:r>
      <w:r w:rsidR="00D35566" w:rsidRPr="00884FAA">
        <w:t xml:space="preserve"> capacity </w:t>
      </w:r>
      <w:r w:rsidR="00E55696" w:rsidRPr="00884FAA">
        <w:t>to address clients’ holistic needs, including social and emotional wellbeing and the social and cultural determinants of health</w:t>
      </w:r>
      <w:r w:rsidR="008F2F27" w:rsidRPr="00884FAA">
        <w:t xml:space="preserve">. </w:t>
      </w:r>
      <w:r w:rsidR="00E55696" w:rsidRPr="00884FAA">
        <w:t xml:space="preserve">ACCHSs need to access multiple funding programs across multiple funders. These funders and programs often operate in silos, leaving ACCHSs with the responsibility and burden to </w:t>
      </w:r>
      <w:r w:rsidR="001A0EAE">
        <w:t>source and combine</w:t>
      </w:r>
      <w:r w:rsidR="001A0EAE" w:rsidRPr="00884FAA">
        <w:t xml:space="preserve"> </w:t>
      </w:r>
      <w:r w:rsidR="00265FF1" w:rsidRPr="00884FAA">
        <w:t xml:space="preserve">funding through different </w:t>
      </w:r>
      <w:r w:rsidR="00E55696" w:rsidRPr="00884FAA">
        <w:t xml:space="preserve">programs to deliver holistic care. Even within the IAHP there are multiple program ‘plug-ins’ with their own sets of objectives and performance measures </w:t>
      </w:r>
      <w:r w:rsidR="0031504A" w:rsidRPr="00884FAA">
        <w:t xml:space="preserve">that operate </w:t>
      </w:r>
      <w:r w:rsidR="00E55696" w:rsidRPr="00884FAA">
        <w:t xml:space="preserve">alongside the </w:t>
      </w:r>
      <w:r w:rsidR="000F7ACE">
        <w:t>PHC Program</w:t>
      </w:r>
      <w:r w:rsidR="00E55696" w:rsidRPr="00884FAA">
        <w:t xml:space="preserve"> as the central comprehensive PHC funding stream. This fragmented funding </w:t>
      </w:r>
      <w:r w:rsidR="00333107" w:rsidRPr="00884FAA">
        <w:t xml:space="preserve">model </w:t>
      </w:r>
      <w:r w:rsidR="00E55696" w:rsidRPr="00884FAA">
        <w:t>is illustrated i</w:t>
      </w:r>
      <w:r w:rsidR="0023147C">
        <w:t xml:space="preserve">n </w:t>
      </w:r>
      <w:r w:rsidR="00C968B4">
        <w:fldChar w:fldCharType="begin"/>
      </w:r>
      <w:r w:rsidR="00C968B4">
        <w:instrText xml:space="preserve"> REF _Ref138774976 \h </w:instrText>
      </w:r>
      <w:r w:rsidR="00C968B4">
        <w:fldChar w:fldCharType="separate"/>
      </w:r>
      <w:r w:rsidR="00165B17" w:rsidRPr="00884FAA">
        <w:t xml:space="preserve">Figure </w:t>
      </w:r>
      <w:r w:rsidR="00165B17">
        <w:rPr>
          <w:noProof/>
        </w:rPr>
        <w:t>6</w:t>
      </w:r>
      <w:r w:rsidR="00165B17">
        <w:noBreakHyphen/>
      </w:r>
      <w:r w:rsidR="00165B17">
        <w:rPr>
          <w:noProof/>
        </w:rPr>
        <w:t>1</w:t>
      </w:r>
      <w:r w:rsidR="00C968B4">
        <w:fldChar w:fldCharType="end"/>
      </w:r>
      <w:r w:rsidR="00E55696" w:rsidRPr="00C968B4">
        <w:t>.</w:t>
      </w:r>
    </w:p>
    <w:p w14:paraId="7CA9A9EF" w14:textId="3B6D95B9" w:rsidR="00E55696" w:rsidRPr="00884FAA" w:rsidRDefault="00514984" w:rsidP="003B3C05">
      <w:pPr>
        <w:numPr>
          <w:ilvl w:val="0"/>
          <w:numId w:val="19"/>
        </w:numPr>
        <w:spacing w:after="120"/>
      </w:pPr>
      <w:r w:rsidRPr="00884FAA">
        <w:rPr>
          <w:b/>
          <w:bCs/>
        </w:rPr>
        <w:t>C</w:t>
      </w:r>
      <w:r w:rsidR="00491F54" w:rsidRPr="00884FAA">
        <w:rPr>
          <w:b/>
          <w:bCs/>
        </w:rPr>
        <w:t>ompetition for funding</w:t>
      </w:r>
      <w:r w:rsidR="00491F54" w:rsidRPr="00884FAA">
        <w:t xml:space="preserve"> within </w:t>
      </w:r>
      <w:r w:rsidR="00E55696" w:rsidRPr="00884FAA">
        <w:t xml:space="preserve">many funding programs leads to funding for different aspects of comprehensive care being allocated across different organisations, at a local level, leaving these organisations to connect up to provide holistic care. This </w:t>
      </w:r>
      <w:r w:rsidR="00E55696" w:rsidRPr="00884FAA">
        <w:lastRenderedPageBreak/>
        <w:t xml:space="preserve">creates a demand on time (applying for funding, building relationships with other providers, etc) and also assumes value-alignment across organisations, in terms of striving to deliver holistic care. </w:t>
      </w:r>
    </w:p>
    <w:p w14:paraId="48910361" w14:textId="152C84BA" w:rsidR="00E55696" w:rsidRPr="00884FAA" w:rsidRDefault="00E55696" w:rsidP="00E55696">
      <w:pPr>
        <w:pStyle w:val="TableFigure-Header"/>
        <w:rPr>
          <w:lang w:val="en-AU"/>
        </w:rPr>
      </w:pPr>
      <w:bookmarkStart w:id="183" w:name="_Ref130652973"/>
      <w:bookmarkStart w:id="184" w:name="_Ref138774976"/>
      <w:bookmarkStart w:id="185" w:name="_Ref130652944"/>
      <w:bookmarkStart w:id="186" w:name="_Toc138851341"/>
      <w:r w:rsidRPr="00884FAA">
        <w:rPr>
          <w:lang w:val="en-AU"/>
        </w:rPr>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6</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w:t>
      </w:r>
      <w:r w:rsidR="005B4A4F">
        <w:rPr>
          <w:lang w:val="en-AU"/>
        </w:rPr>
        <w:fldChar w:fldCharType="end"/>
      </w:r>
      <w:bookmarkEnd w:id="183"/>
      <w:bookmarkEnd w:id="184"/>
      <w:r w:rsidRPr="00884FAA">
        <w:rPr>
          <w:lang w:val="en-AU"/>
        </w:rPr>
        <w:t>. The fragmented funding system</w:t>
      </w:r>
      <w:bookmarkEnd w:id="185"/>
      <w:bookmarkEnd w:id="186"/>
    </w:p>
    <w:p w14:paraId="7E3B79ED" w14:textId="77777777" w:rsidR="00E55696" w:rsidRPr="00884FAA" w:rsidRDefault="00E55696" w:rsidP="00E55696">
      <w:pPr>
        <w:spacing w:after="360"/>
      </w:pPr>
      <w:r w:rsidRPr="00884FAA">
        <w:rPr>
          <w:noProof/>
        </w:rPr>
        <w:drawing>
          <wp:inline distT="0" distB="0" distL="0" distR="0" wp14:anchorId="148228AA" wp14:editId="3FF54CFD">
            <wp:extent cx="5115760" cy="4320000"/>
            <wp:effectExtent l="19050" t="19050" r="27940" b="23495"/>
            <wp:docPr id="15" name="Picture 15" descr="Diagram showing IAHP funding and other funding 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showing IAHP funding and other funding sources&#1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115760" cy="4320000"/>
                    </a:xfrm>
                    <a:prstGeom prst="rect">
                      <a:avLst/>
                    </a:prstGeom>
                    <a:ln w="15875">
                      <a:solidFill>
                        <a:srgbClr val="3B7DBD"/>
                      </a:solidFill>
                    </a:ln>
                  </pic:spPr>
                </pic:pic>
              </a:graphicData>
            </a:graphic>
          </wp:inline>
        </w:drawing>
      </w:r>
    </w:p>
    <w:p w14:paraId="70D183ED" w14:textId="60D92C7A" w:rsidR="00F33BDD" w:rsidRPr="00884FAA" w:rsidRDefault="00F33BDD" w:rsidP="00F33BDD">
      <w:r w:rsidRPr="00884FAA">
        <w:t xml:space="preserve">In addition, there are other factors that, while beyond the </w:t>
      </w:r>
      <w:r w:rsidR="00132C8D">
        <w:t>direct</w:t>
      </w:r>
      <w:r w:rsidRPr="00884FAA">
        <w:t xml:space="preserve"> remit of the IAHP</w:t>
      </w:r>
      <w:r w:rsidR="00132C8D">
        <w:t>,</w:t>
      </w:r>
      <w:r w:rsidR="002752F7">
        <w:t xml:space="preserve"> were reported by site partners</w:t>
      </w:r>
      <w:r w:rsidR="003723BC">
        <w:t xml:space="preserve"> as </w:t>
      </w:r>
      <w:r w:rsidRPr="00884FAA">
        <w:t>significant barriers to delivering wrap-around support, including:</w:t>
      </w:r>
    </w:p>
    <w:p w14:paraId="30BF1096" w14:textId="3E461C24" w:rsidR="00F33BDD" w:rsidRPr="003B3C05" w:rsidRDefault="006A0B81" w:rsidP="003B3C05">
      <w:pPr>
        <w:numPr>
          <w:ilvl w:val="0"/>
          <w:numId w:val="19"/>
        </w:numPr>
        <w:spacing w:after="120"/>
      </w:pPr>
      <w:r w:rsidRPr="003B3C05">
        <w:t>T</w:t>
      </w:r>
      <w:r w:rsidR="00F33BDD" w:rsidRPr="003B3C05">
        <w:t>he availability and accessibility of culturally safe and appropriate referral services. For example, staff from an ACCHS reported that they were unable to refer clients to a local psychiatrist because of cultural safety concerns.</w:t>
      </w:r>
    </w:p>
    <w:p w14:paraId="2CEC1D24" w14:textId="77777777" w:rsidR="00F33BDD" w:rsidRPr="003B3C05" w:rsidRDefault="00F33BDD" w:rsidP="003B3C05">
      <w:pPr>
        <w:numPr>
          <w:ilvl w:val="0"/>
          <w:numId w:val="19"/>
        </w:numPr>
        <w:spacing w:after="120"/>
      </w:pPr>
      <w:r w:rsidRPr="003B3C05">
        <w:t>The strength of relationships between ACCHSs and these other health and wellbeing service providers, including personal connections. For example, an ACCHS had cut ties with its local PHN because they felt disrespected and this had affected their ability to provide coordinated care for some clients and access to transport assistance through the ITC program.</w:t>
      </w:r>
    </w:p>
    <w:p w14:paraId="7926AEF6" w14:textId="77777777" w:rsidR="00F33BDD" w:rsidRPr="003B3C05" w:rsidRDefault="00F33BDD" w:rsidP="003B3C05">
      <w:pPr>
        <w:numPr>
          <w:ilvl w:val="0"/>
          <w:numId w:val="19"/>
        </w:numPr>
        <w:spacing w:after="120"/>
      </w:pPr>
      <w:r w:rsidRPr="003B3C05">
        <w:t xml:space="preserve">The absence of a systematic approach to the coordination and integration of care between health and other social support providers leading to the reliance on individual partnerships and relationships. </w:t>
      </w:r>
    </w:p>
    <w:p w14:paraId="42C17D10" w14:textId="77777777" w:rsidR="00EB757E" w:rsidRPr="00884FAA" w:rsidRDefault="00E55696" w:rsidP="00E55696">
      <w:r w:rsidRPr="00884FAA">
        <w:t xml:space="preserve">These factors combine to work against a holistic approach to PHC </w:t>
      </w:r>
      <w:r w:rsidR="00EB757E" w:rsidRPr="00884FAA">
        <w:t xml:space="preserve">by splintering the model of care across funding streams and reporting arrangements. It can </w:t>
      </w:r>
      <w:r w:rsidRPr="00884FAA">
        <w:t xml:space="preserve">get in the way of organisations </w:t>
      </w:r>
      <w:r w:rsidRPr="00884FAA">
        <w:lastRenderedPageBreak/>
        <w:t xml:space="preserve">expanding and developing broader and more effective systems of wrap-around and integrated care. </w:t>
      </w:r>
    </w:p>
    <w:p w14:paraId="4AC16332" w14:textId="5706C7C5" w:rsidR="00E55696" w:rsidRPr="00884FAA" w:rsidRDefault="00EB757E" w:rsidP="00E55696">
      <w:r w:rsidRPr="00884FAA">
        <w:t>Importantly, n</w:t>
      </w:r>
      <w:r w:rsidR="00E55696" w:rsidRPr="00884FAA">
        <w:t>ot all ACCHSs experience these factors to the same degree</w:t>
      </w:r>
      <w:r w:rsidRPr="00884FAA">
        <w:t xml:space="preserve">. There are </w:t>
      </w:r>
      <w:r w:rsidR="00E55696" w:rsidRPr="00884FAA">
        <w:t xml:space="preserve">examples of organisations </w:t>
      </w:r>
      <w:r w:rsidRPr="00884FAA">
        <w:t xml:space="preserve">working together to overcome </w:t>
      </w:r>
      <w:r w:rsidR="00E55696" w:rsidRPr="00884FAA">
        <w:t xml:space="preserve">these barriers </w:t>
      </w:r>
      <w:r w:rsidRPr="00884FAA">
        <w:t xml:space="preserve">to create </w:t>
      </w:r>
      <w:r w:rsidR="00E55696" w:rsidRPr="00884FAA">
        <w:t>effective solutions. These solutions often revolve around successfully accessing multiple funding streams (</w:t>
      </w:r>
      <w:r w:rsidR="005D1B30" w:rsidRPr="00884FAA">
        <w:t xml:space="preserve">for example, </w:t>
      </w:r>
      <w:r w:rsidR="00E55696" w:rsidRPr="00884FAA">
        <w:t xml:space="preserve">ACCHSs delivering headspace youth mental health services) so services can integrate care, or establishing strong networks with other ACCHSs to share resources and </w:t>
      </w:r>
      <w:r w:rsidR="00186798" w:rsidRPr="00884FAA">
        <w:t xml:space="preserve">build </w:t>
      </w:r>
      <w:r w:rsidR="00E55696" w:rsidRPr="00884FAA">
        <w:t xml:space="preserve">relationships </w:t>
      </w:r>
      <w:r w:rsidR="00302F00" w:rsidRPr="00884FAA">
        <w:t xml:space="preserve">between services </w:t>
      </w:r>
      <w:r w:rsidR="00E55696" w:rsidRPr="00884FAA">
        <w:t xml:space="preserve">to support referral pathways. These </w:t>
      </w:r>
      <w:r w:rsidR="00F54F80" w:rsidRPr="00884FAA">
        <w:t xml:space="preserve">creative </w:t>
      </w:r>
      <w:r w:rsidR="00E55696" w:rsidRPr="00884FAA">
        <w:t xml:space="preserve">solutions are not directly </w:t>
      </w:r>
      <w:r w:rsidR="00F54F80" w:rsidRPr="00884FAA">
        <w:t>encouraged</w:t>
      </w:r>
      <w:r w:rsidR="00E55696" w:rsidRPr="00884FAA">
        <w:t xml:space="preserve"> </w:t>
      </w:r>
      <w:r w:rsidR="00360460" w:rsidRPr="00884FAA">
        <w:t xml:space="preserve">or incentivised </w:t>
      </w:r>
      <w:r w:rsidR="00E55696" w:rsidRPr="00884FAA">
        <w:t>by the</w:t>
      </w:r>
      <w:r w:rsidR="00B25E65" w:rsidRPr="00884FAA">
        <w:t xml:space="preserve"> </w:t>
      </w:r>
      <w:r w:rsidR="00E55696" w:rsidRPr="00884FAA">
        <w:t>IAHP</w:t>
      </w:r>
      <w:r w:rsidR="00360460" w:rsidRPr="00884FAA">
        <w:t xml:space="preserve"> funding model</w:t>
      </w:r>
      <w:r w:rsidR="00E55696" w:rsidRPr="00884FAA">
        <w:t xml:space="preserve">. </w:t>
      </w:r>
    </w:p>
    <w:p w14:paraId="780756CB" w14:textId="77777777" w:rsidR="00E55696" w:rsidRPr="00884FAA" w:rsidRDefault="00E55696" w:rsidP="00E55696">
      <w:r w:rsidRPr="00884FAA">
        <w:t>One ACCHS articulated its vision for the future.</w:t>
      </w:r>
    </w:p>
    <w:p w14:paraId="4C999D96" w14:textId="6CC45C9D" w:rsidR="00E55696" w:rsidRPr="00A1178E" w:rsidRDefault="00E55696" w:rsidP="003D78E6">
      <w:pPr>
        <w:pStyle w:val="Quote"/>
        <w:spacing w:after="0"/>
        <w:rPr>
          <w:color w:val="18525E" w:themeColor="accent5" w:themeShade="80"/>
        </w:rPr>
      </w:pPr>
      <w:r w:rsidRPr="00A1178E">
        <w:rPr>
          <w:color w:val="18525E" w:themeColor="accent5" w:themeShade="80"/>
        </w:rPr>
        <w:t>We need to develop a system of care, where we can see these systems as linked, so we can understand the navigation of the systems. There is only ITC that sort of looks to help people navigate the systems, but this service should be family-based or individual based …. We need a lot more care co-ordinators and navigators to help people and families navigate the multitude of services that they need. No one sees one program; they see multiple programs. If we were able to plan from a systems place-based approach it would be more effective … instead of a responsive application to a tender that has come out of a tiny bit of money, where the funders aren’t interested in how this little bit links to the wider system.</w:t>
      </w:r>
    </w:p>
    <w:p w14:paraId="059AF0D3" w14:textId="714B991E" w:rsidR="00D852AA" w:rsidRDefault="00EA665D" w:rsidP="008D29D4">
      <w:pPr>
        <w:jc w:val="right"/>
        <w:rPr>
          <w:b/>
        </w:rPr>
      </w:pPr>
      <w:r w:rsidRPr="003D78E6">
        <w:rPr>
          <w:b/>
        </w:rPr>
        <w:t xml:space="preserve">ACCHS, Regional location </w:t>
      </w:r>
    </w:p>
    <w:p w14:paraId="3C3F5670" w14:textId="77777777" w:rsidR="00E55696" w:rsidRPr="00884FAA" w:rsidRDefault="00E55696" w:rsidP="00651D06">
      <w:pPr>
        <w:pStyle w:val="Heading3"/>
      </w:pPr>
      <w:r w:rsidRPr="00884FAA">
        <w:t>A clinical focus does not match what ACCHSs are trying to do</w:t>
      </w:r>
    </w:p>
    <w:p w14:paraId="64E3E372" w14:textId="1926C2E9" w:rsidR="00E55696" w:rsidRPr="00A1178E" w:rsidRDefault="00E55696" w:rsidP="003D78E6">
      <w:pPr>
        <w:pStyle w:val="Quote"/>
        <w:spacing w:after="0"/>
        <w:rPr>
          <w:color w:val="18525E" w:themeColor="accent5" w:themeShade="80"/>
        </w:rPr>
      </w:pPr>
      <w:r w:rsidRPr="00A1178E">
        <w:rPr>
          <w:color w:val="18525E" w:themeColor="accent5" w:themeShade="80"/>
        </w:rPr>
        <w:t>What drives people into services? Social determinants. Yet we spend all the money on clinical services.</w:t>
      </w:r>
    </w:p>
    <w:p w14:paraId="77D7BB52" w14:textId="599722F5" w:rsidR="005E6B83" w:rsidRPr="003D78E6" w:rsidRDefault="005E6B83" w:rsidP="003D78E6">
      <w:pPr>
        <w:jc w:val="right"/>
        <w:rPr>
          <w:b/>
        </w:rPr>
      </w:pPr>
      <w:r w:rsidRPr="003D78E6">
        <w:rPr>
          <w:b/>
        </w:rPr>
        <w:t xml:space="preserve">ACCHS, </w:t>
      </w:r>
      <w:r w:rsidR="003F0CA9">
        <w:rPr>
          <w:b/>
        </w:rPr>
        <w:t xml:space="preserve">Metropolitan </w:t>
      </w:r>
      <w:r w:rsidR="00696B47">
        <w:rPr>
          <w:b/>
        </w:rPr>
        <w:t>location</w:t>
      </w:r>
      <w:r w:rsidRPr="003D78E6">
        <w:rPr>
          <w:b/>
        </w:rPr>
        <w:t xml:space="preserve"> </w:t>
      </w:r>
    </w:p>
    <w:p w14:paraId="159987AD" w14:textId="6B0F297C" w:rsidR="00E55696" w:rsidRPr="00A1178E" w:rsidRDefault="00E55696" w:rsidP="003D78E6">
      <w:pPr>
        <w:pStyle w:val="Quote"/>
        <w:spacing w:after="0"/>
        <w:rPr>
          <w:color w:val="18525E" w:themeColor="accent5" w:themeShade="80"/>
        </w:rPr>
      </w:pPr>
      <w:r w:rsidRPr="00A1178E">
        <w:rPr>
          <w:color w:val="18525E" w:themeColor="accent5" w:themeShade="80"/>
        </w:rPr>
        <w:t>The clinical orientation dominates all things health. There is no wriggle room to do more beyond that. With mental health, for example, you can only do cognitive the</w:t>
      </w:r>
      <w:r w:rsidR="006A0B81" w:rsidRPr="00A1178E">
        <w:rPr>
          <w:color w:val="18525E" w:themeColor="accent5" w:themeShade="80"/>
        </w:rPr>
        <w:t>rapy</w:t>
      </w:r>
      <w:r w:rsidRPr="00A1178E">
        <w:rPr>
          <w:color w:val="18525E" w:themeColor="accent5" w:themeShade="80"/>
        </w:rPr>
        <w:t xml:space="preserve"> – so you have got to be creative with what you should be doing and fit that into that clinical box. Bringing a holistic approach to these highly stringent and sometimes stipulated clinical guidelines is hard …. We need to loosen to reins.</w:t>
      </w:r>
    </w:p>
    <w:p w14:paraId="1E861D5A" w14:textId="1FF02E92" w:rsidR="005E6B83" w:rsidRPr="003D78E6" w:rsidRDefault="005E6B83" w:rsidP="003D78E6">
      <w:pPr>
        <w:jc w:val="right"/>
        <w:rPr>
          <w:b/>
        </w:rPr>
      </w:pPr>
      <w:r w:rsidRPr="003D78E6">
        <w:rPr>
          <w:b/>
        </w:rPr>
        <w:t xml:space="preserve">PHN, Regional location </w:t>
      </w:r>
    </w:p>
    <w:p w14:paraId="3DF6A39B" w14:textId="3EE2F1A5" w:rsidR="00E55696" w:rsidRPr="00884FAA" w:rsidRDefault="00E55696" w:rsidP="00E55696">
      <w:r w:rsidRPr="00884FAA">
        <w:t xml:space="preserve">IAHP funded organisations have the flexibility to spend </w:t>
      </w:r>
      <w:r w:rsidR="000F7ACE">
        <w:t>PHC Program</w:t>
      </w:r>
      <w:r w:rsidRPr="00884FAA">
        <w:t xml:space="preserve"> funding on a range of activities and services, including funding for clinical services, population health programs</w:t>
      </w:r>
      <w:r w:rsidR="0013311F" w:rsidRPr="00884FAA">
        <w:t>,</w:t>
      </w:r>
      <w:r w:rsidRPr="00884FAA">
        <w:t xml:space="preserve"> and activities that support the delivery of clinical services. However, in practice,</w:t>
      </w:r>
      <w:r w:rsidR="00B94525">
        <w:t xml:space="preserve"> t</w:t>
      </w:r>
      <w:r w:rsidR="00B94525" w:rsidRPr="00884FAA">
        <w:t xml:space="preserve">he majority of organisations reported that they </w:t>
      </w:r>
      <w:r w:rsidR="00734D4B">
        <w:t>applied</w:t>
      </w:r>
      <w:r w:rsidR="00B94525" w:rsidRPr="00884FAA">
        <w:t xml:space="preserve"> </w:t>
      </w:r>
      <w:r w:rsidR="000F7ACE">
        <w:t>PHC Program</w:t>
      </w:r>
      <w:r w:rsidR="00B94525" w:rsidRPr="00884FAA">
        <w:t xml:space="preserve"> funding to the provision of clinical services, with comparatively minor amounts spent on population health programs and PHC support activities.</w:t>
      </w:r>
      <w:r w:rsidRPr="00884FAA">
        <w:t xml:space="preserve"> Only larger organisations</w:t>
      </w:r>
      <w:r w:rsidR="00100ACB" w:rsidRPr="00884FAA">
        <w:t>,</w:t>
      </w:r>
      <w:r w:rsidRPr="00884FAA">
        <w:t xml:space="preserve"> and those that receive substantial other funding, including </w:t>
      </w:r>
      <w:r w:rsidR="00C516EE">
        <w:t xml:space="preserve">Medicare funding and </w:t>
      </w:r>
      <w:r w:rsidRPr="00884FAA">
        <w:t xml:space="preserve">untied funding, reported being able to use </w:t>
      </w:r>
      <w:r w:rsidR="000F7ACE">
        <w:t>PHC Program</w:t>
      </w:r>
      <w:r w:rsidRPr="00884FAA">
        <w:t xml:space="preserve"> funding flexibly</w:t>
      </w:r>
      <w:r w:rsidR="0006723E">
        <w:t>.</w:t>
      </w:r>
      <w:r w:rsidRPr="00884FAA">
        <w:t xml:space="preserve"> </w:t>
      </w:r>
    </w:p>
    <w:p w14:paraId="39EF4E25" w14:textId="05021A2B" w:rsidR="00E55696" w:rsidRPr="00A1178E" w:rsidRDefault="00E55696" w:rsidP="00FB5D97">
      <w:pPr>
        <w:pStyle w:val="Quote"/>
        <w:spacing w:after="0"/>
        <w:rPr>
          <w:color w:val="18525E" w:themeColor="accent5" w:themeShade="80"/>
        </w:rPr>
      </w:pPr>
      <w:r w:rsidRPr="00A1178E">
        <w:rPr>
          <w:color w:val="18525E" w:themeColor="accent5" w:themeShade="80"/>
        </w:rPr>
        <w:lastRenderedPageBreak/>
        <w:t>Most of the funding goes into clinical services. Clinical care.</w:t>
      </w:r>
    </w:p>
    <w:p w14:paraId="0207A35D" w14:textId="45BB6F76" w:rsidR="004B6D14" w:rsidRPr="00FB5D97" w:rsidRDefault="004B6D14" w:rsidP="00FA6762">
      <w:pPr>
        <w:spacing w:before="120"/>
        <w:jc w:val="right"/>
        <w:rPr>
          <w:b/>
        </w:rPr>
      </w:pPr>
      <w:r w:rsidRPr="00FB5D97">
        <w:rPr>
          <w:b/>
        </w:rPr>
        <w:t xml:space="preserve">ACCHS, Remote location </w:t>
      </w:r>
    </w:p>
    <w:p w14:paraId="2C95BD4E" w14:textId="29288D1C" w:rsidR="00E55696" w:rsidRPr="00884FAA" w:rsidRDefault="00E55696" w:rsidP="00E55696">
      <w:r w:rsidRPr="00884FAA">
        <w:t xml:space="preserve">ACCHS staff see the clinical approach to health as too narrow and at odds with a more holistic approach to </w:t>
      </w:r>
      <w:r w:rsidR="00807F93" w:rsidRPr="00884FAA">
        <w:t>health care</w:t>
      </w:r>
      <w:r w:rsidRPr="00884FAA">
        <w:t xml:space="preserve"> that Aboriginal and Torres Strait Islander people value and need. They recognised that the funding is insufficient to support more holistic care.</w:t>
      </w:r>
    </w:p>
    <w:p w14:paraId="078C2757" w14:textId="6FB1F32C" w:rsidR="00E55696" w:rsidRPr="00A1178E" w:rsidRDefault="00E55696" w:rsidP="00FB5D97">
      <w:pPr>
        <w:pStyle w:val="Quote"/>
        <w:spacing w:after="0"/>
        <w:rPr>
          <w:color w:val="18525E" w:themeColor="accent5" w:themeShade="80"/>
        </w:rPr>
      </w:pPr>
      <w:r w:rsidRPr="00A1178E">
        <w:rPr>
          <w:color w:val="18525E" w:themeColor="accent5" w:themeShade="80"/>
        </w:rPr>
        <w:t xml:space="preserve">I do strongly believe that IAHP should be about keeping people healthy. But, at the moment, because of the lack of funding coming through, it's emergency department. So until we can address that need, we're going to continue. We'll never close the gap. We'll just never will. You know, don't even talk to me about closing it because it's not going to happen until it's properly resourced. </w:t>
      </w:r>
    </w:p>
    <w:p w14:paraId="35E2A46B" w14:textId="52F9686E" w:rsidR="004B6D14" w:rsidRPr="00FB5D97" w:rsidRDefault="004B6D14" w:rsidP="00FA6762">
      <w:pPr>
        <w:spacing w:before="120"/>
        <w:jc w:val="right"/>
        <w:rPr>
          <w:b/>
        </w:rPr>
      </w:pPr>
      <w:r w:rsidRPr="00FB5D97">
        <w:rPr>
          <w:b/>
        </w:rPr>
        <w:t xml:space="preserve">ACCHS, Metropolitan location </w:t>
      </w:r>
    </w:p>
    <w:p w14:paraId="26CDEB74" w14:textId="2FD65DDD" w:rsidR="00E55696" w:rsidRPr="00884FAA" w:rsidRDefault="00E55696" w:rsidP="00E55696">
      <w:r w:rsidRPr="00884FAA">
        <w:t xml:space="preserve">Numerous ACCHS staff reported that the services and activities funded under the IAHP are still structured according to western clinical understandings of PHC, which compartmentalises the process of diagnosis and treatment. This, in turn, creates silos and what people refer to as ‘body-part’ funding, which works against the multi-faceted and integrated approach to </w:t>
      </w:r>
      <w:r w:rsidR="00807F93" w:rsidRPr="00884FAA">
        <w:t>health care</w:t>
      </w:r>
      <w:r w:rsidRPr="00884FAA">
        <w:t xml:space="preserve"> that ACCHSs strive to facilitate.</w:t>
      </w:r>
    </w:p>
    <w:p w14:paraId="44CE997B" w14:textId="2AE0D961" w:rsidR="00E55696" w:rsidRPr="00A1178E" w:rsidRDefault="00E55696" w:rsidP="00FB5D97">
      <w:pPr>
        <w:pStyle w:val="Quote"/>
        <w:spacing w:after="0"/>
        <w:rPr>
          <w:color w:val="18525E" w:themeColor="accent5" w:themeShade="80"/>
        </w:rPr>
      </w:pPr>
      <w:r w:rsidRPr="00A1178E">
        <w:rPr>
          <w:color w:val="18525E" w:themeColor="accent5" w:themeShade="80"/>
        </w:rPr>
        <w:t>…that's the issue because the primary health care way of looking is not a black way of looking. It's a clinical model, and that's the way we're going to do business. The Aboriginal way of looking is your housing, your education, your drug and alcohol, your dental, you know, the approach is everything. But with this funding, it's strictly this – what we're delivering is a clinical PHC setting, that is it, full stop.</w:t>
      </w:r>
    </w:p>
    <w:p w14:paraId="65C3E5F7" w14:textId="7028D37B" w:rsidR="006400FA" w:rsidRPr="00FB5D97" w:rsidRDefault="006400FA" w:rsidP="00FA6762">
      <w:pPr>
        <w:spacing w:before="120"/>
        <w:jc w:val="right"/>
        <w:rPr>
          <w:b/>
        </w:rPr>
      </w:pPr>
      <w:r w:rsidRPr="00FB5D97">
        <w:rPr>
          <w:b/>
        </w:rPr>
        <w:t xml:space="preserve">ACCHS, Remote location </w:t>
      </w:r>
    </w:p>
    <w:p w14:paraId="44E2E371" w14:textId="77777777" w:rsidR="00E55696" w:rsidRPr="00884FAA" w:rsidRDefault="00E55696" w:rsidP="00E55696">
      <w:r w:rsidRPr="00884FAA">
        <w:t>Participants emphasised the importance of non-clinical levers for improving health and wellbeing outcomes.</w:t>
      </w:r>
    </w:p>
    <w:p w14:paraId="4F3C4522" w14:textId="4EF610B9" w:rsidR="00E55696" w:rsidRPr="00A1178E" w:rsidRDefault="00E55696" w:rsidP="00BA0807">
      <w:pPr>
        <w:pStyle w:val="Quote"/>
        <w:spacing w:after="0"/>
        <w:rPr>
          <w:color w:val="18525E" w:themeColor="accent5" w:themeShade="80"/>
        </w:rPr>
      </w:pPr>
      <w:r w:rsidRPr="00A1178E">
        <w:rPr>
          <w:color w:val="18525E" w:themeColor="accent5" w:themeShade="80"/>
        </w:rPr>
        <w:t>It's not as clinical out here because at the heart of it if you want to make the change, it's a behaviour change with our community, not a clinical change.</w:t>
      </w:r>
    </w:p>
    <w:p w14:paraId="1C8D8A67" w14:textId="2CA31E39" w:rsidR="002D526B" w:rsidRPr="00FB5D97" w:rsidRDefault="002D526B" w:rsidP="00FA6762">
      <w:pPr>
        <w:spacing w:before="120"/>
        <w:jc w:val="right"/>
        <w:rPr>
          <w:b/>
        </w:rPr>
      </w:pPr>
      <w:r w:rsidRPr="00FB5D97">
        <w:rPr>
          <w:b/>
        </w:rPr>
        <w:t xml:space="preserve">ACCHS, Remote location </w:t>
      </w:r>
    </w:p>
    <w:p w14:paraId="56351672" w14:textId="2362F63D" w:rsidR="00E55696" w:rsidRPr="00884FAA" w:rsidRDefault="00E55696" w:rsidP="00E55696">
      <w:r w:rsidRPr="00884FAA">
        <w:t>To a</w:t>
      </w:r>
      <w:r w:rsidRPr="00884FAA" w:rsidDel="003035B5">
        <w:t xml:space="preserve"> </w:t>
      </w:r>
      <w:r w:rsidRPr="00884FAA">
        <w:t xml:space="preserve">lesser extent, ACCHS staff also reported that </w:t>
      </w:r>
      <w:r w:rsidR="000F7ACE">
        <w:t>PHC Program</w:t>
      </w:r>
      <w:r w:rsidRPr="00884FAA">
        <w:t xml:space="preserve"> funding covered some support roles such as receptionists, drivers, cleaners</w:t>
      </w:r>
      <w:r w:rsidR="00CD133A" w:rsidRPr="00884FAA">
        <w:t>,</w:t>
      </w:r>
      <w:r w:rsidRPr="00884FAA">
        <w:t xml:space="preserve"> and CQI workers. Similarly, some ACCHSs identified population health programs that received support from </w:t>
      </w:r>
      <w:r w:rsidR="000F7ACE">
        <w:t>PHC Program</w:t>
      </w:r>
      <w:r w:rsidRPr="00884FAA">
        <w:t xml:space="preserve"> funding, such as men’s and women’s groups, seniors or elders’ groups, physical activity programs and </w:t>
      </w:r>
      <w:r w:rsidR="004B19FD">
        <w:t>O</w:t>
      </w:r>
      <w:r w:rsidRPr="00884FAA">
        <w:t xml:space="preserve">utback, on-country </w:t>
      </w:r>
      <w:r w:rsidR="004B19FD">
        <w:t>or</w:t>
      </w:r>
      <w:r w:rsidRPr="00884FAA">
        <w:t xml:space="preserve"> fishing trips. These tended to run intermittently and were dependent on having the staff confident in running these types of programs. Some ACCHSs reported a decline in these types of activities and a re-focus on clinical services.</w:t>
      </w:r>
    </w:p>
    <w:p w14:paraId="4DAAFF3C" w14:textId="334108B4" w:rsidR="00E55696" w:rsidRDefault="00E55696" w:rsidP="00E55696">
      <w:r w:rsidRPr="00884FAA">
        <w:lastRenderedPageBreak/>
        <w:t>The intent of the IAHP matches what ACCHSs are trying to achieve – the delivery of holistic comprehensive PHC.</w:t>
      </w:r>
      <w:r w:rsidRPr="005D1C41">
        <w:rPr>
          <w:rStyle w:val="FootnoteReference"/>
        </w:rPr>
        <w:footnoteReference w:id="35"/>
      </w:r>
      <w:r w:rsidRPr="00884FAA">
        <w:t xml:space="preserve"> However, there appears to be misalignment in </w:t>
      </w:r>
      <w:r w:rsidRPr="00884FAA" w:rsidDel="003035B5">
        <w:t xml:space="preserve">implementation </w:t>
      </w:r>
      <w:r w:rsidRPr="00884FAA">
        <w:t>reflecting an inadequacy of funding and the siloed nature of funding programs. This includes the 35+ programs and activities funded under the IAHP</w:t>
      </w:r>
      <w:r w:rsidR="00E8080C">
        <w:t xml:space="preserve"> (as discussed in Section 3.2)</w:t>
      </w:r>
      <w:r w:rsidRPr="00884FAA">
        <w:t xml:space="preserve">, as well as the myriad of other programs supporting health and wellbeing funded from elsewhere. </w:t>
      </w:r>
    </w:p>
    <w:p w14:paraId="340E893F" w14:textId="68FFC20B" w:rsidR="00E55696" w:rsidRPr="00884FAA" w:rsidRDefault="001566DE" w:rsidP="00651D06">
      <w:pPr>
        <w:pStyle w:val="Heading3"/>
      </w:pPr>
      <w:r>
        <w:t xml:space="preserve">More funding is required to </w:t>
      </w:r>
      <w:r w:rsidR="00E55696" w:rsidRPr="00884FAA">
        <w:t xml:space="preserve">enable preventative </w:t>
      </w:r>
      <w:r w:rsidR="00840BA1">
        <w:t xml:space="preserve">programs </w:t>
      </w:r>
      <w:r w:rsidR="004E15DB">
        <w:t>outside clinical service delivery</w:t>
      </w:r>
    </w:p>
    <w:p w14:paraId="2CB417AB" w14:textId="55B34483" w:rsidR="00E55696" w:rsidRPr="00884FAA" w:rsidRDefault="00E55696" w:rsidP="00E55696">
      <w:r w:rsidRPr="00884FAA">
        <w:t>Having the ability to work preventatively is a crucial part of delivering the holistic care that Aboriginal and Torres Strait Islander people value. It is also a critical lever for alleviating the health crisis associated with the growing prevalence of chronic conditions. ACCHSs</w:t>
      </w:r>
      <w:r w:rsidRPr="00884FAA" w:rsidDel="004312E2">
        <w:t xml:space="preserve"> </w:t>
      </w:r>
      <w:r w:rsidR="004312E2">
        <w:t xml:space="preserve">consider </w:t>
      </w:r>
      <w:r w:rsidRPr="00884FAA">
        <w:t xml:space="preserve">preventative care </w:t>
      </w:r>
      <w:r w:rsidR="004312E2">
        <w:t xml:space="preserve">to be an essential </w:t>
      </w:r>
      <w:r w:rsidRPr="00884FAA">
        <w:t xml:space="preserve">part of their </w:t>
      </w:r>
      <w:r w:rsidR="004312E2">
        <w:t xml:space="preserve">preferred </w:t>
      </w:r>
      <w:r w:rsidRPr="00884FAA">
        <w:t>model of care.</w:t>
      </w:r>
    </w:p>
    <w:p w14:paraId="13FCD689" w14:textId="5C7B3F3D" w:rsidR="00E55696" w:rsidRPr="00A1178E" w:rsidRDefault="00E55696" w:rsidP="00BA0807">
      <w:pPr>
        <w:pStyle w:val="Quote"/>
        <w:spacing w:after="0"/>
        <w:rPr>
          <w:color w:val="18525E" w:themeColor="accent5" w:themeShade="80"/>
        </w:rPr>
      </w:pPr>
      <w:r w:rsidRPr="00A1178E">
        <w:rPr>
          <w:color w:val="18525E" w:themeColor="accent5" w:themeShade="80"/>
        </w:rPr>
        <w:t>We're in the game of keeping people healthy. That's our business. We want to keep people healthy. The way it's running right now is we're trying to get people healthy.</w:t>
      </w:r>
    </w:p>
    <w:p w14:paraId="201715AD" w14:textId="76CA0BB1" w:rsidR="00BF2F61" w:rsidRPr="00BA0807" w:rsidRDefault="00BF2F61" w:rsidP="00FA6762">
      <w:pPr>
        <w:spacing w:before="120"/>
        <w:jc w:val="right"/>
        <w:rPr>
          <w:b/>
          <w:bCs/>
        </w:rPr>
      </w:pPr>
      <w:r w:rsidRPr="00BA0807">
        <w:rPr>
          <w:b/>
          <w:bCs/>
        </w:rPr>
        <w:t xml:space="preserve">ACCHS, </w:t>
      </w:r>
      <w:r w:rsidR="00FA501F" w:rsidRPr="00BA0807">
        <w:rPr>
          <w:b/>
          <w:bCs/>
        </w:rPr>
        <w:t xml:space="preserve">Metropolitan location </w:t>
      </w:r>
    </w:p>
    <w:p w14:paraId="24F1A962" w14:textId="6724CB77" w:rsidR="00914C84" w:rsidRDefault="001C20CC" w:rsidP="00E55696">
      <w:r>
        <w:t>While support provided through clinical service delivery may have preventative purposes</w:t>
      </w:r>
      <w:r w:rsidR="00FD4579">
        <w:t xml:space="preserve"> (such as through the provision of </w:t>
      </w:r>
      <w:r w:rsidR="00A011C9">
        <w:t xml:space="preserve">715 </w:t>
      </w:r>
      <w:r w:rsidR="00FD4579">
        <w:t>health checks)</w:t>
      </w:r>
      <w:r>
        <w:t xml:space="preserve">, </w:t>
      </w:r>
      <w:r w:rsidRPr="000B71F6">
        <w:t>w</w:t>
      </w:r>
      <w:r w:rsidR="00E55696" w:rsidRPr="000B71F6">
        <w:t xml:space="preserve">orking </w:t>
      </w:r>
      <w:r w:rsidR="00E55696" w:rsidRPr="00884FAA">
        <w:t>preventatively include</w:t>
      </w:r>
      <w:r w:rsidR="007D777C">
        <w:t>s</w:t>
      </w:r>
      <w:r>
        <w:t xml:space="preserve"> proactive activities such </w:t>
      </w:r>
      <w:r w:rsidRPr="000B71F6">
        <w:t>as</w:t>
      </w:r>
      <w:r w:rsidR="00E55696" w:rsidRPr="00884FAA">
        <w:t xml:space="preserve"> doing health promotion, health education, pre-engagement check-ups</w:t>
      </w:r>
      <w:r w:rsidR="00E14075" w:rsidRPr="00884FAA">
        <w:t>,</w:t>
      </w:r>
      <w:r w:rsidR="00E55696" w:rsidRPr="00884FAA">
        <w:t xml:space="preserve"> and screenings, as well as running early intervention programs. ACCHSs are delivering </w:t>
      </w:r>
      <w:r>
        <w:t xml:space="preserve">many of </w:t>
      </w:r>
      <w:r w:rsidR="00E55696" w:rsidRPr="00884FAA">
        <w:t>these activities and services</w:t>
      </w:r>
      <w:r>
        <w:t xml:space="preserve"> </w:t>
      </w:r>
      <w:r w:rsidR="00E55696" w:rsidRPr="00884FAA">
        <w:t>but the overwhelming message reported by most ACCHSs is that they are constantly working in crisis mode, struggling to meet targets and keep up with the demands</w:t>
      </w:r>
      <w:r>
        <w:t xml:space="preserve"> </w:t>
      </w:r>
      <w:r w:rsidR="00E55696" w:rsidRPr="00884FAA">
        <w:t>in the community.</w:t>
      </w:r>
      <w:r w:rsidR="00C17234">
        <w:t xml:space="preserve"> </w:t>
      </w:r>
      <w:r w:rsidR="00C17234" w:rsidRPr="000B71F6">
        <w:t xml:space="preserve">Fundamentally, </w:t>
      </w:r>
      <w:r w:rsidR="00F3534E" w:rsidRPr="000B71F6">
        <w:t>ACCHS participants discussed th</w:t>
      </w:r>
      <w:r w:rsidR="00085299" w:rsidRPr="000B71F6">
        <w:t>at</w:t>
      </w:r>
      <w:r w:rsidR="00F3534E" w:rsidRPr="000B71F6">
        <w:t xml:space="preserve"> </w:t>
      </w:r>
      <w:r w:rsidR="00085299" w:rsidRPr="000B71F6">
        <w:t>limited</w:t>
      </w:r>
      <w:r w:rsidR="00F3534E" w:rsidRPr="000B71F6">
        <w:t xml:space="preserve"> funding</w:t>
      </w:r>
      <w:r w:rsidR="00085299" w:rsidRPr="000B71F6">
        <w:t>, including through</w:t>
      </w:r>
      <w:r w:rsidR="00F3534E" w:rsidRPr="000B71F6">
        <w:t xml:space="preserve"> the IAHP</w:t>
      </w:r>
      <w:r w:rsidR="004668C0" w:rsidRPr="000B71F6">
        <w:t>, required them to make choices about what activities to</w:t>
      </w:r>
      <w:r w:rsidR="00E67001" w:rsidRPr="000B71F6">
        <w:t xml:space="preserve"> undertake</w:t>
      </w:r>
      <w:r w:rsidR="000E6E9D" w:rsidRPr="000B71F6">
        <w:t xml:space="preserve">, and clinical services, understandably, were prioritised over </w:t>
      </w:r>
      <w:r w:rsidR="00C75D67" w:rsidRPr="000B71F6">
        <w:t>health promotion and preventative programs</w:t>
      </w:r>
      <w:r w:rsidR="00C75D67">
        <w:t>.</w:t>
      </w:r>
    </w:p>
    <w:p w14:paraId="65BF1052" w14:textId="04499751" w:rsidR="00E55696" w:rsidRPr="00884FAA" w:rsidRDefault="00CD4646" w:rsidP="00E55696">
      <w:r>
        <w:t xml:space="preserve">ACCHS staff also talked about </w:t>
      </w:r>
      <w:r w:rsidR="009C6D30">
        <w:t xml:space="preserve">other barries to the delivery of preventative programs. This includes a </w:t>
      </w:r>
      <w:r w:rsidR="00E55696" w:rsidRPr="00884FAA" w:rsidDel="00904357">
        <w:t xml:space="preserve">degree of apathy </w:t>
      </w:r>
      <w:r w:rsidR="00E2226B">
        <w:t>from clients</w:t>
      </w:r>
      <w:r w:rsidR="00E55696" w:rsidRPr="00884FAA">
        <w:t xml:space="preserve"> </w:t>
      </w:r>
      <w:r w:rsidR="00E55696" w:rsidRPr="00884FAA" w:rsidDel="00904357">
        <w:t>towards preventative care.</w:t>
      </w:r>
    </w:p>
    <w:p w14:paraId="6DE20FB9" w14:textId="6711B5A5" w:rsidR="00E55696" w:rsidRPr="00A1178E" w:rsidRDefault="00E55696" w:rsidP="00ED4D43">
      <w:pPr>
        <w:pStyle w:val="Quote"/>
        <w:spacing w:after="0"/>
        <w:ind w:left="562"/>
        <w:rPr>
          <w:color w:val="18525E" w:themeColor="accent5" w:themeShade="80"/>
        </w:rPr>
      </w:pPr>
      <w:r w:rsidRPr="00A1178E">
        <w:rPr>
          <w:color w:val="18525E" w:themeColor="accent5" w:themeShade="80"/>
        </w:rPr>
        <w:t xml:space="preserve">… they </w:t>
      </w:r>
      <w:r w:rsidR="00A30678" w:rsidRPr="00A1178E">
        <w:rPr>
          <w:color w:val="18525E" w:themeColor="accent5" w:themeShade="80"/>
        </w:rPr>
        <w:t>[our clients]</w:t>
      </w:r>
      <w:r w:rsidRPr="00A1178E">
        <w:rPr>
          <w:color w:val="18525E" w:themeColor="accent5" w:themeShade="80"/>
        </w:rPr>
        <w:t xml:space="preserve"> may not be buying it. Yeah, they might say ‘go away I don't need you, only when I get sick do I need you?’ But we need to put the living back in Aboriginal people. Aboriginal people know that they're born, they live and they die. We need to put the living back.</w:t>
      </w:r>
    </w:p>
    <w:p w14:paraId="63CCAE13" w14:textId="700003F3" w:rsidR="00ED4D43" w:rsidRDefault="00FA501F" w:rsidP="00352CB0">
      <w:pPr>
        <w:jc w:val="right"/>
        <w:rPr>
          <w:b/>
          <w:bCs/>
        </w:rPr>
      </w:pPr>
      <w:r w:rsidRPr="00BA0807">
        <w:rPr>
          <w:b/>
          <w:bCs/>
        </w:rPr>
        <w:t xml:space="preserve">ACCHS, Regional location </w:t>
      </w:r>
    </w:p>
    <w:p w14:paraId="7CF1CC80" w14:textId="38E5BD59" w:rsidR="00E92358" w:rsidRDefault="00E92358">
      <w:pPr>
        <w:jc w:val="left"/>
        <w:rPr>
          <w:b/>
          <w:bCs/>
        </w:rPr>
      </w:pPr>
      <w:r>
        <w:rPr>
          <w:b/>
          <w:bCs/>
        </w:rPr>
        <w:br w:type="page"/>
      </w:r>
    </w:p>
    <w:p w14:paraId="74DBDB3C" w14:textId="1DE32D01" w:rsidR="00C549D8" w:rsidRPr="00884FAA" w:rsidRDefault="00F21F6F" w:rsidP="0035030F">
      <w:pPr>
        <w:pStyle w:val="Heading2"/>
      </w:pPr>
      <w:bookmarkStart w:id="187" w:name="_Ref137154456"/>
      <w:bookmarkStart w:id="188" w:name="_Toc137208923"/>
      <w:r w:rsidRPr="00884FAA">
        <w:lastRenderedPageBreak/>
        <w:t xml:space="preserve">Contribution </w:t>
      </w:r>
      <w:r w:rsidR="00D7441B" w:rsidRPr="00884FAA">
        <w:t xml:space="preserve">of </w:t>
      </w:r>
      <w:r w:rsidR="00090AC4" w:rsidRPr="00884FAA">
        <w:t xml:space="preserve">the </w:t>
      </w:r>
      <w:r w:rsidR="00D7441B" w:rsidRPr="00884FAA">
        <w:t xml:space="preserve">IAHP </w:t>
      </w:r>
      <w:r w:rsidRPr="00884FAA">
        <w:t xml:space="preserve">to </w:t>
      </w:r>
      <w:r w:rsidR="0030692D" w:rsidRPr="00884FAA">
        <w:t xml:space="preserve">PHC system </w:t>
      </w:r>
      <w:r w:rsidRPr="00884FAA">
        <w:t>access and navigation</w:t>
      </w:r>
      <w:bookmarkEnd w:id="187"/>
      <w:bookmarkEnd w:id="188"/>
    </w:p>
    <w:p w14:paraId="739CC389" w14:textId="26AACF9C" w:rsidR="00273DDC" w:rsidRPr="00884FAA" w:rsidRDefault="007D57FC" w:rsidP="00791998">
      <w:r w:rsidRPr="00884FAA">
        <w:t xml:space="preserve">Aboriginal and Torres Strait Islander people value </w:t>
      </w:r>
      <w:r w:rsidR="00807F93" w:rsidRPr="00884FAA">
        <w:t>health care</w:t>
      </w:r>
      <w:r w:rsidRPr="00884FAA">
        <w:t xml:space="preserve"> that is welcoming, accessible, available, safe, flexible, affordable, appropriately designed and resourced, and responds to changing needs across the life course and supports the wellbeing of the whole person. </w:t>
      </w:r>
      <w:r w:rsidR="00B22EA7" w:rsidRPr="00884FAA">
        <w:t xml:space="preserve">People </w:t>
      </w:r>
      <w:r w:rsidR="002B159B" w:rsidRPr="00884FAA">
        <w:t xml:space="preserve">told us they </w:t>
      </w:r>
      <w:r w:rsidR="008C20CD" w:rsidRPr="00884FAA">
        <w:t xml:space="preserve">value </w:t>
      </w:r>
      <w:r w:rsidR="00807F93" w:rsidRPr="00884FAA">
        <w:t>health care</w:t>
      </w:r>
      <w:r w:rsidR="008C20CD" w:rsidRPr="00884FAA">
        <w:t xml:space="preserve"> services that are easily recognised and in spaces connected directly to the place they live. </w:t>
      </w:r>
    </w:p>
    <w:p w14:paraId="594107C8" w14:textId="12E4F92A" w:rsidR="00FB3799" w:rsidRDefault="008C20CD" w:rsidP="00C437D0">
      <w:r w:rsidRPr="00884FAA">
        <w:t xml:space="preserve">The IAHP funds several </w:t>
      </w:r>
      <w:r w:rsidR="00651B77" w:rsidRPr="00884FAA">
        <w:t xml:space="preserve">programs and </w:t>
      </w:r>
      <w:r w:rsidRPr="00884FAA">
        <w:t>activities that include a focus on improving access</w:t>
      </w:r>
      <w:r w:rsidR="002457EF" w:rsidRPr="00884FAA">
        <w:t xml:space="preserve"> to </w:t>
      </w:r>
      <w:r w:rsidR="001B4AF7">
        <w:t>PHC</w:t>
      </w:r>
      <w:r w:rsidR="002457EF" w:rsidRPr="00884FAA">
        <w:t xml:space="preserve"> for Aboriginal and Torres Strait Islander people</w:t>
      </w:r>
      <w:r w:rsidRPr="00884FAA">
        <w:t>.</w:t>
      </w:r>
      <w:r w:rsidR="004F539A" w:rsidRPr="00884FAA">
        <w:t xml:space="preserve"> This includes</w:t>
      </w:r>
      <w:r w:rsidR="00C437D0" w:rsidRPr="00884FAA">
        <w:t xml:space="preserve"> the</w:t>
      </w:r>
      <w:r w:rsidR="00964696" w:rsidRPr="00884FAA">
        <w:t xml:space="preserve"> </w:t>
      </w:r>
      <w:r w:rsidR="000F7ACE">
        <w:t>PHC Program</w:t>
      </w:r>
      <w:r w:rsidR="00FB3799" w:rsidRPr="00884FAA">
        <w:t xml:space="preserve"> and the </w:t>
      </w:r>
      <w:r w:rsidR="0057783B" w:rsidRPr="00884FAA">
        <w:t>Integrated Team Care</w:t>
      </w:r>
      <w:r w:rsidR="00221DBA" w:rsidRPr="00884FAA">
        <w:t xml:space="preserve"> (ITC)</w:t>
      </w:r>
      <w:r w:rsidR="0057783B" w:rsidRPr="00884FAA">
        <w:t xml:space="preserve"> </w:t>
      </w:r>
      <w:r w:rsidR="00221DBA" w:rsidRPr="00884FAA">
        <w:t>p</w:t>
      </w:r>
      <w:r w:rsidR="0057783B" w:rsidRPr="00884FAA">
        <w:t>rogram</w:t>
      </w:r>
      <w:r w:rsidR="00FB3799" w:rsidRPr="00884FAA">
        <w:t>.</w:t>
      </w:r>
    </w:p>
    <w:p w14:paraId="39099C57" w14:textId="76D10F27" w:rsidR="000563DF" w:rsidRDefault="00E92358" w:rsidP="00C437D0">
      <w:r w:rsidRPr="00884FAA">
        <w:rPr>
          <w:noProof/>
        </w:rPr>
        <mc:AlternateContent>
          <mc:Choice Requires="wps">
            <w:drawing>
              <wp:anchor distT="0" distB="0" distL="114300" distR="114300" simplePos="0" relativeHeight="251657237" behindDoc="0" locked="0" layoutInCell="1" allowOverlap="1" wp14:anchorId="769C59D6" wp14:editId="11B935C1">
                <wp:simplePos x="0" y="0"/>
                <wp:positionH relativeFrom="margin">
                  <wp:align>right</wp:align>
                </wp:positionH>
                <wp:positionV relativeFrom="paragraph">
                  <wp:posOffset>751840</wp:posOffset>
                </wp:positionV>
                <wp:extent cx="5689600" cy="5123180"/>
                <wp:effectExtent l="19050" t="19050" r="25400" b="20320"/>
                <wp:wrapTopAndBottom/>
                <wp:docPr id="293097741" name="Freeform: Shape 293097741" descr="Text box describing Contribution Analysi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600" cy="5123180"/>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15B79991" w14:textId="77777777" w:rsidR="00E92358" w:rsidRPr="00E92358" w:rsidRDefault="00E92358" w:rsidP="00E92358">
                            <w:pPr>
                              <w:pStyle w:val="NoSpacing"/>
                              <w:spacing w:before="240"/>
                              <w:jc w:val="left"/>
                              <w:rPr>
                                <w:b/>
                                <w:bCs/>
                                <w:color w:val="9E6047" w:themeColor="accent3"/>
                              </w:rPr>
                            </w:pPr>
                            <w:r w:rsidRPr="00E92358">
                              <w:rPr>
                                <w:b/>
                                <w:bCs/>
                                <w:color w:val="9E6047" w:themeColor="accent3"/>
                              </w:rPr>
                              <w:t>Approach to contribution analysis</w:t>
                            </w:r>
                          </w:p>
                          <w:p w14:paraId="3F8B07CC" w14:textId="77777777" w:rsidR="00E92358" w:rsidRPr="00CC48F5" w:rsidRDefault="00E92358" w:rsidP="00E92358">
                            <w:pPr>
                              <w:pStyle w:val="NoSpacing"/>
                              <w:jc w:val="left"/>
                              <w:rPr>
                                <w:lang w:val="en-AU"/>
                              </w:rPr>
                            </w:pPr>
                            <w:r w:rsidRPr="00CC48F5">
                              <w:rPr>
                                <w:lang w:val="en-AU"/>
                              </w:rPr>
                              <w:t>Contribution analysis is a systematic and rigorous approach to establish (or discount) a plausible association between inputs (</w:t>
                            </w:r>
                            <w:r>
                              <w:rPr>
                                <w:lang w:val="en-AU"/>
                              </w:rPr>
                              <w:t>such as</w:t>
                            </w:r>
                            <w:r w:rsidRPr="00CC48F5">
                              <w:rPr>
                                <w:lang w:val="en-AU"/>
                              </w:rPr>
                              <w:t xml:space="preserve"> IAHP funding) and observed changes. It does this by demonstrating contribution rather than proving causality.</w:t>
                            </w:r>
                          </w:p>
                          <w:p w14:paraId="53B6F8D2" w14:textId="77777777" w:rsidR="00E92358" w:rsidRPr="00CC48F5" w:rsidRDefault="00E92358" w:rsidP="00E92358">
                            <w:pPr>
                              <w:pStyle w:val="NoSpacing"/>
                              <w:jc w:val="left"/>
                              <w:rPr>
                                <w:lang w:val="en-AU"/>
                              </w:rPr>
                            </w:pPr>
                            <w:r w:rsidRPr="00CC48F5">
                              <w:rPr>
                                <w:lang w:val="en-AU"/>
                              </w:rPr>
                              <w:t>The</w:t>
                            </w:r>
                            <w:r>
                              <w:rPr>
                                <w:lang w:val="en-AU"/>
                              </w:rPr>
                              <w:t xml:space="preserve"> evaluation used contribution</w:t>
                            </w:r>
                            <w:r w:rsidRPr="00CC48F5">
                              <w:rPr>
                                <w:lang w:val="en-AU"/>
                              </w:rPr>
                              <w:t xml:space="preserve"> analysis based on yarns and interviews with Aboriginal and Torres Strait Islander community members, </w:t>
                            </w:r>
                            <w:r>
                              <w:rPr>
                                <w:lang w:val="en-AU"/>
                              </w:rPr>
                              <w:t>ACCHS</w:t>
                            </w:r>
                            <w:r w:rsidRPr="00CC48F5">
                              <w:rPr>
                                <w:lang w:val="en-AU"/>
                              </w:rPr>
                              <w:t xml:space="preserve"> </w:t>
                            </w:r>
                            <w:r>
                              <w:rPr>
                                <w:lang w:val="en-AU"/>
                              </w:rPr>
                              <w:t>staff</w:t>
                            </w:r>
                            <w:r w:rsidRPr="00CC48F5">
                              <w:rPr>
                                <w:lang w:val="en-AU"/>
                              </w:rPr>
                              <w:t xml:space="preserve">, PHN staff, other site-based organisations, and national, state and territory </w:t>
                            </w:r>
                            <w:r>
                              <w:rPr>
                                <w:lang w:val="en-AU"/>
                              </w:rPr>
                              <w:t>participants</w:t>
                            </w:r>
                            <w:r w:rsidRPr="00CC48F5">
                              <w:rPr>
                                <w:lang w:val="en-AU"/>
                              </w:rPr>
                              <w:t xml:space="preserve">. </w:t>
                            </w:r>
                          </w:p>
                          <w:p w14:paraId="2D7476B8" w14:textId="77777777" w:rsidR="00E92358" w:rsidRPr="00CC48F5" w:rsidRDefault="00E92358" w:rsidP="00E92358">
                            <w:pPr>
                              <w:pStyle w:val="NoSpacing"/>
                              <w:jc w:val="left"/>
                              <w:rPr>
                                <w:lang w:val="en-AU"/>
                              </w:rPr>
                            </w:pPr>
                            <w:r w:rsidRPr="00CC48F5">
                              <w:rPr>
                                <w:lang w:val="en-AU"/>
                              </w:rPr>
                              <w:t xml:space="preserve">A grounded theory approach to contribution analysis involves an iterative process of building and refining the interpretations and understandings of observed contributions up through the data. It also </w:t>
                            </w:r>
                            <w:r>
                              <w:rPr>
                                <w:lang w:val="en-AU"/>
                              </w:rPr>
                              <w:t>enabled</w:t>
                            </w:r>
                            <w:r w:rsidRPr="00CC48F5">
                              <w:rPr>
                                <w:lang w:val="en-AU"/>
                              </w:rPr>
                              <w:t xml:space="preserve"> the contribution of the IAHP </w:t>
                            </w:r>
                            <w:r>
                              <w:rPr>
                                <w:lang w:val="en-AU"/>
                              </w:rPr>
                              <w:t>to be</w:t>
                            </w:r>
                            <w:r w:rsidRPr="00CC48F5">
                              <w:rPr>
                                <w:lang w:val="en-AU"/>
                              </w:rPr>
                              <w:t xml:space="preserve"> assessed against the values and aspirations of Aboriginal and Torres Strait Islander people, rather</w:t>
                            </w:r>
                            <w:r>
                              <w:rPr>
                                <w:lang w:val="en-AU"/>
                              </w:rPr>
                              <w:t xml:space="preserve"> than</w:t>
                            </w:r>
                            <w:r w:rsidRPr="00CC48F5">
                              <w:rPr>
                                <w:lang w:val="en-AU"/>
                              </w:rPr>
                              <w:t xml:space="preserve"> against a pre-existing theory of change (which is typically the purpose of contribution analysis).</w:t>
                            </w:r>
                          </w:p>
                          <w:p w14:paraId="67FB2FEE" w14:textId="77777777" w:rsidR="00E92358" w:rsidRPr="00CC48F5" w:rsidRDefault="00E92358" w:rsidP="00E92358">
                            <w:pPr>
                              <w:pStyle w:val="NoSpacing"/>
                              <w:jc w:val="left"/>
                              <w:rPr>
                                <w:lang w:val="en-AU"/>
                              </w:rPr>
                            </w:pPr>
                            <w:r w:rsidRPr="00CC48F5">
                              <w:rPr>
                                <w:lang w:val="en-AU"/>
                              </w:rPr>
                              <w:t xml:space="preserve">The process of analysis included the development of five contribution cases through a grounded theory (including open coding, theoretical memoing, comparative analysis, and inductive reasoning) analysis of </w:t>
                            </w:r>
                            <w:r>
                              <w:rPr>
                                <w:lang w:val="en-AU"/>
                              </w:rPr>
                              <w:t>C</w:t>
                            </w:r>
                            <w:r w:rsidRPr="00CC48F5">
                              <w:rPr>
                                <w:lang w:val="en-AU"/>
                              </w:rPr>
                              <w:t xml:space="preserve">ycle 1 and 2 qualitative data. It </w:t>
                            </w:r>
                            <w:r>
                              <w:rPr>
                                <w:lang w:val="en-AU"/>
                              </w:rPr>
                              <w:t xml:space="preserve">also </w:t>
                            </w:r>
                            <w:r w:rsidRPr="00CC48F5">
                              <w:rPr>
                                <w:lang w:val="en-AU"/>
                              </w:rPr>
                              <w:t>included two review and sense-checking stages. First, the cases were taken back to sense-check with community members, ACCH</w:t>
                            </w:r>
                            <w:r>
                              <w:rPr>
                                <w:lang w:val="en-AU"/>
                              </w:rPr>
                              <w:t>S</w:t>
                            </w:r>
                            <w:r w:rsidRPr="00CC48F5">
                              <w:rPr>
                                <w:lang w:val="en-AU"/>
                              </w:rPr>
                              <w:t xml:space="preserve"> and PHN staff in the 17 evaluation sites</w:t>
                            </w:r>
                            <w:r>
                              <w:rPr>
                                <w:lang w:val="en-AU"/>
                              </w:rPr>
                              <w:t>. Second</w:t>
                            </w:r>
                            <w:r w:rsidRPr="00CC48F5">
                              <w:rPr>
                                <w:lang w:val="en-AU"/>
                              </w:rPr>
                              <w:t>, the cases were presented to a review panel of health sector professionals, who critiqued and discussed the claims made by the evaluation about the IAHP’s contribution and the concepts/typologies used to describe the different types of contribution.</w:t>
                            </w:r>
                          </w:p>
                          <w:p w14:paraId="2A6ABB6B" w14:textId="77777777" w:rsidR="00E92358" w:rsidRPr="00032592" w:rsidRDefault="00E92358" w:rsidP="00E92358">
                            <w:pPr>
                              <w:pStyle w:val="NoSpacing"/>
                              <w:jc w:val="left"/>
                            </w:pPr>
                            <w:r w:rsidRPr="00CC48F5">
                              <w:rPr>
                                <w:lang w:val="en-AU"/>
                              </w:rPr>
                              <w:t>The review stages ensured that the contribution analysis captured the fullest construction of concepts and their theoretical development. The</w:t>
                            </w:r>
                            <w:r>
                              <w:rPr>
                                <w:lang w:val="en-AU"/>
                              </w:rPr>
                              <w:t xml:space="preserve"> review stages</w:t>
                            </w:r>
                            <w:r w:rsidRPr="00CC48F5">
                              <w:rPr>
                                <w:lang w:val="en-AU"/>
                              </w:rPr>
                              <w:t xml:space="preserve"> also allowed for the gaps and nuances of the IAHP’s contribution to be considered and to gain a deeper understanding of the implications of recommendations</w:t>
                            </w:r>
                            <w:r>
                              <w:rPr>
                                <w:lang w:val="en-AU"/>
                              </w:rPr>
                              <w:t xml:space="preserve"> informed by</w:t>
                            </w:r>
                            <w:r w:rsidRPr="00CC48F5">
                              <w:rPr>
                                <w:lang w:val="en-AU"/>
                              </w:rPr>
                              <w:t xml:space="preserve"> the analysis.</w:t>
                            </w:r>
                          </w:p>
                          <w:p w14:paraId="5BA4B84F" w14:textId="77777777" w:rsidR="00E92358" w:rsidRPr="00032592" w:rsidRDefault="00E92358" w:rsidP="00E92358">
                            <w:pPr>
                              <w:pStyle w:val="NoSpacing"/>
                            </w:pPr>
                          </w:p>
                        </w:txbxContent>
                      </wps:txbx>
                      <wps:bodyPr rot="0" vert="horz" wrap="square" lIns="91440" tIns="45720" rIns="91440" bIns="45720" anchor="t" anchorCtr="0" upright="1">
                        <a:noAutofit/>
                      </wps:bodyPr>
                    </wps:wsp>
                  </a:graphicData>
                </a:graphic>
              </wp:anchor>
            </w:drawing>
          </mc:Choice>
          <mc:Fallback>
            <w:pict>
              <v:shape w14:anchorId="769C59D6" id="Freeform: Shape 293097741" o:spid="_x0000_s1082" alt="Text box describing Contribution Analysis" style="position:absolute;left:0;text-align:left;margin-left:396.8pt;margin-top:59.2pt;width:448pt;height:403.4pt;z-index:251657237;visibility:visible;mso-wrap-style:square;mso-wrap-distance-left:9pt;mso-wrap-distance-top:0;mso-wrap-distance-right:9pt;mso-wrap-distance-bottom:0;mso-position-horizontal:right;mso-position-horizontal-relative:margin;mso-position-vertical:absolute;mso-position-vertical-relative:text;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g2g+hMAAMtlAAAOAAAAZHJzL2Uyb0RvYy54bWysXdtuI7kRfQ+QfxD0mCDrJtnXwXqD7G42&#10;CLC5AFE+QGPLYyO25Uia8Wy+PqfIqjbZJlmNIC/T1qhEFuuwinWKpPTt778+PW6+HE7nh+Pz9dZ8&#10;02w3h+eb4+3D86fr7T93P/1u3G7Ol/3z7f7x+Hy43v5yOG9//92vf/Xt68uHgz3eHx9vD6cNGnk+&#10;f3h9ud7eXy4vH66uzjf3h6f9+Zvjy+EZb94dT0/7C16ePl3dnvavaP3p8co2TX/1ejzdvpyON4fz&#10;Gf/7Y3hz+51v/+7ucHP5293d+XDZPF5vodvF/3vy/36kf6+++3b/4dNp/3L/cMNq7P8HLZ72D8/o&#10;dG7qx/1lv/l8enjX1NPDzel4Pt5dvrk5Pl0d7+4ebg5+DBiNaRaj+cf9/uXgxwLjnF9mM53/f83e&#10;/PXLP17+fiLVzy8/H2/+dYZFrl5fzh/md+jFGTKbj69/Od4Cw/3ny9EP9uvd6Yk+iWFsvnqb/jLb&#10;9PD1srnBf3b9OPUNTH+D9zpjnRm91a/2H+TjN5/Plz8djr6p/Zefz5cAyi3+8ia93Tzvn9DvDq3c&#10;PT0Cn9/+btNs0NCwMW6YGMRZzIjYb642u2bzupmM65dCVoRCW5PdmMkshZwIoSUDkfuN6weZNHN/&#10;rUj5pqzt0VZGrU7ESK22oFYvQtyWyak1iBBastYU1ILnRdayQ9tm1ZpEjNQaC2qZ1PTUacZcJrZ8&#10;WTGT2t5Z12U1M7H5d8aWdFvYv8M430NpYvNbyOSxNCkAru8KcyzGYGf6km4LEBqX1S3GwEImr5tN&#10;QWhNM2XtZmMYdrboASkM1mbtZmMQSKagWwpC2/WYIRknsDEMOzRX8M4UBkue/h5TG4NAMgXdUhDa&#10;aQAKOd1iGHa25AsuhcHafOiIQSCZvG4uBaFrJwS2jG4uhmHnSr7gUhgswM/YzcUgkExBtxSEbjJ5&#10;X3AxDDtX8gWXwmCmMatbDALJ5HVrUxB6V1gL2hiGXVvyhTaFoWC3NgahbLc2BaEfaYZkMG1jGHYI&#10;z3lfaFMYrMv6QhuDQDIFu6UgDHYECjndYhh2bckXuhQGiyCdmW9dDALJ5HXrUhCGoeALXQzDriv5&#10;QpfCYA1WmfcxpItBIJmCbikIo237rN26GIZdV/KFLoUBOUNWtxgEksnr1qcgjH2Xj719DMOuL/lC&#10;n8JgHVaZ93brYxBIpqBbCsLUDHm79TEMu77kC30Kg6UVMKNbDALJFHRLQZiwaGUx7WMYdn3JF5AY&#10;JglXk11PhxgEC5m8bkMKwjTBBXN+OsQw7IaSLwwpDNZlY+8Qg0AyBd1SEEzTDvlEZIhx2AH5fIAb&#10;UhwKwRd5PpvXZ72lRQvsIkbBNF2Tzy7HGIjdWPKGMQWid1lUxxgGkslbbkxhKFtujJHYjSV3GBdI&#10;GJol7/1hjHEwJFRQLwUC6hU4wxhjscMSkgd2WmDRjdmlCwq/IWtIKK/elEJRhnaK0diBtxXUS9Gw&#10;zZiNJlOMhRcqqLcAA26R99kphmM3ldxiStEAZ8kuElOMhRfKq2eIhEeEEOjSeDNrv2liQHb4YMGA&#10;pkkRsRMS08z8M00MiJcq6ZhCAh2xvOd1jFGBjiUXMU0Ki3NDnrs2MSpeqqRjigsGV8AZ/EwsTtza&#10;NCU/MQt67Uab54kJwfZSBR0XFHsasdpnzbjg2GWSbVJk0Hk2nTIJz/ZSJRVTXLD6FpA2MTA7U+ba&#10;JgXGjSYbq42JYfFSBRUXhHucxvxSYlLGbYqU29jUYdB5NmCjTBbNHC9VUjGFZWyxVmSBTom3KTJv&#10;Y1Nc0Hk27JiEfHupkoopLGNTAtrGuKDeU3SXBQOH/2XXFePiOOalCiouWPjQDXmma1Iaboo83CyI&#10;eNGKCRWvWREVzDh6D4hreaBTNo7KZyl4L/g4Os8HHRfD4qUKVlxycpRK8yqmpNwUWblZ0PKiFRNi&#10;XrPikpr7olduCUy5uSmSc7Ng5250eSsm/NxLlayYuks39PlqlWljXHaU1eXTHLMg6UUrJjS9ZsUF&#10;Ue9coRBpUqZuilTdLLg6Os+mYiZh616qYMUudZd2LPBOkxJ2U2TsyEsTB8TSls91uhgWL1VQcUHb&#10;kWsXgE55uykSd7Ng7oh4eRUT7u6lSiqmq4srsVCT0ndT5O9mQeCLc7GPF/3aXOwXsLRtIalNWbwp&#10;0niz4PFuJBL0nlSZhMl7qYIVF1zeNW2+PmNSMm+KbN4s6HzRigmhr1lxSN3FDoVyqkkpvSlyerMg&#10;9XCEfKaT0HovVbDigtijpF5wl5TYY5ewFBcX1B72ybtLQu69VEnF1F1MXyIGKb03RX5vFgTfIXnK&#10;zsWE4Xupkoqpuxg3FeZiSvFNkeObBcl3XZ9XMWH5Xqqg4pLmt66gYkrzaX+2sABOKS4OBDdrxYTp&#10;e6mSiqm7GKzn+UwnpfqmyPWx0ZGsLsEBM0EnZfvkpnkVcTYiaRBJVp4Y4NiBCBJJxecKVrRLsm+m&#10;LNDYv4watCRVUjGFBSrmGaBtEq5PRdM80HbB9RGEgMt7K2KrMFLRS5VUTGGBinmgUWSOWoQVS8mY&#10;XVB9TJ3s6mITqu+lCiouqL5pia9lUlqbUn3ahilYcUH1sZ+QNWLC9EmopODCWVoKs1kFY1R2tkj0&#10;7ZLom+wuJ6ZehAncOVIQp08+yfmS/b0cObn5+sxnTvDXZk9HmBp/0OXleKYDLju4Ck6x7BydE0ET&#10;kKIDKgVhTFoSHlYJQ1USBuprmiYovXi3ThyG9eL+qIyqOFUzSBxFiDXKUGXBi68bKbF8Egc5X9M6&#10;MW4vvm6oxH69+LqhEhMlcRDINcoQK/Ti64ZKDI3EQazWtE5syYuvGyoxFy++bqjEIkgcyf8aZSij&#10;9+LrhkrZNYkjKV7TOmW6XnzdUCnr9OLrhkoZIIkjcVujDGVjXnzdUCkzIvGwrqjeRFmKF183VMoY&#10;vPi6ofpaPclTjX3NYLFrEjowWATXfYDHa9YGpzk6YYVY1QNVeP0YELFXfUAiFNVJ131ABo2q5boP&#10;yKBXhilfGfRjQEVvVQ8SqZCCr/uAxCqzMlgZiVYGtadVKkm8MisDlq/v+EGjLrOqB4lZBlWSVR+Q&#10;qGVWhi1fifAqoYKwrgdBemXo8izd9wB2vaoHiV4mHFVVI4aR+GVWBjAjEcyAB65SSWIYJ8e6ShLF&#10;kM6v60HimAFjWaOS5yFkVuIP6z7APk3Z/LoPMNKUW6/6gAQyHAta+QEOZJR6Rj0E83JqecKZ9OVp&#10;9NN2g9PoH+kz+w8v+wtlpPLn5vV66w8wb+6vt/74Mb3zdPxy2B29zIVSU86q8Aj9vr3/+BzLGaIL&#10;MPM8Inlbni++OcN4+2PTUF/elWeQsryMiznlXXkGKUd1ZXQpx77lXXkGqdaCapFiPAB5V55BqmvA&#10;GSHV1qWoVgQpMYa0Ic/QVk/FZOqx3thAu0gQw2ZgMK20Is/QGg6jBzGZKvK2PFmMikloDVtYtdZw&#10;ZD6I2aoYFv1gNWxg1ZrD0h3k5vkhWskzaIet0eAj8zIp78uT5SzVzsgo4nryvjxZDuen1wwX+ys8&#10;jrr1sOCEfrExVB1vT+QU+qHZuhyHqXn9Ev3lyeMYOIYDlmp7I+07oN95tZJ25MntTUxrYJ5ae3TD&#10;JbRXHy9CYJh96L7aHgwd7KL06yskhG/dhaylMi/kEFWq/UoMkNAu5pBnMIttmUsqrXVU3CIr1zvF&#10;1llQTum1Z+I1J5OilTxZu4H2ndEtsKsOVkKBMklx9JbBqDuRnTgJUiazk2Aw54eivzzDOBxOgPlx&#10;KODipg6vFXU7O0sbjLBLfa44x2l+3SUdCmIBtbqrOZwXCXKKdh2duYB2CrquoyoxoVtfgVxPO04k&#10;p4xjoB1fyMHjarMFpeNgvTlJF7TkyahNHMIVubahyiH1Wx9HS3SO5JRZ0FqeLbgZUxtH69gp65O5&#10;dbQbRt3WW2vpAAXElEG0I4NRb63jZVLRDUcPQ6eKcj0diSDl6lOg7WlDgcZaDxjtwKu9spq2I3NG&#10;DbKJcylFrmsktal7Lm7thUCquEaHmrIfL7CrTZUOJwCDXN1+neOqkhLQOuyc+/ZwFqPab0e3u4CH&#10;Eki7jva0SE6xS0+71CSn9DtwdoMDMlX9RjoNRPNF6Xei3QaSq3tHN8l8ruvXN2xnJRNGUhXsrJCH&#10;HtcBvH4I+LXx9lg5wjjqdukRq4JcfV717RTwxfSv9tvRpjPsp2TNfU9nPkhOsd/A2Rzcs9rvSFtj&#10;1J4mx/NqLiXJUiDPsCT0EwKLnwf1+dJPYpd6HBoaOp1B86pu58HwPFVIzOC3Amm8df0Gy2uC4peD&#10;o/NgaE/J1oeWiftcZBK7yTPYD24Z8AXMNdyGju2i6YcJuAaPoWfWoawfw8CJ1VyvEP3lyeOQhLM+&#10;rYaR3bye+w8To1uf9GPDVLyOLVTjNbU+98Y5tijtWWaACB01zEbHc0BZs0bHWCg+iYO1Ye4paxEI&#10;YJgDSpqG/dLga4C4Oo6Bq7jIdqtyIydMc+lW5og8w1wZJWYo+k0Nr+XKmjX5awUUM+q4Tf7UNeTo&#10;rHttICh1hcX3rfgpI5BnGAkEefVQhhyKZxSGlHULgpy/zIVa6VKe0jUnRJR41AfDSXunuDDME5a4&#10;Duyn3iLv32Bx0gRDi4MSLWcEqXahdM08D1X8qmDD6w1uZShNNpxpoSypDKfhwhnmkdY7nXqjmWZ7&#10;xZZz3uOUlWxquI6FzRptRLxW4GCwNiI6QEh6dgpVm5qZiGtWEm/E4UTVHzkuj6pD8mQ3uP9Qx90g&#10;CPgRTdjBqM4QHO4PK2WD2oYiGXwSx1fUEXE8oJMu9TalVmuxcVKVbKQe6jQvapjToIal9N7QSTjg&#10;bnHXX+ud87tO611wt72SU8Db2fI4nFjv3d9KIj2RTymS0iYlIlV7+ptg1CbOY9clJYZYnDlWJKUG&#10;0KDSU+294X0BnAXSLM87G9G31cgSIE9eCho6LowRudXRxjllzcclaeYJrTbnJSq6Tslz5ijveiWG&#10;jBPPeQd+VrXnOAmf6RWGNFKQ8Vai0kkNo3FgToPeFUmpwuiS3czj9Cwv+CbarK8dY8sxBJJ178CF&#10;kJDpwfL1mTxa4X09Qm7VSrJbijYVPemrj4LllbgE3+VZB/5e711yQ3UugUtwUVUb+zDSFRDyI3yV&#10;R7V3bMVwlqZK9pxdQM/6XEIBbrZSPYINUk5Gm3WMhlb25jSMBjePXbE8mLL4kRLrBjoKsAp33CQL&#10;66aOptQL1bGj8CmVE2VE/TjrqVWLcBGRR6RkLL1wJtfPZwkkasszRG8U8HjOd0pe1/vvMKP5ScXB&#10;mm/2HQKst3yHhakq+bbrifMYVUknmw7dfP5CRiJPHhGlNAF3ZS3u/Zlz73HKitALOXG9sqXVN5zX&#10;Yd+3biXstnANTpUcBaNe2UpBWU/aVKJ3B0cS76ivcbjNMM+6epzHIjNbXmmz4y0VzKV6DEFlm2Nd&#10;p7Ae1MplRAhltbmE6ruscQruqOfLioAiRLVNHFBneyoksmtAysL8VKpz7TRHb4VvtvhiKmmzjhFu&#10;RwtGykxuB2ZnWI/qqyF2eaR3ZS1ue96KdL0S61oAzyNSavIt0cxgT3WDjjdW1TjfYseZ21TyOmwO&#10;iqTCEVpcneA2Ncs3Euu0DNBNdGsm5Az1LMhNXFTC2Osx2Y10iTJExboX4waDeIeCJrY8pU0FIwRY&#10;mUsKj8MFKpFUvNjh++7ESnXvQHl9rSS6FyvV8yX3th4pFQn3Fm2U9R2lXYnzCo9zc7TBl9dVI5iV&#10;vTKnVeCs7L5BUmkTdx6DlToUcGrxk76cUyTrmYB925NSchsrlWjV321L90n9nFd2PPGdUBJtlBNO&#10;Vo4D4LyEMiJ83xP3DsevWklOL6FNxZ4zK6ezPbU2ceBN5pJSy8WRSFk3FV6MW5sSGZQVASeCxY8U&#10;78BlYNFTkyTjcASrr9q4Ly6WVzgsbslLm0pmhaPjoqfCtVEgnXuv4+6LrhznNUnxuF7r3aKkxm0q&#10;VqJj2yypzCWpFqocFrc2JNIqZz7wjUoCZn2Jwy11EaxHJdoPCMNRJhLtMLCgklHO4UPZYJE9NOQ/&#10;9cG4OfVTSrl29l6lRdzIlMHUFyw5KYuoWWcwsz8q6y/vAIHj13GZz84o2a7IOVi9GtkYPYv71DU5&#10;yU3o8E5NTjIouulSlWNDNwoToC9OwZqDhbfeLx/zA2up48E1FDsqdpb2sLteHQf7k8Vph6oczwMs&#10;zAoeYU2wncL1gxtbOqtUM3OInZaKTDUx3mrQti/CXMFXjNbXajmHQzdUqr2GOYBb0XVs4Tp+DtBZ&#10;glp7vPLitkrdeXlHGFvHSnvByAYnO6r9Mrb4shBlDoS5jO89qdsFxTAaL24/KXYJsOFMRB1dvgeH&#10;C14r5bS5zP06TP4aHjIOKkdW5djOdJ2kKsf2M5p+YSXG9w7W5ynPl0lJ6fjY1qjsrvGsGpQNXWQc&#10;BC6qj9WxcqVEowRMcfAdjfXWODdRCklSnlE4A+8VvF2QkuKiPEORke1GRzqqqAbd3mF183g8H8IH&#10;6a6Tv0o/X3qiu1LR70E8H396eHyEMN1BoqtQ+JoklBbp9fn4+HBL7/oXp08ff3g8bb7s8UMfrv9D&#10;//33rFsidjp+fr71rd0f9rd/5L8v+4fH8Le/6sQ/gEG/eUG/I3L+cPn68evm4RaLlV8y6L8+Hm9/&#10;+ftpczqGXxTBL6Dgj/vj6T/bzSt+TeR6e/735/3psN08/vkZP9cxgbogYl/8ixbZNF6c4nc+xu/s&#10;n2/Q1PX2ssWXENCfP1zCT5Z8fjk9fLpHT8Zb4Pn4B/wUx90D/WCG/82OoBW/wC+GeNPyr5vQT5LE&#10;r73U22+wfPdfAAAA//8DAFBLAwQUAAYACAAAACEAz/Bo09wAAAAIAQAADwAAAGRycy9kb3ducmV2&#10;LnhtbEyPQU+DQBCF7yb+h82YeDF2gSBSytIYk15NivW+ZaeAsrOEXVr01zue7HHee3nzvXK72EGc&#10;cfK9IwXxKgKB1DjTU6vg8L57zEH4oMnowREq+EYP2+r2ptSFcRfa47kOreAS8oVW0IUwFlL6pkOr&#10;/cqNSOyd3GR14HNqpZn0hcvtIJMoyqTVPfGHTo/42mHzVc9WQRanyaHdyef54+dzqdP9W04PqNT9&#10;3fKyARFwCf9h+MNndKiY6ehmMl4MCnhIYDXOUxBs5+uMlaOCdfKUgKxKeT2g+gUAAP//AwBQSwEC&#10;LQAUAAYACAAAACEAtoM4kv4AAADhAQAAEwAAAAAAAAAAAAAAAAAAAAAAW0NvbnRlbnRfVHlwZXNd&#10;LnhtbFBLAQItABQABgAIAAAAIQA4/SH/1gAAAJQBAAALAAAAAAAAAAAAAAAAAC8BAABfcmVscy8u&#10;cmVsc1BLAQItABQABgAIAAAAIQDaFg2g+hMAAMtlAAAOAAAAAAAAAAAAAAAAAC4CAABkcnMvZTJv&#10;RG9jLnhtbFBLAQItABQABgAIAAAAIQDP8GjT3AAAAAgBAAAPAAAAAAAAAAAAAAAAAFQWAABkcnMv&#10;ZG93bnJldi54bWxQSwUGAAAAAAQABADzAAAAXRc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44,268025;549903,308508;850077,308508;1155856,354574;1418663,283380;1700154,312695;1981645,288964;2238225,309904;2560195,307112;2826117,276400;3068996,307112;3389721,330843;3679931,295944;3992560,300132;4276542,315487;4528762,333635;4793438,291756;5030090,284776;5336491,332239;5667180,307112;5683372,885040;5667180,1602564;5645384,2215391;5683372,2916164;5666558,3554119;5673408,4092960;5650366,4705787;5604281,5336762;5281688,5339554;5027599,5324199;4736766,5329782;4424760,5326990;4155725,5286508;3859910,5326990;3566587,5322803;3295061,5326990;3017306,5350722;2730211,5326990;2447475,5331178;2177816,5335366;1908158,5279528;1599889,5326990;1289128,5366077;1035039,5326990;827035,5343742;525615,5321407;186207,5311635;7473,4976604;32384,4328878;2491,3778869;15569,3064136;14324,2489000;14946,1932011;23042,1207507;20551,432748" o:connectangles="0,0,0,0,0,0,0,0,0,0,0,0,0,0,0,0,0,0,0,0,0,0,0,0,0,0,0,0,0,0,0,0,0,0,0,0,0,0,0,0,0,0,0,0,0,0,0,0,0,0,0,0,0,0,0" textboxrect="0,0,9136,3670"/>
                <v:textbox>
                  <w:txbxContent>
                    <w:p w14:paraId="15B79991" w14:textId="77777777" w:rsidR="00E92358" w:rsidRPr="00E92358" w:rsidRDefault="00E92358" w:rsidP="00E92358">
                      <w:pPr>
                        <w:pStyle w:val="NoSpacing"/>
                        <w:spacing w:before="240"/>
                        <w:jc w:val="left"/>
                        <w:rPr>
                          <w:b/>
                          <w:bCs/>
                          <w:color w:val="9E6047" w:themeColor="accent3"/>
                        </w:rPr>
                      </w:pPr>
                      <w:r w:rsidRPr="00E92358">
                        <w:rPr>
                          <w:b/>
                          <w:bCs/>
                          <w:color w:val="9E6047" w:themeColor="accent3"/>
                        </w:rPr>
                        <w:t>Approach to contribution analysis</w:t>
                      </w:r>
                    </w:p>
                    <w:p w14:paraId="3F8B07CC" w14:textId="77777777" w:rsidR="00E92358" w:rsidRPr="00CC48F5" w:rsidRDefault="00E92358" w:rsidP="00E92358">
                      <w:pPr>
                        <w:pStyle w:val="NoSpacing"/>
                        <w:jc w:val="left"/>
                        <w:rPr>
                          <w:lang w:val="en-AU"/>
                        </w:rPr>
                      </w:pPr>
                      <w:r w:rsidRPr="00CC48F5">
                        <w:rPr>
                          <w:lang w:val="en-AU"/>
                        </w:rPr>
                        <w:t>Contribution analysis is a systematic and rigorous approach to establish (or discount) a plausible association between inputs (</w:t>
                      </w:r>
                      <w:r>
                        <w:rPr>
                          <w:lang w:val="en-AU"/>
                        </w:rPr>
                        <w:t>such as</w:t>
                      </w:r>
                      <w:r w:rsidRPr="00CC48F5">
                        <w:rPr>
                          <w:lang w:val="en-AU"/>
                        </w:rPr>
                        <w:t xml:space="preserve"> IAHP funding) and observed changes. It does this by demonstrating contribution rather than proving causality.</w:t>
                      </w:r>
                    </w:p>
                    <w:p w14:paraId="53B6F8D2" w14:textId="77777777" w:rsidR="00E92358" w:rsidRPr="00CC48F5" w:rsidRDefault="00E92358" w:rsidP="00E92358">
                      <w:pPr>
                        <w:pStyle w:val="NoSpacing"/>
                        <w:jc w:val="left"/>
                        <w:rPr>
                          <w:lang w:val="en-AU"/>
                        </w:rPr>
                      </w:pPr>
                      <w:r w:rsidRPr="00CC48F5">
                        <w:rPr>
                          <w:lang w:val="en-AU"/>
                        </w:rPr>
                        <w:t>The</w:t>
                      </w:r>
                      <w:r>
                        <w:rPr>
                          <w:lang w:val="en-AU"/>
                        </w:rPr>
                        <w:t xml:space="preserve"> evaluation used contribution</w:t>
                      </w:r>
                      <w:r w:rsidRPr="00CC48F5">
                        <w:rPr>
                          <w:lang w:val="en-AU"/>
                        </w:rPr>
                        <w:t xml:space="preserve"> analysis based on yarns and interviews with Aboriginal and Torres Strait Islander community members, </w:t>
                      </w:r>
                      <w:r>
                        <w:rPr>
                          <w:lang w:val="en-AU"/>
                        </w:rPr>
                        <w:t>ACCHS</w:t>
                      </w:r>
                      <w:r w:rsidRPr="00CC48F5">
                        <w:rPr>
                          <w:lang w:val="en-AU"/>
                        </w:rPr>
                        <w:t xml:space="preserve"> </w:t>
                      </w:r>
                      <w:r>
                        <w:rPr>
                          <w:lang w:val="en-AU"/>
                        </w:rPr>
                        <w:t>staff</w:t>
                      </w:r>
                      <w:r w:rsidRPr="00CC48F5">
                        <w:rPr>
                          <w:lang w:val="en-AU"/>
                        </w:rPr>
                        <w:t xml:space="preserve">, PHN staff, other site-based organisations, and national, state and territory </w:t>
                      </w:r>
                      <w:r>
                        <w:rPr>
                          <w:lang w:val="en-AU"/>
                        </w:rPr>
                        <w:t>participants</w:t>
                      </w:r>
                      <w:r w:rsidRPr="00CC48F5">
                        <w:rPr>
                          <w:lang w:val="en-AU"/>
                        </w:rPr>
                        <w:t xml:space="preserve">. </w:t>
                      </w:r>
                    </w:p>
                    <w:p w14:paraId="2D7476B8" w14:textId="77777777" w:rsidR="00E92358" w:rsidRPr="00CC48F5" w:rsidRDefault="00E92358" w:rsidP="00E92358">
                      <w:pPr>
                        <w:pStyle w:val="NoSpacing"/>
                        <w:jc w:val="left"/>
                        <w:rPr>
                          <w:lang w:val="en-AU"/>
                        </w:rPr>
                      </w:pPr>
                      <w:r w:rsidRPr="00CC48F5">
                        <w:rPr>
                          <w:lang w:val="en-AU"/>
                        </w:rPr>
                        <w:t xml:space="preserve">A grounded theory approach to contribution analysis involves an iterative process of building and refining the interpretations and understandings of observed contributions up through the data. It also </w:t>
                      </w:r>
                      <w:r>
                        <w:rPr>
                          <w:lang w:val="en-AU"/>
                        </w:rPr>
                        <w:t>enabled</w:t>
                      </w:r>
                      <w:r w:rsidRPr="00CC48F5">
                        <w:rPr>
                          <w:lang w:val="en-AU"/>
                        </w:rPr>
                        <w:t xml:space="preserve"> the contribution of the IAHP </w:t>
                      </w:r>
                      <w:r>
                        <w:rPr>
                          <w:lang w:val="en-AU"/>
                        </w:rPr>
                        <w:t>to be</w:t>
                      </w:r>
                      <w:r w:rsidRPr="00CC48F5">
                        <w:rPr>
                          <w:lang w:val="en-AU"/>
                        </w:rPr>
                        <w:t xml:space="preserve"> assessed against the values and aspirations of Aboriginal and Torres Strait Islander people, rather</w:t>
                      </w:r>
                      <w:r>
                        <w:rPr>
                          <w:lang w:val="en-AU"/>
                        </w:rPr>
                        <w:t xml:space="preserve"> than</w:t>
                      </w:r>
                      <w:r w:rsidRPr="00CC48F5">
                        <w:rPr>
                          <w:lang w:val="en-AU"/>
                        </w:rPr>
                        <w:t xml:space="preserve"> against a pre-existing theory of change (which is typically the purpose of contribution analysis).</w:t>
                      </w:r>
                    </w:p>
                    <w:p w14:paraId="67FB2FEE" w14:textId="77777777" w:rsidR="00E92358" w:rsidRPr="00CC48F5" w:rsidRDefault="00E92358" w:rsidP="00E92358">
                      <w:pPr>
                        <w:pStyle w:val="NoSpacing"/>
                        <w:jc w:val="left"/>
                        <w:rPr>
                          <w:lang w:val="en-AU"/>
                        </w:rPr>
                      </w:pPr>
                      <w:r w:rsidRPr="00CC48F5">
                        <w:rPr>
                          <w:lang w:val="en-AU"/>
                        </w:rPr>
                        <w:t xml:space="preserve">The process of analysis included the development of five contribution cases through a grounded theory (including open coding, theoretical memoing, comparative analysis, and inductive reasoning) analysis of </w:t>
                      </w:r>
                      <w:r>
                        <w:rPr>
                          <w:lang w:val="en-AU"/>
                        </w:rPr>
                        <w:t>C</w:t>
                      </w:r>
                      <w:r w:rsidRPr="00CC48F5">
                        <w:rPr>
                          <w:lang w:val="en-AU"/>
                        </w:rPr>
                        <w:t xml:space="preserve">ycle 1 and 2 qualitative data. It </w:t>
                      </w:r>
                      <w:r>
                        <w:rPr>
                          <w:lang w:val="en-AU"/>
                        </w:rPr>
                        <w:t xml:space="preserve">also </w:t>
                      </w:r>
                      <w:r w:rsidRPr="00CC48F5">
                        <w:rPr>
                          <w:lang w:val="en-AU"/>
                        </w:rPr>
                        <w:t>included two review and sense-checking stages. First, the cases were taken back to sense-check with community members, ACCH</w:t>
                      </w:r>
                      <w:r>
                        <w:rPr>
                          <w:lang w:val="en-AU"/>
                        </w:rPr>
                        <w:t>S</w:t>
                      </w:r>
                      <w:r w:rsidRPr="00CC48F5">
                        <w:rPr>
                          <w:lang w:val="en-AU"/>
                        </w:rPr>
                        <w:t xml:space="preserve"> and PHN staff in the 17 evaluation sites</w:t>
                      </w:r>
                      <w:r>
                        <w:rPr>
                          <w:lang w:val="en-AU"/>
                        </w:rPr>
                        <w:t>. Second</w:t>
                      </w:r>
                      <w:r w:rsidRPr="00CC48F5">
                        <w:rPr>
                          <w:lang w:val="en-AU"/>
                        </w:rPr>
                        <w:t>, the cases were presented to a review panel of health sector professionals, who critiqued and discussed the claims made by the evaluation about the IAHP’s contribution and the concepts/typologies used to describe the different types of contribution.</w:t>
                      </w:r>
                    </w:p>
                    <w:p w14:paraId="2A6ABB6B" w14:textId="77777777" w:rsidR="00E92358" w:rsidRPr="00032592" w:rsidRDefault="00E92358" w:rsidP="00E92358">
                      <w:pPr>
                        <w:pStyle w:val="NoSpacing"/>
                        <w:jc w:val="left"/>
                      </w:pPr>
                      <w:r w:rsidRPr="00CC48F5">
                        <w:rPr>
                          <w:lang w:val="en-AU"/>
                        </w:rPr>
                        <w:t>The review stages ensured that the contribution analysis captured the fullest construction of concepts and their theoretical development. The</w:t>
                      </w:r>
                      <w:r>
                        <w:rPr>
                          <w:lang w:val="en-AU"/>
                        </w:rPr>
                        <w:t xml:space="preserve"> review stages</w:t>
                      </w:r>
                      <w:r w:rsidRPr="00CC48F5">
                        <w:rPr>
                          <w:lang w:val="en-AU"/>
                        </w:rPr>
                        <w:t xml:space="preserve"> also allowed for the gaps and nuances of the IAHP’s contribution to be considered and to gain a deeper understanding of the implications of recommendations</w:t>
                      </w:r>
                      <w:r>
                        <w:rPr>
                          <w:lang w:val="en-AU"/>
                        </w:rPr>
                        <w:t xml:space="preserve"> informed by</w:t>
                      </w:r>
                      <w:r w:rsidRPr="00CC48F5">
                        <w:rPr>
                          <w:lang w:val="en-AU"/>
                        </w:rPr>
                        <w:t xml:space="preserve"> the analysis.</w:t>
                      </w:r>
                    </w:p>
                    <w:p w14:paraId="5BA4B84F" w14:textId="77777777" w:rsidR="00E92358" w:rsidRPr="00032592" w:rsidRDefault="00E92358" w:rsidP="00E92358">
                      <w:pPr>
                        <w:pStyle w:val="NoSpacing"/>
                      </w:pPr>
                    </w:p>
                  </w:txbxContent>
                </v:textbox>
                <w10:wrap type="topAndBottom" anchorx="margin"/>
              </v:shape>
            </w:pict>
          </mc:Fallback>
        </mc:AlternateContent>
      </w:r>
      <w:r w:rsidR="000563DF">
        <w:t xml:space="preserve">The findings reported in this section draw heavily on contribution analysis, </w:t>
      </w:r>
      <w:r w:rsidR="00493780">
        <w:t xml:space="preserve">adapted from </w:t>
      </w:r>
      <w:r w:rsidR="00493780" w:rsidRPr="00CC48F5">
        <w:t>John Mayne’s (2008)</w:t>
      </w:r>
      <w:r w:rsidR="00493780">
        <w:t xml:space="preserve"> and combined with a grounded theory approach. </w:t>
      </w:r>
      <w:r w:rsidR="00AF3CF9">
        <w:t xml:space="preserve">The evaluation’s approach to contribution analysis is discussed </w:t>
      </w:r>
      <w:r>
        <w:t>below.</w:t>
      </w:r>
    </w:p>
    <w:p w14:paraId="3C11576C" w14:textId="6DAFEA53" w:rsidR="00EE2B45" w:rsidRPr="00884FAA" w:rsidRDefault="00EE2B45" w:rsidP="00651D06">
      <w:pPr>
        <w:pStyle w:val="Heading3"/>
      </w:pPr>
      <w:r w:rsidRPr="00884FAA">
        <w:lastRenderedPageBreak/>
        <w:t xml:space="preserve">The </w:t>
      </w:r>
      <w:r w:rsidR="000F7ACE">
        <w:t>PHC Program</w:t>
      </w:r>
      <w:r w:rsidRPr="00884FAA">
        <w:t xml:space="preserve"> contributes to people accessing and navigating the health system</w:t>
      </w:r>
    </w:p>
    <w:p w14:paraId="46F2EF61" w14:textId="31086AAC" w:rsidR="00C426B9" w:rsidRPr="00884FAA" w:rsidRDefault="00EE2B45" w:rsidP="00EE2B45">
      <w:r w:rsidRPr="00884FAA">
        <w:t xml:space="preserve">The IAHP </w:t>
      </w:r>
      <w:r w:rsidR="000F7ACE">
        <w:t>PHC Program</w:t>
      </w:r>
      <w:r w:rsidRPr="00884FAA">
        <w:t xml:space="preserve"> is critical to improving access to PHC services. Central to this is the contribution the </w:t>
      </w:r>
      <w:r w:rsidR="000F7ACE">
        <w:t>PHC Program</w:t>
      </w:r>
      <w:r w:rsidRPr="00884FAA">
        <w:t xml:space="preserve"> makes to the </w:t>
      </w:r>
      <w:r w:rsidR="00C426B9" w:rsidRPr="00884FAA">
        <w:t xml:space="preserve">service </w:t>
      </w:r>
      <w:r w:rsidRPr="00884FAA">
        <w:t xml:space="preserve">capacity of ACCHSs. </w:t>
      </w:r>
    </w:p>
    <w:p w14:paraId="0053977D" w14:textId="7B748D39" w:rsidR="00EE2B45" w:rsidRPr="00884FAA" w:rsidRDefault="00EE2B45" w:rsidP="00EE2B45">
      <w:r w:rsidRPr="00884FAA">
        <w:t xml:space="preserve">The </w:t>
      </w:r>
      <w:r w:rsidR="000F7ACE">
        <w:t>PHC Program</w:t>
      </w:r>
      <w:r w:rsidRPr="00884FAA">
        <w:t xml:space="preserve"> contributes</w:t>
      </w:r>
      <w:r w:rsidR="003B4F27" w:rsidRPr="00884FAA">
        <w:t xml:space="preserve"> to people accessing and navigating the health system</w:t>
      </w:r>
      <w:r w:rsidRPr="00884FAA">
        <w:t xml:space="preserve"> in the following ways</w:t>
      </w:r>
      <w:r w:rsidR="001952EA" w:rsidRPr="00884FAA">
        <w:t>.</w:t>
      </w:r>
    </w:p>
    <w:p w14:paraId="21E7544E" w14:textId="7998CEF8" w:rsidR="00EE2B45" w:rsidRPr="00884FAA" w:rsidRDefault="00EE2B45" w:rsidP="003B3C05">
      <w:pPr>
        <w:numPr>
          <w:ilvl w:val="0"/>
          <w:numId w:val="19"/>
        </w:numPr>
        <w:spacing w:after="120"/>
      </w:pPr>
      <w:r w:rsidRPr="00884FAA">
        <w:rPr>
          <w:b/>
          <w:bCs/>
        </w:rPr>
        <w:t xml:space="preserve">Supporting people to travel: </w:t>
      </w:r>
      <w:r w:rsidRPr="00884FAA">
        <w:t xml:space="preserve">Most ACCHSs have a driver and vehicles to assist clients with transport to and from the health service and/or to and from specialist appointments. ACCHS staff also </w:t>
      </w:r>
      <w:r w:rsidR="001B39BD">
        <w:t xml:space="preserve">shared examples of </w:t>
      </w:r>
      <w:r w:rsidRPr="00884FAA">
        <w:t xml:space="preserve">compensating clients’ use of public transport. </w:t>
      </w:r>
    </w:p>
    <w:p w14:paraId="4299E929" w14:textId="77777777" w:rsidR="00EE2B45" w:rsidRPr="00884FAA" w:rsidRDefault="00EE2B45" w:rsidP="003B3C05">
      <w:pPr>
        <w:numPr>
          <w:ilvl w:val="0"/>
          <w:numId w:val="19"/>
        </w:numPr>
        <w:spacing w:after="120"/>
      </w:pPr>
      <w:r w:rsidRPr="00884FAA">
        <w:rPr>
          <w:b/>
          <w:bCs/>
        </w:rPr>
        <w:t>Supporting home visits</w:t>
      </w:r>
      <w:r w:rsidRPr="00884FAA">
        <w:t>: Some health services said clients have the opportunity to have their health checks and treatments done in their homes. This happens particularly for older clients and those who are disabled or too sick to easily leave home.</w:t>
      </w:r>
    </w:p>
    <w:p w14:paraId="2592B44B" w14:textId="477F7E8A" w:rsidR="00EE2B45" w:rsidRPr="00884FAA" w:rsidRDefault="00EE2B45" w:rsidP="003B3C05">
      <w:pPr>
        <w:numPr>
          <w:ilvl w:val="0"/>
          <w:numId w:val="19"/>
        </w:numPr>
        <w:spacing w:after="120"/>
      </w:pPr>
      <w:r w:rsidRPr="00884FAA">
        <w:rPr>
          <w:b/>
          <w:bCs/>
        </w:rPr>
        <w:t xml:space="preserve">Providing low cost or free </w:t>
      </w:r>
      <w:r w:rsidR="00807F93" w:rsidRPr="00884FAA">
        <w:rPr>
          <w:b/>
          <w:bCs/>
        </w:rPr>
        <w:t>health care</w:t>
      </w:r>
      <w:r w:rsidRPr="00884FAA">
        <w:rPr>
          <w:b/>
          <w:bCs/>
        </w:rPr>
        <w:t xml:space="preserve">: </w:t>
      </w:r>
      <w:r w:rsidRPr="00884FAA">
        <w:t xml:space="preserve">All ACCHSs bulk bill and provide access to subsidised PBS medicines so </w:t>
      </w:r>
      <w:r w:rsidR="00807F93" w:rsidRPr="00884FAA">
        <w:t>health care</w:t>
      </w:r>
      <w:r w:rsidRPr="00884FAA">
        <w:t xml:space="preserve"> is free or provided at a reduced cost. Some ACCHSs have opening hours that support people who cannot attend a clinic during the daytime.</w:t>
      </w:r>
      <w:r w:rsidRPr="00884FAA">
        <w:rPr>
          <w:b/>
          <w:bCs/>
        </w:rPr>
        <w:t xml:space="preserve"> </w:t>
      </w:r>
      <w:r w:rsidRPr="00884FAA">
        <w:t>Further, most health services provide care in remote communities through outreach clinics and/or mobile clinics (</w:t>
      </w:r>
      <w:r w:rsidR="003B4F27" w:rsidRPr="00884FAA">
        <w:t>for example,</w:t>
      </w:r>
      <w:r w:rsidRPr="00884FAA">
        <w:t xml:space="preserve"> a health bus). The availability of such services in remote communities (even if for a limited number of days) is important for those who are not able to commute to towns with large health hubs. </w:t>
      </w:r>
    </w:p>
    <w:p w14:paraId="081B7864" w14:textId="4A363D06" w:rsidR="00EE2B45" w:rsidRPr="00884FAA" w:rsidRDefault="00EE2B45" w:rsidP="003B3C05">
      <w:pPr>
        <w:numPr>
          <w:ilvl w:val="0"/>
          <w:numId w:val="19"/>
        </w:numPr>
        <w:spacing w:after="120"/>
      </w:pPr>
      <w:r w:rsidRPr="00884FAA">
        <w:rPr>
          <w:b/>
          <w:bCs/>
        </w:rPr>
        <w:t xml:space="preserve">Accessing care through Telehealth: </w:t>
      </w:r>
      <w:r w:rsidRPr="00884FAA">
        <w:t>Access to telehealth was expanded in March 2020 to reduce the risk of community transmission of COVID-19. This meant MBS items could be claimed through telehealth. As of 1 January 2022, MBS Telehealth arrangements became ongoing</w:t>
      </w:r>
      <w:r w:rsidR="00B34210" w:rsidRPr="00884FAA">
        <w:t xml:space="preserve"> </w:t>
      </w:r>
      <w:r w:rsidRPr="00884FAA">
        <w:fldChar w:fldCharType="begin"/>
      </w:r>
      <w:r w:rsidR="00F8760E">
        <w:instrText xml:space="preserve"> ADDIN ZOTERO_ITEM CSL_CITATION {"citationID":"kc2fEfrN","properties":{"formattedCitation":"(Australian Department of Health, 2020b)","plainCitation":"(Australian Department of Health, 2020b)","noteIndex":0},"citationItems":[{"id":3782,"uris":["http://zotero.org/groups/5010721/items/KV75CEN5",["http://zotero.org/groups/5010721/items/KV75CEN5"],["http://zotero.org/groups/5010721/items/KV75CEN5",["http://zotero.org/groups/5010721/items/KV75CEN5"]]],"itemData":{"id":3782,"type":"webpage","abstract":"To protect patients and healthcare providers from COVID-19 transmission, we have expanded telehealth services, fast-tracked electronic prescribing, and supported home delivery of medicines to vulnerable people. This allows health professionals to provide care remotely.","container-title":"www.health.gov.au","genre":"website text","language":"en","note":"Commonwealth of Australia","title":"Providing health care remotely during the COVID-19 pandemic","URL":"https://www.health.gov.au/health-alerts/covid-19/coronavirus-covid-19-advice-for-the-health-and-disability-sector/providing-health-care-remotely-during-the-covid-19-pandemic","author":[{"literal":"Australian Department of Health"}],"accessed":{"date-parts":[["2023",3,21]]},"issued":{"date-parts":[["2020",5,4]]}}}],"schema":"https://github.com/citation-style-language/schema/raw/master/csl-citation.json"} </w:instrText>
      </w:r>
      <w:r w:rsidRPr="00884FAA">
        <w:fldChar w:fldCharType="separate"/>
      </w:r>
      <w:r w:rsidR="002730C3" w:rsidRPr="002730C3">
        <w:rPr>
          <w:rFonts w:ascii="Arial" w:hAnsi="Arial" w:cs="Arial"/>
        </w:rPr>
        <w:t>(Australian Department of Health, 2020b)</w:t>
      </w:r>
      <w:r w:rsidRPr="00884FAA">
        <w:fldChar w:fldCharType="end"/>
      </w:r>
      <w:r w:rsidRPr="00884FAA">
        <w:t xml:space="preserve">. For some remote ACCHSs who don’t have a GP available, this has made it easier to get MBS claims signed off by a GP. A nurse or an Aboriginal </w:t>
      </w:r>
      <w:r w:rsidR="00C303AF">
        <w:t>and Torres Strait Islander H</w:t>
      </w:r>
      <w:r w:rsidRPr="00884FAA">
        <w:t xml:space="preserve">ealth </w:t>
      </w:r>
      <w:r w:rsidR="00C303AF">
        <w:t>W</w:t>
      </w:r>
      <w:r w:rsidRPr="00884FAA">
        <w:t>orker can go through the consultation with the client and then add 10 minutes for a GP to attend and finish off through telehealth. Further, ACCHSs aim to avoid referrals and make specialists available and accessible to the community.</w:t>
      </w:r>
    </w:p>
    <w:p w14:paraId="20E65152" w14:textId="12BC5DB1" w:rsidR="00EE2B45" w:rsidRPr="00884FAA" w:rsidRDefault="00D23DA3" w:rsidP="003B3C05">
      <w:pPr>
        <w:numPr>
          <w:ilvl w:val="0"/>
          <w:numId w:val="19"/>
        </w:numPr>
        <w:spacing w:after="120"/>
      </w:pPr>
      <w:r w:rsidRPr="00884FAA">
        <w:rPr>
          <w:b/>
          <w:bCs/>
        </w:rPr>
        <w:t>Appointment times:</w:t>
      </w:r>
      <w:r w:rsidRPr="00884FAA">
        <w:t xml:space="preserve"> </w:t>
      </w:r>
      <w:r w:rsidR="00EE2B45" w:rsidRPr="00884FAA">
        <w:t xml:space="preserve">ACCHSs reported that they deliberately set longer appointment times for clients to facilitate stronger engagement.   </w:t>
      </w:r>
    </w:p>
    <w:p w14:paraId="3ECA8B15" w14:textId="7DA04370" w:rsidR="00EE2B45" w:rsidRPr="00884FAA" w:rsidRDefault="00EE2B45" w:rsidP="00EE2B45">
      <w:r w:rsidRPr="00884FAA">
        <w:t xml:space="preserve">While the evidence identifies that the </w:t>
      </w:r>
      <w:r w:rsidR="000F7ACE">
        <w:t>PHC Program</w:t>
      </w:r>
      <w:r w:rsidRPr="00884FAA">
        <w:t xml:space="preserve"> supports people to confidently access and navigate PHC systems, participants raised several factors that inhibit this contribution. </w:t>
      </w:r>
    </w:p>
    <w:p w14:paraId="7B468BBA" w14:textId="3C1F0628" w:rsidR="00EE2B45" w:rsidRPr="00884FAA" w:rsidRDefault="00EE2B45" w:rsidP="00EE2B45">
      <w:r w:rsidRPr="00884FAA">
        <w:t>First, staff in all ACCHSs shared a concern that there are many areas of health that they are unable to cover efficiently. They raised strong concerns about the lack of funding for health promotion and preventative care. They also described that they were not able to reach the most vulnerable in their communities. For example, many reported that young people, elders, transient populations, pregnant women</w:t>
      </w:r>
      <w:r w:rsidR="00F545A5" w:rsidRPr="00884FAA">
        <w:t>,</w:t>
      </w:r>
      <w:r w:rsidRPr="00884FAA">
        <w:t xml:space="preserve"> and people experiencing mental health illnesses were missing out on services.</w:t>
      </w:r>
      <w:r w:rsidR="00652663">
        <w:t xml:space="preserve"> These gaps in </w:t>
      </w:r>
      <w:r w:rsidR="005A03C5">
        <w:t xml:space="preserve">access to </w:t>
      </w:r>
      <w:r w:rsidR="00652663">
        <w:t>service</w:t>
      </w:r>
      <w:r w:rsidR="005A03C5">
        <w:t xml:space="preserve">s </w:t>
      </w:r>
      <w:r w:rsidR="00652663">
        <w:t xml:space="preserve">are </w:t>
      </w:r>
      <w:r w:rsidR="005A03C5">
        <w:t xml:space="preserve">considered further in </w:t>
      </w:r>
      <w:r w:rsidR="003E44D0">
        <w:t>Section 6.5.</w:t>
      </w:r>
      <w:r w:rsidR="005A03C5">
        <w:t xml:space="preserve"> </w:t>
      </w:r>
    </w:p>
    <w:p w14:paraId="5C6B5C60" w14:textId="520D6406" w:rsidR="00EE2B45" w:rsidRPr="00884FAA" w:rsidRDefault="00EE2B45" w:rsidP="00EE2B45">
      <w:r w:rsidRPr="00884FAA">
        <w:lastRenderedPageBreak/>
        <w:t xml:space="preserve">Second, some staff in ACCHSs said that funding is insufficient to meet the needs of their communities and make services as affordable as needed. While bulk billing is not normally an issue for ACCHSs, some staff spoke of challenges in finding qualified specialists that will bulk bill. If health services are not able to find specialists that can bulk bill it will often lead to clients having to go on long waitlists in the public system. </w:t>
      </w:r>
    </w:p>
    <w:p w14:paraId="1DC3A7D1" w14:textId="77777777" w:rsidR="00EE2B45" w:rsidRPr="00884FAA" w:rsidRDefault="00EE2B45" w:rsidP="00EE2B45">
      <w:r w:rsidRPr="00884FAA">
        <w:t xml:space="preserve">Third, despite the availability of subsidies and compensation for transport costs, health services cannot cover all costs associated with specialist appointments and treatment, which can result in clients missing out or choosing not to engage. </w:t>
      </w:r>
    </w:p>
    <w:p w14:paraId="7609C7B4" w14:textId="51022AC0" w:rsidR="00EE2B45" w:rsidRPr="00884FAA" w:rsidRDefault="00EE2B45" w:rsidP="00EE2B45">
      <w:r w:rsidRPr="00884FAA">
        <w:t xml:space="preserve">Finally, although ACCHS and other </w:t>
      </w:r>
      <w:r w:rsidR="000F7ACE">
        <w:t>PHC Program</w:t>
      </w:r>
      <w:r w:rsidRPr="00884FAA">
        <w:t xml:space="preserve"> funded organisations reach some remote communities, the issue of remoteness continues to be a significant barrier to accessing </w:t>
      </w:r>
      <w:r w:rsidR="00807F93" w:rsidRPr="00884FAA">
        <w:t>health care</w:t>
      </w:r>
      <w:r w:rsidRPr="00884FAA">
        <w:t xml:space="preserve">. </w:t>
      </w:r>
    </w:p>
    <w:p w14:paraId="70A75F37" w14:textId="7C07D168" w:rsidR="004F539A" w:rsidRPr="00884FAA" w:rsidRDefault="004E2EA2" w:rsidP="00651D06">
      <w:pPr>
        <w:pStyle w:val="Heading3"/>
      </w:pPr>
      <w:bookmarkStart w:id="189" w:name="_Ref137157966"/>
      <w:r w:rsidRPr="00884FAA">
        <w:t>The ITC program</w:t>
      </w:r>
      <w:r w:rsidR="004156B7" w:rsidRPr="00884FAA">
        <w:t xml:space="preserve"> </w:t>
      </w:r>
      <w:r w:rsidR="00E8093F" w:rsidRPr="00884FAA">
        <w:t>makes a direct contrib</w:t>
      </w:r>
      <w:r w:rsidR="004E5CE6" w:rsidRPr="00884FAA">
        <w:t xml:space="preserve">ution to </w:t>
      </w:r>
      <w:r w:rsidR="00807F93" w:rsidRPr="00884FAA">
        <w:t>health care</w:t>
      </w:r>
      <w:r w:rsidR="00C85A01" w:rsidRPr="00884FAA">
        <w:t xml:space="preserve"> </w:t>
      </w:r>
      <w:r w:rsidR="004E5CE6" w:rsidRPr="00884FAA">
        <w:t>access</w:t>
      </w:r>
      <w:bookmarkEnd w:id="189"/>
    </w:p>
    <w:p w14:paraId="3A76A472" w14:textId="77777777" w:rsidR="00F03FB8" w:rsidRPr="00884FAA" w:rsidRDefault="00F03FB8" w:rsidP="00F03FB8">
      <w:r w:rsidRPr="00884FAA">
        <w:t>The ITC program assists Aboriginal and Torres Strait Islander people with complex chronic diseases to manage their health conditions. The program has two main aims:</w:t>
      </w:r>
    </w:p>
    <w:p w14:paraId="748F8918" w14:textId="77777777" w:rsidR="00F03FB8" w:rsidRPr="00884FAA" w:rsidRDefault="00F03FB8" w:rsidP="00FA3B1D">
      <w:pPr>
        <w:pStyle w:val="Bullet-Number"/>
        <w:numPr>
          <w:ilvl w:val="0"/>
          <w:numId w:val="22"/>
        </w:numPr>
        <w:rPr>
          <w:lang w:val="en-AU"/>
        </w:rPr>
      </w:pPr>
      <w:r w:rsidRPr="00884FAA">
        <w:rPr>
          <w:lang w:val="en-AU"/>
        </w:rPr>
        <w:t>To contribute to improving health outcomes for Aboriginal and Torres Strait Islander people with chronic health conditions through better access to coordinated and multidisciplinary care.</w:t>
      </w:r>
    </w:p>
    <w:p w14:paraId="418B5C33" w14:textId="77777777" w:rsidR="00F03FB8" w:rsidRPr="00884FAA" w:rsidRDefault="00F03FB8" w:rsidP="00FA3B1D">
      <w:pPr>
        <w:pStyle w:val="Bullet-Number"/>
        <w:numPr>
          <w:ilvl w:val="0"/>
          <w:numId w:val="22"/>
        </w:numPr>
        <w:rPr>
          <w:lang w:val="en-AU"/>
        </w:rPr>
      </w:pPr>
      <w:r w:rsidRPr="00884FAA">
        <w:rPr>
          <w:lang w:val="en-AU"/>
        </w:rPr>
        <w:t xml:space="preserve">To contribute to closing the gap in life expectancy by improved access to culturally appropriate mainstream primary care for Aboriginal and Torres Strait Islander people. </w:t>
      </w:r>
    </w:p>
    <w:p w14:paraId="1A5CDB62" w14:textId="49852704" w:rsidR="00F03FB8" w:rsidRPr="00884FAA" w:rsidRDefault="00F03FB8" w:rsidP="00F03FB8">
      <w:r w:rsidRPr="00884FAA">
        <w:t>To be eligible for ITC, Aboriginal and Torres Strait Islander clients must be enrolled for chronic disease management in a general practice or an Aboriginal or Torres Strait Islander health service, have a management plan</w:t>
      </w:r>
      <w:r w:rsidR="00AA4BF5" w:rsidRPr="00884FAA">
        <w:t>,</w:t>
      </w:r>
      <w:r w:rsidRPr="00884FAA">
        <w:t xml:space="preserve"> and be referred by their GP. An eligible condition is one that has been, or is likely to be, present for at least 6 months. Priority is given to clients with complex chronic care needs who require multidisciplinary coordinated care to manage their disease. </w:t>
      </w:r>
    </w:p>
    <w:p w14:paraId="775903AF" w14:textId="7BCB33EC" w:rsidR="00F03FB8" w:rsidRPr="00884FAA" w:rsidRDefault="00F03FB8" w:rsidP="00F03FB8">
      <w:r w:rsidRPr="00884FAA">
        <w:t xml:space="preserve">There are two main mechanisms through which ITC supports people with complex chronic diseases: </w:t>
      </w:r>
      <w:r w:rsidR="009B38DC">
        <w:t>(i)</w:t>
      </w:r>
      <w:r w:rsidR="00BA6AD0">
        <w:t xml:space="preserve"> </w:t>
      </w:r>
      <w:r w:rsidRPr="00884FAA">
        <w:t>through supplementary services funding, and (</w:t>
      </w:r>
      <w:r w:rsidR="009B38DC">
        <w:t>ii</w:t>
      </w:r>
      <w:r w:rsidRPr="00884FAA">
        <w:t xml:space="preserve">) through one-to-one assistance by care coordinators and outreach workers. ITC services are commissioned by PHNs, with the exception of services in South East Queensland where, since July 2022, the funding is provided directly from the department to </w:t>
      </w:r>
      <w:r w:rsidR="005B29FD">
        <w:t>a</w:t>
      </w:r>
      <w:r w:rsidR="005B29FD" w:rsidRPr="00884FAA">
        <w:t xml:space="preserve"> </w:t>
      </w:r>
      <w:r w:rsidR="00B54128" w:rsidRPr="00884FAA">
        <w:t xml:space="preserve">regional </w:t>
      </w:r>
      <w:r w:rsidR="005B29FD">
        <w:t>ACCHS</w:t>
      </w:r>
      <w:r w:rsidR="0023147C">
        <w:t>.</w:t>
      </w:r>
    </w:p>
    <w:p w14:paraId="4CD2C2BD" w14:textId="3F716B31" w:rsidR="00320C07" w:rsidRPr="00884FAA" w:rsidRDefault="00320C07" w:rsidP="00320C07">
      <w:r w:rsidRPr="00884FAA">
        <w:t xml:space="preserve">While </w:t>
      </w:r>
      <w:r w:rsidR="001073DE">
        <w:t>the</w:t>
      </w:r>
      <w:r w:rsidR="001073DE" w:rsidRPr="00884FAA">
        <w:t xml:space="preserve"> </w:t>
      </w:r>
      <w:r w:rsidRPr="00884FAA">
        <w:t>evaluation does not focus on the experience of the ITC program, participants shared many perspectives on the program. People identified the ITC program as an initiative that directly targets many of the challenges associated with a fragmented health system.</w:t>
      </w:r>
    </w:p>
    <w:p w14:paraId="6B674021" w14:textId="77777777" w:rsidR="00E778B2" w:rsidRDefault="00E778B2">
      <w:pPr>
        <w:jc w:val="left"/>
        <w:rPr>
          <w:rFonts w:cstheme="minorHAnsi"/>
          <w:b/>
          <w:bCs/>
          <w:color w:val="9E6047" w:themeColor="accent3"/>
          <w:sz w:val="24"/>
          <w:szCs w:val="24"/>
        </w:rPr>
      </w:pPr>
      <w:bookmarkStart w:id="190" w:name="_Toc128408933"/>
      <w:r>
        <w:br w:type="page"/>
      </w:r>
    </w:p>
    <w:p w14:paraId="74184AA3" w14:textId="0E8813AA" w:rsidR="008C20CD" w:rsidRPr="00884FAA" w:rsidRDefault="00EF5886" w:rsidP="005C71C3">
      <w:pPr>
        <w:pStyle w:val="Heading6"/>
        <w:numPr>
          <w:ilvl w:val="0"/>
          <w:numId w:val="0"/>
        </w:numPr>
        <w:rPr>
          <w:lang w:val="en-AU"/>
        </w:rPr>
      </w:pPr>
      <w:r w:rsidRPr="00884FAA">
        <w:rPr>
          <w:lang w:val="en-AU"/>
        </w:rPr>
        <w:lastRenderedPageBreak/>
        <w:t xml:space="preserve">Supplementary services funding </w:t>
      </w:r>
      <w:r w:rsidR="008C20CD" w:rsidRPr="00884FAA">
        <w:rPr>
          <w:lang w:val="en-AU"/>
        </w:rPr>
        <w:t>contributes to affordable and timely health care</w:t>
      </w:r>
      <w:bookmarkEnd w:id="190"/>
    </w:p>
    <w:p w14:paraId="62F437BD" w14:textId="7575F2A7" w:rsidR="008C20CD" w:rsidRPr="00884FAA" w:rsidRDefault="008C20CD" w:rsidP="00021115">
      <w:r w:rsidRPr="00884FAA">
        <w:t>ITC supplementary services funding covers:</w:t>
      </w:r>
    </w:p>
    <w:p w14:paraId="4E0B367C" w14:textId="01FF982D" w:rsidR="008C20CD" w:rsidRPr="00884FAA" w:rsidRDefault="008C20CD" w:rsidP="003B3C05">
      <w:pPr>
        <w:numPr>
          <w:ilvl w:val="0"/>
          <w:numId w:val="19"/>
        </w:numPr>
        <w:spacing w:after="120"/>
      </w:pPr>
      <w:r w:rsidRPr="00884FAA">
        <w:rPr>
          <w:b/>
        </w:rPr>
        <w:t>Fees for service:</w:t>
      </w:r>
      <w:r w:rsidRPr="00884FAA">
        <w:t xml:space="preserve"> Enabling people to directly access medical specialist and allied health services, where these services are not otherwise available in a clinically acceptable timeframe. Funds may also be used to directly pay fees for services by allied health providers or to pay in full or meet the difference between MBS rebates and fees charged by private specialists or allied health providers</w:t>
      </w:r>
      <w:r w:rsidR="006364A5" w:rsidRPr="00884FAA">
        <w:t xml:space="preserve"> </w:t>
      </w:r>
      <w:r w:rsidR="002D18D6" w:rsidRPr="00884FAA">
        <w:fldChar w:fldCharType="begin"/>
      </w:r>
      <w:r w:rsidR="00F8760E">
        <w:instrText xml:space="preserve"> ADDIN ZOTERO_ITEM CSL_CITATION {"citationID":"6cNM6aQC","properties":{"formattedCitation":"(Australian Department of Health, 2019d)","plainCitation":"(Australian Department of Health, 2019d)","noteIndex":0},"citationItems":[{"id":3768,"uris":["http://zotero.org/groups/5010721/items/LHLKIM9B",["http://zotero.org/groups/5010721/items/LHLKIM9B"],["http://zotero.org/groups/5010721/items/LHLKIM9B",["http://zotero.org/groups/5010721/items/LHLKIM9B"]]],"itemData":{"id":3768,"type":"document","publisher":"Commonwealth of Australia","title":"Integrated Team Care: Program Implementation Guidelines","URL":"https://www.health.gov.au/sites/default/files/documents/2020/12/integrated-team-care-program-implementation-guidelines.pdf","author":[{"literal":"Australian Department of Health"}],"accessed":{"date-parts":[["2022",9,15]]},"issued":{"date-parts":[["2019",4]]}}}],"schema":"https://github.com/citation-style-language/schema/raw/master/csl-citation.json"} </w:instrText>
      </w:r>
      <w:r w:rsidR="002D18D6" w:rsidRPr="00884FAA">
        <w:fldChar w:fldCharType="separate"/>
      </w:r>
      <w:r w:rsidR="002730C3" w:rsidRPr="002730C3">
        <w:rPr>
          <w:rFonts w:ascii="Arial" w:hAnsi="Arial" w:cs="Arial"/>
        </w:rPr>
        <w:t>(Australian Department of Health, 2019d)</w:t>
      </w:r>
      <w:r w:rsidR="002D18D6" w:rsidRPr="00884FAA">
        <w:fldChar w:fldCharType="end"/>
      </w:r>
      <w:r w:rsidRPr="00884FAA">
        <w:t xml:space="preserve">. </w:t>
      </w:r>
    </w:p>
    <w:p w14:paraId="1F36114F" w14:textId="42E876E4" w:rsidR="008C20CD" w:rsidRPr="00884FAA" w:rsidRDefault="008C20CD" w:rsidP="003B3C05">
      <w:pPr>
        <w:numPr>
          <w:ilvl w:val="0"/>
          <w:numId w:val="19"/>
        </w:numPr>
        <w:spacing w:after="120"/>
      </w:pPr>
      <w:r w:rsidRPr="00884FAA">
        <w:rPr>
          <w:b/>
        </w:rPr>
        <w:t>Transport:</w:t>
      </w:r>
      <w:r w:rsidRPr="00884FAA">
        <w:t xml:space="preserve"> Enabling eligible people to directly access the closest regionally available </w:t>
      </w:r>
      <w:r w:rsidR="00807F93" w:rsidRPr="00884FAA">
        <w:t>health care</w:t>
      </w:r>
      <w:r w:rsidRPr="00884FAA">
        <w:t xml:space="preserve"> professionals in a clinically appropriate timeframe</w:t>
      </w:r>
      <w:r w:rsidR="009D675A" w:rsidRPr="00884FAA">
        <w:t xml:space="preserve"> </w:t>
      </w:r>
      <w:r w:rsidR="0016037B" w:rsidRPr="00884FAA">
        <w:fldChar w:fldCharType="begin"/>
      </w:r>
      <w:r w:rsidR="00F8760E">
        <w:instrText xml:space="preserve"> ADDIN ZOTERO_ITEM CSL_CITATION {"citationID":"MREsPUmh","properties":{"formattedCitation":"(Chakraborty et al., 2021)","plainCitation":"(Chakraborty et al., 2021)","noteIndex":0},"citationItems":[{"id":3728,"uris":["http://zotero.org/groups/5010721/items/HB4RNH9Q",["http://zotero.org/groups/5010721/items/HB4RNH9Q"],["http://zotero.org/groups/5010721/items/HB4RNH9Q",["http://zotero.org/groups/5010721/items/HB4RNH9Q"]]],"itemData":{"id":3728,"type":"article-journal","abstract":"The high prevalence of preventable infectious and chronic diseases in Australian Indigenous populations is a major public health concern. Existing research has rarely examined the role of built and socio-political environmental factors relating to remote Indigenous health and wellbeing. This research identiﬁed built and socio-political environmental indicators from publicly available grey literature documents locally-relevant to remote Indigenous communities in the Northern Territory (NT), Australia. Existing planning documents with evidence of community input were used to reduce the response burden on Indigenous communities. A scoping review of community-focused planning documents resulted in the identiﬁcation of 1120 built and 2215 socio-political environmental indicators. Indicators were systematically classiﬁed using an Indigenous indicator classiﬁcation system (IICS). Applying the IICS yielded indicators prominently featuring the “community infrastructure” domain within the built environment, and the “community capacity” domain within the socio-political environment. This research demonstrates the utility of utilizing existing planning documents and a culturally appropriate systematic classiﬁcation system to consolidate environmental determinants that inﬂuence health and disease occurrence. The ﬁndings also support understanding of which features of community-level built and socio-political environments amenable to public health and social policy actions might be targeted to help reduce the prevalence of infectious and chronic diseases in Indigenous communities.","container-title":"International Journal of Environmental Research and Public Health","DOI":"10.3390/ijerph18084167","ISSN":"1660-4601","issue":"8","journalAbbreviation":"IJERPH","language":"en","page":"4167","source":"DOI.org (Crossref)","title":"Identifying Environmental Determinants Relevant to Health and Wellbeing in Remote Australian Indigenous Communities: A Scoping Review of Grey Literature","title-short":"Identifying Environmental Determinants Relevant to Health and Wellbeing in Remote Australian Indigenous Communities","URL":"https://www.mdpi.com/1660-4601/18/8/4167","volume":"18","author":[{"family":"Chakraborty","given":"Amal"},{"family":"Daniel","given":"Mark"},{"family":"Howard","given":"Natasha J."},{"family":"Chong","given":"Alwin"},{"family":"Slavin","given":"Nicola"},{"family":"Brown","given":"Alex"},{"family":"Cargo","given":"Margaret"}],"accessed":{"date-parts":[["2021",9,28]]},"issued":{"date-parts":[["2021",4,15]]}}}],"schema":"https://github.com/citation-style-language/schema/raw/master/csl-citation.json"} </w:instrText>
      </w:r>
      <w:r w:rsidR="0016037B" w:rsidRPr="00884FAA">
        <w:fldChar w:fldCharType="separate"/>
      </w:r>
      <w:r w:rsidR="00146A03" w:rsidRPr="00146A03">
        <w:rPr>
          <w:rFonts w:ascii="Arial" w:hAnsi="Arial" w:cs="Arial"/>
        </w:rPr>
        <w:t>(Chakraborty et al., 2021)</w:t>
      </w:r>
      <w:r w:rsidR="0016037B" w:rsidRPr="00884FAA">
        <w:fldChar w:fldCharType="end"/>
      </w:r>
      <w:r w:rsidRPr="00884FAA">
        <w:t xml:space="preserve">. </w:t>
      </w:r>
    </w:p>
    <w:p w14:paraId="7842CA81" w14:textId="4B2AC140" w:rsidR="008C20CD" w:rsidRPr="00884FAA" w:rsidRDefault="008C20CD" w:rsidP="003B3C05">
      <w:pPr>
        <w:numPr>
          <w:ilvl w:val="0"/>
          <w:numId w:val="19"/>
        </w:numPr>
        <w:spacing w:after="120"/>
      </w:pPr>
      <w:r w:rsidRPr="00884FAA">
        <w:rPr>
          <w:b/>
        </w:rPr>
        <w:t>Medical/health aids:</w:t>
      </w:r>
      <w:r w:rsidRPr="00884FAA">
        <w:t xml:space="preserve"> Enabling eligible people to directly access assisted breathing equipment, blood sugar/glucose monitoring equipment</w:t>
      </w:r>
      <w:r w:rsidR="009B2125" w:rsidRPr="00884FAA">
        <w:t>,</w:t>
      </w:r>
      <w:r w:rsidRPr="00884FAA">
        <w:t xml:space="preserve"> dose administration aids, medical footwear, mobility aids, and spectacles</w:t>
      </w:r>
      <w:r w:rsidR="008C1B39" w:rsidRPr="00884FAA">
        <w:t xml:space="preserve"> </w:t>
      </w:r>
      <w:r w:rsidR="009D675A" w:rsidRPr="00884FAA">
        <w:fldChar w:fldCharType="begin"/>
      </w:r>
      <w:r w:rsidR="00F8760E">
        <w:instrText xml:space="preserve"> ADDIN ZOTERO_ITEM CSL_CITATION {"citationID":"vwtgekWm","properties":{"formattedCitation":"(Chakraborty et al., 2021)","plainCitation":"(Chakraborty et al., 2021)","noteIndex":0},"citationItems":[{"id":3728,"uris":["http://zotero.org/groups/5010721/items/HB4RNH9Q",["http://zotero.org/groups/5010721/items/HB4RNH9Q"],["http://zotero.org/groups/5010721/items/HB4RNH9Q",["http://zotero.org/groups/5010721/items/HB4RNH9Q"]]],"itemData":{"id":3728,"type":"article-journal","abstract":"The high prevalence of preventable infectious and chronic diseases in Australian Indigenous populations is a major public health concern. Existing research has rarely examined the role of built and socio-political environmental factors relating to remote Indigenous health and wellbeing. This research identiﬁed built and socio-political environmental indicators from publicly available grey literature documents locally-relevant to remote Indigenous communities in the Northern Territory (NT), Australia. Existing planning documents with evidence of community input were used to reduce the response burden on Indigenous communities. A scoping review of community-focused planning documents resulted in the identiﬁcation of 1120 built and 2215 socio-political environmental indicators. Indicators were systematically classiﬁed using an Indigenous indicator classiﬁcation system (IICS). Applying the IICS yielded indicators prominently featuring the “community infrastructure” domain within the built environment, and the “community capacity” domain within the socio-political environment. This research demonstrates the utility of utilizing existing planning documents and a culturally appropriate systematic classiﬁcation system to consolidate environmental determinants that inﬂuence health and disease occurrence. The ﬁndings also support understanding of which features of community-level built and socio-political environments amenable to public health and social policy actions might be targeted to help reduce the prevalence of infectious and chronic diseases in Indigenous communities.","container-title":"International Journal of Environmental Research and Public Health","DOI":"10.3390/ijerph18084167","ISSN":"1660-4601","issue":"8","journalAbbreviation":"IJERPH","language":"en","page":"4167","source":"DOI.org (Crossref)","title":"Identifying Environmental Determinants Relevant to Health and Wellbeing in Remote Australian Indigenous Communities: A Scoping Review of Grey Literature","title-short":"Identifying Environmental Determinants Relevant to Health and Wellbeing in Remote Australian Indigenous Communities","URL":"https://www.mdpi.com/1660-4601/18/8/4167","volume":"18","author":[{"family":"Chakraborty","given":"Amal"},{"family":"Daniel","given":"Mark"},{"family":"Howard","given":"Natasha J."},{"family":"Chong","given":"Alwin"},{"family":"Slavin","given":"Nicola"},{"family":"Brown","given":"Alex"},{"family":"Cargo","given":"Margaret"}],"accessed":{"date-parts":[["2021",9,28]]},"issued":{"date-parts":[["2021",4,15]]}}}],"schema":"https://github.com/citation-style-language/schema/raw/master/csl-citation.json"} </w:instrText>
      </w:r>
      <w:r w:rsidR="009D675A" w:rsidRPr="00884FAA">
        <w:fldChar w:fldCharType="separate"/>
      </w:r>
      <w:r w:rsidR="00146A03" w:rsidRPr="00146A03">
        <w:rPr>
          <w:rFonts w:ascii="Arial" w:hAnsi="Arial" w:cs="Arial"/>
        </w:rPr>
        <w:t>(Chakraborty et al., 2021)</w:t>
      </w:r>
      <w:r w:rsidR="009D675A" w:rsidRPr="00884FAA">
        <w:fldChar w:fldCharType="end"/>
      </w:r>
      <w:r w:rsidRPr="00884FAA">
        <w:t xml:space="preserve">. </w:t>
      </w:r>
    </w:p>
    <w:p w14:paraId="31FC5000" w14:textId="62B7D125" w:rsidR="008C20CD" w:rsidRPr="00884FAA" w:rsidRDefault="00A0018D" w:rsidP="00254466">
      <w:r w:rsidRPr="00884FAA">
        <w:t>The funding</w:t>
      </w:r>
      <w:r w:rsidR="00574C2A" w:rsidRPr="00884FAA">
        <w:t xml:space="preserve"> directly addresses</w:t>
      </w:r>
      <w:r w:rsidR="00AF750E" w:rsidRPr="00884FAA">
        <w:t xml:space="preserve"> barriers to </w:t>
      </w:r>
      <w:r w:rsidR="00C87890" w:rsidRPr="00884FAA">
        <w:t xml:space="preserve">accessing </w:t>
      </w:r>
      <w:r w:rsidR="00807F93" w:rsidRPr="00884FAA">
        <w:t>health care</w:t>
      </w:r>
      <w:r w:rsidR="00AF750E" w:rsidRPr="00884FAA">
        <w:t xml:space="preserve"> experienced by many Aboriginal and Torres Strait Islander people </w:t>
      </w:r>
      <w:r w:rsidR="003A495C" w:rsidRPr="00884FAA">
        <w:t>influenced by a range of social determinants of health related to income, access to health care systems and transportation</w:t>
      </w:r>
      <w:r w:rsidR="008C1B39" w:rsidRPr="00884FAA">
        <w:t xml:space="preserve"> </w:t>
      </w:r>
      <w:r w:rsidR="008C1B39" w:rsidRPr="00884FAA">
        <w:fldChar w:fldCharType="begin"/>
      </w:r>
      <w:r w:rsidR="00F8760E">
        <w:instrText xml:space="preserve"> ADDIN ZOTERO_ITEM CSL_CITATION {"citationID":"C7n3hPkd","properties":{"formattedCitation":"(Chakraborty et al., 2021)","plainCitation":"(Chakraborty et al., 2021)","noteIndex":0},"citationItems":[{"id":3728,"uris":["http://zotero.org/groups/5010721/items/HB4RNH9Q",["http://zotero.org/groups/5010721/items/HB4RNH9Q"],["http://zotero.org/groups/5010721/items/HB4RNH9Q",["http://zotero.org/groups/5010721/items/HB4RNH9Q"]]],"itemData":{"id":3728,"type":"article-journal","abstract":"The high prevalence of preventable infectious and chronic diseases in Australian Indigenous populations is a major public health concern. Existing research has rarely examined the role of built and socio-political environmental factors relating to remote Indigenous health and wellbeing. This research identiﬁed built and socio-political environmental indicators from publicly available grey literature documents locally-relevant to remote Indigenous communities in the Northern Territory (NT), Australia. Existing planning documents with evidence of community input were used to reduce the response burden on Indigenous communities. A scoping review of community-focused planning documents resulted in the identiﬁcation of 1120 built and 2215 socio-political environmental indicators. Indicators were systematically classiﬁed using an Indigenous indicator classiﬁcation system (IICS). Applying the IICS yielded indicators prominently featuring the “community infrastructure” domain within the built environment, and the “community capacity” domain within the socio-political environment. This research demonstrates the utility of utilizing existing planning documents and a culturally appropriate systematic classiﬁcation system to consolidate environmental determinants that inﬂuence health and disease occurrence. The ﬁndings also support understanding of which features of community-level built and socio-political environments amenable to public health and social policy actions might be targeted to help reduce the prevalence of infectious and chronic diseases in Indigenous communities.","container-title":"International Journal of Environmental Research and Public Health","DOI":"10.3390/ijerph18084167","ISSN":"1660-4601","issue":"8","journalAbbreviation":"IJERPH","language":"en","page":"4167","source":"DOI.org (Crossref)","title":"Identifying Environmental Determinants Relevant to Health and Wellbeing in Remote Australian Indigenous Communities: A Scoping Review of Grey Literature","title-short":"Identifying Environmental Determinants Relevant to Health and Wellbeing in Remote Australian Indigenous Communities","URL":"https://www.mdpi.com/1660-4601/18/8/4167","volume":"18","author":[{"family":"Chakraborty","given":"Amal"},{"family":"Daniel","given":"Mark"},{"family":"Howard","given":"Natasha J."},{"family":"Chong","given":"Alwin"},{"family":"Slavin","given":"Nicola"},{"family":"Brown","given":"Alex"},{"family":"Cargo","given":"Margaret"}],"accessed":{"date-parts":[["2021",9,28]]},"issued":{"date-parts":[["2021",4,15]]}}}],"schema":"https://github.com/citation-style-language/schema/raw/master/csl-citation.json"} </w:instrText>
      </w:r>
      <w:r w:rsidR="008C1B39" w:rsidRPr="00884FAA">
        <w:fldChar w:fldCharType="separate"/>
      </w:r>
      <w:r w:rsidR="00146A03" w:rsidRPr="00146A03">
        <w:rPr>
          <w:rFonts w:ascii="Arial" w:hAnsi="Arial" w:cs="Arial"/>
        </w:rPr>
        <w:t>(Chakraborty et al., 2021)</w:t>
      </w:r>
      <w:r w:rsidR="008C1B39" w:rsidRPr="00884FAA">
        <w:fldChar w:fldCharType="end"/>
      </w:r>
      <w:r w:rsidR="003A495C" w:rsidRPr="00884FAA">
        <w:t>.</w:t>
      </w:r>
      <w:r w:rsidRPr="00884FAA">
        <w:t xml:space="preserve"> It</w:t>
      </w:r>
      <w:r w:rsidR="00CC28BB" w:rsidRPr="00884FAA">
        <w:t>s</w:t>
      </w:r>
      <w:r w:rsidR="00E60238" w:rsidRPr="00884FAA">
        <w:t xml:space="preserve"> contribution is significant and can have </w:t>
      </w:r>
      <w:r w:rsidR="008C20CD" w:rsidRPr="00884FAA">
        <w:t>life-changing outcomes</w:t>
      </w:r>
      <w:r w:rsidR="00E60238" w:rsidRPr="00884FAA">
        <w:t>.</w:t>
      </w:r>
    </w:p>
    <w:p w14:paraId="3795CBCB" w14:textId="0423F94B" w:rsidR="008C20CD" w:rsidRPr="00A1178E" w:rsidRDefault="008C20CD" w:rsidP="002A0411">
      <w:pPr>
        <w:pStyle w:val="Quote"/>
        <w:spacing w:after="0"/>
        <w:rPr>
          <w:color w:val="18525E" w:themeColor="accent5" w:themeShade="80"/>
        </w:rPr>
      </w:pPr>
      <w:r w:rsidRPr="00A1178E">
        <w:rPr>
          <w:color w:val="18525E" w:themeColor="accent5" w:themeShade="80"/>
        </w:rPr>
        <w:t>We’ve recently been able to access some treatment in private rooms to support people with cataracts. Which you know, that’s amazing. People then can see properly again.</w:t>
      </w:r>
    </w:p>
    <w:p w14:paraId="34457CF3" w14:textId="4089D1C6" w:rsidR="00574B03" w:rsidRPr="002A0411" w:rsidRDefault="00574B03" w:rsidP="00933EF7">
      <w:pPr>
        <w:spacing w:before="60"/>
        <w:jc w:val="right"/>
        <w:rPr>
          <w:b/>
          <w:bCs/>
        </w:rPr>
      </w:pPr>
      <w:r w:rsidRPr="002A0411">
        <w:rPr>
          <w:b/>
          <w:bCs/>
        </w:rPr>
        <w:t xml:space="preserve">PHN, Metropolitan location </w:t>
      </w:r>
    </w:p>
    <w:p w14:paraId="08B802A4" w14:textId="60101A8A" w:rsidR="008C20CD" w:rsidRPr="00884FAA" w:rsidRDefault="008C20CD" w:rsidP="00695FDF">
      <w:r w:rsidRPr="00884FAA">
        <w:t xml:space="preserve">Several </w:t>
      </w:r>
      <w:r w:rsidR="00D9785A" w:rsidRPr="00884FAA">
        <w:t xml:space="preserve">ACCHS and </w:t>
      </w:r>
      <w:r w:rsidRPr="00884FAA">
        <w:t>PHN</w:t>
      </w:r>
      <w:r w:rsidR="00D9785A" w:rsidRPr="00884FAA">
        <w:t xml:space="preserve"> participant</w:t>
      </w:r>
      <w:r w:rsidRPr="00884FAA">
        <w:t xml:space="preserve">s described situations where people, including those in urban locations, had faced delays in accessing allied health care due to long wait lists and the cost of private specialists. </w:t>
      </w:r>
      <w:r w:rsidR="00BE40B8" w:rsidRPr="00884FAA">
        <w:t>A PHN participant</w:t>
      </w:r>
      <w:r w:rsidRPr="00884FAA">
        <w:t xml:space="preserve"> noted that some people become regular admittees through the hospital emergency department: </w:t>
      </w:r>
    </w:p>
    <w:p w14:paraId="164A0388" w14:textId="78E2D218" w:rsidR="008C20CD" w:rsidRPr="00A1178E" w:rsidRDefault="008C20CD" w:rsidP="00F67DFF">
      <w:pPr>
        <w:pStyle w:val="Quote"/>
        <w:spacing w:after="0"/>
        <w:rPr>
          <w:color w:val="18525E" w:themeColor="accent5" w:themeShade="80"/>
        </w:rPr>
      </w:pPr>
      <w:r w:rsidRPr="00A1178E">
        <w:rPr>
          <w:color w:val="18525E" w:themeColor="accent5" w:themeShade="80"/>
        </w:rPr>
        <w:t>They didn’t have the funds before to go to the specialist appointments to manage their illness. They became worse and became frequent flyers within the hospital system. I used to be the hospital liaison officer and before the (ITC) program there was a lot of frequent flyers that came in with chronic disease to the emergency department. And now…there’s been quite a bit of decrease in the presentations.</w:t>
      </w:r>
    </w:p>
    <w:p w14:paraId="6BAC642A" w14:textId="1AA2D758" w:rsidR="00574B03" w:rsidRPr="00F67DFF" w:rsidRDefault="00574B03" w:rsidP="00933EF7">
      <w:pPr>
        <w:spacing w:before="60"/>
        <w:jc w:val="right"/>
        <w:rPr>
          <w:b/>
          <w:bCs/>
        </w:rPr>
      </w:pPr>
      <w:r w:rsidRPr="00F67DFF">
        <w:rPr>
          <w:b/>
          <w:bCs/>
        </w:rPr>
        <w:t xml:space="preserve">PHN, Regional location </w:t>
      </w:r>
    </w:p>
    <w:p w14:paraId="7E15B1D4" w14:textId="175DED92" w:rsidR="00202239" w:rsidRPr="00884FAA" w:rsidRDefault="00202239" w:rsidP="00202239">
      <w:r w:rsidRPr="00884FAA">
        <w:t>Similarly, a comment from an ACCHS participant highlights the difficulties people have accessing specialist treatment, and the role of ITC in accessing timely care</w:t>
      </w:r>
      <w:r w:rsidR="00316C37" w:rsidRPr="00884FAA">
        <w:t>.</w:t>
      </w:r>
    </w:p>
    <w:p w14:paraId="21540ED9" w14:textId="368A58AA" w:rsidR="00202239" w:rsidRPr="00A1178E" w:rsidRDefault="00202239" w:rsidP="00F67DFF">
      <w:pPr>
        <w:pStyle w:val="Quote"/>
        <w:spacing w:after="0"/>
        <w:rPr>
          <w:color w:val="18525E" w:themeColor="accent5" w:themeShade="80"/>
        </w:rPr>
      </w:pPr>
      <w:r w:rsidRPr="00A1178E">
        <w:rPr>
          <w:color w:val="18525E" w:themeColor="accent5" w:themeShade="80"/>
        </w:rPr>
        <w:t>If that separate bucket of money wasn't available, then we wouldn't have that access to specialist services here in [city]. And there are ridiculously long waitlists to see specialists, even if you could get into a public specialist.</w:t>
      </w:r>
    </w:p>
    <w:p w14:paraId="6E5BA675" w14:textId="3768FC9D" w:rsidR="00574B03" w:rsidRPr="00F67DFF" w:rsidRDefault="00574B03" w:rsidP="00FA6762">
      <w:pPr>
        <w:spacing w:before="120"/>
        <w:jc w:val="right"/>
        <w:rPr>
          <w:b/>
          <w:bCs/>
        </w:rPr>
      </w:pPr>
      <w:r w:rsidRPr="00F67DFF">
        <w:rPr>
          <w:b/>
          <w:bCs/>
        </w:rPr>
        <w:t xml:space="preserve">ACCHS, Metropolitan location </w:t>
      </w:r>
    </w:p>
    <w:p w14:paraId="652E8542" w14:textId="5B8AF8FE" w:rsidR="004F7935" w:rsidRPr="00884FAA" w:rsidRDefault="008C20CD" w:rsidP="004F7935">
      <w:r w:rsidRPr="00884FAA">
        <w:lastRenderedPageBreak/>
        <w:t xml:space="preserve">Access to affordable public transport was </w:t>
      </w:r>
      <w:r w:rsidR="00316624" w:rsidRPr="00884FAA">
        <w:t xml:space="preserve">reported as </w:t>
      </w:r>
      <w:r w:rsidR="00FF1FDE" w:rsidRPr="00884FAA">
        <w:t xml:space="preserve">a key benefit by </w:t>
      </w:r>
      <w:r w:rsidRPr="00884FAA">
        <w:t xml:space="preserve">several </w:t>
      </w:r>
      <w:r w:rsidR="00FF1FDE" w:rsidRPr="00884FAA">
        <w:t>evaluation participants</w:t>
      </w:r>
      <w:r w:rsidRPr="00884FAA">
        <w:t xml:space="preserve">. Where cost is a barrier, eligible patients may receive bus tickets or taxi vouchers that are funded through ITC. </w:t>
      </w:r>
      <w:r w:rsidR="004F7935" w:rsidRPr="00884FAA">
        <w:t>This</w:t>
      </w:r>
      <w:r w:rsidRPr="00884FAA">
        <w:t xml:space="preserve"> enables people to be as independent as possible.</w:t>
      </w:r>
      <w:r w:rsidR="004F7935" w:rsidRPr="00884FAA">
        <w:t xml:space="preserve"> </w:t>
      </w:r>
      <w:r w:rsidRPr="00884FAA">
        <w:t>ITC workers may work with allied services to ensure that appointments align with public transportation.</w:t>
      </w:r>
    </w:p>
    <w:p w14:paraId="6CA7904D" w14:textId="22B971C8" w:rsidR="008C20CD" w:rsidRPr="00A1178E" w:rsidRDefault="008C20CD" w:rsidP="00F67DFF">
      <w:pPr>
        <w:pStyle w:val="Quote"/>
        <w:spacing w:after="0"/>
        <w:rPr>
          <w:color w:val="18525E" w:themeColor="accent5" w:themeShade="80"/>
        </w:rPr>
      </w:pPr>
      <w:r w:rsidRPr="00A1178E">
        <w:rPr>
          <w:color w:val="18525E" w:themeColor="accent5" w:themeShade="80"/>
        </w:rPr>
        <w:t>A patient of ours goes to [town], via bus. The bus gets there at 11.30. Because we ring up [service]</w:t>
      </w:r>
      <w:r w:rsidR="004F7935" w:rsidRPr="00A1178E">
        <w:rPr>
          <w:color w:val="18525E" w:themeColor="accent5" w:themeShade="80"/>
        </w:rPr>
        <w:t xml:space="preserve"> </w:t>
      </w:r>
      <w:r w:rsidRPr="00A1178E">
        <w:rPr>
          <w:color w:val="18525E" w:themeColor="accent5" w:themeShade="80"/>
        </w:rPr>
        <w:t>…</w:t>
      </w:r>
      <w:r w:rsidR="004F7935" w:rsidRPr="00A1178E">
        <w:rPr>
          <w:color w:val="18525E" w:themeColor="accent5" w:themeShade="80"/>
        </w:rPr>
        <w:t xml:space="preserve"> </w:t>
      </w:r>
      <w:r w:rsidRPr="00A1178E">
        <w:rPr>
          <w:color w:val="18525E" w:themeColor="accent5" w:themeShade="80"/>
        </w:rPr>
        <w:t xml:space="preserve">and we tell them that we’ve got a client, because they need to catch that </w:t>
      </w:r>
      <w:r w:rsidR="007D39AA" w:rsidRPr="00A1178E">
        <w:rPr>
          <w:color w:val="18525E" w:themeColor="accent5" w:themeShade="80"/>
        </w:rPr>
        <w:t>3</w:t>
      </w:r>
      <w:r w:rsidRPr="00A1178E">
        <w:rPr>
          <w:color w:val="18525E" w:themeColor="accent5" w:themeShade="80"/>
        </w:rPr>
        <w:t xml:space="preserve"> o’clock bus, can you make sure that they get in before, so that they can go get something to eat and jump on that bus.</w:t>
      </w:r>
    </w:p>
    <w:p w14:paraId="2E0F29DF" w14:textId="4DCF7889" w:rsidR="00F67DFF" w:rsidRPr="00F67DFF" w:rsidRDefault="00F67DFF" w:rsidP="00F67DFF">
      <w:pPr>
        <w:jc w:val="right"/>
        <w:rPr>
          <w:b/>
          <w:bCs/>
        </w:rPr>
      </w:pPr>
      <w:r w:rsidRPr="00F67DFF">
        <w:rPr>
          <w:b/>
          <w:bCs/>
        </w:rPr>
        <w:t xml:space="preserve">ACCHS, Remote location </w:t>
      </w:r>
    </w:p>
    <w:p w14:paraId="7357D6E0" w14:textId="7615BB9C" w:rsidR="008C20CD" w:rsidRPr="00884FAA" w:rsidRDefault="008C20CD" w:rsidP="00F9441D">
      <w:r w:rsidRPr="00884FAA">
        <w:t xml:space="preserve">In other situations, ITC staff work proactively with </w:t>
      </w:r>
      <w:r w:rsidR="00EF4DA8">
        <w:t>people</w:t>
      </w:r>
      <w:r w:rsidR="00EF4DA8" w:rsidRPr="00884FAA">
        <w:t xml:space="preserve"> </w:t>
      </w:r>
      <w:r w:rsidRPr="00884FAA">
        <w:t xml:space="preserve">to ensure they </w:t>
      </w:r>
      <w:r w:rsidR="00BD0955" w:rsidRPr="00884FAA">
        <w:t>attend</w:t>
      </w:r>
      <w:r w:rsidRPr="00884FAA">
        <w:t xml:space="preserve"> appointments.</w:t>
      </w:r>
    </w:p>
    <w:p w14:paraId="0BDB47CA" w14:textId="1E49EC0E" w:rsidR="008C20CD" w:rsidRPr="00A1178E" w:rsidRDefault="008C20CD" w:rsidP="00F67DFF">
      <w:pPr>
        <w:pStyle w:val="Quote"/>
        <w:spacing w:after="0"/>
        <w:rPr>
          <w:color w:val="18525E" w:themeColor="accent5" w:themeShade="80"/>
        </w:rPr>
      </w:pPr>
      <w:r w:rsidRPr="00A1178E">
        <w:rPr>
          <w:color w:val="18525E" w:themeColor="accent5" w:themeShade="80"/>
        </w:rPr>
        <w:t>The transport driver phones twice before picking up a patient. As a result, the percentage of ‘no shows’ has dropped from 80% to 20% in one site.</w:t>
      </w:r>
    </w:p>
    <w:p w14:paraId="1199418B" w14:textId="5B9840F4" w:rsidR="00F67DFF" w:rsidRPr="00F67DFF" w:rsidRDefault="00F67DFF" w:rsidP="00933EF7">
      <w:pPr>
        <w:spacing w:before="60"/>
        <w:jc w:val="right"/>
        <w:rPr>
          <w:b/>
          <w:bCs/>
        </w:rPr>
      </w:pPr>
      <w:r w:rsidRPr="00F67DFF">
        <w:rPr>
          <w:b/>
          <w:bCs/>
        </w:rPr>
        <w:t xml:space="preserve">ACCHS, Regional location </w:t>
      </w:r>
    </w:p>
    <w:p w14:paraId="765DBFF6" w14:textId="45F93366" w:rsidR="008C20CD" w:rsidRPr="00884FAA" w:rsidRDefault="008C20CD" w:rsidP="003063C7">
      <w:r w:rsidRPr="00884FAA">
        <w:t>Health service users who need to travel to access care may face additional barriers, including the unreliability of public transport, and needing to travel long distances while unwell. In response, funding through ITC enables a holistic approach to support, enabling outreach workers to travel with people</w:t>
      </w:r>
      <w:r w:rsidR="003063C7" w:rsidRPr="00884FAA">
        <w:t>.</w:t>
      </w:r>
    </w:p>
    <w:p w14:paraId="059A2753" w14:textId="34C6B604" w:rsidR="008C20CD" w:rsidRPr="00A1178E" w:rsidRDefault="008C20CD" w:rsidP="00933EF7">
      <w:pPr>
        <w:pStyle w:val="Quote"/>
        <w:spacing w:before="60" w:after="0"/>
        <w:rPr>
          <w:color w:val="18525E" w:themeColor="accent5" w:themeShade="80"/>
        </w:rPr>
      </w:pPr>
      <w:r w:rsidRPr="00A1178E">
        <w:rPr>
          <w:color w:val="18525E" w:themeColor="accent5" w:themeShade="80"/>
        </w:rPr>
        <w:t>You have [an outreach worker] taking you to the appointment; they…help you out (at the appointment), they are there when you’re finished. It’s not like some of the horror stories that you hear, when people get flown out, and they get discharged in the middle of the night</w:t>
      </w:r>
      <w:r w:rsidR="00B95AB7" w:rsidRPr="00A1178E">
        <w:rPr>
          <w:color w:val="18525E" w:themeColor="accent5" w:themeShade="80"/>
        </w:rPr>
        <w:t>.</w:t>
      </w:r>
    </w:p>
    <w:p w14:paraId="2410D53F" w14:textId="1E28E4C5" w:rsidR="009A7822" w:rsidRPr="00BA0807" w:rsidRDefault="009A7822" w:rsidP="00933EF7">
      <w:pPr>
        <w:spacing w:before="60"/>
        <w:jc w:val="right"/>
        <w:rPr>
          <w:b/>
          <w:bCs/>
        </w:rPr>
      </w:pPr>
      <w:r w:rsidRPr="00BA0807">
        <w:rPr>
          <w:b/>
          <w:bCs/>
        </w:rPr>
        <w:t>ACCHS, Remote location</w:t>
      </w:r>
    </w:p>
    <w:p w14:paraId="05E33E73" w14:textId="3ACB54F8" w:rsidR="008C20CD" w:rsidRPr="00884FAA" w:rsidRDefault="008C20CD" w:rsidP="009D2440">
      <w:r w:rsidRPr="00884FAA">
        <w:t xml:space="preserve">Accommodation for the </w:t>
      </w:r>
      <w:r w:rsidR="00FF4269">
        <w:t>person needing care</w:t>
      </w:r>
      <w:r w:rsidR="00FF4269" w:rsidRPr="00884FAA">
        <w:t xml:space="preserve"> </w:t>
      </w:r>
      <w:r w:rsidRPr="00884FAA">
        <w:t>and family members can also be covered by the supplementary services funding. This is considered important for people needing to travel for weeks at a time to access treatment such as radiation</w:t>
      </w:r>
      <w:r w:rsidR="009D2440" w:rsidRPr="00884FAA">
        <w:t>.</w:t>
      </w:r>
    </w:p>
    <w:p w14:paraId="79DF6417" w14:textId="45630621" w:rsidR="008C20CD" w:rsidRPr="00A1178E" w:rsidRDefault="008C20CD" w:rsidP="00BA0807">
      <w:pPr>
        <w:pStyle w:val="Quote"/>
        <w:spacing w:after="0"/>
        <w:rPr>
          <w:color w:val="18525E" w:themeColor="accent5" w:themeShade="80"/>
        </w:rPr>
      </w:pPr>
      <w:r w:rsidRPr="00A1178E">
        <w:rPr>
          <w:color w:val="18525E" w:themeColor="accent5" w:themeShade="80"/>
        </w:rPr>
        <w:t>When you send people out there for operations, we send a driver up…to take the family, accommodate them, and that’s all done as a support mechanism, when we haven’t got the specialist service available.</w:t>
      </w:r>
    </w:p>
    <w:p w14:paraId="0810B2B3" w14:textId="41CF3D32" w:rsidR="00D01AA8" w:rsidRPr="00BA0807" w:rsidRDefault="00D01AA8" w:rsidP="00BA0807">
      <w:pPr>
        <w:jc w:val="right"/>
        <w:rPr>
          <w:b/>
          <w:bCs/>
        </w:rPr>
      </w:pPr>
      <w:r w:rsidRPr="00BA0807">
        <w:rPr>
          <w:b/>
          <w:bCs/>
        </w:rPr>
        <w:t xml:space="preserve">ACCHS, Regional location </w:t>
      </w:r>
    </w:p>
    <w:p w14:paraId="06F2F29C" w14:textId="77777777" w:rsidR="00E778B2" w:rsidRDefault="00E778B2">
      <w:pPr>
        <w:jc w:val="left"/>
        <w:rPr>
          <w:rFonts w:cstheme="minorHAnsi"/>
          <w:b/>
          <w:bCs/>
          <w:color w:val="9E6047" w:themeColor="accent3"/>
          <w:sz w:val="24"/>
          <w:szCs w:val="24"/>
          <w:lang w:val="en-NZ"/>
        </w:rPr>
      </w:pPr>
      <w:r>
        <w:br w:type="page"/>
      </w:r>
    </w:p>
    <w:p w14:paraId="0A0FCDE8" w14:textId="63AC8C3A" w:rsidR="008C20CD" w:rsidRPr="00884FAA" w:rsidRDefault="00157860" w:rsidP="005C71C3">
      <w:pPr>
        <w:pStyle w:val="Heading6"/>
        <w:numPr>
          <w:ilvl w:val="0"/>
          <w:numId w:val="0"/>
        </w:numPr>
        <w:ind w:left="1152" w:hanging="1152"/>
      </w:pPr>
      <w:r w:rsidRPr="00884FAA">
        <w:lastRenderedPageBreak/>
        <w:t xml:space="preserve">There are challenges </w:t>
      </w:r>
      <w:r w:rsidR="00EF5D5C" w:rsidRPr="00884FAA">
        <w:t>to accessing supplementary services funding</w:t>
      </w:r>
    </w:p>
    <w:p w14:paraId="08776F50" w14:textId="25878D54" w:rsidR="008C20CD" w:rsidRPr="00884FAA" w:rsidRDefault="00154BA4" w:rsidP="007B1FBA">
      <w:r w:rsidRPr="00884FAA">
        <w:t xml:space="preserve">Many Aboriginal and Torres Strait Islander people living in </w:t>
      </w:r>
      <w:r w:rsidR="008C20CD" w:rsidRPr="00884FAA">
        <w:t>remote and regional communities do not have a stable GP service</w:t>
      </w:r>
      <w:r w:rsidR="00F85C3C" w:rsidRPr="00884FAA">
        <w:t>.</w:t>
      </w:r>
      <w:r w:rsidR="008C20CD" w:rsidRPr="005D1C41">
        <w:rPr>
          <w:rStyle w:val="FootnoteReference"/>
        </w:rPr>
        <w:footnoteReference w:id="36"/>
      </w:r>
      <w:r w:rsidR="008C20CD" w:rsidRPr="00884FAA">
        <w:t xml:space="preserve"> Where this is the case, it can be difficult for eligible </w:t>
      </w:r>
      <w:r w:rsidR="00FF4269">
        <w:t xml:space="preserve">people </w:t>
      </w:r>
      <w:r w:rsidR="008C20CD" w:rsidRPr="00884FAA">
        <w:t>to be referred to ITC</w:t>
      </w:r>
      <w:r w:rsidR="00B30CAE" w:rsidRPr="00884FAA">
        <w:t xml:space="preserve"> (as </w:t>
      </w:r>
      <w:r w:rsidR="007B1FBA" w:rsidRPr="00884FAA">
        <w:t>people require a GP management plan and a referral by a GP)</w:t>
      </w:r>
      <w:r w:rsidR="00F749DD" w:rsidRPr="00884FAA">
        <w:t>.</w:t>
      </w:r>
      <w:r w:rsidR="00403067" w:rsidRPr="00884FAA">
        <w:t xml:space="preserve"> This was </w:t>
      </w:r>
      <w:r w:rsidR="00B827C0" w:rsidRPr="00884FAA">
        <w:t>a common challenge reported by evaluation participants.</w:t>
      </w:r>
    </w:p>
    <w:p w14:paraId="7B546E40" w14:textId="77777777" w:rsidR="008C20CD" w:rsidRPr="00884FAA" w:rsidRDefault="008C20CD" w:rsidP="007B1FBA">
      <w:r w:rsidRPr="00884FAA">
        <w:t xml:space="preserve">There is also evidence that the supplementary services funding is insufficient to meet demand. For example, in one remote site, 45% of Aboriginal and Torres Strait Islander people have two or more chronic illnesses. However, just 3.4% of this group had been referred to supplementary services. </w:t>
      </w:r>
    </w:p>
    <w:p w14:paraId="71168AC1" w14:textId="13EB0262" w:rsidR="00D01AA8" w:rsidRPr="00A1178E" w:rsidRDefault="008C20CD" w:rsidP="00BA0807">
      <w:pPr>
        <w:pStyle w:val="Quote"/>
        <w:spacing w:after="0"/>
        <w:rPr>
          <w:color w:val="18525E" w:themeColor="accent5" w:themeShade="80"/>
        </w:rPr>
      </w:pPr>
      <w:r w:rsidRPr="00A1178E">
        <w:rPr>
          <w:color w:val="18525E" w:themeColor="accent5" w:themeShade="80"/>
        </w:rPr>
        <w:t>We did … try and get some more dollars around the supplementary services, because we know it is making a huge difference, but there are just not enough dollars to go around.</w:t>
      </w:r>
    </w:p>
    <w:p w14:paraId="109B20B5" w14:textId="46FED8C9" w:rsidR="00D01AA8" w:rsidRPr="00BA0807" w:rsidRDefault="00D01AA8" w:rsidP="00BA0807">
      <w:pPr>
        <w:jc w:val="right"/>
        <w:rPr>
          <w:b/>
          <w:bCs/>
        </w:rPr>
      </w:pPr>
      <w:r w:rsidRPr="00BA0807">
        <w:rPr>
          <w:b/>
          <w:bCs/>
        </w:rPr>
        <w:t xml:space="preserve">ACCHS, Remote location </w:t>
      </w:r>
    </w:p>
    <w:p w14:paraId="08D5F18C" w14:textId="5A6EF489" w:rsidR="008C20CD" w:rsidRPr="00884FAA" w:rsidRDefault="00381280" w:rsidP="00E506BC">
      <w:r w:rsidRPr="00884FAA">
        <w:t>Participants in s</w:t>
      </w:r>
      <w:r w:rsidR="008C20CD" w:rsidRPr="00884FAA">
        <w:t>everal sites (urban, regional</w:t>
      </w:r>
      <w:r w:rsidR="00F85C3C" w:rsidRPr="00884FAA">
        <w:t>,</w:t>
      </w:r>
      <w:r w:rsidR="008C20CD" w:rsidRPr="00884FAA">
        <w:t xml:space="preserve"> and remote) reported that transport was a key contributor to supplementary services funding being ‘chewed up’.</w:t>
      </w:r>
    </w:p>
    <w:p w14:paraId="77552D49" w14:textId="1E5364D1" w:rsidR="008C20CD" w:rsidRPr="00884FAA" w:rsidRDefault="008B02D1" w:rsidP="00FB53D1">
      <w:r w:rsidRPr="00884FAA">
        <w:t xml:space="preserve">Access to affordable and culturally safe accommodation was also raised as </w:t>
      </w:r>
      <w:r w:rsidR="00024A12" w:rsidRPr="00884FAA">
        <w:t xml:space="preserve">a barrier, particularly </w:t>
      </w:r>
      <w:r w:rsidR="009A2E1D" w:rsidRPr="00884FAA">
        <w:t>for people living remotely who need to attend specialist treatment in a regional centre</w:t>
      </w:r>
      <w:r w:rsidR="009A30AC" w:rsidRPr="00884FAA">
        <w:t>. Where this accommodation does exist</w:t>
      </w:r>
      <w:r w:rsidR="002F4999" w:rsidRPr="00884FAA">
        <w:t xml:space="preserve">, for example Aboriginal-managed hostel facilities, </w:t>
      </w:r>
      <w:r w:rsidR="005A7FC2" w:rsidRPr="00884FAA">
        <w:t xml:space="preserve">these </w:t>
      </w:r>
      <w:r w:rsidR="00414F74" w:rsidRPr="00884FAA">
        <w:t xml:space="preserve">can </w:t>
      </w:r>
      <w:r w:rsidR="005A7FC2" w:rsidRPr="00884FAA">
        <w:t xml:space="preserve">provide </w:t>
      </w:r>
      <w:r w:rsidR="00414F74" w:rsidRPr="00884FAA">
        <w:t xml:space="preserve">critical support </w:t>
      </w:r>
      <w:r w:rsidR="00FB53D1" w:rsidRPr="00884FAA">
        <w:t>to people, however they are often fully booked.</w:t>
      </w:r>
    </w:p>
    <w:p w14:paraId="6B0951BE" w14:textId="08FF6F62" w:rsidR="00F30110" w:rsidRPr="00884FAA" w:rsidRDefault="009B03EC" w:rsidP="00F30110">
      <w:pPr>
        <w:rPr>
          <w:noProof/>
          <w:szCs w:val="20"/>
        </w:rPr>
      </w:pPr>
      <w:r w:rsidRPr="00884FAA">
        <w:rPr>
          <w:noProof/>
          <w:szCs w:val="20"/>
        </w:rPr>
        <w:t xml:space="preserve">Access to </w:t>
      </w:r>
      <w:r w:rsidR="00F30110" w:rsidRPr="00884FAA">
        <w:rPr>
          <w:noProof/>
          <w:szCs w:val="20"/>
        </w:rPr>
        <w:t xml:space="preserve">ITC </w:t>
      </w:r>
      <w:r w:rsidRPr="00884FAA">
        <w:rPr>
          <w:noProof/>
          <w:szCs w:val="20"/>
        </w:rPr>
        <w:t xml:space="preserve">supplementary services funding </w:t>
      </w:r>
      <w:r w:rsidR="00F30110" w:rsidRPr="00884FAA">
        <w:rPr>
          <w:noProof/>
          <w:szCs w:val="20"/>
        </w:rPr>
        <w:t xml:space="preserve">is also time bound. </w:t>
      </w:r>
      <w:r w:rsidR="000D3569" w:rsidRPr="00884FAA">
        <w:rPr>
          <w:noProof/>
          <w:szCs w:val="20"/>
        </w:rPr>
        <w:t>A PHN partici</w:t>
      </w:r>
      <w:r w:rsidR="00F80A04" w:rsidRPr="00884FAA">
        <w:rPr>
          <w:noProof/>
          <w:szCs w:val="20"/>
        </w:rPr>
        <w:t>pa</w:t>
      </w:r>
      <w:r w:rsidR="000D3569" w:rsidRPr="00884FAA">
        <w:rPr>
          <w:noProof/>
          <w:szCs w:val="20"/>
        </w:rPr>
        <w:t xml:space="preserve">nt commented on </w:t>
      </w:r>
      <w:r w:rsidR="00B9533E" w:rsidRPr="00884FAA">
        <w:rPr>
          <w:noProof/>
          <w:szCs w:val="20"/>
        </w:rPr>
        <w:t xml:space="preserve">one of the program reporting indicators that </w:t>
      </w:r>
      <w:r w:rsidR="00F30110" w:rsidRPr="00884FAA">
        <w:rPr>
          <w:noProof/>
          <w:szCs w:val="20"/>
        </w:rPr>
        <w:t xml:space="preserve">asks ‘how many people are being discharged from the program?’ They </w:t>
      </w:r>
      <w:r w:rsidR="006B6F96" w:rsidRPr="00884FAA">
        <w:rPr>
          <w:noProof/>
          <w:szCs w:val="20"/>
        </w:rPr>
        <w:t xml:space="preserve">questioned the assumpton in this indicator that </w:t>
      </w:r>
      <w:r w:rsidR="00F30110" w:rsidRPr="00884FAA">
        <w:rPr>
          <w:noProof/>
          <w:szCs w:val="20"/>
        </w:rPr>
        <w:t xml:space="preserve">people will get better and no longer need support. </w:t>
      </w:r>
    </w:p>
    <w:p w14:paraId="5F91C64E" w14:textId="0532617A" w:rsidR="00F30110" w:rsidRPr="00A1178E" w:rsidRDefault="00F30110" w:rsidP="00BA0807">
      <w:pPr>
        <w:pStyle w:val="Quote"/>
        <w:spacing w:after="0"/>
        <w:rPr>
          <w:color w:val="18525E" w:themeColor="accent5" w:themeShade="80"/>
        </w:rPr>
      </w:pPr>
      <w:r w:rsidRPr="00A1178E">
        <w:rPr>
          <w:color w:val="18525E" w:themeColor="accent5" w:themeShade="80"/>
        </w:rPr>
        <w:t>What happens when a person is discharged and they can no longer access supplementary services for glasses, and footwear, and Webster</w:t>
      </w:r>
      <w:r w:rsidRPr="00A1178E">
        <w:rPr>
          <w:noProof/>
          <w:color w:val="18525E" w:themeColor="accent5" w:themeShade="80"/>
        </w:rPr>
        <w:t>-</w:t>
      </w:r>
      <w:r w:rsidR="00373DE1" w:rsidRPr="00A1178E">
        <w:rPr>
          <w:color w:val="18525E" w:themeColor="accent5" w:themeShade="80"/>
        </w:rPr>
        <w:t>p</w:t>
      </w:r>
      <w:r w:rsidRPr="00A1178E">
        <w:rPr>
          <w:color w:val="18525E" w:themeColor="accent5" w:themeShade="80"/>
        </w:rPr>
        <w:t>a</w:t>
      </w:r>
      <w:r w:rsidR="009A7822" w:rsidRPr="00A1178E">
        <w:rPr>
          <w:color w:val="18525E" w:themeColor="accent5" w:themeShade="80"/>
        </w:rPr>
        <w:t>c</w:t>
      </w:r>
      <w:r w:rsidRPr="00A1178E">
        <w:rPr>
          <w:color w:val="18525E" w:themeColor="accent5" w:themeShade="80"/>
        </w:rPr>
        <w:t xml:space="preserve">ks? </w:t>
      </w:r>
    </w:p>
    <w:p w14:paraId="03BCB57A" w14:textId="6C93C226" w:rsidR="00530342" w:rsidRPr="00BA0807" w:rsidRDefault="00530342" w:rsidP="0050055D">
      <w:pPr>
        <w:spacing w:before="60"/>
        <w:jc w:val="right"/>
        <w:rPr>
          <w:b/>
          <w:bCs/>
        </w:rPr>
      </w:pPr>
      <w:r w:rsidRPr="00BA0807">
        <w:rPr>
          <w:b/>
          <w:bCs/>
        </w:rPr>
        <w:t>PHN, Remote location</w:t>
      </w:r>
    </w:p>
    <w:p w14:paraId="2DDA50E9" w14:textId="77777777" w:rsidR="00E778B2" w:rsidRDefault="00E778B2">
      <w:pPr>
        <w:jc w:val="left"/>
        <w:rPr>
          <w:rFonts w:cstheme="minorHAnsi"/>
          <w:b/>
          <w:bCs/>
          <w:color w:val="9E6047" w:themeColor="accent3"/>
          <w:sz w:val="24"/>
          <w:szCs w:val="24"/>
        </w:rPr>
      </w:pPr>
      <w:bookmarkStart w:id="191" w:name="_Toc128408935"/>
      <w:r>
        <w:br w:type="page"/>
      </w:r>
    </w:p>
    <w:p w14:paraId="6B02E5F8" w14:textId="6F06E769" w:rsidR="008C20CD" w:rsidRPr="00884FAA" w:rsidRDefault="00124F16" w:rsidP="005C71C3">
      <w:pPr>
        <w:pStyle w:val="Heading6"/>
        <w:numPr>
          <w:ilvl w:val="0"/>
          <w:numId w:val="0"/>
        </w:numPr>
        <w:rPr>
          <w:lang w:val="en-AU"/>
        </w:rPr>
      </w:pPr>
      <w:r w:rsidRPr="00884FAA">
        <w:rPr>
          <w:lang w:val="en-AU"/>
        </w:rPr>
        <w:lastRenderedPageBreak/>
        <w:t>I</w:t>
      </w:r>
      <w:r w:rsidR="007563C6" w:rsidRPr="00884FAA">
        <w:rPr>
          <w:lang w:val="en-AU"/>
        </w:rPr>
        <w:t>TC</w:t>
      </w:r>
      <w:r w:rsidR="008C20CD" w:rsidRPr="00884FAA">
        <w:rPr>
          <w:lang w:val="en-AU"/>
        </w:rPr>
        <w:t xml:space="preserve"> funding has the potential to make a wider contribution</w:t>
      </w:r>
      <w:bookmarkEnd w:id="191"/>
    </w:p>
    <w:p w14:paraId="611A92B8" w14:textId="4D12FF67" w:rsidR="00E87122" w:rsidRPr="00884FAA" w:rsidRDefault="00320022" w:rsidP="00E87122">
      <w:r w:rsidRPr="00884FAA">
        <w:t xml:space="preserve">Participants </w:t>
      </w:r>
      <w:r w:rsidR="008C20CD" w:rsidRPr="00F5604B">
        <w:t xml:space="preserve">commented on two ways </w:t>
      </w:r>
      <w:r w:rsidR="002372F1" w:rsidRPr="00F5604B">
        <w:t>that the</w:t>
      </w:r>
      <w:r w:rsidR="008C20CD" w:rsidRPr="00F5604B">
        <w:t xml:space="preserve"> ITC</w:t>
      </w:r>
      <w:r w:rsidR="002372F1" w:rsidRPr="00F5604B">
        <w:t xml:space="preserve"> program eligibility </w:t>
      </w:r>
      <w:r w:rsidR="008C20CD" w:rsidRPr="00F5604B">
        <w:t xml:space="preserve">criteria limits its potential to make a wider contribution. Eligibility is </w:t>
      </w:r>
      <w:r w:rsidR="00632857" w:rsidRPr="00F5604B">
        <w:t>prioritised for</w:t>
      </w:r>
      <w:r w:rsidR="00B91CE9" w:rsidRPr="00F5604B">
        <w:t xml:space="preserve"> </w:t>
      </w:r>
      <w:r w:rsidR="008C20CD" w:rsidRPr="00F5604B">
        <w:t xml:space="preserve">people with complex chronic diseases. </w:t>
      </w:r>
      <w:r w:rsidR="00E87122" w:rsidRPr="00F5604B">
        <w:t>Participants recognised that eligibility criteria were required to manage demand for what is a limited resource.</w:t>
      </w:r>
    </w:p>
    <w:p w14:paraId="693D4903" w14:textId="1A86351B" w:rsidR="008C20CD" w:rsidRPr="00884FAA" w:rsidRDefault="005D201C" w:rsidP="005E4FAD">
      <w:r w:rsidRPr="00884FAA">
        <w:t>Evaluation participants</w:t>
      </w:r>
      <w:r w:rsidR="008C20CD" w:rsidRPr="00884FAA">
        <w:t xml:space="preserve"> identified people with mental health or substance use issues, young children, people with a disability and those requiring birthing services as </w:t>
      </w:r>
      <w:r w:rsidR="00C76E4C">
        <w:t xml:space="preserve">groups that are also likely to benefit from access to </w:t>
      </w:r>
      <w:r w:rsidR="00533D96">
        <w:t xml:space="preserve">equivalent programs that support integrated care </w:t>
      </w:r>
      <w:r w:rsidR="008C20CD" w:rsidRPr="00884FAA">
        <w:t>to access health services</w:t>
      </w:r>
      <w:r w:rsidRPr="00884FAA">
        <w:t>.</w:t>
      </w:r>
    </w:p>
    <w:p w14:paraId="6F26E3E9" w14:textId="413AA35B" w:rsidR="008C20CD" w:rsidRPr="00A1178E" w:rsidRDefault="008C20CD" w:rsidP="00BA0807">
      <w:pPr>
        <w:pStyle w:val="Quote"/>
        <w:spacing w:after="0"/>
        <w:rPr>
          <w:color w:val="18525E" w:themeColor="accent5" w:themeShade="80"/>
        </w:rPr>
      </w:pPr>
      <w:r w:rsidRPr="00A1178E">
        <w:rPr>
          <w:color w:val="18525E" w:themeColor="accent5" w:themeShade="80"/>
        </w:rPr>
        <w:t>Well, if you don’t come under any of them programs like through the ITC, if you don’t fit any of them criterias and you need to go down and see specialists. Well, you got to pay your own way.</w:t>
      </w:r>
    </w:p>
    <w:p w14:paraId="2754929D" w14:textId="24710CE3" w:rsidR="0030286A" w:rsidRPr="00BA0807" w:rsidRDefault="0030286A" w:rsidP="00BA0807">
      <w:pPr>
        <w:jc w:val="right"/>
        <w:rPr>
          <w:b/>
          <w:bCs/>
        </w:rPr>
      </w:pPr>
      <w:r w:rsidRPr="00BA0807">
        <w:rPr>
          <w:b/>
          <w:bCs/>
        </w:rPr>
        <w:t xml:space="preserve">ACCHS, Remote location </w:t>
      </w:r>
    </w:p>
    <w:p w14:paraId="1CAC35A8" w14:textId="75E0721C" w:rsidR="00CC624A" w:rsidRPr="00884FAA" w:rsidRDefault="008C20CD" w:rsidP="00CC624A">
      <w:r w:rsidRPr="00884FAA">
        <w:t>Second</w:t>
      </w:r>
      <w:r w:rsidR="00E43CFC" w:rsidRPr="00884FAA">
        <w:t>ly</w:t>
      </w:r>
      <w:r w:rsidRPr="00884FAA">
        <w:t xml:space="preserve">, there are services that cannot be accessed through ITC. Some </w:t>
      </w:r>
      <w:r w:rsidR="00A44837" w:rsidRPr="00884FAA">
        <w:t>participants</w:t>
      </w:r>
      <w:r w:rsidRPr="00884FAA">
        <w:t xml:space="preserve"> noted the link between chronic disease and poor dental health. They identified access to dentists as an area of unmet need, particularly in remote sites</w:t>
      </w:r>
      <w:r w:rsidR="00CC624A" w:rsidRPr="00884FAA">
        <w:t xml:space="preserve"> but also in many regional areas.</w:t>
      </w:r>
      <w:r w:rsidR="009D7ED2" w:rsidRPr="00884FAA">
        <w:t xml:space="preserve"> Given dental services are not covered, </w:t>
      </w:r>
      <w:r w:rsidR="00530800" w:rsidRPr="00884FAA">
        <w:t xml:space="preserve">ITC clients cannot access </w:t>
      </w:r>
      <w:r w:rsidR="00706236" w:rsidRPr="00884FAA">
        <w:t>supplementary services funding to support transport and accommodation costs associated with dental care.</w:t>
      </w:r>
    </w:p>
    <w:p w14:paraId="29B1982E" w14:textId="4B32CA2E" w:rsidR="00E65822" w:rsidRPr="00884FAA" w:rsidRDefault="008C20CD" w:rsidP="005C71C3">
      <w:pPr>
        <w:pStyle w:val="Heading6"/>
        <w:numPr>
          <w:ilvl w:val="0"/>
          <w:numId w:val="0"/>
        </w:numPr>
        <w:rPr>
          <w:lang w:val="en-AU"/>
        </w:rPr>
      </w:pPr>
      <w:bookmarkStart w:id="192" w:name="_Toc128408936"/>
      <w:r w:rsidRPr="00884FAA">
        <w:rPr>
          <w:lang w:val="en-AU"/>
        </w:rPr>
        <w:t xml:space="preserve">ITC workers’ </w:t>
      </w:r>
      <w:r w:rsidR="00E65822" w:rsidRPr="00884FAA">
        <w:rPr>
          <w:lang w:val="en-AU"/>
        </w:rPr>
        <w:t xml:space="preserve">create safe pathways </w:t>
      </w:r>
      <w:r w:rsidR="0096497D" w:rsidRPr="00884FAA">
        <w:rPr>
          <w:lang w:val="en-AU"/>
        </w:rPr>
        <w:t>for</w:t>
      </w:r>
      <w:r w:rsidR="00E65822" w:rsidRPr="00884FAA">
        <w:rPr>
          <w:lang w:val="en-AU"/>
        </w:rPr>
        <w:t xml:space="preserve"> people to (re)engage in </w:t>
      </w:r>
      <w:r w:rsidR="00807F93" w:rsidRPr="00884FAA">
        <w:rPr>
          <w:lang w:val="en-AU"/>
        </w:rPr>
        <w:t>health care</w:t>
      </w:r>
    </w:p>
    <w:bookmarkEnd w:id="192"/>
    <w:p w14:paraId="3B6DB7B8" w14:textId="17D9C39A" w:rsidR="008C20CD" w:rsidRPr="00884FAA" w:rsidRDefault="00D94428" w:rsidP="004E5328">
      <w:r w:rsidRPr="00884FAA">
        <w:t>The ITC program supports</w:t>
      </w:r>
      <w:r w:rsidR="008C20CD" w:rsidRPr="00884FAA">
        <w:t xml:space="preserve"> </w:t>
      </w:r>
      <w:r w:rsidR="006D2482">
        <w:t>3</w:t>
      </w:r>
      <w:r w:rsidR="006D2482" w:rsidRPr="00884FAA">
        <w:t xml:space="preserve"> </w:t>
      </w:r>
      <w:r w:rsidR="000974D9" w:rsidRPr="00884FAA">
        <w:t>health worker positions</w:t>
      </w:r>
      <w:r w:rsidR="008C20CD" w:rsidRPr="00884FAA">
        <w:t xml:space="preserve"> </w:t>
      </w:r>
      <w:r w:rsidR="0084264C" w:rsidRPr="00884FAA">
        <w:t>aimed at assisting</w:t>
      </w:r>
      <w:r w:rsidR="008C20CD" w:rsidRPr="00884FAA">
        <w:t xml:space="preserve"> people to access culturally safe </w:t>
      </w:r>
      <w:r w:rsidR="00807F93" w:rsidRPr="00884FAA">
        <w:t>health care</w:t>
      </w:r>
      <w:r w:rsidR="0067598C" w:rsidRPr="00884FAA">
        <w:t xml:space="preserve"> </w:t>
      </w:r>
      <w:r w:rsidR="00AC5712" w:rsidRPr="00884FAA">
        <w:t>–</w:t>
      </w:r>
      <w:r w:rsidR="0067598C" w:rsidRPr="00884FAA">
        <w:t xml:space="preserve"> </w:t>
      </w:r>
      <w:r w:rsidR="00AC5712" w:rsidRPr="00884FAA">
        <w:t>outreach worker, care coordinator</w:t>
      </w:r>
      <w:r w:rsidR="00376454" w:rsidRPr="00884FAA">
        <w:t>,</w:t>
      </w:r>
      <w:r w:rsidR="00AC5712" w:rsidRPr="00884FAA">
        <w:t xml:space="preserve"> and Indigenous Health Project Officer (IHPO)</w:t>
      </w:r>
      <w:r w:rsidR="008C20CD" w:rsidRPr="00884FAA">
        <w:t>.</w:t>
      </w:r>
      <w:r w:rsidR="00D45E31" w:rsidRPr="00884FAA">
        <w:t xml:space="preserve"> </w:t>
      </w:r>
      <w:r w:rsidR="008E249D" w:rsidRPr="00FA78D2">
        <w:t xml:space="preserve">Final Report </w:t>
      </w:r>
      <w:r w:rsidR="008E249D" w:rsidRPr="005648B9">
        <w:t xml:space="preserve">Supporting Material Appendix </w:t>
      </w:r>
      <w:r w:rsidR="005648B9" w:rsidRPr="005648B9">
        <w:t>H</w:t>
      </w:r>
      <w:r w:rsidR="00D45E31" w:rsidRPr="005648B9">
        <w:t xml:space="preserve"> includes a</w:t>
      </w:r>
      <w:r w:rsidR="0060651C" w:rsidRPr="005648B9">
        <w:t xml:space="preserve"> description</w:t>
      </w:r>
      <w:r w:rsidR="0060651C" w:rsidRPr="00884FAA">
        <w:t xml:space="preserve"> of </w:t>
      </w:r>
      <w:r w:rsidR="00B10167" w:rsidRPr="00884FAA">
        <w:t xml:space="preserve">the roles and skill requirements associated with </w:t>
      </w:r>
      <w:r w:rsidR="00CA6B95" w:rsidRPr="00884FAA">
        <w:t>each of these positions</w:t>
      </w:r>
      <w:r w:rsidR="008C20CD" w:rsidRPr="00884FAA">
        <w:t xml:space="preserve">. </w:t>
      </w:r>
      <w:r w:rsidR="0098266E" w:rsidRPr="00884FAA">
        <w:t>T</w:t>
      </w:r>
      <w:r w:rsidR="008C20CD" w:rsidRPr="00884FAA">
        <w:t xml:space="preserve">he </w:t>
      </w:r>
      <w:r w:rsidR="0098266E" w:rsidRPr="00884FAA">
        <w:t xml:space="preserve">positions and their </w:t>
      </w:r>
      <w:r w:rsidR="008C20CD" w:rsidRPr="00884FAA">
        <w:t xml:space="preserve">roles are prescribed </w:t>
      </w:r>
      <w:r w:rsidR="0098266E" w:rsidRPr="00884FAA">
        <w:t xml:space="preserve">in </w:t>
      </w:r>
      <w:r w:rsidR="008C20CD" w:rsidRPr="00884FAA">
        <w:t xml:space="preserve">the ITC </w:t>
      </w:r>
      <w:r w:rsidR="0098266E" w:rsidRPr="00884FAA">
        <w:t xml:space="preserve">program </w:t>
      </w:r>
      <w:r w:rsidR="00FA046D">
        <w:t xml:space="preserve">implementation </w:t>
      </w:r>
      <w:r w:rsidR="008C20CD" w:rsidRPr="00884FAA">
        <w:t>guidelines</w:t>
      </w:r>
      <w:r w:rsidR="00D205A2" w:rsidRPr="00884FAA">
        <w:t>. However</w:t>
      </w:r>
      <w:r w:rsidR="008C20CD" w:rsidRPr="00884FAA">
        <w:t xml:space="preserve">, there is some flexibility in the location and mix of roles in each PHN region. For example, in two regional </w:t>
      </w:r>
      <w:r w:rsidR="00021F2A" w:rsidRPr="00884FAA">
        <w:t>evaluation</w:t>
      </w:r>
      <w:r w:rsidR="008C20CD" w:rsidRPr="00884FAA">
        <w:t xml:space="preserve"> sites, the IHPO position is located within the PHN and other roles are contracted out to </w:t>
      </w:r>
      <w:r w:rsidR="00D205A2" w:rsidRPr="00884FAA">
        <w:t>ACCHSs</w:t>
      </w:r>
      <w:r w:rsidR="008C20CD" w:rsidRPr="00884FAA">
        <w:t xml:space="preserve"> or other NGOs. </w:t>
      </w:r>
      <w:r w:rsidR="00A81831" w:rsidRPr="00884FAA">
        <w:t xml:space="preserve">In </w:t>
      </w:r>
      <w:r w:rsidR="00562BDA" w:rsidRPr="00884FAA">
        <w:t>two sites</w:t>
      </w:r>
      <w:r w:rsidR="00A81831" w:rsidRPr="00884FAA">
        <w:t xml:space="preserve"> the IHPO </w:t>
      </w:r>
      <w:r w:rsidR="00C200B5" w:rsidRPr="00884FAA">
        <w:t xml:space="preserve">position is located within the peak body for community-controlled health services. </w:t>
      </w:r>
      <w:r w:rsidR="008C20CD" w:rsidRPr="00884FAA">
        <w:t>In some regions, the outreach worker and care coordinator role</w:t>
      </w:r>
      <w:r w:rsidR="00C200B5" w:rsidRPr="00884FAA">
        <w:t>s</w:t>
      </w:r>
      <w:r w:rsidR="008C20CD" w:rsidRPr="00884FAA">
        <w:t xml:space="preserve"> are combined. </w:t>
      </w:r>
    </w:p>
    <w:p w14:paraId="7B2DECB3" w14:textId="2D26F878" w:rsidR="008C20CD" w:rsidRPr="00884FAA" w:rsidRDefault="008C20CD" w:rsidP="004E5328">
      <w:r w:rsidRPr="00884FAA">
        <w:t xml:space="preserve">Some aspects of the ITC </w:t>
      </w:r>
      <w:r w:rsidR="00074BEC" w:rsidRPr="00884FAA">
        <w:t xml:space="preserve">worker </w:t>
      </w:r>
      <w:r w:rsidRPr="00884FAA">
        <w:t xml:space="preserve">role descriptions provide </w:t>
      </w:r>
      <w:r w:rsidRPr="00884FAA">
        <w:rPr>
          <w:i/>
          <w:iCs/>
        </w:rPr>
        <w:t>implicit</w:t>
      </w:r>
      <w:r w:rsidRPr="00884FAA">
        <w:t xml:space="preserve"> recognition that mainstream services can be difficult to navigate and be culturally unsafe. For example, outreach workers are expected to help with identifying barriers to health services. When people do not feel </w:t>
      </w:r>
      <w:r w:rsidR="00E10C85" w:rsidRPr="00884FAA">
        <w:t>safe</w:t>
      </w:r>
      <w:r w:rsidRPr="00884FAA">
        <w:t xml:space="preserve"> they may be reluctant to access services.</w:t>
      </w:r>
    </w:p>
    <w:p w14:paraId="610FC56D" w14:textId="39A6DA54" w:rsidR="008C20CD" w:rsidRPr="00884FAA" w:rsidRDefault="008C20CD" w:rsidP="001C6C67">
      <w:r w:rsidRPr="00884FAA">
        <w:t>The contribution of ITC</w:t>
      </w:r>
      <w:r w:rsidR="000E00C0" w:rsidRPr="00884FAA">
        <w:t xml:space="preserve"> workers</w:t>
      </w:r>
      <w:r w:rsidRPr="00884FAA">
        <w:t xml:space="preserve"> to improving access to high quality, comprehensive</w:t>
      </w:r>
      <w:r w:rsidR="00E10C85" w:rsidRPr="00884FAA">
        <w:t>,</w:t>
      </w:r>
      <w:r w:rsidRPr="00884FAA">
        <w:t xml:space="preserve"> and culturally appropriate PHC occurs primarily because workers (particularly outreach workers and care coordinators) are attuned to local need and care deeply for their community. Th</w:t>
      </w:r>
      <w:r w:rsidR="00AA5FF9" w:rsidRPr="00884FAA">
        <w:t>ese workers</w:t>
      </w:r>
      <w:r w:rsidRPr="00884FAA">
        <w:t xml:space="preserve"> facilitate eligible people to engage in services and in managing their health conditions by walking alongside them.</w:t>
      </w:r>
      <w:r w:rsidR="004F1D4D">
        <w:t xml:space="preserve"> </w:t>
      </w:r>
      <w:r w:rsidRPr="00884FAA">
        <w:t xml:space="preserve">Outreach workers are described by PHN and </w:t>
      </w:r>
      <w:r w:rsidR="001C6C67" w:rsidRPr="00884FAA">
        <w:t>ACCHS</w:t>
      </w:r>
      <w:r w:rsidRPr="00884FAA">
        <w:t xml:space="preserve"> respondents as </w:t>
      </w:r>
      <w:r w:rsidR="001C6C67" w:rsidRPr="00884FAA">
        <w:t>‘</w:t>
      </w:r>
      <w:r w:rsidRPr="00884FAA">
        <w:t>community engagers</w:t>
      </w:r>
      <w:r w:rsidR="001C6C67" w:rsidRPr="00884FAA">
        <w:t>’</w:t>
      </w:r>
      <w:r w:rsidRPr="00884FAA">
        <w:t>. They have a presence in the community, and are on alert for people who need support but are reluctant to access health care.</w:t>
      </w:r>
    </w:p>
    <w:p w14:paraId="1FF449CF" w14:textId="3974BD06" w:rsidR="008C20CD" w:rsidRPr="00A1178E" w:rsidRDefault="008C20CD" w:rsidP="00BA0807">
      <w:pPr>
        <w:pStyle w:val="Quote"/>
        <w:spacing w:after="0"/>
        <w:rPr>
          <w:color w:val="18525E" w:themeColor="accent5" w:themeShade="80"/>
        </w:rPr>
      </w:pPr>
      <w:r w:rsidRPr="00A1178E">
        <w:rPr>
          <w:color w:val="18525E" w:themeColor="accent5" w:themeShade="80"/>
        </w:rPr>
        <w:lastRenderedPageBreak/>
        <w:t xml:space="preserve">I was able to provide the clinical support being a nurse, but the outreach workers were actually able to be on the ground. And you know, there was a lot of times the outreach workers would go and take a client for a drive for coffee, and in the end we're able to convince somebody to go to a medical appointment, which two weeks prior they're like, </w:t>
      </w:r>
      <w:r w:rsidR="00BA3C23" w:rsidRPr="00A1178E">
        <w:rPr>
          <w:color w:val="18525E" w:themeColor="accent5" w:themeShade="80"/>
        </w:rPr>
        <w:t>‘</w:t>
      </w:r>
      <w:r w:rsidRPr="00A1178E">
        <w:rPr>
          <w:color w:val="18525E" w:themeColor="accent5" w:themeShade="80"/>
        </w:rPr>
        <w:t>I'm not going to the GP. I'm not going to do this.</w:t>
      </w:r>
    </w:p>
    <w:p w14:paraId="05AECF00" w14:textId="7539401D" w:rsidR="002C2D26" w:rsidRPr="00BA0807" w:rsidRDefault="002C2D26" w:rsidP="00BA0807">
      <w:pPr>
        <w:jc w:val="right"/>
        <w:rPr>
          <w:b/>
          <w:bCs/>
        </w:rPr>
      </w:pPr>
      <w:r w:rsidRPr="00BA0807">
        <w:rPr>
          <w:b/>
          <w:bCs/>
        </w:rPr>
        <w:t>PHN, Metropolitan location</w:t>
      </w:r>
    </w:p>
    <w:p w14:paraId="79C046D0" w14:textId="7B844219" w:rsidR="008C20CD" w:rsidRPr="00884FAA" w:rsidRDefault="008C20CD" w:rsidP="001C6C67">
      <w:r w:rsidRPr="00884FAA">
        <w:t>Outreach workers have a critical role in engaging people in health care through safe pathways</w:t>
      </w:r>
      <w:r w:rsidR="00E82766" w:rsidRPr="00884FAA">
        <w:t>.</w:t>
      </w:r>
      <w:r w:rsidRPr="005D1C41">
        <w:rPr>
          <w:rStyle w:val="FootnoteReference"/>
        </w:rPr>
        <w:footnoteReference w:id="37"/>
      </w:r>
      <w:r w:rsidRPr="00884FAA">
        <w:t xml:space="preserve"> Such an approach involves an overarching ethos of care and respect. Engaging with community is not timebound</w:t>
      </w:r>
      <w:r w:rsidR="000D477B" w:rsidRPr="00884FAA">
        <w:t>.</w:t>
      </w:r>
    </w:p>
    <w:p w14:paraId="606997BD" w14:textId="6ACEF364" w:rsidR="008C20CD" w:rsidRPr="00A1178E" w:rsidRDefault="008C20CD" w:rsidP="00BA0807">
      <w:pPr>
        <w:pStyle w:val="Quote"/>
        <w:spacing w:after="0"/>
        <w:rPr>
          <w:color w:val="18525E" w:themeColor="accent5" w:themeShade="80"/>
        </w:rPr>
      </w:pPr>
      <w:r w:rsidRPr="00A1178E">
        <w:rPr>
          <w:color w:val="18525E" w:themeColor="accent5" w:themeShade="80"/>
        </w:rPr>
        <w:t>You can spend three hours with a client if you need to, to do that relationship building, which then allows them to access medical treatment.</w:t>
      </w:r>
    </w:p>
    <w:p w14:paraId="5E5E1137" w14:textId="307619D8" w:rsidR="002C2D26" w:rsidRPr="00BA0807" w:rsidRDefault="000F22E2" w:rsidP="00BA0807">
      <w:pPr>
        <w:jc w:val="right"/>
        <w:rPr>
          <w:b/>
          <w:bCs/>
        </w:rPr>
      </w:pPr>
      <w:r>
        <w:rPr>
          <w:b/>
          <w:bCs/>
        </w:rPr>
        <w:t>ACCHS</w:t>
      </w:r>
      <w:r w:rsidR="002C2D26" w:rsidRPr="00BA0807">
        <w:rPr>
          <w:b/>
          <w:bCs/>
        </w:rPr>
        <w:t>, Metropolitan location</w:t>
      </w:r>
    </w:p>
    <w:p w14:paraId="6B12D0B7" w14:textId="047DA0AD" w:rsidR="008C20CD" w:rsidRPr="00884FAA" w:rsidRDefault="008C20CD" w:rsidP="0036782D">
      <w:r w:rsidRPr="00884FAA">
        <w:t>Cultural safety and respect are paramount, where the focus is on building meaningful rapport and trust. Outreach workers may engage with community in culturally safe spaces for women’s and men’s business, where connection to culture and community are nurtured.</w:t>
      </w:r>
    </w:p>
    <w:p w14:paraId="4BDDE6F4" w14:textId="1FE3D910" w:rsidR="008C20CD" w:rsidRPr="00A1178E" w:rsidRDefault="008C20CD" w:rsidP="00BA0807">
      <w:pPr>
        <w:pStyle w:val="Quote"/>
        <w:spacing w:after="0"/>
        <w:rPr>
          <w:color w:val="18525E" w:themeColor="accent5" w:themeShade="80"/>
        </w:rPr>
      </w:pPr>
      <w:r w:rsidRPr="00A1178E">
        <w:rPr>
          <w:color w:val="18525E" w:themeColor="accent5" w:themeShade="80"/>
        </w:rPr>
        <w:t>… the outreach worker would go and collect a couple of men and off they'd go for the morning and do their fun activities together. Same with the women as well. And there was the grannies group, which outreach workers would often attend just to even go listen</w:t>
      </w:r>
      <w:r w:rsidR="00D9635A" w:rsidRPr="00A1178E">
        <w:rPr>
          <w:color w:val="18525E" w:themeColor="accent5" w:themeShade="80"/>
        </w:rPr>
        <w:t>, c</w:t>
      </w:r>
      <w:r w:rsidRPr="00A1178E">
        <w:rPr>
          <w:color w:val="18525E" w:themeColor="accent5" w:themeShade="80"/>
        </w:rPr>
        <w:t>ome back and be like</w:t>
      </w:r>
      <w:r w:rsidR="00D9635A" w:rsidRPr="00A1178E">
        <w:rPr>
          <w:color w:val="18525E" w:themeColor="accent5" w:themeShade="80"/>
        </w:rPr>
        <w:t>:</w:t>
      </w:r>
      <w:r w:rsidRPr="00A1178E">
        <w:rPr>
          <w:color w:val="18525E" w:themeColor="accent5" w:themeShade="80"/>
        </w:rPr>
        <w:t xml:space="preserve"> </w:t>
      </w:r>
      <w:r w:rsidR="00C2388C" w:rsidRPr="00A1178E">
        <w:rPr>
          <w:color w:val="18525E" w:themeColor="accent5" w:themeShade="80"/>
        </w:rPr>
        <w:t>‘</w:t>
      </w:r>
      <w:r w:rsidRPr="00A1178E">
        <w:rPr>
          <w:color w:val="18525E" w:themeColor="accent5" w:themeShade="80"/>
        </w:rPr>
        <w:t>Actually, so and so's in strife.</w:t>
      </w:r>
      <w:r w:rsidR="00C2388C" w:rsidRPr="00A1178E">
        <w:rPr>
          <w:color w:val="18525E" w:themeColor="accent5" w:themeShade="80"/>
        </w:rPr>
        <w:t>’</w:t>
      </w:r>
      <w:r w:rsidRPr="00A1178E">
        <w:rPr>
          <w:color w:val="18525E" w:themeColor="accent5" w:themeShade="80"/>
        </w:rPr>
        <w:t xml:space="preserve"> </w:t>
      </w:r>
      <w:r w:rsidR="002726E7" w:rsidRPr="00A1178E">
        <w:rPr>
          <w:color w:val="18525E" w:themeColor="accent5" w:themeShade="80"/>
        </w:rPr>
        <w:t xml:space="preserve">… </w:t>
      </w:r>
      <w:r w:rsidRPr="00A1178E">
        <w:rPr>
          <w:color w:val="18525E" w:themeColor="accent5" w:themeShade="80"/>
        </w:rPr>
        <w:t>sometimes we couldn't get a hold of our clients. But then the outreach workers were able to connect through other means to access them, which was great.</w:t>
      </w:r>
    </w:p>
    <w:p w14:paraId="35A91680" w14:textId="4195C235" w:rsidR="002C2D26" w:rsidRPr="00BA0807" w:rsidRDefault="002C2D26" w:rsidP="00BA0807">
      <w:pPr>
        <w:jc w:val="right"/>
        <w:rPr>
          <w:b/>
          <w:bCs/>
        </w:rPr>
      </w:pPr>
      <w:r w:rsidRPr="00BA0807">
        <w:rPr>
          <w:b/>
          <w:bCs/>
        </w:rPr>
        <w:t xml:space="preserve">PHN, </w:t>
      </w:r>
      <w:r w:rsidR="000F22E2" w:rsidRPr="00BA0807">
        <w:rPr>
          <w:b/>
          <w:bCs/>
        </w:rPr>
        <w:t xml:space="preserve">Metropolitan location </w:t>
      </w:r>
    </w:p>
    <w:p w14:paraId="1AF1FCD4" w14:textId="55C7DA52" w:rsidR="008C20CD" w:rsidRPr="00884FAA" w:rsidRDefault="00A87D3A" w:rsidP="005C71C3">
      <w:pPr>
        <w:pStyle w:val="Heading6"/>
        <w:numPr>
          <w:ilvl w:val="0"/>
          <w:numId w:val="0"/>
        </w:numPr>
        <w:rPr>
          <w:lang w:val="en-AU"/>
        </w:rPr>
      </w:pPr>
      <w:r w:rsidRPr="00884FAA">
        <w:rPr>
          <w:lang w:val="en-AU"/>
        </w:rPr>
        <w:t>ITC workers empower people with information</w:t>
      </w:r>
    </w:p>
    <w:p w14:paraId="507D10DB" w14:textId="2560F8CB" w:rsidR="00A662B4" w:rsidRPr="00884FAA" w:rsidRDefault="008C20CD" w:rsidP="00A662B4">
      <w:r w:rsidRPr="00884FAA">
        <w:t>Care coordinators run health education events</w:t>
      </w:r>
      <w:r w:rsidR="00EA2539" w:rsidRPr="00884FAA">
        <w:t xml:space="preserve">. Evaluation participants reported </w:t>
      </w:r>
      <w:r w:rsidR="00780A96" w:rsidRPr="00884FAA">
        <w:t>holding events</w:t>
      </w:r>
      <w:r w:rsidR="00A662B4" w:rsidRPr="00884FAA">
        <w:t xml:space="preserve"> </w:t>
      </w:r>
      <w:r w:rsidR="00780A96" w:rsidRPr="00884FAA">
        <w:t>cover</w:t>
      </w:r>
      <w:r w:rsidRPr="00884FAA">
        <w:t xml:space="preserve">ing </w:t>
      </w:r>
      <w:r w:rsidR="00A662B4" w:rsidRPr="00884FAA">
        <w:t xml:space="preserve">topics such as </w:t>
      </w:r>
      <w:r w:rsidR="00B45ACD" w:rsidRPr="00884FAA">
        <w:t>the difference between different types of health care clinics</w:t>
      </w:r>
      <w:r w:rsidR="00EA2539" w:rsidRPr="00884FAA">
        <w:t>,</w:t>
      </w:r>
      <w:r w:rsidR="00A662B4" w:rsidRPr="00884FAA">
        <w:t xml:space="preserve"> and</w:t>
      </w:r>
      <w:r w:rsidR="00780A96" w:rsidRPr="00884FAA">
        <w:t xml:space="preserve"> what is involved in a health assessment</w:t>
      </w:r>
      <w:r w:rsidR="00A662B4" w:rsidRPr="00884FAA">
        <w:t>.</w:t>
      </w:r>
      <w:r w:rsidR="004E7C6B" w:rsidRPr="00884FAA">
        <w:t xml:space="preserve"> Care coordinators also provide information and education to people about</w:t>
      </w:r>
      <w:r w:rsidR="00AB660E" w:rsidRPr="00884FAA">
        <w:t xml:space="preserve"> their underlying health conditions</w:t>
      </w:r>
      <w:r w:rsidR="00006B5F" w:rsidRPr="00884FAA">
        <w:t xml:space="preserve"> so that they understand the seriousness of</w:t>
      </w:r>
      <w:r w:rsidR="003A3F0D" w:rsidRPr="00884FAA">
        <w:t xml:space="preserve"> </w:t>
      </w:r>
      <w:r w:rsidR="00885A1C" w:rsidRPr="00884FAA">
        <w:t>these and</w:t>
      </w:r>
      <w:r w:rsidR="003A3F0D" w:rsidRPr="00884FAA">
        <w:t xml:space="preserve"> discuss</w:t>
      </w:r>
      <w:r w:rsidR="004E7C6B" w:rsidRPr="00884FAA">
        <w:t xml:space="preserve"> their medications.</w:t>
      </w:r>
    </w:p>
    <w:p w14:paraId="502A7384" w14:textId="2B9B4EE7" w:rsidR="008C20CD" w:rsidRPr="00A1178E" w:rsidRDefault="004E7C6B" w:rsidP="00BA0807">
      <w:pPr>
        <w:pStyle w:val="Quote"/>
        <w:spacing w:after="0"/>
        <w:rPr>
          <w:color w:val="18525E" w:themeColor="accent5" w:themeShade="80"/>
        </w:rPr>
      </w:pPr>
      <w:r w:rsidRPr="00A1178E">
        <w:rPr>
          <w:color w:val="18525E" w:themeColor="accent5" w:themeShade="80"/>
        </w:rPr>
        <w:t>B</w:t>
      </w:r>
      <w:r w:rsidR="008C20CD" w:rsidRPr="00A1178E">
        <w:rPr>
          <w:color w:val="18525E" w:themeColor="accent5" w:themeShade="80"/>
        </w:rPr>
        <w:t>efore the care coordinator came along</w:t>
      </w:r>
      <w:r w:rsidRPr="00A1178E">
        <w:rPr>
          <w:color w:val="18525E" w:themeColor="accent5" w:themeShade="80"/>
        </w:rPr>
        <w:t>,</w:t>
      </w:r>
      <w:r w:rsidR="008C20CD" w:rsidRPr="00A1178E">
        <w:rPr>
          <w:color w:val="18525E" w:themeColor="accent5" w:themeShade="80"/>
        </w:rPr>
        <w:t xml:space="preserve"> clients were just taking medications because that's what they doctor said. They didn’t know what they were for. They didn't know they could say to the doctor that makes me feel sick, is there something else? So we've got these care coordinators that are actually looking with the patient into everything and giving them some education on their meds as well.</w:t>
      </w:r>
    </w:p>
    <w:p w14:paraId="14C278A7" w14:textId="04490B00" w:rsidR="00C75E4E" w:rsidRPr="00BA0807" w:rsidRDefault="00C75E4E" w:rsidP="00BA0807">
      <w:pPr>
        <w:jc w:val="right"/>
        <w:rPr>
          <w:b/>
          <w:bCs/>
        </w:rPr>
      </w:pPr>
      <w:r w:rsidRPr="00BA0807">
        <w:rPr>
          <w:b/>
          <w:bCs/>
        </w:rPr>
        <w:t xml:space="preserve">PHN, Regional location </w:t>
      </w:r>
    </w:p>
    <w:p w14:paraId="514D615A" w14:textId="77777777" w:rsidR="004F1D4D" w:rsidRDefault="004F1D4D">
      <w:pPr>
        <w:jc w:val="left"/>
        <w:rPr>
          <w:rFonts w:cstheme="minorHAnsi"/>
          <w:b/>
          <w:bCs/>
          <w:color w:val="9E6047" w:themeColor="accent3"/>
          <w:sz w:val="24"/>
          <w:szCs w:val="24"/>
        </w:rPr>
      </w:pPr>
      <w:r>
        <w:br w:type="page"/>
      </w:r>
    </w:p>
    <w:p w14:paraId="079E7B74" w14:textId="51129790" w:rsidR="008C20CD" w:rsidRPr="00884FAA" w:rsidRDefault="00A6532F" w:rsidP="005C71C3">
      <w:pPr>
        <w:pStyle w:val="Heading6"/>
        <w:numPr>
          <w:ilvl w:val="0"/>
          <w:numId w:val="0"/>
        </w:numPr>
        <w:tabs>
          <w:tab w:val="left" w:pos="1260"/>
        </w:tabs>
        <w:rPr>
          <w:lang w:val="en-AU"/>
        </w:rPr>
      </w:pPr>
      <w:r w:rsidRPr="00884FAA">
        <w:rPr>
          <w:lang w:val="en-AU"/>
        </w:rPr>
        <w:lastRenderedPageBreak/>
        <w:t>ITC workers help people to navigate the system</w:t>
      </w:r>
    </w:p>
    <w:p w14:paraId="706920A4" w14:textId="38618052" w:rsidR="008C20CD" w:rsidRPr="00884FAA" w:rsidRDefault="008C20CD" w:rsidP="00007566">
      <w:pPr>
        <w:rPr>
          <w:rFonts w:ascii="Cambria" w:eastAsia="Calibri" w:hAnsi="Cambria" w:cs="Arial"/>
          <w:i/>
          <w:iCs/>
          <w:color w:val="000000"/>
        </w:rPr>
      </w:pPr>
      <w:r w:rsidRPr="00884FAA">
        <w:t>ITC workers help eligible people</w:t>
      </w:r>
      <w:r w:rsidR="00A4334A" w:rsidRPr="00884FAA">
        <w:t xml:space="preserve"> to</w:t>
      </w:r>
      <w:r w:rsidRPr="00884FAA">
        <w:t xml:space="preserve"> navigate and engage with </w:t>
      </w:r>
      <w:r w:rsidR="00A4334A" w:rsidRPr="00884FAA">
        <w:t xml:space="preserve">services across the health system. </w:t>
      </w:r>
      <w:r w:rsidR="006F1E07" w:rsidRPr="00884FAA">
        <w:t>This can involve</w:t>
      </w:r>
      <w:r w:rsidR="00682D2B" w:rsidRPr="00884FAA">
        <w:t xml:space="preserve"> walk</w:t>
      </w:r>
      <w:r w:rsidR="006F1E07" w:rsidRPr="00884FAA">
        <w:t>ing</w:t>
      </w:r>
      <w:r w:rsidR="00682D2B" w:rsidRPr="00884FAA">
        <w:t xml:space="preserve"> alongside clients as they</w:t>
      </w:r>
      <w:r w:rsidR="006F1E07" w:rsidRPr="00884FAA">
        <w:t xml:space="preserve"> access allied health services of specialist hospital services. </w:t>
      </w:r>
      <w:r w:rsidR="00103A36" w:rsidRPr="00884FAA">
        <w:t xml:space="preserve">Reportedly, this supports smooth transitions across the primary-hospital care interface and </w:t>
      </w:r>
      <w:r w:rsidR="00007566" w:rsidRPr="00884FAA">
        <w:t>makes clients more inclined to engage in their care.</w:t>
      </w:r>
    </w:p>
    <w:p w14:paraId="170A377F" w14:textId="0DE5791E" w:rsidR="008C20CD" w:rsidRPr="00884FAA" w:rsidRDefault="00EF140D" w:rsidP="000E1F0B">
      <w:r w:rsidRPr="00884FAA">
        <w:t xml:space="preserve">An evaluation respondent who </w:t>
      </w:r>
      <w:r w:rsidR="000E1F0B" w:rsidRPr="00884FAA">
        <w:t>h</w:t>
      </w:r>
      <w:r w:rsidRPr="00884FAA">
        <w:t xml:space="preserve">ad worked as </w:t>
      </w:r>
      <w:r w:rsidR="000E1F0B" w:rsidRPr="00884FAA">
        <w:t>an ITC care coordinator</w:t>
      </w:r>
      <w:r w:rsidR="008C20CD" w:rsidRPr="00884FAA">
        <w:t xml:space="preserve"> described the role as including helping people </w:t>
      </w:r>
      <w:r w:rsidR="0076678A" w:rsidRPr="00884FAA">
        <w:t xml:space="preserve">to </w:t>
      </w:r>
      <w:r w:rsidR="008C20CD" w:rsidRPr="00884FAA">
        <w:t>navigate hospital treatment such as dialysis, chemotherapy</w:t>
      </w:r>
      <w:r w:rsidR="00DC2177" w:rsidRPr="00884FAA">
        <w:t>,</w:t>
      </w:r>
      <w:r w:rsidR="008C20CD" w:rsidRPr="00884FAA">
        <w:t xml:space="preserve"> and radiation</w:t>
      </w:r>
      <w:r w:rsidR="0076678A" w:rsidRPr="00884FAA">
        <w:t xml:space="preserve"> t</w:t>
      </w:r>
      <w:r w:rsidR="006E76AA" w:rsidRPr="00884FAA">
        <w:t>herapy</w:t>
      </w:r>
      <w:r w:rsidR="008C20CD" w:rsidRPr="00884FAA">
        <w:t>.</w:t>
      </w:r>
      <w:r w:rsidR="00DB3427" w:rsidRPr="00884FAA">
        <w:t xml:space="preserve"> Much of the role involved ensuring people have a voice and are confident to ask questions about their </w:t>
      </w:r>
      <w:r w:rsidR="00325E50" w:rsidRPr="00884FAA">
        <w:t>condition and care.</w:t>
      </w:r>
      <w:r w:rsidR="008C20CD" w:rsidRPr="00884FAA">
        <w:t xml:space="preserve"> </w:t>
      </w:r>
      <w:r w:rsidR="00325E50" w:rsidRPr="00884FAA">
        <w:t xml:space="preserve">She described a situation of supporting a young </w:t>
      </w:r>
      <w:r w:rsidR="009F64B2" w:rsidRPr="00884FAA">
        <w:t>man who was being treated for throat cancer</w:t>
      </w:r>
      <w:r w:rsidR="00FB0856" w:rsidRPr="00884FAA">
        <w:t>. The s</w:t>
      </w:r>
      <w:r w:rsidR="00A95BD2" w:rsidRPr="00884FAA">
        <w:t>pecialist was telling the young man that he had</w:t>
      </w:r>
      <w:r w:rsidR="00180BC4" w:rsidRPr="00884FAA">
        <w:t xml:space="preserve"> a life expectancy of </w:t>
      </w:r>
      <w:r w:rsidR="00A95BD2" w:rsidRPr="00884FAA">
        <w:t>6 months</w:t>
      </w:r>
      <w:r w:rsidR="00180BC4" w:rsidRPr="00884FAA">
        <w:t xml:space="preserve">, even with treatment. </w:t>
      </w:r>
      <w:r w:rsidR="0007786F" w:rsidRPr="00884FAA">
        <w:t xml:space="preserve">However, the </w:t>
      </w:r>
      <w:r w:rsidR="00180BC4" w:rsidRPr="00884FAA">
        <w:t>young man was smiling a</w:t>
      </w:r>
      <w:r w:rsidR="00EE586F" w:rsidRPr="00884FAA">
        <w:t xml:space="preserve">s </w:t>
      </w:r>
      <w:r w:rsidR="0007786F" w:rsidRPr="00884FAA">
        <w:t xml:space="preserve">what </w:t>
      </w:r>
      <w:r w:rsidR="00EE586F" w:rsidRPr="00884FAA">
        <w:t xml:space="preserve">he heard the specialist </w:t>
      </w:r>
      <w:r w:rsidR="0007786F" w:rsidRPr="00884FAA">
        <w:t>say</w:t>
      </w:r>
      <w:r w:rsidR="00EE586F" w:rsidRPr="00884FAA">
        <w:t xml:space="preserve"> is that </w:t>
      </w:r>
      <w:r w:rsidR="008E39AD" w:rsidRPr="00884FAA">
        <w:t xml:space="preserve">he would need to stay in hospital for 6 months of treatment, after which he would have </w:t>
      </w:r>
      <w:r w:rsidR="005F3D34" w:rsidRPr="00884FAA">
        <w:t xml:space="preserve">a normal life expectancy. </w:t>
      </w:r>
      <w:r w:rsidR="008E39AD" w:rsidRPr="00884FAA">
        <w:t xml:space="preserve"> </w:t>
      </w:r>
      <w:r w:rsidR="00A95BD2" w:rsidRPr="00884FAA">
        <w:t xml:space="preserve">  </w:t>
      </w:r>
      <w:r w:rsidR="009F64B2" w:rsidRPr="00884FAA">
        <w:t xml:space="preserve"> </w:t>
      </w:r>
    </w:p>
    <w:p w14:paraId="000EED30" w14:textId="56A4DF80" w:rsidR="008C20CD" w:rsidRPr="00A1178E" w:rsidRDefault="00417615" w:rsidP="008B7764">
      <w:pPr>
        <w:pStyle w:val="Quote"/>
        <w:spacing w:after="0"/>
        <w:rPr>
          <w:color w:val="18525E" w:themeColor="accent5" w:themeShade="80"/>
        </w:rPr>
      </w:pPr>
      <w:r w:rsidRPr="00A1178E">
        <w:rPr>
          <w:color w:val="18525E" w:themeColor="accent5" w:themeShade="80"/>
        </w:rPr>
        <w:t>… i</w:t>
      </w:r>
      <w:r w:rsidR="008C20CD" w:rsidRPr="00A1178E">
        <w:rPr>
          <w:color w:val="18525E" w:themeColor="accent5" w:themeShade="80"/>
        </w:rPr>
        <w:t>t’s really supporting people to truly understand the information that’s be</w:t>
      </w:r>
      <w:r w:rsidRPr="00A1178E">
        <w:rPr>
          <w:color w:val="18525E" w:themeColor="accent5" w:themeShade="80"/>
        </w:rPr>
        <w:t>ing</w:t>
      </w:r>
      <w:r w:rsidR="008C20CD" w:rsidRPr="00A1178E">
        <w:rPr>
          <w:color w:val="18525E" w:themeColor="accent5" w:themeShade="80"/>
        </w:rPr>
        <w:t xml:space="preserve"> provided. This situation happens every day. It happens with medications and with allied health treatment. You know, you have a foot ulcer and you need to make sure that you have this dressing, or make sure that you don’t walk on it. That you take this antibiotic regularly.</w:t>
      </w:r>
      <w:r w:rsidR="00552F50" w:rsidRPr="00A1178E">
        <w:rPr>
          <w:color w:val="18525E" w:themeColor="accent5" w:themeShade="80"/>
        </w:rPr>
        <w:t xml:space="preserve"> </w:t>
      </w:r>
      <w:r w:rsidR="008C20CD" w:rsidRPr="00A1178E">
        <w:rPr>
          <w:color w:val="18525E" w:themeColor="accent5" w:themeShade="80"/>
        </w:rPr>
        <w:t>It’s really supporting health professionals, specialists, allied health</w:t>
      </w:r>
      <w:r w:rsidR="00552F50" w:rsidRPr="00A1178E">
        <w:rPr>
          <w:color w:val="18525E" w:themeColor="accent5" w:themeShade="80"/>
        </w:rPr>
        <w:t>,</w:t>
      </w:r>
      <w:r w:rsidR="008C20CD" w:rsidRPr="00A1178E">
        <w:rPr>
          <w:color w:val="18525E" w:themeColor="accent5" w:themeShade="80"/>
        </w:rPr>
        <w:t xml:space="preserve"> GPs to understand the cultural barriers for our people, and then also that our clients truly understand what’s happening with their health and their treatments and with their ongoing chronic disease management.</w:t>
      </w:r>
    </w:p>
    <w:p w14:paraId="6919098E" w14:textId="20E924BD" w:rsidR="00BB3620" w:rsidRPr="008B7764" w:rsidRDefault="00BB3620" w:rsidP="008B7764">
      <w:pPr>
        <w:jc w:val="right"/>
        <w:rPr>
          <w:b/>
          <w:bCs/>
        </w:rPr>
      </w:pPr>
      <w:r w:rsidRPr="008B7764">
        <w:rPr>
          <w:b/>
          <w:bCs/>
        </w:rPr>
        <w:t xml:space="preserve">PHN, Metropolitan location </w:t>
      </w:r>
    </w:p>
    <w:p w14:paraId="57ADFCB7" w14:textId="3B68C6BF" w:rsidR="008C20CD" w:rsidRPr="00884FAA" w:rsidRDefault="001300D8" w:rsidP="005C71C3">
      <w:pPr>
        <w:pStyle w:val="Heading6"/>
        <w:numPr>
          <w:ilvl w:val="0"/>
          <w:numId w:val="0"/>
        </w:numPr>
        <w:rPr>
          <w:lang w:val="en-AU"/>
        </w:rPr>
      </w:pPr>
      <w:r w:rsidRPr="00884FAA">
        <w:rPr>
          <w:lang w:val="en-AU"/>
        </w:rPr>
        <w:t xml:space="preserve">ITC workers help to change </w:t>
      </w:r>
      <w:r w:rsidR="008C20CD" w:rsidRPr="00884FAA">
        <w:rPr>
          <w:lang w:val="en-AU"/>
        </w:rPr>
        <w:t>mindsets within mainstream services</w:t>
      </w:r>
    </w:p>
    <w:p w14:paraId="41161AFD" w14:textId="13DFE337" w:rsidR="008C20CD" w:rsidRPr="00884FAA" w:rsidRDefault="008C20CD" w:rsidP="00A8670E">
      <w:pPr>
        <w:rPr>
          <w:iCs/>
        </w:rPr>
      </w:pPr>
      <w:r w:rsidRPr="00884FAA">
        <w:t xml:space="preserve">The IHPOs provide opportunities for mainstream </w:t>
      </w:r>
      <w:r w:rsidR="001300D8" w:rsidRPr="00884FAA">
        <w:t>PHC</w:t>
      </w:r>
      <w:r w:rsidRPr="00884FAA">
        <w:t xml:space="preserve"> </w:t>
      </w:r>
      <w:r w:rsidR="00041BAB" w:rsidRPr="00884FAA">
        <w:t>services</w:t>
      </w:r>
      <w:r w:rsidRPr="00884FAA">
        <w:t xml:space="preserve"> to undertake cultural awareness training. This may occur through formal workshop</w:t>
      </w:r>
      <w:r w:rsidR="00B805D9" w:rsidRPr="00884FAA">
        <w:t xml:space="preserve">s. </w:t>
      </w:r>
      <w:r w:rsidR="00F63030" w:rsidRPr="00884FAA">
        <w:t>It can also occur</w:t>
      </w:r>
      <w:r w:rsidRPr="00884FAA">
        <w:t xml:space="preserve"> informally working one</w:t>
      </w:r>
      <w:r w:rsidR="00F63030" w:rsidRPr="00884FAA">
        <w:t>-</w:t>
      </w:r>
      <w:r w:rsidRPr="00884FAA">
        <w:t>on</w:t>
      </w:r>
      <w:r w:rsidR="00F63030" w:rsidRPr="00884FAA">
        <w:t>-</w:t>
      </w:r>
      <w:r w:rsidRPr="00884FAA">
        <w:t xml:space="preserve">one with </w:t>
      </w:r>
      <w:r w:rsidR="00104480" w:rsidRPr="00884FAA">
        <w:t xml:space="preserve">a </w:t>
      </w:r>
      <w:r w:rsidR="00041BAB" w:rsidRPr="00884FAA">
        <w:t>PHC service</w:t>
      </w:r>
      <w:r w:rsidR="00104480" w:rsidRPr="00884FAA">
        <w:t xml:space="preserve">, for example through </w:t>
      </w:r>
      <w:r w:rsidR="00A8670E" w:rsidRPr="00884FAA">
        <w:t xml:space="preserve">an informal yarn with </w:t>
      </w:r>
      <w:r w:rsidRPr="00884FAA">
        <w:rPr>
          <w:iCs/>
        </w:rPr>
        <w:t>the practice nurse, practise manager, reception staff</w:t>
      </w:r>
      <w:r w:rsidR="00021D9F" w:rsidRPr="00884FAA">
        <w:rPr>
          <w:iCs/>
        </w:rPr>
        <w:t>,</w:t>
      </w:r>
      <w:r w:rsidRPr="00884FAA">
        <w:rPr>
          <w:iCs/>
        </w:rPr>
        <w:t xml:space="preserve"> </w:t>
      </w:r>
      <w:r w:rsidR="00A8670E" w:rsidRPr="00884FAA">
        <w:rPr>
          <w:iCs/>
        </w:rPr>
        <w:t>and whomever else is</w:t>
      </w:r>
      <w:r w:rsidRPr="00884FAA">
        <w:rPr>
          <w:iCs/>
        </w:rPr>
        <w:t xml:space="preserve"> available.</w:t>
      </w:r>
    </w:p>
    <w:p w14:paraId="08162665" w14:textId="72384920" w:rsidR="008C20CD" w:rsidRPr="00884FAA" w:rsidRDefault="008C20CD" w:rsidP="001300D8">
      <w:r w:rsidRPr="00884FAA">
        <w:t xml:space="preserve">One </w:t>
      </w:r>
      <w:r w:rsidR="00BB08D8" w:rsidRPr="00884FAA">
        <w:t>ACCHS participant</w:t>
      </w:r>
      <w:r w:rsidRPr="00884FAA">
        <w:t xml:space="preserve"> noted that the challenges when this work is contracted to Indigenous organisations</w:t>
      </w:r>
      <w:r w:rsidR="0066187C" w:rsidRPr="00884FAA">
        <w:t>.</w:t>
      </w:r>
    </w:p>
    <w:p w14:paraId="54CB92EF" w14:textId="7F828333" w:rsidR="008C20CD" w:rsidRPr="00A1178E" w:rsidRDefault="008C20CD" w:rsidP="00BB3620">
      <w:pPr>
        <w:pStyle w:val="Quote"/>
        <w:spacing w:after="0"/>
        <w:rPr>
          <w:color w:val="18525E" w:themeColor="accent5" w:themeShade="80"/>
        </w:rPr>
      </w:pPr>
      <w:r w:rsidRPr="00A1178E">
        <w:rPr>
          <w:color w:val="18525E" w:themeColor="accent5" w:themeShade="80"/>
        </w:rPr>
        <w:t>It's a really hard gig to ask one of our mob to get into a mainstream service, get the GP to talk to them, if you're the only Aboriginal person going in. I've experienced that myself. Like, that is hard, like a hard ask and should that be the role of the ACCHOs to educate the other GPs?</w:t>
      </w:r>
    </w:p>
    <w:p w14:paraId="656AEB55" w14:textId="73D888D3" w:rsidR="00F67DFF" w:rsidRPr="00BB3620" w:rsidRDefault="00F67DFF" w:rsidP="000D3510">
      <w:pPr>
        <w:spacing w:before="120"/>
        <w:jc w:val="right"/>
        <w:rPr>
          <w:b/>
          <w:bCs/>
        </w:rPr>
      </w:pPr>
      <w:r w:rsidRPr="00BB3620">
        <w:rPr>
          <w:b/>
          <w:bCs/>
        </w:rPr>
        <w:t xml:space="preserve">ACCHS, Regional location </w:t>
      </w:r>
    </w:p>
    <w:p w14:paraId="01BE0ECA" w14:textId="76B882A7" w:rsidR="008C20CD" w:rsidRPr="00884FAA" w:rsidRDefault="008550DC" w:rsidP="00CC3D64">
      <w:r w:rsidRPr="00884FAA">
        <w:t xml:space="preserve">Participants in </w:t>
      </w:r>
      <w:r w:rsidR="006D2482">
        <w:t>5</w:t>
      </w:r>
      <w:r w:rsidR="006D2482" w:rsidRPr="00884FAA">
        <w:t xml:space="preserve"> </w:t>
      </w:r>
      <w:r w:rsidR="008C20CD" w:rsidRPr="00884FAA">
        <w:t>sites refe</w:t>
      </w:r>
      <w:r w:rsidRPr="00884FAA">
        <w:t>r</w:t>
      </w:r>
      <w:r w:rsidR="008C20CD" w:rsidRPr="00884FAA">
        <w:t>r</w:t>
      </w:r>
      <w:r w:rsidRPr="00884FAA">
        <w:t>ed</w:t>
      </w:r>
      <w:r w:rsidR="008C20CD" w:rsidRPr="00884FAA">
        <w:t xml:space="preserve"> to Indigenous and non-Indigenous organisations being commissioned to run cultural education and capacity building. Mainstream services receive the training as part of signing up to the P</w:t>
      </w:r>
      <w:r w:rsidR="00C054C3" w:rsidRPr="00884FAA">
        <w:t>racti</w:t>
      </w:r>
      <w:r w:rsidR="0006256B" w:rsidRPr="00884FAA">
        <w:t>c</w:t>
      </w:r>
      <w:r w:rsidR="00C054C3" w:rsidRPr="00884FAA">
        <w:t>e Incentives Program (PIP)</w:t>
      </w:r>
      <w:r w:rsidR="00A74097" w:rsidRPr="00884FAA">
        <w:t xml:space="preserve"> </w:t>
      </w:r>
      <w:r w:rsidR="0006256B" w:rsidRPr="00884FAA">
        <w:t>Indigenous Heath Incentive (IHI)</w:t>
      </w:r>
      <w:r w:rsidR="008C20CD" w:rsidRPr="00884FAA">
        <w:t xml:space="preserve">. </w:t>
      </w:r>
      <w:r w:rsidR="00BC1FEA" w:rsidRPr="00884FAA">
        <w:t>Participants said they had</w:t>
      </w:r>
      <w:r w:rsidR="00EC73A0" w:rsidRPr="00884FAA">
        <w:t xml:space="preserve"> concerns about the effectiveness of this training, which is often a short, one-off course</w:t>
      </w:r>
      <w:r w:rsidR="00CC3D64" w:rsidRPr="00884FAA">
        <w:t xml:space="preserve">. </w:t>
      </w:r>
      <w:r w:rsidR="00541DDF">
        <w:t>They were also concerned</w:t>
      </w:r>
      <w:r w:rsidR="008C20CD" w:rsidRPr="00884FAA" w:rsidDel="00541DDF">
        <w:t xml:space="preserve"> </w:t>
      </w:r>
      <w:r w:rsidR="008C20CD" w:rsidRPr="00884FAA">
        <w:t xml:space="preserve">that the IAHP funding is </w:t>
      </w:r>
      <w:r w:rsidR="008C20CD" w:rsidRPr="00884FAA">
        <w:lastRenderedPageBreak/>
        <w:t>being used to educate mainstream services about cultural safety. Cultural education training is an area that two PHNs said they are reviewing</w:t>
      </w:r>
      <w:r w:rsidR="00CC3D64" w:rsidRPr="00884FAA">
        <w:t>.</w:t>
      </w:r>
    </w:p>
    <w:p w14:paraId="7349F9CD" w14:textId="6881514A" w:rsidR="008C20CD" w:rsidRPr="00A1178E" w:rsidRDefault="008C20CD" w:rsidP="00BB3620">
      <w:pPr>
        <w:pStyle w:val="Quote"/>
        <w:spacing w:after="0"/>
        <w:rPr>
          <w:color w:val="18525E" w:themeColor="accent5" w:themeShade="80"/>
        </w:rPr>
      </w:pPr>
      <w:r w:rsidRPr="00A1178E">
        <w:rPr>
          <w:color w:val="18525E" w:themeColor="accent5" w:themeShade="80"/>
        </w:rPr>
        <w:t>There’s a lot of investment in cultural safety training, but we’re not seeing a lot in translation. So how do you move from having the cultural safety training, which gives you some awareness, to actually better insight about how you need to translate or adapt your practice to be culturally safe</w:t>
      </w:r>
      <w:r w:rsidR="00903CD3" w:rsidRPr="00A1178E">
        <w:rPr>
          <w:color w:val="18525E" w:themeColor="accent5" w:themeShade="80"/>
        </w:rPr>
        <w:t xml:space="preserve"> </w:t>
      </w:r>
      <w:r w:rsidRPr="00A1178E">
        <w:rPr>
          <w:color w:val="18525E" w:themeColor="accent5" w:themeShade="80"/>
        </w:rPr>
        <w:t>…</w:t>
      </w:r>
      <w:r w:rsidR="00903CD3" w:rsidRPr="00A1178E">
        <w:rPr>
          <w:color w:val="18525E" w:themeColor="accent5" w:themeShade="80"/>
        </w:rPr>
        <w:t xml:space="preserve"> </w:t>
      </w:r>
      <w:r w:rsidRPr="00A1178E">
        <w:rPr>
          <w:color w:val="18525E" w:themeColor="accent5" w:themeShade="80"/>
        </w:rPr>
        <w:t>so that’s a gap.</w:t>
      </w:r>
    </w:p>
    <w:p w14:paraId="55FB2D96" w14:textId="7B5F7C76" w:rsidR="00F67DFF" w:rsidRPr="00BB3620" w:rsidRDefault="00F67DFF" w:rsidP="000D3510">
      <w:pPr>
        <w:spacing w:before="120"/>
        <w:jc w:val="right"/>
        <w:rPr>
          <w:b/>
          <w:bCs/>
        </w:rPr>
      </w:pPr>
      <w:r w:rsidRPr="00BB3620">
        <w:rPr>
          <w:b/>
          <w:bCs/>
        </w:rPr>
        <w:t xml:space="preserve">PHN, Metropolitan location </w:t>
      </w:r>
    </w:p>
    <w:p w14:paraId="780123EF" w14:textId="7648F92D" w:rsidR="008C20CD" w:rsidRPr="00884FAA" w:rsidRDefault="00DB2AA5" w:rsidP="005C71C3">
      <w:pPr>
        <w:pStyle w:val="Heading6"/>
        <w:numPr>
          <w:ilvl w:val="0"/>
          <w:numId w:val="0"/>
        </w:numPr>
        <w:rPr>
          <w:lang w:val="en-AU"/>
        </w:rPr>
      </w:pPr>
      <w:r w:rsidRPr="00884FAA">
        <w:rPr>
          <w:lang w:val="en-AU"/>
        </w:rPr>
        <w:t xml:space="preserve">There is value in having </w:t>
      </w:r>
      <w:r w:rsidR="0034347C">
        <w:rPr>
          <w:lang w:val="en-AU"/>
        </w:rPr>
        <w:t>Aboriginal and Torres Strait Islander people as</w:t>
      </w:r>
      <w:r w:rsidR="0034347C" w:rsidRPr="00884FAA">
        <w:rPr>
          <w:lang w:val="en-AU"/>
        </w:rPr>
        <w:t xml:space="preserve"> </w:t>
      </w:r>
      <w:r w:rsidRPr="00884FAA">
        <w:rPr>
          <w:lang w:val="en-AU"/>
        </w:rPr>
        <w:t>ITC workers</w:t>
      </w:r>
    </w:p>
    <w:p w14:paraId="7244F6AC" w14:textId="1801E888" w:rsidR="00597F12" w:rsidRPr="00884FAA" w:rsidRDefault="0044619A" w:rsidP="00BC1FEA">
      <w:r w:rsidRPr="00884FAA">
        <w:t>Being Aboriginal or Torres Strait Islander</w:t>
      </w:r>
      <w:r w:rsidR="00597F12" w:rsidRPr="00884FAA">
        <w:t xml:space="preserve"> is not a </w:t>
      </w:r>
      <w:r w:rsidR="008C20CD" w:rsidRPr="00884FAA">
        <w:t>prerequisite</w:t>
      </w:r>
      <w:r w:rsidR="00597F12" w:rsidRPr="00884FAA">
        <w:t xml:space="preserve"> for the ITC worker positions</w:t>
      </w:r>
      <w:r w:rsidR="00457B22">
        <w:t xml:space="preserve"> but </w:t>
      </w:r>
      <w:r w:rsidR="00CD2409">
        <w:t xml:space="preserve">guidelines note that Aboriginal and Torres Strait Islander people should be engaged </w:t>
      </w:r>
      <w:r w:rsidR="00E115A6">
        <w:t>in the IHPO and outreach worker roles wherever possible</w:t>
      </w:r>
      <w:r w:rsidR="00597F12" w:rsidRPr="00884FAA">
        <w:t xml:space="preserve">. </w:t>
      </w:r>
      <w:r w:rsidR="00E115A6">
        <w:t>E</w:t>
      </w:r>
      <w:r w:rsidR="00597F12" w:rsidRPr="00884FAA">
        <w:t>valuation partic</w:t>
      </w:r>
      <w:r w:rsidR="00FB4831" w:rsidRPr="00884FAA">
        <w:t>ipants</w:t>
      </w:r>
      <w:r w:rsidR="00597F12" w:rsidRPr="00884FAA">
        <w:t xml:space="preserve"> </w:t>
      </w:r>
      <w:r w:rsidR="009E3B8D" w:rsidRPr="00884FAA">
        <w:t>said there was</w:t>
      </w:r>
      <w:r w:rsidR="00FB4831" w:rsidRPr="00884FAA">
        <w:t xml:space="preserve"> value of having </w:t>
      </w:r>
      <w:r w:rsidR="00340306">
        <w:t>Aboriginal and Torres Strait Islander</w:t>
      </w:r>
      <w:r w:rsidR="00340306" w:rsidRPr="00884FAA">
        <w:t xml:space="preserve"> </w:t>
      </w:r>
      <w:r w:rsidR="00FB4831" w:rsidRPr="00884FAA">
        <w:t xml:space="preserve">people in these roles. </w:t>
      </w:r>
      <w:r w:rsidR="0039376F" w:rsidRPr="00884FAA">
        <w:t xml:space="preserve">They commented that </w:t>
      </w:r>
      <w:r w:rsidR="0034347C">
        <w:t xml:space="preserve">this made the </w:t>
      </w:r>
      <w:r w:rsidR="0039376F" w:rsidRPr="00884FAA">
        <w:t>clients feel more co</w:t>
      </w:r>
      <w:r w:rsidR="0073714A" w:rsidRPr="00884FAA">
        <w:t>mfortable</w:t>
      </w:r>
      <w:r w:rsidR="00B01033" w:rsidRPr="00884FAA">
        <w:t xml:space="preserve">, </w:t>
      </w:r>
      <w:r w:rsidR="00F14AC5" w:rsidRPr="00884FAA">
        <w:t xml:space="preserve">meaning clients are more confident in asking questions, and </w:t>
      </w:r>
      <w:r w:rsidR="0034347C">
        <w:t>Aboriginal and Torres Strait Islander</w:t>
      </w:r>
      <w:r w:rsidR="0034347C" w:rsidRPr="00884FAA">
        <w:t xml:space="preserve"> </w:t>
      </w:r>
      <w:r w:rsidR="00F14AC5" w:rsidRPr="00884FAA">
        <w:t xml:space="preserve">workers </w:t>
      </w:r>
      <w:r w:rsidR="00BC6CDC">
        <w:t>can</w:t>
      </w:r>
      <w:r w:rsidR="00F14AC5" w:rsidRPr="00884FAA">
        <w:t xml:space="preserve"> </w:t>
      </w:r>
      <w:r w:rsidR="00B01033" w:rsidRPr="00884FAA">
        <w:t xml:space="preserve">dive deeper into questions around client’s </w:t>
      </w:r>
      <w:r w:rsidR="005D04C0" w:rsidRPr="00884FAA">
        <w:t>broader wellbeing and situation</w:t>
      </w:r>
      <w:r w:rsidR="00F14AC5" w:rsidRPr="00884FAA">
        <w:t>.</w:t>
      </w:r>
      <w:r w:rsidR="005D04C0" w:rsidRPr="00884FAA">
        <w:t xml:space="preserve"> </w:t>
      </w:r>
      <w:r w:rsidR="00597F12" w:rsidRPr="00884FAA">
        <w:t xml:space="preserve"> </w:t>
      </w:r>
    </w:p>
    <w:p w14:paraId="663DD54A" w14:textId="10E34295" w:rsidR="008C20CD" w:rsidRPr="00A1178E" w:rsidRDefault="008C20CD" w:rsidP="00BB3620">
      <w:pPr>
        <w:pStyle w:val="Quote"/>
        <w:spacing w:after="0"/>
        <w:rPr>
          <w:color w:val="18525E" w:themeColor="accent5" w:themeShade="80"/>
        </w:rPr>
      </w:pPr>
      <w:r w:rsidRPr="00A1178E">
        <w:rPr>
          <w:color w:val="18525E" w:themeColor="accent5" w:themeShade="80"/>
        </w:rPr>
        <w:t>I do think that if we didn’t have Aboriginal workforce in [ITC] we’d be in strife</w:t>
      </w:r>
      <w:r w:rsidR="00F14AC5" w:rsidRPr="00A1178E">
        <w:rPr>
          <w:color w:val="18525E" w:themeColor="accent5" w:themeShade="80"/>
        </w:rPr>
        <w:t>.</w:t>
      </w:r>
    </w:p>
    <w:p w14:paraId="5BE80C2C" w14:textId="65FC18E5" w:rsidR="00BB3620" w:rsidRPr="00BB3620" w:rsidRDefault="00BB3620" w:rsidP="000D3510">
      <w:pPr>
        <w:spacing w:before="120"/>
        <w:jc w:val="right"/>
        <w:rPr>
          <w:b/>
          <w:bCs/>
        </w:rPr>
      </w:pPr>
      <w:r w:rsidRPr="00BB3620">
        <w:rPr>
          <w:b/>
          <w:bCs/>
        </w:rPr>
        <w:t xml:space="preserve">PHN, Metropolitan location </w:t>
      </w:r>
    </w:p>
    <w:p w14:paraId="786BF551" w14:textId="5FD47CD5" w:rsidR="002616EE" w:rsidRPr="00884FAA" w:rsidRDefault="002616EE" w:rsidP="00651D06">
      <w:pPr>
        <w:pStyle w:val="Heading3"/>
      </w:pPr>
      <w:r w:rsidRPr="00884FAA">
        <w:t>Supporting access through capital works and facility upgrades</w:t>
      </w:r>
    </w:p>
    <w:p w14:paraId="67312AD5" w14:textId="1284BEF1" w:rsidR="00B75E5F" w:rsidRPr="00884FAA" w:rsidRDefault="00B75E5F" w:rsidP="00B75E5F">
      <w:r w:rsidRPr="00884FAA">
        <w:t xml:space="preserve">The IAHP also supports access to </w:t>
      </w:r>
      <w:r w:rsidR="003279C5">
        <w:t>PHC</w:t>
      </w:r>
      <w:r w:rsidRPr="00884FAA">
        <w:t xml:space="preserve"> in other ways. For example, the</w:t>
      </w:r>
      <w:r w:rsidR="004C7AEC">
        <w:t xml:space="preserve"> C</w:t>
      </w:r>
      <w:r w:rsidRPr="00884FAA">
        <w:t xml:space="preserve">apital </w:t>
      </w:r>
      <w:r w:rsidR="004C7AEC">
        <w:t>W</w:t>
      </w:r>
      <w:r w:rsidRPr="00884FAA">
        <w:t xml:space="preserve">orks </w:t>
      </w:r>
      <w:r w:rsidR="004C7AEC">
        <w:t>P</w:t>
      </w:r>
      <w:r w:rsidRPr="00884FAA">
        <w:t>rogram supports services</w:t>
      </w:r>
      <w:r w:rsidR="007F3158" w:rsidRPr="00884FAA">
        <w:t xml:space="preserve"> to </w:t>
      </w:r>
      <w:r w:rsidR="00463795">
        <w:t xml:space="preserve">build new clinics and staff accommodation, and to do major upgrades. The Service Maintenance Program supports services to renovate clinics and </w:t>
      </w:r>
      <w:r w:rsidR="00D11AB7">
        <w:t xml:space="preserve">accommodation. These programs contribute to </w:t>
      </w:r>
      <w:r w:rsidR="007F3158" w:rsidRPr="00884FAA">
        <w:t>better resourced</w:t>
      </w:r>
      <w:r w:rsidR="00D11AB7">
        <w:t xml:space="preserve"> and</w:t>
      </w:r>
      <w:r w:rsidR="007F3158" w:rsidRPr="00884FAA">
        <w:t xml:space="preserve"> more appropriately designed </w:t>
      </w:r>
      <w:r w:rsidR="00D11AB7">
        <w:t>health service facilities that</w:t>
      </w:r>
      <w:r w:rsidR="007F3158" w:rsidRPr="00884FAA">
        <w:t xml:space="preserve"> visibly appear more welcoming and culturally safe. </w:t>
      </w:r>
      <w:r w:rsidRPr="00884FAA">
        <w:t>The benefits of t</w:t>
      </w:r>
      <w:r w:rsidR="007F3158" w:rsidRPr="00884FAA">
        <w:t>hese kinds of</w:t>
      </w:r>
      <w:r w:rsidRPr="00884FAA">
        <w:t xml:space="preserve"> investment were visible as </w:t>
      </w:r>
      <w:r w:rsidR="00111242" w:rsidRPr="00884FAA">
        <w:t xml:space="preserve">the evaluation team </w:t>
      </w:r>
      <w:r w:rsidRPr="00884FAA">
        <w:t>visited different sites across urban, regional</w:t>
      </w:r>
      <w:r w:rsidR="007A4A3C" w:rsidRPr="00884FAA">
        <w:t>,</w:t>
      </w:r>
      <w:r w:rsidRPr="00884FAA">
        <w:t xml:space="preserve"> and remote locates. </w:t>
      </w:r>
    </w:p>
    <w:p w14:paraId="64451EE5" w14:textId="2C2FBF7F" w:rsidR="00B75E5F" w:rsidRPr="00884FAA" w:rsidRDefault="00B75E5F" w:rsidP="00B75E5F">
      <w:r w:rsidRPr="00884FAA">
        <w:t>Across the 17 evaluation sites</w:t>
      </w:r>
      <w:r w:rsidRPr="00884FAA" w:rsidDel="00111242">
        <w:t xml:space="preserve"> </w:t>
      </w:r>
      <w:r w:rsidR="006B75DB">
        <w:t>there were</w:t>
      </w:r>
      <w:r w:rsidRPr="00884FAA">
        <w:t xml:space="preserve"> some ACCHSs with new or renovated facilities, sometimes part-funded through the IAHP. At some sites it was clear that the design of health care facilities can influence the delivery of culturally safe care and improved health care access. For example, some services have been able to design and develop clinics that accommodate gender-sensitive </w:t>
      </w:r>
      <w:r w:rsidR="00807F93" w:rsidRPr="00884FAA">
        <w:t>health care</w:t>
      </w:r>
      <w:r w:rsidRPr="00884FAA">
        <w:t xml:space="preserve"> through providing access to separate male and female facilities. </w:t>
      </w:r>
    </w:p>
    <w:p w14:paraId="4ABF1826" w14:textId="3655763A" w:rsidR="00B75E5F" w:rsidRPr="00884FAA" w:rsidRDefault="00B75E5F" w:rsidP="00B75E5F">
      <w:r w:rsidRPr="00884FAA">
        <w:t xml:space="preserve">Other services have built extensions to their clinics that provide spaces for cultural practice and connections, family accommodation, and healing ceremonies to take place, as well as incorporating Indigenous artwork, signs, and languages. Some facilities also have community spaces for art, cooking and sewing. The design of some new facilities has helped to create </w:t>
      </w:r>
      <w:r w:rsidRPr="00884FAA">
        <w:lastRenderedPageBreak/>
        <w:t xml:space="preserve">and build connection and ownership by Aboriginal and Torres Strait Islander communities in their health service. </w:t>
      </w:r>
    </w:p>
    <w:p w14:paraId="200E454B" w14:textId="2635B904" w:rsidR="00B75E5F" w:rsidRPr="00884FAA" w:rsidRDefault="00732A90" w:rsidP="00B75E5F">
      <w:r>
        <w:t>However</w:t>
      </w:r>
      <w:r w:rsidR="00B75E5F" w:rsidRPr="00884FAA">
        <w:t>,</w:t>
      </w:r>
      <w:r w:rsidR="00B75E5F" w:rsidRPr="00884FAA" w:rsidDel="00732A90">
        <w:t xml:space="preserve"> </w:t>
      </w:r>
      <w:r w:rsidR="00B75E5F" w:rsidRPr="00884FAA">
        <w:t>there are locations that need access to funding to support upgrades to their hea</w:t>
      </w:r>
      <w:r w:rsidR="006A0B81" w:rsidRPr="00884FAA">
        <w:t>l</w:t>
      </w:r>
      <w:r w:rsidR="00B75E5F" w:rsidRPr="00884FAA">
        <w:t>th facilities to support staff and patient safety. For example, one service</w:t>
      </w:r>
      <w:r w:rsidR="00B75E5F" w:rsidRPr="00884FAA" w:rsidDel="00111242">
        <w:t xml:space="preserve"> </w:t>
      </w:r>
      <w:r w:rsidR="00B75E5F" w:rsidRPr="00884FAA">
        <w:t xml:space="preserve">visited </w:t>
      </w:r>
      <w:r w:rsidR="008F6E77" w:rsidRPr="00884FAA">
        <w:t xml:space="preserve">by the evaluation team </w:t>
      </w:r>
      <w:r w:rsidR="00B75E5F" w:rsidRPr="00884FAA">
        <w:t xml:space="preserve">had a collapsing ceiling and asbestos in the structure. Other </w:t>
      </w:r>
      <w:r w:rsidR="00841862" w:rsidRPr="00884FAA">
        <w:t>facilities</w:t>
      </w:r>
      <w:r w:rsidR="00B75E5F" w:rsidRPr="00884FAA">
        <w:t xml:space="preserve"> were not accessible. There is a</w:t>
      </w:r>
      <w:r w:rsidR="00B75E5F" w:rsidRPr="00884FAA" w:rsidDel="00732A90">
        <w:t xml:space="preserve"> </w:t>
      </w:r>
      <w:r w:rsidR="00B75E5F" w:rsidRPr="00884FAA">
        <w:t>need to support physical access through greater investment in capital works to support more accessible service delivery</w:t>
      </w:r>
      <w:r w:rsidR="000C286B" w:rsidRPr="00884FAA">
        <w:t xml:space="preserve"> and improve safety</w:t>
      </w:r>
      <w:r w:rsidR="00B75E5F" w:rsidRPr="00884FAA">
        <w:t xml:space="preserve">. </w:t>
      </w:r>
    </w:p>
    <w:p w14:paraId="02C37880" w14:textId="674317A7" w:rsidR="002C3AE2" w:rsidRPr="00884FAA" w:rsidRDefault="002C3AE2" w:rsidP="0035030F">
      <w:pPr>
        <w:pStyle w:val="Heading2"/>
      </w:pPr>
      <w:bookmarkStart w:id="193" w:name="_Toc137208924"/>
      <w:r w:rsidRPr="00884FAA">
        <w:t xml:space="preserve">Contribution of IAHP to </w:t>
      </w:r>
      <w:r w:rsidR="002045A8" w:rsidRPr="00884FAA">
        <w:t xml:space="preserve">stronger communities and </w:t>
      </w:r>
      <w:r w:rsidRPr="00884FAA">
        <w:t xml:space="preserve">a stronger </w:t>
      </w:r>
      <w:r w:rsidR="002045A8" w:rsidRPr="00884FAA">
        <w:t>community-controlled</w:t>
      </w:r>
      <w:r w:rsidRPr="00884FAA">
        <w:t xml:space="preserve"> sector</w:t>
      </w:r>
      <w:bookmarkEnd w:id="193"/>
      <w:r w:rsidRPr="00884FAA">
        <w:t xml:space="preserve"> </w:t>
      </w:r>
    </w:p>
    <w:p w14:paraId="00703EA4" w14:textId="3B4A3748" w:rsidR="007C1A32" w:rsidRPr="00884FAA" w:rsidRDefault="005D4009" w:rsidP="005D4009">
      <w:r w:rsidRPr="00884FAA">
        <w:t>There are a range of ways that Aboriginal</w:t>
      </w:r>
      <w:r w:rsidR="00396F6C" w:rsidRPr="00884FAA">
        <w:t xml:space="preserve"> and Torres Strait Islander </w:t>
      </w:r>
      <w:r w:rsidR="00752153" w:rsidRPr="00884FAA">
        <w:t>community-controlled</w:t>
      </w:r>
      <w:r w:rsidRPr="00884FAA">
        <w:t xml:space="preserve"> organisations are distinct from mainstream </w:t>
      </w:r>
      <w:r w:rsidR="00054ED5" w:rsidRPr="00884FAA">
        <w:t xml:space="preserve">health </w:t>
      </w:r>
      <w:r w:rsidRPr="00884FAA">
        <w:t>services.</w:t>
      </w:r>
      <w:r w:rsidR="00054ED5" w:rsidRPr="00884FAA">
        <w:t xml:space="preserve"> Most importantly, t</w:t>
      </w:r>
      <w:r w:rsidR="005B639D" w:rsidRPr="00884FAA">
        <w:t xml:space="preserve">his includes </w:t>
      </w:r>
      <w:r w:rsidR="009E23B0" w:rsidRPr="00884FAA">
        <w:t xml:space="preserve">the </w:t>
      </w:r>
      <w:r w:rsidR="00752153" w:rsidRPr="00884FAA">
        <w:t xml:space="preserve">focus on </w:t>
      </w:r>
      <w:r w:rsidR="00E65B68" w:rsidRPr="00884FAA">
        <w:t xml:space="preserve">supporting </w:t>
      </w:r>
      <w:r w:rsidR="009E23B0" w:rsidRPr="00884FAA">
        <w:t>collective health and wellbeing</w:t>
      </w:r>
      <w:r w:rsidR="00752153" w:rsidRPr="00884FAA">
        <w:t xml:space="preserve"> across the community. </w:t>
      </w:r>
      <w:r w:rsidR="00C448FC" w:rsidRPr="00884FAA">
        <w:t>ACCHSs</w:t>
      </w:r>
      <w:r w:rsidR="00752153" w:rsidRPr="00884FAA">
        <w:t xml:space="preserve"> are not </w:t>
      </w:r>
      <w:r w:rsidR="00114E4D" w:rsidRPr="00884FAA">
        <w:t xml:space="preserve">just organisations </w:t>
      </w:r>
      <w:r w:rsidR="00551055" w:rsidRPr="00884FAA">
        <w:t xml:space="preserve">delivering health services </w:t>
      </w:r>
      <w:r w:rsidR="00D80265" w:rsidRPr="00884FAA">
        <w:t xml:space="preserve">to </w:t>
      </w:r>
      <w:r w:rsidR="00AF7127">
        <w:t xml:space="preserve">clients within </w:t>
      </w:r>
      <w:r w:rsidR="00D80265" w:rsidRPr="00884FAA">
        <w:t>a specific community.</w:t>
      </w:r>
      <w:r w:rsidR="00E65B68" w:rsidRPr="00884FAA">
        <w:t xml:space="preserve"> </w:t>
      </w:r>
      <w:r w:rsidR="002801FE" w:rsidRPr="00884FAA">
        <w:t xml:space="preserve">They </w:t>
      </w:r>
      <w:r w:rsidR="00E65B68" w:rsidRPr="00884FAA">
        <w:t xml:space="preserve">work for the whole population and the </w:t>
      </w:r>
      <w:r w:rsidR="00054ED5" w:rsidRPr="00884FAA">
        <w:t xml:space="preserve">outcomes of Aboriginal and Torres Strait Islander people more generally. </w:t>
      </w:r>
    </w:p>
    <w:p w14:paraId="025F09FA" w14:textId="27D1F166" w:rsidR="005D4009" w:rsidRPr="00884FAA" w:rsidRDefault="002801FE" w:rsidP="005D4009">
      <w:r w:rsidRPr="00884FAA">
        <w:t>ACCHS staff</w:t>
      </w:r>
      <w:r w:rsidR="002764C8" w:rsidRPr="00884FAA">
        <w:t xml:space="preserve"> </w:t>
      </w:r>
      <w:r w:rsidR="00582C7D">
        <w:t xml:space="preserve">consider </w:t>
      </w:r>
      <w:r w:rsidR="002764C8" w:rsidRPr="00884FAA">
        <w:t>that the history and role of community</w:t>
      </w:r>
      <w:r w:rsidR="001E048D" w:rsidRPr="00884FAA">
        <w:t>-</w:t>
      </w:r>
      <w:r w:rsidR="002764C8" w:rsidRPr="00884FAA">
        <w:t xml:space="preserve">controlled organisations </w:t>
      </w:r>
      <w:r w:rsidR="00582C7D">
        <w:t>is</w:t>
      </w:r>
      <w:r w:rsidR="002764C8" w:rsidRPr="00884FAA">
        <w:t xml:space="preserve"> not recognised in the </w:t>
      </w:r>
      <w:r w:rsidR="001A7587" w:rsidRPr="00884FAA">
        <w:t xml:space="preserve">IAHP funding arrangements. In particular, </w:t>
      </w:r>
      <w:r w:rsidR="00E91022" w:rsidRPr="00884FAA">
        <w:t>commissioning</w:t>
      </w:r>
      <w:r w:rsidR="00FF773C" w:rsidRPr="00884FAA">
        <w:t xml:space="preserve"> arrangements that </w:t>
      </w:r>
      <w:r w:rsidR="00457C80" w:rsidRPr="00884FAA">
        <w:t xml:space="preserve">treat </w:t>
      </w:r>
      <w:r w:rsidR="00FF773C" w:rsidRPr="00884FAA">
        <w:t>ACCHS</w:t>
      </w:r>
      <w:r w:rsidR="00E91022" w:rsidRPr="00884FAA">
        <w:t>s</w:t>
      </w:r>
      <w:r w:rsidR="00FF773C" w:rsidRPr="00884FAA">
        <w:t xml:space="preserve"> as </w:t>
      </w:r>
      <w:r w:rsidR="00457C80" w:rsidRPr="00884FAA">
        <w:t xml:space="preserve">mere </w:t>
      </w:r>
      <w:r w:rsidR="00B13A8D" w:rsidRPr="00884FAA">
        <w:t>service provider</w:t>
      </w:r>
      <w:r w:rsidR="00E91022" w:rsidRPr="00884FAA">
        <w:t>s</w:t>
      </w:r>
      <w:r w:rsidR="00B13A8D" w:rsidRPr="00884FAA">
        <w:t xml:space="preserve"> </w:t>
      </w:r>
      <w:r w:rsidR="00457C80" w:rsidRPr="00884FAA">
        <w:t xml:space="preserve">were said to minimise the leadership and responsibility </w:t>
      </w:r>
      <w:r w:rsidR="00E028D7" w:rsidRPr="00884FAA">
        <w:t xml:space="preserve">associated with community-controlled organisations for health outcomes in the communities they serve. </w:t>
      </w:r>
    </w:p>
    <w:p w14:paraId="677CC714" w14:textId="79C699F4" w:rsidR="00E81EC3" w:rsidRPr="00884FAA" w:rsidRDefault="00E81EC3" w:rsidP="00E81EC3">
      <w:r w:rsidRPr="00884FAA">
        <w:t>While</w:t>
      </w:r>
      <w:r w:rsidR="00CB3C44">
        <w:t xml:space="preserve"> many ACCHS</w:t>
      </w:r>
      <w:r w:rsidR="000B21F9">
        <w:t>s</w:t>
      </w:r>
      <w:r w:rsidR="00CB3C44">
        <w:t xml:space="preserve"> </w:t>
      </w:r>
      <w:r w:rsidR="000B21F9">
        <w:t xml:space="preserve">apply elements of </w:t>
      </w:r>
      <w:r w:rsidRPr="00884FAA">
        <w:t>IAHP funding to support a multidisciplinary workforce, t</w:t>
      </w:r>
      <w:r w:rsidR="00B338B6">
        <w:t>he</w:t>
      </w:r>
      <w:r w:rsidR="00A25128">
        <w:t xml:space="preserve">y reported that there was insufficient </w:t>
      </w:r>
      <w:r w:rsidRPr="00884FAA">
        <w:t xml:space="preserve">funding to support and build a strong and stable </w:t>
      </w:r>
      <w:r w:rsidR="00990848" w:rsidRPr="00884FAA">
        <w:t>Indigenous</w:t>
      </w:r>
      <w:r w:rsidRPr="00884FAA">
        <w:t xml:space="preserve"> health workforce that meets the demand for services. </w:t>
      </w:r>
      <w:r w:rsidR="004139D8">
        <w:t xml:space="preserve">Comments around the insufficiency of </w:t>
      </w:r>
      <w:r w:rsidR="001E671C">
        <w:t>f</w:t>
      </w:r>
      <w:r w:rsidR="004139D8">
        <w:t>unding</w:t>
      </w:r>
      <w:r w:rsidR="001E671C">
        <w:t xml:space="preserve"> </w:t>
      </w:r>
      <w:r w:rsidR="001F5E3F">
        <w:t xml:space="preserve">to support workforce </w:t>
      </w:r>
      <w:r w:rsidR="001E671C">
        <w:t>were not necessarily directed at the IAHP</w:t>
      </w:r>
      <w:r w:rsidR="00F64A83">
        <w:t xml:space="preserve">. </w:t>
      </w:r>
      <w:r w:rsidR="00444084">
        <w:t>These comments reflect the primacy of IAHP funding to ACCHSs</w:t>
      </w:r>
      <w:r w:rsidR="006B3C9D">
        <w:t xml:space="preserve"> and the way that they combine funding sources</w:t>
      </w:r>
      <w:r w:rsidR="00EC2C5B">
        <w:t xml:space="preserve"> to </w:t>
      </w:r>
      <w:r w:rsidR="007E65B8">
        <w:t>meet needs.</w:t>
      </w:r>
    </w:p>
    <w:p w14:paraId="7D4A5F2B" w14:textId="55B3A04D" w:rsidR="00E81EC3" w:rsidRPr="00884FAA" w:rsidRDefault="00E81EC3" w:rsidP="00C351D0">
      <w:r w:rsidRPr="00884FAA">
        <w:t>Many ACCHS</w:t>
      </w:r>
      <w:r w:rsidR="0002221B" w:rsidRPr="00884FAA">
        <w:t>s</w:t>
      </w:r>
      <w:r w:rsidRPr="00884FAA">
        <w:t xml:space="preserve"> adopt a leadership role in the community on a range of issues that contribute to social and cultural determinants of health.</w:t>
      </w:r>
      <w:r w:rsidR="009D2B54" w:rsidRPr="00884FAA">
        <w:t xml:space="preserve"> T</w:t>
      </w:r>
      <w:r w:rsidR="006D677B" w:rsidRPr="00884FAA">
        <w:t xml:space="preserve">o varying degrees, ACCHSs </w:t>
      </w:r>
      <w:r w:rsidR="000C51F4" w:rsidRPr="00884FAA">
        <w:t xml:space="preserve">also </w:t>
      </w:r>
      <w:r w:rsidR="002646B5" w:rsidRPr="00884FAA">
        <w:t>seek community input into health service design and planning</w:t>
      </w:r>
      <w:r w:rsidRPr="00884FAA">
        <w:t xml:space="preserve">. </w:t>
      </w:r>
      <w:r w:rsidR="001E048D" w:rsidRPr="00884FAA">
        <w:t xml:space="preserve">Through </w:t>
      </w:r>
      <w:r w:rsidR="001073DE">
        <w:t>the</w:t>
      </w:r>
      <w:r w:rsidR="001073DE" w:rsidRPr="00884FAA">
        <w:t xml:space="preserve"> </w:t>
      </w:r>
      <w:r w:rsidR="001E048D" w:rsidRPr="00884FAA">
        <w:t xml:space="preserve">evaluation, </w:t>
      </w:r>
      <w:r w:rsidR="008F6E77" w:rsidRPr="00884FAA">
        <w:t xml:space="preserve">participants </w:t>
      </w:r>
      <w:r w:rsidR="007B6CA0">
        <w:t>reported</w:t>
      </w:r>
      <w:r w:rsidR="001E048D" w:rsidRPr="00884FAA">
        <w:t xml:space="preserve"> that </w:t>
      </w:r>
      <w:r w:rsidRPr="00884FAA">
        <w:t xml:space="preserve">IAHP funding does not value and support these activities or </w:t>
      </w:r>
      <w:r w:rsidR="00582DC0" w:rsidRPr="00884FAA">
        <w:t>enable</w:t>
      </w:r>
      <w:r w:rsidRPr="00884FAA">
        <w:t xml:space="preserve"> ACCHS</w:t>
      </w:r>
      <w:r w:rsidR="00582DC0" w:rsidRPr="00884FAA">
        <w:t>s</w:t>
      </w:r>
      <w:r w:rsidRPr="00884FAA">
        <w:t xml:space="preserve"> to participate in community engagement activities. </w:t>
      </w:r>
    </w:p>
    <w:p w14:paraId="5C29BCE4" w14:textId="77777777" w:rsidR="004F1D4D" w:rsidRDefault="004F1D4D">
      <w:pPr>
        <w:jc w:val="left"/>
        <w:rPr>
          <w:b/>
          <w:color w:val="9E6047" w:themeColor="accent3"/>
          <w:kern w:val="28"/>
          <w:sz w:val="32"/>
          <w:szCs w:val="28"/>
          <w:lang w:val="en-GB" w:eastAsia="en-GB"/>
        </w:rPr>
      </w:pPr>
      <w:r>
        <w:br w:type="page"/>
      </w:r>
    </w:p>
    <w:p w14:paraId="275ABD87" w14:textId="562B74B9" w:rsidR="002F01B8" w:rsidRPr="00884FAA" w:rsidRDefault="00961F24" w:rsidP="00651D06">
      <w:pPr>
        <w:pStyle w:val="Heading3"/>
      </w:pPr>
      <w:r w:rsidRPr="00884FAA">
        <w:lastRenderedPageBreak/>
        <w:t xml:space="preserve">The relational nature of care is not adequately </w:t>
      </w:r>
      <w:r w:rsidR="009B458D" w:rsidRPr="00884FAA">
        <w:t xml:space="preserve">valued and </w:t>
      </w:r>
      <w:r w:rsidRPr="00884FAA">
        <w:t>recognised</w:t>
      </w:r>
    </w:p>
    <w:p w14:paraId="631837F7" w14:textId="1E5255FB" w:rsidR="00011F15" w:rsidRPr="00A1178E" w:rsidRDefault="00011F15" w:rsidP="008B7764">
      <w:pPr>
        <w:pStyle w:val="Quote"/>
        <w:spacing w:after="0"/>
        <w:rPr>
          <w:color w:val="18525E" w:themeColor="accent5" w:themeShade="80"/>
        </w:rPr>
      </w:pPr>
      <w:r w:rsidRPr="00A1178E">
        <w:rPr>
          <w:color w:val="18525E" w:themeColor="accent5" w:themeShade="80"/>
        </w:rPr>
        <w:t>Well, just like when your family member die, you know, because we know everybody here</w:t>
      </w:r>
      <w:r w:rsidR="00076F82" w:rsidRPr="00A1178E">
        <w:rPr>
          <w:color w:val="18525E" w:themeColor="accent5" w:themeShade="80"/>
        </w:rPr>
        <w:t>,</w:t>
      </w:r>
      <w:r w:rsidRPr="00A1178E">
        <w:rPr>
          <w:color w:val="18525E" w:themeColor="accent5" w:themeShade="80"/>
        </w:rPr>
        <w:t xml:space="preserve"> know the family things. So we'll come across for assistance like for food and for coffee, sugar, milk and biscuits, you know just to help the family. It’s just part of the work. You just do it. </w:t>
      </w:r>
    </w:p>
    <w:p w14:paraId="700C454A" w14:textId="505B15B9" w:rsidR="00BB3620" w:rsidRPr="008B7764" w:rsidRDefault="00BB3620" w:rsidP="008B7764">
      <w:pPr>
        <w:jc w:val="right"/>
        <w:rPr>
          <w:b/>
          <w:bCs/>
        </w:rPr>
      </w:pPr>
      <w:r w:rsidRPr="008B7764">
        <w:rPr>
          <w:b/>
          <w:bCs/>
        </w:rPr>
        <w:t>ACCHS</w:t>
      </w:r>
      <w:r w:rsidR="00767FE1" w:rsidRPr="008B7764">
        <w:rPr>
          <w:b/>
          <w:bCs/>
        </w:rPr>
        <w:t xml:space="preserve">, Remote location </w:t>
      </w:r>
    </w:p>
    <w:p w14:paraId="12BE8E71" w14:textId="5107FB93" w:rsidR="00DE1DF8" w:rsidRPr="00884FAA" w:rsidRDefault="00807F93" w:rsidP="008343F3">
      <w:r w:rsidRPr="00884FAA">
        <w:t>Health care</w:t>
      </w:r>
      <w:r w:rsidR="00473F5E" w:rsidRPr="00884FAA">
        <w:t xml:space="preserve"> in most ACCHSs goes beyond </w:t>
      </w:r>
      <w:r w:rsidR="002F01B8" w:rsidRPr="00884FAA">
        <w:t>clinical treatment and support</w:t>
      </w:r>
      <w:r w:rsidR="002341FC" w:rsidRPr="00884FAA">
        <w:t>;</w:t>
      </w:r>
      <w:r w:rsidR="002F01B8" w:rsidRPr="00884FAA">
        <w:t xml:space="preserve"> it is about a deep care and commitment to </w:t>
      </w:r>
      <w:r w:rsidR="006505C0" w:rsidRPr="00884FAA">
        <w:t xml:space="preserve">the </w:t>
      </w:r>
      <w:r w:rsidR="002F01B8" w:rsidRPr="00884FAA">
        <w:t xml:space="preserve">community. </w:t>
      </w:r>
      <w:r w:rsidR="009F289E" w:rsidRPr="00884FAA">
        <w:t>This</w:t>
      </w:r>
      <w:r w:rsidR="002F01B8" w:rsidRPr="00884FAA">
        <w:t xml:space="preserve"> population </w:t>
      </w:r>
      <w:r w:rsidR="008E1CDE" w:rsidRPr="00884FAA">
        <w:t xml:space="preserve">wide </w:t>
      </w:r>
      <w:r w:rsidR="002F01B8" w:rsidRPr="00884FAA">
        <w:t>responsibility</w:t>
      </w:r>
      <w:r w:rsidR="004B684D" w:rsidRPr="00884FAA">
        <w:t xml:space="preserve"> differs from mainstream PHC</w:t>
      </w:r>
      <w:r w:rsidR="008E1CDE" w:rsidRPr="00884FAA">
        <w:t xml:space="preserve"> service delivery</w:t>
      </w:r>
      <w:r w:rsidR="00930EFC" w:rsidRPr="00884FAA">
        <w:t xml:space="preserve">. It involves the ACCHS taking </w:t>
      </w:r>
      <w:r w:rsidR="00867B68" w:rsidRPr="00884FAA">
        <w:t>care of the</w:t>
      </w:r>
      <w:r w:rsidR="00665F6E">
        <w:t>ir</w:t>
      </w:r>
      <w:r w:rsidR="00867B68" w:rsidRPr="00884FAA">
        <w:t xml:space="preserve"> entire </w:t>
      </w:r>
      <w:r w:rsidR="00AE0D57">
        <w:t>community</w:t>
      </w:r>
      <w:r w:rsidR="00867B68" w:rsidRPr="00884FAA">
        <w:t>, whether they are clients of the service or not</w:t>
      </w:r>
      <w:r w:rsidR="00646DBC" w:rsidRPr="00884FAA">
        <w:t xml:space="preserve">. </w:t>
      </w:r>
      <w:r w:rsidR="008E301D">
        <w:t xml:space="preserve">This includes providing care to non-Indigenous people. </w:t>
      </w:r>
      <w:r w:rsidR="00646DBC" w:rsidRPr="00884FAA">
        <w:t xml:space="preserve">This commitment was </w:t>
      </w:r>
      <w:r w:rsidR="005903D0" w:rsidRPr="00884FAA">
        <w:t xml:space="preserve">reflected during </w:t>
      </w:r>
      <w:r w:rsidR="00184024" w:rsidRPr="00884FAA">
        <w:t xml:space="preserve">the COVID-19 pandemic with ACCHSs looking after </w:t>
      </w:r>
      <w:r w:rsidR="0060456C" w:rsidRPr="00884FAA">
        <w:t xml:space="preserve">the whole community </w:t>
      </w:r>
      <w:r w:rsidR="00EA180F" w:rsidRPr="00884FAA">
        <w:t xml:space="preserve">and </w:t>
      </w:r>
      <w:r w:rsidR="002504C5" w:rsidRPr="00884FAA">
        <w:t>responding</w:t>
      </w:r>
      <w:r w:rsidR="00E77052" w:rsidRPr="00884FAA">
        <w:t xml:space="preserve"> to</w:t>
      </w:r>
      <w:r w:rsidR="00EA180F" w:rsidRPr="00884FAA">
        <w:t xml:space="preserve"> a wide range of </w:t>
      </w:r>
      <w:r w:rsidR="00813FB8" w:rsidRPr="00884FAA">
        <w:t xml:space="preserve">non-medical </w:t>
      </w:r>
      <w:r w:rsidR="00EA180F" w:rsidRPr="00884FAA">
        <w:t>needs</w:t>
      </w:r>
      <w:r w:rsidR="00C351D0" w:rsidRPr="00884FAA">
        <w:t xml:space="preserve"> </w:t>
      </w:r>
      <w:r w:rsidR="008343F3" w:rsidRPr="00884FAA">
        <w:t>(</w:t>
      </w:r>
      <w:r w:rsidR="00D06245" w:rsidRPr="00884FAA">
        <w:t>for example,</w:t>
      </w:r>
      <w:r w:rsidR="008343F3" w:rsidRPr="00884FAA">
        <w:t xml:space="preserve"> checking in on families, securing food supplies, etc).</w:t>
      </w:r>
    </w:p>
    <w:p w14:paraId="454E8025" w14:textId="50265739" w:rsidR="002F01B8" w:rsidRPr="00A1178E" w:rsidRDefault="00EB59AD" w:rsidP="008B7764">
      <w:pPr>
        <w:pStyle w:val="Quote"/>
        <w:spacing w:after="0"/>
        <w:rPr>
          <w:color w:val="18525E" w:themeColor="accent5" w:themeShade="80"/>
        </w:rPr>
      </w:pPr>
      <w:r w:rsidRPr="00A1178E">
        <w:rPr>
          <w:color w:val="18525E" w:themeColor="accent5" w:themeShade="80"/>
        </w:rPr>
        <w:t>We care for our mob</w:t>
      </w:r>
      <w:r w:rsidR="00D44141" w:rsidRPr="00A1178E">
        <w:rPr>
          <w:color w:val="18525E" w:themeColor="accent5" w:themeShade="80"/>
        </w:rPr>
        <w:t xml:space="preserve"> regardless of where they choose or where they’re required to access care.</w:t>
      </w:r>
      <w:r w:rsidR="002F01B8" w:rsidRPr="00A1178E">
        <w:rPr>
          <w:color w:val="18525E" w:themeColor="accent5" w:themeShade="80"/>
        </w:rPr>
        <w:t xml:space="preserve"> </w:t>
      </w:r>
    </w:p>
    <w:p w14:paraId="68BDA1EA" w14:textId="2D671682" w:rsidR="00767FE1" w:rsidRPr="008B7764" w:rsidRDefault="00767FE1" w:rsidP="008B7764">
      <w:pPr>
        <w:jc w:val="right"/>
        <w:rPr>
          <w:b/>
          <w:bCs/>
        </w:rPr>
      </w:pPr>
      <w:r w:rsidRPr="008B7764">
        <w:rPr>
          <w:b/>
          <w:bCs/>
        </w:rPr>
        <w:t xml:space="preserve">ACCHS, Metropolitan location </w:t>
      </w:r>
    </w:p>
    <w:p w14:paraId="3FC44187" w14:textId="21C73DA2" w:rsidR="006F5B21" w:rsidRPr="00884FAA" w:rsidRDefault="002F01B8" w:rsidP="00B8399F">
      <w:r w:rsidRPr="00884FAA">
        <w:t>M</w:t>
      </w:r>
      <w:r w:rsidR="00B8399F" w:rsidRPr="00884FAA">
        <w:t>any ACCHS staff</w:t>
      </w:r>
      <w:r w:rsidRPr="00884FAA">
        <w:t xml:space="preserve"> refer to their clients as their people or ‘their mob’ and feel a strong connection to the people they serve. It is seen as necessary to ‘go above and beyond’ for the community. </w:t>
      </w:r>
      <w:r w:rsidR="004822D3" w:rsidRPr="00884FAA">
        <w:t>ACCHS</w:t>
      </w:r>
      <w:r w:rsidRPr="00884FAA">
        <w:t xml:space="preserve"> staff describe this as ‘normal’ and ‘expected’ of them</w:t>
      </w:r>
      <w:r w:rsidR="00D160DE" w:rsidRPr="00884FAA">
        <w:t xml:space="preserve"> as part of their role in the community</w:t>
      </w:r>
      <w:r w:rsidRPr="00884FAA">
        <w:t>.</w:t>
      </w:r>
    </w:p>
    <w:p w14:paraId="6F96E98C" w14:textId="395D3455" w:rsidR="002F01B8" w:rsidRPr="00884FAA" w:rsidRDefault="00DE681F" w:rsidP="00B8399F">
      <w:r w:rsidRPr="00884FAA">
        <w:t xml:space="preserve">Many of these attributes and responsibilities apply to </w:t>
      </w:r>
      <w:r w:rsidR="002857D4" w:rsidRPr="00884FAA">
        <w:t>government primary care clinics too</w:t>
      </w:r>
      <w:r w:rsidR="009F7FCF" w:rsidRPr="00884FAA">
        <w:t xml:space="preserve">, which are operating in communities where there is no ACCHS. However, </w:t>
      </w:r>
      <w:r w:rsidR="008E0438" w:rsidRPr="00884FAA">
        <w:t>it is more dependent on the individual staff involved as opposed to a deep commitment</w:t>
      </w:r>
      <w:r w:rsidR="00DA0FB8" w:rsidRPr="00884FAA">
        <w:t xml:space="preserve"> within the</w:t>
      </w:r>
      <w:r w:rsidR="006A129A" w:rsidRPr="00884FAA">
        <w:t xml:space="preserve"> context of a community-controlled organisation</w:t>
      </w:r>
      <w:r w:rsidR="008E0438" w:rsidRPr="00884FAA">
        <w:t>.</w:t>
      </w:r>
    </w:p>
    <w:p w14:paraId="0B8AA576" w14:textId="196371B2" w:rsidR="002F01B8" w:rsidRPr="00884FAA" w:rsidRDefault="00D74CCE" w:rsidP="00146EDE">
      <w:pPr>
        <w:rPr>
          <w:i/>
          <w:iCs/>
        </w:rPr>
      </w:pPr>
      <w:r w:rsidRPr="00884FAA">
        <w:t xml:space="preserve">These responsibilities demand </w:t>
      </w:r>
      <w:r w:rsidR="002F01B8" w:rsidRPr="00884FAA">
        <w:t xml:space="preserve">strong and trusting relationships with </w:t>
      </w:r>
      <w:r w:rsidR="00A216BA" w:rsidRPr="00884FAA">
        <w:t xml:space="preserve">communities and </w:t>
      </w:r>
      <w:r w:rsidR="002F01B8" w:rsidRPr="00884FAA">
        <w:t xml:space="preserve">people. </w:t>
      </w:r>
    </w:p>
    <w:p w14:paraId="60FA4E3F" w14:textId="5B78AB76" w:rsidR="002F01B8" w:rsidRPr="00A1178E" w:rsidRDefault="002F01B8" w:rsidP="008B7764">
      <w:pPr>
        <w:pStyle w:val="Quote"/>
        <w:spacing w:after="0"/>
        <w:rPr>
          <w:color w:val="18525E" w:themeColor="accent5" w:themeShade="80"/>
        </w:rPr>
      </w:pPr>
      <w:r w:rsidRPr="00A1178E">
        <w:rPr>
          <w:color w:val="18525E" w:themeColor="accent5" w:themeShade="80"/>
        </w:rPr>
        <w:t xml:space="preserve">The community really respects and trusts us. So, they will actually come, because if you don't have engagement with the community, you just have a building, really. </w:t>
      </w:r>
    </w:p>
    <w:p w14:paraId="51741F28" w14:textId="7E624F82" w:rsidR="00767FE1" w:rsidRPr="008B7764" w:rsidRDefault="00767FE1" w:rsidP="00D4658D">
      <w:pPr>
        <w:spacing w:before="60"/>
        <w:jc w:val="right"/>
        <w:rPr>
          <w:b/>
          <w:bCs/>
        </w:rPr>
      </w:pPr>
      <w:r w:rsidRPr="008B7764">
        <w:rPr>
          <w:b/>
          <w:bCs/>
        </w:rPr>
        <w:t xml:space="preserve">ACCHS, Remote location </w:t>
      </w:r>
    </w:p>
    <w:p w14:paraId="10B463A1" w14:textId="74CD8C28" w:rsidR="00381A9F" w:rsidRPr="00884FAA" w:rsidRDefault="006B49E2" w:rsidP="00BA5138">
      <w:r w:rsidRPr="00884FAA">
        <w:t xml:space="preserve">ACCHSs </w:t>
      </w:r>
      <w:r w:rsidR="008A04C4">
        <w:t>described the</w:t>
      </w:r>
      <w:r w:rsidR="00764F86">
        <w:t xml:space="preserve">ir approach to making </w:t>
      </w:r>
      <w:r w:rsidR="002F01B8" w:rsidRPr="00884FAA">
        <w:t>sure that clinic</w:t>
      </w:r>
      <w:r w:rsidR="006A0B81" w:rsidRPr="00884FAA">
        <w:t xml:space="preserve">s are </w:t>
      </w:r>
      <w:r w:rsidR="002F01B8" w:rsidRPr="00884FAA">
        <w:t>welcoming space</w:t>
      </w:r>
      <w:r w:rsidR="006A0B81" w:rsidRPr="00884FAA">
        <w:t>s</w:t>
      </w:r>
      <w:r w:rsidR="002F01B8" w:rsidRPr="00884FAA">
        <w:t xml:space="preserve"> and that clients feel safe and comfortable. This can</w:t>
      </w:r>
      <w:r w:rsidR="006B3B34" w:rsidRPr="00884FAA">
        <w:t xml:space="preserve"> involve,</w:t>
      </w:r>
      <w:r w:rsidR="002F01B8" w:rsidRPr="00884FAA">
        <w:t xml:space="preserve"> for example</w:t>
      </w:r>
      <w:r w:rsidR="006B3B34" w:rsidRPr="00884FAA">
        <w:t>,</w:t>
      </w:r>
      <w:r w:rsidR="002F01B8" w:rsidRPr="00884FAA">
        <w:t xml:space="preserve"> taking time to yarn with a person before and after an appointment, making a cup of tea for someone, </w:t>
      </w:r>
      <w:r w:rsidR="00041323" w:rsidRPr="00884FAA">
        <w:t>making sure people have underst</w:t>
      </w:r>
      <w:r w:rsidR="00BD45A3" w:rsidRPr="00884FAA">
        <w:t>o</w:t>
      </w:r>
      <w:r w:rsidR="00041323" w:rsidRPr="00884FAA">
        <w:t xml:space="preserve">od their treatment, </w:t>
      </w:r>
      <w:r w:rsidR="00BD45A3" w:rsidRPr="00884FAA">
        <w:t xml:space="preserve">picking someone up for an appointment, </w:t>
      </w:r>
      <w:r w:rsidR="002F01B8" w:rsidRPr="00884FAA">
        <w:t>having a kids play area</w:t>
      </w:r>
      <w:r w:rsidR="00F04795" w:rsidRPr="00884FAA">
        <w:t>,</w:t>
      </w:r>
      <w:r w:rsidR="002F01B8" w:rsidRPr="00884FAA">
        <w:t xml:space="preserve"> and letting family members support clients. </w:t>
      </w:r>
      <w:r w:rsidR="004245E4" w:rsidRPr="00884FAA">
        <w:t xml:space="preserve">It also involves </w:t>
      </w:r>
      <w:r w:rsidR="00381A9F" w:rsidRPr="00884FAA">
        <w:t>being highly responsive to the needs of client.</w:t>
      </w:r>
    </w:p>
    <w:p w14:paraId="3D704E9B" w14:textId="6A0AC503" w:rsidR="002F01B8" w:rsidRPr="00A1178E" w:rsidRDefault="00604686" w:rsidP="008B7764">
      <w:pPr>
        <w:pStyle w:val="Quote"/>
        <w:spacing w:after="0"/>
        <w:rPr>
          <w:color w:val="18525E" w:themeColor="accent5" w:themeShade="80"/>
        </w:rPr>
      </w:pPr>
      <w:r w:rsidRPr="00A1178E">
        <w:rPr>
          <w:color w:val="18525E" w:themeColor="accent5" w:themeShade="80"/>
        </w:rPr>
        <w:lastRenderedPageBreak/>
        <w:t>[We get clients saying] ‘</w:t>
      </w:r>
      <w:r w:rsidR="002F01B8" w:rsidRPr="00A1178E">
        <w:rPr>
          <w:color w:val="18525E" w:themeColor="accent5" w:themeShade="80"/>
        </w:rPr>
        <w:t>I don’t want to come in today, but I need something changed on my leg</w:t>
      </w:r>
      <w:r w:rsidRPr="00A1178E">
        <w:rPr>
          <w:color w:val="18525E" w:themeColor="accent5" w:themeShade="80"/>
        </w:rPr>
        <w:t xml:space="preserve">’. </w:t>
      </w:r>
      <w:r w:rsidR="006D269D" w:rsidRPr="00A1178E">
        <w:rPr>
          <w:color w:val="18525E" w:themeColor="accent5" w:themeShade="80"/>
        </w:rPr>
        <w:t>[So we go] ‘</w:t>
      </w:r>
      <w:r w:rsidR="002F01B8" w:rsidRPr="00A1178E">
        <w:rPr>
          <w:color w:val="18525E" w:themeColor="accent5" w:themeShade="80"/>
        </w:rPr>
        <w:t xml:space="preserve">Okay we’ll get the nurse in the car straight out and do </w:t>
      </w:r>
      <w:r w:rsidR="00544824" w:rsidRPr="00A1178E">
        <w:rPr>
          <w:color w:val="18525E" w:themeColor="accent5" w:themeShade="80"/>
        </w:rPr>
        <w:t>…</w:t>
      </w:r>
      <w:r w:rsidR="002F01B8" w:rsidRPr="00A1178E">
        <w:rPr>
          <w:color w:val="18525E" w:themeColor="accent5" w:themeShade="80"/>
        </w:rPr>
        <w:t xml:space="preserve"> that wound management.</w:t>
      </w:r>
      <w:r w:rsidR="006D269D" w:rsidRPr="00A1178E">
        <w:rPr>
          <w:color w:val="18525E" w:themeColor="accent5" w:themeShade="80"/>
        </w:rPr>
        <w:t>’</w:t>
      </w:r>
      <w:r w:rsidR="002F01B8" w:rsidRPr="00A1178E">
        <w:rPr>
          <w:color w:val="18525E" w:themeColor="accent5" w:themeShade="80"/>
        </w:rPr>
        <w:t xml:space="preserve"> That doesn’t happen elsewhere. </w:t>
      </w:r>
    </w:p>
    <w:p w14:paraId="0978EC56" w14:textId="25528668" w:rsidR="00767FE1" w:rsidRPr="008B7764" w:rsidRDefault="00767FE1" w:rsidP="008B7764">
      <w:pPr>
        <w:jc w:val="right"/>
        <w:rPr>
          <w:b/>
          <w:bCs/>
        </w:rPr>
      </w:pPr>
      <w:r w:rsidRPr="008B7764">
        <w:rPr>
          <w:b/>
          <w:bCs/>
        </w:rPr>
        <w:t xml:space="preserve">ACCHS, Metropolitan location </w:t>
      </w:r>
    </w:p>
    <w:p w14:paraId="4D4FB678" w14:textId="73CFA075" w:rsidR="002F01B8" w:rsidRPr="00884FAA" w:rsidRDefault="002F01B8" w:rsidP="00073A5B">
      <w:pPr>
        <w:rPr>
          <w:rFonts w:ascii="Cambria" w:eastAsia="Cambria" w:hAnsi="Cambria" w:cs="Times New Roman"/>
          <w:i/>
          <w:iCs/>
        </w:rPr>
      </w:pPr>
      <w:r w:rsidRPr="00884FAA">
        <w:t>Hosting and facilitating community events are important way</w:t>
      </w:r>
      <w:r w:rsidR="0073213F" w:rsidRPr="00884FAA">
        <w:t>s</w:t>
      </w:r>
      <w:r w:rsidRPr="00884FAA">
        <w:t xml:space="preserve"> health services build strong and trusting relationships </w:t>
      </w:r>
      <w:r w:rsidR="00DE1DEB" w:rsidRPr="00884FAA">
        <w:t>with</w:t>
      </w:r>
      <w:r w:rsidRPr="00884FAA">
        <w:t xml:space="preserve"> the community. Community BBQs, social basketball</w:t>
      </w:r>
      <w:r w:rsidR="00907125" w:rsidRPr="00884FAA">
        <w:t>,</w:t>
      </w:r>
      <w:r w:rsidRPr="00884FAA">
        <w:t xml:space="preserve"> and cultural festivals are examples of some of the events facilitated by ACCHSs</w:t>
      </w:r>
      <w:r w:rsidR="007C33D3" w:rsidRPr="00884FAA">
        <w:t>. These enable</w:t>
      </w:r>
      <w:r w:rsidR="0073213F" w:rsidRPr="00884FAA">
        <w:t xml:space="preserve"> </w:t>
      </w:r>
      <w:r w:rsidRPr="00884FAA">
        <w:t>health promotion and help to bring people together and feel a sense of belong</w:t>
      </w:r>
      <w:r w:rsidR="0073213F" w:rsidRPr="00884FAA">
        <w:t>ing</w:t>
      </w:r>
      <w:r w:rsidRPr="00884FAA">
        <w:t xml:space="preserve"> to the health service.</w:t>
      </w:r>
      <w:r w:rsidR="00DA42EA" w:rsidRPr="00884FAA">
        <w:t xml:space="preserve"> Community engagement also </w:t>
      </w:r>
      <w:r w:rsidR="0016708F" w:rsidRPr="00884FAA">
        <w:t xml:space="preserve">enables health service staff to get to know clients as part of their wider community and to understand </w:t>
      </w:r>
      <w:r w:rsidR="00073A5B" w:rsidRPr="00884FAA">
        <w:t>the importance of context.</w:t>
      </w:r>
    </w:p>
    <w:p w14:paraId="06180A71" w14:textId="2C354712" w:rsidR="002F01B8" w:rsidRPr="00884FAA" w:rsidRDefault="002F01B8" w:rsidP="0043558E">
      <w:r w:rsidRPr="00884FAA">
        <w:t xml:space="preserve">The IAHP </w:t>
      </w:r>
      <w:r w:rsidR="0043558E" w:rsidRPr="00884FAA">
        <w:t xml:space="preserve">does not </w:t>
      </w:r>
      <w:r w:rsidRPr="00884FAA">
        <w:t>adequately recognis</w:t>
      </w:r>
      <w:r w:rsidR="0043558E" w:rsidRPr="00884FAA">
        <w:t>e or</w:t>
      </w:r>
      <w:r w:rsidRPr="00884FAA">
        <w:t xml:space="preserve"> resourc</w:t>
      </w:r>
      <w:r w:rsidR="0043558E" w:rsidRPr="00884FAA">
        <w:t>e</w:t>
      </w:r>
      <w:r w:rsidRPr="00884FAA">
        <w:t xml:space="preserve"> the amount of work that goes into maintaining and building connections and trust with client</w:t>
      </w:r>
      <w:r w:rsidR="0043558E" w:rsidRPr="00884FAA">
        <w:t>s</w:t>
      </w:r>
      <w:r w:rsidRPr="00884FAA">
        <w:t xml:space="preserve"> and the wider community.</w:t>
      </w:r>
      <w:r w:rsidR="003E2C47" w:rsidRPr="00884FAA">
        <w:t xml:space="preserve"> This work relies on passion, goodwill</w:t>
      </w:r>
      <w:r w:rsidR="00907125" w:rsidRPr="00884FAA">
        <w:t>,</w:t>
      </w:r>
      <w:r w:rsidR="009F4085" w:rsidRPr="00884FAA">
        <w:t xml:space="preserve"> and voluntary work</w:t>
      </w:r>
      <w:r w:rsidR="007772A5" w:rsidRPr="00884FAA">
        <w:t>.</w:t>
      </w:r>
      <w:r w:rsidR="00767D9F" w:rsidRPr="00884FAA">
        <w:t xml:space="preserve"> ACCHS staff reported that it comes at the cost of staff burnout. </w:t>
      </w:r>
      <w:r w:rsidR="007772A5" w:rsidRPr="00884FAA">
        <w:t>They</w:t>
      </w:r>
      <w:r w:rsidR="0045169C" w:rsidRPr="00884FAA">
        <w:t xml:space="preserve"> described IAHP as being too narrowly focused on </w:t>
      </w:r>
      <w:r w:rsidRPr="00884FAA">
        <w:t>‘numbers’ (</w:t>
      </w:r>
      <w:r w:rsidR="00907125" w:rsidRPr="00884FAA">
        <w:t>for example,</w:t>
      </w:r>
      <w:r w:rsidRPr="00884FAA">
        <w:t xml:space="preserve"> clinical activities and episodes of care) and </w:t>
      </w:r>
      <w:r w:rsidR="00AB57F0" w:rsidRPr="00884FAA">
        <w:t>not accounting for</w:t>
      </w:r>
      <w:r w:rsidRPr="00884FAA">
        <w:t xml:space="preserve"> the more </w:t>
      </w:r>
      <w:r w:rsidR="00AB57F0" w:rsidRPr="00884FAA">
        <w:t xml:space="preserve">relational </w:t>
      </w:r>
      <w:r w:rsidRPr="00884FAA">
        <w:t>approach to care and service delivery</w:t>
      </w:r>
      <w:r w:rsidR="00A8250C" w:rsidRPr="00884FAA">
        <w:t xml:space="preserve"> which they strive to </w:t>
      </w:r>
      <w:r w:rsidRPr="00884FAA">
        <w:t xml:space="preserve">apply. </w:t>
      </w:r>
    </w:p>
    <w:p w14:paraId="569D9E75" w14:textId="499C2B28" w:rsidR="002F01B8" w:rsidRPr="00A1178E" w:rsidRDefault="002F01B8" w:rsidP="008B7764">
      <w:pPr>
        <w:pStyle w:val="Quote"/>
        <w:spacing w:after="0"/>
        <w:rPr>
          <w:color w:val="18525E" w:themeColor="accent5" w:themeShade="80"/>
        </w:rPr>
      </w:pPr>
      <w:r w:rsidRPr="00A1178E">
        <w:rPr>
          <w:color w:val="18525E" w:themeColor="accent5" w:themeShade="80"/>
        </w:rPr>
        <w:t>It's [IAHP] very much a clinical model.</w:t>
      </w:r>
      <w:r w:rsidR="00AA35E2" w:rsidRPr="00A1178E">
        <w:rPr>
          <w:color w:val="18525E" w:themeColor="accent5" w:themeShade="80"/>
        </w:rPr>
        <w:t xml:space="preserve"> </w:t>
      </w:r>
      <w:r w:rsidRPr="00A1178E">
        <w:rPr>
          <w:color w:val="18525E" w:themeColor="accent5" w:themeShade="80"/>
        </w:rPr>
        <w:t xml:space="preserve">It's very much data - bums on seats [episodes of care], you know, like, rather than that self-determination, that, yeah, modelling that we do so well, as </w:t>
      </w:r>
      <w:r w:rsidR="009774D1" w:rsidRPr="00A1178E">
        <w:rPr>
          <w:color w:val="18525E" w:themeColor="accent5" w:themeShade="80"/>
        </w:rPr>
        <w:t>c</w:t>
      </w:r>
      <w:r w:rsidRPr="00A1178E">
        <w:rPr>
          <w:color w:val="18525E" w:themeColor="accent5" w:themeShade="80"/>
        </w:rPr>
        <w:t>ommunity</w:t>
      </w:r>
      <w:r w:rsidR="009774D1" w:rsidRPr="00A1178E">
        <w:rPr>
          <w:color w:val="18525E" w:themeColor="accent5" w:themeShade="80"/>
        </w:rPr>
        <w:t>-c</w:t>
      </w:r>
      <w:r w:rsidRPr="00A1178E">
        <w:rPr>
          <w:color w:val="18525E" w:themeColor="accent5" w:themeShade="80"/>
        </w:rPr>
        <w:t xml:space="preserve">ontrolled </w:t>
      </w:r>
      <w:r w:rsidR="009774D1" w:rsidRPr="00A1178E">
        <w:rPr>
          <w:color w:val="18525E" w:themeColor="accent5" w:themeShade="80"/>
        </w:rPr>
        <w:t>o</w:t>
      </w:r>
      <w:r w:rsidRPr="00A1178E">
        <w:rPr>
          <w:color w:val="18525E" w:themeColor="accent5" w:themeShade="80"/>
        </w:rPr>
        <w:t>rganisations. It's outside the medical model and</w:t>
      </w:r>
      <w:r w:rsidR="009774D1" w:rsidRPr="00A1178E">
        <w:rPr>
          <w:color w:val="18525E" w:themeColor="accent5" w:themeShade="80"/>
        </w:rPr>
        <w:t>,</w:t>
      </w:r>
      <w:r w:rsidRPr="00A1178E">
        <w:rPr>
          <w:color w:val="18525E" w:themeColor="accent5" w:themeShade="80"/>
        </w:rPr>
        <w:t xml:space="preserve"> as a clinician, I was always frustrated that I'm here, the person in front of me - it's not just the person that's sitting there to see me, it's that family around them, and so I want to invest that time with them</w:t>
      </w:r>
      <w:r w:rsidR="006F0CD6" w:rsidRPr="00A1178E">
        <w:rPr>
          <w:color w:val="18525E" w:themeColor="accent5" w:themeShade="80"/>
        </w:rPr>
        <w:t xml:space="preserve"> </w:t>
      </w:r>
      <w:r w:rsidRPr="00A1178E">
        <w:rPr>
          <w:color w:val="18525E" w:themeColor="accent5" w:themeShade="80"/>
        </w:rPr>
        <w:t>…</w:t>
      </w:r>
      <w:r w:rsidR="006F0CD6" w:rsidRPr="00A1178E">
        <w:rPr>
          <w:color w:val="18525E" w:themeColor="accent5" w:themeShade="80"/>
        </w:rPr>
        <w:t xml:space="preserve">. </w:t>
      </w:r>
      <w:r w:rsidRPr="00A1178E">
        <w:rPr>
          <w:color w:val="18525E" w:themeColor="accent5" w:themeShade="80"/>
        </w:rPr>
        <w:t xml:space="preserve">I never wanted to see the person in front of us as a dollar figure or </w:t>
      </w:r>
      <w:r w:rsidR="006F0CD6" w:rsidRPr="00A1178E">
        <w:rPr>
          <w:color w:val="18525E" w:themeColor="accent5" w:themeShade="80"/>
        </w:rPr>
        <w:t>a</w:t>
      </w:r>
      <w:r w:rsidRPr="00A1178E">
        <w:rPr>
          <w:color w:val="18525E" w:themeColor="accent5" w:themeShade="80"/>
        </w:rPr>
        <w:t>s a statistic, but that's how the funding is driving it</w:t>
      </w:r>
      <w:r w:rsidR="006F0CD6" w:rsidRPr="00A1178E">
        <w:rPr>
          <w:color w:val="18525E" w:themeColor="accent5" w:themeShade="80"/>
        </w:rPr>
        <w:t>.</w:t>
      </w:r>
    </w:p>
    <w:p w14:paraId="6D2ECDD4" w14:textId="6AF41B2E" w:rsidR="00CC0C5E" w:rsidRPr="008B7764" w:rsidRDefault="00CC0C5E" w:rsidP="00D4658D">
      <w:pPr>
        <w:spacing w:before="60"/>
        <w:jc w:val="right"/>
        <w:rPr>
          <w:b/>
          <w:bCs/>
        </w:rPr>
      </w:pPr>
      <w:r w:rsidRPr="008B7764">
        <w:rPr>
          <w:b/>
          <w:bCs/>
        </w:rPr>
        <w:t xml:space="preserve">ACCHS, Regional location </w:t>
      </w:r>
    </w:p>
    <w:p w14:paraId="3D15FB9A" w14:textId="7C8208D2" w:rsidR="002F01B8" w:rsidRPr="00884FAA" w:rsidRDefault="002F01B8" w:rsidP="00580138">
      <w:r w:rsidRPr="00884FAA">
        <w:t>Moreover, it is hard for</w:t>
      </w:r>
      <w:r w:rsidR="00F219C6" w:rsidRPr="00884FAA">
        <w:t xml:space="preserve"> health</w:t>
      </w:r>
      <w:r w:rsidRPr="00884FAA">
        <w:t xml:space="preserve"> services to measure and report on the work they do to support people and the</w:t>
      </w:r>
      <w:r w:rsidR="00F219C6" w:rsidRPr="00884FAA">
        <w:t>ir</w:t>
      </w:r>
      <w:r w:rsidRPr="00884FAA">
        <w:t xml:space="preserve"> community. </w:t>
      </w:r>
      <w:r w:rsidR="00713C29" w:rsidRPr="00884FAA">
        <w:t xml:space="preserve">The </w:t>
      </w:r>
      <w:r w:rsidR="007548A2" w:rsidRPr="00884FAA">
        <w:t>first</w:t>
      </w:r>
      <w:r w:rsidR="00713C29" w:rsidRPr="00884FAA">
        <w:t xml:space="preserve"> example</w:t>
      </w:r>
      <w:r w:rsidR="007548A2" w:rsidRPr="00884FAA">
        <w:t xml:space="preserve"> below</w:t>
      </w:r>
      <w:r w:rsidR="00713C29" w:rsidRPr="00884FAA">
        <w:t xml:space="preserve"> </w:t>
      </w:r>
      <w:r w:rsidR="00580138" w:rsidRPr="00884FAA">
        <w:t xml:space="preserve">is of an </w:t>
      </w:r>
      <w:r w:rsidRPr="00884FAA">
        <w:t>elder</w:t>
      </w:r>
      <w:r w:rsidR="00580138" w:rsidRPr="00884FAA">
        <w:t xml:space="preserve"> who</w:t>
      </w:r>
      <w:r w:rsidRPr="00884FAA">
        <w:t xml:space="preserve"> needed support as </w:t>
      </w:r>
      <w:r w:rsidR="00580138" w:rsidRPr="00884FAA">
        <w:t>she</w:t>
      </w:r>
      <w:r w:rsidRPr="00884FAA">
        <w:t xml:space="preserve"> had a house inspection and w</w:t>
      </w:r>
      <w:r w:rsidR="00580138" w:rsidRPr="00884FAA">
        <w:t>as</w:t>
      </w:r>
      <w:r w:rsidRPr="00884FAA">
        <w:t xml:space="preserve"> at risk of losing </w:t>
      </w:r>
      <w:r w:rsidR="008D62FE" w:rsidRPr="00884FAA">
        <w:t>her</w:t>
      </w:r>
      <w:r w:rsidRPr="00884FAA">
        <w:t xml:space="preserve"> home. </w:t>
      </w:r>
    </w:p>
    <w:p w14:paraId="0F621332" w14:textId="686B05F8" w:rsidR="002F01B8" w:rsidRPr="00A1178E" w:rsidRDefault="002F01B8" w:rsidP="008B7764">
      <w:pPr>
        <w:pStyle w:val="Quote"/>
        <w:spacing w:after="0"/>
        <w:rPr>
          <w:color w:val="18525E" w:themeColor="accent5" w:themeShade="80"/>
        </w:rPr>
      </w:pPr>
      <w:r w:rsidRPr="00A1178E">
        <w:rPr>
          <w:color w:val="18525E" w:themeColor="accent5" w:themeShade="80"/>
        </w:rPr>
        <w:t xml:space="preserve">So I don't know how they work it out </w:t>
      </w:r>
      <w:r w:rsidR="00F307FF" w:rsidRPr="00A1178E">
        <w:rPr>
          <w:color w:val="18525E" w:themeColor="accent5" w:themeShade="80"/>
        </w:rPr>
        <w:t>[</w:t>
      </w:r>
      <w:r w:rsidRPr="00A1178E">
        <w:rPr>
          <w:color w:val="18525E" w:themeColor="accent5" w:themeShade="80"/>
        </w:rPr>
        <w:t>at</w:t>
      </w:r>
      <w:r w:rsidR="00F307FF" w:rsidRPr="00A1178E">
        <w:rPr>
          <w:color w:val="18525E" w:themeColor="accent5" w:themeShade="80"/>
        </w:rPr>
        <w:t>]</w:t>
      </w:r>
      <w:r w:rsidRPr="00A1178E">
        <w:rPr>
          <w:color w:val="18525E" w:themeColor="accent5" w:themeShade="80"/>
        </w:rPr>
        <w:t xml:space="preserve"> their</w:t>
      </w:r>
      <w:r w:rsidR="0006515D" w:rsidRPr="00A1178E">
        <w:rPr>
          <w:color w:val="18525E" w:themeColor="accent5" w:themeShade="80"/>
        </w:rPr>
        <w:t xml:space="preserve"> [department’s]</w:t>
      </w:r>
      <w:r w:rsidRPr="00A1178E">
        <w:rPr>
          <w:color w:val="18525E" w:themeColor="accent5" w:themeShade="80"/>
        </w:rPr>
        <w:t xml:space="preserve"> end. It might not have come out of the IAHP funding, you know what I mean, but we would have found some way for it. But that's what's important to our community. So how do you account </w:t>
      </w:r>
      <w:r w:rsidR="0006515D" w:rsidRPr="00A1178E">
        <w:rPr>
          <w:color w:val="18525E" w:themeColor="accent5" w:themeShade="80"/>
        </w:rPr>
        <w:t xml:space="preserve">[for] </w:t>
      </w:r>
      <w:r w:rsidRPr="00A1178E">
        <w:rPr>
          <w:color w:val="18525E" w:themeColor="accent5" w:themeShade="80"/>
        </w:rPr>
        <w:t>that sort of thing? Three staff helping one of the old ladies tidy up a house, sort her clothes out. You know what I mean? </w:t>
      </w:r>
    </w:p>
    <w:p w14:paraId="0A13B139" w14:textId="4C174CFD" w:rsidR="00CC0C5E" w:rsidRPr="008B7764" w:rsidRDefault="00CC0C5E" w:rsidP="008B7764">
      <w:pPr>
        <w:jc w:val="right"/>
        <w:rPr>
          <w:b/>
          <w:bCs/>
        </w:rPr>
      </w:pPr>
      <w:r w:rsidRPr="008B7764">
        <w:rPr>
          <w:b/>
          <w:bCs/>
        </w:rPr>
        <w:t xml:space="preserve">ACCHS, Metropolitan location </w:t>
      </w:r>
    </w:p>
    <w:p w14:paraId="2916A8B5" w14:textId="1D17DB1D" w:rsidR="00444A17" w:rsidRPr="00A1178E" w:rsidRDefault="000C0476" w:rsidP="008B7764">
      <w:pPr>
        <w:pStyle w:val="Quote"/>
        <w:spacing w:after="0"/>
        <w:rPr>
          <w:color w:val="18525E" w:themeColor="accent5" w:themeShade="80"/>
        </w:rPr>
      </w:pPr>
      <w:r w:rsidRPr="00A1178E">
        <w:rPr>
          <w:color w:val="18525E" w:themeColor="accent5" w:themeShade="80"/>
        </w:rPr>
        <w:t>The numbers don’t tell you the story of the patients. It just tells you that one person came in at this time, and you might see 35 people in a day, but it doesn't tell you what you have to do for those 35 people.</w:t>
      </w:r>
    </w:p>
    <w:p w14:paraId="246C0F12" w14:textId="62CDDFD4" w:rsidR="00560C61" w:rsidRPr="008B7764" w:rsidRDefault="00560C61" w:rsidP="008B7764">
      <w:pPr>
        <w:jc w:val="right"/>
        <w:rPr>
          <w:b/>
          <w:bCs/>
        </w:rPr>
      </w:pPr>
      <w:r w:rsidRPr="008B7764">
        <w:rPr>
          <w:b/>
          <w:bCs/>
        </w:rPr>
        <w:t xml:space="preserve">ACCHS, Remote location </w:t>
      </w:r>
    </w:p>
    <w:p w14:paraId="5210BF0D" w14:textId="6A3ABF5A" w:rsidR="00F307FF" w:rsidRPr="00884FAA" w:rsidRDefault="008D62FE" w:rsidP="00333173">
      <w:bookmarkStart w:id="194" w:name="_Toc128408889"/>
      <w:r w:rsidRPr="00884FAA">
        <w:t>The department acknowledges that ACCHSs provide this type of support</w:t>
      </w:r>
      <w:r w:rsidR="00FE42C7">
        <w:t xml:space="preserve">, </w:t>
      </w:r>
      <w:r w:rsidR="00C75B48">
        <w:t xml:space="preserve">that </w:t>
      </w:r>
      <w:r w:rsidR="00A921D2">
        <w:t>it</w:t>
      </w:r>
      <w:r w:rsidR="00FE42C7">
        <w:t xml:space="preserve"> is required</w:t>
      </w:r>
      <w:r w:rsidR="00130F16">
        <w:t>,</w:t>
      </w:r>
      <w:r w:rsidR="00D154F1" w:rsidRPr="00884FAA">
        <w:t xml:space="preserve"> and </w:t>
      </w:r>
      <w:r w:rsidR="00130F16">
        <w:t xml:space="preserve">that it is </w:t>
      </w:r>
      <w:r w:rsidR="00D154F1" w:rsidRPr="00884FAA">
        <w:t xml:space="preserve">likely </w:t>
      </w:r>
      <w:r w:rsidR="00130F16">
        <w:t>funded</w:t>
      </w:r>
      <w:r w:rsidR="004C42C3">
        <w:t>, in part,</w:t>
      </w:r>
      <w:r w:rsidR="00182AE6">
        <w:t xml:space="preserve"> through the </w:t>
      </w:r>
      <w:r w:rsidR="000F7ACE">
        <w:t>PHC Program</w:t>
      </w:r>
      <w:r w:rsidR="001C1A2E">
        <w:t xml:space="preserve">, as the </w:t>
      </w:r>
      <w:r w:rsidR="00182AE6">
        <w:t>flexible component of</w:t>
      </w:r>
      <w:r w:rsidR="00D154F1" w:rsidRPr="00884FAA">
        <w:t xml:space="preserve"> IAHP funding.</w:t>
      </w:r>
      <w:r w:rsidR="00BD7BA7">
        <w:t xml:space="preserve"> </w:t>
      </w:r>
      <w:r w:rsidR="000F7ACE">
        <w:t>PHC Program</w:t>
      </w:r>
      <w:r w:rsidR="00A3273C">
        <w:t xml:space="preserve"> funding agreements </w:t>
      </w:r>
      <w:r w:rsidR="00555AB7">
        <w:t xml:space="preserve">set out the types of activities that are eligible for funding but </w:t>
      </w:r>
      <w:r w:rsidR="00A3273C">
        <w:t>are not explicit</w:t>
      </w:r>
      <w:r w:rsidR="00EB0264">
        <w:t xml:space="preserve"> in terms of how these activities are delivered.</w:t>
      </w:r>
      <w:r w:rsidR="00AA35E2">
        <w:t xml:space="preserve"> </w:t>
      </w:r>
      <w:r w:rsidR="00D154F1" w:rsidRPr="00884FAA">
        <w:t xml:space="preserve"> </w:t>
      </w:r>
    </w:p>
    <w:bookmarkEnd w:id="194"/>
    <w:p w14:paraId="31924606" w14:textId="3201D756" w:rsidR="00ED10CC" w:rsidRPr="00884FAA" w:rsidRDefault="00425234" w:rsidP="00651D06">
      <w:pPr>
        <w:pStyle w:val="Heading3"/>
      </w:pPr>
      <w:r>
        <w:lastRenderedPageBreak/>
        <w:t>Explicit s</w:t>
      </w:r>
      <w:r w:rsidR="00B7567E">
        <w:t xml:space="preserve">upport to </w:t>
      </w:r>
      <w:r w:rsidR="00CB55F9" w:rsidRPr="00884FAA">
        <w:t>attract and retain</w:t>
      </w:r>
      <w:r w:rsidR="00B7567E">
        <w:t xml:space="preserve"> </w:t>
      </w:r>
      <w:r w:rsidR="004A263D">
        <w:t xml:space="preserve">Aboriginal and Torres Strait Islander </w:t>
      </w:r>
      <w:r w:rsidR="003B3144" w:rsidRPr="00884FAA">
        <w:t>staff</w:t>
      </w:r>
      <w:r w:rsidR="00957D4F">
        <w:t xml:space="preserve"> </w:t>
      </w:r>
      <w:r w:rsidR="00907186">
        <w:t xml:space="preserve">is not </w:t>
      </w:r>
      <w:r w:rsidR="00977385">
        <w:t xml:space="preserve">a </w:t>
      </w:r>
      <w:r w:rsidR="009801FD">
        <w:t xml:space="preserve">current </w:t>
      </w:r>
      <w:r w:rsidR="00977385">
        <w:t xml:space="preserve">feature of </w:t>
      </w:r>
      <w:r w:rsidR="00907186">
        <w:t>IAHP</w:t>
      </w:r>
      <w:r w:rsidR="00977385">
        <w:t xml:space="preserve"> funding </w:t>
      </w:r>
    </w:p>
    <w:p w14:paraId="5E579C3E" w14:textId="0124D9BF" w:rsidR="00F332C0" w:rsidRDefault="00C35B51" w:rsidP="00333173">
      <w:r>
        <w:t>A</w:t>
      </w:r>
      <w:r w:rsidR="00AE40C3">
        <w:t xml:space="preserve"> flourishing</w:t>
      </w:r>
      <w:r>
        <w:t xml:space="preserve"> Aboriginal and Torres Strait Islander workforce is a</w:t>
      </w:r>
      <w:r w:rsidR="0053574E">
        <w:t xml:space="preserve">n operating </w:t>
      </w:r>
      <w:r w:rsidR="005B19AC">
        <w:t>principle in</w:t>
      </w:r>
      <w:r w:rsidR="0053574E">
        <w:t xml:space="preserve"> the model of</w:t>
      </w:r>
      <w:r w:rsidR="0053574E" w:rsidRPr="0053574E">
        <w:rPr>
          <w:lang w:val="en-NZ"/>
        </w:rPr>
        <w:t xml:space="preserve"> Aboriginal and Torres Strait Islander </w:t>
      </w:r>
      <w:r w:rsidR="00F410FE">
        <w:rPr>
          <w:lang w:val="en-NZ"/>
        </w:rPr>
        <w:t>co</w:t>
      </w:r>
      <w:r w:rsidR="0053574E" w:rsidRPr="0053574E">
        <w:rPr>
          <w:lang w:val="en-NZ"/>
        </w:rPr>
        <w:t>mmunity</w:t>
      </w:r>
      <w:r w:rsidR="00F410FE">
        <w:rPr>
          <w:lang w:val="en-NZ"/>
        </w:rPr>
        <w:t>-c</w:t>
      </w:r>
      <w:r w:rsidR="0053574E" w:rsidRPr="0053574E">
        <w:rPr>
          <w:lang w:val="en-NZ"/>
        </w:rPr>
        <w:t xml:space="preserve">ontrolled </w:t>
      </w:r>
      <w:r w:rsidR="00F410FE">
        <w:rPr>
          <w:lang w:val="en-NZ"/>
        </w:rPr>
        <w:t>c</w:t>
      </w:r>
      <w:r w:rsidR="0053574E" w:rsidRPr="0053574E">
        <w:rPr>
          <w:lang w:val="en-NZ"/>
        </w:rPr>
        <w:t xml:space="preserve">omprehensive </w:t>
      </w:r>
      <w:r w:rsidR="00F410FE">
        <w:rPr>
          <w:lang w:val="en-NZ"/>
        </w:rPr>
        <w:t>PHC:</w:t>
      </w:r>
      <w:r w:rsidR="005B19AC">
        <w:t xml:space="preserve"> </w:t>
      </w:r>
    </w:p>
    <w:p w14:paraId="65E67E30" w14:textId="6618BC04" w:rsidR="005B19AC" w:rsidRPr="00A1178E" w:rsidRDefault="005B19AC" w:rsidP="005B19AC">
      <w:pPr>
        <w:pStyle w:val="Quote"/>
        <w:rPr>
          <w:color w:val="18525E" w:themeColor="accent5" w:themeShade="80"/>
        </w:rPr>
      </w:pPr>
      <w:r w:rsidRPr="00A1178E">
        <w:rPr>
          <w:color w:val="18525E" w:themeColor="accent5" w:themeShade="80"/>
          <w:lang w:val="en-NZ"/>
        </w:rPr>
        <w:t>Aboriginal and Torres Strait Islander staff will flourish in ACCHSs as work environments placing high value on their skill sets, their connections within communities and their knowledge of culture</w:t>
      </w:r>
      <w:r w:rsidR="00F410FE" w:rsidRPr="00A1178E">
        <w:rPr>
          <w:color w:val="18525E" w:themeColor="accent5" w:themeShade="80"/>
          <w:lang w:val="en-NZ"/>
        </w:rPr>
        <w:t xml:space="preserve"> </w:t>
      </w:r>
      <w:r w:rsidR="002730C3" w:rsidRPr="00A1178E">
        <w:rPr>
          <w:color w:val="18525E" w:themeColor="accent5" w:themeShade="80"/>
          <w:lang w:val="en-NZ"/>
        </w:rPr>
        <w:fldChar w:fldCharType="begin"/>
      </w:r>
      <w:r w:rsidR="00F8760E" w:rsidRPr="00A1178E">
        <w:rPr>
          <w:color w:val="18525E" w:themeColor="accent5" w:themeShade="80"/>
          <w:lang w:val="en-NZ"/>
        </w:rPr>
        <w:instrText xml:space="preserve"> ADDIN ZOTERO_ITEM CSL_CITATION {"citationID":"BgjKwEXy","properties":{"formattedCitation":"(National Aboriginal Community Controlled Health Organisation, 2021a)","plainCitation":"(National Aboriginal Community Controlled Health Organisation, 2021a)","dontUpdate":true,"noteIndex":0},"citationItems":[{"id":3769,"uris":["http://zotero.org/groups/5010721/items/QW6QA8RE",["http://zotero.org/groups/5010721/items/QW6QA8RE"],["http://zotero.org/groups/5010721/items/QW6QA8RE",["http://zotero.org/groups/5010721/items/QW6QA8RE"]]],"itemData":{"id":3769,"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rsidR="002730C3" w:rsidRPr="00A1178E">
        <w:rPr>
          <w:color w:val="18525E" w:themeColor="accent5" w:themeShade="80"/>
          <w:lang w:val="en-NZ"/>
        </w:rPr>
        <w:fldChar w:fldCharType="separate"/>
      </w:r>
      <w:r w:rsidR="002730C3" w:rsidRPr="00A1178E">
        <w:rPr>
          <w:rFonts w:ascii="Arial" w:hAnsi="Arial" w:cs="Arial"/>
          <w:color w:val="18525E" w:themeColor="accent5" w:themeShade="80"/>
        </w:rPr>
        <w:t>(</w:t>
      </w:r>
      <w:r w:rsidR="0046292F" w:rsidRPr="00A1178E">
        <w:rPr>
          <w:rFonts w:ascii="Arial" w:hAnsi="Arial" w:cs="Arial"/>
          <w:color w:val="18525E" w:themeColor="accent5" w:themeShade="80"/>
        </w:rPr>
        <w:t xml:space="preserve">p.13, </w:t>
      </w:r>
      <w:r w:rsidR="002730C3" w:rsidRPr="00A1178E">
        <w:rPr>
          <w:rFonts w:ascii="Arial" w:hAnsi="Arial" w:cs="Arial"/>
          <w:color w:val="18525E" w:themeColor="accent5" w:themeShade="80"/>
        </w:rPr>
        <w:t>National Aboriginal Community Controlled Health Organisation, 2021a)</w:t>
      </w:r>
      <w:r w:rsidR="002730C3" w:rsidRPr="00A1178E">
        <w:rPr>
          <w:color w:val="18525E" w:themeColor="accent5" w:themeShade="80"/>
          <w:lang w:val="en-NZ"/>
        </w:rPr>
        <w:fldChar w:fldCharType="end"/>
      </w:r>
      <w:r w:rsidR="002730C3" w:rsidRPr="00A1178E">
        <w:rPr>
          <w:color w:val="18525E" w:themeColor="accent5" w:themeShade="80"/>
          <w:lang w:val="en-NZ"/>
        </w:rPr>
        <w:t>.</w:t>
      </w:r>
    </w:p>
    <w:p w14:paraId="45678C54" w14:textId="09FB3CA0" w:rsidR="0081081E" w:rsidRDefault="00894042" w:rsidP="00333173">
      <w:r>
        <w:t>Evalu</w:t>
      </w:r>
      <w:r w:rsidR="00556614">
        <w:t>a</w:t>
      </w:r>
      <w:r>
        <w:t>tion participants (</w:t>
      </w:r>
      <w:r w:rsidR="00556614">
        <w:t>c</w:t>
      </w:r>
      <w:r w:rsidR="002F01B8" w:rsidRPr="00884FAA">
        <w:t>ommunity member</w:t>
      </w:r>
      <w:r w:rsidR="00556614">
        <w:t>s</w:t>
      </w:r>
      <w:r w:rsidR="002F01B8" w:rsidRPr="00884FAA">
        <w:t xml:space="preserve"> and </w:t>
      </w:r>
      <w:r w:rsidR="000C2D4D" w:rsidRPr="00884FAA">
        <w:t>ACCHS</w:t>
      </w:r>
      <w:r w:rsidR="002F01B8" w:rsidRPr="00884FAA">
        <w:t xml:space="preserve"> </w:t>
      </w:r>
      <w:r w:rsidR="00864562">
        <w:t>staff</w:t>
      </w:r>
      <w:r w:rsidR="00556614">
        <w:t>)</w:t>
      </w:r>
      <w:r w:rsidR="00864562">
        <w:t xml:space="preserve"> </w:t>
      </w:r>
      <w:r>
        <w:t>discussed how</w:t>
      </w:r>
      <w:r w:rsidR="002F01B8" w:rsidRPr="00884FAA">
        <w:t xml:space="preserve"> Aboriginal </w:t>
      </w:r>
      <w:r w:rsidR="004D7921">
        <w:t xml:space="preserve">and Torres Strait Islander </w:t>
      </w:r>
      <w:r w:rsidR="00D87462">
        <w:t>H</w:t>
      </w:r>
      <w:r w:rsidR="002F01B8" w:rsidRPr="00884FAA">
        <w:t xml:space="preserve">ealth </w:t>
      </w:r>
      <w:r w:rsidR="00D87462">
        <w:t>W</w:t>
      </w:r>
      <w:r w:rsidR="002F01B8" w:rsidRPr="00884FAA">
        <w:t xml:space="preserve">orkers and </w:t>
      </w:r>
      <w:r w:rsidR="00D87462">
        <w:t>Health P</w:t>
      </w:r>
      <w:r w:rsidR="002F01B8" w:rsidRPr="00884FAA">
        <w:t xml:space="preserve">ractitioners </w:t>
      </w:r>
      <w:r w:rsidR="00556614">
        <w:t>were</w:t>
      </w:r>
      <w:r w:rsidR="002F01B8" w:rsidRPr="00884FAA">
        <w:t xml:space="preserve"> </w:t>
      </w:r>
      <w:r w:rsidR="000C2D4D" w:rsidRPr="00884FAA">
        <w:t>central</w:t>
      </w:r>
      <w:r w:rsidR="002F01B8" w:rsidRPr="00884FAA">
        <w:t xml:space="preserve"> to</w:t>
      </w:r>
      <w:r w:rsidR="00EE0DDD" w:rsidRPr="00884FAA">
        <w:t xml:space="preserve"> the ability of health services to deliver</w:t>
      </w:r>
      <w:r w:rsidR="002F01B8" w:rsidRPr="00884FAA">
        <w:t xml:space="preserve"> culturally safe and appropriate </w:t>
      </w:r>
      <w:r w:rsidR="00EE0DDD" w:rsidRPr="00884FAA">
        <w:t>care</w:t>
      </w:r>
      <w:r w:rsidR="0053720D">
        <w:t xml:space="preserve">, thereby </w:t>
      </w:r>
      <w:r w:rsidR="007A14CC">
        <w:t>support</w:t>
      </w:r>
      <w:r w:rsidR="00CE64B7">
        <w:t>ing</w:t>
      </w:r>
      <w:r w:rsidR="007A14CC">
        <w:t xml:space="preserve"> the realisation of </w:t>
      </w:r>
      <w:r w:rsidR="00CE64B7">
        <w:t>the IAHP’s</w:t>
      </w:r>
      <w:r w:rsidR="007A14CC">
        <w:t xml:space="preserve"> objectives</w:t>
      </w:r>
      <w:r w:rsidR="002F01B8" w:rsidRPr="00884FAA">
        <w:t xml:space="preserve">. </w:t>
      </w:r>
      <w:r w:rsidR="00CE64B7">
        <w:t xml:space="preserve">As discussed in Section 6, </w:t>
      </w:r>
      <w:r w:rsidR="002F01B8" w:rsidRPr="00884FAA">
        <w:t>Aboriginal health workers and practitioners</w:t>
      </w:r>
      <w:r w:rsidR="00000262" w:rsidRPr="00884FAA">
        <w:t xml:space="preserve"> are often people’s first point of contact with a</w:t>
      </w:r>
      <w:r w:rsidR="00994349" w:rsidRPr="00884FAA">
        <w:t>n</w:t>
      </w:r>
      <w:r w:rsidR="00000262" w:rsidRPr="00884FAA">
        <w:t xml:space="preserve"> ACCHS</w:t>
      </w:r>
      <w:r w:rsidR="009A4CBF" w:rsidRPr="00884FAA">
        <w:t xml:space="preserve">, helping them to </w:t>
      </w:r>
      <w:r w:rsidR="00355D50" w:rsidRPr="00884FAA">
        <w:t>navigate services</w:t>
      </w:r>
      <w:r w:rsidR="002F01B8" w:rsidRPr="00884FAA">
        <w:t>.</w:t>
      </w:r>
      <w:r w:rsidR="00720ED4" w:rsidRPr="00884FAA">
        <w:t xml:space="preserve"> </w:t>
      </w:r>
    </w:p>
    <w:p w14:paraId="2E36FE91" w14:textId="1F7929DF" w:rsidR="002F01B8" w:rsidRPr="00884FAA" w:rsidRDefault="00720ED4" w:rsidP="00333173">
      <w:r w:rsidRPr="00884FAA">
        <w:t>C</w:t>
      </w:r>
      <w:r w:rsidR="002F01B8" w:rsidRPr="00884FAA">
        <w:t xml:space="preserve">ommunity participants </w:t>
      </w:r>
      <w:r w:rsidR="00355D50" w:rsidRPr="00884FAA">
        <w:t>reported that</w:t>
      </w:r>
      <w:r w:rsidR="002F01B8" w:rsidRPr="00884FAA">
        <w:t xml:space="preserve"> they feel safer when they connect with other Aboriginal and Torres Strait Islander people in a health service. Some </w:t>
      </w:r>
      <w:r w:rsidR="00143EDC" w:rsidRPr="00884FAA">
        <w:t>ACCHS</w:t>
      </w:r>
      <w:r w:rsidR="002F01B8" w:rsidRPr="00884FAA">
        <w:t xml:space="preserve"> managers observed that </w:t>
      </w:r>
      <w:r w:rsidR="00FF4269">
        <w:t>people</w:t>
      </w:r>
      <w:r w:rsidR="00FF4269" w:rsidRPr="00884FAA">
        <w:t xml:space="preserve"> </w:t>
      </w:r>
      <w:r w:rsidR="002F01B8" w:rsidRPr="00884FAA">
        <w:t>were more likely to discuss their health w</w:t>
      </w:r>
      <w:r w:rsidR="00143EDC" w:rsidRPr="00884FAA">
        <w:t>hen</w:t>
      </w:r>
      <w:r w:rsidR="002F01B8" w:rsidRPr="00884FAA">
        <w:t xml:space="preserve"> </w:t>
      </w:r>
      <w:r w:rsidR="00492EFA">
        <w:t>Aboriginal and Torres Strait Islander</w:t>
      </w:r>
      <w:r w:rsidR="00492EFA" w:rsidRPr="00884FAA">
        <w:t xml:space="preserve"> </w:t>
      </w:r>
      <w:r w:rsidR="002F01B8" w:rsidRPr="00884FAA">
        <w:t xml:space="preserve">staff </w:t>
      </w:r>
      <w:r w:rsidR="00143EDC" w:rsidRPr="00884FAA">
        <w:t xml:space="preserve">were </w:t>
      </w:r>
      <w:r w:rsidR="002F01B8" w:rsidRPr="00884FAA">
        <w:t xml:space="preserve">present. </w:t>
      </w:r>
      <w:r w:rsidR="00AC28AC" w:rsidRPr="00884FAA">
        <w:t xml:space="preserve">Aboriginal health </w:t>
      </w:r>
      <w:r w:rsidR="00B558B8" w:rsidRPr="00884FAA">
        <w:t xml:space="preserve">workers and practitioners </w:t>
      </w:r>
      <w:r w:rsidR="00075FBE" w:rsidRPr="00884FAA">
        <w:t>are also well</w:t>
      </w:r>
      <w:r w:rsidR="00AC28AC" w:rsidRPr="00884FAA">
        <w:t xml:space="preserve"> positioned to </w:t>
      </w:r>
      <w:r w:rsidR="00F22892" w:rsidRPr="00884FAA">
        <w:t>support clients’</w:t>
      </w:r>
      <w:r w:rsidR="00AC28AC" w:rsidRPr="00884FAA">
        <w:t xml:space="preserve"> health literacy.</w:t>
      </w:r>
    </w:p>
    <w:p w14:paraId="0ED0C311" w14:textId="3B1D41B8" w:rsidR="002F01B8" w:rsidRPr="00A1178E" w:rsidRDefault="002F01B8" w:rsidP="004A01EA">
      <w:pPr>
        <w:pStyle w:val="Quote"/>
        <w:spacing w:after="0"/>
        <w:rPr>
          <w:color w:val="18525E" w:themeColor="accent5" w:themeShade="80"/>
        </w:rPr>
      </w:pPr>
      <w:r w:rsidRPr="00A1178E">
        <w:rPr>
          <w:color w:val="18525E" w:themeColor="accent5" w:themeShade="80"/>
        </w:rPr>
        <w:t>The most important part of AMS is what happens when they (the patient) come in behind a closed door with an Aboriginal health practitioner who takes time to listen to them about how hard things are and provides compassion and empathy, as well as deliver some health promotion that is easy to understand. This is what makes them (patients) want to come back and see that same health practitioner again. Then this becomes a safe place to come to and it becomes a pleasant experience to come here.</w:t>
      </w:r>
    </w:p>
    <w:p w14:paraId="3EEF0AF1" w14:textId="13221A68" w:rsidR="00DB09FF" w:rsidRPr="004A01EA" w:rsidRDefault="00DB09FF" w:rsidP="00135E5A">
      <w:pPr>
        <w:spacing w:before="120"/>
        <w:jc w:val="right"/>
        <w:rPr>
          <w:b/>
          <w:bCs/>
        </w:rPr>
      </w:pPr>
      <w:r w:rsidRPr="004A01EA">
        <w:rPr>
          <w:b/>
          <w:bCs/>
        </w:rPr>
        <w:t xml:space="preserve">ACCHS, Remote location </w:t>
      </w:r>
    </w:p>
    <w:p w14:paraId="28B65209" w14:textId="28FF665E" w:rsidR="006A0194" w:rsidRPr="00884FAA" w:rsidRDefault="002F01B8" w:rsidP="00523D80">
      <w:pPr>
        <w:rPr>
          <w:rFonts w:ascii="Cambria" w:eastAsia="Cambria" w:hAnsi="Cambria" w:cs="Times New Roman"/>
          <w:i/>
          <w:iCs/>
        </w:rPr>
      </w:pPr>
      <w:r w:rsidRPr="00884FAA">
        <w:t xml:space="preserve">Many </w:t>
      </w:r>
      <w:r w:rsidR="001C7364">
        <w:t xml:space="preserve">site partners reported that they wanted to </w:t>
      </w:r>
      <w:r w:rsidRPr="00884FAA">
        <w:t xml:space="preserve">increase </w:t>
      </w:r>
      <w:r w:rsidR="003E2AB8" w:rsidRPr="00884FAA">
        <w:t xml:space="preserve">the </w:t>
      </w:r>
      <w:r w:rsidRPr="00884FAA">
        <w:t xml:space="preserve">employment of </w:t>
      </w:r>
      <w:r w:rsidR="00F62E78">
        <w:t>Aboriginal and Torres Strait Islander</w:t>
      </w:r>
      <w:r w:rsidR="00F62E78" w:rsidRPr="00884FAA">
        <w:t xml:space="preserve"> </w:t>
      </w:r>
      <w:r w:rsidRPr="00884FAA">
        <w:t>staff.</w:t>
      </w:r>
      <w:r w:rsidR="0083612F" w:rsidRPr="00884FAA">
        <w:t xml:space="preserve"> </w:t>
      </w:r>
      <w:r w:rsidR="00061E61" w:rsidRPr="00884FAA">
        <w:t xml:space="preserve">In addition to supporting the delivery of culturally appropriate </w:t>
      </w:r>
      <w:r w:rsidR="005B1686" w:rsidRPr="00884FAA">
        <w:t xml:space="preserve">and holistic </w:t>
      </w:r>
      <w:r w:rsidR="00061E61" w:rsidRPr="00884FAA">
        <w:t xml:space="preserve">care, </w:t>
      </w:r>
      <w:r w:rsidR="005B1686" w:rsidRPr="00884FAA">
        <w:t>h</w:t>
      </w:r>
      <w:r w:rsidRPr="00884FAA">
        <w:t xml:space="preserve">aving </w:t>
      </w:r>
      <w:r w:rsidR="001C7364">
        <w:t>Aboriginal and Torres Strait Islander</w:t>
      </w:r>
      <w:r w:rsidR="001C7364" w:rsidRPr="00884FAA">
        <w:t xml:space="preserve"> </w:t>
      </w:r>
      <w:r w:rsidR="005B1686" w:rsidRPr="00884FAA">
        <w:t>staff</w:t>
      </w:r>
      <w:r w:rsidR="008C7C21" w:rsidRPr="00884FAA">
        <w:t xml:space="preserve"> </w:t>
      </w:r>
      <w:r w:rsidR="001E1A57">
        <w:t xml:space="preserve">inspires </w:t>
      </w:r>
      <w:r w:rsidR="008C7C21" w:rsidRPr="00884FAA">
        <w:t>other Aboriginal and Torres Strait Islander staff and community members</w:t>
      </w:r>
      <w:r w:rsidR="006A0194" w:rsidRPr="00884FAA">
        <w:t>.</w:t>
      </w:r>
      <w:r w:rsidR="006A0194" w:rsidRPr="00884FAA">
        <w:rPr>
          <w:rFonts w:ascii="Cambria" w:eastAsia="Cambria" w:hAnsi="Cambria" w:cs="Times New Roman"/>
          <w:i/>
          <w:iCs/>
        </w:rPr>
        <w:t xml:space="preserve"> </w:t>
      </w:r>
    </w:p>
    <w:p w14:paraId="7575F2FE" w14:textId="2B3A6504" w:rsidR="002F01B8" w:rsidRPr="00A1178E" w:rsidRDefault="006A0194" w:rsidP="004A01EA">
      <w:pPr>
        <w:pStyle w:val="Quote"/>
        <w:spacing w:after="0"/>
        <w:rPr>
          <w:color w:val="18525E" w:themeColor="accent5" w:themeShade="80"/>
        </w:rPr>
      </w:pPr>
      <w:r w:rsidRPr="00A1178E">
        <w:rPr>
          <w:color w:val="18525E" w:themeColor="accent5" w:themeShade="80"/>
        </w:rPr>
        <w:t>I</w:t>
      </w:r>
      <w:r w:rsidR="002F01B8" w:rsidRPr="00A1178E">
        <w:rPr>
          <w:color w:val="18525E" w:themeColor="accent5" w:themeShade="80"/>
        </w:rPr>
        <w:t>t goes to show, well, if our mob can do it, I can do it too.</w:t>
      </w:r>
    </w:p>
    <w:p w14:paraId="18E0A608" w14:textId="41F5B562" w:rsidR="00DB09FF" w:rsidRPr="004A01EA" w:rsidRDefault="00DB09FF" w:rsidP="004A01EA">
      <w:pPr>
        <w:jc w:val="right"/>
        <w:rPr>
          <w:b/>
          <w:bCs/>
        </w:rPr>
      </w:pPr>
      <w:r w:rsidRPr="004A01EA">
        <w:rPr>
          <w:b/>
          <w:bCs/>
        </w:rPr>
        <w:t xml:space="preserve">ACCHS, Regional location </w:t>
      </w:r>
    </w:p>
    <w:p w14:paraId="3D8882DA" w14:textId="77777777" w:rsidR="00F9677B" w:rsidRDefault="00703D29" w:rsidP="00523D80">
      <w:r w:rsidRPr="00884FAA">
        <w:lastRenderedPageBreak/>
        <w:t>The number of Aboriginal and Torres Strait Islander staff in the health workforce has increased rapidly, doubling between 2013 and 2019 nationally to 7</w:t>
      </w:r>
      <w:r w:rsidR="001E3E8A" w:rsidRPr="00884FAA">
        <w:t>,</w:t>
      </w:r>
      <w:r w:rsidRPr="00884FAA">
        <w:t>894 people</w:t>
      </w:r>
      <w:r w:rsidR="003962E9" w:rsidRPr="00884FAA">
        <w:t>.</w:t>
      </w:r>
      <w:r w:rsidRPr="005D1C41">
        <w:rPr>
          <w:rStyle w:val="FootnoteReference"/>
        </w:rPr>
        <w:footnoteReference w:id="38"/>
      </w:r>
      <w:r w:rsidRPr="00884FAA">
        <w:t xml:space="preserve"> However, the proportion of all staff who were Aboriginal and Torres Strait Islander was only 1.2% in 2019, well below the proportion of the Aboriginal and Torres Strait Islander</w:t>
      </w:r>
      <w:r w:rsidR="00335379" w:rsidRPr="00884FAA">
        <w:t xml:space="preserve"> </w:t>
      </w:r>
      <w:r w:rsidRPr="00884FAA">
        <w:t xml:space="preserve">population. </w:t>
      </w:r>
      <w:r w:rsidR="00276EE5" w:rsidRPr="00884FAA">
        <w:t>Within the evaluation sites</w:t>
      </w:r>
      <w:r w:rsidR="002F01B8" w:rsidRPr="00884FAA">
        <w:t xml:space="preserve">, Aboriginal and Torres Strait Islander staff made up 1.5% of the </w:t>
      </w:r>
      <w:r w:rsidR="006A7CE2" w:rsidRPr="00884FAA">
        <w:t xml:space="preserve">health </w:t>
      </w:r>
      <w:r w:rsidR="002F01B8" w:rsidRPr="00884FAA">
        <w:t>workforce</w:t>
      </w:r>
      <w:r w:rsidR="00D93659" w:rsidRPr="00884FAA">
        <w:t>.</w:t>
      </w:r>
      <w:r w:rsidR="002F01B8" w:rsidRPr="005D1C41">
        <w:rPr>
          <w:rStyle w:val="FootnoteReference"/>
        </w:rPr>
        <w:footnoteReference w:id="39"/>
      </w:r>
      <w:r w:rsidR="002F01B8" w:rsidRPr="00884FAA">
        <w:t xml:space="preserve"> </w:t>
      </w:r>
    </w:p>
    <w:p w14:paraId="588FB06B" w14:textId="38C11B07" w:rsidR="001D50F2" w:rsidRPr="00884FAA" w:rsidRDefault="00231E8C" w:rsidP="00523D80">
      <w:pPr>
        <w:rPr>
          <w:sz w:val="24"/>
          <w:szCs w:val="24"/>
          <w:lang w:eastAsia="en-NZ"/>
        </w:rPr>
      </w:pPr>
      <w:r>
        <w:t>Within</w:t>
      </w:r>
      <w:r w:rsidR="002F01B8" w:rsidRPr="00884FAA">
        <w:t xml:space="preserve"> </w:t>
      </w:r>
      <w:r w:rsidR="00AC0F3C" w:rsidRPr="00884FAA">
        <w:t>ACCHSs</w:t>
      </w:r>
      <w:r w:rsidR="002F01B8" w:rsidRPr="00884FAA">
        <w:t xml:space="preserve">, the proportion </w:t>
      </w:r>
      <w:r>
        <w:t xml:space="preserve">of staff </w:t>
      </w:r>
      <w:r w:rsidR="002F01B8" w:rsidRPr="00884FAA">
        <w:t>who were Aboriginal and Torres Strait Islander was much higher. Nationally, in 2013 the percentage was 14%</w:t>
      </w:r>
      <w:r w:rsidR="00057F87" w:rsidRPr="00884FAA">
        <w:t>,</w:t>
      </w:r>
      <w:r w:rsidR="002F01B8" w:rsidRPr="00884FAA">
        <w:t xml:space="preserve"> and in 2019 the percentage was 20%.</w:t>
      </w:r>
      <w:r w:rsidR="00F9677B" w:rsidRPr="005D1C41">
        <w:rPr>
          <w:rStyle w:val="FootnoteReference"/>
        </w:rPr>
        <w:footnoteReference w:id="40"/>
      </w:r>
      <w:r w:rsidR="002F01B8" w:rsidRPr="00884FAA">
        <w:t xml:space="preserve"> This indicates that ACCHS</w:t>
      </w:r>
      <w:r w:rsidR="000B4F79" w:rsidRPr="00884FAA">
        <w:t>s</w:t>
      </w:r>
      <w:r w:rsidR="002F01B8" w:rsidRPr="00884FAA">
        <w:t xml:space="preserve"> are successfully recruiting </w:t>
      </w:r>
      <w:r w:rsidR="00124B2E" w:rsidRPr="00884FAA">
        <w:t>Aboriginal and Torres Strait Islander staff</w:t>
      </w:r>
      <w:r w:rsidR="002F01B8" w:rsidRPr="00884FAA">
        <w:t>.</w:t>
      </w:r>
      <w:r w:rsidR="001345B2" w:rsidRPr="00884FAA">
        <w:t xml:space="preserve"> </w:t>
      </w:r>
      <w:r w:rsidR="009476FB">
        <w:t>Note, t</w:t>
      </w:r>
      <w:r w:rsidR="009F0558" w:rsidRPr="00884FAA">
        <w:t xml:space="preserve">he Health Performance Framework </w:t>
      </w:r>
      <w:r w:rsidR="00D0420D" w:rsidRPr="00884FAA">
        <w:t>reports that, in</w:t>
      </w:r>
      <w:r w:rsidR="001D50F2" w:rsidRPr="00884FAA">
        <w:t xml:space="preserve"> 2018</w:t>
      </w:r>
      <w:r w:rsidR="00D0420D" w:rsidRPr="00884FAA">
        <w:t>,</w:t>
      </w:r>
      <w:r w:rsidR="001D50F2" w:rsidRPr="00884FAA">
        <w:t xml:space="preserve"> </w:t>
      </w:r>
      <w:r w:rsidR="003340EF" w:rsidRPr="00884FAA">
        <w:t>Aboriginal and Torres Strait Islander people</w:t>
      </w:r>
      <w:r w:rsidR="001D50F2" w:rsidRPr="00884FAA">
        <w:t xml:space="preserve"> made up 54% of the </w:t>
      </w:r>
      <w:r w:rsidR="00D0420D" w:rsidRPr="00884FAA">
        <w:t xml:space="preserve">total </w:t>
      </w:r>
      <w:r w:rsidR="001D50F2" w:rsidRPr="00884FAA">
        <w:t xml:space="preserve">workforce </w:t>
      </w:r>
      <w:r w:rsidR="00D0420D" w:rsidRPr="00884FAA">
        <w:t>of</w:t>
      </w:r>
      <w:r w:rsidR="001D50F2" w:rsidRPr="00884FAA">
        <w:t xml:space="preserve"> Commonwealth-funded </w:t>
      </w:r>
      <w:r w:rsidR="003340EF" w:rsidRPr="00884FAA">
        <w:t xml:space="preserve">Aboriginal and Torres Strait Islander </w:t>
      </w:r>
      <w:r w:rsidR="0038020B" w:rsidRPr="00884FAA">
        <w:t>PHC</w:t>
      </w:r>
      <w:r w:rsidR="001D50F2" w:rsidRPr="00884FAA">
        <w:t xml:space="preserve"> organisations. </w:t>
      </w:r>
      <w:r w:rsidR="000A39AF" w:rsidRPr="00884FAA">
        <w:t>This includes all staff working in services, not only</w:t>
      </w:r>
      <w:r w:rsidR="00DB34E0">
        <w:t xml:space="preserve"> staff in clinical roles</w:t>
      </w:r>
      <w:r w:rsidR="000A39AF" w:rsidRPr="00884FAA">
        <w:t xml:space="preserve">, and </w:t>
      </w:r>
      <w:r w:rsidR="0060691E" w:rsidRPr="00884FAA">
        <w:t>is a count of FTEs</w:t>
      </w:r>
      <w:r w:rsidR="006E5A76" w:rsidRPr="00884FAA">
        <w:t xml:space="preserve"> </w:t>
      </w:r>
      <w:r w:rsidR="006E5A76" w:rsidRPr="00884FAA">
        <w:fldChar w:fldCharType="begin"/>
      </w:r>
      <w:r w:rsidR="00F8760E">
        <w:instrText xml:space="preserve"> ADDIN ZOTERO_ITEM CSL_CITATION {"citationID":"VxByJMoG","properties":{"formattedCitation":"(Australian Institute of Health and Welfare, n.d.-a)","plainCitation":"(Australian Institute of Health and Welfare, n.d.-a)","noteIndex":0},"citationItems":[{"id":3786,"uris":["http://zotero.org/groups/5010721/items/SU37H25X",["http://zotero.org/groups/5010721/items/SU37H25X"],["http://zotero.org/groups/5010721/items/SU37H25X",["http://zotero.org/groups/5010721/items/SU37H25X"]]],"itemData":{"id":3786,"type":"webpage","abstract":"3.12 Aboriginal and Torres Strait Islander people in the health workforce","container-title":"indigenoushpf.gov.au","genre":"website text","language":"en-AU","note":"Commonwealth of Australia","title":"3.12 Aboriginal and Torres Strait Islander people in the health workforce","URL":"https://www.indigenoushpf.gov.au/measures/3-12-atsi-people-health-workforce","author":[{"literal":"Australian Institute of Health and Welfare"}],"accessed":{"date-parts":[["2023",3,21]]}}}],"schema":"https://github.com/citation-style-language/schema/raw/master/csl-citation.json"} </w:instrText>
      </w:r>
      <w:r w:rsidR="006E5A76" w:rsidRPr="00884FAA">
        <w:fldChar w:fldCharType="separate"/>
      </w:r>
      <w:r w:rsidR="002C424E" w:rsidRPr="002C424E">
        <w:rPr>
          <w:rFonts w:ascii="Arial" w:hAnsi="Arial" w:cs="Arial"/>
        </w:rPr>
        <w:t>(Australian Institute of Health and Welfare, n.d.-a)</w:t>
      </w:r>
      <w:r w:rsidR="006E5A76" w:rsidRPr="00884FAA">
        <w:fldChar w:fldCharType="end"/>
      </w:r>
      <w:r w:rsidR="0038020B" w:rsidRPr="00884FAA">
        <w:t>.</w:t>
      </w:r>
      <w:r w:rsidR="00022F29" w:rsidRPr="00884FAA">
        <w:t xml:space="preserve"> </w:t>
      </w:r>
    </w:p>
    <w:p w14:paraId="68181CB1" w14:textId="28D724DE" w:rsidR="002F01B8" w:rsidRPr="00884FAA" w:rsidRDefault="0098133F" w:rsidP="00523D80">
      <w:r>
        <w:t>Evaluation participants discussed</w:t>
      </w:r>
      <w:r w:rsidR="00562C73">
        <w:t xml:space="preserve"> </w:t>
      </w:r>
      <w:r>
        <w:t xml:space="preserve">how </w:t>
      </w:r>
      <w:r w:rsidR="002F01B8" w:rsidRPr="00884FAA">
        <w:t xml:space="preserve">Aboriginal </w:t>
      </w:r>
      <w:r w:rsidR="00222B7A" w:rsidRPr="00884FAA">
        <w:t xml:space="preserve">and Torres Strait Islander </w:t>
      </w:r>
      <w:r w:rsidR="0037125A" w:rsidRPr="00884FAA">
        <w:t>health</w:t>
      </w:r>
      <w:r w:rsidR="00222B7A" w:rsidRPr="00884FAA">
        <w:t xml:space="preserve"> staff</w:t>
      </w:r>
      <w:r w:rsidR="002F01B8" w:rsidRPr="00884FAA">
        <w:t xml:space="preserve"> walk</w:t>
      </w:r>
      <w:r w:rsidR="00970BC0" w:rsidRPr="00884FAA">
        <w:t xml:space="preserve"> in</w:t>
      </w:r>
      <w:r w:rsidR="002F01B8" w:rsidRPr="00884FAA">
        <w:t xml:space="preserve"> two worlds and often take on the hurt and stress of the community</w:t>
      </w:r>
      <w:r w:rsidR="006429B2">
        <w:t xml:space="preserve">. An </w:t>
      </w:r>
      <w:r w:rsidR="00E7496C">
        <w:t xml:space="preserve">experienced doctor and </w:t>
      </w:r>
      <w:r w:rsidR="00CD312D">
        <w:t xml:space="preserve">an </w:t>
      </w:r>
      <w:r w:rsidR="00E7496C">
        <w:t xml:space="preserve">Aboriginal health worker who had both worked across multiple health services, </w:t>
      </w:r>
      <w:r w:rsidR="00C37CCC">
        <w:t xml:space="preserve">talked about </w:t>
      </w:r>
      <w:r w:rsidR="00C37CCC" w:rsidRPr="00884FAA">
        <w:t>Aboriginal and Torres Strait Islander health staff</w:t>
      </w:r>
      <w:r w:rsidR="001062C4" w:rsidRPr="00884FAA">
        <w:t xml:space="preserve"> exper</w:t>
      </w:r>
      <w:r w:rsidR="00A24DB2" w:rsidRPr="00884FAA">
        <w:t>iencing</w:t>
      </w:r>
      <w:r w:rsidR="001062C4" w:rsidRPr="00884FAA">
        <w:t xml:space="preserve"> vicarious trauma </w:t>
      </w:r>
      <w:r w:rsidR="00A24DB2" w:rsidRPr="00884FAA">
        <w:t>from hearing about their clients’ experiences.</w:t>
      </w:r>
      <w:r w:rsidR="002F01B8" w:rsidRPr="00884FAA">
        <w:t xml:space="preserve"> On one side,</w:t>
      </w:r>
      <w:r w:rsidR="002F01B8" w:rsidRPr="00884FAA" w:rsidDel="00711325">
        <w:t xml:space="preserve"> </w:t>
      </w:r>
      <w:r w:rsidR="00711325">
        <w:t xml:space="preserve">Aboriginal and Torres Strait Islander </w:t>
      </w:r>
      <w:r w:rsidR="008447A2">
        <w:t>staff</w:t>
      </w:r>
      <w:r w:rsidR="00711325" w:rsidRPr="00884FAA">
        <w:t xml:space="preserve"> </w:t>
      </w:r>
      <w:r w:rsidR="002F01B8" w:rsidRPr="00884FAA">
        <w:t>navigate the western mainstream medical system, and</w:t>
      </w:r>
      <w:r w:rsidR="0020101C" w:rsidRPr="00884FAA">
        <w:t>,</w:t>
      </w:r>
      <w:r w:rsidR="002F01B8" w:rsidRPr="00884FAA">
        <w:t xml:space="preserve"> on the other, they translate and communicate with </w:t>
      </w:r>
      <w:r w:rsidR="00A762FA">
        <w:t>Aboriginal and Torres Strait Islander</w:t>
      </w:r>
      <w:r w:rsidR="00A762FA" w:rsidRPr="00884FAA">
        <w:t xml:space="preserve"> </w:t>
      </w:r>
      <w:r w:rsidR="002F01B8" w:rsidRPr="00884FAA">
        <w:t xml:space="preserve">worldviews. For example, </w:t>
      </w:r>
      <w:r w:rsidR="009037F6">
        <w:t>ACCHS participants</w:t>
      </w:r>
      <w:r w:rsidR="00A1092A">
        <w:t xml:space="preserve"> reported having </w:t>
      </w:r>
      <w:r w:rsidR="002F01B8" w:rsidRPr="00884FAA">
        <w:t xml:space="preserve">to translate the scope </w:t>
      </w:r>
      <w:r w:rsidR="00E51422">
        <w:t xml:space="preserve">of </w:t>
      </w:r>
      <w:r w:rsidR="002C03EC">
        <w:t>a</w:t>
      </w:r>
      <w:r w:rsidR="00E51422">
        <w:t xml:space="preserve"> </w:t>
      </w:r>
      <w:r w:rsidR="002F01B8" w:rsidRPr="00884FAA">
        <w:t>program</w:t>
      </w:r>
      <w:r w:rsidR="00970BC0" w:rsidRPr="00884FAA">
        <w:t xml:space="preserve"> and services </w:t>
      </w:r>
      <w:r w:rsidR="002F01B8" w:rsidRPr="00884FAA">
        <w:t>and explain to client</w:t>
      </w:r>
      <w:r w:rsidR="00970BC0" w:rsidRPr="00884FAA">
        <w:t>s</w:t>
      </w:r>
      <w:r w:rsidR="002F01B8" w:rsidRPr="00884FAA">
        <w:t xml:space="preserve"> why certain things are funded while others are not. Their work is said to never stop </w:t>
      </w:r>
      <w:r w:rsidR="0001117D" w:rsidRPr="00884FAA">
        <w:t>(</w:t>
      </w:r>
      <w:r w:rsidR="003C5944" w:rsidRPr="00884FAA">
        <w:t>for example,</w:t>
      </w:r>
      <w:r w:rsidR="0001117D" w:rsidRPr="00884FAA">
        <w:t xml:space="preserve"> replying to texts and calls out of hours) </w:t>
      </w:r>
      <w:r w:rsidR="002F01B8" w:rsidRPr="00884FAA">
        <w:t>and they feel obligated to ‘go above and beyond’ for the community they serve. One interview participant talks about getting images of ‘sores and boils’ on a regular basis.</w:t>
      </w:r>
    </w:p>
    <w:p w14:paraId="0011A1A6" w14:textId="2FEB7540" w:rsidR="002F01B8" w:rsidRPr="00A1178E" w:rsidRDefault="002F01B8" w:rsidP="0008047D">
      <w:pPr>
        <w:pStyle w:val="Quote"/>
        <w:spacing w:after="0"/>
        <w:rPr>
          <w:color w:val="18525E" w:themeColor="accent5" w:themeShade="80"/>
        </w:rPr>
      </w:pPr>
      <w:r w:rsidRPr="00A1178E">
        <w:rPr>
          <w:color w:val="18525E" w:themeColor="accent5" w:themeShade="80"/>
        </w:rPr>
        <w:t>I think it's just in blackfellas nature. You see somebody need your help. And other people, they don't get that and they don't get why we do that. And you actually see in their face when over at a hospital and you go above and beyond to help that person. You see a little bit of a look of confusion on their face, like why you go to that extent to help</w:t>
      </w:r>
      <w:r w:rsidR="0013011B" w:rsidRPr="00A1178E">
        <w:rPr>
          <w:color w:val="18525E" w:themeColor="accent5" w:themeShade="80"/>
        </w:rPr>
        <w:t>.</w:t>
      </w:r>
    </w:p>
    <w:p w14:paraId="516701A0" w14:textId="72EFA758" w:rsidR="00DB09FF" w:rsidRPr="004A01EA" w:rsidRDefault="00DB09FF" w:rsidP="00135E5A">
      <w:pPr>
        <w:jc w:val="right"/>
        <w:rPr>
          <w:b/>
          <w:bCs/>
        </w:rPr>
      </w:pPr>
      <w:r w:rsidRPr="004A01EA">
        <w:rPr>
          <w:b/>
          <w:bCs/>
        </w:rPr>
        <w:t xml:space="preserve">ACCHS, Metropolitan location </w:t>
      </w:r>
    </w:p>
    <w:p w14:paraId="6DACAFBE" w14:textId="4E4F6E25" w:rsidR="008D716A" w:rsidRPr="008D716A" w:rsidRDefault="007773C7" w:rsidP="008D716A">
      <w:r w:rsidRPr="00884FAA">
        <w:t xml:space="preserve">Some Aboriginal and Torres Strait Islander staff </w:t>
      </w:r>
      <w:r w:rsidR="00FC01BE">
        <w:t xml:space="preserve">may also experience </w:t>
      </w:r>
      <w:r w:rsidR="00D05B0C" w:rsidRPr="00884FAA">
        <w:t xml:space="preserve">personal </w:t>
      </w:r>
      <w:r w:rsidRPr="00884FAA">
        <w:t>health and trauma issues</w:t>
      </w:r>
      <w:r w:rsidR="00D05B0C" w:rsidRPr="00884FAA">
        <w:t>, while also having to care for others.</w:t>
      </w:r>
      <w:r w:rsidR="00A0215D" w:rsidRPr="00884FAA">
        <w:t xml:space="preserve"> This can make them prone to </w:t>
      </w:r>
      <w:r w:rsidRPr="00884FAA">
        <w:t>stress and burnout</w:t>
      </w:r>
      <w:r w:rsidR="004A2C3F" w:rsidRPr="00884FAA">
        <w:t>,</w:t>
      </w:r>
      <w:r w:rsidR="00D05B0C" w:rsidRPr="00884FAA">
        <w:t xml:space="preserve"> and </w:t>
      </w:r>
      <w:r w:rsidR="005D6ADA" w:rsidRPr="00884FAA">
        <w:t>requires a supportive collegial and leadership environment</w:t>
      </w:r>
      <w:r w:rsidR="00A31E5A" w:rsidRPr="00884FAA">
        <w:t xml:space="preserve">, </w:t>
      </w:r>
      <w:r w:rsidR="00400A61" w:rsidRPr="00884FAA">
        <w:t xml:space="preserve">as well as </w:t>
      </w:r>
      <w:r w:rsidR="00A31E5A" w:rsidRPr="00884FAA">
        <w:t>appropriate support systems</w:t>
      </w:r>
      <w:r w:rsidRPr="00884FAA">
        <w:t>.</w:t>
      </w:r>
      <w:r w:rsidR="00DE3B64" w:rsidRPr="00884FAA">
        <w:t xml:space="preserve"> It can also </w:t>
      </w:r>
      <w:r w:rsidR="00DD74A0" w:rsidRPr="00884FAA">
        <w:t xml:space="preserve">require additional resourcing and </w:t>
      </w:r>
      <w:r w:rsidR="00DE3B64" w:rsidRPr="00884FAA">
        <w:t>contribute to staffing costs</w:t>
      </w:r>
      <w:r w:rsidR="00210269" w:rsidRPr="00884FAA">
        <w:t>.</w:t>
      </w:r>
      <w:r w:rsidR="007B1F56">
        <w:t xml:space="preserve"> In yarns with Aboriginal and Torres Strait Islander staff</w:t>
      </w:r>
      <w:r w:rsidR="001E065A">
        <w:t xml:space="preserve"> at health services, </w:t>
      </w:r>
      <w:r w:rsidR="00B844F8">
        <w:t xml:space="preserve">participants </w:t>
      </w:r>
      <w:r w:rsidR="00B844F8">
        <w:lastRenderedPageBreak/>
        <w:t xml:space="preserve">discussed types of support that they would value. This included having dedicated time for </w:t>
      </w:r>
      <w:r w:rsidR="00373DF9">
        <w:t xml:space="preserve">culturally appropriate support, </w:t>
      </w:r>
      <w:r w:rsidR="007E7C45">
        <w:t xml:space="preserve">such as </w:t>
      </w:r>
      <w:r w:rsidR="00373DF9">
        <w:t>having time together to yarn, process and support each</w:t>
      </w:r>
      <w:r w:rsidR="007E7C45">
        <w:t xml:space="preserve"> </w:t>
      </w:r>
      <w:r w:rsidR="00373DF9">
        <w:t>other, and leave to spend time on Country</w:t>
      </w:r>
      <w:r w:rsidR="00AD26FC">
        <w:t xml:space="preserve">, and having support to </w:t>
      </w:r>
      <w:r w:rsidR="006A7C65">
        <w:t>access traditional healing. They also discussed the need for support systems to be determined locally</w:t>
      </w:r>
      <w:r w:rsidR="00335B40">
        <w:t>, as opposed to, for example, a top-down programmatic response.</w:t>
      </w:r>
      <w:r w:rsidR="008D716A" w:rsidRPr="008D716A">
        <w:t> </w:t>
      </w:r>
    </w:p>
    <w:p w14:paraId="429F68FE" w14:textId="66A71D83" w:rsidR="002F01B8" w:rsidRPr="00884FAA" w:rsidRDefault="007066C2" w:rsidP="00CF72CC">
      <w:r>
        <w:t>Funding provided through the</w:t>
      </w:r>
      <w:r w:rsidRPr="00884FAA">
        <w:t xml:space="preserve"> </w:t>
      </w:r>
      <w:r w:rsidR="002F01B8" w:rsidRPr="00884FAA">
        <w:t>IAHP contributes</w:t>
      </w:r>
      <w:r w:rsidR="00CF72CC" w:rsidRPr="00884FAA">
        <w:t xml:space="preserve"> significantly</w:t>
      </w:r>
      <w:r w:rsidR="002F01B8" w:rsidRPr="00884FAA">
        <w:t xml:space="preserve"> to</w:t>
      </w:r>
      <w:r w:rsidR="00CF72CC" w:rsidRPr="00884FAA">
        <w:t xml:space="preserve"> the</w:t>
      </w:r>
      <w:r w:rsidR="002F01B8" w:rsidRPr="00884FAA">
        <w:t xml:space="preserve"> employment of staff</w:t>
      </w:r>
      <w:r w:rsidR="00CF72CC" w:rsidRPr="00884FAA">
        <w:t>, including</w:t>
      </w:r>
      <w:r w:rsidR="002F01B8" w:rsidRPr="00884FAA">
        <w:t xml:space="preserve"> </w:t>
      </w:r>
      <w:r w:rsidR="00810D34">
        <w:t>Aboriginal and Torres Strait Islander</w:t>
      </w:r>
      <w:r w:rsidR="00810D34" w:rsidRPr="00884FAA">
        <w:t xml:space="preserve"> </w:t>
      </w:r>
      <w:r w:rsidR="002F01B8" w:rsidRPr="00884FAA">
        <w:t>staff.</w:t>
      </w:r>
    </w:p>
    <w:p w14:paraId="788BC272" w14:textId="295697DE" w:rsidR="002F01B8" w:rsidRPr="00A1178E" w:rsidRDefault="002F01B8" w:rsidP="004A01EA">
      <w:pPr>
        <w:pStyle w:val="Quote"/>
        <w:spacing w:after="0"/>
        <w:rPr>
          <w:color w:val="18525E" w:themeColor="accent5" w:themeShade="80"/>
        </w:rPr>
      </w:pPr>
      <w:r w:rsidRPr="00A1178E">
        <w:rPr>
          <w:color w:val="18525E" w:themeColor="accent5" w:themeShade="80"/>
        </w:rPr>
        <w:t>There's no doubt about it.</w:t>
      </w:r>
      <w:r w:rsidR="00AA35E2" w:rsidRPr="00A1178E">
        <w:rPr>
          <w:color w:val="18525E" w:themeColor="accent5" w:themeShade="80"/>
        </w:rPr>
        <w:t xml:space="preserve"> </w:t>
      </w:r>
      <w:r w:rsidRPr="00A1178E">
        <w:rPr>
          <w:color w:val="18525E" w:themeColor="accent5" w:themeShade="80"/>
        </w:rPr>
        <w:t>It [IAHP] absolutely contributes to culturally competent care because it enables us to employ Aboriginal staff who are vital in providing that care</w:t>
      </w:r>
      <w:r w:rsidR="0051692C" w:rsidRPr="00A1178E">
        <w:rPr>
          <w:color w:val="18525E" w:themeColor="accent5" w:themeShade="80"/>
        </w:rPr>
        <w:t>.</w:t>
      </w:r>
    </w:p>
    <w:p w14:paraId="0A351A9E" w14:textId="7432E3B4" w:rsidR="00DB09FF" w:rsidRPr="004A01EA" w:rsidRDefault="00DB09FF" w:rsidP="001D628C">
      <w:pPr>
        <w:spacing w:before="120"/>
        <w:jc w:val="right"/>
        <w:rPr>
          <w:b/>
          <w:bCs/>
        </w:rPr>
      </w:pPr>
      <w:r w:rsidRPr="004A01EA">
        <w:rPr>
          <w:b/>
          <w:bCs/>
        </w:rPr>
        <w:t xml:space="preserve">ACCHS, Regional location </w:t>
      </w:r>
    </w:p>
    <w:p w14:paraId="183DA649" w14:textId="1846C271" w:rsidR="009D2CEA" w:rsidRDefault="00C23B5B" w:rsidP="00572D00">
      <w:r>
        <w:t xml:space="preserve">However, the IAHP does not currently have explicit levers </w:t>
      </w:r>
      <w:r w:rsidR="0091282D">
        <w:t>to support the employment and retention of Aboriginal and Torres Strait Islander</w:t>
      </w:r>
      <w:r w:rsidR="0091282D" w:rsidRPr="00884FAA">
        <w:t xml:space="preserve"> staff</w:t>
      </w:r>
      <w:r w:rsidR="0000330F">
        <w:t xml:space="preserve">. </w:t>
      </w:r>
    </w:p>
    <w:p w14:paraId="06EFC314" w14:textId="2E9EAC1D" w:rsidR="002F01B8" w:rsidRPr="00884FAA" w:rsidRDefault="00D6043B" w:rsidP="00572D00">
      <w:r w:rsidRPr="00884FAA">
        <w:t xml:space="preserve">There are broader factors affecting organisations’ </w:t>
      </w:r>
      <w:r w:rsidR="001269B3" w:rsidRPr="00884FAA">
        <w:t xml:space="preserve">ability to recruit and retain </w:t>
      </w:r>
      <w:r w:rsidR="00E96516">
        <w:t>Aboriginal and Torres Strait Islander</w:t>
      </w:r>
      <w:r w:rsidR="00E96516" w:rsidRPr="00884FAA">
        <w:t xml:space="preserve"> </w:t>
      </w:r>
      <w:r w:rsidR="001269B3" w:rsidRPr="00884FAA">
        <w:t xml:space="preserve">staff. Some of these </w:t>
      </w:r>
      <w:r w:rsidR="00E96516">
        <w:t xml:space="preserve">factors are </w:t>
      </w:r>
      <w:r w:rsidR="001269B3" w:rsidRPr="00884FAA">
        <w:t>outside the current sp</w:t>
      </w:r>
      <w:r w:rsidR="007517FD">
        <w:t>h</w:t>
      </w:r>
      <w:r w:rsidR="001269B3" w:rsidRPr="00884FAA">
        <w:t>ere and influence of</w:t>
      </w:r>
      <w:r w:rsidR="007517FD">
        <w:t xml:space="preserve"> the</w:t>
      </w:r>
      <w:r w:rsidR="001269B3" w:rsidRPr="00884FAA">
        <w:t xml:space="preserve"> IAHP but they are important system levers</w:t>
      </w:r>
      <w:r w:rsidR="00E96516">
        <w:t xml:space="preserve"> and </w:t>
      </w:r>
      <w:r w:rsidR="00FD7B79">
        <w:t xml:space="preserve">directly </w:t>
      </w:r>
      <w:r w:rsidR="00E96516">
        <w:t xml:space="preserve">influence the </w:t>
      </w:r>
      <w:r w:rsidR="00FD7B79">
        <w:t>effectiveness of investment through the IAHP</w:t>
      </w:r>
      <w:r w:rsidR="001269B3" w:rsidRPr="00884FAA">
        <w:t>.</w:t>
      </w:r>
      <w:r w:rsidR="009A79E3">
        <w:t xml:space="preserve"> </w:t>
      </w:r>
      <w:r w:rsidR="00254275">
        <w:t>Key</w:t>
      </w:r>
      <w:r w:rsidR="009A79E3">
        <w:t xml:space="preserve"> issues </w:t>
      </w:r>
      <w:r w:rsidR="00254275">
        <w:t>related to workforce</w:t>
      </w:r>
      <w:r w:rsidR="009A79E3">
        <w:t xml:space="preserve"> identified by site partners</w:t>
      </w:r>
      <w:r w:rsidR="00254275">
        <w:t xml:space="preserve"> included:</w:t>
      </w:r>
    </w:p>
    <w:p w14:paraId="0F7F438E" w14:textId="14ED5F19" w:rsidR="002F01B8" w:rsidRPr="003B3C05" w:rsidRDefault="002F01B8" w:rsidP="003B3C05">
      <w:pPr>
        <w:numPr>
          <w:ilvl w:val="0"/>
          <w:numId w:val="19"/>
        </w:numPr>
        <w:spacing w:after="120"/>
        <w:rPr>
          <w:bCs/>
        </w:rPr>
      </w:pPr>
      <w:r w:rsidRPr="003B3C05">
        <w:rPr>
          <w:bCs/>
        </w:rPr>
        <w:t xml:space="preserve">A shortage of </w:t>
      </w:r>
      <w:r w:rsidR="00F8279D" w:rsidRPr="003B3C05">
        <w:rPr>
          <w:bCs/>
        </w:rPr>
        <w:t xml:space="preserve">Aboriginal and Torres Strait Islander </w:t>
      </w:r>
      <w:r w:rsidRPr="003B3C05">
        <w:rPr>
          <w:bCs/>
        </w:rPr>
        <w:t>staff was identified in most sites, particularly those in remote and rural areas</w:t>
      </w:r>
      <w:r w:rsidR="00987798" w:rsidRPr="003B3C05">
        <w:rPr>
          <w:bCs/>
        </w:rPr>
        <w:t xml:space="preserve">, and health services reported challenges </w:t>
      </w:r>
      <w:r w:rsidRPr="003B3C05">
        <w:rPr>
          <w:bCs/>
        </w:rPr>
        <w:t>with staff retention and high turnover.</w:t>
      </w:r>
      <w:r w:rsidR="00B80527" w:rsidRPr="003B3C05">
        <w:rPr>
          <w:bCs/>
        </w:rPr>
        <w:t xml:space="preserve"> In the NT,</w:t>
      </w:r>
      <w:r w:rsidR="008C3F4F" w:rsidRPr="003B3C05">
        <w:rPr>
          <w:bCs/>
        </w:rPr>
        <w:t xml:space="preserve"> a participant from the NT Department of Health </w:t>
      </w:r>
      <w:r w:rsidR="00B70A1E" w:rsidRPr="003B3C05">
        <w:rPr>
          <w:bCs/>
        </w:rPr>
        <w:t>reported that</w:t>
      </w:r>
      <w:r w:rsidR="00B80527" w:rsidRPr="003B3C05">
        <w:rPr>
          <w:bCs/>
        </w:rPr>
        <w:t xml:space="preserve"> the number of Aborig</w:t>
      </w:r>
      <w:r w:rsidR="001E3C8A" w:rsidRPr="003B3C05">
        <w:rPr>
          <w:bCs/>
        </w:rPr>
        <w:t>i</w:t>
      </w:r>
      <w:r w:rsidR="00B80527" w:rsidRPr="003B3C05">
        <w:rPr>
          <w:bCs/>
        </w:rPr>
        <w:t>nal</w:t>
      </w:r>
      <w:r w:rsidR="004C37C4" w:rsidRPr="003B3C05">
        <w:rPr>
          <w:bCs/>
        </w:rPr>
        <w:t xml:space="preserve"> and Torres Strait Islander Health Workers</w:t>
      </w:r>
      <w:r w:rsidR="00B80527" w:rsidRPr="003B3C05">
        <w:rPr>
          <w:bCs/>
        </w:rPr>
        <w:t xml:space="preserve"> ha</w:t>
      </w:r>
      <w:r w:rsidR="00B70A1E" w:rsidRPr="003B3C05">
        <w:rPr>
          <w:bCs/>
        </w:rPr>
        <w:t>d</w:t>
      </w:r>
      <w:r w:rsidR="00B80527" w:rsidRPr="003B3C05">
        <w:rPr>
          <w:bCs/>
        </w:rPr>
        <w:t xml:space="preserve"> declined form </w:t>
      </w:r>
      <w:r w:rsidR="009F3C83" w:rsidRPr="003B3C05">
        <w:rPr>
          <w:bCs/>
        </w:rPr>
        <w:t xml:space="preserve">450 in 1995 to less than 50 </w:t>
      </w:r>
      <w:r w:rsidR="00B70A1E" w:rsidRPr="003B3C05">
        <w:rPr>
          <w:bCs/>
        </w:rPr>
        <w:t>in 2022</w:t>
      </w:r>
      <w:r w:rsidR="004E0C3F" w:rsidRPr="003B3C05">
        <w:rPr>
          <w:bCs/>
        </w:rPr>
        <w:t>.</w:t>
      </w:r>
      <w:r w:rsidR="00AA35E2">
        <w:rPr>
          <w:bCs/>
        </w:rPr>
        <w:t xml:space="preserve">  </w:t>
      </w:r>
    </w:p>
    <w:p w14:paraId="532FC16F" w14:textId="77777777" w:rsidR="00E4453E" w:rsidRPr="003B3C05" w:rsidRDefault="002F01B8" w:rsidP="003B3C05">
      <w:pPr>
        <w:numPr>
          <w:ilvl w:val="0"/>
          <w:numId w:val="19"/>
        </w:numPr>
        <w:spacing w:after="120"/>
        <w:rPr>
          <w:bCs/>
        </w:rPr>
      </w:pPr>
      <w:r w:rsidRPr="003B3C05">
        <w:rPr>
          <w:bCs/>
        </w:rPr>
        <w:t xml:space="preserve">Training pipelines for Aboriginal health workers and practitioners are confusing and hard to access, </w:t>
      </w:r>
      <w:r w:rsidR="00F510CC" w:rsidRPr="003B3C05">
        <w:rPr>
          <w:bCs/>
        </w:rPr>
        <w:t>deterring</w:t>
      </w:r>
      <w:r w:rsidRPr="003B3C05">
        <w:rPr>
          <w:bCs/>
        </w:rPr>
        <w:t xml:space="preserve"> Indigenous students from pursuing this pathway.</w:t>
      </w:r>
    </w:p>
    <w:p w14:paraId="3D899D07" w14:textId="1E10008A" w:rsidR="00B41EF1" w:rsidRPr="003B3C05" w:rsidRDefault="00E4453E" w:rsidP="003B3C05">
      <w:pPr>
        <w:numPr>
          <w:ilvl w:val="0"/>
          <w:numId w:val="19"/>
        </w:numPr>
        <w:spacing w:after="120"/>
        <w:rPr>
          <w:bCs/>
        </w:rPr>
      </w:pPr>
      <w:r w:rsidRPr="003B3C05">
        <w:rPr>
          <w:bCs/>
        </w:rPr>
        <w:t>T</w:t>
      </w:r>
      <w:r w:rsidR="002F01B8" w:rsidRPr="003B3C05">
        <w:rPr>
          <w:bCs/>
        </w:rPr>
        <w:t xml:space="preserve">he employment conditions for Aboriginal health workers and practitioners are less financially desirable compared to other </w:t>
      </w:r>
      <w:r w:rsidR="00807F93" w:rsidRPr="003B3C05">
        <w:rPr>
          <w:bCs/>
        </w:rPr>
        <w:t>health care</w:t>
      </w:r>
      <w:r w:rsidR="002F01B8" w:rsidRPr="003B3C05">
        <w:rPr>
          <w:bCs/>
        </w:rPr>
        <w:t xml:space="preserve"> professions like nursing and general practi</w:t>
      </w:r>
      <w:r w:rsidR="00B41EF1" w:rsidRPr="003B3C05">
        <w:rPr>
          <w:bCs/>
        </w:rPr>
        <w:t>ce</w:t>
      </w:r>
      <w:r w:rsidR="002F01B8" w:rsidRPr="003B3C05">
        <w:rPr>
          <w:bCs/>
        </w:rPr>
        <w:t>. Often the cultural skills and competencies that characterise these professions are not recognised in salaries and career pathways.</w:t>
      </w:r>
    </w:p>
    <w:p w14:paraId="41F53704" w14:textId="57D3695F" w:rsidR="00781C20" w:rsidRPr="003B3C05" w:rsidRDefault="00781C20" w:rsidP="003B3C05">
      <w:pPr>
        <w:numPr>
          <w:ilvl w:val="0"/>
          <w:numId w:val="19"/>
        </w:numPr>
        <w:spacing w:after="120"/>
        <w:rPr>
          <w:bCs/>
        </w:rPr>
      </w:pPr>
      <w:r w:rsidRPr="003B3C05">
        <w:rPr>
          <w:bCs/>
        </w:rPr>
        <w:t xml:space="preserve">There is external competition for Indigenous staff from organisations that </w:t>
      </w:r>
      <w:r w:rsidR="006D2B3D" w:rsidRPr="003B3C05">
        <w:rPr>
          <w:bCs/>
        </w:rPr>
        <w:t xml:space="preserve">offer </w:t>
      </w:r>
      <w:r w:rsidR="00C538EB" w:rsidRPr="003B3C05">
        <w:rPr>
          <w:bCs/>
        </w:rPr>
        <w:t xml:space="preserve">better remuneration </w:t>
      </w:r>
      <w:r w:rsidRPr="003B3C05">
        <w:rPr>
          <w:bCs/>
        </w:rPr>
        <w:t>(</w:t>
      </w:r>
      <w:r w:rsidR="00EF6DCF" w:rsidRPr="003B3C05">
        <w:rPr>
          <w:bCs/>
        </w:rPr>
        <w:t>for example,</w:t>
      </w:r>
      <w:r w:rsidRPr="003B3C05">
        <w:rPr>
          <w:bCs/>
        </w:rPr>
        <w:t xml:space="preserve"> hospitals and government services). </w:t>
      </w:r>
    </w:p>
    <w:p w14:paraId="4ECDFADB" w14:textId="3D08F750" w:rsidR="00007FEE" w:rsidRPr="00884FAA" w:rsidRDefault="00007FEE" w:rsidP="0096047F">
      <w:r>
        <w:t xml:space="preserve">While the </w:t>
      </w:r>
      <w:r w:rsidR="00893C51">
        <w:t>IAHP does not set out contract or payment rates for employees</w:t>
      </w:r>
      <w:r w:rsidR="000535EC">
        <w:t xml:space="preserve">, the capacity of services to deliver the intended outcomes of the IAHP is directly connected to the level of funding available to ensure the workforce is stable and well supported. </w:t>
      </w:r>
    </w:p>
    <w:p w14:paraId="0956456B" w14:textId="77777777" w:rsidR="00F1302B" w:rsidRDefault="00F1302B">
      <w:pPr>
        <w:jc w:val="left"/>
        <w:rPr>
          <w:b/>
          <w:color w:val="9E6047" w:themeColor="accent3"/>
          <w:kern w:val="28"/>
          <w:sz w:val="32"/>
          <w:szCs w:val="28"/>
          <w:lang w:val="en-GB" w:eastAsia="en-GB"/>
        </w:rPr>
      </w:pPr>
      <w:r>
        <w:br w:type="page"/>
      </w:r>
    </w:p>
    <w:p w14:paraId="591D090F" w14:textId="24AFDA4B" w:rsidR="00145CA3" w:rsidRPr="00884FAA" w:rsidRDefault="000B2CD2" w:rsidP="00651D06">
      <w:pPr>
        <w:pStyle w:val="Heading3"/>
      </w:pPr>
      <w:r w:rsidRPr="00884FAA">
        <w:lastRenderedPageBreak/>
        <w:t>The IAHP treats ACCHSs as service providers</w:t>
      </w:r>
    </w:p>
    <w:p w14:paraId="47F5A80E" w14:textId="43E68126" w:rsidR="000B5A80" w:rsidRDefault="000B5A80" w:rsidP="00F17934">
      <w:r w:rsidRPr="00884FAA">
        <w:t xml:space="preserve">Many ACCHS staff described that the way the IAHP funding is mobilised positioned </w:t>
      </w:r>
      <w:r w:rsidR="0019135B">
        <w:t>ACCHSs</w:t>
      </w:r>
      <w:r w:rsidRPr="00884FAA">
        <w:t xml:space="preserve"> as ‘contract-takers’ or service providers, rather than recognising th</w:t>
      </w:r>
      <w:r w:rsidR="00226701">
        <w:t xml:space="preserve">eir </w:t>
      </w:r>
      <w:r w:rsidR="00DE132A">
        <w:t xml:space="preserve">combined </w:t>
      </w:r>
      <w:r w:rsidR="00226701">
        <w:t xml:space="preserve">role as both a service provider and </w:t>
      </w:r>
      <w:r w:rsidR="00DE132A">
        <w:t>representative of their community.</w:t>
      </w:r>
      <w:r w:rsidR="00FC5E0B" w:rsidRPr="005D1C41">
        <w:rPr>
          <w:rStyle w:val="FootnoteReference"/>
        </w:rPr>
        <w:footnoteReference w:id="41"/>
      </w:r>
      <w:r w:rsidR="00DE132A">
        <w:t xml:space="preserve"> </w:t>
      </w:r>
      <w:r w:rsidR="0019135B" w:rsidRPr="00884FAA">
        <w:t>In this respect, IAHP funding was not seen as significantly different from any other funding mechanism</w:t>
      </w:r>
      <w:r w:rsidR="0019135B">
        <w:t>.</w:t>
      </w:r>
    </w:p>
    <w:p w14:paraId="6CCA9557" w14:textId="0E680E73" w:rsidR="002237EC" w:rsidRPr="00651CA7" w:rsidRDefault="00FD7523" w:rsidP="00651CA7">
      <w:r w:rsidRPr="00884FAA">
        <w:t xml:space="preserve">ACCHSs commonly described </w:t>
      </w:r>
      <w:r w:rsidR="00492A76" w:rsidRPr="00884FAA">
        <w:t>a</w:t>
      </w:r>
      <w:r w:rsidRPr="00884FAA">
        <w:t xml:space="preserve"> </w:t>
      </w:r>
      <w:r w:rsidR="002F01B8" w:rsidRPr="00884FAA">
        <w:t>competitive and contractual environment of tender processes and grant application</w:t>
      </w:r>
      <w:r w:rsidR="00A17AF4" w:rsidRPr="00884FAA">
        <w:t xml:space="preserve">, requiring skilled submission writers and </w:t>
      </w:r>
      <w:r w:rsidR="00246E30" w:rsidRPr="00884FAA">
        <w:t xml:space="preserve">reporting against performance indicators. </w:t>
      </w:r>
      <w:r w:rsidR="00D5575F" w:rsidRPr="00884FAA">
        <w:t xml:space="preserve">They also described the </w:t>
      </w:r>
      <w:r w:rsidR="00ED28D3" w:rsidRPr="00884FAA">
        <w:t>push towards increasing Medicare billing</w:t>
      </w:r>
      <w:r w:rsidR="00E43B6E" w:rsidRPr="00884FAA">
        <w:t xml:space="preserve"> and operating within a </w:t>
      </w:r>
      <w:r w:rsidR="00F17934" w:rsidRPr="00884FAA">
        <w:t>commercial environment.</w:t>
      </w:r>
      <w:r w:rsidR="005642D5" w:rsidRPr="00884FAA">
        <w:t xml:space="preserve"> Participants variously described this environment as reflective of ‘outdated Western thinking’</w:t>
      </w:r>
      <w:r w:rsidR="00561D06" w:rsidRPr="00884FAA">
        <w:t xml:space="preserve"> and </w:t>
      </w:r>
      <w:r w:rsidR="004B4C28" w:rsidRPr="00884FAA">
        <w:t xml:space="preserve">as </w:t>
      </w:r>
      <w:r w:rsidR="00561D06" w:rsidRPr="00884FAA">
        <w:t xml:space="preserve">diverting them </w:t>
      </w:r>
      <w:r w:rsidR="00AD0126" w:rsidRPr="00884FAA">
        <w:t>away from a community-controlled model of care.</w:t>
      </w:r>
    </w:p>
    <w:p w14:paraId="5D27332C" w14:textId="58B682F3" w:rsidR="002F01B8" w:rsidRPr="00A1178E" w:rsidRDefault="004B4C28" w:rsidP="004A01EA">
      <w:pPr>
        <w:pStyle w:val="Quote"/>
        <w:spacing w:after="0"/>
        <w:rPr>
          <w:color w:val="18525E" w:themeColor="accent5" w:themeShade="80"/>
        </w:rPr>
      </w:pPr>
      <w:r w:rsidRPr="00A1178E">
        <w:rPr>
          <w:color w:val="18525E" w:themeColor="accent5" w:themeShade="80"/>
        </w:rPr>
        <w:t>I</w:t>
      </w:r>
      <w:r w:rsidR="002F01B8" w:rsidRPr="00A1178E">
        <w:rPr>
          <w:color w:val="18525E" w:themeColor="accent5" w:themeShade="80"/>
        </w:rPr>
        <w:t>t's more about the care of community that lacks because of the funding, because we've kind of got to run off a business model rather than a community</w:t>
      </w:r>
      <w:r w:rsidRPr="00A1178E">
        <w:rPr>
          <w:color w:val="18525E" w:themeColor="accent5" w:themeShade="80"/>
        </w:rPr>
        <w:t>-</w:t>
      </w:r>
      <w:r w:rsidR="002F01B8" w:rsidRPr="00A1178E">
        <w:rPr>
          <w:color w:val="18525E" w:themeColor="accent5" w:themeShade="80"/>
        </w:rPr>
        <w:t>controlled model now. It's actually taken away, you know community used to be able to access us, now they can't even get into appointments because we have so many non</w:t>
      </w:r>
      <w:r w:rsidRPr="00A1178E">
        <w:rPr>
          <w:color w:val="18525E" w:themeColor="accent5" w:themeShade="80"/>
        </w:rPr>
        <w:t>-</w:t>
      </w:r>
      <w:r w:rsidR="002F01B8" w:rsidRPr="00A1178E">
        <w:rPr>
          <w:color w:val="18525E" w:themeColor="accent5" w:themeShade="80"/>
        </w:rPr>
        <w:t>Aboriginal people use the service, because that's what we have to have to run the clinic. Because if we don't have our appointment spots full, we make no money and we'll have to close.</w:t>
      </w:r>
    </w:p>
    <w:p w14:paraId="4E65CC9A" w14:textId="6295968E" w:rsidR="008B7764" w:rsidRPr="001A5241" w:rsidRDefault="008B7764" w:rsidP="001D628C">
      <w:pPr>
        <w:spacing w:before="120"/>
        <w:jc w:val="right"/>
        <w:rPr>
          <w:b/>
        </w:rPr>
      </w:pPr>
      <w:r w:rsidRPr="001A5241">
        <w:rPr>
          <w:b/>
        </w:rPr>
        <w:t xml:space="preserve">ACCHS, Regional location </w:t>
      </w:r>
    </w:p>
    <w:p w14:paraId="6A43809F" w14:textId="6DFFD45C" w:rsidR="002F01B8" w:rsidRPr="00884FAA" w:rsidRDefault="00F243C3" w:rsidP="00F37450">
      <w:r w:rsidRPr="00884FAA">
        <w:t xml:space="preserve">This leaves ACCHSs to work out ways to </w:t>
      </w:r>
      <w:r w:rsidR="004F76D7" w:rsidRPr="00884FAA">
        <w:t>‘juggle’ between behaving like a business to gain access to funding</w:t>
      </w:r>
      <w:r w:rsidR="004258FD" w:rsidRPr="00884FAA">
        <w:t xml:space="preserve">, and providing a service based on </w:t>
      </w:r>
      <w:r w:rsidR="00174D6A" w:rsidRPr="00884FAA">
        <w:t>communities</w:t>
      </w:r>
      <w:r w:rsidR="005D71C7" w:rsidRPr="00884FAA">
        <w:t>’</w:t>
      </w:r>
      <w:r w:rsidR="00174D6A" w:rsidRPr="00884FAA">
        <w:t xml:space="preserve"> values and worldviews.</w:t>
      </w:r>
      <w:r w:rsidR="00CC7DF8" w:rsidRPr="00884FAA">
        <w:t xml:space="preserve"> ACCHS and PHN staff discussed the challenges this presented</w:t>
      </w:r>
      <w:r w:rsidR="0091454E" w:rsidRPr="00884FAA">
        <w:t xml:space="preserve"> for ACCHSs</w:t>
      </w:r>
      <w:r w:rsidR="00B702F5" w:rsidRPr="00884FAA">
        <w:t xml:space="preserve"> </w:t>
      </w:r>
      <w:r w:rsidR="00CB5B16" w:rsidRPr="00884FAA">
        <w:t>–</w:t>
      </w:r>
      <w:r w:rsidR="00B702F5" w:rsidRPr="00884FAA">
        <w:t xml:space="preserve"> </w:t>
      </w:r>
      <w:r w:rsidR="00CB5B16" w:rsidRPr="00884FAA">
        <w:t xml:space="preserve">having </w:t>
      </w:r>
      <w:r w:rsidR="001B622B" w:rsidRPr="00884FAA">
        <w:t>everything set by time, with no time for walk-ins or yarning to clients</w:t>
      </w:r>
      <w:r w:rsidR="00886477" w:rsidRPr="00884FAA">
        <w:t xml:space="preserve">. This approach was </w:t>
      </w:r>
      <w:r w:rsidR="00AB3F0E" w:rsidRPr="00884FAA">
        <w:t xml:space="preserve">seen as </w:t>
      </w:r>
      <w:r w:rsidR="00886477" w:rsidRPr="00884FAA">
        <w:t xml:space="preserve">at odds with </w:t>
      </w:r>
      <w:r w:rsidR="00AB3F0E" w:rsidRPr="00884FAA">
        <w:t>the approach Aboriginal health workers and practitioners were trained for</w:t>
      </w:r>
      <w:r w:rsidR="00C80B3D" w:rsidRPr="00884FAA">
        <w:t xml:space="preserve">. Participants reported </w:t>
      </w:r>
      <w:r w:rsidR="007A1785" w:rsidRPr="00884FAA">
        <w:t xml:space="preserve">impacts </w:t>
      </w:r>
      <w:r w:rsidR="00FB7381" w:rsidRPr="00884FAA">
        <w:t xml:space="preserve">from operating in this dual space, including </w:t>
      </w:r>
      <w:r w:rsidR="00564A7A" w:rsidRPr="00884FAA">
        <w:t xml:space="preserve">staff feeling disenfranchised and burnt out, </w:t>
      </w:r>
      <w:r w:rsidR="002819FC" w:rsidRPr="00884FAA">
        <w:t xml:space="preserve">and struggling to balance budgets with </w:t>
      </w:r>
      <w:r w:rsidR="002F01B8" w:rsidRPr="00884FAA">
        <w:t>community needs.</w:t>
      </w:r>
    </w:p>
    <w:p w14:paraId="76870933" w14:textId="4C1ACA7C" w:rsidR="00951378" w:rsidRPr="00884FAA" w:rsidRDefault="001C6F24" w:rsidP="00F37450">
      <w:r w:rsidRPr="00884FAA">
        <w:t xml:space="preserve">One participant described the </w:t>
      </w:r>
      <w:r w:rsidR="00544567" w:rsidRPr="00884FAA">
        <w:t xml:space="preserve">IAHP as operating within a </w:t>
      </w:r>
      <w:r w:rsidR="002621D8" w:rsidRPr="00884FAA">
        <w:t xml:space="preserve">funding </w:t>
      </w:r>
      <w:r w:rsidR="00544567" w:rsidRPr="00884FAA">
        <w:t xml:space="preserve">system where the government and ACCHSs </w:t>
      </w:r>
      <w:r w:rsidR="002621D8" w:rsidRPr="00884FAA">
        <w:t>have a service-led relationship, based</w:t>
      </w:r>
      <w:r w:rsidR="002F01B8" w:rsidRPr="00884FAA">
        <w:t xml:space="preserve"> on money, grant contracts</w:t>
      </w:r>
      <w:r w:rsidR="000B4FCA" w:rsidRPr="00884FAA">
        <w:t>,</w:t>
      </w:r>
      <w:r w:rsidR="002F01B8" w:rsidRPr="00884FAA">
        <w:t xml:space="preserve"> and reporting</w:t>
      </w:r>
      <w:r w:rsidR="002621D8" w:rsidRPr="00884FAA">
        <w:t>.</w:t>
      </w:r>
      <w:r w:rsidR="00951378" w:rsidRPr="00884FAA">
        <w:t xml:space="preserve"> They noted that this had turned away from a relationship based on ad</w:t>
      </w:r>
      <w:r w:rsidR="002F01B8" w:rsidRPr="00884FAA">
        <w:t>vocacy and partnership.</w:t>
      </w:r>
    </w:p>
    <w:p w14:paraId="3AAA3445" w14:textId="0946EAE2" w:rsidR="002F01B8" w:rsidRPr="00A1178E" w:rsidRDefault="002F01B8" w:rsidP="004A01EA">
      <w:pPr>
        <w:pStyle w:val="Quote"/>
        <w:spacing w:after="0"/>
        <w:rPr>
          <w:color w:val="18525E" w:themeColor="accent5" w:themeShade="80"/>
        </w:rPr>
      </w:pPr>
      <w:r w:rsidRPr="00A1178E">
        <w:rPr>
          <w:color w:val="18525E" w:themeColor="accent5" w:themeShade="80"/>
        </w:rPr>
        <w:t xml:space="preserve">Many organisations are trapped in a very confined service paradigm </w:t>
      </w:r>
      <w:r w:rsidR="007F3ECA" w:rsidRPr="00A1178E">
        <w:rPr>
          <w:color w:val="18525E" w:themeColor="accent5" w:themeShade="80"/>
        </w:rPr>
        <w:t>[</w:t>
      </w:r>
      <w:r w:rsidRPr="00A1178E">
        <w:rPr>
          <w:color w:val="18525E" w:themeColor="accent5" w:themeShade="80"/>
        </w:rPr>
        <w:t>because they need money</w:t>
      </w:r>
      <w:r w:rsidR="007F3ECA" w:rsidRPr="00A1178E">
        <w:rPr>
          <w:color w:val="18525E" w:themeColor="accent5" w:themeShade="80"/>
        </w:rPr>
        <w:t>]</w:t>
      </w:r>
      <w:r w:rsidRPr="00A1178E">
        <w:rPr>
          <w:color w:val="18525E" w:themeColor="accent5" w:themeShade="80"/>
        </w:rPr>
        <w:t>.</w:t>
      </w:r>
    </w:p>
    <w:p w14:paraId="2A3E6ACE" w14:textId="7F6FFE09" w:rsidR="008B7764" w:rsidRPr="002A0411" w:rsidRDefault="00D56D2B" w:rsidP="002A0411">
      <w:pPr>
        <w:jc w:val="right"/>
        <w:rPr>
          <w:b/>
          <w:bCs/>
        </w:rPr>
      </w:pPr>
      <w:r>
        <w:rPr>
          <w:b/>
          <w:bCs/>
        </w:rPr>
        <w:t xml:space="preserve">Staff member, </w:t>
      </w:r>
      <w:r w:rsidR="008B7764" w:rsidRPr="002A0411">
        <w:rPr>
          <w:b/>
          <w:bCs/>
        </w:rPr>
        <w:t xml:space="preserve">National Indigenous Australians Agency </w:t>
      </w:r>
    </w:p>
    <w:p w14:paraId="2B283B07" w14:textId="75F44AB3" w:rsidR="00ED722F" w:rsidRPr="00884FAA" w:rsidRDefault="00964F1B" w:rsidP="005A64F4">
      <w:r w:rsidRPr="00884FAA">
        <w:t xml:space="preserve">An ACCHS manager </w:t>
      </w:r>
      <w:r w:rsidR="0082739B" w:rsidRPr="00884FAA">
        <w:t xml:space="preserve">reflected on accountability </w:t>
      </w:r>
      <w:r w:rsidR="006C397E" w:rsidRPr="00884FAA">
        <w:t xml:space="preserve">processes </w:t>
      </w:r>
      <w:r w:rsidR="00E43030" w:rsidRPr="00884FAA">
        <w:t xml:space="preserve">directed at governments </w:t>
      </w:r>
      <w:r w:rsidR="005549E3" w:rsidRPr="00884FAA">
        <w:t xml:space="preserve">and the corresponding apparent absence of value placed on </w:t>
      </w:r>
      <w:r w:rsidR="00594F5A" w:rsidRPr="00884FAA">
        <w:t xml:space="preserve">accountability to community and </w:t>
      </w:r>
      <w:r w:rsidR="0064198E" w:rsidRPr="00884FAA">
        <w:t xml:space="preserve">clients. </w:t>
      </w:r>
      <w:r w:rsidR="004F24AC" w:rsidRPr="00884FAA">
        <w:t xml:space="preserve">They </w:t>
      </w:r>
      <w:r w:rsidR="00EC4E99" w:rsidRPr="00884FAA">
        <w:t xml:space="preserve">spoke </w:t>
      </w:r>
      <w:r w:rsidR="0013223E" w:rsidRPr="00884FAA">
        <w:t>of being seen</w:t>
      </w:r>
      <w:r w:rsidR="00A76E6E" w:rsidRPr="00884FAA">
        <w:t xml:space="preserve"> ‘just as a provider’ and </w:t>
      </w:r>
      <w:r w:rsidR="00B56D5C" w:rsidRPr="00884FAA">
        <w:t xml:space="preserve">this missed </w:t>
      </w:r>
      <w:r w:rsidR="00436D4E" w:rsidRPr="00884FAA">
        <w:t xml:space="preserve">the fundamental difference </w:t>
      </w:r>
      <w:r w:rsidR="00436D4E" w:rsidRPr="00884FAA">
        <w:lastRenderedPageBreak/>
        <w:t>between a community-controlled organisation and a mainstream provider</w:t>
      </w:r>
      <w:r w:rsidR="00B52A52" w:rsidRPr="00884FAA">
        <w:t xml:space="preserve">. </w:t>
      </w:r>
      <w:r w:rsidR="00926821" w:rsidRPr="00884FAA">
        <w:t xml:space="preserve">They also </w:t>
      </w:r>
      <w:r w:rsidR="00A35527" w:rsidRPr="00884FAA">
        <w:t>suggested the need for a KPI</w:t>
      </w:r>
      <w:r w:rsidR="00C63292" w:rsidRPr="00884FAA">
        <w:t xml:space="preserve"> </w:t>
      </w:r>
      <w:r w:rsidR="007E1EED" w:rsidRPr="00884FAA">
        <w:t>to reflect the value of</w:t>
      </w:r>
      <w:r w:rsidR="00436D4E" w:rsidRPr="00884FAA">
        <w:t xml:space="preserve"> </w:t>
      </w:r>
      <w:r w:rsidR="00D13F95" w:rsidRPr="00884FAA">
        <w:t>community</w:t>
      </w:r>
      <w:r w:rsidR="007E1EED" w:rsidRPr="00884FAA">
        <w:t>-</w:t>
      </w:r>
      <w:r w:rsidR="00D13F95" w:rsidRPr="00884FAA">
        <w:t>control</w:t>
      </w:r>
      <w:r w:rsidR="007E1EED" w:rsidRPr="00884FAA">
        <w:t>.</w:t>
      </w:r>
    </w:p>
    <w:p w14:paraId="2A915422" w14:textId="457B63DE" w:rsidR="00653CFF" w:rsidRPr="00A1178E" w:rsidRDefault="000E0505" w:rsidP="002A0411">
      <w:pPr>
        <w:pStyle w:val="Quote"/>
        <w:spacing w:after="0"/>
        <w:rPr>
          <w:color w:val="18525E" w:themeColor="accent5" w:themeShade="80"/>
        </w:rPr>
      </w:pPr>
      <w:r w:rsidRPr="00A1178E">
        <w:rPr>
          <w:iCs w:val="0"/>
          <w:color w:val="18525E" w:themeColor="accent5" w:themeShade="80"/>
        </w:rPr>
        <w:t>…</w:t>
      </w:r>
      <w:r w:rsidR="00B21AF7" w:rsidRPr="00A1178E">
        <w:rPr>
          <w:color w:val="18525E" w:themeColor="accent5" w:themeShade="80"/>
        </w:rPr>
        <w:t xml:space="preserve"> community control in itself is supposed to be an intervention</w:t>
      </w:r>
      <w:r w:rsidR="00EF2CA6" w:rsidRPr="00A1178E">
        <w:rPr>
          <w:color w:val="18525E" w:themeColor="accent5" w:themeShade="80"/>
        </w:rPr>
        <w:t xml:space="preserve"> …. </w:t>
      </w:r>
      <w:r w:rsidR="0087669C" w:rsidRPr="00A1178E">
        <w:rPr>
          <w:color w:val="18525E" w:themeColor="accent5" w:themeShade="80"/>
        </w:rPr>
        <w:t>The fact that people can control and run services is something there's this extra kind of element and there's no KPI for that</w:t>
      </w:r>
      <w:r w:rsidR="00364339" w:rsidRPr="00A1178E">
        <w:rPr>
          <w:iCs w:val="0"/>
          <w:color w:val="18525E" w:themeColor="accent5" w:themeShade="80"/>
        </w:rPr>
        <w:t xml:space="preserve"> ….</w:t>
      </w:r>
      <w:r w:rsidR="0087669C" w:rsidRPr="00A1178E">
        <w:rPr>
          <w:iCs w:val="0"/>
          <w:color w:val="18525E" w:themeColor="accent5" w:themeShade="80"/>
        </w:rPr>
        <w:t>.</w:t>
      </w:r>
      <w:r w:rsidR="001A2271" w:rsidRPr="00A1178E">
        <w:rPr>
          <w:color w:val="18525E" w:themeColor="accent5" w:themeShade="80"/>
        </w:rPr>
        <w:t>T</w:t>
      </w:r>
      <w:r w:rsidR="00CB07DE" w:rsidRPr="00A1178E">
        <w:rPr>
          <w:iCs w:val="0"/>
          <w:color w:val="18525E" w:themeColor="accent5" w:themeShade="80"/>
        </w:rPr>
        <w:t>here's</w:t>
      </w:r>
      <w:r w:rsidR="00CB07DE" w:rsidRPr="00A1178E">
        <w:rPr>
          <w:color w:val="18525E" w:themeColor="accent5" w:themeShade="80"/>
        </w:rPr>
        <w:t xml:space="preserve"> no value being placed on the community control KPI</w:t>
      </w:r>
      <w:r w:rsidR="00B96ECA" w:rsidRPr="00A1178E">
        <w:rPr>
          <w:iCs w:val="0"/>
          <w:color w:val="18525E" w:themeColor="accent5" w:themeShade="80"/>
        </w:rPr>
        <w:t xml:space="preserve"> …</w:t>
      </w:r>
      <w:r w:rsidR="00CB07DE" w:rsidRPr="00A1178E">
        <w:rPr>
          <w:iCs w:val="0"/>
          <w:color w:val="18525E" w:themeColor="accent5" w:themeShade="80"/>
        </w:rPr>
        <w:t>.</w:t>
      </w:r>
      <w:r w:rsidR="002A024D" w:rsidRPr="00A1178E">
        <w:rPr>
          <w:color w:val="18525E" w:themeColor="accent5" w:themeShade="80"/>
        </w:rPr>
        <w:t>So we spend less time</w:t>
      </w:r>
      <w:r w:rsidR="001B3262" w:rsidRPr="00A1178E">
        <w:rPr>
          <w:iCs w:val="0"/>
          <w:color w:val="18525E" w:themeColor="accent5" w:themeShade="80"/>
        </w:rPr>
        <w:t>,</w:t>
      </w:r>
      <w:r w:rsidR="002A024D" w:rsidRPr="00A1178E">
        <w:rPr>
          <w:color w:val="18525E" w:themeColor="accent5" w:themeShade="80"/>
        </w:rPr>
        <w:t xml:space="preserve"> I think</w:t>
      </w:r>
      <w:r w:rsidR="00F02E81" w:rsidRPr="00A1178E">
        <w:rPr>
          <w:iCs w:val="0"/>
          <w:color w:val="18525E" w:themeColor="accent5" w:themeShade="80"/>
        </w:rPr>
        <w:t>,</w:t>
      </w:r>
      <w:r w:rsidR="002A024D" w:rsidRPr="00A1178E">
        <w:rPr>
          <w:color w:val="18525E" w:themeColor="accent5" w:themeShade="80"/>
        </w:rPr>
        <w:t xml:space="preserve"> the danger is with our community</w:t>
      </w:r>
      <w:r w:rsidR="00F02E81" w:rsidRPr="00A1178E">
        <w:rPr>
          <w:iCs w:val="0"/>
          <w:color w:val="18525E" w:themeColor="accent5" w:themeShade="80"/>
        </w:rPr>
        <w:t>,</w:t>
      </w:r>
      <w:r w:rsidR="002A024D" w:rsidRPr="00A1178E">
        <w:rPr>
          <w:color w:val="18525E" w:themeColor="accent5" w:themeShade="80"/>
        </w:rPr>
        <w:t xml:space="preserve"> and more time dealing with the needs of public servants.</w:t>
      </w:r>
    </w:p>
    <w:p w14:paraId="433ADB92" w14:textId="37CC529D" w:rsidR="00B058FE" w:rsidRPr="002A0411" w:rsidRDefault="00B058FE" w:rsidP="002A0411">
      <w:pPr>
        <w:jc w:val="right"/>
        <w:rPr>
          <w:b/>
          <w:bCs/>
        </w:rPr>
      </w:pPr>
      <w:r w:rsidRPr="002A0411">
        <w:rPr>
          <w:b/>
          <w:bCs/>
        </w:rPr>
        <w:t>ACCHS, Metropolitan location</w:t>
      </w:r>
    </w:p>
    <w:p w14:paraId="33F7924A" w14:textId="32D02E7B" w:rsidR="007D2D2F" w:rsidRPr="00884FAA" w:rsidRDefault="00F77F21" w:rsidP="00651D06">
      <w:pPr>
        <w:pStyle w:val="Heading3"/>
      </w:pPr>
      <w:bookmarkStart w:id="195" w:name="_Toc128408896"/>
      <w:r w:rsidRPr="00884FAA">
        <w:t>Service a</w:t>
      </w:r>
      <w:r w:rsidR="00A01DB1" w:rsidRPr="00884FAA">
        <w:t xml:space="preserve">utonomy and self-determination </w:t>
      </w:r>
      <w:r w:rsidRPr="00884FAA">
        <w:t xml:space="preserve">can be </w:t>
      </w:r>
      <w:r w:rsidR="00A01DB1" w:rsidRPr="00884FAA">
        <w:t>limited</w:t>
      </w:r>
      <w:r w:rsidR="00D37CFF" w:rsidRPr="00884FAA">
        <w:t xml:space="preserve"> by the </w:t>
      </w:r>
      <w:r w:rsidR="000A5606" w:rsidRPr="00884FAA">
        <w:t>IAHP</w:t>
      </w:r>
    </w:p>
    <w:bookmarkEnd w:id="195"/>
    <w:p w14:paraId="25E30C88" w14:textId="592B31A0" w:rsidR="00DA11E1" w:rsidRPr="00A1178E" w:rsidRDefault="00DA11E1" w:rsidP="002A0411">
      <w:pPr>
        <w:pStyle w:val="Quote"/>
        <w:spacing w:after="0"/>
        <w:rPr>
          <w:color w:val="18525E" w:themeColor="accent5" w:themeShade="80"/>
        </w:rPr>
      </w:pPr>
      <w:r w:rsidRPr="00A1178E">
        <w:rPr>
          <w:color w:val="18525E" w:themeColor="accent5" w:themeShade="80"/>
        </w:rPr>
        <w:t>Let us do what we do. We're the subject matter experts here. We're Aboriginal community control, we know community …. We run a strict, you know, a tight ship here</w:t>
      </w:r>
      <w:r w:rsidR="00C20C26" w:rsidRPr="00A1178E">
        <w:rPr>
          <w:color w:val="18525E" w:themeColor="accent5" w:themeShade="80"/>
        </w:rPr>
        <w:t xml:space="preserve"> …</w:t>
      </w:r>
      <w:r w:rsidRPr="00A1178E">
        <w:rPr>
          <w:color w:val="18525E" w:themeColor="accent5" w:themeShade="80"/>
        </w:rPr>
        <w:t>. We don't have to be constantly having to prove ourselves.</w:t>
      </w:r>
    </w:p>
    <w:p w14:paraId="3FCB6DCD" w14:textId="22A6C7D3" w:rsidR="00344E07" w:rsidRDefault="00344E07" w:rsidP="0027742E">
      <w:pPr>
        <w:spacing w:before="120"/>
        <w:jc w:val="right"/>
        <w:rPr>
          <w:b/>
          <w:bCs/>
        </w:rPr>
      </w:pPr>
      <w:r w:rsidRPr="002A0411">
        <w:rPr>
          <w:b/>
          <w:bCs/>
        </w:rPr>
        <w:t xml:space="preserve">ACCHS, </w:t>
      </w:r>
      <w:r w:rsidR="00E13E10" w:rsidRPr="002A0411">
        <w:rPr>
          <w:b/>
          <w:bCs/>
        </w:rPr>
        <w:t xml:space="preserve">Metropolitan location </w:t>
      </w:r>
    </w:p>
    <w:p w14:paraId="6D669C8F" w14:textId="0C48D6B2" w:rsidR="00AA424B" w:rsidRPr="002A0411" w:rsidRDefault="00633C93" w:rsidP="00AA424B">
      <w:r>
        <w:rPr>
          <w:lang w:val="en-NZ"/>
        </w:rPr>
        <w:t xml:space="preserve">The </w:t>
      </w:r>
      <w:r w:rsidR="000A3542">
        <w:rPr>
          <w:lang w:val="en-NZ"/>
        </w:rPr>
        <w:t>r</w:t>
      </w:r>
      <w:r w:rsidR="00AA424B" w:rsidRPr="00AA424B">
        <w:rPr>
          <w:lang w:val="en-NZ"/>
        </w:rPr>
        <w:t xml:space="preserve">ole of </w:t>
      </w:r>
      <w:r w:rsidR="000A3542">
        <w:rPr>
          <w:lang w:val="en-NZ"/>
        </w:rPr>
        <w:t xml:space="preserve">Aboriginal and Torres Strait Islander </w:t>
      </w:r>
      <w:r w:rsidR="00AA424B" w:rsidRPr="00AA424B">
        <w:rPr>
          <w:lang w:val="en-NZ"/>
        </w:rPr>
        <w:t>community</w:t>
      </w:r>
      <w:r w:rsidR="008903EA">
        <w:rPr>
          <w:lang w:val="en-NZ"/>
        </w:rPr>
        <w:t>-</w:t>
      </w:r>
      <w:r w:rsidR="00AA424B" w:rsidRPr="00AA424B">
        <w:rPr>
          <w:lang w:val="en-NZ"/>
        </w:rPr>
        <w:t xml:space="preserve">controlled </w:t>
      </w:r>
      <w:r w:rsidR="000A3542">
        <w:rPr>
          <w:lang w:val="en-NZ"/>
        </w:rPr>
        <w:t>PHC</w:t>
      </w:r>
      <w:r w:rsidR="00AA424B" w:rsidRPr="00AA424B">
        <w:rPr>
          <w:lang w:val="en-NZ"/>
        </w:rPr>
        <w:t xml:space="preserve"> as an act of self-determination </w:t>
      </w:r>
      <w:r w:rsidR="000A3542">
        <w:rPr>
          <w:lang w:val="en-NZ"/>
        </w:rPr>
        <w:t>is</w:t>
      </w:r>
      <w:r w:rsidR="00AA424B" w:rsidRPr="00AA424B">
        <w:rPr>
          <w:lang w:val="en-NZ"/>
        </w:rPr>
        <w:t xml:space="preserve"> critical</w:t>
      </w:r>
      <w:r w:rsidR="000A3542">
        <w:rPr>
          <w:lang w:val="en-NZ"/>
        </w:rPr>
        <w:t xml:space="preserve"> </w:t>
      </w:r>
      <w:r w:rsidR="00F90714">
        <w:rPr>
          <w:lang w:val="en-NZ"/>
        </w:rPr>
        <w:fldChar w:fldCharType="begin"/>
      </w:r>
      <w:r w:rsidR="00F8760E">
        <w:rPr>
          <w:lang w:val="en-NZ"/>
        </w:rPr>
        <w:instrText xml:space="preserve"> ADDIN ZOTERO_ITEM CSL_CITATION {"citationID":"hgdpx1Yl","properties":{"formattedCitation":"(National Aboriginal Community Controlled Health Organisation, 2021a)","plainCitation":"(National Aboriginal Community Controlled Health Organisation, 2021a)","noteIndex":0},"citationItems":[{"id":3769,"uris":["http://zotero.org/groups/5010721/items/QW6QA8RE",["http://zotero.org/groups/5010721/items/QW6QA8RE"],["http://zotero.org/groups/5010721/items/QW6QA8RE",["http://zotero.org/groups/5010721/items/QW6QA8RE"]]],"itemData":{"id":3769,"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rsidR="00F90714">
        <w:rPr>
          <w:lang w:val="en-NZ"/>
        </w:rPr>
        <w:fldChar w:fldCharType="separate"/>
      </w:r>
      <w:r w:rsidR="00F90714" w:rsidRPr="00F90714">
        <w:rPr>
          <w:rFonts w:ascii="Arial" w:hAnsi="Arial" w:cs="Arial"/>
        </w:rPr>
        <w:t>(National Aboriginal Community Controlled Health Organisation, 2021a)</w:t>
      </w:r>
      <w:r w:rsidR="00F90714">
        <w:rPr>
          <w:lang w:val="en-NZ"/>
        </w:rPr>
        <w:fldChar w:fldCharType="end"/>
      </w:r>
      <w:r w:rsidR="00AA424B" w:rsidRPr="00AA424B">
        <w:rPr>
          <w:lang w:val="en-NZ"/>
        </w:rPr>
        <w:t>.</w:t>
      </w:r>
      <w:r w:rsidR="00F90714">
        <w:rPr>
          <w:lang w:val="en-NZ"/>
        </w:rPr>
        <w:t xml:space="preserve"> </w:t>
      </w:r>
      <w:r w:rsidR="00F35359">
        <w:rPr>
          <w:lang w:val="en-NZ"/>
        </w:rPr>
        <w:t xml:space="preserve">The way that ACCHSs are funded, </w:t>
      </w:r>
      <w:r w:rsidR="00124058">
        <w:rPr>
          <w:lang w:val="en-NZ"/>
        </w:rPr>
        <w:t>l</w:t>
      </w:r>
      <w:r w:rsidR="002B7ADF">
        <w:rPr>
          <w:lang w:val="en-NZ"/>
        </w:rPr>
        <w:t xml:space="preserve">imits </w:t>
      </w:r>
      <w:r w:rsidR="00124058">
        <w:rPr>
          <w:lang w:val="en-NZ"/>
        </w:rPr>
        <w:t xml:space="preserve">health service and community </w:t>
      </w:r>
      <w:r w:rsidR="005A4355">
        <w:rPr>
          <w:lang w:val="en-NZ"/>
        </w:rPr>
        <w:t xml:space="preserve">autonomy and self-determination. </w:t>
      </w:r>
      <w:r w:rsidR="008A496A">
        <w:rPr>
          <w:lang w:val="en-NZ"/>
        </w:rPr>
        <w:t xml:space="preserve">Participants </w:t>
      </w:r>
      <w:r w:rsidR="00D67AE9">
        <w:rPr>
          <w:lang w:val="en-NZ"/>
        </w:rPr>
        <w:t xml:space="preserve">discussed that these limits apply to most funding arrangements, including under the IAHP, although they acknowledged that </w:t>
      </w:r>
      <w:r w:rsidR="00D87C61">
        <w:rPr>
          <w:lang w:val="en-NZ"/>
        </w:rPr>
        <w:t>some arrangements provide for more autonomy than others.</w:t>
      </w:r>
      <w:r w:rsidR="008A496A">
        <w:rPr>
          <w:lang w:val="en-NZ"/>
        </w:rPr>
        <w:t xml:space="preserve"> </w:t>
      </w:r>
    </w:p>
    <w:p w14:paraId="5EB76A08" w14:textId="5ED43430" w:rsidR="002F01B8" w:rsidRPr="00884FAA" w:rsidRDefault="000138A5" w:rsidP="00E81076">
      <w:r w:rsidRPr="00884FAA">
        <w:t>ACCHS</w:t>
      </w:r>
      <w:r w:rsidR="00C626CB" w:rsidRPr="00884FAA">
        <w:t xml:space="preserve"> staff reported</w:t>
      </w:r>
      <w:r w:rsidRPr="00884FAA">
        <w:t xml:space="preserve"> </w:t>
      </w:r>
      <w:r w:rsidR="002F01B8" w:rsidRPr="00884FAA">
        <w:t>feel</w:t>
      </w:r>
      <w:r w:rsidR="00C626CB" w:rsidRPr="00884FAA">
        <w:t>ing</w:t>
      </w:r>
      <w:r w:rsidR="002F01B8" w:rsidRPr="00884FAA">
        <w:t xml:space="preserve"> that they are not given a seat at the table</w:t>
      </w:r>
      <w:r w:rsidR="00F81825" w:rsidRPr="00884FAA">
        <w:t>,</w:t>
      </w:r>
      <w:r w:rsidR="002F01B8" w:rsidRPr="00884FAA">
        <w:t xml:space="preserve"> and that requirements are forced upon them by top-down </w:t>
      </w:r>
      <w:r w:rsidR="00206D6D">
        <w:t xml:space="preserve">program funding </w:t>
      </w:r>
      <w:r w:rsidR="002F01B8" w:rsidRPr="00884FAA">
        <w:t>processes and guidelines that do</w:t>
      </w:r>
      <w:r w:rsidR="00752C97" w:rsidRPr="00884FAA">
        <w:t xml:space="preserve"> not</w:t>
      </w:r>
      <w:r w:rsidR="002F01B8" w:rsidRPr="00884FAA">
        <w:t xml:space="preserve"> </w:t>
      </w:r>
      <w:r w:rsidR="00C77C66" w:rsidRPr="00884FAA">
        <w:t>r</w:t>
      </w:r>
      <w:r w:rsidR="0058692F" w:rsidRPr="00884FAA">
        <w:t>e</w:t>
      </w:r>
      <w:r w:rsidR="00C77C66" w:rsidRPr="00884FAA">
        <w:t>cognise</w:t>
      </w:r>
      <w:r w:rsidR="002F01B8" w:rsidRPr="00884FAA">
        <w:t xml:space="preserve"> </w:t>
      </w:r>
      <w:r w:rsidR="00F57271" w:rsidRPr="00884FAA">
        <w:t xml:space="preserve">Aboriginal and Torres Strait Islander </w:t>
      </w:r>
      <w:r w:rsidR="002F01B8" w:rsidRPr="00884FAA">
        <w:t xml:space="preserve">self-determination and </w:t>
      </w:r>
      <w:r w:rsidR="001028AC" w:rsidRPr="00884FAA">
        <w:t>responsibili</w:t>
      </w:r>
      <w:r w:rsidR="004C2234" w:rsidRPr="00884FAA">
        <w:t xml:space="preserve">ties for </w:t>
      </w:r>
      <w:r w:rsidR="00C469F6" w:rsidRPr="00884FAA">
        <w:t xml:space="preserve">partnerships and </w:t>
      </w:r>
      <w:r w:rsidR="002F01B8" w:rsidRPr="00884FAA">
        <w:t xml:space="preserve">community engagement. </w:t>
      </w:r>
      <w:r w:rsidR="00235CB7" w:rsidRPr="00884FAA">
        <w:t>ACCHS staff</w:t>
      </w:r>
      <w:r w:rsidR="002F01B8" w:rsidRPr="00884FAA">
        <w:t xml:space="preserve"> do not </w:t>
      </w:r>
      <w:r w:rsidR="00F973BC">
        <w:t xml:space="preserve">always </w:t>
      </w:r>
      <w:r w:rsidR="002F01B8" w:rsidRPr="00884FAA">
        <w:t xml:space="preserve">feel trusted and recognised for their particular skills and knowledge in </w:t>
      </w:r>
      <w:r w:rsidR="00F973BC" w:rsidRPr="00884FAA">
        <w:t xml:space="preserve">Aboriginal and Torres Strait Islander </w:t>
      </w:r>
      <w:r w:rsidR="002F01B8" w:rsidRPr="00884FAA">
        <w:t>PHC</w:t>
      </w:r>
      <w:r w:rsidR="00D5475B" w:rsidRPr="00884FAA">
        <w:t>.</w:t>
      </w:r>
    </w:p>
    <w:p w14:paraId="76248B05" w14:textId="7B9737E6" w:rsidR="0044562C" w:rsidRPr="00884FAA" w:rsidRDefault="0044562C" w:rsidP="0044562C">
      <w:r w:rsidRPr="00884FAA">
        <w:t xml:space="preserve">Some ACCHS staff reported that communication with government is not as close and genuine as they would like. They spoke of the need to communicate with many different contract managers, </w:t>
      </w:r>
      <w:r w:rsidR="00DB1403">
        <w:t xml:space="preserve">including for IAHP funding, </w:t>
      </w:r>
      <w:r w:rsidRPr="00884FAA">
        <w:t xml:space="preserve">across different departments, and with high staff turnover it is hard to keep track of who is in charge of what. </w:t>
      </w:r>
    </w:p>
    <w:p w14:paraId="72F63D38" w14:textId="207D872B" w:rsidR="0044562C" w:rsidRPr="00A1178E" w:rsidRDefault="0044562C" w:rsidP="002A0411">
      <w:pPr>
        <w:pStyle w:val="Quote"/>
        <w:spacing w:after="0"/>
        <w:rPr>
          <w:iCs w:val="0"/>
          <w:color w:val="18525E" w:themeColor="accent5" w:themeShade="80"/>
        </w:rPr>
      </w:pPr>
      <w:r w:rsidRPr="00A1178E">
        <w:rPr>
          <w:iCs w:val="0"/>
          <w:color w:val="18525E" w:themeColor="accent5" w:themeShade="80"/>
        </w:rPr>
        <w:t>Every contract it seems has a different contract manager. And they change all the time and then there's also the financial contract manager and then you'll sometimes find somebody else as well. So it's almost, it's really hard for us to keep up to speed on who the right people to contact is.</w:t>
      </w:r>
    </w:p>
    <w:p w14:paraId="5A1E9A99" w14:textId="4866C3C2" w:rsidR="00875B29" w:rsidRPr="002A0411" w:rsidRDefault="00875B29" w:rsidP="002A0411">
      <w:pPr>
        <w:jc w:val="right"/>
        <w:rPr>
          <w:b/>
          <w:bCs/>
        </w:rPr>
      </w:pPr>
      <w:r w:rsidRPr="002A0411">
        <w:rPr>
          <w:b/>
          <w:bCs/>
        </w:rPr>
        <w:t xml:space="preserve">ACCHS, Remote location </w:t>
      </w:r>
    </w:p>
    <w:p w14:paraId="41F71E25" w14:textId="77777777" w:rsidR="00F451BF" w:rsidRPr="00884FAA" w:rsidRDefault="00F451BF" w:rsidP="00F451BF">
      <w:r w:rsidRPr="00884FAA">
        <w:t>One PHN has moved to area-based commissioning managers so ACCHSs have a single point of contact. In another evaluation site the ACCHS had invited the PHN manager out to visit the service and better understand what they do. This had fostered a better relationship.</w:t>
      </w:r>
    </w:p>
    <w:p w14:paraId="404C522D" w14:textId="77777777" w:rsidR="00F451BF" w:rsidRPr="00A1178E" w:rsidRDefault="00F451BF" w:rsidP="00F451BF">
      <w:pPr>
        <w:pStyle w:val="Quote"/>
        <w:spacing w:after="0"/>
        <w:rPr>
          <w:color w:val="18525E" w:themeColor="accent5" w:themeShade="80"/>
        </w:rPr>
      </w:pPr>
      <w:r w:rsidRPr="00A1178E">
        <w:rPr>
          <w:color w:val="18525E" w:themeColor="accent5" w:themeShade="80"/>
        </w:rPr>
        <w:lastRenderedPageBreak/>
        <w:t>They've gotten better as far as helping us determine or letting us determine what we need. They're getting better. Because 4 or 5 years ago, the reports used to just bounce back, bounce back, bounce back, bounce back ….  we were saying, look, I turn around and look send your project officer down here instead of emails emails send them down here. Go out with the team or chronic disease team whoever or whatever service agreements we got and who they sit with get the project officer to come out, visit, go out with the teams, see what they do. They can read between the lines. Because in an email you can't communicate properly until you explain what the program is. But if the person comes out and spends more time on the ground having that partnership relationship with the project team, you get better outcomes.</w:t>
      </w:r>
    </w:p>
    <w:p w14:paraId="4AF94EEE" w14:textId="77777777" w:rsidR="00F451BF" w:rsidRPr="002A0411" w:rsidRDefault="00F451BF" w:rsidP="00F451BF">
      <w:pPr>
        <w:jc w:val="right"/>
        <w:rPr>
          <w:b/>
          <w:bCs/>
        </w:rPr>
      </w:pPr>
      <w:r w:rsidRPr="002A0411">
        <w:rPr>
          <w:b/>
          <w:bCs/>
        </w:rPr>
        <w:t xml:space="preserve">ACCHS, Remote location </w:t>
      </w:r>
    </w:p>
    <w:p w14:paraId="674E3B9D" w14:textId="2D55EBB4" w:rsidR="00873337" w:rsidRPr="00884FAA" w:rsidRDefault="00322792" w:rsidP="00AB7517">
      <w:pPr>
        <w:rPr>
          <w:i/>
        </w:rPr>
      </w:pPr>
      <w:r w:rsidRPr="00884FAA">
        <w:t xml:space="preserve">Having greater flexibility and authority over </w:t>
      </w:r>
      <w:r w:rsidR="00710987" w:rsidRPr="00884FAA">
        <w:t xml:space="preserve">how funding </w:t>
      </w:r>
      <w:r w:rsidR="00FD7F22" w:rsidRPr="00884FAA">
        <w:t xml:space="preserve">programs are designed and implemented </w:t>
      </w:r>
      <w:r w:rsidR="001B7D8C" w:rsidRPr="00884FAA">
        <w:t xml:space="preserve">is considered </w:t>
      </w:r>
      <w:r w:rsidR="007E6773" w:rsidRPr="00884FAA">
        <w:t xml:space="preserve">key to </w:t>
      </w:r>
      <w:r w:rsidR="00B9794C" w:rsidRPr="00884FAA">
        <w:t xml:space="preserve">working in partnership with government and </w:t>
      </w:r>
      <w:r w:rsidR="00FF727F" w:rsidRPr="00884FAA">
        <w:t xml:space="preserve">supporting self-determination. </w:t>
      </w:r>
      <w:r w:rsidR="00AB7517" w:rsidRPr="00884FAA">
        <w:t xml:space="preserve">ACCHSs </w:t>
      </w:r>
      <w:r w:rsidR="00CF1509">
        <w:t>contributing to the evaluation</w:t>
      </w:r>
      <w:r w:rsidR="00CF1509" w:rsidRPr="00884FAA">
        <w:t xml:space="preserve"> </w:t>
      </w:r>
      <w:r w:rsidR="00AB7517" w:rsidRPr="00884FAA">
        <w:t>said they want</w:t>
      </w:r>
      <w:r w:rsidR="00A10F39" w:rsidRPr="00884FAA">
        <w:t xml:space="preserve"> government to sit down with them</w:t>
      </w:r>
      <w:r w:rsidR="001E08EA" w:rsidRPr="00884FAA">
        <w:t xml:space="preserve"> before prescribing </w:t>
      </w:r>
      <w:r w:rsidR="0002243B" w:rsidRPr="00884FAA">
        <w:t>what a program would look like</w:t>
      </w:r>
      <w:r w:rsidR="00677E59" w:rsidRPr="00884FAA">
        <w:t xml:space="preserve">, </w:t>
      </w:r>
      <w:r w:rsidR="00AB7517" w:rsidRPr="00884FAA">
        <w:t xml:space="preserve">and work in ways that are </w:t>
      </w:r>
      <w:r w:rsidR="00677E59" w:rsidRPr="00884FAA">
        <w:t>more collaborative and relational</w:t>
      </w:r>
      <w:r w:rsidR="00AB7517" w:rsidRPr="00884FAA">
        <w:t>.</w:t>
      </w:r>
      <w:r w:rsidR="001C5730" w:rsidRPr="00884FAA">
        <w:t xml:space="preserve"> </w:t>
      </w:r>
    </w:p>
    <w:p w14:paraId="62614648" w14:textId="7469E214" w:rsidR="002F01B8" w:rsidRPr="00A1178E" w:rsidRDefault="002F01B8" w:rsidP="002A0411">
      <w:pPr>
        <w:pStyle w:val="Quote"/>
        <w:spacing w:after="0"/>
        <w:rPr>
          <w:color w:val="18525E" w:themeColor="accent5" w:themeShade="80"/>
        </w:rPr>
      </w:pPr>
      <w:r w:rsidRPr="00A1178E">
        <w:rPr>
          <w:color w:val="18525E" w:themeColor="accent5" w:themeShade="80"/>
        </w:rPr>
        <w:t>…having more flexibility around or input around how the funding might be divvied up or expenditure wise [is key]. So how we see we live, we breathe community and the clients we work with so we know what's best for our mob in community. So as I say, you know, the recent Closing the Gap refresh, you know, do with us, not for us. So I guess</w:t>
      </w:r>
      <w:r w:rsidR="003276A1" w:rsidRPr="00A1178E">
        <w:rPr>
          <w:color w:val="18525E" w:themeColor="accent5" w:themeShade="80"/>
        </w:rPr>
        <w:t xml:space="preserve"> …</w:t>
      </w:r>
      <w:r w:rsidRPr="00A1178E">
        <w:rPr>
          <w:color w:val="18525E" w:themeColor="accent5" w:themeShade="80"/>
        </w:rPr>
        <w:t xml:space="preserve"> along those lines </w:t>
      </w:r>
      <w:r w:rsidR="00DC5AFF" w:rsidRPr="00A1178E">
        <w:rPr>
          <w:color w:val="18525E" w:themeColor="accent5" w:themeShade="80"/>
        </w:rPr>
        <w:t xml:space="preserve">… </w:t>
      </w:r>
      <w:r w:rsidRPr="00A1178E">
        <w:rPr>
          <w:color w:val="18525E" w:themeColor="accent5" w:themeShade="80"/>
        </w:rPr>
        <w:t>have more conversations with the ACCHO</w:t>
      </w:r>
      <w:r w:rsidR="006F5182" w:rsidRPr="00A1178E">
        <w:rPr>
          <w:color w:val="18525E" w:themeColor="accent5" w:themeShade="80"/>
        </w:rPr>
        <w:t>s</w:t>
      </w:r>
      <w:r w:rsidRPr="00A1178E">
        <w:rPr>
          <w:color w:val="18525E" w:themeColor="accent5" w:themeShade="80"/>
        </w:rPr>
        <w:t xml:space="preserve"> and those that are managing the program a</w:t>
      </w:r>
      <w:r w:rsidR="00CA2098" w:rsidRPr="00A1178E">
        <w:rPr>
          <w:color w:val="18525E" w:themeColor="accent5" w:themeShade="80"/>
        </w:rPr>
        <w:t>bout</w:t>
      </w:r>
      <w:r w:rsidRPr="00A1178E">
        <w:rPr>
          <w:color w:val="18525E" w:themeColor="accent5" w:themeShade="80"/>
        </w:rPr>
        <w:t xml:space="preserve"> what works best for us on the ground and in community. </w:t>
      </w:r>
    </w:p>
    <w:p w14:paraId="14DA8381" w14:textId="3FCE77CB" w:rsidR="00A375CF" w:rsidRPr="002A0411" w:rsidRDefault="00A375CF" w:rsidP="00AE273D">
      <w:pPr>
        <w:spacing w:before="120"/>
        <w:jc w:val="right"/>
        <w:rPr>
          <w:b/>
          <w:bCs/>
        </w:rPr>
      </w:pPr>
      <w:r w:rsidRPr="002A0411">
        <w:rPr>
          <w:b/>
          <w:bCs/>
        </w:rPr>
        <w:t xml:space="preserve">ACCHS, Remote location </w:t>
      </w:r>
    </w:p>
    <w:p w14:paraId="4006A415" w14:textId="66C6ABE6" w:rsidR="00436216" w:rsidRDefault="00EA51F7" w:rsidP="00BD3DD0">
      <w:r w:rsidRPr="00884FAA">
        <w:t xml:space="preserve">While participants acknowledged greater flexibility with </w:t>
      </w:r>
      <w:r w:rsidR="00D33C25" w:rsidRPr="00884FAA">
        <w:t>t</w:t>
      </w:r>
      <w:r w:rsidRPr="00884FAA">
        <w:t xml:space="preserve">he IAHP </w:t>
      </w:r>
      <w:r w:rsidR="000F7ACE">
        <w:t>PHC Program</w:t>
      </w:r>
      <w:r w:rsidR="00B82D6A" w:rsidRPr="00884FAA">
        <w:t xml:space="preserve">, other IAHP programs were </w:t>
      </w:r>
      <w:r w:rsidR="00BC70C7" w:rsidRPr="00884FAA">
        <w:t xml:space="preserve">singled out as being overly rigid. </w:t>
      </w:r>
      <w:r w:rsidR="000F3C17" w:rsidRPr="00884FAA">
        <w:t xml:space="preserve">For example, </w:t>
      </w:r>
      <w:r w:rsidR="00E040EB" w:rsidRPr="00884FAA">
        <w:t xml:space="preserve">ACCHS staff commented on </w:t>
      </w:r>
      <w:r w:rsidR="00E45A19" w:rsidRPr="00884FAA">
        <w:t>not being able to do one</w:t>
      </w:r>
      <w:r w:rsidR="00557916" w:rsidRPr="00884FAA">
        <w:t xml:space="preserve"> to one </w:t>
      </w:r>
      <w:r w:rsidR="00152796" w:rsidRPr="00884FAA">
        <w:t>consultations with clients under their TIS program funding</w:t>
      </w:r>
      <w:r w:rsidR="003C3027" w:rsidRPr="00884FAA">
        <w:t xml:space="preserve"> </w:t>
      </w:r>
      <w:r w:rsidR="0022257E" w:rsidRPr="00884FAA">
        <w:t xml:space="preserve">despite this </w:t>
      </w:r>
      <w:r w:rsidR="00EC5CC2" w:rsidRPr="00884FAA">
        <w:t xml:space="preserve">delivering better quit outcomes for their clients. </w:t>
      </w:r>
      <w:r w:rsidR="00A461E6" w:rsidRPr="00884FAA">
        <w:t>A</w:t>
      </w:r>
      <w:r w:rsidR="00E309CE" w:rsidRPr="00884FAA">
        <w:t xml:space="preserve">nother ACCHS </w:t>
      </w:r>
      <w:r w:rsidR="006D2FAF" w:rsidRPr="00884FAA">
        <w:t xml:space="preserve">participant </w:t>
      </w:r>
      <w:r w:rsidR="000B5117" w:rsidRPr="00884FAA">
        <w:t>spoke about restrictions with the ANFPP</w:t>
      </w:r>
      <w:r w:rsidR="008F09E1" w:rsidRPr="00884FAA">
        <w:t xml:space="preserve">, such as only being able to </w:t>
      </w:r>
      <w:r w:rsidR="006B247C" w:rsidRPr="00884FAA">
        <w:t>support first-time mothers</w:t>
      </w:r>
      <w:r w:rsidR="009866F1" w:rsidRPr="00884FAA">
        <w:t xml:space="preserve"> and having to run the c</w:t>
      </w:r>
      <w:r w:rsidR="0054456C" w:rsidRPr="00884FAA">
        <w:t>onsultations in a set way</w:t>
      </w:r>
      <w:r w:rsidR="009866F1" w:rsidRPr="00884FAA">
        <w:t>.</w:t>
      </w:r>
      <w:r w:rsidR="00D315AE" w:rsidRPr="00884FAA">
        <w:t xml:space="preserve"> Similarly, </w:t>
      </w:r>
      <w:r w:rsidR="0057163F" w:rsidRPr="00884FAA">
        <w:t xml:space="preserve">another participant cited </w:t>
      </w:r>
      <w:r w:rsidR="00E95D42" w:rsidRPr="00884FAA">
        <w:t xml:space="preserve">restrictions in </w:t>
      </w:r>
      <w:r w:rsidR="00E75F19" w:rsidRPr="00884FAA">
        <w:t>IAHP funding received for mental health</w:t>
      </w:r>
      <w:r w:rsidR="00492FE3" w:rsidRPr="00884FAA">
        <w:t xml:space="preserve"> which </w:t>
      </w:r>
      <w:r w:rsidR="00EA26C5" w:rsidRPr="00884FAA">
        <w:t xml:space="preserve">targeted clinical treatment </w:t>
      </w:r>
      <w:r w:rsidR="00B420A4" w:rsidRPr="00884FAA">
        <w:t xml:space="preserve">and did not permit </w:t>
      </w:r>
      <w:r w:rsidR="00297F42" w:rsidRPr="00884FAA">
        <w:t xml:space="preserve">early intervention or </w:t>
      </w:r>
      <w:r w:rsidR="00FE06C0" w:rsidRPr="00884FAA">
        <w:t xml:space="preserve">health promotional activities that </w:t>
      </w:r>
      <w:r w:rsidR="002120E8" w:rsidRPr="00884FAA">
        <w:t xml:space="preserve">they considered were vital </w:t>
      </w:r>
      <w:r w:rsidR="00C7557D" w:rsidRPr="00884FAA">
        <w:t>to delivering outcomes.</w:t>
      </w:r>
    </w:p>
    <w:p w14:paraId="7DFC9C26" w14:textId="06480464" w:rsidR="00AB4214" w:rsidRDefault="0088781F" w:rsidP="00BD3DD0">
      <w:r>
        <w:t xml:space="preserve">Participants from the </w:t>
      </w:r>
      <w:r w:rsidR="00107831">
        <w:t>department</w:t>
      </w:r>
      <w:r>
        <w:t xml:space="preserve"> </w:t>
      </w:r>
      <w:r w:rsidR="00CB4B78">
        <w:t>explained</w:t>
      </w:r>
      <w:r>
        <w:t xml:space="preserve"> that </w:t>
      </w:r>
      <w:r w:rsidR="00AC1CDF">
        <w:t>certain IAHP programs, such as the ANFPP</w:t>
      </w:r>
      <w:r w:rsidR="00AA20E7">
        <w:t>,</w:t>
      </w:r>
      <w:r w:rsidR="00CB4B78">
        <w:t xml:space="preserve"> have a level of prescription to </w:t>
      </w:r>
      <w:r w:rsidR="0051782B">
        <w:t>ensure implementation fidelity</w:t>
      </w:r>
      <w:r w:rsidR="00AA20E7">
        <w:t xml:space="preserve">. </w:t>
      </w:r>
      <w:r w:rsidR="00CE6BAF">
        <w:t xml:space="preserve">These programs </w:t>
      </w:r>
      <w:r w:rsidR="003A4BDF">
        <w:t xml:space="preserve">target specific outcomes and </w:t>
      </w:r>
      <w:r w:rsidR="000132DA">
        <w:t xml:space="preserve">it is considered critical that </w:t>
      </w:r>
      <w:r w:rsidR="002D6F52">
        <w:t>the programs be implemented as intended</w:t>
      </w:r>
      <w:r w:rsidR="00DB51DF">
        <w:t xml:space="preserve"> to </w:t>
      </w:r>
      <w:r w:rsidR="00397AF8">
        <w:t>preserve the integrity of the program model.</w:t>
      </w:r>
    </w:p>
    <w:p w14:paraId="474AF7F5" w14:textId="77777777" w:rsidR="00F1302B" w:rsidRDefault="00F1302B">
      <w:pPr>
        <w:jc w:val="left"/>
        <w:rPr>
          <w:b/>
          <w:color w:val="9E6047" w:themeColor="accent3"/>
          <w:kern w:val="28"/>
          <w:sz w:val="32"/>
          <w:szCs w:val="28"/>
          <w:lang w:val="en-GB" w:eastAsia="en-GB"/>
        </w:rPr>
      </w:pPr>
      <w:r>
        <w:br w:type="page"/>
      </w:r>
    </w:p>
    <w:p w14:paraId="0D979247" w14:textId="70249A93" w:rsidR="00853BDA" w:rsidRPr="00884FAA" w:rsidRDefault="00853BDA" w:rsidP="00651D06">
      <w:pPr>
        <w:pStyle w:val="Heading3"/>
      </w:pPr>
      <w:r w:rsidRPr="00884FAA">
        <w:lastRenderedPageBreak/>
        <w:t>Community engagement</w:t>
      </w:r>
      <w:r w:rsidR="00B066E9" w:rsidRPr="00884FAA">
        <w:t xml:space="preserve"> and </w:t>
      </w:r>
      <w:r w:rsidR="00DD05FE" w:rsidRPr="00884FAA">
        <w:t xml:space="preserve">other </w:t>
      </w:r>
      <w:r w:rsidR="00ED076D" w:rsidRPr="00884FAA">
        <w:t>activities</w:t>
      </w:r>
      <w:r w:rsidR="00EA6852" w:rsidRPr="00884FAA">
        <w:t xml:space="preserve"> are not enabled by</w:t>
      </w:r>
      <w:r w:rsidR="00511F22" w:rsidRPr="00884FAA">
        <w:t xml:space="preserve"> the</w:t>
      </w:r>
      <w:r w:rsidR="00EA6852" w:rsidRPr="00884FAA">
        <w:t xml:space="preserve"> IAHP</w:t>
      </w:r>
    </w:p>
    <w:p w14:paraId="10159239" w14:textId="7E882211" w:rsidR="000C4329" w:rsidRPr="00A1178E" w:rsidRDefault="002019A3" w:rsidP="002A0411">
      <w:pPr>
        <w:pStyle w:val="Quote"/>
        <w:spacing w:after="0"/>
        <w:rPr>
          <w:color w:val="18525E" w:themeColor="accent5" w:themeShade="80"/>
        </w:rPr>
      </w:pPr>
      <w:r w:rsidRPr="00A1178E">
        <w:rPr>
          <w:color w:val="18525E" w:themeColor="accent5" w:themeShade="80"/>
        </w:rPr>
        <w:t>Our community pretty much tell us what we need to do</w:t>
      </w:r>
      <w:r w:rsidR="00050A3F" w:rsidRPr="00A1178E">
        <w:rPr>
          <w:color w:val="18525E" w:themeColor="accent5" w:themeShade="80"/>
        </w:rPr>
        <w:t xml:space="preserve"> .</w:t>
      </w:r>
      <w:r w:rsidRPr="00A1178E">
        <w:rPr>
          <w:color w:val="18525E" w:themeColor="accent5" w:themeShade="80"/>
        </w:rPr>
        <w:t>…</w:t>
      </w:r>
      <w:r w:rsidR="00050A3F" w:rsidRPr="00A1178E">
        <w:rPr>
          <w:color w:val="18525E" w:themeColor="accent5" w:themeShade="80"/>
        </w:rPr>
        <w:t xml:space="preserve"> </w:t>
      </w:r>
      <w:r w:rsidRPr="00A1178E">
        <w:rPr>
          <w:color w:val="18525E" w:themeColor="accent5" w:themeShade="80"/>
        </w:rPr>
        <w:t>We are completely open to the community</w:t>
      </w:r>
      <w:r w:rsidR="00107C90" w:rsidRPr="00A1178E">
        <w:rPr>
          <w:color w:val="18525E" w:themeColor="accent5" w:themeShade="80"/>
        </w:rPr>
        <w:t>.</w:t>
      </w:r>
    </w:p>
    <w:p w14:paraId="79D7F0AE" w14:textId="669D0C3C" w:rsidR="00A375CF" w:rsidRPr="002A0411" w:rsidRDefault="00A375CF" w:rsidP="002A0411">
      <w:pPr>
        <w:jc w:val="right"/>
        <w:rPr>
          <w:b/>
          <w:bCs/>
        </w:rPr>
      </w:pPr>
      <w:r w:rsidRPr="002A0411">
        <w:rPr>
          <w:b/>
          <w:bCs/>
        </w:rPr>
        <w:t xml:space="preserve">ACCHS, Metropolitan location </w:t>
      </w:r>
    </w:p>
    <w:p w14:paraId="5CC25CE2" w14:textId="72D77199" w:rsidR="00016B2B" w:rsidRPr="00884FAA" w:rsidRDefault="00B541C4" w:rsidP="000C4329">
      <w:r w:rsidRPr="00884FAA">
        <w:t xml:space="preserve">ACCHSs and government </w:t>
      </w:r>
      <w:r w:rsidR="00153937" w:rsidRPr="00884FAA">
        <w:t xml:space="preserve">primary care clinics </w:t>
      </w:r>
      <w:r w:rsidR="00C15DAD" w:rsidRPr="00884FAA">
        <w:t xml:space="preserve">use a mix of formal and informal mechanisms to </w:t>
      </w:r>
      <w:r w:rsidR="00B20C11" w:rsidRPr="00884FAA">
        <w:t xml:space="preserve">engage with their communities. </w:t>
      </w:r>
      <w:r w:rsidR="00172BBF" w:rsidRPr="00884FAA">
        <w:t>While the evaluation did not exam</w:t>
      </w:r>
      <w:r w:rsidR="00C94142" w:rsidRPr="00884FAA">
        <w:t>ine these mechanisms in detail</w:t>
      </w:r>
      <w:r w:rsidR="000829C6" w:rsidRPr="00884FAA">
        <w:t xml:space="preserve">, </w:t>
      </w:r>
      <w:r w:rsidR="00FA2946" w:rsidRPr="00884FAA">
        <w:t>the evaluation</w:t>
      </w:r>
      <w:r w:rsidR="00E8117A" w:rsidRPr="00884FAA">
        <w:t xml:space="preserve"> team </w:t>
      </w:r>
      <w:r w:rsidR="00B955F0" w:rsidRPr="00884FAA">
        <w:t>observe</w:t>
      </w:r>
      <w:r w:rsidR="00E8117A" w:rsidRPr="00884FAA">
        <w:t>d</w:t>
      </w:r>
      <w:r w:rsidR="00B955F0" w:rsidRPr="00884FAA">
        <w:t xml:space="preserve"> a range of </w:t>
      </w:r>
      <w:r w:rsidR="004002B5" w:rsidRPr="00884FAA">
        <w:t xml:space="preserve">examples of community engagement – </w:t>
      </w:r>
      <w:r w:rsidR="00235D34" w:rsidRPr="00884FAA">
        <w:t xml:space="preserve">both </w:t>
      </w:r>
      <w:r w:rsidR="00E27B78" w:rsidRPr="00884FAA">
        <w:t>things that were working well</w:t>
      </w:r>
      <w:r w:rsidR="00235D34" w:rsidRPr="00884FAA">
        <w:t xml:space="preserve"> </w:t>
      </w:r>
      <w:r w:rsidR="00016B2B" w:rsidRPr="00884FAA">
        <w:t>and where engagement was less effective.</w:t>
      </w:r>
      <w:r w:rsidR="00946BA4" w:rsidRPr="00884FAA">
        <w:t xml:space="preserve"> Fundamentally, the IAHP </w:t>
      </w:r>
      <w:r w:rsidR="0066576E">
        <w:t>does</w:t>
      </w:r>
      <w:r w:rsidR="00AA35E2">
        <w:t xml:space="preserve"> </w:t>
      </w:r>
      <w:r w:rsidR="00A54274" w:rsidRPr="00884FAA">
        <w:t xml:space="preserve">not </w:t>
      </w:r>
      <w:r w:rsidR="00841F2B" w:rsidRPr="00884FAA">
        <w:t xml:space="preserve">directly </w:t>
      </w:r>
      <w:r w:rsidR="001231B8" w:rsidRPr="00884FAA">
        <w:t>enabl</w:t>
      </w:r>
      <w:r w:rsidR="0066576E">
        <w:t>e</w:t>
      </w:r>
      <w:r w:rsidR="001231B8" w:rsidRPr="00884FAA">
        <w:t xml:space="preserve"> </w:t>
      </w:r>
      <w:r w:rsidR="00841F2B" w:rsidRPr="00884FAA">
        <w:t xml:space="preserve">community engagement activities </w:t>
      </w:r>
      <w:r w:rsidR="006C57E5" w:rsidRPr="00884FAA">
        <w:t>i</w:t>
      </w:r>
      <w:r w:rsidR="00841F2B" w:rsidRPr="00884FAA">
        <w:t>n the evaluation sites.</w:t>
      </w:r>
    </w:p>
    <w:p w14:paraId="61085BAA" w14:textId="4F08065D" w:rsidR="00A90223" w:rsidRPr="00884FAA" w:rsidRDefault="009B3EA0" w:rsidP="004F4E36">
      <w:r w:rsidRPr="00884FAA">
        <w:t xml:space="preserve">Some ACCHSs have established </w:t>
      </w:r>
      <w:r w:rsidR="00051326" w:rsidRPr="00884FAA">
        <w:t>ways of</w:t>
      </w:r>
      <w:r w:rsidR="00B734F8" w:rsidRPr="00884FAA">
        <w:t xml:space="preserve"> engaging with their communities</w:t>
      </w:r>
      <w:r w:rsidR="00CC2BB5" w:rsidRPr="00884FAA">
        <w:t xml:space="preserve">. This includes, for example, </w:t>
      </w:r>
      <w:r w:rsidR="00312F8C" w:rsidRPr="00884FAA">
        <w:t xml:space="preserve">seeking advice </w:t>
      </w:r>
      <w:r w:rsidR="004F4E36" w:rsidRPr="00884FAA">
        <w:t>from elders, collect</w:t>
      </w:r>
      <w:r w:rsidR="00312F8C" w:rsidRPr="00884FAA">
        <w:t>ing</w:t>
      </w:r>
      <w:r w:rsidR="004F4E36" w:rsidRPr="00884FAA">
        <w:t xml:space="preserve"> community feedback through surveys</w:t>
      </w:r>
      <w:r w:rsidR="00520054" w:rsidRPr="00884FAA">
        <w:t xml:space="preserve"> and</w:t>
      </w:r>
      <w:r w:rsidR="004F4E36" w:rsidRPr="00884FAA">
        <w:t xml:space="preserve"> yarns, </w:t>
      </w:r>
      <w:r w:rsidR="00520054" w:rsidRPr="00884FAA">
        <w:t>and</w:t>
      </w:r>
      <w:r w:rsidR="00A54049" w:rsidRPr="00884FAA">
        <w:t xml:space="preserve"> using community </w:t>
      </w:r>
      <w:r w:rsidR="0077435D" w:rsidRPr="00884FAA">
        <w:t xml:space="preserve">groups or </w:t>
      </w:r>
      <w:r w:rsidR="004F4E36" w:rsidRPr="00884FAA">
        <w:t xml:space="preserve">boards </w:t>
      </w:r>
      <w:r w:rsidR="00D413F8" w:rsidRPr="00884FAA">
        <w:t xml:space="preserve">to get input </w:t>
      </w:r>
      <w:r w:rsidR="00011398" w:rsidRPr="00884FAA">
        <w:t>into</w:t>
      </w:r>
      <w:r w:rsidR="00572D66" w:rsidRPr="00884FAA">
        <w:t xml:space="preserve"> health service</w:t>
      </w:r>
      <w:r w:rsidR="004F4E36" w:rsidRPr="00884FAA">
        <w:t xml:space="preserve"> decision</w:t>
      </w:r>
      <w:r w:rsidR="00572D66" w:rsidRPr="00884FAA">
        <w:t>-</w:t>
      </w:r>
      <w:r w:rsidR="004F4E36" w:rsidRPr="00884FAA">
        <w:t>making and planning.</w:t>
      </w:r>
      <w:r w:rsidR="00572D66" w:rsidRPr="00884FAA">
        <w:t xml:space="preserve"> </w:t>
      </w:r>
      <w:r w:rsidR="00F73C29" w:rsidRPr="00884FAA">
        <w:t>Informally,</w:t>
      </w:r>
      <w:r w:rsidR="00D90B56" w:rsidRPr="00884FAA">
        <w:t xml:space="preserve"> it is</w:t>
      </w:r>
      <w:r w:rsidR="00A74589" w:rsidRPr="00884FAA">
        <w:t xml:space="preserve"> also</w:t>
      </w:r>
      <w:r w:rsidR="00D90B56" w:rsidRPr="00884FAA">
        <w:t xml:space="preserve"> common for ACCHSs</w:t>
      </w:r>
      <w:r w:rsidR="00A74589" w:rsidRPr="00884FAA">
        <w:t xml:space="preserve"> to </w:t>
      </w:r>
      <w:r w:rsidR="003D3A3D" w:rsidRPr="00884FAA">
        <w:t xml:space="preserve">seek feedback from </w:t>
      </w:r>
      <w:r w:rsidR="006D507A" w:rsidRPr="00884FAA">
        <w:t xml:space="preserve">their </w:t>
      </w:r>
      <w:r w:rsidR="00B21107" w:rsidRPr="00884FAA">
        <w:t xml:space="preserve">staff members who are also part of the local community </w:t>
      </w:r>
      <w:r w:rsidR="00E872D4" w:rsidRPr="00884FAA">
        <w:t xml:space="preserve">and to </w:t>
      </w:r>
      <w:r w:rsidR="006E0ED8" w:rsidRPr="00884FAA">
        <w:t xml:space="preserve">have a relatively ‘open door’ </w:t>
      </w:r>
      <w:r w:rsidR="00B47BED" w:rsidRPr="00884FAA">
        <w:t>in terms of</w:t>
      </w:r>
      <w:r w:rsidR="008C03FF" w:rsidRPr="00884FAA">
        <w:t xml:space="preserve"> being receptive to </w:t>
      </w:r>
      <w:r w:rsidR="003F55FB" w:rsidRPr="00884FAA">
        <w:t xml:space="preserve">community members </w:t>
      </w:r>
      <w:r w:rsidR="00064A61" w:rsidRPr="00884FAA">
        <w:t xml:space="preserve">approaching </w:t>
      </w:r>
      <w:r w:rsidR="00D53E26" w:rsidRPr="00884FAA">
        <w:t xml:space="preserve">health service managers and leaders </w:t>
      </w:r>
      <w:r w:rsidR="00D90C24" w:rsidRPr="00884FAA">
        <w:t xml:space="preserve">with ideas and </w:t>
      </w:r>
      <w:r w:rsidR="004467C6" w:rsidRPr="00884FAA">
        <w:t>feedback.</w:t>
      </w:r>
      <w:r w:rsidR="00A905F2" w:rsidRPr="00884FAA">
        <w:t xml:space="preserve"> ACCHS boards also</w:t>
      </w:r>
      <w:r w:rsidR="000D1224" w:rsidRPr="00884FAA">
        <w:t xml:space="preserve"> provide</w:t>
      </w:r>
      <w:r w:rsidR="00A905F2" w:rsidRPr="00884FAA">
        <w:t xml:space="preserve"> </w:t>
      </w:r>
      <w:r w:rsidR="00310493" w:rsidRPr="00884FAA">
        <w:t>a</w:t>
      </w:r>
      <w:r w:rsidR="00A905F2" w:rsidRPr="00884FAA">
        <w:t xml:space="preserve"> mechanism for community members to be involved in health service governance.</w:t>
      </w:r>
    </w:p>
    <w:p w14:paraId="38B588C6" w14:textId="1691FF5F" w:rsidR="00134731" w:rsidRPr="00884FAA" w:rsidRDefault="00024B33" w:rsidP="004F4E36">
      <w:r w:rsidRPr="00884FAA">
        <w:t xml:space="preserve">Government primary care </w:t>
      </w:r>
      <w:r w:rsidR="00915710" w:rsidRPr="00884FAA">
        <w:t>services</w:t>
      </w:r>
      <w:r w:rsidRPr="00884FAA">
        <w:t xml:space="preserve"> </w:t>
      </w:r>
      <w:r w:rsidR="00BC1CC4" w:rsidRPr="00884FAA">
        <w:t xml:space="preserve">seek community engagement through similar informal approaches </w:t>
      </w:r>
      <w:r w:rsidR="00A20A57" w:rsidRPr="00884FAA">
        <w:t>as ACCHSs</w:t>
      </w:r>
      <w:r w:rsidR="007732FD" w:rsidRPr="00884FAA">
        <w:t>. E</w:t>
      </w:r>
      <w:r w:rsidR="00661095" w:rsidRPr="00884FAA">
        <w:t xml:space="preserve">valuation participants </w:t>
      </w:r>
      <w:r w:rsidR="00312A7A" w:rsidRPr="00884FAA">
        <w:t>discussed recent attempt</w:t>
      </w:r>
      <w:r w:rsidR="00FF2225" w:rsidRPr="00884FAA">
        <w:t>s</w:t>
      </w:r>
      <w:r w:rsidR="00312A7A" w:rsidRPr="00884FAA">
        <w:t xml:space="preserve"> to resurrect health advisory communities as</w:t>
      </w:r>
      <w:r w:rsidR="00D869DE" w:rsidRPr="00884FAA">
        <w:t xml:space="preserve"> a</w:t>
      </w:r>
      <w:r w:rsidR="00312A7A" w:rsidRPr="00884FAA">
        <w:t xml:space="preserve"> more formal </w:t>
      </w:r>
      <w:r w:rsidR="00D869DE" w:rsidRPr="00884FAA">
        <w:t xml:space="preserve">way to </w:t>
      </w:r>
      <w:r w:rsidR="00A63112" w:rsidRPr="00884FAA">
        <w:t>generate community input</w:t>
      </w:r>
      <w:r w:rsidR="009D0A72" w:rsidRPr="00884FAA">
        <w:t xml:space="preserve"> into planning and decision-making</w:t>
      </w:r>
      <w:r w:rsidR="007732FD" w:rsidRPr="00884FAA">
        <w:t xml:space="preserve"> within government </w:t>
      </w:r>
      <w:r w:rsidR="00915710" w:rsidRPr="00884FAA">
        <w:t>services.</w:t>
      </w:r>
    </w:p>
    <w:p w14:paraId="0380B991" w14:textId="55F7B762" w:rsidR="004F4E36" w:rsidRPr="00884FAA" w:rsidRDefault="002870EC" w:rsidP="004F4E36">
      <w:r w:rsidRPr="00884FAA">
        <w:t>Th</w:t>
      </w:r>
      <w:r w:rsidR="00915710" w:rsidRPr="00884FAA">
        <w:t>e</w:t>
      </w:r>
      <w:r w:rsidRPr="00884FAA">
        <w:t xml:space="preserve"> effectiveness </w:t>
      </w:r>
      <w:r w:rsidR="00773E71" w:rsidRPr="00884FAA">
        <w:t>of the various approaches to community engagement is</w:t>
      </w:r>
      <w:r w:rsidR="00836037" w:rsidRPr="00884FAA">
        <w:t xml:space="preserve">, to a significant extent, </w:t>
      </w:r>
      <w:r w:rsidR="0051046E" w:rsidRPr="00884FAA">
        <w:t xml:space="preserve">dependent on </w:t>
      </w:r>
      <w:r w:rsidR="00F70109" w:rsidRPr="00884FAA">
        <w:t>health service leadership</w:t>
      </w:r>
      <w:r w:rsidR="00295748" w:rsidRPr="00884FAA">
        <w:t xml:space="preserve"> and their ability to facilitate </w:t>
      </w:r>
      <w:r w:rsidR="001D5698" w:rsidRPr="00884FAA">
        <w:t xml:space="preserve">an </w:t>
      </w:r>
      <w:r w:rsidR="00870182" w:rsidRPr="00884FAA">
        <w:t>inclusive and ope</w:t>
      </w:r>
      <w:r w:rsidR="001D5698" w:rsidRPr="00884FAA">
        <w:t xml:space="preserve">n approach to </w:t>
      </w:r>
      <w:r w:rsidR="00F618DB" w:rsidRPr="00884FAA">
        <w:t>engagement</w:t>
      </w:r>
      <w:r w:rsidR="00FF2225" w:rsidRPr="00884FAA">
        <w:t xml:space="preserve"> that </w:t>
      </w:r>
      <w:r w:rsidR="008434B2" w:rsidRPr="00884FAA">
        <w:t>allow</w:t>
      </w:r>
      <w:r w:rsidR="00FF2225" w:rsidRPr="00884FAA">
        <w:t>s</w:t>
      </w:r>
      <w:r w:rsidR="008434B2" w:rsidRPr="00884FAA">
        <w:t xml:space="preserve"> community perspectives to be heard </w:t>
      </w:r>
      <w:r w:rsidR="008619EE" w:rsidRPr="00884FAA">
        <w:t xml:space="preserve">and </w:t>
      </w:r>
      <w:r w:rsidR="006543A0" w:rsidRPr="00884FAA">
        <w:t>incorporated into decision-making.</w:t>
      </w:r>
      <w:r w:rsidR="00EE5519" w:rsidRPr="00884FAA">
        <w:t xml:space="preserve"> Having the time and resources </w:t>
      </w:r>
      <w:r w:rsidR="008C4283" w:rsidRPr="00884FAA">
        <w:t>to facilitate community engagement is also a critical success factor</w:t>
      </w:r>
      <w:r w:rsidR="00AB7EFB" w:rsidRPr="00884FAA">
        <w:t>, and something that is</w:t>
      </w:r>
      <w:r w:rsidR="00F45A11" w:rsidRPr="00884FAA">
        <w:t xml:space="preserve"> commonly reported as being in short supply.</w:t>
      </w:r>
      <w:r w:rsidR="00B47BED" w:rsidRPr="00884FAA">
        <w:t xml:space="preserve"> </w:t>
      </w:r>
      <w:r w:rsidR="006E0ED8" w:rsidRPr="00884FAA">
        <w:t xml:space="preserve"> </w:t>
      </w:r>
      <w:r w:rsidR="00D90B56" w:rsidRPr="00884FAA">
        <w:t xml:space="preserve"> </w:t>
      </w:r>
      <w:r w:rsidR="00AA35E2">
        <w:t xml:space="preserve"> </w:t>
      </w:r>
    </w:p>
    <w:p w14:paraId="2015F793" w14:textId="3CDA95B1" w:rsidR="0021437B" w:rsidRPr="00A1178E" w:rsidRDefault="00E47B5A" w:rsidP="0005030D">
      <w:pPr>
        <w:pStyle w:val="Quote"/>
        <w:spacing w:after="0"/>
        <w:rPr>
          <w:color w:val="18525E" w:themeColor="accent5" w:themeShade="80"/>
        </w:rPr>
      </w:pPr>
      <w:r w:rsidRPr="00A1178E">
        <w:rPr>
          <w:color w:val="18525E" w:themeColor="accent5" w:themeShade="80"/>
        </w:rPr>
        <w:t>I</w:t>
      </w:r>
      <w:r w:rsidR="0021437B" w:rsidRPr="00A1178E">
        <w:rPr>
          <w:color w:val="18525E" w:themeColor="accent5" w:themeShade="80"/>
        </w:rPr>
        <w:t xml:space="preserve">t’s not just about the amount of money, by any means. I think it’s listening to the community more, and self-determination. Really, you throw a lot of money at something, but if you are not listening to the community and taking advice from the community, I think that could be just a big waste of time and money </w:t>
      </w:r>
      <w:r w:rsidR="003050CA" w:rsidRPr="00A1178E">
        <w:rPr>
          <w:color w:val="18525E" w:themeColor="accent5" w:themeShade="80"/>
        </w:rPr>
        <w:t>…. I</w:t>
      </w:r>
      <w:r w:rsidR="0021437B" w:rsidRPr="00A1178E">
        <w:rPr>
          <w:color w:val="18525E" w:themeColor="accent5" w:themeShade="80"/>
        </w:rPr>
        <w:t>f people are able to direct you, in your health service, if you are directly accountable to and take on their feedback and act on that feedback, then I think that you’d probably find things are a bit more productive, and you will get greater buy-in to whatever you are trying to do, if you just listen and take direction.</w:t>
      </w:r>
    </w:p>
    <w:p w14:paraId="7E4A24BC" w14:textId="33D99852" w:rsidR="00A375CF" w:rsidRPr="002A0411" w:rsidRDefault="00A375CF" w:rsidP="002A0411">
      <w:pPr>
        <w:jc w:val="right"/>
        <w:rPr>
          <w:b/>
          <w:bCs/>
        </w:rPr>
      </w:pPr>
      <w:r w:rsidRPr="002A0411">
        <w:rPr>
          <w:b/>
          <w:bCs/>
        </w:rPr>
        <w:t xml:space="preserve">ACCHS, Remote location </w:t>
      </w:r>
    </w:p>
    <w:p w14:paraId="198DE722" w14:textId="3EADFC4A" w:rsidR="0021437B" w:rsidRPr="00884FAA" w:rsidRDefault="00E12847" w:rsidP="00D67BA6">
      <w:r w:rsidRPr="00884FAA">
        <w:t xml:space="preserve">In some evaluation sites, </w:t>
      </w:r>
      <w:r w:rsidR="00592A83" w:rsidRPr="00884FAA">
        <w:t xml:space="preserve">community engagement processes </w:t>
      </w:r>
      <w:r w:rsidR="00FE3C87" w:rsidRPr="00884FAA">
        <w:t>were not functioning well</w:t>
      </w:r>
      <w:r w:rsidR="00007A5E" w:rsidRPr="00884FAA">
        <w:t xml:space="preserve">. </w:t>
      </w:r>
      <w:r w:rsidR="00ED7A55" w:rsidRPr="00884FAA">
        <w:t xml:space="preserve">This was sometimes highlighted </w:t>
      </w:r>
      <w:r w:rsidR="00D84D58" w:rsidRPr="00884FAA">
        <w:t xml:space="preserve">when community members asked </w:t>
      </w:r>
      <w:r w:rsidR="00BC1F6D" w:rsidRPr="00884FAA">
        <w:t xml:space="preserve">the evaluation team </w:t>
      </w:r>
      <w:r w:rsidR="00CF115B" w:rsidRPr="00884FAA">
        <w:t>to</w:t>
      </w:r>
      <w:r w:rsidR="002B02A4" w:rsidRPr="00884FAA">
        <w:t xml:space="preserve"> engage with the health service leadership </w:t>
      </w:r>
      <w:r w:rsidR="009921AA" w:rsidRPr="00884FAA">
        <w:t xml:space="preserve">to advocate for something </w:t>
      </w:r>
      <w:r w:rsidR="002B02A4" w:rsidRPr="00884FAA">
        <w:t>on their behalf</w:t>
      </w:r>
      <w:r w:rsidR="00FA1EF0" w:rsidRPr="00884FAA">
        <w:t xml:space="preserve"> because</w:t>
      </w:r>
      <w:r w:rsidR="00CF34DD" w:rsidRPr="00884FAA">
        <w:t xml:space="preserve"> the established</w:t>
      </w:r>
      <w:r w:rsidR="00EA46CC" w:rsidRPr="00884FAA">
        <w:t>, generally informal, processes did not feel safe or effective to them.</w:t>
      </w:r>
    </w:p>
    <w:p w14:paraId="1ED26998" w14:textId="1C2F2B78" w:rsidR="00CD20EF" w:rsidRPr="00884FAA" w:rsidRDefault="001C1CA9" w:rsidP="000C4329">
      <w:r w:rsidRPr="00884FAA">
        <w:lastRenderedPageBreak/>
        <w:t xml:space="preserve">ACCHSs </w:t>
      </w:r>
      <w:r w:rsidR="007201EA" w:rsidRPr="00884FAA">
        <w:t xml:space="preserve">reported a lack of space </w:t>
      </w:r>
      <w:r w:rsidR="00F02135" w:rsidRPr="00884FAA">
        <w:t xml:space="preserve">(time and timing) </w:t>
      </w:r>
      <w:r w:rsidR="00213368" w:rsidRPr="00884FAA">
        <w:t xml:space="preserve">to engage effectively with their community to understand their </w:t>
      </w:r>
      <w:r w:rsidR="00A32308" w:rsidRPr="00884FAA">
        <w:t xml:space="preserve">needs and priorities. </w:t>
      </w:r>
      <w:r w:rsidR="00B5674F" w:rsidRPr="00884FAA">
        <w:t xml:space="preserve">In two sites (metro and remote), ACCHS staff </w:t>
      </w:r>
      <w:r w:rsidR="002C4D2B" w:rsidRPr="00884FAA">
        <w:t xml:space="preserve">described </w:t>
      </w:r>
      <w:r w:rsidR="00835E26" w:rsidRPr="00884FAA">
        <w:t xml:space="preserve">situations where </w:t>
      </w:r>
      <w:r w:rsidR="00250E59" w:rsidRPr="00884FAA">
        <w:t xml:space="preserve">they were constantly focused on </w:t>
      </w:r>
      <w:r w:rsidR="003C460D" w:rsidRPr="00884FAA">
        <w:t xml:space="preserve">engaging with funders </w:t>
      </w:r>
      <w:r w:rsidR="00F07382" w:rsidRPr="00884FAA">
        <w:t>(</w:t>
      </w:r>
      <w:r w:rsidR="00DB0991" w:rsidRPr="00884FAA">
        <w:t>reacting</w:t>
      </w:r>
      <w:r w:rsidR="00F07382" w:rsidRPr="00884FAA">
        <w:t xml:space="preserve"> upwards)</w:t>
      </w:r>
      <w:r w:rsidR="00EA2B04" w:rsidRPr="00884FAA">
        <w:t xml:space="preserve"> and did not have the space to </w:t>
      </w:r>
      <w:r w:rsidR="002E2C5E" w:rsidRPr="00884FAA">
        <w:t>proactively engage outwards with their community</w:t>
      </w:r>
      <w:r w:rsidR="00F52CBC" w:rsidRPr="00884FAA">
        <w:t xml:space="preserve">. </w:t>
      </w:r>
      <w:r w:rsidR="00762B89" w:rsidRPr="00884FAA">
        <w:t>This put them on a back footing</w:t>
      </w:r>
      <w:r w:rsidR="004B5CE1" w:rsidRPr="00884FAA">
        <w:t xml:space="preserve"> – they were responding to </w:t>
      </w:r>
      <w:r w:rsidR="00AA0183" w:rsidRPr="00884FAA">
        <w:t xml:space="preserve">funders </w:t>
      </w:r>
      <w:r w:rsidR="00EF3106" w:rsidRPr="00884FAA">
        <w:t xml:space="preserve">requirements as opposed to </w:t>
      </w:r>
      <w:r w:rsidR="00C44C65" w:rsidRPr="00884FAA">
        <w:t xml:space="preserve">feeding </w:t>
      </w:r>
      <w:r w:rsidR="007765D1" w:rsidRPr="00884FAA">
        <w:t>community needs and priorities upwards.</w:t>
      </w:r>
    </w:p>
    <w:p w14:paraId="20EA1C4C" w14:textId="31B2EBA3" w:rsidR="0021437B" w:rsidRPr="00884FAA" w:rsidRDefault="002B6CB4" w:rsidP="000C4329">
      <w:r w:rsidRPr="00884FAA">
        <w:t xml:space="preserve">Another challenge that ACCHSs experience around community engagement </w:t>
      </w:r>
      <w:r w:rsidR="00C3682D" w:rsidRPr="00884FAA">
        <w:t xml:space="preserve">is its perceived ability to make a difference. </w:t>
      </w:r>
      <w:r w:rsidR="00923899" w:rsidRPr="00884FAA">
        <w:t xml:space="preserve">Health services and community members spoke about </w:t>
      </w:r>
      <w:r w:rsidR="00FD4057" w:rsidRPr="00884FAA">
        <w:t xml:space="preserve">not feeling they have the </w:t>
      </w:r>
      <w:r w:rsidR="00D36C7E" w:rsidRPr="00884FAA">
        <w:t>power or authority to make a difference</w:t>
      </w:r>
      <w:r w:rsidR="00804CA9" w:rsidRPr="00884FAA">
        <w:t xml:space="preserve"> and </w:t>
      </w:r>
      <w:r w:rsidR="009E0EEA" w:rsidRPr="00884FAA">
        <w:t xml:space="preserve">experiences of </w:t>
      </w:r>
      <w:r w:rsidR="00804CA9" w:rsidRPr="00884FAA">
        <w:t>not being listened to.</w:t>
      </w:r>
      <w:r w:rsidR="00F07382" w:rsidRPr="00884FAA">
        <w:t xml:space="preserve"> </w:t>
      </w:r>
      <w:r w:rsidR="00980333" w:rsidRPr="00884FAA">
        <w:t xml:space="preserve">This leads to disempowerment and </w:t>
      </w:r>
      <w:r w:rsidR="006A6A99" w:rsidRPr="00884FAA">
        <w:t>ma</w:t>
      </w:r>
      <w:r w:rsidR="0028692E" w:rsidRPr="00884FAA">
        <w:t>kes future engagement more difficult.</w:t>
      </w:r>
      <w:r w:rsidR="00933C15" w:rsidRPr="00884FAA">
        <w:t xml:space="preserve"> This was acknowledged by government participants.</w:t>
      </w:r>
    </w:p>
    <w:p w14:paraId="354C11F7" w14:textId="6874BE02" w:rsidR="00270650" w:rsidRPr="00A1178E" w:rsidRDefault="00270650" w:rsidP="0005030D">
      <w:pPr>
        <w:pStyle w:val="Quote"/>
        <w:spacing w:after="0"/>
        <w:rPr>
          <w:color w:val="18525E" w:themeColor="accent5" w:themeShade="80"/>
        </w:rPr>
      </w:pPr>
      <w:r w:rsidRPr="00A1178E">
        <w:rPr>
          <w:color w:val="18525E" w:themeColor="accent5" w:themeShade="80"/>
        </w:rPr>
        <w:t>The problem is that there’s good engagement but the lack of follow-through because it needs to fit with the existing national program. Ticking the box on engagement and show that there’s an agreement but this approach is problematic</w:t>
      </w:r>
      <w:r w:rsidR="007A03BE" w:rsidRPr="00A1178E">
        <w:rPr>
          <w:color w:val="18525E" w:themeColor="accent5" w:themeShade="80"/>
        </w:rPr>
        <w:t>;</w:t>
      </w:r>
      <w:r w:rsidRPr="00A1178E">
        <w:rPr>
          <w:color w:val="18525E" w:themeColor="accent5" w:themeShade="80"/>
        </w:rPr>
        <w:t xml:space="preserve"> we haven’t listened very hard</w:t>
      </w:r>
      <w:r w:rsidR="00AF008C" w:rsidRPr="00A1178E">
        <w:rPr>
          <w:color w:val="18525E" w:themeColor="accent5" w:themeShade="80"/>
        </w:rPr>
        <w:t xml:space="preserve"> …</w:t>
      </w:r>
      <w:r w:rsidR="00A640B7" w:rsidRPr="00A1178E">
        <w:rPr>
          <w:color w:val="18525E" w:themeColor="accent5" w:themeShade="80"/>
        </w:rPr>
        <w:t>.</w:t>
      </w:r>
      <w:r w:rsidR="00AF008C" w:rsidRPr="00A1178E">
        <w:rPr>
          <w:color w:val="18525E" w:themeColor="accent5" w:themeShade="80"/>
        </w:rPr>
        <w:t xml:space="preserve"> They ask for a horse and then we go back and do the design work and deliver a camel</w:t>
      </w:r>
      <w:r w:rsidR="00243C1A" w:rsidRPr="00A1178E">
        <w:rPr>
          <w:color w:val="18525E" w:themeColor="accent5" w:themeShade="80"/>
        </w:rPr>
        <w:t>.</w:t>
      </w:r>
    </w:p>
    <w:p w14:paraId="028618A1" w14:textId="46E393C6" w:rsidR="00D03C9C" w:rsidRPr="0005030D" w:rsidRDefault="00D56D2B" w:rsidP="0005030D">
      <w:pPr>
        <w:jc w:val="right"/>
        <w:rPr>
          <w:b/>
        </w:rPr>
      </w:pPr>
      <w:r>
        <w:rPr>
          <w:b/>
        </w:rPr>
        <w:t xml:space="preserve">Staff member, </w:t>
      </w:r>
      <w:r w:rsidR="00D03C9C" w:rsidRPr="0005030D">
        <w:rPr>
          <w:b/>
        </w:rPr>
        <w:t xml:space="preserve">National Indigenous Australians Agency </w:t>
      </w:r>
    </w:p>
    <w:p w14:paraId="1545DE69" w14:textId="169A21AB" w:rsidR="000C4329" w:rsidRPr="00884FAA" w:rsidRDefault="001F59D8" w:rsidP="000C4329">
      <w:r w:rsidRPr="00884FAA">
        <w:t xml:space="preserve">While the IAHP </w:t>
      </w:r>
      <w:r w:rsidR="00C828AD" w:rsidRPr="00884FAA">
        <w:t>does not directly support community engagement</w:t>
      </w:r>
      <w:r w:rsidR="00E32E48" w:rsidRPr="00884FAA">
        <w:t xml:space="preserve">, the increased emphasis </w:t>
      </w:r>
      <w:r w:rsidR="00E26AD7" w:rsidRPr="00884FAA">
        <w:t xml:space="preserve">on </w:t>
      </w:r>
      <w:r w:rsidR="00E32E48" w:rsidRPr="00884FAA">
        <w:t>government</w:t>
      </w:r>
      <w:r w:rsidR="00791DE7" w:rsidRPr="00884FAA">
        <w:t>s</w:t>
      </w:r>
      <w:r w:rsidR="00E26AD7" w:rsidRPr="00884FAA">
        <w:t xml:space="preserve"> sharing decision-making with Aboriginal and Torres Strait Islander</w:t>
      </w:r>
      <w:r w:rsidR="00791DE7" w:rsidRPr="00884FAA">
        <w:t xml:space="preserve"> people</w:t>
      </w:r>
      <w:r w:rsidR="009876F2" w:rsidRPr="00884FAA">
        <w:t>,</w:t>
      </w:r>
      <w:r w:rsidR="00501090" w:rsidRPr="00884FAA">
        <w:t xml:space="preserve"> including through </w:t>
      </w:r>
      <w:r w:rsidR="009876F2" w:rsidRPr="00884FAA">
        <w:t xml:space="preserve">establishing place-based partnerships </w:t>
      </w:r>
      <w:r w:rsidR="00501090" w:rsidRPr="00884FAA">
        <w:t>to respond to local priorities</w:t>
      </w:r>
      <w:r w:rsidR="00791DE7" w:rsidRPr="00884FAA">
        <w:t xml:space="preserve"> </w:t>
      </w:r>
      <w:r w:rsidR="00351B9F" w:rsidRPr="00884FAA">
        <w:t>(</w:t>
      </w:r>
      <w:r w:rsidR="00885E08" w:rsidRPr="00884FAA">
        <w:t>for example</w:t>
      </w:r>
      <w:r w:rsidR="00351B9F" w:rsidRPr="00884FAA">
        <w:t>. in the National Agreement on Closing the Gap)</w:t>
      </w:r>
      <w:r w:rsidR="00501090" w:rsidRPr="00884FAA">
        <w:t xml:space="preserve"> suggests there may be a future role here for the IAHP.</w:t>
      </w:r>
    </w:p>
    <w:p w14:paraId="78C3FC32" w14:textId="1F8E42B1" w:rsidR="00EB0916" w:rsidRPr="00884FAA" w:rsidRDefault="0062762F" w:rsidP="0035030F">
      <w:pPr>
        <w:pStyle w:val="Heading2"/>
      </w:pPr>
      <w:bookmarkStart w:id="196" w:name="_Ref137154242"/>
      <w:bookmarkStart w:id="197" w:name="_Toc137208925"/>
      <w:r w:rsidRPr="00884FAA">
        <w:t xml:space="preserve">Contribution of IAHP to </w:t>
      </w:r>
      <w:r w:rsidR="001055AE" w:rsidRPr="00884FAA">
        <w:t xml:space="preserve">delivering </w:t>
      </w:r>
      <w:r w:rsidR="00367EFF" w:rsidRPr="00884FAA">
        <w:t xml:space="preserve">equitable access to </w:t>
      </w:r>
      <w:r w:rsidR="00226E77" w:rsidRPr="00884FAA">
        <w:t>primary health care</w:t>
      </w:r>
      <w:bookmarkEnd w:id="196"/>
      <w:bookmarkEnd w:id="197"/>
      <w:r w:rsidR="00226E77" w:rsidRPr="00884FAA">
        <w:t xml:space="preserve"> </w:t>
      </w:r>
    </w:p>
    <w:p w14:paraId="6DCFFC43" w14:textId="77777777" w:rsidR="000426A1" w:rsidRDefault="00DD4E6A" w:rsidP="0002003C">
      <w:r w:rsidRPr="00884FAA">
        <w:t xml:space="preserve">The IAHP funding model is designed to support access to </w:t>
      </w:r>
      <w:r w:rsidR="00807F93" w:rsidRPr="00884FAA">
        <w:t>health care</w:t>
      </w:r>
      <w:r w:rsidRPr="00884FAA">
        <w:t xml:space="preserve"> for Aboriginal and Torres Strait Islander people </w:t>
      </w:r>
      <w:r w:rsidR="00422028" w:rsidRPr="00884FAA">
        <w:t>across urban, regional</w:t>
      </w:r>
      <w:r w:rsidR="000008D1" w:rsidRPr="00884FAA">
        <w:t>,</w:t>
      </w:r>
      <w:r w:rsidR="00422028" w:rsidRPr="00884FAA">
        <w:t xml:space="preserve"> and remote locations across Australia. </w:t>
      </w:r>
      <w:r w:rsidR="006C0CB7">
        <w:t>There</w:t>
      </w:r>
      <w:r w:rsidR="001A3D8E" w:rsidRPr="00884FAA">
        <w:t xml:space="preserve"> </w:t>
      </w:r>
      <w:r w:rsidR="00B83BF5" w:rsidRPr="00884FAA">
        <w:t xml:space="preserve">are gaps in PHC coverage and access for some groups of </w:t>
      </w:r>
      <w:r w:rsidR="001A3D8E" w:rsidRPr="00884FAA">
        <w:t>A</w:t>
      </w:r>
      <w:r w:rsidR="007B159D" w:rsidRPr="00884FAA">
        <w:t>boriginal and Torres Strait Islander people</w:t>
      </w:r>
      <w:r w:rsidR="00EB4299" w:rsidRPr="00884FAA">
        <w:t xml:space="preserve">. </w:t>
      </w:r>
      <w:r w:rsidR="000008D1" w:rsidRPr="00884FAA">
        <w:t>The</w:t>
      </w:r>
      <w:r w:rsidR="00F123C1" w:rsidRPr="00884FAA">
        <w:t xml:space="preserve"> </w:t>
      </w:r>
      <w:r w:rsidR="000008D1" w:rsidRPr="00884FAA">
        <w:t xml:space="preserve">evaluation team’s </w:t>
      </w:r>
      <w:r w:rsidR="00F123C1" w:rsidRPr="00884FAA">
        <w:t>discussions with evaluation participants highlighted the entrenched influence of health inequities in creating barriers to Aboriginal and Torres Strait Islander people accessing PHC.</w:t>
      </w:r>
    </w:p>
    <w:p w14:paraId="0750FE8C" w14:textId="31252556" w:rsidR="009879BF" w:rsidRPr="00D5338D" w:rsidRDefault="009879BF" w:rsidP="009879BF">
      <w:r w:rsidRPr="00972072">
        <w:t xml:space="preserve">Additional data on health service access for Aboriginal and Torres Strait Islander people is included in </w:t>
      </w:r>
      <w:r w:rsidR="00745056" w:rsidRPr="00972072">
        <w:t xml:space="preserve">the supporting document </w:t>
      </w:r>
      <w:r w:rsidR="00972072" w:rsidRPr="00972072">
        <w:t>The Indigenous Australians’ Health Programme Impact Report</w:t>
      </w:r>
      <w:bookmarkStart w:id="198" w:name="_Toc129954802"/>
      <w:bookmarkStart w:id="199" w:name="_Toc129954839"/>
      <w:r w:rsidR="00972072" w:rsidRPr="00972072">
        <w:t xml:space="preserve"> prepared by the Indigenous Group of the</w:t>
      </w:r>
      <w:r w:rsidR="00972072">
        <w:t xml:space="preserve"> </w:t>
      </w:r>
      <w:r w:rsidR="00972072" w:rsidRPr="00972072">
        <w:t>Australian Institute of Health and Welfare</w:t>
      </w:r>
      <w:bookmarkEnd w:id="198"/>
      <w:bookmarkEnd w:id="199"/>
      <w:r w:rsidR="00972072">
        <w:t>.</w:t>
      </w:r>
      <w:r w:rsidR="00972072" w:rsidRPr="00972072">
        <w:t xml:space="preserve"> </w:t>
      </w:r>
      <w:r w:rsidRPr="009879BF">
        <w:rPr>
          <w:lang w:val="en-NZ"/>
        </w:rPr>
        <w:t>This includes:</w:t>
      </w:r>
    </w:p>
    <w:p w14:paraId="4941FFF3" w14:textId="1191A794" w:rsidR="009879BF" w:rsidRPr="003B3C05" w:rsidRDefault="009879BF" w:rsidP="003B3C05">
      <w:pPr>
        <w:numPr>
          <w:ilvl w:val="0"/>
          <w:numId w:val="19"/>
        </w:numPr>
        <w:spacing w:after="120"/>
        <w:rPr>
          <w:bCs/>
        </w:rPr>
      </w:pPr>
      <w:r w:rsidRPr="003B3C05">
        <w:rPr>
          <w:bCs/>
        </w:rPr>
        <w:t>self-reported data on usual source of health care</w:t>
      </w:r>
    </w:p>
    <w:p w14:paraId="0404E4DF" w14:textId="002BFE5F" w:rsidR="009879BF" w:rsidRPr="003B3C05" w:rsidRDefault="009879BF" w:rsidP="003B3C05">
      <w:pPr>
        <w:numPr>
          <w:ilvl w:val="0"/>
          <w:numId w:val="19"/>
        </w:numPr>
        <w:spacing w:after="120"/>
        <w:rPr>
          <w:bCs/>
        </w:rPr>
      </w:pPr>
      <w:r w:rsidRPr="003B3C05">
        <w:rPr>
          <w:bCs/>
        </w:rPr>
        <w:t>the location of IAHP funded health services by indicators of socio-economic disadvantage</w:t>
      </w:r>
    </w:p>
    <w:p w14:paraId="4ACCFF73" w14:textId="13A6377B" w:rsidR="009879BF" w:rsidRPr="003B3C05" w:rsidRDefault="009879BF" w:rsidP="003B3C05">
      <w:pPr>
        <w:numPr>
          <w:ilvl w:val="0"/>
          <w:numId w:val="19"/>
        </w:numPr>
        <w:spacing w:after="120"/>
        <w:rPr>
          <w:bCs/>
        </w:rPr>
      </w:pPr>
      <w:r w:rsidRPr="003B3C05">
        <w:rPr>
          <w:bCs/>
        </w:rPr>
        <w:t>the location of IAHP funded health services by remoteness</w:t>
      </w:r>
    </w:p>
    <w:p w14:paraId="3570C0B6" w14:textId="7DA59903" w:rsidR="009879BF" w:rsidRPr="003B3C05" w:rsidRDefault="009879BF" w:rsidP="003B3C05">
      <w:pPr>
        <w:numPr>
          <w:ilvl w:val="0"/>
          <w:numId w:val="19"/>
        </w:numPr>
        <w:spacing w:after="120"/>
        <w:rPr>
          <w:bCs/>
        </w:rPr>
      </w:pPr>
      <w:r w:rsidRPr="003B3C05">
        <w:rPr>
          <w:bCs/>
        </w:rPr>
        <w:lastRenderedPageBreak/>
        <w:t>the location of IAHP funded health services by an index of per-capita need for primary health care for Aboriginal and Torres Strait Islander people</w:t>
      </w:r>
    </w:p>
    <w:p w14:paraId="419DC91A" w14:textId="03070201" w:rsidR="009879BF" w:rsidRPr="003B3C05" w:rsidRDefault="009879BF" w:rsidP="003B3C05">
      <w:pPr>
        <w:numPr>
          <w:ilvl w:val="0"/>
          <w:numId w:val="19"/>
        </w:numPr>
        <w:spacing w:after="120"/>
        <w:rPr>
          <w:bCs/>
        </w:rPr>
      </w:pPr>
      <w:r w:rsidRPr="003B3C05">
        <w:rPr>
          <w:bCs/>
        </w:rPr>
        <w:t>drive times to IAHP funded health services</w:t>
      </w:r>
      <w:r w:rsidR="00AE273D">
        <w:rPr>
          <w:bCs/>
        </w:rPr>
        <w:t>.</w:t>
      </w:r>
    </w:p>
    <w:p w14:paraId="328C434D" w14:textId="62D24B78" w:rsidR="00F123C1" w:rsidRDefault="000924CA" w:rsidP="00651D06">
      <w:pPr>
        <w:pStyle w:val="Heading3"/>
      </w:pPr>
      <w:r>
        <w:t xml:space="preserve">Determining </w:t>
      </w:r>
      <w:r w:rsidR="000A78F9">
        <w:t>primary care coverage and access is complex</w:t>
      </w:r>
    </w:p>
    <w:p w14:paraId="1D35AFEB" w14:textId="77777777" w:rsidR="00F10D0C" w:rsidRDefault="00F10D0C" w:rsidP="00F10D0C">
      <w:r w:rsidRPr="00F10D0C">
        <w:t>There are several challenges in statistically determining the coverage of PHC for Aboriginal and Torres Strait Islander people, and differences in the purpose, scope, or sampling for different data collections do not capture all groups of Aboriginal and Torres Strait Islander people.</w:t>
      </w:r>
    </w:p>
    <w:p w14:paraId="1FB11651" w14:textId="03F37BEB" w:rsidR="00010FF9" w:rsidRPr="00884FAA" w:rsidRDefault="00475FCC" w:rsidP="00010FF9">
      <w:r>
        <w:t xml:space="preserve">Determining the factors that affect accessibility of PHC </w:t>
      </w:r>
      <w:r w:rsidR="00E27674">
        <w:t>is also challenging. Accessibility can include</w:t>
      </w:r>
      <w:r w:rsidR="00010FF9" w:rsidRPr="00884FAA">
        <w:t xml:space="preserve"> availability, affordability, ability to engage, acceptability, and approachability. The range of barriers to access are recognised in the Health Performance Framework </w:t>
      </w:r>
      <w:r w:rsidR="00010FF9" w:rsidRPr="00884FAA">
        <w:fldChar w:fldCharType="begin"/>
      </w:r>
      <w:r w:rsidR="00F8760E">
        <w:instrText xml:space="preserve"> ADDIN ZOTERO_ITEM CSL_CITATION {"citationID":"u7L2V5Bc","properties":{"formattedCitation":"(Australian Institute of Health and Welfare, 2020a)","plainCitation":"(Australian Institute of Health and Welfare, 2020a)","noteIndex":0},"citationItems":[{"id":3730,"uris":["http://zotero.org/groups/5010721/items/RM6M3J7J",["http://zotero.org/groups/5010721/items/RM6M3J7J"],["http://zotero.org/groups/5010721/items/RM6M3J7J",["http://zotero.org/groups/5010721/items/RM6M3J7J"]]],"itemData":{"id":3730,"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2","publisher":"Commonwealth of Australia","publisher-place":"Canberra","title":"Aboriginal and Torres Strait Islander Health Performance Framework 2020 summary report","URL":"https://www.indigenoushpf.gov.au/publications/hpf-summary-2020","author":[{"literal":"Australian Institute of Health and Welfare"}],"accessed":{"date-parts":[["2021",9,28]]},"issued":{"date-parts":[["2020"]]}}}],"schema":"https://github.com/citation-style-language/schema/raw/master/csl-citation.json"} </w:instrText>
      </w:r>
      <w:r w:rsidR="00010FF9" w:rsidRPr="00884FAA">
        <w:fldChar w:fldCharType="separate"/>
      </w:r>
      <w:r w:rsidR="00010FF9" w:rsidRPr="00C071E7">
        <w:rPr>
          <w:rFonts w:ascii="Arial" w:hAnsi="Arial" w:cs="Arial"/>
        </w:rPr>
        <w:t>(Australian Institute of Health and Welfare, 2020a)</w:t>
      </w:r>
      <w:r w:rsidR="00010FF9" w:rsidRPr="00884FAA">
        <w:fldChar w:fldCharType="end"/>
      </w:r>
      <w:r w:rsidR="00010FF9" w:rsidRPr="00884FAA">
        <w:t xml:space="preserve">. This also includes transport-distance challenges, cost, and cultural appropriateness of services. </w:t>
      </w:r>
    </w:p>
    <w:p w14:paraId="677D7C7B" w14:textId="0BCC372D" w:rsidR="00C77B80" w:rsidRPr="00884FAA" w:rsidRDefault="00C77B80" w:rsidP="00C77B80">
      <w:r w:rsidRPr="00884FAA">
        <w:t xml:space="preserve">Data published in the Health Performance Framework </w:t>
      </w:r>
      <w:r w:rsidRPr="00884FAA">
        <w:fldChar w:fldCharType="begin"/>
      </w:r>
      <w:r w:rsidR="00F8760E">
        <w:instrText xml:space="preserve"> ADDIN ZOTERO_ITEM CSL_CITATION {"citationID":"9mQh3nmv","properties":{"formattedCitation":"(Australian Institute of Health and Welfare, 2020b)","plainCitation":"(Australian Institute of Health and Welfare, 2020b)","noteIndex":0},"citationItems":[{"id":336,"uris":["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itemData":{"id":336,"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2","publisher-place":"Canberra","title":"Aboriginal and Torres Strait Islander Health Performance Framework (HPF)","URL":"https://www.indigenoushpf.gov.au/","author":[{"literal":"Australian Institute of Health and Welfare"}],"accessed":{"date-parts":[["2021",9,28]]},"issued":{"date-parts":[["2020"]]}}}],"schema":"https://github.com/citation-style-language/schema/raw/master/csl-citation.json"} </w:instrText>
      </w:r>
      <w:r w:rsidRPr="00884FAA">
        <w:fldChar w:fldCharType="separate"/>
      </w:r>
      <w:r w:rsidRPr="00417772">
        <w:rPr>
          <w:rFonts w:ascii="Arial" w:hAnsi="Arial" w:cs="Arial"/>
        </w:rPr>
        <w:t>(Australian Institute of Health and Welfare, 2020b)</w:t>
      </w:r>
      <w:r w:rsidRPr="00884FAA">
        <w:fldChar w:fldCharType="end"/>
      </w:r>
      <w:r w:rsidRPr="00884FAA">
        <w:t xml:space="preserve"> indicate that in 2018-19, 12.5% of Aboriginal and Torres Strait Islander persons did not go to a doctor in the last 12 months despite evidence of need (7.9% remote; 13.5% non-remote).</w:t>
      </w:r>
      <w:r w:rsidRPr="005D1C41">
        <w:rPr>
          <w:rStyle w:val="FootnoteReference"/>
        </w:rPr>
        <w:footnoteReference w:id="42"/>
      </w:r>
      <w:r w:rsidRPr="00884FAA">
        <w:t xml:space="preserve"> Of these: </w:t>
      </w:r>
    </w:p>
    <w:p w14:paraId="541D62C2" w14:textId="77777777" w:rsidR="00C77B80" w:rsidRPr="00343EB2" w:rsidRDefault="00C77B80" w:rsidP="00343EB2">
      <w:pPr>
        <w:numPr>
          <w:ilvl w:val="0"/>
          <w:numId w:val="19"/>
        </w:numPr>
        <w:spacing w:after="120"/>
        <w:rPr>
          <w:bCs/>
        </w:rPr>
      </w:pPr>
      <w:r w:rsidRPr="00343EB2">
        <w:rPr>
          <w:bCs/>
        </w:rPr>
        <w:t xml:space="preserve">2.2% indicated that the service was unavailable in their area (10.2% remote, 0.9% non-remote) </w:t>
      </w:r>
    </w:p>
    <w:p w14:paraId="066291C9" w14:textId="77777777" w:rsidR="00C77B80" w:rsidRPr="00343EB2" w:rsidRDefault="00C77B80" w:rsidP="00343EB2">
      <w:pPr>
        <w:numPr>
          <w:ilvl w:val="0"/>
          <w:numId w:val="19"/>
        </w:numPr>
        <w:spacing w:after="120"/>
        <w:rPr>
          <w:bCs/>
        </w:rPr>
      </w:pPr>
      <w:r w:rsidRPr="00343EB2">
        <w:rPr>
          <w:bCs/>
        </w:rPr>
        <w:t>13.8% reported transport/distance as a reason for not attending (22.9% remote, 12.7% non-remote)</w:t>
      </w:r>
    </w:p>
    <w:p w14:paraId="0E7F6F50" w14:textId="77777777" w:rsidR="00C77B80" w:rsidRPr="00343EB2" w:rsidRDefault="00C77B80" w:rsidP="00343EB2">
      <w:pPr>
        <w:numPr>
          <w:ilvl w:val="0"/>
          <w:numId w:val="19"/>
        </w:numPr>
        <w:spacing w:after="120"/>
        <w:rPr>
          <w:bCs/>
        </w:rPr>
      </w:pPr>
      <w:r w:rsidRPr="00343EB2">
        <w:rPr>
          <w:bCs/>
        </w:rPr>
        <w:t>15.7% reported that the waiting time was too long, or service was not available at the time required (23.7% remote, 15.2% non-remote)</w:t>
      </w:r>
    </w:p>
    <w:p w14:paraId="49DE18BE" w14:textId="77777777" w:rsidR="00C77B80" w:rsidRPr="00884FAA" w:rsidRDefault="00C77B80" w:rsidP="00343EB2">
      <w:pPr>
        <w:numPr>
          <w:ilvl w:val="0"/>
          <w:numId w:val="19"/>
        </w:numPr>
        <w:spacing w:after="120"/>
      </w:pPr>
      <w:r w:rsidRPr="00343EB2">
        <w:rPr>
          <w:bCs/>
        </w:rPr>
        <w:t>7.4% reported cost as the</w:t>
      </w:r>
      <w:r w:rsidRPr="00884FAA">
        <w:t xml:space="preserve"> reason for not attending (5.9% remote, 7.8% remote)</w:t>
      </w:r>
    </w:p>
    <w:p w14:paraId="68681234" w14:textId="5C681F4E" w:rsidR="00C77B80" w:rsidRPr="00884FAA" w:rsidRDefault="00C77B80" w:rsidP="00343EB2">
      <w:pPr>
        <w:numPr>
          <w:ilvl w:val="0"/>
          <w:numId w:val="19"/>
        </w:numPr>
        <w:spacing w:after="120"/>
      </w:pPr>
      <w:r w:rsidRPr="00884FAA">
        <w:t xml:space="preserve">33.4% reported reasons relating to the cultural appropriateness of the health service as the reason for not attending (26.2% remote, 35.1% non-remote) </w:t>
      </w:r>
      <w:r w:rsidRPr="00884FAA">
        <w:fldChar w:fldCharType="begin"/>
      </w:r>
      <w:r w:rsidR="00F8760E">
        <w:instrText xml:space="preserve"> ADDIN ZOTERO_ITEM CSL_CITATION {"citationID":"u6cWpNF5","properties":{"formattedCitation":"(Australian Institute of Health and Welfare, 2020b)","plainCitation":"(Australian Institute of Health and Welfare, 2020b)","noteIndex":0},"citationItems":[{"id":336,"uris":["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http://zotero.org/groups/4420056/items/VBUJ4WJL"]]]]],"itemData":{"id":336,"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2","publisher-place":"Canberra","title":"Aboriginal and Torres Strait Islander Health Performance Framework (HPF)","URL":"https://www.indigenoushpf.gov.au/","author":[{"literal":"Australian Institute of Health and Welfare"}],"accessed":{"date-parts":[["2021",9,28]]},"issued":{"date-parts":[["2020"]]}}}],"schema":"https://github.com/citation-style-language/schema/raw/master/csl-citation.json"} </w:instrText>
      </w:r>
      <w:r w:rsidRPr="00884FAA">
        <w:fldChar w:fldCharType="separate"/>
      </w:r>
      <w:r w:rsidRPr="00417772">
        <w:rPr>
          <w:rFonts w:ascii="Arial" w:hAnsi="Arial" w:cs="Arial"/>
        </w:rPr>
        <w:t>(Australian Institute of Health and Welfare, 2020b)</w:t>
      </w:r>
      <w:r w:rsidRPr="00884FAA">
        <w:fldChar w:fldCharType="end"/>
      </w:r>
      <w:r w:rsidRPr="00884FAA">
        <w:t>.</w:t>
      </w:r>
    </w:p>
    <w:p w14:paraId="7B8F4548" w14:textId="77777777" w:rsidR="00C77B80" w:rsidRPr="00884FAA" w:rsidRDefault="00C77B80" w:rsidP="00C77B80">
      <w:r w:rsidRPr="00884FAA">
        <w:t xml:space="preserve">Similar patterns of barriers to access were reported for other health professionals, dentists, and counsellors, although cost was reported more often as a barrier for each of these groups (other health professional 36.2%, dentist 41.6% and counsellor 13.6%). </w:t>
      </w:r>
    </w:p>
    <w:p w14:paraId="4261C6AE" w14:textId="1AF7E382" w:rsidR="00C77B80" w:rsidRPr="00884FAA" w:rsidRDefault="00C77B80" w:rsidP="00C77B80">
      <w:r w:rsidRPr="00884FAA">
        <w:lastRenderedPageBreak/>
        <w:t>Available data may only provide a partial picture of the accessibility of health care. People who are not engaged with the health system are not going to be identified by data collection processes within the health system. Survey design may also exclude certain perspectives. For example, it is important to note that the National Aboriginal and Torres Strait Islander Health Survey (as with other ABS household surveys), does not include visitors to private dwellings, people who live in non-private dwellings such as hostels, hospitals, nursing homes, or short-stay accommodation, people who are incarcerated, or people experiencing homelessness</w:t>
      </w:r>
      <w:r>
        <w:t xml:space="preserve"> within the sample</w:t>
      </w:r>
      <w:r w:rsidRPr="00884FAA">
        <w:t xml:space="preserve"> </w:t>
      </w:r>
      <w:r w:rsidRPr="00884FAA">
        <w:fldChar w:fldCharType="begin"/>
      </w:r>
      <w:r w:rsidR="00F8760E">
        <w:instrText xml:space="preserve"> ADDIN ZOTERO_ITEM CSL_CITATION {"citationID":"Z6iwm2xR","properties":{"formattedCitation":"(Australian Bureau of Statistics, 2019)","plainCitation":"(Australian Bureau of Statistics, 2019)","noteIndex":0},"citationItems":[{"id":3748,"uris":["http://zotero.org/groups/5010721/items/W482BWGP",["http://zotero.org/groups/5010721/items/W482BWGP"],["http://zotero.org/groups/5010721/items/W482BWGP",["http://zotero.org/groups/5010721/items/W482BWGP"]]],"itemData":{"id":3748,"type":"webpage","abstract":"Statistics about long-term health conditions, disability, lifestyle factors, physical harm and use of health services","container-title":"abs.gov.au","genre":"website text","language":"en","note":"Commonwealth of Australia","title":"National Aboriginal and Torres Strait Islander Health Survey Methodology, 2018-19 financial year | Australian Bureau of Statistics","URL":"https://www.abs.gov.au/methodologies/national-aboriginal-and-torres-strait-islander-health-survey-methodology/2018-19","author":[{"literal":"Australian Bureau of Statistics"}],"accessed":{"date-parts":[["2021",11,8]]},"issued":{"date-parts":[["2019",12,11]]}}}],"schema":"https://github.com/citation-style-language/schema/raw/master/csl-citation.json"} </w:instrText>
      </w:r>
      <w:r w:rsidRPr="00884FAA">
        <w:fldChar w:fldCharType="separate"/>
      </w:r>
      <w:r w:rsidRPr="00A14B44">
        <w:rPr>
          <w:rFonts w:ascii="Arial" w:hAnsi="Arial" w:cs="Arial"/>
        </w:rPr>
        <w:t>(Australian Bureau of Statistics, 2019)</w:t>
      </w:r>
      <w:r w:rsidRPr="00884FAA">
        <w:fldChar w:fldCharType="end"/>
      </w:r>
      <w:r w:rsidRPr="00884FAA">
        <w:t xml:space="preserve">. Importantly, these groups match many of the groups where unmet need was identified over the course of </w:t>
      </w:r>
      <w:r>
        <w:t>the</w:t>
      </w:r>
      <w:r w:rsidRPr="00884FAA">
        <w:t xml:space="preserve"> evaluation.</w:t>
      </w:r>
    </w:p>
    <w:p w14:paraId="4F1B7317" w14:textId="697E9438" w:rsidR="000A78F9" w:rsidRPr="00884FAA" w:rsidRDefault="00C77B80" w:rsidP="0002003C">
      <w:r w:rsidRPr="00884FAA">
        <w:t>Understanding the experiences of Aboriginal and Torres Strait Islander people within the health system is also dependent on data collection, recording, and reporting processes about a person’s identity as an Aboriginal and Torres Strait Islander. Even where this information is recorded, it may not provide any information about an Aboriginal and Torres Strait Islander’s Country, community, and cultural connections.</w:t>
      </w:r>
      <w:r w:rsidR="00AA35E2">
        <w:t xml:space="preserve">  </w:t>
      </w:r>
    </w:p>
    <w:p w14:paraId="170A2E45" w14:textId="5181C703" w:rsidR="00C760A2" w:rsidRPr="00884FAA" w:rsidRDefault="005C126B" w:rsidP="00651D06">
      <w:pPr>
        <w:pStyle w:val="Heading3"/>
      </w:pPr>
      <w:r w:rsidRPr="00884FAA">
        <w:t xml:space="preserve">Unmet need </w:t>
      </w:r>
      <w:r w:rsidR="00EA1F67" w:rsidRPr="00884FAA">
        <w:t xml:space="preserve">persists for some vulnerable cohorts </w:t>
      </w:r>
    </w:p>
    <w:p w14:paraId="7C9DB90C" w14:textId="712F4233" w:rsidR="00C760A2" w:rsidRPr="00884FAA" w:rsidRDefault="00C760A2" w:rsidP="00C760A2">
      <w:r w:rsidRPr="00884FAA">
        <w:t xml:space="preserve">Aboriginal and Torres Strait Islander community members, </w:t>
      </w:r>
      <w:r w:rsidR="00B83BF5" w:rsidRPr="00884FAA">
        <w:t>ACCHS staff</w:t>
      </w:r>
      <w:r w:rsidR="00B8082C" w:rsidRPr="00884FAA">
        <w:t>,</w:t>
      </w:r>
      <w:r w:rsidR="00B83BF5" w:rsidRPr="00884FAA">
        <w:t xml:space="preserve"> and</w:t>
      </w:r>
      <w:r w:rsidRPr="00884FAA">
        <w:t xml:space="preserve"> PHN </w:t>
      </w:r>
      <w:r w:rsidR="00B83BF5" w:rsidRPr="00884FAA">
        <w:t>staff</w:t>
      </w:r>
      <w:r w:rsidRPr="00884FAA">
        <w:t xml:space="preserve"> are concerned about too many ‘unmet needs’ and an inability to ‘fill those gaps’. They identified the following population groups and service areas with </w:t>
      </w:r>
      <w:r w:rsidR="004C3559" w:rsidRPr="00884FAA">
        <w:t xml:space="preserve">enduring </w:t>
      </w:r>
      <w:r w:rsidRPr="00884FAA">
        <w:t>unmet needs:</w:t>
      </w:r>
    </w:p>
    <w:p w14:paraId="49D0F31A" w14:textId="77777777" w:rsidR="00C760A2" w:rsidRPr="00343EB2" w:rsidRDefault="00C760A2" w:rsidP="00343EB2">
      <w:pPr>
        <w:numPr>
          <w:ilvl w:val="0"/>
          <w:numId w:val="19"/>
        </w:numPr>
        <w:spacing w:after="120"/>
        <w:rPr>
          <w:bCs/>
        </w:rPr>
      </w:pPr>
      <w:r w:rsidRPr="00343EB2">
        <w:rPr>
          <w:bCs/>
        </w:rPr>
        <w:t xml:space="preserve">transient populations (including people on the move for cultural events, and those with chronic illnesses who it is then hard to provide continuity of care) </w:t>
      </w:r>
    </w:p>
    <w:p w14:paraId="700AFC17" w14:textId="77777777" w:rsidR="00C760A2" w:rsidRPr="00343EB2" w:rsidRDefault="00C760A2" w:rsidP="00343EB2">
      <w:pPr>
        <w:numPr>
          <w:ilvl w:val="0"/>
          <w:numId w:val="19"/>
        </w:numPr>
        <w:spacing w:after="120"/>
        <w:rPr>
          <w:bCs/>
        </w:rPr>
      </w:pPr>
      <w:r w:rsidRPr="00343EB2">
        <w:rPr>
          <w:bCs/>
        </w:rPr>
        <w:t>pregnant women (mainly in remote sites)</w:t>
      </w:r>
    </w:p>
    <w:p w14:paraId="707601C7" w14:textId="75F1DF0F" w:rsidR="00C760A2" w:rsidRPr="00343EB2" w:rsidRDefault="00C760A2" w:rsidP="00343EB2">
      <w:pPr>
        <w:numPr>
          <w:ilvl w:val="0"/>
          <w:numId w:val="19"/>
        </w:numPr>
        <w:spacing w:after="120"/>
        <w:rPr>
          <w:bCs/>
        </w:rPr>
      </w:pPr>
      <w:r w:rsidRPr="00343EB2">
        <w:rPr>
          <w:bCs/>
        </w:rPr>
        <w:t>school-aged children</w:t>
      </w:r>
      <w:r w:rsidR="00B83BF5" w:rsidRPr="00343EB2">
        <w:rPr>
          <w:bCs/>
        </w:rPr>
        <w:t xml:space="preserve"> and young people</w:t>
      </w:r>
      <w:r w:rsidR="00743426" w:rsidRPr="00343EB2">
        <w:rPr>
          <w:bCs/>
        </w:rPr>
        <w:t xml:space="preserve"> (this is further discussed in the next section)</w:t>
      </w:r>
    </w:p>
    <w:p w14:paraId="7A2F2035" w14:textId="77777777" w:rsidR="00C760A2" w:rsidRPr="00343EB2" w:rsidRDefault="00C760A2" w:rsidP="00343EB2">
      <w:pPr>
        <w:numPr>
          <w:ilvl w:val="0"/>
          <w:numId w:val="19"/>
        </w:numPr>
        <w:spacing w:after="120"/>
        <w:rPr>
          <w:bCs/>
        </w:rPr>
      </w:pPr>
      <w:r w:rsidRPr="00343EB2">
        <w:rPr>
          <w:bCs/>
        </w:rPr>
        <w:t>elders in aged care facilities, including respite care</w:t>
      </w:r>
    </w:p>
    <w:p w14:paraId="7CF38743" w14:textId="77777777" w:rsidR="00C760A2" w:rsidRPr="00343EB2" w:rsidRDefault="00C760A2" w:rsidP="00343EB2">
      <w:pPr>
        <w:numPr>
          <w:ilvl w:val="0"/>
          <w:numId w:val="19"/>
        </w:numPr>
        <w:spacing w:after="120"/>
        <w:rPr>
          <w:bCs/>
        </w:rPr>
      </w:pPr>
      <w:r w:rsidRPr="00343EB2">
        <w:rPr>
          <w:bCs/>
        </w:rPr>
        <w:t>chronic disease patients, especially those living remotely and those requiring diabetes care</w:t>
      </w:r>
    </w:p>
    <w:p w14:paraId="259918D7" w14:textId="77777777" w:rsidR="00C760A2" w:rsidRPr="00343EB2" w:rsidRDefault="00C760A2" w:rsidP="00343EB2">
      <w:pPr>
        <w:numPr>
          <w:ilvl w:val="0"/>
          <w:numId w:val="19"/>
        </w:numPr>
        <w:spacing w:after="120"/>
        <w:rPr>
          <w:bCs/>
        </w:rPr>
      </w:pPr>
      <w:r w:rsidRPr="00343EB2">
        <w:rPr>
          <w:bCs/>
        </w:rPr>
        <w:t>prisoner populations, and those leaving prison</w:t>
      </w:r>
    </w:p>
    <w:p w14:paraId="7D5AC18D" w14:textId="77777777" w:rsidR="00C760A2" w:rsidRPr="00343EB2" w:rsidRDefault="00C760A2" w:rsidP="00343EB2">
      <w:pPr>
        <w:numPr>
          <w:ilvl w:val="0"/>
          <w:numId w:val="19"/>
        </w:numPr>
        <w:spacing w:after="120"/>
        <w:rPr>
          <w:bCs/>
        </w:rPr>
      </w:pPr>
      <w:r w:rsidRPr="00343EB2">
        <w:rPr>
          <w:bCs/>
        </w:rPr>
        <w:t>clients with mobility issues</w:t>
      </w:r>
    </w:p>
    <w:p w14:paraId="1DC02913" w14:textId="77777777" w:rsidR="00C760A2" w:rsidRPr="00343EB2" w:rsidRDefault="00C760A2" w:rsidP="00343EB2">
      <w:pPr>
        <w:numPr>
          <w:ilvl w:val="0"/>
          <w:numId w:val="19"/>
        </w:numPr>
        <w:spacing w:after="120"/>
        <w:rPr>
          <w:bCs/>
        </w:rPr>
      </w:pPr>
      <w:r w:rsidRPr="00343EB2">
        <w:rPr>
          <w:bCs/>
        </w:rPr>
        <w:t>mental health and child psychology</w:t>
      </w:r>
    </w:p>
    <w:p w14:paraId="6FF47246" w14:textId="77777777" w:rsidR="00C760A2" w:rsidRPr="00343EB2" w:rsidRDefault="00C760A2" w:rsidP="00343EB2">
      <w:pPr>
        <w:numPr>
          <w:ilvl w:val="0"/>
          <w:numId w:val="19"/>
        </w:numPr>
        <w:spacing w:after="120"/>
        <w:rPr>
          <w:bCs/>
        </w:rPr>
      </w:pPr>
      <w:r w:rsidRPr="00343EB2">
        <w:rPr>
          <w:bCs/>
        </w:rPr>
        <w:t>drug and alcohol support</w:t>
      </w:r>
    </w:p>
    <w:p w14:paraId="0FD0E65D" w14:textId="77777777" w:rsidR="00C760A2" w:rsidRPr="00343EB2" w:rsidRDefault="00C760A2" w:rsidP="00343EB2">
      <w:pPr>
        <w:numPr>
          <w:ilvl w:val="0"/>
          <w:numId w:val="19"/>
        </w:numPr>
        <w:spacing w:after="120"/>
        <w:rPr>
          <w:bCs/>
        </w:rPr>
      </w:pPr>
      <w:r w:rsidRPr="00343EB2">
        <w:rPr>
          <w:bCs/>
        </w:rPr>
        <w:t>dental care</w:t>
      </w:r>
    </w:p>
    <w:p w14:paraId="5C2225DF" w14:textId="77777777" w:rsidR="00C760A2" w:rsidRPr="00343EB2" w:rsidRDefault="00C760A2" w:rsidP="00343EB2">
      <w:pPr>
        <w:numPr>
          <w:ilvl w:val="0"/>
          <w:numId w:val="19"/>
        </w:numPr>
        <w:spacing w:after="120"/>
        <w:rPr>
          <w:bCs/>
        </w:rPr>
      </w:pPr>
      <w:r w:rsidRPr="00343EB2">
        <w:rPr>
          <w:bCs/>
        </w:rPr>
        <w:t>hereditary illness</w:t>
      </w:r>
    </w:p>
    <w:p w14:paraId="2513BCAC" w14:textId="77777777" w:rsidR="00C760A2" w:rsidRPr="00343EB2" w:rsidRDefault="00C760A2" w:rsidP="00343EB2">
      <w:pPr>
        <w:numPr>
          <w:ilvl w:val="0"/>
          <w:numId w:val="19"/>
        </w:numPr>
        <w:spacing w:after="120"/>
        <w:rPr>
          <w:bCs/>
        </w:rPr>
      </w:pPr>
      <w:r w:rsidRPr="00343EB2">
        <w:rPr>
          <w:bCs/>
        </w:rPr>
        <w:t>eye health.</w:t>
      </w:r>
    </w:p>
    <w:p w14:paraId="6C4C526A" w14:textId="688480C4" w:rsidR="001E0E1A" w:rsidRPr="00884FAA" w:rsidRDefault="001E0E1A" w:rsidP="00C760A2">
      <w:r w:rsidRPr="00884FAA">
        <w:t xml:space="preserve">ACCHS managers advised that they often continue to see and treat many people with complex health needs without the proper funding to provide the quality care needed. The implications of these unmet needs and the inability to fill these gaps include health service staff physically and emotionally burning out from attempting to do everything they can to support the community, but not having the resources to provide care at the level a person requires. </w:t>
      </w:r>
    </w:p>
    <w:p w14:paraId="56890E8A" w14:textId="073DC166" w:rsidR="00743CAA" w:rsidRDefault="0053582A" w:rsidP="00651D06">
      <w:pPr>
        <w:pStyle w:val="Heading3"/>
      </w:pPr>
      <w:bookmarkStart w:id="200" w:name="_Ref131606046"/>
      <w:r w:rsidRPr="00884FAA">
        <w:lastRenderedPageBreak/>
        <w:t xml:space="preserve">Primary health care is not meeting the needs of </w:t>
      </w:r>
      <w:r w:rsidR="007B78C0">
        <w:t xml:space="preserve">many </w:t>
      </w:r>
      <w:r w:rsidRPr="00884FAA">
        <w:t>young people</w:t>
      </w:r>
      <w:bookmarkEnd w:id="200"/>
      <w:r w:rsidRPr="00884FAA">
        <w:t xml:space="preserve"> </w:t>
      </w:r>
    </w:p>
    <w:p w14:paraId="6A20DB19" w14:textId="6A8C24AC" w:rsidR="00364B46" w:rsidRDefault="00A56C40" w:rsidP="00667B9F">
      <w:pPr>
        <w:rPr>
          <w:lang w:eastAsia="en-GB"/>
        </w:rPr>
      </w:pPr>
      <w:r w:rsidRPr="007E278E">
        <w:rPr>
          <w:lang w:eastAsia="en-GB"/>
        </w:rPr>
        <w:t>During interviews with ACCHS staff</w:t>
      </w:r>
      <w:r w:rsidR="007E278E">
        <w:rPr>
          <w:lang w:eastAsia="en-GB"/>
        </w:rPr>
        <w:t xml:space="preserve">, </w:t>
      </w:r>
      <w:r w:rsidR="00391E57" w:rsidRPr="00884FAA">
        <w:rPr>
          <w:lang w:eastAsia="en-GB"/>
        </w:rPr>
        <w:t xml:space="preserve">Aboriginal and Torres Strait Islander young people </w:t>
      </w:r>
      <w:r w:rsidR="001970DC">
        <w:rPr>
          <w:lang w:eastAsia="en-GB"/>
        </w:rPr>
        <w:t xml:space="preserve">were consistently identified as </w:t>
      </w:r>
      <w:r w:rsidR="00540EA4" w:rsidRPr="00884FAA">
        <w:rPr>
          <w:lang w:eastAsia="en-GB"/>
        </w:rPr>
        <w:t xml:space="preserve">a missing </w:t>
      </w:r>
      <w:r w:rsidR="00391E57" w:rsidRPr="00884FAA">
        <w:rPr>
          <w:lang w:eastAsia="en-GB"/>
        </w:rPr>
        <w:t>cohort regarding equitable, effective, accessible, acceptable</w:t>
      </w:r>
      <w:r w:rsidR="0053165C" w:rsidRPr="00884FAA">
        <w:rPr>
          <w:lang w:eastAsia="en-GB"/>
        </w:rPr>
        <w:t xml:space="preserve">, </w:t>
      </w:r>
      <w:r w:rsidR="00391E57" w:rsidRPr="00884FAA">
        <w:rPr>
          <w:lang w:eastAsia="en-GB"/>
        </w:rPr>
        <w:t xml:space="preserve">and appropriate </w:t>
      </w:r>
      <w:r w:rsidR="00807F93" w:rsidRPr="00884FAA">
        <w:rPr>
          <w:lang w:eastAsia="en-GB"/>
        </w:rPr>
        <w:t>health care</w:t>
      </w:r>
      <w:r w:rsidR="00391E57" w:rsidRPr="00884FAA">
        <w:rPr>
          <w:lang w:eastAsia="en-GB"/>
        </w:rPr>
        <w:t xml:space="preserve">. </w:t>
      </w:r>
      <w:r w:rsidR="00C84113">
        <w:rPr>
          <w:lang w:eastAsia="en-GB"/>
        </w:rPr>
        <w:t>Participants discussed their concerns for s</w:t>
      </w:r>
      <w:r w:rsidR="00C84113" w:rsidRPr="00884FAA">
        <w:rPr>
          <w:lang w:eastAsia="en-GB"/>
        </w:rPr>
        <w:t>ustainable</w:t>
      </w:r>
      <w:r w:rsidR="00391E57" w:rsidRPr="00884FAA">
        <w:rPr>
          <w:lang w:eastAsia="en-GB"/>
        </w:rPr>
        <w:t xml:space="preserve"> and equitable health outcomes at the population level and cultural continuity for Aboriginal and Torres Strait Islander </w:t>
      </w:r>
      <w:r w:rsidR="00B83BF5" w:rsidRPr="00884FAA">
        <w:rPr>
          <w:lang w:eastAsia="en-GB"/>
        </w:rPr>
        <w:t>people</w:t>
      </w:r>
      <w:r w:rsidR="00391E57" w:rsidRPr="00884FAA">
        <w:rPr>
          <w:lang w:eastAsia="en-GB"/>
        </w:rPr>
        <w:t xml:space="preserve"> without a specific focus on young people, who constitute a large proportion of the population. </w:t>
      </w:r>
      <w:r w:rsidR="00061D37" w:rsidRPr="00884FAA">
        <w:rPr>
          <w:lang w:eastAsia="en-GB"/>
        </w:rPr>
        <w:t xml:space="preserve">Despite this, </w:t>
      </w:r>
      <w:r w:rsidR="005976AB">
        <w:rPr>
          <w:lang w:eastAsia="en-GB"/>
        </w:rPr>
        <w:t xml:space="preserve">participants </w:t>
      </w:r>
      <w:r w:rsidR="00F133F0">
        <w:rPr>
          <w:lang w:eastAsia="en-GB"/>
        </w:rPr>
        <w:t xml:space="preserve">reflected that </w:t>
      </w:r>
      <w:r w:rsidR="00061D37" w:rsidRPr="00884FAA">
        <w:rPr>
          <w:lang w:eastAsia="en-GB"/>
        </w:rPr>
        <w:t>efforts</w:t>
      </w:r>
      <w:r w:rsidR="00391E57" w:rsidRPr="00884FAA">
        <w:rPr>
          <w:lang w:eastAsia="en-GB"/>
        </w:rPr>
        <w:t xml:space="preserve"> to engage young people </w:t>
      </w:r>
      <w:r w:rsidR="005976AB">
        <w:rPr>
          <w:lang w:eastAsia="en-GB"/>
        </w:rPr>
        <w:t>were</w:t>
      </w:r>
      <w:r w:rsidR="00391E57" w:rsidRPr="00884FAA">
        <w:rPr>
          <w:lang w:eastAsia="en-GB"/>
        </w:rPr>
        <w:t xml:space="preserve"> </w:t>
      </w:r>
      <w:r w:rsidR="007C04C5">
        <w:rPr>
          <w:lang w:eastAsia="en-GB"/>
        </w:rPr>
        <w:t>frequently</w:t>
      </w:r>
      <w:r w:rsidR="00391E57" w:rsidRPr="00884FAA">
        <w:rPr>
          <w:lang w:eastAsia="en-GB"/>
        </w:rPr>
        <w:t xml:space="preserve"> failing. </w:t>
      </w:r>
      <w:r w:rsidR="00F133F0">
        <w:rPr>
          <w:lang w:eastAsia="en-GB"/>
        </w:rPr>
        <w:t xml:space="preserve">Some ACCHS staff </w:t>
      </w:r>
      <w:r w:rsidR="00E735F7">
        <w:rPr>
          <w:lang w:eastAsia="en-GB"/>
        </w:rPr>
        <w:t>reported that the number of young people who access their service</w:t>
      </w:r>
      <w:r w:rsidR="00F17796">
        <w:rPr>
          <w:lang w:eastAsia="en-GB"/>
        </w:rPr>
        <w:t xml:space="preserve">s was relatively high, however it was still a challenge to engage young people </w:t>
      </w:r>
      <w:r w:rsidR="00BA65EC">
        <w:rPr>
          <w:lang w:eastAsia="en-GB"/>
        </w:rPr>
        <w:t>in their health care.</w:t>
      </w:r>
    </w:p>
    <w:p w14:paraId="6D3F56A8" w14:textId="6CE56E44" w:rsidR="00F70584" w:rsidRPr="007E278E" w:rsidRDefault="0097774B" w:rsidP="00667B9F">
      <w:pPr>
        <w:rPr>
          <w:lang w:eastAsia="en-GB"/>
        </w:rPr>
      </w:pPr>
      <w:r>
        <w:rPr>
          <w:lang w:eastAsia="en-GB"/>
        </w:rPr>
        <w:t xml:space="preserve">In yarns with community members, participants also reflected on the health care experiences of young people. </w:t>
      </w:r>
      <w:r w:rsidR="000C0EAF">
        <w:rPr>
          <w:lang w:eastAsia="en-GB"/>
        </w:rPr>
        <w:t xml:space="preserve">Evidence from these yarns </w:t>
      </w:r>
      <w:r w:rsidR="000E663A">
        <w:rPr>
          <w:lang w:eastAsia="en-GB"/>
        </w:rPr>
        <w:t>indicate</w:t>
      </w:r>
      <w:r w:rsidR="000C0EAF">
        <w:rPr>
          <w:lang w:eastAsia="en-GB"/>
        </w:rPr>
        <w:t>s</w:t>
      </w:r>
      <w:r w:rsidR="000E663A">
        <w:rPr>
          <w:lang w:eastAsia="en-GB"/>
        </w:rPr>
        <w:t xml:space="preserve"> </w:t>
      </w:r>
      <w:r w:rsidR="000C0EAF">
        <w:rPr>
          <w:lang w:eastAsia="en-GB"/>
        </w:rPr>
        <w:t xml:space="preserve">that </w:t>
      </w:r>
      <w:r w:rsidR="000E663A">
        <w:rPr>
          <w:lang w:eastAsia="en-GB"/>
        </w:rPr>
        <w:t>y</w:t>
      </w:r>
      <w:r w:rsidR="000E663A" w:rsidRPr="00884FAA">
        <w:rPr>
          <w:lang w:eastAsia="en-GB"/>
        </w:rPr>
        <w:t>oung people are deeply influenced by the care experiences of family members. From a very early age, young people experience the health system either directly or vicariously through family members, friends, or community exposure. The mistrust and fear evoked by witnessing others’ traumatic health experiences weigh heavily on young people. In turn, their own experiences confirm their fears and instil mistrust of health systems in their consciousness.</w:t>
      </w:r>
    </w:p>
    <w:p w14:paraId="48E99AEF" w14:textId="0E353651" w:rsidR="00D8170B" w:rsidRPr="00884FAA" w:rsidRDefault="00441C2E" w:rsidP="00391E57">
      <w:pPr>
        <w:rPr>
          <w:lang w:eastAsia="en-GB"/>
        </w:rPr>
      </w:pPr>
      <w:r w:rsidRPr="00884FAA">
        <w:rPr>
          <w:lang w:eastAsia="en-GB"/>
        </w:rPr>
        <w:t>These experiences affect young people’s future access and most basic interactions with the health system, such as making appointments</w:t>
      </w:r>
      <w:r w:rsidR="00221C7A" w:rsidRPr="00884FAA">
        <w:rPr>
          <w:lang w:eastAsia="en-GB"/>
        </w:rPr>
        <w:t>.</w:t>
      </w:r>
    </w:p>
    <w:p w14:paraId="6F646592" w14:textId="70E6C301" w:rsidR="00D8170B" w:rsidRPr="00A1178E" w:rsidRDefault="00441C2E" w:rsidP="0027742E">
      <w:pPr>
        <w:pStyle w:val="Quote"/>
        <w:spacing w:after="0"/>
        <w:rPr>
          <w:color w:val="18525E" w:themeColor="accent5" w:themeShade="80"/>
          <w:lang w:eastAsia="en-GB"/>
        </w:rPr>
      </w:pPr>
      <w:r w:rsidRPr="00A1178E">
        <w:rPr>
          <w:color w:val="18525E" w:themeColor="accent5" w:themeShade="80"/>
          <w:lang w:eastAsia="en-GB"/>
        </w:rPr>
        <w:t xml:space="preserve">I was like </w:t>
      </w:r>
      <w:r w:rsidR="00221C7A" w:rsidRPr="00A1178E">
        <w:rPr>
          <w:color w:val="18525E" w:themeColor="accent5" w:themeShade="80"/>
          <w:lang w:eastAsia="en-GB"/>
        </w:rPr>
        <w:t>‘</w:t>
      </w:r>
      <w:r w:rsidRPr="00A1178E">
        <w:rPr>
          <w:color w:val="18525E" w:themeColor="accent5" w:themeShade="80"/>
          <w:lang w:eastAsia="en-GB"/>
        </w:rPr>
        <w:t>mum I don't know what I'm doing and what I'm saying</w:t>
      </w:r>
      <w:r w:rsidR="00221C7A" w:rsidRPr="00A1178E">
        <w:rPr>
          <w:color w:val="18525E" w:themeColor="accent5" w:themeShade="80"/>
          <w:lang w:eastAsia="en-GB"/>
        </w:rPr>
        <w:t>’</w:t>
      </w:r>
      <w:r w:rsidRPr="00A1178E">
        <w:rPr>
          <w:color w:val="18525E" w:themeColor="accent5" w:themeShade="80"/>
          <w:lang w:eastAsia="en-GB"/>
        </w:rPr>
        <w:t xml:space="preserve"> she's like </w:t>
      </w:r>
      <w:r w:rsidR="00221C7A" w:rsidRPr="00A1178E">
        <w:rPr>
          <w:color w:val="18525E" w:themeColor="accent5" w:themeShade="80"/>
          <w:lang w:eastAsia="en-GB"/>
        </w:rPr>
        <w:t>‘</w:t>
      </w:r>
      <w:r w:rsidRPr="00A1178E">
        <w:rPr>
          <w:color w:val="18525E" w:themeColor="accent5" w:themeShade="80"/>
          <w:lang w:eastAsia="en-GB"/>
        </w:rPr>
        <w:t>just tell them what you told me</w:t>
      </w:r>
      <w:r w:rsidR="00221C7A" w:rsidRPr="00A1178E">
        <w:rPr>
          <w:color w:val="18525E" w:themeColor="accent5" w:themeShade="80"/>
          <w:lang w:eastAsia="en-GB"/>
        </w:rPr>
        <w:t>’</w:t>
      </w:r>
      <w:r w:rsidRPr="00A1178E">
        <w:rPr>
          <w:color w:val="18525E" w:themeColor="accent5" w:themeShade="80"/>
          <w:lang w:eastAsia="en-GB"/>
        </w:rPr>
        <w:t>. But yeah, took me a while to just get the confidence. And I was just scared</w:t>
      </w:r>
      <w:r w:rsidR="001E0E1A" w:rsidRPr="00A1178E">
        <w:rPr>
          <w:color w:val="18525E" w:themeColor="accent5" w:themeShade="80"/>
          <w:lang w:eastAsia="en-GB"/>
        </w:rPr>
        <w:t>.</w:t>
      </w:r>
    </w:p>
    <w:p w14:paraId="0AC109A0" w14:textId="5FCA55F7" w:rsidR="00992779" w:rsidRPr="00884FAA" w:rsidRDefault="00A3734D" w:rsidP="0027742E">
      <w:pPr>
        <w:pStyle w:val="Quote"/>
        <w:spacing w:before="0"/>
        <w:jc w:val="right"/>
        <w:rPr>
          <w:lang w:eastAsia="en-GB"/>
        </w:rPr>
      </w:pPr>
      <w:r>
        <w:rPr>
          <w:b/>
          <w:bCs/>
          <w:color w:val="auto"/>
          <w:lang w:eastAsia="en-GB"/>
        </w:rPr>
        <w:t>Community member (</w:t>
      </w:r>
      <w:r w:rsidR="00441C2E" w:rsidRPr="00884FAA">
        <w:rPr>
          <w:b/>
          <w:bCs/>
          <w:color w:val="auto"/>
          <w:lang w:eastAsia="en-GB"/>
        </w:rPr>
        <w:t>Young person</w:t>
      </w:r>
      <w:r>
        <w:rPr>
          <w:b/>
          <w:bCs/>
          <w:color w:val="auto"/>
          <w:lang w:eastAsia="en-GB"/>
        </w:rPr>
        <w:t>)</w:t>
      </w:r>
    </w:p>
    <w:p w14:paraId="6B6C14F6" w14:textId="02E70533" w:rsidR="00CA6436" w:rsidRPr="00884FAA" w:rsidRDefault="00CA6436" w:rsidP="00CA6436">
      <w:pPr>
        <w:rPr>
          <w:lang w:eastAsia="en-GB"/>
        </w:rPr>
      </w:pPr>
      <w:r w:rsidRPr="00884FAA">
        <w:rPr>
          <w:lang w:eastAsia="en-GB"/>
        </w:rPr>
        <w:t>Young people shared an almost universal consensus that the health system is not equitable, affordable, accessible, acceptable, appropriate, relatable</w:t>
      </w:r>
      <w:r w:rsidR="00AC5BA8" w:rsidRPr="00884FAA">
        <w:rPr>
          <w:lang w:eastAsia="en-GB"/>
        </w:rPr>
        <w:t>,</w:t>
      </w:r>
      <w:r w:rsidRPr="00884FAA">
        <w:rPr>
          <w:lang w:eastAsia="en-GB"/>
        </w:rPr>
        <w:t xml:space="preserve"> or effective for them. From a care perspective, young people voiced that they are largely disengaged from the current system of response and support because they are not respected and welcomed, care is fragmented and time-consuming, they cannot access care when required, and care is not delivered in youth-friendly ways. </w:t>
      </w:r>
    </w:p>
    <w:p w14:paraId="1118BE9E" w14:textId="67E9D390" w:rsidR="00975DCC" w:rsidRPr="00884FAA" w:rsidRDefault="007A0D4E" w:rsidP="00CA6436">
      <w:pPr>
        <w:rPr>
          <w:lang w:eastAsia="en-GB"/>
        </w:rPr>
      </w:pPr>
      <w:r w:rsidRPr="00884FAA">
        <w:rPr>
          <w:lang w:eastAsia="en-GB"/>
        </w:rPr>
        <w:t xml:space="preserve">Young people described being reluctant to </w:t>
      </w:r>
      <w:r w:rsidR="00975DCC" w:rsidRPr="00884FAA">
        <w:rPr>
          <w:lang w:eastAsia="en-GB"/>
        </w:rPr>
        <w:t xml:space="preserve">seek </w:t>
      </w:r>
      <w:r w:rsidRPr="00884FAA">
        <w:rPr>
          <w:lang w:eastAsia="en-GB"/>
        </w:rPr>
        <w:t>care</w:t>
      </w:r>
      <w:r w:rsidR="0056087A" w:rsidRPr="00884FAA">
        <w:rPr>
          <w:lang w:eastAsia="en-GB"/>
        </w:rPr>
        <w:t xml:space="preserve"> and only access</w:t>
      </w:r>
      <w:r w:rsidR="006A0AA7" w:rsidRPr="00884FAA">
        <w:rPr>
          <w:lang w:eastAsia="en-GB"/>
        </w:rPr>
        <w:t>ing</w:t>
      </w:r>
      <w:r w:rsidR="0056087A" w:rsidRPr="00884FAA">
        <w:rPr>
          <w:lang w:eastAsia="en-GB"/>
        </w:rPr>
        <w:t xml:space="preserve"> services when absolutely necessary</w:t>
      </w:r>
      <w:r w:rsidR="00C16D91" w:rsidRPr="00884FAA">
        <w:rPr>
          <w:lang w:eastAsia="en-GB"/>
        </w:rPr>
        <w:t xml:space="preserve"> given negative experiences</w:t>
      </w:r>
      <w:r w:rsidRPr="00884FAA">
        <w:rPr>
          <w:lang w:eastAsia="en-GB"/>
        </w:rPr>
        <w:t>.</w:t>
      </w:r>
      <w:r w:rsidR="00975DCC" w:rsidRPr="00884FAA">
        <w:rPr>
          <w:lang w:eastAsia="en-GB"/>
        </w:rPr>
        <w:t xml:space="preserve"> </w:t>
      </w:r>
    </w:p>
    <w:p w14:paraId="3D287B74" w14:textId="7F832845" w:rsidR="0056087A" w:rsidRPr="00A1178E" w:rsidRDefault="007A0D4E" w:rsidP="0027742E">
      <w:pPr>
        <w:pStyle w:val="Quote"/>
        <w:spacing w:after="0"/>
        <w:rPr>
          <w:color w:val="18525E" w:themeColor="accent5" w:themeShade="80"/>
          <w:lang w:eastAsia="en-GB"/>
        </w:rPr>
      </w:pPr>
      <w:r w:rsidRPr="00A1178E">
        <w:rPr>
          <w:color w:val="18525E" w:themeColor="accent5" w:themeShade="80"/>
          <w:lang w:eastAsia="en-GB"/>
        </w:rPr>
        <w:t>When I come in, it's mainly with my, like, my family stuff. I'll hold off going to as much as I can</w:t>
      </w:r>
      <w:r w:rsidR="00221C7A" w:rsidRPr="00A1178E">
        <w:rPr>
          <w:color w:val="18525E" w:themeColor="accent5" w:themeShade="80"/>
          <w:lang w:eastAsia="en-GB"/>
        </w:rPr>
        <w:t>.</w:t>
      </w:r>
    </w:p>
    <w:p w14:paraId="1CB6D9A9" w14:textId="34C16DA7" w:rsidR="007A0D4E" w:rsidRPr="00884FAA" w:rsidRDefault="00834135" w:rsidP="0056087A">
      <w:pPr>
        <w:jc w:val="right"/>
        <w:rPr>
          <w:b/>
          <w:bCs/>
          <w:lang w:eastAsia="en-GB"/>
        </w:rPr>
      </w:pPr>
      <w:r>
        <w:rPr>
          <w:b/>
          <w:bCs/>
          <w:lang w:eastAsia="en-GB"/>
        </w:rPr>
        <w:t>Community member (</w:t>
      </w:r>
      <w:r w:rsidR="004A01EA">
        <w:rPr>
          <w:b/>
          <w:bCs/>
          <w:lang w:eastAsia="en-GB"/>
        </w:rPr>
        <w:t>Y</w:t>
      </w:r>
      <w:r w:rsidR="007A0D4E" w:rsidRPr="00884FAA">
        <w:rPr>
          <w:b/>
          <w:bCs/>
          <w:lang w:eastAsia="en-GB"/>
        </w:rPr>
        <w:t>oung person</w:t>
      </w:r>
      <w:r>
        <w:rPr>
          <w:b/>
          <w:bCs/>
          <w:lang w:eastAsia="en-GB"/>
        </w:rPr>
        <w:t>)</w:t>
      </w:r>
    </w:p>
    <w:p w14:paraId="7194BCD9" w14:textId="77777777" w:rsidR="00F1302B" w:rsidRDefault="00F1302B">
      <w:pPr>
        <w:jc w:val="left"/>
        <w:rPr>
          <w:lang w:eastAsia="en-GB"/>
        </w:rPr>
      </w:pPr>
      <w:r>
        <w:rPr>
          <w:lang w:eastAsia="en-GB"/>
        </w:rPr>
        <w:br w:type="page"/>
      </w:r>
    </w:p>
    <w:p w14:paraId="0D62DF9C" w14:textId="221743E7" w:rsidR="00061D37" w:rsidRPr="00884FAA" w:rsidRDefault="00F6234D" w:rsidP="00391E57">
      <w:pPr>
        <w:rPr>
          <w:lang w:eastAsia="en-GB"/>
        </w:rPr>
      </w:pPr>
      <w:r w:rsidRPr="00884FAA">
        <w:rPr>
          <w:lang w:eastAsia="en-GB"/>
        </w:rPr>
        <w:lastRenderedPageBreak/>
        <w:t xml:space="preserve">When accessing care for their own health needs, </w:t>
      </w:r>
      <w:r w:rsidR="00221C7A" w:rsidRPr="00884FAA">
        <w:rPr>
          <w:lang w:eastAsia="en-GB"/>
        </w:rPr>
        <w:t xml:space="preserve">some </w:t>
      </w:r>
      <w:r w:rsidRPr="00884FAA">
        <w:rPr>
          <w:lang w:eastAsia="en-GB"/>
        </w:rPr>
        <w:t>y</w:t>
      </w:r>
      <w:r w:rsidR="00DA623A" w:rsidRPr="00884FAA">
        <w:rPr>
          <w:lang w:eastAsia="en-GB"/>
        </w:rPr>
        <w:t xml:space="preserve">oung people described hostile and dismissive attitudes when trying to access essential care. </w:t>
      </w:r>
    </w:p>
    <w:p w14:paraId="7BE91C5F" w14:textId="77777777" w:rsidR="00FE6CD0" w:rsidRPr="00A1178E" w:rsidRDefault="00FE6CD0" w:rsidP="0027742E">
      <w:pPr>
        <w:pStyle w:val="Quote"/>
        <w:spacing w:after="0"/>
        <w:rPr>
          <w:color w:val="18525E" w:themeColor="accent5" w:themeShade="80"/>
          <w:lang w:eastAsia="en-GB"/>
        </w:rPr>
      </w:pPr>
      <w:r w:rsidRPr="00A1178E">
        <w:rPr>
          <w:color w:val="18525E" w:themeColor="accent5" w:themeShade="80"/>
          <w:lang w:eastAsia="en-GB"/>
        </w:rPr>
        <w:t xml:space="preserve">Pretty much like probably most young kids don't want to go there because they get judged you know. </w:t>
      </w:r>
    </w:p>
    <w:p w14:paraId="5A60802D" w14:textId="2420FA66" w:rsidR="00FE6CD0" w:rsidRPr="00884FAA" w:rsidRDefault="004A01EA" w:rsidP="0027742E">
      <w:pPr>
        <w:pStyle w:val="Quote"/>
        <w:spacing w:before="0"/>
        <w:jc w:val="right"/>
        <w:rPr>
          <w:b/>
          <w:color w:val="auto"/>
          <w:lang w:eastAsia="en-GB"/>
        </w:rPr>
      </w:pPr>
      <w:r>
        <w:rPr>
          <w:b/>
          <w:bCs/>
          <w:color w:val="auto"/>
          <w:lang w:eastAsia="en-GB"/>
        </w:rPr>
        <w:t>Community member (</w:t>
      </w:r>
      <w:r w:rsidR="00FE6CD0" w:rsidRPr="00884FAA">
        <w:rPr>
          <w:b/>
          <w:bCs/>
          <w:color w:val="auto"/>
          <w:lang w:eastAsia="en-GB"/>
        </w:rPr>
        <w:t>Young person</w:t>
      </w:r>
      <w:r>
        <w:rPr>
          <w:b/>
          <w:bCs/>
          <w:color w:val="auto"/>
          <w:lang w:eastAsia="en-GB"/>
        </w:rPr>
        <w:t>)</w:t>
      </w:r>
    </w:p>
    <w:p w14:paraId="332F0962" w14:textId="3D726B2C" w:rsidR="00837014" w:rsidRPr="00884FAA" w:rsidRDefault="00221C7A" w:rsidP="00837014">
      <w:pPr>
        <w:rPr>
          <w:i/>
          <w:iCs/>
          <w:lang w:eastAsia="en-GB"/>
        </w:rPr>
      </w:pPr>
      <w:r w:rsidRPr="00884FAA">
        <w:rPr>
          <w:lang w:eastAsia="en-GB"/>
        </w:rPr>
        <w:t>Some y</w:t>
      </w:r>
      <w:r w:rsidR="00837014" w:rsidRPr="00884FAA">
        <w:rPr>
          <w:lang w:eastAsia="en-GB"/>
        </w:rPr>
        <w:t>oung people</w:t>
      </w:r>
      <w:r w:rsidRPr="00884FAA">
        <w:rPr>
          <w:lang w:eastAsia="en-GB"/>
        </w:rPr>
        <w:t xml:space="preserve"> also</w:t>
      </w:r>
      <w:r w:rsidR="00837014" w:rsidRPr="00884FAA">
        <w:rPr>
          <w:lang w:eastAsia="en-GB"/>
        </w:rPr>
        <w:t xml:space="preserve"> expressed that</w:t>
      </w:r>
      <w:r w:rsidRPr="00884FAA">
        <w:rPr>
          <w:lang w:eastAsia="en-GB"/>
        </w:rPr>
        <w:t xml:space="preserve"> they</w:t>
      </w:r>
      <w:r w:rsidR="00837014" w:rsidRPr="00884FAA">
        <w:rPr>
          <w:lang w:eastAsia="en-GB"/>
        </w:rPr>
        <w:t xml:space="preserve"> were continuously being talked down to by doctors and health service staff</w:t>
      </w:r>
      <w:r w:rsidR="005E3E31" w:rsidRPr="00884FAA">
        <w:rPr>
          <w:lang w:eastAsia="en-GB"/>
        </w:rPr>
        <w:t xml:space="preserve">, which </w:t>
      </w:r>
      <w:r w:rsidR="00837014" w:rsidRPr="00884FAA">
        <w:rPr>
          <w:lang w:eastAsia="en-GB"/>
        </w:rPr>
        <w:t>affected their willingness to engage.</w:t>
      </w:r>
      <w:r w:rsidR="00837014" w:rsidRPr="00884FAA">
        <w:rPr>
          <w:i/>
          <w:iCs/>
          <w:lang w:eastAsia="en-GB"/>
        </w:rPr>
        <w:t xml:space="preserve"> </w:t>
      </w:r>
    </w:p>
    <w:p w14:paraId="249EECA8" w14:textId="5211F848" w:rsidR="00837014" w:rsidRPr="00A1178E" w:rsidRDefault="00837014" w:rsidP="0027742E">
      <w:pPr>
        <w:pStyle w:val="Quote"/>
        <w:spacing w:after="0"/>
        <w:rPr>
          <w:color w:val="18525E" w:themeColor="accent5" w:themeShade="80"/>
          <w:lang w:eastAsia="en-GB"/>
        </w:rPr>
      </w:pPr>
      <w:r w:rsidRPr="00A1178E">
        <w:rPr>
          <w:color w:val="18525E" w:themeColor="accent5" w:themeShade="80"/>
          <w:lang w:eastAsia="en-GB"/>
        </w:rPr>
        <w:t>They feel like if they come in like, you know, they</w:t>
      </w:r>
      <w:r w:rsidR="00D6578B" w:rsidRPr="00A1178E">
        <w:rPr>
          <w:color w:val="18525E" w:themeColor="accent5" w:themeShade="80"/>
          <w:lang w:eastAsia="en-GB"/>
        </w:rPr>
        <w:t>’</w:t>
      </w:r>
      <w:r w:rsidRPr="00A1178E">
        <w:rPr>
          <w:color w:val="18525E" w:themeColor="accent5" w:themeShade="80"/>
          <w:lang w:eastAsia="en-GB"/>
        </w:rPr>
        <w:t>re going to be judged at the front desk, not even about like why they</w:t>
      </w:r>
      <w:r w:rsidR="00D6578B" w:rsidRPr="00A1178E">
        <w:rPr>
          <w:color w:val="18525E" w:themeColor="accent5" w:themeShade="80"/>
          <w:lang w:eastAsia="en-GB"/>
        </w:rPr>
        <w:t>’</w:t>
      </w:r>
      <w:r w:rsidRPr="00A1178E">
        <w:rPr>
          <w:color w:val="18525E" w:themeColor="accent5" w:themeShade="80"/>
          <w:lang w:eastAsia="en-GB"/>
        </w:rPr>
        <w:t>re there. Like, just like what they look for, like what they look like, sorry, and stuff.</w:t>
      </w:r>
      <w:r w:rsidR="00AA35E2" w:rsidRPr="00A1178E">
        <w:rPr>
          <w:color w:val="18525E" w:themeColor="accent5" w:themeShade="80"/>
          <w:lang w:eastAsia="en-GB"/>
        </w:rPr>
        <w:t xml:space="preserve"> </w:t>
      </w:r>
    </w:p>
    <w:p w14:paraId="3B5C9F84" w14:textId="274676F6" w:rsidR="00620D60" w:rsidRPr="00F60E2A" w:rsidRDefault="00834135" w:rsidP="00F60E2A">
      <w:pPr>
        <w:pStyle w:val="Quote"/>
        <w:spacing w:before="0"/>
        <w:jc w:val="right"/>
        <w:rPr>
          <w:b/>
          <w:bCs/>
          <w:color w:val="auto"/>
          <w:lang w:eastAsia="en-GB"/>
        </w:rPr>
      </w:pPr>
      <w:r>
        <w:rPr>
          <w:b/>
          <w:bCs/>
          <w:color w:val="auto"/>
          <w:lang w:eastAsia="en-GB"/>
        </w:rPr>
        <w:t>Community member (</w:t>
      </w:r>
      <w:r w:rsidR="004A01EA">
        <w:rPr>
          <w:b/>
          <w:bCs/>
          <w:color w:val="auto"/>
          <w:lang w:eastAsia="en-GB"/>
        </w:rPr>
        <w:t>Y</w:t>
      </w:r>
      <w:r w:rsidR="00837014" w:rsidRPr="00884FAA">
        <w:rPr>
          <w:b/>
          <w:bCs/>
          <w:color w:val="auto"/>
          <w:lang w:eastAsia="en-GB"/>
        </w:rPr>
        <w:t>oung person</w:t>
      </w:r>
      <w:r>
        <w:rPr>
          <w:b/>
          <w:bCs/>
          <w:color w:val="auto"/>
          <w:lang w:eastAsia="en-GB"/>
        </w:rPr>
        <w:t>)</w:t>
      </w:r>
      <w:r w:rsidR="00837014" w:rsidRPr="00884FAA">
        <w:rPr>
          <w:b/>
          <w:bCs/>
          <w:color w:val="auto"/>
          <w:lang w:eastAsia="en-GB"/>
        </w:rPr>
        <w:t xml:space="preserve"> </w:t>
      </w:r>
    </w:p>
    <w:p w14:paraId="7593604A" w14:textId="46B8D1FD" w:rsidR="004C5607" w:rsidRPr="00884FAA" w:rsidRDefault="004C5607" w:rsidP="00550579">
      <w:pPr>
        <w:rPr>
          <w:lang w:eastAsia="en-GB"/>
        </w:rPr>
      </w:pPr>
      <w:r w:rsidRPr="00884FAA">
        <w:rPr>
          <w:lang w:eastAsia="en-GB"/>
        </w:rPr>
        <w:t xml:space="preserve">For young people accessing health services, some </w:t>
      </w:r>
      <w:r w:rsidR="0047351F" w:rsidRPr="00884FAA">
        <w:rPr>
          <w:lang w:eastAsia="en-GB"/>
        </w:rPr>
        <w:t>experienced</w:t>
      </w:r>
      <w:r w:rsidRPr="00884FAA">
        <w:rPr>
          <w:lang w:eastAsia="en-GB"/>
        </w:rPr>
        <w:t xml:space="preserve"> </w:t>
      </w:r>
      <w:r w:rsidR="00016488" w:rsidRPr="00884FAA">
        <w:rPr>
          <w:lang w:eastAsia="en-GB"/>
        </w:rPr>
        <w:t xml:space="preserve">forced or unwanted medical interventions. </w:t>
      </w:r>
    </w:p>
    <w:p w14:paraId="78B1662B" w14:textId="7C2F95E9" w:rsidR="00016488" w:rsidRPr="00A1178E" w:rsidRDefault="00016488" w:rsidP="0027742E">
      <w:pPr>
        <w:pStyle w:val="Quote"/>
        <w:spacing w:after="0"/>
        <w:rPr>
          <w:color w:val="18525E" w:themeColor="accent5" w:themeShade="80"/>
          <w:lang w:eastAsia="en-GB"/>
        </w:rPr>
      </w:pPr>
      <w:r w:rsidRPr="00A1178E">
        <w:rPr>
          <w:color w:val="18525E" w:themeColor="accent5" w:themeShade="80"/>
          <w:lang w:eastAsia="en-GB"/>
        </w:rPr>
        <w:t xml:space="preserve">Well, doctor [x] put me on the pill when I was a virgin. More or less. I know. She just thought I was, like, then asked if I was seeing anyone, I was like </w:t>
      </w:r>
      <w:r w:rsidR="00221C7A" w:rsidRPr="00A1178E">
        <w:rPr>
          <w:color w:val="18525E" w:themeColor="accent5" w:themeShade="80"/>
          <w:lang w:eastAsia="en-GB"/>
        </w:rPr>
        <w:t>‘</w:t>
      </w:r>
      <w:r w:rsidRPr="00A1178E">
        <w:rPr>
          <w:color w:val="18525E" w:themeColor="accent5" w:themeShade="80"/>
          <w:lang w:eastAsia="en-GB"/>
        </w:rPr>
        <w:t>nah I</w:t>
      </w:r>
      <w:r w:rsidR="004878E3" w:rsidRPr="00A1178E">
        <w:rPr>
          <w:color w:val="18525E" w:themeColor="accent5" w:themeShade="80"/>
          <w:lang w:eastAsia="en-GB"/>
        </w:rPr>
        <w:t>’</w:t>
      </w:r>
      <w:r w:rsidRPr="00A1178E">
        <w:rPr>
          <w:color w:val="18525E" w:themeColor="accent5" w:themeShade="80"/>
          <w:lang w:eastAsia="en-GB"/>
        </w:rPr>
        <w:t>m a virgin</w:t>
      </w:r>
      <w:r w:rsidR="00221C7A" w:rsidRPr="00A1178E">
        <w:rPr>
          <w:color w:val="18525E" w:themeColor="accent5" w:themeShade="80"/>
          <w:lang w:eastAsia="en-GB"/>
        </w:rPr>
        <w:t>’</w:t>
      </w:r>
      <w:r w:rsidRPr="00A1178E">
        <w:rPr>
          <w:color w:val="18525E" w:themeColor="accent5" w:themeShade="80"/>
          <w:lang w:eastAsia="en-GB"/>
        </w:rPr>
        <w:t>. And she just looked me up and down and more or less thought I was lying to her</w:t>
      </w:r>
      <w:r w:rsidR="00221C7A" w:rsidRPr="00A1178E">
        <w:rPr>
          <w:color w:val="18525E" w:themeColor="accent5" w:themeShade="80"/>
          <w:lang w:eastAsia="en-GB"/>
        </w:rPr>
        <w:t xml:space="preserve"> .</w:t>
      </w:r>
      <w:r w:rsidRPr="00A1178E">
        <w:rPr>
          <w:color w:val="18525E" w:themeColor="accent5" w:themeShade="80"/>
          <w:lang w:eastAsia="en-GB"/>
        </w:rPr>
        <w:t xml:space="preserve">… But I still felt insulted, you know, because I knew she thought I was a loser. But or that thought I got around. When I was still a virgin. </w:t>
      </w:r>
    </w:p>
    <w:p w14:paraId="423D3560" w14:textId="43D43607" w:rsidR="00016488" w:rsidRPr="0027742E" w:rsidRDefault="004A01EA" w:rsidP="0027742E">
      <w:pPr>
        <w:pStyle w:val="Quote"/>
        <w:spacing w:before="0"/>
        <w:jc w:val="right"/>
        <w:rPr>
          <w:b/>
          <w:bCs/>
          <w:color w:val="auto"/>
          <w:lang w:eastAsia="en-GB"/>
        </w:rPr>
      </w:pPr>
      <w:r w:rsidRPr="0027742E">
        <w:rPr>
          <w:b/>
          <w:bCs/>
          <w:color w:val="auto"/>
          <w:lang w:eastAsia="en-GB"/>
        </w:rPr>
        <w:t>Community member (</w:t>
      </w:r>
      <w:r w:rsidR="00EF7441">
        <w:rPr>
          <w:b/>
          <w:bCs/>
          <w:color w:val="auto"/>
          <w:lang w:eastAsia="en-GB"/>
        </w:rPr>
        <w:t>Y</w:t>
      </w:r>
      <w:r w:rsidR="00016488" w:rsidRPr="0027742E">
        <w:rPr>
          <w:b/>
          <w:bCs/>
          <w:color w:val="auto"/>
          <w:lang w:eastAsia="en-GB"/>
        </w:rPr>
        <w:t>oung person</w:t>
      </w:r>
      <w:r w:rsidRPr="0027742E">
        <w:rPr>
          <w:b/>
          <w:bCs/>
          <w:color w:val="auto"/>
          <w:lang w:eastAsia="en-GB"/>
        </w:rPr>
        <w:t>)</w:t>
      </w:r>
    </w:p>
    <w:p w14:paraId="41815EB9" w14:textId="604A1835" w:rsidR="006C5AF9" w:rsidRPr="00884FAA" w:rsidRDefault="006C5AF9" w:rsidP="006C5AF9">
      <w:pPr>
        <w:rPr>
          <w:lang w:eastAsia="en-GB"/>
        </w:rPr>
      </w:pPr>
      <w:r w:rsidRPr="00884FAA">
        <w:rPr>
          <w:lang w:eastAsia="en-GB"/>
        </w:rPr>
        <w:t>A young mother also described her experience of childbirth and the poor-quality care she received</w:t>
      </w:r>
      <w:r w:rsidR="00261EEB" w:rsidRPr="00884FAA">
        <w:rPr>
          <w:lang w:eastAsia="en-GB"/>
        </w:rPr>
        <w:t>, including her requests for pain relief being denied</w:t>
      </w:r>
      <w:r w:rsidRPr="00884FAA">
        <w:rPr>
          <w:lang w:eastAsia="en-GB"/>
        </w:rPr>
        <w:t xml:space="preserve">. </w:t>
      </w:r>
    </w:p>
    <w:p w14:paraId="1CE0A2C8" w14:textId="1A874671" w:rsidR="00360D83" w:rsidRPr="00A1178E" w:rsidRDefault="006C5AF9" w:rsidP="0027742E">
      <w:pPr>
        <w:pStyle w:val="Quote"/>
        <w:spacing w:after="0"/>
        <w:rPr>
          <w:color w:val="18525E" w:themeColor="accent5" w:themeShade="80"/>
          <w:lang w:eastAsia="en-GB"/>
        </w:rPr>
      </w:pPr>
      <w:r w:rsidRPr="00A1178E">
        <w:rPr>
          <w:color w:val="18525E" w:themeColor="accent5" w:themeShade="80"/>
          <w:lang w:eastAsia="en-GB"/>
        </w:rPr>
        <w:t>So my contractions started at 6:00, 7:00 Tuesday morning and I went to the hospital like 8:30 Tuesday night and told her that they were getting closer. And I couldn</w:t>
      </w:r>
      <w:r w:rsidR="00D6578B" w:rsidRPr="00A1178E">
        <w:rPr>
          <w:color w:val="18525E" w:themeColor="accent5" w:themeShade="80"/>
          <w:lang w:eastAsia="en-GB"/>
        </w:rPr>
        <w:t>’</w:t>
      </w:r>
      <w:r w:rsidRPr="00A1178E">
        <w:rPr>
          <w:color w:val="18525E" w:themeColor="accent5" w:themeShade="80"/>
          <w:lang w:eastAsia="en-GB"/>
        </w:rPr>
        <w:t>t I thought she was coming soon and I was just sent home. And then a half an hour later, my water was broken. I had to go back up there. And so I got to like six and a half centimetres dilated without any pain relief. And then I had asked her for some pain relief and she tried to say that women 3000 years ago didn</w:t>
      </w:r>
      <w:r w:rsidR="00D6578B" w:rsidRPr="00A1178E">
        <w:rPr>
          <w:color w:val="18525E" w:themeColor="accent5" w:themeShade="80"/>
          <w:lang w:eastAsia="en-GB"/>
        </w:rPr>
        <w:t>’</w:t>
      </w:r>
      <w:r w:rsidRPr="00A1178E">
        <w:rPr>
          <w:color w:val="18525E" w:themeColor="accent5" w:themeShade="80"/>
          <w:lang w:eastAsia="en-GB"/>
        </w:rPr>
        <w:t>t have the option of pain relief. And that</w:t>
      </w:r>
      <w:r w:rsidR="00D6578B" w:rsidRPr="00A1178E">
        <w:rPr>
          <w:color w:val="18525E" w:themeColor="accent5" w:themeShade="80"/>
          <w:lang w:eastAsia="en-GB"/>
        </w:rPr>
        <w:t>’</w:t>
      </w:r>
      <w:r w:rsidRPr="00A1178E">
        <w:rPr>
          <w:color w:val="18525E" w:themeColor="accent5" w:themeShade="80"/>
          <w:lang w:eastAsia="en-GB"/>
        </w:rPr>
        <w:t>s how they did it. Until I abused her and told her that I wanted something. So she eventually gave me the gas while she was getting ready. She just gave me a shot of morphine just to help relax. But she. Yeah, I nearly went through full labour with no pain relief just because she thought that I could have done it. But I had to like a scream and abuse her to get it in the end. Yeah, it wasn</w:t>
      </w:r>
      <w:r w:rsidR="00D6578B" w:rsidRPr="00A1178E">
        <w:rPr>
          <w:color w:val="18525E" w:themeColor="accent5" w:themeShade="80"/>
          <w:lang w:eastAsia="en-GB"/>
        </w:rPr>
        <w:t>’</w:t>
      </w:r>
      <w:r w:rsidRPr="00A1178E">
        <w:rPr>
          <w:color w:val="18525E" w:themeColor="accent5" w:themeShade="80"/>
          <w:lang w:eastAsia="en-GB"/>
        </w:rPr>
        <w:t xml:space="preserve">t a good experience. </w:t>
      </w:r>
    </w:p>
    <w:p w14:paraId="1B1BC723" w14:textId="37A8AB30" w:rsidR="006C5AF9" w:rsidRPr="00884FAA" w:rsidRDefault="004A01EA" w:rsidP="00620D60">
      <w:pPr>
        <w:pStyle w:val="Quote"/>
        <w:spacing w:before="120"/>
        <w:ind w:left="562"/>
        <w:jc w:val="right"/>
        <w:rPr>
          <w:b/>
          <w:bCs/>
          <w:color w:val="auto"/>
          <w:lang w:eastAsia="en-GB"/>
        </w:rPr>
      </w:pPr>
      <w:r>
        <w:rPr>
          <w:b/>
          <w:bCs/>
          <w:color w:val="auto"/>
          <w:lang w:eastAsia="en-GB"/>
        </w:rPr>
        <w:t>Community member (</w:t>
      </w:r>
      <w:r w:rsidR="00EF7441">
        <w:rPr>
          <w:b/>
          <w:bCs/>
          <w:color w:val="auto"/>
          <w:lang w:eastAsia="en-GB"/>
        </w:rPr>
        <w:t>Y</w:t>
      </w:r>
      <w:r w:rsidR="006C5AF9" w:rsidRPr="00884FAA">
        <w:rPr>
          <w:b/>
          <w:bCs/>
          <w:color w:val="auto"/>
          <w:lang w:eastAsia="en-GB"/>
        </w:rPr>
        <w:t>oung person</w:t>
      </w:r>
      <w:r>
        <w:rPr>
          <w:b/>
          <w:bCs/>
          <w:color w:val="auto"/>
          <w:lang w:eastAsia="en-GB"/>
        </w:rPr>
        <w:t>)</w:t>
      </w:r>
      <w:r w:rsidR="00D6578B">
        <w:rPr>
          <w:b/>
          <w:bCs/>
          <w:color w:val="auto"/>
          <w:lang w:eastAsia="en-GB"/>
        </w:rPr>
        <w:t>,</w:t>
      </w:r>
      <w:r w:rsidR="006C5AF9" w:rsidRPr="00884FAA">
        <w:rPr>
          <w:b/>
          <w:bCs/>
          <w:color w:val="auto"/>
          <w:lang w:eastAsia="en-GB"/>
        </w:rPr>
        <w:t xml:space="preserve"> Remote</w:t>
      </w:r>
      <w:r w:rsidR="00D6578B">
        <w:rPr>
          <w:b/>
          <w:bCs/>
          <w:color w:val="auto"/>
          <w:lang w:eastAsia="en-GB"/>
        </w:rPr>
        <w:t xml:space="preserve"> location</w:t>
      </w:r>
    </w:p>
    <w:p w14:paraId="3EE1D9F3" w14:textId="77777777" w:rsidR="00D5338D" w:rsidRDefault="00D5338D">
      <w:pPr>
        <w:jc w:val="left"/>
        <w:rPr>
          <w:lang w:eastAsia="en-GB"/>
        </w:rPr>
      </w:pPr>
      <w:r>
        <w:rPr>
          <w:lang w:eastAsia="en-GB"/>
        </w:rPr>
        <w:br w:type="page"/>
      </w:r>
    </w:p>
    <w:p w14:paraId="642FF4B4" w14:textId="14EF6427" w:rsidR="00AA7736" w:rsidRPr="00884FAA" w:rsidRDefault="008D7414" w:rsidP="00391E57">
      <w:pPr>
        <w:rPr>
          <w:lang w:eastAsia="en-GB"/>
        </w:rPr>
      </w:pPr>
      <w:r w:rsidRPr="00884FAA">
        <w:rPr>
          <w:lang w:eastAsia="en-GB"/>
        </w:rPr>
        <w:lastRenderedPageBreak/>
        <w:t xml:space="preserve">This example also highlights the risk that people will be dismissed as non-compliant or abusive when they are simply advocating for their own </w:t>
      </w:r>
      <w:r w:rsidR="00807F93" w:rsidRPr="00884FAA">
        <w:rPr>
          <w:lang w:eastAsia="en-GB"/>
        </w:rPr>
        <w:t>health care</w:t>
      </w:r>
      <w:r w:rsidRPr="00884FAA">
        <w:rPr>
          <w:lang w:eastAsia="en-GB"/>
        </w:rPr>
        <w:t xml:space="preserve"> needs</w:t>
      </w:r>
      <w:r w:rsidR="00360D83" w:rsidRPr="00884FAA">
        <w:rPr>
          <w:lang w:eastAsia="en-GB"/>
        </w:rPr>
        <w:t xml:space="preserve">. </w:t>
      </w:r>
      <w:r w:rsidR="00AA7736" w:rsidRPr="00884FAA">
        <w:rPr>
          <w:lang w:eastAsia="en-GB"/>
        </w:rPr>
        <w:t xml:space="preserve">When accessing services in mainstream </w:t>
      </w:r>
      <w:r w:rsidR="00CD55CA" w:rsidRPr="00884FAA">
        <w:rPr>
          <w:lang w:eastAsia="en-GB"/>
        </w:rPr>
        <w:t>settings</w:t>
      </w:r>
      <w:r w:rsidR="0053582A" w:rsidRPr="00884FAA">
        <w:rPr>
          <w:lang w:eastAsia="en-GB"/>
        </w:rPr>
        <w:t xml:space="preserve">, </w:t>
      </w:r>
      <w:r w:rsidR="00CD55CA" w:rsidRPr="00884FAA">
        <w:rPr>
          <w:lang w:eastAsia="en-GB"/>
        </w:rPr>
        <w:t xml:space="preserve">young </w:t>
      </w:r>
      <w:r w:rsidR="0053582A" w:rsidRPr="00884FAA">
        <w:rPr>
          <w:lang w:eastAsia="en-GB"/>
        </w:rPr>
        <w:t xml:space="preserve">people </w:t>
      </w:r>
      <w:r w:rsidR="00CD55CA" w:rsidRPr="00884FAA">
        <w:rPr>
          <w:lang w:eastAsia="en-GB"/>
        </w:rPr>
        <w:t>told the evaluation they did not feel culturally safe</w:t>
      </w:r>
      <w:r w:rsidR="008A0991" w:rsidRPr="00884FAA">
        <w:rPr>
          <w:lang w:eastAsia="en-GB"/>
        </w:rPr>
        <w:t xml:space="preserve"> and </w:t>
      </w:r>
      <w:r w:rsidR="00944ECA" w:rsidRPr="00884FAA">
        <w:rPr>
          <w:lang w:eastAsia="en-GB"/>
        </w:rPr>
        <w:t xml:space="preserve">that </w:t>
      </w:r>
      <w:r w:rsidR="008A0991" w:rsidRPr="00884FAA">
        <w:rPr>
          <w:lang w:eastAsia="en-GB"/>
        </w:rPr>
        <w:t>services lacked cultural competency</w:t>
      </w:r>
      <w:r w:rsidR="00CD55CA" w:rsidRPr="00884FAA">
        <w:rPr>
          <w:lang w:eastAsia="en-GB"/>
        </w:rPr>
        <w:t xml:space="preserve">. </w:t>
      </w:r>
    </w:p>
    <w:p w14:paraId="5FDF2704" w14:textId="77777777" w:rsidR="00BD7A3C" w:rsidRPr="00A1178E" w:rsidRDefault="00BD7A3C" w:rsidP="0027742E">
      <w:pPr>
        <w:pStyle w:val="Quote"/>
        <w:spacing w:after="0"/>
        <w:rPr>
          <w:color w:val="18525E" w:themeColor="accent5" w:themeShade="80"/>
          <w:lang w:eastAsia="en-GB"/>
        </w:rPr>
      </w:pPr>
      <w:r w:rsidRPr="00A1178E">
        <w:rPr>
          <w:color w:val="18525E" w:themeColor="accent5" w:themeShade="80"/>
          <w:lang w:eastAsia="en-GB"/>
        </w:rPr>
        <w:t xml:space="preserve">Went to rehab a couple of months ago, and I would've stayed longer, but I didn't stay because I felt like it wasn't a culturally safe place, even though name is Indigenous name and they have reconciliation action plan in place. Just totally tokenistic. Because just the approach to like the residents like there they just treat you like drug addict. Just talk down to you and just say things like they were just educated on Blackfella issues, but they didn't come across wrong like they think I had come across the wrong way. And like terminology that we use, which is that lack of education and understanding. </w:t>
      </w:r>
    </w:p>
    <w:p w14:paraId="215FEA4B" w14:textId="4415C247" w:rsidR="00CD55CA" w:rsidRPr="00884FAA" w:rsidRDefault="00834135" w:rsidP="00620D60">
      <w:pPr>
        <w:spacing w:before="120"/>
        <w:jc w:val="right"/>
        <w:rPr>
          <w:b/>
          <w:bCs/>
          <w:lang w:eastAsia="en-GB"/>
        </w:rPr>
      </w:pPr>
      <w:r>
        <w:rPr>
          <w:b/>
          <w:bCs/>
          <w:lang w:eastAsia="en-GB"/>
        </w:rPr>
        <w:t>Community member (</w:t>
      </w:r>
      <w:r w:rsidR="00A649AD">
        <w:rPr>
          <w:b/>
          <w:bCs/>
          <w:lang w:eastAsia="en-GB"/>
        </w:rPr>
        <w:t>Y</w:t>
      </w:r>
      <w:r w:rsidR="00BD7A3C" w:rsidRPr="00884FAA">
        <w:rPr>
          <w:b/>
          <w:bCs/>
          <w:lang w:eastAsia="en-GB"/>
        </w:rPr>
        <w:t>oung person</w:t>
      </w:r>
      <w:r>
        <w:rPr>
          <w:b/>
          <w:bCs/>
          <w:lang w:eastAsia="en-GB"/>
        </w:rPr>
        <w:t>)</w:t>
      </w:r>
      <w:r w:rsidR="00BD7A3C" w:rsidRPr="00884FAA">
        <w:rPr>
          <w:b/>
          <w:bCs/>
          <w:lang w:eastAsia="en-GB"/>
        </w:rPr>
        <w:t xml:space="preserve"> </w:t>
      </w:r>
    </w:p>
    <w:p w14:paraId="12B54CA6" w14:textId="109EB248" w:rsidR="004D6413" w:rsidRDefault="00070240" w:rsidP="00391E57">
      <w:pPr>
        <w:rPr>
          <w:lang w:eastAsia="en-GB"/>
        </w:rPr>
      </w:pPr>
      <w:r w:rsidRPr="00884FAA">
        <w:rPr>
          <w:lang w:eastAsia="en-GB"/>
        </w:rPr>
        <w:t xml:space="preserve">Cycles of poor care over time and space </w:t>
      </w:r>
      <w:r w:rsidR="00F37811">
        <w:rPr>
          <w:lang w:eastAsia="en-GB"/>
        </w:rPr>
        <w:t>can</w:t>
      </w:r>
      <w:r w:rsidRPr="00884FAA">
        <w:rPr>
          <w:lang w:eastAsia="en-GB"/>
        </w:rPr>
        <w:t xml:space="preserve"> lead to further disengagement from the </w:t>
      </w:r>
      <w:r w:rsidR="00807F93" w:rsidRPr="00884FAA">
        <w:rPr>
          <w:lang w:eastAsia="en-GB"/>
        </w:rPr>
        <w:t>health care</w:t>
      </w:r>
      <w:r w:rsidRPr="00884FAA">
        <w:rPr>
          <w:lang w:eastAsia="en-GB"/>
        </w:rPr>
        <w:t xml:space="preserve"> system and shape future decisions about accessing care. </w:t>
      </w:r>
      <w:r w:rsidR="00391E57" w:rsidRPr="00884FAA">
        <w:rPr>
          <w:lang w:eastAsia="en-GB"/>
        </w:rPr>
        <w:t>Working toward solutions can only be effectively gained by listening to young people's voices and understanding their views.</w:t>
      </w:r>
      <w:r w:rsidR="00A30654" w:rsidRPr="00884FAA">
        <w:rPr>
          <w:lang w:eastAsia="en-GB"/>
        </w:rPr>
        <w:t xml:space="preserve"> The evaluation team yarned with young people in urban, rural</w:t>
      </w:r>
      <w:r w:rsidR="00161BAF" w:rsidRPr="00884FAA">
        <w:rPr>
          <w:lang w:eastAsia="en-GB"/>
        </w:rPr>
        <w:t>,</w:t>
      </w:r>
      <w:r w:rsidR="00A30654" w:rsidRPr="00884FAA">
        <w:rPr>
          <w:lang w:eastAsia="en-GB"/>
        </w:rPr>
        <w:t xml:space="preserve"> and remote areas across </w:t>
      </w:r>
      <w:r w:rsidR="00221C7A" w:rsidRPr="00884FAA">
        <w:rPr>
          <w:lang w:eastAsia="en-GB"/>
        </w:rPr>
        <w:t>the evaluation</w:t>
      </w:r>
      <w:r w:rsidR="00A30654" w:rsidRPr="00884FAA">
        <w:rPr>
          <w:lang w:eastAsia="en-GB"/>
        </w:rPr>
        <w:t xml:space="preserve"> sites and listened to their stories about how they experience the health system and what </w:t>
      </w:r>
      <w:r w:rsidR="00221C7A" w:rsidRPr="00884FAA">
        <w:rPr>
          <w:lang w:eastAsia="en-GB"/>
        </w:rPr>
        <w:t xml:space="preserve">they </w:t>
      </w:r>
      <w:r w:rsidR="00A30654" w:rsidRPr="00884FAA">
        <w:rPr>
          <w:lang w:eastAsia="en-GB"/>
        </w:rPr>
        <w:t xml:space="preserve">value in terms of health service design and delivery. </w:t>
      </w:r>
    </w:p>
    <w:p w14:paraId="78B30FBD" w14:textId="0103F9B9" w:rsidR="001C18CD" w:rsidRPr="00884FAA" w:rsidRDefault="00696C1B" w:rsidP="00391E57">
      <w:pPr>
        <w:rPr>
          <w:lang w:eastAsia="en-GB"/>
        </w:rPr>
      </w:pPr>
      <w:r w:rsidRPr="00884FAA">
        <w:rPr>
          <w:lang w:eastAsia="en-GB"/>
        </w:rPr>
        <w:t xml:space="preserve">Young people </w:t>
      </w:r>
      <w:r w:rsidR="00DE5BF2" w:rsidRPr="00884FAA">
        <w:rPr>
          <w:lang w:eastAsia="en-GB"/>
        </w:rPr>
        <w:t xml:space="preserve">told </w:t>
      </w:r>
      <w:r w:rsidR="00161BAF" w:rsidRPr="00884FAA">
        <w:rPr>
          <w:lang w:eastAsia="en-GB"/>
        </w:rPr>
        <w:t xml:space="preserve">the evaluation </w:t>
      </w:r>
      <w:r w:rsidR="00312557">
        <w:rPr>
          <w:lang w:eastAsia="en-GB"/>
        </w:rPr>
        <w:t xml:space="preserve">that </w:t>
      </w:r>
      <w:r w:rsidR="00DE5BF2" w:rsidRPr="00884FAA">
        <w:rPr>
          <w:lang w:eastAsia="en-GB"/>
        </w:rPr>
        <w:t xml:space="preserve">they </w:t>
      </w:r>
      <w:r w:rsidRPr="00884FAA">
        <w:rPr>
          <w:lang w:eastAsia="en-GB"/>
        </w:rPr>
        <w:t>value:</w:t>
      </w:r>
    </w:p>
    <w:p w14:paraId="5499600B" w14:textId="0C6B938B" w:rsidR="00DE5BF2" w:rsidRPr="00343EB2" w:rsidRDefault="00D52191" w:rsidP="00343EB2">
      <w:pPr>
        <w:numPr>
          <w:ilvl w:val="0"/>
          <w:numId w:val="19"/>
        </w:numPr>
        <w:spacing w:after="120"/>
        <w:rPr>
          <w:bCs/>
        </w:rPr>
      </w:pPr>
      <w:r w:rsidRPr="00343EB2">
        <w:rPr>
          <w:bCs/>
        </w:rPr>
        <w:t>y</w:t>
      </w:r>
      <w:r w:rsidR="00DE5BF2" w:rsidRPr="00343EB2">
        <w:rPr>
          <w:bCs/>
        </w:rPr>
        <w:t>outh-centric care</w:t>
      </w:r>
    </w:p>
    <w:p w14:paraId="1B067A23" w14:textId="55E76E47" w:rsidR="00DE5BF2" w:rsidRPr="00343EB2" w:rsidRDefault="00D52191" w:rsidP="00343EB2">
      <w:pPr>
        <w:numPr>
          <w:ilvl w:val="0"/>
          <w:numId w:val="19"/>
        </w:numPr>
        <w:spacing w:after="120"/>
        <w:rPr>
          <w:bCs/>
        </w:rPr>
      </w:pPr>
      <w:r w:rsidRPr="00343EB2">
        <w:rPr>
          <w:bCs/>
        </w:rPr>
        <w:t>p</w:t>
      </w:r>
      <w:r w:rsidR="00DE5BF2" w:rsidRPr="00343EB2">
        <w:rPr>
          <w:bCs/>
        </w:rPr>
        <w:t>laces where they are welcomed, respected</w:t>
      </w:r>
      <w:r w:rsidR="00F32B67" w:rsidRPr="00343EB2">
        <w:rPr>
          <w:bCs/>
        </w:rPr>
        <w:t>,</w:t>
      </w:r>
      <w:r w:rsidR="00DE5BF2" w:rsidRPr="00343EB2">
        <w:rPr>
          <w:bCs/>
        </w:rPr>
        <w:t xml:space="preserve"> and included in decision-making</w:t>
      </w:r>
    </w:p>
    <w:p w14:paraId="62885905" w14:textId="41D182A6" w:rsidR="00DE5BF2" w:rsidRPr="00343EB2" w:rsidRDefault="00161BAF" w:rsidP="00343EB2">
      <w:pPr>
        <w:numPr>
          <w:ilvl w:val="0"/>
          <w:numId w:val="19"/>
        </w:numPr>
        <w:spacing w:after="120"/>
        <w:rPr>
          <w:bCs/>
        </w:rPr>
      </w:pPr>
      <w:r w:rsidRPr="00343EB2">
        <w:rPr>
          <w:bCs/>
        </w:rPr>
        <w:t xml:space="preserve">being </w:t>
      </w:r>
      <w:r w:rsidR="00D52191" w:rsidRPr="00343EB2">
        <w:rPr>
          <w:bCs/>
        </w:rPr>
        <w:t>t</w:t>
      </w:r>
      <w:r w:rsidR="00DE5BF2" w:rsidRPr="00343EB2">
        <w:rPr>
          <w:bCs/>
        </w:rPr>
        <w:t>reated as partners in their own care</w:t>
      </w:r>
    </w:p>
    <w:p w14:paraId="23CBF986" w14:textId="63132E4A" w:rsidR="00DE5BF2" w:rsidRPr="00343EB2" w:rsidRDefault="00161BAF" w:rsidP="00343EB2">
      <w:pPr>
        <w:numPr>
          <w:ilvl w:val="0"/>
          <w:numId w:val="19"/>
        </w:numPr>
        <w:spacing w:after="120"/>
        <w:rPr>
          <w:bCs/>
        </w:rPr>
      </w:pPr>
      <w:r w:rsidRPr="00343EB2">
        <w:rPr>
          <w:bCs/>
        </w:rPr>
        <w:t>p</w:t>
      </w:r>
      <w:r w:rsidR="00DE5BF2" w:rsidRPr="00343EB2">
        <w:rPr>
          <w:bCs/>
        </w:rPr>
        <w:t>laces where they have a voice and are heard</w:t>
      </w:r>
    </w:p>
    <w:p w14:paraId="633041F3" w14:textId="49A1A949" w:rsidR="00DE5BF2" w:rsidRPr="00343EB2" w:rsidRDefault="00161BAF" w:rsidP="00343EB2">
      <w:pPr>
        <w:numPr>
          <w:ilvl w:val="0"/>
          <w:numId w:val="19"/>
        </w:numPr>
        <w:spacing w:after="120"/>
        <w:rPr>
          <w:bCs/>
        </w:rPr>
      </w:pPr>
      <w:r w:rsidRPr="00343EB2">
        <w:rPr>
          <w:bCs/>
        </w:rPr>
        <w:t>t</w:t>
      </w:r>
      <w:r w:rsidR="00DE5BF2" w:rsidRPr="00343EB2">
        <w:rPr>
          <w:bCs/>
        </w:rPr>
        <w:t>imely good quality care</w:t>
      </w:r>
    </w:p>
    <w:p w14:paraId="4D5EF0ED" w14:textId="3E140F93" w:rsidR="00DE5BF2" w:rsidRPr="00343EB2" w:rsidRDefault="00161BAF" w:rsidP="00343EB2">
      <w:pPr>
        <w:numPr>
          <w:ilvl w:val="0"/>
          <w:numId w:val="19"/>
        </w:numPr>
        <w:spacing w:after="120"/>
        <w:rPr>
          <w:bCs/>
        </w:rPr>
      </w:pPr>
      <w:r w:rsidRPr="00343EB2">
        <w:rPr>
          <w:bCs/>
        </w:rPr>
        <w:t>h</w:t>
      </w:r>
      <w:r w:rsidR="00DE5BF2" w:rsidRPr="00343EB2">
        <w:rPr>
          <w:bCs/>
        </w:rPr>
        <w:t>olistic integrated care options</w:t>
      </w:r>
    </w:p>
    <w:p w14:paraId="4E4D9248" w14:textId="7AEF76CD" w:rsidR="00DE5BF2" w:rsidRPr="00343EB2" w:rsidRDefault="00161BAF" w:rsidP="00343EB2">
      <w:pPr>
        <w:numPr>
          <w:ilvl w:val="0"/>
          <w:numId w:val="19"/>
        </w:numPr>
        <w:spacing w:after="120"/>
        <w:rPr>
          <w:bCs/>
        </w:rPr>
      </w:pPr>
      <w:r w:rsidRPr="00343EB2">
        <w:rPr>
          <w:bCs/>
        </w:rPr>
        <w:t>a</w:t>
      </w:r>
      <w:r w:rsidR="00DE5BF2" w:rsidRPr="00343EB2">
        <w:rPr>
          <w:bCs/>
        </w:rPr>
        <w:t xml:space="preserve">ge-appropriate spaces </w:t>
      </w:r>
    </w:p>
    <w:p w14:paraId="10F1BA5D" w14:textId="4EF9395C" w:rsidR="00DE5BF2" w:rsidRPr="00343EB2" w:rsidRDefault="00161BAF" w:rsidP="00343EB2">
      <w:pPr>
        <w:numPr>
          <w:ilvl w:val="0"/>
          <w:numId w:val="19"/>
        </w:numPr>
        <w:spacing w:after="120"/>
        <w:rPr>
          <w:bCs/>
        </w:rPr>
      </w:pPr>
      <w:r w:rsidRPr="00343EB2">
        <w:rPr>
          <w:bCs/>
        </w:rPr>
        <w:t>f</w:t>
      </w:r>
      <w:r w:rsidR="00DE5BF2" w:rsidRPr="00343EB2">
        <w:rPr>
          <w:bCs/>
        </w:rPr>
        <w:t>lexibility and appropriate location for improved access</w:t>
      </w:r>
    </w:p>
    <w:p w14:paraId="24872BF9" w14:textId="6F6577C2" w:rsidR="00DE5BF2" w:rsidRPr="00343EB2" w:rsidRDefault="00161BAF" w:rsidP="00343EB2">
      <w:pPr>
        <w:numPr>
          <w:ilvl w:val="0"/>
          <w:numId w:val="19"/>
        </w:numPr>
        <w:spacing w:after="120"/>
        <w:rPr>
          <w:bCs/>
        </w:rPr>
      </w:pPr>
      <w:r w:rsidRPr="00343EB2">
        <w:rPr>
          <w:bCs/>
        </w:rPr>
        <w:t>s</w:t>
      </w:r>
      <w:r w:rsidR="00DE5BF2" w:rsidRPr="00343EB2">
        <w:rPr>
          <w:bCs/>
        </w:rPr>
        <w:t xml:space="preserve">eparate places of connection with other young people </w:t>
      </w:r>
    </w:p>
    <w:p w14:paraId="70AEAD0C" w14:textId="61393707" w:rsidR="00DE5BF2" w:rsidRPr="00343EB2" w:rsidRDefault="00161BAF" w:rsidP="00343EB2">
      <w:pPr>
        <w:numPr>
          <w:ilvl w:val="0"/>
          <w:numId w:val="19"/>
        </w:numPr>
        <w:spacing w:after="120"/>
        <w:rPr>
          <w:bCs/>
        </w:rPr>
      </w:pPr>
      <w:r w:rsidRPr="00343EB2">
        <w:rPr>
          <w:bCs/>
        </w:rPr>
        <w:t>a</w:t>
      </w:r>
      <w:r w:rsidR="00DE5BF2" w:rsidRPr="00343EB2">
        <w:rPr>
          <w:bCs/>
        </w:rPr>
        <w:t>pplication of youth-friendly principles and approaches</w:t>
      </w:r>
    </w:p>
    <w:p w14:paraId="78318B09" w14:textId="1D854ABF" w:rsidR="00DE5BF2" w:rsidRPr="00343EB2" w:rsidRDefault="00161BAF" w:rsidP="00343EB2">
      <w:pPr>
        <w:numPr>
          <w:ilvl w:val="0"/>
          <w:numId w:val="19"/>
        </w:numPr>
        <w:spacing w:after="120"/>
        <w:rPr>
          <w:bCs/>
        </w:rPr>
      </w:pPr>
      <w:r w:rsidRPr="00343EB2">
        <w:rPr>
          <w:bCs/>
        </w:rPr>
        <w:t>s</w:t>
      </w:r>
      <w:r w:rsidR="00DE5BF2" w:rsidRPr="00343EB2">
        <w:rPr>
          <w:bCs/>
        </w:rPr>
        <w:t>upport to navigate their fears and systems</w:t>
      </w:r>
    </w:p>
    <w:p w14:paraId="1FAFC4D8" w14:textId="6B126100" w:rsidR="00DE5BF2" w:rsidRPr="00343EB2" w:rsidRDefault="00161BAF" w:rsidP="00343EB2">
      <w:pPr>
        <w:numPr>
          <w:ilvl w:val="0"/>
          <w:numId w:val="19"/>
        </w:numPr>
        <w:spacing w:after="120"/>
        <w:rPr>
          <w:bCs/>
        </w:rPr>
      </w:pPr>
      <w:r w:rsidRPr="00343EB2">
        <w:rPr>
          <w:bCs/>
        </w:rPr>
        <w:t>a</w:t>
      </w:r>
      <w:r w:rsidR="00DE5BF2" w:rsidRPr="00343EB2">
        <w:rPr>
          <w:bCs/>
        </w:rPr>
        <w:t>ge-appropriate communication</w:t>
      </w:r>
    </w:p>
    <w:p w14:paraId="351F4D97" w14:textId="5CEA5BE1" w:rsidR="00DE5BF2" w:rsidRPr="00343EB2" w:rsidRDefault="00161BAF" w:rsidP="00343EB2">
      <w:pPr>
        <w:numPr>
          <w:ilvl w:val="0"/>
          <w:numId w:val="19"/>
        </w:numPr>
        <w:spacing w:after="120"/>
        <w:rPr>
          <w:bCs/>
        </w:rPr>
      </w:pPr>
      <w:r w:rsidRPr="00343EB2">
        <w:rPr>
          <w:bCs/>
        </w:rPr>
        <w:t>a</w:t>
      </w:r>
      <w:r w:rsidR="00DE5BF2" w:rsidRPr="00343EB2">
        <w:rPr>
          <w:bCs/>
        </w:rPr>
        <w:t>ffordable and accessible services</w:t>
      </w:r>
    </w:p>
    <w:p w14:paraId="0CF05966" w14:textId="467B94A1" w:rsidR="00DE5BF2" w:rsidRPr="00343EB2" w:rsidRDefault="00161BAF" w:rsidP="00343EB2">
      <w:pPr>
        <w:numPr>
          <w:ilvl w:val="0"/>
          <w:numId w:val="19"/>
        </w:numPr>
        <w:spacing w:after="120"/>
        <w:rPr>
          <w:bCs/>
        </w:rPr>
      </w:pPr>
      <w:r w:rsidRPr="00343EB2">
        <w:rPr>
          <w:bCs/>
        </w:rPr>
        <w:t>p</w:t>
      </w:r>
      <w:r w:rsidR="00DE5BF2" w:rsidRPr="00343EB2">
        <w:rPr>
          <w:bCs/>
        </w:rPr>
        <w:t>rivacy and confidentiality</w:t>
      </w:r>
    </w:p>
    <w:p w14:paraId="39E1A11E" w14:textId="762C6AA9" w:rsidR="00DE5BF2" w:rsidRPr="00343EB2" w:rsidRDefault="00161BAF" w:rsidP="00343EB2">
      <w:pPr>
        <w:numPr>
          <w:ilvl w:val="0"/>
          <w:numId w:val="19"/>
        </w:numPr>
        <w:spacing w:after="120"/>
        <w:rPr>
          <w:bCs/>
        </w:rPr>
      </w:pPr>
      <w:r w:rsidRPr="00343EB2">
        <w:rPr>
          <w:bCs/>
        </w:rPr>
        <w:t>p</w:t>
      </w:r>
      <w:r w:rsidR="00DE5BF2" w:rsidRPr="00343EB2">
        <w:rPr>
          <w:bCs/>
        </w:rPr>
        <w:t>laces where staff demonstrate cultural and medical competencies</w:t>
      </w:r>
      <w:r w:rsidRPr="00343EB2">
        <w:rPr>
          <w:bCs/>
        </w:rPr>
        <w:t>.</w:t>
      </w:r>
    </w:p>
    <w:p w14:paraId="250FEB97" w14:textId="19C13D74" w:rsidR="00B2271C" w:rsidRDefault="002D5C79" w:rsidP="00391E57">
      <w:r>
        <w:t>These findings indicate that a c</w:t>
      </w:r>
      <w:r w:rsidR="009E4880" w:rsidRPr="00884FAA">
        <w:t xml:space="preserve">loser orientation of health systems to what </w:t>
      </w:r>
      <w:r w:rsidR="00543DE4" w:rsidRPr="00884FAA">
        <w:t xml:space="preserve">young </w:t>
      </w:r>
      <w:r w:rsidR="009E4880" w:rsidRPr="00884FAA">
        <w:t xml:space="preserve">people value will </w:t>
      </w:r>
      <w:r w:rsidR="00A74373" w:rsidRPr="00884FAA">
        <w:t xml:space="preserve">encourage </w:t>
      </w:r>
      <w:r w:rsidR="00221C7A" w:rsidRPr="00884FAA">
        <w:rPr>
          <w:lang w:eastAsia="en-GB"/>
        </w:rPr>
        <w:t xml:space="preserve">stronger </w:t>
      </w:r>
      <w:r w:rsidR="00A74373" w:rsidRPr="00884FAA">
        <w:t>connection with health services</w:t>
      </w:r>
      <w:r w:rsidR="004D44F9" w:rsidRPr="00884FAA">
        <w:t>.</w:t>
      </w:r>
    </w:p>
    <w:p w14:paraId="7964F7A2" w14:textId="3B7C9F0F" w:rsidR="009E3AD0" w:rsidRDefault="00683CCD" w:rsidP="00391E57">
      <w:r>
        <w:lastRenderedPageBreak/>
        <w:t xml:space="preserve">The </w:t>
      </w:r>
      <w:r w:rsidR="00C97C38">
        <w:t xml:space="preserve">IAHP and MBS </w:t>
      </w:r>
      <w:r>
        <w:t>a</w:t>
      </w:r>
      <w:r w:rsidR="001846E4">
        <w:t xml:space="preserve">dministrative data </w:t>
      </w:r>
      <w:r w:rsidR="00C97C38">
        <w:t xml:space="preserve">sourced </w:t>
      </w:r>
      <w:r w:rsidR="00E90AD3">
        <w:t>through</w:t>
      </w:r>
      <w:r w:rsidR="00C97C38">
        <w:t xml:space="preserve"> the evaluation </w:t>
      </w:r>
      <w:r w:rsidR="008C5766">
        <w:t xml:space="preserve">were not disaggregated by age. </w:t>
      </w:r>
      <w:r w:rsidR="00B3121C">
        <w:t xml:space="preserve">MBS </w:t>
      </w:r>
      <w:r w:rsidR="00475E21">
        <w:t xml:space="preserve">data on Indigenous health checks and follow-ups </w:t>
      </w:r>
      <w:r w:rsidR="004E2C8B">
        <w:t>shows that</w:t>
      </w:r>
      <w:r w:rsidR="00D41596">
        <w:t>, in 2020-21,</w:t>
      </w:r>
      <w:r w:rsidR="004E2C8B">
        <w:t xml:space="preserve"> </w:t>
      </w:r>
      <w:r w:rsidR="00E42046">
        <w:rPr>
          <w:lang w:eastAsia="en-GB"/>
        </w:rPr>
        <w:t>the age group with the lowest rate of health checks</w:t>
      </w:r>
      <w:r w:rsidR="00D41596">
        <w:rPr>
          <w:lang w:eastAsia="en-GB"/>
        </w:rPr>
        <w:t xml:space="preserve"> </w:t>
      </w:r>
      <w:r w:rsidR="00E90AD3">
        <w:rPr>
          <w:lang w:eastAsia="en-GB"/>
        </w:rPr>
        <w:t>were</w:t>
      </w:r>
      <w:r w:rsidR="00D41596">
        <w:rPr>
          <w:lang w:eastAsia="en-GB"/>
        </w:rPr>
        <w:t xml:space="preserve"> 15-24 year-olds, at 22% (</w:t>
      </w:r>
      <w:r w:rsidR="00B866F7">
        <w:rPr>
          <w:lang w:eastAsia="en-GB"/>
        </w:rPr>
        <w:t>compared with 27% of all Aboriginal and Torres Strait Islanders</w:t>
      </w:r>
      <w:r w:rsidR="006C6865">
        <w:rPr>
          <w:lang w:eastAsia="en-GB"/>
        </w:rPr>
        <w:t>)</w:t>
      </w:r>
      <w:r w:rsidR="009A23CC">
        <w:rPr>
          <w:lang w:eastAsia="en-GB"/>
        </w:rPr>
        <w:t xml:space="preserve"> </w:t>
      </w:r>
      <w:r w:rsidR="00F64606">
        <w:rPr>
          <w:lang w:eastAsia="en-GB"/>
        </w:rPr>
        <w:fldChar w:fldCharType="begin"/>
      </w:r>
      <w:r w:rsidR="00F8760E">
        <w:rPr>
          <w:lang w:eastAsia="en-GB"/>
        </w:rPr>
        <w:instrText xml:space="preserve"> ADDIN ZOTERO_ITEM CSL_CITATION {"citationID":"shrK2WAc","properties":{"formattedCitation":"(Australian Institute of Health and Welfare, 2022c)","plainCitation":"(Australian Institute of Health and Welfare, 2022c)","noteIndex":0},"citationItems":[{"id":3913,"uris":["http://zotero.org/groups/5010721/items/CWWDC4VA",["http://zotero.org/groups/5010721/items/CWWDC4VA"]],"itemData":{"id":3913,"type":"report","event-place":"Canberra","genre":"web report","language":"en","publisher-place":"Canberra","source":"Zotero","title":"Indigenous health checks and follow-ups","URL":"https://www.aihw.gov.au/getmedia/4792b6f8-54bd-4c03-8766-beb8d3037366/Indigenous-health-checks-and-follow-ups.pdf.aspx?inline=true","author":[{"literal":"Australian Institute of Health and Welfare"}],"issued":{"date-parts":[["2022",8,19]]}}}],"schema":"https://github.com/citation-style-language/schema/raw/master/csl-citation.json"} </w:instrText>
      </w:r>
      <w:r w:rsidR="00F64606">
        <w:rPr>
          <w:lang w:eastAsia="en-GB"/>
        </w:rPr>
        <w:fldChar w:fldCharType="separate"/>
      </w:r>
      <w:r w:rsidR="00C40DD9" w:rsidRPr="00C40DD9">
        <w:rPr>
          <w:rFonts w:ascii="Arial" w:hAnsi="Arial" w:cs="Arial"/>
        </w:rPr>
        <w:t>(Australian Institute of Health and Welfare, 2022c)</w:t>
      </w:r>
      <w:r w:rsidR="00F64606">
        <w:rPr>
          <w:lang w:eastAsia="en-GB"/>
        </w:rPr>
        <w:fldChar w:fldCharType="end"/>
      </w:r>
      <w:r w:rsidR="006C6865">
        <w:rPr>
          <w:lang w:eastAsia="en-GB"/>
        </w:rPr>
        <w:t>.</w:t>
      </w:r>
      <w:r w:rsidR="0078205E">
        <w:rPr>
          <w:lang w:eastAsia="en-GB"/>
        </w:rPr>
        <w:t xml:space="preserve"> </w:t>
      </w:r>
      <w:r w:rsidR="00A33176">
        <w:rPr>
          <w:lang w:eastAsia="en-GB"/>
        </w:rPr>
        <w:t>Further disaggregated by sex, rates for females were lowest among those aged 5-14 years (23%) and for males aged 15-24 and 25-34 years (18%).</w:t>
      </w:r>
      <w:r w:rsidR="003E2E01">
        <w:rPr>
          <w:lang w:eastAsia="en-GB"/>
        </w:rPr>
        <w:t xml:space="preserve"> Young people (15-24 years) were also the age group with the longest period between health checks</w:t>
      </w:r>
      <w:r w:rsidR="00EB415D">
        <w:rPr>
          <w:lang w:eastAsia="en-GB"/>
        </w:rPr>
        <w:t xml:space="preserve"> and the lowest follow-up rates.</w:t>
      </w:r>
      <w:r w:rsidR="00325D9A">
        <w:rPr>
          <w:lang w:eastAsia="en-GB"/>
        </w:rPr>
        <w:t xml:space="preserve"> Th</w:t>
      </w:r>
      <w:r w:rsidR="00C628D0">
        <w:rPr>
          <w:lang w:eastAsia="en-GB"/>
        </w:rPr>
        <w:t>e</w:t>
      </w:r>
      <w:r w:rsidR="00325D9A">
        <w:rPr>
          <w:lang w:eastAsia="en-GB"/>
        </w:rPr>
        <w:t xml:space="preserve"> </w:t>
      </w:r>
      <w:r w:rsidR="00C40DD9">
        <w:rPr>
          <w:lang w:eastAsia="en-GB"/>
        </w:rPr>
        <w:t xml:space="preserve">web </w:t>
      </w:r>
      <w:r w:rsidR="001723A0">
        <w:rPr>
          <w:lang w:eastAsia="en-GB"/>
        </w:rPr>
        <w:t>report</w:t>
      </w:r>
      <w:r w:rsidR="00C40DD9">
        <w:rPr>
          <w:lang w:eastAsia="en-GB"/>
        </w:rPr>
        <w:t xml:space="preserve"> </w:t>
      </w:r>
      <w:r w:rsidR="00C40DD9">
        <w:rPr>
          <w:lang w:eastAsia="en-GB"/>
        </w:rPr>
        <w:fldChar w:fldCharType="begin"/>
      </w:r>
      <w:r w:rsidR="00F8760E">
        <w:rPr>
          <w:lang w:eastAsia="en-GB"/>
        </w:rPr>
        <w:instrText xml:space="preserve"> ADDIN ZOTERO_ITEM CSL_CITATION {"citationID":"QdJeLteA","properties":{"formattedCitation":"(2022c)","plainCitation":"(2022c)","noteIndex":0},"citationItems":[{"id":3913,"uris":["http://zotero.org/groups/5010721/items/CWWDC4VA",["http://zotero.org/groups/5010721/items/CWWDC4VA"]],"itemData":{"id":3913,"type":"report","event-place":"Canberra","genre":"web report","language":"en","publisher-place":"Canberra","source":"Zotero","title":"Indigenous health checks and follow-ups","URL":"https://www.aihw.gov.au/getmedia/4792b6f8-54bd-4c03-8766-beb8d3037366/Indigenous-health-checks-and-follow-ups.pdf.aspx?inline=true","author":[{"literal":"Australian Institute of Health and Welfare"}],"issued":{"date-parts":[["2022",8,19]]}},"label":"page","suppress-author":true}],"schema":"https://github.com/citation-style-language/schema/raw/master/csl-citation.json"} </w:instrText>
      </w:r>
      <w:r w:rsidR="00C40DD9">
        <w:rPr>
          <w:lang w:eastAsia="en-GB"/>
        </w:rPr>
        <w:fldChar w:fldCharType="separate"/>
      </w:r>
      <w:r w:rsidR="00C40DD9" w:rsidRPr="00C40DD9">
        <w:rPr>
          <w:rFonts w:ascii="Arial" w:hAnsi="Arial" w:cs="Arial"/>
        </w:rPr>
        <w:t>(2022c)</w:t>
      </w:r>
      <w:r w:rsidR="00C40DD9">
        <w:rPr>
          <w:lang w:eastAsia="en-GB"/>
        </w:rPr>
        <w:fldChar w:fldCharType="end"/>
      </w:r>
      <w:r w:rsidR="0078205E">
        <w:rPr>
          <w:lang w:eastAsia="en-GB"/>
        </w:rPr>
        <w:t xml:space="preserve"> </w:t>
      </w:r>
      <w:r w:rsidR="001723A0">
        <w:rPr>
          <w:lang w:eastAsia="en-GB"/>
        </w:rPr>
        <w:t xml:space="preserve">notes that this </w:t>
      </w:r>
      <w:r w:rsidR="00325D9A">
        <w:rPr>
          <w:lang w:eastAsia="en-GB"/>
        </w:rPr>
        <w:t xml:space="preserve">may in part reflect </w:t>
      </w:r>
      <w:r w:rsidR="00DF089C">
        <w:rPr>
          <w:lang w:eastAsia="en-GB"/>
        </w:rPr>
        <w:t>differences in the need for follow-up care among different age groups.</w:t>
      </w:r>
      <w:r w:rsidR="00A33176">
        <w:rPr>
          <w:lang w:eastAsia="en-GB"/>
        </w:rPr>
        <w:t xml:space="preserve"> </w:t>
      </w:r>
    </w:p>
    <w:p w14:paraId="676EE59D" w14:textId="77777777" w:rsidR="00E97112" w:rsidRDefault="00E97112" w:rsidP="00651D06">
      <w:pPr>
        <w:pStyle w:val="Heading3"/>
      </w:pPr>
      <w:r>
        <w:t>Services are not always available when people need them</w:t>
      </w:r>
    </w:p>
    <w:p w14:paraId="50A77C12" w14:textId="77777777" w:rsidR="0053345C" w:rsidRDefault="00365FA3" w:rsidP="009A7F25">
      <w:r>
        <w:t xml:space="preserve">Among the various dimensions of health service accessibility, the availability of </w:t>
      </w:r>
      <w:r w:rsidR="00ED62D7">
        <w:t xml:space="preserve">services without significant travel or waiting periods was </w:t>
      </w:r>
      <w:r w:rsidR="001935A5">
        <w:t>of particular concern.</w:t>
      </w:r>
    </w:p>
    <w:p w14:paraId="640E14A4" w14:textId="75DA028F" w:rsidR="00536FD9" w:rsidRPr="00884FAA" w:rsidRDefault="00DE7F60" w:rsidP="009A7F25">
      <w:r w:rsidRPr="00884FAA">
        <w:t>Travel distances</w:t>
      </w:r>
      <w:r w:rsidR="00420D45" w:rsidRPr="00884FAA">
        <w:t>,</w:t>
      </w:r>
      <w:r w:rsidRPr="00884FAA">
        <w:t xml:space="preserve"> </w:t>
      </w:r>
      <w:r w:rsidR="00CE4E90" w:rsidRPr="00884FAA">
        <w:t xml:space="preserve">and the </w:t>
      </w:r>
      <w:r w:rsidRPr="00884FAA">
        <w:t xml:space="preserve">particular health and wellbeing </w:t>
      </w:r>
      <w:r w:rsidR="00CE4E90" w:rsidRPr="00884FAA">
        <w:t xml:space="preserve">implications for Aboriginal and Torres Strait Islander people who are required to travel away from their communities to access essential </w:t>
      </w:r>
      <w:r w:rsidR="009A7F25" w:rsidRPr="00884FAA">
        <w:t>health care</w:t>
      </w:r>
      <w:r w:rsidR="004E76F8" w:rsidRPr="00884FAA">
        <w:t>, was a particular area of concern</w:t>
      </w:r>
      <w:r w:rsidR="009A7F25" w:rsidRPr="00884FAA">
        <w:t xml:space="preserve">. </w:t>
      </w:r>
      <w:r w:rsidR="00536FD9" w:rsidRPr="00884FAA">
        <w:t xml:space="preserve">For more vulnerable cohorts or people with complex needs, the barriers created by distance can be even more acute. </w:t>
      </w:r>
    </w:p>
    <w:p w14:paraId="6BB2A612" w14:textId="2CD1CFE5" w:rsidR="00CE4E90" w:rsidRPr="00884FAA" w:rsidRDefault="009A7F25" w:rsidP="0039477D">
      <w:r w:rsidRPr="00652ACA">
        <w:t>For example,</w:t>
      </w:r>
      <w:r w:rsidRPr="00652ACA" w:rsidDel="00CC311B">
        <w:t xml:space="preserve"> </w:t>
      </w:r>
      <w:r w:rsidR="00CC311B" w:rsidRPr="00652ACA">
        <w:t xml:space="preserve">the </w:t>
      </w:r>
      <w:r w:rsidR="00FE72EF" w:rsidRPr="00652ACA">
        <w:t xml:space="preserve">evaluation participants discussed an example of </w:t>
      </w:r>
      <w:r w:rsidRPr="00652ACA">
        <w:t xml:space="preserve">a </w:t>
      </w:r>
      <w:r w:rsidR="00CE4E90" w:rsidRPr="00652ACA">
        <w:t xml:space="preserve">regional town </w:t>
      </w:r>
      <w:r w:rsidRPr="00652ACA">
        <w:t xml:space="preserve">that is more </w:t>
      </w:r>
      <w:r w:rsidR="00CE4E90" w:rsidRPr="00652ACA">
        <w:t xml:space="preserve">than </w:t>
      </w:r>
      <w:r w:rsidR="00FE72EF" w:rsidRPr="00652ACA">
        <w:t>4</w:t>
      </w:r>
      <w:r w:rsidR="00CE4E90" w:rsidRPr="00652ACA">
        <w:t xml:space="preserve"> hours’ drive </w:t>
      </w:r>
      <w:r w:rsidR="00663B7F" w:rsidRPr="00652ACA">
        <w:t xml:space="preserve">from </w:t>
      </w:r>
      <w:r w:rsidR="00CE4E90" w:rsidRPr="00652ACA">
        <w:t>where the community can access specialists.</w:t>
      </w:r>
      <w:r w:rsidRPr="00652ACA">
        <w:t xml:space="preserve"> However, this service will </w:t>
      </w:r>
      <w:r w:rsidR="00CE4E90" w:rsidRPr="00652ACA">
        <w:t xml:space="preserve">not </w:t>
      </w:r>
      <w:r w:rsidRPr="00652ACA">
        <w:t xml:space="preserve">always see </w:t>
      </w:r>
      <w:r w:rsidR="00CE4E90" w:rsidRPr="00652ACA">
        <w:t xml:space="preserve">children. </w:t>
      </w:r>
      <w:r w:rsidR="00536FD9" w:rsidRPr="00652ACA">
        <w:t>Therefore</w:t>
      </w:r>
      <w:r w:rsidR="00CE4E90" w:rsidRPr="00652ACA">
        <w:t>, children age</w:t>
      </w:r>
      <w:r w:rsidR="00E659F5" w:rsidRPr="00652ACA">
        <w:t xml:space="preserve">d </w:t>
      </w:r>
      <w:r w:rsidR="00CE4E90" w:rsidRPr="00652ACA">
        <w:t xml:space="preserve">under </w:t>
      </w:r>
      <w:r w:rsidR="00E659F5" w:rsidRPr="00652ACA">
        <w:t>8 years</w:t>
      </w:r>
      <w:r w:rsidR="00CE4E90" w:rsidRPr="00652ACA">
        <w:t xml:space="preserve"> who need </w:t>
      </w:r>
      <w:r w:rsidR="00022B99" w:rsidRPr="00652ACA">
        <w:t xml:space="preserve">to have their </w:t>
      </w:r>
      <w:r w:rsidR="00CE4E90" w:rsidRPr="00652ACA">
        <w:t xml:space="preserve">tonsils removed </w:t>
      </w:r>
      <w:r w:rsidR="00022B99" w:rsidRPr="00652ACA">
        <w:t xml:space="preserve">are required </w:t>
      </w:r>
      <w:r w:rsidR="00CE4E90" w:rsidRPr="00652ACA">
        <w:t xml:space="preserve">to travel to the city (more than </w:t>
      </w:r>
      <w:r w:rsidR="00652ACA" w:rsidRPr="00652ACA">
        <w:t>8</w:t>
      </w:r>
      <w:r w:rsidR="00CE4E90" w:rsidRPr="00652ACA">
        <w:t xml:space="preserve"> hours travel by road)</w:t>
      </w:r>
      <w:r w:rsidR="00022B99" w:rsidRPr="00652ACA">
        <w:t xml:space="preserve"> to access essential care</w:t>
      </w:r>
      <w:r w:rsidR="004E76F8" w:rsidRPr="00652ACA">
        <w:t>.</w:t>
      </w:r>
      <w:r w:rsidR="004E76F8" w:rsidRPr="00884FAA">
        <w:t xml:space="preserve"> </w:t>
      </w:r>
    </w:p>
    <w:p w14:paraId="3F99FEA5" w14:textId="7D424754" w:rsidR="00CE4E90" w:rsidRPr="00A1178E" w:rsidRDefault="00CE4E90" w:rsidP="002A0411">
      <w:pPr>
        <w:pStyle w:val="Quote"/>
        <w:spacing w:after="0"/>
        <w:rPr>
          <w:color w:val="18525E" w:themeColor="accent5" w:themeShade="80"/>
        </w:rPr>
      </w:pPr>
      <w:r w:rsidRPr="00A1178E">
        <w:rPr>
          <w:color w:val="18525E" w:themeColor="accent5" w:themeShade="80"/>
        </w:rPr>
        <w:t>When our kids need to get their tonsils out, they need to stay in (the city) for 10 days after the procedure and yet they’ve got no accommodation, no nothing. So yeah, the kids are a big gap around children’s health.</w:t>
      </w:r>
    </w:p>
    <w:p w14:paraId="2DA49E87" w14:textId="0BCF42CC" w:rsidR="0054675A" w:rsidRDefault="0054675A" w:rsidP="002A0411">
      <w:pPr>
        <w:jc w:val="right"/>
        <w:rPr>
          <w:b/>
          <w:bCs/>
        </w:rPr>
      </w:pPr>
      <w:r w:rsidRPr="002A0411">
        <w:rPr>
          <w:b/>
          <w:bCs/>
        </w:rPr>
        <w:t xml:space="preserve">ACCHS, Remote location </w:t>
      </w:r>
    </w:p>
    <w:p w14:paraId="1C3631AB" w14:textId="5E26DA7D" w:rsidR="009748D9" w:rsidRPr="006C3F1A" w:rsidRDefault="00642F89" w:rsidP="006C3F1A">
      <w:pPr>
        <w:rPr>
          <w:rFonts w:ascii="Calibri" w:eastAsia="Calibri" w:hAnsi="Calibri" w:cs="Calibri"/>
        </w:rPr>
      </w:pPr>
      <w:r w:rsidRPr="006C3F1A">
        <w:t>A shortage of staff and corresponding w</w:t>
      </w:r>
      <w:r w:rsidR="00810E9A" w:rsidRPr="006C3F1A">
        <w:t xml:space="preserve">aitlists </w:t>
      </w:r>
      <w:r w:rsidR="003D4707" w:rsidRPr="006C3F1A">
        <w:t xml:space="preserve">limited access to specialist and </w:t>
      </w:r>
      <w:r w:rsidR="0032052D" w:rsidRPr="006C3F1A">
        <w:t>multi</w:t>
      </w:r>
      <w:r w:rsidR="00B90C4E">
        <w:t>-</w:t>
      </w:r>
      <w:r w:rsidR="0032052D" w:rsidRPr="006C3F1A">
        <w:t>disciplinary services at</w:t>
      </w:r>
      <w:r w:rsidRPr="006C3F1A">
        <w:t xml:space="preserve"> several evaluation</w:t>
      </w:r>
      <w:r w:rsidR="0032052D" w:rsidRPr="006C3F1A">
        <w:t xml:space="preserve"> sites. </w:t>
      </w:r>
      <w:r w:rsidR="009748D9" w:rsidRPr="006C3F1A">
        <w:t xml:space="preserve">Of particular concern is the experience in remote communities where some people were required to wait between 6-12 months to see a specialist, including, for example, </w:t>
      </w:r>
      <w:r w:rsidR="009748D9" w:rsidRPr="006C3F1A">
        <w:rPr>
          <w:noProof/>
        </w:rPr>
        <w:t>ENT, dental, mental health, pediatrics, or podiatry. The</w:t>
      </w:r>
      <w:r w:rsidR="009748D9" w:rsidRPr="006C3F1A" w:rsidDel="00695989">
        <w:rPr>
          <w:noProof/>
        </w:rPr>
        <w:t xml:space="preserve"> </w:t>
      </w:r>
      <w:r w:rsidR="009748D9" w:rsidRPr="006C3F1A">
        <w:t xml:space="preserve">delays </w:t>
      </w:r>
      <w:r w:rsidR="006C3F1A" w:rsidRPr="006C3F1A">
        <w:t xml:space="preserve">reported </w:t>
      </w:r>
      <w:r w:rsidR="009748D9" w:rsidRPr="006C3F1A">
        <w:t xml:space="preserve">for people accessing specialist mental health support were particularly concerning, especially given the prevalence of mental health concerns and some of the highest rates of suicide in the world. </w:t>
      </w:r>
    </w:p>
    <w:p w14:paraId="661C24F1" w14:textId="77777777" w:rsidR="009748D9" w:rsidRPr="00A1178E" w:rsidRDefault="009748D9" w:rsidP="009748D9">
      <w:pPr>
        <w:pStyle w:val="Quote"/>
        <w:spacing w:after="0"/>
        <w:rPr>
          <w:color w:val="18525E" w:themeColor="accent5" w:themeShade="80"/>
        </w:rPr>
      </w:pPr>
      <w:r w:rsidRPr="00A1178E">
        <w:rPr>
          <w:color w:val="18525E" w:themeColor="accent5" w:themeShade="80"/>
        </w:rPr>
        <w:t>Even six months, if you have a problem today you've got a mental health problem and want to talk to someone. You can't wait six months.</w:t>
      </w:r>
    </w:p>
    <w:p w14:paraId="60C217C0" w14:textId="3AF32663" w:rsidR="009748D9" w:rsidRPr="00884FAA" w:rsidRDefault="008763C6" w:rsidP="009748D9">
      <w:pPr>
        <w:jc w:val="right"/>
        <w:rPr>
          <w:b/>
          <w:bCs/>
        </w:rPr>
      </w:pPr>
      <w:r w:rsidRPr="008763C6">
        <w:rPr>
          <w:b/>
          <w:bCs/>
        </w:rPr>
        <w:t>ACCHS, Remote location</w:t>
      </w:r>
      <w:r w:rsidR="009748D9" w:rsidRPr="008763C6">
        <w:rPr>
          <w:b/>
          <w:bCs/>
        </w:rPr>
        <w:t xml:space="preserve"> </w:t>
      </w:r>
    </w:p>
    <w:p w14:paraId="46B10C66" w14:textId="77777777" w:rsidR="00CC5CD3" w:rsidRDefault="00CC5CD3">
      <w:pPr>
        <w:jc w:val="left"/>
      </w:pPr>
      <w:r>
        <w:br w:type="page"/>
      </w:r>
    </w:p>
    <w:p w14:paraId="399F002D" w14:textId="5E35880C" w:rsidR="0032052D" w:rsidRPr="00884FAA" w:rsidRDefault="00E44A7E" w:rsidP="003D4707">
      <w:r>
        <w:lastRenderedPageBreak/>
        <w:t>T</w:t>
      </w:r>
      <w:r w:rsidR="0032052D" w:rsidRPr="00884FAA">
        <w:t>he lack of a core multi-disciplinary PHC team on-the-ground and reliance on visiting PHC services (for example, GPs) in remote areas</w:t>
      </w:r>
      <w:r>
        <w:t xml:space="preserve"> was also a particular concern in some sites. </w:t>
      </w:r>
      <w:r w:rsidR="00222696">
        <w:t>This impacted timely access to services</w:t>
      </w:r>
      <w:r w:rsidR="007E69F0">
        <w:t xml:space="preserve">. </w:t>
      </w:r>
      <w:r w:rsidR="004F1E96">
        <w:t xml:space="preserve">The reliance on visiting services also meant that </w:t>
      </w:r>
      <w:r w:rsidR="0032052D" w:rsidRPr="00884FAA">
        <w:t>client care time</w:t>
      </w:r>
      <w:r w:rsidR="007E69F0">
        <w:t xml:space="preserve"> was</w:t>
      </w:r>
      <w:r w:rsidR="0032052D" w:rsidRPr="00884FAA">
        <w:t xml:space="preserve"> lost to travel.</w:t>
      </w:r>
    </w:p>
    <w:p w14:paraId="23D692A5" w14:textId="77777777" w:rsidR="0032052D" w:rsidRPr="00A1178E" w:rsidRDefault="0032052D" w:rsidP="0032052D">
      <w:pPr>
        <w:pStyle w:val="Quote"/>
        <w:spacing w:after="0"/>
        <w:rPr>
          <w:color w:val="18525E" w:themeColor="accent5" w:themeShade="80"/>
        </w:rPr>
      </w:pPr>
      <w:r w:rsidRPr="00A1178E">
        <w:rPr>
          <w:color w:val="18525E" w:themeColor="accent5" w:themeShade="80"/>
        </w:rPr>
        <w:t>There’s all these [visiting] ‘support’ jobs … but nothing to support. Need primary health carers out there, doing the work.</w:t>
      </w:r>
    </w:p>
    <w:p w14:paraId="79C484AD" w14:textId="77777777" w:rsidR="0032052D" w:rsidRPr="002B7F3E" w:rsidRDefault="0032052D" w:rsidP="0032052D">
      <w:pPr>
        <w:jc w:val="right"/>
        <w:rPr>
          <w:b/>
        </w:rPr>
      </w:pPr>
      <w:r w:rsidRPr="002B7F3E">
        <w:rPr>
          <w:b/>
        </w:rPr>
        <w:t xml:space="preserve">ACCHS, Remote location </w:t>
      </w:r>
    </w:p>
    <w:p w14:paraId="74AE9393" w14:textId="5B60DB87" w:rsidR="00D8308E" w:rsidRDefault="0032052D" w:rsidP="0032052D">
      <w:r w:rsidRPr="00130157">
        <w:t xml:space="preserve">An ACCHS manager noted that the understanding of gaps in health service </w:t>
      </w:r>
      <w:r w:rsidR="00130157" w:rsidRPr="00130157">
        <w:t>accessibility</w:t>
      </w:r>
      <w:r w:rsidRPr="00130157">
        <w:t xml:space="preserve"> is based on an understanding of the population serviced by health services, and that little is understood about needs in underserved populations. This includes populations with poor access to PHC services (for example, people living a long distance from an ACCHS or other PHC service), people who do not attend hospitals and people who do not disclose their health needs.</w:t>
      </w:r>
    </w:p>
    <w:p w14:paraId="5FB7F1D7" w14:textId="3A3BEDFE" w:rsidR="00C760A2" w:rsidRPr="00884FAA" w:rsidRDefault="00C760A2" w:rsidP="00651D06">
      <w:pPr>
        <w:pStyle w:val="Heading3"/>
      </w:pPr>
      <w:r w:rsidRPr="00884FAA">
        <w:t xml:space="preserve">Services that </w:t>
      </w:r>
      <w:r w:rsidR="00265ECA" w:rsidRPr="00884FAA">
        <w:t xml:space="preserve">eliminate barriers </w:t>
      </w:r>
      <w:r w:rsidRPr="00884FAA">
        <w:t>to access</w:t>
      </w:r>
      <w:r w:rsidR="00617FF3">
        <w:t>ing</w:t>
      </w:r>
      <w:r w:rsidRPr="00884FAA">
        <w:t xml:space="preserve"> the health system are</w:t>
      </w:r>
      <w:r w:rsidR="00E731AD" w:rsidRPr="00884FAA">
        <w:t xml:space="preserve"> </w:t>
      </w:r>
      <w:r w:rsidRPr="00884FAA">
        <w:t>critical</w:t>
      </w:r>
      <w:r w:rsidR="00536FD9" w:rsidRPr="00884FAA">
        <w:t xml:space="preserve"> </w:t>
      </w:r>
    </w:p>
    <w:p w14:paraId="06DD0C9A" w14:textId="067762EB" w:rsidR="00262459" w:rsidRPr="00C139CF" w:rsidRDefault="005442C1" w:rsidP="00262459">
      <w:r w:rsidRPr="00C139CF">
        <w:t>The IAHP includes programs that target some of the barriers to</w:t>
      </w:r>
      <w:r w:rsidR="00816932" w:rsidRPr="00C139CF">
        <w:t xml:space="preserve"> accessing health services reported above. For example</w:t>
      </w:r>
      <w:r w:rsidR="00920035" w:rsidRPr="00C139CF">
        <w:t>,</w:t>
      </w:r>
      <w:r w:rsidR="00816932" w:rsidRPr="00C139CF">
        <w:t xml:space="preserve"> the</w:t>
      </w:r>
      <w:r w:rsidR="00920035" w:rsidRPr="00C139CF">
        <w:t xml:space="preserve"> </w:t>
      </w:r>
      <w:r w:rsidR="00816932" w:rsidRPr="00C139CF">
        <w:t>ITC program help people to navigate the system</w:t>
      </w:r>
      <w:r w:rsidR="0010412E" w:rsidRPr="00C139CF">
        <w:t xml:space="preserve"> and supports transport and service costs</w:t>
      </w:r>
      <w:r w:rsidR="00994483" w:rsidRPr="00C139CF">
        <w:t>, the PBS Co-payment targets affordability</w:t>
      </w:r>
      <w:r w:rsidR="0010412E" w:rsidRPr="00C139CF">
        <w:t xml:space="preserve"> of medicines</w:t>
      </w:r>
      <w:r w:rsidR="00994483" w:rsidRPr="00C139CF">
        <w:t>, and the Remote Area Health Corps and Medical Outreach Indigenous Chronic Disease Program</w:t>
      </w:r>
      <w:r w:rsidR="00BA5854" w:rsidRPr="00C139CF">
        <w:t xml:space="preserve"> target the availability of services through </w:t>
      </w:r>
      <w:r w:rsidR="00920035" w:rsidRPr="00C139CF">
        <w:t xml:space="preserve">providing </w:t>
      </w:r>
      <w:r w:rsidR="00BA5854" w:rsidRPr="00C139CF">
        <w:t>workforce solutions.</w:t>
      </w:r>
      <w:r w:rsidR="00920035" w:rsidRPr="00C139CF">
        <w:t xml:space="preserve"> However, </w:t>
      </w:r>
      <w:r w:rsidR="00262459" w:rsidRPr="00C139CF">
        <w:t xml:space="preserve">many barriers to equitable access to </w:t>
      </w:r>
      <w:r w:rsidR="003279C5">
        <w:t>PHC</w:t>
      </w:r>
      <w:r w:rsidR="00262459" w:rsidRPr="00C139CF">
        <w:t xml:space="preserve"> endure. This can include specific cohorts who have more limited access as well as limitations on the range of services that may be available to people as part of a comprehensive </w:t>
      </w:r>
      <w:r w:rsidR="00920035" w:rsidRPr="00C139CF">
        <w:t>PHC</w:t>
      </w:r>
      <w:r w:rsidR="00262459" w:rsidRPr="00C139CF">
        <w:t xml:space="preserve"> response. </w:t>
      </w:r>
    </w:p>
    <w:p w14:paraId="2EC5A012" w14:textId="15DADADA" w:rsidR="00C760A2" w:rsidRPr="00CB1D38" w:rsidRDefault="00960EE4" w:rsidP="00C760A2">
      <w:r>
        <w:t xml:space="preserve">As discussed in Section </w:t>
      </w:r>
      <w:r w:rsidR="004A7DCA">
        <w:rPr>
          <w:highlight w:val="yellow"/>
        </w:rPr>
        <w:fldChar w:fldCharType="begin"/>
      </w:r>
      <w:r w:rsidR="004A7DCA">
        <w:instrText xml:space="preserve"> REF _Ref137157966 \r \h </w:instrText>
      </w:r>
      <w:r w:rsidR="004A7DCA">
        <w:rPr>
          <w:highlight w:val="yellow"/>
        </w:rPr>
      </w:r>
      <w:r w:rsidR="004A7DCA">
        <w:rPr>
          <w:highlight w:val="yellow"/>
        </w:rPr>
        <w:fldChar w:fldCharType="separate"/>
      </w:r>
      <w:r w:rsidR="00165B17">
        <w:t>6.3.2</w:t>
      </w:r>
      <w:r w:rsidR="004A7DCA">
        <w:rPr>
          <w:highlight w:val="yellow"/>
        </w:rPr>
        <w:fldChar w:fldCharType="end"/>
      </w:r>
      <w:r>
        <w:t xml:space="preserve">, the </w:t>
      </w:r>
      <w:r w:rsidR="00C760A2" w:rsidRPr="00884FAA">
        <w:t>ITC program</w:t>
      </w:r>
      <w:r>
        <w:t xml:space="preserve"> makes a direct contribution to </w:t>
      </w:r>
      <w:r w:rsidR="00A23BCC">
        <w:t>health care access. However, the ITC program</w:t>
      </w:r>
      <w:r w:rsidR="00C760A2" w:rsidRPr="00884FAA">
        <w:t xml:space="preserve"> is constrained by limited </w:t>
      </w:r>
      <w:r w:rsidR="00307F68">
        <w:t xml:space="preserve">capacity that requires </w:t>
      </w:r>
      <w:r w:rsidR="00C760A2" w:rsidRPr="00884FAA">
        <w:t xml:space="preserve">eligibility </w:t>
      </w:r>
      <w:r w:rsidR="00941598">
        <w:t>to be prioritised</w:t>
      </w:r>
      <w:r w:rsidR="0035748F">
        <w:t xml:space="preserve">. PHNs </w:t>
      </w:r>
      <w:r w:rsidR="00C760A2" w:rsidRPr="00884FAA">
        <w:t>report</w:t>
      </w:r>
      <w:r w:rsidR="0035748F">
        <w:t>ed</w:t>
      </w:r>
      <w:r w:rsidR="00C760A2" w:rsidRPr="00884FAA">
        <w:t xml:space="preserve"> ‘topping up’ ITC funding with other funds, including to support clients with transport costs</w:t>
      </w:r>
      <w:r w:rsidR="00AA2170">
        <w:t>, to extend its reach</w:t>
      </w:r>
      <w:r w:rsidR="00C760A2" w:rsidRPr="00884FAA">
        <w:t>.</w:t>
      </w:r>
      <w:r w:rsidR="00556CB3">
        <w:t xml:space="preserve"> T</w:t>
      </w:r>
      <w:r w:rsidR="00022B99" w:rsidRPr="00884FAA">
        <w:t xml:space="preserve">he evaluation </w:t>
      </w:r>
      <w:r w:rsidR="00F41601">
        <w:t>found</w:t>
      </w:r>
      <w:r w:rsidR="00573A67" w:rsidRPr="00884FAA">
        <w:t xml:space="preserve"> that these services are essential support for Aboriginal and Torres Strait Islander people with chronic disease. As noted elsewhere, </w:t>
      </w:r>
      <w:r w:rsidR="00431A40" w:rsidRPr="00884FAA">
        <w:t xml:space="preserve">there was </w:t>
      </w:r>
      <w:r w:rsidR="00573A67" w:rsidRPr="00884FAA">
        <w:t xml:space="preserve">strong support for retaining this program with broader eligibility criteria to extend </w:t>
      </w:r>
      <w:r w:rsidR="00573A67" w:rsidRPr="00CB1D38">
        <w:t xml:space="preserve">the benefits and adopt a stronger prevention focus </w:t>
      </w:r>
      <w:r w:rsidR="00ED135B" w:rsidRPr="00CB1D38">
        <w:t>in</w:t>
      </w:r>
      <w:r w:rsidR="00573A67" w:rsidRPr="00CB1D38">
        <w:t xml:space="preserve"> relation to other complex medical conditions. </w:t>
      </w:r>
    </w:p>
    <w:p w14:paraId="3E7FC120" w14:textId="5954E3F7" w:rsidR="00A07357" w:rsidRPr="00CB1D38" w:rsidRDefault="00556CB3" w:rsidP="00A07357">
      <w:r w:rsidRPr="00CB1D38">
        <w:t xml:space="preserve">Evaluation participants </w:t>
      </w:r>
      <w:r w:rsidR="00A07357" w:rsidRPr="00CB1D38">
        <w:t>shared</w:t>
      </w:r>
      <w:r w:rsidR="00A07357" w:rsidRPr="00CB1D38" w:rsidDel="00CF115B">
        <w:t xml:space="preserve"> </w:t>
      </w:r>
      <w:r w:rsidR="00A07357" w:rsidRPr="00CB1D38">
        <w:t>potential solutions to improve PHC accessibility. For example, health service managers highlighted the importance of transport as a mechanism to remove barriers to accessing PHC. The way transport is provided, therefore, needs to be responsive to potential barriers across the</w:t>
      </w:r>
      <w:r w:rsidR="0085632E">
        <w:t xml:space="preserve"> various dimensions of accessibility</w:t>
      </w:r>
      <w:r w:rsidR="00A07357" w:rsidRPr="00CB1D38">
        <w:t>, such as timeliness (availability), cost (affordability), and convenience (acceptability).</w:t>
      </w:r>
    </w:p>
    <w:p w14:paraId="08C238A0" w14:textId="494DD30F" w:rsidR="00B47510" w:rsidRPr="00884FAA" w:rsidRDefault="00373169" w:rsidP="00651D06">
      <w:pPr>
        <w:pStyle w:val="Heading3"/>
      </w:pPr>
      <w:r>
        <w:lastRenderedPageBreak/>
        <w:t xml:space="preserve">IAHP funded organisations provide primary care services to </w:t>
      </w:r>
      <w:r w:rsidR="006E5971">
        <w:t>around</w:t>
      </w:r>
      <w:r w:rsidR="002F5DB3">
        <w:t xml:space="preserve"> half of the A</w:t>
      </w:r>
      <w:r w:rsidR="00845899" w:rsidRPr="00884FAA">
        <w:t xml:space="preserve">boriginal </w:t>
      </w:r>
      <w:r w:rsidR="0049239D" w:rsidRPr="00884FAA">
        <w:t xml:space="preserve">and Torres Strait Islander </w:t>
      </w:r>
      <w:r w:rsidR="00845899" w:rsidRPr="00884FAA">
        <w:t>p</w:t>
      </w:r>
      <w:r w:rsidR="002F5DB3">
        <w:t>opulation</w:t>
      </w:r>
      <w:r w:rsidR="001F6097" w:rsidRPr="00884FAA">
        <w:t xml:space="preserve"> </w:t>
      </w:r>
    </w:p>
    <w:p w14:paraId="49472C83" w14:textId="193FFDF1" w:rsidR="00F722F6" w:rsidRPr="00884FAA" w:rsidRDefault="00317F03" w:rsidP="00F722F6">
      <w:pPr>
        <w:pStyle w:val="Bullet1"/>
        <w:ind w:left="0" w:firstLine="0"/>
        <w:rPr>
          <w:lang w:val="en-AU"/>
        </w:rPr>
      </w:pPr>
      <w:r w:rsidRPr="001D7A4A">
        <w:t xml:space="preserve">The evaluation notes that IAHP funded organisations provided services to around 443,000 Aboriginal and Torres Strait Islander clients in 2021-22 </w:t>
      </w:r>
      <w:r w:rsidR="00615F19">
        <w:t xml:space="preserve">which </w:t>
      </w:r>
      <w:r w:rsidRPr="001D7A4A">
        <w:t>represents 45% of the total estimated Aboriginal and Torres Strait Islander population.</w:t>
      </w:r>
      <w:r w:rsidRPr="001D7A4A">
        <w:rPr>
          <w:vertAlign w:val="superscript"/>
        </w:rPr>
        <w:footnoteReference w:id="43"/>
      </w:r>
      <w:r w:rsidRPr="001D7A4A">
        <w:t xml:space="preserve"> This indicates that around 55% of the population do not access PHC services at ACCHSs or other IAHP funded primary care organisations.</w:t>
      </w:r>
      <w:r w:rsidR="00E17100">
        <w:t xml:space="preserve"> The IAHP has limited</w:t>
      </w:r>
      <w:r w:rsidR="006C2B15">
        <w:t xml:space="preserve"> </w:t>
      </w:r>
      <w:r w:rsidR="007222E1">
        <w:t xml:space="preserve">influence over access to PHC services </w:t>
      </w:r>
      <w:r w:rsidR="00541977">
        <w:t xml:space="preserve">for </w:t>
      </w:r>
      <w:r w:rsidR="00275644">
        <w:t>this population.</w:t>
      </w:r>
      <w:r w:rsidR="00AA35E2">
        <w:t xml:space="preserve"> </w:t>
      </w:r>
      <w:r w:rsidR="00F722F6" w:rsidRPr="00884FAA">
        <w:rPr>
          <w:lang w:val="en-AU"/>
        </w:rPr>
        <w:t xml:space="preserve"> </w:t>
      </w:r>
      <w:r w:rsidR="00217BC7">
        <w:rPr>
          <w:lang w:val="en-AU"/>
        </w:rPr>
        <w:t xml:space="preserve">The implications of this are discussed in </w:t>
      </w:r>
      <w:r w:rsidR="00217BC7" w:rsidRPr="00E51BDB">
        <w:rPr>
          <w:lang w:val="en-AU"/>
        </w:rPr>
        <w:t xml:space="preserve">Section </w:t>
      </w:r>
      <w:r w:rsidR="00E51BDB" w:rsidRPr="00E51BDB">
        <w:rPr>
          <w:lang w:val="en-AU"/>
        </w:rPr>
        <w:fldChar w:fldCharType="begin"/>
      </w:r>
      <w:r w:rsidR="00E51BDB" w:rsidRPr="00E51BDB">
        <w:rPr>
          <w:lang w:val="en-AU"/>
        </w:rPr>
        <w:instrText xml:space="preserve"> REF _Ref137158004 \r \h </w:instrText>
      </w:r>
      <w:r w:rsidR="00E51BDB">
        <w:rPr>
          <w:lang w:val="en-AU"/>
        </w:rPr>
        <w:instrText xml:space="preserve"> \* MERGEFORMAT </w:instrText>
      </w:r>
      <w:r w:rsidR="00E51BDB" w:rsidRPr="00E51BDB">
        <w:rPr>
          <w:lang w:val="en-AU"/>
        </w:rPr>
      </w:r>
      <w:r w:rsidR="00E51BDB" w:rsidRPr="00E51BDB">
        <w:rPr>
          <w:lang w:val="en-AU"/>
        </w:rPr>
        <w:fldChar w:fldCharType="separate"/>
      </w:r>
      <w:r w:rsidR="00165B17">
        <w:rPr>
          <w:lang w:val="en-AU"/>
        </w:rPr>
        <w:t>11</w:t>
      </w:r>
      <w:r w:rsidR="00E51BDB" w:rsidRPr="00E51BDB">
        <w:rPr>
          <w:lang w:val="en-AU"/>
        </w:rPr>
        <w:fldChar w:fldCharType="end"/>
      </w:r>
      <w:r w:rsidR="00A079FE" w:rsidRPr="00E51BDB">
        <w:rPr>
          <w:lang w:val="en-AU"/>
        </w:rPr>
        <w:t>.</w:t>
      </w:r>
      <w:r w:rsidR="00217BC7">
        <w:rPr>
          <w:lang w:val="en-AU"/>
        </w:rPr>
        <w:t xml:space="preserve"> </w:t>
      </w:r>
    </w:p>
    <w:p w14:paraId="141833C0" w14:textId="2A416E9E" w:rsidR="005B3CAC" w:rsidRPr="00884FAA" w:rsidRDefault="005B3CAC" w:rsidP="00FF2AF8"/>
    <w:p w14:paraId="75AA2534" w14:textId="77777777" w:rsidR="001E1278" w:rsidRPr="00884FAA" w:rsidRDefault="001E1278">
      <w:pPr>
        <w:jc w:val="left"/>
        <w:rPr>
          <w:b/>
          <w:caps/>
          <w:color w:val="9E6047" w:themeColor="accent3"/>
          <w:kern w:val="28"/>
          <w:sz w:val="40"/>
          <w:szCs w:val="48"/>
        </w:rPr>
      </w:pPr>
      <w:r w:rsidRPr="00884FAA">
        <w:br w:type="page"/>
      </w:r>
    </w:p>
    <w:p w14:paraId="3AA5F38F" w14:textId="0C7615B9" w:rsidR="00761B23" w:rsidRDefault="00866CA5" w:rsidP="003D4A7C">
      <w:pPr>
        <w:pStyle w:val="Heading1"/>
      </w:pPr>
      <w:bookmarkStart w:id="201" w:name="_Ref131606522"/>
      <w:bookmarkStart w:id="202" w:name="_Ref131606577"/>
      <w:bookmarkStart w:id="203" w:name="_Toc137208926"/>
      <w:r w:rsidRPr="00884FAA">
        <w:lastRenderedPageBreak/>
        <w:t>What difference is the IAHP making to the PHC system?</w:t>
      </w:r>
      <w:bookmarkEnd w:id="201"/>
      <w:bookmarkEnd w:id="202"/>
      <w:r w:rsidR="005170F6">
        <w:t xml:space="preserve"> </w:t>
      </w:r>
      <w:bookmarkEnd w:id="203"/>
      <w:r w:rsidR="000C735A">
        <w:rPr>
          <w:noProof/>
        </w:rPr>
        <mc:AlternateContent>
          <mc:Choice Requires="wpg">
            <w:drawing>
              <wp:anchor distT="0" distB="0" distL="114300" distR="114300" simplePos="0" relativeHeight="251658263" behindDoc="1" locked="1" layoutInCell="1" allowOverlap="0" wp14:anchorId="292C04B1" wp14:editId="013C97AF">
                <wp:simplePos x="0" y="0"/>
                <wp:positionH relativeFrom="margin">
                  <wp:posOffset>-151130</wp:posOffset>
                </wp:positionH>
                <wp:positionV relativeFrom="page">
                  <wp:posOffset>1656080</wp:posOffset>
                </wp:positionV>
                <wp:extent cx="6123305" cy="7997825"/>
                <wp:effectExtent l="19050" t="19050" r="29845" b="41275"/>
                <wp:wrapNone/>
                <wp:docPr id="399857941" name="Group 3998579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7997825"/>
                          <a:chOff x="0" y="0"/>
                          <a:chExt cx="7727151" cy="8002778"/>
                        </a:xfrm>
                      </wpg:grpSpPr>
                      <wps:wsp>
                        <wps:cNvPr id="1010374849" name="Rectangle 5"/>
                        <wps:cNvSpPr/>
                        <wps:spPr>
                          <a:xfrm>
                            <a:off x="0" y="918803"/>
                            <a:ext cx="7716521" cy="6254950"/>
                          </a:xfrm>
                          <a:custGeom>
                            <a:avLst/>
                            <a:gdLst>
                              <a:gd name="connsiteX0" fmla="*/ 0 w 7716521"/>
                              <a:gd name="connsiteY0" fmla="*/ 0 h 6254950"/>
                              <a:gd name="connsiteX1" fmla="*/ 643043 w 7716521"/>
                              <a:gd name="connsiteY1" fmla="*/ 0 h 6254950"/>
                              <a:gd name="connsiteX2" fmla="*/ 1286087 w 7716521"/>
                              <a:gd name="connsiteY2" fmla="*/ 0 h 6254950"/>
                              <a:gd name="connsiteX3" fmla="*/ 1697635 w 7716521"/>
                              <a:gd name="connsiteY3" fmla="*/ 0 h 6254950"/>
                              <a:gd name="connsiteX4" fmla="*/ 2340678 w 7716521"/>
                              <a:gd name="connsiteY4" fmla="*/ 0 h 6254950"/>
                              <a:gd name="connsiteX5" fmla="*/ 3138052 w 7716521"/>
                              <a:gd name="connsiteY5" fmla="*/ 0 h 6254950"/>
                              <a:gd name="connsiteX6" fmla="*/ 3703930 w 7716521"/>
                              <a:gd name="connsiteY6" fmla="*/ 0 h 6254950"/>
                              <a:gd name="connsiteX7" fmla="*/ 4269808 w 7716521"/>
                              <a:gd name="connsiteY7" fmla="*/ 0 h 6254950"/>
                              <a:gd name="connsiteX8" fmla="*/ 4912852 w 7716521"/>
                              <a:gd name="connsiteY8" fmla="*/ 0 h 6254950"/>
                              <a:gd name="connsiteX9" fmla="*/ 5633060 w 7716521"/>
                              <a:gd name="connsiteY9" fmla="*/ 0 h 6254950"/>
                              <a:gd name="connsiteX10" fmla="*/ 6353269 w 7716521"/>
                              <a:gd name="connsiteY10" fmla="*/ 0 h 6254950"/>
                              <a:gd name="connsiteX11" fmla="*/ 7073478 w 7716521"/>
                              <a:gd name="connsiteY11" fmla="*/ 0 h 6254950"/>
                              <a:gd name="connsiteX12" fmla="*/ 7716521 w 7716521"/>
                              <a:gd name="connsiteY12" fmla="*/ 0 h 6254950"/>
                              <a:gd name="connsiteX13" fmla="*/ 7716521 w 7716521"/>
                              <a:gd name="connsiteY13" fmla="*/ 694994 h 6254950"/>
                              <a:gd name="connsiteX14" fmla="*/ 7716521 w 7716521"/>
                              <a:gd name="connsiteY14" fmla="*/ 1389989 h 6254950"/>
                              <a:gd name="connsiteX15" fmla="*/ 7716521 w 7716521"/>
                              <a:gd name="connsiteY15" fmla="*/ 2147533 h 6254950"/>
                              <a:gd name="connsiteX16" fmla="*/ 7716521 w 7716521"/>
                              <a:gd name="connsiteY16" fmla="*/ 2967626 h 6254950"/>
                              <a:gd name="connsiteX17" fmla="*/ 7716521 w 7716521"/>
                              <a:gd name="connsiteY17" fmla="*/ 3725170 h 6254950"/>
                              <a:gd name="connsiteX18" fmla="*/ 7716521 w 7716521"/>
                              <a:gd name="connsiteY18" fmla="*/ 4545264 h 6254950"/>
                              <a:gd name="connsiteX19" fmla="*/ 7716521 w 7716521"/>
                              <a:gd name="connsiteY19" fmla="*/ 5302808 h 6254950"/>
                              <a:gd name="connsiteX20" fmla="*/ 7716521 w 7716521"/>
                              <a:gd name="connsiteY20" fmla="*/ 6254950 h 6254950"/>
                              <a:gd name="connsiteX21" fmla="*/ 6996312 w 7716521"/>
                              <a:gd name="connsiteY21" fmla="*/ 6254950 h 6254950"/>
                              <a:gd name="connsiteX22" fmla="*/ 6276104 w 7716521"/>
                              <a:gd name="connsiteY22" fmla="*/ 6254950 h 6254950"/>
                              <a:gd name="connsiteX23" fmla="*/ 5633060 w 7716521"/>
                              <a:gd name="connsiteY23" fmla="*/ 6254950 h 6254950"/>
                              <a:gd name="connsiteX24" fmla="*/ 5221513 w 7716521"/>
                              <a:gd name="connsiteY24" fmla="*/ 6254950 h 6254950"/>
                              <a:gd name="connsiteX25" fmla="*/ 4655634 w 7716521"/>
                              <a:gd name="connsiteY25" fmla="*/ 6254950 h 6254950"/>
                              <a:gd name="connsiteX26" fmla="*/ 3935426 w 7716521"/>
                              <a:gd name="connsiteY26" fmla="*/ 6254950 h 6254950"/>
                              <a:gd name="connsiteX27" fmla="*/ 3446713 w 7716521"/>
                              <a:gd name="connsiteY27" fmla="*/ 6254950 h 6254950"/>
                              <a:gd name="connsiteX28" fmla="*/ 2649339 w 7716521"/>
                              <a:gd name="connsiteY28" fmla="*/ 6254950 h 6254950"/>
                              <a:gd name="connsiteX29" fmla="*/ 1851965 w 7716521"/>
                              <a:gd name="connsiteY29" fmla="*/ 6254950 h 6254950"/>
                              <a:gd name="connsiteX30" fmla="*/ 1208922 w 7716521"/>
                              <a:gd name="connsiteY30" fmla="*/ 6254950 h 6254950"/>
                              <a:gd name="connsiteX31" fmla="*/ 0 w 7716521"/>
                              <a:gd name="connsiteY31" fmla="*/ 6254950 h 6254950"/>
                              <a:gd name="connsiteX32" fmla="*/ 0 w 7716521"/>
                              <a:gd name="connsiteY32" fmla="*/ 5559956 h 6254950"/>
                              <a:gd name="connsiteX33" fmla="*/ 0 w 7716521"/>
                              <a:gd name="connsiteY33" fmla="*/ 4990060 h 6254950"/>
                              <a:gd name="connsiteX34" fmla="*/ 0 w 7716521"/>
                              <a:gd name="connsiteY34" fmla="*/ 4420165 h 6254950"/>
                              <a:gd name="connsiteX35" fmla="*/ 0 w 7716521"/>
                              <a:gd name="connsiteY35" fmla="*/ 3850269 h 6254950"/>
                              <a:gd name="connsiteX36" fmla="*/ 0 w 7716521"/>
                              <a:gd name="connsiteY36" fmla="*/ 3280374 h 6254950"/>
                              <a:gd name="connsiteX37" fmla="*/ 0 w 7716521"/>
                              <a:gd name="connsiteY37" fmla="*/ 2647929 h 6254950"/>
                              <a:gd name="connsiteX38" fmla="*/ 0 w 7716521"/>
                              <a:gd name="connsiteY38" fmla="*/ 2078033 h 6254950"/>
                              <a:gd name="connsiteX39" fmla="*/ 0 w 7716521"/>
                              <a:gd name="connsiteY39" fmla="*/ 1445588 h 6254950"/>
                              <a:gd name="connsiteX40" fmla="*/ 0 w 7716521"/>
                              <a:gd name="connsiteY40" fmla="*/ 688045 h 6254950"/>
                              <a:gd name="connsiteX41" fmla="*/ 0 w 7716521"/>
                              <a:gd name="connsiteY41" fmla="*/ 0 h 6254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7716521" h="6254950" fill="none" extrusionOk="0">
                                <a:moveTo>
                                  <a:pt x="0" y="0"/>
                                </a:moveTo>
                                <a:cubicBezTo>
                                  <a:pt x="245095" y="4611"/>
                                  <a:pt x="368469" y="1448"/>
                                  <a:pt x="643043" y="0"/>
                                </a:cubicBezTo>
                                <a:cubicBezTo>
                                  <a:pt x="917617" y="-1448"/>
                                  <a:pt x="1000740" y="21674"/>
                                  <a:pt x="1286087" y="0"/>
                                </a:cubicBezTo>
                                <a:cubicBezTo>
                                  <a:pt x="1571434" y="-21674"/>
                                  <a:pt x="1512957" y="10107"/>
                                  <a:pt x="1697635" y="0"/>
                                </a:cubicBezTo>
                                <a:cubicBezTo>
                                  <a:pt x="1882313" y="-10107"/>
                                  <a:pt x="2052951" y="1615"/>
                                  <a:pt x="2340678" y="0"/>
                                </a:cubicBezTo>
                                <a:cubicBezTo>
                                  <a:pt x="2628405" y="-1615"/>
                                  <a:pt x="2800530" y="24402"/>
                                  <a:pt x="3138052" y="0"/>
                                </a:cubicBezTo>
                                <a:cubicBezTo>
                                  <a:pt x="3475574" y="-24402"/>
                                  <a:pt x="3475387" y="-5680"/>
                                  <a:pt x="3703930" y="0"/>
                                </a:cubicBezTo>
                                <a:cubicBezTo>
                                  <a:pt x="3932473" y="5680"/>
                                  <a:pt x="4084454" y="-18555"/>
                                  <a:pt x="4269808" y="0"/>
                                </a:cubicBezTo>
                                <a:cubicBezTo>
                                  <a:pt x="4455162" y="18555"/>
                                  <a:pt x="4713575" y="-14499"/>
                                  <a:pt x="4912852" y="0"/>
                                </a:cubicBezTo>
                                <a:cubicBezTo>
                                  <a:pt x="5112129" y="14499"/>
                                  <a:pt x="5426886" y="26203"/>
                                  <a:pt x="5633060" y="0"/>
                                </a:cubicBezTo>
                                <a:cubicBezTo>
                                  <a:pt x="5839234" y="-26203"/>
                                  <a:pt x="6053831" y="15489"/>
                                  <a:pt x="6353269" y="0"/>
                                </a:cubicBezTo>
                                <a:cubicBezTo>
                                  <a:pt x="6652707" y="-15489"/>
                                  <a:pt x="6811068" y="24596"/>
                                  <a:pt x="7073478" y="0"/>
                                </a:cubicBezTo>
                                <a:cubicBezTo>
                                  <a:pt x="7335888" y="-24596"/>
                                  <a:pt x="7529662" y="4152"/>
                                  <a:pt x="7716521" y="0"/>
                                </a:cubicBezTo>
                                <a:cubicBezTo>
                                  <a:pt x="7736919" y="247893"/>
                                  <a:pt x="7704190" y="441411"/>
                                  <a:pt x="7716521" y="694994"/>
                                </a:cubicBezTo>
                                <a:cubicBezTo>
                                  <a:pt x="7728852" y="948577"/>
                                  <a:pt x="7687643" y="1154610"/>
                                  <a:pt x="7716521" y="1389989"/>
                                </a:cubicBezTo>
                                <a:cubicBezTo>
                                  <a:pt x="7745399" y="1625369"/>
                                  <a:pt x="7731264" y="1866818"/>
                                  <a:pt x="7716521" y="2147533"/>
                                </a:cubicBezTo>
                                <a:cubicBezTo>
                                  <a:pt x="7701778" y="2428248"/>
                                  <a:pt x="7689335" y="2802573"/>
                                  <a:pt x="7716521" y="2967626"/>
                                </a:cubicBezTo>
                                <a:cubicBezTo>
                                  <a:pt x="7743707" y="3132679"/>
                                  <a:pt x="7685581" y="3401966"/>
                                  <a:pt x="7716521" y="3725170"/>
                                </a:cubicBezTo>
                                <a:cubicBezTo>
                                  <a:pt x="7747461" y="4048374"/>
                                  <a:pt x="7684260" y="4250832"/>
                                  <a:pt x="7716521" y="4545264"/>
                                </a:cubicBezTo>
                                <a:cubicBezTo>
                                  <a:pt x="7748782" y="4839696"/>
                                  <a:pt x="7731155" y="5008993"/>
                                  <a:pt x="7716521" y="5302808"/>
                                </a:cubicBezTo>
                                <a:cubicBezTo>
                                  <a:pt x="7701887" y="5596623"/>
                                  <a:pt x="7744134" y="5806314"/>
                                  <a:pt x="7716521" y="6254950"/>
                                </a:cubicBezTo>
                                <a:cubicBezTo>
                                  <a:pt x="7490453" y="6287142"/>
                                  <a:pt x="7173231" y="6290070"/>
                                  <a:pt x="6996312" y="6254950"/>
                                </a:cubicBezTo>
                                <a:cubicBezTo>
                                  <a:pt x="6819393" y="6219830"/>
                                  <a:pt x="6570290" y="6265616"/>
                                  <a:pt x="6276104" y="6254950"/>
                                </a:cubicBezTo>
                                <a:cubicBezTo>
                                  <a:pt x="5981918" y="6244284"/>
                                  <a:pt x="5810098" y="6262698"/>
                                  <a:pt x="5633060" y="6254950"/>
                                </a:cubicBezTo>
                                <a:cubicBezTo>
                                  <a:pt x="5456022" y="6247202"/>
                                  <a:pt x="5400641" y="6240534"/>
                                  <a:pt x="5221513" y="6254950"/>
                                </a:cubicBezTo>
                                <a:cubicBezTo>
                                  <a:pt x="5042385" y="6269366"/>
                                  <a:pt x="4820607" y="6227788"/>
                                  <a:pt x="4655634" y="6254950"/>
                                </a:cubicBezTo>
                                <a:cubicBezTo>
                                  <a:pt x="4490661" y="6282112"/>
                                  <a:pt x="4179412" y="6246896"/>
                                  <a:pt x="3935426" y="6254950"/>
                                </a:cubicBezTo>
                                <a:cubicBezTo>
                                  <a:pt x="3691440" y="6263004"/>
                                  <a:pt x="3665271" y="6277152"/>
                                  <a:pt x="3446713" y="6254950"/>
                                </a:cubicBezTo>
                                <a:cubicBezTo>
                                  <a:pt x="3228155" y="6232748"/>
                                  <a:pt x="2871223" y="6268063"/>
                                  <a:pt x="2649339" y="6254950"/>
                                </a:cubicBezTo>
                                <a:cubicBezTo>
                                  <a:pt x="2427455" y="6241837"/>
                                  <a:pt x="2190015" y="6236246"/>
                                  <a:pt x="1851965" y="6254950"/>
                                </a:cubicBezTo>
                                <a:cubicBezTo>
                                  <a:pt x="1513915" y="6273654"/>
                                  <a:pt x="1424034" y="6245069"/>
                                  <a:pt x="1208922" y="6254950"/>
                                </a:cubicBezTo>
                                <a:cubicBezTo>
                                  <a:pt x="993810" y="6264831"/>
                                  <a:pt x="602424" y="6245729"/>
                                  <a:pt x="0" y="6254950"/>
                                </a:cubicBezTo>
                                <a:cubicBezTo>
                                  <a:pt x="-3843" y="5989797"/>
                                  <a:pt x="-29646" y="5776341"/>
                                  <a:pt x="0" y="5559956"/>
                                </a:cubicBezTo>
                                <a:cubicBezTo>
                                  <a:pt x="29646" y="5343571"/>
                                  <a:pt x="-24320" y="5149327"/>
                                  <a:pt x="0" y="4990060"/>
                                </a:cubicBezTo>
                                <a:cubicBezTo>
                                  <a:pt x="24320" y="4830793"/>
                                  <a:pt x="8395" y="4652210"/>
                                  <a:pt x="0" y="4420165"/>
                                </a:cubicBezTo>
                                <a:cubicBezTo>
                                  <a:pt x="-8395" y="4188120"/>
                                  <a:pt x="26406" y="4017375"/>
                                  <a:pt x="0" y="3850269"/>
                                </a:cubicBezTo>
                                <a:cubicBezTo>
                                  <a:pt x="-26406" y="3683163"/>
                                  <a:pt x="-6744" y="3438309"/>
                                  <a:pt x="0" y="3280374"/>
                                </a:cubicBezTo>
                                <a:cubicBezTo>
                                  <a:pt x="6744" y="3122440"/>
                                  <a:pt x="-5500" y="2931998"/>
                                  <a:pt x="0" y="2647929"/>
                                </a:cubicBezTo>
                                <a:cubicBezTo>
                                  <a:pt x="5500" y="2363861"/>
                                  <a:pt x="-1751" y="2324707"/>
                                  <a:pt x="0" y="2078033"/>
                                </a:cubicBezTo>
                                <a:cubicBezTo>
                                  <a:pt x="1751" y="1831359"/>
                                  <a:pt x="-23250" y="1580248"/>
                                  <a:pt x="0" y="1445588"/>
                                </a:cubicBezTo>
                                <a:cubicBezTo>
                                  <a:pt x="23250" y="1310928"/>
                                  <a:pt x="-33803" y="891335"/>
                                  <a:pt x="0" y="688045"/>
                                </a:cubicBezTo>
                                <a:cubicBezTo>
                                  <a:pt x="33803" y="484755"/>
                                  <a:pt x="-22000" y="169247"/>
                                  <a:pt x="0" y="0"/>
                                </a:cubicBezTo>
                                <a:close/>
                              </a:path>
                              <a:path w="7716521" h="6254950"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02173" y="131350"/>
                                  <a:pt x="7702771" y="329244"/>
                                  <a:pt x="7716521" y="632445"/>
                                </a:cubicBezTo>
                                <a:cubicBezTo>
                                  <a:pt x="7730271" y="935646"/>
                                  <a:pt x="7715771" y="909530"/>
                                  <a:pt x="7716521" y="1139791"/>
                                </a:cubicBezTo>
                                <a:cubicBezTo>
                                  <a:pt x="7717271" y="1370052"/>
                                  <a:pt x="7748399" y="1674226"/>
                                  <a:pt x="7716521" y="1834785"/>
                                </a:cubicBezTo>
                                <a:cubicBezTo>
                                  <a:pt x="7684643" y="1995344"/>
                                  <a:pt x="7747254" y="2337794"/>
                                  <a:pt x="7716521" y="2529780"/>
                                </a:cubicBezTo>
                                <a:cubicBezTo>
                                  <a:pt x="7685788" y="2721767"/>
                                  <a:pt x="7709819" y="3007882"/>
                                  <a:pt x="7716521" y="3224774"/>
                                </a:cubicBezTo>
                                <a:cubicBezTo>
                                  <a:pt x="7723223" y="3441666"/>
                                  <a:pt x="7730963" y="3804489"/>
                                  <a:pt x="7716521" y="3982318"/>
                                </a:cubicBezTo>
                                <a:cubicBezTo>
                                  <a:pt x="7702079" y="4160147"/>
                                  <a:pt x="7730625" y="4436546"/>
                                  <a:pt x="7716521" y="4739862"/>
                                </a:cubicBezTo>
                                <a:cubicBezTo>
                                  <a:pt x="7702417" y="5043178"/>
                                  <a:pt x="7703229" y="5284251"/>
                                  <a:pt x="7716521" y="5497406"/>
                                </a:cubicBezTo>
                                <a:cubicBezTo>
                                  <a:pt x="7729813" y="5710561"/>
                                  <a:pt x="7684567" y="6101879"/>
                                  <a:pt x="7716521" y="6254950"/>
                                </a:cubicBezTo>
                                <a:cubicBezTo>
                                  <a:pt x="7574187" y="6256168"/>
                                  <a:pt x="7425767" y="6239721"/>
                                  <a:pt x="7227808" y="6254950"/>
                                </a:cubicBezTo>
                                <a:cubicBezTo>
                                  <a:pt x="7029849" y="6270179"/>
                                  <a:pt x="6875286" y="6278657"/>
                                  <a:pt x="6584765" y="6254950"/>
                                </a:cubicBezTo>
                                <a:cubicBezTo>
                                  <a:pt x="6294244" y="6231243"/>
                                  <a:pt x="6195396" y="6236873"/>
                                  <a:pt x="6096052" y="6254950"/>
                                </a:cubicBezTo>
                                <a:cubicBezTo>
                                  <a:pt x="5996708" y="6273027"/>
                                  <a:pt x="5746727" y="6230236"/>
                                  <a:pt x="5453008" y="6254950"/>
                                </a:cubicBezTo>
                                <a:cubicBezTo>
                                  <a:pt x="5159289" y="6279664"/>
                                  <a:pt x="5193087" y="6261490"/>
                                  <a:pt x="5041460" y="6254950"/>
                                </a:cubicBezTo>
                                <a:cubicBezTo>
                                  <a:pt x="4889833" y="6248410"/>
                                  <a:pt x="4742582" y="6258698"/>
                                  <a:pt x="4629913" y="6254950"/>
                                </a:cubicBezTo>
                                <a:cubicBezTo>
                                  <a:pt x="4517244" y="6251202"/>
                                  <a:pt x="4301267" y="6286645"/>
                                  <a:pt x="3986869" y="6254950"/>
                                </a:cubicBezTo>
                                <a:cubicBezTo>
                                  <a:pt x="3672471" y="6223255"/>
                                  <a:pt x="3600475" y="6256954"/>
                                  <a:pt x="3498156" y="6254950"/>
                                </a:cubicBezTo>
                                <a:cubicBezTo>
                                  <a:pt x="3395837" y="6252946"/>
                                  <a:pt x="3109057" y="6281083"/>
                                  <a:pt x="2777948" y="6254950"/>
                                </a:cubicBezTo>
                                <a:cubicBezTo>
                                  <a:pt x="2446839" y="6228817"/>
                                  <a:pt x="2518789" y="6256429"/>
                                  <a:pt x="2289235" y="6254950"/>
                                </a:cubicBezTo>
                                <a:cubicBezTo>
                                  <a:pt x="2059681" y="6253471"/>
                                  <a:pt x="1876564" y="6242720"/>
                                  <a:pt x="1569026" y="6254950"/>
                                </a:cubicBezTo>
                                <a:cubicBezTo>
                                  <a:pt x="1261488" y="6267180"/>
                                  <a:pt x="1302582" y="6241241"/>
                                  <a:pt x="1157478" y="6254950"/>
                                </a:cubicBezTo>
                                <a:cubicBezTo>
                                  <a:pt x="1012374" y="6268659"/>
                                  <a:pt x="241247" y="6225793"/>
                                  <a:pt x="0" y="6254950"/>
                                </a:cubicBezTo>
                                <a:cubicBezTo>
                                  <a:pt x="28400" y="6048096"/>
                                  <a:pt x="7819" y="5877552"/>
                                  <a:pt x="0" y="5685055"/>
                                </a:cubicBezTo>
                                <a:cubicBezTo>
                                  <a:pt x="-7819" y="5492558"/>
                                  <a:pt x="22642" y="5216515"/>
                                  <a:pt x="0" y="4864961"/>
                                </a:cubicBezTo>
                                <a:cubicBezTo>
                                  <a:pt x="-22642" y="4513407"/>
                                  <a:pt x="-1536" y="4419711"/>
                                  <a:pt x="0" y="4232516"/>
                                </a:cubicBezTo>
                                <a:cubicBezTo>
                                  <a:pt x="1536" y="4045321"/>
                                  <a:pt x="-33851" y="3603097"/>
                                  <a:pt x="0" y="3412423"/>
                                </a:cubicBezTo>
                                <a:cubicBezTo>
                                  <a:pt x="33851" y="3221749"/>
                                  <a:pt x="-17771" y="3082210"/>
                                  <a:pt x="0" y="2842527"/>
                                </a:cubicBezTo>
                                <a:cubicBezTo>
                                  <a:pt x="17771" y="2602844"/>
                                  <a:pt x="24706" y="2507502"/>
                                  <a:pt x="0" y="2335181"/>
                                </a:cubicBezTo>
                                <a:cubicBezTo>
                                  <a:pt x="-24706" y="2162860"/>
                                  <a:pt x="18749" y="1986794"/>
                                  <a:pt x="0" y="1827835"/>
                                </a:cubicBezTo>
                                <a:cubicBezTo>
                                  <a:pt x="-18749" y="1668876"/>
                                  <a:pt x="14747" y="1324150"/>
                                  <a:pt x="0" y="1070291"/>
                                </a:cubicBezTo>
                                <a:cubicBezTo>
                                  <a:pt x="-14747" y="816432"/>
                                  <a:pt x="-9285" y="314494"/>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935487" name="Rectangle 5"/>
                        <wps:cNvSpPr/>
                        <wps:spPr>
                          <a:xfrm>
                            <a:off x="0" y="0"/>
                            <a:ext cx="7716520" cy="813538"/>
                          </a:xfrm>
                          <a:custGeom>
                            <a:avLst/>
                            <a:gdLst>
                              <a:gd name="connsiteX0" fmla="*/ 0 w 7716520"/>
                              <a:gd name="connsiteY0" fmla="*/ 0 h 813538"/>
                              <a:gd name="connsiteX1" fmla="*/ 797374 w 7716520"/>
                              <a:gd name="connsiteY1" fmla="*/ 0 h 813538"/>
                              <a:gd name="connsiteX2" fmla="*/ 1594747 w 7716520"/>
                              <a:gd name="connsiteY2" fmla="*/ 0 h 813538"/>
                              <a:gd name="connsiteX3" fmla="*/ 2237791 w 7716520"/>
                              <a:gd name="connsiteY3" fmla="*/ 0 h 813538"/>
                              <a:gd name="connsiteX4" fmla="*/ 2957999 w 7716520"/>
                              <a:gd name="connsiteY4" fmla="*/ 0 h 813538"/>
                              <a:gd name="connsiteX5" fmla="*/ 3523877 w 7716520"/>
                              <a:gd name="connsiteY5" fmla="*/ 0 h 813538"/>
                              <a:gd name="connsiteX6" fmla="*/ 4166921 w 7716520"/>
                              <a:gd name="connsiteY6" fmla="*/ 0 h 813538"/>
                              <a:gd name="connsiteX7" fmla="*/ 4964295 w 7716520"/>
                              <a:gd name="connsiteY7" fmla="*/ 0 h 813538"/>
                              <a:gd name="connsiteX8" fmla="*/ 5453007 w 7716520"/>
                              <a:gd name="connsiteY8" fmla="*/ 0 h 813538"/>
                              <a:gd name="connsiteX9" fmla="*/ 6173216 w 7716520"/>
                              <a:gd name="connsiteY9" fmla="*/ 0 h 813538"/>
                              <a:gd name="connsiteX10" fmla="*/ 6661929 w 7716520"/>
                              <a:gd name="connsiteY10" fmla="*/ 0 h 813538"/>
                              <a:gd name="connsiteX11" fmla="*/ 7716520 w 7716520"/>
                              <a:gd name="connsiteY11" fmla="*/ 0 h 813538"/>
                              <a:gd name="connsiteX12" fmla="*/ 7716520 w 7716520"/>
                              <a:gd name="connsiteY12" fmla="*/ 414904 h 813538"/>
                              <a:gd name="connsiteX13" fmla="*/ 7716520 w 7716520"/>
                              <a:gd name="connsiteY13" fmla="*/ 813538 h 813538"/>
                              <a:gd name="connsiteX14" fmla="*/ 6919146 w 7716520"/>
                              <a:gd name="connsiteY14" fmla="*/ 813538 h 813538"/>
                              <a:gd name="connsiteX15" fmla="*/ 6276103 w 7716520"/>
                              <a:gd name="connsiteY15" fmla="*/ 813538 h 813538"/>
                              <a:gd name="connsiteX16" fmla="*/ 5633060 w 7716520"/>
                              <a:gd name="connsiteY16" fmla="*/ 813538 h 813538"/>
                              <a:gd name="connsiteX17" fmla="*/ 4990016 w 7716520"/>
                              <a:gd name="connsiteY17" fmla="*/ 813538 h 813538"/>
                              <a:gd name="connsiteX18" fmla="*/ 4346973 w 7716520"/>
                              <a:gd name="connsiteY18" fmla="*/ 813538 h 813538"/>
                              <a:gd name="connsiteX19" fmla="*/ 3781095 w 7716520"/>
                              <a:gd name="connsiteY19" fmla="*/ 813538 h 813538"/>
                              <a:gd name="connsiteX20" fmla="*/ 3060886 w 7716520"/>
                              <a:gd name="connsiteY20" fmla="*/ 813538 h 813538"/>
                              <a:gd name="connsiteX21" fmla="*/ 2417843 w 7716520"/>
                              <a:gd name="connsiteY21" fmla="*/ 813538 h 813538"/>
                              <a:gd name="connsiteX22" fmla="*/ 1620469 w 7716520"/>
                              <a:gd name="connsiteY22" fmla="*/ 813538 h 813538"/>
                              <a:gd name="connsiteX23" fmla="*/ 823095 w 7716520"/>
                              <a:gd name="connsiteY23" fmla="*/ 813538 h 813538"/>
                              <a:gd name="connsiteX24" fmla="*/ 0 w 7716520"/>
                              <a:gd name="connsiteY24" fmla="*/ 813538 h 813538"/>
                              <a:gd name="connsiteX25" fmla="*/ 0 w 7716520"/>
                              <a:gd name="connsiteY25" fmla="*/ 398634 h 813538"/>
                              <a:gd name="connsiteX26" fmla="*/ 0 w 7716520"/>
                              <a:gd name="connsiteY26" fmla="*/ 0 h 8135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13538"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05017" y="164526"/>
                                  <a:pt x="7710019" y="231357"/>
                                  <a:pt x="7716520" y="414904"/>
                                </a:cubicBezTo>
                                <a:cubicBezTo>
                                  <a:pt x="7723021" y="598451"/>
                                  <a:pt x="7733557" y="624803"/>
                                  <a:pt x="7716520" y="813538"/>
                                </a:cubicBezTo>
                                <a:cubicBezTo>
                                  <a:pt x="7508045" y="792385"/>
                                  <a:pt x="7283950" y="835632"/>
                                  <a:pt x="6919146" y="813538"/>
                                </a:cubicBezTo>
                                <a:cubicBezTo>
                                  <a:pt x="6554342" y="791444"/>
                                  <a:pt x="6483499" y="837413"/>
                                  <a:pt x="6276103" y="813538"/>
                                </a:cubicBezTo>
                                <a:cubicBezTo>
                                  <a:pt x="6068707" y="789663"/>
                                  <a:pt x="5881943" y="805412"/>
                                  <a:pt x="5633060" y="813538"/>
                                </a:cubicBezTo>
                                <a:cubicBezTo>
                                  <a:pt x="5384177" y="821664"/>
                                  <a:pt x="5301279" y="823753"/>
                                  <a:pt x="4990016" y="813538"/>
                                </a:cubicBezTo>
                                <a:cubicBezTo>
                                  <a:pt x="4678753" y="803323"/>
                                  <a:pt x="4644713" y="806293"/>
                                  <a:pt x="4346973" y="813538"/>
                                </a:cubicBezTo>
                                <a:cubicBezTo>
                                  <a:pt x="4049233" y="820783"/>
                                  <a:pt x="4055228" y="795910"/>
                                  <a:pt x="3781095" y="813538"/>
                                </a:cubicBezTo>
                                <a:cubicBezTo>
                                  <a:pt x="3506962" y="831166"/>
                                  <a:pt x="3393564" y="845499"/>
                                  <a:pt x="3060886" y="813538"/>
                                </a:cubicBezTo>
                                <a:cubicBezTo>
                                  <a:pt x="2728208" y="781577"/>
                                  <a:pt x="2660656" y="843202"/>
                                  <a:pt x="2417843" y="813538"/>
                                </a:cubicBezTo>
                                <a:cubicBezTo>
                                  <a:pt x="2175030" y="783874"/>
                                  <a:pt x="1938090" y="818205"/>
                                  <a:pt x="1620469" y="813538"/>
                                </a:cubicBezTo>
                                <a:cubicBezTo>
                                  <a:pt x="1302848" y="808871"/>
                                  <a:pt x="1220111" y="779149"/>
                                  <a:pt x="823095" y="813538"/>
                                </a:cubicBezTo>
                                <a:cubicBezTo>
                                  <a:pt x="426079" y="847927"/>
                                  <a:pt x="306208" y="821431"/>
                                  <a:pt x="0" y="813538"/>
                                </a:cubicBezTo>
                                <a:cubicBezTo>
                                  <a:pt x="-14891" y="729475"/>
                                  <a:pt x="-7450" y="577555"/>
                                  <a:pt x="0" y="398634"/>
                                </a:cubicBezTo>
                                <a:cubicBezTo>
                                  <a:pt x="7450" y="219713"/>
                                  <a:pt x="-3274" y="164443"/>
                                  <a:pt x="0" y="0"/>
                                </a:cubicBezTo>
                                <a:close/>
                              </a:path>
                              <a:path w="7716520" h="81353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23974" y="152228"/>
                                  <a:pt x="7707590" y="227971"/>
                                  <a:pt x="7716520" y="398634"/>
                                </a:cubicBezTo>
                                <a:cubicBezTo>
                                  <a:pt x="7725450" y="569297"/>
                                  <a:pt x="7700558" y="649202"/>
                                  <a:pt x="7716520" y="813538"/>
                                </a:cubicBezTo>
                                <a:cubicBezTo>
                                  <a:pt x="7584340" y="845666"/>
                                  <a:pt x="7351923" y="829138"/>
                                  <a:pt x="7073477" y="813538"/>
                                </a:cubicBezTo>
                                <a:cubicBezTo>
                                  <a:pt x="6795031" y="797938"/>
                                  <a:pt x="6789739" y="830508"/>
                                  <a:pt x="6584764" y="813538"/>
                                </a:cubicBezTo>
                                <a:cubicBezTo>
                                  <a:pt x="6379789" y="796568"/>
                                  <a:pt x="6180293" y="837004"/>
                                  <a:pt x="5941720" y="813538"/>
                                </a:cubicBezTo>
                                <a:cubicBezTo>
                                  <a:pt x="5703147" y="790072"/>
                                  <a:pt x="5421160" y="792266"/>
                                  <a:pt x="5144347" y="813538"/>
                                </a:cubicBezTo>
                                <a:cubicBezTo>
                                  <a:pt x="4867534" y="834810"/>
                                  <a:pt x="4751766" y="825919"/>
                                  <a:pt x="4501303" y="813538"/>
                                </a:cubicBezTo>
                                <a:cubicBezTo>
                                  <a:pt x="4250840" y="801157"/>
                                  <a:pt x="4237304" y="800267"/>
                                  <a:pt x="4089756" y="813538"/>
                                </a:cubicBezTo>
                                <a:cubicBezTo>
                                  <a:pt x="3942208" y="826809"/>
                                  <a:pt x="3702969" y="813570"/>
                                  <a:pt x="3601043" y="813538"/>
                                </a:cubicBezTo>
                                <a:cubicBezTo>
                                  <a:pt x="3499117" y="813506"/>
                                  <a:pt x="3048422" y="811191"/>
                                  <a:pt x="2803669" y="813538"/>
                                </a:cubicBezTo>
                                <a:cubicBezTo>
                                  <a:pt x="2558916" y="815885"/>
                                  <a:pt x="2451147" y="837245"/>
                                  <a:pt x="2160626" y="813538"/>
                                </a:cubicBezTo>
                                <a:cubicBezTo>
                                  <a:pt x="1870105" y="789831"/>
                                  <a:pt x="1771257" y="795461"/>
                                  <a:pt x="1671913" y="813538"/>
                                </a:cubicBezTo>
                                <a:cubicBezTo>
                                  <a:pt x="1572569" y="831615"/>
                                  <a:pt x="1322588" y="788824"/>
                                  <a:pt x="1028869" y="813538"/>
                                </a:cubicBezTo>
                                <a:cubicBezTo>
                                  <a:pt x="735150" y="838252"/>
                                  <a:pt x="762570" y="811556"/>
                                  <a:pt x="617322" y="813538"/>
                                </a:cubicBezTo>
                                <a:cubicBezTo>
                                  <a:pt x="472074" y="815520"/>
                                  <a:pt x="276811" y="831405"/>
                                  <a:pt x="0" y="813538"/>
                                </a:cubicBezTo>
                                <a:cubicBezTo>
                                  <a:pt x="-2456" y="681600"/>
                                  <a:pt x="-10890" y="606769"/>
                                  <a:pt x="0" y="406769"/>
                                </a:cubicBezTo>
                                <a:cubicBezTo>
                                  <a:pt x="10890" y="206769"/>
                                  <a:pt x="-17406" y="197326"/>
                                  <a:pt x="0" y="0"/>
                                </a:cubicBezTo>
                                <a:close/>
                              </a:path>
                            </a:pathLst>
                          </a:custGeom>
                          <a:solidFill>
                            <a:srgbClr val="E5E97A"/>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4385439" name="Rectangle 5"/>
                        <wps:cNvSpPr/>
                        <wps:spPr>
                          <a:xfrm>
                            <a:off x="0" y="408051"/>
                            <a:ext cx="7716521" cy="867588"/>
                          </a:xfrm>
                          <a:custGeom>
                            <a:avLst/>
                            <a:gdLst>
                              <a:gd name="connsiteX0" fmla="*/ 0 w 7716521"/>
                              <a:gd name="connsiteY0" fmla="*/ 0 h 867588"/>
                              <a:gd name="connsiteX1" fmla="*/ 797374 w 7716521"/>
                              <a:gd name="connsiteY1" fmla="*/ 0 h 867588"/>
                              <a:gd name="connsiteX2" fmla="*/ 1594748 w 7716521"/>
                              <a:gd name="connsiteY2" fmla="*/ 0 h 867588"/>
                              <a:gd name="connsiteX3" fmla="*/ 2237791 w 7716521"/>
                              <a:gd name="connsiteY3" fmla="*/ 0 h 867588"/>
                              <a:gd name="connsiteX4" fmla="*/ 2958000 w 7716521"/>
                              <a:gd name="connsiteY4" fmla="*/ 0 h 867588"/>
                              <a:gd name="connsiteX5" fmla="*/ 3523878 w 7716521"/>
                              <a:gd name="connsiteY5" fmla="*/ 0 h 867588"/>
                              <a:gd name="connsiteX6" fmla="*/ 4166921 w 7716521"/>
                              <a:gd name="connsiteY6" fmla="*/ 0 h 867588"/>
                              <a:gd name="connsiteX7" fmla="*/ 4964295 w 7716521"/>
                              <a:gd name="connsiteY7" fmla="*/ 0 h 867588"/>
                              <a:gd name="connsiteX8" fmla="*/ 5453008 w 7716521"/>
                              <a:gd name="connsiteY8" fmla="*/ 0 h 867588"/>
                              <a:gd name="connsiteX9" fmla="*/ 6173217 w 7716521"/>
                              <a:gd name="connsiteY9" fmla="*/ 0 h 867588"/>
                              <a:gd name="connsiteX10" fmla="*/ 6661930 w 7716521"/>
                              <a:gd name="connsiteY10" fmla="*/ 0 h 867588"/>
                              <a:gd name="connsiteX11" fmla="*/ 7716521 w 7716521"/>
                              <a:gd name="connsiteY11" fmla="*/ 0 h 867588"/>
                              <a:gd name="connsiteX12" fmla="*/ 7716521 w 7716521"/>
                              <a:gd name="connsiteY12" fmla="*/ 442470 h 867588"/>
                              <a:gd name="connsiteX13" fmla="*/ 7716521 w 7716521"/>
                              <a:gd name="connsiteY13" fmla="*/ 867588 h 867588"/>
                              <a:gd name="connsiteX14" fmla="*/ 6919147 w 7716521"/>
                              <a:gd name="connsiteY14" fmla="*/ 867588 h 867588"/>
                              <a:gd name="connsiteX15" fmla="*/ 6276104 w 7716521"/>
                              <a:gd name="connsiteY15" fmla="*/ 867588 h 867588"/>
                              <a:gd name="connsiteX16" fmla="*/ 5633060 w 7716521"/>
                              <a:gd name="connsiteY16" fmla="*/ 867588 h 867588"/>
                              <a:gd name="connsiteX17" fmla="*/ 4990017 w 7716521"/>
                              <a:gd name="connsiteY17" fmla="*/ 867588 h 867588"/>
                              <a:gd name="connsiteX18" fmla="*/ 4346973 w 7716521"/>
                              <a:gd name="connsiteY18" fmla="*/ 867588 h 867588"/>
                              <a:gd name="connsiteX19" fmla="*/ 3781095 w 7716521"/>
                              <a:gd name="connsiteY19" fmla="*/ 867588 h 867588"/>
                              <a:gd name="connsiteX20" fmla="*/ 3060887 w 7716521"/>
                              <a:gd name="connsiteY20" fmla="*/ 867588 h 867588"/>
                              <a:gd name="connsiteX21" fmla="*/ 2417843 w 7716521"/>
                              <a:gd name="connsiteY21" fmla="*/ 867588 h 867588"/>
                              <a:gd name="connsiteX22" fmla="*/ 1620469 w 7716521"/>
                              <a:gd name="connsiteY22" fmla="*/ 867588 h 867588"/>
                              <a:gd name="connsiteX23" fmla="*/ 823096 w 7716521"/>
                              <a:gd name="connsiteY23" fmla="*/ 867588 h 867588"/>
                              <a:gd name="connsiteX24" fmla="*/ 0 w 7716521"/>
                              <a:gd name="connsiteY24" fmla="*/ 867588 h 867588"/>
                              <a:gd name="connsiteX25" fmla="*/ 0 w 7716521"/>
                              <a:gd name="connsiteY25" fmla="*/ 425118 h 867588"/>
                              <a:gd name="connsiteX26" fmla="*/ 0 w 7716521"/>
                              <a:gd name="connsiteY26" fmla="*/ 0 h 8675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1" h="867588" fill="none" extrusionOk="0">
                                <a:moveTo>
                                  <a:pt x="0" y="0"/>
                                </a:moveTo>
                                <a:cubicBezTo>
                                  <a:pt x="257018" y="-23538"/>
                                  <a:pt x="559675" y="-12498"/>
                                  <a:pt x="797374" y="0"/>
                                </a:cubicBezTo>
                                <a:cubicBezTo>
                                  <a:pt x="1035073" y="12498"/>
                                  <a:pt x="1281149" y="-25614"/>
                                  <a:pt x="1594748" y="0"/>
                                </a:cubicBezTo>
                                <a:cubicBezTo>
                                  <a:pt x="1908347" y="25614"/>
                                  <a:pt x="2057731" y="-22393"/>
                                  <a:pt x="2237791" y="0"/>
                                </a:cubicBezTo>
                                <a:cubicBezTo>
                                  <a:pt x="2417851" y="22393"/>
                                  <a:pt x="2809894" y="-27983"/>
                                  <a:pt x="2958000" y="0"/>
                                </a:cubicBezTo>
                                <a:cubicBezTo>
                                  <a:pt x="3106106" y="27983"/>
                                  <a:pt x="3262329" y="15278"/>
                                  <a:pt x="3523878" y="0"/>
                                </a:cubicBezTo>
                                <a:cubicBezTo>
                                  <a:pt x="3785427" y="-15278"/>
                                  <a:pt x="4031795" y="-8489"/>
                                  <a:pt x="4166921" y="0"/>
                                </a:cubicBezTo>
                                <a:cubicBezTo>
                                  <a:pt x="4302047" y="8489"/>
                                  <a:pt x="4629506" y="-31675"/>
                                  <a:pt x="4964295" y="0"/>
                                </a:cubicBezTo>
                                <a:cubicBezTo>
                                  <a:pt x="5299084" y="31675"/>
                                  <a:pt x="5257534" y="-13002"/>
                                  <a:pt x="5453008" y="0"/>
                                </a:cubicBezTo>
                                <a:cubicBezTo>
                                  <a:pt x="5648482" y="13002"/>
                                  <a:pt x="5900493" y="5340"/>
                                  <a:pt x="6173217" y="0"/>
                                </a:cubicBezTo>
                                <a:cubicBezTo>
                                  <a:pt x="6445941" y="-5340"/>
                                  <a:pt x="6484712" y="2287"/>
                                  <a:pt x="6661930" y="0"/>
                                </a:cubicBezTo>
                                <a:cubicBezTo>
                                  <a:pt x="6839148" y="-2287"/>
                                  <a:pt x="7226431" y="-13534"/>
                                  <a:pt x="7716521" y="0"/>
                                </a:cubicBezTo>
                                <a:cubicBezTo>
                                  <a:pt x="7720255" y="119554"/>
                                  <a:pt x="7695874" y="336619"/>
                                  <a:pt x="7716521" y="442470"/>
                                </a:cubicBezTo>
                                <a:cubicBezTo>
                                  <a:pt x="7737169" y="548321"/>
                                  <a:pt x="7713352" y="658271"/>
                                  <a:pt x="7716521" y="867588"/>
                                </a:cubicBezTo>
                                <a:cubicBezTo>
                                  <a:pt x="7508046" y="846435"/>
                                  <a:pt x="7283951" y="889682"/>
                                  <a:pt x="6919147" y="867588"/>
                                </a:cubicBezTo>
                                <a:cubicBezTo>
                                  <a:pt x="6554343" y="845494"/>
                                  <a:pt x="6483500" y="891463"/>
                                  <a:pt x="6276104" y="867588"/>
                                </a:cubicBezTo>
                                <a:cubicBezTo>
                                  <a:pt x="6068708" y="843713"/>
                                  <a:pt x="5885617" y="860742"/>
                                  <a:pt x="5633060" y="867588"/>
                                </a:cubicBezTo>
                                <a:cubicBezTo>
                                  <a:pt x="5380503" y="874434"/>
                                  <a:pt x="5295854" y="872960"/>
                                  <a:pt x="4990017" y="867588"/>
                                </a:cubicBezTo>
                                <a:cubicBezTo>
                                  <a:pt x="4684180" y="862216"/>
                                  <a:pt x="4650940" y="866325"/>
                                  <a:pt x="4346973" y="867588"/>
                                </a:cubicBezTo>
                                <a:cubicBezTo>
                                  <a:pt x="4043006" y="868851"/>
                                  <a:pt x="4055228" y="849960"/>
                                  <a:pt x="3781095" y="867588"/>
                                </a:cubicBezTo>
                                <a:cubicBezTo>
                                  <a:pt x="3506962" y="885216"/>
                                  <a:pt x="3387653" y="896316"/>
                                  <a:pt x="3060887" y="867588"/>
                                </a:cubicBezTo>
                                <a:cubicBezTo>
                                  <a:pt x="2734121" y="838860"/>
                                  <a:pt x="2662049" y="837047"/>
                                  <a:pt x="2417843" y="867588"/>
                                </a:cubicBezTo>
                                <a:cubicBezTo>
                                  <a:pt x="2173637" y="898129"/>
                                  <a:pt x="1938090" y="872255"/>
                                  <a:pt x="1620469" y="867588"/>
                                </a:cubicBezTo>
                                <a:cubicBezTo>
                                  <a:pt x="1302848" y="862921"/>
                                  <a:pt x="1219801" y="828120"/>
                                  <a:pt x="823096" y="867588"/>
                                </a:cubicBezTo>
                                <a:cubicBezTo>
                                  <a:pt x="426391" y="907056"/>
                                  <a:pt x="309084" y="877445"/>
                                  <a:pt x="0" y="867588"/>
                                </a:cubicBezTo>
                                <a:cubicBezTo>
                                  <a:pt x="-6320" y="736958"/>
                                  <a:pt x="18072" y="598549"/>
                                  <a:pt x="0" y="425118"/>
                                </a:cubicBezTo>
                                <a:cubicBezTo>
                                  <a:pt x="-18072" y="251687"/>
                                  <a:pt x="567" y="166114"/>
                                  <a:pt x="0" y="0"/>
                                </a:cubicBezTo>
                                <a:close/>
                              </a:path>
                              <a:path w="7716521" h="86758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20779" y="159593"/>
                                  <a:pt x="7736472" y="295568"/>
                                  <a:pt x="7716521" y="425118"/>
                                </a:cubicBezTo>
                                <a:cubicBezTo>
                                  <a:pt x="7696570" y="554668"/>
                                  <a:pt x="7704746" y="690981"/>
                                  <a:pt x="7716521" y="867588"/>
                                </a:cubicBezTo>
                                <a:cubicBezTo>
                                  <a:pt x="7584341" y="899716"/>
                                  <a:pt x="7351924" y="883188"/>
                                  <a:pt x="7073478" y="867588"/>
                                </a:cubicBezTo>
                                <a:cubicBezTo>
                                  <a:pt x="6795032" y="851988"/>
                                  <a:pt x="6789740" y="884558"/>
                                  <a:pt x="6584765" y="867588"/>
                                </a:cubicBezTo>
                                <a:cubicBezTo>
                                  <a:pt x="6379790" y="850618"/>
                                  <a:pt x="6180294" y="891054"/>
                                  <a:pt x="5941721" y="867588"/>
                                </a:cubicBezTo>
                                <a:cubicBezTo>
                                  <a:pt x="5703148" y="844122"/>
                                  <a:pt x="5422638" y="848026"/>
                                  <a:pt x="5144347" y="867588"/>
                                </a:cubicBezTo>
                                <a:cubicBezTo>
                                  <a:pt x="4866056" y="887150"/>
                                  <a:pt x="4747673" y="878271"/>
                                  <a:pt x="4501304" y="867588"/>
                                </a:cubicBezTo>
                                <a:cubicBezTo>
                                  <a:pt x="4254935" y="856905"/>
                                  <a:pt x="4240082" y="859700"/>
                                  <a:pt x="4089756" y="867588"/>
                                </a:cubicBezTo>
                                <a:cubicBezTo>
                                  <a:pt x="3939430" y="875476"/>
                                  <a:pt x="3702969" y="867620"/>
                                  <a:pt x="3601043" y="867588"/>
                                </a:cubicBezTo>
                                <a:cubicBezTo>
                                  <a:pt x="3499117" y="867556"/>
                                  <a:pt x="3048422" y="865241"/>
                                  <a:pt x="2803669" y="867588"/>
                                </a:cubicBezTo>
                                <a:cubicBezTo>
                                  <a:pt x="2558916" y="869935"/>
                                  <a:pt x="2451147" y="891295"/>
                                  <a:pt x="2160626" y="867588"/>
                                </a:cubicBezTo>
                                <a:cubicBezTo>
                                  <a:pt x="1870105" y="843881"/>
                                  <a:pt x="1771257" y="849511"/>
                                  <a:pt x="1671913" y="867588"/>
                                </a:cubicBezTo>
                                <a:cubicBezTo>
                                  <a:pt x="1572569" y="885665"/>
                                  <a:pt x="1322588" y="842874"/>
                                  <a:pt x="1028869" y="867588"/>
                                </a:cubicBezTo>
                                <a:cubicBezTo>
                                  <a:pt x="735150" y="892302"/>
                                  <a:pt x="762570" y="865606"/>
                                  <a:pt x="617322" y="867588"/>
                                </a:cubicBezTo>
                                <a:cubicBezTo>
                                  <a:pt x="472074" y="869570"/>
                                  <a:pt x="276811" y="885455"/>
                                  <a:pt x="0" y="867588"/>
                                </a:cubicBezTo>
                                <a:cubicBezTo>
                                  <a:pt x="18279" y="749198"/>
                                  <a:pt x="-387" y="526773"/>
                                  <a:pt x="0" y="433794"/>
                                </a:cubicBezTo>
                                <a:cubicBezTo>
                                  <a:pt x="387" y="340815"/>
                                  <a:pt x="16225" y="102301"/>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095322" name="Rectangle 5"/>
                        <wps:cNvSpPr/>
                        <wps:spPr>
                          <a:xfrm>
                            <a:off x="10631" y="2240687"/>
                            <a:ext cx="7716520" cy="1149478"/>
                          </a:xfrm>
                          <a:custGeom>
                            <a:avLst/>
                            <a:gdLst>
                              <a:gd name="connsiteX0" fmla="*/ 0 w 7716520"/>
                              <a:gd name="connsiteY0" fmla="*/ 0 h 1149478"/>
                              <a:gd name="connsiteX1" fmla="*/ 797374 w 7716520"/>
                              <a:gd name="connsiteY1" fmla="*/ 0 h 1149478"/>
                              <a:gd name="connsiteX2" fmla="*/ 1594747 w 7716520"/>
                              <a:gd name="connsiteY2" fmla="*/ 0 h 1149478"/>
                              <a:gd name="connsiteX3" fmla="*/ 2237791 w 7716520"/>
                              <a:gd name="connsiteY3" fmla="*/ 0 h 1149478"/>
                              <a:gd name="connsiteX4" fmla="*/ 2957999 w 7716520"/>
                              <a:gd name="connsiteY4" fmla="*/ 0 h 1149478"/>
                              <a:gd name="connsiteX5" fmla="*/ 3523877 w 7716520"/>
                              <a:gd name="connsiteY5" fmla="*/ 0 h 1149478"/>
                              <a:gd name="connsiteX6" fmla="*/ 4166921 w 7716520"/>
                              <a:gd name="connsiteY6" fmla="*/ 0 h 1149478"/>
                              <a:gd name="connsiteX7" fmla="*/ 4964295 w 7716520"/>
                              <a:gd name="connsiteY7" fmla="*/ 0 h 1149478"/>
                              <a:gd name="connsiteX8" fmla="*/ 5453007 w 7716520"/>
                              <a:gd name="connsiteY8" fmla="*/ 0 h 1149478"/>
                              <a:gd name="connsiteX9" fmla="*/ 6173216 w 7716520"/>
                              <a:gd name="connsiteY9" fmla="*/ 0 h 1149478"/>
                              <a:gd name="connsiteX10" fmla="*/ 6661929 w 7716520"/>
                              <a:gd name="connsiteY10" fmla="*/ 0 h 1149478"/>
                              <a:gd name="connsiteX11" fmla="*/ 7716520 w 7716520"/>
                              <a:gd name="connsiteY11" fmla="*/ 0 h 1149478"/>
                              <a:gd name="connsiteX12" fmla="*/ 7716520 w 7716520"/>
                              <a:gd name="connsiteY12" fmla="*/ 586234 h 1149478"/>
                              <a:gd name="connsiteX13" fmla="*/ 7716520 w 7716520"/>
                              <a:gd name="connsiteY13" fmla="*/ 1149478 h 1149478"/>
                              <a:gd name="connsiteX14" fmla="*/ 6919146 w 7716520"/>
                              <a:gd name="connsiteY14" fmla="*/ 1149478 h 1149478"/>
                              <a:gd name="connsiteX15" fmla="*/ 6276103 w 7716520"/>
                              <a:gd name="connsiteY15" fmla="*/ 1149478 h 1149478"/>
                              <a:gd name="connsiteX16" fmla="*/ 5633060 w 7716520"/>
                              <a:gd name="connsiteY16" fmla="*/ 1149478 h 1149478"/>
                              <a:gd name="connsiteX17" fmla="*/ 4990016 w 7716520"/>
                              <a:gd name="connsiteY17" fmla="*/ 1149478 h 1149478"/>
                              <a:gd name="connsiteX18" fmla="*/ 4346973 w 7716520"/>
                              <a:gd name="connsiteY18" fmla="*/ 1149478 h 1149478"/>
                              <a:gd name="connsiteX19" fmla="*/ 3781095 w 7716520"/>
                              <a:gd name="connsiteY19" fmla="*/ 1149478 h 1149478"/>
                              <a:gd name="connsiteX20" fmla="*/ 3060886 w 7716520"/>
                              <a:gd name="connsiteY20" fmla="*/ 1149478 h 1149478"/>
                              <a:gd name="connsiteX21" fmla="*/ 2417843 w 7716520"/>
                              <a:gd name="connsiteY21" fmla="*/ 1149478 h 1149478"/>
                              <a:gd name="connsiteX22" fmla="*/ 1620469 w 7716520"/>
                              <a:gd name="connsiteY22" fmla="*/ 1149478 h 1149478"/>
                              <a:gd name="connsiteX23" fmla="*/ 823095 w 7716520"/>
                              <a:gd name="connsiteY23" fmla="*/ 1149478 h 1149478"/>
                              <a:gd name="connsiteX24" fmla="*/ 0 w 7716520"/>
                              <a:gd name="connsiteY24" fmla="*/ 1149478 h 1149478"/>
                              <a:gd name="connsiteX25" fmla="*/ 0 w 7716520"/>
                              <a:gd name="connsiteY25" fmla="*/ 563244 h 1149478"/>
                              <a:gd name="connsiteX26" fmla="*/ 0 w 7716520"/>
                              <a:gd name="connsiteY26" fmla="*/ 0 h 1149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1149478"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44123" y="237877"/>
                                  <a:pt x="7709161" y="429080"/>
                                  <a:pt x="7716520" y="586234"/>
                                </a:cubicBezTo>
                                <a:cubicBezTo>
                                  <a:pt x="7723879" y="743388"/>
                                  <a:pt x="7731448" y="1032996"/>
                                  <a:pt x="7716520" y="1149478"/>
                                </a:cubicBezTo>
                                <a:cubicBezTo>
                                  <a:pt x="7508045" y="1128325"/>
                                  <a:pt x="7283950" y="1171572"/>
                                  <a:pt x="6919146" y="1149478"/>
                                </a:cubicBezTo>
                                <a:cubicBezTo>
                                  <a:pt x="6554342" y="1127384"/>
                                  <a:pt x="6483499" y="1173353"/>
                                  <a:pt x="6276103" y="1149478"/>
                                </a:cubicBezTo>
                                <a:cubicBezTo>
                                  <a:pt x="6068707" y="1125603"/>
                                  <a:pt x="5881943" y="1141352"/>
                                  <a:pt x="5633060" y="1149478"/>
                                </a:cubicBezTo>
                                <a:cubicBezTo>
                                  <a:pt x="5384177" y="1157604"/>
                                  <a:pt x="5301279" y="1159693"/>
                                  <a:pt x="4990016" y="1149478"/>
                                </a:cubicBezTo>
                                <a:cubicBezTo>
                                  <a:pt x="4678753" y="1139263"/>
                                  <a:pt x="4644713" y="1142233"/>
                                  <a:pt x="4346973" y="1149478"/>
                                </a:cubicBezTo>
                                <a:cubicBezTo>
                                  <a:pt x="4049233" y="1156723"/>
                                  <a:pt x="4055228" y="1131850"/>
                                  <a:pt x="3781095" y="1149478"/>
                                </a:cubicBezTo>
                                <a:cubicBezTo>
                                  <a:pt x="3506962" y="1167106"/>
                                  <a:pt x="3393564" y="1181439"/>
                                  <a:pt x="3060886" y="1149478"/>
                                </a:cubicBezTo>
                                <a:cubicBezTo>
                                  <a:pt x="2728208" y="1117517"/>
                                  <a:pt x="2660656" y="1179142"/>
                                  <a:pt x="2417843" y="1149478"/>
                                </a:cubicBezTo>
                                <a:cubicBezTo>
                                  <a:pt x="2175030" y="1119814"/>
                                  <a:pt x="1938090" y="1154145"/>
                                  <a:pt x="1620469" y="1149478"/>
                                </a:cubicBezTo>
                                <a:cubicBezTo>
                                  <a:pt x="1302848" y="1144811"/>
                                  <a:pt x="1220111" y="1115089"/>
                                  <a:pt x="823095" y="1149478"/>
                                </a:cubicBezTo>
                                <a:cubicBezTo>
                                  <a:pt x="426079" y="1183867"/>
                                  <a:pt x="306208" y="1157371"/>
                                  <a:pt x="0" y="1149478"/>
                                </a:cubicBezTo>
                                <a:cubicBezTo>
                                  <a:pt x="3306" y="981030"/>
                                  <a:pt x="25024" y="747391"/>
                                  <a:pt x="0" y="563244"/>
                                </a:cubicBezTo>
                                <a:cubicBezTo>
                                  <a:pt x="-25024" y="379097"/>
                                  <a:pt x="15544" y="267712"/>
                                  <a:pt x="0" y="0"/>
                                </a:cubicBezTo>
                                <a:close/>
                              </a:path>
                              <a:path w="7716520" h="114947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01999" y="256891"/>
                                  <a:pt x="7717265" y="360214"/>
                                  <a:pt x="7716520" y="563244"/>
                                </a:cubicBezTo>
                                <a:cubicBezTo>
                                  <a:pt x="7715775" y="766274"/>
                                  <a:pt x="7740368" y="1026552"/>
                                  <a:pt x="7716520" y="1149478"/>
                                </a:cubicBezTo>
                                <a:cubicBezTo>
                                  <a:pt x="7584340" y="1181606"/>
                                  <a:pt x="7351923" y="1165078"/>
                                  <a:pt x="7073477" y="1149478"/>
                                </a:cubicBezTo>
                                <a:cubicBezTo>
                                  <a:pt x="6795031" y="1133878"/>
                                  <a:pt x="6789739" y="1166448"/>
                                  <a:pt x="6584764" y="1149478"/>
                                </a:cubicBezTo>
                                <a:cubicBezTo>
                                  <a:pt x="6379789" y="1132508"/>
                                  <a:pt x="6180293" y="1172944"/>
                                  <a:pt x="5941720" y="1149478"/>
                                </a:cubicBezTo>
                                <a:cubicBezTo>
                                  <a:pt x="5703147" y="1126012"/>
                                  <a:pt x="5421160" y="1128206"/>
                                  <a:pt x="5144347" y="1149478"/>
                                </a:cubicBezTo>
                                <a:cubicBezTo>
                                  <a:pt x="4867534" y="1170750"/>
                                  <a:pt x="4751766" y="1161859"/>
                                  <a:pt x="4501303" y="1149478"/>
                                </a:cubicBezTo>
                                <a:cubicBezTo>
                                  <a:pt x="4250840" y="1137097"/>
                                  <a:pt x="4237304" y="1136207"/>
                                  <a:pt x="4089756" y="1149478"/>
                                </a:cubicBezTo>
                                <a:cubicBezTo>
                                  <a:pt x="3942208" y="1162749"/>
                                  <a:pt x="3702969" y="1149510"/>
                                  <a:pt x="3601043" y="1149478"/>
                                </a:cubicBezTo>
                                <a:cubicBezTo>
                                  <a:pt x="3499117" y="1149446"/>
                                  <a:pt x="3048422" y="1147131"/>
                                  <a:pt x="2803669" y="1149478"/>
                                </a:cubicBezTo>
                                <a:cubicBezTo>
                                  <a:pt x="2558916" y="1151825"/>
                                  <a:pt x="2451147" y="1173185"/>
                                  <a:pt x="2160626" y="1149478"/>
                                </a:cubicBezTo>
                                <a:cubicBezTo>
                                  <a:pt x="1870105" y="1125771"/>
                                  <a:pt x="1771257" y="1131401"/>
                                  <a:pt x="1671913" y="1149478"/>
                                </a:cubicBezTo>
                                <a:cubicBezTo>
                                  <a:pt x="1572569" y="1167555"/>
                                  <a:pt x="1322588" y="1124764"/>
                                  <a:pt x="1028869" y="1149478"/>
                                </a:cubicBezTo>
                                <a:cubicBezTo>
                                  <a:pt x="735150" y="1174192"/>
                                  <a:pt x="762570" y="1147496"/>
                                  <a:pt x="617322" y="1149478"/>
                                </a:cubicBezTo>
                                <a:cubicBezTo>
                                  <a:pt x="472074" y="1151460"/>
                                  <a:pt x="276811" y="1167345"/>
                                  <a:pt x="0" y="1149478"/>
                                </a:cubicBezTo>
                                <a:cubicBezTo>
                                  <a:pt x="-22017" y="889237"/>
                                  <a:pt x="7961" y="793255"/>
                                  <a:pt x="0" y="574739"/>
                                </a:cubicBezTo>
                                <a:cubicBezTo>
                                  <a:pt x="-7961" y="356223"/>
                                  <a:pt x="-27628" y="185489"/>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517215" name="Rectangle 5"/>
                        <wps:cNvSpPr/>
                        <wps:spPr>
                          <a:xfrm>
                            <a:off x="1" y="4233462"/>
                            <a:ext cx="7716520" cy="1329416"/>
                          </a:xfrm>
                          <a:custGeom>
                            <a:avLst/>
                            <a:gdLst>
                              <a:gd name="connsiteX0" fmla="*/ 0 w 7716520"/>
                              <a:gd name="connsiteY0" fmla="*/ 0 h 1329416"/>
                              <a:gd name="connsiteX1" fmla="*/ 797374 w 7716520"/>
                              <a:gd name="connsiteY1" fmla="*/ 0 h 1329416"/>
                              <a:gd name="connsiteX2" fmla="*/ 1594747 w 7716520"/>
                              <a:gd name="connsiteY2" fmla="*/ 0 h 1329416"/>
                              <a:gd name="connsiteX3" fmla="*/ 2237791 w 7716520"/>
                              <a:gd name="connsiteY3" fmla="*/ 0 h 1329416"/>
                              <a:gd name="connsiteX4" fmla="*/ 2957999 w 7716520"/>
                              <a:gd name="connsiteY4" fmla="*/ 0 h 1329416"/>
                              <a:gd name="connsiteX5" fmla="*/ 3523877 w 7716520"/>
                              <a:gd name="connsiteY5" fmla="*/ 0 h 1329416"/>
                              <a:gd name="connsiteX6" fmla="*/ 4166921 w 7716520"/>
                              <a:gd name="connsiteY6" fmla="*/ 0 h 1329416"/>
                              <a:gd name="connsiteX7" fmla="*/ 4964295 w 7716520"/>
                              <a:gd name="connsiteY7" fmla="*/ 0 h 1329416"/>
                              <a:gd name="connsiteX8" fmla="*/ 5453007 w 7716520"/>
                              <a:gd name="connsiteY8" fmla="*/ 0 h 1329416"/>
                              <a:gd name="connsiteX9" fmla="*/ 6173216 w 7716520"/>
                              <a:gd name="connsiteY9" fmla="*/ 0 h 1329416"/>
                              <a:gd name="connsiteX10" fmla="*/ 6661929 w 7716520"/>
                              <a:gd name="connsiteY10" fmla="*/ 0 h 1329416"/>
                              <a:gd name="connsiteX11" fmla="*/ 7716520 w 7716520"/>
                              <a:gd name="connsiteY11" fmla="*/ 0 h 1329416"/>
                              <a:gd name="connsiteX12" fmla="*/ 7716520 w 7716520"/>
                              <a:gd name="connsiteY12" fmla="*/ 678002 h 1329416"/>
                              <a:gd name="connsiteX13" fmla="*/ 7716520 w 7716520"/>
                              <a:gd name="connsiteY13" fmla="*/ 1329416 h 1329416"/>
                              <a:gd name="connsiteX14" fmla="*/ 6919146 w 7716520"/>
                              <a:gd name="connsiteY14" fmla="*/ 1329416 h 1329416"/>
                              <a:gd name="connsiteX15" fmla="*/ 6276103 w 7716520"/>
                              <a:gd name="connsiteY15" fmla="*/ 1329416 h 1329416"/>
                              <a:gd name="connsiteX16" fmla="*/ 5633060 w 7716520"/>
                              <a:gd name="connsiteY16" fmla="*/ 1329416 h 1329416"/>
                              <a:gd name="connsiteX17" fmla="*/ 4990016 w 7716520"/>
                              <a:gd name="connsiteY17" fmla="*/ 1329416 h 1329416"/>
                              <a:gd name="connsiteX18" fmla="*/ 4346973 w 7716520"/>
                              <a:gd name="connsiteY18" fmla="*/ 1329416 h 1329416"/>
                              <a:gd name="connsiteX19" fmla="*/ 3781095 w 7716520"/>
                              <a:gd name="connsiteY19" fmla="*/ 1329416 h 1329416"/>
                              <a:gd name="connsiteX20" fmla="*/ 3060886 w 7716520"/>
                              <a:gd name="connsiteY20" fmla="*/ 1329416 h 1329416"/>
                              <a:gd name="connsiteX21" fmla="*/ 2417843 w 7716520"/>
                              <a:gd name="connsiteY21" fmla="*/ 1329416 h 1329416"/>
                              <a:gd name="connsiteX22" fmla="*/ 1620469 w 7716520"/>
                              <a:gd name="connsiteY22" fmla="*/ 1329416 h 1329416"/>
                              <a:gd name="connsiteX23" fmla="*/ 823095 w 7716520"/>
                              <a:gd name="connsiteY23" fmla="*/ 1329416 h 1329416"/>
                              <a:gd name="connsiteX24" fmla="*/ 0 w 7716520"/>
                              <a:gd name="connsiteY24" fmla="*/ 1329416 h 1329416"/>
                              <a:gd name="connsiteX25" fmla="*/ 0 w 7716520"/>
                              <a:gd name="connsiteY25" fmla="*/ 651414 h 1329416"/>
                              <a:gd name="connsiteX26" fmla="*/ 0 w 7716520"/>
                              <a:gd name="connsiteY26" fmla="*/ 0 h 1329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1329416"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12017" y="246122"/>
                                  <a:pt x="7740227" y="408631"/>
                                  <a:pt x="7716520" y="678002"/>
                                </a:cubicBezTo>
                                <a:cubicBezTo>
                                  <a:pt x="7692813" y="947373"/>
                                  <a:pt x="7724016" y="1011530"/>
                                  <a:pt x="7716520" y="1329416"/>
                                </a:cubicBezTo>
                                <a:cubicBezTo>
                                  <a:pt x="7508045" y="1308263"/>
                                  <a:pt x="7283950" y="1351510"/>
                                  <a:pt x="6919146" y="1329416"/>
                                </a:cubicBezTo>
                                <a:cubicBezTo>
                                  <a:pt x="6554342" y="1307322"/>
                                  <a:pt x="6483499" y="1353291"/>
                                  <a:pt x="6276103" y="1329416"/>
                                </a:cubicBezTo>
                                <a:cubicBezTo>
                                  <a:pt x="6068707" y="1305541"/>
                                  <a:pt x="5881943" y="1321290"/>
                                  <a:pt x="5633060" y="1329416"/>
                                </a:cubicBezTo>
                                <a:cubicBezTo>
                                  <a:pt x="5384177" y="1337542"/>
                                  <a:pt x="5301279" y="1339631"/>
                                  <a:pt x="4990016" y="1329416"/>
                                </a:cubicBezTo>
                                <a:cubicBezTo>
                                  <a:pt x="4678753" y="1319201"/>
                                  <a:pt x="4644713" y="1322171"/>
                                  <a:pt x="4346973" y="1329416"/>
                                </a:cubicBezTo>
                                <a:cubicBezTo>
                                  <a:pt x="4049233" y="1336661"/>
                                  <a:pt x="4055228" y="1311788"/>
                                  <a:pt x="3781095" y="1329416"/>
                                </a:cubicBezTo>
                                <a:cubicBezTo>
                                  <a:pt x="3506962" y="1347044"/>
                                  <a:pt x="3393564" y="1361377"/>
                                  <a:pt x="3060886" y="1329416"/>
                                </a:cubicBezTo>
                                <a:cubicBezTo>
                                  <a:pt x="2728208" y="1297455"/>
                                  <a:pt x="2660656" y="1359080"/>
                                  <a:pt x="2417843" y="1329416"/>
                                </a:cubicBezTo>
                                <a:cubicBezTo>
                                  <a:pt x="2175030" y="1299752"/>
                                  <a:pt x="1938090" y="1334083"/>
                                  <a:pt x="1620469" y="1329416"/>
                                </a:cubicBezTo>
                                <a:cubicBezTo>
                                  <a:pt x="1302848" y="1324749"/>
                                  <a:pt x="1220111" y="1295027"/>
                                  <a:pt x="823095" y="1329416"/>
                                </a:cubicBezTo>
                                <a:cubicBezTo>
                                  <a:pt x="426079" y="1363805"/>
                                  <a:pt x="306208" y="1337309"/>
                                  <a:pt x="0" y="1329416"/>
                                </a:cubicBezTo>
                                <a:cubicBezTo>
                                  <a:pt x="-1325" y="1112075"/>
                                  <a:pt x="-1430" y="968980"/>
                                  <a:pt x="0" y="651414"/>
                                </a:cubicBezTo>
                                <a:cubicBezTo>
                                  <a:pt x="1430" y="333848"/>
                                  <a:pt x="-11177" y="272744"/>
                                  <a:pt x="0" y="0"/>
                                </a:cubicBezTo>
                                <a:close/>
                              </a:path>
                              <a:path w="7716520" h="1329416"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36671" y="181982"/>
                                  <a:pt x="7708183" y="486386"/>
                                  <a:pt x="7716520" y="651414"/>
                                </a:cubicBezTo>
                                <a:cubicBezTo>
                                  <a:pt x="7724857" y="816442"/>
                                  <a:pt x="7711985" y="1010780"/>
                                  <a:pt x="7716520" y="1329416"/>
                                </a:cubicBezTo>
                                <a:cubicBezTo>
                                  <a:pt x="7584340" y="1361544"/>
                                  <a:pt x="7351923" y="1345016"/>
                                  <a:pt x="7073477" y="1329416"/>
                                </a:cubicBezTo>
                                <a:cubicBezTo>
                                  <a:pt x="6795031" y="1313816"/>
                                  <a:pt x="6789739" y="1346386"/>
                                  <a:pt x="6584764" y="1329416"/>
                                </a:cubicBezTo>
                                <a:cubicBezTo>
                                  <a:pt x="6379789" y="1312446"/>
                                  <a:pt x="6180293" y="1352882"/>
                                  <a:pt x="5941720" y="1329416"/>
                                </a:cubicBezTo>
                                <a:cubicBezTo>
                                  <a:pt x="5703147" y="1305950"/>
                                  <a:pt x="5421160" y="1308144"/>
                                  <a:pt x="5144347" y="1329416"/>
                                </a:cubicBezTo>
                                <a:cubicBezTo>
                                  <a:pt x="4867534" y="1350688"/>
                                  <a:pt x="4751766" y="1341797"/>
                                  <a:pt x="4501303" y="1329416"/>
                                </a:cubicBezTo>
                                <a:cubicBezTo>
                                  <a:pt x="4250840" y="1317035"/>
                                  <a:pt x="4237304" y="1316145"/>
                                  <a:pt x="4089756" y="1329416"/>
                                </a:cubicBezTo>
                                <a:cubicBezTo>
                                  <a:pt x="3942208" y="1342687"/>
                                  <a:pt x="3702969" y="1329448"/>
                                  <a:pt x="3601043" y="1329416"/>
                                </a:cubicBezTo>
                                <a:cubicBezTo>
                                  <a:pt x="3499117" y="1329384"/>
                                  <a:pt x="3048422" y="1327069"/>
                                  <a:pt x="2803669" y="1329416"/>
                                </a:cubicBezTo>
                                <a:cubicBezTo>
                                  <a:pt x="2558916" y="1331763"/>
                                  <a:pt x="2451147" y="1353123"/>
                                  <a:pt x="2160626" y="1329416"/>
                                </a:cubicBezTo>
                                <a:cubicBezTo>
                                  <a:pt x="1870105" y="1305709"/>
                                  <a:pt x="1771257" y="1311339"/>
                                  <a:pt x="1671913" y="1329416"/>
                                </a:cubicBezTo>
                                <a:cubicBezTo>
                                  <a:pt x="1572569" y="1347493"/>
                                  <a:pt x="1322588" y="1304702"/>
                                  <a:pt x="1028869" y="1329416"/>
                                </a:cubicBezTo>
                                <a:cubicBezTo>
                                  <a:pt x="735150" y="1354130"/>
                                  <a:pt x="762570" y="1327434"/>
                                  <a:pt x="617322" y="1329416"/>
                                </a:cubicBezTo>
                                <a:cubicBezTo>
                                  <a:pt x="472074" y="1331398"/>
                                  <a:pt x="276811" y="1347283"/>
                                  <a:pt x="0" y="1329416"/>
                                </a:cubicBezTo>
                                <a:cubicBezTo>
                                  <a:pt x="7853" y="1010418"/>
                                  <a:pt x="-18881" y="812255"/>
                                  <a:pt x="0" y="664708"/>
                                </a:cubicBezTo>
                                <a:cubicBezTo>
                                  <a:pt x="18881" y="517161"/>
                                  <a:pt x="-11438" y="156988"/>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3686381" name="Rectangle 5"/>
                        <wps:cNvSpPr/>
                        <wps:spPr>
                          <a:xfrm>
                            <a:off x="1" y="7137756"/>
                            <a:ext cx="7716521" cy="865022"/>
                          </a:xfrm>
                          <a:custGeom>
                            <a:avLst/>
                            <a:gdLst>
                              <a:gd name="connsiteX0" fmla="*/ 0 w 7716521"/>
                              <a:gd name="connsiteY0" fmla="*/ 0 h 865022"/>
                              <a:gd name="connsiteX1" fmla="*/ 797374 w 7716521"/>
                              <a:gd name="connsiteY1" fmla="*/ 0 h 865022"/>
                              <a:gd name="connsiteX2" fmla="*/ 1594748 w 7716521"/>
                              <a:gd name="connsiteY2" fmla="*/ 0 h 865022"/>
                              <a:gd name="connsiteX3" fmla="*/ 2237791 w 7716521"/>
                              <a:gd name="connsiteY3" fmla="*/ 0 h 865022"/>
                              <a:gd name="connsiteX4" fmla="*/ 2958000 w 7716521"/>
                              <a:gd name="connsiteY4" fmla="*/ 0 h 865022"/>
                              <a:gd name="connsiteX5" fmla="*/ 3523878 w 7716521"/>
                              <a:gd name="connsiteY5" fmla="*/ 0 h 865022"/>
                              <a:gd name="connsiteX6" fmla="*/ 4166921 w 7716521"/>
                              <a:gd name="connsiteY6" fmla="*/ 0 h 865022"/>
                              <a:gd name="connsiteX7" fmla="*/ 4964295 w 7716521"/>
                              <a:gd name="connsiteY7" fmla="*/ 0 h 865022"/>
                              <a:gd name="connsiteX8" fmla="*/ 5453008 w 7716521"/>
                              <a:gd name="connsiteY8" fmla="*/ 0 h 865022"/>
                              <a:gd name="connsiteX9" fmla="*/ 6173217 w 7716521"/>
                              <a:gd name="connsiteY9" fmla="*/ 0 h 865022"/>
                              <a:gd name="connsiteX10" fmla="*/ 6661930 w 7716521"/>
                              <a:gd name="connsiteY10" fmla="*/ 0 h 865022"/>
                              <a:gd name="connsiteX11" fmla="*/ 7716521 w 7716521"/>
                              <a:gd name="connsiteY11" fmla="*/ 0 h 865022"/>
                              <a:gd name="connsiteX12" fmla="*/ 7716521 w 7716521"/>
                              <a:gd name="connsiteY12" fmla="*/ 441161 h 865022"/>
                              <a:gd name="connsiteX13" fmla="*/ 7716521 w 7716521"/>
                              <a:gd name="connsiteY13" fmla="*/ 865022 h 865022"/>
                              <a:gd name="connsiteX14" fmla="*/ 6919147 w 7716521"/>
                              <a:gd name="connsiteY14" fmla="*/ 865022 h 865022"/>
                              <a:gd name="connsiteX15" fmla="*/ 6276104 w 7716521"/>
                              <a:gd name="connsiteY15" fmla="*/ 865022 h 865022"/>
                              <a:gd name="connsiteX16" fmla="*/ 5633060 w 7716521"/>
                              <a:gd name="connsiteY16" fmla="*/ 865022 h 865022"/>
                              <a:gd name="connsiteX17" fmla="*/ 4990017 w 7716521"/>
                              <a:gd name="connsiteY17" fmla="*/ 865022 h 865022"/>
                              <a:gd name="connsiteX18" fmla="*/ 4346973 w 7716521"/>
                              <a:gd name="connsiteY18" fmla="*/ 865022 h 865022"/>
                              <a:gd name="connsiteX19" fmla="*/ 3781095 w 7716521"/>
                              <a:gd name="connsiteY19" fmla="*/ 865022 h 865022"/>
                              <a:gd name="connsiteX20" fmla="*/ 3060887 w 7716521"/>
                              <a:gd name="connsiteY20" fmla="*/ 865022 h 865022"/>
                              <a:gd name="connsiteX21" fmla="*/ 2417843 w 7716521"/>
                              <a:gd name="connsiteY21" fmla="*/ 865022 h 865022"/>
                              <a:gd name="connsiteX22" fmla="*/ 1620469 w 7716521"/>
                              <a:gd name="connsiteY22" fmla="*/ 865022 h 865022"/>
                              <a:gd name="connsiteX23" fmla="*/ 823096 w 7716521"/>
                              <a:gd name="connsiteY23" fmla="*/ 865022 h 865022"/>
                              <a:gd name="connsiteX24" fmla="*/ 0 w 7716521"/>
                              <a:gd name="connsiteY24" fmla="*/ 865022 h 865022"/>
                              <a:gd name="connsiteX25" fmla="*/ 0 w 7716521"/>
                              <a:gd name="connsiteY25" fmla="*/ 423861 h 865022"/>
                              <a:gd name="connsiteX26" fmla="*/ 0 w 7716521"/>
                              <a:gd name="connsiteY26" fmla="*/ 0 h 8650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1" h="865022" fill="none" extrusionOk="0">
                                <a:moveTo>
                                  <a:pt x="0" y="0"/>
                                </a:moveTo>
                                <a:cubicBezTo>
                                  <a:pt x="257018" y="-23538"/>
                                  <a:pt x="559675" y="-12498"/>
                                  <a:pt x="797374" y="0"/>
                                </a:cubicBezTo>
                                <a:cubicBezTo>
                                  <a:pt x="1035073" y="12498"/>
                                  <a:pt x="1281149" y="-25614"/>
                                  <a:pt x="1594748" y="0"/>
                                </a:cubicBezTo>
                                <a:cubicBezTo>
                                  <a:pt x="1908347" y="25614"/>
                                  <a:pt x="2057731" y="-22393"/>
                                  <a:pt x="2237791" y="0"/>
                                </a:cubicBezTo>
                                <a:cubicBezTo>
                                  <a:pt x="2417851" y="22393"/>
                                  <a:pt x="2809894" y="-27983"/>
                                  <a:pt x="2958000" y="0"/>
                                </a:cubicBezTo>
                                <a:cubicBezTo>
                                  <a:pt x="3106106" y="27983"/>
                                  <a:pt x="3262329" y="15278"/>
                                  <a:pt x="3523878" y="0"/>
                                </a:cubicBezTo>
                                <a:cubicBezTo>
                                  <a:pt x="3785427" y="-15278"/>
                                  <a:pt x="4031795" y="-8489"/>
                                  <a:pt x="4166921" y="0"/>
                                </a:cubicBezTo>
                                <a:cubicBezTo>
                                  <a:pt x="4302047" y="8489"/>
                                  <a:pt x="4629506" y="-31675"/>
                                  <a:pt x="4964295" y="0"/>
                                </a:cubicBezTo>
                                <a:cubicBezTo>
                                  <a:pt x="5299084" y="31675"/>
                                  <a:pt x="5257534" y="-13002"/>
                                  <a:pt x="5453008" y="0"/>
                                </a:cubicBezTo>
                                <a:cubicBezTo>
                                  <a:pt x="5648482" y="13002"/>
                                  <a:pt x="5900493" y="5340"/>
                                  <a:pt x="6173217" y="0"/>
                                </a:cubicBezTo>
                                <a:cubicBezTo>
                                  <a:pt x="6445941" y="-5340"/>
                                  <a:pt x="6484712" y="2287"/>
                                  <a:pt x="6661930" y="0"/>
                                </a:cubicBezTo>
                                <a:cubicBezTo>
                                  <a:pt x="6839148" y="-2287"/>
                                  <a:pt x="7226431" y="-13534"/>
                                  <a:pt x="7716521" y="0"/>
                                </a:cubicBezTo>
                                <a:cubicBezTo>
                                  <a:pt x="7727618" y="208983"/>
                                  <a:pt x="7731557" y="269168"/>
                                  <a:pt x="7716521" y="441161"/>
                                </a:cubicBezTo>
                                <a:cubicBezTo>
                                  <a:pt x="7701485" y="613154"/>
                                  <a:pt x="7700770" y="711473"/>
                                  <a:pt x="7716521" y="865022"/>
                                </a:cubicBezTo>
                                <a:cubicBezTo>
                                  <a:pt x="7508046" y="843869"/>
                                  <a:pt x="7283951" y="887116"/>
                                  <a:pt x="6919147" y="865022"/>
                                </a:cubicBezTo>
                                <a:cubicBezTo>
                                  <a:pt x="6554343" y="842928"/>
                                  <a:pt x="6483500" y="888897"/>
                                  <a:pt x="6276104" y="865022"/>
                                </a:cubicBezTo>
                                <a:cubicBezTo>
                                  <a:pt x="6068708" y="841147"/>
                                  <a:pt x="5885617" y="858176"/>
                                  <a:pt x="5633060" y="865022"/>
                                </a:cubicBezTo>
                                <a:cubicBezTo>
                                  <a:pt x="5380503" y="871868"/>
                                  <a:pt x="5295854" y="870394"/>
                                  <a:pt x="4990017" y="865022"/>
                                </a:cubicBezTo>
                                <a:cubicBezTo>
                                  <a:pt x="4684180" y="859650"/>
                                  <a:pt x="4650940" y="863759"/>
                                  <a:pt x="4346973" y="865022"/>
                                </a:cubicBezTo>
                                <a:cubicBezTo>
                                  <a:pt x="4043006" y="866285"/>
                                  <a:pt x="4055228" y="847394"/>
                                  <a:pt x="3781095" y="865022"/>
                                </a:cubicBezTo>
                                <a:cubicBezTo>
                                  <a:pt x="3506962" y="882650"/>
                                  <a:pt x="3387653" y="893750"/>
                                  <a:pt x="3060887" y="865022"/>
                                </a:cubicBezTo>
                                <a:cubicBezTo>
                                  <a:pt x="2734121" y="836294"/>
                                  <a:pt x="2662049" y="834481"/>
                                  <a:pt x="2417843" y="865022"/>
                                </a:cubicBezTo>
                                <a:cubicBezTo>
                                  <a:pt x="2173637" y="895563"/>
                                  <a:pt x="1938090" y="869689"/>
                                  <a:pt x="1620469" y="865022"/>
                                </a:cubicBezTo>
                                <a:cubicBezTo>
                                  <a:pt x="1302848" y="860355"/>
                                  <a:pt x="1219801" y="825554"/>
                                  <a:pt x="823096" y="865022"/>
                                </a:cubicBezTo>
                                <a:cubicBezTo>
                                  <a:pt x="426391" y="904490"/>
                                  <a:pt x="309084" y="874879"/>
                                  <a:pt x="0" y="865022"/>
                                </a:cubicBezTo>
                                <a:cubicBezTo>
                                  <a:pt x="18429" y="712710"/>
                                  <a:pt x="-14600" y="525956"/>
                                  <a:pt x="0" y="423861"/>
                                </a:cubicBezTo>
                                <a:cubicBezTo>
                                  <a:pt x="14600" y="321766"/>
                                  <a:pt x="-5532" y="129019"/>
                                  <a:pt x="0" y="0"/>
                                </a:cubicBezTo>
                                <a:close/>
                              </a:path>
                              <a:path w="7716521" h="865022"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07118" y="192868"/>
                                  <a:pt x="7725964" y="245269"/>
                                  <a:pt x="7716521" y="423861"/>
                                </a:cubicBezTo>
                                <a:cubicBezTo>
                                  <a:pt x="7707078" y="602453"/>
                                  <a:pt x="7729865" y="683784"/>
                                  <a:pt x="7716521" y="865022"/>
                                </a:cubicBezTo>
                                <a:cubicBezTo>
                                  <a:pt x="7584341" y="897150"/>
                                  <a:pt x="7351924" y="880622"/>
                                  <a:pt x="7073478" y="865022"/>
                                </a:cubicBezTo>
                                <a:cubicBezTo>
                                  <a:pt x="6795032" y="849422"/>
                                  <a:pt x="6789740" y="881992"/>
                                  <a:pt x="6584765" y="865022"/>
                                </a:cubicBezTo>
                                <a:cubicBezTo>
                                  <a:pt x="6379790" y="848052"/>
                                  <a:pt x="6180294" y="888488"/>
                                  <a:pt x="5941721" y="865022"/>
                                </a:cubicBezTo>
                                <a:cubicBezTo>
                                  <a:pt x="5703148" y="841556"/>
                                  <a:pt x="5422638" y="845460"/>
                                  <a:pt x="5144347" y="865022"/>
                                </a:cubicBezTo>
                                <a:cubicBezTo>
                                  <a:pt x="4866056" y="884584"/>
                                  <a:pt x="4747673" y="875705"/>
                                  <a:pt x="4501304" y="865022"/>
                                </a:cubicBezTo>
                                <a:cubicBezTo>
                                  <a:pt x="4254935" y="854339"/>
                                  <a:pt x="4240082" y="857134"/>
                                  <a:pt x="4089756" y="865022"/>
                                </a:cubicBezTo>
                                <a:cubicBezTo>
                                  <a:pt x="3939430" y="872910"/>
                                  <a:pt x="3702969" y="865054"/>
                                  <a:pt x="3601043" y="865022"/>
                                </a:cubicBezTo>
                                <a:cubicBezTo>
                                  <a:pt x="3499117" y="864990"/>
                                  <a:pt x="3048422" y="862675"/>
                                  <a:pt x="2803669" y="865022"/>
                                </a:cubicBezTo>
                                <a:cubicBezTo>
                                  <a:pt x="2558916" y="867369"/>
                                  <a:pt x="2451147" y="888729"/>
                                  <a:pt x="2160626" y="865022"/>
                                </a:cubicBezTo>
                                <a:cubicBezTo>
                                  <a:pt x="1870105" y="841315"/>
                                  <a:pt x="1771257" y="846945"/>
                                  <a:pt x="1671913" y="865022"/>
                                </a:cubicBezTo>
                                <a:cubicBezTo>
                                  <a:pt x="1572569" y="883099"/>
                                  <a:pt x="1322588" y="840308"/>
                                  <a:pt x="1028869" y="865022"/>
                                </a:cubicBezTo>
                                <a:cubicBezTo>
                                  <a:pt x="735150" y="889736"/>
                                  <a:pt x="762570" y="863040"/>
                                  <a:pt x="617322" y="865022"/>
                                </a:cubicBezTo>
                                <a:cubicBezTo>
                                  <a:pt x="472074" y="867004"/>
                                  <a:pt x="276811" y="882889"/>
                                  <a:pt x="0" y="865022"/>
                                </a:cubicBezTo>
                                <a:cubicBezTo>
                                  <a:pt x="-2498" y="760622"/>
                                  <a:pt x="8497" y="552492"/>
                                  <a:pt x="0" y="432511"/>
                                </a:cubicBezTo>
                                <a:cubicBezTo>
                                  <a:pt x="-8497" y="312530"/>
                                  <a:pt x="2085" y="116847"/>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644D31" id="Group 399857941" o:spid="_x0000_s1026" alt="&quot;&quot;" style="position:absolute;margin-left:-11.9pt;margin-top:130.4pt;width:482.15pt;height:629.75pt;z-index:-251658217;mso-position-horizontal-relative:margin;mso-position-vertical-relative:page;mso-width-relative:margin;mso-height-relative:margin" coordsize="77271,80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6p9JjIAAOU1AQAOAAAAZHJzL2Uyb0RvYy54bWzsnV1vJMexpu8X2P9A8HKB1nR9Vw08OpAt&#10;yVjA59iwvbB1yeE0Z4hDsnmaHM3Iv36fyMiqjqhmT2W2ZO3Cp2+kaVZlvpVfkZERb0T+5t8+399d&#10;/LjZPd1uH95cFl+tLy82D9fbd7cP799c/p+/fr/qLy+enq8e3l3dbR82by5/2jxd/tvX//N//ObT&#10;4+tNuf2wvXu32V1QycPT60+Pby4/PD8/vn716un6w+b+6umr7ePmgYc329391TM/d+9fvdtdfaL2&#10;+7tX5Xrdvvq03b173G2vN09P/PVbfXj5daj/5mZz/fzHm5unzfPF3ZtLvu05/HcX/vtW/vvq699c&#10;vX6/u3r8cHsdP+PqhK+4v7p9AHSq6tur56uLj7vbg6rub69326ftzfNX19v7V9ubm9vrTWgDrSnW&#10;s9b8frf9+Bja8v71p/ePUzfRtbN+Orna6//48fe7x788/mlHT3x6fE9fhF/Sls83u3v5P1958Tl0&#10;2U9Tl20+P19c88e2KKtq3VxeXPOsG4auLxvt1OsP9PxBuesP38WSXVd2RVNoyX69Lruul5KvRuBX&#10;7nM+PTJBnvZ98PTz+uAvH64eN6Frn17TB3/aXdy+Y/4yBlVX9/VwefFwdc98/TMz6Orh/d3mIjRL&#10;voLXp/56ev1E1x3trKHo+3Wl/TH2WNcVbVPGdrdlUw9NmIZTu69eX398ev79Zhs6/+rHPzw96yx9&#10;x7/CHHsXP+56+/DwdPu8+Tsz++b+jon7v15drC8+XYwYsdzs9R/86x8uzFcwgw9q51un2tu6WtfV&#10;MoQts75YhCgNRFH27brvljFsoQSMymK0Q9dWzTKGLZSAURuMsqrXbdcvY9hCCRgstmk4qqLq1025&#10;jGELJWC0FqNbV0OVMK1soQSMzmDUZTv064S+soUSMNh9pr6qB2ZWSl/ZQgkYyIoJo2mRhm1CX9lC&#10;CRiFXbJM3Ir+Wh50VyoFxa7abt1Vdcr0LWypFBS7bqOkSmiLLZWCYlduOoot1Q71MNTLwquwCzgd&#10;ypZiGQ9DPyRg2YWcjmVLlUXdNVWVgGUXdDqWLVUObdeWbQKWXdjpWLZU1ZVN0aVMDbvA07Fsqbqp&#10;m7JNmRt2oadj2VJNtS5FNi5volZIJGOVtlTUBBKw7KJvh6GtioRdSNSeSVamY9ml35ZdW6zrZYFR&#10;+lJBz0polxUAydK8tKXS22UlQFOWaMMJmlVpS6VjWQlQtw1NS+lDWyody0oAVIeG3T1hvGypdCwn&#10;Aeq67ZL60JZKx7ISgNU/VFXCJlzaUulYVgIUfVMMbYK2WtpSyViVlQBFue6HMmEtu1LpWFYCJOhJ&#10;lX0/HcWu/RQU+37TNMPQJOxZlV31KSj2fVQLzBcJu1Vl13sKin2/rjErMHMW947KrvQUFPt+1Tdr&#10;UUiXUewaT0Gx71fsghzOE1Ds6k5Bse+zrruhTGmLXdcpKPb9ct3RmAQdrLIrOgXFvl/UddP0CZpD&#10;bSVAAop7v8XGUSdMsdou5RQQ/76bXBhL3o/mkKsPo4Xk+vNDNJHwrwvMNmKuEovJ4/ZJLFHWXoK5&#10;avyJPUTtTpSStxcK81m2cJFVGEFjC5dZhZEftnAwLNETaZ+NWLCF6yxkVrstHGxhycgsYlu4zUJm&#10;bdrCXVZhlpwtPNoX0zqMlWQLD1nIcvS2pfmdNcfmkyxvlhWzacbvLPTZRCvyZpqch13b8+ZaMZts&#10;/M76+Nl0K/LmWzGbcPzOQp9NuSJvzhWzScfvHHQ5y9me53dW8dms47iWVXw26ziBZRWfzToOVVnF&#10;Z7OOc1JW8dmsUzdGsowrZ7OO31nos1lX5s06OWO4cc+bdXJscMXzZp2cBGxxfue0XVR8Vzxv1lWz&#10;WcfvLPTZrEOpzyo+m3Vo61nFZ7MONTyr+GzWVXmzrprNOn5noc9mXZU360S1deOeN+tEB7XF+Z3z&#10;8aKNuuJu1um6j8rkDh+g+I/vgv/4+fIC//Hu8gL/8VuBRL28ehYddPznxSdcoaOX7wM+0ujku7i5&#10;vaOaBxzheMk/P+8+itf8j/85aqn32x83f92GWp5njlO+Z//0+uPb2+vfbv5h3y3rZj3oZKpbLPL6&#10;XaGaqu3rVvuaA0EYIz45PFJvXuiIqfdc5S9BDQUWOJ05q3mFxXq97uLIlEXbhdUwokXHXiZc0XRF&#10;LYdgRmt1WGdTlEOjXyPe2zCDJ0D18uUC9n2JX00BD+oscbcN4rbmc4pWdZMRL3r8MvHKtuxrcaFL&#10;Aw+qxDOOATg8LOt6HYTbiBe9f5l4eHWahpHRDj2oU5wDfRzepu3DvJgA1RWYCzhUZd1ph85rrNc9&#10;h9T4Mdi5miAAR7zoFszEk1Nv0eq2cFglBsKmG3u7xgxj10r0EWYCNkVRMg1DKVaEr1Ksn32vgpqh&#10;HukAugCjhTkXr68G5lootTqos2XC9HFTLZq6dw2MvsNMwBbGAv5ABTyssy+KdaubAXJoCJvQOITR&#10;jZgJ2FUVhgutcnVYJ0uwjQNcF41bE5PgZTWly7Suq9ohKt/M1X4IWsDUhm5dF4Muwrouai9fLaK6&#10;DMeNaFGUwoHpcUmHzhnqvumc+OravkNCh6cFvY7fw85Vixv9hxnAdVMxT1WKlQ2t91Xjzml1ghV9&#10;2/Z6jNn3R6Sw0MfRm5iBvC6E6SPIZV32pd+RaDNmdV2e2PvKBrlh9jLb5uhbzECuq3ESIznLtvNt&#10;bpE+vQp2mBsY3P08Hjd0vjt6GnOQO0YvtLle1z1WTNcoNuiyjdOrbNa9qrAv9Xb0O+Yg91CyFBmp&#10;0c4WZ1cxsbS3mzWG//m8349z9EJmIK8hP6nIwKDOcp0NJAspirCmX+M+9F1ientUn5gGopYtL6p6&#10;wB6py4atFe3BC4iiq9jfQ5e0JUb4zq2q6MuMjy07axmZdTLg74pli6HXk9A4kG3TrQGMj9umVdPE&#10;9Fg9mychNwPQLFJZVS16AhqFnWHM6/V6GB/jkOffZlXZXSi3t3GEt2vxtSpyV3oVpanxckRdmw9j&#10;a/Ifpl7P09q8rks8D7FsO1R+wdZ9iX9FJ2BbCrvQtTn6QE9CZotft3E9M8NKtn/bnXXRDXU0wdFm&#10;JJqTJNEjehKy7FJobGObq/XadSddwEY9zm2Epd8bK/WPnoZclv0oKljLJSxJ22ZZZ6W4wcM0QG1s&#10;3XKP3tKTkNklOjS6WLYuEJ8OmZ15HW2GfJh0uH0cfacnIYtDfpiqRkVAUTXLBsFSr6MMA7ZZ+000&#10;elJPQkYQs2Rj0ZYdw53oWHBAjx3SdKie5rPGYnmya1X1UdVAlgzd4Pp4xV5Lt8rgoqNAHXCfo4DR&#10;bSpfkiSmTZVVjUruqkTnq6IxsylwtKs9bJSUChg9qOmAU5X057rzWx17o84w5AIyyW0JEU5dqclw&#10;q32VbIRMBjtGrIe19ieaRldxHjkYwOhUTcfb18mJvyr8AlxxFtcZQ2fT/BdmTPSvJgPua2Tli1Ay&#10;TVg1qBNhvpRDVUBtsw/jA3W0JsPta6zaqkf6Wriii0dyJFMtSp55GOHU45oMN9WIvOHE6PprBQqk&#10;bVkOBcrLTIWND9T3moxnqqyK9YBF1zRhVUHzVeHaD4Xox+ah4qkXNhluXyFsd+wBtsJVSWRFbEU7&#10;0J/2of49DPbhMr/bPm34Mh6ISWzRHvb0vNv+JyR76vylzWEt80AXNKKk7fz+XGEP03bIwzFgYTyR&#10;N2jMYWyPNNIpoNGONnQoBDrf5xWiC3SxN1fFUKtPZZRkQ9eh+meiFUXLhhftG/MaeYZKpic75JiX&#10;ZJy8agxKuXhDOPSGUljgZnUiLcshmpPKaq2+wrF9J1rE0JmqeGphrc3rRHttomKH5MEOYBYD+rWQ&#10;2zJbyCmopt+0hQd1IjHr8Rxeocw6WcCRUtjxuYADh5DRiHpQJ1pFwYEx1Mkpwk8Z8JH0KgzSZyg7&#10;LDy8OOkP65Rjd2w/XE7boWGXjV+aDkeAC0qxzsLVrEYR5H203qyIt/HWlKbrO5SuzP5E0cckps07&#10;qFJUwiFqUyuCS2zz1AKuO2N681D+0ReiEcNXyGaOnUaHhxH2ctyaL9LROo6NKAk6HWQzCkXHJSZP&#10;qTc8rUrEtdNRLaLIRISiCujl0yw2MWrWiiFxigJoFpocLkbYAdeDP+pa2IK+6hjRdFy6LeIWLC8M&#10;7h4Y9W0yXSE+1dW67469zYKtG1teRovFUzIa3OAAcl6aIUMx17lC1FuHZPeP98glFkoYXultxvgk&#10;B1RRKcqO0W7dpssYywFfxxiLBR6KY8gVuhhSPh25Q/OIBzfaW7T+FC2TAHK3IsPzmpmT7ThXSKpq&#10;z3dw26SfbbppysRFDQ9Vg7smLME3ikga9mbpkrqWs9d8/mkYnTxm8YtESZ9h6GxRpjWEsxUaebif&#10;Qmu6RD+swZJCWIH/sP04c8bC3RU+7FAbcj0wtrlkILU7OfKssQG5qpmADUMvbUaKFP3MRPlzrGK4&#10;fKhPqy7F9uQ0TNZRI5MuIJcsWL/pdBhQiEEYS5uYRT+y/ldsM0avEFEpjcKNgHXEthkjN52smx2P&#10;e6xk7nGDftrqNMi1TWHe45w8HpQxabO2jQhrC5Y4u11sMx/iHzPxRfbo47zTNAzitpv6KwhSi8xY&#10;oJNOvb3GbOEeY75kjzwNuWg4POjkpTsxvDohBZG8IrgyVt1ytnabCatBNKGTkOu+x+Kpc5stt6+9&#10;7lnLFItKHQPZz2yQqM0DR5vTkIn72Y8zHmFvgyRkFW/G2GbcGboJjstdZAdfcxJyxTDWca/CyMix&#10;0J2kqhYDXXQ20uZ28AakqkYYRGU1d24Te9CIJSzOTma6m0JyhlxHvzgmygKngp1haAzsXqfNMHoa&#10;9XzsLxxYSFKzqpCWHKDGx6gN3jqFGRHf5WnrGd/7gI19bDObu5Oe4GJUH5c7VkNvc6GnB2jqY+ks&#10;Gcb8KZjfsSxBJt4vXqAp7ec2tl9vIMPH0qGInIbM3BV/kY4zE9WbIkCSA7o+RYR7q9ZpC1noCLEk&#10;ziqkoB3ebtRDOCZjN3B6iBbCxd+sdR0k7YmrfZX1wAJy+xLaHe4baR5HirbxfAvFq3tCcXQfTcPb&#10;11lj4K29tWhV4AwNgChDQ+cPJxFQ1vmeVuq2+Zc2wH2N4pfyG6tYdqLpCmGBruXWkuJhbsXeG9Zv&#10;UgNNlRzOO5IZmOW5wgYQBRYbwcumzqDz7CmIyw2cqsSNSWG34zA9o6kTm1lHoIj9Gm0gyjRCI/2E&#10;gNVmqhOiB+kCbJ2IAcnfwJThnIuT132NAhY9isaea7fYwJWpE284csYBsrXpEsSrDB/BfU0ExMtY&#10;ZpyBIFaNdfYFRxLXaSs2eBWgeE3rl9p35OAxN88xmybqWphZ+7QTT9u723ffw1cTI17IxrL53d3u&#10;4scrCGxv349D5d66C8ET7k8vFJT67j7e//v2nVbWYg0YP3d6PZgQTU18nNRORpAx4Ub41/NPd5tQ&#10;38OfNzck8CDEowzxHlNFinF1fb15eC700Yerdxv9syC/DH0nFUrNwtib6o4VSGqafWeMdevZI74v&#10;RTch+8xUWANRjnyYFp5KBOTtw/NU+P72Ybt7qWV3tCoi6/tjJ2nXSC+93b77ifQmu63mvnl6vP7+&#10;dvf0/Ierp+c/Xe3IGcIMJYHP8x/5z83dFu4iNMTwr8uLD9vdP176u7xP/hWeXl58InnOm8un//p4&#10;tdtcXtz97wcys0Qn5XP4UeOgAmNnn7y1Tx4+3v9uy7xiY+frwj/l/ee78Z83u+3938jz842g8ujq&#10;4RpsAnied+OP3z3zm0dkCrrefPNN+DcZdpjef3j4y+O1VC69+kjL//r5b1e7xwv555vLZwzP/7Ed&#10;s8FcvR7TrcjSmN6Vkg/bbz4+b29uJRdLmIfar/EHmWkkfc6vkKIG6qVE1IoK/0tkqImyyienoR8l&#10;nQ8HVZhkcX6NyYB+odw0Efcg2cwPMob7VDYfLvYfsZSaBp+lhAeO2W+OIjDNMhBQPqa3OVqJWF6G&#10;sIUkxPPLjeDQM0FwhkAzL5YhbKFlCPTHPQR82WHYRy4f7ShbaBmCHWmCqBqYGV1CR9lCyxDoZROE&#10;WKqGMqGjbKFlCJbVHgKnN1zf5bGwhZYhOAdMELhqOOkndJQttAyB+jNBIDDQOfcB+EeH2xZahhB7&#10;+h4Dg7gEzS6vPVsqAcSuVbU17gNHjzYEnX3/aQkgdrWmg9hSGE3gnC0udDFvTH2WjmRLqSRZRrJr&#10;V5itWHUSRseWSkWyS1iTc+yTWBwfIlsqFcmu5HlqjuNItlQqkl3Q6gBL6T1bKhXJrmtxM7KHJYyT&#10;LZWKZJd3xZEbn00Cki2ViCTK3jTLJRsW7PdlJFcqFckudLHoQ2FKQLKlUpHsaufIuWakEpBsqVQk&#10;t9pxfqcMk/hvpi5PBbKLPUGqurwzqRh2madg2PfFLkuSmiXtSSx6U9tTMPz7tnqU/nNWgcnOlJQM&#10;gUnESWHKpDD5HZMKM9q28OSoTSrMMNrCwSIjRoykwohqWzgY3ZILI31t4fGElIaMQLWFg20uGTmS&#10;GKbuVg9LenEknwVX42Z6ccSZKz55XJP6PDp39h+fN9POWQX2y2zvZU/r+dmkO2cVSJ7zkWY9Tdr/&#10;n7IKaCN+dpAy6hpByrqjs5X+E2OUiX+JMSqw+qJpCTtbCEWWGKEpLLPEMWot7GraCdInKPrS8kWj&#10;PSwsHA5oRsgsHCi+RmKRoWLq7iUUQ0+IjoaeXEA8rsSshVIHVUrcsJA/5WuEP+w5vNHskwkoXiEC&#10;hiPgvEoZ0UgEFUavd+NJ0DRGoExAvMpwKLTUQZVE1NEu3Ryhp3pOTbQI5eLB3hr5sTjmZnUSDd0I&#10;XSl0aYFPJx4CdUJFA1EmIlwB/Nla52GVcBSI8lBAet7T9nFCirkoExCi2EAMdCh1UCU5RuFr6La7&#10;gtbgXXnReJQL2MLVjzyMwyqJpcEJG6qE/uY6NBqSMuFAw2qqi2J1UKWQz8Vcw6KAGOB8n4ys2JRy&#10;4WAmCJFMl9msSlhMwvfUh2Lcdq7BaJDJBITF1kBpCqXw1DFiTnDB8SKUNDyVpAKe22QR1YQUje3L&#10;wo3IYTgH2nME7ODI9rB4VCf2Bz58R/6wsFHsqw8pAZboVJzYoT2kyZPwO4qOMhy2K6wU7V/cq/BN&#10;7dNohgplM2GhdGMc0WmJdbz2HmaJj5Kgexlzia1F0TQfFW1SJ8ES1T5GDENpaX1IDQHq8Pl1fyEJ&#10;u0T8GVgbU5nZWnZGbBk6pSB/zxlcwmaKtEkIl2RrsLDRWnVKa6GkQcUb21OxRbmKWcikTtCKIWZ6&#10;okk0XZ0EKwIn0sYQ4fjlHSxMEiRDqLgbGqFxm06OdqxTYNENCIbWKUWED73sKpYgzUglYnHJ7LKw&#10;atQ6BRZSEo2M7YH85SP+y7YlfEE3GGxZMx5btHCdBEs4E+wS7UZiK3wAOnsMNJ+4bmUfdas6mrtO&#10;gRVeVB9pZtBHiRG13UigxZowAf0oWdauk5nbY0abzPUjwfTjApFknm5bEVJx7H/WFtxf+0VjF4zK&#10;aZKeCVeDoCxtBTQ8rxSsCF3VWhnqWXYT/buaueQrktCm+kphJ7m1spKo3PAdbERQpg9bdkR5nvNC&#10;kOeEb+3TGPGh5oTwdI7aOkdtudOXKtxE2Zyjtn7dqC3Ix/GER0p8t96tHnBk1b8whA37r2Rc0RPV&#10;rEqN21JBdyxuS0VaOmCI24r68ctxWxzMVZf3YVYat6VfmgEX4rZUs5oFgmncluoDR+K2chsnOvoY&#10;GcnhVdQYo0RwcOiauOkSXYEw908lyOS0HUKClMZNB46Ep5QCi0qlCgi82ZmK8bOOBmgs8aAnUSxe&#10;oepgeKLmhbHsYUIqr2g6OIS7ZqLGa1lHyycSCJ5oNnH7Jc7MV4xKi0d1PBpwUnND0IbYEt0yM3WM&#10;tmLEIsudIAs4z3b02oKo8JgIhhPJLEsH52HiFXRsM2GxoMH51I7qJHeNP3NgYCKQKnQyeg/apP0o&#10;EikwQCd1MhRrTgaxo6paUlOYmYzKg8kkaq0lOrrT45iKqIFx5PPGloARTCOxo1AV/ekZ4xeBNfGj&#10;uD/Oh8xh4xi6UZXOg62IGtrriOQyce1hOEldEaeUnOhdX0DiDqI4nEUzYZHZRbQkyLTQsLJxidBS&#10;LJbxvILWrGTi8amkxocPpcsrD1YY9wNsdv1iDrVO+WeDITY6ThryXvnQGQ6nqNNj2SytGUY1PRUt&#10;CRI45MQfx9+CaIY4kyX1mZ1wWN5o/0lTijkkcTjaWjGeutbC3yaOYzydEWXpDEQYP6EynNTJIv4m&#10;wwhXJLplyw1JMot0AMix41ZtsLqNw57VwzUyJp4HJHOPt46Sa4qsfWM3SPpJs6DHb8mCg5Q/hjJB&#10;WVdi9Tg9UReILw9oTJiOPjxAk7vy9O9Jx6B9hWR5mlVIiMOYXYUzEmbpQ7QjKsP8IMSnpBHkd+/f&#10;TvT475rvhu4bwaS4IbErh332pxkhXKj1Yk87M+RjrIGn158Z8meGvLntd6TtC/HeXOLKvYUYpoOf&#10;6pegyKNJrEfzuufJIz8DTx7lSJPLseB/YZ583PcSePLTR2Ty5I8i0DrDq4In9UUEtqjpbXWfJtzm&#10;aQsFou4XIdjwJ4g5T/5oK2yhZQi0yT0EAbYECE00v6MQttAyBCrPBKFe0YSOsoWWIVDIJog5T/5o&#10;K2yhZQhUsz3EjCd/FMIWWoZADZsg1NWZ0FG20DIEutwEoe7NPRX/aCtsoWUIoWztMcSnmXKVriuV&#10;AGLXqp7h95ERRxsi+t/0aQkgdrWmg9hSJCYlclMonV9c6KLaTx+WjmRLKcAykl276qBMmAHCG5m+&#10;LxXJLmH1Se5jlY4PkS2VimRX8pwnfxzJlkpFsgtaLY4pvWdLpSLZdR2djcuCWchG2eNkl/ecJ3+8&#10;92ypxDaJBWj6OuXJJ/SeK5WKZBf6nCd/tE3CLpi+LxXJrvY5T/44ki2ViuRWu/gK90EGx4FcoSCD&#10;FkWE470naAPu/dTG2GWegmHfl/xEhVzyp2B62D1QGP9+hCd/vK+sQPAyGzX3zJMP7hZ6Io32zY4B&#10;O2WikZ558ku3LCJQbYcFi1Fyb4v6ZEurvTq9OJLPFQ+LJL044swVD9a+9OIIKVc8b6adefL7ZXbm&#10;ySfPuuibmySUsr/Si88E3L8gTx6hICwYPbn8N+LJ4/9RYbyStIHeIxISIqBlI6+OmNRfYBmQsF8S&#10;c4ZSB1VCPiPnpApgaOtynYbxFZzKkyc0NGZZOqwS/15PEh1pwwo/vOcfQugWI1BmC+HJk74RBYo6&#10;D6pUnrx26QGnPVqEcvECT1579CWePBkuIzF9BR3PeV9OpsnDRlfAgxp/fZY8F3pF7/QKX7NPMRVN&#10;R5k9CvmTdulGflhlYMnrNn1AaQ/pFrRn0peEsuTjrD+oMrDk9VteZMlnp5+W/H2wFkOfsMg88V5Z&#10;8vFbxJfslnw0x2R2J1QYgjU4tbAg8F1D57arGv8d2eR0CVb4sT2BwCKqASn61pbJIUgSUqbqUiNn&#10;ziz3GhVDk9d+hQoiOYeNqLGw+5OVbIhOpPlfMeNpYMnr8g8ZhZ13VVny2r+kzGx9Lt9ohAo9lQmr&#10;LHmdloG07DpZWPLjpQw4/GtPZo8WqZNgA0teJxMUoBkpVQgFmFZjxTiknevbseQnm2BSJ8OSh88T&#10;W8vlFn6ayiWN+IAUlgtSfIq4aKs6pbWQHMmjqxsCOYdhQNhJw+0h6zHahUSj5Al0TzXBw0mwkPG4&#10;SSkWpU/dXMV/P7HkSbU7a61jyed1smPJc1Odby2JBsm4GYeALNGzp4ElP468cZH5JeN/RSopLjyu&#10;VNTWVpAuHMcGXlMIhRJhIuwq9iGzbh1LPq+1kmUdYpfCkprVZy51LHmEpE/16ljyebCOJc/mScNN&#10;e+iHoV/HviCTq+dxBJb8OC2y+hiW/JhnfyA7oWedYE4bg9LI4xSzxo9sjnHyZ8GtWAxaUK5a9Ek+&#10;WU8Q2WQ4CWUi2MI2X8uojUv+niQbyNc41iiZOv3+NibYJuQD1fYQ68iuPeeG0BuOJM8ImePBmSR/&#10;vtrkRcl2JsmfrzZB0B0RMk611L3wX/xqEziKMVYL1kjjT/uo71wSFg8+HBo8ydoq6Jn7AwcOuYxT&#10;txzYpfOKUSliIAcpw1EE7CZhYTMVdDZM1NS4lQ8w/p3uqBT5qLLCh1VK0bjpEi0gl5mobpKnXyhF&#10;XrsRxXHwFQeK/Eiy5tjgt2alyOvBLbO1gSI/RhXCZlZj7NgepcjH1hLW6U+ESpGPPZXXWqXIj8cR&#10;1Eh/4JD7YogRCLojgdGeHOoo8nmwUOS5LSJqYgQ6wvY1SpykDW1jYI1cyOuPmkqRj32RCUusB6Gq&#10;2h5JcO8PHFxQOcb69w2XlPmPshT5PFjMcoQ+R0Wwa2icba2jyMPO9Sqro8hnwlqKPEXnSquhyBM9&#10;45PwO4p8HqyjyHNB8Cx3h6XIDxwa3BA4inwerKXIIzgIN7edbCnynPnwAbunliKfCWsp8hzeuXzF&#10;zGRLkScgYR5JbCnyebCWIk+kkDfiWYo8wTY+NMJS5PMwLUWeQ4kP5bAUeU4l/rgXp34enKSdV2MU&#10;GeqRw7ZfuX9VD55kkGDfs4/iEYgbpzTXe9IRaKyOkCzY/7Y6TqrxWiUCGkgmYJ8p1BHlZH4C4jvy&#10;2fHf//b7b779TjApfmbHX3qC+zl/vM0Sf84f/+H5+fH1q1chSuTq6av72+vd9ml78/wVue1fbW9u&#10;bq83rz6RGf8VmRTW4V+Pu+315unp9uH9EXY8GZzkuj4JJft57HgcXNFPx5VzYgNWQeIp8ggUociL&#10;D1G0V132vzBHPio1B5SnHwCfCGzCYDJfkUmSPwqBipoDQadPr5+cTX6hGdhjJ4w5Tf5oO2yhhK5C&#10;V91jnJpPfqEdluMW04dNlM+j7bCFEtqBvj61Y86UP4phCyVgsK3vMWZU+aMYtlACBgeaCUMdnnsq&#10;6VEMWygBA81lwlCy/J5xeRTDFkrAcLz3mAFsedBdqRQUu2r1PL8nXR5tygFdfmH+kg9q32HpKLYU&#10;t+Rxg3KC5LLLNx3KloqNScCya/+01PLpWHY5n5ZcPh3LLus5bf74pLCl0rHs8lZnZMJaEi/qtALT&#10;sewyn1Pnj7fLlkrHsst9Tp4/jmVLJWOJN2nqjdPSzKdjWYExJ9AfbZcj0KdjWQEwp9Afx3KlVNta&#10;XstC+pv6UBNuLUtbVyi9WVZsJEhbR6NPR7ECIwXFvs+i527LhF6zaz4FxL/v9FAOwWcqfR7BWe2k&#10;E1E1eHDFJJKUCpvx5jgyFQ6GkeTCjKMtHGyeyYUR3rZwOC0lF0Ya28LjQSqtzYhXW/hMpU+dLGcq&#10;/X6lnKn0yYv1TKV/G23KEGRienrPlUF1gysTd3VUkHPOeXojcOl1lwhqnsw3xwfwv5QdAJf+nHNe&#10;d8cjXPrcHuXYcs45f845n8PQ+fVzznM3edxlSIIHQzPK23CTBhkeyeem3AkuJCB7jX+6Tyyp5qVo&#10;lPfSxf+KtHbyWfaTAxPyr3NgStROHWMKSOXJtQaOExCtUkEVHQW/egM8lP8VgU3W+YKbO2a0apt2&#10;ngR6kuLNttjmnc9FtonnQe7IzO6qNpnnQSaawDluber5bGSTex5kfN6uamj1U/J5qiZMw7XZ8upz&#10;kW36ecm52JJj0RAAuLB0yj/PY1Ihug+L1qyTxtlmoC+KaoCpY5Frk4KeRuHb8I8Nuz63zbVJQk+j&#10;Wma6Qzb8ej6s6D27xxLsc5Etw57kndwX4ZZNZRLRE+VPwnLHjo52r5N626aiJ6GkJPG0bba56HlK&#10;xIibYZZmn9tmePZTNnpJZUmzLLIl2jMY3Iwx5y/I9YsntdlS7flqMpk6+oPNSM+HIXZcb5uU9LlN&#10;NjnpGcYKKp1tsUlKD6oELdmnaMuc33MRKyoNBeleSf1vljBpVcW8RqXQ0iQIwDxTMDWFyd+TtFAi&#10;Q8caIamsfcZhck9yX4egCbPF35KhaEfU3TnfZM64n50izpT7M+X+Je3hnJee8N9zXnrkzxE54w7Z&#10;hnT/r5uXniup4n1JKJZyeYnZABDRXQnnUwQ2VF25JM8/nfLSZ24SVCx3oOi+Qwifv4OGKDNSWMeT&#10;PLRsAhqP4ebuhEq7H3dRSU7sVCybmh4NjDsD/bnG5KbPRbbJ6dEbOT25qm12ermBSI5Ppq9tevps&#10;ZJOfHmRJpO6qLvYJ6lHuuLbGjbLNUJ+LrPx7tbpwcCEfuhtIbCtTjno5y5G+2X6YZeDnItss9TSK&#10;6xWc1mPT1PMJKPFOubN56rORTaJ6epsDuFPvbKZ6HsOH948NDz8X2eaqp1EsKtcoy8SXqhvNhDQG&#10;YVgqfjay4eKHsmwxZvLafPU8JircSRnLxs9FtnR81GVY1e58YFPWMw3ktGY/zBLyc5EtI18O5Yg0&#10;W7Wl5DPORe3J1TZtfTayIeUzzvOrpCwrnw8jHsOtZ5u5PhfZ8PLpzZpbPGyTDTGfipl9bhIYZn4u&#10;rKHmyxjXsxDwffp66Y3KnxBHUW85p14z9L90z5dLUjkCy75HWgbsaq6dQ7SoccPILPJb0ZpwlJIi&#10;aScmLg1REx33zGHJsFhkoWnHe1SxRfszqKId0WTmJyY+5czQj2MyZdoPI3T38OfNjWTaj4z7i9t3&#10;nzljh+T705sXP17dvTkz9D/trh7fXD7918er3eby4u7M0L/4fH/38PSatPNvLv8JDP2eewLRyYja&#10;+bkM/SDM0D6wjEap/TI7H2s97Oe4UP6fsfP3X/FPY+d/GcJx6NQdm0CHMxS6wD3+MoZl3J3Ozv8y&#10;hqXaEY4oF30vt8MWSmgHk3NiDp7Ozv9yOyxv7nR2/pcx2PCndsQbvJf7yhZK6CvLpT2dnf/ldlgO&#10;7ens/C9jOJ79z2DnL6BYsi0attgblofkkJ2/gGIXezqKLcXxnVxzwhddgLJrPh3KlooICVh2GZ/I&#10;ztfWJGBZGXAiOz8Zy8qC6N1MmBS2VHof2uV9Ijs/uV1WNpzIzk/GsjLiRHZ+KtYvwc5PxrIC40R2&#10;fjKWFQAnsvOTsawEOI2dnwxlxUaCtPXs/GQUKzBSUOz7LUaAIrDzFU5PzAdBn8fy3EdT4MH7P8zy&#10;4jtpzvn5zM4PtgkxaiQR7JlIGFAmgn0wQyUXZrxt4TM7fylLvmhktsfUvJvc36I0ueLBnJleHGHo&#10;iodDZnpx5JsrnjfTzuz8/TI7s/OTZ92Znf82GpsX2Plxmz2z8y/EMnxm58+iEdRpQqb7Mty0iSDH&#10;f+LdP5rp/szOl13uiMfmBe4Jqaun5LukVIYxYdyqZIeCHqn77opcwN7dG41LYVvNAIR4MGaJO6wy&#10;5LpXwIPE9CHXvbIM0+E0170qLquDKkOue1VL5onpo8Ups3Wa6179ekdy3cdvOZLr/osetxfGDwvP&#10;5EiEezZLQCg8l7LUz6HXJYWOGd5oHQpNVPOSPJW9zQH5X5Ek3w5kh1aVilw7lc8hRgJ+vNE6VMUa&#10;j6pnhFpcY81KA7bs/IqJ5Fnbjp0v16B7CoJj5+9PdknIjp1fwdPxuR4l4z3mm9CZMralJzo5dn4u&#10;smXnV7DDfa5Bx87n1gGiMOwoO3Z+JrJj55MSDj6Nq9qy8yGPz+aXY+dnIjt2fgUPwLMbHDufkSAQ&#10;w35YtG3FwbD+Jj+Z/S+d2o6dLxdE4Do3i8Zmv4d1wV0vjuvk2PmZbXbsfPKvrj1PyrHzqxbmjyMN&#10;OHZ+JrJj55dDN8s/6Nj5VTOP8nHs/Fxky85nL+o8E8+x8/EscpePHYxoEztpnB07n1wMMzKTY+fj&#10;11ojRs00sOz8zCZbdj43AHCxhK3YsvNZceTGt091e8gVmtxTMyZhhK8DVc1WuSLMQ6vldhCS/9tn&#10;+nc1hsnfkwTlVF8FB9GTDFcS+qHbEVOOVP+HYEe29jnZ5Ag9Pw7FxZmef6bnvyTcz/T8Mz0/V8UO&#10;OfH/den5aDgoT3JqJOJv8PdDEd3bE0AWnkJ4JpLMCmyrx2fuEXJC6BvdCeDIc9PWrGK+RO3znB/g&#10;yLtdyeLmboWOno8SJdFiZlt39HyInnKKsY8tPT9z23f0/KqoaLat2tHzoVDN+trR83ORLT2/grDr&#10;ydOaHF8HWUJ7ez8HHD0/E9nR8zm5oEbZNjt6Poc5YiTdY36PVzfmjrOj54ti7dV0R8/nloRuxqFn&#10;4Kt43Vc2sqXnI23XPoG7o+djcZnFm6LhogPHo3Nmbzt6foWaOWbJjdazbs3VZOMJVaIw/MmF4Anu&#10;/TpJl5aTL5rdVHYWue7o+VXZrfkKs6ocPT+zzY6eX9Hd3h7g6PmcyiWRgUWW8BzxyYr0y0R29Hzm&#10;NnEYtmpHz+ecyOnNPTYp87ORLT2fBcKdDK5qzsPYBGKjuF3EZ7d39PzMNlt6foUZYmbXaQlSmE4o&#10;HWvXfpal52fCWno+Y1z5ZPYmdX5Bb5CxwcJO32NIp14z9L+ifauPN83J9sMVfLZG7vuS2xFkznBB&#10;2ov8fKKr2DmlUNqJaaoQKq5k0zBTlCMTtzHoYHLlhhdjX1Rl5kcmPuXMz49jMrHuz/z8y+2Pm93N&#10;3fYTabK2u3/8Mf56Y/7On54hn/P08uLMz3+EjP/0+PVvYOTLP/7J/HzEWSuaNwLnZ2bQDzKE0DjC&#10;YqPm6fn5IEj2/J6gVDVtIzB+YXp+lGyHvCgE2USMFo7z/iMy2flHEWhdBoIj3gVvbD8RQI9C2ELL&#10;jUDTmj5ozs0/CmELLUNYnp1cUcvd4sutsIWWISxpTpn5CR1lCy1DoJ5NHTUn5h/tKFtoGQLNdQ8x&#10;y5p/FMIWWoaw1Fv1nCZ0lC20DGEZt8rK3+flP9oKW2gZ4pCUXyVMKVcqAcSuVT3sF8vz9oCTvyBD&#10;7GpNB7GlyIuGsrYsreyiTUeypbQpy0h27aqvM2EGCLVtmv2pSHYJq2+zThgiWyoVya7kORf/6KwW&#10;53N2m+yCVt9lSu/ZUqltsut6zsM/3iZbKhXJLu85C/84ki2ViPQCBz+h91ypVCQrHuYM/KNtcvnx&#10;U5Hsap/z748j2VKpSG61c1HasL+i4TiQKxTUtkUR4bj0CaLbvZ/aGLvMUzDs+9jH+gShOiPSf7qI&#10;glWPzocK5ux9q2Gi5p5598FmIsaKM+8e9pzE6j9un4SLOQYX/B3py+lo/PnDZN1J6jAEqi0cTIHJ&#10;vS3qky2tnKb04shLVzwIlPTiiDNX/My7T10m0SI+zRl+R5Ng0qTB7Oh7Pm/ORZflHj1v1snWbMed&#10;3zkfL/utK5436+TGQFc8b9adefdvdSecLL5zwgzDQ1Z83dHRlf/bJMWX1EBhapFGFOdb7KWQy1pp&#10;97ropsm+SIUlKT7MT04BTNeDKkv8QiSFioAl+XUtYDT7hKfpgEHlbbROaphV2XOFPDf3yteQ2mfw&#10;zpBoBMoEhHbfSqbg0MJ5lUq71y49khQ/t0c5p+AZ1h5dHdRJ5j7ctaiM0kL4Zc6tFu1DmQ2EAAe5&#10;XQEPamyF/KeNXx0w5GMSh0y8BdJ900FU1/bhYfPeu2g6ygWEnVzj1pc+O6wykO45S/DwgCEfSPfa&#10;M+kzVEn3cdYfVBlI9/otL5LuIxsxAy6kxNdZdoR0H7/lCOlen6YDwl7pYE2EHitx2PtFJgu+idyW&#10;EisMeSaNP288p0hvqwFJnoo2tihpYOMUsGYCLPRfuCu+4vWaN8LTTtKjOVFjYaPQT4YNlHtdAXIz&#10;vHfeK+Nee7DvAfasFm4e51PCR2XCKt9epyV3vxNvYFsrdPtmra3Fewppwj2V8SGTvHRyLmwg2+vY&#10;9hj4+HgzevjV2TVie5oeuoF72koe7PhR1o2yPLYw7dekKdcv7oreTxoERoNMjE/XED0sbLRVndLa&#10;uqWNsKtCR5Fe3/Nzan4P9dge6P9e1poU+JmdDMcewRanFNlZfdJES7HvJWe4a61l2GfCWoI9LKdZ&#10;ayVjahvd/v1Aa4NAQG8KyoHS60+aydzkwA0acYmQkNO3B3J9iKwKQ1BJlng7tpZbn9lagiKgl8cv&#10;Hhpsp7Ziy6xnSUP9dk/lmyJXKBOW/aUU2reuPdhPjm1OP8Axj30Bd8LLsMCqH6eFcUMurx/YTpJb&#10;XkAH4iZ8CAzmtDV3aYQv6mq5VcQs6XF6Z8EVIpFChcRfcY2CrRBCfRslU1NCeXMiQtHUyCWFkgT/&#10;vkLCe7rWVbhqiDUKXyKBP5z5Dpp2ZF+b00O+fEA4E+rPhHq/ClUsngn1vzqhHlFNyFCQdD4C2uoB&#10;Rxa90zF1BBtSZCM6QoWr2T1KDSoWt4LrMy728BeYNFwGNQrddLxAp4/GpYMqW+bTEO2dq9LTzVt0&#10;BuEUSssz4NCUUZ5CqVmFhK2iJarOhVz1CqZVmNPRUMBRgRWNoMWZGse5AR1LWwAzlcOBldYWMXOD&#10;EFjJJC9dQxb92t8MBezAJq5Pe/Qnp09Z2MytXsn0cTMfyLgfOmrUmJRLH7fdHp6t5/gHKv2oJmRt&#10;vsqk11nZk3bZVxyI9KPSSkSDTyGtPHrti8zWoksN3DcTuhEFh6sQ7egpi35sLc/dcUVJ9LGnMk8G&#10;MMg59kVYTpZu+8dQguYzPm1mmattgvvM1kKgb9eRiN73deMnDaTjjkzY+lEdrF+n5Gl2+9gXea2t&#10;ywY6cxyfpp6xpmviysfkAYSPQPe1Q2C585mtxYo2jGGQPcvFa3Q2sb1U7JVWm9c+F9bw5vtW5Ldt&#10;j6XNI4VnyRksaz4T1pLmuRyq8nLIcuY5WdMb9qNsRvtMWMuY59iJAcNWbAnzPbuAz7Ju09nnwhq6&#10;fN9zFnDtgXw/seV7bIv+6gpLls+ENVx5MU9UbtmaTPaQO9eIK6O2G6Z8JqYhyjOua3+XnuHJc/jl&#10;myzmSaegVVlDxZdNh3v7ZvIdwaxHT+5Wqb0MjmcgYpJVn0g6A2HqjRUSxDFLKIENTiUG1icMBoft&#10;OrKBz49AfMjkLwkf9fT8+832XrzBT9u723ff4yUJP3bv3/7ubqcZ27//7ffffPudYFLEvXb3cFjy&#10;+sPmfjOVfftek8Dffbz/9+07rQ/5wukxVje+Pq8cKKn9lXCQnx7/tFM28tPzT3cbwQwJ5zXLfPml&#10;LPPh+z5cvdsotCC/DH3OYH9myL9+3D09//Xz3652kN+vXj9sv/n4vL25fZapKvPw7fbdTzITw4/A&#10;kOdf719/es/rzNf3JPb/cHv97dXzlf0d3n+9KbcftnfvNruv/y8AAAD//wMAUEsDBBQABgAIAAAA&#10;IQADgIYl4gAAAAwBAAAPAAAAZHJzL2Rvd25yZXYueG1sTI/BSsNAEIbvgu+wjOCt3U1iisZsSinq&#10;qQi2gnibJtMkNLsbstskfXvHk95mmI9/vj9fz6YTIw2+dVZDtFQgyJauam2t4fPwungE4QPaCjtn&#10;ScOVPKyL25scs8pN9oPGfagFh1ifoYYmhD6T0pcNGfRL15Pl28kNBgOvQy2rAScON52MlVpJg63l&#10;Dw32tG2oPO8vRsPbhNMmiV7G3fm0vX4f0vevXURa39/Nm2cQgebwB8OvPqtDwU5Hd7GVF52GRZyw&#10;etAQrxQPTDw9qBTEkdE0VgnIIpf/SxQ/AAAA//8DAFBLAQItABQABgAIAAAAIQC2gziS/gAAAOEB&#10;AAATAAAAAAAAAAAAAAAAAAAAAABbQ29udGVudF9UeXBlc10ueG1sUEsBAi0AFAAGAAgAAAAhADj9&#10;If/WAAAAlAEAAAsAAAAAAAAAAAAAAAAALwEAAF9yZWxzLy5yZWxzUEsBAi0AFAAGAAgAAAAhABwv&#10;qn0mMgAA5TUBAA4AAAAAAAAAAAAAAAAALgIAAGRycy9lMm9Eb2MueG1sUEsBAi0AFAAGAAgAAAAh&#10;AAOAhiXiAAAADAEAAA8AAAAAAAAAAAAAAAAAgDQAAGRycy9kb3ducmV2LnhtbFBLBQYAAAAABAAE&#10;APMAAACPNQAAAAA=&#10;" o:allowoverlap="f">
                <v:rect id="Rectangle 5" o:spid="_x0000_s1027" style="position:absolute;top:9188;width:77165;height:62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ygAAAOMAAAAPAAAAZHJzL2Rvd25yZXYueG1sRE9LSwMx&#10;EL4L/Q9hCl7EJq1F123TIkpBsPioPXgcNtPdxWSyJGl39dcbQfA433uW68FZcaIQW88aphMFgrjy&#10;puVaw/59c1mAiAnZoPVMGr4owno1OltiaXzPb3TapVrkEI4lamhS6kopY9WQwzjxHXHmDj44TPkM&#10;tTQB+xzurJwpdS0dtpwbGuzovqHqc3d0GjbRfmx76/twkZ73xevT98vs+KD1+Xi4W4BINKR/8Z/7&#10;0eT5aqqububF/BZ+f8oAyNUPAAAA//8DAFBLAQItABQABgAIAAAAIQDb4fbL7gAAAIUBAAATAAAA&#10;AAAAAAAAAAAAAAAAAABbQ29udGVudF9UeXBlc10ueG1sUEsBAi0AFAAGAAgAAAAhAFr0LFu/AAAA&#10;FQEAAAsAAAAAAAAAAAAAAAAAHwEAAF9yZWxzLy5yZWxzUEsBAi0AFAAGAAgAAAAhAL/4dJfKAAAA&#10;4wAAAA8AAAAAAAAAAAAAAAAABwIAAGRycy9kb3ducmV2LnhtbFBLBQYAAAAAAwADALcAAAD+AgAA&#10;AAA=&#10;" fillcolor="white [3212]" strokecolor="#a5a5a5 [2092]" strokeweight="1pt"/>
                <v:rect id="Rectangle 5" o:spid="_x0000_s1028" style="position:absolute;width:77165;height: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6w4ygAAAOIAAAAPAAAAZHJzL2Rvd25yZXYueG1sRI9Ba8JA&#10;FITvhf6H5RV6q5to1Zi6iq2Uiremen9kn9lg9m3Ibk3aX98tCB6HmfmGWa4H24gLdb52rCAdJSCI&#10;S6drrhQcvt6fMhA+IGtsHJOCH/KwXt3fLTHXrudPuhShEhHCPkcFJoQ2l9KXhiz6kWuJo3dyncUQ&#10;ZVdJ3WEf4baR4ySZSYs1xwWDLb0ZKs/Ft1VQbLPj+Lxf/JqPvt5ODsUmTV8rpR4fhs0LiEBDuIWv&#10;7Z1WMEvni8n0OZvD/6V4B+TqDwAA//8DAFBLAQItABQABgAIAAAAIQDb4fbL7gAAAIUBAAATAAAA&#10;AAAAAAAAAAAAAAAAAABbQ29udGVudF9UeXBlc10ueG1sUEsBAi0AFAAGAAgAAAAhAFr0LFu/AAAA&#10;FQEAAAsAAAAAAAAAAAAAAAAAHwEAAF9yZWxzLy5yZWxzUEsBAi0AFAAGAAgAAAAhAIS/rDjKAAAA&#10;4gAAAA8AAAAAAAAAAAAAAAAABwIAAGRycy9kb3ducmV2LnhtbFBLBQYAAAAAAwADALcAAAD+AgAA&#10;AAA=&#10;" fillcolor="#e5e97a" strokecolor="#a5a5a5 [2092]" strokeweight="1pt"/>
                <v:rect id="Rectangle 5" o:spid="_x0000_s1029" style="position:absolute;top:4080;width:77165;height:8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SHQyQAAAOMAAAAPAAAAZHJzL2Rvd25yZXYueG1sRE/NTsJA&#10;EL6b8A6bIfEmW2iFWlmIUUwIHIzIgeOkO7Ybu7NNd0vr27smJh7n+5/1drSNuFLnjWMF81kCgrh0&#10;2nCl4PzxepeD8AFZY+OYFHyTh+1mcrPGQruB3+l6CpWIIewLVFCH0BZS+rImi37mWuLIfbrOYohn&#10;V0nd4RDDbSMXSbKUFg3Hhhpbeq6p/Dr1VkG22p13b+Fgjuayz3H+0l8WQ6/U7XR8egQRaAz/4j/3&#10;Xsf5qzRL8/ssfYDfnyIAcvMDAAD//wMAUEsBAi0AFAAGAAgAAAAhANvh9svuAAAAhQEAABMAAAAA&#10;AAAAAAAAAAAAAAAAAFtDb250ZW50X1R5cGVzXS54bWxQSwECLQAUAAYACAAAACEAWvQsW78AAAAV&#10;AQAACwAAAAAAAAAAAAAAAAAfAQAAX3JlbHMvLnJlbHNQSwECLQAUAAYACAAAACEAJnkh0MkAAADj&#10;AAAADwAAAAAAAAAAAAAAAAAHAgAAZHJzL2Rvd25yZXYueG1sUEsFBgAAAAADAAMAtwAAAP0CAAAA&#10;AA==&#10;" fillcolor="#fbfade" strokecolor="#a5a5a5 [2092]" strokeweight="1pt"/>
                <v:rect id="Rectangle 5" o:spid="_x0000_s1030" style="position:absolute;left:106;top:22406;width:77165;height:11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rzSyAAAAOMAAAAPAAAAZHJzL2Rvd25yZXYueG1sRE/NSgMx&#10;EL4LvkMYwZtNGquta9MiWqHUg9j20OOwGXeDm8myyXbXtzeC4HG+/1muR9+IM3XRBTYwnSgQxGWw&#10;jisDx8PrzQJETMgWm8Bk4JsirFeXF0ssbBj4g877VIkcwrFAA3VKbSFlLGvyGCehJc7cZ+g8pnx2&#10;lbQdDjncN1IrdS89Os4NNbb0XFP5te+9gdl8c9y8p517c6ftAqcv/UkPvTHXV+PTI4hEY/oX/7m3&#10;Ns9XeqYe7m61ht+fMgBy9QMAAP//AwBQSwECLQAUAAYACAAAACEA2+H2y+4AAACFAQAAEwAAAAAA&#10;AAAAAAAAAAAAAAAAW0NvbnRlbnRfVHlwZXNdLnhtbFBLAQItABQABgAIAAAAIQBa9CxbvwAAABUB&#10;AAALAAAAAAAAAAAAAAAAAB8BAABfcmVscy8ucmVsc1BLAQItABQABgAIAAAAIQCzQrzSyAAAAOMA&#10;AAAPAAAAAAAAAAAAAAAAAAcCAABkcnMvZG93bnJldi54bWxQSwUGAAAAAAMAAwC3AAAA/AIAAAAA&#10;" fillcolor="#fbfade" strokecolor="#a5a5a5 [2092]" strokeweight="1pt"/>
                <v:rect id="Rectangle 5" o:spid="_x0000_s1031" style="position:absolute;top:42334;width:77165;height:13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22RyAAAAOMAAAAPAAAAZHJzL2Rvd25yZXYueG1sRE/NSsNA&#10;EL4LvsMyQm92k2BsiN2WUlsoehBrDz0O2WmyNDsbspsmvr0rCB7n+5/lerKtuFHvjWMF6TwBQVw5&#10;bbhWcPraPxYgfEDW2DomBd/kYb26v1tiqd3In3Q7hlrEEPYlKmhC6EopfdWQRT93HXHkLq63GOLZ&#10;11L3OMZw28osSZ6lRcOxocGOtg1V1+NgFTwtdqfdR3gz7+Z8KDB9Hc7ZOCg1e5g2LyACTeFf/Oc+&#10;6Di/yPM8XWRpDr8/RQDk6gcAAP//AwBQSwECLQAUAAYACAAAACEA2+H2y+4AAACFAQAAEwAAAAAA&#10;AAAAAAAAAAAAAAAAW0NvbnRlbnRfVHlwZXNdLnhtbFBLAQItABQABgAIAAAAIQBa9CxbvwAAABUB&#10;AAALAAAAAAAAAAAAAAAAAB8BAABfcmVscy8ucmVsc1BLAQItABQABgAIAAAAIQDOD22RyAAAAOMA&#10;AAAPAAAAAAAAAAAAAAAAAAcCAABkcnMvZG93bnJldi54bWxQSwUGAAAAAAMAAwC3AAAA/AIAAAAA&#10;" fillcolor="#fbfade" strokecolor="#a5a5a5 [2092]" strokeweight="1pt"/>
                <v:rect id="Rectangle 5" o:spid="_x0000_s1032" style="position:absolute;top:71377;width:77165;height:8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nRyAAAAOMAAAAPAAAAZHJzL2Rvd25yZXYueG1sRE9PS8Mw&#10;FL8LfofwBt5c2k5qqMuG6IShB3HusOOjebZhzUtp0rV+eyMIHt/v/1tvZ9eJCw3BetaQLzMQxLU3&#10;lhsNx8+XWwUiRGSDnWfS8E0BtpvrqzVWxk/8QZdDbEQK4VChhjbGvpIy1C05DEvfEyfuyw8OYzqH&#10;RpoBpxTuOllkWSkdWk4NLfb01FJ9PoxOw9397rh7j6/2zZ72CvPn8VRMo9Y3i/nxAUSkOf6L/9x7&#10;k+YXalWqcqVy+P0pASA3PwAAAP//AwBQSwECLQAUAAYACAAAACEA2+H2y+4AAACFAQAAEwAAAAAA&#10;AAAAAAAAAAAAAAAAW0NvbnRlbnRfVHlwZXNdLnhtbFBLAQItABQABgAIAAAAIQBa9CxbvwAAABUB&#10;AAALAAAAAAAAAAAAAAAAAB8BAABfcmVscy8ucmVsc1BLAQItABQABgAIAAAAIQAZ3anRyAAAAOMA&#10;AAAPAAAAAAAAAAAAAAAAAAcCAABkcnMvZG93bnJldi54bWxQSwUGAAAAAAMAAwC3AAAA/AIAAAAA&#10;" fillcolor="#fbfade" strokecolor="#a5a5a5 [2092]" strokeweight="1pt"/>
                <w10:wrap anchorx="margin" anchory="page"/>
                <w10:anchorlock/>
              </v:group>
            </w:pict>
          </mc:Fallback>
        </mc:AlternateContent>
      </w:r>
    </w:p>
    <w:tbl>
      <w:tblPr>
        <w:tblW w:w="0" w:type="auto"/>
        <w:tblCellMar>
          <w:top w:w="113" w:type="dxa"/>
          <w:bottom w:w="113" w:type="dxa"/>
        </w:tblCellMar>
        <w:tblLook w:val="0000" w:firstRow="0" w:lastRow="0" w:firstColumn="0" w:lastColumn="0" w:noHBand="0" w:noVBand="0"/>
      </w:tblPr>
      <w:tblGrid>
        <w:gridCol w:w="670"/>
        <w:gridCol w:w="8356"/>
      </w:tblGrid>
      <w:tr w:rsidR="008049FC" w:rsidRPr="008049FC" w14:paraId="4348E0FE" w14:textId="77777777" w:rsidTr="00321C3E">
        <w:trPr>
          <w:cantSplit/>
        </w:trPr>
        <w:tc>
          <w:tcPr>
            <w:tcW w:w="9026" w:type="dxa"/>
            <w:gridSpan w:val="2"/>
            <w:shd w:val="clear" w:color="auto" w:fill="auto"/>
          </w:tcPr>
          <w:p w14:paraId="746E3735" w14:textId="77777777" w:rsidR="008049FC" w:rsidRPr="008522AA" w:rsidRDefault="008049FC" w:rsidP="008049FC">
            <w:pPr>
              <w:keepNext/>
              <w:spacing w:before="40" w:after="40" w:line="240" w:lineRule="auto"/>
              <w:jc w:val="left"/>
              <w:outlineLvl w:val="4"/>
              <w:rPr>
                <w:rFonts w:ascii="Arial" w:eastAsia="Arial" w:hAnsi="Arial" w:cs="Arial"/>
                <w:b/>
                <w:color w:val="000000"/>
                <w:sz w:val="24"/>
                <w:szCs w:val="24"/>
              </w:rPr>
            </w:pPr>
            <w:r w:rsidRPr="008049FC">
              <w:rPr>
                <w:rFonts w:ascii="Arial" w:eastAsia="Cambria" w:hAnsi="Arial" w:cs="Arial"/>
                <w:b/>
                <w:bCs/>
                <w:color w:val="000000"/>
                <w:szCs w:val="20"/>
              </w:rPr>
              <w:br w:type="page"/>
            </w:r>
            <w:r w:rsidRPr="00BF7AD4">
              <w:rPr>
                <w:rFonts w:ascii="Arial" w:eastAsia="Arial" w:hAnsi="Arial" w:cs="Arial"/>
                <w:b/>
                <w:color w:val="000000"/>
                <w:sz w:val="24"/>
                <w:szCs w:val="24"/>
              </w:rPr>
              <w:t>Key findings</w:t>
            </w:r>
          </w:p>
        </w:tc>
      </w:tr>
      <w:tr w:rsidR="008049FC" w:rsidRPr="008049FC" w14:paraId="63B526A4" w14:textId="77777777" w:rsidTr="00321C3E">
        <w:trPr>
          <w:cantSplit/>
          <w:trHeight w:val="1316"/>
        </w:trPr>
        <w:tc>
          <w:tcPr>
            <w:tcW w:w="670" w:type="dxa"/>
            <w:shd w:val="clear" w:color="auto" w:fill="auto"/>
            <w:vAlign w:val="center"/>
          </w:tcPr>
          <w:p w14:paraId="5DEC4A1C" w14:textId="77777777" w:rsidR="008049FC" w:rsidRPr="008049FC" w:rsidRDefault="008049FC" w:rsidP="008049FC">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1</w:t>
            </w:r>
          </w:p>
        </w:tc>
        <w:tc>
          <w:tcPr>
            <w:tcW w:w="8356" w:type="dxa"/>
            <w:shd w:val="clear" w:color="auto" w:fill="auto"/>
          </w:tcPr>
          <w:p w14:paraId="4CE40C35" w14:textId="77777777"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The IAHP makes a critical contribution to the operation of PHC services and organisations funded under the IAHP are an essential part of the Australian primary care system. IAHP funding enables health services to keep their doors open, employ health staff, and keep their day-to-day clinical services running.</w:t>
            </w:r>
          </w:p>
        </w:tc>
      </w:tr>
      <w:tr w:rsidR="008049FC" w:rsidRPr="008049FC" w14:paraId="143FDDDB" w14:textId="77777777" w:rsidTr="00321C3E">
        <w:trPr>
          <w:cantSplit/>
          <w:trHeight w:val="547"/>
        </w:trPr>
        <w:tc>
          <w:tcPr>
            <w:tcW w:w="670" w:type="dxa"/>
            <w:shd w:val="clear" w:color="auto" w:fill="auto"/>
            <w:vAlign w:val="center"/>
          </w:tcPr>
          <w:p w14:paraId="3798562B" w14:textId="77777777" w:rsidR="008049FC" w:rsidRPr="008049FC" w:rsidRDefault="008049FC" w:rsidP="008049FC">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2</w:t>
            </w:r>
          </w:p>
        </w:tc>
        <w:tc>
          <w:tcPr>
            <w:tcW w:w="8356" w:type="dxa"/>
            <w:shd w:val="clear" w:color="auto" w:fill="auto"/>
          </w:tcPr>
          <w:p w14:paraId="6A2E7B5F" w14:textId="77777777"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There are different understandings about how the IAHP is intended to work with the broader PHC system, including over the scope of activities it should support and its role in strengthening primary care for Aboriginal and Torres Strait Islander people through mainstream organisations.</w:t>
            </w:r>
          </w:p>
        </w:tc>
      </w:tr>
      <w:tr w:rsidR="008049FC" w:rsidRPr="008049FC" w14:paraId="2542D8AA" w14:textId="77777777" w:rsidTr="00321C3E">
        <w:trPr>
          <w:cantSplit/>
          <w:trHeight w:val="547"/>
        </w:trPr>
        <w:tc>
          <w:tcPr>
            <w:tcW w:w="670" w:type="dxa"/>
            <w:shd w:val="clear" w:color="auto" w:fill="auto"/>
            <w:vAlign w:val="center"/>
          </w:tcPr>
          <w:p w14:paraId="712ED513" w14:textId="77777777" w:rsidR="008049FC" w:rsidRPr="008049FC" w:rsidRDefault="008049FC" w:rsidP="008049FC">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3</w:t>
            </w:r>
          </w:p>
        </w:tc>
        <w:tc>
          <w:tcPr>
            <w:tcW w:w="8356" w:type="dxa"/>
            <w:shd w:val="clear" w:color="auto" w:fill="auto"/>
          </w:tcPr>
          <w:p w14:paraId="2CB134C9" w14:textId="77777777"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In practice, IAHP funding to ACCHSs supplements other funding, making up, on average, around 35% of services’ total reported revenue. IAHP funding can leverage other funding through providing ACCHSs with the core capability needed to deliver clinical services and to employ a workforce who are able to generate other funding. However, not all services have the same ability to leverage other funding sources.</w:t>
            </w:r>
          </w:p>
        </w:tc>
      </w:tr>
      <w:tr w:rsidR="008049FC" w:rsidRPr="008049FC" w14:paraId="6DA9E08A" w14:textId="77777777" w:rsidTr="00321C3E">
        <w:trPr>
          <w:cantSplit/>
          <w:trHeight w:val="547"/>
        </w:trPr>
        <w:tc>
          <w:tcPr>
            <w:tcW w:w="670" w:type="dxa"/>
            <w:shd w:val="clear" w:color="auto" w:fill="auto"/>
            <w:vAlign w:val="center"/>
          </w:tcPr>
          <w:p w14:paraId="107EBCD7" w14:textId="77777777" w:rsidR="008049FC" w:rsidRPr="008049FC" w:rsidRDefault="008049FC" w:rsidP="008049FC">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4</w:t>
            </w:r>
          </w:p>
        </w:tc>
        <w:tc>
          <w:tcPr>
            <w:tcW w:w="8356" w:type="dxa"/>
            <w:shd w:val="clear" w:color="auto" w:fill="auto"/>
          </w:tcPr>
          <w:p w14:paraId="691F37BB" w14:textId="77777777"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While IAHP funding makes a critical contribution to service delivery, the amount of funding is insufficient to meet the demand for primary care services. IAHP funding is also stretched over a wide scope of activity and a wide range of organisations beyond ACCHSs.</w:t>
            </w:r>
          </w:p>
        </w:tc>
      </w:tr>
      <w:tr w:rsidR="008049FC" w:rsidRPr="008049FC" w14:paraId="449230F3" w14:textId="77777777" w:rsidTr="00321C3E">
        <w:trPr>
          <w:cantSplit/>
          <w:trHeight w:val="547"/>
        </w:trPr>
        <w:tc>
          <w:tcPr>
            <w:tcW w:w="670" w:type="dxa"/>
            <w:shd w:val="clear" w:color="auto" w:fill="auto"/>
            <w:vAlign w:val="center"/>
          </w:tcPr>
          <w:p w14:paraId="291805A5" w14:textId="77777777" w:rsidR="008049FC" w:rsidRPr="008049FC" w:rsidRDefault="008049FC" w:rsidP="008049FC">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5</w:t>
            </w:r>
          </w:p>
        </w:tc>
        <w:tc>
          <w:tcPr>
            <w:tcW w:w="8356" w:type="dxa"/>
            <w:shd w:val="clear" w:color="auto" w:fill="auto"/>
          </w:tcPr>
          <w:p w14:paraId="199D59FE" w14:textId="21DEE339"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 xml:space="preserve">IAHP grant making processes can be challenging for ACCHSs. There is high value placed on funding arrangements that provide for flexibility and stability, such as under the PHC </w:t>
            </w:r>
            <w:r w:rsidR="002844ED">
              <w:rPr>
                <w:rFonts w:ascii="Arial" w:eastAsia="Arial" w:hAnsi="Arial" w:cs="Times New Roman"/>
                <w:lang w:val="en-NZ"/>
              </w:rPr>
              <w:t>P</w:t>
            </w:r>
            <w:r w:rsidRPr="008049FC">
              <w:rPr>
                <w:rFonts w:ascii="Arial" w:eastAsia="Arial" w:hAnsi="Arial" w:cs="Times New Roman"/>
                <w:lang w:val="en-NZ"/>
              </w:rPr>
              <w:t>rogram. Recent and emergent grant making and commissioning processes demonstrate what can be achieved and provide promising practice to build upon. This includes enabling more flexibility in IAHP funding provisions as part of the response to COVID-19, program co-design processes, and new commissioning relationships with ACCHSs.</w:t>
            </w:r>
          </w:p>
        </w:tc>
      </w:tr>
      <w:tr w:rsidR="008049FC" w:rsidRPr="008049FC" w14:paraId="5FE6E8D8" w14:textId="77777777" w:rsidTr="00321C3E">
        <w:trPr>
          <w:cantSplit/>
          <w:trHeight w:val="547"/>
        </w:trPr>
        <w:tc>
          <w:tcPr>
            <w:tcW w:w="670" w:type="dxa"/>
            <w:shd w:val="clear" w:color="auto" w:fill="auto"/>
            <w:vAlign w:val="center"/>
          </w:tcPr>
          <w:p w14:paraId="376CC5A7" w14:textId="77777777" w:rsidR="008049FC" w:rsidRPr="008049FC" w:rsidRDefault="008049FC" w:rsidP="008049FC">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6</w:t>
            </w:r>
          </w:p>
        </w:tc>
        <w:tc>
          <w:tcPr>
            <w:tcW w:w="8356" w:type="dxa"/>
            <w:shd w:val="clear" w:color="auto" w:fill="auto"/>
          </w:tcPr>
          <w:p w14:paraId="62E7564E" w14:textId="69892E89"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 xml:space="preserve">There has been an increase in the health workforce across the evaluation sites. However, workforce shortages present significant challenges to the implementation of the IAHP, with acute shortages in some areas contributing to reduced primary care service delivery. Across the health system, the number of Aboriginal and Torres Strait Islander staff in the health workforce has increased significantly. However, retention rates for Aboriginal and Torres Strait Islander staff in clinical roles are lower than for non-Indigenous staff and some sites reported significant challenges in recruiting and retaining Aboriginal and Torres Strait Islander </w:t>
            </w:r>
            <w:r w:rsidR="003569B3">
              <w:rPr>
                <w:rFonts w:ascii="Arial" w:eastAsia="Arial" w:hAnsi="Arial" w:cs="Times New Roman"/>
                <w:lang w:val="en-NZ"/>
              </w:rPr>
              <w:t>H</w:t>
            </w:r>
            <w:r w:rsidRPr="008049FC">
              <w:rPr>
                <w:rFonts w:ascii="Arial" w:eastAsia="Arial" w:hAnsi="Arial" w:cs="Times New Roman"/>
                <w:lang w:val="en-NZ"/>
              </w:rPr>
              <w:t xml:space="preserve">ealth </w:t>
            </w:r>
            <w:r w:rsidR="003569B3">
              <w:rPr>
                <w:rFonts w:ascii="Arial" w:eastAsia="Arial" w:hAnsi="Arial" w:cs="Times New Roman"/>
                <w:lang w:val="en-NZ"/>
              </w:rPr>
              <w:t>W</w:t>
            </w:r>
            <w:r w:rsidRPr="008049FC">
              <w:rPr>
                <w:rFonts w:ascii="Arial" w:eastAsia="Arial" w:hAnsi="Arial" w:cs="Times New Roman"/>
                <w:lang w:val="en-NZ"/>
              </w:rPr>
              <w:t>orkers.</w:t>
            </w:r>
          </w:p>
        </w:tc>
      </w:tr>
      <w:tr w:rsidR="008049FC" w:rsidRPr="008049FC" w14:paraId="3921E4E3" w14:textId="77777777" w:rsidTr="00321C3E">
        <w:trPr>
          <w:cantSplit/>
          <w:trHeight w:val="547"/>
        </w:trPr>
        <w:tc>
          <w:tcPr>
            <w:tcW w:w="670" w:type="dxa"/>
            <w:shd w:val="clear" w:color="auto" w:fill="auto"/>
            <w:vAlign w:val="center"/>
          </w:tcPr>
          <w:p w14:paraId="387F7FA2" w14:textId="77777777" w:rsidR="008049FC" w:rsidRPr="008049FC" w:rsidRDefault="008049FC" w:rsidP="008049FC">
            <w:pPr>
              <w:spacing w:before="40" w:after="40" w:line="240" w:lineRule="auto"/>
              <w:jc w:val="center"/>
              <w:rPr>
                <w:rFonts w:ascii="Arial" w:eastAsia="Arial" w:hAnsi="Arial" w:cs="Times New Roman"/>
                <w:sz w:val="56"/>
                <w:szCs w:val="56"/>
                <w:lang w:val="en-NZ"/>
              </w:rPr>
            </w:pPr>
            <w:r w:rsidRPr="00723A1A">
              <w:rPr>
                <w:rFonts w:ascii="Calibri" w:eastAsia="Arial" w:hAnsi="Calibri" w:cs="Calibri"/>
                <w:b/>
                <w:sz w:val="56"/>
                <w:szCs w:val="56"/>
                <w:lang w:val="en-NZ"/>
              </w:rPr>
              <w:t>7</w:t>
            </w:r>
          </w:p>
        </w:tc>
        <w:tc>
          <w:tcPr>
            <w:tcW w:w="8356" w:type="dxa"/>
            <w:shd w:val="clear" w:color="auto" w:fill="auto"/>
          </w:tcPr>
          <w:p w14:paraId="0E50498A" w14:textId="47F40A2D"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lang w:val="en-NZ"/>
              </w:rPr>
              <w:t xml:space="preserve">There is an absence of formal system-level governance processes sitting over the IAHP and some concern that decision-making processes are not informed by a diverse range of community perspectives. </w:t>
            </w:r>
          </w:p>
        </w:tc>
      </w:tr>
      <w:tr w:rsidR="008049FC" w:rsidRPr="008049FC" w14:paraId="06B967FD" w14:textId="77777777" w:rsidTr="00321C3E">
        <w:trPr>
          <w:cantSplit/>
          <w:trHeight w:val="547"/>
        </w:trPr>
        <w:tc>
          <w:tcPr>
            <w:tcW w:w="670" w:type="dxa"/>
            <w:shd w:val="clear" w:color="auto" w:fill="auto"/>
            <w:vAlign w:val="center"/>
          </w:tcPr>
          <w:p w14:paraId="6456A351" w14:textId="3BF568BC" w:rsidR="008049FC" w:rsidRPr="008049FC" w:rsidRDefault="008049FC" w:rsidP="008049FC">
            <w:pPr>
              <w:spacing w:before="40" w:after="40" w:line="240" w:lineRule="auto"/>
              <w:jc w:val="center"/>
              <w:rPr>
                <w:rFonts w:ascii="Arial" w:eastAsia="Arial" w:hAnsi="Arial" w:cs="Times New Roman"/>
                <w:sz w:val="56"/>
                <w:szCs w:val="56"/>
                <w:lang w:val="en-NZ"/>
              </w:rPr>
            </w:pPr>
            <w:r w:rsidRPr="00323F90">
              <w:rPr>
                <w:rFonts w:ascii="Calibri" w:eastAsia="Arial" w:hAnsi="Calibri" w:cs="Calibri"/>
                <w:b/>
                <w:sz w:val="56"/>
                <w:szCs w:val="56"/>
                <w:lang w:val="en-NZ"/>
              </w:rPr>
              <w:lastRenderedPageBreak/>
              <w:t>8</w:t>
            </w:r>
          </w:p>
        </w:tc>
        <w:tc>
          <w:tcPr>
            <w:tcW w:w="8356" w:type="dxa"/>
            <w:shd w:val="clear" w:color="auto" w:fill="auto"/>
          </w:tcPr>
          <w:p w14:paraId="6AC445DF" w14:textId="672A8E5D" w:rsidR="008049FC" w:rsidRPr="008049FC" w:rsidRDefault="008049FC" w:rsidP="008049FC">
            <w:pPr>
              <w:spacing w:before="40" w:after="40" w:line="240" w:lineRule="auto"/>
              <w:jc w:val="left"/>
              <w:rPr>
                <w:rFonts w:ascii="Arial" w:eastAsia="Arial" w:hAnsi="Arial" w:cs="Times New Roman"/>
                <w:lang w:val="en-NZ"/>
              </w:rPr>
            </w:pPr>
            <w:r w:rsidRPr="008049FC">
              <w:rPr>
                <w:rFonts w:ascii="Arial" w:eastAsia="Arial" w:hAnsi="Arial" w:cs="Times New Roman"/>
                <w:szCs w:val="21"/>
                <w:lang w:val="en-NZ"/>
              </w:rPr>
              <w:t xml:space="preserve">There have been improvements to IAHP reporting systems and processes. However, reporting remains a significant burden for ACCHSs who have multiple grants and associated reporting requirements, across multiple funding organisations. </w:t>
            </w:r>
            <w:r w:rsidR="006065B8">
              <w:rPr>
                <w:rFonts w:ascii="Arial" w:eastAsia="Arial" w:hAnsi="Arial" w:cs="Times New Roman"/>
                <w:szCs w:val="21"/>
                <w:lang w:val="en-NZ"/>
              </w:rPr>
              <w:t xml:space="preserve">The nKPIs </w:t>
            </w:r>
            <w:r w:rsidR="00AA26FB">
              <w:rPr>
                <w:rFonts w:ascii="Arial" w:eastAsia="Arial" w:hAnsi="Arial" w:cs="Times New Roman"/>
                <w:szCs w:val="21"/>
                <w:lang w:val="en-NZ"/>
              </w:rPr>
              <w:t xml:space="preserve">do not capture many things that </w:t>
            </w:r>
            <w:r w:rsidRPr="008049FC">
              <w:rPr>
                <w:rFonts w:ascii="Arial" w:eastAsia="Arial" w:hAnsi="Arial" w:cs="Times New Roman"/>
                <w:szCs w:val="21"/>
                <w:lang w:val="en-NZ"/>
              </w:rPr>
              <w:t>ACCHSs</w:t>
            </w:r>
            <w:r w:rsidR="00AA26FB">
              <w:rPr>
                <w:rFonts w:ascii="Arial" w:eastAsia="Arial" w:hAnsi="Arial" w:cs="Times New Roman"/>
                <w:szCs w:val="21"/>
                <w:lang w:val="en-NZ"/>
              </w:rPr>
              <w:t xml:space="preserve"> are doing </w:t>
            </w:r>
            <w:r w:rsidR="003A565A">
              <w:rPr>
                <w:rFonts w:ascii="Arial" w:eastAsia="Arial" w:hAnsi="Arial" w:cs="Times New Roman"/>
                <w:szCs w:val="21"/>
                <w:lang w:val="en-NZ"/>
              </w:rPr>
              <w:t xml:space="preserve">that they consider to be </w:t>
            </w:r>
            <w:r w:rsidRPr="008049FC">
              <w:rPr>
                <w:rFonts w:ascii="Arial" w:eastAsia="Arial" w:hAnsi="Arial" w:cs="Times New Roman"/>
                <w:szCs w:val="21"/>
                <w:lang w:val="en-NZ"/>
              </w:rPr>
              <w:t xml:space="preserve">relevant </w:t>
            </w:r>
            <w:r w:rsidR="003A565A">
              <w:rPr>
                <w:rFonts w:ascii="Arial" w:eastAsia="Arial" w:hAnsi="Arial" w:cs="Times New Roman"/>
                <w:szCs w:val="21"/>
                <w:lang w:val="en-NZ"/>
              </w:rPr>
              <w:t>and</w:t>
            </w:r>
            <w:r w:rsidRPr="008049FC">
              <w:rPr>
                <w:rFonts w:ascii="Arial" w:eastAsia="Arial" w:hAnsi="Arial" w:cs="Times New Roman"/>
                <w:szCs w:val="21"/>
                <w:lang w:val="en-NZ"/>
              </w:rPr>
              <w:t xml:space="preserve"> meaningful. ACCHS staff reflected that they infrequently used this data and information to inform health service decision-making.</w:t>
            </w:r>
          </w:p>
        </w:tc>
      </w:tr>
    </w:tbl>
    <w:p w14:paraId="616AE9B4" w14:textId="50BFC37F" w:rsidR="00CF67D1" w:rsidRDefault="00321C3E" w:rsidP="008049FC">
      <w:r>
        <w:rPr>
          <w:noProof/>
        </w:rPr>
        <mc:AlternateContent>
          <mc:Choice Requires="wps">
            <w:drawing>
              <wp:anchor distT="0" distB="0" distL="114300" distR="114300" simplePos="0" relativeHeight="251658271" behindDoc="1" locked="0" layoutInCell="1" allowOverlap="1" wp14:anchorId="06D3A9A5" wp14:editId="0C93D371">
                <wp:simplePos x="0" y="0"/>
                <wp:positionH relativeFrom="margin">
                  <wp:posOffset>-129806</wp:posOffset>
                </wp:positionH>
                <wp:positionV relativeFrom="paragraph">
                  <wp:posOffset>-1304290</wp:posOffset>
                </wp:positionV>
                <wp:extent cx="6041508" cy="1310020"/>
                <wp:effectExtent l="19050" t="38100" r="35560" b="61595"/>
                <wp:wrapNone/>
                <wp:docPr id="354281733" name="Freeform: Shape 3542817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41508" cy="1310020"/>
                        </a:xfrm>
                        <a:custGeom>
                          <a:avLst/>
                          <a:gdLst>
                            <a:gd name="connsiteX0" fmla="*/ 0 w 6041508"/>
                            <a:gd name="connsiteY0" fmla="*/ 0 h 1310020"/>
                            <a:gd name="connsiteX1" fmla="*/ 792109 w 6041508"/>
                            <a:gd name="connsiteY1" fmla="*/ 0 h 1310020"/>
                            <a:gd name="connsiteX2" fmla="*/ 1523803 w 6041508"/>
                            <a:gd name="connsiteY2" fmla="*/ 0 h 1310020"/>
                            <a:gd name="connsiteX3" fmla="*/ 2195081 w 6041508"/>
                            <a:gd name="connsiteY3" fmla="*/ 0 h 1310020"/>
                            <a:gd name="connsiteX4" fmla="*/ 2866360 w 6041508"/>
                            <a:gd name="connsiteY4" fmla="*/ 0 h 1310020"/>
                            <a:gd name="connsiteX5" fmla="*/ 3658469 w 6041508"/>
                            <a:gd name="connsiteY5" fmla="*/ 0 h 1310020"/>
                            <a:gd name="connsiteX6" fmla="*/ 4390162 w 6041508"/>
                            <a:gd name="connsiteY6" fmla="*/ 0 h 1310020"/>
                            <a:gd name="connsiteX7" fmla="*/ 4880196 w 6041508"/>
                            <a:gd name="connsiteY7" fmla="*/ 0 h 1310020"/>
                            <a:gd name="connsiteX8" fmla="*/ 6041508 w 6041508"/>
                            <a:gd name="connsiteY8" fmla="*/ 0 h 1310020"/>
                            <a:gd name="connsiteX9" fmla="*/ 6041508 w 6041508"/>
                            <a:gd name="connsiteY9" fmla="*/ 681210 h 1310020"/>
                            <a:gd name="connsiteX10" fmla="*/ 6041508 w 6041508"/>
                            <a:gd name="connsiteY10" fmla="*/ 1310020 h 1310020"/>
                            <a:gd name="connsiteX11" fmla="*/ 5491059 w 6041508"/>
                            <a:gd name="connsiteY11" fmla="*/ 1310020 h 1310020"/>
                            <a:gd name="connsiteX12" fmla="*/ 4698951 w 6041508"/>
                            <a:gd name="connsiteY12" fmla="*/ 1310020 h 1310020"/>
                            <a:gd name="connsiteX13" fmla="*/ 4088087 w 6041508"/>
                            <a:gd name="connsiteY13" fmla="*/ 1310020 h 1310020"/>
                            <a:gd name="connsiteX14" fmla="*/ 3295978 w 6041508"/>
                            <a:gd name="connsiteY14" fmla="*/ 1310020 h 1310020"/>
                            <a:gd name="connsiteX15" fmla="*/ 2745530 w 6041508"/>
                            <a:gd name="connsiteY15" fmla="*/ 1310020 h 1310020"/>
                            <a:gd name="connsiteX16" fmla="*/ 2255496 w 6041508"/>
                            <a:gd name="connsiteY16" fmla="*/ 1310020 h 1310020"/>
                            <a:gd name="connsiteX17" fmla="*/ 1765463 w 6041508"/>
                            <a:gd name="connsiteY17" fmla="*/ 1310020 h 1310020"/>
                            <a:gd name="connsiteX18" fmla="*/ 1033769 w 6041508"/>
                            <a:gd name="connsiteY18" fmla="*/ 1310020 h 1310020"/>
                            <a:gd name="connsiteX19" fmla="*/ 0 w 6041508"/>
                            <a:gd name="connsiteY19" fmla="*/ 1310020 h 1310020"/>
                            <a:gd name="connsiteX20" fmla="*/ 0 w 6041508"/>
                            <a:gd name="connsiteY20" fmla="*/ 655010 h 1310020"/>
                            <a:gd name="connsiteX21" fmla="*/ 0 w 6041508"/>
                            <a:gd name="connsiteY21" fmla="*/ 0 h 13100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6041508" h="1310020" fill="none" extrusionOk="0">
                              <a:moveTo>
                                <a:pt x="0" y="0"/>
                              </a:moveTo>
                              <a:cubicBezTo>
                                <a:pt x="245996" y="-36881"/>
                                <a:pt x="441454" y="28693"/>
                                <a:pt x="792109" y="0"/>
                              </a:cubicBezTo>
                              <a:cubicBezTo>
                                <a:pt x="1142764" y="-28693"/>
                                <a:pt x="1161286" y="-32505"/>
                                <a:pt x="1523803" y="0"/>
                              </a:cubicBezTo>
                              <a:cubicBezTo>
                                <a:pt x="1886320" y="32505"/>
                                <a:pt x="1893900" y="26111"/>
                                <a:pt x="2195081" y="0"/>
                              </a:cubicBezTo>
                              <a:cubicBezTo>
                                <a:pt x="2496262" y="-26111"/>
                                <a:pt x="2653588" y="6855"/>
                                <a:pt x="2866360" y="0"/>
                              </a:cubicBezTo>
                              <a:cubicBezTo>
                                <a:pt x="3079132" y="-6855"/>
                                <a:pt x="3473868" y="214"/>
                                <a:pt x="3658469" y="0"/>
                              </a:cubicBezTo>
                              <a:cubicBezTo>
                                <a:pt x="3843070" y="-214"/>
                                <a:pt x="4034891" y="-12665"/>
                                <a:pt x="4390162" y="0"/>
                              </a:cubicBezTo>
                              <a:cubicBezTo>
                                <a:pt x="4745433" y="12665"/>
                                <a:pt x="4646812" y="3108"/>
                                <a:pt x="4880196" y="0"/>
                              </a:cubicBezTo>
                              <a:cubicBezTo>
                                <a:pt x="5113580" y="-3108"/>
                                <a:pt x="5781105" y="-2892"/>
                                <a:pt x="6041508" y="0"/>
                              </a:cubicBezTo>
                              <a:cubicBezTo>
                                <a:pt x="6035960" y="308368"/>
                                <a:pt x="6047995" y="458402"/>
                                <a:pt x="6041508" y="681210"/>
                              </a:cubicBezTo>
                              <a:cubicBezTo>
                                <a:pt x="6035022" y="904018"/>
                                <a:pt x="6026028" y="1029955"/>
                                <a:pt x="6041508" y="1310020"/>
                              </a:cubicBezTo>
                              <a:cubicBezTo>
                                <a:pt x="5882059" y="1307385"/>
                                <a:pt x="5667268" y="1298685"/>
                                <a:pt x="5491059" y="1310020"/>
                              </a:cubicBezTo>
                              <a:cubicBezTo>
                                <a:pt x="5314850" y="1321355"/>
                                <a:pt x="4904527" y="1305849"/>
                                <a:pt x="4698951" y="1310020"/>
                              </a:cubicBezTo>
                              <a:cubicBezTo>
                                <a:pt x="4493375" y="1314191"/>
                                <a:pt x="4314499" y="1314339"/>
                                <a:pt x="4088087" y="1310020"/>
                              </a:cubicBezTo>
                              <a:cubicBezTo>
                                <a:pt x="3861675" y="1305701"/>
                                <a:pt x="3510400" y="1274955"/>
                                <a:pt x="3295978" y="1310020"/>
                              </a:cubicBezTo>
                              <a:cubicBezTo>
                                <a:pt x="3081556" y="1345085"/>
                                <a:pt x="2913069" y="1330198"/>
                                <a:pt x="2745530" y="1310020"/>
                              </a:cubicBezTo>
                              <a:cubicBezTo>
                                <a:pt x="2577991" y="1289842"/>
                                <a:pt x="2435612" y="1290063"/>
                                <a:pt x="2255496" y="1310020"/>
                              </a:cubicBezTo>
                              <a:cubicBezTo>
                                <a:pt x="2075380" y="1329977"/>
                                <a:pt x="1864371" y="1320788"/>
                                <a:pt x="1765463" y="1310020"/>
                              </a:cubicBezTo>
                              <a:cubicBezTo>
                                <a:pt x="1666555" y="1299252"/>
                                <a:pt x="1344856" y="1297322"/>
                                <a:pt x="1033769" y="1310020"/>
                              </a:cubicBezTo>
                              <a:cubicBezTo>
                                <a:pt x="722682" y="1322718"/>
                                <a:pt x="342149" y="1266926"/>
                                <a:pt x="0" y="1310020"/>
                              </a:cubicBezTo>
                              <a:cubicBezTo>
                                <a:pt x="17680" y="1167957"/>
                                <a:pt x="-12126" y="791772"/>
                                <a:pt x="0" y="655010"/>
                              </a:cubicBezTo>
                              <a:cubicBezTo>
                                <a:pt x="12126" y="518248"/>
                                <a:pt x="-19144" y="195288"/>
                                <a:pt x="0" y="0"/>
                              </a:cubicBezTo>
                              <a:close/>
                            </a:path>
                            <a:path w="6041508" h="1310020" stroke="0" extrusionOk="0">
                              <a:moveTo>
                                <a:pt x="0" y="0"/>
                              </a:moveTo>
                              <a:cubicBezTo>
                                <a:pt x="235376" y="-2014"/>
                                <a:pt x="463878" y="-6001"/>
                                <a:pt x="610864" y="0"/>
                              </a:cubicBezTo>
                              <a:cubicBezTo>
                                <a:pt x="757850" y="6001"/>
                                <a:pt x="998109" y="-2153"/>
                                <a:pt x="1100897" y="0"/>
                              </a:cubicBezTo>
                              <a:cubicBezTo>
                                <a:pt x="1203685" y="2153"/>
                                <a:pt x="1613690" y="20852"/>
                                <a:pt x="1893006" y="0"/>
                              </a:cubicBezTo>
                              <a:cubicBezTo>
                                <a:pt x="2172322" y="-20852"/>
                                <a:pt x="2223382" y="30254"/>
                                <a:pt x="2503869" y="0"/>
                              </a:cubicBezTo>
                              <a:cubicBezTo>
                                <a:pt x="2784356" y="-30254"/>
                                <a:pt x="2877726" y="14072"/>
                                <a:pt x="3114733" y="0"/>
                              </a:cubicBezTo>
                              <a:cubicBezTo>
                                <a:pt x="3351740" y="-14072"/>
                                <a:pt x="3638167" y="39143"/>
                                <a:pt x="3906842" y="0"/>
                              </a:cubicBezTo>
                              <a:cubicBezTo>
                                <a:pt x="4175517" y="-39143"/>
                                <a:pt x="4326473" y="-22823"/>
                                <a:pt x="4457290" y="0"/>
                              </a:cubicBezTo>
                              <a:cubicBezTo>
                                <a:pt x="4588107" y="22823"/>
                                <a:pt x="4971774" y="9503"/>
                                <a:pt x="5249399" y="0"/>
                              </a:cubicBezTo>
                              <a:cubicBezTo>
                                <a:pt x="5527024" y="-9503"/>
                                <a:pt x="5650835" y="-39487"/>
                                <a:pt x="6041508" y="0"/>
                              </a:cubicBezTo>
                              <a:cubicBezTo>
                                <a:pt x="6029261" y="194278"/>
                                <a:pt x="6066167" y="359228"/>
                                <a:pt x="6041508" y="655010"/>
                              </a:cubicBezTo>
                              <a:cubicBezTo>
                                <a:pt x="6016850" y="950792"/>
                                <a:pt x="6061099" y="1143121"/>
                                <a:pt x="6041508" y="1310020"/>
                              </a:cubicBezTo>
                              <a:cubicBezTo>
                                <a:pt x="5739321" y="1324281"/>
                                <a:pt x="5518626" y="1287464"/>
                                <a:pt x="5309814" y="1310020"/>
                              </a:cubicBezTo>
                              <a:cubicBezTo>
                                <a:pt x="5101002" y="1332576"/>
                                <a:pt x="4730881" y="1323925"/>
                                <a:pt x="4517705" y="1310020"/>
                              </a:cubicBezTo>
                              <a:cubicBezTo>
                                <a:pt x="4304529" y="1296115"/>
                                <a:pt x="3902895" y="1309350"/>
                                <a:pt x="3725597" y="1310020"/>
                              </a:cubicBezTo>
                              <a:cubicBezTo>
                                <a:pt x="3548299" y="1310690"/>
                                <a:pt x="3309785" y="1305080"/>
                                <a:pt x="3175148" y="1310020"/>
                              </a:cubicBezTo>
                              <a:cubicBezTo>
                                <a:pt x="3040511" y="1314960"/>
                                <a:pt x="2713674" y="1318051"/>
                                <a:pt x="2503869" y="1310020"/>
                              </a:cubicBezTo>
                              <a:cubicBezTo>
                                <a:pt x="2294064" y="1301989"/>
                                <a:pt x="2051965" y="1313260"/>
                                <a:pt x="1711761" y="1310020"/>
                              </a:cubicBezTo>
                              <a:cubicBezTo>
                                <a:pt x="1371557" y="1306780"/>
                                <a:pt x="1298688" y="1329052"/>
                                <a:pt x="1040482" y="1310020"/>
                              </a:cubicBezTo>
                              <a:cubicBezTo>
                                <a:pt x="782276" y="1290988"/>
                                <a:pt x="310627" y="1263244"/>
                                <a:pt x="0" y="1310020"/>
                              </a:cubicBezTo>
                              <a:cubicBezTo>
                                <a:pt x="-29219" y="1000449"/>
                                <a:pt x="7264" y="887818"/>
                                <a:pt x="0" y="681210"/>
                              </a:cubicBezTo>
                              <a:cubicBezTo>
                                <a:pt x="-7264" y="474602"/>
                                <a:pt x="-17607" y="212506"/>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E02F4" id="Freeform: Shape 354281733" o:spid="_x0000_s1026" alt="&quot;&quot;" style="position:absolute;margin-left:-10.2pt;margin-top:-102.7pt;width:475.7pt;height:103.15pt;z-index:-2516582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AX+AkAAC0oAAAOAAAAZHJzL2Uyb0RvYy54bWysWltv28gVfi/Q/0DosYDiuV+MOIs0ixQF&#10;0k3QpNj2kaYoW1iJVEn6kv31/eZCaUZyKtLYF5uj4TnfnDPnOpy3Pz3vtsVj3fWbtrlZ0DdkUdRN&#10;1a42zd3N4l/fPi7NouiHslmV27apbxbf637x07s//+nt0/66Zu19u13VXQEmTX/9tL9Z3A/D/vrq&#10;qq/u613Zv2n3dYPJddvtygHD7u5q1ZVP4L7bXjFC1NVT2632XVvVfY9ffw6Ti3ee/3pdV8Pn9bqv&#10;h2J7s8DaBv+3839v3d+rd2/L67uu3N9vqriM8hWr2JWbBqAHVj+XQ1k8dJszVrtN1bV9ux7eVO3u&#10;ql2vN1XtZYA0lJxI8/W+3NdeFiin3x/U1P9xbKtfHr/uv3RQw9O+v+7x6KR4Xnc79x/rK569sr4f&#10;lFU/D0WFHxURVBJsb4U5yikhzKvz6khePfTD3+rWsyofP/VD0PYKT15Xq6IpdzCKqm2afjPU/8YO&#10;rXdbbMBfrgpSPBUjRqQ7ef0/+ev3RbIK7MQZd5pw15ZRYi9DpDSkuAjBEggqGTeEX8ZIiSZg8ASD&#10;UYs9oJcxUqIJGCLFMEpxNWE7UqIJGDLB4EoaoSbsR0o0AUMlGIJbQhW7rKuUaAKGTjGMIdSqyxgp&#10;0QQMuNnBMaJTXMZIiSZg2NdgZESGwqkuOwlN/XayNBlV9PQJWKkDS2EpkROsjKZU07FSR4Y1Gysn&#10;eCZNqaZjpQ4tCMzO6MsWQVOq6VipY3NmpdVmAlZKNR0rdXCmhZR8QuShKdV0rNTRGZMwjwmeS1Oq&#10;6Vipw1OtpFATMgPNqEKOnWDzqeNTwrmeEllpRjUZKw0AU3YqfX+y9lBZHOPfBJTsfSUlSqvLamOp&#10;008Byd/PagMUQXdjmVPej5VP9dzE0gdPRelKZOKrxn3buzorrYNQVI1D1DkogMASVK5uukCMZaXE&#10;dBYxglFKzGYRI7qkxHwWMcJFSixmEcP/U2I5ixgOnRKrWcTw0JRYzyKGy6XEZhYxPCkltrOIXTZN&#10;qTGeZWOnRjbPylzOy9Dn2ZlLYxn5PEujJ6aG8SzZT4wNyWcW+Ym5IZ/MIj8xOKSIWeQnJoeoP4v8&#10;xOjoPKtzcTndOIznoLsInZFnVhcCZAywHTp/1/Nvfc8/LAr0/N2iQM9/6yDL6305uLg8PhZPSUd7&#10;f2xoi/VmCzYNDi9wsvE8dA/upOPzb2Pk3rWP9bfWcxlOWmWs5zhbPdxuqr/Wv6fvMiGtDdaw5MoY&#10;Lw1W5hkJQYUMhsqMst7Cx7nQvHpdHBSY8X8JjVLBtAocl2csKVUUP3qeS84k8UY9AsZWdi6iMYrH&#10;LT9naSz6sWAPTFFU3GFbvPCxrZ2Jx1C/MRVCy/Kcp5JcmmD+yshMPkjuWtyZeJxoS3nEO2XJheZG&#10;BTgWIsyozdjszkUzAoBhjcsTjoJwYWzwjiVlSmXSxcZ3Jp5A8S14iLTnLJVQ6PY8S5SKPoiM4onQ&#10;A8+Ek5Rie6J4pyylNhSdm2cJ27U+XYx44yGRCw3T3UERLm3cck4M/C81QPDU1gZAgaMJ8kNEp4Zj&#10;8rzohQ6WsKA4SwQJ8fcoClOEBaOhhGEF2UamksbaeYyfF4Fh+gy9r1chhSFxk7GWSmkWzZUyC8vN&#10;p0PnHKnTs7481OSjEMkkp8LIsLNwF2xzxlpADZKFrIaFQdk+p4wqiX30q5CFsGh+wi5CX4LCRZIo&#10;I/CTsKNKKIw9Rw5d9auQ4fpUHZCJ1CRD5pJi76NK0OWe7HPssV+HjONAKUMgp1zgdDDTNkPEImqU&#10;meOwKrP72HG/CplJDZ8JQQi5xBqROQ0TXCLHBNYMoV9lOS32369DJlriqDXSwm20L4pGE6JGCa7j&#10;wpCQNLJAYgaxG38VMlWItbBnF3vgNpbJTGZsAEw/bgazmsPzU+TQm78KWTO4a9Qm2Oo8kHCBDBF3&#10;GenAMl9kjgoZNTXPj6GnUcewbSszHSPrIEl4SZAUtc7kDHihD58csI4MJTVMZFu2hCeLUMrgAJzl&#10;+xnQfpAJtm1fYwdQm7kC8GL11w9d+xu+UIDnH138cYlzGa+wJT79+BZk3B+cDRkdssBSkTx0KGTb&#10;WMX9QMQsFYQQrJFAYwQ+5WetwYeQuA4qM59EziXGhtA8HYwygmwafIKdclSUKxt2iCE0ZWZCURIi&#10;LPi1TIdjVDPnV84FockTnowxzqOfcMJQUSf+hzIXgToIPwNQoxKLTr0852k0rD+6vCC5I3AU4TrW&#10;VNMBOdKFFkFpS3rGE8YCf/Tyc7hFtoMosZWLw/NqI0G1BGRQ6RlPwZmCFFHhzLAMUQipEd3nIqI8&#10;oSQgsjOWViOiBHfH564MTqLo5zGHT9eoRMFBWOyFzlgqJE0e7HfJrTBZoEtrsOmAqOoQg2MKsmjE&#10;snCmiHLlgtcZqlIoILXSFHFmDFX44DU6PsRE35gzRjAZ6x8YDiJuPh0/8LrcFs6D3bRrs7MQk49i&#10;zae5RannJULNJ1je3MK6DFq1MM2MFohoiV/izB9RKcb3ucgUh70o131G5mg7EWQT1jBclHWHhXFk&#10;7GwaZq9jozFXZrRnKGTHpGvR02as4YooisZilFj0ASky1/gAEWPtXGQuhUHxEWWmqO9y1lAn4n+c&#10;JrDufBrejgr9QH38jp/vbD4K+wyRCTq3kRYNeMYaZQlX0XMhlMG7qcxp/J0rM2NWkJgIUdKijs2K&#10;d/Q6+A47ygwTzBdGNUU5c1h3cnchlzIfBZkpakmJ6idYGFE6V2fonkZ1IhSeJDloDLs1amwWsjYo&#10;9EavsfCRLE7AUdTYRzEcvKBASgw/ROS5Wl4ibOGMz4tKCEG7lPJEngtOalCu5AVogJvZHC8PDHH4&#10;gJCZYi2xX2OCoDCczKv/b7o5Lfli7ecP/3wwO15S6dvtZvURJ36uMPR3kOoP2654LHEEeHvnbRcU&#10;2Vtb/0km++kFQsdv+7D7R7sKzJBi0P6FaHp43cfWhBOgHPer480c/zR839aeX/PPel1sVvhwxPxX&#10;pAOjgFFWVd0MNEzdl6s6/OyQX4beOoaOszvzPPCODNyFrKMyRt5Bgvi+I639nasDcfi89YOFBeID&#10;hUdum+FAvNs0bfeSZFtIFZHD+6OSgmqclm7b1fcvXdG14cZXv68+brp++FT2w5eyww0jmAyurQ2f&#10;8We9bXH6i4Nc/7Qo7tvu95d+d+/j5hVmF8UTrozdLPr/PpRdvSi2f29wJ8v1JGA7+IErgzDo0pnb&#10;dKZ52H1oYVcIQlidf3TvD9vxcd21u19xu+29Q8VU2VTAxmfBoRsHHwaMMYX7cVX9/r1/xr0ytDaf&#10;mq/7yjF3Wt1D8m/Pv5bdvnCPN4sBzcwv7Xi9rLweL2c51zi86yib9v3D0K437uaWt8Og1zjAnTQ8&#10;ZZfe0rF/63jL793/AAAA//8DAFBLAwQUAAYACAAAACEA7ko1dd4AAAAJAQAADwAAAGRycy9kb3du&#10;cmV2LnhtbEyPzU7DMBCE70i8g7VIXFDrNPyohDgVAvUEKlB64OjGSxJhryPbaQJPz8IFbjPa0ew3&#10;5WpyVhwwxM6TgsU8A4FUe9NRo2D3up4tQcSkyWjrCRV8YoRVdXxU6sL4kV7wsE2N4BKKhVbQptQX&#10;Usa6Rafj3PdIfHv3wenENjTSBD1yubMyz7Ir6XRH/KHVPd61WH9sB6dgHe3b42j9GM7SZrd8fvh6&#10;yod7pU5PptsbEAmn9BeGH3xGh4qZ9n4gE4VVMMuzC47+iktWHLk+X/C8PQuQVSn/L6i+AQAA//8D&#10;AFBLAQItABQABgAIAAAAIQC2gziS/gAAAOEBAAATAAAAAAAAAAAAAAAAAAAAAABbQ29udGVudF9U&#10;eXBlc10ueG1sUEsBAi0AFAAGAAgAAAAhADj9If/WAAAAlAEAAAsAAAAAAAAAAAAAAAAALwEAAF9y&#10;ZWxzLy5yZWxzUEsBAi0AFAAGAAgAAAAhAFpBIBf4CQAALSgAAA4AAAAAAAAAAAAAAAAALgIAAGRy&#10;cy9lMm9Eb2MueG1sUEsBAi0AFAAGAAgAAAAhAO5KNXXeAAAACQEAAA8AAAAAAAAAAAAAAAAAUgwA&#10;AGRycy9kb3ducmV2LnhtbFBLBQYAAAAABAAEAPMAAABdDQAAAAA=&#10;" fillcolor="white [3212]" strokecolor="#a5a5a5 [2092]" strokeweight="1pt">
                <w10:wrap anchorx="margin"/>
              </v:rect>
            </w:pict>
          </mc:Fallback>
        </mc:AlternateContent>
      </w:r>
    </w:p>
    <w:p w14:paraId="12284192" w14:textId="7D8162B2" w:rsidR="00CF67D1" w:rsidRDefault="00CF67D1">
      <w:pPr>
        <w:jc w:val="left"/>
      </w:pPr>
      <w:r>
        <w:br w:type="page"/>
      </w:r>
    </w:p>
    <w:p w14:paraId="1DB1D5AB" w14:textId="11629736" w:rsidR="00A41885" w:rsidRDefault="00202A27" w:rsidP="0035030F">
      <w:pPr>
        <w:pStyle w:val="Heading2"/>
      </w:pPr>
      <w:bookmarkStart w:id="204" w:name="_Toc137208927"/>
      <w:r>
        <w:lastRenderedPageBreak/>
        <w:t>Overview</w:t>
      </w:r>
      <w:bookmarkEnd w:id="204"/>
    </w:p>
    <w:p w14:paraId="1B6E47E8" w14:textId="5F2FBA53" w:rsidR="00574048" w:rsidRDefault="00AC039F" w:rsidP="00574048">
      <w:r w:rsidRPr="00EB55EC">
        <w:t>This section</w:t>
      </w:r>
      <w:r w:rsidR="00756A1F">
        <w:t xml:space="preserve"> focuses on KEQ2</w:t>
      </w:r>
      <w:r w:rsidR="00CC29E2">
        <w:t xml:space="preserve"> and</w:t>
      </w:r>
      <w:r w:rsidRPr="00EB55EC">
        <w:t xml:space="preserve"> locates the IAHP within the broader </w:t>
      </w:r>
      <w:r w:rsidR="00CC29E2">
        <w:t>PHC</w:t>
      </w:r>
      <w:r w:rsidRPr="00EB55EC">
        <w:t xml:space="preserve"> system.</w:t>
      </w:r>
      <w:r w:rsidR="00574048">
        <w:t xml:space="preserve"> </w:t>
      </w:r>
      <w:r w:rsidR="00574048" w:rsidRPr="001D7A4A">
        <w:t>In answering KEQ2</w:t>
      </w:r>
      <w:r w:rsidR="00574048">
        <w:t xml:space="preserve"> (</w:t>
      </w:r>
      <w:r w:rsidR="00574048" w:rsidRPr="00445F78">
        <w:rPr>
          <w:i/>
          <w:iCs/>
        </w:rPr>
        <w:t>’what difference is the IAHP making to the PHC system?’</w:t>
      </w:r>
      <w:r w:rsidR="00574048">
        <w:t>)</w:t>
      </w:r>
      <w:r w:rsidR="00574048" w:rsidRPr="001D7A4A">
        <w:t xml:space="preserve">, the evaluation was guided by the sub-questions under this </w:t>
      </w:r>
      <w:r w:rsidR="00247F7A">
        <w:t>question</w:t>
      </w:r>
      <w:r w:rsidR="00574048" w:rsidRPr="001D7A4A">
        <w:t xml:space="preserve">. These sub-questions indicate the dimensions of the PHC system of </w:t>
      </w:r>
      <w:r w:rsidR="00574048">
        <w:t xml:space="preserve">specific focus for </w:t>
      </w:r>
      <w:r w:rsidR="00574048" w:rsidRPr="001D7A4A">
        <w:t xml:space="preserve">the evaluation, including funding, service delivery, governance, knowledge and information, and workforce. The sub-questions also indicate the direction and type of </w:t>
      </w:r>
      <w:r w:rsidR="00574048" w:rsidRPr="001D7A4A">
        <w:rPr>
          <w:i/>
          <w:iCs/>
        </w:rPr>
        <w:t>difference</w:t>
      </w:r>
      <w:r w:rsidR="00574048" w:rsidRPr="001D7A4A">
        <w:t xml:space="preserve"> of interest to the evaluation. For example, there are questions about the contribution of the IAHP to the system and questions about how the system enables the implementation of the IAHP, therefore covering change in both/dual direction(s). Many of the questions also include words such as </w:t>
      </w:r>
      <w:r w:rsidR="00574048" w:rsidRPr="001D7A4A">
        <w:rPr>
          <w:i/>
          <w:iCs/>
        </w:rPr>
        <w:t>enabling, contributing, informing, supporting, working with,</w:t>
      </w:r>
      <w:r w:rsidR="00574048" w:rsidRPr="001D7A4A">
        <w:t xml:space="preserve"> </w:t>
      </w:r>
      <w:r w:rsidR="00574048" w:rsidRPr="001D7A4A">
        <w:rPr>
          <w:i/>
          <w:iCs/>
        </w:rPr>
        <w:t xml:space="preserve">interacting </w:t>
      </w:r>
      <w:r w:rsidR="00574048" w:rsidRPr="001D7A4A">
        <w:t>and</w:t>
      </w:r>
      <w:r w:rsidR="00574048" w:rsidRPr="001D7A4A">
        <w:rPr>
          <w:i/>
          <w:iCs/>
        </w:rPr>
        <w:t xml:space="preserve"> supplementing</w:t>
      </w:r>
      <w:r w:rsidR="00574048" w:rsidRPr="001D7A4A">
        <w:t xml:space="preserve"> which have guided the type of </w:t>
      </w:r>
      <w:r w:rsidR="00574048" w:rsidRPr="001D7A4A">
        <w:rPr>
          <w:i/>
          <w:iCs/>
        </w:rPr>
        <w:t>difference</w:t>
      </w:r>
      <w:r w:rsidR="00574048" w:rsidRPr="001D7A4A">
        <w:t xml:space="preserve"> the IAHP is expected to make.</w:t>
      </w:r>
      <w:r w:rsidR="00AA35E2">
        <w:t xml:space="preserve"> </w:t>
      </w:r>
    </w:p>
    <w:p w14:paraId="597C3676" w14:textId="453E1F7D" w:rsidR="00797505" w:rsidRDefault="00482F88" w:rsidP="00AC039F">
      <w:r>
        <w:t>This section covers:</w:t>
      </w:r>
    </w:p>
    <w:p w14:paraId="312D69C6" w14:textId="1BA663C1" w:rsidR="00482F88" w:rsidRPr="00343EB2" w:rsidRDefault="00AC039F" w:rsidP="00343EB2">
      <w:pPr>
        <w:numPr>
          <w:ilvl w:val="0"/>
          <w:numId w:val="19"/>
        </w:numPr>
        <w:spacing w:after="120"/>
        <w:rPr>
          <w:bCs/>
        </w:rPr>
      </w:pPr>
      <w:r w:rsidRPr="00343EB2">
        <w:rPr>
          <w:bCs/>
        </w:rPr>
        <w:t xml:space="preserve">the IAHP’s contribution to the capacity of the </w:t>
      </w:r>
      <w:r w:rsidR="002B6E82" w:rsidRPr="00343EB2">
        <w:rPr>
          <w:bCs/>
        </w:rPr>
        <w:t>PHC</w:t>
      </w:r>
      <w:r w:rsidRPr="00343EB2">
        <w:rPr>
          <w:bCs/>
        </w:rPr>
        <w:t xml:space="preserve"> system</w:t>
      </w:r>
    </w:p>
    <w:p w14:paraId="2BF48980" w14:textId="77777777" w:rsidR="00C57558" w:rsidRPr="00343EB2" w:rsidRDefault="00C57558" w:rsidP="00343EB2">
      <w:pPr>
        <w:numPr>
          <w:ilvl w:val="0"/>
          <w:numId w:val="19"/>
        </w:numPr>
        <w:spacing w:after="120"/>
        <w:rPr>
          <w:bCs/>
        </w:rPr>
      </w:pPr>
      <w:r w:rsidRPr="00343EB2">
        <w:rPr>
          <w:bCs/>
        </w:rPr>
        <w:t>the influence of grant making arrangements on the implementation of the IAHP</w:t>
      </w:r>
    </w:p>
    <w:p w14:paraId="4D80BD14" w14:textId="42856316" w:rsidR="00A44599" w:rsidRPr="00343EB2" w:rsidRDefault="00A44599" w:rsidP="00343EB2">
      <w:pPr>
        <w:numPr>
          <w:ilvl w:val="0"/>
          <w:numId w:val="19"/>
        </w:numPr>
        <w:spacing w:after="120"/>
        <w:rPr>
          <w:bCs/>
        </w:rPr>
      </w:pPr>
      <w:r w:rsidRPr="00343EB2">
        <w:rPr>
          <w:bCs/>
        </w:rPr>
        <w:t>the interactions between the IAHP and health workforce issues, including workforce barriers and enablers to the implementation of the IAHP</w:t>
      </w:r>
    </w:p>
    <w:p w14:paraId="1AAD474F" w14:textId="0FF88BAC" w:rsidR="00482F88" w:rsidRPr="00343EB2" w:rsidRDefault="00AC039F" w:rsidP="00343EB2">
      <w:pPr>
        <w:numPr>
          <w:ilvl w:val="0"/>
          <w:numId w:val="19"/>
        </w:numPr>
        <w:spacing w:after="120"/>
        <w:rPr>
          <w:bCs/>
        </w:rPr>
      </w:pPr>
      <w:r w:rsidRPr="00343EB2">
        <w:rPr>
          <w:bCs/>
        </w:rPr>
        <w:t xml:space="preserve">how well system governance, leadership and </w:t>
      </w:r>
      <w:r w:rsidR="00DF0D8B" w:rsidRPr="00343EB2">
        <w:rPr>
          <w:bCs/>
        </w:rPr>
        <w:t>management</w:t>
      </w:r>
      <w:r w:rsidRPr="00343EB2">
        <w:rPr>
          <w:bCs/>
        </w:rPr>
        <w:t xml:space="preserve"> processes enable the implementation of the IAHP</w:t>
      </w:r>
    </w:p>
    <w:p w14:paraId="307DA240" w14:textId="77777777" w:rsidR="005F41AC" w:rsidRPr="00343EB2" w:rsidRDefault="00596FB2" w:rsidP="00343EB2">
      <w:pPr>
        <w:numPr>
          <w:ilvl w:val="0"/>
          <w:numId w:val="19"/>
        </w:numPr>
        <w:spacing w:after="120"/>
        <w:rPr>
          <w:bCs/>
        </w:rPr>
      </w:pPr>
      <w:r w:rsidRPr="00343EB2">
        <w:rPr>
          <w:bCs/>
        </w:rPr>
        <w:t>the influence of</w:t>
      </w:r>
      <w:r w:rsidR="00AC039F" w:rsidRPr="00343EB2">
        <w:rPr>
          <w:bCs/>
        </w:rPr>
        <w:t xml:space="preserve"> data and knowledge systems on the implementation of the IAHP</w:t>
      </w:r>
    </w:p>
    <w:p w14:paraId="5D9AA0D9" w14:textId="61510289" w:rsidR="00FE7A35" w:rsidRDefault="00FE7A35" w:rsidP="00871DB3">
      <w:pPr>
        <w:pStyle w:val="Heading6"/>
        <w:numPr>
          <w:ilvl w:val="0"/>
          <w:numId w:val="0"/>
        </w:numPr>
        <w:ind w:left="1152" w:hanging="1152"/>
      </w:pPr>
      <w:r>
        <w:t>Data sources and methods</w:t>
      </w:r>
    </w:p>
    <w:p w14:paraId="44DCBCEF" w14:textId="0648214E" w:rsidR="007849A8" w:rsidRDefault="00C94AAB" w:rsidP="00A41885">
      <w:r w:rsidRPr="00EB55EC">
        <w:t>This section draws on data generated through interviews with managers and staff from Aboriginal and Torres Strait Islander health services and PHNs across the 17 evaluation sites, Collective Action for Change workshops with representatives of these site partner organisations, and through interviews with government and community-controlled representatives in state, territory, and national organisations. Discussions on contribution cases that examined the contribution of the IAHP to meeting its objectives, have also informed this section.</w:t>
      </w:r>
      <w:r w:rsidR="00E5117F">
        <w:t xml:space="preserve"> </w:t>
      </w:r>
      <w:r w:rsidR="006E1B49">
        <w:t>These data were</w:t>
      </w:r>
      <w:r w:rsidR="00E5117F">
        <w:t xml:space="preserve"> analysed, primarily, through content and contribution analysis.</w:t>
      </w:r>
      <w:r w:rsidR="002C513A">
        <w:t xml:space="preserve"> </w:t>
      </w:r>
      <w:r w:rsidR="006E1B49">
        <w:t xml:space="preserve">This section also draws on an analysis of quantitative data on </w:t>
      </w:r>
      <w:r w:rsidR="002E1B27">
        <w:t xml:space="preserve">health workforce, </w:t>
      </w:r>
      <w:r w:rsidR="00550D48">
        <w:t>funding</w:t>
      </w:r>
      <w:r w:rsidR="002E1B27">
        <w:t>, contracts and reporting.</w:t>
      </w:r>
      <w:r w:rsidR="00550D48">
        <w:t xml:space="preserve"> </w:t>
      </w:r>
    </w:p>
    <w:p w14:paraId="799C7B94" w14:textId="77777777" w:rsidR="00CF67D1" w:rsidRDefault="00CF67D1">
      <w:pPr>
        <w:jc w:val="left"/>
        <w:rPr>
          <w:b/>
          <w:bCs/>
          <w:color w:val="9E6047" w:themeColor="accent3"/>
          <w:sz w:val="36"/>
          <w:szCs w:val="36"/>
          <w:lang w:val="en-NZ"/>
        </w:rPr>
      </w:pPr>
      <w:bookmarkStart w:id="205" w:name="_Toc131415188"/>
      <w:bookmarkStart w:id="206" w:name="_Toc131490343"/>
      <w:bookmarkEnd w:id="205"/>
      <w:bookmarkEnd w:id="206"/>
      <w:r>
        <w:br w:type="page"/>
      </w:r>
    </w:p>
    <w:p w14:paraId="2AB0F600" w14:textId="484E298A" w:rsidR="00AA4365" w:rsidRPr="00884FAA" w:rsidRDefault="0064772D" w:rsidP="0035030F">
      <w:pPr>
        <w:pStyle w:val="Heading2"/>
      </w:pPr>
      <w:bookmarkStart w:id="207" w:name="_Toc137208928"/>
      <w:r w:rsidRPr="00884FAA">
        <w:lastRenderedPageBreak/>
        <w:t>Orientation</w:t>
      </w:r>
      <w:r w:rsidR="00AA4365" w:rsidRPr="00884FAA">
        <w:t xml:space="preserve"> of </w:t>
      </w:r>
      <w:r w:rsidR="00CD380E">
        <w:t xml:space="preserve">the </w:t>
      </w:r>
      <w:r w:rsidR="00AA4365" w:rsidRPr="00884FAA">
        <w:t xml:space="preserve">IAHP within the </w:t>
      </w:r>
      <w:r w:rsidR="00630082" w:rsidRPr="00884FAA">
        <w:t>primary health care</w:t>
      </w:r>
      <w:r w:rsidR="00AA4365" w:rsidRPr="00884FAA">
        <w:t xml:space="preserve"> system</w:t>
      </w:r>
      <w:bookmarkEnd w:id="207"/>
    </w:p>
    <w:p w14:paraId="63A2787B" w14:textId="6DA96787" w:rsidR="00A16CA1" w:rsidRPr="00884FAA" w:rsidRDefault="00A16CA1" w:rsidP="00A16CA1">
      <w:r w:rsidRPr="00884FAA">
        <w:t xml:space="preserve">Consideration of how the IAHP interacts with the broader </w:t>
      </w:r>
      <w:r w:rsidR="009A1092" w:rsidRPr="00884FAA">
        <w:t>PHC</w:t>
      </w:r>
      <w:r w:rsidRPr="00884FAA">
        <w:t xml:space="preserve"> system and services requires an understanding of the core purpose and objectives of the IAHP. Over the course of the evaluation, it was clear that there were different perspectives and understanding on the role of IAHP and the orientation of IAHP within the </w:t>
      </w:r>
      <w:r w:rsidR="003279C5">
        <w:t>PHC</w:t>
      </w:r>
      <w:r w:rsidRPr="00884FAA">
        <w:t xml:space="preserve"> system. </w:t>
      </w:r>
    </w:p>
    <w:p w14:paraId="6AF4F533" w14:textId="66319080" w:rsidR="00A16CA1" w:rsidRPr="00884FAA" w:rsidRDefault="00A16CA1" w:rsidP="00A16CA1">
      <w:r w:rsidRPr="00884FAA">
        <w:t>Discussions on how well the IAHP was working with the rest of the PHC system raised some fundamental issues around how</w:t>
      </w:r>
      <w:r w:rsidR="00133364" w:rsidRPr="00884FAA">
        <w:t xml:space="preserve"> IAHP </w:t>
      </w:r>
      <w:r w:rsidRPr="00884FAA">
        <w:t>was intended to work with the wider system</w:t>
      </w:r>
      <w:r w:rsidR="0064772D" w:rsidRPr="00884FAA">
        <w:t xml:space="preserve">, especially in relation to the delivery of </w:t>
      </w:r>
      <w:r w:rsidR="003279C5">
        <w:t>PHC</w:t>
      </w:r>
      <w:r w:rsidR="0064772D" w:rsidRPr="00884FAA">
        <w:t xml:space="preserve"> for Aboriginal </w:t>
      </w:r>
      <w:r w:rsidR="009553EE" w:rsidRPr="00884FAA">
        <w:t xml:space="preserve">and Torres Strait Islander </w:t>
      </w:r>
      <w:r w:rsidR="0064772D" w:rsidRPr="00884FAA">
        <w:t>people in mainstream settings</w:t>
      </w:r>
      <w:r w:rsidRPr="00884FAA">
        <w:t xml:space="preserve">. </w:t>
      </w:r>
    </w:p>
    <w:p w14:paraId="2F4749EF" w14:textId="1867993C" w:rsidR="00477A6A" w:rsidRPr="00884FAA" w:rsidRDefault="00477A6A" w:rsidP="00651D06">
      <w:pPr>
        <w:pStyle w:val="Heading3"/>
      </w:pPr>
      <w:r w:rsidRPr="00884FAA">
        <w:t>There are different understandings of how the IAHP is intended to work with</w:t>
      </w:r>
      <w:r w:rsidR="00FC5D6E" w:rsidRPr="00884FAA">
        <w:t>in</w:t>
      </w:r>
      <w:r w:rsidRPr="00884FAA">
        <w:t xml:space="preserve"> the </w:t>
      </w:r>
      <w:r w:rsidR="005E33FE" w:rsidRPr="00884FAA">
        <w:t>primary care</w:t>
      </w:r>
      <w:r w:rsidRPr="00884FAA">
        <w:t xml:space="preserve"> system</w:t>
      </w:r>
    </w:p>
    <w:p w14:paraId="5CEC2C4A" w14:textId="7E2650BE" w:rsidR="00477A6A" w:rsidRPr="00884FAA" w:rsidRDefault="00D4753D" w:rsidP="00477A6A">
      <w:r w:rsidRPr="00884FAA">
        <w:t xml:space="preserve">The need for greater focus and clarity around the intention of the IAHP was commonly reported by </w:t>
      </w:r>
      <w:r w:rsidR="00477A6A" w:rsidRPr="00884FAA">
        <w:t>ACCHS and PHN evaluation participants</w:t>
      </w:r>
      <w:r w:rsidRPr="00884FAA">
        <w:t xml:space="preserve">. </w:t>
      </w:r>
      <w:r w:rsidR="00477A6A" w:rsidRPr="00884FAA">
        <w:t xml:space="preserve">This includes how </w:t>
      </w:r>
      <w:r w:rsidR="00DC4F14" w:rsidRPr="00884FAA">
        <w:t xml:space="preserve">the </w:t>
      </w:r>
      <w:r w:rsidR="00477A6A" w:rsidRPr="00884FAA">
        <w:t xml:space="preserve">IAHP is positioned within the wider PHC system. The lack of clarity about the role of </w:t>
      </w:r>
      <w:r w:rsidR="00DC4F14" w:rsidRPr="00884FAA">
        <w:t xml:space="preserve">the </w:t>
      </w:r>
      <w:r w:rsidR="00477A6A" w:rsidRPr="00884FAA">
        <w:t xml:space="preserve">IAHP can create challenges for assessing how IAHP works to support capacity and influence the operation of the broader </w:t>
      </w:r>
      <w:r w:rsidR="003279C5">
        <w:t>PHC</w:t>
      </w:r>
      <w:r w:rsidR="00477A6A" w:rsidRPr="00884FAA">
        <w:t xml:space="preserve"> system to improve health outcomes for Aboriginal and Torres Strait Island</w:t>
      </w:r>
      <w:r w:rsidR="00893BEF">
        <w:t>er</w:t>
      </w:r>
      <w:r w:rsidR="00477A6A" w:rsidRPr="00884FAA">
        <w:t xml:space="preserve"> people</w:t>
      </w:r>
      <w:r w:rsidR="00AF70E1" w:rsidRPr="00884FAA">
        <w:t>.</w:t>
      </w:r>
    </w:p>
    <w:p w14:paraId="6B6C043F" w14:textId="176AE151" w:rsidR="00477A6A" w:rsidRPr="00884FAA" w:rsidRDefault="00477A6A" w:rsidP="00477A6A">
      <w:r w:rsidRPr="00884FAA">
        <w:t>Other non-government participants reported a lack of clarity around the intent</w:t>
      </w:r>
      <w:r w:rsidR="0007014A" w:rsidRPr="00884FAA">
        <w:t>ion and orientation</w:t>
      </w:r>
      <w:r w:rsidRPr="00884FAA">
        <w:t xml:space="preserve"> of the IAHP. People reported that the </w:t>
      </w:r>
      <w:r w:rsidR="006D2482">
        <w:t>4</w:t>
      </w:r>
      <w:r w:rsidR="006D2482" w:rsidRPr="00884FAA">
        <w:t xml:space="preserve"> </w:t>
      </w:r>
      <w:r w:rsidRPr="00884FAA">
        <w:t xml:space="preserve">streams of funding that operated prior to consolidation into </w:t>
      </w:r>
      <w:r w:rsidR="00873268">
        <w:t>the</w:t>
      </w:r>
      <w:r w:rsidRPr="00884FAA">
        <w:t xml:space="preserve"> IAHP had a clearer purpose that had been</w:t>
      </w:r>
      <w:r w:rsidR="0007014A" w:rsidRPr="00884FAA">
        <w:t xml:space="preserve"> largely</w:t>
      </w:r>
      <w:r w:rsidRPr="00884FAA">
        <w:t xml:space="preserve"> lost in the transition to </w:t>
      </w:r>
      <w:r w:rsidR="00E445B8">
        <w:t>the</w:t>
      </w:r>
      <w:r w:rsidRPr="00884FAA">
        <w:t xml:space="preserve"> IAHP.</w:t>
      </w:r>
      <w:r w:rsidR="00DC0DFC" w:rsidRPr="005D1C41">
        <w:rPr>
          <w:rStyle w:val="FootnoteReference"/>
        </w:rPr>
        <w:footnoteReference w:id="44"/>
      </w:r>
      <w:r w:rsidRPr="00884FAA">
        <w:t xml:space="preserve"> </w:t>
      </w:r>
    </w:p>
    <w:p w14:paraId="29EBDE46" w14:textId="4FF521FB" w:rsidR="00477A6A" w:rsidRPr="00884FAA" w:rsidRDefault="00477A6A" w:rsidP="00477A6A">
      <w:r w:rsidRPr="00884FAA">
        <w:t xml:space="preserve">Participants also provided their perspectives on the </w:t>
      </w:r>
      <w:r w:rsidR="006C5EE9" w:rsidRPr="00884FAA">
        <w:t xml:space="preserve">role </w:t>
      </w:r>
      <w:r w:rsidRPr="00884FAA">
        <w:t xml:space="preserve">of the IAHP. These perspectives varied significantly along a </w:t>
      </w:r>
      <w:r w:rsidR="00243B54" w:rsidRPr="00884FAA">
        <w:t xml:space="preserve">vast </w:t>
      </w:r>
      <w:r w:rsidRPr="00884FAA">
        <w:t xml:space="preserve">spectrum. </w:t>
      </w:r>
    </w:p>
    <w:p w14:paraId="4F5F9B99" w14:textId="698371E3" w:rsidR="00697395" w:rsidRPr="00884FAA" w:rsidRDefault="00477A6A" w:rsidP="008D106E">
      <w:r w:rsidRPr="00884FAA">
        <w:t xml:space="preserve">Most ACCHS participants described </w:t>
      </w:r>
      <w:r w:rsidR="004C02E7">
        <w:t>the</w:t>
      </w:r>
      <w:r w:rsidRPr="00884FAA">
        <w:t xml:space="preserve"> IAHP as </w:t>
      </w:r>
      <w:r w:rsidR="006C5EE9" w:rsidRPr="00884FAA">
        <w:t xml:space="preserve">a </w:t>
      </w:r>
      <w:r w:rsidR="008E40E2" w:rsidRPr="00884FAA">
        <w:t>program</w:t>
      </w:r>
      <w:r w:rsidR="006C5EE9" w:rsidRPr="00884FAA">
        <w:t xml:space="preserve"> that provides </w:t>
      </w:r>
      <w:r w:rsidRPr="00884FAA">
        <w:t>‘core</w:t>
      </w:r>
      <w:r w:rsidR="009E7907" w:rsidRPr="00884FAA">
        <w:t>’</w:t>
      </w:r>
      <w:r w:rsidR="004D692D" w:rsidRPr="00884FAA">
        <w:t>,</w:t>
      </w:r>
      <w:r w:rsidR="002C3ED5" w:rsidRPr="00884FAA">
        <w:t xml:space="preserve"> ‘base’</w:t>
      </w:r>
      <w:r w:rsidR="007164BD" w:rsidRPr="00884FAA">
        <w:t>,</w:t>
      </w:r>
      <w:r w:rsidR="002C3ED5" w:rsidRPr="00884FAA">
        <w:t xml:space="preserve"> or ‘backbone’ fund</w:t>
      </w:r>
      <w:r w:rsidR="0022111E" w:rsidRPr="00884FAA">
        <w:t>i</w:t>
      </w:r>
      <w:r w:rsidR="002C3ED5" w:rsidRPr="00884FAA">
        <w:t>ng</w:t>
      </w:r>
      <w:r w:rsidRPr="00884FAA">
        <w:t>.</w:t>
      </w:r>
      <w:r w:rsidR="0022111E" w:rsidRPr="00884FAA">
        <w:t xml:space="preserve"> </w:t>
      </w:r>
      <w:r w:rsidR="008E40E2" w:rsidRPr="00884FAA">
        <w:t xml:space="preserve">This </w:t>
      </w:r>
      <w:r w:rsidR="00B911A4" w:rsidRPr="00884FAA">
        <w:t xml:space="preserve">meant </w:t>
      </w:r>
      <w:r w:rsidR="00697395" w:rsidRPr="00884FAA">
        <w:t>different things to different people</w:t>
      </w:r>
      <w:r w:rsidR="008D106E" w:rsidRPr="00884FAA">
        <w:t xml:space="preserve">, suggesting </w:t>
      </w:r>
      <w:r w:rsidR="008E40E2" w:rsidRPr="00884FAA">
        <w:t xml:space="preserve">varying </w:t>
      </w:r>
      <w:r w:rsidR="008D106E" w:rsidRPr="00884FAA">
        <w:t xml:space="preserve">ideas on the </w:t>
      </w:r>
      <w:r w:rsidR="00A62F1A" w:rsidRPr="00884FAA">
        <w:t>role of the IAHP.</w:t>
      </w:r>
      <w:r w:rsidR="008D106E" w:rsidRPr="00884FAA">
        <w:t xml:space="preserve"> </w:t>
      </w:r>
      <w:r w:rsidR="00697395" w:rsidRPr="00884FAA">
        <w:t>For example, these descriptors were used variously to indicate that IAHP funding:</w:t>
      </w:r>
    </w:p>
    <w:p w14:paraId="21E112FA" w14:textId="2646C31A" w:rsidR="00697395" w:rsidRPr="00343EB2" w:rsidRDefault="00CE7681" w:rsidP="00343EB2">
      <w:pPr>
        <w:numPr>
          <w:ilvl w:val="0"/>
          <w:numId w:val="19"/>
        </w:numPr>
        <w:spacing w:after="120"/>
        <w:rPr>
          <w:bCs/>
        </w:rPr>
      </w:pPr>
      <w:r w:rsidRPr="00343EB2">
        <w:rPr>
          <w:bCs/>
        </w:rPr>
        <w:t>r</w:t>
      </w:r>
      <w:r w:rsidR="00697395" w:rsidRPr="00343EB2">
        <w:rPr>
          <w:bCs/>
        </w:rPr>
        <w:t>epresented an organisation’s single largest source of funding</w:t>
      </w:r>
    </w:p>
    <w:p w14:paraId="52A1C4DB" w14:textId="280D6E21" w:rsidR="00697395" w:rsidRPr="00343EB2" w:rsidRDefault="00CE7681" w:rsidP="00343EB2">
      <w:pPr>
        <w:numPr>
          <w:ilvl w:val="0"/>
          <w:numId w:val="19"/>
        </w:numPr>
        <w:spacing w:after="120"/>
        <w:rPr>
          <w:bCs/>
        </w:rPr>
      </w:pPr>
      <w:r w:rsidRPr="00343EB2">
        <w:rPr>
          <w:bCs/>
        </w:rPr>
        <w:t>f</w:t>
      </w:r>
      <w:r w:rsidR="00697395" w:rsidRPr="00343EB2">
        <w:rPr>
          <w:bCs/>
        </w:rPr>
        <w:t>unded clinical and clinical support services (sometimes described as an organisation’s ‘core business’), including staff salaries</w:t>
      </w:r>
    </w:p>
    <w:p w14:paraId="2309DCB4" w14:textId="3E3FDA13" w:rsidR="00697395" w:rsidRPr="00343EB2" w:rsidRDefault="00CE7681" w:rsidP="00343EB2">
      <w:pPr>
        <w:numPr>
          <w:ilvl w:val="0"/>
          <w:numId w:val="19"/>
        </w:numPr>
        <w:spacing w:after="120"/>
        <w:rPr>
          <w:bCs/>
        </w:rPr>
      </w:pPr>
      <w:r w:rsidRPr="00343EB2">
        <w:rPr>
          <w:bCs/>
        </w:rPr>
        <w:t>i</w:t>
      </w:r>
      <w:r w:rsidR="00697395" w:rsidRPr="00343EB2">
        <w:rPr>
          <w:bCs/>
        </w:rPr>
        <w:t xml:space="preserve">ncluded funding not organised around </w:t>
      </w:r>
      <w:r w:rsidR="00BC0721" w:rsidRPr="00343EB2">
        <w:rPr>
          <w:bCs/>
        </w:rPr>
        <w:t xml:space="preserve">or tied to </w:t>
      </w:r>
      <w:r w:rsidR="00697395" w:rsidRPr="00343EB2">
        <w:rPr>
          <w:bCs/>
        </w:rPr>
        <w:t xml:space="preserve">a specific program or activity that services had, in theory, some discretion over (in reference to the IAHP </w:t>
      </w:r>
      <w:r w:rsidR="000F7ACE" w:rsidRPr="00343EB2">
        <w:rPr>
          <w:bCs/>
        </w:rPr>
        <w:t>PHC Program</w:t>
      </w:r>
      <w:r w:rsidR="00697395" w:rsidRPr="00343EB2">
        <w:rPr>
          <w:bCs/>
        </w:rPr>
        <w:t xml:space="preserve"> funding)</w:t>
      </w:r>
    </w:p>
    <w:p w14:paraId="4C64A262" w14:textId="6B12E496" w:rsidR="00697395" w:rsidRPr="00343EB2" w:rsidRDefault="00CE7681" w:rsidP="00343EB2">
      <w:pPr>
        <w:numPr>
          <w:ilvl w:val="0"/>
          <w:numId w:val="19"/>
        </w:numPr>
        <w:spacing w:after="120"/>
        <w:rPr>
          <w:bCs/>
        </w:rPr>
      </w:pPr>
      <w:r w:rsidRPr="00343EB2">
        <w:rPr>
          <w:bCs/>
        </w:rPr>
        <w:lastRenderedPageBreak/>
        <w:t>r</w:t>
      </w:r>
      <w:r w:rsidR="00697395" w:rsidRPr="00343EB2">
        <w:rPr>
          <w:bCs/>
        </w:rPr>
        <w:t xml:space="preserve">epresented a comparatively stable and long-term source of funding (again in reference to </w:t>
      </w:r>
      <w:r w:rsidR="000F7ACE" w:rsidRPr="00343EB2">
        <w:rPr>
          <w:bCs/>
        </w:rPr>
        <w:t>PHC Program</w:t>
      </w:r>
      <w:r w:rsidR="00697395" w:rsidRPr="00343EB2">
        <w:rPr>
          <w:bCs/>
        </w:rPr>
        <w:t xml:space="preserve"> funding which most organisations had received continuously since 2014 and earlier through predecessor programs)</w:t>
      </w:r>
    </w:p>
    <w:p w14:paraId="4BB65DE5" w14:textId="672F2766" w:rsidR="00697395" w:rsidRPr="00343EB2" w:rsidRDefault="00CE7681" w:rsidP="00343EB2">
      <w:pPr>
        <w:numPr>
          <w:ilvl w:val="0"/>
          <w:numId w:val="19"/>
        </w:numPr>
        <w:spacing w:after="120"/>
        <w:rPr>
          <w:bCs/>
        </w:rPr>
      </w:pPr>
      <w:r w:rsidRPr="00343EB2">
        <w:rPr>
          <w:bCs/>
        </w:rPr>
        <w:t>f</w:t>
      </w:r>
      <w:r w:rsidR="00697395" w:rsidRPr="00343EB2">
        <w:rPr>
          <w:bCs/>
        </w:rPr>
        <w:t>unded high-cost, high-profile activity such as new infrastructure.</w:t>
      </w:r>
    </w:p>
    <w:p w14:paraId="2C972A99" w14:textId="2FDEE0B2" w:rsidR="00477A6A" w:rsidRPr="00884FAA" w:rsidRDefault="00477A6A" w:rsidP="00477A6A">
      <w:r>
        <w:t xml:space="preserve">ACCHS and PHN participants also </w:t>
      </w:r>
      <w:r w:rsidR="00143D75">
        <w:t xml:space="preserve">reported hearing </w:t>
      </w:r>
      <w:r w:rsidR="00614340">
        <w:t xml:space="preserve">the </w:t>
      </w:r>
      <w:r>
        <w:t xml:space="preserve">IAHP funding described as ‘supplementary’, ‘complementary’, or ‘compensatory’. This </w:t>
      </w:r>
      <w:r w:rsidR="00143D75">
        <w:t xml:space="preserve">suggests that </w:t>
      </w:r>
      <w:r w:rsidR="002C1C61">
        <w:t>the</w:t>
      </w:r>
      <w:r w:rsidR="00143D75">
        <w:t xml:space="preserve"> IAHP can be considered as </w:t>
      </w:r>
      <w:r>
        <w:t xml:space="preserve">supplementary or complementary </w:t>
      </w:r>
      <w:r w:rsidR="00143D75">
        <w:t xml:space="preserve">to </w:t>
      </w:r>
      <w:r>
        <w:t>mainstream sources of funding, such as Medicare, and compensatory to mainstream funding failures and gaps</w:t>
      </w:r>
      <w:r w:rsidR="0048628D">
        <w:t xml:space="preserve"> to support more equitable access to services for Aboriginal and Torre Strait Islander people</w:t>
      </w:r>
      <w:r>
        <w:t xml:space="preserve">. Participants also </w:t>
      </w:r>
      <w:r w:rsidR="008D0117">
        <w:t xml:space="preserve">described </w:t>
      </w:r>
      <w:r>
        <w:t xml:space="preserve">the IAHP as being ‘gap funding’ </w:t>
      </w:r>
      <w:r w:rsidR="001D0A98">
        <w:t xml:space="preserve">or ‘equity funding’ </w:t>
      </w:r>
      <w:r>
        <w:t xml:space="preserve">in respect of the </w:t>
      </w:r>
      <w:r w:rsidR="00193E68">
        <w:t xml:space="preserve">National Agreement on </w:t>
      </w:r>
      <w:r>
        <w:t>Closing the Gap</w:t>
      </w:r>
      <w:r w:rsidR="00AB710A">
        <w:t xml:space="preserve"> </w:t>
      </w:r>
      <w:r>
        <w:t>–</w:t>
      </w:r>
      <w:r w:rsidR="00193E68">
        <w:t xml:space="preserve"> </w:t>
      </w:r>
      <w:r w:rsidR="00D13CB5">
        <w:t xml:space="preserve">enabling the </w:t>
      </w:r>
      <w:r w:rsidR="00193E68">
        <w:t>provision of</w:t>
      </w:r>
      <w:r>
        <w:t xml:space="preserve"> additional funding to ‘close the gap’.</w:t>
      </w:r>
    </w:p>
    <w:p w14:paraId="2A18EEBB" w14:textId="6D51FA06" w:rsidR="005A0871" w:rsidRPr="00884FAA" w:rsidRDefault="00C36EE0" w:rsidP="00477A6A">
      <w:r>
        <w:t xml:space="preserve">Staff from the department described the </w:t>
      </w:r>
      <w:r w:rsidR="004250F9">
        <w:t xml:space="preserve">way that the IAHP </w:t>
      </w:r>
      <w:r w:rsidR="00286C45">
        <w:t xml:space="preserve">functioned in similar terms. </w:t>
      </w:r>
      <w:r w:rsidR="002567F2">
        <w:t>From their perspective, t</w:t>
      </w:r>
      <w:r w:rsidR="009512A6">
        <w:t xml:space="preserve">he IAHP was used to complement other </w:t>
      </w:r>
      <w:r w:rsidR="003A6AE2">
        <w:t xml:space="preserve">funding streams and programs, and </w:t>
      </w:r>
      <w:r w:rsidR="002567F2">
        <w:t xml:space="preserve">at times, </w:t>
      </w:r>
      <w:r w:rsidR="003A6AE2">
        <w:t xml:space="preserve">also to compensate </w:t>
      </w:r>
      <w:r w:rsidR="00FD29C2">
        <w:t>for when mainstream funding was not meeting a particular need.</w:t>
      </w:r>
    </w:p>
    <w:p w14:paraId="0691C971" w14:textId="3FD3BFE9" w:rsidR="00477A6A" w:rsidRPr="0082753D" w:rsidRDefault="00477A6A" w:rsidP="00477A6A">
      <w:r>
        <w:t xml:space="preserve">There were mixed perspectives on the lack of specificity of the role and nature of IAHP funding. </w:t>
      </w:r>
      <w:r w:rsidR="000A0B7A">
        <w:t>The</w:t>
      </w:r>
      <w:r>
        <w:t xml:space="preserve"> lack of specificity was seen </w:t>
      </w:r>
      <w:r w:rsidR="000A0B7A">
        <w:t>by some</w:t>
      </w:r>
      <w:r w:rsidR="002C07CA">
        <w:t xml:space="preserve"> participants</w:t>
      </w:r>
      <w:r w:rsidR="000A0B7A">
        <w:t xml:space="preserve"> </w:t>
      </w:r>
      <w:r>
        <w:t xml:space="preserve">as an advantage of the IAHP – the ability to be flexible in its intent and ‘supplement around the edges’ of mainstream funding. However, the inherent risk of this approach was also identified by participants. </w:t>
      </w:r>
      <w:r w:rsidR="00C83EB5">
        <w:t>That is,</w:t>
      </w:r>
      <w:r>
        <w:t xml:space="preserve"> </w:t>
      </w:r>
      <w:r w:rsidR="00C83EB5">
        <w:t xml:space="preserve">as </w:t>
      </w:r>
      <w:r>
        <w:t xml:space="preserve">long as </w:t>
      </w:r>
      <w:r w:rsidR="00614340">
        <w:t xml:space="preserve">the </w:t>
      </w:r>
      <w:r>
        <w:t xml:space="preserve">IAHP is characterised as a flexible and responsive fund that is available to meet these needs, the mainstream </w:t>
      </w:r>
      <w:r w:rsidR="00C83EB5">
        <w:t xml:space="preserve">health </w:t>
      </w:r>
      <w:r>
        <w:t xml:space="preserve">system will not be pushed to fund services that </w:t>
      </w:r>
      <w:r w:rsidR="00CD7B75">
        <w:t xml:space="preserve">are funded through the </w:t>
      </w:r>
      <w:r w:rsidR="006B74D0">
        <w:t>IAHP</w:t>
      </w:r>
      <w:r>
        <w:t xml:space="preserve">. </w:t>
      </w:r>
      <w:r w:rsidR="00334DE8">
        <w:t xml:space="preserve">Participants recognised the potential </w:t>
      </w:r>
      <w:r w:rsidR="00D37CCE">
        <w:t>tension</w:t>
      </w:r>
      <w:r w:rsidR="009F4921">
        <w:t xml:space="preserve"> and, in a practical sense, the need </w:t>
      </w:r>
      <w:r w:rsidR="00FA05BB">
        <w:t xml:space="preserve">to </w:t>
      </w:r>
      <w:r w:rsidR="00382612">
        <w:t xml:space="preserve">get the right </w:t>
      </w:r>
      <w:r w:rsidR="009F4921">
        <w:t xml:space="preserve">balance </w:t>
      </w:r>
      <w:r w:rsidR="00BF0DE1">
        <w:t xml:space="preserve">between what the IAHP </w:t>
      </w:r>
      <w:r w:rsidR="00C724F0">
        <w:t>funds</w:t>
      </w:r>
      <w:r w:rsidR="00643350">
        <w:t xml:space="preserve"> and where mainstream funding needs to be more responsive.</w:t>
      </w:r>
    </w:p>
    <w:p w14:paraId="3F6E29A5" w14:textId="11581E9C" w:rsidR="00477A6A" w:rsidRPr="00884FAA" w:rsidRDefault="00477A6A" w:rsidP="00477A6A">
      <w:r w:rsidRPr="0082753D">
        <w:t xml:space="preserve">Greater clarity around the intent of the IAHP </w:t>
      </w:r>
      <w:r w:rsidR="00A61498" w:rsidRPr="0082753D">
        <w:t>will</w:t>
      </w:r>
      <w:r w:rsidR="00A61498" w:rsidRPr="00884FAA">
        <w:t xml:space="preserve"> </w:t>
      </w:r>
      <w:r w:rsidRPr="00884FAA">
        <w:t xml:space="preserve">help to manage this risk. It </w:t>
      </w:r>
      <w:r w:rsidR="00A61498" w:rsidRPr="00884FAA">
        <w:t xml:space="preserve">will </w:t>
      </w:r>
      <w:r w:rsidRPr="00884FAA">
        <w:t xml:space="preserve">also assist in leveraging new opportunities </w:t>
      </w:r>
      <w:r w:rsidR="00017F8E" w:rsidRPr="00884FAA">
        <w:t xml:space="preserve">through clarifying what </w:t>
      </w:r>
      <w:r w:rsidRPr="00884FAA">
        <w:t xml:space="preserve">mainstream funding </w:t>
      </w:r>
      <w:r w:rsidR="00017F8E" w:rsidRPr="00884FAA">
        <w:t xml:space="preserve">should be </w:t>
      </w:r>
      <w:r w:rsidRPr="00884FAA">
        <w:t xml:space="preserve">expected to </w:t>
      </w:r>
      <w:r w:rsidR="00017F8E" w:rsidRPr="00884FAA">
        <w:t>deliver</w:t>
      </w:r>
      <w:r w:rsidRPr="00884FAA">
        <w:t xml:space="preserve">. Staff in the department </w:t>
      </w:r>
      <w:r w:rsidR="008D0117">
        <w:t>spoke</w:t>
      </w:r>
      <w:r w:rsidR="008D0117" w:rsidRPr="00884FAA">
        <w:t xml:space="preserve"> </w:t>
      </w:r>
      <w:r w:rsidRPr="00884FAA">
        <w:t>about the opportunity to be more targeted with the IAHP funding in the context of the</w:t>
      </w:r>
      <w:r w:rsidR="00FC5D6E" w:rsidRPr="00884FAA">
        <w:t xml:space="preserve"> </w:t>
      </w:r>
      <w:r w:rsidR="00F475E3">
        <w:t>P</w:t>
      </w:r>
      <w:r w:rsidR="00FC5D6E" w:rsidRPr="00884FAA">
        <w:t xml:space="preserve">riority </w:t>
      </w:r>
      <w:r w:rsidR="00F475E3">
        <w:t>R</w:t>
      </w:r>
      <w:r w:rsidR="00FC5D6E" w:rsidRPr="00884FAA">
        <w:t>eforms and targets in the</w:t>
      </w:r>
      <w:r w:rsidRPr="00884FAA">
        <w:t xml:space="preserve"> </w:t>
      </w:r>
      <w:r w:rsidR="00FC5D6E" w:rsidRPr="00884FAA">
        <w:t xml:space="preserve">National Agreement on </w:t>
      </w:r>
      <w:r w:rsidRPr="00884FAA">
        <w:t>Closing the Gap.</w:t>
      </w:r>
    </w:p>
    <w:p w14:paraId="14878F93" w14:textId="4D669BC3" w:rsidR="001C3CD5" w:rsidRPr="00884FAA" w:rsidRDefault="00833923" w:rsidP="00651D06">
      <w:pPr>
        <w:pStyle w:val="Heading3"/>
      </w:pPr>
      <w:r w:rsidRPr="00884FAA">
        <w:t xml:space="preserve">IAHP makes a critical contribution to the operation of </w:t>
      </w:r>
      <w:r w:rsidR="007D1543" w:rsidRPr="00884FAA">
        <w:t>primary health care</w:t>
      </w:r>
      <w:r w:rsidR="002A49C7" w:rsidRPr="00884FAA">
        <w:t xml:space="preserve"> services</w:t>
      </w:r>
      <w:r w:rsidR="005340AE" w:rsidRPr="00884FAA">
        <w:t xml:space="preserve"> </w:t>
      </w:r>
    </w:p>
    <w:p w14:paraId="5CE5E1EF" w14:textId="17FDC8EA" w:rsidR="00844D20" w:rsidRDefault="001E62C9" w:rsidP="00397F2B">
      <w:r w:rsidRPr="00884FAA">
        <w:t xml:space="preserve">While there </w:t>
      </w:r>
      <w:r w:rsidR="00691E44" w:rsidRPr="00464B6F">
        <w:t>might be</w:t>
      </w:r>
      <w:r w:rsidRPr="00884FAA">
        <w:t xml:space="preserve"> a lack of shared understanding of the intention of</w:t>
      </w:r>
      <w:r w:rsidR="00B350BD" w:rsidRPr="00884FAA">
        <w:t xml:space="preserve"> the</w:t>
      </w:r>
      <w:r w:rsidRPr="00884FAA">
        <w:t xml:space="preserve"> IAHP, it was clear that </w:t>
      </w:r>
      <w:r w:rsidR="003D3061" w:rsidRPr="00884FAA">
        <w:t xml:space="preserve">the </w:t>
      </w:r>
      <w:r w:rsidR="00343BA3" w:rsidRPr="00884FAA">
        <w:t xml:space="preserve">funding provided by IAHP </w:t>
      </w:r>
      <w:r w:rsidR="005D3DE6" w:rsidRPr="00884FAA">
        <w:t xml:space="preserve">makes a </w:t>
      </w:r>
      <w:r w:rsidR="00F3152F" w:rsidRPr="00884FAA">
        <w:t>critical</w:t>
      </w:r>
      <w:r w:rsidR="00343BA3" w:rsidRPr="00884FAA">
        <w:t xml:space="preserve"> </w:t>
      </w:r>
      <w:r w:rsidR="005D3DE6" w:rsidRPr="00884FAA">
        <w:t xml:space="preserve">contribution </w:t>
      </w:r>
      <w:r w:rsidR="00C91012" w:rsidRPr="00884FAA">
        <w:t>to</w:t>
      </w:r>
      <w:r w:rsidR="00B97B56" w:rsidRPr="00884FAA">
        <w:t xml:space="preserve"> the </w:t>
      </w:r>
      <w:r w:rsidR="00B4491E" w:rsidRPr="00884FAA">
        <w:t xml:space="preserve">day-to-day </w:t>
      </w:r>
      <w:r w:rsidR="00B97B56" w:rsidRPr="00884FAA">
        <w:t>operation of</w:t>
      </w:r>
      <w:r w:rsidR="002212D5" w:rsidRPr="00884FAA">
        <w:t xml:space="preserve"> most</w:t>
      </w:r>
      <w:r w:rsidR="00B97B56" w:rsidRPr="00884FAA">
        <w:t xml:space="preserve"> </w:t>
      </w:r>
      <w:r w:rsidR="00C91012" w:rsidRPr="00884FAA">
        <w:t>Aboriginal and Torres Strait Islander health services</w:t>
      </w:r>
      <w:r w:rsidR="001B47EA" w:rsidRPr="00884FAA">
        <w:t>.</w:t>
      </w:r>
      <w:r w:rsidR="00844D20">
        <w:t xml:space="preserve"> ACCH</w:t>
      </w:r>
      <w:r w:rsidR="007378D7">
        <w:t>S</w:t>
      </w:r>
      <w:r w:rsidR="00844D20">
        <w:t xml:space="preserve">s rely </w:t>
      </w:r>
      <w:r w:rsidR="00A86BDD">
        <w:t xml:space="preserve">on </w:t>
      </w:r>
      <w:r w:rsidR="00844D20">
        <w:t>funding from the IAHP to support service</w:t>
      </w:r>
      <w:r w:rsidR="00410328">
        <w:t xml:space="preserve"> </w:t>
      </w:r>
      <w:r w:rsidR="00844D20">
        <w:t>delivery.</w:t>
      </w:r>
      <w:r w:rsidR="001B47EA" w:rsidRPr="00884FAA">
        <w:t xml:space="preserve"> </w:t>
      </w:r>
    </w:p>
    <w:p w14:paraId="7A3C5CD6" w14:textId="5B17752C" w:rsidR="007863B3" w:rsidRPr="00884FAA" w:rsidRDefault="00844D20" w:rsidP="00397F2B">
      <w:r>
        <w:t xml:space="preserve">Without </w:t>
      </w:r>
      <w:r w:rsidR="001B47EA" w:rsidRPr="00884FAA">
        <w:t>IAHP funding</w:t>
      </w:r>
      <w:r w:rsidR="00CF7639">
        <w:t>,</w:t>
      </w:r>
      <w:r w:rsidR="001B47EA" w:rsidRPr="00884FAA">
        <w:t xml:space="preserve"> many </w:t>
      </w:r>
      <w:r w:rsidR="00802902" w:rsidRPr="00884FAA">
        <w:t xml:space="preserve">Aboriginal and Torres Strait Islander health services </w:t>
      </w:r>
      <w:r w:rsidR="00802902">
        <w:t>reported that they</w:t>
      </w:r>
      <w:r w:rsidR="001B47EA" w:rsidRPr="00884FAA">
        <w:t xml:space="preserve"> would not be able to operate</w:t>
      </w:r>
      <w:r w:rsidR="003D57C2" w:rsidRPr="00884FAA">
        <w:t xml:space="preserve"> and </w:t>
      </w:r>
      <w:r w:rsidR="00AA0875" w:rsidRPr="00884FAA">
        <w:t xml:space="preserve">the gap in access to health care for Aboriginal and Torres Strait Islander people would </w:t>
      </w:r>
      <w:r w:rsidR="005960FA" w:rsidRPr="00884FAA">
        <w:t>grow</w:t>
      </w:r>
      <w:r w:rsidR="00AA0875" w:rsidRPr="00884FAA">
        <w:t xml:space="preserve">. </w:t>
      </w:r>
      <w:r w:rsidR="00BD5559" w:rsidRPr="00884FAA">
        <w:t>This was regardless of how much IAHP funding their organisation received</w:t>
      </w:r>
      <w:r w:rsidR="005D3DE6" w:rsidRPr="00884FAA">
        <w:t>,</w:t>
      </w:r>
      <w:r w:rsidR="00451F69" w:rsidRPr="00884FAA">
        <w:t xml:space="preserve"> and </w:t>
      </w:r>
      <w:r w:rsidR="00397F2B" w:rsidRPr="00884FAA">
        <w:t xml:space="preserve">despite </w:t>
      </w:r>
      <w:r w:rsidR="005D3DE6" w:rsidRPr="00884FAA">
        <w:t xml:space="preserve">services </w:t>
      </w:r>
      <w:r w:rsidR="00397F2B" w:rsidRPr="00884FAA">
        <w:t>receiving funding from multiple other sources.</w:t>
      </w:r>
      <w:r w:rsidR="00E81101" w:rsidRPr="00884FAA">
        <w:t xml:space="preserve"> </w:t>
      </w:r>
    </w:p>
    <w:p w14:paraId="6B6C019F" w14:textId="0881CF00" w:rsidR="006143FE" w:rsidRPr="00A1178E" w:rsidRDefault="00BB3BA7" w:rsidP="00423F1F">
      <w:pPr>
        <w:pStyle w:val="Quote"/>
        <w:spacing w:after="0"/>
        <w:rPr>
          <w:color w:val="18525E" w:themeColor="accent5" w:themeShade="80"/>
        </w:rPr>
      </w:pPr>
      <w:r w:rsidRPr="00A1178E">
        <w:rPr>
          <w:color w:val="18525E" w:themeColor="accent5" w:themeShade="80"/>
        </w:rPr>
        <w:lastRenderedPageBreak/>
        <w:t xml:space="preserve">So, without that core funding, we wouldn't operate basically, you know, it </w:t>
      </w:r>
      <w:r w:rsidR="000D5478" w:rsidRPr="00A1178E">
        <w:rPr>
          <w:color w:val="18525E" w:themeColor="accent5" w:themeShade="80"/>
        </w:rPr>
        <w:t>[funds]</w:t>
      </w:r>
      <w:r w:rsidRPr="00A1178E">
        <w:rPr>
          <w:color w:val="18525E" w:themeColor="accent5" w:themeShade="80"/>
        </w:rPr>
        <w:t xml:space="preserve"> our employees, all our staffing and our GPs and, you know, essentially pays all our bills.</w:t>
      </w:r>
    </w:p>
    <w:p w14:paraId="062C54AB" w14:textId="12BA5674" w:rsidR="00BB3BA7" w:rsidRPr="00FD3526" w:rsidRDefault="006143FE" w:rsidP="00423F1F">
      <w:pPr>
        <w:pStyle w:val="Quote"/>
        <w:spacing w:before="120" w:after="240"/>
        <w:jc w:val="right"/>
        <w:rPr>
          <w:b/>
          <w:color w:val="000000" w:themeColor="text1"/>
        </w:rPr>
      </w:pPr>
      <w:r w:rsidRPr="00FD3526">
        <w:rPr>
          <w:b/>
          <w:color w:val="000000" w:themeColor="text1"/>
        </w:rPr>
        <w:t xml:space="preserve">ACCHS, Metropolitan location </w:t>
      </w:r>
    </w:p>
    <w:p w14:paraId="041CA9CB" w14:textId="0CE90EBE" w:rsidR="00BA4726" w:rsidRPr="00884FAA" w:rsidRDefault="0074185D" w:rsidP="00FD55C8">
      <w:r>
        <w:t>The</w:t>
      </w:r>
      <w:r w:rsidR="009C3A65">
        <w:t xml:space="preserve"> strong</w:t>
      </w:r>
      <w:r>
        <w:t xml:space="preserve"> reliance on IAHP funding was </w:t>
      </w:r>
      <w:r w:rsidR="00067047">
        <w:t xml:space="preserve">reflected in the estimates provided by health service managers that </w:t>
      </w:r>
      <w:r w:rsidR="005D3DE6" w:rsidRPr="00884FAA">
        <w:t xml:space="preserve">IAHP funding </w:t>
      </w:r>
      <w:r w:rsidR="00BA4726" w:rsidRPr="00884FAA">
        <w:t xml:space="preserve">represented a majority of their total </w:t>
      </w:r>
      <w:r w:rsidR="00D91035">
        <w:t xml:space="preserve">reported </w:t>
      </w:r>
      <w:r w:rsidR="00007204" w:rsidRPr="00884FAA">
        <w:t>revenue.</w:t>
      </w:r>
      <w:r w:rsidR="00BA4726" w:rsidRPr="00884FAA">
        <w:t xml:space="preserve"> M</w:t>
      </w:r>
      <w:r w:rsidR="00F972EA" w:rsidRPr="00884FAA">
        <w:t>any</w:t>
      </w:r>
      <w:r w:rsidR="00325152" w:rsidRPr="00884FAA">
        <w:t xml:space="preserve"> </w:t>
      </w:r>
      <w:r w:rsidR="008B3241" w:rsidRPr="00884FAA">
        <w:t xml:space="preserve">estimated </w:t>
      </w:r>
      <w:r w:rsidR="00C45666" w:rsidRPr="00884FAA">
        <w:t>that IAHP funding</w:t>
      </w:r>
      <w:r w:rsidR="00A23B61">
        <w:t>, in totality,</w:t>
      </w:r>
      <w:r w:rsidR="00C45666" w:rsidRPr="00884FAA">
        <w:t xml:space="preserve"> represented anywhere from </w:t>
      </w:r>
      <w:r w:rsidR="00F66336" w:rsidRPr="00884FAA">
        <w:t>60</w:t>
      </w:r>
      <w:r w:rsidR="00072429" w:rsidRPr="00884FAA">
        <w:t xml:space="preserve">% to </w:t>
      </w:r>
      <w:r w:rsidR="00F66336" w:rsidRPr="00884FAA">
        <w:t xml:space="preserve">90% of their organisation’s total </w:t>
      </w:r>
      <w:r w:rsidR="00007204" w:rsidRPr="00884FAA">
        <w:t>revenue</w:t>
      </w:r>
      <w:r w:rsidR="00F66336" w:rsidRPr="00884FAA">
        <w:t>.</w:t>
      </w:r>
      <w:r w:rsidR="008B3241" w:rsidRPr="00884FAA">
        <w:t xml:space="preserve"> </w:t>
      </w:r>
    </w:p>
    <w:p w14:paraId="2A1A8503" w14:textId="0DB2E1BB" w:rsidR="002A508A" w:rsidRPr="00884FAA" w:rsidRDefault="00BA4726" w:rsidP="00FD55C8">
      <w:r w:rsidRPr="00884FAA">
        <w:t xml:space="preserve">However, when </w:t>
      </w:r>
      <w:r w:rsidR="004420A0">
        <w:t>considering</w:t>
      </w:r>
      <w:r w:rsidR="004420A0" w:rsidRPr="00884FAA">
        <w:t xml:space="preserve"> </w:t>
      </w:r>
      <w:r w:rsidR="00B555B3">
        <w:t xml:space="preserve">the proportion of IAHP funding through </w:t>
      </w:r>
      <w:r w:rsidR="002A508A" w:rsidRPr="00884FAA">
        <w:t>data analysis,</w:t>
      </w:r>
      <w:r w:rsidR="002A508A" w:rsidRPr="00884FAA" w:rsidDel="005943CA">
        <w:t xml:space="preserve"> </w:t>
      </w:r>
      <w:r w:rsidR="000649F1">
        <w:t>it was clear that many site</w:t>
      </w:r>
      <w:r w:rsidR="005943CA">
        <w:t xml:space="preserve"> partners</w:t>
      </w:r>
      <w:r w:rsidR="000649F1">
        <w:t xml:space="preserve"> overestimated the </w:t>
      </w:r>
      <w:r w:rsidR="005943CA">
        <w:t>contribution of IAHP</w:t>
      </w:r>
      <w:r w:rsidR="000649F1">
        <w:t xml:space="preserve"> </w:t>
      </w:r>
      <w:r w:rsidR="005943CA">
        <w:t xml:space="preserve">to </w:t>
      </w:r>
      <w:r w:rsidR="000649F1">
        <w:t>their total funding</w:t>
      </w:r>
      <w:r w:rsidR="005943CA">
        <w:t xml:space="preserve">. </w:t>
      </w:r>
      <w:r w:rsidR="00234DAB">
        <w:t xml:space="preserve">Funding data indicates that </w:t>
      </w:r>
      <w:r w:rsidR="00234DAB" w:rsidRPr="00234DAB">
        <w:t>the</w:t>
      </w:r>
      <w:r w:rsidR="008B3241" w:rsidRPr="00884FAA" w:rsidDel="005943CA">
        <w:t xml:space="preserve"> </w:t>
      </w:r>
      <w:r w:rsidR="00CE6A9D" w:rsidRPr="00884FAA" w:rsidDel="005943CA">
        <w:t>IAHP</w:t>
      </w:r>
      <w:r w:rsidR="00F859FE" w:rsidRPr="00884FAA" w:rsidDel="005943CA">
        <w:t xml:space="preserve"> accounted for</w:t>
      </w:r>
      <w:r w:rsidR="00FF2E22" w:rsidRPr="00884FAA" w:rsidDel="005943CA">
        <w:t xml:space="preserve"> </w:t>
      </w:r>
      <w:r w:rsidR="004B776D" w:rsidRPr="00884FAA" w:rsidDel="005943CA">
        <w:t xml:space="preserve">between 6% and </w:t>
      </w:r>
      <w:r w:rsidR="009B5759" w:rsidRPr="00884FAA" w:rsidDel="005943CA">
        <w:t xml:space="preserve">58% </w:t>
      </w:r>
      <w:r w:rsidR="002E4B48" w:rsidRPr="00884FAA" w:rsidDel="005943CA">
        <w:t xml:space="preserve">of </w:t>
      </w:r>
      <w:r w:rsidR="00F859FE" w:rsidRPr="00884FAA" w:rsidDel="005943CA">
        <w:t xml:space="preserve">the total </w:t>
      </w:r>
      <w:r w:rsidR="00C27464">
        <w:t xml:space="preserve">reported </w:t>
      </w:r>
      <w:r w:rsidR="00F859FE" w:rsidRPr="00884FAA" w:rsidDel="005943CA">
        <w:t>re</w:t>
      </w:r>
      <w:r w:rsidR="004F3213" w:rsidRPr="00884FAA" w:rsidDel="005943CA">
        <w:t xml:space="preserve">venue of the </w:t>
      </w:r>
      <w:r w:rsidR="002E4B48" w:rsidRPr="00884FAA" w:rsidDel="005943CA">
        <w:t>funded organisations in the 17 evaluation sites</w:t>
      </w:r>
      <w:r w:rsidR="004719A6" w:rsidRPr="00884FAA" w:rsidDel="005943CA">
        <w:t xml:space="preserve"> in 2020-21, with an average of </w:t>
      </w:r>
      <w:r w:rsidR="00565945">
        <w:t>35%.</w:t>
      </w:r>
      <w:r w:rsidR="002E4B48" w:rsidRPr="005D1C41">
        <w:rPr>
          <w:rStyle w:val="FootnoteReference"/>
        </w:rPr>
        <w:footnoteReference w:id="45"/>
      </w:r>
      <w:r w:rsidR="002E4B48" w:rsidRPr="00884FAA">
        <w:t xml:space="preserve"> </w:t>
      </w:r>
    </w:p>
    <w:p w14:paraId="5A103E61" w14:textId="77BB6CEF" w:rsidR="002B38FF" w:rsidRDefault="00377580" w:rsidP="00FD55C8">
      <w:r w:rsidRPr="00884FAA">
        <w:t xml:space="preserve">There are likely to be various reasons why the </w:t>
      </w:r>
      <w:r w:rsidR="00F87234" w:rsidRPr="00884FAA">
        <w:t xml:space="preserve">total </w:t>
      </w:r>
      <w:r w:rsidR="00ED4CC6" w:rsidRPr="00884FAA">
        <w:t>value of IAHP funding was over</w:t>
      </w:r>
      <w:r w:rsidR="00CF5828" w:rsidRPr="00884FAA">
        <w:t xml:space="preserve">estimated by site partners. </w:t>
      </w:r>
      <w:r w:rsidR="00F87234" w:rsidRPr="00884FAA">
        <w:t>For example, i</w:t>
      </w:r>
      <w:r w:rsidR="00356FBD" w:rsidRPr="00884FAA">
        <w:t xml:space="preserve">t could be </w:t>
      </w:r>
      <w:r w:rsidR="00816022" w:rsidRPr="00884FAA">
        <w:t>because</w:t>
      </w:r>
      <w:r w:rsidR="00356FBD" w:rsidRPr="00884FAA">
        <w:t xml:space="preserve"> </w:t>
      </w:r>
      <w:r w:rsidR="006D2D65" w:rsidRPr="00884FAA">
        <w:t>the di</w:t>
      </w:r>
      <w:r w:rsidR="008C3A20" w:rsidRPr="00884FAA">
        <w:t xml:space="preserve">stinction between </w:t>
      </w:r>
      <w:r w:rsidR="00F87234" w:rsidRPr="00884FAA">
        <w:t xml:space="preserve">funding sources and </w:t>
      </w:r>
      <w:r w:rsidR="00046863" w:rsidRPr="00884FAA">
        <w:t xml:space="preserve">funding streams </w:t>
      </w:r>
      <w:r w:rsidR="00BD5A54" w:rsidRPr="00884FAA">
        <w:t xml:space="preserve">is </w:t>
      </w:r>
      <w:r w:rsidR="00046863" w:rsidRPr="00884FAA">
        <w:t>not always clear</w:t>
      </w:r>
      <w:r w:rsidR="00CE3A95" w:rsidRPr="00884FAA">
        <w:t>,</w:t>
      </w:r>
      <w:r w:rsidR="00363C33" w:rsidRPr="00884FAA">
        <w:t xml:space="preserve"> or </w:t>
      </w:r>
      <w:r w:rsidR="001664F6" w:rsidRPr="00884FAA">
        <w:t xml:space="preserve">health service managers </w:t>
      </w:r>
      <w:r w:rsidR="008A1014" w:rsidRPr="00884FAA">
        <w:t xml:space="preserve">could be </w:t>
      </w:r>
      <w:r w:rsidR="00076902" w:rsidRPr="00884FAA">
        <w:t>responding in terms of</w:t>
      </w:r>
      <w:r w:rsidR="00614340">
        <w:t xml:space="preserve"> the</w:t>
      </w:r>
      <w:r w:rsidR="00076902" w:rsidRPr="00884FAA">
        <w:t xml:space="preserve"> IAHP’s </w:t>
      </w:r>
      <w:r w:rsidR="008A1014" w:rsidRPr="00884FAA">
        <w:t xml:space="preserve">overall </w:t>
      </w:r>
      <w:r w:rsidR="00076902" w:rsidRPr="00884FAA">
        <w:t>contribution to core clinical service</w:t>
      </w:r>
      <w:r w:rsidR="002353F6" w:rsidRPr="00884FAA">
        <w:t xml:space="preserve"> delivery</w:t>
      </w:r>
      <w:r w:rsidR="00076902" w:rsidRPr="00884FAA">
        <w:t>.</w:t>
      </w:r>
      <w:r w:rsidR="00810E83" w:rsidRPr="00884FAA">
        <w:t xml:space="preserve"> </w:t>
      </w:r>
      <w:r w:rsidR="00BD5A54" w:rsidRPr="00884FAA">
        <w:t>In a</w:t>
      </w:r>
      <w:r w:rsidR="00D418C5" w:rsidRPr="00884FAA">
        <w:t xml:space="preserve">ddition, many ACCHSs provide services </w:t>
      </w:r>
      <w:r w:rsidR="00880FE9" w:rsidRPr="00884FAA">
        <w:t>well beyond ‘health’ services (</w:t>
      </w:r>
      <w:r w:rsidR="002D0170" w:rsidRPr="00884FAA">
        <w:t xml:space="preserve">such as </w:t>
      </w:r>
      <w:r w:rsidR="00880FE9" w:rsidRPr="00884FAA">
        <w:t xml:space="preserve">housing </w:t>
      </w:r>
      <w:r w:rsidR="002D0170" w:rsidRPr="00884FAA">
        <w:t xml:space="preserve">or NDIS </w:t>
      </w:r>
      <w:r w:rsidR="00880FE9" w:rsidRPr="00884FAA">
        <w:t>support</w:t>
      </w:r>
      <w:r w:rsidR="002D0170" w:rsidRPr="00884FAA">
        <w:t>s)</w:t>
      </w:r>
      <w:r w:rsidR="00880FE9" w:rsidRPr="00884FAA">
        <w:t xml:space="preserve">, </w:t>
      </w:r>
      <w:r w:rsidR="00EA7081" w:rsidRPr="00884FAA">
        <w:t xml:space="preserve">and the </w:t>
      </w:r>
      <w:r w:rsidR="00AD6481" w:rsidRPr="00884FAA">
        <w:t xml:space="preserve">higher estimate </w:t>
      </w:r>
      <w:r w:rsidR="009C4BB1" w:rsidRPr="00884FAA">
        <w:t>may reflect an organisation’s ‘health’ funding.</w:t>
      </w:r>
      <w:r w:rsidR="00880FE9" w:rsidRPr="00884FAA">
        <w:t xml:space="preserve"> </w:t>
      </w:r>
    </w:p>
    <w:p w14:paraId="03CAF9CD" w14:textId="0D993D5B" w:rsidR="005943CA" w:rsidRPr="00884FAA" w:rsidRDefault="005943CA" w:rsidP="005943CA">
      <w:r w:rsidRPr="00884FAA">
        <w:t xml:space="preserve">The distribution of funding across the 23 ACCHSs is shown in </w:t>
      </w:r>
      <w:r w:rsidRPr="00884FAA">
        <w:fldChar w:fldCharType="begin"/>
      </w:r>
      <w:r w:rsidRPr="00884FAA">
        <w:instrText xml:space="preserve"> REF _Ref130729686 \h </w:instrText>
      </w:r>
      <w:r w:rsidRPr="00884FAA">
        <w:fldChar w:fldCharType="separate"/>
      </w:r>
      <w:r w:rsidR="00165B17" w:rsidRPr="00884FAA">
        <w:t xml:space="preserve">Figure </w:t>
      </w:r>
      <w:r w:rsidR="00165B17">
        <w:rPr>
          <w:noProof/>
        </w:rPr>
        <w:t>7</w:t>
      </w:r>
      <w:r w:rsidR="00165B17">
        <w:noBreakHyphen/>
      </w:r>
      <w:r w:rsidR="00165B17">
        <w:rPr>
          <w:noProof/>
        </w:rPr>
        <w:t>1</w:t>
      </w:r>
      <w:r w:rsidRPr="00884FAA">
        <w:fldChar w:fldCharType="end"/>
      </w:r>
      <w:r w:rsidRPr="00884FAA">
        <w:t xml:space="preserve">. Funded organisations’ total </w:t>
      </w:r>
      <w:r>
        <w:t>funding</w:t>
      </w:r>
      <w:r w:rsidRPr="00884FAA">
        <w:t xml:space="preserve"> in 2020-21 ranged from around $1 million to $120 million, with an average of $20 million and median of $14 million.</w:t>
      </w:r>
    </w:p>
    <w:p w14:paraId="6F5C9064" w14:textId="51497C71" w:rsidR="000B1347" w:rsidRPr="00884FAA" w:rsidRDefault="00636390" w:rsidP="00636390">
      <w:pPr>
        <w:pStyle w:val="TableFigure-Header"/>
        <w:rPr>
          <w:lang w:val="en-AU"/>
        </w:rPr>
      </w:pPr>
      <w:bookmarkStart w:id="208" w:name="_Ref130729686"/>
      <w:bookmarkStart w:id="209" w:name="_Toc138851342"/>
      <w:r w:rsidRPr="00884FAA">
        <w:rPr>
          <w:lang w:val="en-AU"/>
        </w:rPr>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7</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w:t>
      </w:r>
      <w:r w:rsidR="005B4A4F">
        <w:rPr>
          <w:lang w:val="en-AU"/>
        </w:rPr>
        <w:fldChar w:fldCharType="end"/>
      </w:r>
      <w:bookmarkEnd w:id="208"/>
      <w:r w:rsidRPr="00884FAA">
        <w:rPr>
          <w:lang w:val="en-AU"/>
        </w:rPr>
        <w:t xml:space="preserve">. </w:t>
      </w:r>
      <w:r w:rsidR="00004CBD">
        <w:rPr>
          <w:lang w:val="en-AU"/>
        </w:rPr>
        <w:t xml:space="preserve">Total </w:t>
      </w:r>
      <w:r w:rsidRPr="00884FAA">
        <w:rPr>
          <w:lang w:val="en-AU"/>
        </w:rPr>
        <w:t xml:space="preserve">IAHP funding received directly through grants from the Department of Health and Aged Care as a proportion of total </w:t>
      </w:r>
      <w:r w:rsidR="00C27464">
        <w:rPr>
          <w:lang w:val="en-AU"/>
        </w:rPr>
        <w:t xml:space="preserve">reported </w:t>
      </w:r>
      <w:r w:rsidRPr="00884FAA">
        <w:rPr>
          <w:lang w:val="en-AU"/>
        </w:rPr>
        <w:t>revenue, 2020-21</w:t>
      </w:r>
      <w:bookmarkEnd w:id="209"/>
    </w:p>
    <w:p w14:paraId="1C5932B6" w14:textId="4E6BA121" w:rsidR="000B1347" w:rsidRPr="00884FAA" w:rsidRDefault="00A4000C" w:rsidP="00884A50">
      <w:pPr>
        <w:spacing w:after="0"/>
        <w:jc w:val="left"/>
      </w:pPr>
      <w:r w:rsidRPr="00884FAA">
        <w:rPr>
          <w:noProof/>
        </w:rPr>
        <w:drawing>
          <wp:inline distT="0" distB="0" distL="0" distR="0" wp14:anchorId="02004FB6" wp14:editId="4D1022F6">
            <wp:extent cx="4572000" cy="2520000"/>
            <wp:effectExtent l="0" t="0" r="0" b="13970"/>
            <wp:docPr id="57" name="Chart 57" descr="Bar graph">
              <a:extLst xmlns:a="http://schemas.openxmlformats.org/drawingml/2006/main">
                <a:ext uri="{FF2B5EF4-FFF2-40B4-BE49-F238E27FC236}">
                  <a16:creationId xmlns:a16="http://schemas.microsoft.com/office/drawing/2014/main" id="{5DBAFC1A-075D-0847-689E-1C61B5924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61D0F5A" w14:textId="64E7A319" w:rsidR="000B1347" w:rsidRPr="00884FAA" w:rsidRDefault="00075321" w:rsidP="00E616E8">
      <w:pPr>
        <w:spacing w:after="360"/>
      </w:pPr>
      <w:r w:rsidRPr="00884FAA">
        <w:rPr>
          <w:sz w:val="21"/>
          <w:szCs w:val="21"/>
        </w:rPr>
        <w:t>Source: Based on data provided by the Department of Health and Aged Care, March 2023; ACCHS annual financial reports.</w:t>
      </w:r>
    </w:p>
    <w:p w14:paraId="0AC7EA3D" w14:textId="1AF431C8" w:rsidR="0004616E" w:rsidRPr="00884FAA" w:rsidRDefault="0060546A" w:rsidP="00FD55C8">
      <w:r w:rsidRPr="00884FAA">
        <w:lastRenderedPageBreak/>
        <w:t xml:space="preserve">To understand </w:t>
      </w:r>
      <w:r w:rsidR="0030644C" w:rsidRPr="00884FAA">
        <w:t xml:space="preserve">the </w:t>
      </w:r>
      <w:r w:rsidR="005C479B" w:rsidRPr="00884FAA">
        <w:t xml:space="preserve">role </w:t>
      </w:r>
      <w:r w:rsidR="0030644C" w:rsidRPr="00884FAA">
        <w:t xml:space="preserve">of IAHP </w:t>
      </w:r>
      <w:r w:rsidRPr="00884FAA">
        <w:t>funding within these services</w:t>
      </w:r>
      <w:r w:rsidR="00141ED5" w:rsidRPr="00884FAA">
        <w:t xml:space="preserve">, the evaluation team </w:t>
      </w:r>
      <w:r w:rsidR="003574E8" w:rsidRPr="00884FAA">
        <w:t xml:space="preserve">examined characteristics of ACCHSs </w:t>
      </w:r>
      <w:r w:rsidR="0072415D" w:rsidRPr="00884FAA">
        <w:t xml:space="preserve">(size and location) </w:t>
      </w:r>
      <w:r w:rsidR="002F328E" w:rsidRPr="00884FAA">
        <w:t xml:space="preserve">to test if </w:t>
      </w:r>
      <w:r w:rsidR="0072415D" w:rsidRPr="00884FAA">
        <w:t>these</w:t>
      </w:r>
      <w:r w:rsidR="002F328E" w:rsidRPr="00884FAA">
        <w:t xml:space="preserve"> were associated with reliance on IAHP funding</w:t>
      </w:r>
      <w:r w:rsidR="000B7F35" w:rsidRPr="00884FAA">
        <w:t xml:space="preserve">, using an assumption that </w:t>
      </w:r>
      <w:r w:rsidR="00D966F7" w:rsidRPr="00884FAA">
        <w:t xml:space="preserve">a higher </w:t>
      </w:r>
      <w:r w:rsidR="000B7F35" w:rsidRPr="00884FAA">
        <w:t>proportion of an organ</w:t>
      </w:r>
      <w:r w:rsidR="002757FD" w:rsidRPr="00884FAA">
        <w:t>isation’s</w:t>
      </w:r>
      <w:r w:rsidR="000B7F35" w:rsidRPr="00884FAA">
        <w:t xml:space="preserve"> total </w:t>
      </w:r>
      <w:r w:rsidR="00C27464">
        <w:t xml:space="preserve">reported </w:t>
      </w:r>
      <w:r w:rsidR="000B7F35" w:rsidRPr="006C0E52" w:rsidDel="00614340">
        <w:t>revenue</w:t>
      </w:r>
      <w:r w:rsidR="000B7F35" w:rsidRPr="00884FAA" w:rsidDel="00614340">
        <w:t xml:space="preserve"> </w:t>
      </w:r>
      <w:r w:rsidR="006F30E6" w:rsidRPr="00884FAA">
        <w:t>from IAHP equates to a higher reliance on</w:t>
      </w:r>
      <w:r w:rsidR="00614340">
        <w:t xml:space="preserve"> the</w:t>
      </w:r>
      <w:r w:rsidR="006F30E6" w:rsidRPr="00884FAA">
        <w:t xml:space="preserve"> IAHP</w:t>
      </w:r>
      <w:r w:rsidR="0038519B" w:rsidRPr="00884FAA">
        <w:t xml:space="preserve">. </w:t>
      </w:r>
      <w:r w:rsidR="00F85F9A" w:rsidRPr="00884FAA">
        <w:t xml:space="preserve">Because of the skewed distribution of the data, </w:t>
      </w:r>
      <w:r w:rsidR="00CA61DF" w:rsidRPr="00884FAA">
        <w:t xml:space="preserve">the evaluation </w:t>
      </w:r>
      <w:r w:rsidR="00000CDB" w:rsidRPr="00884FAA">
        <w:t xml:space="preserve">looked at </w:t>
      </w:r>
      <w:r w:rsidR="00766346" w:rsidRPr="00884FAA">
        <w:t>the median as a measure of central tendency.</w:t>
      </w:r>
      <w:r w:rsidR="008052D5" w:rsidRPr="00884FAA">
        <w:t xml:space="preserve"> </w:t>
      </w:r>
      <w:r w:rsidR="005D3E3F" w:rsidRPr="00884FAA">
        <w:t xml:space="preserve">Smaller ACCHSs (based on total </w:t>
      </w:r>
      <w:r w:rsidR="00C27464">
        <w:t xml:space="preserve">reported </w:t>
      </w:r>
      <w:r w:rsidR="005D3E3F" w:rsidRPr="00884FAA">
        <w:t>revenue) and</w:t>
      </w:r>
      <w:r w:rsidR="008F6316" w:rsidRPr="00884FAA">
        <w:t>/or</w:t>
      </w:r>
      <w:r w:rsidR="005D3E3F" w:rsidRPr="00884FAA">
        <w:t xml:space="preserve"> </w:t>
      </w:r>
      <w:r w:rsidR="00716A5C" w:rsidRPr="00884FAA">
        <w:t xml:space="preserve">ACCHSs in remote locations </w:t>
      </w:r>
      <w:r w:rsidR="00590A76" w:rsidRPr="00884FAA">
        <w:t>appear to be more dependent on IAHP funding</w:t>
      </w:r>
      <w:r w:rsidR="00115CDD" w:rsidRPr="00884FAA">
        <w:t xml:space="preserve"> (</w:t>
      </w:r>
      <w:r w:rsidR="00115CDD" w:rsidRPr="006C0E52">
        <w:fldChar w:fldCharType="begin"/>
      </w:r>
      <w:r w:rsidR="00115CDD" w:rsidRPr="006C0E52">
        <w:instrText xml:space="preserve"> REF _Ref130729811 \h </w:instrText>
      </w:r>
      <w:r w:rsidR="006C0E52">
        <w:instrText xml:space="preserve"> \* MERGEFORMAT </w:instrText>
      </w:r>
      <w:r w:rsidR="00115CDD" w:rsidRPr="006C0E52">
        <w:fldChar w:fldCharType="separate"/>
      </w:r>
      <w:r w:rsidR="00165B17" w:rsidRPr="00884FAA">
        <w:t xml:space="preserve">Table </w:t>
      </w:r>
      <w:r w:rsidR="00165B17">
        <w:rPr>
          <w:noProof/>
        </w:rPr>
        <w:t>7</w:t>
      </w:r>
      <w:r w:rsidR="00165B17">
        <w:rPr>
          <w:noProof/>
        </w:rPr>
        <w:noBreakHyphen/>
        <w:t>1</w:t>
      </w:r>
      <w:r w:rsidR="00115CDD" w:rsidRPr="006C0E52">
        <w:fldChar w:fldCharType="end"/>
      </w:r>
      <w:r w:rsidR="006904B2" w:rsidRPr="006C0E52">
        <w:t>)</w:t>
      </w:r>
      <w:r w:rsidR="00590A76" w:rsidRPr="006C0E52">
        <w:t>.</w:t>
      </w:r>
      <w:r w:rsidR="00A314EC" w:rsidRPr="00884FAA">
        <w:t xml:space="preserve"> </w:t>
      </w:r>
      <w:r w:rsidR="00A81B83" w:rsidRPr="00884FAA">
        <w:t>Of the 8</w:t>
      </w:r>
      <w:r w:rsidR="00860706" w:rsidRPr="00884FAA">
        <w:t xml:space="preserve"> small ACCHSs, 7 were in remote locations and none were in metro locations</w:t>
      </w:r>
      <w:r w:rsidR="0020688B" w:rsidRPr="00884FAA">
        <w:t>. There were, however, large ACCHSs</w:t>
      </w:r>
      <w:r w:rsidR="00E43D57" w:rsidRPr="00884FAA">
        <w:t xml:space="preserve"> across the </w:t>
      </w:r>
      <w:r w:rsidR="007E304E" w:rsidRPr="00884FAA">
        <w:t xml:space="preserve">remoteness </w:t>
      </w:r>
      <w:r w:rsidR="00B87B06" w:rsidRPr="00884FAA">
        <w:t>areas</w:t>
      </w:r>
      <w:r w:rsidR="007E304E" w:rsidRPr="00884FAA">
        <w:t>.</w:t>
      </w:r>
    </w:p>
    <w:p w14:paraId="38895D89" w14:textId="11BA1F36" w:rsidR="00B31A59" w:rsidRPr="00884FAA" w:rsidRDefault="00445EB1" w:rsidP="00445EB1">
      <w:pPr>
        <w:pStyle w:val="TableFigure-Header"/>
        <w:rPr>
          <w:lang w:val="en-AU"/>
        </w:rPr>
      </w:pPr>
      <w:bookmarkStart w:id="210" w:name="_Ref130729811"/>
      <w:bookmarkStart w:id="211" w:name="_Toc138851279"/>
      <w:bookmarkStart w:id="212" w:name="_Toc130540087"/>
      <w:r w:rsidRPr="00884FAA">
        <w:rPr>
          <w:lang w:val="en-AU"/>
        </w:rPr>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7</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1</w:t>
      </w:r>
      <w:r w:rsidR="00B92D87">
        <w:rPr>
          <w:lang w:val="en-AU"/>
        </w:rPr>
        <w:fldChar w:fldCharType="end"/>
      </w:r>
      <w:bookmarkEnd w:id="210"/>
      <w:r w:rsidRPr="00884FAA">
        <w:rPr>
          <w:lang w:val="en-AU"/>
        </w:rPr>
        <w:t xml:space="preserve">. </w:t>
      </w:r>
      <w:r w:rsidR="00B31A59" w:rsidRPr="00884FAA">
        <w:rPr>
          <w:rStyle w:val="TableText-Bold"/>
          <w:b/>
        </w:rPr>
        <w:t>Characteristics of ACCHSs and dependency on IAHP funding</w:t>
      </w:r>
      <w:bookmarkEnd w:id="211"/>
    </w:p>
    <w:tbl>
      <w:tblPr>
        <w:tblStyle w:val="ACTableDesign"/>
        <w:tblW w:w="0" w:type="auto"/>
        <w:tblLook w:val="06A0" w:firstRow="1" w:lastRow="0" w:firstColumn="1" w:lastColumn="0" w:noHBand="1" w:noVBand="1"/>
      </w:tblPr>
      <w:tblGrid>
        <w:gridCol w:w="4928"/>
        <w:gridCol w:w="2049"/>
        <w:gridCol w:w="2043"/>
      </w:tblGrid>
      <w:tr w:rsidR="00760DE9" w:rsidRPr="00884FAA" w14:paraId="79B54E90" w14:textId="77777777" w:rsidTr="00B31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bookmarkEnd w:id="212"/>
          <w:p w14:paraId="3A324431" w14:textId="4BDC99DD" w:rsidR="00B9635F" w:rsidRPr="0058387D" w:rsidRDefault="001D6C1F" w:rsidP="00CB34D8">
            <w:pPr>
              <w:spacing w:before="60" w:after="60"/>
            </w:pPr>
            <w:r w:rsidRPr="0058387D">
              <w:t>ACCHS c</w:t>
            </w:r>
            <w:r w:rsidR="00CF48B8" w:rsidRPr="0058387D">
              <w:t>haracteristic</w:t>
            </w:r>
          </w:p>
        </w:tc>
        <w:tc>
          <w:tcPr>
            <w:tcW w:w="2049" w:type="dxa"/>
          </w:tcPr>
          <w:p w14:paraId="356ED156" w14:textId="3AEE3095" w:rsidR="00B9635F" w:rsidRPr="0058387D" w:rsidRDefault="00760DE9" w:rsidP="00CB34D8">
            <w:pPr>
              <w:spacing w:before="60" w:after="60"/>
              <w:jc w:val="center"/>
              <w:cnfStyle w:val="100000000000" w:firstRow="1" w:lastRow="0" w:firstColumn="0" w:lastColumn="0" w:oddVBand="0" w:evenVBand="0" w:oddHBand="0" w:evenHBand="0" w:firstRowFirstColumn="0" w:firstRowLastColumn="0" w:lastRowFirstColumn="0" w:lastRowLastColumn="0"/>
            </w:pPr>
            <w:r w:rsidRPr="0058387D">
              <w:t>Number of organisations</w:t>
            </w:r>
          </w:p>
        </w:tc>
        <w:tc>
          <w:tcPr>
            <w:tcW w:w="2043" w:type="dxa"/>
          </w:tcPr>
          <w:p w14:paraId="7761B04C" w14:textId="337E0BA7" w:rsidR="00B9635F" w:rsidRPr="0058387D" w:rsidRDefault="00760DE9" w:rsidP="00CB34D8">
            <w:pPr>
              <w:spacing w:before="60" w:after="60"/>
              <w:jc w:val="center"/>
              <w:cnfStyle w:val="100000000000" w:firstRow="1" w:lastRow="0" w:firstColumn="0" w:lastColumn="0" w:oddVBand="0" w:evenVBand="0" w:oddHBand="0" w:evenHBand="0" w:firstRowFirstColumn="0" w:firstRowLastColumn="0" w:lastRowFirstColumn="0" w:lastRowLastColumn="0"/>
            </w:pPr>
            <w:r w:rsidRPr="0058387D">
              <w:t>Median</w:t>
            </w:r>
            <w:r w:rsidR="007632A9" w:rsidRPr="0058387D">
              <w:t xml:space="preserve"> </w:t>
            </w:r>
            <w:r w:rsidR="00EE0CC6" w:rsidRPr="0058387D">
              <w:t xml:space="preserve">income </w:t>
            </w:r>
            <w:r w:rsidR="0019790D" w:rsidRPr="0058387D">
              <w:t>derived from IAHP</w:t>
            </w:r>
          </w:p>
        </w:tc>
      </w:tr>
      <w:tr w:rsidR="00B9635F" w:rsidRPr="00884FAA" w14:paraId="75AE41C5" w14:textId="77777777" w:rsidTr="00B31A59">
        <w:tc>
          <w:tcPr>
            <w:cnfStyle w:val="001000000000" w:firstRow="0" w:lastRow="0" w:firstColumn="1" w:lastColumn="0" w:oddVBand="0" w:evenVBand="0" w:oddHBand="0" w:evenHBand="0" w:firstRowFirstColumn="0" w:firstRowLastColumn="0" w:lastRowFirstColumn="0" w:lastRowLastColumn="0"/>
            <w:tcW w:w="4928" w:type="dxa"/>
          </w:tcPr>
          <w:p w14:paraId="3B93ED5D" w14:textId="3EFD3DCF" w:rsidR="00B9635F" w:rsidRPr="00884FAA" w:rsidRDefault="00F37387" w:rsidP="003E46E7">
            <w:pPr>
              <w:spacing w:before="60" w:after="60"/>
              <w:jc w:val="left"/>
            </w:pPr>
            <w:r w:rsidRPr="00884FAA">
              <w:t xml:space="preserve">Small </w:t>
            </w:r>
            <w:r w:rsidR="00EB3AFA" w:rsidRPr="00884FAA">
              <w:t>(total annual revenue less than $10 million)</w:t>
            </w:r>
          </w:p>
        </w:tc>
        <w:tc>
          <w:tcPr>
            <w:tcW w:w="2049" w:type="dxa"/>
          </w:tcPr>
          <w:p w14:paraId="3505D6C9" w14:textId="63F914F7" w:rsidR="00B9635F" w:rsidRPr="00884FAA" w:rsidRDefault="00C749BC"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8</w:t>
            </w:r>
          </w:p>
        </w:tc>
        <w:tc>
          <w:tcPr>
            <w:tcW w:w="2043" w:type="dxa"/>
          </w:tcPr>
          <w:p w14:paraId="3C0DBA3B" w14:textId="7CA2A923" w:rsidR="00B9635F" w:rsidRPr="00884FAA" w:rsidRDefault="007E202D"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49%</w:t>
            </w:r>
          </w:p>
        </w:tc>
      </w:tr>
      <w:tr w:rsidR="00B9635F" w:rsidRPr="00884FAA" w14:paraId="4466653F" w14:textId="77777777" w:rsidTr="00B31A59">
        <w:tc>
          <w:tcPr>
            <w:cnfStyle w:val="001000000000" w:firstRow="0" w:lastRow="0" w:firstColumn="1" w:lastColumn="0" w:oddVBand="0" w:evenVBand="0" w:oddHBand="0" w:evenHBand="0" w:firstRowFirstColumn="0" w:firstRowLastColumn="0" w:lastRowFirstColumn="0" w:lastRowLastColumn="0"/>
            <w:tcW w:w="4928" w:type="dxa"/>
          </w:tcPr>
          <w:p w14:paraId="391E28B0" w14:textId="435A448B" w:rsidR="00B9635F" w:rsidRPr="00884FAA" w:rsidRDefault="00EB3AFA" w:rsidP="003E46E7">
            <w:pPr>
              <w:spacing w:before="60" w:after="60"/>
              <w:jc w:val="left"/>
            </w:pPr>
            <w:r w:rsidRPr="00884FAA">
              <w:t>Large (total annual revenue more than $20 million)</w:t>
            </w:r>
          </w:p>
        </w:tc>
        <w:tc>
          <w:tcPr>
            <w:tcW w:w="2049" w:type="dxa"/>
          </w:tcPr>
          <w:p w14:paraId="550BC72C" w14:textId="65A626E3" w:rsidR="00B9635F" w:rsidRPr="00884FAA" w:rsidRDefault="00C749BC"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6</w:t>
            </w:r>
          </w:p>
        </w:tc>
        <w:tc>
          <w:tcPr>
            <w:tcW w:w="2043" w:type="dxa"/>
          </w:tcPr>
          <w:p w14:paraId="3FE4B7A7" w14:textId="5DEE9D98" w:rsidR="00B9635F" w:rsidRPr="00884FAA" w:rsidRDefault="007E202D"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29%</w:t>
            </w:r>
          </w:p>
        </w:tc>
      </w:tr>
      <w:tr w:rsidR="00B9635F" w:rsidRPr="00884FAA" w14:paraId="65A3AFF3" w14:textId="77777777" w:rsidTr="00B31A59">
        <w:tc>
          <w:tcPr>
            <w:cnfStyle w:val="001000000000" w:firstRow="0" w:lastRow="0" w:firstColumn="1" w:lastColumn="0" w:oddVBand="0" w:evenVBand="0" w:oddHBand="0" w:evenHBand="0" w:firstRowFirstColumn="0" w:firstRowLastColumn="0" w:lastRowFirstColumn="0" w:lastRowLastColumn="0"/>
            <w:tcW w:w="4928" w:type="dxa"/>
          </w:tcPr>
          <w:p w14:paraId="27470B16" w14:textId="11C4F600" w:rsidR="00B9635F" w:rsidRPr="00884FAA" w:rsidRDefault="001D406F" w:rsidP="003E46E7">
            <w:pPr>
              <w:spacing w:before="60" w:after="60"/>
              <w:jc w:val="left"/>
            </w:pPr>
            <w:r w:rsidRPr="00884FAA">
              <w:t>Remote</w:t>
            </w:r>
          </w:p>
        </w:tc>
        <w:tc>
          <w:tcPr>
            <w:tcW w:w="2049" w:type="dxa"/>
          </w:tcPr>
          <w:p w14:paraId="6B8125BA" w14:textId="03EAF2CB" w:rsidR="00B9635F" w:rsidRPr="00884FAA" w:rsidRDefault="000134DB"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11</w:t>
            </w:r>
          </w:p>
        </w:tc>
        <w:tc>
          <w:tcPr>
            <w:tcW w:w="2043" w:type="dxa"/>
          </w:tcPr>
          <w:p w14:paraId="54914F7F" w14:textId="2A7CF261" w:rsidR="00B9635F" w:rsidRPr="00884FAA" w:rsidRDefault="00D5341D"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49%</w:t>
            </w:r>
          </w:p>
        </w:tc>
      </w:tr>
      <w:tr w:rsidR="00B9635F" w:rsidRPr="00884FAA" w14:paraId="4A4061A3" w14:textId="77777777" w:rsidTr="00B31A59">
        <w:tc>
          <w:tcPr>
            <w:cnfStyle w:val="001000000000" w:firstRow="0" w:lastRow="0" w:firstColumn="1" w:lastColumn="0" w:oddVBand="0" w:evenVBand="0" w:oddHBand="0" w:evenHBand="0" w:firstRowFirstColumn="0" w:firstRowLastColumn="0" w:lastRowFirstColumn="0" w:lastRowLastColumn="0"/>
            <w:tcW w:w="4928" w:type="dxa"/>
          </w:tcPr>
          <w:p w14:paraId="53A1DDEF" w14:textId="6B4CD1F7" w:rsidR="00B9635F" w:rsidRPr="00884FAA" w:rsidRDefault="001D406F" w:rsidP="003E46E7">
            <w:pPr>
              <w:spacing w:before="60" w:after="60"/>
              <w:jc w:val="left"/>
            </w:pPr>
            <w:r w:rsidRPr="00884FAA">
              <w:t>Metro</w:t>
            </w:r>
          </w:p>
        </w:tc>
        <w:tc>
          <w:tcPr>
            <w:tcW w:w="2049" w:type="dxa"/>
          </w:tcPr>
          <w:p w14:paraId="03CBFFCE" w14:textId="67710207" w:rsidR="00B9635F" w:rsidRPr="00884FAA" w:rsidRDefault="000134DB"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6</w:t>
            </w:r>
          </w:p>
        </w:tc>
        <w:tc>
          <w:tcPr>
            <w:tcW w:w="2043" w:type="dxa"/>
          </w:tcPr>
          <w:p w14:paraId="44213D7B" w14:textId="32CBD077" w:rsidR="00B9635F" w:rsidRPr="00884FAA" w:rsidRDefault="00D5341D" w:rsidP="00081464">
            <w:pPr>
              <w:spacing w:before="60" w:after="60"/>
              <w:jc w:val="center"/>
              <w:cnfStyle w:val="000000000000" w:firstRow="0" w:lastRow="0" w:firstColumn="0" w:lastColumn="0" w:oddVBand="0" w:evenVBand="0" w:oddHBand="0" w:evenHBand="0" w:firstRowFirstColumn="0" w:firstRowLastColumn="0" w:lastRowFirstColumn="0" w:lastRowLastColumn="0"/>
            </w:pPr>
            <w:r w:rsidRPr="00884FAA">
              <w:t>2</w:t>
            </w:r>
            <w:r w:rsidR="008835D4" w:rsidRPr="00884FAA">
              <w:t>6</w:t>
            </w:r>
            <w:r w:rsidRPr="00884FAA">
              <w:t>%</w:t>
            </w:r>
          </w:p>
        </w:tc>
      </w:tr>
    </w:tbl>
    <w:p w14:paraId="6C481E5E" w14:textId="089A4D78" w:rsidR="00B9635F" w:rsidRPr="00884FAA" w:rsidRDefault="008052D5" w:rsidP="008052D5">
      <w:pPr>
        <w:spacing w:before="360"/>
      </w:pPr>
      <w:r w:rsidRPr="00884FAA">
        <w:t>Notwithstanding this analysis, the overwhelming feedback from health service managers indicates that all funded organisations</w:t>
      </w:r>
      <w:r w:rsidR="00531D4D" w:rsidRPr="00884FAA">
        <w:t xml:space="preserve"> </w:t>
      </w:r>
      <w:r w:rsidR="00083B70" w:rsidRPr="00884FAA">
        <w:t>rely on IAHP funding</w:t>
      </w:r>
      <w:r w:rsidR="00620673" w:rsidRPr="00884FAA">
        <w:t>.</w:t>
      </w:r>
    </w:p>
    <w:p w14:paraId="035E1331" w14:textId="7BB8CE42" w:rsidR="008052D5" w:rsidRPr="00A1178E" w:rsidRDefault="008052D5" w:rsidP="00B075B4">
      <w:pPr>
        <w:pStyle w:val="Quote"/>
        <w:spacing w:after="0"/>
        <w:rPr>
          <w:color w:val="18525E" w:themeColor="accent5" w:themeShade="80"/>
        </w:rPr>
      </w:pPr>
      <w:r w:rsidRPr="00A1178E">
        <w:rPr>
          <w:color w:val="18525E" w:themeColor="accent5" w:themeShade="80"/>
        </w:rPr>
        <w:t>So, we know IAHP is basically the core of most services, not all services, but the majority of the services say if we didn't have IAHP, we would most likely wouldn't be able to open our doors.</w:t>
      </w:r>
    </w:p>
    <w:p w14:paraId="26F5633C" w14:textId="56AB7AAF" w:rsidR="00B075B4" w:rsidRPr="00B075B4" w:rsidRDefault="00B075B4" w:rsidP="00B075B4">
      <w:pPr>
        <w:jc w:val="right"/>
        <w:rPr>
          <w:b/>
          <w:bCs/>
        </w:rPr>
      </w:pPr>
      <w:r w:rsidRPr="00B075B4">
        <w:rPr>
          <w:b/>
          <w:bCs/>
        </w:rPr>
        <w:t xml:space="preserve">ACCHS, Metropolitan location </w:t>
      </w:r>
    </w:p>
    <w:p w14:paraId="27E3FDF3" w14:textId="76A190FD" w:rsidR="00CB5F95" w:rsidRPr="00A1178E" w:rsidRDefault="00CB5F95" w:rsidP="00B075B4">
      <w:pPr>
        <w:pStyle w:val="Quote"/>
        <w:spacing w:before="240" w:after="0"/>
        <w:rPr>
          <w:color w:val="18525E" w:themeColor="accent5" w:themeShade="80"/>
        </w:rPr>
      </w:pPr>
      <w:r w:rsidRPr="00A1178E">
        <w:rPr>
          <w:color w:val="18525E" w:themeColor="accent5" w:themeShade="80"/>
        </w:rPr>
        <w:t>[IAHP] is the core funding. It's the basis of providing primary health care - basic primary health care - clinical services. It's what we build everything from</w:t>
      </w:r>
      <w:r w:rsidR="00A74B6A" w:rsidRPr="00A1178E">
        <w:rPr>
          <w:color w:val="18525E" w:themeColor="accent5" w:themeShade="80"/>
        </w:rPr>
        <w:t xml:space="preserve"> …. </w:t>
      </w:r>
      <w:r w:rsidRPr="00A1178E">
        <w:rPr>
          <w:color w:val="18525E" w:themeColor="accent5" w:themeShade="80"/>
        </w:rPr>
        <w:t xml:space="preserve"> if we didn't have that funding that supports the recruitment of clinicians, Aboriginal health practitioners, RANS and our GPs, well, we couldn't provide a service.</w:t>
      </w:r>
    </w:p>
    <w:p w14:paraId="73A6E4B7" w14:textId="3D2E4D02" w:rsidR="00B075B4" w:rsidRPr="00B075B4" w:rsidRDefault="00B075B4" w:rsidP="00B075B4">
      <w:pPr>
        <w:jc w:val="right"/>
        <w:rPr>
          <w:b/>
          <w:bCs/>
        </w:rPr>
      </w:pPr>
      <w:r w:rsidRPr="00B075B4">
        <w:rPr>
          <w:b/>
          <w:bCs/>
        </w:rPr>
        <w:t xml:space="preserve">ACCHS, Remote location </w:t>
      </w:r>
    </w:p>
    <w:p w14:paraId="56608BDA" w14:textId="2F0A1254" w:rsidR="00385795" w:rsidRPr="00884FAA" w:rsidRDefault="00385795" w:rsidP="00385795">
      <w:r w:rsidRPr="00884FAA">
        <w:t xml:space="preserve">When asked about the benefits of </w:t>
      </w:r>
      <w:r w:rsidR="00867BAC" w:rsidRPr="00884FAA">
        <w:t>the</w:t>
      </w:r>
      <w:r w:rsidRPr="00884FAA">
        <w:t xml:space="preserve"> IAHP, health service managers </w:t>
      </w:r>
      <w:r w:rsidR="00FC5C32" w:rsidRPr="00884FAA">
        <w:t>referred</w:t>
      </w:r>
      <w:r w:rsidRPr="00884FAA">
        <w:t xml:space="preserve"> to scenario</w:t>
      </w:r>
      <w:r w:rsidR="009C51F7" w:rsidRPr="00884FAA">
        <w:t>s</w:t>
      </w:r>
      <w:r w:rsidRPr="00884FAA">
        <w:t xml:space="preserve"> of what would happen if they did</w:t>
      </w:r>
      <w:r w:rsidR="00922639" w:rsidRPr="00884FAA">
        <w:t xml:space="preserve"> </w:t>
      </w:r>
      <w:r w:rsidRPr="00884FAA">
        <w:t>n</w:t>
      </w:r>
      <w:r w:rsidR="00922639" w:rsidRPr="00884FAA">
        <w:t>o</w:t>
      </w:r>
      <w:r w:rsidRPr="00884FAA">
        <w:t xml:space="preserve">t </w:t>
      </w:r>
      <w:r w:rsidR="007623FA" w:rsidRPr="00884FAA">
        <w:t>get</w:t>
      </w:r>
      <w:r w:rsidRPr="00884FAA">
        <w:t xml:space="preserve"> the </w:t>
      </w:r>
      <w:r w:rsidR="007623FA" w:rsidRPr="00884FAA">
        <w:t>funding</w:t>
      </w:r>
      <w:r w:rsidRPr="00884FAA">
        <w:t xml:space="preserve">. They </w:t>
      </w:r>
      <w:r w:rsidR="008D0117">
        <w:t xml:space="preserve">reflected on </w:t>
      </w:r>
      <w:r w:rsidR="00E911DB" w:rsidRPr="00884FAA">
        <w:t xml:space="preserve">the likely impact on </w:t>
      </w:r>
      <w:r w:rsidR="00B411C4" w:rsidRPr="00884FAA">
        <w:t xml:space="preserve">the delivery of care and </w:t>
      </w:r>
      <w:r w:rsidR="00665545" w:rsidRPr="00884FAA">
        <w:t xml:space="preserve">their ability to keep clinics operating </w:t>
      </w:r>
      <w:r w:rsidR="00AE66E0" w:rsidRPr="00884FAA">
        <w:t xml:space="preserve">at current or even significantly reduced levels </w:t>
      </w:r>
      <w:r w:rsidR="00430F29" w:rsidRPr="00884FAA">
        <w:t xml:space="preserve">of staffing. </w:t>
      </w:r>
      <w:r w:rsidRPr="00884FAA">
        <w:t>Th</w:t>
      </w:r>
      <w:r w:rsidR="00E777A8" w:rsidRPr="00884FAA">
        <w:t>e discussions clearly indicate</w:t>
      </w:r>
      <w:r w:rsidRPr="00884FAA">
        <w:t xml:space="preserve"> how crucial IAHP’s contribution is to the existence of Aboriginal and Torres Strait Islander health </w:t>
      </w:r>
      <w:r w:rsidR="00B76120" w:rsidRPr="00884FAA">
        <w:t>organisations</w:t>
      </w:r>
      <w:r w:rsidR="00BD6D3D" w:rsidRPr="00884FAA">
        <w:t xml:space="preserve"> and the continuing presence of health services within many communities</w:t>
      </w:r>
      <w:r w:rsidRPr="00884FAA">
        <w:t xml:space="preserve">. </w:t>
      </w:r>
    </w:p>
    <w:p w14:paraId="50E205FB" w14:textId="52FFF075" w:rsidR="00385795" w:rsidRPr="00884FAA" w:rsidRDefault="0067672A" w:rsidP="00385795">
      <w:r w:rsidRPr="00884FAA">
        <w:t xml:space="preserve">When considering what might happen if IAHP funding was no longer available, </w:t>
      </w:r>
      <w:r w:rsidR="00A91946" w:rsidRPr="00884FAA">
        <w:t>many</w:t>
      </w:r>
      <w:r w:rsidRPr="00884FAA">
        <w:t xml:space="preserve"> services noted that they would not be able to operate on Medicare funding alone. </w:t>
      </w:r>
      <w:r w:rsidR="00385795" w:rsidRPr="00884FAA">
        <w:t>A</w:t>
      </w:r>
      <w:r w:rsidR="002E6BC4" w:rsidRPr="00884FAA">
        <w:t>CCHSs</w:t>
      </w:r>
      <w:r w:rsidR="00385795" w:rsidRPr="00884FAA">
        <w:t xml:space="preserve"> are typically bulk billing services and they </w:t>
      </w:r>
      <w:r w:rsidR="00C87209" w:rsidRPr="00884FAA">
        <w:t xml:space="preserve">would </w:t>
      </w:r>
      <w:r w:rsidR="00385795" w:rsidRPr="00884FAA">
        <w:t>struggle to cover the operational costs of clinical services through Medicare</w:t>
      </w:r>
      <w:r w:rsidR="00C87209" w:rsidRPr="00884FAA">
        <w:t xml:space="preserve"> payments alone</w:t>
      </w:r>
      <w:r w:rsidR="00385795" w:rsidRPr="00884FAA">
        <w:t xml:space="preserve">. The IAHP is seen to ‘boost’ the operation of PHC and functions as an additional resource to cover </w:t>
      </w:r>
      <w:r w:rsidR="006C7754" w:rsidRPr="00884FAA">
        <w:t xml:space="preserve">operational and other costs that are not covered through </w:t>
      </w:r>
      <w:r w:rsidR="00385795" w:rsidRPr="00884FAA">
        <w:t>Medicare</w:t>
      </w:r>
      <w:r w:rsidR="006C7754" w:rsidRPr="00884FAA">
        <w:t xml:space="preserve"> payment arrangements.</w:t>
      </w:r>
    </w:p>
    <w:p w14:paraId="0A0C5B95" w14:textId="7FF953FF" w:rsidR="00385795" w:rsidRPr="00A1178E" w:rsidRDefault="00385795" w:rsidP="00B075B4">
      <w:pPr>
        <w:pStyle w:val="Quote"/>
        <w:spacing w:after="0"/>
        <w:rPr>
          <w:color w:val="18525E" w:themeColor="accent5" w:themeShade="80"/>
        </w:rPr>
      </w:pPr>
      <w:r w:rsidRPr="00A1178E">
        <w:rPr>
          <w:color w:val="18525E" w:themeColor="accent5" w:themeShade="80"/>
        </w:rPr>
        <w:lastRenderedPageBreak/>
        <w:t>So, the doctor earns about what the Medicare rebate is. And the practice then has to balance the rest. In mainstream practices, it is about 50 bucks a consult to run the practice. What we do, because we're bulk billing, we only receive the 30 bucks</w:t>
      </w:r>
      <w:r w:rsidR="008B14EF" w:rsidRPr="00A1178E">
        <w:rPr>
          <w:color w:val="18525E" w:themeColor="accent5" w:themeShade="80"/>
        </w:rPr>
        <w:t xml:space="preserve"> …a</w:t>
      </w:r>
      <w:r w:rsidRPr="00A1178E">
        <w:rPr>
          <w:color w:val="18525E" w:themeColor="accent5" w:themeShade="80"/>
        </w:rPr>
        <w:t xml:space="preserve">nd that's before we pay the doctor. So what IAHP does for us is that it </w:t>
      </w:r>
      <w:r w:rsidR="0038256C" w:rsidRPr="00A1178E">
        <w:rPr>
          <w:color w:val="18525E" w:themeColor="accent5" w:themeShade="80"/>
        </w:rPr>
        <w:t>…</w:t>
      </w:r>
      <w:r w:rsidRPr="00A1178E">
        <w:rPr>
          <w:color w:val="18525E" w:themeColor="accent5" w:themeShade="80"/>
        </w:rPr>
        <w:t xml:space="preserve"> makes up for that 50 bucks that we miss out on compared to a mainstream non-bulk billing practice. Pure and simple. Without IAHP, we would not have medical practices. I can't be plainer than that.</w:t>
      </w:r>
    </w:p>
    <w:p w14:paraId="654B7551" w14:textId="07A29618" w:rsidR="00B075B4" w:rsidRDefault="00B075B4" w:rsidP="00B075B4">
      <w:pPr>
        <w:jc w:val="right"/>
        <w:rPr>
          <w:b/>
          <w:bCs/>
        </w:rPr>
      </w:pPr>
      <w:r w:rsidRPr="00B075B4">
        <w:rPr>
          <w:b/>
          <w:bCs/>
        </w:rPr>
        <w:t xml:space="preserve">ACCHS, Regional location </w:t>
      </w:r>
    </w:p>
    <w:p w14:paraId="357EFFBE" w14:textId="77777777" w:rsidR="00E44E72" w:rsidRPr="00884FAA" w:rsidRDefault="00E44E72" w:rsidP="00651D06">
      <w:pPr>
        <w:pStyle w:val="Heading3"/>
      </w:pPr>
      <w:bookmarkStart w:id="213" w:name="_Toc127859816"/>
      <w:bookmarkStart w:id="214" w:name="_Toc128408902"/>
      <w:r w:rsidRPr="00884FAA">
        <w:t>IAHP funding supplements other funding sources</w:t>
      </w:r>
    </w:p>
    <w:p w14:paraId="6425E18E" w14:textId="5EBA7721" w:rsidR="00E44E72" w:rsidRPr="00A1178E" w:rsidRDefault="00E44E72" w:rsidP="00B075B4">
      <w:pPr>
        <w:pStyle w:val="Quote"/>
        <w:spacing w:after="0"/>
        <w:rPr>
          <w:color w:val="18525E" w:themeColor="accent5" w:themeShade="80"/>
        </w:rPr>
      </w:pPr>
      <w:r w:rsidRPr="00A1178E">
        <w:rPr>
          <w:color w:val="18525E" w:themeColor="accent5" w:themeShade="80"/>
        </w:rPr>
        <w:t>The two critical chunks (of funding) are IAHP, needed to run programs and pay medical staff, and SEWB. Another 10-15 contracts make up 50% of the funding.</w:t>
      </w:r>
    </w:p>
    <w:p w14:paraId="10C393A2" w14:textId="1E1E8E54" w:rsidR="00B075B4" w:rsidRPr="00B075B4" w:rsidRDefault="00B075B4" w:rsidP="00FB59E8">
      <w:pPr>
        <w:spacing w:before="120"/>
        <w:jc w:val="right"/>
        <w:rPr>
          <w:b/>
          <w:bCs/>
        </w:rPr>
      </w:pPr>
      <w:r w:rsidRPr="00B075B4">
        <w:rPr>
          <w:b/>
          <w:bCs/>
        </w:rPr>
        <w:t xml:space="preserve">ACCHS, Metropolitan location </w:t>
      </w:r>
    </w:p>
    <w:p w14:paraId="2362208D" w14:textId="503D71B1" w:rsidR="00B72BD9" w:rsidRPr="00884FAA" w:rsidRDefault="006C603F" w:rsidP="00E44E72">
      <w:r w:rsidRPr="00884FAA">
        <w:t xml:space="preserve">As noted above in relation to Medicare, </w:t>
      </w:r>
      <w:r w:rsidR="00E44E72" w:rsidRPr="00884FAA">
        <w:t>ACCHSs rely on the IAHP supplementing other funding sources, including from Australian, state and territory governments, non-government</w:t>
      </w:r>
      <w:r w:rsidR="00986E66" w:rsidRPr="00884FAA">
        <w:t>,</w:t>
      </w:r>
      <w:r w:rsidR="00E44E72" w:rsidRPr="00884FAA">
        <w:t xml:space="preserve"> and private organisations, to sustain their </w:t>
      </w:r>
      <w:r w:rsidR="00F43E43" w:rsidRPr="00884FAA">
        <w:t>operations</w:t>
      </w:r>
      <w:r w:rsidR="00E44E72" w:rsidRPr="00884FAA">
        <w:t xml:space="preserve">. As noted in </w:t>
      </w:r>
      <w:r w:rsidR="00813425" w:rsidRPr="00884FAA">
        <w:t>the previous section</w:t>
      </w:r>
      <w:r w:rsidR="00E44E72" w:rsidRPr="00884FAA">
        <w:t>, for the 23 ACCHS site partners, IAHP funding represented, on average, 3</w:t>
      </w:r>
      <w:r w:rsidR="005419FE" w:rsidRPr="00884FAA">
        <w:t>5</w:t>
      </w:r>
      <w:r w:rsidR="00E44E72" w:rsidRPr="00884FAA">
        <w:t xml:space="preserve">% of their total </w:t>
      </w:r>
      <w:r w:rsidR="00C27464">
        <w:t xml:space="preserve">reported </w:t>
      </w:r>
      <w:r w:rsidR="00E44E72" w:rsidRPr="00884FAA">
        <w:t xml:space="preserve">revenue for the year ending 30 June 2021. </w:t>
      </w:r>
    </w:p>
    <w:p w14:paraId="1C4AF402" w14:textId="3B72E3F4" w:rsidR="00E44E72" w:rsidRPr="00884FAA" w:rsidRDefault="00386466" w:rsidP="00E44E72">
      <w:r w:rsidRPr="00884FAA">
        <w:t xml:space="preserve">To support service delivery, many ACCHSs source funding through a range of different avenues and </w:t>
      </w:r>
      <w:r w:rsidR="001A0EAE">
        <w:t>combine</w:t>
      </w:r>
      <w:r w:rsidR="001A0EAE" w:rsidRPr="00884FAA">
        <w:t xml:space="preserve"> </w:t>
      </w:r>
      <w:r w:rsidRPr="00884FAA">
        <w:t xml:space="preserve">this funding </w:t>
      </w:r>
      <w:r w:rsidR="00E44E72" w:rsidRPr="00884FAA">
        <w:t xml:space="preserve">to </w:t>
      </w:r>
      <w:r w:rsidR="001A0EAE">
        <w:t xml:space="preserve">support the delivery of </w:t>
      </w:r>
      <w:r w:rsidR="00E44E72" w:rsidRPr="00884FAA">
        <w:t>holistic care.</w:t>
      </w:r>
    </w:p>
    <w:p w14:paraId="027FA807" w14:textId="76DD05FF" w:rsidR="00E44E72" w:rsidRPr="00884FAA" w:rsidRDefault="00F43E43" w:rsidP="00E44E72">
      <w:r w:rsidRPr="00884FAA">
        <w:t>A</w:t>
      </w:r>
      <w:r w:rsidR="00E44E72" w:rsidRPr="00884FAA">
        <w:t>nalysis of grant funding from Australian Government agencies</w:t>
      </w:r>
      <w:r w:rsidR="00E44E72" w:rsidRPr="005D1C41">
        <w:rPr>
          <w:rStyle w:val="FootnoteReference"/>
        </w:rPr>
        <w:footnoteReference w:id="46"/>
      </w:r>
      <w:r w:rsidR="00E44E72" w:rsidRPr="00884FAA">
        <w:t xml:space="preserve"> show</w:t>
      </w:r>
      <w:r w:rsidR="004E7253" w:rsidRPr="00884FAA">
        <w:t>ed</w:t>
      </w:r>
      <w:r w:rsidR="00E44E72" w:rsidRPr="00884FAA">
        <w:t xml:space="preserve"> that organisations that received IAHP </w:t>
      </w:r>
      <w:r w:rsidR="000F7ACE">
        <w:t>PHC Program</w:t>
      </w:r>
      <w:r w:rsidR="00E44E72" w:rsidRPr="00884FAA">
        <w:t xml:space="preserve"> funding (at least once since 2018) were awarded, on average, 16 other Australian Government grants over the 5-year period to 31 December 2022. The range </w:t>
      </w:r>
      <w:r w:rsidR="00386466" w:rsidRPr="00884FAA">
        <w:t xml:space="preserve">of additional </w:t>
      </w:r>
      <w:r w:rsidR="00A745FF" w:rsidRPr="00884FAA">
        <w:t xml:space="preserve">Australian Government grants </w:t>
      </w:r>
      <w:r w:rsidR="00E44E72" w:rsidRPr="00884FAA">
        <w:t>was wide, from 1 to 48 grants per organisation</w:t>
      </w:r>
      <w:r w:rsidR="00E44E72" w:rsidRPr="005D1C41">
        <w:rPr>
          <w:rStyle w:val="FootnoteReference"/>
        </w:rPr>
        <w:footnoteReference w:id="47"/>
      </w:r>
      <w:r w:rsidR="00E44E72" w:rsidRPr="00884FAA">
        <w:t>, with a total of 3,647 grants. This analysis is limited to grants administered through GrantConnect</w:t>
      </w:r>
      <w:r w:rsidR="00C23684" w:rsidRPr="005D1C41">
        <w:rPr>
          <w:rStyle w:val="FootnoteReference"/>
        </w:rPr>
        <w:footnoteReference w:id="48"/>
      </w:r>
      <w:r w:rsidR="00AA35E2">
        <w:t xml:space="preserve"> </w:t>
      </w:r>
      <w:r w:rsidR="00E44E72" w:rsidRPr="00884FAA">
        <w:t>which excludes, for example, onward grants made by organisations such as PHNs that commission services with Australian Government funding (</w:t>
      </w:r>
      <w:r w:rsidR="004E7253" w:rsidRPr="00884FAA">
        <w:t>for example,</w:t>
      </w:r>
      <w:r w:rsidR="00E44E72" w:rsidRPr="00884FAA">
        <w:t xml:space="preserve"> under the ITC program).</w:t>
      </w:r>
      <w:r w:rsidR="001D003B" w:rsidRPr="005D1C41">
        <w:rPr>
          <w:rStyle w:val="FootnoteReference"/>
        </w:rPr>
        <w:footnoteReference w:id="49"/>
      </w:r>
      <w:r w:rsidR="00A745FF" w:rsidRPr="00884FAA">
        <w:t xml:space="preserve"> Combined with other funding sources, it is likely that the number of funding programs that contribute to service delivery for ACCHSs is much larger. </w:t>
      </w:r>
    </w:p>
    <w:p w14:paraId="6DB142C7" w14:textId="2EF982D6" w:rsidR="00012946" w:rsidRPr="00B71429" w:rsidRDefault="00E44E72" w:rsidP="00C71733">
      <w:pPr>
        <w:jc w:val="left"/>
      </w:pPr>
      <w:r w:rsidRPr="00884FAA">
        <w:t xml:space="preserve">The reliance on multiple funding sources is evident in data shared by </w:t>
      </w:r>
      <w:r w:rsidR="006D2482">
        <w:t>5</w:t>
      </w:r>
      <w:r w:rsidR="006D2482" w:rsidRPr="00884FAA">
        <w:t xml:space="preserve"> </w:t>
      </w:r>
      <w:r w:rsidRPr="00884FAA">
        <w:t>ACCHS site partners – two metro, one regional and two remote services</w:t>
      </w:r>
      <w:r w:rsidR="00913627" w:rsidRPr="00884FAA">
        <w:t xml:space="preserve"> (</w:t>
      </w:r>
      <w:r w:rsidR="00B71429">
        <w:fldChar w:fldCharType="begin"/>
      </w:r>
      <w:r w:rsidR="00B71429">
        <w:instrText xml:space="preserve"> REF _Ref138846049 \h </w:instrText>
      </w:r>
      <w:r w:rsidR="00B71429">
        <w:fldChar w:fldCharType="separate"/>
      </w:r>
      <w:r w:rsidR="00165B17" w:rsidRPr="00884FAA">
        <w:t xml:space="preserve">Table </w:t>
      </w:r>
      <w:r w:rsidR="00165B17">
        <w:rPr>
          <w:noProof/>
        </w:rPr>
        <w:t>7</w:t>
      </w:r>
      <w:r w:rsidR="00165B17">
        <w:noBreakHyphen/>
      </w:r>
      <w:r w:rsidR="00165B17">
        <w:rPr>
          <w:noProof/>
        </w:rPr>
        <w:t>2</w:t>
      </w:r>
      <w:r w:rsidR="00B71429">
        <w:fldChar w:fldCharType="end"/>
      </w:r>
      <w:r w:rsidRPr="00884FAA">
        <w:t xml:space="preserve">). </w:t>
      </w:r>
    </w:p>
    <w:p w14:paraId="1A5591C2" w14:textId="77777777" w:rsidR="00B71429" w:rsidRDefault="00B71429">
      <w:pPr>
        <w:jc w:val="left"/>
      </w:pPr>
      <w:r>
        <w:br w:type="page"/>
      </w:r>
    </w:p>
    <w:p w14:paraId="750CE955" w14:textId="68AB9A91" w:rsidR="00012946" w:rsidRPr="00884FAA" w:rsidRDefault="00E44E72" w:rsidP="00E44E72">
      <w:r w:rsidRPr="00884FAA">
        <w:lastRenderedPageBreak/>
        <w:t xml:space="preserve">Collectively, for the </w:t>
      </w:r>
      <w:r w:rsidR="006D2482">
        <w:t>5</w:t>
      </w:r>
      <w:r w:rsidR="006D2482" w:rsidRPr="00884FAA">
        <w:t xml:space="preserve"> </w:t>
      </w:r>
      <w:r w:rsidR="00012946" w:rsidRPr="00884FAA">
        <w:t>ACCHSs:</w:t>
      </w:r>
    </w:p>
    <w:p w14:paraId="0C68C854" w14:textId="6E0FB32A" w:rsidR="00012946" w:rsidRPr="00343EB2" w:rsidRDefault="00CC345E" w:rsidP="00343EB2">
      <w:pPr>
        <w:numPr>
          <w:ilvl w:val="0"/>
          <w:numId w:val="19"/>
        </w:numPr>
        <w:spacing w:after="120"/>
        <w:rPr>
          <w:bCs/>
        </w:rPr>
      </w:pPr>
      <w:r>
        <w:rPr>
          <w:bCs/>
        </w:rPr>
        <w:t xml:space="preserve">The </w:t>
      </w:r>
      <w:r w:rsidR="00E44E72" w:rsidRPr="00343EB2">
        <w:rPr>
          <w:bCs/>
        </w:rPr>
        <w:t xml:space="preserve">IAHP accounted for approximately 14% of direct funding sources and one-third (34%) of total income, making </w:t>
      </w:r>
      <w:r w:rsidR="000E6B48" w:rsidRPr="00343EB2">
        <w:rPr>
          <w:bCs/>
        </w:rPr>
        <w:t xml:space="preserve">IAHP </w:t>
      </w:r>
      <w:r w:rsidR="00E44E72" w:rsidRPr="00343EB2">
        <w:rPr>
          <w:bCs/>
        </w:rPr>
        <w:t xml:space="preserve">the single largest source of income. </w:t>
      </w:r>
    </w:p>
    <w:p w14:paraId="123DE5A6" w14:textId="0B606754" w:rsidR="00012946" w:rsidRPr="00343EB2" w:rsidRDefault="00E44E72" w:rsidP="00343EB2">
      <w:pPr>
        <w:numPr>
          <w:ilvl w:val="0"/>
          <w:numId w:val="19"/>
        </w:numPr>
        <w:spacing w:after="120"/>
        <w:rPr>
          <w:bCs/>
        </w:rPr>
      </w:pPr>
      <w:r w:rsidRPr="00343EB2">
        <w:rPr>
          <w:bCs/>
        </w:rPr>
        <w:t xml:space="preserve">Grants from state and territory government agencies was the next largest income source, at 27%. </w:t>
      </w:r>
    </w:p>
    <w:p w14:paraId="0422E619" w14:textId="7EA3078A" w:rsidR="00012946" w:rsidRPr="00343EB2" w:rsidRDefault="00E44E72" w:rsidP="00343EB2">
      <w:pPr>
        <w:numPr>
          <w:ilvl w:val="0"/>
          <w:numId w:val="19"/>
        </w:numPr>
        <w:spacing w:after="120"/>
        <w:rPr>
          <w:bCs/>
        </w:rPr>
      </w:pPr>
      <w:r w:rsidRPr="00343EB2">
        <w:rPr>
          <w:bCs/>
        </w:rPr>
        <w:t xml:space="preserve">Australian Government agencies accounted for more than one-third (37%) of all funding sources and just under half (45%) of total income for the </w:t>
      </w:r>
      <w:r w:rsidR="006D2482" w:rsidRPr="00343EB2">
        <w:rPr>
          <w:bCs/>
        </w:rPr>
        <w:t xml:space="preserve">5 </w:t>
      </w:r>
      <w:r w:rsidRPr="00343EB2">
        <w:rPr>
          <w:bCs/>
        </w:rPr>
        <w:t xml:space="preserve">ACCHSs. </w:t>
      </w:r>
    </w:p>
    <w:p w14:paraId="765DC9F7" w14:textId="2AD9E495" w:rsidR="00E44E72" w:rsidRPr="00343EB2" w:rsidRDefault="00E44E72" w:rsidP="00343EB2">
      <w:pPr>
        <w:numPr>
          <w:ilvl w:val="0"/>
          <w:numId w:val="19"/>
        </w:numPr>
        <w:spacing w:after="120"/>
        <w:rPr>
          <w:bCs/>
        </w:rPr>
      </w:pPr>
      <w:r w:rsidRPr="00343EB2">
        <w:rPr>
          <w:bCs/>
        </w:rPr>
        <w:t>Medicare contributed approximately 5% of income, similar to PHNs.</w:t>
      </w:r>
    </w:p>
    <w:p w14:paraId="0719F622" w14:textId="6252348A" w:rsidR="00E44E72" w:rsidRPr="00884FAA" w:rsidRDefault="00913627" w:rsidP="00913627">
      <w:pPr>
        <w:pStyle w:val="TableFigure-Header"/>
        <w:rPr>
          <w:lang w:val="en-AU"/>
        </w:rPr>
      </w:pPr>
      <w:bookmarkStart w:id="215" w:name="_Ref130729946"/>
      <w:bookmarkStart w:id="216" w:name="_Ref138846049"/>
      <w:bookmarkStart w:id="217" w:name="_Toc138851280"/>
      <w:r w:rsidRPr="00884FAA">
        <w:rPr>
          <w:lang w:val="en-AU"/>
        </w:rPr>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7</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2</w:t>
      </w:r>
      <w:r w:rsidR="00B92D87">
        <w:rPr>
          <w:lang w:val="en-AU"/>
        </w:rPr>
        <w:fldChar w:fldCharType="end"/>
      </w:r>
      <w:bookmarkEnd w:id="215"/>
      <w:bookmarkEnd w:id="216"/>
      <w:r w:rsidRPr="00884FAA">
        <w:rPr>
          <w:lang w:val="en-AU"/>
        </w:rPr>
        <w:t xml:space="preserve">. </w:t>
      </w:r>
      <w:r w:rsidR="00E44E72" w:rsidRPr="00884FAA">
        <w:rPr>
          <w:lang w:val="en-AU"/>
        </w:rPr>
        <w:t xml:space="preserve">Health service income by funding source, </w:t>
      </w:r>
      <w:r w:rsidR="006D2482">
        <w:rPr>
          <w:lang w:val="en-AU"/>
        </w:rPr>
        <w:t>5</w:t>
      </w:r>
      <w:r w:rsidR="006D2482" w:rsidRPr="00884FAA">
        <w:rPr>
          <w:lang w:val="en-AU"/>
        </w:rPr>
        <w:t xml:space="preserve"> </w:t>
      </w:r>
      <w:r w:rsidR="00E44E72" w:rsidRPr="00884FAA">
        <w:rPr>
          <w:lang w:val="en-AU"/>
        </w:rPr>
        <w:t>ACCHSs, 2021-22</w:t>
      </w:r>
      <w:bookmarkEnd w:id="217"/>
    </w:p>
    <w:tbl>
      <w:tblPr>
        <w:tblStyle w:val="ACTableDesign"/>
        <w:tblW w:w="0" w:type="auto"/>
        <w:tblLook w:val="06A0" w:firstRow="1" w:lastRow="0" w:firstColumn="1" w:lastColumn="0" w:noHBand="1" w:noVBand="1"/>
      </w:tblPr>
      <w:tblGrid>
        <w:gridCol w:w="3045"/>
        <w:gridCol w:w="1400"/>
        <w:gridCol w:w="1831"/>
        <w:gridCol w:w="1400"/>
        <w:gridCol w:w="1344"/>
      </w:tblGrid>
      <w:tr w:rsidR="00E44E72" w:rsidRPr="00884FAA" w14:paraId="4DB74266" w14:textId="77777777" w:rsidTr="00960008">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3045" w:type="dxa"/>
            <w:vMerge w:val="restart"/>
          </w:tcPr>
          <w:p w14:paraId="0A04220A" w14:textId="77777777" w:rsidR="00E44E72" w:rsidRPr="0058387D" w:rsidRDefault="00E44E72" w:rsidP="00960008">
            <w:pPr>
              <w:spacing w:before="60" w:after="60"/>
            </w:pPr>
            <w:r w:rsidRPr="0058387D">
              <w:t>Funding source</w:t>
            </w:r>
          </w:p>
        </w:tc>
        <w:tc>
          <w:tcPr>
            <w:tcW w:w="1400" w:type="dxa"/>
            <w:vMerge w:val="restart"/>
          </w:tcPr>
          <w:p w14:paraId="5B9A8923" w14:textId="77777777" w:rsidR="00E44E72" w:rsidRPr="0058387D" w:rsidRDefault="00E44E72" w:rsidP="00960008">
            <w:pPr>
              <w:spacing w:before="60" w:after="60"/>
              <w:jc w:val="center"/>
              <w:cnfStyle w:val="100000000000" w:firstRow="1" w:lastRow="0" w:firstColumn="0" w:lastColumn="0" w:oddVBand="0" w:evenVBand="0" w:oddHBand="0" w:evenHBand="0" w:firstRowFirstColumn="0" w:firstRowLastColumn="0" w:lastRowFirstColumn="0" w:lastRowLastColumn="0"/>
            </w:pPr>
            <w:r w:rsidRPr="0058387D">
              <w:t>Number of grants</w:t>
            </w:r>
            <w:r w:rsidRPr="0058387D">
              <w:rPr>
                <w:vertAlign w:val="superscript"/>
              </w:rPr>
              <w:t>(a)</w:t>
            </w:r>
          </w:p>
        </w:tc>
        <w:tc>
          <w:tcPr>
            <w:tcW w:w="1831" w:type="dxa"/>
            <w:vMerge w:val="restart"/>
          </w:tcPr>
          <w:p w14:paraId="528BE3B2" w14:textId="77777777" w:rsidR="00E44E72" w:rsidRPr="0058387D" w:rsidRDefault="00E44E72" w:rsidP="00960008">
            <w:pPr>
              <w:spacing w:before="60" w:after="60"/>
              <w:jc w:val="center"/>
              <w:cnfStyle w:val="100000000000" w:firstRow="1" w:lastRow="0" w:firstColumn="0" w:lastColumn="0" w:oddVBand="0" w:evenVBand="0" w:oddHBand="0" w:evenHBand="0" w:firstRowFirstColumn="0" w:firstRowLastColumn="0" w:lastRowFirstColumn="0" w:lastRowLastColumn="0"/>
            </w:pPr>
            <w:r w:rsidRPr="0058387D">
              <w:t>Total value of grants/income</w:t>
            </w:r>
            <w:r w:rsidRPr="0058387D">
              <w:rPr>
                <w:vertAlign w:val="superscript"/>
              </w:rPr>
              <w:t>(b)</w:t>
            </w:r>
          </w:p>
        </w:tc>
        <w:tc>
          <w:tcPr>
            <w:tcW w:w="2744" w:type="dxa"/>
            <w:gridSpan w:val="2"/>
          </w:tcPr>
          <w:p w14:paraId="5BAB17A7" w14:textId="77777777" w:rsidR="00E44E72" w:rsidRPr="0058387D" w:rsidRDefault="00E44E72" w:rsidP="00960008">
            <w:pPr>
              <w:spacing w:before="60" w:after="60"/>
              <w:jc w:val="center"/>
              <w:cnfStyle w:val="100000000000" w:firstRow="1" w:lastRow="0" w:firstColumn="0" w:lastColumn="0" w:oddVBand="0" w:evenVBand="0" w:oddHBand="0" w:evenHBand="0" w:firstRowFirstColumn="0" w:firstRowLastColumn="0" w:lastRowFirstColumn="0" w:lastRowLastColumn="0"/>
            </w:pPr>
            <w:r w:rsidRPr="0058387D">
              <w:t>Grants as % of total</w:t>
            </w:r>
          </w:p>
        </w:tc>
      </w:tr>
      <w:tr w:rsidR="00E44E72" w:rsidRPr="00884FAA" w14:paraId="61108626" w14:textId="77777777" w:rsidTr="00960008">
        <w:trPr>
          <w:trHeight w:val="276"/>
        </w:trPr>
        <w:tc>
          <w:tcPr>
            <w:cnfStyle w:val="001000000000" w:firstRow="0" w:lastRow="0" w:firstColumn="1" w:lastColumn="0" w:oddVBand="0" w:evenVBand="0" w:oddHBand="0" w:evenHBand="0" w:firstRowFirstColumn="0" w:firstRowLastColumn="0" w:lastRowFirstColumn="0" w:lastRowLastColumn="0"/>
            <w:tcW w:w="3045" w:type="dxa"/>
            <w:vMerge/>
          </w:tcPr>
          <w:p w14:paraId="0A7B3001" w14:textId="77777777" w:rsidR="00E44E72" w:rsidRPr="00884FAA" w:rsidRDefault="00E44E72" w:rsidP="00960008">
            <w:pPr>
              <w:spacing w:before="60" w:after="60"/>
              <w:rPr>
                <w:color w:val="FFFFFF" w:themeColor="background1"/>
              </w:rPr>
            </w:pPr>
          </w:p>
        </w:tc>
        <w:tc>
          <w:tcPr>
            <w:tcW w:w="1400" w:type="dxa"/>
            <w:vMerge/>
          </w:tcPr>
          <w:p w14:paraId="32ED4DE3" w14:textId="77777777" w:rsidR="00E44E72" w:rsidRPr="00884FAA" w:rsidRDefault="00E44E72" w:rsidP="00960008">
            <w:pPr>
              <w:spacing w:before="60" w:after="60"/>
              <w:jc w:val="cente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831" w:type="dxa"/>
            <w:vMerge/>
          </w:tcPr>
          <w:p w14:paraId="54D1C7CB" w14:textId="77777777" w:rsidR="00E44E72" w:rsidRPr="00884FAA" w:rsidRDefault="00E44E72" w:rsidP="00960008">
            <w:pPr>
              <w:spacing w:before="60" w:after="60"/>
              <w:jc w:val="center"/>
              <w:cnfStyle w:val="000000000000" w:firstRow="0" w:lastRow="0" w:firstColumn="0" w:lastColumn="0" w:oddVBand="0" w:evenVBand="0" w:oddHBand="0" w:evenHBand="0" w:firstRowFirstColumn="0" w:firstRowLastColumn="0" w:lastRowFirstColumn="0" w:lastRowLastColumn="0"/>
              <w:rPr>
                <w:color w:val="FFFFFF" w:themeColor="background1"/>
              </w:rPr>
            </w:pPr>
          </w:p>
        </w:tc>
        <w:tc>
          <w:tcPr>
            <w:tcW w:w="1400" w:type="dxa"/>
            <w:shd w:val="clear" w:color="auto" w:fill="357DBE" w:themeFill="accent1"/>
          </w:tcPr>
          <w:p w14:paraId="0EEA97C8" w14:textId="77777777" w:rsidR="00E44E72" w:rsidRPr="0058387D" w:rsidRDefault="00E44E72" w:rsidP="00960008">
            <w:pPr>
              <w:spacing w:before="60" w:after="6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58387D">
              <w:rPr>
                <w:b/>
                <w:bCs/>
                <w:color w:val="000000" w:themeColor="text1"/>
              </w:rPr>
              <w:t>Number</w:t>
            </w:r>
          </w:p>
        </w:tc>
        <w:tc>
          <w:tcPr>
            <w:tcW w:w="1344" w:type="dxa"/>
            <w:shd w:val="clear" w:color="auto" w:fill="357DBE" w:themeFill="accent1"/>
          </w:tcPr>
          <w:p w14:paraId="58CD8FBF" w14:textId="77777777" w:rsidR="00E44E72" w:rsidRPr="0058387D" w:rsidRDefault="00E44E72" w:rsidP="00960008">
            <w:pPr>
              <w:spacing w:before="60" w:after="60"/>
              <w:jc w:val="center"/>
              <w:cnfStyle w:val="000000000000" w:firstRow="0" w:lastRow="0" w:firstColumn="0" w:lastColumn="0" w:oddVBand="0" w:evenVBand="0" w:oddHBand="0" w:evenHBand="0" w:firstRowFirstColumn="0" w:firstRowLastColumn="0" w:lastRowFirstColumn="0" w:lastRowLastColumn="0"/>
              <w:rPr>
                <w:b/>
                <w:bCs/>
                <w:color w:val="000000" w:themeColor="text1"/>
              </w:rPr>
            </w:pPr>
            <w:r w:rsidRPr="0058387D">
              <w:rPr>
                <w:b/>
                <w:bCs/>
                <w:color w:val="000000" w:themeColor="text1"/>
              </w:rPr>
              <w:t>Value</w:t>
            </w:r>
          </w:p>
        </w:tc>
      </w:tr>
      <w:tr w:rsidR="00E44E72" w:rsidRPr="00884FAA" w14:paraId="4A8D4F39" w14:textId="77777777" w:rsidTr="00960008">
        <w:tc>
          <w:tcPr>
            <w:cnfStyle w:val="001000000000" w:firstRow="0" w:lastRow="0" w:firstColumn="1" w:lastColumn="0" w:oddVBand="0" w:evenVBand="0" w:oddHBand="0" w:evenHBand="0" w:firstRowFirstColumn="0" w:firstRowLastColumn="0" w:lastRowFirstColumn="0" w:lastRowLastColumn="0"/>
            <w:tcW w:w="3045" w:type="dxa"/>
            <w:shd w:val="clear" w:color="auto" w:fill="D5E4F3" w:themeFill="accent1" w:themeFillTint="33"/>
          </w:tcPr>
          <w:p w14:paraId="51F751FF" w14:textId="77777777" w:rsidR="00E44E72" w:rsidRPr="00884FAA" w:rsidRDefault="00E44E72" w:rsidP="00960008">
            <w:pPr>
              <w:spacing w:before="60" w:after="60"/>
              <w:ind w:left="169"/>
              <w:jc w:val="left"/>
            </w:pPr>
            <w:r w:rsidRPr="00884FAA">
              <w:t>IAHP grants</w:t>
            </w:r>
          </w:p>
        </w:tc>
        <w:tc>
          <w:tcPr>
            <w:tcW w:w="1400" w:type="dxa"/>
            <w:shd w:val="clear" w:color="auto" w:fill="D5E4F3" w:themeFill="accent1" w:themeFillTint="33"/>
          </w:tcPr>
          <w:p w14:paraId="18117696" w14:textId="11DEB728"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22</w:t>
            </w:r>
          </w:p>
        </w:tc>
        <w:tc>
          <w:tcPr>
            <w:tcW w:w="1831" w:type="dxa"/>
            <w:shd w:val="clear" w:color="auto" w:fill="D5E4F3" w:themeFill="accent1" w:themeFillTint="33"/>
          </w:tcPr>
          <w:p w14:paraId="70FF0EE3"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$31 million</w:t>
            </w:r>
          </w:p>
        </w:tc>
        <w:tc>
          <w:tcPr>
            <w:tcW w:w="1400" w:type="dxa"/>
            <w:shd w:val="clear" w:color="auto" w:fill="D5E4F3" w:themeFill="accent1" w:themeFillTint="33"/>
          </w:tcPr>
          <w:p w14:paraId="03EB15BA"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14%</w:t>
            </w:r>
          </w:p>
        </w:tc>
        <w:tc>
          <w:tcPr>
            <w:tcW w:w="1344" w:type="dxa"/>
            <w:shd w:val="clear" w:color="auto" w:fill="D5E4F3" w:themeFill="accent1" w:themeFillTint="33"/>
          </w:tcPr>
          <w:p w14:paraId="6CAD2C67"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34%</w:t>
            </w:r>
          </w:p>
        </w:tc>
      </w:tr>
      <w:tr w:rsidR="00E44E72" w:rsidRPr="00884FAA" w14:paraId="2F3CAA20" w14:textId="77777777" w:rsidTr="00960008">
        <w:tc>
          <w:tcPr>
            <w:cnfStyle w:val="001000000000" w:firstRow="0" w:lastRow="0" w:firstColumn="1" w:lastColumn="0" w:oddVBand="0" w:evenVBand="0" w:oddHBand="0" w:evenHBand="0" w:firstRowFirstColumn="0" w:firstRowLastColumn="0" w:lastRowFirstColumn="0" w:lastRowLastColumn="0"/>
            <w:tcW w:w="3045" w:type="dxa"/>
          </w:tcPr>
          <w:p w14:paraId="2A251573" w14:textId="77777777" w:rsidR="00E44E72" w:rsidRPr="00884FAA" w:rsidRDefault="00E44E72" w:rsidP="00960008">
            <w:pPr>
              <w:spacing w:before="60" w:after="60"/>
              <w:ind w:left="169"/>
              <w:jc w:val="left"/>
            </w:pPr>
            <w:r w:rsidRPr="00884FAA">
              <w:t>Other Department of Health and Aged Care grants</w:t>
            </w:r>
          </w:p>
        </w:tc>
        <w:tc>
          <w:tcPr>
            <w:tcW w:w="1400" w:type="dxa"/>
          </w:tcPr>
          <w:p w14:paraId="6BB4AB26"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20</w:t>
            </w:r>
          </w:p>
        </w:tc>
        <w:tc>
          <w:tcPr>
            <w:tcW w:w="1831" w:type="dxa"/>
          </w:tcPr>
          <w:p w14:paraId="0D16D0DC"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$6 million</w:t>
            </w:r>
          </w:p>
        </w:tc>
        <w:tc>
          <w:tcPr>
            <w:tcW w:w="1400" w:type="dxa"/>
          </w:tcPr>
          <w:p w14:paraId="3F574BBB"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13%</w:t>
            </w:r>
          </w:p>
        </w:tc>
        <w:tc>
          <w:tcPr>
            <w:tcW w:w="1344" w:type="dxa"/>
          </w:tcPr>
          <w:p w14:paraId="13012D89"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7%</w:t>
            </w:r>
          </w:p>
        </w:tc>
      </w:tr>
      <w:tr w:rsidR="00E44E72" w:rsidRPr="00884FAA" w14:paraId="1D99BF5F" w14:textId="77777777" w:rsidTr="00960008">
        <w:tc>
          <w:tcPr>
            <w:cnfStyle w:val="001000000000" w:firstRow="0" w:lastRow="0" w:firstColumn="1" w:lastColumn="0" w:oddVBand="0" w:evenVBand="0" w:oddHBand="0" w:evenHBand="0" w:firstRowFirstColumn="0" w:firstRowLastColumn="0" w:lastRowFirstColumn="0" w:lastRowLastColumn="0"/>
            <w:tcW w:w="3045" w:type="dxa"/>
          </w:tcPr>
          <w:p w14:paraId="455760CC" w14:textId="77777777" w:rsidR="00E44E72" w:rsidRPr="00884FAA" w:rsidRDefault="00E44E72" w:rsidP="00960008">
            <w:pPr>
              <w:spacing w:before="60" w:after="60"/>
              <w:ind w:left="169"/>
              <w:jc w:val="left"/>
            </w:pPr>
            <w:r w:rsidRPr="00884FAA">
              <w:t>Other Australian Government agency grants</w:t>
            </w:r>
          </w:p>
        </w:tc>
        <w:tc>
          <w:tcPr>
            <w:tcW w:w="1400" w:type="dxa"/>
          </w:tcPr>
          <w:p w14:paraId="44293D6A"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17</w:t>
            </w:r>
          </w:p>
        </w:tc>
        <w:tc>
          <w:tcPr>
            <w:tcW w:w="1831" w:type="dxa"/>
          </w:tcPr>
          <w:p w14:paraId="7D25D409"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$4 million</w:t>
            </w:r>
          </w:p>
        </w:tc>
        <w:tc>
          <w:tcPr>
            <w:tcW w:w="1400" w:type="dxa"/>
          </w:tcPr>
          <w:p w14:paraId="2F4456E1"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11%</w:t>
            </w:r>
          </w:p>
        </w:tc>
        <w:tc>
          <w:tcPr>
            <w:tcW w:w="1344" w:type="dxa"/>
          </w:tcPr>
          <w:p w14:paraId="6BC5C815"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4%</w:t>
            </w:r>
          </w:p>
        </w:tc>
      </w:tr>
      <w:tr w:rsidR="00E44E72" w:rsidRPr="00884FAA" w14:paraId="78E5DA0C" w14:textId="77777777" w:rsidTr="00960008">
        <w:tc>
          <w:tcPr>
            <w:cnfStyle w:val="001000000000" w:firstRow="0" w:lastRow="0" w:firstColumn="1" w:lastColumn="0" w:oddVBand="0" w:evenVBand="0" w:oddHBand="0" w:evenHBand="0" w:firstRowFirstColumn="0" w:firstRowLastColumn="0" w:lastRowFirstColumn="0" w:lastRowLastColumn="0"/>
            <w:tcW w:w="3045" w:type="dxa"/>
            <w:shd w:val="clear" w:color="auto" w:fill="D5E4F3" w:themeFill="accent1" w:themeFillTint="33"/>
          </w:tcPr>
          <w:p w14:paraId="2E4F6F29" w14:textId="77777777" w:rsidR="00E44E72" w:rsidRPr="00884FAA" w:rsidRDefault="00E44E72" w:rsidP="00960008">
            <w:pPr>
              <w:spacing w:before="60" w:after="60"/>
              <w:jc w:val="left"/>
              <w:rPr>
                <w:i/>
                <w:iCs/>
              </w:rPr>
            </w:pPr>
            <w:r w:rsidRPr="00884FAA">
              <w:rPr>
                <w:i/>
                <w:iCs/>
              </w:rPr>
              <w:t>Total Australian Government</w:t>
            </w:r>
          </w:p>
        </w:tc>
        <w:tc>
          <w:tcPr>
            <w:tcW w:w="1400" w:type="dxa"/>
            <w:shd w:val="clear" w:color="auto" w:fill="D5E4F3" w:themeFill="accent1" w:themeFillTint="33"/>
          </w:tcPr>
          <w:p w14:paraId="386854F5"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i/>
                <w:iCs/>
              </w:rPr>
            </w:pPr>
            <w:r w:rsidRPr="00884FAA">
              <w:rPr>
                <w:i/>
                <w:iCs/>
              </w:rPr>
              <w:t>59</w:t>
            </w:r>
          </w:p>
        </w:tc>
        <w:tc>
          <w:tcPr>
            <w:tcW w:w="1831" w:type="dxa"/>
            <w:shd w:val="clear" w:color="auto" w:fill="D5E4F3" w:themeFill="accent1" w:themeFillTint="33"/>
          </w:tcPr>
          <w:p w14:paraId="15900569"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i/>
                <w:iCs/>
              </w:rPr>
            </w:pPr>
            <w:r w:rsidRPr="00884FAA">
              <w:rPr>
                <w:i/>
                <w:iCs/>
              </w:rPr>
              <w:t>$41 million</w:t>
            </w:r>
          </w:p>
        </w:tc>
        <w:tc>
          <w:tcPr>
            <w:tcW w:w="1400" w:type="dxa"/>
            <w:shd w:val="clear" w:color="auto" w:fill="D5E4F3" w:themeFill="accent1" w:themeFillTint="33"/>
          </w:tcPr>
          <w:p w14:paraId="512C4EC8"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i/>
                <w:iCs/>
              </w:rPr>
            </w:pPr>
            <w:r w:rsidRPr="00884FAA">
              <w:rPr>
                <w:i/>
                <w:iCs/>
              </w:rPr>
              <w:t>37%</w:t>
            </w:r>
          </w:p>
        </w:tc>
        <w:tc>
          <w:tcPr>
            <w:tcW w:w="1344" w:type="dxa"/>
            <w:shd w:val="clear" w:color="auto" w:fill="D5E4F3" w:themeFill="accent1" w:themeFillTint="33"/>
          </w:tcPr>
          <w:p w14:paraId="2BD72CFE"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i/>
                <w:iCs/>
              </w:rPr>
            </w:pPr>
            <w:r w:rsidRPr="00884FAA">
              <w:rPr>
                <w:i/>
                <w:iCs/>
              </w:rPr>
              <w:t>45%</w:t>
            </w:r>
          </w:p>
        </w:tc>
      </w:tr>
      <w:tr w:rsidR="00E44E72" w:rsidRPr="00884FAA" w14:paraId="0CE30F95" w14:textId="77777777" w:rsidTr="00960008">
        <w:tc>
          <w:tcPr>
            <w:cnfStyle w:val="001000000000" w:firstRow="0" w:lastRow="0" w:firstColumn="1" w:lastColumn="0" w:oddVBand="0" w:evenVBand="0" w:oddHBand="0" w:evenHBand="0" w:firstRowFirstColumn="0" w:firstRowLastColumn="0" w:lastRowFirstColumn="0" w:lastRowLastColumn="0"/>
            <w:tcW w:w="3045" w:type="dxa"/>
          </w:tcPr>
          <w:p w14:paraId="24EAED08" w14:textId="77777777" w:rsidR="00E44E72" w:rsidRPr="00884FAA" w:rsidRDefault="00E44E72" w:rsidP="00960008">
            <w:pPr>
              <w:spacing w:before="60" w:after="60"/>
              <w:ind w:left="169"/>
              <w:jc w:val="left"/>
            </w:pPr>
            <w:r w:rsidRPr="00884FAA">
              <w:t>State or territory government grants</w:t>
            </w:r>
          </w:p>
        </w:tc>
        <w:tc>
          <w:tcPr>
            <w:tcW w:w="1400" w:type="dxa"/>
          </w:tcPr>
          <w:p w14:paraId="63940A52"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831" w:type="dxa"/>
          </w:tcPr>
          <w:p w14:paraId="415CD164"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$25 million</w:t>
            </w:r>
          </w:p>
        </w:tc>
        <w:tc>
          <w:tcPr>
            <w:tcW w:w="1400" w:type="dxa"/>
          </w:tcPr>
          <w:p w14:paraId="20D9CEDC"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344" w:type="dxa"/>
          </w:tcPr>
          <w:p w14:paraId="5EE1861E"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27%</w:t>
            </w:r>
          </w:p>
        </w:tc>
      </w:tr>
      <w:tr w:rsidR="00E44E72" w:rsidRPr="00884FAA" w14:paraId="3E862335" w14:textId="77777777" w:rsidTr="00960008">
        <w:tc>
          <w:tcPr>
            <w:cnfStyle w:val="001000000000" w:firstRow="0" w:lastRow="0" w:firstColumn="1" w:lastColumn="0" w:oddVBand="0" w:evenVBand="0" w:oddHBand="0" w:evenHBand="0" w:firstRowFirstColumn="0" w:firstRowLastColumn="0" w:lastRowFirstColumn="0" w:lastRowLastColumn="0"/>
            <w:tcW w:w="3045" w:type="dxa"/>
          </w:tcPr>
          <w:p w14:paraId="7DD98311" w14:textId="77777777" w:rsidR="00E44E72" w:rsidRPr="00884FAA" w:rsidRDefault="00E44E72" w:rsidP="00960008">
            <w:pPr>
              <w:spacing w:before="60" w:after="60"/>
              <w:ind w:left="169"/>
              <w:jc w:val="left"/>
            </w:pPr>
            <w:r w:rsidRPr="00884FAA">
              <w:t>PHN grants</w:t>
            </w:r>
          </w:p>
        </w:tc>
        <w:tc>
          <w:tcPr>
            <w:tcW w:w="1400" w:type="dxa"/>
          </w:tcPr>
          <w:p w14:paraId="1C862F5E"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831" w:type="dxa"/>
          </w:tcPr>
          <w:p w14:paraId="62D3FD4B"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$5 million</w:t>
            </w:r>
          </w:p>
        </w:tc>
        <w:tc>
          <w:tcPr>
            <w:tcW w:w="1400" w:type="dxa"/>
          </w:tcPr>
          <w:p w14:paraId="79A8FF68"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344" w:type="dxa"/>
          </w:tcPr>
          <w:p w14:paraId="635B3ED3"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5%</w:t>
            </w:r>
          </w:p>
        </w:tc>
      </w:tr>
      <w:tr w:rsidR="00E44E72" w:rsidRPr="00884FAA" w14:paraId="5ADD0E3C" w14:textId="77777777" w:rsidTr="00960008">
        <w:tc>
          <w:tcPr>
            <w:cnfStyle w:val="001000000000" w:firstRow="0" w:lastRow="0" w:firstColumn="1" w:lastColumn="0" w:oddVBand="0" w:evenVBand="0" w:oddHBand="0" w:evenHBand="0" w:firstRowFirstColumn="0" w:firstRowLastColumn="0" w:lastRowFirstColumn="0" w:lastRowLastColumn="0"/>
            <w:tcW w:w="3045" w:type="dxa"/>
          </w:tcPr>
          <w:p w14:paraId="3B017A14" w14:textId="77777777" w:rsidR="00E44E72" w:rsidRPr="00884FAA" w:rsidRDefault="00E44E72" w:rsidP="00960008">
            <w:pPr>
              <w:spacing w:before="60" w:after="60"/>
              <w:ind w:left="169"/>
              <w:jc w:val="left"/>
            </w:pPr>
            <w:r w:rsidRPr="00884FAA">
              <w:t>Medicare</w:t>
            </w:r>
          </w:p>
        </w:tc>
        <w:tc>
          <w:tcPr>
            <w:tcW w:w="1400" w:type="dxa"/>
          </w:tcPr>
          <w:p w14:paraId="42B5123B"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na</w:t>
            </w:r>
          </w:p>
        </w:tc>
        <w:tc>
          <w:tcPr>
            <w:tcW w:w="1831" w:type="dxa"/>
          </w:tcPr>
          <w:p w14:paraId="3789276B"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$5 million</w:t>
            </w:r>
          </w:p>
        </w:tc>
        <w:tc>
          <w:tcPr>
            <w:tcW w:w="1400" w:type="dxa"/>
          </w:tcPr>
          <w:p w14:paraId="23BA0060"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344" w:type="dxa"/>
          </w:tcPr>
          <w:p w14:paraId="31AD27CF"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5%</w:t>
            </w:r>
          </w:p>
        </w:tc>
      </w:tr>
      <w:tr w:rsidR="00E44E72" w:rsidRPr="00884FAA" w14:paraId="42997C13" w14:textId="77777777" w:rsidTr="00960008">
        <w:tc>
          <w:tcPr>
            <w:cnfStyle w:val="001000000000" w:firstRow="0" w:lastRow="0" w:firstColumn="1" w:lastColumn="0" w:oddVBand="0" w:evenVBand="0" w:oddHBand="0" w:evenHBand="0" w:firstRowFirstColumn="0" w:firstRowLastColumn="0" w:lastRowFirstColumn="0" w:lastRowLastColumn="0"/>
            <w:tcW w:w="3045" w:type="dxa"/>
          </w:tcPr>
          <w:p w14:paraId="6D77EC0F" w14:textId="77777777" w:rsidR="00E44E72" w:rsidRPr="00884FAA" w:rsidRDefault="00E44E72" w:rsidP="00960008">
            <w:pPr>
              <w:spacing w:before="60" w:after="60"/>
              <w:ind w:left="169"/>
              <w:jc w:val="left"/>
            </w:pPr>
            <w:r w:rsidRPr="00884FAA">
              <w:t>Other income</w:t>
            </w:r>
          </w:p>
        </w:tc>
        <w:tc>
          <w:tcPr>
            <w:tcW w:w="1400" w:type="dxa"/>
          </w:tcPr>
          <w:p w14:paraId="2CA7FA9B"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831" w:type="dxa"/>
          </w:tcPr>
          <w:p w14:paraId="4345C93A"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$16 million</w:t>
            </w:r>
          </w:p>
        </w:tc>
        <w:tc>
          <w:tcPr>
            <w:tcW w:w="1400" w:type="dxa"/>
          </w:tcPr>
          <w:p w14:paraId="67458365"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w:t>
            </w:r>
          </w:p>
        </w:tc>
        <w:tc>
          <w:tcPr>
            <w:tcW w:w="1344" w:type="dxa"/>
          </w:tcPr>
          <w:p w14:paraId="70CEA4E9"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pPr>
            <w:r w:rsidRPr="00884FAA">
              <w:t>17%</w:t>
            </w:r>
          </w:p>
        </w:tc>
      </w:tr>
      <w:tr w:rsidR="00E44E72" w:rsidRPr="00884FAA" w14:paraId="7D6A7B9B" w14:textId="77777777" w:rsidTr="00960008">
        <w:tc>
          <w:tcPr>
            <w:cnfStyle w:val="001000000000" w:firstRow="0" w:lastRow="0" w:firstColumn="1" w:lastColumn="0" w:oddVBand="0" w:evenVBand="0" w:oddHBand="0" w:evenHBand="0" w:firstRowFirstColumn="0" w:firstRowLastColumn="0" w:lastRowFirstColumn="0" w:lastRowLastColumn="0"/>
            <w:tcW w:w="3045" w:type="dxa"/>
            <w:shd w:val="clear" w:color="auto" w:fill="D5E4F3" w:themeFill="accent1" w:themeFillTint="33"/>
          </w:tcPr>
          <w:p w14:paraId="1539C171" w14:textId="77777777" w:rsidR="00E44E72" w:rsidRPr="00884FAA" w:rsidRDefault="00E44E72" w:rsidP="00960008">
            <w:pPr>
              <w:spacing w:before="60" w:after="60"/>
              <w:jc w:val="left"/>
              <w:rPr>
                <w:b/>
                <w:bCs/>
              </w:rPr>
            </w:pPr>
            <w:r w:rsidRPr="00884FAA">
              <w:rPr>
                <w:b/>
                <w:bCs/>
              </w:rPr>
              <w:t>Total</w:t>
            </w:r>
          </w:p>
        </w:tc>
        <w:tc>
          <w:tcPr>
            <w:tcW w:w="1400" w:type="dxa"/>
            <w:shd w:val="clear" w:color="auto" w:fill="D5E4F3" w:themeFill="accent1" w:themeFillTint="33"/>
          </w:tcPr>
          <w:p w14:paraId="63BECC0A"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b/>
                <w:bCs/>
              </w:rPr>
            </w:pPr>
            <w:r w:rsidRPr="00884FAA">
              <w:rPr>
                <w:b/>
                <w:bCs/>
              </w:rPr>
              <w:t>160</w:t>
            </w:r>
          </w:p>
        </w:tc>
        <w:tc>
          <w:tcPr>
            <w:tcW w:w="1831" w:type="dxa"/>
            <w:shd w:val="clear" w:color="auto" w:fill="D5E4F3" w:themeFill="accent1" w:themeFillTint="33"/>
          </w:tcPr>
          <w:p w14:paraId="29A67A1E"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b/>
                <w:bCs/>
              </w:rPr>
            </w:pPr>
            <w:r w:rsidRPr="00884FAA">
              <w:rPr>
                <w:b/>
                <w:bCs/>
              </w:rPr>
              <w:t>$92 million</w:t>
            </w:r>
          </w:p>
        </w:tc>
        <w:tc>
          <w:tcPr>
            <w:tcW w:w="1400" w:type="dxa"/>
            <w:shd w:val="clear" w:color="auto" w:fill="D5E4F3" w:themeFill="accent1" w:themeFillTint="33"/>
          </w:tcPr>
          <w:p w14:paraId="72A7AC9C"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b/>
                <w:bCs/>
              </w:rPr>
            </w:pPr>
            <w:r w:rsidRPr="00884FAA">
              <w:rPr>
                <w:b/>
                <w:bCs/>
              </w:rPr>
              <w:t>100%</w:t>
            </w:r>
          </w:p>
        </w:tc>
        <w:tc>
          <w:tcPr>
            <w:tcW w:w="1344" w:type="dxa"/>
            <w:shd w:val="clear" w:color="auto" w:fill="D5E4F3" w:themeFill="accent1" w:themeFillTint="33"/>
          </w:tcPr>
          <w:p w14:paraId="2595C31A" w14:textId="77777777" w:rsidR="00E44E72" w:rsidRPr="00884FAA" w:rsidRDefault="00E44E72" w:rsidP="00960008">
            <w:pPr>
              <w:spacing w:before="60" w:after="60"/>
              <w:jc w:val="right"/>
              <w:cnfStyle w:val="000000000000" w:firstRow="0" w:lastRow="0" w:firstColumn="0" w:lastColumn="0" w:oddVBand="0" w:evenVBand="0" w:oddHBand="0" w:evenHBand="0" w:firstRowFirstColumn="0" w:firstRowLastColumn="0" w:lastRowFirstColumn="0" w:lastRowLastColumn="0"/>
              <w:rPr>
                <w:b/>
                <w:bCs/>
              </w:rPr>
            </w:pPr>
            <w:r w:rsidRPr="00884FAA">
              <w:rPr>
                <w:b/>
                <w:bCs/>
              </w:rPr>
              <w:t>100%</w:t>
            </w:r>
          </w:p>
        </w:tc>
      </w:tr>
    </w:tbl>
    <w:p w14:paraId="7914EE3A" w14:textId="77777777" w:rsidR="00E44E72" w:rsidRPr="00884FAA" w:rsidRDefault="00E44E72" w:rsidP="00E44E72">
      <w:pPr>
        <w:spacing w:before="40" w:after="60" w:line="240" w:lineRule="auto"/>
        <w:rPr>
          <w:sz w:val="21"/>
          <w:szCs w:val="21"/>
        </w:rPr>
      </w:pPr>
      <w:r w:rsidRPr="00884FAA">
        <w:rPr>
          <w:sz w:val="21"/>
          <w:szCs w:val="21"/>
          <w:vertAlign w:val="superscript"/>
        </w:rPr>
        <w:t>(a)</w:t>
      </w:r>
      <w:r w:rsidRPr="00884FAA">
        <w:rPr>
          <w:sz w:val="21"/>
          <w:szCs w:val="21"/>
        </w:rPr>
        <w:t xml:space="preserve"> The number of grants by funding source was not available for all sites. Data gaps are shown by a dash.</w:t>
      </w:r>
    </w:p>
    <w:p w14:paraId="33043044" w14:textId="77777777" w:rsidR="00E44E72" w:rsidRPr="00884FAA" w:rsidRDefault="00E44E72" w:rsidP="00E44E72">
      <w:pPr>
        <w:spacing w:before="40" w:after="360" w:line="240" w:lineRule="auto"/>
        <w:rPr>
          <w:sz w:val="21"/>
          <w:szCs w:val="21"/>
        </w:rPr>
      </w:pPr>
      <w:r w:rsidRPr="00884FAA">
        <w:rPr>
          <w:sz w:val="21"/>
          <w:szCs w:val="21"/>
          <w:vertAlign w:val="superscript"/>
        </w:rPr>
        <w:t>(b)</w:t>
      </w:r>
      <w:r w:rsidRPr="00884FAA">
        <w:rPr>
          <w:sz w:val="21"/>
          <w:szCs w:val="21"/>
        </w:rPr>
        <w:t xml:space="preserve"> Data on the value of grants/income has been rounded and is approximate.</w:t>
      </w:r>
    </w:p>
    <w:p w14:paraId="42BC6AA8" w14:textId="1EA67466" w:rsidR="00E44E72" w:rsidRPr="00884FAA" w:rsidRDefault="0003189F" w:rsidP="00E44E72">
      <w:r w:rsidRPr="00884FAA">
        <w:t xml:space="preserve">For these </w:t>
      </w:r>
      <w:r w:rsidR="006D2482">
        <w:t>5</w:t>
      </w:r>
      <w:r w:rsidR="006D2482" w:rsidRPr="00884FAA">
        <w:t xml:space="preserve"> </w:t>
      </w:r>
      <w:r w:rsidRPr="00884FAA">
        <w:t xml:space="preserve">ACCHSs, </w:t>
      </w:r>
      <w:r w:rsidR="007B071A">
        <w:t xml:space="preserve">the </w:t>
      </w:r>
      <w:r w:rsidR="00EA635A">
        <w:t xml:space="preserve">22 IAHP grants included </w:t>
      </w:r>
      <w:r w:rsidR="002677AA">
        <w:t xml:space="preserve">grants under the PHC Program, </w:t>
      </w:r>
      <w:r w:rsidR="001104A7">
        <w:t xml:space="preserve">PHC Services Expansion </w:t>
      </w:r>
      <w:r w:rsidR="0079161E">
        <w:t>Funding</w:t>
      </w:r>
      <w:r w:rsidR="001104A7">
        <w:t xml:space="preserve">, TIS program, Connected Beginnings, </w:t>
      </w:r>
      <w:r w:rsidR="00EA26D5">
        <w:t xml:space="preserve">Sexual Health program, Emerging Priorities, </w:t>
      </w:r>
      <w:r w:rsidR="00396550">
        <w:t>and funding for capital works and maintenance. F</w:t>
      </w:r>
      <w:r w:rsidR="00E44E72" w:rsidRPr="00884FAA">
        <w:t>unding from other Australian Government agencies was largely from the NIAA, DSS</w:t>
      </w:r>
      <w:r w:rsidR="002D0CDB" w:rsidRPr="00884FAA">
        <w:t>,</w:t>
      </w:r>
      <w:r w:rsidR="00E44E72" w:rsidRPr="00884FAA">
        <w:t xml:space="preserve"> and NDIA. Other income </w:t>
      </w:r>
      <w:r w:rsidR="00F04B28">
        <w:t xml:space="preserve">in </w:t>
      </w:r>
      <w:r w:rsidR="009811C1" w:rsidRPr="00884FAA">
        <w:fldChar w:fldCharType="begin"/>
      </w:r>
      <w:r w:rsidR="009811C1" w:rsidRPr="00884FAA">
        <w:instrText xml:space="preserve"> REF _Ref130729946 \h  \* MERGEFORMAT </w:instrText>
      </w:r>
      <w:r w:rsidR="009811C1" w:rsidRPr="00884FAA">
        <w:fldChar w:fldCharType="separate"/>
      </w:r>
      <w:r w:rsidR="00165B17" w:rsidRPr="00884FAA">
        <w:rPr>
          <w:noProof/>
        </w:rPr>
        <w:t>Table</w:t>
      </w:r>
      <w:r w:rsidR="00165B17" w:rsidRPr="00884FAA">
        <w:t xml:space="preserve"> </w:t>
      </w:r>
      <w:r w:rsidR="00165B17">
        <w:rPr>
          <w:noProof/>
        </w:rPr>
        <w:t>7</w:t>
      </w:r>
      <w:r w:rsidR="00165B17">
        <w:rPr>
          <w:noProof/>
        </w:rPr>
        <w:noBreakHyphen/>
        <w:t>2</w:t>
      </w:r>
      <w:r w:rsidR="009811C1" w:rsidRPr="00884FAA">
        <w:fldChar w:fldCharType="end"/>
      </w:r>
      <w:r w:rsidR="00E44E72" w:rsidRPr="00884FAA">
        <w:t xml:space="preserve"> includes funding from NACCHO, state and territory peak bodies, PIP, NGOs, the private sector and universities.</w:t>
      </w:r>
    </w:p>
    <w:p w14:paraId="4BD232EC" w14:textId="6CA5812F" w:rsidR="00937E1F" w:rsidRPr="00884FAA" w:rsidRDefault="00E44E72" w:rsidP="00E44E72">
      <w:r w:rsidRPr="00884FAA">
        <w:t xml:space="preserve">Data for the </w:t>
      </w:r>
      <w:r w:rsidR="006D2482">
        <w:t>5</w:t>
      </w:r>
      <w:r w:rsidR="006D2482" w:rsidRPr="00884FAA">
        <w:t xml:space="preserve"> </w:t>
      </w:r>
      <w:r w:rsidRPr="00884FAA">
        <w:t>ACCHSs indicates that</w:t>
      </w:r>
      <w:r w:rsidR="00193E69" w:rsidRPr="00884FAA">
        <w:t xml:space="preserve"> the</w:t>
      </w:r>
      <w:r w:rsidRPr="00884FAA">
        <w:t xml:space="preserve"> IAHP grants are, on average, larger than grants </w:t>
      </w:r>
      <w:r w:rsidR="00193E69" w:rsidRPr="00884FAA">
        <w:t xml:space="preserve">from other sources </w:t>
      </w:r>
      <w:r w:rsidRPr="00884FAA">
        <w:t xml:space="preserve">(14% of grants by number but 34% by value) with an average value of $1.4 million. </w:t>
      </w:r>
    </w:p>
    <w:p w14:paraId="51549396" w14:textId="2459C6B6" w:rsidR="00E44E72" w:rsidRPr="00884FAA" w:rsidRDefault="00E44E72" w:rsidP="00E44E72">
      <w:r w:rsidRPr="00884FAA">
        <w:t xml:space="preserve">One ACCHS that had 62 contracts reported that 27 of these were less than $100,000 in value. The number of funding grants or contracts per ACCHS ranged from 20 to 62, with an average of 32. With an annual average income of $18 million, this sample of </w:t>
      </w:r>
      <w:r w:rsidR="006D2482">
        <w:t>5</w:t>
      </w:r>
      <w:r w:rsidR="006D2482" w:rsidRPr="00884FAA">
        <w:t xml:space="preserve"> </w:t>
      </w:r>
      <w:r w:rsidRPr="00884FAA">
        <w:t>ACCHSs has a similar average income to the average for all 23 ACCHS site partners ($20 million).</w:t>
      </w:r>
    </w:p>
    <w:p w14:paraId="4E6CABE4" w14:textId="54C46991" w:rsidR="00E01E6F" w:rsidRPr="00884FAA" w:rsidRDefault="00CC6B2A" w:rsidP="007603C8">
      <w:r w:rsidRPr="00884FAA">
        <w:lastRenderedPageBreak/>
        <w:t>While the IAHP supplements other funding</w:t>
      </w:r>
      <w:r w:rsidR="00937E1F" w:rsidRPr="00884FAA">
        <w:t xml:space="preserve"> sources</w:t>
      </w:r>
      <w:r w:rsidR="002B0DA8" w:rsidRPr="00884FAA">
        <w:t xml:space="preserve">, participants </w:t>
      </w:r>
      <w:r w:rsidR="00BF1560" w:rsidRPr="00884FAA">
        <w:t>largely saw the IAHP as operating as a parallel funding system</w:t>
      </w:r>
      <w:r w:rsidR="008D7F9E" w:rsidRPr="00884FAA">
        <w:t>. People discussed</w:t>
      </w:r>
      <w:r w:rsidR="007603C8" w:rsidRPr="00884FAA">
        <w:t xml:space="preserve"> the complex division of funding responsibilities and performance accountabilities between different levels of government. Similarly, they spoke about the variable capacities of Australian, state</w:t>
      </w:r>
      <w:r w:rsidR="003F57D2" w:rsidRPr="00884FAA">
        <w:t>,</w:t>
      </w:r>
      <w:r w:rsidR="007603C8" w:rsidRPr="00884FAA">
        <w:t xml:space="preserve"> and territory governments to meet the growing costs of services, and the current separation of responsibilities meant that no level of government had a detailed understanding </w:t>
      </w:r>
      <w:r w:rsidR="00BC5876">
        <w:t xml:space="preserve">of </w:t>
      </w:r>
      <w:r w:rsidR="006038F1" w:rsidRPr="00884FAA">
        <w:t xml:space="preserve">the </w:t>
      </w:r>
      <w:r w:rsidR="003279C5">
        <w:t>PHC</w:t>
      </w:r>
      <w:r w:rsidR="006038F1" w:rsidRPr="00884FAA">
        <w:t xml:space="preserve"> funding</w:t>
      </w:r>
      <w:r w:rsidR="007603C8" w:rsidRPr="00884FAA">
        <w:t xml:space="preserve"> system</w:t>
      </w:r>
      <w:r w:rsidR="00061428" w:rsidRPr="00884FAA">
        <w:t xml:space="preserve">, or the specific funding needs to deliver quality </w:t>
      </w:r>
      <w:r w:rsidR="003279C5">
        <w:t>PHC</w:t>
      </w:r>
      <w:r w:rsidR="00061428" w:rsidRPr="00884FAA">
        <w:t xml:space="preserve"> for Aboriginal and Torres Strait Islander people</w:t>
      </w:r>
      <w:r w:rsidR="007603C8" w:rsidRPr="00884FAA">
        <w:t xml:space="preserve">. </w:t>
      </w:r>
      <w:r w:rsidR="00061428" w:rsidRPr="00884FAA">
        <w:t>There was a perception that c</w:t>
      </w:r>
      <w:r w:rsidR="00124DE8" w:rsidRPr="00884FAA">
        <w:t xml:space="preserve">onnections across funders and funding programs tended to be </w:t>
      </w:r>
      <w:r w:rsidR="00124DE8" w:rsidRPr="00884FAA">
        <w:rPr>
          <w:i/>
          <w:iCs/>
        </w:rPr>
        <w:t>ad hoc</w:t>
      </w:r>
      <w:r w:rsidR="007D176E" w:rsidRPr="00884FAA">
        <w:t xml:space="preserve"> with no formal </w:t>
      </w:r>
      <w:r w:rsidR="00E01E6F" w:rsidRPr="00884FAA">
        <w:t xml:space="preserve">coordination </w:t>
      </w:r>
      <w:r w:rsidR="007D176E" w:rsidRPr="00884FAA">
        <w:t>mechanism</w:t>
      </w:r>
      <w:r w:rsidR="00E01E6F" w:rsidRPr="00884FAA">
        <w:t>s</w:t>
      </w:r>
      <w:r w:rsidR="00061428" w:rsidRPr="00884FAA">
        <w:t xml:space="preserve"> or integration of decision-making</w:t>
      </w:r>
      <w:r w:rsidR="00E01E6F" w:rsidRPr="00884FAA">
        <w:t>.</w:t>
      </w:r>
    </w:p>
    <w:p w14:paraId="34AEB231" w14:textId="77777777" w:rsidR="00E44E72" w:rsidRPr="00884FAA" w:rsidRDefault="00E44E72" w:rsidP="00651D06">
      <w:pPr>
        <w:pStyle w:val="Heading3"/>
      </w:pPr>
      <w:r w:rsidRPr="00884FAA">
        <w:t>The IAHP can leverage other funding</w:t>
      </w:r>
    </w:p>
    <w:p w14:paraId="2CF6CD54" w14:textId="3880F99A" w:rsidR="00E44E72" w:rsidRPr="00884FAA" w:rsidRDefault="00E44E72" w:rsidP="00E44E72">
      <w:r w:rsidRPr="00884FAA">
        <w:t xml:space="preserve">Many ACCHS managers noted that the IAHP funding provides their service with a certain ‘professional’ status. For example, one manager reflected on the ‘buying power of IAHP’ that enabled the service to access other resources by supporting their medical services and organisational infrastructure. Some ACCHS managers also </w:t>
      </w:r>
      <w:r w:rsidR="002145D6">
        <w:t xml:space="preserve">said </w:t>
      </w:r>
      <w:r w:rsidRPr="00884FAA">
        <w:t>the IAHP enabl</w:t>
      </w:r>
      <w:r w:rsidR="002145D6">
        <w:t>ed</w:t>
      </w:r>
      <w:r w:rsidRPr="00884FAA">
        <w:t xml:space="preserve"> better contracts with other health providers and relationships with local businesses and community agencies, as it provides the organisation with a certain stability and financial capability. A health service manager</w:t>
      </w:r>
      <w:r w:rsidR="00C621F7">
        <w:t xml:space="preserve"> shared with the evaluation that they were</w:t>
      </w:r>
      <w:r w:rsidR="00D75C3E">
        <w:t xml:space="preserve"> </w:t>
      </w:r>
      <w:r w:rsidRPr="00884FAA">
        <w:t xml:space="preserve">invited to apply for other funding sources due to the foundation enabled through IAHP funding. </w:t>
      </w:r>
    </w:p>
    <w:p w14:paraId="132FECF4" w14:textId="7951B9F8" w:rsidR="00E44E72" w:rsidRPr="00884FAA" w:rsidRDefault="00E44E72" w:rsidP="00E44E72">
      <w:r w:rsidRPr="00884FAA">
        <w:t xml:space="preserve">This leveraging into other funding, has, in some instances, led to a significant increase in the overall funding available to some </w:t>
      </w:r>
      <w:r w:rsidR="000E748B" w:rsidRPr="00884FAA">
        <w:t xml:space="preserve">health </w:t>
      </w:r>
      <w:r w:rsidRPr="00884FAA">
        <w:t xml:space="preserve">services. </w:t>
      </w:r>
    </w:p>
    <w:p w14:paraId="30A21386" w14:textId="0F7EB939" w:rsidR="00E44E72" w:rsidRPr="00A1178E" w:rsidRDefault="00E44E72" w:rsidP="00286FE5">
      <w:pPr>
        <w:pStyle w:val="Quote"/>
        <w:spacing w:after="0"/>
        <w:rPr>
          <w:color w:val="18525E" w:themeColor="accent5" w:themeShade="80"/>
        </w:rPr>
      </w:pPr>
      <w:r w:rsidRPr="00A1178E">
        <w:rPr>
          <w:color w:val="18525E" w:themeColor="accent5" w:themeShade="80"/>
        </w:rPr>
        <w:t>Yes, [IAHP has helped us leverage other funding] … we were invited to apply for other funding and our funding has grown significantly. I've been here 10 years, and the funding has grown hugely in 10 years, we’ve had a very rapid growth. So yes, I think it certainly does.</w:t>
      </w:r>
    </w:p>
    <w:p w14:paraId="0D91B90D" w14:textId="236518B8" w:rsidR="006741BB" w:rsidRPr="00286FE5" w:rsidRDefault="006741BB" w:rsidP="00286FE5">
      <w:pPr>
        <w:jc w:val="right"/>
        <w:rPr>
          <w:b/>
          <w:bCs/>
        </w:rPr>
      </w:pPr>
      <w:r w:rsidRPr="00286FE5">
        <w:rPr>
          <w:b/>
          <w:bCs/>
        </w:rPr>
        <w:t>ACCHS, Metropolitan location</w:t>
      </w:r>
    </w:p>
    <w:p w14:paraId="54D3CF13" w14:textId="77777777" w:rsidR="00E44E72" w:rsidRPr="00884FAA" w:rsidRDefault="00E44E72" w:rsidP="00E44E72">
      <w:r w:rsidRPr="00884FAA">
        <w:t>The IAHP has also, for some organisations, supported their ability to claim MBS funding and access PIP incentives. It does this by enabling services to employ GPs and other medical professionals, who are then able to claim MBS income.</w:t>
      </w:r>
    </w:p>
    <w:p w14:paraId="5CBBEC1C" w14:textId="13DFB125" w:rsidR="00E44E72" w:rsidRPr="00A1178E" w:rsidRDefault="00E44E72" w:rsidP="00286FE5">
      <w:pPr>
        <w:pStyle w:val="Quote"/>
        <w:spacing w:after="0"/>
        <w:rPr>
          <w:color w:val="18525E" w:themeColor="accent5" w:themeShade="80"/>
        </w:rPr>
      </w:pPr>
      <w:r w:rsidRPr="00A1178E">
        <w:rPr>
          <w:color w:val="18525E" w:themeColor="accent5" w:themeShade="80"/>
        </w:rPr>
        <w:t>… without the IAHP funding, we wouldn’t be able to generate MBS funding. So it is very, very important. We are registered under section 19(2)</w:t>
      </w:r>
      <w:r w:rsidRPr="00A1178E">
        <w:rPr>
          <w:rStyle w:val="FootnoteReference"/>
          <w:color w:val="18525E" w:themeColor="accent5" w:themeShade="80"/>
        </w:rPr>
        <w:footnoteReference w:id="50"/>
      </w:r>
      <w:r w:rsidRPr="00A1178E">
        <w:rPr>
          <w:color w:val="18525E" w:themeColor="accent5" w:themeShade="80"/>
        </w:rPr>
        <w:t>, so we can claim Medicare.</w:t>
      </w:r>
    </w:p>
    <w:p w14:paraId="2E2B7501" w14:textId="4DD8EF80" w:rsidR="006741BB" w:rsidRPr="00286FE5" w:rsidRDefault="006741BB" w:rsidP="00286FE5">
      <w:pPr>
        <w:spacing w:before="120"/>
        <w:jc w:val="right"/>
        <w:rPr>
          <w:b/>
          <w:bCs/>
        </w:rPr>
      </w:pPr>
      <w:r w:rsidRPr="00286FE5">
        <w:rPr>
          <w:b/>
          <w:bCs/>
        </w:rPr>
        <w:t>ACCHS, Regional location</w:t>
      </w:r>
    </w:p>
    <w:p w14:paraId="305DD0B4" w14:textId="5758A02A" w:rsidR="00E44E72" w:rsidRPr="00884FAA" w:rsidRDefault="00E10EA5" w:rsidP="00E44E72">
      <w:r w:rsidRPr="00884FAA">
        <w:t xml:space="preserve">Income generated through </w:t>
      </w:r>
      <w:r w:rsidR="00E44E72" w:rsidRPr="00884FAA">
        <w:t>MBS and PIP is seen as a health service’s ‘own money’</w:t>
      </w:r>
      <w:r w:rsidRPr="00884FAA">
        <w:t xml:space="preserve">. This creates flexibility on how this money </w:t>
      </w:r>
      <w:r w:rsidR="00E44E72" w:rsidRPr="00884FAA">
        <w:t>can be spent. For many health services this</w:t>
      </w:r>
      <w:r w:rsidR="00E44E72" w:rsidRPr="00884FAA" w:rsidDel="00E10EA5">
        <w:t xml:space="preserve"> </w:t>
      </w:r>
      <w:r w:rsidR="00E44E72" w:rsidRPr="00884FAA">
        <w:t>income is viewed as essential, as it enables them to pay for specific programs (</w:t>
      </w:r>
      <w:r w:rsidR="00E05CD8" w:rsidRPr="00884FAA">
        <w:t>for example,</w:t>
      </w:r>
      <w:r w:rsidR="00E44E72" w:rsidRPr="00884FAA">
        <w:t xml:space="preserve"> treatment on </w:t>
      </w:r>
      <w:r w:rsidR="00E05CD8" w:rsidRPr="00884FAA">
        <w:t>C</w:t>
      </w:r>
      <w:r w:rsidR="00E44E72" w:rsidRPr="00884FAA">
        <w:t xml:space="preserve">ountry </w:t>
      </w:r>
      <w:r w:rsidR="0029788C">
        <w:t>or a</w:t>
      </w:r>
      <w:r w:rsidR="00E44E72" w:rsidRPr="00884FAA">
        <w:t xml:space="preserve"> fitness centre), the salary of backroom staff (</w:t>
      </w:r>
      <w:r w:rsidR="00E05CD8" w:rsidRPr="00884FAA">
        <w:t>for example,</w:t>
      </w:r>
      <w:r w:rsidR="00E44E72" w:rsidRPr="00884FAA">
        <w:t xml:space="preserve"> CEOs, consultants, </w:t>
      </w:r>
      <w:r w:rsidR="00E44E72" w:rsidRPr="00884FAA">
        <w:lastRenderedPageBreak/>
        <w:t>grant writers</w:t>
      </w:r>
      <w:r w:rsidR="00506C75" w:rsidRPr="00884FAA">
        <w:t>,</w:t>
      </w:r>
      <w:r w:rsidR="00E44E72" w:rsidRPr="00884FAA">
        <w:t xml:space="preserve"> and operational managers) and infrastructure projects (purchase of land, building</w:t>
      </w:r>
      <w:r w:rsidR="003C3A97" w:rsidRPr="00884FAA">
        <w:t>s,</w:t>
      </w:r>
      <w:r w:rsidR="00E44E72" w:rsidRPr="00884FAA">
        <w:t xml:space="preserve"> and new equipment).   </w:t>
      </w:r>
    </w:p>
    <w:p w14:paraId="1A1C5DC3" w14:textId="18320D4D" w:rsidR="00E44E72" w:rsidRPr="00884FAA" w:rsidRDefault="00E44E72" w:rsidP="00651D06">
      <w:pPr>
        <w:pStyle w:val="Heading3"/>
      </w:pPr>
      <w:bookmarkStart w:id="218" w:name="_Toc128408921"/>
      <w:r w:rsidRPr="00884FAA">
        <w:t>Leveraging MBS funding is not always feasible</w:t>
      </w:r>
      <w:bookmarkEnd w:id="218"/>
      <w:r w:rsidR="00494432" w:rsidRPr="00884FAA">
        <w:t xml:space="preserve"> </w:t>
      </w:r>
      <w:r w:rsidR="00556229" w:rsidRPr="00884FAA">
        <w:t xml:space="preserve">or reasonable </w:t>
      </w:r>
      <w:r w:rsidR="00494432" w:rsidRPr="00884FAA">
        <w:t>for services</w:t>
      </w:r>
    </w:p>
    <w:p w14:paraId="4D45C98C" w14:textId="512530B3" w:rsidR="00E44E72" w:rsidRPr="00884FAA" w:rsidRDefault="00E44E72" w:rsidP="00E44E72">
      <w:r w:rsidRPr="00884FAA">
        <w:t>ACCHSs</w:t>
      </w:r>
      <w:r w:rsidR="003C3A97" w:rsidRPr="00884FAA">
        <w:t>’</w:t>
      </w:r>
      <w:r w:rsidRPr="00884FAA">
        <w:t xml:space="preserve"> capacity to realise the benefits of the IAHP funding depends heavily on the ‘mix’ of funding streams </w:t>
      </w:r>
      <w:r w:rsidR="00CE0729" w:rsidRPr="00884FAA">
        <w:t xml:space="preserve">a service has </w:t>
      </w:r>
      <w:r w:rsidRPr="00884FAA">
        <w:t>access to</w:t>
      </w:r>
      <w:r w:rsidR="00CE0729" w:rsidRPr="00884FAA">
        <w:t>,</w:t>
      </w:r>
      <w:r w:rsidRPr="00884FAA">
        <w:t xml:space="preserve"> and how well </w:t>
      </w:r>
      <w:r w:rsidR="00CE0729" w:rsidRPr="00884FAA">
        <w:t xml:space="preserve">a health service can </w:t>
      </w:r>
      <w:r w:rsidRPr="00884FAA">
        <w:t>manage the different funding streams along</w:t>
      </w:r>
      <w:r w:rsidR="00B472F0" w:rsidRPr="00884FAA">
        <w:t>side</w:t>
      </w:r>
      <w:r w:rsidRPr="00884FAA">
        <w:t xml:space="preserve"> MBS-generated income. The expectation that health services use the IAHP to leverage funding under the MBS is not feasible for all ACCHSs. Some services are too small and/or lack the capacity and resources to work as an income-generating business. Others see a focus on generating MBS income as working against their values and the kind of </w:t>
      </w:r>
      <w:r w:rsidR="00B472F0" w:rsidRPr="00884FAA">
        <w:t xml:space="preserve">holistic </w:t>
      </w:r>
      <w:r w:rsidRPr="00884FAA">
        <w:t xml:space="preserve">care they </w:t>
      </w:r>
      <w:r w:rsidR="00C72DD4" w:rsidRPr="00884FAA">
        <w:t xml:space="preserve">aim </w:t>
      </w:r>
      <w:r w:rsidRPr="00884FAA">
        <w:t xml:space="preserve">to </w:t>
      </w:r>
      <w:r w:rsidR="00C72DD4" w:rsidRPr="00884FAA">
        <w:t>provide within their communities</w:t>
      </w:r>
      <w:r w:rsidRPr="00884FAA">
        <w:t xml:space="preserve">. </w:t>
      </w:r>
    </w:p>
    <w:p w14:paraId="0951D32F" w14:textId="63905A96" w:rsidR="00E44E72" w:rsidRPr="00A1178E" w:rsidRDefault="00E44E72" w:rsidP="00BA0807">
      <w:pPr>
        <w:pStyle w:val="Quote"/>
        <w:spacing w:after="0"/>
        <w:rPr>
          <w:color w:val="18525E" w:themeColor="accent5" w:themeShade="80"/>
        </w:rPr>
      </w:pPr>
      <w:r w:rsidRPr="00A1178E">
        <w:rPr>
          <w:color w:val="18525E" w:themeColor="accent5" w:themeShade="80"/>
        </w:rPr>
        <w:t>I never wanted to see the person in front of us as a ‘dollar figure’ or as a statistic, but that’s how the funding is driving it.</w:t>
      </w:r>
    </w:p>
    <w:p w14:paraId="76869470" w14:textId="443DCE0D" w:rsidR="006143FE" w:rsidRPr="00BA0807" w:rsidRDefault="006143FE" w:rsidP="00BA0807">
      <w:pPr>
        <w:jc w:val="right"/>
        <w:rPr>
          <w:b/>
          <w:bCs/>
        </w:rPr>
      </w:pPr>
      <w:r w:rsidRPr="00BA0807">
        <w:rPr>
          <w:b/>
          <w:bCs/>
        </w:rPr>
        <w:t xml:space="preserve">ACCHS, Remote location </w:t>
      </w:r>
    </w:p>
    <w:p w14:paraId="292C0B7C" w14:textId="1D074F1A" w:rsidR="00E031A2" w:rsidRPr="00884FAA" w:rsidRDefault="00E44E72" w:rsidP="004C6EBE">
      <w:r w:rsidRPr="00884FAA">
        <w:t xml:space="preserve">The ability to </w:t>
      </w:r>
      <w:r w:rsidR="00556229" w:rsidRPr="00884FAA">
        <w:t xml:space="preserve">access </w:t>
      </w:r>
      <w:r w:rsidRPr="00884FAA">
        <w:t xml:space="preserve">MBS </w:t>
      </w:r>
      <w:r w:rsidR="00556229" w:rsidRPr="00884FAA">
        <w:t xml:space="preserve">funding </w:t>
      </w:r>
      <w:r w:rsidRPr="00884FAA">
        <w:t>also depends on access to workforce</w:t>
      </w:r>
      <w:r w:rsidR="00556229" w:rsidRPr="00884FAA">
        <w:t>.</w:t>
      </w:r>
      <w:r w:rsidRPr="00884FAA" w:rsidDel="00556229">
        <w:t xml:space="preserve"> </w:t>
      </w:r>
      <w:r w:rsidR="00556229" w:rsidRPr="00884FAA">
        <w:t xml:space="preserve">For </w:t>
      </w:r>
      <w:r w:rsidRPr="00884FAA">
        <w:t>many remote health services this is a</w:t>
      </w:r>
      <w:r w:rsidR="00556229" w:rsidRPr="00884FAA">
        <w:t>n ongoing</w:t>
      </w:r>
      <w:r w:rsidRPr="00884FAA">
        <w:t xml:space="preserve"> struggle. </w:t>
      </w:r>
      <w:r w:rsidR="001D296A" w:rsidRPr="00884FAA">
        <w:t xml:space="preserve">Remote </w:t>
      </w:r>
      <w:r w:rsidR="00F529F1" w:rsidRPr="00884FAA">
        <w:t xml:space="preserve">services </w:t>
      </w:r>
      <w:r w:rsidRPr="00884FAA">
        <w:t>often work on a nurse-led model of care</w:t>
      </w:r>
      <w:r w:rsidR="00F529F1" w:rsidRPr="00884FAA">
        <w:t xml:space="preserve">, </w:t>
      </w:r>
      <w:r w:rsidR="005449F7" w:rsidRPr="00884FAA">
        <w:t>with</w:t>
      </w:r>
      <w:r w:rsidR="00D40442" w:rsidRPr="00884FAA">
        <w:t xml:space="preserve"> </w:t>
      </w:r>
      <w:r w:rsidR="00F529F1" w:rsidRPr="00884FAA">
        <w:t>permanent</w:t>
      </w:r>
      <w:r w:rsidR="00D40442" w:rsidRPr="00884FAA">
        <w:t xml:space="preserve"> nurses</w:t>
      </w:r>
      <w:r w:rsidR="00F92F23" w:rsidRPr="00884FAA">
        <w:t xml:space="preserve"> and</w:t>
      </w:r>
      <w:r w:rsidR="00D40442" w:rsidRPr="00884FAA">
        <w:t xml:space="preserve"> Aboriginal </w:t>
      </w:r>
      <w:r w:rsidR="00A875B3" w:rsidRPr="00884FAA">
        <w:t xml:space="preserve">and Torres Strait Islander </w:t>
      </w:r>
      <w:r w:rsidR="003569B3">
        <w:t>H</w:t>
      </w:r>
      <w:r w:rsidR="00D40442" w:rsidRPr="00884FAA">
        <w:t xml:space="preserve">ealth </w:t>
      </w:r>
      <w:r w:rsidR="003569B3">
        <w:t>W</w:t>
      </w:r>
      <w:r w:rsidR="00D40442" w:rsidRPr="00884FAA">
        <w:t xml:space="preserve">orkers and </w:t>
      </w:r>
      <w:r w:rsidR="00D87462">
        <w:t>Health Practitioners</w:t>
      </w:r>
      <w:r w:rsidR="00D40442" w:rsidRPr="00884FAA">
        <w:t xml:space="preserve"> supported by visiting GPs.</w:t>
      </w:r>
      <w:r w:rsidR="005449F7" w:rsidRPr="00884FAA">
        <w:t xml:space="preserve"> However, most</w:t>
      </w:r>
      <w:r w:rsidR="00FE231E" w:rsidRPr="00884FAA">
        <w:t xml:space="preserve"> </w:t>
      </w:r>
      <w:r w:rsidRPr="00884FAA">
        <w:t xml:space="preserve">MBS </w:t>
      </w:r>
      <w:r w:rsidR="00FE231E" w:rsidRPr="00884FAA">
        <w:t xml:space="preserve">items </w:t>
      </w:r>
      <w:r w:rsidR="00CA6B7F" w:rsidRPr="00884FAA">
        <w:t xml:space="preserve">associated with general health assessment and check-ups are only available to </w:t>
      </w:r>
      <w:r w:rsidR="00DB768B" w:rsidRPr="00884FAA">
        <w:t xml:space="preserve">be claimed by </w:t>
      </w:r>
      <w:r w:rsidR="00CA6B7F" w:rsidRPr="00884FAA">
        <w:t>GPs.</w:t>
      </w:r>
      <w:r w:rsidR="00832D20" w:rsidRPr="00884FAA">
        <w:t xml:space="preserve"> While practice nurses and Aboriginal </w:t>
      </w:r>
      <w:r w:rsidR="00175A9E" w:rsidRPr="00884FAA">
        <w:t xml:space="preserve">and Torres Strait Islander </w:t>
      </w:r>
      <w:r w:rsidR="003569B3">
        <w:t>H</w:t>
      </w:r>
      <w:r w:rsidR="00832D20" w:rsidRPr="00884FAA">
        <w:t xml:space="preserve">ealth </w:t>
      </w:r>
      <w:r w:rsidR="003569B3">
        <w:t>W</w:t>
      </w:r>
      <w:r w:rsidR="00832D20" w:rsidRPr="00884FAA">
        <w:t xml:space="preserve">orkers and </w:t>
      </w:r>
      <w:r w:rsidR="00AF26E1">
        <w:t>Health P</w:t>
      </w:r>
      <w:r w:rsidR="00832D20" w:rsidRPr="00884FAA">
        <w:t>ractitioners</w:t>
      </w:r>
      <w:r w:rsidR="00F92F23" w:rsidRPr="00884FAA">
        <w:t xml:space="preserve"> can claim a limited number of MBS items </w:t>
      </w:r>
      <w:r w:rsidR="00582F18" w:rsidRPr="00884FAA">
        <w:t>(follow-up for a patient who has received an Aboriginal and Torres Strait Islander peoples’ health assessment</w:t>
      </w:r>
      <w:r w:rsidR="002F7A60" w:rsidRPr="00884FAA">
        <w:t xml:space="preserve">), these items do not generate the same amount of funding as </w:t>
      </w:r>
      <w:r w:rsidR="00F101B1" w:rsidRPr="00884FAA">
        <w:t>the items a GP can claim for (</w:t>
      </w:r>
      <w:r w:rsidR="00175A9E" w:rsidRPr="00884FAA">
        <w:t xml:space="preserve">for example, </w:t>
      </w:r>
      <w:r w:rsidR="004C6EBE" w:rsidRPr="00884FAA">
        <w:t>the follow-up generates $25.35, while the 715 health assessment generates $224.40).</w:t>
      </w:r>
      <w:r w:rsidR="00E031A2" w:rsidRPr="00884FAA">
        <w:t xml:space="preserve"> </w:t>
      </w:r>
    </w:p>
    <w:p w14:paraId="4827A5D0" w14:textId="6F304837" w:rsidR="004C6EBE" w:rsidRPr="00884FAA" w:rsidRDefault="00102A9D" w:rsidP="004C6EBE">
      <w:r w:rsidRPr="00884FAA">
        <w:t xml:space="preserve">Leveraging </w:t>
      </w:r>
      <w:r w:rsidR="00002996" w:rsidRPr="00884FAA">
        <w:t>MBS funding</w:t>
      </w:r>
      <w:r w:rsidR="001C607E" w:rsidRPr="00884FAA">
        <w:t xml:space="preserve"> is parti</w:t>
      </w:r>
      <w:r w:rsidR="00502D5E" w:rsidRPr="00884FAA">
        <w:t>cularly challeng</w:t>
      </w:r>
      <w:r w:rsidR="00E031A2" w:rsidRPr="00884FAA">
        <w:t>ing</w:t>
      </w:r>
      <w:r w:rsidR="00502D5E" w:rsidRPr="00884FAA">
        <w:t xml:space="preserve"> for </w:t>
      </w:r>
      <w:r w:rsidR="00002996" w:rsidRPr="00884FAA">
        <w:t>ACCHSs</w:t>
      </w:r>
      <w:r w:rsidR="004C6EBE" w:rsidRPr="00884FAA">
        <w:t xml:space="preserve"> </w:t>
      </w:r>
      <w:r w:rsidR="00502D5E" w:rsidRPr="00884FAA">
        <w:t>who have experienced GP shortages</w:t>
      </w:r>
      <w:r w:rsidR="002F5C32" w:rsidRPr="00884FAA">
        <w:t xml:space="preserve">. The ability to complete some MBS items through </w:t>
      </w:r>
      <w:r w:rsidR="001C4725" w:rsidRPr="00884FAA">
        <w:t>t</w:t>
      </w:r>
      <w:r w:rsidR="002F5C32" w:rsidRPr="00884FAA">
        <w:t>elehealth has helped</w:t>
      </w:r>
      <w:r w:rsidR="001C4725" w:rsidRPr="00884FAA">
        <w:t xml:space="preserve">, but not all </w:t>
      </w:r>
      <w:r w:rsidR="00A057B2" w:rsidRPr="00884FAA">
        <w:t xml:space="preserve">claimable </w:t>
      </w:r>
      <w:r w:rsidR="001C4725" w:rsidRPr="00884FAA">
        <w:t xml:space="preserve">items can be </w:t>
      </w:r>
      <w:r w:rsidR="000D53B6" w:rsidRPr="00884FAA">
        <w:t>completed virtually.</w:t>
      </w:r>
    </w:p>
    <w:p w14:paraId="40C8DE7B" w14:textId="27FF0560" w:rsidR="007D4F95" w:rsidRPr="00A1178E" w:rsidRDefault="005257F3" w:rsidP="00BA0807">
      <w:pPr>
        <w:pStyle w:val="Quote"/>
        <w:spacing w:after="0"/>
        <w:rPr>
          <w:color w:val="18525E" w:themeColor="accent5" w:themeShade="80"/>
        </w:rPr>
      </w:pPr>
      <w:r w:rsidRPr="00A1178E">
        <w:rPr>
          <w:color w:val="18525E" w:themeColor="accent5" w:themeShade="80"/>
        </w:rPr>
        <w:t>And without then having that 715 done, then the rest of the checks that can be claimed after that for the next annual rotation can't be claimed. So that's a huge amount of funding where we're lacking as a consequence</w:t>
      </w:r>
      <w:r w:rsidR="000D53B6" w:rsidRPr="00A1178E">
        <w:rPr>
          <w:color w:val="18525E" w:themeColor="accent5" w:themeShade="80"/>
        </w:rPr>
        <w:t>.</w:t>
      </w:r>
    </w:p>
    <w:p w14:paraId="7CB87140" w14:textId="77777777" w:rsidR="00B842D6" w:rsidRDefault="006143FE" w:rsidP="00BA0807">
      <w:pPr>
        <w:jc w:val="right"/>
        <w:rPr>
          <w:b/>
          <w:bCs/>
        </w:rPr>
      </w:pPr>
      <w:r w:rsidRPr="00BA0807">
        <w:rPr>
          <w:b/>
          <w:bCs/>
        </w:rPr>
        <w:t>ACCHS, Remote location</w:t>
      </w:r>
    </w:p>
    <w:p w14:paraId="30DBABD7" w14:textId="77777777" w:rsidR="00B842D6" w:rsidRDefault="00B842D6">
      <w:pPr>
        <w:jc w:val="left"/>
        <w:rPr>
          <w:b/>
          <w:bCs/>
        </w:rPr>
      </w:pPr>
      <w:r>
        <w:rPr>
          <w:b/>
          <w:bCs/>
        </w:rPr>
        <w:br w:type="page"/>
      </w:r>
    </w:p>
    <w:p w14:paraId="2EEC6AFD" w14:textId="4C0E30D6" w:rsidR="00885CBC" w:rsidRPr="00884FAA" w:rsidRDefault="00885CBC" w:rsidP="00651D06">
      <w:pPr>
        <w:pStyle w:val="Heading3"/>
      </w:pPr>
      <w:r w:rsidRPr="00884FAA">
        <w:lastRenderedPageBreak/>
        <w:t xml:space="preserve">The </w:t>
      </w:r>
      <w:r w:rsidR="00185C6E" w:rsidRPr="00884FAA">
        <w:t xml:space="preserve">IAHP </w:t>
      </w:r>
      <w:r w:rsidRPr="00884FAA">
        <w:t>funding is insufficient to meet demand</w:t>
      </w:r>
      <w:r w:rsidR="00185C6E" w:rsidRPr="00884FAA">
        <w:t xml:space="preserve"> for services</w:t>
      </w:r>
    </w:p>
    <w:p w14:paraId="3ED1484C" w14:textId="136DB155" w:rsidR="00885CBC" w:rsidRPr="00A1178E" w:rsidRDefault="00885CBC" w:rsidP="00BA0807">
      <w:pPr>
        <w:pStyle w:val="Quote"/>
        <w:spacing w:after="0"/>
        <w:rPr>
          <w:color w:val="18525E" w:themeColor="accent5" w:themeShade="80"/>
        </w:rPr>
      </w:pPr>
      <w:r w:rsidRPr="00A1178E">
        <w:rPr>
          <w:color w:val="18525E" w:themeColor="accent5" w:themeShade="80"/>
        </w:rPr>
        <w:t>It just doesn't go far enough because of the volume and the demands.</w:t>
      </w:r>
    </w:p>
    <w:p w14:paraId="3E2B60FE" w14:textId="6AB94B37" w:rsidR="00F870A0" w:rsidRPr="00BA0807" w:rsidRDefault="00F870A0" w:rsidP="00286FE5">
      <w:pPr>
        <w:spacing w:before="120"/>
        <w:jc w:val="right"/>
        <w:rPr>
          <w:b/>
          <w:bCs/>
        </w:rPr>
      </w:pPr>
      <w:r w:rsidRPr="00BA0807">
        <w:rPr>
          <w:b/>
          <w:bCs/>
        </w:rPr>
        <w:t>ACCHS, Metropolitan location</w:t>
      </w:r>
    </w:p>
    <w:p w14:paraId="2A2958B1" w14:textId="1D86A054" w:rsidR="007D4BEF" w:rsidRPr="00884FAA" w:rsidRDefault="00932364" w:rsidP="00885CBC">
      <w:r w:rsidRPr="00884FAA">
        <w:t xml:space="preserve">While IAHP provides </w:t>
      </w:r>
      <w:r w:rsidR="00D52FE2" w:rsidRPr="00884FAA">
        <w:t xml:space="preserve">critical </w:t>
      </w:r>
      <w:r w:rsidR="00367763" w:rsidRPr="00884FAA">
        <w:t xml:space="preserve">backbone </w:t>
      </w:r>
      <w:r w:rsidR="00D52FE2" w:rsidRPr="00884FAA">
        <w:t xml:space="preserve">funding, </w:t>
      </w:r>
      <w:r w:rsidR="00CA61DF" w:rsidRPr="000A0204">
        <w:t>evaluation</w:t>
      </w:r>
      <w:r w:rsidR="00D52FE2" w:rsidRPr="000A0204">
        <w:t xml:space="preserve"> </w:t>
      </w:r>
      <w:r w:rsidR="000A0204" w:rsidRPr="000A0204">
        <w:t>participants reported</w:t>
      </w:r>
      <w:r w:rsidR="00D52FE2" w:rsidRPr="00884FAA">
        <w:t xml:space="preserve"> that people </w:t>
      </w:r>
      <w:r w:rsidR="000A0204" w:rsidRPr="000A0204">
        <w:t>were</w:t>
      </w:r>
      <w:r w:rsidR="00D52FE2" w:rsidRPr="00884FAA">
        <w:t xml:space="preserve"> still missing out – or waiting long periods – for services due to the </w:t>
      </w:r>
      <w:r w:rsidR="00ED3DCD" w:rsidRPr="00884FAA">
        <w:t xml:space="preserve">growing demand for services. </w:t>
      </w:r>
      <w:r w:rsidR="00885CBC" w:rsidRPr="00884FAA">
        <w:t xml:space="preserve">Health service managers described their organisations as having expanded over the last decade, partly </w:t>
      </w:r>
      <w:r w:rsidR="00C911B1" w:rsidRPr="00884FAA">
        <w:t>because of</w:t>
      </w:r>
      <w:r w:rsidR="00885CBC" w:rsidRPr="00884FAA">
        <w:t xml:space="preserve"> an increase in funding. Participants point to increased uptake of patients, more episodes of care, a growing number of staff, opening of new clinics and provision of a wider range of programs and services, including disability and aged care services</w:t>
      </w:r>
      <w:r w:rsidR="0069338B" w:rsidRPr="00884FAA">
        <w:t xml:space="preserve">. </w:t>
      </w:r>
    </w:p>
    <w:p w14:paraId="7C243F51" w14:textId="455A4829" w:rsidR="00885CBC" w:rsidRPr="00884FAA" w:rsidRDefault="00B21D35" w:rsidP="00885CBC">
      <w:r w:rsidRPr="00884FAA">
        <w:t xml:space="preserve">Expanded capacity was matched by </w:t>
      </w:r>
      <w:r w:rsidR="00246E25" w:rsidRPr="00884FAA">
        <w:t xml:space="preserve">increased </w:t>
      </w:r>
      <w:r w:rsidR="00943855" w:rsidRPr="00884FAA">
        <w:t>demand for services.</w:t>
      </w:r>
      <w:r w:rsidR="00885CBC" w:rsidRPr="00884FAA">
        <w:t xml:space="preserve"> </w:t>
      </w:r>
      <w:r w:rsidR="000D105F" w:rsidRPr="00884FAA">
        <w:t>Across all sites,</w:t>
      </w:r>
      <w:r w:rsidR="00885CBC" w:rsidRPr="00884FAA">
        <w:t xml:space="preserve"> ACCHS staff reported that they are unable to keep up with the demand for their services. A consistent message was that funding does not reflect the cost of what is required to deliver good quality comprehensive PHC</w:t>
      </w:r>
      <w:r w:rsidR="000D105F" w:rsidRPr="00884FAA">
        <w:t xml:space="preserve"> to Aboriginal and Torres Strait Islander people</w:t>
      </w:r>
      <w:r w:rsidR="00885CBC" w:rsidRPr="00884FAA">
        <w:t xml:space="preserve">. </w:t>
      </w:r>
    </w:p>
    <w:p w14:paraId="159DFADE" w14:textId="0D80AAB4" w:rsidR="00885CBC" w:rsidRPr="00A1178E" w:rsidRDefault="00885CBC" w:rsidP="00BA0807">
      <w:pPr>
        <w:pStyle w:val="Quote"/>
        <w:spacing w:after="0"/>
        <w:rPr>
          <w:color w:val="18525E" w:themeColor="accent5" w:themeShade="80"/>
        </w:rPr>
      </w:pPr>
      <w:r w:rsidRPr="00A1178E">
        <w:rPr>
          <w:color w:val="18525E" w:themeColor="accent5" w:themeShade="80"/>
        </w:rPr>
        <w:t xml:space="preserve">The numbers don’t tell you the story of the patients. It just tells you that one person came in at this time, and you might see 35 people in a day, but it doesn't tell you what you have to do for those 35 people .… But just because we get funded on the numbers doesn't mean to say that (a) you give good care, or (b) it doesn't mean that you can give good care because you don't get the funding for what you actually do. </w:t>
      </w:r>
    </w:p>
    <w:p w14:paraId="2C9B95E3" w14:textId="7C20D699" w:rsidR="00C607B0" w:rsidRPr="00BA0807" w:rsidRDefault="00C607B0" w:rsidP="00286FE5">
      <w:pPr>
        <w:spacing w:before="120"/>
        <w:jc w:val="right"/>
        <w:rPr>
          <w:b/>
          <w:bCs/>
        </w:rPr>
      </w:pPr>
      <w:r w:rsidRPr="00BA0807">
        <w:rPr>
          <w:b/>
          <w:bCs/>
        </w:rPr>
        <w:t xml:space="preserve">ACCHS, Remote location </w:t>
      </w:r>
    </w:p>
    <w:p w14:paraId="68ADD49D" w14:textId="2871A018" w:rsidR="00885CBC" w:rsidRPr="00884FAA" w:rsidRDefault="00885CBC" w:rsidP="00885CBC">
      <w:r w:rsidRPr="00884FAA">
        <w:t xml:space="preserve">Specific issues raised by health service managers in relation to the </w:t>
      </w:r>
      <w:r w:rsidR="000D105F" w:rsidRPr="00884FAA">
        <w:t xml:space="preserve">limitations </w:t>
      </w:r>
      <w:r w:rsidRPr="00884FAA">
        <w:t xml:space="preserve">of </w:t>
      </w:r>
      <w:r w:rsidR="000D105F" w:rsidRPr="00884FAA">
        <w:t xml:space="preserve">current </w:t>
      </w:r>
      <w:r w:rsidRPr="00884FAA">
        <w:t>funding</w:t>
      </w:r>
      <w:r w:rsidR="00415263">
        <w:t xml:space="preserve"> include:</w:t>
      </w:r>
    </w:p>
    <w:p w14:paraId="10E3C8B2" w14:textId="079DAD52" w:rsidR="00885CBC" w:rsidRPr="00884FAA" w:rsidRDefault="003C7710" w:rsidP="00580736">
      <w:pPr>
        <w:numPr>
          <w:ilvl w:val="0"/>
          <w:numId w:val="19"/>
        </w:numPr>
        <w:spacing w:after="120"/>
      </w:pPr>
      <w:r w:rsidRPr="00884FAA">
        <w:t xml:space="preserve">The </w:t>
      </w:r>
      <w:r w:rsidR="00D54306" w:rsidRPr="00884FAA">
        <w:t xml:space="preserve">actual </w:t>
      </w:r>
      <w:r w:rsidRPr="00884FAA">
        <w:t>n</w:t>
      </w:r>
      <w:r w:rsidR="00885CBC" w:rsidRPr="00884FAA">
        <w:t xml:space="preserve">eeds and circumstances of the Aboriginal and Torres Strait Islander population are not accurately captured in data </w:t>
      </w:r>
      <w:r w:rsidRPr="00884FAA">
        <w:t xml:space="preserve">that informs </w:t>
      </w:r>
      <w:r w:rsidR="00885CBC" w:rsidRPr="00884FAA">
        <w:t xml:space="preserve">funding determinations. For example, the </w:t>
      </w:r>
      <w:r w:rsidR="000F7ACE">
        <w:t>PHC Program</w:t>
      </w:r>
      <w:r w:rsidR="00885CBC" w:rsidRPr="00884FAA">
        <w:t xml:space="preserve"> funding model regulates for burden of disease (using years of potential life lost, YPLL) and health care needs (using the Indigenous Relative Socioeconomic Outcomes index, IRSEO). ABS population data is used in calculating these measures; however, this data does not accurately count local population demographics. </w:t>
      </w:r>
    </w:p>
    <w:p w14:paraId="7001AA1F" w14:textId="79C44BEA" w:rsidR="009C2DF4" w:rsidRPr="00B50CEC" w:rsidRDefault="00885CBC" w:rsidP="00B50CEC">
      <w:pPr>
        <w:numPr>
          <w:ilvl w:val="0"/>
          <w:numId w:val="19"/>
        </w:numPr>
        <w:spacing w:after="120"/>
      </w:pPr>
      <w:r w:rsidRPr="00884FAA">
        <w:t xml:space="preserve">Concerns about the way the costing of service delivery is calculated in major cities which, under the </w:t>
      </w:r>
      <w:r w:rsidR="000F7ACE">
        <w:t>PHC Program</w:t>
      </w:r>
      <w:r w:rsidRPr="00884FAA">
        <w:t xml:space="preserve"> funding model, do not </w:t>
      </w:r>
      <w:r w:rsidR="00E1701F" w:rsidRPr="00884FAA">
        <w:t xml:space="preserve">currently </w:t>
      </w:r>
      <w:r w:rsidRPr="00884FAA">
        <w:t>attract a location multipl</w:t>
      </w:r>
      <w:r w:rsidR="00307021" w:rsidRPr="00884FAA">
        <w:t>i</w:t>
      </w:r>
      <w:r w:rsidRPr="00884FAA">
        <w:t>e</w:t>
      </w:r>
      <w:r w:rsidR="00307021" w:rsidRPr="00884FAA">
        <w:t>r</w:t>
      </w:r>
      <w:r w:rsidRPr="00884FAA">
        <w:t xml:space="preserve">. An ACCHS manager reported this as problematic as it does not account for </w:t>
      </w:r>
      <w:r w:rsidR="007B5A25" w:rsidRPr="00884FAA">
        <w:t xml:space="preserve">specific </w:t>
      </w:r>
      <w:r w:rsidRPr="00884FAA">
        <w:t>conditions that may impact the cost of service delivery in cities, like workforce, population growth</w:t>
      </w:r>
      <w:r w:rsidR="00EF7549" w:rsidRPr="00884FAA">
        <w:t>,</w:t>
      </w:r>
      <w:r w:rsidRPr="00884FAA">
        <w:t xml:space="preserve"> and </w:t>
      </w:r>
      <w:r w:rsidR="002F51A2" w:rsidRPr="00884FAA">
        <w:t xml:space="preserve">the impact of </w:t>
      </w:r>
      <w:r w:rsidR="0018217F" w:rsidRPr="00884FAA">
        <w:t xml:space="preserve">social and cultural determinants on urban </w:t>
      </w:r>
      <w:r w:rsidR="00003453" w:rsidRPr="00884FAA">
        <w:lastRenderedPageBreak/>
        <w:t xml:space="preserve">Aboriginal and Torres Strait Islander </w:t>
      </w:r>
      <w:r w:rsidR="0018217F" w:rsidRPr="00884FAA">
        <w:t xml:space="preserve">populations, including </w:t>
      </w:r>
      <w:r w:rsidRPr="00884FAA">
        <w:t xml:space="preserve">disconnection </w:t>
      </w:r>
      <w:r w:rsidR="0018217F" w:rsidRPr="00884FAA">
        <w:t>from C</w:t>
      </w:r>
      <w:r w:rsidRPr="00884FAA">
        <w:t>ountry.</w:t>
      </w:r>
      <w:r w:rsidR="00812FA6">
        <w:rPr>
          <w:rStyle w:val="FootnoteReference"/>
        </w:rPr>
        <w:footnoteReference w:id="51"/>
      </w:r>
    </w:p>
    <w:p w14:paraId="7681DA5A" w14:textId="5BD65D71" w:rsidR="00885CBC" w:rsidRPr="00A1178E" w:rsidRDefault="00885CBC" w:rsidP="002850F1">
      <w:pPr>
        <w:pStyle w:val="Quote"/>
        <w:spacing w:before="240" w:after="0"/>
        <w:ind w:left="562"/>
        <w:rPr>
          <w:color w:val="18525E" w:themeColor="accent5" w:themeShade="80"/>
        </w:rPr>
      </w:pPr>
      <w:r w:rsidRPr="00A1178E">
        <w:rPr>
          <w:color w:val="18525E" w:themeColor="accent5" w:themeShade="80"/>
        </w:rPr>
        <w:t xml:space="preserve">…it's a relatively urban population as compared to others. Geographically, there is access to hospitals, there is access to, you know, a large number of community-controlled health organisations …. [But] If you ask anyone from [state name removed] you will see that, you know, the historical determinants of health and wellbeing here are remarkably different compared to other jurisdictions. The impacts of colonisation … were profound, it's the reason why we have the distribution of population that we have today, and the disconnection from </w:t>
      </w:r>
      <w:r w:rsidR="00B7774D" w:rsidRPr="00A1178E">
        <w:rPr>
          <w:color w:val="18525E" w:themeColor="accent5" w:themeShade="80"/>
        </w:rPr>
        <w:t>C</w:t>
      </w:r>
      <w:r w:rsidRPr="00A1178E">
        <w:rPr>
          <w:color w:val="18525E" w:themeColor="accent5" w:themeShade="80"/>
        </w:rPr>
        <w:t>ountry, culture, kinship, all of the intergenerational trauma. Geographic proximity to a hospital does not mean better access.</w:t>
      </w:r>
    </w:p>
    <w:p w14:paraId="5A987404" w14:textId="040D6717" w:rsidR="007572F0" w:rsidRPr="00BA0807" w:rsidRDefault="007572F0" w:rsidP="00286FE5">
      <w:pPr>
        <w:spacing w:before="120"/>
        <w:jc w:val="right"/>
        <w:rPr>
          <w:b/>
          <w:bCs/>
        </w:rPr>
      </w:pPr>
      <w:r w:rsidRPr="00BA0807">
        <w:rPr>
          <w:b/>
          <w:bCs/>
        </w:rPr>
        <w:t xml:space="preserve">ACCHS, Metropolitan location </w:t>
      </w:r>
    </w:p>
    <w:p w14:paraId="6EA2956B" w14:textId="4B20CE27" w:rsidR="00885CBC" w:rsidRPr="00884FAA" w:rsidRDefault="00885CBC" w:rsidP="00885CBC">
      <w:r w:rsidRPr="00884FAA">
        <w:t xml:space="preserve">Fundamentally, ACCHS managers noted that the IAHP is a capped pool of money and the </w:t>
      </w:r>
      <w:r w:rsidR="000F7ACE">
        <w:t>PHC Program</w:t>
      </w:r>
      <w:r w:rsidRPr="00884FAA">
        <w:t xml:space="preserve"> funding model focuses on the horizontal distribution of funding based on an assessment of relative (not actual) need. </w:t>
      </w:r>
      <w:r w:rsidR="00FA19F5" w:rsidRPr="00884FAA">
        <w:t xml:space="preserve">That is, funding provided to one organisation </w:t>
      </w:r>
      <w:r w:rsidR="00E5699D" w:rsidRPr="00884FAA">
        <w:t xml:space="preserve">reduces the amount of money available for other organisations. </w:t>
      </w:r>
      <w:r w:rsidRPr="00884FAA">
        <w:t xml:space="preserve">Regardless of how the amount of funding for each service is determined, the available funding is capped. </w:t>
      </w:r>
      <w:r w:rsidR="00E5699D" w:rsidRPr="00884FAA">
        <w:t xml:space="preserve">While the funding is intended to be </w:t>
      </w:r>
      <w:r w:rsidR="00FD1675" w:rsidRPr="00884FAA">
        <w:t xml:space="preserve">broadly </w:t>
      </w:r>
      <w:r w:rsidR="00E5699D" w:rsidRPr="00884FAA">
        <w:t>responsive to the</w:t>
      </w:r>
      <w:r w:rsidR="00FD1675" w:rsidRPr="00884FAA">
        <w:t xml:space="preserve"> </w:t>
      </w:r>
      <w:r w:rsidR="00E5699D" w:rsidRPr="00884FAA">
        <w:t xml:space="preserve">health needs </w:t>
      </w:r>
      <w:r w:rsidR="00FD1675" w:rsidRPr="00884FAA">
        <w:t xml:space="preserve">of </w:t>
      </w:r>
      <w:r w:rsidR="00E5699D" w:rsidRPr="00884FAA">
        <w:t>Aboriginal and Torres Strait</w:t>
      </w:r>
      <w:r w:rsidR="00FD1675" w:rsidRPr="00884FAA">
        <w:t xml:space="preserve"> Islander people, it is not currently </w:t>
      </w:r>
      <w:r w:rsidRPr="00884FAA">
        <w:t xml:space="preserve">designed </w:t>
      </w:r>
      <w:r w:rsidR="00FD1675" w:rsidRPr="00884FAA">
        <w:t xml:space="preserve">as a </w:t>
      </w:r>
      <w:r w:rsidRPr="00884FAA">
        <w:t>needs-based funding</w:t>
      </w:r>
      <w:r w:rsidR="00FD1675" w:rsidRPr="00884FAA">
        <w:t xml:space="preserve"> model</w:t>
      </w:r>
      <w:r w:rsidRPr="00884FAA">
        <w:t>, or to be responsive to changes in demand, population growth or organisational expansion.</w:t>
      </w:r>
    </w:p>
    <w:p w14:paraId="6E4B2B45" w14:textId="270A6F2E" w:rsidR="00885CBC" w:rsidRPr="00A1178E" w:rsidRDefault="00885CBC" w:rsidP="00286FE5">
      <w:pPr>
        <w:pStyle w:val="Quote"/>
        <w:spacing w:after="0"/>
        <w:rPr>
          <w:color w:val="18525E" w:themeColor="accent5" w:themeShade="80"/>
        </w:rPr>
      </w:pPr>
      <w:r w:rsidRPr="00A1178E">
        <w:rPr>
          <w:color w:val="18525E" w:themeColor="accent5" w:themeShade="80"/>
        </w:rPr>
        <w:t>This top-down model of ‘here's a bucket of money for rheumatic heart disease or syphilis or whatever’. It's not true primary health care, actually what you should be doing is building up an appreciation of needs from the ground up with your data, with your community needs assessment.</w:t>
      </w:r>
    </w:p>
    <w:p w14:paraId="2EA3C74D" w14:textId="5EB64D3D" w:rsidR="005072D2" w:rsidRPr="00BA0807" w:rsidRDefault="005072D2" w:rsidP="00BA0807">
      <w:pPr>
        <w:jc w:val="right"/>
        <w:rPr>
          <w:b/>
          <w:bCs/>
        </w:rPr>
      </w:pPr>
      <w:r w:rsidRPr="00BA0807">
        <w:rPr>
          <w:b/>
          <w:bCs/>
        </w:rPr>
        <w:t xml:space="preserve">State or territory government </w:t>
      </w:r>
    </w:p>
    <w:p w14:paraId="2DBF999A" w14:textId="1BC6B60E" w:rsidR="00D779F2" w:rsidRPr="00884FAA" w:rsidRDefault="006775D5" w:rsidP="00885CBC">
      <w:r w:rsidRPr="00884FAA">
        <w:t xml:space="preserve">While there has been </w:t>
      </w:r>
      <w:r w:rsidR="00EE55F2" w:rsidRPr="00884FAA">
        <w:t>growth in the investment in IAHP</w:t>
      </w:r>
      <w:r w:rsidR="00096F18" w:rsidRPr="00884FAA">
        <w:t xml:space="preserve">, </w:t>
      </w:r>
      <w:r w:rsidR="006B35CC" w:rsidRPr="00884FAA">
        <w:t xml:space="preserve">participants had strong views that the past growth rate was not sufficient to </w:t>
      </w:r>
      <w:r w:rsidR="002F1873" w:rsidRPr="00884FAA">
        <w:t>achieve</w:t>
      </w:r>
      <w:r w:rsidR="000740E4" w:rsidRPr="00884FAA">
        <w:t xml:space="preserve"> the targets in the National Agreement on Closing the Gap.</w:t>
      </w:r>
      <w:r w:rsidR="0097312D" w:rsidRPr="00884FAA">
        <w:t xml:space="preserve"> </w:t>
      </w:r>
      <w:r w:rsidR="00D779F2" w:rsidRPr="00884FAA">
        <w:t>As noted i</w:t>
      </w:r>
      <w:r w:rsidR="00D779F2" w:rsidRPr="00250638">
        <w:t xml:space="preserve">n Section </w:t>
      </w:r>
      <w:r w:rsidR="000E7837">
        <w:fldChar w:fldCharType="begin"/>
      </w:r>
      <w:r w:rsidR="000E7837">
        <w:instrText xml:space="preserve"> REF _Ref131612094 \r \h </w:instrText>
      </w:r>
      <w:r w:rsidR="000E7837">
        <w:fldChar w:fldCharType="separate"/>
      </w:r>
      <w:r w:rsidR="00165B17">
        <w:t>3.3.4</w:t>
      </w:r>
      <w:r w:rsidR="000E7837">
        <w:fldChar w:fldCharType="end"/>
      </w:r>
      <w:r w:rsidR="00D779F2" w:rsidRPr="00250638">
        <w:t xml:space="preserve">, </w:t>
      </w:r>
      <w:r w:rsidR="00245A46" w:rsidRPr="00250638">
        <w:t>total I</w:t>
      </w:r>
      <w:r w:rsidR="00245A46" w:rsidRPr="00884FAA">
        <w:t>AHP expenditure increased at a rate of 3.3% per year</w:t>
      </w:r>
      <w:r w:rsidR="002D5F7E" w:rsidRPr="00884FAA">
        <w:t xml:space="preserve"> from 2015-16 to 2020-21</w:t>
      </w:r>
      <w:r w:rsidR="00721E0A" w:rsidRPr="00884FAA">
        <w:t xml:space="preserve"> (CPI adjusted)</w:t>
      </w:r>
      <w:r w:rsidR="00245A46" w:rsidRPr="00884FAA">
        <w:t>.</w:t>
      </w:r>
    </w:p>
    <w:p w14:paraId="0198FE0B" w14:textId="25D32089" w:rsidR="007E3F29" w:rsidRPr="00A1178E" w:rsidRDefault="007E3F29" w:rsidP="00BA0807">
      <w:pPr>
        <w:pStyle w:val="Quote"/>
        <w:spacing w:before="240" w:after="0"/>
        <w:rPr>
          <w:color w:val="18525E" w:themeColor="accent5" w:themeShade="80"/>
        </w:rPr>
      </w:pPr>
      <w:r w:rsidRPr="00A1178E">
        <w:rPr>
          <w:color w:val="18525E" w:themeColor="accent5" w:themeShade="80"/>
        </w:rPr>
        <w:t xml:space="preserve">It’s deadly, but it’s nowhere near enough to do the work that’s required in order to, you know, not even just meet the needs of our people now, but particularly … close the gap over the next 10 years.       </w:t>
      </w:r>
    </w:p>
    <w:p w14:paraId="220561A0" w14:textId="3B8B6AA3" w:rsidR="005072D2" w:rsidRPr="00BA0807" w:rsidRDefault="005072D2" w:rsidP="00BA0807">
      <w:pPr>
        <w:jc w:val="right"/>
        <w:rPr>
          <w:b/>
          <w:bCs/>
        </w:rPr>
      </w:pPr>
      <w:r w:rsidRPr="00BA0807">
        <w:rPr>
          <w:b/>
          <w:bCs/>
        </w:rPr>
        <w:t xml:space="preserve">ACCHS, Metropolitan location </w:t>
      </w:r>
    </w:p>
    <w:p w14:paraId="5571A3B9" w14:textId="00A8A004" w:rsidR="00307152" w:rsidRPr="00884FAA" w:rsidRDefault="002F1873" w:rsidP="000A47F5">
      <w:r w:rsidRPr="00884FAA">
        <w:t xml:space="preserve">While this growth </w:t>
      </w:r>
      <w:r w:rsidR="00CB727D" w:rsidRPr="00884FAA">
        <w:t xml:space="preserve">was welcomed by many participants, the expenditure on IAHP remains a small fraction of the </w:t>
      </w:r>
      <w:r w:rsidR="008E53CB" w:rsidRPr="00884FAA">
        <w:t xml:space="preserve">total </w:t>
      </w:r>
      <w:r w:rsidR="003279C5">
        <w:t>PHC</w:t>
      </w:r>
      <w:r w:rsidR="000A47F5" w:rsidRPr="00884FAA">
        <w:t xml:space="preserve"> </w:t>
      </w:r>
      <w:r w:rsidR="00CB727D" w:rsidRPr="00884FAA">
        <w:t xml:space="preserve">expenditure. </w:t>
      </w:r>
      <w:r w:rsidR="008E53CB" w:rsidRPr="00884FAA">
        <w:t>Notably, o</w:t>
      </w:r>
      <w:r w:rsidR="00CB727D" w:rsidRPr="00884FAA">
        <w:t xml:space="preserve">ne of the </w:t>
      </w:r>
      <w:r w:rsidR="00192C73" w:rsidRPr="00884FAA">
        <w:t xml:space="preserve">elements of the National Agreement on Closing the Gap </w:t>
      </w:r>
      <w:r w:rsidR="003F4BD0" w:rsidRPr="00884FAA">
        <w:t>(Clause 55b)</w:t>
      </w:r>
      <w:r w:rsidR="00192C73" w:rsidRPr="00884FAA">
        <w:t xml:space="preserve"> </w:t>
      </w:r>
      <w:r w:rsidR="008E53CB" w:rsidRPr="00884FAA">
        <w:t xml:space="preserve">is </w:t>
      </w:r>
      <w:r w:rsidR="00192C73" w:rsidRPr="00884FAA">
        <w:t>that</w:t>
      </w:r>
      <w:r w:rsidR="00307152" w:rsidRPr="00884FAA">
        <w:t>:</w:t>
      </w:r>
    </w:p>
    <w:p w14:paraId="399CBAF6" w14:textId="6A872F12" w:rsidR="00F9107F" w:rsidRPr="00A1178E" w:rsidRDefault="00307152" w:rsidP="00307152">
      <w:pPr>
        <w:pStyle w:val="Quote"/>
        <w:rPr>
          <w:color w:val="18525E" w:themeColor="accent5" w:themeShade="80"/>
        </w:rPr>
      </w:pPr>
      <w:r w:rsidRPr="00A1178E">
        <w:rPr>
          <w:color w:val="18525E" w:themeColor="accent5" w:themeShade="80"/>
        </w:rPr>
        <w:t>W</w:t>
      </w:r>
      <w:r w:rsidR="00F9107F" w:rsidRPr="00A1178E">
        <w:rPr>
          <w:color w:val="18525E" w:themeColor="accent5" w:themeShade="80"/>
        </w:rPr>
        <w:t>here new funding initiatives are decided by governments which are intended to service the broader population across socio-economic outcome areas of the Agreement, that</w:t>
      </w:r>
      <w:r w:rsidR="00192C73" w:rsidRPr="00A1178E">
        <w:rPr>
          <w:color w:val="18525E" w:themeColor="accent5" w:themeShade="80"/>
        </w:rPr>
        <w:t xml:space="preserve"> a </w:t>
      </w:r>
      <w:r w:rsidR="000D1AB6" w:rsidRPr="00A1178E">
        <w:rPr>
          <w:color w:val="18525E" w:themeColor="accent5" w:themeShade="80"/>
        </w:rPr>
        <w:lastRenderedPageBreak/>
        <w:t xml:space="preserve">meaningful </w:t>
      </w:r>
      <w:r w:rsidR="00192C73" w:rsidRPr="00A1178E">
        <w:rPr>
          <w:color w:val="18525E" w:themeColor="accent5" w:themeShade="80"/>
        </w:rPr>
        <w:t>proportion</w:t>
      </w:r>
      <w:r w:rsidR="00F9107F" w:rsidRPr="00A1178E">
        <w:rPr>
          <w:color w:val="18525E" w:themeColor="accent5" w:themeShade="80"/>
        </w:rPr>
        <w:t xml:space="preserve"> is allocated to</w:t>
      </w:r>
      <w:r w:rsidR="00192C73" w:rsidRPr="00A1178E">
        <w:rPr>
          <w:color w:val="18525E" w:themeColor="accent5" w:themeShade="80"/>
        </w:rPr>
        <w:t xml:space="preserve"> Aboriginal and Torres Strait Islander </w:t>
      </w:r>
      <w:r w:rsidR="00F9107F" w:rsidRPr="00A1178E">
        <w:rPr>
          <w:color w:val="18525E" w:themeColor="accent5" w:themeShade="80"/>
        </w:rPr>
        <w:t>organisations with relevant expertise, particularly community-controlled organisations</w:t>
      </w:r>
      <w:r w:rsidR="00AC401B" w:rsidRPr="00A1178E">
        <w:rPr>
          <w:color w:val="18525E" w:themeColor="accent5" w:themeShade="80"/>
        </w:rPr>
        <w:t xml:space="preserve"> </w:t>
      </w:r>
      <w:r w:rsidR="005C7F2F" w:rsidRPr="00A1178E">
        <w:rPr>
          <w:color w:val="18525E" w:themeColor="accent5" w:themeShade="80"/>
        </w:rPr>
        <w:fldChar w:fldCharType="begin"/>
      </w:r>
      <w:r w:rsidR="00F8760E" w:rsidRPr="00A1178E">
        <w:rPr>
          <w:color w:val="18525E" w:themeColor="accent5" w:themeShade="80"/>
        </w:rPr>
        <w:instrText xml:space="preserve"> ADDIN ZOTERO_ITEM CSL_CITATION {"citationID":"bEBNPKpB","properties":{"formattedCitation":"(Coalition of Aboriginal and Torres Strait Islander Peak Organisations and Australian Governments (COAG), 2020b)","plainCitation":"(Coalition of Aboriginal and Torres Strait Islander Peak Organisations and Australian Governments (COAG), 2020b)","noteIndex":0},"citationItems":[{"id":442,"uris":["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http://zotero.org/groups/4420056/items/UD9VGC6R"]]]]]],"itemData":{"id":442,"type":"report","event-place":"Australia","language":"en","publisher-place":"Australia","source":"Zotero","title":"National Agreement on Closing the Gap","title-short":"the National Agreement","URL":"https://www.closingthegap.gov.au/national-agreement","author":[{"literal":"Coalition of Aboriginal and Torres Strait Islander Peak Organisations and Australian Governments (COAG)"}],"accessed":{"date-parts":[["2021",9,28]]},"issued":{"date-parts":[["2020",7]]}}}],"schema":"https://github.com/citation-style-language/schema/raw/master/csl-citation.json"} </w:instrText>
      </w:r>
      <w:r w:rsidR="005C7F2F" w:rsidRPr="00A1178E">
        <w:rPr>
          <w:color w:val="18525E" w:themeColor="accent5" w:themeShade="80"/>
        </w:rPr>
        <w:fldChar w:fldCharType="separate"/>
      </w:r>
      <w:r w:rsidR="00D248BF" w:rsidRPr="00A1178E">
        <w:rPr>
          <w:rFonts w:ascii="Arial" w:hAnsi="Arial" w:cs="Arial"/>
          <w:color w:val="18525E" w:themeColor="accent5" w:themeShade="80"/>
        </w:rPr>
        <w:t>(Coalition of Aboriginal and Torres Strait Islander Peak Organisations and Australian Governments (COAG), 2020b)</w:t>
      </w:r>
      <w:r w:rsidR="005C7F2F" w:rsidRPr="00A1178E">
        <w:rPr>
          <w:color w:val="18525E" w:themeColor="accent5" w:themeShade="80"/>
        </w:rPr>
        <w:fldChar w:fldCharType="end"/>
      </w:r>
      <w:r w:rsidR="00F9107F" w:rsidRPr="00A1178E">
        <w:rPr>
          <w:color w:val="18525E" w:themeColor="accent5" w:themeShade="80"/>
        </w:rPr>
        <w:t>.</w:t>
      </w:r>
      <w:r w:rsidR="00AC401B" w:rsidRPr="00A1178E">
        <w:rPr>
          <w:color w:val="18525E" w:themeColor="accent5" w:themeShade="80"/>
        </w:rPr>
        <w:t xml:space="preserve"> </w:t>
      </w:r>
      <w:r w:rsidR="00F9107F" w:rsidRPr="00A1178E">
        <w:rPr>
          <w:color w:val="18525E" w:themeColor="accent5" w:themeShade="80"/>
        </w:rPr>
        <w:t> </w:t>
      </w:r>
    </w:p>
    <w:p w14:paraId="4429DB77" w14:textId="2E0BF0B9" w:rsidR="002F1873" w:rsidRPr="00884FAA" w:rsidRDefault="00137DF5" w:rsidP="000A47F5">
      <w:r w:rsidRPr="00884FAA">
        <w:t xml:space="preserve">This signals recognition that targeted growth in the funding of health care for Aboriginal and Torres Strait Islander people must be a feature of the funding landscape to </w:t>
      </w:r>
      <w:r w:rsidR="002507A7" w:rsidRPr="00884FAA">
        <w:t xml:space="preserve">achieve greater equity in health outcomes. </w:t>
      </w:r>
    </w:p>
    <w:p w14:paraId="75A5934E" w14:textId="4CA5721E" w:rsidR="006C76C8" w:rsidRPr="00884FAA" w:rsidRDefault="006C76C8" w:rsidP="00651D06">
      <w:pPr>
        <w:pStyle w:val="Heading3"/>
      </w:pPr>
      <w:r w:rsidRPr="00884FAA">
        <w:t>IAHP funding is stretched</w:t>
      </w:r>
      <w:r w:rsidR="00E761E4" w:rsidRPr="00884FAA">
        <w:t xml:space="preserve"> over a wide scope of activity</w:t>
      </w:r>
    </w:p>
    <w:p w14:paraId="6C10FC1D" w14:textId="758DCFFF" w:rsidR="006C76C8" w:rsidRPr="00884FAA" w:rsidRDefault="007C00BE" w:rsidP="006C76C8">
      <w:r w:rsidRPr="00884FAA">
        <w:t>Not</w:t>
      </w:r>
      <w:r w:rsidR="006C76C8" w:rsidRPr="00884FAA" w:rsidDel="00ED2AF9">
        <w:t xml:space="preserve"> </w:t>
      </w:r>
      <w:r w:rsidR="006C76C8" w:rsidRPr="00884FAA">
        <w:t>all funding through IAHP is provided to Aboriginal</w:t>
      </w:r>
      <w:r w:rsidR="00C61880" w:rsidRPr="00884FAA">
        <w:t xml:space="preserve"> and Torres Strait Islander</w:t>
      </w:r>
      <w:r w:rsidR="006C76C8" w:rsidRPr="00884FAA">
        <w:t xml:space="preserve"> community-controlled health services or allocated to the </w:t>
      </w:r>
      <w:r w:rsidR="00100D2D" w:rsidRPr="00884FAA">
        <w:t>specific</w:t>
      </w:r>
      <w:r w:rsidRPr="00884FAA">
        <w:t xml:space="preserve"> </w:t>
      </w:r>
      <w:r w:rsidR="006C76C8" w:rsidRPr="00884FAA">
        <w:t xml:space="preserve">delivery of comprehensive </w:t>
      </w:r>
      <w:r w:rsidR="00B308CF">
        <w:t>PHC</w:t>
      </w:r>
      <w:r w:rsidR="006C76C8" w:rsidRPr="00884FAA">
        <w:t xml:space="preserve"> services</w:t>
      </w:r>
      <w:r w:rsidRPr="00884FAA">
        <w:t>.</w:t>
      </w:r>
      <w:r w:rsidR="006C76C8" w:rsidRPr="00884FAA" w:rsidDel="007C00BE">
        <w:t xml:space="preserve"> </w:t>
      </w:r>
      <w:r w:rsidR="006C76C8" w:rsidRPr="00884FAA">
        <w:t>Other activities funded through IAHP include support</w:t>
      </w:r>
      <w:r w:rsidR="00B604AB" w:rsidRPr="00884FAA">
        <w:t xml:space="preserve"> for </w:t>
      </w:r>
      <w:r w:rsidR="00CB5450" w:rsidRPr="00884FAA">
        <w:t xml:space="preserve">specialist </w:t>
      </w:r>
      <w:r w:rsidR="006C76C8" w:rsidRPr="00884FAA">
        <w:t>care pathways through the ITC program</w:t>
      </w:r>
      <w:r w:rsidR="00B604AB" w:rsidRPr="00884FAA">
        <w:t xml:space="preserve"> and </w:t>
      </w:r>
      <w:r w:rsidR="004718DB" w:rsidRPr="00884FAA">
        <w:t>the refurbishment of community</w:t>
      </w:r>
      <w:r w:rsidR="00CB5450" w:rsidRPr="00884FAA">
        <w:t xml:space="preserve"> renal</w:t>
      </w:r>
      <w:r w:rsidR="004718DB" w:rsidRPr="00884FAA">
        <w:t xml:space="preserve"> dialysis unit facilities</w:t>
      </w:r>
      <w:r w:rsidR="006C76C8" w:rsidRPr="00884FAA">
        <w:t>.</w:t>
      </w:r>
    </w:p>
    <w:p w14:paraId="2A471965" w14:textId="2F93EEA7" w:rsidR="000F5F5A" w:rsidRPr="00884FAA" w:rsidRDefault="00D50DF5" w:rsidP="006C76C8">
      <w:r w:rsidRPr="00884FAA">
        <w:t>ACCHS staff</w:t>
      </w:r>
      <w:r w:rsidR="006C76C8" w:rsidRPr="00884FAA">
        <w:t xml:space="preserve"> recognised the value of these activities to support improved access to health care for Aboriginal and Torres Strait Islander people, </w:t>
      </w:r>
      <w:r w:rsidR="00FF3FBD" w:rsidRPr="00884FAA">
        <w:t xml:space="preserve">and </w:t>
      </w:r>
      <w:r w:rsidRPr="00884FAA">
        <w:t xml:space="preserve">they </w:t>
      </w:r>
      <w:r w:rsidR="00FF3FBD" w:rsidRPr="00884FAA">
        <w:t xml:space="preserve">wanted to be involved in supporting </w:t>
      </w:r>
      <w:r w:rsidR="009D087C" w:rsidRPr="00884FAA">
        <w:t xml:space="preserve">their patients </w:t>
      </w:r>
      <w:r w:rsidR="006B45A6" w:rsidRPr="00884FAA">
        <w:t xml:space="preserve">with complex health conditions </w:t>
      </w:r>
      <w:r w:rsidR="009D087C" w:rsidRPr="00884FAA">
        <w:t xml:space="preserve">through </w:t>
      </w:r>
      <w:r w:rsidR="00694BDF" w:rsidRPr="00884FAA">
        <w:t xml:space="preserve">coordinated </w:t>
      </w:r>
      <w:r w:rsidR="00061DE9" w:rsidRPr="00884FAA">
        <w:t>care pathways</w:t>
      </w:r>
      <w:r w:rsidR="009D087C" w:rsidRPr="00884FAA">
        <w:t xml:space="preserve">. However, </w:t>
      </w:r>
      <w:r w:rsidR="006C76C8" w:rsidRPr="00884FAA">
        <w:t xml:space="preserve">there was concern that the limited pool of IAHP funding was being directed towards activities that should be funded </w:t>
      </w:r>
      <w:r w:rsidR="00C54E77" w:rsidRPr="00884FAA">
        <w:t>by other parts of the health system</w:t>
      </w:r>
      <w:r w:rsidR="004165BA" w:rsidRPr="00884FAA">
        <w:t>, such as mainstream PHC f</w:t>
      </w:r>
      <w:r w:rsidR="001B1FB1" w:rsidRPr="00884FAA">
        <w:t>unding</w:t>
      </w:r>
      <w:r w:rsidR="004165BA" w:rsidRPr="00884FAA">
        <w:t xml:space="preserve"> or </w:t>
      </w:r>
      <w:r w:rsidR="00565CDA" w:rsidRPr="00884FAA">
        <w:t>the public hospital system.</w:t>
      </w:r>
      <w:r w:rsidR="00695EE6" w:rsidRPr="00884FAA">
        <w:t xml:space="preserve"> </w:t>
      </w:r>
      <w:r w:rsidR="00201F4C" w:rsidRPr="00884FAA">
        <w:t xml:space="preserve">People considered that </w:t>
      </w:r>
      <w:r w:rsidR="001914CC" w:rsidRPr="00884FAA">
        <w:t xml:space="preserve">funding through IAHP </w:t>
      </w:r>
      <w:r w:rsidR="002428FE" w:rsidRPr="00884FAA">
        <w:t xml:space="preserve">diluted already limited PHC funding. </w:t>
      </w:r>
      <w:r w:rsidR="00237563" w:rsidRPr="00884FAA">
        <w:t xml:space="preserve">Several </w:t>
      </w:r>
      <w:r w:rsidR="006C76C8" w:rsidRPr="00884FAA">
        <w:t xml:space="preserve">ACCHS participants </w:t>
      </w:r>
      <w:r w:rsidR="00C621F7">
        <w:t xml:space="preserve">spoke </w:t>
      </w:r>
      <w:r w:rsidR="006C76C8" w:rsidRPr="00884FAA">
        <w:t xml:space="preserve">about the need for the IAHP to refocus on its core purpose of supporting the </w:t>
      </w:r>
      <w:r w:rsidR="001914CC" w:rsidRPr="00884FAA">
        <w:t xml:space="preserve">direct </w:t>
      </w:r>
      <w:r w:rsidR="006C76C8" w:rsidRPr="00884FAA">
        <w:t>delivery of comprehensive PHC.</w:t>
      </w:r>
    </w:p>
    <w:p w14:paraId="321FBA41" w14:textId="207FCADB" w:rsidR="00CD5F6F" w:rsidRPr="00884FAA" w:rsidRDefault="006C76C8" w:rsidP="00CD5F6F">
      <w:r w:rsidRPr="00884FAA">
        <w:t xml:space="preserve">There </w:t>
      </w:r>
      <w:r w:rsidR="00694BDF" w:rsidRPr="00884FAA">
        <w:t>was also</w:t>
      </w:r>
      <w:r w:rsidR="00237563" w:rsidRPr="00884FAA">
        <w:t xml:space="preserve"> </w:t>
      </w:r>
      <w:r w:rsidRPr="00884FAA">
        <w:t xml:space="preserve">a strong view among some staff in ACCHSs and community-controlled peak organisations that the IAHP funding should only fund Aboriginal and Torres Strait Islander PHC organisations. </w:t>
      </w:r>
      <w:r w:rsidR="006912D4" w:rsidRPr="00884FAA">
        <w:t>P</w:t>
      </w:r>
      <w:r w:rsidR="00515502" w:rsidRPr="00884FAA">
        <w:t xml:space="preserve">articipants </w:t>
      </w:r>
      <w:r w:rsidRPr="00884FAA">
        <w:t>worr</w:t>
      </w:r>
      <w:r w:rsidR="00515502" w:rsidRPr="00884FAA">
        <w:t>ied</w:t>
      </w:r>
      <w:r w:rsidRPr="00884FAA">
        <w:t xml:space="preserve"> about funding going to non-Indigenous providers because they do not consider these providers have sufficient competence in caring for Aboriginal and Torres Strait Islander people or appropriate accountability structures</w:t>
      </w:r>
      <w:r w:rsidR="00ED3BDF" w:rsidRPr="00884FAA">
        <w:t>, including to the Aborig</w:t>
      </w:r>
      <w:r w:rsidR="009C1C9C" w:rsidRPr="00884FAA">
        <w:t>i</w:t>
      </w:r>
      <w:r w:rsidR="00ED3BDF" w:rsidRPr="00884FAA">
        <w:t>nal and Torres Str</w:t>
      </w:r>
      <w:r w:rsidR="009C1C9C" w:rsidRPr="00884FAA">
        <w:t>a</w:t>
      </w:r>
      <w:r w:rsidR="00ED3BDF" w:rsidRPr="00884FAA">
        <w:t>it Islander community and to government</w:t>
      </w:r>
      <w:r w:rsidRPr="00884FAA">
        <w:t xml:space="preserve">. </w:t>
      </w:r>
      <w:r w:rsidR="009C1C9C" w:rsidRPr="00884FAA">
        <w:t xml:space="preserve">For example, </w:t>
      </w:r>
      <w:r w:rsidR="00C268B6" w:rsidRPr="00884FAA">
        <w:t xml:space="preserve">non-Indigenous providers </w:t>
      </w:r>
      <w:r w:rsidR="00E5600D" w:rsidRPr="00884FAA">
        <w:t xml:space="preserve">do not have community governance boards </w:t>
      </w:r>
      <w:r w:rsidR="00615975">
        <w:t>and</w:t>
      </w:r>
      <w:r w:rsidR="006403C5">
        <w:t xml:space="preserve">, unless they receive IAHP </w:t>
      </w:r>
      <w:r w:rsidR="000F7ACE">
        <w:t>PHC Program</w:t>
      </w:r>
      <w:r w:rsidR="006403C5">
        <w:t xml:space="preserve"> funding,</w:t>
      </w:r>
      <w:r w:rsidR="00615975">
        <w:t xml:space="preserve"> </w:t>
      </w:r>
      <w:r w:rsidR="00E5600D" w:rsidRPr="00884FAA">
        <w:t xml:space="preserve">are not required to report </w:t>
      </w:r>
      <w:r w:rsidR="00B5689F" w:rsidRPr="00884FAA">
        <w:t>n</w:t>
      </w:r>
      <w:r w:rsidR="00E5600D" w:rsidRPr="00884FAA">
        <w:t>KPI data to government.</w:t>
      </w:r>
      <w:r w:rsidRPr="00884FAA">
        <w:t xml:space="preserve"> Some ACCHS staff </w:t>
      </w:r>
      <w:r w:rsidR="00C621F7">
        <w:t>said they</w:t>
      </w:r>
      <w:r w:rsidRPr="00884FAA">
        <w:t xml:space="preserve"> </w:t>
      </w:r>
      <w:r w:rsidR="00700A89">
        <w:t xml:space="preserve">have to </w:t>
      </w:r>
      <w:r w:rsidRPr="00884FAA">
        <w:t xml:space="preserve">‘pick up the slack’ when IAHP funded non-Indigenous organisations had failed to deliver. </w:t>
      </w:r>
    </w:p>
    <w:p w14:paraId="7A711669" w14:textId="5155BFDC" w:rsidR="00CD5F6F" w:rsidRPr="00A1178E" w:rsidRDefault="00CD5F6F" w:rsidP="00BA0807">
      <w:pPr>
        <w:pStyle w:val="Quote"/>
        <w:spacing w:after="0"/>
        <w:rPr>
          <w:color w:val="18525E" w:themeColor="accent5" w:themeShade="80"/>
        </w:rPr>
      </w:pPr>
      <w:r w:rsidRPr="00A1178E">
        <w:rPr>
          <w:color w:val="18525E" w:themeColor="accent5" w:themeShade="80"/>
        </w:rPr>
        <w:t>The way we look at it, in terms of accountability and everything else, that money belongs to our people.</w:t>
      </w:r>
    </w:p>
    <w:p w14:paraId="23456172" w14:textId="70BE85F9" w:rsidR="00AC0FE8" w:rsidRPr="00BA0807" w:rsidRDefault="00AC0FE8" w:rsidP="00BA0807">
      <w:pPr>
        <w:jc w:val="right"/>
        <w:rPr>
          <w:b/>
          <w:bCs/>
        </w:rPr>
      </w:pPr>
      <w:r w:rsidRPr="00BA0807">
        <w:rPr>
          <w:b/>
          <w:bCs/>
        </w:rPr>
        <w:t xml:space="preserve">ACCHS, Metropolitan location </w:t>
      </w:r>
    </w:p>
    <w:p w14:paraId="4FAC7AEE" w14:textId="4EF3728E" w:rsidR="006C76C8" w:rsidRPr="00884FAA" w:rsidRDefault="006C76C8" w:rsidP="006C76C8">
      <w:r w:rsidRPr="00884FAA">
        <w:t xml:space="preserve">Moreover, ACCHS staff </w:t>
      </w:r>
      <w:r w:rsidR="00AA6765" w:rsidRPr="00884FAA">
        <w:t xml:space="preserve">also </w:t>
      </w:r>
      <w:r w:rsidRPr="00884FAA">
        <w:t xml:space="preserve">questioned why cultural competence/awareness training and other capacity building to support mainstream providers to be culturally safe </w:t>
      </w:r>
      <w:r w:rsidR="004277BB" w:rsidRPr="00884FAA">
        <w:t xml:space="preserve">was the responsibility of the Aboriginal and Torres Strait Islander community and </w:t>
      </w:r>
      <w:r w:rsidRPr="00884FAA">
        <w:t xml:space="preserve">funded from the </w:t>
      </w:r>
      <w:r w:rsidR="003F60E7" w:rsidRPr="00884FAA">
        <w:t xml:space="preserve">ITC program within </w:t>
      </w:r>
      <w:r w:rsidRPr="00884FAA">
        <w:t>IAHP</w:t>
      </w:r>
      <w:r w:rsidR="003F60E7" w:rsidRPr="00884FAA">
        <w:t xml:space="preserve">. </w:t>
      </w:r>
      <w:r w:rsidRPr="00884FAA">
        <w:t xml:space="preserve">A general view among many ACCHS staff is that mainstream providers should have ‘their own’ funding available and that the IAHP, since it is a relatively small and fixed bucket of money, should be quarantined for the </w:t>
      </w:r>
      <w:r w:rsidR="003F60E7" w:rsidRPr="00884FAA">
        <w:t xml:space="preserve">Aboriginal </w:t>
      </w:r>
      <w:r w:rsidR="008D3051" w:rsidRPr="00884FAA">
        <w:t xml:space="preserve">and Torres Strait Islander </w:t>
      </w:r>
      <w:r w:rsidR="003F60E7" w:rsidRPr="00884FAA">
        <w:lastRenderedPageBreak/>
        <w:t xml:space="preserve">community-controlled </w:t>
      </w:r>
      <w:r w:rsidRPr="00884FAA">
        <w:t xml:space="preserve">sector. The main exception to this </w:t>
      </w:r>
      <w:r w:rsidR="00297924" w:rsidRPr="00884FAA">
        <w:t xml:space="preserve">position </w:t>
      </w:r>
      <w:r w:rsidRPr="00884FAA">
        <w:t xml:space="preserve">is where the IAHP funds a state or territory government health clinic </w:t>
      </w:r>
      <w:r w:rsidR="00297924" w:rsidRPr="00884FAA">
        <w:t xml:space="preserve">to </w:t>
      </w:r>
      <w:r w:rsidR="005626E1" w:rsidRPr="00884FAA">
        <w:t xml:space="preserve">address a gap in ACCHS service coverage and </w:t>
      </w:r>
      <w:r w:rsidR="00DB5355" w:rsidRPr="00884FAA">
        <w:t xml:space="preserve">there is </w:t>
      </w:r>
      <w:r w:rsidRPr="00884FAA">
        <w:t xml:space="preserve">a policy to </w:t>
      </w:r>
      <w:r w:rsidR="00DB5355" w:rsidRPr="00884FAA">
        <w:t xml:space="preserve">ultimately </w:t>
      </w:r>
      <w:r w:rsidRPr="00884FAA">
        <w:t>transition these services to community-control (</w:t>
      </w:r>
      <w:r w:rsidR="005355A8">
        <w:t>that is, it</w:t>
      </w:r>
      <w:r w:rsidR="009C6C6B" w:rsidRPr="00884FAA">
        <w:t xml:space="preserve"> as</w:t>
      </w:r>
      <w:r w:rsidRPr="00884FAA">
        <w:t xml:space="preserve"> an interim measure).</w:t>
      </w:r>
    </w:p>
    <w:p w14:paraId="26F4E54A" w14:textId="1C79914D" w:rsidR="006C76C8" w:rsidRPr="00884FAA" w:rsidRDefault="006C76C8" w:rsidP="006C76C8">
      <w:r w:rsidRPr="00884FAA">
        <w:t xml:space="preserve">Equally, there are views expressed by staff in ACCHSs and PHNs that IAHP funding should not be limited to community-controlled organisations. </w:t>
      </w:r>
      <w:r w:rsidRPr="00884FAA">
        <w:rPr>
          <w:rFonts w:cs="Arial"/>
        </w:rPr>
        <w:t>Some participants identified</w:t>
      </w:r>
      <w:r w:rsidR="00E17736" w:rsidRPr="00884FAA">
        <w:rPr>
          <w:rFonts w:cs="Arial"/>
        </w:rPr>
        <w:t xml:space="preserve"> potential </w:t>
      </w:r>
      <w:r w:rsidRPr="00884FAA">
        <w:rPr>
          <w:rFonts w:cs="Arial"/>
        </w:rPr>
        <w:t xml:space="preserve">risks </w:t>
      </w:r>
      <w:r w:rsidR="00E17736" w:rsidRPr="00884FAA">
        <w:rPr>
          <w:rFonts w:cs="Arial"/>
        </w:rPr>
        <w:t>associated with</w:t>
      </w:r>
      <w:r w:rsidRPr="00884FAA" w:rsidDel="00E17736">
        <w:rPr>
          <w:rFonts w:cs="Arial"/>
        </w:rPr>
        <w:t xml:space="preserve"> </w:t>
      </w:r>
      <w:r w:rsidR="00E17736" w:rsidRPr="00884FAA">
        <w:rPr>
          <w:rFonts w:cs="Arial"/>
        </w:rPr>
        <w:t xml:space="preserve">a complete </w:t>
      </w:r>
      <w:r w:rsidRPr="00884FAA">
        <w:rPr>
          <w:rFonts w:cs="Arial"/>
        </w:rPr>
        <w:t xml:space="preserve">focus on the ACCHS sector, including a lack of focus on the Aboriginal and Torres Strait Islander population that does not use ACCHSs and a risk of reducing Indigenous health and wellbeing as a separate Indigenous ‘problem’. </w:t>
      </w:r>
    </w:p>
    <w:p w14:paraId="1C0CFFC8" w14:textId="2D7AA7A8" w:rsidR="006C76C8" w:rsidRPr="00A1178E" w:rsidRDefault="006C76C8" w:rsidP="00BA0807">
      <w:pPr>
        <w:pStyle w:val="Quote"/>
        <w:spacing w:after="0"/>
        <w:rPr>
          <w:color w:val="18525E" w:themeColor="accent5" w:themeShade="80"/>
        </w:rPr>
      </w:pPr>
      <w:r w:rsidRPr="00A1178E">
        <w:rPr>
          <w:color w:val="18525E" w:themeColor="accent5" w:themeShade="80"/>
        </w:rPr>
        <w:t xml:space="preserve">I think that the self-determination control in Aboriginal hands is critical, but how do we within that model honour that some Aboriginal people want to go to a mainstream service for whatever reason, I don't know. </w:t>
      </w:r>
    </w:p>
    <w:p w14:paraId="459C2EAD" w14:textId="22195616" w:rsidR="00344163" w:rsidRPr="00BA0807" w:rsidRDefault="00344163" w:rsidP="00BA0807">
      <w:pPr>
        <w:jc w:val="right"/>
        <w:rPr>
          <w:b/>
          <w:bCs/>
        </w:rPr>
      </w:pPr>
      <w:r w:rsidRPr="00BA0807">
        <w:rPr>
          <w:b/>
          <w:bCs/>
        </w:rPr>
        <w:t xml:space="preserve">PHN, Metropolitan location </w:t>
      </w:r>
    </w:p>
    <w:p w14:paraId="39BD6277" w14:textId="38B93DD1" w:rsidR="006C76C8" w:rsidRPr="00884FAA" w:rsidRDefault="00E622C4" w:rsidP="006C76C8">
      <w:r>
        <w:t>These findings indicate</w:t>
      </w:r>
      <w:r w:rsidR="00FA7FF1" w:rsidRPr="00884FAA">
        <w:t xml:space="preserve"> </w:t>
      </w:r>
      <w:r w:rsidR="006C76C8" w:rsidRPr="00884FAA">
        <w:t xml:space="preserve">an opportunity to </w:t>
      </w:r>
      <w:r w:rsidR="005E5727" w:rsidRPr="00884FAA">
        <w:t>clarify</w:t>
      </w:r>
      <w:r w:rsidR="006C76C8" w:rsidRPr="00884FAA">
        <w:t xml:space="preserve"> the </w:t>
      </w:r>
      <w:r w:rsidR="005E5727" w:rsidRPr="00884FAA">
        <w:t xml:space="preserve">overarching </w:t>
      </w:r>
      <w:r w:rsidR="00FA7FF1" w:rsidRPr="00884FAA">
        <w:t xml:space="preserve">intention of </w:t>
      </w:r>
      <w:r w:rsidR="000A7809">
        <w:t xml:space="preserve">the </w:t>
      </w:r>
      <w:r w:rsidR="00FA7FF1" w:rsidRPr="00884FAA">
        <w:t xml:space="preserve">IAHP and </w:t>
      </w:r>
      <w:r w:rsidR="00B14443" w:rsidRPr="00884FAA">
        <w:t xml:space="preserve">ensure that funding decisions are aligned with </w:t>
      </w:r>
      <w:r w:rsidR="00DD4CEA" w:rsidRPr="00884FAA">
        <w:t xml:space="preserve">an agreed </w:t>
      </w:r>
      <w:r w:rsidR="00B14443" w:rsidRPr="00884FAA">
        <w:t xml:space="preserve">purpose. </w:t>
      </w:r>
      <w:r w:rsidR="00D21947">
        <w:t>This is discussed in Part D of this report.</w:t>
      </w:r>
    </w:p>
    <w:p w14:paraId="7BE32317" w14:textId="426912EE" w:rsidR="002A6CAC" w:rsidRPr="00884FAA" w:rsidRDefault="00354237" w:rsidP="00651D06">
      <w:pPr>
        <w:pStyle w:val="Heading3"/>
      </w:pPr>
      <w:r w:rsidRPr="00884FAA">
        <w:t xml:space="preserve">PHNs </w:t>
      </w:r>
      <w:r w:rsidR="00A66AB5" w:rsidRPr="00884FAA">
        <w:t xml:space="preserve">play an important role in </w:t>
      </w:r>
      <w:r w:rsidR="00C401A6" w:rsidRPr="00884FAA">
        <w:t>supporting mainstream services</w:t>
      </w:r>
    </w:p>
    <w:p w14:paraId="6AD8341A" w14:textId="4DBA372A" w:rsidR="00AB1F54" w:rsidRPr="00884FAA" w:rsidRDefault="00AB1F54" w:rsidP="006C76C8">
      <w:r w:rsidRPr="00884FAA">
        <w:t xml:space="preserve">Several PHN staff discussed </w:t>
      </w:r>
      <w:r w:rsidR="00B06DE1" w:rsidRPr="00884FAA">
        <w:t>the potential for their organisations to play a great</w:t>
      </w:r>
      <w:r w:rsidR="0078670E" w:rsidRPr="00884FAA">
        <w:t>er</w:t>
      </w:r>
      <w:r w:rsidR="00B06DE1" w:rsidRPr="00884FAA">
        <w:t xml:space="preserve"> role in </w:t>
      </w:r>
      <w:r w:rsidR="00C35924" w:rsidRPr="00884FAA">
        <w:t>influencing mainstream delivery to better meet the needs of the Aboriginal and Torres Strait Islander p</w:t>
      </w:r>
      <w:r w:rsidR="0078670E" w:rsidRPr="00884FAA">
        <w:t>eople</w:t>
      </w:r>
      <w:r w:rsidR="00C35924" w:rsidRPr="00884FAA">
        <w:t xml:space="preserve">. </w:t>
      </w:r>
      <w:r w:rsidR="0097360F" w:rsidRPr="00884FAA">
        <w:t xml:space="preserve">They </w:t>
      </w:r>
      <w:r w:rsidR="00857D0F" w:rsidRPr="00884FAA">
        <w:t xml:space="preserve">recognised that </w:t>
      </w:r>
      <w:r w:rsidR="00460235" w:rsidRPr="00884FAA">
        <w:t xml:space="preserve">this could be achieved through </w:t>
      </w:r>
      <w:r w:rsidR="00857D0F" w:rsidRPr="00884FAA">
        <w:t>the</w:t>
      </w:r>
      <w:r w:rsidR="00F62BFE" w:rsidRPr="00884FAA">
        <w:t xml:space="preserve"> PHN’s</w:t>
      </w:r>
      <w:r w:rsidR="00E13487" w:rsidRPr="00884FAA">
        <w:t xml:space="preserve"> role in</w:t>
      </w:r>
      <w:r w:rsidR="00857D0F" w:rsidRPr="00884FAA">
        <w:t xml:space="preserve"> commissioning </w:t>
      </w:r>
      <w:r w:rsidR="00E13487" w:rsidRPr="00884FAA">
        <w:t>health</w:t>
      </w:r>
      <w:r w:rsidR="00857D0F" w:rsidRPr="00884FAA">
        <w:t xml:space="preserve"> services, including under the IAHP</w:t>
      </w:r>
      <w:r w:rsidR="00460235" w:rsidRPr="00884FAA">
        <w:t xml:space="preserve">. They also saw the role of </w:t>
      </w:r>
      <w:r w:rsidR="00975B55" w:rsidRPr="00884FAA">
        <w:t xml:space="preserve">PHN’s </w:t>
      </w:r>
      <w:r w:rsidR="00F62BFE" w:rsidRPr="00884FAA">
        <w:t>in</w:t>
      </w:r>
      <w:r w:rsidR="00975B55" w:rsidRPr="00884FAA">
        <w:t xml:space="preserve"> coordinat</w:t>
      </w:r>
      <w:r w:rsidR="0085049C" w:rsidRPr="00884FAA">
        <w:t>ing and integrating health services at a local level</w:t>
      </w:r>
      <w:r w:rsidR="00203B0D" w:rsidRPr="00884FAA">
        <w:t xml:space="preserve"> as an opportunity to influence service delivery</w:t>
      </w:r>
      <w:r w:rsidR="00975B55" w:rsidRPr="00884FAA">
        <w:t xml:space="preserve">. </w:t>
      </w:r>
    </w:p>
    <w:p w14:paraId="68B3EFED" w14:textId="0CAF8444" w:rsidR="006128CC" w:rsidRPr="00A1178E" w:rsidRDefault="009D66FC" w:rsidP="00BA0807">
      <w:pPr>
        <w:pStyle w:val="Quote"/>
        <w:spacing w:after="0"/>
        <w:rPr>
          <w:color w:val="18525E" w:themeColor="accent5" w:themeShade="80"/>
        </w:rPr>
      </w:pPr>
      <w:r w:rsidRPr="00A1178E">
        <w:rPr>
          <w:color w:val="18525E" w:themeColor="accent5" w:themeShade="80"/>
        </w:rPr>
        <w:t>What can we offer into the Aboriginal community-controlled space that isn't dollars funding related</w:t>
      </w:r>
      <w:r w:rsidR="00C54777" w:rsidRPr="00A1178E">
        <w:rPr>
          <w:color w:val="18525E" w:themeColor="accent5" w:themeShade="80"/>
        </w:rPr>
        <w:t>?</w:t>
      </w:r>
      <w:r w:rsidRPr="00A1178E">
        <w:rPr>
          <w:color w:val="18525E" w:themeColor="accent5" w:themeShade="80"/>
        </w:rPr>
        <w:t xml:space="preserve"> What we can offer is bringing mainstream to the conversation and building their capacity to be culturally safe.</w:t>
      </w:r>
    </w:p>
    <w:p w14:paraId="76B3E80D" w14:textId="27EA9BBF" w:rsidR="00142593" w:rsidRPr="00BA0807" w:rsidRDefault="00142593" w:rsidP="00BA0807">
      <w:pPr>
        <w:jc w:val="right"/>
        <w:rPr>
          <w:b/>
          <w:bCs/>
        </w:rPr>
      </w:pPr>
      <w:r w:rsidRPr="00BA0807">
        <w:rPr>
          <w:b/>
          <w:bCs/>
        </w:rPr>
        <w:t xml:space="preserve">PHN, Regional location </w:t>
      </w:r>
    </w:p>
    <w:p w14:paraId="4BA6B300" w14:textId="1C800969" w:rsidR="00DB36A3" w:rsidRPr="00884FAA" w:rsidRDefault="00FA19BF" w:rsidP="00DB36A3">
      <w:r w:rsidRPr="00884FAA">
        <w:t xml:space="preserve">Some </w:t>
      </w:r>
      <w:r w:rsidR="00397340" w:rsidRPr="00884FAA">
        <w:t xml:space="preserve">PHN staff </w:t>
      </w:r>
      <w:r w:rsidR="005A15CB" w:rsidRPr="00884FAA">
        <w:t xml:space="preserve">also </w:t>
      </w:r>
      <w:r w:rsidR="007274DA">
        <w:t xml:space="preserve">spoke about </w:t>
      </w:r>
      <w:r w:rsidR="006D1A68">
        <w:t xml:space="preserve">the </w:t>
      </w:r>
      <w:r w:rsidR="00397340" w:rsidRPr="00884FAA">
        <w:t xml:space="preserve">commitment within their organisations to </w:t>
      </w:r>
      <w:r w:rsidR="00124134" w:rsidRPr="00884FAA">
        <w:t xml:space="preserve">influence mainstream </w:t>
      </w:r>
      <w:r w:rsidR="005A15CB" w:rsidRPr="00884FAA">
        <w:t xml:space="preserve">services across </w:t>
      </w:r>
      <w:r w:rsidR="00EA6FE8" w:rsidRPr="00884FAA">
        <w:t xml:space="preserve">all </w:t>
      </w:r>
      <w:r w:rsidRPr="00884FAA">
        <w:t>programs</w:t>
      </w:r>
      <w:r w:rsidR="00495E35" w:rsidRPr="00884FAA">
        <w:t>,</w:t>
      </w:r>
      <w:r w:rsidR="000E1768" w:rsidRPr="00884FAA">
        <w:t xml:space="preserve"> not only </w:t>
      </w:r>
      <w:r w:rsidR="00EA6FE8" w:rsidRPr="00884FAA">
        <w:t xml:space="preserve">through </w:t>
      </w:r>
      <w:r w:rsidR="000E1768" w:rsidRPr="00884FAA">
        <w:t>Aboriginal and Torres Strait Islander specific programs.</w:t>
      </w:r>
      <w:r w:rsidR="00153E44" w:rsidRPr="00884FAA">
        <w:t xml:space="preserve"> </w:t>
      </w:r>
      <w:r w:rsidR="0059626E" w:rsidRPr="00884FAA">
        <w:t>T</w:t>
      </w:r>
      <w:r w:rsidR="005653DD" w:rsidRPr="00884FAA">
        <w:t>he evaluation saw evidence of</w:t>
      </w:r>
      <w:r w:rsidR="00DB36A3" w:rsidRPr="00884FAA">
        <w:t xml:space="preserve"> </w:t>
      </w:r>
      <w:r w:rsidR="00706073" w:rsidRPr="00884FAA">
        <w:t>PHNs</w:t>
      </w:r>
      <w:r w:rsidR="00DB36A3" w:rsidRPr="00884FAA">
        <w:t xml:space="preserve"> supporting mainstream </w:t>
      </w:r>
      <w:r w:rsidR="00706073" w:rsidRPr="00884FAA">
        <w:t>services (</w:t>
      </w:r>
      <w:r w:rsidR="00495E35" w:rsidRPr="00884FAA">
        <w:t>for example,</w:t>
      </w:r>
      <w:r w:rsidR="00706073" w:rsidRPr="00884FAA">
        <w:t xml:space="preserve"> </w:t>
      </w:r>
      <w:r w:rsidR="00D204A5" w:rsidRPr="00884FAA">
        <w:t>GPs,</w:t>
      </w:r>
      <w:r w:rsidR="00706073" w:rsidRPr="00884FAA">
        <w:t xml:space="preserve"> nurse navigators</w:t>
      </w:r>
      <w:r w:rsidR="00495E35" w:rsidRPr="00884FAA">
        <w:t>,</w:t>
      </w:r>
      <w:r w:rsidR="00706073" w:rsidRPr="00884FAA">
        <w:t xml:space="preserve"> and </w:t>
      </w:r>
      <w:r w:rsidR="00446AB7" w:rsidRPr="00884FAA">
        <w:t>local hospital networks</w:t>
      </w:r>
      <w:r w:rsidR="00624215" w:rsidRPr="00884FAA">
        <w:t>)</w:t>
      </w:r>
      <w:r w:rsidR="005F72F9" w:rsidRPr="00884FAA">
        <w:t xml:space="preserve"> </w:t>
      </w:r>
      <w:r w:rsidR="00683C28" w:rsidRPr="00884FAA">
        <w:t xml:space="preserve">to build cultural competence and influence outcomes </w:t>
      </w:r>
      <w:r w:rsidR="00445E45" w:rsidRPr="00884FAA">
        <w:t xml:space="preserve">in </w:t>
      </w:r>
      <w:r w:rsidR="00D73AAA" w:rsidRPr="00884FAA">
        <w:t>various</w:t>
      </w:r>
      <w:r w:rsidR="00445E45" w:rsidRPr="00884FAA">
        <w:t xml:space="preserve"> ways</w:t>
      </w:r>
      <w:r w:rsidR="002A0C35" w:rsidRPr="00884FAA">
        <w:t>, in</w:t>
      </w:r>
      <w:r w:rsidR="003E5DAE" w:rsidRPr="00884FAA">
        <w:t>cl</w:t>
      </w:r>
      <w:r w:rsidR="002A0C35" w:rsidRPr="00884FAA">
        <w:t>uding</w:t>
      </w:r>
      <w:r w:rsidR="00D73AAA" w:rsidRPr="00884FAA">
        <w:t>:</w:t>
      </w:r>
    </w:p>
    <w:p w14:paraId="16E96AA9" w14:textId="38B7618F" w:rsidR="00EB133C" w:rsidRPr="00884FAA" w:rsidRDefault="00C30BAD" w:rsidP="00580736">
      <w:pPr>
        <w:numPr>
          <w:ilvl w:val="0"/>
          <w:numId w:val="19"/>
        </w:numPr>
        <w:spacing w:after="120"/>
      </w:pPr>
      <w:r w:rsidRPr="00884FAA">
        <w:t>s</w:t>
      </w:r>
      <w:r w:rsidR="00490856" w:rsidRPr="00884FAA">
        <w:t>haring u</w:t>
      </w:r>
      <w:r w:rsidR="005F72F9" w:rsidRPr="00884FAA">
        <w:t>nderstand</w:t>
      </w:r>
      <w:r w:rsidR="003E5DAE" w:rsidRPr="00884FAA">
        <w:t>ing</w:t>
      </w:r>
      <w:r w:rsidR="007679F0" w:rsidRPr="00884FAA">
        <w:t xml:space="preserve"> about</w:t>
      </w:r>
      <w:r w:rsidR="005F72F9" w:rsidRPr="00884FAA">
        <w:t xml:space="preserve"> </w:t>
      </w:r>
      <w:r w:rsidR="00E030CA" w:rsidRPr="00884FAA">
        <w:t>why</w:t>
      </w:r>
      <w:r w:rsidR="00C01014" w:rsidRPr="00884FAA">
        <w:t xml:space="preserve"> it is important </w:t>
      </w:r>
      <w:r w:rsidR="00AD2603" w:rsidRPr="00884FAA">
        <w:t xml:space="preserve">for a </w:t>
      </w:r>
      <w:r w:rsidR="00C01014" w:rsidRPr="00884FAA">
        <w:t xml:space="preserve">person’s </w:t>
      </w:r>
      <w:r w:rsidR="00AD2603" w:rsidRPr="00884FAA">
        <w:t xml:space="preserve">Aboriginal and Torres Strait Islander identity </w:t>
      </w:r>
      <w:r w:rsidR="00366642" w:rsidRPr="00884FAA">
        <w:t xml:space="preserve">to be registered and </w:t>
      </w:r>
      <w:r w:rsidR="00E030CA" w:rsidRPr="00884FAA">
        <w:t>how to do it</w:t>
      </w:r>
    </w:p>
    <w:p w14:paraId="5515E557" w14:textId="4477FB15" w:rsidR="006E681F" w:rsidRPr="00884FAA" w:rsidRDefault="00C30BAD" w:rsidP="00580736">
      <w:pPr>
        <w:numPr>
          <w:ilvl w:val="0"/>
          <w:numId w:val="19"/>
        </w:numPr>
        <w:spacing w:after="120"/>
      </w:pPr>
      <w:r w:rsidRPr="00884FAA">
        <w:t>p</w:t>
      </w:r>
      <w:r w:rsidR="00ED52F3" w:rsidRPr="00884FAA">
        <w:t>rovid</w:t>
      </w:r>
      <w:r w:rsidR="00E63F5F" w:rsidRPr="00884FAA">
        <w:t>ing</w:t>
      </w:r>
      <w:r w:rsidR="00ED52F3" w:rsidRPr="00884FAA">
        <w:t xml:space="preserve"> e</w:t>
      </w:r>
      <w:r w:rsidR="001A0E52" w:rsidRPr="00884FAA">
        <w:t>ducation</w:t>
      </w:r>
      <w:r w:rsidR="006E681F" w:rsidRPr="00884FAA">
        <w:t xml:space="preserve"> and mentor</w:t>
      </w:r>
      <w:r w:rsidR="001A0E52" w:rsidRPr="00884FAA">
        <w:t>ing</w:t>
      </w:r>
      <w:r w:rsidR="006E681F" w:rsidRPr="00884FAA">
        <w:t xml:space="preserve"> </w:t>
      </w:r>
      <w:r w:rsidR="001B597C" w:rsidRPr="00884FAA">
        <w:t xml:space="preserve">about </w:t>
      </w:r>
      <w:r w:rsidR="00B03905" w:rsidRPr="00884FAA">
        <w:t>what referral processes are available to Aboriginal and Torres Strait Islander clients</w:t>
      </w:r>
      <w:r w:rsidR="006E681F" w:rsidRPr="00884FAA">
        <w:t xml:space="preserve">, </w:t>
      </w:r>
      <w:r w:rsidR="009803BB" w:rsidRPr="00884FAA">
        <w:t>how the</w:t>
      </w:r>
      <w:r w:rsidR="006E681F" w:rsidRPr="00884FAA">
        <w:t xml:space="preserve">y </w:t>
      </w:r>
      <w:r w:rsidR="009803BB" w:rsidRPr="00884FAA">
        <w:t>work</w:t>
      </w:r>
      <w:r w:rsidR="006E681F" w:rsidRPr="00884FAA">
        <w:t xml:space="preserve">, and what </w:t>
      </w:r>
      <w:r w:rsidR="00ED52F3" w:rsidRPr="00884FAA">
        <w:t xml:space="preserve">a patient journey for an Aboriginal and Torres Strait Islander person </w:t>
      </w:r>
      <w:r w:rsidR="005256FB" w:rsidRPr="00884FAA">
        <w:t>may be</w:t>
      </w:r>
    </w:p>
    <w:p w14:paraId="3462AFA3" w14:textId="111F26B7" w:rsidR="006D1050" w:rsidRPr="00884FAA" w:rsidRDefault="00C30BAD" w:rsidP="00580736">
      <w:pPr>
        <w:numPr>
          <w:ilvl w:val="0"/>
          <w:numId w:val="19"/>
        </w:numPr>
        <w:spacing w:after="120"/>
      </w:pPr>
      <w:r w:rsidRPr="00884FAA">
        <w:lastRenderedPageBreak/>
        <w:t>p</w:t>
      </w:r>
      <w:r w:rsidR="005256FB" w:rsidRPr="00884FAA">
        <w:t>rovid</w:t>
      </w:r>
      <w:r w:rsidR="00E800E8" w:rsidRPr="00884FAA">
        <w:t>ing</w:t>
      </w:r>
      <w:r w:rsidR="005256FB" w:rsidRPr="00884FAA">
        <w:t xml:space="preserve"> education and </w:t>
      </w:r>
      <w:r w:rsidR="006D1050" w:rsidRPr="00884FAA">
        <w:t>mentoring about what specific programs are available</w:t>
      </w:r>
      <w:r w:rsidR="005256FB" w:rsidRPr="00884FAA">
        <w:t xml:space="preserve"> for Aboriginal and Torres Strait Islander people</w:t>
      </w:r>
      <w:r w:rsidR="006D1050" w:rsidRPr="00884FAA">
        <w:t xml:space="preserve">, how to access </w:t>
      </w:r>
      <w:r w:rsidR="001A0E52" w:rsidRPr="00884FAA">
        <w:t>these</w:t>
      </w:r>
      <w:r w:rsidR="006D1050" w:rsidRPr="00884FAA">
        <w:t xml:space="preserve"> </w:t>
      </w:r>
      <w:r w:rsidR="005256FB" w:rsidRPr="00884FAA">
        <w:t xml:space="preserve">programs </w:t>
      </w:r>
      <w:r w:rsidR="006D1050" w:rsidRPr="00884FAA">
        <w:t>and</w:t>
      </w:r>
      <w:r w:rsidR="005256FB" w:rsidRPr="00884FAA">
        <w:t xml:space="preserve">/or </w:t>
      </w:r>
      <w:r w:rsidR="001A0E52" w:rsidRPr="00884FAA">
        <w:t>how to</w:t>
      </w:r>
      <w:r w:rsidR="006D1050" w:rsidRPr="00884FAA">
        <w:t xml:space="preserve"> deliver </w:t>
      </w:r>
      <w:r w:rsidR="005256FB" w:rsidRPr="00884FAA">
        <w:t xml:space="preserve">these programs </w:t>
      </w:r>
      <w:r w:rsidR="001A0E52" w:rsidRPr="00884FAA">
        <w:t xml:space="preserve">and/or register </w:t>
      </w:r>
      <w:r w:rsidR="005256FB" w:rsidRPr="00884FAA">
        <w:t>people to participate</w:t>
      </w:r>
    </w:p>
    <w:p w14:paraId="15AAADB5" w14:textId="690A0F0E" w:rsidR="003C475E" w:rsidRPr="00884FAA" w:rsidRDefault="00C30BAD" w:rsidP="00580736">
      <w:pPr>
        <w:numPr>
          <w:ilvl w:val="0"/>
          <w:numId w:val="19"/>
        </w:numPr>
        <w:spacing w:after="120"/>
      </w:pPr>
      <w:r w:rsidRPr="00884FAA">
        <w:t>p</w:t>
      </w:r>
      <w:r w:rsidR="00D0231D" w:rsidRPr="00884FAA">
        <w:t>roviding e</w:t>
      </w:r>
      <w:r w:rsidR="006E681F" w:rsidRPr="00884FAA">
        <w:t xml:space="preserve">ducation about </w:t>
      </w:r>
      <w:r w:rsidR="005256FB" w:rsidRPr="00884FAA">
        <w:t xml:space="preserve">specific </w:t>
      </w:r>
      <w:r w:rsidR="00841FDF" w:rsidRPr="00884FAA">
        <w:t xml:space="preserve">MBS </w:t>
      </w:r>
      <w:r w:rsidR="005256FB" w:rsidRPr="00884FAA">
        <w:t>items for Aboriginal and Torres Strait Islander peop</w:t>
      </w:r>
      <w:r w:rsidR="00351415" w:rsidRPr="00884FAA">
        <w:t xml:space="preserve">le </w:t>
      </w:r>
      <w:r w:rsidR="00841FDF" w:rsidRPr="00884FAA">
        <w:t xml:space="preserve">– </w:t>
      </w:r>
      <w:r w:rsidR="006D1050" w:rsidRPr="00884FAA">
        <w:t xml:space="preserve">what is available and </w:t>
      </w:r>
      <w:r w:rsidR="00841FDF" w:rsidRPr="00884FAA">
        <w:t>how</w:t>
      </w:r>
      <w:r w:rsidR="006D1050" w:rsidRPr="00884FAA">
        <w:t xml:space="preserve"> these are done (</w:t>
      </w:r>
      <w:r w:rsidRPr="00884FAA">
        <w:t>for example,</w:t>
      </w:r>
      <w:r w:rsidR="006D1050" w:rsidRPr="00884FAA">
        <w:t xml:space="preserve"> how to</w:t>
      </w:r>
      <w:r w:rsidR="00841FDF" w:rsidRPr="00884FAA">
        <w:t xml:space="preserve"> a 715</w:t>
      </w:r>
      <w:r w:rsidR="006D1050" w:rsidRPr="00884FAA">
        <w:t>)</w:t>
      </w:r>
    </w:p>
    <w:p w14:paraId="42D7F2BB" w14:textId="372FF05A" w:rsidR="009803BB" w:rsidRPr="00884FAA" w:rsidRDefault="00C30BAD" w:rsidP="00580736">
      <w:pPr>
        <w:numPr>
          <w:ilvl w:val="0"/>
          <w:numId w:val="19"/>
        </w:numPr>
        <w:spacing w:after="120"/>
      </w:pPr>
      <w:r w:rsidRPr="00884FAA">
        <w:t>e</w:t>
      </w:r>
      <w:r w:rsidR="006678AC" w:rsidRPr="00884FAA">
        <w:t>ncourag</w:t>
      </w:r>
      <w:r w:rsidR="00D0231D" w:rsidRPr="00884FAA">
        <w:t>ing</w:t>
      </w:r>
      <w:r w:rsidR="00C84E7B" w:rsidRPr="00884FAA">
        <w:t xml:space="preserve"> and </w:t>
      </w:r>
      <w:r w:rsidR="006D1050" w:rsidRPr="00884FAA">
        <w:t>support</w:t>
      </w:r>
      <w:r w:rsidR="00D0231D" w:rsidRPr="00884FAA">
        <w:t>ing</w:t>
      </w:r>
      <w:r w:rsidR="006D1050" w:rsidRPr="00884FAA">
        <w:t xml:space="preserve"> </w:t>
      </w:r>
      <w:r w:rsidR="00351415" w:rsidRPr="00884FAA">
        <w:t xml:space="preserve">services </w:t>
      </w:r>
      <w:r w:rsidR="00B76342" w:rsidRPr="00884FAA">
        <w:t xml:space="preserve">to employ </w:t>
      </w:r>
      <w:r w:rsidR="00351415" w:rsidRPr="00884FAA">
        <w:t xml:space="preserve">Aboriginal and Torres Strait Islander </w:t>
      </w:r>
      <w:r w:rsidR="003569B3">
        <w:t>H</w:t>
      </w:r>
      <w:r w:rsidR="009803BB" w:rsidRPr="00884FAA">
        <w:t xml:space="preserve">ealth </w:t>
      </w:r>
      <w:r w:rsidR="003569B3">
        <w:t>W</w:t>
      </w:r>
      <w:r w:rsidR="009803BB" w:rsidRPr="00884FAA">
        <w:t>orker</w:t>
      </w:r>
      <w:r w:rsidR="00B76342" w:rsidRPr="00884FAA">
        <w:t>s</w:t>
      </w:r>
      <w:r w:rsidR="006678AC" w:rsidRPr="00884FAA">
        <w:t>, understand</w:t>
      </w:r>
      <w:r w:rsidR="004326E5" w:rsidRPr="00884FAA">
        <w:t>ing</w:t>
      </w:r>
      <w:r w:rsidR="006678AC" w:rsidRPr="00884FAA">
        <w:t xml:space="preserve"> what this involves and </w:t>
      </w:r>
      <w:r w:rsidR="008D4CA7" w:rsidRPr="00884FAA">
        <w:t xml:space="preserve">how this </w:t>
      </w:r>
      <w:r w:rsidR="00351415" w:rsidRPr="00884FAA">
        <w:t xml:space="preserve">can provide </w:t>
      </w:r>
      <w:r w:rsidR="009803BB" w:rsidRPr="00884FAA">
        <w:t xml:space="preserve">support </w:t>
      </w:r>
      <w:r w:rsidR="00351415" w:rsidRPr="00884FAA">
        <w:t xml:space="preserve">to </w:t>
      </w:r>
      <w:r w:rsidR="009803BB" w:rsidRPr="00884FAA">
        <w:t xml:space="preserve">Aboriginal and Torres Strait Islander </w:t>
      </w:r>
      <w:r w:rsidR="00351415" w:rsidRPr="00884FAA">
        <w:t>people using their services</w:t>
      </w:r>
    </w:p>
    <w:p w14:paraId="0C11D52E" w14:textId="50153E9C" w:rsidR="00C84E7B" w:rsidRPr="00884FAA" w:rsidRDefault="00C30BAD" w:rsidP="00580736">
      <w:pPr>
        <w:numPr>
          <w:ilvl w:val="0"/>
          <w:numId w:val="19"/>
        </w:numPr>
        <w:spacing w:after="120"/>
      </w:pPr>
      <w:r w:rsidRPr="00884FAA">
        <w:t>c</w:t>
      </w:r>
      <w:r w:rsidR="00C84E7B" w:rsidRPr="00884FAA">
        <w:t>reat</w:t>
      </w:r>
      <w:r w:rsidR="000A2D18" w:rsidRPr="00884FAA">
        <w:t>ing</w:t>
      </w:r>
      <w:r w:rsidR="00C84E7B" w:rsidRPr="00884FAA">
        <w:t xml:space="preserve"> </w:t>
      </w:r>
      <w:r w:rsidR="008D4CA7" w:rsidRPr="00884FAA">
        <w:t>and maintain</w:t>
      </w:r>
      <w:r w:rsidR="000A2D18" w:rsidRPr="00884FAA">
        <w:t>ing</w:t>
      </w:r>
      <w:r w:rsidR="008D4CA7" w:rsidRPr="00884FAA">
        <w:t xml:space="preserve"> stable and strong pathways and relationships </w:t>
      </w:r>
      <w:r w:rsidR="00C84E7B" w:rsidRPr="00884FAA">
        <w:t xml:space="preserve">between mainstream </w:t>
      </w:r>
      <w:r w:rsidR="008D4CA7" w:rsidRPr="00884FAA">
        <w:t>health providers an</w:t>
      </w:r>
      <w:r w:rsidR="00C84E7B" w:rsidRPr="00884FAA">
        <w:t xml:space="preserve">d </w:t>
      </w:r>
      <w:r w:rsidR="00DA6C8B" w:rsidRPr="00884FAA">
        <w:t>ACCHSs</w:t>
      </w:r>
      <w:r w:rsidR="008D4CA7" w:rsidRPr="00884FAA">
        <w:t xml:space="preserve">. </w:t>
      </w:r>
    </w:p>
    <w:p w14:paraId="1D1DB748" w14:textId="7F3ECEBF" w:rsidR="00B43DF5" w:rsidRPr="00884FAA" w:rsidRDefault="00E42EAF" w:rsidP="0035030F">
      <w:pPr>
        <w:pStyle w:val="Heading2"/>
      </w:pPr>
      <w:bookmarkStart w:id="219" w:name="_Toc137208929"/>
      <w:r w:rsidRPr="00884FAA">
        <w:t>Influence</w:t>
      </w:r>
      <w:r w:rsidR="00B43DF5" w:rsidRPr="00884FAA">
        <w:t xml:space="preserve"> of </w:t>
      </w:r>
      <w:r w:rsidR="0080051C" w:rsidRPr="00884FAA">
        <w:t>grant making arrangem</w:t>
      </w:r>
      <w:r w:rsidR="00D94342" w:rsidRPr="00884FAA">
        <w:t>e</w:t>
      </w:r>
      <w:r w:rsidR="0080051C" w:rsidRPr="00884FAA">
        <w:t>nts</w:t>
      </w:r>
      <w:bookmarkEnd w:id="219"/>
      <w:r w:rsidR="00D94342" w:rsidRPr="00884FAA">
        <w:t xml:space="preserve"> </w:t>
      </w:r>
    </w:p>
    <w:p w14:paraId="61FAAED0" w14:textId="2599E394" w:rsidR="007D1543" w:rsidRPr="00884FAA" w:rsidRDefault="00706E37" w:rsidP="007D1543">
      <w:r w:rsidRPr="00884FAA">
        <w:t>IAHP grants come with varying levels of prescription; with flexible grants being preferred by funded organisations. Grant application processes are often a challenge, especially for smaller ACCHSs with limited capacity to develop high-quality proposals.</w:t>
      </w:r>
      <w:r w:rsidR="0087519C">
        <w:t xml:space="preserve"> </w:t>
      </w:r>
      <w:r w:rsidR="001056B0">
        <w:t>E</w:t>
      </w:r>
      <w:r w:rsidR="0087519C">
        <w:t xml:space="preserve">valuation participants </w:t>
      </w:r>
      <w:r w:rsidR="00E3163F">
        <w:t xml:space="preserve">discussed </w:t>
      </w:r>
      <w:r w:rsidR="009B405A">
        <w:t>emer</w:t>
      </w:r>
      <w:r w:rsidR="001056B0">
        <w:t>g</w:t>
      </w:r>
      <w:r w:rsidR="009B405A">
        <w:t>ing</w:t>
      </w:r>
      <w:r w:rsidR="004F6409" w:rsidRPr="00884FAA">
        <w:t xml:space="preserve"> funding and commissioning processes under the IAHP that </w:t>
      </w:r>
      <w:r w:rsidR="007E34E7" w:rsidRPr="00884FAA">
        <w:t>were valued or sho</w:t>
      </w:r>
      <w:r w:rsidR="004135FD" w:rsidRPr="00884FAA">
        <w:t>w</w:t>
      </w:r>
      <w:r w:rsidR="00CC6E30" w:rsidRPr="00884FAA">
        <w:t>ed promise</w:t>
      </w:r>
      <w:r w:rsidR="004135FD" w:rsidRPr="00884FAA">
        <w:t xml:space="preserve">. </w:t>
      </w:r>
    </w:p>
    <w:p w14:paraId="7CBDE661" w14:textId="0C693491" w:rsidR="00B43DF5" w:rsidRPr="00884FAA" w:rsidRDefault="00D94342" w:rsidP="00651D06">
      <w:pPr>
        <w:pStyle w:val="Heading3"/>
      </w:pPr>
      <w:r w:rsidRPr="00884FAA">
        <w:t xml:space="preserve">The </w:t>
      </w:r>
      <w:r w:rsidR="00B43DF5" w:rsidRPr="00884FAA">
        <w:t>IAHP is administered in line with Commonwealth grant rules and guidelines</w:t>
      </w:r>
    </w:p>
    <w:p w14:paraId="407185E2" w14:textId="75AAE878" w:rsidR="00FF6501" w:rsidRPr="00884FAA" w:rsidRDefault="00B43DF5" w:rsidP="00B43DF5">
      <w:r w:rsidRPr="00884FAA">
        <w:t>The IAHP is primarily governed, administered, and funded by the Department of Health and Aged Care through its First Nations Health Division. The</w:t>
      </w:r>
      <w:r w:rsidRPr="00884FAA" w:rsidDel="00FD51E7">
        <w:t xml:space="preserve"> </w:t>
      </w:r>
      <w:r w:rsidR="00107831">
        <w:t>d</w:t>
      </w:r>
      <w:r w:rsidR="00FD51E7" w:rsidRPr="00884FAA">
        <w:t xml:space="preserve">epartment </w:t>
      </w:r>
      <w:r w:rsidRPr="00884FAA">
        <w:t xml:space="preserve">and the Department of Social Services (DSS) manage different aspects of the grant application and assessment process. </w:t>
      </w:r>
    </w:p>
    <w:p w14:paraId="0AD7378F" w14:textId="38A54C0A" w:rsidR="00FF6501" w:rsidRPr="00884FAA" w:rsidRDefault="00B43DF5" w:rsidP="00B43DF5">
      <w:r w:rsidRPr="00884FAA">
        <w:t>The</w:t>
      </w:r>
      <w:r w:rsidRPr="00884FAA" w:rsidDel="00FF6501">
        <w:t xml:space="preserve"> </w:t>
      </w:r>
      <w:r w:rsidR="00107831">
        <w:t>department</w:t>
      </w:r>
      <w:r w:rsidR="00FF6501" w:rsidRPr="00884FAA">
        <w:t xml:space="preserve"> </w:t>
      </w:r>
      <w:r w:rsidRPr="00884FAA">
        <w:t>designs the funding programs, agreements</w:t>
      </w:r>
      <w:r w:rsidR="00A25735" w:rsidRPr="00884FAA">
        <w:t>,</w:t>
      </w:r>
      <w:r w:rsidRPr="00884FAA">
        <w:t xml:space="preserve"> and performance frameworks (contracts)</w:t>
      </w:r>
      <w:r w:rsidR="00FF6501" w:rsidRPr="00884FAA">
        <w:t xml:space="preserve"> for IAHP</w:t>
      </w:r>
      <w:r w:rsidRPr="00884FAA">
        <w:t xml:space="preserve">. </w:t>
      </w:r>
      <w:r w:rsidR="00E54671" w:rsidRPr="00884FAA">
        <w:t>It</w:t>
      </w:r>
      <w:r w:rsidR="00FF6501" w:rsidRPr="00884FAA">
        <w:t xml:space="preserve"> </w:t>
      </w:r>
      <w:r w:rsidRPr="00884FAA">
        <w:t xml:space="preserve">also selects organisations to deliver activities </w:t>
      </w:r>
      <w:r w:rsidR="00324B74" w:rsidRPr="00884FAA">
        <w:t xml:space="preserve">under the IAHP funding streams </w:t>
      </w:r>
      <w:r w:rsidRPr="00884FAA">
        <w:t xml:space="preserve">through the awarding of grants. </w:t>
      </w:r>
    </w:p>
    <w:p w14:paraId="1C3C0F6D" w14:textId="5893CEC7" w:rsidR="00B43DF5" w:rsidRPr="00884FAA" w:rsidRDefault="00B43DF5" w:rsidP="00B43DF5">
      <w:r w:rsidRPr="00884FAA">
        <w:t>The DSS acts as a</w:t>
      </w:r>
      <w:r w:rsidR="00E40ADB" w:rsidRPr="00884FAA">
        <w:t xml:space="preserve">n administering agent to </w:t>
      </w:r>
      <w:r w:rsidRPr="00884FAA">
        <w:t>the</w:t>
      </w:r>
      <w:r w:rsidRPr="00884FAA" w:rsidDel="00324B74">
        <w:t xml:space="preserve"> </w:t>
      </w:r>
      <w:r w:rsidR="00107831">
        <w:t>department</w:t>
      </w:r>
      <w:r w:rsidR="00324B74" w:rsidRPr="00884FAA">
        <w:t xml:space="preserve"> </w:t>
      </w:r>
      <w:r w:rsidRPr="00884FAA">
        <w:t>and issues the grant funding agreements (offer and execute) and manages the agreements and performance procedures</w:t>
      </w:r>
      <w:r w:rsidR="00437E87" w:rsidRPr="00884FAA">
        <w:t xml:space="preserve"> on behalf of the </w:t>
      </w:r>
      <w:r w:rsidR="00107831">
        <w:t>department</w:t>
      </w:r>
      <w:r w:rsidRPr="00884FAA">
        <w:t xml:space="preserve">. The DSS is not involved with the funding that goes to PHNs; this is managed directly by the </w:t>
      </w:r>
      <w:r w:rsidR="00107831">
        <w:t>department</w:t>
      </w:r>
      <w:r w:rsidRPr="00884FAA">
        <w:t>. The DSS also advises grant holders on areas of risk and compliance.</w:t>
      </w:r>
    </w:p>
    <w:p w14:paraId="4728898F" w14:textId="695CC08A" w:rsidR="00B43DF5" w:rsidRPr="00884FAA" w:rsidRDefault="00B43DF5" w:rsidP="00B43DF5">
      <w:r w:rsidRPr="00884FAA">
        <w:t xml:space="preserve">The IAHP funding application assessment process is administered in line with the 2017 Commonwealth Grant Rules and Guidelines </w:t>
      </w:r>
      <w:r w:rsidRPr="00884FAA">
        <w:fldChar w:fldCharType="begin"/>
      </w:r>
      <w:r w:rsidR="00F8760E">
        <w:instrText xml:space="preserve"> ADDIN ZOTERO_ITEM CSL_CITATION {"citationID":"8bDdfWiF","properties":{"formattedCitation":"(Australian Department of Health, 2018)","plainCitation":"(Australian Department of Health, 2018)","noteIndex":0},"citationItems":[{"id":3725,"uris":["http://zotero.org/groups/5010721/items/QHIB5CQZ",["http://zotero.org/groups/5010721/items/QHIB5CQZ"],["http://zotero.org/groups/5010721/items/QHIB5CQZ",["http://zotero.org/groups/5010721/items/QHIB5CQZ"]]],"itemData":{"id":3725,"type":"document","publisher":"Commonwealth of Australia","title":"Indigenous Australians' Health Programme - Programme Guidelines","URL":"https://www.health.gov.au/sites/default/files/documents/2020/12/indigenous-australians-health-programme-guidelines.pdf","author":[{"literal":"Australian Department of Health"}],"accessed":{"date-parts":[["2021",9,17]]},"issued":{"date-parts":[["2018",12]]}}}],"schema":"https://github.com/citation-style-language/schema/raw/master/csl-citation.json"} </w:instrText>
      </w:r>
      <w:r w:rsidRPr="00884FAA">
        <w:fldChar w:fldCharType="separate"/>
      </w:r>
      <w:r w:rsidR="009F3C81" w:rsidRPr="009F3C81">
        <w:rPr>
          <w:rFonts w:ascii="Arial" w:hAnsi="Arial" w:cs="Arial"/>
        </w:rPr>
        <w:t>(Australian Department of Health, 2018)</w:t>
      </w:r>
      <w:r w:rsidRPr="00884FAA">
        <w:fldChar w:fldCharType="end"/>
      </w:r>
      <w:r w:rsidRPr="00884FAA">
        <w:t>.</w:t>
      </w:r>
      <w:r w:rsidR="006E6A43">
        <w:t xml:space="preserve"> Grant Opportunity Guidelines </w:t>
      </w:r>
      <w:r w:rsidR="00E50CEB">
        <w:t xml:space="preserve">are formulated for each </w:t>
      </w:r>
      <w:r w:rsidR="008D4610">
        <w:t xml:space="preserve">program </w:t>
      </w:r>
      <w:r w:rsidRPr="00884FAA">
        <w:t xml:space="preserve">based on the Commonwealth Grants Policy Framework and Commonwealth Grant Rules and Guidelines. The </w:t>
      </w:r>
      <w:r w:rsidR="00CE4E71">
        <w:t>Grant Opportunity Guidelines</w:t>
      </w:r>
      <w:r w:rsidRPr="00884FAA">
        <w:t xml:space="preserve"> outline the specific schedule, requirements and application processes for IAHP grants and programs. </w:t>
      </w:r>
    </w:p>
    <w:p w14:paraId="79321F4B" w14:textId="29D05BE9" w:rsidR="00B43DF5" w:rsidRPr="00884FAA" w:rsidRDefault="00B43DF5" w:rsidP="00B43DF5">
      <w:r w:rsidRPr="00884FAA">
        <w:lastRenderedPageBreak/>
        <w:t>Most</w:t>
      </w:r>
      <w:r w:rsidR="005E4525">
        <w:t xml:space="preserve"> </w:t>
      </w:r>
      <w:r w:rsidRPr="00884FAA">
        <w:t>IAHP grant opportunities are advertised on GrantConnect. The department uses different processes to award grants, including:</w:t>
      </w:r>
    </w:p>
    <w:p w14:paraId="12E7731D" w14:textId="77777777" w:rsidR="00B43DF5" w:rsidRPr="00884FAA" w:rsidRDefault="00B43DF5" w:rsidP="00EB4F33">
      <w:pPr>
        <w:numPr>
          <w:ilvl w:val="0"/>
          <w:numId w:val="19"/>
        </w:numPr>
        <w:spacing w:after="120"/>
      </w:pPr>
      <w:r w:rsidRPr="00884FAA">
        <w:rPr>
          <w:i/>
          <w:iCs/>
        </w:rPr>
        <w:t>Open</w:t>
      </w:r>
      <w:r w:rsidRPr="00884FAA">
        <w:t xml:space="preserve"> processes where any eligible organisation can apply.</w:t>
      </w:r>
    </w:p>
    <w:p w14:paraId="5437E48B" w14:textId="77777777" w:rsidR="00B43DF5" w:rsidRPr="00884FAA" w:rsidRDefault="00B43DF5" w:rsidP="00EB4F33">
      <w:pPr>
        <w:numPr>
          <w:ilvl w:val="0"/>
          <w:numId w:val="19"/>
        </w:numPr>
        <w:spacing w:after="120"/>
      </w:pPr>
      <w:r w:rsidRPr="00884FAA">
        <w:rPr>
          <w:i/>
          <w:iCs/>
        </w:rPr>
        <w:t>Closed</w:t>
      </w:r>
      <w:r w:rsidRPr="00884FAA">
        <w:t xml:space="preserve"> processes where only invited organisations can apply.</w:t>
      </w:r>
    </w:p>
    <w:p w14:paraId="7F478D7F" w14:textId="77777777" w:rsidR="00B43DF5" w:rsidRPr="00884FAA" w:rsidRDefault="00B43DF5" w:rsidP="00EB4F33">
      <w:pPr>
        <w:numPr>
          <w:ilvl w:val="0"/>
          <w:numId w:val="19"/>
        </w:numPr>
        <w:spacing w:after="120"/>
      </w:pPr>
      <w:r w:rsidRPr="00884FAA">
        <w:rPr>
          <w:i/>
          <w:iCs/>
        </w:rPr>
        <w:t>Competitive</w:t>
      </w:r>
      <w:r w:rsidRPr="00884FAA">
        <w:t xml:space="preserve"> selection processes where applications are assessed and the department may select to fund some or all applicants.</w:t>
      </w:r>
    </w:p>
    <w:p w14:paraId="770C3BA4" w14:textId="4F6B2ED4" w:rsidR="00B43DF5" w:rsidRPr="00884FAA" w:rsidRDefault="00B43DF5" w:rsidP="00EB4F33">
      <w:pPr>
        <w:numPr>
          <w:ilvl w:val="0"/>
          <w:numId w:val="19"/>
        </w:numPr>
        <w:spacing w:after="120"/>
      </w:pPr>
      <w:r w:rsidRPr="00884FAA">
        <w:rPr>
          <w:i/>
          <w:iCs/>
        </w:rPr>
        <w:t>Non-competitive</w:t>
      </w:r>
      <w:r w:rsidRPr="00884FAA">
        <w:t xml:space="preserve"> selection processes where the department typically funds all applicants that meet eligibility and selection criteria. This process is used for the IAHP </w:t>
      </w:r>
      <w:r w:rsidR="000F7ACE">
        <w:t>PHC Program</w:t>
      </w:r>
      <w:r w:rsidRPr="00884FAA">
        <w:t>.</w:t>
      </w:r>
    </w:p>
    <w:p w14:paraId="2B59022F" w14:textId="463DC82E" w:rsidR="00B43DF5" w:rsidRPr="00884FAA" w:rsidRDefault="00B43DF5" w:rsidP="00B43DF5">
      <w:r w:rsidRPr="00884FAA">
        <w:t xml:space="preserve">Further details on the grant application and award processes are outlined in </w:t>
      </w:r>
      <w:r w:rsidR="00307CEF" w:rsidRPr="00FA78D2">
        <w:t>Final Report Supporting Material</w:t>
      </w:r>
      <w:r w:rsidR="00EE10DC">
        <w:t xml:space="preserve"> </w:t>
      </w:r>
      <w:r w:rsidR="00307CEF" w:rsidRPr="00FA78D2">
        <w:t xml:space="preserve">Appendix </w:t>
      </w:r>
      <w:r w:rsidR="00EE10DC">
        <w:t>G</w:t>
      </w:r>
      <w:r w:rsidRPr="00884FAA">
        <w:t>, including definitions of the grant opportunity processes.</w:t>
      </w:r>
    </w:p>
    <w:p w14:paraId="10B58571" w14:textId="6E4A3489" w:rsidR="00B43DF5" w:rsidRPr="00884FAA" w:rsidRDefault="00B43DF5" w:rsidP="00651D06">
      <w:pPr>
        <w:pStyle w:val="Heading3"/>
        <w:rPr>
          <w:sz w:val="28"/>
        </w:rPr>
      </w:pPr>
      <w:r w:rsidRPr="00884FAA">
        <w:t>There have been changes to funding processes over the course of the evaluation</w:t>
      </w:r>
    </w:p>
    <w:p w14:paraId="1ECCF4A7" w14:textId="4B6B1F35" w:rsidR="00B43DF5" w:rsidRPr="00884FAA" w:rsidRDefault="00B43DF5" w:rsidP="00B43DF5">
      <w:r w:rsidRPr="00884FAA">
        <w:t xml:space="preserve">Funding processes used for the IAHP have continued to develop and evolve over the course of </w:t>
      </w:r>
      <w:r w:rsidR="001073DE">
        <w:t>the</w:t>
      </w:r>
      <w:r w:rsidR="001073DE" w:rsidRPr="00884FAA">
        <w:t xml:space="preserve"> </w:t>
      </w:r>
      <w:r w:rsidRPr="00884FAA">
        <w:t>evaluation. Significant changes include:</w:t>
      </w:r>
    </w:p>
    <w:p w14:paraId="37D271C7" w14:textId="0690DF23" w:rsidR="00B43DF5" w:rsidRDefault="00185CD4" w:rsidP="00EB4F33">
      <w:pPr>
        <w:numPr>
          <w:ilvl w:val="0"/>
          <w:numId w:val="19"/>
        </w:numPr>
        <w:spacing w:after="120"/>
        <w:ind w:left="714" w:hanging="357"/>
      </w:pPr>
      <w:r w:rsidRPr="00884FAA">
        <w:rPr>
          <w:b/>
        </w:rPr>
        <w:t>a</w:t>
      </w:r>
      <w:r w:rsidR="00B43DF5" w:rsidRPr="00884FAA">
        <w:rPr>
          <w:b/>
        </w:rPr>
        <w:t xml:space="preserve"> new funding model</w:t>
      </w:r>
      <w:r w:rsidR="00B43DF5" w:rsidRPr="00884FAA">
        <w:t xml:space="preserve"> for the IAHP </w:t>
      </w:r>
      <w:r w:rsidR="000F7ACE">
        <w:t>PHC Program</w:t>
      </w:r>
      <w:r w:rsidR="00B43DF5" w:rsidRPr="00884FAA">
        <w:t xml:space="preserve"> from 1 July 2020. The purpose of the new funding model is ‘to distribute funding fairly and transparently, based on activity levels, the cost of delivering services and the relative health needs of locations’ </w:t>
      </w:r>
      <w:r w:rsidR="00B43DF5" w:rsidRPr="00884FAA">
        <w:fldChar w:fldCharType="begin"/>
      </w:r>
      <w:r w:rsidR="00F8760E">
        <w:instrText xml:space="preserve"> ADDIN ZOTERO_ITEM CSL_CITATION {"citationID":"vvLlFuxT","properties":{"formattedCitation":"(Australian Department of Health, 2019b)","plainCitation":"(Australian Department of Health, 2019b)","noteIndex":0},"citationItems":[{"id":3770,"uris":["http://zotero.org/groups/5010721/items/HYBQB47K",["http://zotero.org/groups/5010721/items/HYBQB47K"],["http://zotero.org/groups/5010721/items/HYBQB47K",["http://zotero.org/groups/5010721/items/HYBQB47K"]]],"itemData":{"id":3770,"type":"document","publisher":"Commonwealth of Australia","title":"Indigenous Australians' Health Programme: Primary Health Care Funding Model - overview and calculation steps","URL":"https://www.health.gov.au/sites/default/files/documents/2020/12/indigenous-australians-health-programme-primary-health-care-funding-model-overview-and-calculation-steps.pdf","author":[{"literal":"Australian Department of Health"}],"issued":{"date-parts":[["2019",12]]}}}],"schema":"https://github.com/citation-style-language/schema/raw/master/csl-citation.json"} </w:instrText>
      </w:r>
      <w:r w:rsidR="00B43DF5" w:rsidRPr="00884FAA">
        <w:fldChar w:fldCharType="separate"/>
      </w:r>
      <w:r w:rsidR="002730C3" w:rsidRPr="002730C3">
        <w:rPr>
          <w:rFonts w:ascii="Arial" w:hAnsi="Arial" w:cs="Arial"/>
        </w:rPr>
        <w:t>(Australian Department of Health, 2019b)</w:t>
      </w:r>
      <w:r w:rsidR="00B43DF5" w:rsidRPr="00884FAA">
        <w:fldChar w:fldCharType="end"/>
      </w:r>
      <w:r w:rsidR="00B43DF5" w:rsidRPr="00884FAA">
        <w:t xml:space="preserve">. Further details on the funding model are in </w:t>
      </w:r>
      <w:r w:rsidR="00E10CA9" w:rsidRPr="00FA78D2">
        <w:t xml:space="preserve">Final Report Supporting Material Appendix </w:t>
      </w:r>
      <w:r w:rsidR="00E10CA9">
        <w:t>G.</w:t>
      </w:r>
    </w:p>
    <w:p w14:paraId="1F63A13B" w14:textId="29E3D431" w:rsidR="00B43DF5" w:rsidRPr="00884FAA" w:rsidRDefault="00185CD4" w:rsidP="00EB4F33">
      <w:pPr>
        <w:numPr>
          <w:ilvl w:val="0"/>
          <w:numId w:val="19"/>
        </w:numPr>
        <w:spacing w:after="120"/>
        <w:ind w:left="714" w:hanging="357"/>
      </w:pPr>
      <w:r w:rsidRPr="00884FAA">
        <w:rPr>
          <w:b/>
        </w:rPr>
        <w:t>l</w:t>
      </w:r>
      <w:r w:rsidR="00B43DF5" w:rsidRPr="00884FAA">
        <w:rPr>
          <w:b/>
        </w:rPr>
        <w:t>onger term funding agreements</w:t>
      </w:r>
      <w:r w:rsidR="00B43DF5" w:rsidRPr="00884FAA">
        <w:t xml:space="preserve"> under the </w:t>
      </w:r>
      <w:r w:rsidR="000F7ACE">
        <w:t>PHC Program</w:t>
      </w:r>
      <w:r w:rsidR="00B43DF5" w:rsidRPr="00884FAA">
        <w:t xml:space="preserve">. </w:t>
      </w:r>
      <w:r w:rsidR="00B43DF5" w:rsidRPr="00884FAA" w:rsidDel="00B447E2">
        <w:t xml:space="preserve">The new funding model implemented in July 2020 resulted in 3-year funding agreements </w:t>
      </w:r>
      <w:r w:rsidR="009F7D08">
        <w:t>which have been extended for a further year</w:t>
      </w:r>
      <w:r w:rsidR="007B3D52">
        <w:t xml:space="preserve"> until 30 June 2024. </w:t>
      </w:r>
      <w:r w:rsidR="00257A64" w:rsidRPr="004408C7">
        <w:t xml:space="preserve">NACCHO and the Department of Health and Aged Care are working together to develop </w:t>
      </w:r>
      <w:r w:rsidR="00CE3144">
        <w:t>4-</w:t>
      </w:r>
      <w:r w:rsidR="00257A64" w:rsidRPr="004408C7">
        <w:t xml:space="preserve">year </w:t>
      </w:r>
      <w:r w:rsidR="007A4AA0">
        <w:t>PHC</w:t>
      </w:r>
      <w:r w:rsidR="00257A64" w:rsidRPr="004408C7">
        <w:t xml:space="preserve"> rolling funding agreements, due to commence 1 July 2024.</w:t>
      </w:r>
      <w:r w:rsidR="00B43DF5" w:rsidRPr="004408C7">
        <w:t xml:space="preserve"> </w:t>
      </w:r>
    </w:p>
    <w:p w14:paraId="4C2D2847" w14:textId="45AA8F2F" w:rsidR="00B43DF5" w:rsidRPr="00884FAA" w:rsidRDefault="00185CD4" w:rsidP="00EB4F33">
      <w:pPr>
        <w:numPr>
          <w:ilvl w:val="0"/>
          <w:numId w:val="19"/>
        </w:numPr>
        <w:spacing w:after="120"/>
        <w:ind w:left="714" w:hanging="357"/>
      </w:pPr>
      <w:r w:rsidRPr="00884FAA">
        <w:rPr>
          <w:b/>
          <w:bCs/>
        </w:rPr>
        <w:t>o</w:t>
      </w:r>
      <w:r w:rsidR="00B43DF5" w:rsidRPr="00884FAA">
        <w:rPr>
          <w:b/>
          <w:bCs/>
        </w:rPr>
        <w:t>pen competitive funding rounds</w:t>
      </w:r>
      <w:r w:rsidR="00B43DF5" w:rsidRPr="00884FAA">
        <w:t xml:space="preserve"> in 2019-20 and 2021-22 for ‘Emerging Priorities’. This enabled organisations to submit funding proposals for initiatives that did not fit under existing or planned grant opportunities </w:t>
      </w:r>
      <w:r w:rsidR="00B43DF5" w:rsidRPr="00884FAA">
        <w:fldChar w:fldCharType="begin"/>
      </w:r>
      <w:r w:rsidR="00F8760E">
        <w:instrText xml:space="preserve"> ADDIN ZOTERO_ITEM CSL_CITATION {"citationID":"hNFdBgf5","properties":{"formattedCitation":"(Australian Department of Health, 2020a)","plainCitation":"(Australian Department of Health, 2020a)","noteIndex":0},"citationItems":[{"id":3723,"uris":["http://zotero.org/groups/5010721/items/QG5BL7SK",["http://zotero.org/groups/5010721/items/QG5BL7SK"],["http://zotero.org/groups/5010721/items/QG5BL7SK",["http://zotero.org/groups/5010721/items/QG5BL7SK"]]],"itemData":{"id":3723,"type":"document","note":"Accessed via GrantConnect","publisher":"Commonwealth of Australia","title":"Indigenous Australians' Health Programme - Emerging Priorities Round 2. Grant Opportunity guidelines (GO4300)","URL":"https://cecs.anu.edu.au/sites/default/files/staff/announcement/grant_opportunity_guidelines_-_go4300.pdf","author":[{"literal":"Australian Department of Health"}],"accessed":{"date-parts":[["2021",9,19]]},"issued":{"date-parts":[["2020",10,26]]}}}],"schema":"https://github.com/citation-style-language/schema/raw/master/csl-citation.json"} </w:instrText>
      </w:r>
      <w:r w:rsidR="00B43DF5" w:rsidRPr="00884FAA">
        <w:fldChar w:fldCharType="separate"/>
      </w:r>
      <w:r w:rsidR="002730C3" w:rsidRPr="002730C3">
        <w:rPr>
          <w:rFonts w:ascii="Arial" w:hAnsi="Arial" w:cs="Arial"/>
        </w:rPr>
        <w:t>(Australian Department of Health, 2020a)</w:t>
      </w:r>
      <w:r w:rsidR="00B43DF5" w:rsidRPr="00884FAA">
        <w:fldChar w:fldCharType="end"/>
      </w:r>
    </w:p>
    <w:p w14:paraId="7B6F0F72" w14:textId="763E069E" w:rsidR="00B43DF5" w:rsidRPr="00884FAA" w:rsidRDefault="00185CD4" w:rsidP="00EB4F33">
      <w:pPr>
        <w:numPr>
          <w:ilvl w:val="0"/>
          <w:numId w:val="19"/>
        </w:numPr>
        <w:spacing w:after="120"/>
        <w:ind w:left="714" w:hanging="357"/>
      </w:pPr>
      <w:r w:rsidRPr="00884FAA">
        <w:rPr>
          <w:b/>
          <w:bCs/>
        </w:rPr>
        <w:t>c</w:t>
      </w:r>
      <w:r w:rsidR="00B43DF5" w:rsidRPr="00884FAA">
        <w:rPr>
          <w:b/>
          <w:bCs/>
        </w:rPr>
        <w:t>losed (invitation only) competitive funding rounds</w:t>
      </w:r>
      <w:r w:rsidR="00B43DF5" w:rsidRPr="00884FAA">
        <w:t xml:space="preserve"> in 2020-21 and 2022-23 for ‘IAHP Primary Health Care Service Expansion Funding’. This grant opportunity aimed to improve PHC service delivery and ‘expand access to comprehensive </w:t>
      </w:r>
      <w:r w:rsidR="003279C5">
        <w:t>PHC</w:t>
      </w:r>
      <w:r w:rsidR="00B43DF5" w:rsidRPr="00884FAA">
        <w:t xml:space="preserve"> services to Aboriginal and Torres Strait Islander people, through investing in priority health areas in regions of high health need or high population growth, taking into account gaps in existing service delivery’ </w:t>
      </w:r>
      <w:r w:rsidR="00B43DF5" w:rsidRPr="00884FAA">
        <w:fldChar w:fldCharType="begin"/>
      </w:r>
      <w:r w:rsidR="00F8760E">
        <w:instrText xml:space="preserve"> ADDIN ZOTERO_ITEM CSL_CITATION {"citationID":"Sb72Q4cd","properties":{"formattedCitation":"(Australian Department of Health, 2020c)","plainCitation":"(Australian Department of Health, 2020c)","noteIndex":0},"citationItems":[{"id":3745,"uris":["http://zotero.org/groups/5010721/items/WF73SNYW",["http://zotero.org/groups/5010721/items/WF73SNYW"],["http://zotero.org/groups/5010721/items/WF73SNYW",["http://zotero.org/groups/5010721/items/WF73SNYW"]]],"itemData":{"id":3745,"type":"webpage","container-title":"www.health.gov.au","genre":"website text","note":"Commonwealth of Australia","title":"Archived Grant Opportunity View - GO4166","URL":"https://www.grants.gov.au/Go/Show?GoUuid=f013aec7-f401-aa41-da64-ea0a37f50f4f","author":[{"literal":"Australian Department of Health"}],"accessed":{"date-parts":[["2021",10,28]]},"issued":{"date-parts":[["2020",8,12]]}}}],"schema":"https://github.com/citation-style-language/schema/raw/master/csl-citation.json"} </w:instrText>
      </w:r>
      <w:r w:rsidR="00B43DF5" w:rsidRPr="00884FAA">
        <w:fldChar w:fldCharType="separate"/>
      </w:r>
      <w:r w:rsidR="002730C3" w:rsidRPr="002730C3">
        <w:rPr>
          <w:rFonts w:ascii="Arial" w:hAnsi="Arial" w:cs="Arial"/>
        </w:rPr>
        <w:t>(Australian Department of Health, 2020c)</w:t>
      </w:r>
      <w:r w:rsidR="00B43DF5" w:rsidRPr="00884FAA">
        <w:fldChar w:fldCharType="end"/>
      </w:r>
    </w:p>
    <w:p w14:paraId="5F9CBC64" w14:textId="3ED96A38" w:rsidR="005F4D68" w:rsidRPr="00884FAA" w:rsidRDefault="005F4D68" w:rsidP="00EB4F33">
      <w:pPr>
        <w:numPr>
          <w:ilvl w:val="0"/>
          <w:numId w:val="19"/>
        </w:numPr>
        <w:ind w:left="714" w:hanging="357"/>
      </w:pPr>
      <w:r w:rsidRPr="00884FAA">
        <w:rPr>
          <w:b/>
        </w:rPr>
        <w:t>COVID-19 f</w:t>
      </w:r>
      <w:r w:rsidR="003B677E" w:rsidRPr="00884FAA">
        <w:rPr>
          <w:b/>
        </w:rPr>
        <w:t>lexibility provisions</w:t>
      </w:r>
      <w:r w:rsidR="003B677E" w:rsidRPr="00884FAA">
        <w:t xml:space="preserve"> within </w:t>
      </w:r>
      <w:r w:rsidRPr="00884FAA">
        <w:t xml:space="preserve">existing funding arrangements. This enabled </w:t>
      </w:r>
      <w:r w:rsidR="00AD2303" w:rsidRPr="00884FAA">
        <w:t>IAHP funded o</w:t>
      </w:r>
      <w:r w:rsidR="00E157CA" w:rsidRPr="00884FAA">
        <w:t xml:space="preserve">rganisations </w:t>
      </w:r>
      <w:r w:rsidR="00AD2303" w:rsidRPr="00884FAA">
        <w:t>to</w:t>
      </w:r>
      <w:r w:rsidR="00E157CA" w:rsidRPr="00884FAA">
        <w:t xml:space="preserve"> use </w:t>
      </w:r>
      <w:r w:rsidR="000F7ACE">
        <w:t>PHC Program</w:t>
      </w:r>
      <w:r w:rsidR="00AD2303" w:rsidRPr="00884FAA">
        <w:t xml:space="preserve"> </w:t>
      </w:r>
      <w:r w:rsidR="00E157CA" w:rsidRPr="00884FAA">
        <w:t>funding to respond to COVID-19</w:t>
      </w:r>
      <w:r w:rsidR="00B3050C" w:rsidRPr="00884FAA">
        <w:t xml:space="preserve">, and to use </w:t>
      </w:r>
      <w:r w:rsidR="000F7ACE">
        <w:t>PHC Program</w:t>
      </w:r>
      <w:r w:rsidR="00E157CA" w:rsidRPr="00884FAA">
        <w:t xml:space="preserve"> underspends in previous years for COVID-19 activities</w:t>
      </w:r>
      <w:r w:rsidR="00B3050C" w:rsidRPr="00884FAA">
        <w:t>.</w:t>
      </w:r>
      <w:r w:rsidR="00DA49DF" w:rsidRPr="00884FAA">
        <w:t xml:space="preserve"> It also </w:t>
      </w:r>
      <w:r w:rsidR="006840FE" w:rsidRPr="00884FAA">
        <w:t xml:space="preserve">made </w:t>
      </w:r>
      <w:r w:rsidR="001B06CC" w:rsidRPr="00884FAA">
        <w:t xml:space="preserve">reporting of OSR and nKPI data voluntary for a period. </w:t>
      </w:r>
    </w:p>
    <w:p w14:paraId="2BDED72E" w14:textId="5F06AB38" w:rsidR="008C3EA2" w:rsidRPr="00884FAA" w:rsidRDefault="008C3EA2" w:rsidP="00B43DF5">
      <w:r w:rsidRPr="00884FAA">
        <w:rPr>
          <w:noProof/>
        </w:rPr>
        <w:lastRenderedPageBreak/>
        <mc:AlternateContent>
          <mc:Choice Requires="wps">
            <w:drawing>
              <wp:inline distT="0" distB="0" distL="0" distR="0" wp14:anchorId="1DE374A3" wp14:editId="099D54DB">
                <wp:extent cx="5689820" cy="7425804"/>
                <wp:effectExtent l="19050" t="19050" r="25400" b="22860"/>
                <wp:docPr id="744752309" name="Freeform: Shape 744752309" descr="Text box describing &quot;promising practice&quo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7425804"/>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1EF1C253" w14:textId="69793161" w:rsidR="008C3EA2" w:rsidRPr="0058387D" w:rsidRDefault="008C3EA2" w:rsidP="00516DEB">
                            <w:pPr>
                              <w:pStyle w:val="NoSpacing"/>
                              <w:spacing w:before="240"/>
                              <w:jc w:val="left"/>
                              <w:rPr>
                                <w:b/>
                                <w:bCs/>
                                <w:color w:val="1A3E5F" w:themeColor="accent1" w:themeShade="80"/>
                                <w:lang w:val="en-AU"/>
                              </w:rPr>
                            </w:pPr>
                            <w:r w:rsidRPr="0058387D">
                              <w:rPr>
                                <w:b/>
                                <w:bCs/>
                                <w:color w:val="1A3E5F" w:themeColor="accent1" w:themeShade="80"/>
                              </w:rPr>
                              <w:t xml:space="preserve">Example of promising practice – </w:t>
                            </w:r>
                            <w:r w:rsidR="00956947" w:rsidRPr="0058387D">
                              <w:rPr>
                                <w:b/>
                                <w:bCs/>
                                <w:color w:val="1A3E5F" w:themeColor="accent1" w:themeShade="80"/>
                              </w:rPr>
                              <w:t xml:space="preserve">changes to </w:t>
                            </w:r>
                            <w:r w:rsidR="00956947" w:rsidRPr="0058387D">
                              <w:rPr>
                                <w:b/>
                                <w:bCs/>
                                <w:color w:val="1A3E5F" w:themeColor="accent1" w:themeShade="80"/>
                                <w:lang w:val="en-AU"/>
                              </w:rPr>
                              <w:t xml:space="preserve">program and service </w:t>
                            </w:r>
                            <w:r w:rsidR="005F16FF" w:rsidRPr="0058387D">
                              <w:rPr>
                                <w:b/>
                                <w:bCs/>
                                <w:color w:val="1A3E5F" w:themeColor="accent1" w:themeShade="80"/>
                                <w:lang w:val="en-AU"/>
                              </w:rPr>
                              <w:t>commissioning under</w:t>
                            </w:r>
                            <w:r w:rsidR="00956947" w:rsidRPr="0058387D">
                              <w:rPr>
                                <w:b/>
                                <w:bCs/>
                                <w:color w:val="1A3E5F" w:themeColor="accent1" w:themeShade="80"/>
                                <w:lang w:val="en-AU"/>
                              </w:rPr>
                              <w:t xml:space="preserve"> the IAHP</w:t>
                            </w:r>
                          </w:p>
                          <w:p w14:paraId="28580077" w14:textId="3E4C990B" w:rsidR="006F3AF5" w:rsidRPr="00035B50" w:rsidRDefault="006F3AF5" w:rsidP="00516DEB">
                            <w:pPr>
                              <w:pStyle w:val="NoSpacing"/>
                              <w:spacing w:before="240"/>
                              <w:jc w:val="left"/>
                              <w:rPr>
                                <w:lang w:val="en-AU"/>
                              </w:rPr>
                            </w:pPr>
                            <w:r w:rsidRPr="00035B50">
                              <w:rPr>
                                <w:lang w:val="en-AU"/>
                              </w:rPr>
                              <w:t>There have been changes to the way specific programs and services are commissioned under the IAHP. These are positive examples of what can be achieved through relationships and partnerships brokered within the context of IAHP funding arrangements.</w:t>
                            </w:r>
                          </w:p>
                          <w:p w14:paraId="0099D03A" w14:textId="77777777" w:rsidR="00414D58" w:rsidRPr="00035B50" w:rsidRDefault="00414D58" w:rsidP="00244D06">
                            <w:pPr>
                              <w:pStyle w:val="TableDot-point"/>
                              <w:spacing w:before="240" w:after="120" w:line="276" w:lineRule="auto"/>
                              <w:ind w:left="567"/>
                              <w:rPr>
                                <w:color w:val="auto"/>
                              </w:rPr>
                            </w:pPr>
                            <w:r w:rsidRPr="00035B50">
                              <w:rPr>
                                <w:color w:val="auto"/>
                              </w:rPr>
                              <w:t>The department and NACCHO partnered to establish the parameters and structure for new IAHP infrastructure programs (Capital Works Program and Service Maintenance Program). Under this partnership, the department and NACCHO developed and approved the Grant Opportunity Guidelines and Assessment Plans, co-chaired grant assessment committees, and jointly approved grant outcomes. NACCHO was also funded to support ACCHS capacity to write competitive grant applications.</w:t>
                            </w:r>
                          </w:p>
                          <w:p w14:paraId="27D5FA18" w14:textId="5E12CB86" w:rsidR="00414D58" w:rsidRPr="00035B50" w:rsidRDefault="00414D58" w:rsidP="00244D06">
                            <w:pPr>
                              <w:pStyle w:val="TableDot-point"/>
                              <w:spacing w:before="240" w:after="120" w:line="276" w:lineRule="auto"/>
                              <w:ind w:left="567"/>
                              <w:rPr>
                                <w:color w:val="auto"/>
                              </w:rPr>
                            </w:pPr>
                            <w:r w:rsidRPr="00035B50">
                              <w:rPr>
                                <w:color w:val="auto"/>
                              </w:rPr>
                              <w:t>In 2021, NACCHO was funded under the IAHP Rheumatic Fever Strategy to develop a new governance structure and implementation plan for the strategy and to commission ACCHSs to deliver ARF and RHD prevention and treatment activities. NACCHO has funded six AC</w:t>
                            </w:r>
                            <w:r w:rsidR="00A45E10">
                              <w:rPr>
                                <w:color w:val="auto"/>
                              </w:rPr>
                              <w:t>CH</w:t>
                            </w:r>
                            <w:r w:rsidRPr="00035B50">
                              <w:rPr>
                                <w:color w:val="auto"/>
                              </w:rPr>
                              <w:t>Ss to deliver services under this program.</w:t>
                            </w:r>
                          </w:p>
                          <w:p w14:paraId="232B9235" w14:textId="115F8894" w:rsidR="00414D58" w:rsidRPr="00EE2005" w:rsidRDefault="00F4466D" w:rsidP="00244D06">
                            <w:pPr>
                              <w:pStyle w:val="TableDot-point"/>
                              <w:spacing w:before="240" w:after="120" w:line="276" w:lineRule="auto"/>
                              <w:ind w:left="567"/>
                              <w:rPr>
                                <w:color w:val="auto"/>
                              </w:rPr>
                            </w:pPr>
                            <w:r w:rsidRPr="00EE2005">
                              <w:rPr>
                                <w:color w:val="auto"/>
                              </w:rPr>
                              <w:t>T</w:t>
                            </w:r>
                            <w:r w:rsidR="00414D58" w:rsidRPr="00EE2005">
                              <w:rPr>
                                <w:color w:val="auto"/>
                              </w:rPr>
                              <w:t>he funding arrangement for the ITC program in one urban location</w:t>
                            </w:r>
                            <w:r w:rsidRPr="00EE2005">
                              <w:rPr>
                                <w:color w:val="auto"/>
                              </w:rPr>
                              <w:t xml:space="preserve"> </w:t>
                            </w:r>
                            <w:r w:rsidR="00414D58" w:rsidRPr="00EE2005">
                              <w:rPr>
                                <w:color w:val="auto"/>
                              </w:rPr>
                              <w:t xml:space="preserve">shifted away from the standard practice of the department funding PHNs to commission services. Since July 2022, the department now funds the regional ACCHS directly. This removes the four PHNs in the region from the commissioning – or intermediary – relationship. Notably, within this region, the PHNs and the ACCHS had already developed a regional approach whereby the four PHNs pooled funding and one PHN commissioned the regional ACCHS to deliver ITC services. There was mutual recognition that the indirect arrangement was not creating value and the PHNs and ACCHS worked towards a transition to a direct commissioning model. </w:t>
                            </w:r>
                            <w:r w:rsidR="00414D58" w:rsidRPr="00EE2005" w:rsidDel="004542E2">
                              <w:rPr>
                                <w:color w:val="auto"/>
                              </w:rPr>
                              <w:t xml:space="preserve">There is </w:t>
                            </w:r>
                            <w:r w:rsidR="00414D58" w:rsidRPr="00EE2005">
                              <w:rPr>
                                <w:color w:val="auto"/>
                              </w:rPr>
                              <w:t xml:space="preserve">an ongoing national review into the funding arrangements for the ITC program which is expected to report on options for future arrangements in </w:t>
                            </w:r>
                            <w:r w:rsidR="009A2B52">
                              <w:rPr>
                                <w:color w:val="auto"/>
                              </w:rPr>
                              <w:t>late</w:t>
                            </w:r>
                            <w:r w:rsidR="00414D58" w:rsidRPr="00EE2005">
                              <w:rPr>
                                <w:color w:val="auto"/>
                              </w:rPr>
                              <w:t>-2023.</w:t>
                            </w:r>
                          </w:p>
                          <w:p w14:paraId="5994CD86" w14:textId="35418914" w:rsidR="00414D58" w:rsidRPr="00414D58" w:rsidRDefault="00414D58" w:rsidP="00244D06">
                            <w:pPr>
                              <w:pStyle w:val="TableDot-point"/>
                              <w:spacing w:before="240" w:after="120" w:line="276" w:lineRule="auto"/>
                              <w:ind w:left="567"/>
                              <w:rPr>
                                <w:color w:val="auto"/>
                                <w:szCs w:val="21"/>
                              </w:rPr>
                            </w:pPr>
                            <w:r w:rsidRPr="00414D58">
                              <w:rPr>
                                <w:color w:val="auto"/>
                              </w:rPr>
                              <w:t>Beyond</w:t>
                            </w:r>
                            <w:r w:rsidRPr="00414D58">
                              <w:rPr>
                                <w:color w:val="auto"/>
                                <w:szCs w:val="21"/>
                              </w:rPr>
                              <w:t xml:space="preserve"> the IAHP, it is notable that the </w:t>
                            </w:r>
                            <w:r w:rsidR="00D372D4" w:rsidRPr="00035B50">
                              <w:rPr>
                                <w:color w:val="auto"/>
                              </w:rPr>
                              <w:t>departm</w:t>
                            </w:r>
                            <w:r w:rsidR="006F3AF5" w:rsidRPr="00035B50">
                              <w:rPr>
                                <w:color w:val="auto"/>
                              </w:rPr>
                              <w:t>en</w:t>
                            </w:r>
                            <w:r w:rsidR="00D372D4" w:rsidRPr="00035B50">
                              <w:rPr>
                                <w:color w:val="auto"/>
                              </w:rPr>
                              <w:t>t</w:t>
                            </w:r>
                            <w:r w:rsidRPr="00414D58">
                              <w:rPr>
                                <w:color w:val="auto"/>
                                <w:szCs w:val="21"/>
                              </w:rPr>
                              <w:t xml:space="preserve"> has also funded an evaluation site partner ACCHS to commission certain services nationally. This has included the commissioning of aged care services to support elders in capital cities in NSW and Victoria as part of the COVID-19 response, providing welfare checking, meals and other support. Under a separate funding agreement, the ACCHS provides aged care organisational capacity building support to several other ACCHSs to build their capacity to provide aged care support in the future. This includes direct support with models of care and aged care service delivery standards, building on the ACCHSs experience, as well as funding for workforce training.</w:t>
                            </w:r>
                          </w:p>
                          <w:p w14:paraId="2BD5FF52" w14:textId="77777777" w:rsidR="00414D58" w:rsidRPr="00035B50" w:rsidRDefault="00414D58" w:rsidP="00E600D4">
                            <w:pPr>
                              <w:pStyle w:val="NoSpacing"/>
                              <w:spacing w:before="240"/>
                              <w:rPr>
                                <w:b/>
                                <w:bCs/>
                              </w:rPr>
                            </w:pPr>
                          </w:p>
                        </w:txbxContent>
                      </wps:txbx>
                      <wps:bodyPr rot="0" vert="horz" wrap="square" lIns="91440" tIns="45720" rIns="91440" bIns="45720" anchor="t" anchorCtr="0" upright="1">
                        <a:noAutofit/>
                      </wps:bodyPr>
                    </wps:wsp>
                  </a:graphicData>
                </a:graphic>
              </wp:inline>
            </w:drawing>
          </mc:Choice>
          <mc:Fallback>
            <w:pict>
              <v:shape w14:anchorId="1DE374A3" id="Freeform: Shape 744752309" o:spid="_x0000_s1083" alt="Text box describing &quot;promising practice&quot;" style="width:448pt;height:584.7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b58BMAAMtlAAAOAAAAZHJzL2Uyb0RvYy54bWysXdtuI7kRfQ+QfxD0mCDrJtnXwXqD7G42&#10;CLC5AFE+QGPLYyO25Uia8Wy+PqdIVptsk1WNIC/T1qhEFuuwinWKpPTt778+PW6+HE7nh+Pz9dZ8&#10;02w3h+eb4+3D86fr7T93P/1u3G7Ol/3z7f7x+Hy43v5yOG9//92vf/Xt68uHgz3eHx9vD6cNGnk+&#10;f3h9ud7eXy4vH66uzjf3h6f9+Zvjy+EZb94dT0/7C16ePl3dnvavaP3p8co2TX/1ejzdvpyON4fz&#10;Gf/7Y3hz+51v/+7ucHP5293d+XDZPF5vodvF/3vy/36kf6+++3b/4dNp/3L/cBPV2P8PWjztH57R&#10;6dzUj/vLfvP59PCuqaeHm9PxfLy7fHNzfLo63t093Bz8GDAa0yxG84/7/cvBjwXGOb/MZjr//5q9&#10;+euXf7z8/USqn19+Pt786wyLXL2+nD/M79CLM2Q2H1//crwFhvvPl6Mf7Ne70xN9EsPYfPU2/WW2&#10;6eHrZXOD/+z6cRotTH+D94bWdmPTktWv9h/44zefz5c/HY6+qf2Xn8+XAMot/vImvd0875/Q7w6t&#10;3D09Ap/f/m7TbMzYDBvjhimCOIsZFvvN1WbXbF43k3H9UsiyUGhrshszmaWQYyG0ZCByv3H9wJNm&#10;7q9lKd+UtT3aKqjVsRip1VbU6lkotmVKag0shJasNRW14HmJtezQtkW1JhYjtcaKWiY3PXVaMJdJ&#10;LV9XzOS2d9Z1Rc1Mav6dsTXdFvbvMM73UJrU/BYyZSxNDoDru8ocSzHYmb6m2wKExhV1SzGwkCnr&#10;Rl6UINqaZirazaYw7GzVA3IYrC3azaYgkExFtxyEtusxQwpOYFMYdmiu4p05DJY8/T2mNgWBZCq6&#10;5SC00wAUSrqlMOxszRdcDoO15dCRgkAyZd1cDkLXTghsBd1cCsPO1XzB5TBYgF+wm0tBIJmKbjkI&#10;3WTKvuBSGHau5gsuh8FMY1G3FASSKevW5iD0rrIWtCkMu7bmC20OQ8VubQpC3W5tDkI/0gwpYNqm&#10;MOwQnsu+0OYwWFf0hTYFgWQqdstBGOwIFEq6pTDs2povdDkMFkG6MN+6FASSKevW5SAMQ8UXuhSG&#10;XVfzhS6HwRqsMu9jSJeCQDIV3XIQRtv2Rbt1KQy7ruYLXQ4DcoaibikIJFPWrc9BGPuuHHv7FIZd&#10;X/OFPofBOqwy7+3WpyCQTEW3HISpGcp261MYdn3NF/ocBksrYEG3FASSqeiWgzBh0Spi2qcw7Pqa&#10;LyAxTJdn2xTX0yEFgWTKug05CNMEFyz56ZDCsBtqvjDkMFhXjL1DCgLJVHTLQTBNO5QTkSHFYQfk&#10;ywFuyHGoBF/k+dG8PuutLVpjjoJpuqacXY4pELux5g1jDkTviqiOKQwkU7bcmMNQt9yYIrEba+4w&#10;LpAwNEve+8OY4mBIqKJeDgTUq3CGMcVihyWkDOy0wKIbi0sXFH5D1pBQWb0ph6IO7ZSisQNvq6iX&#10;o2GbsRhNphQLL1RRbwEG3KLss1MKx26qucWUowHOUlwkphQLL1RWzzQLNJqWxltY+02TArLDBysG&#10;NE2OiJ2QmBbmn2lSQLxUTcccEsxALO9lHVNUoGPNRUyTw+LcUOauTYqKl6rpmOOCwVVwBj9LJjZ0&#10;rPmJWdBrN9oyT8wItpeq6Lig2NOI1b5oxgXHrpNskyODzovplMl4tpeqqZjjgtW3grRJgdmZOtc2&#10;OTBuNMVYbUwKi5eqqLgg3ChklZcSkzNuU6XcxuYOg86LAdtkrNtL1VTMYRlbrBVFoHPibarM29gc&#10;F3ReDDsmI99eqqZiDsvY1IC2KS6o91TdZcHA4X/FdcW4NI55qYqKCxY+dEOZ6ZqchpsqDzcLIl61&#10;YkbFJSuigplmlwPiWhnonI2j8lkL3gs+js7LQcelsHipihWXnByl0rKKOSk3VVZuFrS8asWMmEtW&#10;XFJzX/QqLYE5NzdVcm4W7NyNrmzFjJ97qZoVc3fphr5crTJtisuOsrpymmMWJL1qxYymS1ZcEPXO&#10;VQqRJmfqpkrVzYKro/NiKmYytu6lKlbscndpxwrvNDlhN1XGjrw0c0AsbeVcp0th8VIVFRe0Hbl2&#10;Beict5sqcTcL5o6IV1Yx4+5eqqZivrq4Ggs1OX03Vf5uFgS+Ohf7dNGX5mK/gKVtK0ltzuJNlcab&#10;BY93I5Gg96TKZEzeS1WsuODyrmnL9RmTk3lTZfNmQeerVswIvWTFIXcXO1TKqSan9KbK6c2C1MMR&#10;yplORuu9VMWKC2KPknrFXXJij13CWlxcUHvYp+wuGbn3UjUVc3cxfY0Y5PTeVPm9WRB8h+SpOBcz&#10;hu+lairm7mLcVJmLOcU3VY5vFiTfdX1ZxYzle6mKikua37qKijnNp/3ZygI45bg4ENyiFTOm76Vq&#10;KubuYrCelzOdnOqbKtfHRke2ugQHLASdnO2Tm5ZVxNmIrEEkWWVigGMHLEgbwPhcxYp2SfbNVAQa&#10;+5dJg5akairmsEDFMgO0Tcb1qWhaBtouuD6CEHB5b0VsFSYqeqmaijksULEMNIrMSYuwYi0Zswuq&#10;j6lTXF1sRvW9VEXFBdU3LfG1Qkprc6pP2zAVKy6oPvYTikbMmD4J1RRcOEtLYbaoYIrKzlaJvl0S&#10;fVPc5cTUSzCBOycK4vTJJz5fsr/nIyc3X5/jmRP8tdnTEabGH3R5OZ7pgMsOroJTLDsXD7BAig6o&#10;VIQxaUl4WCUMVUkYqIezMXLTBKUX79aJw7Be3B+Vwdjl1qmaQeIoQqxRhioLXnzdSInlkzjI+ZrW&#10;iXF78XVDJfbrxdcNlZgoiYNArlGGWKEXXzdUYmgkDmK1pnViS1583VCJuXjxdUMlFkHiSP7XKEMZ&#10;vRdfN1TKrkkcSfGa1inT9eLrhkpZpxdfN1TKAEkcidsaZSgb8+LrhkqZEYmHdUX1JspSvPi6oVLG&#10;4MXXDdXX6kmeauxrBotdk9CBwSK47gNxvGZtcJqjE1aIVT1QhdePARF71Qc4QlGddN0HeNCoWq77&#10;AA96ZZjylUE/BlT0VvXAkQop+LoPcKwyK4OV4WhlUHtapRLHK7MyYPn6jh806jKreuCYZVAlWfUB&#10;jlpmZdjylQivEioI63pgpFeGLs/SfQ9g16t64OhlwlFVNWIYjl9mZQAzHMEMeOAqlTiGxeRYV4mj&#10;GNL5dT1wHDNgLGtU8jyEzEr8Yd0Hok9TNr/uAxFpyq1XfYADGY4FrfxADGSUeiY9BPPG1PKEM+nL&#10;0+in7Qan0T/SZ/YfXvYXykj5z83r9dYfYN7cX2/98WN65+n45bA7epkLpaYxq8Ij9Pv2/uNzKmeI&#10;LsDM84j4bX6++OZMxNsfm4b6/C4/g5SNyzibk9/lZ5ByVFdGl/7cdLWt1oJqkWJxANwGP0NbHQ6P&#10;kxQfIed3+RmlqFYEKTYGv8vPINVTMZl6lBsbaBcJYtgMDKblVvgZWsNh9CDGU4Xf5mcUo2ISWsMW&#10;ltTaRMVhErOiGBb9YDVNzhBlokHIJsHWaPCReZlk7fkZRoG9uTCNNDmcn14zXOyvxHHI1sOCE/rF&#10;xpBkPtMTOcV40awsF8PUvH7xOPkZxzvEGA5YxPZG2ndAv/Nqxe3wM7Y3RVoD80jt0Q2X0J48XoTA&#10;MPvQvdgeDB3sovTrKyT6fLGWyryQQ1QR++UYwKGdzcHPYBaL6yG+OaW1jopbZGW5U2ydBeWUXvtI&#10;vOZkkrXiZ9RuoH1ndAvsxMFyKFAmKY7eRjB4/eL++Bn7nWISpExmx8Fgzg+5HX6G9hxOgAUry8HA&#10;mejkuBMhjddZ2mCEXZTmXEzzZZd0KIgF1GRXczgvEuQU7To6cwHtFHRdR1ViQldegVxPO04kp4xj&#10;oB1fyMHjROuNcVbNSTqjxc+I2hRDuCLXNlQ5pH7lcbRE50hOWRJaG2eLMgtaF51Snsyto90w6la0&#10;CvZC4yxQxMYIhizWxWVS0Q1HD71uSjRrezoSgTEAEQnatqcNBRqrHDDaIa72ymrajpEzapBNMZdS&#10;5LqGUxvZczt/JgjjUFyjQ03ZjxfYSXbpcAIwyMn261ysKikBrcNs8e3hLIbYb0e3uzAOJZB2He1p&#10;kZxil552qUlO6XeI2Q0OyIj6jXQaCO1puE2020Bysot3E89nWb++iXZWMmEkVcHOCnnocR3A64eA&#10;L423x8oRxiHbpUesCnLyvOrbKeCL6S/229GmM+ynZM19T2c+SE6x3xCzObin2O9IW2PUniYX59Vc&#10;SuKlgJ9hSegnBBY/D+R52k9sFzkODQ2dzqB5Jdt5MHGeKiRm8FuBNF5Zv8HGNUHxy8HReTC0p2Tr&#10;QxuJ+1xkYrvxM9gPbhnwBcwSbkMX7aLphwm4Bo+hj6xDWT+GISZWc72C9ednHAcnnPK0Gsbo5nLu&#10;P0wRXXnSj02k4jK2UC2uqfLcG+fYorRnIwNE6JAwG12cA8qaNbqIheKTOFgb5p6yFoEAhjmgpGnY&#10;Lw2+BojFcQyxiotsV5QbY8I0l255jvAzzJWRY4ai39TEtVxZsyZ/rYBihozb5E9dQ47OuksDQakr&#10;LL5vxU8eAT/DSCAYVw9lyKF4RmFIWbcgGPOXuVDLXfKTu6ZD0miREg95MDFp7xQXhnnCEteB/cgt&#10;xv0bLE6aYGhxUKLljCDVLpSuI89DFV8UbOJ6g1sZSpNNzLRQllSG08TCGeaR1judeqOZZnvFlnPe&#10;45SVbGpiHQubNdqI4lqBg8HaiOgAIenZKVRtamYirlmJvRGHE1V/jHF5VB0yTnaD+w8y7gZBwI9o&#10;wg6GOENQQPSSOLGjSgafxPEVdUQxHtBJF7l3rtVabJyIkg3XQ53mRU3kNKhhKb03dBIOuFvc9dd6&#10;j/ldp/XOuNteySng7dHyOJwo9+5vJZGeyKcUSW6TEhHRnv4mGLWJ89iyJMcQizPHiiTXABpUesTe&#10;m7gvgLNAmuXjzgZqYKpkCIpudbRxTlnzcUk68oRWm/McFV2n5DlzlHe9EkPGKc55B34m2nOcmM/0&#10;CkMaKcjQnEebshePQ+Q0uiRXYXTJbuZxepYXfBNtymvH2MYYAknZO3AhJCQLsLw8k0fLvK9HyJVm&#10;Mr5QifVUuBou9cy9y3EJvhtnHfi73DvnhupcApeIRVVt7MNIV0DCDJE9DlsxMUvDl36IeoJn8axT&#10;slMU4GYryRFs4HIyxi5jNLS8N9crGA1uHrtieTDleUSybw50FCDYU2uTTwTpaHK9UB07Cp9cOVF6&#10;78dZT61ahIuIcURKxtIzZ3L9fJaAE3h+hkQeBbw45zslr+v7WN7GPoE86/oOAdZbvsPCJHlx/7br&#10;ifMYoqTjTYduPn/BI+FnHBGlNAF3ZS3u/Zlz73HKitAzOXG9sqXVNzGvw76vbCXstsQanCo5Mkaw&#10;l2gllPW4TSV6d3Ak9g7Zj3CbYZ51cpzHIjNbXmmzi1sqmEtyDEFlO8a6TmE9qJXziBDKpLmE6vu8&#10;dsjZL+r5vCKgCCG2iQPq0Z4KiewakLIwP5XqXDvN0Vvhmy2+mIrblDHC7WjGSJnJ7RDZGdZ3eTXE&#10;Lg/3rsT5to9bka5XYl0L4OOIlJp8SzQz2FPdoIsbq2qcb23k7xi7PJewOcjeoXCEFlcnop6a5RuO&#10;dVqu6Ca6NRNyBjkyuCkWlTB2OSa7kS5RhqgoezFuMLB3KGhiy5PbVDBCgOW5pPA4XKBiSSV6O3zf&#10;HVtJ9g6U19dKonu2kpwvubf1SKlIuLdoo6zvKO1ynFd4nJujDb68ToxglvfKnFaBs7z7BkmlTdx5&#10;DFbqUMCR4id9OSdLypmAfduTUnIby5Vo1d9tS/dJ/ZxXdjzxnVAcbZQTTpaPA+C8hDIifN9T7B2O&#10;L1qJTy+hTcWezZwnY8tSahMH3nguKbVcHInkdVPhxbi1yZFBWRFwIpj9SPEOXAZmPTVJMk6MYPKq&#10;jfvibHmFw+KWPLepZFY4Os56KlwbBdK5dxl3X3SNcV6TZI/rtd4tSmqxTcVKdGw7SipziauFWDfl&#10;7Be3NjjSKmc+8I1KDKa8xOGWOgvKUYn2A8JwlIlEOwxRUM4Cujl8KBssvIeG/EcejJtTP6WUa2fv&#10;VVrEjUwejLxg8UlZRE0Zw9kflfU37gCB48u4zGdnlGyX5RysLka2iJ7FfWpJjnMTOrwjyXEGRTdd&#10;RLlo6EZhAvTFKVhzsPDK/cZjfmAtMh6xhmJHxc7cHnbXxXFEf7I47SDKxXmAhVnBI6wJ+AJ0eT0M&#10;bmzprJJk5hA7LRWZJLGwZOEbtuXBhrmCrxiVdeNzOHRDRew1zAHcipaxjZUSHHOWbRdXXtxWkZ03&#10;7ghj61hpLxjZ4GSHOI6ILb4sRJkDYS7je09ku6AYRnMet58UuwTYcCZCRjfeg8MFr5Vy2lyO/TpM&#10;fglfHgeVI0W5aGe6TiLKRfsZTb+wEuN7B+V5GufLpKR08djWqDhHnFWDsqGLjIPARfVRHGuslGiU&#10;IFIcfEej3FrMTZRCEpdnFM4Q9wreLkhxcZGfocgY7UZHOkRUg27vsLp5PJ4P4YN018n/FsR86Ynu&#10;SiW/B/F8/Onh8RHCdAeJrkLha5JQWqTX5+Pjwy2961+cPn384fG0+bLHD324/g/9999H3TKx0/Hz&#10;861v7f6wv/1j/Puyf3gMf/vrSfEHMOg3L+h3RM4fLl8/ft083GKx8uGC/uvj8faXv582p2P4RRH8&#10;Agr+uD+e/rPdvOLXRK63539/3p8O283jn5/xcx0TqAsi9sW/aJFN48Upfedj+s7++QZNXW8vW3wJ&#10;Af35wyX8ZMnnl9PDp3v0ZLwFno9/wE9x3D3QD2b43+wIWsUX+MUQb9r46yb0kyTpay/19hss3/0X&#10;AAD//wMAUEsDBBQABgAIAAAAIQBE1uKZ2wAAAAYBAAAPAAAAZHJzL2Rvd25yZXYueG1sTI9BS8NA&#10;EIXvgv9hmYIXsZuUENOYTRGh10JjvW+zYxKbnQ3ZTZv66x292MvA4z3efK/YzLYXZxx950hBvIxA&#10;INXOdNQoOLxvnzIQPmgyuneECq7oYVPe3xU6N+5CezxXoRFcQj7XCtoQhlxKX7dotV+6AYm9Tzda&#10;HViOjTSjvnC57eUqilJpdUf8odUDvrVYn6rJKkjjZHVotvJ5+vj+mqtkv8voEZV6WMyvLyACzuE/&#10;DL/4jA4lMx3dRMaLXgEPCX+XvWydsjxyKE7XCciykLf45Q8AAAD//wMAUEsBAi0AFAAGAAgAAAAh&#10;ALaDOJL+AAAA4QEAABMAAAAAAAAAAAAAAAAAAAAAAFtDb250ZW50X1R5cGVzXS54bWxQSwECLQAU&#10;AAYACAAAACEAOP0h/9YAAACUAQAACwAAAAAAAAAAAAAAAAAvAQAAX3JlbHMvLnJlbHNQSwECLQAU&#10;AAYACAAAACEASESm+fATAADLZQAADgAAAAAAAAAAAAAAAAAuAgAAZHJzL2Uyb0RvYy54bWxQSwEC&#10;LQAUAAYACAAAACEARNbimdsAAAAGAQAADwAAAAAAAAAAAAAAAABKFgAAZHJzL2Rvd25yZXYueG1s&#10;UEsFBgAAAAAEAAQA8wAAAFIXA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388489;549925,447167;850110,447167;1155900,513938;1418718,410746;1700220,453237;1981721,418840;2238311,449190;2560294,445144;2826226,400629;3069115,445144;3389852,479541;3680073,428957;3992714,435027;4276707,457284;4528937,483588;4793624,422886;5030284,412769;5336697,481564;5667400,445144;5683592,1282823;5667400,2322840;5645602,3211104;5683592,4226840;5666777,5151525;5673627,5932550;5650584,6820813;5604498,7735381;5281892,7739428;5027793,7717171;4736950,7725264;4424931,7721217;4155885,7662539;3860060,7721217;3566725,7715147;3295188,7721217;3017423,7755615;2730316,7721217;2447569,7727288;2177901,7733358;1908232,7652423;1599950,7721217;1289178,7777872;1035079,7721217;827067,7745498;525636,7713124;186215,7698960;7473,7213349;32385,6274501;2491,5477289;15570,4441319;14324,3607686;14947,2800358;23043,1750224;20552,627248" o:connectangles="0,0,0,0,0,0,0,0,0,0,0,0,0,0,0,0,0,0,0,0,0,0,0,0,0,0,0,0,0,0,0,0,0,0,0,0,0,0,0,0,0,0,0,0,0,0,0,0,0,0,0,0,0,0,0" textboxrect="0,0,9136,3670"/>
                <v:textbox>
                  <w:txbxContent>
                    <w:p w14:paraId="1EF1C253" w14:textId="69793161" w:rsidR="008C3EA2" w:rsidRPr="0058387D" w:rsidRDefault="008C3EA2" w:rsidP="00516DEB">
                      <w:pPr>
                        <w:pStyle w:val="NoSpacing"/>
                        <w:spacing w:before="240"/>
                        <w:jc w:val="left"/>
                        <w:rPr>
                          <w:b/>
                          <w:bCs/>
                          <w:color w:val="1A3E5F" w:themeColor="accent1" w:themeShade="80"/>
                          <w:lang w:val="en-AU"/>
                        </w:rPr>
                      </w:pPr>
                      <w:r w:rsidRPr="0058387D">
                        <w:rPr>
                          <w:b/>
                          <w:bCs/>
                          <w:color w:val="1A3E5F" w:themeColor="accent1" w:themeShade="80"/>
                        </w:rPr>
                        <w:t xml:space="preserve">Example of promising practice – </w:t>
                      </w:r>
                      <w:r w:rsidR="00956947" w:rsidRPr="0058387D">
                        <w:rPr>
                          <w:b/>
                          <w:bCs/>
                          <w:color w:val="1A3E5F" w:themeColor="accent1" w:themeShade="80"/>
                        </w:rPr>
                        <w:t xml:space="preserve">changes to </w:t>
                      </w:r>
                      <w:r w:rsidR="00956947" w:rsidRPr="0058387D">
                        <w:rPr>
                          <w:b/>
                          <w:bCs/>
                          <w:color w:val="1A3E5F" w:themeColor="accent1" w:themeShade="80"/>
                          <w:lang w:val="en-AU"/>
                        </w:rPr>
                        <w:t xml:space="preserve">program and service </w:t>
                      </w:r>
                      <w:r w:rsidR="005F16FF" w:rsidRPr="0058387D">
                        <w:rPr>
                          <w:b/>
                          <w:bCs/>
                          <w:color w:val="1A3E5F" w:themeColor="accent1" w:themeShade="80"/>
                          <w:lang w:val="en-AU"/>
                        </w:rPr>
                        <w:t>commissioning under</w:t>
                      </w:r>
                      <w:r w:rsidR="00956947" w:rsidRPr="0058387D">
                        <w:rPr>
                          <w:b/>
                          <w:bCs/>
                          <w:color w:val="1A3E5F" w:themeColor="accent1" w:themeShade="80"/>
                          <w:lang w:val="en-AU"/>
                        </w:rPr>
                        <w:t xml:space="preserve"> the IAHP</w:t>
                      </w:r>
                    </w:p>
                    <w:p w14:paraId="28580077" w14:textId="3E4C990B" w:rsidR="006F3AF5" w:rsidRPr="00035B50" w:rsidRDefault="006F3AF5" w:rsidP="00516DEB">
                      <w:pPr>
                        <w:pStyle w:val="NoSpacing"/>
                        <w:spacing w:before="240"/>
                        <w:jc w:val="left"/>
                        <w:rPr>
                          <w:lang w:val="en-AU"/>
                        </w:rPr>
                      </w:pPr>
                      <w:r w:rsidRPr="00035B50">
                        <w:rPr>
                          <w:lang w:val="en-AU"/>
                        </w:rPr>
                        <w:t>There have been changes to the way specific programs and services are commissioned under the IAHP. These are positive examples of what can be achieved through relationships and partnerships brokered within the context of IAHP funding arrangements.</w:t>
                      </w:r>
                    </w:p>
                    <w:p w14:paraId="0099D03A" w14:textId="77777777" w:rsidR="00414D58" w:rsidRPr="00035B50" w:rsidRDefault="00414D58" w:rsidP="00244D06">
                      <w:pPr>
                        <w:pStyle w:val="TableDot-point"/>
                        <w:spacing w:before="240" w:after="120" w:line="276" w:lineRule="auto"/>
                        <w:ind w:left="567"/>
                        <w:rPr>
                          <w:color w:val="auto"/>
                        </w:rPr>
                      </w:pPr>
                      <w:r w:rsidRPr="00035B50">
                        <w:rPr>
                          <w:color w:val="auto"/>
                        </w:rPr>
                        <w:t>The department and NACCHO partnered to establish the parameters and structure for new IAHP infrastructure programs (Capital Works Program and Service Maintenance Program). Under this partnership, the department and NACCHO developed and approved the Grant Opportunity Guidelines and Assessment Plans, co-chaired grant assessment committees, and jointly approved grant outcomes. NACCHO was also funded to support ACCHS capacity to write competitive grant applications.</w:t>
                      </w:r>
                    </w:p>
                    <w:p w14:paraId="27D5FA18" w14:textId="5E12CB86" w:rsidR="00414D58" w:rsidRPr="00035B50" w:rsidRDefault="00414D58" w:rsidP="00244D06">
                      <w:pPr>
                        <w:pStyle w:val="TableDot-point"/>
                        <w:spacing w:before="240" w:after="120" w:line="276" w:lineRule="auto"/>
                        <w:ind w:left="567"/>
                        <w:rPr>
                          <w:color w:val="auto"/>
                        </w:rPr>
                      </w:pPr>
                      <w:r w:rsidRPr="00035B50">
                        <w:rPr>
                          <w:color w:val="auto"/>
                        </w:rPr>
                        <w:t>In 2021, NACCHO was funded under the IAHP Rheumatic Fever Strategy to develop a new governance structure and implementation plan for the strategy and to commission ACCHSs to deliver ARF and RHD prevention and treatment activities. NACCHO has funded six AC</w:t>
                      </w:r>
                      <w:r w:rsidR="00A45E10">
                        <w:rPr>
                          <w:color w:val="auto"/>
                        </w:rPr>
                        <w:t>CH</w:t>
                      </w:r>
                      <w:r w:rsidRPr="00035B50">
                        <w:rPr>
                          <w:color w:val="auto"/>
                        </w:rPr>
                        <w:t>Ss to deliver services under this program.</w:t>
                      </w:r>
                    </w:p>
                    <w:p w14:paraId="232B9235" w14:textId="115F8894" w:rsidR="00414D58" w:rsidRPr="00EE2005" w:rsidRDefault="00F4466D" w:rsidP="00244D06">
                      <w:pPr>
                        <w:pStyle w:val="TableDot-point"/>
                        <w:spacing w:before="240" w:after="120" w:line="276" w:lineRule="auto"/>
                        <w:ind w:left="567"/>
                        <w:rPr>
                          <w:color w:val="auto"/>
                        </w:rPr>
                      </w:pPr>
                      <w:r w:rsidRPr="00EE2005">
                        <w:rPr>
                          <w:color w:val="auto"/>
                        </w:rPr>
                        <w:t>T</w:t>
                      </w:r>
                      <w:r w:rsidR="00414D58" w:rsidRPr="00EE2005">
                        <w:rPr>
                          <w:color w:val="auto"/>
                        </w:rPr>
                        <w:t>he funding arrangement for the ITC program in one urban location</w:t>
                      </w:r>
                      <w:r w:rsidRPr="00EE2005">
                        <w:rPr>
                          <w:color w:val="auto"/>
                        </w:rPr>
                        <w:t xml:space="preserve"> </w:t>
                      </w:r>
                      <w:r w:rsidR="00414D58" w:rsidRPr="00EE2005">
                        <w:rPr>
                          <w:color w:val="auto"/>
                        </w:rPr>
                        <w:t xml:space="preserve">shifted away from the standard practice of the department funding PHNs to commission services. Since July 2022, the department now funds the regional ACCHS directly. This removes the four PHNs in the region from the commissioning – or intermediary – relationship. Notably, within this region, the PHNs and the ACCHS had already developed a regional approach whereby the four PHNs pooled funding and one PHN commissioned the regional ACCHS to deliver ITC services. There was mutual recognition that the indirect arrangement was not creating value and the PHNs and ACCHS worked towards a transition to a direct commissioning model. </w:t>
                      </w:r>
                      <w:r w:rsidR="00414D58" w:rsidRPr="00EE2005" w:rsidDel="004542E2">
                        <w:rPr>
                          <w:color w:val="auto"/>
                        </w:rPr>
                        <w:t xml:space="preserve">There is </w:t>
                      </w:r>
                      <w:r w:rsidR="00414D58" w:rsidRPr="00EE2005">
                        <w:rPr>
                          <w:color w:val="auto"/>
                        </w:rPr>
                        <w:t xml:space="preserve">an ongoing national review into the funding arrangements for the ITC program which is expected to report on options for future arrangements in </w:t>
                      </w:r>
                      <w:r w:rsidR="009A2B52">
                        <w:rPr>
                          <w:color w:val="auto"/>
                        </w:rPr>
                        <w:t>late</w:t>
                      </w:r>
                      <w:r w:rsidR="00414D58" w:rsidRPr="00EE2005">
                        <w:rPr>
                          <w:color w:val="auto"/>
                        </w:rPr>
                        <w:t>-2023.</w:t>
                      </w:r>
                    </w:p>
                    <w:p w14:paraId="5994CD86" w14:textId="35418914" w:rsidR="00414D58" w:rsidRPr="00414D58" w:rsidRDefault="00414D58" w:rsidP="00244D06">
                      <w:pPr>
                        <w:pStyle w:val="TableDot-point"/>
                        <w:spacing w:before="240" w:after="120" w:line="276" w:lineRule="auto"/>
                        <w:ind w:left="567"/>
                        <w:rPr>
                          <w:color w:val="auto"/>
                          <w:szCs w:val="21"/>
                        </w:rPr>
                      </w:pPr>
                      <w:r w:rsidRPr="00414D58">
                        <w:rPr>
                          <w:color w:val="auto"/>
                        </w:rPr>
                        <w:t>Beyond</w:t>
                      </w:r>
                      <w:r w:rsidRPr="00414D58">
                        <w:rPr>
                          <w:color w:val="auto"/>
                          <w:szCs w:val="21"/>
                        </w:rPr>
                        <w:t xml:space="preserve"> the IAHP, it is notable that the </w:t>
                      </w:r>
                      <w:r w:rsidR="00D372D4" w:rsidRPr="00035B50">
                        <w:rPr>
                          <w:color w:val="auto"/>
                        </w:rPr>
                        <w:t>departm</w:t>
                      </w:r>
                      <w:r w:rsidR="006F3AF5" w:rsidRPr="00035B50">
                        <w:rPr>
                          <w:color w:val="auto"/>
                        </w:rPr>
                        <w:t>en</w:t>
                      </w:r>
                      <w:r w:rsidR="00D372D4" w:rsidRPr="00035B50">
                        <w:rPr>
                          <w:color w:val="auto"/>
                        </w:rPr>
                        <w:t>t</w:t>
                      </w:r>
                      <w:r w:rsidRPr="00414D58">
                        <w:rPr>
                          <w:color w:val="auto"/>
                          <w:szCs w:val="21"/>
                        </w:rPr>
                        <w:t xml:space="preserve"> has also funded an evaluation site partner ACCHS to commission certain services nationally. This has included the commissioning of aged care services to support elders in capital cities in NSW and Victoria as part of the COVID-19 response, providing welfare checking, meals and other support. Under a separate funding agreement, the ACCHS provides aged care organisational capacity building support to several other ACCHSs to build their capacity to provide aged care support in the future. This includes direct support with models of care and aged care service delivery standards, building on the ACCHSs experience, as well as funding for workforce training.</w:t>
                      </w:r>
                    </w:p>
                    <w:p w14:paraId="2BD5FF52" w14:textId="77777777" w:rsidR="00414D58" w:rsidRPr="00035B50" w:rsidRDefault="00414D58" w:rsidP="00E600D4">
                      <w:pPr>
                        <w:pStyle w:val="NoSpacing"/>
                        <w:spacing w:before="240"/>
                        <w:rPr>
                          <w:b/>
                          <w:bCs/>
                        </w:rPr>
                      </w:pPr>
                    </w:p>
                  </w:txbxContent>
                </v:textbox>
                <w10:anchorlock/>
              </v:shape>
            </w:pict>
          </mc:Fallback>
        </mc:AlternateContent>
      </w:r>
    </w:p>
    <w:p w14:paraId="53DB3477" w14:textId="77777777" w:rsidR="00EF13DE" w:rsidRDefault="00EF13DE">
      <w:pPr>
        <w:jc w:val="left"/>
        <w:rPr>
          <w:b/>
          <w:color w:val="9E6047" w:themeColor="accent3"/>
          <w:kern w:val="28"/>
          <w:sz w:val="32"/>
          <w:szCs w:val="28"/>
          <w:lang w:eastAsia="en-GB"/>
        </w:rPr>
      </w:pPr>
      <w:r>
        <w:br w:type="page"/>
      </w:r>
    </w:p>
    <w:p w14:paraId="25CB01ED" w14:textId="1D0B4177" w:rsidR="00B43DF5" w:rsidRPr="00884FAA" w:rsidRDefault="00B43DF5" w:rsidP="00651D06">
      <w:pPr>
        <w:pStyle w:val="Heading3"/>
      </w:pPr>
      <w:r w:rsidRPr="00884FAA">
        <w:lastRenderedPageBreak/>
        <w:t>ACCHSs value funding arrangements that enable flexibility and provide stability</w:t>
      </w:r>
    </w:p>
    <w:p w14:paraId="7815A92D" w14:textId="7C0DA4CE" w:rsidR="00B43DF5" w:rsidRPr="00884FAA" w:rsidRDefault="005D1B01" w:rsidP="00B43DF5">
      <w:r>
        <w:t xml:space="preserve">The IAHP includes </w:t>
      </w:r>
      <w:r w:rsidR="00692A6F">
        <w:t>flexible funding</w:t>
      </w:r>
      <w:r w:rsidR="00E72672">
        <w:t xml:space="preserve">, including </w:t>
      </w:r>
      <w:r w:rsidR="00B5033B">
        <w:t xml:space="preserve">under the </w:t>
      </w:r>
      <w:r w:rsidR="000F7ACE">
        <w:t>PHC Program</w:t>
      </w:r>
      <w:r w:rsidR="00B5033B">
        <w:t xml:space="preserve">, and more rigid funding </w:t>
      </w:r>
      <w:r w:rsidR="00D576F8">
        <w:t xml:space="preserve">including </w:t>
      </w:r>
      <w:r w:rsidR="00F428ED">
        <w:t xml:space="preserve">that </w:t>
      </w:r>
      <w:r w:rsidR="00212050">
        <w:t xml:space="preserve">under </w:t>
      </w:r>
      <w:r w:rsidR="00C86702">
        <w:t xml:space="preserve">targeted funding programs. </w:t>
      </w:r>
      <w:r w:rsidR="00B43DF5" w:rsidRPr="00884FAA">
        <w:t xml:space="preserve">ACCHS managers reported positively on the flexibility within the </w:t>
      </w:r>
      <w:r w:rsidR="000F7ACE">
        <w:t>PHC Program</w:t>
      </w:r>
      <w:r w:rsidR="00B43DF5" w:rsidRPr="00884FAA">
        <w:t xml:space="preserve"> in comparison to their other funding streams. A few managers recalled an increase in flexibility when the </w:t>
      </w:r>
      <w:r w:rsidR="000F7ACE">
        <w:t>PHC Program</w:t>
      </w:r>
      <w:r w:rsidR="00B43DF5" w:rsidRPr="00884FAA">
        <w:t xml:space="preserve"> was first established.</w:t>
      </w:r>
    </w:p>
    <w:p w14:paraId="72081982" w14:textId="204007C6" w:rsidR="00B43DF5" w:rsidRPr="00A1178E" w:rsidRDefault="00B43DF5" w:rsidP="00A05B28">
      <w:pPr>
        <w:pStyle w:val="Quote"/>
        <w:spacing w:after="0"/>
        <w:rPr>
          <w:color w:val="18525E" w:themeColor="accent5" w:themeShade="80"/>
        </w:rPr>
      </w:pPr>
      <w:r w:rsidRPr="00A1178E">
        <w:rPr>
          <w:color w:val="18525E" w:themeColor="accent5" w:themeShade="80"/>
        </w:rPr>
        <w:t xml:space="preserve">We just get a lump sum, and then, I guess, we have to provide comprehensive primary health care, so it [the funding contract] does not dictate what that looks like. </w:t>
      </w:r>
    </w:p>
    <w:p w14:paraId="0400AA2A" w14:textId="4583574F" w:rsidR="00F114C1" w:rsidRPr="00A05B28" w:rsidRDefault="00F114C1" w:rsidP="00362B01">
      <w:pPr>
        <w:spacing w:before="120"/>
        <w:jc w:val="right"/>
        <w:rPr>
          <w:b/>
          <w:bCs/>
        </w:rPr>
      </w:pPr>
      <w:r w:rsidRPr="00A05B28">
        <w:rPr>
          <w:b/>
          <w:bCs/>
        </w:rPr>
        <w:t xml:space="preserve">ACCHS, Remote location </w:t>
      </w:r>
    </w:p>
    <w:p w14:paraId="3BC77B4D" w14:textId="2A13F1C1" w:rsidR="00B43DF5" w:rsidRPr="00A1178E" w:rsidRDefault="00B43DF5" w:rsidP="00A05B28">
      <w:pPr>
        <w:pStyle w:val="Quote"/>
        <w:spacing w:before="240" w:after="0"/>
        <w:rPr>
          <w:color w:val="18525E" w:themeColor="accent5" w:themeShade="80"/>
        </w:rPr>
      </w:pPr>
      <w:r w:rsidRPr="00A1178E">
        <w:rPr>
          <w:color w:val="18525E" w:themeColor="accent5" w:themeShade="80"/>
        </w:rPr>
        <w:t xml:space="preserve">I think it’s definitely one of the strengths of the IAHP funding, that it has more flexibility in its application than many of the other funding streams that we have. </w:t>
      </w:r>
    </w:p>
    <w:p w14:paraId="3C85AFD2" w14:textId="5CF42AE4" w:rsidR="00F114C1" w:rsidRPr="00A05B28" w:rsidRDefault="00F114C1" w:rsidP="00362B01">
      <w:pPr>
        <w:spacing w:before="120"/>
        <w:jc w:val="right"/>
        <w:rPr>
          <w:b/>
          <w:bCs/>
        </w:rPr>
      </w:pPr>
      <w:r w:rsidRPr="00A05B28">
        <w:rPr>
          <w:b/>
          <w:bCs/>
        </w:rPr>
        <w:t xml:space="preserve">ACCHS, Metropolitan location </w:t>
      </w:r>
    </w:p>
    <w:p w14:paraId="6ED2022D" w14:textId="50CE24CB" w:rsidR="00B43DF5" w:rsidRPr="00884FAA" w:rsidRDefault="00357745" w:rsidP="00B43DF5">
      <w:r w:rsidRPr="00884FAA">
        <w:t>People also</w:t>
      </w:r>
      <w:r w:rsidR="00B43DF5" w:rsidRPr="00884FAA" w:rsidDel="00357745">
        <w:t xml:space="preserve"> </w:t>
      </w:r>
      <w:r w:rsidR="00B43DF5" w:rsidRPr="00884FAA">
        <w:t xml:space="preserve">reported, however, that the flexibility and freedom to spend funding </w:t>
      </w:r>
      <w:r w:rsidR="006570FE">
        <w:t xml:space="preserve">based on </w:t>
      </w:r>
      <w:r w:rsidR="00B93C74">
        <w:t xml:space="preserve">organisational need is not enabled by </w:t>
      </w:r>
      <w:r w:rsidR="006726CB">
        <w:t xml:space="preserve">other </w:t>
      </w:r>
      <w:r w:rsidR="00B43DF5" w:rsidRPr="00884FAA">
        <w:t>IAHP funding streams, such as targeted health activities (TIS, ANFPP) and funding through PHN</w:t>
      </w:r>
      <w:r w:rsidR="000E2361">
        <w:t>s</w:t>
      </w:r>
      <w:r w:rsidR="00B43DF5" w:rsidRPr="00884FAA">
        <w:t xml:space="preserve"> (ITC and mental health funding). These </w:t>
      </w:r>
      <w:r w:rsidRPr="00884FAA">
        <w:t xml:space="preserve">streams </w:t>
      </w:r>
      <w:r w:rsidR="00B43DF5" w:rsidRPr="00884FAA">
        <w:t>a</w:t>
      </w:r>
      <w:r w:rsidR="00BB2863">
        <w:t>re</w:t>
      </w:r>
      <w:r w:rsidR="0047133F">
        <w:t xml:space="preserve"> not as flexible as the </w:t>
      </w:r>
      <w:r w:rsidR="00227F92">
        <w:t xml:space="preserve">IAHP </w:t>
      </w:r>
      <w:r w:rsidR="000F7ACE">
        <w:t>PHC Program</w:t>
      </w:r>
      <w:r w:rsidR="0047133F">
        <w:t xml:space="preserve"> and </w:t>
      </w:r>
      <w:r w:rsidR="00B43DF5" w:rsidRPr="00884FAA">
        <w:t xml:space="preserve">allow little </w:t>
      </w:r>
      <w:r w:rsidR="0047133F">
        <w:t>flexibility</w:t>
      </w:r>
      <w:r w:rsidR="0047133F" w:rsidRPr="00884FAA">
        <w:t xml:space="preserve"> </w:t>
      </w:r>
      <w:r w:rsidR="00B43DF5" w:rsidRPr="00884FAA">
        <w:t xml:space="preserve">over how the funding can be </w:t>
      </w:r>
      <w:r w:rsidR="00D67A90" w:rsidRPr="00884FAA">
        <w:t>directed</w:t>
      </w:r>
      <w:r w:rsidR="006726CB">
        <w:t xml:space="preserve"> as the funding is provided for the delivery of specific programs</w:t>
      </w:r>
      <w:r w:rsidR="00B43DF5" w:rsidRPr="00884FAA">
        <w:t xml:space="preserve">. </w:t>
      </w:r>
      <w:r w:rsidR="00A025B0">
        <w:t>T</w:t>
      </w:r>
      <w:r w:rsidR="00585E92" w:rsidRPr="00585E92">
        <w:t>he prescriptive nature of these targeted programs is required for program fidelity</w:t>
      </w:r>
      <w:r w:rsidR="004A1A64">
        <w:t>, with the</w:t>
      </w:r>
      <w:r w:rsidR="00592FD8">
        <w:t xml:space="preserve">se programs being designed to </w:t>
      </w:r>
      <w:r w:rsidR="00245180">
        <w:t>deliver</w:t>
      </w:r>
      <w:r w:rsidR="00592FD8">
        <w:t xml:space="preserve"> s</w:t>
      </w:r>
      <w:r w:rsidR="00585E92" w:rsidRPr="00585E92">
        <w:t>pecific health outcomes.</w:t>
      </w:r>
    </w:p>
    <w:p w14:paraId="09AA63F3" w14:textId="674DA138" w:rsidR="00B43DF5" w:rsidRPr="00884FAA" w:rsidRDefault="00B43DF5" w:rsidP="00B43DF5">
      <w:r w:rsidRPr="00884FAA">
        <w:t xml:space="preserve">ACCHS managers also commented positively on the greater financial stability and security provided under the </w:t>
      </w:r>
      <w:r w:rsidR="00D67A90" w:rsidRPr="00884FAA">
        <w:t xml:space="preserve">new </w:t>
      </w:r>
      <w:r w:rsidRPr="00884FAA">
        <w:t xml:space="preserve">3-year funding agreements. This contributed to greater workforce stability and the possibility of longer term and more sustainable planning and development. Again, the IAHP </w:t>
      </w:r>
      <w:r w:rsidR="000F7ACE">
        <w:t>PHC Program</w:t>
      </w:r>
      <w:r w:rsidRPr="00884FAA">
        <w:t xml:space="preserve"> was considered </w:t>
      </w:r>
      <w:r w:rsidR="00D67A90" w:rsidRPr="00884FAA">
        <w:t xml:space="preserve">to be far more </w:t>
      </w:r>
      <w:r w:rsidR="002E06F3" w:rsidRPr="00884FAA">
        <w:t xml:space="preserve">secure </w:t>
      </w:r>
      <w:r w:rsidR="00D67A90" w:rsidRPr="00884FAA">
        <w:t xml:space="preserve">when </w:t>
      </w:r>
      <w:r w:rsidRPr="00884FAA">
        <w:t xml:space="preserve">compared to other funding streams.  </w:t>
      </w:r>
    </w:p>
    <w:p w14:paraId="68C90E75" w14:textId="50C06AF5" w:rsidR="00B43DF5" w:rsidRPr="00A1178E" w:rsidRDefault="00B43DF5" w:rsidP="00A05B28">
      <w:pPr>
        <w:pStyle w:val="Quote"/>
        <w:spacing w:after="0"/>
        <w:rPr>
          <w:color w:val="18525E" w:themeColor="accent5" w:themeShade="80"/>
        </w:rPr>
      </w:pPr>
      <w:r w:rsidRPr="00A1178E">
        <w:rPr>
          <w:color w:val="18525E" w:themeColor="accent5" w:themeShade="80"/>
        </w:rPr>
        <w:t xml:space="preserve">It's the most secure source </w:t>
      </w:r>
      <w:r w:rsidRPr="00A1178E">
        <w:rPr>
          <w:rFonts w:cstheme="minorHAnsi"/>
          <w:color w:val="18525E" w:themeColor="accent5" w:themeShade="80"/>
        </w:rPr>
        <w:t>we have.</w:t>
      </w:r>
      <w:r w:rsidRPr="00A1178E">
        <w:rPr>
          <w:color w:val="18525E" w:themeColor="accent5" w:themeShade="80"/>
        </w:rPr>
        <w:t xml:space="preserve"> </w:t>
      </w:r>
    </w:p>
    <w:p w14:paraId="72C045B0" w14:textId="0CE0E722" w:rsidR="003132C8" w:rsidRPr="00A05B28" w:rsidRDefault="003132C8" w:rsidP="00362B01">
      <w:pPr>
        <w:spacing w:before="120"/>
        <w:jc w:val="right"/>
        <w:rPr>
          <w:b/>
          <w:bCs/>
        </w:rPr>
      </w:pPr>
      <w:r w:rsidRPr="00A05B28">
        <w:rPr>
          <w:b/>
          <w:bCs/>
        </w:rPr>
        <w:t xml:space="preserve">ACCHS, Regional location </w:t>
      </w:r>
    </w:p>
    <w:p w14:paraId="043C8CA7" w14:textId="266D8D9D" w:rsidR="00B43DF5" w:rsidRPr="00884FAA" w:rsidRDefault="00B43DF5" w:rsidP="00B43DF5">
      <w:r w:rsidRPr="00884FAA">
        <w:t xml:space="preserve">The recent decision to </w:t>
      </w:r>
      <w:r w:rsidR="00A30756">
        <w:t xml:space="preserve">develop </w:t>
      </w:r>
      <w:r w:rsidRPr="00884FAA">
        <w:t>4-</w:t>
      </w:r>
      <w:r w:rsidR="00D66302" w:rsidRPr="00884FAA">
        <w:t>y</w:t>
      </w:r>
      <w:r w:rsidRPr="00884FAA">
        <w:t>ear</w:t>
      </w:r>
      <w:r w:rsidR="000325B6">
        <w:t xml:space="preserve"> </w:t>
      </w:r>
      <w:r w:rsidR="000F7ACE">
        <w:t>PHC Program</w:t>
      </w:r>
      <w:r w:rsidRPr="00884FAA">
        <w:t xml:space="preserve"> funding agreements was considered a particularly significant achievement</w:t>
      </w:r>
      <w:r w:rsidR="002E06F3" w:rsidRPr="00884FAA">
        <w:t xml:space="preserve"> by ACCHSs</w:t>
      </w:r>
      <w:r w:rsidRPr="00884FAA">
        <w:t xml:space="preserve">. </w:t>
      </w:r>
    </w:p>
    <w:p w14:paraId="21EC9698" w14:textId="4D8F0600" w:rsidR="00B43DF5" w:rsidRPr="00A1178E" w:rsidRDefault="00B43DF5" w:rsidP="00A05B28">
      <w:pPr>
        <w:pStyle w:val="Quote"/>
        <w:spacing w:after="0"/>
        <w:rPr>
          <w:color w:val="18525E" w:themeColor="accent5" w:themeShade="80"/>
        </w:rPr>
      </w:pPr>
      <w:r w:rsidRPr="00A1178E">
        <w:rPr>
          <w:color w:val="18525E" w:themeColor="accent5" w:themeShade="80"/>
        </w:rPr>
        <w:t xml:space="preserve">… one of the structural reforms that we've gained, is that community-controlled health services have ongoing funding. That's extraordinary. It's the only organisation sector in the country. Even PHNs only have three-year funding. </w:t>
      </w:r>
    </w:p>
    <w:p w14:paraId="79E3E3DB" w14:textId="21F92F0B" w:rsidR="003132C8" w:rsidRPr="00A05B28" w:rsidRDefault="003132C8" w:rsidP="00362B01">
      <w:pPr>
        <w:spacing w:before="120"/>
        <w:jc w:val="right"/>
        <w:rPr>
          <w:b/>
          <w:bCs/>
        </w:rPr>
      </w:pPr>
      <w:r w:rsidRPr="00362B01">
        <w:rPr>
          <w:b/>
          <w:bCs/>
        </w:rPr>
        <w:t>Peak body</w:t>
      </w:r>
      <w:r w:rsidRPr="00A05B28">
        <w:rPr>
          <w:b/>
          <w:bCs/>
        </w:rPr>
        <w:t xml:space="preserve"> </w:t>
      </w:r>
    </w:p>
    <w:p w14:paraId="0C5A1A57" w14:textId="3328C45B" w:rsidR="00B43DF5" w:rsidRPr="00884FAA" w:rsidRDefault="00B43DF5" w:rsidP="00B43DF5">
      <w:r w:rsidRPr="00884FAA">
        <w:t>More broadly, ACCHS managers continue to worry about the precarious and insecure nature of government funding</w:t>
      </w:r>
      <w:r w:rsidR="00D66302" w:rsidRPr="00884FAA">
        <w:t xml:space="preserve"> programs</w:t>
      </w:r>
      <w:r w:rsidRPr="00884FAA">
        <w:t>, which means that funding plans, programs and processes can change rapidly as a result of government elections or policy shifts</w:t>
      </w:r>
      <w:r w:rsidR="00D66302" w:rsidRPr="00884FAA">
        <w:t>. In other examples</w:t>
      </w:r>
      <w:r w:rsidRPr="00884FAA" w:rsidDel="00D66302">
        <w:t xml:space="preserve"> </w:t>
      </w:r>
      <w:r w:rsidRPr="00884FAA">
        <w:t>grants are extended incrementally (</w:t>
      </w:r>
      <w:r w:rsidR="004C023F" w:rsidRPr="00884FAA">
        <w:t>for example,</w:t>
      </w:r>
      <w:r w:rsidRPr="00884FAA">
        <w:t xml:space="preserve"> by 6 or 12 months) while funders develop longer term funding strategies.</w:t>
      </w:r>
      <w:r w:rsidR="00D66302" w:rsidRPr="00884FAA">
        <w:t xml:space="preserve"> This deprives services of the opportunity to </w:t>
      </w:r>
      <w:r w:rsidR="006D0891" w:rsidRPr="00884FAA">
        <w:t xml:space="preserve">approach </w:t>
      </w:r>
      <w:r w:rsidR="007C2A75" w:rsidRPr="00884FAA">
        <w:t xml:space="preserve">long term </w:t>
      </w:r>
      <w:r w:rsidR="007C2A75" w:rsidRPr="00884FAA">
        <w:lastRenderedPageBreak/>
        <w:t xml:space="preserve">service </w:t>
      </w:r>
      <w:r w:rsidR="006D0891" w:rsidRPr="00884FAA">
        <w:t xml:space="preserve">planning with certainty, even though they </w:t>
      </w:r>
      <w:r w:rsidR="007C2A75" w:rsidRPr="00884FAA">
        <w:t>may</w:t>
      </w:r>
      <w:r w:rsidR="006D0891" w:rsidRPr="00884FAA">
        <w:t xml:space="preserve"> end up delivering </w:t>
      </w:r>
      <w:r w:rsidR="00307822" w:rsidRPr="00884FAA">
        <w:t xml:space="preserve">incrementally-funded </w:t>
      </w:r>
      <w:r w:rsidR="006D0891" w:rsidRPr="00884FAA">
        <w:t xml:space="preserve">services over a long period of time. </w:t>
      </w:r>
    </w:p>
    <w:p w14:paraId="48F7348C" w14:textId="074340D8" w:rsidR="00BE51B0" w:rsidRDefault="00B43DF5" w:rsidP="00B43DF5">
      <w:r w:rsidRPr="00884FAA">
        <w:t xml:space="preserve">ACCHS managers also expressed frustration at the apparent disconnect between performance and funding agreements. Several managers gave examples of where they had collected </w:t>
      </w:r>
      <w:r w:rsidR="00B349CE">
        <w:t>and reported</w:t>
      </w:r>
      <w:r w:rsidRPr="00884FAA">
        <w:t xml:space="preserve"> data and evidence to demonstrate a funded program’s achievements</w:t>
      </w:r>
      <w:r w:rsidR="00D4210A" w:rsidRPr="00884FAA">
        <w:t>, for example through an evaluation or review</w:t>
      </w:r>
      <w:r w:rsidR="004C023F" w:rsidRPr="00884FAA">
        <w:t>,</w:t>
      </w:r>
      <w:r w:rsidRPr="00884FAA">
        <w:t xml:space="preserve"> but this did not appear to have any bearing on </w:t>
      </w:r>
      <w:r w:rsidR="005077F9" w:rsidRPr="00884FAA">
        <w:t xml:space="preserve">subsequent funding </w:t>
      </w:r>
      <w:r w:rsidRPr="00884FAA">
        <w:t xml:space="preserve">decisions to extend or expand successful programs. </w:t>
      </w:r>
      <w:r w:rsidR="00F05DFB">
        <w:t xml:space="preserve">For example, an ACCHS discussed </w:t>
      </w:r>
      <w:r w:rsidR="00C11CCE">
        <w:t xml:space="preserve">its struggles to </w:t>
      </w:r>
      <w:r w:rsidR="00BE51B0">
        <w:t>secure funding to scale-up</w:t>
      </w:r>
      <w:r w:rsidR="00F05DFB">
        <w:t xml:space="preserve"> a Birthing on Country </w:t>
      </w:r>
      <w:r w:rsidR="00BE51B0">
        <w:t xml:space="preserve">service despite a study demonstrating its clinical effectiveness. </w:t>
      </w:r>
      <w:r w:rsidR="005730F8">
        <w:t xml:space="preserve">While the service was not funded under the IAHP, the ACCHS had </w:t>
      </w:r>
      <w:r w:rsidR="006C135C">
        <w:t>tried to secure further funding for the service through the IAHP.</w:t>
      </w:r>
    </w:p>
    <w:p w14:paraId="77B13C44" w14:textId="083D0ACA" w:rsidR="00B43DF5" w:rsidRPr="00884FAA" w:rsidRDefault="00B43DF5" w:rsidP="00B43DF5">
      <w:r w:rsidRPr="00884FAA">
        <w:t>Similarly,</w:t>
      </w:r>
      <w:r w:rsidRPr="00884FAA" w:rsidDel="005077F9">
        <w:t xml:space="preserve"> </w:t>
      </w:r>
      <w:r w:rsidR="005077F9" w:rsidRPr="00884FAA">
        <w:t xml:space="preserve">ACCHS managers </w:t>
      </w:r>
      <w:r w:rsidRPr="00884FAA">
        <w:t xml:space="preserve">discussed accountability requirements that appeared to operate in one direction – accountability for results does not </w:t>
      </w:r>
      <w:r w:rsidR="00624289" w:rsidRPr="00884FAA">
        <w:t xml:space="preserve">translate to </w:t>
      </w:r>
      <w:r w:rsidRPr="00884FAA">
        <w:t xml:space="preserve">future funding. </w:t>
      </w:r>
    </w:p>
    <w:p w14:paraId="6561F38A" w14:textId="52926E71" w:rsidR="00B43DF5" w:rsidRPr="00A1178E" w:rsidRDefault="00B43DF5" w:rsidP="00A05B28">
      <w:pPr>
        <w:pStyle w:val="Quote"/>
        <w:spacing w:after="0"/>
        <w:rPr>
          <w:color w:val="18525E" w:themeColor="accent5" w:themeShade="80"/>
        </w:rPr>
      </w:pPr>
      <w:r w:rsidRPr="00A1178E">
        <w:rPr>
          <w:color w:val="18525E" w:themeColor="accent5" w:themeShade="80"/>
        </w:rPr>
        <w:t>[There is no] security of funding, you know, like you’ve got to do the reporting but still, we don’t know whether we’re going to be able to do the same thing.</w:t>
      </w:r>
      <w:r w:rsidR="00AA35E2" w:rsidRPr="00A1178E">
        <w:rPr>
          <w:color w:val="18525E" w:themeColor="accent5" w:themeShade="80"/>
        </w:rPr>
        <w:t xml:space="preserve"> </w:t>
      </w:r>
      <w:r w:rsidRPr="00A1178E">
        <w:rPr>
          <w:color w:val="18525E" w:themeColor="accent5" w:themeShade="80"/>
        </w:rPr>
        <w:t>We’ve got to jump through the hoop, [in fact] we’re already jumping through it, we’re jumping way over the hoop, but then, we still don’t quite know…</w:t>
      </w:r>
    </w:p>
    <w:p w14:paraId="6067CF77" w14:textId="4EF2D2FD" w:rsidR="006B3D19" w:rsidRPr="00A05B28" w:rsidRDefault="006B3D19" w:rsidP="00362B01">
      <w:pPr>
        <w:spacing w:before="120"/>
        <w:jc w:val="right"/>
        <w:rPr>
          <w:b/>
          <w:bCs/>
        </w:rPr>
      </w:pPr>
      <w:r w:rsidRPr="00A05B28">
        <w:rPr>
          <w:b/>
          <w:bCs/>
        </w:rPr>
        <w:t xml:space="preserve">ACCHS, Regional location </w:t>
      </w:r>
    </w:p>
    <w:p w14:paraId="79C8D244" w14:textId="77777777" w:rsidR="00B43DF5" w:rsidRPr="00884FAA" w:rsidRDefault="00B43DF5" w:rsidP="00651D06">
      <w:pPr>
        <w:pStyle w:val="Heading3"/>
      </w:pPr>
      <w:r w:rsidRPr="00884FAA">
        <w:t>Grant application processes can be challenging</w:t>
      </w:r>
    </w:p>
    <w:p w14:paraId="28377271" w14:textId="71DFE9CC" w:rsidR="00B43DF5" w:rsidRPr="00884FAA" w:rsidRDefault="00B43DF5" w:rsidP="00B43DF5">
      <w:r w:rsidRPr="00884FAA">
        <w:t xml:space="preserve">ACCHS managers </w:t>
      </w:r>
      <w:r w:rsidR="00B869C3" w:rsidRPr="00884FAA">
        <w:t xml:space="preserve">told us about </w:t>
      </w:r>
      <w:r w:rsidRPr="00884FAA">
        <w:t xml:space="preserve">challenges they experienced with IAHP grant and management processes. </w:t>
      </w:r>
    </w:p>
    <w:p w14:paraId="722E16B7" w14:textId="7FCA4239" w:rsidR="00B43DF5" w:rsidRPr="00884FAA" w:rsidRDefault="00B43DF5" w:rsidP="00B43DF5">
      <w:r w:rsidRPr="00884FAA">
        <w:t>The most</w:t>
      </w:r>
      <w:r w:rsidRPr="00884FAA" w:rsidDel="00B869C3">
        <w:t xml:space="preserve"> </w:t>
      </w:r>
      <w:r w:rsidR="00B869C3" w:rsidRPr="00884FAA">
        <w:t xml:space="preserve">common </w:t>
      </w:r>
      <w:r w:rsidRPr="00884FAA">
        <w:t xml:space="preserve">challenge </w:t>
      </w:r>
      <w:r w:rsidR="00B869C3" w:rsidRPr="00884FAA">
        <w:t xml:space="preserve">people discussed </w:t>
      </w:r>
      <w:r w:rsidRPr="00884FAA">
        <w:t>was having the capacity, skills and time to develop strong grant proposals</w:t>
      </w:r>
      <w:r w:rsidR="00B869C3" w:rsidRPr="00884FAA">
        <w:t xml:space="preserve"> to secure funding</w:t>
      </w:r>
      <w:r w:rsidRPr="00884FAA">
        <w:t xml:space="preserve">. This played out differently for different organisations. Some organisations clearly have strong capability and skills in this area, although </w:t>
      </w:r>
      <w:r w:rsidR="00D50E55" w:rsidRPr="00884FAA">
        <w:t xml:space="preserve">grant processes </w:t>
      </w:r>
      <w:r w:rsidRPr="00884FAA">
        <w:t xml:space="preserve">still demanded the time of senior staff </w:t>
      </w:r>
      <w:r w:rsidR="00746F7D" w:rsidRPr="00884FAA">
        <w:t xml:space="preserve">which created </w:t>
      </w:r>
      <w:r w:rsidRPr="00884FAA">
        <w:t>opportunity cost</w:t>
      </w:r>
      <w:r w:rsidR="00746F7D" w:rsidRPr="00884FAA">
        <w:t>s</w:t>
      </w:r>
      <w:r w:rsidRPr="00884FAA">
        <w:t>.</w:t>
      </w:r>
      <w:r w:rsidRPr="00884FAA" w:rsidDel="00746F7D">
        <w:t xml:space="preserve"> </w:t>
      </w:r>
      <w:r w:rsidR="00746F7D" w:rsidRPr="00884FAA">
        <w:t xml:space="preserve">Many </w:t>
      </w:r>
      <w:r w:rsidRPr="00884FAA">
        <w:t>organisations, particularly smaller ACCHSs, reported that they struggled with having access to the right capability and skills</w:t>
      </w:r>
      <w:r w:rsidR="00746F7D" w:rsidRPr="00884FAA">
        <w:t xml:space="preserve"> to develop funding proposals</w:t>
      </w:r>
      <w:r w:rsidRPr="00884FAA">
        <w:t>, in addition to finding the time required to develop high-quality funding proposals</w:t>
      </w:r>
      <w:r w:rsidR="00E21103" w:rsidRPr="00884FAA">
        <w:t xml:space="preserve"> alongside service delivery priorities</w:t>
      </w:r>
      <w:r w:rsidRPr="00884FAA">
        <w:t>.</w:t>
      </w:r>
      <w:r w:rsidR="007A32F3">
        <w:t xml:space="preserve"> </w:t>
      </w:r>
      <w:r w:rsidR="00DA7AA7">
        <w:t>To help address this challenge, a</w:t>
      </w:r>
      <w:r w:rsidR="007A32F3">
        <w:t xml:space="preserve">s noted </w:t>
      </w:r>
      <w:r w:rsidR="0078758B">
        <w:t>in the pr</w:t>
      </w:r>
      <w:r w:rsidR="003F26A0">
        <w:t>o</w:t>
      </w:r>
      <w:r w:rsidR="0078758B">
        <w:t>m</w:t>
      </w:r>
      <w:r w:rsidR="003F26A0">
        <w:t>ising</w:t>
      </w:r>
      <w:r w:rsidR="0078758B">
        <w:t xml:space="preserve"> practice </w:t>
      </w:r>
      <w:r w:rsidR="00A8408F">
        <w:t>example provided earlier in this section</w:t>
      </w:r>
      <w:r w:rsidR="003F26A0">
        <w:t xml:space="preserve">, </w:t>
      </w:r>
      <w:r w:rsidR="006B7CD3">
        <w:t xml:space="preserve">IAHP funding </w:t>
      </w:r>
      <w:r w:rsidR="00782164">
        <w:t>was used to</w:t>
      </w:r>
      <w:r w:rsidR="009001A7" w:rsidRPr="009001A7">
        <w:t xml:space="preserve"> support ACCHS capacity to write competitive grant applications</w:t>
      </w:r>
      <w:r w:rsidR="00040AD4">
        <w:t xml:space="preserve"> under the Capital Works </w:t>
      </w:r>
      <w:r w:rsidR="004727E6">
        <w:t>P</w:t>
      </w:r>
      <w:r w:rsidR="00040AD4">
        <w:t>rogram</w:t>
      </w:r>
      <w:r w:rsidR="00043B41">
        <w:t>.</w:t>
      </w:r>
    </w:p>
    <w:p w14:paraId="6D2A5720" w14:textId="4A243B80" w:rsidR="00B43DF5" w:rsidRPr="00884FAA" w:rsidRDefault="00B43DF5" w:rsidP="00B43DF5">
      <w:r w:rsidRPr="00884FAA">
        <w:t>Lengthy and</w:t>
      </w:r>
      <w:r w:rsidR="00B17E88" w:rsidRPr="00884FAA">
        <w:t xml:space="preserve"> </w:t>
      </w:r>
      <w:r w:rsidRPr="00884FAA">
        <w:t xml:space="preserve">complicated grant processes were seen as particularly problematic. These contributed to gaps in service delivery or </w:t>
      </w:r>
      <w:r w:rsidR="009A2C24" w:rsidRPr="00884FAA">
        <w:t xml:space="preserve">a barrier to </w:t>
      </w:r>
      <w:r w:rsidRPr="00884FAA">
        <w:t xml:space="preserve">health services to </w:t>
      </w:r>
      <w:r w:rsidR="009A2C24" w:rsidRPr="00884FAA">
        <w:t xml:space="preserve">continue to </w:t>
      </w:r>
      <w:r w:rsidRPr="00884FAA">
        <w:t>access funding for services being delivered. One ACCHS manager provided an example of an IAHP funding round for Emerging Priorities where there was a 9-month lag between being told their application was successful and having a funding agreement in p</w:t>
      </w:r>
      <w:r w:rsidR="00A8021E">
        <w:t>l</w:t>
      </w:r>
      <w:r w:rsidRPr="00884FAA">
        <w:t xml:space="preserve">ace. Another evaluation participant from a peak body commented on the gap between Emerging Priorities rounds, implying that by the time the next round came around </w:t>
      </w:r>
      <w:r w:rsidR="00C85BB7" w:rsidRPr="00884FAA">
        <w:t xml:space="preserve">the particular issue that the funding was designed to address </w:t>
      </w:r>
      <w:r w:rsidRPr="00884FAA">
        <w:t>was no longer an ‘emerging’ priority.</w:t>
      </w:r>
    </w:p>
    <w:p w14:paraId="0C5D4F27" w14:textId="46E62617" w:rsidR="00B43DF5" w:rsidRPr="00A1178E" w:rsidRDefault="00B43DF5" w:rsidP="00A05B28">
      <w:pPr>
        <w:pStyle w:val="Quote"/>
        <w:spacing w:after="0"/>
        <w:rPr>
          <w:color w:val="18525E" w:themeColor="accent5" w:themeShade="80"/>
        </w:rPr>
      </w:pPr>
      <w:r w:rsidRPr="00A1178E">
        <w:rPr>
          <w:color w:val="18525E" w:themeColor="accent5" w:themeShade="80"/>
        </w:rPr>
        <w:lastRenderedPageBreak/>
        <w:t>They came up with a great idea of having the emerging priorities round but you can't do that once every three years. Priorities emerge every six months.</w:t>
      </w:r>
    </w:p>
    <w:p w14:paraId="07A5F182" w14:textId="5526A18D" w:rsidR="00FE3887" w:rsidRPr="00A05B28" w:rsidRDefault="00FE3887" w:rsidP="00362B01">
      <w:pPr>
        <w:spacing w:before="120"/>
        <w:jc w:val="right"/>
        <w:rPr>
          <w:b/>
          <w:bCs/>
        </w:rPr>
      </w:pPr>
      <w:r w:rsidRPr="00A05B28">
        <w:rPr>
          <w:b/>
          <w:bCs/>
        </w:rPr>
        <w:t xml:space="preserve">Peak body </w:t>
      </w:r>
    </w:p>
    <w:p w14:paraId="72B24DA0" w14:textId="5AAD68CB" w:rsidR="00B43DF5" w:rsidRPr="00884FAA" w:rsidRDefault="00B43DF5" w:rsidP="00B43DF5">
      <w:r w:rsidRPr="00884FAA">
        <w:t xml:space="preserve">A commissioning manager at a PHN recognised </w:t>
      </w:r>
      <w:r w:rsidR="00DB2E2E" w:rsidRPr="00884FAA">
        <w:t xml:space="preserve">that </w:t>
      </w:r>
      <w:r w:rsidRPr="00884FAA">
        <w:t xml:space="preserve">some of their organisation’s </w:t>
      </w:r>
      <w:r w:rsidR="00DB2E2E" w:rsidRPr="00884FAA">
        <w:t xml:space="preserve">commissioning practices could be improved. For example, trying </w:t>
      </w:r>
      <w:r w:rsidRPr="00884FAA">
        <w:t>to spend program underspends before the end of the financial year</w:t>
      </w:r>
      <w:r w:rsidR="00DB2E2E" w:rsidRPr="00884FAA">
        <w:t xml:space="preserve"> was identified as a regular occurrence</w:t>
      </w:r>
      <w:r w:rsidR="003B7CD0" w:rsidRPr="00884FAA">
        <w:t xml:space="preserve">. These opportunities generally involved </w:t>
      </w:r>
      <w:r w:rsidRPr="00884FAA">
        <w:t xml:space="preserve">small sums of money over short timeframes; neither of which was an attractive proposition for ACCHSs. </w:t>
      </w:r>
      <w:r w:rsidR="003B7CD0" w:rsidRPr="00884FAA">
        <w:t xml:space="preserve">The </w:t>
      </w:r>
      <w:r w:rsidR="0047029B" w:rsidRPr="00884FAA">
        <w:t xml:space="preserve">PHN </w:t>
      </w:r>
      <w:r w:rsidR="003B7CD0" w:rsidRPr="00884FAA">
        <w:t xml:space="preserve">commissioning manager </w:t>
      </w:r>
      <w:r w:rsidRPr="00884FAA">
        <w:t>also offered a novel solution – over-commit budgets for commissioned services by 10% to avoid having an underspend.</w:t>
      </w:r>
    </w:p>
    <w:p w14:paraId="3D58F7C0" w14:textId="77A84A9E" w:rsidR="00B43DF5" w:rsidRPr="00884FAA" w:rsidRDefault="0056449A" w:rsidP="00B43DF5">
      <w:r w:rsidRPr="00884FAA">
        <w:t xml:space="preserve">The competition generated by the funding arrangements was </w:t>
      </w:r>
      <w:r w:rsidR="00B43DF5" w:rsidRPr="00884FAA">
        <w:t xml:space="preserve">frequently cited as a challenge by ACCHS managers. </w:t>
      </w:r>
      <w:r w:rsidR="003672E4" w:rsidRPr="00884FAA">
        <w:t xml:space="preserve">Some evaluation sites reported that this had </w:t>
      </w:r>
      <w:r w:rsidR="00B43DF5" w:rsidRPr="00884FAA">
        <w:t xml:space="preserve">led to a breakdown in relationships between organisations. More often, </w:t>
      </w:r>
      <w:r w:rsidR="003672E4" w:rsidRPr="00884FAA">
        <w:t xml:space="preserve">competition for funding </w:t>
      </w:r>
      <w:r w:rsidR="00B43DF5" w:rsidRPr="00884FAA">
        <w:t xml:space="preserve">limited the opportunity to work collaboratively with other services. Smaller ACCHSs reported being disadvantaged from competitive processes, having to compete with organisations, including non-Indigenous organisations that had significantly more capacity to prepare </w:t>
      </w:r>
      <w:r w:rsidR="00E259DC" w:rsidRPr="00884FAA">
        <w:t xml:space="preserve">high quality funding </w:t>
      </w:r>
      <w:r w:rsidR="00B43DF5" w:rsidRPr="00884FAA">
        <w:t>applications.</w:t>
      </w:r>
    </w:p>
    <w:p w14:paraId="3059E7F1" w14:textId="701AA8B7" w:rsidR="00393186" w:rsidRPr="00884FAA" w:rsidRDefault="00F969B4" w:rsidP="00B43DF5">
      <w:r w:rsidRPr="00884FAA">
        <w:t xml:space="preserve">Many ACCHS managers also spoke about the competitive dimension under the </w:t>
      </w:r>
      <w:r w:rsidR="000F7ACE">
        <w:t>PHC Program</w:t>
      </w:r>
      <w:r w:rsidRPr="00884FAA">
        <w:t xml:space="preserve"> funding model. </w:t>
      </w:r>
      <w:r w:rsidR="00A0137F" w:rsidRPr="00884FAA">
        <w:t>Wh</w:t>
      </w:r>
      <w:r w:rsidR="005C142B" w:rsidRPr="00884FAA">
        <w:t>i</w:t>
      </w:r>
      <w:r w:rsidR="00A0137F" w:rsidRPr="00884FAA">
        <w:t xml:space="preserve">le they acknowledged that </w:t>
      </w:r>
      <w:r w:rsidR="005C142B" w:rsidRPr="00884FAA">
        <w:t>the funding was allocated under a non-competitive process,</w:t>
      </w:r>
      <w:r w:rsidR="008D2E18" w:rsidRPr="00884FAA">
        <w:t xml:space="preserve"> they recognised that, as a d</w:t>
      </w:r>
      <w:r w:rsidR="00F525EC" w:rsidRPr="00884FAA">
        <w:t xml:space="preserve">istribution model for a capped fund, </w:t>
      </w:r>
      <w:r w:rsidR="00DE3171" w:rsidRPr="00884FAA">
        <w:t xml:space="preserve">more </w:t>
      </w:r>
      <w:r w:rsidR="000F7ACE">
        <w:t>PHC Program</w:t>
      </w:r>
      <w:r w:rsidR="00C174D7" w:rsidRPr="00884FAA">
        <w:t xml:space="preserve"> </w:t>
      </w:r>
      <w:r w:rsidR="00DE3171" w:rsidRPr="00884FAA">
        <w:t xml:space="preserve">funding allocated to one organisation </w:t>
      </w:r>
      <w:r w:rsidR="00934DA1" w:rsidRPr="00884FAA">
        <w:t xml:space="preserve">equated to less funding available </w:t>
      </w:r>
      <w:r w:rsidR="003A2FA4" w:rsidRPr="00884FAA">
        <w:t>across the system for other organ</w:t>
      </w:r>
      <w:r w:rsidR="00D93880" w:rsidRPr="00884FAA">
        <w:t>isa</w:t>
      </w:r>
      <w:r w:rsidR="003A2FA4" w:rsidRPr="00884FAA">
        <w:t>tions.</w:t>
      </w:r>
      <w:r w:rsidR="003A2FA4" w:rsidRPr="00884FAA" w:rsidDel="00BB68FE">
        <w:t xml:space="preserve"> </w:t>
      </w:r>
      <w:r w:rsidR="00A920F4" w:rsidRPr="00884FAA">
        <w:t xml:space="preserve">The competitive dimension </w:t>
      </w:r>
      <w:r w:rsidR="000E222A" w:rsidRPr="00884FAA">
        <w:t xml:space="preserve">often arose in discussions </w:t>
      </w:r>
      <w:r w:rsidR="00D2386E" w:rsidRPr="00884FAA">
        <w:t>around the location multipliers built into the funding model</w:t>
      </w:r>
      <w:r w:rsidR="006D4E11" w:rsidRPr="00884FAA">
        <w:t>, where</w:t>
      </w:r>
      <w:r w:rsidR="00C94355" w:rsidRPr="00884FAA">
        <w:t xml:space="preserve">by clinics in </w:t>
      </w:r>
      <w:r w:rsidR="00A60E9D" w:rsidRPr="00884FAA">
        <w:t xml:space="preserve">major cities </w:t>
      </w:r>
      <w:r w:rsidR="00761354" w:rsidRPr="00884FAA">
        <w:t>have a multiplier of 1.0</w:t>
      </w:r>
      <w:r w:rsidR="00C4736A" w:rsidRPr="00884FAA">
        <w:t xml:space="preserve"> which increases with remoteness to 1.75 in very remote areas. </w:t>
      </w:r>
      <w:r w:rsidR="00225334" w:rsidRPr="00884FAA">
        <w:t xml:space="preserve">ACCHS managers </w:t>
      </w:r>
      <w:r w:rsidR="00F85A34" w:rsidRPr="00884FAA">
        <w:t xml:space="preserve">acknowledged that the need was high </w:t>
      </w:r>
      <w:r w:rsidR="00C543B8" w:rsidRPr="00884FAA">
        <w:t>across</w:t>
      </w:r>
      <w:r w:rsidR="00AD6CF0" w:rsidRPr="00884FAA">
        <w:t xml:space="preserve"> all</w:t>
      </w:r>
      <w:r w:rsidR="00C543B8" w:rsidRPr="00884FAA">
        <w:t xml:space="preserve"> remoteness areas</w:t>
      </w:r>
      <w:r w:rsidR="00A67A08" w:rsidRPr="00884FAA">
        <w:t xml:space="preserve"> and the funding model</w:t>
      </w:r>
      <w:r w:rsidR="000F13AB" w:rsidRPr="00884FAA">
        <w:t xml:space="preserve"> </w:t>
      </w:r>
      <w:r w:rsidR="00BA4F5E" w:rsidRPr="00884FAA">
        <w:t>created</w:t>
      </w:r>
      <w:r w:rsidR="000F13AB" w:rsidRPr="00884FAA">
        <w:t xml:space="preserve"> some </w:t>
      </w:r>
      <w:r w:rsidR="00743169" w:rsidRPr="00884FAA">
        <w:t>unhelpful</w:t>
      </w:r>
      <w:r w:rsidR="00ED76D0" w:rsidRPr="00884FAA">
        <w:t xml:space="preserve"> </w:t>
      </w:r>
      <w:r w:rsidR="007B0DBE" w:rsidRPr="00884FAA">
        <w:t xml:space="preserve">‘tensions’ </w:t>
      </w:r>
      <w:r w:rsidR="00B56B88" w:rsidRPr="00884FAA">
        <w:t xml:space="preserve">in the sector </w:t>
      </w:r>
      <w:r w:rsidR="00F51FD0" w:rsidRPr="00884FAA">
        <w:t>around relative need.</w:t>
      </w:r>
    </w:p>
    <w:p w14:paraId="19178BB7" w14:textId="3970970A" w:rsidR="00B43DF5" w:rsidRDefault="00B43DF5" w:rsidP="00E41792">
      <w:pPr>
        <w:spacing w:before="120" w:after="120" w:line="280" w:lineRule="exact"/>
      </w:pPr>
      <w:r w:rsidRPr="00884FAA">
        <w:t xml:space="preserve">The centralised nature of IAHP commissioning </w:t>
      </w:r>
      <w:r w:rsidR="00522E47" w:rsidRPr="00884FAA">
        <w:t xml:space="preserve">processes </w:t>
      </w:r>
      <w:r w:rsidRPr="00884FAA">
        <w:t>was also raised by some participants as a</w:t>
      </w:r>
      <w:r w:rsidR="00522E47" w:rsidRPr="00884FAA">
        <w:t xml:space="preserve">n opportunity for improvement. </w:t>
      </w:r>
      <w:r w:rsidRPr="00884FAA">
        <w:t xml:space="preserve">Some ACCHS managers reported </w:t>
      </w:r>
      <w:r w:rsidR="005B1410" w:rsidRPr="00884FAA">
        <w:t xml:space="preserve">that the </w:t>
      </w:r>
      <w:r w:rsidRPr="00884FAA">
        <w:t>increased centralisation since the DSS became involved in the grant management process</w:t>
      </w:r>
      <w:r w:rsidR="005B1410" w:rsidRPr="00884FAA">
        <w:t xml:space="preserve"> contributed to a </w:t>
      </w:r>
      <w:r w:rsidRPr="00884FAA">
        <w:t xml:space="preserve">loss in the relationship between funded organisations and the state and territory-based </w:t>
      </w:r>
      <w:r w:rsidR="00107831">
        <w:t>departmental</w:t>
      </w:r>
      <w:r w:rsidRPr="00884FAA">
        <w:t xml:space="preserve"> staff. This had also contributed to confusion in relationships, with some ACCHSs reporting that they were unsure when to contact the DSS and when to contact the </w:t>
      </w:r>
      <w:r w:rsidR="001B69DA" w:rsidRPr="00884FAA">
        <w:t>Department of Health and Aged Care</w:t>
      </w:r>
      <w:r w:rsidRPr="00884FAA">
        <w:t xml:space="preserve">. ACCHSs wanted to experience more relational commissioning processes, where they are recognised </w:t>
      </w:r>
      <w:r w:rsidR="001B69DA" w:rsidRPr="00884FAA">
        <w:t xml:space="preserve">and valued </w:t>
      </w:r>
      <w:r w:rsidRPr="00884FAA">
        <w:t>as long-term partners rather than simply health service providers.</w:t>
      </w:r>
    </w:p>
    <w:p w14:paraId="57023169" w14:textId="0A2E617D" w:rsidR="00F8288F" w:rsidRDefault="00F8288F">
      <w:pPr>
        <w:jc w:val="left"/>
      </w:pPr>
      <w:r>
        <w:br w:type="page"/>
      </w:r>
    </w:p>
    <w:p w14:paraId="2576B5C6" w14:textId="043DC0FA" w:rsidR="00517CAC" w:rsidRPr="00884FAA" w:rsidRDefault="00D8076C" w:rsidP="0035030F">
      <w:pPr>
        <w:pStyle w:val="Heading2"/>
      </w:pPr>
      <w:bookmarkStart w:id="220" w:name="_Toc137208930"/>
      <w:r w:rsidRPr="00884FAA">
        <w:lastRenderedPageBreak/>
        <w:t xml:space="preserve">Contribution of </w:t>
      </w:r>
      <w:r w:rsidR="00791B71" w:rsidRPr="00884FAA">
        <w:t xml:space="preserve">the </w:t>
      </w:r>
      <w:r w:rsidRPr="00884FAA">
        <w:t xml:space="preserve">IAHP to </w:t>
      </w:r>
      <w:r w:rsidR="00343E46" w:rsidRPr="00884FAA">
        <w:t xml:space="preserve">primary health </w:t>
      </w:r>
      <w:r w:rsidR="00791B71" w:rsidRPr="00884FAA">
        <w:t xml:space="preserve">care </w:t>
      </w:r>
      <w:r w:rsidRPr="00884FAA">
        <w:t>w</w:t>
      </w:r>
      <w:r w:rsidR="00EF0FF7" w:rsidRPr="00884FAA">
        <w:t xml:space="preserve">orkforce </w:t>
      </w:r>
      <w:r w:rsidR="00364EF5" w:rsidRPr="00884FAA">
        <w:t>capacity</w:t>
      </w:r>
      <w:bookmarkEnd w:id="220"/>
    </w:p>
    <w:p w14:paraId="6E8E5B60" w14:textId="61A68611" w:rsidR="00D12CED" w:rsidRPr="00884FAA" w:rsidRDefault="001073DE" w:rsidP="00F01C13">
      <w:r>
        <w:t>The</w:t>
      </w:r>
      <w:r w:rsidRPr="00884FAA">
        <w:t xml:space="preserve"> </w:t>
      </w:r>
      <w:r w:rsidR="00B00DAF" w:rsidRPr="00884FAA">
        <w:t xml:space="preserve">evaluation has </w:t>
      </w:r>
      <w:r w:rsidR="006C3146" w:rsidRPr="00884FAA">
        <w:t xml:space="preserve">previously </w:t>
      </w:r>
      <w:r w:rsidR="00B00DAF" w:rsidRPr="00884FAA">
        <w:t>reported that Aboriginal and Torres Strait Islander health services</w:t>
      </w:r>
      <w:r w:rsidR="009A538A" w:rsidRPr="00884FAA">
        <w:t xml:space="preserve"> face workforce shortage and distribution challenges </w:t>
      </w:r>
      <w:r w:rsidR="00E126D4" w:rsidRPr="00884FAA">
        <w:t xml:space="preserve">that are </w:t>
      </w:r>
      <w:r w:rsidR="009A538A" w:rsidRPr="00884FAA">
        <w:t>experienced across the Australian health system</w:t>
      </w:r>
      <w:r w:rsidR="00AD6156" w:rsidRPr="00884FAA">
        <w:t xml:space="preserve"> </w:t>
      </w:r>
      <w:r w:rsidR="004A48C9" w:rsidRPr="00884FAA">
        <w:fldChar w:fldCharType="begin"/>
      </w:r>
      <w:r w:rsidR="00F8760E">
        <w:instrText xml:space="preserve"> ADDIN ZOTERO_ITEM CSL_CITATION {"citationID":"QMGKx8BR","properties":{"formattedCitation":"(Bainbridge et al., 2021)","plainCitation":"(Bainbridge et al., 2021)","noteIndex":0},"citationItems":[{"id":3757,"uris":["http://zotero.org/groups/5010721/items/J5SKD3Y5",["http://zotero.org/groups/5010721/items/J5SKD3Y5"],["http://zotero.org/groups/5010721/items/J5SKD3Y5",["http://zotero.org/groups/5010721/items/J5SKD3Y5"]]],"itemData":{"id":3757,"type":"report","event-place":"Wellington and Melbourne","genre":"Interim report","publisher":"Allen + Clarke, Central Queensland University and Monaghan Dreaming","publisher-place":"Wellington and Melbourne","title":"Evaluation of the Australian Government's investment in Aboriginal and Torres Strait Islander primary health care through the Indigenous Australian' Health Programme: Cycle 1 Interim Evaluation Report","author":[{"family":"Bainbridge","given":"Roxanne"},{"family":"Hardie-Boys","given":"Ned"},{"family":"Langham","given":"Eirka"},{"family":"Bailey","given":"Robyn"}],"issued":{"date-parts":[["2021"]]}}}],"schema":"https://github.com/citation-style-language/schema/raw/master/csl-citation.json"} </w:instrText>
      </w:r>
      <w:r w:rsidR="004A48C9" w:rsidRPr="00884FAA">
        <w:fldChar w:fldCharType="separate"/>
      </w:r>
      <w:r w:rsidR="00511A06" w:rsidRPr="00511A06">
        <w:rPr>
          <w:rFonts w:ascii="Arial" w:hAnsi="Arial" w:cs="Arial"/>
        </w:rPr>
        <w:t>(Bainbridge et al., 2021)</w:t>
      </w:r>
      <w:r w:rsidR="004A48C9" w:rsidRPr="00884FAA">
        <w:fldChar w:fldCharType="end"/>
      </w:r>
      <w:r w:rsidR="009A538A" w:rsidRPr="00884FAA">
        <w:t xml:space="preserve">. </w:t>
      </w:r>
      <w:r w:rsidR="00BD625A" w:rsidRPr="00884FAA">
        <w:t>These challenges remain</w:t>
      </w:r>
      <w:r w:rsidR="00B54943" w:rsidRPr="00884FAA">
        <w:t xml:space="preserve"> and</w:t>
      </w:r>
      <w:r w:rsidR="00291BF1" w:rsidRPr="00884FAA">
        <w:t>, in many cases, have been</w:t>
      </w:r>
      <w:r w:rsidR="00291BF1" w:rsidRPr="00884FAA" w:rsidDel="002F5255">
        <w:t xml:space="preserve"> </w:t>
      </w:r>
      <w:r w:rsidR="002F5255" w:rsidRPr="00884FAA">
        <w:t xml:space="preserve">exacerbated </w:t>
      </w:r>
      <w:r w:rsidR="00433E9A" w:rsidRPr="00884FAA">
        <w:t xml:space="preserve">over 3-years of the </w:t>
      </w:r>
      <w:r w:rsidR="00291BF1" w:rsidRPr="00884FAA">
        <w:t>COVID-19</w:t>
      </w:r>
      <w:r w:rsidR="00B54943" w:rsidRPr="00884FAA">
        <w:t xml:space="preserve"> </w:t>
      </w:r>
      <w:r w:rsidR="00433E9A" w:rsidRPr="00884FAA">
        <w:t>pandemic</w:t>
      </w:r>
      <w:r w:rsidR="006165F1" w:rsidRPr="00884FAA">
        <w:t xml:space="preserve">. </w:t>
      </w:r>
      <w:r w:rsidR="00F964DC" w:rsidRPr="00884FAA">
        <w:t xml:space="preserve">The IAHP’s </w:t>
      </w:r>
      <w:r w:rsidR="00411A7B" w:rsidRPr="00884FAA">
        <w:t xml:space="preserve">potential </w:t>
      </w:r>
      <w:r w:rsidR="00F964DC" w:rsidRPr="00884FAA">
        <w:t xml:space="preserve">contribution to workforce capacity </w:t>
      </w:r>
      <w:r w:rsidR="00411A7B" w:rsidRPr="00884FAA">
        <w:t xml:space="preserve">must be </w:t>
      </w:r>
      <w:r w:rsidR="00D12CED" w:rsidRPr="00884FAA">
        <w:t>seen within this context.</w:t>
      </w:r>
    </w:p>
    <w:p w14:paraId="2DD04542" w14:textId="245B29E8" w:rsidR="00F01C13" w:rsidRPr="00A1178E" w:rsidRDefault="00D12CED" w:rsidP="00A05B28">
      <w:pPr>
        <w:pStyle w:val="Quote"/>
        <w:spacing w:before="240" w:after="0"/>
        <w:rPr>
          <w:color w:val="18525E" w:themeColor="accent5" w:themeShade="80"/>
        </w:rPr>
      </w:pPr>
      <w:r w:rsidRPr="00A1178E">
        <w:rPr>
          <w:color w:val="18525E" w:themeColor="accent5" w:themeShade="80"/>
        </w:rPr>
        <w:t>So, on our organisation chart, we kind of identify which positions IAHP has funded for, so all the costs that are associated with a position – travel, training, computers, vehicles etc.</w:t>
      </w:r>
    </w:p>
    <w:p w14:paraId="7C8DA597" w14:textId="77777777" w:rsidR="00DE3563" w:rsidRDefault="008A418C" w:rsidP="00362B01">
      <w:pPr>
        <w:spacing w:before="120"/>
        <w:jc w:val="right"/>
        <w:rPr>
          <w:b/>
          <w:bCs/>
        </w:rPr>
      </w:pPr>
      <w:r>
        <w:rPr>
          <w:b/>
          <w:bCs/>
        </w:rPr>
        <w:t>State or territory g</w:t>
      </w:r>
      <w:r w:rsidR="00AD237D" w:rsidRPr="00A05B28">
        <w:rPr>
          <w:b/>
          <w:bCs/>
        </w:rPr>
        <w:t>overnment clinic, Remote location</w:t>
      </w:r>
    </w:p>
    <w:p w14:paraId="47DBB3A5" w14:textId="77777777" w:rsidR="005D7FA0" w:rsidRDefault="00DE3563" w:rsidP="00DE3563">
      <w:r>
        <w:t>Th</w:t>
      </w:r>
      <w:r w:rsidR="002338B6">
        <w:t>e health workforce quantitative data reported in this section primarily came from two sources:</w:t>
      </w:r>
      <w:r w:rsidR="00186564">
        <w:t xml:space="preserve"> </w:t>
      </w:r>
      <w:r w:rsidR="00186564" w:rsidRPr="00186564">
        <w:t xml:space="preserve">National Health Workforce Dataset and OSR. Data was obtained from 2013 to 2020 by site and by </w:t>
      </w:r>
      <w:r w:rsidR="00993326" w:rsidRPr="00884FAA">
        <w:t xml:space="preserve">Statistical Area 3 </w:t>
      </w:r>
      <w:r w:rsidR="00DB5C45">
        <w:t>(</w:t>
      </w:r>
      <w:r w:rsidR="00186564" w:rsidRPr="00186564">
        <w:t>SA3</w:t>
      </w:r>
      <w:r w:rsidR="00DB5C45">
        <w:t>)</w:t>
      </w:r>
      <w:r w:rsidR="00186564" w:rsidRPr="00186564">
        <w:t xml:space="preserve">. </w:t>
      </w:r>
    </w:p>
    <w:p w14:paraId="3BA9FE67" w14:textId="44F93CCA" w:rsidR="006F3C49" w:rsidRDefault="0080307F" w:rsidP="00DE3563">
      <w:r>
        <w:t xml:space="preserve">Data from the National </w:t>
      </w:r>
      <w:r w:rsidR="00186564" w:rsidRPr="00186564">
        <w:t>Health Workforce Data</w:t>
      </w:r>
      <w:r>
        <w:t>set</w:t>
      </w:r>
      <w:r w:rsidR="00186564" w:rsidRPr="00186564">
        <w:t xml:space="preserve"> included details of health care staff working throughout Australia in a range of settings including Aboriginal health organisations, hospitals, and private practice. After excluding staff who were not working in their profession in Australia</w:t>
      </w:r>
      <w:r w:rsidR="00657DE4">
        <w:t xml:space="preserve"> (</w:t>
      </w:r>
      <w:r w:rsidR="007C1D7C">
        <w:t xml:space="preserve">but </w:t>
      </w:r>
      <w:r w:rsidR="002A5BB5" w:rsidRPr="001B3240">
        <w:t>retain</w:t>
      </w:r>
      <w:r w:rsidR="007C1D7C">
        <w:t>ing</w:t>
      </w:r>
      <w:r w:rsidR="002A5BB5" w:rsidRPr="001B3240">
        <w:t xml:space="preserve"> those listed as on leave for 3 months or more and those with unknown work status/non-respondent</w:t>
      </w:r>
      <w:r w:rsidR="00657DE4">
        <w:t>)</w:t>
      </w:r>
      <w:r w:rsidR="007C1D7C">
        <w:t>,</w:t>
      </w:r>
      <w:r w:rsidR="002A5BB5" w:rsidRPr="00186564">
        <w:t xml:space="preserve"> </w:t>
      </w:r>
      <w:r w:rsidR="00186564" w:rsidRPr="00186564">
        <w:t>a trend analysis of staff by age group, sex, Indigenous status (both those born in Australia and those born overseas) and profession was undertaken at the SA3 level.</w:t>
      </w:r>
    </w:p>
    <w:p w14:paraId="0A68E6A6" w14:textId="62B10216" w:rsidR="00AD237D" w:rsidRPr="00A05B28" w:rsidRDefault="00186564" w:rsidP="00DE3563">
      <w:r w:rsidRPr="00186564">
        <w:t>OSR data was obtained from organisations receiving IAHP funding by site. OSR data included total counts of paid staff, unpaid staff, and vacant positions. Publicly available OSR data by state and territory was also downloaded as the publicly available data included an additional year of data.</w:t>
      </w:r>
    </w:p>
    <w:p w14:paraId="365C8898" w14:textId="44849837" w:rsidR="004B6274" w:rsidRPr="00884FAA" w:rsidRDefault="004B6274" w:rsidP="00651D06">
      <w:pPr>
        <w:pStyle w:val="Heading3"/>
      </w:pPr>
      <w:r w:rsidRPr="00884FAA">
        <w:t>Workforce has increased but remains a substantial challenge</w:t>
      </w:r>
    </w:p>
    <w:bookmarkEnd w:id="213"/>
    <w:bookmarkEnd w:id="214"/>
    <w:p w14:paraId="15DAEBE1" w14:textId="3781F8D9" w:rsidR="000E6076" w:rsidRPr="00884FAA" w:rsidRDefault="00163FA7" w:rsidP="000E6076">
      <w:r>
        <w:t>There are a</w:t>
      </w:r>
      <w:r w:rsidR="000E6076" w:rsidRPr="00884FAA">
        <w:t xml:space="preserve"> range of workforce challenges for the delivery of </w:t>
      </w:r>
      <w:r w:rsidR="003279C5">
        <w:t>PHC</w:t>
      </w:r>
      <w:r w:rsidR="000E6076" w:rsidRPr="00884FAA">
        <w:t xml:space="preserve"> to Aboriginal and Torres Strait Islander people across urban, regional</w:t>
      </w:r>
      <w:r w:rsidR="006D7407" w:rsidRPr="00884FAA">
        <w:t>,</w:t>
      </w:r>
      <w:r w:rsidR="000E6076" w:rsidRPr="00884FAA">
        <w:t xml:space="preserve"> and remote locations. Health service managers highlighted shortages, retention</w:t>
      </w:r>
      <w:r w:rsidR="004A4039" w:rsidRPr="00884FAA">
        <w:t>,</w:t>
      </w:r>
      <w:r w:rsidR="000E6076" w:rsidRPr="00884FAA">
        <w:t xml:space="preserve"> and ageing workforce as issues that create workforce challenges. </w:t>
      </w:r>
      <w:r w:rsidR="003B75A3" w:rsidRPr="00884FAA">
        <w:t xml:space="preserve">Workforce challenges in some areas, for example </w:t>
      </w:r>
      <w:r w:rsidR="00ED65CF" w:rsidRPr="00884FAA">
        <w:t xml:space="preserve">in the remote NT sites, were </w:t>
      </w:r>
      <w:r w:rsidR="003419B3" w:rsidRPr="00884FAA">
        <w:t xml:space="preserve">reported to be </w:t>
      </w:r>
      <w:r w:rsidR="00012AA7" w:rsidRPr="00884FAA">
        <w:t>particularly acute</w:t>
      </w:r>
      <w:r w:rsidR="009215B0" w:rsidRPr="00884FAA">
        <w:t>. The evaluation observed d</w:t>
      </w:r>
      <w:r w:rsidR="006D24C2" w:rsidRPr="00884FAA">
        <w:t xml:space="preserve">isruption to primary care services in some communities with </w:t>
      </w:r>
      <w:r w:rsidR="00101A03" w:rsidRPr="00884FAA">
        <w:t>clinic closures and part-time opening hours</w:t>
      </w:r>
      <w:r w:rsidR="004B39EB" w:rsidRPr="00884FAA">
        <w:t xml:space="preserve"> to </w:t>
      </w:r>
      <w:r w:rsidR="00A61E36" w:rsidRPr="00884FAA">
        <w:t>manage workforce shortages.</w:t>
      </w:r>
      <w:r w:rsidR="006816D0" w:rsidRPr="00884FAA">
        <w:t xml:space="preserve"> This is discussed further below. </w:t>
      </w:r>
    </w:p>
    <w:p w14:paraId="7B88D204" w14:textId="296B3356" w:rsidR="00F02C7A" w:rsidRPr="00884FAA" w:rsidRDefault="005658BB" w:rsidP="00F02C7A">
      <w:r w:rsidRPr="00884FAA">
        <w:t>Workforce data</w:t>
      </w:r>
      <w:r w:rsidR="00A25562" w:rsidRPr="00884FAA">
        <w:t xml:space="preserve"> indicates that there </w:t>
      </w:r>
      <w:r w:rsidR="00C9584A" w:rsidRPr="00884FAA">
        <w:t>was a</w:t>
      </w:r>
      <w:r w:rsidR="0002576F">
        <w:t>n</w:t>
      </w:r>
      <w:r w:rsidR="00015C3C" w:rsidRPr="00884FAA">
        <w:t xml:space="preserve"> increase in the number </w:t>
      </w:r>
      <w:r w:rsidR="00615D9A" w:rsidRPr="00884FAA">
        <w:t>of staff in IAHP funded organisations</w:t>
      </w:r>
      <w:r w:rsidR="00C953F1" w:rsidRPr="00884FAA">
        <w:t xml:space="preserve"> </w:t>
      </w:r>
      <w:r w:rsidR="00986E49" w:rsidRPr="00884FAA">
        <w:t>from 7,359 FTE in 2014-15 to 8,</w:t>
      </w:r>
      <w:r w:rsidR="0010234E">
        <w:t>831</w:t>
      </w:r>
      <w:r w:rsidR="00986E49" w:rsidRPr="00884FAA">
        <w:t xml:space="preserve"> FTE in 202</w:t>
      </w:r>
      <w:r w:rsidR="002139E5">
        <w:t>1</w:t>
      </w:r>
      <w:r w:rsidR="00986E49" w:rsidRPr="00884FAA">
        <w:t>-2</w:t>
      </w:r>
      <w:r w:rsidR="002139E5">
        <w:t>2</w:t>
      </w:r>
      <w:r w:rsidR="00215690" w:rsidRPr="00884FAA">
        <w:t xml:space="preserve">. This is a national </w:t>
      </w:r>
      <w:r w:rsidR="000E6076" w:rsidRPr="00884FAA">
        <w:t xml:space="preserve">workforce </w:t>
      </w:r>
      <w:r w:rsidR="00215690" w:rsidRPr="00884FAA">
        <w:lastRenderedPageBreak/>
        <w:t xml:space="preserve">increase of </w:t>
      </w:r>
      <w:r w:rsidR="001F151F">
        <w:t>20</w:t>
      </w:r>
      <w:r w:rsidR="007F406B" w:rsidRPr="00884FAA">
        <w:t>%</w:t>
      </w:r>
      <w:r w:rsidR="00CA77F3" w:rsidRPr="00884FAA">
        <w:t>.</w:t>
      </w:r>
      <w:r w:rsidR="00CA77F3" w:rsidRPr="005D1C41">
        <w:rPr>
          <w:rStyle w:val="FootnoteReference"/>
        </w:rPr>
        <w:footnoteReference w:id="52"/>
      </w:r>
      <w:r w:rsidR="00215690" w:rsidRPr="00884FAA">
        <w:t xml:space="preserve"> Over the same period, </w:t>
      </w:r>
      <w:r w:rsidR="00806C5D" w:rsidRPr="00884FAA">
        <w:t>IAHP expenditure increased by 44%</w:t>
      </w:r>
      <w:r w:rsidR="002127E7" w:rsidRPr="00884FAA">
        <w:t xml:space="preserve">, while episodes of care </w:t>
      </w:r>
      <w:r w:rsidR="009B3A91" w:rsidRPr="00884FAA">
        <w:t>remained stable (decreasing by 0.4%)</w:t>
      </w:r>
      <w:r w:rsidR="002127E7" w:rsidRPr="00884FAA">
        <w:t>.</w:t>
      </w:r>
      <w:r w:rsidR="00873833" w:rsidRPr="00884FAA">
        <w:t xml:space="preserve"> </w:t>
      </w:r>
    </w:p>
    <w:p w14:paraId="47B5117F" w14:textId="605643F8" w:rsidR="004246B2" w:rsidRPr="00884FAA" w:rsidRDefault="000F2CB4" w:rsidP="00150D78">
      <w:pPr>
        <w:pStyle w:val="Heading6"/>
        <w:numPr>
          <w:ilvl w:val="0"/>
          <w:numId w:val="0"/>
        </w:numPr>
        <w:ind w:left="1152" w:hanging="1152"/>
        <w:rPr>
          <w:lang w:val="en-AU"/>
        </w:rPr>
      </w:pPr>
      <w:r>
        <w:rPr>
          <w:lang w:val="en-AU"/>
        </w:rPr>
        <w:t xml:space="preserve">Workforce </w:t>
      </w:r>
      <w:r w:rsidR="004B665C">
        <w:rPr>
          <w:lang w:val="en-AU"/>
        </w:rPr>
        <w:t>v</w:t>
      </w:r>
      <w:r w:rsidR="004246B2" w:rsidRPr="00884FAA">
        <w:rPr>
          <w:lang w:val="en-AU"/>
        </w:rPr>
        <w:t>acancies</w:t>
      </w:r>
    </w:p>
    <w:p w14:paraId="20A8CF99" w14:textId="4107E63A" w:rsidR="004C3859" w:rsidRPr="00884FAA" w:rsidRDefault="00014786" w:rsidP="00014786">
      <w:r w:rsidRPr="00884FAA">
        <w:t>Many ACCHS staff spoke about challenges in filling vacancies, including the maldistribution of the health workforce across Australia which presented particular challenges for services in regional and remote locations. Participants reported on the challenges attracting permanent staff to remote locations, particularly when they had to compete with</w:t>
      </w:r>
      <w:r w:rsidR="00CE0DC9" w:rsidRPr="00884FAA">
        <w:t xml:space="preserve"> generous</w:t>
      </w:r>
      <w:r w:rsidRPr="00884FAA">
        <w:t xml:space="preserve"> terms and conditions offered to fly-in/fly-out staff (</w:t>
      </w:r>
      <w:r w:rsidR="0089483A" w:rsidRPr="00884FAA">
        <w:t>for example,</w:t>
      </w:r>
      <w:r w:rsidRPr="00884FAA">
        <w:t xml:space="preserve"> salaries</w:t>
      </w:r>
      <w:r w:rsidR="0089483A" w:rsidRPr="00884FAA">
        <w:t xml:space="preserve">, </w:t>
      </w:r>
      <w:r w:rsidRPr="00884FAA">
        <w:t>travel</w:t>
      </w:r>
      <w:r w:rsidR="0089483A" w:rsidRPr="00884FAA">
        <w:t>,</w:t>
      </w:r>
      <w:r w:rsidRPr="00884FAA">
        <w:t xml:space="preserve"> and associated costs). </w:t>
      </w:r>
    </w:p>
    <w:p w14:paraId="3C074231" w14:textId="6149B4BC" w:rsidR="00014786" w:rsidRPr="00884FAA" w:rsidRDefault="00014786" w:rsidP="00014786">
      <w:r w:rsidRPr="00884FAA">
        <w:t>The availability of suitable housing was also a common barrier reported in regional and remote sites. Vacancies in some areas, such as the remote NT, had reportedly been impacted by the pandemic when a significant number of health service staff departed to return to families living elsewhere</w:t>
      </w:r>
      <w:r w:rsidR="00E83950" w:rsidRPr="00884FAA">
        <w:t xml:space="preserve"> in Australia or internationally</w:t>
      </w:r>
      <w:r w:rsidRPr="00884FAA">
        <w:t>.</w:t>
      </w:r>
      <w:r w:rsidR="00AA35E2">
        <w:t xml:space="preserve"> </w:t>
      </w:r>
    </w:p>
    <w:p w14:paraId="596CF3B3" w14:textId="1821F7A0" w:rsidR="00834562" w:rsidRPr="00884FAA" w:rsidRDefault="0092586C" w:rsidP="002052A4">
      <w:r w:rsidRPr="00884FAA">
        <w:t>D</w:t>
      </w:r>
      <w:r w:rsidR="0041275C" w:rsidRPr="00884FAA">
        <w:t xml:space="preserve">ata confirms the </w:t>
      </w:r>
      <w:r w:rsidR="004F086D" w:rsidRPr="00884FAA">
        <w:t xml:space="preserve">growth in the number of </w:t>
      </w:r>
      <w:r w:rsidR="00795A31" w:rsidRPr="00884FAA">
        <w:t xml:space="preserve">staff vacancies </w:t>
      </w:r>
      <w:r w:rsidR="004F086D" w:rsidRPr="00884FAA">
        <w:t xml:space="preserve">across </w:t>
      </w:r>
      <w:r w:rsidR="00795A31" w:rsidRPr="00884FAA">
        <w:t xml:space="preserve">IAHP funded organisations. </w:t>
      </w:r>
      <w:r w:rsidR="00E90438" w:rsidRPr="00884FAA">
        <w:t xml:space="preserve">Across all IAHP funded organisations in the </w:t>
      </w:r>
      <w:r w:rsidR="00546D07" w:rsidRPr="00884FAA">
        <w:t xml:space="preserve">evaluation sites, vacant </w:t>
      </w:r>
      <w:r w:rsidR="00777DF7" w:rsidRPr="00884FAA">
        <w:t xml:space="preserve">health </w:t>
      </w:r>
      <w:r w:rsidR="00546D07" w:rsidRPr="00884FAA">
        <w:t xml:space="preserve">positions </w:t>
      </w:r>
      <w:r w:rsidR="006B0414" w:rsidRPr="00884FAA">
        <w:t>i</w:t>
      </w:r>
      <w:r w:rsidR="002052A4" w:rsidRPr="00884FAA">
        <w:t>ncreased from 36.8 FTE in 2015 to 90.4 FTE in 2020</w:t>
      </w:r>
      <w:r w:rsidR="00A91361" w:rsidRPr="00884FAA">
        <w:t>.</w:t>
      </w:r>
      <w:r w:rsidRPr="00884FAA">
        <w:t xml:space="preserve"> </w:t>
      </w:r>
      <w:r w:rsidR="00DC08F4" w:rsidRPr="00884FAA">
        <w:t>Vacant posit</w:t>
      </w:r>
      <w:r w:rsidR="00EA4642" w:rsidRPr="00884FAA">
        <w:t>i</w:t>
      </w:r>
      <w:r w:rsidR="00DC08F4" w:rsidRPr="00884FAA">
        <w:t xml:space="preserve">ons for </w:t>
      </w:r>
      <w:r w:rsidR="002052A4" w:rsidRPr="00884FAA">
        <w:t>other staff</w:t>
      </w:r>
      <w:r w:rsidR="00B95ADC" w:rsidRPr="00884FAA">
        <w:t xml:space="preserve"> increased</w:t>
      </w:r>
      <w:r w:rsidR="002052A4" w:rsidRPr="00884FAA">
        <w:t xml:space="preserve"> from 6 FTE in 2015 to 46.6 FTE in 2020.</w:t>
      </w:r>
      <w:r w:rsidR="00CE7838" w:rsidRPr="005D1C41">
        <w:rPr>
          <w:rStyle w:val="FootnoteReference"/>
        </w:rPr>
        <w:footnoteReference w:id="53"/>
      </w:r>
      <w:r w:rsidR="00582B82" w:rsidRPr="00884FAA">
        <w:rPr>
          <w:rFonts w:ascii="Helvetica" w:hAnsi="Helvetica" w:cs="Helvetica"/>
          <w:color w:val="333333"/>
          <w:sz w:val="21"/>
          <w:szCs w:val="21"/>
          <w:shd w:val="clear" w:color="auto" w:fill="FFFFFF"/>
        </w:rPr>
        <w:t xml:space="preserve"> </w:t>
      </w:r>
      <w:r w:rsidR="002603F1" w:rsidRPr="00884FAA">
        <w:t xml:space="preserve">Over half of this increase in vacant positions, for both </w:t>
      </w:r>
      <w:r w:rsidR="00E57B93" w:rsidRPr="00884FAA">
        <w:t>health po</w:t>
      </w:r>
      <w:r w:rsidR="0098550C" w:rsidRPr="00884FAA">
        <w:t>sitions and other positions, occurred in the las</w:t>
      </w:r>
      <w:r w:rsidR="00ED389A" w:rsidRPr="00884FAA">
        <w:t>t</w:t>
      </w:r>
      <w:r w:rsidR="0098550C" w:rsidRPr="00884FAA">
        <w:t xml:space="preserve"> year (</w:t>
      </w:r>
      <w:r w:rsidR="007318EB" w:rsidRPr="00884FAA">
        <w:t>2018-19 to 2019-20)</w:t>
      </w:r>
      <w:r w:rsidR="00F20575" w:rsidRPr="00884FAA">
        <w:t xml:space="preserve">. </w:t>
      </w:r>
      <w:r w:rsidR="007E4E99" w:rsidRPr="00884FAA">
        <w:t>Further, one site</w:t>
      </w:r>
      <w:r w:rsidR="00EB5D93" w:rsidRPr="00884FAA">
        <w:t xml:space="preserve"> </w:t>
      </w:r>
      <w:r w:rsidR="002350DB" w:rsidRPr="00884FAA">
        <w:t>(remote NT)</w:t>
      </w:r>
      <w:r w:rsidR="00EB5D93" w:rsidRPr="00884FAA">
        <w:t xml:space="preserve"> alone accounted for over half of this </w:t>
      </w:r>
      <w:r w:rsidR="00474326" w:rsidRPr="00884FAA">
        <w:t>increase in</w:t>
      </w:r>
      <w:r w:rsidR="003E3B1D" w:rsidRPr="00884FAA">
        <w:t xml:space="preserve"> vacancies over</w:t>
      </w:r>
      <w:r w:rsidR="00474326" w:rsidRPr="00884FAA">
        <w:t xml:space="preserve"> the last year</w:t>
      </w:r>
      <w:r w:rsidR="00E75634" w:rsidRPr="00884FAA">
        <w:t>.</w:t>
      </w:r>
      <w:r w:rsidR="00443336" w:rsidRPr="00884FAA">
        <w:t xml:space="preserve"> In the same period, </w:t>
      </w:r>
      <w:r w:rsidR="008E5068" w:rsidRPr="00884FAA">
        <w:t>the filled positions in evaluation site</w:t>
      </w:r>
      <w:r w:rsidR="00924B35">
        <w:t>s</w:t>
      </w:r>
      <w:r w:rsidR="008E5068" w:rsidRPr="00884FAA">
        <w:t xml:space="preserve"> also</w:t>
      </w:r>
      <w:r w:rsidR="001B6CC5" w:rsidRPr="00884FAA">
        <w:t xml:space="preserve"> increased. This may suggest that the </w:t>
      </w:r>
      <w:r w:rsidR="00355460" w:rsidRPr="00884FAA">
        <w:t>vacant positions were new posi</w:t>
      </w:r>
      <w:r w:rsidR="00D4592C" w:rsidRPr="00884FAA">
        <w:t>tions (and possibly related to COVID-19).</w:t>
      </w:r>
      <w:r w:rsidR="00355460" w:rsidRPr="00884FAA">
        <w:t xml:space="preserve"> </w:t>
      </w:r>
    </w:p>
    <w:p w14:paraId="689B1E4F" w14:textId="285ED70E" w:rsidR="00765986" w:rsidRPr="00884FAA" w:rsidRDefault="00582B82" w:rsidP="002052A4">
      <w:r w:rsidRPr="00884FAA">
        <w:t>In 2014-15, for every vacant health position, 21 positions were filled. In 2019-20, the equivalent ratio was 12 positions filled per vacant position.</w:t>
      </w:r>
      <w:r w:rsidR="00CD0CD1" w:rsidRPr="00884FAA">
        <w:t xml:space="preserve"> </w:t>
      </w:r>
    </w:p>
    <w:p w14:paraId="2DD06DB2" w14:textId="150640E9" w:rsidR="002052A4" w:rsidRPr="00884FAA" w:rsidRDefault="00B057D0" w:rsidP="002052A4">
      <w:r w:rsidRPr="00884FAA">
        <w:t xml:space="preserve">Data also confirms the </w:t>
      </w:r>
      <w:r w:rsidR="00652187" w:rsidRPr="00884FAA">
        <w:t xml:space="preserve">particular impact of workforce vacancies within the NT. </w:t>
      </w:r>
      <w:r w:rsidR="00CD0CD1" w:rsidRPr="00884FAA">
        <w:t>National</w:t>
      </w:r>
      <w:r w:rsidR="00765986" w:rsidRPr="00884FAA">
        <w:t>ly</w:t>
      </w:r>
      <w:r w:rsidR="00CD0CD1" w:rsidRPr="00884FAA">
        <w:t xml:space="preserve">, </w:t>
      </w:r>
      <w:r w:rsidR="00F47655" w:rsidRPr="00884FAA">
        <w:t xml:space="preserve">at 30 June 2022, </w:t>
      </w:r>
      <w:r w:rsidR="007F142F" w:rsidRPr="00884FAA">
        <w:t xml:space="preserve">the AIHW </w:t>
      </w:r>
      <w:r w:rsidR="004D3426" w:rsidRPr="00884FAA">
        <w:t>report</w:t>
      </w:r>
      <w:r w:rsidR="00F47655" w:rsidRPr="00884FAA">
        <w:t>ed</w:t>
      </w:r>
      <w:r w:rsidR="004D3426" w:rsidRPr="00884FAA">
        <w:t xml:space="preserve"> </w:t>
      </w:r>
      <w:r w:rsidR="00FC0FAC" w:rsidRPr="00884FAA">
        <w:t xml:space="preserve">780 vacant </w:t>
      </w:r>
      <w:r w:rsidR="007167BB" w:rsidRPr="00884FAA">
        <w:t xml:space="preserve">FTE positions </w:t>
      </w:r>
      <w:r w:rsidR="000238B1" w:rsidRPr="00884FAA">
        <w:t>in IAHP funded organisations</w:t>
      </w:r>
      <w:r w:rsidR="00875E28" w:rsidRPr="00884FAA">
        <w:t>.</w:t>
      </w:r>
      <w:r w:rsidR="0027196E" w:rsidRPr="005D1C41">
        <w:rPr>
          <w:rStyle w:val="FootnoteReference"/>
        </w:rPr>
        <w:footnoteReference w:id="54"/>
      </w:r>
      <w:r w:rsidR="00173632" w:rsidRPr="00884FAA">
        <w:t xml:space="preserve"> </w:t>
      </w:r>
      <w:r w:rsidR="00760DC8" w:rsidRPr="00884FAA">
        <w:t>One</w:t>
      </w:r>
      <w:r w:rsidR="003366B9" w:rsidRPr="00884FAA">
        <w:t>-</w:t>
      </w:r>
      <w:r w:rsidR="00173632" w:rsidRPr="00884FAA">
        <w:t xml:space="preserve">third (34%) of these vacancies were in the NT, </w:t>
      </w:r>
      <w:r w:rsidR="00BA095B" w:rsidRPr="00884FAA">
        <w:t>a</w:t>
      </w:r>
      <w:r w:rsidR="00CC2912" w:rsidRPr="00884FAA">
        <w:t xml:space="preserve">lmost </w:t>
      </w:r>
      <w:r w:rsidR="00760DC8" w:rsidRPr="00884FAA">
        <w:t>one</w:t>
      </w:r>
      <w:r w:rsidR="003366B9" w:rsidRPr="00884FAA">
        <w:t>-</w:t>
      </w:r>
      <w:r w:rsidR="00760DC8" w:rsidRPr="00884FAA">
        <w:t>thir</w:t>
      </w:r>
      <w:r w:rsidR="003366B9" w:rsidRPr="00884FAA">
        <w:t>d</w:t>
      </w:r>
      <w:r w:rsidR="008E3B69" w:rsidRPr="00884FAA">
        <w:t xml:space="preserve"> (29%) w</w:t>
      </w:r>
      <w:r w:rsidR="007F1EF1" w:rsidRPr="00884FAA">
        <w:t>ere in very remote areas, and the majority (87%) were in ACCHSs.</w:t>
      </w:r>
      <w:r w:rsidR="00EE3AC9" w:rsidRPr="00884FAA">
        <w:t xml:space="preserve"> The number of vacant positions had </w:t>
      </w:r>
      <w:r w:rsidR="00330CCE" w:rsidRPr="00884FAA">
        <w:t xml:space="preserve">almost doubled from </w:t>
      </w:r>
      <w:r w:rsidR="00200BCF" w:rsidRPr="00884FAA">
        <w:t>408</w:t>
      </w:r>
      <w:r w:rsidR="006F3049" w:rsidRPr="00884FAA">
        <w:t xml:space="preserve"> FTE in </w:t>
      </w:r>
      <w:r w:rsidR="00D17058" w:rsidRPr="00884FAA">
        <w:t>2019-</w:t>
      </w:r>
      <w:r w:rsidR="004249C2" w:rsidRPr="00884FAA">
        <w:t xml:space="preserve">20 to 780 in </w:t>
      </w:r>
      <w:r w:rsidR="004A1ED2" w:rsidRPr="00884FAA">
        <w:t>20</w:t>
      </w:r>
      <w:r w:rsidR="009F5208" w:rsidRPr="00884FAA">
        <w:t>21-22</w:t>
      </w:r>
      <w:r w:rsidR="0027196E" w:rsidRPr="00884FAA">
        <w:t>.</w:t>
      </w:r>
    </w:p>
    <w:p w14:paraId="7ADB0572" w14:textId="77777777" w:rsidR="00DA299C" w:rsidRDefault="00DA299C">
      <w:pPr>
        <w:jc w:val="left"/>
        <w:rPr>
          <w:rFonts w:cstheme="minorHAnsi"/>
          <w:b/>
          <w:bCs/>
          <w:color w:val="9E6047" w:themeColor="accent3"/>
          <w:sz w:val="24"/>
          <w:szCs w:val="24"/>
        </w:rPr>
      </w:pPr>
      <w:r>
        <w:br w:type="page"/>
      </w:r>
    </w:p>
    <w:p w14:paraId="43FA5274" w14:textId="3BA9C443" w:rsidR="00B47EB0" w:rsidRPr="00884FAA" w:rsidRDefault="00B47EB0" w:rsidP="00150D78">
      <w:pPr>
        <w:pStyle w:val="Heading6"/>
        <w:numPr>
          <w:ilvl w:val="0"/>
          <w:numId w:val="0"/>
        </w:numPr>
        <w:ind w:left="1152" w:hanging="1152"/>
        <w:rPr>
          <w:lang w:val="en-AU"/>
        </w:rPr>
      </w:pPr>
      <w:r w:rsidRPr="00884FAA">
        <w:rPr>
          <w:lang w:val="en-AU"/>
        </w:rPr>
        <w:lastRenderedPageBreak/>
        <w:t>Retention</w:t>
      </w:r>
    </w:p>
    <w:p w14:paraId="2404C662" w14:textId="2C5C5A2D" w:rsidR="006B268A" w:rsidRPr="00884FAA" w:rsidRDefault="006B268A" w:rsidP="006B268A">
      <w:r w:rsidRPr="00884FAA">
        <w:t xml:space="preserve">The challenge </w:t>
      </w:r>
      <w:r w:rsidR="00064401" w:rsidRPr="00884FAA">
        <w:t>of</w:t>
      </w:r>
      <w:r w:rsidRPr="00884FAA">
        <w:t xml:space="preserve"> </w:t>
      </w:r>
      <w:r w:rsidR="003C539E" w:rsidRPr="00884FAA">
        <w:t xml:space="preserve">attracting and </w:t>
      </w:r>
      <w:r w:rsidRPr="00884FAA">
        <w:t xml:space="preserve">retaining </w:t>
      </w:r>
      <w:r w:rsidR="00566B29" w:rsidRPr="00884FAA">
        <w:t>Aboriginal and Torres Strait Islander</w:t>
      </w:r>
      <w:r w:rsidRPr="00884FAA">
        <w:t xml:space="preserve"> clinicians was noted by several ACCHS staff, including those in regional and metropolitan areas. </w:t>
      </w:r>
    </w:p>
    <w:p w14:paraId="663B5100" w14:textId="521EBC6B" w:rsidR="006B268A" w:rsidRPr="00A1178E" w:rsidRDefault="006B268A" w:rsidP="00A05B28">
      <w:pPr>
        <w:pStyle w:val="Quote"/>
        <w:spacing w:after="0"/>
        <w:rPr>
          <w:color w:val="18525E" w:themeColor="accent5" w:themeShade="80"/>
        </w:rPr>
      </w:pPr>
      <w:r w:rsidRPr="00A1178E">
        <w:rPr>
          <w:color w:val="18525E" w:themeColor="accent5" w:themeShade="80"/>
        </w:rPr>
        <w:t>Post-COVID… government agencies pay a lot better than [us] .… We don’t pay overs. The award for Aboriginal health workers isn’t great, so it can be difficult to attract .… So people will come and take up other opportunities because they’ll get paid better essentially. That’s something for [state] Health to really think about how they remunerate people and the Aboriginal health worker award and how we make it attractive.</w:t>
      </w:r>
    </w:p>
    <w:p w14:paraId="6B176037" w14:textId="6BE6B313" w:rsidR="00A4493A" w:rsidRPr="00A05B28" w:rsidRDefault="00A4493A" w:rsidP="00362B01">
      <w:pPr>
        <w:spacing w:before="120"/>
        <w:jc w:val="right"/>
        <w:rPr>
          <w:b/>
          <w:bCs/>
        </w:rPr>
      </w:pPr>
      <w:r w:rsidRPr="00A05B28">
        <w:rPr>
          <w:b/>
          <w:bCs/>
        </w:rPr>
        <w:t xml:space="preserve">ACCHS, Metropolitan location </w:t>
      </w:r>
    </w:p>
    <w:p w14:paraId="0C9F5E12" w14:textId="182A06DA" w:rsidR="006B268A" w:rsidRPr="00884FAA" w:rsidRDefault="00B72E56" w:rsidP="006B268A">
      <w:r>
        <w:t>The</w:t>
      </w:r>
      <w:r w:rsidR="006B268A" w:rsidRPr="00884FAA">
        <w:t xml:space="preserve"> lack of resources available for upskilling and professional development was reported as a barrier to retaining </w:t>
      </w:r>
      <w:r w:rsidR="007F04A5" w:rsidRPr="00884FAA">
        <w:t>clinical</w:t>
      </w:r>
      <w:r w:rsidR="005938B9" w:rsidRPr="00884FAA">
        <w:t xml:space="preserve"> </w:t>
      </w:r>
      <w:r w:rsidR="006B268A" w:rsidRPr="00884FAA">
        <w:t>staff. This included</w:t>
      </w:r>
      <w:r w:rsidR="005938B9" w:rsidRPr="00884FAA">
        <w:t xml:space="preserve"> having sufficient</w:t>
      </w:r>
      <w:r w:rsidR="006B268A" w:rsidRPr="00884FAA">
        <w:t xml:space="preserve"> resourcing for backfilling staff </w:t>
      </w:r>
      <w:r w:rsidR="005938B9" w:rsidRPr="00884FAA">
        <w:t xml:space="preserve">to enable people to </w:t>
      </w:r>
      <w:r w:rsidR="006B268A" w:rsidRPr="00884FAA">
        <w:t>attend training. Growing their own staff was seen by some ACCHS managers as an important part of the community-controlled movement, and a key factor in the sustainability of ACCHSs</w:t>
      </w:r>
      <w:r w:rsidR="006472F6" w:rsidRPr="00884FAA">
        <w:t xml:space="preserve"> and the sector more generally</w:t>
      </w:r>
      <w:r w:rsidR="006B268A" w:rsidRPr="00884FAA">
        <w:t>.</w:t>
      </w:r>
    </w:p>
    <w:p w14:paraId="315B0B07" w14:textId="77777777" w:rsidR="00525B44" w:rsidRDefault="007A7CA5" w:rsidP="00BD0E69">
      <w:r w:rsidRPr="00884FAA">
        <w:t>T</w:t>
      </w:r>
      <w:r w:rsidR="00D61C4B" w:rsidRPr="00884FAA">
        <w:t>he evaluation team</w:t>
      </w:r>
      <w:r w:rsidR="00AC032B" w:rsidRPr="00884FAA">
        <w:t xml:space="preserve"> </w:t>
      </w:r>
      <w:r w:rsidR="00D06C60" w:rsidRPr="00884FAA">
        <w:t xml:space="preserve">analysed </w:t>
      </w:r>
      <w:r w:rsidR="0090013E">
        <w:t xml:space="preserve">data from the </w:t>
      </w:r>
      <w:r w:rsidR="00976F18">
        <w:t>National Health Workforce</w:t>
      </w:r>
      <w:r w:rsidR="0090013E">
        <w:t xml:space="preserve"> Dataset </w:t>
      </w:r>
      <w:r w:rsidR="00AC032B" w:rsidRPr="00884FAA">
        <w:t xml:space="preserve">to understand the patterns of </w:t>
      </w:r>
      <w:r w:rsidR="00C91C86" w:rsidRPr="00884FAA">
        <w:t xml:space="preserve">workforce </w:t>
      </w:r>
      <w:r w:rsidR="00F33AF3" w:rsidRPr="00884FAA">
        <w:t xml:space="preserve">retention </w:t>
      </w:r>
      <w:r w:rsidR="00617878" w:rsidRPr="00884FAA">
        <w:t>in Aboriginal health organisation settings in the evaluation sites.</w:t>
      </w:r>
      <w:r w:rsidR="00F3254E" w:rsidRPr="005D1C41">
        <w:rPr>
          <w:rStyle w:val="FootnoteReference"/>
        </w:rPr>
        <w:footnoteReference w:id="55"/>
      </w:r>
      <w:r w:rsidR="00617878" w:rsidRPr="00884FAA">
        <w:t xml:space="preserve"> </w:t>
      </w:r>
      <w:r w:rsidR="00630347" w:rsidRPr="00884FAA">
        <w:t xml:space="preserve">The data </w:t>
      </w:r>
      <w:r w:rsidR="00783241" w:rsidRPr="00884FAA">
        <w:t>included</w:t>
      </w:r>
      <w:r w:rsidR="009C35AF" w:rsidRPr="00884FAA">
        <w:t xml:space="preserve"> Indigenous and non-Indigenous staff and </w:t>
      </w:r>
      <w:r w:rsidR="000B0A2D" w:rsidRPr="00884FAA">
        <w:t>was available</w:t>
      </w:r>
      <w:r w:rsidR="00EA1E48" w:rsidRPr="00884FAA">
        <w:t xml:space="preserve"> </w:t>
      </w:r>
      <w:r w:rsidR="00A47CD7" w:rsidRPr="00884FAA">
        <w:t>at</w:t>
      </w:r>
      <w:r w:rsidR="00D617B2" w:rsidRPr="00884FAA">
        <w:t xml:space="preserve"> </w:t>
      </w:r>
      <w:r w:rsidR="008141FC" w:rsidRPr="00884FAA">
        <w:t>SA3 level</w:t>
      </w:r>
      <w:r w:rsidR="008D63DB" w:rsidRPr="00884FAA">
        <w:t>. The a</w:t>
      </w:r>
      <w:r w:rsidR="00AB1AC5" w:rsidRPr="00884FAA">
        <w:t xml:space="preserve">nalysis was limited to staff with clinical job roles. </w:t>
      </w:r>
      <w:r w:rsidR="002746F8" w:rsidRPr="00884FAA">
        <w:t>E</w:t>
      </w:r>
      <w:r w:rsidR="005E6759" w:rsidRPr="00884FAA">
        <w:t xml:space="preserve">stimates </w:t>
      </w:r>
      <w:r w:rsidR="002746F8" w:rsidRPr="00884FAA">
        <w:t xml:space="preserve">were </w:t>
      </w:r>
      <w:r w:rsidR="007C3D9B" w:rsidRPr="00884FAA">
        <w:t xml:space="preserve">made </w:t>
      </w:r>
      <w:r w:rsidR="005E6759" w:rsidRPr="00884FAA">
        <w:t xml:space="preserve">based on </w:t>
      </w:r>
      <w:r w:rsidR="00804CD0" w:rsidRPr="00884FAA">
        <w:t xml:space="preserve">two sets </w:t>
      </w:r>
      <w:r w:rsidR="00246B57" w:rsidRPr="00884FAA">
        <w:t xml:space="preserve">of assumptions, as outlined in </w:t>
      </w:r>
      <w:r w:rsidR="002C1849" w:rsidRPr="00884FAA">
        <w:t>the methodology (</w:t>
      </w:r>
      <w:r w:rsidR="00E10CA9" w:rsidRPr="00FA78D2">
        <w:t xml:space="preserve">Final Report Supporting Material Appendix </w:t>
      </w:r>
      <w:r w:rsidR="00E10CA9">
        <w:t>C</w:t>
      </w:r>
      <w:r w:rsidR="002C1849" w:rsidRPr="00884FAA">
        <w:t>)</w:t>
      </w:r>
      <w:r w:rsidR="00E5342C" w:rsidRPr="00884FAA">
        <w:t xml:space="preserve">, </w:t>
      </w:r>
      <w:r w:rsidR="007D3779" w:rsidRPr="00884FAA">
        <w:t xml:space="preserve">as </w:t>
      </w:r>
      <w:r w:rsidR="00CE2B6B" w:rsidRPr="00884FAA">
        <w:t xml:space="preserve">individual-level data were not available. Under the optimistic assumption, just under two-thirds of staff were retained </w:t>
      </w:r>
      <w:r w:rsidR="00B13C77" w:rsidRPr="00884FAA">
        <w:t xml:space="preserve">(year-on-year) </w:t>
      </w:r>
      <w:r w:rsidR="00CE2B6B" w:rsidRPr="00884FAA">
        <w:t>at the participating sites.</w:t>
      </w:r>
      <w:r w:rsidR="00E12978" w:rsidRPr="00884FAA">
        <w:t xml:space="preserve"> Under the pessimistic assumption, </w:t>
      </w:r>
      <w:r w:rsidR="00340DE7" w:rsidRPr="00884FAA">
        <w:t>just over half of staff were retained each year.</w:t>
      </w:r>
      <w:r w:rsidR="00CE2B6B" w:rsidRPr="00884FAA">
        <w:t xml:space="preserve"> </w:t>
      </w:r>
    </w:p>
    <w:p w14:paraId="2C59AD1A" w14:textId="77777777" w:rsidR="00525B44" w:rsidRDefault="00525B44">
      <w:pPr>
        <w:jc w:val="left"/>
      </w:pPr>
      <w:r>
        <w:br w:type="page"/>
      </w:r>
    </w:p>
    <w:p w14:paraId="51FE0EE2" w14:textId="3E209F74" w:rsidR="003404C0" w:rsidRDefault="00A61F84" w:rsidP="00BD0E69">
      <w:r w:rsidRPr="00884FAA">
        <w:lastRenderedPageBreak/>
        <w:t xml:space="preserve">Staff retention was similar for sites in major cities, inner regional, outer regional and remote/very remotes areas. </w:t>
      </w:r>
      <w:r w:rsidR="00CE2B6B" w:rsidRPr="00884FAA">
        <w:t>Data across all sites combined indicated that retention of non-Indigenous clinicians was higher than Indigenous clinicians (</w:t>
      </w:r>
      <w:r w:rsidR="001954E2">
        <w:fldChar w:fldCharType="begin"/>
      </w:r>
      <w:r w:rsidR="001954E2">
        <w:instrText xml:space="preserve"> REF _Ref136532136 \h </w:instrText>
      </w:r>
      <w:r w:rsidR="00BD0E69">
        <w:instrText xml:space="preserve"> \* MERGEFORMAT </w:instrText>
      </w:r>
      <w:r w:rsidR="001954E2">
        <w:fldChar w:fldCharType="separate"/>
      </w:r>
      <w:r w:rsidR="00165B17" w:rsidRPr="00884FAA">
        <w:t xml:space="preserve">Figure </w:t>
      </w:r>
      <w:r w:rsidR="00165B17">
        <w:rPr>
          <w:noProof/>
        </w:rPr>
        <w:t>7</w:t>
      </w:r>
      <w:r w:rsidR="00165B17">
        <w:rPr>
          <w:noProof/>
        </w:rPr>
        <w:noBreakHyphen/>
        <w:t>2</w:t>
      </w:r>
      <w:r w:rsidR="001954E2">
        <w:fldChar w:fldCharType="end"/>
      </w:r>
      <w:r w:rsidR="00CE2B6B" w:rsidRPr="00884FAA">
        <w:t>).</w:t>
      </w:r>
    </w:p>
    <w:p w14:paraId="6420E29F" w14:textId="108E5D65" w:rsidR="00753307" w:rsidRPr="00884FAA" w:rsidRDefault="00753307" w:rsidP="00753307">
      <w:pPr>
        <w:pStyle w:val="TableFigure-Header"/>
        <w:rPr>
          <w:lang w:val="en-AU"/>
        </w:rPr>
      </w:pPr>
      <w:bookmarkStart w:id="221" w:name="_Ref130729601"/>
      <w:bookmarkStart w:id="222" w:name="_Ref136532136"/>
      <w:bookmarkStart w:id="223" w:name="_Toc138851343"/>
      <w:r w:rsidRPr="00884FAA">
        <w:rPr>
          <w:lang w:val="en-AU"/>
        </w:rPr>
        <w:t xml:space="preserve">Figure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7</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2</w:t>
      </w:r>
      <w:r w:rsidR="005B4A4F">
        <w:rPr>
          <w:lang w:val="en-AU"/>
        </w:rPr>
        <w:fldChar w:fldCharType="end"/>
      </w:r>
      <w:bookmarkEnd w:id="221"/>
      <w:bookmarkEnd w:id="222"/>
      <w:r w:rsidRPr="00884FAA">
        <w:rPr>
          <w:lang w:val="en-AU"/>
        </w:rPr>
        <w:t>. Proportion of clinicians retained to the following year across all sites under two assumptions, by Indigenous status</w:t>
      </w:r>
      <w:bookmarkEnd w:id="223"/>
    </w:p>
    <w:p w14:paraId="059B6C1B" w14:textId="245F674F" w:rsidR="00AE2673" w:rsidRPr="00884FAA" w:rsidRDefault="00AE2673" w:rsidP="00C77B19">
      <w:pPr>
        <w:spacing w:after="0"/>
      </w:pPr>
      <w:r w:rsidRPr="00884FAA">
        <w:rPr>
          <w:noProof/>
        </w:rPr>
        <w:drawing>
          <wp:inline distT="0" distB="0" distL="0" distR="0" wp14:anchorId="7B0B02E2" wp14:editId="05E41603">
            <wp:extent cx="5733415" cy="2621280"/>
            <wp:effectExtent l="0" t="0" r="635" b="7620"/>
            <wp:docPr id="468" name="Picture 468" descr="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Line graph"/>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33415" cy="2621280"/>
                    </a:xfrm>
                    <a:prstGeom prst="rect">
                      <a:avLst/>
                    </a:prstGeom>
                  </pic:spPr>
                </pic:pic>
              </a:graphicData>
            </a:graphic>
          </wp:inline>
        </w:drawing>
      </w:r>
    </w:p>
    <w:p w14:paraId="22103D6C" w14:textId="2E0E88C4" w:rsidR="00CA6992" w:rsidRPr="00C77B19" w:rsidRDefault="002F6029" w:rsidP="00C77B19">
      <w:pPr>
        <w:pStyle w:val="Heading6"/>
        <w:numPr>
          <w:ilvl w:val="0"/>
          <w:numId w:val="0"/>
        </w:numPr>
        <w:spacing w:before="0" w:after="480"/>
        <w:rPr>
          <w:b w:val="0"/>
          <w:bCs w:val="0"/>
          <w:color w:val="auto"/>
          <w:sz w:val="21"/>
          <w:szCs w:val="21"/>
          <w:lang w:val="en-AU"/>
        </w:rPr>
      </w:pPr>
      <w:r w:rsidRPr="00C77B19">
        <w:rPr>
          <w:b w:val="0"/>
          <w:bCs w:val="0"/>
          <w:color w:val="auto"/>
          <w:sz w:val="21"/>
          <w:szCs w:val="21"/>
          <w:lang w:val="en-AU"/>
        </w:rPr>
        <w:t xml:space="preserve">Source: </w:t>
      </w:r>
      <w:r w:rsidR="00C77B19" w:rsidRPr="00C77B19">
        <w:rPr>
          <w:b w:val="0"/>
          <w:bCs w:val="0"/>
          <w:color w:val="auto"/>
          <w:sz w:val="21"/>
          <w:szCs w:val="21"/>
        </w:rPr>
        <w:t>Data sourced from the National Health Workforce Dataset.</w:t>
      </w:r>
    </w:p>
    <w:p w14:paraId="439E99F2" w14:textId="0F407893" w:rsidR="00425C57" w:rsidRPr="00884FAA" w:rsidRDefault="00425C57" w:rsidP="00425C57">
      <w:pPr>
        <w:spacing w:before="360"/>
      </w:pPr>
      <w:r w:rsidRPr="00884FAA">
        <w:t>The challenges of an older workforce were noted in interviews with health service managers.</w:t>
      </w:r>
      <w:r w:rsidR="00D116F1">
        <w:t xml:space="preserve"> This included the loss of workforce due to retirement, </w:t>
      </w:r>
      <w:r w:rsidR="002D1E72">
        <w:t xml:space="preserve">older staff having a high burden of disease themselves, </w:t>
      </w:r>
      <w:r w:rsidR="00182FC5">
        <w:t xml:space="preserve">and older staff having caring responsibilities </w:t>
      </w:r>
      <w:r w:rsidR="00013BB5">
        <w:t>for Elders.</w:t>
      </w:r>
      <w:r w:rsidR="009424E5">
        <w:t xml:space="preserve"> Some participants noted</w:t>
      </w:r>
      <w:r w:rsidR="00EE3697">
        <w:t xml:space="preserve"> that</w:t>
      </w:r>
      <w:r w:rsidR="009424E5">
        <w:t xml:space="preserve"> the high burden of work</w:t>
      </w:r>
      <w:r w:rsidR="00EE3697">
        <w:t xml:space="preserve"> was also </w:t>
      </w:r>
      <w:r w:rsidR="00E05AF4">
        <w:t>more</w:t>
      </w:r>
      <w:r w:rsidR="00EE3697">
        <w:t xml:space="preserve"> challeng</w:t>
      </w:r>
      <w:r w:rsidR="00E05AF4">
        <w:t>ing</w:t>
      </w:r>
      <w:r w:rsidR="00EE3697">
        <w:t xml:space="preserve"> for their older staff.</w:t>
      </w:r>
    </w:p>
    <w:p w14:paraId="3684BD78" w14:textId="2E27AF07" w:rsidR="00425C57" w:rsidRPr="00A1178E" w:rsidRDefault="00425C57" w:rsidP="00A05B28">
      <w:pPr>
        <w:pStyle w:val="Quote"/>
        <w:spacing w:after="0"/>
        <w:rPr>
          <w:color w:val="18525E" w:themeColor="accent5" w:themeShade="80"/>
        </w:rPr>
      </w:pPr>
      <w:r w:rsidRPr="00A1178E">
        <w:rPr>
          <w:color w:val="18525E" w:themeColor="accent5" w:themeShade="80"/>
        </w:rPr>
        <w:t xml:space="preserve"> We know that nurses, especially remote area nurses, the average age is like 60 …</w:t>
      </w:r>
    </w:p>
    <w:p w14:paraId="208013FB" w14:textId="793ACC53" w:rsidR="00BD0C89" w:rsidRPr="00A05B28" w:rsidRDefault="00BD0C89" w:rsidP="00362B01">
      <w:pPr>
        <w:spacing w:before="120"/>
        <w:jc w:val="right"/>
        <w:rPr>
          <w:b/>
          <w:bCs/>
        </w:rPr>
      </w:pPr>
      <w:r w:rsidRPr="00A05B28">
        <w:rPr>
          <w:b/>
          <w:bCs/>
        </w:rPr>
        <w:t xml:space="preserve">ACCHS, Remote location </w:t>
      </w:r>
    </w:p>
    <w:p w14:paraId="665248C6" w14:textId="0CD9097E" w:rsidR="00525B44" w:rsidRDefault="00B0349D" w:rsidP="001145B9">
      <w:r>
        <w:t>T</w:t>
      </w:r>
      <w:r w:rsidR="00A356A9">
        <w:t xml:space="preserve">he National </w:t>
      </w:r>
      <w:r w:rsidR="001145B9" w:rsidRPr="00884FAA">
        <w:t xml:space="preserve">Health </w:t>
      </w:r>
      <w:r w:rsidR="00A356A9">
        <w:t>W</w:t>
      </w:r>
      <w:r w:rsidR="001145B9" w:rsidRPr="00884FAA">
        <w:t xml:space="preserve">orkforce </w:t>
      </w:r>
      <w:r>
        <w:t>Dataset</w:t>
      </w:r>
      <w:r w:rsidR="001145B9" w:rsidRPr="00884FAA">
        <w:t xml:space="preserve"> was used to examine the age of staff at Aboriginal health organisations and non-Aboriginal health organisations in the participating sites and across Australia. This included an analysis of Indigenous and non-Indigenous staff. Again</w:t>
      </w:r>
      <w:r w:rsidR="00C04186" w:rsidRPr="00884FAA">
        <w:t>,</w:t>
      </w:r>
      <w:r w:rsidR="001145B9" w:rsidRPr="00884FAA">
        <w:t xml:space="preserve"> the analysis was limited to staff with clinical job roles. Aboriginal health organisations were more likely to have older staff than other workplaces. In 2019, 56% of staff were aged 45 years or older nationally, compared to 42% at other organisations (</w:t>
      </w:r>
      <w:r w:rsidR="00050A3C" w:rsidRPr="00884FAA">
        <w:fldChar w:fldCharType="begin"/>
      </w:r>
      <w:r w:rsidR="00050A3C" w:rsidRPr="00884FAA">
        <w:instrText xml:space="preserve"> REF _Ref130730070 \h </w:instrText>
      </w:r>
      <w:r w:rsidR="00050A3C" w:rsidRPr="00884FAA">
        <w:fldChar w:fldCharType="separate"/>
      </w:r>
      <w:r w:rsidR="00165B17" w:rsidRPr="00884FAA">
        <w:t xml:space="preserve">Table </w:t>
      </w:r>
      <w:r w:rsidR="00165B17">
        <w:rPr>
          <w:noProof/>
        </w:rPr>
        <w:t>7</w:t>
      </w:r>
      <w:r w:rsidR="00165B17">
        <w:noBreakHyphen/>
      </w:r>
      <w:r w:rsidR="00165B17">
        <w:rPr>
          <w:noProof/>
        </w:rPr>
        <w:t>3</w:t>
      </w:r>
      <w:r w:rsidR="00050A3C" w:rsidRPr="00884FAA">
        <w:fldChar w:fldCharType="end"/>
      </w:r>
      <w:r w:rsidR="001145B9" w:rsidRPr="00884FAA">
        <w:t>). For both Aboriginal and non-Aboriginal health organisations, the proportion of staff 45 years or older decreased between 2013 and 2019.</w:t>
      </w:r>
    </w:p>
    <w:p w14:paraId="68D4BCFD" w14:textId="77777777" w:rsidR="00525B44" w:rsidRDefault="00525B44">
      <w:pPr>
        <w:jc w:val="left"/>
      </w:pPr>
      <w:r>
        <w:br w:type="page"/>
      </w:r>
    </w:p>
    <w:p w14:paraId="7DBEBDA6" w14:textId="0E8F62CA" w:rsidR="001145B9" w:rsidRPr="00884FAA" w:rsidRDefault="00050A3C" w:rsidP="00050A3C">
      <w:pPr>
        <w:pStyle w:val="TableFigure-Header"/>
        <w:rPr>
          <w:lang w:val="en-AU"/>
        </w:rPr>
      </w:pPr>
      <w:bookmarkStart w:id="224" w:name="_Ref130730070"/>
      <w:bookmarkStart w:id="225" w:name="_Toc130540089"/>
      <w:bookmarkStart w:id="226" w:name="_Toc138851281"/>
      <w:r w:rsidRPr="00884FAA">
        <w:rPr>
          <w:lang w:val="en-AU"/>
        </w:rPr>
        <w:lastRenderedPageBreak/>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7</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3</w:t>
      </w:r>
      <w:r w:rsidR="00B92D87">
        <w:rPr>
          <w:lang w:val="en-AU"/>
        </w:rPr>
        <w:fldChar w:fldCharType="end"/>
      </w:r>
      <w:bookmarkEnd w:id="224"/>
      <w:r w:rsidRPr="00884FAA">
        <w:rPr>
          <w:lang w:val="en-AU"/>
        </w:rPr>
        <w:t xml:space="preserve">. </w:t>
      </w:r>
      <w:r w:rsidR="001145B9" w:rsidRPr="00884FAA">
        <w:rPr>
          <w:lang w:val="en-AU"/>
        </w:rPr>
        <w:t>Changes in the proportion of staff aged ≥45 years from 2013-2019, by workplace, for sites and across Australia</w:t>
      </w:r>
      <w:bookmarkEnd w:id="225"/>
      <w:bookmarkEnd w:id="226"/>
      <w:r w:rsidR="001145B9" w:rsidRPr="00884FAA">
        <w:rPr>
          <w:lang w:val="en-AU"/>
        </w:rPr>
        <w:t xml:space="preserve"> </w:t>
      </w:r>
    </w:p>
    <w:tbl>
      <w:tblPr>
        <w:tblStyle w:val="ACTableDesign1White"/>
        <w:tblW w:w="9220" w:type="dxa"/>
        <w:tblLook w:val="06A0" w:firstRow="1" w:lastRow="0" w:firstColumn="1" w:lastColumn="0" w:noHBand="1" w:noVBand="1"/>
      </w:tblPr>
      <w:tblGrid>
        <w:gridCol w:w="1372"/>
        <w:gridCol w:w="2025"/>
        <w:gridCol w:w="1559"/>
        <w:gridCol w:w="1558"/>
        <w:gridCol w:w="1841"/>
        <w:gridCol w:w="865"/>
      </w:tblGrid>
      <w:tr w:rsidR="001145B9" w:rsidRPr="00884FAA" w14:paraId="19C53CD7" w14:textId="77777777" w:rsidTr="00B15A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197E94D3" w14:textId="77777777" w:rsidR="001145B9" w:rsidRPr="0058387D" w:rsidRDefault="001145B9" w:rsidP="000F7F64">
            <w:pPr>
              <w:pStyle w:val="TableText"/>
              <w:rPr>
                <w:color w:val="000000" w:themeColor="text1"/>
              </w:rPr>
            </w:pPr>
            <w:r w:rsidRPr="0058387D">
              <w:rPr>
                <w:color w:val="000000" w:themeColor="text1"/>
              </w:rPr>
              <w:t>Level</w:t>
            </w:r>
          </w:p>
        </w:tc>
        <w:tc>
          <w:tcPr>
            <w:tcW w:w="2026" w:type="dxa"/>
          </w:tcPr>
          <w:p w14:paraId="28201E86" w14:textId="77777777" w:rsidR="001145B9" w:rsidRPr="0058387D" w:rsidRDefault="001145B9" w:rsidP="000F7F64">
            <w:pPr>
              <w:pStyle w:val="TableTex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Organisation type</w:t>
            </w:r>
          </w:p>
        </w:tc>
        <w:tc>
          <w:tcPr>
            <w:tcW w:w="1560" w:type="dxa"/>
          </w:tcPr>
          <w:p w14:paraId="733FB32C" w14:textId="77777777" w:rsidR="001145B9" w:rsidRPr="0058387D" w:rsidRDefault="001145B9" w:rsidP="000F7F64">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staff ≥45 years in 2013</w:t>
            </w:r>
          </w:p>
        </w:tc>
        <w:tc>
          <w:tcPr>
            <w:tcW w:w="1559" w:type="dxa"/>
          </w:tcPr>
          <w:p w14:paraId="6DC99D89" w14:textId="77777777" w:rsidR="001145B9" w:rsidRPr="0058387D" w:rsidRDefault="001145B9" w:rsidP="000F7F64">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staff ≥45 years in 2019</w:t>
            </w:r>
          </w:p>
        </w:tc>
        <w:tc>
          <w:tcPr>
            <w:tcW w:w="1843" w:type="dxa"/>
          </w:tcPr>
          <w:p w14:paraId="6AAD8907" w14:textId="77777777" w:rsidR="001145B9" w:rsidRPr="0058387D" w:rsidRDefault="001145B9" w:rsidP="000F7F64">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OR (95% CI)</w:t>
            </w:r>
          </w:p>
        </w:tc>
        <w:tc>
          <w:tcPr>
            <w:tcW w:w="859" w:type="dxa"/>
          </w:tcPr>
          <w:p w14:paraId="1E6EBFEA" w14:textId="77777777" w:rsidR="001145B9" w:rsidRPr="0058387D" w:rsidRDefault="001145B9" w:rsidP="000F7F64">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P</w:t>
            </w:r>
          </w:p>
        </w:tc>
      </w:tr>
      <w:tr w:rsidR="001145B9" w:rsidRPr="00884FAA" w14:paraId="78BF31CF" w14:textId="77777777" w:rsidTr="00B15AFA">
        <w:tc>
          <w:tcPr>
            <w:cnfStyle w:val="001000000000" w:firstRow="0" w:lastRow="0" w:firstColumn="1" w:lastColumn="0" w:oddVBand="0" w:evenVBand="0" w:oddHBand="0" w:evenHBand="0" w:firstRowFirstColumn="0" w:firstRowLastColumn="0" w:lastRowFirstColumn="0" w:lastRowLastColumn="0"/>
            <w:tcW w:w="1373" w:type="dxa"/>
            <w:vMerge w:val="restart"/>
          </w:tcPr>
          <w:p w14:paraId="3EBBCCDC" w14:textId="77777777" w:rsidR="001145B9" w:rsidRPr="00884FAA" w:rsidRDefault="001145B9" w:rsidP="000F7F64">
            <w:pPr>
              <w:pStyle w:val="TableText"/>
            </w:pPr>
            <w:r w:rsidRPr="00884FAA">
              <w:t>Participating sites</w:t>
            </w:r>
          </w:p>
        </w:tc>
        <w:tc>
          <w:tcPr>
            <w:tcW w:w="2026" w:type="dxa"/>
          </w:tcPr>
          <w:p w14:paraId="45AEFC12"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Aboriginal health organisation</w:t>
            </w:r>
          </w:p>
        </w:tc>
        <w:tc>
          <w:tcPr>
            <w:tcW w:w="1560" w:type="dxa"/>
          </w:tcPr>
          <w:p w14:paraId="65092ACF"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55.7</w:t>
            </w:r>
          </w:p>
        </w:tc>
        <w:tc>
          <w:tcPr>
            <w:tcW w:w="1559" w:type="dxa"/>
          </w:tcPr>
          <w:p w14:paraId="2BBC3319"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50.6</w:t>
            </w:r>
          </w:p>
        </w:tc>
        <w:tc>
          <w:tcPr>
            <w:tcW w:w="1843" w:type="dxa"/>
          </w:tcPr>
          <w:p w14:paraId="6E010F22"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0.98 (0.94, 1.02)</w:t>
            </w:r>
          </w:p>
        </w:tc>
        <w:tc>
          <w:tcPr>
            <w:tcW w:w="859" w:type="dxa"/>
          </w:tcPr>
          <w:p w14:paraId="39AE8F60"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0.35</w:t>
            </w:r>
          </w:p>
        </w:tc>
      </w:tr>
      <w:tr w:rsidR="001145B9" w:rsidRPr="00884FAA" w14:paraId="325C0014" w14:textId="77777777" w:rsidTr="00B15AFA">
        <w:tc>
          <w:tcPr>
            <w:cnfStyle w:val="001000000000" w:firstRow="0" w:lastRow="0" w:firstColumn="1" w:lastColumn="0" w:oddVBand="0" w:evenVBand="0" w:oddHBand="0" w:evenHBand="0" w:firstRowFirstColumn="0" w:firstRowLastColumn="0" w:lastRowFirstColumn="0" w:lastRowLastColumn="0"/>
            <w:tcW w:w="1373" w:type="dxa"/>
            <w:vMerge/>
          </w:tcPr>
          <w:p w14:paraId="59E6CD88" w14:textId="77777777" w:rsidR="001145B9" w:rsidRPr="00884FAA" w:rsidRDefault="001145B9" w:rsidP="000F7F64">
            <w:pPr>
              <w:pStyle w:val="TableText"/>
            </w:pPr>
          </w:p>
        </w:tc>
        <w:tc>
          <w:tcPr>
            <w:tcW w:w="2026" w:type="dxa"/>
          </w:tcPr>
          <w:p w14:paraId="0667B3A6"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Other</w:t>
            </w:r>
          </w:p>
        </w:tc>
        <w:tc>
          <w:tcPr>
            <w:tcW w:w="1560" w:type="dxa"/>
          </w:tcPr>
          <w:p w14:paraId="5363A798"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44.3</w:t>
            </w:r>
          </w:p>
        </w:tc>
        <w:tc>
          <w:tcPr>
            <w:tcW w:w="1559" w:type="dxa"/>
          </w:tcPr>
          <w:p w14:paraId="31214637"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40.6</w:t>
            </w:r>
          </w:p>
        </w:tc>
        <w:tc>
          <w:tcPr>
            <w:tcW w:w="1843" w:type="dxa"/>
          </w:tcPr>
          <w:p w14:paraId="648F7735"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0.97 (0.96, 0.98)</w:t>
            </w:r>
          </w:p>
        </w:tc>
        <w:tc>
          <w:tcPr>
            <w:tcW w:w="859" w:type="dxa"/>
          </w:tcPr>
          <w:p w14:paraId="6EDD142D"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&lt;0.001</w:t>
            </w:r>
          </w:p>
        </w:tc>
      </w:tr>
      <w:tr w:rsidR="001145B9" w:rsidRPr="00884FAA" w14:paraId="04EA1BD3" w14:textId="77777777" w:rsidTr="00B15AFA">
        <w:tc>
          <w:tcPr>
            <w:cnfStyle w:val="001000000000" w:firstRow="0" w:lastRow="0" w:firstColumn="1" w:lastColumn="0" w:oddVBand="0" w:evenVBand="0" w:oddHBand="0" w:evenHBand="0" w:firstRowFirstColumn="0" w:firstRowLastColumn="0" w:lastRowFirstColumn="0" w:lastRowLastColumn="0"/>
            <w:tcW w:w="1373" w:type="dxa"/>
            <w:vMerge w:val="restart"/>
          </w:tcPr>
          <w:p w14:paraId="0E7BD151" w14:textId="77777777" w:rsidR="001145B9" w:rsidRPr="00884FAA" w:rsidRDefault="001145B9" w:rsidP="000F7F64">
            <w:pPr>
              <w:pStyle w:val="TableText"/>
            </w:pPr>
            <w:r w:rsidRPr="00884FAA">
              <w:t>Australia</w:t>
            </w:r>
          </w:p>
        </w:tc>
        <w:tc>
          <w:tcPr>
            <w:tcW w:w="2026" w:type="dxa"/>
          </w:tcPr>
          <w:p w14:paraId="3F19BFEE"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Aboriginal health organisation</w:t>
            </w:r>
          </w:p>
        </w:tc>
        <w:tc>
          <w:tcPr>
            <w:tcW w:w="1560" w:type="dxa"/>
          </w:tcPr>
          <w:p w14:paraId="59E4ED71"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59.4</w:t>
            </w:r>
          </w:p>
        </w:tc>
        <w:tc>
          <w:tcPr>
            <w:tcW w:w="1559" w:type="dxa"/>
          </w:tcPr>
          <w:p w14:paraId="3E75FC0A"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55.8</w:t>
            </w:r>
          </w:p>
        </w:tc>
        <w:tc>
          <w:tcPr>
            <w:tcW w:w="1843" w:type="dxa"/>
          </w:tcPr>
          <w:p w14:paraId="4F52EC5D"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0.99 (0.98, 1.00)</w:t>
            </w:r>
          </w:p>
        </w:tc>
        <w:tc>
          <w:tcPr>
            <w:tcW w:w="859" w:type="dxa"/>
          </w:tcPr>
          <w:p w14:paraId="3B4298BB"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0.01</w:t>
            </w:r>
          </w:p>
        </w:tc>
      </w:tr>
      <w:tr w:rsidR="001145B9" w:rsidRPr="00884FAA" w14:paraId="6CC8B47E" w14:textId="77777777" w:rsidTr="00B15AFA">
        <w:tc>
          <w:tcPr>
            <w:cnfStyle w:val="001000000000" w:firstRow="0" w:lastRow="0" w:firstColumn="1" w:lastColumn="0" w:oddVBand="0" w:evenVBand="0" w:oddHBand="0" w:evenHBand="0" w:firstRowFirstColumn="0" w:firstRowLastColumn="0" w:lastRowFirstColumn="0" w:lastRowLastColumn="0"/>
            <w:tcW w:w="1373" w:type="dxa"/>
            <w:vMerge/>
          </w:tcPr>
          <w:p w14:paraId="243A119F" w14:textId="77777777" w:rsidR="001145B9" w:rsidRPr="00884FAA" w:rsidRDefault="001145B9" w:rsidP="000F7F64">
            <w:pPr>
              <w:pStyle w:val="TableText"/>
            </w:pPr>
          </w:p>
        </w:tc>
        <w:tc>
          <w:tcPr>
            <w:tcW w:w="2026" w:type="dxa"/>
          </w:tcPr>
          <w:p w14:paraId="62C2BB6E"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Other</w:t>
            </w:r>
          </w:p>
        </w:tc>
        <w:tc>
          <w:tcPr>
            <w:tcW w:w="1560" w:type="dxa"/>
          </w:tcPr>
          <w:p w14:paraId="639D4D6A"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45.8</w:t>
            </w:r>
          </w:p>
        </w:tc>
        <w:tc>
          <w:tcPr>
            <w:tcW w:w="1559" w:type="dxa"/>
          </w:tcPr>
          <w:p w14:paraId="24AFCF46" w14:textId="77777777" w:rsidR="001145B9" w:rsidRPr="00884FAA" w:rsidRDefault="001145B9" w:rsidP="000F7F64">
            <w:pPr>
              <w:pStyle w:val="TableText"/>
              <w:jc w:val="center"/>
              <w:cnfStyle w:val="000000000000" w:firstRow="0" w:lastRow="0" w:firstColumn="0" w:lastColumn="0" w:oddVBand="0" w:evenVBand="0" w:oddHBand="0" w:evenHBand="0" w:firstRowFirstColumn="0" w:firstRowLastColumn="0" w:lastRowFirstColumn="0" w:lastRowLastColumn="0"/>
            </w:pPr>
            <w:r w:rsidRPr="00884FAA">
              <w:t>42.2</w:t>
            </w:r>
          </w:p>
        </w:tc>
        <w:tc>
          <w:tcPr>
            <w:tcW w:w="1843" w:type="dxa"/>
          </w:tcPr>
          <w:p w14:paraId="07AF7C43"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0.98 (0.98, 0.98)</w:t>
            </w:r>
          </w:p>
        </w:tc>
        <w:tc>
          <w:tcPr>
            <w:tcW w:w="859" w:type="dxa"/>
          </w:tcPr>
          <w:p w14:paraId="723EC2EB" w14:textId="77777777" w:rsidR="001145B9" w:rsidRPr="00884FAA" w:rsidRDefault="001145B9" w:rsidP="000F7F64">
            <w:pPr>
              <w:pStyle w:val="TableText"/>
              <w:cnfStyle w:val="000000000000" w:firstRow="0" w:lastRow="0" w:firstColumn="0" w:lastColumn="0" w:oddVBand="0" w:evenVBand="0" w:oddHBand="0" w:evenHBand="0" w:firstRowFirstColumn="0" w:firstRowLastColumn="0" w:lastRowFirstColumn="0" w:lastRowLastColumn="0"/>
            </w:pPr>
            <w:r w:rsidRPr="00884FAA">
              <w:t>&lt;0.001</w:t>
            </w:r>
          </w:p>
        </w:tc>
      </w:tr>
    </w:tbl>
    <w:p w14:paraId="0A586ACC" w14:textId="54DFA041" w:rsidR="002F6029" w:rsidRPr="002F6029" w:rsidRDefault="002F6029" w:rsidP="002F6029">
      <w:pPr>
        <w:spacing w:before="60" w:after="360"/>
        <w:rPr>
          <w:sz w:val="21"/>
          <w:szCs w:val="21"/>
        </w:rPr>
      </w:pPr>
      <w:r w:rsidRPr="002F6029">
        <w:rPr>
          <w:sz w:val="21"/>
          <w:szCs w:val="21"/>
        </w:rPr>
        <w:t xml:space="preserve">Source: </w:t>
      </w:r>
      <w:r w:rsidR="006C6A63">
        <w:rPr>
          <w:sz w:val="21"/>
          <w:szCs w:val="21"/>
        </w:rPr>
        <w:t xml:space="preserve">Data sourced from the </w:t>
      </w:r>
      <w:r w:rsidRPr="002F6029">
        <w:rPr>
          <w:sz w:val="21"/>
          <w:szCs w:val="21"/>
          <w:lang w:val="en-NZ"/>
        </w:rPr>
        <w:t>National Health Workforce Dataset.</w:t>
      </w:r>
    </w:p>
    <w:p w14:paraId="1D65754B" w14:textId="21DC52D4" w:rsidR="00425C57" w:rsidRPr="00884FAA" w:rsidRDefault="006257B3" w:rsidP="00425C57">
      <w:pPr>
        <w:spacing w:before="360"/>
      </w:pPr>
      <w:r w:rsidRPr="00884FAA">
        <w:t xml:space="preserve">Analysis of workforce demographic suggests </w:t>
      </w:r>
      <w:r w:rsidR="00A556EA" w:rsidRPr="00884FAA">
        <w:t xml:space="preserve">that </w:t>
      </w:r>
      <w:r w:rsidR="003D6270" w:rsidRPr="00884FAA">
        <w:t>a</w:t>
      </w:r>
      <w:r w:rsidR="00425C57" w:rsidRPr="00884FAA">
        <w:t>t both the site and national levels, Indigenous staff were less likely to be aged 45 years or older compared to non-Indigenous staff. The proportion of non-Indigenous staff aged 45 years or older decreased significantly between 2013 and 2019 at both the site and national levels (</w:t>
      </w:r>
      <w:r w:rsidR="00D656BC" w:rsidRPr="00884FAA">
        <w:fldChar w:fldCharType="begin"/>
      </w:r>
      <w:r w:rsidR="00D656BC" w:rsidRPr="00884FAA">
        <w:instrText xml:space="preserve"> REF _Ref130730144 \h </w:instrText>
      </w:r>
      <w:r w:rsidR="00D656BC" w:rsidRPr="00884FAA">
        <w:fldChar w:fldCharType="separate"/>
      </w:r>
      <w:r w:rsidR="00165B17" w:rsidRPr="00884FAA">
        <w:t xml:space="preserve">Table </w:t>
      </w:r>
      <w:r w:rsidR="00165B17">
        <w:rPr>
          <w:noProof/>
        </w:rPr>
        <w:t>7</w:t>
      </w:r>
      <w:r w:rsidR="00165B17">
        <w:noBreakHyphen/>
      </w:r>
      <w:r w:rsidR="00165B17">
        <w:rPr>
          <w:noProof/>
        </w:rPr>
        <w:t>4</w:t>
      </w:r>
      <w:r w:rsidR="00D656BC" w:rsidRPr="00884FAA">
        <w:fldChar w:fldCharType="end"/>
      </w:r>
      <w:r w:rsidR="00D656BC" w:rsidRPr="00884FAA">
        <w:t>)</w:t>
      </w:r>
      <w:r w:rsidR="00425C57" w:rsidRPr="00884FAA">
        <w:t xml:space="preserve">. </w:t>
      </w:r>
    </w:p>
    <w:p w14:paraId="585189C6" w14:textId="0E49F80F" w:rsidR="00425C57" w:rsidRPr="00884FAA" w:rsidRDefault="00050A3C" w:rsidP="000F7F64">
      <w:pPr>
        <w:pStyle w:val="TableFigure-Header"/>
        <w:rPr>
          <w:lang w:val="en-AU"/>
        </w:rPr>
      </w:pPr>
      <w:bookmarkStart w:id="227" w:name="_Ref130730144"/>
      <w:bookmarkStart w:id="228" w:name="_Toc130540090"/>
      <w:bookmarkStart w:id="229" w:name="_Toc138851282"/>
      <w:r w:rsidRPr="00884FAA">
        <w:rPr>
          <w:lang w:val="en-AU"/>
        </w:rPr>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7</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4</w:t>
      </w:r>
      <w:r w:rsidR="00B92D87">
        <w:rPr>
          <w:lang w:val="en-AU"/>
        </w:rPr>
        <w:fldChar w:fldCharType="end"/>
      </w:r>
      <w:bookmarkEnd w:id="227"/>
      <w:r w:rsidRPr="00884FAA">
        <w:rPr>
          <w:lang w:val="en-AU"/>
        </w:rPr>
        <w:t xml:space="preserve">. </w:t>
      </w:r>
      <w:r w:rsidR="00425C57" w:rsidRPr="00884FAA">
        <w:rPr>
          <w:lang w:val="en-AU"/>
        </w:rPr>
        <w:t>Changes in the proportion of staff aged ≥45 years from 2013-2019, by staff Indigenous status, for sites and across Australia</w:t>
      </w:r>
      <w:bookmarkEnd w:id="228"/>
      <w:bookmarkEnd w:id="229"/>
    </w:p>
    <w:tbl>
      <w:tblPr>
        <w:tblStyle w:val="ACTableDesign1White"/>
        <w:tblW w:w="9220" w:type="dxa"/>
        <w:tblLook w:val="06A0" w:firstRow="1" w:lastRow="0" w:firstColumn="1" w:lastColumn="0" w:noHBand="1" w:noVBand="1"/>
      </w:tblPr>
      <w:tblGrid>
        <w:gridCol w:w="1372"/>
        <w:gridCol w:w="2025"/>
        <w:gridCol w:w="1559"/>
        <w:gridCol w:w="1558"/>
        <w:gridCol w:w="1841"/>
        <w:gridCol w:w="865"/>
      </w:tblGrid>
      <w:tr w:rsidR="00425C57" w:rsidRPr="00884FAA" w14:paraId="56DE6D0C" w14:textId="77777777" w:rsidTr="006C6A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14:paraId="4B1F4E5D" w14:textId="77777777" w:rsidR="00425C57" w:rsidRPr="0058387D" w:rsidRDefault="00425C57" w:rsidP="00B15AFA">
            <w:pPr>
              <w:pStyle w:val="TableText"/>
              <w:rPr>
                <w:color w:val="000000" w:themeColor="text1"/>
              </w:rPr>
            </w:pPr>
            <w:r w:rsidRPr="0058387D">
              <w:rPr>
                <w:color w:val="000000" w:themeColor="text1"/>
              </w:rPr>
              <w:t>Level</w:t>
            </w:r>
          </w:p>
        </w:tc>
        <w:tc>
          <w:tcPr>
            <w:tcW w:w="2025" w:type="dxa"/>
          </w:tcPr>
          <w:p w14:paraId="0B0E3309" w14:textId="77777777" w:rsidR="00425C57" w:rsidRPr="0058387D" w:rsidRDefault="00425C57" w:rsidP="00B15AFA">
            <w:pPr>
              <w:pStyle w:val="TableTex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xml:space="preserve">Staff Indigenous status </w:t>
            </w:r>
          </w:p>
        </w:tc>
        <w:tc>
          <w:tcPr>
            <w:tcW w:w="1559" w:type="dxa"/>
          </w:tcPr>
          <w:p w14:paraId="3AC88D4D" w14:textId="77777777" w:rsidR="00425C57" w:rsidRPr="0058387D" w:rsidRDefault="00425C57" w:rsidP="00B15AFA">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staff ≥45 years in 2013</w:t>
            </w:r>
          </w:p>
        </w:tc>
        <w:tc>
          <w:tcPr>
            <w:tcW w:w="1558" w:type="dxa"/>
          </w:tcPr>
          <w:p w14:paraId="3AE1A32E" w14:textId="77777777" w:rsidR="00425C57" w:rsidRPr="0058387D" w:rsidRDefault="00425C57" w:rsidP="00B15AFA">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staff ≥45 years in 2019</w:t>
            </w:r>
          </w:p>
        </w:tc>
        <w:tc>
          <w:tcPr>
            <w:tcW w:w="1841" w:type="dxa"/>
          </w:tcPr>
          <w:p w14:paraId="7D3DFE3D" w14:textId="77777777" w:rsidR="00425C57" w:rsidRPr="0058387D" w:rsidRDefault="00425C57" w:rsidP="00B15AFA">
            <w:pPr>
              <w:pStyle w:val="TableTex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OR (95% CI)</w:t>
            </w:r>
          </w:p>
        </w:tc>
        <w:tc>
          <w:tcPr>
            <w:tcW w:w="865" w:type="dxa"/>
          </w:tcPr>
          <w:p w14:paraId="4E4F64E4" w14:textId="77777777" w:rsidR="00425C57" w:rsidRPr="0058387D" w:rsidRDefault="00425C57" w:rsidP="00B15AFA">
            <w:pPr>
              <w:pStyle w:val="TableTex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P</w:t>
            </w:r>
          </w:p>
        </w:tc>
      </w:tr>
      <w:tr w:rsidR="00425C57" w:rsidRPr="00884FAA" w14:paraId="10B7B343" w14:textId="77777777" w:rsidTr="006C6A63">
        <w:tc>
          <w:tcPr>
            <w:cnfStyle w:val="001000000000" w:firstRow="0" w:lastRow="0" w:firstColumn="1" w:lastColumn="0" w:oddVBand="0" w:evenVBand="0" w:oddHBand="0" w:evenHBand="0" w:firstRowFirstColumn="0" w:firstRowLastColumn="0" w:lastRowFirstColumn="0" w:lastRowLastColumn="0"/>
            <w:tcW w:w="1372" w:type="dxa"/>
            <w:vMerge w:val="restart"/>
          </w:tcPr>
          <w:p w14:paraId="2E0A469E" w14:textId="77777777" w:rsidR="00425C57" w:rsidRPr="00884FAA" w:rsidRDefault="00425C57" w:rsidP="00B15AFA">
            <w:pPr>
              <w:pStyle w:val="TableText"/>
            </w:pPr>
            <w:r w:rsidRPr="00884FAA">
              <w:t>Participating sites</w:t>
            </w:r>
          </w:p>
        </w:tc>
        <w:tc>
          <w:tcPr>
            <w:tcW w:w="2025" w:type="dxa"/>
          </w:tcPr>
          <w:p w14:paraId="5B43EC65"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Indigenous</w:t>
            </w:r>
          </w:p>
        </w:tc>
        <w:tc>
          <w:tcPr>
            <w:tcW w:w="1559" w:type="dxa"/>
          </w:tcPr>
          <w:p w14:paraId="57D0C617"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39.2</w:t>
            </w:r>
          </w:p>
        </w:tc>
        <w:tc>
          <w:tcPr>
            <w:tcW w:w="1558" w:type="dxa"/>
          </w:tcPr>
          <w:p w14:paraId="7F4C53AB"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37.1</w:t>
            </w:r>
          </w:p>
        </w:tc>
        <w:tc>
          <w:tcPr>
            <w:tcW w:w="1841" w:type="dxa"/>
          </w:tcPr>
          <w:p w14:paraId="2E32B5DE"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0.99 (0.97, 1.02)</w:t>
            </w:r>
          </w:p>
        </w:tc>
        <w:tc>
          <w:tcPr>
            <w:tcW w:w="865" w:type="dxa"/>
          </w:tcPr>
          <w:p w14:paraId="6A77CB1B"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0.52</w:t>
            </w:r>
          </w:p>
        </w:tc>
      </w:tr>
      <w:tr w:rsidR="00425C57" w:rsidRPr="00884FAA" w14:paraId="7AC0A106" w14:textId="77777777" w:rsidTr="006C6A63">
        <w:tc>
          <w:tcPr>
            <w:cnfStyle w:val="001000000000" w:firstRow="0" w:lastRow="0" w:firstColumn="1" w:lastColumn="0" w:oddVBand="0" w:evenVBand="0" w:oddHBand="0" w:evenHBand="0" w:firstRowFirstColumn="0" w:firstRowLastColumn="0" w:lastRowFirstColumn="0" w:lastRowLastColumn="0"/>
            <w:tcW w:w="1372" w:type="dxa"/>
            <w:vMerge/>
          </w:tcPr>
          <w:p w14:paraId="7264CCC1" w14:textId="77777777" w:rsidR="00425C57" w:rsidRPr="00884FAA" w:rsidRDefault="00425C57" w:rsidP="00B15AFA">
            <w:pPr>
              <w:pStyle w:val="TableText"/>
            </w:pPr>
          </w:p>
        </w:tc>
        <w:tc>
          <w:tcPr>
            <w:tcW w:w="2025" w:type="dxa"/>
          </w:tcPr>
          <w:p w14:paraId="201009E4"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 xml:space="preserve">Non-Indigenous </w:t>
            </w:r>
          </w:p>
        </w:tc>
        <w:tc>
          <w:tcPr>
            <w:tcW w:w="1559" w:type="dxa"/>
          </w:tcPr>
          <w:p w14:paraId="22583A62"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44.4</w:t>
            </w:r>
          </w:p>
        </w:tc>
        <w:tc>
          <w:tcPr>
            <w:tcW w:w="1558" w:type="dxa"/>
          </w:tcPr>
          <w:p w14:paraId="2DC4912D"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40.7</w:t>
            </w:r>
          </w:p>
        </w:tc>
        <w:tc>
          <w:tcPr>
            <w:tcW w:w="1841" w:type="dxa"/>
          </w:tcPr>
          <w:p w14:paraId="69024170"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0.98 (0.97, 0.99)</w:t>
            </w:r>
          </w:p>
        </w:tc>
        <w:tc>
          <w:tcPr>
            <w:tcW w:w="865" w:type="dxa"/>
          </w:tcPr>
          <w:p w14:paraId="16955A94"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&lt;0.001</w:t>
            </w:r>
          </w:p>
        </w:tc>
      </w:tr>
      <w:tr w:rsidR="00425C57" w:rsidRPr="00884FAA" w14:paraId="6A3D3327" w14:textId="77777777" w:rsidTr="006C6A63">
        <w:tc>
          <w:tcPr>
            <w:cnfStyle w:val="001000000000" w:firstRow="0" w:lastRow="0" w:firstColumn="1" w:lastColumn="0" w:oddVBand="0" w:evenVBand="0" w:oddHBand="0" w:evenHBand="0" w:firstRowFirstColumn="0" w:firstRowLastColumn="0" w:lastRowFirstColumn="0" w:lastRowLastColumn="0"/>
            <w:tcW w:w="1372" w:type="dxa"/>
            <w:vMerge w:val="restart"/>
          </w:tcPr>
          <w:p w14:paraId="4AEE6B66" w14:textId="77777777" w:rsidR="00425C57" w:rsidRPr="00884FAA" w:rsidRDefault="00425C57" w:rsidP="00B15AFA">
            <w:pPr>
              <w:pStyle w:val="TableText"/>
            </w:pPr>
            <w:r w:rsidRPr="00884FAA">
              <w:t>Australia</w:t>
            </w:r>
          </w:p>
        </w:tc>
        <w:tc>
          <w:tcPr>
            <w:tcW w:w="2025" w:type="dxa"/>
          </w:tcPr>
          <w:p w14:paraId="379B0A96"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Indigenous</w:t>
            </w:r>
          </w:p>
        </w:tc>
        <w:tc>
          <w:tcPr>
            <w:tcW w:w="1559" w:type="dxa"/>
          </w:tcPr>
          <w:p w14:paraId="51F1F0DC"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41.9</w:t>
            </w:r>
          </w:p>
        </w:tc>
        <w:tc>
          <w:tcPr>
            <w:tcW w:w="1558" w:type="dxa"/>
          </w:tcPr>
          <w:p w14:paraId="49B215FE"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39.2</w:t>
            </w:r>
          </w:p>
        </w:tc>
        <w:tc>
          <w:tcPr>
            <w:tcW w:w="1841" w:type="dxa"/>
          </w:tcPr>
          <w:p w14:paraId="50028498"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0.99 (0.76, 1.28)</w:t>
            </w:r>
          </w:p>
        </w:tc>
        <w:tc>
          <w:tcPr>
            <w:tcW w:w="865" w:type="dxa"/>
          </w:tcPr>
          <w:p w14:paraId="0BA59476"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0.92</w:t>
            </w:r>
          </w:p>
        </w:tc>
      </w:tr>
      <w:tr w:rsidR="00425C57" w:rsidRPr="00884FAA" w14:paraId="5741FC79" w14:textId="77777777" w:rsidTr="006C6A63">
        <w:tc>
          <w:tcPr>
            <w:cnfStyle w:val="001000000000" w:firstRow="0" w:lastRow="0" w:firstColumn="1" w:lastColumn="0" w:oddVBand="0" w:evenVBand="0" w:oddHBand="0" w:evenHBand="0" w:firstRowFirstColumn="0" w:firstRowLastColumn="0" w:lastRowFirstColumn="0" w:lastRowLastColumn="0"/>
            <w:tcW w:w="1372" w:type="dxa"/>
            <w:vMerge/>
          </w:tcPr>
          <w:p w14:paraId="48E05987" w14:textId="77777777" w:rsidR="00425C57" w:rsidRPr="00884FAA" w:rsidRDefault="00425C57" w:rsidP="00B15AFA">
            <w:pPr>
              <w:pStyle w:val="TableText"/>
            </w:pPr>
          </w:p>
        </w:tc>
        <w:tc>
          <w:tcPr>
            <w:tcW w:w="2025" w:type="dxa"/>
          </w:tcPr>
          <w:p w14:paraId="61D75B45"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Non-Indigenous</w:t>
            </w:r>
          </w:p>
        </w:tc>
        <w:tc>
          <w:tcPr>
            <w:tcW w:w="1559" w:type="dxa"/>
          </w:tcPr>
          <w:p w14:paraId="1DD54DFF"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45.9</w:t>
            </w:r>
          </w:p>
        </w:tc>
        <w:tc>
          <w:tcPr>
            <w:tcW w:w="1558" w:type="dxa"/>
          </w:tcPr>
          <w:p w14:paraId="1B1DE0A4" w14:textId="77777777" w:rsidR="00425C57" w:rsidRPr="00884FAA" w:rsidRDefault="00425C57" w:rsidP="00B15AFA">
            <w:pPr>
              <w:pStyle w:val="TableText"/>
              <w:jc w:val="center"/>
              <w:cnfStyle w:val="000000000000" w:firstRow="0" w:lastRow="0" w:firstColumn="0" w:lastColumn="0" w:oddVBand="0" w:evenVBand="0" w:oddHBand="0" w:evenHBand="0" w:firstRowFirstColumn="0" w:firstRowLastColumn="0" w:lastRowFirstColumn="0" w:lastRowLastColumn="0"/>
            </w:pPr>
            <w:r w:rsidRPr="00884FAA">
              <w:t>42.3</w:t>
            </w:r>
          </w:p>
        </w:tc>
        <w:tc>
          <w:tcPr>
            <w:tcW w:w="1841" w:type="dxa"/>
          </w:tcPr>
          <w:p w14:paraId="643FC579"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0.98 (0.98, 0.98)</w:t>
            </w:r>
          </w:p>
        </w:tc>
        <w:tc>
          <w:tcPr>
            <w:tcW w:w="865" w:type="dxa"/>
          </w:tcPr>
          <w:p w14:paraId="7D87A13F" w14:textId="77777777" w:rsidR="00425C57" w:rsidRPr="00884FAA" w:rsidRDefault="00425C57" w:rsidP="00B15AFA">
            <w:pPr>
              <w:pStyle w:val="TableText"/>
              <w:cnfStyle w:val="000000000000" w:firstRow="0" w:lastRow="0" w:firstColumn="0" w:lastColumn="0" w:oddVBand="0" w:evenVBand="0" w:oddHBand="0" w:evenHBand="0" w:firstRowFirstColumn="0" w:firstRowLastColumn="0" w:lastRowFirstColumn="0" w:lastRowLastColumn="0"/>
            </w:pPr>
            <w:r w:rsidRPr="00884FAA">
              <w:t>&lt;0.001</w:t>
            </w:r>
          </w:p>
        </w:tc>
      </w:tr>
    </w:tbl>
    <w:p w14:paraId="197FA146" w14:textId="0EDFACE5" w:rsidR="00425C57" w:rsidRPr="006C6A63" w:rsidRDefault="006C6A63" w:rsidP="006C6A63">
      <w:pPr>
        <w:spacing w:before="60" w:after="360"/>
        <w:rPr>
          <w:sz w:val="21"/>
          <w:szCs w:val="21"/>
        </w:rPr>
      </w:pPr>
      <w:r w:rsidRPr="002F6029">
        <w:rPr>
          <w:sz w:val="21"/>
          <w:szCs w:val="21"/>
        </w:rPr>
        <w:t xml:space="preserve">Source: </w:t>
      </w:r>
      <w:r>
        <w:rPr>
          <w:sz w:val="21"/>
          <w:szCs w:val="21"/>
        </w:rPr>
        <w:t xml:space="preserve">Data sourced from the </w:t>
      </w:r>
      <w:r w:rsidRPr="002F6029">
        <w:rPr>
          <w:sz w:val="21"/>
          <w:szCs w:val="21"/>
          <w:lang w:val="en-NZ"/>
        </w:rPr>
        <w:t>National Health Workforce Dataset.</w:t>
      </w:r>
    </w:p>
    <w:p w14:paraId="5274531A" w14:textId="3CD7A85E" w:rsidR="00F812E5" w:rsidRPr="00884FAA" w:rsidRDefault="00592222" w:rsidP="00150D78">
      <w:pPr>
        <w:pStyle w:val="Heading6"/>
        <w:numPr>
          <w:ilvl w:val="0"/>
          <w:numId w:val="0"/>
        </w:numPr>
        <w:ind w:left="1152" w:hanging="1152"/>
        <w:rPr>
          <w:lang w:val="en-AU"/>
        </w:rPr>
      </w:pPr>
      <w:r w:rsidRPr="00884FAA">
        <w:rPr>
          <w:lang w:val="en-AU"/>
        </w:rPr>
        <w:t>Workforce gender</w:t>
      </w:r>
    </w:p>
    <w:p w14:paraId="68FB4373" w14:textId="14363A20" w:rsidR="0010558E" w:rsidRPr="00884FAA" w:rsidRDefault="00704476" w:rsidP="00A030B7">
      <w:r w:rsidRPr="00704476">
        <w:t xml:space="preserve">A gender responsive workforce </w:t>
      </w:r>
      <w:r w:rsidR="0057707F">
        <w:t xml:space="preserve">that can respond to gendered understandings of health and wellbeing </w:t>
      </w:r>
      <w:r w:rsidRPr="00704476">
        <w:t>is important for the observance of cultural protocols and cultural safety for Aboriginal and Torres Strait Islander people</w:t>
      </w:r>
      <w:r>
        <w:t xml:space="preserve">. </w:t>
      </w:r>
    </w:p>
    <w:p w14:paraId="09516706" w14:textId="77777777" w:rsidR="00165B17" w:rsidRDefault="0078660E" w:rsidP="0078660E">
      <w:r>
        <w:t xml:space="preserve">The National </w:t>
      </w:r>
      <w:r w:rsidR="00E207A2" w:rsidRPr="00884FAA">
        <w:t>H</w:t>
      </w:r>
      <w:r w:rsidR="00553361" w:rsidRPr="00884FAA">
        <w:t xml:space="preserve">ealth </w:t>
      </w:r>
      <w:r>
        <w:t>W</w:t>
      </w:r>
      <w:r w:rsidR="00306C41" w:rsidRPr="00884FAA">
        <w:t xml:space="preserve">orkforce </w:t>
      </w:r>
      <w:r>
        <w:t>Dataset</w:t>
      </w:r>
      <w:r w:rsidR="00306C41" w:rsidRPr="00884FAA">
        <w:t xml:space="preserve"> </w:t>
      </w:r>
      <w:r w:rsidR="00E207A2" w:rsidRPr="00884FAA">
        <w:t>was used</w:t>
      </w:r>
      <w:r w:rsidR="00306C41" w:rsidRPr="00884FAA">
        <w:t xml:space="preserve"> to </w:t>
      </w:r>
      <w:r w:rsidR="003A035B" w:rsidRPr="00884FAA">
        <w:t xml:space="preserve">examine the </w:t>
      </w:r>
      <w:r w:rsidR="00C559C1" w:rsidRPr="00884FAA">
        <w:t>split between male and female staff</w:t>
      </w:r>
      <w:r w:rsidR="002E7D25" w:rsidRPr="00884FAA">
        <w:t xml:space="preserve">, on the assumption that an appropriate workforce would have a mix </w:t>
      </w:r>
      <w:r w:rsidR="002F24FF" w:rsidRPr="00884FAA">
        <w:t>of genders.</w:t>
      </w:r>
      <w:r w:rsidR="001957EB" w:rsidRPr="00884FAA">
        <w:t xml:space="preserve"> </w:t>
      </w:r>
      <w:r w:rsidR="00E207A2" w:rsidRPr="00884FAA">
        <w:t>R</w:t>
      </w:r>
      <w:r w:rsidR="002B73F8" w:rsidRPr="00884FAA">
        <w:t>esults</w:t>
      </w:r>
      <w:r w:rsidR="00E207A2" w:rsidRPr="00884FAA">
        <w:t xml:space="preserve"> were</w:t>
      </w:r>
      <w:r w:rsidR="002B73F8" w:rsidRPr="00884FAA">
        <w:t xml:space="preserve"> </w:t>
      </w:r>
      <w:r w:rsidR="00DC3758" w:rsidRPr="00884FAA">
        <w:t>analysed</w:t>
      </w:r>
      <w:r w:rsidR="002B73F8" w:rsidRPr="00884FAA">
        <w:t xml:space="preserve"> for</w:t>
      </w:r>
      <w:r w:rsidR="005F5128" w:rsidRPr="00884FAA">
        <w:t xml:space="preserve"> all </w:t>
      </w:r>
      <w:r w:rsidR="00B12C23" w:rsidRPr="00884FAA">
        <w:t>settings</w:t>
      </w:r>
      <w:r w:rsidR="005F5128" w:rsidRPr="00884FAA">
        <w:t xml:space="preserve"> (</w:t>
      </w:r>
      <w:r w:rsidR="003F5E3B" w:rsidRPr="00884FAA">
        <w:t>Aboriginal health organisations, hospitals, and private practice</w:t>
      </w:r>
      <w:r w:rsidR="005F5128" w:rsidRPr="00884FAA">
        <w:t>)</w:t>
      </w:r>
      <w:r w:rsidR="00AD44DF" w:rsidRPr="00884FAA">
        <w:t xml:space="preserve"> </w:t>
      </w:r>
      <w:r w:rsidR="00783A37" w:rsidRPr="00884FAA">
        <w:t xml:space="preserve">in </w:t>
      </w:r>
      <w:r w:rsidR="001957EB" w:rsidRPr="00884FAA">
        <w:t>participating sites and across Australia</w:t>
      </w:r>
      <w:r w:rsidR="00515A19" w:rsidRPr="00884FAA">
        <w:t xml:space="preserve">, and </w:t>
      </w:r>
      <w:r w:rsidR="001957EB" w:rsidRPr="00884FAA">
        <w:t>for Indigenous and non-Indigenous staff. Again the analysis was limited to staff with clinical job roles.</w:t>
      </w:r>
      <w:r w:rsidR="000478CB" w:rsidRPr="00884FAA">
        <w:t xml:space="preserve"> </w:t>
      </w:r>
      <w:r w:rsidR="00A030B7" w:rsidRPr="00884FAA">
        <w:t xml:space="preserve">Among participating sites, 80% of </w:t>
      </w:r>
      <w:r w:rsidR="003816C4" w:rsidRPr="00884FAA">
        <w:t xml:space="preserve">Indigenous </w:t>
      </w:r>
      <w:r w:rsidR="00A030B7" w:rsidRPr="00884FAA">
        <w:t xml:space="preserve">staff were female in 2019, compared to 75% of all staff (Indigenous, non-Indigenous and unknown Indigenous status). </w:t>
      </w:r>
      <w:r w:rsidR="00C7108A" w:rsidRPr="00884FAA">
        <w:t xml:space="preserve">This </w:t>
      </w:r>
      <w:r w:rsidR="00666FC8" w:rsidRPr="00884FAA">
        <w:t>indicates</w:t>
      </w:r>
      <w:r w:rsidR="00C7108A" w:rsidRPr="00884FAA">
        <w:t xml:space="preserve"> that </w:t>
      </w:r>
      <w:r w:rsidR="007071A5" w:rsidRPr="00884FAA">
        <w:t xml:space="preserve">it is likely to be more challenging for clients to see male </w:t>
      </w:r>
      <w:r w:rsidR="00925C1E" w:rsidRPr="00884FAA">
        <w:t>clinicians</w:t>
      </w:r>
      <w:r w:rsidR="002454E1" w:rsidRPr="00884FAA">
        <w:t xml:space="preserve"> than it is to see females.</w:t>
      </w:r>
      <w:r w:rsidR="00424333" w:rsidRPr="00884FAA">
        <w:t xml:space="preserve"> </w:t>
      </w:r>
      <w:r w:rsidR="00A030B7" w:rsidRPr="00884FAA">
        <w:t xml:space="preserve">There was no change over time in the proportion of staff that were female </w:t>
      </w:r>
      <w:r w:rsidR="00760D74" w:rsidRPr="00884FAA">
        <w:t>(</w:t>
      </w:r>
      <w:r w:rsidR="00543E54" w:rsidRPr="00884FAA">
        <w:fldChar w:fldCharType="begin"/>
      </w:r>
      <w:r w:rsidR="00543E54" w:rsidRPr="00884FAA">
        <w:instrText xml:space="preserve"> REF _Ref130730433 \h </w:instrText>
      </w:r>
      <w:r w:rsidR="00543E54" w:rsidRPr="00884FAA">
        <w:fldChar w:fldCharType="separate"/>
      </w:r>
    </w:p>
    <w:p w14:paraId="12EA1957" w14:textId="77777777" w:rsidR="00165B17" w:rsidRDefault="00165B17">
      <w:pPr>
        <w:jc w:val="left"/>
      </w:pPr>
      <w:r>
        <w:br w:type="page"/>
      </w:r>
    </w:p>
    <w:p w14:paraId="2E52FD17" w14:textId="1A44669B" w:rsidR="00300C3C" w:rsidRDefault="00165B17" w:rsidP="0078660E">
      <w:r w:rsidRPr="00884FAA">
        <w:lastRenderedPageBreak/>
        <w:t xml:space="preserve">Table </w:t>
      </w:r>
      <w:r>
        <w:rPr>
          <w:noProof/>
        </w:rPr>
        <w:t>7</w:t>
      </w:r>
      <w:r>
        <w:noBreakHyphen/>
      </w:r>
      <w:r>
        <w:rPr>
          <w:noProof/>
        </w:rPr>
        <w:t>5</w:t>
      </w:r>
      <w:r w:rsidR="00543E54" w:rsidRPr="00884FAA">
        <w:fldChar w:fldCharType="end"/>
      </w:r>
      <w:r w:rsidR="00760D74" w:rsidRPr="00884FAA">
        <w:t>)</w:t>
      </w:r>
      <w:r w:rsidR="00A030B7" w:rsidRPr="00884FAA">
        <w:t xml:space="preserve">. </w:t>
      </w:r>
      <w:bookmarkStart w:id="230" w:name="_Ref130730433"/>
      <w:bookmarkStart w:id="231" w:name="_Toc128937743"/>
      <w:bookmarkStart w:id="232" w:name="_Toc130540091"/>
    </w:p>
    <w:p w14:paraId="2BC620B0" w14:textId="77777777" w:rsidR="00300C3C" w:rsidRDefault="00300C3C">
      <w:pPr>
        <w:jc w:val="left"/>
      </w:pPr>
      <w:r>
        <w:br w:type="page"/>
      </w:r>
    </w:p>
    <w:p w14:paraId="2267D690" w14:textId="6F524526" w:rsidR="00A030B7" w:rsidRPr="00884FAA" w:rsidRDefault="00543E54" w:rsidP="00543E54">
      <w:pPr>
        <w:pStyle w:val="TableFigure-Header"/>
        <w:rPr>
          <w:lang w:val="en-AU"/>
        </w:rPr>
      </w:pPr>
      <w:bookmarkStart w:id="233" w:name="_Toc138851283"/>
      <w:r w:rsidRPr="00884FAA">
        <w:rPr>
          <w:lang w:val="en-AU"/>
        </w:rPr>
        <w:lastRenderedPageBreak/>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7</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5</w:t>
      </w:r>
      <w:r w:rsidR="00B92D87">
        <w:rPr>
          <w:lang w:val="en-AU"/>
        </w:rPr>
        <w:fldChar w:fldCharType="end"/>
      </w:r>
      <w:bookmarkEnd w:id="230"/>
      <w:r w:rsidRPr="00884FAA">
        <w:rPr>
          <w:lang w:val="en-AU"/>
        </w:rPr>
        <w:t xml:space="preserve">. </w:t>
      </w:r>
      <w:r w:rsidR="00A030B7" w:rsidRPr="00884FAA">
        <w:rPr>
          <w:lang w:val="en-AU"/>
        </w:rPr>
        <w:t>Changes in proportion of staff who were female from 2013-2019 by Indigenous status, for sites and across Australia</w:t>
      </w:r>
      <w:bookmarkEnd w:id="231"/>
      <w:bookmarkEnd w:id="232"/>
      <w:bookmarkEnd w:id="233"/>
    </w:p>
    <w:tbl>
      <w:tblPr>
        <w:tblStyle w:val="ACTableDesign1White"/>
        <w:tblW w:w="9069" w:type="dxa"/>
        <w:tblLook w:val="06A0" w:firstRow="1" w:lastRow="0" w:firstColumn="1" w:lastColumn="0" w:noHBand="1" w:noVBand="1"/>
      </w:tblPr>
      <w:tblGrid>
        <w:gridCol w:w="1373"/>
        <w:gridCol w:w="2593"/>
        <w:gridCol w:w="1276"/>
        <w:gridCol w:w="1134"/>
        <w:gridCol w:w="1985"/>
        <w:gridCol w:w="708"/>
      </w:tblGrid>
      <w:tr w:rsidR="0040237C" w:rsidRPr="00884FAA" w14:paraId="0F061F20" w14:textId="77777777" w:rsidTr="006A54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049F184D" w14:textId="77777777" w:rsidR="00A030B7" w:rsidRPr="0058387D" w:rsidRDefault="00A030B7" w:rsidP="0040237C">
            <w:pPr>
              <w:pStyle w:val="TableText"/>
              <w:rPr>
                <w:color w:val="000000" w:themeColor="text1"/>
              </w:rPr>
            </w:pPr>
            <w:r w:rsidRPr="0058387D">
              <w:rPr>
                <w:color w:val="000000" w:themeColor="text1"/>
              </w:rPr>
              <w:t>Level</w:t>
            </w:r>
          </w:p>
        </w:tc>
        <w:tc>
          <w:tcPr>
            <w:tcW w:w="2593" w:type="dxa"/>
          </w:tcPr>
          <w:p w14:paraId="6673E81C" w14:textId="13E4CD12" w:rsidR="00A030B7" w:rsidRPr="0058387D" w:rsidRDefault="00A030B7" w:rsidP="0040237C">
            <w:pPr>
              <w:pStyle w:val="TableTex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xml:space="preserve">Staff Indigenous </w:t>
            </w:r>
            <w:r w:rsidR="000D305E" w:rsidRPr="0058387D">
              <w:rPr>
                <w:color w:val="000000" w:themeColor="text1"/>
              </w:rPr>
              <w:t>s</w:t>
            </w:r>
            <w:r w:rsidRPr="0058387D">
              <w:rPr>
                <w:color w:val="000000" w:themeColor="text1"/>
              </w:rPr>
              <w:t>tatus</w:t>
            </w:r>
          </w:p>
        </w:tc>
        <w:tc>
          <w:tcPr>
            <w:tcW w:w="1276" w:type="dxa"/>
          </w:tcPr>
          <w:p w14:paraId="079C6579" w14:textId="77777777" w:rsidR="00A030B7" w:rsidRPr="0058387D" w:rsidRDefault="00A030B7" w:rsidP="006A54E8">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staff female in 2013</w:t>
            </w:r>
          </w:p>
        </w:tc>
        <w:tc>
          <w:tcPr>
            <w:tcW w:w="1134" w:type="dxa"/>
          </w:tcPr>
          <w:p w14:paraId="15ED8AA2" w14:textId="77777777" w:rsidR="00A030B7" w:rsidRPr="0058387D" w:rsidRDefault="00A030B7" w:rsidP="006A54E8">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 staff female in 2019</w:t>
            </w:r>
          </w:p>
        </w:tc>
        <w:tc>
          <w:tcPr>
            <w:tcW w:w="1985" w:type="dxa"/>
          </w:tcPr>
          <w:p w14:paraId="54EC1AC1" w14:textId="77777777" w:rsidR="00A030B7" w:rsidRPr="0058387D" w:rsidRDefault="00A030B7" w:rsidP="006A54E8">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OR (95% CI)</w:t>
            </w:r>
          </w:p>
        </w:tc>
        <w:tc>
          <w:tcPr>
            <w:tcW w:w="708" w:type="dxa"/>
          </w:tcPr>
          <w:p w14:paraId="00CB36E8" w14:textId="77777777" w:rsidR="00A030B7" w:rsidRPr="0058387D" w:rsidRDefault="00A030B7" w:rsidP="006A54E8">
            <w:pPr>
              <w:pStyle w:val="TableText"/>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P</w:t>
            </w:r>
          </w:p>
        </w:tc>
      </w:tr>
      <w:tr w:rsidR="0040237C" w:rsidRPr="00884FAA" w14:paraId="7FBC1DBB" w14:textId="77777777" w:rsidTr="006A54E8">
        <w:tc>
          <w:tcPr>
            <w:cnfStyle w:val="001000000000" w:firstRow="0" w:lastRow="0" w:firstColumn="1" w:lastColumn="0" w:oddVBand="0" w:evenVBand="0" w:oddHBand="0" w:evenHBand="0" w:firstRowFirstColumn="0" w:firstRowLastColumn="0" w:lastRowFirstColumn="0" w:lastRowLastColumn="0"/>
            <w:tcW w:w="1373" w:type="dxa"/>
            <w:vMerge w:val="restart"/>
          </w:tcPr>
          <w:p w14:paraId="78E4D4FB" w14:textId="77777777" w:rsidR="00A030B7" w:rsidRPr="00884FAA" w:rsidRDefault="00A030B7" w:rsidP="0040237C">
            <w:pPr>
              <w:pStyle w:val="TableText"/>
            </w:pPr>
            <w:r w:rsidRPr="00884FAA">
              <w:t>Participating sites</w:t>
            </w:r>
          </w:p>
        </w:tc>
        <w:tc>
          <w:tcPr>
            <w:tcW w:w="2593" w:type="dxa"/>
          </w:tcPr>
          <w:p w14:paraId="7DCB9C06" w14:textId="77777777" w:rsidR="00A030B7" w:rsidRPr="00884FAA" w:rsidRDefault="00A030B7" w:rsidP="0040237C">
            <w:pPr>
              <w:pStyle w:val="TableText"/>
              <w:cnfStyle w:val="000000000000" w:firstRow="0" w:lastRow="0" w:firstColumn="0" w:lastColumn="0" w:oddVBand="0" w:evenVBand="0" w:oddHBand="0" w:evenHBand="0" w:firstRowFirstColumn="0" w:firstRowLastColumn="0" w:lastRowFirstColumn="0" w:lastRowLastColumn="0"/>
            </w:pPr>
            <w:r w:rsidRPr="00884FAA">
              <w:t>Indigenous</w:t>
            </w:r>
          </w:p>
        </w:tc>
        <w:tc>
          <w:tcPr>
            <w:tcW w:w="1276" w:type="dxa"/>
          </w:tcPr>
          <w:p w14:paraId="072D9DED"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80.9</w:t>
            </w:r>
          </w:p>
        </w:tc>
        <w:tc>
          <w:tcPr>
            <w:tcW w:w="1134" w:type="dxa"/>
          </w:tcPr>
          <w:p w14:paraId="7C10376E"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80.1</w:t>
            </w:r>
          </w:p>
        </w:tc>
        <w:tc>
          <w:tcPr>
            <w:tcW w:w="1985" w:type="dxa"/>
          </w:tcPr>
          <w:p w14:paraId="152B68DB"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1.00 (0.96, 1.04)</w:t>
            </w:r>
          </w:p>
        </w:tc>
        <w:tc>
          <w:tcPr>
            <w:tcW w:w="708" w:type="dxa"/>
          </w:tcPr>
          <w:p w14:paraId="3D6250A2"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0.94</w:t>
            </w:r>
          </w:p>
        </w:tc>
      </w:tr>
      <w:tr w:rsidR="0040237C" w:rsidRPr="00884FAA" w14:paraId="396FFFA8" w14:textId="77777777" w:rsidTr="006A54E8">
        <w:tc>
          <w:tcPr>
            <w:cnfStyle w:val="001000000000" w:firstRow="0" w:lastRow="0" w:firstColumn="1" w:lastColumn="0" w:oddVBand="0" w:evenVBand="0" w:oddHBand="0" w:evenHBand="0" w:firstRowFirstColumn="0" w:firstRowLastColumn="0" w:lastRowFirstColumn="0" w:lastRowLastColumn="0"/>
            <w:tcW w:w="1373" w:type="dxa"/>
            <w:vMerge/>
          </w:tcPr>
          <w:p w14:paraId="6ECD88B1" w14:textId="77777777" w:rsidR="00A030B7" w:rsidRPr="00884FAA" w:rsidRDefault="00A030B7" w:rsidP="0040237C">
            <w:pPr>
              <w:pStyle w:val="TableText"/>
            </w:pPr>
          </w:p>
        </w:tc>
        <w:tc>
          <w:tcPr>
            <w:tcW w:w="2593" w:type="dxa"/>
          </w:tcPr>
          <w:p w14:paraId="5E01CE95" w14:textId="77777777" w:rsidR="00A030B7" w:rsidRPr="00884FAA" w:rsidRDefault="00A030B7" w:rsidP="0040237C">
            <w:pPr>
              <w:pStyle w:val="TableText"/>
              <w:cnfStyle w:val="000000000000" w:firstRow="0" w:lastRow="0" w:firstColumn="0" w:lastColumn="0" w:oddVBand="0" w:evenVBand="0" w:oddHBand="0" w:evenHBand="0" w:firstRowFirstColumn="0" w:firstRowLastColumn="0" w:lastRowFirstColumn="0" w:lastRowLastColumn="0"/>
            </w:pPr>
            <w:r w:rsidRPr="00884FAA">
              <w:t>Indigenous and non-Indigenous</w:t>
            </w:r>
          </w:p>
        </w:tc>
        <w:tc>
          <w:tcPr>
            <w:tcW w:w="1276" w:type="dxa"/>
          </w:tcPr>
          <w:p w14:paraId="065F13B5"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75.4</w:t>
            </w:r>
          </w:p>
        </w:tc>
        <w:tc>
          <w:tcPr>
            <w:tcW w:w="1134" w:type="dxa"/>
          </w:tcPr>
          <w:p w14:paraId="0883B79C"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74.9</w:t>
            </w:r>
          </w:p>
        </w:tc>
        <w:tc>
          <w:tcPr>
            <w:tcW w:w="1985" w:type="dxa"/>
          </w:tcPr>
          <w:p w14:paraId="40279FA2"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1.00 (0.99, 1.00)</w:t>
            </w:r>
          </w:p>
        </w:tc>
        <w:tc>
          <w:tcPr>
            <w:tcW w:w="708" w:type="dxa"/>
          </w:tcPr>
          <w:p w14:paraId="4B23DA06"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0.26</w:t>
            </w:r>
          </w:p>
        </w:tc>
      </w:tr>
      <w:tr w:rsidR="0040237C" w:rsidRPr="00884FAA" w14:paraId="36B9F840" w14:textId="77777777" w:rsidTr="006A54E8">
        <w:tc>
          <w:tcPr>
            <w:cnfStyle w:val="001000000000" w:firstRow="0" w:lastRow="0" w:firstColumn="1" w:lastColumn="0" w:oddVBand="0" w:evenVBand="0" w:oddHBand="0" w:evenHBand="0" w:firstRowFirstColumn="0" w:firstRowLastColumn="0" w:lastRowFirstColumn="0" w:lastRowLastColumn="0"/>
            <w:tcW w:w="1373" w:type="dxa"/>
          </w:tcPr>
          <w:p w14:paraId="18AFA3F4" w14:textId="60E3EC21" w:rsidR="00A030B7" w:rsidRPr="00884FAA" w:rsidRDefault="00A030B7" w:rsidP="0040237C">
            <w:pPr>
              <w:pStyle w:val="TableText"/>
            </w:pPr>
            <w:r w:rsidRPr="00884FAA">
              <w:t>Australia</w:t>
            </w:r>
            <w:r w:rsidR="00CE05AC" w:rsidRPr="00884FAA">
              <w:rPr>
                <w:vertAlign w:val="superscript"/>
              </w:rPr>
              <w:t>(a)</w:t>
            </w:r>
          </w:p>
        </w:tc>
        <w:tc>
          <w:tcPr>
            <w:tcW w:w="2593" w:type="dxa"/>
          </w:tcPr>
          <w:p w14:paraId="25318BE7" w14:textId="77777777" w:rsidR="00A030B7" w:rsidRPr="00884FAA" w:rsidRDefault="00A030B7" w:rsidP="0040237C">
            <w:pPr>
              <w:pStyle w:val="TableText"/>
              <w:cnfStyle w:val="000000000000" w:firstRow="0" w:lastRow="0" w:firstColumn="0" w:lastColumn="0" w:oddVBand="0" w:evenVBand="0" w:oddHBand="0" w:evenHBand="0" w:firstRowFirstColumn="0" w:firstRowLastColumn="0" w:lastRowFirstColumn="0" w:lastRowLastColumn="0"/>
            </w:pPr>
            <w:r w:rsidRPr="00884FAA">
              <w:t>Indigenous and non-Indigenous</w:t>
            </w:r>
          </w:p>
        </w:tc>
        <w:tc>
          <w:tcPr>
            <w:tcW w:w="1276" w:type="dxa"/>
          </w:tcPr>
          <w:p w14:paraId="78D0E299"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75.1</w:t>
            </w:r>
          </w:p>
        </w:tc>
        <w:tc>
          <w:tcPr>
            <w:tcW w:w="1134" w:type="dxa"/>
          </w:tcPr>
          <w:p w14:paraId="009204F1"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74.7</w:t>
            </w:r>
          </w:p>
        </w:tc>
        <w:tc>
          <w:tcPr>
            <w:tcW w:w="1985" w:type="dxa"/>
          </w:tcPr>
          <w:p w14:paraId="7CD440AD"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1.00 (1.00, 1.00)</w:t>
            </w:r>
          </w:p>
        </w:tc>
        <w:tc>
          <w:tcPr>
            <w:tcW w:w="708" w:type="dxa"/>
          </w:tcPr>
          <w:p w14:paraId="75C236B7" w14:textId="77777777" w:rsidR="00A030B7" w:rsidRPr="00884FAA" w:rsidRDefault="00A030B7" w:rsidP="006A54E8">
            <w:pPr>
              <w:pStyle w:val="TableText"/>
              <w:jc w:val="center"/>
              <w:cnfStyle w:val="000000000000" w:firstRow="0" w:lastRow="0" w:firstColumn="0" w:lastColumn="0" w:oddVBand="0" w:evenVBand="0" w:oddHBand="0" w:evenHBand="0" w:firstRowFirstColumn="0" w:firstRowLastColumn="0" w:lastRowFirstColumn="0" w:lastRowLastColumn="0"/>
            </w:pPr>
            <w:r w:rsidRPr="00884FAA">
              <w:t>0.51</w:t>
            </w:r>
          </w:p>
        </w:tc>
      </w:tr>
    </w:tbl>
    <w:p w14:paraId="35F888E9" w14:textId="77777777" w:rsidR="006C6A63" w:rsidRPr="002F6029" w:rsidRDefault="006C6A63" w:rsidP="006C6A63">
      <w:pPr>
        <w:spacing w:before="60" w:after="0"/>
        <w:rPr>
          <w:sz w:val="21"/>
          <w:szCs w:val="21"/>
        </w:rPr>
      </w:pPr>
      <w:r w:rsidRPr="002F6029">
        <w:rPr>
          <w:sz w:val="21"/>
          <w:szCs w:val="21"/>
        </w:rPr>
        <w:t xml:space="preserve">Source: </w:t>
      </w:r>
      <w:r>
        <w:rPr>
          <w:sz w:val="21"/>
          <w:szCs w:val="21"/>
        </w:rPr>
        <w:t xml:space="preserve">Data sourced from the </w:t>
      </w:r>
      <w:r w:rsidRPr="002F6029">
        <w:rPr>
          <w:sz w:val="21"/>
          <w:szCs w:val="21"/>
          <w:lang w:val="en-NZ"/>
        </w:rPr>
        <w:t>National Health Workforce Dataset.</w:t>
      </w:r>
    </w:p>
    <w:p w14:paraId="17758D23" w14:textId="0337210F" w:rsidR="00A030B7" w:rsidRPr="00884FAA" w:rsidRDefault="008F2FF1" w:rsidP="008F2FF1">
      <w:pPr>
        <w:pStyle w:val="TableFigure-Header"/>
        <w:spacing w:before="60" w:after="360"/>
        <w:rPr>
          <w:b w:val="0"/>
          <w:bCs/>
          <w:lang w:val="en-AU"/>
        </w:rPr>
      </w:pPr>
      <w:r w:rsidRPr="00884FAA">
        <w:rPr>
          <w:b w:val="0"/>
          <w:bCs/>
          <w:vertAlign w:val="superscript"/>
          <w:lang w:val="en-AU"/>
        </w:rPr>
        <w:t>(a)</w:t>
      </w:r>
      <w:r w:rsidRPr="00884FAA">
        <w:rPr>
          <w:b w:val="0"/>
          <w:bCs/>
          <w:lang w:val="en-AU"/>
        </w:rPr>
        <w:t xml:space="preserve"> </w:t>
      </w:r>
      <w:r w:rsidR="00A030B7" w:rsidRPr="00884FAA">
        <w:rPr>
          <w:b w:val="0"/>
          <w:bCs/>
          <w:lang w:val="en-AU"/>
        </w:rPr>
        <w:t>Results are not shown for the per</w:t>
      </w:r>
      <w:r w:rsidR="0009233C" w:rsidRPr="00884FAA">
        <w:rPr>
          <w:b w:val="0"/>
          <w:bCs/>
          <w:lang w:val="en-AU"/>
        </w:rPr>
        <w:t xml:space="preserve"> </w:t>
      </w:r>
      <w:r w:rsidR="00A030B7" w:rsidRPr="00884FAA">
        <w:rPr>
          <w:b w:val="0"/>
          <w:bCs/>
          <w:lang w:val="en-AU"/>
        </w:rPr>
        <w:t>cent of Indigenous staff that were female across Australia because the confidence interval could not be estimated with the random effects model. However, a fixed effects model with site included as a fixed effect also found no significant change over time.</w:t>
      </w:r>
    </w:p>
    <w:p w14:paraId="153CA504" w14:textId="37D5AF74" w:rsidR="00C80DED" w:rsidRPr="00884FAA" w:rsidRDefault="001F420B" w:rsidP="00651D06">
      <w:pPr>
        <w:pStyle w:val="Heading3"/>
      </w:pPr>
      <w:r w:rsidRPr="00884FAA">
        <w:t xml:space="preserve">The number of </w:t>
      </w:r>
      <w:r w:rsidR="0012757C" w:rsidRPr="00884FAA">
        <w:t>Aboriginal and Torres Strait Islander</w:t>
      </w:r>
      <w:r w:rsidRPr="00884FAA">
        <w:t xml:space="preserve"> staff in the health workforce has</w:t>
      </w:r>
      <w:r w:rsidR="00EF0610" w:rsidRPr="00884FAA">
        <w:t xml:space="preserve"> increased </w:t>
      </w:r>
      <w:r w:rsidRPr="00884FAA">
        <w:t>significantly</w:t>
      </w:r>
    </w:p>
    <w:p w14:paraId="4B8EF82A" w14:textId="2965E977" w:rsidR="00605C34" w:rsidRPr="00884FAA" w:rsidRDefault="00605C34" w:rsidP="00605C34">
      <w:bookmarkStart w:id="234" w:name="_Hlk128488082"/>
      <w:r w:rsidRPr="00884FAA">
        <w:t>Aboriginal and Torres Strait Islander people identified the delivery of health care by other Aboriginal and Torres Strait Islander people was valu</w:t>
      </w:r>
      <w:r w:rsidR="007105FA" w:rsidRPr="00884FAA">
        <w:t>ed</w:t>
      </w:r>
      <w:r w:rsidRPr="00884FAA">
        <w:t xml:space="preserve">. Many ACCHS managers said they were committed to growing their Indigenous workforce. They </w:t>
      </w:r>
      <w:r w:rsidR="00294ECD">
        <w:t xml:space="preserve">told the evaluation </w:t>
      </w:r>
      <w:r w:rsidRPr="00884FAA">
        <w:t xml:space="preserve">about the important message that having an </w:t>
      </w:r>
      <w:r w:rsidR="00294ECD">
        <w:t>Aboriginal and Torres Strait Islander</w:t>
      </w:r>
      <w:r w:rsidR="00294ECD" w:rsidRPr="00884FAA">
        <w:t xml:space="preserve"> </w:t>
      </w:r>
      <w:r w:rsidRPr="00884FAA">
        <w:t>workforce signalled</w:t>
      </w:r>
      <w:r w:rsidR="005F509D">
        <w:t xml:space="preserve"> to the community</w:t>
      </w:r>
      <w:r w:rsidRPr="00884FAA">
        <w:t>.</w:t>
      </w:r>
      <w:r w:rsidR="00AA35E2">
        <w:t xml:space="preserve"> </w:t>
      </w:r>
    </w:p>
    <w:p w14:paraId="46D32E69" w14:textId="15C84447" w:rsidR="00605C34" w:rsidRPr="00A1178E" w:rsidRDefault="00605C34" w:rsidP="00A05B28">
      <w:pPr>
        <w:pStyle w:val="Quote"/>
        <w:spacing w:after="0"/>
        <w:rPr>
          <w:color w:val="18525E" w:themeColor="accent5" w:themeShade="80"/>
        </w:rPr>
      </w:pPr>
      <w:r w:rsidRPr="00A1178E">
        <w:rPr>
          <w:color w:val="18525E" w:themeColor="accent5" w:themeShade="80"/>
        </w:rPr>
        <w:t>So, as I mentioned, we'll soon have four Aboriginal doctors as part of our GP team, and of that we've got two of our Aboriginal health practitioners, that are now moving into the medical stream.</w:t>
      </w:r>
      <w:r w:rsidR="00AA35E2" w:rsidRPr="00A1178E">
        <w:rPr>
          <w:color w:val="18525E" w:themeColor="accent5" w:themeShade="80"/>
        </w:rPr>
        <w:t xml:space="preserve"> </w:t>
      </w:r>
      <w:r w:rsidRPr="00A1178E">
        <w:rPr>
          <w:color w:val="18525E" w:themeColor="accent5" w:themeShade="80"/>
        </w:rPr>
        <w:t>So it does - it goes to show, well, if our mob can do it, I can do it too.</w:t>
      </w:r>
    </w:p>
    <w:p w14:paraId="0B51E0FA" w14:textId="1AD34B0B" w:rsidR="00BF4005" w:rsidRPr="00A05B28" w:rsidRDefault="00BF4005" w:rsidP="00362B01">
      <w:pPr>
        <w:spacing w:before="120"/>
        <w:jc w:val="right"/>
        <w:rPr>
          <w:b/>
          <w:bCs/>
        </w:rPr>
      </w:pPr>
      <w:r w:rsidRPr="00A05B28">
        <w:rPr>
          <w:b/>
          <w:bCs/>
        </w:rPr>
        <w:t xml:space="preserve">ACCHS, Regional location </w:t>
      </w:r>
    </w:p>
    <w:p w14:paraId="200E2F8F" w14:textId="133F7DC2" w:rsidR="000B7644" w:rsidRPr="00884FAA" w:rsidRDefault="00EA1E48" w:rsidP="001409ED">
      <w:r w:rsidRPr="00884FAA">
        <w:t xml:space="preserve">Overall, </w:t>
      </w:r>
      <w:r w:rsidR="00F6570B">
        <w:t>the National Health Workforce Data</w:t>
      </w:r>
      <w:r w:rsidR="00721933">
        <w:t>set</w:t>
      </w:r>
      <w:r w:rsidR="00721810" w:rsidRPr="00884FAA">
        <w:t xml:space="preserve"> records a significant increase in the </w:t>
      </w:r>
      <w:r w:rsidR="00CC734A" w:rsidRPr="00884FAA">
        <w:t xml:space="preserve">number of </w:t>
      </w:r>
      <w:r w:rsidR="00AD1344" w:rsidRPr="00884FAA">
        <w:t>Aboriginal and Torres Strait Islander</w:t>
      </w:r>
      <w:r w:rsidR="00CC734A" w:rsidRPr="00884FAA">
        <w:t xml:space="preserve"> staff</w:t>
      </w:r>
      <w:r w:rsidR="00965BCF" w:rsidRPr="00884FAA">
        <w:t xml:space="preserve"> working across the health system</w:t>
      </w:r>
      <w:r w:rsidR="009E2D1F" w:rsidRPr="00884FAA">
        <w:t xml:space="preserve">. </w:t>
      </w:r>
      <w:r w:rsidR="00E613CF">
        <w:t>D</w:t>
      </w:r>
      <w:r w:rsidR="00A65C1D" w:rsidRPr="00884FAA">
        <w:t xml:space="preserve">ata </w:t>
      </w:r>
      <w:r w:rsidR="007B3B02">
        <w:t>were</w:t>
      </w:r>
      <w:r w:rsidR="007B3B02" w:rsidRPr="00884FAA">
        <w:t xml:space="preserve"> </w:t>
      </w:r>
      <w:r w:rsidR="00F44571" w:rsidRPr="00884FAA">
        <w:t>used</w:t>
      </w:r>
      <w:r w:rsidR="00A65C1D" w:rsidRPr="00884FAA">
        <w:t xml:space="preserve"> to calculate the </w:t>
      </w:r>
      <w:r w:rsidR="001409ED" w:rsidRPr="00884FAA">
        <w:t xml:space="preserve">proportion of staff </w:t>
      </w:r>
      <w:r w:rsidR="00320C7E" w:rsidRPr="00884FAA">
        <w:t>who</w:t>
      </w:r>
      <w:r w:rsidR="001409ED" w:rsidRPr="00884FAA">
        <w:t xml:space="preserve"> were </w:t>
      </w:r>
      <w:r w:rsidR="00662F58" w:rsidRPr="00884FAA">
        <w:t>Aboriginal and Torres Strait Islander</w:t>
      </w:r>
      <w:r w:rsidR="001409ED" w:rsidRPr="00884FAA">
        <w:t xml:space="preserve"> </w:t>
      </w:r>
      <w:r w:rsidR="00A65C1D" w:rsidRPr="00884FAA">
        <w:t>in</w:t>
      </w:r>
      <w:r w:rsidR="001409ED" w:rsidRPr="00884FAA">
        <w:t xml:space="preserve"> </w:t>
      </w:r>
      <w:r w:rsidR="000666B0" w:rsidRPr="00884FAA">
        <w:t xml:space="preserve">a range of settings </w:t>
      </w:r>
      <w:r w:rsidR="00E94640" w:rsidRPr="00884FAA">
        <w:t>(</w:t>
      </w:r>
      <w:r w:rsidR="000666B0" w:rsidRPr="00884FAA">
        <w:t>including Aboriginal health organisations, hospitals, and private practice)</w:t>
      </w:r>
      <w:r w:rsidR="009665BD" w:rsidRPr="00884FAA">
        <w:t xml:space="preserve"> </w:t>
      </w:r>
      <w:r w:rsidR="00CD3C4B" w:rsidRPr="00884FAA">
        <w:t xml:space="preserve">in </w:t>
      </w:r>
      <w:r w:rsidR="001409ED" w:rsidRPr="00884FAA">
        <w:t xml:space="preserve">participating </w:t>
      </w:r>
      <w:r w:rsidR="00A65C1D" w:rsidRPr="00884FAA">
        <w:t xml:space="preserve">evaluation </w:t>
      </w:r>
      <w:r w:rsidR="001409ED" w:rsidRPr="00884FAA">
        <w:t xml:space="preserve">sites and the rest of Australia from 2013 to 2019. </w:t>
      </w:r>
      <w:bookmarkEnd w:id="234"/>
      <w:r w:rsidR="00E613CF">
        <w:t>T</w:t>
      </w:r>
      <w:r w:rsidR="00E613CF" w:rsidRPr="00884FAA">
        <w:t>he analysis was limited to staff with clinical job roles.</w:t>
      </w:r>
      <w:r w:rsidR="00AF2365">
        <w:t xml:space="preserve"> </w:t>
      </w:r>
    </w:p>
    <w:p w14:paraId="576B79DC" w14:textId="62EC5574" w:rsidR="00300C3C" w:rsidRDefault="008F6CFC" w:rsidP="001409ED">
      <w:r>
        <w:t xml:space="preserve">The </w:t>
      </w:r>
      <w:r w:rsidR="00721933">
        <w:t>National Health Workforce Dataset</w:t>
      </w:r>
      <w:r w:rsidR="00721933" w:rsidRPr="00884FAA">
        <w:t xml:space="preserve"> </w:t>
      </w:r>
      <w:r w:rsidR="000B7644" w:rsidRPr="00884FAA">
        <w:t xml:space="preserve">suggest that the </w:t>
      </w:r>
      <w:r w:rsidR="001409ED" w:rsidRPr="00884FAA">
        <w:t xml:space="preserve">proportion of the </w:t>
      </w:r>
      <w:r w:rsidR="005F030A" w:rsidRPr="00884FAA">
        <w:t xml:space="preserve">health </w:t>
      </w:r>
      <w:r w:rsidR="001409ED" w:rsidRPr="00884FAA">
        <w:t xml:space="preserve">workforce recorded as </w:t>
      </w:r>
      <w:r w:rsidR="00FF5648" w:rsidRPr="00884FAA">
        <w:t>Aboriginal and Torres Strait Islander</w:t>
      </w:r>
      <w:r w:rsidR="001409ED" w:rsidRPr="00884FAA">
        <w:t xml:space="preserve"> has </w:t>
      </w:r>
      <w:r w:rsidR="00F70037" w:rsidRPr="00884FAA">
        <w:t xml:space="preserve">increased </w:t>
      </w:r>
      <w:r w:rsidR="001409ED" w:rsidRPr="00884FAA">
        <w:t>significantly over time (</w:t>
      </w:r>
      <w:r w:rsidR="00B12C23" w:rsidRPr="00884FAA">
        <w:fldChar w:fldCharType="begin"/>
      </w:r>
      <w:r w:rsidR="00B12C23" w:rsidRPr="00884FAA">
        <w:instrText xml:space="preserve"> REF _Ref130730614 \h </w:instrText>
      </w:r>
      <w:r w:rsidR="00B12C23" w:rsidRPr="00884FAA">
        <w:fldChar w:fldCharType="separate"/>
      </w:r>
      <w:r w:rsidR="00165B17" w:rsidRPr="00884FAA">
        <w:t xml:space="preserve">Table </w:t>
      </w:r>
      <w:r w:rsidR="00165B17">
        <w:rPr>
          <w:noProof/>
        </w:rPr>
        <w:t>7</w:t>
      </w:r>
      <w:r w:rsidR="00165B17">
        <w:noBreakHyphen/>
      </w:r>
      <w:r w:rsidR="00165B17">
        <w:rPr>
          <w:noProof/>
        </w:rPr>
        <w:t>6</w:t>
      </w:r>
      <w:r w:rsidR="00B12C23" w:rsidRPr="00884FAA">
        <w:fldChar w:fldCharType="end"/>
      </w:r>
      <w:r w:rsidR="001409ED" w:rsidRPr="00884FAA">
        <w:t xml:space="preserve">). Nationally, the number of </w:t>
      </w:r>
      <w:r w:rsidR="00FF5648" w:rsidRPr="00884FAA">
        <w:t>Aboriginal and Torres Strait Islander</w:t>
      </w:r>
      <w:r w:rsidR="001409ED" w:rsidRPr="00884FAA">
        <w:t xml:space="preserve"> staff doubled between 2013 and 2019. As a proportion of the</w:t>
      </w:r>
      <w:r w:rsidR="0016314E" w:rsidRPr="00884FAA">
        <w:t xml:space="preserve"> total</w:t>
      </w:r>
      <w:r w:rsidR="001409ED" w:rsidRPr="00884FAA">
        <w:t xml:space="preserve"> </w:t>
      </w:r>
      <w:r w:rsidR="005F030A" w:rsidRPr="00884FAA">
        <w:t xml:space="preserve">health </w:t>
      </w:r>
      <w:r w:rsidR="001409ED" w:rsidRPr="00884FAA">
        <w:t>workforce</w:t>
      </w:r>
      <w:r w:rsidR="005F030A" w:rsidRPr="00884FAA">
        <w:t xml:space="preserve"> across Australia</w:t>
      </w:r>
      <w:r w:rsidR="001409ED" w:rsidRPr="00884FAA">
        <w:t xml:space="preserve">, </w:t>
      </w:r>
      <w:r w:rsidR="00FF5648" w:rsidRPr="00884FAA">
        <w:t>Aboriginal and Torres Strait Islander</w:t>
      </w:r>
      <w:r w:rsidR="001409ED" w:rsidRPr="00884FAA">
        <w:t xml:space="preserve"> staff increased from 0.7% to 1.2%. Increases were similar for participating sites and throughout Australia.</w:t>
      </w:r>
    </w:p>
    <w:p w14:paraId="76F6C122" w14:textId="77777777" w:rsidR="00300C3C" w:rsidRDefault="00300C3C">
      <w:pPr>
        <w:jc w:val="left"/>
      </w:pPr>
      <w:r>
        <w:br w:type="page"/>
      </w:r>
    </w:p>
    <w:p w14:paraId="512ECD81" w14:textId="47C1D09C" w:rsidR="001409ED" w:rsidRPr="00884FAA" w:rsidRDefault="00B12C23" w:rsidP="00B12C23">
      <w:pPr>
        <w:pStyle w:val="TableFigure-Header"/>
        <w:rPr>
          <w:lang w:val="en-AU"/>
        </w:rPr>
      </w:pPr>
      <w:bookmarkStart w:id="235" w:name="_Ref130730614"/>
      <w:bookmarkStart w:id="236" w:name="_Toc128937742"/>
      <w:bookmarkStart w:id="237" w:name="_Toc130540092"/>
      <w:bookmarkStart w:id="238" w:name="_Toc138851284"/>
      <w:r w:rsidRPr="00884FAA">
        <w:rPr>
          <w:lang w:val="en-AU"/>
        </w:rPr>
        <w:lastRenderedPageBreak/>
        <w:t xml:space="preserve">Table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7</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6</w:t>
      </w:r>
      <w:r w:rsidR="00B92D87">
        <w:rPr>
          <w:lang w:val="en-AU"/>
        </w:rPr>
        <w:fldChar w:fldCharType="end"/>
      </w:r>
      <w:bookmarkEnd w:id="235"/>
      <w:r w:rsidRPr="00884FAA">
        <w:rPr>
          <w:lang w:val="en-AU"/>
        </w:rPr>
        <w:t xml:space="preserve">. </w:t>
      </w:r>
      <w:r w:rsidR="001409ED" w:rsidRPr="00884FAA">
        <w:rPr>
          <w:lang w:val="en-AU"/>
        </w:rPr>
        <w:t xml:space="preserve">Changes in the number </w:t>
      </w:r>
      <w:r w:rsidR="002C367B" w:rsidRPr="00884FAA">
        <w:rPr>
          <w:lang w:val="en-AU"/>
        </w:rPr>
        <w:t>and</w:t>
      </w:r>
      <w:r w:rsidR="001409ED" w:rsidRPr="00884FAA">
        <w:rPr>
          <w:lang w:val="en-AU"/>
        </w:rPr>
        <w:t xml:space="preserve"> proportion of staff who were Indigenous</w:t>
      </w:r>
      <w:r w:rsidR="008B09AF" w:rsidRPr="00884FAA">
        <w:rPr>
          <w:lang w:val="en-AU"/>
        </w:rPr>
        <w:t xml:space="preserve"> from </w:t>
      </w:r>
      <w:r w:rsidR="001409ED" w:rsidRPr="00884FAA">
        <w:rPr>
          <w:lang w:val="en-AU"/>
        </w:rPr>
        <w:t>2013-2019, for sites and across Australia</w:t>
      </w:r>
      <w:bookmarkEnd w:id="236"/>
      <w:bookmarkEnd w:id="237"/>
      <w:bookmarkEnd w:id="238"/>
    </w:p>
    <w:tbl>
      <w:tblPr>
        <w:tblStyle w:val="ACTableDesign1White"/>
        <w:tblW w:w="9069" w:type="dxa"/>
        <w:tblLook w:val="06A0" w:firstRow="1" w:lastRow="0" w:firstColumn="1" w:lastColumn="0" w:noHBand="1" w:noVBand="1"/>
      </w:tblPr>
      <w:tblGrid>
        <w:gridCol w:w="1982"/>
        <w:gridCol w:w="2126"/>
        <w:gridCol w:w="2126"/>
        <w:gridCol w:w="1843"/>
        <w:gridCol w:w="992"/>
      </w:tblGrid>
      <w:tr w:rsidR="004A3661" w:rsidRPr="00884FAA" w14:paraId="48E2A579" w14:textId="77777777" w:rsidTr="002018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B8EACE0" w14:textId="77777777" w:rsidR="001409ED" w:rsidRPr="0058387D" w:rsidRDefault="001409ED" w:rsidP="004A3661">
            <w:pPr>
              <w:pStyle w:val="TableText"/>
              <w:rPr>
                <w:color w:val="000000" w:themeColor="text1"/>
              </w:rPr>
            </w:pPr>
            <w:r w:rsidRPr="0058387D">
              <w:rPr>
                <w:color w:val="000000" w:themeColor="text1"/>
              </w:rPr>
              <w:t>Level</w:t>
            </w:r>
          </w:p>
        </w:tc>
        <w:tc>
          <w:tcPr>
            <w:tcW w:w="2126" w:type="dxa"/>
          </w:tcPr>
          <w:p w14:paraId="7B8ACD23" w14:textId="77777777" w:rsidR="001409ED" w:rsidRPr="0058387D" w:rsidRDefault="001409ED" w:rsidP="000651C2">
            <w:pPr>
              <w:pStyle w:val="TableText"/>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Indigenous staff in 2013</w:t>
            </w:r>
          </w:p>
          <w:p w14:paraId="16ECA7A9" w14:textId="77777777" w:rsidR="001409ED" w:rsidRPr="0058387D" w:rsidRDefault="001409ED" w:rsidP="000651C2">
            <w:pPr>
              <w:pStyle w:val="TableText"/>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n (%)</w:t>
            </w:r>
          </w:p>
        </w:tc>
        <w:tc>
          <w:tcPr>
            <w:tcW w:w="2126" w:type="dxa"/>
          </w:tcPr>
          <w:p w14:paraId="0FE8C042" w14:textId="77777777" w:rsidR="001409ED" w:rsidRPr="0058387D" w:rsidRDefault="001409ED" w:rsidP="000651C2">
            <w:pPr>
              <w:pStyle w:val="TableText"/>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Indigenous staff in 2019</w:t>
            </w:r>
          </w:p>
          <w:p w14:paraId="6F2470DA" w14:textId="77777777" w:rsidR="001409ED" w:rsidRPr="0058387D" w:rsidRDefault="001409ED" w:rsidP="000651C2">
            <w:pPr>
              <w:pStyle w:val="TableText"/>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n (%)</w:t>
            </w:r>
          </w:p>
        </w:tc>
        <w:tc>
          <w:tcPr>
            <w:tcW w:w="1843" w:type="dxa"/>
          </w:tcPr>
          <w:p w14:paraId="640A42F8" w14:textId="77777777" w:rsidR="001409ED" w:rsidRPr="0058387D" w:rsidRDefault="001409ED" w:rsidP="000651C2">
            <w:pPr>
              <w:pStyle w:val="TableText"/>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OR (95% CI)</w:t>
            </w:r>
          </w:p>
        </w:tc>
        <w:tc>
          <w:tcPr>
            <w:tcW w:w="992" w:type="dxa"/>
          </w:tcPr>
          <w:p w14:paraId="78B813F5" w14:textId="77777777" w:rsidR="001409ED" w:rsidRPr="0058387D" w:rsidRDefault="001409ED" w:rsidP="000651C2">
            <w:pPr>
              <w:pStyle w:val="TableText"/>
              <w:jc w:val="right"/>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P</w:t>
            </w:r>
          </w:p>
        </w:tc>
      </w:tr>
      <w:tr w:rsidR="004A3661" w:rsidRPr="00884FAA" w14:paraId="7AE55A67" w14:textId="77777777" w:rsidTr="002018BF">
        <w:tc>
          <w:tcPr>
            <w:cnfStyle w:val="001000000000" w:firstRow="0" w:lastRow="0" w:firstColumn="1" w:lastColumn="0" w:oddVBand="0" w:evenVBand="0" w:oddHBand="0" w:evenHBand="0" w:firstRowFirstColumn="0" w:firstRowLastColumn="0" w:lastRowFirstColumn="0" w:lastRowLastColumn="0"/>
            <w:tcW w:w="1982" w:type="dxa"/>
          </w:tcPr>
          <w:p w14:paraId="39F2FC62" w14:textId="77777777" w:rsidR="001409ED" w:rsidRPr="00884FAA" w:rsidRDefault="001409ED" w:rsidP="004A3661">
            <w:pPr>
              <w:pStyle w:val="TableText"/>
            </w:pPr>
            <w:r w:rsidRPr="00884FAA">
              <w:t>Participating sites</w:t>
            </w:r>
          </w:p>
        </w:tc>
        <w:tc>
          <w:tcPr>
            <w:tcW w:w="2126" w:type="dxa"/>
          </w:tcPr>
          <w:p w14:paraId="39C904E2" w14:textId="77777777"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767 (0.8)</w:t>
            </w:r>
          </w:p>
        </w:tc>
        <w:tc>
          <w:tcPr>
            <w:tcW w:w="2126" w:type="dxa"/>
          </w:tcPr>
          <w:p w14:paraId="6FCD1E4D" w14:textId="7BAE8009"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1</w:t>
            </w:r>
            <w:r w:rsidR="00FC0170" w:rsidRPr="00884FAA">
              <w:t>,</w:t>
            </w:r>
            <w:r w:rsidRPr="00884FAA">
              <w:t>492 (1.1)</w:t>
            </w:r>
          </w:p>
        </w:tc>
        <w:tc>
          <w:tcPr>
            <w:tcW w:w="1843" w:type="dxa"/>
          </w:tcPr>
          <w:p w14:paraId="2B1065C3" w14:textId="77777777"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1.08 (1.05, 1.10)</w:t>
            </w:r>
          </w:p>
        </w:tc>
        <w:tc>
          <w:tcPr>
            <w:tcW w:w="992" w:type="dxa"/>
          </w:tcPr>
          <w:p w14:paraId="2F1CB1FF" w14:textId="77777777"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&lt;0.001</w:t>
            </w:r>
          </w:p>
        </w:tc>
      </w:tr>
      <w:tr w:rsidR="004A3661" w:rsidRPr="00884FAA" w14:paraId="20DC5A59" w14:textId="77777777" w:rsidTr="002018BF">
        <w:tc>
          <w:tcPr>
            <w:cnfStyle w:val="001000000000" w:firstRow="0" w:lastRow="0" w:firstColumn="1" w:lastColumn="0" w:oddVBand="0" w:evenVBand="0" w:oddHBand="0" w:evenHBand="0" w:firstRowFirstColumn="0" w:firstRowLastColumn="0" w:lastRowFirstColumn="0" w:lastRowLastColumn="0"/>
            <w:tcW w:w="1982" w:type="dxa"/>
          </w:tcPr>
          <w:p w14:paraId="4BCA084B" w14:textId="77777777" w:rsidR="001409ED" w:rsidRPr="00884FAA" w:rsidRDefault="001409ED" w:rsidP="004A3661">
            <w:pPr>
              <w:pStyle w:val="TableText"/>
            </w:pPr>
            <w:r w:rsidRPr="00884FAA">
              <w:t>Australia</w:t>
            </w:r>
          </w:p>
        </w:tc>
        <w:tc>
          <w:tcPr>
            <w:tcW w:w="2126" w:type="dxa"/>
          </w:tcPr>
          <w:p w14:paraId="20AD0E39" w14:textId="4436F40A"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3</w:t>
            </w:r>
            <w:r w:rsidR="00FC0170" w:rsidRPr="00884FAA">
              <w:t>,</w:t>
            </w:r>
            <w:r w:rsidRPr="00884FAA">
              <w:t>910 (0.7)</w:t>
            </w:r>
          </w:p>
        </w:tc>
        <w:tc>
          <w:tcPr>
            <w:tcW w:w="2126" w:type="dxa"/>
          </w:tcPr>
          <w:p w14:paraId="2A07668B" w14:textId="1B71F634"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7</w:t>
            </w:r>
            <w:r w:rsidR="00FC0170" w:rsidRPr="00884FAA">
              <w:t>,</w:t>
            </w:r>
            <w:r w:rsidRPr="00884FAA">
              <w:t>894 (1.2)</w:t>
            </w:r>
          </w:p>
        </w:tc>
        <w:tc>
          <w:tcPr>
            <w:tcW w:w="1843" w:type="dxa"/>
          </w:tcPr>
          <w:p w14:paraId="78F5A10F" w14:textId="77777777"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1.08 (1.08, 1.09)</w:t>
            </w:r>
          </w:p>
        </w:tc>
        <w:tc>
          <w:tcPr>
            <w:tcW w:w="992" w:type="dxa"/>
          </w:tcPr>
          <w:p w14:paraId="0230AFFE" w14:textId="77777777" w:rsidR="001409ED" w:rsidRPr="00884FAA" w:rsidRDefault="001409ED" w:rsidP="000651C2">
            <w:pPr>
              <w:pStyle w:val="TableText"/>
              <w:jc w:val="right"/>
              <w:cnfStyle w:val="000000000000" w:firstRow="0" w:lastRow="0" w:firstColumn="0" w:lastColumn="0" w:oddVBand="0" w:evenVBand="0" w:oddHBand="0" w:evenHBand="0" w:firstRowFirstColumn="0" w:firstRowLastColumn="0" w:lastRowFirstColumn="0" w:lastRowLastColumn="0"/>
            </w:pPr>
            <w:r w:rsidRPr="00884FAA">
              <w:t>&lt;0.001</w:t>
            </w:r>
          </w:p>
        </w:tc>
      </w:tr>
    </w:tbl>
    <w:p w14:paraId="4082CF38" w14:textId="46FC2EAD" w:rsidR="001409ED" w:rsidRPr="006C6A63" w:rsidRDefault="006C6A63" w:rsidP="006C6A63">
      <w:pPr>
        <w:spacing w:before="60" w:after="360"/>
        <w:rPr>
          <w:sz w:val="21"/>
          <w:szCs w:val="21"/>
        </w:rPr>
      </w:pPr>
      <w:r w:rsidRPr="002F6029">
        <w:rPr>
          <w:sz w:val="21"/>
          <w:szCs w:val="21"/>
        </w:rPr>
        <w:t xml:space="preserve">Source: </w:t>
      </w:r>
      <w:r>
        <w:rPr>
          <w:sz w:val="21"/>
          <w:szCs w:val="21"/>
        </w:rPr>
        <w:t xml:space="preserve">Data sourced from the </w:t>
      </w:r>
      <w:r w:rsidRPr="002F6029">
        <w:rPr>
          <w:sz w:val="21"/>
          <w:szCs w:val="21"/>
          <w:lang w:val="en-NZ"/>
        </w:rPr>
        <w:t>National Health Workforce Dataset.</w:t>
      </w:r>
    </w:p>
    <w:p w14:paraId="78FE47E0" w14:textId="65CDC4EB" w:rsidR="00FD6270" w:rsidRPr="00884FAA" w:rsidRDefault="00FD6270" w:rsidP="00FD6270">
      <w:r w:rsidRPr="00884FAA">
        <w:t>The proportion of</w:t>
      </w:r>
      <w:r w:rsidR="002401EF" w:rsidRPr="00884FAA">
        <w:t xml:space="preserve"> </w:t>
      </w:r>
      <w:r w:rsidR="00183B40" w:rsidRPr="00884FAA">
        <w:t>Aboriginal and Torres Strait Islander</w:t>
      </w:r>
      <w:r w:rsidR="002401EF" w:rsidRPr="00884FAA">
        <w:t xml:space="preserve"> staff</w:t>
      </w:r>
      <w:r w:rsidR="005F030A" w:rsidRPr="00884FAA">
        <w:t xml:space="preserve"> working in health services</w:t>
      </w:r>
      <w:r w:rsidRPr="00884FAA">
        <w:t xml:space="preserve"> increased with increasing remoteness.</w:t>
      </w:r>
      <w:r w:rsidR="00124D69" w:rsidRPr="00884FAA">
        <w:rPr>
          <w:rFonts w:ascii="Helvetica" w:hAnsi="Helvetica" w:cs="Helvetica"/>
          <w:color w:val="333333"/>
          <w:sz w:val="21"/>
          <w:szCs w:val="21"/>
          <w:shd w:val="clear" w:color="auto" w:fill="FFFFFF"/>
        </w:rPr>
        <w:t xml:space="preserve"> </w:t>
      </w:r>
      <w:r w:rsidR="00124D69" w:rsidRPr="00884FAA">
        <w:t xml:space="preserve">Across Australia (at the SA3 level), Northern Australia </w:t>
      </w:r>
      <w:r w:rsidR="00B2282A" w:rsidRPr="00884FAA">
        <w:t>(NT, Top End)</w:t>
      </w:r>
      <w:r w:rsidR="0045436D" w:rsidRPr="00884FAA">
        <w:t xml:space="preserve"> </w:t>
      </w:r>
      <w:r w:rsidR="00124D69" w:rsidRPr="00884FAA">
        <w:t xml:space="preserve">had the highest proportion of the health workforce who </w:t>
      </w:r>
      <w:r w:rsidR="004300A5" w:rsidRPr="00884FAA">
        <w:t>identified</w:t>
      </w:r>
      <w:r w:rsidR="006C3CBA" w:rsidRPr="00884FAA">
        <w:t xml:space="preserve"> as </w:t>
      </w:r>
      <w:r w:rsidR="00183B40" w:rsidRPr="00884FAA">
        <w:t>Aboriginal and Torres Strait Islander</w:t>
      </w:r>
      <w:r w:rsidR="00124D69" w:rsidRPr="00884FAA">
        <w:t xml:space="preserve"> in 2013 and 2019.</w:t>
      </w:r>
    </w:p>
    <w:p w14:paraId="5A43522D" w14:textId="0FC8C24B" w:rsidR="005C215C" w:rsidRPr="00884FAA" w:rsidRDefault="005C215C" w:rsidP="005C215C">
      <w:r w:rsidRPr="00884FAA">
        <w:t>After restricting to staff working at Aboriginal</w:t>
      </w:r>
      <w:r w:rsidR="005D520A" w:rsidRPr="00884FAA">
        <w:t xml:space="preserve"> and Torres Strait</w:t>
      </w:r>
      <w:r w:rsidRPr="00884FAA">
        <w:t xml:space="preserve"> health services, the proportion </w:t>
      </w:r>
      <w:r w:rsidR="00DF4C5A" w:rsidRPr="00884FAA">
        <w:t xml:space="preserve">of staff </w:t>
      </w:r>
      <w:r w:rsidRPr="00884FAA">
        <w:t xml:space="preserve">who </w:t>
      </w:r>
      <w:r w:rsidR="006A3AF5" w:rsidRPr="00884FAA">
        <w:t>identified</w:t>
      </w:r>
      <w:r w:rsidR="00DF4C5A" w:rsidRPr="00884FAA">
        <w:t xml:space="preserve"> as</w:t>
      </w:r>
      <w:r w:rsidR="006C3CBA" w:rsidRPr="00884FAA">
        <w:t xml:space="preserve"> </w:t>
      </w:r>
      <w:r w:rsidR="006A3AF5" w:rsidRPr="00884FAA">
        <w:t>Aboriginal and Torres Strait Islander</w:t>
      </w:r>
      <w:r w:rsidRPr="00884FAA">
        <w:t xml:space="preserve"> was much higher. </w:t>
      </w:r>
      <w:r w:rsidR="00DF4C5A" w:rsidRPr="00884FAA">
        <w:t xml:space="preserve">In 2013, </w:t>
      </w:r>
      <w:r w:rsidRPr="00884FAA">
        <w:t xml:space="preserve">the percentage </w:t>
      </w:r>
      <w:r w:rsidR="001D6C43" w:rsidRPr="00884FAA">
        <w:t xml:space="preserve">recorded across Australia </w:t>
      </w:r>
      <w:r w:rsidRPr="00884FAA">
        <w:t>was 14% and in 2019, the percentage was 20%.</w:t>
      </w:r>
      <w:r w:rsidR="00BF1949">
        <w:rPr>
          <w:rStyle w:val="FootnoteReference"/>
        </w:rPr>
        <w:footnoteReference w:id="56"/>
      </w:r>
      <w:r w:rsidR="000106FA" w:rsidRPr="00884FAA">
        <w:t xml:space="preserve"> T</w:t>
      </w:r>
      <w:r w:rsidRPr="00884FAA">
        <w:t xml:space="preserve">he proportion of staff working in Aboriginal health services who </w:t>
      </w:r>
      <w:r w:rsidR="00CD23C8" w:rsidRPr="00884FAA">
        <w:t>identified</w:t>
      </w:r>
      <w:r w:rsidR="001D6C43" w:rsidRPr="00884FAA">
        <w:t xml:space="preserve"> as </w:t>
      </w:r>
      <w:r w:rsidR="00CD23C8" w:rsidRPr="00884FAA">
        <w:t>Aboriginal and Torres Strait Islander</w:t>
      </w:r>
      <w:r w:rsidRPr="00884FAA">
        <w:t xml:space="preserve"> was similar in each remoteness category</w:t>
      </w:r>
      <w:r w:rsidR="0094251F" w:rsidRPr="00884FAA">
        <w:t>.</w:t>
      </w:r>
    </w:p>
    <w:p w14:paraId="12610990" w14:textId="56F8FEBD" w:rsidR="00CB2369" w:rsidRPr="00884FAA" w:rsidRDefault="00CB2369" w:rsidP="00CB2369">
      <w:r w:rsidRPr="00884FAA">
        <w:t xml:space="preserve">Nurses and midwives made up more than half of all </w:t>
      </w:r>
      <w:r w:rsidR="00FA484B" w:rsidRPr="00884FAA">
        <w:t xml:space="preserve">Aboriginal and Torres Strait Islander </w:t>
      </w:r>
      <w:r w:rsidR="00807F93" w:rsidRPr="00884FAA">
        <w:t>health care</w:t>
      </w:r>
      <w:r w:rsidRPr="00884FAA">
        <w:t xml:space="preserve"> workers in 2019, numbering 5</w:t>
      </w:r>
      <w:r w:rsidR="00CD23C8" w:rsidRPr="00884FAA">
        <w:t>,</w:t>
      </w:r>
      <w:r w:rsidRPr="00884FAA">
        <w:t>200 and comprising 1.4% of all nurses</w:t>
      </w:r>
      <w:r w:rsidR="008A7E9A" w:rsidRPr="00884FAA">
        <w:t xml:space="preserve"> and </w:t>
      </w:r>
      <w:r w:rsidRPr="00884FAA">
        <w:t xml:space="preserve">midwives across Australia. </w:t>
      </w:r>
      <w:r w:rsidR="006C7787" w:rsidRPr="00884FAA">
        <w:t>M</w:t>
      </w:r>
      <w:r w:rsidRPr="00884FAA">
        <w:t xml:space="preserve">edical practitioners had the next highest </w:t>
      </w:r>
      <w:r w:rsidRPr="00DF0125">
        <w:t xml:space="preserve">count of </w:t>
      </w:r>
      <w:r w:rsidR="00B1441C" w:rsidRPr="00DF0125">
        <w:t>Aboriginal and Torres Strait Islander</w:t>
      </w:r>
      <w:r w:rsidR="00187B0A" w:rsidRPr="00DF0125">
        <w:t xml:space="preserve"> </w:t>
      </w:r>
      <w:r w:rsidRPr="00DF0125">
        <w:t xml:space="preserve">staff, </w:t>
      </w:r>
      <w:r w:rsidR="00356769" w:rsidRPr="00DF0125">
        <w:t xml:space="preserve">numbering 688. </w:t>
      </w:r>
      <w:r w:rsidR="00F70037" w:rsidRPr="00DF0125">
        <w:t>P</w:t>
      </w:r>
      <w:r w:rsidRPr="00DF0125">
        <w:t xml:space="preserve">roportionally, </w:t>
      </w:r>
      <w:r w:rsidR="00B1441C" w:rsidRPr="00DF0125">
        <w:t>Aboriginal and Torres Strait Islander</w:t>
      </w:r>
      <w:r w:rsidR="00187B0A" w:rsidRPr="00DF0125">
        <w:t xml:space="preserve"> </w:t>
      </w:r>
      <w:r w:rsidRPr="00DF0125">
        <w:t>medical practitioners made up less than 1% of all practitioners in 2019.</w:t>
      </w:r>
      <w:r w:rsidR="00066D0B" w:rsidRPr="00DF0125">
        <w:t xml:space="preserve"> Aboriginal and Torres Strait Islander</w:t>
      </w:r>
      <w:r w:rsidR="004A5114" w:rsidRPr="00DF0125">
        <w:t xml:space="preserve"> </w:t>
      </w:r>
      <w:r w:rsidR="003569B3" w:rsidRPr="00DF0125">
        <w:t>h</w:t>
      </w:r>
      <w:r w:rsidR="004A5114" w:rsidRPr="00DF0125">
        <w:t xml:space="preserve">ealth </w:t>
      </w:r>
      <w:r w:rsidR="003569B3" w:rsidRPr="00DF0125">
        <w:t>w</w:t>
      </w:r>
      <w:r w:rsidR="004A5114" w:rsidRPr="00DF0125">
        <w:t xml:space="preserve">orkers and practitioners numbered </w:t>
      </w:r>
      <w:r w:rsidR="0059366E" w:rsidRPr="00DF0125">
        <w:t>572 in</w:t>
      </w:r>
      <w:r w:rsidR="0059366E" w:rsidRPr="00884FAA">
        <w:t xml:space="preserve"> 2019.</w:t>
      </w:r>
      <w:r w:rsidR="00183E9E">
        <w:rPr>
          <w:rStyle w:val="FootnoteReference"/>
        </w:rPr>
        <w:footnoteReference w:id="57"/>
      </w:r>
    </w:p>
    <w:p w14:paraId="32847182" w14:textId="7F58DA07" w:rsidR="00BB5914" w:rsidRDefault="00CC5F08" w:rsidP="00CB2369">
      <w:r w:rsidRPr="002477FF">
        <w:t>These results</w:t>
      </w:r>
      <w:r>
        <w:t xml:space="preserve"> from the </w:t>
      </w:r>
      <w:r w:rsidR="00B03D62">
        <w:t>National H</w:t>
      </w:r>
      <w:r>
        <w:t xml:space="preserve">ealth </w:t>
      </w:r>
      <w:r w:rsidR="00B03D62">
        <w:t>W</w:t>
      </w:r>
      <w:r>
        <w:t xml:space="preserve">orkforce </w:t>
      </w:r>
      <w:r w:rsidR="00B03D62">
        <w:t>D</w:t>
      </w:r>
      <w:r>
        <w:t>ata</w:t>
      </w:r>
      <w:r w:rsidR="00B03D62">
        <w:t>set</w:t>
      </w:r>
      <w:r w:rsidRPr="002477FF">
        <w:t xml:space="preserve"> relate to staff </w:t>
      </w:r>
      <w:r>
        <w:t>in</w:t>
      </w:r>
      <w:r w:rsidRPr="002477FF">
        <w:t xml:space="preserve"> clinical roles. However, IAHP-funded organisations employ staff in a wide range of professions and OSR data indicates that, at 30 June 2022, 51% of staff in IAHP funded organisations were Aboriginal or Torres Strait Islander</w:t>
      </w:r>
      <w:r>
        <w:t xml:space="preserve"> </w:t>
      </w:r>
      <w:r w:rsidR="005B2EA4" w:rsidRPr="00884FAA">
        <w:fldChar w:fldCharType="begin"/>
      </w:r>
      <w:r w:rsidR="00F8760E">
        <w:instrText xml:space="preserve"> ADDIN ZOTERO_ITEM CSL_CITATION {"citationID":"d2M4txPs","properties":{"formattedCitation":"(Australian Institute of Health and Welfare, n.d.-b)","plainCitation":"(Australian Institute of Health and Welfare, n.d.-b)","noteIndex":0},"citationItems":[{"id":3790,"uris":["http://zotero.org/groups/5010721/items/I3PXXDC6",["http://zotero.org/groups/5010721/items/I3PXXDC6"],["http://zotero.org/groups/5010721/items/I3PXXDC6",["http://zotero.org/groups/5010721/items/I3PXXDC6"]]],"itemData":{"id":3790,"type":"webpage","abstract":"Data collected from organisations funded by the Department of Health and/or the Department of the Prime Minister and Cabinet to provide one or more of the following health services to Aboriginal...","container-title":"aihw.gov.au","genre":"website text","language":"en-AU","note":"Commonwealth of Australia","title":"Online Services Report (OSR) for Indigenous primary health care","URL":"https://www.aihw.gov.au/about-our-data/our-data-collections/online-services-report-osr","author":[{"literal":"Australian Institute of Health and Welfare"}],"accessed":{"date-parts":[["2023",3,21]]}}}],"schema":"https://github.com/citation-style-language/schema/raw/master/csl-citation.json"} </w:instrText>
      </w:r>
      <w:r w:rsidR="005B2EA4" w:rsidRPr="00884FAA">
        <w:fldChar w:fldCharType="separate"/>
      </w:r>
      <w:r w:rsidR="00FE4319" w:rsidRPr="00FE4319">
        <w:rPr>
          <w:rFonts w:ascii="Arial" w:hAnsi="Arial" w:cs="Arial"/>
        </w:rPr>
        <w:t>(Australian Institute of Health and Welfare, n.d.-b)</w:t>
      </w:r>
      <w:r w:rsidR="005B2EA4" w:rsidRPr="00884FAA">
        <w:fldChar w:fldCharType="end"/>
      </w:r>
      <w:r w:rsidR="005D244F" w:rsidRPr="00884FAA">
        <w:t>.</w:t>
      </w:r>
      <w:r w:rsidR="00B42C52" w:rsidRPr="00884FAA">
        <w:t xml:space="preserve"> </w:t>
      </w:r>
      <w:r w:rsidR="00D63EF5" w:rsidRPr="00884FAA">
        <w:t>This is equi</w:t>
      </w:r>
      <w:r w:rsidR="00EA1ABE" w:rsidRPr="00884FAA">
        <w:t>v</w:t>
      </w:r>
      <w:r w:rsidR="00D63EF5" w:rsidRPr="00884FAA">
        <w:t>alent to</w:t>
      </w:r>
      <w:r w:rsidR="00FD79C9" w:rsidRPr="00884FAA">
        <w:t xml:space="preserve"> 4,500 FTE.</w:t>
      </w:r>
      <w:r w:rsidR="00367DCB" w:rsidRPr="00884FAA">
        <w:t xml:space="preserve"> The </w:t>
      </w:r>
      <w:r w:rsidR="00C9541C" w:rsidRPr="00884FAA">
        <w:t>direct</w:t>
      </w:r>
      <w:r w:rsidR="00367DCB" w:rsidRPr="00884FAA">
        <w:t xml:space="preserve"> economic impact of the IAHP on local communities and on </w:t>
      </w:r>
      <w:r w:rsidR="007223A8" w:rsidRPr="00884FAA">
        <w:t xml:space="preserve">Aboriginal and Torres Strait Islander communities and families </w:t>
      </w:r>
      <w:r w:rsidR="009B43C4" w:rsidRPr="00884FAA">
        <w:t>is significant.</w:t>
      </w:r>
    </w:p>
    <w:p w14:paraId="07AE50ED" w14:textId="77777777" w:rsidR="00300C3C" w:rsidRDefault="00300C3C">
      <w:pPr>
        <w:jc w:val="left"/>
        <w:rPr>
          <w:b/>
          <w:bCs/>
          <w:noProof/>
          <w:color w:val="9E6047" w:themeColor="accent3"/>
          <w:sz w:val="36"/>
          <w:szCs w:val="36"/>
          <w:lang w:val="en-NZ"/>
        </w:rPr>
      </w:pPr>
      <w:bookmarkStart w:id="239" w:name="_Toc137208931"/>
      <w:r>
        <w:br w:type="page"/>
      </w:r>
    </w:p>
    <w:p w14:paraId="7DC22AF2" w14:textId="5DFE812C" w:rsidR="0083300F" w:rsidRPr="00884FAA" w:rsidRDefault="0083300F" w:rsidP="0035030F">
      <w:pPr>
        <w:pStyle w:val="Heading2"/>
      </w:pPr>
      <w:r w:rsidRPr="00884FAA">
        <w:lastRenderedPageBreak/>
        <w:t xml:space="preserve">Governance and </w:t>
      </w:r>
      <w:r w:rsidR="007041CC" w:rsidRPr="00884FAA">
        <w:t>leadership</w:t>
      </w:r>
      <w:r w:rsidRPr="00884FAA">
        <w:t xml:space="preserve"> </w:t>
      </w:r>
      <w:r w:rsidR="00A040CA" w:rsidRPr="00884FAA">
        <w:t xml:space="preserve">across the primary health </w:t>
      </w:r>
      <w:r w:rsidR="000D436F">
        <w:t xml:space="preserve">care </w:t>
      </w:r>
      <w:r w:rsidR="00A040CA" w:rsidRPr="00884FAA">
        <w:t>system</w:t>
      </w:r>
      <w:bookmarkEnd w:id="239"/>
      <w:r w:rsidR="00A040CA" w:rsidRPr="00884FAA">
        <w:t xml:space="preserve"> </w:t>
      </w:r>
    </w:p>
    <w:p w14:paraId="270DCDE7" w14:textId="1BA4F3F4" w:rsidR="0083300F" w:rsidRPr="00884FAA" w:rsidRDefault="00326B62" w:rsidP="0083300F">
      <w:r>
        <w:t>Gover</w:t>
      </w:r>
      <w:r w:rsidR="00E432A1">
        <w:t xml:space="preserve">nance, management and administrative processes </w:t>
      </w:r>
      <w:r w:rsidR="00752FDD">
        <w:t>across the system a</w:t>
      </w:r>
      <w:r w:rsidR="00954114">
        <w:t>s well as processes</w:t>
      </w:r>
      <w:r w:rsidR="00752FDD">
        <w:t xml:space="preserve"> specific to the IAHP</w:t>
      </w:r>
      <w:r w:rsidR="00991AC2">
        <w:t xml:space="preserve"> have an i</w:t>
      </w:r>
      <w:r w:rsidR="000D4D49">
        <w:t xml:space="preserve">nfluence on the implementation of the IAHP. </w:t>
      </w:r>
      <w:r w:rsidR="00086371">
        <w:t>The influ</w:t>
      </w:r>
      <w:r w:rsidR="001D74B8">
        <w:t>e</w:t>
      </w:r>
      <w:r w:rsidR="00086371">
        <w:t>n</w:t>
      </w:r>
      <w:r w:rsidR="001D74B8">
        <w:t>c</w:t>
      </w:r>
      <w:r w:rsidR="00086371">
        <w:t xml:space="preserve">e of these processes </w:t>
      </w:r>
      <w:r w:rsidR="005307FB">
        <w:t>on enabling the implementation of the IAHP w</w:t>
      </w:r>
      <w:r w:rsidR="00E81491">
        <w:t>as</w:t>
      </w:r>
      <w:r w:rsidR="005307FB">
        <w:t xml:space="preserve"> discussed by participants at a</w:t>
      </w:r>
      <w:r w:rsidR="001D74B8">
        <w:t>l</w:t>
      </w:r>
      <w:r w:rsidR="005307FB">
        <w:t xml:space="preserve">l levels of the evaluation, including site partnering ACCHSs and PHNs, </w:t>
      </w:r>
      <w:r w:rsidR="001D74B8">
        <w:t>and participants from state, territory and national organisations.</w:t>
      </w:r>
      <w:r w:rsidR="00070225">
        <w:t xml:space="preserve"> </w:t>
      </w:r>
      <w:r w:rsidR="008857FC">
        <w:t>Participants discussed</w:t>
      </w:r>
      <w:r w:rsidR="00183DEF">
        <w:t>:</w:t>
      </w:r>
      <w:r w:rsidR="00AA35E2">
        <w:t xml:space="preserve"> </w:t>
      </w:r>
    </w:p>
    <w:p w14:paraId="2667C054" w14:textId="77777777" w:rsidR="008636C0" w:rsidRPr="00343EB2" w:rsidRDefault="008857FC" w:rsidP="00343EB2">
      <w:pPr>
        <w:numPr>
          <w:ilvl w:val="0"/>
          <w:numId w:val="19"/>
        </w:numPr>
        <w:spacing w:after="120"/>
        <w:rPr>
          <w:bCs/>
        </w:rPr>
      </w:pPr>
      <w:r w:rsidRPr="00343EB2">
        <w:rPr>
          <w:bCs/>
        </w:rPr>
        <w:t>the</w:t>
      </w:r>
      <w:r w:rsidR="00C0708D" w:rsidRPr="00343EB2">
        <w:rPr>
          <w:bCs/>
        </w:rPr>
        <w:t xml:space="preserve"> a</w:t>
      </w:r>
      <w:r w:rsidR="008A260B" w:rsidRPr="00343EB2">
        <w:rPr>
          <w:bCs/>
        </w:rPr>
        <w:t xml:space="preserve">bsence of </w:t>
      </w:r>
      <w:r w:rsidR="00280E2E" w:rsidRPr="00343EB2">
        <w:rPr>
          <w:bCs/>
        </w:rPr>
        <w:t>dedicated</w:t>
      </w:r>
      <w:r w:rsidR="008A260B" w:rsidRPr="00343EB2">
        <w:rPr>
          <w:bCs/>
        </w:rPr>
        <w:t xml:space="preserve"> system</w:t>
      </w:r>
      <w:r w:rsidR="00280E2E" w:rsidRPr="00343EB2">
        <w:rPr>
          <w:bCs/>
        </w:rPr>
        <w:t>-</w:t>
      </w:r>
      <w:r w:rsidR="008A260B" w:rsidRPr="00343EB2">
        <w:rPr>
          <w:bCs/>
        </w:rPr>
        <w:t xml:space="preserve">level governance processes </w:t>
      </w:r>
      <w:r w:rsidR="005556C6" w:rsidRPr="00343EB2">
        <w:rPr>
          <w:bCs/>
        </w:rPr>
        <w:t xml:space="preserve">to support </w:t>
      </w:r>
      <w:r w:rsidR="00253675" w:rsidRPr="00343EB2">
        <w:rPr>
          <w:bCs/>
        </w:rPr>
        <w:t>coordination and integration of Aboriginal and Torres Strait Islander health initiatives</w:t>
      </w:r>
    </w:p>
    <w:p w14:paraId="19AD0C74" w14:textId="29C4A335" w:rsidR="0008333F" w:rsidRPr="00343EB2" w:rsidRDefault="008636C0" w:rsidP="00343EB2">
      <w:pPr>
        <w:numPr>
          <w:ilvl w:val="0"/>
          <w:numId w:val="19"/>
        </w:numPr>
        <w:spacing w:after="120"/>
        <w:rPr>
          <w:bCs/>
        </w:rPr>
      </w:pPr>
      <w:r w:rsidRPr="00343EB2">
        <w:rPr>
          <w:bCs/>
        </w:rPr>
        <w:t>the administration of the IAHP</w:t>
      </w:r>
      <w:r w:rsidR="00726EC1" w:rsidRPr="00343EB2">
        <w:rPr>
          <w:bCs/>
        </w:rPr>
        <w:t>.</w:t>
      </w:r>
    </w:p>
    <w:p w14:paraId="35025699" w14:textId="2934B15E" w:rsidR="00E64CC8" w:rsidRPr="00884FAA" w:rsidRDefault="001B4F79" w:rsidP="00651D06">
      <w:pPr>
        <w:pStyle w:val="Heading3"/>
      </w:pPr>
      <w:bookmarkStart w:id="240" w:name="_Ref131611092"/>
      <w:r>
        <w:t>F</w:t>
      </w:r>
      <w:r w:rsidR="00E64CC8" w:rsidRPr="00884FAA">
        <w:t>ormal</w:t>
      </w:r>
      <w:r w:rsidR="00A26821" w:rsidRPr="00884FAA">
        <w:t xml:space="preserve"> system-level</w:t>
      </w:r>
      <w:r w:rsidR="00E64CC8" w:rsidRPr="00884FAA">
        <w:t xml:space="preserve"> governance</w:t>
      </w:r>
      <w:r w:rsidR="00A26821" w:rsidRPr="00884FAA">
        <w:t xml:space="preserve"> processes</w:t>
      </w:r>
      <w:r>
        <w:t xml:space="preserve"> </w:t>
      </w:r>
      <w:r w:rsidR="00D97C71">
        <w:t>appear to be</w:t>
      </w:r>
      <w:r>
        <w:t xml:space="preserve"> absent</w:t>
      </w:r>
      <w:bookmarkEnd w:id="240"/>
    </w:p>
    <w:p w14:paraId="0ADB32BC" w14:textId="1BEFCBF1" w:rsidR="00A16A8A" w:rsidRPr="00884FAA" w:rsidRDefault="00F15427" w:rsidP="00E64ADD">
      <w:r w:rsidRPr="00884FAA">
        <w:t xml:space="preserve">Earlier in </w:t>
      </w:r>
      <w:r w:rsidR="00924B35">
        <w:t>the</w:t>
      </w:r>
      <w:r w:rsidR="00924B35" w:rsidRPr="00884FAA">
        <w:t xml:space="preserve"> </w:t>
      </w:r>
      <w:r w:rsidRPr="00884FAA">
        <w:t xml:space="preserve">evaluation </w:t>
      </w:r>
      <w:r w:rsidR="00D61C4B" w:rsidRPr="00884FAA">
        <w:t xml:space="preserve">process, </w:t>
      </w:r>
      <w:r w:rsidR="0057326C" w:rsidRPr="00884FAA">
        <w:t>the evaluation team</w:t>
      </w:r>
      <w:r w:rsidRPr="00884FAA">
        <w:t xml:space="preserve"> reported that </w:t>
      </w:r>
      <w:r w:rsidR="00A16A8A" w:rsidRPr="00884FAA">
        <w:t>existing high-level architecture for the governance of Aboriginal and Torres Strait Islander health at national and state and territory levels provide</w:t>
      </w:r>
      <w:r w:rsidR="006963A6" w:rsidRPr="00884FAA">
        <w:t>d</w:t>
      </w:r>
      <w:r w:rsidR="00A16A8A" w:rsidRPr="00884FAA">
        <w:t xml:space="preserve"> a strong foundation for enabling the implementation of the IAHP</w:t>
      </w:r>
      <w:r w:rsidR="00BB5164" w:rsidRPr="00884FAA">
        <w:t xml:space="preserve"> </w:t>
      </w:r>
      <w:r w:rsidR="000833E3" w:rsidRPr="00884FAA">
        <w:fldChar w:fldCharType="begin"/>
      </w:r>
      <w:r w:rsidR="00F8760E">
        <w:instrText xml:space="preserve"> ADDIN ZOTERO_ITEM CSL_CITATION {"citationID":"mLKIJyEx","properties":{"formattedCitation":"(Bainbridge et al., 2021)","plainCitation":"(Bainbridge et al., 2021)","noteIndex":0},"citationItems":[{"id":3757,"uris":["http://zotero.org/groups/5010721/items/J5SKD3Y5",["http://zotero.org/groups/5010721/items/J5SKD3Y5"],["http://zotero.org/groups/5010721/items/J5SKD3Y5",["http://zotero.org/groups/5010721/items/J5SKD3Y5"]]],"itemData":{"id":3757,"type":"report","event-place":"Wellington and Melbourne","genre":"Interim report","publisher":"Allen + Clarke, Central Queensland University and Monaghan Dreaming","publisher-place":"Wellington and Melbourne","title":"Evaluation of the Australian Government's investment in Aboriginal and Torres Strait Islander primary health care through the Indigenous Australian' Health Programme: Cycle 1 Interim Evaluation Report","author":[{"family":"Bainbridge","given":"Roxanne"},{"family":"Hardie-Boys","given":"Ned"},{"family":"Langham","given":"Eirka"},{"family":"Bailey","given":"Robyn"}],"issued":{"date-parts":[["2021"]]}}}],"schema":"https://github.com/citation-style-language/schema/raw/master/csl-citation.json"} </w:instrText>
      </w:r>
      <w:r w:rsidR="000833E3" w:rsidRPr="00884FAA">
        <w:fldChar w:fldCharType="separate"/>
      </w:r>
      <w:r w:rsidR="00511A06" w:rsidRPr="00511A06">
        <w:rPr>
          <w:rFonts w:ascii="Arial" w:hAnsi="Arial" w:cs="Arial"/>
        </w:rPr>
        <w:t>(Bainbridge et al., 2021)</w:t>
      </w:r>
      <w:r w:rsidR="000833E3" w:rsidRPr="00884FAA">
        <w:fldChar w:fldCharType="end"/>
      </w:r>
      <w:r w:rsidR="00A16A8A" w:rsidRPr="00884FAA">
        <w:t>. Th</w:t>
      </w:r>
      <w:r w:rsidR="006963A6" w:rsidRPr="00884FAA">
        <w:t>is included through</w:t>
      </w:r>
      <w:r w:rsidR="00A16A8A" w:rsidRPr="00884FAA">
        <w:t xml:space="preserve"> the functions of the Implementation Plan Advisory Group</w:t>
      </w:r>
      <w:r w:rsidR="00EE7059" w:rsidRPr="00884FAA">
        <w:t xml:space="preserve"> (IPAG)</w:t>
      </w:r>
      <w:r w:rsidR="00A16A8A" w:rsidRPr="00884FAA">
        <w:t>, the National Health Leadership Forum</w:t>
      </w:r>
      <w:r w:rsidR="00EE7059" w:rsidRPr="00884FAA">
        <w:t xml:space="preserve"> (NHLF)</w:t>
      </w:r>
      <w:r w:rsidR="00A16A8A" w:rsidRPr="00884FAA">
        <w:t>, and jurisdictional Health Partnership Forums.</w:t>
      </w:r>
      <w:r w:rsidR="00A16A8A" w:rsidRPr="005D1C41">
        <w:rPr>
          <w:rStyle w:val="FootnoteReference"/>
        </w:rPr>
        <w:footnoteReference w:id="58"/>
      </w:r>
    </w:p>
    <w:p w14:paraId="47285DA4" w14:textId="631344AB" w:rsidR="00EA756C" w:rsidRPr="00884FAA" w:rsidRDefault="00D77A0A" w:rsidP="00E64ADD">
      <w:r w:rsidRPr="00884FAA" w:rsidDel="004E7191">
        <w:t xml:space="preserve">There has been </w:t>
      </w:r>
      <w:r w:rsidRPr="00884FAA">
        <w:t xml:space="preserve">a distinct loss of momentum </w:t>
      </w:r>
      <w:r w:rsidR="00806449" w:rsidRPr="00884FAA">
        <w:t>in these groups</w:t>
      </w:r>
      <w:r w:rsidR="007D4AE6" w:rsidRPr="00884FAA">
        <w:t xml:space="preserve"> nationally, with some jurisdictional exceptions. </w:t>
      </w:r>
      <w:r w:rsidR="009E27D6" w:rsidRPr="00884FAA">
        <w:t>For example,</w:t>
      </w:r>
      <w:r w:rsidR="009E27D6" w:rsidRPr="00884FAA" w:rsidDel="00D61C4B">
        <w:t xml:space="preserve"> </w:t>
      </w:r>
      <w:r w:rsidR="00913222">
        <w:t xml:space="preserve">governance supporting the </w:t>
      </w:r>
      <w:r w:rsidR="004559C9" w:rsidRPr="00884FAA">
        <w:t>IPAG has not met forma</w:t>
      </w:r>
      <w:r w:rsidR="005B387E" w:rsidRPr="00884FAA">
        <w:t>l</w:t>
      </w:r>
      <w:r w:rsidR="004559C9" w:rsidRPr="00884FAA">
        <w:t xml:space="preserve">ly </w:t>
      </w:r>
      <w:r w:rsidR="005B387E" w:rsidRPr="00884FAA">
        <w:t>since October 2021</w:t>
      </w:r>
      <w:r w:rsidR="00801546" w:rsidRPr="00884FAA">
        <w:t xml:space="preserve">. </w:t>
      </w:r>
      <w:r w:rsidR="00B23EDC" w:rsidRPr="00884FAA">
        <w:t>Similarly, the</w:t>
      </w:r>
      <w:r w:rsidR="00851519" w:rsidRPr="00884FAA" w:rsidDel="00B23EDC">
        <w:t xml:space="preserve"> </w:t>
      </w:r>
      <w:r w:rsidR="00851519" w:rsidRPr="00884FAA">
        <w:t xml:space="preserve">NHLF </w:t>
      </w:r>
      <w:r w:rsidR="006D53F4" w:rsidRPr="00884FAA">
        <w:t xml:space="preserve">last met in December 2021. </w:t>
      </w:r>
      <w:r w:rsidR="00F9495C" w:rsidRPr="00884FAA">
        <w:t xml:space="preserve">A number of </w:t>
      </w:r>
      <w:r w:rsidR="00AE5231" w:rsidRPr="00884FAA">
        <w:t>state and territory</w:t>
      </w:r>
      <w:r w:rsidR="006D53F4" w:rsidRPr="00884FAA">
        <w:t xml:space="preserve"> partnership forum</w:t>
      </w:r>
      <w:r w:rsidR="00AE5231" w:rsidRPr="00884FAA">
        <w:t>s</w:t>
      </w:r>
      <w:r w:rsidR="006D53F4" w:rsidRPr="00884FAA">
        <w:t xml:space="preserve"> have also</w:t>
      </w:r>
      <w:r w:rsidR="003F06C1" w:rsidRPr="00884FAA">
        <w:t xml:space="preserve"> </w:t>
      </w:r>
      <w:r w:rsidR="006D53F4" w:rsidRPr="00884FAA">
        <w:t>been in hiatus</w:t>
      </w:r>
      <w:r w:rsidR="00F1153D" w:rsidRPr="00884FAA">
        <w:t xml:space="preserve">. In contrast, the </w:t>
      </w:r>
      <w:r w:rsidR="00FE7642" w:rsidRPr="00884FAA">
        <w:t>NT Aboriginal Health Forum ha</w:t>
      </w:r>
      <w:r w:rsidR="00AE5231" w:rsidRPr="00884FAA">
        <w:t>s</w:t>
      </w:r>
      <w:r w:rsidR="00FE7642" w:rsidRPr="00884FAA">
        <w:t xml:space="preserve"> continued to meet regularly.</w:t>
      </w:r>
      <w:r w:rsidR="0064192D" w:rsidRPr="0064192D">
        <w:t xml:space="preserve"> </w:t>
      </w:r>
      <w:r w:rsidR="00B57001">
        <w:t xml:space="preserve">Participants </w:t>
      </w:r>
      <w:r w:rsidR="002309AB">
        <w:t xml:space="preserve">reported </w:t>
      </w:r>
      <w:r w:rsidR="00B57001">
        <w:t>that the</w:t>
      </w:r>
      <w:r w:rsidR="002309AB">
        <w:t xml:space="preserve"> </w:t>
      </w:r>
      <w:r w:rsidR="00564F96">
        <w:t xml:space="preserve">need to prioritise </w:t>
      </w:r>
      <w:r w:rsidR="00534834">
        <w:t>responses to the COVID-19 pandemic ha</w:t>
      </w:r>
      <w:r w:rsidR="00A75747">
        <w:t>d</w:t>
      </w:r>
      <w:r w:rsidR="00534834">
        <w:t xml:space="preserve"> </w:t>
      </w:r>
      <w:r w:rsidR="008542E8">
        <w:t xml:space="preserve">disrupted the functioning of </w:t>
      </w:r>
      <w:r w:rsidR="000250CC">
        <w:t xml:space="preserve">many partnership forums. </w:t>
      </w:r>
      <w:r w:rsidR="0064192D" w:rsidRPr="0064192D">
        <w:t xml:space="preserve">Since early 2022, the Commonwealth Partnerships Team within the </w:t>
      </w:r>
      <w:r w:rsidR="00107831">
        <w:t>department</w:t>
      </w:r>
      <w:r w:rsidR="0064192D" w:rsidRPr="0064192D">
        <w:t xml:space="preserve"> has been in discussions with each </w:t>
      </w:r>
      <w:r w:rsidR="0058423A">
        <w:t>s</w:t>
      </w:r>
      <w:r w:rsidR="009F4EA2" w:rsidRPr="0064192D">
        <w:t>tate</w:t>
      </w:r>
      <w:r w:rsidR="0064192D" w:rsidRPr="0064192D">
        <w:t xml:space="preserve"> and </w:t>
      </w:r>
      <w:r w:rsidR="0058423A">
        <w:t>territory g</w:t>
      </w:r>
      <w:r w:rsidR="009F4EA2" w:rsidRPr="0064192D">
        <w:t xml:space="preserve">overnment and </w:t>
      </w:r>
      <w:r w:rsidR="002131E9">
        <w:t>community-controlled peak body</w:t>
      </w:r>
      <w:r w:rsidR="0064192D" w:rsidRPr="0064192D">
        <w:t xml:space="preserve"> to discuss reconvening the </w:t>
      </w:r>
      <w:r w:rsidR="002131E9">
        <w:t>p</w:t>
      </w:r>
      <w:r w:rsidR="009F4EA2" w:rsidRPr="0064192D">
        <w:t xml:space="preserve">artnership </w:t>
      </w:r>
      <w:r w:rsidR="002131E9">
        <w:t>f</w:t>
      </w:r>
      <w:r w:rsidR="009F4EA2" w:rsidRPr="0064192D">
        <w:t>orums</w:t>
      </w:r>
      <w:r w:rsidR="002A1B2F">
        <w:t>.</w:t>
      </w:r>
      <w:r w:rsidR="009F4EA2">
        <w:t xml:space="preserve"> </w:t>
      </w:r>
    </w:p>
    <w:p w14:paraId="6DEAB9D2" w14:textId="7FCC03BE" w:rsidR="0074636E" w:rsidRPr="00884FAA" w:rsidRDefault="005A488D" w:rsidP="00E64ADD">
      <w:r w:rsidRPr="00884FAA">
        <w:t>Meanwhile, other processes have emerged</w:t>
      </w:r>
      <w:r w:rsidR="00E65716" w:rsidRPr="00884FAA">
        <w:t xml:space="preserve">, including </w:t>
      </w:r>
      <w:r w:rsidR="00095A6E" w:rsidRPr="00884FAA">
        <w:t xml:space="preserve">cross-sector </w:t>
      </w:r>
      <w:r w:rsidR="00E65716" w:rsidRPr="00884FAA">
        <w:t xml:space="preserve">Closing the Gap partnerships </w:t>
      </w:r>
      <w:r w:rsidR="00CD1B00" w:rsidRPr="00884FAA">
        <w:t xml:space="preserve">and alliances </w:t>
      </w:r>
      <w:r w:rsidR="00E65716" w:rsidRPr="00884FAA">
        <w:t xml:space="preserve">at the </w:t>
      </w:r>
      <w:r w:rsidR="007B01C6" w:rsidRPr="00884FAA">
        <w:t>national and jurisdictional levels. ACCHSs and their peak bodies have played a key role in these partnerships.</w:t>
      </w:r>
      <w:r w:rsidR="00E65716" w:rsidRPr="00884FAA">
        <w:t xml:space="preserve"> </w:t>
      </w:r>
      <w:r w:rsidR="003F2A83" w:rsidRPr="00884FAA">
        <w:t xml:space="preserve">Strategic alliances have also emerged in </w:t>
      </w:r>
      <w:r w:rsidR="003F2A83" w:rsidRPr="00884FAA">
        <w:lastRenderedPageBreak/>
        <w:t>some juri</w:t>
      </w:r>
      <w:r w:rsidR="0074636E" w:rsidRPr="00884FAA">
        <w:t>s</w:t>
      </w:r>
      <w:r w:rsidR="003F2A83" w:rsidRPr="00884FAA">
        <w:t>dictions with</w:t>
      </w:r>
      <w:r w:rsidR="0074636E" w:rsidRPr="00884FAA">
        <w:t xml:space="preserve"> a specific health focus, such as the Aboriginal Health and Wellbeing Partnership Forum in Victoria</w:t>
      </w:r>
      <w:r w:rsidR="00974B80" w:rsidRPr="00884FAA">
        <w:t>.</w:t>
      </w:r>
      <w:r w:rsidR="00974B80" w:rsidRPr="005D1C41">
        <w:rPr>
          <w:rStyle w:val="FootnoteReference"/>
        </w:rPr>
        <w:footnoteReference w:id="59"/>
      </w:r>
      <w:r w:rsidR="0074636E" w:rsidRPr="00884FAA">
        <w:t xml:space="preserve"> </w:t>
      </w:r>
    </w:p>
    <w:p w14:paraId="3058DB0A" w14:textId="7B44EA51" w:rsidR="00F91978" w:rsidRPr="00884FAA" w:rsidDel="00C56B33" w:rsidRDefault="003E09ED" w:rsidP="00C56B33">
      <w:r>
        <w:t xml:space="preserve">While there is an absence of </w:t>
      </w:r>
      <w:r w:rsidR="00542190">
        <w:t xml:space="preserve">formal system-level governance processes for Aboriginal and Torres Strait </w:t>
      </w:r>
      <w:r w:rsidR="00036227">
        <w:t>Is</w:t>
      </w:r>
      <w:r w:rsidR="00542190">
        <w:t xml:space="preserve">lander PHC </w:t>
      </w:r>
      <w:r w:rsidR="00FF0438">
        <w:t>and</w:t>
      </w:r>
      <w:r w:rsidR="00542190">
        <w:t xml:space="preserve"> the IAHP, </w:t>
      </w:r>
      <w:r w:rsidR="0023761C">
        <w:t>the department has been working in close partnership with NACCHO</w:t>
      </w:r>
      <w:r w:rsidR="00024B04">
        <w:t xml:space="preserve"> and it</w:t>
      </w:r>
      <w:r w:rsidR="00311A3E">
        <w:t xml:space="preserve">s </w:t>
      </w:r>
      <w:r w:rsidR="00A85DB9">
        <w:t>affiliated state and territory peak bodies</w:t>
      </w:r>
      <w:r w:rsidR="0023761C">
        <w:t>.</w:t>
      </w:r>
      <w:r w:rsidR="00954AAF">
        <w:t xml:space="preserve"> This </w:t>
      </w:r>
      <w:r w:rsidR="00173B5D">
        <w:t xml:space="preserve">partnership </w:t>
      </w:r>
      <w:r w:rsidR="00AD60A3">
        <w:t xml:space="preserve">is central to the </w:t>
      </w:r>
      <w:r w:rsidR="00B166ED">
        <w:t xml:space="preserve">department’s </w:t>
      </w:r>
      <w:r w:rsidR="00777EF8">
        <w:t xml:space="preserve">commitment to </w:t>
      </w:r>
      <w:r w:rsidR="009D16CF">
        <w:t>the National Agreement</w:t>
      </w:r>
      <w:r w:rsidR="00E7479E">
        <w:t xml:space="preserve"> on Closing the Gap Priority Reforms</w:t>
      </w:r>
      <w:r w:rsidR="007E48C8">
        <w:t xml:space="preserve"> and is suppo</w:t>
      </w:r>
      <w:r w:rsidR="001B2238">
        <w:t>r</w:t>
      </w:r>
      <w:r w:rsidR="007E48C8">
        <w:t xml:space="preserve">ted by </w:t>
      </w:r>
      <w:r w:rsidR="0027553D">
        <w:t>a formal funding agreement</w:t>
      </w:r>
      <w:r w:rsidR="00642E37">
        <w:t>.</w:t>
      </w:r>
      <w:r w:rsidR="0023761C">
        <w:t xml:space="preserve"> </w:t>
      </w:r>
      <w:r w:rsidR="00227033" w:rsidRPr="00884FAA">
        <w:t>Th</w:t>
      </w:r>
      <w:r w:rsidR="00F34CF5">
        <w:t xml:space="preserve">e reliance on NACCHO for </w:t>
      </w:r>
      <w:r w:rsidR="000929CC">
        <w:t xml:space="preserve">advice </w:t>
      </w:r>
      <w:r w:rsidR="00B37939" w:rsidRPr="00884FAA">
        <w:t xml:space="preserve">demonstrates the strength of </w:t>
      </w:r>
      <w:r w:rsidR="00B04B21">
        <w:t xml:space="preserve">this </w:t>
      </w:r>
      <w:r w:rsidR="00B37939" w:rsidRPr="00884FAA">
        <w:t xml:space="preserve">partnership. </w:t>
      </w:r>
      <w:r w:rsidR="000929CC">
        <w:t>However, while NACCHO is a representative organisation</w:t>
      </w:r>
      <w:r w:rsidR="00AE5291">
        <w:t xml:space="preserve">, </w:t>
      </w:r>
      <w:r w:rsidR="00E129DA">
        <w:t xml:space="preserve">member </w:t>
      </w:r>
      <w:r w:rsidR="00AE5291">
        <w:t xml:space="preserve">services </w:t>
      </w:r>
      <w:r w:rsidR="00994803">
        <w:t>reported</w:t>
      </w:r>
      <w:r w:rsidR="00AE5291">
        <w:t xml:space="preserve"> that an </w:t>
      </w:r>
      <w:r w:rsidR="005C664C">
        <w:t xml:space="preserve">unintended consequence of </w:t>
      </w:r>
      <w:r w:rsidR="00AE5291">
        <w:t xml:space="preserve">this partnership is the </w:t>
      </w:r>
      <w:r w:rsidR="00BF4AE4" w:rsidRPr="00884FAA">
        <w:t>centralis</w:t>
      </w:r>
      <w:r w:rsidR="005C664C">
        <w:t xml:space="preserve">ing </w:t>
      </w:r>
      <w:r w:rsidR="00364BA1">
        <w:t xml:space="preserve">of </w:t>
      </w:r>
      <w:r w:rsidR="00BF4AE4" w:rsidRPr="00884FAA">
        <w:t xml:space="preserve">governance </w:t>
      </w:r>
      <w:r w:rsidR="005C664C">
        <w:t xml:space="preserve">and decision-making </w:t>
      </w:r>
      <w:r w:rsidR="00052C8B" w:rsidRPr="00884FAA" w:rsidDel="00364BA1">
        <w:t>and</w:t>
      </w:r>
      <w:r w:rsidR="00D16F90" w:rsidRPr="00884FAA" w:rsidDel="00364BA1">
        <w:t xml:space="preserve"> </w:t>
      </w:r>
      <w:r w:rsidR="00994803">
        <w:t>that this</w:t>
      </w:r>
      <w:r w:rsidR="00364BA1">
        <w:t xml:space="preserve"> </w:t>
      </w:r>
      <w:r w:rsidR="00D16F90" w:rsidRPr="00884FAA">
        <w:t xml:space="preserve">does not </w:t>
      </w:r>
      <w:r w:rsidR="00CA2594" w:rsidRPr="00884FAA">
        <w:t xml:space="preserve">guarantee the inclusion of a diverse range of </w:t>
      </w:r>
      <w:r w:rsidR="00007E65">
        <w:t xml:space="preserve">government, </w:t>
      </w:r>
      <w:r w:rsidR="005C664C">
        <w:t>service</w:t>
      </w:r>
      <w:r w:rsidR="005C664C" w:rsidRPr="00884FAA">
        <w:t xml:space="preserve"> </w:t>
      </w:r>
      <w:r w:rsidR="005C664C">
        <w:t xml:space="preserve">and consumer </w:t>
      </w:r>
      <w:r w:rsidR="00067461" w:rsidRPr="00884FAA">
        <w:t>perspectives.</w:t>
      </w:r>
      <w:r w:rsidR="000236EC" w:rsidRPr="00884FAA">
        <w:t xml:space="preserve"> This includes </w:t>
      </w:r>
      <w:r w:rsidR="00D67A46" w:rsidRPr="00884FAA">
        <w:t xml:space="preserve">a lack of a mainstream </w:t>
      </w:r>
      <w:r w:rsidR="00EB55EF" w:rsidRPr="00884FAA">
        <w:t xml:space="preserve">health service </w:t>
      </w:r>
      <w:r w:rsidR="00364BA1">
        <w:t xml:space="preserve">advice and </w:t>
      </w:r>
      <w:r w:rsidR="00EB55EF" w:rsidRPr="00884FAA">
        <w:t>perspective</w:t>
      </w:r>
      <w:r w:rsidR="00364BA1">
        <w:t xml:space="preserve">s on key decision-making relating to IAHP and </w:t>
      </w:r>
      <w:r w:rsidR="00541B73">
        <w:t>PHC</w:t>
      </w:r>
      <w:r w:rsidR="00364BA1">
        <w:t xml:space="preserve"> for Aboriginal and Torres Strait Islander people</w:t>
      </w:r>
      <w:r w:rsidR="00EB55EF" w:rsidRPr="00884FAA">
        <w:t>.</w:t>
      </w:r>
      <w:r w:rsidR="004A07A6">
        <w:t xml:space="preserve"> </w:t>
      </w:r>
    </w:p>
    <w:p w14:paraId="4CEF4B48" w14:textId="71E7DA5C" w:rsidR="004009AD" w:rsidRPr="00884FAA" w:rsidRDefault="005335FF" w:rsidP="00C56B33">
      <w:r w:rsidRPr="00880814">
        <w:t xml:space="preserve">The </w:t>
      </w:r>
      <w:r w:rsidR="00533B1A" w:rsidRPr="00880814">
        <w:t>N</w:t>
      </w:r>
      <w:r w:rsidR="00475A52" w:rsidRPr="00880814">
        <w:t>ational Aborig</w:t>
      </w:r>
      <w:r w:rsidR="00533B1A" w:rsidRPr="00880814">
        <w:t>i</w:t>
      </w:r>
      <w:r w:rsidR="00475A52" w:rsidRPr="00880814">
        <w:t>nal and Torres St</w:t>
      </w:r>
      <w:r w:rsidR="00533B1A" w:rsidRPr="00880814">
        <w:t>r</w:t>
      </w:r>
      <w:r w:rsidR="00475A52" w:rsidRPr="00880814">
        <w:t xml:space="preserve">ait </w:t>
      </w:r>
      <w:r w:rsidR="00736704" w:rsidRPr="00880814">
        <w:t>I</w:t>
      </w:r>
      <w:r w:rsidR="00475A52" w:rsidRPr="00880814">
        <w:t>slander Health Plan</w:t>
      </w:r>
      <w:r w:rsidR="0006254A" w:rsidRPr="00880814">
        <w:t xml:space="preserve"> notes that new governance arrangements </w:t>
      </w:r>
      <w:r w:rsidRPr="00880814">
        <w:t>w</w:t>
      </w:r>
      <w:r w:rsidR="00CF6219" w:rsidRPr="00880814">
        <w:t>ill</w:t>
      </w:r>
      <w:r w:rsidR="0006254A" w:rsidRPr="00880814">
        <w:t xml:space="preserve"> be developed embedding Aboriginal and Torres Strait Islander leadership and cross-</w:t>
      </w:r>
      <w:r w:rsidR="009902E4" w:rsidRPr="00880814">
        <w:t>jurisdictional</w:t>
      </w:r>
      <w:r w:rsidR="0006254A" w:rsidRPr="00880814">
        <w:t xml:space="preserve"> partnership </w:t>
      </w:r>
      <w:r w:rsidR="009902E4" w:rsidRPr="00880814">
        <w:fldChar w:fldCharType="begin"/>
      </w:r>
      <w:r w:rsidR="00F8760E">
        <w:instrText xml:space="preserve"> ADDIN ZOTERO_ITEM CSL_CITATION {"citationID":"XWyoj3fu","properties":{"formattedCitation":"(Australian Department of Health, 2021a)","plainCitation":"(Australian Department of Health, 2021a)","noteIndex":0},"citationItems":[{"id":3766,"uris":["http://zotero.org/groups/5010721/items/VEKQG4DD",["http://zotero.org/groups/5010721/items/VEKQG4DD"],["http://zotero.org/groups/5010721/items/VEKQG4DD",["http://zotero.org/groups/5010721/items/VEKQG4DD"]]],"itemData":{"id":3766,"type":"report","event-place":"Canberra","publisher":"Commonwealth of Australia","publisher-place":"Canberra","title":"National Aboriginal and Torres Strait Islander Health Plan 2021–2031","URL":"https://www.health.gov.au/sites/default/files/documents/2022/06/national-aboriginal-and-torres-strait-islander-health-plan-2021-2031.pdf","author":[{"literal":"Australian Department of Health"}],"issued":{"date-parts":[["2021"]]}}}],"schema":"https://github.com/citation-style-language/schema/raw/master/csl-citation.json"} </w:instrText>
      </w:r>
      <w:r w:rsidR="009902E4" w:rsidRPr="00880814">
        <w:fldChar w:fldCharType="separate"/>
      </w:r>
      <w:r w:rsidR="009902E4" w:rsidRPr="00880814">
        <w:rPr>
          <w:rFonts w:ascii="Arial" w:hAnsi="Arial" w:cs="Arial"/>
        </w:rPr>
        <w:t>(Australian Department of Health, 2021a)</w:t>
      </w:r>
      <w:r w:rsidR="009902E4" w:rsidRPr="00880814">
        <w:fldChar w:fldCharType="end"/>
      </w:r>
      <w:r w:rsidR="009902E4" w:rsidRPr="00880814">
        <w:t>.</w:t>
      </w:r>
      <w:r w:rsidR="00CF6219" w:rsidRPr="00880814">
        <w:t xml:space="preserve"> </w:t>
      </w:r>
      <w:r w:rsidR="00994CFC" w:rsidRPr="00880814">
        <w:t>The department has</w:t>
      </w:r>
      <w:r w:rsidR="00736704" w:rsidRPr="00880814">
        <w:t xml:space="preserve"> </w:t>
      </w:r>
      <w:r w:rsidR="00994CFC" w:rsidRPr="00880814">
        <w:t xml:space="preserve">advised </w:t>
      </w:r>
      <w:r w:rsidR="00304F39" w:rsidRPr="00880814">
        <w:t xml:space="preserve">that it is </w:t>
      </w:r>
      <w:r w:rsidR="00F91978" w:rsidRPr="00880814">
        <w:t>continuing to develop</w:t>
      </w:r>
      <w:r w:rsidR="001F60C7" w:rsidRPr="00880814">
        <w:t xml:space="preserve"> a</w:t>
      </w:r>
      <w:r w:rsidR="00F91978" w:rsidRPr="00880814">
        <w:t xml:space="preserve"> </w:t>
      </w:r>
      <w:r w:rsidR="00475A52" w:rsidRPr="00880814">
        <w:t xml:space="preserve">governance arrangement for the </w:t>
      </w:r>
      <w:r w:rsidR="00CF6219" w:rsidRPr="00880814">
        <w:t>Health Plan.</w:t>
      </w:r>
    </w:p>
    <w:p w14:paraId="09A1829C" w14:textId="40970ECE" w:rsidR="00033504" w:rsidRPr="00884FAA" w:rsidRDefault="00004433" w:rsidP="00651D06">
      <w:pPr>
        <w:pStyle w:val="Heading3"/>
      </w:pPr>
      <w:r w:rsidRPr="00884FAA">
        <w:t xml:space="preserve">The </w:t>
      </w:r>
      <w:r w:rsidR="00685C45" w:rsidRPr="00884FAA">
        <w:t xml:space="preserve">administration of </w:t>
      </w:r>
      <w:r w:rsidRPr="00884FAA">
        <w:t>the IAHP</w:t>
      </w:r>
    </w:p>
    <w:p w14:paraId="014A660C" w14:textId="76223D16" w:rsidR="009C2E06" w:rsidRPr="00884FAA" w:rsidRDefault="00D57974" w:rsidP="00004433">
      <w:r w:rsidRPr="00884FAA">
        <w:t xml:space="preserve">While </w:t>
      </w:r>
      <w:r w:rsidR="00924B35">
        <w:t>the</w:t>
      </w:r>
      <w:r w:rsidR="00924B35" w:rsidRPr="00884FAA">
        <w:t xml:space="preserve"> </w:t>
      </w:r>
      <w:r w:rsidRPr="00884FAA">
        <w:t xml:space="preserve">evaluation </w:t>
      </w:r>
      <w:r w:rsidR="00EC7289" w:rsidRPr="00884FAA">
        <w:t>did not have</w:t>
      </w:r>
      <w:r w:rsidR="0065684D" w:rsidRPr="00884FAA">
        <w:t xml:space="preserve"> a specific focus o</w:t>
      </w:r>
      <w:r w:rsidR="00BA26F2" w:rsidRPr="00884FAA">
        <w:t>n</w:t>
      </w:r>
      <w:r w:rsidR="008E4CD5" w:rsidRPr="00884FAA">
        <w:t xml:space="preserve"> assessing</w:t>
      </w:r>
      <w:r w:rsidR="00BA26F2" w:rsidRPr="00884FAA">
        <w:t xml:space="preserve"> </w:t>
      </w:r>
      <w:r w:rsidR="00685C45" w:rsidRPr="00884FAA">
        <w:t xml:space="preserve">the </w:t>
      </w:r>
      <w:r w:rsidR="009F3538">
        <w:t xml:space="preserve">management and </w:t>
      </w:r>
      <w:r w:rsidR="00685C45" w:rsidRPr="00884FAA">
        <w:t xml:space="preserve">administration of </w:t>
      </w:r>
      <w:r w:rsidR="002B4A24">
        <w:t>the</w:t>
      </w:r>
      <w:r w:rsidR="00685C45" w:rsidRPr="00884FAA">
        <w:t xml:space="preserve"> IAHP, discussions </w:t>
      </w:r>
      <w:r w:rsidR="009C2E06" w:rsidRPr="00884FAA">
        <w:t xml:space="preserve">with site </w:t>
      </w:r>
      <w:r w:rsidR="00DE0756" w:rsidRPr="00884FAA">
        <w:t>partners</w:t>
      </w:r>
      <w:r w:rsidR="009C2E06" w:rsidRPr="00884FAA">
        <w:t xml:space="preserve"> </w:t>
      </w:r>
      <w:r w:rsidR="00CE4854" w:rsidRPr="00884FAA">
        <w:t xml:space="preserve">indicated that </w:t>
      </w:r>
      <w:r w:rsidR="00036E60" w:rsidRPr="00884FAA">
        <w:t xml:space="preserve">there are opportunities to strengthen the administration of </w:t>
      </w:r>
      <w:r w:rsidR="002B4A24">
        <w:t>the</w:t>
      </w:r>
      <w:r w:rsidR="00036E60" w:rsidRPr="00884FAA">
        <w:t xml:space="preserve"> IAHP and more closely integrate the administration of IAHP with </w:t>
      </w:r>
      <w:r w:rsidR="00E500F0" w:rsidRPr="00884FAA">
        <w:t>primary</w:t>
      </w:r>
      <w:r w:rsidR="00036E60" w:rsidRPr="00884FAA">
        <w:t xml:space="preserve"> health policy and planning processes. </w:t>
      </w:r>
    </w:p>
    <w:p w14:paraId="010C1302" w14:textId="24EFD768" w:rsidR="001B2627" w:rsidRPr="00884FAA" w:rsidRDefault="00185214" w:rsidP="00004433">
      <w:r>
        <w:t>Participants from ACCHSs</w:t>
      </w:r>
      <w:r w:rsidR="008F4903">
        <w:t xml:space="preserve"> and from state, territory and national organisations </w:t>
      </w:r>
      <w:r w:rsidR="00AF2BDC">
        <w:t>reflected on</w:t>
      </w:r>
      <w:r w:rsidR="00736729">
        <w:t xml:space="preserve"> </w:t>
      </w:r>
      <w:r w:rsidR="00AF2BDC">
        <w:t>t</w:t>
      </w:r>
      <w:r w:rsidR="00736729">
        <w:t>he be</w:t>
      </w:r>
      <w:r w:rsidR="00E7692B">
        <w:t>n</w:t>
      </w:r>
      <w:r w:rsidR="00736729">
        <w:t xml:space="preserve">efits of having a </w:t>
      </w:r>
      <w:r w:rsidR="00012BCD">
        <w:t>specialist, dedicated</w:t>
      </w:r>
      <w:r w:rsidR="00E7692B">
        <w:t xml:space="preserve"> Abor</w:t>
      </w:r>
      <w:r w:rsidR="00761759">
        <w:t>i</w:t>
      </w:r>
      <w:r w:rsidR="00E7692B">
        <w:t>ginal and Torres Strait Islan</w:t>
      </w:r>
      <w:r w:rsidR="00761759">
        <w:t>der</w:t>
      </w:r>
      <w:r w:rsidR="003B2882">
        <w:t xml:space="preserve"> division </w:t>
      </w:r>
      <w:r w:rsidR="00BB1FE6">
        <w:t xml:space="preserve">(the First Nations Health Division) </w:t>
      </w:r>
      <w:r w:rsidR="003B2882">
        <w:t xml:space="preserve">within </w:t>
      </w:r>
      <w:r w:rsidR="00CE1083">
        <w:t xml:space="preserve">the </w:t>
      </w:r>
      <w:r w:rsidR="00107831">
        <w:t>department</w:t>
      </w:r>
      <w:r w:rsidR="00CE1083">
        <w:t>.</w:t>
      </w:r>
      <w:r w:rsidR="00AA0F6D">
        <w:t xml:space="preserve"> </w:t>
      </w:r>
      <w:r w:rsidR="000F077C">
        <w:t>For example,</w:t>
      </w:r>
      <w:r w:rsidR="00471A08">
        <w:t xml:space="preserve"> participants </w:t>
      </w:r>
      <w:r w:rsidR="00903BD9">
        <w:t xml:space="preserve">talked about </w:t>
      </w:r>
      <w:r w:rsidR="00A351A2">
        <w:t xml:space="preserve">the </w:t>
      </w:r>
      <w:r w:rsidR="00B129AE">
        <w:t xml:space="preserve">value of </w:t>
      </w:r>
      <w:r w:rsidR="00C6030C">
        <w:t>centralising knowledge and expertise within the department</w:t>
      </w:r>
      <w:r w:rsidR="00EC109E">
        <w:t xml:space="preserve"> in terms of the </w:t>
      </w:r>
      <w:r w:rsidR="00406DEE">
        <w:t xml:space="preserve">visibility </w:t>
      </w:r>
      <w:r w:rsidR="000C6037">
        <w:t xml:space="preserve">and </w:t>
      </w:r>
      <w:r w:rsidR="00F67851">
        <w:t xml:space="preserve">profile </w:t>
      </w:r>
      <w:r w:rsidR="00D57D67">
        <w:t>of Indigenous health</w:t>
      </w:r>
      <w:r w:rsidR="00926993">
        <w:t>,</w:t>
      </w:r>
      <w:r w:rsidR="00F67851">
        <w:t xml:space="preserve"> </w:t>
      </w:r>
      <w:r w:rsidR="00991868">
        <w:t xml:space="preserve">and </w:t>
      </w:r>
      <w:r w:rsidR="00D57D67">
        <w:t>the</w:t>
      </w:r>
      <w:r w:rsidR="00991868">
        <w:t xml:space="preserve"> leveraging opportunities. </w:t>
      </w:r>
      <w:r w:rsidR="00C70EFE">
        <w:t>H</w:t>
      </w:r>
      <w:r w:rsidR="003F3E14" w:rsidRPr="00884FAA">
        <w:t xml:space="preserve">ealth policy functions are concentrated in mainstream sections of the department which can limit </w:t>
      </w:r>
      <w:r w:rsidR="008213DA" w:rsidRPr="00884FAA">
        <w:t xml:space="preserve">attention to First Nations </w:t>
      </w:r>
      <w:r w:rsidR="003F3E14" w:rsidRPr="00884FAA">
        <w:t xml:space="preserve">perspectives </w:t>
      </w:r>
      <w:r w:rsidR="001B2627" w:rsidRPr="00884FAA">
        <w:t xml:space="preserve">in the development of </w:t>
      </w:r>
      <w:r w:rsidR="003F3E14" w:rsidRPr="00884FAA">
        <w:t xml:space="preserve">health policy. </w:t>
      </w:r>
      <w:r w:rsidR="007520D8">
        <w:t>Participants reported</w:t>
      </w:r>
      <w:r w:rsidR="00F341A5" w:rsidRPr="0008333F">
        <w:t xml:space="preserve"> th</w:t>
      </w:r>
      <w:r w:rsidR="00F341A5" w:rsidRPr="00884FAA">
        <w:t xml:space="preserve">at people working within the First Nations Health Division may not have </w:t>
      </w:r>
      <w:r w:rsidR="00E178D1" w:rsidRPr="00884FAA">
        <w:t xml:space="preserve">specific </w:t>
      </w:r>
      <w:r w:rsidR="00FA4D9E" w:rsidRPr="00884FAA">
        <w:t>primary</w:t>
      </w:r>
      <w:r w:rsidR="00F92533" w:rsidRPr="00884FAA">
        <w:t xml:space="preserve"> </w:t>
      </w:r>
      <w:r w:rsidR="00E178D1" w:rsidRPr="00884FAA">
        <w:t>health expertise</w:t>
      </w:r>
      <w:r w:rsidR="00F92533" w:rsidRPr="00884FAA">
        <w:t xml:space="preserve"> or experience working in Aboriginal and Torres Strait Islander health service delivery. </w:t>
      </w:r>
    </w:p>
    <w:p w14:paraId="689965EF" w14:textId="3CF93B0C" w:rsidR="00405C62" w:rsidRPr="00884FAA" w:rsidRDefault="00330F51" w:rsidP="00004433">
      <w:r w:rsidRPr="00884FAA">
        <w:t>This perception was shared by people working within ACCHSs</w:t>
      </w:r>
      <w:r w:rsidR="006D7AEA" w:rsidRPr="00884FAA">
        <w:t xml:space="preserve">. One ACCHS manager </w:t>
      </w:r>
      <w:r w:rsidR="00603F19" w:rsidRPr="00884FAA">
        <w:t xml:space="preserve">identified </w:t>
      </w:r>
      <w:r w:rsidR="0009347C" w:rsidRPr="00884FAA">
        <w:t>the need to build the profile and status of the F</w:t>
      </w:r>
      <w:r w:rsidR="00F92533" w:rsidRPr="00884FAA">
        <w:t xml:space="preserve">irst Nations Health Division </w:t>
      </w:r>
      <w:r w:rsidR="0009347C" w:rsidRPr="00884FAA">
        <w:t xml:space="preserve">through more senior </w:t>
      </w:r>
      <w:r w:rsidR="008B0051" w:rsidRPr="00884FAA">
        <w:t xml:space="preserve">leadership within the hierarchy of the </w:t>
      </w:r>
      <w:r w:rsidR="00E644E5">
        <w:t>department</w:t>
      </w:r>
      <w:r w:rsidR="008B0051" w:rsidRPr="00884FAA">
        <w:t xml:space="preserve">. </w:t>
      </w:r>
      <w:r w:rsidR="00405C62" w:rsidRPr="00884FAA">
        <w:t>The benefit of</w:t>
      </w:r>
      <w:r w:rsidR="003F3E14" w:rsidRPr="00884FAA">
        <w:t xml:space="preserve"> access to more senior decision-makers within the </w:t>
      </w:r>
      <w:r w:rsidR="00A468C4" w:rsidRPr="00884FAA">
        <w:t>department</w:t>
      </w:r>
      <w:r w:rsidR="003F3E14" w:rsidRPr="00884FAA">
        <w:t xml:space="preserve"> was demonstrated </w:t>
      </w:r>
      <w:r w:rsidR="00F92533" w:rsidRPr="00884FAA">
        <w:t>during</w:t>
      </w:r>
      <w:r w:rsidR="003F3E14" w:rsidRPr="00884FAA">
        <w:t xml:space="preserve"> the COVID response. </w:t>
      </w:r>
    </w:p>
    <w:p w14:paraId="0AA7F68F" w14:textId="59A3E3FF" w:rsidR="003815C4" w:rsidRPr="00884FAA" w:rsidRDefault="003815C4" w:rsidP="003815C4">
      <w:r w:rsidRPr="00884FAA">
        <w:t xml:space="preserve">Another concern expressed by participants was the </w:t>
      </w:r>
      <w:r w:rsidR="001859BD" w:rsidRPr="00884FAA">
        <w:t>rate of staff turnover within the First Nations Health Division</w:t>
      </w:r>
      <w:r w:rsidR="00F714F9" w:rsidRPr="00884FAA">
        <w:t xml:space="preserve"> and the </w:t>
      </w:r>
      <w:r w:rsidR="00107831">
        <w:t>DSS</w:t>
      </w:r>
      <w:r w:rsidR="00F714F9" w:rsidRPr="00884FAA">
        <w:t xml:space="preserve"> (wh</w:t>
      </w:r>
      <w:r w:rsidR="00B40277" w:rsidRPr="00884FAA">
        <w:t>ich has</w:t>
      </w:r>
      <w:r w:rsidR="00F714F9" w:rsidRPr="00884FAA">
        <w:t xml:space="preserve"> responsibilities for elements of IAHP contract </w:t>
      </w:r>
      <w:r w:rsidR="00F714F9" w:rsidRPr="00884FAA">
        <w:lastRenderedPageBreak/>
        <w:t>management</w:t>
      </w:r>
      <w:r w:rsidR="00F0773D" w:rsidRPr="00884FAA">
        <w:t>)</w:t>
      </w:r>
      <w:r w:rsidR="00E30D2C" w:rsidRPr="005D1C41">
        <w:rPr>
          <w:rStyle w:val="FootnoteReference"/>
        </w:rPr>
        <w:footnoteReference w:id="60"/>
      </w:r>
      <w:r w:rsidR="00F714F9" w:rsidRPr="00884FAA">
        <w:t xml:space="preserve"> </w:t>
      </w:r>
      <w:r w:rsidR="00407BBA" w:rsidRPr="00884FAA">
        <w:t>and the impact on contractual relationships and the loss of institutional knowledge</w:t>
      </w:r>
      <w:r w:rsidR="00F4704A" w:rsidRPr="00884FAA">
        <w:t xml:space="preserve">. </w:t>
      </w:r>
      <w:r w:rsidR="00407BBA" w:rsidRPr="00884FAA">
        <w:t xml:space="preserve">This </w:t>
      </w:r>
      <w:r w:rsidR="00F714F9" w:rsidRPr="00884FAA">
        <w:t xml:space="preserve">impact </w:t>
      </w:r>
      <w:r w:rsidR="00407BBA" w:rsidRPr="00884FAA">
        <w:t>was compounded by turnover within ACCHS.</w:t>
      </w:r>
    </w:p>
    <w:p w14:paraId="1F0F304B" w14:textId="789ABF54" w:rsidR="009827E6" w:rsidRPr="00A1178E" w:rsidRDefault="00407BBA" w:rsidP="00A05B28">
      <w:pPr>
        <w:pStyle w:val="Quote"/>
        <w:spacing w:after="0"/>
        <w:ind w:left="1276"/>
        <w:rPr>
          <w:color w:val="18525E" w:themeColor="accent5" w:themeShade="80"/>
        </w:rPr>
      </w:pPr>
      <w:r w:rsidRPr="00A1178E">
        <w:rPr>
          <w:color w:val="18525E" w:themeColor="accent5" w:themeShade="80"/>
        </w:rPr>
        <w:t xml:space="preserve"> We have contract managers but like us, they change all the time.</w:t>
      </w:r>
    </w:p>
    <w:p w14:paraId="1E76BDB9" w14:textId="6260DD40" w:rsidR="005C45ED" w:rsidRPr="00A05B28" w:rsidRDefault="005C45ED" w:rsidP="00362B01">
      <w:pPr>
        <w:spacing w:before="120"/>
        <w:jc w:val="right"/>
        <w:rPr>
          <w:b/>
          <w:bCs/>
        </w:rPr>
      </w:pPr>
      <w:r w:rsidRPr="00A05B28">
        <w:rPr>
          <w:b/>
          <w:bCs/>
        </w:rPr>
        <w:t>ACCHS, Remote location</w:t>
      </w:r>
    </w:p>
    <w:p w14:paraId="5BA444C7" w14:textId="77777777" w:rsidR="0068649D" w:rsidRDefault="00CE23AF" w:rsidP="00CE23AF">
      <w:r w:rsidRPr="00884FAA">
        <w:t>Some ACCHS</w:t>
      </w:r>
      <w:r w:rsidR="00180250" w:rsidRPr="00884FAA">
        <w:t xml:space="preserve"> managers </w:t>
      </w:r>
      <w:r w:rsidR="001909B6" w:rsidRPr="00884FAA">
        <w:t xml:space="preserve">commented on fragmentation in </w:t>
      </w:r>
      <w:r w:rsidR="001A3301" w:rsidRPr="00884FAA">
        <w:t>IAHP policy, grant-making and grant performance management functions</w:t>
      </w:r>
      <w:r w:rsidR="00614596" w:rsidRPr="00884FAA">
        <w:t xml:space="preserve">, with these being </w:t>
      </w:r>
      <w:r w:rsidR="00B46FEB" w:rsidRPr="00884FAA">
        <w:t>located in</w:t>
      </w:r>
      <w:r w:rsidR="001A3301" w:rsidRPr="00884FAA">
        <w:t xml:space="preserve"> separate parts of government (</w:t>
      </w:r>
      <w:r w:rsidR="00CA5819" w:rsidRPr="00884FAA">
        <w:t>for example,</w:t>
      </w:r>
      <w:r w:rsidR="001A3301" w:rsidRPr="00884FAA">
        <w:t xml:space="preserve"> the department, DSS, PHNs)</w:t>
      </w:r>
      <w:r w:rsidR="00B46FEB" w:rsidRPr="00884FAA">
        <w:t>.</w:t>
      </w:r>
      <w:r w:rsidR="00533FC7" w:rsidRPr="00884FAA">
        <w:t xml:space="preserve"> They found this frustrating and inefficient. </w:t>
      </w:r>
      <w:r w:rsidR="00B46FEB" w:rsidRPr="00884FAA">
        <w:t xml:space="preserve">Other </w:t>
      </w:r>
      <w:r w:rsidR="00BE2234" w:rsidRPr="00884FAA">
        <w:t>evaluation participants</w:t>
      </w:r>
      <w:r w:rsidR="007C1CBE" w:rsidRPr="00884FAA">
        <w:t>, however,</w:t>
      </w:r>
      <w:r w:rsidR="00BE2234" w:rsidRPr="00884FAA">
        <w:t xml:space="preserve"> commented on</w:t>
      </w:r>
      <w:r w:rsidR="003865A4" w:rsidRPr="00884FAA">
        <w:t xml:space="preserve"> the</w:t>
      </w:r>
      <w:r w:rsidR="00BE2234" w:rsidRPr="00884FAA">
        <w:t xml:space="preserve"> perceived benefits in separati</w:t>
      </w:r>
      <w:r w:rsidR="00B04AF8" w:rsidRPr="00884FAA">
        <w:t>ng</w:t>
      </w:r>
      <w:r w:rsidR="00BE2234" w:rsidRPr="00884FAA">
        <w:t xml:space="preserve"> </w:t>
      </w:r>
      <w:r w:rsidR="00B04AF8" w:rsidRPr="00884FAA">
        <w:t>these functions</w:t>
      </w:r>
      <w:r w:rsidR="004C0A36" w:rsidRPr="00884FAA">
        <w:t xml:space="preserve"> </w:t>
      </w:r>
      <w:r w:rsidR="007C1CBE" w:rsidRPr="00884FAA">
        <w:t xml:space="preserve">– </w:t>
      </w:r>
      <w:r w:rsidR="004C0A36" w:rsidRPr="00884FAA">
        <w:t>for</w:t>
      </w:r>
      <w:r w:rsidR="007C1CBE" w:rsidRPr="00884FAA">
        <w:t xml:space="preserve"> </w:t>
      </w:r>
      <w:r w:rsidR="004C0A36" w:rsidRPr="00884FAA">
        <w:t xml:space="preserve">example, </w:t>
      </w:r>
      <w:r w:rsidR="007C1CBE" w:rsidRPr="00884FAA">
        <w:t xml:space="preserve">enabling </w:t>
      </w:r>
      <w:r w:rsidR="004C0A36" w:rsidRPr="00884FAA">
        <w:t xml:space="preserve">potentially uncomfortable discussions about a grant or performance to be </w:t>
      </w:r>
      <w:r w:rsidR="00B66C32" w:rsidRPr="00884FAA">
        <w:t xml:space="preserve">separate from </w:t>
      </w:r>
      <w:r w:rsidR="00430A76" w:rsidRPr="00884FAA">
        <w:t>engagement on a policy or program query.</w:t>
      </w:r>
    </w:p>
    <w:p w14:paraId="4320B7E0" w14:textId="6AFF16C9" w:rsidR="000F1ACB" w:rsidRPr="00884FAA" w:rsidRDefault="00351CB0" w:rsidP="0035030F">
      <w:pPr>
        <w:pStyle w:val="Heading2"/>
      </w:pPr>
      <w:bookmarkStart w:id="241" w:name="_Toc137208932"/>
      <w:r w:rsidRPr="00884FAA">
        <w:t>Influence of d</w:t>
      </w:r>
      <w:r w:rsidR="00566061" w:rsidRPr="00884FAA">
        <w:t xml:space="preserve">ata and </w:t>
      </w:r>
      <w:r w:rsidR="00A61722" w:rsidRPr="00884FAA">
        <w:t>knowledge</w:t>
      </w:r>
      <w:r w:rsidR="00566061" w:rsidRPr="00884FAA">
        <w:t xml:space="preserve"> sharing processes </w:t>
      </w:r>
      <w:r w:rsidRPr="00884FAA">
        <w:t xml:space="preserve">on primary health </w:t>
      </w:r>
      <w:r w:rsidR="00311C43">
        <w:t xml:space="preserve">care </w:t>
      </w:r>
      <w:r w:rsidRPr="00884FAA">
        <w:t>system</w:t>
      </w:r>
      <w:bookmarkEnd w:id="241"/>
      <w:r w:rsidRPr="00884FAA">
        <w:t xml:space="preserve"> </w:t>
      </w:r>
    </w:p>
    <w:p w14:paraId="0CB2791A" w14:textId="671FDFE3" w:rsidR="005E641C" w:rsidRPr="00884FAA" w:rsidRDefault="00CD1D5F" w:rsidP="00924718">
      <w:r w:rsidRPr="00884FAA">
        <w:t xml:space="preserve">Discussions on the use of knowledge and information focused on </w:t>
      </w:r>
      <w:r w:rsidR="007E1CAA" w:rsidRPr="00884FAA">
        <w:t xml:space="preserve">reporting and </w:t>
      </w:r>
      <w:r w:rsidR="00305059" w:rsidRPr="00884FAA">
        <w:t>on</w:t>
      </w:r>
      <w:r w:rsidR="007E1CAA" w:rsidRPr="00884FAA">
        <w:t xml:space="preserve"> the </w:t>
      </w:r>
      <w:r w:rsidR="00C75388" w:rsidRPr="00884FAA">
        <w:t xml:space="preserve">relevance of </w:t>
      </w:r>
      <w:r w:rsidR="00DB01E3" w:rsidRPr="00884FAA">
        <w:t>data collected under the IAHP</w:t>
      </w:r>
      <w:r w:rsidR="00583A75" w:rsidRPr="00884FAA">
        <w:t xml:space="preserve">. </w:t>
      </w:r>
      <w:r w:rsidR="00053272" w:rsidRPr="00884FAA">
        <w:t>In relation</w:t>
      </w:r>
      <w:r w:rsidR="00886E2D" w:rsidRPr="00884FAA">
        <w:t xml:space="preserve"> to </w:t>
      </w:r>
      <w:r w:rsidR="00053272" w:rsidRPr="00884FAA">
        <w:t xml:space="preserve">the relevance of data, discussions covered </w:t>
      </w:r>
      <w:r w:rsidR="007A22A9" w:rsidRPr="00884FAA">
        <w:t xml:space="preserve">how </w:t>
      </w:r>
      <w:r w:rsidR="005C4A5B" w:rsidRPr="00884FAA">
        <w:t xml:space="preserve">data </w:t>
      </w:r>
      <w:r w:rsidR="007B3B02">
        <w:t>were</w:t>
      </w:r>
      <w:r w:rsidR="007B3B02" w:rsidRPr="00884FAA">
        <w:t xml:space="preserve"> </w:t>
      </w:r>
      <w:r w:rsidR="005C4A5B" w:rsidRPr="00884FAA">
        <w:t>used</w:t>
      </w:r>
      <w:r w:rsidR="00886E2D" w:rsidRPr="00884FAA">
        <w:t xml:space="preserve"> to </w:t>
      </w:r>
      <w:r w:rsidR="009B11A6" w:rsidRPr="00884FAA">
        <w:t xml:space="preserve">strengthen local </w:t>
      </w:r>
      <w:r w:rsidR="00886E2D" w:rsidRPr="00884FAA">
        <w:t xml:space="preserve">understanding of Aboriginal </w:t>
      </w:r>
      <w:r w:rsidR="00FE4CCF" w:rsidRPr="00884FAA">
        <w:t xml:space="preserve">and Torres Strait Islander </w:t>
      </w:r>
      <w:r w:rsidR="00886E2D" w:rsidRPr="00884FAA">
        <w:t>health and wellbeing,</w:t>
      </w:r>
      <w:r w:rsidR="00FE4CCF" w:rsidRPr="00884FAA">
        <w:t xml:space="preserve"> </w:t>
      </w:r>
      <w:r w:rsidR="009B11A6" w:rsidRPr="00884FAA">
        <w:t>for</w:t>
      </w:r>
      <w:r w:rsidR="00886E2D" w:rsidRPr="00884FAA">
        <w:t xml:space="preserve"> </w:t>
      </w:r>
      <w:r w:rsidR="002553DD" w:rsidRPr="00884FAA">
        <w:t xml:space="preserve">continuous </w:t>
      </w:r>
      <w:r w:rsidR="005B410B" w:rsidRPr="00884FAA">
        <w:t xml:space="preserve">quality </w:t>
      </w:r>
      <w:r w:rsidR="002553DD" w:rsidRPr="00884FAA">
        <w:t xml:space="preserve">improvement </w:t>
      </w:r>
      <w:r w:rsidR="005B410B" w:rsidRPr="00884FAA">
        <w:t>(</w:t>
      </w:r>
      <w:r w:rsidR="009B11A6" w:rsidRPr="00884FAA">
        <w:t>CQI</w:t>
      </w:r>
      <w:r w:rsidR="005B410B" w:rsidRPr="00884FAA">
        <w:t>)</w:t>
      </w:r>
      <w:r w:rsidR="009B11A6" w:rsidRPr="00884FAA">
        <w:t xml:space="preserve"> processes, </w:t>
      </w:r>
      <w:r w:rsidR="002553DD" w:rsidRPr="00884FAA">
        <w:t xml:space="preserve">and </w:t>
      </w:r>
      <w:r w:rsidR="00A04DED" w:rsidRPr="00884FAA">
        <w:t>how it informed policy and</w:t>
      </w:r>
      <w:r w:rsidR="00886E2D" w:rsidRPr="00884FAA">
        <w:t xml:space="preserve"> decision-making</w:t>
      </w:r>
      <w:r w:rsidR="002553DD" w:rsidRPr="00884FAA">
        <w:t xml:space="preserve"> </w:t>
      </w:r>
      <w:r w:rsidR="00A04DED" w:rsidRPr="00884FAA">
        <w:t>on</w:t>
      </w:r>
      <w:r w:rsidR="002553DD" w:rsidRPr="00884FAA">
        <w:t xml:space="preserve"> IAHP</w:t>
      </w:r>
      <w:r w:rsidR="00886E2D" w:rsidRPr="00884FAA">
        <w:t>.</w:t>
      </w:r>
    </w:p>
    <w:p w14:paraId="7750A66E" w14:textId="77777777" w:rsidR="00913C42" w:rsidRPr="00884FAA" w:rsidRDefault="00913C42" w:rsidP="00651D06">
      <w:pPr>
        <w:pStyle w:val="Heading3"/>
      </w:pPr>
      <w:r w:rsidRPr="00884FAA">
        <w:t>Funded organisations have several reporting requirements</w:t>
      </w:r>
    </w:p>
    <w:p w14:paraId="6C0DC55E" w14:textId="1F118AE7" w:rsidR="00913C42" w:rsidRPr="00884FAA" w:rsidRDefault="00913C42" w:rsidP="00913C42">
      <w:r w:rsidRPr="00884FAA">
        <w:t xml:space="preserve">IAHP funded organisations have the following reporting requirements. The specific requirements are adjusted in proportion to the complexity, risk, and level of funding </w:t>
      </w:r>
      <w:r w:rsidR="002553DD" w:rsidRPr="00884FAA">
        <w:t xml:space="preserve">delivered through </w:t>
      </w:r>
      <w:r w:rsidRPr="00884FAA">
        <w:t>each grant funding agreement.</w:t>
      </w:r>
    </w:p>
    <w:p w14:paraId="67598748" w14:textId="77777777" w:rsidR="00913C42" w:rsidRPr="00884FAA" w:rsidRDefault="00913C42" w:rsidP="00EB4F33">
      <w:pPr>
        <w:numPr>
          <w:ilvl w:val="0"/>
          <w:numId w:val="19"/>
        </w:numPr>
        <w:spacing w:after="120"/>
      </w:pPr>
      <w:r w:rsidRPr="00884FAA">
        <w:rPr>
          <w:b/>
          <w:bCs/>
        </w:rPr>
        <w:t>Activity work plan</w:t>
      </w:r>
      <w:r w:rsidRPr="00884FAA">
        <w:t>: this report sets out the intended IAHP activities for the next 12 months.</w:t>
      </w:r>
    </w:p>
    <w:p w14:paraId="70A7B0CA" w14:textId="77777777" w:rsidR="00913C42" w:rsidRPr="00884FAA" w:rsidRDefault="00913C42" w:rsidP="00EB4F33">
      <w:pPr>
        <w:numPr>
          <w:ilvl w:val="0"/>
          <w:numId w:val="19"/>
        </w:numPr>
        <w:spacing w:after="120"/>
      </w:pPr>
      <w:r w:rsidRPr="00884FAA">
        <w:rPr>
          <w:b/>
          <w:bCs/>
        </w:rPr>
        <w:t>Performance report</w:t>
      </w:r>
      <w:r w:rsidRPr="00884FAA">
        <w:t>: reports on the funded organisation’s progress and major achievements and challenges in implementing the activities over the previous 12 months. These reports are largely narrative based. Grant recipients are able to provide one combined IAHP report covering multiple IAHP grants.</w:t>
      </w:r>
    </w:p>
    <w:p w14:paraId="6C363B34" w14:textId="065B00D7" w:rsidR="00913C42" w:rsidRPr="00884FAA" w:rsidRDefault="00913C42" w:rsidP="00EB4F33">
      <w:pPr>
        <w:numPr>
          <w:ilvl w:val="0"/>
          <w:numId w:val="19"/>
        </w:numPr>
        <w:spacing w:after="120"/>
      </w:pPr>
      <w:r w:rsidRPr="00884FAA">
        <w:rPr>
          <w:b/>
          <w:bCs/>
        </w:rPr>
        <w:t>National Key Performance Indictors (nKPIs)</w:t>
      </w:r>
      <w:r w:rsidRPr="00884FAA">
        <w:t xml:space="preserve">: reports against </w:t>
      </w:r>
      <w:r w:rsidR="004616F1">
        <w:t>19</w:t>
      </w:r>
      <w:r w:rsidRPr="00884FAA">
        <w:t xml:space="preserve"> process-of-care indicators and </w:t>
      </w:r>
      <w:r w:rsidR="004616F1">
        <w:t>5</w:t>
      </w:r>
      <w:r w:rsidRPr="00884FAA">
        <w:t xml:space="preserve"> health-outcome indicators. Organisations funded under the </w:t>
      </w:r>
      <w:r w:rsidR="000F7ACE">
        <w:t>PHC Program</w:t>
      </w:r>
      <w:r w:rsidRPr="00884FAA">
        <w:t xml:space="preserve"> are required to submit reports twice a year (January and July). Reports are </w:t>
      </w:r>
      <w:r w:rsidRPr="00884FAA">
        <w:lastRenderedPageBreak/>
        <w:t>submitted via the web-based Health Data Portal aligned with the service’s client/health management systems.</w:t>
      </w:r>
      <w:r w:rsidR="00417E5F" w:rsidRPr="005D1C41">
        <w:rPr>
          <w:rStyle w:val="FootnoteReference"/>
        </w:rPr>
        <w:footnoteReference w:id="61"/>
      </w:r>
      <w:r w:rsidRPr="00884FAA">
        <w:t xml:space="preserve"> </w:t>
      </w:r>
    </w:p>
    <w:p w14:paraId="778A239D" w14:textId="53227548" w:rsidR="00913C42" w:rsidRPr="00884FAA" w:rsidRDefault="00913C42" w:rsidP="00EB4F33">
      <w:pPr>
        <w:numPr>
          <w:ilvl w:val="0"/>
          <w:numId w:val="19"/>
        </w:numPr>
        <w:spacing w:after="120"/>
      </w:pPr>
      <w:r w:rsidRPr="00884FAA">
        <w:rPr>
          <w:b/>
          <w:bCs/>
        </w:rPr>
        <w:t>Online Services Report (OSR)</w:t>
      </w:r>
      <w:r w:rsidRPr="00884FAA">
        <w:t>: reports contextual information about each funded organisation and data on number of clients, episodes of care</w:t>
      </w:r>
      <w:r w:rsidR="00200511" w:rsidRPr="00884FAA">
        <w:t>,</w:t>
      </w:r>
      <w:r w:rsidRPr="00884FAA">
        <w:t xml:space="preserve"> and workforce FTEs. Organisations funded under the </w:t>
      </w:r>
      <w:r w:rsidR="000F7ACE">
        <w:t>PHC Program</w:t>
      </w:r>
      <w:r w:rsidRPr="00884FAA">
        <w:t xml:space="preserve"> are required to submit reports once a year (July). As with the nKPIs, reports are submitted via the Health Data Portal. </w:t>
      </w:r>
    </w:p>
    <w:p w14:paraId="09852344" w14:textId="77777777" w:rsidR="00913C42" w:rsidRPr="00884FAA" w:rsidRDefault="00913C42" w:rsidP="00EB4F33">
      <w:pPr>
        <w:numPr>
          <w:ilvl w:val="0"/>
          <w:numId w:val="19"/>
        </w:numPr>
        <w:spacing w:after="120"/>
      </w:pPr>
      <w:r w:rsidRPr="00884FAA">
        <w:rPr>
          <w:b/>
          <w:bCs/>
        </w:rPr>
        <w:t>Income and expenditure report</w:t>
      </w:r>
      <w:r w:rsidRPr="00884FAA">
        <w:t>: tracks eligible expenditure incurred to date and any underspends of the grant over the previous 12 months. This report provides a declaration that the grant money was spent in accordance with the grant agreement.</w:t>
      </w:r>
    </w:p>
    <w:p w14:paraId="53A6AA77" w14:textId="77777777" w:rsidR="00913C42" w:rsidRPr="00884FAA" w:rsidRDefault="00913C42" w:rsidP="00EB4F33">
      <w:pPr>
        <w:numPr>
          <w:ilvl w:val="0"/>
          <w:numId w:val="19"/>
        </w:numPr>
        <w:ind w:left="714" w:hanging="357"/>
      </w:pPr>
      <w:r w:rsidRPr="00884FAA">
        <w:rPr>
          <w:b/>
          <w:bCs/>
        </w:rPr>
        <w:t>Final report</w:t>
      </w:r>
      <w:r w:rsidRPr="00884FAA">
        <w:t>: required when the grant activity has been completed, this report must identify if and how outcomes have been achieved; include the agreed evidence as specified in the grant agreement; and identify the total eligible expenditure incurred.</w:t>
      </w:r>
    </w:p>
    <w:p w14:paraId="74536C21" w14:textId="53162755" w:rsidR="000F1ACB" w:rsidRPr="00884FAA" w:rsidRDefault="00A14324" w:rsidP="00651D06">
      <w:pPr>
        <w:pStyle w:val="Heading3"/>
      </w:pPr>
      <w:r>
        <w:t xml:space="preserve">Reporting has improved under </w:t>
      </w:r>
      <w:r w:rsidR="00252CC5">
        <w:t>the IAHP</w:t>
      </w:r>
      <w:r w:rsidR="001669DC">
        <w:t xml:space="preserve">, but reporting </w:t>
      </w:r>
      <w:r w:rsidR="00A567FE">
        <w:t xml:space="preserve">to multiple funders </w:t>
      </w:r>
      <w:r w:rsidR="00B77F88" w:rsidRPr="00884FAA">
        <w:t>remains a significant burden for ACCHSs</w:t>
      </w:r>
    </w:p>
    <w:p w14:paraId="0B8FC5C1" w14:textId="6EB826AA" w:rsidR="001C0061" w:rsidRPr="00884FAA" w:rsidRDefault="001C0061" w:rsidP="001C0061">
      <w:r w:rsidRPr="00884FAA">
        <w:t xml:space="preserve">As reported in Cycle 2 of </w:t>
      </w:r>
      <w:r>
        <w:t>the</w:t>
      </w:r>
      <w:r w:rsidRPr="00884FAA">
        <w:t xml:space="preserve"> evaluation </w:t>
      </w:r>
      <w:r w:rsidRPr="00884FAA">
        <w:fldChar w:fldCharType="begin"/>
      </w:r>
      <w:r w:rsidR="00F8760E">
        <w:instrText xml:space="preserve"> ADDIN ZOTERO_ITEM CSL_CITATION {"citationID":"tLQHNczM","properties":{"formattedCitation":"(Bainbridge et al., 2021)","plainCitation":"(Bainbridge et al., 2021)","noteIndex":0},"citationItems":[{"id":3757,"uris":["http://zotero.org/groups/5010721/items/J5SKD3Y5",["http://zotero.org/groups/5010721/items/J5SKD3Y5"],["http://zotero.org/groups/5010721/items/J5SKD3Y5",["http://zotero.org/groups/5010721/items/J5SKD3Y5"]]],"itemData":{"id":3757,"type":"report","event-place":"Wellington and Melbourne","genre":"Interim report","publisher":"Allen + Clarke, Central Queensland University and Monaghan Dreaming","publisher-place":"Wellington and Melbourne","title":"Evaluation of the Australian Government's investment in Aboriginal and Torres Strait Islander primary health care through the Indigenous Australian' Health Programme: Cycle 1 Interim Evaluation Report","author":[{"family":"Bainbridge","given":"Roxanne"},{"family":"Hardie-Boys","given":"Ned"},{"family":"Langham","given":"Eirka"},{"family":"Bailey","given":"Robyn"}],"issued":{"date-parts":[["2021"]]}}}],"schema":"https://github.com/citation-style-language/schema/raw/master/csl-citation.json"} </w:instrText>
      </w:r>
      <w:r w:rsidRPr="00884FAA">
        <w:fldChar w:fldCharType="separate"/>
      </w:r>
      <w:r w:rsidRPr="00511A06">
        <w:rPr>
          <w:rFonts w:ascii="Arial" w:hAnsi="Arial" w:cs="Arial"/>
        </w:rPr>
        <w:t>(Bainbridge et al., 2021)</w:t>
      </w:r>
      <w:r w:rsidRPr="00884FAA">
        <w:fldChar w:fldCharType="end"/>
      </w:r>
      <w:r w:rsidRPr="00884FAA">
        <w:t>, the department has implemented initiatives to streamline reporting under the IAHP. This includes further development of the Health Data Portal to enable a single upload of OSR and nKPI data, commissioning clinical systems’ vendors to create nKPI and OSR reports compatible with the data portal, and shifting the IAHP Activity Work Plan and Performance Report into the portal. As well as simplifying the submission of data and reports, these developments enable health services to view data in a single platform and compare progress against national and state and territory averages and against Closing the Gaps targets.</w:t>
      </w:r>
    </w:p>
    <w:p w14:paraId="1049A2FA" w14:textId="25A23696" w:rsidR="001C0061" w:rsidRDefault="001C0061" w:rsidP="001C0061">
      <w:r w:rsidRPr="00884FAA">
        <w:t>The department reported that more than 90% of funded organisations submit nKPI data directly from their clinical information systems and, in 2022, all nKPI and performance reports were submitted and 98% of OSR reports. ACCHS managers were generally positive about improvements to the IAHP data collection process.</w:t>
      </w:r>
    </w:p>
    <w:p w14:paraId="7E843A66" w14:textId="52012086" w:rsidR="00C3022A" w:rsidRPr="00884FAA" w:rsidRDefault="00EA542D" w:rsidP="000F1ACB">
      <w:r w:rsidRPr="00884FAA">
        <w:t xml:space="preserve">In addition to the </w:t>
      </w:r>
      <w:r w:rsidR="002553DD" w:rsidRPr="00884FAA">
        <w:t xml:space="preserve">various </w:t>
      </w:r>
      <w:r w:rsidRPr="00884FAA">
        <w:t xml:space="preserve">IAHP reporting </w:t>
      </w:r>
      <w:r w:rsidR="002553DD" w:rsidRPr="00884FAA">
        <w:t xml:space="preserve">requirements outlined </w:t>
      </w:r>
      <w:r w:rsidR="0053762C" w:rsidRPr="00884FAA">
        <w:t>in the previous section, funded organi</w:t>
      </w:r>
      <w:r w:rsidR="00163C2D" w:rsidRPr="00884FAA">
        <w:t>s</w:t>
      </w:r>
      <w:r w:rsidR="0053762C" w:rsidRPr="00884FAA">
        <w:t>ations are required to report across other funding agreements and contracts</w:t>
      </w:r>
      <w:r w:rsidR="00163C2D" w:rsidRPr="00884FAA">
        <w:t xml:space="preserve">, beyond the IAHP and beyond the </w:t>
      </w:r>
      <w:r w:rsidR="00E644E5">
        <w:t>department</w:t>
      </w:r>
      <w:r w:rsidR="00163C2D" w:rsidRPr="00884FAA">
        <w:t>.</w:t>
      </w:r>
      <w:r w:rsidR="00BA2716" w:rsidRPr="00884FAA">
        <w:t xml:space="preserve"> Many ACCHS managers descri</w:t>
      </w:r>
      <w:r w:rsidR="00D11329" w:rsidRPr="00884FAA">
        <w:t>b</w:t>
      </w:r>
      <w:r w:rsidR="00BA2716" w:rsidRPr="00884FAA">
        <w:t xml:space="preserve">ed the burden </w:t>
      </w:r>
      <w:r w:rsidR="00D11329" w:rsidRPr="00884FAA">
        <w:t xml:space="preserve">associated with </w:t>
      </w:r>
      <w:r w:rsidR="00BA2716" w:rsidRPr="00884FAA">
        <w:t xml:space="preserve">reporting </w:t>
      </w:r>
      <w:r w:rsidR="00AC2059" w:rsidRPr="00884FAA">
        <w:t>and some thought very carefully about whether to apply for funding, especially small amounts of funding, because of the reporting burden.</w:t>
      </w:r>
    </w:p>
    <w:p w14:paraId="53E4D0A8" w14:textId="0AFA0EDA" w:rsidR="00C3022A" w:rsidRPr="00A1178E" w:rsidRDefault="00C3022A" w:rsidP="00A05B28">
      <w:pPr>
        <w:pStyle w:val="Quote"/>
        <w:spacing w:after="0"/>
        <w:rPr>
          <w:color w:val="18525E" w:themeColor="accent5" w:themeShade="80"/>
        </w:rPr>
      </w:pPr>
      <w:r w:rsidRPr="00A1178E">
        <w:rPr>
          <w:color w:val="18525E" w:themeColor="accent5" w:themeShade="80"/>
        </w:rPr>
        <w:t>The nightmare comes back into this building when we've got to work out who did this job for how long, and how do we report that back. Financially and numbers and words.</w:t>
      </w:r>
    </w:p>
    <w:p w14:paraId="7C056DA4" w14:textId="34317599" w:rsidR="000C5BA6" w:rsidRPr="00A05B28" w:rsidRDefault="000C5BA6" w:rsidP="00362B01">
      <w:pPr>
        <w:spacing w:before="120"/>
        <w:jc w:val="right"/>
        <w:rPr>
          <w:b/>
          <w:bCs/>
        </w:rPr>
      </w:pPr>
      <w:r w:rsidRPr="00A05B28">
        <w:rPr>
          <w:b/>
          <w:bCs/>
        </w:rPr>
        <w:t xml:space="preserve">ACCHS, Metropolitan location </w:t>
      </w:r>
    </w:p>
    <w:p w14:paraId="033D1D5A" w14:textId="621675DF" w:rsidR="00D429F4" w:rsidRDefault="00060F9E" w:rsidP="00AA2464">
      <w:pPr>
        <w:rPr>
          <w:noProof/>
        </w:rPr>
      </w:pPr>
      <w:r>
        <w:rPr>
          <w:noProof/>
        </w:rPr>
        <w:lastRenderedPageBreak/>
        <w:t>In terms of the IAHP, r</w:t>
      </w:r>
      <w:r w:rsidR="00AA2464" w:rsidRPr="00884FAA">
        <w:rPr>
          <w:noProof/>
        </w:rPr>
        <w:t xml:space="preserve">eporting to PHNs </w:t>
      </w:r>
      <w:r w:rsidR="009533EC" w:rsidRPr="00884FAA">
        <w:rPr>
          <w:noProof/>
        </w:rPr>
        <w:t xml:space="preserve">on the ITC program and the mental health minimum data set </w:t>
      </w:r>
      <w:r w:rsidR="00AA2464" w:rsidRPr="00884FAA">
        <w:rPr>
          <w:noProof/>
        </w:rPr>
        <w:t xml:space="preserve">was consistently identified as particularly onerous. This </w:t>
      </w:r>
      <w:r w:rsidR="002A118E" w:rsidRPr="00884FAA">
        <w:rPr>
          <w:noProof/>
        </w:rPr>
        <w:t xml:space="preserve">reporting burden continues to be experienced </w:t>
      </w:r>
      <w:r w:rsidR="00AA2464" w:rsidRPr="00884FAA">
        <w:rPr>
          <w:noProof/>
        </w:rPr>
        <w:t xml:space="preserve">despite some PHNs pulling back on the amount of reporting they require (from quarterly to </w:t>
      </w:r>
      <w:r w:rsidR="006D2482">
        <w:rPr>
          <w:noProof/>
        </w:rPr>
        <w:t>6</w:t>
      </w:r>
      <w:r w:rsidR="00AA2464" w:rsidRPr="00884FAA">
        <w:rPr>
          <w:noProof/>
        </w:rPr>
        <w:t>-monthly).</w:t>
      </w:r>
    </w:p>
    <w:p w14:paraId="0DABC664" w14:textId="5202189C" w:rsidR="00D429F4" w:rsidRPr="00884FAA" w:rsidRDefault="00E34E7E" w:rsidP="00D429F4">
      <w:r>
        <w:t>ACCHSs reported the following challenges associated with having</w:t>
      </w:r>
      <w:r w:rsidR="009E1AAF" w:rsidRPr="00884FAA">
        <w:t xml:space="preserve"> multiple reporting systems</w:t>
      </w:r>
      <w:r>
        <w:t>:</w:t>
      </w:r>
    </w:p>
    <w:p w14:paraId="11E6A41A" w14:textId="77777777" w:rsidR="00D429F4" w:rsidRPr="00343EB2" w:rsidRDefault="00D429F4" w:rsidP="00343EB2">
      <w:pPr>
        <w:numPr>
          <w:ilvl w:val="0"/>
          <w:numId w:val="19"/>
        </w:numPr>
        <w:spacing w:after="120"/>
        <w:rPr>
          <w:bCs/>
        </w:rPr>
      </w:pPr>
      <w:r w:rsidRPr="00343EB2">
        <w:rPr>
          <w:bCs/>
        </w:rPr>
        <w:t>Having multiple reporting portals – for example for NIAA, NACCHO and state and territory government grants, in addition to IAHP.</w:t>
      </w:r>
    </w:p>
    <w:p w14:paraId="58322EA5" w14:textId="77777777" w:rsidR="00D429F4" w:rsidRPr="00343EB2" w:rsidRDefault="00D429F4" w:rsidP="00343EB2">
      <w:pPr>
        <w:numPr>
          <w:ilvl w:val="0"/>
          <w:numId w:val="19"/>
        </w:numPr>
        <w:spacing w:after="120"/>
        <w:rPr>
          <w:bCs/>
        </w:rPr>
      </w:pPr>
      <w:r w:rsidRPr="00343EB2">
        <w:rPr>
          <w:bCs/>
        </w:rPr>
        <w:t>Reports regularly being required all at the same time.</w:t>
      </w:r>
    </w:p>
    <w:p w14:paraId="1834486F" w14:textId="77777777" w:rsidR="00D429F4" w:rsidRPr="00343EB2" w:rsidRDefault="00D429F4" w:rsidP="00343EB2">
      <w:pPr>
        <w:numPr>
          <w:ilvl w:val="0"/>
          <w:numId w:val="19"/>
        </w:numPr>
        <w:spacing w:after="120"/>
        <w:rPr>
          <w:bCs/>
        </w:rPr>
      </w:pPr>
      <w:r w:rsidRPr="00343EB2">
        <w:rPr>
          <w:bCs/>
        </w:rPr>
        <w:t>The frequency of changes to reporting templates.</w:t>
      </w:r>
    </w:p>
    <w:p w14:paraId="28CB91A8" w14:textId="50838BA5" w:rsidR="00D429F4" w:rsidRPr="00343EB2" w:rsidRDefault="00D429F4" w:rsidP="00343EB2">
      <w:pPr>
        <w:numPr>
          <w:ilvl w:val="0"/>
          <w:numId w:val="19"/>
        </w:numPr>
        <w:spacing w:after="120"/>
        <w:rPr>
          <w:bCs/>
        </w:rPr>
      </w:pPr>
      <w:r w:rsidRPr="00343EB2">
        <w:rPr>
          <w:bCs/>
        </w:rPr>
        <w:t xml:space="preserve">The lack of standardised reporting templates, and the timing – for example, some ‘progress reports’ are due quarterly, some every </w:t>
      </w:r>
      <w:r w:rsidR="006D2482" w:rsidRPr="00343EB2">
        <w:rPr>
          <w:bCs/>
        </w:rPr>
        <w:t>6</w:t>
      </w:r>
      <w:r w:rsidRPr="00343EB2">
        <w:rPr>
          <w:bCs/>
        </w:rPr>
        <w:t>-months, and others annually.</w:t>
      </w:r>
    </w:p>
    <w:p w14:paraId="249FB0E0" w14:textId="77777777" w:rsidR="00D429F4" w:rsidRPr="00343EB2" w:rsidRDefault="00D429F4" w:rsidP="00343EB2">
      <w:pPr>
        <w:numPr>
          <w:ilvl w:val="0"/>
          <w:numId w:val="19"/>
        </w:numPr>
        <w:spacing w:after="120"/>
        <w:rPr>
          <w:bCs/>
        </w:rPr>
      </w:pPr>
      <w:r w:rsidRPr="00343EB2">
        <w:rPr>
          <w:bCs/>
        </w:rPr>
        <w:t xml:space="preserve">The lack of standardised language – for example, different meaning for ‘data report’, ‘progress report’, ‘financial report’, ‘performance and progress report’, ‘program report’, etc. </w:t>
      </w:r>
    </w:p>
    <w:p w14:paraId="4579F9EA" w14:textId="4D1755E6" w:rsidR="00AA2464" w:rsidRPr="00884FAA" w:rsidRDefault="00D429F4" w:rsidP="00AA2464">
      <w:pPr>
        <w:rPr>
          <w:noProof/>
        </w:rPr>
      </w:pPr>
      <w:r w:rsidRPr="00884FAA">
        <w:t>The concerns and challenges that many participants raised about reporting must not be equated to funding organisations rejecting reporting. Reporting was recognised as important and a critical element of an accountability relationship.</w:t>
      </w:r>
    </w:p>
    <w:p w14:paraId="4B5CBD7B" w14:textId="18264AF9" w:rsidR="00E234DC" w:rsidRDefault="00BC38CC" w:rsidP="00541979">
      <w:r w:rsidRPr="00884FAA">
        <w:t xml:space="preserve">To further understand the reporting burden, </w:t>
      </w:r>
      <w:r w:rsidR="00304F39" w:rsidRPr="00884FAA">
        <w:t xml:space="preserve">the evaluation </w:t>
      </w:r>
      <w:r w:rsidR="0040493F" w:rsidRPr="00884FAA">
        <w:t xml:space="preserve">collected </w:t>
      </w:r>
      <w:r w:rsidR="00887962" w:rsidRPr="00884FAA">
        <w:t xml:space="preserve">detailed data on reporting requirements from </w:t>
      </w:r>
      <w:r w:rsidR="006D2482">
        <w:t>3</w:t>
      </w:r>
      <w:r w:rsidR="006D2482" w:rsidRPr="00884FAA">
        <w:t xml:space="preserve"> </w:t>
      </w:r>
      <w:r w:rsidR="00887962" w:rsidRPr="00884FAA">
        <w:t>ACCHS site partners</w:t>
      </w:r>
      <w:r w:rsidR="00E234DC" w:rsidRPr="00884FAA">
        <w:t>.</w:t>
      </w:r>
      <w:r w:rsidR="006717E9" w:rsidRPr="005D1C41">
        <w:rPr>
          <w:rStyle w:val="FootnoteReference"/>
        </w:rPr>
        <w:footnoteReference w:id="62"/>
      </w:r>
      <w:r w:rsidR="00E234DC" w:rsidRPr="00884FAA">
        <w:t xml:space="preserve"> </w:t>
      </w:r>
      <w:r w:rsidR="000E5E3E" w:rsidRPr="00884FAA">
        <w:t>Collectively, thes</w:t>
      </w:r>
      <w:r w:rsidR="00CA29E9" w:rsidRPr="00884FAA">
        <w:t xml:space="preserve">e services had </w:t>
      </w:r>
      <w:r w:rsidR="00065DB0" w:rsidRPr="00884FAA">
        <w:t>113 funding agreements or contracts over 2020-21.</w:t>
      </w:r>
      <w:r w:rsidR="005032DD" w:rsidRPr="00884FAA">
        <w:t xml:space="preserve"> Over </w:t>
      </w:r>
      <w:r w:rsidR="00D02C42" w:rsidRPr="00884FAA">
        <w:t xml:space="preserve">this year, </w:t>
      </w:r>
      <w:r w:rsidR="00F45C43" w:rsidRPr="00884FAA">
        <w:t xml:space="preserve">these agreements required </w:t>
      </w:r>
      <w:r w:rsidR="00AB1436" w:rsidRPr="00884FAA">
        <w:t>392 repo</w:t>
      </w:r>
      <w:r w:rsidR="001B1177" w:rsidRPr="00884FAA">
        <w:t>r</w:t>
      </w:r>
      <w:r w:rsidR="00AB1436" w:rsidRPr="00884FAA">
        <w:t>ts</w:t>
      </w:r>
      <w:r w:rsidR="00E234DC" w:rsidRPr="00884FAA">
        <w:t xml:space="preserve"> to the </w:t>
      </w:r>
      <w:r w:rsidR="00AB1436" w:rsidRPr="00884FAA">
        <w:t>funding organisations</w:t>
      </w:r>
      <w:r w:rsidR="001B1177" w:rsidRPr="00884FAA">
        <w:t xml:space="preserve"> </w:t>
      </w:r>
      <w:r w:rsidR="00AB1436" w:rsidRPr="00884FAA">
        <w:t xml:space="preserve">(average of 3.5 per funding agreement). </w:t>
      </w:r>
      <w:r w:rsidR="00341F9E" w:rsidRPr="00884FAA">
        <w:t>Of these report</w:t>
      </w:r>
      <w:r w:rsidR="007A0E33" w:rsidRPr="00884FAA">
        <w:t>s</w:t>
      </w:r>
      <w:r w:rsidR="00341F9E" w:rsidRPr="00884FAA">
        <w:t xml:space="preserve">, </w:t>
      </w:r>
      <w:r w:rsidR="00BD68F3" w:rsidRPr="00884FAA">
        <w:t xml:space="preserve">47 </w:t>
      </w:r>
      <w:r w:rsidR="00565849" w:rsidRPr="00884FAA">
        <w:t xml:space="preserve">(12%) </w:t>
      </w:r>
      <w:r w:rsidR="004B6892" w:rsidRPr="00884FAA">
        <w:t>were f</w:t>
      </w:r>
      <w:r w:rsidR="00D05F3E" w:rsidRPr="00884FAA">
        <w:t>or IAHP funding</w:t>
      </w:r>
      <w:r w:rsidR="00D70B6B" w:rsidRPr="00884FAA">
        <w:t xml:space="preserve"> and a further </w:t>
      </w:r>
      <w:r w:rsidR="005C08E0" w:rsidRPr="00884FAA">
        <w:t xml:space="preserve">50 (13%) were </w:t>
      </w:r>
      <w:r w:rsidR="00EE4B69" w:rsidRPr="00884FAA">
        <w:t xml:space="preserve">for the </w:t>
      </w:r>
      <w:r w:rsidR="00107831">
        <w:t>department</w:t>
      </w:r>
      <w:r w:rsidR="00EE4B69" w:rsidRPr="00884FAA">
        <w:t>.</w:t>
      </w:r>
      <w:r w:rsidR="00F3764B" w:rsidRPr="00884FAA">
        <w:t xml:space="preserve"> </w:t>
      </w:r>
      <w:r w:rsidR="00191A93" w:rsidRPr="00884FAA">
        <w:t>For a sin</w:t>
      </w:r>
      <w:r w:rsidR="005B40FD" w:rsidRPr="00884FAA">
        <w:t>g</w:t>
      </w:r>
      <w:r w:rsidR="00191A93" w:rsidRPr="00884FAA">
        <w:t xml:space="preserve">le health service, this averages at </w:t>
      </w:r>
      <w:r w:rsidR="00C85586" w:rsidRPr="00884FAA">
        <w:t>38 funding agreement</w:t>
      </w:r>
      <w:r w:rsidR="00760D57">
        <w:t>s</w:t>
      </w:r>
      <w:r w:rsidR="00C85586" w:rsidRPr="00884FAA">
        <w:t xml:space="preserve">, </w:t>
      </w:r>
      <w:r w:rsidR="00737DD9" w:rsidRPr="00884FAA">
        <w:t>130 repo</w:t>
      </w:r>
      <w:r w:rsidR="00397A48" w:rsidRPr="00884FAA">
        <w:t>r</w:t>
      </w:r>
      <w:r w:rsidR="00737DD9" w:rsidRPr="00884FAA">
        <w:t>ts</w:t>
      </w:r>
      <w:r w:rsidR="004E36D1" w:rsidRPr="00884FAA">
        <w:t>, 16 of</w:t>
      </w:r>
      <w:r w:rsidR="00E234DC" w:rsidRPr="00884FAA">
        <w:t xml:space="preserve"> which </w:t>
      </w:r>
      <w:r w:rsidR="004E36D1" w:rsidRPr="00884FAA">
        <w:t xml:space="preserve">are for </w:t>
      </w:r>
      <w:r w:rsidR="00FE236A" w:rsidRPr="00884FAA">
        <w:t>IAHP funding.</w:t>
      </w:r>
      <w:r w:rsidR="001C1EE0" w:rsidRPr="00884FAA">
        <w:t xml:space="preserve"> One</w:t>
      </w:r>
      <w:r w:rsidR="004F47CF" w:rsidRPr="00884FAA">
        <w:t xml:space="preserve"> ACCHS site partner also shared data on their funding applications</w:t>
      </w:r>
      <w:r w:rsidR="00255F44" w:rsidRPr="00884FAA">
        <w:t xml:space="preserve"> over 2020-21. </w:t>
      </w:r>
      <w:r w:rsidR="00FD1795" w:rsidRPr="00884FAA">
        <w:t xml:space="preserve">Of 50 </w:t>
      </w:r>
      <w:r w:rsidR="00BF519F" w:rsidRPr="00884FAA">
        <w:t xml:space="preserve">funding </w:t>
      </w:r>
      <w:r w:rsidR="00FD1795" w:rsidRPr="00884FAA">
        <w:t>appl</w:t>
      </w:r>
      <w:r w:rsidR="00BF519F" w:rsidRPr="00884FAA">
        <w:t>ications submitted,</w:t>
      </w:r>
      <w:r w:rsidR="0010594E" w:rsidRPr="00884FAA">
        <w:t xml:space="preserve"> 36 </w:t>
      </w:r>
      <w:r w:rsidR="00067D68" w:rsidRPr="00884FAA">
        <w:t xml:space="preserve">(72%) were successful, </w:t>
      </w:r>
      <w:r w:rsidR="00031A2D" w:rsidRPr="00884FAA">
        <w:t>10 (20%) unsuccessful,</w:t>
      </w:r>
      <w:r w:rsidR="00E234DC" w:rsidRPr="00884FAA">
        <w:t xml:space="preserve"> and </w:t>
      </w:r>
      <w:r w:rsidR="00031A2D" w:rsidRPr="00884FAA">
        <w:t>the remainder were yet to be confirmed.</w:t>
      </w:r>
      <w:r w:rsidR="00AA35E2">
        <w:t xml:space="preserve"> </w:t>
      </w:r>
    </w:p>
    <w:p w14:paraId="1CA43ADD" w14:textId="63730421" w:rsidR="00F8288F" w:rsidRDefault="00F8288F">
      <w:pPr>
        <w:jc w:val="left"/>
      </w:pPr>
      <w:r>
        <w:br w:type="page"/>
      </w:r>
    </w:p>
    <w:p w14:paraId="00B84E13" w14:textId="02D7B14D" w:rsidR="00D74979" w:rsidRPr="00884FAA" w:rsidRDefault="00BD39E0" w:rsidP="00651D06">
      <w:pPr>
        <w:pStyle w:val="Heading3"/>
      </w:pPr>
      <w:r w:rsidRPr="00884FAA">
        <w:lastRenderedPageBreak/>
        <w:t xml:space="preserve">Data and information being collected </w:t>
      </w:r>
      <w:r w:rsidR="00B114E6">
        <w:t xml:space="preserve">does not </w:t>
      </w:r>
      <w:r w:rsidR="00CE51C0">
        <w:t>provide a full picture of health service activity and</w:t>
      </w:r>
      <w:r w:rsidR="00143AC0">
        <w:t xml:space="preserve"> processes</w:t>
      </w:r>
    </w:p>
    <w:p w14:paraId="5E1F13E7" w14:textId="6EA89315" w:rsidR="0010645C" w:rsidRPr="00884FAA" w:rsidRDefault="004912A8" w:rsidP="00DF17CB">
      <w:r w:rsidRPr="00884FAA">
        <w:t xml:space="preserve">The nKPIs and OSR </w:t>
      </w:r>
      <w:r w:rsidR="001C134F" w:rsidRPr="00884FAA">
        <w:t xml:space="preserve">are the two </w:t>
      </w:r>
      <w:r w:rsidRPr="00884FAA">
        <w:t>data collection</w:t>
      </w:r>
      <w:r w:rsidR="001C134F" w:rsidRPr="00884FAA">
        <w:t>s</w:t>
      </w:r>
      <w:r w:rsidR="00B313DE" w:rsidRPr="00884FAA">
        <w:t xml:space="preserve"> for organ</w:t>
      </w:r>
      <w:r w:rsidR="00763952" w:rsidRPr="00884FAA">
        <w:t>isa</w:t>
      </w:r>
      <w:r w:rsidR="00B313DE" w:rsidRPr="00884FAA">
        <w:t xml:space="preserve">tions receiving </w:t>
      </w:r>
      <w:r w:rsidR="00763952" w:rsidRPr="00884FAA">
        <w:t xml:space="preserve">funding </w:t>
      </w:r>
      <w:r w:rsidR="007C0C47" w:rsidRPr="00884FAA">
        <w:t xml:space="preserve">under the IAHP </w:t>
      </w:r>
      <w:r w:rsidR="000F7ACE">
        <w:t>PHC Program</w:t>
      </w:r>
      <w:r w:rsidR="00763952" w:rsidRPr="00884FAA">
        <w:t>.</w:t>
      </w:r>
      <w:r w:rsidR="00B50F27" w:rsidRPr="00884FAA">
        <w:t xml:space="preserve"> These collections are unique to </w:t>
      </w:r>
      <w:r w:rsidR="00CC38E5" w:rsidRPr="00884FAA">
        <w:t>IAHP funded organisations; there are not similar collections covering mainstream primary care services.</w:t>
      </w:r>
      <w:r w:rsidR="003B0365">
        <w:t xml:space="preserve"> </w:t>
      </w:r>
      <w:r w:rsidR="0010645C" w:rsidRPr="0010645C">
        <w:t xml:space="preserve">The primary purpose of the nKPIs is </w:t>
      </w:r>
      <w:r w:rsidR="00450791">
        <w:t>‘</w:t>
      </w:r>
      <w:r w:rsidR="0010645C" w:rsidRPr="0010645C">
        <w:t>to provide reporting organisations with data they can use for continuous quality improvement (CQI)</w:t>
      </w:r>
      <w:r w:rsidR="00450791">
        <w:t>’</w:t>
      </w:r>
      <w:r w:rsidR="005B1EB5">
        <w:t xml:space="preserve"> </w:t>
      </w:r>
      <w:r w:rsidR="005B1EB5" w:rsidRPr="00884FAA">
        <w:fldChar w:fldCharType="begin"/>
      </w:r>
      <w:r w:rsidR="00F8760E">
        <w:instrText xml:space="preserve"> ADDIN ZOTERO_ITEM CSL_CITATION {"citationID":"hEgX4poi","properties":{"formattedCitation":"(Australian Institute of Health and Welfare, 2021b)","plainCitation":"(Australian Institute of Health and Welfare, 2021b)","noteIndex":0},"citationItems":[{"id":3866,"uris":["http://zotero.org/groups/5010721/items/66KCUHZT",["http://zotero.org/groups/5010721/items/66KCUHZT"],["http://zotero.org/groups/5010721/items/66KCUHZT",["http://zotero.org/groups/5010721/items/66KCUHZT"]]],"itemData":{"id":3866,"type":"document","publisher":"Commonwealth of Australia","title":"AIHW national Key Performance Indicators (nKPI) data collection - User guide","URL":"https://www.aihw.gov.au/getmedia/60b0073e-be5c-4292-b30e-e68ee3e64c93/AIHW-nKPI-User-Guide-for-December-2021.pdf.aspx","author":[{"literal":"Australian Institute of Health and Welfare"}],"issued":{"date-parts":[["2021",12]]}}}],"schema":"https://github.com/citation-style-language/schema/raw/master/csl-citation.json"} </w:instrText>
      </w:r>
      <w:r w:rsidR="005B1EB5" w:rsidRPr="00884FAA">
        <w:fldChar w:fldCharType="separate"/>
      </w:r>
      <w:r w:rsidR="005B1EB5" w:rsidRPr="0074795C">
        <w:rPr>
          <w:rFonts w:ascii="Arial" w:hAnsi="Arial" w:cs="Arial"/>
        </w:rPr>
        <w:t>(Australian Institute of Health and Welfare, 2021b)</w:t>
      </w:r>
      <w:r w:rsidR="005B1EB5" w:rsidRPr="00884FAA">
        <w:fldChar w:fldCharType="end"/>
      </w:r>
      <w:r w:rsidR="0010645C" w:rsidRPr="0010645C">
        <w:t>. The data are also used at a national level to support policy, planning and progress</w:t>
      </w:r>
      <w:r w:rsidR="00927D51">
        <w:t>.</w:t>
      </w:r>
    </w:p>
    <w:p w14:paraId="0E3D963E" w14:textId="7CAA36F0" w:rsidR="00F274AB" w:rsidRPr="00884FAA" w:rsidRDefault="00304F39" w:rsidP="00DF17CB">
      <w:r w:rsidRPr="00884FAA">
        <w:t>The ev</w:t>
      </w:r>
      <w:r w:rsidRPr="0008333F">
        <w:t xml:space="preserve">aluation </w:t>
      </w:r>
      <w:r w:rsidR="00720FB3">
        <w:t xml:space="preserve">team </w:t>
      </w:r>
      <w:r w:rsidR="005B7CBF" w:rsidRPr="0008333F">
        <w:t>heard that</w:t>
      </w:r>
      <w:r w:rsidR="005B7CBF" w:rsidRPr="00884FAA">
        <w:t xml:space="preserve"> data collected under the IAHP is used to </w:t>
      </w:r>
      <w:r w:rsidR="00BD122D" w:rsidRPr="00884FAA">
        <w:t xml:space="preserve">inform funding </w:t>
      </w:r>
      <w:r w:rsidR="001078AE" w:rsidRPr="00884FAA">
        <w:t xml:space="preserve">allocations in </w:t>
      </w:r>
      <w:r w:rsidR="00BD122D" w:rsidRPr="00884FAA">
        <w:t xml:space="preserve">the </w:t>
      </w:r>
      <w:r w:rsidR="000F7ACE">
        <w:t>PHC Program</w:t>
      </w:r>
      <w:r w:rsidR="00BD122D" w:rsidRPr="00884FAA">
        <w:t xml:space="preserve"> funding model (the funding model </w:t>
      </w:r>
      <w:r w:rsidR="002A670F" w:rsidRPr="00884FAA">
        <w:t>uses OSR data</w:t>
      </w:r>
      <w:r w:rsidR="007A4220" w:rsidRPr="00884FAA">
        <w:t xml:space="preserve"> on client numbers and episodes of care). </w:t>
      </w:r>
      <w:r w:rsidR="00175D79" w:rsidRPr="00884FAA">
        <w:t xml:space="preserve">Some ACCHS managers </w:t>
      </w:r>
      <w:r w:rsidR="007852F4" w:rsidRPr="00884FAA">
        <w:t xml:space="preserve">reported using the </w:t>
      </w:r>
      <w:r w:rsidR="00903EC0" w:rsidRPr="00884FAA">
        <w:t>nKPI dashboard withi</w:t>
      </w:r>
      <w:r w:rsidR="003000A6" w:rsidRPr="00884FAA">
        <w:t>n</w:t>
      </w:r>
      <w:r w:rsidR="00903EC0" w:rsidRPr="00884FAA">
        <w:t xml:space="preserve"> the </w:t>
      </w:r>
      <w:r w:rsidR="003000A6" w:rsidRPr="00884FAA">
        <w:t xml:space="preserve">data portal to </w:t>
      </w:r>
      <w:r w:rsidR="006E31F2" w:rsidRPr="00884FAA">
        <w:t>compare</w:t>
      </w:r>
      <w:r w:rsidR="003000A6" w:rsidRPr="00884FAA">
        <w:t xml:space="preserve"> their KPIs against </w:t>
      </w:r>
      <w:r w:rsidR="006E31F2" w:rsidRPr="00884FAA">
        <w:t>state, territory</w:t>
      </w:r>
      <w:r w:rsidR="00A01493" w:rsidRPr="00884FAA">
        <w:t>,</w:t>
      </w:r>
      <w:r w:rsidR="006E31F2" w:rsidRPr="00884FAA">
        <w:t xml:space="preserve"> and national benchmarks.</w:t>
      </w:r>
      <w:r w:rsidR="00091D36" w:rsidRPr="00884FAA">
        <w:t xml:space="preserve"> Staff in </w:t>
      </w:r>
      <w:r w:rsidR="0014363B">
        <w:t>some</w:t>
      </w:r>
      <w:r w:rsidR="00091D36" w:rsidRPr="00884FAA">
        <w:t xml:space="preserve"> ACCHSs </w:t>
      </w:r>
      <w:r w:rsidR="00E90E74">
        <w:t xml:space="preserve">also </w:t>
      </w:r>
      <w:r w:rsidR="00091D36" w:rsidRPr="00884FAA">
        <w:t>described</w:t>
      </w:r>
      <w:r w:rsidR="00662720" w:rsidRPr="00884FAA">
        <w:t xml:space="preserve"> using nKPI and OSR data in their clinical management meetings for CQI and service planning, and with their boards to track progress. </w:t>
      </w:r>
      <w:r w:rsidR="00F4109E" w:rsidRPr="00884FAA">
        <w:t>One ACCHS</w:t>
      </w:r>
      <w:r w:rsidR="007422B2" w:rsidRPr="00884FAA">
        <w:t xml:space="preserve"> manager reported using data as part of program evaluations</w:t>
      </w:r>
      <w:r w:rsidR="00F274AB" w:rsidRPr="00884FAA">
        <w:t xml:space="preserve"> which they undertook or commissioned themselves.</w:t>
      </w:r>
      <w:r w:rsidR="006D57FC" w:rsidRPr="005D1C41">
        <w:rPr>
          <w:rStyle w:val="FootnoteReference"/>
        </w:rPr>
        <w:footnoteReference w:id="63"/>
      </w:r>
      <w:r w:rsidR="00E90E74">
        <w:t xml:space="preserve"> </w:t>
      </w:r>
    </w:p>
    <w:p w14:paraId="4FF92575" w14:textId="6B0D4379" w:rsidR="0054380D" w:rsidRDefault="000971B7" w:rsidP="00DF17CB">
      <w:r>
        <w:t xml:space="preserve">Alongside these </w:t>
      </w:r>
      <w:r w:rsidR="00154546">
        <w:t xml:space="preserve">examples of how data </w:t>
      </w:r>
      <w:r w:rsidR="00063B85">
        <w:t xml:space="preserve">and information </w:t>
      </w:r>
      <w:r w:rsidR="00154546">
        <w:t xml:space="preserve">collected under the IAHP was used, </w:t>
      </w:r>
      <w:r w:rsidR="00046EC6">
        <w:t>many</w:t>
      </w:r>
      <w:r w:rsidR="00C4478F">
        <w:t xml:space="preserve"> </w:t>
      </w:r>
      <w:r w:rsidR="00425F14">
        <w:t xml:space="preserve">ACCHS staff </w:t>
      </w:r>
      <w:r w:rsidR="00633176">
        <w:t xml:space="preserve">reported </w:t>
      </w:r>
      <w:r w:rsidR="00AE6524" w:rsidRPr="00884FAA">
        <w:t xml:space="preserve">that the data </w:t>
      </w:r>
      <w:r w:rsidR="00051CA5">
        <w:t>were</w:t>
      </w:r>
      <w:r w:rsidR="00051CA5" w:rsidRPr="00884FAA">
        <w:t xml:space="preserve"> </w:t>
      </w:r>
      <w:r w:rsidR="00CB234C" w:rsidRPr="00884FAA">
        <w:t xml:space="preserve">not of sufficient value </w:t>
      </w:r>
      <w:r w:rsidR="007B6EE4" w:rsidRPr="00884FAA">
        <w:t xml:space="preserve">to understand community needs </w:t>
      </w:r>
      <w:r w:rsidR="00CB234C" w:rsidRPr="00884FAA">
        <w:t xml:space="preserve">and was not being used to inform </w:t>
      </w:r>
      <w:r w:rsidR="00A40DAE" w:rsidRPr="00884FAA">
        <w:t xml:space="preserve">health service </w:t>
      </w:r>
      <w:r w:rsidR="00CB234C" w:rsidRPr="00884FAA">
        <w:t>decision-making.</w:t>
      </w:r>
    </w:p>
    <w:p w14:paraId="5EBD2CE3" w14:textId="3293E781" w:rsidR="0054380D" w:rsidRPr="00884FAA" w:rsidRDefault="0054380D" w:rsidP="0054380D">
      <w:pPr>
        <w:rPr>
          <w:noProof/>
        </w:rPr>
      </w:pPr>
      <w:r w:rsidRPr="00884FAA">
        <w:rPr>
          <w:noProof/>
        </w:rPr>
        <w:t>A common weakness with the data</w:t>
      </w:r>
      <w:r w:rsidRPr="00884FAA" w:rsidDel="00BE6AE8">
        <w:rPr>
          <w:noProof/>
        </w:rPr>
        <w:t xml:space="preserve"> </w:t>
      </w:r>
      <w:r>
        <w:rPr>
          <w:noProof/>
        </w:rPr>
        <w:t>identified</w:t>
      </w:r>
      <w:r w:rsidRPr="00884FAA">
        <w:rPr>
          <w:noProof/>
        </w:rPr>
        <w:t xml:space="preserve"> by ACCHS staff</w:t>
      </w:r>
      <w:r w:rsidRPr="00884FAA" w:rsidDel="00DA1A7F">
        <w:rPr>
          <w:noProof/>
        </w:rPr>
        <w:t xml:space="preserve"> </w:t>
      </w:r>
      <w:r w:rsidRPr="00884FAA">
        <w:rPr>
          <w:noProof/>
        </w:rPr>
        <w:t xml:space="preserve">was that the reporting framework did not reflect the community-controlled approach to service delivery and/or did not capture </w:t>
      </w:r>
      <w:r w:rsidR="00750485">
        <w:rPr>
          <w:noProof/>
        </w:rPr>
        <w:t xml:space="preserve">all the things that </w:t>
      </w:r>
      <w:r w:rsidR="00C37B49">
        <w:rPr>
          <w:noProof/>
        </w:rPr>
        <w:t xml:space="preserve">services are doing that </w:t>
      </w:r>
      <w:r w:rsidR="00073161">
        <w:rPr>
          <w:noProof/>
        </w:rPr>
        <w:t>were</w:t>
      </w:r>
      <w:r w:rsidR="00C37B49">
        <w:rPr>
          <w:noProof/>
        </w:rPr>
        <w:t xml:space="preserve"> considered relevant</w:t>
      </w:r>
      <w:r w:rsidRPr="00884FAA">
        <w:rPr>
          <w:noProof/>
        </w:rPr>
        <w:t xml:space="preserve">. Often this related to the relevance of translating comprehensive, customised, holistic care to a number or a templated report that is ‘never going to tell you the story’. The way reporting siloed care </w:t>
      </w:r>
      <w:r>
        <w:rPr>
          <w:noProof/>
        </w:rPr>
        <w:t>was</w:t>
      </w:r>
      <w:r w:rsidRPr="00884FAA">
        <w:rPr>
          <w:noProof/>
        </w:rPr>
        <w:t xml:space="preserve"> also seen as problematic. For example, ITC program data reports on services provided by ITC workers under the program; but this misses the other services and activities those workers did, and the care coordination undertaken by other staff. So programs do not actually work in the isolated way that the reported data might suggest.</w:t>
      </w:r>
    </w:p>
    <w:p w14:paraId="1A6FDDC1" w14:textId="77777777" w:rsidR="0054380D" w:rsidRPr="00A1178E" w:rsidRDefault="0054380D" w:rsidP="0054380D">
      <w:pPr>
        <w:pStyle w:val="Quote"/>
        <w:spacing w:after="0"/>
        <w:rPr>
          <w:color w:val="18525E" w:themeColor="accent5" w:themeShade="80"/>
        </w:rPr>
      </w:pPr>
      <w:r w:rsidRPr="00A1178E">
        <w:rPr>
          <w:color w:val="18525E" w:themeColor="accent5" w:themeShade="80"/>
        </w:rPr>
        <w:t>If they actually knew what we did and we could just be honest with them, they would probably be like, ‘well, that's way bloody better. Can you write that?</w:t>
      </w:r>
    </w:p>
    <w:p w14:paraId="509AEE0F" w14:textId="77777777" w:rsidR="0054380D" w:rsidRPr="00A05B28" w:rsidRDefault="0054380D" w:rsidP="0054380D">
      <w:pPr>
        <w:spacing w:before="120"/>
        <w:jc w:val="right"/>
        <w:rPr>
          <w:b/>
          <w:bCs/>
        </w:rPr>
      </w:pPr>
      <w:r w:rsidRPr="00A05B28">
        <w:rPr>
          <w:b/>
          <w:bCs/>
        </w:rPr>
        <w:t xml:space="preserve">ACCHS, Metropolitan location </w:t>
      </w:r>
    </w:p>
    <w:p w14:paraId="5BFE4BB8" w14:textId="38D965C6" w:rsidR="00F85F73" w:rsidRPr="00884FAA" w:rsidRDefault="00F85F73" w:rsidP="00F85F73">
      <w:pPr>
        <w:rPr>
          <w:noProof/>
        </w:rPr>
      </w:pPr>
      <w:r w:rsidRPr="00884FAA">
        <w:rPr>
          <w:noProof/>
        </w:rPr>
        <w:t xml:space="preserve">Some ACCHS staff reported not using the data reported under IAHP as they had concerns about its accuracy and validity. These concerns commonly revolved around deficiencies in </w:t>
      </w:r>
      <w:r w:rsidRPr="00884FAA">
        <w:rPr>
          <w:noProof/>
        </w:rPr>
        <w:lastRenderedPageBreak/>
        <w:t>how the data counts people accessing a service, including the inability to meaningfully count transient populations in the current framework.</w:t>
      </w:r>
    </w:p>
    <w:p w14:paraId="45ABADDB" w14:textId="77777777" w:rsidR="00F85F73" w:rsidRPr="00A1178E" w:rsidRDefault="00F85F73" w:rsidP="00F85F73">
      <w:pPr>
        <w:pStyle w:val="Quote"/>
        <w:spacing w:after="0"/>
        <w:rPr>
          <w:color w:val="18525E" w:themeColor="accent5" w:themeShade="80"/>
        </w:rPr>
      </w:pPr>
      <w:r w:rsidRPr="00A1178E">
        <w:rPr>
          <w:color w:val="18525E" w:themeColor="accent5" w:themeShade="80"/>
        </w:rPr>
        <w:t>The problem is that the KPIs for ACCHOs are meaningless …. Because our population is so mobile and they go from one community to another and we have three times the number of diabetics according to the Commonwealth KPI versus [</w:t>
      </w:r>
      <w:r w:rsidRPr="00A1178E">
        <w:rPr>
          <w:noProof/>
          <w:color w:val="18525E" w:themeColor="accent5" w:themeShade="80"/>
        </w:rPr>
        <w:t>our]</w:t>
      </w:r>
      <w:r w:rsidRPr="00A1178E">
        <w:rPr>
          <w:color w:val="18525E" w:themeColor="accent5" w:themeShade="80"/>
        </w:rPr>
        <w:t xml:space="preserve"> own KPI …. They want me to, you know, point out what is the current KPI, where we're going to go for, get a percentage of what we think is going to be next year and then what our strategies are to improve it. When, you know, we can't even interpret them.</w:t>
      </w:r>
    </w:p>
    <w:p w14:paraId="6639867E" w14:textId="77777777" w:rsidR="00F85F73" w:rsidRPr="00A05B28" w:rsidRDefault="00F85F73" w:rsidP="00F85F73">
      <w:pPr>
        <w:jc w:val="right"/>
        <w:rPr>
          <w:b/>
          <w:bCs/>
        </w:rPr>
      </w:pPr>
      <w:r w:rsidRPr="00A05B28">
        <w:rPr>
          <w:b/>
          <w:bCs/>
        </w:rPr>
        <w:t>ACCHS, Remote location</w:t>
      </w:r>
    </w:p>
    <w:p w14:paraId="516A610B" w14:textId="643505D6" w:rsidR="00504E7D" w:rsidRPr="00884FAA" w:rsidRDefault="00EF4FC1" w:rsidP="00B97292">
      <w:r w:rsidRPr="00884FAA">
        <w:t>Many ACCHSs reported not having the capacity or capability to engage with data.</w:t>
      </w:r>
      <w:r w:rsidR="00DD3B68" w:rsidRPr="00884FAA">
        <w:t xml:space="preserve"> This is </w:t>
      </w:r>
      <w:r w:rsidR="00611F6F" w:rsidRPr="00884FAA">
        <w:t>significant</w:t>
      </w:r>
      <w:r w:rsidR="00E61FA9" w:rsidRPr="00884FAA">
        <w:t xml:space="preserve"> within the context of </w:t>
      </w:r>
      <w:r w:rsidR="007B6BF0" w:rsidRPr="00884FAA">
        <w:t>Priority Reform 4 in the National Agreement on Closing the Gap</w:t>
      </w:r>
      <w:r w:rsidR="00611F6F" w:rsidRPr="00884FAA">
        <w:t xml:space="preserve"> which commits governments to </w:t>
      </w:r>
      <w:r w:rsidR="006634C5" w:rsidRPr="00884FAA">
        <w:t xml:space="preserve">supporting </w:t>
      </w:r>
      <w:r w:rsidR="00611F6F" w:rsidRPr="00884FAA">
        <w:t>Aboriginal and Torres Strait Islander communities and organisations to build capability and expertise in collecting, using</w:t>
      </w:r>
      <w:r w:rsidR="00B36491" w:rsidRPr="00884FAA">
        <w:t>,</w:t>
      </w:r>
      <w:r w:rsidR="00611F6F" w:rsidRPr="00884FAA">
        <w:t xml:space="preserve"> and interpreting data in a meaningful way.</w:t>
      </w:r>
    </w:p>
    <w:p w14:paraId="691E0F4B" w14:textId="3DA55974" w:rsidR="00B97292" w:rsidRPr="00A1178E" w:rsidRDefault="00B97292" w:rsidP="00A05B28">
      <w:pPr>
        <w:pStyle w:val="Quote"/>
        <w:spacing w:after="0"/>
        <w:rPr>
          <w:color w:val="18525E" w:themeColor="accent5" w:themeShade="80"/>
        </w:rPr>
      </w:pPr>
      <w:r w:rsidRPr="00A1178E">
        <w:rPr>
          <w:color w:val="18525E" w:themeColor="accent5" w:themeShade="80"/>
        </w:rPr>
        <w:t>We don’t have time for that…we’re relying on outside people, when they do research and stuff, giving us back our own data to use. But we haven’t got anyone that can sit down and put all that together for us.</w:t>
      </w:r>
    </w:p>
    <w:p w14:paraId="228FAB8D" w14:textId="2C1EB28F" w:rsidR="00506D12" w:rsidRPr="00A05B28" w:rsidRDefault="00506D12" w:rsidP="00A05B28">
      <w:pPr>
        <w:jc w:val="right"/>
        <w:rPr>
          <w:b/>
          <w:bCs/>
        </w:rPr>
      </w:pPr>
      <w:r w:rsidRPr="00A05B28">
        <w:rPr>
          <w:b/>
          <w:bCs/>
        </w:rPr>
        <w:t xml:space="preserve">ACCHS, Metropolitan location </w:t>
      </w:r>
    </w:p>
    <w:p w14:paraId="1D0C5CA0" w14:textId="75FCB45C" w:rsidR="00EF4FC1" w:rsidRPr="00884FAA" w:rsidRDefault="003461EA" w:rsidP="00B97292">
      <w:r w:rsidRPr="00884FAA">
        <w:t xml:space="preserve">Similarly, </w:t>
      </w:r>
      <w:r w:rsidR="000D5766">
        <w:t xml:space="preserve">some </w:t>
      </w:r>
      <w:r w:rsidR="001B27FC" w:rsidRPr="00884FAA">
        <w:t>health service staff</w:t>
      </w:r>
      <w:r w:rsidR="00B90D81" w:rsidRPr="00884FAA">
        <w:t xml:space="preserve"> reported not having the capacity to engage in </w:t>
      </w:r>
      <w:r w:rsidR="005B410B" w:rsidRPr="00884FAA">
        <w:t>CQI</w:t>
      </w:r>
      <w:r w:rsidR="00B90D81" w:rsidRPr="00884FAA">
        <w:t xml:space="preserve"> activities</w:t>
      </w:r>
      <w:r w:rsidR="007547E9" w:rsidRPr="00884FAA">
        <w:t xml:space="preserve">, </w:t>
      </w:r>
      <w:r w:rsidR="00EF4B50" w:rsidRPr="00884FAA">
        <w:t xml:space="preserve">despite the </w:t>
      </w:r>
      <w:r w:rsidR="00EF5E18" w:rsidRPr="00884FAA">
        <w:t xml:space="preserve">primary purpose of the nKPIs </w:t>
      </w:r>
      <w:r w:rsidR="00AF5824" w:rsidRPr="00884FAA">
        <w:t xml:space="preserve">being </w:t>
      </w:r>
      <w:r w:rsidR="00EF5E18" w:rsidRPr="00884FAA">
        <w:t xml:space="preserve">to provide organisations with data they can use for </w:t>
      </w:r>
      <w:r w:rsidR="00AD657D">
        <w:t>CQI</w:t>
      </w:r>
      <w:r w:rsidR="00366583" w:rsidRPr="00884FAA">
        <w:t xml:space="preserve">. </w:t>
      </w:r>
      <w:r w:rsidR="00585335" w:rsidRPr="00884FAA">
        <w:t xml:space="preserve">Ironically, an ACCHS manager said that the burden of reporting reduced the time available </w:t>
      </w:r>
      <w:r w:rsidR="005E5A0C" w:rsidRPr="00884FAA">
        <w:t xml:space="preserve">for services </w:t>
      </w:r>
      <w:r w:rsidR="00585335" w:rsidRPr="00884FAA">
        <w:t>to engage in CQI.</w:t>
      </w:r>
      <w:r w:rsidR="005D5FEC">
        <w:t xml:space="preserve"> </w:t>
      </w:r>
      <w:r w:rsidR="00E211A2">
        <w:t>T</w:t>
      </w:r>
      <w:r w:rsidR="005D5FEC">
        <w:t xml:space="preserve">he </w:t>
      </w:r>
      <w:r w:rsidR="00E211A2">
        <w:t xml:space="preserve">reported </w:t>
      </w:r>
      <w:r w:rsidR="005D5FEC">
        <w:t xml:space="preserve">lack of capacity </w:t>
      </w:r>
      <w:r w:rsidR="000468C4">
        <w:t xml:space="preserve">for CQI </w:t>
      </w:r>
      <w:r w:rsidR="00E211A2">
        <w:t xml:space="preserve">may reflect the </w:t>
      </w:r>
      <w:r w:rsidR="000468C4">
        <w:t xml:space="preserve">timing of the evaluation </w:t>
      </w:r>
      <w:r w:rsidR="00F4350C">
        <w:t>and the priority and workload associated with the COVID-19 pandemic response</w:t>
      </w:r>
      <w:r w:rsidR="006853E6">
        <w:t>.</w:t>
      </w:r>
    </w:p>
    <w:p w14:paraId="6173F0C6" w14:textId="6AFE9F8C" w:rsidR="00662720" w:rsidRPr="00A1178E" w:rsidRDefault="00662720" w:rsidP="00A05B28">
      <w:pPr>
        <w:pStyle w:val="Quote"/>
        <w:spacing w:after="0"/>
        <w:rPr>
          <w:color w:val="18525E" w:themeColor="accent5" w:themeShade="80"/>
        </w:rPr>
      </w:pPr>
      <w:r w:rsidRPr="00A1178E">
        <w:rPr>
          <w:color w:val="18525E" w:themeColor="accent5" w:themeShade="80"/>
        </w:rPr>
        <w:t>At the moment [CQI] is squeezed in around the edges of the emergency department sort of grind of everyday coming what's going through the door. And nobody's given quarantined time to look at their data in facilitated conversations and have purposeful conversations about goals, strategy and systems of how to improve and strengthen care.</w:t>
      </w:r>
    </w:p>
    <w:p w14:paraId="50011653" w14:textId="18939EF9" w:rsidR="00506D12" w:rsidRPr="00A05B28" w:rsidRDefault="00506D12" w:rsidP="00B075B4">
      <w:pPr>
        <w:spacing w:before="120"/>
        <w:jc w:val="right"/>
        <w:rPr>
          <w:b/>
          <w:bCs/>
        </w:rPr>
      </w:pPr>
      <w:r w:rsidRPr="00A05B28">
        <w:rPr>
          <w:b/>
          <w:bCs/>
        </w:rPr>
        <w:t xml:space="preserve">State or territory government </w:t>
      </w:r>
    </w:p>
    <w:p w14:paraId="2F31E4B0" w14:textId="77777777" w:rsidR="00A109F8" w:rsidRPr="00884FAA" w:rsidRDefault="00A109F8" w:rsidP="00651D06">
      <w:pPr>
        <w:pStyle w:val="Heading3"/>
      </w:pPr>
      <w:r w:rsidRPr="00884FAA">
        <w:t xml:space="preserve">Data and reporting do not support assessment of health outcomes </w:t>
      </w:r>
    </w:p>
    <w:p w14:paraId="5405EE35" w14:textId="68D0BC4D" w:rsidR="00F42A95" w:rsidRPr="00884FAA" w:rsidRDefault="00D94BB6" w:rsidP="002801B8">
      <w:r w:rsidRPr="00884FAA">
        <w:t xml:space="preserve">Another </w:t>
      </w:r>
      <w:r w:rsidR="00F7624C" w:rsidRPr="00884FAA">
        <w:t xml:space="preserve">common concern expressed by ACCHS </w:t>
      </w:r>
      <w:r w:rsidR="00C2093A" w:rsidRPr="00884FAA">
        <w:t xml:space="preserve">and PHN </w:t>
      </w:r>
      <w:r w:rsidR="00F7624C" w:rsidRPr="00884FAA">
        <w:t xml:space="preserve">staff was that IAHP data </w:t>
      </w:r>
      <w:r w:rsidR="002716AF" w:rsidRPr="00884FAA">
        <w:t xml:space="preserve">did not reflect </w:t>
      </w:r>
      <w:r w:rsidR="00DA2F40" w:rsidRPr="00884FAA">
        <w:t xml:space="preserve">and record </w:t>
      </w:r>
      <w:r w:rsidR="002716AF" w:rsidRPr="00884FAA">
        <w:t xml:space="preserve">what was valued by communities in terms of </w:t>
      </w:r>
      <w:r w:rsidR="00DA2F40" w:rsidRPr="00884FAA">
        <w:t xml:space="preserve">health </w:t>
      </w:r>
      <w:r w:rsidR="002716AF" w:rsidRPr="00884FAA">
        <w:t>needs and what is important</w:t>
      </w:r>
      <w:r w:rsidR="00DA2F40" w:rsidRPr="00884FAA">
        <w:t xml:space="preserve"> in the delivery of health care</w:t>
      </w:r>
      <w:r w:rsidR="002716AF" w:rsidRPr="00884FAA">
        <w:t>.</w:t>
      </w:r>
      <w:r w:rsidR="00612B4D" w:rsidRPr="00884FAA">
        <w:t xml:space="preserve"> This relates to the data being activity focused </w:t>
      </w:r>
      <w:r w:rsidR="008B3BC9" w:rsidRPr="00884FAA">
        <w:t>as opposed to capturing outcomes of benefit to local communities.</w:t>
      </w:r>
      <w:r w:rsidR="00321F4E" w:rsidRPr="00884FAA">
        <w:t xml:space="preserve"> This includes </w:t>
      </w:r>
      <w:r w:rsidR="00FD33F2" w:rsidRPr="00884FAA">
        <w:t xml:space="preserve">the absence of data on </w:t>
      </w:r>
      <w:r w:rsidR="00400738" w:rsidRPr="00884FAA">
        <w:t xml:space="preserve">actual </w:t>
      </w:r>
      <w:r w:rsidR="00FD33F2" w:rsidRPr="00884FAA">
        <w:t>patient experiences</w:t>
      </w:r>
      <w:r w:rsidR="00400738" w:rsidRPr="00884FAA">
        <w:t xml:space="preserve"> within the reporting framework</w:t>
      </w:r>
      <w:r w:rsidR="00FD33F2" w:rsidRPr="00884FAA">
        <w:t>.</w:t>
      </w:r>
      <w:r w:rsidR="00525C45" w:rsidRPr="00884FAA">
        <w:t xml:space="preserve"> </w:t>
      </w:r>
      <w:r w:rsidR="008852B6" w:rsidRPr="00884FAA">
        <w:t>The activity</w:t>
      </w:r>
      <w:r w:rsidR="003E48B6" w:rsidRPr="00884FAA">
        <w:t xml:space="preserve"> focu</w:t>
      </w:r>
      <w:r w:rsidR="00F92369" w:rsidRPr="00884FAA">
        <w:t>s</w:t>
      </w:r>
      <w:r w:rsidR="003E48B6" w:rsidRPr="00884FAA">
        <w:t xml:space="preserve"> was </w:t>
      </w:r>
      <w:r w:rsidR="00F92369" w:rsidRPr="00884FAA">
        <w:t xml:space="preserve">often </w:t>
      </w:r>
      <w:r w:rsidR="003E48B6" w:rsidRPr="00884FAA">
        <w:t xml:space="preserve">associated with </w:t>
      </w:r>
      <w:r w:rsidR="00F92369" w:rsidRPr="00884FAA">
        <w:t xml:space="preserve">funding and billing driving data collection, as opposed to </w:t>
      </w:r>
      <w:r w:rsidR="005C1A89" w:rsidRPr="00884FAA">
        <w:t>it having a clinical purpose.</w:t>
      </w:r>
      <w:r w:rsidR="00F92369" w:rsidRPr="00884FAA">
        <w:t xml:space="preserve"> </w:t>
      </w:r>
    </w:p>
    <w:p w14:paraId="7163B647" w14:textId="73ADF6C5" w:rsidR="00FD33F2" w:rsidRPr="00A1178E" w:rsidRDefault="00FD33F2" w:rsidP="00A05B28">
      <w:pPr>
        <w:pStyle w:val="Quote"/>
        <w:spacing w:after="0"/>
        <w:rPr>
          <w:color w:val="18525E" w:themeColor="accent5" w:themeShade="80"/>
        </w:rPr>
      </w:pPr>
      <w:r w:rsidRPr="00A1178E">
        <w:rPr>
          <w:color w:val="18525E" w:themeColor="accent5" w:themeShade="80"/>
        </w:rPr>
        <w:lastRenderedPageBreak/>
        <w:t>I can tell you how many clients they’ve got coming and getting coordinated care; I can tell you how many aids they’ve bought. But essentially, I can’t tell you if that is changing somebody’s life</w:t>
      </w:r>
      <w:r w:rsidR="00121659" w:rsidRPr="00A1178E">
        <w:rPr>
          <w:color w:val="18525E" w:themeColor="accent5" w:themeShade="80"/>
        </w:rPr>
        <w:t>.</w:t>
      </w:r>
    </w:p>
    <w:p w14:paraId="0DD35685" w14:textId="436A91B0" w:rsidR="007723EC" w:rsidRPr="00A05B28" w:rsidRDefault="007723EC" w:rsidP="00EA4824">
      <w:pPr>
        <w:jc w:val="right"/>
        <w:rPr>
          <w:b/>
          <w:bCs/>
        </w:rPr>
      </w:pPr>
      <w:r w:rsidRPr="00362B01">
        <w:rPr>
          <w:b/>
          <w:bCs/>
        </w:rPr>
        <w:t xml:space="preserve">PHN, Regional location </w:t>
      </w:r>
    </w:p>
    <w:p w14:paraId="630029AB" w14:textId="2951E960" w:rsidR="008C3920" w:rsidRPr="00884FAA" w:rsidRDefault="00F517C4" w:rsidP="00FE54CF">
      <w:r w:rsidRPr="00884FAA">
        <w:t xml:space="preserve">In its performance audit of the </w:t>
      </w:r>
      <w:r w:rsidR="00791786" w:rsidRPr="00884FAA">
        <w:t xml:space="preserve">IAHP </w:t>
      </w:r>
      <w:r w:rsidR="000F7ACE">
        <w:t>PHC Program</w:t>
      </w:r>
      <w:r w:rsidR="00791786" w:rsidRPr="00884FAA">
        <w:t>, the A</w:t>
      </w:r>
      <w:r w:rsidR="004003E3" w:rsidRPr="00884FAA">
        <w:t xml:space="preserve">ustralian </w:t>
      </w:r>
      <w:r w:rsidR="00791786" w:rsidRPr="00884FAA">
        <w:t>N</w:t>
      </w:r>
      <w:r w:rsidR="004003E3" w:rsidRPr="00884FAA">
        <w:t xml:space="preserve">ational </w:t>
      </w:r>
      <w:r w:rsidR="00791786" w:rsidRPr="00884FAA">
        <w:t>A</w:t>
      </w:r>
      <w:r w:rsidR="004003E3" w:rsidRPr="00884FAA">
        <w:t xml:space="preserve">udit </w:t>
      </w:r>
      <w:r w:rsidR="00791786" w:rsidRPr="00884FAA">
        <w:t>O</w:t>
      </w:r>
      <w:r w:rsidR="004003E3" w:rsidRPr="00884FAA">
        <w:t>ffice</w:t>
      </w:r>
      <w:r w:rsidR="00791786" w:rsidRPr="00884FAA">
        <w:t xml:space="preserve"> recommended the department </w:t>
      </w:r>
      <w:r w:rsidR="00EA02B2" w:rsidRPr="00884FAA">
        <w:t xml:space="preserve">include measurable performance targets </w:t>
      </w:r>
      <w:r w:rsidR="00983AAA" w:rsidRPr="00884FAA">
        <w:t xml:space="preserve">in funding agreements that </w:t>
      </w:r>
      <w:r w:rsidR="006363F1" w:rsidRPr="00884FAA">
        <w:t>‘are</w:t>
      </w:r>
      <w:r w:rsidR="00983AAA" w:rsidRPr="00884FAA">
        <w:t xml:space="preserve"> aligned with program outcomes</w:t>
      </w:r>
      <w:r w:rsidR="006363F1" w:rsidRPr="00884FAA">
        <w:t>’</w:t>
      </w:r>
      <w:r w:rsidR="00FE5008" w:rsidRPr="00884FAA">
        <w:t xml:space="preserve"> </w:t>
      </w:r>
      <w:r w:rsidR="00FE5008" w:rsidRPr="00884FAA">
        <w:fldChar w:fldCharType="begin"/>
      </w:r>
      <w:r w:rsidR="00F8760E">
        <w:instrText xml:space="preserve"> ADDIN ZOTERO_ITEM CSL_CITATION {"citationID":"7DWiQNsF","properties":{"formattedCitation":"(Australian National Audit Office, 2018)","plainCitation":"(Australian National Audit Office, 2018)","noteIndex":0},"citationItems":[{"id":3724,"uris":["http://zotero.org/groups/5010721/items/UGS57SCW",["http://zotero.org/groups/5010721/items/UGS57SCW"],["http://zotero.org/groups/5010721/items/UGS57SCW",["http://zotero.org/groups/5010721/items/UGS57SCW"]]],"itemData":{"id":3724,"type":"report","collection-title":"The Auditor-General","event-place":"Canberra","genre":"Performance Audit","number":"50","publisher":"Commonwealth of Australia","publisher-place":"Canberra","title":"Primary Healthcare Grants under the Indigenous Australians' Health Program","URL":"https://www.anao.gov.au/sites/default/files/ANAO_Report_2017-2018_50.pdf","author":[{"literal":"Australian National Audit Office"}],"accessed":{"date-parts":[["2021",9,21]]},"issued":{"date-parts":[["2018"]]}}}],"schema":"https://github.com/citation-style-language/schema/raw/master/csl-citation.json"} </w:instrText>
      </w:r>
      <w:r w:rsidR="00FE5008" w:rsidRPr="00884FAA">
        <w:fldChar w:fldCharType="separate"/>
      </w:r>
      <w:r w:rsidR="001744A4" w:rsidRPr="001744A4">
        <w:rPr>
          <w:rFonts w:ascii="Arial" w:hAnsi="Arial" w:cs="Arial"/>
        </w:rPr>
        <w:t>(Australian National Audit Office, 2018)</w:t>
      </w:r>
      <w:r w:rsidR="00FE5008" w:rsidRPr="00884FAA">
        <w:fldChar w:fldCharType="end"/>
      </w:r>
      <w:r w:rsidR="00D96672" w:rsidRPr="00884FAA">
        <w:t>. The audit noted that the department was developing an outcomes</w:t>
      </w:r>
      <w:r w:rsidR="0046645D" w:rsidRPr="00884FAA" w:rsidDel="00ED3D4D">
        <w:t>-</w:t>
      </w:r>
      <w:r w:rsidR="0046645D" w:rsidRPr="00884FAA">
        <w:t>based PHC policy framework</w:t>
      </w:r>
      <w:r w:rsidR="005B538F" w:rsidRPr="00884FAA">
        <w:t xml:space="preserve"> that had the potential to info</w:t>
      </w:r>
      <w:r w:rsidR="002E4AA8" w:rsidRPr="00884FAA">
        <w:t>r</w:t>
      </w:r>
      <w:r w:rsidR="005B538F" w:rsidRPr="00884FAA">
        <w:t xml:space="preserve">m </w:t>
      </w:r>
      <w:r w:rsidR="002E4AA8" w:rsidRPr="00884FAA">
        <w:t xml:space="preserve">a </w:t>
      </w:r>
      <w:r w:rsidR="005B538F" w:rsidRPr="00884FAA">
        <w:t xml:space="preserve">revised performance </w:t>
      </w:r>
      <w:r w:rsidR="002E4AA8" w:rsidRPr="00884FAA">
        <w:t xml:space="preserve">framework </w:t>
      </w:r>
      <w:r w:rsidR="00FE4E58" w:rsidRPr="00884FAA">
        <w:t>fo</w:t>
      </w:r>
      <w:r w:rsidR="006363F1" w:rsidRPr="00884FAA">
        <w:t>r the</w:t>
      </w:r>
      <w:r w:rsidR="00FE4E58" w:rsidRPr="00884FAA">
        <w:t xml:space="preserve"> </w:t>
      </w:r>
      <w:r w:rsidR="000F7ACE">
        <w:t>PHC Program</w:t>
      </w:r>
      <w:r w:rsidR="00FE4E58" w:rsidRPr="00884FAA">
        <w:t>.</w:t>
      </w:r>
      <w:r w:rsidR="00FB1790" w:rsidRPr="00884FAA">
        <w:t xml:space="preserve"> </w:t>
      </w:r>
      <w:r w:rsidR="00C44D82" w:rsidRPr="00884FAA">
        <w:t>A</w:t>
      </w:r>
      <w:r w:rsidR="00A4756D" w:rsidRPr="00884FAA">
        <w:t>t</w:t>
      </w:r>
      <w:r w:rsidR="00C44D82" w:rsidRPr="00884FAA">
        <w:t xml:space="preserve"> the time of reporting, w</w:t>
      </w:r>
      <w:r w:rsidR="00FB1790" w:rsidRPr="00884FAA">
        <w:t xml:space="preserve">e </w:t>
      </w:r>
      <w:r w:rsidR="00F707A4" w:rsidRPr="00884FAA">
        <w:t>are not aware that a</w:t>
      </w:r>
      <w:r w:rsidR="003B3DE7" w:rsidRPr="00884FAA">
        <w:t>n</w:t>
      </w:r>
      <w:r w:rsidR="00F707A4" w:rsidRPr="00884FAA">
        <w:t xml:space="preserve"> outcomes-based framework has been implemented</w:t>
      </w:r>
      <w:r w:rsidR="00C44D82" w:rsidRPr="00884FAA">
        <w:t xml:space="preserve"> by the department</w:t>
      </w:r>
      <w:r w:rsidR="00F707A4" w:rsidRPr="00884FAA">
        <w:t>.</w:t>
      </w:r>
      <w:r w:rsidR="00091B3B" w:rsidRPr="00884FAA">
        <w:t xml:space="preserve"> However, the Health Sector Strengthening Plan </w:t>
      </w:r>
      <w:r w:rsidR="008F1797" w:rsidRPr="00884FAA">
        <w:fldChar w:fldCharType="begin"/>
      </w:r>
      <w:r w:rsidR="00F8760E">
        <w:instrText xml:space="preserve"> ADDIN ZOTERO_ITEM CSL_CITATION {"citationID":"jxXQIfGs","properties":{"formattedCitation":"(Joint Council on Closing the Gap, 2021a)","plainCitation":"(Joint Council on Closing the Gap, 2021a)","noteIndex":0},"citationItems":[{"id":3758,"uris":["http://zotero.org/groups/5010721/items/64ANBJR8",["http://zotero.org/groups/5010721/items/64ANBJR8"],["http://zotero.org/groups/5010721/items/64ANBJR8",["http://zotero.org/groups/5010721/items/64ANBJR8"]]],"itemData":{"id":3758,"type":"report","event-place":"Australia","genre":"Final draft","publisher":"Commonwealth of Australia","publisher-place":"Australia","title":"Sector Strengthening Plan: Health, Under Priority Reform Two of the National Agreement of Closing the Gap.","URL":"https://www.closingthegap.gov.au/sites/default/files/2021-12/sector-strengthening-plan-health_2.pdf","author":[{"literal":"Joint Council on Closing the Gap"}],"issued":{"date-parts":[["2021",12,3]]}}}],"schema":"https://github.com/citation-style-language/schema/raw/master/csl-citation.json"} </w:instrText>
      </w:r>
      <w:r w:rsidR="008F1797" w:rsidRPr="00884FAA">
        <w:fldChar w:fldCharType="separate"/>
      </w:r>
      <w:r w:rsidR="001744A4" w:rsidRPr="001744A4">
        <w:rPr>
          <w:rFonts w:ascii="Arial" w:hAnsi="Arial" w:cs="Arial"/>
        </w:rPr>
        <w:t>(Joint Council on Closing the Gap, 2021a)</w:t>
      </w:r>
      <w:r w:rsidR="008F1797" w:rsidRPr="00884FAA">
        <w:fldChar w:fldCharType="end"/>
      </w:r>
      <w:r w:rsidR="008F1797" w:rsidRPr="00884FAA">
        <w:t xml:space="preserve"> does commit </w:t>
      </w:r>
      <w:r w:rsidR="004012C3" w:rsidRPr="00884FAA">
        <w:t>governments to review reporting frameworks</w:t>
      </w:r>
      <w:r w:rsidR="003E4435" w:rsidRPr="00884FAA">
        <w:t xml:space="preserve"> for funding, including the IAHP, </w:t>
      </w:r>
      <w:r w:rsidR="004012C3" w:rsidRPr="00884FAA">
        <w:t xml:space="preserve">and </w:t>
      </w:r>
      <w:r w:rsidR="00B609B3" w:rsidRPr="00884FAA">
        <w:t>to produce an outcomes-foc</w:t>
      </w:r>
      <w:r w:rsidR="003E4435" w:rsidRPr="00884FAA">
        <w:t>used program and implementation plan</w:t>
      </w:r>
      <w:r w:rsidR="00C13F27" w:rsidRPr="00884FAA">
        <w:t xml:space="preserve"> to improve reporting</w:t>
      </w:r>
      <w:r w:rsidR="003E4435" w:rsidRPr="00884FAA">
        <w:t>.</w:t>
      </w:r>
      <w:r w:rsidR="00B52DA3" w:rsidRPr="00884FAA">
        <w:t xml:space="preserve"> </w:t>
      </w:r>
    </w:p>
    <w:p w14:paraId="40642862" w14:textId="7507122D" w:rsidR="000F1ACB" w:rsidRPr="00884FAA" w:rsidRDefault="00B52DA3" w:rsidP="007E1D74">
      <w:r w:rsidRPr="00884FAA">
        <w:t xml:space="preserve">There is also concern that a shift in reporting approach may increase the reporting burden on ACCHSs. </w:t>
      </w:r>
      <w:r w:rsidR="00670188" w:rsidRPr="00884FAA">
        <w:t xml:space="preserve">PHN staff reported </w:t>
      </w:r>
      <w:r w:rsidR="00E5316D" w:rsidRPr="00884FAA">
        <w:t>having discussions with ACCHS partners about incorporating more outcome-ori</w:t>
      </w:r>
      <w:r w:rsidR="00114291" w:rsidRPr="00884FAA">
        <w:t>e</w:t>
      </w:r>
      <w:r w:rsidR="00E5316D" w:rsidRPr="00884FAA">
        <w:t xml:space="preserve">ntated </w:t>
      </w:r>
      <w:r w:rsidR="00114291" w:rsidRPr="00884FAA">
        <w:t>i</w:t>
      </w:r>
      <w:r w:rsidR="00E5316D" w:rsidRPr="00884FAA">
        <w:t xml:space="preserve">ndicators into </w:t>
      </w:r>
      <w:r w:rsidR="00E21E09" w:rsidRPr="00884FAA">
        <w:t xml:space="preserve">current </w:t>
      </w:r>
      <w:r w:rsidR="00FA515F" w:rsidRPr="00884FAA">
        <w:t>reporting</w:t>
      </w:r>
      <w:r w:rsidR="00E21E09" w:rsidRPr="00884FAA">
        <w:t xml:space="preserve"> arrangements</w:t>
      </w:r>
      <w:r w:rsidR="00FA515F" w:rsidRPr="00884FAA">
        <w:t xml:space="preserve">. This became fraught as </w:t>
      </w:r>
      <w:r w:rsidR="00E06067" w:rsidRPr="00884FAA">
        <w:t>it would</w:t>
      </w:r>
      <w:r w:rsidR="00114291" w:rsidRPr="00884FAA">
        <w:t xml:space="preserve"> have involved</w:t>
      </w:r>
      <w:r w:rsidR="00E06067" w:rsidRPr="00884FAA">
        <w:t xml:space="preserve"> reporting on an additional set of indictors and</w:t>
      </w:r>
      <w:r w:rsidR="00114291" w:rsidRPr="00884FAA">
        <w:t xml:space="preserve"> adding to the </w:t>
      </w:r>
      <w:r w:rsidR="0067111C" w:rsidRPr="00884FAA">
        <w:t xml:space="preserve">existing </w:t>
      </w:r>
      <w:r w:rsidR="00114291" w:rsidRPr="00884FAA">
        <w:t>reporting burden</w:t>
      </w:r>
      <w:r w:rsidR="0067111C" w:rsidRPr="00884FAA">
        <w:t xml:space="preserve"> that has </w:t>
      </w:r>
      <w:r w:rsidR="00582ADC" w:rsidRPr="00884FAA">
        <w:t xml:space="preserve">already </w:t>
      </w:r>
      <w:r w:rsidR="0067111C" w:rsidRPr="00884FAA">
        <w:t xml:space="preserve">been raised as a challenge </w:t>
      </w:r>
      <w:r w:rsidR="00582ADC" w:rsidRPr="00884FAA">
        <w:t>by</w:t>
      </w:r>
      <w:r w:rsidR="0067111C" w:rsidRPr="00884FAA">
        <w:t xml:space="preserve"> ACCHS</w:t>
      </w:r>
      <w:r w:rsidR="002201FE" w:rsidRPr="00884FAA">
        <w:t>s</w:t>
      </w:r>
      <w:r w:rsidR="00114291" w:rsidRPr="00884FAA">
        <w:t>.</w:t>
      </w:r>
    </w:p>
    <w:p w14:paraId="67649221" w14:textId="77777777" w:rsidR="005B3CAC" w:rsidRPr="00884FAA" w:rsidRDefault="005B3CAC">
      <w:pPr>
        <w:jc w:val="left"/>
        <w:rPr>
          <w:b/>
          <w:caps/>
          <w:color w:val="9E6047" w:themeColor="accent3"/>
          <w:kern w:val="28"/>
          <w:sz w:val="40"/>
          <w:szCs w:val="48"/>
        </w:rPr>
      </w:pPr>
      <w:r w:rsidRPr="00884FAA">
        <w:br w:type="page"/>
      </w:r>
    </w:p>
    <w:p w14:paraId="0B5031E7" w14:textId="13325D81" w:rsidR="00866CA5" w:rsidRPr="00884FAA" w:rsidRDefault="00866CA5" w:rsidP="003D4A7C">
      <w:pPr>
        <w:pStyle w:val="Heading1"/>
      </w:pPr>
      <w:bookmarkStart w:id="242" w:name="_Toc137208933"/>
      <w:r w:rsidRPr="00884FAA">
        <w:lastRenderedPageBreak/>
        <w:t>What difference is the IAHP making to health and wellbeing?</w:t>
      </w:r>
      <w:r w:rsidR="00540CED" w:rsidRPr="00540CED">
        <w:rPr>
          <w:noProof/>
        </w:rPr>
        <w:t xml:space="preserve"> </w:t>
      </w:r>
      <w:r w:rsidR="00540CED">
        <w:rPr>
          <w:noProof/>
        </w:rPr>
        <mc:AlternateContent>
          <mc:Choice Requires="wpg">
            <w:drawing>
              <wp:anchor distT="0" distB="0" distL="114300" distR="114300" simplePos="0" relativeHeight="251658264" behindDoc="1" locked="1" layoutInCell="1" allowOverlap="0" wp14:anchorId="793219DB" wp14:editId="51453BD2">
                <wp:simplePos x="0" y="0"/>
                <wp:positionH relativeFrom="margin">
                  <wp:posOffset>-88265</wp:posOffset>
                </wp:positionH>
                <wp:positionV relativeFrom="page">
                  <wp:posOffset>1633855</wp:posOffset>
                </wp:positionV>
                <wp:extent cx="6123305" cy="5894705"/>
                <wp:effectExtent l="19050" t="19050" r="29845" b="48895"/>
                <wp:wrapNone/>
                <wp:docPr id="289756065" name="Group 289756065" descr="Text box - Key findings"/>
                <wp:cNvGraphicFramePr/>
                <a:graphic xmlns:a="http://schemas.openxmlformats.org/drawingml/2006/main">
                  <a:graphicData uri="http://schemas.microsoft.com/office/word/2010/wordprocessingGroup">
                    <wpg:wgp>
                      <wpg:cNvGrpSpPr/>
                      <wpg:grpSpPr>
                        <a:xfrm>
                          <a:off x="0" y="0"/>
                          <a:ext cx="6123305" cy="5894705"/>
                          <a:chOff x="0" y="0"/>
                          <a:chExt cx="7727151" cy="5898160"/>
                        </a:xfrm>
                      </wpg:grpSpPr>
                      <wps:wsp>
                        <wps:cNvPr id="105189892" name="Rectangle 5"/>
                        <wps:cNvSpPr/>
                        <wps:spPr>
                          <a:xfrm>
                            <a:off x="0" y="918802"/>
                            <a:ext cx="7716521" cy="4979358"/>
                          </a:xfrm>
                          <a:custGeom>
                            <a:avLst/>
                            <a:gdLst>
                              <a:gd name="connsiteX0" fmla="*/ 0 w 7716521"/>
                              <a:gd name="connsiteY0" fmla="*/ 0 h 4979358"/>
                              <a:gd name="connsiteX1" fmla="*/ 720209 w 7716521"/>
                              <a:gd name="connsiteY1" fmla="*/ 0 h 4979358"/>
                              <a:gd name="connsiteX2" fmla="*/ 1131756 w 7716521"/>
                              <a:gd name="connsiteY2" fmla="*/ 0 h 4979358"/>
                              <a:gd name="connsiteX3" fmla="*/ 1929130 w 7716521"/>
                              <a:gd name="connsiteY3" fmla="*/ 0 h 4979358"/>
                              <a:gd name="connsiteX4" fmla="*/ 2572174 w 7716521"/>
                              <a:gd name="connsiteY4" fmla="*/ 0 h 4979358"/>
                              <a:gd name="connsiteX5" fmla="*/ 2983721 w 7716521"/>
                              <a:gd name="connsiteY5" fmla="*/ 0 h 4979358"/>
                              <a:gd name="connsiteX6" fmla="*/ 3626765 w 7716521"/>
                              <a:gd name="connsiteY6" fmla="*/ 0 h 4979358"/>
                              <a:gd name="connsiteX7" fmla="*/ 4424139 w 7716521"/>
                              <a:gd name="connsiteY7" fmla="*/ 0 h 4979358"/>
                              <a:gd name="connsiteX8" fmla="*/ 4990017 w 7716521"/>
                              <a:gd name="connsiteY8" fmla="*/ 0 h 4979358"/>
                              <a:gd name="connsiteX9" fmla="*/ 5555895 w 7716521"/>
                              <a:gd name="connsiteY9" fmla="*/ 0 h 4979358"/>
                              <a:gd name="connsiteX10" fmla="*/ 6198939 w 7716521"/>
                              <a:gd name="connsiteY10" fmla="*/ 0 h 4979358"/>
                              <a:gd name="connsiteX11" fmla="*/ 6919147 w 7716521"/>
                              <a:gd name="connsiteY11" fmla="*/ 0 h 4979358"/>
                              <a:gd name="connsiteX12" fmla="*/ 7716521 w 7716521"/>
                              <a:gd name="connsiteY12" fmla="*/ 0 h 4979358"/>
                              <a:gd name="connsiteX13" fmla="*/ 7716521 w 7716521"/>
                              <a:gd name="connsiteY13" fmla="*/ 672213 h 4979358"/>
                              <a:gd name="connsiteX14" fmla="*/ 7716521 w 7716521"/>
                              <a:gd name="connsiteY14" fmla="*/ 1244840 h 4979358"/>
                              <a:gd name="connsiteX15" fmla="*/ 7716521 w 7716521"/>
                              <a:gd name="connsiteY15" fmla="*/ 1767672 h 4979358"/>
                              <a:gd name="connsiteX16" fmla="*/ 7716521 w 7716521"/>
                              <a:gd name="connsiteY16" fmla="*/ 2390092 h 4979358"/>
                              <a:gd name="connsiteX17" fmla="*/ 7716521 w 7716521"/>
                              <a:gd name="connsiteY17" fmla="*/ 3062305 h 4979358"/>
                              <a:gd name="connsiteX18" fmla="*/ 7716521 w 7716521"/>
                              <a:gd name="connsiteY18" fmla="*/ 3784312 h 4979358"/>
                              <a:gd name="connsiteX19" fmla="*/ 7716521 w 7716521"/>
                              <a:gd name="connsiteY19" fmla="*/ 4979358 h 4979358"/>
                              <a:gd name="connsiteX20" fmla="*/ 6919147 w 7716521"/>
                              <a:gd name="connsiteY20" fmla="*/ 4979358 h 4979358"/>
                              <a:gd name="connsiteX21" fmla="*/ 6353269 w 7716521"/>
                              <a:gd name="connsiteY21" fmla="*/ 4979358 h 4979358"/>
                              <a:gd name="connsiteX22" fmla="*/ 5787391 w 7716521"/>
                              <a:gd name="connsiteY22" fmla="*/ 4979358 h 4979358"/>
                              <a:gd name="connsiteX23" fmla="*/ 5221513 w 7716521"/>
                              <a:gd name="connsiteY23" fmla="*/ 4979358 h 4979358"/>
                              <a:gd name="connsiteX24" fmla="*/ 4501304 w 7716521"/>
                              <a:gd name="connsiteY24" fmla="*/ 4979358 h 4979358"/>
                              <a:gd name="connsiteX25" fmla="*/ 3858261 w 7716521"/>
                              <a:gd name="connsiteY25" fmla="*/ 4979358 h 4979358"/>
                              <a:gd name="connsiteX26" fmla="*/ 3446713 w 7716521"/>
                              <a:gd name="connsiteY26" fmla="*/ 4979358 h 4979358"/>
                              <a:gd name="connsiteX27" fmla="*/ 2880835 w 7716521"/>
                              <a:gd name="connsiteY27" fmla="*/ 4979358 h 4979358"/>
                              <a:gd name="connsiteX28" fmla="*/ 2160626 w 7716521"/>
                              <a:gd name="connsiteY28" fmla="*/ 4979358 h 4979358"/>
                              <a:gd name="connsiteX29" fmla="*/ 1671913 w 7716521"/>
                              <a:gd name="connsiteY29" fmla="*/ 4979358 h 4979358"/>
                              <a:gd name="connsiteX30" fmla="*/ 874539 w 7716521"/>
                              <a:gd name="connsiteY30" fmla="*/ 4979358 h 4979358"/>
                              <a:gd name="connsiteX31" fmla="*/ 0 w 7716521"/>
                              <a:gd name="connsiteY31" fmla="*/ 4979358 h 4979358"/>
                              <a:gd name="connsiteX32" fmla="*/ 0 w 7716521"/>
                              <a:gd name="connsiteY32" fmla="*/ 4356938 h 4979358"/>
                              <a:gd name="connsiteX33" fmla="*/ 0 w 7716521"/>
                              <a:gd name="connsiteY33" fmla="*/ 3883899 h 4979358"/>
                              <a:gd name="connsiteX34" fmla="*/ 0 w 7716521"/>
                              <a:gd name="connsiteY34" fmla="*/ 3261479 h 4979358"/>
                              <a:gd name="connsiteX35" fmla="*/ 0 w 7716521"/>
                              <a:gd name="connsiteY35" fmla="*/ 2738647 h 4979358"/>
                              <a:gd name="connsiteX36" fmla="*/ 0 w 7716521"/>
                              <a:gd name="connsiteY36" fmla="*/ 2215814 h 4979358"/>
                              <a:gd name="connsiteX37" fmla="*/ 0 w 7716521"/>
                              <a:gd name="connsiteY37" fmla="*/ 1692982 h 4979358"/>
                              <a:gd name="connsiteX38" fmla="*/ 0 w 7716521"/>
                              <a:gd name="connsiteY38" fmla="*/ 1170149 h 4979358"/>
                              <a:gd name="connsiteX39" fmla="*/ 0 w 7716521"/>
                              <a:gd name="connsiteY39" fmla="*/ 597523 h 4979358"/>
                              <a:gd name="connsiteX40" fmla="*/ 0 w 7716521"/>
                              <a:gd name="connsiteY40" fmla="*/ 0 h 49793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7716521" h="4979358" fill="none" extrusionOk="0">
                                <a:moveTo>
                                  <a:pt x="0" y="0"/>
                                </a:moveTo>
                                <a:cubicBezTo>
                                  <a:pt x="338731" y="20055"/>
                                  <a:pt x="535962" y="17356"/>
                                  <a:pt x="720209" y="0"/>
                                </a:cubicBezTo>
                                <a:cubicBezTo>
                                  <a:pt x="904456" y="-17356"/>
                                  <a:pt x="961305" y="-19480"/>
                                  <a:pt x="1131756" y="0"/>
                                </a:cubicBezTo>
                                <a:cubicBezTo>
                                  <a:pt x="1302207" y="19480"/>
                                  <a:pt x="1662583" y="6598"/>
                                  <a:pt x="1929130" y="0"/>
                                </a:cubicBezTo>
                                <a:cubicBezTo>
                                  <a:pt x="2195677" y="-6598"/>
                                  <a:pt x="2286827" y="21674"/>
                                  <a:pt x="2572174" y="0"/>
                                </a:cubicBezTo>
                                <a:cubicBezTo>
                                  <a:pt x="2857521" y="-21674"/>
                                  <a:pt x="2807175" y="15846"/>
                                  <a:pt x="2983721" y="0"/>
                                </a:cubicBezTo>
                                <a:cubicBezTo>
                                  <a:pt x="3160267" y="-15846"/>
                                  <a:pt x="3334737" y="-3810"/>
                                  <a:pt x="3626765" y="0"/>
                                </a:cubicBezTo>
                                <a:cubicBezTo>
                                  <a:pt x="3918793" y="3810"/>
                                  <a:pt x="4086617" y="24402"/>
                                  <a:pt x="4424139" y="0"/>
                                </a:cubicBezTo>
                                <a:cubicBezTo>
                                  <a:pt x="4761661" y="-24402"/>
                                  <a:pt x="4761474" y="-5680"/>
                                  <a:pt x="4990017" y="0"/>
                                </a:cubicBezTo>
                                <a:cubicBezTo>
                                  <a:pt x="5218560" y="5680"/>
                                  <a:pt x="5370541" y="-18555"/>
                                  <a:pt x="5555895" y="0"/>
                                </a:cubicBezTo>
                                <a:cubicBezTo>
                                  <a:pt x="5741249" y="18555"/>
                                  <a:pt x="5999662" y="-14499"/>
                                  <a:pt x="6198939" y="0"/>
                                </a:cubicBezTo>
                                <a:cubicBezTo>
                                  <a:pt x="6398216" y="14499"/>
                                  <a:pt x="6712973" y="26203"/>
                                  <a:pt x="6919147" y="0"/>
                                </a:cubicBezTo>
                                <a:cubicBezTo>
                                  <a:pt x="7125321" y="-26203"/>
                                  <a:pt x="7518377" y="-37163"/>
                                  <a:pt x="7716521" y="0"/>
                                </a:cubicBezTo>
                                <a:cubicBezTo>
                                  <a:pt x="7709463" y="145947"/>
                                  <a:pt x="7711461" y="410938"/>
                                  <a:pt x="7716521" y="672213"/>
                                </a:cubicBezTo>
                                <a:cubicBezTo>
                                  <a:pt x="7721581" y="933488"/>
                                  <a:pt x="7735527" y="1062991"/>
                                  <a:pt x="7716521" y="1244840"/>
                                </a:cubicBezTo>
                                <a:cubicBezTo>
                                  <a:pt x="7697515" y="1426689"/>
                                  <a:pt x="7695350" y="1653795"/>
                                  <a:pt x="7716521" y="1767672"/>
                                </a:cubicBezTo>
                                <a:cubicBezTo>
                                  <a:pt x="7737692" y="1881549"/>
                                  <a:pt x="7743029" y="2142829"/>
                                  <a:pt x="7716521" y="2390092"/>
                                </a:cubicBezTo>
                                <a:cubicBezTo>
                                  <a:pt x="7690013" y="2637355"/>
                                  <a:pt x="7737222" y="2824945"/>
                                  <a:pt x="7716521" y="3062305"/>
                                </a:cubicBezTo>
                                <a:cubicBezTo>
                                  <a:pt x="7695820" y="3299665"/>
                                  <a:pt x="7731196" y="3499389"/>
                                  <a:pt x="7716521" y="3784312"/>
                                </a:cubicBezTo>
                                <a:cubicBezTo>
                                  <a:pt x="7701846" y="4069235"/>
                                  <a:pt x="7665165" y="4637750"/>
                                  <a:pt x="7716521" y="4979358"/>
                                </a:cubicBezTo>
                                <a:cubicBezTo>
                                  <a:pt x="7452677" y="4943047"/>
                                  <a:pt x="7093405" y="4945010"/>
                                  <a:pt x="6919147" y="4979358"/>
                                </a:cubicBezTo>
                                <a:cubicBezTo>
                                  <a:pt x="6744889" y="5013706"/>
                                  <a:pt x="6633433" y="4985700"/>
                                  <a:pt x="6353269" y="4979358"/>
                                </a:cubicBezTo>
                                <a:cubicBezTo>
                                  <a:pt x="6073105" y="4973016"/>
                                  <a:pt x="5911199" y="4993749"/>
                                  <a:pt x="5787391" y="4979358"/>
                                </a:cubicBezTo>
                                <a:cubicBezTo>
                                  <a:pt x="5663583" y="4964967"/>
                                  <a:pt x="5460612" y="4980508"/>
                                  <a:pt x="5221513" y="4979358"/>
                                </a:cubicBezTo>
                                <a:cubicBezTo>
                                  <a:pt x="4982414" y="4978208"/>
                                  <a:pt x="4797805" y="4994075"/>
                                  <a:pt x="4501304" y="4979358"/>
                                </a:cubicBezTo>
                                <a:cubicBezTo>
                                  <a:pt x="4204803" y="4964641"/>
                                  <a:pt x="4029221" y="4984243"/>
                                  <a:pt x="3858261" y="4979358"/>
                                </a:cubicBezTo>
                                <a:cubicBezTo>
                                  <a:pt x="3687301" y="4974473"/>
                                  <a:pt x="3634541" y="4973297"/>
                                  <a:pt x="3446713" y="4979358"/>
                                </a:cubicBezTo>
                                <a:cubicBezTo>
                                  <a:pt x="3258885" y="4985419"/>
                                  <a:pt x="3039716" y="5005037"/>
                                  <a:pt x="2880835" y="4979358"/>
                                </a:cubicBezTo>
                                <a:cubicBezTo>
                                  <a:pt x="2721954" y="4953679"/>
                                  <a:pt x="2408557" y="4971529"/>
                                  <a:pt x="2160626" y="4979358"/>
                                </a:cubicBezTo>
                                <a:cubicBezTo>
                                  <a:pt x="1912695" y="4987187"/>
                                  <a:pt x="1890471" y="5001560"/>
                                  <a:pt x="1671913" y="4979358"/>
                                </a:cubicBezTo>
                                <a:cubicBezTo>
                                  <a:pt x="1453355" y="4957156"/>
                                  <a:pt x="1096423" y="4992471"/>
                                  <a:pt x="874539" y="4979358"/>
                                </a:cubicBezTo>
                                <a:cubicBezTo>
                                  <a:pt x="652655" y="4966245"/>
                                  <a:pt x="389569" y="4976838"/>
                                  <a:pt x="0" y="4979358"/>
                                </a:cubicBezTo>
                                <a:cubicBezTo>
                                  <a:pt x="-23878" y="4698089"/>
                                  <a:pt x="-9520" y="4582331"/>
                                  <a:pt x="0" y="4356938"/>
                                </a:cubicBezTo>
                                <a:cubicBezTo>
                                  <a:pt x="9520" y="4131545"/>
                                  <a:pt x="8563" y="4059026"/>
                                  <a:pt x="0" y="3883899"/>
                                </a:cubicBezTo>
                                <a:cubicBezTo>
                                  <a:pt x="-8563" y="3708772"/>
                                  <a:pt x="-23083" y="3479843"/>
                                  <a:pt x="0" y="3261479"/>
                                </a:cubicBezTo>
                                <a:cubicBezTo>
                                  <a:pt x="23083" y="3043115"/>
                                  <a:pt x="2206" y="2918614"/>
                                  <a:pt x="0" y="2738647"/>
                                </a:cubicBezTo>
                                <a:cubicBezTo>
                                  <a:pt x="-2206" y="2558680"/>
                                  <a:pt x="-5835" y="2364644"/>
                                  <a:pt x="0" y="2215814"/>
                                </a:cubicBezTo>
                                <a:cubicBezTo>
                                  <a:pt x="5835" y="2066984"/>
                                  <a:pt x="-23333" y="1867750"/>
                                  <a:pt x="0" y="1692982"/>
                                </a:cubicBezTo>
                                <a:cubicBezTo>
                                  <a:pt x="23333" y="1518214"/>
                                  <a:pt x="-337" y="1329338"/>
                                  <a:pt x="0" y="1170149"/>
                                </a:cubicBezTo>
                                <a:cubicBezTo>
                                  <a:pt x="337" y="1010960"/>
                                  <a:pt x="-8400" y="794058"/>
                                  <a:pt x="0" y="597523"/>
                                </a:cubicBezTo>
                                <a:cubicBezTo>
                                  <a:pt x="8400" y="400988"/>
                                  <a:pt x="9803" y="220169"/>
                                  <a:pt x="0" y="0"/>
                                </a:cubicBezTo>
                                <a:close/>
                              </a:path>
                              <a:path w="7716521" h="497935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699970" y="226107"/>
                                  <a:pt x="7722155" y="394395"/>
                                  <a:pt x="7716521" y="572626"/>
                                </a:cubicBezTo>
                                <a:cubicBezTo>
                                  <a:pt x="7710887" y="750857"/>
                                  <a:pt x="7698531" y="901808"/>
                                  <a:pt x="7716521" y="1045665"/>
                                </a:cubicBezTo>
                                <a:cubicBezTo>
                                  <a:pt x="7734511" y="1189522"/>
                                  <a:pt x="7733857" y="1410964"/>
                                  <a:pt x="7716521" y="1668085"/>
                                </a:cubicBezTo>
                                <a:cubicBezTo>
                                  <a:pt x="7699185" y="1925206"/>
                                  <a:pt x="7693721" y="2162808"/>
                                  <a:pt x="7716521" y="2290505"/>
                                </a:cubicBezTo>
                                <a:cubicBezTo>
                                  <a:pt x="7739321" y="2418202"/>
                                  <a:pt x="7687166" y="2643421"/>
                                  <a:pt x="7716521" y="2912924"/>
                                </a:cubicBezTo>
                                <a:cubicBezTo>
                                  <a:pt x="7745876" y="3182427"/>
                                  <a:pt x="7744303" y="3342161"/>
                                  <a:pt x="7716521" y="3585138"/>
                                </a:cubicBezTo>
                                <a:cubicBezTo>
                                  <a:pt x="7688739" y="3828115"/>
                                  <a:pt x="7744034" y="3949446"/>
                                  <a:pt x="7716521" y="4257351"/>
                                </a:cubicBezTo>
                                <a:cubicBezTo>
                                  <a:pt x="7689008" y="4565256"/>
                                  <a:pt x="7719415" y="4654300"/>
                                  <a:pt x="7716521" y="4979358"/>
                                </a:cubicBezTo>
                                <a:cubicBezTo>
                                  <a:pt x="7623691" y="4966936"/>
                                  <a:pt x="7431576" y="4980255"/>
                                  <a:pt x="7304973" y="4979358"/>
                                </a:cubicBezTo>
                                <a:cubicBezTo>
                                  <a:pt x="7178370" y="4978461"/>
                                  <a:pt x="6752352" y="4977011"/>
                                  <a:pt x="6507599" y="4979358"/>
                                </a:cubicBezTo>
                                <a:cubicBezTo>
                                  <a:pt x="6262846" y="4981705"/>
                                  <a:pt x="6155077" y="5003065"/>
                                  <a:pt x="5864556" y="4979358"/>
                                </a:cubicBezTo>
                                <a:cubicBezTo>
                                  <a:pt x="5574035" y="4955651"/>
                                  <a:pt x="5475187" y="4961281"/>
                                  <a:pt x="5375843" y="4979358"/>
                                </a:cubicBezTo>
                                <a:cubicBezTo>
                                  <a:pt x="5276499" y="4997435"/>
                                  <a:pt x="5025302" y="4952986"/>
                                  <a:pt x="4732800" y="4979358"/>
                                </a:cubicBezTo>
                                <a:cubicBezTo>
                                  <a:pt x="4440298" y="5005730"/>
                                  <a:pt x="4472879" y="4985898"/>
                                  <a:pt x="4321252" y="4979358"/>
                                </a:cubicBezTo>
                                <a:cubicBezTo>
                                  <a:pt x="4169625" y="4972818"/>
                                  <a:pt x="4026679" y="4986936"/>
                                  <a:pt x="3909704" y="4979358"/>
                                </a:cubicBezTo>
                                <a:cubicBezTo>
                                  <a:pt x="3792729" y="4971780"/>
                                  <a:pt x="3579428" y="5008471"/>
                                  <a:pt x="3266661" y="4979358"/>
                                </a:cubicBezTo>
                                <a:cubicBezTo>
                                  <a:pt x="2953894" y="4950245"/>
                                  <a:pt x="2880267" y="4981362"/>
                                  <a:pt x="2777948" y="4979358"/>
                                </a:cubicBezTo>
                                <a:cubicBezTo>
                                  <a:pt x="2675629" y="4977354"/>
                                  <a:pt x="2389532" y="5009793"/>
                                  <a:pt x="2057739" y="4979358"/>
                                </a:cubicBezTo>
                                <a:cubicBezTo>
                                  <a:pt x="1725946" y="4948923"/>
                                  <a:pt x="1798580" y="4980837"/>
                                  <a:pt x="1569026" y="4979358"/>
                                </a:cubicBezTo>
                                <a:cubicBezTo>
                                  <a:pt x="1339472" y="4977879"/>
                                  <a:pt x="1156355" y="4967128"/>
                                  <a:pt x="848817" y="4979358"/>
                                </a:cubicBezTo>
                                <a:cubicBezTo>
                                  <a:pt x="541279" y="4991588"/>
                                  <a:pt x="291727" y="4948485"/>
                                  <a:pt x="0" y="4979358"/>
                                </a:cubicBezTo>
                                <a:cubicBezTo>
                                  <a:pt x="9738" y="4772212"/>
                                  <a:pt x="15320" y="4495678"/>
                                  <a:pt x="0" y="4307145"/>
                                </a:cubicBezTo>
                                <a:cubicBezTo>
                                  <a:pt x="-15320" y="4118612"/>
                                  <a:pt x="-16188" y="3772042"/>
                                  <a:pt x="0" y="3634931"/>
                                </a:cubicBezTo>
                                <a:cubicBezTo>
                                  <a:pt x="16188" y="3497820"/>
                                  <a:pt x="16949" y="3086098"/>
                                  <a:pt x="0" y="2912924"/>
                                </a:cubicBezTo>
                                <a:cubicBezTo>
                                  <a:pt x="-16949" y="2739750"/>
                                  <a:pt x="-10955" y="2542567"/>
                                  <a:pt x="0" y="2340298"/>
                                </a:cubicBezTo>
                                <a:cubicBezTo>
                                  <a:pt x="10955" y="2138029"/>
                                  <a:pt x="-8989" y="1969909"/>
                                  <a:pt x="0" y="1618291"/>
                                </a:cubicBezTo>
                                <a:cubicBezTo>
                                  <a:pt x="8989" y="1266673"/>
                                  <a:pt x="-1746" y="1228408"/>
                                  <a:pt x="0" y="1095459"/>
                                </a:cubicBezTo>
                                <a:cubicBezTo>
                                  <a:pt x="1746" y="962510"/>
                                  <a:pt x="-4812" y="771296"/>
                                  <a:pt x="0" y="622420"/>
                                </a:cubicBezTo>
                                <a:cubicBezTo>
                                  <a:pt x="4812" y="473544"/>
                                  <a:pt x="16543" y="175526"/>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512369" name="Rectangle 5"/>
                        <wps:cNvSpPr/>
                        <wps:spPr>
                          <a:xfrm>
                            <a:off x="0" y="0"/>
                            <a:ext cx="7716520" cy="813538"/>
                          </a:xfrm>
                          <a:custGeom>
                            <a:avLst/>
                            <a:gdLst>
                              <a:gd name="connsiteX0" fmla="*/ 0 w 7716520"/>
                              <a:gd name="connsiteY0" fmla="*/ 0 h 813538"/>
                              <a:gd name="connsiteX1" fmla="*/ 797374 w 7716520"/>
                              <a:gd name="connsiteY1" fmla="*/ 0 h 813538"/>
                              <a:gd name="connsiteX2" fmla="*/ 1594747 w 7716520"/>
                              <a:gd name="connsiteY2" fmla="*/ 0 h 813538"/>
                              <a:gd name="connsiteX3" fmla="*/ 2237791 w 7716520"/>
                              <a:gd name="connsiteY3" fmla="*/ 0 h 813538"/>
                              <a:gd name="connsiteX4" fmla="*/ 2957999 w 7716520"/>
                              <a:gd name="connsiteY4" fmla="*/ 0 h 813538"/>
                              <a:gd name="connsiteX5" fmla="*/ 3523877 w 7716520"/>
                              <a:gd name="connsiteY5" fmla="*/ 0 h 813538"/>
                              <a:gd name="connsiteX6" fmla="*/ 4166921 w 7716520"/>
                              <a:gd name="connsiteY6" fmla="*/ 0 h 813538"/>
                              <a:gd name="connsiteX7" fmla="*/ 4964295 w 7716520"/>
                              <a:gd name="connsiteY7" fmla="*/ 0 h 813538"/>
                              <a:gd name="connsiteX8" fmla="*/ 5453007 w 7716520"/>
                              <a:gd name="connsiteY8" fmla="*/ 0 h 813538"/>
                              <a:gd name="connsiteX9" fmla="*/ 6173216 w 7716520"/>
                              <a:gd name="connsiteY9" fmla="*/ 0 h 813538"/>
                              <a:gd name="connsiteX10" fmla="*/ 6661929 w 7716520"/>
                              <a:gd name="connsiteY10" fmla="*/ 0 h 813538"/>
                              <a:gd name="connsiteX11" fmla="*/ 7716520 w 7716520"/>
                              <a:gd name="connsiteY11" fmla="*/ 0 h 813538"/>
                              <a:gd name="connsiteX12" fmla="*/ 7716520 w 7716520"/>
                              <a:gd name="connsiteY12" fmla="*/ 414904 h 813538"/>
                              <a:gd name="connsiteX13" fmla="*/ 7716520 w 7716520"/>
                              <a:gd name="connsiteY13" fmla="*/ 813538 h 813538"/>
                              <a:gd name="connsiteX14" fmla="*/ 6919146 w 7716520"/>
                              <a:gd name="connsiteY14" fmla="*/ 813538 h 813538"/>
                              <a:gd name="connsiteX15" fmla="*/ 6276103 w 7716520"/>
                              <a:gd name="connsiteY15" fmla="*/ 813538 h 813538"/>
                              <a:gd name="connsiteX16" fmla="*/ 5633060 w 7716520"/>
                              <a:gd name="connsiteY16" fmla="*/ 813538 h 813538"/>
                              <a:gd name="connsiteX17" fmla="*/ 4990016 w 7716520"/>
                              <a:gd name="connsiteY17" fmla="*/ 813538 h 813538"/>
                              <a:gd name="connsiteX18" fmla="*/ 4346973 w 7716520"/>
                              <a:gd name="connsiteY18" fmla="*/ 813538 h 813538"/>
                              <a:gd name="connsiteX19" fmla="*/ 3781095 w 7716520"/>
                              <a:gd name="connsiteY19" fmla="*/ 813538 h 813538"/>
                              <a:gd name="connsiteX20" fmla="*/ 3060886 w 7716520"/>
                              <a:gd name="connsiteY20" fmla="*/ 813538 h 813538"/>
                              <a:gd name="connsiteX21" fmla="*/ 2417843 w 7716520"/>
                              <a:gd name="connsiteY21" fmla="*/ 813538 h 813538"/>
                              <a:gd name="connsiteX22" fmla="*/ 1620469 w 7716520"/>
                              <a:gd name="connsiteY22" fmla="*/ 813538 h 813538"/>
                              <a:gd name="connsiteX23" fmla="*/ 823095 w 7716520"/>
                              <a:gd name="connsiteY23" fmla="*/ 813538 h 813538"/>
                              <a:gd name="connsiteX24" fmla="*/ 0 w 7716520"/>
                              <a:gd name="connsiteY24" fmla="*/ 813538 h 813538"/>
                              <a:gd name="connsiteX25" fmla="*/ 0 w 7716520"/>
                              <a:gd name="connsiteY25" fmla="*/ 398634 h 813538"/>
                              <a:gd name="connsiteX26" fmla="*/ 0 w 7716520"/>
                              <a:gd name="connsiteY26" fmla="*/ 0 h 8135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13538"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05017" y="164526"/>
                                  <a:pt x="7710019" y="231357"/>
                                  <a:pt x="7716520" y="414904"/>
                                </a:cubicBezTo>
                                <a:cubicBezTo>
                                  <a:pt x="7723021" y="598451"/>
                                  <a:pt x="7733557" y="624803"/>
                                  <a:pt x="7716520" y="813538"/>
                                </a:cubicBezTo>
                                <a:cubicBezTo>
                                  <a:pt x="7508045" y="792385"/>
                                  <a:pt x="7283950" y="835632"/>
                                  <a:pt x="6919146" y="813538"/>
                                </a:cubicBezTo>
                                <a:cubicBezTo>
                                  <a:pt x="6554342" y="791444"/>
                                  <a:pt x="6483499" y="837413"/>
                                  <a:pt x="6276103" y="813538"/>
                                </a:cubicBezTo>
                                <a:cubicBezTo>
                                  <a:pt x="6068707" y="789663"/>
                                  <a:pt x="5881943" y="805412"/>
                                  <a:pt x="5633060" y="813538"/>
                                </a:cubicBezTo>
                                <a:cubicBezTo>
                                  <a:pt x="5384177" y="821664"/>
                                  <a:pt x="5301279" y="823753"/>
                                  <a:pt x="4990016" y="813538"/>
                                </a:cubicBezTo>
                                <a:cubicBezTo>
                                  <a:pt x="4678753" y="803323"/>
                                  <a:pt x="4644713" y="806293"/>
                                  <a:pt x="4346973" y="813538"/>
                                </a:cubicBezTo>
                                <a:cubicBezTo>
                                  <a:pt x="4049233" y="820783"/>
                                  <a:pt x="4055228" y="795910"/>
                                  <a:pt x="3781095" y="813538"/>
                                </a:cubicBezTo>
                                <a:cubicBezTo>
                                  <a:pt x="3506962" y="831166"/>
                                  <a:pt x="3393564" y="845499"/>
                                  <a:pt x="3060886" y="813538"/>
                                </a:cubicBezTo>
                                <a:cubicBezTo>
                                  <a:pt x="2728208" y="781577"/>
                                  <a:pt x="2660656" y="843202"/>
                                  <a:pt x="2417843" y="813538"/>
                                </a:cubicBezTo>
                                <a:cubicBezTo>
                                  <a:pt x="2175030" y="783874"/>
                                  <a:pt x="1938090" y="818205"/>
                                  <a:pt x="1620469" y="813538"/>
                                </a:cubicBezTo>
                                <a:cubicBezTo>
                                  <a:pt x="1302848" y="808871"/>
                                  <a:pt x="1220111" y="779149"/>
                                  <a:pt x="823095" y="813538"/>
                                </a:cubicBezTo>
                                <a:cubicBezTo>
                                  <a:pt x="426079" y="847927"/>
                                  <a:pt x="306208" y="821431"/>
                                  <a:pt x="0" y="813538"/>
                                </a:cubicBezTo>
                                <a:cubicBezTo>
                                  <a:pt x="-14891" y="729475"/>
                                  <a:pt x="-7450" y="577555"/>
                                  <a:pt x="0" y="398634"/>
                                </a:cubicBezTo>
                                <a:cubicBezTo>
                                  <a:pt x="7450" y="219713"/>
                                  <a:pt x="-3274" y="164443"/>
                                  <a:pt x="0" y="0"/>
                                </a:cubicBezTo>
                                <a:close/>
                              </a:path>
                              <a:path w="7716520" h="81353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23974" y="152228"/>
                                  <a:pt x="7707590" y="227971"/>
                                  <a:pt x="7716520" y="398634"/>
                                </a:cubicBezTo>
                                <a:cubicBezTo>
                                  <a:pt x="7725450" y="569297"/>
                                  <a:pt x="7700558" y="649202"/>
                                  <a:pt x="7716520" y="813538"/>
                                </a:cubicBezTo>
                                <a:cubicBezTo>
                                  <a:pt x="7584340" y="845666"/>
                                  <a:pt x="7351923" y="829138"/>
                                  <a:pt x="7073477" y="813538"/>
                                </a:cubicBezTo>
                                <a:cubicBezTo>
                                  <a:pt x="6795031" y="797938"/>
                                  <a:pt x="6789739" y="830508"/>
                                  <a:pt x="6584764" y="813538"/>
                                </a:cubicBezTo>
                                <a:cubicBezTo>
                                  <a:pt x="6379789" y="796568"/>
                                  <a:pt x="6180293" y="837004"/>
                                  <a:pt x="5941720" y="813538"/>
                                </a:cubicBezTo>
                                <a:cubicBezTo>
                                  <a:pt x="5703147" y="790072"/>
                                  <a:pt x="5421160" y="792266"/>
                                  <a:pt x="5144347" y="813538"/>
                                </a:cubicBezTo>
                                <a:cubicBezTo>
                                  <a:pt x="4867534" y="834810"/>
                                  <a:pt x="4751766" y="825919"/>
                                  <a:pt x="4501303" y="813538"/>
                                </a:cubicBezTo>
                                <a:cubicBezTo>
                                  <a:pt x="4250840" y="801157"/>
                                  <a:pt x="4237304" y="800267"/>
                                  <a:pt x="4089756" y="813538"/>
                                </a:cubicBezTo>
                                <a:cubicBezTo>
                                  <a:pt x="3942208" y="826809"/>
                                  <a:pt x="3702969" y="813570"/>
                                  <a:pt x="3601043" y="813538"/>
                                </a:cubicBezTo>
                                <a:cubicBezTo>
                                  <a:pt x="3499117" y="813506"/>
                                  <a:pt x="3048422" y="811191"/>
                                  <a:pt x="2803669" y="813538"/>
                                </a:cubicBezTo>
                                <a:cubicBezTo>
                                  <a:pt x="2558916" y="815885"/>
                                  <a:pt x="2451147" y="837245"/>
                                  <a:pt x="2160626" y="813538"/>
                                </a:cubicBezTo>
                                <a:cubicBezTo>
                                  <a:pt x="1870105" y="789831"/>
                                  <a:pt x="1771257" y="795461"/>
                                  <a:pt x="1671913" y="813538"/>
                                </a:cubicBezTo>
                                <a:cubicBezTo>
                                  <a:pt x="1572569" y="831615"/>
                                  <a:pt x="1322588" y="788824"/>
                                  <a:pt x="1028869" y="813538"/>
                                </a:cubicBezTo>
                                <a:cubicBezTo>
                                  <a:pt x="735150" y="838252"/>
                                  <a:pt x="762570" y="811556"/>
                                  <a:pt x="617322" y="813538"/>
                                </a:cubicBezTo>
                                <a:cubicBezTo>
                                  <a:pt x="472074" y="815520"/>
                                  <a:pt x="276811" y="831405"/>
                                  <a:pt x="0" y="813538"/>
                                </a:cubicBezTo>
                                <a:cubicBezTo>
                                  <a:pt x="-2456" y="681600"/>
                                  <a:pt x="-10890" y="606769"/>
                                  <a:pt x="0" y="406769"/>
                                </a:cubicBezTo>
                                <a:cubicBezTo>
                                  <a:pt x="10890" y="206769"/>
                                  <a:pt x="-17406" y="197326"/>
                                  <a:pt x="0" y="0"/>
                                </a:cubicBezTo>
                                <a:close/>
                              </a:path>
                            </a:pathLst>
                          </a:custGeom>
                          <a:solidFill>
                            <a:srgbClr val="E5E97A"/>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2558222" name="Rectangle 5"/>
                        <wps:cNvSpPr/>
                        <wps:spPr>
                          <a:xfrm>
                            <a:off x="0" y="408052"/>
                            <a:ext cx="7716521" cy="765788"/>
                          </a:xfrm>
                          <a:custGeom>
                            <a:avLst/>
                            <a:gdLst>
                              <a:gd name="connsiteX0" fmla="*/ 0 w 7716521"/>
                              <a:gd name="connsiteY0" fmla="*/ 0 h 765788"/>
                              <a:gd name="connsiteX1" fmla="*/ 797374 w 7716521"/>
                              <a:gd name="connsiteY1" fmla="*/ 0 h 765788"/>
                              <a:gd name="connsiteX2" fmla="*/ 1594748 w 7716521"/>
                              <a:gd name="connsiteY2" fmla="*/ 0 h 765788"/>
                              <a:gd name="connsiteX3" fmla="*/ 2237791 w 7716521"/>
                              <a:gd name="connsiteY3" fmla="*/ 0 h 765788"/>
                              <a:gd name="connsiteX4" fmla="*/ 2958000 w 7716521"/>
                              <a:gd name="connsiteY4" fmla="*/ 0 h 765788"/>
                              <a:gd name="connsiteX5" fmla="*/ 3523878 w 7716521"/>
                              <a:gd name="connsiteY5" fmla="*/ 0 h 765788"/>
                              <a:gd name="connsiteX6" fmla="*/ 4166921 w 7716521"/>
                              <a:gd name="connsiteY6" fmla="*/ 0 h 765788"/>
                              <a:gd name="connsiteX7" fmla="*/ 4964295 w 7716521"/>
                              <a:gd name="connsiteY7" fmla="*/ 0 h 765788"/>
                              <a:gd name="connsiteX8" fmla="*/ 5453008 w 7716521"/>
                              <a:gd name="connsiteY8" fmla="*/ 0 h 765788"/>
                              <a:gd name="connsiteX9" fmla="*/ 6173217 w 7716521"/>
                              <a:gd name="connsiteY9" fmla="*/ 0 h 765788"/>
                              <a:gd name="connsiteX10" fmla="*/ 6661930 w 7716521"/>
                              <a:gd name="connsiteY10" fmla="*/ 0 h 765788"/>
                              <a:gd name="connsiteX11" fmla="*/ 7716521 w 7716521"/>
                              <a:gd name="connsiteY11" fmla="*/ 0 h 765788"/>
                              <a:gd name="connsiteX12" fmla="*/ 7716521 w 7716521"/>
                              <a:gd name="connsiteY12" fmla="*/ 390552 h 765788"/>
                              <a:gd name="connsiteX13" fmla="*/ 7716521 w 7716521"/>
                              <a:gd name="connsiteY13" fmla="*/ 765788 h 765788"/>
                              <a:gd name="connsiteX14" fmla="*/ 6919147 w 7716521"/>
                              <a:gd name="connsiteY14" fmla="*/ 765788 h 765788"/>
                              <a:gd name="connsiteX15" fmla="*/ 6276104 w 7716521"/>
                              <a:gd name="connsiteY15" fmla="*/ 765788 h 765788"/>
                              <a:gd name="connsiteX16" fmla="*/ 5633060 w 7716521"/>
                              <a:gd name="connsiteY16" fmla="*/ 765788 h 765788"/>
                              <a:gd name="connsiteX17" fmla="*/ 4990017 w 7716521"/>
                              <a:gd name="connsiteY17" fmla="*/ 765788 h 765788"/>
                              <a:gd name="connsiteX18" fmla="*/ 4346973 w 7716521"/>
                              <a:gd name="connsiteY18" fmla="*/ 765788 h 765788"/>
                              <a:gd name="connsiteX19" fmla="*/ 3781095 w 7716521"/>
                              <a:gd name="connsiteY19" fmla="*/ 765788 h 765788"/>
                              <a:gd name="connsiteX20" fmla="*/ 3060887 w 7716521"/>
                              <a:gd name="connsiteY20" fmla="*/ 765788 h 765788"/>
                              <a:gd name="connsiteX21" fmla="*/ 2417843 w 7716521"/>
                              <a:gd name="connsiteY21" fmla="*/ 765788 h 765788"/>
                              <a:gd name="connsiteX22" fmla="*/ 1620469 w 7716521"/>
                              <a:gd name="connsiteY22" fmla="*/ 765788 h 765788"/>
                              <a:gd name="connsiteX23" fmla="*/ 823096 w 7716521"/>
                              <a:gd name="connsiteY23" fmla="*/ 765788 h 765788"/>
                              <a:gd name="connsiteX24" fmla="*/ 0 w 7716521"/>
                              <a:gd name="connsiteY24" fmla="*/ 765788 h 765788"/>
                              <a:gd name="connsiteX25" fmla="*/ 0 w 7716521"/>
                              <a:gd name="connsiteY25" fmla="*/ 375236 h 765788"/>
                              <a:gd name="connsiteX26" fmla="*/ 0 w 7716521"/>
                              <a:gd name="connsiteY26" fmla="*/ 0 h 765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1" h="765788" fill="none" extrusionOk="0">
                                <a:moveTo>
                                  <a:pt x="0" y="0"/>
                                </a:moveTo>
                                <a:cubicBezTo>
                                  <a:pt x="257018" y="-23538"/>
                                  <a:pt x="559675" y="-12498"/>
                                  <a:pt x="797374" y="0"/>
                                </a:cubicBezTo>
                                <a:cubicBezTo>
                                  <a:pt x="1035073" y="12498"/>
                                  <a:pt x="1281149" y="-25614"/>
                                  <a:pt x="1594748" y="0"/>
                                </a:cubicBezTo>
                                <a:cubicBezTo>
                                  <a:pt x="1908347" y="25614"/>
                                  <a:pt x="2057731" y="-22393"/>
                                  <a:pt x="2237791" y="0"/>
                                </a:cubicBezTo>
                                <a:cubicBezTo>
                                  <a:pt x="2417851" y="22393"/>
                                  <a:pt x="2809894" y="-27983"/>
                                  <a:pt x="2958000" y="0"/>
                                </a:cubicBezTo>
                                <a:cubicBezTo>
                                  <a:pt x="3106106" y="27983"/>
                                  <a:pt x="3262329" y="15278"/>
                                  <a:pt x="3523878" y="0"/>
                                </a:cubicBezTo>
                                <a:cubicBezTo>
                                  <a:pt x="3785427" y="-15278"/>
                                  <a:pt x="4031795" y="-8489"/>
                                  <a:pt x="4166921" y="0"/>
                                </a:cubicBezTo>
                                <a:cubicBezTo>
                                  <a:pt x="4302047" y="8489"/>
                                  <a:pt x="4629506" y="-31675"/>
                                  <a:pt x="4964295" y="0"/>
                                </a:cubicBezTo>
                                <a:cubicBezTo>
                                  <a:pt x="5299084" y="31675"/>
                                  <a:pt x="5257534" y="-13002"/>
                                  <a:pt x="5453008" y="0"/>
                                </a:cubicBezTo>
                                <a:cubicBezTo>
                                  <a:pt x="5648482" y="13002"/>
                                  <a:pt x="5900493" y="5340"/>
                                  <a:pt x="6173217" y="0"/>
                                </a:cubicBezTo>
                                <a:cubicBezTo>
                                  <a:pt x="6445941" y="-5340"/>
                                  <a:pt x="6484712" y="2287"/>
                                  <a:pt x="6661930" y="0"/>
                                </a:cubicBezTo>
                                <a:cubicBezTo>
                                  <a:pt x="6839148" y="-2287"/>
                                  <a:pt x="7226431" y="-13534"/>
                                  <a:pt x="7716521" y="0"/>
                                </a:cubicBezTo>
                                <a:cubicBezTo>
                                  <a:pt x="7709370" y="119338"/>
                                  <a:pt x="7733404" y="263325"/>
                                  <a:pt x="7716521" y="390552"/>
                                </a:cubicBezTo>
                                <a:cubicBezTo>
                                  <a:pt x="7699638" y="517779"/>
                                  <a:pt x="7700465" y="618347"/>
                                  <a:pt x="7716521" y="765788"/>
                                </a:cubicBezTo>
                                <a:cubicBezTo>
                                  <a:pt x="7508046" y="744635"/>
                                  <a:pt x="7283951" y="787882"/>
                                  <a:pt x="6919147" y="765788"/>
                                </a:cubicBezTo>
                                <a:cubicBezTo>
                                  <a:pt x="6554343" y="743694"/>
                                  <a:pt x="6483500" y="789663"/>
                                  <a:pt x="6276104" y="765788"/>
                                </a:cubicBezTo>
                                <a:cubicBezTo>
                                  <a:pt x="6068708" y="741913"/>
                                  <a:pt x="5885617" y="758942"/>
                                  <a:pt x="5633060" y="765788"/>
                                </a:cubicBezTo>
                                <a:cubicBezTo>
                                  <a:pt x="5380503" y="772634"/>
                                  <a:pt x="5295854" y="771160"/>
                                  <a:pt x="4990017" y="765788"/>
                                </a:cubicBezTo>
                                <a:cubicBezTo>
                                  <a:pt x="4684180" y="760416"/>
                                  <a:pt x="4650940" y="764525"/>
                                  <a:pt x="4346973" y="765788"/>
                                </a:cubicBezTo>
                                <a:cubicBezTo>
                                  <a:pt x="4043006" y="767051"/>
                                  <a:pt x="4055228" y="748160"/>
                                  <a:pt x="3781095" y="765788"/>
                                </a:cubicBezTo>
                                <a:cubicBezTo>
                                  <a:pt x="3506962" y="783416"/>
                                  <a:pt x="3387653" y="794516"/>
                                  <a:pt x="3060887" y="765788"/>
                                </a:cubicBezTo>
                                <a:cubicBezTo>
                                  <a:pt x="2734121" y="737060"/>
                                  <a:pt x="2662049" y="735247"/>
                                  <a:pt x="2417843" y="765788"/>
                                </a:cubicBezTo>
                                <a:cubicBezTo>
                                  <a:pt x="2173637" y="796329"/>
                                  <a:pt x="1938090" y="770455"/>
                                  <a:pt x="1620469" y="765788"/>
                                </a:cubicBezTo>
                                <a:cubicBezTo>
                                  <a:pt x="1302848" y="761121"/>
                                  <a:pt x="1219801" y="726320"/>
                                  <a:pt x="823096" y="765788"/>
                                </a:cubicBezTo>
                                <a:cubicBezTo>
                                  <a:pt x="426391" y="805256"/>
                                  <a:pt x="309084" y="775645"/>
                                  <a:pt x="0" y="765788"/>
                                </a:cubicBezTo>
                                <a:cubicBezTo>
                                  <a:pt x="-11720" y="594255"/>
                                  <a:pt x="7065" y="489476"/>
                                  <a:pt x="0" y="375236"/>
                                </a:cubicBezTo>
                                <a:cubicBezTo>
                                  <a:pt x="-7065" y="260996"/>
                                  <a:pt x="-5554" y="90307"/>
                                  <a:pt x="0" y="0"/>
                                </a:cubicBezTo>
                                <a:close/>
                              </a:path>
                              <a:path w="7716521" h="76578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33848" y="103427"/>
                                  <a:pt x="7733474" y="255630"/>
                                  <a:pt x="7716521" y="375236"/>
                                </a:cubicBezTo>
                                <a:cubicBezTo>
                                  <a:pt x="7699568" y="494842"/>
                                  <a:pt x="7731906" y="629748"/>
                                  <a:pt x="7716521" y="765788"/>
                                </a:cubicBezTo>
                                <a:cubicBezTo>
                                  <a:pt x="7584341" y="797916"/>
                                  <a:pt x="7351924" y="781388"/>
                                  <a:pt x="7073478" y="765788"/>
                                </a:cubicBezTo>
                                <a:cubicBezTo>
                                  <a:pt x="6795032" y="750188"/>
                                  <a:pt x="6789740" y="782758"/>
                                  <a:pt x="6584765" y="765788"/>
                                </a:cubicBezTo>
                                <a:cubicBezTo>
                                  <a:pt x="6379790" y="748818"/>
                                  <a:pt x="6180294" y="789254"/>
                                  <a:pt x="5941721" y="765788"/>
                                </a:cubicBezTo>
                                <a:cubicBezTo>
                                  <a:pt x="5703148" y="742322"/>
                                  <a:pt x="5422638" y="746226"/>
                                  <a:pt x="5144347" y="765788"/>
                                </a:cubicBezTo>
                                <a:cubicBezTo>
                                  <a:pt x="4866056" y="785350"/>
                                  <a:pt x="4747673" y="776471"/>
                                  <a:pt x="4501304" y="765788"/>
                                </a:cubicBezTo>
                                <a:cubicBezTo>
                                  <a:pt x="4254935" y="755105"/>
                                  <a:pt x="4240082" y="757900"/>
                                  <a:pt x="4089756" y="765788"/>
                                </a:cubicBezTo>
                                <a:cubicBezTo>
                                  <a:pt x="3939430" y="773676"/>
                                  <a:pt x="3702969" y="765820"/>
                                  <a:pt x="3601043" y="765788"/>
                                </a:cubicBezTo>
                                <a:cubicBezTo>
                                  <a:pt x="3499117" y="765756"/>
                                  <a:pt x="3048422" y="763441"/>
                                  <a:pt x="2803669" y="765788"/>
                                </a:cubicBezTo>
                                <a:cubicBezTo>
                                  <a:pt x="2558916" y="768135"/>
                                  <a:pt x="2451147" y="789495"/>
                                  <a:pt x="2160626" y="765788"/>
                                </a:cubicBezTo>
                                <a:cubicBezTo>
                                  <a:pt x="1870105" y="742081"/>
                                  <a:pt x="1771257" y="747711"/>
                                  <a:pt x="1671913" y="765788"/>
                                </a:cubicBezTo>
                                <a:cubicBezTo>
                                  <a:pt x="1572569" y="783865"/>
                                  <a:pt x="1322588" y="741074"/>
                                  <a:pt x="1028869" y="765788"/>
                                </a:cubicBezTo>
                                <a:cubicBezTo>
                                  <a:pt x="735150" y="790502"/>
                                  <a:pt x="762570" y="763806"/>
                                  <a:pt x="617322" y="765788"/>
                                </a:cubicBezTo>
                                <a:cubicBezTo>
                                  <a:pt x="472074" y="767770"/>
                                  <a:pt x="276811" y="783655"/>
                                  <a:pt x="0" y="765788"/>
                                </a:cubicBezTo>
                                <a:cubicBezTo>
                                  <a:pt x="-11523" y="682641"/>
                                  <a:pt x="16050" y="519261"/>
                                  <a:pt x="0" y="382894"/>
                                </a:cubicBezTo>
                                <a:cubicBezTo>
                                  <a:pt x="-16050" y="246527"/>
                                  <a:pt x="16655" y="116747"/>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504811" name="Rectangle 5"/>
                        <wps:cNvSpPr/>
                        <wps:spPr>
                          <a:xfrm>
                            <a:off x="10630" y="1872395"/>
                            <a:ext cx="7716521" cy="971650"/>
                          </a:xfrm>
                          <a:custGeom>
                            <a:avLst/>
                            <a:gdLst>
                              <a:gd name="connsiteX0" fmla="*/ 0 w 7716521"/>
                              <a:gd name="connsiteY0" fmla="*/ 0 h 971650"/>
                              <a:gd name="connsiteX1" fmla="*/ 797374 w 7716521"/>
                              <a:gd name="connsiteY1" fmla="*/ 0 h 971650"/>
                              <a:gd name="connsiteX2" fmla="*/ 1594748 w 7716521"/>
                              <a:gd name="connsiteY2" fmla="*/ 0 h 971650"/>
                              <a:gd name="connsiteX3" fmla="*/ 2237791 w 7716521"/>
                              <a:gd name="connsiteY3" fmla="*/ 0 h 971650"/>
                              <a:gd name="connsiteX4" fmla="*/ 2958000 w 7716521"/>
                              <a:gd name="connsiteY4" fmla="*/ 0 h 971650"/>
                              <a:gd name="connsiteX5" fmla="*/ 3523878 w 7716521"/>
                              <a:gd name="connsiteY5" fmla="*/ 0 h 971650"/>
                              <a:gd name="connsiteX6" fmla="*/ 4166921 w 7716521"/>
                              <a:gd name="connsiteY6" fmla="*/ 0 h 971650"/>
                              <a:gd name="connsiteX7" fmla="*/ 4964295 w 7716521"/>
                              <a:gd name="connsiteY7" fmla="*/ 0 h 971650"/>
                              <a:gd name="connsiteX8" fmla="*/ 5453008 w 7716521"/>
                              <a:gd name="connsiteY8" fmla="*/ 0 h 971650"/>
                              <a:gd name="connsiteX9" fmla="*/ 6173217 w 7716521"/>
                              <a:gd name="connsiteY9" fmla="*/ 0 h 971650"/>
                              <a:gd name="connsiteX10" fmla="*/ 6661930 w 7716521"/>
                              <a:gd name="connsiteY10" fmla="*/ 0 h 971650"/>
                              <a:gd name="connsiteX11" fmla="*/ 7716521 w 7716521"/>
                              <a:gd name="connsiteY11" fmla="*/ 0 h 971650"/>
                              <a:gd name="connsiteX12" fmla="*/ 7716521 w 7716521"/>
                              <a:gd name="connsiteY12" fmla="*/ 495542 h 971650"/>
                              <a:gd name="connsiteX13" fmla="*/ 7716521 w 7716521"/>
                              <a:gd name="connsiteY13" fmla="*/ 971650 h 971650"/>
                              <a:gd name="connsiteX14" fmla="*/ 6919147 w 7716521"/>
                              <a:gd name="connsiteY14" fmla="*/ 971650 h 971650"/>
                              <a:gd name="connsiteX15" fmla="*/ 6276104 w 7716521"/>
                              <a:gd name="connsiteY15" fmla="*/ 971650 h 971650"/>
                              <a:gd name="connsiteX16" fmla="*/ 5633060 w 7716521"/>
                              <a:gd name="connsiteY16" fmla="*/ 971650 h 971650"/>
                              <a:gd name="connsiteX17" fmla="*/ 4990017 w 7716521"/>
                              <a:gd name="connsiteY17" fmla="*/ 971650 h 971650"/>
                              <a:gd name="connsiteX18" fmla="*/ 4346973 w 7716521"/>
                              <a:gd name="connsiteY18" fmla="*/ 971650 h 971650"/>
                              <a:gd name="connsiteX19" fmla="*/ 3781095 w 7716521"/>
                              <a:gd name="connsiteY19" fmla="*/ 971650 h 971650"/>
                              <a:gd name="connsiteX20" fmla="*/ 3060887 w 7716521"/>
                              <a:gd name="connsiteY20" fmla="*/ 971650 h 971650"/>
                              <a:gd name="connsiteX21" fmla="*/ 2417843 w 7716521"/>
                              <a:gd name="connsiteY21" fmla="*/ 971650 h 971650"/>
                              <a:gd name="connsiteX22" fmla="*/ 1620469 w 7716521"/>
                              <a:gd name="connsiteY22" fmla="*/ 971650 h 971650"/>
                              <a:gd name="connsiteX23" fmla="*/ 823096 w 7716521"/>
                              <a:gd name="connsiteY23" fmla="*/ 971650 h 971650"/>
                              <a:gd name="connsiteX24" fmla="*/ 0 w 7716521"/>
                              <a:gd name="connsiteY24" fmla="*/ 971650 h 971650"/>
                              <a:gd name="connsiteX25" fmla="*/ 0 w 7716521"/>
                              <a:gd name="connsiteY25" fmla="*/ 476109 h 971650"/>
                              <a:gd name="connsiteX26" fmla="*/ 0 w 7716521"/>
                              <a:gd name="connsiteY26" fmla="*/ 0 h 971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1" h="971650" fill="none" extrusionOk="0">
                                <a:moveTo>
                                  <a:pt x="0" y="0"/>
                                </a:moveTo>
                                <a:cubicBezTo>
                                  <a:pt x="257018" y="-23538"/>
                                  <a:pt x="559675" y="-12498"/>
                                  <a:pt x="797374" y="0"/>
                                </a:cubicBezTo>
                                <a:cubicBezTo>
                                  <a:pt x="1035073" y="12498"/>
                                  <a:pt x="1281149" y="-25614"/>
                                  <a:pt x="1594748" y="0"/>
                                </a:cubicBezTo>
                                <a:cubicBezTo>
                                  <a:pt x="1908347" y="25614"/>
                                  <a:pt x="2057731" y="-22393"/>
                                  <a:pt x="2237791" y="0"/>
                                </a:cubicBezTo>
                                <a:cubicBezTo>
                                  <a:pt x="2417851" y="22393"/>
                                  <a:pt x="2809894" y="-27983"/>
                                  <a:pt x="2958000" y="0"/>
                                </a:cubicBezTo>
                                <a:cubicBezTo>
                                  <a:pt x="3106106" y="27983"/>
                                  <a:pt x="3262329" y="15278"/>
                                  <a:pt x="3523878" y="0"/>
                                </a:cubicBezTo>
                                <a:cubicBezTo>
                                  <a:pt x="3785427" y="-15278"/>
                                  <a:pt x="4031795" y="-8489"/>
                                  <a:pt x="4166921" y="0"/>
                                </a:cubicBezTo>
                                <a:cubicBezTo>
                                  <a:pt x="4302047" y="8489"/>
                                  <a:pt x="4629506" y="-31675"/>
                                  <a:pt x="4964295" y="0"/>
                                </a:cubicBezTo>
                                <a:cubicBezTo>
                                  <a:pt x="5299084" y="31675"/>
                                  <a:pt x="5257534" y="-13002"/>
                                  <a:pt x="5453008" y="0"/>
                                </a:cubicBezTo>
                                <a:cubicBezTo>
                                  <a:pt x="5648482" y="13002"/>
                                  <a:pt x="5900493" y="5340"/>
                                  <a:pt x="6173217" y="0"/>
                                </a:cubicBezTo>
                                <a:cubicBezTo>
                                  <a:pt x="6445941" y="-5340"/>
                                  <a:pt x="6484712" y="2287"/>
                                  <a:pt x="6661930" y="0"/>
                                </a:cubicBezTo>
                                <a:cubicBezTo>
                                  <a:pt x="6839148" y="-2287"/>
                                  <a:pt x="7226431" y="-13534"/>
                                  <a:pt x="7716521" y="0"/>
                                </a:cubicBezTo>
                                <a:cubicBezTo>
                                  <a:pt x="7707070" y="159569"/>
                                  <a:pt x="7721854" y="339124"/>
                                  <a:pt x="7716521" y="495542"/>
                                </a:cubicBezTo>
                                <a:cubicBezTo>
                                  <a:pt x="7711188" y="651960"/>
                                  <a:pt x="7696519" y="846058"/>
                                  <a:pt x="7716521" y="971650"/>
                                </a:cubicBezTo>
                                <a:cubicBezTo>
                                  <a:pt x="7508046" y="950497"/>
                                  <a:pt x="7283951" y="993744"/>
                                  <a:pt x="6919147" y="971650"/>
                                </a:cubicBezTo>
                                <a:cubicBezTo>
                                  <a:pt x="6554343" y="949556"/>
                                  <a:pt x="6483500" y="995525"/>
                                  <a:pt x="6276104" y="971650"/>
                                </a:cubicBezTo>
                                <a:cubicBezTo>
                                  <a:pt x="6068708" y="947775"/>
                                  <a:pt x="5885617" y="964804"/>
                                  <a:pt x="5633060" y="971650"/>
                                </a:cubicBezTo>
                                <a:cubicBezTo>
                                  <a:pt x="5380503" y="978496"/>
                                  <a:pt x="5295854" y="977022"/>
                                  <a:pt x="4990017" y="971650"/>
                                </a:cubicBezTo>
                                <a:cubicBezTo>
                                  <a:pt x="4684180" y="966278"/>
                                  <a:pt x="4650940" y="970387"/>
                                  <a:pt x="4346973" y="971650"/>
                                </a:cubicBezTo>
                                <a:cubicBezTo>
                                  <a:pt x="4043006" y="972913"/>
                                  <a:pt x="4055228" y="954022"/>
                                  <a:pt x="3781095" y="971650"/>
                                </a:cubicBezTo>
                                <a:cubicBezTo>
                                  <a:pt x="3506962" y="989278"/>
                                  <a:pt x="3387653" y="1000378"/>
                                  <a:pt x="3060887" y="971650"/>
                                </a:cubicBezTo>
                                <a:cubicBezTo>
                                  <a:pt x="2734121" y="942922"/>
                                  <a:pt x="2662049" y="941109"/>
                                  <a:pt x="2417843" y="971650"/>
                                </a:cubicBezTo>
                                <a:cubicBezTo>
                                  <a:pt x="2173637" y="1002191"/>
                                  <a:pt x="1938090" y="976317"/>
                                  <a:pt x="1620469" y="971650"/>
                                </a:cubicBezTo>
                                <a:cubicBezTo>
                                  <a:pt x="1302848" y="966983"/>
                                  <a:pt x="1219801" y="932182"/>
                                  <a:pt x="823096" y="971650"/>
                                </a:cubicBezTo>
                                <a:cubicBezTo>
                                  <a:pt x="426391" y="1011118"/>
                                  <a:pt x="309084" y="981507"/>
                                  <a:pt x="0" y="971650"/>
                                </a:cubicBezTo>
                                <a:cubicBezTo>
                                  <a:pt x="16117" y="749352"/>
                                  <a:pt x="14896" y="702184"/>
                                  <a:pt x="0" y="476109"/>
                                </a:cubicBezTo>
                                <a:cubicBezTo>
                                  <a:pt x="-14896" y="250034"/>
                                  <a:pt x="-23332" y="176044"/>
                                  <a:pt x="0" y="0"/>
                                </a:cubicBezTo>
                                <a:close/>
                              </a:path>
                              <a:path w="7716521" h="971650"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24818" y="178078"/>
                                  <a:pt x="7711888" y="288870"/>
                                  <a:pt x="7716521" y="476109"/>
                                </a:cubicBezTo>
                                <a:cubicBezTo>
                                  <a:pt x="7721154" y="663348"/>
                                  <a:pt x="7703642" y="724659"/>
                                  <a:pt x="7716521" y="971650"/>
                                </a:cubicBezTo>
                                <a:cubicBezTo>
                                  <a:pt x="7584341" y="1003778"/>
                                  <a:pt x="7351924" y="987250"/>
                                  <a:pt x="7073478" y="971650"/>
                                </a:cubicBezTo>
                                <a:cubicBezTo>
                                  <a:pt x="6795032" y="956050"/>
                                  <a:pt x="6789740" y="988620"/>
                                  <a:pt x="6584765" y="971650"/>
                                </a:cubicBezTo>
                                <a:cubicBezTo>
                                  <a:pt x="6379790" y="954680"/>
                                  <a:pt x="6180294" y="995116"/>
                                  <a:pt x="5941721" y="971650"/>
                                </a:cubicBezTo>
                                <a:cubicBezTo>
                                  <a:pt x="5703148" y="948184"/>
                                  <a:pt x="5422638" y="952088"/>
                                  <a:pt x="5144347" y="971650"/>
                                </a:cubicBezTo>
                                <a:cubicBezTo>
                                  <a:pt x="4866056" y="991212"/>
                                  <a:pt x="4747673" y="982333"/>
                                  <a:pt x="4501304" y="971650"/>
                                </a:cubicBezTo>
                                <a:cubicBezTo>
                                  <a:pt x="4254935" y="960967"/>
                                  <a:pt x="4240082" y="963762"/>
                                  <a:pt x="4089756" y="971650"/>
                                </a:cubicBezTo>
                                <a:cubicBezTo>
                                  <a:pt x="3939430" y="979538"/>
                                  <a:pt x="3702969" y="971682"/>
                                  <a:pt x="3601043" y="971650"/>
                                </a:cubicBezTo>
                                <a:cubicBezTo>
                                  <a:pt x="3499117" y="971618"/>
                                  <a:pt x="3048422" y="969303"/>
                                  <a:pt x="2803669" y="971650"/>
                                </a:cubicBezTo>
                                <a:cubicBezTo>
                                  <a:pt x="2558916" y="973997"/>
                                  <a:pt x="2451147" y="995357"/>
                                  <a:pt x="2160626" y="971650"/>
                                </a:cubicBezTo>
                                <a:cubicBezTo>
                                  <a:pt x="1870105" y="947943"/>
                                  <a:pt x="1771257" y="953573"/>
                                  <a:pt x="1671913" y="971650"/>
                                </a:cubicBezTo>
                                <a:cubicBezTo>
                                  <a:pt x="1572569" y="989727"/>
                                  <a:pt x="1322588" y="946936"/>
                                  <a:pt x="1028869" y="971650"/>
                                </a:cubicBezTo>
                                <a:cubicBezTo>
                                  <a:pt x="735150" y="996364"/>
                                  <a:pt x="762570" y="969668"/>
                                  <a:pt x="617322" y="971650"/>
                                </a:cubicBezTo>
                                <a:cubicBezTo>
                                  <a:pt x="472074" y="973632"/>
                                  <a:pt x="276811" y="989517"/>
                                  <a:pt x="0" y="971650"/>
                                </a:cubicBezTo>
                                <a:cubicBezTo>
                                  <a:pt x="-5468" y="794810"/>
                                  <a:pt x="5415" y="688740"/>
                                  <a:pt x="0" y="485825"/>
                                </a:cubicBezTo>
                                <a:cubicBezTo>
                                  <a:pt x="-5415" y="282910"/>
                                  <a:pt x="-19027" y="136808"/>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794134" name="Rectangle 5"/>
                        <wps:cNvSpPr/>
                        <wps:spPr>
                          <a:xfrm>
                            <a:off x="1" y="3841406"/>
                            <a:ext cx="7716521" cy="998498"/>
                          </a:xfrm>
                          <a:custGeom>
                            <a:avLst/>
                            <a:gdLst>
                              <a:gd name="connsiteX0" fmla="*/ 0 w 7716521"/>
                              <a:gd name="connsiteY0" fmla="*/ 0 h 998498"/>
                              <a:gd name="connsiteX1" fmla="*/ 797374 w 7716521"/>
                              <a:gd name="connsiteY1" fmla="*/ 0 h 998498"/>
                              <a:gd name="connsiteX2" fmla="*/ 1594748 w 7716521"/>
                              <a:gd name="connsiteY2" fmla="*/ 0 h 998498"/>
                              <a:gd name="connsiteX3" fmla="*/ 2237791 w 7716521"/>
                              <a:gd name="connsiteY3" fmla="*/ 0 h 998498"/>
                              <a:gd name="connsiteX4" fmla="*/ 2958000 w 7716521"/>
                              <a:gd name="connsiteY4" fmla="*/ 0 h 998498"/>
                              <a:gd name="connsiteX5" fmla="*/ 3523878 w 7716521"/>
                              <a:gd name="connsiteY5" fmla="*/ 0 h 998498"/>
                              <a:gd name="connsiteX6" fmla="*/ 4166921 w 7716521"/>
                              <a:gd name="connsiteY6" fmla="*/ 0 h 998498"/>
                              <a:gd name="connsiteX7" fmla="*/ 4964295 w 7716521"/>
                              <a:gd name="connsiteY7" fmla="*/ 0 h 998498"/>
                              <a:gd name="connsiteX8" fmla="*/ 5453008 w 7716521"/>
                              <a:gd name="connsiteY8" fmla="*/ 0 h 998498"/>
                              <a:gd name="connsiteX9" fmla="*/ 6173217 w 7716521"/>
                              <a:gd name="connsiteY9" fmla="*/ 0 h 998498"/>
                              <a:gd name="connsiteX10" fmla="*/ 6661930 w 7716521"/>
                              <a:gd name="connsiteY10" fmla="*/ 0 h 998498"/>
                              <a:gd name="connsiteX11" fmla="*/ 7716521 w 7716521"/>
                              <a:gd name="connsiteY11" fmla="*/ 0 h 998498"/>
                              <a:gd name="connsiteX12" fmla="*/ 7716521 w 7716521"/>
                              <a:gd name="connsiteY12" fmla="*/ 509234 h 998498"/>
                              <a:gd name="connsiteX13" fmla="*/ 7716521 w 7716521"/>
                              <a:gd name="connsiteY13" fmla="*/ 998498 h 998498"/>
                              <a:gd name="connsiteX14" fmla="*/ 6919147 w 7716521"/>
                              <a:gd name="connsiteY14" fmla="*/ 998498 h 998498"/>
                              <a:gd name="connsiteX15" fmla="*/ 6276104 w 7716521"/>
                              <a:gd name="connsiteY15" fmla="*/ 998498 h 998498"/>
                              <a:gd name="connsiteX16" fmla="*/ 5633060 w 7716521"/>
                              <a:gd name="connsiteY16" fmla="*/ 998498 h 998498"/>
                              <a:gd name="connsiteX17" fmla="*/ 4990017 w 7716521"/>
                              <a:gd name="connsiteY17" fmla="*/ 998498 h 998498"/>
                              <a:gd name="connsiteX18" fmla="*/ 4346973 w 7716521"/>
                              <a:gd name="connsiteY18" fmla="*/ 998498 h 998498"/>
                              <a:gd name="connsiteX19" fmla="*/ 3781095 w 7716521"/>
                              <a:gd name="connsiteY19" fmla="*/ 998498 h 998498"/>
                              <a:gd name="connsiteX20" fmla="*/ 3060887 w 7716521"/>
                              <a:gd name="connsiteY20" fmla="*/ 998498 h 998498"/>
                              <a:gd name="connsiteX21" fmla="*/ 2417843 w 7716521"/>
                              <a:gd name="connsiteY21" fmla="*/ 998498 h 998498"/>
                              <a:gd name="connsiteX22" fmla="*/ 1620469 w 7716521"/>
                              <a:gd name="connsiteY22" fmla="*/ 998498 h 998498"/>
                              <a:gd name="connsiteX23" fmla="*/ 823096 w 7716521"/>
                              <a:gd name="connsiteY23" fmla="*/ 998498 h 998498"/>
                              <a:gd name="connsiteX24" fmla="*/ 0 w 7716521"/>
                              <a:gd name="connsiteY24" fmla="*/ 998498 h 998498"/>
                              <a:gd name="connsiteX25" fmla="*/ 0 w 7716521"/>
                              <a:gd name="connsiteY25" fmla="*/ 489264 h 998498"/>
                              <a:gd name="connsiteX26" fmla="*/ 0 w 7716521"/>
                              <a:gd name="connsiteY26" fmla="*/ 0 h 998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1" h="998498" fill="none" extrusionOk="0">
                                <a:moveTo>
                                  <a:pt x="0" y="0"/>
                                </a:moveTo>
                                <a:cubicBezTo>
                                  <a:pt x="257018" y="-23538"/>
                                  <a:pt x="559675" y="-12498"/>
                                  <a:pt x="797374" y="0"/>
                                </a:cubicBezTo>
                                <a:cubicBezTo>
                                  <a:pt x="1035073" y="12498"/>
                                  <a:pt x="1281149" y="-25614"/>
                                  <a:pt x="1594748" y="0"/>
                                </a:cubicBezTo>
                                <a:cubicBezTo>
                                  <a:pt x="1908347" y="25614"/>
                                  <a:pt x="2057731" y="-22393"/>
                                  <a:pt x="2237791" y="0"/>
                                </a:cubicBezTo>
                                <a:cubicBezTo>
                                  <a:pt x="2417851" y="22393"/>
                                  <a:pt x="2809894" y="-27983"/>
                                  <a:pt x="2958000" y="0"/>
                                </a:cubicBezTo>
                                <a:cubicBezTo>
                                  <a:pt x="3106106" y="27983"/>
                                  <a:pt x="3262329" y="15278"/>
                                  <a:pt x="3523878" y="0"/>
                                </a:cubicBezTo>
                                <a:cubicBezTo>
                                  <a:pt x="3785427" y="-15278"/>
                                  <a:pt x="4031795" y="-8489"/>
                                  <a:pt x="4166921" y="0"/>
                                </a:cubicBezTo>
                                <a:cubicBezTo>
                                  <a:pt x="4302047" y="8489"/>
                                  <a:pt x="4629506" y="-31675"/>
                                  <a:pt x="4964295" y="0"/>
                                </a:cubicBezTo>
                                <a:cubicBezTo>
                                  <a:pt x="5299084" y="31675"/>
                                  <a:pt x="5257534" y="-13002"/>
                                  <a:pt x="5453008" y="0"/>
                                </a:cubicBezTo>
                                <a:cubicBezTo>
                                  <a:pt x="5648482" y="13002"/>
                                  <a:pt x="5900493" y="5340"/>
                                  <a:pt x="6173217" y="0"/>
                                </a:cubicBezTo>
                                <a:cubicBezTo>
                                  <a:pt x="6445941" y="-5340"/>
                                  <a:pt x="6484712" y="2287"/>
                                  <a:pt x="6661930" y="0"/>
                                </a:cubicBezTo>
                                <a:cubicBezTo>
                                  <a:pt x="6839148" y="-2287"/>
                                  <a:pt x="7226431" y="-13534"/>
                                  <a:pt x="7716521" y="0"/>
                                </a:cubicBezTo>
                                <a:cubicBezTo>
                                  <a:pt x="7713014" y="225543"/>
                                  <a:pt x="7705888" y="302368"/>
                                  <a:pt x="7716521" y="509234"/>
                                </a:cubicBezTo>
                                <a:cubicBezTo>
                                  <a:pt x="7727154" y="716100"/>
                                  <a:pt x="7697810" y="857310"/>
                                  <a:pt x="7716521" y="998498"/>
                                </a:cubicBezTo>
                                <a:cubicBezTo>
                                  <a:pt x="7508046" y="977345"/>
                                  <a:pt x="7283951" y="1020592"/>
                                  <a:pt x="6919147" y="998498"/>
                                </a:cubicBezTo>
                                <a:cubicBezTo>
                                  <a:pt x="6554343" y="976404"/>
                                  <a:pt x="6483500" y="1022373"/>
                                  <a:pt x="6276104" y="998498"/>
                                </a:cubicBezTo>
                                <a:cubicBezTo>
                                  <a:pt x="6068708" y="974623"/>
                                  <a:pt x="5885617" y="991652"/>
                                  <a:pt x="5633060" y="998498"/>
                                </a:cubicBezTo>
                                <a:cubicBezTo>
                                  <a:pt x="5380503" y="1005344"/>
                                  <a:pt x="5295854" y="1003870"/>
                                  <a:pt x="4990017" y="998498"/>
                                </a:cubicBezTo>
                                <a:cubicBezTo>
                                  <a:pt x="4684180" y="993126"/>
                                  <a:pt x="4650940" y="997235"/>
                                  <a:pt x="4346973" y="998498"/>
                                </a:cubicBezTo>
                                <a:cubicBezTo>
                                  <a:pt x="4043006" y="999761"/>
                                  <a:pt x="4055228" y="980870"/>
                                  <a:pt x="3781095" y="998498"/>
                                </a:cubicBezTo>
                                <a:cubicBezTo>
                                  <a:pt x="3506962" y="1016126"/>
                                  <a:pt x="3387653" y="1027226"/>
                                  <a:pt x="3060887" y="998498"/>
                                </a:cubicBezTo>
                                <a:cubicBezTo>
                                  <a:pt x="2734121" y="969770"/>
                                  <a:pt x="2662049" y="967957"/>
                                  <a:pt x="2417843" y="998498"/>
                                </a:cubicBezTo>
                                <a:cubicBezTo>
                                  <a:pt x="2173637" y="1029039"/>
                                  <a:pt x="1938090" y="1003165"/>
                                  <a:pt x="1620469" y="998498"/>
                                </a:cubicBezTo>
                                <a:cubicBezTo>
                                  <a:pt x="1302848" y="993831"/>
                                  <a:pt x="1219801" y="959030"/>
                                  <a:pt x="823096" y="998498"/>
                                </a:cubicBezTo>
                                <a:cubicBezTo>
                                  <a:pt x="426391" y="1037966"/>
                                  <a:pt x="309084" y="1008355"/>
                                  <a:pt x="0" y="998498"/>
                                </a:cubicBezTo>
                                <a:cubicBezTo>
                                  <a:pt x="-18260" y="893519"/>
                                  <a:pt x="-20182" y="727553"/>
                                  <a:pt x="0" y="489264"/>
                                </a:cubicBezTo>
                                <a:cubicBezTo>
                                  <a:pt x="20182" y="250975"/>
                                  <a:pt x="-4695" y="223260"/>
                                  <a:pt x="0" y="0"/>
                                </a:cubicBezTo>
                                <a:close/>
                              </a:path>
                              <a:path w="7716521" h="99849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692158" y="181350"/>
                                  <a:pt x="7729743" y="373242"/>
                                  <a:pt x="7716521" y="489264"/>
                                </a:cubicBezTo>
                                <a:cubicBezTo>
                                  <a:pt x="7703299" y="605286"/>
                                  <a:pt x="7737711" y="854208"/>
                                  <a:pt x="7716521" y="998498"/>
                                </a:cubicBezTo>
                                <a:cubicBezTo>
                                  <a:pt x="7584341" y="1030626"/>
                                  <a:pt x="7351924" y="1014098"/>
                                  <a:pt x="7073478" y="998498"/>
                                </a:cubicBezTo>
                                <a:cubicBezTo>
                                  <a:pt x="6795032" y="982898"/>
                                  <a:pt x="6789740" y="1015468"/>
                                  <a:pt x="6584765" y="998498"/>
                                </a:cubicBezTo>
                                <a:cubicBezTo>
                                  <a:pt x="6379790" y="981528"/>
                                  <a:pt x="6180294" y="1021964"/>
                                  <a:pt x="5941721" y="998498"/>
                                </a:cubicBezTo>
                                <a:cubicBezTo>
                                  <a:pt x="5703148" y="975032"/>
                                  <a:pt x="5422638" y="978936"/>
                                  <a:pt x="5144347" y="998498"/>
                                </a:cubicBezTo>
                                <a:cubicBezTo>
                                  <a:pt x="4866056" y="1018060"/>
                                  <a:pt x="4747673" y="1009181"/>
                                  <a:pt x="4501304" y="998498"/>
                                </a:cubicBezTo>
                                <a:cubicBezTo>
                                  <a:pt x="4254935" y="987815"/>
                                  <a:pt x="4240082" y="990610"/>
                                  <a:pt x="4089756" y="998498"/>
                                </a:cubicBezTo>
                                <a:cubicBezTo>
                                  <a:pt x="3939430" y="1006386"/>
                                  <a:pt x="3702969" y="998530"/>
                                  <a:pt x="3601043" y="998498"/>
                                </a:cubicBezTo>
                                <a:cubicBezTo>
                                  <a:pt x="3499117" y="998466"/>
                                  <a:pt x="3048422" y="996151"/>
                                  <a:pt x="2803669" y="998498"/>
                                </a:cubicBezTo>
                                <a:cubicBezTo>
                                  <a:pt x="2558916" y="1000845"/>
                                  <a:pt x="2451147" y="1022205"/>
                                  <a:pt x="2160626" y="998498"/>
                                </a:cubicBezTo>
                                <a:cubicBezTo>
                                  <a:pt x="1870105" y="974791"/>
                                  <a:pt x="1771257" y="980421"/>
                                  <a:pt x="1671913" y="998498"/>
                                </a:cubicBezTo>
                                <a:cubicBezTo>
                                  <a:pt x="1572569" y="1016575"/>
                                  <a:pt x="1322588" y="973784"/>
                                  <a:pt x="1028869" y="998498"/>
                                </a:cubicBezTo>
                                <a:cubicBezTo>
                                  <a:pt x="735150" y="1023212"/>
                                  <a:pt x="762570" y="996516"/>
                                  <a:pt x="617322" y="998498"/>
                                </a:cubicBezTo>
                                <a:cubicBezTo>
                                  <a:pt x="472074" y="1000480"/>
                                  <a:pt x="276811" y="1016365"/>
                                  <a:pt x="0" y="998498"/>
                                </a:cubicBezTo>
                                <a:cubicBezTo>
                                  <a:pt x="5036" y="875886"/>
                                  <a:pt x="-24428" y="684996"/>
                                  <a:pt x="0" y="499249"/>
                                </a:cubicBezTo>
                                <a:cubicBezTo>
                                  <a:pt x="24428" y="313502"/>
                                  <a:pt x="3233" y="160388"/>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227E0C" id="Group 289756065" o:spid="_x0000_s1026" alt="Text box - Key findings" style="position:absolute;margin-left:-6.95pt;margin-top:128.65pt;width:482.15pt;height:464.15pt;z-index:-251658216;mso-position-horizontal-relative:margin;mso-position-vertical-relative:page;mso-width-relative:margin;mso-height-relative:margin" coordsize="77271,58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xopWioAANsDAQAOAAAAZHJzL2Uyb0RvYy54bWzsnV2PI7mRru8PsP9BqMsFNK38VjbcXsza&#10;HuMA3rVh+2DXlzXVqu7CVpdqJfV0279+n2AwUxGpUiWpGY+BPRoY7ZJS5Jskg8FgxMvgL/7l66fH&#10;xQ+b3f5h+/TupvhmdbPYPN1t3z88fXh38//+/N1yfbPYH26f3t8+bp82727+utnf/Msv/+n//OLL&#10;89tNuf24fXy/2S2o5Gn/9svzu5uPh8Pz2zdv9ncfN59u999snzdPPLzf7j7dHvi4+/Dm/e72C7V/&#10;enxTrlbtmy/b3fvn3fZus9/z7a/14c0vQ/3395u7w+/v7/ebw+Lx3Q3vdgj/7sK/38u/b375i9u3&#10;H3a3zx8f7uJr3F7wFp9uH54AHav69e3hdvF593BS1aeHu912v70/fHO3/fRme3//cLcJbaA1xWrS&#10;mt/utp+fQ1s+vP3y4XnsJrp20k8XV3v37z/8dvf8p+c/7OiJL88f6IvwSdry9X73Sf6ft1x8DV32&#10;17HLNl8Pizu+bIuyqlbNzeKOZ826rzs+hE69+0jPn5S7+/ibWLLryq5oirHkumjDcLwZgN+41/ny&#10;jIDsj32w/3F98KePt8+b0LX7t/TBH3aLh/fI76op1v26L28WT7efENc/IkC3Tx8eN4vQKnkJfj12&#10;1/7tnp4721d9sV6vSu2OocO6rmibMja77ru+atbyi7HZt2/vPu8Pv91sQ9/f/vC7/UGF9D1/BRF7&#10;H1/ubvv0tH84bP4Twb7/9Ijc/vObxWrxZTFgxHKTn//F//zjwrwFAnxSO+861t6Vq3LVz0PYMqvF&#10;LAT9PUIURVV0TTuPYQslYFQWoy/7okroKlsoAaM2GGXTlUVXz7fDFkrAYK6NfVX26wqUeQxbKAGj&#10;NRhVW7Zd28xj2EIJGJ3BqOuyLqoEubKFEjBYfMa+qvt+tSq6+XbYQgkYvcFo+G/dJ/SVLZSAUdgp&#10;2xZoqJTOcqVSUOysbfuiL+qE7ipsqRQUO2+jppoflMKWSkGxMzcdxZZqu7IsqnnlVdgJnA5lSxVl&#10;Xa/rlGbZiZyOZUsVHdO5KxPaZSd0OpYtVVbMuT4Fy07sdCxbqlq1JZZIQrvsBE/HsqWqbl1XRUq7&#10;7ERPx7Kl4uo8367SKYnU6etKpWPZSd9WTVW2CdpbzB6jj4Ptk9AuO/Wbbt1VfcKKV9pS6e2yCqBh&#10;/jdogFmDqrSl0rGsBqibFQZJgrVQulJqPyb0odUA1bpZl21KH9pS6e2yGqCq67ZL6kNbKh3LaoAS&#10;a3tdJay+pS2VjmU1QMluBcMoQTZsqXQsqwEKehBzNQHLlkrGqqzeWHd1k2JbuELpUFYBpJjf9vfp&#10;KHbqp6DY39dV0/bVen5KVXbSp6DY31frdbXu+wQUO91TUOzv0cqYcCkodqKnoNjfl121brEUZ3d5&#10;lZ3iKSj296KL10WdgGIndwqK/X3RsjNcJyzslZ3WKSj290XRrYo6ZVzshE5Bsb9v+q4pE+zX2s7/&#10;BJDJ792w48X4MPgpbj8Orou7r0/Rd8FfC/wp4kYSV8bzdi8eIuvIwI00fMRRoY4RSsmvZwqjK2zh&#10;IqswKsAWDk4bGpOGzMy2hassZCasLVxnFWYe2sLBSZX82kwvW7jNQmbW2MJdVmEmgy08OMDSehsZ&#10;t4X7LGTZE9vSfM6SsamQ5UmZ7GIdep6cFRNB43PWy09EjY1rVvGJsBV50lZMxI3PWegTgSvyJK6Y&#10;iByfs9AnQlfkSZ1ssuy48zkHXfZNrnie1MlWyBXPkzrZ3bjieVInGxZXPE/qyonU8Tmr6yZSV+ZJ&#10;newU3MvnSV05kTo+Z738ROrKPKkTG92+PJ9z0KuJ1PE5q/hE6qo8qRPz2r18ntRVE6njc9bLT6Su&#10;ypM6sXTdy+dJXTWROj5nvfxE6rBVs4pPpK7KkzoxD23b+WzQ1TiJ1uCO6JoEZh9DYPZwsyAwu7tZ&#10;EJj9XspgH94exIgc/lx8eXcTnWg3i4/vbuKOEKfSwyPVPBFhJvz89bD7LOHo3//XYGZ+2v6w+fM2&#10;1HKYRCR5n+PTu8/fP9z96+Zv9rdVhcNJZwLx5ibIAS8W6mmqpm9VzIuOfWN86fBMI2WhK8YOcNW/&#10;BNav6ppqpP+WJzX2LR4ilctl0dfrUO3wKjFqlolHhWW5Umk7rbJty2at07Bt+iBEI5wG0DLhyqJv&#10;2k7hltMqy3LdrqO+xbvShQk74MVgWi7eumELpIO3PK1zveqINIY62VvWbvhiZC0TsMIrRLQslFqe&#10;1FlVVd3Fub2s1mp6Di2MYbZcQELMuFFDqWmN9WrdtphJIk3EF4ZAtIpujLhlwtVdW1BnKLU8rZOn&#10;NeMWxLdpvYDG8FsmIKO3buAFSJXTGpsKrkEdX4afTeamhuJy8bqaWIwqwNMq+75nTmj7ipoW2Qkf&#10;w3KZgG2FuyGaxqdVdkXZdzq6ZVuuwhI4CEwM0GXiUSPO+mEEp3V20B+qYYJWMBUc4qh6GYx0ndZ1&#10;q76mIhnCom5giNheo86ijhJVFys8b5OnSpagrIbj5KmsIbOqFHqJOIwCbM/EW08qrpomKpsCR27f&#10;B+Nm6Fvb0hibSwdu8buwN9L2lm27dmLStT3Lhko0TJCq692S4pA1UpeOjHLBf6XI63XRIMi6jOqK&#10;1NWoe5XtsqjLtZqTL7U5xu3SkVuJrQ+CWrEWThoFSyHuQoCt+3ryOFJiGOUYxctBJpih3VkxjG07&#10;qboqil5X1IoJi9PVd4lB1pheOjI+PFk0ZJzrFf2uNuLYnbwJlevjlknFmLvBOCIPZkyyaNcNi4wq&#10;dvqSsJGfUsyiOhoK0tXwyiyy1Ru5yKzKTCQVIQlYdSu3aLYtEy0a7nXP4rvyyBon1C5xzKf56dyu&#10;sMLGRnXVSt0HQ283fcE464vJMHde9GPU8CLkhlYNZlDdt/zP9XZTEwiKfh3avGpWTtHEGOJFyFQH&#10;LUbXU0YKMXdV49nvwItV9/UKW8ZIWIwoXoZcrrAvdT5Lm1uWWVs1agR/fKx6DXnHrRMxvngRctVi&#10;bq+GqhE3lj+DXLVVPaz5dAkz3g1GjDZehoyxu14P3bkGxamKalX1LIih6oaNwEo3ZYMAxtjjRcgl&#10;S1XfDOPcVG3nkEsMuaYZpjucSa+3YyTyImTCigTuxzZ3GJO2t+FColt0MGhzIZaYGYwYl7wMmTCj&#10;rBJBe/YNrXKaBEugraPjiflcylsYZI1SXgSMPdGOuFhzfilifSD8N1TcEqSzsLrM5CrNZckWUrfk&#10;dYuG8EvQsm/i8lWzkFXqZBmkKgJqSFLeJMn0OdYIlbLxDcSajtN61fTsVU6bF0OTyWjLsUqWgzVm&#10;l62SthOSD/3J3qeHNWOfDst2iFImA5oqV7Bw1A099BjbWZ2jEDzX1HsKF8OVyXDLY5WQ+ya7miUr&#10;gwpxWYmafAlPA5fJeMcaVy3i4mqkO/kvdCetm9oU2p0xhJmMZ6rE+scwtF22rOJ+tUDV4gqxzyKc&#10;xjKT4cYKMUt6r0+WUOC00o7VTGnRw7jq9xrSTMYa66Pe3m8AmIfaj4wuPXbarqDpTqfb43a/0Xko&#10;vqlZx9T+sNv+FzxyXv8n9kuVbSW6S/QnO3E2R7YJdYWm0S6Th+ozH7qyaZtBH51ppNtcqb+ATQ3i&#10;GOBOKmS0xNILr4IXCcPAqOq+62rUjDxMRyvwo7DOhVInNfIMpTbsYybWbQHcOr5MBl5fY2jpQoej&#10;aFInpg52hq7PKB+Nug29WWJrt1G9pwPSh6wt0ZVwWifzvhncciU7f9uhZb9iAcvtUfQkhmqUl2Ja&#10;J1Y7yivqaYw9Nx9Q61UfYwnpLcRaws8QXWHoRl9nvYLkHzdP0Jm9yPDbcnibdECIO1UTnc/4R6d1&#10;duzDY/vZJdoOxb4QYnimiOKZKhALlfpJjQ3G0np0FNFUNyPsZiS9ebIB6qOlUEyrxIxhWzdM+LVr&#10;Hj3JMqnSmwGHs7lHBcu8xTFr+0u8DLyBPio6jWkN08H6L9LRcFv0KBitEtISsm9UCDYFa6jKbsV+&#10;97zHhCMXkPKk7KnmfkGp8bKrNSavNJL9ORtWByuzMLr+e/b6fvdlG1qs8Nqr4yERl12M8ObBLTCy&#10;2SQ64I6VNhr8aCUxhf3jo+sAbyzvFfZ9ach0NH5NRe5LTE8/tFDf2IzoOBRt+UqbS/RQw4RK72uU&#10;yFB1jaHh/dFMT3ZXcYFBZCeriO1tLDu2n6FL0toMpXHdadUVwDV+PyddNTMk6j7BxRvpHh97Gz8A&#10;fOBgBKUht0gX4TMZZ7T9emKrslShB3VmItesQX4whpNilK4JgFQclkvubdF2CKwgI5tN6bdXdGdf&#10;Rx9l3Ta0P8zVlyZx7m6ng4WPLlJk3HE9sVDbnVjsTRwMcZeUE08humrweGcjFx3Oa1UilMU35way&#10;FTZctCl4jPfOP2bBbUYPkj2Wl+CcQuuMrsB+jUXsPDEtymsV/XWsDLg43WM2FfWwoOe2Gb8AIqTz&#10;ue6pRWVkGMimFo/+4DrATYVD3AwG3mfiXir62chlhy9s2CpjHnn3Z8PI4m2OYoDLwq8huHVQLuNY&#10;mUOQ871dSyyLcKTItnhi8BfZRuEyKomJRWSo7j5yWaOE0Hvxcd441+wUxJgOs6oHRllEQ2/zWq34&#10;bvTxeir6nIVhjRvcPHnIhAnwEg1VE7b0wbWqwQaPZBOxPSbuEnjA/DfMyTzkknAFx3pjoxhW708Q&#10;v9cQ8WQ+F4Qx7WCUXcebRT2U6fKl2obIzNDb6D+3DOJV4dV0IGmzVO6QEYxB9+bKNkYNcSpdMVDL&#10;nAd2VRc4MhoGII4zDg63oODKCp6VKCVZsl1ULATs5WJZDrs4U5wFBGf0IIAcC/DG1xrnfDRkc5uM&#10;u7McRbcncua2+iy5nNaOb8VJNbU4BrkfeiJPsFDzUS6CfefEpmBgY61oNdleGa0VH1RE71UWk9Zi&#10;wvFjndhc4rI3dS5Z9WmydDuhGrzf7qkiiu+5P5KgnD3ptZZumU2VjIYEqQwgmiSGmXGQtXgn7EPF&#10;y7VzaMNQJz4ugpAOcIkdGSWnbDAnfBQjIrKXFc3Keyb1qakSs0hii6aFSzlIH3qUABxbLPdQ8aSH&#10;aGUy3rFGUWg+MgBfZthPwiTBZW7fJcLRA+I4SG7eUKMofR9EW9brGPPBlCr9flLB2hJDM4xAUleO&#10;9bEyNt6NiP0Z12jYKnivTxt2Bmbqq+JFRkJVeKljmoH99vHh/XewqMSjFZJvbH71uFv8cAut6vsP&#10;wwi5Xz0GTr776oWCUt/j50//tn2vlbWo6uF1x58HcTM18XJSOwkghgQL4a/DXx83ob6nP27uydfA&#10;yYEyHCMYK1KM27u7zdOh0Ecfb99v9GtBfhn6USqUmoVHNtYdK5BMJMfOGOpWGYq/l6KbkGxkLKzn&#10;G868mBYeSwTk7dNhLPzp4Wm7e6llj7QqIuvvh07SrpFe+n77/q9ks9htNdXJ/vnuu4fd/vC72/3h&#10;D7c7ckQgnuRrOfyef+4ftzDqIMeFv6DUbXd/e+l7+T3pNnh6s/hCrpR3N/v//ny729wsHv/vE4k4&#10;OCgujpdD+FCzCefDzj753j55+vzpV1vkCnuEtwt/yu8Pj8Of97vtp/8grcu3gsqj26c7sDkXctgN&#10;H3514DOPSAxzt/n22/A3CVUQ7989/en5TiqXXn2m5X/++h+3u+eF/Pnu5oAX9t+3Q/KP27dDeg2Z&#10;GuNvpeTT9tvPh+39g+TeCHKo/Ro/kIhEsqX8HBlJoDGRYkViUj9FRpIg/wjrmINFNrf0o2RvwXjD&#10;1IvyNeR++YlykUTck+QiJ7lIji8xm4oEA8Kk1ziLgJiNZ47lhP3rCJhe468LISuZFAhnIWyheQj2&#10;WyNEWWJumOPMZyFsoXkIzPUjBNFVvGvj6dGzELbQPARG6AjBtpoQ5zFXxFkIW2geAgN8hGDrBcXm&#10;eGb5LIQtNA+BTXuEkJCzSd5xFsIWmofAqhwhMD9wtSR0lC00D4FyGCFgfLLDPR5MPtsKW2geQpzL&#10;Rww2kxCA50XKlUoAsXNVXX7H84hnG3KSgOT1GS5229iSdBBbilgRxIhZXSKEuAuQbCltyjySnbtK&#10;8EqQAKEWje+XimSncIsPiEhAghzYUqlIdiaz7cVtliIMtlQqkp3QGg1K6T1bKhXJzusQpO1Ses+W&#10;SkWy05t0JbJVSxgnWyoRScyHUYpkkNbrhN5zpVKRrHqAGSeEzfk2ScxhfL9UJDvbiYOsCK8lINlS&#10;qUhuthMJThkml28kFchO9oSJ5PKMpGLYaZ6CYX8PER4Hy6yqEy7BOJwpGP731v7D6L8eVg+eTfEG&#10;JJ2xR4jYKYwH9McgXFJhRtsWHmOHSYUZRls4eEGSXxtVbQsHd21yYbSvLTzskNI6DIVqC4/Op6Q2&#10;x4j+2N3qg0p+8RhhPhYfnAdprx4dXMfiwSeajo5ms02/HlZP77qJyF0Pqyd33f/iw+raBz/66Czm&#10;GkdndUVnKf37nZyFsgBrJigBeKvRtTTEjBpOzsazl0s5cefc9RxswLUTSoZdn7R8PtxCHByOVCh1&#10;UiOBMpgdWqVwkn00Ijp6cgEhwBDEDqVOqix5JhwWUYEATg4HRbdPJiAVcsBU6zytUkY0siKFsuxj&#10;Evg1xAmUCciJG452aKmTKgkq8xI6vnA1fYwueoRy8TqOXUSyKPG6SZ3EpmBZqR2wJITHFgLn7CBQ&#10;0UGUiQjzhYip1nlaJdHnJtLJl/T85HyNuosyAWFC9MTnQ6mTKgnuFJCkwkNmBVQY28LoPMoFhJS+&#10;ikzT0yohCdXxxGBD8M/CRUdSJhxoeE11UixPqiR0zHnPUCVBOhc1F4ICPqVcuDXJIDn+ptNsUiW0&#10;QSE/6kNxbjv+QHT9ZALCG+LgmwIW8HZ8OI46oZLGCVMB6ZpoEdWFFJ3t88qNmDRsGu05juLDHrRD&#10;BdGBua8vBRVUqO1mZljYqPY1hpQACykSbmPoIxgosBJdxSW9H4+ycgwCQrp9Gt1QoWwmLPxmYQBG&#10;WIJLbuDaei1HObVi1gnPx44+qYtgV5AQI+26W8Ndc90IJQLSnK4vHLuDL2FbGx1Ul8CyMuLL0NGT&#10;s+Ce7YnDeGRmcD6oa9xLRW/VJbCcGVhLbTJ1kBiWKNseOctC3s74FEXon8r5grjWZo5tLQonnmFB&#10;hUPZc7Bk2EAzBFhORgun2Uhy9GNd0lpsA+FuaVEI2awjtmK4qQ39HvqCA4ZIl32qTq1LYCFt0cjY&#10;Hk5kM8ymYlgMcAF19cGXNaHERg/XRbAwBeAZhqL0MMflLCxrzHoVj4dAYcNUcU/V3XUJrKQTgRyk&#10;RYVZ7bQUpw7gXKoOk6CXX92QbXxfl6BiMawidYnlBZ6cbY2cJ4/9L2ebXjpelynAywJCWGxFSYDQ&#10;dd4SrrF2O0M9yUih36ubS14xyaod6+OIqMxHIz3LqoxGMgsRHGb7TLHOGM9TXggmFGeZjsl1KGx2&#10;CPvrEabrESa3+1J62/UI089+hKmDfKt2DydO3Hy3dsCZWf/CEEL96KBPB6ULP9BXqYeYVNHx8MVD&#10;TK+qmRcAwyGmaB+fVBkOMbExV1ve88X1EJO+aXr72FJgoKpl9eIhJrUHOKbmebTWYk5HExt9OCbI&#10;5lXMGKOt2ThwvkA7rIRq69dGi5i7QkBWHhcdSV/s1j9gMal0SYavPzExLGzmMhhODsSNHvsR2Zjb&#10;1nJYRVjTwaCC4qm8omGvTldwGjxavJZ1NL8jgV+PZROXX+F8u07GpMUsHbYG01wcnHslgVW08jJh&#10;IeBTd2hP12OzedhCyK+xtRxBgeRv+oL9MAKmI5/ZyXjQqmF727FX96d88ZXIQdn4Umx23RA07Jvo&#10;ZR2CvNbWnC2X3XIYPVIneStczpR00Q+zhig/OdkZLjKIfZEJW7LdHEQKU9HvnnF+cdIjvtQqHDow&#10;nYyPA8ZzNKXzYGHcY5lGq7XkPJ03/juGNqaEkNHjgJGBrTinLHoz9FQmLDqbROBjUX8Sj5bisYz7&#10;Fclt40xp3I4VfKix7Ejbm59AHLjCfB06ik2ts19ZYDgoHF+Ko4CTwx5Im5yvvKC1nEKip6InAR63&#10;N8TZ/nIoR2GZ4JOTWzbPSOYEQoZwGg4KAeepay1JDSTpS2hPR/IXPVQ4aCmcn1AZLupkOas3OkaY&#10;I85VwAk5kSLtRI6GuVkbvG7DsA9O86SdAsdGVnE/wEZTWJ1GTiHqcPpQMdEofsc3vEsWHHkF4nSj&#10;5tafH8Rc4PhhQENgONxrX0W/l0Pz+n1S444VcmJ1UqEw/6OXlj0SbulTtDOL+HQjxKukEeR3H74f&#10;6fG/aX7Td98KJsUNiV057JOvJoRwodaLC/vKkI9nDTy9/sqQvzLkzeWuA21fiPfHOztJL8KSFtIL&#10;/hQMeQwJQneqQjxNHvUpNHnuQmStiPP9J6bJx0V+niZ/fIlMmvxZBFpnaFUfF68jsEKNv9bo6Xrk&#10;x52FsIWEDPw6BEbVCDGlyZ+FsIXmITAmjxBku+B80HwrbKF5CCyeEUKDogkdZQvNQ2CPjRBTmvzZ&#10;jrKF5iGwzI4QE5r8WQhbaB4CK2yE0EhnQkfZQvMQmHIjhEY3j0z8s62wheYhhLF1xJCQZsots65U&#10;Aoidq7qFPx6MONsQMf/GV0sAsbM1HcSW4sA7dujsRJco0/hi6UiuVNDJ80h27mp8MkECHE1eddY8&#10;kp3CGpJMuNtPMnIceyKxTXYmT2ny54XBlkptk53Q6nBM6T1bKhXJzuspTf58m2ypVCQ7vac0+fNI&#10;tlQikiO8K00+ofdcqVQkO9GnNPmzbXI0+VQkO9unNPnzSLZUKpKd7SFUeDxjcB7IFkoFsioiwRpw&#10;NPlUDDvNUzDs72EAcBx0VgGJl2ZUJSkY/vfWOGNbe6XJh2iLuCqSiNsIkaU+B3dwcmFG2xYOHqvk&#10;wgyjLRx8IcmFUdW2cAgkJBdG+9rCww4prcNQqLZwcBglI4v5ZEuruzq9OPrSFQ8KJb046swVD5vH&#10;9OIoKVc8T9Iip/VI0s+TtZgD7Fg8T9qiH/lYPE/eovf7WDxP4iK5+Fg8T+ZiHPJYPE/qYkRnLK4O&#10;1+Rxj2S+Y/E8qYuhgWPxPKm70uS/j17i12+Y0hWdpfT/G5o84R9VxksCJ2gXE0SIjp6gr8541F+I&#10;+RfwnYc45EmVcM8gr6oChrUODc8CXkqT52QoBFlRq6dVEt4b0pktCcN7+iF8b3ECZbYQmjzHoHXl&#10;PalSafLapSeU9ugRysULNHldrF+iycNLiUw6Mmr7bPMXs+QhoyvgSY0/P0meS71icHoJ49DnEY2u&#10;o8wehftJu3QhP60ykOR1mT5htIdsC9oz6VNCSfJR6k+qDCR5fZcXSfLZqZhJNQ3bUu0zJpnn3StJ&#10;Pr6LRLDdlI/umMzuhHRCHlmdRoSuJ3njha0OCzjUSRbzymcnt4jqQIqu9vnQtmQRbgmFy8SHogDH&#10;1CoTYcKQ6zQ8Je+YqCSj2yxsVPoa0UuADSR5nf5kdCVBn6s4kOS1fyFcE2S2T6MTKrxUJqyS5FUs&#10;yb5J7jdXMSR5El5pxSdc9uiRugg2kOS1k+HeQ+2xsMInwLWqFUM08Hn0LEk+s7WQ5OXOFa2YLM9e&#10;TDlVQ2peFSlGUkgxZmyjr+qS1pKmnVzFsRvbFerTVUw2s+GwC8Qisuy6p4Ykn9lapgeKLYpUy5GT&#10;6OOId/dZkjzsHN9aS5LPhLUkeWjjk9bKTZhcWKbdyL1Svi+iS+uSTiZbIacp4hRBb/j2QGsKJ6Fk&#10;VsOr4CoY28mWJJ/ZWmh/pHSMsori8OkLLUke1UGGXgsbnV2XtNaS5EmfIg03sspHsiLHvpA7Hpwk&#10;q+frElRI8iwCoaTENz3pBOb9cCYN1jqCbN9oEH4T9ZzXiZzPGyhv0N+mSZ4lAbIMJ8YJhLxTMPVx&#10;yfeynXI2pf+k82GJyGiFnASYpOJfQsJXvdBzIMKJjjbszKo9pYYoM+TIkacr4chHiVtcOfLXaz5e&#10;kswrR/5n58hfr/mQZJipqlMZ8mrNvciQ1+X+DENe15N0NLH8h/Nh0P9PLmKQ+5HjvgBapE/rbg30&#10;zPVB9gXC2A5LDum8vVEq/geu1AlP2ctyfZBdkCxspn2hDPm4lENV9/aSUETlFotg1sBq9Qm3lSEf&#10;rWxLOPJaxn/S1VAZ8rp/5BSgpLU29kVgyEeONTmpeUf3NDDkdS3NbC2WFG2MxoLkIfcVY0RzWC62&#10;lotH3GZFGfKxp/Jaqwz5YTtCQgK3vYIhj90zPCUlszM2LEM+s7Uw5LlNKRro3BLjc21L1lBJTx3G&#10;lo2BP+thL+bMhaXjOKmqFZMY1vN4uYeT3P/DyMt5ATu2liGfCYtbTq6Zje3hfkrXjVjsI0Oeiid5&#10;GSxDPhfWMOSl6NRoPTLkO/aD/opSy5DPhLUMeaFN+/28ZchzIoT09LaT7WWcmbCOIU/qcH9Vh2PI&#10;c3YGNo+Z1ZYhnwtrGPJyVNjfTeIY8lxFNDlIbBjymbCGIY+gcq2EbY5hyDOya5SzaathyGdiGoY8&#10;05NNna3WMOTpBrki1GBeugciVB8mTbsmE8VkxGh0eCbLgL+pRr+XC4PUp5O2CcINEGvE6pS7zc37&#10;c9w95v7HN4Jyss8U7cwiPt0G8Sr5DPnv/vW7b3/9G8Gk+JUhf+NJ7tcc8jZT/DWH/MfD4fntmzfh&#10;pMjt/ptPD3e77X57f/iG/PZvtvf3D3ebN1/Ijv+GbAqr8Nfzbnu32e8fnj68zJAnIUzDcTIhgP44&#10;hjxBrmgFsFgRrIs68kWavFyWrVYRk/4fRZM/vsTfiyb/OgK22EjCupgm/zoEC8wIcTFN/nUIzPYj&#10;xKU0+dchMGlHiItp8q9DYKyPEBfT5F+HwJd8hLiUJv86BHuZEeJimvzrEJbcejFN/nUIR3gPmb8u&#10;osnPgKDvxr6K+/j54x0nNPkZEDvF00FsKbm3rxaa/AySnenpSLaUAswj2Ql/GU0+FcnO+8to8qlI&#10;dvpfRpNPRfJagF14kUD0LmypVCSrDC6jyaciWZ1wGU0+EUlYdeOkvYwmn4pk1cNlNPlUJDvbL6PJ&#10;pyLZ2X4RTT4VyKqIFHq5/X0qhlUOKRj29zjguPJgVtX9aJq8tiXuba80+TzyMkJBFHjksAafsDg7&#10;kjj2jLYtHPYiyYXVczsiBwdTcmGlDIyFgzclubA6o8fCwUueXFhphGPhPMLylSZ/FDUltib3+5Um&#10;b7ouT+pkQbfzVAktyT1/pckfe17pZeldN1FyGvwaiuv//+hs8hhR8GDiKnilyS++cvUk4UyJIovY&#10;n3GrO0qThm2vNHmCt1eafI7IzOSSv9Lk82bgP4ImD89D10eUhuQpMzE70kkWA6eZW+G50sI/lZtb&#10;0b4oGXUgxT2Ip4T4T6ppJHg8XHbeEn30dFvIMvJlqHhdE1N0PI7odwpP3dbHA/lPEdbQ5MnhyJXo&#10;rj2GJt9zeGCS8p0kg0NaukxYS5OXaL0nEUgu+YEmD0lowuC2NPlcWEOTZzmAVmtba2ny+InJse+e&#10;6mWHl3SypcmTsLL2t4BYmjyEzZUny1iafGZrLU2evPnTizsMTb4no6U/gBIdV5e01tLk+07SjNpu&#10;JMvdmEuenIKT1lqafGZrLU2ew2ST1lqaPLdBrACyb2V58pm4licPqbr3w2d58mQcxfthYS1PPhfW&#10;8ORpEAR1z2Qw2eR76BqFm9eWKJ+Ja4nyCNXkqJ4lynNnCmnsbXMNUT4T1RDlC0lX73lshinfk2Xx&#10;JUJ5Jh45KekxUeOdULtcKyTTvBrxzNWCW2PM8qDLhrq55Hux551Z6T+pDg6567VGcq3CwLQ1ck0R&#10;h7HCq5DfdeU1sMKdMWenLJGXyfKxY65kebZLJK3TYTjTo24k4wYBgg8HSHV8mP5+ErJQD7nBS+Q2&#10;VMswHMKGBDiOtYaSGXg9lDpISyKay5M6y7IQrmx4ys0NXvOWnO+DaJoJeCXLX8nymRY7ecRJaR7k&#10;7OV08tHnuZxw2zWdvEpv+oz4ucny3OQUU1xwoJ2bcqyyFiOejMU6//jDkxmtmZ65RMi2o4hHprgB&#10;iezfHpbE08PNTMIzdEaGhc1cBi1ZHiOj6ibNNWz5Hu6R51tbtnwmrmXLswMTCqVZZC1bvicZtDov&#10;B72q+eQ1DpELa9jyku+aI6YWtjiy5dmVwNm0Ty1bPhPWsuU5CDExKSxbvieBtD85YNnymbCWLU/S&#10;c5YO2x7Llu8x3LgcyvSFZcvnwhq2PLtcLpx0FRu2PKc/4Ry7pyaffCasZctzJGJy8aVly0vF3m61&#10;bPlcWMOWl6JTw/XIliedfeWviLNs+UxYy5aXuxf8tt6y5ZHkyYV4li2fCWvZ8uyv5WI2IzSWLR9Q&#10;/dO2C+fWZbHJhTVsebZ+3YRmbfLJ99yQVrl5a/PJZ8IatrykOPA3xBm2PCPbTq+mICO6Go2ZmIYt&#10;z7hOLvczbHm6gWQLtvd1Qc6EW4oWDMsZgzm5cYLL9lTLtix0HF4yI61Y9ZpjJ2ME2BnPL26Dxgq5&#10;nW1yx9wSRzyjKrJRVOhlt/y9akNPd0HsyK5ceRkrOmLMex8+PT79cXMvee8j933x8F7iJiEV/vjL&#10;xQ+3j++uXPkvu9vndzf7//58u9vcLB6vXPnF10+PT/u3JIF/d/PTc+WhuLNmc6com4MfSZYPOkTu&#10;9pTbKYLKepkoz3Wuev018+QfRpQfX+LvRpR/FcEx5DR+Ok/VtYUkoXX/KoSlxl1OlH8VApkZuYsx&#10;ldh8K2yh+VawDo4QlxPlX20FjqkR4nKi/KsQluxKjAJfdjPfUbbQfEdhS4ytuJwo/2orLCn2cqL8&#10;qxA/FVH+dRDLhI17+PnhOCXKvw5iZ2s6iC1FsiU8i7MT/SfIJ6+aZB7Jzt0LifKh0+aR7Ly/kCif&#10;iGSn/4VE+UQkO6Fj8DFB7Gyp1HGyyuBConxim6xOuJAon4Ykbs9RwV1IlE9EsurhQqJ8IpKd7RcS&#10;5RORrDVwGVE+EciqiBQSu/19oniz8z2KQgqG/T0hRs6mzyqgH0+UD/0Vt4NXonxwSEnMNonrjlDg&#10;jxh53yFsm1yY0baFRzdJErJGKUfkK1EerwVjtrh9+iBUPXFiPG/3EmUd+ug/xTCyHc5ndYKkjTXO&#10;cV88+KWTR1usH4eeJ2nXfPLjQP5FPejpPa+kuUEO/qL34iYXj3HMsbjGmtKLT6RO+QHpxSdSp9yi&#10;9OITqSPvSY7MxzxYx7bnaThZAK3MH13BSTouUjGO6E7LaR/8VER5XQWvRPkrUf7PW1k8XgpPXPPJ&#10;x3R8y4psRY44G51FYbqnEzeuRPloVEyTv8fUC5nd+Q8gysMFjZYJN3Y3PtgLkRk+tcYOqxWXY7mQ&#10;neWkqANpWJlmw4RQYbqBCiMBdZ9PD6J8J3FKWXnWDUkkXVzSwh790rKWzMNaojzZKX065s4Q5Yko&#10;r5re8RZsQvlMXMeUJ2uhJ6Vbpjy4ZUV+wxDUUI6ho8rbrd58e7kiHPqSjh+UwlZth4Fk46jy5ND0&#10;DFmbUT6zuZYqz9By8YFjw1quvBCSJgwrR5bPa68jy/dVoefyhvbCqRpzykOmKH32QUeWz4Q1OeV7&#10;avY55xxZnqi355M5snwerCXLQ0xtJ831bPlSbqOwYuXY8nnAji3PXPUtcmx5IYE5BoNjy2fCOrZ8&#10;SdZxR5GzaeVFrBBo215Hl88DdnR5OPncqmPmp6PLN5IL3T61dPk8VEeXh9TWToZvTCxPYzlq4xqr&#10;ujNz2i5h+nNiKWhd+PK6yRomz5KcaEMCVHLbclmB6QItpP4u+T5JGR8rhHPYe2NkCcVHdx6oQ3mp&#10;E7AzJsqUKcLrcw3VNLl87JgrX/7Kl59YDbrkXvnyV768qMEzSsbZmdFI+1/Nl2/7suC0qnRJIVmb&#10;nT7Glse2VC8Vpms5zQFvTtOGgEjyAoFdwbl1df1BH58cNMB8ZyegrjkO88KptovEj9okrLEFtWKO&#10;PqxabzfZ7PJYXTWX3jlgBKGOB3Qy119HmJcUxa5iS5gHN3A6zaroGPN5hobNLy9H70qPWxwZ8+xO&#10;ONTsjXkYXZxrCLKR2V5HmSefPifkTIMcZZ504J7x6yjzec21lHk6khzYTpwtZx7Lqkfg7Ws50nwm&#10;sCXNc18ZzFvTXptivufWBL/ptSnmM7vZkuZpEFm/vSFpcsxTc+PNV8eaz2tuZVnzFJ3ar4Y137eF&#10;v4fLsebzYC1rnuZy+5LrZkubl80223w7Co43nwfsePNkAp+c5UUjlWyFRIdyDdXJIUPDm8+ENbx5&#10;2QWSm8I2yKaZh2zOwXX31KSZzxQrQ5ynHzkm7GavZc5L1gMncibPfCaoYc7L2HL20rbGUOelJ0g1&#10;b59etCdCK2mcds0xKj9xlmVdoyplQLnKbnI5VtwR9dxDEjapaTuiscJKFlnXoRWnd3QBbvGYOA2t&#10;WGdslemGiBe5UudFLOiIkRB/pc7fbH/Y7O4ft19IOrXd/e338dM78z1fHeCF8/RmcaXOP8OT3z8j&#10;OF+eP7z98kH+gt/NiYKPD3e/vj3c2s/hV2835fbj9vH9ZvfL/wEAAP//AwBQSwMEFAAGAAgAAAAh&#10;AC516gHjAAAADAEAAA8AAABkcnMvZG93bnJldi54bWxMj8FuwjAQRO+V+g/WVuoNHJOGQhoHIdT2&#10;hJAKlRC3JV6SiNiOYpOEv697ao+reZp5m61G3bCeOldbI0FMI2BkCqtqU0r4PnxMFsCcR6OwsYYk&#10;3MnBKn98yDBVdjBf1O99yUKJcSlKqLxvU85dUZFGN7UtmZBdbKfRh7MruepwCOW64bMomnONtQkL&#10;Fba0qai47m9awueAwzoW7/32etncT4dkd9wKkvL5aVy/AfM0+j8YfvWDOuTB6WxvRjnWSJiIeBlQ&#10;CbPkNQYWiGUSvQA7B1QskjnwPOP/n8h/AAAA//8DAFBLAQItABQABgAIAAAAIQC2gziS/gAAAOEB&#10;AAATAAAAAAAAAAAAAAAAAAAAAABbQ29udGVudF9UeXBlc10ueG1sUEsBAi0AFAAGAAgAAAAhADj9&#10;If/WAAAAlAEAAAsAAAAAAAAAAAAAAAAALwEAAF9yZWxzLy5yZWxzUEsBAi0AFAAGAAgAAAAhACa/&#10;GilaKgAA2wMBAA4AAAAAAAAAAAAAAAAALgIAAGRycy9lMm9Eb2MueG1sUEsBAi0AFAAGAAgAAAAh&#10;AC516gHjAAAADAEAAA8AAAAAAAAAAAAAAAAAtCwAAGRycy9kb3ducmV2LnhtbFBLBQYAAAAABAAE&#10;APMAAADELQAAAAA=&#10;" o:allowoverlap="f">
                <v:rect id="Rectangle 5" o:spid="_x0000_s1027" style="position:absolute;top:9188;width:77165;height:49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jNyAAAAOIAAAAPAAAAZHJzL2Rvd25yZXYueG1sRE9bS8Mw&#10;FH4X/A/hCL7Ilq4w6eqyIcpAmDh3edjjoTm2xeSkJNna7dcbQfDx47vPl4M14kw+tI4VTMYZCOLK&#10;6ZZrBYf9alSACBFZo3FMCi4UYLm4vZljqV3PWzrvYi1SCIcSFTQxdqWUoWrIYhi7jjhxX85bjAn6&#10;WmqPfQq3RuZZ9igttpwaGuzopaHqe3eyClbBHN9743r/ED8Oxef6uslPr0rd3w3PTyAiDfFf/Od+&#10;02l+Np0Us2KWw++lhEEufgAAAP//AwBQSwECLQAUAAYACAAAACEA2+H2y+4AAACFAQAAEwAAAAAA&#10;AAAAAAAAAAAAAAAAW0NvbnRlbnRfVHlwZXNdLnhtbFBLAQItABQABgAIAAAAIQBa9CxbvwAAABUB&#10;AAALAAAAAAAAAAAAAAAAAB8BAABfcmVscy8ucmVsc1BLAQItABQABgAIAAAAIQAdufjNyAAAAOIA&#10;AAAPAAAAAAAAAAAAAAAAAAcCAABkcnMvZG93bnJldi54bWxQSwUGAAAAAAMAAwC3AAAA/AIAAAAA&#10;" fillcolor="white [3212]" strokecolor="#a5a5a5 [2092]" strokeweight="1pt"/>
                <v:rect id="Rectangle 5" o:spid="_x0000_s1028" style="position:absolute;width:77165;height: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fKxgAAAOIAAAAPAAAAZHJzL2Rvd25yZXYueG1sRE9da8Iw&#10;FH0f7D+EK/g201Yq2hnFTWRjb1b3fmmuTbG5KU1mu/36ZTDw8XC+19vRtuJGvW8cK0hnCQjiyumG&#10;awXn0+FpCcIHZI2tY1LwTR62m8eHNRbaDXykWxlqEUPYF6jAhNAVUvrKkEU/cx1x5C6utxgi7Gup&#10;exxiuG1lliQLabHh2GCwo1dD1bX8sgrK/fIzu36sfszb0Ozn53KXpi+1UtPJuHsGEWgMd/G/+13H&#10;+Xmep9l8sYK/SxGD3PwCAAD//wMAUEsBAi0AFAAGAAgAAAAhANvh9svuAAAAhQEAABMAAAAAAAAA&#10;AAAAAAAAAAAAAFtDb250ZW50X1R5cGVzXS54bWxQSwECLQAUAAYACAAAACEAWvQsW78AAAAVAQAA&#10;CwAAAAAAAAAAAAAAAAAfAQAAX3JlbHMvLnJlbHNQSwECLQAUAAYACAAAACEAMEj3ysYAAADiAAAA&#10;DwAAAAAAAAAAAAAAAAAHAgAAZHJzL2Rvd25yZXYueG1sUEsFBgAAAAADAAMAtwAAAPoCAAAAAA==&#10;" fillcolor="#e5e97a" strokecolor="#a5a5a5 [2092]" strokeweight="1pt"/>
                <v:rect id="Rectangle 5" o:spid="_x0000_s1029" style="position:absolute;top:4080;width:77165;height:7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NLywAAAOIAAAAPAAAAZHJzL2Rvd25yZXYueG1sRI/NasMw&#10;EITvhbyD2EJvjRyRNMaNEkKbQmgPIT+HHBdra4taK2PJsfv2VaHQ4zAz3zCrzegacaMuWM8aZtMM&#10;BHHpjeVKw+X89piDCBHZYOOZNHxTgM16crfCwviBj3Q7xUokCIcCNdQxtoWUoazJYZj6ljh5n75z&#10;GJPsKmk6HBLcNVJl2ZN0aDkt1NjSS03l16l3GubL3WV3iO/2w173Oc5e+6saeq0f7sftM4hIY/wP&#10;/7X3RsNyrhaLXCkFv5fSHZDrHwAAAP//AwBQSwECLQAUAAYACAAAACEA2+H2y+4AAACFAQAAEwAA&#10;AAAAAAAAAAAAAAAAAAAAW0NvbnRlbnRfVHlwZXNdLnhtbFBLAQItABQABgAIAAAAIQBa9CxbvwAA&#10;ABUBAAALAAAAAAAAAAAAAAAAAB8BAABfcmVscy8ucmVsc1BLAQItABQABgAIAAAAIQB+q9NLywAA&#10;AOIAAAAPAAAAAAAAAAAAAAAAAAcCAABkcnMvZG93bnJldi54bWxQSwUGAAAAAAMAAwC3AAAA/wIA&#10;AAAA&#10;" fillcolor="#fbfade" strokecolor="#a5a5a5 [2092]" strokeweight="1pt"/>
                <v:rect id="Rectangle 5" o:spid="_x0000_s1030" style="position:absolute;left:106;top:18723;width:77165;height:9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agmygAAAOIAAAAPAAAAZHJzL2Rvd25yZXYueG1sRI9Ba8JA&#10;FITvhf6H5RV6q7sRW0PqKmItSHsQrQePj+wzWcy+DdmNSf99t1DocZj5ZpjFanSNuFEXrGcN2USB&#10;IC69sVxpOH29P+UgQkQ22HgmDd8UYLW8v1tgYfzAB7odYyVSCYcCNdQxtoWUoazJYZj4ljh5F985&#10;jEl2lTQdDqncNXKq1It0aDkt1NjSpqbyeuydhtl8e9ru44f9tOddjtlbf54OvdaPD+P6FUSkMf6H&#10;/+idSVyuntUszzL4vZTugFz+AAAA//8DAFBLAQItABQABgAIAAAAIQDb4fbL7gAAAIUBAAATAAAA&#10;AAAAAAAAAAAAAAAAAABbQ29udGVudF9UeXBlc10ueG1sUEsBAi0AFAAGAAgAAAAhAFr0LFu/AAAA&#10;FQEAAAsAAAAAAAAAAAAAAAAAHwEAAF9yZWxzLy5yZWxzUEsBAi0AFAAGAAgAAAAhAAeNqCbKAAAA&#10;4gAAAA8AAAAAAAAAAAAAAAAABwIAAGRycy9kb3ducmV2LnhtbFBLBQYAAAAAAwADALcAAAD+AgAA&#10;AAA=&#10;" fillcolor="#fbfade" strokecolor="#a5a5a5 [2092]" strokeweight="1pt"/>
                <v:rect id="Rectangle 5" o:spid="_x0000_s1031" style="position:absolute;top:38414;width:77165;height:9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9OCyQAAAOMAAAAPAAAAZHJzL2Rvd25yZXYueG1sRE9La8JA&#10;EL4X+h+WKfRWN7HBR+oqYi1IPYjWg8chOyaL2dmQ3Zj033cLhR7ne89iNdha3Kn1xrGCdJSAIC6c&#10;NlwqOH99vMxA+ICssXZMCr7Jw2r5+LDAXLuej3Q/hVLEEPY5KqhCaHIpfVGRRT9yDXHkrq61GOLZ&#10;llK32MdwW8txkkykRcOxocKGNhUVt1NnFWTT7Xl7CJ9mby67Gabv3WXcd0o9Pw3rNxCBhvAv/nPv&#10;dJyfTObTeZa+ZvD7UwRALn8AAAD//wMAUEsBAi0AFAAGAAgAAAAhANvh9svuAAAAhQEAABMAAAAA&#10;AAAAAAAAAAAAAAAAAFtDb250ZW50X1R5cGVzXS54bWxQSwECLQAUAAYACAAAACEAWvQsW78AAAAV&#10;AQAACwAAAAAAAAAAAAAAAAAfAQAAX3JlbHMvLnJlbHNQSwECLQAUAAYACAAAACEA0Z/TgskAAADj&#10;AAAADwAAAAAAAAAAAAAAAAAHAgAAZHJzL2Rvd25yZXYueG1sUEsFBgAAAAADAAMAtwAAAP0CAAAA&#10;AA==&#10;" fillcolor="#fbfade" strokecolor="#a5a5a5 [2092]" strokeweight="1pt"/>
                <w10:wrap anchorx="margin" anchory="page"/>
                <w10:anchorlock/>
              </v:group>
            </w:pict>
          </mc:Fallback>
        </mc:AlternateContent>
      </w:r>
      <w:bookmarkEnd w:id="242"/>
    </w:p>
    <w:tbl>
      <w:tblPr>
        <w:tblW w:w="0" w:type="auto"/>
        <w:tblCellMar>
          <w:top w:w="113" w:type="dxa"/>
          <w:bottom w:w="113" w:type="dxa"/>
        </w:tblCellMar>
        <w:tblLook w:val="0000" w:firstRow="0" w:lastRow="0" w:firstColumn="0" w:lastColumn="0" w:noHBand="0" w:noVBand="0"/>
      </w:tblPr>
      <w:tblGrid>
        <w:gridCol w:w="669"/>
        <w:gridCol w:w="8347"/>
      </w:tblGrid>
      <w:tr w:rsidR="00EE5DF2" w:rsidRPr="008049FC" w14:paraId="52837028" w14:textId="77777777" w:rsidTr="00540CED">
        <w:trPr>
          <w:cantSplit/>
        </w:trPr>
        <w:tc>
          <w:tcPr>
            <w:tcW w:w="9016" w:type="dxa"/>
            <w:gridSpan w:val="2"/>
            <w:shd w:val="clear" w:color="auto" w:fill="auto"/>
          </w:tcPr>
          <w:p w14:paraId="22D14CFE" w14:textId="77777777" w:rsidR="008049FC" w:rsidRPr="005B7538" w:rsidRDefault="008049FC">
            <w:pPr>
              <w:keepNext/>
              <w:spacing w:before="40" w:after="40" w:line="240" w:lineRule="auto"/>
              <w:jc w:val="left"/>
              <w:outlineLvl w:val="4"/>
              <w:rPr>
                <w:rFonts w:ascii="Arial" w:eastAsia="Arial" w:hAnsi="Arial" w:cs="Arial"/>
                <w:b/>
                <w:color w:val="000000"/>
                <w:sz w:val="24"/>
                <w:szCs w:val="24"/>
              </w:rPr>
            </w:pPr>
            <w:r w:rsidRPr="008049FC">
              <w:rPr>
                <w:rFonts w:ascii="Arial" w:eastAsia="Cambria" w:hAnsi="Arial" w:cs="Arial"/>
                <w:b/>
                <w:bCs/>
                <w:color w:val="000000"/>
                <w:szCs w:val="20"/>
              </w:rPr>
              <w:br w:type="page"/>
            </w:r>
            <w:r w:rsidRPr="005B7538">
              <w:rPr>
                <w:rFonts w:ascii="Arial" w:eastAsia="Arial" w:hAnsi="Arial" w:cs="Arial"/>
                <w:b/>
                <w:color w:val="000000"/>
                <w:sz w:val="24"/>
                <w:szCs w:val="24"/>
              </w:rPr>
              <w:t>Key findings</w:t>
            </w:r>
          </w:p>
        </w:tc>
      </w:tr>
      <w:tr w:rsidR="00EE5DF2" w:rsidRPr="008049FC" w14:paraId="5314B6C1" w14:textId="77777777" w:rsidTr="00540CED">
        <w:trPr>
          <w:cantSplit/>
          <w:trHeight w:val="988"/>
        </w:trPr>
        <w:tc>
          <w:tcPr>
            <w:tcW w:w="669" w:type="dxa"/>
            <w:shd w:val="clear" w:color="auto" w:fill="auto"/>
            <w:vAlign w:val="center"/>
          </w:tcPr>
          <w:p w14:paraId="17729E1A" w14:textId="77777777" w:rsidR="008049FC" w:rsidRPr="008049FC" w:rsidRDefault="00EE5DF2">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1</w:t>
            </w:r>
          </w:p>
        </w:tc>
        <w:tc>
          <w:tcPr>
            <w:tcW w:w="8347" w:type="dxa"/>
            <w:shd w:val="clear" w:color="auto" w:fill="auto"/>
          </w:tcPr>
          <w:p w14:paraId="232810AE" w14:textId="54E500C2" w:rsidR="008049FC" w:rsidRPr="00EE5DF2" w:rsidRDefault="00EE5DF2" w:rsidP="00EE5DF2">
            <w:pPr>
              <w:pStyle w:val="Bullet1"/>
              <w:ind w:left="0" w:firstLine="0"/>
              <w:jc w:val="left"/>
            </w:pPr>
            <w:r w:rsidRPr="002D2A02">
              <w:t xml:space="preserve">Higher levels of primary care activity were most often associated with increased </w:t>
            </w:r>
            <w:r>
              <w:t>care in hospitals</w:t>
            </w:r>
            <w:r w:rsidRPr="002D2A02">
              <w:t>. Similarly, higher rates of MBS chronic care activity were accompanied by higher rates of diabetes hospitalisation.</w:t>
            </w:r>
          </w:p>
        </w:tc>
      </w:tr>
      <w:tr w:rsidR="00EE5DF2" w:rsidRPr="008049FC" w14:paraId="01F3C3D3" w14:textId="77777777" w:rsidTr="00540CED">
        <w:trPr>
          <w:cantSplit/>
          <w:trHeight w:val="547"/>
        </w:trPr>
        <w:tc>
          <w:tcPr>
            <w:tcW w:w="669" w:type="dxa"/>
            <w:shd w:val="clear" w:color="auto" w:fill="auto"/>
            <w:vAlign w:val="center"/>
          </w:tcPr>
          <w:p w14:paraId="5CB3F842" w14:textId="77777777" w:rsidR="008049FC" w:rsidRPr="008049FC" w:rsidRDefault="00EE5DF2">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2</w:t>
            </w:r>
          </w:p>
        </w:tc>
        <w:tc>
          <w:tcPr>
            <w:tcW w:w="8347" w:type="dxa"/>
            <w:shd w:val="clear" w:color="auto" w:fill="auto"/>
          </w:tcPr>
          <w:p w14:paraId="7F47D643" w14:textId="2D065146" w:rsidR="008049FC" w:rsidRPr="008049FC" w:rsidRDefault="00EE5DF2">
            <w:pPr>
              <w:spacing w:before="40" w:after="40" w:line="240" w:lineRule="auto"/>
              <w:jc w:val="left"/>
              <w:rPr>
                <w:rFonts w:ascii="Arial" w:eastAsia="Arial" w:hAnsi="Arial" w:cs="Times New Roman"/>
                <w:lang w:val="en-NZ"/>
              </w:rPr>
            </w:pPr>
            <w:r w:rsidRPr="002D2A02">
              <w:t xml:space="preserve">Strong correlations between MBS chronic care activity and </w:t>
            </w:r>
            <w:r>
              <w:t>hospital care</w:t>
            </w:r>
            <w:r w:rsidRPr="002D2A02">
              <w:t xml:space="preserve"> were associated with lower rates of mortality for diabetes</w:t>
            </w:r>
            <w:r>
              <w:t>, indicated that when people receive care it makes a positive difference</w:t>
            </w:r>
            <w:r w:rsidRPr="002D2A02">
              <w:t>.</w:t>
            </w:r>
          </w:p>
        </w:tc>
      </w:tr>
      <w:tr w:rsidR="00EE5DF2" w:rsidRPr="008049FC" w14:paraId="5366189E" w14:textId="77777777" w:rsidTr="00540CED">
        <w:trPr>
          <w:cantSplit/>
          <w:trHeight w:val="547"/>
        </w:trPr>
        <w:tc>
          <w:tcPr>
            <w:tcW w:w="669" w:type="dxa"/>
            <w:shd w:val="clear" w:color="auto" w:fill="auto"/>
            <w:vAlign w:val="center"/>
          </w:tcPr>
          <w:p w14:paraId="7FAC3650" w14:textId="77777777" w:rsidR="008049FC" w:rsidRPr="008049FC" w:rsidRDefault="00EE5DF2">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3</w:t>
            </w:r>
          </w:p>
        </w:tc>
        <w:tc>
          <w:tcPr>
            <w:tcW w:w="8347" w:type="dxa"/>
            <w:shd w:val="clear" w:color="auto" w:fill="auto"/>
          </w:tcPr>
          <w:p w14:paraId="0CAC91E8" w14:textId="378D6C6F" w:rsidR="008049FC" w:rsidRPr="008049FC" w:rsidRDefault="00EE5DF2">
            <w:pPr>
              <w:spacing w:before="40" w:after="40" w:line="240" w:lineRule="auto"/>
              <w:jc w:val="left"/>
              <w:rPr>
                <w:rFonts w:ascii="Arial" w:eastAsia="Arial" w:hAnsi="Arial" w:cs="Times New Roman"/>
                <w:lang w:val="en-NZ"/>
              </w:rPr>
            </w:pPr>
            <w:r w:rsidRPr="002D2A02">
              <w:t>Within the evaluation sites, one-third of the nKPIs of protective/risk factors, health outcomes, and health service use showed improvement over time. There was significant variability in nKPIs within and between sites. Client nKPI outcomes tended to cluster within sites with scores on one measure systematically corresponding to scores on other measures</w:t>
            </w:r>
            <w:r>
              <w:t>.</w:t>
            </w:r>
          </w:p>
        </w:tc>
      </w:tr>
      <w:tr w:rsidR="00EE5DF2" w:rsidRPr="008049FC" w14:paraId="117EC28B" w14:textId="77777777" w:rsidTr="00540CED">
        <w:trPr>
          <w:cantSplit/>
          <w:trHeight w:val="547"/>
        </w:trPr>
        <w:tc>
          <w:tcPr>
            <w:tcW w:w="669" w:type="dxa"/>
            <w:shd w:val="clear" w:color="auto" w:fill="auto"/>
            <w:vAlign w:val="center"/>
          </w:tcPr>
          <w:p w14:paraId="0ECB4D1A" w14:textId="77777777" w:rsidR="008049FC" w:rsidRPr="008049FC" w:rsidRDefault="00EE5DF2">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4</w:t>
            </w:r>
          </w:p>
        </w:tc>
        <w:tc>
          <w:tcPr>
            <w:tcW w:w="8347" w:type="dxa"/>
            <w:shd w:val="clear" w:color="auto" w:fill="auto"/>
          </w:tcPr>
          <w:p w14:paraId="2859A0E9" w14:textId="3AC67C59" w:rsidR="008049FC" w:rsidRPr="008049FC" w:rsidRDefault="00EE5DF2">
            <w:pPr>
              <w:spacing w:before="40" w:after="40" w:line="240" w:lineRule="auto"/>
              <w:jc w:val="left"/>
              <w:rPr>
                <w:rFonts w:ascii="Arial" w:eastAsia="Arial" w:hAnsi="Arial" w:cs="Times New Roman"/>
                <w:lang w:val="en-NZ"/>
              </w:rPr>
            </w:pPr>
            <w:r w:rsidRPr="002D2A02">
              <w:t xml:space="preserve">Within IAHP funded organisations in the evaluation site, more than half of adults and more than one-third of children had a health assessment. There was no clear evidence that this had changed over time. The proportion of </w:t>
            </w:r>
            <w:r w:rsidRPr="002D2A02">
              <w:rPr>
                <w:i/>
                <w:iCs/>
              </w:rPr>
              <w:t>all</w:t>
            </w:r>
            <w:r w:rsidRPr="002D2A02">
              <w:t xml:space="preserve"> Aboriginal and Torres Strait Islander site residents who received a health assessment had increased over time</w:t>
            </w:r>
            <w:r>
              <w:t>.</w:t>
            </w:r>
          </w:p>
        </w:tc>
      </w:tr>
      <w:tr w:rsidR="00EE5DF2" w:rsidRPr="008049FC" w14:paraId="1C52A62C" w14:textId="77777777" w:rsidTr="00540CED">
        <w:trPr>
          <w:cantSplit/>
          <w:trHeight w:val="547"/>
        </w:trPr>
        <w:tc>
          <w:tcPr>
            <w:tcW w:w="669" w:type="dxa"/>
            <w:shd w:val="clear" w:color="auto" w:fill="auto"/>
            <w:vAlign w:val="center"/>
          </w:tcPr>
          <w:p w14:paraId="46FA154E" w14:textId="77777777" w:rsidR="008049FC" w:rsidRPr="008049FC" w:rsidRDefault="00EE5DF2">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5</w:t>
            </w:r>
          </w:p>
        </w:tc>
        <w:tc>
          <w:tcPr>
            <w:tcW w:w="8347" w:type="dxa"/>
            <w:shd w:val="clear" w:color="auto" w:fill="auto"/>
          </w:tcPr>
          <w:p w14:paraId="03101DC4" w14:textId="3F73F70D" w:rsidR="008049FC" w:rsidRPr="008049FC" w:rsidRDefault="00EE5DF2">
            <w:pPr>
              <w:spacing w:before="40" w:after="40" w:line="240" w:lineRule="auto"/>
              <w:jc w:val="left"/>
              <w:rPr>
                <w:rFonts w:ascii="Arial" w:eastAsia="Arial" w:hAnsi="Arial" w:cs="Times New Roman"/>
                <w:lang w:val="en-NZ"/>
              </w:rPr>
            </w:pPr>
            <w:r w:rsidRPr="002D2A02">
              <w:t>Of a set of primary care activity, demographic and socio-economic variables, being in the NT, remoteness and age were the most important variables for explaining differences in health outcomes within the evaluation sites. Changes in rates of GP attendance over time was the most important variable for explaining changes in health outcomes over time</w:t>
            </w:r>
            <w:r>
              <w:t>,</w:t>
            </w:r>
          </w:p>
        </w:tc>
      </w:tr>
      <w:tr w:rsidR="00EE5DF2" w:rsidRPr="008049FC" w14:paraId="37028AAF" w14:textId="77777777" w:rsidTr="00540CED">
        <w:trPr>
          <w:cantSplit/>
          <w:trHeight w:val="547"/>
        </w:trPr>
        <w:tc>
          <w:tcPr>
            <w:tcW w:w="669" w:type="dxa"/>
            <w:shd w:val="clear" w:color="auto" w:fill="auto"/>
            <w:vAlign w:val="center"/>
          </w:tcPr>
          <w:p w14:paraId="29BDA1C8" w14:textId="77777777" w:rsidR="008049FC" w:rsidRPr="008049FC" w:rsidRDefault="00EE5DF2">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6</w:t>
            </w:r>
          </w:p>
        </w:tc>
        <w:tc>
          <w:tcPr>
            <w:tcW w:w="8347" w:type="dxa"/>
            <w:shd w:val="clear" w:color="auto" w:fill="auto"/>
          </w:tcPr>
          <w:p w14:paraId="6AF43E2F" w14:textId="088760BE" w:rsidR="008049FC" w:rsidRPr="008049FC" w:rsidRDefault="00EE5DF2">
            <w:pPr>
              <w:spacing w:before="40" w:after="40" w:line="240" w:lineRule="auto"/>
              <w:jc w:val="left"/>
              <w:rPr>
                <w:rFonts w:ascii="Arial" w:eastAsia="Arial" w:hAnsi="Arial" w:cs="Times New Roman"/>
                <w:lang w:val="en-NZ"/>
              </w:rPr>
            </w:pPr>
            <w:r w:rsidRPr="002D2A02">
              <w:t>Of the same set of variables, having greater economic resources and higher relative socio-economic outcomes were the most important variables in explaining lower morbidity and mortality. All of the socio-economic measures (education and occupation, economic resources, and socio-economic advantage and disadvantage) were positively associated with normal birthweight</w:t>
            </w:r>
            <w:r>
              <w:t>.</w:t>
            </w:r>
          </w:p>
        </w:tc>
      </w:tr>
    </w:tbl>
    <w:p w14:paraId="16C017CB" w14:textId="42426567" w:rsidR="008C09BD" w:rsidRDefault="008C09BD">
      <w:pPr>
        <w:jc w:val="left"/>
        <w:rPr>
          <w:b/>
          <w:bCs/>
          <w:color w:val="9E6047" w:themeColor="accent3"/>
          <w:sz w:val="36"/>
          <w:szCs w:val="36"/>
        </w:rPr>
      </w:pPr>
      <w:bookmarkStart w:id="243" w:name="_Toc130802297"/>
      <w:bookmarkStart w:id="244" w:name="_Toc131415195"/>
      <w:bookmarkStart w:id="245" w:name="_Toc131490350"/>
      <w:bookmarkEnd w:id="243"/>
      <w:bookmarkEnd w:id="244"/>
      <w:bookmarkEnd w:id="245"/>
    </w:p>
    <w:p w14:paraId="0838F371" w14:textId="77777777" w:rsidR="00540CED" w:rsidRDefault="00540CED">
      <w:pPr>
        <w:jc w:val="left"/>
        <w:rPr>
          <w:b/>
          <w:bCs/>
          <w:color w:val="9E6047" w:themeColor="accent3"/>
          <w:sz w:val="36"/>
          <w:szCs w:val="36"/>
        </w:rPr>
      </w:pPr>
      <w:r>
        <w:rPr>
          <w:b/>
          <w:bCs/>
          <w:color w:val="9E6047" w:themeColor="accent3"/>
          <w:sz w:val="36"/>
          <w:szCs w:val="36"/>
        </w:rPr>
        <w:br w:type="page"/>
      </w:r>
    </w:p>
    <w:p w14:paraId="62D793FC" w14:textId="7AFB0AE0" w:rsidR="00143295" w:rsidRPr="00AF1659" w:rsidRDefault="00143295" w:rsidP="0035030F">
      <w:pPr>
        <w:pStyle w:val="Heading2"/>
      </w:pPr>
      <w:bookmarkStart w:id="246" w:name="_Toc137208934"/>
      <w:r w:rsidRPr="00AF1659">
        <w:lastRenderedPageBreak/>
        <w:t>Overview</w:t>
      </w:r>
      <w:bookmarkEnd w:id="246"/>
      <w:r w:rsidRPr="00AF1659">
        <w:t xml:space="preserve"> </w:t>
      </w:r>
    </w:p>
    <w:p w14:paraId="74AE7B6A" w14:textId="77777777" w:rsidR="00143295" w:rsidRPr="002D2A02" w:rsidRDefault="00143295" w:rsidP="00143295">
      <w:pPr>
        <w:spacing w:line="264" w:lineRule="auto"/>
      </w:pPr>
      <w:r w:rsidRPr="002D2A02">
        <w:t xml:space="preserve">This section examines the difference the IAHP is making to the health and wellbeing of Aboriginal and Torres Strait Islander people (KEQ3). </w:t>
      </w:r>
    </w:p>
    <w:p w14:paraId="301D8A89" w14:textId="49406491" w:rsidR="001C71C7" w:rsidRDefault="00143295" w:rsidP="00143295">
      <w:r w:rsidRPr="002D2A02">
        <w:t xml:space="preserve">The section begins by examining associations between </w:t>
      </w:r>
      <w:r w:rsidR="003279C5">
        <w:t>PHC</w:t>
      </w:r>
      <w:r w:rsidRPr="002D2A02">
        <w:t xml:space="preserve"> activity, hospitalisations and mortality. Evaluation site level data is then analysed for evidence of whether risk factors, health service use and health and wellbeing outcomes are changing over time. Lastly, this section examines associations between social determinants of health, primary care activity, and health and wellbeing outcomes.</w:t>
      </w:r>
    </w:p>
    <w:p w14:paraId="4B137389" w14:textId="5CE10C91" w:rsidR="00143295" w:rsidRDefault="001C71C7" w:rsidP="00143295">
      <w:pPr>
        <w:rPr>
          <w:b/>
          <w:bCs/>
          <w:highlight w:val="yellow"/>
          <w:lang w:val="en-NZ"/>
        </w:rPr>
      </w:pPr>
      <w:r w:rsidRPr="002D2A02">
        <w:t xml:space="preserve">Full details of the analytical approach and findings are in </w:t>
      </w:r>
      <w:r>
        <w:t>the separate document Final Report Quan</w:t>
      </w:r>
      <w:r w:rsidRPr="001A2F76">
        <w:t>titative</w:t>
      </w:r>
      <w:r>
        <w:t xml:space="preserve"> Analytical Approach and Findings and</w:t>
      </w:r>
      <w:r w:rsidRPr="001A2F76">
        <w:t xml:space="preserve"> the methodology is described in Final Report Supporting Material</w:t>
      </w:r>
      <w:r w:rsidR="00E954E2">
        <w:t xml:space="preserve"> </w:t>
      </w:r>
      <w:r w:rsidRPr="001A2F76">
        <w:t>Appendix C.</w:t>
      </w:r>
      <w:r w:rsidR="00AA35E2">
        <w:t xml:space="preserve"> </w:t>
      </w:r>
    </w:p>
    <w:p w14:paraId="4942B748" w14:textId="08F77372" w:rsidR="00143295" w:rsidRPr="00AF1659" w:rsidRDefault="00143295" w:rsidP="00150D78">
      <w:pPr>
        <w:pStyle w:val="Heading6"/>
        <w:numPr>
          <w:ilvl w:val="0"/>
          <w:numId w:val="0"/>
        </w:numPr>
      </w:pPr>
      <w:r w:rsidRPr="00AF1659">
        <w:t>Data</w:t>
      </w:r>
      <w:r w:rsidR="00194CF5" w:rsidRPr="00AF1659">
        <w:t xml:space="preserve"> sources and methods</w:t>
      </w:r>
    </w:p>
    <w:p w14:paraId="455FF2FD" w14:textId="45271AF3" w:rsidR="00143295" w:rsidRDefault="00143295" w:rsidP="00143295">
      <w:pPr>
        <w:spacing w:line="264" w:lineRule="auto"/>
      </w:pPr>
      <w:r w:rsidRPr="002D2A02">
        <w:t>T</w:t>
      </w:r>
      <w:r w:rsidR="006A164D">
        <w:t xml:space="preserve">en </w:t>
      </w:r>
      <w:r w:rsidR="006074F8">
        <w:t>r</w:t>
      </w:r>
      <w:r w:rsidRPr="002D2A02">
        <w:t>outinely collected administrative and clinical quantitative data sets</w:t>
      </w:r>
      <w:r>
        <w:t xml:space="preserve"> were identified through a data feasibility assessment (DFA)</w:t>
      </w:r>
      <w:r w:rsidR="00E24B07">
        <w:t xml:space="preserve"> and accessed through data custodians. T</w:t>
      </w:r>
      <w:r w:rsidRPr="002D2A02">
        <w:t>here was limited data available on IAHP funding</w:t>
      </w:r>
      <w:r>
        <w:t>, including no data at the site level</w:t>
      </w:r>
      <w:r w:rsidRPr="002D2A02">
        <w:t>.</w:t>
      </w:r>
      <w:r>
        <w:t xml:space="preserve"> This limited the ability to attribute health and wellbeing outcomes to IAHP activities and programs.</w:t>
      </w:r>
    </w:p>
    <w:p w14:paraId="45EB4801" w14:textId="26C5D7A3" w:rsidR="006D022C" w:rsidRDefault="006D022C" w:rsidP="006D022C">
      <w:pPr>
        <w:spacing w:line="264" w:lineRule="auto"/>
        <w:rPr>
          <w:lang w:val="en-NZ"/>
        </w:rPr>
      </w:pPr>
      <w:r w:rsidRPr="006D022C">
        <w:rPr>
          <w:lang w:val="en-NZ"/>
        </w:rPr>
        <w:t xml:space="preserve">Several analytic approaches were applied to complete the analysis of the quantitative data. </w:t>
      </w:r>
    </w:p>
    <w:p w14:paraId="4737E88C" w14:textId="77777777" w:rsidR="00DF573A" w:rsidRPr="00343EB2" w:rsidRDefault="00DF573A" w:rsidP="00343EB2">
      <w:pPr>
        <w:numPr>
          <w:ilvl w:val="0"/>
          <w:numId w:val="19"/>
        </w:numPr>
        <w:spacing w:after="120"/>
        <w:rPr>
          <w:bCs/>
        </w:rPr>
      </w:pPr>
      <w:r w:rsidRPr="00343EB2">
        <w:rPr>
          <w:bCs/>
        </w:rPr>
        <w:t>T</w:t>
      </w:r>
      <w:r w:rsidR="00C80ED3" w:rsidRPr="00343EB2">
        <w:rPr>
          <w:bCs/>
        </w:rPr>
        <w:t>he development of a custom traffic light approach for publicly available data to examine high-level effects of health service activity on hospital</w:t>
      </w:r>
      <w:r w:rsidRPr="00343EB2">
        <w:rPr>
          <w:bCs/>
        </w:rPr>
        <w:t xml:space="preserve"> care and </w:t>
      </w:r>
      <w:r w:rsidR="00C80ED3" w:rsidRPr="00343EB2">
        <w:rPr>
          <w:bCs/>
        </w:rPr>
        <w:t>mortality.</w:t>
      </w:r>
    </w:p>
    <w:p w14:paraId="412DD900" w14:textId="77777777" w:rsidR="00F824D4" w:rsidRPr="00343EB2" w:rsidRDefault="00DF573A" w:rsidP="00343EB2">
      <w:pPr>
        <w:numPr>
          <w:ilvl w:val="0"/>
          <w:numId w:val="19"/>
        </w:numPr>
        <w:spacing w:after="120"/>
        <w:rPr>
          <w:bCs/>
        </w:rPr>
      </w:pPr>
      <w:r w:rsidRPr="00343EB2">
        <w:rPr>
          <w:bCs/>
        </w:rPr>
        <w:t>T</w:t>
      </w:r>
      <w:r w:rsidR="00C80ED3" w:rsidRPr="00343EB2">
        <w:rPr>
          <w:bCs/>
        </w:rPr>
        <w:t xml:space="preserve">he analysis of routinely collected data sets at state, territory and site levels. </w:t>
      </w:r>
    </w:p>
    <w:p w14:paraId="3D97BD3D" w14:textId="1D1B6CBE" w:rsidR="009D29D7" w:rsidRPr="00343EB2" w:rsidRDefault="009D29D7" w:rsidP="00343EB2">
      <w:pPr>
        <w:numPr>
          <w:ilvl w:val="0"/>
          <w:numId w:val="19"/>
        </w:numPr>
        <w:spacing w:after="120"/>
        <w:rPr>
          <w:bCs/>
        </w:rPr>
      </w:pPr>
      <w:r w:rsidRPr="00343EB2">
        <w:rPr>
          <w:bCs/>
        </w:rPr>
        <w:t>Clustering was used to explore which nKPIs were most similar to each other.</w:t>
      </w:r>
    </w:p>
    <w:p w14:paraId="1A3A0A5A" w14:textId="77777777" w:rsidR="009D29D7" w:rsidRPr="00343EB2" w:rsidRDefault="009D29D7" w:rsidP="00343EB2">
      <w:pPr>
        <w:numPr>
          <w:ilvl w:val="0"/>
          <w:numId w:val="19"/>
        </w:numPr>
        <w:spacing w:after="120"/>
        <w:rPr>
          <w:bCs/>
        </w:rPr>
      </w:pPr>
      <w:r w:rsidRPr="00343EB2">
        <w:rPr>
          <w:bCs/>
        </w:rPr>
        <w:t xml:space="preserve">Principal Components Analysis (PCA) was used to reduce the dimensionality of the data set by clustering items into a smaller set of uncorrelated variables (the principal components (PCs)). </w:t>
      </w:r>
    </w:p>
    <w:p w14:paraId="4E4A7FD7" w14:textId="44388889" w:rsidR="00C80ED3" w:rsidRPr="00343EB2" w:rsidRDefault="00C80ED3" w:rsidP="00343EB2">
      <w:pPr>
        <w:numPr>
          <w:ilvl w:val="0"/>
          <w:numId w:val="19"/>
        </w:numPr>
        <w:spacing w:after="120"/>
        <w:rPr>
          <w:bCs/>
        </w:rPr>
      </w:pPr>
      <w:r w:rsidRPr="00343EB2">
        <w:rPr>
          <w:bCs/>
        </w:rPr>
        <w:t xml:space="preserve">Multiple linear regression analysis to quantify the relative contributions of social determinants and </w:t>
      </w:r>
      <w:r w:rsidR="003279C5" w:rsidRPr="00343EB2">
        <w:rPr>
          <w:bCs/>
        </w:rPr>
        <w:t>PHC</w:t>
      </w:r>
      <w:r w:rsidRPr="00343EB2">
        <w:rPr>
          <w:bCs/>
        </w:rPr>
        <w:t xml:space="preserve"> on health outcomes for Aboriginal and Torres Strait Islander pe</w:t>
      </w:r>
      <w:r w:rsidR="00D23DFC" w:rsidRPr="00343EB2">
        <w:rPr>
          <w:bCs/>
        </w:rPr>
        <w:t>ople.</w:t>
      </w:r>
    </w:p>
    <w:p w14:paraId="0CF9BE16" w14:textId="01E886EF" w:rsidR="00143295" w:rsidRPr="0014371B" w:rsidRDefault="00143295" w:rsidP="00143295">
      <w:pPr>
        <w:spacing w:line="264" w:lineRule="auto"/>
      </w:pPr>
      <w:r w:rsidRPr="0014371B">
        <w:t>In conducting this quantitative analysis, the evaluation acknowledges the limitations of quantitative data sets and recognises that the data included in this analysis cannot provide a full picture of health and wellbeing outcomes for Aboriginal and Torres Strait Islander people. The evaluation also acknowledges the real stories, people and experiences which sit behind this quantitative data.</w:t>
      </w:r>
    </w:p>
    <w:p w14:paraId="47DDCD1F" w14:textId="13396E6B" w:rsidR="00143295" w:rsidRDefault="00143295" w:rsidP="00143295">
      <w:r w:rsidRPr="002D2A02">
        <w:t xml:space="preserve">The evaluation also notes that descriptions of health conditions in this section follow the descriptions used in key data sources. In some cases, we recognise that these labels do not reflect best practice approaches of discussing specific health issues, including mental health conditions, and may not reflect Aboriginal and Torres Strait Islander approaches to understanding and talking about health and wellbeing within their communities. </w:t>
      </w:r>
      <w:r>
        <w:t>The</w:t>
      </w:r>
      <w:r w:rsidRPr="002D2A02">
        <w:t xml:space="preserve"> evaluation </w:t>
      </w:r>
      <w:r w:rsidRPr="002D2A02">
        <w:lastRenderedPageBreak/>
        <w:t>has made recommendations to shift the knowledge transfer processes for the IAHP to align with Aboriginal and Torres Strait Islander approaches to health and wellbeing</w:t>
      </w:r>
      <w:r w:rsidR="009E4FDB">
        <w:t>.</w:t>
      </w:r>
    </w:p>
    <w:p w14:paraId="639DE7DC" w14:textId="4688A295" w:rsidR="002A67DB" w:rsidRPr="00884FAA" w:rsidRDefault="002A67DB" w:rsidP="0035030F">
      <w:pPr>
        <w:pStyle w:val="Heading2"/>
      </w:pPr>
      <w:bookmarkStart w:id="247" w:name="_Toc137208935"/>
      <w:r w:rsidRPr="00884FAA">
        <w:t>Effects of health service activity on hospitalisations and mortality</w:t>
      </w:r>
      <w:bookmarkEnd w:id="247"/>
    </w:p>
    <w:p w14:paraId="3BD4E107" w14:textId="374B1A51" w:rsidR="002A67DB" w:rsidRPr="00884FAA" w:rsidRDefault="002A67DB" w:rsidP="002A67DB">
      <w:r w:rsidRPr="00884FAA">
        <w:t xml:space="preserve">Publicly available data at the state and territory </w:t>
      </w:r>
      <w:r w:rsidR="003738AA" w:rsidRPr="00884FAA">
        <w:t xml:space="preserve">level </w:t>
      </w:r>
      <w:r w:rsidRPr="00884FAA">
        <w:t>was used to identify changes in key indicator measurements over time</w:t>
      </w:r>
      <w:r w:rsidR="00A612AE">
        <w:t xml:space="preserve"> </w:t>
      </w:r>
      <w:r w:rsidR="00911923" w:rsidRPr="00911923">
        <w:t>and any associations between health service activity and health outcomes (morbidity and mortality</w:t>
      </w:r>
      <w:r w:rsidR="00FF453C">
        <w:t>)</w:t>
      </w:r>
      <w:r w:rsidR="000D459B">
        <w:t>.</w:t>
      </w:r>
      <w:r w:rsidRPr="00884FAA">
        <w:t xml:space="preserve"> Data included:</w:t>
      </w:r>
    </w:p>
    <w:p w14:paraId="70C997EA" w14:textId="77777777" w:rsidR="002A67DB" w:rsidRPr="00343EB2" w:rsidRDefault="002A67DB" w:rsidP="00343EB2">
      <w:pPr>
        <w:numPr>
          <w:ilvl w:val="0"/>
          <w:numId w:val="19"/>
        </w:numPr>
        <w:spacing w:after="120"/>
        <w:rPr>
          <w:bCs/>
        </w:rPr>
      </w:pPr>
      <w:r w:rsidRPr="00343EB2">
        <w:rPr>
          <w:bCs/>
        </w:rPr>
        <w:t>hospitalisation rates, analysed as health outcomes, for 11 key disease groups and other variables in the Health Performance Framework, including discharge from hospital at own risk and potentially preventable hospitalisations (PPH)</w:t>
      </w:r>
    </w:p>
    <w:p w14:paraId="00D5EC10" w14:textId="77777777" w:rsidR="002A67DB" w:rsidRPr="00343EB2" w:rsidRDefault="002A67DB" w:rsidP="00343EB2">
      <w:pPr>
        <w:numPr>
          <w:ilvl w:val="0"/>
          <w:numId w:val="19"/>
        </w:numPr>
        <w:spacing w:after="120"/>
        <w:rPr>
          <w:bCs/>
        </w:rPr>
      </w:pPr>
      <w:r w:rsidRPr="00343EB2">
        <w:rPr>
          <w:bCs/>
        </w:rPr>
        <w:t>mortality rates for 22 cause groups, analysed as health outcomes</w:t>
      </w:r>
    </w:p>
    <w:p w14:paraId="29CDE5A0" w14:textId="77777777" w:rsidR="002A67DB" w:rsidRPr="00343EB2" w:rsidRDefault="002A67DB" w:rsidP="00343EB2">
      <w:pPr>
        <w:numPr>
          <w:ilvl w:val="0"/>
          <w:numId w:val="19"/>
        </w:numPr>
        <w:spacing w:after="120"/>
        <w:rPr>
          <w:bCs/>
        </w:rPr>
      </w:pPr>
      <w:r w:rsidRPr="00343EB2">
        <w:rPr>
          <w:bCs/>
        </w:rPr>
        <w:t>MBS utilisation rates for items that are specific to Aboriginal and Torres Strait Islander people</w:t>
      </w:r>
    </w:p>
    <w:p w14:paraId="5AEEED5D" w14:textId="40BCC01D" w:rsidR="002A67DB" w:rsidRPr="00343EB2" w:rsidRDefault="002A67DB" w:rsidP="00343EB2">
      <w:pPr>
        <w:numPr>
          <w:ilvl w:val="0"/>
          <w:numId w:val="19"/>
        </w:numPr>
        <w:spacing w:after="120"/>
        <w:rPr>
          <w:bCs/>
        </w:rPr>
      </w:pPr>
      <w:r w:rsidRPr="00343EB2">
        <w:rPr>
          <w:bCs/>
        </w:rPr>
        <w:t>nKPI</w:t>
      </w:r>
      <w:r w:rsidR="006A3A2A" w:rsidRPr="00343EB2">
        <w:rPr>
          <w:bCs/>
        </w:rPr>
        <w:t xml:space="preserve"> data</w:t>
      </w:r>
      <w:r w:rsidRPr="00343EB2">
        <w:rPr>
          <w:bCs/>
        </w:rPr>
        <w:t xml:space="preserve">. </w:t>
      </w:r>
    </w:p>
    <w:p w14:paraId="733B1A10" w14:textId="77777777" w:rsidR="00A762F6" w:rsidRDefault="00A762F6" w:rsidP="00494C5C">
      <w:r w:rsidRPr="00DD4759">
        <w:t>The quality of the publicly available data used in th</w:t>
      </w:r>
      <w:r>
        <w:t>e</w:t>
      </w:r>
      <w:r w:rsidRPr="00DD4759">
        <w:t>s</w:t>
      </w:r>
      <w:r>
        <w:t>e</w:t>
      </w:r>
      <w:r w:rsidRPr="00DD4759">
        <w:t xml:space="preserve"> analys</w:t>
      </w:r>
      <w:r>
        <w:t>e</w:t>
      </w:r>
      <w:r w:rsidRPr="00DD4759">
        <w:t xml:space="preserve">s </w:t>
      </w:r>
      <w:r>
        <w:t>was</w:t>
      </w:r>
      <w:r w:rsidRPr="00DD4759">
        <w:t xml:space="preserve"> reduced by a number of factors. These include that data</w:t>
      </w:r>
      <w:r>
        <w:t xml:space="preserve"> </w:t>
      </w:r>
      <w:r w:rsidRPr="00DD4759">
        <w:t>came from multiple sources</w:t>
      </w:r>
      <w:r>
        <w:t xml:space="preserve">, </w:t>
      </w:r>
      <w:r w:rsidRPr="00DD4759">
        <w:t>ha</w:t>
      </w:r>
      <w:r>
        <w:t>d</w:t>
      </w:r>
      <w:r w:rsidRPr="00DD4759">
        <w:t xml:space="preserve"> been published in different formats</w:t>
      </w:r>
      <w:r>
        <w:t>, relate to</w:t>
      </w:r>
      <w:r w:rsidRPr="00DD4759">
        <w:t xml:space="preserve"> different reporting periods</w:t>
      </w:r>
      <w:r>
        <w:t>, were</w:t>
      </w:r>
      <w:r w:rsidRPr="00DD4759">
        <w:t xml:space="preserve"> sourced from different jurisdictions</w:t>
      </w:r>
      <w:r>
        <w:t>, and were</w:t>
      </w:r>
      <w:r w:rsidRPr="00DD4759">
        <w:t xml:space="preserve"> often summary statistics</w:t>
      </w:r>
      <w:r>
        <w:t xml:space="preserve"> only</w:t>
      </w:r>
      <w:r w:rsidRPr="00DD4759">
        <w:t xml:space="preserve">. </w:t>
      </w:r>
    </w:p>
    <w:p w14:paraId="3D63DC23" w14:textId="05FCD306" w:rsidR="00A762F6" w:rsidRDefault="00A762F6" w:rsidP="00494C5C">
      <w:r w:rsidRPr="00DD4759">
        <w:t xml:space="preserve">Data were generally not available below the level of state and territory, limiting the number of observations to a maximum of eight and as few as </w:t>
      </w:r>
      <w:r w:rsidR="006D2482">
        <w:t>5</w:t>
      </w:r>
      <w:r w:rsidR="006D2482" w:rsidRPr="00DD4759">
        <w:t xml:space="preserve"> </w:t>
      </w:r>
      <w:r w:rsidRPr="00DD4759">
        <w:t>for some measures</w:t>
      </w:r>
      <w:r w:rsidR="00460CB2">
        <w:t>.</w:t>
      </w:r>
      <w:r w:rsidRPr="00DD4759">
        <w:rPr>
          <w:rStyle w:val="FootnoteReference"/>
          <w:rFonts w:cs="Arial"/>
        </w:rPr>
        <w:footnoteReference w:id="64"/>
      </w:r>
      <w:r w:rsidRPr="00DD4759">
        <w:t xml:space="preserve"> Often a single point-estimate (e.g. crude rate, age-standardised </w:t>
      </w:r>
      <w:r w:rsidRPr="00DD4759" w:rsidDel="00524D0F">
        <w:t>rate</w:t>
      </w:r>
      <w:r w:rsidRPr="00DD4759">
        <w:t>, or numerator) was provided with no measure of spread (e.g. standard deviation). Data points in the Health Performance Framework reports were published to one decimal place and no difference could be detected where an indicator changed by less than .05</w:t>
      </w:r>
      <w:r>
        <w:t xml:space="preserve"> </w:t>
      </w:r>
      <w:r w:rsidRPr="00BC28F2">
        <w:t>and in some cases .09 (e.g. observations of 10.05 and 10.14 would both be published as 10.1).</w:t>
      </w:r>
      <w:r>
        <w:t xml:space="preserve"> </w:t>
      </w:r>
      <w:r w:rsidRPr="00DD4759">
        <w:rPr>
          <w:lang w:val="en-US"/>
        </w:rPr>
        <w:t>For some tables (</w:t>
      </w:r>
      <w:r w:rsidRPr="00DD4759" w:rsidDel="00524D0F">
        <w:rPr>
          <w:lang w:val="en-US"/>
        </w:rPr>
        <w:t>e.g</w:t>
      </w:r>
      <w:r w:rsidRPr="00DD4759">
        <w:rPr>
          <w:lang w:val="en-US"/>
        </w:rPr>
        <w:t xml:space="preserve">. hospitalisation rate), statistics were flagged with a warning that the standard error is above a given threshold, </w:t>
      </w:r>
      <w:r w:rsidRPr="00DD4759" w:rsidDel="00D41B3B">
        <w:rPr>
          <w:lang w:val="en-US"/>
        </w:rPr>
        <w:t>e.g</w:t>
      </w:r>
      <w:r w:rsidRPr="00DD4759">
        <w:rPr>
          <w:lang w:val="en-US"/>
        </w:rPr>
        <w:t>. 50%, and are considered unreliable for analysis. Several observations were reduced to ‘not-published’ or ‘n.p.’ in the data, commonly used to indicate a low count.</w:t>
      </w:r>
      <w:r>
        <w:rPr>
          <w:lang w:val="en-US"/>
        </w:rPr>
        <w:t xml:space="preserve"> </w:t>
      </w:r>
      <w:r>
        <w:t>This is inadequate for statistical tests; the probability that an effect would be correctly identified</w:t>
      </w:r>
      <w:r w:rsidRPr="005D1C41">
        <w:rPr>
          <w:rStyle w:val="FootnoteReference"/>
        </w:rPr>
        <w:footnoteReference w:id="65"/>
      </w:r>
      <w:r>
        <w:t xml:space="preserve"> at this sample size is .13 for large effects and .05 for small effects</w:t>
      </w:r>
      <w:r w:rsidR="003B52EA">
        <w:t>.</w:t>
      </w:r>
      <w:r w:rsidRPr="005D1C41">
        <w:rPr>
          <w:rStyle w:val="FootnoteReference"/>
        </w:rPr>
        <w:footnoteReference w:id="66"/>
      </w:r>
      <w:r>
        <w:t xml:space="preserve"> That is, only extremely large effects would be detectable at the .05 level of statistical significance. </w:t>
      </w:r>
    </w:p>
    <w:p w14:paraId="1D2E29DE" w14:textId="07D69907" w:rsidR="00393A3D" w:rsidRPr="00393A3D" w:rsidRDefault="00393A3D" w:rsidP="00393A3D">
      <w:r w:rsidRPr="00393A3D">
        <w:lastRenderedPageBreak/>
        <w:t>Moreover, given the nature of low-denominator rates and high standard errors, effect sizes such as rate ratios or differences could generate misleading results and interpretations and as such were not pursued in this analysis.</w:t>
      </w:r>
    </w:p>
    <w:p w14:paraId="0F08F867" w14:textId="453690D7" w:rsidR="00393A3D" w:rsidRPr="00393A3D" w:rsidRDefault="00393A3D" w:rsidP="00393A3D">
      <w:r w:rsidRPr="00393A3D">
        <w:t>Changes were categorised as either increase, decrease, or no change according to the difference measured between two discrete time points for each indicator, for each state</w:t>
      </w:r>
      <w:r w:rsidR="00B4247D">
        <w:t xml:space="preserve"> and </w:t>
      </w:r>
      <w:r w:rsidRPr="00393A3D">
        <w:t>territory with available data (as published in the 2017 and 2020 Health Performance Framework reports). For MBS utilisation rates, the linear trend of the annual time series from 2012-13 through 2019-20 for each state</w:t>
      </w:r>
      <w:r w:rsidR="00CE7B44">
        <w:t xml:space="preserve"> and </w:t>
      </w:r>
      <w:r w:rsidRPr="00393A3D">
        <w:t xml:space="preserve">territory was categorised as either increase, decrease or no change accordingly. The strength of evidence for change was derived from the percentage-change and the proportion of the maximum absolute difference for discrete observations, and the statistical significance of the slope coefficient for time series observations at the .05 level. </w:t>
      </w:r>
    </w:p>
    <w:p w14:paraId="662E3738" w14:textId="2FA91F79" w:rsidR="00393A3D" w:rsidRPr="00393A3D" w:rsidRDefault="00393A3D" w:rsidP="00393A3D">
      <w:r w:rsidRPr="004C1D0A">
        <w:t xml:space="preserve">Further details on how this method was applied and the results are available in a Technical Report </w:t>
      </w:r>
      <w:r w:rsidRPr="004C1D0A">
        <w:fldChar w:fldCharType="begin"/>
      </w:r>
      <w:r w:rsidR="00F8760E">
        <w:instrText xml:space="preserve"> ADDIN ZOTERO_ITEM CSL_CITATION {"citationID":"cLgBoAbB","properties":{"formattedCitation":"(Langham et al., 2021)","plainCitation":"(Langham et al., 2021)","noteIndex":0},"citationItems":[{"id":3792,"uris":["http://zotero.org/groups/5010721/items/B7MKP6D5",["http://zotero.org/groups/5010721/items/B7MKP6D5"],["http://zotero.org/groups/5010721/items/B7MKP6D5",["http://zotero.org/groups/5010721/items/B7MKP6D5"]]],"itemData":{"id":3792,"type":"document","publisher":"Allen and Clarke Consulting, Central Queensland University and Monaghan Dreaming","title":"IAHP Yarnes Cycle 1 Interim Evaluation Report Companion document 3 – Technical Report.","author":[{"family":"Langham","given":"Eirka"},{"family":"Potts","given":"Boyd"},{"family":"Doran","given":"Chris"},{"family":"Hansen","given":"Sara L"}],"issued":{"date-parts":[["2021"]]}}}],"schema":"https://github.com/citation-style-language/schema/raw/master/csl-citation.json"} </w:instrText>
      </w:r>
      <w:r w:rsidRPr="004C1D0A">
        <w:fldChar w:fldCharType="separate"/>
      </w:r>
      <w:r w:rsidRPr="004C1D0A">
        <w:t>(Langham et al., 2021)</w:t>
      </w:r>
      <w:r w:rsidRPr="004C1D0A">
        <w:fldChar w:fldCharType="end"/>
      </w:r>
      <w:r w:rsidRPr="00393A3D">
        <w:t xml:space="preserve"> produced in Cycle 1 of the evaluation.</w:t>
      </w:r>
      <w:r>
        <w:t xml:space="preserve"> </w:t>
      </w:r>
      <w:r w:rsidRPr="00393A3D">
        <w:t xml:space="preserve">This method was applied in Cycle 1 as a proof of concept to be applied to better quality data at the SA3 and site level (received in Cycle 2). </w:t>
      </w:r>
    </w:p>
    <w:p w14:paraId="16095B34" w14:textId="3A601B49" w:rsidR="00393A3D" w:rsidRDefault="00393A3D" w:rsidP="00393A3D">
      <w:r w:rsidRPr="00393A3D">
        <w:t>A summary of key findings from the state</w:t>
      </w:r>
      <w:r w:rsidR="00BD7F7A">
        <w:t xml:space="preserve"> and </w:t>
      </w:r>
      <w:r w:rsidRPr="00393A3D">
        <w:t>territory analysis is reported below and should be regarded as tentative and requiring proper investigation via prospective studies and/or linked data at the patient level.</w:t>
      </w:r>
    </w:p>
    <w:p w14:paraId="0688129A" w14:textId="49383CAD" w:rsidR="00B41EF8" w:rsidRPr="00393A3D" w:rsidRDefault="007B7E1B" w:rsidP="00651D06">
      <w:pPr>
        <w:pStyle w:val="Heading3"/>
      </w:pPr>
      <w:r>
        <w:t>There was variability in a</w:t>
      </w:r>
      <w:r w:rsidR="00971378">
        <w:t xml:space="preserve">ssociations between changes in morbidity and mortality </w:t>
      </w:r>
    </w:p>
    <w:p w14:paraId="1B14DDA5" w14:textId="7D28A91B" w:rsidR="002A67DB" w:rsidRPr="00884FAA" w:rsidRDefault="002A67DB" w:rsidP="002A67DB">
      <w:r w:rsidRPr="00884FAA">
        <w:t>In terms of associations between</w:t>
      </w:r>
      <w:r w:rsidR="00687B4D">
        <w:t xml:space="preserve"> changes in </w:t>
      </w:r>
      <w:r w:rsidRPr="00884FAA">
        <w:t xml:space="preserve">morbidity and mortality, positive relationships (where both mortality and morbidity increased or decreased together for a given state or territory) were observed between hospitalisations for malignant neoplasms and mortality for breast cancer, kidney disease morbidity and mortality, and diabetes hospitalisations and mortality for endocrine-metabolic-nutritional disorders (of which diabetes is a sub-category). </w:t>
      </w:r>
      <w:r w:rsidR="00687B4D">
        <w:t>The</w:t>
      </w:r>
      <w:r w:rsidRPr="00884FAA">
        <w:t xml:space="preserve"> relationship between diabetes hospitalisations and diabetes mortality was less consistent. Diseases of the circulatory system showed a relatively consistent negative correlation (mortality and morbidity inversely increased/decreased).</w:t>
      </w:r>
    </w:p>
    <w:p w14:paraId="297E7E3D" w14:textId="3D2D2550" w:rsidR="00723B6D" w:rsidRPr="00F8647E" w:rsidRDefault="0019547E" w:rsidP="0019547E">
      <w:r w:rsidRPr="0019547E">
        <w:t>A custom ‘traffic light’ framework based on the indicators’ observed changes over time was developed (</w:t>
      </w:r>
      <w:r w:rsidR="001B1353">
        <w:fldChar w:fldCharType="begin"/>
      </w:r>
      <w:r w:rsidR="001B1353">
        <w:instrText xml:space="preserve"> REF _Ref137221518 \h </w:instrText>
      </w:r>
      <w:r w:rsidR="001B1353">
        <w:fldChar w:fldCharType="separate"/>
      </w:r>
      <w:r w:rsidR="00165B17" w:rsidRPr="0019547E">
        <w:t xml:space="preserve">Figure </w:t>
      </w:r>
      <w:r w:rsidR="00165B17">
        <w:rPr>
          <w:noProof/>
        </w:rPr>
        <w:t>8</w:t>
      </w:r>
      <w:r w:rsidR="00165B17">
        <w:noBreakHyphen/>
      </w:r>
      <w:r w:rsidR="00165B17">
        <w:rPr>
          <w:noProof/>
        </w:rPr>
        <w:t>1</w:t>
      </w:r>
      <w:r w:rsidR="001B1353">
        <w:fldChar w:fldCharType="end"/>
      </w:r>
      <w:r w:rsidRPr="0019547E">
        <w:t xml:space="preserve">). </w:t>
      </w:r>
      <w:r w:rsidR="00723B6D" w:rsidRPr="00F8647E">
        <w:t xml:space="preserve">Where data were published as an unbroken time series (for example, annual), the first traffic light reflected the direction of the regression coefficient (slope) for the time series. A second light was assigned based on the statistical significance (0.05) for the regression coefficient (slope) of the time series to indicate the strength of evidence for the observed change (see </w:t>
      </w:r>
      <w:r w:rsidR="00723B6D" w:rsidRPr="00F8647E">
        <w:fldChar w:fldCharType="begin"/>
      </w:r>
      <w:r w:rsidR="00723B6D" w:rsidRPr="00F8647E">
        <w:instrText xml:space="preserve"> REF _Ref131070275 \h </w:instrText>
      </w:r>
      <w:r w:rsidR="00F8647E" w:rsidRPr="00F8647E">
        <w:instrText xml:space="preserve"> \* MERGEFORMAT </w:instrText>
      </w:r>
      <w:r w:rsidR="00723B6D" w:rsidRPr="00F8647E">
        <w:fldChar w:fldCharType="separate"/>
      </w:r>
      <w:r w:rsidR="00165B17" w:rsidRPr="00165B17">
        <w:rPr>
          <w:iCs/>
        </w:rPr>
        <w:t xml:space="preserve">Figure </w:t>
      </w:r>
      <w:r w:rsidR="00165B17" w:rsidRPr="00165B17">
        <w:rPr>
          <w:iCs/>
          <w:noProof/>
        </w:rPr>
        <w:t>8</w:t>
      </w:r>
      <w:r w:rsidR="00165B17" w:rsidRPr="00165B17">
        <w:rPr>
          <w:iCs/>
          <w:noProof/>
        </w:rPr>
        <w:noBreakHyphen/>
        <w:t>2</w:t>
      </w:r>
      <w:r w:rsidR="00723B6D" w:rsidRPr="00F8647E">
        <w:fldChar w:fldCharType="end"/>
      </w:r>
      <w:r w:rsidR="00723B6D" w:rsidRPr="00F8647E">
        <w:t>).</w:t>
      </w:r>
    </w:p>
    <w:p w14:paraId="5FFB490A" w14:textId="77777777" w:rsidR="004C1D0A" w:rsidRDefault="004C1D0A">
      <w:pPr>
        <w:jc w:val="left"/>
        <w:rPr>
          <w:b/>
          <w:sz w:val="21"/>
          <w:szCs w:val="20"/>
          <w:lang w:val="en-NZ"/>
        </w:rPr>
      </w:pPr>
      <w:bookmarkStart w:id="248" w:name="_Ref131070305"/>
      <w:bookmarkStart w:id="249" w:name="_Ref131617306"/>
      <w:bookmarkStart w:id="250" w:name="_Toc136612742"/>
      <w:bookmarkStart w:id="251" w:name="_Toc136613559"/>
      <w:bookmarkStart w:id="252" w:name="_Toc136614376"/>
      <w:r>
        <w:br w:type="page"/>
      </w:r>
    </w:p>
    <w:p w14:paraId="5488BDD4" w14:textId="4E92ADF1" w:rsidR="0019547E" w:rsidRPr="0019547E" w:rsidRDefault="0019547E" w:rsidP="00723B6D">
      <w:pPr>
        <w:pStyle w:val="TableFigure-Header"/>
        <w:spacing w:after="120"/>
      </w:pPr>
      <w:bookmarkStart w:id="253" w:name="_Ref137221518"/>
      <w:bookmarkStart w:id="254" w:name="_Toc138851344"/>
      <w:r w:rsidRPr="0019547E">
        <w:lastRenderedPageBreak/>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w:t>
      </w:r>
      <w:r w:rsidR="005B4A4F">
        <w:fldChar w:fldCharType="end"/>
      </w:r>
      <w:bookmarkEnd w:id="248"/>
      <w:bookmarkEnd w:id="253"/>
      <w:r w:rsidR="00C50710">
        <w:t>.</w:t>
      </w:r>
      <w:r w:rsidRPr="0019547E">
        <w:t xml:space="preserve"> Traffic light framework for observed changes</w:t>
      </w:r>
      <w:bookmarkEnd w:id="249"/>
      <w:bookmarkEnd w:id="250"/>
      <w:bookmarkEnd w:id="251"/>
      <w:bookmarkEnd w:id="252"/>
      <w:bookmarkEnd w:id="254"/>
    </w:p>
    <w:p w14:paraId="1CE75A11" w14:textId="5597BD76" w:rsidR="0019547E" w:rsidRPr="0019547E" w:rsidRDefault="00646D95" w:rsidP="0019547E">
      <w:r>
        <w:rPr>
          <w:noProof/>
        </w:rPr>
        <mc:AlternateContent>
          <mc:Choice Requires="wpg">
            <w:drawing>
              <wp:inline distT="0" distB="0" distL="0" distR="0" wp14:anchorId="5AF2A71B" wp14:editId="2C895C2A">
                <wp:extent cx="2032000" cy="902970"/>
                <wp:effectExtent l="19050" t="19050" r="0" b="30480"/>
                <wp:docPr id="1618569310" name="Group 1618569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32000" cy="902970"/>
                          <a:chOff x="0" y="0"/>
                          <a:chExt cx="2032126" cy="902972"/>
                        </a:xfrm>
                      </wpg:grpSpPr>
                      <wps:wsp>
                        <wps:cNvPr id="1472685056" name="Oval 2"/>
                        <wps:cNvSpPr/>
                        <wps:spPr>
                          <a:xfrm>
                            <a:off x="0" y="329488"/>
                            <a:ext cx="249753" cy="249713"/>
                          </a:xfrm>
                          <a:custGeom>
                            <a:avLst/>
                            <a:gdLst>
                              <a:gd name="connsiteX0" fmla="*/ 0 w 249753"/>
                              <a:gd name="connsiteY0" fmla="*/ 124857 h 249713"/>
                              <a:gd name="connsiteX1" fmla="*/ 124877 w 249753"/>
                              <a:gd name="connsiteY1" fmla="*/ 0 h 249713"/>
                              <a:gd name="connsiteX2" fmla="*/ 249754 w 249753"/>
                              <a:gd name="connsiteY2" fmla="*/ 124857 h 249713"/>
                              <a:gd name="connsiteX3" fmla="*/ 124877 w 249753"/>
                              <a:gd name="connsiteY3" fmla="*/ 249714 h 249713"/>
                              <a:gd name="connsiteX4" fmla="*/ 0 w 249753"/>
                              <a:gd name="connsiteY4" fmla="*/ 124857 h 249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53" h="249713" fill="none" extrusionOk="0">
                                <a:moveTo>
                                  <a:pt x="0" y="124857"/>
                                </a:moveTo>
                                <a:cubicBezTo>
                                  <a:pt x="2362" y="56180"/>
                                  <a:pt x="61682" y="-11881"/>
                                  <a:pt x="124877" y="0"/>
                                </a:cubicBezTo>
                                <a:cubicBezTo>
                                  <a:pt x="180678" y="-2016"/>
                                  <a:pt x="240550" y="64566"/>
                                  <a:pt x="249754" y="124857"/>
                                </a:cubicBezTo>
                                <a:cubicBezTo>
                                  <a:pt x="248726" y="184014"/>
                                  <a:pt x="185557" y="261231"/>
                                  <a:pt x="124877" y="249714"/>
                                </a:cubicBezTo>
                                <a:cubicBezTo>
                                  <a:pt x="66354" y="255562"/>
                                  <a:pt x="3602" y="194680"/>
                                  <a:pt x="0" y="124857"/>
                                </a:cubicBezTo>
                                <a:close/>
                              </a:path>
                              <a:path w="249753" h="249713" stroke="0" extrusionOk="0">
                                <a:moveTo>
                                  <a:pt x="0" y="124857"/>
                                </a:moveTo>
                                <a:cubicBezTo>
                                  <a:pt x="-6428" y="51935"/>
                                  <a:pt x="43627" y="4610"/>
                                  <a:pt x="124877" y="0"/>
                                </a:cubicBezTo>
                                <a:cubicBezTo>
                                  <a:pt x="205916" y="2541"/>
                                  <a:pt x="241201" y="56172"/>
                                  <a:pt x="249754" y="124857"/>
                                </a:cubicBezTo>
                                <a:cubicBezTo>
                                  <a:pt x="242097" y="201291"/>
                                  <a:pt x="191460" y="262895"/>
                                  <a:pt x="124877" y="249714"/>
                                </a:cubicBezTo>
                                <a:cubicBezTo>
                                  <a:pt x="53662" y="248485"/>
                                  <a:pt x="12194" y="199640"/>
                                  <a:pt x="0" y="124857"/>
                                </a:cubicBezTo>
                                <a:close/>
                              </a:path>
                            </a:pathLst>
                          </a:custGeom>
                          <a:solidFill>
                            <a:srgbClr val="535451"/>
                          </a:solidFill>
                          <a:ln w="12700" cap="flat" cmpd="sng" algn="ctr">
                            <a:solidFill>
                              <a:srgbClr val="535451"/>
                            </a:solidFill>
                            <a:prstDash val="solid"/>
                            <a:miter lim="800000"/>
                          </a:ln>
                          <a:effectLst/>
                        </wps:spPr>
                        <wps:bodyPr rtlCol="0" anchor="ctr"/>
                      </wps:wsp>
                      <wps:wsp>
                        <wps:cNvPr id="811613640" name="Oval 4"/>
                        <wps:cNvSpPr/>
                        <wps:spPr>
                          <a:xfrm>
                            <a:off x="0" y="653259"/>
                            <a:ext cx="249753" cy="249713"/>
                          </a:xfrm>
                          <a:custGeom>
                            <a:avLst/>
                            <a:gdLst>
                              <a:gd name="connsiteX0" fmla="*/ 0 w 249753"/>
                              <a:gd name="connsiteY0" fmla="*/ 124857 h 249713"/>
                              <a:gd name="connsiteX1" fmla="*/ 124877 w 249753"/>
                              <a:gd name="connsiteY1" fmla="*/ 0 h 249713"/>
                              <a:gd name="connsiteX2" fmla="*/ 249754 w 249753"/>
                              <a:gd name="connsiteY2" fmla="*/ 124857 h 249713"/>
                              <a:gd name="connsiteX3" fmla="*/ 124877 w 249753"/>
                              <a:gd name="connsiteY3" fmla="*/ 249714 h 249713"/>
                              <a:gd name="connsiteX4" fmla="*/ 0 w 249753"/>
                              <a:gd name="connsiteY4" fmla="*/ 124857 h 249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53" h="249713" fill="none" extrusionOk="0">
                                <a:moveTo>
                                  <a:pt x="0" y="124857"/>
                                </a:moveTo>
                                <a:cubicBezTo>
                                  <a:pt x="14376" y="57605"/>
                                  <a:pt x="58562" y="-5460"/>
                                  <a:pt x="124877" y="0"/>
                                </a:cubicBezTo>
                                <a:cubicBezTo>
                                  <a:pt x="174328" y="-2989"/>
                                  <a:pt x="238529" y="66468"/>
                                  <a:pt x="249754" y="124857"/>
                                </a:cubicBezTo>
                                <a:cubicBezTo>
                                  <a:pt x="247926" y="176386"/>
                                  <a:pt x="192960" y="250944"/>
                                  <a:pt x="124877" y="249714"/>
                                </a:cubicBezTo>
                                <a:cubicBezTo>
                                  <a:pt x="59790" y="251887"/>
                                  <a:pt x="13920" y="197161"/>
                                  <a:pt x="0" y="124857"/>
                                </a:cubicBezTo>
                                <a:close/>
                              </a:path>
                              <a:path w="249753" h="249713" stroke="0" extrusionOk="0">
                                <a:moveTo>
                                  <a:pt x="0" y="124857"/>
                                </a:moveTo>
                                <a:cubicBezTo>
                                  <a:pt x="-1960" y="54691"/>
                                  <a:pt x="48938" y="2616"/>
                                  <a:pt x="124877" y="0"/>
                                </a:cubicBezTo>
                                <a:cubicBezTo>
                                  <a:pt x="202263" y="1772"/>
                                  <a:pt x="236223" y="56330"/>
                                  <a:pt x="249754" y="124857"/>
                                </a:cubicBezTo>
                                <a:cubicBezTo>
                                  <a:pt x="235849" y="207393"/>
                                  <a:pt x="191132" y="264712"/>
                                  <a:pt x="124877" y="249714"/>
                                </a:cubicBezTo>
                                <a:cubicBezTo>
                                  <a:pt x="38461" y="240168"/>
                                  <a:pt x="10830" y="198989"/>
                                  <a:pt x="0" y="124857"/>
                                </a:cubicBezTo>
                                <a:close/>
                              </a:path>
                            </a:pathLst>
                          </a:custGeom>
                          <a:solidFill>
                            <a:srgbClr val="ABC1AF"/>
                          </a:solidFill>
                          <a:ln w="12700" cap="flat" cmpd="sng" algn="ctr">
                            <a:solidFill>
                              <a:srgbClr val="ABC1AF"/>
                            </a:solidFill>
                            <a:prstDash val="solid"/>
                            <a:miter lim="800000"/>
                          </a:ln>
                          <a:effectLst/>
                        </wps:spPr>
                        <wps:bodyPr rtlCol="0" anchor="ctr"/>
                      </wps:wsp>
                      <wps:wsp>
                        <wps:cNvPr id="120138618" name="TextBox 6"/>
                        <wps:cNvSpPr txBox="1"/>
                        <wps:spPr>
                          <a:xfrm>
                            <a:off x="323850" y="0"/>
                            <a:ext cx="1708276" cy="221561"/>
                          </a:xfrm>
                          <a:prstGeom prst="rect">
                            <a:avLst/>
                          </a:prstGeom>
                          <a:noFill/>
                        </wps:spPr>
                        <wps:txbx>
                          <w:txbxContent>
                            <w:p w14:paraId="49F75B54" w14:textId="77777777" w:rsidR="00646D95" w:rsidRPr="007D6C63" w:rsidRDefault="00646D95" w:rsidP="00646D95">
                              <w:pPr>
                                <w:spacing w:after="160" w:line="256" w:lineRule="auto"/>
                                <w:rPr>
                                  <w:rFonts w:ascii="Calibri" w:eastAsia="Calibri" w:hAnsi="Calibri" w:cs="Calibri"/>
                                  <w:color w:val="000000"/>
                                  <w:kern w:val="24"/>
                                  <w:lang w:val="en-US"/>
                                </w:rPr>
                              </w:pPr>
                              <w:r w:rsidRPr="007D6C63">
                                <w:rPr>
                                  <w:rFonts w:ascii="Calibri" w:eastAsia="Calibri" w:hAnsi="Calibri" w:cs="Calibri"/>
                                  <w:color w:val="000000"/>
                                  <w:kern w:val="24"/>
                                  <w:lang w:val="en-US"/>
                                </w:rPr>
                                <w:t>Observed decreased</w:t>
                              </w:r>
                            </w:p>
                            <w:p w14:paraId="411296EE" w14:textId="77777777" w:rsidR="00646D95" w:rsidRPr="007D6C63" w:rsidRDefault="00646D95">
                              <w:pPr>
                                <w:rPr>
                                  <w:rFonts w:ascii="Calibri" w:hAnsi="Calibri" w:cs="Calibri"/>
                                </w:rPr>
                              </w:pPr>
                            </w:p>
                          </w:txbxContent>
                        </wps:txbx>
                        <wps:bodyPr wrap="square" rtlCol="0">
                          <a:noAutofit/>
                        </wps:bodyPr>
                      </wps:wsp>
                      <wps:wsp>
                        <wps:cNvPr id="268931918" name="TextBox 7"/>
                        <wps:cNvSpPr txBox="1"/>
                        <wps:spPr>
                          <a:xfrm>
                            <a:off x="323850" y="628619"/>
                            <a:ext cx="1708276" cy="221561"/>
                          </a:xfrm>
                          <a:prstGeom prst="rect">
                            <a:avLst/>
                          </a:prstGeom>
                          <a:noFill/>
                        </wps:spPr>
                        <wps:txbx>
                          <w:txbxContent>
                            <w:p w14:paraId="31778DAB" w14:textId="77777777" w:rsidR="00646D95" w:rsidRPr="007D6C63" w:rsidRDefault="00646D95" w:rsidP="00646D95">
                              <w:pPr>
                                <w:spacing w:after="160" w:line="256" w:lineRule="auto"/>
                                <w:rPr>
                                  <w:rFonts w:ascii="Calibri" w:eastAsia="Calibri" w:hAnsi="Calibri" w:cs="Calibri"/>
                                  <w:color w:val="000000"/>
                                  <w:kern w:val="24"/>
                                  <w:lang w:val="en-US"/>
                                </w:rPr>
                              </w:pPr>
                              <w:r w:rsidRPr="007D6C63">
                                <w:rPr>
                                  <w:rFonts w:ascii="Calibri" w:eastAsia="Calibri" w:hAnsi="Calibri" w:cs="Calibri"/>
                                  <w:color w:val="000000"/>
                                  <w:kern w:val="24"/>
                                  <w:lang w:val="en-US"/>
                                </w:rPr>
                                <w:t>Observed increased</w:t>
                              </w:r>
                            </w:p>
                            <w:p w14:paraId="68F6BD88" w14:textId="77777777" w:rsidR="00646D95" w:rsidRPr="007D6C63" w:rsidRDefault="00646D95">
                              <w:pPr>
                                <w:rPr>
                                  <w:rFonts w:ascii="Calibri" w:hAnsi="Calibri" w:cs="Calibri"/>
                                </w:rPr>
                              </w:pPr>
                            </w:p>
                          </w:txbxContent>
                        </wps:txbx>
                        <wps:bodyPr wrap="square" rtlCol="0">
                          <a:noAutofit/>
                        </wps:bodyPr>
                      </wps:wsp>
                      <wps:wsp>
                        <wps:cNvPr id="1254483857" name="TextBox 8"/>
                        <wps:cNvSpPr txBox="1"/>
                        <wps:spPr>
                          <a:xfrm>
                            <a:off x="323850" y="307768"/>
                            <a:ext cx="1708276" cy="301834"/>
                          </a:xfrm>
                          <a:prstGeom prst="rect">
                            <a:avLst/>
                          </a:prstGeom>
                          <a:noFill/>
                        </wps:spPr>
                        <wps:txbx>
                          <w:txbxContent>
                            <w:p w14:paraId="52829F07" w14:textId="77777777" w:rsidR="00646D95" w:rsidRPr="007D6C63" w:rsidRDefault="00646D95" w:rsidP="00646D95">
                              <w:pPr>
                                <w:spacing w:after="160" w:line="256" w:lineRule="auto"/>
                                <w:rPr>
                                  <w:rFonts w:ascii="Calibri" w:eastAsia="Calibri" w:hAnsi="Calibri" w:cs="Calibri"/>
                                  <w:color w:val="000000"/>
                                  <w:kern w:val="24"/>
                                  <w:lang w:val="en-US"/>
                                </w:rPr>
                              </w:pPr>
                              <w:r w:rsidRPr="007D6C63">
                                <w:rPr>
                                  <w:rFonts w:ascii="Calibri" w:eastAsia="Calibri" w:hAnsi="Calibri" w:cs="Calibri"/>
                                  <w:color w:val="000000"/>
                                  <w:kern w:val="24"/>
                                  <w:lang w:val="en-US"/>
                                </w:rPr>
                                <w:t>No observed change</w:t>
                              </w:r>
                            </w:p>
                            <w:p w14:paraId="7E4A5E32" w14:textId="77777777" w:rsidR="00646D95" w:rsidRPr="007D6C63" w:rsidRDefault="00646D95">
                              <w:pPr>
                                <w:rPr>
                                  <w:rFonts w:ascii="Calibri" w:hAnsi="Calibri" w:cs="Calibri"/>
                                </w:rPr>
                              </w:pPr>
                            </w:p>
                          </w:txbxContent>
                        </wps:txbx>
                        <wps:bodyPr wrap="square" rtlCol="0">
                          <a:noAutofit/>
                        </wps:bodyPr>
                      </wps:wsp>
                      <wps:wsp>
                        <wps:cNvPr id="2117762153" name="Oval 8"/>
                        <wps:cNvSpPr/>
                        <wps:spPr>
                          <a:xfrm>
                            <a:off x="0" y="5717"/>
                            <a:ext cx="249753" cy="249713"/>
                          </a:xfrm>
                          <a:custGeom>
                            <a:avLst/>
                            <a:gdLst>
                              <a:gd name="connsiteX0" fmla="*/ 0 w 249753"/>
                              <a:gd name="connsiteY0" fmla="*/ 124857 h 249713"/>
                              <a:gd name="connsiteX1" fmla="*/ 124877 w 249753"/>
                              <a:gd name="connsiteY1" fmla="*/ 0 h 249713"/>
                              <a:gd name="connsiteX2" fmla="*/ 249754 w 249753"/>
                              <a:gd name="connsiteY2" fmla="*/ 124857 h 249713"/>
                              <a:gd name="connsiteX3" fmla="*/ 124877 w 249753"/>
                              <a:gd name="connsiteY3" fmla="*/ 249714 h 249713"/>
                              <a:gd name="connsiteX4" fmla="*/ 0 w 249753"/>
                              <a:gd name="connsiteY4" fmla="*/ 124857 h 249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53" h="249713" fill="none" extrusionOk="0">
                                <a:moveTo>
                                  <a:pt x="0" y="124857"/>
                                </a:moveTo>
                                <a:cubicBezTo>
                                  <a:pt x="2362" y="56180"/>
                                  <a:pt x="61682" y="-11881"/>
                                  <a:pt x="124877" y="0"/>
                                </a:cubicBezTo>
                                <a:cubicBezTo>
                                  <a:pt x="180678" y="-2016"/>
                                  <a:pt x="240550" y="64566"/>
                                  <a:pt x="249754" y="124857"/>
                                </a:cubicBezTo>
                                <a:cubicBezTo>
                                  <a:pt x="248726" y="184014"/>
                                  <a:pt x="185557" y="261231"/>
                                  <a:pt x="124877" y="249714"/>
                                </a:cubicBezTo>
                                <a:cubicBezTo>
                                  <a:pt x="66354" y="255562"/>
                                  <a:pt x="3602" y="194680"/>
                                  <a:pt x="0" y="124857"/>
                                </a:cubicBezTo>
                                <a:close/>
                              </a:path>
                              <a:path w="249753" h="249713" stroke="0" extrusionOk="0">
                                <a:moveTo>
                                  <a:pt x="0" y="124857"/>
                                </a:moveTo>
                                <a:cubicBezTo>
                                  <a:pt x="-6428" y="51935"/>
                                  <a:pt x="43627" y="4610"/>
                                  <a:pt x="124877" y="0"/>
                                </a:cubicBezTo>
                                <a:cubicBezTo>
                                  <a:pt x="205916" y="2541"/>
                                  <a:pt x="241201" y="56172"/>
                                  <a:pt x="249754" y="124857"/>
                                </a:cubicBezTo>
                                <a:cubicBezTo>
                                  <a:pt x="242097" y="201291"/>
                                  <a:pt x="191460" y="262895"/>
                                  <a:pt x="124877" y="249714"/>
                                </a:cubicBezTo>
                                <a:cubicBezTo>
                                  <a:pt x="53662" y="248485"/>
                                  <a:pt x="12194" y="199640"/>
                                  <a:pt x="0" y="124857"/>
                                </a:cubicBezTo>
                                <a:close/>
                              </a:path>
                            </a:pathLst>
                          </a:custGeom>
                          <a:solidFill>
                            <a:srgbClr val="B67A61"/>
                          </a:solidFill>
                          <a:ln w="12700" cap="flat" cmpd="sng" algn="ctr">
                            <a:solidFill>
                              <a:srgbClr val="B67A61"/>
                            </a:solidFill>
                            <a:prstDash val="solid"/>
                            <a:miter lim="800000"/>
                          </a:ln>
                          <a:effectLst/>
                        </wps:spPr>
                        <wps:bodyPr rtlCol="0" anchor="ctr"/>
                      </wps:wsp>
                    </wpg:wgp>
                  </a:graphicData>
                </a:graphic>
              </wp:inline>
            </w:drawing>
          </mc:Choice>
          <mc:Fallback>
            <w:pict>
              <v:group w14:anchorId="5AF2A71B" id="Group 1618569310" o:spid="_x0000_s1084" alt="&quot;&quot;" style="width:160pt;height:71.1pt;mso-position-horizontal-relative:char;mso-position-vertical-relative:line" coordsize="20321,9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jOCqwYAAJclAAAOAAAAZHJzL2Uyb0RvYy54bWzsWltv2zYUfh+w/yD4cUBqkRQpyahTJO3a&#10;l2Ep0A7YHhVZtoXqNkmO3f36fbzIIZ26ttOlRVe/JJIlkud85/YdUs9fbMrCu8vaLq+r6Yg880de&#10;VqX1LK8W09Ef719fRCOv65NqlhR1lU1HH7Nu9OLy55+er5tJRutlXcyy1sMkVTdZN9PRsu+byXjc&#10;pcusTLpndZNVeDiv2zLpcdsuxrM2WWP2shhT3xfjdd3OmrZOs67Dr6/0w9Glmn8+z9L+Zj7vst4r&#10;piPI1qu/rfp7K/+OL58nk0WbNMs8NWIkj5CiTPIKi26nepX0ibdq8wdTlXna1l0975+ldTmu5/M8&#10;zZQO0Ib4O9q8aetVo3RZTNaLZgsToN3B6dHTpr/fvWmbd83bFkismwWwUHdSl828LeV/SOltFGQf&#10;t5Blm95L8SP1GcwAZFM8i30ahwbTdAngHwxLl79aAwkV1kAqjTEelh07wqwbuEd3j0D3ZQi8WyZN&#10;poDtJkDgbevlM3hvEFIRcZ9Dqiop4a03d0nhKbmkAHhzC1Q36YDZXpQYjYMo0t61hSqIQ860whTX&#10;hDkKJ5N01fVvslphntz91vXaOWe4Uq41M1KldVV1eZ/9CdjnZQF//WXs+d7ak7NiBTNs5+2/7LcJ&#10;DSIeeks1RAsC332wALEWkEPC8OAq9hD/4ALUWkBJHxxcwB5ypBoAfYvTkWrYQ5SxgoO6BNYqh61h&#10;v/0JNRAHi8HwyXLwhXRTGWfAlZfIHOurtNPUnYw12zMQj8MtTK9DC6OkJx0YDBPag8lJg2Eee/AQ&#10;1MetDNTtwUOAHDcYiNqDA1tswIlJDHYtqoKsB4WqB/3IQz1oRx7qwa2OnSbpJeQSKnnprZHnTPAu&#10;9SVCxpvnBSapUNZQ8zZ9u5I18ObDYJKyvsve12qO/j4PalMb0e5fSVe3eXqd/WMPoExoMLkgkcmq&#10;jZpKEBHpRxeERJEyEERVz7R/Kyi2Vncm/9RSmF+EqNTA7wJ1SBgY1IQ08DlH7sAzEXCx8wwJR+Pu&#10;KOau4d5pMWUykdkfs5Io8Imy1laHiHMeqodUEMr2KagDc7DzQS2FYEZYivkBrkqUWh4mfI0oiQPh&#10;oq11/5x+Rd1lOsCkuxxwm65v6w+oLZj2KbzmQgRUW5KTmHFbxwAOpVENBHEc6lFOQ30ew1WkCSkP&#10;HBvRgMCN1CM4b+ggrdO8tryqQkfbjwbUj41b+ITGzpIkJoHQpqKCRrGjuaXfiT7DmTBRCFlRM208&#10;CYWzaEXiWAQOoqc7DVLUNu/IdGWRga4u8tlrpBvpWl27uH1ZtB6oyXTE4dFc4YAhzmtFJdMWoaEi&#10;Zwmo9bxIkOvSsgHV6arFyEuKBTh72reqhDijj1ykabv+VdIttTBqBg1QCXrSekVeTkcR6CFk0PFR&#10;qPqTKWKuixp43sCl5NVtPfsIOtb2xctaU/akSpc1MrSUU05iqKBkq1+BE0aECMKkcW1KqLKVXP8E&#10;Sig4ozzW8Jwp4X7OiTS8JWs6V5wp4UCEzpRwQOLHpIQkYKGuuDwUvlOMeCQZjWJwXBZCi9tY1W/I&#10;wy4lc+8MjwwDZojEBY0jk7gMeWMRp7FaTAjQJXuxLynvYTxQwlCwyGGaJKbxUN65HwcuX1StqZLn&#10;1PIeh7EhDRxMOrQ1ISympoyjWRcO2zi9vOvqvqeVeGpOSAbs4BoubQqimGm6CKbtIn4P6vFeQ31K&#10;he7iSLjD+8A+qX7EBWOOh36B0zAeBdoVqR+y2Ox+GB+OCWE6KKgIQuLwUCsqTnQaFoE/G29Ds+S4&#10;P/EjqKbaGgSNGzanO82jOOHV9Uty9Vp68hNywv2L/P85oextkJ4I4kZvE74Hn7uuN56KH4sWev0G&#10;P4OFS2PI3/fsGTKKhKq9w4TFQBBJ6EdUpny5vUopQTdlDDtszkq45aahJy+wj4G9DUXnhw1E6ULm&#10;Fdk9VLXsIwYereWRkvWb243aBEWHaIQ1VHyNzXE0DH+vkhYbHffEXM92terreS53KhUx12O+OkvH&#10;tm3M0AE+sMhWGUPUH2ERNJOC7PD2b2AWlWWkpb4jsxDsCwQRfBtNuxspW20ebxfmh+GQez8ZLswn&#10;ERt2AZ8sXJRnfGd2oQTFWSCboBxbBx27Rvl80tL5iofEkKbBBqqWY2KVsc7HHOqg5tzTyiMqybh2&#10;Dp1Qnc497Y/d056POSS1Ox9zyJMglSAMwf384dj5mAM+88Mcc1yL8Grb+TgHFf/hMcf+Rb5pS6s+&#10;hMHXP6qdN18qyc+L7HvVcN1/T3X5LwAAAP//AwBQSwMEFAAGAAgAAAAhAK3NWeXbAAAABQEAAA8A&#10;AABkcnMvZG93bnJldi54bWxMj0FLw0AQhe+C/2EZwZvdJFWRNJtSinoqgq0gvU2TaRKanQ3ZbZL+&#10;e0cv9jIwvMd738uWk23VQL1vHBuIZxEo4sKVDVcGvnZvDy+gfEAusXVMBi7kYZnf3mSYlm7kTxq2&#10;oVISwj5FA3UIXaq1L2qy6GeuIxbt6HqLQd6+0mWPo4TbVidR9KwtNiwNNXa0rqk4bc/WwPuI42oe&#10;vw6b03F92e+ePr43MRlzfzetFqACTeHfDL/4gg65MB3cmUuvWgMyJPxd0eZSBeogpsckAZ1n+po+&#10;/wEAAP//AwBQSwECLQAUAAYACAAAACEAtoM4kv4AAADhAQAAEwAAAAAAAAAAAAAAAAAAAAAAW0Nv&#10;bnRlbnRfVHlwZXNdLnhtbFBLAQItABQABgAIAAAAIQA4/SH/1gAAAJQBAAALAAAAAAAAAAAAAAAA&#10;AC8BAABfcmVscy8ucmVsc1BLAQItABQABgAIAAAAIQCjXjOCqwYAAJclAAAOAAAAAAAAAAAAAAAA&#10;AC4CAABkcnMvZTJvRG9jLnhtbFBLAQItABQABgAIAAAAIQCtzVnl2wAAAAUBAAAPAAAAAAAAAAAA&#10;AAAAAAUJAABkcnMvZG93bnJldi54bWxQSwUGAAAAAAQABADzAAAADQoAAAAA&#10;">
                <v:shape id="Oval 2" o:spid="_x0000_s1085" style="position:absolute;top:3294;width:2497;height:2498;visibility:visible;mso-wrap-style:square;v-text-anchor:middle" coordsize="249753,24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dxgAAAOMAAAAPAAAAZHJzL2Rvd25yZXYueG1sRE/NisIw&#10;EL4L+w5hFvamqaK1dE2LiqLgyZ8HGJrZtthMShO1ffvNwoLH+f5nlfemEU/qXG1ZwXQSgSAurK65&#10;VHC77scJCOeRNTaWScFADvLsY7TCVNsXn+l58aUIIexSVFB536ZSuqIig25iW+LA/djOoA9nV0rd&#10;4SuEm0bOoiiWBmsODRW2tK2ouF8eRgHO7em4X++G5NAMm+3hVki9c0p9ffbrbxCeev8W/7uPOsyf&#10;L2dxsogWMfz9FACQ2S8AAAD//wMAUEsBAi0AFAAGAAgAAAAhANvh9svuAAAAhQEAABMAAAAAAAAA&#10;AAAAAAAAAAAAAFtDb250ZW50X1R5cGVzXS54bWxQSwECLQAUAAYACAAAACEAWvQsW78AAAAVAQAA&#10;CwAAAAAAAAAAAAAAAAAfAQAAX3JlbHMvLnJlbHNQSwECLQAUAAYACAAAACEAfrArncYAAADjAAAA&#10;DwAAAAAAAAAAAAAAAAAHAgAAZHJzL2Rvd25yZXYueG1sUEsFBgAAAAADAAMAtwAAAPoCAAAAAA==&#10;" path="m,124857nfc2362,56180,61682,-11881,124877,v55801,-2016,115673,64566,124877,124857c248726,184014,185557,261231,124877,249714,66354,255562,3602,194680,,124857xem,124857nsc-6428,51935,43627,4610,124877,v81039,2541,116324,56172,124877,124857c242097,201291,191460,262895,124877,249714,53662,248485,12194,199640,,124857xe" fillcolor="#535451" strokecolor="#535451" strokeweight="1pt">
                  <v:stroke joinstyle="miter"/>
                  <v:path arrowok="t" o:extrusionok="f" o:connecttype="custom" o:connectlocs="0,124857;124877,0;249754,124857;124877,249714;0,124857" o:connectangles="0,0,0,0,0"/>
                </v:shape>
                <v:shape id="Oval 4" o:spid="_x0000_s1086" style="position:absolute;top:6532;width:2497;height:2497;visibility:visible;mso-wrap-style:square;v-text-anchor:middle" coordsize="249753,24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i5rywAAAOIAAAAPAAAAZHJzL2Rvd25yZXYueG1sRI+9bsIw&#10;FIX3Sn0H61bqUoHjQiOUYlBVFRWGDgEGxot9SaLG11HsQsrT46FSx6Pzp2++HFwrztSHxrMGNc5A&#10;EBtvG6407Her0QxEiMgWW8+k4ZcCLBf3d3MsrL9wSedtrEQa4VCghjrGrpAymJochrHviJN38r3D&#10;mGRfSdvjJY27Vj5nWS4dNpweauzovSbzvf1xGk670nyshi95PKgnb8rN9WXyedX68WF4ewURaYj/&#10;4b/22mqYKZWrST5NEAkp4YBc3AAAAP//AwBQSwECLQAUAAYACAAAACEA2+H2y+4AAACFAQAAEwAA&#10;AAAAAAAAAAAAAAAAAAAAW0NvbnRlbnRfVHlwZXNdLnhtbFBLAQItABQABgAIAAAAIQBa9CxbvwAA&#10;ABUBAAALAAAAAAAAAAAAAAAAAB8BAABfcmVscy8ucmVsc1BLAQItABQABgAIAAAAIQAMMi5rywAA&#10;AOIAAAAPAAAAAAAAAAAAAAAAAAcCAABkcnMvZG93bnJldi54bWxQSwUGAAAAAAMAAwC3AAAA/wIA&#10;AAAA&#10;" path="m,124857nfc14376,57605,58562,-5460,124877,v49451,-2989,113652,66468,124877,124857c247926,176386,192960,250944,124877,249714,59790,251887,13920,197161,,124857xem,124857nsc-1960,54691,48938,2616,124877,v77386,1772,111346,56330,124877,124857c235849,207393,191132,264712,124877,249714,38461,240168,10830,198989,,124857xe" fillcolor="#abc1af" strokecolor="#abc1af" strokeweight="1pt">
                  <v:stroke joinstyle="miter"/>
                  <v:path arrowok="t" o:extrusionok="f" o:connecttype="custom" o:connectlocs="0,124857;124877,0;249754,124857;124877,249714;0,124857" o:connectangles="0,0,0,0,0"/>
                </v:shape>
                <v:shape id="TextBox 6" o:spid="_x0000_s1087" type="#_x0000_t202" style="position:absolute;left:3238;width:17083;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stxgAAAOIAAAAPAAAAZHJzL2Rvd25yZXYueG1sRE9Na8JA&#10;EL0L/Q/LFLzpbrQVTV2ltAg9tait0NuQHZPQ7GzIrib9951DwePjfa+3g2/UlbpYB7aQTQ0o4iK4&#10;mksLn8fdZAkqJmSHTWCy8EsRtpu70RpzF3re0/WQSiUhHHO0UKXU5lrHoiKPcRpaYuHOofOYBHal&#10;dh32Eu4bPTNmoT3WLA0VtvRSUfFzuHgLX+/n79OD+Shf/WPbh8Fo9itt7fh+eH4ClWhIN/G/+83J&#10;/JnJ5stFJpvlkmDQmz8AAAD//wMAUEsBAi0AFAAGAAgAAAAhANvh9svuAAAAhQEAABMAAAAAAAAA&#10;AAAAAAAAAAAAAFtDb250ZW50X1R5cGVzXS54bWxQSwECLQAUAAYACAAAACEAWvQsW78AAAAVAQAA&#10;CwAAAAAAAAAAAAAAAAAfAQAAX3JlbHMvLnJlbHNQSwECLQAUAAYACAAAACEAuBC7LcYAAADiAAAA&#10;DwAAAAAAAAAAAAAAAAAHAgAAZHJzL2Rvd25yZXYueG1sUEsFBgAAAAADAAMAtwAAAPoCAAAAAA==&#10;" filled="f" stroked="f">
                  <v:textbox>
                    <w:txbxContent>
                      <w:p w14:paraId="49F75B54" w14:textId="77777777" w:rsidR="00646D95" w:rsidRPr="007D6C63" w:rsidRDefault="00646D95" w:rsidP="00646D95">
                        <w:pPr>
                          <w:spacing w:after="160" w:line="256" w:lineRule="auto"/>
                          <w:rPr>
                            <w:rFonts w:ascii="Calibri" w:eastAsia="Calibri" w:hAnsi="Calibri" w:cs="Calibri"/>
                            <w:color w:val="000000"/>
                            <w:kern w:val="24"/>
                            <w:lang w:val="en-US"/>
                          </w:rPr>
                        </w:pPr>
                        <w:r w:rsidRPr="007D6C63">
                          <w:rPr>
                            <w:rFonts w:ascii="Calibri" w:eastAsia="Calibri" w:hAnsi="Calibri" w:cs="Calibri"/>
                            <w:color w:val="000000"/>
                            <w:kern w:val="24"/>
                            <w:lang w:val="en-US"/>
                          </w:rPr>
                          <w:t>Observed decreased</w:t>
                        </w:r>
                      </w:p>
                      <w:p w14:paraId="411296EE" w14:textId="77777777" w:rsidR="00646D95" w:rsidRPr="007D6C63" w:rsidRDefault="00646D95">
                        <w:pPr>
                          <w:rPr>
                            <w:rFonts w:ascii="Calibri" w:hAnsi="Calibri" w:cs="Calibri"/>
                          </w:rPr>
                        </w:pPr>
                      </w:p>
                    </w:txbxContent>
                  </v:textbox>
                </v:shape>
                <v:shape id="TextBox 7" o:spid="_x0000_s1088" type="#_x0000_t202" style="position:absolute;left:3238;top:6286;width:17083;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26xwAAAOIAAAAPAAAAZHJzL2Rvd25yZXYueG1sRE/Pa8Iw&#10;FL4L/g/hCbtpUjfFdk1FlMFOk6kb7PZonm2xeSlNZrv/fjkMdvz4fufb0bbiTr1vHGtIFgoEcelM&#10;w5WGy/llvgHhA7LB1jFp+CEP22I6yTEzbuB3up9CJWII+ww11CF0mZS+rMmiX7iOOHJX11sMEfaV&#10;ND0OMdy2cqnUWlpsODbU2NG+pvJ2+rYaPt6uX59P6lgd7Kob3Kgk21Rq/TAbd88gAo3hX/znfjUa&#10;lutN+pikSdwcL8U7IItfAAAA//8DAFBLAQItABQABgAIAAAAIQDb4fbL7gAAAIUBAAATAAAAAAAA&#10;AAAAAAAAAAAAAABbQ29udGVudF9UeXBlc10ueG1sUEsBAi0AFAAGAAgAAAAhAFr0LFu/AAAAFQEA&#10;AAsAAAAAAAAAAAAAAAAAHwEAAF9yZWxzLy5yZWxzUEsBAi0AFAAGAAgAAAAhAJsS3brHAAAA4gAA&#10;AA8AAAAAAAAAAAAAAAAABwIAAGRycy9kb3ducmV2LnhtbFBLBQYAAAAAAwADALcAAAD7AgAAAAA=&#10;" filled="f" stroked="f">
                  <v:textbox>
                    <w:txbxContent>
                      <w:p w14:paraId="31778DAB" w14:textId="77777777" w:rsidR="00646D95" w:rsidRPr="007D6C63" w:rsidRDefault="00646D95" w:rsidP="00646D95">
                        <w:pPr>
                          <w:spacing w:after="160" w:line="256" w:lineRule="auto"/>
                          <w:rPr>
                            <w:rFonts w:ascii="Calibri" w:eastAsia="Calibri" w:hAnsi="Calibri" w:cs="Calibri"/>
                            <w:color w:val="000000"/>
                            <w:kern w:val="24"/>
                            <w:lang w:val="en-US"/>
                          </w:rPr>
                        </w:pPr>
                        <w:r w:rsidRPr="007D6C63">
                          <w:rPr>
                            <w:rFonts w:ascii="Calibri" w:eastAsia="Calibri" w:hAnsi="Calibri" w:cs="Calibri"/>
                            <w:color w:val="000000"/>
                            <w:kern w:val="24"/>
                            <w:lang w:val="en-US"/>
                          </w:rPr>
                          <w:t>Observed increased</w:t>
                        </w:r>
                      </w:p>
                      <w:p w14:paraId="68F6BD88" w14:textId="77777777" w:rsidR="00646D95" w:rsidRPr="007D6C63" w:rsidRDefault="00646D95">
                        <w:pPr>
                          <w:rPr>
                            <w:rFonts w:ascii="Calibri" w:hAnsi="Calibri" w:cs="Calibri"/>
                          </w:rPr>
                        </w:pPr>
                      </w:p>
                    </w:txbxContent>
                  </v:textbox>
                </v:shape>
                <v:shape id="TextBox 8" o:spid="_x0000_s1089" type="#_x0000_t202" style="position:absolute;left:3238;top:3077;width:17083;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sTxwAAAOMAAAAPAAAAZHJzL2Rvd25yZXYueG1sRE9LS8NA&#10;EL4L/Q/LFLyZ3dbExthtEUXwZLEPwduQnTxodjZk1yb+e1cQPM73nvV2sp240OBbxxoWiQJBXDrT&#10;cq3heHi5yUH4gGywc0wavsnDdjO7WmNh3MjvdNmHWsQQ9gVqaELoCyl92ZBFn7ieOHKVGyyGeA61&#10;NAOOMdx2cqnUnbTYcmxosKenhsrz/stqOL1Vnx+p2tXPNutHNynJ9l5qfT2fHh9ABJrCv/jP/Wri&#10;/GWWpvltnq3g96cIgNz8AAAA//8DAFBLAQItABQABgAIAAAAIQDb4fbL7gAAAIUBAAATAAAAAAAA&#10;AAAAAAAAAAAAAABbQ29udGVudF9UeXBlc10ueG1sUEsBAi0AFAAGAAgAAAAhAFr0LFu/AAAAFQEA&#10;AAsAAAAAAAAAAAAAAAAAHwEAAF9yZWxzLy5yZWxzUEsBAi0AFAAGAAgAAAAhADFAKxPHAAAA4wAA&#10;AA8AAAAAAAAAAAAAAAAABwIAAGRycy9kb3ducmV2LnhtbFBLBQYAAAAAAwADALcAAAD7AgAAAAA=&#10;" filled="f" stroked="f">
                  <v:textbox>
                    <w:txbxContent>
                      <w:p w14:paraId="52829F07" w14:textId="77777777" w:rsidR="00646D95" w:rsidRPr="007D6C63" w:rsidRDefault="00646D95" w:rsidP="00646D95">
                        <w:pPr>
                          <w:spacing w:after="160" w:line="256" w:lineRule="auto"/>
                          <w:rPr>
                            <w:rFonts w:ascii="Calibri" w:eastAsia="Calibri" w:hAnsi="Calibri" w:cs="Calibri"/>
                            <w:color w:val="000000"/>
                            <w:kern w:val="24"/>
                            <w:lang w:val="en-US"/>
                          </w:rPr>
                        </w:pPr>
                        <w:r w:rsidRPr="007D6C63">
                          <w:rPr>
                            <w:rFonts w:ascii="Calibri" w:eastAsia="Calibri" w:hAnsi="Calibri" w:cs="Calibri"/>
                            <w:color w:val="000000"/>
                            <w:kern w:val="24"/>
                            <w:lang w:val="en-US"/>
                          </w:rPr>
                          <w:t>No observed change</w:t>
                        </w:r>
                      </w:p>
                      <w:p w14:paraId="7E4A5E32" w14:textId="77777777" w:rsidR="00646D95" w:rsidRPr="007D6C63" w:rsidRDefault="00646D95">
                        <w:pPr>
                          <w:rPr>
                            <w:rFonts w:ascii="Calibri" w:hAnsi="Calibri" w:cs="Calibri"/>
                          </w:rPr>
                        </w:pPr>
                      </w:p>
                    </w:txbxContent>
                  </v:textbox>
                </v:shape>
                <v:shape id="Oval 8" o:spid="_x0000_s1090" style="position:absolute;top:57;width:2497;height:2497;visibility:visible;mso-wrap-style:square;v-text-anchor:middle" coordsize="249753,24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c9ygAAAOMAAAAPAAAAZHJzL2Rvd25yZXYueG1sRI9BSwMx&#10;FITvQv9DeII3m90Vt3VtWkpB8CJo20N7e2xeN8HNy5LE7frvjSB4HGbmG2a1mVwvRgrRelZQzgsQ&#10;xK3XljsFx8PL/RJETMgae8+k4JsibNazmxU22l/5g8Z96kSGcGxQgUlpaKSMrSGHce4H4uxdfHCY&#10;sgyd1AGvGe56WRVFLR1azgsGB9oZaj/3X05B7Z9GW4etfDtdDvH9bFqb9FKpu9tp+wwi0ZT+w3/t&#10;V62gKsvFoq7Kxwf4/ZT/gFz/AAAA//8DAFBLAQItABQABgAIAAAAIQDb4fbL7gAAAIUBAAATAAAA&#10;AAAAAAAAAAAAAAAAAABbQ29udGVudF9UeXBlc10ueG1sUEsBAi0AFAAGAAgAAAAhAFr0LFu/AAAA&#10;FQEAAAsAAAAAAAAAAAAAAAAAHwEAAF9yZWxzLy5yZWxzUEsBAi0AFAAGAAgAAAAhANCuVz3KAAAA&#10;4wAAAA8AAAAAAAAAAAAAAAAABwIAAGRycy9kb3ducmV2LnhtbFBLBQYAAAAAAwADALcAAAD+AgAA&#10;AAA=&#10;" path="m,124857nfc2362,56180,61682,-11881,124877,v55801,-2016,115673,64566,124877,124857c248726,184014,185557,261231,124877,249714,66354,255562,3602,194680,,124857xem,124857nsc-6428,51935,43627,4610,124877,v81039,2541,116324,56172,124877,124857c242097,201291,191460,262895,124877,249714,53662,248485,12194,199640,,124857xe" fillcolor="#b67a61" strokecolor="#b67a61" strokeweight="1pt">
                  <v:stroke joinstyle="miter"/>
                  <v:path arrowok="t" o:extrusionok="f" o:connecttype="custom" o:connectlocs="0,124857;124877,0;249754,124857;124877,249714;0,124857" o:connectangles="0,0,0,0,0"/>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1020C" w:rsidRPr="0001020C" w14:paraId="4C6262E7" w14:textId="77777777">
        <w:tc>
          <w:tcPr>
            <w:tcW w:w="9026" w:type="dxa"/>
          </w:tcPr>
          <w:p w14:paraId="2AFEE5AD" w14:textId="6D1553E2" w:rsidR="00CB76DA" w:rsidRPr="0001020C" w:rsidRDefault="00CB76DA" w:rsidP="00F8647E">
            <w:pPr>
              <w:pStyle w:val="TableFigure-Header"/>
              <w:rPr>
                <w:b w:val="0"/>
                <w:iCs/>
              </w:rPr>
            </w:pPr>
            <w:bookmarkStart w:id="255" w:name="_Ref131070275"/>
            <w:bookmarkStart w:id="256" w:name="_Toc136612743"/>
            <w:bookmarkStart w:id="257" w:name="_Toc136613560"/>
            <w:bookmarkStart w:id="258" w:name="_Toc136614377"/>
            <w:bookmarkStart w:id="259" w:name="_Toc138851345"/>
            <w:r w:rsidRPr="0001020C">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2</w:t>
            </w:r>
            <w:r w:rsidR="005B4A4F">
              <w:fldChar w:fldCharType="end"/>
            </w:r>
            <w:bookmarkEnd w:id="255"/>
            <w:r w:rsidR="00C50710">
              <w:t>.</w:t>
            </w:r>
            <w:r w:rsidRPr="0001020C">
              <w:rPr>
                <w:b w:val="0"/>
                <w:iCs/>
              </w:rPr>
              <w:t xml:space="preserve"> Traffic light framework for observed change and evidence (regression coefficient)</w:t>
            </w:r>
            <w:bookmarkEnd w:id="256"/>
            <w:bookmarkEnd w:id="257"/>
            <w:bookmarkEnd w:id="258"/>
            <w:bookmarkEnd w:id="259"/>
            <w:r w:rsidR="007D6C63">
              <w:rPr>
                <w:b w:val="0"/>
              </w:rPr>
              <w:br/>
            </w:r>
          </w:p>
          <w:p w14:paraId="71B874B6" w14:textId="2E3522F5" w:rsidR="0001020C" w:rsidRPr="0001020C" w:rsidRDefault="00CA739E" w:rsidP="0001020C">
            <w:pPr>
              <w:spacing w:after="240" w:line="276" w:lineRule="auto"/>
            </w:pPr>
            <w:r w:rsidRPr="00CA739E">
              <w:rPr>
                <w:noProof/>
              </w:rPr>
              <w:drawing>
                <wp:inline distT="0" distB="0" distL="0" distR="0" wp14:anchorId="478AE7D8" wp14:editId="2CA1723A">
                  <wp:extent cx="3118830" cy="1838960"/>
                  <wp:effectExtent l="0" t="0" r="0" b="8890"/>
                  <wp:docPr id="12" name="Picture 12">
                    <a:extLst xmlns:a="http://schemas.openxmlformats.org/drawingml/2006/main">
                      <a:ext uri="{FF2B5EF4-FFF2-40B4-BE49-F238E27FC236}">
                        <a16:creationId xmlns:a16="http://schemas.microsoft.com/office/drawing/2014/main" id="{F692F6D4-3106-A53C-FE01-F89898F0E8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FF2B5EF4-FFF2-40B4-BE49-F238E27FC236}">
                                <a16:creationId xmlns:a16="http://schemas.microsoft.com/office/drawing/2014/main" id="{F692F6D4-3106-A53C-FE01-F89898F0E883}"/>
                              </a:ext>
                              <a:ext uri="{C183D7F6-B498-43B3-948B-1728B52AA6E4}">
                                <adec:decorative xmlns:adec="http://schemas.microsoft.com/office/drawing/2017/decorative" val="1"/>
                              </a:ext>
                            </a:extLst>
                          </pic:cNvPr>
                          <pic:cNvPicPr>
                            <a:picLocks noChangeAspect="1"/>
                          </pic:cNvPicPr>
                        </pic:nvPicPr>
                        <pic:blipFill rotWithShape="1">
                          <a:blip r:embed="rId118">
                            <a:extLst>
                              <a:ext uri="{96DAC541-7B7A-43D3-8B79-37D633B846F1}">
                                <asvg:svgBlip xmlns:asvg="http://schemas.microsoft.com/office/drawing/2016/SVG/main" r:embed="rId119"/>
                              </a:ext>
                            </a:extLst>
                          </a:blip>
                          <a:srcRect l="8213"/>
                          <a:stretch/>
                        </pic:blipFill>
                        <pic:spPr bwMode="auto">
                          <a:xfrm>
                            <a:off x="0" y="0"/>
                            <a:ext cx="3128885" cy="18448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5BC2EA" w14:textId="77777777" w:rsidR="0001020C" w:rsidRDefault="0001020C" w:rsidP="008C10F1"/>
    <w:p w14:paraId="0D26957D" w14:textId="70FB6E86" w:rsidR="00F8647E" w:rsidRPr="0019547E" w:rsidRDefault="00F8647E" w:rsidP="00F8647E">
      <w:r w:rsidRPr="00BE521B">
        <w:t>Results are shown graphically</w:t>
      </w:r>
      <w:r>
        <w:t xml:space="preserve"> in </w:t>
      </w:r>
      <w:r>
        <w:fldChar w:fldCharType="begin"/>
      </w:r>
      <w:r>
        <w:instrText xml:space="preserve"> REF _Ref136415574 \h </w:instrText>
      </w:r>
      <w:r>
        <w:fldChar w:fldCharType="separate"/>
      </w:r>
      <w:r w:rsidR="00165B17">
        <w:t xml:space="preserve">Figure </w:t>
      </w:r>
      <w:r w:rsidR="00165B17">
        <w:rPr>
          <w:noProof/>
        </w:rPr>
        <w:t>8</w:t>
      </w:r>
      <w:r w:rsidR="00165B17">
        <w:noBreakHyphen/>
      </w:r>
      <w:r w:rsidR="00165B17">
        <w:rPr>
          <w:noProof/>
        </w:rPr>
        <w:t>3</w:t>
      </w:r>
      <w:r>
        <w:fldChar w:fldCharType="end"/>
      </w:r>
      <w:r w:rsidRPr="00BE521B">
        <w:t xml:space="preserve">. The summary effect represents the average effect (positive association = 1, negative association = -1) over the </w:t>
      </w:r>
      <w:r w:rsidR="006D2482">
        <w:t>5</w:t>
      </w:r>
      <w:r w:rsidR="006D2482" w:rsidRPr="00BE521B">
        <w:t xml:space="preserve"> </w:t>
      </w:r>
      <w:r w:rsidRPr="00BE521B">
        <w:t>reporting jurisdictions.</w:t>
      </w:r>
    </w:p>
    <w:p w14:paraId="3C5F4827" w14:textId="10C69949" w:rsidR="00D65AED" w:rsidRDefault="004C48F0" w:rsidP="004C48F0">
      <w:pPr>
        <w:pStyle w:val="TableFigure-Header"/>
      </w:pPr>
      <w:bookmarkStart w:id="260" w:name="_Ref136415574"/>
      <w:bookmarkStart w:id="261" w:name="_Toc138851346"/>
      <w:r>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3</w:t>
      </w:r>
      <w:r w:rsidR="005B4A4F">
        <w:fldChar w:fldCharType="end"/>
      </w:r>
      <w:bookmarkEnd w:id="260"/>
      <w:r>
        <w:t xml:space="preserve">. </w:t>
      </w:r>
      <w:r w:rsidR="00903C53">
        <w:t xml:space="preserve">Traffic light framework and </w:t>
      </w:r>
      <w:r w:rsidR="00045836">
        <w:t xml:space="preserve">simple </w:t>
      </w:r>
      <w:r w:rsidR="00903C53">
        <w:t>correlation</w:t>
      </w:r>
      <w:r w:rsidR="00045836">
        <w:t xml:space="preserve"> for morbidity-mortality</w:t>
      </w:r>
      <w:bookmarkEnd w:id="261"/>
    </w:p>
    <w:p w14:paraId="396DBB44" w14:textId="7201F31E" w:rsidR="0029774A" w:rsidRPr="00BE521B" w:rsidRDefault="00173E2B" w:rsidP="009C406F">
      <w:pPr>
        <w:spacing w:after="360"/>
      </w:pPr>
      <w:r>
        <w:rPr>
          <w:noProof/>
        </w:rPr>
        <mc:AlternateContent>
          <mc:Choice Requires="wpg">
            <w:drawing>
              <wp:inline distT="0" distB="0" distL="0" distR="0" wp14:anchorId="4FD8BFBB" wp14:editId="10656B17">
                <wp:extent cx="5700395" cy="3122295"/>
                <wp:effectExtent l="0" t="0" r="0" b="1905"/>
                <wp:docPr id="1042573698" name="Group 1042573698" descr="Data Table showing relationship between morbidity and mortality"/>
                <wp:cNvGraphicFramePr/>
                <a:graphic xmlns:a="http://schemas.openxmlformats.org/drawingml/2006/main">
                  <a:graphicData uri="http://schemas.microsoft.com/office/word/2010/wordprocessingGroup">
                    <wpg:wgp>
                      <wpg:cNvGrpSpPr/>
                      <wpg:grpSpPr>
                        <a:xfrm>
                          <a:off x="0" y="0"/>
                          <a:ext cx="5700395" cy="3122295"/>
                          <a:chOff x="0" y="0"/>
                          <a:chExt cx="5700395" cy="3122295"/>
                        </a:xfrm>
                      </wpg:grpSpPr>
                      <pic:pic xmlns:pic="http://schemas.openxmlformats.org/drawingml/2006/picture">
                        <pic:nvPicPr>
                          <pic:cNvPr id="190" name="Picture 190" descr="A picture containing text, screenshot, number, font&#10;&#10;Description automatically generated"/>
                          <pic:cNvPicPr>
                            <a:picLocks noChangeAspect="1"/>
                          </pic:cNvPicPr>
                        </pic:nvPicPr>
                        <pic:blipFill rotWithShape="1">
                          <a:blip r:embed="rId120"/>
                          <a:srcRect l="1355" r="4560" b="20123"/>
                          <a:stretch/>
                        </pic:blipFill>
                        <pic:spPr bwMode="auto">
                          <a:xfrm>
                            <a:off x="0" y="0"/>
                            <a:ext cx="5700395" cy="3122295"/>
                          </a:xfrm>
                          <a:prstGeom prst="rect">
                            <a:avLst/>
                          </a:prstGeom>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5080000" y="120650"/>
                            <a:ext cx="620395" cy="301625"/>
                          </a:xfrm>
                          <a:prstGeom prst="rect">
                            <a:avLst/>
                          </a:prstGeom>
                          <a:noFill/>
                          <a:ln w="9525">
                            <a:noFill/>
                            <a:miter lim="800000"/>
                            <a:headEnd/>
                            <a:tailEnd/>
                          </a:ln>
                        </wps:spPr>
                        <wps:txbx>
                          <w:txbxContent>
                            <w:p w14:paraId="2B9AF050" w14:textId="77777777" w:rsidR="00173E2B" w:rsidRPr="007F6E8B" w:rsidRDefault="00173E2B" w:rsidP="00173E2B">
                              <w:pPr>
                                <w:spacing w:after="0" w:line="204" w:lineRule="auto"/>
                                <w:jc w:val="center"/>
                                <w:rPr>
                                  <w:b/>
                                  <w:bCs/>
                                  <w:sz w:val="18"/>
                                  <w:szCs w:val="18"/>
                                </w:rPr>
                              </w:pPr>
                              <w:r w:rsidRPr="007F6E8B">
                                <w:rPr>
                                  <w:b/>
                                  <w:bCs/>
                                  <w:sz w:val="18"/>
                                  <w:szCs w:val="18"/>
                                </w:rPr>
                                <w:t>Summary effect</w:t>
                              </w:r>
                            </w:p>
                          </w:txbxContent>
                        </wps:txbx>
                        <wps:bodyPr rot="0" vert="horz" wrap="square" lIns="0" tIns="0" rIns="0" bIns="0" anchor="t" anchorCtr="0">
                          <a:noAutofit/>
                        </wps:bodyPr>
                      </wps:wsp>
                    </wpg:wgp>
                  </a:graphicData>
                </a:graphic>
              </wp:inline>
            </w:drawing>
          </mc:Choice>
          <mc:Fallback>
            <w:pict>
              <v:group w14:anchorId="4FD8BFBB" id="Group 1042573698" o:spid="_x0000_s1091" alt="Data Table showing relationship between morbidity and mortality" style="width:448.85pt;height:245.85pt;mso-position-horizontal-relative:char;mso-position-vertical-relative:line" coordsize="57003,31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27gagMAAAUIAAAOAAAAZHJzL2Uyb0RvYy54bWykVdtu1DAQfUfiHywj&#10;8QRNNstu29AUFQoVEpeKi3j2Os7GIrGN7W2yfD3HTrLttkhAqdTs+DY+c+bM+ORF3zbkSlgntSro&#10;7CClRCiuS6nWBf365c3TI0qcZ6pkjVaioFvh6IvThw9OOpOLTNe6KYUlcKJc3pmC1t6bPEkcr0XL&#10;3IE2QmGx0rZlHkO7TkrLOnhvmyRL02XSaVsaq7lwDrPnwyI9jf6rSnD/saqc8KQpKLD5+LXxuwrf&#10;5PSE5WvLTC35CIPdA0XLpMKlO1fnzDOysfKOq1Zyq52u/AHXbaKrSnIRY0A0s/RWNBdWb0yMZZ13&#10;a7OjCdTe4unebvmHqwtrPptLCyY6swYXcRRi6Svbhl+gJH2kbLujTPSecEwuDtN0fryghGNtPsuy&#10;DINIKq/B/J1zvH79h5PJdHGyB8dInuN/5ADWHQ7+rBWc8hsr6Oik/SsfLbPfN+Yp0mWYlyvZSL+N&#10;0kNiAih1dSn5pR0GoPPSElmiFI4hN8VaaB7r4VoSp0rhOPR3RkYwhGvloR6Il3iw+oRgXQjlag1b&#10;bdqVsE9IhU2PH/Vnz+PnPPiQxqPmCNt4jdqQnDXNlqyFEpZ5UYYcBHQB0ACPBfreaf7dEaVf1Uyt&#10;xZkzKBBgDbuT/e1xuBfbqpHmjWwaYrX/Jn39uWYG0c2i7sPiSCuiu6XO32RmUP655ptWKD+UshUN&#10;AtEIXRpHic0FggeV9m0ZEbLcWf4JiEMxz+YLqA53PVsswTSKGQWUzQftOW+F5/UU1YR8oMRB7GTV&#10;vdcl0Af6YgD/I/adZMGxdf5C6JYEA9CBNrpnV++cD3iut4TSalT4Kh14HVbDTOQ+wBxNZCYUJzqk&#10;m0jG6A7N/9QEYvYALbi9Vm02O5xU+yWU+EvdkyxwOm4LjYL4HtNT4p25pSlrdVcLVgLfoKsbRwc/&#10;f5WARXqU4o8S9JVZli4XY6+eGs8yu9F30tkyi23n/pnY5SAkhXQFPV7A5V52WN5Kj9eqkW1BI7oR&#10;Uwj3tSpBE8tRy81gA0tMZoh/SGawfL/qY4OYx8NhaqXLLWhFWcUmi9cURq3tT0o6vEwFdT82LLSt&#10;5q0Cq+EZmww7GavJYIrjaEE9JYP5ymOUjpGcQe6VjEK8vhkqCwOIK1rxrYG195jdHMdd16/36S8A&#10;AAD//wMAUEsDBAoAAAAAAAAAIQB3Zj/Br1UBAK9VAQAUAAAAZHJzL21lZGlhL2ltYWdlMS5wbmeJ&#10;UE5HDQoaCgAAAA1JSERSAAAC6AAAAeAIAgAAAHiDDzcAAAABc1JHQgCuzhzpAAD/yklEQVR4Xuyd&#10;B3hVxbaAnwICoZNAqKF3kSKoFEUUQRQVUZrl6lMUQUUUy1Wxo15U7IKo16sXEIGrYkFUUEG6SJPe&#10;E0ogEAgQCEHwvvefLByG3c4+JckJzP72d759Zq+ZWWVm1po1a2af8X//93//Yy7DAcMBwwHDAcMB&#10;wwHDgYLAgTMLApIGR8MBwwHDAcMBwwHDAcOBAAeM4WLageGA4YDhgOGA4YDhQIHhgDFcCoyoDKKG&#10;A4YDhgOGA4YDhgPGcDFtwHDAcMBwwHDAcMBwoMBwwBguBUZUBlHDAcMBwwHDAcMBwwFjuJg2YDhg&#10;OGA4YDhgOGA4UGA4YAyXAiMqg6jhgOGA4YDhgOGA4YAxXEwbMBwwHDAcMBwwHDAcKDAcMIZLgRGV&#10;QdRwwHDAcMBwwHDAcMAYLqYNGA4YDhgOGA4YDhgOFBgOGMOlwIjKIGo4YDhgOGA4YDhgOHCG97eK&#10;un0zy/DIcMBwwHDAcMBwwHAgQg4U+/g1Ssi+5f4Iy4nN7N90uzDPEDMelzxjtanIcMBwwHDAcMBw&#10;wHAgUg4YwyVSDpr8hgOGA4YDhgOGA4YDecYBY7jkGatNRYYDhgOGA4YDhgOGA5FywBgukXLQ5Dcc&#10;MBwwHDAcMBwwHMgzDhjDJc9YbSoyHDAcMBwwHDAcMByIlAPGcImUgya/4YDhgOGA4YDhgOFAnnHA&#10;GC55xmpTkeGA4YDhgOGA4YDhQKQcMIZLpBw0+Q0HDAcMBwwHDAcMB/KMA8ZwyTNWm4oMBwwHDAcM&#10;BwwHDAci5cApYri0LFvqrXbN7m1U08KPblUqkFi3RDFLOsDcJJIRAH4jZaTJHzEHRIiPNK1LSW6C&#10;i7iS/CkgvkhhVTFkXlyhnGpyPOvtk2e9NZIRgPxBOuJadaojLiz/C0A0FmGBU4EWkDdPLQ1VAeut&#10;N/+lEjoG0OW/xwkTQq/E5MhdDuTnkf+31612bcNa0LczM6vfzEWK0P9c3rZY4UL8fWXBihm7M/ww&#10;gLb14Plnb844cO+cZTo8irBWudLfb9z61upkPV0OJ+aDBs+0bHhulQqLUnc/tXgNyrJWmRKfbNi2&#10;5+gxP5We8jB079c7tobM7GN//n3W4g2HsoVkYRoPdsZ68CQoe3UhiuDGLt/wacoO2gnF/nPDtgLB&#10;cMWcdxev+SZ1NzgLLTQ2lNzT5zXhWQhZtXvvt5tSabew9/rv5pLCKPls++Z6y5e8/jtCPrJobKfz&#10;yhYrqjcVehld8rN1W6DRgpi9q+Yj5kGrpmX2a1YP6gRyX/aRD5atl6HJLqCXzm/SuEJ5VSZS/nTt&#10;lsX7MoPWElMAQpdqqA8vWGnp+6p5xxTaQZGRQQYw+ZqNGuIsvVV6HEPWXS0bSldVHAhahQeAOfI/&#10;Eu7pefPT4xL31zS0Uqk4moig1adGZbFaonJ9vzkV5Tp1y0630n7emgYAvwB0qVWlS53qTY335S9m&#10;VYsrLo9I5LraAeuBC+0rVkuoV0jsnbNtF3L5LT2gG7BuxcAtEFf54sfVW5/GVpy716iEMkC1QxpD&#10;YfHChZfn6DPYK16W+mVKCo1NE8rIgygPAYvxS/Q6tNzcoKaO6oGjxzBTuCGcdGYpPG87cCjGyVHo&#10;odtQdVAH5sxwsFp4JsXux5UsiFWRCTBGDMZowfLpMghbGqriRpOKx22y1pXiC4oEdTzVTFj8KA3L&#10;HPe1N4k/3uMqlypB+rasw/wqGhHiKeY+LIiy03HOT8NF8JDhTDWRlpUCHUMS5aLFMIuVxR1mMzJe&#10;YOjwlw6mFhdkyABAwKSd4UGpX75M6SJFeJaVCB2exEpxxQAoWaQwC0bSZG9qXJvsLFgAKY2boqTM&#10;gi7s8PBn8CVj08TjAxba114OThHhrWIaYuKZdJEI/FTs5RmWwnCVRZmtquQKcUVFcIrtshQopUkb&#10;cFsfDI/MqOdCvdE+9WKTSgfskoXbd+H/YwKHdxDfHuqQRDFZGv01ekI7f6X5AVCwXIDYtbpSx9kA&#10;pdw7MgPGythVm3gevnxD1BmeSwWKHYaxhVcYv+x9MxdLj+ia5NARFA5CJsAi3z4NknIJvdwolt5H&#10;sSt37VUNVWqhn2KYCvnKgskNBHK1TERJ+XXKBEZ7Za/Uy+lxDClCoHiXhUaR4GVhzdZylZDTufD8&#10;N1zoHqqJoM+wbWk3MsbJNbxtM4ZCZgDcvH26zTkkYpHw96amdfmtVjrQBLnw3AAgYI+0bEAKCoC/&#10;pYsUpuTHLmgqhVyoqRO6aCAxx74RTw+F1C5XBm8Q6R2rJ5LSpkI5nssXswbKnCbtJuPwEboualj0&#10;aJuqAZ4w9VTkY0/gERHecstkFG8Nz6SLRJCRYi/PuLVwbpUrXhRbk7f4Yy3zVyW4KjnWZEDi5UqT&#10;iBR46FA5ITCUVE/kOS5nghtrlwyO3epV1xHbcuAgf2l+GOKK3vV795MoJkud8sed8+JokbFVAArK&#10;JYRbnC4FBXlHPMWFhgtQ3mJELtgeeBbj0vsCePL6LcAwpASDjaH3WTlr5Yy6ekMlRaaX36zfyhBN&#10;d7bPN2KIBndU1uV0qAY5PU7sFS6GfXSEzB827s3pvDlWGp5R6YAyozZXjHAg/w2X9MPZ6EXpBjKb&#10;X54WMGXkQlnSpOgnt3w/j1v8tCpaCscMi5H/WrlJgPn75OylpPCsLzPzF3tZTGkK+WLNZjv3mR7J&#10;mEt2Ag6+3LSdZ7G4pbvO2x5YTjo9L6EdM44ZCeJAXkhNsQITRPjGsjH9nGd9Mgq3EYrOXp5Z+2BR&#10;+abpvzKLlQmNWpaycBgYSaFwMgomYjzJoLNg554YFAprlLRGi9NlcspOIRaVQPCQxO6s3BMYFquW&#10;KoEpAzyNUGBo5DK2CkBBuYhoEQLdVlIKCiEKTzEid2adaPCi131eqTkZo7j87bPeSMAcGyoFyng4&#10;LXW3DNEFdLVoeXqgQ8mMSEYzGfmZoMr8YXVOjxPqFu/cOy0nkMCsFkXSoqKeN/8NF0gSbXRR9Yqi&#10;kKShyCWL/ZjAzF24mf3zV2aiXHjdWbNUgW/4aXhWq5j6urI4P5kqUYifME/KUbMK6a4zd6RHnfsF&#10;pUChHT7g5FDyEuSFyShpYfvanD6vJqMMCnDbHpmIFPBysehDRCdjh38+MKQCTBaxaFW9/kvIG8iD&#10;R4/NTEmlLt3pAtUYakQci7MddxTcm5fDN2hplRBwaDEdlBkeLV/GVgEoKBfN4BRzuoiw9EsF5/kR&#10;Cu5e6SB+gGMExrGhigeCHo27VOYtBXS1SEYqNamgu4kPhhGJ+QMPElon1NGRkaCIz6wWxUj7BI2Y&#10;MFxEL2LSinNF13MyuSle5KRw3bSs40NJ1jGvqU/KoUCA1UkjTijLCuIQJsRSuqvaUxM7wsszTKBd&#10;vGKyyma34SwTyr059iXXYRcB4WyQpSKYbFcMjnRJ0BJDqjh12OXBr6wzxubF9jRxuqjdGYIn+6QI&#10;fZChkDFRhbl0qlmFFKaD4mJpVjFeAkILVoALmCunS2zKJVSsZLJ0vhaLKna5auTeBcpys772HSoC&#10;+QUvDVW6J2so4oFgiGYtWILlC+5qkdjW0uPobuKDoceJA4bhTqw0ElnFhl55NqtF+dUU7fXGhOEi&#10;elGQ09eJ+Lskp0mxQswMm1t0gHhf7Rdv0YhymguKQR/xd+fYOq2rVqQQFm49BMAIJUtRshdJ9kqc&#10;zutEwivFAYsNh5UpOhjOszogPjMJ5nC8cCTgZkgoHggYwmpBuwftDDJ03lC3mnh3cN4quSyMyXUi&#10;oYjmJ04XddHwaJy0LpzSMhSy44ZfcbGI54lFNOWD4e+yXbG4EOYtMma0eghUUPnGOIBMxzHZaeEy&#10;esgoJFsR5cIHLAOUWiAjBeV34uCAzSe1hBgn+eSGGpgw7P/jqOwlZIWXRWFumT8U0NUikan0uDX7&#10;jzvp5a90RqFrVsoOIVaiC8xqUey025gwXGCH0ov6OhHp6EWsY0Z5zF7Zf09j8jgUgamAhFxYdAaz&#10;B/SrlEMPdPTcLk0LKAlGKKlIN6dO53UiaayKA3YbTlgN54nbkCmLLOhYLpmhIp3/bVI7JWc3LM8f&#10;d2mjjsdw6xUSKycZeRBR8sCvHJQSsxdmme5PIswTKmhd6nAIackqTEf8K9wql8wFC9w1Zm1ygcPZ&#10;DWF21sgEnRYuo4e0PTE65ZJX3Cq6ixSkrI47ivGGaqEdD7dqqBKgWuiMM4ChfUIIhin3L1sDDukC&#10;ulqkupXaQCQi5hJ/5/Fonq1pQizr3Wa1KKZ6dKGnn37aA6FPckLtcumKO+OMzCNHaEPJWdlbMrPi&#10;zvif5bv2fpsaWDYq9Od/92QdXpy+b+/RY1O3phX/73/TD2Wv2bNvevKOf20MzNGPHfvzj6NHJS9/&#10;C5/xP2f897+T129NO3gIyFlb0z7Mmcrr5fyYsoMqdmRmTVqbsmX/wR0HD/2avk/HYcneA1TEq/nb&#10;d6/YH/AZ1IgrWrd8GbrrR+u35hITYrnYzKPH4NiaPQfgBoIQ5kzanHr4v//V+Q8bDxw8jLzg7eKd&#10;6W+v2Ijq1fMKjcvT9yE2SqBAjI//Hjl69M8/kThSoxkg65RD2ao6XXBkJH1jxoHfdu5dl+OZa1K6&#10;BPEfy3bumRF7gUc65jAqee+BQEPdtZfW9Sv+oWPHpCXTxl77K6icNhxf6EwInJ+aLgT+kf0H/CTX&#10;F39tZonldiK4SfOgMfBMa5EmoURGYpkzz6TTSaeOfXJ0DBmCaK4gTwtHdvuz/0gqU7JjUiWkBoGQ&#10;iezknrNjz6Z9mbRn+Uvbnrg+5bucMa0AXYt3ZVgaapViRSFqespOGW+5aKiQn7I/UyResC6okOY6&#10;e9su6XGHs/8QqU3dtotum1ikkFJGQtqZR4/RADbtP6Q4EAbJhZfNJ9ex5m3CyBv7WW6oXyPPkMzP&#10;k3PzjMiwK5LjI/ET+onnDbsWkzFUDsjZygX07M5QiTXwMcgBlvw61KhC5IrlqO4YRNWgFDscMCfn&#10;RksWsbJUFC16olgO0aCymG3WiaLI1ciLIpIAqyX214kip9SUELMcYP2IQxPeWLo2ZjE0iBkOnMIc&#10;MB6XU1i4hjTDAcMBwwHDgVjhgPG4REsSxuMSLU6acgwHDAcMBwwHDAcMB3KdA8ZwyXUWmwoMBwwH&#10;DAcMBwwHDAeixQFjuESLk6YcwwHDAcMBwwHDAcOBXOeAMVxyncWmAsMBwwHDAcMBwwHDgWhxwBgu&#10;0eKkKcdwwHDAcMBwwHDAcCDXOWAMl1xnsanAcMBwwHDAcMBwwHAgWhwwhku0OGnKMRwwHDAcMBww&#10;HDAcyHUOGMMl11lsKjAcMBwwHDAcMBwwHIgWB4IcQLfvyB/RqsmUYzhgOGA4YDhgOHDacqDfTX2g&#10;/YOxn56SHChb9Kw8o8t4XPKM1aYiwwHDAcMBwwHDAcOBSDlgDJdIOWjyGw4YDhgOGA4YDhgO5BkH&#10;zFJRnrHaVGQ4YDhgOGA4cPpyIJeWiqYv+NaNp53OvyLP2G2WiqLJ6uzDh7/9+quMjIxoFmrKMhww&#10;HDAcMBwwHDAcyA8OxLTHBZsjdfv24nHFK1epqpizacMG9Vy7bl15FkiVrmdZOH/+gFtumTZ/frly&#10;5QDYkbr9cNZhHsrFx0sKBapnAeBXatTrsqCRH8Ky1qlTXaVq1WLFi4PwnvT01hdcEDZ6rRo0GDFq&#10;VIdLLgm7hLAzXnPZZf0H3XvFVVdHTkXYOISa8Ujm/j8y95MrLiGx0FlFvbP/+ceRrPQ0YM4qVaZo&#10;qTJ+6lLNFWDV2iUjr5YsWsRDUo2aZ59zjipNWsWa1ass6X6qE5hjfx47lJXJQ9GixYudVSxoxqw9&#10;u/48kg1YqSpJQYERrt6VmFFkH86ydzfKkSYtBZJr65Ythw4dbHHuufpoELQ6N4BcFRxEZezZI1Xr&#10;VPCXN78vWQIhFSpUbNqsmSJQ0RgXF2dJD5tGMmb/kX3kSGC4KxFXqnChwt5FhSR3nUZ9/BQaN6xd&#10;u3v3Lmis26CBDLO6HKNLIyXvzwzMSwsVKlIyrmRQdoXaXClQdT2hWv7qfdPeXBmH4UDDRo31blug&#10;PS6q6br1wbz0uMS04SI2R/PWrT8YO1Y1RzSreq6alPTuxx8xkDGu9brySpV+bZ/ejz/zrPx9c8SI&#10;rSkpL7/5Js+Txo8f/vTTCmzUxx+j4ynw2VdeRl9K+vNPPcmvZNfrsqARtHvkNgDd5omHH1m6cKFU&#10;BCs+mjhx3uxZn0+YqLMrVDQs3LBkn/nTT6TkklmjqsZDFiEVoVIdBjyab+O3E/avXazyVunQvVqb&#10;jm7my/YFM1NnfXMsxyDgKtOgZc1O3ePiK3pX7dja7S25Y5cuzw0fjhZkcLm1V6/tW7bQXGkbYdig&#10;yakbU3ZsOnrsqCAWXyahXlJjN32Qmbplw+SPstNTBbhwXKla3W5OaHjCirJQp/qpmkgg6yW//Wbv&#10;bmT8+uef6Nq081f/Mfzn77+nhUMX6XcPGfK/d94ZhsgkC3orefpkJThwrnJht6rnd3ArMGXmd6kz&#10;J6u3CK7OFb297U7GkC8+naCyyDjDXwa0YU88IVRwqeGL54cGDYJGkdrf7rxz0JAhYRMoGTFZVm/6&#10;fc/+dFVOzcp16iadGDwt5SP3DVvXqkRvuQPGuPrv996z07ji998fHzJEp/H5ESPEsBa20FahVB+i&#10;I6F0W9qWjdvWquZavGjc2XWalSl1wlTSCw9V9OSVDjhxyhSxP2iuTz740G9rA4xioqXIVDB0wJGv&#10;v6ZLH3pF+3AVXMOFbnjXLbcqenWNqTicl4ZLTAfnzpszh75NT6Yz6O0PrtF0aEzw8btvpqhXpJDO&#10;rawWZp/0rm7du8uogdXyyNNPCwxjup8Oo8qMxBrwU1GoMFgtu9PSGNyhBTXQvWdPSsD8ylU8Z8+c&#10;wR0qqqHC5zYVoeJjh8d38vvoYbrVAgzqbe0XHzsWvun7z7d8P15ZLcCQd+W/XmYkDYqMau1AThof&#10;2EgpLRn9LS0ZvYgmGD9mDK+wXOkUs5cupRnQdKsnBXeB6Ais2bwC7aXUAK/QfItWzzuYddCOZ8bm&#10;dSs+eEFZLQBA4PqJI3cu+zUoUQzujjBCrNxYLfRf2nnG3r208y+nTZNen1i5UtDy3QAwN2G7Ljhw&#10;RjQIyDHLqgnv6VaLCA7R0wC8cUAxS8dEb2GsAIxKYxp2Xts2SIdXUEQi1PGLPYcEP5o0CamRpU27&#10;dmETKBmxWhYsn6VbLSQm79i4ZI2zaETueqUid8pxwyTzwH6hEXIUjcgLq6V+o0ZCI7TwTArpaD7U&#10;OaMuWpy311x3fYQ0BihK3bgmeYXeXA8fyVq4ap44YCwXfS0k0evZX9CmuyqdjqY3V7FsaNi/zp2H&#10;KKUNB/pgjRqRUxoLJeAOR3DcyB3rLX9Ril3DRWyOoc89h+3CSG1nEw2FCUrq9m0eHFwwbx5vz2/T&#10;ht/Rb79NB+vZt6/A4zaIZEklf8WGJYc9B3PEbY4zljkov3hEmAmRwjDBhAAPEzMGEmEmz6Tw91/v&#10;vcdfBamALRTB83433QQ8v+JooQT6JDczJ5EIv8wUgeFXyQgEqIK6BAGyq5IBY8qiVwQhUgJZVLrC&#10;jbGe0nhLUWK8grleOH9JVIUApspX+IsLjQv1oLBVpjClUT63BTFv+ab8PEW3QhQwWi19zUlGNq9w&#10;S6Qt+MFeICUw9ffZkGjt6Dy0BfATP/mElq+8DjRjjJh3cuQuV0bGXn7JYlld8q6L4X7bruPOAB0S&#10;xbB+yyp73uSpzsdRbP7yQ+wDj7oY+NBh+jqsGzD9l3b+2NNPq+UhKFLOUZ+s08FwkjkKDgEhJkuB&#10;iNJimwoAJdAA/NROl+x4WSeZp07/7jt+h/z9UVkegiL6L9RZ+ECWyMel5O0bdHWuUMUc2bnnuHvs&#10;ROK+3W5yx2cTlEzIYWYIjRCCvHh47JlnhEZouaVfP1I2rF8vC/Ry8VZf3AxahSMARpXF2FJgKzYu&#10;c2iu0yf7F72enc6FmBx1kKUWYGjYiFVRR3ON3HkWHn+im4vmSr9DcNwtWrWKbuFhlBa7hsvyZYHG&#10;x3IvvoTJkybptKXt2EknQdPQntp3uNiD7G8mT8bvCq/RcAAziDgC46ymNLk3b9wUBh/zOMuWlGRq&#10;tA9wrJ2LbmOYYLwY++GHzAmYdv80fRpzdDjJ7HzOL7+g2BSkAraQgLurR+9ezBjaXXTRkAEDsCHa&#10;d7iI+RN335v/xtI1ImAGyXwiUEWNGjzLEAwCKNFLL78cC71RkybKYYYtxbSSwAtVkczP+Ms8bNWK&#10;FSpd4cZYT0AAODAWHM7KAgC/Ao0B5zOFQxF0kch4gWQBu+m225gKUBElg4/gX6VqNWDAn8XExmef&#10;zWQIbGUWSEZQJYU7JAk6GiJSwq5lViN79/Lf3ApHL3rreJ1XtMxSpQORMbAR0vQyZaCEcNbUecCp&#10;62ectWC1I/1ElJjlFQrPMvnG3aL7WizwGZtOmr5b3jLbZjYyfsy/7WyRrs0toWa49zDRQjK/POQI&#10;qx0NEcmyY+Evlrx2USoAjwZgKWTDuvUQS+K6Naux2PSglmpJ1UknGII4GGBu7dmT8Uds8QgvR0Pk&#10;OJm7rTO9VFuKqt0ud0fEpOMjpmVLliAvPahFWibjlcwzGUmYKkRlq8RO9+aK38XidMHd4iF6jx4K&#10;8kxxwZx5b9DmSlALMJHbnRFKP7ezoy5xAeR2Ld7lx67h8sPUb8XmoB2gg/XVIpQNSggVhS2sx1uQ&#10;qM+e6R4M8eJ3ldBdgsUc2YGZTGlyq6gRgVRlqol7/gospNpfGzUKM5kh4+dp0xk0maPDTNzRfsIb&#10;mShIXuEwIWnkKluuLDeJjE3ffPkl/VnA+GXkXfRXwA11STrDlnKYzZ75C8/6TAvbVOZnVEGIhp20&#10;g5mBiBBiOUFbhgNE/8Cjj1IIhdM86EIkQpegKu40NbdDC6ISxDPBGopAkrdn3z7Uq6K5CRWUAn3y&#10;1nt9xz4+Zu87EWdgr0Jiez0uaMRxdc8dd9Ayu11zjSNkfEKCEA4TMMIqJCZit+HrEvXv82K494CU&#10;GE91Ze3a4QF8IHmdx1sYjt3p6HSRrs0ti2JcterUlgfp2txh90RvVh/LtpJ/aOt6DyrsHhodGCsT&#10;KwQPH25jWqxjOdIN0XaMcsTqiQe+99VXh2F06uU7LpQogAOHrO3t2J/H45kckbTI3ZFGpMYSPK+Y&#10;tCh52Ut7+/33oRHgyy64IEIaKTzjwPHwZ0e0MzIDTkd1SfC42+XdQ8k1+OGHHZ0uluZKV2VIlFpo&#10;pdJccQN7VF3gXolXCUda/mIeo4YLNgfcoRvQ+cW7oDd0pvisEGP0MfnWJyhM3Jlhc7dpfyFZmKzz&#10;i8+GXxSYjBGO7NaXKulaOowqc+Dg+/NXVGHUrqaqGHCh+vfU+ose9azjYBmkWMhgTikAel3KYfb9&#10;lCkSiKMuEYfMz/SZqAK4vFsg4PqqjpcwCgTi+XP2tDNpkxFBxQaintUwIXkpDZkyrKAGZA0II4Zf&#10;yUiBPDPTpW0gbghEx/tZuQhDBJFnQQXCWFwstHk33wM7blQjxwjDNqXdMtTqEWCRY+K/hMLF4ryB&#10;MRMZ4u1OF9UTlYNdeUAhn66d71M9n0wg/gw1dl6bNuDsFswuTU58kBgxROYBzLPj5N5nvXkJpmjE&#10;VpY5Ax7BfRn7dBz08ZleKTSqmJhIsC1cqIhHdu+3odZLn2KgsMvF0lzrN2yk5r239e8PpUyt9QDe&#10;UOuNNXhGWgK2ICrylb4ISYtRw0VsDi46v5ixKCG9D9DPBwwaRJuQFSW5WBORdX3RhWM+/BAWi0bk&#10;l+k+e1VC5ZelzFCz5xK8uI78z1qg/dDBQxZkiFbxQA/HNQsrYgj6oYIBi35rh8T4QEyyrufoRPXw&#10;jSNldDDLW6CKNEWsKvBNRWET4UjtEkatEEA1EhvIihWzWDQEEZ0wQQV+8gAyaiQtV778/QMG+CET&#10;GLYCsRXFDTi+WXvLq2JlA+4Qt4ut0d71YrIw3EOO8pMF9mVMm67nwkUPdbrxh7K0BL4EpY4dGR4w&#10;7KfV35auXssDOK5SYHnO++p/zz1MTsRn5naxEKyWGiGfro3DL1jBru/Zsu6R1y6mMvUCcx7Hiwbg&#10;vfcbOx6poc6VrcmSJfTqrZ0t6xQenxCvqgBYAl9CcpVZMHTbUyNg5UtbW2NIctfrUjQqNVa3fj3m&#10;SPpKkIzPbKDVaZShO8KpQrnSJ/hml1HZUuX1RO9eVqJS8Bh21seRi7cGqVkr0CkkIlCaaySB5GG3&#10;81zKKBuLCBWIZE9ftHCLUcOF2BRGZ3q+3HjqIFi3Ufgri6YEKjryAi5bNCXeaVJkhVVOpdMDQqPF&#10;0LwpB6UL7Ri/soLGEIDLwWOwQ3/j8BDCWXcAskSJkowdPJA46q/degp5GXrECpTZvLrUjAq3CgOx&#10;VIoJxYAl/dZy0YFBFevBsk4EmARkSAA1WNnzQh0IQyyuGondoaiPP/hARn/lg0GsTG1BVVlyvAoc&#10;z1Ou3J0DBwKJcwVTD3oVgKANDJBk7HXDDSFNjCq2vtRN0BXOOc/yqkJT11i2xPM7+zzQRS+TWEi4&#10;LUHWEmeN84nmLWyUJgFdBDOF5J+onHDitCQLCdUqJllOAUFtF0uo4sgElHqFRq4qX2WRNqxvHLWX&#10;Rlg9MAQkieAg1jKhD6m7sVMdhrsKziamyq0vcgP2aABuWcTv8sQjj0jngqLRb77FPJ4OwjO3SJPY&#10;Mt76Wcz1oB15ub1NqlTT2kNDkbs3w8XV/cJTT0n/oikyRtEIhUYVwSOqndNfQhKfBTihXMUihZ2d&#10;LqVLlLFs4KeXsY/drbpKLQO7N7wvRgmEZQkksGShSUPsqy++KPshuMXRW3AvaZngT6MVq8VxTT/v&#10;CYxFw0ViU2QPs1wSKiFdWr9uvu02IB0Vtj2i4pJOl8kclBXW9s2bo0rz3d8Vibyfe2k4oQz4RVj7&#10;YLGDAb1cuZMmGXrhRHXg1xXCidgtVjzunBYtYCmLJiTa0QjshujShUUZFmjphwoAYwWGyx4c+AkM&#10;JfCXiAp46xaV1iXniB0iZy0VyVggSz9gpZaHFdiXn/0HhAkUQGqduwbOrsaEXbd6NYks7oC5RK4Q&#10;7EKgLqjKvlMuzjSTBSCWiiCTJSFwA0wiP2S1iGbGlJdCKF/w9y8OzmspWb2+HR69WK6WNR0dn9Tl&#10;+F42PQuKv0bHE4cP+a8ddS4tGT5ww0D+Ig5KICpImgR0IXGmtv6LZaZet7rDOR+ogbpJDe3lNOh9&#10;l6PniaNcgp7FJ6XJhES/6JUqlgWzEh8S7ZzhEgGRDrE0P0fHnk8yYbij4DiDx+5BIcXR0KEEGoDP&#10;GhUYrZ31O/BHNNJl8FiwyUgA+CvSxAbFxRhq4RZ45IXU7IVg0Nj9MaRwxIsd2E3uHrgxboA8PVSG&#10;BZoisiOIjSzF4+IQLgSSTtNlkUWP4Q2DXo5GbFCziT0j1kzj2g52M6fvODbXer0G+pw84HTRq2Ng&#10;0ZurWGMQGxDrgAEiTSi1xB6EQWk+ZiHSVAZVOWeB1isSDHUbZtRJiMUD6OToT8uJk+pAW/2gWwUJ&#10;XyxZ0E9sh7E7tdSBj6p875NzLWhEXQARFijuVnUUaY5PJXAOqXBGD4ng1fatWwGuW6+erClICpGS&#10;0KiAKVDnTFZWFvA6b6VGgZFagMHdreaISArDSB+VsNkZl+U8MTu9FCi1sNdJMlqowF/C/guVVyRo&#10;qVQO22WvE68EN9DYtmUrUauWA1jJCMn6ucmW8n1KhJM8ts37edfCH2WPJVZI5XaXV2pmdbeo0tiG&#10;w/5htRMHjYgSDargLY1Tx021ZMu5pepAz/Ca7p59u9ckr1SBuqg6tKDboavEKW+b/cOeZbMFMTR6&#10;zS7Xe6yh2Lu26tdkV5hLaTr+6pWFWJ/C0sEQHJuZ1bYgBFezax+7uamycCzNjjnfieDQfPhaPI4Z&#10;lFw6URYMhQN6nxUAN2mGQaBk4RjcDVvWpO3dIfuiWQ+qUbl2tURXTwzbpDduXedT7oKwOvI4v2ik&#10;XiKR16asUhHHieUr16vRyO2451BFT/n6eGiRrEdzdZNmgTuATrVk1W6VrO3DS14eQBeLhkvYfVVl&#10;hN2Y/Oq4w8gLNCVEwgHOYiFoKVdPxosEvQjzoryxP3xO2hg62ZQb9MDcCFGKPDtqL/tItp8D1KUu&#10;ttj4+ehB5IhFsQQEh9SC2o5SI1JDdrEvODt/ODywcOHCfj7dIOZOSHKPojgiKUo+VuAd3KOXH5Lo&#10;I0HMkrfAGS4h0W4Ml5DY5QBs9zdEWqLJHwEHiL8hyjKXPhQQAV4mq+GA4YDhQN5xIJcMl7wjwLMm&#10;Y7jEiCAMGoYDhgOGA4YDhgPR4YAxXKLDx//5n1gMzo0WbaYcwwHDAcMBwwHDAcOBU4wDxnA5xQRq&#10;yDEcMBwwHDAcMBw4lTlgDJdTWbqGNsMBwwHDAcMBw4FTjANBdhWdYtQacgwHDAcMBwwHDAfyhQPX&#10;9+xBvf+Z9Hm+1H4qVWo8LqeSNA0thgOGA4YDhgOGA6c4B4zhcooL2JBnOGA4YDhgOGA4cCpx4NQ3&#10;XA4fPvzl5Ml79570lfNTSYSGFsMBwwHDAcMBw4HThwMxbbhgc0yfPn39+vW6PPirLpUOpJ6+PedQ&#10;bbmWLl06ZPD96i+vgFy2bJmC4a9u1kg5Au9WZh60D6l63rx5kZtcdWvWEooojcuOPEyGIXlAlF4F&#10;dHkYlN5vfaJK+ZbG4zOjATMcMBwwHDAciFkOxLThgs1xV787+t9xh86+rpd1VvclF18s9se2bdv0&#10;9FEjR6oss2fN6nJF1/LlAx8gHDd2bId27YG87pruPKCwSeTvrF9+UfAff/QRt/zVy3zwgQfyRooY&#10;YUMff1yqvrnvDee1PDdaVsWUb76BG1CBWUAVyiR6YdiwH77/Pm+oU7Xs2bMHg5Jfx3q937qhCqNe&#10;fukleQt1lJ+SkpLHdJnqDAcMBwwHDAdylwP/F8PXS8OHd+zQoU6NmlgwCk3+Tv7iC/6uW7eO51Ej&#10;R6lnUizU8EU9YKZNm0b63LlzVV7+kkgKD3oifx9/7DFuKYdX9jJzm2FQRL2CG/hDrDyHfdmpENbl&#10;PWlhk+AzI7yCLp/ABsxwwHDAcCAvOXDd9ddy52WNp2pdsetxwfEweuSo5198MalmjXlzHRY46tWr&#10;1/r887ZtC3zx2O2aM2cOr9q1a8fvm6+/3ufGG67p3l2AO3Xq1KZNm9y1CsMq/ZXhwx985BHBrXjx&#10;4iAsz7gT7h44kHWfvr17i6+IC8cJbiR+SeetWv9iSQgwPFK8VVjgjeAGBl8OifySS25VIMsrZJTS&#10;1DoL5QAgtVMCoiE75Qgkv/raHK8AoF5y8Rbc5C2/UpEUIn/lFaRJUQoZ/S3lvDvqXamd0lTtQjU3&#10;b2VVUdYEVTk8iLOK6sCHXwuXFJKSxUJFWNIzmQwHDAcMBwwHcpcDsWu44GWB9ObNm/fq3WfihE91&#10;NuzYsROdiopduODXK7t1U69YF5DQENFtXF98/nn/gQNQ/6QA3Lp1a0d2Lly4kNLk3rhhgw6jyow8&#10;1sSPJMVWaNPWalGRzvJWzZo1p077oeW557KCpqyKp4Y+UaZMmTHjP1m9atUn48aRnVesMQGG2ffP&#10;Dz5Q9e7PuVg1e/eD90nkl9K4WUo7dPAgKZCP7u/Tt+9nX04Wy0ao3pKcQo2dO3ce8fprWJNiDrIe&#10;V6duXbIDbyHt448+pt7Hhg6lHL7wziob/Md7BBjlPDPsufYXXih/+eVVYOXu4o4AY4liXLZs2VK9&#10;ldox5tq2bQvCn4775PPPPiNx9erV1apVp3YSeQtK5MLg45UQxc1z8ubN/EI1XOJB5xKGDomwiERe&#10;gZWsJ5rLcMBwwHDAcCCWORC7hgsBGWJzoMVRXXqcB4oKnYqKVZ4JYTFKUUJDJGIDpfv9t1PRkTwT&#10;BMNvxcRER2GgDilNbuwbHUaV+eqIEXkmyLi4OEtdvy5YgFJ/6OGH8TPxyzPLIgIDl0jBK3N7v35o&#10;aFJWrVyJm0oSx+SYMvoFS2vUqEEKv5TGVa5cOQH44YcfKA0fT7NmzZ4bNoyUxYsXyyv0OuncWDlp&#10;O3dKIkZJfHw8iVWrVtWrQEAgg0+Lcu7s3x+WCv+5sDNuvOkm3dclr5AywNhAGI52AwKsyEWBmDWY&#10;LMDzfNeAu0CeBzG8yFW5ciVeCVFcOkrAKC5N/fZbXpEFNmIZgwwPJUuWhDMWXpm/hgOGA4YDhgOx&#10;xoEYNVywOTAmUMP4AGTSrEePMu+fOWc2qghPjHKuiFKUqfaFF10kShf9jWbiuVq1avzuSktzFAAF&#10;bkjeLDeqUYdRZT4wZEg+Cg9tjXtDIcCz2Chc9evXlwdUrzzgQGqbszrGZTEpvEnAzlOlifUgnhi9&#10;cKwcMR1uufVWfDzEDstKjSpZnDRnN20qKZgj/Kanp8tfsZn0C9Egpvvvu4/lrU/Hj8dRZEdSYaVe&#10;UaMs/XCDtjddvFXGGVzCDiYFKxaL6u233sL1woObURu0ZANgOGA4YDhgOJCXHIhRw0VN9NHBXEyI&#10;WaHQtSP6ePD996OBZEVJKUWZaovS/ef777PMJNNoftGO6MVQmavcEnmzjiAG1o/Tf7TjiXtDJfLM&#10;8pAbLayhWBa8fFINiw7+Zano3HbMDp+nTJ0qKzWyfCOXMGr37t3yVwJHEhIS3HDA0EGOWFoEIWG1&#10;3HPvvX6wxeBYvGgRq0t2W9NPdmCwYqE3OTmZ9UQs19gMePJJiwEzHDAcOG058J9fJvu/Tw0uxajh&#10;IrEpw55/Xu6/P/YY7NZtFP5KcO7YMWMcJYG+ZBqtB4vcN3gwKbgH0JRyKh3PsSZFDCzWvzAFcAOA&#10;JKiCJM8Xd+yIX0HWy/BMqCUwR/zr1qsLpRLr40GjxJfoJXS94gpiU8TUEFtEfFeOF2iArazUZGYe&#10;d8wIJHLBapTCCbvBPhCDzPGScJZGjRqxTtS5S5egBpMUEgjWiY/HnQO2c3NibrhK5PicSPFTCJuq&#10;EhMTCdzhatykiZ8ssdZaDD6GA4YDhgOnIQdi0XDRY1NEJOgnlJ+cQaJft99xByrccTPIjJ9/Jous&#10;U8hFKIbYBKxuNG3UmHCWZs1PvI0d2d9y6y0sVxFbA5KgynJYhQoV2BiFfUAQKysjBN5i1Xl4CASY&#10;WB9KWL78dztpsjpDaQDob2+48UZ0OSfcUAuBq3hTPPxMjz/6KGBs+UEEl3a6VC/n2WHD0tLSKBwA&#10;AkoIgPUIHxFkvvn6a1xroATJfk6NI86aeqkdbFXVxOfyTMrzOQE63hfLT5h3VEpkD7x6MPSlwB2r&#10;li4cO3Lq47dNf2Hw0s8+ztjudWbMzp07P/lkXL87budDa88++8zsObODIRh4DwOxsHmAJ7IlSuVi&#10;UxU3f+kvaiMVAKygRRJIfuBQ5pL1y76aO4U53E9LZm5KTfbA8+ixY2u3rv/u12kA80vGw0dOMoX9&#10;0Khg1DGS9lzyKqTSPIAR3Nz3XlKCO5juvIIsJWxO3vz++++J4F577dXFixcFRUOJRiRIK1USQZqk&#10;SAlqJx0PZIkigVL+1l3bZy2fi2iQ5oLVC/cc8Do9nPapyKR9BiWTZibNjwsC1ZFa/NVpVFv/AOA5&#10;WkdSnWgzRw7T6qQF0lxpjbRJDwEBAJjwJMLmGrQZGIDc40Asfh2aQYqATfSZru3EOmGFiO5NQKgo&#10;VAXJsyULYwEbVYjftPCOEUQOPVPl6wWSririmVcWNHJPEpaSQUNcEXqQqQxthO6qyBXA4JJwQzxJ&#10;8ko4I9kVFTqwAEhR9nQyKiZb+KCAVRU6pKJC8dkuLBGrkh3RSyzhffjRR7L5C3OHhRtcL0qguoB0&#10;6QiLKJ9cOhOQr9ClEy6NR7gEAGyhhXS76ipifklkPMVmIjrKEtLrIe6V307aMscaW9P8xkGVGze3&#10;50INvPDi85b0c5o2e/jhR4oVK+ZRC0oObmBzQ4tsYmcPlNisojbwR8orrEwMXALC3nj9ddL/8/nn&#10;YSxuouoWrFlowad8qXIXNm1XpHBhSzoaYtbyOXszT6xgAnBW4SIXN7uodIlSjkQhMmVoYq0SwS38&#10;52Jruuz84uIVxq6QSRZ2pUnIPOnh0aUjg62Zvvo3C3ohCa7HtdfdcMONHlJTogFGzBSmTDIWycY9&#10;1jflFekY/UTTYz1jiLP0qc+1PKoI+gqtvHFHoBb9Or9h6+oVT4qjl7eO7bNd2/b33+966qadRqZb&#10;tEYLjYCxrs2yvqKRhoqbNij+fgAwsmcs++WPY0d14JCaKxndeCJlYm9JSFxgw2Pfvuo0DUaMf7zw&#10;gjRLXrEmIIJjLGLWRICmpL8zapTeDXPp69DYYX7YJTDXX9TdP7AdMrCZd+FCNvPm79p6LHpcUELo&#10;D8scHa0jikeFsPCsIC1ZZJ3oqquvsvOdZiRxMKp8vUDgVUVSV37tNAEN+9YYSdHjbXlWHYMH9UoY&#10;ImpYUaEDC4DA29MtPNH5oIBVFY4KUvFZvbXISP+LsFiZYiwgcgV8WLjR3+rI6NIRFgnVOhMUXTrh&#10;ijOCGLWw0oSbh2U41rzeGz0apejfatmyeL7daqHMpePetPtd9u3bN3LUiaOcVZv8ffmy777/LqRB&#10;BN1AJJBjFoKxGDoZWNlHxlA7ccLEkEoOjLlMXjcstefCNFm7dZ09ff7qXy1WCzBokbkr57vNesUW&#10;l4B31iWxVGQKzmjIMzvXCLrnVaPGjXEripkup2D/ungRrwhZC5UoC/ymuT/brRYRXHbm8Wh3lQUn&#10;hN3c5O3nX3w2LWezvc8LqeHodXSDsQ+OVofUXhkxAj2HLvRZpjcYfgW71UIWrFKUvSUv7dORzDlz&#10;Z/snMxBBOO4TR6cRcfFC4zsjR8IKzumOyrIsbcxutUAabZKWaecPbdjeXAGjzXu4CelKNFcMSsLv&#10;sDjlkykyz2EAYRbBzQN/hXbGMVauSaQZM3OOCqVRaRJRKQTFChMQtNs2l6jU4qeQWDRc/ODtDYNy&#10;ot2EtKEm8kpNCeFxAOcKGoudSpMmTiRyhTHCvwERXo2S67HHH2cwYkmRjfdNm57DVN5/aZt/CWyo&#10;drxS5s+wpM+YOWPfvpPcEgpg7Nh/Z2dn+6+XnVwYebJ45HbR7JnHW44+8lPFxtTNlsmryrVm6zqL&#10;LYL+S8vY5VjswexDO/d6Lb5IwLtEYeMiYnDHSwTOeF/EGEWL80o2/DNfR0xinuK0CMONpCO5acaX&#10;roJbaF28++knhxh5yT5h4gQ/LBWYnr16ode9TUksdRa+EW4ky3wKJUdDU95uTN1kwfzbb6e40eKf&#10;TCIIMbzUx1LcCoQVmALqcAT/PLRDbt21za250jIttgitlzbsWB2F0PI9MJEpAYcpACPhCtiXAW/K&#10;yJF4HbhorshXmivjGGY3iTRjmusppoOYRVh23UYiwUjynpqGi8zXI+GLyZtnHEBYaCwViB0tV3lQ&#10;/BlTGIyk3pA0IlPzrN3Hj6Wx15K+doklcfMmq6rQAXbs3BEUVQVAq2bgQM17z+SYx4t/O6Qr4+A+&#10;D/gDWQf0t+n7nT8yJTD7D1m9F/aSFQmoMbDV4+hpEpApG/6xKdlRyEJS5JNXnGFHD51EhY7VgVQr&#10;xxYvOX6IkR15LFH8MT7Zy8Ileh2ni/fRzHJSgNvXu3zWBRg2pZtG563d3CQcza1wyCTEx2fVgwYP&#10;dnO6qBLkhCpxvEV47d5/fN+iYznp+08K6LG0XksW75avgLFOSpUqTTvEvtRP3QwYnf360UqBZJMB&#10;S35MLSJvrhHyJ+rZ8TMh3wFamF3Uq/Bf4KlpuPin30AaDoTKgcMH9nlk8VCNoVbkCI/TBTWf9x/F&#10;tCBz9M+TAgssbw9lH/IgltOoWaF7YuhQNIHatmY5dBEFIIECEqvOQtKVXbt6u5qiwl69kGRPnX04&#10;O4QwZNyKEKt//NWObVTUOcV6iwZ/WNQZJQXKQY5BnS5A2g/YDAMlD+OM0rKORME2Eqzk8HS2Z4p5&#10;Le4ilrN1nNUZWj2uu47mynoKzVV9RyUM6mIwC34m3KIx4kMyhksMthCDUkxzoFxV6xl6OrplajS0&#10;YK8GNUeqihcL7bhe5XTRz/WxlEykZxgeXeJqPfhepNBJb8uUKO0BXLZkWY+37Jgj0IHvV4x+33Xb&#10;Gi53dsZRCNNZXGIS+II+iGTrTfHSXljZESY61YOKypUq+2+mUIHTBVOMwEa3XPJFtshdxaXjvEST&#10;WK6if7SBLFf2+LHafnKJ08WDRkJ0KYeAej+lecOU82xjlvZpab2Wkr1bvhyeztorwS7KH+xmZUpz&#10;JcaF7ZlklJiYU+BizoBnjllEjNBiDJcYEYRBoyBxoHLLDm7oVjrb+j2sc53OApbsNWvWqlQp8JmC&#10;kC68tUz+3M4LZp7HK/0bXj4LrxJfxQ2yZLESlo1C8aXjPYb7yuW9iMIK+WnGDPl+haqRea1eOyco&#10;qsOORZ1LJIHj2Yw+CSxWqkxcBdfzhKq1bGspp/V557mVjE3jvR3MnlGcLuJGsl8YZPJ1VZ+0eICx&#10;/8vDOqlqk3KHDq6NmY1vZcuW9Y+SOF08aGSVE5M6wkAlwadyvGsbo2XSPnW0ab20YTdCPFo+WWiu&#10;7AKjxcpmKGm0K5Yv10uTU1JVCnxgmyQp9iM8/DMzpiBlryIbpmQ3GftA89j9aeGGMVxiqnmc1sgw&#10;dkclMjEMJhJ8EFLVdTtcXsTJ5YC7Jelcq/5r2fJcFIAjVnfffU8Y2Er4rSXj66+9xpjCHm/med7H&#10;/LjVyEZZtpI6vm3d0PodBrTj2TVP8parjHUq13LbDu1YOJpATixUISC45dX3U/U5K+ZaqVLHv2sR&#10;Bt/Ick7P2x0zIjj7PvZW57ZyFFzZsuX69j3pwyB+kGEuzmdHLZAoAKTG6TvM6dHovXr38lNUUJhm&#10;tZs6mpXIt3pFq+nm0T5v/tvfgtZlAcDpYklhl42iEbdZtL6dEl+6PC3NEb0WdZvbd+83r3uOIzBG&#10;nuMWcQ/CkZQ6qBOwwLdKxn0iUS/KIxg4oCE+Xn2YJVQ2xho8/sJA/HXOBW58cyZ/v5ESi+e4xJrM&#10;ChA+dCH2yMhpCrl3Mc5e26NHtA5jUHiqM0uigjljJX1MnbvgXWZIwFIUp5YtGvuOHqWb0KhVi563&#10;Fy5a1F4XW4dGjRrJ/lL1CuU35IEhjU4+ANCekWkNq+moduwqjvJTp54Q+keYC2OHnKagz35atW4d&#10;9jo0my/YSqrHb6L/zmvYqlJ556+Tcjzd4pN3UDesXv/sWiedaqgTJUfO2M/LIb3/HXdgl6AS8LVg&#10;taiDT2gVmDUMlHI+Mpu9w6ZOMNm9ce2yCaP0UKSQBIeT7MEhD3n7ycTYEtEQVszGb+VjkLgH6Ts8&#10;q2+BiZSj0vKlEI6bW7hmkR7Rgoa+oNF5do0OcBjtU6cRQ5PTaBT+Qpd0PcDU1tmatWpFPfR+xeZV&#10;+nYhmitWi5shwjFFbH7Wg2OqV6jasl4LR54IGwNHaNqOd5Lmylski2mC1cKyJh5BjBVprhwQNXfu&#10;XPvBPAXuHBcGRvrj+Akn7aGL7kAdXps3hkt4fIvRXHljuHBoZouWLUM1XByHAJ2P0e0PISEZhuGi&#10;tGBmWirPFes3LpngrN0VjexDkYOMWeNv3LhJqGsNedbm2JayY29gy0xc0ThMFo9hHRhsHTY/EwtJ&#10;GEHl+MTiRb1CdjC/Zv3yCwG59sUCXvGFMlHkuu2FG+a3v+JCHDOGwZZjR45kbEsOQ3AcRxnU1gwD&#10;n9zLgmj252ykYvEuqBusoLRPC7vY+bxjTxohySE1V588YRhhx5C9uUqz5OLDcHxihcPK5cQvbBpW&#10;M7dt20q6bswJzgXOcMHs5nMulnNcGS3z/QA6Y7jk3qCRDyXL541kSkoXYg4kx8vaJ3PqmF3A9KN4&#10;yagfqis0yGm5pEtR6vBcj0LEZaqOzVWnu8oZHlKm5Whgu+GiyIkESUWCHLOrj0Fyii7aiLVb/+6Z&#10;fJCrqdJwwHCg4HOgwBkuMctyE+MSs6IJBzGWD+RI9eOGwqh3+YtznsUdy7kCTHw5SZ2QCN4Coz47&#10;gs+GjXySqHKxjZPNq1IUhfOX7DxIIZyKLfCyYIE1ICncfHgIv7E6rl7i8+XLkVIaN3MaN1Ih54Xn&#10;n5cIAMFHIENCEsLJKNWBD3MIKQRs+Usi9Ib3Me1wJGTyGA4YDhgOGA5EyIH/M9cpxAFOb6xToyYE&#10;8eljHgYOGIBHgdVWnvnVCRXIUSNH4YeYNm0az3x8m+eOHTqQqErgFc+PP/aYlMAZBvKX7Dzohbw0&#10;fDh5SaRGclGUQHJLvZQAVvJMUYDxIFXLMw9SrLrsSJIxVCQhB8QEc56phWdqtJBvqfoUahSGFMMB&#10;w4GY4MB111/LHROoFHAkjMclQsMvprPzbTNWRiRI0PHrEixesgYk0Socvi5nmPLRbFnoYffmhvUb&#10;hEKCJSnHHhdJVJoU0v7CC+W0VmqkQNwqOd84rO64N1JQUhH43qeF6khChSDJurJkJxRuyeLjJ5w6&#10;Ijlzxs+sUgvmcg4Bi9NSI5s4hPwwTj2JacEb5AwHDAcMB05dDhjD5dSVbbiUsS+J4y+527Zrh30g&#10;xXCKvGN56rCNhIQEAVBLM5SA0eCYi/UalmnYwftFKF8IkhPJ5CKjIMl+k/r163sgyRYVdQSc+mSm&#10;HIQVlfMkwmWzyWc4YDhgOGA4EA4HjOESDtdOmTwS+GIJf+FQefXloFC3DlHanDlz2AfI53wpRP+i&#10;B68kGhdnDCe4cwwlXynDJxSUmQpJ/ci1O/v3V0h673nGJbNjx/HPyshhLewilhO71cEhJsYlqBQM&#10;gOGA4YDhQIxwwBguMSKI/EHjwSFD+HTW22+9RfXsNWV/DWoeRwirMFzE1fI2PMzWrl1LXjlvUV0E&#10;2xJXK99DZhGKKqgraPkWJOW8svdGj6Z8P0hypgJnkkqMsHwfp3nz5lBKvUT+kkh0MF6ZoGgYAMMB&#10;wwHDAcOBWOCAMVxiQQrRxAHFTHGWz5hJov1ioee6a7pzshkf12DdhJWUV159lS3Cst+Hw0zVApB/&#10;FDnSgJCRm/vecP999/Xq3UdV/cyw5/iAKumcX8IzxgRV8O1fVbJPJIEHSX7BXJD0xo3PngVOM8vZ&#10;0AQkJ5hBJhckr161ikSOkDIxLv7layANBwwHDAfylwPmHJf85X++1c5mYD5Zxzc48g0DHxUXCCR9&#10;0GFADAcMBwwHcusAutOQs8bjchoK3ZBsOGA4YDhgOGA4UFA5YAyXgiq5CPEmOnXE68HjSyKsJcLs&#10;BQLJCGk02Q0HDAcMBwwHQuKAWSoKiV0G2HDAcMBwwHDAcCAcDuTSkf/hoFLA8xiPSwEXoEHfcMBw&#10;wHDAcMBw4HTiQBCPy74jf5xO3DC0Gg4YDhgOGA4YDuQKB/rd1IdyPxj7aa6Unt+Fli16Vp6hYDwu&#10;ecZqU5HhgOGA4YDhgOGA4UCkHDCGS6QcNPkNBwwHDAcMBwwHDAfyjANmqSjPWG0qMhwwHDAcMBw4&#10;fTmQS0tF0xd868bTTudfkWfsNktFecZqU5HhgOGA4YDhgOGA4UBB4sCp73HJyMi47IILvv75p8pV&#10;qhYkyYSIa/bhw6nbt1epWrVY8eKOWeFDxp49tese/9qzgtm0YUO5+Hj1kWdJp7Sfpk9r0/5CS7p/&#10;pCh265YtHS65xH+W6EIKQ+z0RrGWP/84snv1sj+zAx+qLFqmXELDE58vcBbB5nVZu3bwqlCx4uVq&#10;NyhaqkxQZGb+9NOhQwcFzCKOhfPnr/j998zMzLr1613S6TIl9x2p25csWgR8iRIlz2/Txq09eFS9&#10;Z9/uzKwDABQuVCShXMViZxXzAD6SuT991VIBKF29VqkqSR7AtMExH34IwldcdbWAQcXu3bvk75sj&#10;RmQe2K+yDxx8vzQ/oWjJb7/xXL9ho06XXx52s5TCwTlj01r/gktf8/uR/RkiuAqNmhU6q6i34JDL&#10;lpRkgWnYqLHeCOkXixYuXLdmdYtWrVqce64alODMvNmzJEsk/U5H7Nifx3ampx778yiJxYoWrxRf&#10;xRttncyg7RMav/zsP31v/puiDvFdctllZ59zDvL6cPRoVRci69m3rxI3GVO3bytVukybdu1aX3CB&#10;N0p+3u7PzMjIDHw8latSQlXv5pr9R3Z6xi7hSam40vFlK3hX8e3XXwmApTcxvCyYNw9p8goO6B2N&#10;xDWrV5FeoUJFC4HG4+JHoH5gYtpwoTOPfP01erga5iBJjW70h3Nbt5ZuI5CKYD0LQ/+QAQNmL13K&#10;CC6tDU3AINi+w8XS2p5/6slrrrue/ibZpaXaR9IqVav97513+uFpHsCIYXHo4CFGQCEEJd3ryisn&#10;TpliUdWTxo8HHwYO6HrywYd+W7vWgl6rBg2efeVlncMAoE6GPfHEhK++EqZRl+TSh1o7mf967z2G&#10;JNE3DF5XdbwkH+1Fhg8YIvQi4s5dr4jKKKmoZpTf/M2YY1mZKqVYQpUGve+Ki69o5wwmzqpx7xzc&#10;uk5/Va/XwKC2DtJp3rp1rTq1f507b/uWLSJfJDLiHy9+8emEjl26lC1XloeqSUnvfvwRWlDYrrL0&#10;H3SvRbLejRNVt3j1ggOHTlgPwJ9dt7mbzkuZ+V3qzMl6mfHN2tfp2tNNtYtQgB/18cciDpolnfHx&#10;Z57lWRErBUpDoikOuOUWKGp30UUkTp406by2bQQ+vAvBrZ84Us9bsnr9Olff5Ci4rD271k54Nzs9&#10;VcEXjitVq9vN3oKjvSEv8Ny8cdPShQtHjBolFjydcfjTT+sCFT4g0N5XB0w3yYK4IyFQUN25J3Vt&#10;8sqjxwIaWq7iReOa1W9VMq6knW+QufGrsXr7DEomNErDk1FCxCcjiQw11/bpLRWp0Viy0Gg7XtYJ&#10;ofOsOBOeKGmuy9cv3rM/Xc9es3KdukkNHAuEJys2LNVflS5RpmWj8wsXKuyGAETpveyjiRNpk6ib&#10;F5566ufvv+cVGeXhsWee4RVm2a09e6oslgG5QBsu0lX3ZeyrXqPGzbfdZp88mKWi463o9yVLaNz0&#10;ATq2alj/fu89njEjvp8yhUGQhsJffAlAwlN7+/tm8uS7hwwRBfzEI4+8+uKLG9atx97HmhF9TEY1&#10;PeIvspG5HRd1OZYZXjeLVi66zT133DH6zbd2pKbqhESrfMqZ+Mkn3Xv2lPEIplEXRtLP06bfdcut&#10;1O5YEQrmnREjYCayAAAlygD93TdTooiVXhS96JrLLvNfePG4OIBDzeVWfmbqFpSfbrUAiXpb+a+X&#10;sVHsuexWCzCUkLH5JFPGsboevXuhxlAP8HP8mH8DQ7uFz+i8l998k1dYhyTKHFd8LW+//75kYe7u&#10;n0VA2q0WEhnr8cHYy9m+YKbFagFmz7LZG6dOClrp6Lff9iAW5LlFQ2C1/O3OO6GIaQM3RDHNCFq+&#10;GwAMt1gtQKKwUdt2wZGCQHWrBWCETgk0AG8cxLr6YOxY9DdjDsAYbVgtjEUkinRQb0wPxDWIVfr8&#10;iBGS5bb+/cMmUDLihEBqutVC4uEjWYtWz0PZWwqHTIvVosj0bp9YLaCtZjWWYkWI3GI60/VUoyWF&#10;9Gnz59dv6Gxh+CTfbrWQMXnHxuTUjfYS7FYLMNjotHnv6gYMGiS9DGKnf/cdwFjP61avJoUOyE1P&#10;xHYhkVc/TZuGWKVjQiAucJ+0xDgYrRctgNo9r00b1KLuJsgXzGN6VxE2h5i0y5ct07mDCc8Qxlgm&#10;DUW9khamugrpTEBpUjK3+3ryZJ6ZmA4aMoSbVoUXNyjTVZmx426hh+xOS3MjBJJpZMrUa9/hIlzr&#10;djItYDoA2kIxDbuQ59dGjcJn89zw4arrWgqkOlSRmmPJ2y5XXjnnl18skNRL+cCDpNhA8ky6BQdL&#10;omQUtHlI27ETZHQYnlWZlkpxaNetV8+SSwpUkDrTgraKrbMC45f9Qqttm/ezJZ0pvsXXogCSp/o9&#10;0QEjkom4ZPx8wkRYrRxI2Ig33XYbWkEVm5ER8JyTJaQlFUZ2i69FFbgmeaWFKLTdlu8Dzjz7he3i&#10;rdcfefpp/BBYukH5LHqC6Z1a8OJBOUeDZrcDuDEcAbHqZ4HfuWS+xTY9Ibjv/+OzdgYrGirAuH7R&#10;9H1vvlkyQkivG27gFVaLpOxJP+45iHxRe21KYKnCfmHKbEtLsaRDeHjtE+OMdog+0yeWbmwBTG+0&#10;gNE4I6EU48zia1FVp+zYZLfP8D854kabp+UHlabMxJgrAskMjXmdQp6eiG0thgsXNo2MZhAYxkJt&#10;UEzyBQALDG8TShBFQP/VR5t8wSd2DRdRn7f060dzmTdnjp07tAleeXNt9sxfGCxkpJPpjmpttKpc&#10;DYDIPXFauo1OyKg332SlAEcUbhJBgIm43TpmTUfAxEFtubZv3UpK1erV+RVflDAKhjP0sDhlz8Ks&#10;C1vKMhVu1KQJ+snioRF8qJfaiT1iHibP4CPOMy7Q45Uk4l6WYZGMuGcFbcYImEAiz6QzTOB94VnK&#10;VOUoPElHPRBDoOeaNP7Th+69V2AoARiLfewmQXT2/rWL3d4e2GTVGbuWuWpoZvN46f00FdjI6gMO&#10;NoDhKupQzwWrhQpcLDR4uAQP3XxjbtXt2L3N7RWT9YNZx0NtBIYYEQ+0D2z1+uo4K7wBhefkdMEm&#10;Q+LcsmJLYwNSzC8UP4ncdvn6YSAwsNriPtEz7l2z1FLO/mRXGtH0BMoErZemi/tWhilWUdH0uiar&#10;2yDgbyAUjP7FDA0fMIRL2EQkF2EcbgZoQHAHAg5Rb8LV26DtE+eQm9NF5MgtMwTAWNQOIJCRIXLk&#10;tkxXQqJ6d4Zrx8E+w6zRS+Ovxf+kv929Ny1o1aBKvyM8S3C2WM+ki3na7ZpreMAzDXV+7Lmg9cYI&#10;QKizoNxGO3YNFyZbYnMw38I3pTcCxgKaBV2ClkRDUTxSQ5vq/CwnYRpLb+E3sXIlR4aq4VIWp3WY&#10;yIfL6IpQCPEwufAkievSbQQkHf3NajRxP8IcyyXGimgLHBsWP4odHpSYTg197rm4nOUYdclfWTnS&#10;L6z1Bx59lNoZ0FkHVM/E+gEmS06QQHgKK8QAK180RJGOhxbDH/wBBgYHW7HicdROgdwoACnHfuGg&#10;1nMRG0j7kWFo3ZqAimrarJkfYWWlew1zbpNXt5L/PJLtXak0TgwywOgLjsDC6sNZh5EaEyNEBg9v&#10;7dUrbB1vr+XPnHhGdUmwqtvlofIlCz4wR6cLXqVA1GqrVgQ2WgqfPXMGHZ+W5ibfoLILympLCR7m&#10;KZB/eBouDCNIDaOcBjz44YcdcSteLBD1LMHXuDNlIosB7ccX5UHskSMnFtbtYG5eivDaJ/NAZoOO&#10;TheRIzfdUwYBaaXZh7NkOZ6+Lyub4V2ZWV6Go0SX+7wkVtftYjaIKJkMMLYQBU8vAzI+IcERnpGZ&#10;UQsLFeqQfqiTB58I5yMYinjshx/iYcpHHKg6dg0XZXOc06IFiBJUqzhF/BrxFnRy9JCuwletWCFd&#10;QpyuaGgGRwmLk55DZLgju9VwGRgxExN1GFXm6pXOnsY8lp8Q4tZtWNhCdckigkS22y9JR4tjRAdd&#10;/2LTir0ElL2aM9GO8X/Ub9TIHvpaPM55fxNqFaFQO+GWjAXyTCSHmIzJmzdj0EhpCBdgFXIEMOl2&#10;97KQjE+Fu/HZZ/uUiJgp+OT4ZVGSrujTr3uW524gQnR9IuATTBonFhtREWrph5AjPTuzdv7Kgjow&#10;GHOMnjzrC6k+q/MJxv4aD8gSlbz2FinJ2p0uEsjJLQ0ADxOtQiYtsgqMSvCJYeRg3qL0bgYMI9CC&#10;Uc5EQs3OLQFzskgkC9a0PZzwAEvgSyTIFypUxCM74aiRFG7Py+TH0ekicuRWLmG6NtnpvyLKCNEg&#10;1tijBHZRRVi+ys6Qgig/mjSJyJWA4yE+nlfS49Sl90dGLemAbgvr0UIsX8oZP2YM9brNoPIMpRg1&#10;XMQvR4QEpq6sdKBaFFNQcrQhNA1WrW7SqngUGfVwlqACxbKR311pznNlNVzSzVQkgVSnylQ7+vJM&#10;No4VCSF6NHGu4oML1OKCorptW7aKgci9dvUqJvfEmWPKwHBhuzh7ZGriceEAY1OMAhBfK6sDFhEo&#10;AB1YL5Y20O+mm+4fMIDYVXtUjRsCjEFMFrGPZVGSnZw+Ock2Zg+VVqaO1XIqU9M1ApG9G977h0FJ&#10;GidNWtlV6DbQ1rGld9DUdcOLdoJGkUh2n1e50oER2fEqUrhImVIBD5y62C7rUWyJxODWmzhd8Cd5&#10;lINXzCP80yddCgxWw3C3XHZjyy5KlZcG4L2bnTaM1DDKla3JLkiamT5esS+aAkURygWwBL5EsmDE&#10;viEPpW43XDysTD/tE5zF6eItDmYgLNZHsjZkKb9s6fIeNZYtddLbEu5yp5AK5Zw98VI+QkSUyvqE&#10;XpYC8P+p2h2dEDLpclxYD7Xdxg482+IY7YkiDyl4Ljfwj1HDRWJTMFDE2YiNYunz8EKMPgnfc7zw&#10;BBAfql4x3OPj0pecCqgfDxXFcB8hIZI96CosPiqGUcUojBjGX5So2jJQsVIl+ifHb2DE4J2iTH5V&#10;mGEYTZbydVMJ75oEdnhcBK+gAnFIgBVtxn+lEEJG2okKhPKZt2bXwMfSHK+qbS+1pFdqcYGbvqxy&#10;YTefNepg6DbQ5lwAiUfmgd7R/557gOEZC5JEFomgKySPbrXEGhgojvjUqHw8Lli9RW2z89kRmN3F&#10;Qbd5k1FGdgjRC2FpUoiSWGkEBAzzE+hiAYWb9hAGx1QWN4YjoEotrb4cROkmuOqXdA8VDYmRJ04L&#10;0UAdYpKoO3QAz8QkCdVs6KM1Rhh+Z5eXYIt8a1a1nuQE4RG2T3G6WBii5CjGCtEw0CXBH0J+qAy0&#10;dqv4Km72WbWKSZbTXNjwXLe6s6kNTyqF6CXllAH8/SIypElAIeRL0MJDgwbRSknnFxi24URIZuxk&#10;hyJaLK7fSKLjo0VOjBousk6knI1io7A7WiebDs+ghi3iyAvaU044WODsB7nwnZBCI8MlwK18OdFi&#10;ZZ6Vg4piuFeE4GxQR1f5wYGzWAB7b+RI6XL2LEk1apIow42s0zHa0hXpqBaW8ko5fjEa4LDwWTxe&#10;Yr6EuiGQyE1qkUGBX0sYk8JWVv3kEDZJ3LB+PX+9Z36WXPRABlMJdvbDOgVTrlb9Kh2627NwNIt9&#10;Is6hJk3+9yG7bkg8v3PV8zuEVK8Aw14OwMCbIvHIP373HX+F53jIUPMkcpgE63c9+7oaWPZ6GdzP&#10;bdTGbrugBmpWqWOH57wWbBRLOq4IzkTxSZQoM2WYiiyEKG7ZG0W7YkV4a0oK+6K5y5UvH8l2aBgO&#10;2y3oIRoEZBccKRzZ4ig4P5aZpRbGK5YP2HKCaKAOMRHUImu19DiszONU793LJj6fDHQDq5aYhNQs&#10;b5Fsg5pN7OezQWYY7VOfTkAatFCd9C8ZQJQcZaM+AwXRV5defjk9lFf8YlWHul3fQhHH0tiba3yZ&#10;hLpJDe2coQ078oQ273GOiyOHUUzQK20VaSJTFpLE1mRdiVZKOr+oJ7WJLEKB5ld2JgzoF2pnmIUi&#10;Jv8cFxl5YHXk5MTiAXRoLARPU9AtOyxZVgoYxTgRSB1bJIdTyXI+WfTjztB5rBpwKILOI7j/8Qcf&#10;MD0lkW7DsE530gskXQ64Uydi2Y90i5zpkZcA4czMdEJYl9E5oIiCHKpj+7ccxCcHssn5ctgHdL9f&#10;583jPCj9mDJmuu2bN1dHhAH8w9Tj38LwPsZNBKc45igCnb364WM8B+Iucza3gypHX4AeviVsVolS&#10;wtBkrIQQ4R5OIPYEYdYgxzsHDsQCgxvAo9iknQgyQi/cUEe3cQSO5JKi5EwwS2PzKSA2/e5Y+Mux&#10;7Czgi5VNYILusXzAJpSdi+cd2hmYmBYuFle+wTlhKD8LYuIJs7ttod3jDGVv6tiTsm1nikQ+cnJu&#10;lQrVvE8XZbO32jZVvmFzPwfL+mRv7oFxPMnu338VwbFQgsvBW3Db5/6YvS9ghSO4yq0vCrq6F4TD&#10;hw9jk9lDtZgqEMcaRSc8W2m27Ez+65TYMtUq1fA4VdbSPiuccx7Wee6JIFols+2ZDd5qq1TlCtW8&#10;Dwhm5zN7iBRPalatE6rVomOOyMqVK2+JjfM4xLzAHUDHGE6YI0OlrgWEA3ZdkJcH0MWi4RJ5mxbV&#10;G+GxjJGjUXBLwEwkbEVZCeERgqnOUl2MxAa5kUDPZLIrBpO5DAcMBwwHco8DBc5wCYkVeWm4xOhS&#10;UUj8sgNLuL4sc5grDA4QRWHZgh5qITi3cGw4nn0XalG5B4+BG8Y6Ue7hY0o2HDAcMBwwHAjKgVPT&#10;4xKUbAMQlAOs14T3iT4pGSfqnvQ9sRDG5UGpfNkuWt+0C8pSA2A4YDhwOnMglzwuMcLSvPS4GMMl&#10;RoRu0DAcMBwwHDAcOJU5YAyXaEn31FwqihZ3TDmGA4YDhgOGA4YDhgMxxYEgHpeYwtUgYzhgOGA4&#10;YDhgOFBAOXB9zx5g/p9JnxdQ/GMHbeNxiR1ZGEwMBwwHDAcMBwwHDAeCcMAYLqaJGA4YDhgOGA4Y&#10;DhgOFBgOmKWiAiMqg6jhgOGA4YDhQMHlQC4tFf3nl8lh8+T6i7qHnTcfMxqPSz4y31RtOGA4YDhg&#10;OGA4YDgQGgeMxyU0fhlowwHFgWNHjuzeuPrwvsC5+6USq1So4/XBZGAOpqftWreKh+Jly1Wo06hw&#10;0aJBmbls2bLkzZsBq5iY2Lx58+LFi6ss6lWJkiXbtWunXu3du3fWL79IljZtrB8ODFojAAcOZe7Y&#10;u5OHuKJxlconFilc2CPX4SOHd+xJO/rn0SKFilSOTyxe9ASG9lyHDx/+IeeDG1w1a9Vq1qyZguHV&#10;0qVL5fvtFszXr1+/auVK0hs3aVKvXj0/JHjDHD12bOfetKwjgSP/K5evVLqE6yejpRyA9x864JMh&#10;gOmiadmyZfnyJ75UvH379t/++q7khRddpF5B/pw5cw4dPGiRZiTE6mQmlImP9/yccoDMnTuXLw98&#10;+Ss+Pr5x4ybFihWLpPY8y6vQLh4Xd3aTs8uWLetRtd5nK9ZvXDIhMc/wpKKC7nGhlW7bto3OGK2e&#10;GDbzC4bhIr19x46dmZkH2l94oRqOGaNfHTGidevW13Tvrljw8ksvlSpV+pZbb5GhnEGEsfKhhx8W&#10;AHtRUojKXqZMGYD1xEaNGnW94gp99Amb3QU045eTJy/MGW2rVatet17dTp06FVBCoog2Vsj89148&#10;mqPP5CpTo+E5PW5xHAoZLpdM+mf66t8UcJESpZt0v7Vy4+beKNWtWav1+eeVj4///tupSTVrjBk3&#10;rmrVqmShkY8eOYqUxMTEhQt+BeaVV1/lFc375htvJLFO3bqfjvtkxOuv6V0jKPmouvmrf03L2KUg&#10;zypcpEXd5tUrBiq1X2u3rl++OWBSqKth9fpn12rsVhEmSNfLOne5ouvePXtAm4dXRoygn4L2C88/&#10;D40QkpaWtiU5pf/AAdJnp0+ffle/O4DkGYCZc2YLB8K+sEJ+XfPbH8eOqhISy1W8oNF5jvYZDJm1&#10;fM7ezIBtKhcMOa9hK+w5DwSGPv743Dlz2rZrhwgAGzP+Exmy6EdDBt/PA+SIQEe//z6mGPrgtltv&#10;hXCySMZhzz8fNoGSMSQys7OzR40aOWfubFVp2bLlhjwwpFEjV1EyrmZlZSm6yNi5SxcZcsXQlIY3&#10;b948MUa5oq7tQPvzzz/7/IvPdF4NHvxA+3bO3y3fsWrpyskf6X02oVGrFj1v95hCIDKxL0Vx6NY2&#10;LbNGjRqIT00VQAObu0GDBm7KokAbLjK20DfppHTeqdN+iMosIrx2XgCWiughHdq1/3T8+FKlSiYn&#10;J9/c9wY6hlA79dtvGRreeP11nXgG9FeGD1cTOyaspAgARcF6iuJ5//79UtSePXsoBJWMAcRVv37g&#10;02IqkfSnhj5xfY8etM7wWHwK5MJq2bhhA8xhQoYWGXfypysjJxA1zFgfeTl5VoLdagm0qJQ1i8a+&#10;g41iR+PXj9/QrRYAGD2Xjntz98bANyC9rz59+74zciQKG7BPxo3jF2VAk0Yd/jRjxvgJE3iFzpNX&#10;jK2MLB9+9BGa79fFixhzgxV/0nuUtG618A4Fv2DNQrSgvZxNqckWqwWYNVvXLVm/zLvSwfffD9rg&#10;j/LGzQDwqJEjV69aBSGkQ9Qzw56DQMjk1Reff97nxhvggDAhwvnDngN7Z6+Yp1stVAHJEG7H2W61&#10;CEMoAaeUN41ifCxfvQob5fFHHwWYoQar5cFHHtmQvBlakE6jxo2fHDqUV8xi0QSvvfEGWaZMnTpg&#10;4MCQpGYHBj03MiHKDv/SS8N1qwWAffsynnhy6ObkgLfP8Zo0ceKUb76RV9DFrYZcrBaxz7iAYXxm&#10;AGHUxWa9e+BA9F+E1KnsY8b822K18Or1119dvHiRvQr6Gj1Ot1qAoVcyo/DAB0LQBQDQs3i+/777&#10;sDIFnpFQHIEABMj/4QfIRKec1/JczJ1o0Rg75Tz4wAPMiLBX6KQ07Hy0WuBJrBsutBLaCp2fsfjG&#10;m26iw8M4PJkizn9+8AGvGKmxSHQBYxLSW1QLU6/+8cILsJ6i7hpwF2OEXtSlnS5liiC3gicRyM++&#10;nEwVa3O+M3zaXszg4Qz8Zyq8evVq4QNjMUzmVw1GPOh/gREALt3y41kSASAL9iin71tgpAodUlVq&#10;qUKVI/goGamq9USpV6VQPghILfYG4ybu1d99ZhkBBTJr97Yti+ZacjHPw6ZxLGrV1wFrw8+FmwFd&#10;iLUN8NgxY2j2yu/Iq169+yjrXJjGLzo+JDW/ddd23bWgY7V0Q2AFQb/QfyuST/K1qLcbd2wOqtcB&#10;FvxZHAFbZg73DR6sXCn0dLqw0osYzSIaAPTFMj98s8AsXOOg0gIcy8yAfAvwph2b3RiybNNyP7WD&#10;befOnRk9AP5x+o/84gmWjIjmpptvxl5R07Ddu3eTTpYIXUoU4oYe5ECUBXPU/O/LnW3Nd9552w+Z&#10;AuM45JIuNhzajoEU8xQj1X+ZHpAYVd//8J0jwMhRI3HGWF659TVsF3qoT5QQpbLPLFmwasRUxTbF&#10;jlFi9VlyjINBDm312WHDxF6JsBtGTmysGy7r1q2jrdzZv7/iFIyT4RhjhVePPf44Htd5cwOTM3UN&#10;GjzY3sKE9byyF+WHj3FxcX7ATnkY0Z1yMYV6cMgQfmUwwnGCb4y//MqcA5vgyq5dSeFmIiL2Jb88&#10;M9ckETDyMvPm5q8EZ6iLOTeQkp3CSe/bu7f8VVXI6gMzOakal7soOb1qcCAFBQmYZCdFRhZqZCaB&#10;R41EtyHJLlOL+0QH2LkisKamX2mrXT0QGDo4b/y0GYhiEYF1TIDhFepQz9WseSBYBJJbtW7NA25F&#10;GOvfDpOiUvekumFyMPuQxRbBB2PxW+h5JUTG+xL+41qXGS3rCDo8hjL2CinX9uhBt0Ws4oCJ5IIE&#10;CHErITktYF7o1659AUvC8cJJ4+i6sAMzC2eAIn3btq24jvQRPykpifSUlJRq1aphqDGDf3fUu5F7&#10;dkHM4jbzJmrmzJmuPEnevG/fPj88R1t7KHUpgZAmzFOM1Kg4XSyTVR1J3EWbN2/SUzK2p9DXXKXp&#10;3kMtWSDTzT4TSOSLbYrEJ3/xhR++FRQY8S3RVhmHaaVRkWAktMe64SKRiXoQn6IWY4XeLtPNiRM+&#10;1bmQkJBgb2EwHRgZLOzX66+9xmoFt94fmCSxLCIuH1lCOm0vtCbMQfEz7lzZrZvig3j4cW7L+gXP&#10;eMJx9TPnYAimGz//4oukiM8c9zIZsQ94Fn8jaxlMUxjQuQHT3V3oXXzspONUp1jh/+133EEuIHH8&#10;WJYIAcOFhpJTqw/i2AT+9n79yDtxwkRCK/grXnokLlSQhSYkyPiRL4OgB5jduXL0sKuypJyjR6xT&#10;Q0vh+NjhvNheN9x4o2PVNHjSiTmgO8Ar5rjwnywhjS8ehkgAzz9PBIUE6sqJbHW7PFQ+WaSvSbCL&#10;W/gwgWXIBWACqpip84ATnuYXqjWmY2ghIaisPdQ/eQ9knQhvshcl/QU7m/5CF3CsSzwr+JzoJriB&#10;GbJY48ZSj9BE80bMmyg7nhk5sedBr8qVKwVV6hQi5ikNNWiBQQE2bzrJNLHAs/oWtAQF4N1D9XJ6&#10;9e6FffbxRx97FI406YB4kf0jUFAg//n++1WqVCFggKlRSGNL1AmMdcPFg2CMlW5XXQVAm7Zt7KtF&#10;0sL0OTQDBMBuzvOmTc+RGBfds4KEvvn6a8rBDZjvzrGoyz6kAjECYE7NmjWZTGBPKP3BwjzjL9em&#10;jRuxI1kJZq6fmRlgNTNpuI1mYm7NOAKHpUZMEHwG4pLxWMsgC5zv2asXMJQvNg1qTJZ1iL8WD7xc&#10;CAgwcWOKoFEYHS7uSAqCY+mBFBoM83iaBF6WcuXKgYPKLqHcPhdWipcu68E6om5DYmxQYHCG80xV&#10;//P552oR4WAOjeoSo5yJO7/AYAuKspfAl9y42EPkUWy5kl4skr727gfvs/LoVgjLkdis8pZ5C2Yu&#10;gcaIjJ1HuUGOY5kli5XwErQnB6S/EJ+E6exmnInPSXQ5zY9VaYxOjLk3Tw7aC5Veb9F4ExVqXTq8&#10;H6Uu8FExXEqWLOmBrQoniIQie16GCLEvgzrGmCNFt+pYKI1uKAEbIPP1V1/nI0qxbriwORDu2I07&#10;JiXorblz5zKtUfN4nY/SwpiUqyGegHAAWHtyZLeKcdFjjlCHzITQxxJDdzpfEuPCRg/2QcB58Wpw&#10;KTsPTUOIKI5xLvGK8wrBMensf8cdH3/00cwZP0sWdh/gkkE0uASCTi51OxJrSZaE9NI8hMIsUH8L&#10;2qw+CIak47NRb0OySouVKhNXIWAiOF4JDVpY0ktXCawUuF2lEk5C0g4mm+a4lV2FbsOe1iFn/Pwz&#10;BqVOBcoeP5Me+BK09XpbG6XjTjLI2F7rUWCZEoElLbdL+pramyY65tcFCxQ8gpZ4eb0EskDj7Fmz&#10;ghLiBsB+YPYEub21k89uIzdgyvHeRC39hVuNJ5ADUbrCE5J1FYvRaQl8CYNYEPMg005Urdq13Wph&#10;b1GtmoFh08+llDrbP93gxWSJyrL7ueee64FV7dp19LfevSyxcUs/BAoM9hm/uG89shCxRwPwX2bs&#10;Q4oiVq0Xj3X+4hzrhgunIMAgfeLIoMbF+IU9wUq/uElQk4zRFjeyzAAI4BUWV68eGAfFypFLivIW&#10;AMqAsBg9hi5/BZbvtcs4K14N/cK3zyyTub66GYVxwGDNsFEisB7Ut6/AiwuERFq/CsB0o0ufnGF0&#10;yoZYvTQPhljcEjQYfDAKPbVDPgyW1rroCrdcNS642PKqRuv2bm6Y2pde5+c0F0uBottkpZmLBwlu&#10;BYyVTWxBWjXpGDfKaeGHxjpVarkpPDY5W3YLox3d9Dpzerft045oiMJj7x77S8WdRuAUkKIhWFOX&#10;1Vve0p1b5AwIYV8Nqjsv+EI45FuKrVPFVaO7leOBmJDzxNChEoQOOZAM4ZCPyHBAkshF5DX2WYRb&#10;NjzQsxN1cYeLMVAcMe/dq3dIrBYacUi45WL4jZw6KZyTZmq6GFVdOl9uOc2FXkZfc8SKvlmliXWy&#10;4UG1ss/cYJBvYGN/TrRZQb9omTK3ZHjnd/HixfwKgSx05CN1sW64SCvBKGH8oqszLjNN37hxIyms&#10;E6l9QCwowESLG1nyqgUF/uJtZojXi1JZCGdh7OCmFos8OPiLFNkUcNpesusH5jDywgR7OMh5558v&#10;2hQwNA0Pwiv4j8FBRhWSIspVX4SmkyMXcumh+IzdjHHvjR5NOnJR+6UxhkixBLjY5YLosVml411y&#10;8cXochoMq0VgQi2iKsKWZlLLC5LaBYJOrE3lxkHlqlr9K3hoOLLFbrtwhkSDS64MAweWHmjJqAec&#10;T9w86Oe1EAvStFFj0ik5pI21nB3HkS12fDBQHI9m4eyT8qWsCg8LoG2TC0IliqU6bCyiUyUWm8Ap&#10;lrrEw7R40aLrrunOeTa8BYaj9kItXIdvUL1encoOLgQItx+dh3F2fkMH9UMJlBMqGpAj22okUB1y&#10;8PnJJiM8EMQkkcgNgFtMjP8a3ciEHLujCB0/cIDDBuwe11532WUnxYAHRUCGXAuYDB30OLow3fyx&#10;KHmvOR/vwSEP2U2uc5o2u/nmv9lRrdOuEyctWdLplc16Dwh18iDht5aiWK6FTAY3HMyBSXWXLkHZ&#10;FfsATCxlMz+zUCRLo2UsDezJeOQRx8DTPKOoYBxAR2tg+ohepLkws6xTp273q66yHEXFkgTzadaJ&#10;GePU2TioKznZicMhhKeoKzbcy+lPhGTSBJnlyCgvF+kAy14VVQVqmJUOVvjyTDAxVRH8Z3YozCHu&#10;7JZbb5UZoc5q/mITEL0lMZVygBj8Z/YsB4uJ7xSHhzqGy3JsGiYOcQ/66XZIgUU6kTvjHa9k7BPZ&#10;obCJ0sW1gPiUxOlXtBAsWqp+ftgwOQEs0OUG3EUKUXUyHZSGBBjIYAOp5hES29lFuW3xXHYYMfyx&#10;QoSvxW61qAKzM/dvnPVD+rrl7G7AZKnWsm3Q0+fIC3UewTdi51lm57Rn2acT3qydk3DXbFlHCCcb&#10;cDBZaibW8HCfsIGF7bXb01PZZ4ujpVqFqsz1vU/aBWc3xBAQ5ixa3LIfGCbgeLOnhyQsHZidz+wh&#10;gkZwhkacEB7rPhz9smH7RoAJXg7KEKlFbUd3xFDIISBJX9oT2oG3pIdNIxkVmViTYN4oqaEHmZw/&#10;+9NPPy5esjg5eXO7tu07dOjQsqXXWgzTPzYYykF5jAPKdIYQ5pb0Zfomr6TD2oeOSOjS87Lp6dtv&#10;pwjamCzY9BdeeJHHmb+qz7Lam1C/aZ0LOzOv8EBGDXEyaglRXPJXqBZlIeks4xLCpY4/tZRc4A6g&#10;kyAN1R+hFPtMjt2LlgTDK6dgGC7h0WZyGQ4YDhgOGA4YDsQIBwqc4RIjfLOjEetLRTHLOIOY4YDh&#10;gOGA4YDhgOFA3nPAeFzynuemRsMBwwHDAcOB044DueRxOe34GPtH/p+GIjEkGw4YDhgOGA4YDhgO&#10;uHHALBWZtmE4YDhgOGA4YDhgOFBgOBBkqWjfkT8KDCkGUcMBwwHDAcMBw4FY5UC/m/qA2gdjT/pA&#10;TawiGzJeZYueFXKecDMYj0u4nDP5DAcMBwwHDAcMBwwH8pwDxnDJc5abCg0HDAcMBwwHDAcMB8Ll&#10;gDFcwuWcyWc4YDhgOGA4YDhgOJDnHDAxLnnOclOh4YDhgOGA4cDpx4FcinGZvuBb/7zsdL7rd9b8&#10;F+IImZcxLoWefvppD3Sz//wzQmJMdsMBPxzYkbp98cLf5AveBejKTN2Svmpp1p5dZxYpUiSuhDfm&#10;RzL3p6/5fX/KhjPOPLOo50HjqhzYsjttV8bevdzlcr7do7+axbcp1q09cuRIxcRElZ59+PCWlJR5&#10;c2Zb0v1zNfuP7J2c4n8g/Yz/OaNY0eJBiMrO3rRhw/JlSw8c2F+seJzHaev+EcgDyP2ZGTv3pB7M&#10;OnjWWUULFyrsXSNgu/bu9MkQiuLrPDu2bxepca5/4SInPknNq1/nzVu1Yvm+jAy+V6q/go2/L126&#10;Oy3Nkh4JNxSZZ55Z6KwiQWInOcJ/2ZLFG9atPbPQmWXKlvWuF2y3b9smDY9nvX0K+dJc9QZsYUUk&#10;dOl5QXvdmtWrV678448/SpYsWbhwEGmuW7PGf3Od+dNPlSpVQkxC1P+ccYb6UANUy1/pcSLu7OzD&#10;pUqd9B11HdWvPv8Pf6/ucX20aJdyNm0PfPrD51W7WkSn9X/79VcP3nNP3fr1q1arZqmxWOFCPnGI&#10;HKxgeFxo/UsWLdqwLiCeNu3atb7g+FfcSP9w9OgWrVpdcdXVihdvjhhRqlSpvjffXKx4YMxdOH/+&#10;vDlzBuV8b1Y6khSVeWB/565XUBQtcuTrr6nspUqXAVhPrN+wUafLLy9XzvkDqpHLIHZKoAf+NH3a&#10;oYOHGAjg6iWdLhMehnHB9h+mfvv4M8/6zEt/ePLBh35bu9YnfL6DYaysnfBudnqqwqRMg5YNrr2l&#10;0FlF7bj9+ceRlJ+npC34Qb0qllClbvdbS1VJ8iakVYMGCqBqUtK7H39UuUpVUiaNHz88Z8pB4vYt&#10;Wzp26fLc8OEIi3Z7a69epDRv3XrpwoUjRo3qcMkl/nl17M9jqzctT9u7Q2UpXjTu7DrNytg+pigA&#10;vy9d8tH7ow/s36fgr+tzQ9duJzqjpWrQmzd7Vpv2F9KbGPfXrF7V4txzhSIu2kDDRo1r160rnVQS&#10;K1SoWLdBgyj2PnT5io3LDh/JUrgllq/cqHZTR/MFhixfv3jP/nSdIc3qtyoZV9KDq88/9eQXn574&#10;rtmojz+WIYtOMeyJJ5COSE0JlH73xCOP/Pz99yK1v915pxqv/MvOAomxtWzdbzqZ8WUSmtZr6Ujm&#10;kezsiePHzfxxmiqkWlKN2/oPSKpR0w0BaOSVdHBppYpMvS9bWAFpdw4cGPaoYkdm6jdfffZp4FtI&#10;cpUuU/bWO/qf09z5a8+YLO++9bqluV7SqXPRYsXcyIS0iVOm0CaFKAT0wdixAsyrZ195GdVDS+51&#10;5YmvpSLW50eMOPucc+xlFnSPCx3zqo6B8UQItxCYlx6XAhDjQm+HWZ9PmFi5SpWtKSkDbrklYOrm&#10;XN99M4UBYvSbb+kc/Pd7770zYgQKWBJ3795Fijyv+P33u265VYrCQJGiMvbsoZAqVauhqrnr1g8Y&#10;pCqR9LEffogyYMx1a9ynRjqj5z133AEzd6SmQjUP740cGTZpxePi4HDY2WM8I76Tlf96WbdaQHj/&#10;2sWrxr2DjWJHfu0XH+tWCwDkXfHBCzhsglLKGIE9x+gJ5KTxgY2U9AislruHDCH9y2nTUBjovPFj&#10;xvAKswCNOHvpUoZXslRPCmIYWWpHSetWC2/RfAtXzUPZ2/HEannzleG6GgAGLYIucSOKbsXozy8A&#10;48f8m+cnHj7xMWH+YsrwCquF5yW//cZNJ6X3QXJQRvkBQJ1Djq7OyQXJEO6YffHqBbrVIgxZtHoe&#10;5XhXd22f3khn2vz52JQYK4EhJSMDWs5r2wbpILWvf/6JRCE/dft2JPjRpElIjSzMzfzQ4gEDeiBp&#10;IRNCIMcx19uvjdCtFmC2bUl59vG/70pL84/J6LffdgQWVkA1LZmhWBpqVK7PJnyqWy2USWukTWKg&#10;2MvfkpL80rCn7c0Vi80/MpiV+GAc4elukIlY6zdqdGvPnqekvsBNgDT9syv3IGPdcEGb0u3p/G+/&#10;/37Pvn1ffvNN2ke5+HjhyORJk+AjIzUWic4j7GL0LnktjHv9pZcqJCZKUcxp9KKYmGJCyq1ykfi/&#10;d96J+UwVGwqOMyC85oKpR7dkTg9noHrCV191u+YaKQpDGwtP2Yuk8Ax7+eWV3KrSgC2YkVG1enWV&#10;XZWgwCSvQHpjC4C9aqlXr1FVoQtd1aIS7fUGPMCp26UWe4Nxwy3lp6+PZWXa3x7cum7nEquKDSwP&#10;rXXWixsmf+RTWMz50Hm4CYGf+MkntHBkJHmZzWPEYKyrojIy9vJMFm6f5QPG0olFSau8uCgs5TBH&#10;x9fiWDi6BO+9n3qZm9Lk3IwSZvPcKDwIR+XrEvdTuCPM+i0Bw8h+QTjkW9K3pW05cMiBkKPHjrqV&#10;YykBR1HHyzoxepDOYMXvkL8/Kv4G/ExDn3sO8lW3OpwVcAKRRXmUIyETJO3ZIQeiLOkYoKtXLnes&#10;6/OJfk8cYRz2ECWFQzVDqzTUoL3eD+EYVVO/nuwIiVvFnv7h6FGOwFhs2DR+agQGMl998UWPgQKx&#10;PvbMM0rcPostEGAoWWb4t/XvHwvYxrrhsmH9err9Lf36Ke8iY7H4jeEjrwYOvp/hzzL29b/nHl4p&#10;p4swmgGCrsUre1F+JIELwQ9YwYXB1GNYUX57uCRqDx8pHi98odwswwmBPOPc5pdX+L3wY0k6QxKJ&#10;vy9ZwtRfuU//9d57UgK/zFfQQO2bN5cCL7vgAt0esnAPsQKgV33NZZfJX4piuUTEyt+HBg2SKnpf&#10;fbUMK9TCswDzILjhUpIUJvFi7IIns17+kmhpMB6i3LNsttvbvauOr3EogL1rT7Kq9Yz4XVhy8tNm&#10;IGrzxk3ixGJ23qN3Lz2X+KUhmaUWHhBHGC6K3Xtdp9fM3S0+hpTkZMvkVcdnyW8L/RCFRYImYKbu&#10;oQloh/RxSlOLR35KdoQhdsfNMgPeTv7ujJ1udVEOq0h+MGFVmgEKyNTt2yBWXyWpllSd9D3p6VWq&#10;VgUG44y+5t96dqsdxLzItBFFXItbUb8tmOfTBsVXDXVMMr3xl4VLcblFeBEn5FYCLdNii2Dl4ENy&#10;g/ffWfre/De7ZrEUi3qCFYg7QgJjLTvTfl1B5C96sW64SPtzXC+kteGJoZV079lTZjPqik9IgMUW&#10;p8vWnHmPDBb2a9Sbb7Icy607b9CyaMfHhwyhorr1Ioppyl8x+6mdDplYuZIFEl2I055QCbyg/OLp&#10;VfxZt3o1flE820wQldMLk4USzmlxYo0Zw4I51iNPP00JOMPj4uII4WR1Q7zHeA6++fJLR/TE2cYQ&#10;QBXcsoT3wKOPkou8LJazhKdnBAYXGpgsmDePdLyaeNdIAf6m224jRRoJf7lx5378wQeSHXOWJkQi&#10;MT1+GOW9voPTxVLIsewT4RT28v88ku1dKcslWH6YXOCpO7EsDZ6/h7MOY2tCMoSjBfvddFNIXopj&#10;fzrM0VUtf5781ntc3uquJCzEogmgy9tkDPgtunSBD36k4wFz5IjVBasD28n3UP9kPOTkclMFYmUy&#10;dGBP02VotI5YySSBtWysGTydNHX6Gka2fz3qWKw3YnaiDh30Wvbav8/vErkfpS4IZ+X4liK81qxa&#10;6VGCZTpEzKwH8O5dflfE6F8BU9vJna+XzwSDBhAhgTGVHZOasHEiR2MEq1g3XDzYhB7q1r07AKI4&#10;Lb0dVWQxjQ8dCvRPtKZjmY3PPltiXNCsCmDVihXf5+jCAYMGRTGgLEZk7wcNmebCOhquMFBNZfoP&#10;upeRF6WCWamcXrNnzqBj66GUErVwVY6kgERY4gxnZGFpn60Hsvxhv3gL56+57nrguWQJjxkb6yDk&#10;Jf5aPPByISBgxEUkeOLV7HLllaQgOFYGSaHB1KpTGx3JXbZcWfwWKjvLLoD5FPFZnhuCCseV8sNY&#10;/zCMgFgJuFgwE92WfsQoZ+LOLzCESmBlYhDgDPNfURQhEypU8FmaT02AvHwWGEUwApM9SitU6MRe&#10;ITsYozwR7ue1aYMd6RYfLcpVAmDpSqyLSSSTW7CIT9K8EfMmymcVjmBKlET3e5ejj7Fh11iipFd8&#10;dO45yP3YZ4xpDDVhkxaDGSWQdMQ/XpSgbOJExeGdX1esGy4lSgRap33iiJmC3vpm8mT4+OVngT1m&#10;bB3SmYgaE6eL6kUyQGzfutWR1yrGRdcNqEMCYvAKvOC5aTy/hBf1et1GHAmT5MYocdxoIE4vfCSY&#10;C+zVsiCGWaPbBEiTFZ/7BwwgPBO3jTcV8QnH45kAo3xZEiLjnF9+CUp+iZIn7U+mwWAECCHkxWcT&#10;tARHAHYye1gnZeo1s+QqUckrQjYu4cROZsfqMFlQadhtahUP9wMDhw68bMkSC5Npz3i59MCXoMSW&#10;ivMKpi5xskHW+OymHgVWrebs13TM4kcT0K7Y3BeUBG8At71Rksuu0UuXcGVIkcJFvDcWsQqG1LCY&#10;1XhCwDtU6CspYtPrLRxgCXwJyVVmoRrEQM+NFewtsryqUNGrBXpsLLJXIaK0uEJ1MIlsFQs7wsu7&#10;PdSqXUcvPzHR6kvW39YI5RQGZCSaxQ1/lqSj0lwj5E+0skuLZZrKLXN7/mKW5e/RFbFuuMiig2ym&#10;kAs+cmOmYE8Q+CasRKHikrUsr4rTRfUiwkUZ3MXK0YvyFjAal7AYPYYuWg0i1sqBh/BK5yGjpxiO&#10;RBRKpCS347KdOL1kv0DTZlbNzSu9WNwArGUQ/EtpjO/efNiTfmI5nIAn3CQ4HshoCfJwLMRih9Fg&#10;8MEoQiLZcVrlwm5uaFdufZHlVaWWrjQmnt/Zcfu0N09wNNIgWT9iiISxKAMaP8MKuXCMyVoer3AW&#10;YuL4b2bVKtVwA65ZuY5lGy0HeLQ635kutqQ2CMXIQBNgRHpoAtF2URkoIcSVxqrWQOakSjXdgGtU&#10;Dnk+LX4XIsMkNBWiIJlOhz3KNIxbjWy8VUaqf/HpkB7oVU6wGg2dLu/qVgub20NCQJS67gpV2XEv&#10;MUfHkmZvkU/XpnfVzVu0pKU5wtAy9ZONgGHDc9erujsCU0jbCzuERKZoFnsWJEvve+jee1E04mMu&#10;6Bd+ARapoULtXBHPNzo38hDySJgT64aLOE4YlwkLlYgT1oA3b9pECkpIcRNLHy4sX3bS3gfJq1oY&#10;fxncsYUpivFdilJZKJxEbvtuN9HEbrvgIuF+TOWV2RLNVPhAhARhImI44iGUrT0oS8e5oKwWMSqh&#10;gSyjkoSLsrOa7ML5kqVKoXexQmCpftyFhRsMgpgaRKIwFpBLXJRcrF6R4qHnBAzRY4dRBSoBBw9a&#10;gQYjKWBCYiSuzqrnd8DmsIsvqUtf+9EseGjq9RpoBy5ZvX6NjieOf/DfGM5v00Z2ZxC5TJjzkAED&#10;+CsDStqOnWzF5IQJXrFagcvQf7HFzip2dt3mdngcDzWrOuj7vn+71a45SPn7k894HIzhiM/Nt91m&#10;1wRKTBCIgo/KQAkhjn4UCId8C254aBwZgtOiZhVXA8iN4bRn1u+wvBENAoIorHamBAJPTBKi5GZk&#10;IwLMv9QcIUHP7lkBEnLsbqcyZcoMevDEpnRVYKMmTTnjJFRMUOqWLPRx6CX4nT38jud/hFqFwNPG&#10;Bj/8d3sLBO3/vcNh50u3a7rzyl4X577AgZBwEM1iySJbDeh9LH8TsRQV4ywkrHIDGLdWu4usMzE6&#10;I6cr5UZ1/sssGAfQoWM4blIOaGKqXat27Zt7XMfMW5+XoGhhMcEK6sgguCBnkzCCc3CCMAW9xQIT&#10;RaFo6WNEGxEzwS4MNW4GvDLTpsleFVUFCpu1CXX0kH/+FixIqGYVRowJTJCeffvAYawErAeJCCER&#10;HUO/xRQg5FBfvJcDmgi/FZcMfGbfoLBdnbuFA+CBvz9CmNELTz0l0hTDCOeHDq+YhpH06j+Gi7Bw&#10;oaO6MH0Y2UV2aG6idOVMJCUphRiix1qSI3wYZWgYpHw9eTK2i5zPRkNC2TvW61Nq7HPeMW+6RONi&#10;hVS7uFu5WvXd8hLSu2PhL7IdidPnKp7boVKLC4K6W5AIm/8dj19jeie7MywAMIQoXdJxyIcxenJk&#10;y5adyXKaC6snVStWr5ZYw+1sWTZFf/Pl5Dm/zGAfByqk3UUXM333UAPSreREL0RJKIA6olCO1JMT&#10;82gwKHLhJKOk5YRJn9LxAEtO3bh911Y55oTT5/CseKwi2RkS1GoR497Ra0IjJHgrwNu44jqAmzQj&#10;ITYkMoldm/nTj3KaC6fPXXzpZRdf2smj9hxvX5aQYGml0gJljUy1RrdmHAmB5GW70PfffsMuNlqg&#10;oN2mXXs3u5nmyonSM36cJjuMOlx6WZcrull8MxZ8IE36kQhIDyRQVCuZktf7AIKCfgCdt7Dy8gC6&#10;gmG4RNi4TXbDAcMBwwHDAcOB/OWAMVyixf9YXyqKFp2mHMMBwwHDAcMBwwHDgVOAA8bjcgoI0ZBg&#10;OGA4YDhgOBDrHMglj0uMkJ2XS0XG4xIjQjdoGA4YDhgOGA4YDhgOBOeAMVyC88hAGA4YDhgOGA4Y&#10;DhgOxAgHjOESI4IwaBgOGA4YDhgOGA4YDgTnQJAYl+AFGAjDAcMBwwHDAcMBw4FgHLi+Zw9A/jPp&#10;82CA5n0QDhiPi2kihgOGA4YDhgOGA4YDBYYDxnApMKIyiBoOGA4YDhgOGA4YDpilItMGDAcMBwwH&#10;DAcMB3KdA7m0VPSfXyb7R/36i7r7B7ZDbt++/beFC1u1bl01Gl/KDBsTY7iEzTqT0XDgfw6mpx09&#10;kg0jipcuW6xUkC+eHDtyJDN9J8BFihYrGeyj0MJchomsrMDJ9Fz16tXTOb53796tW7fu3r27Ro0a&#10;+qvDhw9v27YNyLi4uPAGl6PHjh3IOhDAs1CR0iVKBRVzxvbAAepcpRIqFS5a1AMe3ObMmaMjvH79&#10;eghslvM5sHnz5nGCu8reuUuX4sWL81coWrVyJc+NmzSx8CEoeo4ABw5lHv3zKK9Kx5UuUriwdyGH&#10;jxzOOhL4ioJPhiCaPTlfY7BLDVrWrVuXvHkzhFSrVk0IlAtWOGYJj0DJpciMK1q8eNETdTmWGZLc&#10;dRothCh52WlU7TkqQhQqsrOzd+wMfKGCq1bNWkHZpfps0OYatKhQAQq64YJkb7v11oULfh3x+mvX&#10;5OtXJAuG4UKXZtiiw9NQ2l94YZs2xz9LSzcYNXJk69atdSa+/NJLgN1z770yKDAaTvnmm2HPPy+N&#10;TAxGitq/f/+V3bpRFD3w1REjVBPkSysPPfywntioUaOuV1xRvnz5UJvp6QA/buxYyLzxpptOB2J1&#10;Ghn+Vn/3Wfrq31RiUruuDS692k1zr/1pyqYfP1PAcRWqnXvT3UHNl7raQNzliq7PDRsm7fDLyZOH&#10;DL5fldbnxhseHzqUBq9GFnn17gfvd+rk9cUZu9RWbF61JufrS3KVLFaibZML3MyX3RvXrvp6XNbu&#10;gJ3EVaRE6fqX90lqeYFbY6Ajd70s8N2+qdN+ENUFIQsXLpTuqRPL35lzZmN40WEffOABxsrW55+X&#10;lpa2JTml/8AB9NCw2xu6/Ld1i/dmBj7RLFfD6vXPrhX4FKj9Qpev3bpOZ0hiuYrNajf1tueGPv74&#10;p+M+kdKSatYY/f77QuyyZcvuv+8+SJBXUPTKq6+KcXn3wIHffztV0iMkUAqBzGWblqdl7NLJbFC9&#10;vpuVZpF7+VLlWtVv6UEmw+zokaMUjc+/+KIMy4i4/x13KBohf8y4cULju6PefWX48CjSSFHTpv0w&#10;YeKEffuOS7NmzVq333Z7o5wPu9ov+uyise+o5gpAgytvrt22oyNwbiQWdMOF3vrG668j3Hw3XApA&#10;jAuWB4Pdp+PHV6lSBWvj5r43qKnJ1199zQABK/VGRnfi/iHno4BczOHUIMLAcfONN0pRGChSFHMj&#10;AKpVq44BxFW/fuA7eSoRq+WfH3xwfY8emDK50ZQLepmrc66CTkWo+Gdn7p//3ou61UIJW+ZM/fXj&#10;NxyLWvntJN1qAYbRkxIYSYNWzRixIXkzmh7FNnHCRODpEVgtDz7yyPLVq3iFdUID/vijwCeFafbo&#10;eFS+ZMG3EbR8HWDJ+mW6kubVwexDM5b9gha0l4PV8tuHw3U1cPTQgZWfvbdp7s9BK/34o48cYYRY&#10;udF22GFYLUBC0fgJE36aMQOipIeGd0EI5OhWC+VA8oLVCx0LnLV8joUhmAKUgA/GGwFMSUgA7cTE&#10;xCeHDgWYAeQ6PlDcuPGvixeJdLDDhDpGIYSLHCULc7PwqFO5QA8kdatFyJy/+lfHkiHfQiYscpO7&#10;lMBQLDRCDkQ9/mjgM9fIC6uFv6oFkig0YoBitQiNZImcRsqc/OXk0e+9q6wWUpKTNz/x5NDVq1fZ&#10;yaSv0eP05grM2ilj6Jse3L7k4ovBHAA6HfYomlsB85dEIY1ndU+fPj1C8cVmdhowqvaxnMac71es&#10;Gy70BLoEPeTDjz5iWs/MjA6PZ1IYN3HCp7zCAMQi0VnJVAYWk9fC33+88ALjiBTFpI3eFR8fLzCX&#10;droUt43cKheJQL72xhtUsXbt2nyXVoFAgG6sjDwepNsjCzE3+eXSRQOAJHLZrUNS5JWiXf5KsXJJ&#10;gfaS7YkqxYKh1GJvMG4M3zjrB5S0/e3+lDVbFs+3pLOSgk1jB6YEfDY+ZcqUnaa+bdtW4MeOGUML&#10;v2vAXeJTxKeCEaPmsqSIV4YsITnk9xzYu3HHZjs+fxw7ytzdnr5swvEJt+UVygDDzoMuCMHS0mXq&#10;Bsy6EnbYs8OGqTUvKIrERw0hkGOvbuvu7Vt3nWhRAkCKxcSRdEr4fdMKP4ID7T59+0ICwFO//ZZf&#10;5TODEHQArxQfKlSoAABZlEfZTxWOMKDnSCamjCOZkO9f7hZIGlvnzp0ZIemSyIuHxx5/XOQFjXhi&#10;oJHxWa14SvuMnMZ9+/aNHftvR/L/+eE/7en4Whz7LH1TrXXac0GOYC4TYCYMauThr6xsAqCmvsyH&#10;7+p3B/6zsGUXsxmZNaE9Q/Xg5hI5sW64LF26lKbTs1cvtRhMZ5BnOgOvHhgyBG/kvLkBy1ddgwYP&#10;5pVyukg6AwRdiFeqKHqX/wUgIgZySQanWLEd2rWf9csvQhRrcKzl8UCMAm4z+jO/3A8OGSIAeI+B&#10;Z0oq6TK4q4sJzXktz5VXsgLIBEj+kktWqWT1gQIl/cquXcX+YHzhWSWSgnXCAq2k4EITYxdUmRHy&#10;l0RLg/GQi6MhIvBpqxZbMqbMn+FWFD4bbx2vZ9y4YYP8ZXaOOtRfNWseiBGBQKIKeIBMmQuGdG3Y&#10;vtENHoVn8THgbnFUA1JC6nIrE/SS6c4YXo5OF5aNmNRyi3Rm/PwzC2RifikDN2zfJyRYnBA6Vql7&#10;Ui3kJ6cdX9OxswVNzyqSH/bu2LGTAQpIHJNYbPqAgzeX9PT0dGZiwLCKBOH+rWe32kHM0RAReDtR&#10;dsJVyXa5O1YKjaQznG5YvwHJ6pFVYqAQ04MQefXCsGFRoZEyFy509h4FqqO+5JNMcNwtFl/LSaJf&#10;5lqUhV7EJAOa/ZKpL/NhvEr0UN0346edxDgMwyxTI6YQMYJnrBsuYtJK7J7lwlhhUGMg6NW7D64X&#10;/W1CQgJzUIvTJSUlMAwlJSU5sv71114TX58+4v84/Ue0IwMKFUXioI4RYec7Gk2bnsPqhnRs9BBj&#10;tHiPWQVgXZ9xTY+VUc42suBbFv4zSZX1EeCfGvqEThEweOMwWJn2kc74wvyAFOBv79ePFFln4S83&#10;3uz3Ro+W7JizNCESiQb1wyKP+RnZLetHpBw9fMij2MMH9nlXKrocmw88b7n1VkdgGjzprG+iHj77&#10;cjJrECyDkkX3SwUlzXGOrnJJdKq6MtOsal5/e2DHFo/qmAMwf3B0umCcQS/XiuXHfTzlypWTojBV&#10;xejUI9KCEqUDWEiw5LWTn6HFwdgrkvhltwtCkBrWNi38vsGDHcFEwTPEMZUiEIQ2yYQeazskqYWK&#10;mJ2okOSuVyc0SuTKM8Oe4xUewTp167rxhICetu3aCY1hGNaWYles8HJ6bdB8tGSUCHq3K2vvbp8N&#10;CVEGdRbik2Aoow37LLNAgDHNgChQFQchpmqErTRCqmPdcPEgD2Pl2h6Bgwivuvoq1JWlJ/Tq3YvE&#10;zz874Yo/dPAgwHoYv144OlViXEQHyLV8+e/ffP015Qy+/363jBEK4LTKLqsbMtHEvyqTy7Sdgeka&#10;UUcWVuCkUc42zFNZIGBQkGWdUqVK6/AICBiZmougGV86XNxR/HNiD9FgGFVxq3CjDlUsJK8EMZ8i&#10;Zk+Qh9QIUI2uTEWX0z5VQKu9fGbtJMq6J1b+lKlTCRaBQILAoouMz9KKFA/inmQi7uh0wZPEcjC3&#10;MmGVn0kCX3Ba+MQhf8GwHUV1jRn/idvaluiAmrUCG2EwYt4ZORJgniUoJJeuswqfFa2ShcbMzAOg&#10;LfJioSQj40TUs6UiaJS1ftIlJiaSq2TJkh7Zi+eOg5y5DU4XtwgthQ/jjGq3kdAYO3nn5izayswB&#10;rDBV3TxPeYNzrBsuJXJap924w0xBq33x+ef4SISDs2fN0lmGGsPpwqRc3JhqgGAHqSNnVYyLHhaA&#10;OiQghhFWwuvMFRUOKE8yMoK3yAgh8tvtqqvs5et2JIYOXgRm3gwcM2cEjwCtXLmSXiANRk3oScdn&#10;Ex45bAXysE4SGrSwFBtXPhC74HaxJ9MbDdHlmFaqZcK0H34IjP7qovEznqplCCwwlCXt3+KJ9K6I&#10;DUQeAGwb1t9WrO+8cUNgSlWqHpS34nTxnphe3LEjw2Xks3NBxkKCBUM7+WwgcqPirMJF4kt7bTPE&#10;tYDUWDhQwRyE/0OvvhIkPmC9hQMsQSGRTGdBDPTcMC9XqmxQwnUAD6bZacQtirmsr+WJ7GQFUy6a&#10;sUQN+gly8mhFOKg83tatc5Ljh9MKvNp2Fb8x7PQsP04X6vLwPAXtGrEDQKCxrMgTF6+i5vnLvEht&#10;1M0XbGPdcGnZsiV8+WTcOMUdegWdn5Ga4ZugMHGTMA9jJ5FleRinC7lU0GL16tUZ3CdNDKwXyAV8&#10;0BVlWiojrB5Dly9yKkCVsqx2MMfnweUx/eKtRB0xXUOCatJmoVR8CXKxiZ1hkZBq+owlyMORP8pm&#10;lbc0GHwwMqEXpRI2V2tffI1b3qrNrZuB61wYmKM4Xuyg9j74xDEXtMMHtXmBBxq/rEfguhd9QMPG&#10;tvMe3C2FN0xy3a1Tp3ItyzZarLcyNRo6oodVV6WJ1XqzQ4rTRe34cyyqXbt2wDA7h0Yoou97tyhv&#10;gUIChLjKItFqbNWtWscNuLZ7OW5ZmBrxis1fMuYgJgI+GLiw49HuyjiTCZj/2DvH6jzQsxOVZCNc&#10;lWmXuzeHL7zoIgCeGDpUxZkhOySIsULQkqJR1gEjjBpsdW6rsmWPLyNasGrXtn2lSifNBzhjKaFR&#10;Kzfka7Ru738oYErgFqGlCmGChPPJf5kxC0mQGZtqYxC9WDdc6MCsnjIus1rMoIz1Rxzlxo0bSWGC&#10;rvYBDciJ4iaSV2exOF1UCn/FWJZdbRTFUqvKQjiLRAXaN7M1b94ciweAGJRfLKAkS91yM2DVrFmT&#10;ts44hcj05Rg7qjJyvfn660y7OWvHwnmJ5mMjGEVRMlKTEjiGhxTLHnh74eJvICPDJSG9IIa+J4Va&#10;0BlqJhEeA5PObeuotjFEKtRpYCmTQbP5jYPsFVEC576EgQD+atxFbF7g4BNuHvgrATrYdvhySWza&#10;qDGe/Dv79/dfPgeUnd+wtR2eIz3OrnVixqwAzulxi6PnqVnvAT6tsb8/9pilOgIghChuxMS04Z1R&#10;o5jZQyMUEalNi8LM9U+UBRJCIMeevWXd5nYPCikc8eLIEA5ECRUH2jPzVOZREAJ1iAmzkr0FlHPo&#10;0CFikoRqRjaivnyuWrrhAHqOZEKOI5mQ71/uHoQzxjIDQUZCI85R4swIbSELJyUqGnGv0j3DOx1R&#10;1V6sWLGBAxw272DN9O3rsJ7Youftjn2Wvhn06EgLyeIsdOND4GiiBb/6DJgLtRXlMTzt8z+fWz8J&#10;ydRRLNR8vArGAXQ0BXzjgTHr/PNQP3Xq1O1+1VVyPpXiXd/evZlP41Gnw6hXgXMghgzhGEvCPwUS&#10;jcUCE0VhixCSecuttzCNsyzXMR3HVUuvU+Vg5aCMcZflo6his2o4o5/jIhbkC88/D4fRpkSupKam&#10;4ttACXHAg2KgyIgwF4ZvDFOWq/GOSKCuvt0OKUhRyJ3Bgjm6RALyF7NVJGKRFDYKAbwUgujffust&#10;1ACCJjiXNXhSiHkiF25qSrj9jjsAoz0w8Q1DshyDu2XR3E0zvpTNNRwoV79zj8qNHRSACI5tOOt/&#10;/JL90jyj7ys3b+dxWp2SNXwjcsVx/s0rcUcRb653BKw6NlVUTExs0KBBGBP3nXvTVqWskW3ArDhU&#10;r1ANZe92ahlbotgZrvZYMaltdPl1HqfqIQJCl/SDVhEfSlrw1I8J5q8Ops5ptRzSGkankDPlNu3Y&#10;LEGpKPjGNRpWKp/oVhQMWbrhd86zEYZgE+DP8D5sVxZ6HBUzr5Ca/bxjORiTlXEiwCLU6EIIZEIj&#10;lAqZLIQ1r3uON5m63KHR47Q6EZYbjXKms/10YLLIWBEtGimK3UOTv/hiztzZQnWPa6+74oory5Yt&#10;6yhN+uzaH7/asXSO9FnsmHqXXmOfaeh5GakktkyOfGS5RN6ibtQBssc3NuZMkgmLZLzCLEMT2XEo&#10;6AfQhdHdcilLwTBccol4U2z+ckDOYSSSVI58ZZaW7wcy5i9DTO2GA4YDMcUBHL1MxmQ5z3ICO9Nd&#10;+9nruAOJtnbcBgtdxnCJlnCN4RItTppyQuYAvgHOEsX5IUH4LG2o08FDLstkMBwwHDAciG0OGMMl&#10;WvIxhku0OGnKCYcDeJXltDqWNoglinBpPxwMTB7DAcMBw4E84UAuGS55gntsVWIMl9iSh8HGcMBw&#10;wHDAcOCU5IAxXKIl1ljfVRQtOk05hgOGA4YDhgOGA4YDpwAHgnhc9h354xQg0pBgOGA4YDhgOGA4&#10;kL8c6HdTHxD4YOxJH6jJX5SiWHvZolE7lDkoVsbjEpRFBsBwwHDAcMBwwHDAcCBWOGAMl1iRhMHD&#10;cMBwwHDAcMBwwHAgKAeM4RKURQbAcMBwwHDAcMBwwHAgVjhgYlxiRRIGD8MBwwHDAcOBU5gDuRTj&#10;Mn3Bt/6Z1un8K/wD2yH/9d5774wY8ewrL19xlfVzJSbGJRLGmrynLAeyDx/+9uuv+I0dCv/840hm&#10;6hZuHvxgJcBHMvf7AQaGbwpu2rCB2041KfLK/t1Bt3SflQK2PzODO/uPbD9Zsvbsgih+/QCD247U&#10;wGnxcoG8+itoq1snGZiF8+dz63n9VOcGA2lCo89CQmKIh2ioTgi0E0KKY7pPDB3Bco9MRaOjRJQQ&#10;LVjlBo1UsSUlmXv/fl/dit4n3TASxp6eeRErVkss0F4wPC7wa83qVUt++w2Wde56ResLjn+Al/Tx&#10;Y/7dolUr3fp7/qknS5Uuc+fAgcWKFweewe6Hqd8+/syzwm56zpJFi6So9h0u7nDJJQydI19/TQmD&#10;vIOGDNETq1Stdnm3KytXOfFdpFiQXGziIBIRxgqGk8aPL1GyhN08DwN/Cu915ZUTp0ypXfekb9aH&#10;UVTkWbBUUn6ekrbgB1VUlQ7da3S43K3k7Qtmps765lhWpgCUadCyZqfucfEVvTG55rLLtm85PsJe&#10;26f3kL8/qlr1sCeeUK/uHjKk78038wp18sQjj/z8/fdS7KiPP1adxSfJyakbU3ZsOprzgRuu+DIJ&#10;9ZIal4wr6Zid0X/D5I+y01PlbbGEKjW79ilXy/UDhCJBIKfNn1+uXOBjh1iidEbpnq0anPR9ShE0&#10;HfbVfwxXFAH2yNNP9+zb1yc5djB0+epNv+/Zf/yr40UKF6lRuXbNKq4fgrYzpGm9loULFfZAgCHo&#10;i0+PfxyteevWz700XEYPyL9/wAAltY5dujz2zDPCB5nISplI83/vvDNsAiXjsT+PLV+/OBIyG9U+&#10;p9hZxdzQeHPEiH+/9568hcbBDz989jnn8Iy8nnj4kaULF8oraHzg748I+QwFw59+WtL/duedDLMR&#10;0kj235cu+ej90Qf275OiWp3fpkevPpxm6VgytnXy9Mn71y6Wt4XjSlW/rGelZud5oIEob+vfH/xl&#10;ZLvmuuuFTC440Iavl19wgVIW6I669es1bNTYbYAq6B6XhwYNql6jBnI3HpfgTRfLg8Hu8wkTMVBo&#10;GQNuuYU2JNlm/vQTA8ToN9/SSyEFzv40fZok7t69Sw0iK37//aqOl1BU/YaNMEeGDBgQmLDu2QMA&#10;fymfm5ZHLpUI5ORJk+665Vb7vDY46qcfBPYlzISxil3r1qwWM/FUurBaVo17R7daoC515uRVE44P&#10;5RZiN33/+ZbvxyurhbeMniv/9XJQLwVKjjECNT9i1CgYO37MGPLSaOkF3Xv2/Prnn+QVOk8aPL/o&#10;eNJ/W7sWq6V4zve3/V9rNq/YsHWtslrIiOZbtHqeo+sFq2XFBy8oqwVgnteMeTV9ze9Baxzz4YeO&#10;MBAL5nLL6I8WXLd6NUaMJH40aVLQwj0AIGTB8llKnQMJsZAM4Y65HBkyZ+nPmAXeaGBlzl66FGx3&#10;p6VBQmBIycjAaqnfqBG08ArpQJdMmWQiixwhMCp2OeiBZIRkwigPl1vmgf1CIwhDwuM5Vgh2M0Ml&#10;JEO4CAsaFflYLRidQqMMsxFeC+bNffOV4cpqobTfFsz7x7NP7UpLs5dMX6PHKasFAPrj5i8/TJn5&#10;nQcadLrDWQEXr4xst/bsqUY2tAzKJSDZvzQIzygXtBVmaISkxWB2FDFjy8233RYLuMV6cC49gZkl&#10;PeTt999n1o6RTqOv8tdHoTEpeMXgjkWic5MZANaM3bv++ksv8YqimLExp2F8LxcfLxnxEFC+3Koo&#10;EoF8fsQIqtiwdm0sCKxA4FA1KUl3Yuk4M0YjLIt7mb8k6gsipDBAcNmBVWn2opA48NwielmGkESp&#10;kWe6nzJ8JUXP4pO9+FoObl1nB2ZYtKttFLzFxJGMjJvM//zUyKScpkhTT92+DfhvvvySZkwDZiIo&#10;r5i/6uZ7uXKBjy0zF1SzQz+1sBqybZeD/xzVjovCXgK+Fsdi108c6b0WBiEM+roU3NBjZsLc/bVR&#10;o9QUFooicbdAiG6WqXoh3L5stHNPqhtDNmwJfOXb+8IBBrb9B90r7ofp333HMIKLBVp4hXQeePRR&#10;dKHqC/EJCYDxVnkrg9Xg+h703MiEKEu2UOWuZ4cQEO7RuxekQciCefN4QF7S8Pgd+txzkE8XQ7uT&#10;0qhJE6ExchcsC0Pvv/OmnQXYMSPfeNWeTl/TZw4KgPlGSMtGKB1HviM11NMHY8fiMMMMtaiksEUZ&#10;IxlFETOvEAdhvl+xbrgsX7aMnoCDTjzk0ujlmZbBq4GD72cQRxvprOx/zz28Uk4XecVASRfilSpK&#10;xn2fMgh18uqz2FMSjMGaEdmumfC7Mh1hcobfizUCoR2PK3+ZyvCKZQ6xOT4cPfqFp5667IILSOct&#10;TmYLo1hDUUXJW8yU3ldfjW3KPeIfL5Iyb/YsZnskSiFMg3jGV0FGtyw+xeFoiEjeXctOaoqk7F7u&#10;6nDC0PEf77J54yapAq3fJWfBRV3NWrSgwcOBpBo1SYSNfswCC7E70k+EnlheMXe3TL4zNq/TfS0W&#10;+IxNXlY+3RnTFse7ndtpO3bqISCzZ86gd0drZRA/hO6EsNS+ZWeylSG7A2ai4+Vo0DhCQpGk43pk&#10;3UQfcKonJZG+J30P0ycYQr+wjGNutQdN90Bv916rN8JOuCofdgX1LQF86OAhfmU9xSKvps2a8YoA&#10;FGabQiPGaFD8/QAs+e34apQdeNuWFGrU0+lluq/FksWjh1ogxSjx9r4zo4AJX372Hz9UFBQYUaaX&#10;dLosRhCOdcNFfHGOE0c6uQwEDOJYwbp/hbkLLczidNmaEytQLam6I+tHvfkmapVbHzvoY2g7OhsV&#10;1a0XBd9mjEg9t9Ggfds1E4zFmsHL9eW0aUjnyQcfEv8Hahi3OQ5kXgWWOSZPFvR4lnTcCTiZLf4z&#10;Zqu4qSkK57MsnP++ZAnKG3cakx6WpaUQTNWbbruNQpjlM+KwvKIKdMsSlDne6zv28TF73/FwCseS&#10;/wgWqMtCG0YeLRNaUPlSCGFDemmiApnU0lNYccA/j3FGlpACmQ8fyfKg/ciRk2Kis3bt8AA+kOzg&#10;jlLwcXFxbqYtMgLzHMvy+OmiterUloxEwMgNXUFl5Ahw6K8AI8e3x/48Htaj3h445BXs6R3Yi5WJ&#10;1CRyhSYqZZYtV1avWgwyVCyDGF6KComJWNX9bropwgBkb8T2HrC2RjvhOpIeTBMaJXKFTkouPIJK&#10;XlKImiXy8O7HH0Ej68jQGIZhbZHamlUrPZqBpXzvXubdQ/VaGEAY2dycLgoSJuzL2BdeK43NXChT&#10;ZMeEUHofK2L2yWReYh7rhosbLxiRaT3duncHoH2Hi9BY+GYsLYxEiQmQ69ChgzkdyXnVv/HZZ0uM&#10;izhs5Vq1YsWcX36hHOLLVA/MS/EU0LrglV0zzZszh4kIkdHK15K6fXvy5s0YhRJAyowN84KJqVDN&#10;s6R3u+YafgHWuZETVb0Xr9vBzOPhrqK83xs5kjFLj6SWlQUky6/EPBJSJ0W5ZYkptqMeJEiIiAG3&#10;pZ896QFtJOuecGbCV1+hLFVMTN6TU7hYkNgaR9MWPFWMi4rcVH4m7FqWiWkteU9OGDUS54HUUORQ&#10;5La2JQaKOMkwYjC4MTrJSDByGDXmfRahkQ4LjWyGEAQ8FDa9EhqZjZDxhb+MuVxCO5cc5JiYjGxB&#10;nS65RFTeFyvr9dTLRJEFQVGR/MUyq1mrVt7jo2qMdcOlRInAdgb7FESWkL6ZPBkDkGUFYNCLOh9p&#10;YeLWU65aGSC2b93qyG4V46L7pQcMGsQMHnUr8WXm8s8B1rDhm74cQDSfjHQyoGOXoGgZ9SzTUD9V&#10;YLYS387qD/5YjEvJguBQ7fhdggbHKdvUfxYdK7YCsR/BDU+2C1leFSt7whS25zqrVBlvkhkv2HTD&#10;rayWgP13cryzLKirZQgMR5Ql7T/o1FCvunhRL2ujaNHja7WSpXR1r2ErrlI1b6LAkOgHTCvvwG22&#10;p+Fnktkzag95hdFaFCYl3KUGjJ388qW9BFemlNcq83lt24jUVDAHGwt+nTtP94GtWxNYUItPOB5m&#10;xzOjEGzB1xiJ08UbMTtR3nL3YJpOo8zr0Gogr6+kiAObjTZKCsxGiBpUYvXT3x1hWrRq7ZG3Vu2T&#10;tol597ISlQJzHp+X2NzePQvrLZKG6hOTPAAjVPHWXr2kZeoxoAg61O2K0cU21g2Xc1q0gGDlN+aZ&#10;XkHnl+l7x8s6iQ0o4X4WxzhuPeDVJkPWemhw+tIj8EF96QHnwT33RN7Noiu2AlEafEMzMVgLtuzb&#10;wtkoo7ncKFpkp4/mTK8Z3wVeTd3EnVA87oTixPvC+IiZQiEYl4obqHamdDgb/B82EEYWqqvY+lI3&#10;EVRsdnyvvgKo0DQwR3G8sHKKBjNc7BkxZWCsWtPkAXoxU4DkWakNrEP2sPhvKpUTXDf8synasjO2&#10;VJUkNj87Fo5VV6FRILLB+2LgowurHX+OwOe3aUOfZTOOWGb01kg88OxhrlbRVUXZya9SwdX88ijH&#10;jWoch7oPOLDN+8UXGbgkNEQtbcgETMKrw7480LMT5SF3yvHe+G3BUAwUpdRpihM/+USiXnQa7T06&#10;DEobNg7E+TpejZo0teyIppfZZxQqb6WWbfwjIO5kjxGGtsroxLEd/suMWUhmDiy1W9BjWbBChSDn&#10;OOQ2RbFuuKDb0EMYJYRwynoqBuDmTZskPlHZgBLTYFktkryKg2r9AieNFEWopspCOAuJ3PbYMeLL&#10;GD2jFVOW2xKNnfJFM6lTK7DZsf9Y9WcIQ78iUFBlpAOA9R16OykAyMIQF52fFNhONDvl2M/RWb1y&#10;JbnQagJPmYiPwlk8Ql5++KCy7EhN9ZlFiq3WpmPJ6g6nlSSe3zmh4fFjHhQC6HiOeLHjg4Kvc0Vv&#10;P3haYJjzofCIhyBCmZsH/nKOC2CoPSKacUcRRoBN0OuGG/yXz0y9ZmWH40w46YQjPezlNOh9l6Pn&#10;qVa3mwudVdRPvZi2FjAin1QsC6KUwAjML8KrSW/fvDmtAgvYT+GOMHWTGkKO/RWE2x0V8WUrOFoA&#10;pUuUoZxQcUB5iw8YQpAO/kLseBm4CL/DTUgigmNkY9SKcGEa9EDSjiHkQJQlHcIdycQTEyqZ0Miy&#10;kdAILTRFwq04xsZCI2EusCLCk7HKlCkz6EEHR3jpMmVvvq2fnXb6mmNzTerSN9TJgzhdLFUgRAar&#10;gIbq2VMtf4faSGINXvbVWrBiGTd/3S3gUzAOoEMh/TxtOmMWCozpJtoOdcWIpjd9+glxKgQxMJSr&#10;V0zRZIOJOoCOtsVWBcZ0isL0uap7d0IlZLFJXQAzH+JAAlUOzXHshx8SChprDSvW8IG9zCMVozAs&#10;2OODyMRhzltW95Aj3R5/mEScYD0wLSOR3o6ilS6BcYn3hZVUJKXOsEIoDPfEOiB3CQkUIYpopC5M&#10;H3Uclo6M/izCdczin5+WA+gYE6tc2K3q+R3cSmCb9NafJqudOJg4NTpeGVTBgzaBOI7bauRURqrT&#10;D7yiwWOLS0h7m/YX+t80p9DelraFA+hUoC4qDe3lNu22nOgV9AA60MNbxgYTpZihAl+aOp9N554F&#10;TKbpdRs0CIMovVi2ybBbWO27QT1zAF21RFdL13IAnTdDpCKa4uGsLMfBnbbHChHxdqxc4wNWfCCL&#10;bITxOL7Mf+ME0kJm0HP2QpJ7eDQ6ttiQiLIDr1uz5pN//4ttRPLK+wA69hal/PT1nmWzBThocw0U&#10;2KCBnKyDDiJAVY1sjFpMGIhJQrXLuAQwIw9DluVAVB3ngn4Anbew8vLI/4JhuETYuE32AscBiV1X&#10;5mYs488hEIWKFgt6Bq6QwNDJBgd8MLFMEbix+ZltRN7REooEbLis9DTCCEKdueYvE9h9U6hQEbdD&#10;gS24Hcw6+OefR30yJH/pstR+OpDJmS7792UkJlYqWsz1qF+dLfTZfGmuxnCJVteI9aWiaNFpyjEc&#10;yCUOYIX4tFpAANUe+1ZLYDJ6VjH/Shq/EUQVLKsFGiHQp9UCMJD+GZJLLS28Yk8HMlk2woPl02qB&#10;jQWxuYYn/VM1l/G4nKqSLdh04YllQ2NIB78WbIIN9oYDhgOnOgdyyeMSI2zLy6Ui43GJEaEbNE7i&#10;QKjH1Rv2GQ4YDhgOGA6cJhwwhstpImhDpuGA4YDhgOGA4cCpwAFjuJwKUjQ0GA4YDhgOGA4YDpwm&#10;HAgS43KacMGQaThgOGA4YDhgOJCrHLi+Zw/K/8+kz3O1ltOhcONxOR2kbGg0HDAcMBwwHDAcOEU4&#10;YAyXU0SQhgzDAcMBwwHDAcOB3OPA9u3bv5w8mXv69OmHD5/0ufjcq9SxZLNUlMcMN9UZDhgOGA4Y&#10;DpyOHPBYKpr6uPWTQCExqOvzH4YEHwbwvHnzbu4b+IRInxtv2Lhhw7PDhtWrVy+McqKSxRguUWHj&#10;qVMI1nSr1q2rVnX93l7ukYoV36hRo3ypOhKiMranFClarGRCop9CsjP3Hz6wr1zVGn6Ag8KsX78e&#10;mGrVqhXP+TavfjE3Kl++vD09aJkCcPjI4awjh+NL+/rU37EjRzLTd5ZKqFS4aPBPFIFzfHw8uElF&#10;e/fuZeomQgfnrKwshaE+LAK2Z88eN2J9EmUB23Ngb1zR4sVP/uq1W1EH09OOHsn2KTjBVscfqkVM&#10;ELtt2zZVi84KEkWgXFFUCbTP4qXLFvP3LU//chdC9LanJGuhMS4uTu/USspRpFHQLh1Xukjhwn4a&#10;g3+egC0FKvx1yVqaq84KxQGLfAu04XLJxRe3bdfugSFDVOf1w+pcgomO4YIIf1sYuMCydevW13Tv&#10;TsqokSMHDByIyFFIM37+WQjgbecuXdR4Slv/dcGC1atX8+rKbt3atGmDWTflm2+GPf+8Injc2LE8&#10;33jTTXqZOjtoTK+OGFGtWvW7BtwlzxZmoQ7JTmP6+KOPt23bKm9vufVW1XOGPv64JHICI+g1a9ZM&#10;0FBCAs+PP/pIyMklSYRR7LJly1YsXy7c69mrl6A9e9ashx5+OIzSJEvdmrVGvP4aEgy7hLAzqqoj&#10;pyJsHPxnRFuv/fGrLXOmSpYiJUrXvvia2m07upWwe+PaVV+Py9p9XGklteva4NKrg2p6Bostyce/&#10;w9J/4IB77r1X+g6iv/+++9SrZ4Y9RwsnnUb+/LBhn477RND47MvJtAr/RAG5ddf2lcmrDmYfklx1&#10;Ktc6u1YTN32AOl/93Wfpq38T4DI1Gja6sreHdqcfdb2sc1LNGv/5/HMZ/jCUGTekv9MAdFSnTvuB&#10;HmqhCIAI2+fRY8dWbF65ccdmqatksRL1q9WrXaWmG5c2zf1504wvjx46IAB+BMd4gggefOQRRiTJ&#10;BWlCDvQOGXy/qovJq9BOm3/80UeVQFuff947o0ZFoiHs7bP+5X2SWlo/Xa4w2ZSavG7bep9yJ9fL&#10;L700euQohb/QKKJhwL+r3x12Gi2NlmYwZty4CEfUnXvTlm74XaGdWK5is9pNS5co5ShNpg0bZ/2g&#10;+mxchWqNr7qxQp0GbqJXbVJkJ80V8W1IDjQevW/yVzVXtMwrwwPflZSLbqsG5IJruEjPnTlndoTy&#10;8mB1SK+iEOMCSTffeOOn48djH2A9IFcaLjMnuq7Mn7Ba8CxhsshbBlZBkb4KL775+mt5hRuKonal&#10;palhV8BQzKKb9TJ1IhcvXkwW2gpWC+mUxsUDifJcu04dhr/bbr114oRPqYgU8KFqOpKUIzWSvnjR&#10;ouuu6U56gwYNSJz67bcCgNVClhiRmaAEk0F17ty5QizPGHZMbqpUqRJSCwgJmBGZASukLGEA5zYV&#10;YaBkyYJW+PXjN9QIyFsU29opY1Z+O8mx8LU/Tfntw+HKagGGvDNGPEI53sigydB/jImoBPQEYyLw&#10;dBPE3ahxY9K5AXhq6BMMqbyaM2cO7RZ75dfFi8iiOzD8UL1i86oFaxYqNUAWFPzUX79H2duzY7XM&#10;f+9FZbUAsD9lzfyRz+xYtTQoURMnTHSEAWe0gtyiKh4cMmTunDljxn+yfPUqbh4OHjzohxZHGAiZ&#10;tXyOslqAgdjFG5ZCuCM8AkWsymoRwSH6oIIDUo1I9pIVjWK1MOAw+jGdRTHwit8OF3eMJIbAsX2u&#10;/Ow9t/YJ+TDBIncY5Sh3IYevA/FLY1NeIkXmoRwBWWhUjVZopH326t1ny5YtYYuSjBjZs1fM09FO&#10;y9g1Y9kvBw5l2ovFapn91lN6n6U/0isxTIPiwPhvh6Fv2psr2g25v/vB+7RVyKS5CqMK+rVq5UpI&#10;+Pqrr1EB3Oju/KUoCobLk0OHJiYmfvjRR8z5mGHQIlu2bGmhqk7duljivGVqKFYC3ZIZBgb7+AkT&#10;5BVDMN62MNjxxeefUw4ZsWCYo1Aat6hzecaR88P33y9c8CsGPhWRArbMaf7xwguqOnEUkU7KvLnz&#10;KAd98M8PPgBPuhw4Dxo8OAzccikLJtoLw4Zhy78zciRoM/zBPXCuXr36xR0Dk35BGzBamNhzpDA+&#10;cslffsULqoDtqFIC5pEamIDPyMhITk6WkgWeZ6rQBy/AeKvqUrUALK8sFUkJerqiQvC0lK8Xroqi&#10;ZAHTh3spWUfAjq1iS0h6YuOc6ShpO8cYFu1qG7/0ph8/swOjDpdM+mfQFlK5ciVUOFKmkYu/cPIX&#10;XzBbfWXECNK5aNK8euP113klOqN+/frSEWj5QctXACydrNm6zg7/x7Gj81f/ak9fNPYdXaMrgJWT&#10;P/LW62DrodT1ihDf999Off7FFyEEVxMXD+JbCu/C17I3M8OeF8Ih35KOk0zXc+otosfZ5o1Alyu6&#10;IiM3+8ySl4GI4YheLFMjfpFpJNMk0HNrnxBlqd1N7jAKdnmQiRxB21Gp23MBJo1W6KJ9QmNI7dNS&#10;JstDSzYsdWyuv61bbE9f/uU4x+aKYYpN40EmisDRPrNnEU2BNdOpUyfxjEKgvnoQXqPNy1yMllDB&#10;pQ+bOgIoStYlsLPVtD8v0VN1RWq4QB4GAUpdrf7QIj08nJmZx2dLS5cuxWJlgUOhwhAcxpI8aoyh&#10;jXIYKbBg3Jj4ww8/oObVWEBFt99xB5g7iqdUqZKU06t3LzDE4vlx+o/0z0j6WNRFu3btWnC7vV8/&#10;C/dm/fILK3QksvyMS+n6Hj1oYSTCpSu7dmWazk0ifxWkArYgiWeFEv75/vv83j1wIG8pGVZzk0J2&#10;ND2mN89Uwa9abgOMKqQuXFYd2rUXm4BfnsmoV/TuqHelBLKodIUbfeO8lueOHTOm/x13iEcBeQHJ&#10;KokQIuKjEEoGjKLwq0l14EMuEnklJUtdmMv88kyKsAW1wa0cgX6EtXX+NDewbYvnWl6lLnPQ+gKD&#10;u8J70NSLwmqUv7heEL3eWbBWaQ+QUzExEGqDl8JuIAala0va8VVUOyQTWfTESchsT9EdSPor1EPq&#10;yiUe1dFb3ZT6jh079XGTdc8odj38B7qvxYKhnfztS+e7UeFo0OjA5cqVu2/wYOwzu0MCMKFR7Gw1&#10;hAYVkH8AD/TsRHnIHXZ5OF3Ah5HfTanrNEImYDAkjBHejeode9IwqR3fYnJZnC70Mt01aMmVsnC2&#10;B28v7XSpm31maa7iliDYwL+kYg3yk3HjGB4DY/KNN9pxk2k/K18whOl9PiIfqeEivuiEhARvGlhn&#10;QfGgS+jJOF0AZkmI31AX4O214GVhEKSca3v0QKe6jde8YhqqZ69RIxAgqXzpLLQTTIPaozRxWojT&#10;hSUwcO7Tt28+CsletXAv6BJ41yuuwGN54UUX4TrCK4ZXBu/lY0OH+qGl/YUXkhd/GN5OuMcwxNSB&#10;ORY3hdB8MekYjMTxCwzPuGekZJQodeF7E05ipKpfIn9V7QzZ4lZ1w4oqsEfxKk2ZOhUqyPjgAw/g&#10;Uf9pxgwKhyK6WaAVNW/GX8CoFGMUo00GytfeeINEMAQG/KkLAPJSI8/UTuMBVWjkJoDJD1uACcRp&#10;/hXxYM9iHx+z9u72KJlYXe96GRwx4LAjkQJxYAJcsmTAtlaXNGYCQjGv6V9AYvBhnIXkRtJd7naU&#10;CH7UEzNSNnmgnbnT1QYiF0uBbkoduci4KfY3bnactVIRIRRyKxPZp7wU2IGs43Eqjhnt5Kev9TK/&#10;cKR5I4ACYzBxdEgIjdy0VX0IZZBUZDpaPH5I9kbMTpS33L2ZRntzU+o6jRKPXLNWIIYJuhSNasTw&#10;Q5cFZvd+r26Vvj8Qyq0u7152IDWIKMU+s6+PWJorSgSJi3FGKxUyCYUJg7r8yoJRImt8jJM6DjIj&#10;CmM6lEuERGq4+EQrLS0NobJWTSvvcd11PnP5AcMlwFopkO3ateNXRaX4yavDYFoRL4LaY0hVjpmr&#10;rr6KFNpiATWiJZYT+4bYnZbnnitBA7gxg1o8gDEkHV+UWXo8EsjCUgSKESO8AhgLY8P6DQKD7qQu&#10;auEt6cybSeSXZ90BTkC3EhxY2UXWomVLdLAoYMEZceCoZHwXz42sH4szDO0uMx4uqEZq+FEYa6RG&#10;ecUvedN27uSZ9XXR99gEDKaReOZDbWwhwTM44l6CUuwtN7dfeno6ZbKFgV9WUjDj8C+S8fPPHJao&#10;Qqo9POCjh09sDnIswU2pq6AB5WBXfiYJ6KEJhYdS3ueiETKYODokLHE84CYSxDqHRgSd99iGXaOb&#10;UtdplJaZvDkQ00o8gIiSZ1nZDO9yc7dIaUf/dHbGhFeX2Gdv5qzG6peluRLlqcKrmQhJ/JlKCa/q&#10;/M3FaCnOaYI++WXpk6EYc5NxuE3bEJaho05FdAwX6XUeF7NkRiJCTCCYaTSQJXKmjPaVGknXZ4qM&#10;XETUOhYuXtaZM37GvMXVj64i1NcRkma3bt1J6/cpKQErW3oUFz4VZucM94QPK7tS9K7FLR91GYRd&#10;YFD7Vzlm4ZLF4USlSiU4IiDrL5MmTly+/Hc/GOIbVzu2dH8AnjCWNkAVm5Jne1Ee3mOsGYYGQqrx&#10;H6hoFYJscnawLWQuLpFMuMoAeG/0aNnXJheNDQAWoVjnojkR0UnzkIzEemNyJSUlYV0Rx4pVpxaP&#10;/FDqvfM5oVErSyFx5St4FMtWVe9KZXCk+yjbzt6Yl+UYl8oe5YGZEzTiafNDkcCwv8YDmJ3D+ttS&#10;iV4x4OVree3UoByl1C290oIAmkC8faRLQA/NzD9FVkF47nw+q3ARC3yZpJN8tJa3frZGezhdVGkQ&#10;RctkD6NIkL9iT4d9eSOW0KCFpWQ74ToAe4y9MXFT6nou6IJGvNciehFl2ARKxoplvbpVQpnjA7sA&#10;c2CBV9v27KGSEfuMUVRIcLsSK1XilThm0B3QSIBahGTmb3ZGS9SrtEwGIuZCTRs1ZssYLvbIV0si&#10;IS1SwwXzWfU6wQMl4aZQkSWWgUQRSgCvuPrlkhMdpNPK4oIkMnK5iV92WWNzyO4hVkbcwlaI0kd9&#10;KnuIB1w1KACL70GiRvQ4DAZKi1s+EnZHK68suOh4CvfcyodSVhwsb2GspIgNp18UJYs46MvB95/Y&#10;vWkBw00lKcAH3GnaMpCCFEGzR52ZhyVqW4xUFTvsiDxrUqwToYMZ2cUp0rlzZ7CSW7Zts6cGHw92&#10;px4HBzB/WSeCTJoTQgSBx4cOVXmlNLof60Rk13cwBhUTe2LdYKq1bGt5VaXZeW7AWDk+D9jQS+h2&#10;1VU0ZuW4xnzHtmNuBwxuJ70ZsJoWlBYFkJToPD0AgF2mlvNO2ETKblK3wivWaxS0XlHqEOIBiXcW&#10;GML/1QzH29r2rhQSIMQNpm7VOpZXdlGe4JV7A9ALQUmzMmvZJmlHQBwzcu4DV6h7wewFerTPxEbW&#10;7fF2wlWBsMvPySii1L2ZDx+AUcuXIS1iOpacVNG1+WGCW44gYrJhn1GoYj16qIIRp7I3mUwtGGmJ&#10;olOBq5HsgAvag/IAgAFTNqxwMdgSPIAbid98j/iM1HBRMyfmtbiV6HtEO1oCMHX+MlqhPxhzsRjQ&#10;FgxbOOrFH0WsJUuhWKm0D2RPUbik7h4wgJFL4hvkIlRWTh2mEPwrWEKydYiblREA1Jkxer0s+vAX&#10;3CQv0Ys0wb8/9phF9mCFjvQ2q/OguQStAqULnjiHFPdwOegHW1lKwLZDMctRzay5MoWVNUvYTqJ+&#10;6IKeEU7SA19/7TWVyDINBors3yHeAh6CADBvv/UWYtXFpLLAUmTEuIxYLWai2DFPDB1KgUjETjVt&#10;gFfQhbqiagDE8BUE5C2JtBCW+UiRIGIu9BykkSIb6YnBEtzAk0QJGZH9SpBPSmpqKoUEZbsC4AgW&#10;ziyxwzM4Vm7c3JLODNhRkXD0S6PLw1k2xUCHmeJM4sYxxtZoYsmpFw8ZUyIckH1794bnRKD7J4qx&#10;nlNb7PDMyDkbw55+Ts/bHQtvfuMgP9aYKHVLCTRpFQCBEIEZ/f77LDRDI+2WV5ih0hLCu1rVb+Ho&#10;YIBw+2l7iNJNcDQAnwiIMrMAW+J1GBUZDLG/JSSClUHgiQTyWYUdDPRoXfZ0yLG3Tw+5wy4/OIhS&#10;96YRPsj0gPYJjfwCL1Ev4V2YoU1rNXHM27aJw3E19DVHntS+9Do/zjMqsk/h9OYq8TqvvPoqnREJ&#10;iiiRaQFa3LQzU7byqXTxlkUxwjo80ZMrOgfQyXFtgXNTzj8P38Ytt96CVlAH0KkT5ARLhlSmjLKn&#10;UY6fEq3GTFom0OTFxS3RKozRN9x4o0yOSdcPl8PV//NPP2F86D4r1FVm5gH85HKgkx5hJOfXoXcp&#10;iqUrywF0cvwdr+SUJHUyEhqOSAvHCIywmR6tjDAWhc1QrrhH51myeDHkQyxh4Yp85jccAcK8nKoJ&#10;CUJAND6yw2e6GZzHVsPxwFs6m+w+FQaSghcKMGEIxRIeG9hYPv4TYKiOnVwggBWl+GnnmJwVjf/G&#10;zkZesXKMZqIWrAdhtaKC5oGZgklE+XL6nyKERKhmKKEjqUIgDccmYwfU0VRoV5gjTGelXSFZlpPA&#10;lkTaFWYu6xTEwUAO7dbSkILKiB2/bGbWQ3EZAeu06+R2ppzlHDNMHEbSoOftwoHGTZrY/erwATeS&#10;xGhjgzZv3lxGE9I5ykVCBxwzBqVr7db1a7euUwEE3id6EQf6+6R/qu1FQU/0Aj1WivUjKBEKGloI&#10;tISjqqNIyYXxKlFK4RGlU832qN/WLWGflCRixzSoXr9BddeVC87g0XezI7im19zobZnJhFuNSwxc&#10;bAMUGfEsRwDLpZ8qS+ci7gqZIlBCCvwEonlIk300bABW7TPoAYl2uWO1eBwrbKeRUHemIqAt8soD&#10;GqmCo1zYFK2aK74WrBa3A+gs5yUG5Qnl0wEtzRV/mGgKt5NzPZprwT2ALui4kccA0TFc8hhpU13B&#10;4oAcN4mDMRZM9eiyTo7wp0yfB97Ljg//R7BHF1v/pcmhJj5PxJfj8P1/98A/GrkHKYfEU76fzxrI&#10;Nw0KhOAsHAu1fYYk99yTTqglC9pFChVxM1n0AhVPfDpaQkXGA94YLtFipjFcosVJU44rB/Cxsacp&#10;kg8RGOYaDhgOGA4UdA4YwyVaEjSGS7Q4acpx5UA+frjRSMVwwHDAcCBGOOBhuMQIhgUFjUiDcwsK&#10;nQbPfOQAISYxe0pKPrLFVG04YDhgOGA4EAYHjOESBtNMFsMBwwHDAcMBwwHDgfzhQJClon1H/sgf&#10;vEythgOGA4YDhgOGA6cQB/rdFDjk/YOxgd2dp95VtuhZeUaU8bjkGatNRYYDhgOGA4YDhgOGA5Fy&#10;wBgukXLQ5DccMBwwHDAcMBw45TmQffjwjtTtsUCmMVxiQQoGB8MBwwHDAcMBw4EY5QAmy/NPPdm+&#10;efOrOl5yzWWXbfrrYy/5ha6Jcckvzpt6DQcMBwwHDAdOIw7kUozL9AWBU+Ydr07nXxEV/mKpjB/z&#10;72uuu57SXn/pJX4/+OvTWqp8E+MSFVabQk5BDvDRom+//uoUJCwskpgGRfLRwbDqzN1MkANRuVtH&#10;fpTu08EO+WiIU0ym+cHv3KrT/1oJEkeUp0xjrl237uPPPHv2Oedw9+jda+nChbnFYn/lxorHBTF/&#10;OHq04Fy/YSM+vtX6guMfylo4f/4PU7+Fa4qif733Xur2bUP+/mixv77/NPOnn2bPnCEALVq1uqTT&#10;ZfJKIFXG2/r3V7Xo/KHwN0eMyDywX4esXKWqVE1iqdJlevbtQ4o/rhqoIBygP4/4x4tK3HycpcMl&#10;l8hfu7j1shgLel155W9r18YCi7cvmJk665tjWZkgUyyhSvVLuic0PMcNsYzN67bN+Obg1nUAFI4r&#10;Fd+0TY2OVxY6q6g3IXhl+YANMFWTkm667baruneXhg0fXnj6aTV8PPvKy1dcdfyzf7T5d0aMkCzP&#10;jxjBQBMSryx4Vmx9abU2Hd3wPJK5f/vcH9MW/CBVxDdrX61957h41y8w081xNQtw89at+99zj+rm&#10;dOFXX3xRiOXVY08/zVjJM1le/cfwn7//XtJffustPtgeEkUW4D//OLJt3s+7Fv4ogitZvX61i7uV&#10;q1Xfrcw9+3avSV55+EgWAEUKF6lRuXa1xBqFCxX2wIHB5N/vvffI00/37NtXwFo1aDBxyhQowux+&#10;8sGHVN5r+/SWkQ2B3j9ggJAfFUohc+eS+ap9BiXTIvcqF3ar1OICj/aJdZXx10eXysXH60LhzYa1&#10;a3fv3lWiRMlzWrTQX0Hm1i1b+EJT02bN1OgdiTT3Z2Zs2r5+z/50KaRaxaS6SQ3dpANPUn6esmf5&#10;PCX6ml2uL1UlyQMBBMfbr3/+SQZ/EZ+MP6pvSnaRLw+Txo8f/vTTqky9GRRcj4vOIkaYyZMmfTlt&#10;moVvp6PH5XDW4S8+nVClajWsll/nzRtwyy2sqAlf6AC8UjyiVzAuk7Ig58vAcmG1bN64CZOF7DSs&#10;90aOlHQZwUmXu1jxOHmgIqlO/gLDQGOBXPH776CByQIANs2SRYs82rd5FRIHUrdvV+Jet2b1kAED&#10;Hho0SGYnxePikEtIpbkBM8qoVhSVAvVClv/r1S3fj5cRkCs7PXX9xJGbvv/csaL0Nb+vGfOqWC1c&#10;5ELZrxr3DiOpN2JosruHDGFMxGphNPxpemCwEOutXPnyH02axKu/3XknbV4cUah/2vyIUaNI7z/o&#10;3sNZAXXr/7LjmTpzshueWXt2/T56mLJaqGXPstnL3nkSFehWI92cV6AH5rXq1KZ/yWI5yNMGLr38&#10;ctAe9fHHkAaB4niYNP7TdatXA8+NFsw+HBpFFkxgOORAlBIcQkE0EO6I84Yta5esXShWC9fRY0c3&#10;bF27ePWCY38e8+CqTIGQl5vvBDLlHjj4fiXQ+o0akTJ76VJhjjIL/ItPQQqZevsUMlNmfuezfZLX&#10;u32O+fBDZCT3ZRdcwHxDSmbYvLVXLyRLm0SmPJMir+iMAH8zeTJv1bwlDOpUlp17UheumqesFtK3&#10;7doyZ+nPB7MCHxl1FD3NVRf9ig9ecBO9nt1xuqv6poiySs6XgLFZkTsTCWwdbpr691OmREJjrOVl&#10;IsEIw9iSv4jFVnAu027mKC+/+SaCR7GpzqDz6PclS5hKduzShQ6gp9PVmXSSHQtXrBC5MDtIlxvb&#10;Xx5kfs+v/HWE3JKSTPqgIUMAYFakwPJXYKdS7SJueIuuYkotWrlq9erK+8K4z6hHM7B42jFxSOSV&#10;7okFWE8kS9qOnfsy9qEaVXaegdEjy6Qo7pCcuvhalBWiS4RhMTP1+KRZpeOWwKaxC44SmP8FFWhi&#10;5UrM5GAUbX7Jb78B/82XX9IFnhs+HG8Kr2iivBr95lu8OnQoMGTDQNJpscqfEbQWAELFc+NXY5UO&#10;0Mvf8Nn73gZZ9aQkMMdjSq41q1fBeZDH9wAhoA3OkMYrZnX8bk1JOa9tG/FRAxCh1xOGOwoOAdkF&#10;x2w+ecdGO+sOHNq/LS3wsUyPC+cQMhIS7Bdkyi3eCJxnAWfSm2+Sgh8CSukUMn0P78Kl5EgmFpud&#10;TFLCaJ8YZ4gM3wOWFs1v2BNPgCqifHzIECwwEnk1bf58nkmRFRaGdBQ5ZPJWoiUiubAd1yYHPhhu&#10;uTAu129ZZU/fOHWSm+hp+R6YMDEAc8dwVOmbciM4YFA94v6koXLTE+2xIJFQnb95kSPuT8TNmkb+&#10;YhJbhoviBYKnJ8syjeXC0u/es2e37t1RdY4TGmbw5I2crfg5KYQpbORFmRK8OYCuYhD8fMJEwObN&#10;nsW0jAdGOmZyjHqj336b9QU1b+PVPXfcwaTt1p49n3jkETE4sDwABpJE3tIwmKkzM6CRUBrPwODh&#10;5BkYfnkmBbDeV19NCndIU0A88G4U7Vj4i+UViyluwBg6QZ0u9rwMjjhgdE873YH5H6yoUCGwTMO0&#10;L4w4iZDwxN3iqAaoHWtm9+pl/ts87jeQ1zUZpNEeZJG3eo0aqI2oBDbBat0/ZMFw9/KAUahfW3Ym&#10;u1GRsmOTN4HMo5iV0gIdBYGGk1vaOUt+N992m3+OBYVkIcx/+7QTrvL6aZ8IS5of5DD34OGxZ56R&#10;xolZdku/fqRsWL9enG1yiXEWlApvgJ3pqdgojjD4YCxOF0wT3IFuBe5cfMJ5b4e55LLLUCiEptpf&#10;MTUSOcrUCCuc33xX6hEy1i07wwvjLe7PB/7+SFSW+SLBM0YNF0ii5zNdttAmnRw9h9OYV3hfFMCv&#10;c+fhimTFgWGOtXOVjjoknZulR29OWSDPb9MG0xJvZ7+bbtK1ZiTsNnndOIBjzBLwxboePnNWUpmy&#10;IIgvP/uPytvuoouYz+GexS5ZviygI5nwsaQCJJM8ypn+3XfMzpn6yKSQZySIFiELMEz7eKYt0X4Y&#10;VUnhJv7Jp3TQ2Y6eBsm+f71VZ2fvO74A71h+Vnqad70yONJ6IbZ9h4sFuETJEnoufBj8xQKga4jH&#10;ETMuaIO31BsSnhkbVnugnbXzRGCZHYwoByhiEORVm/YXCgBxDzoka76yQHznwIFIn3UHQgoi7Ibe&#10;rLaTj2fFjUZUpuN6hA6PAnNzuqhFFvggGl0kyDSJoAq5fcbz2jHEg+LRPg9tt5pcIcndkSFigeF1&#10;2LBuPTpeD2oRAwXvNW95xXDKnCEMq9peb8aBPR4tcF/mXv3tH54+lUM7rV5SPS8tE4Xi6HRhGBFR&#10;yloSDlEkLkodjSNypN16d/BYfksjVO1w/JgxWC3vfvxRhF7PqNAbu4aLI3mzZ/5Cy6Az0Dcsq0UV&#10;EhNRfh0v60T3QI2pvoEBJIEsBPx6s8wCSfuTRavdaWnM4x3XraIiA1OIIwcQcd169RgTGc0z9p40&#10;DP3vnXfKQImskzdvBkaiGpmX47AhEa+bpUxZ+GNKBMyutICtsG3LVtEWDDGU4L83/nkk20NkHjoj&#10;PEHL4MhKOU1RLaJZisrKiWUpHhcYMVlUwj7DYmOtPSqOijDQPpbtFYmC9hKnGoapW6TtjtRUOjgw&#10;0g1ZTKSD0w3DVudhUKFCWxzz/vmn83RfAYO5m9MFY1putR4kEmQ+huwwrHnWXRRhIO+WJYrtk7BC&#10;GhhzRZoo5jI1sn7EKOpW9dvvv8+yC8B6TEzYpB3z5L/321ArZT7g6HShS4ocJcIaa1uFVzMRQpTM&#10;plRKqJXGAjwG2V233AomEjxHHyRFHAERziIipC52DRd6RdlyZS3kSaCTMA5lxhxUDWQS48LNvgPa&#10;CgpM8qoYl6Dr/Y6QFDjhq69otRM/+SRCXpvsHhxgsiKKSl1IlnUclv+JvMZ2dMyL0A9mHg+PXbVi&#10;BYVwk6g8EyrXoYOHMHkFALMGvV4tqTpqA91JS1OLR35k5L0NoUyDlpZCChc7yZdgeXtWqTLelcrg&#10;iE9IRVlBCFNbPZdY1cr2kr2LavXND1HAhIRnXMXKHsWWqFTd4y0DOhRhjujrBXvST/JL4QzTuz+d&#10;F7UH4d99EzwqyK1qb1bbyY8vk+BFY1ypoIz1cLqovBLUKQ5FzDhkJ/Z02FdcQqIX2tXrRat90ivp&#10;Tee1aUMnkv1TbGWgN+nl66FjWHL4PpG+iokJm8YAr0rHe2QvV6q8/rZQ0WIewMXKeglaMorTRYLM&#10;3C52R/JKNDqdEVESBBMJjfmet3PXK4Y+9xxo0CYZiNgIrXa6WFykeYxqjBou2Hc4/OGazg5ZJyLA&#10;RXgHE3mLD8bCsuLFvNqof/4qnw39jbUJvGT+8xrIkDgggXt4y/RcSBYDH3WFDiY809IS+MuYSC6G&#10;BvE09LrhBiDlVp4JNYyytoI5S0CoghE1j+7EJmC+KBvQfF6J53d2gyzfsLnlVeXWF7kBY+UUDWa4&#10;2PPSBVgMUiY7DwSBMrcDMpKjI0LCs3TVGmzqdqMrobGVCR6MFc8ZYUZKyWGHqe5vmdiVLBXcXHCr&#10;C1bbzUoFXL6BNeqicgXX3W2J5St774iWYpXTxYN8YGh+0YrjoSL2MLMv3a3Gis2OHzPhQbh65d0+&#10;6ZX0JkwWZYDWrV8PwekrQbKS2+Lcc1WZiHvAoEESE+OzuzmCVUpwPZyieNG4MqVO2jPPFn0OLHCr&#10;rkLTwMZS70ucLvr+Vjs80QXAEJan+ibzpWAFx/R7qJYJvwT763ckweOR0xxbhgv2imxhxZmMU9Hi&#10;I2GyxZSLZQLFPix3tdlM/Jbcsnauugo2sqRze/uZdUj63sjXXwMTUCJWAK2Gtoic3aYEnQMibiJJ&#10;ib2lw1uC2jA1GAQZ+ICxjBd4L0mUTe8ESWCC4F1gfVB2DCEvta5HCdTCX4mlIItsLJLwVR4ohxR8&#10;MDQt/9Kp2vZSR7XNaRmVmp1nKQcPjaOhQwk1O3X3X6mCpCnCLpgmrke4gYUn7ZMQQtxUUCfBXmLc&#10;+7xCwhPtWPe6OxxLTurSN1RrbPDDDyMpoqolTI3Ia9X9WR4iyAyKeIu2a9/B1Qr0QyYMdxQcmt5+&#10;Bk+l+CqlSzj4wzjNpV6NRn6qA0acLhZgEZwKvON4HtnTTjyE7BkGXszx8K4al1zl1j7tZJLiaOiE&#10;0T6ll73w1FMy0mJ00isZpeVMLPqa2Kay44HTX8KjTnIVO6tYzcp1HEtoWLOJPb1B77sceULf9Pah&#10;qqL00ElJVGGRsnSCDfrcS4ENcfRNGi0tmeXakAaWSBhyWuUt9LR2VI6d8uw//8wbdmRnH84+kp2Z&#10;eWBnair+xrsGDerR6/iYuy8j46xiRS/q2HHDunVtLmxfL+dEILnwrO7dk960efOiRYuxvEpebgbx&#10;x599NqlGTQCKFC0qZcqdVLOWePOkuvPaXFCqVGkpKvuPP/44ckRBcj4SwAvmzh39xhuHDh265c47&#10;r+vdu3CRInnDjVO+luLFi2fsyxDRILu/9euHD1nYq8SNc/LYf//7Atsszziz9803xydUaNK0qQiu&#10;42Wdhz32+BlnnvnUiy/WqRdwfdMGMjMzP37//Q9HjapYKRH3NWeBJFSsePBg5hvDh5/fvt05zZq3&#10;7dDh96VLnnvssaWLFzdr0QLTliyECr718suVq1Z74NFHpW34uQoXLVauQfPsA/uP7Nmh4BkB6119&#10;45lOR5OVq9vov/9TODNljQJm/tfopvs8zmoTyGo1azRs1BhadKzgXueuXWvWrcN8Du51vqLr3YMH&#10;l8pxRcAHfBI7tm9jPnTbXXddfOmlfsg50aFCwbN4ufiSSfUPpqaosAkUQ40rbqpybjvXSs84o17D&#10;BvUaNoQEHQbOX3VdD8ikPRDn0aN379433igAnbp2/e9//7snfff5bdv+/akn/YciOeJQJK4Egtu/&#10;ea0e6lGlQ/eaHa90FFxifJVjx47qUbqsH51dt2Wc5/If1NEsq1YLOGxo1Rd3urRR07OF6pKlSvJc&#10;uUoVuatWrQYYMFAHB6omVSex27U97n0woo3fobbPsrUb/F+hYnr7xARv0GeAR/ucNeNnqGNYtrTM&#10;FrglJk4c/eab7739No7AVhdcwCajQH/fu/e+O+748N13SV84bx7rDnTJkBqnHbh8mYQzzzwzM+sA&#10;LUTe4mtpWrd5fNkKdmA30de69CoPNOiAqrkiqQZNmnTp1k3CJaG0Rq2aSpS169ZBm3Bf27PnRZde&#10;WqVaVdase9140933368Ux1efBxYEr+4R6VZwC8IcwedGQu1q1pXBCHnukb1Y4UK5V7il5Fg5OTfP&#10;CDYVGQ5EkQPsMJJYXeIngroZ2I4rG1tYcQ9qskQRyVCLChVPdTQI0RVBzwIOFZlcgg9JcNl/ZB85&#10;EnAVFCpUpGRc4JSEgnKFRCZ7hmX3jZ/2mfNxhixHOxK3ChvcAmZEXHEdQB22azlpN0JmcqDLob/O&#10;gbSsEDmWrHiS98311Dg5101eeXlyrjFcIuw1JrvhgOGA4YDhgOFAcA4YwyU4j/xBGMPFH58MlOGA&#10;4YDhgOGA4UAEHMglwyUCjKKZNS89LrEVnBtNLpqyDAcMBwwHDAcMBwwHTjkOGMPllBOpIchwwHDA&#10;cMBwwHDg1OWAMVxOXdkaygwHDAcMBwwHDAdOOQ4EiXE55eg1BBkOGA4YDhgOGA7kAweu79mDWv8z&#10;6fN8qPvUqtJ4XE4teRpqDAcMBwwHDAcMB3KBA+vXrx83duzQxx/n93DOWYL5dRnDJb84b+o1HDAc&#10;MBwwHDAcKBgcmDdvXtfLOv/zgw8aNWq0evXqvSd/+DaPaTBLRXnMcFOd4YDhgOGA4cDpyIGCu1SE&#10;f+XKrl27XnHFPffeazn2Ol8EaTwu+cL28CvFWTd9+vTw8xeQnF9Onuzfog8JWDGA8rfnnO9pLsMB&#10;wwHDAcMBDw6sW7duS3LK7f36xYLVAp6x4nFBhYzK+WYeF56o2nXqtGlz/IPAeKimfPPNsOefV2x9&#10;d9S727ZtfXzoUMVEdPmMnwPfzuBq3bp15y5d5JVAqowDBg5UtehCovCXX3pp//7AcddyAVm1alVV&#10;bJkyZW648UZSoti4WSnUS9PJ8agFJT1k8P0bkjeHjQnLk+S98aabwi4hDzLWrVlr6rQf6uV8hyjo&#10;pYB9kobJcveAAQsX/ErJSTVrjBk3LrqSDYqwATAcMBw4DTlQcD0uonf6DxwweuSo1uefd/sdd3Tq&#10;1CkfJRgrHpesrKxPx31SrVp1rJa5c+fe3PcGpdd3paXxSvEIrfPK8OGkzJkzRyVitWzcsAGThezw&#10;9+233pJXQPJLulxYM/JARVKd/AUGeVggly1bdle/OzBZAMCm+W3hwujKSUdAcMibK7FSJe68qcux&#10;FpxGmBq5gUDJkiUxeYOWPHHCxLS0tF8XL5o5ZzbTiKhLNigCBsBwwHDAcKDAcaBKlSrMJ/v07Ytm&#10;RD/mJ/7/FxsXnqg6NWryK+hM/uIL/mLBqGeFJq86dugwcMAAbpX4+GOPccvfsWPGkFeeeQDeTqKl&#10;OkdIwSH32KPTK7VgvYEYv0uXLoV2HlTt27ZtmzZtGm8tWJEi6Trwnj17yK5KIC8pAgkYf7komUQe&#10;SAGSGu0lWBId2Sg4UzKlAUAW9ayIEnIEAHgAhHYRt9ALXUr6Ig7+ChWSUWcRJQgJSsqSVyjV67Ug&#10;I69oKn169RIOuLWQ3JO7KdlwwHDg9OTAdddfy10QabfoHcbPl4YPz0dCYsXjYrHdruneHX8UK0R2&#10;m+7T8eN79e5zbY8e33871TEMgoBn8kZuDJYoGfgMbF4GlKB3Cdt+cMiQ667pjs/ptltvlS1n2LYd&#10;2rXHyOXtG6+/rkhjeYuUF4YN4xdg4QbA1/foQXZuwqlIYXWMFGAogSr4K+tls375hWKBAZIanx82&#10;TEpmbe68ludi/5GoinXkp2ArJVMF+JBFngUZVgAp//777nv80UcpE9ywUQDgFbn63xF4EIAffviB&#10;FFnrkYu3QgWlSTCKlCYkgznrgBasoAuiSKR2IEEGSOq1xLJc2a0b60TURcldrujKwmLkrcWUYDhg&#10;OGA4cKpyoGJioozAikC8L/lIbIwaLnCkTt26fAbdwhoYh8pp07ZNy5YtebV48WIFMHfOHFaX7h44&#10;kCWYQYMHq3QMHdJl67k3oy2Q7dq1Q6uhZfv27p1LbrHXX3tNcGMFUeFWs2bN5atX4ZGDUuwM0v/x&#10;wgtgQlwLSxsKDPOC5a0x4z/5acYM0gFmBUSAExMTWQehkMeGDhV4FkSAJMUeNYIVSMnvfvA+fIO9&#10;mEoYGc8Me+6dkSMphGLFFPC4AANbqpj67bdgIusvkuuTceNAZsrUqdyQAG6ELgHMKyoFcx6ef/FF&#10;HqiOSp8a+oSqqFHjxiDMLeWo0kgBHoRZB3SLrmXPHvBUJJCWgLLmzZsT2kJdBMm/MmIEb8ML783H&#10;fmuqNhwwHDAcyG0OoDRlftigQQMZgeUoF5baL+7YMbdr9yg/dg0XR6SJZUHlNGvWrHz58ijCLz4/&#10;cQQhCjIQltu5M+4WVK9yxmAASSBL0OgHCyT6DG2K2kNIzN1zw/XStOk5glvjJk0Uvd2vvZaqxcJY&#10;tXIlv1gPeJh4IIb0vr9ssk0bN0KphDCT3ufGGwhDxuwAmDVI+EMhKn4KXgHpGBB+14C7KKFGjRr8&#10;ykISZkdm5kF0OcYH3F7oGdwDw6lLsAU3MOFSHi9MGbj6w/ffc5crV07iYS0XiMlWqdTUVP3V4Pvv&#10;B2EuTKvk5GReYahBmlCBWckv3jXHdkK9GCWCFUwAQwUm+/qwiiANMP5i/RAXxbJRPvZDU7XhgOGA&#10;4UCscYABduaMwK4XhlCmvoFx9bLOTPmYbebvhobYNVwItkXVWQT5zddfkyJeir179rBapObcKEgW&#10;mLjfGTVKzfgBxiyQdLVNya1xOEKi9vAWoIl1IylazevSTpcKbh7bZ2S1SAwL/ULNQ7JKIdCYZzHX&#10;atayhr7aOelNwvLlv2OvcLVt146FlVDpVYghCOQoRVHIg488YikK6nCSsSqESSrWif2qXLkSsrak&#10;i/ly6OBBxyzUW79+fcdXxHTz9rlhw9hMBMATQ4dKcG61atVCJdPAGw4YDhgO5DsH/vPL5LBvb+TZ&#10;bzt+wgSBQYHiwMa/jrM8qDLNbZ7EqOHC/JvZuUVlyjoRyx+33Hor998fewzuqF3QilPR2miufDYU&#10;2OHijqtXBdYs8v4Scn5dsECqJgpVHlDMrI6pc5exi9kAJVbwiuXLBcb/USgWuu7s358mK3ckbRSD&#10;D9aposS7o+MGOVif2BDAUKmORkpKivwl/EUsIXwkO3bslEScNPzqnio9L/UqRsEi/XRqsXXgKryi&#10;XsSKuwWLKlrNxsLJXP0LE7gcz952S89VfCIsHEKEIns58irC8mMkO+MYtDj2TV6F3WdjhDqDxqnN&#10;Ad17nY+Uxpbh8uP0H1mhYApOZAlbxi0q8+uvvkZ14QLBP8HFghErIOKD4WJmT15u4kn52+qvDcbM&#10;9SWd2/vAMR2S4ePVESMk+oQlPcIpOHsn6nISeuX2+PQDrCBoA2OO6FfZts114UUX4TkgNlbSMelY&#10;YyIdHYwrT9Am+DRUnGGsBKMQQ0NkDwucPFAIBV5y8cWhlsbKDqwjrywGSZhRXFwcv1BEujxjfVIL&#10;Ibp6+bQB4LmxbMSERQSURgrATw4dinXi5qmiXhgFJJWyMCShQnKJrUMkMoUoq3fihE/1MCOfZGZn&#10;7l/705SFY0dyb1k8/9iRIx4ZeQuMAK/8dlLG9uNmmXdd8Jyt43IjZdVIEA2vcNtyN23UWMVvAUCj&#10;BVjSw4jNChXP3RvXQg5ELf3s4x2rlnqTIzvh5QZ/PeyMZxAWinglrY6LPkuQmbwiPSp6HeYLzqEK&#10;DnEj9KDNA0kpMhnN1LAjtBBXDi3EjCMpJVDIJwuvSA8ajRcUAQEIu31Cps/26ROTXAXbumv7gtUL&#10;Zy2fu2T9sj0HAi5njysk0VMOMtL7Hc1SndPB2Ci+f7l1KZMFuSNrHk4ZgztXhRhq4YWefvrpUPPk&#10;Bnw215HsAwcOsAJSr179Affc3btPH6mIEN2ixYpecumla9euueiiixo2bKgQwPpLT09v3qJF0WLF&#10;JC9XrVq1hr3wAiGugJ1V9ES6vKqUc4SJVNe2bdvSpUtLaUf++OPIkSNSAhdlAjxn9uyRb71N4QPv&#10;vrvbVVcVKVIkirTv2r1b4UyNZ599NuXrWAHQomXL6tWrE4kME5554kmssauvuaZS5cpwI+AH6thx&#10;06ZN/3j+hXr16xPZ2rhxY9BrcnaT//7ff9kTlLp9e7877oBdO3bsqFChwjnnnCPIq7+KsRaGYC/u&#10;3Llz9Lvvvv/uaLEU4dKMn2ekp+++vmdPnQMKQxL1Z6qoBt7Vq1N7jZo1cZk88+RTR48dA//atWtT&#10;WnxCwsQJEwoVKtSzZ0+eMWLIcs1fpElpPXv3Ih0q+g+464orryQRM6VS5UqYql99+eVFHToMffJJ&#10;cZMALKJU9bKyJpDfTZ1KiAzNRskuPj6+9fnn48F6+R/D4WSP666jtXAS49NPPKHHdAcVNEp6/qhn&#10;MzavzkpP5d69etHW32ZVbNTirLjAZjTLdTA9bfbbT+1cNleA92/dsG3hzP+eUTihlvN6lsr+3NPP&#10;YIk+8fRTF3a4iAbATrdWrVsxFF59xZUXtG379siRd97VP6FChReeew4+w+2ZM2fSHohK/vtjjzZr&#10;0fyMM85ACkFpUQAh4YmJ8/uX49Z9Ow5yIOrgjpSdyxdgx1Q+u9WZhQs7VorZMW7MGOLG7r733j//&#10;/POV4S/RhumSWI2PPvzIiNdfu3/IkJv+dvPGjRuRTtcrr0RY7LrM2Lt38tdf3fS3vxUpchbNO0Lf&#10;GFp5+cRRgnOogkPcybO/L1m5RqkKXichEQpQtXo1pHP5FV0nfPopnlE6DjYKEwmOGnpr5Dt333vP&#10;BW3bIKmMfRn0ZQTa739vg/wRr73Wtn07Oqbqrf5lZ4HESv71/RfCa5/k8tk+w0YvKhkZUmYum7Uh&#10;deOBrMxD2YcyDu5L3ply5I8jleOdpYO1uvLzD3TR71y1LKFuY8c+KxjeeXu/RQt/q1uvruidxYsW&#10;vfryKzJQ9OnZ8+xzmhJgIIF9eIVpmVg29M0zzzyTAICzmzZlfH70oYfVwDJxUmDZpVev3lEhXxWy&#10;KmVN2AU2rnFCn4ZdSN5njJWTc/OeclOjfw6gb5gIEpwVybKR/+piHxL1/NuHgbMNLVeREqXb3/tM&#10;sVJl9HQU/IwRjxw9dMAO3+S6O5NaXuBBL7Nw9BmDIDAy1ZNTnlGNsidLLl6hHUmRAy7ZeBWGdg8V&#10;TyyATT9+Zke+TI2Gbe982JEoNDTOBjkTGUWOHwXq2I6OVwz7Uq0kyiscjQ89/DAzVyYhPESlVaDO&#10;V372nqPgLh4yvHDRovorPBaz33rKUXCtbnukQp3APgvHS0mKt+qoa3kgREA52yWFXXgExSu2RIXM&#10;PGufUcE27EJ+WjJzb6Z15ymlNaxe/+xagVmcfm2a+/PaKWPsdcVVqNZuwOMW0SswOiCeXfZnEOko&#10;2w/VweV63xR4xklsU+IC9WPQ8cSoONZcOjmXAJeweXj9Rd3DzpuPGWNrqSgfGWGq9uAA24vsK3en&#10;M8fW//ilI/kouY2zApu99St15RJH5QfMuu8+9c9GdToAq2CWhUu2JrJuyLgpxy2wgBjGkkpIeKLU&#10;Ha0Wat+fsgbFGZQutUoiG9k440BlQUOwS06Ctdl5J6t+HmupQetSAG4MR0BbFs21lJOycLab4FZ9&#10;HYjs9nOpqCxWolmE1UMEZNUSnzGOJR5Y/YzWsoIbepADURa0IdyNzM2/fOtGo6xtyZIflrRaKEFM&#10;rKGolTKeleDwRqilzzBWZi2YsELkaLUAtmbrusNHAnsa9GvTDOc+m7V7Gy3fQ5T4S2ifH3/0cVBx&#10;czwHkA8MGaJPG/J3901QnAsogDFcCqjg8hRtZvzRmvLmKd65UxmeCXSzW9np645HRiuAtFUnThuy&#10;5EJhBA0mQPMRqoJuULE+FMKKg16UbDpjRzcuMXwYQOIh03WGH06EhGfGVq+vZe1N2eBRI2HXxB6x&#10;n4uFSEK1BFKindTFtzuggr+33HoLRgxhW3hlItR2LIS5aegA9zZZt9bv2RA4jMDxQtt5B7tgZSI1&#10;CY9jGVcKsWzukwit5M2bZa8p03r8Lnq0hB+p2WFADPTc8tqJshOu8lIOTHMsio2y2GE4z9gtgf/v&#10;wQceEDCMZiLGIJlX/EK+nGyJ+cJhkhxSQDprhQdd9gP6Jzl9f7oHcPr+k4Jd6GUeovdo+VSRkJDA&#10;ci2E2CcDlqO/NqzfQJMW2xQrTYIXc+McDf9cOlUhjeFyqkrW0JVbHMhMP76zyU2lRbdiRkyOEeJr&#10;WQz3bkt1zNqpVCbuWJmsR+AhI+Pnnzks5UQFvcP7HFz0quQDqV6hx4Rdc6IxC0Cj33/fbZMCUV/o&#10;RQpk8srqGNqOo3fw0kfikzh6JDsk2j3M04AmPrDPozSsLqTGByuwI4mjcoQUL4U4yZAsixEAcw7k&#10;C9oHZUNCWIC9EfMmyl6dB9Oww7C9iIHjACc2B6DX0dYQ/tobb/ANV17xKxRBqQTIs4FAskT+kdeD&#10;2Yc8mJN1JCsM1rll6dW7F6/khE/9shz9lZl5YjmYc7bwsWHZyEHh5oouB4zhEl1+mtJOfQ6USvAK&#10;zGTJPLosYOjn4ASUtzpOkEV3y6mAy5YGPnimjAAe8JDJZrToIqNKK17WesaSXlF87UYe9cqJxmCo&#10;bwpTu98lI1GQun8CSM44ZjrLRrywKSpStFhIeQnW8YAvXrqsx1u8REiNEyyxI2XhgNMKiEPSs2zZ&#10;soW/TOglETCAxWEWxkrfCdF4IuZNlJ0i/0wDf7S1HBCqyhGPGkcliVXNWeGRmJ46eiWLlfDgf5kS&#10;x3dd+JF4keJeRUnPQi7MBNTCnxRrOfqLIypkxZZXWGb0WbY3+kHAwITKAWO4hMoxA3+6c4A4Po/R&#10;P6F+UwuDEhsHPk/heBHMW66q9WjBoPxlgxuzWH3DMM55OdyPRBVSgJOG46SDlqYAQsKzXHWv73uX&#10;SgzhOyYYJZhi/3z/fRUnwSKXOsZJkQmeaIVSpRw2bfmksWRCoodZaSc/vu6J86wtVVCOJQQ7KA7t&#10;L7wQ/NUHtlBvb77+umzpR5dbTmoII7ZaIQBiHmTaifKwMikHprmRxnIYmLMixgfUcI+BM+tHhKbq&#10;8LoxzXIYNpksh0VimUn5CWWOG3yO6MWXDthJ6qKX0dfcCClfyzXOWmUhhBybDNvFQ9BipXGORlTi&#10;sYK2qNMZwBgup7P0De1hcqDRlc4bGhkc61zY2VJolSYt3BRJ/cuP7/kPCQ8CBdATRAyw44abwz9Y&#10;RiEWhEL4Lin7cVAMnCGBcXN7zmcsfV4h4Yl2rH2p8wpIQqNWHjtuHJF5dtgwIjwgRDBHPWCHyboY&#10;ZBLRSToxLmiOCL+Q0viqGx0RQHCQb3lVp10nN23nVo4HqyFH1u8gEHIIQoLkV159lSx82QPaRZpR&#10;OQ7Rg0yIsiCZdG7b8MgUK4QVMYwVjqIO2szgAIuYSJaWSYRTUHhvgOoVq5Yv5ez2Y1dREduGfLe+&#10;Rt+0i95eNWaZ+tyKems5JEwcM1DHWWIS4MJSUYRkmuyOHDDboU/ThiEzPHvEO+l00agcj0i/JQTP&#10;YzGbgFOmoQxnTL+Yo0Ql/B78+UY0gf1RIcGjcXCOy9Jxb+oAjP4X3Pmo4wyVCMdFY9+xhEyi+Btc&#10;EjifxuOCh+w9sZ+zB7v4zjaeefLyES4+GylzdNL5pkHazp1E7zpm9K4uVDw5GGPLnEAIrbrwRZ13&#10;y31um0sRNDvUmJjapcMrNmXYMZcsuOj58oNjxlA7sH1bLKrr3JvudhPc/PdetMR1Nr9xUOXGzT3q&#10;FS+RY0AS/gmicekXiZUq8b0t5Vkhi5JmVA4diLx9Nrjy5tptXT+kp2/5VqwgGJkwan03vmyA/+zL&#10;yfr6EfGqRH6wDzzCLs85LrOWz7HsLapTuVaLeifWqnQx2Tfwe4heMkLmgIEDBU8619tvvcWD7FTA&#10;ecbn4VT5PXv1EhoR8aSJEzkQNRBtfcUVuGoU7WY7dKi91Q3eGC7R4mTMlUM3IyCOT/A4up3VuGMB&#10;Y3bL/InV2cjpcRza9GLVQQgyNVEfxYikav2kkEjK8ZOX7RupyxezKYM1crzNzNvcFDalsRdp98bV&#10;aauXHT18qHSVGlXPaeXhhPdTey7BhIon+zV2rV1BNG5c+Qrla9bz1ui5hHOoxSI4dgWDs0/BsV12&#10;7+a1CI5VlSpNW4a6SBQqetGCD7V9KjJpnzVat/cm07F3S+8jilzisRhb2GTEVzWIO5bVE7XjBkea&#10;HOcTObHsi/7/9s4ETIoi6fvft4DAwHDjcDPcDIocisihgHIsHiuiggisrIoIroqi8iq4uivooqKo&#10;uyCiLi4gAoooCHLIoSByCqLcx3A7nMLADAh+7/drApOyqrq6erpnuseJevrppzorMjLin1dkZFQ2&#10;bxgRq1uyaAmOnitd7MI/qjqZm+ZK1SelNChbI8Wjz0Yum42DGi7RglQNl2ghGXd8vKdwnvICKisJ&#10;G1kUPS7+DRdW1bzKG5VRLCcNl7irchVIEcgpBIL1bvlbErYyeWuMCGtileTgSjm6jc2yxMRihGSx&#10;uUnkck4JGy/lqOESrZqIlyP/o6XP75sPszL/Hcg0P+6//8XhbLwpDAoXX3yxeFbwOfN/Bpz1PmP6&#10;DN5iKF+hAq8icl416WSc9vG0adM+5g8Ndu/eTfBmkSJFrGSbNm7kNVR2GeQVAIyY6Z9+ytn86enp&#10;nBQip+ZTVmJioqT/v//9X47wl6UVh82/+847q1at4rhrOWZ+/vz5fHOiubVSoCTj7M8/p5TJH3zQ&#10;4Y9/RDY8Q7zQSy7DZ/PmLeUrlJc/ZMD1itgLFsznqRSHInNmz+YvGvDcIhschGblypX8jcCMT6dz&#10;bLyogFP6ow8/XPfdOsPN4ABDfPX8xNkDUMgjfwehlyKgCIREgH7Hssf6ByyShT5Vj38vyV/g4MED&#10;3A988knZKGEA4T8oGGH4nxPeD2f/Jbr/oBJS4Hgg0CP/o1UL6nGJFpI5wQejgQB+Sgqc4zRzJu+M&#10;yPYKey7G78pKiJf0+FcgToMgek6WPmzKyqnwELMTxKhBIAj3xIIQJSdk8vYpNMSg8VqmuC5464F3&#10;WOStWjn0mrKIkWTBBD1haGY5xfTPu3/YVay3RBjXNZn8U6PIz0sWcp49ehHmxv4UdgYnfCCAxDTI&#10;IxZqvFxaqVJlAhu5gUxkEzH4l6Irmzblp2gqf0IpAsjR+HBDNlZ+cto6UiE2enEGA/8xTkY5HwyL&#10;TQ/Zy4lGrGUoAnkVgWzyuORFOP9Xr9yDwLSPP65RNRn/BCJzthX3Ijs3WAxyP+ippyDjhhRbeptW&#10;rdiRMWRQupJJdv7c7o4uXYRYWM2dO1fK4pGkQzBq5ChuDFshEA7wlyLMJTKLqGhhKKEXSjj369vX&#10;mgWZpQguo77Iwx9JSrqIyh++cI+QUoTwp0ShsUplI5aMeikCioAikK0I3HrbLXyytYg8wlxfh859&#10;1qqEuMu5VWGd5oSvxf+7NvgqzOlJEn1y8tdTujlnSVDDaSFx9fK3qHg4zH++u8J6IC1wfLhwc32h&#10;gAh83D+8LyrnZLNXhVfmurbnN5vkv12wM4Q5jha5Yc+r8eWXy06ZHH5vyDBu5E/ncc+YQ9vQS4j5&#10;223Sec82Wn+Fk/sak0qsCCgCikBuQ0ANl9xWY0HklUPfY3VxtPygJ5+sUKECu1SRyMB2OLs8rVq3&#10;4W1Jc1SXH4bYLq5kPXr2ZD+ID6fLsy9mo8GM+3DqVP6wkL0wjl7wU5DSKAKKgCKgCMQWATVcYot/&#10;1EqXQyBwUdiOFc9yAbhnCA2RlxjFryN/quJ6zZg+nbAVjmzBZeJRonAQbq6+IqJu8cfc3/d+TqnC&#10;lyNeGXaIhCfndPEtUbfWi8PUOTVBRDVHwsuf9p08eRKGcrmeHUIiYvNHcQTBZBkrzagIKAKKgCKQ&#10;Ywio4ZJjUGdjQbxkyLlPbIj07H7hYFCZ4P82eLD39g0zOtslTjK8FMzl+CHI3qd3b0JfPc7FYqeG&#10;rSW2irz9FpyTRllwg6dE19pA4bRsHrFxE3hhMiXwfzdE7xJvy4mipBOlSyCt0/7gn9tEVMjIKDwx&#10;eoAFzw1S4bxh+8n538KcbCbpnDcvf+mnlyKgCCgCikCcI6CvQ8d5Bf1GPN71vbrVNfJKMC88101J&#10;4UO4BrEaNWvV/MMf8t17X+9rWrWqmpyM1UJ6qzZt8uXLX6dOHd5aLJyQQGyKvKjMZf3J29FWMsnO&#10;1fGGG3hxCbY339LpwQcflIw8JdZErCLDBAGSq1X7cf/+62+8sWu3buc5lClTrVo1UyL0vADZtl27&#10;KlWqwPPpZ59p1ry5UKIXr3ZDWblKlZ9Pn+YFny5du3bo0AF6JG/StCnvKpctW/bBhx9u1z5woL5V&#10;d37CQTRt2LABbwYZWOTNzJMnAv8iS7lt2rSBITJLoSTyDjlvXBPJ26p1615/+UskfxCTm5qRyqoI&#10;KAKxQCCbXoeOhSoxLlNfh45xBWjxioAioAgoAnkBAX0dOlq1rFtF0UJS+SgCioAioAgoAopAtiOg&#10;hku2Q6wFKAKKgCKgCCgCikC0EFDDJVpIKh9FQBFQBBQBRUARyHYEQsS4/HT652wXQQtQBBQBRUAR&#10;UAR+7wjc2+MOVHx7/Pk3H39n6pYoeFGOaaQelxyDWgtSBBQBRUARUAQUgUgRUMMlUgQ1vyKgCCgC&#10;ioAioAjkGAJquOQY1FqQIqAIKAKKgCKgCESKgMa4RIqg5lcEFAFFQBFQBEIikE0xLvOWzQxWdNum&#10;14eUKloEORnjooZLtGpN+eRFBDIOHzi+JzV/wUKJFasWTCzuDcHp9GMZh9JOH/+pSNlyiRWq+MFr&#10;/769mRmB/2Diql6zpjULjzZv3HTy5Im6KfWsj05lZu7bu/fwoUOVqlQuXyHwZ0/hXqd+PnUyIz3z&#10;dGZiQmLxxJLe2X/5+TRKHd+9I+Hi8sUqVs13UUEPemSbP29ularJl152mZBt37oVUZtcdRX3i+bP&#10;Rx2T/dq27Qqd+xNvcm3dsmXXzlTurXnD1ctKfyz9aHpGeuGChYskJBa6qFDIikvfu/Ps6VPFKiUn&#10;lL44ZLnff/cd0hr5oZ85/dNmLa8uWbIktfbtqlWGg1UdU6FFihS9rFEjiEMWFJLgRMaJn9KP5M+f&#10;v0RiqZBqUu8Qnz171k+9hyw6xwhogcf37sw4sL9Y5Wp+ulX6vl3SXBPKJIXss9HVQg2XaOGZhwyX&#10;o0ePglpUhoNooR91Puh4KjMja9OVCDP0mb/dfOttZl6JuoQeDF8fPrxZixbMYZFrkQNiY7Js+3T8&#10;id2bTVmlG7Ss0fF215mbsXXP0gX7Fk0zxIXKVKjT9f6Qs+AVdeqYLBWrVHnzvbFSuVMmThz27LPm&#10;UZsOHZ4bNoxpHuh6demyd9cueTR81KhW117rH42zv5xN3bstdX/gDzvlKlwwoUHtK4omFHVlcmjj&#10;dztmjDubkW6eVunQrWLTVsFKxEzpcsMNPJ382WdibDGjf7ty5aC//4N7lG3YpEm1GoF/tOC6u08f&#10;lGU6f/qJgWtWrEBHEhfMnv3n++57yPFH3/51ZC5fu3ll5ukMk6XSxVVqVqmbP19+JxMqbtusKYfX&#10;LjaPilauXeNPPbwrjk708QeTbrmjq+glqonK6Pu3xx7nkaTXrptye7du3EiFUsVXNm+2/Oul1OD0&#10;BfMj6chONZNKlU+pXt9VTep9666New6cbzYh6x0CqnLjhvWihc2a5NGqFSs2b9yAdpc3aWKsagzQ&#10;ZUuXim3a6PLLI9HOVMfeZYt2zZ5ofuZPSKx5a++S1Wq7tgdMlq3Txp46tM88rdCqU9VWf/RoPMaY&#10;ti0PyCLmKTdly14slrdc9MGli79ywkJKrjZc0Ou7b7+l+oItHnLS4xJejAsdko+pITqhDKxMOff2&#10;6GHSH3/oIfl5c7t2EMgHGhouiZLLfIShNZG8tAkSrWTm3saWdPqJIZZ7w9B63+6qq/j85623SIRM&#10;Mkq5IphcFE0Kw6WrnIYs5jfIjC42GOkwjPKRyMaAK73R9QIxkImEv0fe/7711sGDByCIXItsktCw&#10;xXfyw39eslotPGJ6Wz/h365FM/lZrRZoGD3X/vtvWD8hRf3Hyy+t3LSJaQ/KKRMDL1Ku+OYbJrkH&#10;Bgwgnc+o995jOp84bpxAJ3OeZOG/n0LytxJs2L7OarXwiAn+m3VfMgs6+WC1bJk80mq1QMMssnPR&#10;5yELnTjuv640nbt2YbKXDxMbjfz+u3qVLFUKjV56/XU+c7/5pkGjRiH5ByNAkVUbllqtFiiZsNdt&#10;We2ahQq1Wi3QUOlUPQ0gpAx0JTMc2YiNjmK1MNRQoVT0J3Pn8ohvLM5ChQN/b561y1XNtCP7V29Y&#10;5soQ9a1Wi9Q7QLnWu3CgBke//gZG59RJk3vdfjuGl6Qz02Obzj7XXPnmnhR59PTAga+88IJkeXf0&#10;6KypZs1FS7NaLTyiNW4c98rRHReWE4Yeq+X7t5+3Wi08oldunz3VQ5IBffsumDsPTVGEiUlWvzRL&#10;pi20Jp1P37vu4qdMItQ4swwKkguCYA0gct1zmAPDPnpRfbbqzmExTHHhGS7BpGShzJKI8VRqjmG0&#10;z1//yj1jKMMrAyh9kmlJxla5SJRPv/6PWBPHTpnCz0HnVlRCQB/mnm/5aWUrKRUqXvCHOwdEmhpL&#10;HMRgyIN50cREqxYY/vxct3atSUQLln1mNeAqZ6xqy1ru8H++8O/hwwUWpi5WabQt3NHPvTgs+8QD&#10;3qiMON4SZrcWkeOzc/5024QtPJnVfly73MafCd42+RmC1HnTfArDspW1ePrxwHw5+f33aaJ/ue8+&#10;yctqj+ZNYzCsSpYsxT1ZbLtL3mX9eHgfc5srzZZd59fW5imuCHwtrsRMBt7zOtJ6TOpWnizQGUP6&#10;PvSQ6Y94TMPyIdkkRJEzZ884xT587BDqOyvOZpsKAVVPA/AGE58KdRTMPrPlZfKD/vqb/mTS0TES&#10;33AwNY+fPOZUkxTUd6oDUM56t5LRIDGz3h4/Hh8YhhczN4MtMz31SyKP/jVmDH4yZjseybwwdPhw&#10;yYI7zWfLD0aG0W9bDBjKrR+NcebC1+LKKm3ZHGwaD2FofpiSmM7McfM+DxjlTGQ0YEZd0vlww0/2&#10;QHk045NPqHcUxMhmZC557s9cfwcXZrToa6o7tkpFx3Bh6KS2Rv/rX+cq9b/cG9dZUvlyjJ70SXrm&#10;ki+/NNrKqMrH2j/5ySZFz7vvZrSioQuBrBr5tg7EwlY+shHORbnOAfHo4cM8Qh4KgrkscczFgEiu&#10;pUuWmJRpU6Z0OOfNlstVztjWGaVjo6Ap5iADHBKiHU0KXfbu3i076IwguLjwHrEUEPcV36TwU+xL&#10;frLOE0WE2KYUiayioMevI+sGMu7Ytp0PGSUFMYSGb+OJ4SnMyQVPFlvi4pILMhHGXKYUkUouowXj&#10;HRzgDyvDXxQR7Yz8IgaJZokDPUWTaNSEm5FWVk6ilMBiE8yGhu1nMEMEsoOrL2wrSK4jm36jspXV&#10;sU2r/ThdyILwIC95mQDwTFj5yNYeKuPQ5qbrn/5kxdNbF/P04JG0YJRMbLbFN1EFrqabcDi0fo1H&#10;oTTaYJM6y3HqS5oQHBYvWsjMJ+YXNSsfU3c+9TJkxHC4ztBC4FT/wNoLbdLZADDdvAVg8UYndW1X&#10;oiMfdEEjhrv2HQNBlPJTPlY3cFiasu/joeb+g3ts3LzrHdBCll6zdq1zwh+RLZJOt98uWRiZmfXR&#10;jpVh4YTAKG2aZeT7REe3bggmGC3TZovQy2y+Fmveg+tWhtQRgdnIY/8LShYJGGdmjuOGVoor4nxD&#10;SkuTurPNbiGLiGcCZk+jr1R3bK+wDZefjv5kulba/h+N9PRScbrQV8XdYrvIaHavPXSmytd++y1N&#10;JKzFojBkNGdAfN6y908i7Q1uuHCCDeWYKXiDpKkxytDNWra6Jra1ErJ0sU6I/rNRssvD0E8i5hpK&#10;4avkPjMjA925Z4eyQsVKODapQUNpiG2sRo54lV7a6Ior1n///SN9+4JP6o4dB9PS+FBERkYGgyxu&#10;fOMT5l5mFJ5SFkYq7oGEhAQ6udgcPGVZhjDWgh5/8MHx776bWKz4kKefNulGNhbcLNeQITExUVRm&#10;rId5+QoVYM6N1CmiLl+6FDIS8eiKGMizb+8eEmVAQX6mc8jYd6dEyiURHEADbiTOnxtYMPm5vNdn&#10;zjX62VO/UdlWxC+nQ0wM4Im99dfevelf3Xr+2VXC0mXKnKvoTHoNbsWySUnohWc7rH29s7+4uCJM&#10;cb/89imxkB5YnfxxtzeSMqk7HekYZ+jLZ8MPPwiHEiVLyA01Kx+q2081OWlOn76wI+x86lQfs9Kj&#10;IEKSvcWQ5dyIF190komOfIhIk6dSg0z8Rk0irLOmJoHVHhmdNo13vXuDJgWhCGMsU/vWzVuYwm1r&#10;UQjYAuYpa1dGAxYJUdlAOZa6yUNNwm+tT7172amfXBxONuZ0JaYGxhMZXmxRgG3ataV7kn5tu3aQ&#10;ZW3lkLXqzvlc7IJJwFkMr7ANF1Z7pmtZvdPSSxkure4WFMO4kfU3GVu2am1UNcEZ1kZMYsuGDb/4&#10;/PPBzz3nDQq7P8LBGnNDFmM/mexY/fgn+YlsBN84h3IxU2S3yLZPRIqrnDGsMGvRxtUUTB42knDM&#10;UjVzZs2kqeHlY3+BLTM/RiFbeOTFVSZrJrotziqcw+Ifpt/imqJcvMHiE4ZG1ltctAFJr9+gAT8X&#10;Lwp42jCb+JYUuWgY9PZXR40i1pKwU6cWmLC1U1KwzxBbHOk41Qc++yySwByN0IvEAf/zJI5ZCLjh&#10;J0Ybg8s5A7Q1iWhNomw6EMFKXkqkXBre7nNBrDd16kSi/3jPfAW9XkIhPDC6zYO5HAsS8xpndbCK&#10;E0Vkz5SqQWWqHh0/nxHYWs35K3+hEPEZMlw4d1JMjIvxjBo/kwT0mLDWHFCKAGqPUrybgWR0DkeS&#10;bo3jEVeE1CDN1cQzZVnBfPkKeOQl2jrLnG0Z2Z4OxPK3a4cNKiM2KwdjaDpLQWucxORiBjExMVkW&#10;xruN5St03g2fZf4m46jXX0dNFkIYZ4xF4sIXQ9N50fvMyoHpJsvewcjFziYOuMCZypkUsom/T7Zh&#10;Gy7MFibsA3eZtRhxtNjcLRg3rIxZ+9pecDBMrGMxu2hslzLBBGsWpjgJnbGFyPDUumlliGlMkz79&#10;lD6zecMGZ+yqdbfItk8EB1c5fYIbczITDcDIcmWzZiKP/71z3Bv0WPqtqyLUKUaMGE98M6OIs4eL&#10;6cekU6HilZkxbRr3VmNLooClAbi6jlm+0ElwNsh2D14T2gZeEwkSP3rkiBFMdpSI+zE6Ig/b7Wbz&#10;6EBaYH0MAWQyX/IWLi+dMhixPMKw9u+Z540SD+ukeK0LlpkIU6ScV4Qs72R6txOZy5nIDURM+Sx6&#10;rLnESWnFlqqnj4hx6fNKTPB6nZvXhq18StZM8WBbrOpv3tx2pRSni2kzrjSYniZ4zqcWHmQ2FWyU&#10;zhm9SMXz7zc5edIAQr4RRi7X4cjGTfYgxr37buQKCgdeASuQP6jtUqyIvZa9TRkP0HDs4YF49Mkn&#10;WQvJPgIOXWNoijDSrXjBW35imTEUm5iYSFQuluz+6pDw5MV1K/OLPI8q8O6hohdqIjldTMJWxNA0&#10;18kTJ829WTkwdpm1XCSaxk9elv0Sw+Rn6ZutYodtuGBQm7APAk2swom1YbM55J0IRl5bSJ1hYuVA&#10;67+vXz8/QW0mxsU5Dfd/4gkGO7PjKPxpcPQZXC88cjpdZLdINptt+0SucmZrlfhhLgNBWB7XIkWL&#10;2DjbhhjbUzZTwJCB6cZOnfyIJN3bSSmB2zhX6Mbc+2QlZAwBjIktrrkGB5uJlUEedkz4PPXssxLi&#10;hzkiO0q8yG340+Swg3HzmM0jpgfJyAd7FN8PjYfBqM9DDzLBYx75l63C1TcGIy7fxL7PWK7xeZPR&#10;mSWpaXvvg09cS8GUAUzWrMwKEgZE60ULiE34Eens1uGv8q9UpXJVgxHzwrDtNVqm7eJ1GrvSM6mX&#10;rH7hLe5gPGVSx3axEuCgNTvRpEs0DNuI6MjilZ7r3Wi9lUWF5PI1gtEkV7QbW86qNHk9GoCNvzhd&#10;bIm2eB3cFdCwQJcIHvOasf+6s1FWLR/U5KpSLtlGXCnJnmIIgMv19WkhYOufQdUaR8xoKb5Mw0FC&#10;VmvXvdAeGIpvvPlmErO8FybMy6Y0CLZ+oGXazErOa6GvBcPTo4eSBe8CHl/UlIUBgwYjCUsFKzfW&#10;Zlhj1hTorWu5LFdl/GSk9+F2QinzWkAMZQvbcMluWWkcjMsMZ1l2sjHbAa4ZLKxv8LLIdpVfjBWC&#10;Y6zvE2W3ppHwb9qsGZ0HX4jxE8jIHownfjKzRseGEEogkuzmfUWTHQKeEiXNwBTM+0VgCl5f4SDB&#10;wq5mOPOTxBhBZt0nCgw9ZQNneUn0oqsRhhgME/QTbHwcPLQNGTKMNSlOiEBY1UMPnhP1fAy/zOgU&#10;zY4VBFs3bbo4KQmrFLe8NaYb/mLRspxyzi4eFcRRJZzn4STgWAjnEVgMmrW69HMSw6Fqmwth4P7b&#10;A/5qACFgiH1VPrIGkoAnggww1GTLlWiksDy6HFB2ac2GTjFYo3PMiTM9uW0n58xBSt07H/RpjbHG&#10;sLHFQWt2oqVJvPTGGzj20JG3MW9qcy3VhIXqHysbZXLFGk6XAzQo7jyfjarkWBrXivM4q8ZGTyN0&#10;bm/Z4nWgwcjGH0w6amKmMxBF8kJKpaSqrmrWTb7UeaIgHppg9Q5cYUEt4xIhcey5U33m0Br6KfcS&#10;5s+HgQsy69ugYZUixLQxjmxxZqQF1rj+/DE51qf0Ndc+S98M9xg6RhuWCsaYRi+apVhj5qUB1GR4&#10;dF3LZUHZWGVBR9nUk4hGblgcRhg8HhVdwjuATgJKzKlK0i5xqIgo6EPHM0dLkcIAisfF+pofia5H&#10;MFlZgRG9V0IZgrF1HlRlLUskIS+yAT2jHjM3viJzKpRTVCIZaXym0GByRgX0qDBhaCBqB1YMi+bE&#10;KiJY5TgvUdBUDcYBG3aB0bBUKRbrREuQkWmAFG6Y4ZjUhdjAyNY1rmA2Uwg54qlUK12UqYUSeQmi&#10;Zp06nHUGDQsvBOAGKyEQUfTM35harJUuuZhcnaY6pVAoMxNVw1gm9oc5lAxWxHSzyUU4bY+776Y9&#10;SDuhNutdeilRw8TEQU/docJ1f/yjERWejJ683YC5A2fcNoULFWJLiHQS09PToRw7eTKOXLxK+NtY&#10;MIEMgTJhVQ2HXx1YtUjeVmBMrNT6xmAnX0FASO/urz6XeE/GVpbs5RpdFXKCpx6ZwFx39zAWDx+S&#10;7fbS1o02id3hLTwmhpBRUE59OVJ2+94tEsLJJkLFiyszCwZbdvNmzc4Fnx1et1TeMOIIvkot23vv&#10;oSCe1cAVG1oU5F4CCOSykslxwLbEsCrLEPPSzZ60nXsP7JbTXEoXL1O9Yi2PA4I5FGTPwhkSc03U&#10;y8WXtwpptViVknKtWlttdFvlCgLBajxcfVP3bTNqYsfUqFS7dImywZiEVe8wYYYmosXMBYatOTBQ&#10;UhhRiSGjHVrT6ek4mayHtoWrmqHndaE9i+fIW350q9L1m2GgBOtWNNcfv/1m31czTHPFqeZ92K45&#10;OdAqIa3xrZEjsV1MogmEkLMHJV1C/ax9MNcdQIc6jO28sioDrxUE58yekwfQhWe4yEscpsHRA/Fq&#10;mimKTsdMICdbi4Zo6zxwUHIZCOTYQRsrrA1eSJGCnGxtR4NLibayhEZkQ2zC2tmGTK5WLRhPOQbR&#10;KryrnFnuYNmRUZCBszkjHJnlAHV5ZLUeUFDe1DBnWZICMmy6cZgNFo8QA6McaikcAA166kuQocfi&#10;+yURH5WcakpGfuLPYLElXRSeOGmss47YWMSsOQ/ktZaC5JLRaCFVwPYBiYa/KHIiPR3JRSphAhmK&#10;m0qkAZAdGtMCRXjISJRWZzKSYj2gPTsqS3kqAnkKAQYHZ+Ca06SLc0wYQ4ItAIIZ0+ZvOpwe6Fxn&#10;uJj6Msqa+nLCEr+GS5w3MhUvPhHA40IQCWZ7fIqnUikCioAikAMI5DrDJSxM1HAJCy4ljncE2A9i&#10;gyYeQrriHSmVTxFQBH6/CGST4RIngOWk4RJ3wblxUgcqRhQRwNeiVksU8VRWioAioAjkZQTUcMnL&#10;ta+6KwKKgCKgCCgCuQwBNVxyWYWpuIqAIqAIKAKKQF5GIMRbRXkZGtVdEVAEFAFFQBGIFgK33d4Z&#10;Vh9OmRothnmWj3pc8mzVq+KKgCKgCCgCikDuQ0ANl9xXZyqxIqAIKAKKgCKQZxHQraI8W/WquCKg&#10;CCgCikDOIZBNW0UffjktKjrcdk2nqPDJASZquOQAyFrE7xaBU+nHMo//hHqJZcrlL1jQW8+zp0+n&#10;H/oRmgIFCxUN9afQwmrv3r0ZGYGT6TlIumLFwB8zmevIkSOHzx2Q73y0ZcsW13Sf1RCunCcOpZ05&#10;fQrmJSsG/ZtGU7TIxlWpUqXC545aNpdRtnTp0qVKlTLpmZmZe/bscc3iUyMnmZE5rIorXKxEIc//&#10;GZaCTNVwX6tWLWvpRhfnI6O+LUuWdSRjWO3z1KlT+3/cT67ChQqXK/ebP9B1yoCO6CJtEsn5Nu1T&#10;dBQtDBS2Oo1EKWfew8cDfxRfIF+BYkV+8x/mrqUcP5l+5pczPCqWUKxA/vzekpjm6pQ/WAc0VezM&#10;ktsNF1HN2XOjW5t+uOUmw4WGIsOZufGjoR8aG0OqJ9B7fx1VabvxUFV+FMkCDcoaTc29q8pLly7d&#10;vm1b9x49slCKnywvvfhiy6uvbtasmXVM9JMxJjRMCes+mXBow0pTevXrbq3Rom0w82X71wu2L/zk&#10;zMnjQl8m5YqUP94a0nypmVzN8O9wfceXhw+Xypo3b9799174h7k+/fr+9cEHeUQN3t2r14plyyXX&#10;m2+Padu2bVj4IOemz8aZLN5yHty2af30CRkHA1ZFYOYoUuySTr3K12sYrETaVcd2F/6k9+9DnpPm&#10;hNj/euON0SNHmYzDR7x687m/JSdLn969d6Xu5L5KctVxEybYDLiwtIMYk2XD5x/ZKq7Ote7/dokN&#10;t23JvO1ffGQFpP7N3b3Nl8GDBn0w4X3J0qTplS+/8orIbNWFn1ToU4MGySMav1Gf2nzc8feT4aoZ&#10;bvuc9sm08eP/a0pp0bxlt253epgv6AjxkKFD+ZZW+tEn0xo0aMDNJ9OmDej/yNbUHdxboeCnqdZw&#10;1QlGv31f6vepP/x8NmCIcBUtVKRJ3ctLF7tg9VozYrKs3Lz6SPr5P6O9KH+BOpVr16n8G8vSVpC1&#10;A97R/c5BgwdLB5wwfvwzg582xKYlY8P17N5dmivXoiWLrc01VxsuVpWj0kQjaQNxHeNCo6EPoB7j&#10;2gP9+t3WORCSTcqVjS8Xna9t3Roa+UCwdu1aSaf1kMJTpkBJIZdpgtZcJDKaPNC3b7euF/5QlKGf&#10;YZRC6XUQMNTWT6lnmEcCd7zlBRZUE6lQkHtmRJld1qxZY5P2QFrahg0bIQ69OQAAVZNJREFUsk8F&#10;Bm6KgP9XX3752KOPZl9BkXNmPlv8xjPWyQ+eTG/L33vNlfkPM6dgDRirBRryfvPWC0yiIYVhrGcO&#10;GDfx/dkzZ7039j3osSCxWh4bOHD56lXrNqzHOgE6eTRn9mysFoZLyVK1amgXiFUAkdOa4iEnVsvK&#10;d4cZq4VcKLhmwuuYPt5KzZo7B7GRn6EfXSBGeFRAEdJRikfMfLLYfW/s2KSkJNL5PPXrtBEStGAE&#10;AA7szopDcdcs3055x2q1SMVR9ZgF3jIwyVEFaJqWliaNmbGIbpVSr57UDtP8hvXr5RGaivqSBfM9&#10;ywpKRsRzbZ+o48r5/feZlS5YLdAs+Xrx4KcH/fTTT/4l+efzz7sSGyikWinJP09vyk27t6zeusZY&#10;LRCfOHVywZovxQFju7BaFq790lgtPCXjuh0/fLvl/KwRrCxqhHqhdjBGlyxZAhnDJk2Xjmmaq2nJ&#10;0z+dTnOlDUsHtPkUo6V4zvOhiRqVUZzmanxROS8MJca14WIQYVxj1GaxZcMIw5bOQMOiifDo1ps7&#10;yTgo3nWeTp402QmryUVGPnhTHurfn+FeagIO3He65RbaKC2V8YVWSFUJz9/rxaj6yMMPswRkgY6P&#10;F1gaNmwYK2WvvuYaFqmxKt1PuZu++NRqhZgsx3Zu3L9+jY3D0b07dy2Z5WQLB5b+foqDBkcUE8Ce&#10;Pbu5/2zGDNbx9/e9HwckIyNVxgLo5WHDDCtxTJIlrE2HcOVcO+mCg8SqBaZPyHkdsZGfXJiqtD2E&#10;pyOjCOkIzyOcK9M+/hgC/uatRs2apIum1i0kn9BZyQDcteKoIOwwG0Oq0mbiCAEctn01x0/p4P/w&#10;ubEF4lkzZ/L93JAhsgTHOYEdxiPZZ+EqWzbw181koeL8MPegQTxXNVHH2T43bFg/9WOXdvjTT0f/&#10;8593fUpCg0QXGX5dL/SiWsVaFZd2hFfm6UzMDlcmKzaucqav3b7OauIYgm37d7gaOjYOtD10XLgg&#10;YJS/NmIEnRGPoGmuPBo/LmDxSw81HTDC5hohRFHPXu+SS1CZ/yqOOudwGeYCw4XOwLiGaeLqIi5f&#10;vpx09X+PHEnreX3ECAMBbYuMxulihUZyyUVNkJ28rO2ggQMZST954gQ/a9euTeOjjUY+moRbNzlG&#10;zzjy9ODBFMdOhBTKnGEGF3wweJ5YJ504BwgXkOLZxs7jW26MqBBLojio+PnmqDfNU5jYhjZYkQh/&#10;KA3Z7t27V65YwU9kYHHDUxia8R0O1iJEHmFiyiUReoomUZx2wk3I+DatAm6k8AnLo+ZqiEgpe1Z/&#10;bau4fWvPb9w4K5SJJOQcb3Jt27pV7rGnb7zpJiu3Ro0bCw4ypuAyzMJ6KCw5meZdp0aRat+61U5l&#10;bSlSBUWKFpVInevaXmclaN6iRWpqKinNmzdHX2rWtSOHLMVKANSuhojQ7F3zjY2bsyoNgUcDsDHZ&#10;v/9HjDAS8VYysFhnspSUFNJ37dpFMAQ0rBysvSAs1WzEYbXPxYsXBysLv4tPp8sd3bqx7LEOv648&#10;pZYlYinCa9eBoEzwu9hsEdwtaUcPBCtxV1rA2vC+GD2wzKgy2iFL39Zt2ljpUZ+lNSk33HgjZIwn&#10;WeiAoUSI5XOW9zTREa++yoCJa426DmtRFHXR491w2bx5c89ud2Kn+7Eb7undm0ZjBrjbu3QB61d+&#10;nYyt2DGa0LC4DDFOF8ZHBg440Pggvjgpie/HBgyIfMSMerVFlyEOLbzWOLSMYxNPoEwnzP3sSlSq&#10;VHnG9OlmT5dHEOD3TkwstnrVKkIQxMrBIIC4QoUKx44dw/uFKVCkSBFsR7E5gNG6KywqsP33zttv&#10;Fy9e/PkhQ4xSqTt2rDhnuOD0YnHTpEkTChJTBiuE9mCKEDOIKmZWgEzKlfpipzk9/TiJH0ycyE8k&#10;vKFjx6+//pqhB13YHCSRBgA3UrjYZPGJqvf+jnNqzDhy0IOzxPZ6XEAh1hstkyYtlEWLFrVmkS0h&#10;6oV1PCY+2xPUDlnCWtqGJWd62j4PmY/v3+Xx9It5X6ARVU/3bNGihSslFSczAUEwBBDQ3tggjnCX&#10;wRvqM5knbZIc27XZQwscVB5PsTLRke5D+8fp4kopKzF8Tlgz9D62GOg+7FkbG91ng7SReQvmVMos&#10;SFyLO/rT+YiQkML0f+QRb6eL4RAV7/WBn7y61aFjgeHLXBKNG+zC0AnZXFkMQIO9IgNjsE1Y5inc&#10;818vWUIHxNoOqwOGRDiGBEwNo8eMYZpgwKSWic2KoTAUHe+GiwSs3dXrLj8wmeFbiHnbgiEDc8Rp&#10;/DKa0LD4GLOGnRGGUQYOXC9iJEkTZPRkxGQA+t00QSeSATSuv97VocUjpg18vO+OHYuVbc3LBEk6&#10;ezqsP2QJhV3CTjAzDSF7wDhl8mTZbxL/6urVgVW4dQcKy4a89AdCEZ37gBB/u3o1MQHtO3SgIAnV&#10;xI6RODiKQB42TUgkYo6fEHDDT0YWWRXhhyBx4qRJJGIDkYJLibz/GDJEdgZ37gzMPZ1vvZXEyMMh&#10;/TTRLNAwBWK7YNuxfyfBj87r0KFDJLJwl3b72axZNF1avgS+5PxVoHCCR6Hr1n2HRl263vHh1KnB&#10;ggAgMO2N2mG7lu0wGlhYjrGcV9yUiO2ICmwc0E2k6TovMVDESUbvo6GK0ZmtAV4FEoplEywswXEp&#10;hXS6UDojc+QyEFrrwYQ3jCIvQjhIc23Vuo1E2orw0uNcL6qbDkhzZfKSmJjfwcWIygKV0ZgRnrGd&#10;ZWGE5nWEmMS74UL1Y08QKutHT+vwLfTMeWSXPSDrJQGPfCQqnosBVBZGuF4MJU1QRkzm76kf+Q1H&#10;8CNqXNHIitZp3knKlU2bCj7t2194H4QUMe+MuSPEH0+dKjsvjL+SC/TwcMgj7q0TFZ4V0sXl6Go2&#10;UX0Yjqx1TIw2xgdeEymCt4ENjOKTGPqr24YlLGMoZqjx2ab9GHgPGQJSpD3QWho3bkzzwBMTlmHK&#10;q0C8PhOsBss3bmV7lFAqELsQ7OINW+/GgBeaVopdZXyzDBxz5vwmxmLtmrUoYrYhAJmmi59y8qQP&#10;/Lc0bzl5bdjKqmTV6h6cE8tV9njK0hyNJEYHMpkJ1v/wm3gF1qzJycmGCZQggI7+HWNOAWwqhKym&#10;MnUaBdOCBuD97jdbXejIx7iKMT1Ryrr+kVD3MmXKmFIgHvrCC9bAF//VZygRzKN9Fq9cw8YTT49H&#10;KeXLlfcvw13n3mgTH6frhbONdPYd/PMMRlm2uFe3KlM8YMSbK6Hgb168t/EsWdSrD5rmKmOUfNPj&#10;rExQ2bquowPSXEmRNdvv4JIILRZ+xPqwiGUcjq1q8W64EGJCCBvTqp/dX2lM1l1kMUdYesrWg/dF&#10;5BEE1nFEuNEEmQXZ0QjFILc+x+VAHzM7PpGocUvnzgxefPCj9O3XD1YYH4xlLJQxQcJ9XQIHA4Yj&#10;ax1eRjCxMqYIHCdSBNt5sqNEuUZ45gzWr7gr8KvJ4oBpT2TjI9HHVC5rI1oIE7y4gn1e1VvfHIyy&#10;YsOrbI8qNLgyGHGVFh39nAtiyy4b6iZaSILAxOzmXnbKmCBZKbJC8qkRZN5y2l7zZnZMKOs+/TBr&#10;Vrgk6JTvlIeZgP5FDZo1HHXNyEiAPMR0fJnseUoiA4J/jWyUqADgwbI71a96VetgxJWvaheuGKiD&#10;/MYHhjpsj6I46su2tTBc/NVXfEcY1OkhnlOpZs2bB9Ol8y23FipUyL+m4nQxb+NbM1KJVKVEYUfl&#10;XZvypZOCOV1KJZa0HehSuGDhpJIXB1OkRoXwok1RAUVMB2QHE5V79OwJf1ZQpgOysYK16h+9OKSk&#10;lUqvTE8/H+AYJ0LGu+ECTJh4snr29k1Jr8CVYkOWpScrVHOsgn/caZfW5ZH3usQ/2zikZBxhz5JR&#10;1XgsREhZ4i9ftoxvoPBYSBliIppN1LN5e0ICD6GxvakkUUTi/HfdApDzdeRlBLzuyAkr9o9sRTCL&#10;M21T0cYFjbRcrF9ZHMCc+MekcuVQEAJrUDb8xTkhy1z/VVPl8ubFq9Z10jMvlq1Rx5bOHH/Jrfc5&#10;ieFQ57o/+S/UUGIL0iPYbJaDALjhJ4kQMO2xs0mcBG+2A8t9ffr454+cdW4IDL62K5icl/d4wHVl&#10;z1EuIc/isxWBAUr/atWipWgkHVmaH7M7uqART6l9UTPLF4C7Vhxn8Dg9KKS4Gjpw4MCecGVAHVyb&#10;qCY6og5mpVjebFliXnNMAx8WaZBFOLUjXrD26VSzWnK1Hj3+7FTnsvoNOne+NVw1rYsHycvYi75U&#10;orzD73PfP2S52CKNajZ0kmHNXFE7EKtuu65KudLV0GlatwmsQhZnJejStQsrPfqdnKzBDqaJwsT+&#10;Nh2QLHd27x4W53gjHjVyJLtCSNWseTPGT1Z3eKxxUZNiC0/OYcnj+gA62oQcWCSRlQxtzEP4is3p&#10;RhBglPC2pNgl5hguOYmEVbWMfZggNDJu5Ewkk0uwZuwwx0NZc8nRSUwJgSCDZcuzcJZXDtdlFoqz&#10;HhUlZ5qJmkAk6MmhQ4CAlxv+4gAXeAVMwdNKTJeuX/+yRQsX4BiQ3X0JUaRvyxuw1oueL2yBmmlJ&#10;7A+kwkNGQVQBb8PCDY/IPffeS6yDCGwrgiN8WNwQpoM/k96FMIHG0Ls3URSYO3DGbcNMIP0NMmJ4&#10;UYcACw6MwRoL7F4vXFCqdGleTPOPoRxNtvubufJyDe6HatdcX6Wx3d1iGNrOamNGZBINOcFTKQQO&#10;u+6jmRgdQrusEf6YgOzB8bYOG2FZWLiHJSfv6WycM23/6kWiJqfV1Wxzg8ceCh2Z/ovx4ZyY5VBO&#10;NowwZ6tUqWI9hpUjhYhgJR3DN8IZHSGpON5mN+/dUHH1buruNDdNxfH+8OY5U+W4Ggw1nBkexwxK&#10;LrHCXQOSAn6jXbtQB/+u9VhL0iX8/IomTSI8YU9kcLbP2u07e5wNyEvR77z7TuqvnRpfC1aLh7uF&#10;5keMrehoa6U8Yh9W9sjMccDcZ8cxnrw9tHbbOnM6S+WyFS+rfmkwQ+TM2bPf7/iB958FIk6ra1jz&#10;snKlvHbKUI348Wg111x3AJ14laQqqVa6J6HcvBnAiRVZGFv8j64hKePacGGWonvLoCwdG7wIvQQ+&#10;mRFpVfLSsm2wYyXNnGQFV3aa5BRRk0vQMWS2XIykhFZt3bKVd6eNGCEBzV0EgqoJHgQZ3gOimYK8&#10;gYVEAkSq16jBJpqMRwKUyWUlZsj+ft06QMDDYTq8GI7mYE0rRDKT0RmIpIE5RVDdZuAT8XgFrEHD&#10;BiZWQCZmslCEzM0iD2QsC3gkkss5v/QxU3emLBKJiGTMNRlr1qrpOjz5qU0m7/wXFQppghhWvJQU&#10;8sBcP+VmN01YcoZFnN2S++QfVsVhB5z9+VQW9vV8CpN9ZGGpiRi8/1yiRInskyebOPPCs5/z/qV0&#10;zoAJ18sSFbFzneESFa2zg0lcGy7ZobDyzHkE8LjgMpm/cGHOF60lKgKKgCIQJwio4RKtilDDJVpI&#10;Kp+gCLAfxK6Nc59IIVMEFAFFIO8gkE2GS94B0GiqhkserHRVWRFQBBQBRSCnEVDDJVqI54K3iqKl&#10;qvJRBBQBRUARUAQUgdyOQAiPy0+nf87tGqr8ioAioAgoAopAzBG4t8cdyPD2+DCOhYy5zP4FKFHw&#10;Iv/EEVKqxyVCADW7IqAIKAKKgCKgCOQcAmq45BzWWpIioAgoAoqAIqAIRIiAGi4RAqjZFQFFQBFQ&#10;BBQBRSDnENAYl5zDWktSBBQBRUARyLMIZFOMy7xlgX9AdL3aNr0+x9DOyRiXfM8++6yHYqd++SXH&#10;1NaCFIFch8DZX86mnzx2mjNV/f3dyYmME5mnTubPX+APf/Dl7OQfD/bv3XvqVGZiov3/qE9lZu7a&#10;ufMof6n4f/+v7Ujy/fv2Hkw7QGL+AgWyBmlYcp5OP5Z5+MAvP58ukFAkZHHbt261qoOCPx09Itrx&#10;CHXMxyo/Gu3ckXoiPd2pbMgSXQmk4s7+8stFBXxFFB5LP0ot+6w4UzUlz/39te0SNZ11KnUdLQWl&#10;0HDbZ/q+XT9zEnTBQn/Il98bWJHWWkfoJcIb9aUqbZpCtnXz5tOnTkXSPm2yZRw+cOqnwH/FI3nI&#10;9kBDPZm2z2dzla7k3QGdigTrgJ9O/RDx/tT5tpBChkWwfe/5f+h05qpeKXDufFSumdM/nfz+hP++&#10;8w6nk9dOSXH+DUKh/PmiUpAfJnnI40JPK1mypJeVlpl59OiR8hUC/1ouFz0w89Qp71x+UI6chp5g&#10;FSxyhq4cgOjo4cPVa9aMnD8Cvzt69KC//yMLrIY+87e7+/QRff/z1lv79u6pXTfl9m7dhJVwNgRZ&#10;4B+VLEwJW3dt3HNgl3ArkL9A1fLVkyvUCMZ8T9qubXs2nTl7RghKFy+TUv2yQheFGGdvbteO/7aR&#10;LLfc0XXA/zxZqHDgD+FWfPPNkKefNo8eGDCgW8+ePKLFDv/nCx9/MEmyjHrvvSZXBf37JFdRw5KT&#10;CSN13rRjm1YLq0JlKiR3vKNktaB/4Myk1eWGG6Cc+8030q0YDb9duVLayRV1fvP/lJM/+4ymSJN8&#10;/plnFsyebaQd+OyzpjFkoSpP/Xxqw/bvDh875LPiUvdt27l/u6m4ShdXqVmlbn7Pef314cP/+9Zb&#10;wr9hkybPvThMGjNN9+knBq759Z/q23To8NTf/y440M7/PXy4ZIlQQWESbvvcu2zRvq9mnM1Il+yl&#10;G7Sseu1NBROD/rmx6EibNH2c6vvHyy9df9OfFs2fP6BvX1M1hub7774bNGCAabQVq1R5ddSoCEeb&#10;ozs2p8764NShfVJc8TqNk9t2Sijt/kfQWNjbZk4yzTV/QmLldreXC/7n7bY2Sb3c1KmTdEDa7d8e&#10;e9zoKIrzk+b6+IMPShWj4JvvjbWO27nX40LPfaRv3x53341e499998rmzZxje056XHwt+7IwOkQr&#10;C52BD8O0lSE/JV0Smefkp3wChv//+T/39uhhzUhiu6uu4ttGbM3y9MCBN7W5lt5lypo/by65oqVL&#10;JHwQTPQKdjFYMCxmoQjANBmXLv5K5pXIr8yMTDN9hsuNjGQnF7IxmmO18NdCholwFoJYXcwKqzcs&#10;M1YLYjCxbd29aeOO711F2rpr08bU783kBw0T57J1XzGJeqvAKI9RwhQ+fNQotJ44bhz0tIS+d93F&#10;2DF9wXw+jKegRFvl0bKlSyGDfvGaNVgt4eITlpxYLT/85yUzDVAW88fGca8c2nihBwUTYNqUKa6P&#10;mABWbtokH5nSmAY2b9gwdsoUScyCUtaCABzYjdUSsuKoUKrVWnFUOlVPA/DANv34MYwSagGxD6al&#10;YawEwMnMvP+uXvhgSMduo0Kxxkae+zd7KpQaFN3JIv+aHskVbvvcPnvqrtkTjdUSaJ9rF383eggz&#10;fTAx0JFHNDbnuHTyZOD/40w9ygwHWa/bb6fRojuP+GYWPHzovPmYNWVpabQ3Y7XAhNZIm6RlOhmS&#10;iEbW5oq+Oz55d+eiz71Lp6aoMnrZsGefpX9BzLiE1ULHlA7IDT9lkqJhU+Mk0gH7PPRg1vSKw1wV&#10;KlYcO3kyCwY+VFyWx/ZoqRbvhovoOfn9wJ8/m8v2k3QZ3OUDxKSIzTv6X/+yIcVKXcisuciCpSyr&#10;OpuRFC2gs5sPS5xvV63KQilzZs00GZu1vFqQiZPr4MHAAERXCddtkN3y42s5ftJlTGdW+/Hw+cWf&#10;kYFdhtT925wiMR2y9A8palL5ckzhra69lpUrzifoZ3zyCet45gMWc3zA58/33Tf69Td4JHMG7Zl1&#10;IaCFhVu4cm6a9KZ1qjOK7JgxzmPCgwxFmKfpcSF1xxynI7Muv/Syy4QYjSJxt2zZucFqhRgBqDjU&#10;t8lDVVptU/OUqqcBeAtfomQJag2xmb1kLMKyxAzFxUI6XhYqFEuFCcAsG6pUTYaMLDwKiYw3QVjt&#10;k+2htGWBP1S3XVTuzvnTPQqiHmmHE8f914+0zz/7rDRa8TDxHWG/po1tmezyd+6ITct0ioRr0LW5&#10;7ls0DQQ8VKhcpQpVhrR4UBYvWgglzk50/8t990kH5AbVZFYKuIdTUkikA+KDyQE3uR/wI6dBnXjY&#10;eTCK5ALDhTaBSWG6Nzf8pN1YK0MGd/mIK48LGoYMfHpWSlqSkJFocpFl3uef0y4xqzGZWRtFXtPZ&#10;xAG7Co0Y0HEd4V4WUbnne+qkydzIfIDfCF8uP6EUSUiZMnEi35JR8IRm+ddLJSMf1n+GHs7QkwiN&#10;8UJRtLN0+CCVcCCLB3oUKlKZSkFaKYVv20yGJAgm2lndYKLO7l27YGWVjSUdeonAZhXIPXyEUvTl&#10;kZSIDIgqWWyNJGTdpR3ZH4xm/8GAbWG99h8K6glj6R/S6WJY7di2Xe5x0Xf4rWOsQaNGTIoAKJMf&#10;vkNv/5yr8GHJyVhvXelaGTI9HN2+yQPDm2+9jb4mzgbblbb/RyTnI+2TeYLuH+FugikCP4RHxe36&#10;MdUmzMEjacG0cDVoXInRSNLZEcMNYx3966bUI/3wocMlS5cGELZRorVq8hDPqdT+FV8GUxO/C7Eg&#10;HlXZ569/dXW6kEXqMRDSxH57ZiZDceeuXTxYhfvo0Po1wbLQMm22CFaO1ddir+h1K0OWjgp0Mby/&#10;ctOyVWtrFvqjrHtJ54Zxxo9dHrLQOCRAfbaK8BTEVrZcYLjQJs6Zuud71+czPmMsa3TFFVbgbOOd&#10;PIIG24WVqB9DZPZnn3W6/faWra6hUa5buza2teJROk4I3JKvvPBChYqVsLEIaBBN+a5Wo7rcMPzh&#10;lS1foQI0eGJkVt61MxVXJ4MjfY+M4r6uWbtW2aQkySh5ZaMdxLr+6U80UO5379wJN5kIGXwpfdy7&#10;78IZyrdGBlY8PGIJAls+ZJHtDNcLV7lIKxYJpfTq0mX50qVkBH82Bay5Spcpg2BCn5CQYGMom+gi&#10;m4wRrPzS09MhJpHtWKl05ngov/v2W/Fs85NHlMg9iqDjki+/TCxW3Hh6/dQ7gauuq3bJa92GkJTM&#10;0xkebE+fDmEl07bF9mLoZ8oXVkWK/iYMlkUhicQnsV7Hs83eClt+GGR+Wr6RLSw5j+/e4aFUxo92&#10;681KTG3ih3Cd8GhUSM5nysTzp4tKG+Aye8FipmfhOvlrAIdr3rO/nA8/Mk+PHPfayHB6aKxsfzr6&#10;E90QExmNWA7JI9wwVhoxyOiYWDNDz/U7dgAff+ihrO35Gs7egjmVOnvKq31mHApqvVEiDjBGY7wp&#10;TkilHvns27uXDwRiVTNcmKo0y6Qs1OaxVC/j+OTB8/aicCbi2KOIUz95VTRrJOSUkZYJQnSRHmcu&#10;0x/xllHdjDPEGHiv4rKgcjxkkTGfuTK2wuQCw4U2AUwyiTIQM+k6LXcz3hG2aQW0W88/Y4jI9r/H&#10;xUjBrEAnxB9DP1y6ZElsa8W7dIn5wj9p9holLow5mxsGQZyWWMT4NqFhE0GsBLnISPrg555DX8CE&#10;XqwWbvgYc5CtXHBjUxPX7kuvv251CFP6v8aMgbP0T3gy/n4yd65sf1JTsp3hvDAv4IlvgILeHj8e&#10;AinluWHDyPjUs88iktVPwBws8kDvXHMzPT80YACOdwj27t7NN6KSAnHfhx6CrYwvXCxzEdiEkl33&#10;xz+ikfzEqcsjcqEgofLxWem0bexUDC/CO8yOiU1UiRVg4c43QycVR+1gGUyfNi0+lbq2bTsaknOX&#10;wcS4UCkiufEzyQ4vtRmfGtmkYtmNFbJ54wY0IqLTVWYxUMqWDUSSUrOTPv0UYozOV/45LFfoKELi&#10;dKHnOn1F1lglaZmYaHyzj2k262VnM84vVj4s1RASsZkgCicEPPoe0TmMZkTwMPCyUIznNXAWYMc/&#10;zZiPkR3zbaNcYLjIWMxUxH4B7YAbQjFsoJvxzhbqzIQn2/8ZGV6rCnHnsBBk4rysUSPqJqylahZa&#10;QCRZCHCTrVNryKqVIYMmjgTZu8HZYN5igEYy4szg20ztTmEOpKUxl5vWiaVo5g9Kl80466Lf7ExR&#10;bjDV4BZ4L6ZvX6QSA4VSmL1YypAic5j/YD1Z8YiEMiCaXadRr79ulaFNu7Zm95B0nEzyFGHMI6w3&#10;5hiflVI0oSjvEAUj5nUh26PCBe3uIitBwVDvUdO2sQtp2CZgharB9WVlIltppr4kgADjVcx9n1dY&#10;charfCFc2sk/oVwl70KpEXG62BSx5cJyNeas7PDanBY+VROyIgmJHvT589nrtFQxe1VasxdP9HpF&#10;kdbFzE2tYUlL88Oxx7aslcOeXQGDWzojl0RFPPrkk9ad8bAUFGJvwZxK5S/k1T4TyoSIFBanizOa&#10;0Co5DZKeLiso1DSb9VnQzmQpnvybd9BsrIqULWdNuSj461EBkUp4VTT2CgstqlKWTzKE2javF8yd&#10;ZzWp0RfLmxQiCCPRMa7y4nZiEeWxfMpJaXOH4UKLoW/MnzsXXwKGSFjmXs+778bW+eSjwAv0wS72&#10;KXgkjk3xIuQKS9kMeU69WlxzDd4mPngyCHGPsEmdPHHS9UQKYUsfZr8mMTGRjQzK9SiLzk+7xwYC&#10;Z9nfYaNK5OTDAFG/QYMsiyq7Tuwx3xhkgZtlzs6MSaXKB+NWvqx9zi5f5sIL9rZcWDkh34h2FoQd&#10;yZRv1rjy7pXsOnNvNtclTtC/1mHJmVihCi8/uzLnLdOS1b0mFcnFJE2n9n49QRwz7O4ZVxxbMP41&#10;slHyDrNHxVUpl2yjL1sq6JzNS9HhinHtuTfbWbNKRtwtbLAytzG4SSyIpGPN812yZKlw+VvpPcSr&#10;4GyfTYL22aSm7fNdVDCkJOIu9SYTLy87nrImjDwEpEy9hsFKpGXSPq1Pea+bN6WD0Zet/5vAg5D6&#10;YpXi+Dc7enQ6bM0ud95JRmZ3UZBvzrDBWg3JLZ4JWFLyfi4SMsiz5qS5EqsgkY4RbmhGqHXuMFxQ&#10;ksEak4L2Qf8PS2esHMZ0j/GRKqFHmfctWSfF/26RNwI0LyYtE60cMrLdxA8atryQaVa6Eo1V79JL&#10;gxUqDg82j3B3E2USjExi9FifvfRG4P0X9nekFFyvzsDqsKpYxkFmhbvuvRfnnIc9Fy7bYPSc5FGs&#10;iMuQxIRRrrR9OmcFnFze5XwX3DYc5ZIFkZjOqWJ2IhhT+HDDT85xgRUrPDbXZbihzctg6vMKV846&#10;Xe/HRnEyr3ZjT4/zP6z07DLYshNsZD3XgNU5rxRh3WLpSjojAPFVPjVyktWqmuLqLaPinI4KqtLV&#10;AqDqaQDhykDvYCDCxORsHgJZOOAAvR79n0Co2cYN61GQRD7sL0Bm9RGGWxD0Hu2zdImyNobM8Rgo&#10;zlKo3KptfB2OQP+1vS0BN1tMEh0f3yFjeMuGDXkkx0xI1EvWLtpYrS79XMWmZTrTOd/FtblWaNXJ&#10;ZuWElIdXU6k7apBeRm3SAVlOi0OUXV0i5+iAfDO43d4t8HfQufci+pAtCOTPzMigivF34iKVj/gL&#10;Y3WFOB4xVmI5y5XtIZZfrtv8OCGNz5l1v42GwAtzuJOTM/ayjS3hwAwfuGqE2AQDxvzQM4/qYOpi&#10;0MdjSYQH8zcuENamlatWJVKV1uZxEBxrAsDB0MHnYfg3bdYM642VLhtDsknkEY0lm/SgRInOF74M&#10;T3amYEiICSIBeMXKlWvWqkUpROxSCmRMtFiNWWty4ose8eKLstOXNSb+c7F2b5zS1P8BdDWr1OFo&#10;3SwcQMdYL++eWC9mNcJ0MLjFZOz/xBOmwXNCXfuO17MqYpPFnHvmX6+w5OSYr0v+8nhYB9BJfIMc&#10;WMDFWM9PCRrgsr2KL2RMijjqcUgQI8nP2nXrhDTEPfTFv9W0/tW8FG1eL/I+ObButUupuHAPoKMK&#10;XGXAuP/jjTfI6QPYlPgXxUDB+UQnkpf/6bzBIpn812O47bN6h84FS5R2HkDn4W5hMLTKQ8NjAJEq&#10;w7CuazlVwdQvajKME0KOoYbJQveP0D4rU/eyfD0f9XkAHc31sj6Dwz2Ajg4oATrWixZIbBxeeaky&#10;eqgJwiO8jN15YnfogCgb1uaA//rNMUpz9EC4Zytkt4TxfnIuLqlGl18uQxVeOBbT0qsZyGj9EpSK&#10;5SENSC6hh1jev5dEGeXpUaarwFkanLjcrSdesHznKDaa3anMDOvhKDFsiEgrpaM4gSAirchpTmzk&#10;XkYNdBR8RHeTkaFfjoiQjEKJF0SCl82YIgxJJ3hWoueM4lasnFVQpEhRKgjbHPGsspmqMTVlGJrS&#10;oWEsk8q1KmtkNkxM7ZijV6UeJR0yfqK7FGFrBqbSpdkgrbQQ7gsnJGRhwuANW3lXxTuwwAjPG0m/&#10;/HKGYAvvo1cNfaxuwpKTd015ayNfwULBTiyNlRYe5UrF5ctXgIglP+LJqzrxX3E2XcJtn5zS9svp&#10;U8S1+Nkh8oNbztCI2ASy+HH18YI3r0rFpLnm3pNz/dRjTp6cG++Gix+8lEYRUAQUAUVAEYhzBNRw&#10;iVYFqeESLSSVjyKgCCgCioAiEBSBbDJc4gTxnPS45Jrg3DipGxVDEVAEFAFFQBFQBGKIgBouMQRf&#10;i1YEFAFFQBFQBBSB8BBQwyU8vJRaEVAEFAFFQBFQBGKIQIgYlxhKpkUrAoqAIqAIKAK/GwRuu70z&#10;unw4ZervRqNYKaKGS6yQ13IVAUVAEVAE8hACkRguswadP1fMFa+OQ8P4c4/fAeK6VfQ7qERVQRFQ&#10;BBQBRUARyCsIqOGSV2pa9VQEFAFFQBFQBLKGwJEjRz6ZNo3P0qW/+a/QrHGLMJcaLhECqNnzOgKn&#10;0o+dPX3aJwpnzp49fjLo3zk5mTBY7N2716RnZmZu2bJFfvKIe3PxyJpd0qHxKZiNLFw5j+7d6bMg&#10;1LFKZVWQR1aNrAxFcS6bmj4LdSWjIlDTJwcoM0//BmGfGWNOFhM1pb6CVVYUK9HAe+JQ4M8pfV7+&#10;MbE1VyQ3/dFPB8wOTX3qGF0ytL6y8eUfTJw4Z86cnt3unDB+fHT5h8stajEuKJaRkVG6dOlSpX7z&#10;v6ZmnEWyhISEir/+TYnQ16pVy4zChw8fthKQTq3TOCQLN04Coy3cChcuLEVbSxQCq1Ty1CanMLcm&#10;WosWJmQ00oaLcjzTSz809RJDUV968cWWV1/drFkzqgP840EkDzQwVrYtmbf7m7lnTh4PtO2ylapd&#10;c32VxoG/YnC9fjyStmbrdydOnZSnNcpXu7TaJQXyh/izsGtbt96VunPcxPeBRRphx3btt6bu4H7w&#10;oEEfTHjflDV8xKs3n/tbbJZEA/o/YtLv6H7nkKFD/VdrWHJitG2cM23/6kXCv0zKFTXb3FCyYtVg&#10;xYn8VZKrfjh1qvRWpF2xYoVIWDO5mjXjrLlz6HG0hH+98cbokaOcmvpXykqJCfL9jh+27Q9gyFW0&#10;UJGGNS8rF/yPoLfvS928Z4tU3EX5C1QvX61O5dreFSfjifCvVKkSQ5MRgEe7d+9O3bGj3iWX2B6Z&#10;gSsq4wxqbtq9efv+HT+fPSNq1q5Uq3qF5GCghVXvMHlz1JsvDxsm3Dpc3/GpQYPMQP3K8OGmZdL8&#10;Bg0eLAiwUmfOkyx/H/Jc93N/OxzhhcW84bNJx3ZuFD7lG7eq275ToUT3/2QOt+phKG1SmiI30rmk&#10;A0rfNPKb5jr1o4+eGfy0SbdqmntjXGi3mzZtklGIgZr+KCDE6oqax6VVi5YMSRhl1DRtWixNGafM&#10;Z9TIkSSuXbuWKhd6bkTz2zp35ieJZGdEluxzZs8mRQjg7CSQR0y9kD3Qt6+zRCmajmTKlRS4GSEN&#10;cxGeWqH0NWvWwNMMJbRXclnXvjGpMORBQvOJitlLpUi9+LmoOy4/lFmgoTMcSAssm7768svHHn00&#10;CxxyLAtWy/L3Xtv+xUditXBlHNzzw0dv/TBziqsMTH6Lv19qrBZomDi/Wrck5IpfRsbXR4xwZcus&#10;wPAhH6vVwli5aMliEj/6ZFpYmGzavcW/nKxxF7/xjLFaKOjQhpXfjPz7/vVrvAtFqcmTJrvSYH4Z&#10;jWSqeGzAgFkzZ7759ph1G9bz4Wb//h/DUspKDODAbqwWHlEpqPz9jvN/7GXj/O2Wtau3rjEVhxGw&#10;cffmkBXHgGMGvRs6djTDCH2Hge7Wmzsx+UFwd69eZkh5oF8/k4UhKMsKSkZRE1HFahE1UQR1XDmj&#10;vv96Fw579uzGXmG2xqresH696bCMw18vWUIij6gsLBjUhJ6ZD6vlsYEDJUuECkp2WhrtzVgtgZTV&#10;i2iTrt4XHGazls92Vv3uAxc8msGkem/sWOcjmrGzuWJkY7Wg+PLVq2iuaPr1119HRdnYMmGZIVYL&#10;V+3atWMrDKVHzXCBF7VFo6QuscSXLFlidCNRPn37Bf6F/J/PP59Srx6VStV26Xr+X79pBNKmpa2/&#10;N/Y9JzTBCBYuWADximXLxSkiZUFMoimXR4wXlEsKYzqlIKS1FGGO8EyfCN+wYUPWhaa94iJjkogT&#10;H4Dg3KdfX3pI5GYElSL14ueaMnkyHz+UkdBcfc01L7/ySiQcsjvvrlVfW4dLU9yuJbMObrP/wfXh&#10;40eYM5wiHUk/ytI/pKg0PNq2n31l5gZmRFoya1lpqw0aNPDvbkHOdW7yBJNz1fh/G7vNqsUP08Z6&#10;752hEb3PzzYWWs+eOWvoCy+0bduWVTsXN/f3vT8kaMEIABx1nE+Z41Hflk6KdZ4zT+GAM8NbBrEp&#10;GeKSkpL+NngwxOgrQxCJPKILp6WlyXzP6ISa9GvJgt8xywpKRsRzVRN1XNVE/Sy0T/7ElPGW+ezh&#10;/v1pohhh1Bc3r772Gok8orJQSkZmcUE1ax5I52nk7ha8fbQ0p9i0ye+mukwfKzd/a8w4a65lG1d4&#10;bwLSoZiSnI58Z9HQMH0wiaA4Mz3NFU3/7XtZGGGl51h2douwWXOsONeComm4VK1alUYpK7+0Hy+s&#10;ikiUSwZT2nH9+pfJzo51DCpfvpy0dfo85rxTXEMAalaCd95+myUmdsYX874gl5QFsbmn3GkffwzB&#10;y8OHixiUQnM0rk4ohTnCQ4YlhHj0Rmmv0hvvOrduiIdLcL7n3nsRBp+ziDRv3jw8VazVjCnDOMJP&#10;EvEtQcC4yb1JNGQrV6zgAwEp0ONbgox7FCej8JROi4OHtRQfISAFbkLDt1k7QgZiUjRSWZePkNkm&#10;YMMBSoMtPkkxRnF9iTwwMfzhQAofwwrVRAwjmMgmMhi/lCGD2MyahltYJuD2hZ8Eawl71wT+bNx6&#10;7UpzacxCwEQSMnKiSZMmAX/7k08698v5Q2wTFAI3cOP7pj/dlLVW6i2nzTmEix4nk2tBzBz7fvjW&#10;Q4bbu3Shl7k6XfCmWKNzFn/1VZOmV5qlXtb0MrlQwdUQEQKn+lv3bgtWIlswfoRhiLujWzdGD4jx&#10;G/H93JAhskdGF35q8GCZ1IVV2bJl+bYubf0U4UrjIZ5TqbDq3bW4EycC/yGP5Nu3baNmMZcNWYsW&#10;Lbhf/8MP7Ivx6JGHH/ZjAfhR/MCWDa52M3lZVNicLvSytKMHgrHdts+rNq9rex2N0NXpYpqrjE6o&#10;yXf7Dh38yB+fNCbOLNj2AgM1Rnb/Ry5sRsdEkWgaLqKATCdJ5QJ2g1xmbJWRF1cBFgMTUrDApW1b&#10;t3pgIauTSpUqCw3zDd6a1m3a4LyZPOmDYBlXrwp4d6ybzdj+Ips1i+Em7U+MIRz1zBxR2XiOYh2z&#10;nwI3dsr5ZiZ+fsgQZrhjx46xqhOlenbvzjeJ69Z9xw0rHuww9r8SE4vxEzKpKSIMuLjBBmK58NqI&#10;EcWLFyf8iI6ann6c7KmpqX1696ayqteowfKRi0SikZj74bZoYcDC4Jt7sQY2bNiATxjA4VOkSBF4&#10;Sh/gqdVSFCgQklpLSUlBfgMOG0Yw4SeuL+ShOGQW64pmA3PoYc6NqIBnHkMWMtFLxDDqi6sW+fHS&#10;AwV5kZZ7iR8UblzsS/qsHcbEYCMmHKxbJ8LQukPkLCLDR8gnRjON3CkhHcHsL8BZNtpkeYDRZrYU&#10;/er1a/yNK/3xjPObYvL06M7tHmzTfwxqq5GLxsOqwNXpQqJ1e5f2XKNmTSnIqJPlnRSbCjb5ndXk&#10;MdWxdne6LlwB2bx5M8MIj2jSDCPWEEBaHemHDh0yk7rHqOizEiFDMFfXgnBwKuXdPj1AE7sZmVk6&#10;ohqjKzo2P2epmMsMudzgiSGd+pUVlH+NXCmP7LC7Nq1kR3b9xhbx7mVHT/zkLcxDvy5ibWSmucpu&#10;OwMpdS0qo6O0WBMOEaG+OZMdRaQDyvhpu6ju++/tjZsg5rNhNA0XtKWeZCMTl4bR2Yyte/YElmh/&#10;ffBBWjk+bXZ/retsrFdZqbMKYU3mRI0s8Icb2e/qdZcQLP16KeYwgzWGCIN7sHUzPMUHYy5GT+tP&#10;Yc60h/CyShCnC00zrtwt0vMRFYHxSdKAxCDAnY67iH0BMbZIBI1GjRuTaPVV4rnFywUZoLGcdYLM&#10;4PL4E0+wxoWGG7JjXMOKuiORWYQPiZTLipmy3h07Fkq+YSW2FBfMSSE7O278FPfJ6tWr+ZYUucRM&#10;HD1mDH7jcRMmOIX5dvVq7CQsSGQWTx52jAS7wRzH22czZpCIAHwgIAyQn5hoTvWxgSgLlxt5/zFk&#10;iGi0c2cgggSrVxg6BXBNOXP6lE/KaJGBNm0e3TEorTytMS4mXey2O7t3l43XaMkQFp8zmb+R05lX&#10;VgVOp4sJGjA7XMyOkl22fal0rJmwhIkJMasvcRZiuDOMuMogJibmJkMN7Z8pX0bFaPkksltxsZvZ&#10;RmdNKF3P+8IT89msWVQxXtvIg9jOZJ6Pc3ct9OypaL4CxtDHmCZbftbL1lyxRE24LvvvErFgDeAN&#10;hVDsn9PvJMhs/sKFNmmwNVnByk50zAWNpuHCKMmH8ci20WOLtqOXgg6VynYv5ptx2jP74g9nVCKg&#10;yepsNBgBGY/gz1hmDHnW640vv5yuLoYIdkzWMDXMEd4wl+E13twtgEyHQU3x0Mrm8fhx42SvhHtU&#10;YGGHZwt4SbGOg2wzCT7YH64TgEHebKyMeDVQlvOiFIZawYrvQCjGOacIF+5xk44YM6ZPJ/HjqVO5&#10;tzq9ZJ9LjHfX+KFOt9yC1chQLitRLkYBPCiiKW9uSHGksx9EytBf3TZO9dm7pCohgEy8vqx0Gzdu&#10;TCK+IuvmUcj24/HWDHl5s8bGgRc6PHgmFLzwyokHmThdvAOMrjjncxLzETwB1lR3SKUg4JUZ/3Im&#10;JlXwIC5Wvop3iWZV4B1py0zA7CgNWLaAiavwo4srjTfUTvVLJnqVVbrYb16ftJVI/ArdAccwQ5bY&#10;3M5L9EquFnhvhfpiVJRgaucEGZbKxRICLtVgl1OpsOrdylbs5omTJrGukH6N1xO3rtWVLitJ0ZEL&#10;MtBglSUxMWHpZSMuXT3grwqqZtXq1kcF8nm1be8eKnxwuiAzVppHobLPIG5g6YC21XIk+sYkLwOv&#10;bLVTWeKDYeNMtlBi+6Z3NA0XRkkcLSY0xBtoKpXlLzRmmc5kjJVH7w22pU0j4BEuAcYyaRznl+wj&#10;R4lThxTsGFdAWagRUmQVafmyZfw0Li9hTo+yxmHRzZibZQ8ifi5wpvNjaRGca5S9pXNn5jY+ODAe&#10;HTAAaXEhMGhi5GXtfSjZWLnhxhvh7FN3s39npcf4o8NTU9RauFGH1A6xikTzsBI1kdRGUxwnElbM&#10;iydYMzhOrHFINvWLFi0KpUDEB7sZ3w/2jSwBaTbyVprPq0qLoLFplRo3tzGpknR+W9PJPKnkxYX9&#10;GS5Agdlnff/ZyY2xUhwzJvrH5qHx1q5mxRrBCJxylq1RhzfAg9FXqN84JJKyKnDuHlozdr71Vmgw&#10;nc0kZxwwIfk7CYAaRYJlrJpkN7aSk4K+183b7N4CMG4wlDGjm9GM3mGb1MXhV6ZMGcOKZUPkkzqv&#10;anuI51TKqbiRx3/7lCyyc226KqPTW6NHU4O8h8JUZ9aoJ096OUt81qxHG6Nl2lYXxYokelS9Rw81&#10;wojTRcKVgl246qFh+W3WirK2zL0Xxjf7gMjPTj0LJz5m/8T/3np2qB9Nw0Xkk9AkiZN1XrRda0xl&#10;FlSib9M4ZI9A9omMR4f1CsjyJrOTbfv27Y25w1PGQepD3jyyXrROE+SbBdlyMovEYLIDwvEz3Jw8&#10;ccIEQTMfyzk0qCPWoYSMmHrhKd5aVztDyGSrpUfPnnAgTsVVL7LDRCwn8GRQrlnrfDiClZ76kqA8&#10;vq37RNDIOkzWZK5vzSAGuuCZpKbEEwYT9o+MpuKnoWapX4xms/1n1CcWEoJdu3YVKVoUjSAweeEG&#10;f+sS0H/11bnuTwWKuKxrcbeUr9fQxoeluetEwkq3QfX6/guVcGzrFcD819fjZdcVmxVHJtu17Kx3&#10;69qVrU8JsPBzhStnvZtcdsEp6JJb7wt2kIZVDHG62ASTHVv5yOFMLFR42xavGOqgFHVNeJMfdVxp&#10;ANzVwUAFOY9yqXxxRdfZDg51q4T9RihLVURiUjdHRRDXJe8q0vhN+5cN3AhfYEQ8VzVRB6VsyKB4&#10;sPZ5Re1GYUFN55KXHqgsXJv4Sqk7TDHqESuN8ybEV4onOPKXNGljdW7o6SreZbff40z3qHpv55lh&#10;xUrJo7lSg6jJ65DsbstJH4DA2tJ/BwwL6pwhZgeQI5coi6WymWet5y/kjBjOUqJ2AB0DjTmlB8c7&#10;S1jWsoQRSEiKKZglMmMQ1gZbFUx7pENGfZPdnKBliK2n/VgJJP3Lr5dc07yF7SAjmkvH669ntW3N&#10;C0MGC9bljHoUzU8MZ3wwJsLfylwOVuJtbRNjhcclmLM3h6sNQx48Dc6c/cB2Ca5avHn0EMEZVJkP&#10;WPqwHwkUhNYydtD42FESp5QggCtbDgGT3SVWhzbE6HWkU02yypdCBRygw1DgpWW8MvRSqUrmS4wk&#10;QIOhDTHJxYjmfJEVFRCP5Sml0MORHKjNoWSwYoXN7gD8mbaxYJieGfUQgETCCNiTgt4wgQzrBFER&#10;2KY+gtEApCyeUhxvxbOMwPdr5A/rxUXexlz3yQROLjFtoPp1t9Zo0TZ/wYKurYIjUnhJ1URNMoUw&#10;krIQ9G5C6CsvkQkZRt7BgwclgIzGIG8xyEWNGzLzCNOQxa51ey5kiw1LTt4t+m7KO+b1Ioy5Szr1&#10;cppuplC6IQs11jZGJBTkbRrZoOQe+9sQGzJyEeIqG4tWNUPq4krAqalrt6+zxqjWr3ZJncrnEbZl&#10;kWPcrG8LU3FM595+MtOnbNxsZwOaIUhatSFmL9gaI5g1NXmPhheArWrWrVzb4+g8jnKxqendPmmK&#10;+PNcveM8orKoMtoeo4SJR2ZqX7smsEphhRO5ggLLrtXfbP78AxMsj68FqyXYZi5Vv3LzavOiOLYd&#10;gASreuFPldlUwF0kwouapnYMGc2ViU/6Jh3QGvaQew+gy1ojzL5cUTNcrBXMUokpgYpkeLI6lFj1&#10;UuXyFJX4iW9NhjCyO4ckxl/sdGklVgIWymww1a9ff926ddZWJY1JupOUYjM4TFOzDegwJz7AnPwI&#10;c8OWzoYvN+ZB1NICRHEjm8xPoiNyykslFycl4dgAVZMi9GL0sHkkZFYF+QliVm6mLG5ARmpTHDn4&#10;eJhdBC6Rx1aVTsSAnaU//jBn6JLMZHCg9gk6EaiRhHs5Qlf4o5QZIs2sbNqPlQkNhsgVRLWpDxMj&#10;vBlQTIq1KYbV2TBfMo//RJbEMuWCmSyGYeAc/XPv5rDjHtJkCUuM6BKHK2fgNatzAcve0T/RFTJC&#10;boFD3385AxMiQkKeX2wAIUrGz9aex2nUPKJtY31a7VHEIB23KN7NOnXq2A4fj0RTzBd5oSYsNeO8&#10;fToBkX+cKFCwUNEySSHhCqvqQ3ILi0ANl7Dg8iCOmuESLYGUTzYhYPPWZFMprmzFA+cMU89JGbQs&#10;RUARUARii0AkhktsJY+30qMf4xJvGqo8MUcAq8UckRxzYVQARUARUAQUgVyNgHpccnX1qfCKgCKg&#10;CCgCuQMB9bhEq57U4xItJJWPIqAIKAKKgCKgCGQ7Amq4ZDvEWoAioAgoAoqAIqAIRAsB3SqKFpLK&#10;RxFQBBQBRUARUASyHQH1uGQ7xFqAIqAIKAKKgCKgCEQLATVcooWk8lEEFAFFQBFQBBSBbEdADZds&#10;h1gLUAQUAUVAEVAEFIFoIaCGS7SQVD6KgCKgCCgCioAikO0IqOGS7RBrAYqAIqAIKAKKgCIQLQTU&#10;cIkWkspHEVAEFAFFQBFQBLIdATVcsh1iLUARUAQUAUVAEVAEooWAGi7RQlL5KAKKgCKgCCgCikC2&#10;I6CGS7ZDrAUoAoqAIqAIKAKKQLQQUMMlWkgqH0VAEVAEFAFFQBHIdgTUcMl2iLUARUARUAQUAUVA&#10;EYgWAmq4RAtJ5aMIKAKKgCKgCCgC2Y6A/slitkOsBSgCioAioAhEiMDBbZuO7Nx6fN9Ow6dA4SJJ&#10;KQ3K1kjJX7BghMw1e+5CQA2X3FVfKq0ioAgoAnkLAUyW9dMnZBzc46p2QtlKl/d4oGiZpLwFSt7W&#10;VreK8nb9q/aKgCKgCMQxAvvXr1n57rBgVguC8+ibt144lX4sXCX27t27ZcsWay5+Ll26NFw+UaGn&#10;XJswVrY8jZVgrtodOXLkk2nToqJ41pio4ZI13DSXIqAIKAKKQPYicHTvzjUTXg9ZxpmTx7d9NSck&#10;mSFYu3Ztt65dW7Vo2bFd+5rJ1cwcvP6HHz6bMcM/nyhSUi6lB2PI01gJ5irS4cOHB/R/JIrqh8tK&#10;DZdwEVN6RUARUAQUgZxAYN/a5T6L2b9mydnTp/0Q49i49eZOrVq3Wbdh/dbUHcNHvMocHFv/gR+x&#10;lcaKQL5nn31WEVEEFAFFQBFQBOINge+mjPl/Z3yZI5AVLlOxePlKIVV49ZVXCicU/uewYQUKFIC4&#10;bt26Bw4e/HDKlLt69dq0ceO+ffsaNmr03tj3FiyYn5ycXKxYMWgwa8aPG7d585biJYqXLl06MzNz&#10;8qRJfEipXqN64cKFMYY2b978hz/8YfSbbxYtWnTZN9/AViQhb758+cg1b968d995Z9WqVRdffDE/&#10;ecRe1fsT3qcgUtauWVOxYkWTi6eU8s7b75inpFx73XV8s2dEKVY+VnnOnD1TpEiRObNnV61adcSr&#10;r7Zo0YJtHdSZNu3j/fv316pVC60pd8H8+aKRyG90hAbZ0NqZyxSdnp5epGjRyR988FD//iHRziYC&#10;9bhkE7DKVhFQBBQBRSAiBNgD8p//yI5Nfog/mPD+Hd26WSlvuPHGXak7mc5J/HrJkisbX56YWDQ1&#10;NbVn9+7M3xglsi1CYkZGBjePDRjwzOCnixcv/vKwYbd17ozdwC7P6yNGQH/sWCDUBnrhZvJOGD/+&#10;/nt7Hz16dNbMmexPkQ5n6Net+65ChQqkIJVVJHje3avXooULeNqnd2/zFDOoZ7c74bN61SrhAyXy&#10;vPP2202aNEFCmMg+Dtmh4SkSIifSIjOUEGzYsGH//h9TUlJIf6BvX1IwqsgCTXr6CbGZnLmk6EqV&#10;Ks+ZMweXlR+os49GDZfsw1Y5KwKKgCKgCOQQAmcyT2atpDJlypBRjBKujz6Z1r1Hj5eHD8ea+erL&#10;L3fuDLyAjVlAYoMGDYiPmT1z1mMDBz7+xBNsM0GDrwWCFcuWd+l6x5ChQ6Gpklx14YIFJH4x74sm&#10;Ta/Ez4HR0OH6jvAcPWaMpMOZvKTAdtZce4DOmjVrYPjyK6/wdNyECTAU2V4bMUL48Iif0z7+eMmS&#10;JcgDzc2dOkHcrFkzoWQvbOKkSTyllHET30faPv36QolF1bZt2/v73n9l06Z3dL+TUiA+eSJgr7S8&#10;+mrScfy45qJotIbg3yNHcpM1qKOVSw2XaCGpfBQBRUARUARihkBCqbI+yz5xbp4216FDh7iX7Zvm&#10;LVpgeXDDBgrzOp4Jdlu4wSExeNAgZv3UHTt4iq+CqF5bgCqTuvC85957Z0yfzs3kSR/c07u3vC6E&#10;0VA/pR5uEu7T049j7sBWtmmwbDBHrCIdSEvjJzaEfCMVN5SOFSJ8iCwmBQcPNgd8hNJ63dXrLn6K&#10;RYKnBGlHjxzFPfYZm03Xtm79t8GD8dxIlquvuQYDCzJ0xN3imouimzU/bxVd1zawaRXDSw2XGIKv&#10;RSsCioAioAgERaB41fORIn4wKpVcyw8Z0zxWBdOzIeaFHabtUqVKkbJt61bziG2j8uXLYVvgR8Fp&#10;wX7N+xMmSC4J7JWPGDrWq3WbNngy2B5issfuSUhI4CmOHJMF/wd7QJQluSgRc8QpvEjCt6G08UEw&#10;UpDTqo7wEZOIC5PIlMsNRhIGylODB+OP6f/I+TeD0J2f+FHQkfgY11wkitHGJV6oGF5quMQQfC1a&#10;EVAEFAFFICgCla64xic6mDjl6zX0Q0wQLlbF0CFDcGBwvfTii8zW//PUU+TFE8MjAkHwkbw56k3M&#10;jnqXXAIN20M8Zb8GDwfOCe4Jd5XwF9fDV/B/YC4EYkoGDsSAkJ9vjR4tJcINO4OdGsqiFDjc0PE3&#10;7hb4m1IgRh7Z0DF8JESGR3wjIXL+6403RBibPDzFJMKEokQeiSII8/HUqdwTPSOIyaMGDc9bYK65&#10;MPjYLYJS4nX8QJ19NGq4ZB+2ylkRUAQUAUUg6whUuKRRgSKB93q8L2gad+sTiur8c1wOxJSwS8Ju&#10;Cx8iWPGFiNeEqFVMjfbt2zOjs8uDlwXiXbt2/fP55/FSJCUl9e3XD+cE9ITNEsML2Xtjx7qW26Nn&#10;T9LNlspTgwaVLFlSSsSCweCAMyEybDnBZOgLL2AWWPlQCqUjwyMPP4w8UMpTolvgw34TpcMHcwQ+&#10;UErML6xk28tc8pTQXXaXePr9unXChG+Uevjca0HYIsuXLaMgdMSmwWZyzTVo8GB2rCgFlOApGX1i&#10;HnUyPfI/6pAqQ0VAEVAEFIHoIHDiUNpXrz7pwatMyhX1b+5eKLF4dMpTLrkBATVcckMtqYyKgCKg&#10;CORVBLBdVo3/t/PU//KNW/Eniz53iPIqeL9PvdVw+X3Wq2qlCCgCisDvCQGO/09P21+4eMn8hQqV&#10;rHj+9eDfk4Kqi38E1HDxj5VSKgKKgCKgCCgCikCMEdDg3BhXgBavCCgCioAioAgoAv4RUMPFP1ZK&#10;qQgoAoqAIqAIKAIxRkANlxhXgBavCCgCioAioAgoAv4RUMPFP1ZKqQgoAoqAIqAIKAIxRkANlxhX&#10;gBavCCgCioAioAgoAv4RUMPFP1ZKqQgoAoqAIqAIKAIxRkANlxhXgBavCCgCioAioAgoAv4RUMPF&#10;P1ZKqQgoAoqAIqAIKAIxRkANlxhXgBavCCgCioAioAgoAv4RUMPFP1ZKqQgoAoqAIqAIKAIxRkAN&#10;lxhXgBavCCgCioAioAgoAv4RUMPFP1ZKqQgoAoqAIqAIKAIxRkD/ZDHGFaDFKwKKgCKgCPhEYEfq&#10;DkNZskTJEiVK+MyoZL8nBNRw+T3VpuqiCCgCisDvEIHVq1dxzZ7zuU235ORqd3a7s3Hjy2Ol85Yt&#10;W0qXLl2qVKkcFiAzM3PPnj2VKlUqXLhwsKKPHDly+PDhWrVq5bBsOVCcbhXlAMhahCKgCCgCikBW&#10;EDh16tQ//vH3518Y6rRaYJeauoNH778/wT/rpUuXDh40iEndZOHn3r17/XOwUnZs1/6rL7/MWt5I&#10;cmG1UDTfHkwQDJpISonbvGq4xG3VqGCKgCKgCOR1BF58cdh369Z6ozD1449wyfhE6kBa2gcT3n9l&#10;+HBDz8+MjAyf2ZUsHhBQwyUeakFlUAQUAUVAEbAjsHjJ4pBWi+SZMWOGf/iqJFfFWJk3b54zy9q1&#10;az+ZNo1HVpeMITNP2amx5uUnWfDlmETu4QO9UAoBKWwtCQ0+HorgmxQuUxyU/JRcwsTKFjJbik0F&#10;U65hyA1FcxmZJQU+hkZKFOZGQhGSFL5FKinL6JJlN5X/mgpGqYZL5BgqB0VAEVAEFIHoIzD/iy98&#10;MsW+scbteudq3qLFYwMHPj9kiM06eXPUm7fe3Gn//h/fGTPmts6dbRMzTx95+GF5ekPHjubpnDlz&#10;+LlwwYKe3e6EhqKZ7LknHXqmea67e/W6/97eH0ycyN6NGEyjRo7E69Oze/edO3dO+/jjpwcPFpmX&#10;LFki+zuwEiZ8s5klZgRSweT1ESP69O5t05FSHujXb9CTT65YseKfzz+/e/duISDLx1OnUvrQIUOE&#10;yZWNL/929erXRozgkSBAif964w1hzr3YKNhArVq0DAjQvTt5RSroUVZ04anVqPJZU1EhU8MlKjAq&#10;E0VAEVAEFIEoI+DT3SKl4t7wX3yXrl0gfuftt00WZuuXhw0bN/H9+/veP3HSpKSkpOeHDjVPmaF5&#10;OnrMGJ6+O3YsT9+fcD6wZsP69a++9tqQoUOHj3gVGiwDTAecOi8PHz5/4ULidqd+9NGKZcvhTEbS&#10;MZiELV6fh/v3b9u2bcurr549c5ZYQhgZGFXYB7DqcH3Hf48c2adfXygRjxIpFyZ8sL1sylIKkoyb&#10;MAFJkL9BgwZC8NTgwTBBNpjws2LFiltTdzz+xBNDX3hhV+rO1atXC1lqaip54dyk6ZVfzAvYi9hA&#10;FE1e0o8ePSpkkydNJhe6vPzKK+iCCeUf8yhSquESRTCVlSKgCCgCikBsENixfbv/grEnmNFHjxxl&#10;dkDW//AD2Zs1ayZM7ujWDWPCMCQyhnt5Q4cXeW686SbyylOMD7ESrr7mGr4Jl7nhxhuZ3fFMiENi&#10;w4YNfH82YwZ+CywPHklGzIKbO3WSQjEC8Nlgu1DodW2vW7lihdDga8GkkHtKRCpK57qrVy8jm9xQ&#10;Speud2CX2NIxjEipd8klfMumD76ca1u3xpFDyskTJ4S+ffv25IVzjZo19+zZDSzI2emWW3hEOk+F&#10;jEeIii54jPiJQWYrLmd+quGSMzhrKYqAIqAIKAJxhAAz+h3d7xzx6qtWmUwgyIlfZ3RXidPTTzB/&#10;2x6ZvBgii5YsTqlXD+NAbBcKwtTg848hQ2bNnSMZa9eubTjcc++9M6ZPx3bB4WFeYO7/yCNk4Zss&#10;vPkMcSipjnvji1H13tj3Jk/6ANcRfpeQleGMWf56yRLMI9EFJkaXkKyiS6CGS3TxVG6KgCKgCCgC&#10;0UGgRImS/hldeuml/omFsm+/fsatIj6JObNn881ODbtIeEQMQ3kq4Sn4LZj7mb/l6YD+j0j69E+n&#10;Y81gYUCAl+K+Pn1IxFXTpEkT5vuEhAQsEi7OfXHK2bpNG7wXFHrPueAVKe7QoUMmC74Q5IFAQnqd&#10;MS4pKSnGgSSBNa5opKcfx+uDkATieMBFuZhQb40eLaG46CjEaI3uqOChS7i1kAV6NVyyAJpmUQQU&#10;AUVAEch2BK5tc63/Mpo0udI/sVBiXhD8IffMxNwzQxPiSvgq/pK/PvigYcjTvw95jqBUnhKUytO7&#10;et0lT0knXLdmcjWiUggcwcJ47NFH+UmcL3YM+0ftO3QgJIVc3bp2Jd0aWGP4IwkRLezOtDgXvCLF&#10;4bCRLITNknhn9+58IxvRsuxP2ZTtfOut+HUIoYW+fkq9NWvWuKKBUo0vvxwCAnEwTTwQI4qFA+yg&#10;xA9kbDi0RndkEMFicoYNMuvJueE2daVXBBQBRUARyAkEeFHo8ccH+Cmpf/9HW7Zo6YcSjwVeBBML&#10;YjuCVk6bFdPByc35lFgQOb7WdoQuThH2Wawn20qKOWaXn+SyHrlrE4zSpThcNa7SmqKtclpLsZ6c&#10;a1NTfEJGBqvwEiNsSoQJQhIWs2jhAmJ+pSwJDIrJkcEigBoufpq60igCioAioAjEAAFOxeV8Oe+C&#10;e/T4c6ebO8VAuN91kUTnrF2ztkHDBux24YjCHSWhxPFwqeESD7WgMigCioAioAi4IMCR/6NGjVzy&#10;9WJXdPivonvuviclpZ5iF3UEcKvwXjSvEVWqVLlZ82bm/eqoF5QFhmq4ZAE0zaIIKAKKgCKQcwhw&#10;ov+iRYswX7BUKlaoKHG49etfVq5cuZwTQkuKGwTUcImbqlBBFAFFQBFQBBQBRSAUAvpWUSiE9Lki&#10;oAgoAoqAIqAIxA0CarjETVWoIIqAIqAIKAKKgCIQCgE1XEIhpM8VAUVAEVAEFAFFIG4QUMMlbqpC&#10;BVEEFAFFQBFQBBSBUAio4RIKIX2uCCgCioAioAgoAnGDgBoucVMVKogioAgoAoqAIqAIhEJADZdQ&#10;COlzRUARUAQUAUVAEYgbBNRwiZuqUEEUAUVAEVAEFAFFIBQCariEQkifKwKKgCKgCCgCikDcIKCG&#10;S9xUhQqiCCgCioAioAgoAqEQUMMlFEL6XBFQBBQBRUARUATiBgE1XOKmKlQQRUARUAQUAUVAEQiF&#10;gP7JYiiE9LkioAgoAopArBE4c/bs4eOHj508fubsmZOnTpYoWqJAvgLlSycVLlg41qJp+TmNgBou&#10;OY24lqcIKAKKgCLgH4HM05kbd23etn+Ha5bKZSs2rtWoQP78/hkqZW5HQA2X3F6DKr8ioAgoAr9b&#10;BH48krZ848qfz57x0LBUYsmr67eI3HY5cuRIZmZmxYoVcx7NvXv3Fi5cuFSpUjlftP8St2zZUrp0&#10;6XgQUmNc/NeaUioCioAioAjkHAL4WkJaLUhzJP3o9iD+GFdZsRJeevHFmsnV+DzQr9/atWuF7Ksv&#10;vxw1cmTOqWcpiXIp3SRgPyEhcsZEmGCFdmzX3ipkDGVTwyWG4GvRioAioAgoAkERYIfI29dicu7Y&#10;n+oTR9wqPbt3T01N/eiTabPmzklOTr715k7GdvHJRMlii4AaLrHFX0tXBBQBRUARcEcg7egBn9Cc&#10;OHVy9wFf/ol33n4bni8PH96gQYNatWo9/sQTTZpe+c/nn7cWtHTp0nnz5uH2kES2SD6ZNo1EjB5J&#10;4V5S5CfpeEegJxc30Btu3EsuYQKBYSL01oJMLraNOt1yi2zKkBFKcpHdyllSTKKQmdJNcUYL6CkL&#10;eiOAcBCZrZpaRfIQ0mfVZAeZxrhkB6rKUxFQBBQBRSBSBD78cpp/FkTpNk1pEpKe7aG/D3mue48e&#10;hpJ5+v57ey9fvYp9kA8mTiS9VOnSG9av5+azWbOY3Vu1aIlxQ2KPnj2bNWv25qg3Xx42rMP1HWfP&#10;nMX3v0eOZPqfM2dOwII5fPih/v17drsTbpgdGATkHTfxfR6RWCW5qhT64dSpmCaPDRhAKSn16klZ&#10;D/fvf3OnTkYq5MQhhGnFzR3d7/x6yZKkpKQVy5ZLIjYTDJGqRs2aR48eRQbIHhs4EMFMcSIhhVIc&#10;9gd+po7XXz9r5kwRAPGubd2a++YtWlSqVPn+vvcLT2sum5C7UncOH/GqVciQaGcTgXpcsglYZasI&#10;KAKKgCKQcwj43FRCoKJFi1rFqlo1YE8cPnyYbyyDO7p1ww4YN2EC8/SSJUtWrlhBOuYIiVgt2CJi&#10;tfCzT7++WAbiBeGG73fHjm3YsCE3q1ev5nvhggXYDeQa9OST3MBz6AsvwBbrAc5kIQU+mCwkeiCF&#10;aYKpAXOYLF+2DEoYUvrESZOGDB0KB8krVosp7rkhQ958ewycMciIOJ6/cCHupVdfe40UxENsbrp0&#10;vQMOWC3CE/7WXDYhc64uQ5WkhksohPS5IqAIKAKKQNwjcFH+AlmTMSMjg4wJCQl849sQjwIzPdbJ&#10;yRMnrr7mGqZzXBETxo/HbyF2DNfgQYMIlOHm0KFD5+2G4cNxUQS8FAMHvjNmDIkzpk+/5957sXUw&#10;EfCXEIH72YwZpG/YsGHrlq3wlzeYKBHfiYfw7du3x0ECZ7wj5BWbg70kWxY8SVgt8pTiXhk+HMsJ&#10;mhMnTiA5jiJcLAT0kIJeuG0QAFsHRfAqOXPt3//jt6tXA4gRMmvwZkcuNVyyA1XlqQgoAoqAIhAp&#10;AkULFfHPokLpCn6IMRFkW8dcS79eimki0zO+DZPOvg/3WAxsGGGLPDP46ffGvidP+z/yyF29evHN&#10;xo24WLgwLOTmurbX4blh54VvdmfEMLqnd2+y8CHLowMG2ERNS0vzI7yVRthaL6snyVocMiD55Ekf&#10;jB4zZmvqheNwcNXgkvlgwvsP9O0rfKy5unTtYgMkXAmzj14Nl+zDVjkrAoqAIqAIZB2BSmX9HqmC&#10;iVOuVJKfktj0YY8G94MQE+CC14HNGvnJI95Dxj8hZsfFSUlyuAuzOMbNnj27611yCWQ7d+7EY8HF&#10;uSbGXjGlk455xM4L7grsHn6SF+9FpUqVJAuJDRo2oCxKgTk+D++tIptewvCt0aMl8NYE2woZpUhx&#10;RkKKS08/Lo8IxxEyieRt0aIFQqKpa65GjRsjJK9cQcx7437gzRkaNVxyBmctRRFQBBQBRSA8BGpU&#10;qOZzA6j5JVf5PICOzRQiTDFW5BwXwnLZYZHtoRUrVuBZOXbsWP2UeuwNcQ8xASJXNr6cD7bF7V26&#10;YA1AT65uXbuS/bbOnV1VIlAG+htuvFGe4uogruWGjh3ZrIEV+zJwxmKgFMoiNpZdm7CgITiGkF7y&#10;IgMMrXkxpIikoTjKkuIwUP764IOEsyAAOsq21J49ewgchgMeFzRyzdW2bVuEZHcJsvr1LwtXyLA0&#10;CotY3yoKCy4lVgQUAUVAEcg5BHjJednG82ElrqVi2bS4tFnpYuGdOYsLgZkbhngajMvEHF8rrweb&#10;I3RxaRC6az00VlIIixEa+YlNYyQU/s4UCKyJ1hJtJ+di3Ihs1vNqrYIZFYSh7Vhb21MRjOwIbAoV&#10;GqMFBK65DOf4Od5XDZec64FakiKgCCgCikC4CASzXTBZ6lSuXb18NZ++lnDLVfq4RUANl7itGhVM&#10;EVAEFAFFIIAAZ//vP5x25pfz/1hUpnhp/hq6WJFERSdvIqCGS96sd9VaEVAEFAFFQBHIlQhocG6u&#10;rDYVWhFQBBQBRUARyJsIqOGSN+tdtVYEFAFFQBFQBHIlAmq45MpqU6EVAUVAEVAEFIG8iYAaLnmz&#10;3lVrRUARUAQUAUUgVyKghkuurDYVWhFQBBQBRUARyJsIqOGSN+tdtVYEFAFFQBFQBHIlAmq45Mpq&#10;U6EVAUVAEVAEFIG8iYAaLnmz3lVrRUARUAQUAUUgVyKghkuurDYVWhFQBBQBRUARyJsIqOGSN+td&#10;tVYEFAFFQBFQBHIlAmq45MpqU6EVAUVAEVAEFIG8iYAaLnmz3lVrRUARUAQUAUUgVyKghkuurDYV&#10;WhFQBBQBRUARyJsIqOGSN+tdtVYEFAFFQBFQBHIlAmq45MpqU6EVAUVAEVAEFIG8iYAaLnmz3lVr&#10;RUARUAQUAUUgVyKghkuurDYVWhFQBBQBRUARyJsIqOGSN+tdtVYEFAFFQBFQBHIlAmq45MpqU6EV&#10;AUVAEVAEFIG8iYAaLnmz3lVrRUARUAQUAUUgVyKghkuurDYVWhFQBBQBRUARyJsIqOGSN+tdtVYE&#10;FAFFQBFQBHIlAv8fAgpdJG3ZTmoAAAAASUVORK5CYIJQSwMEFAAGAAgAAAAhAELKjXneAAAABQEA&#10;AA8AAABkcnMvZG93bnJldi54bWxMj0FLw0AQhe+C/2EZwZvdpNWmjdmUUtRTEdoK4m2anSah2dmQ&#10;3Sbpv3f1opeBx3u89022Gk0jeupcbVlBPIlAEBdW11wq+Di8PixAOI+ssbFMCq7kYJXf3mSYajvw&#10;jvq9L0UoYZeigsr7NpXSFRUZdBPbEgfvZDuDPsiulLrDIZSbRk6jaC4N1hwWKmxpU1Fx3l+MgrcB&#10;h/Usfum359Pm+nV4ev/cxqTU/d24fgbhafR/YfjBD+iQB6ajvbB2olEQHvG/N3iLZZKAOCp4XMYJ&#10;yDyT/+nz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5f27g&#10;agMAAAUIAAAOAAAAAAAAAAAAAAAAADoCAABkcnMvZTJvRG9jLnhtbFBLAQItAAoAAAAAAAAAIQB3&#10;Zj/Br1UBAK9VAQAUAAAAAAAAAAAAAAAAANAFAABkcnMvbWVkaWEvaW1hZ2UxLnBuZ1BLAQItABQA&#10;BgAIAAAAIQBCyo153gAAAAUBAAAPAAAAAAAAAAAAAAAAALFbAQBkcnMvZG93bnJldi54bWxQSwEC&#10;LQAUAAYACAAAACEAqiYOvrwAAAAhAQAAGQAAAAAAAAAAAAAAAAC8XAEAZHJzL19yZWxzL2Uyb0Rv&#10;Yy54bWwucmVsc1BLBQYAAAAABgAGAHwBAACvXQEAAAA=&#10;">
                <v:shape id="Picture 190" o:spid="_x0000_s1092" type="#_x0000_t75" alt="A picture containing text, screenshot, number, font&#10;&#10;Description automatically generated" style="position:absolute;width:57003;height:3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OcxwAAANwAAAAPAAAAZHJzL2Rvd25yZXYueG1sRI9Ba8JA&#10;EIXvBf/DMoK3urGHYlNXMVKhCB5MW2hvQ3aapGZnY3bVxF/fORR6m+G9ee+bxap3jbpQF2rPBmbT&#10;BBRx4W3NpYH3t+39HFSIyBYbz2RgoACr5ehugan1Vz7QJY+lkhAOKRqoYmxTrUNRkcMw9S2xaN++&#10;cxhl7UptO7xKuGv0Q5I8aoc1S0OFLW0qKo752RnYJJ9hN8vq3ddH1mf5MNxe9qcfYybjfv0MKlIf&#10;/81/169W8J8EX56RCfTyFwAA//8DAFBLAQItABQABgAIAAAAIQDb4fbL7gAAAIUBAAATAAAAAAAA&#10;AAAAAAAAAAAAAABbQ29udGVudF9UeXBlc10ueG1sUEsBAi0AFAAGAAgAAAAhAFr0LFu/AAAAFQEA&#10;AAsAAAAAAAAAAAAAAAAAHwEAAF9yZWxzLy5yZWxzUEsBAi0AFAAGAAgAAAAhAMe645zHAAAA3AAA&#10;AA8AAAAAAAAAAAAAAAAABwIAAGRycy9kb3ducmV2LnhtbFBLBQYAAAAAAwADALcAAAD7AgAAAAA=&#10;">
                  <v:imagedata r:id="rId121" o:title="A picture containing text, screenshot, number, font&#10;&#10;Description automatically generated" cropbottom="13188f" cropleft="888f" cropright="2988f"/>
                </v:shape>
                <v:shape id="Text Box 2" o:spid="_x0000_s1093" type="#_x0000_t202" style="position:absolute;left:50800;top:1206;width:6203;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2B9AF050" w14:textId="77777777" w:rsidR="00173E2B" w:rsidRPr="007F6E8B" w:rsidRDefault="00173E2B" w:rsidP="00173E2B">
                        <w:pPr>
                          <w:spacing w:after="0" w:line="204" w:lineRule="auto"/>
                          <w:jc w:val="center"/>
                          <w:rPr>
                            <w:b/>
                            <w:bCs/>
                            <w:sz w:val="18"/>
                            <w:szCs w:val="18"/>
                          </w:rPr>
                        </w:pPr>
                        <w:r w:rsidRPr="007F6E8B">
                          <w:rPr>
                            <w:b/>
                            <w:bCs/>
                            <w:sz w:val="18"/>
                            <w:szCs w:val="18"/>
                          </w:rPr>
                          <w:t>Summary effect</w:t>
                        </w:r>
                      </w:p>
                    </w:txbxContent>
                  </v:textbox>
                </v:shape>
                <w10:anchorlock/>
              </v:group>
            </w:pict>
          </mc:Fallback>
        </mc:AlternateContent>
      </w:r>
    </w:p>
    <w:p w14:paraId="14530831" w14:textId="1CD4273A" w:rsidR="002A67DB" w:rsidRPr="00884FAA" w:rsidRDefault="002A67DB" w:rsidP="002A67DB"/>
    <w:p w14:paraId="3AF6EF15" w14:textId="77777777" w:rsidR="007340FF" w:rsidRDefault="007340FF">
      <w:pPr>
        <w:jc w:val="left"/>
        <w:rPr>
          <w:b/>
          <w:color w:val="9E6047" w:themeColor="accent3"/>
          <w:kern w:val="28"/>
          <w:sz w:val="32"/>
          <w:szCs w:val="28"/>
          <w:lang w:eastAsia="en-GB"/>
        </w:rPr>
      </w:pPr>
      <w:r>
        <w:br w:type="page"/>
      </w:r>
    </w:p>
    <w:p w14:paraId="618E2944" w14:textId="4C6D7E55" w:rsidR="004813E3" w:rsidRPr="00884FAA" w:rsidRDefault="0081236F" w:rsidP="004813E3">
      <w:r w:rsidRPr="00EF366D">
        <w:lastRenderedPageBreak/>
        <w:t>Higher levels of primary care activity were associated with increased levels of tertiary care</w:t>
      </w:r>
      <w:r w:rsidRPr="00EF366D" w:rsidDel="0081236F">
        <w:t xml:space="preserve"> </w:t>
      </w:r>
      <w:r w:rsidR="004813E3" w:rsidRPr="00884FAA">
        <w:t xml:space="preserve">For associations between primary care service activity and health outcomes, state and territory nKPI data </w:t>
      </w:r>
      <w:r w:rsidR="00051CA5">
        <w:t>were</w:t>
      </w:r>
      <w:r w:rsidR="00051CA5" w:rsidRPr="00884FAA">
        <w:t xml:space="preserve"> </w:t>
      </w:r>
      <w:r w:rsidR="004813E3" w:rsidRPr="00884FAA">
        <w:t xml:space="preserve">compared with hospitalisation and mortality outcomes. The analysis examined whether states and territories with better relative performance in nKPIs showed favourable changes in health outcomes. </w:t>
      </w:r>
      <w:r w:rsidR="004813E3">
        <w:t>Again, it must be noted that</w:t>
      </w:r>
      <w:r w:rsidR="004813E3" w:rsidRPr="00884FAA">
        <w:t xml:space="preserve"> the state and territory level of analysis provided too few data points for clear effects to be observed.</w:t>
      </w:r>
    </w:p>
    <w:p w14:paraId="25D21096" w14:textId="1948199C" w:rsidR="004813E3" w:rsidRPr="008604D5" w:rsidRDefault="004813E3" w:rsidP="004813E3">
      <w:r w:rsidRPr="00884FAA">
        <w:t>The effects of health service activity on hospitalisations and mortality were further examined using evaluation site-level data</w:t>
      </w:r>
      <w:r>
        <w:t xml:space="preserve"> received in Cycle 2</w:t>
      </w:r>
      <w:r w:rsidRPr="00884FAA">
        <w:t>. These analyses looked to, again, examine associations between nKPIs and hospitalisation, and to conduct in-depth case studies using diabetes nKPIs and MBS chronic care and hospitalisations data to mitigate some limitations of the data.</w:t>
      </w:r>
    </w:p>
    <w:p w14:paraId="00BA59AB" w14:textId="270C93C5" w:rsidR="0024304E" w:rsidRPr="00884FAA" w:rsidRDefault="0081236F" w:rsidP="00DE11C0">
      <w:r>
        <w:t>Areas with h</w:t>
      </w:r>
      <w:r w:rsidR="002A67DB" w:rsidRPr="00884FAA">
        <w:t xml:space="preserve">igher levels of primary care activity were associated with increased hospitalisations for principal diagnoses of substance use, </w:t>
      </w:r>
      <w:r w:rsidR="00D811C9" w:rsidRPr="00884FAA">
        <w:t>acute rheumatic fever (</w:t>
      </w:r>
      <w:r w:rsidR="002A67DB" w:rsidRPr="00884FAA">
        <w:t>ARF</w:t>
      </w:r>
      <w:r w:rsidR="00D811C9" w:rsidRPr="00884FAA">
        <w:t>) and</w:t>
      </w:r>
      <w:r w:rsidR="00FC240E">
        <w:t xml:space="preserve"> </w:t>
      </w:r>
      <w:r w:rsidR="00D811C9" w:rsidRPr="00884FAA">
        <w:t>rheumatic heart disease</w:t>
      </w:r>
      <w:r w:rsidR="00EC2352">
        <w:t xml:space="preserve"> (RHD)</w:t>
      </w:r>
      <w:r w:rsidR="002A67DB" w:rsidRPr="00884FAA">
        <w:t>, depression</w:t>
      </w:r>
      <w:r w:rsidR="00E124A9" w:rsidRPr="00884FAA">
        <w:t xml:space="preserve"> and </w:t>
      </w:r>
      <w:r w:rsidR="00FC240E">
        <w:t>intentional self-harm</w:t>
      </w:r>
      <w:r w:rsidR="002A67DB" w:rsidRPr="00884FAA">
        <w:t>, eyes</w:t>
      </w:r>
      <w:r w:rsidR="00E124A9" w:rsidRPr="00884FAA">
        <w:t xml:space="preserve"> and </w:t>
      </w:r>
      <w:r w:rsidR="002A67DB" w:rsidRPr="00884FAA">
        <w:t>ears, lifestyle factors, respiratory health</w:t>
      </w:r>
      <w:r w:rsidR="00984228" w:rsidRPr="00884FAA">
        <w:t>,</w:t>
      </w:r>
      <w:r w:rsidR="002A67DB" w:rsidRPr="00884FAA">
        <w:t xml:space="preserve"> and STI/blood-borne diseases</w:t>
      </w:r>
      <w:r w:rsidR="00E273E3">
        <w:t xml:space="preserve"> (</w:t>
      </w:r>
      <w:r w:rsidR="00DE11C0">
        <w:fldChar w:fldCharType="begin"/>
      </w:r>
      <w:r w:rsidR="00DE11C0">
        <w:instrText xml:space="preserve"> REF _Ref136954557 \h  \* MERGEFORMAT </w:instrText>
      </w:r>
      <w:r w:rsidR="00DE11C0">
        <w:fldChar w:fldCharType="separate"/>
      </w:r>
      <w:r w:rsidR="00165B17">
        <w:t xml:space="preserve">Figure </w:t>
      </w:r>
      <w:r w:rsidR="00165B17">
        <w:rPr>
          <w:noProof/>
        </w:rPr>
        <w:t>8</w:t>
      </w:r>
      <w:r w:rsidR="00165B17">
        <w:rPr>
          <w:noProof/>
        </w:rPr>
        <w:noBreakHyphen/>
        <w:t>4</w:t>
      </w:r>
      <w:r w:rsidR="00DE11C0">
        <w:fldChar w:fldCharType="end"/>
      </w:r>
      <w:r w:rsidR="00E273E3">
        <w:t>)</w:t>
      </w:r>
      <w:r w:rsidR="008F65A1" w:rsidRPr="00884FAA">
        <w:t>.</w:t>
      </w:r>
      <w:r w:rsidR="002A67DB" w:rsidRPr="00884FAA">
        <w:t xml:space="preserve"> Higher overall </w:t>
      </w:r>
      <w:r w:rsidR="00722778" w:rsidRPr="00884FAA">
        <w:t xml:space="preserve">primary care </w:t>
      </w:r>
      <w:r w:rsidR="002A67DB" w:rsidRPr="00884FAA">
        <w:t xml:space="preserve">activity was associated with decreased hospitalisations only in chronic kidney disease. </w:t>
      </w:r>
    </w:p>
    <w:p w14:paraId="55F6D184" w14:textId="4B9C8D07" w:rsidR="00F442A7" w:rsidRDefault="002A67DB" w:rsidP="00F442A7">
      <w:r w:rsidRPr="00884FAA">
        <w:t xml:space="preserve">In many cases, the relationship was </w:t>
      </w:r>
      <w:r w:rsidR="00FF0584" w:rsidRPr="00884FAA">
        <w:t xml:space="preserve">found to be </w:t>
      </w:r>
      <w:r w:rsidRPr="00884FAA">
        <w:t>different depending on whether principal diagnosis</w:t>
      </w:r>
      <w:r w:rsidR="004363AA" w:rsidRPr="00884FAA">
        <w:rPr>
          <w:vertAlign w:val="superscript"/>
        </w:rPr>
        <w:footnoteReference w:id="67"/>
      </w:r>
      <w:r w:rsidR="008C564F">
        <w:t xml:space="preserve"> (</w:t>
      </w:r>
      <w:r w:rsidR="0060082D">
        <w:t>PDX)</w:t>
      </w:r>
      <w:r w:rsidRPr="00884FAA">
        <w:t xml:space="preserve"> or additional diagnosis</w:t>
      </w:r>
      <w:r w:rsidR="004363AA" w:rsidRPr="00884FAA">
        <w:rPr>
          <w:vertAlign w:val="superscript"/>
        </w:rPr>
        <w:footnoteReference w:id="68"/>
      </w:r>
      <w:r w:rsidR="0060082D">
        <w:t xml:space="preserve"> (ADX)</w:t>
      </w:r>
      <w:r w:rsidRPr="00884FAA">
        <w:t xml:space="preserve"> was used.</w:t>
      </w:r>
      <w:r w:rsidR="00F442A7">
        <w:t xml:space="preserve"> </w:t>
      </w:r>
      <w:r w:rsidR="00F442A7" w:rsidRPr="00F442A7">
        <w:t>The underlying ca</w:t>
      </w:r>
      <w:r w:rsidR="00F12C69">
        <w:t>usal</w:t>
      </w:r>
      <w:r w:rsidR="00F442A7" w:rsidRPr="00F442A7">
        <w:t xml:space="preserve"> mechanisms of these results are not ascertainable given these data. Appropriate prospective studies or analysis of linked data are required.</w:t>
      </w:r>
    </w:p>
    <w:p w14:paraId="01E27537" w14:textId="77777777" w:rsidR="006779B2" w:rsidRDefault="006779B2">
      <w:pPr>
        <w:jc w:val="left"/>
        <w:rPr>
          <w:b/>
          <w:sz w:val="21"/>
          <w:szCs w:val="20"/>
          <w:lang w:val="en-NZ"/>
        </w:rPr>
      </w:pPr>
      <w:bookmarkStart w:id="262" w:name="_Ref136421014"/>
      <w:r>
        <w:br w:type="page"/>
      </w:r>
    </w:p>
    <w:p w14:paraId="411911E7" w14:textId="69A43898" w:rsidR="009E34C5" w:rsidRPr="00F442A7" w:rsidRDefault="009E34C5" w:rsidP="009E34C5">
      <w:pPr>
        <w:pStyle w:val="TableFigure-Header"/>
      </w:pPr>
      <w:bookmarkStart w:id="263" w:name="_Ref136954557"/>
      <w:bookmarkStart w:id="264" w:name="_Toc138851347"/>
      <w:r>
        <w:lastRenderedPageBreak/>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4</w:t>
      </w:r>
      <w:r w:rsidR="005B4A4F">
        <w:fldChar w:fldCharType="end"/>
      </w:r>
      <w:bookmarkEnd w:id="262"/>
      <w:bookmarkEnd w:id="263"/>
      <w:r>
        <w:t xml:space="preserve">. </w:t>
      </w:r>
      <w:r w:rsidR="00A40078">
        <w:t xml:space="preserve">Associations between PHC activity and </w:t>
      </w:r>
      <w:r w:rsidR="00C335FF">
        <w:t xml:space="preserve">change in </w:t>
      </w:r>
      <w:r w:rsidR="00BF708D">
        <w:t>hospitalisation rate</w:t>
      </w:r>
      <w:r w:rsidR="00B74CBB">
        <w:t xml:space="preserve"> at </w:t>
      </w:r>
      <w:r w:rsidR="000A4208">
        <w:t xml:space="preserve">the </w:t>
      </w:r>
      <w:r w:rsidR="00B74CBB">
        <w:t>site level</w:t>
      </w:r>
      <w:r w:rsidR="009C5C3F">
        <w:t xml:space="preserve"> (</w:t>
      </w:r>
      <w:r w:rsidR="00BB4B93">
        <w:t>the dots represent the site datapoints)</w:t>
      </w:r>
      <w:bookmarkEnd w:id="264"/>
    </w:p>
    <w:p w14:paraId="239F4D8A" w14:textId="5AC29FB3" w:rsidR="002A67DB" w:rsidRPr="00884FAA" w:rsidRDefault="00AA4A48" w:rsidP="00FB633A">
      <w:pPr>
        <w:spacing w:after="360"/>
      </w:pPr>
      <w:r>
        <w:rPr>
          <w:noProof/>
        </w:rPr>
        <w:drawing>
          <wp:inline distT="0" distB="0" distL="0" distR="0" wp14:anchorId="77757DF3" wp14:editId="3EAFF4ED">
            <wp:extent cx="5579999" cy="7665129"/>
            <wp:effectExtent l="0" t="0" r="1905" b="0"/>
            <wp:docPr id="1" name="Picture 1" descr="Series of graphs showing relationships between primary health care and hospitalisation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eries of graphs showing relationships between primary health care and hospitalisation rates"/>
                    <pic:cNvPicPr/>
                  </pic:nvPicPr>
                  <pic:blipFill>
                    <a:blip r:embed="rId122">
                      <a:extLst>
                        <a:ext uri="{96DAC541-7B7A-43D3-8B79-37D633B846F1}">
                          <asvg:svgBlip xmlns:asvg="http://schemas.microsoft.com/office/drawing/2016/SVG/main" r:embed="rId123"/>
                        </a:ext>
                      </a:extLst>
                    </a:blip>
                    <a:stretch>
                      <a:fillRect/>
                    </a:stretch>
                  </pic:blipFill>
                  <pic:spPr>
                    <a:xfrm>
                      <a:off x="0" y="0"/>
                      <a:ext cx="5579999" cy="7665129"/>
                    </a:xfrm>
                    <a:prstGeom prst="rect">
                      <a:avLst/>
                    </a:prstGeom>
                  </pic:spPr>
                </pic:pic>
              </a:graphicData>
            </a:graphic>
          </wp:inline>
        </w:drawing>
      </w:r>
    </w:p>
    <w:p w14:paraId="6AB3A2FF" w14:textId="77777777" w:rsidR="004C1D0A" w:rsidRDefault="004C1D0A">
      <w:pPr>
        <w:jc w:val="left"/>
      </w:pPr>
      <w:r>
        <w:br w:type="page"/>
      </w:r>
    </w:p>
    <w:p w14:paraId="316E610E" w14:textId="692AD919" w:rsidR="002A67DB" w:rsidRPr="00884FAA" w:rsidRDefault="002A67DB" w:rsidP="002A67DB">
      <w:r w:rsidRPr="00884FAA">
        <w:lastRenderedPageBreak/>
        <w:t xml:space="preserve">This analysis is limited by two key factors: the breadth of both the activities covered by the nKPI and the health conditions coded in the hospitalisations data, and the inclusion of hospitalisations for </w:t>
      </w:r>
      <w:r w:rsidR="001A6C58" w:rsidRPr="00884FAA">
        <w:t xml:space="preserve">people </w:t>
      </w:r>
      <w:r w:rsidRPr="00884FAA">
        <w:t>who were not provided care reported in the nKPI (</w:t>
      </w:r>
      <w:r w:rsidR="0090216F" w:rsidRPr="00884FAA">
        <w:t>for example,</w:t>
      </w:r>
      <w:r w:rsidRPr="00884FAA">
        <w:t xml:space="preserve"> </w:t>
      </w:r>
      <w:r w:rsidR="0090216F" w:rsidRPr="00884FAA">
        <w:t xml:space="preserve">if they are </w:t>
      </w:r>
      <w:r w:rsidRPr="00884FAA">
        <w:t xml:space="preserve">not a regular patient of a reporting health service). </w:t>
      </w:r>
    </w:p>
    <w:p w14:paraId="728E1938" w14:textId="583471F2" w:rsidR="002A67DB" w:rsidRPr="00884FAA" w:rsidRDefault="00DA3C02" w:rsidP="00651D06">
      <w:pPr>
        <w:pStyle w:val="Heading3"/>
      </w:pPr>
      <w:r>
        <w:t xml:space="preserve">The association between </w:t>
      </w:r>
      <w:r w:rsidR="00A90F43">
        <w:t xml:space="preserve">diabetes-related </w:t>
      </w:r>
      <w:r w:rsidR="009E3D95">
        <w:t>primary care</w:t>
      </w:r>
      <w:r w:rsidR="002A67DB" w:rsidRPr="00884FAA">
        <w:t xml:space="preserve"> activity </w:t>
      </w:r>
      <w:r w:rsidR="009E3D95">
        <w:t>and</w:t>
      </w:r>
      <w:r w:rsidR="002A67DB" w:rsidRPr="00884FAA">
        <w:t xml:space="preserve"> rates of diabetes hospitalisation</w:t>
      </w:r>
      <w:r w:rsidR="009E3D95">
        <w:t xml:space="preserve"> va</w:t>
      </w:r>
      <w:r w:rsidR="00BC20EB">
        <w:t>ried</w:t>
      </w:r>
    </w:p>
    <w:p w14:paraId="506A6FF4" w14:textId="4FF08729" w:rsidR="002A67DB" w:rsidRPr="00884FAA" w:rsidRDefault="00242586" w:rsidP="002A67DB">
      <w:r w:rsidRPr="00242586">
        <w:t xml:space="preserve">To mitigate the limiting factors identified above (breadth of activity and different populations represented in nKPI and hospitalisation data), the evaluation undertook a more in-depth case study analysis restricted hospitalisations for a principal diagnosis of diabetes, and diabetes-related indicators from the nKPI (PI05, PI07, PI08, PI15, PI18, PI23; see </w:t>
      </w:r>
      <w:r w:rsidR="00EC6543">
        <w:fldChar w:fldCharType="begin"/>
      </w:r>
      <w:r w:rsidR="00EC6543">
        <w:instrText xml:space="preserve"> REF _Ref136422953 \h </w:instrText>
      </w:r>
      <w:r w:rsidR="00EC6543">
        <w:fldChar w:fldCharType="separate"/>
      </w:r>
      <w:r w:rsidR="00165B17">
        <w:t xml:space="preserve">Table </w:t>
      </w:r>
      <w:r w:rsidR="00165B17">
        <w:rPr>
          <w:noProof/>
        </w:rPr>
        <w:t>8</w:t>
      </w:r>
      <w:r w:rsidR="00165B17">
        <w:noBreakHyphen/>
      </w:r>
      <w:r w:rsidR="00165B17">
        <w:rPr>
          <w:noProof/>
        </w:rPr>
        <w:t>1</w:t>
      </w:r>
      <w:r w:rsidR="00EC6543">
        <w:fldChar w:fldCharType="end"/>
      </w:r>
      <w:r w:rsidRPr="00242586">
        <w:t xml:space="preserve">) and MBS. The MBS items included the items in the MBS Item Group ‘Chronic disease and complex care needs management and review’ which includes </w:t>
      </w:r>
      <w:r w:rsidR="006D2482">
        <w:t>4</w:t>
      </w:r>
      <w:r w:rsidR="006D2482" w:rsidRPr="00242586">
        <w:t xml:space="preserve"> </w:t>
      </w:r>
      <w:r w:rsidRPr="00242586">
        <w:t>activities: GP Management Plan (GPMP, item 721), Team Care Arrangement (TCA, item 723), GPMP review (item 732), and Domiciliary Medication Management Review (item 900).</w:t>
      </w:r>
    </w:p>
    <w:p w14:paraId="2B4DBE0C" w14:textId="27195BFD" w:rsidR="006E4EA5" w:rsidRDefault="0002411B" w:rsidP="00E2025D">
      <w:r w:rsidRPr="0002411B">
        <w:t xml:space="preserve">A weak, non-significant negative correlation between the relevant nKPI and hospitalisations for diabetes was observed across sites; that is, sites with higher rates of service appeared to have lower rates of hospitalisations, on average </w:t>
      </w:r>
      <w:r w:rsidR="00D4078A">
        <w:t>(</w:t>
      </w:r>
      <w:r w:rsidR="00D4078A">
        <w:fldChar w:fldCharType="begin"/>
      </w:r>
      <w:r w:rsidR="00D4078A">
        <w:instrText xml:space="preserve"> REF _Ref136422953 \h </w:instrText>
      </w:r>
      <w:r w:rsidR="00E2025D">
        <w:instrText xml:space="preserve"> \* MERGEFORMAT </w:instrText>
      </w:r>
      <w:r w:rsidR="00D4078A">
        <w:fldChar w:fldCharType="separate"/>
      </w:r>
      <w:r w:rsidR="00165B17">
        <w:t xml:space="preserve">Table </w:t>
      </w:r>
      <w:r w:rsidR="00165B17">
        <w:rPr>
          <w:noProof/>
        </w:rPr>
        <w:t>8</w:t>
      </w:r>
      <w:r w:rsidR="00165B17">
        <w:rPr>
          <w:noProof/>
        </w:rPr>
        <w:noBreakHyphen/>
        <w:t>1</w:t>
      </w:r>
      <w:r w:rsidR="00D4078A">
        <w:fldChar w:fldCharType="end"/>
      </w:r>
      <w:r w:rsidR="00D4078A">
        <w:t>)</w:t>
      </w:r>
      <w:r w:rsidR="0092661E">
        <w:t xml:space="preserve">. </w:t>
      </w:r>
    </w:p>
    <w:p w14:paraId="1E55D22A" w14:textId="2075A7ED" w:rsidR="002A67DB" w:rsidRPr="00884FAA" w:rsidRDefault="006E4EA5" w:rsidP="00E2025D">
      <w:r w:rsidRPr="006E4EA5">
        <w:t xml:space="preserve">This was also found for the correlation </w:t>
      </w:r>
      <w:r w:rsidRPr="006E4EA5">
        <w:rPr>
          <w:u w:val="single"/>
        </w:rPr>
        <w:t>between</w:t>
      </w:r>
      <w:r w:rsidRPr="006E4EA5">
        <w:t xml:space="preserve"> the rates of MBS services for the chronic disease item group. However, the correlations between rates of MBS activity and hospitalisations for diabetes for all available years </w:t>
      </w:r>
      <w:r w:rsidRPr="006E4EA5">
        <w:rPr>
          <w:u w:val="single"/>
        </w:rPr>
        <w:t>within</w:t>
      </w:r>
      <w:r w:rsidRPr="006E4EA5">
        <w:t xml:space="preserve"> each site showed mostly positive associations (higher rates of MBS activity are accompanied by higher rates of diabetes hospitalisation in all years)</w:t>
      </w:r>
      <w:r w:rsidR="008B0177">
        <w:t xml:space="preserve"> (</w:t>
      </w:r>
      <w:r w:rsidR="002C152C">
        <w:fldChar w:fldCharType="begin"/>
      </w:r>
      <w:r w:rsidR="002C152C">
        <w:instrText xml:space="preserve"> REF _Ref136955445 \h </w:instrText>
      </w:r>
      <w:r w:rsidR="002C152C">
        <w:fldChar w:fldCharType="separate"/>
      </w:r>
      <w:r w:rsidR="00165B17">
        <w:t xml:space="preserve">Figure </w:t>
      </w:r>
      <w:r w:rsidR="00165B17">
        <w:rPr>
          <w:noProof/>
        </w:rPr>
        <w:t>8</w:t>
      </w:r>
      <w:r w:rsidR="00165B17">
        <w:noBreakHyphen/>
      </w:r>
      <w:r w:rsidR="00165B17">
        <w:rPr>
          <w:noProof/>
        </w:rPr>
        <w:t>5</w:t>
      </w:r>
      <w:r w:rsidR="002C152C">
        <w:fldChar w:fldCharType="end"/>
      </w:r>
      <w:r w:rsidR="008B0177">
        <w:t>)</w:t>
      </w:r>
      <w:r w:rsidR="002A67DB" w:rsidRPr="00884FAA">
        <w:t>.</w:t>
      </w:r>
    </w:p>
    <w:p w14:paraId="2680DE35" w14:textId="00E43A95" w:rsidR="00F20B9C" w:rsidRPr="00F20B9C" w:rsidRDefault="00D4078A" w:rsidP="005008E7">
      <w:pPr>
        <w:pStyle w:val="TableFigure-Header"/>
        <w:jc w:val="both"/>
      </w:pPr>
      <w:bookmarkStart w:id="265" w:name="_Ref136422953"/>
      <w:bookmarkStart w:id="266" w:name="_Toc138851285"/>
      <w:r>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1</w:t>
      </w:r>
      <w:r w:rsidR="00B92D87">
        <w:fldChar w:fldCharType="end"/>
      </w:r>
      <w:bookmarkEnd w:id="265"/>
      <w:r>
        <w:t>. Relationship between nKPI and hospitalisation rates for diabetes (unit of observation is the evaluation sites)</w:t>
      </w:r>
      <w:bookmarkEnd w:id="266"/>
    </w:p>
    <w:tbl>
      <w:tblPr>
        <w:tblStyle w:val="ACTableDesign1White"/>
        <w:tblW w:w="9072" w:type="dxa"/>
        <w:tblLook w:val="06A0" w:firstRow="1" w:lastRow="0" w:firstColumn="1" w:lastColumn="0" w:noHBand="1" w:noVBand="1"/>
      </w:tblPr>
      <w:tblGrid>
        <w:gridCol w:w="4962"/>
        <w:gridCol w:w="788"/>
        <w:gridCol w:w="1134"/>
        <w:gridCol w:w="1337"/>
        <w:gridCol w:w="992"/>
      </w:tblGrid>
      <w:tr w:rsidR="00F20B9C" w:rsidRPr="00F20B9C" w14:paraId="36EC118F" w14:textId="77777777" w:rsidTr="0092661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38D96422" w14:textId="77777777" w:rsidR="00F20B9C" w:rsidRPr="0058387D" w:rsidRDefault="00F20B9C" w:rsidP="00F20B9C">
            <w:pPr>
              <w:rPr>
                <w:b w:val="0"/>
                <w:bCs/>
                <w:color w:val="000000" w:themeColor="text1"/>
                <w:lang w:val="en-US"/>
              </w:rPr>
            </w:pPr>
            <w:r w:rsidRPr="0058387D">
              <w:rPr>
                <w:bCs/>
                <w:color w:val="000000" w:themeColor="text1"/>
                <w:lang w:val="en-US"/>
              </w:rPr>
              <w:t>nKPI</w:t>
            </w:r>
          </w:p>
        </w:tc>
        <w:tc>
          <w:tcPr>
            <w:tcW w:w="708" w:type="dxa"/>
            <w:noWrap/>
            <w:hideMark/>
          </w:tcPr>
          <w:p w14:paraId="06E32DC5" w14:textId="77777777" w:rsidR="00F20B9C" w:rsidRPr="0058387D" w:rsidRDefault="00F20B9C" w:rsidP="00364A56">
            <w:pPr>
              <w:jc w:val="center"/>
              <w:cnfStyle w:val="100000000000" w:firstRow="1" w:lastRow="0" w:firstColumn="0" w:lastColumn="0" w:oddVBand="0" w:evenVBand="0" w:oddHBand="0" w:evenHBand="0" w:firstRowFirstColumn="0" w:firstRowLastColumn="0" w:lastRowFirstColumn="0" w:lastRowLastColumn="0"/>
              <w:rPr>
                <w:b w:val="0"/>
                <w:bCs/>
                <w:color w:val="000000" w:themeColor="text1"/>
                <w:lang w:val="en-US"/>
              </w:rPr>
            </w:pPr>
            <w:r w:rsidRPr="0058387D">
              <w:rPr>
                <w:bCs/>
                <w:color w:val="000000" w:themeColor="text1"/>
                <w:lang w:val="en-US"/>
              </w:rPr>
              <w:t>Slope</w:t>
            </w:r>
          </w:p>
        </w:tc>
        <w:tc>
          <w:tcPr>
            <w:tcW w:w="1134" w:type="dxa"/>
            <w:noWrap/>
            <w:hideMark/>
          </w:tcPr>
          <w:p w14:paraId="545F81A2" w14:textId="77777777" w:rsidR="00F20B9C" w:rsidRPr="0058387D" w:rsidRDefault="00F20B9C" w:rsidP="00364A56">
            <w:pPr>
              <w:jc w:val="center"/>
              <w:cnfStyle w:val="100000000000" w:firstRow="1" w:lastRow="0" w:firstColumn="0" w:lastColumn="0" w:oddVBand="0" w:evenVBand="0" w:oddHBand="0" w:evenHBand="0" w:firstRowFirstColumn="0" w:firstRowLastColumn="0" w:lastRowFirstColumn="0" w:lastRowLastColumn="0"/>
              <w:rPr>
                <w:b w:val="0"/>
                <w:bCs/>
                <w:color w:val="000000" w:themeColor="text1"/>
                <w:lang w:val="en-US"/>
              </w:rPr>
            </w:pPr>
            <w:r w:rsidRPr="0058387D">
              <w:rPr>
                <w:bCs/>
                <w:color w:val="000000" w:themeColor="text1"/>
                <w:lang w:val="en-US"/>
              </w:rPr>
              <w:t>Intercept</w:t>
            </w:r>
          </w:p>
        </w:tc>
        <w:tc>
          <w:tcPr>
            <w:tcW w:w="1276" w:type="dxa"/>
            <w:noWrap/>
            <w:hideMark/>
          </w:tcPr>
          <w:p w14:paraId="6EFCFDFD" w14:textId="77777777" w:rsidR="00F20B9C" w:rsidRPr="0058387D" w:rsidRDefault="00F20B9C" w:rsidP="00364A56">
            <w:pPr>
              <w:jc w:val="center"/>
              <w:cnfStyle w:val="100000000000" w:firstRow="1" w:lastRow="0" w:firstColumn="0" w:lastColumn="0" w:oddVBand="0" w:evenVBand="0" w:oddHBand="0" w:evenHBand="0" w:firstRowFirstColumn="0" w:firstRowLastColumn="0" w:lastRowFirstColumn="0" w:lastRowLastColumn="0"/>
              <w:rPr>
                <w:b w:val="0"/>
                <w:bCs/>
                <w:color w:val="000000" w:themeColor="text1"/>
                <w:lang w:val="en-US"/>
              </w:rPr>
            </w:pPr>
            <w:r w:rsidRPr="0058387D">
              <w:rPr>
                <w:bCs/>
                <w:color w:val="000000" w:themeColor="text1"/>
                <w:lang w:val="en-US"/>
              </w:rPr>
              <w:t>Correlation</w:t>
            </w:r>
          </w:p>
        </w:tc>
        <w:tc>
          <w:tcPr>
            <w:tcW w:w="992" w:type="dxa"/>
            <w:noWrap/>
            <w:hideMark/>
          </w:tcPr>
          <w:p w14:paraId="7AA8C074" w14:textId="77777777" w:rsidR="00F20B9C" w:rsidRPr="0058387D" w:rsidRDefault="00F20B9C" w:rsidP="00364A56">
            <w:pPr>
              <w:jc w:val="center"/>
              <w:cnfStyle w:val="100000000000" w:firstRow="1" w:lastRow="0" w:firstColumn="0" w:lastColumn="0" w:oddVBand="0" w:evenVBand="0" w:oddHBand="0" w:evenHBand="0" w:firstRowFirstColumn="0" w:firstRowLastColumn="0" w:lastRowFirstColumn="0" w:lastRowLastColumn="0"/>
              <w:rPr>
                <w:b w:val="0"/>
                <w:bCs/>
                <w:i/>
                <w:iCs/>
                <w:color w:val="000000" w:themeColor="text1"/>
                <w:lang w:val="en-US"/>
              </w:rPr>
            </w:pPr>
            <w:r w:rsidRPr="0058387D">
              <w:rPr>
                <w:bCs/>
                <w:i/>
                <w:iCs/>
                <w:color w:val="000000" w:themeColor="text1"/>
                <w:lang w:val="en-US"/>
              </w:rPr>
              <w:t>p</w:t>
            </w:r>
          </w:p>
        </w:tc>
      </w:tr>
      <w:tr w:rsidR="00F20B9C" w:rsidRPr="00F20B9C" w14:paraId="72C00325" w14:textId="77777777" w:rsidTr="0092661E">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196A78B0" w14:textId="77777777" w:rsidR="00F20B9C" w:rsidRPr="00F20B9C" w:rsidRDefault="00F20B9C" w:rsidP="00364A56">
            <w:pPr>
              <w:jc w:val="left"/>
              <w:rPr>
                <w:lang w:val="en-US"/>
              </w:rPr>
            </w:pPr>
            <w:r w:rsidRPr="00F20B9C">
              <w:rPr>
                <w:lang w:val="en-US"/>
              </w:rPr>
              <w:t>PI05: HbA1c result recorded</w:t>
            </w:r>
          </w:p>
        </w:tc>
        <w:tc>
          <w:tcPr>
            <w:tcW w:w="708" w:type="dxa"/>
            <w:noWrap/>
            <w:hideMark/>
          </w:tcPr>
          <w:p w14:paraId="24A4B455"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-0.76</w:t>
            </w:r>
          </w:p>
        </w:tc>
        <w:tc>
          <w:tcPr>
            <w:tcW w:w="1134" w:type="dxa"/>
            <w:noWrap/>
            <w:hideMark/>
          </w:tcPr>
          <w:p w14:paraId="5DA6E3CA"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73.94</w:t>
            </w:r>
          </w:p>
        </w:tc>
        <w:tc>
          <w:tcPr>
            <w:tcW w:w="1276" w:type="dxa"/>
            <w:noWrap/>
            <w:hideMark/>
          </w:tcPr>
          <w:p w14:paraId="667D9E16"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-0.26</w:t>
            </w:r>
          </w:p>
        </w:tc>
        <w:tc>
          <w:tcPr>
            <w:tcW w:w="992" w:type="dxa"/>
            <w:noWrap/>
            <w:hideMark/>
          </w:tcPr>
          <w:p w14:paraId="7C26ACCC"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0.33</w:t>
            </w:r>
          </w:p>
        </w:tc>
      </w:tr>
      <w:tr w:rsidR="00F20B9C" w:rsidRPr="00F20B9C" w14:paraId="101EF43B" w14:textId="77777777" w:rsidTr="0092661E">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4B459827" w14:textId="77777777" w:rsidR="00F20B9C" w:rsidRPr="00F20B9C" w:rsidRDefault="00F20B9C" w:rsidP="00364A56">
            <w:pPr>
              <w:jc w:val="left"/>
              <w:rPr>
                <w:lang w:val="en-US"/>
              </w:rPr>
            </w:pPr>
            <w:r w:rsidRPr="00F20B9C">
              <w:rPr>
                <w:lang w:val="en-US"/>
              </w:rPr>
              <w:t>PI07: General Practitioner Management Plan</w:t>
            </w:r>
          </w:p>
        </w:tc>
        <w:tc>
          <w:tcPr>
            <w:tcW w:w="708" w:type="dxa"/>
            <w:noWrap/>
            <w:hideMark/>
          </w:tcPr>
          <w:p w14:paraId="47EAF7CB"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-1.32</w:t>
            </w:r>
          </w:p>
        </w:tc>
        <w:tc>
          <w:tcPr>
            <w:tcW w:w="1134" w:type="dxa"/>
            <w:noWrap/>
            <w:hideMark/>
          </w:tcPr>
          <w:p w14:paraId="1C31089B"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66.90</w:t>
            </w:r>
          </w:p>
        </w:tc>
        <w:tc>
          <w:tcPr>
            <w:tcW w:w="1276" w:type="dxa"/>
            <w:noWrap/>
            <w:hideMark/>
          </w:tcPr>
          <w:p w14:paraId="2023DE54"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-0.35</w:t>
            </w:r>
          </w:p>
        </w:tc>
        <w:tc>
          <w:tcPr>
            <w:tcW w:w="992" w:type="dxa"/>
            <w:noWrap/>
            <w:hideMark/>
          </w:tcPr>
          <w:p w14:paraId="1B1502F3"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0.18</w:t>
            </w:r>
          </w:p>
        </w:tc>
      </w:tr>
      <w:tr w:rsidR="00F20B9C" w:rsidRPr="00F20B9C" w14:paraId="643524EF" w14:textId="77777777" w:rsidTr="0092661E">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0E8C27A5" w14:textId="77777777" w:rsidR="00F20B9C" w:rsidRPr="00F20B9C" w:rsidRDefault="00F20B9C" w:rsidP="00364A56">
            <w:pPr>
              <w:jc w:val="left"/>
              <w:rPr>
                <w:lang w:val="en-US"/>
              </w:rPr>
            </w:pPr>
            <w:r w:rsidRPr="00F20B9C">
              <w:rPr>
                <w:lang w:val="en-US"/>
              </w:rPr>
              <w:t>PI08: Team Care Arrangement</w:t>
            </w:r>
          </w:p>
        </w:tc>
        <w:tc>
          <w:tcPr>
            <w:tcW w:w="708" w:type="dxa"/>
            <w:noWrap/>
            <w:hideMark/>
          </w:tcPr>
          <w:p w14:paraId="31D99EDD"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-1.09</w:t>
            </w:r>
          </w:p>
        </w:tc>
        <w:tc>
          <w:tcPr>
            <w:tcW w:w="1134" w:type="dxa"/>
            <w:noWrap/>
            <w:hideMark/>
          </w:tcPr>
          <w:p w14:paraId="04B0476D"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62.19</w:t>
            </w:r>
          </w:p>
        </w:tc>
        <w:tc>
          <w:tcPr>
            <w:tcW w:w="1276" w:type="dxa"/>
            <w:noWrap/>
            <w:hideMark/>
          </w:tcPr>
          <w:p w14:paraId="79B0CA7B"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-0.29</w:t>
            </w:r>
          </w:p>
        </w:tc>
        <w:tc>
          <w:tcPr>
            <w:tcW w:w="992" w:type="dxa"/>
            <w:noWrap/>
            <w:hideMark/>
          </w:tcPr>
          <w:p w14:paraId="0E54BF22"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0.28</w:t>
            </w:r>
          </w:p>
        </w:tc>
      </w:tr>
      <w:tr w:rsidR="00F20B9C" w:rsidRPr="00F20B9C" w14:paraId="7881C68F" w14:textId="77777777" w:rsidTr="0092661E">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65D6DDC2" w14:textId="77777777" w:rsidR="00F20B9C" w:rsidRPr="00F20B9C" w:rsidRDefault="00F20B9C" w:rsidP="00364A56">
            <w:pPr>
              <w:jc w:val="left"/>
              <w:rPr>
                <w:lang w:val="en-US"/>
              </w:rPr>
            </w:pPr>
            <w:r w:rsidRPr="00F20B9C">
              <w:rPr>
                <w:lang w:val="en-US"/>
              </w:rPr>
              <w:t>PI15: Immunised against influenza—clients with Type 2 diabetes</w:t>
            </w:r>
          </w:p>
        </w:tc>
        <w:tc>
          <w:tcPr>
            <w:tcW w:w="708" w:type="dxa"/>
            <w:noWrap/>
            <w:hideMark/>
          </w:tcPr>
          <w:p w14:paraId="7F063BC2"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0.06</w:t>
            </w:r>
          </w:p>
        </w:tc>
        <w:tc>
          <w:tcPr>
            <w:tcW w:w="1134" w:type="dxa"/>
            <w:noWrap/>
            <w:hideMark/>
          </w:tcPr>
          <w:p w14:paraId="2D2F6AFA"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33.25</w:t>
            </w:r>
          </w:p>
        </w:tc>
        <w:tc>
          <w:tcPr>
            <w:tcW w:w="1276" w:type="dxa"/>
            <w:noWrap/>
            <w:hideMark/>
          </w:tcPr>
          <w:p w14:paraId="0F27C912"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0.01</w:t>
            </w:r>
          </w:p>
        </w:tc>
        <w:tc>
          <w:tcPr>
            <w:tcW w:w="992" w:type="dxa"/>
            <w:noWrap/>
            <w:hideMark/>
          </w:tcPr>
          <w:p w14:paraId="04597FA0"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0.96</w:t>
            </w:r>
          </w:p>
        </w:tc>
      </w:tr>
      <w:tr w:rsidR="00F20B9C" w:rsidRPr="00F20B9C" w14:paraId="1522F297" w14:textId="77777777" w:rsidTr="0092661E">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25AB46F3" w14:textId="77777777" w:rsidR="00F20B9C" w:rsidRPr="00F20B9C" w:rsidRDefault="00F20B9C" w:rsidP="00364A56">
            <w:pPr>
              <w:jc w:val="left"/>
              <w:rPr>
                <w:lang w:val="en-US"/>
              </w:rPr>
            </w:pPr>
            <w:r w:rsidRPr="00F20B9C">
              <w:rPr>
                <w:lang w:val="en-US"/>
              </w:rPr>
              <w:t>PI18: Kidney function test—clients with Type 2 diabetes</w:t>
            </w:r>
          </w:p>
        </w:tc>
        <w:tc>
          <w:tcPr>
            <w:tcW w:w="708" w:type="dxa"/>
            <w:noWrap/>
            <w:hideMark/>
          </w:tcPr>
          <w:p w14:paraId="36CD9A71"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-0.71</w:t>
            </w:r>
          </w:p>
        </w:tc>
        <w:tc>
          <w:tcPr>
            <w:tcW w:w="1134" w:type="dxa"/>
            <w:noWrap/>
            <w:hideMark/>
          </w:tcPr>
          <w:p w14:paraId="08AAA371"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69.86</w:t>
            </w:r>
          </w:p>
        </w:tc>
        <w:tc>
          <w:tcPr>
            <w:tcW w:w="1276" w:type="dxa"/>
            <w:noWrap/>
            <w:hideMark/>
          </w:tcPr>
          <w:p w14:paraId="154CD6FB"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-0.23</w:t>
            </w:r>
          </w:p>
        </w:tc>
        <w:tc>
          <w:tcPr>
            <w:tcW w:w="992" w:type="dxa"/>
            <w:noWrap/>
            <w:hideMark/>
          </w:tcPr>
          <w:p w14:paraId="3FE0261D"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0.40</w:t>
            </w:r>
          </w:p>
        </w:tc>
      </w:tr>
      <w:tr w:rsidR="00F20B9C" w:rsidRPr="00F20B9C" w14:paraId="6ACE457A" w14:textId="77777777" w:rsidTr="0092661E">
        <w:trPr>
          <w:trHeight w:val="300"/>
        </w:trPr>
        <w:tc>
          <w:tcPr>
            <w:cnfStyle w:val="001000000000" w:firstRow="0" w:lastRow="0" w:firstColumn="1" w:lastColumn="0" w:oddVBand="0" w:evenVBand="0" w:oddHBand="0" w:evenHBand="0" w:firstRowFirstColumn="0" w:firstRowLastColumn="0" w:lastRowFirstColumn="0" w:lastRowLastColumn="0"/>
            <w:tcW w:w="4962" w:type="dxa"/>
            <w:noWrap/>
            <w:hideMark/>
          </w:tcPr>
          <w:p w14:paraId="78C14C57" w14:textId="77777777" w:rsidR="00F20B9C" w:rsidRPr="00F20B9C" w:rsidRDefault="00F20B9C" w:rsidP="00364A56">
            <w:pPr>
              <w:jc w:val="left"/>
              <w:rPr>
                <w:lang w:val="en-US"/>
              </w:rPr>
            </w:pPr>
            <w:r w:rsidRPr="00F20B9C">
              <w:rPr>
                <w:lang w:val="en-US"/>
              </w:rPr>
              <w:t>PI23: Blood pressure recorded—clients with type 2 diabetes</w:t>
            </w:r>
          </w:p>
        </w:tc>
        <w:tc>
          <w:tcPr>
            <w:tcW w:w="708" w:type="dxa"/>
            <w:noWrap/>
            <w:hideMark/>
          </w:tcPr>
          <w:p w14:paraId="2A9A9C5E"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-0.13</w:t>
            </w:r>
          </w:p>
        </w:tc>
        <w:tc>
          <w:tcPr>
            <w:tcW w:w="1134" w:type="dxa"/>
            <w:noWrap/>
            <w:hideMark/>
          </w:tcPr>
          <w:p w14:paraId="086D983F"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69.76</w:t>
            </w:r>
          </w:p>
        </w:tc>
        <w:tc>
          <w:tcPr>
            <w:tcW w:w="1276" w:type="dxa"/>
            <w:noWrap/>
            <w:hideMark/>
          </w:tcPr>
          <w:p w14:paraId="6F76510C"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-0.05</w:t>
            </w:r>
          </w:p>
        </w:tc>
        <w:tc>
          <w:tcPr>
            <w:tcW w:w="992" w:type="dxa"/>
            <w:noWrap/>
            <w:hideMark/>
          </w:tcPr>
          <w:p w14:paraId="291020FD" w14:textId="77777777" w:rsidR="00F20B9C" w:rsidRPr="00F20B9C" w:rsidRDefault="00F20B9C" w:rsidP="00364A56">
            <w:pPr>
              <w:jc w:val="center"/>
              <w:cnfStyle w:val="000000000000" w:firstRow="0" w:lastRow="0" w:firstColumn="0" w:lastColumn="0" w:oddVBand="0" w:evenVBand="0" w:oddHBand="0" w:evenHBand="0" w:firstRowFirstColumn="0" w:firstRowLastColumn="0" w:lastRowFirstColumn="0" w:lastRowLastColumn="0"/>
              <w:rPr>
                <w:lang w:val="en-US"/>
              </w:rPr>
            </w:pPr>
            <w:r w:rsidRPr="00F20B9C">
              <w:rPr>
                <w:lang w:val="en-US"/>
              </w:rPr>
              <w:t>0.85</w:t>
            </w:r>
          </w:p>
        </w:tc>
      </w:tr>
    </w:tbl>
    <w:p w14:paraId="064C42AC" w14:textId="77777777" w:rsidR="00F20B9C" w:rsidRDefault="00F20B9C" w:rsidP="00F20B9C"/>
    <w:p w14:paraId="4C4836B5" w14:textId="77777777" w:rsidR="008568DF" w:rsidRDefault="008568DF">
      <w:pPr>
        <w:jc w:val="left"/>
        <w:rPr>
          <w:b/>
          <w:sz w:val="21"/>
          <w:szCs w:val="20"/>
          <w:lang w:val="en-NZ"/>
        </w:rPr>
      </w:pPr>
      <w:bookmarkStart w:id="267" w:name="_Ref136423486"/>
      <w:r>
        <w:br w:type="page"/>
      </w:r>
    </w:p>
    <w:p w14:paraId="00655278" w14:textId="63285912" w:rsidR="00015771" w:rsidRPr="00F20B9C" w:rsidRDefault="00015771" w:rsidP="00015771">
      <w:pPr>
        <w:pStyle w:val="TableFigure-Header"/>
      </w:pPr>
      <w:bookmarkStart w:id="268" w:name="_Ref136955445"/>
      <w:bookmarkStart w:id="269" w:name="_Toc138851348"/>
      <w:r>
        <w:lastRenderedPageBreak/>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5</w:t>
      </w:r>
      <w:r w:rsidR="005B4A4F">
        <w:fldChar w:fldCharType="end"/>
      </w:r>
      <w:bookmarkEnd w:id="267"/>
      <w:bookmarkEnd w:id="268"/>
      <w:r>
        <w:t>. Distribution of the correlation</w:t>
      </w:r>
      <w:r w:rsidR="008B0177">
        <w:t xml:space="preserve"> coefficient</w:t>
      </w:r>
      <w:r>
        <w:t xml:space="preserve"> between MBS chronic care activity rates</w:t>
      </w:r>
      <w:r w:rsidR="008B0177">
        <w:t xml:space="preserve"> and diabetes hospitalisation rates for the evaluation sites</w:t>
      </w:r>
      <w:bookmarkEnd w:id="269"/>
      <w:r w:rsidR="008B0177">
        <w:t xml:space="preserve"> </w:t>
      </w:r>
    </w:p>
    <w:p w14:paraId="7EFF190F" w14:textId="6DFF727D" w:rsidR="000968EB" w:rsidRDefault="00553654" w:rsidP="002A67DB">
      <w:r>
        <w:rPr>
          <w:noProof/>
        </w:rPr>
        <w:drawing>
          <wp:inline distT="0" distB="0" distL="0" distR="0" wp14:anchorId="7BD81666" wp14:editId="2FB73CF1">
            <wp:extent cx="5731510" cy="3385406"/>
            <wp:effectExtent l="0" t="0" r="2540" b="0"/>
            <wp:docPr id="1990251504" name="Picture 1990251504" descr="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51504" name="Picture 1990251504" descr="Bar graph"/>
                    <pic:cNvPicPr/>
                  </pic:nvPicPr>
                  <pic:blipFill rotWithShape="1">
                    <a:blip r:embed="rId124">
                      <a:extLst>
                        <a:ext uri="{96DAC541-7B7A-43D3-8B79-37D633B846F1}">
                          <asvg:svgBlip xmlns:asvg="http://schemas.microsoft.com/office/drawing/2016/SVG/main" r:embed="rId125"/>
                        </a:ext>
                      </a:extLst>
                    </a:blip>
                    <a:srcRect t="4507"/>
                    <a:stretch/>
                  </pic:blipFill>
                  <pic:spPr bwMode="auto">
                    <a:xfrm>
                      <a:off x="0" y="0"/>
                      <a:ext cx="5731510" cy="3385406"/>
                    </a:xfrm>
                    <a:prstGeom prst="rect">
                      <a:avLst/>
                    </a:prstGeom>
                    <a:ln>
                      <a:noFill/>
                    </a:ln>
                    <a:extLst>
                      <a:ext uri="{53640926-AAD7-44D8-BBD7-CCE9431645EC}">
                        <a14:shadowObscured xmlns:a14="http://schemas.microsoft.com/office/drawing/2010/main"/>
                      </a:ext>
                    </a:extLst>
                  </pic:spPr>
                </pic:pic>
              </a:graphicData>
            </a:graphic>
          </wp:inline>
        </w:drawing>
      </w:r>
    </w:p>
    <w:p w14:paraId="5D6C45A9" w14:textId="5A37FAD6" w:rsidR="002A67DB" w:rsidRPr="00884FAA" w:rsidRDefault="002A67DB" w:rsidP="00651D06">
      <w:pPr>
        <w:pStyle w:val="Heading3"/>
      </w:pPr>
      <w:r w:rsidRPr="00884FAA">
        <w:t>Strong</w:t>
      </w:r>
      <w:r w:rsidR="00C34903">
        <w:t>er</w:t>
      </w:r>
      <w:r w:rsidRPr="00884FAA">
        <w:t xml:space="preserve"> correlations between MBS activity and hospitalisation were associated with lower rates of mortality for diabetes</w:t>
      </w:r>
    </w:p>
    <w:p w14:paraId="21EB4553" w14:textId="176BC0CF" w:rsidR="00CD342D" w:rsidRDefault="002A67DB" w:rsidP="002A67DB">
      <w:r w:rsidRPr="00884FAA">
        <w:t xml:space="preserve">The MBS-hospitalisations case study was extended to investigate its relationship with mortality for diabetes. This involved comparing the relationship between rates of service activity (MBS) and rates of hospitalisations for financial years 2012-13 through 2019-20 with rates of mortality for any death in which diabetes was present in the death </w:t>
      </w:r>
      <w:r w:rsidR="005A6A65" w:rsidRPr="005A6A65">
        <w:t>record in 2015-16 and 2016-17. Mortality data were not available for the entire time series.</w:t>
      </w:r>
      <w:r w:rsidRPr="00884FAA">
        <w:t xml:space="preserve"> Stronger, more positive correlations between MBS and hospitalisations were associated with lower rates of mortality across evaluation site areas</w:t>
      </w:r>
      <w:r w:rsidR="00FF2B0A">
        <w:t xml:space="preserve"> (</w:t>
      </w:r>
      <w:r w:rsidR="00FF2B0A">
        <w:fldChar w:fldCharType="begin"/>
      </w:r>
      <w:r w:rsidR="00FF2B0A">
        <w:instrText xml:space="preserve"> REF _Ref136956134 \h </w:instrText>
      </w:r>
      <w:r w:rsidR="00FF2B0A">
        <w:fldChar w:fldCharType="separate"/>
      </w:r>
      <w:r w:rsidR="00165B17">
        <w:t xml:space="preserve">Table </w:t>
      </w:r>
      <w:r w:rsidR="00165B17">
        <w:rPr>
          <w:noProof/>
        </w:rPr>
        <w:t>8</w:t>
      </w:r>
      <w:r w:rsidR="00165B17">
        <w:noBreakHyphen/>
      </w:r>
      <w:r w:rsidR="00165B17">
        <w:rPr>
          <w:noProof/>
        </w:rPr>
        <w:t>2</w:t>
      </w:r>
      <w:r w:rsidR="00FF2B0A">
        <w:fldChar w:fldCharType="end"/>
      </w:r>
      <w:r w:rsidR="00FF2B0A">
        <w:t>)</w:t>
      </w:r>
      <w:r w:rsidRPr="00884FAA">
        <w:t xml:space="preserve">. </w:t>
      </w:r>
    </w:p>
    <w:p w14:paraId="1DB94B46" w14:textId="08E8D0D9" w:rsidR="002A67DB" w:rsidRPr="00884FAA" w:rsidRDefault="00CD342D" w:rsidP="002A67DB">
      <w:r>
        <w:t>Sites</w:t>
      </w:r>
      <w:r w:rsidR="002A67DB" w:rsidRPr="00884FAA">
        <w:t xml:space="preserve"> in the NT presented clear outliers to this relationship, with both high levels of activity and high levels of mortality.</w:t>
      </w:r>
      <w:r w:rsidR="008E02B0" w:rsidRPr="00884FAA">
        <w:t xml:space="preserve"> </w:t>
      </w:r>
      <w:r w:rsidR="00CB5440" w:rsidRPr="00CB5440">
        <w:t xml:space="preserve">As part of the Cycle 2 emerging findings feedback with site partners, </w:t>
      </w:r>
      <w:r w:rsidR="00CB5440">
        <w:t>d</w:t>
      </w:r>
      <w:r w:rsidR="008E02B0" w:rsidRPr="00884FAA">
        <w:t xml:space="preserve">iscussions with an expert in NT epidemiology indicated that the high burden of diabetes in the </w:t>
      </w:r>
      <w:r w:rsidR="00A66562" w:rsidRPr="00884FAA">
        <w:t>t</w:t>
      </w:r>
      <w:r w:rsidR="008E02B0" w:rsidRPr="00884FAA">
        <w:t xml:space="preserve">erritory is the likely reason for this pattern: the health services in the NT are highly effective with respect to health checks and testing activities which are driven by the </w:t>
      </w:r>
      <w:r w:rsidR="009029E0">
        <w:t xml:space="preserve">high Aboriginal and Torres Strait Islander population and </w:t>
      </w:r>
      <w:r w:rsidR="008E02B0" w:rsidRPr="00884FAA">
        <w:t>high disease burden.</w:t>
      </w:r>
    </w:p>
    <w:p w14:paraId="714AEC02" w14:textId="22EEE9D9" w:rsidR="00B92D87" w:rsidRPr="0030582E" w:rsidRDefault="00B92D87" w:rsidP="00B92D87">
      <w:pPr>
        <w:pStyle w:val="TableFigure-Header"/>
        <w:rPr>
          <w:iCs/>
        </w:rPr>
      </w:pPr>
      <w:bookmarkStart w:id="270" w:name="_Ref136956134"/>
      <w:bookmarkStart w:id="271" w:name="_Toc138851286"/>
      <w:r>
        <w:t xml:space="preserve">Table </w:t>
      </w:r>
      <w:r>
        <w:fldChar w:fldCharType="begin"/>
      </w:r>
      <w:r>
        <w:instrText xml:space="preserve"> STYLEREF 1 \s </w:instrText>
      </w:r>
      <w:r>
        <w:fldChar w:fldCharType="separate"/>
      </w:r>
      <w:r w:rsidR="00165B17">
        <w:rPr>
          <w:noProof/>
        </w:rPr>
        <w:t>8</w:t>
      </w:r>
      <w:r>
        <w:fldChar w:fldCharType="end"/>
      </w:r>
      <w:r>
        <w:noBreakHyphen/>
      </w:r>
      <w:r>
        <w:fldChar w:fldCharType="begin"/>
      </w:r>
      <w:r>
        <w:instrText xml:space="preserve"> SEQ Table \* ARABIC \s 1 </w:instrText>
      </w:r>
      <w:r>
        <w:fldChar w:fldCharType="separate"/>
      </w:r>
      <w:r w:rsidR="00165B17">
        <w:rPr>
          <w:noProof/>
        </w:rPr>
        <w:t>2</w:t>
      </w:r>
      <w:r>
        <w:fldChar w:fldCharType="end"/>
      </w:r>
      <w:bookmarkEnd w:id="270"/>
      <w:r>
        <w:t xml:space="preserve">. </w:t>
      </w:r>
      <w:r w:rsidRPr="001713DC">
        <w:t>Relationship between service-hospitalisation correlation and diabetes mortality for evaluation sites (Central Aust</w:t>
      </w:r>
      <w:r>
        <w:t>ralia</w:t>
      </w:r>
      <w:r w:rsidRPr="001713DC">
        <w:t>, Katherine E</w:t>
      </w:r>
      <w:r>
        <w:t>ast</w:t>
      </w:r>
      <w:r w:rsidRPr="001713DC">
        <w:t xml:space="preserve"> removed)</w:t>
      </w:r>
      <w:bookmarkEnd w:id="271"/>
    </w:p>
    <w:tbl>
      <w:tblPr>
        <w:tblStyle w:val="ACTableDesign1White"/>
        <w:tblW w:w="8926" w:type="dxa"/>
        <w:tblLayout w:type="fixed"/>
        <w:tblLook w:val="06A0" w:firstRow="1" w:lastRow="0" w:firstColumn="1" w:lastColumn="0" w:noHBand="1" w:noVBand="1"/>
      </w:tblPr>
      <w:tblGrid>
        <w:gridCol w:w="1785"/>
        <w:gridCol w:w="1785"/>
        <w:gridCol w:w="1785"/>
        <w:gridCol w:w="1785"/>
        <w:gridCol w:w="1786"/>
      </w:tblGrid>
      <w:tr w:rsidR="00B92D87" w:rsidRPr="00E677FB" w14:paraId="29AF5CA8" w14:textId="77777777" w:rsidTr="00B92D87">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785" w:type="dxa"/>
            <w:noWrap/>
            <w:hideMark/>
          </w:tcPr>
          <w:p w14:paraId="08EF1673" w14:textId="77777777" w:rsidR="0030582E" w:rsidRPr="0058387D" w:rsidRDefault="0030582E" w:rsidP="0030582E">
            <w:pPr>
              <w:rPr>
                <w:bCs/>
                <w:color w:val="000000" w:themeColor="text1"/>
                <w:lang w:val="en-US"/>
              </w:rPr>
            </w:pPr>
            <w:r w:rsidRPr="0058387D">
              <w:rPr>
                <w:bCs/>
                <w:color w:val="000000" w:themeColor="text1"/>
                <w:lang w:val="en-US"/>
              </w:rPr>
              <w:t>FY</w:t>
            </w:r>
          </w:p>
        </w:tc>
        <w:tc>
          <w:tcPr>
            <w:tcW w:w="1785" w:type="dxa"/>
          </w:tcPr>
          <w:p w14:paraId="573CF81E" w14:textId="77777777" w:rsidR="0030582E" w:rsidRPr="0058387D" w:rsidRDefault="0030582E" w:rsidP="00B92D87">
            <w:pPr>
              <w:jc w:val="center"/>
              <w:cnfStyle w:val="100000000000" w:firstRow="1" w:lastRow="0" w:firstColumn="0" w:lastColumn="0" w:oddVBand="0" w:evenVBand="0" w:oddHBand="0" w:evenHBand="0" w:firstRowFirstColumn="0" w:firstRowLastColumn="0" w:lastRowFirstColumn="0" w:lastRowLastColumn="0"/>
              <w:rPr>
                <w:bCs/>
                <w:color w:val="000000" w:themeColor="text1"/>
                <w:lang w:val="en-US"/>
              </w:rPr>
            </w:pPr>
            <w:r w:rsidRPr="0058387D">
              <w:rPr>
                <w:bCs/>
                <w:color w:val="000000" w:themeColor="text1"/>
                <w:lang w:val="en-US"/>
              </w:rPr>
              <w:t>Slope</w:t>
            </w:r>
          </w:p>
        </w:tc>
        <w:tc>
          <w:tcPr>
            <w:tcW w:w="1785" w:type="dxa"/>
            <w:noWrap/>
            <w:hideMark/>
          </w:tcPr>
          <w:p w14:paraId="59077588" w14:textId="77777777" w:rsidR="0030582E" w:rsidRPr="0058387D" w:rsidRDefault="0030582E" w:rsidP="00B92D87">
            <w:pPr>
              <w:jc w:val="center"/>
              <w:cnfStyle w:val="100000000000" w:firstRow="1" w:lastRow="0" w:firstColumn="0" w:lastColumn="0" w:oddVBand="0" w:evenVBand="0" w:oddHBand="0" w:evenHBand="0" w:firstRowFirstColumn="0" w:firstRowLastColumn="0" w:lastRowFirstColumn="0" w:lastRowLastColumn="0"/>
              <w:rPr>
                <w:bCs/>
                <w:color w:val="000000" w:themeColor="text1"/>
                <w:lang w:val="en-US"/>
              </w:rPr>
            </w:pPr>
            <w:r w:rsidRPr="0058387D">
              <w:rPr>
                <w:bCs/>
                <w:color w:val="000000" w:themeColor="text1"/>
                <w:lang w:val="en-US"/>
              </w:rPr>
              <w:t>Intercept</w:t>
            </w:r>
          </w:p>
        </w:tc>
        <w:tc>
          <w:tcPr>
            <w:tcW w:w="1785" w:type="dxa"/>
            <w:noWrap/>
            <w:hideMark/>
          </w:tcPr>
          <w:p w14:paraId="0E34CC0F" w14:textId="77777777" w:rsidR="0030582E" w:rsidRPr="0058387D" w:rsidRDefault="0030582E" w:rsidP="00B92D87">
            <w:pPr>
              <w:jc w:val="center"/>
              <w:cnfStyle w:val="100000000000" w:firstRow="1" w:lastRow="0" w:firstColumn="0" w:lastColumn="0" w:oddVBand="0" w:evenVBand="0" w:oddHBand="0" w:evenHBand="0" w:firstRowFirstColumn="0" w:firstRowLastColumn="0" w:lastRowFirstColumn="0" w:lastRowLastColumn="0"/>
              <w:rPr>
                <w:bCs/>
                <w:color w:val="000000" w:themeColor="text1"/>
                <w:lang w:val="en-US"/>
              </w:rPr>
            </w:pPr>
            <w:r w:rsidRPr="0058387D">
              <w:rPr>
                <w:bCs/>
                <w:color w:val="000000" w:themeColor="text1"/>
                <w:lang w:val="en-US"/>
              </w:rPr>
              <w:t>Correlation</w:t>
            </w:r>
          </w:p>
        </w:tc>
        <w:tc>
          <w:tcPr>
            <w:tcW w:w="1786" w:type="dxa"/>
            <w:noWrap/>
            <w:hideMark/>
          </w:tcPr>
          <w:p w14:paraId="1A851346" w14:textId="77777777" w:rsidR="0030582E" w:rsidRPr="0058387D" w:rsidRDefault="0030582E" w:rsidP="00B92D87">
            <w:pPr>
              <w:jc w:val="center"/>
              <w:cnfStyle w:val="100000000000" w:firstRow="1" w:lastRow="0" w:firstColumn="0" w:lastColumn="0" w:oddVBand="0" w:evenVBand="0" w:oddHBand="0" w:evenHBand="0" w:firstRowFirstColumn="0" w:firstRowLastColumn="0" w:lastRowFirstColumn="0" w:lastRowLastColumn="0"/>
              <w:rPr>
                <w:bCs/>
                <w:i/>
                <w:iCs/>
                <w:color w:val="000000" w:themeColor="text1"/>
                <w:lang w:val="en-US"/>
              </w:rPr>
            </w:pPr>
            <w:r w:rsidRPr="0058387D">
              <w:rPr>
                <w:bCs/>
                <w:i/>
                <w:color w:val="000000" w:themeColor="text1"/>
                <w:lang w:val="en-US"/>
              </w:rPr>
              <w:t>p</w:t>
            </w:r>
          </w:p>
        </w:tc>
      </w:tr>
      <w:tr w:rsidR="0030582E" w:rsidRPr="0030582E" w14:paraId="22F2DAA4" w14:textId="77777777" w:rsidTr="00B92D87">
        <w:trPr>
          <w:trHeight w:val="300"/>
        </w:trPr>
        <w:tc>
          <w:tcPr>
            <w:cnfStyle w:val="001000000000" w:firstRow="0" w:lastRow="0" w:firstColumn="1" w:lastColumn="0" w:oddVBand="0" w:evenVBand="0" w:oddHBand="0" w:evenHBand="0" w:firstRowFirstColumn="0" w:firstRowLastColumn="0" w:lastRowFirstColumn="0" w:lastRowLastColumn="0"/>
            <w:tcW w:w="1785" w:type="dxa"/>
            <w:noWrap/>
            <w:hideMark/>
          </w:tcPr>
          <w:p w14:paraId="24193B9E" w14:textId="77777777" w:rsidR="0030582E" w:rsidRPr="0030582E" w:rsidRDefault="0030582E" w:rsidP="0030582E">
            <w:pPr>
              <w:rPr>
                <w:b/>
                <w:lang w:val="en-US"/>
              </w:rPr>
            </w:pPr>
            <w:r w:rsidRPr="0030582E">
              <w:rPr>
                <w:lang w:val="en-US"/>
              </w:rPr>
              <w:t>2015-16</w:t>
            </w:r>
          </w:p>
        </w:tc>
        <w:tc>
          <w:tcPr>
            <w:tcW w:w="1785" w:type="dxa"/>
          </w:tcPr>
          <w:p w14:paraId="7710DA10"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-0.474</w:t>
            </w:r>
          </w:p>
        </w:tc>
        <w:tc>
          <w:tcPr>
            <w:tcW w:w="1785" w:type="dxa"/>
            <w:noWrap/>
          </w:tcPr>
          <w:p w14:paraId="5C8A8475"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0.723</w:t>
            </w:r>
          </w:p>
        </w:tc>
        <w:tc>
          <w:tcPr>
            <w:tcW w:w="1785" w:type="dxa"/>
            <w:noWrap/>
          </w:tcPr>
          <w:p w14:paraId="49086507"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-0.440</w:t>
            </w:r>
          </w:p>
        </w:tc>
        <w:tc>
          <w:tcPr>
            <w:tcW w:w="1786" w:type="dxa"/>
            <w:noWrap/>
          </w:tcPr>
          <w:p w14:paraId="6218A64A"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0.036</w:t>
            </w:r>
          </w:p>
        </w:tc>
      </w:tr>
      <w:tr w:rsidR="0030582E" w:rsidRPr="0030582E" w14:paraId="5403B690" w14:textId="77777777" w:rsidTr="00B92D87">
        <w:trPr>
          <w:trHeight w:val="300"/>
        </w:trPr>
        <w:tc>
          <w:tcPr>
            <w:cnfStyle w:val="001000000000" w:firstRow="0" w:lastRow="0" w:firstColumn="1" w:lastColumn="0" w:oddVBand="0" w:evenVBand="0" w:oddHBand="0" w:evenHBand="0" w:firstRowFirstColumn="0" w:firstRowLastColumn="0" w:lastRowFirstColumn="0" w:lastRowLastColumn="0"/>
            <w:tcW w:w="1785" w:type="dxa"/>
            <w:noWrap/>
            <w:hideMark/>
          </w:tcPr>
          <w:p w14:paraId="17C11310" w14:textId="77777777" w:rsidR="0030582E" w:rsidRPr="0030582E" w:rsidRDefault="0030582E" w:rsidP="0030582E">
            <w:pPr>
              <w:rPr>
                <w:b/>
                <w:lang w:val="en-US"/>
              </w:rPr>
            </w:pPr>
            <w:r w:rsidRPr="0030582E">
              <w:rPr>
                <w:lang w:val="en-US"/>
              </w:rPr>
              <w:t>2016-17</w:t>
            </w:r>
          </w:p>
        </w:tc>
        <w:tc>
          <w:tcPr>
            <w:tcW w:w="1785" w:type="dxa"/>
          </w:tcPr>
          <w:p w14:paraId="650518DD"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-0.445</w:t>
            </w:r>
          </w:p>
        </w:tc>
        <w:tc>
          <w:tcPr>
            <w:tcW w:w="1785" w:type="dxa"/>
            <w:noWrap/>
            <w:hideMark/>
          </w:tcPr>
          <w:p w14:paraId="0F97BE24"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0.690</w:t>
            </w:r>
          </w:p>
        </w:tc>
        <w:tc>
          <w:tcPr>
            <w:tcW w:w="1785" w:type="dxa"/>
            <w:noWrap/>
            <w:hideMark/>
          </w:tcPr>
          <w:p w14:paraId="4B66151D"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-0.289</w:t>
            </w:r>
          </w:p>
        </w:tc>
        <w:tc>
          <w:tcPr>
            <w:tcW w:w="1786" w:type="dxa"/>
            <w:noWrap/>
            <w:hideMark/>
          </w:tcPr>
          <w:p w14:paraId="2644CF8E" w14:textId="77777777" w:rsidR="0030582E" w:rsidRPr="0030582E" w:rsidRDefault="0030582E" w:rsidP="00B92D87">
            <w:pPr>
              <w:jc w:val="center"/>
              <w:cnfStyle w:val="000000000000" w:firstRow="0" w:lastRow="0" w:firstColumn="0" w:lastColumn="0" w:oddVBand="0" w:evenVBand="0" w:oddHBand="0" w:evenHBand="0" w:firstRowFirstColumn="0" w:firstRowLastColumn="0" w:lastRowFirstColumn="0" w:lastRowLastColumn="0"/>
              <w:rPr>
                <w:lang w:val="en-US"/>
              </w:rPr>
            </w:pPr>
            <w:r w:rsidRPr="0030582E">
              <w:rPr>
                <w:lang w:val="en-US"/>
              </w:rPr>
              <w:t>0.181</w:t>
            </w:r>
          </w:p>
        </w:tc>
      </w:tr>
    </w:tbl>
    <w:p w14:paraId="48BB4729" w14:textId="77777777" w:rsidR="0030582E" w:rsidRPr="00884FAA" w:rsidRDefault="0030582E" w:rsidP="002A67DB"/>
    <w:p w14:paraId="68897EF7" w14:textId="43F0E827" w:rsidR="002A67DB" w:rsidRPr="00884FAA" w:rsidRDefault="002A67DB" w:rsidP="0035030F">
      <w:pPr>
        <w:pStyle w:val="Heading2"/>
      </w:pPr>
      <w:bookmarkStart w:id="272" w:name="_Toc137208936"/>
      <w:r w:rsidRPr="00884FAA">
        <w:lastRenderedPageBreak/>
        <w:t>Risk factors, health service use</w:t>
      </w:r>
      <w:r w:rsidR="00B37463" w:rsidRPr="00884FAA">
        <w:t>,</w:t>
      </w:r>
      <w:r w:rsidRPr="00884FAA">
        <w:t xml:space="preserve"> and outcomes in the evaluation sites</w:t>
      </w:r>
      <w:bookmarkEnd w:id="272"/>
    </w:p>
    <w:p w14:paraId="7DD8AEF5" w14:textId="6639B11E" w:rsidR="002A67DB" w:rsidRPr="00884FAA" w:rsidRDefault="002A67DB" w:rsidP="002A67DB">
      <w:r w:rsidRPr="00884FAA">
        <w:t xml:space="preserve">nKPI data, MBS data on number of 715 health assessments, and </w:t>
      </w:r>
      <w:r w:rsidR="008102A2">
        <w:t>Estimated Resident Population (</w:t>
      </w:r>
      <w:r w:rsidRPr="00884FAA">
        <w:t>ERP</w:t>
      </w:r>
      <w:r w:rsidR="008102A2">
        <w:t>)</w:t>
      </w:r>
      <w:r w:rsidRPr="00884FAA">
        <w:t xml:space="preserve"> data was used to understand whether Aboriginal and Torres Strait Islander people receiving appropriate health care maintain good health and wellbeing.</w:t>
      </w:r>
      <w:r w:rsidRPr="00884FAA">
        <w:rPr>
          <w:vertAlign w:val="superscript"/>
        </w:rPr>
        <w:footnoteReference w:id="69"/>
      </w:r>
      <w:r w:rsidRPr="00884FAA">
        <w:t xml:space="preserve"> The analysis explored </w:t>
      </w:r>
      <w:r w:rsidR="006D2482">
        <w:t>3</w:t>
      </w:r>
      <w:r w:rsidR="006D2482" w:rsidRPr="00884FAA">
        <w:t xml:space="preserve"> </w:t>
      </w:r>
      <w:r w:rsidRPr="00884FAA">
        <w:t>questions</w:t>
      </w:r>
      <w:r w:rsidR="00B37463" w:rsidRPr="00884FAA">
        <w:t>.</w:t>
      </w:r>
    </w:p>
    <w:p w14:paraId="0BD36963" w14:textId="77777777" w:rsidR="0033721E" w:rsidRPr="0033721E" w:rsidRDefault="002A67DB" w:rsidP="00F16837">
      <w:pPr>
        <w:pStyle w:val="Bullet-Number"/>
        <w:numPr>
          <w:ilvl w:val="0"/>
          <w:numId w:val="41"/>
        </w:numPr>
      </w:pPr>
      <w:r w:rsidRPr="0033721E">
        <w:t>What are the risk factors, health outcomes</w:t>
      </w:r>
      <w:r w:rsidR="00B37463" w:rsidRPr="0033721E">
        <w:t>,</w:t>
      </w:r>
      <w:r w:rsidRPr="0033721E">
        <w:t xml:space="preserve"> and health service use among Aboriginal and Torres Strait Islander people attending Aboriginal health services?</w:t>
      </w:r>
    </w:p>
    <w:p w14:paraId="7C11EEA5" w14:textId="77777777" w:rsidR="0033721E" w:rsidRPr="0033721E" w:rsidRDefault="00293E1F" w:rsidP="0033721E">
      <w:pPr>
        <w:pStyle w:val="Bullet-Number"/>
      </w:pPr>
      <w:r w:rsidRPr="0033721E">
        <w:t>What proportion of Aboriginal and Torres Strait Islander clients received 715 health assessments, and did the proportion vary between sites and over time and what proportion of all Aboriginal and Torres Strait Islander people received MBS items 704, 706, 708, 710, and 715 combined, and did the proportion vary between sites and over time?</w:t>
      </w:r>
    </w:p>
    <w:p w14:paraId="29DDDC17" w14:textId="5802BCCD" w:rsidR="002A67DB" w:rsidRPr="0033721E" w:rsidRDefault="002A67DB" w:rsidP="0033721E">
      <w:pPr>
        <w:pStyle w:val="Bullet-Number"/>
        <w:spacing w:after="240"/>
        <w:ind w:left="714" w:hanging="357"/>
      </w:pPr>
      <w:r w:rsidRPr="0033721E">
        <w:t>How are risk factors, health service use</w:t>
      </w:r>
      <w:r w:rsidR="00B37463" w:rsidRPr="0033721E">
        <w:t>,</w:t>
      </w:r>
      <w:r w:rsidRPr="0033721E">
        <w:t xml:space="preserve"> and health outcomes among Aboriginal and Torres Strait Islander people attending Aboriginal </w:t>
      </w:r>
      <w:r w:rsidR="00B37463" w:rsidRPr="0033721E">
        <w:t xml:space="preserve">and Torres Strait Islander </w:t>
      </w:r>
      <w:r w:rsidRPr="0033721E">
        <w:t>health services associated with each other and 715 health assessments?</w:t>
      </w:r>
    </w:p>
    <w:p w14:paraId="3F512AB5" w14:textId="77777777" w:rsidR="002A67DB" w:rsidRPr="00884FAA" w:rsidRDefault="002A67DB" w:rsidP="002A67DB">
      <w:r w:rsidRPr="00884FAA">
        <w:t>For all analyses, unless stated, data from 2020 onwards were excluded to remove the effect of the COVID-19 pandemic on health service utilisation. nKPI and MBS data were treated separately, as nKPI data includes regular clients of Aboriginal and Torres Strait Islander health services receiving IAHP funding, whereas MBS data includes all Aboriginal and Torres Strait Islander residents living within the geographical areas defined by the evaluation sites. Data covered 16 evaluation sites.</w:t>
      </w:r>
      <w:r w:rsidRPr="00884FAA">
        <w:rPr>
          <w:vertAlign w:val="superscript"/>
        </w:rPr>
        <w:footnoteReference w:id="70"/>
      </w:r>
    </w:p>
    <w:p w14:paraId="27E03F1E" w14:textId="38B157CB" w:rsidR="002A67DB" w:rsidRPr="00884FAA" w:rsidRDefault="002A67DB" w:rsidP="00651D06">
      <w:pPr>
        <w:pStyle w:val="Heading3"/>
      </w:pPr>
      <w:r w:rsidRPr="00884FAA">
        <w:t>One-third of the indicators of protective/risk factors, health outcomes</w:t>
      </w:r>
      <w:r w:rsidR="00DD0F34" w:rsidRPr="00884FAA">
        <w:t>,</w:t>
      </w:r>
      <w:r w:rsidRPr="00884FAA">
        <w:t xml:space="preserve"> and health service use showed improvement over time</w:t>
      </w:r>
    </w:p>
    <w:p w14:paraId="7F574CFF" w14:textId="1F94730D" w:rsidR="00631142" w:rsidRPr="00884FAA" w:rsidRDefault="002A67DB" w:rsidP="002A67DB">
      <w:r w:rsidRPr="00884FAA">
        <w:t>nKPI data</w:t>
      </w:r>
      <w:r w:rsidRPr="00884FAA" w:rsidDel="00051CA5">
        <w:t xml:space="preserve"> </w:t>
      </w:r>
      <w:r w:rsidR="00051CA5">
        <w:t>were</w:t>
      </w:r>
      <w:r w:rsidR="00051CA5" w:rsidRPr="00884FAA">
        <w:t xml:space="preserve"> </w:t>
      </w:r>
      <w:r w:rsidRPr="00884FAA">
        <w:t>used to explore changes in protective/risk factors, health outcomes</w:t>
      </w:r>
      <w:r w:rsidR="00DD0F34" w:rsidRPr="00884FAA">
        <w:t>,</w:t>
      </w:r>
      <w:r w:rsidRPr="00884FAA">
        <w:t xml:space="preserve"> and health service use across the 16 evaluation sites. </w:t>
      </w:r>
      <w:r w:rsidR="006D2482">
        <w:t>24</w:t>
      </w:r>
      <w:r w:rsidRPr="00884FAA">
        <w:t xml:space="preserve"> indicators were selected to correspond with life stages – for the perinatal period, middle life</w:t>
      </w:r>
      <w:r w:rsidR="00DD0F34" w:rsidRPr="00884FAA">
        <w:t>,</w:t>
      </w:r>
      <w:r w:rsidRPr="00884FAA">
        <w:t xml:space="preserve"> and later life. Data covered the period June 2017 to December 2019 (nKPI data is reported 6-monthly, in June and December). </w:t>
      </w:r>
    </w:p>
    <w:p w14:paraId="45D2BC91" w14:textId="42F4C16E" w:rsidR="007E0FD8" w:rsidRPr="00884FAA" w:rsidRDefault="00AD7638" w:rsidP="002A67DB">
      <w:pPr>
        <w:sectPr w:rsidR="007E0FD8" w:rsidRPr="00884FAA">
          <w:headerReference w:type="default" r:id="rId126"/>
          <w:footerReference w:type="default" r:id="rId127"/>
          <w:pgSz w:w="11906" w:h="16838"/>
          <w:pgMar w:top="1440" w:right="1440" w:bottom="1440" w:left="1440" w:header="709" w:footer="709" w:gutter="0"/>
          <w:cols w:space="708"/>
          <w:docGrid w:linePitch="360"/>
        </w:sectPr>
      </w:pPr>
      <w:r w:rsidRPr="00AD7638">
        <w:t xml:space="preserve">Changes in individual nKPIs at the 16 evaluation sites are summarised in </w:t>
      </w:r>
      <w:r w:rsidRPr="00AD7638">
        <w:fldChar w:fldCharType="begin"/>
      </w:r>
      <w:r w:rsidRPr="00AD7638">
        <w:instrText xml:space="preserve"> REF _Ref131318416 \h  \* MERGEFORMAT </w:instrText>
      </w:r>
      <w:r w:rsidRPr="00AD7638">
        <w:fldChar w:fldCharType="separate"/>
      </w:r>
      <w:r w:rsidR="00165B17" w:rsidRPr="00884FAA">
        <w:t xml:space="preserve">Table </w:t>
      </w:r>
      <w:r w:rsidR="00165B17">
        <w:t>8</w:t>
      </w:r>
      <w:r w:rsidR="00165B17">
        <w:noBreakHyphen/>
        <w:t>3</w:t>
      </w:r>
      <w:r w:rsidRPr="00AD7638">
        <w:fldChar w:fldCharType="end"/>
      </w:r>
      <w:r w:rsidRPr="00AD7638">
        <w:t xml:space="preserve">. Firstly, for each of the 16 sites, the percentage of regular clients who met the nKPI was calculated </w:t>
      </w:r>
      <w:r w:rsidRPr="00AD7638">
        <w:lastRenderedPageBreak/>
        <w:t>and the me</w:t>
      </w:r>
      <w:r w:rsidR="00E40BC3">
        <w:t>di</w:t>
      </w:r>
      <w:r w:rsidRPr="00AD7638">
        <w:t>an of these 16 percentages was reported at two time points, June 2017 and December 2019. Secondly, the estimated odds ratio (OR) is reported, which represents the average odds of a client experiencing the outcome in one year compared to the previous year, along with the corresponding 95% confidence interval. Logistic mixed models were used, incorporating a random intercept for service to address repeated measures over time.</w:t>
      </w:r>
    </w:p>
    <w:p w14:paraId="3BAF8BF0" w14:textId="1191F6E1" w:rsidR="001E241D" w:rsidRPr="00884FAA" w:rsidRDefault="001E241D" w:rsidP="007D3936">
      <w:pPr>
        <w:pStyle w:val="Caption"/>
        <w:spacing w:before="0" w:after="60"/>
      </w:pPr>
      <w:bookmarkStart w:id="273" w:name="_Ref131318416"/>
      <w:bookmarkStart w:id="274" w:name="_Toc138851287"/>
      <w:r w:rsidRPr="00884FAA">
        <w:lastRenderedPageBreak/>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3</w:t>
      </w:r>
      <w:r w:rsidR="00B92D87">
        <w:fldChar w:fldCharType="end"/>
      </w:r>
      <w:bookmarkEnd w:id="273"/>
      <w:r w:rsidRPr="00884FAA">
        <w:t>. Changes in individual nKPI by life stage, 16 evaluation sites, 2017-2019</w:t>
      </w:r>
      <w:bookmarkEnd w:id="274"/>
    </w:p>
    <w:tbl>
      <w:tblPr>
        <w:tblStyle w:val="ACTableDesign1White"/>
        <w:tblW w:w="0" w:type="auto"/>
        <w:tblLook w:val="06A0" w:firstRow="1" w:lastRow="0" w:firstColumn="1" w:lastColumn="0" w:noHBand="1" w:noVBand="1"/>
      </w:tblPr>
      <w:tblGrid>
        <w:gridCol w:w="1119"/>
        <w:gridCol w:w="7525"/>
        <w:gridCol w:w="1199"/>
        <w:gridCol w:w="1276"/>
        <w:gridCol w:w="1922"/>
        <w:gridCol w:w="911"/>
      </w:tblGrid>
      <w:tr w:rsidR="001E241D" w:rsidRPr="00884FAA" w14:paraId="24034444" w14:textId="77777777" w:rsidTr="000439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8983906" w14:textId="77777777" w:rsidR="001E241D" w:rsidRPr="0058387D" w:rsidRDefault="001E241D" w:rsidP="00043975">
            <w:pPr>
              <w:pStyle w:val="TableText"/>
              <w:spacing w:before="40" w:after="4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Life stage</w:t>
            </w:r>
          </w:p>
        </w:tc>
        <w:tc>
          <w:tcPr>
            <w:tcW w:w="7525" w:type="dxa"/>
          </w:tcPr>
          <w:p w14:paraId="62D075EB" w14:textId="77777777" w:rsidR="001E241D" w:rsidRPr="0058387D" w:rsidRDefault="001E241D" w:rsidP="00043975">
            <w:pPr>
              <w:pStyle w:val="TableText"/>
              <w:spacing w:before="40" w:after="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nKPI outcome</w:t>
            </w:r>
          </w:p>
        </w:tc>
        <w:tc>
          <w:tcPr>
            <w:tcW w:w="1199" w:type="dxa"/>
          </w:tcPr>
          <w:p w14:paraId="724890EF" w14:textId="69D97B14" w:rsidR="001E241D" w:rsidRPr="0058387D" w:rsidRDefault="001E241D" w:rsidP="00043975">
            <w:pPr>
              <w:pStyle w:val="Table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Me</w:t>
            </w:r>
            <w:r w:rsidR="00B465D1" w:rsidRPr="0058387D">
              <w:rPr>
                <w:rFonts w:asciiTheme="minorHAnsi" w:hAnsiTheme="minorHAnsi" w:cstheme="minorHAnsi"/>
                <w:color w:val="000000" w:themeColor="text1"/>
                <w:szCs w:val="21"/>
              </w:rPr>
              <w:t>dian</w:t>
            </w:r>
            <w:r w:rsidRPr="0058387D">
              <w:rPr>
                <w:rFonts w:asciiTheme="minorHAnsi" w:hAnsiTheme="minorHAnsi" w:cstheme="minorHAnsi"/>
                <w:color w:val="000000" w:themeColor="text1"/>
                <w:szCs w:val="21"/>
              </w:rPr>
              <w:t xml:space="preserve"> %</w:t>
            </w:r>
          </w:p>
          <w:p w14:paraId="64ED157C" w14:textId="0D83A1BC" w:rsidR="001E241D" w:rsidRPr="0058387D" w:rsidRDefault="001E241D" w:rsidP="00043975">
            <w:pPr>
              <w:pStyle w:val="Table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Jun 2017</w:t>
            </w:r>
          </w:p>
        </w:tc>
        <w:tc>
          <w:tcPr>
            <w:tcW w:w="1276" w:type="dxa"/>
          </w:tcPr>
          <w:p w14:paraId="765E2F34" w14:textId="46AF00F1" w:rsidR="001E241D" w:rsidRPr="0058387D" w:rsidRDefault="001E241D" w:rsidP="00043975">
            <w:pPr>
              <w:pStyle w:val="Table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Me</w:t>
            </w:r>
            <w:r w:rsidR="00B465D1" w:rsidRPr="0058387D">
              <w:rPr>
                <w:rFonts w:asciiTheme="minorHAnsi" w:hAnsiTheme="minorHAnsi" w:cstheme="minorHAnsi"/>
                <w:color w:val="000000" w:themeColor="text1"/>
                <w:szCs w:val="21"/>
              </w:rPr>
              <w:t xml:space="preserve">dian </w:t>
            </w:r>
            <w:r w:rsidRPr="0058387D">
              <w:rPr>
                <w:rFonts w:asciiTheme="minorHAnsi" w:hAnsiTheme="minorHAnsi" w:cstheme="minorHAnsi"/>
                <w:color w:val="000000" w:themeColor="text1"/>
                <w:szCs w:val="21"/>
              </w:rPr>
              <w:t>%</w:t>
            </w:r>
          </w:p>
          <w:p w14:paraId="1645D315" w14:textId="77777777" w:rsidR="001E241D" w:rsidRPr="0058387D" w:rsidRDefault="001E241D" w:rsidP="00043975">
            <w:pPr>
              <w:pStyle w:val="Table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Dec 2019</w:t>
            </w:r>
          </w:p>
        </w:tc>
        <w:tc>
          <w:tcPr>
            <w:tcW w:w="1922" w:type="dxa"/>
          </w:tcPr>
          <w:p w14:paraId="0FBF8368" w14:textId="77777777" w:rsidR="001E241D" w:rsidRPr="0058387D" w:rsidRDefault="001E241D" w:rsidP="00043975">
            <w:pPr>
              <w:pStyle w:val="Table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OR (95% CI)</w:t>
            </w:r>
          </w:p>
        </w:tc>
        <w:tc>
          <w:tcPr>
            <w:tcW w:w="0" w:type="auto"/>
          </w:tcPr>
          <w:p w14:paraId="4120D7CA" w14:textId="656ED465" w:rsidR="001E241D" w:rsidRPr="0058387D" w:rsidRDefault="001E241D" w:rsidP="00043975">
            <w:pPr>
              <w:pStyle w:val="TableText"/>
              <w:spacing w:before="4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Cs w:val="21"/>
              </w:rPr>
            </w:pPr>
            <w:r w:rsidRPr="0058387D">
              <w:rPr>
                <w:rFonts w:asciiTheme="minorHAnsi" w:hAnsiTheme="minorHAnsi" w:cstheme="minorHAnsi"/>
                <w:color w:val="000000" w:themeColor="text1"/>
                <w:szCs w:val="21"/>
              </w:rPr>
              <w:t>P</w:t>
            </w:r>
            <w:r w:rsidR="00DA2F9C" w:rsidRPr="0058387D">
              <w:rPr>
                <w:rFonts w:asciiTheme="minorHAnsi" w:hAnsiTheme="minorHAnsi" w:cstheme="minorHAnsi"/>
                <w:color w:val="000000" w:themeColor="text1"/>
                <w:szCs w:val="21"/>
              </w:rPr>
              <w:t>-value</w:t>
            </w:r>
          </w:p>
        </w:tc>
      </w:tr>
      <w:tr w:rsidR="001E241D" w:rsidRPr="00884FAA" w14:paraId="432678AB"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restart"/>
            <w:vAlign w:val="top"/>
          </w:tcPr>
          <w:p w14:paraId="2C5E9D0D" w14:textId="77777777" w:rsidR="001E241D" w:rsidRPr="00884FAA" w:rsidRDefault="001E241D">
            <w:pPr>
              <w:pStyle w:val="TableText"/>
              <w:spacing w:before="20" w:after="20"/>
              <w:rPr>
                <w:rFonts w:asciiTheme="minorHAnsi" w:hAnsiTheme="minorHAnsi" w:cstheme="minorHAnsi"/>
                <w:sz w:val="20"/>
              </w:rPr>
            </w:pPr>
            <w:r w:rsidRPr="00884FAA">
              <w:rPr>
                <w:rFonts w:asciiTheme="minorHAnsi" w:hAnsiTheme="minorHAnsi" w:cstheme="minorHAnsi"/>
                <w:sz w:val="20"/>
              </w:rPr>
              <w:t>Perinatal</w:t>
            </w:r>
          </w:p>
        </w:tc>
        <w:tc>
          <w:tcPr>
            <w:tcW w:w="7525" w:type="dxa"/>
            <w:vAlign w:val="top"/>
          </w:tcPr>
          <w:p w14:paraId="44BBC5FA"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Birthweight recorded</w:t>
            </w:r>
          </w:p>
        </w:tc>
        <w:tc>
          <w:tcPr>
            <w:tcW w:w="1199" w:type="dxa"/>
            <w:vAlign w:val="top"/>
          </w:tcPr>
          <w:p w14:paraId="72A6E1E2" w14:textId="1F0BA38E"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75</w:t>
            </w:r>
          </w:p>
        </w:tc>
        <w:tc>
          <w:tcPr>
            <w:tcW w:w="1276" w:type="dxa"/>
            <w:vAlign w:val="top"/>
          </w:tcPr>
          <w:p w14:paraId="073481AF" w14:textId="72DE29C2"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85</w:t>
            </w:r>
          </w:p>
        </w:tc>
        <w:tc>
          <w:tcPr>
            <w:tcW w:w="1922" w:type="dxa"/>
            <w:vAlign w:val="top"/>
          </w:tcPr>
          <w:p w14:paraId="045FBD51"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1.02 (0.85, 1.21)</w:t>
            </w:r>
          </w:p>
        </w:tc>
        <w:tc>
          <w:tcPr>
            <w:tcW w:w="0" w:type="auto"/>
            <w:vAlign w:val="top"/>
          </w:tcPr>
          <w:p w14:paraId="67EE7C61"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0.85</w:t>
            </w:r>
          </w:p>
        </w:tc>
      </w:tr>
      <w:tr w:rsidR="001E241D" w:rsidRPr="00884FAA" w14:paraId="7E34EC33"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35F01362" w14:textId="77777777" w:rsidR="001E241D" w:rsidRPr="00884FAA" w:rsidRDefault="001E241D">
            <w:pPr>
              <w:pStyle w:val="TableText"/>
              <w:spacing w:before="20" w:after="20"/>
              <w:rPr>
                <w:rFonts w:asciiTheme="minorHAnsi" w:hAnsiTheme="minorHAnsi" w:cstheme="minorHAnsi"/>
                <w:sz w:val="20"/>
              </w:rPr>
            </w:pPr>
            <w:bookmarkStart w:id="275" w:name="_Hlk128564172"/>
          </w:p>
        </w:tc>
        <w:tc>
          <w:tcPr>
            <w:tcW w:w="7525" w:type="dxa"/>
            <w:vAlign w:val="top"/>
          </w:tcPr>
          <w:p w14:paraId="56247995"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 xml:space="preserve">Birthweight result (normal) </w:t>
            </w:r>
            <w:r w:rsidRPr="00884FAA">
              <w:rPr>
                <w:rFonts w:cstheme="minorHAnsi"/>
                <w:sz w:val="20"/>
              </w:rPr>
              <w:tab/>
            </w:r>
          </w:p>
        </w:tc>
        <w:tc>
          <w:tcPr>
            <w:tcW w:w="1199" w:type="dxa"/>
            <w:vAlign w:val="top"/>
          </w:tcPr>
          <w:p w14:paraId="505920F2" w14:textId="1B0B88F9"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89</w:t>
            </w:r>
          </w:p>
        </w:tc>
        <w:tc>
          <w:tcPr>
            <w:tcW w:w="1276" w:type="dxa"/>
            <w:vAlign w:val="top"/>
          </w:tcPr>
          <w:p w14:paraId="0651B943" w14:textId="39C72AD1"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88</w:t>
            </w:r>
          </w:p>
        </w:tc>
        <w:tc>
          <w:tcPr>
            <w:tcW w:w="1922" w:type="dxa"/>
            <w:vAlign w:val="top"/>
          </w:tcPr>
          <w:p w14:paraId="083CEE8C"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1.03 (0.95, 1.12)</w:t>
            </w:r>
          </w:p>
        </w:tc>
        <w:tc>
          <w:tcPr>
            <w:tcW w:w="0" w:type="auto"/>
            <w:vAlign w:val="top"/>
          </w:tcPr>
          <w:p w14:paraId="249834F9"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0.45</w:t>
            </w:r>
          </w:p>
        </w:tc>
      </w:tr>
      <w:tr w:rsidR="001E241D" w:rsidRPr="00884FAA" w14:paraId="453DB889"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4F566620"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4098AE5F"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Smoking status of women who gave birth in the previous 12 months (non-smoker)</w:t>
            </w:r>
          </w:p>
        </w:tc>
        <w:tc>
          <w:tcPr>
            <w:tcW w:w="1199" w:type="dxa"/>
            <w:vAlign w:val="top"/>
          </w:tcPr>
          <w:p w14:paraId="3C6636B2" w14:textId="20859E86"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51</w:t>
            </w:r>
          </w:p>
        </w:tc>
        <w:tc>
          <w:tcPr>
            <w:tcW w:w="1276" w:type="dxa"/>
            <w:vAlign w:val="top"/>
          </w:tcPr>
          <w:p w14:paraId="384D2FBE" w14:textId="42E06D92"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57</w:t>
            </w:r>
          </w:p>
        </w:tc>
        <w:tc>
          <w:tcPr>
            <w:tcW w:w="1922" w:type="dxa"/>
            <w:vAlign w:val="top"/>
          </w:tcPr>
          <w:p w14:paraId="042D6724"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1.07 (1.03, 1.11)</w:t>
            </w:r>
          </w:p>
        </w:tc>
        <w:tc>
          <w:tcPr>
            <w:tcW w:w="0" w:type="auto"/>
            <w:vAlign w:val="top"/>
          </w:tcPr>
          <w:p w14:paraId="5CDA7EC2"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&lt;0.001</w:t>
            </w:r>
          </w:p>
        </w:tc>
      </w:tr>
      <w:tr w:rsidR="001E241D" w:rsidRPr="00884FAA" w14:paraId="099BDDAC"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6BDD345C"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202EB066"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Antenatal visit timing (&lt;13 weeks)</w:t>
            </w:r>
          </w:p>
        </w:tc>
        <w:tc>
          <w:tcPr>
            <w:tcW w:w="1199" w:type="dxa"/>
            <w:vAlign w:val="top"/>
          </w:tcPr>
          <w:p w14:paraId="3A320003" w14:textId="673443EE"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49</w:t>
            </w:r>
          </w:p>
        </w:tc>
        <w:tc>
          <w:tcPr>
            <w:tcW w:w="1276" w:type="dxa"/>
            <w:vAlign w:val="top"/>
          </w:tcPr>
          <w:p w14:paraId="2B374D74" w14:textId="22000878"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52</w:t>
            </w:r>
          </w:p>
        </w:tc>
        <w:tc>
          <w:tcPr>
            <w:tcW w:w="1922" w:type="dxa"/>
            <w:vAlign w:val="top"/>
          </w:tcPr>
          <w:p w14:paraId="03A3373B"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1.03 (0.88, 1.21)</w:t>
            </w:r>
          </w:p>
        </w:tc>
        <w:tc>
          <w:tcPr>
            <w:tcW w:w="0" w:type="auto"/>
            <w:vAlign w:val="top"/>
          </w:tcPr>
          <w:p w14:paraId="278A8EFA"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0.73</w:t>
            </w:r>
          </w:p>
        </w:tc>
      </w:tr>
      <w:tr w:rsidR="001E241D" w:rsidRPr="00884FAA" w14:paraId="760F317F"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restart"/>
            <w:vAlign w:val="top"/>
          </w:tcPr>
          <w:p w14:paraId="3B93C296" w14:textId="77777777" w:rsidR="001E241D" w:rsidRPr="00884FAA" w:rsidRDefault="001E241D">
            <w:pPr>
              <w:pStyle w:val="TableText"/>
              <w:spacing w:before="20" w:after="20"/>
              <w:rPr>
                <w:rFonts w:asciiTheme="minorHAnsi" w:hAnsiTheme="minorHAnsi" w:cstheme="minorHAnsi"/>
                <w:sz w:val="20"/>
              </w:rPr>
            </w:pPr>
            <w:r w:rsidRPr="00884FAA">
              <w:rPr>
                <w:rFonts w:asciiTheme="minorHAnsi" w:hAnsiTheme="minorHAnsi" w:cstheme="minorHAnsi"/>
                <w:sz w:val="20"/>
              </w:rPr>
              <w:t>Middle life</w:t>
            </w:r>
          </w:p>
        </w:tc>
        <w:tc>
          <w:tcPr>
            <w:tcW w:w="7525" w:type="dxa"/>
            <w:vAlign w:val="top"/>
          </w:tcPr>
          <w:p w14:paraId="2E9CC9B0"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Smoking status recorded</w:t>
            </w:r>
          </w:p>
        </w:tc>
        <w:tc>
          <w:tcPr>
            <w:tcW w:w="1199" w:type="dxa"/>
            <w:vAlign w:val="top"/>
          </w:tcPr>
          <w:p w14:paraId="4FF22C91" w14:textId="4CCF681D"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88</w:t>
            </w:r>
          </w:p>
        </w:tc>
        <w:tc>
          <w:tcPr>
            <w:tcW w:w="1276" w:type="dxa"/>
            <w:vAlign w:val="top"/>
          </w:tcPr>
          <w:p w14:paraId="18A4A965" w14:textId="32EF6148"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90</w:t>
            </w:r>
          </w:p>
        </w:tc>
        <w:tc>
          <w:tcPr>
            <w:tcW w:w="1922" w:type="dxa"/>
            <w:vAlign w:val="top"/>
          </w:tcPr>
          <w:p w14:paraId="00033EB1"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0.98 (0.84, 1.13)</w:t>
            </w:r>
          </w:p>
        </w:tc>
        <w:tc>
          <w:tcPr>
            <w:tcW w:w="0" w:type="auto"/>
            <w:vAlign w:val="top"/>
          </w:tcPr>
          <w:p w14:paraId="1788CC38"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0.74</w:t>
            </w:r>
          </w:p>
        </w:tc>
      </w:tr>
      <w:tr w:rsidR="001E241D" w:rsidRPr="00884FAA" w14:paraId="06EEE8F8"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3FEAC2CB"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2C3FCC53"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Smoking status result (non-smoker)</w:t>
            </w:r>
          </w:p>
        </w:tc>
        <w:tc>
          <w:tcPr>
            <w:tcW w:w="1199" w:type="dxa"/>
            <w:vAlign w:val="top"/>
          </w:tcPr>
          <w:p w14:paraId="268E592E" w14:textId="7FF74F4E"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46</w:t>
            </w:r>
          </w:p>
        </w:tc>
        <w:tc>
          <w:tcPr>
            <w:tcW w:w="1276" w:type="dxa"/>
            <w:vAlign w:val="top"/>
          </w:tcPr>
          <w:p w14:paraId="3E00090F" w14:textId="0AE1FB74"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46</w:t>
            </w:r>
          </w:p>
        </w:tc>
        <w:tc>
          <w:tcPr>
            <w:tcW w:w="1922" w:type="dxa"/>
            <w:vAlign w:val="top"/>
          </w:tcPr>
          <w:p w14:paraId="22686C01"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1.01 (1.00, 1.02)</w:t>
            </w:r>
          </w:p>
        </w:tc>
        <w:tc>
          <w:tcPr>
            <w:tcW w:w="0" w:type="auto"/>
            <w:vAlign w:val="top"/>
          </w:tcPr>
          <w:p w14:paraId="1B0416E4"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0.23</w:t>
            </w:r>
          </w:p>
        </w:tc>
      </w:tr>
      <w:tr w:rsidR="001E241D" w:rsidRPr="00884FAA" w14:paraId="53DD79CF"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166C3828"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50B303A3"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Alcohol consumption recorded</w:t>
            </w:r>
          </w:p>
        </w:tc>
        <w:tc>
          <w:tcPr>
            <w:tcW w:w="1199" w:type="dxa"/>
            <w:vAlign w:val="top"/>
          </w:tcPr>
          <w:p w14:paraId="7E9F6B63" w14:textId="1DFE4831" w:rsidR="001E241D" w:rsidRPr="00884FAA" w:rsidRDefault="005C6F8F"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68</w:t>
            </w:r>
          </w:p>
        </w:tc>
        <w:tc>
          <w:tcPr>
            <w:tcW w:w="1276" w:type="dxa"/>
            <w:vAlign w:val="top"/>
          </w:tcPr>
          <w:p w14:paraId="44E7B9BD" w14:textId="12467A93" w:rsidR="001E241D" w:rsidRPr="00884FAA" w:rsidRDefault="009712C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70</w:t>
            </w:r>
          </w:p>
        </w:tc>
        <w:tc>
          <w:tcPr>
            <w:tcW w:w="1922" w:type="dxa"/>
            <w:vAlign w:val="top"/>
          </w:tcPr>
          <w:p w14:paraId="08CD5C68"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1.02 (0.95, 1.09)</w:t>
            </w:r>
          </w:p>
        </w:tc>
        <w:tc>
          <w:tcPr>
            <w:tcW w:w="0" w:type="auto"/>
            <w:vAlign w:val="top"/>
          </w:tcPr>
          <w:p w14:paraId="495EC5F7"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0.58</w:t>
            </w:r>
          </w:p>
        </w:tc>
      </w:tr>
      <w:tr w:rsidR="001E241D" w:rsidRPr="00884FAA" w14:paraId="3D097738"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7296D54F"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1F82331C"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AUDIT-C result (low risk)</w:t>
            </w:r>
          </w:p>
        </w:tc>
        <w:tc>
          <w:tcPr>
            <w:tcW w:w="1199" w:type="dxa"/>
            <w:vAlign w:val="top"/>
          </w:tcPr>
          <w:p w14:paraId="60EF72F1" w14:textId="427746F2"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48</w:t>
            </w:r>
          </w:p>
        </w:tc>
        <w:tc>
          <w:tcPr>
            <w:tcW w:w="1276" w:type="dxa"/>
            <w:vAlign w:val="top"/>
          </w:tcPr>
          <w:p w14:paraId="5D19631D" w14:textId="6CCE4420"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53</w:t>
            </w:r>
          </w:p>
        </w:tc>
        <w:tc>
          <w:tcPr>
            <w:tcW w:w="1922" w:type="dxa"/>
            <w:vAlign w:val="top"/>
          </w:tcPr>
          <w:p w14:paraId="31FC2807"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0.96 (0.92, 1.00)</w:t>
            </w:r>
          </w:p>
        </w:tc>
        <w:tc>
          <w:tcPr>
            <w:tcW w:w="0" w:type="auto"/>
            <w:vAlign w:val="top"/>
          </w:tcPr>
          <w:p w14:paraId="31985BE0"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0.05</w:t>
            </w:r>
          </w:p>
        </w:tc>
      </w:tr>
      <w:tr w:rsidR="001E241D" w:rsidRPr="00884FAA" w14:paraId="787B27FE"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2F2F66D4"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4888916E"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BMI result (overweight/obese)</w:t>
            </w:r>
          </w:p>
        </w:tc>
        <w:tc>
          <w:tcPr>
            <w:tcW w:w="1199" w:type="dxa"/>
            <w:vAlign w:val="top"/>
          </w:tcPr>
          <w:p w14:paraId="3A400E90" w14:textId="3C41D834"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72</w:t>
            </w:r>
          </w:p>
        </w:tc>
        <w:tc>
          <w:tcPr>
            <w:tcW w:w="1276" w:type="dxa"/>
            <w:vAlign w:val="top"/>
          </w:tcPr>
          <w:p w14:paraId="467B8FD7" w14:textId="03E4B39D"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74</w:t>
            </w:r>
          </w:p>
        </w:tc>
        <w:tc>
          <w:tcPr>
            <w:tcW w:w="1922" w:type="dxa"/>
            <w:vAlign w:val="top"/>
          </w:tcPr>
          <w:p w14:paraId="0D4A09AB"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1.03 (1.01, 1.05)</w:t>
            </w:r>
          </w:p>
        </w:tc>
        <w:tc>
          <w:tcPr>
            <w:tcW w:w="0" w:type="auto"/>
            <w:vAlign w:val="top"/>
          </w:tcPr>
          <w:p w14:paraId="6C61A170"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0.003</w:t>
            </w:r>
          </w:p>
        </w:tc>
      </w:tr>
      <w:tr w:rsidR="001E241D" w:rsidRPr="00884FAA" w14:paraId="079603C7"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ign w:val="top"/>
          </w:tcPr>
          <w:p w14:paraId="27BA211A"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2A94B697"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Cervical screening (within previous 5 years)</w:t>
            </w:r>
          </w:p>
        </w:tc>
        <w:tc>
          <w:tcPr>
            <w:tcW w:w="1199" w:type="dxa"/>
            <w:vAlign w:val="top"/>
          </w:tcPr>
          <w:p w14:paraId="262D9806" w14:textId="14D21321"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42</w:t>
            </w:r>
          </w:p>
        </w:tc>
        <w:tc>
          <w:tcPr>
            <w:tcW w:w="1276" w:type="dxa"/>
            <w:vAlign w:val="top"/>
          </w:tcPr>
          <w:p w14:paraId="3E2DD780" w14:textId="1435FA4E"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41</w:t>
            </w:r>
          </w:p>
        </w:tc>
        <w:tc>
          <w:tcPr>
            <w:tcW w:w="1922" w:type="dxa"/>
            <w:vAlign w:val="top"/>
          </w:tcPr>
          <w:p w14:paraId="7FB1219D"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0.92 (0.88, 0.97)</w:t>
            </w:r>
          </w:p>
        </w:tc>
        <w:tc>
          <w:tcPr>
            <w:tcW w:w="0" w:type="auto"/>
            <w:vAlign w:val="top"/>
          </w:tcPr>
          <w:p w14:paraId="49637540"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0.001</w:t>
            </w:r>
          </w:p>
        </w:tc>
      </w:tr>
      <w:tr w:rsidR="001E241D" w:rsidRPr="00884FAA" w14:paraId="2BE58C26" w14:textId="77777777" w:rsidTr="00043975">
        <w:tc>
          <w:tcPr>
            <w:cnfStyle w:val="001000000000" w:firstRow="0" w:lastRow="0" w:firstColumn="1" w:lastColumn="0" w:oddVBand="0" w:evenVBand="0" w:oddHBand="0" w:evenHBand="0" w:firstRowFirstColumn="0" w:firstRowLastColumn="0" w:lastRowFirstColumn="0" w:lastRowLastColumn="0"/>
            <w:tcW w:w="0" w:type="auto"/>
            <w:vMerge w:val="restart"/>
            <w:vAlign w:val="top"/>
          </w:tcPr>
          <w:p w14:paraId="211B8F82" w14:textId="77777777" w:rsidR="001E241D" w:rsidRPr="00884FAA" w:rsidRDefault="001E241D">
            <w:pPr>
              <w:pStyle w:val="TableText"/>
              <w:spacing w:before="20" w:after="20"/>
              <w:rPr>
                <w:rFonts w:asciiTheme="minorHAnsi" w:hAnsiTheme="minorHAnsi" w:cstheme="minorHAnsi"/>
                <w:sz w:val="20"/>
              </w:rPr>
            </w:pPr>
            <w:r w:rsidRPr="00884FAA">
              <w:rPr>
                <w:rFonts w:asciiTheme="minorHAnsi" w:hAnsiTheme="minorHAnsi" w:cstheme="minorHAnsi"/>
                <w:sz w:val="20"/>
              </w:rPr>
              <w:t>Later life</w:t>
            </w:r>
          </w:p>
        </w:tc>
        <w:tc>
          <w:tcPr>
            <w:tcW w:w="7525" w:type="dxa"/>
            <w:vAlign w:val="top"/>
          </w:tcPr>
          <w:p w14:paraId="395D3A21"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Immunised against influenza (clients aged ≥50)</w:t>
            </w:r>
          </w:p>
        </w:tc>
        <w:tc>
          <w:tcPr>
            <w:tcW w:w="1199" w:type="dxa"/>
            <w:vAlign w:val="top"/>
          </w:tcPr>
          <w:p w14:paraId="488BDDE7" w14:textId="2C4B4AEC"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29</w:t>
            </w:r>
          </w:p>
        </w:tc>
        <w:tc>
          <w:tcPr>
            <w:tcW w:w="1276" w:type="dxa"/>
            <w:vAlign w:val="top"/>
          </w:tcPr>
          <w:p w14:paraId="38CCBF8F" w14:textId="524B001A"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37</w:t>
            </w:r>
          </w:p>
        </w:tc>
        <w:tc>
          <w:tcPr>
            <w:tcW w:w="1922" w:type="dxa"/>
            <w:vAlign w:val="top"/>
          </w:tcPr>
          <w:p w14:paraId="21DDA638"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1.20 (1.15, 1.25)</w:t>
            </w:r>
          </w:p>
        </w:tc>
        <w:tc>
          <w:tcPr>
            <w:tcW w:w="0" w:type="auto"/>
            <w:vAlign w:val="top"/>
          </w:tcPr>
          <w:p w14:paraId="4F3E80F1"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&lt;0.001</w:t>
            </w:r>
          </w:p>
        </w:tc>
      </w:tr>
      <w:tr w:rsidR="001E241D" w:rsidRPr="00884FAA" w14:paraId="3193D02E"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203E452E"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0FF0B21B"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Immunised against influenza (clients with COPD)</w:t>
            </w:r>
          </w:p>
        </w:tc>
        <w:tc>
          <w:tcPr>
            <w:tcW w:w="1199" w:type="dxa"/>
            <w:vAlign w:val="top"/>
          </w:tcPr>
          <w:p w14:paraId="1FED78B9" w14:textId="348A855B"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27</w:t>
            </w:r>
          </w:p>
        </w:tc>
        <w:tc>
          <w:tcPr>
            <w:tcW w:w="1276" w:type="dxa"/>
            <w:vAlign w:val="top"/>
          </w:tcPr>
          <w:p w14:paraId="743D0C8C" w14:textId="6830A7C7"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40</w:t>
            </w:r>
          </w:p>
        </w:tc>
        <w:tc>
          <w:tcPr>
            <w:tcW w:w="1922" w:type="dxa"/>
            <w:vAlign w:val="top"/>
          </w:tcPr>
          <w:p w14:paraId="651751AA"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1.15 (1.04, 1.27)</w:t>
            </w:r>
          </w:p>
        </w:tc>
        <w:tc>
          <w:tcPr>
            <w:tcW w:w="0" w:type="auto"/>
            <w:vAlign w:val="top"/>
          </w:tcPr>
          <w:p w14:paraId="4AA4DBDF"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0.01</w:t>
            </w:r>
          </w:p>
        </w:tc>
      </w:tr>
      <w:tr w:rsidR="001E241D" w:rsidRPr="00884FAA" w14:paraId="5EFD8ED6"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0EA64A35"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1C799066"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Immunised against influenza (clients with Type 2 diabetes)</w:t>
            </w:r>
          </w:p>
        </w:tc>
        <w:tc>
          <w:tcPr>
            <w:tcW w:w="1199" w:type="dxa"/>
            <w:vAlign w:val="top"/>
          </w:tcPr>
          <w:p w14:paraId="7EA554EB" w14:textId="1E472EFA"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27</w:t>
            </w:r>
          </w:p>
        </w:tc>
        <w:tc>
          <w:tcPr>
            <w:tcW w:w="1276" w:type="dxa"/>
            <w:vAlign w:val="top"/>
          </w:tcPr>
          <w:p w14:paraId="27B7C098" w14:textId="2261BBF9"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33</w:t>
            </w:r>
          </w:p>
        </w:tc>
        <w:tc>
          <w:tcPr>
            <w:tcW w:w="1922" w:type="dxa"/>
            <w:vAlign w:val="top"/>
          </w:tcPr>
          <w:p w14:paraId="4F645F8F"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1.15 (1.07, 1.24)</w:t>
            </w:r>
          </w:p>
        </w:tc>
        <w:tc>
          <w:tcPr>
            <w:tcW w:w="0" w:type="auto"/>
            <w:vAlign w:val="top"/>
          </w:tcPr>
          <w:p w14:paraId="58B2D0B5"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&lt;0.001</w:t>
            </w:r>
          </w:p>
        </w:tc>
      </w:tr>
      <w:tr w:rsidR="001E241D" w:rsidRPr="00884FAA" w14:paraId="0C7BA77F"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405D94D7"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6123C190" w14:textId="16018109"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 xml:space="preserve">CVD </w:t>
            </w:r>
            <w:r w:rsidR="00751983">
              <w:rPr>
                <w:rFonts w:cstheme="minorHAnsi"/>
                <w:sz w:val="20"/>
              </w:rPr>
              <w:t>r</w:t>
            </w:r>
            <w:r w:rsidRPr="00884FAA">
              <w:rPr>
                <w:rFonts w:cstheme="minorHAnsi"/>
                <w:sz w:val="20"/>
              </w:rPr>
              <w:t>isk factors recorded</w:t>
            </w:r>
          </w:p>
        </w:tc>
        <w:tc>
          <w:tcPr>
            <w:tcW w:w="1199" w:type="dxa"/>
            <w:vAlign w:val="top"/>
          </w:tcPr>
          <w:p w14:paraId="33C599C3" w14:textId="144C8AF0"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46</w:t>
            </w:r>
          </w:p>
        </w:tc>
        <w:tc>
          <w:tcPr>
            <w:tcW w:w="1276" w:type="dxa"/>
            <w:vAlign w:val="top"/>
          </w:tcPr>
          <w:p w14:paraId="3EA8AF9F" w14:textId="164A6D76"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53</w:t>
            </w:r>
          </w:p>
        </w:tc>
        <w:tc>
          <w:tcPr>
            <w:tcW w:w="1922" w:type="dxa"/>
            <w:vAlign w:val="top"/>
          </w:tcPr>
          <w:p w14:paraId="6866422C"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1.13 (1.07, 1.19)</w:t>
            </w:r>
          </w:p>
        </w:tc>
        <w:tc>
          <w:tcPr>
            <w:tcW w:w="0" w:type="auto"/>
            <w:vAlign w:val="top"/>
          </w:tcPr>
          <w:p w14:paraId="360582E7"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&lt;0.001</w:t>
            </w:r>
          </w:p>
        </w:tc>
      </w:tr>
      <w:tr w:rsidR="001E241D" w:rsidRPr="00884FAA" w14:paraId="538D15DB"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7ED562DD"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5B3EAD2C"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CVD risk assessment result (low risk)</w:t>
            </w:r>
          </w:p>
        </w:tc>
        <w:tc>
          <w:tcPr>
            <w:tcW w:w="1199" w:type="dxa"/>
            <w:vAlign w:val="top"/>
          </w:tcPr>
          <w:p w14:paraId="0E86589D" w14:textId="1F4F0D4F"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56</w:t>
            </w:r>
          </w:p>
        </w:tc>
        <w:tc>
          <w:tcPr>
            <w:tcW w:w="1276" w:type="dxa"/>
            <w:vAlign w:val="top"/>
          </w:tcPr>
          <w:p w14:paraId="53023A87" w14:textId="3EC8E2EF"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64</w:t>
            </w:r>
          </w:p>
        </w:tc>
        <w:tc>
          <w:tcPr>
            <w:tcW w:w="1922" w:type="dxa"/>
            <w:vAlign w:val="top"/>
          </w:tcPr>
          <w:p w14:paraId="178C2F6D"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1.06 (1.03, 1.10)</w:t>
            </w:r>
          </w:p>
        </w:tc>
        <w:tc>
          <w:tcPr>
            <w:tcW w:w="0" w:type="auto"/>
            <w:vAlign w:val="top"/>
          </w:tcPr>
          <w:p w14:paraId="78042F07"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&lt;0.001</w:t>
            </w:r>
          </w:p>
        </w:tc>
      </w:tr>
      <w:tr w:rsidR="001E241D" w:rsidRPr="00884FAA" w14:paraId="7ED22F3F"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668C4534"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2E47C325" w14:textId="397C1085"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Kidney function test (clients with CVD)</w:t>
            </w:r>
            <w:r w:rsidR="006E667C">
              <w:rPr>
                <w:rFonts w:cstheme="minorHAnsi"/>
                <w:sz w:val="20"/>
              </w:rPr>
              <w:t>*</w:t>
            </w:r>
          </w:p>
        </w:tc>
        <w:tc>
          <w:tcPr>
            <w:tcW w:w="1199" w:type="dxa"/>
            <w:vAlign w:val="top"/>
          </w:tcPr>
          <w:p w14:paraId="12162176" w14:textId="3DCD53E1"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59</w:t>
            </w:r>
          </w:p>
        </w:tc>
        <w:tc>
          <w:tcPr>
            <w:tcW w:w="1276" w:type="dxa"/>
            <w:vAlign w:val="top"/>
          </w:tcPr>
          <w:p w14:paraId="760E5620" w14:textId="6B5919CF"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62</w:t>
            </w:r>
          </w:p>
        </w:tc>
        <w:tc>
          <w:tcPr>
            <w:tcW w:w="1922" w:type="dxa"/>
            <w:vAlign w:val="top"/>
          </w:tcPr>
          <w:p w14:paraId="1F0AF48D"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1.17 (1.05, 1.32)</w:t>
            </w:r>
          </w:p>
        </w:tc>
        <w:tc>
          <w:tcPr>
            <w:tcW w:w="0" w:type="auto"/>
            <w:vAlign w:val="top"/>
          </w:tcPr>
          <w:p w14:paraId="0254807F"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0.01</w:t>
            </w:r>
          </w:p>
        </w:tc>
      </w:tr>
      <w:tr w:rsidR="001E241D" w:rsidRPr="00884FAA" w14:paraId="74E2B623"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606B7D0C"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16A91B31" w14:textId="67928E0A"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Kidney function test (clients with Type 2 diabetes)</w:t>
            </w:r>
            <w:r w:rsidR="006E667C">
              <w:rPr>
                <w:rFonts w:cstheme="minorHAnsi"/>
                <w:sz w:val="20"/>
              </w:rPr>
              <w:t>*</w:t>
            </w:r>
          </w:p>
        </w:tc>
        <w:tc>
          <w:tcPr>
            <w:tcW w:w="1199" w:type="dxa"/>
            <w:vAlign w:val="top"/>
          </w:tcPr>
          <w:p w14:paraId="7084D481" w14:textId="6E95117C" w:rsidR="001E241D" w:rsidRPr="00884FAA" w:rsidRDefault="00D4521B"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65</w:t>
            </w:r>
          </w:p>
        </w:tc>
        <w:tc>
          <w:tcPr>
            <w:tcW w:w="1276" w:type="dxa"/>
            <w:vAlign w:val="top"/>
          </w:tcPr>
          <w:p w14:paraId="32D9516D" w14:textId="39B1F9A2"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66</w:t>
            </w:r>
          </w:p>
        </w:tc>
        <w:tc>
          <w:tcPr>
            <w:tcW w:w="1922" w:type="dxa"/>
            <w:vAlign w:val="top"/>
          </w:tcPr>
          <w:p w14:paraId="5615801D"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1.06 (1.00, 1.13)</w:t>
            </w:r>
          </w:p>
        </w:tc>
        <w:tc>
          <w:tcPr>
            <w:tcW w:w="0" w:type="auto"/>
            <w:vAlign w:val="top"/>
          </w:tcPr>
          <w:p w14:paraId="11E0B73F"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0.06</w:t>
            </w:r>
          </w:p>
        </w:tc>
      </w:tr>
      <w:tr w:rsidR="001E241D" w:rsidRPr="00884FAA" w14:paraId="269ED18C"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38725D25"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166C14CF" w14:textId="7820A292"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Normal eGFR test result (clients with CVD)</w:t>
            </w:r>
            <w:r w:rsidR="00A5164B">
              <w:rPr>
                <w:rFonts w:cstheme="minorHAnsi"/>
                <w:sz w:val="20"/>
              </w:rPr>
              <w:t>*</w:t>
            </w:r>
          </w:p>
        </w:tc>
        <w:tc>
          <w:tcPr>
            <w:tcW w:w="1199" w:type="dxa"/>
            <w:vAlign w:val="top"/>
          </w:tcPr>
          <w:p w14:paraId="4B66FDCC" w14:textId="5728E0D3" w:rsidR="001E241D" w:rsidRPr="00884FAA" w:rsidRDefault="0033775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77</w:t>
            </w:r>
          </w:p>
        </w:tc>
        <w:tc>
          <w:tcPr>
            <w:tcW w:w="1276" w:type="dxa"/>
            <w:vAlign w:val="top"/>
          </w:tcPr>
          <w:p w14:paraId="49236894" w14:textId="7051F75D"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76</w:t>
            </w:r>
          </w:p>
        </w:tc>
        <w:tc>
          <w:tcPr>
            <w:tcW w:w="1922" w:type="dxa"/>
            <w:vAlign w:val="top"/>
          </w:tcPr>
          <w:p w14:paraId="6E6FDE10"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1.04 (0.98, 1.10)</w:t>
            </w:r>
          </w:p>
        </w:tc>
        <w:tc>
          <w:tcPr>
            <w:tcW w:w="0" w:type="auto"/>
            <w:vAlign w:val="top"/>
          </w:tcPr>
          <w:p w14:paraId="54A70605"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0.19</w:t>
            </w:r>
          </w:p>
        </w:tc>
      </w:tr>
      <w:tr w:rsidR="001E241D" w:rsidRPr="00884FAA" w14:paraId="74AE4FC6"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35D9B8A2"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7C8CF158" w14:textId="1709A5BD"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Normal eGFR test result (clients with Type 2 diabetes)</w:t>
            </w:r>
            <w:r w:rsidR="00A5164B">
              <w:rPr>
                <w:rFonts w:cstheme="minorHAnsi"/>
                <w:sz w:val="20"/>
              </w:rPr>
              <w:t>*</w:t>
            </w:r>
            <w:r w:rsidRPr="00884FAA">
              <w:rPr>
                <w:rFonts w:cstheme="minorHAnsi"/>
                <w:sz w:val="20"/>
              </w:rPr>
              <w:t xml:space="preserve"> </w:t>
            </w:r>
            <w:r w:rsidRPr="00884FAA">
              <w:rPr>
                <w:rFonts w:cstheme="minorHAnsi"/>
                <w:sz w:val="20"/>
              </w:rPr>
              <w:tab/>
            </w:r>
          </w:p>
        </w:tc>
        <w:tc>
          <w:tcPr>
            <w:tcW w:w="1199" w:type="dxa"/>
            <w:vAlign w:val="top"/>
          </w:tcPr>
          <w:p w14:paraId="4613BCA6" w14:textId="5DCCA305" w:rsidR="001E241D" w:rsidRPr="00884FAA" w:rsidRDefault="0033775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80</w:t>
            </w:r>
          </w:p>
        </w:tc>
        <w:tc>
          <w:tcPr>
            <w:tcW w:w="1276" w:type="dxa"/>
            <w:vAlign w:val="top"/>
          </w:tcPr>
          <w:p w14:paraId="7E38F38F" w14:textId="6BC4B05A"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83</w:t>
            </w:r>
          </w:p>
        </w:tc>
        <w:tc>
          <w:tcPr>
            <w:tcW w:w="1922" w:type="dxa"/>
            <w:vAlign w:val="top"/>
          </w:tcPr>
          <w:p w14:paraId="69E4AB2F"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1.04 (0.99, 1.09)</w:t>
            </w:r>
          </w:p>
        </w:tc>
        <w:tc>
          <w:tcPr>
            <w:tcW w:w="0" w:type="auto"/>
            <w:vAlign w:val="top"/>
          </w:tcPr>
          <w:p w14:paraId="04881C32"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0.15</w:t>
            </w:r>
          </w:p>
        </w:tc>
      </w:tr>
      <w:tr w:rsidR="001E241D" w:rsidRPr="00884FAA" w14:paraId="5B35C3FD"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5E37662C"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0E57A0F2" w14:textId="3D582E4F"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Normal ACR test result (clients with type 2 diabetes)</w:t>
            </w:r>
            <w:r w:rsidR="00882713">
              <w:rPr>
                <w:rFonts w:cstheme="minorHAnsi"/>
                <w:sz w:val="20"/>
              </w:rPr>
              <w:t>*</w:t>
            </w:r>
          </w:p>
        </w:tc>
        <w:tc>
          <w:tcPr>
            <w:tcW w:w="1199" w:type="dxa"/>
            <w:vAlign w:val="top"/>
          </w:tcPr>
          <w:p w14:paraId="52C61A29" w14:textId="4B708776" w:rsidR="001E241D" w:rsidRPr="00884FAA" w:rsidRDefault="0033775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85</w:t>
            </w:r>
          </w:p>
        </w:tc>
        <w:tc>
          <w:tcPr>
            <w:tcW w:w="1276" w:type="dxa"/>
            <w:vAlign w:val="top"/>
          </w:tcPr>
          <w:p w14:paraId="14E68438" w14:textId="016FD51A" w:rsidR="001E241D" w:rsidRPr="00884FAA" w:rsidRDefault="00263FD8"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84</w:t>
            </w:r>
          </w:p>
        </w:tc>
        <w:tc>
          <w:tcPr>
            <w:tcW w:w="1922" w:type="dxa"/>
            <w:vAlign w:val="top"/>
          </w:tcPr>
          <w:p w14:paraId="6A6B0C57"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1.01 (0.99, 1.04)</w:t>
            </w:r>
          </w:p>
        </w:tc>
        <w:tc>
          <w:tcPr>
            <w:tcW w:w="0" w:type="auto"/>
            <w:vAlign w:val="top"/>
          </w:tcPr>
          <w:p w14:paraId="27C5680F"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0.21</w:t>
            </w:r>
          </w:p>
        </w:tc>
      </w:tr>
      <w:tr w:rsidR="001E241D" w:rsidRPr="00884FAA" w14:paraId="4FF0618B"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38ACB81F"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552056BA"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Blood pressure recorded (clients with type 2 diabetes)</w:t>
            </w:r>
          </w:p>
        </w:tc>
        <w:tc>
          <w:tcPr>
            <w:tcW w:w="1199" w:type="dxa"/>
            <w:vAlign w:val="top"/>
          </w:tcPr>
          <w:p w14:paraId="54ABF2C3" w14:textId="054C1A3D" w:rsidR="001E241D" w:rsidRPr="00884FAA" w:rsidRDefault="0033775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68</w:t>
            </w:r>
          </w:p>
        </w:tc>
        <w:tc>
          <w:tcPr>
            <w:tcW w:w="1276" w:type="dxa"/>
            <w:vAlign w:val="top"/>
          </w:tcPr>
          <w:p w14:paraId="638D10D5" w14:textId="71CCAA13" w:rsidR="001E241D" w:rsidRPr="00884FAA" w:rsidRDefault="00B569C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69</w:t>
            </w:r>
          </w:p>
        </w:tc>
        <w:tc>
          <w:tcPr>
            <w:tcW w:w="1922" w:type="dxa"/>
            <w:vAlign w:val="top"/>
          </w:tcPr>
          <w:p w14:paraId="35CBAE18"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1.03 (0.97, 1.09)</w:t>
            </w:r>
          </w:p>
        </w:tc>
        <w:tc>
          <w:tcPr>
            <w:tcW w:w="0" w:type="auto"/>
            <w:vAlign w:val="top"/>
          </w:tcPr>
          <w:p w14:paraId="61E2AC14"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0.35</w:t>
            </w:r>
          </w:p>
        </w:tc>
      </w:tr>
      <w:tr w:rsidR="001E241D" w:rsidRPr="00884FAA" w14:paraId="1F949EDC"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53DAE903"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1029F7ED"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Normal blood pressure (clients with type 2 diabetes)</w:t>
            </w:r>
          </w:p>
        </w:tc>
        <w:tc>
          <w:tcPr>
            <w:tcW w:w="1199" w:type="dxa"/>
            <w:vAlign w:val="top"/>
          </w:tcPr>
          <w:p w14:paraId="3518FECA" w14:textId="70C5234B" w:rsidR="001E241D" w:rsidRPr="00884FAA" w:rsidRDefault="0033775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36</w:t>
            </w:r>
          </w:p>
        </w:tc>
        <w:tc>
          <w:tcPr>
            <w:tcW w:w="1276" w:type="dxa"/>
            <w:vAlign w:val="top"/>
          </w:tcPr>
          <w:p w14:paraId="1AF34DFF" w14:textId="12FA0F75" w:rsidR="001E241D" w:rsidRPr="00884FAA" w:rsidRDefault="00B569C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40</w:t>
            </w:r>
          </w:p>
        </w:tc>
        <w:tc>
          <w:tcPr>
            <w:tcW w:w="1922" w:type="dxa"/>
            <w:vAlign w:val="top"/>
          </w:tcPr>
          <w:p w14:paraId="0303F579"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0.95 (0.89, 1.01)</w:t>
            </w:r>
          </w:p>
        </w:tc>
        <w:tc>
          <w:tcPr>
            <w:tcW w:w="0" w:type="auto"/>
            <w:vAlign w:val="top"/>
          </w:tcPr>
          <w:p w14:paraId="49ECE186"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0.09</w:t>
            </w:r>
          </w:p>
        </w:tc>
      </w:tr>
      <w:tr w:rsidR="001E241D" w:rsidRPr="00884FAA" w14:paraId="6E1991BA"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239F2BD9"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2C61FA13"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HbA1c result recorded (within previous 6 months)</w:t>
            </w:r>
          </w:p>
        </w:tc>
        <w:tc>
          <w:tcPr>
            <w:tcW w:w="1199" w:type="dxa"/>
            <w:vAlign w:val="top"/>
          </w:tcPr>
          <w:p w14:paraId="45C3875D" w14:textId="3E20F6F5" w:rsidR="001E241D" w:rsidRPr="00884FAA" w:rsidRDefault="0033775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51</w:t>
            </w:r>
          </w:p>
        </w:tc>
        <w:tc>
          <w:tcPr>
            <w:tcW w:w="1276" w:type="dxa"/>
            <w:vAlign w:val="top"/>
          </w:tcPr>
          <w:p w14:paraId="792CDA2A" w14:textId="28FC2677" w:rsidR="001E241D" w:rsidRPr="00884FAA" w:rsidRDefault="00B569C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55</w:t>
            </w:r>
          </w:p>
        </w:tc>
        <w:tc>
          <w:tcPr>
            <w:tcW w:w="1922" w:type="dxa"/>
            <w:vAlign w:val="top"/>
          </w:tcPr>
          <w:p w14:paraId="48BA863A"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1.02 (0.99, 1.05)</w:t>
            </w:r>
          </w:p>
        </w:tc>
        <w:tc>
          <w:tcPr>
            <w:tcW w:w="0" w:type="auto"/>
            <w:vAlign w:val="top"/>
          </w:tcPr>
          <w:p w14:paraId="36BC3A69"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0.15</w:t>
            </w:r>
          </w:p>
        </w:tc>
      </w:tr>
      <w:tr w:rsidR="001E241D" w:rsidRPr="00884FAA" w14:paraId="485EC7B7" w14:textId="77777777" w:rsidTr="00043975">
        <w:tc>
          <w:tcPr>
            <w:cnfStyle w:val="001000000000" w:firstRow="0" w:lastRow="0" w:firstColumn="1" w:lastColumn="0" w:oddVBand="0" w:evenVBand="0" w:oddHBand="0" w:evenHBand="0" w:firstRowFirstColumn="0" w:firstRowLastColumn="0" w:lastRowFirstColumn="0" w:lastRowLastColumn="0"/>
            <w:tcW w:w="0" w:type="auto"/>
            <w:vMerge/>
          </w:tcPr>
          <w:p w14:paraId="65F886A0" w14:textId="77777777" w:rsidR="001E241D" w:rsidRPr="00884FAA" w:rsidRDefault="001E241D">
            <w:pPr>
              <w:pStyle w:val="TableText"/>
              <w:spacing w:before="20" w:after="20"/>
              <w:rPr>
                <w:rFonts w:asciiTheme="minorHAnsi" w:hAnsiTheme="minorHAnsi" w:cstheme="minorHAnsi"/>
                <w:sz w:val="20"/>
              </w:rPr>
            </w:pPr>
          </w:p>
        </w:tc>
        <w:tc>
          <w:tcPr>
            <w:tcW w:w="7525" w:type="dxa"/>
            <w:vAlign w:val="top"/>
          </w:tcPr>
          <w:p w14:paraId="0A51A449"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HbA1c normal (clients with type 2 diabetes)</w:t>
            </w:r>
          </w:p>
        </w:tc>
        <w:tc>
          <w:tcPr>
            <w:tcW w:w="1199" w:type="dxa"/>
            <w:vAlign w:val="top"/>
          </w:tcPr>
          <w:p w14:paraId="7918372B" w14:textId="7E49FE12" w:rsidR="001E241D" w:rsidRPr="00884FAA" w:rsidRDefault="00D95E90"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41</w:t>
            </w:r>
          </w:p>
        </w:tc>
        <w:tc>
          <w:tcPr>
            <w:tcW w:w="1276" w:type="dxa"/>
            <w:vAlign w:val="top"/>
          </w:tcPr>
          <w:p w14:paraId="310964BB" w14:textId="6F2EDA67" w:rsidR="001E241D" w:rsidRPr="00884FAA" w:rsidRDefault="00B569C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40</w:t>
            </w:r>
          </w:p>
        </w:tc>
        <w:tc>
          <w:tcPr>
            <w:tcW w:w="1922" w:type="dxa"/>
            <w:vAlign w:val="top"/>
          </w:tcPr>
          <w:p w14:paraId="506A3A5E" w14:textId="77777777" w:rsidR="001E241D" w:rsidRPr="00884FAA" w:rsidRDefault="001E241D" w:rsidP="006C15A6">
            <w:pPr>
              <w:pStyle w:val="TableText"/>
              <w:spacing w:before="20" w:after="20"/>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sz w:val="20"/>
              </w:rPr>
              <w:t>0.98 (0.96, 1.01)</w:t>
            </w:r>
          </w:p>
        </w:tc>
        <w:tc>
          <w:tcPr>
            <w:tcW w:w="0" w:type="auto"/>
            <w:vAlign w:val="top"/>
          </w:tcPr>
          <w:p w14:paraId="164DF939" w14:textId="77777777" w:rsidR="001E241D" w:rsidRPr="00884FAA" w:rsidRDefault="001E241D">
            <w:pPr>
              <w:pStyle w:val="TableText"/>
              <w:spacing w:before="20" w:after="20"/>
              <w:cnfStyle w:val="000000000000" w:firstRow="0" w:lastRow="0" w:firstColumn="0" w:lastColumn="0" w:oddVBand="0" w:evenVBand="0" w:oddHBand="0" w:evenHBand="0" w:firstRowFirstColumn="0" w:firstRowLastColumn="0" w:lastRowFirstColumn="0" w:lastRowLastColumn="0"/>
              <w:rPr>
                <w:rFonts w:cstheme="minorHAnsi"/>
                <w:sz w:val="20"/>
              </w:rPr>
            </w:pPr>
            <w:r w:rsidRPr="00884FAA">
              <w:rPr>
                <w:rFonts w:cstheme="minorHAnsi"/>
                <w:sz w:val="20"/>
              </w:rPr>
              <w:t>0.25</w:t>
            </w:r>
          </w:p>
        </w:tc>
      </w:tr>
    </w:tbl>
    <w:bookmarkEnd w:id="275"/>
    <w:p w14:paraId="4FD12B2A" w14:textId="17AD912F" w:rsidR="007E0FD8" w:rsidRPr="007818C3" w:rsidRDefault="00BC2658" w:rsidP="00043975">
      <w:pPr>
        <w:spacing w:line="240" w:lineRule="auto"/>
        <w:rPr>
          <w:sz w:val="21"/>
          <w:szCs w:val="21"/>
          <w:lang w:val="en-NZ"/>
        </w:rPr>
      </w:pPr>
      <w:r w:rsidRPr="007818C3">
        <w:rPr>
          <w:sz w:val="21"/>
          <w:szCs w:val="21"/>
          <w:lang w:val="en-NZ"/>
        </w:rPr>
        <w:t>Me</w:t>
      </w:r>
      <w:r w:rsidR="00876F5A">
        <w:rPr>
          <w:sz w:val="21"/>
          <w:szCs w:val="21"/>
          <w:lang w:val="en-NZ"/>
        </w:rPr>
        <w:t>di</w:t>
      </w:r>
      <w:r w:rsidRPr="007818C3">
        <w:rPr>
          <w:sz w:val="21"/>
          <w:szCs w:val="21"/>
          <w:lang w:val="en-NZ"/>
        </w:rPr>
        <w:t>an %: me</w:t>
      </w:r>
      <w:r w:rsidR="00876F5A">
        <w:rPr>
          <w:sz w:val="21"/>
          <w:szCs w:val="21"/>
          <w:lang w:val="en-NZ"/>
        </w:rPr>
        <w:t>di</w:t>
      </w:r>
      <w:r w:rsidRPr="007818C3">
        <w:rPr>
          <w:sz w:val="21"/>
          <w:szCs w:val="21"/>
          <w:lang w:val="en-NZ"/>
        </w:rPr>
        <w:t>an of the 16 site percentages. OR: odds ratio. CI: confidence interval. * Me</w:t>
      </w:r>
      <w:r w:rsidR="00043975">
        <w:rPr>
          <w:sz w:val="21"/>
          <w:szCs w:val="21"/>
          <w:lang w:val="en-NZ"/>
        </w:rPr>
        <w:t>di</w:t>
      </w:r>
      <w:r w:rsidRPr="007818C3">
        <w:rPr>
          <w:sz w:val="21"/>
          <w:szCs w:val="21"/>
          <w:lang w:val="en-NZ"/>
        </w:rPr>
        <w:t>an % reported in the June 2017 column refers to December 2017 as data were not available for this nKPI in June 2017.</w:t>
      </w:r>
    </w:p>
    <w:p w14:paraId="3F5BB7DE" w14:textId="77777777" w:rsidR="007E0FD8" w:rsidRPr="00884FAA" w:rsidRDefault="007E0FD8" w:rsidP="002A67DB"/>
    <w:p w14:paraId="6510E736" w14:textId="77777777" w:rsidR="007E0FD8" w:rsidRPr="00884FAA" w:rsidRDefault="007E0FD8" w:rsidP="002A67DB">
      <w:pPr>
        <w:sectPr w:rsidR="007E0FD8" w:rsidRPr="00884FAA" w:rsidSect="007E0FD8">
          <w:pgSz w:w="16838" w:h="11906" w:orient="landscape"/>
          <w:pgMar w:top="1440" w:right="1440" w:bottom="1440" w:left="1440" w:header="709" w:footer="709" w:gutter="0"/>
          <w:cols w:space="708"/>
          <w:docGrid w:linePitch="360"/>
        </w:sectPr>
      </w:pPr>
    </w:p>
    <w:p w14:paraId="6CBEA7B1" w14:textId="52CD4069" w:rsidR="0043128A" w:rsidRPr="00057C5D" w:rsidRDefault="00724780" w:rsidP="00057C5D">
      <w:r w:rsidRPr="00057C5D">
        <w:lastRenderedPageBreak/>
        <w:t xml:space="preserve">As shown in </w:t>
      </w:r>
      <w:r w:rsidRPr="00057C5D">
        <w:rPr>
          <w:highlight w:val="yellow"/>
        </w:rPr>
        <w:fldChar w:fldCharType="begin"/>
      </w:r>
      <w:r w:rsidRPr="00057C5D">
        <w:instrText xml:space="preserve"> REF _Ref131610775 \h </w:instrText>
      </w:r>
      <w:r w:rsidRPr="00057C5D">
        <w:rPr>
          <w:highlight w:val="yellow"/>
        </w:rPr>
        <w:instrText xml:space="preserve"> \* MERGEFORMAT </w:instrText>
      </w:r>
      <w:r w:rsidRPr="00057C5D">
        <w:rPr>
          <w:highlight w:val="yellow"/>
        </w:rPr>
      </w:r>
      <w:r w:rsidRPr="00057C5D">
        <w:rPr>
          <w:highlight w:val="yellow"/>
        </w:rPr>
        <w:fldChar w:fldCharType="separate"/>
      </w:r>
      <w:r w:rsidR="00165B17" w:rsidRPr="00165B17">
        <w:t>Table 8</w:t>
      </w:r>
      <w:r w:rsidR="00165B17" w:rsidRPr="00165B17">
        <w:noBreakHyphen/>
        <w:t>4</w:t>
      </w:r>
      <w:r w:rsidRPr="00057C5D">
        <w:rPr>
          <w:highlight w:val="yellow"/>
        </w:rPr>
        <w:fldChar w:fldCharType="end"/>
      </w:r>
      <w:r w:rsidRPr="00057C5D">
        <w:t>, j</w:t>
      </w:r>
      <w:r w:rsidR="00BC2658" w:rsidRPr="00057C5D">
        <w:t>ust over o</w:t>
      </w:r>
      <w:r w:rsidR="002A67DB" w:rsidRPr="00057C5D">
        <w:t>ne-third of indicators (</w:t>
      </w:r>
      <w:r w:rsidR="00D24F2F" w:rsidRPr="00057C5D">
        <w:t>9)</w:t>
      </w:r>
      <w:r w:rsidR="002A67DB" w:rsidRPr="00057C5D">
        <w:t xml:space="preserve"> showed </w:t>
      </w:r>
      <w:r w:rsidR="006C30AB" w:rsidRPr="00057C5D">
        <w:t>meaningful</w:t>
      </w:r>
      <w:r w:rsidR="002A67DB" w:rsidRPr="00057C5D">
        <w:t xml:space="preserve"> improvement over the period</w:t>
      </w:r>
      <w:r w:rsidR="00634AF7" w:rsidRPr="00057C5D">
        <w:t>:</w:t>
      </w:r>
      <w:r w:rsidR="00E85D0D" w:rsidRPr="00057C5D">
        <w:t xml:space="preserve"> </w:t>
      </w:r>
      <w:r w:rsidR="00E85D0D" w:rsidRPr="00057C5D">
        <w:rPr>
          <w:lang w:val="en-NZ"/>
        </w:rPr>
        <w:t>Smoking status of women who gave birth in the previous 12 months, Immunised against influenza</w:t>
      </w:r>
      <w:r w:rsidR="001E2E48" w:rsidRPr="00057C5D">
        <w:rPr>
          <w:lang w:val="en-NZ"/>
        </w:rPr>
        <w:t xml:space="preserve"> (3 </w:t>
      </w:r>
      <w:r w:rsidR="00057C5D" w:rsidRPr="00057C5D">
        <w:rPr>
          <w:lang w:val="en-NZ"/>
        </w:rPr>
        <w:t>indicators</w:t>
      </w:r>
      <w:r w:rsidR="001E2E48" w:rsidRPr="00057C5D">
        <w:rPr>
          <w:lang w:val="en-NZ"/>
        </w:rPr>
        <w:t xml:space="preserve">), </w:t>
      </w:r>
      <w:r w:rsidR="00BF5DF1">
        <w:rPr>
          <w:lang w:val="en-NZ"/>
        </w:rPr>
        <w:t>C</w:t>
      </w:r>
      <w:r w:rsidR="00BF5DF1" w:rsidRPr="00884FAA">
        <w:t xml:space="preserve">ardio-vascular disease </w:t>
      </w:r>
      <w:r w:rsidR="00BF5DF1">
        <w:t>(</w:t>
      </w:r>
      <w:r w:rsidR="001E2E48" w:rsidRPr="00057C5D">
        <w:rPr>
          <w:lang w:val="en-NZ"/>
        </w:rPr>
        <w:t>CVD</w:t>
      </w:r>
      <w:r w:rsidR="00BF5DF1">
        <w:rPr>
          <w:lang w:val="en-NZ"/>
        </w:rPr>
        <w:t>)</w:t>
      </w:r>
      <w:r w:rsidR="001E2E48" w:rsidRPr="00057C5D">
        <w:rPr>
          <w:lang w:val="en-NZ"/>
        </w:rPr>
        <w:t xml:space="preserve"> risk </w:t>
      </w:r>
      <w:r w:rsidR="009D6F61" w:rsidRPr="00057C5D">
        <w:rPr>
          <w:lang w:val="en-NZ"/>
        </w:rPr>
        <w:t xml:space="preserve">(factors </w:t>
      </w:r>
      <w:r w:rsidR="001E2E48" w:rsidRPr="00057C5D">
        <w:rPr>
          <w:lang w:val="en-NZ"/>
        </w:rPr>
        <w:t xml:space="preserve">recorded and </w:t>
      </w:r>
      <w:r w:rsidR="009D6F61" w:rsidRPr="00057C5D">
        <w:rPr>
          <w:lang w:val="en-NZ"/>
        </w:rPr>
        <w:t xml:space="preserve">assessment </w:t>
      </w:r>
      <w:r w:rsidR="001E2E48" w:rsidRPr="00057C5D">
        <w:rPr>
          <w:lang w:val="en-NZ"/>
        </w:rPr>
        <w:t>result),</w:t>
      </w:r>
      <w:r w:rsidR="009D6F61" w:rsidRPr="00057C5D">
        <w:rPr>
          <w:lang w:val="en-NZ"/>
        </w:rPr>
        <w:t xml:space="preserve"> Kidney function test (</w:t>
      </w:r>
      <w:r w:rsidR="000B3904" w:rsidRPr="00057C5D">
        <w:rPr>
          <w:lang w:val="en-NZ"/>
        </w:rPr>
        <w:t>clients with CVD and clients with Types 2 diabetes), Blood pressure 130/80 mmHg or less (clients with Type 2 diabetes)</w:t>
      </w:r>
      <w:r w:rsidR="00CB08FC" w:rsidRPr="00057C5D">
        <w:rPr>
          <w:lang w:val="en-NZ"/>
        </w:rPr>
        <w:t xml:space="preserve">. </w:t>
      </w:r>
      <w:r w:rsidR="00634AF7" w:rsidRPr="00057C5D">
        <w:t>T</w:t>
      </w:r>
      <w:r w:rsidR="002A67DB" w:rsidRPr="00057C5D">
        <w:t xml:space="preserve">hree </w:t>
      </w:r>
      <w:r w:rsidR="00634AF7" w:rsidRPr="00057C5D">
        <w:t xml:space="preserve">indicators </w:t>
      </w:r>
      <w:r w:rsidR="002A67DB" w:rsidRPr="00057C5D">
        <w:t>showed a worsening situation</w:t>
      </w:r>
      <w:r w:rsidR="001D7901" w:rsidRPr="00057C5D">
        <w:t xml:space="preserve">: </w:t>
      </w:r>
      <w:r w:rsidR="001D7901" w:rsidRPr="00057C5D">
        <w:rPr>
          <w:lang w:val="en-NZ"/>
        </w:rPr>
        <w:t>BMI result</w:t>
      </w:r>
      <w:r w:rsidR="004277FE" w:rsidRPr="00057C5D">
        <w:rPr>
          <w:lang w:val="en-NZ"/>
        </w:rPr>
        <w:t>, Cervical screening, and AUDIT-C result.</w:t>
      </w:r>
      <w:r w:rsidR="00BF5DF1" w:rsidRPr="00884FAA">
        <w:rPr>
          <w:vertAlign w:val="superscript"/>
        </w:rPr>
        <w:footnoteReference w:id="71"/>
      </w:r>
    </w:p>
    <w:p w14:paraId="5E380014" w14:textId="7008B81A" w:rsidR="002A67DB" w:rsidRPr="00884FAA" w:rsidRDefault="002A67DB" w:rsidP="002A67DB">
      <w:r w:rsidRPr="00884FAA">
        <w:t xml:space="preserve">The </w:t>
      </w:r>
      <w:r w:rsidR="006D2482">
        <w:t>3</w:t>
      </w:r>
      <w:r w:rsidR="006D2482" w:rsidRPr="00884FAA">
        <w:t xml:space="preserve"> </w:t>
      </w:r>
      <w:r w:rsidRPr="00884FAA">
        <w:t xml:space="preserve">influenza immunisation indicators showed significant improvement. </w:t>
      </w:r>
      <w:r w:rsidR="00004AF9">
        <w:t>The</w:t>
      </w:r>
      <w:r w:rsidRPr="00884FAA" w:rsidDel="00004AF9">
        <w:t xml:space="preserve"> </w:t>
      </w:r>
      <w:r w:rsidRPr="00884FAA">
        <w:t xml:space="preserve">increase in the proportion of people with low CVD risk </w:t>
      </w:r>
      <w:r w:rsidR="00545C1A">
        <w:t xml:space="preserve">may be a real increase or may be </w:t>
      </w:r>
      <w:r w:rsidRPr="00884FAA">
        <w:t xml:space="preserve">because clients with lower risk are increasingly having their CVD risk factors recorded. There </w:t>
      </w:r>
      <w:r w:rsidR="00625DA9">
        <w:t>were indications of</w:t>
      </w:r>
      <w:r w:rsidRPr="00884FAA" w:rsidDel="00625DA9">
        <w:t xml:space="preserve"> </w:t>
      </w:r>
      <w:r w:rsidRPr="00884FAA">
        <w:t>a decrease in low risk alcohol consumption among those clients with an AUDIT-C assessment. There was no information on who is offered an AUDIT-C assessment and it is possible that this has changed over time towards more clients with more risky consumption being assessed. With the exception of the recording of CVD risk factors, there was little change in the recording of client health markers (birthweight, HbA1c</w:t>
      </w:r>
      <w:r w:rsidR="00D91D95" w:rsidRPr="00884FAA">
        <w:t>,</w:t>
      </w:r>
      <w:r w:rsidR="00AE418C" w:rsidRPr="005D1C41">
        <w:rPr>
          <w:rStyle w:val="FootnoteReference"/>
        </w:rPr>
        <w:footnoteReference w:id="72"/>
      </w:r>
      <w:r w:rsidRPr="00884FAA">
        <w:t xml:space="preserve"> or blood pressure) or behaviours (smoking and alcohol consumption) and little change in birthweight, antenatal visit timing, </w:t>
      </w:r>
      <w:r w:rsidR="00EC6201" w:rsidRPr="00884FAA">
        <w:t>estimated glomerular filtration rate</w:t>
      </w:r>
      <w:r w:rsidRPr="00884FAA">
        <w:t xml:space="preserve"> </w:t>
      </w:r>
      <w:r w:rsidR="00EC6201" w:rsidRPr="00884FAA">
        <w:t>(</w:t>
      </w:r>
      <w:r w:rsidRPr="00884FAA">
        <w:t>eGFR</w:t>
      </w:r>
      <w:r w:rsidR="00EC6201" w:rsidRPr="00884FAA">
        <w:t>)</w:t>
      </w:r>
      <w:r w:rsidRPr="00884FAA">
        <w:t>,</w:t>
      </w:r>
      <w:r w:rsidR="00140E98" w:rsidRPr="005D1C41">
        <w:rPr>
          <w:rStyle w:val="FootnoteReference"/>
        </w:rPr>
        <w:footnoteReference w:id="73"/>
      </w:r>
      <w:r w:rsidRPr="00884FAA">
        <w:t xml:space="preserve"> </w:t>
      </w:r>
      <w:r w:rsidR="00D112FC" w:rsidRPr="00884FAA">
        <w:t>albumin-to-creatinine ratio (</w:t>
      </w:r>
      <w:r w:rsidRPr="00884FAA">
        <w:t>ACR</w:t>
      </w:r>
      <w:r w:rsidR="00D112FC" w:rsidRPr="00884FAA">
        <w:t>)</w:t>
      </w:r>
      <w:r w:rsidRPr="00884FAA">
        <w:t>,</w:t>
      </w:r>
      <w:r w:rsidR="00CC07CE" w:rsidRPr="005D1C41">
        <w:rPr>
          <w:rStyle w:val="FootnoteReference"/>
        </w:rPr>
        <w:footnoteReference w:id="74"/>
      </w:r>
      <w:r w:rsidRPr="00884FAA">
        <w:t xml:space="preserve"> HbA1c</w:t>
      </w:r>
      <w:r w:rsidR="00D91D95" w:rsidRPr="00884FAA">
        <w:t>,</w:t>
      </w:r>
      <w:r w:rsidRPr="00884FAA">
        <w:t xml:space="preserve"> and blood pressure test results. The data only covered a </w:t>
      </w:r>
      <w:r w:rsidR="00D91D95" w:rsidRPr="00884FAA">
        <w:t>two-and-a-half-year</w:t>
      </w:r>
      <w:r w:rsidRPr="00884FAA">
        <w:t xml:space="preserve"> period (and less for some nKPIs) so the power to detect gradual change was limited.</w:t>
      </w:r>
    </w:p>
    <w:p w14:paraId="17F92788" w14:textId="77777777" w:rsidR="007E00EC" w:rsidRDefault="007E00EC" w:rsidP="002E02A9">
      <w:pPr>
        <w:rPr>
          <w:b/>
          <w:iCs/>
          <w:sz w:val="20"/>
          <w:szCs w:val="20"/>
        </w:rPr>
        <w:sectPr w:rsidR="007E00EC" w:rsidSect="00100AA9">
          <w:headerReference w:type="even" r:id="rId128"/>
          <w:headerReference w:type="default" r:id="rId129"/>
          <w:headerReference w:type="first" r:id="rId130"/>
          <w:footerReference w:type="first" r:id="rId131"/>
          <w:pgSz w:w="11909" w:h="16834" w:code="9"/>
          <w:pgMar w:top="1440" w:right="1440" w:bottom="1440" w:left="1440" w:header="720" w:footer="720" w:gutter="0"/>
          <w:cols w:space="720"/>
          <w:titlePg/>
          <w:docGrid w:linePitch="360"/>
        </w:sectPr>
      </w:pPr>
    </w:p>
    <w:p w14:paraId="33430854" w14:textId="2D05B20D" w:rsidR="002E02A9" w:rsidRPr="007340FF" w:rsidRDefault="002E02A9" w:rsidP="002D2A7E">
      <w:pPr>
        <w:spacing w:after="120"/>
        <w:rPr>
          <w:b/>
          <w:sz w:val="20"/>
          <w:szCs w:val="20"/>
        </w:rPr>
      </w:pPr>
      <w:bookmarkStart w:id="276" w:name="_Ref131610775"/>
      <w:bookmarkStart w:id="277" w:name="_Toc138851288"/>
      <w:r w:rsidRPr="007340FF">
        <w:rPr>
          <w:b/>
          <w:sz w:val="20"/>
          <w:szCs w:val="20"/>
        </w:rPr>
        <w:lastRenderedPageBreak/>
        <w:t xml:space="preserve">Table </w:t>
      </w:r>
      <w:r w:rsidR="00B92D87">
        <w:rPr>
          <w:b/>
          <w:sz w:val="20"/>
          <w:szCs w:val="20"/>
        </w:rPr>
        <w:fldChar w:fldCharType="begin"/>
      </w:r>
      <w:r w:rsidR="00B92D87">
        <w:rPr>
          <w:b/>
          <w:sz w:val="20"/>
          <w:szCs w:val="20"/>
        </w:rPr>
        <w:instrText xml:space="preserve"> STYLEREF 1 \s </w:instrText>
      </w:r>
      <w:r w:rsidR="00B92D87">
        <w:rPr>
          <w:b/>
          <w:sz w:val="20"/>
          <w:szCs w:val="20"/>
        </w:rPr>
        <w:fldChar w:fldCharType="separate"/>
      </w:r>
      <w:r w:rsidR="00165B17">
        <w:rPr>
          <w:b/>
          <w:noProof/>
          <w:sz w:val="20"/>
          <w:szCs w:val="20"/>
        </w:rPr>
        <w:t>8</w:t>
      </w:r>
      <w:r w:rsidR="00B92D87">
        <w:rPr>
          <w:b/>
          <w:sz w:val="20"/>
          <w:szCs w:val="20"/>
        </w:rPr>
        <w:fldChar w:fldCharType="end"/>
      </w:r>
      <w:r w:rsidR="00B92D87">
        <w:rPr>
          <w:b/>
          <w:sz w:val="20"/>
          <w:szCs w:val="20"/>
        </w:rPr>
        <w:noBreakHyphen/>
      </w:r>
      <w:r w:rsidR="00B92D87">
        <w:rPr>
          <w:b/>
          <w:sz w:val="20"/>
          <w:szCs w:val="20"/>
        </w:rPr>
        <w:fldChar w:fldCharType="begin"/>
      </w:r>
      <w:r w:rsidR="00B92D87">
        <w:rPr>
          <w:b/>
          <w:sz w:val="20"/>
          <w:szCs w:val="20"/>
        </w:rPr>
        <w:instrText xml:space="preserve"> SEQ Table \* ARABIC \s 1 </w:instrText>
      </w:r>
      <w:r w:rsidR="00B92D87">
        <w:rPr>
          <w:b/>
          <w:sz w:val="20"/>
          <w:szCs w:val="20"/>
        </w:rPr>
        <w:fldChar w:fldCharType="separate"/>
      </w:r>
      <w:r w:rsidR="00165B17">
        <w:rPr>
          <w:b/>
          <w:noProof/>
          <w:sz w:val="20"/>
          <w:szCs w:val="20"/>
        </w:rPr>
        <w:t>4</w:t>
      </w:r>
      <w:r w:rsidR="00B92D87">
        <w:rPr>
          <w:b/>
          <w:sz w:val="20"/>
          <w:szCs w:val="20"/>
        </w:rPr>
        <w:fldChar w:fldCharType="end"/>
      </w:r>
      <w:bookmarkEnd w:id="276"/>
      <w:r w:rsidRPr="007340FF">
        <w:rPr>
          <w:b/>
          <w:sz w:val="20"/>
          <w:szCs w:val="20"/>
        </w:rPr>
        <w:t>. Changes in nKPIs across the evaluation sites, June 2017 to December 2019</w:t>
      </w:r>
      <w:bookmarkEnd w:id="277"/>
    </w:p>
    <w:tbl>
      <w:tblPr>
        <w:tblStyle w:val="ACTableDesign1White"/>
        <w:tblW w:w="13857" w:type="dxa"/>
        <w:tblLayout w:type="fixed"/>
        <w:tblLook w:val="06A0" w:firstRow="1" w:lastRow="0" w:firstColumn="1" w:lastColumn="0" w:noHBand="1" w:noVBand="1"/>
      </w:tblPr>
      <w:tblGrid>
        <w:gridCol w:w="3237"/>
        <w:gridCol w:w="2160"/>
        <w:gridCol w:w="4050"/>
        <w:gridCol w:w="1980"/>
        <w:gridCol w:w="2430"/>
      </w:tblGrid>
      <w:tr w:rsidR="00087126" w:rsidRPr="00087126" w14:paraId="352B8987" w14:textId="77777777" w:rsidTr="002D2A7E">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237" w:type="dxa"/>
          </w:tcPr>
          <w:p w14:paraId="2DA34A58" w14:textId="77777777" w:rsidR="002E02A9" w:rsidRPr="0058387D" w:rsidRDefault="002E02A9" w:rsidP="002D2A7E">
            <w:pPr>
              <w:spacing w:before="60"/>
              <w:jc w:val="left"/>
              <w:rPr>
                <w:color w:val="000000" w:themeColor="text1"/>
                <w:sz w:val="20"/>
                <w:lang w:val="en-NZ"/>
              </w:rPr>
            </w:pPr>
            <w:r w:rsidRPr="0058387D">
              <w:rPr>
                <w:rFonts w:asciiTheme="minorHAnsi" w:hAnsiTheme="minorHAnsi"/>
                <w:color w:val="000000" w:themeColor="text1"/>
                <w:sz w:val="20"/>
                <w:lang w:val="en-NZ"/>
              </w:rPr>
              <w:t>Stronger evidence changed in a favourable direction</w:t>
            </w:r>
          </w:p>
        </w:tc>
        <w:tc>
          <w:tcPr>
            <w:tcW w:w="2160" w:type="dxa"/>
          </w:tcPr>
          <w:p w14:paraId="6C67E4E9" w14:textId="77777777" w:rsidR="002E02A9" w:rsidRPr="0058387D" w:rsidRDefault="002E02A9" w:rsidP="002D2A7E">
            <w:pPr>
              <w:spacing w:before="60"/>
              <w:jc w:val="left"/>
              <w:cnfStyle w:val="100000000000" w:firstRow="1" w:lastRow="0" w:firstColumn="0" w:lastColumn="0" w:oddVBand="0" w:evenVBand="0" w:oddHBand="0" w:evenHBand="0" w:firstRowFirstColumn="0" w:firstRowLastColumn="0" w:lastRowFirstColumn="0" w:lastRowLastColumn="0"/>
              <w:rPr>
                <w:color w:val="000000" w:themeColor="text1"/>
                <w:sz w:val="20"/>
                <w:lang w:val="en-NZ"/>
              </w:rPr>
            </w:pPr>
            <w:r w:rsidRPr="0058387D">
              <w:rPr>
                <w:color w:val="000000" w:themeColor="text1"/>
                <w:sz w:val="20"/>
                <w:lang w:val="en-NZ"/>
              </w:rPr>
              <w:t>Weak indication changed in a favourable direction</w:t>
            </w:r>
          </w:p>
        </w:tc>
        <w:tc>
          <w:tcPr>
            <w:tcW w:w="4050" w:type="dxa"/>
          </w:tcPr>
          <w:p w14:paraId="68C5C1C4" w14:textId="77777777" w:rsidR="002E02A9" w:rsidRPr="0058387D" w:rsidRDefault="002E02A9" w:rsidP="002D2A7E">
            <w:pPr>
              <w:spacing w:before="60"/>
              <w:jc w:val="left"/>
              <w:cnfStyle w:val="100000000000" w:firstRow="1" w:lastRow="0" w:firstColumn="0" w:lastColumn="0" w:oddVBand="0" w:evenVBand="0" w:oddHBand="0" w:evenHBand="0" w:firstRowFirstColumn="0" w:firstRowLastColumn="0" w:lastRowFirstColumn="0" w:lastRowLastColumn="0"/>
              <w:rPr>
                <w:color w:val="000000" w:themeColor="text1"/>
                <w:sz w:val="20"/>
                <w:lang w:val="en-NZ"/>
              </w:rPr>
            </w:pPr>
            <w:r w:rsidRPr="0058387D">
              <w:rPr>
                <w:rFonts w:asciiTheme="minorHAnsi" w:hAnsiTheme="minorHAnsi"/>
                <w:color w:val="000000" w:themeColor="text1"/>
                <w:sz w:val="20"/>
                <w:lang w:val="en-NZ"/>
              </w:rPr>
              <w:t>No meaningful change</w:t>
            </w:r>
          </w:p>
        </w:tc>
        <w:tc>
          <w:tcPr>
            <w:tcW w:w="1980" w:type="dxa"/>
          </w:tcPr>
          <w:p w14:paraId="05A7779D" w14:textId="77777777" w:rsidR="002E02A9" w:rsidRPr="0058387D" w:rsidRDefault="002E02A9" w:rsidP="002D2A7E">
            <w:pPr>
              <w:spacing w:before="60"/>
              <w:jc w:val="left"/>
              <w:cnfStyle w:val="100000000000" w:firstRow="1" w:lastRow="0" w:firstColumn="0" w:lastColumn="0" w:oddVBand="0" w:evenVBand="0" w:oddHBand="0" w:evenHBand="0" w:firstRowFirstColumn="0" w:firstRowLastColumn="0" w:lastRowFirstColumn="0" w:lastRowLastColumn="0"/>
              <w:rPr>
                <w:color w:val="000000" w:themeColor="text1"/>
                <w:sz w:val="20"/>
                <w:lang w:val="en-NZ"/>
              </w:rPr>
            </w:pPr>
            <w:r w:rsidRPr="0058387D">
              <w:rPr>
                <w:color w:val="000000" w:themeColor="text1"/>
                <w:sz w:val="20"/>
                <w:lang w:val="en-NZ"/>
              </w:rPr>
              <w:t>Weak indication changed in a non-favourable direction</w:t>
            </w:r>
          </w:p>
        </w:tc>
        <w:tc>
          <w:tcPr>
            <w:tcW w:w="2430" w:type="dxa"/>
          </w:tcPr>
          <w:p w14:paraId="04A47BBC" w14:textId="77777777" w:rsidR="002E02A9" w:rsidRPr="0058387D" w:rsidRDefault="002E02A9" w:rsidP="002D2A7E">
            <w:pPr>
              <w:spacing w:before="60"/>
              <w:jc w:val="left"/>
              <w:cnfStyle w:val="100000000000" w:firstRow="1" w:lastRow="0" w:firstColumn="0" w:lastColumn="0" w:oddVBand="0" w:evenVBand="0" w:oddHBand="0" w:evenHBand="0" w:firstRowFirstColumn="0" w:firstRowLastColumn="0" w:lastRowFirstColumn="0" w:lastRowLastColumn="0"/>
              <w:rPr>
                <w:color w:val="000000" w:themeColor="text1"/>
                <w:sz w:val="20"/>
                <w:lang w:val="en-NZ"/>
              </w:rPr>
            </w:pPr>
            <w:r w:rsidRPr="0058387D">
              <w:rPr>
                <w:rFonts w:asciiTheme="minorHAnsi" w:hAnsiTheme="minorHAnsi"/>
                <w:color w:val="000000" w:themeColor="text1"/>
                <w:sz w:val="20"/>
                <w:lang w:val="en-NZ"/>
              </w:rPr>
              <w:t>Strong evidence changed in a non-favourable direction</w:t>
            </w:r>
          </w:p>
        </w:tc>
      </w:tr>
      <w:tr w:rsidR="002E02A9" w:rsidRPr="007A7D78" w14:paraId="79E8DFFC" w14:textId="77777777" w:rsidTr="00445B6B">
        <w:trPr>
          <w:cantSplit w:val="0"/>
        </w:trPr>
        <w:tc>
          <w:tcPr>
            <w:cnfStyle w:val="001000000000" w:firstRow="0" w:lastRow="0" w:firstColumn="1" w:lastColumn="0" w:oddVBand="0" w:evenVBand="0" w:oddHBand="0" w:evenHBand="0" w:firstRowFirstColumn="0" w:firstRowLastColumn="0" w:lastRowFirstColumn="0" w:lastRowLastColumn="0"/>
            <w:tcW w:w="13857" w:type="dxa"/>
            <w:gridSpan w:val="5"/>
            <w:shd w:val="clear" w:color="auto" w:fill="D5E4F3" w:themeFill="accent1" w:themeFillTint="33"/>
            <w:vAlign w:val="top"/>
          </w:tcPr>
          <w:p w14:paraId="6247DCA7" w14:textId="77777777" w:rsidR="002E02A9" w:rsidRPr="007A7D78" w:rsidRDefault="002E02A9" w:rsidP="002D2A7E">
            <w:pPr>
              <w:rPr>
                <w:rFonts w:asciiTheme="minorHAnsi" w:hAnsiTheme="minorHAnsi"/>
                <w:b/>
                <w:color w:val="auto"/>
                <w:sz w:val="20"/>
                <w:lang w:val="en-NZ"/>
              </w:rPr>
            </w:pPr>
            <w:r w:rsidRPr="007A7D78">
              <w:rPr>
                <w:rFonts w:asciiTheme="minorHAnsi" w:hAnsiTheme="minorHAnsi"/>
                <w:b/>
                <w:color w:val="auto"/>
                <w:sz w:val="20"/>
                <w:lang w:val="en-NZ"/>
              </w:rPr>
              <w:t>Perinatal period</w:t>
            </w:r>
          </w:p>
        </w:tc>
      </w:tr>
      <w:tr w:rsidR="002E02A9" w:rsidRPr="007A7D78" w14:paraId="0B0975F7" w14:textId="77777777" w:rsidTr="00445B6B">
        <w:trPr>
          <w:cantSplit w:val="0"/>
        </w:trPr>
        <w:tc>
          <w:tcPr>
            <w:cnfStyle w:val="001000000000" w:firstRow="0" w:lastRow="0" w:firstColumn="1" w:lastColumn="0" w:oddVBand="0" w:evenVBand="0" w:oddHBand="0" w:evenHBand="0" w:firstRowFirstColumn="0" w:firstRowLastColumn="0" w:lastRowFirstColumn="0" w:lastRowLastColumn="0"/>
            <w:tcW w:w="3237" w:type="dxa"/>
            <w:vAlign w:val="top"/>
          </w:tcPr>
          <w:p w14:paraId="0B1AA4AC" w14:textId="2295C32E" w:rsidR="002E02A9" w:rsidRPr="00FB5B89" w:rsidRDefault="002E02A9" w:rsidP="00445B6B">
            <w:pPr>
              <w:spacing w:before="0" w:after="240"/>
              <w:jc w:val="left"/>
              <w:rPr>
                <w:rFonts w:asciiTheme="minorHAnsi" w:hAnsiTheme="minorHAnsi"/>
                <w:color w:val="auto"/>
                <w:sz w:val="20"/>
                <w:lang w:val="en-NZ"/>
              </w:rPr>
            </w:pPr>
            <w:r w:rsidRPr="00FB5B89">
              <w:rPr>
                <w:rFonts w:asciiTheme="minorHAnsi" w:hAnsiTheme="minorHAnsi"/>
                <w:color w:val="auto"/>
                <w:sz w:val="20"/>
                <w:lang w:val="en-NZ"/>
              </w:rPr>
              <w:t>Smoking status of women who gave birth in the previous 12 months (non-smoker)</w:t>
            </w:r>
          </w:p>
        </w:tc>
        <w:tc>
          <w:tcPr>
            <w:tcW w:w="2160" w:type="dxa"/>
            <w:vAlign w:val="top"/>
          </w:tcPr>
          <w:p w14:paraId="182BFEAD"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c>
          <w:tcPr>
            <w:tcW w:w="4050" w:type="dxa"/>
            <w:vAlign w:val="top"/>
          </w:tcPr>
          <w:p w14:paraId="6AD6026B"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Birthweight recorded</w:t>
            </w:r>
          </w:p>
          <w:p w14:paraId="2F27BF54"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Birthweight result (normal)</w:t>
            </w:r>
          </w:p>
          <w:p w14:paraId="22E3C81E"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Antenatal visit timing (&lt;13 weeks)</w:t>
            </w:r>
          </w:p>
        </w:tc>
        <w:tc>
          <w:tcPr>
            <w:tcW w:w="1980" w:type="dxa"/>
            <w:vAlign w:val="top"/>
          </w:tcPr>
          <w:p w14:paraId="1780EF22"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c>
          <w:tcPr>
            <w:tcW w:w="2430" w:type="dxa"/>
            <w:vAlign w:val="top"/>
          </w:tcPr>
          <w:p w14:paraId="4862A2B9"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r>
      <w:tr w:rsidR="002E02A9" w:rsidRPr="007A7D78" w14:paraId="506C4049" w14:textId="77777777" w:rsidTr="00445B6B">
        <w:trPr>
          <w:cantSplit w:val="0"/>
        </w:trPr>
        <w:tc>
          <w:tcPr>
            <w:cnfStyle w:val="001000000000" w:firstRow="0" w:lastRow="0" w:firstColumn="1" w:lastColumn="0" w:oddVBand="0" w:evenVBand="0" w:oddHBand="0" w:evenHBand="0" w:firstRowFirstColumn="0" w:firstRowLastColumn="0" w:lastRowFirstColumn="0" w:lastRowLastColumn="0"/>
            <w:tcW w:w="13857" w:type="dxa"/>
            <w:gridSpan w:val="5"/>
            <w:shd w:val="clear" w:color="auto" w:fill="D5E4F3" w:themeFill="accent1" w:themeFillTint="33"/>
            <w:vAlign w:val="top"/>
          </w:tcPr>
          <w:p w14:paraId="04FF47A5" w14:textId="77777777" w:rsidR="002E02A9" w:rsidRPr="007A7D78" w:rsidRDefault="002E02A9" w:rsidP="002D2A7E">
            <w:pPr>
              <w:rPr>
                <w:rFonts w:asciiTheme="minorHAnsi" w:hAnsiTheme="minorHAnsi"/>
                <w:b/>
                <w:color w:val="auto"/>
                <w:sz w:val="20"/>
                <w:lang w:val="en-NZ"/>
              </w:rPr>
            </w:pPr>
            <w:r w:rsidRPr="007A7D78">
              <w:rPr>
                <w:rFonts w:asciiTheme="minorHAnsi" w:hAnsiTheme="minorHAnsi"/>
                <w:b/>
                <w:color w:val="auto"/>
                <w:sz w:val="20"/>
                <w:lang w:val="en-NZ"/>
              </w:rPr>
              <w:t>Middle life</w:t>
            </w:r>
          </w:p>
        </w:tc>
      </w:tr>
      <w:tr w:rsidR="002E02A9" w:rsidRPr="007A7D78" w14:paraId="3EF5D718" w14:textId="77777777" w:rsidTr="00445B6B">
        <w:trPr>
          <w:cantSplit w:val="0"/>
        </w:trPr>
        <w:tc>
          <w:tcPr>
            <w:cnfStyle w:val="001000000000" w:firstRow="0" w:lastRow="0" w:firstColumn="1" w:lastColumn="0" w:oddVBand="0" w:evenVBand="0" w:oddHBand="0" w:evenHBand="0" w:firstRowFirstColumn="0" w:firstRowLastColumn="0" w:lastRowFirstColumn="0" w:lastRowLastColumn="0"/>
            <w:tcW w:w="3237" w:type="dxa"/>
            <w:vAlign w:val="top"/>
          </w:tcPr>
          <w:p w14:paraId="63EB04F6" w14:textId="77777777" w:rsidR="002E02A9" w:rsidRPr="00FB5B89" w:rsidRDefault="002E02A9" w:rsidP="00445B6B">
            <w:pPr>
              <w:spacing w:before="0" w:after="240"/>
              <w:jc w:val="left"/>
              <w:rPr>
                <w:rFonts w:asciiTheme="minorHAnsi" w:hAnsiTheme="minorHAnsi"/>
                <w:color w:val="auto"/>
                <w:sz w:val="20"/>
                <w:lang w:val="en-NZ"/>
              </w:rPr>
            </w:pPr>
          </w:p>
        </w:tc>
        <w:tc>
          <w:tcPr>
            <w:tcW w:w="2160" w:type="dxa"/>
            <w:vAlign w:val="top"/>
          </w:tcPr>
          <w:p w14:paraId="4A2A4668"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c>
          <w:tcPr>
            <w:tcW w:w="4050" w:type="dxa"/>
            <w:vAlign w:val="top"/>
          </w:tcPr>
          <w:p w14:paraId="52DBD2FB"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Smoking status recorded</w:t>
            </w:r>
          </w:p>
          <w:p w14:paraId="5639C0CC"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Smoking status result (non-smoker)</w:t>
            </w:r>
          </w:p>
          <w:p w14:paraId="00A6353E"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Alcohol consumption recorded</w:t>
            </w:r>
          </w:p>
        </w:tc>
        <w:tc>
          <w:tcPr>
            <w:tcW w:w="1980" w:type="dxa"/>
            <w:vAlign w:val="top"/>
          </w:tcPr>
          <w:p w14:paraId="03554AEB"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AUDIT-C result (low risk)</w:t>
            </w:r>
          </w:p>
          <w:p w14:paraId="7A27C01B"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c>
          <w:tcPr>
            <w:tcW w:w="2430" w:type="dxa"/>
            <w:vAlign w:val="top"/>
          </w:tcPr>
          <w:p w14:paraId="6201D3FD"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BMI result (overweight/ obese)</w:t>
            </w:r>
          </w:p>
          <w:p w14:paraId="7B2E6C18"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Cervical screening (within previous 5 years)</w:t>
            </w:r>
          </w:p>
        </w:tc>
      </w:tr>
      <w:tr w:rsidR="002E02A9" w:rsidRPr="007A7D78" w14:paraId="3918F500" w14:textId="77777777" w:rsidTr="00445B6B">
        <w:trPr>
          <w:cantSplit w:val="0"/>
        </w:trPr>
        <w:tc>
          <w:tcPr>
            <w:cnfStyle w:val="001000000000" w:firstRow="0" w:lastRow="0" w:firstColumn="1" w:lastColumn="0" w:oddVBand="0" w:evenVBand="0" w:oddHBand="0" w:evenHBand="0" w:firstRowFirstColumn="0" w:firstRowLastColumn="0" w:lastRowFirstColumn="0" w:lastRowLastColumn="0"/>
            <w:tcW w:w="13857" w:type="dxa"/>
            <w:gridSpan w:val="5"/>
            <w:shd w:val="clear" w:color="auto" w:fill="D5E4F3" w:themeFill="accent1" w:themeFillTint="33"/>
            <w:vAlign w:val="top"/>
          </w:tcPr>
          <w:p w14:paraId="78498FA7" w14:textId="77777777" w:rsidR="002E02A9" w:rsidRPr="007A7D78" w:rsidRDefault="002E02A9" w:rsidP="002D2A7E">
            <w:pPr>
              <w:rPr>
                <w:rFonts w:asciiTheme="minorHAnsi" w:hAnsiTheme="minorHAnsi"/>
                <w:b/>
                <w:color w:val="auto"/>
                <w:sz w:val="20"/>
                <w:lang w:val="en-NZ"/>
              </w:rPr>
            </w:pPr>
            <w:r w:rsidRPr="007A7D78">
              <w:rPr>
                <w:rFonts w:asciiTheme="minorHAnsi" w:hAnsiTheme="minorHAnsi"/>
                <w:b/>
                <w:color w:val="auto"/>
                <w:sz w:val="20"/>
                <w:lang w:val="en-NZ"/>
              </w:rPr>
              <w:t>Later life</w:t>
            </w:r>
          </w:p>
        </w:tc>
      </w:tr>
      <w:tr w:rsidR="002E02A9" w:rsidRPr="007A7D78" w14:paraId="79D3D4D7" w14:textId="77777777" w:rsidTr="00445B6B">
        <w:trPr>
          <w:cantSplit w:val="0"/>
        </w:trPr>
        <w:tc>
          <w:tcPr>
            <w:cnfStyle w:val="001000000000" w:firstRow="0" w:lastRow="0" w:firstColumn="1" w:lastColumn="0" w:oddVBand="0" w:evenVBand="0" w:oddHBand="0" w:evenHBand="0" w:firstRowFirstColumn="0" w:firstRowLastColumn="0" w:lastRowFirstColumn="0" w:lastRowLastColumn="0"/>
            <w:tcW w:w="3237" w:type="dxa"/>
            <w:vAlign w:val="top"/>
          </w:tcPr>
          <w:p w14:paraId="0D7BDA3E" w14:textId="77777777" w:rsidR="002E02A9" w:rsidRPr="00FB5B89" w:rsidRDefault="002E02A9" w:rsidP="00445B6B">
            <w:pPr>
              <w:spacing w:before="0" w:after="120"/>
              <w:jc w:val="left"/>
              <w:rPr>
                <w:rFonts w:asciiTheme="minorHAnsi" w:hAnsiTheme="minorHAnsi"/>
                <w:color w:val="auto"/>
                <w:sz w:val="20"/>
                <w:lang w:val="en-NZ"/>
              </w:rPr>
            </w:pPr>
            <w:r w:rsidRPr="00FB5B89">
              <w:rPr>
                <w:rFonts w:asciiTheme="minorHAnsi" w:hAnsiTheme="minorHAnsi"/>
                <w:color w:val="auto"/>
                <w:sz w:val="20"/>
                <w:lang w:val="en-NZ"/>
              </w:rPr>
              <w:t>Immunised against influenza (clients aged ≥50 years)</w:t>
            </w:r>
          </w:p>
          <w:p w14:paraId="63703CCF" w14:textId="77777777" w:rsidR="002E02A9" w:rsidRPr="00FB5B89" w:rsidRDefault="002E02A9" w:rsidP="00445B6B">
            <w:pPr>
              <w:spacing w:before="0" w:after="120"/>
              <w:jc w:val="left"/>
              <w:rPr>
                <w:rFonts w:asciiTheme="minorHAnsi" w:hAnsiTheme="minorHAnsi"/>
                <w:color w:val="auto"/>
                <w:sz w:val="20"/>
                <w:lang w:val="en-NZ"/>
              </w:rPr>
            </w:pPr>
            <w:r w:rsidRPr="00FB5B89">
              <w:rPr>
                <w:rFonts w:asciiTheme="minorHAnsi" w:hAnsiTheme="minorHAnsi"/>
                <w:color w:val="auto"/>
                <w:sz w:val="20"/>
                <w:lang w:val="en-NZ"/>
              </w:rPr>
              <w:t>Immunised against influenza (clients with chronic obstructive pulmonary disease, COPD)</w:t>
            </w:r>
          </w:p>
          <w:p w14:paraId="63D9CB8E" w14:textId="77777777" w:rsidR="002E02A9" w:rsidRPr="00FB5B89" w:rsidRDefault="002E02A9" w:rsidP="00445B6B">
            <w:pPr>
              <w:spacing w:before="0" w:after="120"/>
              <w:jc w:val="left"/>
              <w:rPr>
                <w:rFonts w:asciiTheme="minorHAnsi" w:hAnsiTheme="minorHAnsi"/>
                <w:color w:val="auto"/>
                <w:sz w:val="20"/>
                <w:lang w:val="en-NZ"/>
              </w:rPr>
            </w:pPr>
            <w:r w:rsidRPr="00FB5B89">
              <w:rPr>
                <w:rFonts w:asciiTheme="minorHAnsi" w:hAnsiTheme="minorHAnsi"/>
                <w:color w:val="auto"/>
                <w:sz w:val="20"/>
                <w:lang w:val="en-NZ"/>
              </w:rPr>
              <w:t>Immunised against influenza (clients with Type 2 diabetes)</w:t>
            </w:r>
          </w:p>
          <w:p w14:paraId="3562F82E" w14:textId="77777777" w:rsidR="002E02A9" w:rsidRPr="00FB5B89" w:rsidRDefault="002E02A9" w:rsidP="00445B6B">
            <w:pPr>
              <w:spacing w:before="0" w:after="120"/>
              <w:jc w:val="left"/>
              <w:rPr>
                <w:rFonts w:asciiTheme="minorHAnsi" w:hAnsiTheme="minorHAnsi"/>
                <w:color w:val="auto"/>
                <w:sz w:val="20"/>
                <w:lang w:val="en-NZ"/>
              </w:rPr>
            </w:pPr>
            <w:r w:rsidRPr="00FB5B89">
              <w:rPr>
                <w:rFonts w:asciiTheme="minorHAnsi" w:hAnsiTheme="minorHAnsi"/>
                <w:color w:val="auto"/>
                <w:sz w:val="20"/>
                <w:lang w:val="en-NZ"/>
              </w:rPr>
              <w:t>CVD risk factors recorded</w:t>
            </w:r>
          </w:p>
          <w:p w14:paraId="30D7BE46" w14:textId="77777777" w:rsidR="002E02A9" w:rsidRPr="00FB5B89" w:rsidRDefault="002E02A9" w:rsidP="00445B6B">
            <w:pPr>
              <w:spacing w:before="0" w:after="120"/>
              <w:jc w:val="left"/>
              <w:rPr>
                <w:rFonts w:asciiTheme="minorHAnsi" w:hAnsiTheme="minorHAnsi"/>
                <w:color w:val="auto"/>
                <w:sz w:val="20"/>
                <w:lang w:val="en-NZ"/>
              </w:rPr>
            </w:pPr>
            <w:r w:rsidRPr="00FB5B89">
              <w:rPr>
                <w:rFonts w:asciiTheme="minorHAnsi" w:hAnsiTheme="minorHAnsi"/>
                <w:color w:val="auto"/>
                <w:sz w:val="20"/>
                <w:lang w:val="en-NZ"/>
              </w:rPr>
              <w:t>CVD risk assessment result (low risk)</w:t>
            </w:r>
          </w:p>
          <w:p w14:paraId="5FAB5ACB" w14:textId="77777777" w:rsidR="002E02A9" w:rsidRPr="00FB5B89" w:rsidRDefault="002E02A9" w:rsidP="00445B6B">
            <w:pPr>
              <w:spacing w:before="0" w:after="120"/>
              <w:jc w:val="left"/>
              <w:rPr>
                <w:rFonts w:asciiTheme="minorHAnsi" w:hAnsiTheme="minorHAnsi"/>
                <w:color w:val="auto"/>
                <w:sz w:val="20"/>
                <w:lang w:val="en-NZ"/>
              </w:rPr>
            </w:pPr>
            <w:r w:rsidRPr="00FB5B89">
              <w:rPr>
                <w:rFonts w:asciiTheme="minorHAnsi" w:hAnsiTheme="minorHAnsi"/>
                <w:color w:val="auto"/>
                <w:sz w:val="20"/>
                <w:lang w:val="en-NZ"/>
              </w:rPr>
              <w:t>Kidney function test (clients with CVD)</w:t>
            </w:r>
          </w:p>
        </w:tc>
        <w:tc>
          <w:tcPr>
            <w:tcW w:w="2160" w:type="dxa"/>
            <w:vAlign w:val="top"/>
          </w:tcPr>
          <w:p w14:paraId="4BC71601"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Kidney function test (clients with Type 2 diabetes)</w:t>
            </w:r>
          </w:p>
          <w:p w14:paraId="446C9F42" w14:textId="6D792B03"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Blood pressure 130/80 mmHg or less (clients with Type 2 diabetes)</w:t>
            </w:r>
          </w:p>
        </w:tc>
        <w:tc>
          <w:tcPr>
            <w:tcW w:w="4050" w:type="dxa"/>
            <w:vAlign w:val="top"/>
          </w:tcPr>
          <w:p w14:paraId="162673DB"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eGFR test result ≥60 (clients with CVD)</w:t>
            </w:r>
          </w:p>
          <w:p w14:paraId="5C3759F8"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 xml:space="preserve">eGFR test result ≥60 (clients with Types 2 diabetes) </w:t>
            </w:r>
          </w:p>
          <w:p w14:paraId="52836EE3"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ACR test results ≤25 (males) and ≤35 (females) (clients with Types 2 diabetes)</w:t>
            </w:r>
          </w:p>
          <w:p w14:paraId="1741D49B"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Blood pressure recorded (clients with Types 2 diabetes)</w:t>
            </w:r>
          </w:p>
          <w:p w14:paraId="5386057D"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HbA1c result recorded (within previous 6 months)</w:t>
            </w:r>
          </w:p>
          <w:p w14:paraId="578D7BAD" w14:textId="77777777" w:rsidR="002E02A9" w:rsidRPr="007A7D78" w:rsidRDefault="002E02A9" w:rsidP="00445B6B">
            <w:pPr>
              <w:spacing w:before="0" w:after="120"/>
              <w:jc w:val="left"/>
              <w:cnfStyle w:val="000000000000" w:firstRow="0" w:lastRow="0" w:firstColumn="0" w:lastColumn="0" w:oddVBand="0" w:evenVBand="0" w:oddHBand="0" w:evenHBand="0" w:firstRowFirstColumn="0" w:firstRowLastColumn="0" w:lastRowFirstColumn="0" w:lastRowLastColumn="0"/>
              <w:rPr>
                <w:color w:val="auto"/>
                <w:sz w:val="20"/>
                <w:lang w:val="en-NZ"/>
              </w:rPr>
            </w:pPr>
            <w:r w:rsidRPr="007A7D78">
              <w:rPr>
                <w:color w:val="auto"/>
                <w:sz w:val="20"/>
                <w:lang w:val="en-NZ"/>
              </w:rPr>
              <w:t>HbA1c result (clients with Type 2 diabetes)</w:t>
            </w:r>
          </w:p>
        </w:tc>
        <w:tc>
          <w:tcPr>
            <w:tcW w:w="1980" w:type="dxa"/>
            <w:vAlign w:val="top"/>
          </w:tcPr>
          <w:p w14:paraId="69CE91EF"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c>
          <w:tcPr>
            <w:tcW w:w="2430" w:type="dxa"/>
            <w:vAlign w:val="top"/>
          </w:tcPr>
          <w:p w14:paraId="34C161DB" w14:textId="77777777" w:rsidR="002E02A9" w:rsidRPr="007A7D78" w:rsidRDefault="002E02A9" w:rsidP="00445B6B">
            <w:pPr>
              <w:spacing w:before="0" w:after="240"/>
              <w:jc w:val="left"/>
              <w:cnfStyle w:val="000000000000" w:firstRow="0" w:lastRow="0" w:firstColumn="0" w:lastColumn="0" w:oddVBand="0" w:evenVBand="0" w:oddHBand="0" w:evenHBand="0" w:firstRowFirstColumn="0" w:firstRowLastColumn="0" w:lastRowFirstColumn="0" w:lastRowLastColumn="0"/>
              <w:rPr>
                <w:color w:val="auto"/>
                <w:sz w:val="20"/>
                <w:lang w:val="en-NZ"/>
              </w:rPr>
            </w:pPr>
          </w:p>
        </w:tc>
      </w:tr>
    </w:tbl>
    <w:p w14:paraId="03CEA523" w14:textId="77777777" w:rsidR="002E02A9" w:rsidRPr="002E02A9" w:rsidRDefault="002E02A9" w:rsidP="00436CB0"/>
    <w:p w14:paraId="4C6E3FF5" w14:textId="77777777" w:rsidR="007E00EC" w:rsidRDefault="007E00EC" w:rsidP="00651D06">
      <w:pPr>
        <w:pStyle w:val="Heading3"/>
        <w:sectPr w:rsidR="007E00EC" w:rsidSect="007E00EC">
          <w:pgSz w:w="16834" w:h="11909" w:orient="landscape" w:code="9"/>
          <w:pgMar w:top="1440" w:right="1440" w:bottom="1440" w:left="1440" w:header="720" w:footer="720" w:gutter="0"/>
          <w:cols w:space="720"/>
          <w:titlePg/>
          <w:docGrid w:linePitch="360"/>
        </w:sectPr>
      </w:pPr>
    </w:p>
    <w:p w14:paraId="6B5EE8D0" w14:textId="77777777" w:rsidR="002A67DB" w:rsidRPr="00884FAA" w:rsidRDefault="002A67DB" w:rsidP="00651D06">
      <w:pPr>
        <w:pStyle w:val="Heading3"/>
      </w:pPr>
      <w:r w:rsidRPr="00884FAA">
        <w:lastRenderedPageBreak/>
        <w:t>There was variability in nKPIs within and between sites</w:t>
      </w:r>
    </w:p>
    <w:p w14:paraId="331662D5" w14:textId="423CE436" w:rsidR="002A67DB" w:rsidRPr="00884FAA" w:rsidRDefault="002A67DB" w:rsidP="002A67DB">
      <w:r w:rsidRPr="00884FAA">
        <w:t xml:space="preserve">Some nKPI results varied significantly within sites, year-on-year. This included birthweight result, which likely reflects a relatively low number of babies born at some sites in a particular reporting period and the large impact </w:t>
      </w:r>
      <w:r w:rsidR="00494630" w:rsidRPr="00884FAA">
        <w:t xml:space="preserve">of whether </w:t>
      </w:r>
      <w:r w:rsidRPr="00884FAA">
        <w:t>birthweight is recorded or not. Other indicators varied significantly across sites, including birthweight recorded (with some sites recording for around half and others recording for almost all), antenatal visit timing (with some sites reporting less than 25% and others over 75% each year), alcohol consumption recorded (with some sites recording consumption for most clients and others recording for fewer than half), and recording of HbA1c test results. Some variability may be explained by site remoteness</w:t>
      </w:r>
      <w:r w:rsidR="00863A0F">
        <w:t>, noting that the number of sites was limited</w:t>
      </w:r>
      <w:r w:rsidRPr="00884FAA">
        <w:t>. For example</w:t>
      </w:r>
      <w:r w:rsidR="003D1199">
        <w:t>,</w:t>
      </w:r>
      <w:r w:rsidRPr="00884FAA">
        <w:t xml:space="preserve"> results showed:</w:t>
      </w:r>
    </w:p>
    <w:p w14:paraId="7CDA552D" w14:textId="77777777" w:rsidR="002A67DB" w:rsidRPr="00343EB2" w:rsidRDefault="002A67DB" w:rsidP="00343EB2">
      <w:pPr>
        <w:numPr>
          <w:ilvl w:val="0"/>
          <w:numId w:val="19"/>
        </w:numPr>
        <w:spacing w:after="120"/>
        <w:rPr>
          <w:bCs/>
        </w:rPr>
      </w:pPr>
      <w:r w:rsidRPr="00343EB2">
        <w:rPr>
          <w:bCs/>
        </w:rPr>
        <w:t xml:space="preserve">consistently higher recording of birthweight in inner regional sites </w:t>
      </w:r>
    </w:p>
    <w:p w14:paraId="5F028A58" w14:textId="77777777" w:rsidR="002A67DB" w:rsidRPr="00343EB2" w:rsidRDefault="002A67DB" w:rsidP="00343EB2">
      <w:pPr>
        <w:numPr>
          <w:ilvl w:val="0"/>
          <w:numId w:val="19"/>
        </w:numPr>
        <w:spacing w:after="120"/>
        <w:rPr>
          <w:bCs/>
        </w:rPr>
      </w:pPr>
      <w:r w:rsidRPr="00343EB2">
        <w:rPr>
          <w:bCs/>
        </w:rPr>
        <w:t>clients assessed by AUDIT-C were less likely to be low risk in outer regional sites</w:t>
      </w:r>
    </w:p>
    <w:p w14:paraId="7F823A7D" w14:textId="08A5C8A4" w:rsidR="002A67DB" w:rsidRPr="00343EB2" w:rsidRDefault="002A67DB" w:rsidP="00343EB2">
      <w:pPr>
        <w:numPr>
          <w:ilvl w:val="0"/>
          <w:numId w:val="19"/>
        </w:numPr>
        <w:spacing w:after="120"/>
        <w:rPr>
          <w:bCs/>
        </w:rPr>
      </w:pPr>
      <w:r w:rsidRPr="00343EB2">
        <w:rPr>
          <w:bCs/>
        </w:rPr>
        <w:t>relatively high levels of cervical screening in some inner regional, remote</w:t>
      </w:r>
      <w:r w:rsidR="00494630" w:rsidRPr="00343EB2">
        <w:rPr>
          <w:bCs/>
        </w:rPr>
        <w:t>,</w:t>
      </w:r>
      <w:r w:rsidRPr="00343EB2">
        <w:rPr>
          <w:bCs/>
        </w:rPr>
        <w:t xml:space="preserve"> and very remote sites </w:t>
      </w:r>
    </w:p>
    <w:p w14:paraId="420ADC86" w14:textId="77777777" w:rsidR="002A67DB" w:rsidRPr="00343EB2" w:rsidRDefault="002A67DB" w:rsidP="00343EB2">
      <w:pPr>
        <w:numPr>
          <w:ilvl w:val="0"/>
          <w:numId w:val="19"/>
        </w:numPr>
        <w:spacing w:after="120"/>
        <w:rPr>
          <w:bCs/>
        </w:rPr>
      </w:pPr>
      <w:r w:rsidRPr="00343EB2">
        <w:rPr>
          <w:bCs/>
        </w:rPr>
        <w:t>lowest recording of CVD risk factors in major city sites</w:t>
      </w:r>
    </w:p>
    <w:p w14:paraId="35BAD81F" w14:textId="77777777" w:rsidR="002A67DB" w:rsidRPr="00343EB2" w:rsidRDefault="002A67DB" w:rsidP="00343EB2">
      <w:pPr>
        <w:numPr>
          <w:ilvl w:val="0"/>
          <w:numId w:val="19"/>
        </w:numPr>
        <w:spacing w:after="120"/>
        <w:rPr>
          <w:bCs/>
        </w:rPr>
      </w:pPr>
      <w:r w:rsidRPr="00343EB2">
        <w:rPr>
          <w:bCs/>
        </w:rPr>
        <w:t>CVD risk highest in remote and very remote sites</w:t>
      </w:r>
    </w:p>
    <w:p w14:paraId="5C01F620" w14:textId="77777777" w:rsidR="002A67DB" w:rsidRPr="00343EB2" w:rsidRDefault="002A67DB" w:rsidP="00343EB2">
      <w:pPr>
        <w:numPr>
          <w:ilvl w:val="0"/>
          <w:numId w:val="19"/>
        </w:numPr>
        <w:spacing w:after="120"/>
        <w:rPr>
          <w:bCs/>
        </w:rPr>
      </w:pPr>
      <w:r w:rsidRPr="00343EB2">
        <w:rPr>
          <w:bCs/>
        </w:rPr>
        <w:t>ACR test result (clients with type 2 diabetes) were more likely to be normal in major city sites than remote and very remote sites.</w:t>
      </w:r>
    </w:p>
    <w:p w14:paraId="524C13CC" w14:textId="77777777" w:rsidR="002A67DB" w:rsidRPr="00884FAA" w:rsidRDefault="002A67DB" w:rsidP="002A67DB">
      <w:r w:rsidRPr="00884FAA">
        <w:t>Some nKPIs had high variability within each remoteness classification, including antenatal visit timing, smoking status result (non-smoker), normal eGFR test result (clients with CVD), and recorded HbA1c result.</w:t>
      </w:r>
    </w:p>
    <w:p w14:paraId="4BA061B5" w14:textId="77777777" w:rsidR="002A67DB" w:rsidRPr="00884FAA" w:rsidRDefault="002A67DB" w:rsidP="00651D06">
      <w:pPr>
        <w:pStyle w:val="Heading3"/>
      </w:pPr>
      <w:r w:rsidRPr="00884FAA">
        <w:t>Client nKPI outcomes tended to cluster within sites</w:t>
      </w:r>
    </w:p>
    <w:p w14:paraId="62D14C78" w14:textId="2706BFA9" w:rsidR="002A67DB" w:rsidRPr="00884FAA" w:rsidRDefault="002A67DB" w:rsidP="002A67DB">
      <w:r w:rsidRPr="00884FAA">
        <w:t>Variable clustering techniques are used to group different measures that are statistically related to each other. That is, scores on one measure systematically correspond to scores on other measures in the cluster.</w:t>
      </w:r>
      <w:r w:rsidRPr="00884FAA">
        <w:rPr>
          <w:vertAlign w:val="superscript"/>
        </w:rPr>
        <w:footnoteReference w:id="75"/>
      </w:r>
      <w:r w:rsidRPr="00884FAA">
        <w:t xml:space="preserve"> Correlations between nKPIs were analysed for clustering</w:t>
      </w:r>
      <w:r w:rsidR="00C354E5">
        <w:t xml:space="preserve"> (</w:t>
      </w:r>
      <w:r w:rsidR="00D20C23">
        <w:fldChar w:fldCharType="begin"/>
      </w:r>
      <w:r w:rsidR="00D20C23">
        <w:instrText xml:space="preserve"> REF _Ref136430911 \h </w:instrText>
      </w:r>
      <w:r w:rsidR="00D20C23">
        <w:fldChar w:fldCharType="separate"/>
      </w:r>
      <w:r w:rsidR="00165B17">
        <w:t xml:space="preserve">Figure </w:t>
      </w:r>
      <w:r w:rsidR="00165B17">
        <w:rPr>
          <w:noProof/>
        </w:rPr>
        <w:t>8</w:t>
      </w:r>
      <w:r w:rsidR="00165B17">
        <w:noBreakHyphen/>
      </w:r>
      <w:r w:rsidR="00165B17">
        <w:rPr>
          <w:noProof/>
        </w:rPr>
        <w:t>6</w:t>
      </w:r>
      <w:r w:rsidR="00D20C23">
        <w:fldChar w:fldCharType="end"/>
      </w:r>
      <w:r w:rsidR="00C354E5">
        <w:t xml:space="preserve"> )</w:t>
      </w:r>
      <w:r w:rsidRPr="00884FAA">
        <w:t>. There was some clustering by health outcomes. For example, sites with a higher proportion of clients with a low CVD risk assessment were also more likely to have a higher proportion of diabetic clients with normal ACR test results. There were also clusters around health care activity. The nKPIs that were the most correlated within sites were (from top to bottom</w:t>
      </w:r>
      <w:r w:rsidR="00D20C23">
        <w:t xml:space="preserve"> in </w:t>
      </w:r>
      <w:r w:rsidR="00D20C23">
        <w:fldChar w:fldCharType="begin"/>
      </w:r>
      <w:r w:rsidR="00D20C23">
        <w:instrText xml:space="preserve"> REF _Ref136430911 \h </w:instrText>
      </w:r>
      <w:r w:rsidR="00D20C23">
        <w:fldChar w:fldCharType="separate"/>
      </w:r>
      <w:r w:rsidR="00165B17">
        <w:t xml:space="preserve">Figure </w:t>
      </w:r>
      <w:r w:rsidR="00165B17">
        <w:rPr>
          <w:noProof/>
        </w:rPr>
        <w:t>8</w:t>
      </w:r>
      <w:r w:rsidR="00165B17">
        <w:noBreakHyphen/>
      </w:r>
      <w:r w:rsidR="00165B17">
        <w:rPr>
          <w:noProof/>
        </w:rPr>
        <w:t>6</w:t>
      </w:r>
      <w:r w:rsidR="00D20C23">
        <w:fldChar w:fldCharType="end"/>
      </w:r>
      <w:r w:rsidRPr="00884FAA">
        <w:t>):</w:t>
      </w:r>
    </w:p>
    <w:p w14:paraId="126F9121" w14:textId="77777777" w:rsidR="002A67DB" w:rsidRPr="00343EB2" w:rsidRDefault="002A67DB" w:rsidP="00343EB2">
      <w:pPr>
        <w:numPr>
          <w:ilvl w:val="0"/>
          <w:numId w:val="19"/>
        </w:numPr>
        <w:spacing w:after="120"/>
        <w:rPr>
          <w:bCs/>
        </w:rPr>
      </w:pPr>
      <w:r w:rsidRPr="00343EB2">
        <w:rPr>
          <w:bCs/>
        </w:rPr>
        <w:t>eGFR test results for clients with CVD and eGFR test results for clients with type 2 diabetes.</w:t>
      </w:r>
    </w:p>
    <w:p w14:paraId="5D1F6A4A" w14:textId="77777777" w:rsidR="002A67DB" w:rsidRPr="00343EB2" w:rsidRDefault="002A67DB" w:rsidP="00343EB2">
      <w:pPr>
        <w:numPr>
          <w:ilvl w:val="0"/>
          <w:numId w:val="19"/>
        </w:numPr>
        <w:spacing w:after="120"/>
        <w:rPr>
          <w:bCs/>
        </w:rPr>
      </w:pPr>
      <w:r w:rsidRPr="00343EB2">
        <w:rPr>
          <w:bCs/>
        </w:rPr>
        <w:t>General Practitioner Management Plans and Team Care Arrangements.</w:t>
      </w:r>
    </w:p>
    <w:p w14:paraId="193D87C8" w14:textId="77777777" w:rsidR="002A67DB" w:rsidRPr="00343EB2" w:rsidRDefault="002A67DB" w:rsidP="00343EB2">
      <w:pPr>
        <w:numPr>
          <w:ilvl w:val="0"/>
          <w:numId w:val="19"/>
        </w:numPr>
        <w:spacing w:after="120"/>
        <w:rPr>
          <w:bCs/>
        </w:rPr>
      </w:pPr>
      <w:r w:rsidRPr="00343EB2">
        <w:rPr>
          <w:bCs/>
        </w:rPr>
        <w:lastRenderedPageBreak/>
        <w:t>CVD risk assessment results and ACR test results of clients with type 2 diabetes.</w:t>
      </w:r>
    </w:p>
    <w:p w14:paraId="688EB089" w14:textId="2992167D" w:rsidR="002A67DB" w:rsidRPr="00343EB2" w:rsidRDefault="002A67DB" w:rsidP="00343EB2">
      <w:pPr>
        <w:numPr>
          <w:ilvl w:val="0"/>
          <w:numId w:val="19"/>
        </w:numPr>
        <w:spacing w:after="120"/>
        <w:rPr>
          <w:bCs/>
        </w:rPr>
      </w:pPr>
      <w:r w:rsidRPr="00343EB2">
        <w:rPr>
          <w:bCs/>
        </w:rPr>
        <w:t xml:space="preserve">CVD </w:t>
      </w:r>
      <w:r w:rsidR="00E12CF6">
        <w:rPr>
          <w:bCs/>
        </w:rPr>
        <w:t>r</w:t>
      </w:r>
      <w:r w:rsidRPr="00343EB2">
        <w:rPr>
          <w:bCs/>
        </w:rPr>
        <w:t xml:space="preserve">isk factors recorded and </w:t>
      </w:r>
      <w:r w:rsidR="004110D1">
        <w:rPr>
          <w:bCs/>
        </w:rPr>
        <w:t>C</w:t>
      </w:r>
      <w:r w:rsidRPr="00343EB2">
        <w:rPr>
          <w:bCs/>
        </w:rPr>
        <w:t>ervical screening.</w:t>
      </w:r>
    </w:p>
    <w:p w14:paraId="45177067" w14:textId="77777777" w:rsidR="002A67DB" w:rsidRPr="00343EB2" w:rsidRDefault="002A67DB" w:rsidP="00343EB2">
      <w:pPr>
        <w:numPr>
          <w:ilvl w:val="0"/>
          <w:numId w:val="19"/>
        </w:numPr>
        <w:spacing w:after="120"/>
        <w:rPr>
          <w:bCs/>
        </w:rPr>
      </w:pPr>
      <w:r w:rsidRPr="00343EB2">
        <w:rPr>
          <w:bCs/>
        </w:rPr>
        <w:t>Kidney function test for clients with type 2 diabetes, HbA1c result recorded and Blood pressure recorded for clients with type 2 diabetes.</w:t>
      </w:r>
    </w:p>
    <w:p w14:paraId="2F400A31" w14:textId="77777777" w:rsidR="002A67DB" w:rsidRPr="00343EB2" w:rsidRDefault="002A67DB" w:rsidP="00343EB2">
      <w:pPr>
        <w:numPr>
          <w:ilvl w:val="0"/>
          <w:numId w:val="19"/>
        </w:numPr>
        <w:spacing w:after="120"/>
        <w:rPr>
          <w:bCs/>
        </w:rPr>
      </w:pPr>
      <w:r w:rsidRPr="00343EB2">
        <w:rPr>
          <w:bCs/>
        </w:rPr>
        <w:t>Immunisation against influenza for clients aged 50 years and over, for clients with COPD, and for clients with type 2 diabetes.</w:t>
      </w:r>
    </w:p>
    <w:p w14:paraId="46D3CD6C" w14:textId="77777777" w:rsidR="002A67DB" w:rsidRPr="00343EB2" w:rsidRDefault="002A67DB" w:rsidP="00343EB2">
      <w:pPr>
        <w:numPr>
          <w:ilvl w:val="0"/>
          <w:numId w:val="19"/>
        </w:numPr>
        <w:spacing w:after="120"/>
        <w:rPr>
          <w:bCs/>
        </w:rPr>
      </w:pPr>
      <w:r w:rsidRPr="00343EB2">
        <w:rPr>
          <w:bCs/>
        </w:rPr>
        <w:t>MBS health assessments for clients aged 0-4 years and MBS health assessments for clients aged 25 years and over.</w:t>
      </w:r>
    </w:p>
    <w:p w14:paraId="467C76FC" w14:textId="77777777" w:rsidR="002A67DB" w:rsidRPr="00884FAA" w:rsidRDefault="002A67DB" w:rsidP="002A67DB">
      <w:r w:rsidRPr="00884FAA">
        <w:t>That is, taking the last cluster as an example, sites with high proportions of clients aged 0-4 years having MBS health assessments are also more likely to have high proportions of clients aged 25 years and over having MBS health assessments.</w:t>
      </w:r>
    </w:p>
    <w:p w14:paraId="58F9E6B5" w14:textId="2CD143D0" w:rsidR="005C14FC" w:rsidRDefault="00340BCC" w:rsidP="00055EBB">
      <w:pPr>
        <w:pStyle w:val="TableFigure-Header"/>
        <w:keepNext/>
      </w:pPr>
      <w:bookmarkStart w:id="278" w:name="_Ref136430911"/>
      <w:bookmarkStart w:id="279" w:name="_Toc138851349"/>
      <w:r>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6</w:t>
      </w:r>
      <w:r w:rsidR="005B4A4F">
        <w:fldChar w:fldCharType="end"/>
      </w:r>
      <w:bookmarkEnd w:id="278"/>
      <w:r>
        <w:t>. Dend</w:t>
      </w:r>
      <w:r w:rsidR="00BC3A6B">
        <w:t>r</w:t>
      </w:r>
      <w:r>
        <w:t>ogram of hierarchical clustering of all nKPIs within sites</w:t>
      </w:r>
      <w:bookmarkEnd w:id="279"/>
    </w:p>
    <w:p w14:paraId="5BDA96DE" w14:textId="7680BB98" w:rsidR="00A347D0" w:rsidRPr="00A347D0" w:rsidRDefault="00A347D0" w:rsidP="00055EBB">
      <w:pPr>
        <w:spacing w:after="360"/>
        <w:rPr>
          <w:lang w:val="en-NZ"/>
        </w:rPr>
      </w:pPr>
      <w:r>
        <w:rPr>
          <w:noProof/>
          <w:lang w:val="en-NZ"/>
        </w:rPr>
        <w:drawing>
          <wp:inline distT="0" distB="0" distL="0" distR="0" wp14:anchorId="2D8AE795" wp14:editId="0B0DEDB7">
            <wp:extent cx="5732331" cy="5908675"/>
            <wp:effectExtent l="0" t="0" r="1905" b="0"/>
            <wp:docPr id="285884288" name="Picture 285884288" descr="Dend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84288" name="Picture 285884288" descr="Dendogram"/>
                    <pic:cNvPicPr>
                      <a:picLocks noChangeAspect="1" noChangeArrowheads="1"/>
                    </pic:cNvPicPr>
                  </pic:nvPicPr>
                  <pic:blipFill rotWithShape="1">
                    <a:blip r:embed="rId132">
                      <a:extLst>
                        <a:ext uri="{96DAC541-7B7A-43D3-8B79-37D633B846F1}">
                          <asvg:svgBlip xmlns:asvg="http://schemas.microsoft.com/office/drawing/2016/SVG/main" r:embed="rId133"/>
                        </a:ext>
                      </a:extLst>
                    </a:blip>
                    <a:srcRect l="1223"/>
                    <a:stretch/>
                  </pic:blipFill>
                  <pic:spPr bwMode="auto">
                    <a:xfrm>
                      <a:off x="0" y="0"/>
                      <a:ext cx="5732872" cy="5909233"/>
                    </a:xfrm>
                    <a:prstGeom prst="rect">
                      <a:avLst/>
                    </a:prstGeom>
                    <a:ln>
                      <a:noFill/>
                    </a:ln>
                    <a:extLst>
                      <a:ext uri="{53640926-AAD7-44D8-BBD7-CCE9431645EC}">
                        <a14:shadowObscured xmlns:a14="http://schemas.microsoft.com/office/drawing/2010/main"/>
                      </a:ext>
                    </a:extLst>
                  </pic:spPr>
                </pic:pic>
              </a:graphicData>
            </a:graphic>
          </wp:inline>
        </w:drawing>
      </w:r>
    </w:p>
    <w:p w14:paraId="78947A2E" w14:textId="77777777" w:rsidR="00D65340" w:rsidRPr="00D65340" w:rsidRDefault="00D65340" w:rsidP="00D65340">
      <w:r w:rsidRPr="00D65340">
        <w:lastRenderedPageBreak/>
        <w:t xml:space="preserve">An additional clustering technique (Principal Components Analysis) was used to </w:t>
      </w:r>
      <w:r w:rsidRPr="00D65340">
        <w:rPr>
          <w:lang w:val="en-US"/>
        </w:rPr>
        <w:t>to reduce the dimensionality of the data set by clustering items into a smaller set of uncorrelated variables. The nKPIs (proportion of clients) each year at each of the 16 sites were used to form the principal components</w:t>
      </w:r>
      <w:r w:rsidRPr="00D65340">
        <w:t>. That is, multiple indicators can be represented by a smaller set of composite variables that are statistically distinct. This permits further analyses of the relationship between the nKPI and other variables.</w:t>
      </w:r>
    </w:p>
    <w:p w14:paraId="2DC53FF7" w14:textId="0BB7AA44" w:rsidR="002A67DB" w:rsidRPr="00884FAA" w:rsidRDefault="002A67DB" w:rsidP="002A67DB">
      <w:r w:rsidRPr="00884FAA">
        <w:t xml:space="preserve">Using this technique, </w:t>
      </w:r>
      <w:r w:rsidR="00863A0F">
        <w:t>the</w:t>
      </w:r>
      <w:r w:rsidRPr="00884FAA">
        <w:t xml:space="preserve"> nKPIs could be quantitatively represented by a smaller set of </w:t>
      </w:r>
      <w:r w:rsidR="006D2482">
        <w:t>4</w:t>
      </w:r>
      <w:r w:rsidR="006D2482" w:rsidRPr="00884FAA">
        <w:t xml:space="preserve"> </w:t>
      </w:r>
      <w:r w:rsidRPr="00884FAA">
        <w:t xml:space="preserve">principal components. These </w:t>
      </w:r>
      <w:r w:rsidR="006D2482">
        <w:t>4</w:t>
      </w:r>
      <w:r w:rsidR="006D2482" w:rsidRPr="00884FAA">
        <w:t xml:space="preserve"> </w:t>
      </w:r>
      <w:r w:rsidRPr="00884FAA">
        <w:t>clusters explained 71% of the variation of the included nKPIs</w:t>
      </w:r>
      <w:r w:rsidR="008F65A1" w:rsidRPr="00884FAA">
        <w:t>.</w:t>
      </w:r>
      <w:r w:rsidRPr="00884FAA">
        <w:t xml:space="preserve"> This can be interpreted as how representative the </w:t>
      </w:r>
      <w:r w:rsidR="006D2482">
        <w:t>4</w:t>
      </w:r>
      <w:r w:rsidR="006D2482" w:rsidRPr="00884FAA">
        <w:t xml:space="preserve"> </w:t>
      </w:r>
      <w:r w:rsidRPr="00884FAA">
        <w:t>components are of the whole nKPI data set. These clusters have been interpreted as:</w:t>
      </w:r>
    </w:p>
    <w:p w14:paraId="0333A29A" w14:textId="54AB70C5" w:rsidR="002A67DB" w:rsidRPr="00884FAA" w:rsidRDefault="002A67DB" w:rsidP="00343EB2">
      <w:pPr>
        <w:numPr>
          <w:ilvl w:val="0"/>
          <w:numId w:val="19"/>
        </w:numPr>
        <w:spacing w:after="120"/>
      </w:pPr>
      <w:r w:rsidRPr="00884FAA">
        <w:rPr>
          <w:b/>
        </w:rPr>
        <w:t>Health care activity</w:t>
      </w:r>
      <w:r w:rsidRPr="00884FAA">
        <w:rPr>
          <w:b/>
          <w:bCs/>
        </w:rPr>
        <w:t>:</w:t>
      </w:r>
      <w:r w:rsidRPr="00884FAA">
        <w:t xml:space="preserve"> higher values indicate that higher levels of GP management plans, team care arrangements, testing (kidney function, cervical screening), immunisation and recording of data (</w:t>
      </w:r>
      <w:r w:rsidR="00146E45" w:rsidRPr="00884FAA">
        <w:t xml:space="preserve">for example, </w:t>
      </w:r>
      <w:r w:rsidRPr="00884FAA">
        <w:t xml:space="preserve">test results, CVD risk factors). </w:t>
      </w:r>
    </w:p>
    <w:p w14:paraId="6EF1A670" w14:textId="50121FF7" w:rsidR="002A67DB" w:rsidRPr="00884FAA" w:rsidRDefault="002A67DB" w:rsidP="00343EB2">
      <w:pPr>
        <w:numPr>
          <w:ilvl w:val="0"/>
          <w:numId w:val="19"/>
        </w:numPr>
        <w:spacing w:after="120"/>
      </w:pPr>
      <w:r w:rsidRPr="00884FAA">
        <w:rPr>
          <w:b/>
        </w:rPr>
        <w:t>Health behaviours</w:t>
      </w:r>
      <w:r w:rsidRPr="00884FAA">
        <w:rPr>
          <w:b/>
          <w:bCs/>
        </w:rPr>
        <w:t>:</w:t>
      </w:r>
      <w:r w:rsidRPr="00884FAA">
        <w:t xml:space="preserve"> higher values indicate higher levels of recording of health behaviours (smoking status, alcohol consumption), non-smoking, overweight/obese</w:t>
      </w:r>
      <w:r w:rsidR="00146E45" w:rsidRPr="00884FAA">
        <w:t>,</w:t>
      </w:r>
      <w:r w:rsidRPr="00884FAA">
        <w:t xml:space="preserve"> and an HbA1c result for clients with type 2 diabetes of 53 </w:t>
      </w:r>
      <w:r w:rsidR="005461E4" w:rsidRPr="00884FAA">
        <w:t xml:space="preserve">mmol/mol </w:t>
      </w:r>
      <w:r w:rsidRPr="00884FAA">
        <w:t xml:space="preserve">or less. </w:t>
      </w:r>
    </w:p>
    <w:p w14:paraId="478B153E" w14:textId="77777777" w:rsidR="002A67DB" w:rsidRPr="00884FAA" w:rsidRDefault="002A67DB" w:rsidP="00343EB2">
      <w:pPr>
        <w:numPr>
          <w:ilvl w:val="0"/>
          <w:numId w:val="19"/>
        </w:numPr>
        <w:spacing w:after="120"/>
      </w:pPr>
      <w:r w:rsidRPr="00884FAA">
        <w:rPr>
          <w:b/>
        </w:rPr>
        <w:t>Health outcomes (diabetes and CVD</w:t>
      </w:r>
      <w:r w:rsidRPr="00884FAA">
        <w:rPr>
          <w:b/>
          <w:bCs/>
        </w:rPr>
        <w:t>):</w:t>
      </w:r>
      <w:r w:rsidRPr="00884FAA">
        <w:t xml:space="preserve"> higher values indicate good HbA1c and ACR test results for clients with type 2 diabetes and low risk of CVD, and good eGFR test results for clients with CVD. </w:t>
      </w:r>
    </w:p>
    <w:p w14:paraId="35703DB2" w14:textId="2F29B007" w:rsidR="00EE2296" w:rsidRPr="00C46510" w:rsidRDefault="002A67DB" w:rsidP="00343EB2">
      <w:pPr>
        <w:numPr>
          <w:ilvl w:val="0"/>
          <w:numId w:val="19"/>
        </w:numPr>
        <w:spacing w:after="120"/>
      </w:pPr>
      <w:r w:rsidRPr="00884FAA">
        <w:rPr>
          <w:b/>
        </w:rPr>
        <w:t>Health outcomes (kidney</w:t>
      </w:r>
      <w:r w:rsidRPr="00884FAA">
        <w:rPr>
          <w:b/>
          <w:bCs/>
        </w:rPr>
        <w:t>):</w:t>
      </w:r>
      <w:r w:rsidRPr="00884FAA">
        <w:t xml:space="preserve"> higher values and indicate good eGFR test results and team care arrangements. This cluster also includes AUDIT-C results.</w:t>
      </w:r>
    </w:p>
    <w:p w14:paraId="43713898" w14:textId="77777777" w:rsidR="002A67DB" w:rsidRPr="00884FAA" w:rsidRDefault="002A67DB" w:rsidP="00651D06">
      <w:pPr>
        <w:pStyle w:val="Heading3"/>
      </w:pPr>
      <w:r w:rsidRPr="00884FAA">
        <w:t>More than half of adults and one-third of children had a health assessment</w:t>
      </w:r>
    </w:p>
    <w:p w14:paraId="2009A512" w14:textId="0B641BAC" w:rsidR="006E0CAA" w:rsidRPr="00884FAA" w:rsidRDefault="006E0CAA" w:rsidP="006E0CAA">
      <w:r w:rsidRPr="00884FAA">
        <w:t>The per</w:t>
      </w:r>
      <w:r w:rsidR="001B05FF">
        <w:t xml:space="preserve"> </w:t>
      </w:r>
      <w:r w:rsidRPr="00884FAA">
        <w:t xml:space="preserve">cent of clients who had a 715 health assessment was calculated for each of the 16 sites and then the mean </w:t>
      </w:r>
      <w:r w:rsidR="00291FCD" w:rsidRPr="00291FCD">
        <w:t xml:space="preserve">(standard deviation) and median (interquartile range) </w:t>
      </w:r>
      <w:r w:rsidRPr="00884FAA">
        <w:t xml:space="preserve">of these 16 percentages was calculated. Children aged 0-4 years were much less likely to have health assessments than clients aged 25 years and over; in December 2019, the </w:t>
      </w:r>
      <w:r w:rsidR="00830B0A">
        <w:t>median</w:t>
      </w:r>
      <w:r w:rsidRPr="00884FAA">
        <w:t xml:space="preserve"> per</w:t>
      </w:r>
      <w:r w:rsidR="00D214D4" w:rsidRPr="00884FAA">
        <w:t xml:space="preserve"> </w:t>
      </w:r>
      <w:r w:rsidRPr="00884FAA">
        <w:t>cent across sites was only 3</w:t>
      </w:r>
      <w:r w:rsidR="009A699D">
        <w:t>5</w:t>
      </w:r>
      <w:r w:rsidRPr="00884FAA">
        <w:t>% for children aged 0-4, compared to 59% for adults aged 25 or more. There was little evidence of change over time. After removing the June 2020 data due to possible effects of COVID-19, the odds of a health assessment for 0-4 year olds changed by an estimated -2.9% per year (95% CI: -9.7%, 4.5%). The per cent of the total variance explained by clustering by site was 5%. For clients 25 years and older, the odds changed by an estimated 2.2% per year (95% CI: -5.0%, 10.1%). The per cent of the total variance explained by clustering by site was 9%.</w:t>
      </w:r>
    </w:p>
    <w:p w14:paraId="104966F9" w14:textId="413EBDFC" w:rsidR="002A67DB" w:rsidRDefault="002A67DB" w:rsidP="002A67DB">
      <w:r w:rsidRPr="00884FAA">
        <w:t xml:space="preserve">Variation in health assessments across the evaluation sites for clients aged 0-4 years and clients aged ≥25 years are provided in </w:t>
      </w:r>
      <w:r w:rsidR="008D1FE6" w:rsidRPr="00884FAA">
        <w:fldChar w:fldCharType="begin"/>
      </w:r>
      <w:r w:rsidR="008D1FE6" w:rsidRPr="00884FAA">
        <w:instrText xml:space="preserve"> REF _Ref130658869 \h  \* MERGEFORMAT </w:instrText>
      </w:r>
      <w:r w:rsidR="008D1FE6" w:rsidRPr="00884FAA">
        <w:fldChar w:fldCharType="separate"/>
      </w:r>
      <w:r w:rsidR="00165B17" w:rsidRPr="00884FAA">
        <w:t xml:space="preserve">Figure </w:t>
      </w:r>
      <w:r w:rsidR="00165B17">
        <w:rPr>
          <w:noProof/>
        </w:rPr>
        <w:t>8</w:t>
      </w:r>
      <w:r w:rsidR="00165B17">
        <w:rPr>
          <w:noProof/>
        </w:rPr>
        <w:noBreakHyphen/>
        <w:t>7</w:t>
      </w:r>
      <w:r w:rsidR="008D1FE6" w:rsidRPr="00884FAA">
        <w:fldChar w:fldCharType="end"/>
      </w:r>
      <w:r w:rsidRPr="00884FAA">
        <w:t xml:space="preserve"> and </w:t>
      </w:r>
      <w:r w:rsidR="008D1FE6" w:rsidRPr="00884FAA">
        <w:fldChar w:fldCharType="begin"/>
      </w:r>
      <w:r w:rsidR="008D1FE6" w:rsidRPr="00884FAA">
        <w:instrText xml:space="preserve"> REF _Ref130658990 \h  \* MERGEFORMAT </w:instrText>
      </w:r>
      <w:r w:rsidR="008D1FE6" w:rsidRPr="00884FAA">
        <w:fldChar w:fldCharType="separate"/>
      </w:r>
      <w:r w:rsidR="00165B17" w:rsidRPr="00884FAA">
        <w:t xml:space="preserve">Figure </w:t>
      </w:r>
      <w:r w:rsidR="00165B17">
        <w:rPr>
          <w:noProof/>
        </w:rPr>
        <w:t>8</w:t>
      </w:r>
      <w:r w:rsidR="00165B17">
        <w:rPr>
          <w:noProof/>
        </w:rPr>
        <w:noBreakHyphen/>
        <w:t>8</w:t>
      </w:r>
      <w:r w:rsidR="008D1FE6" w:rsidRPr="00884FAA">
        <w:fldChar w:fldCharType="end"/>
      </w:r>
      <w:r w:rsidR="008F65A1" w:rsidRPr="00884FAA">
        <w:t>.</w:t>
      </w:r>
      <w:r w:rsidRPr="00884FAA">
        <w:t xml:space="preserve"> For both groups of clients, variability between sites was high, particularly at the start of the period (June 2017). The variation in health assessments for clients 0-4 years was at least 33 percentage points, and it was at least 43 percentage points among clients 25 years and over. Variability between sites was not explained by remoteness. </w:t>
      </w:r>
      <w:r w:rsidR="00C72FA9">
        <w:t xml:space="preserve">There was high variability among sites in </w:t>
      </w:r>
      <w:r w:rsidR="00E41137">
        <w:t>major cities and sites in remote/very remote areas.</w:t>
      </w:r>
    </w:p>
    <w:tbl>
      <w:tblPr>
        <w:tblStyle w:val="TableGrid"/>
        <w:tblW w:w="9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60"/>
      </w:tblGrid>
      <w:tr w:rsidR="008F65A1" w:rsidRPr="00884FAA" w14:paraId="40F2FD5F" w14:textId="77777777" w:rsidTr="004B6901">
        <w:tc>
          <w:tcPr>
            <w:tcW w:w="4820" w:type="dxa"/>
            <w:tcMar>
              <w:left w:w="57" w:type="dxa"/>
              <w:right w:w="57" w:type="dxa"/>
            </w:tcMar>
          </w:tcPr>
          <w:p w14:paraId="6B001C6C" w14:textId="28AEED5E" w:rsidR="008F65A1" w:rsidRPr="00884FAA" w:rsidRDefault="00636390" w:rsidP="008D1FE6">
            <w:pPr>
              <w:pStyle w:val="TableFigure-Header"/>
              <w:rPr>
                <w:lang w:val="en-AU"/>
              </w:rPr>
            </w:pPr>
            <w:bookmarkStart w:id="280" w:name="_Ref130658869"/>
            <w:bookmarkStart w:id="281" w:name="_Toc138851350"/>
            <w:r w:rsidRPr="00884FAA">
              <w:rPr>
                <w:lang w:val="en-AU"/>
              </w:rPr>
              <w:lastRenderedPageBreak/>
              <w:t>Figure</w:t>
            </w:r>
            <w:r w:rsidR="008F65A1"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8</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7</w:t>
            </w:r>
            <w:r w:rsidR="005B4A4F">
              <w:rPr>
                <w:lang w:val="en-AU"/>
              </w:rPr>
              <w:fldChar w:fldCharType="end"/>
            </w:r>
            <w:bookmarkEnd w:id="280"/>
            <w:r w:rsidR="008F65A1" w:rsidRPr="00884FAA">
              <w:rPr>
                <w:lang w:val="en-AU"/>
              </w:rPr>
              <w:t>. Trend over time for nKPI PI03: MBS health assessment for clients aged 0-4 years</w:t>
            </w:r>
            <w:bookmarkEnd w:id="281"/>
          </w:p>
        </w:tc>
        <w:tc>
          <w:tcPr>
            <w:tcW w:w="5160" w:type="dxa"/>
            <w:tcMar>
              <w:left w:w="57" w:type="dxa"/>
              <w:right w:w="57" w:type="dxa"/>
            </w:tcMar>
          </w:tcPr>
          <w:p w14:paraId="7E4F3D63" w14:textId="713D14D9" w:rsidR="008F65A1" w:rsidRPr="00884FAA" w:rsidRDefault="00636390" w:rsidP="008D1FE6">
            <w:pPr>
              <w:pStyle w:val="TableFigure-Header"/>
              <w:rPr>
                <w:lang w:val="en-AU"/>
              </w:rPr>
            </w:pPr>
            <w:bookmarkStart w:id="282" w:name="_Ref130658990"/>
            <w:bookmarkStart w:id="283" w:name="_Toc138851351"/>
            <w:r w:rsidRPr="00884FAA">
              <w:rPr>
                <w:lang w:val="en-AU"/>
              </w:rPr>
              <w:t>Figure</w:t>
            </w:r>
            <w:r w:rsidR="008F65A1"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8</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8</w:t>
            </w:r>
            <w:r w:rsidR="005B4A4F">
              <w:rPr>
                <w:lang w:val="en-AU"/>
              </w:rPr>
              <w:fldChar w:fldCharType="end"/>
            </w:r>
            <w:bookmarkEnd w:id="282"/>
            <w:r w:rsidR="008F65A1" w:rsidRPr="00884FAA">
              <w:rPr>
                <w:lang w:val="en-AU"/>
              </w:rPr>
              <w:t>. Trend over time for nKPI PI03: MBS health assessment for clients aged ≥25 years</w:t>
            </w:r>
            <w:bookmarkEnd w:id="283"/>
          </w:p>
        </w:tc>
      </w:tr>
      <w:tr w:rsidR="008F65A1" w:rsidRPr="00884FAA" w14:paraId="65D5B476" w14:textId="77777777" w:rsidTr="004B6901">
        <w:tc>
          <w:tcPr>
            <w:tcW w:w="4820" w:type="dxa"/>
            <w:tcMar>
              <w:left w:w="57" w:type="dxa"/>
              <w:right w:w="57" w:type="dxa"/>
            </w:tcMar>
          </w:tcPr>
          <w:p w14:paraId="44EEE979" w14:textId="77777777" w:rsidR="008F65A1" w:rsidRPr="00884FAA" w:rsidRDefault="008F65A1" w:rsidP="008F65A1">
            <w:pPr>
              <w:spacing w:after="240" w:line="276" w:lineRule="auto"/>
            </w:pPr>
            <w:r w:rsidRPr="00884FAA">
              <w:rPr>
                <w:noProof/>
              </w:rPr>
              <w:drawing>
                <wp:inline distT="0" distB="0" distL="0" distR="0" wp14:anchorId="1B1E76A2" wp14:editId="2BB6F207">
                  <wp:extent cx="2952000" cy="2334268"/>
                  <wp:effectExtent l="0" t="0" r="1270" b="8890"/>
                  <wp:docPr id="456" name="Picture 456" descr="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Line graph"/>
                          <pic:cNvPicPr/>
                        </pic:nvPicPr>
                        <pic:blipFill>
                          <a:blip r:embed="rId134">
                            <a:extLst>
                              <a:ext uri="{96DAC541-7B7A-43D3-8B79-37D633B846F1}">
                                <asvg:svgBlip xmlns:asvg="http://schemas.microsoft.com/office/drawing/2016/SVG/main" r:embed="rId135"/>
                              </a:ext>
                            </a:extLst>
                          </a:blip>
                          <a:stretch>
                            <a:fillRect/>
                          </a:stretch>
                        </pic:blipFill>
                        <pic:spPr>
                          <a:xfrm>
                            <a:off x="0" y="0"/>
                            <a:ext cx="2952000" cy="2334268"/>
                          </a:xfrm>
                          <a:prstGeom prst="rect">
                            <a:avLst/>
                          </a:prstGeom>
                        </pic:spPr>
                      </pic:pic>
                    </a:graphicData>
                  </a:graphic>
                </wp:inline>
              </w:drawing>
            </w:r>
          </w:p>
        </w:tc>
        <w:tc>
          <w:tcPr>
            <w:tcW w:w="5160" w:type="dxa"/>
            <w:tcMar>
              <w:left w:w="57" w:type="dxa"/>
              <w:right w:w="57" w:type="dxa"/>
            </w:tcMar>
          </w:tcPr>
          <w:p w14:paraId="1C7F9722" w14:textId="77777777" w:rsidR="008F65A1" w:rsidRPr="00884FAA" w:rsidRDefault="008F65A1" w:rsidP="008F65A1">
            <w:pPr>
              <w:spacing w:after="240" w:line="276" w:lineRule="auto"/>
            </w:pPr>
            <w:r w:rsidRPr="00884FAA">
              <w:rPr>
                <w:noProof/>
              </w:rPr>
              <w:drawing>
                <wp:inline distT="0" distB="0" distL="0" distR="0" wp14:anchorId="47CF3320" wp14:editId="56F10F28">
                  <wp:extent cx="2952000" cy="2342946"/>
                  <wp:effectExtent l="0" t="0" r="1270" b="635"/>
                  <wp:docPr id="202" name="Picture 202" descr="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Line graph"/>
                          <pic:cNvPicPr/>
                        </pic:nvPicPr>
                        <pic:blipFill>
                          <a:blip r:embed="rId136">
                            <a:extLst>
                              <a:ext uri="{96DAC541-7B7A-43D3-8B79-37D633B846F1}">
                                <asvg:svgBlip xmlns:asvg="http://schemas.microsoft.com/office/drawing/2016/SVG/main" r:embed="rId137"/>
                              </a:ext>
                            </a:extLst>
                          </a:blip>
                          <a:stretch>
                            <a:fillRect/>
                          </a:stretch>
                        </pic:blipFill>
                        <pic:spPr>
                          <a:xfrm>
                            <a:off x="0" y="0"/>
                            <a:ext cx="2952000" cy="2342946"/>
                          </a:xfrm>
                          <a:prstGeom prst="rect">
                            <a:avLst/>
                          </a:prstGeom>
                        </pic:spPr>
                      </pic:pic>
                    </a:graphicData>
                  </a:graphic>
                </wp:inline>
              </w:drawing>
            </w:r>
          </w:p>
        </w:tc>
      </w:tr>
      <w:tr w:rsidR="008F65A1" w:rsidRPr="00884FAA" w14:paraId="08FA556E" w14:textId="77777777" w:rsidTr="004B6901">
        <w:trPr>
          <w:trHeight w:val="242"/>
        </w:trPr>
        <w:tc>
          <w:tcPr>
            <w:tcW w:w="9980" w:type="dxa"/>
            <w:gridSpan w:val="2"/>
            <w:tcMar>
              <w:left w:w="57" w:type="dxa"/>
              <w:right w:w="57" w:type="dxa"/>
            </w:tcMar>
          </w:tcPr>
          <w:p w14:paraId="52790D26" w14:textId="77777777" w:rsidR="008F65A1" w:rsidRPr="00884FAA" w:rsidRDefault="008F65A1" w:rsidP="008F65A1">
            <w:pPr>
              <w:spacing w:after="120" w:line="276" w:lineRule="auto"/>
              <w:jc w:val="left"/>
              <w:rPr>
                <w:sz w:val="21"/>
                <w:szCs w:val="21"/>
              </w:rPr>
            </w:pPr>
            <w:r w:rsidRPr="00884FAA">
              <w:rPr>
                <w:sz w:val="21"/>
                <w:szCs w:val="21"/>
              </w:rPr>
              <w:t>Light lines: % clients at individual sites; Dark line: % clients at all sites combined</w:t>
            </w:r>
          </w:p>
        </w:tc>
      </w:tr>
    </w:tbl>
    <w:p w14:paraId="06AC22A6" w14:textId="77777777" w:rsidR="002A67DB" w:rsidRPr="00884FAA" w:rsidRDefault="002A67DB" w:rsidP="002A67DB"/>
    <w:p w14:paraId="1B0C1D3B" w14:textId="77777777" w:rsidR="00101960" w:rsidRDefault="00101960">
      <w:pPr>
        <w:jc w:val="left"/>
        <w:rPr>
          <w:b/>
          <w:color w:val="9E6047" w:themeColor="accent3"/>
          <w:kern w:val="28"/>
          <w:sz w:val="32"/>
          <w:szCs w:val="28"/>
          <w:lang w:val="en-GB" w:eastAsia="en-GB"/>
        </w:rPr>
      </w:pPr>
      <w:r>
        <w:br w:type="page"/>
      </w:r>
    </w:p>
    <w:p w14:paraId="14B9EAF0" w14:textId="37E3038E" w:rsidR="002A67DB" w:rsidRPr="00884FAA" w:rsidRDefault="002A67DB" w:rsidP="00651D06">
      <w:pPr>
        <w:pStyle w:val="Heading3"/>
      </w:pPr>
      <w:r w:rsidRPr="00884FAA">
        <w:lastRenderedPageBreak/>
        <w:t>There was an increase in the proportion of site residents who received a health assessment</w:t>
      </w:r>
    </w:p>
    <w:p w14:paraId="3B76A83E" w14:textId="0EB08FDC" w:rsidR="002A67DB" w:rsidRPr="00884FAA" w:rsidRDefault="002A67DB" w:rsidP="002A67DB">
      <w:r w:rsidRPr="00884FAA">
        <w:t xml:space="preserve">The proportion of Aboriginal and Torres Strait Islander residents of all ages living in the geographical areas that made up the sites who received health assessments </w:t>
      </w:r>
      <w:r w:rsidR="00376EA0" w:rsidRPr="00376EA0">
        <w:t xml:space="preserve">(MBS items 704, 706, 708, 710, and 715 combined) </w:t>
      </w:r>
      <w:r w:rsidRPr="00884FAA">
        <w:t xml:space="preserve">increased between 2012-13 and 2018-19 </w:t>
      </w:r>
      <w:r w:rsidR="008F65A1" w:rsidRPr="00884FAA">
        <w:t>(</w:t>
      </w:r>
      <w:r w:rsidR="008F3A4E" w:rsidRPr="00884FAA">
        <w:fldChar w:fldCharType="begin"/>
      </w:r>
      <w:r w:rsidR="008F3A4E" w:rsidRPr="00884FAA">
        <w:instrText xml:space="preserve"> REF _Ref130659077 \h </w:instrText>
      </w:r>
      <w:r w:rsidR="00804B68" w:rsidRPr="00884FAA">
        <w:instrText xml:space="preserve"> \* MERGEFORMAT </w:instrText>
      </w:r>
      <w:r w:rsidR="008F3A4E" w:rsidRPr="00884FAA">
        <w:fldChar w:fldCharType="separate"/>
      </w:r>
      <w:r w:rsidR="00165B17" w:rsidRPr="00884FAA">
        <w:t xml:space="preserve">Figure </w:t>
      </w:r>
      <w:r w:rsidR="00165B17">
        <w:rPr>
          <w:noProof/>
        </w:rPr>
        <w:t>8</w:t>
      </w:r>
      <w:r w:rsidR="00165B17">
        <w:rPr>
          <w:noProof/>
        </w:rPr>
        <w:noBreakHyphen/>
        <w:t>9</w:t>
      </w:r>
      <w:r w:rsidR="008F3A4E" w:rsidRPr="00884FAA">
        <w:fldChar w:fldCharType="end"/>
      </w:r>
      <w:r w:rsidR="008F65A1" w:rsidRPr="00884FAA">
        <w:t>).</w:t>
      </w:r>
      <w:r w:rsidRPr="00884FAA">
        <w:t xml:space="preserve"> The odds of having a health assessment increased by an estimated 14% over this period (95% CI: 12%, 16%). The per cent of the total variance explained by clustering by site is 14%. The proportion of Aboriginal and Torres Strait Islander people having a health assessment increased with time from a median of 157 to 280 residents per 1,000 receiving services by 2018-19. Some sites in outer regional areas had higher numbers of residents having assessments. </w:t>
      </w:r>
    </w:p>
    <w:p w14:paraId="6A8940E3" w14:textId="6E512D0D" w:rsidR="008D1FE6" w:rsidRPr="00884FAA" w:rsidRDefault="00636390" w:rsidP="007147B8">
      <w:pPr>
        <w:pStyle w:val="TableFigure-Header"/>
        <w:rPr>
          <w:lang w:val="en-AU"/>
        </w:rPr>
      </w:pPr>
      <w:bookmarkStart w:id="284" w:name="_Ref130659077"/>
      <w:bookmarkStart w:id="285" w:name="_Toc138851352"/>
      <w:r w:rsidRPr="00884FAA">
        <w:rPr>
          <w:lang w:val="en-AU"/>
        </w:rPr>
        <w:t>Figure</w:t>
      </w:r>
      <w:r w:rsidR="008D1FE6" w:rsidRPr="00884FAA">
        <w:rPr>
          <w:lang w:val="en-AU"/>
        </w:rPr>
        <w:t xml:space="preserve"> </w:t>
      </w:r>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8</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9</w:t>
      </w:r>
      <w:r w:rsidR="005B4A4F">
        <w:rPr>
          <w:lang w:val="en-AU"/>
        </w:rPr>
        <w:fldChar w:fldCharType="end"/>
      </w:r>
      <w:bookmarkEnd w:id="284"/>
      <w:r w:rsidR="008D1FE6" w:rsidRPr="00884FAA">
        <w:rPr>
          <w:lang w:val="en-AU"/>
        </w:rPr>
        <w:t>. Number of Aboriginal and Torres Strait Islander residents who had an MBS health assessment per 1,000 residents by site, 2012-13 to 2018-19.</w:t>
      </w:r>
      <w:bookmarkEnd w:id="285"/>
    </w:p>
    <w:p w14:paraId="5E1738CD" w14:textId="77777777" w:rsidR="002A67DB" w:rsidRPr="00884FAA" w:rsidRDefault="008F65A1" w:rsidP="002A67DB">
      <w:r w:rsidRPr="00884FAA">
        <w:rPr>
          <w:noProof/>
        </w:rPr>
        <w:drawing>
          <wp:inline distT="0" distB="0" distL="0" distR="0" wp14:anchorId="772A9996" wp14:editId="6859F4B5">
            <wp:extent cx="5755575" cy="4002656"/>
            <wp:effectExtent l="0" t="0" r="0" b="0"/>
            <wp:docPr id="204" name="Picture 204" descr="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Line graph"/>
                    <pic:cNvPicPr/>
                  </pic:nvPicPr>
                  <pic:blipFill>
                    <a:blip r:embed="rId138">
                      <a:extLst>
                        <a:ext uri="{96DAC541-7B7A-43D3-8B79-37D633B846F1}">
                          <asvg:svgBlip xmlns:asvg="http://schemas.microsoft.com/office/drawing/2016/SVG/main" r:embed="rId139"/>
                        </a:ext>
                      </a:extLst>
                    </a:blip>
                    <a:stretch>
                      <a:fillRect/>
                    </a:stretch>
                  </pic:blipFill>
                  <pic:spPr>
                    <a:xfrm>
                      <a:off x="0" y="0"/>
                      <a:ext cx="5775806" cy="4016725"/>
                    </a:xfrm>
                    <a:prstGeom prst="rect">
                      <a:avLst/>
                    </a:prstGeom>
                  </pic:spPr>
                </pic:pic>
              </a:graphicData>
            </a:graphic>
          </wp:inline>
        </w:drawing>
      </w:r>
    </w:p>
    <w:p w14:paraId="61BAD65F" w14:textId="77777777" w:rsidR="00EE2296" w:rsidRDefault="00EE2296">
      <w:pPr>
        <w:jc w:val="left"/>
        <w:rPr>
          <w:b/>
          <w:color w:val="9E6047" w:themeColor="accent3"/>
          <w:kern w:val="28"/>
          <w:sz w:val="32"/>
          <w:szCs w:val="28"/>
          <w:lang w:eastAsia="en-GB"/>
        </w:rPr>
      </w:pPr>
      <w:r>
        <w:br w:type="page"/>
      </w:r>
    </w:p>
    <w:p w14:paraId="3BEAEEF5" w14:textId="77777777" w:rsidR="002A67DB" w:rsidRPr="00884FAA" w:rsidRDefault="002A67DB" w:rsidP="00651D06">
      <w:pPr>
        <w:pStyle w:val="Heading3"/>
      </w:pPr>
      <w:r w:rsidRPr="00884FAA">
        <w:lastRenderedPageBreak/>
        <w:t>Health assessments are positively associated with the identified clusters</w:t>
      </w:r>
    </w:p>
    <w:p w14:paraId="3EDE08B7" w14:textId="6E1B3785" w:rsidR="002A67DB" w:rsidRPr="00884FAA" w:rsidRDefault="004C60EC" w:rsidP="002A67DB">
      <w:r>
        <w:t>Following principal component analysis</w:t>
      </w:r>
      <w:r w:rsidR="004E4C6D">
        <w:t xml:space="preserve">, </w:t>
      </w:r>
      <w:r w:rsidR="002A67DB" w:rsidRPr="00884FAA">
        <w:t xml:space="preserve">there was evidence that </w:t>
      </w:r>
      <w:r w:rsidR="004E4C6D">
        <w:t>sites</w:t>
      </w:r>
      <w:r w:rsidR="002D55A1">
        <w:t xml:space="preserve"> with a higher proportion of clients undergoing </w:t>
      </w:r>
      <w:r w:rsidR="002A67DB" w:rsidRPr="00884FAA">
        <w:t>715 health assessment</w:t>
      </w:r>
      <w:r w:rsidR="002D55A1">
        <w:t>s</w:t>
      </w:r>
      <w:r w:rsidR="002A67DB" w:rsidRPr="00884FAA">
        <w:t xml:space="preserve"> had, in the same year:</w:t>
      </w:r>
    </w:p>
    <w:p w14:paraId="67013AE8" w14:textId="5CD2062D" w:rsidR="002A67DB" w:rsidRPr="00343EB2" w:rsidRDefault="002A67DB" w:rsidP="00343EB2">
      <w:pPr>
        <w:numPr>
          <w:ilvl w:val="0"/>
          <w:numId w:val="19"/>
        </w:numPr>
        <w:spacing w:after="120"/>
        <w:rPr>
          <w:bCs/>
        </w:rPr>
      </w:pPr>
      <w:r w:rsidRPr="00343EB2">
        <w:rPr>
          <w:bCs/>
        </w:rPr>
        <w:t xml:space="preserve">higher </w:t>
      </w:r>
      <w:r w:rsidR="002D55A1" w:rsidRPr="00343EB2">
        <w:rPr>
          <w:bCs/>
        </w:rPr>
        <w:t>scores for the first principal component</w:t>
      </w:r>
      <w:r w:rsidR="008445D0" w:rsidRPr="00343EB2">
        <w:rPr>
          <w:bCs/>
        </w:rPr>
        <w:t xml:space="preserve"> </w:t>
      </w:r>
      <w:r w:rsidR="00FD5DA2" w:rsidRPr="00343EB2">
        <w:rPr>
          <w:bCs/>
        </w:rPr>
        <w:t>(</w:t>
      </w:r>
      <w:r w:rsidR="008445D0" w:rsidRPr="00343EB2">
        <w:rPr>
          <w:bCs/>
        </w:rPr>
        <w:t>‘</w:t>
      </w:r>
      <w:r w:rsidRPr="00343EB2">
        <w:rPr>
          <w:bCs/>
        </w:rPr>
        <w:t>health care activity</w:t>
      </w:r>
      <w:r w:rsidR="008445D0" w:rsidRPr="00343EB2">
        <w:rPr>
          <w:bCs/>
        </w:rPr>
        <w:t>’</w:t>
      </w:r>
      <w:r w:rsidRPr="00343EB2">
        <w:rPr>
          <w:bCs/>
        </w:rPr>
        <w:t>, including more GP management plans, team care arrangements, testing, immunisation</w:t>
      </w:r>
      <w:r w:rsidR="00B414AB" w:rsidRPr="00343EB2">
        <w:rPr>
          <w:bCs/>
        </w:rPr>
        <w:t>,</w:t>
      </w:r>
      <w:r w:rsidRPr="00343EB2">
        <w:rPr>
          <w:bCs/>
        </w:rPr>
        <w:t xml:space="preserve"> and recording of data</w:t>
      </w:r>
      <w:r w:rsidR="00FD5DA2" w:rsidRPr="00343EB2">
        <w:rPr>
          <w:bCs/>
        </w:rPr>
        <w:t>)</w:t>
      </w:r>
      <w:r w:rsidRPr="00343EB2">
        <w:rPr>
          <w:bCs/>
        </w:rPr>
        <w:t xml:space="preserve"> (</w:t>
      </w:r>
      <w:r w:rsidR="00946976" w:rsidRPr="00343EB2">
        <w:rPr>
          <w:bCs/>
        </w:rPr>
        <w:t xml:space="preserve">linear regression coefficient: </w:t>
      </w:r>
      <w:r w:rsidRPr="00343EB2">
        <w:rPr>
          <w:bCs/>
        </w:rPr>
        <w:t>0.05, 95% CI: 0.00, 0.10)</w:t>
      </w:r>
    </w:p>
    <w:p w14:paraId="353DBBBC" w14:textId="06AB69EF" w:rsidR="002A67DB" w:rsidRPr="00343EB2" w:rsidRDefault="002A67DB" w:rsidP="00343EB2">
      <w:pPr>
        <w:numPr>
          <w:ilvl w:val="0"/>
          <w:numId w:val="19"/>
        </w:numPr>
        <w:spacing w:after="120"/>
        <w:rPr>
          <w:bCs/>
        </w:rPr>
      </w:pPr>
      <w:r w:rsidRPr="00343EB2">
        <w:rPr>
          <w:bCs/>
        </w:rPr>
        <w:t xml:space="preserve">higher </w:t>
      </w:r>
      <w:r w:rsidR="00946976" w:rsidRPr="00343EB2">
        <w:rPr>
          <w:bCs/>
        </w:rPr>
        <w:t xml:space="preserve">scores for the second principal component </w:t>
      </w:r>
      <w:r w:rsidR="00EE0BB3" w:rsidRPr="00343EB2">
        <w:rPr>
          <w:bCs/>
        </w:rPr>
        <w:t>(‘</w:t>
      </w:r>
      <w:r w:rsidRPr="00343EB2">
        <w:rPr>
          <w:bCs/>
        </w:rPr>
        <w:t>health behaviour</w:t>
      </w:r>
      <w:r w:rsidR="00EE0BB3" w:rsidRPr="00343EB2">
        <w:rPr>
          <w:bCs/>
        </w:rPr>
        <w:t xml:space="preserve">’, including </w:t>
      </w:r>
      <w:r w:rsidR="00C17887" w:rsidRPr="00343EB2">
        <w:rPr>
          <w:bCs/>
        </w:rPr>
        <w:t>recording of health behaviours</w:t>
      </w:r>
      <w:r w:rsidRPr="00343EB2">
        <w:rPr>
          <w:bCs/>
        </w:rPr>
        <w:t>, non-smoking</w:t>
      </w:r>
      <w:r w:rsidR="00B414AB" w:rsidRPr="00343EB2">
        <w:rPr>
          <w:bCs/>
        </w:rPr>
        <w:t>,</w:t>
      </w:r>
      <w:r w:rsidRPr="00343EB2">
        <w:rPr>
          <w:bCs/>
        </w:rPr>
        <w:t xml:space="preserve"> and overweight/obese, and normal HbA1c result for clients with type 2 diabetes (</w:t>
      </w:r>
      <w:r w:rsidR="00946976" w:rsidRPr="00343EB2">
        <w:rPr>
          <w:bCs/>
        </w:rPr>
        <w:t xml:space="preserve">linear regression coefficient: </w:t>
      </w:r>
      <w:r w:rsidRPr="00343EB2">
        <w:rPr>
          <w:bCs/>
        </w:rPr>
        <w:t>0.05, 95% CI: 0.01, 0.10)</w:t>
      </w:r>
    </w:p>
    <w:p w14:paraId="1C57F2E4" w14:textId="37EF7F42" w:rsidR="002A67DB" w:rsidRPr="00343EB2" w:rsidRDefault="0034417C" w:rsidP="00343EB2">
      <w:pPr>
        <w:numPr>
          <w:ilvl w:val="0"/>
          <w:numId w:val="19"/>
        </w:numPr>
        <w:spacing w:after="120"/>
        <w:rPr>
          <w:bCs/>
        </w:rPr>
      </w:pPr>
      <w:r w:rsidRPr="00343EB2">
        <w:rPr>
          <w:bCs/>
        </w:rPr>
        <w:t xml:space="preserve">higher scores for the third principal component </w:t>
      </w:r>
      <w:r w:rsidR="00003C49" w:rsidRPr="00343EB2">
        <w:rPr>
          <w:bCs/>
        </w:rPr>
        <w:t xml:space="preserve">(including </w:t>
      </w:r>
      <w:r w:rsidR="002A67DB" w:rsidRPr="00343EB2">
        <w:rPr>
          <w:bCs/>
        </w:rPr>
        <w:t>better diabetes and CVD outcomes, but less recording of CVD risk factors (</w:t>
      </w:r>
      <w:r w:rsidR="00946976" w:rsidRPr="00343EB2">
        <w:rPr>
          <w:bCs/>
        </w:rPr>
        <w:t xml:space="preserve">linear regression coefficient: </w:t>
      </w:r>
      <w:r w:rsidR="002A67DB" w:rsidRPr="00343EB2">
        <w:rPr>
          <w:bCs/>
        </w:rPr>
        <w:t>0.04, 95% CI: 0.00, 0.07).</w:t>
      </w:r>
    </w:p>
    <w:p w14:paraId="750DD543" w14:textId="77777777" w:rsidR="002A67DB" w:rsidRPr="00884FAA" w:rsidRDefault="002A67DB" w:rsidP="002A67DB">
      <w:r w:rsidRPr="00884FAA">
        <w:t>These associations may indicate that sites which are able to offer clients timely 715 health assessments also have the systems and staff in place to provide a range of other services.</w:t>
      </w:r>
    </w:p>
    <w:p w14:paraId="2EBB73A3" w14:textId="6863DE15" w:rsidR="002A67DB" w:rsidRPr="00884FAA" w:rsidRDefault="002A67DB" w:rsidP="002A67DB">
      <w:r w:rsidRPr="00884FAA">
        <w:t xml:space="preserve">When looking at associations between health assessments conducted in the previous year (rather than the same year), there was evidence that </w:t>
      </w:r>
      <w:r w:rsidR="00ED0216">
        <w:t>sites with</w:t>
      </w:r>
      <w:r w:rsidRPr="00884FAA">
        <w:t xml:space="preserve"> higher levels of 715 health assessments the previous year had:</w:t>
      </w:r>
    </w:p>
    <w:p w14:paraId="684FF746" w14:textId="352C3AD7" w:rsidR="002A67DB" w:rsidRPr="00343EB2" w:rsidRDefault="002A67DB" w:rsidP="00343EB2">
      <w:pPr>
        <w:numPr>
          <w:ilvl w:val="0"/>
          <w:numId w:val="19"/>
        </w:numPr>
        <w:spacing w:after="120"/>
        <w:rPr>
          <w:bCs/>
        </w:rPr>
      </w:pPr>
      <w:r w:rsidRPr="00343EB2">
        <w:rPr>
          <w:bCs/>
        </w:rPr>
        <w:t xml:space="preserve">lower </w:t>
      </w:r>
      <w:r w:rsidR="00ED0216" w:rsidRPr="00343EB2">
        <w:rPr>
          <w:bCs/>
        </w:rPr>
        <w:t>scores</w:t>
      </w:r>
      <w:r w:rsidRPr="00343EB2">
        <w:rPr>
          <w:bCs/>
        </w:rPr>
        <w:t xml:space="preserve"> </w:t>
      </w:r>
      <w:r w:rsidR="00D03B1E" w:rsidRPr="00343EB2">
        <w:rPr>
          <w:bCs/>
        </w:rPr>
        <w:t xml:space="preserve">for the </w:t>
      </w:r>
      <w:r w:rsidRPr="00343EB2">
        <w:rPr>
          <w:bCs/>
        </w:rPr>
        <w:t xml:space="preserve">health care activity </w:t>
      </w:r>
      <w:r w:rsidR="00D03B1E" w:rsidRPr="00343EB2">
        <w:rPr>
          <w:bCs/>
        </w:rPr>
        <w:t xml:space="preserve">principal component </w:t>
      </w:r>
      <w:r w:rsidRPr="00343EB2">
        <w:rPr>
          <w:bCs/>
        </w:rPr>
        <w:t>the following year (</w:t>
      </w:r>
      <w:r w:rsidR="00922316" w:rsidRPr="00343EB2">
        <w:rPr>
          <w:bCs/>
        </w:rPr>
        <w:t>linear regre</w:t>
      </w:r>
      <w:r w:rsidR="001C603F" w:rsidRPr="00343EB2">
        <w:rPr>
          <w:bCs/>
        </w:rPr>
        <w:t xml:space="preserve">ssion coefficient: </w:t>
      </w:r>
      <w:r w:rsidRPr="00343EB2">
        <w:rPr>
          <w:bCs/>
        </w:rPr>
        <w:t>-0.09, 95% CI: -0.14, -0.03)</w:t>
      </w:r>
    </w:p>
    <w:p w14:paraId="5ECE2812" w14:textId="2A9D6C80" w:rsidR="002A67DB" w:rsidRPr="00343EB2" w:rsidRDefault="002A67DB" w:rsidP="00343EB2">
      <w:pPr>
        <w:numPr>
          <w:ilvl w:val="0"/>
          <w:numId w:val="19"/>
        </w:numPr>
        <w:spacing w:after="120"/>
        <w:rPr>
          <w:bCs/>
        </w:rPr>
      </w:pPr>
      <w:r w:rsidRPr="00343EB2">
        <w:rPr>
          <w:bCs/>
        </w:rPr>
        <w:t xml:space="preserve">higher </w:t>
      </w:r>
      <w:r w:rsidR="00D03B1E" w:rsidRPr="00343EB2">
        <w:rPr>
          <w:bCs/>
        </w:rPr>
        <w:t>scores for the</w:t>
      </w:r>
      <w:r w:rsidRPr="00343EB2">
        <w:rPr>
          <w:bCs/>
        </w:rPr>
        <w:t xml:space="preserve"> health behaviours, non-smoking</w:t>
      </w:r>
      <w:r w:rsidR="00B414AB" w:rsidRPr="00343EB2">
        <w:rPr>
          <w:bCs/>
        </w:rPr>
        <w:t>,</w:t>
      </w:r>
      <w:r w:rsidRPr="00343EB2">
        <w:rPr>
          <w:bCs/>
        </w:rPr>
        <w:t xml:space="preserve"> and overweight/obese </w:t>
      </w:r>
      <w:r w:rsidR="00D03B1E" w:rsidRPr="00343EB2">
        <w:rPr>
          <w:bCs/>
        </w:rPr>
        <w:t xml:space="preserve">principal component </w:t>
      </w:r>
      <w:r w:rsidRPr="00343EB2">
        <w:rPr>
          <w:bCs/>
        </w:rPr>
        <w:t>the following year (</w:t>
      </w:r>
      <w:r w:rsidR="001C603F" w:rsidRPr="00343EB2">
        <w:rPr>
          <w:bCs/>
        </w:rPr>
        <w:t xml:space="preserve">linear regression coefficient: </w:t>
      </w:r>
      <w:r w:rsidRPr="00343EB2">
        <w:rPr>
          <w:bCs/>
        </w:rPr>
        <w:t>0.09, 95% CI: 0.02, 0.15)</w:t>
      </w:r>
    </w:p>
    <w:p w14:paraId="25E42D1B" w14:textId="1FD12202" w:rsidR="002A67DB" w:rsidRPr="00343EB2" w:rsidRDefault="00BA4EE5" w:rsidP="00343EB2">
      <w:pPr>
        <w:numPr>
          <w:ilvl w:val="0"/>
          <w:numId w:val="19"/>
        </w:numPr>
        <w:spacing w:after="120"/>
        <w:rPr>
          <w:bCs/>
        </w:rPr>
      </w:pPr>
      <w:r w:rsidRPr="00343EB2">
        <w:rPr>
          <w:bCs/>
        </w:rPr>
        <w:t>higher scores for the fourth principal component (</w:t>
      </w:r>
      <w:r w:rsidR="002A67DB" w:rsidRPr="00343EB2">
        <w:rPr>
          <w:bCs/>
        </w:rPr>
        <w:t>better kidney function results</w:t>
      </w:r>
      <w:r w:rsidRPr="00343EB2">
        <w:rPr>
          <w:bCs/>
        </w:rPr>
        <w:t>)</w:t>
      </w:r>
      <w:r w:rsidR="002A67DB" w:rsidRPr="00343EB2">
        <w:rPr>
          <w:bCs/>
        </w:rPr>
        <w:t xml:space="preserve"> the following year (</w:t>
      </w:r>
      <w:r w:rsidR="00753286" w:rsidRPr="00343EB2">
        <w:rPr>
          <w:bCs/>
        </w:rPr>
        <w:t xml:space="preserve">linear regression coefficient: </w:t>
      </w:r>
      <w:r w:rsidR="002A67DB" w:rsidRPr="00343EB2">
        <w:rPr>
          <w:bCs/>
        </w:rPr>
        <w:t xml:space="preserve">0.06, 95% CI: 0.02, 0.11). </w:t>
      </w:r>
    </w:p>
    <w:p w14:paraId="3DA3343C" w14:textId="77777777" w:rsidR="002A67DB" w:rsidRPr="00884FAA" w:rsidRDefault="002A67DB" w:rsidP="0035030F">
      <w:pPr>
        <w:pStyle w:val="Heading2"/>
      </w:pPr>
      <w:bookmarkStart w:id="286" w:name="_Toc137208937"/>
      <w:r w:rsidRPr="00884FAA">
        <w:t>Relative contributions of social determinants and primary care activity on health outcomes</w:t>
      </w:r>
      <w:bookmarkEnd w:id="286"/>
    </w:p>
    <w:p w14:paraId="4F15B7F2" w14:textId="400D9AC3" w:rsidR="00830498" w:rsidRPr="00884FAA" w:rsidRDefault="00830498" w:rsidP="00830498">
      <w:r w:rsidRPr="00884FAA">
        <w:t xml:space="preserve">Multiple linear regression was used to model health outcomes as a function of demographics, socio-economic factors, health service availability and primary health care activity for Statistical Area 3 geographic areas (i.e. ecological study). The full method and technical detail is </w:t>
      </w:r>
      <w:r w:rsidRPr="00E954E2">
        <w:t xml:space="preserve">described in </w:t>
      </w:r>
      <w:r w:rsidR="004F4E55" w:rsidRPr="00E954E2">
        <w:t>Final Report Supporting Material Appendix C</w:t>
      </w:r>
      <w:r w:rsidRPr="00884FAA">
        <w:t>. A summary discussion of these analyses and results follows.</w:t>
      </w:r>
    </w:p>
    <w:p w14:paraId="5DD5E089" w14:textId="2978D5AF" w:rsidR="004F4E55" w:rsidRDefault="002A67DB" w:rsidP="00E04AF5">
      <w:r w:rsidRPr="00884FAA">
        <w:t>Health outcomes examined included hospitalisations for primary care-related conditions, PPHs, emergency department presentations for primary care-related conditions, mortality for primary care-related conditions and birthweight for areas</w:t>
      </w:r>
      <w:r w:rsidR="008F65A1" w:rsidRPr="00884FAA">
        <w:t xml:space="preserve"> (St</w:t>
      </w:r>
      <w:r w:rsidR="00B344A3" w:rsidRPr="00884FAA">
        <w:t>at</w:t>
      </w:r>
      <w:r w:rsidR="008F65A1" w:rsidRPr="00884FAA">
        <w:t>istical Area 3).</w:t>
      </w:r>
      <w:r w:rsidRPr="00884FAA">
        <w:t xml:space="preserve"> These conditions were identified from reports of the Aboriginal and Torres Strait Islander Health Performance Framework </w:t>
      </w:r>
      <w:r w:rsidRPr="00884FAA">
        <w:fldChar w:fldCharType="begin"/>
      </w:r>
      <w:r w:rsidR="00F8760E">
        <w:instrText xml:space="preserve"> ADDIN ZOTERO_ITEM CSL_CITATION {"citationID":"oOXPCPje","properties":{"formattedCitation":"(Australian Institute of Health and Welfare, 2020a)","plainCitation":"(Australian Institute of Health and Welfare, 2020a)","noteIndex":0},"citationItems":[{"id":3730,"uris":["http://zotero.org/groups/5010721/items/RM6M3J7J",["http://zotero.org/groups/5010721/items/RM6M3J7J"],["http://zotero.org/groups/5010721/items/RM6M3J7J",["http://zotero.org/groups/5010721/items/RM6M3J7J"]]],"itemData":{"id":3730,"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2","publisher":"Commonwealth of Australia","publisher-place":"Canberra","title":"Aboriginal and Torres Strait Islander Health Performance Framework 2020 summary report","URL":"https://www.indigenoushpf.gov.au/publications/hpf-summary-2020","author":[{"literal":"Australian Institute of Health and Welfare"}],"accessed":{"date-parts":[["2021",9,28]]},"issued":{"date-parts":[["2020"]]}}}],"schema":"https://github.com/citation-style-language/schema/raw/master/csl-citation.json"} </w:instrText>
      </w:r>
      <w:r w:rsidRPr="00884FAA">
        <w:fldChar w:fldCharType="separate"/>
      </w:r>
      <w:r w:rsidR="001034B4" w:rsidRPr="001034B4">
        <w:rPr>
          <w:rFonts w:ascii="Arial" w:hAnsi="Arial" w:cs="Arial"/>
        </w:rPr>
        <w:t>(Australian Institute of Health and Welfare, 2020a)</w:t>
      </w:r>
      <w:r w:rsidRPr="00884FAA">
        <w:fldChar w:fldCharType="end"/>
      </w:r>
      <w:r w:rsidRPr="00884FAA">
        <w:t xml:space="preserve"> and the National Guide to a </w:t>
      </w:r>
      <w:r w:rsidRPr="00884FAA">
        <w:lastRenderedPageBreak/>
        <w:t xml:space="preserve">Preventative Health Assessment for Aboriginal and Torres Strait Islander People </w:t>
      </w:r>
      <w:r w:rsidR="005951DE" w:rsidRPr="00884FAA">
        <w:fldChar w:fldCharType="begin"/>
      </w:r>
      <w:r w:rsidR="00F8760E">
        <w:instrText xml:space="preserve"> ADDIN ZOTERO_ITEM CSL_CITATION {"citationID":"yMso0HyW","properties":{"formattedCitation":"(Royal Australian College of General Practitioners, 2018)","plainCitation":"(Royal Australian College of General Practitioners, 2018)","noteIndex":0},"citationItems":[{"id":3755,"uris":["http://zotero.org/groups/5010721/items/ZXLZSF4I",["http://zotero.org/groups/5010721/items/ZXLZSF4I"],["http://zotero.org/groups/5010721/items/ZXLZSF4I",["http://zotero.org/groups/5010721/items/ZXLZSF4I"]]],"itemData":{"id":3755,"type":"report","genre":"Third edition","language":"en","note":"OCLC: 1030876534","source":"Open WorldCat","title":"National guide to a preventive health assessment for Aboriginal and Torres Strait Islander people.","URL":"https://www.racgp.org.au/FSDEDEV/media/documents/Clinical%20Resources/Resources/National-guide-3rd-ed-Sept-2018-web.pdf","author":[{"literal":"Royal Australian College of General Practitioners"}],"issued":{"date-parts":[["2018"]]}}}],"schema":"https://github.com/citation-style-language/schema/raw/master/csl-citation.json"} </w:instrText>
      </w:r>
      <w:r w:rsidR="005951DE" w:rsidRPr="00884FAA">
        <w:fldChar w:fldCharType="separate"/>
      </w:r>
      <w:r w:rsidR="002D72B4" w:rsidRPr="002D72B4">
        <w:rPr>
          <w:rFonts w:ascii="Arial" w:hAnsi="Arial" w:cs="Arial"/>
        </w:rPr>
        <w:t>(Royal Australian College of General Practitioners, 2018)</w:t>
      </w:r>
      <w:r w:rsidR="005951DE" w:rsidRPr="00884FAA">
        <w:fldChar w:fldCharType="end"/>
      </w:r>
      <w:r w:rsidRPr="00884FAA">
        <w:t>.</w:t>
      </w:r>
    </w:p>
    <w:p w14:paraId="33B198A9" w14:textId="1CCC1F34" w:rsidR="002A67DB" w:rsidRPr="00884FAA" w:rsidRDefault="002A67DB" w:rsidP="002A67DB">
      <w:r w:rsidRPr="00884FAA">
        <w:t>The explanatory variables covered:</w:t>
      </w:r>
    </w:p>
    <w:p w14:paraId="3F3A4DEE" w14:textId="77777777" w:rsidR="002A67DB" w:rsidRPr="00343EB2" w:rsidRDefault="002A67DB" w:rsidP="00343EB2">
      <w:pPr>
        <w:numPr>
          <w:ilvl w:val="0"/>
          <w:numId w:val="19"/>
        </w:numPr>
        <w:spacing w:after="120"/>
        <w:rPr>
          <w:bCs/>
        </w:rPr>
      </w:pPr>
      <w:r w:rsidRPr="00343EB2">
        <w:rPr>
          <w:bCs/>
        </w:rPr>
        <w:t>primary health care activity (MBS services for non-referred GP attendances, Practice Incentive Program activity, childhood immunisation)</w:t>
      </w:r>
    </w:p>
    <w:p w14:paraId="3ACC88B1" w14:textId="77777777" w:rsidR="002A67DB" w:rsidRPr="00343EB2" w:rsidRDefault="002A67DB" w:rsidP="00343EB2">
      <w:pPr>
        <w:numPr>
          <w:ilvl w:val="0"/>
          <w:numId w:val="19"/>
        </w:numPr>
        <w:spacing w:after="120"/>
        <w:rPr>
          <w:bCs/>
        </w:rPr>
      </w:pPr>
      <w:r w:rsidRPr="00343EB2">
        <w:rPr>
          <w:bCs/>
        </w:rPr>
        <w:t>demographics (age, sex, remoteness, state and territory)</w:t>
      </w:r>
    </w:p>
    <w:p w14:paraId="53A4B0FC" w14:textId="68FCFBCA" w:rsidR="002A67DB" w:rsidRPr="00343EB2" w:rsidRDefault="008F65A1" w:rsidP="00343EB2">
      <w:pPr>
        <w:numPr>
          <w:ilvl w:val="0"/>
          <w:numId w:val="19"/>
        </w:numPr>
        <w:spacing w:after="120"/>
        <w:rPr>
          <w:bCs/>
        </w:rPr>
      </w:pPr>
      <w:r w:rsidRPr="00343EB2">
        <w:rPr>
          <w:bCs/>
        </w:rPr>
        <w:t>socio-economic measures (see</w:t>
      </w:r>
      <w:r w:rsidR="009073E1" w:rsidRPr="00343EB2">
        <w:rPr>
          <w:bCs/>
        </w:rPr>
        <w:t xml:space="preserve"> </w:t>
      </w:r>
      <w:r w:rsidR="009073E1" w:rsidRPr="00343EB2">
        <w:rPr>
          <w:bCs/>
        </w:rPr>
        <w:fldChar w:fldCharType="begin"/>
      </w:r>
      <w:r w:rsidR="009073E1" w:rsidRPr="00343EB2">
        <w:rPr>
          <w:bCs/>
        </w:rPr>
        <w:instrText xml:space="preserve"> REF _Ref130755795 \h </w:instrText>
      </w:r>
      <w:r w:rsidR="00343EB2">
        <w:rPr>
          <w:bCs/>
        </w:rPr>
        <w:instrText xml:space="preserve"> \* MERGEFORMAT </w:instrText>
      </w:r>
      <w:r w:rsidR="009073E1" w:rsidRPr="00343EB2">
        <w:rPr>
          <w:bCs/>
        </w:rPr>
      </w:r>
      <w:r w:rsidR="009073E1" w:rsidRPr="00343EB2">
        <w:rPr>
          <w:bCs/>
        </w:rPr>
        <w:fldChar w:fldCharType="separate"/>
      </w:r>
      <w:r w:rsidR="00165B17" w:rsidRPr="00165B17">
        <w:rPr>
          <w:bCs/>
        </w:rPr>
        <w:t>Table 8</w:t>
      </w:r>
      <w:r w:rsidR="00165B17" w:rsidRPr="00165B17">
        <w:rPr>
          <w:bCs/>
        </w:rPr>
        <w:noBreakHyphen/>
        <w:t>5</w:t>
      </w:r>
      <w:r w:rsidR="009073E1" w:rsidRPr="00343EB2">
        <w:rPr>
          <w:bCs/>
        </w:rPr>
        <w:fldChar w:fldCharType="end"/>
      </w:r>
      <w:r w:rsidR="00035DBE" w:rsidRPr="00343EB2">
        <w:rPr>
          <w:bCs/>
        </w:rPr>
        <w:t>).</w:t>
      </w:r>
    </w:p>
    <w:p w14:paraId="7026A6B6" w14:textId="77777777" w:rsidR="002A67DB" w:rsidRPr="00343EB2" w:rsidRDefault="002A67DB" w:rsidP="0038772E">
      <w:pPr>
        <w:numPr>
          <w:ilvl w:val="0"/>
          <w:numId w:val="19"/>
        </w:numPr>
        <w:ind w:left="714" w:hanging="357"/>
        <w:rPr>
          <w:bCs/>
        </w:rPr>
      </w:pPr>
      <w:r w:rsidRPr="00343EB2">
        <w:rPr>
          <w:bCs/>
        </w:rPr>
        <w:t xml:space="preserve">health service availability for the area. </w:t>
      </w:r>
    </w:p>
    <w:p w14:paraId="15D674ED" w14:textId="446895B2" w:rsidR="002A67DB" w:rsidRPr="00884FAA" w:rsidRDefault="008C1A46" w:rsidP="008C1A46">
      <w:pPr>
        <w:pStyle w:val="TableFigure-Header"/>
        <w:rPr>
          <w:b w:val="0"/>
          <w:lang w:val="en-AU"/>
        </w:rPr>
      </w:pPr>
      <w:bookmarkStart w:id="287" w:name="_Ref130755795"/>
      <w:bookmarkStart w:id="288" w:name="_Ref128921895"/>
      <w:bookmarkStart w:id="289" w:name="_Toc130217378"/>
      <w:bookmarkStart w:id="290" w:name="_Toc138851289"/>
      <w:r w:rsidRPr="00884FAA">
        <w:rPr>
          <w:lang w:val="en-AU"/>
        </w:rPr>
        <w:t>Table</w:t>
      </w:r>
      <w:r w:rsidR="002A67DB" w:rsidRPr="00884FAA">
        <w:rPr>
          <w:lang w:val="en-AU"/>
        </w:rPr>
        <w:t xml:space="preserve"> </w:t>
      </w:r>
      <w:r w:rsidR="00B92D87">
        <w:rPr>
          <w:lang w:val="en-AU"/>
        </w:rPr>
        <w:fldChar w:fldCharType="begin"/>
      </w:r>
      <w:r w:rsidR="00B92D87">
        <w:rPr>
          <w:lang w:val="en-AU"/>
        </w:rPr>
        <w:instrText xml:space="preserve"> STYLEREF 1 \s </w:instrText>
      </w:r>
      <w:r w:rsidR="00B92D87">
        <w:rPr>
          <w:lang w:val="en-AU"/>
        </w:rPr>
        <w:fldChar w:fldCharType="separate"/>
      </w:r>
      <w:r w:rsidR="00165B17">
        <w:rPr>
          <w:noProof/>
          <w:lang w:val="en-AU"/>
        </w:rPr>
        <w:t>8</w:t>
      </w:r>
      <w:r w:rsidR="00B92D87">
        <w:rPr>
          <w:lang w:val="en-AU"/>
        </w:rPr>
        <w:fldChar w:fldCharType="end"/>
      </w:r>
      <w:r w:rsidR="00B92D87">
        <w:rPr>
          <w:lang w:val="en-AU"/>
        </w:rPr>
        <w:noBreakHyphen/>
      </w:r>
      <w:r w:rsidR="00B92D87">
        <w:rPr>
          <w:lang w:val="en-AU"/>
        </w:rPr>
        <w:fldChar w:fldCharType="begin"/>
      </w:r>
      <w:r w:rsidR="00B92D87">
        <w:rPr>
          <w:lang w:val="en-AU"/>
        </w:rPr>
        <w:instrText xml:space="preserve"> SEQ Table \* ARABIC \s 1 </w:instrText>
      </w:r>
      <w:r w:rsidR="00B92D87">
        <w:rPr>
          <w:lang w:val="en-AU"/>
        </w:rPr>
        <w:fldChar w:fldCharType="separate"/>
      </w:r>
      <w:r w:rsidR="00165B17">
        <w:rPr>
          <w:noProof/>
          <w:lang w:val="en-AU"/>
        </w:rPr>
        <w:t>5</w:t>
      </w:r>
      <w:r w:rsidR="00B92D87">
        <w:rPr>
          <w:lang w:val="en-AU"/>
        </w:rPr>
        <w:fldChar w:fldCharType="end"/>
      </w:r>
      <w:bookmarkEnd w:id="287"/>
      <w:r w:rsidRPr="00884FAA">
        <w:rPr>
          <w:lang w:val="en-AU"/>
        </w:rPr>
        <w:t>.</w:t>
      </w:r>
      <w:r w:rsidR="002A67DB" w:rsidRPr="00884FAA">
        <w:rPr>
          <w:lang w:val="en-AU"/>
        </w:rPr>
        <w:t xml:space="preserve"> Socio-economic Indexes for Areas (SEIFA)</w:t>
      </w:r>
      <w:bookmarkEnd w:id="288"/>
      <w:bookmarkEnd w:id="289"/>
      <w:bookmarkEnd w:id="290"/>
    </w:p>
    <w:tbl>
      <w:tblPr>
        <w:tblStyle w:val="TableGrid10"/>
        <w:tblW w:w="9000" w:type="dxa"/>
        <w:tblInd w:w="-5" w:type="dxa"/>
        <w:tblLayout w:type="fixed"/>
        <w:tblLook w:val="0620" w:firstRow="1" w:lastRow="0" w:firstColumn="0" w:lastColumn="0" w:noHBand="1" w:noVBand="1"/>
      </w:tblPr>
      <w:tblGrid>
        <w:gridCol w:w="2970"/>
        <w:gridCol w:w="6030"/>
      </w:tblGrid>
      <w:tr w:rsidR="009E4BC7" w:rsidRPr="00884FAA" w14:paraId="18ECEC3F" w14:textId="77777777" w:rsidTr="007F6E8B">
        <w:tc>
          <w:tcPr>
            <w:tcW w:w="2970" w:type="dxa"/>
            <w:shd w:val="clear" w:color="auto" w:fill="357DBE" w:themeFill="accent1"/>
          </w:tcPr>
          <w:p w14:paraId="5F5075A6" w14:textId="77777777" w:rsidR="002A67DB" w:rsidRPr="0058387D" w:rsidRDefault="002A67DB" w:rsidP="00EC1AD4">
            <w:pPr>
              <w:spacing w:before="60" w:after="80"/>
              <w:jc w:val="left"/>
              <w:rPr>
                <w:rFonts w:asciiTheme="minorHAnsi" w:eastAsiaTheme="minorHAnsi" w:hAnsiTheme="minorHAnsi" w:cstheme="minorHAnsi"/>
                <w:b/>
                <w:color w:val="000000" w:themeColor="text1"/>
                <w:sz w:val="21"/>
                <w:szCs w:val="20"/>
              </w:rPr>
            </w:pPr>
            <w:r w:rsidRPr="0058387D">
              <w:rPr>
                <w:rFonts w:asciiTheme="minorHAnsi" w:eastAsiaTheme="minorHAnsi" w:hAnsiTheme="minorHAnsi" w:cstheme="minorHAnsi"/>
                <w:b/>
                <w:color w:val="000000" w:themeColor="text1"/>
                <w:sz w:val="21"/>
                <w:szCs w:val="20"/>
              </w:rPr>
              <w:t>Index</w:t>
            </w:r>
          </w:p>
        </w:tc>
        <w:tc>
          <w:tcPr>
            <w:tcW w:w="6030" w:type="dxa"/>
            <w:shd w:val="clear" w:color="auto" w:fill="357DBE" w:themeFill="accent1"/>
          </w:tcPr>
          <w:p w14:paraId="2CBE3B12" w14:textId="77777777" w:rsidR="002A67DB" w:rsidRPr="0058387D" w:rsidRDefault="002A67DB" w:rsidP="00EC1AD4">
            <w:pPr>
              <w:spacing w:before="60" w:after="80"/>
              <w:jc w:val="left"/>
              <w:rPr>
                <w:rFonts w:asciiTheme="minorHAnsi" w:eastAsiaTheme="minorHAnsi" w:hAnsiTheme="minorHAnsi" w:cstheme="minorHAnsi"/>
                <w:b/>
                <w:color w:val="000000" w:themeColor="text1"/>
                <w:sz w:val="21"/>
                <w:szCs w:val="20"/>
              </w:rPr>
            </w:pPr>
            <w:r w:rsidRPr="0058387D">
              <w:rPr>
                <w:rFonts w:asciiTheme="minorHAnsi" w:eastAsiaTheme="minorHAnsi" w:hAnsiTheme="minorHAnsi" w:cstheme="minorHAnsi"/>
                <w:b/>
                <w:color w:val="000000" w:themeColor="text1"/>
                <w:sz w:val="21"/>
                <w:szCs w:val="20"/>
              </w:rPr>
              <w:t>Description</w:t>
            </w:r>
          </w:p>
        </w:tc>
      </w:tr>
      <w:tr w:rsidR="002A67DB" w:rsidRPr="00884FAA" w14:paraId="19EDA38A" w14:textId="77777777" w:rsidTr="007F6E8B">
        <w:tc>
          <w:tcPr>
            <w:tcW w:w="2970" w:type="dxa"/>
          </w:tcPr>
          <w:p w14:paraId="542FE408"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Index of Education and Occupation (IEO)</w:t>
            </w:r>
          </w:p>
        </w:tc>
        <w:tc>
          <w:tcPr>
            <w:tcW w:w="6030" w:type="dxa"/>
          </w:tcPr>
          <w:p w14:paraId="4C4BFB1F"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 xml:space="preserve">Reflects the educational and occupational level of communities. Low scores indicate relatively lower education and occupation status of people in the area. </w:t>
            </w:r>
          </w:p>
        </w:tc>
      </w:tr>
      <w:tr w:rsidR="002A67DB" w:rsidRPr="00884FAA" w14:paraId="6E3BC584" w14:textId="77777777" w:rsidTr="007F6E8B">
        <w:tc>
          <w:tcPr>
            <w:tcW w:w="2970" w:type="dxa"/>
          </w:tcPr>
          <w:p w14:paraId="4CA79F5A"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Index of Economic Resources (IER)</w:t>
            </w:r>
          </w:p>
        </w:tc>
        <w:tc>
          <w:tcPr>
            <w:tcW w:w="6030" w:type="dxa"/>
          </w:tcPr>
          <w:p w14:paraId="55991EB4"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Summarises variables relate to income and wealth, excluding education and occupation, to index the financial aspects of relative socioeconomic advantage and disadvantage.</w:t>
            </w:r>
          </w:p>
        </w:tc>
      </w:tr>
      <w:tr w:rsidR="002A67DB" w:rsidRPr="00884FAA" w14:paraId="329812C0" w14:textId="77777777" w:rsidTr="007F6E8B">
        <w:tc>
          <w:tcPr>
            <w:tcW w:w="2970" w:type="dxa"/>
          </w:tcPr>
          <w:p w14:paraId="061548E6"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Index of Relative Socio-economic Advantage and Disadvantage (IRSAD)</w:t>
            </w:r>
          </w:p>
        </w:tc>
        <w:tc>
          <w:tcPr>
            <w:tcW w:w="6030" w:type="dxa"/>
          </w:tcPr>
          <w:p w14:paraId="799A616A"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Relates to the economic and social conditions of people and households. Low scores reflect relative disadvantage and high scores reflect relative advantage.</w:t>
            </w:r>
          </w:p>
        </w:tc>
      </w:tr>
      <w:tr w:rsidR="002A67DB" w:rsidRPr="00884FAA" w14:paraId="78E8AADB" w14:textId="77777777" w:rsidTr="007F6E8B">
        <w:tc>
          <w:tcPr>
            <w:tcW w:w="2970" w:type="dxa"/>
          </w:tcPr>
          <w:p w14:paraId="0F141151"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Index of Relative Socio-economic Disadvantage (IRSD)</w:t>
            </w:r>
          </w:p>
        </w:tc>
        <w:tc>
          <w:tcPr>
            <w:tcW w:w="6030" w:type="dxa"/>
          </w:tcPr>
          <w:p w14:paraId="0FE9016F" w14:textId="77777777" w:rsidR="002A67DB" w:rsidRPr="00884FAA" w:rsidRDefault="002A67DB" w:rsidP="00D94423">
            <w:pPr>
              <w:spacing w:before="60" w:after="80"/>
              <w:jc w:val="left"/>
              <w:rPr>
                <w:rFonts w:asciiTheme="minorHAnsi" w:eastAsiaTheme="minorHAnsi" w:hAnsiTheme="minorHAnsi" w:cstheme="minorHAnsi"/>
                <w:sz w:val="21"/>
                <w:szCs w:val="20"/>
              </w:rPr>
            </w:pPr>
            <w:r w:rsidRPr="00884FAA">
              <w:rPr>
                <w:rFonts w:asciiTheme="minorHAnsi" w:eastAsiaTheme="minorHAnsi" w:hAnsiTheme="minorHAnsi" w:cstheme="minorHAnsi"/>
                <w:sz w:val="21"/>
                <w:szCs w:val="20"/>
              </w:rPr>
              <w:t>Summarises information related to the economic and social conditions of people and households and measures only relative disadvantage. Scores on this index range from most- to least-disadvantaged, unlike other indexes which range from relative disadvantage to advantage.</w:t>
            </w:r>
          </w:p>
        </w:tc>
      </w:tr>
    </w:tbl>
    <w:p w14:paraId="10EF81DB" w14:textId="77777777" w:rsidR="002A67DB" w:rsidRPr="00884FAA" w:rsidRDefault="002A67DB" w:rsidP="002A67DB"/>
    <w:p w14:paraId="4F55706C" w14:textId="14C08562" w:rsidR="002A67DB" w:rsidRPr="00884FAA" w:rsidRDefault="002A67DB" w:rsidP="002A67DB">
      <w:r w:rsidRPr="00884FAA">
        <w:t xml:space="preserve">Two time points were analysed separately, reflecting Census years 2011 and 2016 as closely as possible (within the constraints of the available data), in a cross-sectional approach. That is, the differences in outcomes </w:t>
      </w:r>
      <w:r w:rsidRPr="00884FAA">
        <w:rPr>
          <w:i/>
          <w:iCs/>
        </w:rPr>
        <w:t>between</w:t>
      </w:r>
      <w:r w:rsidRPr="00884FAA">
        <w:t xml:space="preserve"> geographical areas were modelled as a function of the comparable </w:t>
      </w:r>
      <w:r w:rsidRPr="00884FAA">
        <w:rPr>
          <w:i/>
          <w:iCs/>
        </w:rPr>
        <w:t>differences</w:t>
      </w:r>
      <w:r w:rsidRPr="00884FAA">
        <w:t xml:space="preserve"> in their attributes. For example, areas of greater remoteness </w:t>
      </w:r>
      <w:r w:rsidR="00205878">
        <w:t>were on average</w:t>
      </w:r>
      <w:r w:rsidRPr="00884FAA">
        <w:t xml:space="preserve"> </w:t>
      </w:r>
      <w:r w:rsidR="007E09D7">
        <w:t>also</w:t>
      </w:r>
      <w:r w:rsidRPr="00884FAA">
        <w:t xml:space="preserve"> areas with higher rates of potentially preventable hospitalisations compared to less-remote areas.</w:t>
      </w:r>
    </w:p>
    <w:p w14:paraId="1BC6AC1D" w14:textId="77777777" w:rsidR="002A67DB" w:rsidRPr="00884FAA" w:rsidRDefault="002A67DB" w:rsidP="002A67DB">
      <w:r w:rsidRPr="00884FAA">
        <w:t xml:space="preserve">Additionally, a difference-in-differences analysis modelled each area’s </w:t>
      </w:r>
      <w:r w:rsidRPr="00884FAA">
        <w:rPr>
          <w:i/>
          <w:iCs/>
        </w:rPr>
        <w:t>change</w:t>
      </w:r>
      <w:r w:rsidRPr="00884FAA">
        <w:t xml:space="preserve"> in outcomes between the two time points as a function of each area’s respective </w:t>
      </w:r>
      <w:r w:rsidRPr="00884FAA">
        <w:rPr>
          <w:i/>
          <w:iCs/>
        </w:rPr>
        <w:t>change</w:t>
      </w:r>
      <w:r w:rsidRPr="00884FAA">
        <w:t xml:space="preserve"> in its attributes. For example, areas that increased the rate of GP attendances between time points tended to be areas that observed an increase in the rates of potentially preventable hospitalisations.</w:t>
      </w:r>
    </w:p>
    <w:p w14:paraId="2FC595F3" w14:textId="091D1041" w:rsidR="002A67DB" w:rsidRPr="00884FAA" w:rsidRDefault="002A67DB" w:rsidP="002A67DB">
      <w:r w:rsidRPr="00884FAA">
        <w:t>The effects on health outcomes attributable to each variable were operationalised as the standardised slope coefficient (</w:t>
      </w:r>
      <w:r w:rsidRPr="00884FAA">
        <w:rPr>
          <w:rFonts w:cstheme="minorHAnsi"/>
        </w:rPr>
        <w:t>β</w:t>
      </w:r>
      <w:r w:rsidRPr="00884FAA">
        <w:t xml:space="preserve">). The slope coefficient quantifies the difference in the outcome measure that is associated with an increase of one standard-deviation in the explanatory variable. A positive value of </w:t>
      </w:r>
      <w:r w:rsidRPr="00884FAA">
        <w:rPr>
          <w:rFonts w:cstheme="minorHAnsi"/>
        </w:rPr>
        <w:t xml:space="preserve">β indicates that measures on the outcome and explanatory variables increase and decrease together. A negative value of β indicates that the </w:t>
      </w:r>
      <w:r w:rsidRPr="00884FAA">
        <w:rPr>
          <w:rFonts w:cstheme="minorHAnsi"/>
        </w:rPr>
        <w:lastRenderedPageBreak/>
        <w:t>outcome and explanatory variables have an inverse relationship where one increases as the other decreases and vice versa.</w:t>
      </w:r>
    </w:p>
    <w:p w14:paraId="4A1654B5" w14:textId="3805A888" w:rsidR="002A67DB" w:rsidRPr="00884FAA" w:rsidRDefault="002A67DB" w:rsidP="002A67DB">
      <w:r w:rsidRPr="00884FAA">
        <w:t xml:space="preserve">Variable blocks (primary health care activity, demographics, service availability, socio-economics) were modelled hierarchically, generating distributions for </w:t>
      </w:r>
      <w:r w:rsidRPr="00884FAA">
        <w:rPr>
          <w:rFonts w:cstheme="minorHAnsi"/>
        </w:rPr>
        <w:t xml:space="preserve">β over </w:t>
      </w:r>
      <w:r w:rsidRPr="00884FAA">
        <w:t>an ensemble of regression models.</w:t>
      </w:r>
      <w:r w:rsidR="005460CA" w:rsidRPr="005D1C41">
        <w:rPr>
          <w:rStyle w:val="FootnoteReference"/>
        </w:rPr>
        <w:footnoteReference w:id="76"/>
      </w:r>
      <w:r w:rsidRPr="00884FAA">
        <w:t xml:space="preserve"> These distributions encapsulate all direct, indirect</w:t>
      </w:r>
      <w:r w:rsidR="006154D2" w:rsidRPr="00884FAA">
        <w:t>,</w:t>
      </w:r>
      <w:r w:rsidRPr="00884FAA">
        <w:t xml:space="preserve"> and controlled effects that can be elicited from the available data. This quantifies the plausible extent to which primary health care activities can affect health outcomes given the influence of other factors beyond the influence of primary care services identified in the available data.</w:t>
      </w:r>
    </w:p>
    <w:p w14:paraId="3B368160" w14:textId="77777777" w:rsidR="002A67DB" w:rsidRPr="00884FAA" w:rsidRDefault="002A67DB" w:rsidP="002A67DB">
      <w:r w:rsidRPr="00884FAA">
        <w:t xml:space="preserve">Complete models (with all explanatory variables entered) accounted for between 19% and 57% of the variance in health outcomes. Models for birthweight outcomes performed the poorest (19-31%) and had the smallest sample. Models for potentially preventable hospitalisations performed best (46-57%). </w:t>
      </w:r>
    </w:p>
    <w:p w14:paraId="350E08C8" w14:textId="06ABD794" w:rsidR="002A67DB" w:rsidRPr="00884FAA" w:rsidRDefault="002A67DB" w:rsidP="002A67DB">
      <w:r w:rsidRPr="00884FAA">
        <w:t>The relative importance of each variable with respect to health outcomes was computed using a comparison of the median value of its slope coefficients across all hierarchical models for all outcomes. The median for each explanatory variable was compared to that of every other explanatory variable. A variable’s overall importance was given as the proportion of comparisons in which that variable exhibited the larger effect</w:t>
      </w:r>
      <w:r w:rsidR="00F226EB" w:rsidRPr="00884FAA">
        <w:t>.</w:t>
      </w:r>
    </w:p>
    <w:p w14:paraId="7673B061" w14:textId="77777777" w:rsidR="002A67DB" w:rsidRPr="00884FAA" w:rsidRDefault="002A67DB" w:rsidP="00651D06">
      <w:pPr>
        <w:pStyle w:val="Heading3"/>
      </w:pPr>
      <w:r w:rsidRPr="00884FAA">
        <w:t xml:space="preserve">Being in the NT, remoteness and age were the most important explanatory variables for differences in health outcomes between sites </w:t>
      </w:r>
    </w:p>
    <w:p w14:paraId="4F425D44" w14:textId="3FA81B90" w:rsidR="002A67DB" w:rsidRPr="00884FAA" w:rsidRDefault="00A71BA2" w:rsidP="002A67DB">
      <w:r w:rsidRPr="00884FAA">
        <w:fldChar w:fldCharType="begin"/>
      </w:r>
      <w:r w:rsidRPr="00884FAA">
        <w:instrText xml:space="preserve"> REF _Ref131315360 \h </w:instrText>
      </w:r>
      <w:r w:rsidRPr="00884FAA">
        <w:fldChar w:fldCharType="separate"/>
      </w:r>
      <w:r w:rsidR="00165B17" w:rsidRPr="00884FAA">
        <w:t xml:space="preserve">Figure </w:t>
      </w:r>
      <w:r w:rsidR="00165B17">
        <w:rPr>
          <w:noProof/>
        </w:rPr>
        <w:t>8</w:t>
      </w:r>
      <w:r w:rsidR="00165B17">
        <w:noBreakHyphen/>
      </w:r>
      <w:r w:rsidR="00165B17">
        <w:rPr>
          <w:noProof/>
        </w:rPr>
        <w:t>10</w:t>
      </w:r>
      <w:r w:rsidRPr="00884FAA">
        <w:fldChar w:fldCharType="end"/>
      </w:r>
      <w:r w:rsidR="008F65A1" w:rsidRPr="00884FAA">
        <w:t xml:space="preserve"> summarises the relative importance of each explanatory variable. </w:t>
      </w:r>
      <w:r w:rsidR="002A67DB" w:rsidRPr="00884FAA">
        <w:t>For cross-sectional models, being in the NT, remoteness and age were most associated with health outcomes for areas. Childhood immunisations, economic resources</w:t>
      </w:r>
      <w:r w:rsidR="001474FC" w:rsidRPr="00884FAA">
        <w:t>,</w:t>
      </w:r>
      <w:r w:rsidR="002A67DB" w:rsidRPr="00884FAA">
        <w:t xml:space="preserve"> and socioeconomic outcomes also showed strong associations. GP attendances and socio-economic advantage and disadvantage were the least associated with health outcomes for areas.</w:t>
      </w:r>
    </w:p>
    <w:p w14:paraId="4000E66D" w14:textId="77777777" w:rsidR="002A67DB" w:rsidRPr="00884FAA" w:rsidRDefault="002A67DB" w:rsidP="00651D06">
      <w:pPr>
        <w:pStyle w:val="Heading3"/>
      </w:pPr>
      <w:r w:rsidRPr="00884FAA">
        <w:t>Change in rates of GP attendance was the most important explanatory variable for change in outcomes within sites</w:t>
      </w:r>
    </w:p>
    <w:p w14:paraId="7D94AC93" w14:textId="1488F360" w:rsidR="002A67DB" w:rsidRDefault="002A67DB" w:rsidP="002A67DB">
      <w:r w:rsidRPr="00884FAA">
        <w:t xml:space="preserve">For the difference-in-differences models, changes in the rates of GP attendances </w:t>
      </w:r>
      <w:r w:rsidR="000129A8" w:rsidRPr="00884FAA">
        <w:t>were</w:t>
      </w:r>
      <w:r w:rsidRPr="00884FAA">
        <w:t xml:space="preserve"> most associated with changes in health outcomes. Larger changes in health outcomes were observed for areas in Victoria, Queensland</w:t>
      </w:r>
      <w:r w:rsidR="000129A8" w:rsidRPr="00884FAA">
        <w:t>,</w:t>
      </w:r>
      <w:r w:rsidRPr="00884FAA">
        <w:t xml:space="preserve"> and the NT. Changes in socio-economic measures of advantage and disadvantage were more strongly associated with changes in health outcomes compared to the static differences on these measures between areas analysed in the cross-sectional models. Changes in demographic variables such as the </w:t>
      </w:r>
      <w:r w:rsidRPr="00884FAA">
        <w:lastRenderedPageBreak/>
        <w:t>proportion of males and mean age of an area had less influence on changes in health outcomes compared to their relative importance in cross-sectional models.</w:t>
      </w:r>
    </w:p>
    <w:p w14:paraId="1F2DAD31" w14:textId="77777777" w:rsidR="00140153" w:rsidRPr="00A1178E" w:rsidRDefault="00140153" w:rsidP="007340FF">
      <w:pPr>
        <w:pStyle w:val="Quote"/>
        <w:spacing w:after="0"/>
        <w:rPr>
          <w:color w:val="18525E" w:themeColor="accent5" w:themeShade="80"/>
        </w:rPr>
      </w:pPr>
      <w:r w:rsidRPr="00A1178E">
        <w:rPr>
          <w:color w:val="18525E" w:themeColor="accent5" w:themeShade="80"/>
        </w:rPr>
        <w:t xml:space="preserve">The difference is that hospitals used to have heaps and heaps of [our] people and babies. But now they go here [ACCHS] and get treated, so they don’t have to go to the hospital …. And people don’t like to go to the hospital …. Now they go to [ACCHS] before it gets so bad. </w:t>
      </w:r>
    </w:p>
    <w:p w14:paraId="7F4BBBB7" w14:textId="00C1A042" w:rsidR="00140153" w:rsidRPr="007340FF" w:rsidRDefault="00140153" w:rsidP="007340FF">
      <w:pPr>
        <w:pStyle w:val="Quote"/>
        <w:spacing w:before="0"/>
        <w:jc w:val="right"/>
        <w:rPr>
          <w:b/>
        </w:rPr>
      </w:pPr>
      <w:r w:rsidRPr="007340FF">
        <w:rPr>
          <w:b/>
          <w:color w:val="auto"/>
        </w:rPr>
        <w:t>Community member, regional site</w:t>
      </w:r>
    </w:p>
    <w:p w14:paraId="4BAD8075" w14:textId="762682D6" w:rsidR="002A67DB" w:rsidRPr="00884FAA" w:rsidRDefault="00636390" w:rsidP="00822C93">
      <w:pPr>
        <w:pStyle w:val="TableFigure-Header"/>
        <w:rPr>
          <w:lang w:val="en-AU"/>
        </w:rPr>
      </w:pPr>
      <w:bookmarkStart w:id="291" w:name="_Ref130222851"/>
      <w:bookmarkStart w:id="292" w:name="_Ref131315360"/>
      <w:bookmarkStart w:id="293" w:name="_Ref130659210"/>
      <w:bookmarkStart w:id="294" w:name="_Toc138851353"/>
      <w:r w:rsidRPr="00884FAA">
        <w:rPr>
          <w:lang w:val="en-AU"/>
        </w:rPr>
        <w:t>Figure</w:t>
      </w:r>
      <w:r w:rsidR="002A67DB" w:rsidRPr="00884FAA">
        <w:rPr>
          <w:lang w:val="en-AU"/>
        </w:rPr>
        <w:t xml:space="preserve"> </w:t>
      </w:r>
      <w:bookmarkEnd w:id="291"/>
      <w:r w:rsidR="005B4A4F">
        <w:rPr>
          <w:lang w:val="en-AU"/>
        </w:rPr>
        <w:fldChar w:fldCharType="begin"/>
      </w:r>
      <w:r w:rsidR="005B4A4F">
        <w:rPr>
          <w:lang w:val="en-AU"/>
        </w:rPr>
        <w:instrText xml:space="preserve"> STYLEREF 1 \s </w:instrText>
      </w:r>
      <w:r w:rsidR="005B4A4F">
        <w:rPr>
          <w:lang w:val="en-AU"/>
        </w:rPr>
        <w:fldChar w:fldCharType="separate"/>
      </w:r>
      <w:r w:rsidR="00165B17">
        <w:rPr>
          <w:noProof/>
          <w:lang w:val="en-AU"/>
        </w:rPr>
        <w:t>8</w:t>
      </w:r>
      <w:r w:rsidR="005B4A4F">
        <w:rPr>
          <w:lang w:val="en-AU"/>
        </w:rPr>
        <w:fldChar w:fldCharType="end"/>
      </w:r>
      <w:r w:rsidR="005B4A4F">
        <w:rPr>
          <w:lang w:val="en-AU"/>
        </w:rPr>
        <w:noBreakHyphen/>
      </w:r>
      <w:r w:rsidR="005B4A4F">
        <w:rPr>
          <w:lang w:val="en-AU"/>
        </w:rPr>
        <w:fldChar w:fldCharType="begin"/>
      </w:r>
      <w:r w:rsidR="005B4A4F">
        <w:rPr>
          <w:lang w:val="en-AU"/>
        </w:rPr>
        <w:instrText xml:space="preserve"> SEQ Figure \* ARABIC \s 1 </w:instrText>
      </w:r>
      <w:r w:rsidR="005B4A4F">
        <w:rPr>
          <w:lang w:val="en-AU"/>
        </w:rPr>
        <w:fldChar w:fldCharType="separate"/>
      </w:r>
      <w:r w:rsidR="00165B17">
        <w:rPr>
          <w:noProof/>
          <w:lang w:val="en-AU"/>
        </w:rPr>
        <w:t>10</w:t>
      </w:r>
      <w:r w:rsidR="005B4A4F">
        <w:rPr>
          <w:lang w:val="en-AU"/>
        </w:rPr>
        <w:fldChar w:fldCharType="end"/>
      </w:r>
      <w:bookmarkEnd w:id="292"/>
      <w:r w:rsidR="00C50710">
        <w:rPr>
          <w:lang w:val="en-AU"/>
        </w:rPr>
        <w:t>.</w:t>
      </w:r>
      <w:r w:rsidR="002A67DB" w:rsidRPr="00884FAA">
        <w:rPr>
          <w:lang w:val="en-AU"/>
        </w:rPr>
        <w:t xml:space="preserve"> Overall relative importance of explanatory variables</w:t>
      </w:r>
      <w:bookmarkEnd w:id="293"/>
      <w:bookmarkEnd w:id="294"/>
    </w:p>
    <w:p w14:paraId="31B6EBE1" w14:textId="403F530E" w:rsidR="00374B04" w:rsidRPr="00884FAA" w:rsidRDefault="00250CC3" w:rsidP="00374B04">
      <w:r w:rsidRPr="00884FAA">
        <w:rPr>
          <w:noProof/>
        </w:rPr>
        <w:drawing>
          <wp:inline distT="0" distB="0" distL="0" distR="0" wp14:anchorId="53C2F154" wp14:editId="0F4D9347">
            <wp:extent cx="5731510" cy="4779645"/>
            <wp:effectExtent l="0" t="0" r="2540" b="1905"/>
            <wp:docPr id="47" name="Picture 47" descr="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Bar charts"/>
                    <pic:cNvPicPr/>
                  </pic:nvPicPr>
                  <pic:blipFill>
                    <a:blip r:embed="rId140">
                      <a:extLst>
                        <a:ext uri="{28A0092B-C50C-407E-A947-70E740481C1C}">
                          <a14:useLocalDpi xmlns:a14="http://schemas.microsoft.com/office/drawing/2010/main" val="0"/>
                        </a:ext>
                      </a:extLst>
                    </a:blip>
                    <a:stretch>
                      <a:fillRect/>
                    </a:stretch>
                  </pic:blipFill>
                  <pic:spPr>
                    <a:xfrm>
                      <a:off x="0" y="0"/>
                      <a:ext cx="5731510" cy="4779645"/>
                    </a:xfrm>
                    <a:prstGeom prst="rect">
                      <a:avLst/>
                    </a:prstGeom>
                  </pic:spPr>
                </pic:pic>
              </a:graphicData>
            </a:graphic>
          </wp:inline>
        </w:drawing>
      </w:r>
    </w:p>
    <w:p w14:paraId="0A014979" w14:textId="77777777" w:rsidR="00EE2296" w:rsidRDefault="00EE2296">
      <w:pPr>
        <w:jc w:val="left"/>
        <w:rPr>
          <w:b/>
          <w:bCs/>
          <w:color w:val="9E6047" w:themeColor="accent3"/>
          <w:sz w:val="36"/>
          <w:szCs w:val="36"/>
        </w:rPr>
      </w:pPr>
      <w:r>
        <w:br w:type="page"/>
      </w:r>
    </w:p>
    <w:p w14:paraId="7B54D108" w14:textId="77777777" w:rsidR="002A67DB" w:rsidRPr="00884FAA" w:rsidRDefault="002A67DB" w:rsidP="0035030F">
      <w:pPr>
        <w:pStyle w:val="Heading2"/>
      </w:pPr>
      <w:bookmarkStart w:id="295" w:name="_Toc137208938"/>
      <w:r w:rsidRPr="00884FAA">
        <w:lastRenderedPageBreak/>
        <w:t>Complex relationships between variables and health outcomes</w:t>
      </w:r>
      <w:bookmarkEnd w:id="295"/>
    </w:p>
    <w:p w14:paraId="7FE42700" w14:textId="7C2A2723" w:rsidR="002A67DB" w:rsidRPr="00884FAA" w:rsidRDefault="002A67DB" w:rsidP="002A67DB">
      <w:r w:rsidRPr="00884FAA">
        <w:t xml:space="preserve">The above overall analysis shows the relative importance of each explanatory variable across all models of all outcomes. It ignores the direction of the association (positive/negative β); focusing only on the magnitude. </w:t>
      </w:r>
    </w:p>
    <w:p w14:paraId="6EB91805" w14:textId="77777777" w:rsidR="002A67DB" w:rsidRPr="00884FAA" w:rsidRDefault="002A67DB" w:rsidP="00651D06">
      <w:pPr>
        <w:pStyle w:val="Heading3"/>
      </w:pPr>
      <w:r w:rsidRPr="00884FAA">
        <w:t>Effects of individual variables on morbidity and mortality outcomes were complex</w:t>
      </w:r>
    </w:p>
    <w:p w14:paraId="79C5276D" w14:textId="76535EAA" w:rsidR="00573E85" w:rsidRDefault="00573E85" w:rsidP="00573E85">
      <w:r w:rsidRPr="00884FAA">
        <w:t xml:space="preserve">The distributions for the effects of </w:t>
      </w:r>
      <w:r w:rsidR="0047702D">
        <w:t>individual</w:t>
      </w:r>
      <w:r w:rsidRPr="00884FAA">
        <w:t xml:space="preserve"> variables are displayed in</w:t>
      </w:r>
      <w:r>
        <w:t>:</w:t>
      </w:r>
    </w:p>
    <w:p w14:paraId="1B86763D" w14:textId="14D9C334" w:rsidR="00573E85" w:rsidRPr="00343EB2" w:rsidRDefault="00573E85" w:rsidP="00343EB2">
      <w:pPr>
        <w:numPr>
          <w:ilvl w:val="0"/>
          <w:numId w:val="19"/>
        </w:numPr>
        <w:spacing w:after="120"/>
        <w:rPr>
          <w:bCs/>
        </w:rPr>
      </w:pPr>
      <w:r w:rsidRPr="00343EB2">
        <w:rPr>
          <w:bCs/>
        </w:rPr>
        <w:fldChar w:fldCharType="begin"/>
      </w:r>
      <w:r w:rsidRPr="00343EB2">
        <w:rPr>
          <w:bCs/>
        </w:rPr>
        <w:instrText xml:space="preserve"> REF _Ref131320741 \h </w:instrText>
      </w:r>
      <w:r w:rsidR="00343EB2">
        <w:rPr>
          <w:bCs/>
        </w:rPr>
        <w:instrText xml:space="preserve"> \* MERGEFORMAT </w:instrText>
      </w:r>
      <w:r w:rsidRPr="00343EB2">
        <w:rPr>
          <w:bCs/>
        </w:rPr>
      </w:r>
      <w:r w:rsidRPr="00343EB2">
        <w:rPr>
          <w:bCs/>
        </w:rPr>
        <w:fldChar w:fldCharType="separate"/>
      </w:r>
      <w:r w:rsidR="00165B17" w:rsidRPr="00165B17">
        <w:rPr>
          <w:bCs/>
        </w:rPr>
        <w:t>Figure 8</w:t>
      </w:r>
      <w:r w:rsidR="00165B17" w:rsidRPr="00165B17">
        <w:rPr>
          <w:bCs/>
        </w:rPr>
        <w:noBreakHyphen/>
        <w:t>11</w:t>
      </w:r>
      <w:r w:rsidRPr="00343EB2">
        <w:rPr>
          <w:bCs/>
        </w:rPr>
        <w:fldChar w:fldCharType="end"/>
      </w:r>
      <w:r w:rsidRPr="00343EB2">
        <w:rPr>
          <w:bCs/>
        </w:rPr>
        <w:t xml:space="preserve"> for effects on hospitalisations for primary care-related conditions</w:t>
      </w:r>
    </w:p>
    <w:p w14:paraId="1072D376" w14:textId="79FC91DB" w:rsidR="00573E85" w:rsidRPr="00343EB2" w:rsidRDefault="00573E85" w:rsidP="00343EB2">
      <w:pPr>
        <w:numPr>
          <w:ilvl w:val="0"/>
          <w:numId w:val="19"/>
        </w:numPr>
        <w:spacing w:after="120"/>
        <w:rPr>
          <w:bCs/>
        </w:rPr>
      </w:pPr>
      <w:r w:rsidRPr="00343EB2">
        <w:rPr>
          <w:bCs/>
        </w:rPr>
        <w:fldChar w:fldCharType="begin"/>
      </w:r>
      <w:r w:rsidRPr="00343EB2">
        <w:rPr>
          <w:bCs/>
        </w:rPr>
        <w:instrText xml:space="preserve"> REF _Ref136438724 \h </w:instrText>
      </w:r>
      <w:r w:rsidR="00343EB2">
        <w:rPr>
          <w:bCs/>
        </w:rPr>
        <w:instrText xml:space="preserve"> \* MERGEFORMAT </w:instrText>
      </w:r>
      <w:r w:rsidRPr="00343EB2">
        <w:rPr>
          <w:bCs/>
        </w:rPr>
      </w:r>
      <w:r w:rsidRPr="00343EB2">
        <w:rPr>
          <w:bCs/>
        </w:rPr>
        <w:fldChar w:fldCharType="separate"/>
      </w:r>
      <w:r w:rsidR="00165B17" w:rsidRPr="00165B17">
        <w:rPr>
          <w:bCs/>
        </w:rPr>
        <w:t>Figure 8</w:t>
      </w:r>
      <w:r w:rsidR="00165B17" w:rsidRPr="00165B17">
        <w:rPr>
          <w:bCs/>
        </w:rPr>
        <w:noBreakHyphen/>
        <w:t>12</w:t>
      </w:r>
      <w:r w:rsidRPr="00343EB2">
        <w:rPr>
          <w:bCs/>
        </w:rPr>
        <w:fldChar w:fldCharType="end"/>
      </w:r>
      <w:r w:rsidRPr="00343EB2">
        <w:rPr>
          <w:bCs/>
        </w:rPr>
        <w:t xml:space="preserve"> for effects on potentially-preventable hospitalisations</w:t>
      </w:r>
    </w:p>
    <w:p w14:paraId="20270C6B" w14:textId="14A7C335" w:rsidR="00573E85" w:rsidRPr="00343EB2" w:rsidRDefault="00573E85" w:rsidP="00343EB2">
      <w:pPr>
        <w:numPr>
          <w:ilvl w:val="0"/>
          <w:numId w:val="19"/>
        </w:numPr>
        <w:spacing w:after="120"/>
        <w:rPr>
          <w:bCs/>
        </w:rPr>
      </w:pPr>
      <w:r w:rsidRPr="00343EB2">
        <w:rPr>
          <w:bCs/>
        </w:rPr>
        <w:fldChar w:fldCharType="begin"/>
      </w:r>
      <w:r w:rsidRPr="00343EB2">
        <w:rPr>
          <w:bCs/>
        </w:rPr>
        <w:instrText xml:space="preserve"> REF _Ref136438729 \h </w:instrText>
      </w:r>
      <w:r w:rsidR="00343EB2">
        <w:rPr>
          <w:bCs/>
        </w:rPr>
        <w:instrText xml:space="preserve"> \* MERGEFORMAT </w:instrText>
      </w:r>
      <w:r w:rsidRPr="00343EB2">
        <w:rPr>
          <w:bCs/>
        </w:rPr>
      </w:r>
      <w:r w:rsidRPr="00343EB2">
        <w:rPr>
          <w:bCs/>
        </w:rPr>
        <w:fldChar w:fldCharType="separate"/>
      </w:r>
      <w:r w:rsidR="00165B17" w:rsidRPr="00165B17">
        <w:rPr>
          <w:bCs/>
        </w:rPr>
        <w:t>Figure 8</w:t>
      </w:r>
      <w:r w:rsidR="00165B17" w:rsidRPr="00165B17">
        <w:rPr>
          <w:bCs/>
        </w:rPr>
        <w:noBreakHyphen/>
        <w:t>13</w:t>
      </w:r>
      <w:r w:rsidRPr="00343EB2">
        <w:rPr>
          <w:bCs/>
        </w:rPr>
        <w:fldChar w:fldCharType="end"/>
      </w:r>
      <w:r w:rsidRPr="00343EB2">
        <w:rPr>
          <w:bCs/>
        </w:rPr>
        <w:t xml:space="preserve"> for effects on emergency department presentations for primary care-related conditions</w:t>
      </w:r>
    </w:p>
    <w:p w14:paraId="15142157" w14:textId="39A415D9" w:rsidR="00573E85" w:rsidRPr="00343EB2" w:rsidRDefault="00573E85" w:rsidP="00343EB2">
      <w:pPr>
        <w:numPr>
          <w:ilvl w:val="0"/>
          <w:numId w:val="19"/>
        </w:numPr>
        <w:spacing w:after="120"/>
        <w:rPr>
          <w:bCs/>
        </w:rPr>
      </w:pPr>
      <w:r w:rsidRPr="00343EB2">
        <w:rPr>
          <w:bCs/>
        </w:rPr>
        <w:fldChar w:fldCharType="begin"/>
      </w:r>
      <w:r w:rsidRPr="00343EB2">
        <w:rPr>
          <w:bCs/>
        </w:rPr>
        <w:instrText xml:space="preserve"> REF _Ref131320744 \h </w:instrText>
      </w:r>
      <w:r w:rsidR="00343EB2">
        <w:rPr>
          <w:bCs/>
        </w:rPr>
        <w:instrText xml:space="preserve"> \* MERGEFORMAT </w:instrText>
      </w:r>
      <w:r w:rsidRPr="00343EB2">
        <w:rPr>
          <w:bCs/>
        </w:rPr>
      </w:r>
      <w:r w:rsidRPr="00343EB2">
        <w:rPr>
          <w:bCs/>
        </w:rPr>
        <w:fldChar w:fldCharType="separate"/>
      </w:r>
      <w:r w:rsidR="00165B17" w:rsidRPr="00165B17">
        <w:rPr>
          <w:bCs/>
        </w:rPr>
        <w:t>Figure 8</w:t>
      </w:r>
      <w:r w:rsidR="00165B17" w:rsidRPr="00165B17">
        <w:rPr>
          <w:bCs/>
        </w:rPr>
        <w:noBreakHyphen/>
        <w:t>14</w:t>
      </w:r>
      <w:r w:rsidRPr="00343EB2">
        <w:rPr>
          <w:bCs/>
        </w:rPr>
        <w:fldChar w:fldCharType="end"/>
      </w:r>
      <w:r w:rsidRPr="00343EB2">
        <w:rPr>
          <w:bCs/>
        </w:rPr>
        <w:t xml:space="preserve"> for effects on mortality for primary care-related conditions</w:t>
      </w:r>
    </w:p>
    <w:p w14:paraId="404FD07C" w14:textId="6FEFB26C" w:rsidR="00573E85" w:rsidRDefault="00573E85" w:rsidP="00573E85">
      <w:r>
        <w:t>The a</w:t>
      </w:r>
      <w:r w:rsidRPr="00884FAA">
        <w:t>ccompanying tables (</w:t>
      </w:r>
      <w:r w:rsidR="008357AD">
        <w:fldChar w:fldCharType="begin"/>
      </w:r>
      <w:r w:rsidR="008357AD">
        <w:instrText xml:space="preserve"> REF _Ref136439518 \h </w:instrText>
      </w:r>
      <w:r w:rsidR="008357AD">
        <w:fldChar w:fldCharType="separate"/>
      </w:r>
      <w:r w:rsidR="00165B17" w:rsidRPr="00884FAA">
        <w:t xml:space="preserve">Table </w:t>
      </w:r>
      <w:r w:rsidR="00165B17">
        <w:rPr>
          <w:noProof/>
        </w:rPr>
        <w:t>8</w:t>
      </w:r>
      <w:r w:rsidR="00165B17">
        <w:noBreakHyphen/>
      </w:r>
      <w:r w:rsidR="00165B17">
        <w:rPr>
          <w:noProof/>
        </w:rPr>
        <w:t>6</w:t>
      </w:r>
      <w:r w:rsidR="008357AD">
        <w:fldChar w:fldCharType="end"/>
      </w:r>
      <w:r w:rsidR="008357AD">
        <w:t xml:space="preserve"> </w:t>
      </w:r>
      <w:r w:rsidRPr="00884FAA">
        <w:t>to</w:t>
      </w:r>
      <w:r w:rsidR="008357AD">
        <w:t xml:space="preserve"> </w:t>
      </w:r>
      <w:r w:rsidR="008357AD">
        <w:fldChar w:fldCharType="begin"/>
      </w:r>
      <w:r w:rsidR="008357AD">
        <w:instrText xml:space="preserve"> REF _Ref131322603 \h </w:instrText>
      </w:r>
      <w:r w:rsidR="008357AD">
        <w:fldChar w:fldCharType="separate"/>
      </w:r>
      <w:r w:rsidR="00165B17" w:rsidRPr="00884FAA">
        <w:t xml:space="preserve">Table </w:t>
      </w:r>
      <w:r w:rsidR="00165B17">
        <w:rPr>
          <w:noProof/>
        </w:rPr>
        <w:t>8</w:t>
      </w:r>
      <w:r w:rsidR="00165B17">
        <w:noBreakHyphen/>
      </w:r>
      <w:r w:rsidR="00165B17">
        <w:rPr>
          <w:noProof/>
        </w:rPr>
        <w:t>9</w:t>
      </w:r>
      <w:r w:rsidR="008357AD">
        <w:fldChar w:fldCharType="end"/>
      </w:r>
      <w:r w:rsidRPr="00884FAA">
        <w:t xml:space="preserve">) show the positive and negative effects in order of importance (magnitude of β). Figures for difference-in-difference analysis are included in </w:t>
      </w:r>
      <w:r>
        <w:t>the Quantitative Analytical Approach and Findings supporting document to this report</w:t>
      </w:r>
      <w:r w:rsidRPr="00884FAA">
        <w:t>.</w:t>
      </w:r>
    </w:p>
    <w:p w14:paraId="4DDB5CBF" w14:textId="200BABBA" w:rsidR="002A67DB" w:rsidRPr="00884FAA" w:rsidRDefault="002A67DB" w:rsidP="002A67DB">
      <w:r w:rsidRPr="00884FAA">
        <w:t>As might be expected, age and remoteness were positively associated with hospitalisations for primary care-related conditions, PPH, emergency presentations</w:t>
      </w:r>
      <w:r w:rsidR="00915CDA" w:rsidRPr="00884FAA">
        <w:t>,</w:t>
      </w:r>
      <w:r w:rsidRPr="00884FAA">
        <w:t xml:space="preserve"> and mortality. Also, higher rates of childhood immunisations were associated with lower rates of these outcomes. </w:t>
      </w:r>
    </w:p>
    <w:p w14:paraId="7381D8A3" w14:textId="4FB504E0" w:rsidR="002A67DB" w:rsidRPr="00884FAA" w:rsidRDefault="002A67DB" w:rsidP="002A67DB">
      <w:r w:rsidRPr="00884FAA">
        <w:t>However, primary care activity such as the Practice Incentive Program (PIP) was also positively associated with morbidity and mortality (</w:t>
      </w:r>
      <w:r w:rsidR="003343AC" w:rsidRPr="00884FAA">
        <w:t>that is,</w:t>
      </w:r>
      <w:r w:rsidRPr="00884FAA">
        <w:t xml:space="preserve"> increased PIP activity was associated with increased morbidity and mortality). Furthermore, increased PIP activity over time was associated with increased morbidity and mortality. One interpretation is that PIP activity represents a primary health system response to the health needs (</w:t>
      </w:r>
      <w:r w:rsidR="003343AC" w:rsidRPr="00884FAA">
        <w:t xml:space="preserve">for example, </w:t>
      </w:r>
      <w:r w:rsidRPr="00884FAA">
        <w:t xml:space="preserve">burden of disease) for areas: higher care activity necessarily follows high need. </w:t>
      </w:r>
    </w:p>
    <w:p w14:paraId="5760C978" w14:textId="77777777" w:rsidR="002A67DB" w:rsidRDefault="002A67DB" w:rsidP="002A67DB">
      <w:r w:rsidRPr="00884FAA">
        <w:t xml:space="preserve">The Index of Economic Resources (IER) and the Indigenous Relative Socio-economic Outcomes index (IRSEO) presented an inverse relationship with morbidity and mortality, indicating that areas with greater economic resources and higher relative socio-economic outcomes had lower morbidity and mortality on average. Looking at change in outcomes within each area (difference-in-differences), improvements in economic resources were associated with decreases in mortality and PPH, but not with decreases in hospitalisations for primary care-related conditions. Changes in relative socio-economic outcomes (IRSEO) were not available. The Index of Employment and Occupation (IEO) was positively associated with morbidity and mortality between areas, but not in the difference-in-differences analysis. </w:t>
      </w:r>
    </w:p>
    <w:p w14:paraId="43616CD4" w14:textId="77777777" w:rsidR="0063178B" w:rsidRDefault="0063178B">
      <w:pPr>
        <w:jc w:val="left"/>
        <w:rPr>
          <w:iCs/>
          <w:color w:val="30A6BC" w:themeColor="accent5"/>
          <w:szCs w:val="28"/>
          <w:lang w:val="en-NZ"/>
        </w:rPr>
      </w:pPr>
      <w:r>
        <w:rPr>
          <w:lang w:val="en-NZ"/>
        </w:rPr>
        <w:br w:type="page"/>
      </w:r>
    </w:p>
    <w:p w14:paraId="38B55F6E" w14:textId="22F9BE4E" w:rsidR="00FE0EF5" w:rsidRPr="00A1178E" w:rsidRDefault="00FE0EF5" w:rsidP="003F007A">
      <w:pPr>
        <w:pStyle w:val="Quote"/>
        <w:spacing w:after="0"/>
        <w:rPr>
          <w:color w:val="18525E" w:themeColor="accent5" w:themeShade="80"/>
          <w:lang w:val="en-NZ"/>
        </w:rPr>
      </w:pPr>
      <w:r w:rsidRPr="00A1178E">
        <w:rPr>
          <w:color w:val="18525E" w:themeColor="accent5" w:themeShade="80"/>
          <w:lang w:val="en-NZ"/>
        </w:rPr>
        <w:lastRenderedPageBreak/>
        <w:t>And another woman who didn’t have her own home for 20 years, was in and out of mental health institutions, since she’s got her own home for 5 years now, has not had one episode in a mental health institute, down to, me going and putting her blinds up on the weekend, you know? Getting her a washing machine, buying her a broom. It’s things like that, which are outside our normal model of care, is what’s keeping our community happy and out of hospital, you know?</w:t>
      </w:r>
      <w:r w:rsidR="00AA35E2" w:rsidRPr="00A1178E">
        <w:rPr>
          <w:color w:val="18525E" w:themeColor="accent5" w:themeShade="80"/>
          <w:lang w:val="en-NZ"/>
        </w:rPr>
        <w:t xml:space="preserve"> </w:t>
      </w:r>
      <w:r w:rsidRPr="00A1178E">
        <w:rPr>
          <w:color w:val="18525E" w:themeColor="accent5" w:themeShade="80"/>
          <w:lang w:val="en-NZ"/>
        </w:rPr>
        <w:t>Because that’s one thing we have now, is a housing team, because [CEO] understood, if you haven’t got a home, you’ve got nothing, you know?</w:t>
      </w:r>
      <w:r w:rsidRPr="00A1178E">
        <w:rPr>
          <w:color w:val="18525E" w:themeColor="accent5" w:themeShade="80"/>
          <w:lang w:val="en-NZ"/>
        </w:rPr>
        <w:tab/>
      </w:r>
    </w:p>
    <w:p w14:paraId="4F2E7320" w14:textId="28130425" w:rsidR="00FE0EF5" w:rsidRPr="007340FF" w:rsidRDefault="00FE0EF5" w:rsidP="007340FF">
      <w:pPr>
        <w:jc w:val="right"/>
        <w:rPr>
          <w:b/>
          <w:lang w:val="en-NZ"/>
        </w:rPr>
      </w:pPr>
      <w:r w:rsidRPr="007340FF">
        <w:rPr>
          <w:b/>
          <w:lang w:val="en-NZ"/>
        </w:rPr>
        <w:t>ACCHS, Metropolitan location</w:t>
      </w:r>
    </w:p>
    <w:p w14:paraId="371DDBEF" w14:textId="1D5EB812" w:rsidR="002A67DB" w:rsidRPr="00884FAA" w:rsidRDefault="002A67DB" w:rsidP="002A67DB">
      <w:r w:rsidRPr="00884FAA">
        <w:t>The rate of non-referred GP attendances for areas was overall positively associated with hospitalisations, but was not associated with PPH, emergency presentations or mortality in cross-sectional models</w:t>
      </w:r>
      <w:r w:rsidR="008F65A1" w:rsidRPr="00884FAA">
        <w:t>.</w:t>
      </w:r>
      <w:r w:rsidRPr="00884FAA">
        <w:t xml:space="preserve"> However, increases in GP attendances was strongly associated with increases in hospitalisations and PPH in difference-in-differences models.</w:t>
      </w:r>
      <w:r w:rsidR="00066242">
        <w:t xml:space="preserve"> </w:t>
      </w:r>
      <w:r w:rsidR="00066242" w:rsidRPr="00066242">
        <w:t>Prospective studies or the analysis of linked data are required to understand the ca</w:t>
      </w:r>
      <w:r w:rsidR="008A3E53">
        <w:t>usal</w:t>
      </w:r>
      <w:r w:rsidR="00066242" w:rsidRPr="00066242">
        <w:t xml:space="preserve"> effects behind this observational finding.</w:t>
      </w:r>
    </w:p>
    <w:p w14:paraId="1FF8E61C" w14:textId="15412B6B" w:rsidR="001B074D" w:rsidRPr="00884FAA" w:rsidRDefault="001B074D" w:rsidP="001B074D">
      <w:pPr>
        <w:pStyle w:val="Caption"/>
      </w:pPr>
      <w:bookmarkStart w:id="296" w:name="_Ref131320741"/>
      <w:bookmarkStart w:id="297" w:name="_Toc138851354"/>
      <w:r w:rsidRPr="00884FAA">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11</w:t>
      </w:r>
      <w:r w:rsidR="005B4A4F">
        <w:fldChar w:fldCharType="end"/>
      </w:r>
      <w:bookmarkEnd w:id="296"/>
      <w:r w:rsidRPr="00884FAA">
        <w:t>. Effects of primary care activity and social determinants on hospitalisation</w:t>
      </w:r>
      <w:r w:rsidR="00FA394C" w:rsidRPr="00884FAA">
        <w:t>s</w:t>
      </w:r>
      <w:r w:rsidRPr="00884FAA">
        <w:t xml:space="preserve"> at Time 1 (2011) and Time 2 (2016)</w:t>
      </w:r>
      <w:bookmarkEnd w:id="297"/>
    </w:p>
    <w:p w14:paraId="3694DD8E" w14:textId="23AEED02" w:rsidR="004544CE" w:rsidRPr="00884FAA" w:rsidRDefault="004544CE" w:rsidP="004544CE">
      <w:r w:rsidRPr="00884FAA">
        <w:rPr>
          <w:noProof/>
        </w:rPr>
        <w:drawing>
          <wp:inline distT="0" distB="0" distL="0" distR="0" wp14:anchorId="08C71CBA" wp14:editId="04D4BE30">
            <wp:extent cx="5731510" cy="4544060"/>
            <wp:effectExtent l="0" t="0" r="0" b="0"/>
            <wp:docPr id="42" name="Picture 42" descr="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s"/>
                    <pic:cNvPicPr/>
                  </pic:nvPicPr>
                  <pic:blipFill>
                    <a:blip r:embed="rId141">
                      <a:extLst>
                        <a:ext uri="{28A0092B-C50C-407E-A947-70E740481C1C}">
                          <a14:useLocalDpi xmlns:a14="http://schemas.microsoft.com/office/drawing/2010/main" val="0"/>
                        </a:ext>
                      </a:extLst>
                    </a:blip>
                    <a:stretch>
                      <a:fillRect/>
                    </a:stretch>
                  </pic:blipFill>
                  <pic:spPr>
                    <a:xfrm>
                      <a:off x="0" y="0"/>
                      <a:ext cx="5731510" cy="4544060"/>
                    </a:xfrm>
                    <a:prstGeom prst="rect">
                      <a:avLst/>
                    </a:prstGeom>
                  </pic:spPr>
                </pic:pic>
              </a:graphicData>
            </a:graphic>
          </wp:inline>
        </w:drawing>
      </w:r>
    </w:p>
    <w:p w14:paraId="6983E070" w14:textId="77777777" w:rsidR="001D6B36" w:rsidRDefault="001D6B36">
      <w:pPr>
        <w:jc w:val="left"/>
        <w:rPr>
          <w:b/>
          <w:iCs/>
          <w:szCs w:val="18"/>
        </w:rPr>
      </w:pPr>
      <w:bookmarkStart w:id="298" w:name="_Ref131322601"/>
      <w:r>
        <w:br w:type="page"/>
      </w:r>
    </w:p>
    <w:p w14:paraId="72980E66" w14:textId="691965B3" w:rsidR="000101E8" w:rsidRPr="00884FAA" w:rsidRDefault="000101E8" w:rsidP="00AC0AE6">
      <w:pPr>
        <w:pStyle w:val="Caption"/>
      </w:pPr>
      <w:bookmarkStart w:id="299" w:name="_Ref136439518"/>
      <w:bookmarkStart w:id="300" w:name="_Toc138851290"/>
      <w:r w:rsidRPr="00884FAA">
        <w:lastRenderedPageBreak/>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6</w:t>
      </w:r>
      <w:r w:rsidR="00B92D87">
        <w:fldChar w:fldCharType="end"/>
      </w:r>
      <w:bookmarkEnd w:id="298"/>
      <w:bookmarkEnd w:id="299"/>
      <w:r w:rsidR="00210B4E" w:rsidRPr="00884FAA">
        <w:t>.</w:t>
      </w:r>
      <w:r w:rsidRPr="00884FAA">
        <w:t xml:space="preserve"> Standardised regression coefficients (in decreasing order) by time point and direction of effect for hospitalisations</w:t>
      </w:r>
      <w:bookmarkEnd w:id="300"/>
    </w:p>
    <w:tbl>
      <w:tblPr>
        <w:tblStyle w:val="ACTableDesign1White"/>
        <w:tblW w:w="0" w:type="auto"/>
        <w:tblLook w:val="04A0" w:firstRow="1" w:lastRow="0" w:firstColumn="1" w:lastColumn="0" w:noHBand="0" w:noVBand="1"/>
      </w:tblPr>
      <w:tblGrid>
        <w:gridCol w:w="820"/>
        <w:gridCol w:w="1446"/>
        <w:gridCol w:w="993"/>
        <w:gridCol w:w="1417"/>
        <w:gridCol w:w="851"/>
        <w:gridCol w:w="1287"/>
        <w:gridCol w:w="871"/>
        <w:gridCol w:w="1336"/>
      </w:tblGrid>
      <w:tr w:rsidR="000101E8" w:rsidRPr="00884FAA" w14:paraId="53FF14C2" w14:textId="77777777" w:rsidTr="00AC0AE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5" w:type="dxa"/>
            <w:gridSpan w:val="4"/>
            <w:noWrap/>
            <w:hideMark/>
          </w:tcPr>
          <w:p w14:paraId="53A76769" w14:textId="77777777" w:rsidR="000101E8" w:rsidRPr="0058387D" w:rsidRDefault="000101E8" w:rsidP="0079018E">
            <w:pPr>
              <w:pStyle w:val="TableText"/>
              <w:spacing w:before="40" w:after="40"/>
              <w:ind w:left="-57" w:right="-57"/>
              <w:rPr>
                <w:color w:val="000000" w:themeColor="text1"/>
              </w:rPr>
            </w:pPr>
            <w:r w:rsidRPr="0058387D">
              <w:rPr>
                <w:color w:val="000000" w:themeColor="text1"/>
              </w:rPr>
              <w:t>Time 1</w:t>
            </w:r>
          </w:p>
        </w:tc>
        <w:tc>
          <w:tcPr>
            <w:tcW w:w="4345" w:type="dxa"/>
            <w:gridSpan w:val="4"/>
            <w:noWrap/>
            <w:hideMark/>
          </w:tcPr>
          <w:p w14:paraId="583713CA" w14:textId="77777777" w:rsidR="000101E8" w:rsidRPr="0058387D" w:rsidRDefault="000101E8" w:rsidP="0079018E">
            <w:pPr>
              <w:pStyle w:val="TableText"/>
              <w:spacing w:before="40" w:after="40"/>
              <w:ind w:left="-57" w:right="-57"/>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Time 2</w:t>
            </w:r>
          </w:p>
        </w:tc>
      </w:tr>
      <w:tr w:rsidR="000101E8" w:rsidRPr="00884FAA" w14:paraId="056BE1FC"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5" w:type="dxa"/>
            <w:gridSpan w:val="2"/>
            <w:noWrap/>
            <w:hideMark/>
          </w:tcPr>
          <w:p w14:paraId="638BC36A" w14:textId="77777777" w:rsidR="000101E8" w:rsidRPr="00884FAA" w:rsidRDefault="000101E8" w:rsidP="0079018E">
            <w:pPr>
              <w:pStyle w:val="TableText"/>
              <w:spacing w:before="40" w:after="40"/>
              <w:ind w:left="-57" w:right="-57"/>
              <w:rPr>
                <w:sz w:val="18"/>
                <w:szCs w:val="18"/>
              </w:rPr>
            </w:pPr>
            <w:r w:rsidRPr="00884FAA">
              <w:rPr>
                <w:sz w:val="18"/>
                <w:szCs w:val="18"/>
              </w:rPr>
              <w:t>Positive</w:t>
            </w:r>
          </w:p>
        </w:tc>
        <w:tc>
          <w:tcPr>
            <w:tcW w:w="2410" w:type="dxa"/>
            <w:gridSpan w:val="2"/>
            <w:noWrap/>
            <w:hideMark/>
          </w:tcPr>
          <w:p w14:paraId="03D4AA21"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Negative</w:t>
            </w:r>
          </w:p>
        </w:tc>
        <w:tc>
          <w:tcPr>
            <w:tcW w:w="2138" w:type="dxa"/>
            <w:gridSpan w:val="2"/>
            <w:noWrap/>
            <w:hideMark/>
          </w:tcPr>
          <w:p w14:paraId="108F67B1"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Positive</w:t>
            </w:r>
          </w:p>
        </w:tc>
        <w:tc>
          <w:tcPr>
            <w:tcW w:w="2207" w:type="dxa"/>
            <w:gridSpan w:val="2"/>
            <w:noWrap/>
            <w:hideMark/>
          </w:tcPr>
          <w:p w14:paraId="6889B183"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Negative</w:t>
            </w:r>
          </w:p>
        </w:tc>
      </w:tr>
      <w:tr w:rsidR="000101E8" w:rsidRPr="00884FAA" w14:paraId="4340F158"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3E4B2DF5" w14:textId="77777777" w:rsidR="000101E8" w:rsidRPr="00884FAA" w:rsidRDefault="000101E8" w:rsidP="0079018E">
            <w:pPr>
              <w:pStyle w:val="TableText"/>
              <w:spacing w:before="40" w:after="40"/>
              <w:ind w:left="-57" w:right="-57"/>
              <w:rPr>
                <w:sz w:val="18"/>
                <w:szCs w:val="18"/>
              </w:rPr>
            </w:pPr>
            <w:r w:rsidRPr="00884FAA">
              <w:rPr>
                <w:sz w:val="18"/>
                <w:szCs w:val="18"/>
              </w:rPr>
              <w:t>Variable</w:t>
            </w:r>
          </w:p>
        </w:tc>
        <w:tc>
          <w:tcPr>
            <w:tcW w:w="1446" w:type="dxa"/>
            <w:noWrap/>
            <w:hideMark/>
          </w:tcPr>
          <w:p w14:paraId="652EEAE4"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993" w:type="dxa"/>
            <w:noWrap/>
            <w:hideMark/>
          </w:tcPr>
          <w:p w14:paraId="53F61354"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1417" w:type="dxa"/>
            <w:noWrap/>
            <w:hideMark/>
          </w:tcPr>
          <w:p w14:paraId="225069F0"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851" w:type="dxa"/>
            <w:noWrap/>
            <w:hideMark/>
          </w:tcPr>
          <w:p w14:paraId="01FCEFA9"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1287" w:type="dxa"/>
            <w:noWrap/>
            <w:hideMark/>
          </w:tcPr>
          <w:p w14:paraId="5F82E735"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871" w:type="dxa"/>
            <w:noWrap/>
            <w:hideMark/>
          </w:tcPr>
          <w:p w14:paraId="3BECBAAB"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1336" w:type="dxa"/>
            <w:noWrap/>
            <w:hideMark/>
          </w:tcPr>
          <w:p w14:paraId="03C1F782"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r>
      <w:tr w:rsidR="000101E8" w:rsidRPr="00884FAA" w14:paraId="1D71582A"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61B0200C" w14:textId="77777777" w:rsidR="000101E8" w:rsidRPr="00884FAA" w:rsidRDefault="000101E8" w:rsidP="0079018E">
            <w:pPr>
              <w:pStyle w:val="TableText"/>
              <w:spacing w:before="40" w:after="40"/>
              <w:ind w:left="-57" w:right="-57"/>
              <w:rPr>
                <w:sz w:val="18"/>
                <w:szCs w:val="18"/>
              </w:rPr>
            </w:pPr>
            <w:r w:rsidRPr="00884FAA">
              <w:rPr>
                <w:sz w:val="18"/>
                <w:szCs w:val="18"/>
              </w:rPr>
              <w:t>Remote</w:t>
            </w:r>
          </w:p>
        </w:tc>
        <w:tc>
          <w:tcPr>
            <w:tcW w:w="1446" w:type="dxa"/>
            <w:noWrap/>
            <w:hideMark/>
          </w:tcPr>
          <w:p w14:paraId="3CCA60CC"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.31 (.23,.45)</w:t>
            </w:r>
          </w:p>
        </w:tc>
        <w:tc>
          <w:tcPr>
            <w:tcW w:w="993" w:type="dxa"/>
            <w:noWrap/>
            <w:hideMark/>
          </w:tcPr>
          <w:p w14:paraId="3AF0564A"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Tas</w:t>
            </w:r>
          </w:p>
        </w:tc>
        <w:tc>
          <w:tcPr>
            <w:tcW w:w="1417" w:type="dxa"/>
            <w:noWrap/>
            <w:hideMark/>
          </w:tcPr>
          <w:p w14:paraId="312B291A"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-.23 (-.24,-.21)</w:t>
            </w:r>
          </w:p>
        </w:tc>
        <w:tc>
          <w:tcPr>
            <w:tcW w:w="851" w:type="dxa"/>
            <w:noWrap/>
            <w:hideMark/>
          </w:tcPr>
          <w:p w14:paraId="5FD4AA94"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NT</w:t>
            </w:r>
          </w:p>
        </w:tc>
        <w:tc>
          <w:tcPr>
            <w:tcW w:w="1287" w:type="dxa"/>
            <w:noWrap/>
            <w:hideMark/>
          </w:tcPr>
          <w:p w14:paraId="7CA0CB53"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.33 (.31,.40)</w:t>
            </w:r>
          </w:p>
        </w:tc>
        <w:tc>
          <w:tcPr>
            <w:tcW w:w="871" w:type="dxa"/>
            <w:noWrap/>
            <w:hideMark/>
          </w:tcPr>
          <w:p w14:paraId="3FA52E02"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IRSEO</w:t>
            </w:r>
          </w:p>
        </w:tc>
        <w:tc>
          <w:tcPr>
            <w:tcW w:w="1336" w:type="dxa"/>
            <w:noWrap/>
            <w:hideMark/>
          </w:tcPr>
          <w:p w14:paraId="3EE2CA22"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-.27 (-.34,-.16)</w:t>
            </w:r>
          </w:p>
        </w:tc>
      </w:tr>
      <w:tr w:rsidR="000101E8" w:rsidRPr="00884FAA" w14:paraId="0CD80C89"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391AC08D" w14:textId="77777777" w:rsidR="000101E8" w:rsidRPr="00884FAA" w:rsidRDefault="000101E8" w:rsidP="0079018E">
            <w:pPr>
              <w:pStyle w:val="TableText"/>
              <w:spacing w:before="40" w:after="40"/>
              <w:ind w:left="-57" w:right="-57"/>
              <w:rPr>
                <w:sz w:val="18"/>
                <w:szCs w:val="18"/>
              </w:rPr>
            </w:pPr>
            <w:r w:rsidRPr="00884FAA">
              <w:rPr>
                <w:sz w:val="18"/>
                <w:szCs w:val="18"/>
              </w:rPr>
              <w:t>Age</w:t>
            </w:r>
          </w:p>
        </w:tc>
        <w:tc>
          <w:tcPr>
            <w:tcW w:w="1446" w:type="dxa"/>
            <w:noWrap/>
            <w:hideMark/>
          </w:tcPr>
          <w:p w14:paraId="5259C34E"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.30 (.20,.37)</w:t>
            </w:r>
          </w:p>
        </w:tc>
        <w:tc>
          <w:tcPr>
            <w:tcW w:w="993" w:type="dxa"/>
            <w:noWrap/>
            <w:hideMark/>
          </w:tcPr>
          <w:p w14:paraId="58A65842"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IER</w:t>
            </w:r>
          </w:p>
        </w:tc>
        <w:tc>
          <w:tcPr>
            <w:tcW w:w="1417" w:type="dxa"/>
            <w:noWrap/>
            <w:hideMark/>
          </w:tcPr>
          <w:p w14:paraId="0094BC6A"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-.13 (-.25,-.09)</w:t>
            </w:r>
          </w:p>
        </w:tc>
        <w:tc>
          <w:tcPr>
            <w:tcW w:w="851" w:type="dxa"/>
            <w:noWrap/>
            <w:hideMark/>
          </w:tcPr>
          <w:p w14:paraId="650CD937"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Age</w:t>
            </w:r>
          </w:p>
        </w:tc>
        <w:tc>
          <w:tcPr>
            <w:tcW w:w="1287" w:type="dxa"/>
            <w:noWrap/>
            <w:hideMark/>
          </w:tcPr>
          <w:p w14:paraId="38F6015A"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.32 (.24,.38)</w:t>
            </w:r>
          </w:p>
        </w:tc>
        <w:tc>
          <w:tcPr>
            <w:tcW w:w="871" w:type="dxa"/>
            <w:noWrap/>
            <w:hideMark/>
          </w:tcPr>
          <w:p w14:paraId="509EADFD"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IER</w:t>
            </w:r>
          </w:p>
        </w:tc>
        <w:tc>
          <w:tcPr>
            <w:tcW w:w="1336" w:type="dxa"/>
            <w:noWrap/>
            <w:hideMark/>
          </w:tcPr>
          <w:p w14:paraId="7285AA02"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-.21 (-.34,-.19)</w:t>
            </w:r>
          </w:p>
        </w:tc>
      </w:tr>
      <w:tr w:rsidR="000101E8" w:rsidRPr="00884FAA" w14:paraId="728F1116"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6F459F1C" w14:textId="77777777" w:rsidR="000101E8" w:rsidRPr="00884FAA" w:rsidRDefault="000101E8" w:rsidP="0079018E">
            <w:pPr>
              <w:pStyle w:val="TableText"/>
              <w:spacing w:before="40" w:after="40"/>
              <w:ind w:left="-57" w:right="-57"/>
              <w:rPr>
                <w:sz w:val="18"/>
                <w:szCs w:val="18"/>
              </w:rPr>
            </w:pPr>
            <w:r w:rsidRPr="00884FAA">
              <w:rPr>
                <w:sz w:val="18"/>
                <w:szCs w:val="18"/>
              </w:rPr>
              <w:t>NT</w:t>
            </w:r>
          </w:p>
        </w:tc>
        <w:tc>
          <w:tcPr>
            <w:tcW w:w="1446" w:type="dxa"/>
            <w:noWrap/>
            <w:hideMark/>
          </w:tcPr>
          <w:p w14:paraId="5CF5D9A6"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.25 (.22,.26)</w:t>
            </w:r>
          </w:p>
        </w:tc>
        <w:tc>
          <w:tcPr>
            <w:tcW w:w="993" w:type="dxa"/>
            <w:noWrap/>
            <w:hideMark/>
          </w:tcPr>
          <w:p w14:paraId="5EABA579"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Males</w:t>
            </w:r>
          </w:p>
        </w:tc>
        <w:tc>
          <w:tcPr>
            <w:tcW w:w="1417" w:type="dxa"/>
            <w:noWrap/>
            <w:hideMark/>
          </w:tcPr>
          <w:p w14:paraId="79F7E992"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-.08 (-.09,-.05)</w:t>
            </w:r>
          </w:p>
        </w:tc>
        <w:tc>
          <w:tcPr>
            <w:tcW w:w="851" w:type="dxa"/>
            <w:noWrap/>
            <w:hideMark/>
          </w:tcPr>
          <w:p w14:paraId="36C8855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Remote</w:t>
            </w:r>
          </w:p>
        </w:tc>
        <w:tc>
          <w:tcPr>
            <w:tcW w:w="1287" w:type="dxa"/>
            <w:noWrap/>
            <w:hideMark/>
          </w:tcPr>
          <w:p w14:paraId="45B04BD2"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.25 (.05,.35)</w:t>
            </w:r>
          </w:p>
        </w:tc>
        <w:tc>
          <w:tcPr>
            <w:tcW w:w="871" w:type="dxa"/>
            <w:noWrap/>
            <w:hideMark/>
          </w:tcPr>
          <w:p w14:paraId="1759A2BD"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Imm</w:t>
            </w:r>
          </w:p>
        </w:tc>
        <w:tc>
          <w:tcPr>
            <w:tcW w:w="1336" w:type="dxa"/>
            <w:noWrap/>
            <w:hideMark/>
          </w:tcPr>
          <w:p w14:paraId="64C4F244"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-.17 (-.23,-.11)</w:t>
            </w:r>
          </w:p>
        </w:tc>
      </w:tr>
      <w:tr w:rsidR="000101E8" w:rsidRPr="00884FAA" w14:paraId="55CB52B9"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1C1DC56E" w14:textId="77777777" w:rsidR="000101E8" w:rsidRPr="00884FAA" w:rsidRDefault="000101E8" w:rsidP="0079018E">
            <w:pPr>
              <w:pStyle w:val="TableText"/>
              <w:spacing w:before="40" w:after="40"/>
              <w:ind w:left="-57" w:right="-57"/>
              <w:rPr>
                <w:sz w:val="18"/>
                <w:szCs w:val="18"/>
              </w:rPr>
            </w:pPr>
            <w:r w:rsidRPr="00884FAA">
              <w:rPr>
                <w:sz w:val="18"/>
                <w:szCs w:val="18"/>
              </w:rPr>
              <w:t>PIP</w:t>
            </w:r>
          </w:p>
        </w:tc>
        <w:tc>
          <w:tcPr>
            <w:tcW w:w="1446" w:type="dxa"/>
            <w:noWrap/>
            <w:hideMark/>
          </w:tcPr>
          <w:p w14:paraId="3D2BD784"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.22 (.20,.36)</w:t>
            </w:r>
          </w:p>
        </w:tc>
        <w:tc>
          <w:tcPr>
            <w:tcW w:w="993" w:type="dxa"/>
            <w:noWrap/>
            <w:hideMark/>
          </w:tcPr>
          <w:p w14:paraId="55F7B287"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IRSD</w:t>
            </w:r>
          </w:p>
        </w:tc>
        <w:tc>
          <w:tcPr>
            <w:tcW w:w="1417" w:type="dxa"/>
            <w:noWrap/>
            <w:hideMark/>
          </w:tcPr>
          <w:p w14:paraId="1A88BB23"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-.06 (-.06,.04)</w:t>
            </w:r>
          </w:p>
        </w:tc>
        <w:tc>
          <w:tcPr>
            <w:tcW w:w="851" w:type="dxa"/>
            <w:noWrap/>
            <w:hideMark/>
          </w:tcPr>
          <w:p w14:paraId="0A7FFC3E"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Qld</w:t>
            </w:r>
          </w:p>
        </w:tc>
        <w:tc>
          <w:tcPr>
            <w:tcW w:w="1287" w:type="dxa"/>
            <w:noWrap/>
            <w:hideMark/>
          </w:tcPr>
          <w:p w14:paraId="6AFC97C9"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.25 (.24,.32)</w:t>
            </w:r>
          </w:p>
        </w:tc>
        <w:tc>
          <w:tcPr>
            <w:tcW w:w="871" w:type="dxa"/>
            <w:noWrap/>
            <w:hideMark/>
          </w:tcPr>
          <w:p w14:paraId="7757DBDF"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Tas</w:t>
            </w:r>
          </w:p>
        </w:tc>
        <w:tc>
          <w:tcPr>
            <w:tcW w:w="1336" w:type="dxa"/>
            <w:noWrap/>
            <w:hideMark/>
          </w:tcPr>
          <w:p w14:paraId="009B02E9"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-.17 (-.19,-.14)</w:t>
            </w:r>
          </w:p>
        </w:tc>
      </w:tr>
      <w:tr w:rsidR="000101E8" w:rsidRPr="00884FAA" w14:paraId="20CFB346"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28DEE38D" w14:textId="77777777" w:rsidR="000101E8" w:rsidRPr="00884FAA" w:rsidRDefault="000101E8" w:rsidP="0079018E">
            <w:pPr>
              <w:pStyle w:val="TableText"/>
              <w:spacing w:before="40" w:after="40"/>
              <w:ind w:left="-57" w:right="-57"/>
              <w:rPr>
                <w:sz w:val="18"/>
                <w:szCs w:val="18"/>
              </w:rPr>
            </w:pPr>
            <w:r w:rsidRPr="00884FAA">
              <w:rPr>
                <w:sz w:val="18"/>
                <w:szCs w:val="18"/>
              </w:rPr>
              <w:t>WA</w:t>
            </w:r>
          </w:p>
        </w:tc>
        <w:tc>
          <w:tcPr>
            <w:tcW w:w="1446" w:type="dxa"/>
            <w:noWrap/>
            <w:hideMark/>
          </w:tcPr>
          <w:p w14:paraId="09CC69F9"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.16 (.15,.20)</w:t>
            </w:r>
          </w:p>
        </w:tc>
        <w:tc>
          <w:tcPr>
            <w:tcW w:w="993" w:type="dxa"/>
            <w:noWrap/>
            <w:hideMark/>
          </w:tcPr>
          <w:p w14:paraId="020A2F75"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MBS GP</w:t>
            </w:r>
          </w:p>
        </w:tc>
        <w:tc>
          <w:tcPr>
            <w:tcW w:w="1417" w:type="dxa"/>
            <w:noWrap/>
            <w:hideMark/>
          </w:tcPr>
          <w:p w14:paraId="5BCB3F3E"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-.05 (-.24,.02)</w:t>
            </w:r>
          </w:p>
        </w:tc>
        <w:tc>
          <w:tcPr>
            <w:tcW w:w="851" w:type="dxa"/>
            <w:noWrap/>
            <w:hideMark/>
          </w:tcPr>
          <w:p w14:paraId="1F462005"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Vic</w:t>
            </w:r>
          </w:p>
        </w:tc>
        <w:tc>
          <w:tcPr>
            <w:tcW w:w="1287" w:type="dxa"/>
            <w:noWrap/>
            <w:hideMark/>
          </w:tcPr>
          <w:p w14:paraId="604718E9"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.16 (.14,.19)</w:t>
            </w:r>
          </w:p>
        </w:tc>
        <w:tc>
          <w:tcPr>
            <w:tcW w:w="871" w:type="dxa"/>
            <w:noWrap/>
            <w:hideMark/>
          </w:tcPr>
          <w:p w14:paraId="22938C3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Males</w:t>
            </w:r>
          </w:p>
        </w:tc>
        <w:tc>
          <w:tcPr>
            <w:tcW w:w="1336" w:type="dxa"/>
            <w:noWrap/>
            <w:hideMark/>
          </w:tcPr>
          <w:p w14:paraId="11771790"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-.16 (-.19,-.12)</w:t>
            </w:r>
          </w:p>
        </w:tc>
      </w:tr>
      <w:tr w:rsidR="000101E8" w:rsidRPr="00884FAA" w14:paraId="27634B0B"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0F437F6D" w14:textId="77777777" w:rsidR="000101E8" w:rsidRPr="00884FAA" w:rsidRDefault="000101E8" w:rsidP="0079018E">
            <w:pPr>
              <w:pStyle w:val="TableText"/>
              <w:spacing w:before="40" w:after="40"/>
              <w:ind w:left="-57" w:right="-57"/>
              <w:rPr>
                <w:sz w:val="18"/>
                <w:szCs w:val="18"/>
              </w:rPr>
            </w:pPr>
            <w:r w:rsidRPr="00884FAA">
              <w:rPr>
                <w:sz w:val="18"/>
                <w:szCs w:val="18"/>
              </w:rPr>
              <w:t>IEO</w:t>
            </w:r>
          </w:p>
        </w:tc>
        <w:tc>
          <w:tcPr>
            <w:tcW w:w="1446" w:type="dxa"/>
            <w:noWrap/>
            <w:hideMark/>
          </w:tcPr>
          <w:p w14:paraId="2B7C2628"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.12 (.10,.22)</w:t>
            </w:r>
          </w:p>
        </w:tc>
        <w:tc>
          <w:tcPr>
            <w:tcW w:w="993" w:type="dxa"/>
            <w:noWrap/>
            <w:hideMark/>
          </w:tcPr>
          <w:p w14:paraId="54D090CA"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IRSAD</w:t>
            </w:r>
          </w:p>
        </w:tc>
        <w:tc>
          <w:tcPr>
            <w:tcW w:w="1417" w:type="dxa"/>
            <w:noWrap/>
            <w:hideMark/>
          </w:tcPr>
          <w:p w14:paraId="604F816E"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-.04 (-.04,.08)</w:t>
            </w:r>
          </w:p>
        </w:tc>
        <w:tc>
          <w:tcPr>
            <w:tcW w:w="851" w:type="dxa"/>
            <w:noWrap/>
            <w:hideMark/>
          </w:tcPr>
          <w:p w14:paraId="65252FF3"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SA</w:t>
            </w:r>
          </w:p>
        </w:tc>
        <w:tc>
          <w:tcPr>
            <w:tcW w:w="1287" w:type="dxa"/>
            <w:noWrap/>
            <w:hideMark/>
          </w:tcPr>
          <w:p w14:paraId="5EAD790F"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.14 (.10,.16)</w:t>
            </w:r>
          </w:p>
        </w:tc>
        <w:tc>
          <w:tcPr>
            <w:tcW w:w="871" w:type="dxa"/>
            <w:noWrap/>
            <w:hideMark/>
          </w:tcPr>
          <w:p w14:paraId="400A10FC"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IRSD</w:t>
            </w:r>
          </w:p>
        </w:tc>
        <w:tc>
          <w:tcPr>
            <w:tcW w:w="1336" w:type="dxa"/>
            <w:noWrap/>
            <w:hideMark/>
          </w:tcPr>
          <w:p w14:paraId="5D3A79E6"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-.07 (-.13,-.01)</w:t>
            </w:r>
          </w:p>
        </w:tc>
      </w:tr>
      <w:tr w:rsidR="000101E8" w:rsidRPr="00884FAA" w14:paraId="3D9497A5"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41280865" w14:textId="77777777" w:rsidR="000101E8" w:rsidRPr="00884FAA" w:rsidRDefault="000101E8" w:rsidP="0079018E">
            <w:pPr>
              <w:pStyle w:val="TableText"/>
              <w:spacing w:before="40" w:after="40"/>
              <w:ind w:left="-57" w:right="-57"/>
              <w:rPr>
                <w:sz w:val="18"/>
                <w:szCs w:val="18"/>
              </w:rPr>
            </w:pPr>
            <w:r w:rsidRPr="00884FAA">
              <w:rPr>
                <w:sz w:val="18"/>
                <w:szCs w:val="18"/>
              </w:rPr>
              <w:t>Qld</w:t>
            </w:r>
          </w:p>
        </w:tc>
        <w:tc>
          <w:tcPr>
            <w:tcW w:w="1446" w:type="dxa"/>
            <w:noWrap/>
            <w:hideMark/>
          </w:tcPr>
          <w:p w14:paraId="37D6F025"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.12 (.11,.14)</w:t>
            </w:r>
          </w:p>
        </w:tc>
        <w:tc>
          <w:tcPr>
            <w:tcW w:w="993" w:type="dxa"/>
            <w:noWrap/>
            <w:hideMark/>
          </w:tcPr>
          <w:p w14:paraId="4BC7930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Vic</w:t>
            </w:r>
          </w:p>
        </w:tc>
        <w:tc>
          <w:tcPr>
            <w:tcW w:w="1417" w:type="dxa"/>
            <w:noWrap/>
            <w:hideMark/>
          </w:tcPr>
          <w:p w14:paraId="426080B5"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-.00 (-.01,.00)</w:t>
            </w:r>
          </w:p>
        </w:tc>
        <w:tc>
          <w:tcPr>
            <w:tcW w:w="851" w:type="dxa"/>
            <w:noWrap/>
            <w:hideMark/>
          </w:tcPr>
          <w:p w14:paraId="0B3681B0"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PIP</w:t>
            </w:r>
          </w:p>
        </w:tc>
        <w:tc>
          <w:tcPr>
            <w:tcW w:w="1287" w:type="dxa"/>
            <w:noWrap/>
            <w:hideMark/>
          </w:tcPr>
          <w:p w14:paraId="4519FFEC"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.13 (.12,.27)</w:t>
            </w:r>
          </w:p>
        </w:tc>
        <w:tc>
          <w:tcPr>
            <w:tcW w:w="871" w:type="dxa"/>
            <w:noWrap/>
            <w:hideMark/>
          </w:tcPr>
          <w:p w14:paraId="117BE96A"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336" w:type="dxa"/>
            <w:noWrap/>
            <w:hideMark/>
          </w:tcPr>
          <w:p w14:paraId="59B63177"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0101E8" w:rsidRPr="00884FAA" w14:paraId="72CF367A"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3FA978C5" w14:textId="77777777" w:rsidR="000101E8" w:rsidRPr="00884FAA" w:rsidRDefault="000101E8" w:rsidP="0079018E">
            <w:pPr>
              <w:pStyle w:val="TableText"/>
              <w:spacing w:before="40" w:after="40"/>
              <w:ind w:left="-57" w:right="-57"/>
              <w:rPr>
                <w:sz w:val="18"/>
                <w:szCs w:val="18"/>
              </w:rPr>
            </w:pPr>
            <w:r w:rsidRPr="00884FAA">
              <w:rPr>
                <w:sz w:val="18"/>
                <w:szCs w:val="18"/>
              </w:rPr>
              <w:t>SA</w:t>
            </w:r>
          </w:p>
        </w:tc>
        <w:tc>
          <w:tcPr>
            <w:tcW w:w="1446" w:type="dxa"/>
            <w:noWrap/>
            <w:hideMark/>
          </w:tcPr>
          <w:p w14:paraId="638B0291"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.11 (.08,.12)</w:t>
            </w:r>
          </w:p>
        </w:tc>
        <w:tc>
          <w:tcPr>
            <w:tcW w:w="993" w:type="dxa"/>
            <w:noWrap/>
            <w:hideMark/>
          </w:tcPr>
          <w:p w14:paraId="66EE6F2E"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417" w:type="dxa"/>
            <w:noWrap/>
            <w:hideMark/>
          </w:tcPr>
          <w:p w14:paraId="642C373D"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851" w:type="dxa"/>
            <w:noWrap/>
            <w:hideMark/>
          </w:tcPr>
          <w:p w14:paraId="0F4FFED9"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WA</w:t>
            </w:r>
          </w:p>
        </w:tc>
        <w:tc>
          <w:tcPr>
            <w:tcW w:w="1287" w:type="dxa"/>
            <w:noWrap/>
            <w:hideMark/>
          </w:tcPr>
          <w:p w14:paraId="0AF07C97"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.12 (.06,.16)</w:t>
            </w:r>
          </w:p>
        </w:tc>
        <w:tc>
          <w:tcPr>
            <w:tcW w:w="871" w:type="dxa"/>
            <w:noWrap/>
            <w:hideMark/>
          </w:tcPr>
          <w:p w14:paraId="46E85158"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336" w:type="dxa"/>
            <w:noWrap/>
            <w:hideMark/>
          </w:tcPr>
          <w:p w14:paraId="5985886A"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0101E8" w:rsidRPr="00884FAA" w14:paraId="281E0E1B"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0244E54C" w14:textId="77777777" w:rsidR="000101E8" w:rsidRPr="00884FAA" w:rsidRDefault="000101E8" w:rsidP="0079018E">
            <w:pPr>
              <w:pStyle w:val="TableText"/>
              <w:spacing w:before="40" w:after="40"/>
              <w:ind w:left="-57" w:right="-57"/>
              <w:rPr>
                <w:sz w:val="18"/>
                <w:szCs w:val="18"/>
              </w:rPr>
            </w:pPr>
            <w:r w:rsidRPr="00884FAA">
              <w:rPr>
                <w:sz w:val="18"/>
                <w:szCs w:val="18"/>
              </w:rPr>
              <w:t>ACT</w:t>
            </w:r>
          </w:p>
        </w:tc>
        <w:tc>
          <w:tcPr>
            <w:tcW w:w="1446" w:type="dxa"/>
            <w:noWrap/>
            <w:hideMark/>
          </w:tcPr>
          <w:p w14:paraId="281D4A69"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.03 (.01,.05)</w:t>
            </w:r>
          </w:p>
        </w:tc>
        <w:tc>
          <w:tcPr>
            <w:tcW w:w="993" w:type="dxa"/>
            <w:noWrap/>
            <w:hideMark/>
          </w:tcPr>
          <w:p w14:paraId="06BC61A9"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417" w:type="dxa"/>
            <w:noWrap/>
            <w:hideMark/>
          </w:tcPr>
          <w:p w14:paraId="03FB4DC4"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851" w:type="dxa"/>
            <w:noWrap/>
            <w:hideMark/>
          </w:tcPr>
          <w:p w14:paraId="5AE3029C"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IEO</w:t>
            </w:r>
          </w:p>
        </w:tc>
        <w:tc>
          <w:tcPr>
            <w:tcW w:w="1287" w:type="dxa"/>
            <w:noWrap/>
            <w:hideMark/>
          </w:tcPr>
          <w:p w14:paraId="51E8138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.12 (.02,.15)</w:t>
            </w:r>
          </w:p>
        </w:tc>
        <w:tc>
          <w:tcPr>
            <w:tcW w:w="871" w:type="dxa"/>
            <w:noWrap/>
            <w:hideMark/>
          </w:tcPr>
          <w:p w14:paraId="4F4221B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336" w:type="dxa"/>
            <w:noWrap/>
            <w:hideMark/>
          </w:tcPr>
          <w:p w14:paraId="37147D77"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0101E8" w:rsidRPr="00884FAA" w14:paraId="1B1D6C72"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1213B98D" w14:textId="77777777" w:rsidR="000101E8" w:rsidRPr="00884FAA" w:rsidRDefault="000101E8" w:rsidP="0079018E">
            <w:pPr>
              <w:pStyle w:val="TableText"/>
              <w:spacing w:before="40" w:after="40"/>
              <w:ind w:left="-57" w:right="-57"/>
              <w:rPr>
                <w:sz w:val="18"/>
                <w:szCs w:val="18"/>
              </w:rPr>
            </w:pPr>
            <w:r w:rsidRPr="00884FAA">
              <w:rPr>
                <w:sz w:val="18"/>
                <w:szCs w:val="18"/>
              </w:rPr>
              <w:t> </w:t>
            </w:r>
          </w:p>
        </w:tc>
        <w:tc>
          <w:tcPr>
            <w:tcW w:w="1446" w:type="dxa"/>
            <w:noWrap/>
            <w:hideMark/>
          </w:tcPr>
          <w:p w14:paraId="19C218FD"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993" w:type="dxa"/>
            <w:noWrap/>
            <w:hideMark/>
          </w:tcPr>
          <w:p w14:paraId="46454F51"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417" w:type="dxa"/>
            <w:noWrap/>
            <w:hideMark/>
          </w:tcPr>
          <w:p w14:paraId="6C00B31C"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851" w:type="dxa"/>
            <w:noWrap/>
            <w:hideMark/>
          </w:tcPr>
          <w:p w14:paraId="71E42D75"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MBS GP</w:t>
            </w:r>
          </w:p>
        </w:tc>
        <w:tc>
          <w:tcPr>
            <w:tcW w:w="1287" w:type="dxa"/>
            <w:noWrap/>
            <w:hideMark/>
          </w:tcPr>
          <w:p w14:paraId="59B0DE1C"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.10 (.03,.20)</w:t>
            </w:r>
          </w:p>
        </w:tc>
        <w:tc>
          <w:tcPr>
            <w:tcW w:w="871" w:type="dxa"/>
            <w:noWrap/>
            <w:hideMark/>
          </w:tcPr>
          <w:p w14:paraId="7145B4B5"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336" w:type="dxa"/>
            <w:noWrap/>
            <w:hideMark/>
          </w:tcPr>
          <w:p w14:paraId="1A326A1C"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0101E8" w:rsidRPr="00884FAA" w14:paraId="667BA050"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79E4F536" w14:textId="77777777" w:rsidR="000101E8" w:rsidRPr="00884FAA" w:rsidRDefault="000101E8" w:rsidP="0079018E">
            <w:pPr>
              <w:pStyle w:val="TableText"/>
              <w:spacing w:before="40" w:after="40"/>
              <w:ind w:left="-57" w:right="-57"/>
              <w:rPr>
                <w:sz w:val="18"/>
                <w:szCs w:val="18"/>
              </w:rPr>
            </w:pPr>
            <w:r w:rsidRPr="00884FAA">
              <w:rPr>
                <w:sz w:val="18"/>
                <w:szCs w:val="18"/>
              </w:rPr>
              <w:t> </w:t>
            </w:r>
          </w:p>
        </w:tc>
        <w:tc>
          <w:tcPr>
            <w:tcW w:w="1446" w:type="dxa"/>
            <w:noWrap/>
            <w:hideMark/>
          </w:tcPr>
          <w:p w14:paraId="5F9FFED1"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3" w:type="dxa"/>
            <w:noWrap/>
            <w:hideMark/>
          </w:tcPr>
          <w:p w14:paraId="17FF8ED7"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417" w:type="dxa"/>
            <w:noWrap/>
            <w:hideMark/>
          </w:tcPr>
          <w:p w14:paraId="42178BB2"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851" w:type="dxa"/>
            <w:noWrap/>
            <w:hideMark/>
          </w:tcPr>
          <w:p w14:paraId="1C57115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ACT</w:t>
            </w:r>
          </w:p>
        </w:tc>
        <w:tc>
          <w:tcPr>
            <w:tcW w:w="1287" w:type="dxa"/>
            <w:noWrap/>
            <w:hideMark/>
          </w:tcPr>
          <w:p w14:paraId="5341231A"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.06 (.04,.10)</w:t>
            </w:r>
          </w:p>
        </w:tc>
        <w:tc>
          <w:tcPr>
            <w:tcW w:w="871" w:type="dxa"/>
            <w:noWrap/>
            <w:hideMark/>
          </w:tcPr>
          <w:p w14:paraId="04EC76E3"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336" w:type="dxa"/>
            <w:noWrap/>
            <w:hideMark/>
          </w:tcPr>
          <w:p w14:paraId="7E999F27"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0101E8" w:rsidRPr="00884FAA" w14:paraId="2251F0AF" w14:textId="77777777" w:rsidTr="00AC0AE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43A1DA1E" w14:textId="77777777" w:rsidR="000101E8" w:rsidRPr="00884FAA" w:rsidRDefault="000101E8" w:rsidP="0079018E">
            <w:pPr>
              <w:pStyle w:val="TableText"/>
              <w:spacing w:before="40" w:after="40"/>
              <w:ind w:left="-57" w:right="-57"/>
              <w:rPr>
                <w:sz w:val="18"/>
                <w:szCs w:val="18"/>
              </w:rPr>
            </w:pPr>
            <w:r w:rsidRPr="00884FAA">
              <w:rPr>
                <w:sz w:val="18"/>
                <w:szCs w:val="18"/>
              </w:rPr>
              <w:t> </w:t>
            </w:r>
          </w:p>
        </w:tc>
        <w:tc>
          <w:tcPr>
            <w:tcW w:w="1446" w:type="dxa"/>
            <w:noWrap/>
            <w:hideMark/>
          </w:tcPr>
          <w:p w14:paraId="333993BB"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993" w:type="dxa"/>
            <w:noWrap/>
            <w:hideMark/>
          </w:tcPr>
          <w:p w14:paraId="42E536D0"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417" w:type="dxa"/>
            <w:noWrap/>
            <w:hideMark/>
          </w:tcPr>
          <w:p w14:paraId="6E74A725"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851" w:type="dxa"/>
            <w:noWrap/>
            <w:hideMark/>
          </w:tcPr>
          <w:p w14:paraId="0C3D31A1"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Serv</w:t>
            </w:r>
          </w:p>
        </w:tc>
        <w:tc>
          <w:tcPr>
            <w:tcW w:w="1287" w:type="dxa"/>
            <w:noWrap/>
            <w:hideMark/>
          </w:tcPr>
          <w:p w14:paraId="22A59248"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.05 (-.03,.29)</w:t>
            </w:r>
          </w:p>
        </w:tc>
        <w:tc>
          <w:tcPr>
            <w:tcW w:w="871" w:type="dxa"/>
            <w:noWrap/>
            <w:hideMark/>
          </w:tcPr>
          <w:p w14:paraId="44E98EC0"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336" w:type="dxa"/>
            <w:noWrap/>
            <w:hideMark/>
          </w:tcPr>
          <w:p w14:paraId="4F16373D" w14:textId="77777777" w:rsidR="000101E8" w:rsidRPr="00884FAA" w:rsidRDefault="000101E8"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0101E8" w:rsidRPr="00884FAA" w14:paraId="1859D428" w14:textId="77777777" w:rsidTr="00AC0AE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 w:type="dxa"/>
            <w:noWrap/>
            <w:hideMark/>
          </w:tcPr>
          <w:p w14:paraId="437E2403" w14:textId="77777777" w:rsidR="000101E8" w:rsidRPr="00884FAA" w:rsidRDefault="000101E8" w:rsidP="0079018E">
            <w:pPr>
              <w:pStyle w:val="TableText"/>
              <w:spacing w:before="40" w:after="40"/>
              <w:ind w:left="-57" w:right="-57"/>
              <w:rPr>
                <w:sz w:val="18"/>
                <w:szCs w:val="18"/>
              </w:rPr>
            </w:pPr>
            <w:r w:rsidRPr="00884FAA">
              <w:rPr>
                <w:sz w:val="18"/>
                <w:szCs w:val="18"/>
              </w:rPr>
              <w:t> </w:t>
            </w:r>
          </w:p>
        </w:tc>
        <w:tc>
          <w:tcPr>
            <w:tcW w:w="1446" w:type="dxa"/>
            <w:noWrap/>
            <w:hideMark/>
          </w:tcPr>
          <w:p w14:paraId="59385218"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3" w:type="dxa"/>
            <w:noWrap/>
            <w:hideMark/>
          </w:tcPr>
          <w:p w14:paraId="60B235BD"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417" w:type="dxa"/>
            <w:noWrap/>
            <w:hideMark/>
          </w:tcPr>
          <w:p w14:paraId="2FC47764"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851" w:type="dxa"/>
            <w:noWrap/>
            <w:hideMark/>
          </w:tcPr>
          <w:p w14:paraId="1F25081A"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IRSAD</w:t>
            </w:r>
          </w:p>
        </w:tc>
        <w:tc>
          <w:tcPr>
            <w:tcW w:w="1287" w:type="dxa"/>
            <w:noWrap/>
            <w:hideMark/>
          </w:tcPr>
          <w:p w14:paraId="6AB49FF0"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.00 (-.08,.07)</w:t>
            </w:r>
          </w:p>
        </w:tc>
        <w:tc>
          <w:tcPr>
            <w:tcW w:w="871" w:type="dxa"/>
            <w:noWrap/>
            <w:hideMark/>
          </w:tcPr>
          <w:p w14:paraId="2E68B9DE"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336" w:type="dxa"/>
            <w:noWrap/>
            <w:hideMark/>
          </w:tcPr>
          <w:p w14:paraId="02AF40E9" w14:textId="77777777" w:rsidR="000101E8" w:rsidRPr="00884FAA" w:rsidRDefault="000101E8"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bl>
    <w:p w14:paraId="10F31A44" w14:textId="47C52105" w:rsidR="001B074D" w:rsidRPr="00884FAA" w:rsidRDefault="001B074D" w:rsidP="001B074D">
      <w:pPr>
        <w:pStyle w:val="Caption"/>
      </w:pPr>
      <w:bookmarkStart w:id="301" w:name="_Ref136438724"/>
      <w:bookmarkStart w:id="302" w:name="_Toc138851355"/>
      <w:r w:rsidRPr="00884FAA">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12</w:t>
      </w:r>
      <w:r w:rsidR="005B4A4F">
        <w:fldChar w:fldCharType="end"/>
      </w:r>
      <w:bookmarkEnd w:id="301"/>
      <w:r w:rsidRPr="00884FAA">
        <w:t xml:space="preserve">. </w:t>
      </w:r>
      <w:r w:rsidR="006E50E6" w:rsidRPr="00884FAA">
        <w:t>Effects of primary care activity and social determinants on potentially preventable hospitalisations at Time 1 (2011) and Time 2 (2016)</w:t>
      </w:r>
      <w:bookmarkEnd w:id="302"/>
    </w:p>
    <w:p w14:paraId="7A2F755F" w14:textId="0F71A9E3" w:rsidR="00BE02CB" w:rsidRPr="00884FAA" w:rsidRDefault="00424E56" w:rsidP="003D475B">
      <w:r w:rsidRPr="00884FAA">
        <w:rPr>
          <w:noProof/>
        </w:rPr>
        <w:drawing>
          <wp:inline distT="0" distB="0" distL="0" distR="0" wp14:anchorId="168F124E" wp14:editId="014A5C9E">
            <wp:extent cx="5731510" cy="4600575"/>
            <wp:effectExtent l="0" t="0" r="0" b="0"/>
            <wp:docPr id="63" name="Picture 63" descr="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s"/>
                    <pic:cNvPicPr/>
                  </pic:nvPicPr>
                  <pic:blipFill>
                    <a:blip r:embed="rId142">
                      <a:extLst>
                        <a:ext uri="{28A0092B-C50C-407E-A947-70E740481C1C}">
                          <a14:useLocalDpi xmlns:a14="http://schemas.microsoft.com/office/drawing/2010/main" val="0"/>
                        </a:ext>
                      </a:extLst>
                    </a:blip>
                    <a:stretch>
                      <a:fillRect/>
                    </a:stretch>
                  </pic:blipFill>
                  <pic:spPr>
                    <a:xfrm>
                      <a:off x="0" y="0"/>
                      <a:ext cx="5731510" cy="4600575"/>
                    </a:xfrm>
                    <a:prstGeom prst="rect">
                      <a:avLst/>
                    </a:prstGeom>
                  </pic:spPr>
                </pic:pic>
              </a:graphicData>
            </a:graphic>
          </wp:inline>
        </w:drawing>
      </w:r>
    </w:p>
    <w:p w14:paraId="5597DB99" w14:textId="10E06A7E" w:rsidR="00F91E7F" w:rsidRPr="00884FAA" w:rsidRDefault="00F91E7F" w:rsidP="00F91E7F">
      <w:pPr>
        <w:pStyle w:val="Caption"/>
      </w:pPr>
      <w:bookmarkStart w:id="303" w:name="_Toc138851291"/>
      <w:r w:rsidRPr="00884FAA">
        <w:lastRenderedPageBreak/>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7</w:t>
      </w:r>
      <w:r w:rsidR="00B92D87">
        <w:fldChar w:fldCharType="end"/>
      </w:r>
      <w:r w:rsidRPr="00884FAA">
        <w:t>. Standardised regression coefficients (in decreasing order) by time point and direction of effect for PPH</w:t>
      </w:r>
      <w:bookmarkEnd w:id="303"/>
    </w:p>
    <w:tbl>
      <w:tblPr>
        <w:tblStyle w:val="ACTableDesign1White"/>
        <w:tblW w:w="0" w:type="auto"/>
        <w:tblLook w:val="04A0" w:firstRow="1" w:lastRow="0" w:firstColumn="1" w:lastColumn="0" w:noHBand="0" w:noVBand="1"/>
      </w:tblPr>
      <w:tblGrid>
        <w:gridCol w:w="920"/>
        <w:gridCol w:w="1208"/>
        <w:gridCol w:w="988"/>
        <w:gridCol w:w="1416"/>
        <w:gridCol w:w="993"/>
        <w:gridCol w:w="1276"/>
        <w:gridCol w:w="923"/>
        <w:gridCol w:w="1295"/>
      </w:tblGrid>
      <w:tr w:rsidR="00F91E7F" w:rsidRPr="00884FAA" w14:paraId="50E1F5EC" w14:textId="77777777" w:rsidTr="006B390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32" w:type="dxa"/>
            <w:gridSpan w:val="4"/>
            <w:noWrap/>
            <w:hideMark/>
          </w:tcPr>
          <w:p w14:paraId="00AC4F94" w14:textId="77777777" w:rsidR="00F91E7F" w:rsidRPr="0058387D" w:rsidRDefault="00F91E7F" w:rsidP="0079018E">
            <w:pPr>
              <w:pStyle w:val="TableText"/>
              <w:spacing w:before="40" w:after="40"/>
              <w:ind w:left="-57" w:right="-57"/>
              <w:rPr>
                <w:bCs/>
                <w:color w:val="000000" w:themeColor="text1"/>
              </w:rPr>
            </w:pPr>
            <w:r w:rsidRPr="0058387D">
              <w:rPr>
                <w:bCs/>
                <w:color w:val="000000" w:themeColor="text1"/>
              </w:rPr>
              <w:t>Time 1</w:t>
            </w:r>
          </w:p>
        </w:tc>
        <w:tc>
          <w:tcPr>
            <w:tcW w:w="4487" w:type="dxa"/>
            <w:gridSpan w:val="4"/>
            <w:noWrap/>
            <w:hideMark/>
          </w:tcPr>
          <w:p w14:paraId="6D7587A7" w14:textId="77777777" w:rsidR="00F91E7F" w:rsidRPr="0058387D" w:rsidRDefault="00F91E7F" w:rsidP="0079018E">
            <w:pPr>
              <w:pStyle w:val="TableText"/>
              <w:spacing w:before="40" w:after="40"/>
              <w:ind w:left="-57" w:right="-57"/>
              <w:cnfStyle w:val="100000000000" w:firstRow="1" w:lastRow="0" w:firstColumn="0" w:lastColumn="0" w:oddVBand="0" w:evenVBand="0" w:oddHBand="0" w:evenHBand="0" w:firstRowFirstColumn="0" w:firstRowLastColumn="0" w:lastRowFirstColumn="0" w:lastRowLastColumn="0"/>
              <w:rPr>
                <w:bCs/>
                <w:color w:val="000000" w:themeColor="text1"/>
              </w:rPr>
            </w:pPr>
            <w:r w:rsidRPr="0058387D">
              <w:rPr>
                <w:bCs/>
                <w:color w:val="000000" w:themeColor="text1"/>
              </w:rPr>
              <w:t>Time 2</w:t>
            </w:r>
          </w:p>
        </w:tc>
      </w:tr>
      <w:tr w:rsidR="00F91E7F" w:rsidRPr="00884FAA" w14:paraId="758F3D00"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8" w:type="dxa"/>
            <w:gridSpan w:val="2"/>
            <w:noWrap/>
            <w:hideMark/>
          </w:tcPr>
          <w:p w14:paraId="44099AD5" w14:textId="77777777" w:rsidR="00F91E7F" w:rsidRPr="00884FAA" w:rsidRDefault="00F91E7F" w:rsidP="0079018E">
            <w:pPr>
              <w:pStyle w:val="TableText"/>
              <w:spacing w:before="40" w:after="40"/>
              <w:ind w:left="-57" w:right="-57"/>
              <w:rPr>
                <w:sz w:val="18"/>
                <w:szCs w:val="18"/>
              </w:rPr>
            </w:pPr>
            <w:r w:rsidRPr="00884FAA">
              <w:rPr>
                <w:sz w:val="18"/>
                <w:szCs w:val="18"/>
              </w:rPr>
              <w:t>Positive</w:t>
            </w:r>
          </w:p>
        </w:tc>
        <w:tc>
          <w:tcPr>
            <w:tcW w:w="2404" w:type="dxa"/>
            <w:gridSpan w:val="2"/>
            <w:noWrap/>
            <w:hideMark/>
          </w:tcPr>
          <w:p w14:paraId="3F85A47C"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Negative</w:t>
            </w:r>
          </w:p>
        </w:tc>
        <w:tc>
          <w:tcPr>
            <w:tcW w:w="2269" w:type="dxa"/>
            <w:gridSpan w:val="2"/>
            <w:noWrap/>
            <w:hideMark/>
          </w:tcPr>
          <w:p w14:paraId="0504115A"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Positive</w:t>
            </w:r>
          </w:p>
        </w:tc>
        <w:tc>
          <w:tcPr>
            <w:tcW w:w="2218" w:type="dxa"/>
            <w:gridSpan w:val="2"/>
            <w:noWrap/>
            <w:hideMark/>
          </w:tcPr>
          <w:p w14:paraId="081A572E"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Negative</w:t>
            </w:r>
          </w:p>
        </w:tc>
      </w:tr>
      <w:tr w:rsidR="00F91E7F" w:rsidRPr="00884FAA" w14:paraId="5E194B20" w14:textId="77777777" w:rsidTr="00415A2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E65D50" w14:textId="77777777" w:rsidR="00F91E7F" w:rsidRPr="00884FAA" w:rsidRDefault="00F91E7F" w:rsidP="0079018E">
            <w:pPr>
              <w:pStyle w:val="TableText"/>
              <w:spacing w:before="40" w:after="40"/>
              <w:ind w:left="-57" w:right="-57"/>
              <w:rPr>
                <w:sz w:val="18"/>
                <w:szCs w:val="18"/>
              </w:rPr>
            </w:pPr>
            <w:r w:rsidRPr="00884FAA">
              <w:rPr>
                <w:sz w:val="18"/>
                <w:szCs w:val="18"/>
              </w:rPr>
              <w:t>Variable</w:t>
            </w:r>
          </w:p>
        </w:tc>
        <w:tc>
          <w:tcPr>
            <w:tcW w:w="1208" w:type="dxa"/>
            <w:noWrap/>
            <w:hideMark/>
          </w:tcPr>
          <w:p w14:paraId="2296A5F9"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988" w:type="dxa"/>
            <w:noWrap/>
            <w:hideMark/>
          </w:tcPr>
          <w:p w14:paraId="086A081E"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1416" w:type="dxa"/>
            <w:noWrap/>
            <w:hideMark/>
          </w:tcPr>
          <w:p w14:paraId="66C62563"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993" w:type="dxa"/>
            <w:noWrap/>
            <w:hideMark/>
          </w:tcPr>
          <w:p w14:paraId="5A953389"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1276" w:type="dxa"/>
            <w:noWrap/>
            <w:hideMark/>
          </w:tcPr>
          <w:p w14:paraId="28E6F02E"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923" w:type="dxa"/>
            <w:noWrap/>
            <w:hideMark/>
          </w:tcPr>
          <w:p w14:paraId="3E98CD48"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1295" w:type="dxa"/>
            <w:noWrap/>
            <w:hideMark/>
          </w:tcPr>
          <w:p w14:paraId="07082252"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r>
      <w:tr w:rsidR="00F91E7F" w:rsidRPr="00884FAA" w14:paraId="692591A3"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45442FB" w14:textId="77777777" w:rsidR="00F91E7F" w:rsidRPr="00884FAA" w:rsidRDefault="00F91E7F" w:rsidP="0079018E">
            <w:pPr>
              <w:pStyle w:val="TableText"/>
              <w:spacing w:before="40" w:after="40"/>
              <w:ind w:left="-57" w:right="-57"/>
              <w:rPr>
                <w:sz w:val="18"/>
                <w:szCs w:val="18"/>
              </w:rPr>
            </w:pPr>
            <w:r w:rsidRPr="00884FAA">
              <w:rPr>
                <w:sz w:val="18"/>
                <w:szCs w:val="18"/>
              </w:rPr>
              <w:t>Remote</w:t>
            </w:r>
          </w:p>
        </w:tc>
        <w:tc>
          <w:tcPr>
            <w:tcW w:w="1208" w:type="dxa"/>
            <w:noWrap/>
            <w:hideMark/>
          </w:tcPr>
          <w:p w14:paraId="7F9A4F14"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.40 (.33,.56)</w:t>
            </w:r>
          </w:p>
        </w:tc>
        <w:tc>
          <w:tcPr>
            <w:tcW w:w="988" w:type="dxa"/>
            <w:noWrap/>
            <w:hideMark/>
          </w:tcPr>
          <w:p w14:paraId="5DD89F6F"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Tas</w:t>
            </w:r>
          </w:p>
        </w:tc>
        <w:tc>
          <w:tcPr>
            <w:tcW w:w="1416" w:type="dxa"/>
            <w:noWrap/>
            <w:hideMark/>
          </w:tcPr>
          <w:p w14:paraId="5A695830"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-.21 (-.22,-.20)</w:t>
            </w:r>
          </w:p>
        </w:tc>
        <w:tc>
          <w:tcPr>
            <w:tcW w:w="993" w:type="dxa"/>
            <w:noWrap/>
            <w:hideMark/>
          </w:tcPr>
          <w:p w14:paraId="166914BD"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NT</w:t>
            </w:r>
          </w:p>
        </w:tc>
        <w:tc>
          <w:tcPr>
            <w:tcW w:w="1276" w:type="dxa"/>
            <w:noWrap/>
            <w:hideMark/>
          </w:tcPr>
          <w:p w14:paraId="584D4E55"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.48 (.47,.55)</w:t>
            </w:r>
          </w:p>
        </w:tc>
        <w:tc>
          <w:tcPr>
            <w:tcW w:w="923" w:type="dxa"/>
            <w:noWrap/>
            <w:hideMark/>
          </w:tcPr>
          <w:p w14:paraId="28C2EB25"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IRSEO</w:t>
            </w:r>
          </w:p>
        </w:tc>
        <w:tc>
          <w:tcPr>
            <w:tcW w:w="1295" w:type="dxa"/>
            <w:noWrap/>
            <w:hideMark/>
          </w:tcPr>
          <w:p w14:paraId="58C3C33B"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-.27 (-.38,-.18)</w:t>
            </w:r>
          </w:p>
        </w:tc>
      </w:tr>
      <w:tr w:rsidR="00F91E7F" w:rsidRPr="00884FAA" w14:paraId="788028BF" w14:textId="77777777" w:rsidTr="00415A2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83EE2A" w14:textId="77777777" w:rsidR="00F91E7F" w:rsidRPr="00884FAA" w:rsidRDefault="00F91E7F" w:rsidP="0079018E">
            <w:pPr>
              <w:pStyle w:val="TableText"/>
              <w:spacing w:before="40" w:after="40"/>
              <w:ind w:left="-57" w:right="-57"/>
              <w:rPr>
                <w:sz w:val="18"/>
                <w:szCs w:val="18"/>
              </w:rPr>
            </w:pPr>
            <w:r w:rsidRPr="00884FAA">
              <w:rPr>
                <w:sz w:val="18"/>
                <w:szCs w:val="18"/>
              </w:rPr>
              <w:t>NT</w:t>
            </w:r>
          </w:p>
        </w:tc>
        <w:tc>
          <w:tcPr>
            <w:tcW w:w="1208" w:type="dxa"/>
            <w:noWrap/>
            <w:hideMark/>
          </w:tcPr>
          <w:p w14:paraId="6C54BE50"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.36 (.35,.37)</w:t>
            </w:r>
          </w:p>
        </w:tc>
        <w:tc>
          <w:tcPr>
            <w:tcW w:w="988" w:type="dxa"/>
            <w:noWrap/>
            <w:hideMark/>
          </w:tcPr>
          <w:p w14:paraId="0A15E30D"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IER</w:t>
            </w:r>
          </w:p>
        </w:tc>
        <w:tc>
          <w:tcPr>
            <w:tcW w:w="1416" w:type="dxa"/>
            <w:noWrap/>
            <w:hideMark/>
          </w:tcPr>
          <w:p w14:paraId="04B41110"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-.12 (-.28,-.06)</w:t>
            </w:r>
          </w:p>
        </w:tc>
        <w:tc>
          <w:tcPr>
            <w:tcW w:w="993" w:type="dxa"/>
            <w:noWrap/>
            <w:hideMark/>
          </w:tcPr>
          <w:p w14:paraId="0AFF5427"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Remote</w:t>
            </w:r>
          </w:p>
        </w:tc>
        <w:tc>
          <w:tcPr>
            <w:tcW w:w="1276" w:type="dxa"/>
            <w:noWrap/>
            <w:hideMark/>
          </w:tcPr>
          <w:p w14:paraId="004C1EA2"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.33 (.16,.53)</w:t>
            </w:r>
          </w:p>
        </w:tc>
        <w:tc>
          <w:tcPr>
            <w:tcW w:w="923" w:type="dxa"/>
            <w:noWrap/>
            <w:hideMark/>
          </w:tcPr>
          <w:p w14:paraId="033FE4C1"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Imm</w:t>
            </w:r>
          </w:p>
        </w:tc>
        <w:tc>
          <w:tcPr>
            <w:tcW w:w="1295" w:type="dxa"/>
            <w:noWrap/>
            <w:hideMark/>
          </w:tcPr>
          <w:p w14:paraId="4537608F"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-.17 (-.26,-.10)</w:t>
            </w:r>
          </w:p>
        </w:tc>
      </w:tr>
      <w:tr w:rsidR="00F91E7F" w:rsidRPr="00884FAA" w14:paraId="6F94D203"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E0F392" w14:textId="77777777" w:rsidR="00F91E7F" w:rsidRPr="00884FAA" w:rsidRDefault="00F91E7F" w:rsidP="0079018E">
            <w:pPr>
              <w:pStyle w:val="TableText"/>
              <w:spacing w:before="40" w:after="40"/>
              <w:ind w:left="-57" w:right="-57"/>
              <w:rPr>
                <w:sz w:val="18"/>
                <w:szCs w:val="18"/>
              </w:rPr>
            </w:pPr>
            <w:r w:rsidRPr="00884FAA">
              <w:rPr>
                <w:sz w:val="18"/>
                <w:szCs w:val="18"/>
              </w:rPr>
              <w:t>Age</w:t>
            </w:r>
          </w:p>
        </w:tc>
        <w:tc>
          <w:tcPr>
            <w:tcW w:w="1208" w:type="dxa"/>
            <w:noWrap/>
            <w:hideMark/>
          </w:tcPr>
          <w:p w14:paraId="05ECF704"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.23 (.12,.29)</w:t>
            </w:r>
          </w:p>
        </w:tc>
        <w:tc>
          <w:tcPr>
            <w:tcW w:w="988" w:type="dxa"/>
            <w:noWrap/>
            <w:hideMark/>
          </w:tcPr>
          <w:p w14:paraId="6ECD1929"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IRSD</w:t>
            </w:r>
          </w:p>
        </w:tc>
        <w:tc>
          <w:tcPr>
            <w:tcW w:w="1416" w:type="dxa"/>
            <w:noWrap/>
            <w:hideMark/>
          </w:tcPr>
          <w:p w14:paraId="4D4B2963"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-.07 (-.14,.06)</w:t>
            </w:r>
          </w:p>
        </w:tc>
        <w:tc>
          <w:tcPr>
            <w:tcW w:w="993" w:type="dxa"/>
            <w:noWrap/>
            <w:hideMark/>
          </w:tcPr>
          <w:p w14:paraId="577F9F98"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Qld</w:t>
            </w:r>
          </w:p>
        </w:tc>
        <w:tc>
          <w:tcPr>
            <w:tcW w:w="1276" w:type="dxa"/>
            <w:noWrap/>
            <w:hideMark/>
          </w:tcPr>
          <w:p w14:paraId="561A61E2"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.23 (.22,.28)</w:t>
            </w:r>
          </w:p>
        </w:tc>
        <w:tc>
          <w:tcPr>
            <w:tcW w:w="923" w:type="dxa"/>
            <w:noWrap/>
            <w:hideMark/>
          </w:tcPr>
          <w:p w14:paraId="4D2A08DF"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Tas</w:t>
            </w:r>
          </w:p>
        </w:tc>
        <w:tc>
          <w:tcPr>
            <w:tcW w:w="1295" w:type="dxa"/>
            <w:noWrap/>
            <w:hideMark/>
          </w:tcPr>
          <w:p w14:paraId="60A330D2"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-.17 (-.19,-.14)</w:t>
            </w:r>
          </w:p>
        </w:tc>
      </w:tr>
      <w:tr w:rsidR="00F91E7F" w:rsidRPr="00884FAA" w14:paraId="56C69E24" w14:textId="77777777" w:rsidTr="00415A2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E206C2" w14:textId="77777777" w:rsidR="00F91E7F" w:rsidRPr="00884FAA" w:rsidRDefault="00F91E7F" w:rsidP="0079018E">
            <w:pPr>
              <w:pStyle w:val="TableText"/>
              <w:spacing w:before="40" w:after="40"/>
              <w:ind w:left="-57" w:right="-57"/>
              <w:rPr>
                <w:sz w:val="18"/>
                <w:szCs w:val="18"/>
              </w:rPr>
            </w:pPr>
            <w:r w:rsidRPr="00884FAA">
              <w:rPr>
                <w:sz w:val="18"/>
                <w:szCs w:val="18"/>
              </w:rPr>
              <w:t>Qld</w:t>
            </w:r>
          </w:p>
        </w:tc>
        <w:tc>
          <w:tcPr>
            <w:tcW w:w="1208" w:type="dxa"/>
            <w:noWrap/>
            <w:hideMark/>
          </w:tcPr>
          <w:p w14:paraId="0429F8FA"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.19 (.18,.20)</w:t>
            </w:r>
          </w:p>
        </w:tc>
        <w:tc>
          <w:tcPr>
            <w:tcW w:w="988" w:type="dxa"/>
            <w:noWrap/>
            <w:hideMark/>
          </w:tcPr>
          <w:p w14:paraId="594140A5"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Males</w:t>
            </w:r>
          </w:p>
        </w:tc>
        <w:tc>
          <w:tcPr>
            <w:tcW w:w="1416" w:type="dxa"/>
            <w:noWrap/>
            <w:hideMark/>
          </w:tcPr>
          <w:p w14:paraId="3759F221"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-.06 (-.07,-.03)</w:t>
            </w:r>
          </w:p>
        </w:tc>
        <w:tc>
          <w:tcPr>
            <w:tcW w:w="993" w:type="dxa"/>
            <w:noWrap/>
            <w:hideMark/>
          </w:tcPr>
          <w:p w14:paraId="10AA9CF4"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Age</w:t>
            </w:r>
          </w:p>
        </w:tc>
        <w:tc>
          <w:tcPr>
            <w:tcW w:w="1276" w:type="dxa"/>
            <w:noWrap/>
            <w:hideMark/>
          </w:tcPr>
          <w:p w14:paraId="7C54029F"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.18 (.10,.22)</w:t>
            </w:r>
          </w:p>
        </w:tc>
        <w:tc>
          <w:tcPr>
            <w:tcW w:w="923" w:type="dxa"/>
            <w:noWrap/>
            <w:hideMark/>
          </w:tcPr>
          <w:p w14:paraId="3DF580A1"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IER</w:t>
            </w:r>
          </w:p>
        </w:tc>
        <w:tc>
          <w:tcPr>
            <w:tcW w:w="1295" w:type="dxa"/>
            <w:noWrap/>
            <w:hideMark/>
          </w:tcPr>
          <w:p w14:paraId="0E546580"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-.16 (-.32,-.13)</w:t>
            </w:r>
          </w:p>
        </w:tc>
      </w:tr>
      <w:tr w:rsidR="00F91E7F" w:rsidRPr="00884FAA" w14:paraId="3CEBAF4B"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C226DF" w14:textId="77777777" w:rsidR="00F91E7F" w:rsidRPr="00884FAA" w:rsidRDefault="00F91E7F" w:rsidP="0079018E">
            <w:pPr>
              <w:pStyle w:val="TableText"/>
              <w:spacing w:before="40" w:after="40"/>
              <w:ind w:left="-57" w:right="-57"/>
              <w:rPr>
                <w:sz w:val="18"/>
                <w:szCs w:val="18"/>
              </w:rPr>
            </w:pPr>
            <w:r w:rsidRPr="00884FAA">
              <w:rPr>
                <w:sz w:val="18"/>
                <w:szCs w:val="18"/>
              </w:rPr>
              <w:t>WA</w:t>
            </w:r>
          </w:p>
        </w:tc>
        <w:tc>
          <w:tcPr>
            <w:tcW w:w="1208" w:type="dxa"/>
            <w:noWrap/>
            <w:hideMark/>
          </w:tcPr>
          <w:p w14:paraId="725A18B1"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.16 (.16,.18)</w:t>
            </w:r>
          </w:p>
        </w:tc>
        <w:tc>
          <w:tcPr>
            <w:tcW w:w="988" w:type="dxa"/>
            <w:noWrap/>
            <w:hideMark/>
          </w:tcPr>
          <w:p w14:paraId="05723CC9"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IRSAD</w:t>
            </w:r>
          </w:p>
        </w:tc>
        <w:tc>
          <w:tcPr>
            <w:tcW w:w="1416" w:type="dxa"/>
            <w:noWrap/>
            <w:hideMark/>
          </w:tcPr>
          <w:p w14:paraId="0A928F83"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-.05 (-.13,.10)</w:t>
            </w:r>
          </w:p>
        </w:tc>
        <w:tc>
          <w:tcPr>
            <w:tcW w:w="993" w:type="dxa"/>
            <w:noWrap/>
            <w:hideMark/>
          </w:tcPr>
          <w:p w14:paraId="339859AD"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Vic</w:t>
            </w:r>
          </w:p>
        </w:tc>
        <w:tc>
          <w:tcPr>
            <w:tcW w:w="1276" w:type="dxa"/>
            <w:noWrap/>
            <w:hideMark/>
          </w:tcPr>
          <w:p w14:paraId="76B50774"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.17 (.15,.19)</w:t>
            </w:r>
          </w:p>
        </w:tc>
        <w:tc>
          <w:tcPr>
            <w:tcW w:w="923" w:type="dxa"/>
            <w:noWrap/>
            <w:hideMark/>
          </w:tcPr>
          <w:p w14:paraId="19EBE388"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Males</w:t>
            </w:r>
          </w:p>
        </w:tc>
        <w:tc>
          <w:tcPr>
            <w:tcW w:w="1295" w:type="dxa"/>
            <w:noWrap/>
            <w:hideMark/>
          </w:tcPr>
          <w:p w14:paraId="09848B96"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-.14 (-.16,-.09)</w:t>
            </w:r>
          </w:p>
        </w:tc>
      </w:tr>
      <w:tr w:rsidR="00F91E7F" w:rsidRPr="00884FAA" w14:paraId="373AD5A3" w14:textId="77777777" w:rsidTr="00415A2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214633" w14:textId="77777777" w:rsidR="00F91E7F" w:rsidRPr="00884FAA" w:rsidRDefault="00F91E7F" w:rsidP="0079018E">
            <w:pPr>
              <w:pStyle w:val="TableText"/>
              <w:spacing w:before="40" w:after="40"/>
              <w:ind w:left="-57" w:right="-57"/>
              <w:rPr>
                <w:sz w:val="18"/>
                <w:szCs w:val="18"/>
              </w:rPr>
            </w:pPr>
            <w:r w:rsidRPr="00884FAA">
              <w:rPr>
                <w:sz w:val="18"/>
                <w:szCs w:val="18"/>
              </w:rPr>
              <w:t>SA</w:t>
            </w:r>
          </w:p>
        </w:tc>
        <w:tc>
          <w:tcPr>
            <w:tcW w:w="1208" w:type="dxa"/>
            <w:noWrap/>
            <w:hideMark/>
          </w:tcPr>
          <w:p w14:paraId="3C8F12BB"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.10 (.09,.11)</w:t>
            </w:r>
          </w:p>
        </w:tc>
        <w:tc>
          <w:tcPr>
            <w:tcW w:w="988" w:type="dxa"/>
            <w:noWrap/>
            <w:hideMark/>
          </w:tcPr>
          <w:p w14:paraId="57CE619B"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MBS GP</w:t>
            </w:r>
          </w:p>
        </w:tc>
        <w:tc>
          <w:tcPr>
            <w:tcW w:w="1416" w:type="dxa"/>
            <w:noWrap/>
            <w:hideMark/>
          </w:tcPr>
          <w:p w14:paraId="238350B3"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-.04 (-.29,.00)</w:t>
            </w:r>
          </w:p>
        </w:tc>
        <w:tc>
          <w:tcPr>
            <w:tcW w:w="993" w:type="dxa"/>
            <w:noWrap/>
            <w:hideMark/>
          </w:tcPr>
          <w:p w14:paraId="7FBBB140"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SA</w:t>
            </w:r>
          </w:p>
        </w:tc>
        <w:tc>
          <w:tcPr>
            <w:tcW w:w="1276" w:type="dxa"/>
            <w:noWrap/>
            <w:hideMark/>
          </w:tcPr>
          <w:p w14:paraId="5E8BD65D"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.13 (.09,.15)</w:t>
            </w:r>
          </w:p>
        </w:tc>
        <w:tc>
          <w:tcPr>
            <w:tcW w:w="923" w:type="dxa"/>
            <w:noWrap/>
            <w:hideMark/>
          </w:tcPr>
          <w:p w14:paraId="35ABA034"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IRSD</w:t>
            </w:r>
          </w:p>
        </w:tc>
        <w:tc>
          <w:tcPr>
            <w:tcW w:w="1295" w:type="dxa"/>
            <w:noWrap/>
            <w:hideMark/>
          </w:tcPr>
          <w:p w14:paraId="142DAC62"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-.07 (-.15,.08)</w:t>
            </w:r>
          </w:p>
        </w:tc>
      </w:tr>
      <w:tr w:rsidR="00F91E7F" w:rsidRPr="00884FAA" w14:paraId="5A22F744"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703595B" w14:textId="77777777" w:rsidR="00F91E7F" w:rsidRPr="00884FAA" w:rsidRDefault="00F91E7F" w:rsidP="0079018E">
            <w:pPr>
              <w:pStyle w:val="TableText"/>
              <w:spacing w:before="40" w:after="40"/>
              <w:ind w:left="-57" w:right="-57"/>
              <w:rPr>
                <w:sz w:val="18"/>
                <w:szCs w:val="18"/>
              </w:rPr>
            </w:pPr>
            <w:r w:rsidRPr="00884FAA">
              <w:rPr>
                <w:sz w:val="18"/>
                <w:szCs w:val="18"/>
              </w:rPr>
              <w:t>PIP</w:t>
            </w:r>
          </w:p>
        </w:tc>
        <w:tc>
          <w:tcPr>
            <w:tcW w:w="1208" w:type="dxa"/>
            <w:noWrap/>
            <w:hideMark/>
          </w:tcPr>
          <w:p w14:paraId="1687BD72"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.10 (.08,.24)</w:t>
            </w:r>
          </w:p>
        </w:tc>
        <w:tc>
          <w:tcPr>
            <w:tcW w:w="988" w:type="dxa"/>
            <w:noWrap/>
            <w:hideMark/>
          </w:tcPr>
          <w:p w14:paraId="707B7988"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416" w:type="dxa"/>
            <w:noWrap/>
            <w:hideMark/>
          </w:tcPr>
          <w:p w14:paraId="4BF23C4F"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3" w:type="dxa"/>
            <w:noWrap/>
            <w:hideMark/>
          </w:tcPr>
          <w:p w14:paraId="27007DBD"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WA</w:t>
            </w:r>
          </w:p>
        </w:tc>
        <w:tc>
          <w:tcPr>
            <w:tcW w:w="1276" w:type="dxa"/>
            <w:noWrap/>
            <w:hideMark/>
          </w:tcPr>
          <w:p w14:paraId="58E489BC"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.13 (.06,.17)</w:t>
            </w:r>
          </w:p>
        </w:tc>
        <w:tc>
          <w:tcPr>
            <w:tcW w:w="923" w:type="dxa"/>
            <w:noWrap/>
            <w:hideMark/>
          </w:tcPr>
          <w:p w14:paraId="5284D57A"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Serv</w:t>
            </w:r>
          </w:p>
        </w:tc>
        <w:tc>
          <w:tcPr>
            <w:tcW w:w="1295" w:type="dxa"/>
            <w:noWrap/>
            <w:hideMark/>
          </w:tcPr>
          <w:p w14:paraId="4CFE7D8A"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-.02 (-.17,.11)</w:t>
            </w:r>
          </w:p>
        </w:tc>
      </w:tr>
      <w:tr w:rsidR="00F91E7F" w:rsidRPr="00884FAA" w14:paraId="6F65B07B" w14:textId="77777777" w:rsidTr="00415A2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D0D5432" w14:textId="77777777" w:rsidR="00F91E7F" w:rsidRPr="00884FAA" w:rsidRDefault="00F91E7F" w:rsidP="0079018E">
            <w:pPr>
              <w:pStyle w:val="TableText"/>
              <w:spacing w:before="40" w:after="40"/>
              <w:ind w:left="-57" w:right="-57"/>
              <w:rPr>
                <w:sz w:val="18"/>
                <w:szCs w:val="18"/>
              </w:rPr>
            </w:pPr>
            <w:r w:rsidRPr="00884FAA">
              <w:rPr>
                <w:sz w:val="18"/>
                <w:szCs w:val="18"/>
              </w:rPr>
              <w:t>ACT</w:t>
            </w:r>
          </w:p>
        </w:tc>
        <w:tc>
          <w:tcPr>
            <w:tcW w:w="1208" w:type="dxa"/>
            <w:noWrap/>
            <w:hideMark/>
          </w:tcPr>
          <w:p w14:paraId="4363C97F"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.06 (.05,.07)</w:t>
            </w:r>
          </w:p>
        </w:tc>
        <w:tc>
          <w:tcPr>
            <w:tcW w:w="988" w:type="dxa"/>
            <w:noWrap/>
            <w:hideMark/>
          </w:tcPr>
          <w:p w14:paraId="6635E3FA"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416" w:type="dxa"/>
            <w:noWrap/>
            <w:hideMark/>
          </w:tcPr>
          <w:p w14:paraId="3C77DBAA"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993" w:type="dxa"/>
            <w:noWrap/>
            <w:hideMark/>
          </w:tcPr>
          <w:p w14:paraId="5D32ED89"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PIP</w:t>
            </w:r>
          </w:p>
        </w:tc>
        <w:tc>
          <w:tcPr>
            <w:tcW w:w="1276" w:type="dxa"/>
            <w:noWrap/>
            <w:hideMark/>
          </w:tcPr>
          <w:p w14:paraId="05CF8660"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.10 (.10,.24)</w:t>
            </w:r>
          </w:p>
        </w:tc>
        <w:tc>
          <w:tcPr>
            <w:tcW w:w="923" w:type="dxa"/>
            <w:noWrap/>
            <w:hideMark/>
          </w:tcPr>
          <w:p w14:paraId="0562D00B"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IRSAD</w:t>
            </w:r>
          </w:p>
        </w:tc>
        <w:tc>
          <w:tcPr>
            <w:tcW w:w="1295" w:type="dxa"/>
            <w:noWrap/>
            <w:hideMark/>
          </w:tcPr>
          <w:p w14:paraId="3AD3EE31"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-.02 (-.11,.17)</w:t>
            </w:r>
          </w:p>
        </w:tc>
      </w:tr>
      <w:tr w:rsidR="00F91E7F" w:rsidRPr="00884FAA" w14:paraId="58AA4022"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53A0FBC" w14:textId="77777777" w:rsidR="00F91E7F" w:rsidRPr="00884FAA" w:rsidRDefault="00F91E7F" w:rsidP="0079018E">
            <w:pPr>
              <w:pStyle w:val="TableText"/>
              <w:spacing w:before="40" w:after="40"/>
              <w:ind w:left="-57" w:right="-57"/>
              <w:rPr>
                <w:sz w:val="18"/>
                <w:szCs w:val="18"/>
              </w:rPr>
            </w:pPr>
            <w:r w:rsidRPr="00884FAA">
              <w:rPr>
                <w:sz w:val="18"/>
                <w:szCs w:val="18"/>
              </w:rPr>
              <w:t>IEO</w:t>
            </w:r>
          </w:p>
        </w:tc>
        <w:tc>
          <w:tcPr>
            <w:tcW w:w="1208" w:type="dxa"/>
            <w:noWrap/>
            <w:hideMark/>
          </w:tcPr>
          <w:p w14:paraId="4F7A99BB"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.05 (-.02,.19)</w:t>
            </w:r>
          </w:p>
        </w:tc>
        <w:tc>
          <w:tcPr>
            <w:tcW w:w="988" w:type="dxa"/>
            <w:noWrap/>
            <w:hideMark/>
          </w:tcPr>
          <w:p w14:paraId="2D686D48"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416" w:type="dxa"/>
            <w:noWrap/>
            <w:hideMark/>
          </w:tcPr>
          <w:p w14:paraId="1A352E89"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3" w:type="dxa"/>
            <w:noWrap/>
            <w:hideMark/>
          </w:tcPr>
          <w:p w14:paraId="05470D46"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IEO</w:t>
            </w:r>
          </w:p>
        </w:tc>
        <w:tc>
          <w:tcPr>
            <w:tcW w:w="1276" w:type="dxa"/>
            <w:noWrap/>
            <w:hideMark/>
          </w:tcPr>
          <w:p w14:paraId="11D4DF32"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.07 (-.05,.21)</w:t>
            </w:r>
          </w:p>
        </w:tc>
        <w:tc>
          <w:tcPr>
            <w:tcW w:w="923" w:type="dxa"/>
            <w:noWrap/>
            <w:hideMark/>
          </w:tcPr>
          <w:p w14:paraId="2E832D73"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295" w:type="dxa"/>
            <w:noWrap/>
            <w:hideMark/>
          </w:tcPr>
          <w:p w14:paraId="797355A9"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F91E7F" w:rsidRPr="00884FAA" w14:paraId="2DC3F5D3" w14:textId="77777777" w:rsidTr="00415A2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D26109" w14:textId="77777777" w:rsidR="00F91E7F" w:rsidRPr="00884FAA" w:rsidRDefault="00F91E7F" w:rsidP="0079018E">
            <w:pPr>
              <w:pStyle w:val="TableText"/>
              <w:spacing w:before="40" w:after="40"/>
              <w:ind w:left="-57" w:right="-57"/>
              <w:rPr>
                <w:sz w:val="18"/>
                <w:szCs w:val="18"/>
              </w:rPr>
            </w:pPr>
            <w:r w:rsidRPr="00884FAA">
              <w:rPr>
                <w:sz w:val="18"/>
                <w:szCs w:val="18"/>
              </w:rPr>
              <w:t>Vic</w:t>
            </w:r>
          </w:p>
        </w:tc>
        <w:tc>
          <w:tcPr>
            <w:tcW w:w="1208" w:type="dxa"/>
            <w:noWrap/>
            <w:hideMark/>
          </w:tcPr>
          <w:p w14:paraId="7AE173B4"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.03 (.02,.03)</w:t>
            </w:r>
          </w:p>
        </w:tc>
        <w:tc>
          <w:tcPr>
            <w:tcW w:w="988" w:type="dxa"/>
            <w:noWrap/>
            <w:hideMark/>
          </w:tcPr>
          <w:p w14:paraId="3620ADA3"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416" w:type="dxa"/>
            <w:noWrap/>
            <w:hideMark/>
          </w:tcPr>
          <w:p w14:paraId="1EB219C3"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993" w:type="dxa"/>
            <w:noWrap/>
            <w:hideMark/>
          </w:tcPr>
          <w:p w14:paraId="3193159F"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ACT</w:t>
            </w:r>
          </w:p>
        </w:tc>
        <w:tc>
          <w:tcPr>
            <w:tcW w:w="1276" w:type="dxa"/>
            <w:noWrap/>
            <w:hideMark/>
          </w:tcPr>
          <w:p w14:paraId="72B14F0C"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.06 (.05,.10)</w:t>
            </w:r>
          </w:p>
        </w:tc>
        <w:tc>
          <w:tcPr>
            <w:tcW w:w="923" w:type="dxa"/>
            <w:noWrap/>
            <w:hideMark/>
          </w:tcPr>
          <w:p w14:paraId="17327AD8"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1295" w:type="dxa"/>
            <w:noWrap/>
            <w:hideMark/>
          </w:tcPr>
          <w:p w14:paraId="069F7123" w14:textId="77777777" w:rsidR="00F91E7F" w:rsidRPr="00884FAA" w:rsidRDefault="00F91E7F"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F91E7F" w:rsidRPr="00884FAA" w14:paraId="105CC353" w14:textId="77777777" w:rsidTr="00415A2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4C6303" w14:textId="77777777" w:rsidR="00F91E7F" w:rsidRPr="00884FAA" w:rsidRDefault="00F91E7F" w:rsidP="0079018E">
            <w:pPr>
              <w:pStyle w:val="TableText"/>
              <w:spacing w:before="40" w:after="40"/>
              <w:ind w:left="-57" w:right="-57"/>
              <w:rPr>
                <w:sz w:val="18"/>
                <w:szCs w:val="18"/>
              </w:rPr>
            </w:pPr>
            <w:r w:rsidRPr="00884FAA">
              <w:rPr>
                <w:sz w:val="18"/>
                <w:szCs w:val="18"/>
              </w:rPr>
              <w:t> </w:t>
            </w:r>
          </w:p>
        </w:tc>
        <w:tc>
          <w:tcPr>
            <w:tcW w:w="1208" w:type="dxa"/>
            <w:noWrap/>
            <w:hideMark/>
          </w:tcPr>
          <w:p w14:paraId="5F7F5636"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88" w:type="dxa"/>
            <w:noWrap/>
            <w:hideMark/>
          </w:tcPr>
          <w:p w14:paraId="331B33A7"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416" w:type="dxa"/>
            <w:noWrap/>
            <w:hideMark/>
          </w:tcPr>
          <w:p w14:paraId="359965EF"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3" w:type="dxa"/>
            <w:noWrap/>
            <w:hideMark/>
          </w:tcPr>
          <w:p w14:paraId="58E85A9D"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MBS GP</w:t>
            </w:r>
          </w:p>
        </w:tc>
        <w:tc>
          <w:tcPr>
            <w:tcW w:w="1276" w:type="dxa"/>
            <w:noWrap/>
            <w:hideMark/>
          </w:tcPr>
          <w:p w14:paraId="64E91C3D"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.01 (-.10,.11)</w:t>
            </w:r>
          </w:p>
        </w:tc>
        <w:tc>
          <w:tcPr>
            <w:tcW w:w="923" w:type="dxa"/>
            <w:noWrap/>
            <w:hideMark/>
          </w:tcPr>
          <w:p w14:paraId="5DED3CE1"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1295" w:type="dxa"/>
            <w:noWrap/>
            <w:hideMark/>
          </w:tcPr>
          <w:p w14:paraId="71457314" w14:textId="77777777" w:rsidR="00F91E7F" w:rsidRPr="00884FAA" w:rsidRDefault="00F91E7F"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bl>
    <w:p w14:paraId="51BE00C5" w14:textId="77777777" w:rsidR="00605AA2" w:rsidRPr="00884FAA" w:rsidRDefault="00605AA2" w:rsidP="002A67DB"/>
    <w:p w14:paraId="15FFCDCB" w14:textId="093F7F93" w:rsidR="001B074D" w:rsidRPr="00884FAA" w:rsidRDefault="001B074D" w:rsidP="00415A2F">
      <w:pPr>
        <w:pStyle w:val="Caption"/>
      </w:pPr>
      <w:bookmarkStart w:id="304" w:name="_Ref136438729"/>
      <w:bookmarkStart w:id="305" w:name="_Toc138851356"/>
      <w:r w:rsidRPr="00884FAA">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13</w:t>
      </w:r>
      <w:r w:rsidR="005B4A4F">
        <w:fldChar w:fldCharType="end"/>
      </w:r>
      <w:bookmarkEnd w:id="304"/>
      <w:r w:rsidRPr="00884FAA">
        <w:t xml:space="preserve">. </w:t>
      </w:r>
      <w:r w:rsidR="006E50E6" w:rsidRPr="00884FAA">
        <w:t xml:space="preserve">Effects of primary care activity and social determinants on </w:t>
      </w:r>
      <w:r w:rsidR="00CE2B84" w:rsidRPr="00884FAA">
        <w:t>emergency department presentations</w:t>
      </w:r>
      <w:r w:rsidR="006E50E6" w:rsidRPr="00884FAA">
        <w:t xml:space="preserve"> at Time 2 (2016)</w:t>
      </w:r>
      <w:r w:rsidR="00D0130F" w:rsidRPr="005D1C41">
        <w:rPr>
          <w:rStyle w:val="FootnoteReference"/>
        </w:rPr>
        <w:footnoteReference w:id="77"/>
      </w:r>
      <w:bookmarkEnd w:id="305"/>
    </w:p>
    <w:p w14:paraId="55F1573B" w14:textId="713FDD32" w:rsidR="001B074D" w:rsidRPr="00884FAA" w:rsidRDefault="00ED1050" w:rsidP="002A67DB">
      <w:r w:rsidRPr="00884FAA">
        <w:rPr>
          <w:noProof/>
        </w:rPr>
        <w:drawing>
          <wp:inline distT="0" distB="0" distL="0" distR="0" wp14:anchorId="3A15B59C" wp14:editId="5062A266">
            <wp:extent cx="5731510" cy="2733040"/>
            <wp:effectExtent l="0" t="0" r="0" b="0"/>
            <wp:docPr id="460" name="Picture 460"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Graph"/>
                    <pic:cNvPicPr/>
                  </pic:nvPicPr>
                  <pic:blipFill>
                    <a:blip r:embed="rId143">
                      <a:extLst>
                        <a:ext uri="{28A0092B-C50C-407E-A947-70E740481C1C}">
                          <a14:useLocalDpi xmlns:a14="http://schemas.microsoft.com/office/drawing/2010/main" val="0"/>
                        </a:ext>
                      </a:extLst>
                    </a:blip>
                    <a:stretch>
                      <a:fillRect/>
                    </a:stretch>
                  </pic:blipFill>
                  <pic:spPr>
                    <a:xfrm>
                      <a:off x="0" y="0"/>
                      <a:ext cx="5731510" cy="2733040"/>
                    </a:xfrm>
                    <a:prstGeom prst="rect">
                      <a:avLst/>
                    </a:prstGeom>
                  </pic:spPr>
                </pic:pic>
              </a:graphicData>
            </a:graphic>
          </wp:inline>
        </w:drawing>
      </w:r>
    </w:p>
    <w:p w14:paraId="7038A250" w14:textId="77777777" w:rsidR="001D6B36" w:rsidRDefault="001D6B36">
      <w:pPr>
        <w:jc w:val="left"/>
        <w:rPr>
          <w:b/>
          <w:iCs/>
          <w:szCs w:val="18"/>
        </w:rPr>
      </w:pPr>
      <w:r>
        <w:br w:type="page"/>
      </w:r>
    </w:p>
    <w:p w14:paraId="12544FB4" w14:textId="743E9209" w:rsidR="00F27C31" w:rsidRPr="00884FAA" w:rsidRDefault="00F27C31" w:rsidP="00F27C31">
      <w:pPr>
        <w:pStyle w:val="Caption"/>
      </w:pPr>
      <w:bookmarkStart w:id="306" w:name="_Toc138851292"/>
      <w:r w:rsidRPr="00884FAA">
        <w:lastRenderedPageBreak/>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8</w:t>
      </w:r>
      <w:r w:rsidR="00B92D87">
        <w:fldChar w:fldCharType="end"/>
      </w:r>
      <w:r w:rsidRPr="00884FAA">
        <w:t>. Standardised regression coefficients (in decreasing order) by time point and direction of effect for ED presentations</w:t>
      </w:r>
      <w:bookmarkEnd w:id="306"/>
    </w:p>
    <w:tbl>
      <w:tblPr>
        <w:tblStyle w:val="ACTableDesign1White"/>
        <w:tblW w:w="0" w:type="auto"/>
        <w:tblLayout w:type="fixed"/>
        <w:tblLook w:val="04A0" w:firstRow="1" w:lastRow="0" w:firstColumn="1" w:lastColumn="0" w:noHBand="0" w:noVBand="1"/>
      </w:tblPr>
      <w:tblGrid>
        <w:gridCol w:w="990"/>
        <w:gridCol w:w="1843"/>
        <w:gridCol w:w="992"/>
        <w:gridCol w:w="1842"/>
      </w:tblGrid>
      <w:tr w:rsidR="00F27C31" w:rsidRPr="00884FAA" w14:paraId="185C7DF8" w14:textId="77777777" w:rsidTr="00F27C3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7" w:type="dxa"/>
            <w:gridSpan w:val="4"/>
            <w:noWrap/>
            <w:hideMark/>
          </w:tcPr>
          <w:p w14:paraId="711A4881" w14:textId="77777777" w:rsidR="00F27C31" w:rsidRPr="0058387D" w:rsidRDefault="00F27C31" w:rsidP="0079018E">
            <w:pPr>
              <w:pStyle w:val="TableText"/>
              <w:spacing w:before="40" w:after="40"/>
              <w:rPr>
                <w:bCs/>
                <w:color w:val="000000" w:themeColor="text1"/>
              </w:rPr>
            </w:pPr>
            <w:r w:rsidRPr="0058387D">
              <w:rPr>
                <w:bCs/>
                <w:color w:val="000000" w:themeColor="text1"/>
              </w:rPr>
              <w:t>Time 2</w:t>
            </w:r>
          </w:p>
        </w:tc>
      </w:tr>
      <w:tr w:rsidR="00F27C31" w:rsidRPr="00884FAA" w14:paraId="4F9EA935" w14:textId="77777777" w:rsidTr="00F27C3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833" w:type="dxa"/>
            <w:gridSpan w:val="2"/>
            <w:hideMark/>
          </w:tcPr>
          <w:p w14:paraId="0EC722C9" w14:textId="77777777" w:rsidR="00F27C31" w:rsidRPr="00884FAA" w:rsidRDefault="00F27C31" w:rsidP="0079018E">
            <w:pPr>
              <w:pStyle w:val="TableText"/>
              <w:spacing w:before="40" w:after="40"/>
              <w:rPr>
                <w:bCs/>
                <w:sz w:val="18"/>
                <w:szCs w:val="18"/>
              </w:rPr>
            </w:pPr>
            <w:r w:rsidRPr="00884FAA">
              <w:rPr>
                <w:bCs/>
                <w:sz w:val="18"/>
                <w:szCs w:val="18"/>
              </w:rPr>
              <w:t>Positive</w:t>
            </w:r>
          </w:p>
        </w:tc>
        <w:tc>
          <w:tcPr>
            <w:tcW w:w="2834" w:type="dxa"/>
            <w:gridSpan w:val="2"/>
            <w:hideMark/>
          </w:tcPr>
          <w:p w14:paraId="088E2142"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bCs/>
                <w:sz w:val="18"/>
                <w:szCs w:val="18"/>
              </w:rPr>
            </w:pPr>
            <w:r w:rsidRPr="00884FAA">
              <w:rPr>
                <w:bCs/>
                <w:sz w:val="18"/>
                <w:szCs w:val="18"/>
              </w:rPr>
              <w:t>Negative</w:t>
            </w:r>
          </w:p>
        </w:tc>
      </w:tr>
      <w:tr w:rsidR="00F27C31" w:rsidRPr="00884FAA" w14:paraId="08A5B25D" w14:textId="77777777" w:rsidTr="00F27C31">
        <w:trPr>
          <w:cnfStyle w:val="000000010000" w:firstRow="0" w:lastRow="0" w:firstColumn="0" w:lastColumn="0" w:oddVBand="0" w:evenVBand="0" w:oddHBand="0" w:evenHBand="1"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990" w:type="dxa"/>
          </w:tcPr>
          <w:p w14:paraId="45AD53AA" w14:textId="77777777" w:rsidR="00F27C31" w:rsidRPr="00884FAA" w:rsidRDefault="00F27C31" w:rsidP="0079018E">
            <w:pPr>
              <w:pStyle w:val="TableText"/>
              <w:spacing w:before="40" w:after="40"/>
              <w:rPr>
                <w:bCs/>
                <w:sz w:val="18"/>
                <w:szCs w:val="18"/>
              </w:rPr>
            </w:pPr>
            <w:r w:rsidRPr="00884FAA">
              <w:rPr>
                <w:bCs/>
                <w:sz w:val="18"/>
                <w:szCs w:val="18"/>
              </w:rPr>
              <w:t>Variable</w:t>
            </w:r>
          </w:p>
        </w:tc>
        <w:tc>
          <w:tcPr>
            <w:tcW w:w="1843" w:type="dxa"/>
          </w:tcPr>
          <w:p w14:paraId="256F8A09"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bCs/>
                <w:sz w:val="18"/>
                <w:szCs w:val="18"/>
              </w:rPr>
            </w:pPr>
            <w:r w:rsidRPr="00884FAA">
              <w:rPr>
                <w:bCs/>
                <w:sz w:val="18"/>
                <w:szCs w:val="18"/>
              </w:rPr>
              <w:t>β median (min,max)</w:t>
            </w:r>
          </w:p>
        </w:tc>
        <w:tc>
          <w:tcPr>
            <w:tcW w:w="992" w:type="dxa"/>
          </w:tcPr>
          <w:p w14:paraId="430F369D"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bCs/>
                <w:sz w:val="18"/>
                <w:szCs w:val="18"/>
              </w:rPr>
            </w:pPr>
            <w:r w:rsidRPr="00884FAA">
              <w:rPr>
                <w:bCs/>
                <w:sz w:val="18"/>
                <w:szCs w:val="18"/>
              </w:rPr>
              <w:t>Variable</w:t>
            </w:r>
          </w:p>
        </w:tc>
        <w:tc>
          <w:tcPr>
            <w:tcW w:w="1842" w:type="dxa"/>
          </w:tcPr>
          <w:p w14:paraId="39AEF97B"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bCs/>
                <w:sz w:val="18"/>
                <w:szCs w:val="18"/>
              </w:rPr>
            </w:pPr>
            <w:r w:rsidRPr="00884FAA">
              <w:rPr>
                <w:bCs/>
                <w:sz w:val="18"/>
                <w:szCs w:val="18"/>
              </w:rPr>
              <w:t>β median (min,max)</w:t>
            </w:r>
          </w:p>
        </w:tc>
      </w:tr>
      <w:tr w:rsidR="00F27C31" w:rsidRPr="00884FAA" w14:paraId="49899351" w14:textId="77777777" w:rsidTr="00F27C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52E0A760" w14:textId="77777777" w:rsidR="00F27C31" w:rsidRPr="00884FAA" w:rsidRDefault="00F27C31" w:rsidP="0079018E">
            <w:pPr>
              <w:pStyle w:val="TableText"/>
              <w:spacing w:before="40" w:after="40"/>
              <w:rPr>
                <w:sz w:val="18"/>
                <w:szCs w:val="18"/>
              </w:rPr>
            </w:pPr>
            <w:r w:rsidRPr="00884FAA">
              <w:rPr>
                <w:sz w:val="18"/>
                <w:szCs w:val="18"/>
              </w:rPr>
              <w:t>NT</w:t>
            </w:r>
          </w:p>
        </w:tc>
        <w:tc>
          <w:tcPr>
            <w:tcW w:w="1843" w:type="dxa"/>
            <w:noWrap/>
            <w:hideMark/>
          </w:tcPr>
          <w:p w14:paraId="0F81F102"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.35 (.28,.42)</w:t>
            </w:r>
          </w:p>
        </w:tc>
        <w:tc>
          <w:tcPr>
            <w:tcW w:w="992" w:type="dxa"/>
            <w:noWrap/>
            <w:hideMark/>
          </w:tcPr>
          <w:p w14:paraId="0707991F"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Imm</w:t>
            </w:r>
          </w:p>
        </w:tc>
        <w:tc>
          <w:tcPr>
            <w:tcW w:w="1842" w:type="dxa"/>
            <w:noWrap/>
            <w:hideMark/>
          </w:tcPr>
          <w:p w14:paraId="4989E100"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-.22 (-.27,-.17)</w:t>
            </w:r>
          </w:p>
        </w:tc>
      </w:tr>
      <w:tr w:rsidR="00F27C31" w:rsidRPr="00884FAA" w14:paraId="3DB52BFC" w14:textId="77777777" w:rsidTr="00F27C3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25B445D3" w14:textId="77777777" w:rsidR="00F27C31" w:rsidRPr="00884FAA" w:rsidRDefault="00F27C31" w:rsidP="0079018E">
            <w:pPr>
              <w:pStyle w:val="TableText"/>
              <w:spacing w:before="40" w:after="40"/>
              <w:rPr>
                <w:sz w:val="18"/>
                <w:szCs w:val="18"/>
              </w:rPr>
            </w:pPr>
            <w:r w:rsidRPr="00884FAA">
              <w:rPr>
                <w:sz w:val="18"/>
                <w:szCs w:val="18"/>
              </w:rPr>
              <w:t>PIP</w:t>
            </w:r>
          </w:p>
        </w:tc>
        <w:tc>
          <w:tcPr>
            <w:tcW w:w="1843" w:type="dxa"/>
            <w:noWrap/>
            <w:hideMark/>
          </w:tcPr>
          <w:p w14:paraId="0FE76C46"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.24 (.17,.27)</w:t>
            </w:r>
          </w:p>
        </w:tc>
        <w:tc>
          <w:tcPr>
            <w:tcW w:w="992" w:type="dxa"/>
            <w:noWrap/>
            <w:hideMark/>
          </w:tcPr>
          <w:p w14:paraId="3C316AE2"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IER</w:t>
            </w:r>
          </w:p>
        </w:tc>
        <w:tc>
          <w:tcPr>
            <w:tcW w:w="1842" w:type="dxa"/>
            <w:noWrap/>
            <w:hideMark/>
          </w:tcPr>
          <w:p w14:paraId="4EDE3572"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-.22 (-.25,-.20)</w:t>
            </w:r>
          </w:p>
        </w:tc>
      </w:tr>
      <w:tr w:rsidR="00F27C31" w:rsidRPr="00884FAA" w14:paraId="5FDFC5CA" w14:textId="77777777" w:rsidTr="00F27C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4588D924" w14:textId="77777777" w:rsidR="00F27C31" w:rsidRPr="00884FAA" w:rsidRDefault="00F27C31" w:rsidP="0079018E">
            <w:pPr>
              <w:pStyle w:val="TableText"/>
              <w:spacing w:before="40" w:after="40"/>
              <w:rPr>
                <w:sz w:val="18"/>
                <w:szCs w:val="18"/>
              </w:rPr>
            </w:pPr>
            <w:r w:rsidRPr="00884FAA">
              <w:rPr>
                <w:sz w:val="18"/>
                <w:szCs w:val="18"/>
              </w:rPr>
              <w:t>Remote</w:t>
            </w:r>
          </w:p>
        </w:tc>
        <w:tc>
          <w:tcPr>
            <w:tcW w:w="1843" w:type="dxa"/>
            <w:noWrap/>
            <w:hideMark/>
          </w:tcPr>
          <w:p w14:paraId="2DFF1950"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.20 (.06,.33)</w:t>
            </w:r>
          </w:p>
        </w:tc>
        <w:tc>
          <w:tcPr>
            <w:tcW w:w="992" w:type="dxa"/>
            <w:noWrap/>
            <w:hideMark/>
          </w:tcPr>
          <w:p w14:paraId="2E7AE6BC"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Tas</w:t>
            </w:r>
          </w:p>
        </w:tc>
        <w:tc>
          <w:tcPr>
            <w:tcW w:w="1842" w:type="dxa"/>
            <w:noWrap/>
            <w:hideMark/>
          </w:tcPr>
          <w:p w14:paraId="3BF27784"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-.19 (-.22,-.18)</w:t>
            </w:r>
          </w:p>
        </w:tc>
      </w:tr>
      <w:tr w:rsidR="00F27C31" w:rsidRPr="00884FAA" w14:paraId="4BA918A7" w14:textId="77777777" w:rsidTr="00F27C3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569ECAD3" w14:textId="77777777" w:rsidR="00F27C31" w:rsidRPr="00884FAA" w:rsidRDefault="00F27C31" w:rsidP="0079018E">
            <w:pPr>
              <w:pStyle w:val="TableText"/>
              <w:spacing w:before="40" w:after="40"/>
              <w:rPr>
                <w:sz w:val="18"/>
                <w:szCs w:val="18"/>
              </w:rPr>
            </w:pPr>
            <w:r w:rsidRPr="00884FAA">
              <w:rPr>
                <w:sz w:val="18"/>
                <w:szCs w:val="18"/>
              </w:rPr>
              <w:t>Age</w:t>
            </w:r>
          </w:p>
        </w:tc>
        <w:tc>
          <w:tcPr>
            <w:tcW w:w="1843" w:type="dxa"/>
            <w:noWrap/>
            <w:hideMark/>
          </w:tcPr>
          <w:p w14:paraId="24D7F551"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.19 (.13,.30)</w:t>
            </w:r>
          </w:p>
        </w:tc>
        <w:tc>
          <w:tcPr>
            <w:tcW w:w="992" w:type="dxa"/>
            <w:noWrap/>
            <w:hideMark/>
          </w:tcPr>
          <w:p w14:paraId="0BEAF726"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IRSEO</w:t>
            </w:r>
          </w:p>
        </w:tc>
        <w:tc>
          <w:tcPr>
            <w:tcW w:w="1842" w:type="dxa"/>
            <w:noWrap/>
            <w:hideMark/>
          </w:tcPr>
          <w:p w14:paraId="501834A9"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-.19 (-.28,-.17)</w:t>
            </w:r>
          </w:p>
        </w:tc>
      </w:tr>
      <w:tr w:rsidR="00F27C31" w:rsidRPr="00884FAA" w14:paraId="4A88C665" w14:textId="77777777" w:rsidTr="00F27C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3C4B5429" w14:textId="77777777" w:rsidR="00F27C31" w:rsidRPr="00884FAA" w:rsidRDefault="00F27C31" w:rsidP="0079018E">
            <w:pPr>
              <w:pStyle w:val="TableText"/>
              <w:spacing w:before="40" w:after="40"/>
              <w:rPr>
                <w:sz w:val="18"/>
                <w:szCs w:val="18"/>
              </w:rPr>
            </w:pPr>
            <w:r w:rsidRPr="00884FAA">
              <w:rPr>
                <w:sz w:val="18"/>
                <w:szCs w:val="18"/>
              </w:rPr>
              <w:t>IEO</w:t>
            </w:r>
          </w:p>
        </w:tc>
        <w:tc>
          <w:tcPr>
            <w:tcW w:w="1843" w:type="dxa"/>
            <w:noWrap/>
            <w:hideMark/>
          </w:tcPr>
          <w:p w14:paraId="30E875D9"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.13 (.06,.20)</w:t>
            </w:r>
          </w:p>
        </w:tc>
        <w:tc>
          <w:tcPr>
            <w:tcW w:w="992" w:type="dxa"/>
            <w:noWrap/>
            <w:hideMark/>
          </w:tcPr>
          <w:p w14:paraId="60FDCE36"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Qld</w:t>
            </w:r>
          </w:p>
        </w:tc>
        <w:tc>
          <w:tcPr>
            <w:tcW w:w="1842" w:type="dxa"/>
            <w:noWrap/>
            <w:hideMark/>
          </w:tcPr>
          <w:p w14:paraId="03DCD94B"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-.16 (-.18,-.09)</w:t>
            </w:r>
          </w:p>
        </w:tc>
      </w:tr>
      <w:tr w:rsidR="00F27C31" w:rsidRPr="00884FAA" w14:paraId="1345091C" w14:textId="77777777" w:rsidTr="00F27C3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57B21925" w14:textId="77777777" w:rsidR="00F27C31" w:rsidRPr="00884FAA" w:rsidRDefault="00F27C31" w:rsidP="0079018E">
            <w:pPr>
              <w:pStyle w:val="TableText"/>
              <w:spacing w:before="40" w:after="40"/>
              <w:rPr>
                <w:sz w:val="18"/>
                <w:szCs w:val="18"/>
              </w:rPr>
            </w:pPr>
            <w:r w:rsidRPr="00884FAA">
              <w:rPr>
                <w:sz w:val="18"/>
                <w:szCs w:val="18"/>
              </w:rPr>
              <w:t>WA</w:t>
            </w:r>
          </w:p>
        </w:tc>
        <w:tc>
          <w:tcPr>
            <w:tcW w:w="1843" w:type="dxa"/>
            <w:noWrap/>
            <w:hideMark/>
          </w:tcPr>
          <w:p w14:paraId="667B7230"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.05 (.01,.12)</w:t>
            </w:r>
          </w:p>
        </w:tc>
        <w:tc>
          <w:tcPr>
            <w:tcW w:w="992" w:type="dxa"/>
            <w:noWrap/>
            <w:hideMark/>
          </w:tcPr>
          <w:p w14:paraId="28D87BCC"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Males</w:t>
            </w:r>
          </w:p>
        </w:tc>
        <w:tc>
          <w:tcPr>
            <w:tcW w:w="1842" w:type="dxa"/>
            <w:noWrap/>
            <w:hideMark/>
          </w:tcPr>
          <w:p w14:paraId="14120B37"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-.13 (-.16,-.08)</w:t>
            </w:r>
          </w:p>
        </w:tc>
      </w:tr>
      <w:tr w:rsidR="00F27C31" w:rsidRPr="00884FAA" w14:paraId="6761867C" w14:textId="77777777" w:rsidTr="00F27C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4544CFC4" w14:textId="77777777" w:rsidR="00F27C31" w:rsidRPr="00884FAA" w:rsidRDefault="00F27C31" w:rsidP="0079018E">
            <w:pPr>
              <w:pStyle w:val="TableText"/>
              <w:spacing w:before="40" w:after="40"/>
              <w:rPr>
                <w:sz w:val="18"/>
                <w:szCs w:val="18"/>
              </w:rPr>
            </w:pPr>
            <w:r w:rsidRPr="00884FAA">
              <w:rPr>
                <w:sz w:val="18"/>
                <w:szCs w:val="18"/>
              </w:rPr>
              <w:t>ACT</w:t>
            </w:r>
          </w:p>
        </w:tc>
        <w:tc>
          <w:tcPr>
            <w:tcW w:w="1843" w:type="dxa"/>
            <w:noWrap/>
            <w:hideMark/>
          </w:tcPr>
          <w:p w14:paraId="7BE36898"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.03 (.00,.06)</w:t>
            </w:r>
          </w:p>
        </w:tc>
        <w:tc>
          <w:tcPr>
            <w:tcW w:w="992" w:type="dxa"/>
            <w:noWrap/>
            <w:hideMark/>
          </w:tcPr>
          <w:p w14:paraId="5E30799E"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IRSD</w:t>
            </w:r>
          </w:p>
        </w:tc>
        <w:tc>
          <w:tcPr>
            <w:tcW w:w="1842" w:type="dxa"/>
            <w:noWrap/>
            <w:hideMark/>
          </w:tcPr>
          <w:p w14:paraId="04B6798B"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-.10 (-.14,-.06)</w:t>
            </w:r>
          </w:p>
        </w:tc>
      </w:tr>
      <w:tr w:rsidR="00F27C31" w:rsidRPr="00884FAA" w14:paraId="628AE040" w14:textId="77777777" w:rsidTr="00F27C3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4A59097E" w14:textId="77777777" w:rsidR="00F27C31" w:rsidRPr="00884FAA" w:rsidRDefault="00F27C31" w:rsidP="0079018E">
            <w:pPr>
              <w:pStyle w:val="TableText"/>
              <w:spacing w:before="40" w:after="40"/>
              <w:rPr>
                <w:sz w:val="18"/>
                <w:szCs w:val="18"/>
              </w:rPr>
            </w:pPr>
            <w:r w:rsidRPr="00884FAA">
              <w:rPr>
                <w:sz w:val="18"/>
                <w:szCs w:val="18"/>
              </w:rPr>
              <w:t>Vic</w:t>
            </w:r>
          </w:p>
        </w:tc>
        <w:tc>
          <w:tcPr>
            <w:tcW w:w="1843" w:type="dxa"/>
            <w:noWrap/>
            <w:hideMark/>
          </w:tcPr>
          <w:p w14:paraId="54CDFE37"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.01 (-.01,.05)</w:t>
            </w:r>
          </w:p>
        </w:tc>
        <w:tc>
          <w:tcPr>
            <w:tcW w:w="992" w:type="dxa"/>
            <w:noWrap/>
            <w:hideMark/>
          </w:tcPr>
          <w:p w14:paraId="7D9E5CD8"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IRSAD</w:t>
            </w:r>
          </w:p>
        </w:tc>
        <w:tc>
          <w:tcPr>
            <w:tcW w:w="1842" w:type="dxa"/>
            <w:noWrap/>
            <w:hideMark/>
          </w:tcPr>
          <w:p w14:paraId="3F5CB4A4"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-.09 (-.15,-.00)</w:t>
            </w:r>
          </w:p>
        </w:tc>
      </w:tr>
      <w:tr w:rsidR="00F27C31" w:rsidRPr="00884FAA" w14:paraId="582C0A47" w14:textId="77777777" w:rsidTr="00F27C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51B9DF3C" w14:textId="77777777" w:rsidR="00F27C31" w:rsidRPr="00884FAA" w:rsidRDefault="00F27C31" w:rsidP="0079018E">
            <w:pPr>
              <w:pStyle w:val="TableText"/>
              <w:spacing w:before="40" w:after="40"/>
              <w:rPr>
                <w:sz w:val="18"/>
                <w:szCs w:val="18"/>
              </w:rPr>
            </w:pPr>
            <w:r w:rsidRPr="00884FAA">
              <w:rPr>
                <w:sz w:val="18"/>
                <w:szCs w:val="18"/>
              </w:rPr>
              <w:t> </w:t>
            </w:r>
          </w:p>
        </w:tc>
        <w:tc>
          <w:tcPr>
            <w:tcW w:w="1843" w:type="dxa"/>
            <w:noWrap/>
            <w:hideMark/>
          </w:tcPr>
          <w:p w14:paraId="62B5F2D6"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2" w:type="dxa"/>
            <w:noWrap/>
            <w:hideMark/>
          </w:tcPr>
          <w:p w14:paraId="7931E71C"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Serv</w:t>
            </w:r>
          </w:p>
        </w:tc>
        <w:tc>
          <w:tcPr>
            <w:tcW w:w="1842" w:type="dxa"/>
            <w:noWrap/>
            <w:hideMark/>
          </w:tcPr>
          <w:p w14:paraId="0A7C288B"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-.05 (-.17,.16)</w:t>
            </w:r>
          </w:p>
        </w:tc>
      </w:tr>
      <w:tr w:rsidR="00F27C31" w:rsidRPr="00884FAA" w14:paraId="434EDBD3" w14:textId="77777777" w:rsidTr="00F27C3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23177CB0" w14:textId="77777777" w:rsidR="00F27C31" w:rsidRPr="00884FAA" w:rsidRDefault="00F27C31" w:rsidP="0079018E">
            <w:pPr>
              <w:pStyle w:val="TableText"/>
              <w:spacing w:before="40" w:after="40"/>
              <w:rPr>
                <w:sz w:val="18"/>
                <w:szCs w:val="18"/>
              </w:rPr>
            </w:pPr>
            <w:r w:rsidRPr="00884FAA">
              <w:rPr>
                <w:sz w:val="18"/>
                <w:szCs w:val="18"/>
              </w:rPr>
              <w:t> </w:t>
            </w:r>
          </w:p>
        </w:tc>
        <w:tc>
          <w:tcPr>
            <w:tcW w:w="1843" w:type="dxa"/>
            <w:noWrap/>
            <w:hideMark/>
          </w:tcPr>
          <w:p w14:paraId="5717440D"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992" w:type="dxa"/>
            <w:noWrap/>
            <w:hideMark/>
          </w:tcPr>
          <w:p w14:paraId="329A97F1"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SA</w:t>
            </w:r>
          </w:p>
        </w:tc>
        <w:tc>
          <w:tcPr>
            <w:tcW w:w="1842" w:type="dxa"/>
            <w:noWrap/>
            <w:hideMark/>
          </w:tcPr>
          <w:p w14:paraId="6FC3BDA2" w14:textId="77777777" w:rsidR="00F27C31" w:rsidRPr="00884FAA" w:rsidRDefault="00F27C31" w:rsidP="0079018E">
            <w:pPr>
              <w:pStyle w:val="TableText"/>
              <w:spacing w:before="40" w:after="40"/>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-.02 (-.05,.01)</w:t>
            </w:r>
          </w:p>
        </w:tc>
      </w:tr>
      <w:tr w:rsidR="00F27C31" w:rsidRPr="00884FAA" w14:paraId="395D72D1" w14:textId="77777777" w:rsidTr="00F27C3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0" w:type="dxa"/>
            <w:noWrap/>
            <w:hideMark/>
          </w:tcPr>
          <w:p w14:paraId="083A8F43" w14:textId="77777777" w:rsidR="00F27C31" w:rsidRPr="00884FAA" w:rsidRDefault="00F27C31" w:rsidP="0079018E">
            <w:pPr>
              <w:pStyle w:val="TableText"/>
              <w:spacing w:before="40" w:after="40"/>
              <w:rPr>
                <w:sz w:val="18"/>
                <w:szCs w:val="18"/>
              </w:rPr>
            </w:pPr>
            <w:r w:rsidRPr="00884FAA">
              <w:rPr>
                <w:sz w:val="18"/>
                <w:szCs w:val="18"/>
              </w:rPr>
              <w:t> </w:t>
            </w:r>
          </w:p>
        </w:tc>
        <w:tc>
          <w:tcPr>
            <w:tcW w:w="1843" w:type="dxa"/>
            <w:noWrap/>
            <w:hideMark/>
          </w:tcPr>
          <w:p w14:paraId="4996AF04"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992" w:type="dxa"/>
            <w:noWrap/>
            <w:hideMark/>
          </w:tcPr>
          <w:p w14:paraId="34C516B4"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MBS GP</w:t>
            </w:r>
          </w:p>
        </w:tc>
        <w:tc>
          <w:tcPr>
            <w:tcW w:w="1842" w:type="dxa"/>
            <w:noWrap/>
            <w:hideMark/>
          </w:tcPr>
          <w:p w14:paraId="0804C099" w14:textId="77777777" w:rsidR="00F27C31" w:rsidRPr="00884FAA" w:rsidRDefault="00F27C31" w:rsidP="0079018E">
            <w:pPr>
              <w:pStyle w:val="TableText"/>
              <w:spacing w:before="40" w:after="40"/>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-.02 (-.06,.11)</w:t>
            </w:r>
          </w:p>
        </w:tc>
      </w:tr>
    </w:tbl>
    <w:p w14:paraId="0AC26CC0" w14:textId="77777777" w:rsidR="00605AA2" w:rsidRPr="00884FAA" w:rsidRDefault="00605AA2" w:rsidP="002A67DB"/>
    <w:p w14:paraId="165889EF" w14:textId="2A844A08" w:rsidR="001B074D" w:rsidRPr="00884FAA" w:rsidRDefault="001B074D" w:rsidP="001B074D">
      <w:pPr>
        <w:pStyle w:val="Caption"/>
      </w:pPr>
      <w:bookmarkStart w:id="307" w:name="_Ref131320744"/>
      <w:bookmarkStart w:id="308" w:name="_Toc138851357"/>
      <w:r w:rsidRPr="00884FAA">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14</w:t>
      </w:r>
      <w:r w:rsidR="005B4A4F">
        <w:fldChar w:fldCharType="end"/>
      </w:r>
      <w:bookmarkEnd w:id="307"/>
      <w:r w:rsidRPr="00884FAA">
        <w:t xml:space="preserve">. </w:t>
      </w:r>
      <w:r w:rsidR="00CE2B84" w:rsidRPr="00884FAA">
        <w:t>Effects of primary care activity and social determinants on mort</w:t>
      </w:r>
      <w:r w:rsidR="00AE1365" w:rsidRPr="00884FAA">
        <w:t>ality</w:t>
      </w:r>
      <w:r w:rsidR="00CE2B84" w:rsidRPr="00884FAA">
        <w:t xml:space="preserve"> at Time </w:t>
      </w:r>
      <w:r w:rsidR="00E454E9" w:rsidRPr="00884FAA">
        <w:t>1 (2011) and Time 2 (2016)</w:t>
      </w:r>
      <w:bookmarkEnd w:id="308"/>
    </w:p>
    <w:p w14:paraId="1C574A59" w14:textId="17192644" w:rsidR="001B074D" w:rsidRPr="00884FAA" w:rsidRDefault="00415187" w:rsidP="00710118">
      <w:pPr>
        <w:spacing w:after="120"/>
      </w:pPr>
      <w:r w:rsidRPr="00884FAA">
        <w:rPr>
          <w:noProof/>
        </w:rPr>
        <w:drawing>
          <wp:inline distT="0" distB="0" distL="0" distR="0" wp14:anchorId="30E88A42" wp14:editId="21F30A08">
            <wp:extent cx="5731510" cy="4559300"/>
            <wp:effectExtent l="0" t="0" r="0" b="0"/>
            <wp:docPr id="32" name="Picture 32" descr="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s"/>
                    <pic:cNvPicPr/>
                  </pic:nvPicPr>
                  <pic:blipFill>
                    <a:blip r:embed="rId144">
                      <a:extLst>
                        <a:ext uri="{28A0092B-C50C-407E-A947-70E740481C1C}">
                          <a14:useLocalDpi xmlns:a14="http://schemas.microsoft.com/office/drawing/2010/main" val="0"/>
                        </a:ext>
                      </a:extLst>
                    </a:blip>
                    <a:stretch>
                      <a:fillRect/>
                    </a:stretch>
                  </pic:blipFill>
                  <pic:spPr>
                    <a:xfrm>
                      <a:off x="0" y="0"/>
                      <a:ext cx="5731510" cy="4559300"/>
                    </a:xfrm>
                    <a:prstGeom prst="rect">
                      <a:avLst/>
                    </a:prstGeom>
                  </pic:spPr>
                </pic:pic>
              </a:graphicData>
            </a:graphic>
          </wp:inline>
        </w:drawing>
      </w:r>
    </w:p>
    <w:p w14:paraId="0ABACBB2" w14:textId="1ECD5ACA" w:rsidR="00EC7A13" w:rsidRPr="00884FAA" w:rsidRDefault="00EC7A13" w:rsidP="00DA431E">
      <w:pPr>
        <w:pStyle w:val="Caption"/>
        <w:spacing w:after="40"/>
      </w:pPr>
      <w:bookmarkStart w:id="309" w:name="_Ref131322603"/>
      <w:bookmarkStart w:id="310" w:name="_Toc138851293"/>
      <w:r w:rsidRPr="00884FAA">
        <w:lastRenderedPageBreak/>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9</w:t>
      </w:r>
      <w:r w:rsidR="00B92D87">
        <w:fldChar w:fldCharType="end"/>
      </w:r>
      <w:bookmarkEnd w:id="309"/>
      <w:r w:rsidRPr="00884FAA">
        <w:t>. Standardised regression coefficients (in decreasing order) by time point and direction of effect for mortality</w:t>
      </w:r>
      <w:bookmarkEnd w:id="310"/>
    </w:p>
    <w:tbl>
      <w:tblPr>
        <w:tblStyle w:val="ACTableDesign1White"/>
        <w:tblW w:w="0" w:type="auto"/>
        <w:tblLook w:val="04A0" w:firstRow="1" w:lastRow="0" w:firstColumn="1" w:lastColumn="0" w:noHBand="0" w:noVBand="1"/>
      </w:tblPr>
      <w:tblGrid>
        <w:gridCol w:w="894"/>
        <w:gridCol w:w="1282"/>
        <w:gridCol w:w="828"/>
        <w:gridCol w:w="1447"/>
        <w:gridCol w:w="960"/>
        <w:gridCol w:w="1337"/>
        <w:gridCol w:w="828"/>
        <w:gridCol w:w="1447"/>
      </w:tblGrid>
      <w:tr w:rsidR="00EC7A13" w:rsidRPr="00884FAA" w14:paraId="64D7C84C" w14:textId="77777777" w:rsidTr="00EC7A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gridSpan w:val="4"/>
            <w:noWrap/>
            <w:hideMark/>
          </w:tcPr>
          <w:p w14:paraId="1953C353" w14:textId="77777777" w:rsidR="00EC7A13" w:rsidRPr="0058387D" w:rsidRDefault="00EC7A13" w:rsidP="00DA431E">
            <w:pPr>
              <w:pStyle w:val="TableText"/>
              <w:spacing w:before="40" w:after="40"/>
              <w:ind w:left="-57" w:right="-57"/>
              <w:rPr>
                <w:color w:val="000000" w:themeColor="text1"/>
              </w:rPr>
            </w:pPr>
            <w:r w:rsidRPr="0058387D">
              <w:rPr>
                <w:color w:val="000000" w:themeColor="text1"/>
              </w:rPr>
              <w:t>Time 1</w:t>
            </w:r>
          </w:p>
        </w:tc>
        <w:tc>
          <w:tcPr>
            <w:tcW w:w="0" w:type="auto"/>
            <w:gridSpan w:val="4"/>
            <w:noWrap/>
            <w:hideMark/>
          </w:tcPr>
          <w:p w14:paraId="3D78F83B" w14:textId="77777777" w:rsidR="00EC7A13" w:rsidRPr="0058387D" w:rsidRDefault="00EC7A13" w:rsidP="00DA431E">
            <w:pPr>
              <w:pStyle w:val="TableText"/>
              <w:spacing w:before="40" w:after="40"/>
              <w:ind w:left="-57" w:right="-57"/>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Time 2</w:t>
            </w:r>
          </w:p>
        </w:tc>
      </w:tr>
      <w:tr w:rsidR="00EC7A13" w:rsidRPr="00884FAA" w14:paraId="71BECE12"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gridSpan w:val="2"/>
            <w:noWrap/>
            <w:hideMark/>
          </w:tcPr>
          <w:p w14:paraId="4280E242" w14:textId="77777777" w:rsidR="00EC7A13" w:rsidRPr="00884FAA" w:rsidRDefault="00EC7A13" w:rsidP="00DA431E">
            <w:pPr>
              <w:pStyle w:val="TableText"/>
              <w:spacing w:before="40" w:after="40"/>
              <w:ind w:left="-57" w:right="-57"/>
              <w:rPr>
                <w:sz w:val="18"/>
                <w:szCs w:val="18"/>
              </w:rPr>
            </w:pPr>
            <w:r w:rsidRPr="00884FAA">
              <w:rPr>
                <w:sz w:val="18"/>
                <w:szCs w:val="18"/>
              </w:rPr>
              <w:t>Positive</w:t>
            </w:r>
          </w:p>
        </w:tc>
        <w:tc>
          <w:tcPr>
            <w:tcW w:w="0" w:type="auto"/>
            <w:gridSpan w:val="2"/>
            <w:noWrap/>
            <w:hideMark/>
          </w:tcPr>
          <w:p w14:paraId="6574C754"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Negative</w:t>
            </w:r>
          </w:p>
        </w:tc>
        <w:tc>
          <w:tcPr>
            <w:tcW w:w="0" w:type="auto"/>
            <w:gridSpan w:val="2"/>
            <w:noWrap/>
            <w:hideMark/>
          </w:tcPr>
          <w:p w14:paraId="4C0FDB0D"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Positive</w:t>
            </w:r>
          </w:p>
        </w:tc>
        <w:tc>
          <w:tcPr>
            <w:tcW w:w="0" w:type="auto"/>
            <w:gridSpan w:val="2"/>
            <w:noWrap/>
            <w:hideMark/>
          </w:tcPr>
          <w:p w14:paraId="17534D07"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Negative</w:t>
            </w:r>
          </w:p>
        </w:tc>
      </w:tr>
      <w:tr w:rsidR="00EC7A13" w:rsidRPr="00884FAA" w14:paraId="77BB5930" w14:textId="77777777" w:rsidTr="00EC7A13">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0" w:type="auto"/>
            <w:hideMark/>
          </w:tcPr>
          <w:p w14:paraId="2231BE27" w14:textId="77777777" w:rsidR="00EC7A13" w:rsidRPr="00884FAA" w:rsidRDefault="00EC7A13" w:rsidP="00DA431E">
            <w:pPr>
              <w:pStyle w:val="TableText"/>
              <w:spacing w:before="40" w:after="40"/>
              <w:ind w:left="-57" w:right="-57"/>
              <w:rPr>
                <w:sz w:val="18"/>
                <w:szCs w:val="18"/>
              </w:rPr>
            </w:pPr>
            <w:r w:rsidRPr="00884FAA">
              <w:rPr>
                <w:sz w:val="18"/>
                <w:szCs w:val="18"/>
              </w:rPr>
              <w:t>Variable</w:t>
            </w:r>
          </w:p>
        </w:tc>
        <w:tc>
          <w:tcPr>
            <w:tcW w:w="0" w:type="auto"/>
            <w:hideMark/>
          </w:tcPr>
          <w:p w14:paraId="6958A98B"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0" w:type="auto"/>
            <w:hideMark/>
          </w:tcPr>
          <w:p w14:paraId="096D2F5D"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0" w:type="auto"/>
            <w:hideMark/>
          </w:tcPr>
          <w:p w14:paraId="3CBEAB8C"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0" w:type="auto"/>
            <w:hideMark/>
          </w:tcPr>
          <w:p w14:paraId="79C7EC81"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0" w:type="auto"/>
            <w:hideMark/>
          </w:tcPr>
          <w:p w14:paraId="05C8F81E"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c>
          <w:tcPr>
            <w:tcW w:w="0" w:type="auto"/>
            <w:hideMark/>
          </w:tcPr>
          <w:p w14:paraId="09E35611"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Variable</w:t>
            </w:r>
          </w:p>
        </w:tc>
        <w:tc>
          <w:tcPr>
            <w:tcW w:w="0" w:type="auto"/>
            <w:hideMark/>
          </w:tcPr>
          <w:p w14:paraId="7169825F"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β median (min,max)</w:t>
            </w:r>
          </w:p>
        </w:tc>
      </w:tr>
      <w:tr w:rsidR="00EC7A13" w:rsidRPr="00884FAA" w14:paraId="1F13469F"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6C495" w14:textId="77777777" w:rsidR="00EC7A13" w:rsidRPr="00884FAA" w:rsidRDefault="00EC7A13" w:rsidP="00DA431E">
            <w:pPr>
              <w:pStyle w:val="TableText"/>
              <w:spacing w:before="40" w:after="40"/>
              <w:ind w:left="-57" w:right="-57"/>
              <w:rPr>
                <w:sz w:val="18"/>
                <w:szCs w:val="18"/>
              </w:rPr>
            </w:pPr>
            <w:r w:rsidRPr="00884FAA">
              <w:rPr>
                <w:sz w:val="18"/>
                <w:szCs w:val="18"/>
              </w:rPr>
              <w:t>NT</w:t>
            </w:r>
          </w:p>
        </w:tc>
        <w:tc>
          <w:tcPr>
            <w:tcW w:w="0" w:type="auto"/>
            <w:noWrap/>
            <w:hideMark/>
          </w:tcPr>
          <w:p w14:paraId="69405F0B"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.36 (.34,.37)</w:t>
            </w:r>
          </w:p>
        </w:tc>
        <w:tc>
          <w:tcPr>
            <w:tcW w:w="0" w:type="auto"/>
            <w:noWrap/>
            <w:hideMark/>
          </w:tcPr>
          <w:p w14:paraId="658B1DCF"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Tas</w:t>
            </w:r>
          </w:p>
        </w:tc>
        <w:tc>
          <w:tcPr>
            <w:tcW w:w="0" w:type="auto"/>
            <w:noWrap/>
            <w:hideMark/>
          </w:tcPr>
          <w:p w14:paraId="25036EDC"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-.19 (-.19,-.18)</w:t>
            </w:r>
          </w:p>
        </w:tc>
        <w:tc>
          <w:tcPr>
            <w:tcW w:w="0" w:type="auto"/>
            <w:noWrap/>
            <w:hideMark/>
          </w:tcPr>
          <w:p w14:paraId="0FC0AD8A"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Remote</w:t>
            </w:r>
          </w:p>
        </w:tc>
        <w:tc>
          <w:tcPr>
            <w:tcW w:w="0" w:type="auto"/>
            <w:noWrap/>
            <w:hideMark/>
          </w:tcPr>
          <w:p w14:paraId="6DCE42C6"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.52 (.44,.61)</w:t>
            </w:r>
          </w:p>
        </w:tc>
        <w:tc>
          <w:tcPr>
            <w:tcW w:w="0" w:type="auto"/>
            <w:noWrap/>
            <w:hideMark/>
          </w:tcPr>
          <w:p w14:paraId="1CE4964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Tas</w:t>
            </w:r>
          </w:p>
        </w:tc>
        <w:tc>
          <w:tcPr>
            <w:tcW w:w="0" w:type="auto"/>
            <w:noWrap/>
            <w:hideMark/>
          </w:tcPr>
          <w:p w14:paraId="0864D385"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-.22 (-.24,-.20)</w:t>
            </w:r>
          </w:p>
        </w:tc>
      </w:tr>
      <w:tr w:rsidR="00EC7A13" w:rsidRPr="00884FAA" w14:paraId="4E5BC1EB"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31946E" w14:textId="77777777" w:rsidR="00EC7A13" w:rsidRPr="00884FAA" w:rsidRDefault="00EC7A13" w:rsidP="00DA431E">
            <w:pPr>
              <w:pStyle w:val="TableText"/>
              <w:spacing w:before="40" w:after="40"/>
              <w:ind w:left="-57" w:right="-57"/>
              <w:rPr>
                <w:sz w:val="18"/>
                <w:szCs w:val="18"/>
              </w:rPr>
            </w:pPr>
            <w:r w:rsidRPr="00884FAA">
              <w:rPr>
                <w:sz w:val="18"/>
                <w:szCs w:val="18"/>
              </w:rPr>
              <w:t>Age</w:t>
            </w:r>
          </w:p>
        </w:tc>
        <w:tc>
          <w:tcPr>
            <w:tcW w:w="0" w:type="auto"/>
            <w:noWrap/>
            <w:hideMark/>
          </w:tcPr>
          <w:p w14:paraId="261829B0"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.26 (.12,.28)</w:t>
            </w:r>
          </w:p>
        </w:tc>
        <w:tc>
          <w:tcPr>
            <w:tcW w:w="0" w:type="auto"/>
            <w:noWrap/>
            <w:hideMark/>
          </w:tcPr>
          <w:p w14:paraId="080403BB"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Vic</w:t>
            </w:r>
          </w:p>
        </w:tc>
        <w:tc>
          <w:tcPr>
            <w:tcW w:w="0" w:type="auto"/>
            <w:noWrap/>
            <w:hideMark/>
          </w:tcPr>
          <w:p w14:paraId="1D0FD8A7"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-.09 (-.10,-.09)</w:t>
            </w:r>
          </w:p>
        </w:tc>
        <w:tc>
          <w:tcPr>
            <w:tcW w:w="0" w:type="auto"/>
            <w:noWrap/>
            <w:hideMark/>
          </w:tcPr>
          <w:p w14:paraId="03F74F98"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Age</w:t>
            </w:r>
          </w:p>
        </w:tc>
        <w:tc>
          <w:tcPr>
            <w:tcW w:w="0" w:type="auto"/>
            <w:noWrap/>
            <w:hideMark/>
          </w:tcPr>
          <w:p w14:paraId="41B5344A"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.28 (.16,.31)</w:t>
            </w:r>
          </w:p>
        </w:tc>
        <w:tc>
          <w:tcPr>
            <w:tcW w:w="0" w:type="auto"/>
            <w:noWrap/>
            <w:hideMark/>
          </w:tcPr>
          <w:p w14:paraId="5FA3CBF4"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Males</w:t>
            </w:r>
          </w:p>
        </w:tc>
        <w:tc>
          <w:tcPr>
            <w:tcW w:w="0" w:type="auto"/>
            <w:noWrap/>
            <w:hideMark/>
          </w:tcPr>
          <w:p w14:paraId="29D43E03"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-.21 (-.22,-.15)</w:t>
            </w:r>
          </w:p>
        </w:tc>
      </w:tr>
      <w:tr w:rsidR="00EC7A13" w:rsidRPr="00884FAA" w14:paraId="4CE56C77"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C8FA8F" w14:textId="77777777" w:rsidR="00EC7A13" w:rsidRPr="00884FAA" w:rsidRDefault="00EC7A13" w:rsidP="00DA431E">
            <w:pPr>
              <w:pStyle w:val="TableText"/>
              <w:spacing w:before="40" w:after="40"/>
              <w:ind w:left="-57" w:right="-57"/>
              <w:rPr>
                <w:sz w:val="18"/>
                <w:szCs w:val="18"/>
              </w:rPr>
            </w:pPr>
            <w:r w:rsidRPr="00884FAA">
              <w:rPr>
                <w:sz w:val="18"/>
                <w:szCs w:val="18"/>
              </w:rPr>
              <w:t>Remote</w:t>
            </w:r>
          </w:p>
        </w:tc>
        <w:tc>
          <w:tcPr>
            <w:tcW w:w="0" w:type="auto"/>
            <w:noWrap/>
            <w:hideMark/>
          </w:tcPr>
          <w:p w14:paraId="30412C3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.19 (.15,.37)</w:t>
            </w:r>
          </w:p>
        </w:tc>
        <w:tc>
          <w:tcPr>
            <w:tcW w:w="0" w:type="auto"/>
            <w:noWrap/>
            <w:hideMark/>
          </w:tcPr>
          <w:p w14:paraId="4F4A4C3D"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Males</w:t>
            </w:r>
          </w:p>
        </w:tc>
        <w:tc>
          <w:tcPr>
            <w:tcW w:w="0" w:type="auto"/>
            <w:noWrap/>
            <w:hideMark/>
          </w:tcPr>
          <w:p w14:paraId="705BAF93"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-.07 (-.07,-.06)</w:t>
            </w:r>
          </w:p>
        </w:tc>
        <w:tc>
          <w:tcPr>
            <w:tcW w:w="0" w:type="auto"/>
            <w:noWrap/>
            <w:hideMark/>
          </w:tcPr>
          <w:p w14:paraId="086B9E6E"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NT</w:t>
            </w:r>
          </w:p>
        </w:tc>
        <w:tc>
          <w:tcPr>
            <w:tcW w:w="0" w:type="auto"/>
            <w:noWrap/>
            <w:hideMark/>
          </w:tcPr>
          <w:p w14:paraId="23A9978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.27 (.24,.29)</w:t>
            </w:r>
          </w:p>
        </w:tc>
        <w:tc>
          <w:tcPr>
            <w:tcW w:w="0" w:type="auto"/>
            <w:noWrap/>
            <w:hideMark/>
          </w:tcPr>
          <w:p w14:paraId="3C2737BD"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IER</w:t>
            </w:r>
          </w:p>
        </w:tc>
        <w:tc>
          <w:tcPr>
            <w:tcW w:w="0" w:type="auto"/>
            <w:noWrap/>
            <w:hideMark/>
          </w:tcPr>
          <w:p w14:paraId="479226C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-.15 (-.32,-.08)</w:t>
            </w:r>
          </w:p>
        </w:tc>
      </w:tr>
      <w:tr w:rsidR="00EC7A13" w:rsidRPr="00884FAA" w14:paraId="6B0A330B"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68DF12" w14:textId="77777777" w:rsidR="00EC7A13" w:rsidRPr="00884FAA" w:rsidRDefault="00EC7A13" w:rsidP="00DA431E">
            <w:pPr>
              <w:pStyle w:val="TableText"/>
              <w:spacing w:before="40" w:after="40"/>
              <w:ind w:left="-57" w:right="-57"/>
              <w:rPr>
                <w:sz w:val="18"/>
                <w:szCs w:val="18"/>
              </w:rPr>
            </w:pPr>
            <w:r w:rsidRPr="00884FAA">
              <w:rPr>
                <w:sz w:val="18"/>
                <w:szCs w:val="18"/>
              </w:rPr>
              <w:t>WA</w:t>
            </w:r>
          </w:p>
        </w:tc>
        <w:tc>
          <w:tcPr>
            <w:tcW w:w="0" w:type="auto"/>
            <w:noWrap/>
            <w:hideMark/>
          </w:tcPr>
          <w:p w14:paraId="4A42A482"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.16 (.14,.17)</w:t>
            </w:r>
          </w:p>
        </w:tc>
        <w:tc>
          <w:tcPr>
            <w:tcW w:w="0" w:type="auto"/>
            <w:noWrap/>
            <w:hideMark/>
          </w:tcPr>
          <w:p w14:paraId="79ADE970"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IER</w:t>
            </w:r>
          </w:p>
        </w:tc>
        <w:tc>
          <w:tcPr>
            <w:tcW w:w="0" w:type="auto"/>
            <w:noWrap/>
            <w:hideMark/>
          </w:tcPr>
          <w:p w14:paraId="1FE16234"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-.03 (-.12,.02)</w:t>
            </w:r>
          </w:p>
        </w:tc>
        <w:tc>
          <w:tcPr>
            <w:tcW w:w="0" w:type="auto"/>
            <w:noWrap/>
            <w:hideMark/>
          </w:tcPr>
          <w:p w14:paraId="248129C0"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IEO</w:t>
            </w:r>
          </w:p>
        </w:tc>
        <w:tc>
          <w:tcPr>
            <w:tcW w:w="0" w:type="auto"/>
            <w:noWrap/>
            <w:hideMark/>
          </w:tcPr>
          <w:p w14:paraId="0A2B81D2"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.22 (.09,.31)</w:t>
            </w:r>
          </w:p>
        </w:tc>
        <w:tc>
          <w:tcPr>
            <w:tcW w:w="0" w:type="auto"/>
            <w:noWrap/>
            <w:hideMark/>
          </w:tcPr>
          <w:p w14:paraId="42200B50"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IRSEO</w:t>
            </w:r>
          </w:p>
        </w:tc>
        <w:tc>
          <w:tcPr>
            <w:tcW w:w="0" w:type="auto"/>
            <w:noWrap/>
            <w:hideMark/>
          </w:tcPr>
          <w:p w14:paraId="625ED47A"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-.12 (-.37,-.08)</w:t>
            </w:r>
          </w:p>
        </w:tc>
      </w:tr>
      <w:tr w:rsidR="00EC7A13" w:rsidRPr="00884FAA" w14:paraId="0B637329"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DEED69" w14:textId="77777777" w:rsidR="00EC7A13" w:rsidRPr="00884FAA" w:rsidRDefault="00EC7A13" w:rsidP="00DA431E">
            <w:pPr>
              <w:pStyle w:val="TableText"/>
              <w:spacing w:before="40" w:after="40"/>
              <w:ind w:left="-57" w:right="-57"/>
              <w:rPr>
                <w:sz w:val="18"/>
                <w:szCs w:val="18"/>
              </w:rPr>
            </w:pPr>
            <w:r w:rsidRPr="00884FAA">
              <w:rPr>
                <w:sz w:val="18"/>
                <w:szCs w:val="18"/>
              </w:rPr>
              <w:t>IEO</w:t>
            </w:r>
          </w:p>
        </w:tc>
        <w:tc>
          <w:tcPr>
            <w:tcW w:w="0" w:type="auto"/>
            <w:noWrap/>
            <w:hideMark/>
          </w:tcPr>
          <w:p w14:paraId="7246A504"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.14 (.12,.24)</w:t>
            </w:r>
          </w:p>
        </w:tc>
        <w:tc>
          <w:tcPr>
            <w:tcW w:w="0" w:type="auto"/>
            <w:noWrap/>
            <w:hideMark/>
          </w:tcPr>
          <w:p w14:paraId="1B3587E3"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ACT</w:t>
            </w:r>
          </w:p>
        </w:tc>
        <w:tc>
          <w:tcPr>
            <w:tcW w:w="0" w:type="auto"/>
            <w:noWrap/>
            <w:hideMark/>
          </w:tcPr>
          <w:p w14:paraId="6FAAC5A3"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-.00 (-.04,.01)</w:t>
            </w:r>
          </w:p>
        </w:tc>
        <w:tc>
          <w:tcPr>
            <w:tcW w:w="0" w:type="auto"/>
            <w:noWrap/>
            <w:hideMark/>
          </w:tcPr>
          <w:p w14:paraId="056CE492"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WA</w:t>
            </w:r>
          </w:p>
        </w:tc>
        <w:tc>
          <w:tcPr>
            <w:tcW w:w="0" w:type="auto"/>
            <w:noWrap/>
            <w:hideMark/>
          </w:tcPr>
          <w:p w14:paraId="3D896D5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.19 (.17,.22)</w:t>
            </w:r>
          </w:p>
        </w:tc>
        <w:tc>
          <w:tcPr>
            <w:tcW w:w="0" w:type="auto"/>
            <w:noWrap/>
            <w:hideMark/>
          </w:tcPr>
          <w:p w14:paraId="5C33595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Imm</w:t>
            </w:r>
          </w:p>
        </w:tc>
        <w:tc>
          <w:tcPr>
            <w:tcW w:w="0" w:type="auto"/>
            <w:noWrap/>
            <w:hideMark/>
          </w:tcPr>
          <w:p w14:paraId="38F78985"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-.06 (-.15,-.04)</w:t>
            </w:r>
          </w:p>
        </w:tc>
      </w:tr>
      <w:tr w:rsidR="00EC7A13" w:rsidRPr="00884FAA" w14:paraId="4D9514FD"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9B6138" w14:textId="77777777" w:rsidR="00EC7A13" w:rsidRPr="00884FAA" w:rsidRDefault="00EC7A13" w:rsidP="00DA431E">
            <w:pPr>
              <w:pStyle w:val="TableText"/>
              <w:spacing w:before="40" w:after="40"/>
              <w:ind w:left="-57" w:right="-57"/>
              <w:rPr>
                <w:sz w:val="18"/>
                <w:szCs w:val="18"/>
              </w:rPr>
            </w:pPr>
            <w:r w:rsidRPr="00884FAA">
              <w:rPr>
                <w:sz w:val="18"/>
                <w:szCs w:val="18"/>
              </w:rPr>
              <w:t>Qld</w:t>
            </w:r>
          </w:p>
        </w:tc>
        <w:tc>
          <w:tcPr>
            <w:tcW w:w="0" w:type="auto"/>
            <w:noWrap/>
            <w:hideMark/>
          </w:tcPr>
          <w:p w14:paraId="14ED8707"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.09 (.08,.09)</w:t>
            </w:r>
          </w:p>
        </w:tc>
        <w:tc>
          <w:tcPr>
            <w:tcW w:w="0" w:type="auto"/>
            <w:noWrap/>
            <w:hideMark/>
          </w:tcPr>
          <w:p w14:paraId="7761C2C6"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7C7A1EB6"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73F924D3"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Qld</w:t>
            </w:r>
          </w:p>
        </w:tc>
        <w:tc>
          <w:tcPr>
            <w:tcW w:w="0" w:type="auto"/>
            <w:noWrap/>
            <w:hideMark/>
          </w:tcPr>
          <w:p w14:paraId="3806A478"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.13 (.12,.16)</w:t>
            </w:r>
          </w:p>
        </w:tc>
        <w:tc>
          <w:tcPr>
            <w:tcW w:w="0" w:type="auto"/>
            <w:noWrap/>
            <w:hideMark/>
          </w:tcPr>
          <w:p w14:paraId="71E06622"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48BB1EB0"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EC7A13" w:rsidRPr="00884FAA" w14:paraId="194CD480"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DDADD" w14:textId="77777777" w:rsidR="00EC7A13" w:rsidRPr="00884FAA" w:rsidRDefault="00EC7A13" w:rsidP="00DA431E">
            <w:pPr>
              <w:pStyle w:val="TableText"/>
              <w:spacing w:before="40" w:after="40"/>
              <w:ind w:left="-57" w:right="-57"/>
              <w:rPr>
                <w:sz w:val="18"/>
                <w:szCs w:val="18"/>
              </w:rPr>
            </w:pPr>
            <w:r w:rsidRPr="00884FAA">
              <w:rPr>
                <w:sz w:val="18"/>
                <w:szCs w:val="18"/>
              </w:rPr>
              <w:t>SA</w:t>
            </w:r>
          </w:p>
        </w:tc>
        <w:tc>
          <w:tcPr>
            <w:tcW w:w="0" w:type="auto"/>
            <w:noWrap/>
            <w:hideMark/>
          </w:tcPr>
          <w:p w14:paraId="0502355E"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.05 (.05,.06)</w:t>
            </w:r>
          </w:p>
        </w:tc>
        <w:tc>
          <w:tcPr>
            <w:tcW w:w="0" w:type="auto"/>
            <w:noWrap/>
            <w:hideMark/>
          </w:tcPr>
          <w:p w14:paraId="40C60BE6"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08C34B9A"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47380CA4"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Serv</w:t>
            </w:r>
          </w:p>
        </w:tc>
        <w:tc>
          <w:tcPr>
            <w:tcW w:w="0" w:type="auto"/>
            <w:noWrap/>
            <w:hideMark/>
          </w:tcPr>
          <w:p w14:paraId="4C49C42C"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.11 (-.10,.24)</w:t>
            </w:r>
          </w:p>
        </w:tc>
        <w:tc>
          <w:tcPr>
            <w:tcW w:w="0" w:type="auto"/>
            <w:noWrap/>
            <w:hideMark/>
          </w:tcPr>
          <w:p w14:paraId="44F7A89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6C0BBC8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EC7A13" w:rsidRPr="00884FAA" w14:paraId="36F432E5"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5F755A" w14:textId="77777777" w:rsidR="00EC7A13" w:rsidRPr="00884FAA" w:rsidRDefault="00EC7A13" w:rsidP="00DA431E">
            <w:pPr>
              <w:pStyle w:val="TableText"/>
              <w:spacing w:before="40" w:after="40"/>
              <w:ind w:left="-57" w:right="-57"/>
              <w:rPr>
                <w:sz w:val="18"/>
                <w:szCs w:val="18"/>
              </w:rPr>
            </w:pPr>
            <w:r w:rsidRPr="00884FAA">
              <w:rPr>
                <w:sz w:val="18"/>
                <w:szCs w:val="18"/>
              </w:rPr>
              <w:t>IRSAD</w:t>
            </w:r>
          </w:p>
        </w:tc>
        <w:tc>
          <w:tcPr>
            <w:tcW w:w="0" w:type="auto"/>
            <w:noWrap/>
            <w:hideMark/>
          </w:tcPr>
          <w:p w14:paraId="3025ECAA"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.04 (.04,.16)</w:t>
            </w:r>
          </w:p>
        </w:tc>
        <w:tc>
          <w:tcPr>
            <w:tcW w:w="0" w:type="auto"/>
            <w:noWrap/>
            <w:hideMark/>
          </w:tcPr>
          <w:p w14:paraId="39F5100C"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0975717B"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798F3C58"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IRSAD</w:t>
            </w:r>
          </w:p>
        </w:tc>
        <w:tc>
          <w:tcPr>
            <w:tcW w:w="0" w:type="auto"/>
            <w:noWrap/>
            <w:hideMark/>
          </w:tcPr>
          <w:p w14:paraId="070AF2CF"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.10 (-.01,.24)</w:t>
            </w:r>
          </w:p>
        </w:tc>
        <w:tc>
          <w:tcPr>
            <w:tcW w:w="0" w:type="auto"/>
            <w:noWrap/>
            <w:hideMark/>
          </w:tcPr>
          <w:p w14:paraId="4A11A5F9"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221912D5"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EC7A13" w:rsidRPr="00884FAA" w14:paraId="7D7B646D"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F2BD2C" w14:textId="77777777" w:rsidR="00EC7A13" w:rsidRPr="00884FAA" w:rsidRDefault="00EC7A13" w:rsidP="00DA431E">
            <w:pPr>
              <w:pStyle w:val="TableText"/>
              <w:spacing w:before="40" w:after="40"/>
              <w:ind w:left="-57" w:right="-57"/>
              <w:rPr>
                <w:sz w:val="18"/>
                <w:szCs w:val="18"/>
              </w:rPr>
            </w:pPr>
            <w:r w:rsidRPr="00884FAA">
              <w:rPr>
                <w:sz w:val="18"/>
                <w:szCs w:val="18"/>
              </w:rPr>
              <w:t>PIP</w:t>
            </w:r>
          </w:p>
        </w:tc>
        <w:tc>
          <w:tcPr>
            <w:tcW w:w="0" w:type="auto"/>
            <w:noWrap/>
            <w:hideMark/>
          </w:tcPr>
          <w:p w14:paraId="53501B0C"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.04 (.03,.09)</w:t>
            </w:r>
          </w:p>
        </w:tc>
        <w:tc>
          <w:tcPr>
            <w:tcW w:w="0" w:type="auto"/>
            <w:noWrap/>
            <w:hideMark/>
          </w:tcPr>
          <w:p w14:paraId="432A81F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50C7A137"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15808A55"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PIP</w:t>
            </w:r>
          </w:p>
        </w:tc>
        <w:tc>
          <w:tcPr>
            <w:tcW w:w="0" w:type="auto"/>
            <w:noWrap/>
            <w:hideMark/>
          </w:tcPr>
          <w:p w14:paraId="7F47A01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.08 (.04,.27)</w:t>
            </w:r>
          </w:p>
        </w:tc>
        <w:tc>
          <w:tcPr>
            <w:tcW w:w="0" w:type="auto"/>
            <w:noWrap/>
            <w:hideMark/>
          </w:tcPr>
          <w:p w14:paraId="79D4871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694E5763"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EC7A13" w:rsidRPr="00884FAA" w14:paraId="3D118A25"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FD53A" w14:textId="77777777" w:rsidR="00EC7A13" w:rsidRPr="00884FAA" w:rsidRDefault="00EC7A13" w:rsidP="00DA431E">
            <w:pPr>
              <w:pStyle w:val="TableText"/>
              <w:spacing w:before="40" w:after="40"/>
              <w:ind w:left="-57" w:right="-57"/>
              <w:rPr>
                <w:sz w:val="18"/>
                <w:szCs w:val="18"/>
              </w:rPr>
            </w:pPr>
            <w:r w:rsidRPr="00884FAA">
              <w:rPr>
                <w:sz w:val="18"/>
                <w:szCs w:val="18"/>
              </w:rPr>
              <w:t>IRSD</w:t>
            </w:r>
          </w:p>
        </w:tc>
        <w:tc>
          <w:tcPr>
            <w:tcW w:w="0" w:type="auto"/>
            <w:noWrap/>
            <w:hideMark/>
          </w:tcPr>
          <w:p w14:paraId="53C3C6F9"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.02 (.01,.11)</w:t>
            </w:r>
          </w:p>
        </w:tc>
        <w:tc>
          <w:tcPr>
            <w:tcW w:w="0" w:type="auto"/>
            <w:noWrap/>
            <w:hideMark/>
          </w:tcPr>
          <w:p w14:paraId="18B51212"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7582FC00"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3D0A866F"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SA</w:t>
            </w:r>
          </w:p>
        </w:tc>
        <w:tc>
          <w:tcPr>
            <w:tcW w:w="0" w:type="auto"/>
            <w:noWrap/>
            <w:hideMark/>
          </w:tcPr>
          <w:p w14:paraId="57D422AB"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.05 (.02,.08)</w:t>
            </w:r>
          </w:p>
        </w:tc>
        <w:tc>
          <w:tcPr>
            <w:tcW w:w="0" w:type="auto"/>
            <w:noWrap/>
            <w:hideMark/>
          </w:tcPr>
          <w:p w14:paraId="0042EBDE"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225F4CC9"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EC7A13" w:rsidRPr="00884FAA" w14:paraId="4591A7D7"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87F9A6B" w14:textId="77777777" w:rsidR="00EC7A13" w:rsidRPr="00884FAA" w:rsidRDefault="00EC7A13" w:rsidP="00DA431E">
            <w:pPr>
              <w:pStyle w:val="TableText"/>
              <w:spacing w:before="40" w:after="40"/>
              <w:ind w:left="-57" w:right="-57"/>
              <w:rPr>
                <w:sz w:val="18"/>
                <w:szCs w:val="18"/>
              </w:rPr>
            </w:pPr>
            <w:r w:rsidRPr="00884FAA">
              <w:rPr>
                <w:sz w:val="18"/>
                <w:szCs w:val="18"/>
              </w:rPr>
              <w:t> </w:t>
            </w:r>
          </w:p>
        </w:tc>
        <w:tc>
          <w:tcPr>
            <w:tcW w:w="0" w:type="auto"/>
            <w:noWrap/>
            <w:hideMark/>
          </w:tcPr>
          <w:p w14:paraId="2253A1E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7D773378"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60FE7BE7"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1DE429C2"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ACT</w:t>
            </w:r>
          </w:p>
        </w:tc>
        <w:tc>
          <w:tcPr>
            <w:tcW w:w="0" w:type="auto"/>
            <w:noWrap/>
            <w:hideMark/>
          </w:tcPr>
          <w:p w14:paraId="5522ACF9"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.04 (.00,.06)</w:t>
            </w:r>
          </w:p>
        </w:tc>
        <w:tc>
          <w:tcPr>
            <w:tcW w:w="0" w:type="auto"/>
            <w:noWrap/>
            <w:hideMark/>
          </w:tcPr>
          <w:p w14:paraId="2E52C0D2"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37BC1580"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EC7A13" w:rsidRPr="00884FAA" w14:paraId="0D4E198C"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A0775E" w14:textId="77777777" w:rsidR="00EC7A13" w:rsidRPr="00884FAA" w:rsidRDefault="00EC7A13" w:rsidP="00DA431E">
            <w:pPr>
              <w:pStyle w:val="TableText"/>
              <w:spacing w:before="40" w:after="40"/>
              <w:ind w:left="-57" w:right="-57"/>
              <w:rPr>
                <w:sz w:val="18"/>
                <w:szCs w:val="18"/>
              </w:rPr>
            </w:pPr>
            <w:r w:rsidRPr="00884FAA">
              <w:rPr>
                <w:sz w:val="18"/>
                <w:szCs w:val="18"/>
              </w:rPr>
              <w:t> </w:t>
            </w:r>
          </w:p>
        </w:tc>
        <w:tc>
          <w:tcPr>
            <w:tcW w:w="0" w:type="auto"/>
            <w:noWrap/>
            <w:hideMark/>
          </w:tcPr>
          <w:p w14:paraId="63103E51"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01339C4C"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33FFAE2E"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72C9F8BF"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IRSD</w:t>
            </w:r>
          </w:p>
        </w:tc>
        <w:tc>
          <w:tcPr>
            <w:tcW w:w="0" w:type="auto"/>
            <w:noWrap/>
            <w:hideMark/>
          </w:tcPr>
          <w:p w14:paraId="49589B27"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.02 (-.09,.14)</w:t>
            </w:r>
          </w:p>
        </w:tc>
        <w:tc>
          <w:tcPr>
            <w:tcW w:w="0" w:type="auto"/>
            <w:noWrap/>
            <w:hideMark/>
          </w:tcPr>
          <w:p w14:paraId="67450EA4"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5F4FA3DC"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r w:rsidR="00EC7A13" w:rsidRPr="00884FAA" w14:paraId="5A60044D" w14:textId="77777777" w:rsidTr="00EC7A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AB0C7D" w14:textId="77777777" w:rsidR="00EC7A13" w:rsidRPr="00884FAA" w:rsidRDefault="00EC7A13" w:rsidP="00DA431E">
            <w:pPr>
              <w:pStyle w:val="TableText"/>
              <w:spacing w:before="40" w:after="40"/>
              <w:ind w:left="-57" w:right="-57"/>
              <w:rPr>
                <w:sz w:val="18"/>
                <w:szCs w:val="18"/>
              </w:rPr>
            </w:pPr>
            <w:r w:rsidRPr="00884FAA">
              <w:rPr>
                <w:sz w:val="18"/>
                <w:szCs w:val="18"/>
              </w:rPr>
              <w:t> </w:t>
            </w:r>
          </w:p>
        </w:tc>
        <w:tc>
          <w:tcPr>
            <w:tcW w:w="0" w:type="auto"/>
            <w:noWrap/>
            <w:hideMark/>
          </w:tcPr>
          <w:p w14:paraId="4F0AECD4"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712C5D8D"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4E0DD093"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0307760A"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MBS GP</w:t>
            </w:r>
          </w:p>
        </w:tc>
        <w:tc>
          <w:tcPr>
            <w:tcW w:w="0" w:type="auto"/>
            <w:noWrap/>
            <w:hideMark/>
          </w:tcPr>
          <w:p w14:paraId="504820EB"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.01 (-.16,.09)</w:t>
            </w:r>
          </w:p>
        </w:tc>
        <w:tc>
          <w:tcPr>
            <w:tcW w:w="0" w:type="auto"/>
            <w:noWrap/>
            <w:hideMark/>
          </w:tcPr>
          <w:p w14:paraId="7A23B58E"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c>
          <w:tcPr>
            <w:tcW w:w="0" w:type="auto"/>
            <w:noWrap/>
            <w:hideMark/>
          </w:tcPr>
          <w:p w14:paraId="46F905CB" w14:textId="77777777" w:rsidR="00EC7A13" w:rsidRPr="00884FAA" w:rsidRDefault="00EC7A13" w:rsidP="00DA431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sz w:val="18"/>
                <w:szCs w:val="18"/>
              </w:rPr>
            </w:pPr>
            <w:r w:rsidRPr="00884FAA">
              <w:rPr>
                <w:sz w:val="18"/>
                <w:szCs w:val="18"/>
              </w:rPr>
              <w:t> </w:t>
            </w:r>
          </w:p>
        </w:tc>
      </w:tr>
      <w:tr w:rsidR="00EC7A13" w:rsidRPr="00884FAA" w14:paraId="76DDC999" w14:textId="77777777" w:rsidTr="00EC7A1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8C01953" w14:textId="77777777" w:rsidR="00EC7A13" w:rsidRPr="00884FAA" w:rsidRDefault="00EC7A13" w:rsidP="00DA431E">
            <w:pPr>
              <w:pStyle w:val="TableText"/>
              <w:spacing w:before="40" w:after="40"/>
              <w:ind w:left="-57" w:right="-57"/>
              <w:rPr>
                <w:sz w:val="18"/>
                <w:szCs w:val="18"/>
              </w:rPr>
            </w:pPr>
            <w:r w:rsidRPr="00884FAA">
              <w:rPr>
                <w:sz w:val="18"/>
                <w:szCs w:val="18"/>
              </w:rPr>
              <w:t> </w:t>
            </w:r>
          </w:p>
        </w:tc>
        <w:tc>
          <w:tcPr>
            <w:tcW w:w="0" w:type="auto"/>
            <w:noWrap/>
            <w:hideMark/>
          </w:tcPr>
          <w:p w14:paraId="2C986B0E"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6E4FD31F"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076340B4"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05B5F75C"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Vic</w:t>
            </w:r>
          </w:p>
        </w:tc>
        <w:tc>
          <w:tcPr>
            <w:tcW w:w="0" w:type="auto"/>
            <w:noWrap/>
            <w:hideMark/>
          </w:tcPr>
          <w:p w14:paraId="30DF4037"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.00 (-.02,.04)</w:t>
            </w:r>
          </w:p>
        </w:tc>
        <w:tc>
          <w:tcPr>
            <w:tcW w:w="0" w:type="auto"/>
            <w:noWrap/>
            <w:hideMark/>
          </w:tcPr>
          <w:p w14:paraId="7FAF55DE"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c>
          <w:tcPr>
            <w:tcW w:w="0" w:type="auto"/>
            <w:noWrap/>
            <w:hideMark/>
          </w:tcPr>
          <w:p w14:paraId="047E2854" w14:textId="77777777" w:rsidR="00EC7A13" w:rsidRPr="00884FAA" w:rsidRDefault="00EC7A13" w:rsidP="00DA431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sz w:val="18"/>
                <w:szCs w:val="18"/>
              </w:rPr>
            </w:pPr>
            <w:r w:rsidRPr="00884FAA">
              <w:rPr>
                <w:sz w:val="18"/>
                <w:szCs w:val="18"/>
              </w:rPr>
              <w:t> </w:t>
            </w:r>
          </w:p>
        </w:tc>
      </w:tr>
    </w:tbl>
    <w:p w14:paraId="0F8B236A" w14:textId="77777777" w:rsidR="002A67DB" w:rsidRPr="00884FAA" w:rsidRDefault="002A67DB" w:rsidP="00651D06">
      <w:pPr>
        <w:pStyle w:val="Heading3"/>
      </w:pPr>
      <w:r w:rsidRPr="00884FAA">
        <w:t>There were mixed relationships between variables and normal birthweight</w:t>
      </w:r>
    </w:p>
    <w:p w14:paraId="67DA46D6" w14:textId="06040A8A" w:rsidR="002A67DB" w:rsidRPr="00884FAA" w:rsidRDefault="002A67DB" w:rsidP="002A67DB">
      <w:r w:rsidRPr="00884FAA">
        <w:t>PIP activity had an inverse association with normal birthweight, indicating that areas with more PIP activity tended to have lower rates of normal birthweight. GP attendances, however, were positively associated with normal birthweight (</w:t>
      </w:r>
      <w:r w:rsidR="00FD324C">
        <w:t>that is</w:t>
      </w:r>
      <w:r w:rsidRPr="00884FAA">
        <w:t xml:space="preserve">, areas with more GP attendances had higher rates of normal birthweight). All of the socio-economic measures (education and occupation, economic resources, </w:t>
      </w:r>
      <w:r w:rsidR="00FD324C">
        <w:t xml:space="preserve">and </w:t>
      </w:r>
      <w:r w:rsidRPr="00884FAA">
        <w:t xml:space="preserve">socio-economic advantage and disadvantage) were also positively associated with normal birthweight. And remoteness had an inverse association, with areas of higher remoteness associated with lower rates of normal birthweight. </w:t>
      </w:r>
    </w:p>
    <w:p w14:paraId="3BDC7BD3" w14:textId="77777777" w:rsidR="002A67DB" w:rsidRPr="00884FAA" w:rsidRDefault="002A67DB" w:rsidP="002A67DB">
      <w:r w:rsidRPr="00884FAA">
        <w:t xml:space="preserve">However, in the difference-in-differences analysis, improvements on socio-economic measures were associated with decreases in normal birthweight. Also, increases in remoteness was associated with increases in normal birthweight. </w:t>
      </w:r>
    </w:p>
    <w:p w14:paraId="14871FB4" w14:textId="641508DA" w:rsidR="002A67DB" w:rsidRPr="00884FAA" w:rsidRDefault="002A67DB" w:rsidP="002A67DB">
      <w:r w:rsidRPr="00884FAA">
        <w:t>The influence of different states and territories showed Queensland areas as having higher rates of normal birthweight</w:t>
      </w:r>
      <w:r w:rsidR="00FD324C">
        <w:t>,</w:t>
      </w:r>
      <w:r w:rsidRPr="00884FAA">
        <w:t xml:space="preserve"> and NT areas having lower rates of normal birthweight</w:t>
      </w:r>
      <w:r w:rsidR="0084507A" w:rsidRPr="00884FAA">
        <w:t xml:space="preserve"> (at both time points)</w:t>
      </w:r>
      <w:r w:rsidRPr="00884FAA">
        <w:t>. However</w:t>
      </w:r>
      <w:r w:rsidR="00357312" w:rsidRPr="00884FAA">
        <w:t>,</w:t>
      </w:r>
      <w:r w:rsidRPr="00884FAA">
        <w:t xml:space="preserve"> the difference-in-differences analysis showed increases in normal birthweight for all states and territories except South Australia and Victoria</w:t>
      </w:r>
      <w:r w:rsidR="007875EF" w:rsidRPr="00884FAA">
        <w:t xml:space="preserve"> (between the two time points)</w:t>
      </w:r>
      <w:r w:rsidR="008F65A1" w:rsidRPr="00884FAA">
        <w:t>.</w:t>
      </w:r>
    </w:p>
    <w:p w14:paraId="7D86E7D6" w14:textId="0EA8771A" w:rsidR="002E0F08" w:rsidRPr="0047319D" w:rsidRDefault="002E0F08" w:rsidP="00D53340">
      <w:r w:rsidRPr="00884FAA">
        <w:t xml:space="preserve">The distributions for the effects of all variables are displayed in </w:t>
      </w:r>
      <w:r w:rsidR="001A5A51" w:rsidRPr="00884FAA">
        <w:fldChar w:fldCharType="begin"/>
      </w:r>
      <w:r w:rsidR="001A5A51" w:rsidRPr="00884FAA">
        <w:instrText xml:space="preserve"> REF _Ref131319820 \h </w:instrText>
      </w:r>
      <w:r w:rsidR="00D53340">
        <w:instrText xml:space="preserve"> \* MERGEFORMAT </w:instrText>
      </w:r>
      <w:r w:rsidR="001A5A51" w:rsidRPr="00884FAA">
        <w:fldChar w:fldCharType="separate"/>
      </w:r>
      <w:r w:rsidR="00165B17" w:rsidRPr="00884FAA">
        <w:t xml:space="preserve">Figure </w:t>
      </w:r>
      <w:r w:rsidR="00165B17">
        <w:rPr>
          <w:noProof/>
        </w:rPr>
        <w:t>8</w:t>
      </w:r>
      <w:r w:rsidR="00165B17">
        <w:rPr>
          <w:noProof/>
        </w:rPr>
        <w:noBreakHyphen/>
        <w:t>15</w:t>
      </w:r>
      <w:r w:rsidR="001A5A51" w:rsidRPr="00884FAA">
        <w:fldChar w:fldCharType="end"/>
      </w:r>
      <w:r w:rsidRPr="00884FAA">
        <w:t xml:space="preserve">. </w:t>
      </w:r>
      <w:r w:rsidR="001A5A51" w:rsidRPr="00884FAA">
        <w:fldChar w:fldCharType="begin"/>
      </w:r>
      <w:r w:rsidR="001A5A51" w:rsidRPr="00884FAA">
        <w:instrText xml:space="preserve"> REF _Ref131319849 \h </w:instrText>
      </w:r>
      <w:r w:rsidR="00D53340">
        <w:instrText xml:space="preserve"> \* MERGEFORMAT </w:instrText>
      </w:r>
      <w:r w:rsidR="001A5A51" w:rsidRPr="00884FAA">
        <w:fldChar w:fldCharType="separate"/>
      </w:r>
      <w:r w:rsidR="00165B17" w:rsidRPr="00884FAA">
        <w:t xml:space="preserve">Table </w:t>
      </w:r>
      <w:r w:rsidR="00165B17">
        <w:rPr>
          <w:noProof/>
        </w:rPr>
        <w:t>8</w:t>
      </w:r>
      <w:r w:rsidR="00165B17">
        <w:rPr>
          <w:noProof/>
        </w:rPr>
        <w:noBreakHyphen/>
        <w:t>10</w:t>
      </w:r>
      <w:r w:rsidR="001A5A51" w:rsidRPr="00884FAA">
        <w:fldChar w:fldCharType="end"/>
      </w:r>
      <w:r w:rsidRPr="00884FAA">
        <w:t xml:space="preserve"> show</w:t>
      </w:r>
      <w:r w:rsidR="00D53340">
        <w:t>s</w:t>
      </w:r>
      <w:r w:rsidRPr="00884FAA">
        <w:t xml:space="preserve"> the positive and negative effects in order of importance (magnitude of β).</w:t>
      </w:r>
      <w:r w:rsidR="003446C2" w:rsidRPr="00884FAA">
        <w:t xml:space="preserve"> Figures for difference-in-difference analysis</w:t>
      </w:r>
      <w:r w:rsidR="003C55E5" w:rsidRPr="00884FAA">
        <w:t xml:space="preserve"> are included in </w:t>
      </w:r>
      <w:r w:rsidR="0047319D" w:rsidRPr="00884FAA">
        <w:t xml:space="preserve">in </w:t>
      </w:r>
      <w:r w:rsidR="0047319D">
        <w:t xml:space="preserve">the Quantitative </w:t>
      </w:r>
      <w:r w:rsidR="009964D7">
        <w:t>Analytical Approach</w:t>
      </w:r>
      <w:r w:rsidR="0047319D">
        <w:t xml:space="preserve"> and Findings supporting document to this report</w:t>
      </w:r>
      <w:r w:rsidR="0047319D" w:rsidRPr="00884FAA">
        <w:t>.</w:t>
      </w:r>
    </w:p>
    <w:p w14:paraId="73EA5219" w14:textId="2976EA6E" w:rsidR="002E0F08" w:rsidRPr="00884FAA" w:rsidRDefault="00660A2A" w:rsidP="00660A2A">
      <w:pPr>
        <w:pStyle w:val="Caption"/>
      </w:pPr>
      <w:bookmarkStart w:id="311" w:name="_Ref131319820"/>
      <w:bookmarkStart w:id="312" w:name="_Toc138851358"/>
      <w:r w:rsidRPr="00884FAA">
        <w:lastRenderedPageBreak/>
        <w:t xml:space="preserve">Figure </w:t>
      </w:r>
      <w:r w:rsidR="005B4A4F">
        <w:fldChar w:fldCharType="begin"/>
      </w:r>
      <w:r w:rsidR="005B4A4F">
        <w:instrText xml:space="preserve"> STYLEREF 1 \s </w:instrText>
      </w:r>
      <w:r w:rsidR="005B4A4F">
        <w:fldChar w:fldCharType="separate"/>
      </w:r>
      <w:r w:rsidR="00165B17">
        <w:rPr>
          <w:noProof/>
        </w:rPr>
        <w:t>8</w:t>
      </w:r>
      <w:r w:rsidR="005B4A4F">
        <w:fldChar w:fldCharType="end"/>
      </w:r>
      <w:r w:rsidR="005B4A4F">
        <w:noBreakHyphen/>
      </w:r>
      <w:r w:rsidR="005B4A4F">
        <w:fldChar w:fldCharType="begin"/>
      </w:r>
      <w:r w:rsidR="005B4A4F">
        <w:instrText xml:space="preserve"> SEQ Figure \* ARABIC \s 1 </w:instrText>
      </w:r>
      <w:r w:rsidR="005B4A4F">
        <w:fldChar w:fldCharType="separate"/>
      </w:r>
      <w:r w:rsidR="00165B17">
        <w:rPr>
          <w:noProof/>
        </w:rPr>
        <w:t>15</w:t>
      </w:r>
      <w:r w:rsidR="005B4A4F">
        <w:fldChar w:fldCharType="end"/>
      </w:r>
      <w:bookmarkEnd w:id="311"/>
      <w:r w:rsidR="006C0DB2" w:rsidRPr="00884FAA">
        <w:t xml:space="preserve">. </w:t>
      </w:r>
      <w:r w:rsidR="00892E52" w:rsidRPr="00884FAA">
        <w:t>Effects of</w:t>
      </w:r>
      <w:r w:rsidR="00286266" w:rsidRPr="00884FAA">
        <w:t xml:space="preserve"> primary care activity and social determinants on birthweight</w:t>
      </w:r>
      <w:r w:rsidR="00B82671" w:rsidRPr="00884FAA">
        <w:t xml:space="preserve"> at </w:t>
      </w:r>
      <w:r w:rsidR="000E395F" w:rsidRPr="00884FAA">
        <w:t>T</w:t>
      </w:r>
      <w:r w:rsidR="00B82671" w:rsidRPr="00884FAA">
        <w:t>ime 1 (</w:t>
      </w:r>
      <w:r w:rsidR="000E395F" w:rsidRPr="00884FAA">
        <w:t>2011) and Time 2 (2016)</w:t>
      </w:r>
      <w:bookmarkEnd w:id="312"/>
    </w:p>
    <w:p w14:paraId="1643EB6E" w14:textId="1801A86E" w:rsidR="005E34CE" w:rsidRPr="00884FAA" w:rsidRDefault="00A26111" w:rsidP="002A67DB">
      <w:r w:rsidRPr="00884FAA">
        <w:rPr>
          <w:noProof/>
        </w:rPr>
        <w:drawing>
          <wp:inline distT="0" distB="0" distL="0" distR="0" wp14:anchorId="12A74F7E" wp14:editId="09C7D8F6">
            <wp:extent cx="5731510" cy="4617085"/>
            <wp:effectExtent l="0" t="0" r="0" b="0"/>
            <wp:docPr id="33" name="Picture 33" descr="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s"/>
                    <pic:cNvPicPr/>
                  </pic:nvPicPr>
                  <pic:blipFill>
                    <a:blip r:embed="rId145">
                      <a:extLst>
                        <a:ext uri="{28A0092B-C50C-407E-A947-70E740481C1C}">
                          <a14:useLocalDpi xmlns:a14="http://schemas.microsoft.com/office/drawing/2010/main" val="0"/>
                        </a:ext>
                      </a:extLst>
                    </a:blip>
                    <a:stretch>
                      <a:fillRect/>
                    </a:stretch>
                  </pic:blipFill>
                  <pic:spPr>
                    <a:xfrm>
                      <a:off x="0" y="0"/>
                      <a:ext cx="5731510" cy="4617085"/>
                    </a:xfrm>
                    <a:prstGeom prst="rect">
                      <a:avLst/>
                    </a:prstGeom>
                  </pic:spPr>
                </pic:pic>
              </a:graphicData>
            </a:graphic>
          </wp:inline>
        </w:drawing>
      </w:r>
    </w:p>
    <w:p w14:paraId="5621BEEB" w14:textId="79C719BA" w:rsidR="000669D6" w:rsidRPr="00884FAA" w:rsidRDefault="00A172F0" w:rsidP="00ED0231">
      <w:pPr>
        <w:pStyle w:val="Caption"/>
      </w:pPr>
      <w:bookmarkStart w:id="313" w:name="_Ref131319849"/>
      <w:bookmarkStart w:id="314" w:name="_Toc138851294"/>
      <w:r w:rsidRPr="00884FAA">
        <w:t xml:space="preserve">Table </w:t>
      </w:r>
      <w:r w:rsidR="00B92D87">
        <w:fldChar w:fldCharType="begin"/>
      </w:r>
      <w:r w:rsidR="00B92D87">
        <w:instrText xml:space="preserve"> STYLEREF 1 \s </w:instrText>
      </w:r>
      <w:r w:rsidR="00B92D87">
        <w:fldChar w:fldCharType="separate"/>
      </w:r>
      <w:r w:rsidR="00165B17">
        <w:rPr>
          <w:noProof/>
        </w:rPr>
        <w:t>8</w:t>
      </w:r>
      <w:r w:rsidR="00B92D87">
        <w:fldChar w:fldCharType="end"/>
      </w:r>
      <w:r w:rsidR="00B92D87">
        <w:noBreakHyphen/>
      </w:r>
      <w:r w:rsidR="00B92D87">
        <w:fldChar w:fldCharType="begin"/>
      </w:r>
      <w:r w:rsidR="00B92D87">
        <w:instrText xml:space="preserve"> SEQ Table \* ARABIC \s 1 </w:instrText>
      </w:r>
      <w:r w:rsidR="00B92D87">
        <w:fldChar w:fldCharType="separate"/>
      </w:r>
      <w:r w:rsidR="00165B17">
        <w:rPr>
          <w:noProof/>
        </w:rPr>
        <w:t>10</w:t>
      </w:r>
      <w:r w:rsidR="00B92D87">
        <w:fldChar w:fldCharType="end"/>
      </w:r>
      <w:bookmarkEnd w:id="313"/>
      <w:r w:rsidR="00ED0231" w:rsidRPr="00884FAA">
        <w:t xml:space="preserve">. </w:t>
      </w:r>
      <w:r w:rsidR="000669D6" w:rsidRPr="00884FAA">
        <w:t xml:space="preserve">Standardised regression coefficients (in decreasing order) by timepoint and direction of effect for </w:t>
      </w:r>
      <w:r w:rsidR="002943E9" w:rsidRPr="00884FAA">
        <w:t xml:space="preserve">normal </w:t>
      </w:r>
      <w:r w:rsidR="000669D6" w:rsidRPr="00884FAA">
        <w:t>birthweight</w:t>
      </w:r>
      <w:bookmarkEnd w:id="314"/>
    </w:p>
    <w:tbl>
      <w:tblPr>
        <w:tblStyle w:val="ACTableDesign1White"/>
        <w:tblW w:w="0" w:type="auto"/>
        <w:tblLayout w:type="fixed"/>
        <w:tblLook w:val="04A0" w:firstRow="1" w:lastRow="0" w:firstColumn="1" w:lastColumn="0" w:noHBand="0" w:noVBand="1"/>
      </w:tblPr>
      <w:tblGrid>
        <w:gridCol w:w="848"/>
        <w:gridCol w:w="1276"/>
        <w:gridCol w:w="850"/>
        <w:gridCol w:w="1418"/>
        <w:gridCol w:w="850"/>
        <w:gridCol w:w="1276"/>
        <w:gridCol w:w="992"/>
        <w:gridCol w:w="1510"/>
      </w:tblGrid>
      <w:tr w:rsidR="002943E9" w:rsidRPr="00884FAA" w14:paraId="6131F176" w14:textId="77777777" w:rsidTr="00F91E7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2" w:type="dxa"/>
            <w:gridSpan w:val="4"/>
            <w:noWrap/>
            <w:hideMark/>
          </w:tcPr>
          <w:p w14:paraId="690C0D57" w14:textId="77777777" w:rsidR="002943E9" w:rsidRPr="0058387D" w:rsidRDefault="002943E9" w:rsidP="0079018E">
            <w:pPr>
              <w:pStyle w:val="TableText"/>
              <w:spacing w:before="40" w:after="40"/>
              <w:ind w:left="-57" w:right="-57"/>
              <w:rPr>
                <w:color w:val="000000" w:themeColor="text1"/>
              </w:rPr>
            </w:pPr>
            <w:r w:rsidRPr="0058387D">
              <w:rPr>
                <w:color w:val="000000" w:themeColor="text1"/>
              </w:rPr>
              <w:t>Time 1</w:t>
            </w:r>
          </w:p>
        </w:tc>
        <w:tc>
          <w:tcPr>
            <w:tcW w:w="4628" w:type="dxa"/>
            <w:gridSpan w:val="4"/>
            <w:noWrap/>
            <w:hideMark/>
          </w:tcPr>
          <w:p w14:paraId="0E68AFEE" w14:textId="77777777" w:rsidR="002943E9" w:rsidRPr="0058387D" w:rsidRDefault="002943E9" w:rsidP="0079018E">
            <w:pPr>
              <w:pStyle w:val="TableText"/>
              <w:spacing w:before="40" w:after="40"/>
              <w:ind w:left="-57" w:right="-57"/>
              <w:cnfStyle w:val="100000000000" w:firstRow="1" w:lastRow="0" w:firstColumn="0" w:lastColumn="0" w:oddVBand="0" w:evenVBand="0" w:oddHBand="0" w:evenHBand="0" w:firstRowFirstColumn="0" w:firstRowLastColumn="0" w:lastRowFirstColumn="0" w:lastRowLastColumn="0"/>
              <w:rPr>
                <w:color w:val="000000" w:themeColor="text1"/>
              </w:rPr>
            </w:pPr>
            <w:r w:rsidRPr="0058387D">
              <w:rPr>
                <w:color w:val="000000" w:themeColor="text1"/>
              </w:rPr>
              <w:t>Time 2</w:t>
            </w:r>
          </w:p>
        </w:tc>
      </w:tr>
      <w:tr w:rsidR="002943E9" w:rsidRPr="00884FAA" w14:paraId="75FE3AA7"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4" w:type="dxa"/>
            <w:gridSpan w:val="2"/>
            <w:noWrap/>
            <w:hideMark/>
          </w:tcPr>
          <w:p w14:paraId="7BE8CE8B"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Positive</w:t>
            </w:r>
          </w:p>
        </w:tc>
        <w:tc>
          <w:tcPr>
            <w:tcW w:w="2268" w:type="dxa"/>
            <w:gridSpan w:val="2"/>
            <w:noWrap/>
            <w:hideMark/>
          </w:tcPr>
          <w:p w14:paraId="2D48A1B5"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Negative</w:t>
            </w:r>
          </w:p>
        </w:tc>
        <w:tc>
          <w:tcPr>
            <w:tcW w:w="2126" w:type="dxa"/>
            <w:gridSpan w:val="2"/>
            <w:noWrap/>
            <w:hideMark/>
          </w:tcPr>
          <w:p w14:paraId="5670764B"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Positive</w:t>
            </w:r>
          </w:p>
        </w:tc>
        <w:tc>
          <w:tcPr>
            <w:tcW w:w="2502" w:type="dxa"/>
            <w:gridSpan w:val="2"/>
            <w:noWrap/>
            <w:hideMark/>
          </w:tcPr>
          <w:p w14:paraId="3376F769"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Negative</w:t>
            </w:r>
          </w:p>
        </w:tc>
      </w:tr>
      <w:tr w:rsidR="002943E9" w:rsidRPr="00884FAA" w14:paraId="1D3BCE05" w14:textId="77777777" w:rsidTr="00F91E7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3658EB51"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Variable</w:t>
            </w:r>
          </w:p>
        </w:tc>
        <w:tc>
          <w:tcPr>
            <w:tcW w:w="1276" w:type="dxa"/>
            <w:noWrap/>
            <w:hideMark/>
          </w:tcPr>
          <w:p w14:paraId="0C48541A"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β median (min,max)</w:t>
            </w:r>
          </w:p>
        </w:tc>
        <w:tc>
          <w:tcPr>
            <w:tcW w:w="850" w:type="dxa"/>
            <w:noWrap/>
            <w:hideMark/>
          </w:tcPr>
          <w:p w14:paraId="4DCF1C79"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Variable</w:t>
            </w:r>
          </w:p>
        </w:tc>
        <w:tc>
          <w:tcPr>
            <w:tcW w:w="1418" w:type="dxa"/>
            <w:noWrap/>
            <w:hideMark/>
          </w:tcPr>
          <w:p w14:paraId="1D841C2F"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β median (min,max)</w:t>
            </w:r>
          </w:p>
        </w:tc>
        <w:tc>
          <w:tcPr>
            <w:tcW w:w="850" w:type="dxa"/>
            <w:noWrap/>
            <w:hideMark/>
          </w:tcPr>
          <w:p w14:paraId="703A02D3"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Variable</w:t>
            </w:r>
          </w:p>
        </w:tc>
        <w:tc>
          <w:tcPr>
            <w:tcW w:w="1276" w:type="dxa"/>
            <w:noWrap/>
            <w:hideMark/>
          </w:tcPr>
          <w:p w14:paraId="7C8B4AFD"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β median (min,max)</w:t>
            </w:r>
          </w:p>
        </w:tc>
        <w:tc>
          <w:tcPr>
            <w:tcW w:w="992" w:type="dxa"/>
            <w:noWrap/>
            <w:hideMark/>
          </w:tcPr>
          <w:p w14:paraId="06C8D34F"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Variable</w:t>
            </w:r>
          </w:p>
        </w:tc>
        <w:tc>
          <w:tcPr>
            <w:tcW w:w="1510" w:type="dxa"/>
            <w:noWrap/>
            <w:hideMark/>
          </w:tcPr>
          <w:p w14:paraId="615F39DD"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β median (min,max)</w:t>
            </w:r>
          </w:p>
        </w:tc>
      </w:tr>
      <w:tr w:rsidR="002943E9" w:rsidRPr="00884FAA" w14:paraId="63804EA9"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3E1FB100"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Vic</w:t>
            </w:r>
          </w:p>
        </w:tc>
        <w:tc>
          <w:tcPr>
            <w:tcW w:w="1276" w:type="dxa"/>
            <w:noWrap/>
            <w:hideMark/>
          </w:tcPr>
          <w:p w14:paraId="60D6263D"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.36 (.35,.36)</w:t>
            </w:r>
          </w:p>
        </w:tc>
        <w:tc>
          <w:tcPr>
            <w:tcW w:w="850" w:type="dxa"/>
            <w:noWrap/>
            <w:hideMark/>
          </w:tcPr>
          <w:p w14:paraId="1285D8D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Males</w:t>
            </w:r>
          </w:p>
        </w:tc>
        <w:tc>
          <w:tcPr>
            <w:tcW w:w="1418" w:type="dxa"/>
            <w:noWrap/>
            <w:hideMark/>
          </w:tcPr>
          <w:p w14:paraId="33DB778F"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-.30 (-.35,-.22)</w:t>
            </w:r>
          </w:p>
        </w:tc>
        <w:tc>
          <w:tcPr>
            <w:tcW w:w="850" w:type="dxa"/>
            <w:noWrap/>
            <w:hideMark/>
          </w:tcPr>
          <w:p w14:paraId="0586742E"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MBS GP</w:t>
            </w:r>
          </w:p>
        </w:tc>
        <w:tc>
          <w:tcPr>
            <w:tcW w:w="1276" w:type="dxa"/>
            <w:noWrap/>
            <w:hideMark/>
          </w:tcPr>
          <w:p w14:paraId="1223CA47"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.49 (.35,.55)</w:t>
            </w:r>
          </w:p>
        </w:tc>
        <w:tc>
          <w:tcPr>
            <w:tcW w:w="992" w:type="dxa"/>
            <w:noWrap/>
            <w:hideMark/>
          </w:tcPr>
          <w:p w14:paraId="0213B6CD"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Remote</w:t>
            </w:r>
          </w:p>
        </w:tc>
        <w:tc>
          <w:tcPr>
            <w:tcW w:w="1510" w:type="dxa"/>
            <w:noWrap/>
            <w:hideMark/>
          </w:tcPr>
          <w:p w14:paraId="4958820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-.30 (-.48,-.06)</w:t>
            </w:r>
          </w:p>
        </w:tc>
      </w:tr>
      <w:tr w:rsidR="002943E9" w:rsidRPr="00884FAA" w14:paraId="6CB2A6CA" w14:textId="77777777" w:rsidTr="00F91E7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2DD00827"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IER</w:t>
            </w:r>
          </w:p>
        </w:tc>
        <w:tc>
          <w:tcPr>
            <w:tcW w:w="1276" w:type="dxa"/>
            <w:noWrap/>
            <w:hideMark/>
          </w:tcPr>
          <w:p w14:paraId="20D58268"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.23 (.06,.24)</w:t>
            </w:r>
          </w:p>
        </w:tc>
        <w:tc>
          <w:tcPr>
            <w:tcW w:w="850" w:type="dxa"/>
            <w:noWrap/>
            <w:hideMark/>
          </w:tcPr>
          <w:p w14:paraId="39F89923"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ACT</w:t>
            </w:r>
          </w:p>
        </w:tc>
        <w:tc>
          <w:tcPr>
            <w:tcW w:w="1418" w:type="dxa"/>
            <w:noWrap/>
            <w:hideMark/>
          </w:tcPr>
          <w:p w14:paraId="1117A6E3"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-.25 (-.28,-.18)</w:t>
            </w:r>
          </w:p>
        </w:tc>
        <w:tc>
          <w:tcPr>
            <w:tcW w:w="850" w:type="dxa"/>
            <w:noWrap/>
            <w:hideMark/>
          </w:tcPr>
          <w:p w14:paraId="536A1DC4"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Tas</w:t>
            </w:r>
          </w:p>
        </w:tc>
        <w:tc>
          <w:tcPr>
            <w:tcW w:w="1276" w:type="dxa"/>
            <w:noWrap/>
            <w:hideMark/>
          </w:tcPr>
          <w:p w14:paraId="2904D719"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.20 (.15,.27)</w:t>
            </w:r>
          </w:p>
        </w:tc>
        <w:tc>
          <w:tcPr>
            <w:tcW w:w="992" w:type="dxa"/>
            <w:noWrap/>
            <w:hideMark/>
          </w:tcPr>
          <w:p w14:paraId="39BCAD54"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Age</w:t>
            </w:r>
          </w:p>
        </w:tc>
        <w:tc>
          <w:tcPr>
            <w:tcW w:w="1510" w:type="dxa"/>
            <w:noWrap/>
            <w:hideMark/>
          </w:tcPr>
          <w:p w14:paraId="165241CA"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-.15 (-.26,-.09)</w:t>
            </w:r>
          </w:p>
        </w:tc>
      </w:tr>
      <w:tr w:rsidR="002943E9" w:rsidRPr="00884FAA" w14:paraId="4640A9C5"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7BFD1DE5"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IEO</w:t>
            </w:r>
          </w:p>
        </w:tc>
        <w:tc>
          <w:tcPr>
            <w:tcW w:w="1276" w:type="dxa"/>
            <w:noWrap/>
            <w:hideMark/>
          </w:tcPr>
          <w:p w14:paraId="3870D6B9"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.22 (-.14,.28)</w:t>
            </w:r>
          </w:p>
        </w:tc>
        <w:tc>
          <w:tcPr>
            <w:tcW w:w="850" w:type="dxa"/>
            <w:noWrap/>
            <w:hideMark/>
          </w:tcPr>
          <w:p w14:paraId="5BEA4CD9"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NT</w:t>
            </w:r>
          </w:p>
        </w:tc>
        <w:tc>
          <w:tcPr>
            <w:tcW w:w="1418" w:type="dxa"/>
            <w:noWrap/>
            <w:hideMark/>
          </w:tcPr>
          <w:p w14:paraId="46931246"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-.25 (-.26,-.20)</w:t>
            </w:r>
          </w:p>
        </w:tc>
        <w:tc>
          <w:tcPr>
            <w:tcW w:w="850" w:type="dxa"/>
            <w:noWrap/>
            <w:hideMark/>
          </w:tcPr>
          <w:p w14:paraId="1330E16C"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Imm</w:t>
            </w:r>
          </w:p>
        </w:tc>
        <w:tc>
          <w:tcPr>
            <w:tcW w:w="1276" w:type="dxa"/>
            <w:noWrap/>
            <w:hideMark/>
          </w:tcPr>
          <w:p w14:paraId="5544A57B"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.16 (.12,.19)</w:t>
            </w:r>
          </w:p>
        </w:tc>
        <w:tc>
          <w:tcPr>
            <w:tcW w:w="992" w:type="dxa"/>
            <w:noWrap/>
            <w:hideMark/>
          </w:tcPr>
          <w:p w14:paraId="458D30D5"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NT</w:t>
            </w:r>
          </w:p>
        </w:tc>
        <w:tc>
          <w:tcPr>
            <w:tcW w:w="1510" w:type="dxa"/>
            <w:noWrap/>
            <w:hideMark/>
          </w:tcPr>
          <w:p w14:paraId="54972A5A"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-.14 (-.20,-.08)</w:t>
            </w:r>
          </w:p>
        </w:tc>
      </w:tr>
      <w:tr w:rsidR="002943E9" w:rsidRPr="00884FAA" w14:paraId="3665DD71" w14:textId="77777777" w:rsidTr="00F91E7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3DA3984B"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IRSAD</w:t>
            </w:r>
          </w:p>
        </w:tc>
        <w:tc>
          <w:tcPr>
            <w:tcW w:w="1276" w:type="dxa"/>
            <w:noWrap/>
            <w:hideMark/>
          </w:tcPr>
          <w:p w14:paraId="48164CE9"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.21 (-.12,.22)</w:t>
            </w:r>
          </w:p>
        </w:tc>
        <w:tc>
          <w:tcPr>
            <w:tcW w:w="850" w:type="dxa"/>
            <w:noWrap/>
            <w:hideMark/>
          </w:tcPr>
          <w:p w14:paraId="1A91746B"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WA</w:t>
            </w:r>
          </w:p>
        </w:tc>
        <w:tc>
          <w:tcPr>
            <w:tcW w:w="1418" w:type="dxa"/>
            <w:noWrap/>
            <w:hideMark/>
          </w:tcPr>
          <w:p w14:paraId="592BE451"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-.19 (-.24,-.16)</w:t>
            </w:r>
          </w:p>
        </w:tc>
        <w:tc>
          <w:tcPr>
            <w:tcW w:w="850" w:type="dxa"/>
            <w:noWrap/>
            <w:hideMark/>
          </w:tcPr>
          <w:p w14:paraId="03E2E127"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ACT</w:t>
            </w:r>
          </w:p>
        </w:tc>
        <w:tc>
          <w:tcPr>
            <w:tcW w:w="1276" w:type="dxa"/>
            <w:noWrap/>
            <w:hideMark/>
          </w:tcPr>
          <w:p w14:paraId="31E453F6"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.11 (.07,.16)</w:t>
            </w:r>
          </w:p>
        </w:tc>
        <w:tc>
          <w:tcPr>
            <w:tcW w:w="992" w:type="dxa"/>
            <w:noWrap/>
            <w:hideMark/>
          </w:tcPr>
          <w:p w14:paraId="1F75C016"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Serv</w:t>
            </w:r>
          </w:p>
        </w:tc>
        <w:tc>
          <w:tcPr>
            <w:tcW w:w="1510" w:type="dxa"/>
            <w:noWrap/>
            <w:hideMark/>
          </w:tcPr>
          <w:p w14:paraId="0356DCEB"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-.13 (-.43,.18)</w:t>
            </w:r>
          </w:p>
        </w:tc>
      </w:tr>
      <w:tr w:rsidR="002943E9" w:rsidRPr="00884FAA" w14:paraId="527F4AB5"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2C83D8A2"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IRSD</w:t>
            </w:r>
          </w:p>
        </w:tc>
        <w:tc>
          <w:tcPr>
            <w:tcW w:w="1276" w:type="dxa"/>
            <w:noWrap/>
            <w:hideMark/>
          </w:tcPr>
          <w:p w14:paraId="591A87C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.21 (-.08,.22)</w:t>
            </w:r>
          </w:p>
        </w:tc>
        <w:tc>
          <w:tcPr>
            <w:tcW w:w="850" w:type="dxa"/>
            <w:noWrap/>
            <w:hideMark/>
          </w:tcPr>
          <w:p w14:paraId="69D6ED33"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Tas</w:t>
            </w:r>
          </w:p>
        </w:tc>
        <w:tc>
          <w:tcPr>
            <w:tcW w:w="1418" w:type="dxa"/>
            <w:noWrap/>
            <w:hideMark/>
          </w:tcPr>
          <w:p w14:paraId="7556A18E"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-.13 (-.14,-.11)</w:t>
            </w:r>
          </w:p>
        </w:tc>
        <w:tc>
          <w:tcPr>
            <w:tcW w:w="850" w:type="dxa"/>
            <w:noWrap/>
            <w:hideMark/>
          </w:tcPr>
          <w:p w14:paraId="1780B13C"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IRSD</w:t>
            </w:r>
          </w:p>
        </w:tc>
        <w:tc>
          <w:tcPr>
            <w:tcW w:w="1276" w:type="dxa"/>
            <w:noWrap/>
            <w:hideMark/>
          </w:tcPr>
          <w:p w14:paraId="3F1C0CF5"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.11 (-.04,.28)</w:t>
            </w:r>
          </w:p>
        </w:tc>
        <w:tc>
          <w:tcPr>
            <w:tcW w:w="992" w:type="dxa"/>
            <w:noWrap/>
            <w:hideMark/>
          </w:tcPr>
          <w:p w14:paraId="3229FBC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PIP</w:t>
            </w:r>
          </w:p>
        </w:tc>
        <w:tc>
          <w:tcPr>
            <w:tcW w:w="1510" w:type="dxa"/>
            <w:noWrap/>
            <w:hideMark/>
          </w:tcPr>
          <w:p w14:paraId="0FABF268"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-.08 (-.22,-.04)</w:t>
            </w:r>
          </w:p>
        </w:tc>
      </w:tr>
      <w:tr w:rsidR="002943E9" w:rsidRPr="00884FAA" w14:paraId="182EFB0C" w14:textId="77777777" w:rsidTr="00F91E7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60E0FD78"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Qld</w:t>
            </w:r>
          </w:p>
        </w:tc>
        <w:tc>
          <w:tcPr>
            <w:tcW w:w="1276" w:type="dxa"/>
            <w:noWrap/>
            <w:hideMark/>
          </w:tcPr>
          <w:p w14:paraId="3268DB82"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.19 (.18,.22)</w:t>
            </w:r>
          </w:p>
        </w:tc>
        <w:tc>
          <w:tcPr>
            <w:tcW w:w="850" w:type="dxa"/>
            <w:noWrap/>
            <w:hideMark/>
          </w:tcPr>
          <w:p w14:paraId="7BB9C7D0"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Remote</w:t>
            </w:r>
          </w:p>
        </w:tc>
        <w:tc>
          <w:tcPr>
            <w:tcW w:w="1418" w:type="dxa"/>
            <w:noWrap/>
            <w:hideMark/>
          </w:tcPr>
          <w:p w14:paraId="2133829B"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-.11 (-.38,.00)</w:t>
            </w:r>
          </w:p>
        </w:tc>
        <w:tc>
          <w:tcPr>
            <w:tcW w:w="850" w:type="dxa"/>
            <w:noWrap/>
            <w:hideMark/>
          </w:tcPr>
          <w:p w14:paraId="50263A84"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Qld</w:t>
            </w:r>
          </w:p>
        </w:tc>
        <w:tc>
          <w:tcPr>
            <w:tcW w:w="1276" w:type="dxa"/>
            <w:noWrap/>
            <w:hideMark/>
          </w:tcPr>
          <w:p w14:paraId="659FBB5C"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.11 (.02,.18)</w:t>
            </w:r>
          </w:p>
        </w:tc>
        <w:tc>
          <w:tcPr>
            <w:tcW w:w="992" w:type="dxa"/>
            <w:noWrap/>
            <w:hideMark/>
          </w:tcPr>
          <w:p w14:paraId="3BE3975B"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IEO</w:t>
            </w:r>
          </w:p>
        </w:tc>
        <w:tc>
          <w:tcPr>
            <w:tcW w:w="1510" w:type="dxa"/>
            <w:noWrap/>
            <w:hideMark/>
          </w:tcPr>
          <w:p w14:paraId="25325D38"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-.07 (-.17,.36)</w:t>
            </w:r>
          </w:p>
        </w:tc>
      </w:tr>
      <w:tr w:rsidR="002943E9" w:rsidRPr="00884FAA" w14:paraId="7A2B66FD"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0990E17E"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MBS GP</w:t>
            </w:r>
          </w:p>
        </w:tc>
        <w:tc>
          <w:tcPr>
            <w:tcW w:w="1276" w:type="dxa"/>
            <w:noWrap/>
            <w:hideMark/>
          </w:tcPr>
          <w:p w14:paraId="162756AC"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.06 (-.04,.44)</w:t>
            </w:r>
          </w:p>
        </w:tc>
        <w:tc>
          <w:tcPr>
            <w:tcW w:w="850" w:type="dxa"/>
            <w:noWrap/>
            <w:hideMark/>
          </w:tcPr>
          <w:p w14:paraId="7E34CB4A"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SA</w:t>
            </w:r>
          </w:p>
        </w:tc>
        <w:tc>
          <w:tcPr>
            <w:tcW w:w="1418" w:type="dxa"/>
            <w:noWrap/>
            <w:hideMark/>
          </w:tcPr>
          <w:p w14:paraId="4A67C8AC"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-.02 (-.06,-.00)</w:t>
            </w:r>
          </w:p>
        </w:tc>
        <w:tc>
          <w:tcPr>
            <w:tcW w:w="850" w:type="dxa"/>
            <w:noWrap/>
            <w:hideMark/>
          </w:tcPr>
          <w:p w14:paraId="0A8A52D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IER</w:t>
            </w:r>
          </w:p>
        </w:tc>
        <w:tc>
          <w:tcPr>
            <w:tcW w:w="1276" w:type="dxa"/>
            <w:noWrap/>
            <w:hideMark/>
          </w:tcPr>
          <w:p w14:paraId="7797D7B7"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.09 (-.02,.27)</w:t>
            </w:r>
          </w:p>
        </w:tc>
        <w:tc>
          <w:tcPr>
            <w:tcW w:w="992" w:type="dxa"/>
            <w:noWrap/>
            <w:hideMark/>
          </w:tcPr>
          <w:p w14:paraId="173B85BD"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WA</w:t>
            </w:r>
          </w:p>
        </w:tc>
        <w:tc>
          <w:tcPr>
            <w:tcW w:w="1510" w:type="dxa"/>
            <w:noWrap/>
            <w:hideMark/>
          </w:tcPr>
          <w:p w14:paraId="618659AF"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-.06 (-.16,-.01)</w:t>
            </w:r>
          </w:p>
        </w:tc>
      </w:tr>
      <w:tr w:rsidR="002943E9" w:rsidRPr="00884FAA" w14:paraId="6014E507" w14:textId="77777777" w:rsidTr="00F91E7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17DBEE41"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Age</w:t>
            </w:r>
          </w:p>
        </w:tc>
        <w:tc>
          <w:tcPr>
            <w:tcW w:w="1276" w:type="dxa"/>
            <w:noWrap/>
            <w:hideMark/>
          </w:tcPr>
          <w:p w14:paraId="6B5001C3"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.03 (-.17,.14)</w:t>
            </w:r>
          </w:p>
        </w:tc>
        <w:tc>
          <w:tcPr>
            <w:tcW w:w="850" w:type="dxa"/>
            <w:noWrap/>
            <w:hideMark/>
          </w:tcPr>
          <w:p w14:paraId="776080FC"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PIP</w:t>
            </w:r>
          </w:p>
        </w:tc>
        <w:tc>
          <w:tcPr>
            <w:tcW w:w="1418" w:type="dxa"/>
            <w:noWrap/>
            <w:hideMark/>
          </w:tcPr>
          <w:p w14:paraId="4C413A28"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-.02 (-.33,.03)</w:t>
            </w:r>
          </w:p>
        </w:tc>
        <w:tc>
          <w:tcPr>
            <w:tcW w:w="850" w:type="dxa"/>
            <w:noWrap/>
            <w:hideMark/>
          </w:tcPr>
          <w:p w14:paraId="7D60FF0C"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Males</w:t>
            </w:r>
          </w:p>
        </w:tc>
        <w:tc>
          <w:tcPr>
            <w:tcW w:w="1276" w:type="dxa"/>
            <w:noWrap/>
            <w:hideMark/>
          </w:tcPr>
          <w:p w14:paraId="0D256C7E"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.09 (-.01,.18)</w:t>
            </w:r>
          </w:p>
        </w:tc>
        <w:tc>
          <w:tcPr>
            <w:tcW w:w="992" w:type="dxa"/>
            <w:noWrap/>
            <w:hideMark/>
          </w:tcPr>
          <w:p w14:paraId="6FBFDE6F"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Vic</w:t>
            </w:r>
          </w:p>
        </w:tc>
        <w:tc>
          <w:tcPr>
            <w:tcW w:w="1510" w:type="dxa"/>
            <w:noWrap/>
            <w:hideMark/>
          </w:tcPr>
          <w:p w14:paraId="2EC53F29"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-.04 (-.07,.03)</w:t>
            </w:r>
          </w:p>
        </w:tc>
      </w:tr>
      <w:tr w:rsidR="002943E9" w:rsidRPr="00884FAA" w14:paraId="0852E434"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3C3FC8AC"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 </w:t>
            </w:r>
          </w:p>
        </w:tc>
        <w:tc>
          <w:tcPr>
            <w:tcW w:w="1276" w:type="dxa"/>
            <w:noWrap/>
            <w:hideMark/>
          </w:tcPr>
          <w:p w14:paraId="76024D3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850" w:type="dxa"/>
            <w:noWrap/>
            <w:hideMark/>
          </w:tcPr>
          <w:p w14:paraId="5158416B"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1418" w:type="dxa"/>
            <w:noWrap/>
            <w:hideMark/>
          </w:tcPr>
          <w:p w14:paraId="41D28003"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850" w:type="dxa"/>
            <w:noWrap/>
            <w:hideMark/>
          </w:tcPr>
          <w:p w14:paraId="4385BA46"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IRSAD</w:t>
            </w:r>
          </w:p>
        </w:tc>
        <w:tc>
          <w:tcPr>
            <w:tcW w:w="1276" w:type="dxa"/>
            <w:noWrap/>
            <w:hideMark/>
          </w:tcPr>
          <w:p w14:paraId="7C47D855"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.05 (-.05,.38)</w:t>
            </w:r>
          </w:p>
        </w:tc>
        <w:tc>
          <w:tcPr>
            <w:tcW w:w="992" w:type="dxa"/>
            <w:noWrap/>
            <w:hideMark/>
          </w:tcPr>
          <w:p w14:paraId="6B432AF7"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1510" w:type="dxa"/>
            <w:noWrap/>
            <w:hideMark/>
          </w:tcPr>
          <w:p w14:paraId="0AD429C3"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r>
      <w:tr w:rsidR="002943E9" w:rsidRPr="00884FAA" w14:paraId="7A96F2EF" w14:textId="77777777" w:rsidTr="00F91E7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5122EEEB"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 </w:t>
            </w:r>
          </w:p>
        </w:tc>
        <w:tc>
          <w:tcPr>
            <w:tcW w:w="1276" w:type="dxa"/>
            <w:noWrap/>
            <w:hideMark/>
          </w:tcPr>
          <w:p w14:paraId="44348D5B"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850" w:type="dxa"/>
            <w:noWrap/>
            <w:hideMark/>
          </w:tcPr>
          <w:p w14:paraId="2F1FA9B0"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1418" w:type="dxa"/>
            <w:noWrap/>
            <w:hideMark/>
          </w:tcPr>
          <w:p w14:paraId="6CBD7F4E"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850" w:type="dxa"/>
            <w:noWrap/>
            <w:hideMark/>
          </w:tcPr>
          <w:p w14:paraId="3CC9C048"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SA</w:t>
            </w:r>
          </w:p>
        </w:tc>
        <w:tc>
          <w:tcPr>
            <w:tcW w:w="1276" w:type="dxa"/>
            <w:noWrap/>
            <w:hideMark/>
          </w:tcPr>
          <w:p w14:paraId="22E26831"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.03 (-.03,.04)</w:t>
            </w:r>
          </w:p>
        </w:tc>
        <w:tc>
          <w:tcPr>
            <w:tcW w:w="992" w:type="dxa"/>
            <w:noWrap/>
            <w:hideMark/>
          </w:tcPr>
          <w:p w14:paraId="62C3F811"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1510" w:type="dxa"/>
            <w:noWrap/>
            <w:hideMark/>
          </w:tcPr>
          <w:p w14:paraId="13107CF8" w14:textId="77777777" w:rsidR="002943E9" w:rsidRPr="00884FAA" w:rsidRDefault="002943E9" w:rsidP="0079018E">
            <w:pPr>
              <w:pStyle w:val="TableText"/>
              <w:spacing w:before="40" w:after="40"/>
              <w:ind w:left="-57" w:right="-57"/>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r>
      <w:tr w:rsidR="002943E9" w:rsidRPr="00884FAA" w14:paraId="23878999" w14:textId="77777777" w:rsidTr="00F91E7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8" w:type="dxa"/>
            <w:noWrap/>
            <w:hideMark/>
          </w:tcPr>
          <w:p w14:paraId="77126EE9" w14:textId="77777777" w:rsidR="002943E9" w:rsidRPr="00884FAA" w:rsidRDefault="002943E9" w:rsidP="0079018E">
            <w:pPr>
              <w:pStyle w:val="TableText"/>
              <w:spacing w:before="40" w:after="40"/>
              <w:ind w:left="-57" w:right="-57"/>
              <w:rPr>
                <w:rFonts w:asciiTheme="minorHAnsi" w:hAnsiTheme="minorHAnsi" w:cstheme="minorHAnsi"/>
                <w:sz w:val="18"/>
                <w:szCs w:val="18"/>
              </w:rPr>
            </w:pPr>
            <w:r w:rsidRPr="00884FAA">
              <w:rPr>
                <w:rFonts w:asciiTheme="minorHAnsi" w:hAnsiTheme="minorHAnsi" w:cstheme="minorHAnsi"/>
                <w:sz w:val="18"/>
                <w:szCs w:val="18"/>
              </w:rPr>
              <w:t> </w:t>
            </w:r>
          </w:p>
        </w:tc>
        <w:tc>
          <w:tcPr>
            <w:tcW w:w="1276" w:type="dxa"/>
            <w:noWrap/>
            <w:hideMark/>
          </w:tcPr>
          <w:p w14:paraId="1935E4AC"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850" w:type="dxa"/>
            <w:noWrap/>
            <w:hideMark/>
          </w:tcPr>
          <w:p w14:paraId="4392500F"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1418" w:type="dxa"/>
            <w:noWrap/>
            <w:hideMark/>
          </w:tcPr>
          <w:p w14:paraId="5F16246B"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850" w:type="dxa"/>
            <w:noWrap/>
            <w:hideMark/>
          </w:tcPr>
          <w:p w14:paraId="6F7FF5F5"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IRSEO</w:t>
            </w:r>
          </w:p>
        </w:tc>
        <w:tc>
          <w:tcPr>
            <w:tcW w:w="1276" w:type="dxa"/>
            <w:noWrap/>
            <w:hideMark/>
          </w:tcPr>
          <w:p w14:paraId="1B0BB716"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.00 (-.16,.31)</w:t>
            </w:r>
          </w:p>
        </w:tc>
        <w:tc>
          <w:tcPr>
            <w:tcW w:w="992" w:type="dxa"/>
            <w:noWrap/>
            <w:hideMark/>
          </w:tcPr>
          <w:p w14:paraId="2B7B7CDE"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c>
          <w:tcPr>
            <w:tcW w:w="1510" w:type="dxa"/>
            <w:noWrap/>
            <w:hideMark/>
          </w:tcPr>
          <w:p w14:paraId="3B721B21" w14:textId="77777777" w:rsidR="002943E9" w:rsidRPr="00884FAA" w:rsidRDefault="002943E9" w:rsidP="0079018E">
            <w:pPr>
              <w:pStyle w:val="TableText"/>
              <w:spacing w:before="40" w:after="40"/>
              <w:ind w:left="-57" w:right="-5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84FAA">
              <w:rPr>
                <w:rFonts w:asciiTheme="minorHAnsi" w:hAnsiTheme="minorHAnsi" w:cstheme="minorHAnsi"/>
                <w:sz w:val="18"/>
                <w:szCs w:val="18"/>
              </w:rPr>
              <w:t> </w:t>
            </w:r>
          </w:p>
        </w:tc>
      </w:tr>
    </w:tbl>
    <w:p w14:paraId="228EAFD0" w14:textId="77777777" w:rsidR="00153F72" w:rsidRDefault="00153F72">
      <w:pPr>
        <w:jc w:val="left"/>
        <w:rPr>
          <w:rFonts w:eastAsiaTheme="majorEastAsia" w:cstheme="majorBidi"/>
          <w:b/>
          <w:caps/>
          <w:color w:val="357DBE" w:themeColor="accent1"/>
          <w:sz w:val="32"/>
          <w:szCs w:val="32"/>
        </w:rPr>
      </w:pPr>
      <w:r>
        <w:rPr>
          <w:rFonts w:eastAsiaTheme="majorEastAsia" w:cstheme="majorBidi"/>
          <w:b/>
          <w:caps/>
          <w:color w:val="357DBE" w:themeColor="accent1"/>
          <w:sz w:val="32"/>
          <w:szCs w:val="32"/>
        </w:rPr>
        <w:br w:type="page"/>
      </w:r>
    </w:p>
    <w:p w14:paraId="192B9FE3" w14:textId="707C7973" w:rsidR="00153F72" w:rsidRPr="00884FAA" w:rsidRDefault="00153F72" w:rsidP="00930BF4">
      <w:pPr>
        <w:pStyle w:val="Heading1"/>
        <w:ind w:left="900" w:hanging="900"/>
      </w:pPr>
      <w:bookmarkStart w:id="315" w:name="_Toc137208939"/>
      <w:r w:rsidRPr="00884FAA">
        <w:lastRenderedPageBreak/>
        <w:t>What needs to change and improve?</w:t>
      </w:r>
      <w:r w:rsidR="002F186B" w:rsidRPr="002F186B">
        <w:rPr>
          <w:noProof/>
        </w:rPr>
        <w:t xml:space="preserve"> </w:t>
      </w:r>
      <w:r w:rsidR="002F186B">
        <w:rPr>
          <w:noProof/>
        </w:rPr>
        <mc:AlternateContent>
          <mc:Choice Requires="wpg">
            <w:drawing>
              <wp:anchor distT="0" distB="0" distL="114300" distR="114300" simplePos="0" relativeHeight="251658265" behindDoc="1" locked="1" layoutInCell="1" allowOverlap="0" wp14:anchorId="4644C83D" wp14:editId="00923188">
                <wp:simplePos x="0" y="0"/>
                <wp:positionH relativeFrom="margin">
                  <wp:posOffset>-158115</wp:posOffset>
                </wp:positionH>
                <wp:positionV relativeFrom="page">
                  <wp:posOffset>1730375</wp:posOffset>
                </wp:positionV>
                <wp:extent cx="6123305" cy="4932680"/>
                <wp:effectExtent l="19050" t="19050" r="29845" b="39370"/>
                <wp:wrapNone/>
                <wp:docPr id="621221889" name="Group 6212218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4932680"/>
                          <a:chOff x="0" y="0"/>
                          <a:chExt cx="7727151" cy="4936192"/>
                        </a:xfrm>
                      </wpg:grpSpPr>
                      <wps:wsp>
                        <wps:cNvPr id="34590283" name="Rectangle 5"/>
                        <wps:cNvSpPr/>
                        <wps:spPr>
                          <a:xfrm>
                            <a:off x="0" y="918803"/>
                            <a:ext cx="7716521" cy="4017389"/>
                          </a:xfrm>
                          <a:custGeom>
                            <a:avLst/>
                            <a:gdLst>
                              <a:gd name="connsiteX0" fmla="*/ 0 w 7716521"/>
                              <a:gd name="connsiteY0" fmla="*/ 0 h 4017389"/>
                              <a:gd name="connsiteX1" fmla="*/ 565878 w 7716521"/>
                              <a:gd name="connsiteY1" fmla="*/ 0 h 4017389"/>
                              <a:gd name="connsiteX2" fmla="*/ 1286087 w 7716521"/>
                              <a:gd name="connsiteY2" fmla="*/ 0 h 4017389"/>
                              <a:gd name="connsiteX3" fmla="*/ 1774800 w 7716521"/>
                              <a:gd name="connsiteY3" fmla="*/ 0 h 4017389"/>
                              <a:gd name="connsiteX4" fmla="*/ 2417843 w 7716521"/>
                              <a:gd name="connsiteY4" fmla="*/ 0 h 4017389"/>
                              <a:gd name="connsiteX5" fmla="*/ 3138052 w 7716521"/>
                              <a:gd name="connsiteY5" fmla="*/ 0 h 4017389"/>
                              <a:gd name="connsiteX6" fmla="*/ 3549600 w 7716521"/>
                              <a:gd name="connsiteY6" fmla="*/ 0 h 4017389"/>
                              <a:gd name="connsiteX7" fmla="*/ 3961147 w 7716521"/>
                              <a:gd name="connsiteY7" fmla="*/ 0 h 4017389"/>
                              <a:gd name="connsiteX8" fmla="*/ 4758521 w 7716521"/>
                              <a:gd name="connsiteY8" fmla="*/ 0 h 4017389"/>
                              <a:gd name="connsiteX9" fmla="*/ 5401565 w 7716521"/>
                              <a:gd name="connsiteY9" fmla="*/ 0 h 4017389"/>
                              <a:gd name="connsiteX10" fmla="*/ 5813112 w 7716521"/>
                              <a:gd name="connsiteY10" fmla="*/ 0 h 4017389"/>
                              <a:gd name="connsiteX11" fmla="*/ 6456156 w 7716521"/>
                              <a:gd name="connsiteY11" fmla="*/ 0 h 4017389"/>
                              <a:gd name="connsiteX12" fmla="*/ 7716521 w 7716521"/>
                              <a:gd name="connsiteY12" fmla="*/ 0 h 4017389"/>
                              <a:gd name="connsiteX13" fmla="*/ 7716521 w 7716521"/>
                              <a:gd name="connsiteY13" fmla="*/ 629391 h 4017389"/>
                              <a:gd name="connsiteX14" fmla="*/ 7716521 w 7716521"/>
                              <a:gd name="connsiteY14" fmla="*/ 1298956 h 4017389"/>
                              <a:gd name="connsiteX15" fmla="*/ 7716521 w 7716521"/>
                              <a:gd name="connsiteY15" fmla="*/ 1847999 h 4017389"/>
                              <a:gd name="connsiteX16" fmla="*/ 7716521 w 7716521"/>
                              <a:gd name="connsiteY16" fmla="*/ 2597912 h 4017389"/>
                              <a:gd name="connsiteX17" fmla="*/ 7716521 w 7716521"/>
                              <a:gd name="connsiteY17" fmla="*/ 3267476 h 4017389"/>
                              <a:gd name="connsiteX18" fmla="*/ 7716521 w 7716521"/>
                              <a:gd name="connsiteY18" fmla="*/ 4017389 h 4017389"/>
                              <a:gd name="connsiteX19" fmla="*/ 7150643 w 7716521"/>
                              <a:gd name="connsiteY19" fmla="*/ 4017389 h 4017389"/>
                              <a:gd name="connsiteX20" fmla="*/ 6661930 w 7716521"/>
                              <a:gd name="connsiteY20" fmla="*/ 4017389 h 4017389"/>
                              <a:gd name="connsiteX21" fmla="*/ 5864556 w 7716521"/>
                              <a:gd name="connsiteY21" fmla="*/ 4017389 h 4017389"/>
                              <a:gd name="connsiteX22" fmla="*/ 5221513 w 7716521"/>
                              <a:gd name="connsiteY22" fmla="*/ 4017389 h 4017389"/>
                              <a:gd name="connsiteX23" fmla="*/ 4809965 w 7716521"/>
                              <a:gd name="connsiteY23" fmla="*/ 4017389 h 4017389"/>
                              <a:gd name="connsiteX24" fmla="*/ 4166921 w 7716521"/>
                              <a:gd name="connsiteY24" fmla="*/ 4017389 h 4017389"/>
                              <a:gd name="connsiteX25" fmla="*/ 3601043 w 7716521"/>
                              <a:gd name="connsiteY25" fmla="*/ 4017389 h 4017389"/>
                              <a:gd name="connsiteX26" fmla="*/ 3035165 w 7716521"/>
                              <a:gd name="connsiteY26" fmla="*/ 4017389 h 4017389"/>
                              <a:gd name="connsiteX27" fmla="*/ 2469287 w 7716521"/>
                              <a:gd name="connsiteY27" fmla="*/ 4017389 h 4017389"/>
                              <a:gd name="connsiteX28" fmla="*/ 1903409 w 7716521"/>
                              <a:gd name="connsiteY28" fmla="*/ 4017389 h 4017389"/>
                              <a:gd name="connsiteX29" fmla="*/ 1183200 w 7716521"/>
                              <a:gd name="connsiteY29" fmla="*/ 4017389 h 4017389"/>
                              <a:gd name="connsiteX30" fmla="*/ 0 w 7716521"/>
                              <a:gd name="connsiteY30" fmla="*/ 4017389 h 4017389"/>
                              <a:gd name="connsiteX31" fmla="*/ 0 w 7716521"/>
                              <a:gd name="connsiteY31" fmla="*/ 3468346 h 4017389"/>
                              <a:gd name="connsiteX32" fmla="*/ 0 w 7716521"/>
                              <a:gd name="connsiteY32" fmla="*/ 2838955 h 4017389"/>
                              <a:gd name="connsiteX33" fmla="*/ 0 w 7716521"/>
                              <a:gd name="connsiteY33" fmla="*/ 2129216 h 4017389"/>
                              <a:gd name="connsiteX34" fmla="*/ 0 w 7716521"/>
                              <a:gd name="connsiteY34" fmla="*/ 1379304 h 4017389"/>
                              <a:gd name="connsiteX35" fmla="*/ 0 w 7716521"/>
                              <a:gd name="connsiteY35" fmla="*/ 830260 h 4017389"/>
                              <a:gd name="connsiteX36" fmla="*/ 0 w 7716521"/>
                              <a:gd name="connsiteY36" fmla="*/ 0 h 40173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7716521" h="4017389" fill="none" extrusionOk="0">
                                <a:moveTo>
                                  <a:pt x="0" y="0"/>
                                </a:moveTo>
                                <a:cubicBezTo>
                                  <a:pt x="235670" y="-934"/>
                                  <a:pt x="419503" y="16751"/>
                                  <a:pt x="565878" y="0"/>
                                </a:cubicBezTo>
                                <a:cubicBezTo>
                                  <a:pt x="712253" y="-16751"/>
                                  <a:pt x="1013363" y="5340"/>
                                  <a:pt x="1286087" y="0"/>
                                </a:cubicBezTo>
                                <a:cubicBezTo>
                                  <a:pt x="1558811" y="-5340"/>
                                  <a:pt x="1597582" y="2287"/>
                                  <a:pt x="1774800" y="0"/>
                                </a:cubicBezTo>
                                <a:cubicBezTo>
                                  <a:pt x="1952018" y="-2287"/>
                                  <a:pt x="2143047" y="-20122"/>
                                  <a:pt x="2417843" y="0"/>
                                </a:cubicBezTo>
                                <a:cubicBezTo>
                                  <a:pt x="2692639" y="20122"/>
                                  <a:pt x="2820657" y="20284"/>
                                  <a:pt x="3138052" y="0"/>
                                </a:cubicBezTo>
                                <a:cubicBezTo>
                                  <a:pt x="3455447" y="-20284"/>
                                  <a:pt x="3419621" y="12212"/>
                                  <a:pt x="3549600" y="0"/>
                                </a:cubicBezTo>
                                <a:cubicBezTo>
                                  <a:pt x="3679579" y="-12212"/>
                                  <a:pt x="3790696" y="-19480"/>
                                  <a:pt x="3961147" y="0"/>
                                </a:cubicBezTo>
                                <a:cubicBezTo>
                                  <a:pt x="4131598" y="19480"/>
                                  <a:pt x="4491974" y="6598"/>
                                  <a:pt x="4758521" y="0"/>
                                </a:cubicBezTo>
                                <a:cubicBezTo>
                                  <a:pt x="5025068" y="-6598"/>
                                  <a:pt x="5116218" y="21674"/>
                                  <a:pt x="5401565" y="0"/>
                                </a:cubicBezTo>
                                <a:cubicBezTo>
                                  <a:pt x="5686912" y="-21674"/>
                                  <a:pt x="5636566" y="15846"/>
                                  <a:pt x="5813112" y="0"/>
                                </a:cubicBezTo>
                                <a:cubicBezTo>
                                  <a:pt x="5989658" y="-15846"/>
                                  <a:pt x="6164128" y="-3810"/>
                                  <a:pt x="6456156" y="0"/>
                                </a:cubicBezTo>
                                <a:cubicBezTo>
                                  <a:pt x="6748184" y="3810"/>
                                  <a:pt x="7109732" y="20385"/>
                                  <a:pt x="7716521" y="0"/>
                                </a:cubicBezTo>
                                <a:cubicBezTo>
                                  <a:pt x="7736190" y="307162"/>
                                  <a:pt x="7735936" y="358220"/>
                                  <a:pt x="7716521" y="629391"/>
                                </a:cubicBezTo>
                                <a:cubicBezTo>
                                  <a:pt x="7697106" y="900562"/>
                                  <a:pt x="7703769" y="985105"/>
                                  <a:pt x="7716521" y="1298956"/>
                                </a:cubicBezTo>
                                <a:cubicBezTo>
                                  <a:pt x="7729273" y="1612808"/>
                                  <a:pt x="7740495" y="1685594"/>
                                  <a:pt x="7716521" y="1847999"/>
                                </a:cubicBezTo>
                                <a:cubicBezTo>
                                  <a:pt x="7692547" y="2010404"/>
                                  <a:pt x="7729541" y="2304947"/>
                                  <a:pt x="7716521" y="2597912"/>
                                </a:cubicBezTo>
                                <a:cubicBezTo>
                                  <a:pt x="7703501" y="2890877"/>
                                  <a:pt x="7715549" y="3087054"/>
                                  <a:pt x="7716521" y="3267476"/>
                                </a:cubicBezTo>
                                <a:cubicBezTo>
                                  <a:pt x="7717493" y="3447898"/>
                                  <a:pt x="7692625" y="3663401"/>
                                  <a:pt x="7716521" y="4017389"/>
                                </a:cubicBezTo>
                                <a:cubicBezTo>
                                  <a:pt x="7509548" y="3997561"/>
                                  <a:pt x="7277763" y="4019327"/>
                                  <a:pt x="7150643" y="4017389"/>
                                </a:cubicBezTo>
                                <a:cubicBezTo>
                                  <a:pt x="7023523" y="4015451"/>
                                  <a:pt x="6819616" y="4015228"/>
                                  <a:pt x="6661930" y="4017389"/>
                                </a:cubicBezTo>
                                <a:cubicBezTo>
                                  <a:pt x="6504244" y="4019550"/>
                                  <a:pt x="6034729" y="4008369"/>
                                  <a:pt x="5864556" y="4017389"/>
                                </a:cubicBezTo>
                                <a:cubicBezTo>
                                  <a:pt x="5694383" y="4026409"/>
                                  <a:pt x="5498183" y="4040014"/>
                                  <a:pt x="5221513" y="4017389"/>
                                </a:cubicBezTo>
                                <a:cubicBezTo>
                                  <a:pt x="4944843" y="3994764"/>
                                  <a:pt x="4962712" y="4001563"/>
                                  <a:pt x="4809965" y="4017389"/>
                                </a:cubicBezTo>
                                <a:cubicBezTo>
                                  <a:pt x="4657218" y="4033215"/>
                                  <a:pt x="4434372" y="4016312"/>
                                  <a:pt x="4166921" y="4017389"/>
                                </a:cubicBezTo>
                                <a:cubicBezTo>
                                  <a:pt x="3899470" y="4018466"/>
                                  <a:pt x="3808230" y="4010356"/>
                                  <a:pt x="3601043" y="4017389"/>
                                </a:cubicBezTo>
                                <a:cubicBezTo>
                                  <a:pt x="3393856" y="4024422"/>
                                  <a:pt x="3315329" y="4023731"/>
                                  <a:pt x="3035165" y="4017389"/>
                                </a:cubicBezTo>
                                <a:cubicBezTo>
                                  <a:pt x="2755001" y="4011047"/>
                                  <a:pt x="2593095" y="4031780"/>
                                  <a:pt x="2469287" y="4017389"/>
                                </a:cubicBezTo>
                                <a:cubicBezTo>
                                  <a:pt x="2345479" y="4002998"/>
                                  <a:pt x="2142508" y="4018539"/>
                                  <a:pt x="1903409" y="4017389"/>
                                </a:cubicBezTo>
                                <a:cubicBezTo>
                                  <a:pt x="1664310" y="4016239"/>
                                  <a:pt x="1479701" y="4032106"/>
                                  <a:pt x="1183200" y="4017389"/>
                                </a:cubicBezTo>
                                <a:cubicBezTo>
                                  <a:pt x="886699" y="4002672"/>
                                  <a:pt x="318948" y="3991491"/>
                                  <a:pt x="0" y="4017389"/>
                                </a:cubicBezTo>
                                <a:cubicBezTo>
                                  <a:pt x="18535" y="3861296"/>
                                  <a:pt x="6376" y="3653096"/>
                                  <a:pt x="0" y="3468346"/>
                                </a:cubicBezTo>
                                <a:cubicBezTo>
                                  <a:pt x="-6376" y="3283596"/>
                                  <a:pt x="4075" y="3068299"/>
                                  <a:pt x="0" y="2838955"/>
                                </a:cubicBezTo>
                                <a:cubicBezTo>
                                  <a:pt x="-4075" y="2609611"/>
                                  <a:pt x="-10707" y="2404086"/>
                                  <a:pt x="0" y="2129216"/>
                                </a:cubicBezTo>
                                <a:cubicBezTo>
                                  <a:pt x="10707" y="1854346"/>
                                  <a:pt x="-13472" y="1704390"/>
                                  <a:pt x="0" y="1379304"/>
                                </a:cubicBezTo>
                                <a:cubicBezTo>
                                  <a:pt x="13472" y="1054218"/>
                                  <a:pt x="-12454" y="984225"/>
                                  <a:pt x="0" y="830260"/>
                                </a:cubicBezTo>
                                <a:cubicBezTo>
                                  <a:pt x="12454" y="676295"/>
                                  <a:pt x="-17326" y="278830"/>
                                  <a:pt x="0" y="0"/>
                                </a:cubicBezTo>
                                <a:close/>
                              </a:path>
                              <a:path w="7716521" h="4017389"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686677" y="184867"/>
                                  <a:pt x="7726010" y="396772"/>
                                  <a:pt x="7716521" y="629391"/>
                                </a:cubicBezTo>
                                <a:cubicBezTo>
                                  <a:pt x="7707032" y="862010"/>
                                  <a:pt x="7736876" y="964888"/>
                                  <a:pt x="7716521" y="1178434"/>
                                </a:cubicBezTo>
                                <a:cubicBezTo>
                                  <a:pt x="7696166" y="1391980"/>
                                  <a:pt x="7702667" y="1681398"/>
                                  <a:pt x="7716521" y="1847999"/>
                                </a:cubicBezTo>
                                <a:cubicBezTo>
                                  <a:pt x="7730375" y="2014600"/>
                                  <a:pt x="7745911" y="2254640"/>
                                  <a:pt x="7716521" y="2517564"/>
                                </a:cubicBezTo>
                                <a:cubicBezTo>
                                  <a:pt x="7687131" y="2780489"/>
                                  <a:pt x="7683411" y="2943623"/>
                                  <a:pt x="7716521" y="3187129"/>
                                </a:cubicBezTo>
                                <a:cubicBezTo>
                                  <a:pt x="7749631" y="3430636"/>
                                  <a:pt x="7692413" y="3808739"/>
                                  <a:pt x="7716521" y="4017389"/>
                                </a:cubicBezTo>
                                <a:cubicBezTo>
                                  <a:pt x="7478634" y="4025422"/>
                                  <a:pt x="7298305" y="4030632"/>
                                  <a:pt x="6996312" y="4017389"/>
                                </a:cubicBezTo>
                                <a:cubicBezTo>
                                  <a:pt x="6694319" y="4004146"/>
                                  <a:pt x="6732313" y="4004118"/>
                                  <a:pt x="6584765" y="4017389"/>
                                </a:cubicBezTo>
                                <a:cubicBezTo>
                                  <a:pt x="6437217" y="4030660"/>
                                  <a:pt x="6197978" y="4017421"/>
                                  <a:pt x="6096052" y="4017389"/>
                                </a:cubicBezTo>
                                <a:cubicBezTo>
                                  <a:pt x="5994126" y="4017357"/>
                                  <a:pt x="5543431" y="4015042"/>
                                  <a:pt x="5298678" y="4017389"/>
                                </a:cubicBezTo>
                                <a:cubicBezTo>
                                  <a:pt x="5053925" y="4019736"/>
                                  <a:pt x="4946522" y="4041741"/>
                                  <a:pt x="4655634" y="4017389"/>
                                </a:cubicBezTo>
                                <a:cubicBezTo>
                                  <a:pt x="4364746" y="3993037"/>
                                  <a:pt x="4266265" y="3999312"/>
                                  <a:pt x="4166921" y="4017389"/>
                                </a:cubicBezTo>
                                <a:cubicBezTo>
                                  <a:pt x="4067577" y="4035466"/>
                                  <a:pt x="3816380" y="3991017"/>
                                  <a:pt x="3523878" y="4017389"/>
                                </a:cubicBezTo>
                                <a:cubicBezTo>
                                  <a:pt x="3231376" y="4043761"/>
                                  <a:pt x="3263957" y="4023929"/>
                                  <a:pt x="3112330" y="4017389"/>
                                </a:cubicBezTo>
                                <a:cubicBezTo>
                                  <a:pt x="2960703" y="4010849"/>
                                  <a:pt x="2817757" y="4024967"/>
                                  <a:pt x="2700782" y="4017389"/>
                                </a:cubicBezTo>
                                <a:cubicBezTo>
                                  <a:pt x="2583807" y="4009811"/>
                                  <a:pt x="2370506" y="4046502"/>
                                  <a:pt x="2057739" y="4017389"/>
                                </a:cubicBezTo>
                                <a:cubicBezTo>
                                  <a:pt x="1744972" y="3988276"/>
                                  <a:pt x="1671345" y="4019393"/>
                                  <a:pt x="1569026" y="4017389"/>
                                </a:cubicBezTo>
                                <a:cubicBezTo>
                                  <a:pt x="1466707" y="4015385"/>
                                  <a:pt x="1180610" y="4047824"/>
                                  <a:pt x="848817" y="4017389"/>
                                </a:cubicBezTo>
                                <a:cubicBezTo>
                                  <a:pt x="517024" y="3986954"/>
                                  <a:pt x="363928" y="4002487"/>
                                  <a:pt x="0" y="4017389"/>
                                </a:cubicBezTo>
                                <a:cubicBezTo>
                                  <a:pt x="-11037" y="3867252"/>
                                  <a:pt x="15623" y="3470196"/>
                                  <a:pt x="0" y="3307650"/>
                                </a:cubicBezTo>
                                <a:cubicBezTo>
                                  <a:pt x="-15623" y="3145104"/>
                                  <a:pt x="-32070" y="2793851"/>
                                  <a:pt x="0" y="2597912"/>
                                </a:cubicBezTo>
                                <a:cubicBezTo>
                                  <a:pt x="32070" y="2401973"/>
                                  <a:pt x="-14321" y="2264547"/>
                                  <a:pt x="0" y="2008695"/>
                                </a:cubicBezTo>
                                <a:cubicBezTo>
                                  <a:pt x="14321" y="1752843"/>
                                  <a:pt x="-21982" y="1506782"/>
                                  <a:pt x="0" y="1298956"/>
                                </a:cubicBezTo>
                                <a:cubicBezTo>
                                  <a:pt x="21982" y="1091130"/>
                                  <a:pt x="26418" y="630948"/>
                                  <a:pt x="0" y="0"/>
                                </a:cubicBezTo>
                                <a:close/>
                              </a:path>
                            </a:pathLst>
                          </a:custGeom>
                          <a:solidFill>
                            <a:schemeClr val="bg1"/>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446939" name="Rectangle 5"/>
                        <wps:cNvSpPr/>
                        <wps:spPr>
                          <a:xfrm>
                            <a:off x="0" y="0"/>
                            <a:ext cx="7716520" cy="813538"/>
                          </a:xfrm>
                          <a:custGeom>
                            <a:avLst/>
                            <a:gdLst>
                              <a:gd name="connsiteX0" fmla="*/ 0 w 7716520"/>
                              <a:gd name="connsiteY0" fmla="*/ 0 h 813538"/>
                              <a:gd name="connsiteX1" fmla="*/ 797374 w 7716520"/>
                              <a:gd name="connsiteY1" fmla="*/ 0 h 813538"/>
                              <a:gd name="connsiteX2" fmla="*/ 1594747 w 7716520"/>
                              <a:gd name="connsiteY2" fmla="*/ 0 h 813538"/>
                              <a:gd name="connsiteX3" fmla="*/ 2237791 w 7716520"/>
                              <a:gd name="connsiteY3" fmla="*/ 0 h 813538"/>
                              <a:gd name="connsiteX4" fmla="*/ 2957999 w 7716520"/>
                              <a:gd name="connsiteY4" fmla="*/ 0 h 813538"/>
                              <a:gd name="connsiteX5" fmla="*/ 3523877 w 7716520"/>
                              <a:gd name="connsiteY5" fmla="*/ 0 h 813538"/>
                              <a:gd name="connsiteX6" fmla="*/ 4166921 w 7716520"/>
                              <a:gd name="connsiteY6" fmla="*/ 0 h 813538"/>
                              <a:gd name="connsiteX7" fmla="*/ 4964295 w 7716520"/>
                              <a:gd name="connsiteY7" fmla="*/ 0 h 813538"/>
                              <a:gd name="connsiteX8" fmla="*/ 5453007 w 7716520"/>
                              <a:gd name="connsiteY8" fmla="*/ 0 h 813538"/>
                              <a:gd name="connsiteX9" fmla="*/ 6173216 w 7716520"/>
                              <a:gd name="connsiteY9" fmla="*/ 0 h 813538"/>
                              <a:gd name="connsiteX10" fmla="*/ 6661929 w 7716520"/>
                              <a:gd name="connsiteY10" fmla="*/ 0 h 813538"/>
                              <a:gd name="connsiteX11" fmla="*/ 7716520 w 7716520"/>
                              <a:gd name="connsiteY11" fmla="*/ 0 h 813538"/>
                              <a:gd name="connsiteX12" fmla="*/ 7716520 w 7716520"/>
                              <a:gd name="connsiteY12" fmla="*/ 414904 h 813538"/>
                              <a:gd name="connsiteX13" fmla="*/ 7716520 w 7716520"/>
                              <a:gd name="connsiteY13" fmla="*/ 813538 h 813538"/>
                              <a:gd name="connsiteX14" fmla="*/ 6919146 w 7716520"/>
                              <a:gd name="connsiteY14" fmla="*/ 813538 h 813538"/>
                              <a:gd name="connsiteX15" fmla="*/ 6276103 w 7716520"/>
                              <a:gd name="connsiteY15" fmla="*/ 813538 h 813538"/>
                              <a:gd name="connsiteX16" fmla="*/ 5633060 w 7716520"/>
                              <a:gd name="connsiteY16" fmla="*/ 813538 h 813538"/>
                              <a:gd name="connsiteX17" fmla="*/ 4990016 w 7716520"/>
                              <a:gd name="connsiteY17" fmla="*/ 813538 h 813538"/>
                              <a:gd name="connsiteX18" fmla="*/ 4346973 w 7716520"/>
                              <a:gd name="connsiteY18" fmla="*/ 813538 h 813538"/>
                              <a:gd name="connsiteX19" fmla="*/ 3781095 w 7716520"/>
                              <a:gd name="connsiteY19" fmla="*/ 813538 h 813538"/>
                              <a:gd name="connsiteX20" fmla="*/ 3060886 w 7716520"/>
                              <a:gd name="connsiteY20" fmla="*/ 813538 h 813538"/>
                              <a:gd name="connsiteX21" fmla="*/ 2417843 w 7716520"/>
                              <a:gd name="connsiteY21" fmla="*/ 813538 h 813538"/>
                              <a:gd name="connsiteX22" fmla="*/ 1620469 w 7716520"/>
                              <a:gd name="connsiteY22" fmla="*/ 813538 h 813538"/>
                              <a:gd name="connsiteX23" fmla="*/ 823095 w 7716520"/>
                              <a:gd name="connsiteY23" fmla="*/ 813538 h 813538"/>
                              <a:gd name="connsiteX24" fmla="*/ 0 w 7716520"/>
                              <a:gd name="connsiteY24" fmla="*/ 813538 h 813538"/>
                              <a:gd name="connsiteX25" fmla="*/ 0 w 7716520"/>
                              <a:gd name="connsiteY25" fmla="*/ 398634 h 813538"/>
                              <a:gd name="connsiteX26" fmla="*/ 0 w 7716520"/>
                              <a:gd name="connsiteY26" fmla="*/ 0 h 8135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0" h="813538" fill="none" extrusionOk="0">
                                <a:moveTo>
                                  <a:pt x="0" y="0"/>
                                </a:moveTo>
                                <a:cubicBezTo>
                                  <a:pt x="257018" y="-23538"/>
                                  <a:pt x="559675" y="-12498"/>
                                  <a:pt x="797374" y="0"/>
                                </a:cubicBezTo>
                                <a:cubicBezTo>
                                  <a:pt x="1035073" y="12498"/>
                                  <a:pt x="1284214" y="-23009"/>
                                  <a:pt x="1594747" y="0"/>
                                </a:cubicBezTo>
                                <a:cubicBezTo>
                                  <a:pt x="1905280" y="23009"/>
                                  <a:pt x="2052421" y="-23235"/>
                                  <a:pt x="2237791" y="0"/>
                                </a:cubicBezTo>
                                <a:cubicBezTo>
                                  <a:pt x="2423161" y="23235"/>
                                  <a:pt x="2813559" y="-22096"/>
                                  <a:pt x="2957999" y="0"/>
                                </a:cubicBezTo>
                                <a:cubicBezTo>
                                  <a:pt x="3102439" y="22096"/>
                                  <a:pt x="3262328" y="15278"/>
                                  <a:pt x="3523877" y="0"/>
                                </a:cubicBezTo>
                                <a:cubicBezTo>
                                  <a:pt x="3785426" y="-15278"/>
                                  <a:pt x="4025666" y="-11820"/>
                                  <a:pt x="4166921" y="0"/>
                                </a:cubicBezTo>
                                <a:cubicBezTo>
                                  <a:pt x="4308176" y="11820"/>
                                  <a:pt x="4629506" y="-31675"/>
                                  <a:pt x="4964295" y="0"/>
                                </a:cubicBezTo>
                                <a:cubicBezTo>
                                  <a:pt x="5299084" y="31675"/>
                                  <a:pt x="5261932" y="-12049"/>
                                  <a:pt x="5453007" y="0"/>
                                </a:cubicBezTo>
                                <a:cubicBezTo>
                                  <a:pt x="5644082" y="12049"/>
                                  <a:pt x="5900492" y="5340"/>
                                  <a:pt x="6173216" y="0"/>
                                </a:cubicBezTo>
                                <a:cubicBezTo>
                                  <a:pt x="6445940" y="-5340"/>
                                  <a:pt x="6484711" y="2287"/>
                                  <a:pt x="6661929" y="0"/>
                                </a:cubicBezTo>
                                <a:cubicBezTo>
                                  <a:pt x="6839147" y="-2287"/>
                                  <a:pt x="7226430" y="-13534"/>
                                  <a:pt x="7716520" y="0"/>
                                </a:cubicBezTo>
                                <a:cubicBezTo>
                                  <a:pt x="7705017" y="164526"/>
                                  <a:pt x="7710019" y="231357"/>
                                  <a:pt x="7716520" y="414904"/>
                                </a:cubicBezTo>
                                <a:cubicBezTo>
                                  <a:pt x="7723021" y="598451"/>
                                  <a:pt x="7733557" y="624803"/>
                                  <a:pt x="7716520" y="813538"/>
                                </a:cubicBezTo>
                                <a:cubicBezTo>
                                  <a:pt x="7508045" y="792385"/>
                                  <a:pt x="7283950" y="835632"/>
                                  <a:pt x="6919146" y="813538"/>
                                </a:cubicBezTo>
                                <a:cubicBezTo>
                                  <a:pt x="6554342" y="791444"/>
                                  <a:pt x="6483499" y="837413"/>
                                  <a:pt x="6276103" y="813538"/>
                                </a:cubicBezTo>
                                <a:cubicBezTo>
                                  <a:pt x="6068707" y="789663"/>
                                  <a:pt x="5881943" y="805412"/>
                                  <a:pt x="5633060" y="813538"/>
                                </a:cubicBezTo>
                                <a:cubicBezTo>
                                  <a:pt x="5384177" y="821664"/>
                                  <a:pt x="5301279" y="823753"/>
                                  <a:pt x="4990016" y="813538"/>
                                </a:cubicBezTo>
                                <a:cubicBezTo>
                                  <a:pt x="4678753" y="803323"/>
                                  <a:pt x="4644713" y="806293"/>
                                  <a:pt x="4346973" y="813538"/>
                                </a:cubicBezTo>
                                <a:cubicBezTo>
                                  <a:pt x="4049233" y="820783"/>
                                  <a:pt x="4055228" y="795910"/>
                                  <a:pt x="3781095" y="813538"/>
                                </a:cubicBezTo>
                                <a:cubicBezTo>
                                  <a:pt x="3506962" y="831166"/>
                                  <a:pt x="3393564" y="845499"/>
                                  <a:pt x="3060886" y="813538"/>
                                </a:cubicBezTo>
                                <a:cubicBezTo>
                                  <a:pt x="2728208" y="781577"/>
                                  <a:pt x="2660656" y="843202"/>
                                  <a:pt x="2417843" y="813538"/>
                                </a:cubicBezTo>
                                <a:cubicBezTo>
                                  <a:pt x="2175030" y="783874"/>
                                  <a:pt x="1938090" y="818205"/>
                                  <a:pt x="1620469" y="813538"/>
                                </a:cubicBezTo>
                                <a:cubicBezTo>
                                  <a:pt x="1302848" y="808871"/>
                                  <a:pt x="1220111" y="779149"/>
                                  <a:pt x="823095" y="813538"/>
                                </a:cubicBezTo>
                                <a:cubicBezTo>
                                  <a:pt x="426079" y="847927"/>
                                  <a:pt x="306208" y="821431"/>
                                  <a:pt x="0" y="813538"/>
                                </a:cubicBezTo>
                                <a:cubicBezTo>
                                  <a:pt x="-14891" y="729475"/>
                                  <a:pt x="-7450" y="577555"/>
                                  <a:pt x="0" y="398634"/>
                                </a:cubicBezTo>
                                <a:cubicBezTo>
                                  <a:pt x="7450" y="219713"/>
                                  <a:pt x="-3274" y="164443"/>
                                  <a:pt x="0" y="0"/>
                                </a:cubicBezTo>
                                <a:close/>
                              </a:path>
                              <a:path w="7716520" h="813538"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72459" y="1043"/>
                                  <a:pt x="4990016" y="0"/>
                                </a:cubicBezTo>
                                <a:cubicBezTo>
                                  <a:pt x="5207573" y="-1043"/>
                                  <a:pt x="5500861" y="-10311"/>
                                  <a:pt x="5787390" y="0"/>
                                </a:cubicBezTo>
                                <a:cubicBezTo>
                                  <a:pt x="6073919" y="10311"/>
                                  <a:pt x="6246909" y="-286"/>
                                  <a:pt x="6430433" y="0"/>
                                </a:cubicBezTo>
                                <a:cubicBezTo>
                                  <a:pt x="6613957" y="286"/>
                                  <a:pt x="7376102" y="21728"/>
                                  <a:pt x="7716520" y="0"/>
                                </a:cubicBezTo>
                                <a:cubicBezTo>
                                  <a:pt x="7723974" y="152228"/>
                                  <a:pt x="7707590" y="227971"/>
                                  <a:pt x="7716520" y="398634"/>
                                </a:cubicBezTo>
                                <a:cubicBezTo>
                                  <a:pt x="7725450" y="569297"/>
                                  <a:pt x="7700558" y="649202"/>
                                  <a:pt x="7716520" y="813538"/>
                                </a:cubicBezTo>
                                <a:cubicBezTo>
                                  <a:pt x="7584340" y="845666"/>
                                  <a:pt x="7351923" y="829138"/>
                                  <a:pt x="7073477" y="813538"/>
                                </a:cubicBezTo>
                                <a:cubicBezTo>
                                  <a:pt x="6795031" y="797938"/>
                                  <a:pt x="6789739" y="830508"/>
                                  <a:pt x="6584764" y="813538"/>
                                </a:cubicBezTo>
                                <a:cubicBezTo>
                                  <a:pt x="6379789" y="796568"/>
                                  <a:pt x="6180293" y="837004"/>
                                  <a:pt x="5941720" y="813538"/>
                                </a:cubicBezTo>
                                <a:cubicBezTo>
                                  <a:pt x="5703147" y="790072"/>
                                  <a:pt x="5421160" y="792266"/>
                                  <a:pt x="5144347" y="813538"/>
                                </a:cubicBezTo>
                                <a:cubicBezTo>
                                  <a:pt x="4867534" y="834810"/>
                                  <a:pt x="4751766" y="825919"/>
                                  <a:pt x="4501303" y="813538"/>
                                </a:cubicBezTo>
                                <a:cubicBezTo>
                                  <a:pt x="4250840" y="801157"/>
                                  <a:pt x="4237304" y="800267"/>
                                  <a:pt x="4089756" y="813538"/>
                                </a:cubicBezTo>
                                <a:cubicBezTo>
                                  <a:pt x="3942208" y="826809"/>
                                  <a:pt x="3702969" y="813570"/>
                                  <a:pt x="3601043" y="813538"/>
                                </a:cubicBezTo>
                                <a:cubicBezTo>
                                  <a:pt x="3499117" y="813506"/>
                                  <a:pt x="3048422" y="811191"/>
                                  <a:pt x="2803669" y="813538"/>
                                </a:cubicBezTo>
                                <a:cubicBezTo>
                                  <a:pt x="2558916" y="815885"/>
                                  <a:pt x="2451147" y="837245"/>
                                  <a:pt x="2160626" y="813538"/>
                                </a:cubicBezTo>
                                <a:cubicBezTo>
                                  <a:pt x="1870105" y="789831"/>
                                  <a:pt x="1771257" y="795461"/>
                                  <a:pt x="1671913" y="813538"/>
                                </a:cubicBezTo>
                                <a:cubicBezTo>
                                  <a:pt x="1572569" y="831615"/>
                                  <a:pt x="1322588" y="788824"/>
                                  <a:pt x="1028869" y="813538"/>
                                </a:cubicBezTo>
                                <a:cubicBezTo>
                                  <a:pt x="735150" y="838252"/>
                                  <a:pt x="762570" y="811556"/>
                                  <a:pt x="617322" y="813538"/>
                                </a:cubicBezTo>
                                <a:cubicBezTo>
                                  <a:pt x="472074" y="815520"/>
                                  <a:pt x="276811" y="831405"/>
                                  <a:pt x="0" y="813538"/>
                                </a:cubicBezTo>
                                <a:cubicBezTo>
                                  <a:pt x="-2456" y="681600"/>
                                  <a:pt x="-10890" y="606769"/>
                                  <a:pt x="0" y="406769"/>
                                </a:cubicBezTo>
                                <a:cubicBezTo>
                                  <a:pt x="10890" y="206769"/>
                                  <a:pt x="-17406" y="197326"/>
                                  <a:pt x="0" y="0"/>
                                </a:cubicBezTo>
                                <a:close/>
                              </a:path>
                            </a:pathLst>
                          </a:custGeom>
                          <a:solidFill>
                            <a:srgbClr val="E5E97A"/>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12950" name="Rectangle 5"/>
                        <wps:cNvSpPr/>
                        <wps:spPr>
                          <a:xfrm>
                            <a:off x="0" y="342134"/>
                            <a:ext cx="7716521" cy="2103076"/>
                          </a:xfrm>
                          <a:custGeom>
                            <a:avLst/>
                            <a:gdLst>
                              <a:gd name="connsiteX0" fmla="*/ 0 w 7716521"/>
                              <a:gd name="connsiteY0" fmla="*/ 0 h 2103076"/>
                              <a:gd name="connsiteX1" fmla="*/ 488713 w 7716521"/>
                              <a:gd name="connsiteY1" fmla="*/ 0 h 2103076"/>
                              <a:gd name="connsiteX2" fmla="*/ 1131756 w 7716521"/>
                              <a:gd name="connsiteY2" fmla="*/ 0 h 2103076"/>
                              <a:gd name="connsiteX3" fmla="*/ 1929130 w 7716521"/>
                              <a:gd name="connsiteY3" fmla="*/ 0 h 2103076"/>
                              <a:gd name="connsiteX4" fmla="*/ 2417843 w 7716521"/>
                              <a:gd name="connsiteY4" fmla="*/ 0 h 2103076"/>
                              <a:gd name="connsiteX5" fmla="*/ 3138052 w 7716521"/>
                              <a:gd name="connsiteY5" fmla="*/ 0 h 2103076"/>
                              <a:gd name="connsiteX6" fmla="*/ 3626765 w 7716521"/>
                              <a:gd name="connsiteY6" fmla="*/ 0 h 2103076"/>
                              <a:gd name="connsiteX7" fmla="*/ 4269808 w 7716521"/>
                              <a:gd name="connsiteY7" fmla="*/ 0 h 2103076"/>
                              <a:gd name="connsiteX8" fmla="*/ 4990017 w 7716521"/>
                              <a:gd name="connsiteY8" fmla="*/ 0 h 2103076"/>
                              <a:gd name="connsiteX9" fmla="*/ 5401565 w 7716521"/>
                              <a:gd name="connsiteY9" fmla="*/ 0 h 2103076"/>
                              <a:gd name="connsiteX10" fmla="*/ 5813112 w 7716521"/>
                              <a:gd name="connsiteY10" fmla="*/ 0 h 2103076"/>
                              <a:gd name="connsiteX11" fmla="*/ 6610486 w 7716521"/>
                              <a:gd name="connsiteY11" fmla="*/ 0 h 2103076"/>
                              <a:gd name="connsiteX12" fmla="*/ 7716521 w 7716521"/>
                              <a:gd name="connsiteY12" fmla="*/ 0 h 2103076"/>
                              <a:gd name="connsiteX13" fmla="*/ 7716521 w 7716521"/>
                              <a:gd name="connsiteY13" fmla="*/ 462677 h 2103076"/>
                              <a:gd name="connsiteX14" fmla="*/ 7716521 w 7716521"/>
                              <a:gd name="connsiteY14" fmla="*/ 967415 h 2103076"/>
                              <a:gd name="connsiteX15" fmla="*/ 7716521 w 7716521"/>
                              <a:gd name="connsiteY15" fmla="*/ 1514215 h 2103076"/>
                              <a:gd name="connsiteX16" fmla="*/ 7716521 w 7716521"/>
                              <a:gd name="connsiteY16" fmla="*/ 2103076 h 2103076"/>
                              <a:gd name="connsiteX17" fmla="*/ 7073478 w 7716521"/>
                              <a:gd name="connsiteY17" fmla="*/ 2103076 h 2103076"/>
                              <a:gd name="connsiteX18" fmla="*/ 6276104 w 7716521"/>
                              <a:gd name="connsiteY18" fmla="*/ 2103076 h 2103076"/>
                              <a:gd name="connsiteX19" fmla="*/ 5478730 w 7716521"/>
                              <a:gd name="connsiteY19" fmla="*/ 2103076 h 2103076"/>
                              <a:gd name="connsiteX20" fmla="*/ 4758521 w 7716521"/>
                              <a:gd name="connsiteY20" fmla="*/ 2103076 h 2103076"/>
                              <a:gd name="connsiteX21" fmla="*/ 4038313 w 7716521"/>
                              <a:gd name="connsiteY21" fmla="*/ 2103076 h 2103076"/>
                              <a:gd name="connsiteX22" fmla="*/ 3318104 w 7716521"/>
                              <a:gd name="connsiteY22" fmla="*/ 2103076 h 2103076"/>
                              <a:gd name="connsiteX23" fmla="*/ 2829391 w 7716521"/>
                              <a:gd name="connsiteY23" fmla="*/ 2103076 h 2103076"/>
                              <a:gd name="connsiteX24" fmla="*/ 2032017 w 7716521"/>
                              <a:gd name="connsiteY24" fmla="*/ 2103076 h 2103076"/>
                              <a:gd name="connsiteX25" fmla="*/ 1388974 w 7716521"/>
                              <a:gd name="connsiteY25" fmla="*/ 2103076 h 2103076"/>
                              <a:gd name="connsiteX26" fmla="*/ 977426 w 7716521"/>
                              <a:gd name="connsiteY26" fmla="*/ 2103076 h 2103076"/>
                              <a:gd name="connsiteX27" fmla="*/ 0 w 7716521"/>
                              <a:gd name="connsiteY27" fmla="*/ 2103076 h 2103076"/>
                              <a:gd name="connsiteX28" fmla="*/ 0 w 7716521"/>
                              <a:gd name="connsiteY28" fmla="*/ 1598338 h 2103076"/>
                              <a:gd name="connsiteX29" fmla="*/ 0 w 7716521"/>
                              <a:gd name="connsiteY29" fmla="*/ 1072569 h 2103076"/>
                              <a:gd name="connsiteX30" fmla="*/ 0 w 7716521"/>
                              <a:gd name="connsiteY30" fmla="*/ 504738 h 2103076"/>
                              <a:gd name="connsiteX31" fmla="*/ 0 w 7716521"/>
                              <a:gd name="connsiteY31" fmla="*/ 0 h 21030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7716521" h="2103076" fill="none" extrusionOk="0">
                                <a:moveTo>
                                  <a:pt x="0" y="0"/>
                                </a:moveTo>
                                <a:cubicBezTo>
                                  <a:pt x="238495" y="-22513"/>
                                  <a:pt x="368690" y="-7947"/>
                                  <a:pt x="488713" y="0"/>
                                </a:cubicBezTo>
                                <a:cubicBezTo>
                                  <a:pt x="608736" y="7947"/>
                                  <a:pt x="996630" y="-8489"/>
                                  <a:pt x="1131756" y="0"/>
                                </a:cubicBezTo>
                                <a:cubicBezTo>
                                  <a:pt x="1266882" y="8489"/>
                                  <a:pt x="1594341" y="-31675"/>
                                  <a:pt x="1929130" y="0"/>
                                </a:cubicBezTo>
                                <a:cubicBezTo>
                                  <a:pt x="2263919" y="31675"/>
                                  <a:pt x="2222369" y="-13002"/>
                                  <a:pt x="2417843" y="0"/>
                                </a:cubicBezTo>
                                <a:cubicBezTo>
                                  <a:pt x="2613317" y="13002"/>
                                  <a:pt x="2865328" y="5340"/>
                                  <a:pt x="3138052" y="0"/>
                                </a:cubicBezTo>
                                <a:cubicBezTo>
                                  <a:pt x="3410776" y="-5340"/>
                                  <a:pt x="3449547" y="2287"/>
                                  <a:pt x="3626765" y="0"/>
                                </a:cubicBezTo>
                                <a:cubicBezTo>
                                  <a:pt x="3803983" y="-2287"/>
                                  <a:pt x="3995012" y="-20122"/>
                                  <a:pt x="4269808" y="0"/>
                                </a:cubicBezTo>
                                <a:cubicBezTo>
                                  <a:pt x="4544604" y="20122"/>
                                  <a:pt x="4672622" y="20284"/>
                                  <a:pt x="4990017" y="0"/>
                                </a:cubicBezTo>
                                <a:cubicBezTo>
                                  <a:pt x="5307412" y="-20284"/>
                                  <a:pt x="5271586" y="12212"/>
                                  <a:pt x="5401565" y="0"/>
                                </a:cubicBezTo>
                                <a:cubicBezTo>
                                  <a:pt x="5531544" y="-12212"/>
                                  <a:pt x="5642661" y="-19480"/>
                                  <a:pt x="5813112" y="0"/>
                                </a:cubicBezTo>
                                <a:cubicBezTo>
                                  <a:pt x="5983563" y="19480"/>
                                  <a:pt x="6343939" y="6598"/>
                                  <a:pt x="6610486" y="0"/>
                                </a:cubicBezTo>
                                <a:cubicBezTo>
                                  <a:pt x="6877033" y="-6598"/>
                                  <a:pt x="7358200" y="-21374"/>
                                  <a:pt x="7716521" y="0"/>
                                </a:cubicBezTo>
                                <a:cubicBezTo>
                                  <a:pt x="7734113" y="215252"/>
                                  <a:pt x="7713376" y="343039"/>
                                  <a:pt x="7716521" y="462677"/>
                                </a:cubicBezTo>
                                <a:cubicBezTo>
                                  <a:pt x="7719666" y="582315"/>
                                  <a:pt x="7736367" y="763015"/>
                                  <a:pt x="7716521" y="967415"/>
                                </a:cubicBezTo>
                                <a:cubicBezTo>
                                  <a:pt x="7696675" y="1171815"/>
                                  <a:pt x="7696741" y="1388341"/>
                                  <a:pt x="7716521" y="1514215"/>
                                </a:cubicBezTo>
                                <a:cubicBezTo>
                                  <a:pt x="7736301" y="1640089"/>
                                  <a:pt x="7729294" y="1870099"/>
                                  <a:pt x="7716521" y="2103076"/>
                                </a:cubicBezTo>
                                <a:cubicBezTo>
                                  <a:pt x="7546918" y="2121765"/>
                                  <a:pt x="7316291" y="2132740"/>
                                  <a:pt x="7073478" y="2103076"/>
                                </a:cubicBezTo>
                                <a:cubicBezTo>
                                  <a:pt x="6830665" y="2073412"/>
                                  <a:pt x="6593725" y="2107743"/>
                                  <a:pt x="6276104" y="2103076"/>
                                </a:cubicBezTo>
                                <a:cubicBezTo>
                                  <a:pt x="5958483" y="2098409"/>
                                  <a:pt x="5875746" y="2068687"/>
                                  <a:pt x="5478730" y="2103076"/>
                                </a:cubicBezTo>
                                <a:cubicBezTo>
                                  <a:pt x="5081714" y="2137465"/>
                                  <a:pt x="4924932" y="2128366"/>
                                  <a:pt x="4758521" y="2103076"/>
                                </a:cubicBezTo>
                                <a:cubicBezTo>
                                  <a:pt x="4592110" y="2077786"/>
                                  <a:pt x="4224234" y="2090290"/>
                                  <a:pt x="4038313" y="2103076"/>
                                </a:cubicBezTo>
                                <a:cubicBezTo>
                                  <a:pt x="3852392" y="2115862"/>
                                  <a:pt x="3491239" y="2114186"/>
                                  <a:pt x="3318104" y="2103076"/>
                                </a:cubicBezTo>
                                <a:cubicBezTo>
                                  <a:pt x="3144969" y="2091966"/>
                                  <a:pt x="2987077" y="2100915"/>
                                  <a:pt x="2829391" y="2103076"/>
                                </a:cubicBezTo>
                                <a:cubicBezTo>
                                  <a:pt x="2671705" y="2105237"/>
                                  <a:pt x="2202190" y="2094056"/>
                                  <a:pt x="2032017" y="2103076"/>
                                </a:cubicBezTo>
                                <a:cubicBezTo>
                                  <a:pt x="1861844" y="2112096"/>
                                  <a:pt x="1665644" y="2125701"/>
                                  <a:pt x="1388974" y="2103076"/>
                                </a:cubicBezTo>
                                <a:cubicBezTo>
                                  <a:pt x="1112304" y="2080451"/>
                                  <a:pt x="1130173" y="2087250"/>
                                  <a:pt x="977426" y="2103076"/>
                                </a:cubicBezTo>
                                <a:cubicBezTo>
                                  <a:pt x="824679" y="2118902"/>
                                  <a:pt x="419302" y="2095249"/>
                                  <a:pt x="0" y="2103076"/>
                                </a:cubicBezTo>
                                <a:cubicBezTo>
                                  <a:pt x="-2648" y="1978685"/>
                                  <a:pt x="-8708" y="1823881"/>
                                  <a:pt x="0" y="1598338"/>
                                </a:cubicBezTo>
                                <a:cubicBezTo>
                                  <a:pt x="8708" y="1372795"/>
                                  <a:pt x="881" y="1217984"/>
                                  <a:pt x="0" y="1072569"/>
                                </a:cubicBezTo>
                                <a:cubicBezTo>
                                  <a:pt x="-881" y="927154"/>
                                  <a:pt x="-20931" y="666185"/>
                                  <a:pt x="0" y="504738"/>
                                </a:cubicBezTo>
                                <a:cubicBezTo>
                                  <a:pt x="20931" y="343291"/>
                                  <a:pt x="22093" y="111093"/>
                                  <a:pt x="0" y="0"/>
                                </a:cubicBezTo>
                                <a:close/>
                              </a:path>
                              <a:path w="7716521" h="2103076"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01729" y="208951"/>
                                  <a:pt x="7693085" y="257926"/>
                                  <a:pt x="7716521" y="504738"/>
                                </a:cubicBezTo>
                                <a:cubicBezTo>
                                  <a:pt x="7739957" y="751550"/>
                                  <a:pt x="7712096" y="742138"/>
                                  <a:pt x="7716521" y="967415"/>
                                </a:cubicBezTo>
                                <a:cubicBezTo>
                                  <a:pt x="7720946" y="1192692"/>
                                  <a:pt x="7711012" y="1358413"/>
                                  <a:pt x="7716521" y="1493184"/>
                                </a:cubicBezTo>
                                <a:cubicBezTo>
                                  <a:pt x="7722030" y="1627955"/>
                                  <a:pt x="7710345" y="1937726"/>
                                  <a:pt x="7716521" y="2103076"/>
                                </a:cubicBezTo>
                                <a:cubicBezTo>
                                  <a:pt x="7481942" y="2081437"/>
                                  <a:pt x="7306289" y="2120485"/>
                                  <a:pt x="7073478" y="2103076"/>
                                </a:cubicBezTo>
                                <a:cubicBezTo>
                                  <a:pt x="6840667" y="2085667"/>
                                  <a:pt x="6554395" y="2083514"/>
                                  <a:pt x="6276104" y="2103076"/>
                                </a:cubicBezTo>
                                <a:cubicBezTo>
                                  <a:pt x="5997813" y="2122638"/>
                                  <a:pt x="5883523" y="2115457"/>
                                  <a:pt x="5633060" y="2103076"/>
                                </a:cubicBezTo>
                                <a:cubicBezTo>
                                  <a:pt x="5382597" y="2090695"/>
                                  <a:pt x="5369061" y="2089805"/>
                                  <a:pt x="5221513" y="2103076"/>
                                </a:cubicBezTo>
                                <a:cubicBezTo>
                                  <a:pt x="5073965" y="2116347"/>
                                  <a:pt x="4834726" y="2103108"/>
                                  <a:pt x="4732800" y="2103076"/>
                                </a:cubicBezTo>
                                <a:cubicBezTo>
                                  <a:pt x="4630874" y="2103044"/>
                                  <a:pt x="4180179" y="2100729"/>
                                  <a:pt x="3935426" y="2103076"/>
                                </a:cubicBezTo>
                                <a:cubicBezTo>
                                  <a:pt x="3690673" y="2105423"/>
                                  <a:pt x="3583270" y="2127428"/>
                                  <a:pt x="3292382" y="2103076"/>
                                </a:cubicBezTo>
                                <a:cubicBezTo>
                                  <a:pt x="3001494" y="2078724"/>
                                  <a:pt x="2903013" y="2084999"/>
                                  <a:pt x="2803669" y="2103076"/>
                                </a:cubicBezTo>
                                <a:cubicBezTo>
                                  <a:pt x="2704325" y="2121153"/>
                                  <a:pt x="2453128" y="2076704"/>
                                  <a:pt x="2160626" y="2103076"/>
                                </a:cubicBezTo>
                                <a:cubicBezTo>
                                  <a:pt x="1868124" y="2129448"/>
                                  <a:pt x="1900705" y="2109616"/>
                                  <a:pt x="1749078" y="2103076"/>
                                </a:cubicBezTo>
                                <a:cubicBezTo>
                                  <a:pt x="1597451" y="2096536"/>
                                  <a:pt x="1454505" y="2110654"/>
                                  <a:pt x="1337530" y="2103076"/>
                                </a:cubicBezTo>
                                <a:cubicBezTo>
                                  <a:pt x="1220555" y="2095498"/>
                                  <a:pt x="1007254" y="2132189"/>
                                  <a:pt x="694487" y="2103076"/>
                                </a:cubicBezTo>
                                <a:cubicBezTo>
                                  <a:pt x="381720" y="2073963"/>
                                  <a:pt x="239711" y="2089713"/>
                                  <a:pt x="0" y="2103076"/>
                                </a:cubicBezTo>
                                <a:cubicBezTo>
                                  <a:pt x="21853" y="1843273"/>
                                  <a:pt x="18546" y="1769166"/>
                                  <a:pt x="0" y="1556276"/>
                                </a:cubicBezTo>
                                <a:cubicBezTo>
                                  <a:pt x="-18546" y="1343386"/>
                                  <a:pt x="12033" y="1189690"/>
                                  <a:pt x="0" y="1051538"/>
                                </a:cubicBezTo>
                                <a:cubicBezTo>
                                  <a:pt x="-12033" y="913386"/>
                                  <a:pt x="16462" y="770294"/>
                                  <a:pt x="0" y="588861"/>
                                </a:cubicBezTo>
                                <a:cubicBezTo>
                                  <a:pt x="-16462" y="407428"/>
                                  <a:pt x="-24677" y="207118"/>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386510" name="Rectangle 5"/>
                        <wps:cNvSpPr/>
                        <wps:spPr>
                          <a:xfrm>
                            <a:off x="10630" y="3417046"/>
                            <a:ext cx="7716521" cy="715797"/>
                          </a:xfrm>
                          <a:custGeom>
                            <a:avLst/>
                            <a:gdLst>
                              <a:gd name="connsiteX0" fmla="*/ 0 w 7716521"/>
                              <a:gd name="connsiteY0" fmla="*/ 0 h 715797"/>
                              <a:gd name="connsiteX1" fmla="*/ 797374 w 7716521"/>
                              <a:gd name="connsiteY1" fmla="*/ 0 h 715797"/>
                              <a:gd name="connsiteX2" fmla="*/ 1594748 w 7716521"/>
                              <a:gd name="connsiteY2" fmla="*/ 0 h 715797"/>
                              <a:gd name="connsiteX3" fmla="*/ 2237791 w 7716521"/>
                              <a:gd name="connsiteY3" fmla="*/ 0 h 715797"/>
                              <a:gd name="connsiteX4" fmla="*/ 2958000 w 7716521"/>
                              <a:gd name="connsiteY4" fmla="*/ 0 h 715797"/>
                              <a:gd name="connsiteX5" fmla="*/ 3523878 w 7716521"/>
                              <a:gd name="connsiteY5" fmla="*/ 0 h 715797"/>
                              <a:gd name="connsiteX6" fmla="*/ 4166921 w 7716521"/>
                              <a:gd name="connsiteY6" fmla="*/ 0 h 715797"/>
                              <a:gd name="connsiteX7" fmla="*/ 4964295 w 7716521"/>
                              <a:gd name="connsiteY7" fmla="*/ 0 h 715797"/>
                              <a:gd name="connsiteX8" fmla="*/ 5453008 w 7716521"/>
                              <a:gd name="connsiteY8" fmla="*/ 0 h 715797"/>
                              <a:gd name="connsiteX9" fmla="*/ 6173217 w 7716521"/>
                              <a:gd name="connsiteY9" fmla="*/ 0 h 715797"/>
                              <a:gd name="connsiteX10" fmla="*/ 6661930 w 7716521"/>
                              <a:gd name="connsiteY10" fmla="*/ 0 h 715797"/>
                              <a:gd name="connsiteX11" fmla="*/ 7716521 w 7716521"/>
                              <a:gd name="connsiteY11" fmla="*/ 0 h 715797"/>
                              <a:gd name="connsiteX12" fmla="*/ 7716521 w 7716521"/>
                              <a:gd name="connsiteY12" fmla="*/ 365056 h 715797"/>
                              <a:gd name="connsiteX13" fmla="*/ 7716521 w 7716521"/>
                              <a:gd name="connsiteY13" fmla="*/ 715797 h 715797"/>
                              <a:gd name="connsiteX14" fmla="*/ 6919147 w 7716521"/>
                              <a:gd name="connsiteY14" fmla="*/ 715797 h 715797"/>
                              <a:gd name="connsiteX15" fmla="*/ 6276104 w 7716521"/>
                              <a:gd name="connsiteY15" fmla="*/ 715797 h 715797"/>
                              <a:gd name="connsiteX16" fmla="*/ 5633060 w 7716521"/>
                              <a:gd name="connsiteY16" fmla="*/ 715797 h 715797"/>
                              <a:gd name="connsiteX17" fmla="*/ 4990017 w 7716521"/>
                              <a:gd name="connsiteY17" fmla="*/ 715797 h 715797"/>
                              <a:gd name="connsiteX18" fmla="*/ 4346973 w 7716521"/>
                              <a:gd name="connsiteY18" fmla="*/ 715797 h 715797"/>
                              <a:gd name="connsiteX19" fmla="*/ 3781095 w 7716521"/>
                              <a:gd name="connsiteY19" fmla="*/ 715797 h 715797"/>
                              <a:gd name="connsiteX20" fmla="*/ 3060887 w 7716521"/>
                              <a:gd name="connsiteY20" fmla="*/ 715797 h 715797"/>
                              <a:gd name="connsiteX21" fmla="*/ 2417843 w 7716521"/>
                              <a:gd name="connsiteY21" fmla="*/ 715797 h 715797"/>
                              <a:gd name="connsiteX22" fmla="*/ 1620469 w 7716521"/>
                              <a:gd name="connsiteY22" fmla="*/ 715797 h 715797"/>
                              <a:gd name="connsiteX23" fmla="*/ 823096 w 7716521"/>
                              <a:gd name="connsiteY23" fmla="*/ 715797 h 715797"/>
                              <a:gd name="connsiteX24" fmla="*/ 0 w 7716521"/>
                              <a:gd name="connsiteY24" fmla="*/ 715797 h 715797"/>
                              <a:gd name="connsiteX25" fmla="*/ 0 w 7716521"/>
                              <a:gd name="connsiteY25" fmla="*/ 350741 h 715797"/>
                              <a:gd name="connsiteX26" fmla="*/ 0 w 7716521"/>
                              <a:gd name="connsiteY26" fmla="*/ 0 h 7157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716521" h="715797" fill="none" extrusionOk="0">
                                <a:moveTo>
                                  <a:pt x="0" y="0"/>
                                </a:moveTo>
                                <a:cubicBezTo>
                                  <a:pt x="257018" y="-23538"/>
                                  <a:pt x="559675" y="-12498"/>
                                  <a:pt x="797374" y="0"/>
                                </a:cubicBezTo>
                                <a:cubicBezTo>
                                  <a:pt x="1035073" y="12498"/>
                                  <a:pt x="1281149" y="-25614"/>
                                  <a:pt x="1594748" y="0"/>
                                </a:cubicBezTo>
                                <a:cubicBezTo>
                                  <a:pt x="1908347" y="25614"/>
                                  <a:pt x="2057731" y="-22393"/>
                                  <a:pt x="2237791" y="0"/>
                                </a:cubicBezTo>
                                <a:cubicBezTo>
                                  <a:pt x="2417851" y="22393"/>
                                  <a:pt x="2809894" y="-27983"/>
                                  <a:pt x="2958000" y="0"/>
                                </a:cubicBezTo>
                                <a:cubicBezTo>
                                  <a:pt x="3106106" y="27983"/>
                                  <a:pt x="3262329" y="15278"/>
                                  <a:pt x="3523878" y="0"/>
                                </a:cubicBezTo>
                                <a:cubicBezTo>
                                  <a:pt x="3785427" y="-15278"/>
                                  <a:pt x="4031795" y="-8489"/>
                                  <a:pt x="4166921" y="0"/>
                                </a:cubicBezTo>
                                <a:cubicBezTo>
                                  <a:pt x="4302047" y="8489"/>
                                  <a:pt x="4629506" y="-31675"/>
                                  <a:pt x="4964295" y="0"/>
                                </a:cubicBezTo>
                                <a:cubicBezTo>
                                  <a:pt x="5299084" y="31675"/>
                                  <a:pt x="5257534" y="-13002"/>
                                  <a:pt x="5453008" y="0"/>
                                </a:cubicBezTo>
                                <a:cubicBezTo>
                                  <a:pt x="5648482" y="13002"/>
                                  <a:pt x="5900493" y="5340"/>
                                  <a:pt x="6173217" y="0"/>
                                </a:cubicBezTo>
                                <a:cubicBezTo>
                                  <a:pt x="6445941" y="-5340"/>
                                  <a:pt x="6484712" y="2287"/>
                                  <a:pt x="6661930" y="0"/>
                                </a:cubicBezTo>
                                <a:cubicBezTo>
                                  <a:pt x="6839148" y="-2287"/>
                                  <a:pt x="7226431" y="-13534"/>
                                  <a:pt x="7716521" y="0"/>
                                </a:cubicBezTo>
                                <a:cubicBezTo>
                                  <a:pt x="7701062" y="87250"/>
                                  <a:pt x="7725383" y="276570"/>
                                  <a:pt x="7716521" y="365056"/>
                                </a:cubicBezTo>
                                <a:cubicBezTo>
                                  <a:pt x="7707659" y="453542"/>
                                  <a:pt x="7719628" y="578044"/>
                                  <a:pt x="7716521" y="715797"/>
                                </a:cubicBezTo>
                                <a:cubicBezTo>
                                  <a:pt x="7508046" y="694644"/>
                                  <a:pt x="7283951" y="737891"/>
                                  <a:pt x="6919147" y="715797"/>
                                </a:cubicBezTo>
                                <a:cubicBezTo>
                                  <a:pt x="6554343" y="693703"/>
                                  <a:pt x="6483500" y="739672"/>
                                  <a:pt x="6276104" y="715797"/>
                                </a:cubicBezTo>
                                <a:cubicBezTo>
                                  <a:pt x="6068708" y="691922"/>
                                  <a:pt x="5885617" y="708951"/>
                                  <a:pt x="5633060" y="715797"/>
                                </a:cubicBezTo>
                                <a:cubicBezTo>
                                  <a:pt x="5380503" y="722643"/>
                                  <a:pt x="5295854" y="721169"/>
                                  <a:pt x="4990017" y="715797"/>
                                </a:cubicBezTo>
                                <a:cubicBezTo>
                                  <a:pt x="4684180" y="710425"/>
                                  <a:pt x="4650940" y="714534"/>
                                  <a:pt x="4346973" y="715797"/>
                                </a:cubicBezTo>
                                <a:cubicBezTo>
                                  <a:pt x="4043006" y="717060"/>
                                  <a:pt x="4055228" y="698169"/>
                                  <a:pt x="3781095" y="715797"/>
                                </a:cubicBezTo>
                                <a:cubicBezTo>
                                  <a:pt x="3506962" y="733425"/>
                                  <a:pt x="3387653" y="744525"/>
                                  <a:pt x="3060887" y="715797"/>
                                </a:cubicBezTo>
                                <a:cubicBezTo>
                                  <a:pt x="2734121" y="687069"/>
                                  <a:pt x="2662049" y="685256"/>
                                  <a:pt x="2417843" y="715797"/>
                                </a:cubicBezTo>
                                <a:cubicBezTo>
                                  <a:pt x="2173637" y="746338"/>
                                  <a:pt x="1938090" y="720464"/>
                                  <a:pt x="1620469" y="715797"/>
                                </a:cubicBezTo>
                                <a:cubicBezTo>
                                  <a:pt x="1302848" y="711130"/>
                                  <a:pt x="1219801" y="676329"/>
                                  <a:pt x="823096" y="715797"/>
                                </a:cubicBezTo>
                                <a:cubicBezTo>
                                  <a:pt x="426391" y="755265"/>
                                  <a:pt x="309084" y="725654"/>
                                  <a:pt x="0" y="715797"/>
                                </a:cubicBezTo>
                                <a:cubicBezTo>
                                  <a:pt x="12451" y="579386"/>
                                  <a:pt x="17660" y="425037"/>
                                  <a:pt x="0" y="350741"/>
                                </a:cubicBezTo>
                                <a:cubicBezTo>
                                  <a:pt x="-17660" y="276445"/>
                                  <a:pt x="294" y="110243"/>
                                  <a:pt x="0" y="0"/>
                                </a:cubicBezTo>
                                <a:close/>
                              </a:path>
                              <a:path w="7716521" h="715797" stroke="0" extrusionOk="0">
                                <a:moveTo>
                                  <a:pt x="0" y="0"/>
                                </a:moveTo>
                                <a:cubicBezTo>
                                  <a:pt x="263245" y="-24672"/>
                                  <a:pt x="434690" y="-24625"/>
                                  <a:pt x="565878" y="0"/>
                                </a:cubicBezTo>
                                <a:cubicBezTo>
                                  <a:pt x="697066" y="24625"/>
                                  <a:pt x="794700" y="-19421"/>
                                  <a:pt x="977426" y="0"/>
                                </a:cubicBezTo>
                                <a:cubicBezTo>
                                  <a:pt x="1160152" y="19421"/>
                                  <a:pt x="1605459" y="21010"/>
                                  <a:pt x="1774800" y="0"/>
                                </a:cubicBezTo>
                                <a:cubicBezTo>
                                  <a:pt x="1944141" y="-21010"/>
                                  <a:pt x="2212974" y="23013"/>
                                  <a:pt x="2340678" y="0"/>
                                </a:cubicBezTo>
                                <a:cubicBezTo>
                                  <a:pt x="2468382" y="-23013"/>
                                  <a:pt x="2698507" y="12262"/>
                                  <a:pt x="2906556" y="0"/>
                                </a:cubicBezTo>
                                <a:cubicBezTo>
                                  <a:pt x="3114605" y="-12262"/>
                                  <a:pt x="3434643" y="36419"/>
                                  <a:pt x="3703930" y="0"/>
                                </a:cubicBezTo>
                                <a:cubicBezTo>
                                  <a:pt x="3973217" y="-36419"/>
                                  <a:pt x="4031746" y="19821"/>
                                  <a:pt x="4192643" y="0"/>
                                </a:cubicBezTo>
                                <a:cubicBezTo>
                                  <a:pt x="4353540" y="-19821"/>
                                  <a:pt x="4768905" y="996"/>
                                  <a:pt x="4990017" y="0"/>
                                </a:cubicBezTo>
                                <a:cubicBezTo>
                                  <a:pt x="5211129" y="-996"/>
                                  <a:pt x="5500862" y="-10311"/>
                                  <a:pt x="5787391" y="0"/>
                                </a:cubicBezTo>
                                <a:cubicBezTo>
                                  <a:pt x="6073920" y="10311"/>
                                  <a:pt x="6246910" y="-286"/>
                                  <a:pt x="6430434" y="0"/>
                                </a:cubicBezTo>
                                <a:cubicBezTo>
                                  <a:pt x="6613958" y="286"/>
                                  <a:pt x="7376103" y="21728"/>
                                  <a:pt x="7716521" y="0"/>
                                </a:cubicBezTo>
                                <a:cubicBezTo>
                                  <a:pt x="7728965" y="146681"/>
                                  <a:pt x="7701749" y="182437"/>
                                  <a:pt x="7716521" y="350741"/>
                                </a:cubicBezTo>
                                <a:cubicBezTo>
                                  <a:pt x="7731293" y="519045"/>
                                  <a:pt x="7710938" y="550031"/>
                                  <a:pt x="7716521" y="715797"/>
                                </a:cubicBezTo>
                                <a:cubicBezTo>
                                  <a:pt x="7584341" y="747925"/>
                                  <a:pt x="7351924" y="731397"/>
                                  <a:pt x="7073478" y="715797"/>
                                </a:cubicBezTo>
                                <a:cubicBezTo>
                                  <a:pt x="6795032" y="700197"/>
                                  <a:pt x="6789740" y="732767"/>
                                  <a:pt x="6584765" y="715797"/>
                                </a:cubicBezTo>
                                <a:cubicBezTo>
                                  <a:pt x="6379790" y="698827"/>
                                  <a:pt x="6180294" y="739263"/>
                                  <a:pt x="5941721" y="715797"/>
                                </a:cubicBezTo>
                                <a:cubicBezTo>
                                  <a:pt x="5703148" y="692331"/>
                                  <a:pt x="5422638" y="696235"/>
                                  <a:pt x="5144347" y="715797"/>
                                </a:cubicBezTo>
                                <a:cubicBezTo>
                                  <a:pt x="4866056" y="735359"/>
                                  <a:pt x="4747673" y="726480"/>
                                  <a:pt x="4501304" y="715797"/>
                                </a:cubicBezTo>
                                <a:cubicBezTo>
                                  <a:pt x="4254935" y="705114"/>
                                  <a:pt x="4240082" y="707909"/>
                                  <a:pt x="4089756" y="715797"/>
                                </a:cubicBezTo>
                                <a:cubicBezTo>
                                  <a:pt x="3939430" y="723685"/>
                                  <a:pt x="3702969" y="715829"/>
                                  <a:pt x="3601043" y="715797"/>
                                </a:cubicBezTo>
                                <a:cubicBezTo>
                                  <a:pt x="3499117" y="715765"/>
                                  <a:pt x="3048422" y="713450"/>
                                  <a:pt x="2803669" y="715797"/>
                                </a:cubicBezTo>
                                <a:cubicBezTo>
                                  <a:pt x="2558916" y="718144"/>
                                  <a:pt x="2451147" y="739504"/>
                                  <a:pt x="2160626" y="715797"/>
                                </a:cubicBezTo>
                                <a:cubicBezTo>
                                  <a:pt x="1870105" y="692090"/>
                                  <a:pt x="1771257" y="697720"/>
                                  <a:pt x="1671913" y="715797"/>
                                </a:cubicBezTo>
                                <a:cubicBezTo>
                                  <a:pt x="1572569" y="733874"/>
                                  <a:pt x="1322588" y="691083"/>
                                  <a:pt x="1028869" y="715797"/>
                                </a:cubicBezTo>
                                <a:cubicBezTo>
                                  <a:pt x="735150" y="740511"/>
                                  <a:pt x="762570" y="713815"/>
                                  <a:pt x="617322" y="715797"/>
                                </a:cubicBezTo>
                                <a:cubicBezTo>
                                  <a:pt x="472074" y="717779"/>
                                  <a:pt x="276811" y="733664"/>
                                  <a:pt x="0" y="715797"/>
                                </a:cubicBezTo>
                                <a:cubicBezTo>
                                  <a:pt x="-9130" y="598546"/>
                                  <a:pt x="11102" y="532437"/>
                                  <a:pt x="0" y="357899"/>
                                </a:cubicBezTo>
                                <a:cubicBezTo>
                                  <a:pt x="-11102" y="183361"/>
                                  <a:pt x="-13645" y="136275"/>
                                  <a:pt x="0" y="0"/>
                                </a:cubicBezTo>
                                <a:close/>
                              </a:path>
                            </a:pathLst>
                          </a:custGeom>
                          <a:solidFill>
                            <a:srgbClr val="FBFADE"/>
                          </a:solidFill>
                          <a:ln>
                            <a:solidFill>
                              <a:schemeClr val="bg1">
                                <a:lumMod val="65000"/>
                              </a:schemeClr>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EF0DC6" id="Group 621221889" o:spid="_x0000_s1026" alt="&quot;&quot;" style="position:absolute;margin-left:-12.45pt;margin-top:136.25pt;width:482.15pt;height:388.4pt;z-index:-251658215;mso-position-horizontal-relative:margin;mso-position-vertical-relative:page;mso-width-relative:margin;mso-height-relative:margin" coordsize="77271,4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PB8SicAAMzVAAAOAAAAZHJzL2Uyb0RvYy54bWzsnVuPZLeNx98X2O9Q6McF2nPul0EmgXNx&#10;sEA2CZIskn0s91TPNNLT1Vtd47Hz6fdHUecUeWraRyo72Sy2Hzyu6lPU/0iiKJIixZ/87NsP95tv&#10;doenu/3Dm6vyi+Jqs3u42b+9e3j35uo///TV9XC1eTpuH95u7/cPuzdX3+2ern7203/9l598eny9&#10;q/bv9/dvd4cNjTw8vf70+Obq/fH4+PrVq6eb97sP26cv9o+7Bx7e7g8ftke+Ht69envYfqL1D/ev&#10;qqLoXn3aH94+HvY3u6cn/vpLfXj109D+7e3u5vi729un3XFz/+aKdzuGfw/h36/l31c//cn29bvD&#10;9vH93U18je0Fb/Fhe/cA6NzUL7fH7ebj4e6sqQ93N4f90/72+MXN/sOr/e3t3c0u9IHelMWiN78+&#10;7D8+hr68e/3p3eM8TAztYpwubvbmt9/8+vD4x8ffHxiJT4/vGIvwTfry7e3hg/yft9x8G4bsu3nI&#10;dt8eNzf8sSurui7aq80Nz5qxrrohDurNe0b+jO7m/a8iZd9XfdmWM2VXjpVMx6sJ+JV7nU+PMMjT&#10;aQyeftgY/PH99nEXhvbpNWPw+8Pm7u2bq7ppx6Ia6qvNw/YD3PoH+Gf78O5+t2nl1eQd+PE8Wk+v&#10;nxi4Z4dqLIehqJXFpvHq+7Jrq6nXRdnXw+h6vX198/Hp+OvdPgz99pvfPB2VR9/yKXDY2/hyN/uH&#10;h6e74+4v8PXth3vY9t9ebYrNp82EEekWP/8v//P3m+b0FvDvWeu869x627VDP6xDWJpiswpRGYiy&#10;Grpi6NcxLFECBnM6d6Ps+2YoEobKEiVgNAajasp+aOr1fliiBAyW2tyPuqyHoq3WMSxRAkZnMdpm&#10;7FLGyhIlYPQWY+zKskmYc0uUgMHeM49V07cDC299rCxRAsZoMFqWEktkHcMSJWCUdsm2Q1mXZcKk&#10;O6oUFLtqu6bt6Mt6V0pLlYJi122UVAkolioFxa7cdBRL1VVjPZbrwqu0CzgdylKV1TiMDPaqoCzt&#10;Qk7HslTl0PTjOCZg2QWdjmWpqnbsR1h1vV92YadjWSo0j77pU8bQLvB0LEsVd8yEftmFjrZTdCk7&#10;QmmpkrEqKyS6DnWqTtjhHFU6ll307YCwSBEVovac5LFqHetjWNml31YVOmPCruqo0vtlBQAqwjim&#10;SPPKUSX3y0qApuy6MWV3qhxVMpaVAHWHpZHCh5WlSh9DKwHqom5ReNcFfGWp0rGsBKgahjBJc7RU&#10;6VhWApRjUTfFmNAvS5WOZSVAWQ41pm4ClqVKxqqt3EhAcb9PR7FrPwXF/r5uuoH/1mVFbWVFCor9&#10;PXYfu3CbgGLXewqK/X3FZl+VKX2xKz0Fxf6+rHvEf5PQF7vGU1Ds74e6qLoEbay2izsFxP/eqQ+4&#10;B95NpvD2/WQd33z7EM1jPm0w2cVRIdby4/5JfBDWVsZRMX3FFlaPA1Ty6xVieNISl1nEsJolnnwd&#10;achwkCUOTgVGIo0YxrDETdZrM9+WOPhBkpGZR0vcZSEjpS1xn0WM2LXEQxYxctQSTw6atNEWs8tS&#10;8z2Lx5ZMlsdl5YLN+J6FvmC0Mo/TxBZyfc/jNTFvHHket5ULduN7Vt8XDFfmcVy5YDm+Z6EvmA4j&#10;IIdc9Hg7dHzPIl9wHap6FvmC69C+s8gXXIdCnUW+4Dp05CzyBdeh9maRL7gOTTaLfMF1VR7XVQuu&#10;43sW+oLrqjyuE13Qch3fc9DrBdfxPYt8wXVof1nkC66r87iuXnAd37PQF1xX53GdqFRu5B3X6QYd&#10;NaIDhxhy/HUfjr+OVxuOvw5XG46/vpY3RkfaHkWRmj5uPr25in6Rq817TnXi+cDm9u6eZh44x+OQ&#10;79vj4aMc+v3ur5Oq9WH/ze5P+9DKcXHuw/ucnt58/Pru5ue7v9nfVnXb9cpM16OOJO8VmmnKseUU&#10;RXpbdj0HRvrO4ZmeR4RnM+e51j+H1ZdV1WqD12ctlkVZ150+bTHxLFo8msiEK9t2GMRLSgeuz5rE&#10;Q9YOyscVxquD01OKXLix5SRRpcL1ssmqbLAKVOJc8zOV09NIxyOLTMAKq7urVY6cNzlURdcqYMXJ&#10;WlgjE148vsjE44yubU59WLYJu3TiaBJ2wVkURMIMqGcZuYBdP7a9dvD6vM1+LLpRV+N1OeI0snNY&#10;68lGJmKDh78ddQ7PmmyasRx7FT6d/Mqsh3jIkQnXFhWeycgyyybbsmQ89SF2K8AGLx545OJ1Q4db&#10;OFBdn7fZ1V3b6YCW7dAEwTbNYDz8yAXEvc7JpQKetdmVXcPS1qf1oPr6BBjPQTIBGaYBR3ugWrbY&#10;l8XYi6MCDq2Keghyf4Kb5S4PMyRaX+PuVfFZF5wwO67v+7od435RI2xUNfwcoh55yATLBrIuSLuR&#10;zuhMjUXRLmGLuu902YxDWxIkYDjHdjQef6Tj9rhQ+mlLYOoKtwgQm0Uz6vZadkPbjo5nHbIehqQj&#10;I+vaKHskXgMg36lqbBsVPhWCduSnz/Q5Ho2kI/d4UovY9DByQr5sGqmog13zsGgXLxajDmCreFCS&#10;gVz2BHYoLyN4By9ymOKqE0+xNN11bJluh7ajPSkSyfzVFgynLsx6ZKPsfNNV3/dxq6ZpYk/8kOhx&#10;S3ixbOQChUTc+nQK2rbxakc3sMlEa1Mes83aeY6HLxO1CfFYX1NdWzRVo5JDOtW2bj/pcDvD/bHp&#10;YqhZYIbD4lHMRchtNza1hL6EPlcd7m3XdDMi0qbHTVFg61tkPZi5CJl10hAqEWiZZ07xXNPEHxAp&#10;pAJTcFvm3CDHY5rLkNFNps2tKeqawyXXdFM3dT8hl13t1Yl4aHMRMq5mOqoim3lmm3P7HHEdAxJk&#10;apq17x/rEc70OIvD6npk01Gp3RTwmlcCa1SPeuawqu7VKJu2i3igcxFy1cPNUYbRZ8SnW7CIxJoF&#10;H5uuCZ9xrB+Pdy5DRmnk2DvSFtXoZRhqMRqQChqZjBZ11nBYPOy5CJlzvaaOLkGa7qpF07xVPw8J&#10;/Md2apH16Oci5GHgSPHU5Q4+Ni3X5YCuGhpmyZXolPbpzHhZnCUDFzeCgbhAlGID2KEMKFzXMs3u&#10;WdRc9JRHiJLUj+tTkxzdtL7Jpujjq6DZMt/2VRQuHvekw81NcuYhar1t8ros+iKaOSgFxfCZ/sWT&#10;n2TAU5MMLJLINXldykYQBrTsOc1F+zODrT2Mh0DpgKcm0R9ELpomsXxYQwFwHJAZTlAqnh4HpcPN&#10;DXY9mqdr8JrASDkSZi+q+oGG7asoWvjTOaPc7592ykHi1lj1aTwdD/u/EulJmz+2S6Or6WDowjWy&#10;yy8/mc6osMtDP5oXeTXQxYtoNZ012MtWo6MmJqo6dyeJPqIvx6F+ZkidIaBOGYxC0XuU/5Yt8gyN&#10;SUUPEs0bVDH2MlBm4KEilFGzxmRctCl2/mQSs2vqocXUvwqVtOtV1KUDMoYcB2sHr8/b7LBo4nrH&#10;I+ANnwqHAPEwmT0kpq9h3JRfztpED2nYSMLTGnPVybMa24CtMxdQrNAy+oLO2kQbQu3XTpTj4FkG&#10;fPRDfZv0IW1qtgc8arKoYcNlm32HWaP9J+zGrvdmxLqMb5oOR7AnYZLKhdeLFkUPGZg1fRW66oR5&#10;2w89oX+Z49kVEGFbS5vlsskOfhqjGnBNhLPtHiOJAFfRmt49ArzqMfo0Fg32bLW8QXgTZtgbJ9Yg&#10;S0djcroOkzN0bmiGzmluhPKLQhqe4vHiq+2fRcz1MLCpFtFXwnwtlj2OjW6IWsXYNcPgNiwLW4ZY&#10;7GBVnO8YnxFvGLXYd5H7YYXRq6J9T9wDQxBGA2Ow9uqkQ871MPRo2FF1ob+IhDBJkzBDVrdjdCaz&#10;ByMTFo9Pdn7VlljMOX0eevyOyjXo3o0mJszIEoIzIWMposk+N8nolthrQUSljTb+BWwrZR8WAw5A&#10;1zQeBjyi+hi7iGXmHk8ZFcFutQkV69Y2EaMDLovQNLYQSo/nXOJyQ3JLaFpezD1GvQ4mobABun2W&#10;roxujl0wq+dsbq7PHbIZ93h8sYKBd7yNMxMrWYVlNrKYtFGaIuVRGhwL4UjEJJltIXQDJxtF9SXl&#10;IL5YXp9bTN4yqhrhrTkYMBomDiy2OWUDHosjxD1mMqZ9PLfPbYFJF51U0LLzudHGAUFSztQpEjfQ&#10;NMyL8RCfw8QleX1moTTTPoqhJYvbNY0cqeJE8nj8ET0MovW0UWQzz8gK12fc0h1eBl1VWICywZo+&#10;i/uLVJ+L5jmwbpTLGEOyG7mm5bgongmx6JgYt54luYGUsouQsTllw5hoiwGXqOlUNaB9npCROq7P&#10;FUpyH3W+XA6rWtTFqBHipMJX5vqMH6XgjCW+GAxVON6uCmYqnqHlIsOtzRhNQTaioWLkTZ85ssFU&#10;nEUFOQ1ObuNNI+NterE83kZmcWir2yBv3S7OMpBZBXrI1GdG1rn10CKYjmmqsoQnOxuOq0BKjzuc&#10;xLbHHN8SBxwb5nf+VHV6n7yuXuOtYuWKpK+RQhUS0I4xRx9xf8LQwjdsH8YlxrkMsy4PkvbEayZm&#10;arPE/ewPGq4JCI7Ow4pAT05XzhFzTxhMkyoibZPXHBzHU1XMHXGm2afaRWKUZS6Su3hqEkWFY1zH&#10;lxh5WAhhwMWPL8vSDLgComNI2kwyoGmyQInyTgV6FU85O9xTuMbO4J6ZvKXDgemdAyrCVJ+yOZ/2&#10;93dvvyKKQtwSIcV594v7w+abLWEVX78LcwiF+9V9iEt1f/oMobR3//HDf+zfamNwmuqN0pykUgtO&#10;4DzTEs+kddJspzzW8On43f0utPfwh90tWbFEz1YhlHZuSDG2Nze7h2Opj95v3+70z4I8jdRMEaDv&#10;pUFpWeJI5rZjA9NL+rZ1tcTfC+kupHTPxBrjO8N8jnimCMj7h+NM/OHuYX/4XM/u6VVE1t9Pg6RD&#10;I6P09f7td+QMH/aaUP70ePPV3eHp+Jvt0/H32wOpuHAoWfHH3/HP7f2eiBqCY8InQmr2h7997u/y&#10;e5KaeXq1+URG+purp//+uD3srjb3//5AujNeWrGej+FLw8EFXw72ydf2ycPHD7/Yw1foU7xd+Ci/&#10;P95PH28P+w9/Jnn+S0Hl0fbhBmxio4+H6csvjnznEen3N7svvwyfSVuHvX/z8MfHG2lcRvWRnv/p&#10;2z9vD48b+fjm6ogr7bf7KcV6+3rKYobjTr8Vyof9lx+P+9s7SXEOfKjjGr+Q7q0513yYc9//Lnnf&#10;JJ/iYOrYHH+czO+oUfukbwZSkuQxF9kpI4NNKfY3P07Od8Q9S+Imzv2UeSUB+6eXWEv5xhio+2ZO&#10;PnkWAT6bc7vWEZDs868JdUFFPmX/PgthidYh2JBniAr9i0zE9V5YonUIVJAThMQIkVc5pd8/2wtL&#10;tA6B4jZDqE6eMFCWaB0C5W+GWOahPdsLS7QOgeZ0gsBVg7d/faAs0ToECt8Mgfe5RpVfh7BE6xAI&#10;hxmiQ3+UNJ7V6bZE6xCiLp8wJImzSmApR5UAYteqOqtOSTnPzrj4fuZXSwCxqzUdxFLhFBlDDtOK&#10;tLKLNh3JUinAuly0axd/LjtyAge4BPFUJLuECX8Qf+46r7n08FQku5Jxc+AQSmEGS5WKZBe0+vRT&#10;Rs9SpSLZdR2O2vqU0bNUqUh2edc9wYMpks0leCciibY3Lz+ZJM731znCUaUi2YW+vMbkWfEg1uH8&#10;fqlIdrUTG1GggiX0yVKlIrnVznleyjSJ/Z3dJSsiEhaSy+dO7YwVDikY9vfiMKklMVTB1Mw9Uxj/&#10;Ii6hue8pGP73tnm0/peMzeDcYCTScghhIiyFOUt1PsRJylJlti3x7JBJImYaLfHsXEkiRlRb4uAj&#10;Su4z0tcSTxZS2oAhhi3xfPaU9NrRRzkPN9/V/E/DjodiJ/LJe5BIjjiz764xhsnDFg+JTuh5nPaS&#10;sXlaZnrGlj7yC6Z7ydhMHrrovJ+ZVk8G0skXIk7Dp9LJF0KOvc6sd23mB+fOoa6ROxc32b9r6lzL&#10;kYMKTwKVomsJR5smyBEWGaMJJIBvEacQXDtB+swSzwVD+AP0GPkleQhT8sWyRXIxOC/W3UuipnwI&#10;eXT05AISFUSKR6A6a5KDs0pOqEWCAkj/VaHRd41un0xAGqxLjiylzfMmZUZjbBvpdYtAVvwa4gTK&#10;BCQ+uCKCUwGXTRIGyUvo/BJxx5EsvDpNb/QI5eL1xJPGMz/OmRZtShwEGQyhTY69SOCziDbmPZ1p&#10;COrgrE/bPG9Sgj/j2eg1Iw+/mi5ySCvuoswutoT8cvobqM6abCu5HEu3XVYFeToWMDqPcgE7nPPT&#10;gdVZk8SvNdxuKhy1zACNjqRMONDwmuqiOEsqJRSq6adQnUVSachNiVFx6fNH7A++DlXvzpJKezkR&#10;jAf2hCXTQTuc0SGT2T8irMh2UkDS85ixRZsEBMYFQ5iMjyOxiOpCEloR66vCjcg1rrTRpU9q5SLt&#10;hyN61r6+FAF9892uKmws7Mm2SoMl+aCIZ/T9SOCFWwEE8BEvoXNNnPtZEFJwQ4XxzYQlrAXniLIl&#10;3vGGtCOz8OCiGi+NNswRgI+qjT6pi2CJyJ/CBsgmI2fMwkqyNKFR2jBxxD7lJjqoLoFlZySyR2eP&#10;2FPyMhwsYcMcpWvDnBaQIG7GInqrLoEl8nuQ1mTtwzFsUa5hFjLxGfGpREe6pxIlHvfazLmVFEjC&#10;aGJ/CGvxDRdtSFqTlyK5WSJTTW+jH+uS3qIbEDqpLDUQybOIOSL4REISw1gQRODTMqJT6xLYijVS&#10;xQQenHAS9mT6Q4wVEdm6+xBmQB66e6oX9V4ES+ACEXSBlBEefHI0eww3CMZ1K/uoW9XR3XUJLJEL&#10;6FmqEhAPSbCl7Q+x4+RWqQyTQy+/u0lWWdxNczmKGN9pgXBc6pMtmbtp/FlbEsVnxn8agkk5TZKJ&#10;RJwMMQabhEcS222L14TBaqtMddu6Z/p3dXMJTRLa3B4xIrIezdsTaxOz7dmIGh+loljP7KPLwBCU&#10;NjJSTrdrQGwshKeXRJSXRBSnoEQb5iUR5R+diNKTt6WagNyTamWB1QOeWfWfmUIuZCHqVPdiEgV9&#10;k5qKEi3Ys7wRTUX5XjHzGcCQihL147MmQyoKhrlswp9PRdE3Te+fpqKoZvXZVBTVB55JRcntnOjo&#10;U7KXpN4v01sY67jpVih0fm+0OnruDkHQ57zpkJEwOhUDewWVSrfkDs3LqxgWNnPX5XYgdHQdI+wR&#10;MczN3sTNHkQITFreSDkA9xQ/TTNpvDbqaN0QkitvyGFSzYaEAN8wKi1q6WQaYKk5WE1OiFpeJizX&#10;ltJ2hEVn8w2XA6nbsbcEVPuYWOxhcp3iSOXB4kGrJ/OW63wKn78kqbCkNMaXwth1U9BiNzHK4Wnm&#10;3EoalVjLQR2uuTHGaeGoPLhMotZKMK+6lyfPD6yIGhjHIq+3Idd9YilURW894/wiBSm+VEFouONz&#10;fBxyD8clva1JEz3piJSJcV4XppPg/chS9IfoZsPn8crqi2CR2aR/zaQ+wZ6eSjJzfFpiSltY3I5c&#10;aXJ6qTlsb30BVUiDMV4RgkEyeJOeDUYKXigs6TjY/qa3GKeo0xcNMplXJMmpt0xuavGKOOZvWUUH&#10;Bgu88XkZkimACJlHKqO38BBOw0kg4Dx1/SlrUtVIzgvWJll66u2fOBnnJ6EMFw2yiL/ZMTIsgvLJ&#10;KRcuCosLJtc48Qk0eN2mac+yS8i6L6I9wLyytbuZI08yml4MfeMtvuldsuDIDo/LjZYXyYDoEqTM&#10;hh7CMHLXkmEi/bskAenfk8ygU4Nc27ZokJR8WgtokkDlPXKK9ozKsDSEeJW0CPnDu6/n+Phftb8a&#10;+y+lh5CbKHYNYl/8aRERLrH14jR/CZGPyQZT7L6O5kuI/EuIvKmhN8XtS57DqTQa+zX5NiJtf4zS&#10;aLidyUpTeeWj5NE5JUqeOx4kYyqu9x85TD5u8mdRT2dh8uYt1uLkyWbDcTRHrz0LQf9MXNX7zQoE&#10;e9T8c1KWJKV7HcMSSaTuCgZb/gkDywbFch3DEiVgoFDOGMuYwmfHyhIlYKD2zBgXl0ZbGSs2wBMG&#10;ShpJfetjZYkS+oFeOGNwTsvlAwkl9yxRAgba2AlD79dY74clSsBAp5sxLi6NtjIfErt1AsEAu6w0&#10;2hqKXbW4O7AaEpahaILzuyWMl9xxN/9efQanlJVnF4mjSkGxKzcdxVJxYRGXfKwLFhf5ng5llz3h&#10;K00pNVnWZsgu/nQoS0VhKXalFCy7ntOxLFXsTUK/7Lrm1BRXQ4IwEHt35qR0LLu+9YD3lPj1PP9Z&#10;qnQsLxzkxp2ETUd8mvn9ckHwyXUgHVVyv1wYPNcuYAYmKAWOKh3LygvubcSBlDBf4u24YAzt+uew&#10;NdRGnJKfnuUNF0Gf3i8rALgimfPMUy7X81iOStXH9fUll4LMo4H/FPdWyhhaqvR+WQmg166t77ni&#10;B5pfMB3KCoCEhcVp7iUodumnoNjfyw3ndT0kTJFd9Cko9vdcoiieqXUUOcafxzkBxf2eu2q4wCIB&#10;xGsEq+tHPPDmpdwuiBvkJa0inM6Jaysp0B8JgWk5Rx0H+zOZmCVviYOHM5mYRWyJJ7s27bVZm5b4&#10;Ja0iqVYb25wdtZe0imRmjacl8zrhuzoK09g1BqOfyMMhXjo64ttNXF4yTzwBnNHVQZ+MHoM/T+RB&#10;30gnX3AdylbO0MWj3BN6nnz7Z06rCDL6+yozigpi510DzNJHHt3CkedxXQyJPo18HtfFIMCZnO85&#10;8x5P2k/kjut0DH5wRgq6BPFmUYVEr/h7VnPi4jXdL4kWp16zDMZ09MadnfPVx3IxsX2mTtQwkfMA&#10;uvgWf/CqEVKkQst9fjL7y/a4oJHbnMKjayIm3QFZ9KZmgnF/YccJZqA6a5EQBO7IVLizrAO5ykHu&#10;nJL3TO8c4QZy/2igOmuS4JdKKkBIk0Tec1pvB/PSck4UwIo7wHmTA5e3x2SUZSJD9Lhm9o/xKqji&#10;oV04a5Kb7eZyK4tEBi4gFedrLhwn+pgdCresjsUFjERV6NyeV8eKnthMQKKcucNVFU/sWN0PpqUg&#10;t4J3MfrgrDqWxpqpUEznFy4+wWE292FRHYtcH2IRdLR5F9WJpre5sJhTS8GIWLDkvDoW0d4smLgk&#10;zkpZXVzNSbIgwkScNUluO0HmuiSWpayi4zZzBklWIDwossyySSIQCOyOEoYjLR8BHn2DmYCkmXDf&#10;qwLij1yGNXDKNJdSIO2GvhrhahHVSytPZQNZFaOQIi2VN+gUs+ob5lrFeOUxRXe47dE/Pd07rB7b&#10;dFjyBaYUReJ0cGL5lnks17GKiBP3jMjXZ/ob/bfpyOwadESb5iJlgil801SZonRUQCaspvDZCnak&#10;pz01eagJvRmjmswiJMzL9xlBz14RkOEpws/D+p/WafQCx8f2mHR9kknk4sJflZrEsTCabsuAvYlG&#10;io9FMPtY1egTvgi55bJyMoqUlvtRl+WFSJKZ7skl9mRg1dnJYBcQD/FlyJJ7GJNSwxL1o020JuWt&#10;VGIyGZRUcvF9tqRe7jwTRkzoYHxrRpPLpm2nCDwj2m7aG7iGlWAew9vRe3xRn0khk4t1I63IfDfP&#10;JHZxya5KSd6Qmy/di0Vf8mXIxENOgXzksopMsZ3iyk74V3c1hpMfONaPnuWLkNEHuBd2Zl4GwLEQ&#10;wYckd0yTQfKkjwiLfuaLkBk+KjjFieQAcpEVTBYU++D0WKLSnAyLXufLkOWy5Fm9kCRC3zQaHBeV&#10;adOoyVQ5spNhSn/ksjZBfMQIx3emlpBXPSkQQY5ShKUgqc9BumwZX5NlqjYe4WfIB8c313BVfMjW&#10;RQqh7abiRX+zPEjaD08tIhKJlrQtCkDYF5DdiDL7KIKp2zkZ7Hpqkbwq1CnbIJoo14IHOEne9f1W&#10;NHU/J4OdGkRZko3GCB1JaVd+IYdMPppnCvaMLroM8mO3ctlO9MBany/pTmbxPTOkTmVTW/el7s5L&#10;3R1dnuk881J3RwXX55OddFtOH01E8D+y7g66wlTvk+SJ0W/vRGhzsUbUeLh5xMdkWwslc4eQYgRT&#10;iQbSUBZFSGk4qDiyA0p9EJ8cZGFzbUFi6ynFoVur1JhCgzX7Dy1TpkLVClJESOd325MFJuuZeIj5&#10;gM9JUm8lTZc3sPFF+wLji+3e7fc0TeFVHWhUG6l3tHgx6odMBlueRSaVosmMibrSQO6001oxeroq&#10;ZkRhnRB45l9MI4KU2oXM+l76b9Fvig02VTGCt8gtc8jhdojoxeUxqRZOLflhtiAa3OzhEBeny/Mi&#10;V2Suvot1QtqdezF7B0Su2solEFIXIY62VG53w9niTaVmxTQZRF76x7jMxJstjJ+NzExRhDzSUntl&#10;6fnmDxLrEZsmE8NyGOEFJCOpHMtFbvByyNUEU9OFv+cD4w8ZM6nykvzm3CByZcN0WVAuchjNyfwg&#10;LQlr13aKJYxzY+oUbg6fyolqiio/2bB5qwpfOCIg9pnbL0ixsshY2hhGs12Eq9X12eZ95faZDqFU&#10;T/Ms7Ov6TDoPNX7UVMEBQ/0U/2Im9SsXGSt04I6vOM+4rnwRC2xfaoZMLyYVTJ0MI7tnZKBOXDIH&#10;33vZ4b9FrZQlJZZn4DBaZhnZ0aZ+CemKEzIlbr2BI/5M3NaXISO25f6HiMyVIm7Z4GDA5p2GhAu7&#10;vYuPGlxSHWZeGBldpnzSlGwqfjQKgdkeS4bydAGTZEz6jeqyrvLy8RoZNjbWjQOUCrFx30QpWFy7&#10;oniSAhdrAyXZv9emTexEyt7YHrIVRZ8493nh7wkK1OShjIAFmkNGEqFcxRXb5KBsidfhzg4zJcX3&#10;WNlGL1A4dg3cMPL3xO7NLVLYdyF6QsHWaZdgJh1TKdwzGuPSDOZd8nPdvvr5V1/+8lexKy+5blc+&#10;Xe2lHIwt+vJSDub98fj4+tWrkPO5ffriw93NYf+0vz1+QamaV/vb27ub3atPFLp5xflrET49HvY3&#10;u6enu4d3n891Q6IjuDqqbv3QbDc2u7izcdTCXh9l6GdT3nD8cftBXPX/Wxlvp5dYS3hbFIaJXsTz&#10;nDrUAhfC+v0IyPj513pfaEK6gyWSDJjvh0DtmyGWhWGe7YUlWodA4zhBcPBFSaz1SG9LtA6BzjND&#10;xGKN6xCWaB0ChWKGWBaGeXagLNE6BHvsCWJRGOZZCEu0DoFKO0Po3Z4JHGWJ1iEwnmYIvc8zIV/B&#10;Eq1DuDy3cIlnUr4MAmx+swQQu1ajO2Wdqc7S3L5/+YkDZ36ndBBLVVPfjjzYtYUuBt4FSI4qyOR1&#10;JLt2tTBMAgf49LhEJLuEow8mYYoslU7Pep/sSo4+lwQkS5WKZBd0DHtKQLJUqUh2XROrJ7drJiBZ&#10;qlQku7yXhWGelWwuvy0RyeWp6R2aCbznqFKRrHhITuJ2uW2pSHa14491hWGeHT2X2ZaKZFd7uBwz&#10;IbHXpbWlAlkRkaANiCPnJLzShINLZkvBsGJBrnVvylWx4PLRUjCsQPBbELbxSwZTcOOIx+Ilg4mw&#10;6BAmvn/afHtK0/oL0hen+BwbH3wxyQOmfu2ZOLh5k4lj6NZMzffoXkqarOgBPJEHyZWOjhC0HddQ&#10;vXRyJJsjz+O0GDB3evngcktHR7Q49HCQkk6O1HDkwXBOJ0c3cOSTWZ22yl4ymE7L7SWDaeI6/f+P&#10;lIajWgNb/N8xC0cCDVV4/jMUhiHMVIXxNQnZ/iw5OnrCmp1F7OqZPQdahIPrSj9rkmMhghj0SIoc&#10;JE4xRXRPBxTR7ZMJGFTe6ZjrrEkuyBriieM1AQT+wn1uzhInUCYghWG4a0ZF4VmTWhhGh/SsiEv0&#10;COXihcIwOqKfKwxDXtCU1rXMfbq4Lgy6vQKetfiPLwvTztexnmdTRddR5ogS90u/dCM/y6binmKq&#10;NOg2vUx9im6kTDgtCxO5/qzJUBZG32WZ+hQ9SrlwoSzMJGIWCVpaFia+i9xQ687sbLBO+pLn7I/1&#10;oF04i2YmKgevvQ4nB52LK2QtoPqPJl1uVdCASnO60ji+J4zByhIapuKFDgLXdS+iKyxslPmpJ5TU&#10;lqA1Xf2cVEsEuRFhWhVGh5cK7VIrwTyNPqgwn5mwWhVGh5H4MnKfXMPkcLRRkMmxt78q2QYF5cKG&#10;qjA6jPL2PlNOLtBlSWh/zuLgbERQJiwcw/3V2lvlWNtbyki1nKwrLLEc/opVm6GXCcul/hJ3E+en&#10;4EpmC9vg35yqO5G5slg60W91ydxSFYbIGGUpSZbgVmvDNKREzFVhuHVu0VtbFSazt7YqDDWUFr3l&#10;qJ/lFaeAulZ+LKJH65LeEiNBfpMuESk55GePvMRQp0sMBbIJ0CDsWNjk2czekhNAYlnkVYKvfHCb&#10;rQpDBAnL2sJGX9clvWV7mavCELLAV9cwuS/EeYWGyZsltso+VcfXJaiEhpGfrJRwj0+totTMVIQN&#10;2bwI+5mY3xx6+tgi/y1GGsnN2QENsmWICLela6Nyw7kPo9S/q4tLOi66/Krc58bjqUX2EzjTDtmc&#10;GhiK99knivXMpraMD9HwkFNRGDpHmkTkuM1LlsRLloTnU10GJF9Rbkr1IKmz6ePL5MpQnLlhmZDl&#10;7VP/CH1kh9ct4BkedQtDAblWkzR29elIlrdvk/Aw5JhK8Loj+csuB9EgCFMPb5MBKFeMl9qH67M2&#10;SY38RxeF6chx0/5zqYTtn9UC0vtHuDipe9EgXrSoJWHi7BLUjR/R7NJaEkaFYDpeKAkjhz7sdmdN&#10;hpIw0dn5fzNLghD5GFsNnxIGawdMjAaCW7Xr5C36ncEq6Jn7gzgYpnok1GGRCo5mnmiY/LloF6Ay&#10;44zwT+eUgUz9QkvCxD1XKrF52FASJqqs3MmxqFNj8gUyYbUkjHIl2fAkYdr+hJIwsagIK5fAZveU&#10;ZA1Jchfuy4WVkjAxbRe5Nvi6c+RDhmjQ0DAJzz4MV0vCxJGy0VVepvpvKvCwHingMJkjVFJ0s4cJ&#10;GJIWgu6I9efLDtuSMJm95V5hxGxU0LGZsToN0zQ9oxjj6UkWoAKpexpKwsSZz+stChOOiDg/hO16&#10;91xTyeUI08wzGf6lJMB5euU8WLmpY6ocS1WnRU6vLQnDMHLnqO2tLQmTOchS1nQqCSOkS6X1VBKG&#10;wG2p+WSmwKYGZMLakjByz4W350WxnUrCYFiTsOVgTV5AJqwtCUNClVSkNP2xJWGIhpCYdvvUlITJ&#10;hTUlYbD5lrUxTUkYrH0cuQ7WlITJhDUlYbg2gyG17ZqSMMzs4qYRUxImE9OUhMGopuamxUQUTiVh&#10;GIZF1VndjzPhrudrpLhBVcL+7YSRIacLlXuaFjudglFaadBsl0QbaG6x5LpWXzEILym1mXVj5T4m&#10;X6PzezW+pRnEu7yEyctEMhBz8Zrw7f7hD7tbObmIYe+bu7ccjms9m/mXm2+2929ewuQ/HbaPb66e&#10;/vvj9rC72tz/Pw6Tf/Xp8d3rT+8eAwu9Y1je3938cnvc2u98/vT4elft3+/v3+4OP/0fAAAA//8D&#10;AFBLAwQUAAYACAAAACEAsNNLpeIAAAAMAQAADwAAAGRycy9kb3ducmV2LnhtbEyPTUvDQBCG74L/&#10;YRnBW7v5qpqYTSlFPRXBVhBv02SahGZ3Q3abpP/e8aTH4X1432fy9aw7MdLgWmsUhMsABJnSVq2p&#10;FXweXhdPIJxHU2FnDSm4koN1cXuTY1bZyXzQuPe14BLjMlTQeN9nUrqyIY1uaXsynJ3soNHzOdSy&#10;GnDict3JKAgepMbW8EKDPW0bKs/7i1bwNuG0icOXcXc+ba/fh9X71y4kpe7v5s0zCE+z/4PhV5/V&#10;oWCno72YyolOwSJKUkYVRI/RCgQTaZwmII6MBkkagyxy+f+J4gcAAP//AwBQSwECLQAUAAYACAAA&#10;ACEAtoM4kv4AAADhAQAAEwAAAAAAAAAAAAAAAAAAAAAAW0NvbnRlbnRfVHlwZXNdLnhtbFBLAQIt&#10;ABQABgAIAAAAIQA4/SH/1gAAAJQBAAALAAAAAAAAAAAAAAAAAC8BAABfcmVscy8ucmVsc1BLAQIt&#10;ABQABgAIAAAAIQCFyPB8SicAAMzVAAAOAAAAAAAAAAAAAAAAAC4CAABkcnMvZTJvRG9jLnhtbFBL&#10;AQItABQABgAIAAAAIQCw00ul4gAAAAwBAAAPAAAAAAAAAAAAAAAAAKQpAABkcnMvZG93bnJldi54&#10;bWxQSwUGAAAAAAQABADzAAAAsyoAAAAA&#10;" o:allowoverlap="f">
                <v:rect id="Rectangle 5" o:spid="_x0000_s1027" style="position:absolute;top:9188;width:77165;height:40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YiywAAAOEAAAAPAAAAZHJzL2Rvd25yZXYueG1sRI9BSwMx&#10;FITvgv8hPMGL2Gy3Vda1aSmWQsFStfbg8bF57i4mL0uSdld/vSkIHoeZ+YaZLQZrxIl8aB0rGI8y&#10;EMSV0y3XCg7v69sCRIjIGo1jUvBNARbzy4sZltr1/EanfaxFgnAoUUETY1dKGaqGLIaR64iT9+m8&#10;xZikr6X22Ce4NTLPsntpseW00GBHTw1VX/ujVbAO5mPbG9f7m7g7FK/PPy/5caXU9dWwfAQRaYj/&#10;4b/2RiuYTO8esryYwPlRegNy/gsAAP//AwBQSwECLQAUAAYACAAAACEA2+H2y+4AAACFAQAAEwAA&#10;AAAAAAAAAAAAAAAAAAAAW0NvbnRlbnRfVHlwZXNdLnhtbFBLAQItABQABgAIAAAAIQBa9CxbvwAA&#10;ABUBAAALAAAAAAAAAAAAAAAAAB8BAABfcmVscy8ucmVsc1BLAQItABQABgAIAAAAIQDRFDYiywAA&#10;AOEAAAAPAAAAAAAAAAAAAAAAAAcCAABkcnMvZG93bnJldi54bWxQSwUGAAAAAAMAAwC3AAAA/wIA&#10;AAAA&#10;" fillcolor="white [3212]" strokecolor="#a5a5a5 [2092]" strokeweight="1pt"/>
                <v:rect id="Rectangle 5" o:spid="_x0000_s1028" style="position:absolute;width:77165;height: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NjMyAAAAOMAAAAPAAAAZHJzL2Rvd25yZXYueG1sRE9fT8Iw&#10;EH838Ts0Z+IbdIMF2aQQlBCMb058v6znurBel7WyyaenJiQ+3u//rTajbcWZet84VpBOExDEldMN&#10;1wqOn/vJEoQPyBpbx6Tglzxs1vd3Kyy0G/iDzmWoRQxhX6ACE0JXSOkrQxb91HXEkft2vcUQz76W&#10;uschhttWzpJkIS02HBsMdvRqqDqVP1ZBuVt+zU7v+cUchmY3P5bbNH2plXp8GLfPIAKN4V98c7/p&#10;OD97yrNskc9z+PspAiDXVwAAAP//AwBQSwECLQAUAAYACAAAACEA2+H2y+4AAACFAQAAEwAAAAAA&#10;AAAAAAAAAAAAAAAAW0NvbnRlbnRfVHlwZXNdLnhtbFBLAQItABQABgAIAAAAIQBa9CxbvwAAABUB&#10;AAALAAAAAAAAAAAAAAAAAB8BAABfcmVscy8ucmVsc1BLAQItABQABgAIAAAAIQBIyNjMyAAAAOMA&#10;AAAPAAAAAAAAAAAAAAAAAAcCAABkcnMvZG93bnJldi54bWxQSwUGAAAAAAMAAwC3AAAA/AIAAAAA&#10;" fillcolor="#e5e97a" strokecolor="#a5a5a5 [2092]" strokeweight="1pt"/>
                <v:rect id="Rectangle 5" o:spid="_x0000_s1029" style="position:absolute;top:3421;width:77165;height:21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UCyQAAAOEAAAAPAAAAZHJzL2Rvd25yZXYueG1sRI/NasJA&#10;FIX3Bd9huIK7OkmwNaaOIq0FqQupdeHykrlNBjN3QmZi0rfvLApdHs4f33o72kbcqfPGsYJ0noAg&#10;Lp02XCm4fL0/5iB8QNbYOCYFP+Rhu5k8rLHQbuBPup9DJeII+wIV1CG0hZS+rMmin7uWOHrfrrMY&#10;ouwqqTsc4rhtZJYkz9Ki4fhQY0uvNZW3c28VLJb7y/4UPszRXA85pm/9NRt6pWbTcfcCItAY/sN/&#10;7YNWkCerNFs9RYZIFGlAbn4BAAD//wMAUEsBAi0AFAAGAAgAAAAhANvh9svuAAAAhQEAABMAAAAA&#10;AAAAAAAAAAAAAAAAAFtDb250ZW50X1R5cGVzXS54bWxQSwECLQAUAAYACAAAACEAWvQsW78AAAAV&#10;AQAACwAAAAAAAAAAAAAAAAAfAQAAX3JlbHMvLnJlbHNQSwECLQAUAAYACAAAACEATJ21AskAAADh&#10;AAAADwAAAAAAAAAAAAAAAAAHAgAAZHJzL2Rvd25yZXYueG1sUEsFBgAAAAADAAMAtwAAAP0CAAAA&#10;AA==&#10;" fillcolor="#fbfade" strokecolor="#a5a5a5 [2092]" strokeweight="1pt"/>
                <v:rect id="Rectangle 5" o:spid="_x0000_s1030" style="position:absolute;left:106;top:34170;width:77165;height:7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sY9ywAAAOMAAAAPAAAAZHJzL2Rvd25yZXYueG1sRI/NasJA&#10;FIX3Bd9huEJ3dZK0akgdpbQWpC5E68LlJXNNBjN3QmZi0rfvLApdHs4f32oz2kbcqfPGsYJ0loAg&#10;Lp02XCk4f38+5SB8QNbYOCYFP+Rhs548rLDQbuAj3U+hEnGEfYEK6hDaQkpf1mTRz1xLHL2r6yyG&#10;KLtK6g6HOG4bmSXJQlo0HB9qbOm9pvJ26q2Cl+X2vD2EL7M3l12O6Ud/yYZeqcfp+PYKItAY/sN/&#10;7Z1WkCXL+XO+mKeRIjJFHpDrXwAAAP//AwBQSwECLQAUAAYACAAAACEA2+H2y+4AAACFAQAAEwAA&#10;AAAAAAAAAAAAAAAAAAAAW0NvbnRlbnRfVHlwZXNdLnhtbFBLAQItABQABgAIAAAAIQBa9CxbvwAA&#10;ABUBAAALAAAAAAAAAAAAAAAAAB8BAABfcmVscy8ucmVsc1BLAQItABQABgAIAAAAIQCA4sY9ywAA&#10;AOMAAAAPAAAAAAAAAAAAAAAAAAcCAABkcnMvZG93bnJldi54bWxQSwUGAAAAAAMAAwC3AAAA/wIA&#10;AAAA&#10;" fillcolor="#fbfade" strokecolor="#a5a5a5 [2092]" strokeweight="1pt"/>
                <w10:wrap anchorx="margin" anchory="page"/>
                <w10:anchorlock/>
              </v:group>
            </w:pict>
          </mc:Fallback>
        </mc:AlternateContent>
      </w:r>
      <w:bookmarkEnd w:id="315"/>
    </w:p>
    <w:tbl>
      <w:tblPr>
        <w:tblW w:w="0" w:type="auto"/>
        <w:tblCellMar>
          <w:top w:w="113" w:type="dxa"/>
          <w:bottom w:w="113" w:type="dxa"/>
        </w:tblCellMar>
        <w:tblLook w:val="0000" w:firstRow="0" w:lastRow="0" w:firstColumn="0" w:lastColumn="0" w:noHBand="0" w:noVBand="0"/>
      </w:tblPr>
      <w:tblGrid>
        <w:gridCol w:w="669"/>
        <w:gridCol w:w="8347"/>
      </w:tblGrid>
      <w:tr w:rsidR="00D63568" w:rsidRPr="008049FC" w14:paraId="122F80EE" w14:textId="77777777">
        <w:trPr>
          <w:cantSplit/>
        </w:trPr>
        <w:tc>
          <w:tcPr>
            <w:tcW w:w="9016" w:type="dxa"/>
            <w:gridSpan w:val="2"/>
            <w:shd w:val="clear" w:color="auto" w:fill="auto"/>
          </w:tcPr>
          <w:p w14:paraId="5F7121EE" w14:textId="77777777" w:rsidR="008049FC" w:rsidRPr="008049FC" w:rsidRDefault="008049FC">
            <w:pPr>
              <w:keepNext/>
              <w:spacing w:before="40" w:after="40" w:line="240" w:lineRule="auto"/>
              <w:jc w:val="left"/>
              <w:outlineLvl w:val="4"/>
              <w:rPr>
                <w:rFonts w:ascii="Arial" w:eastAsia="Arial" w:hAnsi="Arial" w:cs="Arial"/>
                <w:b/>
                <w:bCs/>
                <w:color w:val="000000"/>
                <w:sz w:val="32"/>
                <w:szCs w:val="32"/>
              </w:rPr>
            </w:pPr>
            <w:r w:rsidRPr="008049FC">
              <w:rPr>
                <w:rFonts w:ascii="Arial" w:eastAsia="Cambria" w:hAnsi="Arial" w:cs="Arial"/>
                <w:b/>
                <w:bCs/>
                <w:color w:val="000000"/>
                <w:szCs w:val="20"/>
              </w:rPr>
              <w:br w:type="page"/>
            </w:r>
            <w:r w:rsidRPr="00830DEA">
              <w:rPr>
                <w:rFonts w:ascii="Arial" w:eastAsia="Arial" w:hAnsi="Arial" w:cs="Arial"/>
                <w:b/>
                <w:color w:val="000000"/>
                <w:sz w:val="24"/>
                <w:szCs w:val="24"/>
              </w:rPr>
              <w:t>Key findings</w:t>
            </w:r>
          </w:p>
        </w:tc>
      </w:tr>
      <w:tr w:rsidR="00D63568" w:rsidRPr="008049FC" w14:paraId="6C185916" w14:textId="77777777">
        <w:trPr>
          <w:cantSplit/>
          <w:trHeight w:val="988"/>
        </w:trPr>
        <w:tc>
          <w:tcPr>
            <w:tcW w:w="669" w:type="dxa"/>
            <w:shd w:val="clear" w:color="auto" w:fill="auto"/>
            <w:vAlign w:val="center"/>
          </w:tcPr>
          <w:p w14:paraId="4371D94B" w14:textId="77777777" w:rsidR="008049FC" w:rsidRPr="008049FC" w:rsidRDefault="00D63568">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1</w:t>
            </w:r>
          </w:p>
        </w:tc>
        <w:tc>
          <w:tcPr>
            <w:tcW w:w="8347" w:type="dxa"/>
            <w:shd w:val="clear" w:color="auto" w:fill="auto"/>
          </w:tcPr>
          <w:p w14:paraId="01A9D9E2" w14:textId="7AC7BACF" w:rsidR="00D63568" w:rsidRPr="00EE5DF2" w:rsidRDefault="00D63568">
            <w:pPr>
              <w:pStyle w:val="Bullet1"/>
              <w:ind w:left="0" w:firstLine="0"/>
              <w:jc w:val="left"/>
            </w:pPr>
            <w:r w:rsidRPr="00F537CC">
              <w:t xml:space="preserve">There is a need to increase self-determination, autonomy, and responsiveness within the IAHP and the broader health system, including through strengthening governance, shared decision-making and accountability arrangements. To support effective partnerships, there is a need to improve processes for engaging Aboriginal and Torres Strait Islander health services and communities in program and service design, and to strengthen dedicated Aboriginal and Torres Strait Islander health policy capability within the </w:t>
            </w:r>
            <w:r>
              <w:t>department</w:t>
            </w:r>
            <w:r w:rsidRPr="00F537CC">
              <w:t>. Commissioning processes then need to be adapted to enable partnerships, shared decision-making, and community-led responses. There is recent practice in adapting commissioning processes to build upon</w:t>
            </w:r>
            <w:r w:rsidRPr="002D2A02">
              <w:t>.</w:t>
            </w:r>
          </w:p>
        </w:tc>
      </w:tr>
      <w:tr w:rsidR="00D63568" w:rsidRPr="008049FC" w14:paraId="2ED92427" w14:textId="77777777">
        <w:trPr>
          <w:cantSplit/>
          <w:trHeight w:val="547"/>
        </w:trPr>
        <w:tc>
          <w:tcPr>
            <w:tcW w:w="669" w:type="dxa"/>
            <w:shd w:val="clear" w:color="auto" w:fill="auto"/>
            <w:vAlign w:val="center"/>
          </w:tcPr>
          <w:p w14:paraId="7D1EA4B7" w14:textId="77777777" w:rsidR="008049FC" w:rsidRPr="008049FC" w:rsidRDefault="00D63568">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2</w:t>
            </w:r>
          </w:p>
        </w:tc>
        <w:tc>
          <w:tcPr>
            <w:tcW w:w="8347" w:type="dxa"/>
            <w:shd w:val="clear" w:color="auto" w:fill="auto"/>
          </w:tcPr>
          <w:p w14:paraId="1BA1F24D" w14:textId="129A21C7" w:rsidR="008049FC" w:rsidRPr="008049FC" w:rsidRDefault="00D63568">
            <w:pPr>
              <w:spacing w:before="40" w:after="40" w:line="240" w:lineRule="auto"/>
              <w:jc w:val="left"/>
              <w:rPr>
                <w:rFonts w:ascii="Arial" w:eastAsia="Arial" w:hAnsi="Arial" w:cs="Times New Roman"/>
                <w:lang w:val="en-NZ"/>
              </w:rPr>
            </w:pPr>
            <w:r w:rsidRPr="00F537CC">
              <w:t>There is a need to scale up investment in the IAHP and Aboriginal and Torres Strait Islander primary health care more broadly. Increased investment needs to take account of the cost of delivery comprehensive primary health care to Aboriginal and Torres Strait Islander people and communities, health workforce requirements, and the current lack of investment applied to prevention activities</w:t>
            </w:r>
            <w:r w:rsidRPr="002D2A02">
              <w:t>.</w:t>
            </w:r>
          </w:p>
        </w:tc>
      </w:tr>
      <w:tr w:rsidR="00D63568" w:rsidRPr="008049FC" w14:paraId="3DE80FED" w14:textId="77777777">
        <w:trPr>
          <w:cantSplit/>
          <w:trHeight w:val="547"/>
        </w:trPr>
        <w:tc>
          <w:tcPr>
            <w:tcW w:w="669" w:type="dxa"/>
            <w:shd w:val="clear" w:color="auto" w:fill="auto"/>
            <w:vAlign w:val="center"/>
          </w:tcPr>
          <w:p w14:paraId="5B4CBE23" w14:textId="77777777" w:rsidR="008049FC" w:rsidRPr="008049FC" w:rsidRDefault="00D63568">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3</w:t>
            </w:r>
          </w:p>
        </w:tc>
        <w:tc>
          <w:tcPr>
            <w:tcW w:w="8347" w:type="dxa"/>
            <w:shd w:val="clear" w:color="auto" w:fill="auto"/>
          </w:tcPr>
          <w:p w14:paraId="2A2739FB" w14:textId="1F180F15" w:rsidR="008049FC" w:rsidRPr="008049FC" w:rsidRDefault="00D63568">
            <w:pPr>
              <w:spacing w:before="40" w:after="40" w:line="240" w:lineRule="auto"/>
              <w:jc w:val="left"/>
              <w:rPr>
                <w:rFonts w:ascii="Arial" w:eastAsia="Arial" w:hAnsi="Arial" w:cs="Times New Roman"/>
                <w:lang w:val="en-NZ"/>
              </w:rPr>
            </w:pPr>
            <w:r w:rsidRPr="00F537CC">
              <w:t>There is a need to strengthen the integration of the IAHP with the health system and reduce system fragmentation through supporting integrated models of care, and building processes for information sharing and collaboration</w:t>
            </w:r>
            <w:r>
              <w:t>.</w:t>
            </w:r>
          </w:p>
        </w:tc>
      </w:tr>
      <w:tr w:rsidR="00D63568" w:rsidRPr="008049FC" w14:paraId="2A434BAE" w14:textId="77777777">
        <w:trPr>
          <w:cantSplit/>
          <w:trHeight w:val="547"/>
        </w:trPr>
        <w:tc>
          <w:tcPr>
            <w:tcW w:w="669" w:type="dxa"/>
            <w:shd w:val="clear" w:color="auto" w:fill="auto"/>
            <w:vAlign w:val="center"/>
          </w:tcPr>
          <w:p w14:paraId="0AB7C45A" w14:textId="77777777" w:rsidR="008049FC" w:rsidRPr="008049FC" w:rsidRDefault="00D63568">
            <w:pPr>
              <w:spacing w:before="40" w:after="40" w:line="240" w:lineRule="auto"/>
              <w:jc w:val="center"/>
              <w:rPr>
                <w:rFonts w:ascii="Calibri" w:eastAsia="Arial" w:hAnsi="Calibri" w:cs="Calibri"/>
                <w:b/>
                <w:bCs/>
                <w:sz w:val="56"/>
                <w:szCs w:val="56"/>
                <w:lang w:val="en-NZ"/>
              </w:rPr>
            </w:pPr>
            <w:r w:rsidRPr="008049FC">
              <w:rPr>
                <w:rFonts w:ascii="Calibri" w:eastAsia="Arial" w:hAnsi="Calibri" w:cs="Calibri"/>
                <w:b/>
                <w:bCs/>
                <w:sz w:val="56"/>
                <w:szCs w:val="56"/>
                <w:lang w:val="en-NZ"/>
              </w:rPr>
              <w:t>4</w:t>
            </w:r>
          </w:p>
        </w:tc>
        <w:tc>
          <w:tcPr>
            <w:tcW w:w="8347" w:type="dxa"/>
            <w:shd w:val="clear" w:color="auto" w:fill="auto"/>
          </w:tcPr>
          <w:p w14:paraId="46F46E96" w14:textId="201278C0" w:rsidR="008049FC" w:rsidRPr="008049FC" w:rsidRDefault="002F186B">
            <w:pPr>
              <w:spacing w:before="40" w:after="40" w:line="240" w:lineRule="auto"/>
              <w:jc w:val="left"/>
              <w:rPr>
                <w:rFonts w:ascii="Arial" w:eastAsia="Arial" w:hAnsi="Arial" w:cs="Times New Roman"/>
                <w:lang w:val="en-NZ"/>
              </w:rPr>
            </w:pPr>
            <w:r w:rsidRPr="00F537CC">
              <w:t>There is a need to enhance the use of knowledge and information to reflect what Aboriginal and Torres Strait Islander communities value about health care and their needs, to track and monitor outcomes, and to support decision-making and continuous quality improvement</w:t>
            </w:r>
            <w:r w:rsidR="00D63568">
              <w:t>.</w:t>
            </w:r>
          </w:p>
        </w:tc>
      </w:tr>
    </w:tbl>
    <w:p w14:paraId="698A5780" w14:textId="77777777" w:rsidR="00153F72" w:rsidRPr="00884FAA" w:rsidRDefault="00153F72" w:rsidP="00153F72">
      <w:pPr>
        <w:pStyle w:val="Bullet1"/>
        <w:ind w:left="0" w:firstLine="0"/>
        <w:rPr>
          <w:lang w:val="en-AU"/>
        </w:rPr>
      </w:pPr>
    </w:p>
    <w:p w14:paraId="3C2B2BD9" w14:textId="77777777" w:rsidR="000513DD" w:rsidRDefault="000513DD" w:rsidP="000513DD">
      <w:bookmarkStart w:id="316" w:name="_Toc130194683"/>
      <w:bookmarkStart w:id="317" w:name="_Toc130802304"/>
      <w:bookmarkStart w:id="318" w:name="_Toc131415201"/>
      <w:bookmarkStart w:id="319" w:name="_Toc131490356"/>
      <w:bookmarkEnd w:id="316"/>
      <w:bookmarkEnd w:id="317"/>
      <w:bookmarkEnd w:id="318"/>
      <w:bookmarkEnd w:id="319"/>
    </w:p>
    <w:p w14:paraId="1AF00891" w14:textId="77777777" w:rsidR="000513DD" w:rsidRDefault="000513DD" w:rsidP="000513DD"/>
    <w:p w14:paraId="523BC566" w14:textId="4BAB8A1F" w:rsidR="009E4FDB" w:rsidRDefault="009E4FDB">
      <w:pPr>
        <w:jc w:val="left"/>
        <w:rPr>
          <w:b/>
          <w:bCs/>
          <w:color w:val="9E6047" w:themeColor="accent3"/>
          <w:sz w:val="36"/>
          <w:szCs w:val="36"/>
          <w:lang w:val="en-NZ"/>
        </w:rPr>
      </w:pPr>
    </w:p>
    <w:p w14:paraId="4AA11440" w14:textId="77777777" w:rsidR="007424A5" w:rsidRDefault="007424A5">
      <w:pPr>
        <w:jc w:val="left"/>
        <w:rPr>
          <w:b/>
          <w:bCs/>
          <w:color w:val="9E6047" w:themeColor="accent3"/>
          <w:sz w:val="36"/>
          <w:szCs w:val="36"/>
          <w:lang w:val="en-NZ"/>
        </w:rPr>
      </w:pPr>
      <w:r>
        <w:br w:type="page"/>
      </w:r>
    </w:p>
    <w:p w14:paraId="330EF28E" w14:textId="56CE7D13" w:rsidR="009E4FDB" w:rsidRDefault="009E4FDB" w:rsidP="0035030F">
      <w:pPr>
        <w:pStyle w:val="Heading2"/>
      </w:pPr>
      <w:bookmarkStart w:id="320" w:name="_Toc137208940"/>
      <w:r>
        <w:lastRenderedPageBreak/>
        <w:t>Overview</w:t>
      </w:r>
      <w:bookmarkEnd w:id="320"/>
    </w:p>
    <w:p w14:paraId="494EDE6C" w14:textId="049C6EE0" w:rsidR="009E4FDB" w:rsidRDefault="009E4FDB" w:rsidP="009E4FDB">
      <w:r w:rsidRPr="00F537CC">
        <w:t>This section examines how faster progress can be made towards improving the health and wellbeing of Aboriginal and Torres Strait Islander people (KEQ4). The section reports on what needs to change with the IAHP and what needs to change in broader policy settings and processes, and at different levels of the system</w:t>
      </w:r>
      <w:r w:rsidR="007873E7">
        <w:t>, based on participant views</w:t>
      </w:r>
      <w:r w:rsidRPr="00F537CC">
        <w:t>.</w:t>
      </w:r>
    </w:p>
    <w:p w14:paraId="2E52B7AB" w14:textId="34B1CA7E" w:rsidR="009E4FDB" w:rsidRPr="00F537CC" w:rsidRDefault="009E4FDB" w:rsidP="002B4878">
      <w:pPr>
        <w:pStyle w:val="Heading6"/>
        <w:numPr>
          <w:ilvl w:val="0"/>
          <w:numId w:val="0"/>
        </w:numPr>
      </w:pPr>
      <w:r w:rsidRPr="00F537CC">
        <w:t>Data sources</w:t>
      </w:r>
      <w:r w:rsidR="00194CF5">
        <w:t xml:space="preserve"> and methods </w:t>
      </w:r>
    </w:p>
    <w:p w14:paraId="365CDC4F" w14:textId="141D3052" w:rsidR="009E4FDB" w:rsidRPr="00F537CC" w:rsidRDefault="009E4FDB" w:rsidP="009E4FDB">
      <w:pPr>
        <w:spacing w:line="264" w:lineRule="auto"/>
      </w:pPr>
      <w:r w:rsidRPr="00F537CC">
        <w:t>This section draws on data from discussions with ACCHS and PHN site partner leaders, and with government and community-controlled representatives in state, territory, and national organisations. Data w</w:t>
      </w:r>
      <w:r w:rsidR="00121BB0">
        <w:t>ere</w:t>
      </w:r>
      <w:r w:rsidRPr="00F537CC">
        <w:t xml:space="preserve"> also generated in Collective Action for Change workshops with site partners, including site-level workshops and online workshops involving partners from across sites. This section is also informed by data generated in discussion on contribution cases that examined the contribution of the IAHP to meeting its objectives. </w:t>
      </w:r>
    </w:p>
    <w:p w14:paraId="4931D383" w14:textId="5B5698E6" w:rsidR="009E4FDB" w:rsidRPr="009E4FDB" w:rsidRDefault="009E4FDB" w:rsidP="009E4FDB">
      <w:pPr>
        <w:rPr>
          <w:lang w:val="en-NZ"/>
        </w:rPr>
      </w:pPr>
      <w:r w:rsidRPr="00F537CC">
        <w:t xml:space="preserve">Lastly, each of the </w:t>
      </w:r>
      <w:r w:rsidR="006D2482">
        <w:t>5</w:t>
      </w:r>
      <w:r w:rsidR="006D2482" w:rsidRPr="00F537CC">
        <w:t xml:space="preserve"> </w:t>
      </w:r>
      <w:r w:rsidRPr="00F537CC">
        <w:t>cross-cutting collaboratives conducted during the evaluation generated ideas on potential solutions and improvements and these have contributed to the data and findings in this section.</w:t>
      </w:r>
    </w:p>
    <w:p w14:paraId="7B4BC714" w14:textId="1C278466" w:rsidR="00153F72" w:rsidRPr="00884FAA" w:rsidRDefault="00153F72" w:rsidP="0035030F">
      <w:pPr>
        <w:pStyle w:val="Heading2"/>
      </w:pPr>
      <w:bookmarkStart w:id="321" w:name="_Toc137208941"/>
      <w:r w:rsidRPr="00884FAA">
        <w:t>Increase autonomy and responsiveness</w:t>
      </w:r>
      <w:bookmarkEnd w:id="321"/>
    </w:p>
    <w:p w14:paraId="25213497" w14:textId="2D758D03" w:rsidR="00153F72" w:rsidRPr="00884FAA" w:rsidRDefault="00153F72" w:rsidP="00153F72">
      <w:r w:rsidRPr="00884FAA">
        <w:t>Increasing self-determination, autonomy</w:t>
      </w:r>
      <w:r>
        <w:t>,</w:t>
      </w:r>
      <w:r w:rsidRPr="00884FAA">
        <w:t xml:space="preserve"> and responsiveness of the health system was a priority for many evaluation participants. People wanted changes at a governance and policy level, and improvements at the program and place-based level. Opportunities </w:t>
      </w:r>
      <w:r w:rsidR="008702F1">
        <w:t xml:space="preserve">identified </w:t>
      </w:r>
      <w:r w:rsidR="0044761F">
        <w:t xml:space="preserve">by participants </w:t>
      </w:r>
      <w:r w:rsidRPr="00884FAA">
        <w:t>to increase autonomy and responsiveness included:</w:t>
      </w:r>
    </w:p>
    <w:p w14:paraId="05EB551C" w14:textId="77777777" w:rsidR="00153F72" w:rsidRPr="00343EB2" w:rsidRDefault="00153F72" w:rsidP="00343EB2">
      <w:pPr>
        <w:numPr>
          <w:ilvl w:val="0"/>
          <w:numId w:val="19"/>
        </w:numPr>
        <w:spacing w:after="120"/>
        <w:rPr>
          <w:bCs/>
        </w:rPr>
      </w:pPr>
      <w:r w:rsidRPr="00343EB2">
        <w:rPr>
          <w:bCs/>
        </w:rPr>
        <w:t>Strengthen governance and shared decision-making arrangements, including through the establishment of a national governance and accountability mechanism for Aboriginal and Torres Strait Islander health.</w:t>
      </w:r>
    </w:p>
    <w:p w14:paraId="302CB4E4" w14:textId="23EEFACD" w:rsidR="00153F72" w:rsidRPr="00343EB2" w:rsidRDefault="00153F72" w:rsidP="00343EB2">
      <w:pPr>
        <w:numPr>
          <w:ilvl w:val="0"/>
          <w:numId w:val="19"/>
        </w:numPr>
        <w:spacing w:after="120"/>
        <w:rPr>
          <w:bCs/>
        </w:rPr>
      </w:pPr>
      <w:r w:rsidRPr="00343EB2">
        <w:rPr>
          <w:bCs/>
        </w:rPr>
        <w:t xml:space="preserve">Strengthen dedicated Indigenous health policy capability within the </w:t>
      </w:r>
      <w:r w:rsidR="00107831" w:rsidRPr="00343EB2">
        <w:rPr>
          <w:bCs/>
        </w:rPr>
        <w:t>department</w:t>
      </w:r>
      <w:r w:rsidRPr="00343EB2">
        <w:rPr>
          <w:bCs/>
        </w:rPr>
        <w:t>.</w:t>
      </w:r>
    </w:p>
    <w:p w14:paraId="3E245EA1" w14:textId="300FB5EF" w:rsidR="00153F72" w:rsidRPr="00343EB2" w:rsidRDefault="00153F72" w:rsidP="00343EB2">
      <w:pPr>
        <w:numPr>
          <w:ilvl w:val="0"/>
          <w:numId w:val="19"/>
        </w:numPr>
        <w:spacing w:after="120"/>
        <w:rPr>
          <w:bCs/>
        </w:rPr>
      </w:pPr>
      <w:r w:rsidRPr="00343EB2">
        <w:rPr>
          <w:bCs/>
        </w:rPr>
        <w:t>Support engagement by health services and communities in program and service design.</w:t>
      </w:r>
    </w:p>
    <w:p w14:paraId="144F0B20" w14:textId="77777777" w:rsidR="00153F72" w:rsidRPr="00343EB2" w:rsidRDefault="00153F72" w:rsidP="00343EB2">
      <w:pPr>
        <w:numPr>
          <w:ilvl w:val="0"/>
          <w:numId w:val="19"/>
        </w:numPr>
        <w:spacing w:after="120"/>
        <w:rPr>
          <w:bCs/>
        </w:rPr>
      </w:pPr>
      <w:r w:rsidRPr="00343EB2">
        <w:rPr>
          <w:bCs/>
        </w:rPr>
        <w:t xml:space="preserve">Align commissioning processes. </w:t>
      </w:r>
    </w:p>
    <w:p w14:paraId="376A8CCA" w14:textId="77777777" w:rsidR="00153F72" w:rsidRPr="00884FAA" w:rsidRDefault="00153F72" w:rsidP="00153F72">
      <w:r w:rsidRPr="00884FAA">
        <w:t xml:space="preserve">The National Agreement on Closing the Gap is driving a new approach which requires </w:t>
      </w:r>
      <w:r>
        <w:t xml:space="preserve">that </w:t>
      </w:r>
      <w:r w:rsidRPr="00884FAA">
        <w:t xml:space="preserve">policy that impacts on the lives of Aboriginal and Torres Strait Islander people is made in full and genuine partnership. It includes commitments to build and strengthen structures that empower Aboriginal and Torres Strait Islander people to share decision-making authority with governments to accelerate policy and place-based progress against Closing the Gap. Notably, change to increase the autonomy and responsiveness of the system through a stronger partnership approach is well aligned with the Closing the Gap commitments with several people commenting that ‘the time was right’. </w:t>
      </w:r>
    </w:p>
    <w:p w14:paraId="0DA7E3C6" w14:textId="77777777" w:rsidR="00153F72" w:rsidRPr="00884FAA" w:rsidRDefault="00153F72" w:rsidP="00651D06">
      <w:pPr>
        <w:pStyle w:val="Heading3"/>
      </w:pPr>
      <w:r w:rsidRPr="00884FAA">
        <w:lastRenderedPageBreak/>
        <w:t>Strengthen governance and policy mechanisms</w:t>
      </w:r>
    </w:p>
    <w:p w14:paraId="7CD9D3DB" w14:textId="2B19021B" w:rsidR="00153F72" w:rsidRPr="00884FAA" w:rsidRDefault="00153F72" w:rsidP="00153F72">
      <w:r w:rsidRPr="00884FAA">
        <w:t xml:space="preserve">Within a context of significant history of partnership, recent experience in shared decision-making, and the opportunity for a reset, evaluation participants shared ideas on how national governance and policy mechanisms could build on existing partnerships and move towards </w:t>
      </w:r>
      <w:r w:rsidR="00241A1E">
        <w:t xml:space="preserve">genuine </w:t>
      </w:r>
      <w:r w:rsidRPr="00884FAA">
        <w:t xml:space="preserve">shared decision-making, consistent with Closing the Gap </w:t>
      </w:r>
      <w:r w:rsidR="0044761F">
        <w:t>P</w:t>
      </w:r>
      <w:r w:rsidRPr="00884FAA">
        <w:t xml:space="preserve">riority </w:t>
      </w:r>
      <w:r w:rsidR="0044761F">
        <w:t>R</w:t>
      </w:r>
      <w:r w:rsidRPr="00884FAA">
        <w:t>eforms.</w:t>
      </w:r>
      <w:r w:rsidR="00AA35E2">
        <w:t xml:space="preserve"> </w:t>
      </w:r>
    </w:p>
    <w:p w14:paraId="4BA169DA" w14:textId="17A9D308" w:rsidR="00153F72" w:rsidRPr="00884FAA" w:rsidRDefault="00153F72" w:rsidP="00153F72">
      <w:r w:rsidRPr="00884FAA">
        <w:t xml:space="preserve">Participants identified the governance arrangements put in place during the COVID-19 response as a valuable example of driving better outcomes for Aboriginal and Torres Strait Islander people through close partnership and collaboration between community organisations and government agencies. Participants also noted a lack of dedicated national partnership mechanisms for Aboriginal and Torres Strait Islander PHC and for the IAHP. </w:t>
      </w:r>
    </w:p>
    <w:p w14:paraId="0A669C40" w14:textId="45A316CE" w:rsidR="00153F72" w:rsidRPr="00884FAA" w:rsidRDefault="00153F72" w:rsidP="00153F72">
      <w:r w:rsidRPr="00884FAA">
        <w:t xml:space="preserve">There is work underway to refresh governance arrangements for Aboriginal and Torres Strait Islander health. New governance and accountability mechanisms under the National Aboriginal and Torres Strait Islander Health Plan </w:t>
      </w:r>
      <w:r w:rsidR="00543A07">
        <w:t>are in development</w:t>
      </w:r>
      <w:r w:rsidR="005C3414">
        <w:t xml:space="preserve">. </w:t>
      </w:r>
    </w:p>
    <w:p w14:paraId="1D8504BD" w14:textId="434290F0" w:rsidR="00153F72" w:rsidRPr="00884FAA" w:rsidRDefault="007C62EF" w:rsidP="00153F72">
      <w:r>
        <w:t>The</w:t>
      </w:r>
      <w:r w:rsidR="00153F72" w:rsidRPr="00884FAA">
        <w:t xml:space="preserve"> Aboriginal and Torres Strait Islander community-controlled health sector continue</w:t>
      </w:r>
      <w:r w:rsidR="00153F72">
        <w:t>s</w:t>
      </w:r>
      <w:r w:rsidR="00153F72" w:rsidRPr="00884FAA">
        <w:t xml:space="preserve"> to demonstrate leadership in national, state</w:t>
      </w:r>
      <w:r w:rsidR="00153F72">
        <w:t>,</w:t>
      </w:r>
      <w:r w:rsidR="00153F72" w:rsidRPr="00884FAA">
        <w:t xml:space="preserve"> and territory governance mechanisms supporting the implementation of Closing the Gap </w:t>
      </w:r>
      <w:r w:rsidR="00DD1802">
        <w:t>Priority R</w:t>
      </w:r>
      <w:r w:rsidR="00153F72" w:rsidRPr="00884FAA">
        <w:t>eforms, through NACCHO and state and territory affiliates.</w:t>
      </w:r>
    </w:p>
    <w:p w14:paraId="13139710" w14:textId="6E280668" w:rsidR="00153F72" w:rsidRPr="00884FAA" w:rsidRDefault="00153F72" w:rsidP="00153F72">
      <w:r w:rsidRPr="00884FAA">
        <w:t>Th</w:t>
      </w:r>
      <w:r w:rsidR="00820987">
        <w:t>e absence</w:t>
      </w:r>
      <w:r w:rsidRPr="00884FAA">
        <w:t xml:space="preserve"> of dedicated governance processes to support and facilitate shared decision-making prompted support from a number of evaluation participants to establish specific national governance arrangements for the IAHP</w:t>
      </w:r>
      <w:r w:rsidR="00996740">
        <w:t xml:space="preserve"> program as a whole</w:t>
      </w:r>
      <w:r w:rsidRPr="00884FAA">
        <w:t xml:space="preserve">. This is because of a perceived lack of government accountability and transparency across the IAHP and </w:t>
      </w:r>
      <w:r>
        <w:t>Aboriginal and Torres Strait Islander</w:t>
      </w:r>
      <w:r w:rsidRPr="00884FAA">
        <w:t xml:space="preserve"> health more generally. </w:t>
      </w:r>
    </w:p>
    <w:p w14:paraId="7196F077" w14:textId="71BF63F3" w:rsidR="00153F72" w:rsidRPr="00884FAA" w:rsidRDefault="006E3C45" w:rsidP="00153F72">
      <w:r>
        <w:t>Evaluation participants i</w:t>
      </w:r>
      <w:r w:rsidR="00153F72">
        <w:t>dentified a need</w:t>
      </w:r>
      <w:r w:rsidR="00153F72" w:rsidRPr="00884FAA">
        <w:t xml:space="preserve"> for the establishment of a national governance and accountability mechanism that sits over the IAHP. Ideas for the features and functions of the mechanism included:</w:t>
      </w:r>
    </w:p>
    <w:p w14:paraId="4693F326" w14:textId="77777777" w:rsidR="00153F72" w:rsidRPr="00343EB2" w:rsidRDefault="00153F72" w:rsidP="00343EB2">
      <w:pPr>
        <w:numPr>
          <w:ilvl w:val="0"/>
          <w:numId w:val="19"/>
        </w:numPr>
        <w:spacing w:after="120"/>
        <w:rPr>
          <w:bCs/>
        </w:rPr>
      </w:pPr>
      <w:r w:rsidRPr="00343EB2">
        <w:rPr>
          <w:bCs/>
        </w:rPr>
        <w:t>Oversight of IAHP funding and responsibility for holding the government and funded organisations to account for program outcomes.</w:t>
      </w:r>
    </w:p>
    <w:p w14:paraId="34E3E4A1" w14:textId="77777777" w:rsidR="00153F72" w:rsidRPr="00343EB2" w:rsidRDefault="00153F72" w:rsidP="00343EB2">
      <w:pPr>
        <w:numPr>
          <w:ilvl w:val="0"/>
          <w:numId w:val="19"/>
        </w:numPr>
        <w:spacing w:after="120"/>
        <w:rPr>
          <w:bCs/>
        </w:rPr>
      </w:pPr>
      <w:r w:rsidRPr="00343EB2">
        <w:rPr>
          <w:bCs/>
        </w:rPr>
        <w:t>Operating in an advisory capacity in its initial stages, while still bringing essential transparency and accountability. Power for decision-making functions could be transferred over time.</w:t>
      </w:r>
    </w:p>
    <w:p w14:paraId="25C6B694" w14:textId="4932FFDE" w:rsidR="00153F72" w:rsidRPr="00343EB2" w:rsidRDefault="00153F72" w:rsidP="00343EB2">
      <w:pPr>
        <w:numPr>
          <w:ilvl w:val="0"/>
          <w:numId w:val="19"/>
        </w:numPr>
        <w:spacing w:after="120"/>
        <w:rPr>
          <w:bCs/>
        </w:rPr>
      </w:pPr>
      <w:r w:rsidRPr="00343EB2">
        <w:rPr>
          <w:bCs/>
        </w:rPr>
        <w:t>Making national-level decisions on program resource allocations, such as how TIS program funding should be distributed.</w:t>
      </w:r>
    </w:p>
    <w:p w14:paraId="5357072F" w14:textId="77777777" w:rsidR="00153F72" w:rsidRPr="00884FAA" w:rsidRDefault="00153F72" w:rsidP="00153F72">
      <w:r w:rsidRPr="00884FAA">
        <w:t xml:space="preserve">Participants generally thought the mandate of a governance and accountability mechanism should extend beyond the IAHP and include oversight of all Aboriginal and Torres Strait Islander targeted PHC expenditure, including from state and territory governments. Some suggested it should also function as the governance and accountability mechanism for the Health Plan and, potentially, other strategies and plans such as the Health Sector Strengthening Plan and the National Aboriginal and Torres Strait Islander Health Workforce Strategic Framework and Implementation Plan. These participants commented on the general lack of clear accountability for the delivery of outcomes under these plans, particularly at a </w:t>
      </w:r>
      <w:r w:rsidRPr="00884FAA">
        <w:lastRenderedPageBreak/>
        <w:t xml:space="preserve">state and territory level. Similarly, participants said a national governance and accountability mechanism could also monitor and report on the status of the implementation of recommendations, including the recommendations made by evaluations and other review processes (including this evaluation). </w:t>
      </w:r>
    </w:p>
    <w:p w14:paraId="4CBB717C" w14:textId="77777777" w:rsidR="00153F72" w:rsidRPr="00884FAA" w:rsidRDefault="00153F72" w:rsidP="00153F72">
      <w:r w:rsidRPr="00884FAA">
        <w:t>Participants shared ideas around the form of a governance and accountability mechanism or group:</w:t>
      </w:r>
    </w:p>
    <w:p w14:paraId="4DFD92F7" w14:textId="77777777" w:rsidR="00153F72" w:rsidRPr="00343EB2" w:rsidRDefault="00153F72" w:rsidP="00343EB2">
      <w:pPr>
        <w:numPr>
          <w:ilvl w:val="0"/>
          <w:numId w:val="19"/>
        </w:numPr>
        <w:spacing w:after="120"/>
        <w:rPr>
          <w:bCs/>
        </w:rPr>
      </w:pPr>
      <w:r w:rsidRPr="00343EB2">
        <w:rPr>
          <w:bCs/>
        </w:rPr>
        <w:t>Establishing a tripartite national forum similar to the state and territory Health Partnership Forums with representation from the community-controlled sector, the department, and state and territory health departments. It was seen as critical to have both tiers of government at the table to bring transparency, accountability and enable system coherence. Some participants felt that the NIAA needed to be at the table too, given its funding for health and wellbeing services.</w:t>
      </w:r>
    </w:p>
    <w:p w14:paraId="13FBDD4F" w14:textId="77777777" w:rsidR="00153F72" w:rsidRPr="00343EB2" w:rsidRDefault="00153F72" w:rsidP="00343EB2">
      <w:pPr>
        <w:numPr>
          <w:ilvl w:val="0"/>
          <w:numId w:val="19"/>
        </w:numPr>
        <w:spacing w:after="120"/>
        <w:rPr>
          <w:bCs/>
        </w:rPr>
      </w:pPr>
      <w:r w:rsidRPr="00343EB2">
        <w:rPr>
          <w:bCs/>
        </w:rPr>
        <w:t>Establishing an independent body such as an Aboriginal Productivity Commission which had a wider remit (beyond health): ‘We need an Aboriginal specific one if we are really serious about closing the gap and doing the right thing’.</w:t>
      </w:r>
    </w:p>
    <w:p w14:paraId="4065CF6E" w14:textId="77777777" w:rsidR="00153F72" w:rsidRPr="00884FAA" w:rsidRDefault="00153F72" w:rsidP="00153F72">
      <w:r w:rsidRPr="00884FAA">
        <w:t>Participants also reflected on the effectiveness of the COVID-19 response and suggested that a national governance and accountability mechanism could include sub-groups (</w:t>
      </w:r>
      <w:r>
        <w:t>for example,</w:t>
      </w:r>
      <w:r w:rsidRPr="00884FAA">
        <w:t xml:space="preserve"> advisory groups or working groups) with responsibility for specific issues such as disease outbreaks and workforce that could provide advice and report to the national governance and accountability mechanism.</w:t>
      </w:r>
    </w:p>
    <w:p w14:paraId="1CD37D7D" w14:textId="70683395" w:rsidR="00153F72" w:rsidRPr="00884FAA" w:rsidRDefault="00153F72" w:rsidP="00153F72">
      <w:r w:rsidRPr="00884FAA">
        <w:t xml:space="preserve">Participants from the department recognised the need to rebuild governance around the IAHP and more broadly. They acknowledged current inconsistency in how far government shared decision-making with the community-controlled sector, often reflecting the strength and assertiveness in the sector. They recognised that this approach was not good enough. </w:t>
      </w:r>
    </w:p>
    <w:p w14:paraId="1422C124" w14:textId="77777777" w:rsidR="00153F72" w:rsidRPr="00884FAA" w:rsidRDefault="00153F72" w:rsidP="00153F72">
      <w:r w:rsidRPr="00884FAA">
        <w:rPr>
          <w:noProof/>
        </w:rPr>
        <w:lastRenderedPageBreak/>
        <mc:AlternateContent>
          <mc:Choice Requires="wps">
            <w:drawing>
              <wp:inline distT="0" distB="0" distL="0" distR="0" wp14:anchorId="3D9FA005" wp14:editId="51153C7B">
                <wp:extent cx="5689820" cy="8291017"/>
                <wp:effectExtent l="19050" t="19050" r="25400" b="15240"/>
                <wp:docPr id="34" name="Freeform: Shape 34" descr="Text box - 'Promising Practic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8291017"/>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69A16E89" w14:textId="77777777" w:rsidR="00153F72" w:rsidRPr="0058387D" w:rsidRDefault="00153F72" w:rsidP="00153F72">
                            <w:pPr>
                              <w:pStyle w:val="NoSpacing"/>
                              <w:spacing w:before="240"/>
                              <w:rPr>
                                <w:b/>
                                <w:bCs/>
                                <w:color w:val="1A3E5F" w:themeColor="accent1" w:themeShade="80"/>
                              </w:rPr>
                            </w:pPr>
                            <w:r w:rsidRPr="0058387D">
                              <w:rPr>
                                <w:b/>
                                <w:bCs/>
                                <w:color w:val="1A3E5F" w:themeColor="accent1" w:themeShade="80"/>
                              </w:rPr>
                              <w:t>Example of promising practice – Community-led response to COVID-19</w:t>
                            </w:r>
                          </w:p>
                          <w:p w14:paraId="711A72CE" w14:textId="77777777" w:rsidR="00153F72" w:rsidRPr="00032592" w:rsidRDefault="00153F72" w:rsidP="00153F72">
                            <w:pPr>
                              <w:pStyle w:val="NoSpacing"/>
                            </w:pPr>
                            <w:r w:rsidRPr="00032592">
                              <w:t>The partnership set up to respond to COVID-19, through establishing the Aboriginal and Torres Strait Islander Advisory Group on COVID-19, offers promising insights on shared decision-making, accountability</w:t>
                            </w:r>
                            <w:r>
                              <w:t>,</w:t>
                            </w:r>
                            <w:r w:rsidRPr="00032592">
                              <w:t xml:space="preserve"> and transparency. The group was co-chaired by NACCHO and the department, and included membership from the ACCHS sector, state and territory government representatives, and Aboriginal and Torres Strait Islander communicable disease experts. The group’s advice was conveyed through the Australian Health Protection Principal Committee (AHPPC) to National Cabinet.</w:t>
                            </w:r>
                          </w:p>
                          <w:p w14:paraId="1EB33E67" w14:textId="77777777" w:rsidR="00153F72" w:rsidRPr="00032592" w:rsidRDefault="00153F72" w:rsidP="00153F72">
                            <w:pPr>
                              <w:pStyle w:val="NoSpacing"/>
                            </w:pPr>
                            <w:r w:rsidRPr="00032592">
                              <w:t xml:space="preserve">The </w:t>
                            </w:r>
                            <w:r>
                              <w:t xml:space="preserve">evaluation </w:t>
                            </w:r>
                            <w:r w:rsidRPr="00032592">
                              <w:t>collaborative on the COVID-19 response found that the Aboriginal and Torres Strait Islander Advisory Group on COVID-19</w:t>
                            </w:r>
                            <w:r>
                              <w:t xml:space="preserve"> </w:t>
                            </w:r>
                            <w:r w:rsidRPr="00032592">
                              <w:t>mobilised the right mix of capability, bringing together cultural authority, ACCHS leadership, public health expertise, state and territory expertise</w:t>
                            </w:r>
                            <w:r>
                              <w:t>,</w:t>
                            </w:r>
                            <w:r w:rsidRPr="00032592">
                              <w:t xml:space="preserve"> and knowledge of the policy-making and cabinet processes. Participation of Australian, state and territory governments, and the ACCHS sector meant everyone heard one consistent message in a safe place. This approach supported discussion and debate and the building of a collective voice to address specific health issues</w:t>
                            </w:r>
                            <w:r>
                              <w:t xml:space="preserve">. (Note, </w:t>
                            </w:r>
                            <w:r>
                              <w:rPr>
                                <w:lang w:val="en-AU"/>
                              </w:rPr>
                              <w:t>b</w:t>
                            </w:r>
                            <w:r w:rsidRPr="00745131">
                              <w:rPr>
                                <w:lang w:val="en-AU"/>
                              </w:rPr>
                              <w:t>ecause of the small number of participants interviewed for this collaborative (n=10), care has been taken not to identify participants in the quotations</w:t>
                            </w:r>
                            <w:r>
                              <w:t>)</w:t>
                            </w:r>
                            <w:r w:rsidRPr="00032592">
                              <w:t>.</w:t>
                            </w:r>
                          </w:p>
                          <w:p w14:paraId="5D6DA8BE" w14:textId="77777777" w:rsidR="00153F72" w:rsidRPr="00A1178E" w:rsidRDefault="00153F72" w:rsidP="009432A8">
                            <w:pPr>
                              <w:pStyle w:val="Quote"/>
                              <w:spacing w:before="240" w:after="240"/>
                              <w:ind w:left="709" w:right="142"/>
                              <w:rPr>
                                <w:color w:val="18525E" w:themeColor="accent5" w:themeShade="80"/>
                                <w:sz w:val="21"/>
                                <w:szCs w:val="21"/>
                              </w:rPr>
                            </w:pPr>
                            <w:r w:rsidRPr="00A1178E">
                              <w:rPr>
                                <w:color w:val="18525E" w:themeColor="accent5" w:themeShade="80"/>
                                <w:sz w:val="21"/>
                                <w:szCs w:val="21"/>
                              </w:rPr>
                              <w:t>That level of transparency is where the [community controlled] sector want us to get – with state and Commonwealth working together in alignment and not pulling the poor ACCHO in the middle in different directions or having to feel like they have to duplicate or an extra burden of reporting.</w:t>
                            </w:r>
                          </w:p>
                          <w:p w14:paraId="52EF6B1F" w14:textId="77777777" w:rsidR="00153F72" w:rsidRPr="00A1178E" w:rsidRDefault="00153F72" w:rsidP="009432A8">
                            <w:pPr>
                              <w:pStyle w:val="Quote"/>
                              <w:spacing w:before="240" w:after="240"/>
                              <w:ind w:left="709" w:right="142"/>
                              <w:rPr>
                                <w:color w:val="18525E" w:themeColor="accent5" w:themeShade="80"/>
                                <w:sz w:val="21"/>
                                <w:szCs w:val="21"/>
                              </w:rPr>
                            </w:pPr>
                            <w:r w:rsidRPr="00A1178E">
                              <w:rPr>
                                <w:color w:val="18525E" w:themeColor="accent5" w:themeShade="80"/>
                                <w:sz w:val="21"/>
                                <w:szCs w:val="21"/>
                              </w:rPr>
                              <w:t>Grateful for the advisory group providing collective voice otherwise we are just a very small voice in a much larger space. Previously it has been separate conversations: NACCHO will have a conversation with commonwealth, commonwealth will have a conversation with state, etc. This was everyone together and it was very welcome.</w:t>
                            </w:r>
                          </w:p>
                          <w:p w14:paraId="45ED65E5" w14:textId="77777777" w:rsidR="00153F72" w:rsidRPr="00A1178E" w:rsidRDefault="00153F72" w:rsidP="009432A8">
                            <w:pPr>
                              <w:pStyle w:val="Quote"/>
                              <w:spacing w:before="240" w:after="360"/>
                              <w:ind w:left="709"/>
                              <w:rPr>
                                <w:color w:val="18525E" w:themeColor="accent5" w:themeShade="80"/>
                                <w:sz w:val="21"/>
                                <w:szCs w:val="21"/>
                              </w:rPr>
                            </w:pPr>
                            <w:r w:rsidRPr="00A1178E">
                              <w:rPr>
                                <w:color w:val="18525E" w:themeColor="accent5" w:themeShade="80"/>
                                <w:sz w:val="21"/>
                                <w:szCs w:val="21"/>
                              </w:rPr>
                              <w:t xml:space="preserve">Although led at the national level, we had everyone in the room – NACCHO and affiliates and state representatives. We didn’t really get lost in ‘that’s a federal responsibility or that’s a state responsibility’ because we were all there. It was like </w:t>
                            </w:r>
                            <w:r w:rsidRPr="00A1178E">
                              <w:rPr>
                                <w:i/>
                                <w:color w:val="18525E" w:themeColor="accent5" w:themeShade="80"/>
                                <w:sz w:val="21"/>
                                <w:szCs w:val="21"/>
                              </w:rPr>
                              <w:t>‘let’s just have the discussion’</w:t>
                            </w:r>
                            <w:r w:rsidRPr="00A1178E">
                              <w:rPr>
                                <w:color w:val="18525E" w:themeColor="accent5" w:themeShade="80"/>
                                <w:sz w:val="21"/>
                                <w:szCs w:val="21"/>
                              </w:rPr>
                              <w:t xml:space="preserve">. </w:t>
                            </w:r>
                          </w:p>
                          <w:p w14:paraId="3F6ACFAB" w14:textId="77777777" w:rsidR="00153F72" w:rsidRPr="00032592" w:rsidRDefault="00153F72" w:rsidP="00153F72">
                            <w:pPr>
                              <w:pStyle w:val="NoSpacing"/>
                              <w:rPr>
                                <w:lang w:val="en-AU"/>
                              </w:rPr>
                            </w:pPr>
                            <w:r w:rsidRPr="00032592">
                              <w:t>Aboriginal and Torres Strait Islander Advisory Group on COVID-19 participants reported experiencing unprecedented levels</w:t>
                            </w:r>
                            <w:r w:rsidRPr="00032592">
                              <w:rPr>
                                <w:lang w:val="en-AU"/>
                              </w:rPr>
                              <w:t xml:space="preserve"> of cooperation between governments and the community-controlled sector, including shared decision-making, power-sharing</w:t>
                            </w:r>
                            <w:r>
                              <w:rPr>
                                <w:lang w:val="en-AU"/>
                              </w:rPr>
                              <w:t>,</w:t>
                            </w:r>
                            <w:r w:rsidRPr="00032592">
                              <w:rPr>
                                <w:lang w:val="en-AU"/>
                              </w:rPr>
                              <w:t xml:space="preserve"> and two-way communication. This way of working activated Aboriginal and Torres Strait Islander self-determination, Indigenous leadership and empowerment, creating opportunities for Aboriginal and Torres Strait Islander people to define the issues, determine the priorities</w:t>
                            </w:r>
                            <w:r>
                              <w:rPr>
                                <w:lang w:val="en-AU"/>
                              </w:rPr>
                              <w:t>,</w:t>
                            </w:r>
                            <w:r w:rsidRPr="00032592">
                              <w:rPr>
                                <w:lang w:val="en-AU"/>
                              </w:rPr>
                              <w:t xml:space="preserve"> and make recommendations in a culturally appropriate governance structure.</w:t>
                            </w:r>
                          </w:p>
                          <w:p w14:paraId="7FADA5EA" w14:textId="77777777" w:rsidR="00153F72" w:rsidRPr="00A1178E" w:rsidRDefault="00153F72" w:rsidP="009432A8">
                            <w:pPr>
                              <w:pStyle w:val="Quote"/>
                              <w:spacing w:before="360" w:after="120"/>
                              <w:ind w:left="709"/>
                              <w:rPr>
                                <w:color w:val="18525E" w:themeColor="accent5" w:themeShade="80"/>
                                <w:sz w:val="21"/>
                                <w:szCs w:val="21"/>
                              </w:rPr>
                            </w:pPr>
                            <w:r w:rsidRPr="00A1178E">
                              <w:rPr>
                                <w:color w:val="18525E" w:themeColor="accent5" w:themeShade="80"/>
                                <w:sz w:val="21"/>
                                <w:szCs w:val="21"/>
                              </w:rPr>
                              <w:t>In a way, the Advisory Group was an early adopter of the – yet to be signed – Closing the Gap framework, for example, shared decision-making, community control, using data to inform decisions, and affecting mainstream systems. We were already incorporating this into the advisory group and pandemic response.</w:t>
                            </w:r>
                          </w:p>
                        </w:txbxContent>
                      </wps:txbx>
                      <wps:bodyPr rot="0" vert="horz" wrap="square" lIns="91440" tIns="45720" rIns="91440" bIns="45720" anchor="t" anchorCtr="0" upright="1">
                        <a:noAutofit/>
                      </wps:bodyPr>
                    </wps:wsp>
                  </a:graphicData>
                </a:graphic>
              </wp:inline>
            </w:drawing>
          </mc:Choice>
          <mc:Fallback>
            <w:pict>
              <v:shape w14:anchorId="3D9FA005" id="Freeform: Shape 34" o:spid="_x0000_s1094" alt="Text box - 'Promising Practice'" style="width:448pt;height:652.8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dA09RMAAMtlAAAOAAAAZHJzL2Uyb0RvYy54bWysXWtvIzty/R4g/0HwxwR73ST7ObhzF/vI&#10;BgE22QVW+wM0tjw2YluOpHnc/fU5RVa1mz1kVSPIl2lrVCKLdVjFOkVS+vm331+ed1+P58vT6fXj&#10;jfupudkdX+9O90+vnz/e/H3/p9+MN7vL9fB6f3g+vR4/3vx6vNz89pd//qefv719OPrT4+n5/nje&#10;oZHXy4dvbx9vHq/Xtw+3t5e7x+PL4fLT6e34ijcfTueXwxUvz59v78+Hb2j95fnWN01/++10vn87&#10;n+6Olwv+94/pzZtfYvsPD8e7618eHi7H6+754w10u8Z/z/HfT/Tv7S8/Hz58Ph/eHp/uWI3D/0GL&#10;l8PTKzqdm/rj4XrYfTk//dDUy9Pd+XQ5PVx/uju93J4eHp7ujnEMGI1rVqP52+Ph7RjHAuNc3mYz&#10;Xf7/mr37r69/e/vrmVS/vP35dPffF1jk9tvb5cP8Dr24QGb36dt/nu6B4eHL9RQH+/3h/EKfxDB2&#10;36NNf51tevx+3d3hP7t+nEYP09/hvdFPrnEDWf328EE+fvflcv334yk2dfj658s1gXKPv6JJ73ev&#10;hxf0u0crDy/PwOdff7Nrdm5shp0Lw8QgzmJOxP7ldrdvdt92kwv9WsiLUGpr8js3ubVQECG05CDy&#10;uAv9IJNm7q8VqdiU9z3aKqjViRip1VbU6kWI23IltQYRQkveu4pa8LyFtfzQtkW1JhEjtcaKWi43&#10;PXVaMJdbWr6umMttH3zoipq5pfn3ztd0W9m/wzh/hNItze8hU8bS5QCEvqvMsSUGe9fXdFuB0ISi&#10;bksMPGTKupEXLRBtXTMV7eaXMOx91QNyGLwv2s0vQSCZim45CG3XY4YUnMAvYdijuYp35jB48vQf&#10;MfVLEEimolsOQjsNQKGk2xKGva/5Qshh8L4cOpYgkExZt5CD0LUTAltBt7CEYR9qvhByGDzAL9gt&#10;LEEgmYpuOQjd5Mq+EJYw7EPNF0IOg5vGom5LEEimrFubg9CHylrQLmHYtzVfaHMYKnZrlyDU7dbm&#10;IPQjzZACpu0Shj3Cc9kX2hwGH4q+0C5BIJmK3XIQBj8ChZJuSxj2bc0XuhwGjyBdmG/dEgSSKevW&#10;5SAMQ8UXuiUM+67mC10Og3dYZX6MId0SBJKp6JaDMPq2L9qtW8Kw72q+0OUwIGco6rYEgWTKuvU5&#10;CGPflWNvv4Rh39d8oc9h8AGrzI9265cgkExFtxyEqRnKduuXMOz7mi/0OQyeVsCCbksQSKaiWw7C&#10;hEWriGm/hGHf13wBieFyefZNcT0dliCQTFm3IQdhmuCCJT8dljDsh5ovDDkMPhRj77AEgWQquuUg&#10;uKYdyonIsMRhD+TLAW7IcagEX+T5bN6Y9dYWrTFHwTVdU84uxyUQ+7HmDWMORB+KqI5LGEimbLkx&#10;h6FuuXGJxH6sucO4QsLRLPnRH8YlDo6EKurlQEC9CmcYl1jssYSUgZ1WWHRjcemCwu/IOhIqqzfl&#10;UNShnZZo7MHbKurlaPhmLEaTaYlFFKqotwIDblH22WkJx36qucWUowHOUlwkpiUWUaisnmtWaDQt&#10;jbew9oOiLwDZ44MVA7omR8RPSEwL8881S0CiVE3HHBLMQCzvZR2XqEDHmou4JoclhKHMXZslKlGq&#10;pmOOCwZXwRn8LLdjzU/cil6H0Zd5Ykawo1RFxxXFnkas9kUzrjh2nWS7HBl0XkynXMazo1RNxRwX&#10;rL4VpFEveg8Pe1fn2i4HJoyuGKudW8ISpSoqrgg3ClnlpcTljNtVKbfzucOg82LAdhnrjlI1FXNY&#10;xhZrRRHonHi7KvN2PscFnRfDjsvId5SqqZjDMjY1oP0SF9R7qu6yYuDwv+K64sIyjkWpioorFj50&#10;Q5npupyGuyoPdysiXrViRsU1K6KCucwuB8S1MtA5G0flsxa8V3wcnZeDTljCEqUqVlxzcpRKyyrm&#10;pNxVWblb0fKqFTNirllxTc1j0au0BObc3FXJuVux8zCGshUzfh6lalbM3aUb+nK1yrVLXPaU1ZXT&#10;HLci6VUrZjRds+KKqHehUoh0OVN3VaruVlwdnRdTMZex9ShVsWKXu0s7Vninywm7qzJ25KWZA2Jp&#10;K+c63RKWKFVRcUXbkWtXgM55u6sSd7di7oh4ZRUz7h6lairmq0uosVCX03dX5e9uReCrc7FfLvra&#10;XOxXsLRtJanNWbyr0ni34vFhJBL0I6lyGZOPUhUrrrh8aNpyfcblZN5V2bxb0fmqFTNCr1lxyN3F&#10;D5Vyqsspvatyerci9XCEcqaT0fooVbHiitijpF5xl5zYY5ewFhdX1B72KbtLRu6jVE3F3F1cXyMG&#10;Ob13VX7vVgQ/IHkqzsWM4Uepmoq5u7gwVeZiTvFdleO7FckPXV9WMWP5Uaqi4prmt6GiYk7zaX+2&#10;sgBOOS4BBLdoxYzpR6mairm7OKzn5Uwnp/quyvWx0ZGtLskBC0EnZ/vkpmUVcTYiaxBJVpkY4NiB&#10;CNIGMD5XsaJfk303FYHG/uWiQU9SNRVzWKBimQH6JuP6VDQtA+1XXB9BCLj8aEVsFS5UjFI1FXNY&#10;oGIZaBSZFy3CirVkzK+oPqZOcXXxGdWPUhUVV1TftcTXCimtz6k+bcNUrLii+thPKBoxY/okVFNw&#10;5SwthdmigktU9r5K9P2a6LviLiem3gITuPNCQZw++SznSw6PcuTk7vsrnznBX7sDHWFq4kGXt9OF&#10;Drjs4So4xbIPfIAFUnRApSKMSUvCctpFF4aqJAzU09kYXZqgjOLdNnEYNorHozIYu946VTNIHEWI&#10;LcpQZSGKbxspsXwSBznf0jox7ii+bajEfqP4tqESEyVxEMgtyhArjOLbhkoMjcRBrLa0Tmwpim8b&#10;KjGXKL5tqMQiSBzJ/xZlKKOP4tuGStk1iSMp3tI6ZbpRfNtQKeuM4tuGShkgiSNx26IMZWNRfNtQ&#10;KTMi8bSumN5EWUoU3zZUyhii+Lahxlo9yVONfctgsWuSOnBYBLd9gMfrtganOTphhdjUA1V44xgQ&#10;sTd9QCIU1Um3fUAGjarltg/IoDeGqVgZjGNARW9TDxKpkIJv+4DEKrcxWDmJVg61p00qSbxyGwNW&#10;rO/EQaMus6kHiVkOVZJNH5Co5TaGrViJiCqhgrCtB0F6Y+iKLD32AHa9qQeJXi4dVTUjhpP45TYG&#10;MCcRzIEHblJJYhgnx7ZKEsWQzm/rQeKYA2PZolLkIWRW4g/bPsA+Tdn8tg8w0pRbb/qABDIcC9r4&#10;AQ5klHouekjm5dTyjDPp69Po55sdTqN/os8cPrwdrpSRyp+7bx9v4gHm3ePHm3j8mN55OX097k9R&#10;5kqpKWdVeKR+399/fl3KOaILMPM8Inlbnm+xOcd4x2PTUF/elWeS8ryMiznlXXkmqUB1ZXQZz01X&#10;22o9qBYpxgOQNuSZ2uoacEZItboU1YogJcaQNuSZ2uqpmEw96o0NtIsEMWwGJtNKK/JMreEwehKT&#10;qSJvy5PFqJiE1rCFpbU2UXGYxLwqhkU/Wc2Sc0SZaBC6SbA1mnxkXiZFe3mmUWBvLk0jSw7np7cM&#10;F/srPA7delhwUr/YGNLM53oipxgvmtXlOEzN65eMU5483oFjOGBR2xtp3wH9zquVtCNPbm9iWgPz&#10;aO3RDZfUnj5ehMA0+9C92h4Mnexi9BsrJPZ88Z7KvJBDVFH7lRggoV3MIc9kFt8ylzRa66i4RVbW&#10;O8XWWVLO6LVn4jUnk6KVPFm7gfad0S2wUwcrocCYpDh6y2DI+iX9yZP7nTgJMiZzkGAw54fSjjxT&#10;ewEnwOI4jGAQHDs57kRo4w2eNhhhFz22hMBpvu6SAQWxhJruagHnRZKcoV1HZy6gnYFu6KhKTOjq&#10;K1DoaceJ5IxxDLTjCzl4nGq9kWfVnKQLWvJk1CYO4YZc21DlkPrVx9ESnSM5Yxa0nmeLMQvawE6p&#10;T+Y20G4YdataBXuhPAsMsZHB0MU6XiYN3XD0MOpmRLO2pyMRGAMQ0aBte9pQoLHqAaMdeLU3VtN2&#10;ZM5oQTZxLmXIdY2kNrrndvFMEMZhuEaHmnIcL7DT7NLhBGCS0+3XBa4qGQGtw2yJ7eEshtpvR7e7&#10;MA4jkHYd7WmRnGGXnnapSc7od+DsBgdkVP1GOg2E9izcJtptIDndxbtJ5rOuX9+wnY1MGElVsrNB&#10;HnpcB4j6zTc9JZTJM4W0HitHGodulx6xKsnp86pvp4Qvpr9mZ9zpS/oZWXPf05kP2DndHq1Sl37g&#10;bA7uqfY70tYYtWfJ8byaS0liN3my/SYElg3zpZ/ELnocGho6nUHzSrfz4HieGiRmiFuBNF7djwbP&#10;a4Lhl0Og82Boz8jWh5aJ+1xkErvJM9kPbpnwBcwabkPHdrH0wwTcgsfQM+sw1o9h4MRqrleI/vLk&#10;cUjCqU+rYWQ313P/YWJ09aAxNkzFdWyhGq+p+twb59hitOeZASJ0aJiNgeeAsWaNgbEwfBIHa9Pc&#10;M9YiEMA0B4w0DfulydcAsTqOgau4yHZVuZETprl0K3NEnmmujBIzDP2mhtdyY83Cff60Vhpr1hRP&#10;XcN36ay7NhCUulKD78VPGYE800ggyKuHMeRUPKMwZKxbEOT8ZS7USpfylK7pkDRapMRDHwwn7Z3h&#10;wjBPWuI6sB+9Rd6/weJkCaYWByNazghS7cLomnkeqviqYMPrDW5lGE02nGmhLGkMp+HCGeaR1Tud&#10;eqOZ5nvDlnPeE4yVbGq4joXNGmtEvFbgYLA1IjpASHp2BlWbmpmIW1YSb8ThRD2OYsJxXB5Nh+TJ&#10;7nD/QcfdIQjEEU3YwVBnCAqIURIndkzJ5JM4vmKOiOMBnXTRe5darcfGiSrZSD00WF7UMKdBDcvo&#10;vaGTcMDd466/1Tvnd53Vu+DueyOngLez5XE4Ue893koiPZFPGZLSJiUiqj3jTTBqE+exdUmJIR5n&#10;jg1JqQE0qPSovTe8L4CzQJbleWcDNTBTMgXFsDnahGCs+bgkzTyhtea8RMXQGXnOHOVDb8SQceI5&#10;H8DPVHuOk/CZ3mBIIwUZmvNoU/ficWBOY0tKFcaW7GYeZ2d5yTfRpr52jC3HEEjq3oELISlZgOX1&#10;mTx64X09Qq42k/GFSqKnwdVwqWfuXY9L8F2edeDveu+SG5pzCVyCi6rW2IeRroCkGaJ7HLZiOEvD&#10;l36oeoJnyawzslMU4GYr6RFskHIyxq5jNLSyN9cbGA1hHrtheTDleUS6bw50FCDZ02pTTgTZaEq9&#10;0Bw7Cp9SOTF678dZT6tahIuIPCIjY+mFM4V+PksgCbw8UyKPAh7P+c7I6/qeeQ72CfRZ13cIsNHy&#10;HRYmzYv7911PnMdQJYNsOnTz+QsZiTx5RJTSJNyNtbiPZ86jxxkrQi/kJPTGllbfcF6HfV/dStht&#10;4RqcKTkKRrCXaiWU9aRNI3p3cCTxDt2PcJthnnV6nMciM1veaLPjLRXMJT2GoLLNsa4zWA9q5TIi&#10;hDJtLqH6Pq8devaLer6sCChCqG3igDrb0yCRXQNSluanUZ1rpzl6G3yzxRdTSZs6RrgdLRgZM7kd&#10;mJ1hfddXQ+zySO9GnG973ooMvRHrWgDPIzJq8i3RzGRPc4OON1bNON965u8Yuz6XsDko3mFwhBZX&#10;J1hPy/KNxDorVwwT3ZpJOYMeGcLERSWMXY/JYaRLlCkq6l6MGwziHQaa2PKUNg2MEGBlLhk8Dheo&#10;RNKI3gHfdydW0r0D5fWtkuherKTnS+F9PTIqEuE92hjrO0q7EucNHhfmaIMvr1MjmJe9smBV4Lzs&#10;vkHSaBN3HpOVOhRwtPhJX84pknom4N/3pIzcxksl2vR339J90jjnjR1PfCeURBvjhJOX4wA4L2GM&#10;CN/3xL3D8VUryekltGnYs5nzZGxZam3iwJvMJaOWiyORsm4avBi3NiUyGCsCTgSLHxnegcvAoqcl&#10;ScbhCKav2rgvLpY3OCxuyUubRmaFo+Oip8G1USCde9dxj0VXjvOWpHhcb/XuUVLjNg0r0bFtljTm&#10;klQLsW7q2W/8EmTGSI+f+EYlAVNf4nBLXQT1qET7AalrYyLRDgML6llAN4cPY4NF9tCQ/+iDCXPq&#10;Z5Ry/ey9Rou4kSmD0Q0uJ2URNXUMZ3801l/eAQLH13GZz84Y2a7IBVhdjWyMnsd9ak1OchM6vKPJ&#10;SQZFN11UOTZ0YzAB+uIUrDlYePV++ZgffXO42i/XUPxo2Fnaw+662h77k8dpB1WO5wEWZgOPtCb4&#10;zuD6yY09nVXSzJxip6cikyaWlix8w7Y+2DRX8BWj+lot53Dohoraa5oDuBWtY8uVEhxz1m3HKy9u&#10;q+jOyzvC2Do22ktGdjjZoY6DscWXhRhzIM1lfO+JbhcUw2jO4/aTYZcEG85E6OjyPThc8NooZ81l&#10;7jdg8mv4yjioHKnKsZ3pOokqx/Zzln5pJcb3DurzlOfLZKR0fGxrNJyDZ9VgbOgi4yBwUX1Ux8qV&#10;EosSMMXBdzTqrXFuYhSSpDxjcAbeK3i/ICXFRXmmIiPbjY50qKgm3X7A6u75dDmmD9Jdp/hbEPOl&#10;J7ortfg9iNfTn56enyFMd5DoKhS+JgmlRXp9OT0/3dO78cX586c/PJ93Xw/4oY/Q/67//e9Zt0zs&#10;fPryeh9bezwe7v+N/74enp7T3/GMH/8ABv3mBf2OyOXD9fun77unezpBQo3Sf3063f/61/PufEq/&#10;KIJfQMEfj6fzP2523/BrIh9vLv/z5XA+3uye/+MVP9cxgbogYl/jixbZNF6cl+98Wr5zeL1DUx9v&#10;rjf4EgL68w/X9JMlX97OT58f0ZOLFng9/Q4/xfHwRD+YEX+zI2nFL/CLIdG0/Osm9JMky9dR6v03&#10;WH75XwAAAP//AwBQSwMEFAAGAAgAAAAhAECh7zHbAAAABgEAAA8AAABkcnMvZG93bnJldi54bWxM&#10;j0FPwkAQhe8m/IfNmHgxsgWxlNotISZcSah4X7pDW+3ONt0tVH+9Ixe8TPLyXt58L1uPthVn7H3j&#10;SMFsGoFAKp1pqFJweN8+JSB80GR06wgVfKOHdT65y3Rq3IX2eC5CJbiEfKoV1CF0qZS+rNFqP3Ud&#10;Ensn11sdWPaVNL2+cLlt5TyKYml1Q/yh1h2+1Vh+FYNVEM8W80O1lcvh4+dzLBb7XUKPqNTD/bh5&#10;BRFwDLcw/OEzOuTMdHQDGS9aBTwkXC97ySpmeeTQc/SyBJln8j9+/gsAAP//AwBQSwECLQAUAAYA&#10;CAAAACEAtoM4kv4AAADhAQAAEwAAAAAAAAAAAAAAAAAAAAAAW0NvbnRlbnRfVHlwZXNdLnhtbFBL&#10;AQItABQABgAIAAAAIQA4/SH/1gAAAJQBAAALAAAAAAAAAAAAAAAAAC8BAABfcmVscy8ucmVsc1BL&#10;AQItABQABgAIAAAAIQD7ldA09RMAAMtlAAAOAAAAAAAAAAAAAAAAAC4CAABkcnMvZTJvRG9jLnht&#10;bFBLAQItABQABgAIAAAAIQBAoe8x2wAAAAYBAAAPAAAAAAAAAAAAAAAAAE8WAABkcnMvZG93bnJl&#10;di54bWxQSwUGAAAAAAQABADzAAAAVxc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433753;549925,499268;850110,499268;1155900,573820;1418718,458604;1700220,506046;1981721,467640;2238311,501527;2560294,497009;2826226,447308;3069115,497009;3389852,535414;3680073,478936;3992714,485714;4276707,510564;4528937,539933;4793624,472159;5030284,460863;5336697,537674;5667400,497009;5683592,1432290;5667400,2593484;5645602,3585244;5683592,4719328;5666777,5751752;5673627,6623777;5650584,7615536;5604498,8636664;5281892,8641183;5027793,8616332;4736950,8625369;4424931,8620850;4155885,8555336;3860060,8620850;3566725,8614073;3295188,8620850;3017423,8659256;2730316,8620850;2447569,8627628;2177901,8634405;1908232,8544040;1599950,8620850;1289178,8684106;1035079,8620850;827067,8647960;525636,8611814;186215,8596000;7473,8053808;32385,7005570;2491,6115472;15570,4958796;14324,4028034;14947,3126640;23043,1954150;20552,700331" o:connectangles="0,0,0,0,0,0,0,0,0,0,0,0,0,0,0,0,0,0,0,0,0,0,0,0,0,0,0,0,0,0,0,0,0,0,0,0,0,0,0,0,0,0,0,0,0,0,0,0,0,0,0,0,0,0,0" textboxrect="0,0,9136,3670"/>
                <v:textbox>
                  <w:txbxContent>
                    <w:p w14:paraId="69A16E89" w14:textId="77777777" w:rsidR="00153F72" w:rsidRPr="0058387D" w:rsidRDefault="00153F72" w:rsidP="00153F72">
                      <w:pPr>
                        <w:pStyle w:val="NoSpacing"/>
                        <w:spacing w:before="240"/>
                        <w:rPr>
                          <w:b/>
                          <w:bCs/>
                          <w:color w:val="1A3E5F" w:themeColor="accent1" w:themeShade="80"/>
                        </w:rPr>
                      </w:pPr>
                      <w:r w:rsidRPr="0058387D">
                        <w:rPr>
                          <w:b/>
                          <w:bCs/>
                          <w:color w:val="1A3E5F" w:themeColor="accent1" w:themeShade="80"/>
                        </w:rPr>
                        <w:t>Example of promising practice – Community-led response to COVID-19</w:t>
                      </w:r>
                    </w:p>
                    <w:p w14:paraId="711A72CE" w14:textId="77777777" w:rsidR="00153F72" w:rsidRPr="00032592" w:rsidRDefault="00153F72" w:rsidP="00153F72">
                      <w:pPr>
                        <w:pStyle w:val="NoSpacing"/>
                      </w:pPr>
                      <w:r w:rsidRPr="00032592">
                        <w:t>The partnership set up to respond to COVID-19, through establishing the Aboriginal and Torres Strait Islander Advisory Group on COVID-19, offers promising insights on shared decision-making, accountability</w:t>
                      </w:r>
                      <w:r>
                        <w:t>,</w:t>
                      </w:r>
                      <w:r w:rsidRPr="00032592">
                        <w:t xml:space="preserve"> and transparency. The group was co-chaired by NACCHO and the department, and included membership from the ACCHS sector, state and territory government representatives, and Aboriginal and Torres Strait Islander communicable disease experts. The group’s advice was conveyed through the Australian Health Protection Principal Committee (AHPPC) to National Cabinet.</w:t>
                      </w:r>
                    </w:p>
                    <w:p w14:paraId="1EB33E67" w14:textId="77777777" w:rsidR="00153F72" w:rsidRPr="00032592" w:rsidRDefault="00153F72" w:rsidP="00153F72">
                      <w:pPr>
                        <w:pStyle w:val="NoSpacing"/>
                      </w:pPr>
                      <w:r w:rsidRPr="00032592">
                        <w:t xml:space="preserve">The </w:t>
                      </w:r>
                      <w:r>
                        <w:t xml:space="preserve">evaluation </w:t>
                      </w:r>
                      <w:r w:rsidRPr="00032592">
                        <w:t>collaborative on the COVID-19 response found that the Aboriginal and Torres Strait Islander Advisory Group on COVID-19</w:t>
                      </w:r>
                      <w:r>
                        <w:t xml:space="preserve"> </w:t>
                      </w:r>
                      <w:r w:rsidRPr="00032592">
                        <w:t>mobilised the right mix of capability, bringing together cultural authority, ACCHS leadership, public health expertise, state and territory expertise</w:t>
                      </w:r>
                      <w:r>
                        <w:t>,</w:t>
                      </w:r>
                      <w:r w:rsidRPr="00032592">
                        <w:t xml:space="preserve"> and knowledge of the policy-making and cabinet processes. Participation of Australian, state and territory governments, and the ACCHS sector meant everyone heard one consistent message in a safe place. This approach supported discussion and debate and the building of a collective voice to address specific health issues</w:t>
                      </w:r>
                      <w:r>
                        <w:t xml:space="preserve">. (Note, </w:t>
                      </w:r>
                      <w:r>
                        <w:rPr>
                          <w:lang w:val="en-AU"/>
                        </w:rPr>
                        <w:t>b</w:t>
                      </w:r>
                      <w:r w:rsidRPr="00745131">
                        <w:rPr>
                          <w:lang w:val="en-AU"/>
                        </w:rPr>
                        <w:t>ecause of the small number of participants interviewed for this collaborative (n=10), care has been taken not to identify participants in the quotations</w:t>
                      </w:r>
                      <w:r>
                        <w:t>)</w:t>
                      </w:r>
                      <w:r w:rsidRPr="00032592">
                        <w:t>.</w:t>
                      </w:r>
                    </w:p>
                    <w:p w14:paraId="5D6DA8BE" w14:textId="77777777" w:rsidR="00153F72" w:rsidRPr="00A1178E" w:rsidRDefault="00153F72" w:rsidP="009432A8">
                      <w:pPr>
                        <w:pStyle w:val="Quote"/>
                        <w:spacing w:before="240" w:after="240"/>
                        <w:ind w:left="709" w:right="142"/>
                        <w:rPr>
                          <w:color w:val="18525E" w:themeColor="accent5" w:themeShade="80"/>
                          <w:sz w:val="21"/>
                          <w:szCs w:val="21"/>
                        </w:rPr>
                      </w:pPr>
                      <w:r w:rsidRPr="00A1178E">
                        <w:rPr>
                          <w:color w:val="18525E" w:themeColor="accent5" w:themeShade="80"/>
                          <w:sz w:val="21"/>
                          <w:szCs w:val="21"/>
                        </w:rPr>
                        <w:t>That level of transparency is where the [community controlled] sector want us to get – with state and Commonwealth working together in alignment and not pulling the poor ACCHO in the middle in different directions or having to feel like they have to duplicate or an extra burden of reporting.</w:t>
                      </w:r>
                    </w:p>
                    <w:p w14:paraId="52EF6B1F" w14:textId="77777777" w:rsidR="00153F72" w:rsidRPr="00A1178E" w:rsidRDefault="00153F72" w:rsidP="009432A8">
                      <w:pPr>
                        <w:pStyle w:val="Quote"/>
                        <w:spacing w:before="240" w:after="240"/>
                        <w:ind w:left="709" w:right="142"/>
                        <w:rPr>
                          <w:color w:val="18525E" w:themeColor="accent5" w:themeShade="80"/>
                          <w:sz w:val="21"/>
                          <w:szCs w:val="21"/>
                        </w:rPr>
                      </w:pPr>
                      <w:r w:rsidRPr="00A1178E">
                        <w:rPr>
                          <w:color w:val="18525E" w:themeColor="accent5" w:themeShade="80"/>
                          <w:sz w:val="21"/>
                          <w:szCs w:val="21"/>
                        </w:rPr>
                        <w:t>Grateful for the advisory group providing collective voice otherwise we are just a very small voice in a much larger space. Previously it has been separate conversations: NACCHO will have a conversation with commonwealth, commonwealth will have a conversation with state, etc. This was everyone together and it was very welcome.</w:t>
                      </w:r>
                    </w:p>
                    <w:p w14:paraId="45ED65E5" w14:textId="77777777" w:rsidR="00153F72" w:rsidRPr="00A1178E" w:rsidRDefault="00153F72" w:rsidP="009432A8">
                      <w:pPr>
                        <w:pStyle w:val="Quote"/>
                        <w:spacing w:before="240" w:after="360"/>
                        <w:ind w:left="709"/>
                        <w:rPr>
                          <w:color w:val="18525E" w:themeColor="accent5" w:themeShade="80"/>
                          <w:sz w:val="21"/>
                          <w:szCs w:val="21"/>
                        </w:rPr>
                      </w:pPr>
                      <w:r w:rsidRPr="00A1178E">
                        <w:rPr>
                          <w:color w:val="18525E" w:themeColor="accent5" w:themeShade="80"/>
                          <w:sz w:val="21"/>
                          <w:szCs w:val="21"/>
                        </w:rPr>
                        <w:t xml:space="preserve">Although led at the national level, we had everyone in the room – NACCHO and affiliates and state representatives. We didn’t really get lost in ‘that’s a federal responsibility or that’s a state responsibility’ because we were all there. It was like </w:t>
                      </w:r>
                      <w:r w:rsidRPr="00A1178E">
                        <w:rPr>
                          <w:i/>
                          <w:color w:val="18525E" w:themeColor="accent5" w:themeShade="80"/>
                          <w:sz w:val="21"/>
                          <w:szCs w:val="21"/>
                        </w:rPr>
                        <w:t>‘let’s just have the discussion’</w:t>
                      </w:r>
                      <w:r w:rsidRPr="00A1178E">
                        <w:rPr>
                          <w:color w:val="18525E" w:themeColor="accent5" w:themeShade="80"/>
                          <w:sz w:val="21"/>
                          <w:szCs w:val="21"/>
                        </w:rPr>
                        <w:t xml:space="preserve">. </w:t>
                      </w:r>
                    </w:p>
                    <w:p w14:paraId="3F6ACFAB" w14:textId="77777777" w:rsidR="00153F72" w:rsidRPr="00032592" w:rsidRDefault="00153F72" w:rsidP="00153F72">
                      <w:pPr>
                        <w:pStyle w:val="NoSpacing"/>
                        <w:rPr>
                          <w:lang w:val="en-AU"/>
                        </w:rPr>
                      </w:pPr>
                      <w:r w:rsidRPr="00032592">
                        <w:t>Aboriginal and Torres Strait Islander Advisory Group on COVID-19 participants reported experiencing unprecedented levels</w:t>
                      </w:r>
                      <w:r w:rsidRPr="00032592">
                        <w:rPr>
                          <w:lang w:val="en-AU"/>
                        </w:rPr>
                        <w:t xml:space="preserve"> of cooperation between governments and the community-controlled sector, including shared decision-making, power-sharing</w:t>
                      </w:r>
                      <w:r>
                        <w:rPr>
                          <w:lang w:val="en-AU"/>
                        </w:rPr>
                        <w:t>,</w:t>
                      </w:r>
                      <w:r w:rsidRPr="00032592">
                        <w:rPr>
                          <w:lang w:val="en-AU"/>
                        </w:rPr>
                        <w:t xml:space="preserve"> and two-way communication. This way of working activated Aboriginal and Torres Strait Islander self-determination, Indigenous leadership and empowerment, creating opportunities for Aboriginal and Torres Strait Islander people to define the issues, determine the priorities</w:t>
                      </w:r>
                      <w:r>
                        <w:rPr>
                          <w:lang w:val="en-AU"/>
                        </w:rPr>
                        <w:t>,</w:t>
                      </w:r>
                      <w:r w:rsidRPr="00032592">
                        <w:rPr>
                          <w:lang w:val="en-AU"/>
                        </w:rPr>
                        <w:t xml:space="preserve"> and make recommendations in a culturally appropriate governance structure.</w:t>
                      </w:r>
                    </w:p>
                    <w:p w14:paraId="7FADA5EA" w14:textId="77777777" w:rsidR="00153F72" w:rsidRPr="00A1178E" w:rsidRDefault="00153F72" w:rsidP="009432A8">
                      <w:pPr>
                        <w:pStyle w:val="Quote"/>
                        <w:spacing w:before="360" w:after="120"/>
                        <w:ind w:left="709"/>
                        <w:rPr>
                          <w:color w:val="18525E" w:themeColor="accent5" w:themeShade="80"/>
                          <w:sz w:val="21"/>
                          <w:szCs w:val="21"/>
                        </w:rPr>
                      </w:pPr>
                      <w:r w:rsidRPr="00A1178E">
                        <w:rPr>
                          <w:color w:val="18525E" w:themeColor="accent5" w:themeShade="80"/>
                          <w:sz w:val="21"/>
                          <w:szCs w:val="21"/>
                        </w:rPr>
                        <w:t>In a way, the Advisory Group was an early adopter of the – yet to be signed – Closing the Gap framework, for example, shared decision-making, community control, using data to inform decisions, and affecting mainstream systems. We were already incorporating this into the advisory group and pandemic response.</w:t>
                      </w:r>
                    </w:p>
                  </w:txbxContent>
                </v:textbox>
                <w10:anchorlock/>
              </v:shape>
            </w:pict>
          </mc:Fallback>
        </mc:AlternateContent>
      </w:r>
    </w:p>
    <w:p w14:paraId="14583016" w14:textId="77777777" w:rsidR="00153F72" w:rsidRPr="00884FAA" w:rsidRDefault="00153F72" w:rsidP="00153F72">
      <w:r w:rsidRPr="00884FAA">
        <w:rPr>
          <w:noProof/>
        </w:rPr>
        <w:lastRenderedPageBreak/>
        <mc:AlternateContent>
          <mc:Choice Requires="wps">
            <w:drawing>
              <wp:inline distT="0" distB="0" distL="0" distR="0" wp14:anchorId="0EE817B7" wp14:editId="4DFAC064">
                <wp:extent cx="5689820" cy="3914775"/>
                <wp:effectExtent l="19050" t="19050" r="25400" b="28575"/>
                <wp:docPr id="41" name="Freeform: 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3914775"/>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43C2F732" w14:textId="77777777" w:rsidR="00153F72" w:rsidRPr="0058387D" w:rsidRDefault="00153F72" w:rsidP="00153F72">
                            <w:pPr>
                              <w:pStyle w:val="NoSpacing"/>
                              <w:spacing w:before="240"/>
                              <w:rPr>
                                <w:b/>
                                <w:bCs/>
                                <w:color w:val="1A3E5F" w:themeColor="accent1" w:themeShade="80"/>
                              </w:rPr>
                            </w:pPr>
                            <w:r w:rsidRPr="0058387D">
                              <w:rPr>
                                <w:b/>
                                <w:bCs/>
                                <w:color w:val="1A3E5F" w:themeColor="accent1" w:themeShade="80"/>
                              </w:rPr>
                              <w:t>Example of promising practice (continued)</w:t>
                            </w:r>
                          </w:p>
                          <w:p w14:paraId="2992164D" w14:textId="77777777" w:rsidR="00153F72" w:rsidRPr="00032592" w:rsidRDefault="00153F72" w:rsidP="00153F72">
                            <w:pPr>
                              <w:pStyle w:val="NoSpacing"/>
                            </w:pPr>
                            <w:r w:rsidRPr="00032592">
                              <w:t>The Aboriginal and Torres Strait Islander Advisory Group on COVID-19 operated in an open and transparent manner in contrast to government business as usual, where policy is often formulated through cabinet-in-confidence processes. Access to data and information supported rapid decision-making and informed policy positions.</w:t>
                            </w:r>
                          </w:p>
                          <w:p w14:paraId="646E5958" w14:textId="77777777" w:rsidR="00153F72" w:rsidRPr="00A1178E" w:rsidRDefault="00153F72" w:rsidP="00DC5C0B">
                            <w:pPr>
                              <w:pStyle w:val="Quote"/>
                              <w:spacing w:before="240" w:after="360"/>
                              <w:ind w:left="709"/>
                              <w:rPr>
                                <w:color w:val="18525E" w:themeColor="accent5" w:themeShade="80"/>
                                <w:sz w:val="21"/>
                                <w:szCs w:val="21"/>
                              </w:rPr>
                            </w:pPr>
                            <w:r w:rsidRPr="00A1178E">
                              <w:rPr>
                                <w:color w:val="18525E" w:themeColor="accent5" w:themeShade="80"/>
                                <w:sz w:val="21"/>
                                <w:szCs w:val="21"/>
                              </w:rPr>
                              <w:t>We’ve challenged the traditional notion of how the public service enacts and develops policy. We never had a position before going into the meetings – no cabinet-in-confidence</w:t>
                            </w:r>
                          </w:p>
                          <w:p w14:paraId="786668D8" w14:textId="77777777" w:rsidR="00153F72" w:rsidRPr="00A1178E" w:rsidRDefault="00153F72" w:rsidP="00DC5C0B">
                            <w:pPr>
                              <w:pStyle w:val="Quote"/>
                              <w:spacing w:before="240" w:after="360"/>
                              <w:ind w:left="709"/>
                              <w:rPr>
                                <w:color w:val="18525E" w:themeColor="accent5" w:themeShade="80"/>
                                <w:sz w:val="21"/>
                                <w:szCs w:val="21"/>
                              </w:rPr>
                            </w:pPr>
                            <w:r w:rsidRPr="00A1178E">
                              <w:rPr>
                                <w:color w:val="18525E" w:themeColor="accent5" w:themeShade="80"/>
                                <w:sz w:val="21"/>
                                <w:szCs w:val="21"/>
                              </w:rPr>
                              <w:t>We didn’t wait for the policy to be finished and then consult around the edges.</w:t>
                            </w:r>
                          </w:p>
                          <w:p w14:paraId="0BD12B8B" w14:textId="77777777" w:rsidR="00153F72" w:rsidRPr="000A6C2B" w:rsidRDefault="00153F72" w:rsidP="00153F72">
                            <w:pPr>
                              <w:pStyle w:val="NoSpacing"/>
                            </w:pPr>
                            <w:r w:rsidRPr="000A6C2B">
                              <w:t>These findings demonstrate the potential for agility within formal government systems to support adaptive practice consistent with principles of self-determination. They provide important lessons and a blueprint for forging other partnerships between governments and Aboriginal and Torres Strait Islander people, communities</w:t>
                            </w:r>
                            <w:r>
                              <w:t>,</w:t>
                            </w:r>
                            <w:r w:rsidRPr="000A6C2B">
                              <w:t xml:space="preserve"> and organisations to deliver solutions for Closing the Gap. These ways of working are consistent with the clear commitments for shared decision-making within the National Agreement on Closing the Gap</w:t>
                            </w:r>
                            <w:r>
                              <w:t>, aligning</w:t>
                            </w:r>
                            <w:r w:rsidRPr="000A6C2B">
                              <w:t xml:space="preserve"> closely with commitments under Priority Reform 1 and 3.</w:t>
                            </w:r>
                          </w:p>
                          <w:p w14:paraId="72803DBF" w14:textId="77777777" w:rsidR="00153F72" w:rsidRDefault="00153F72" w:rsidP="00153F72">
                            <w:pPr>
                              <w:pStyle w:val="NoSpacing"/>
                              <w:spacing w:before="240"/>
                              <w:rPr>
                                <w:b/>
                                <w:bCs/>
                                <w:color w:val="357DBE" w:themeColor="accent1"/>
                              </w:rPr>
                            </w:pPr>
                          </w:p>
                          <w:p w14:paraId="3CCDC8D0" w14:textId="77777777" w:rsidR="00153F72" w:rsidRPr="00973B1A" w:rsidRDefault="00153F72" w:rsidP="00153F72">
                            <w:pPr>
                              <w:pStyle w:val="NoSpacing"/>
                              <w:rPr>
                                <w:color w:val="FF0000"/>
                              </w:rPr>
                            </w:pPr>
                          </w:p>
                          <w:p w14:paraId="3D9DBA4A" w14:textId="77777777" w:rsidR="00153F72" w:rsidRDefault="00153F72" w:rsidP="00153F72">
                            <w:pPr>
                              <w:pStyle w:val="NoSpacing"/>
                              <w:spacing w:before="240"/>
                              <w:rPr>
                                <w:b/>
                                <w:bCs/>
                                <w:color w:val="357DBE" w:themeColor="accent1"/>
                              </w:rPr>
                            </w:pPr>
                          </w:p>
                        </w:txbxContent>
                      </wps:txbx>
                      <wps:bodyPr rot="0" vert="horz" wrap="square" lIns="91440" tIns="45720" rIns="91440" bIns="45720" anchor="t" anchorCtr="0" upright="1">
                        <a:noAutofit/>
                      </wps:bodyPr>
                    </wps:wsp>
                  </a:graphicData>
                </a:graphic>
              </wp:inline>
            </w:drawing>
          </mc:Choice>
          <mc:Fallback>
            <w:pict>
              <v:shape w14:anchorId="0EE817B7" id="Freeform: Shape 41" o:spid="_x0000_s1095" style="width:448pt;height:308.2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uT8BMAAMtlAAAOAAAAZHJzL2Uyb0RvYy54bWysXV1vIztyfQ+Q/yD4McFeN8ludvfgzl3s&#10;RzYIsMkusNofoLHlsRHbciTNeO7++pwiWT1kD1nVCPIybY1KZLEOq1inSEo///bby/Pu6/F8eTq9&#10;frwxP3U3u+Pr3en+6fXzx5u/7//0m+lmd7keXu8Pz6fX48ebX4+Xm9/+8s//9PP724ejPT2enu+P&#10;5x0aeb18eH/7ePN4vb59uL293D0eXw6Xn05vx1e8+XA6vxyueHn+fHt/Pryj9ZfnW9t1/vb9dL5/&#10;O5/ujpcL/veP8c2bX0L7Dw/Hu+tfHh4ux+vu+eMNdLuGf8/h30/07+0vPx8+fD4f3h6f7pIah/+D&#10;Fi+Hp1d0ujT1x8P1sPtyfvqhqZenu/Ppcnq4/nR3erk9PTw83R3DGDAa061G87fHw9sxjAXGubwt&#10;Zrr8/zV7919f//b21zOpfnn78+nuvy+wyO372+XD8g69uEBm9+n9P0/3wPDw5XoKg/32cH6hT2IY&#10;u2/Bpr8uNj1+u+7u8J+Dn+bJwvR3eM/Nph/Hgax+e/jAH7/7crn++/EUmjp8/fPlGkG5x1/BpPe7&#10;18ML+t2jlYeXZ+Dzr7/ZdTszdePOuHFOIC5ihsX+5Xa373bvu9k4vxayLBTbmu3OzGYt5FgILRmI&#10;PO6cH3nSLP31LBWastajrYpaA4uRWn1DLc9CqS1TU2tkIbRkrWmoBc/LrGXHvq+qNbMYqTU11DKl&#10;6anTirlMbvm2Yqa0vbNuqGpmcvPvjW3ptrL/gHH+CKXJzW8hU8fSlAA4PzTmWI7B3viWbisQOlfV&#10;LcfAQqauG3lRhmhvurlqN5vDsLdNDyhhsLZqN5uDQDIN3UoQ+sFjhlScwOYw7NFcwztLGCx5+o+Y&#10;2hwEkmnoVoLQzyNQqOmWw7C3LV9wJQzW1kNHDgLJ1HVzJQhDPyOwVXRzOQx71/IFV8JgAX7Fbi4H&#10;gWQaupUgDLOp+4LLYdi7li+4EgYzT1XdchBIpq5bX4LgXWMt6HMY9n3LF/oShobd+hyEtt36EgQ/&#10;0QypYNrnMOwRnuu+0JcwWFf1hT4HgWQaditBGO0EFGq65TDs+5YvDCUMFkG6Mt+GHASSqes2lCCM&#10;Y8MXhhyG/dDyhaGEwRqsMj/GkCEHgWQaupUgTLb3VbsNOQz7oeULQwkDcoaqbjkIJFPXzZcgTH6o&#10;x16fw7D3LV/wJQzWYZX50W4+B4FkGrqVIMzdWLebz2HY+5Yv+BIGSytgRbccBJJp6FaCMGPRqmLq&#10;cxj2vuULSAzz5dl21fV0zEEgmbpuYwnCPMMFa3465jDsx5YvjCUM1lVjLzLzNAJKLCHT0K0EwXT9&#10;WE9ExhyHPZCvB7ixxKERfJHnZ8o1F62pRMF0Q1fPLqcciP3U8oapBMK7KqpTDgPJ1C03lTC0LTfl&#10;SOynljtMKyQMzZIf/WHKcTAk1FCvBALqNTjDlGOxxxJSB3ZeYTFM1aULCn9H1pBQXb25hKIN7Zyj&#10;sQdva6hXomG7qRpN5hyLINRQbwUG3KLus3MOx35uucVcogHOUl0k5hyLIFRXz3QrNLqexltZ+02X&#10;A7LHBxsGNF2JiJ2RmFbmn+lyQIJUS8cSEsxALO91HXNUoGPLRUxXwuLcWOeuXY5KkGrpWOKCwTVw&#10;Bj/LJjZ0bPmJWdFrN9k6TywIdpBq6Lii2POE1b5qxhXHbpNsUyKDzqvplCl4dpBqqVjigtW3gbTJ&#10;gdmbNtc2JTBuMtVYbUwOS5BqqLgi3Chk1ZcSUzJu06TcxpYOg86rAdsUrDtItVQsYZl6rBVVoEvi&#10;bZrM29gSF3ReDTumIN9BqqViCcvUtYC2OS6o9zTdZcXA4X/VdcW4PI4FqYaKKxY+DmOd6ZqShpsm&#10;DzcrIt60YkHFJSuigplnlyPiWh3oko2j8tkK3is+js7rQcflsASphhXXnByl0rqKJSk3TVZuVrS8&#10;acWCmEtWXFPzUPSqLYElNzdNcm5W7NxNrm7Fgp8HqZYVS3cZRl+vVpk+x2VPWV09zTErkt60YkHT&#10;JSuuiPrgGoVIUzJ106TqZsXV0Xk1FTMFWw9SDSsOpbv0U4N3mpKwmyZjR15aOCCWtnquM+SwBKmG&#10;iivajly7AXTJ202TuJsVc0fEq6tYcPcg1VKxXF1ci4Wakr6bJn83KwLfnIs+X/SluehXsPR9I6kt&#10;Wbxp0niz4vFuIhL0I6kyBZMPUg0rrri86/p6fcaUZN402bxZ0fmmFQtCL1lxLN3Fjo1yqikpvWly&#10;erMi9XCEeqZT0Pog1bDiitijpN5wl5LYY5ewFRdX1B72qbtLQe6DVEvF0l2MbxGDkt6bJr83K4Lv&#10;kDxV52LB8INUS8XSXQx2ZOtrdEnxTZPjmxXJd4Ovq1iw/CDVUHFN83vXULGk+bQ/21gA5xIXB4Jb&#10;tWLB9INUS8XSXQzW87oVS6pvmlwfGx3F6hIdsBJ0SrZPblpXEWcjigaRZNWJAY4dsCBtAONzDSva&#10;Ndk3cxVo7F9mDVqSaqlYwgIV6wzQdgXXp6JpHWi74voIQsDlRytiqzBTMUi1VCxhgYp1oFFkzlqE&#10;FVvJmF1RfUyd6upiC6ofpBoqrqi+6YmvVVJaW1J92oZpWHFF9bGfUDViwfRJqKXgyll6CrNVBXNU&#10;9rZJ9O2a6JvqLiemXoYJ3DlTEKdPPvP5ksMjHzm5+/aazpzgr92BjjB14aDL2+lCB1z2cBWcYtm7&#10;dIAFUnRApSGMSUvC4yZhqErCQD2ejZGbJiiDOB+lUcRh2CAejspg7LI4VTNIHEWILcpQZSGIbxsp&#10;sXwSBznf0jox7iC+bajEfoP4tqESEyVxEMgtyhArDOLbhkoMjcRBrLa0TmwpiG8bKjGXIL5tqMQi&#10;SBzJ/xZlKKMP4tuGStk1iSMp3tI6ZbpBfNtQKesM4tuGShkgiSNx26IMZWNBfNtQKTMi8biuqN5E&#10;WUoQ3zZUyhiC+Lahhlo9yVONfctgsWsSOzBYBLd9II3XbA1OS3TCCrGpB6rwhjEgYm/6AEcoqpNu&#10;+wAPGlXLbR/gQW8MU6EyGMaAit6mHjhSIQXf9gGOVWZjsDIcrXDmcmMPPOiNASvUd8KgUZfZNGiO&#10;WQZVkk0f4KhlNoatUIkIKqGCsK0HHvTG0BVYeuhhOcgqL6eBM8cPbBw0xy+zMYAZjmAGPHDToDmG&#10;peRYDWKGoxjS+W09cBwzYCxbVAo8hKxE/GHbB5JPUza/7QMJacqtN32AAxmOBW38QApklHpmPUTz&#10;ptTyjDPp69Po55sdTqN/os8cPrwdrpSR8p+794834QDz7hEHqOn4Mb3zcvp63J+CzJVS05RV4RH7&#10;/f7+82suZ4guwMzLiPhtfr6F5hjvcGwa6vO7/IxSNi3jbE5+l59RylFdGV2Gc9PNtnoLqkWKpQFw&#10;G/yMbQ0dOCOkelmKakWQYmNwG/yMbXkqJlOPcmMj7SJBDJuB0bTcCj9jaziMHsV4qvDb/ExiVExC&#10;a9jCklqbqThMYlYUw6IfrabJGaJMNAjZJNgajT6yLJOsPT/jKLA3F6eRJofz01uGi/2VNA7Zelhw&#10;Yr/YGJLMZzyRU4wXzcpyKUwt6xePk59pvGPKQAGL2N5E+w7od1mtuB1+pvbmRGtgHqk9uuES25PH&#10;ixAYZx+6F9uDoaNdlH5DhUSfL9ZSmRdyiCpivxwDOLSzOfgZzWL7xCWV1gYqbpGV5U6xdRaVU3r1&#10;iXgtySRrxc+k3Uj7zugW2ImD5VCgTFIcvU1g8PrF/fEz9TunJEiZzI6DwZIfcjv8jO05nAAL41CC&#10;gTPJyXEnQhqvs7TBCLvIscW5lObLLulQEIuoya7mcF4kyinaDXTmAtop6LqBqsSErrwCOU87TiSn&#10;jGOkHV/IweNE601pVi1JOqPFz4TanEK4Itd3VDmkfuVx9ETnSE6ZBb1Ns0WZBb1LTilP5t7Rbhh1&#10;K1oFe6FpFihiUwJDFhvSMqnohqOHQTclmvWejkRgDEBEgrb3tKFAY5UDRj+m1V5ZTfspcUYNsjnl&#10;Uorc0HFqI3vuEM4EYRyKawyoKYfxAjvJLgNOAEY52X6DS1UlJaANmC2hPZzFEPsd6HYXxqEE0mGg&#10;PS2SU+ziaZea5JR+x5Td4ICMqN9Ep4HQnobbTLsNJCe7+DDzfJb1812ys5IJI6mKdlbIg8d1gKAf&#10;Ar40Xo+VI45DtotHrIpy8rzy/RzxxfQX+x1o0xn2U7Jm7+nMB8kp9htTNgf3FPudaGuM2tPk0rxa&#10;Skm8FPAzLgl+RmAJ80Cep35mu8hxaOzodAbNK9nOo0nzVCExY9gKpPHK+o02rQmKX46OzoOhPSVb&#10;H/tE3JciE9uNn9F+cMuIL2CWcBuHZBdNP0zALXiMPrEOZf3ATekYh5Z6BevPzzQOTjjlaTVOyc3l&#10;3H+cE7rypJ+6RMVlbKFaWlPluTctsUVpzyYGiNAhYTa5NAeUNWtyCQvFJ3GwNs49ZS0CAYxzQEnT&#10;sF8afQ0Qi+MYUxUX2a4oN6WEaSnd8hzhZ5wrE8cMRb+5S2u5smbN4VoBxQwZtzmcuoYcnXWXBoJS&#10;V5r0S/GTR8DPOBIIptVDGXIsnlEYUtYtCKb8JX6nQLNWNXNCRImHPJiUtA+KC8M8cYkbwH7kFtP+&#10;DRYnTTC2OCrRckGQahdK14nnoYovCnZpvcGtDKXJLmVaKEsqw+lS4QzzSOudTr3RTLNeseWS9zhl&#10;JZu7VMfCZo02orRW4GCwNiI6QEh6DgpVm7uFiGtWYm/E4UTVH1NcnlSHpBsBpCfuP8i4GwSBIDlj&#10;B0OcISggBkmc2FElo0/i+Io6ohQP6KSL3DvXai02TkTJjuuhTvOiLnEa1LCU3js6CQd7Wtz113pP&#10;+d2g9c64W6/kFPD2ZHkcTpR7D7eSSE/kU4okt0mJiGjPcBOM2sR5bFmSY4jFmWNFkmsAHSo9Yu9d&#10;2hfAWSDN8mlnAzUwVTIGRbc52jinrPm4JJ14Qq/NeY6KblDynCXKO6/EkGlOc96Bn4n2nGbmM15h&#10;SBMFGZrzaFP24mlMnEaX5CqMLjksPE7P8qJvok157Zj6FEMgKXsHLoTE+AnLyzN5ssz7PEKuNJPx&#10;hUqsp8LVcKln6V2OS/DdNOvA3+XeOTdU5xK4RCqqamMfJ7oCEmeI7HHYiklZGr70Q9QTPItnnZKd&#10;ogC3WEmOYCOXkzF2GaOx5705r2A0umXsiuXBlJcRyb450lGAaE+tTT4RpKPJ9UJ17Ch8cuVE6d1P&#10;i55atQgXEdOIlIzFM2dyfjlLwNyBn5FDoICX5vyg5HXep/I29gnkWecHBNhg+QELk+TF/vuuJ85j&#10;iJKONx2G5fwFj4SfaUSU0kTclbXYhzPnweOUFcEzOXFe2dLyXcrrsO8rWwm7LakGp0pOjBHsJVoJ&#10;ZT1uU4neAxyJvUP2I9xmWGadHOexyCyWV9oc0pYK5pIcQ1DZTrFuUFgPauU8IoQyaS6h+r6sHXL2&#10;i3o+rwgoQoht4oB6sqdCIocOpCzOT6U6189L9Fb4Zo8vpuI2ZYxwO5oxUmYyvqaQraRs92KXh3tX&#10;4nzv01ak80qs6wF8GpFSk++JZkZ7qht0aWNVjfO9TfwduY08l7A5yN6hcIQeVyeSnprlO451Wq7o&#10;Zro1E3MGOTK4ORWVMHY5JruJLlHGqCh7MW4wsHcoaGLLk9tUMEKA5bmk8DhcoGJJJXo7fN8dW0n2&#10;DpTXt0qie7aSnC+57+uRUpFw36ONsr6jtMtxXuFxbok2+PI6MYJZ3itzWgXO8u4bJJU2cecxWmlA&#10;AUeKn/TlnCwpZwL2+56UkttYrkSr/m57uk8a5ryy44nvhOJoo5xwsnwcAOcllBHh+55S73B80Up8&#10;egltKvbsljwZW5ZSmzjwxnNJqeXiSOSyIsi949YmRwZlRTDjEmkV78BlYNZTkyTjpAgmr9q4L86W&#10;Vzgsbslzm0pmZQaol2KyHBlQIF16l3EPRdfUpibJHucVpo96M89kZZfVACQekTKXuFqIdVPOfnFr&#10;gyOtcuYD36jEYMpLHG6ps6AclWg/IBpTmUi0w5AE5SxgWMKHssHCe2jIf+TBuCX1U0q5dvFepUXc&#10;yOTBKNMy7dggasoYLv6orL/cnlblX87OKNkuyzlYXYxsCT2L+9SSHOcmdHhHkuMMim66iHLJ0J3C&#10;BOiLU7DmYOGV+03H/MBaZDxSDcVOSibK7X3/HnJm0PyMTDr5k8VpB3G8aR5gYVbwiGuCHRSuH93Y&#10;0lklycwxdloqMkliccnCN2zLS0GcK/iKUXmt5nM4Rsl80pzHrWgZ21QpwTFn2XZp5cVtFdl5044w&#10;7s0o7UUjG5zsEK2XsMWXhShzIM5lfO+JHHtRDKM5j9tPil0ibDgTIaOb7sHhgtdGOW0up34dJr80&#10;q3gcVI4U5ZKd6TqJKJfsZzT94kqM7x2U52maL7OS0qVjW5PiHGlWjcqGLjIOAhfVR3GsqVKiUYJE&#10;cfAdjXJrKTdRCklcnlE4Q9or+H5BikMiP2NoTHajIx0iqlG3H7C6ez5djvGDdNcp/BbEcumJ7kpl&#10;vwfxevrT0/MzhOkOEl2FwtckobRIry+n56d7eje8OH/+9Ifn8+7rAT/04fzv/O9/n3QrxM6nL6/3&#10;obXH4+H+39Lf18PTc/w7HPlIP4BBv3lBvyNy+XD99unb7ukeDQe3pf/6dLr/9a/n3fkUf1EEv4CC&#10;Px5P53/c7N7xayIfby7/8+VwPt7snv/jFT/Xgd+9oPrHNbzokU3jxTl/51P+zuH1Dk19vLne4EsI&#10;6M8/XONPlnx5Oz99fkRPJljg9fQ7/BTHwxP9YEb4zY6oVXqBXwwJpk2/bkI/SZK/DlLff4Pll/8F&#10;AAD//wMAUEsDBBQABgAIAAAAIQD18oqN2QAAAAUBAAAPAAAAZHJzL2Rvd25yZXYueG1sTI/BSsNA&#10;EIbvgu+wjOBF7KalxhizKSL0KjTW+zQ7JtHsbMhu2ujTO/Wil4Gff/jmm2Izu14daQydZwPLRQKK&#10;uPa248bA/nV7m4EKEdli75kMfFGATXl5UWBu/Yl3dKxiowTCIUcDbYxDrnWoW3IYFn4glu7djw6j&#10;xLHRdsSTwF2vV0mSaocdy4UWB3puqf6sJmcgXa5X+2ar76e374+5Wu9eMr4hY66v5qdHUJHm+LcM&#10;Z31Rh1KcDn5iG1RvQB6Jv1O67CGVeDiD0zvQZaH/25c/AAAA//8DAFBLAQItABQABgAIAAAAIQC2&#10;gziS/gAAAOEBAAATAAAAAAAAAAAAAAAAAAAAAABbQ29udGVudF9UeXBlc10ueG1sUEsBAi0AFAAG&#10;AAgAAAAhADj9If/WAAAAlAEAAAsAAAAAAAAAAAAAAAAALwEAAF9yZWxzLy5yZWxzUEsBAi0AFAAG&#10;AAgAAAAhAOi8O5PwEwAAy2UAAA4AAAAAAAAAAAAAAAAALgIAAGRycy9lMm9Eb2MueG1sUEsBAi0A&#10;FAAGAAgAAAAhAPXyio3ZAAAABQEAAA8AAAAAAAAAAAAAAAAAShYAAGRycy9kb3ducmV2LnhtbFBL&#10;BQYAAAAABAAEAPMAAABQFw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204806;549925,235740;850110,235740;1155900,270941;1418718,216539;1700220,238940;1981721,220806;2238311,236807;2560294,234673;2826226,211206;3069115,234673;3389852,252807;3680073,226140;3992714,229340;4276707,241073;4528937,254940;4793624,222940;5030284,217606;5336697,253874;5667400,234673;5683592,676285;5667400,1224567;5645602,1692847;5683592,2228328;5666777,2715808;5673627,3127553;5650584,3595833;5604498,4077980;5281892,4080113;5027793,4068379;4736950,4072646;4424931,4070513;4155885,4039578;3860060,4070513;3566725,4067313;3295188,4070513;3017423,4088646;2730316,4070513;2447569,4073713;2177901,4076913;1908232,4034245;1599950,4070513;1289178,4100380;1035079,4070513;827067,4083313;525636,4066246;186215,4058779;7473,3802772;32385,3307825;2491,2887547;15570,2341398;14324,1901919;14947,1476308;23043,922692;20552,330676" o:connectangles="0,0,0,0,0,0,0,0,0,0,0,0,0,0,0,0,0,0,0,0,0,0,0,0,0,0,0,0,0,0,0,0,0,0,0,0,0,0,0,0,0,0,0,0,0,0,0,0,0,0,0,0,0,0,0" textboxrect="0,0,9136,3670"/>
                <v:textbox>
                  <w:txbxContent>
                    <w:p w14:paraId="43C2F732" w14:textId="77777777" w:rsidR="00153F72" w:rsidRPr="0058387D" w:rsidRDefault="00153F72" w:rsidP="00153F72">
                      <w:pPr>
                        <w:pStyle w:val="NoSpacing"/>
                        <w:spacing w:before="240"/>
                        <w:rPr>
                          <w:b/>
                          <w:bCs/>
                          <w:color w:val="1A3E5F" w:themeColor="accent1" w:themeShade="80"/>
                        </w:rPr>
                      </w:pPr>
                      <w:r w:rsidRPr="0058387D">
                        <w:rPr>
                          <w:b/>
                          <w:bCs/>
                          <w:color w:val="1A3E5F" w:themeColor="accent1" w:themeShade="80"/>
                        </w:rPr>
                        <w:t>Example of promising practice (continued)</w:t>
                      </w:r>
                    </w:p>
                    <w:p w14:paraId="2992164D" w14:textId="77777777" w:rsidR="00153F72" w:rsidRPr="00032592" w:rsidRDefault="00153F72" w:rsidP="00153F72">
                      <w:pPr>
                        <w:pStyle w:val="NoSpacing"/>
                      </w:pPr>
                      <w:r w:rsidRPr="00032592">
                        <w:t>The Aboriginal and Torres Strait Islander Advisory Group on COVID-19 operated in an open and transparent manner in contrast to government business as usual, where policy is often formulated through cabinet-in-confidence processes. Access to data and information supported rapid decision-making and informed policy positions.</w:t>
                      </w:r>
                    </w:p>
                    <w:p w14:paraId="646E5958" w14:textId="77777777" w:rsidR="00153F72" w:rsidRPr="00A1178E" w:rsidRDefault="00153F72" w:rsidP="00DC5C0B">
                      <w:pPr>
                        <w:pStyle w:val="Quote"/>
                        <w:spacing w:before="240" w:after="360"/>
                        <w:ind w:left="709"/>
                        <w:rPr>
                          <w:color w:val="18525E" w:themeColor="accent5" w:themeShade="80"/>
                          <w:sz w:val="21"/>
                          <w:szCs w:val="21"/>
                        </w:rPr>
                      </w:pPr>
                      <w:r w:rsidRPr="00A1178E">
                        <w:rPr>
                          <w:color w:val="18525E" w:themeColor="accent5" w:themeShade="80"/>
                          <w:sz w:val="21"/>
                          <w:szCs w:val="21"/>
                        </w:rPr>
                        <w:t>We’ve challenged the traditional notion of how the public service enacts and develops policy. We never had a position before going into the meetings – no cabinet-in-confidence</w:t>
                      </w:r>
                    </w:p>
                    <w:p w14:paraId="786668D8" w14:textId="77777777" w:rsidR="00153F72" w:rsidRPr="00A1178E" w:rsidRDefault="00153F72" w:rsidP="00DC5C0B">
                      <w:pPr>
                        <w:pStyle w:val="Quote"/>
                        <w:spacing w:before="240" w:after="360"/>
                        <w:ind w:left="709"/>
                        <w:rPr>
                          <w:color w:val="18525E" w:themeColor="accent5" w:themeShade="80"/>
                          <w:sz w:val="21"/>
                          <w:szCs w:val="21"/>
                        </w:rPr>
                      </w:pPr>
                      <w:r w:rsidRPr="00A1178E">
                        <w:rPr>
                          <w:color w:val="18525E" w:themeColor="accent5" w:themeShade="80"/>
                          <w:sz w:val="21"/>
                          <w:szCs w:val="21"/>
                        </w:rPr>
                        <w:t>We didn’t wait for the policy to be finished and then consult around the edges.</w:t>
                      </w:r>
                    </w:p>
                    <w:p w14:paraId="0BD12B8B" w14:textId="77777777" w:rsidR="00153F72" w:rsidRPr="000A6C2B" w:rsidRDefault="00153F72" w:rsidP="00153F72">
                      <w:pPr>
                        <w:pStyle w:val="NoSpacing"/>
                      </w:pPr>
                      <w:r w:rsidRPr="000A6C2B">
                        <w:t>These findings demonstrate the potential for agility within formal government systems to support adaptive practice consistent with principles of self-determination. They provide important lessons and a blueprint for forging other partnerships between governments and Aboriginal and Torres Strait Islander people, communities</w:t>
                      </w:r>
                      <w:r>
                        <w:t>,</w:t>
                      </w:r>
                      <w:r w:rsidRPr="000A6C2B">
                        <w:t xml:space="preserve"> and organisations to deliver solutions for Closing the Gap. These ways of working are consistent with the clear commitments for shared decision-making within the National Agreement on Closing the Gap</w:t>
                      </w:r>
                      <w:r>
                        <w:t>, aligning</w:t>
                      </w:r>
                      <w:r w:rsidRPr="000A6C2B">
                        <w:t xml:space="preserve"> closely with commitments under Priority Reform 1 and 3.</w:t>
                      </w:r>
                    </w:p>
                    <w:p w14:paraId="72803DBF" w14:textId="77777777" w:rsidR="00153F72" w:rsidRDefault="00153F72" w:rsidP="00153F72">
                      <w:pPr>
                        <w:pStyle w:val="NoSpacing"/>
                        <w:spacing w:before="240"/>
                        <w:rPr>
                          <w:b/>
                          <w:bCs/>
                          <w:color w:val="357DBE" w:themeColor="accent1"/>
                        </w:rPr>
                      </w:pPr>
                    </w:p>
                    <w:p w14:paraId="3CCDC8D0" w14:textId="77777777" w:rsidR="00153F72" w:rsidRPr="00973B1A" w:rsidRDefault="00153F72" w:rsidP="00153F72">
                      <w:pPr>
                        <w:pStyle w:val="NoSpacing"/>
                        <w:rPr>
                          <w:color w:val="FF0000"/>
                        </w:rPr>
                      </w:pPr>
                    </w:p>
                    <w:p w14:paraId="3D9DBA4A" w14:textId="77777777" w:rsidR="00153F72" w:rsidRDefault="00153F72" w:rsidP="00153F72">
                      <w:pPr>
                        <w:pStyle w:val="NoSpacing"/>
                        <w:spacing w:before="240"/>
                        <w:rPr>
                          <w:b/>
                          <w:bCs/>
                          <w:color w:val="357DBE" w:themeColor="accent1"/>
                        </w:rPr>
                      </w:pPr>
                    </w:p>
                  </w:txbxContent>
                </v:textbox>
                <w10:anchorlock/>
              </v:shape>
            </w:pict>
          </mc:Fallback>
        </mc:AlternateContent>
      </w:r>
    </w:p>
    <w:p w14:paraId="163983B4" w14:textId="77777777" w:rsidR="00153F72" w:rsidRPr="00884FAA" w:rsidRDefault="00153F72" w:rsidP="00651D06">
      <w:pPr>
        <w:pStyle w:val="Heading3"/>
      </w:pPr>
      <w:r w:rsidRPr="00884FAA">
        <w:t xml:space="preserve">Strengthen </w:t>
      </w:r>
      <w:r>
        <w:t>Aboriginal and Torres Strait Islander</w:t>
      </w:r>
      <w:r w:rsidRPr="00884FAA">
        <w:t xml:space="preserve"> health policy capacity</w:t>
      </w:r>
    </w:p>
    <w:p w14:paraId="377E3D59" w14:textId="22185C85" w:rsidR="00153F72" w:rsidRPr="00884FAA" w:rsidRDefault="00153F72" w:rsidP="00153F72">
      <w:r w:rsidRPr="00884FAA">
        <w:t xml:space="preserve">Some ACCHS participants discussed the </w:t>
      </w:r>
      <w:r w:rsidR="00C05EF9">
        <w:t>importance of embedding</w:t>
      </w:r>
      <w:r w:rsidR="00D039FA">
        <w:t xml:space="preserve"> and increasing the profile of </w:t>
      </w:r>
      <w:r w:rsidR="00563F38">
        <w:t>Aboriginal and Torres Strait Islander</w:t>
      </w:r>
      <w:r w:rsidR="00563F38" w:rsidRPr="00884FAA">
        <w:t xml:space="preserve"> </w:t>
      </w:r>
      <w:r w:rsidRPr="00884FAA">
        <w:t xml:space="preserve">health </w:t>
      </w:r>
      <w:r w:rsidR="00E06B97">
        <w:t xml:space="preserve">across </w:t>
      </w:r>
      <w:r w:rsidR="00107831">
        <w:t>department</w:t>
      </w:r>
      <w:r w:rsidR="00D039FA">
        <w:t xml:space="preserve">. </w:t>
      </w:r>
      <w:r w:rsidRPr="00884FAA">
        <w:t xml:space="preserve">They spoke about the </w:t>
      </w:r>
      <w:r w:rsidR="00812E8E">
        <w:t xml:space="preserve">value of having a </w:t>
      </w:r>
      <w:r w:rsidR="006F241D">
        <w:t xml:space="preserve">First Nations Health Division, </w:t>
      </w:r>
      <w:r w:rsidR="007F78D7">
        <w:t xml:space="preserve">and the need to further strengthen the department’s </w:t>
      </w:r>
      <w:r w:rsidRPr="00884FAA">
        <w:t xml:space="preserve">health policy capability to enable </w:t>
      </w:r>
      <w:r w:rsidR="007F78D7">
        <w:t>it</w:t>
      </w:r>
      <w:r w:rsidRPr="00884FAA">
        <w:t xml:space="preserve"> to </w:t>
      </w:r>
      <w:r w:rsidR="0053366D">
        <w:t xml:space="preserve">build </w:t>
      </w:r>
      <w:r w:rsidR="00AA436F">
        <w:t xml:space="preserve">on its experience as an effective </w:t>
      </w:r>
      <w:r w:rsidRPr="00884FAA">
        <w:t>partner</w:t>
      </w:r>
      <w:r w:rsidR="004B0BAF">
        <w:t xml:space="preserve"> in policy-making</w:t>
      </w:r>
      <w:r w:rsidRPr="00884FAA">
        <w:t>. People reflected that:</w:t>
      </w:r>
    </w:p>
    <w:p w14:paraId="01045893" w14:textId="5581BAA6" w:rsidR="00153F72" w:rsidRPr="00343EB2" w:rsidRDefault="009D17A0" w:rsidP="00343EB2">
      <w:pPr>
        <w:numPr>
          <w:ilvl w:val="0"/>
          <w:numId w:val="19"/>
        </w:numPr>
        <w:spacing w:after="120"/>
        <w:rPr>
          <w:bCs/>
        </w:rPr>
      </w:pPr>
      <w:r w:rsidRPr="00343EB2">
        <w:rPr>
          <w:bCs/>
        </w:rPr>
        <w:t>T</w:t>
      </w:r>
      <w:r w:rsidR="00153F72" w:rsidRPr="00343EB2">
        <w:rPr>
          <w:bCs/>
        </w:rPr>
        <w:t xml:space="preserve">he status of the specialist Aboriginal and Torres Strait Islander health division within the department had diminished over time since it transitioned from the Office of Aboriginal and Torres Strait Islander Health </w:t>
      </w:r>
      <w:r w:rsidR="009119B1" w:rsidRPr="00343EB2">
        <w:rPr>
          <w:bCs/>
        </w:rPr>
        <w:t xml:space="preserve">(OATSIH) </w:t>
      </w:r>
      <w:r w:rsidR="00153F72" w:rsidRPr="00343EB2">
        <w:rPr>
          <w:bCs/>
        </w:rPr>
        <w:t xml:space="preserve">to the Indigenous and Rural Health Division around 10 years </w:t>
      </w:r>
      <w:r w:rsidR="00590EE5">
        <w:rPr>
          <w:bCs/>
        </w:rPr>
        <w:t>ago.</w:t>
      </w:r>
      <w:r w:rsidR="00153F72" w:rsidRPr="00884FAA">
        <w:rPr>
          <w:rStyle w:val="FootnoteReference"/>
        </w:rPr>
        <w:footnoteReference w:id="78"/>
      </w:r>
      <w:r w:rsidR="00AA35E2">
        <w:rPr>
          <w:bCs/>
        </w:rPr>
        <w:t xml:space="preserve"> </w:t>
      </w:r>
      <w:r w:rsidR="007D58AB" w:rsidRPr="00343EB2">
        <w:rPr>
          <w:bCs/>
        </w:rPr>
        <w:t xml:space="preserve">This included perceptions that the </w:t>
      </w:r>
      <w:r w:rsidR="00805542" w:rsidRPr="00343EB2">
        <w:rPr>
          <w:bCs/>
        </w:rPr>
        <w:t xml:space="preserve">division was more siloed from the rest of the department </w:t>
      </w:r>
      <w:r w:rsidR="009119B1" w:rsidRPr="00343EB2">
        <w:rPr>
          <w:bCs/>
        </w:rPr>
        <w:t>than it was under OATSIH.</w:t>
      </w:r>
    </w:p>
    <w:p w14:paraId="1EC6BFB1" w14:textId="4F7D43FA" w:rsidR="00153F72" w:rsidRPr="00343EB2" w:rsidRDefault="009D17A0" w:rsidP="00343EB2">
      <w:pPr>
        <w:numPr>
          <w:ilvl w:val="0"/>
          <w:numId w:val="19"/>
        </w:numPr>
        <w:spacing w:after="120"/>
        <w:rPr>
          <w:bCs/>
        </w:rPr>
      </w:pPr>
      <w:r w:rsidRPr="00343EB2">
        <w:rPr>
          <w:bCs/>
        </w:rPr>
        <w:t>The status of the First Nations Health Division needed to be elevated to achieve its goal of having influence and leverage over other parts of the department with responsibility for decision-making that influences the operation of the health system and health outcomes for Aboriginal and Torres Strait Islander people.</w:t>
      </w:r>
      <w:r w:rsidR="009972C6" w:rsidRPr="00343EB2">
        <w:rPr>
          <w:bCs/>
        </w:rPr>
        <w:t xml:space="preserve"> </w:t>
      </w:r>
    </w:p>
    <w:p w14:paraId="35CEE357" w14:textId="77777777" w:rsidR="00153F72" w:rsidRDefault="00153F72" w:rsidP="00153F72">
      <w:r>
        <w:lastRenderedPageBreak/>
        <w:t>Participants</w:t>
      </w:r>
      <w:r w:rsidRPr="00884FAA">
        <w:t xml:space="preserve"> recommended elevating the position of the division within the department to increase the focus on </w:t>
      </w:r>
      <w:r>
        <w:t>Aboriginal and Torres Strait Islander</w:t>
      </w:r>
      <w:r w:rsidRPr="00884FAA">
        <w:t xml:space="preserve"> health at the most senior executive level of the department.</w:t>
      </w:r>
    </w:p>
    <w:p w14:paraId="36729FBE" w14:textId="208B9E04" w:rsidR="00C3302B" w:rsidRDefault="003D13FE" w:rsidP="00153F72">
      <w:r>
        <w:t xml:space="preserve">Staff from the First Nations Health Division </w:t>
      </w:r>
      <w:r w:rsidR="00C51D9E">
        <w:t>reported that the</w:t>
      </w:r>
      <w:r w:rsidR="005C0B81">
        <w:t>y play an important leveraging role across other parts of the department</w:t>
      </w:r>
      <w:r w:rsidR="00264B9F">
        <w:t xml:space="preserve">, and </w:t>
      </w:r>
      <w:r w:rsidR="00A11E7B">
        <w:t xml:space="preserve">that </w:t>
      </w:r>
      <w:r w:rsidR="00264B9F">
        <w:t>th</w:t>
      </w:r>
      <w:r w:rsidR="008B1C42">
        <w:t>e</w:t>
      </w:r>
      <w:r w:rsidR="00264B9F">
        <w:t xml:space="preserve"> refreshed National Agreement on Closing the Gap</w:t>
      </w:r>
      <w:r w:rsidR="008B1C42">
        <w:t xml:space="preserve"> </w:t>
      </w:r>
      <w:r w:rsidR="00926A08">
        <w:t xml:space="preserve">has strengthened these leveraging opportunities. </w:t>
      </w:r>
      <w:r w:rsidR="008C0A8A">
        <w:t>It was clear that some ACCHS evaluation participants</w:t>
      </w:r>
      <w:r w:rsidR="003E2859">
        <w:t xml:space="preserve"> were not aware that the division was playing a significant </w:t>
      </w:r>
      <w:r w:rsidR="00C3302B">
        <w:t xml:space="preserve">leveraging </w:t>
      </w:r>
      <w:r w:rsidR="003E2859">
        <w:t>role</w:t>
      </w:r>
      <w:r w:rsidR="00C3302B">
        <w:t>.</w:t>
      </w:r>
      <w:r w:rsidR="000D7805">
        <w:t xml:space="preserve"> Other</w:t>
      </w:r>
      <w:r w:rsidR="008F3DCB">
        <w:t>s called for more of this</w:t>
      </w:r>
      <w:r w:rsidR="007C0558">
        <w:t>.</w:t>
      </w:r>
    </w:p>
    <w:p w14:paraId="129F50A1" w14:textId="0182269E" w:rsidR="008F3DCB" w:rsidRPr="00A1178E" w:rsidRDefault="008F3DCB" w:rsidP="008F3DCB">
      <w:pPr>
        <w:pStyle w:val="Quote"/>
        <w:spacing w:after="0"/>
        <w:rPr>
          <w:color w:val="18525E" w:themeColor="accent5" w:themeShade="80"/>
        </w:rPr>
      </w:pPr>
      <w:r w:rsidRPr="00A1178E">
        <w:rPr>
          <w:color w:val="18525E" w:themeColor="accent5" w:themeShade="80"/>
        </w:rPr>
        <w:t>I don’t mind that. They [the First Nations Health Division] should facilitate. They don’t do that enough.</w:t>
      </w:r>
    </w:p>
    <w:p w14:paraId="56729B7F" w14:textId="40F81365" w:rsidR="008F3DCB" w:rsidRPr="00926A08" w:rsidRDefault="002B1F63" w:rsidP="00926A08">
      <w:pPr>
        <w:spacing w:before="120"/>
        <w:jc w:val="right"/>
        <w:rPr>
          <w:b/>
          <w:bCs/>
        </w:rPr>
      </w:pPr>
      <w:r>
        <w:rPr>
          <w:b/>
          <w:bCs/>
        </w:rPr>
        <w:t>ACCHS</w:t>
      </w:r>
      <w:r w:rsidR="008F3DCB">
        <w:rPr>
          <w:b/>
          <w:bCs/>
        </w:rPr>
        <w:t xml:space="preserve">, </w:t>
      </w:r>
      <w:r>
        <w:rPr>
          <w:b/>
          <w:bCs/>
        </w:rPr>
        <w:t>Remote location</w:t>
      </w:r>
    </w:p>
    <w:p w14:paraId="5CF450C7" w14:textId="16CFE42C" w:rsidR="00153F72" w:rsidRPr="00884FAA" w:rsidRDefault="00153F72" w:rsidP="00651D06">
      <w:pPr>
        <w:pStyle w:val="Heading3"/>
      </w:pPr>
      <w:r w:rsidRPr="00884FAA">
        <w:t xml:space="preserve">Support </w:t>
      </w:r>
      <w:r w:rsidR="001805C0">
        <w:t>community</w:t>
      </w:r>
      <w:r w:rsidRPr="00884FAA">
        <w:t xml:space="preserve"> engagement in program and service design</w:t>
      </w:r>
    </w:p>
    <w:p w14:paraId="23CBC9C5" w14:textId="33A3A2DD" w:rsidR="00153F72" w:rsidRPr="00884FAA" w:rsidRDefault="00153F72" w:rsidP="00FA3B1D">
      <w:pPr>
        <w:numPr>
          <w:ilvl w:val="0"/>
          <w:numId w:val="20"/>
        </w:numPr>
      </w:pPr>
      <w:r w:rsidRPr="00884FAA">
        <w:t>Evaluation participants shared experiences of how health service organisations and communities have been engaged in the design of programs and services, including through co-design processes. There was a widespread view that current processes do not work well for everyone and there is significant opportunity for improvement. This is important for the IAHP given the evaluation has found that some programs are not sufficiently flexible to be responsive to local circumstances. Participants discussed gaps and opportunities at two levels.</w:t>
      </w:r>
    </w:p>
    <w:p w14:paraId="5C085E7C" w14:textId="77777777" w:rsidR="00153F72" w:rsidRPr="00884FAA" w:rsidRDefault="00153F72" w:rsidP="002B4878">
      <w:pPr>
        <w:pStyle w:val="Heading6"/>
        <w:numPr>
          <w:ilvl w:val="0"/>
          <w:numId w:val="0"/>
        </w:numPr>
        <w:rPr>
          <w:lang w:val="en-AU"/>
        </w:rPr>
      </w:pPr>
      <w:r w:rsidRPr="00884FAA">
        <w:rPr>
          <w:lang w:val="en-AU"/>
        </w:rPr>
        <w:t>Local community engagement on Aboriginal and Torres Strait Islander health and wellbeing needs and potential solutions</w:t>
      </w:r>
    </w:p>
    <w:p w14:paraId="481DA5AB" w14:textId="77777777" w:rsidR="00153F72" w:rsidRPr="00884FAA" w:rsidRDefault="00153F72" w:rsidP="00FA3B1D">
      <w:pPr>
        <w:numPr>
          <w:ilvl w:val="0"/>
          <w:numId w:val="20"/>
        </w:numPr>
      </w:pPr>
      <w:r w:rsidRPr="00884FAA">
        <w:t xml:space="preserve">Evaluation participants </w:t>
      </w:r>
      <w:r>
        <w:t>spoke</w:t>
      </w:r>
      <w:r w:rsidRPr="00884FAA">
        <w:t xml:space="preserve"> about the need for health service organisations to have the space and resources to engage directly with their communities to understand the health and wellbeing requirements of Aboriginal and Torres Strait Islander people before commencing program co-design discussions with funding organisations. </w:t>
      </w:r>
    </w:p>
    <w:p w14:paraId="34697D2B" w14:textId="77777777" w:rsidR="00153F72" w:rsidRPr="00A1178E" w:rsidRDefault="00153F72" w:rsidP="008957D7">
      <w:pPr>
        <w:pStyle w:val="Quote"/>
        <w:spacing w:before="240" w:after="0"/>
        <w:rPr>
          <w:color w:val="18525E" w:themeColor="accent5" w:themeShade="80"/>
        </w:rPr>
      </w:pPr>
      <w:r w:rsidRPr="00A1178E">
        <w:rPr>
          <w:color w:val="18525E" w:themeColor="accent5" w:themeShade="80"/>
        </w:rPr>
        <w:t>We need our own space as Aboriginal people to be able to, and as an organisation in this respect, say this is how it looks for us for the next 10 years. This is our roadmap, this is how we see we can actually address the health issues in our community, you know, and then we're looking at co-design from there.</w:t>
      </w:r>
    </w:p>
    <w:p w14:paraId="4DF3B19D" w14:textId="77777777" w:rsidR="00153F72" w:rsidRPr="000D360A" w:rsidRDefault="00153F72" w:rsidP="00153F72">
      <w:pPr>
        <w:jc w:val="right"/>
        <w:rPr>
          <w:b/>
          <w:bCs/>
        </w:rPr>
      </w:pPr>
      <w:r w:rsidRPr="000D360A">
        <w:rPr>
          <w:b/>
          <w:bCs/>
        </w:rPr>
        <w:t xml:space="preserve">ACCHS, Metropolitan location </w:t>
      </w:r>
    </w:p>
    <w:p w14:paraId="2F8BE22C" w14:textId="77777777" w:rsidR="00C71700" w:rsidRDefault="00C71700">
      <w:pPr>
        <w:jc w:val="left"/>
      </w:pPr>
      <w:r>
        <w:br w:type="page"/>
      </w:r>
    </w:p>
    <w:p w14:paraId="18F1A975" w14:textId="187A86A3" w:rsidR="00153F72" w:rsidRPr="00884FAA" w:rsidRDefault="00153F72" w:rsidP="00FA3B1D">
      <w:pPr>
        <w:numPr>
          <w:ilvl w:val="0"/>
          <w:numId w:val="20"/>
        </w:numPr>
      </w:pPr>
      <w:r w:rsidRPr="00884FAA">
        <w:lastRenderedPageBreak/>
        <w:t xml:space="preserve">Participants told </w:t>
      </w:r>
      <w:r>
        <w:t>the evaluation</w:t>
      </w:r>
      <w:r w:rsidRPr="00884FAA">
        <w:t xml:space="preserve"> that this is an essential step for self-determination and community-control over health care for </w:t>
      </w:r>
      <w:r>
        <w:t>Aboriginal and Torres Strait Islander</w:t>
      </w:r>
      <w:r w:rsidRPr="00884FAA">
        <w:t xml:space="preserve"> people. It was also seen in terms of honouring the Alma-Ata Declaration on PHC which states: </w:t>
      </w:r>
      <w:r w:rsidRPr="00884FAA">
        <w:rPr>
          <w:i/>
          <w:iCs/>
        </w:rPr>
        <w:t>‘people have the right and duty to participate individually and collectively in the planning and implementation of their health care’</w:t>
      </w:r>
      <w:r w:rsidRPr="00884FAA">
        <w:t xml:space="preserve"> </w:t>
      </w:r>
      <w:r w:rsidRPr="00884FAA">
        <w:fldChar w:fldCharType="begin"/>
      </w:r>
      <w:r w:rsidR="00F8760E">
        <w:instrText xml:space="preserve"> ADDIN ZOTERO_ITEM CSL_CITATION {"citationID":"8ftr1saz","properties":{"formattedCitation":"(World Health Organization, 1978)","plainCitation":"(World Health Organization, 1978)","noteIndex":0},"citationItems":[{"id":1823,"uris":["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http://zotero.org/groups/4420056/items/B873RW3W"]]]]]],"itemData":{"id":1823,"type":"report","event-place":"Regional Office for Europe","publisher":"World Health Organization.","publisher-place":"Regional Office for Europe","title":"Declaration of alma-ata","URL":"https://www.who.int/teams/social-determinants-of-health/declaration-of-alma-ata#:~:text=The%20Alma%2DAta%20Declaration%20of,goal%20of%20Health%20for%20All.","author":[{"literal":"World Health Organization"}],"issued":{"date-parts":[["1978"]]}}}],"schema":"https://github.com/citation-style-language/schema/raw/master/csl-citation.json"} </w:instrText>
      </w:r>
      <w:r w:rsidRPr="00884FAA">
        <w:fldChar w:fldCharType="separate"/>
      </w:r>
      <w:r w:rsidRPr="00884FAA">
        <w:t>(World Health Organization, 1978)</w:t>
      </w:r>
      <w:r w:rsidRPr="00884FAA">
        <w:fldChar w:fldCharType="end"/>
      </w:r>
      <w:r w:rsidRPr="00884FAA">
        <w:t>.</w:t>
      </w:r>
    </w:p>
    <w:p w14:paraId="09FEA3AE" w14:textId="77777777" w:rsidR="00153F72" w:rsidRPr="00A1178E" w:rsidRDefault="00153F72" w:rsidP="00153F72">
      <w:pPr>
        <w:pStyle w:val="Quote"/>
        <w:spacing w:after="0"/>
        <w:rPr>
          <w:color w:val="18525E" w:themeColor="accent5" w:themeShade="80"/>
        </w:rPr>
      </w:pPr>
      <w:r w:rsidRPr="00A1178E">
        <w:rPr>
          <w:color w:val="18525E" w:themeColor="accent5" w:themeShade="80"/>
        </w:rPr>
        <w:t>We've got to build this virtuous cycle of deep listening and being responsive to what the community needs and aspirations are.</w:t>
      </w:r>
    </w:p>
    <w:p w14:paraId="08DA0A34" w14:textId="77777777" w:rsidR="00153F72" w:rsidRPr="00390882" w:rsidRDefault="00153F72" w:rsidP="00153F72">
      <w:pPr>
        <w:jc w:val="right"/>
        <w:rPr>
          <w:b/>
          <w:bCs/>
        </w:rPr>
      </w:pPr>
      <w:r>
        <w:rPr>
          <w:b/>
          <w:bCs/>
        </w:rPr>
        <w:t>State or territory government</w:t>
      </w:r>
    </w:p>
    <w:p w14:paraId="2FC62503" w14:textId="77777777" w:rsidR="00153F72" w:rsidRPr="00884FAA" w:rsidRDefault="00153F72" w:rsidP="00FA3B1D">
      <w:pPr>
        <w:numPr>
          <w:ilvl w:val="0"/>
          <w:numId w:val="20"/>
        </w:numPr>
      </w:pPr>
      <w:r w:rsidRPr="00884FAA">
        <w:t>Participants expressed how engaging with communities has ripple effects in terms of Aboriginal and Torres Strait Islander people being engaged in their health care, having wider community agency</w:t>
      </w:r>
      <w:r>
        <w:t>,</w:t>
      </w:r>
      <w:r w:rsidRPr="00884FAA">
        <w:t xml:space="preserve"> and building understanding about the health service. It also enables innovations to surface, for solutions to be created and supported by the community</w:t>
      </w:r>
      <w:r>
        <w:t>,</w:t>
      </w:r>
      <w:r w:rsidRPr="00884FAA">
        <w:t xml:space="preserve"> and can foster stronger health service accountability to community.</w:t>
      </w:r>
    </w:p>
    <w:p w14:paraId="5F86BFCD" w14:textId="77777777" w:rsidR="00153F72" w:rsidRPr="00884FAA" w:rsidRDefault="00153F72" w:rsidP="00FA3B1D">
      <w:pPr>
        <w:numPr>
          <w:ilvl w:val="0"/>
          <w:numId w:val="20"/>
        </w:numPr>
      </w:pPr>
      <w:r w:rsidRPr="00884FAA">
        <w:t>While ACCHSs have processes for engaging with communities, many ACCHS staff and community members reported the need to strengthen these commitments. A government-run health service reported on a recent initiative to re-establish health advisory groups across its communities to better understand how it should communicate with the Aboriginal and Torres Strait Islander community and how it could deliver services in a more culturally appropriate way. Participants reflected on the absence of mechanisms for the government to hear from health service consumers, including on their experiences of health care.</w:t>
      </w:r>
    </w:p>
    <w:p w14:paraId="4F7901E6" w14:textId="77777777" w:rsidR="00153F72" w:rsidRPr="00884FAA" w:rsidRDefault="00153F72" w:rsidP="002B4878">
      <w:pPr>
        <w:pStyle w:val="Heading6"/>
        <w:numPr>
          <w:ilvl w:val="0"/>
          <w:numId w:val="0"/>
        </w:numPr>
        <w:rPr>
          <w:lang w:val="en-AU"/>
        </w:rPr>
      </w:pPr>
      <w:r w:rsidRPr="00884FAA">
        <w:rPr>
          <w:lang w:val="en-AU"/>
        </w:rPr>
        <w:t>Engagement with funders to design programs and services to meet the health and wellbeing needs of Aboriginal and Torres Strait Islander people</w:t>
      </w:r>
    </w:p>
    <w:p w14:paraId="704ABA01" w14:textId="77777777" w:rsidR="00153F72" w:rsidRPr="00884FAA" w:rsidRDefault="00153F72" w:rsidP="00FA3B1D">
      <w:pPr>
        <w:numPr>
          <w:ilvl w:val="0"/>
          <w:numId w:val="20"/>
        </w:numPr>
      </w:pPr>
      <w:r w:rsidRPr="00884FAA">
        <w:t>Many participants had recent experience in co-design processes for specific programs and services, including programs under the IAHP. This includes co-design processes with the department and NACCHO, with state and territory peak body affiliates and governments, and with PHNs and local hospital networks. There is a growing body of practice to learn from and participants identified several areas for improvement to co-design processes based on recent experiences</w:t>
      </w:r>
      <w:r>
        <w:t>.</w:t>
      </w:r>
    </w:p>
    <w:p w14:paraId="7DCEB650" w14:textId="77777777" w:rsidR="00153F72" w:rsidRPr="00884FAA" w:rsidRDefault="00153F72" w:rsidP="00343EB2">
      <w:pPr>
        <w:numPr>
          <w:ilvl w:val="0"/>
          <w:numId w:val="19"/>
        </w:numPr>
        <w:spacing w:after="120"/>
      </w:pPr>
      <w:r w:rsidRPr="00BB29F9">
        <w:rPr>
          <w:b/>
          <w:bCs/>
        </w:rPr>
        <w:t>Transfer decision-making</w:t>
      </w:r>
      <w:r w:rsidRPr="00884FAA">
        <w:t xml:space="preserve"> on program and service design as far as possible to the local community level to strengthen ownership and alignment with community values and needs. Too often, program and service design parameters are set before community co-design resulting in misalignment. Fundamentally, there is a need for clear expectations on what program or service parameters can be co-designed and what are fixed, and how much authority co-design partners have. Participants discussed the value of having a framework to design within, with an understanding of why there are boundaries (</w:t>
      </w:r>
      <w:r>
        <w:t xml:space="preserve">for example, </w:t>
      </w:r>
      <w:r w:rsidRPr="00884FAA">
        <w:t>there might be a policy basis for a particular focus).</w:t>
      </w:r>
    </w:p>
    <w:p w14:paraId="7E35284D" w14:textId="77777777" w:rsidR="00153F72" w:rsidRPr="00884FAA" w:rsidRDefault="00153F72" w:rsidP="00343EB2">
      <w:pPr>
        <w:numPr>
          <w:ilvl w:val="0"/>
          <w:numId w:val="19"/>
        </w:numPr>
        <w:spacing w:after="120"/>
      </w:pPr>
      <w:r w:rsidRPr="00884FAA">
        <w:t xml:space="preserve">Officers/staff in the funding organisation need to </w:t>
      </w:r>
      <w:r w:rsidRPr="00BB29F9">
        <w:rPr>
          <w:b/>
          <w:bCs/>
        </w:rPr>
        <w:t>spend sufficient time listening</w:t>
      </w:r>
      <w:r w:rsidRPr="00884FAA">
        <w:t xml:space="preserve"> to people in the community. This will assist to build understanding of the people the service or program is supporting and to enable deep conversations with community, </w:t>
      </w:r>
      <w:r w:rsidRPr="00884FAA">
        <w:rPr>
          <w:i/>
          <w:iCs/>
        </w:rPr>
        <w:t>‘not just time in the boardroom’</w:t>
      </w:r>
      <w:r w:rsidRPr="00884FAA">
        <w:t xml:space="preserve">. It is particularly important that funders recognise </w:t>
      </w:r>
      <w:r w:rsidRPr="00884FAA">
        <w:lastRenderedPageBreak/>
        <w:t>Aboriginal and Torres Strait Islander people and communities’ aspirations for health and wellbeing and the existing knowledge about what works within their communities.</w:t>
      </w:r>
    </w:p>
    <w:p w14:paraId="5857FAF2" w14:textId="77777777" w:rsidR="00153F72" w:rsidRPr="00884FAA" w:rsidRDefault="00153F72" w:rsidP="00343EB2">
      <w:pPr>
        <w:numPr>
          <w:ilvl w:val="0"/>
          <w:numId w:val="19"/>
        </w:numPr>
        <w:spacing w:after="120"/>
      </w:pPr>
      <w:r w:rsidRPr="00884FAA">
        <w:t xml:space="preserve">Ensure that enough time is allowed to </w:t>
      </w:r>
      <w:r w:rsidRPr="00BB29F9">
        <w:rPr>
          <w:b/>
          <w:bCs/>
        </w:rPr>
        <w:t>develop a clear understanding</w:t>
      </w:r>
      <w:r w:rsidRPr="00884FAA">
        <w:t xml:space="preserve"> of what co-design means for a particular community, and provide clarity around what that means in terms of appropriate processes, scope of participation and cultural protocols that need to be followed.</w:t>
      </w:r>
    </w:p>
    <w:p w14:paraId="42430230" w14:textId="77777777" w:rsidR="00153F72" w:rsidRPr="00884FAA" w:rsidRDefault="00153F72" w:rsidP="00343EB2">
      <w:pPr>
        <w:numPr>
          <w:ilvl w:val="0"/>
          <w:numId w:val="19"/>
        </w:numPr>
        <w:spacing w:after="120"/>
      </w:pPr>
      <w:r w:rsidRPr="00BB29F9">
        <w:rPr>
          <w:b/>
          <w:bCs/>
        </w:rPr>
        <w:t>Support genuine participation in co-design</w:t>
      </w:r>
      <w:r w:rsidRPr="00884FAA">
        <w:t xml:space="preserve"> processes through providing sufficient time and resourcing for Aboriginal and Torres Strait Islander people, communities</w:t>
      </w:r>
      <w:r>
        <w:t>,</w:t>
      </w:r>
      <w:r w:rsidRPr="00884FAA">
        <w:t xml:space="preserve"> and services to actively participate and contribute to the co-design process.</w:t>
      </w:r>
    </w:p>
    <w:p w14:paraId="1FB7B0F9" w14:textId="77777777" w:rsidR="00153F72" w:rsidRPr="00884FAA" w:rsidRDefault="00153F72" w:rsidP="00343EB2">
      <w:pPr>
        <w:numPr>
          <w:ilvl w:val="0"/>
          <w:numId w:val="19"/>
        </w:numPr>
        <w:spacing w:after="120"/>
      </w:pPr>
      <w:r w:rsidRPr="00884FAA">
        <w:t xml:space="preserve">Adopt a </w:t>
      </w:r>
      <w:r w:rsidRPr="00BB29F9">
        <w:rPr>
          <w:b/>
          <w:bCs/>
        </w:rPr>
        <w:t>range of different ways to engage</w:t>
      </w:r>
      <w:r w:rsidRPr="00884FAA">
        <w:t xml:space="preserve"> directly with people. Some participants reported that surveys and lengthy documents are not working for them.</w:t>
      </w:r>
    </w:p>
    <w:p w14:paraId="650D0983" w14:textId="745DE2D6" w:rsidR="00153F72" w:rsidRPr="00884FAA" w:rsidRDefault="00153F72" w:rsidP="00FA3B1D">
      <w:pPr>
        <w:numPr>
          <w:ilvl w:val="0"/>
          <w:numId w:val="20"/>
        </w:numPr>
      </w:pPr>
      <w:r w:rsidRPr="00884FAA">
        <w:t xml:space="preserve">Participants raised questions about who funding organisations should be co-designing with. In principle, many supported localised co-design but also recognised the reality that many local ACCHSs, for example, would not have the capacity to engage extensively in the co-design of programs and services. </w:t>
      </w:r>
      <w:r>
        <w:t>Participants</w:t>
      </w:r>
      <w:r w:rsidRPr="00884FAA">
        <w:t xml:space="preserve"> questioned how co-design should work at other levels, with state and territory affiliates and, nationally, with NACCHO. Several ACCHSs shared perspectives on the co-design partnership between the department and NACCHO for new IAHP infrastructure programs (Capital Works Program and Service Maintenance Program). NACCHO had engaged them in the process, which was appreciated and valued. </w:t>
      </w:r>
      <w:r w:rsidR="001114A3">
        <w:t xml:space="preserve">However, </w:t>
      </w:r>
      <w:r w:rsidRPr="00884FAA">
        <w:t>they felt there w</w:t>
      </w:r>
      <w:r w:rsidR="001114A3">
        <w:t>as</w:t>
      </w:r>
      <w:r w:rsidRPr="00884FAA">
        <w:t xml:space="preserve"> potential for tensions and that there would be other times where co-design should be undertaken by the department in partnership with the state and territory affiliates or directly with health services. </w:t>
      </w:r>
    </w:p>
    <w:p w14:paraId="4032C440" w14:textId="77777777" w:rsidR="00153F72" w:rsidRPr="00884FAA" w:rsidRDefault="00153F72" w:rsidP="00651D06">
      <w:pPr>
        <w:pStyle w:val="Heading3"/>
      </w:pPr>
      <w:r w:rsidRPr="00884FAA">
        <w:t>Align commissioning processes</w:t>
      </w:r>
    </w:p>
    <w:p w14:paraId="769FA709" w14:textId="2D4D5755" w:rsidR="00153F72" w:rsidRPr="00884FAA" w:rsidRDefault="00153F72" w:rsidP="00153F72">
      <w:r w:rsidRPr="00884FAA">
        <w:t xml:space="preserve">There are recent examples of commissioning practices that </w:t>
      </w:r>
      <w:r w:rsidR="00577D59">
        <w:t xml:space="preserve">are </w:t>
      </w:r>
      <w:r w:rsidRPr="00884FAA">
        <w:t>consistent with enabling partnerships, shared decision-making</w:t>
      </w:r>
      <w:r>
        <w:t>,</w:t>
      </w:r>
      <w:r w:rsidRPr="00884FAA">
        <w:t xml:space="preserve"> and community-led responses. This includes the co-design partnership between the department and NACCHO on the parameters and structure for the new infrastructure programs (referred to in the previous section), flexible funding allocated to ACCHSs as part of the COVID-19 response, and the funding of aged care services in ACCHSs</w:t>
      </w:r>
      <w:r>
        <w:t>.</w:t>
      </w:r>
      <w:r w:rsidRPr="00884FAA">
        <w:t xml:space="preserve"> Again, </w:t>
      </w:r>
      <w:r>
        <w:t>these</w:t>
      </w:r>
      <w:r w:rsidRPr="00884FAA">
        <w:t xml:space="preserve"> experience</w:t>
      </w:r>
      <w:r>
        <w:t>s</w:t>
      </w:r>
      <w:r w:rsidRPr="00884FAA">
        <w:t xml:space="preserve"> provide a platform to build on and participants identified areas for further development and improvement</w:t>
      </w:r>
      <w:r>
        <w:t>.</w:t>
      </w:r>
    </w:p>
    <w:p w14:paraId="65D7F1AA" w14:textId="595CADCC" w:rsidR="00153F72" w:rsidRPr="00884FAA" w:rsidRDefault="00153F72" w:rsidP="00343EB2">
      <w:pPr>
        <w:numPr>
          <w:ilvl w:val="0"/>
          <w:numId w:val="19"/>
        </w:numPr>
        <w:spacing w:after="120"/>
      </w:pPr>
      <w:r w:rsidRPr="00884FAA">
        <w:t xml:space="preserve">Developing a </w:t>
      </w:r>
      <w:r w:rsidRPr="00003C6B">
        <w:rPr>
          <w:b/>
          <w:bCs/>
        </w:rPr>
        <w:t>clear and transparent commissioning strategy</w:t>
      </w:r>
      <w:r w:rsidRPr="00884FAA">
        <w:t xml:space="preserve"> for the IAHP that reflects the intent of the various programs and activities, the intent of Closing the Gap and the Health Plan</w:t>
      </w:r>
      <w:r w:rsidR="005E3E23">
        <w:t>,</w:t>
      </w:r>
      <w:r w:rsidRPr="00884FAA">
        <w:t xml:space="preserve"> and</w:t>
      </w:r>
      <w:r w:rsidR="00146F18">
        <w:t xml:space="preserve"> outlines</w:t>
      </w:r>
      <w:r w:rsidRPr="00884FAA">
        <w:t xml:space="preserve"> best practice principles for Indigenous commissioning. </w:t>
      </w:r>
      <w:r w:rsidR="0068244A">
        <w:t>Note the</w:t>
      </w:r>
      <w:r w:rsidR="0068244A" w:rsidRPr="00884FAA">
        <w:t xml:space="preserve"> </w:t>
      </w:r>
      <w:r w:rsidRPr="00884FAA">
        <w:t xml:space="preserve">department is developing an IAHP Investment Strategy, including funding principles, which </w:t>
      </w:r>
      <w:r w:rsidR="0068244A">
        <w:t>aim</w:t>
      </w:r>
      <w:r w:rsidR="005E3E23">
        <w:t>s</w:t>
      </w:r>
      <w:r w:rsidR="0068244A">
        <w:t xml:space="preserve"> to </w:t>
      </w:r>
      <w:r w:rsidRPr="00884FAA">
        <w:t xml:space="preserve">fulfil this function. </w:t>
      </w:r>
    </w:p>
    <w:p w14:paraId="285EE817" w14:textId="77777777" w:rsidR="00153F72" w:rsidRPr="00884FAA" w:rsidRDefault="00153F72" w:rsidP="00343EB2">
      <w:pPr>
        <w:numPr>
          <w:ilvl w:val="0"/>
          <w:numId w:val="19"/>
        </w:numPr>
        <w:spacing w:after="120"/>
      </w:pPr>
      <w:r w:rsidRPr="00884FAA">
        <w:t xml:space="preserve">Ensuring all commissioners factor </w:t>
      </w:r>
      <w:r w:rsidRPr="00003C6B">
        <w:rPr>
          <w:b/>
          <w:bCs/>
        </w:rPr>
        <w:t>realistic administrative costs</w:t>
      </w:r>
      <w:r w:rsidRPr="00884FAA">
        <w:t xml:space="preserve"> into grants. One ACCHS participant reported a recent experience of a grant with NACCHO that had no administrative fee factored into it.</w:t>
      </w:r>
    </w:p>
    <w:p w14:paraId="5BFA9252" w14:textId="40EBDAC6" w:rsidR="00153F72" w:rsidRPr="00884FAA" w:rsidRDefault="00153F72" w:rsidP="00343EB2">
      <w:pPr>
        <w:numPr>
          <w:ilvl w:val="0"/>
          <w:numId w:val="19"/>
        </w:numPr>
        <w:spacing w:after="120"/>
      </w:pPr>
      <w:r w:rsidRPr="00884FAA">
        <w:t xml:space="preserve">Ensuring all commissioners run </w:t>
      </w:r>
      <w:r w:rsidRPr="00003C6B">
        <w:rPr>
          <w:b/>
          <w:bCs/>
        </w:rPr>
        <w:t>fair and transparent commissioning processes</w:t>
      </w:r>
      <w:r w:rsidRPr="00884FAA">
        <w:t xml:space="preserve"> and that decisions reflect need</w:t>
      </w:r>
      <w:r w:rsidR="00676BA5">
        <w:t>. S</w:t>
      </w:r>
      <w:r w:rsidR="00667EA1">
        <w:t xml:space="preserve">ome ACCHS participants </w:t>
      </w:r>
      <w:r w:rsidR="000E05B8">
        <w:t>raised</w:t>
      </w:r>
      <w:r w:rsidR="00667EA1">
        <w:t xml:space="preserve"> concer</w:t>
      </w:r>
      <w:r w:rsidR="000E05B8">
        <w:t>ns</w:t>
      </w:r>
      <w:r w:rsidR="00667EA1">
        <w:t xml:space="preserve"> about the risk of commissioning processes being influenced by the strength of personal relationships with purchasing/funding organisations</w:t>
      </w:r>
      <w:r w:rsidR="00557470">
        <w:t>.</w:t>
      </w:r>
    </w:p>
    <w:p w14:paraId="36CC3712" w14:textId="4142F19E" w:rsidR="00153F72" w:rsidRPr="001E5425" w:rsidRDefault="00153F72" w:rsidP="00343EB2">
      <w:pPr>
        <w:numPr>
          <w:ilvl w:val="0"/>
          <w:numId w:val="19"/>
        </w:numPr>
        <w:spacing w:after="120"/>
      </w:pPr>
      <w:r w:rsidRPr="001E5425">
        <w:lastRenderedPageBreak/>
        <w:t xml:space="preserve">Ensuring </w:t>
      </w:r>
      <w:r w:rsidRPr="001E5425">
        <w:rPr>
          <w:b/>
          <w:bCs/>
        </w:rPr>
        <w:t>clear separation of commissioning decisions</w:t>
      </w:r>
      <w:r w:rsidRPr="001E5425">
        <w:t xml:space="preserve"> from other, potential conflicting, relationships. This was a particular concern expressed by some ACCHS participants as NACCHO took on commissioning roles which involved decision-making on grants for its members</w:t>
      </w:r>
      <w:r w:rsidR="00AB41DF" w:rsidRPr="001E5425">
        <w:t>, such as under the new IAHP infrastructure programs.</w:t>
      </w:r>
      <w:r w:rsidRPr="001E5425">
        <w:t xml:space="preserve"> They felt this has the potential to ‘muddy the waters’ </w:t>
      </w:r>
      <w:r w:rsidR="00114360" w:rsidRPr="001E5425">
        <w:t>between NACCHO and its</w:t>
      </w:r>
      <w:r w:rsidRPr="001E5425">
        <w:t xml:space="preserve"> membership organisation</w:t>
      </w:r>
      <w:r w:rsidR="00114360" w:rsidRPr="001E5425">
        <w:t>s</w:t>
      </w:r>
      <w:r w:rsidR="004917BE" w:rsidRPr="001E5425">
        <w:t>.</w:t>
      </w:r>
      <w:r w:rsidR="004917BE" w:rsidRPr="001E5425" w:rsidDel="00274CCF">
        <w:t xml:space="preserve"> </w:t>
      </w:r>
      <w:r w:rsidR="00BF7C4A">
        <w:t>A PHN participant</w:t>
      </w:r>
      <w:r w:rsidR="00636041">
        <w:t xml:space="preserve"> who was involved in commissioning services also</w:t>
      </w:r>
      <w:r w:rsidR="006F77B9">
        <w:t xml:space="preserve"> commented </w:t>
      </w:r>
      <w:r w:rsidR="00B117F9">
        <w:t xml:space="preserve">on </w:t>
      </w:r>
      <w:r w:rsidR="00C96320">
        <w:t xml:space="preserve">how </w:t>
      </w:r>
      <w:r w:rsidR="0002032F">
        <w:t xml:space="preserve">the commissioner-provider relationship </w:t>
      </w:r>
      <w:r w:rsidR="00055ABC">
        <w:t xml:space="preserve">changed the nature of </w:t>
      </w:r>
      <w:r w:rsidR="00577048">
        <w:t>relationships.</w:t>
      </w:r>
      <w:r w:rsidR="00D06994" w:rsidRPr="001E5425">
        <w:t xml:space="preserve"> </w:t>
      </w:r>
    </w:p>
    <w:p w14:paraId="53697ADD" w14:textId="77777777" w:rsidR="00153F72" w:rsidRPr="00884FAA" w:rsidRDefault="00153F72" w:rsidP="00343EB2">
      <w:pPr>
        <w:numPr>
          <w:ilvl w:val="0"/>
          <w:numId w:val="19"/>
        </w:numPr>
        <w:spacing w:after="120"/>
      </w:pPr>
      <w:r w:rsidRPr="00884FAA">
        <w:t xml:space="preserve">Strengthening partnerships through </w:t>
      </w:r>
      <w:r w:rsidRPr="00003C6B">
        <w:rPr>
          <w:b/>
          <w:bCs/>
        </w:rPr>
        <w:t>relational commissioning</w:t>
      </w:r>
      <w:r w:rsidRPr="00884FAA">
        <w:t xml:space="preserve">. A number of ACCHS and PHN participants commented that the service relationship with government has evolved to be very transactional, driven by the contract or funding agreement: ‘It's very, you know, blah, blah, send a document, send a policy, send a, you know, send some report. It's not relational anymore’. They </w:t>
      </w:r>
      <w:r>
        <w:t>described</w:t>
      </w:r>
      <w:r w:rsidRPr="00884FAA">
        <w:t xml:space="preserve"> the commissioning relationship as ‘very surface level’, and ‘very thin’. As a result, they felt there was less trust and flexibility within the relationship.</w:t>
      </w:r>
    </w:p>
    <w:p w14:paraId="109B5B83" w14:textId="54D7D117" w:rsidR="00153F72" w:rsidRPr="00884FAA" w:rsidRDefault="00153F72" w:rsidP="00153F72">
      <w:r w:rsidRPr="00884FAA">
        <w:t xml:space="preserve">There is </w:t>
      </w:r>
      <w:r w:rsidR="00E61907">
        <w:t xml:space="preserve">some current </w:t>
      </w:r>
      <w:r w:rsidRPr="00884FAA">
        <w:t xml:space="preserve">uncertainty around the future role of NACCHO and state and territory affiliates in commissioning services, and there is uncertainty around the future role of PHNs in commissioning IAHP programs. ACCHS participants’ views on the role of these organisations varied significantly. Some rejected the concept of ‘middle men’ in the commissioning process altogether, wanting a direct funding relationship with the department. </w:t>
      </w:r>
      <w:r w:rsidR="004B6EBE">
        <w:t>T</w:t>
      </w:r>
      <w:r w:rsidRPr="00884FAA">
        <w:t>he positive experience with different commissioning models and the potential opportunities were also recognised</w:t>
      </w:r>
      <w:r w:rsidR="00390032">
        <w:t xml:space="preserve"> by participants</w:t>
      </w:r>
      <w:r w:rsidRPr="00884FAA">
        <w:t>.</w:t>
      </w:r>
    </w:p>
    <w:p w14:paraId="3312614B" w14:textId="77777777" w:rsidR="00153F72" w:rsidRPr="000D360A" w:rsidRDefault="00153F72" w:rsidP="0035030F">
      <w:pPr>
        <w:pStyle w:val="Heading2"/>
      </w:pPr>
      <w:bookmarkStart w:id="322" w:name="_Toc137208942"/>
      <w:r w:rsidRPr="000D360A">
        <w:t>Increase investment in primary care</w:t>
      </w:r>
      <w:bookmarkEnd w:id="322"/>
    </w:p>
    <w:p w14:paraId="632B56A1" w14:textId="788E7096" w:rsidR="00153F72" w:rsidRPr="000D360A" w:rsidRDefault="00153F72" w:rsidP="00153F72">
      <w:r w:rsidRPr="000D360A">
        <w:t xml:space="preserve">There was a high degree of consensus among evaluation participants, from all parts of the PHC system, that the level of investment in Aboriginal and Torres Strait Islander PHC is insufficient to meet Closing the Gap objectives. For ACCHSs, IAHP funding was seen as critical to maintaining service delivery but was not enough to improve health outcomes. Funding is </w:t>
      </w:r>
      <w:r w:rsidR="00851962">
        <w:t>not enough</w:t>
      </w:r>
      <w:r w:rsidRPr="000D360A">
        <w:t xml:space="preserve"> to meet increasing and more complex needs, </w:t>
      </w:r>
      <w:r w:rsidR="00D9796F">
        <w:t xml:space="preserve">or </w:t>
      </w:r>
      <w:r w:rsidRPr="000D360A">
        <w:t xml:space="preserve">keep pace with population growth and the corresponding need to grow services. One participant reported that, when adjusted for inflation, their service’s </w:t>
      </w:r>
      <w:r w:rsidR="000F7ACE">
        <w:t>PHC Program</w:t>
      </w:r>
      <w:r w:rsidRPr="000D360A">
        <w:t xml:space="preserve"> funding was going backwards.</w:t>
      </w:r>
    </w:p>
    <w:p w14:paraId="10A75D45" w14:textId="77777777" w:rsidR="00153F72" w:rsidRPr="00A1178E" w:rsidRDefault="00153F72" w:rsidP="00153F72">
      <w:pPr>
        <w:pStyle w:val="Quote"/>
        <w:spacing w:after="0"/>
        <w:rPr>
          <w:color w:val="18525E" w:themeColor="accent5" w:themeShade="80"/>
        </w:rPr>
      </w:pPr>
      <w:r w:rsidRPr="00A1178E">
        <w:rPr>
          <w:color w:val="18525E" w:themeColor="accent5" w:themeShade="80"/>
        </w:rPr>
        <w:t>To truly invest in close the gap for Aboriginal life, it's going to take a lot of time and a lot of bloody money.</w:t>
      </w:r>
    </w:p>
    <w:p w14:paraId="7FB1E06D" w14:textId="77777777" w:rsidR="00153F72" w:rsidRPr="00464B6F" w:rsidRDefault="00153F72" w:rsidP="00153F72">
      <w:pPr>
        <w:jc w:val="right"/>
        <w:rPr>
          <w:b/>
          <w:bCs/>
        </w:rPr>
      </w:pPr>
      <w:r w:rsidRPr="00464B6F">
        <w:rPr>
          <w:b/>
          <w:bCs/>
        </w:rPr>
        <w:t xml:space="preserve">ACCHS, Remote location </w:t>
      </w:r>
    </w:p>
    <w:p w14:paraId="7751E1D3" w14:textId="77777777" w:rsidR="002B4878" w:rsidRDefault="002B4878">
      <w:pPr>
        <w:jc w:val="left"/>
        <w:rPr>
          <w:iCs/>
          <w:color w:val="30A6BC" w:themeColor="accent5"/>
          <w:szCs w:val="28"/>
        </w:rPr>
      </w:pPr>
      <w:r>
        <w:br w:type="page"/>
      </w:r>
    </w:p>
    <w:p w14:paraId="65FBB6EC" w14:textId="77777777" w:rsidR="00153F72" w:rsidRPr="00A1178E" w:rsidRDefault="00153F72" w:rsidP="00153F72">
      <w:pPr>
        <w:pStyle w:val="Quote"/>
        <w:spacing w:before="240" w:after="0"/>
        <w:rPr>
          <w:color w:val="18525E" w:themeColor="accent5" w:themeShade="80"/>
        </w:rPr>
      </w:pPr>
      <w:r w:rsidRPr="00A1178E">
        <w:rPr>
          <w:color w:val="18525E" w:themeColor="accent5" w:themeShade="80"/>
        </w:rPr>
        <w:lastRenderedPageBreak/>
        <w:t>It's [PHC investment] not even close in, let alone all the complexities …the 20% growth in chronic conditions in the last 2 years alone. This funding model cannot keep up to speed with the rapid acceleration of care needs that we're experiencing.</w:t>
      </w:r>
    </w:p>
    <w:p w14:paraId="04A5695C" w14:textId="77777777" w:rsidR="00153F72" w:rsidRPr="00464B6F" w:rsidRDefault="00153F72" w:rsidP="00153F72">
      <w:pPr>
        <w:spacing w:before="120"/>
        <w:jc w:val="right"/>
        <w:rPr>
          <w:b/>
          <w:bCs/>
        </w:rPr>
      </w:pPr>
      <w:r w:rsidRPr="00464B6F">
        <w:rPr>
          <w:b/>
          <w:bCs/>
        </w:rPr>
        <w:t xml:space="preserve">State or territory government </w:t>
      </w:r>
    </w:p>
    <w:p w14:paraId="58C797EE" w14:textId="013166DC" w:rsidR="00153F72" w:rsidRPr="000D360A" w:rsidRDefault="00153F72" w:rsidP="00153F72">
      <w:r w:rsidRPr="000D360A">
        <w:t xml:space="preserve">There was also widespread recognition that the IAHP funding model is about ‘divvying up a bucket’ of funding, based on a capped budget as opposed to a demand-driven model that fully accounted for health care need within Aboriginal and Torres Strait Islander communities. Furthermore, participants from state and territory PHC services considered that the funding model also failed to take a population-based approach. These services receive a different level of </w:t>
      </w:r>
      <w:r w:rsidR="000F7ACE">
        <w:t>PHC Program</w:t>
      </w:r>
      <w:r w:rsidRPr="000D360A">
        <w:t xml:space="preserve"> funding than ACCHSs and, reportedly, did not have the same access to other funding for specific programs (for example, funding to control the syphilis outbreak).</w:t>
      </w:r>
    </w:p>
    <w:p w14:paraId="7C1C776C" w14:textId="77777777" w:rsidR="00153F72" w:rsidRPr="00A1178E" w:rsidRDefault="00153F72" w:rsidP="00153F72">
      <w:pPr>
        <w:pStyle w:val="Quote"/>
        <w:spacing w:after="0"/>
        <w:rPr>
          <w:color w:val="18525E" w:themeColor="accent5" w:themeShade="80"/>
        </w:rPr>
      </w:pPr>
      <w:r w:rsidRPr="00A1178E">
        <w:rPr>
          <w:color w:val="18525E" w:themeColor="accent5" w:themeShade="80"/>
        </w:rPr>
        <w:t>You don't win at a population level if you differentiate on who's paying salaries in terms of organisations…. Why disadvantage the 30% of the population who don't have the choice to attend an ACCHO. There's only one service provider by default … why would you freeze them out of any of these programs?</w:t>
      </w:r>
    </w:p>
    <w:p w14:paraId="6B1E7500" w14:textId="77777777" w:rsidR="00153F72" w:rsidRPr="00464B6F" w:rsidRDefault="00153F72" w:rsidP="00153F72">
      <w:pPr>
        <w:jc w:val="right"/>
        <w:rPr>
          <w:b/>
          <w:bCs/>
        </w:rPr>
      </w:pPr>
      <w:r w:rsidRPr="00464B6F">
        <w:rPr>
          <w:b/>
          <w:bCs/>
        </w:rPr>
        <w:t xml:space="preserve">State or territory government </w:t>
      </w:r>
    </w:p>
    <w:p w14:paraId="0A7B6A21" w14:textId="77777777" w:rsidR="00153F72" w:rsidRPr="00884FAA" w:rsidRDefault="00153F72" w:rsidP="00153F72">
      <w:r w:rsidRPr="00884FAA">
        <w:t>Participants identified steps to increase investment in PHC and some key areas where there was a need for specific investment and focus.</w:t>
      </w:r>
    </w:p>
    <w:p w14:paraId="3BA32178" w14:textId="5EF5CCFE" w:rsidR="00153F72" w:rsidRPr="00884FAA" w:rsidRDefault="00153F72" w:rsidP="002B4878">
      <w:pPr>
        <w:pStyle w:val="Heading6"/>
        <w:numPr>
          <w:ilvl w:val="0"/>
          <w:numId w:val="0"/>
        </w:numPr>
        <w:rPr>
          <w:lang w:val="en-AU"/>
        </w:rPr>
      </w:pPr>
      <w:r w:rsidRPr="00884FAA">
        <w:rPr>
          <w:lang w:val="en-AU"/>
        </w:rPr>
        <w:t xml:space="preserve">Fully cost the delivery of </w:t>
      </w:r>
      <w:r w:rsidR="00D3535E">
        <w:rPr>
          <w:lang w:val="en-AU"/>
        </w:rPr>
        <w:t xml:space="preserve">comprehensive </w:t>
      </w:r>
      <w:r w:rsidRPr="00884FAA">
        <w:rPr>
          <w:lang w:val="en-AU"/>
        </w:rPr>
        <w:t xml:space="preserve">PHC to Aboriginal and Torres Strait Islander people and communities </w:t>
      </w:r>
    </w:p>
    <w:p w14:paraId="7C47DC3F" w14:textId="6B085EF0" w:rsidR="00153F72" w:rsidRPr="00884FAA" w:rsidRDefault="00153F72" w:rsidP="00153F72">
      <w:r w:rsidRPr="00884FAA">
        <w:t xml:space="preserve">One of the fundamental steps discussed by participants was to fully cost the delivery of comprehensive PHC. This reflects a commitment to develop a needs-based funding model in the Health Sector Strengthening Plan </w:t>
      </w:r>
      <w:r w:rsidRPr="00884FAA">
        <w:fldChar w:fldCharType="begin"/>
      </w:r>
      <w:r w:rsidR="00F8760E">
        <w:instrText xml:space="preserve"> ADDIN ZOTERO_ITEM CSL_CITATION {"citationID":"9jBb28Ut","properties":{"formattedCitation":"(Joint Council on Closing the Gap, 2021b)","plainCitation":"(Joint Council on Closing the Gap, 2021b)","noteIndex":0},"citationItems":[{"id":813,"uris":["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http://zotero.org/groups/4420056/items/BFWGXAJW"]]]]]],"itemData":{"id":813,"type":"report","genre":"Final draft","title":"Sector Strengthening Plan: Health, Under Priority Reform Two of the National Agreement of Closing the Gap.","URL":"https://www.closingthegap.gov.au/sites/default/files/2021-12/sector-strengthening-plan-health_1.pdf","author":[{"literal":"Joint Council on Closing the Gap"}],"issued":{"date-parts":[["2021",12,3]]}}}],"schema":"https://github.com/citation-style-language/schema/raw/master/csl-citation.json"} </w:instrText>
      </w:r>
      <w:r w:rsidRPr="00884FAA">
        <w:fldChar w:fldCharType="separate"/>
      </w:r>
      <w:r w:rsidRPr="001744A4">
        <w:rPr>
          <w:rFonts w:ascii="Arial" w:hAnsi="Arial" w:cs="Arial"/>
        </w:rPr>
        <w:t>(Joint Council on Closing the Gap, 2021b)</w:t>
      </w:r>
      <w:r w:rsidRPr="00884FAA">
        <w:fldChar w:fldCharType="end"/>
      </w:r>
      <w:r w:rsidRPr="00884FAA">
        <w:t xml:space="preserve">, </w:t>
      </w:r>
      <w:r w:rsidR="00D3188C">
        <w:t xml:space="preserve">and </w:t>
      </w:r>
      <w:r w:rsidRPr="00884FAA">
        <w:t xml:space="preserve">building on the recently agreed Core Services Framework </w:t>
      </w:r>
      <w:r w:rsidRPr="00884FAA">
        <w:fldChar w:fldCharType="begin"/>
      </w:r>
      <w:r w:rsidR="00F8760E">
        <w:instrText xml:space="preserve"> ADDIN ZOTERO_ITEM CSL_CITATION {"citationID":"33At7HAi","properties":{"formattedCitation":"(National Aboriginal Community Controlled Health Organisation, 2021b)","plainCitation":"(National Aboriginal Community Controlled Health Organisation, 2021b)","noteIndex":0},"citationItems":[{"id":3627,"uris":["http://zotero.org/groups/4420056/items/9TQYZN82",["http://zotero.org/groups/4420056/items/9TQYZN82"],["http://zotero.org/groups/4420056/items/9TQYZN82",["http://zotero.org/groups/4420056/items/9TQYZN82"]]],"itemData":{"id":3627,"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rsidRPr="00884FAA">
        <w:fldChar w:fldCharType="separate"/>
      </w:r>
      <w:r w:rsidRPr="006E18D8">
        <w:rPr>
          <w:rFonts w:ascii="Arial" w:hAnsi="Arial" w:cs="Arial"/>
        </w:rPr>
        <w:t>(National Aboriginal Community Controlled Health Organisation, 2021b)</w:t>
      </w:r>
      <w:r w:rsidRPr="00884FAA">
        <w:fldChar w:fldCharType="end"/>
      </w:r>
      <w:r w:rsidRPr="00884FAA">
        <w:t xml:space="preserve">. </w:t>
      </w:r>
      <w:r w:rsidR="00405897">
        <w:t xml:space="preserve">A participant from the department noted that it was </w:t>
      </w:r>
      <w:r w:rsidRPr="00884FAA">
        <w:t xml:space="preserve">important that the </w:t>
      </w:r>
      <w:r w:rsidR="009944F3">
        <w:t xml:space="preserve">costings be </w:t>
      </w:r>
      <w:r w:rsidR="00D95155">
        <w:t xml:space="preserve">developed in a way that was acceptable to the </w:t>
      </w:r>
      <w:r w:rsidR="00D95155" w:rsidRPr="00884FAA">
        <w:t>Department of Finance and Treasury.</w:t>
      </w:r>
      <w:r w:rsidR="00D95155">
        <w:t xml:space="preserve"> </w:t>
      </w:r>
      <w:r w:rsidR="009B31D8">
        <w:t>The evaluation team suggests, therefore</w:t>
      </w:r>
      <w:r w:rsidR="00923D11">
        <w:t xml:space="preserve">, that it is critical </w:t>
      </w:r>
      <w:r w:rsidR="00C94875">
        <w:t>that government works in par</w:t>
      </w:r>
      <w:r w:rsidR="00923D11" w:rsidRPr="00884FAA">
        <w:t xml:space="preserve">tnership with the ACCHS sector in developing </w:t>
      </w:r>
      <w:r w:rsidR="007D2260">
        <w:t xml:space="preserve">any </w:t>
      </w:r>
      <w:r w:rsidR="00923D11" w:rsidRPr="00884FAA">
        <w:t>costings</w:t>
      </w:r>
      <w:r w:rsidR="00C94875">
        <w:t>.</w:t>
      </w:r>
      <w:r w:rsidR="00AA35E2">
        <w:t xml:space="preserve"> </w:t>
      </w:r>
      <w:r w:rsidR="001A7ED5">
        <w:t xml:space="preserve">The implications of this are discussed in Section </w:t>
      </w:r>
      <w:r w:rsidR="00DD38AA">
        <w:rPr>
          <w:highlight w:val="yellow"/>
        </w:rPr>
        <w:fldChar w:fldCharType="begin"/>
      </w:r>
      <w:r w:rsidR="00DD38AA">
        <w:instrText xml:space="preserve"> REF _Ref137158131 \r \h </w:instrText>
      </w:r>
      <w:r w:rsidR="00DD38AA">
        <w:rPr>
          <w:highlight w:val="yellow"/>
        </w:rPr>
      </w:r>
      <w:r w:rsidR="00DD38AA">
        <w:rPr>
          <w:highlight w:val="yellow"/>
        </w:rPr>
        <w:fldChar w:fldCharType="separate"/>
      </w:r>
      <w:r w:rsidR="00165B17">
        <w:t>11</w:t>
      </w:r>
      <w:r w:rsidR="00DD38AA">
        <w:rPr>
          <w:highlight w:val="yellow"/>
        </w:rPr>
        <w:fldChar w:fldCharType="end"/>
      </w:r>
      <w:r w:rsidR="00DD38AA">
        <w:t>.</w:t>
      </w:r>
    </w:p>
    <w:p w14:paraId="6BD94D0D" w14:textId="77777777" w:rsidR="00153F72" w:rsidRPr="00884FAA" w:rsidRDefault="00153F72" w:rsidP="002B4878">
      <w:pPr>
        <w:pStyle w:val="Heading6"/>
        <w:numPr>
          <w:ilvl w:val="0"/>
          <w:numId w:val="0"/>
        </w:numPr>
        <w:ind w:left="1152" w:hanging="1152"/>
        <w:rPr>
          <w:lang w:val="en-AU"/>
        </w:rPr>
      </w:pPr>
      <w:r w:rsidRPr="00884FAA">
        <w:rPr>
          <w:lang w:val="en-AU"/>
        </w:rPr>
        <w:t xml:space="preserve">Develop an investment strategy </w:t>
      </w:r>
    </w:p>
    <w:p w14:paraId="0A6DE8C8" w14:textId="2CB53360" w:rsidR="00153F72" w:rsidRPr="00884FAA" w:rsidRDefault="00153F72" w:rsidP="00153F72">
      <w:r>
        <w:t xml:space="preserve">Agreeing the approach to </w:t>
      </w:r>
      <w:r w:rsidRPr="00884FAA">
        <w:t xml:space="preserve">costing was considered a critical first step. </w:t>
      </w:r>
      <w:r w:rsidR="00525F5D">
        <w:t xml:space="preserve">ACCHS participants </w:t>
      </w:r>
      <w:r w:rsidR="0023662B">
        <w:t xml:space="preserve">discussed how this would </w:t>
      </w:r>
      <w:r w:rsidRPr="00884FAA">
        <w:t>then form the basis for the development of an investment strategy identifying, for example, how much governments would fund, including what might be funded through the IAHP and through mainstream sources. The investment strategy would also inform discussions around the long-term growth of the community-controlled sector, with some ACCHS participants insistent that existing services need</w:t>
      </w:r>
      <w:r w:rsidR="0023662B">
        <w:t>ed</w:t>
      </w:r>
      <w:r w:rsidRPr="00884FAA">
        <w:t xml:space="preserve"> to </w:t>
      </w:r>
      <w:r>
        <w:t xml:space="preserve">be </w:t>
      </w:r>
      <w:r w:rsidRPr="00884FAA">
        <w:t xml:space="preserve">funded adequately before looking to expand or add to services: </w:t>
      </w:r>
      <w:r w:rsidRPr="00A1178E">
        <w:rPr>
          <w:i/>
          <w:iCs/>
          <w:color w:val="18525E" w:themeColor="accent5" w:themeShade="80"/>
        </w:rPr>
        <w:t>‘Let’s get us to square one first’</w:t>
      </w:r>
      <w:r w:rsidRPr="00884FAA">
        <w:t>. The investment strategy would also need to factor in population growth which was, reportedly, rapid in some suburban and peri-urban populations.</w:t>
      </w:r>
    </w:p>
    <w:p w14:paraId="3587FA47" w14:textId="77777777" w:rsidR="00153F72" w:rsidRPr="00884FAA" w:rsidRDefault="00153F72" w:rsidP="002B4878">
      <w:pPr>
        <w:pStyle w:val="Heading6"/>
        <w:numPr>
          <w:ilvl w:val="0"/>
          <w:numId w:val="0"/>
        </w:numPr>
        <w:ind w:left="1152" w:hanging="1152"/>
        <w:rPr>
          <w:lang w:val="en-AU"/>
        </w:rPr>
      </w:pPr>
      <w:r w:rsidRPr="00884FAA">
        <w:rPr>
          <w:lang w:val="en-AU"/>
        </w:rPr>
        <w:lastRenderedPageBreak/>
        <w:t xml:space="preserve">Scale existing programs with proven benefits </w:t>
      </w:r>
    </w:p>
    <w:p w14:paraId="3C99436B" w14:textId="7CE97673" w:rsidR="00153F72" w:rsidRPr="00884FAA" w:rsidRDefault="00153F72" w:rsidP="00153F72">
      <w:r w:rsidRPr="00884FAA">
        <w:t xml:space="preserve">Participants highlighted the need to build and bring to scale programs that had proven successful. As </w:t>
      </w:r>
      <w:r w:rsidRPr="001C020F">
        <w:t>discussed in Section</w:t>
      </w:r>
      <w:r w:rsidR="001C020F" w:rsidRPr="001C020F">
        <w:t xml:space="preserve"> 5.6</w:t>
      </w:r>
      <w:r w:rsidRPr="001C020F">
        <w:t>, many</w:t>
      </w:r>
      <w:r w:rsidRPr="00884FAA">
        <w:t xml:space="preserve"> participants commented on the effectiveness of the ITC program and recommended it be scaled up. A PHN participant reported that they commissioned ITC services for 2,000 people but there were another 10,000 people with chronic disease in their region who would benefit from support.</w:t>
      </w:r>
      <w:r w:rsidR="00AA35E2">
        <w:t xml:space="preserve">  </w:t>
      </w:r>
    </w:p>
    <w:p w14:paraId="5EBC409A" w14:textId="77777777" w:rsidR="00153F72" w:rsidRPr="00884FAA" w:rsidRDefault="00153F72" w:rsidP="002B4878">
      <w:pPr>
        <w:pStyle w:val="Heading6"/>
        <w:numPr>
          <w:ilvl w:val="0"/>
          <w:numId w:val="0"/>
        </w:numPr>
        <w:rPr>
          <w:lang w:val="en-AU"/>
        </w:rPr>
      </w:pPr>
      <w:r w:rsidRPr="00884FAA">
        <w:rPr>
          <w:lang w:val="en-AU"/>
        </w:rPr>
        <w:t xml:space="preserve">Increase investment in workforce initiatives </w:t>
      </w:r>
    </w:p>
    <w:p w14:paraId="770740E3" w14:textId="77777777" w:rsidR="00153F72" w:rsidRPr="00884FAA" w:rsidRDefault="00153F72" w:rsidP="00153F72">
      <w:r w:rsidRPr="00884FAA">
        <w:t xml:space="preserve">In order to expand access to comprehensive PHC, participants discussed the need to increase investment in workforce initiatives. This included the training of staff (particularly to offset the effects of an ageing workforce); initiatives to retain staff (such as incentive payments or other conditions to retain remote staff); and pay and tenure equity mechanisms to mitigate competition between the government and non-government sectors (again to assist with staff retention). A number of participants also discussed the need to grow the capability of ACCHS board members and senior management to enable the sector to grow and to retain a focus on quality. </w:t>
      </w:r>
    </w:p>
    <w:p w14:paraId="36C7EC2E" w14:textId="77777777" w:rsidR="00153F72" w:rsidRPr="00884FAA" w:rsidRDefault="00153F72" w:rsidP="002B4878">
      <w:pPr>
        <w:pStyle w:val="Heading6"/>
        <w:numPr>
          <w:ilvl w:val="0"/>
          <w:numId w:val="0"/>
        </w:numPr>
        <w:ind w:left="1152" w:hanging="1152"/>
        <w:rPr>
          <w:lang w:val="en-AU"/>
        </w:rPr>
      </w:pPr>
      <w:r w:rsidRPr="00884FAA">
        <w:rPr>
          <w:lang w:val="en-AU"/>
        </w:rPr>
        <w:t xml:space="preserve">Provide sufficient funding for prevention activities </w:t>
      </w:r>
    </w:p>
    <w:p w14:paraId="2EBC5FA7" w14:textId="77777777" w:rsidR="00153F72" w:rsidRPr="00884FAA" w:rsidRDefault="00153F72" w:rsidP="00153F72">
      <w:r w:rsidRPr="00884FAA">
        <w:t>Participants also discussed the need for sufficient funding for preventative health initiatives to mitigate the amount of chronic disease. Until the level of disease in the community can be turned around, participants reported that the amount of funding would never be able to keep pace with need. One suggestion put forward was to focus on engaging young people with their health, which was seen as a key gap.</w:t>
      </w:r>
    </w:p>
    <w:p w14:paraId="0BAE5353" w14:textId="77777777" w:rsidR="00153F72" w:rsidRPr="00A1178E" w:rsidRDefault="00153F72" w:rsidP="00153F72">
      <w:pPr>
        <w:pStyle w:val="Quote"/>
        <w:spacing w:after="0"/>
        <w:rPr>
          <w:color w:val="18525E" w:themeColor="accent5" w:themeShade="80"/>
        </w:rPr>
      </w:pPr>
      <w:r w:rsidRPr="00A1178E">
        <w:rPr>
          <w:color w:val="18525E" w:themeColor="accent5" w:themeShade="80"/>
        </w:rPr>
        <w:t>There's maternal child health programs, there's programs when you're in school, but the minute you leave school, you become disenfranchised from health until you're having a baby yourself or you've got a chronic disease or you've got a cancer or something.</w:t>
      </w:r>
    </w:p>
    <w:p w14:paraId="39BF5FD5" w14:textId="77777777" w:rsidR="00153F72" w:rsidRPr="00464B6F" w:rsidRDefault="00153F72" w:rsidP="00153F72">
      <w:pPr>
        <w:spacing w:before="120"/>
        <w:jc w:val="right"/>
        <w:rPr>
          <w:b/>
          <w:bCs/>
        </w:rPr>
      </w:pPr>
      <w:r w:rsidRPr="00464B6F">
        <w:rPr>
          <w:b/>
          <w:bCs/>
        </w:rPr>
        <w:t>Peak body</w:t>
      </w:r>
    </w:p>
    <w:p w14:paraId="4FFD5BEF" w14:textId="77777777" w:rsidR="00C52BDD" w:rsidRDefault="00C52BDD">
      <w:pPr>
        <w:jc w:val="left"/>
        <w:rPr>
          <w:b/>
          <w:bCs/>
          <w:color w:val="9E6047" w:themeColor="accent3"/>
          <w:sz w:val="36"/>
          <w:szCs w:val="36"/>
          <w:lang w:val="en-NZ"/>
        </w:rPr>
      </w:pPr>
      <w:r>
        <w:br w:type="page"/>
      </w:r>
    </w:p>
    <w:p w14:paraId="7DCC4F8F" w14:textId="77777777" w:rsidR="00153F72" w:rsidRPr="00884FAA" w:rsidRDefault="00153F72" w:rsidP="0035030F">
      <w:pPr>
        <w:pStyle w:val="Heading2"/>
      </w:pPr>
      <w:bookmarkStart w:id="323" w:name="_Ref137158289"/>
      <w:bookmarkStart w:id="324" w:name="_Ref137158397"/>
      <w:bookmarkStart w:id="325" w:name="_Toc137208943"/>
      <w:r w:rsidRPr="00884FAA">
        <w:lastRenderedPageBreak/>
        <w:t>Strengthen health system integration</w:t>
      </w:r>
      <w:bookmarkEnd w:id="323"/>
      <w:bookmarkEnd w:id="324"/>
      <w:bookmarkEnd w:id="325"/>
    </w:p>
    <w:p w14:paraId="22151158" w14:textId="415D2B5A" w:rsidR="00153F72" w:rsidRPr="00884FAA" w:rsidRDefault="00153F72" w:rsidP="00153F72">
      <w:r>
        <w:t>The</w:t>
      </w:r>
      <w:r w:rsidRPr="00884FAA">
        <w:t xml:space="preserve"> evaluation found that navigating the complexity and fragmentation of the Australian health system is a dominant feature of </w:t>
      </w:r>
      <w:r>
        <w:t xml:space="preserve">Aboriginal and Torres Strait Islander </w:t>
      </w:r>
      <w:r w:rsidRPr="00884FAA">
        <w:t>peoples</w:t>
      </w:r>
      <w:r>
        <w:t>’</w:t>
      </w:r>
      <w:r w:rsidRPr="00884FAA">
        <w:t xml:space="preserve"> experiences of the system. ACCHS staff told us about the challenges they face from a fragmented system</w:t>
      </w:r>
      <w:r>
        <w:t>,</w:t>
      </w:r>
      <w:r w:rsidRPr="00884FAA">
        <w:t xml:space="preserve"> including the need to understand system connections so that staff can provide their clients with more holistic care</w:t>
      </w:r>
      <w:r>
        <w:t xml:space="preserve">. Often this required </w:t>
      </w:r>
      <w:r w:rsidRPr="00884FAA">
        <w:t xml:space="preserve">combining multiple funding sources and programs to deliver the care that Aboriginal and Torres Strait Islander people require. </w:t>
      </w:r>
      <w:r>
        <w:t xml:space="preserve">The evaluation identified </w:t>
      </w:r>
      <w:r w:rsidR="006D2482">
        <w:t xml:space="preserve">3 </w:t>
      </w:r>
      <w:r>
        <w:t>o</w:t>
      </w:r>
      <w:r w:rsidRPr="00884FAA">
        <w:t>pportunities to strengthen health system integration:</w:t>
      </w:r>
    </w:p>
    <w:p w14:paraId="1D472221" w14:textId="77777777" w:rsidR="00153F72" w:rsidRPr="00884FAA" w:rsidRDefault="00153F72" w:rsidP="00343EB2">
      <w:pPr>
        <w:numPr>
          <w:ilvl w:val="0"/>
          <w:numId w:val="19"/>
        </w:numPr>
        <w:spacing w:after="120"/>
      </w:pPr>
      <w:r w:rsidRPr="00884FAA">
        <w:t>Reduce fragmentation of the funding system.</w:t>
      </w:r>
    </w:p>
    <w:p w14:paraId="4CF51891" w14:textId="77777777" w:rsidR="00153F72" w:rsidRPr="00884FAA" w:rsidRDefault="00153F72" w:rsidP="00343EB2">
      <w:pPr>
        <w:numPr>
          <w:ilvl w:val="0"/>
          <w:numId w:val="19"/>
        </w:numPr>
        <w:spacing w:after="120"/>
      </w:pPr>
      <w:r w:rsidRPr="00884FAA">
        <w:t>Support integrated models of care.</w:t>
      </w:r>
    </w:p>
    <w:p w14:paraId="71BC3E93" w14:textId="77777777" w:rsidR="00153F72" w:rsidRPr="00884FAA" w:rsidRDefault="00153F72" w:rsidP="00343EB2">
      <w:pPr>
        <w:numPr>
          <w:ilvl w:val="0"/>
          <w:numId w:val="19"/>
        </w:numPr>
        <w:spacing w:after="120"/>
      </w:pPr>
      <w:r w:rsidRPr="00884FAA">
        <w:t>Strengthen mechanisms for information sharing and collaboration.</w:t>
      </w:r>
    </w:p>
    <w:p w14:paraId="5DB98DAE" w14:textId="77777777" w:rsidR="00153F72" w:rsidRPr="00884FAA" w:rsidRDefault="00153F72" w:rsidP="00651D06">
      <w:pPr>
        <w:pStyle w:val="Heading3"/>
      </w:pPr>
      <w:r w:rsidRPr="00884FAA">
        <w:t>Reduce fragmentation in the funding system</w:t>
      </w:r>
    </w:p>
    <w:p w14:paraId="327D24DA" w14:textId="77777777" w:rsidR="00153F72" w:rsidRPr="00884FAA" w:rsidRDefault="00153F72" w:rsidP="00153F72">
      <w:r w:rsidRPr="00884FAA">
        <w:t>The fragmentation that people and health service providers experience in the health system reflects the fragmentation of funding streams. Service providers often need to navigate multiple funding sources, agencies</w:t>
      </w:r>
      <w:r>
        <w:t>,</w:t>
      </w:r>
      <w:r w:rsidRPr="00884FAA">
        <w:t xml:space="preserve"> and funding agreements to obtain the resources required to deliver appropriate care. This requires effort across</w:t>
      </w:r>
      <w:r>
        <w:t xml:space="preserve"> all levels of government and </w:t>
      </w:r>
      <w:r w:rsidRPr="00884FAA">
        <w:t xml:space="preserve">regional agencies. </w:t>
      </w:r>
      <w:r>
        <w:t>Some</w:t>
      </w:r>
      <w:r w:rsidRPr="00884FAA">
        <w:t xml:space="preserve"> ACCHSs have become savvy at navigating the complex layers of a fragmented funding system, particularly ACCHSs with a higher level of organisational maturity and capability. Nevertheless, a requirement to dedicate limited resources to identifying and securing funding imposes opportunity costs on ACCHSs through diverting effort away from service delivery and can add to personal workload and burnout.</w:t>
      </w:r>
    </w:p>
    <w:p w14:paraId="05FB9478" w14:textId="77777777" w:rsidR="00153F72" w:rsidRPr="00884FAA" w:rsidRDefault="00153F72" w:rsidP="00153F72">
      <w:r w:rsidRPr="00884FAA">
        <w:t>Participants from ACCHSs and Australian</w:t>
      </w:r>
      <w:r>
        <w:t>,</w:t>
      </w:r>
      <w:r w:rsidRPr="00884FAA">
        <w:t xml:space="preserve"> state</w:t>
      </w:r>
      <w:r>
        <w:t>,</w:t>
      </w:r>
      <w:r w:rsidRPr="00884FAA">
        <w:t xml:space="preserve"> and territory governments shared ideas for making the funding landscape less fragmented and less piecemeal. The main ideas revolved around opportunities to pool or bundle programs together to simplify the program and funding landscape. The effect of this would be to widen the scope of programs and increase the opportunity to meet the holistic needs of </w:t>
      </w:r>
      <w:r>
        <w:t>Aboriginal and Torres Strait Islander people</w:t>
      </w:r>
      <w:r w:rsidRPr="00884FAA">
        <w:t>. There will also be a reduced administrative burden for health service providers, including reducing the number of reports that services must prepare to satisfy funding arrangements. Ideas for reducing service and funding fragmentation included:</w:t>
      </w:r>
    </w:p>
    <w:p w14:paraId="1F7B67D5" w14:textId="7234020E" w:rsidR="00153F72" w:rsidRPr="00CF18D5" w:rsidRDefault="00153F72" w:rsidP="00343EB2">
      <w:pPr>
        <w:numPr>
          <w:ilvl w:val="0"/>
          <w:numId w:val="19"/>
        </w:numPr>
        <w:spacing w:after="120"/>
      </w:pPr>
      <w:r w:rsidRPr="00CF18D5">
        <w:t xml:space="preserve">Bringing together some of the special-purpose IAHP grant programs, often referred to as ‘body part funding’, into the IAHP </w:t>
      </w:r>
      <w:r w:rsidR="000F7ACE">
        <w:t>PHC Program</w:t>
      </w:r>
      <w:r w:rsidRPr="00CF18D5">
        <w:t xml:space="preserve"> to increase the level of block funding and reduce the number of tied programs. </w:t>
      </w:r>
    </w:p>
    <w:p w14:paraId="5C4B1E9C" w14:textId="77777777" w:rsidR="00153F72" w:rsidRPr="00CF18D5" w:rsidRDefault="00153F72" w:rsidP="00343EB2">
      <w:pPr>
        <w:numPr>
          <w:ilvl w:val="0"/>
          <w:numId w:val="19"/>
        </w:numPr>
        <w:spacing w:after="120"/>
      </w:pPr>
      <w:r w:rsidRPr="00CF18D5">
        <w:t>Bringing NIAA funding for social and emotional wellbeing into the IAHP, thereby expanding its scope. Some participants noted that this money had previously transitioned away from the department and some ACCHS staff strongly opposed this shift.</w:t>
      </w:r>
    </w:p>
    <w:p w14:paraId="48E22468" w14:textId="17F9A891" w:rsidR="00153F72" w:rsidRPr="00884FAA" w:rsidRDefault="00153F72" w:rsidP="00343EB2">
      <w:pPr>
        <w:numPr>
          <w:ilvl w:val="0"/>
          <w:numId w:val="19"/>
        </w:numPr>
        <w:spacing w:after="120"/>
      </w:pPr>
      <w:r w:rsidRPr="00CF18D5">
        <w:t>Strengthening the alignment in funding between the Australian, state, and territory governme</w:t>
      </w:r>
      <w:r w:rsidRPr="00884FAA">
        <w:t xml:space="preserve">nts, including funding across the primary care and hospital and specialist care interface. Participants from two ACCHSs went beyond this: one suggested establishing a national funds pooling authority for Aboriginal and Torres Strait Islander </w:t>
      </w:r>
      <w:r w:rsidRPr="00884FAA">
        <w:lastRenderedPageBreak/>
        <w:t>PHC that pooled funding from the Australian, state</w:t>
      </w:r>
      <w:r>
        <w:t>,</w:t>
      </w:r>
      <w:r w:rsidRPr="00884FAA">
        <w:t xml:space="preserve"> and territory governments; the other suggest</w:t>
      </w:r>
      <w:r w:rsidR="00170C07">
        <w:t>ed</w:t>
      </w:r>
      <w:r w:rsidRPr="00884FAA">
        <w:t xml:space="preserve"> treasuries t</w:t>
      </w:r>
      <w:r w:rsidR="00B66BAE">
        <w:t>o bring</w:t>
      </w:r>
      <w:r w:rsidRPr="00884FAA">
        <w:t xml:space="preserve"> together funding at a regional level.</w:t>
      </w:r>
    </w:p>
    <w:p w14:paraId="269B8C8A" w14:textId="77777777" w:rsidR="00153F72" w:rsidRPr="00884FAA" w:rsidRDefault="00153F72" w:rsidP="00153F72">
      <w:r w:rsidRPr="00884FAA">
        <w:t>Reducing fragmentation through greater alignment and coherence across the funding system – without requiring agencies and services to pool or bundle funding – was identified by participants as another opportunity to strengthen the funding system. Alignment in government funding agreements and reporting systems was raised as a potential solution by a number of participants in the evaluation.</w:t>
      </w:r>
    </w:p>
    <w:p w14:paraId="386B4D0B" w14:textId="50D0EDD4" w:rsidR="00153F72" w:rsidRPr="00884FAA" w:rsidRDefault="00153F72" w:rsidP="00153F72">
      <w:r w:rsidRPr="00884FAA">
        <w:t xml:space="preserve">Opportunities to simplify and streamline governance and administrative processes associated with funding arrangements were also shared by ACCHS and government participants. For the IAHP, the need to reduce fragmentation in the management of funding agreements across agencies and staff was a clear priority for many participants. Funded organisations reported the need for greater clarity about the respective functions of the </w:t>
      </w:r>
      <w:r w:rsidR="00107831">
        <w:t xml:space="preserve">department </w:t>
      </w:r>
      <w:r w:rsidRPr="00884FAA">
        <w:t xml:space="preserve">and the </w:t>
      </w:r>
      <w:r w:rsidR="00107831">
        <w:t xml:space="preserve">DSS </w:t>
      </w:r>
      <w:r w:rsidRPr="00884FAA">
        <w:t xml:space="preserve">relating to grant management. Funded organisations spoke of the challenges associated with having multiple contract managers within the funding agencies, and the regular changes in contract manager: </w:t>
      </w:r>
      <w:r w:rsidRPr="007F6E8B">
        <w:rPr>
          <w:i/>
          <w:iCs/>
          <w:color w:val="184F5B" w:themeColor="accent6" w:themeShade="40"/>
        </w:rPr>
        <w:t>‘It’s really hard for us to keep up to speed on who the right people to contact are'</w:t>
      </w:r>
      <w:r w:rsidR="00E16A5D" w:rsidRPr="007F6E8B">
        <w:rPr>
          <w:rStyle w:val="FootnoteReference"/>
          <w:i/>
          <w:iCs/>
          <w:color w:val="184F5B" w:themeColor="accent6" w:themeShade="40"/>
        </w:rPr>
        <w:footnoteReference w:id="79"/>
      </w:r>
      <w:r w:rsidRPr="007F6E8B">
        <w:rPr>
          <w:color w:val="184F5B" w:themeColor="accent6" w:themeShade="40"/>
        </w:rPr>
        <w:t xml:space="preserve">. </w:t>
      </w:r>
      <w:r w:rsidRPr="00884FAA">
        <w:t>One solution proposed was for each funded organisation to have a single point of contact in each funding or contract managing agency. This had been implemented by some funders (</w:t>
      </w:r>
      <w:r>
        <w:t xml:space="preserve">for example, </w:t>
      </w:r>
      <w:r w:rsidRPr="00884FAA">
        <w:t>a PHN) and has contributed to more relational engagement between funders and service providers.</w:t>
      </w:r>
    </w:p>
    <w:p w14:paraId="077780B5" w14:textId="77777777" w:rsidR="00153F72" w:rsidRPr="00884FAA" w:rsidRDefault="00153F72" w:rsidP="00153F72">
      <w:pPr>
        <w:pStyle w:val="TableFigure-Header"/>
        <w:spacing w:after="360"/>
        <w:rPr>
          <w:lang w:val="en-AU"/>
        </w:rPr>
      </w:pPr>
      <w:r w:rsidRPr="00884FAA">
        <w:rPr>
          <w:noProof/>
          <w:lang w:val="en-AU"/>
        </w:rPr>
        <mc:AlternateContent>
          <mc:Choice Requires="wps">
            <w:drawing>
              <wp:inline distT="0" distB="0" distL="0" distR="0" wp14:anchorId="25686599" wp14:editId="310E647E">
                <wp:extent cx="5689820" cy="2706898"/>
                <wp:effectExtent l="19050" t="19050" r="25400" b="17780"/>
                <wp:docPr id="62" name="Freeform: 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2706898"/>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670083D8" w14:textId="77777777" w:rsidR="00153F72" w:rsidRPr="0058387D" w:rsidRDefault="00153F72" w:rsidP="00BD21A6">
                            <w:pPr>
                              <w:pStyle w:val="NoSpacing"/>
                              <w:tabs>
                                <w:tab w:val="left" w:pos="1985"/>
                              </w:tabs>
                              <w:spacing w:before="240"/>
                              <w:jc w:val="left"/>
                              <w:rPr>
                                <w:b/>
                                <w:bCs/>
                                <w:color w:val="1A3E5F" w:themeColor="accent1" w:themeShade="80"/>
                              </w:rPr>
                            </w:pPr>
                            <w:r w:rsidRPr="0058387D">
                              <w:rPr>
                                <w:b/>
                                <w:bCs/>
                                <w:color w:val="1A3E5F" w:themeColor="accent1" w:themeShade="80"/>
                              </w:rPr>
                              <w:t xml:space="preserve">Example of promising practice – Development of outcomes-based funding arrangements </w:t>
                            </w:r>
                          </w:p>
                          <w:p w14:paraId="19CEE2F1" w14:textId="77777777" w:rsidR="00153F72" w:rsidRPr="002618E5" w:rsidRDefault="00153F72" w:rsidP="00153F72">
                            <w:pPr>
                              <w:pStyle w:val="NoSpacing"/>
                            </w:pPr>
                            <w:r>
                              <w:t xml:space="preserve">Participants from a state community-controlled peak body described reforms in its funding arrangements with the state health department. The organisation has 62 individual sources of funding, each with a separate contract and different reporting regime, including monthly, 6-monthly and 12-monthly. Around 40 of these contracts are with the state health department. They were working with the department on a pathway to an outcomes-based funding framework, which included bundling these 40 contracts into agreements that ‘can be counted on one hand’. Funding </w:t>
                            </w:r>
                            <w:r w:rsidRPr="00E518ED">
                              <w:t>for core activities will be through a 3-year rolling agreement. The proposed reporting will involve two verbal check-ins each 12 months and a report every 12 months describing how the funding has been invested and its outcomes and impacts. They will not be required to report on specific activities or outputs.</w:t>
                            </w:r>
                          </w:p>
                        </w:txbxContent>
                      </wps:txbx>
                      <wps:bodyPr rot="0" vert="horz" wrap="square" lIns="91440" tIns="45720" rIns="91440" bIns="45720" anchor="t" anchorCtr="0" upright="1">
                        <a:noAutofit/>
                      </wps:bodyPr>
                    </wps:wsp>
                  </a:graphicData>
                </a:graphic>
              </wp:inline>
            </w:drawing>
          </mc:Choice>
          <mc:Fallback>
            <w:pict>
              <v:shape w14:anchorId="25686599" id="Freeform: Shape 62" o:spid="_x0000_s1096" style="width:448pt;height:213.1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9PP9xMAAMtlAAAOAAAAZHJzL2Uyb0RvYy54bWysXWtvIzty/R4g/0HwxwR73ST7ObhzF/vI&#10;BgE22QVW+wM0foyN2JYjacZz99fnFFnVbrbJqkaQL9PWqEQW67CKdYqk9PNvfzw/7b7fnc6Px5fP&#10;V+6n5mp393JzvH18+fr56u/7P/1mvNqdL4eX28PT8eXu89Wvd+er3/7yz//089vrpzt/fDg+3d6d&#10;dmjk5fzp7fXz1cPl8vrp+vp883D3fDj/dHy9e8Gb98fT8+GCl6ev17enwxtaf3669k3TX78dT7ev&#10;p+PN3fmM//1jevPql9j+/f3dzeUv9/fnu8vu6fMVdLvEf0/x3y/07/UvPx8+fT0dXh8eb1iNw/9B&#10;i+fD4ws6nZv64+Fy2H07PX5o6vnx5nQ8H+8vP90cn6+P9/ePN3dxDBiNa1aj+dvD4fUujgXGOb/O&#10;Zjr//zV781/f//b61xOpfn798/Hmv8+wyPXb6/nT/A69OENm9+XtP4+3wPDw7XKMg/1xf3qmT2IY&#10;ux/Rpr/ONr37cdnd4D+7fpxGD9Pf4D0/NPSSrH59+CQfv/l2vvz73TE2dfj+5/MlgXKLv6JJb3cv&#10;h2f0u0cr989PwOdff7Nrdm5shp0Lw8QgzmJOxP7lerdvdm+7yYV+LeRFKLU1+Z2b3FooiBBachB5&#10;2IV+kEkz99eKVGzK+x5tFdTqRIzUaitq9SLEbbmSWoMIoSXvXUUteN7CWn5o26Jak4iRWmNFLZeb&#10;njotmMstLV9XzOW2Dz50Rc3c0vx752u6rezfYZwfoXRL83vIlLF0OQCh7ypzbInB3vU13VYgNKGo&#10;2xIDD5mybuRFC0Rb10xFu/klDHtf9YAcBu+LdvNLEEimolsOQtv1mCEFJ/BLGPZoruKdOQyePP0j&#10;pn4JAslUdMtBaKcBKJR0W8Kw9zVfCDkM3pdDxxIEkinrFnIQunZCYCvoFpYw7EPNF0IOgwf4BbuF&#10;JQgkU9EtB6GbXNkXwhKGfaj5QshhcNNY1G0JAsmUdWtzEPpQWQvaJQz7tuYLbQ5DxW7tEoS63doc&#10;hH6kGVLAtF3CsEd4LvtCm8PgQ9EX2iUIJFOxWw7C4EegUNJtCcO+rflCl8PgEaQL861bgkAyZd26&#10;HIRhqPhCt4Rh39V8octh8A6rzMcY0i1BIJmKbjkIo2/7ot26JQz7ruYLXQ4DcoaibksQSKasW5+D&#10;MPZdOfb2Sxj2fc0X+hwGH7DKfLRbvwSBZCq65SBMzVC2W7+EYd/XfKHPYfC0AhZ0W4JAMhXdchAm&#10;LFpFTPslDPu+5gtIDJfLs2+K6+mwBIFkyroNOQjTBBcs+emwhGE/1HxhyGHwoRh7hyUIJFPRLQfB&#10;Ne1QTkSGJQ57IF8OcEOOQyX4Is9n88ast7ZojTkKrumacnY5LoHYjzVvGHMg+lBEdVzCQDJly405&#10;DHXLjUsk9mPNHcYVEo5myUd/GJc4OBKqqJcDAfUqnGFcYrHHElIGdlph0Y3FpQsKvyPrSKis3pRD&#10;UYd2WqKxB2+rqJej4ZuxGE2mJRZRqKLeCgy4RdlnpyUc+6nmFuDJWTzpaMn5CO60xALEprZKuGaF&#10;RtPSeAtrv2uWgOzxwYoBXZMj4ickpgUVXbMEJEqVTYgZl40Zr7G8l3VcogIday7imhyWEIYyd22W&#10;qESpmo45LhhcBWfwMxkNcWvX1PzEreh1GH2ZJ2YEO0pVdFxR7GnEal8044pj10m2y5FB58V0ymU8&#10;O0rVVMxxwepbQdotgdm7Otd2OTBhdMVY7dwSlihVUXFFuFG5Ki8lLmfcrkq5nc8dBp0XA7bLWHeU&#10;qqmYwzK2WCuKQOfE21WZt/M5Lui8GHZcRr6jVE3FHJaxqQHtl7ig3lN1lxUDh/8V1xUXlnEsSlVU&#10;XLHwoRvKTNflNNxVebhbEfGqFTMqrlkRFczlajAgrpWBztk4Kp+14L3i4+i8HHTCEpYoVbHimpOj&#10;VFpWMSflrsrK3YqWV62YEXPNimtqHotepSUw5+auSs7dip2HMZStmPHzKFWzYu4u3dCXq1WuXeKy&#10;p6yunOa4FUmvWjGj6ZoVV0S9C5VCpMuZuqtSdbfi6ui8mIq5jK1HqYoVu9xd2rHCO11O2F2VsSMv&#10;zRwQS1s51+mWsESpioor2o5cuwJ0zttdlbi7FXNHxCurmHH3KFVTMV9dQo2Fupy+uyp/dysCX52L&#10;/XLR1+Ziv4KlbStJbc7iXZXGuxWPDyORoI95t8uYfJSqWHHF5UPTluszLifzrsrm3YrOV62YEXrN&#10;ikPuLtinqyyAOaV3VU7vVqQejlDOdDJaH6UqVlwRe5TUK+6SE3vsEtbi4orawz5ld8nIfZSqqZi7&#10;i+trxCCn967K792K4AckT8W5mDH8KFVTMXcXF6bKXMwpvqtyfLci+aHryypmLD9KVVRc0/w2VFTM&#10;aT7tz1YWwCnHJYDgFq2YMf0oVVMxdxeH9byc6eRU31W5PjY6stUlOWAh6ORsn9y0rCLORmQNIskq&#10;EwMcOxBBIqn4XMWKfk323VQEGvuXiwY9SdVUzGGBimUG6JuM61PRtAy0X3F9BCHg8tGK2CpcqBil&#10;airmsEDFMtAoMi9ahBVryZhfUX1MneLq4jOqH6UqKq6ovmuJrxVSWp9TfdqGqVhxRfWxn1A0Ysb0&#10;Saim4MpZWgqzRQWXqOx9lej7NdF3xV1OTL0FJnDnhYI4ffJVzpccHuTIyc2PFz5zgr92BzrC1MSD&#10;Lq/HMx1w2cNVcIplH/gAC6TogEpFGJOWhIdNwlCVhIF6OhujN01QRvFumzgMG8XjURmMXW+dqhkk&#10;jiLEFmWoshDFt42UWD6Jg5xvaZ0YdxTfNlRiv1F821CJiZI4COQWZYgVRvFtQyWGRuIgVltaJ7YU&#10;xbcNlZhLFN82VGIRJI7kf4sylNFH8W1DpeyaxJEUb2mdMt0ovm2olHVG8W1DpQyQxJG4bVGGsrEo&#10;vm2olBmReFpXTG+iLCWKbxsqZQxRfNtQY62e5KnGvmWw2DVJHTgsgts+wON1W4PTHJ2wQmzqgSq8&#10;cQyI2Js+IBGK6qTbPiCDRtVy2wdk0BvDVKwMxjGgorepB4lUSMG3fUBildsYrJxEK4fa0yaVJF65&#10;jQEr1nfioFGX2dSDxCyHKsmmD0jUchvDVqxERJVQQdjWgyC9MXRFlh57ALve1INEL5eOqpoRw0n8&#10;chsDmJMI5sADN6kkMYyTY1sliWJI57f1IHHMgbFsUSnyEDIr8YdtH2Cfpmx+2wcYacqtN31AAhmO&#10;BW38AAcySj0XPSTzcmp5wpn09Wn009UOp9G/0GcOn14PF8pI5c/d2+ereIB59/D5Kh4/pneej9/v&#10;9scoc6HUlLMqPFK/7+8/vSzlHNEFmHkekbwtz9fYnGO847FpqC/vyjNJeV7GxZzyrjyTVKC6MrqM&#10;56arbbUeVIsU4wFIG/JMbXW0QQypVpeiWhGkxBjShjxTWz0Vk6lHvbGBdpEghs3AZFppRZ6pNRxG&#10;T2IyVeRtebIYFZPQGrawtNYmKg6TmFfFsOgnq1lyjigTDUI3CbZGk4/My6RoL880CuzNpWlkyeH8&#10;9JbhYn+Fx6FbDwtO6hcbQ5r5XE/kFONFs7och6l5/ZJxypPHO3AMByxqeyPtO6DfebWSduTJ7U1M&#10;a2AerT264ZLa08eLEJhmH7pX24Ohk12MfmOFxJ4v3lOZF3KIKmq/EgMktIs55JnM4lvmkkZrHRW3&#10;yMp6p9g6S8oZvfZMvOZkUrSSJ2s30L4zugV26mAlFBiTFEdvGQxZv6Q/eXK/EydBxmQOEgzm/FDa&#10;kWdqL+AEWByHEQyCYyfHnQhtvMHTBiPsoseWEDjN110yoCCWUNNdLeC8SJIztOvozAW0M9ANHVWJ&#10;CV19BQo97TiRnDGOgXZ8IQePU6038qyak3RBS56M2sQh3JBrG6ocUr/6OFqicyRnzILW82wxZkEb&#10;2Cn1ydwG2g2jblWrYC+UZ4EhNjIYuljHy6ShG44eRt2MaNb2dCQCYwAiGrRtTxsKNFY9YLQDr/bG&#10;atqOzBktyCbOpQy5rpHURvfcLp4JwjgM1+hQU47jBXaaXTqcAExyuv26wFUlI6B1mC2xPZzFUPvt&#10;6HYXxmEE0q6jPS2SM+zS0y41yRn9Dpzd4ICMqt9Ip4HQnoXbRLsNJKe7eDfJfNb16xu2s5EJI6lK&#10;djbIQ4/rAFE/BHxtvD1WjjQO3S49YlWS0+dV304JX0x/td+ONp1hPyNr7ns680Fyhv0Gzubgnmq/&#10;I22NUXuWHM+ruZQkS4E805LQTwgscR7o87SfxC56HMLlXLafbufB8Tw1SMwQtwJpvLp+g+c1wfDL&#10;IdB5MLRnZOtDy8R9LjKJ3eSZ7Ae3TPgCZg23oWO7WPphAm7BY+iZdRjrxzBwYjXXK0R/efI4JOHU&#10;p9Uwspvruf8wMbr6pB8bpuI6tlCN11R97o1zbDHa88wAETo0zMbAc8BYs8bAWBg+iYO1ae4ZaxEI&#10;YJoDRpqG/dLka4BYHcfAVVxku6rcyAnTXLqVOSLPNFdGiRmGflPDa7mxZk3xWgF80lizpnjqGnJ0&#10;1l0bCEpdafF9L37KCOSZRgJBXj2MIafiGYUhY92CIOcvc6FWupSndE2HpNEiJR76YDhp7wwXhnnS&#10;EteB/egt8v4NFidLMLU4GNFyRpBqF0bXzPNQxVcFG15vcCvDaLLhTAtlSWM4DRfOMI+s3unUG800&#10;3xu2nPOeYKxkU8N1LGzWWCPitQIHg60R0QFC0rMzqNrUzETcspJ4Iw4n6nEUE47j8mg6JE929/7N&#10;HeIO8pzdgvO+CTsY6gxBATGtlA1qG4Zk8kkcXzFHxPGATrrobUqt1mPjRJVspB4aLC9qmNOghmX0&#10;3tBJOODucdff6p3zu87qXXD3vZFTwNvZ8jicqPcebyWRnsinDElpkxIR1Z7xJhi1ifPYuqTEEI8z&#10;x4ak1AAaVHrU3hveF8BZIMvyvLOBGpgpmYJi2BxtQjDWfFySZp7QWnNeomLojDxnjvKhN2LIOPGc&#10;D+Bnqj3HSfhMbzCkkYIMzXm0qXvxODCnsSWlCmNLdjOPs7O85JtoU187xpZjCCR178CFkJQswPL6&#10;TB698L4eIVebyfhCJdHTG3rSVx8lyxtxCb7Lsw78Xe9dckNzLoFLcFHVGvsw0hWQNEN0j8NWDGdp&#10;+NIPVU/wLJl1RnaKAtxsJT2CDVJOxth1jIZW9uZ6A6MhzGM3LA+mPI9I982BjgJswh03ydK6aaMp&#10;9UJz7Ch8SuXEGFE/znpa1SJcROQRGRlLL5wp9PNZAslU5JkyFhTweM53Rl7X91zexj6BPuv6DgE2&#10;Wr7DwqR5cf++64nzGKpkkE2Hbj5/ISORJ4+IUpqEu7EW9/HMefQ4Y0XohZyE3tjS6hvO67Dvq1sJ&#10;uy1cgzMlR8EI9lKthLKetGlE7w6OJN6h+xFuM8yzTo/zWGRmyxttdrylgrmkxxBUtjnWdQbrQa1c&#10;RoRQps0lVN/ntUPPflHPlxUBRQi1TRxQZ3saJLJrQMrS/DSqc+00R2+Db7b4YippU8cIt6MFI2Mm&#10;twOzM6zv+mqIXR7p3Yjzbc9bkaE3Yl0L4HlERk2+JZqZ7Glu0PHGqhnnW8/8HWPX5xI2B8U7DI7Q&#10;4uoE62lZHl8RyZJGrhgmujWTcgY9MoSJi0oYux6Tw0iXKFNU1L0YNxjEOww0seUpbRoYIcDKXDJ4&#10;HC5QiaQRvQO+706spHsHyutbJdG9WEnPl8L7emRUJMJ7tDHWd5R2Jc4bPC7M0QZfXqdGMC97ZcGq&#10;wHnZfYOk0SbuPCYrdSjgaPGTvpxTJPVMwL/vSRm5jZdKtOnvvqX7pHHOGzue+E4oiTbGCScvxwFw&#10;XsIYEb7viXuH46tWktNLaNOwZzPnydiy1NrEgTeZS0YtF0ciZd00eDFubUpkMFYEnAgWPzK8A5eB&#10;RU9LkozDEUxftXFfXCxvcFjckpc2jcwKR8dFT4Nro0A6967jHouuHOctSfG43urdo6TGbRpWomPb&#10;LGnMJakWYt3Us1/c2pBIa5z5wDcqCZj6Eodb6iKoRyXaD0jDMSYS7TCwoJ4FdHP4MDZYZA8N+Y8+&#10;mDCnfkYp18/ea7SIG5kyGH3BkpOyiJo6hrM/Gusv7wCB4+u4zGdnjGxX5AKsrkY2Rs/jPrUmJ7kJ&#10;Hd7R5CSDopsuqhwbujGYAH1xCtYcLLx6v3zMD6xFx4NrKH407CztYXddHQf7k8dpB1WO5wEWZgOP&#10;tCb4zuD6yY09nVXSzJxip6cikyaWlix8w7Y+2DRX8BWj+lot53Dohoraa5oDuBWtY8uVEhxz1m3H&#10;Ky9uq+jOyzvC2Do22ktGdjjZoY6DscWXhRhzIM1lfO+JbhcUw2jO4/aTYZcEG85E6OjyPThc8Noo&#10;Z81l7jdg8mv4yjioHKnKsZ3pOokqx/Zzln5pJcb3DurzlOfLZKR0fGxrNJyDZ9VgbOgi4yBwUX1U&#10;x8qVEosSMMXBdzTqrXFuYhSSpDxjcAbeK3i/ICXFRXmmIiPbjY50qKgm3T5gdfN0PN+lD9Jdp/hb&#10;EPOlJ7ortfg9iJfjnx6fniBMd5DoKhS+JgmlRXp9Pj493tK78cXp65c/PJ123w/4oY/Q/67//e9Z&#10;t0zsdPz2chtbe7g73P4b/305PD6lv+P1JP4BDPrNC/odkfOny48vP3aPt2g4TmP6ry/H21//etqd&#10;jukXRfALKPjj4Xj6x9XuDb8m8vnq/D/fDqe7q93Tf7zg5zomUBdE7Et80SKbxovT8p0vy3cOLzdo&#10;6vPV5QpfQkB//uGSfrLk2+vp8esDenLRAi/H3+GnOO4f6Qcz4m92JK34BX4xJJqWf92EfpJk+TpK&#10;vf8Gyy//CwAA//8DAFBLAwQUAAYACAAAACEAhbIYRdoAAAAFAQAADwAAAGRycy9kb3ducmV2Lnht&#10;bEyPQUvDQBCF70L/wzKCF7GbxhBjzKYUoVehsd632TGJZmdDdtOm/fWOXuzlweMN731TrGfbiyOO&#10;vnOkYLWMQCDVznTUKNi/bx8yED5oMrp3hArO6GFdLm4KnRt3oh0eq9AILiGfawVtCEMupa9btNov&#10;3YDE2acbrQ5sx0aaUZ+43PYyjqJUWt0RL7R6wNcW6+9qsgrSVRLvm618mj4uX3OV7N4yukel7m7n&#10;zQuIgHP4P4ZffEaHkpkObiLjRa+AHwl/yln2nLI9KEji9BFkWchr+vIHAAD//wMAUEsBAi0AFAAG&#10;AAgAAAAhALaDOJL+AAAA4QEAABMAAAAAAAAAAAAAAAAAAAAAAFtDb250ZW50X1R5cGVzXS54bWxQ&#10;SwECLQAUAAYACAAAACEAOP0h/9YAAACUAQAACwAAAAAAAAAAAAAAAAAvAQAAX3JlbHMvLnJlbHNQ&#10;SwECLQAUAAYACAAAACEAMGfTz/cTAADLZQAADgAAAAAAAAAAAAAAAAAuAgAAZHJzL2Uyb0RvYy54&#10;bWxQSwECLQAUAAYACAAAACEAhbIYRdoAAAAFAQAADwAAAAAAAAAAAAAAAABRFgAAZHJzL2Rvd25y&#10;ZXYueG1sUEsFBgAAAAAEAAQA8wAAAFgXA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141614;549925,163004;850110,163004;1155900,187344;1418718,149728;1700220,165217;1981721,152678;2238311,163742;2560294,162266;2826226,146040;3069115,162266;3389852,174805;3680073,156366;3992714,158578;4276707,166692;4528937,176280;4793624,154153;5030284,150465;5336697,175543;5667400,162266;5683592,467622;5667400,846735;5645602,1170531;5683592,1540793;5666777,1877864;5673627,2162568;5650584,2486363;5604498,2819747;5281892,2821222;5027793,2813109;4736950,2816059;4424931,2814584;4155885,2793194;3860060,2814584;3566725,2812371;3295188,2814584;3017423,2827123;2730316,2814584;2447569,2816797;2177901,2819009;1908232,2789506;1599950,2814584;1289178,2835236;1035079,2814584;827067,2823435;525636,2811634;186215,2806471;7473,2629453;32385,2287218;2491,1996614;15570,1618976;14324,1315095;14947,1020803;23043,638002;20552,228648" o:connectangles="0,0,0,0,0,0,0,0,0,0,0,0,0,0,0,0,0,0,0,0,0,0,0,0,0,0,0,0,0,0,0,0,0,0,0,0,0,0,0,0,0,0,0,0,0,0,0,0,0,0,0,0,0,0,0" textboxrect="0,0,9136,3670"/>
                <v:textbox>
                  <w:txbxContent>
                    <w:p w14:paraId="670083D8" w14:textId="77777777" w:rsidR="00153F72" w:rsidRPr="0058387D" w:rsidRDefault="00153F72" w:rsidP="00BD21A6">
                      <w:pPr>
                        <w:pStyle w:val="NoSpacing"/>
                        <w:tabs>
                          <w:tab w:val="left" w:pos="1985"/>
                        </w:tabs>
                        <w:spacing w:before="240"/>
                        <w:jc w:val="left"/>
                        <w:rPr>
                          <w:b/>
                          <w:bCs/>
                          <w:color w:val="1A3E5F" w:themeColor="accent1" w:themeShade="80"/>
                        </w:rPr>
                      </w:pPr>
                      <w:r w:rsidRPr="0058387D">
                        <w:rPr>
                          <w:b/>
                          <w:bCs/>
                          <w:color w:val="1A3E5F" w:themeColor="accent1" w:themeShade="80"/>
                        </w:rPr>
                        <w:t xml:space="preserve">Example of promising practice – Development of outcomes-based funding arrangements </w:t>
                      </w:r>
                    </w:p>
                    <w:p w14:paraId="19CEE2F1" w14:textId="77777777" w:rsidR="00153F72" w:rsidRPr="002618E5" w:rsidRDefault="00153F72" w:rsidP="00153F72">
                      <w:pPr>
                        <w:pStyle w:val="NoSpacing"/>
                      </w:pPr>
                      <w:r>
                        <w:t xml:space="preserve">Participants from a state community-controlled peak body described reforms in its funding arrangements with the state health department. The organisation has 62 individual sources of funding, each with a separate contract and different reporting regime, including monthly, 6-monthly and 12-monthly. Around 40 of these contracts are with the state health department. They were working with the department on a pathway to an outcomes-based funding framework, which included bundling these 40 contracts into agreements that ‘can be counted on one hand’. Funding </w:t>
                      </w:r>
                      <w:r w:rsidRPr="00E518ED">
                        <w:t>for core activities will be through a 3-year rolling agreement. The proposed reporting will involve two verbal check-ins each 12 months and a report every 12 months describing how the funding has been invested and its outcomes and impacts. They will not be required to report on specific activities or outputs.</w:t>
                      </w:r>
                    </w:p>
                  </w:txbxContent>
                </v:textbox>
                <w10:anchorlock/>
              </v:shape>
            </w:pict>
          </mc:Fallback>
        </mc:AlternateContent>
      </w:r>
    </w:p>
    <w:p w14:paraId="0E914DD7" w14:textId="77777777" w:rsidR="00153F72" w:rsidRPr="00884FAA" w:rsidRDefault="00153F72" w:rsidP="00651D06">
      <w:pPr>
        <w:pStyle w:val="Heading3"/>
      </w:pPr>
      <w:r w:rsidRPr="00884FAA">
        <w:t xml:space="preserve">Support integrated models of care </w:t>
      </w:r>
    </w:p>
    <w:p w14:paraId="7763D96A" w14:textId="1FD0BA6E" w:rsidR="00153F72" w:rsidRPr="00884FAA" w:rsidRDefault="00153F72" w:rsidP="00153F72">
      <w:r w:rsidRPr="00884FAA">
        <w:t xml:space="preserve">Integrated models of care have the potential to reduce fragmentation and complexity across the health system and </w:t>
      </w:r>
      <w:r>
        <w:t xml:space="preserve">to </w:t>
      </w:r>
      <w:r w:rsidRPr="00884FAA">
        <w:t xml:space="preserve">facilitate access to holistic care valued by Aboriginal and Torres Strait Islander people. Reforms </w:t>
      </w:r>
      <w:r>
        <w:t xml:space="preserve">already </w:t>
      </w:r>
      <w:r w:rsidRPr="00884FAA">
        <w:t xml:space="preserve">underway in the Australian PHC system are moving towards integrated and </w:t>
      </w:r>
      <w:r w:rsidRPr="00CD5A28">
        <w:t xml:space="preserve">person-centred </w:t>
      </w:r>
      <w:r w:rsidRPr="00884FAA">
        <w:t xml:space="preserve">care </w:t>
      </w:r>
      <w:r w:rsidRPr="00884FAA">
        <w:fldChar w:fldCharType="begin"/>
      </w:r>
      <w:r w:rsidR="00F8760E">
        <w:instrText xml:space="preserve"> ADDIN ZOTERO_ITEM CSL_CITATION {"citationID":"5kkbC5Pp","properties":{"formattedCitation":"(Australian Department of Health and Aged Care, 2022a)","plainCitation":"(Australian Department of Health and Aged Care, 2022a)","noteIndex":0},"citationItems":[{"id":3754,"uris":["http://zotero.org/groups/5010721/items/F5ZKM9GY",["http://zotero.org/groups/5010721/items/F5ZKM9GY"],["http://zotero.org/groups/5010721/items/F5ZKM9GY",["http://zotero.org/groups/5010721/items/F5ZKM9GY"]]],"itemData":{"id":3754,"type":"report","event-place":"Canberra","publisher":"Commonwealth of Australia.","publisher-place":"Canberra","title":"Future focused primary health care: Australia's Primary Health Care 10 Year Plan 2022-2032","URL":"https://www.health.gov.au/sites/default/files/documents/2022/03/australia-s-primary-health-care-10-year-plan-2022-2032-future-focused-primary-health-care-australia-s-primary-health-care-10-year-plan-2022-2032.pdf","author":[{"literal":"Australian Department of Health and Aged Care"}],"issued":{"date-parts":[["2022"]]}}}],"schema":"https://github.com/citation-style-language/schema/raw/master/csl-citation.json"} </w:instrText>
      </w:r>
      <w:r w:rsidRPr="00884FAA">
        <w:fldChar w:fldCharType="separate"/>
      </w:r>
      <w:r w:rsidR="00685726" w:rsidRPr="00685726">
        <w:rPr>
          <w:rFonts w:ascii="Arial" w:hAnsi="Arial" w:cs="Arial"/>
        </w:rPr>
        <w:t>(Australian Department of Health and Aged Care, 2022a)</w:t>
      </w:r>
      <w:r w:rsidRPr="00884FAA">
        <w:fldChar w:fldCharType="end"/>
      </w:r>
      <w:r w:rsidRPr="00884FAA">
        <w:t xml:space="preserve"> </w:t>
      </w:r>
      <w:r w:rsidRPr="00884FAA">
        <w:fldChar w:fldCharType="begin"/>
      </w:r>
      <w:r w:rsidR="00F8760E">
        <w:instrText xml:space="preserve"> ADDIN ZOTERO_ITEM CSL_CITATION {"citationID":"yVEVDH2W","properties":{"formattedCitation":"(Australian Department of Health and Aged Care, 2022c)","plainCitation":"(Australian Department of Health and Aged Care, 2022c)","noteIndex":0},"citationItems":[{"id":3772,"uris":["http://zotero.org/groups/5010721/items/WFV3SBYZ",["http://zotero.org/groups/5010721/items/WFV3SBYZ"],["http://zotero.org/groups/5010721/items/WFV3SBYZ",["http://zotero.org/groups/5010721/items/WFV3SBYZ"]]],"itemData":{"id":3772,"type":"report","event-place":"Canberra","language":"en","publisher":"Commonwealth of Australia","publisher-place":"Canberra","source":"Zotero","title":"Strengthening Medicare Taskforce Report","URL":"https://www.health.gov.au/resources/publications/strengthening-medicare-taskforce-report?language=en","author":[{"literal":"Australian Department of Health and Aged Care"}],"issued":{"date-parts":[["2022",12]]}}}],"schema":"https://github.com/citation-style-language/schema/raw/master/csl-citation.json"} </w:instrText>
      </w:r>
      <w:r w:rsidRPr="00884FAA">
        <w:fldChar w:fldCharType="separate"/>
      </w:r>
      <w:r w:rsidR="00685726" w:rsidRPr="00685726">
        <w:rPr>
          <w:rFonts w:ascii="Arial" w:hAnsi="Arial" w:cs="Arial"/>
        </w:rPr>
        <w:t>(Australian Department of Health and Aged Care, 2022c)</w:t>
      </w:r>
      <w:r w:rsidRPr="00884FAA">
        <w:fldChar w:fldCharType="end"/>
      </w:r>
      <w:r w:rsidRPr="00884FAA">
        <w:t xml:space="preserve">. The orientation of the ACCHS sector towards </w:t>
      </w:r>
      <w:r w:rsidRPr="00CD5A28">
        <w:t>person-centred</w:t>
      </w:r>
      <w:r w:rsidRPr="00884FAA">
        <w:t xml:space="preserve">, comprehensive PHC, is already well-positioned to support </w:t>
      </w:r>
      <w:r w:rsidRPr="00884FAA">
        <w:lastRenderedPageBreak/>
        <w:t>more integrated models of care. More integrated models of care</w:t>
      </w:r>
      <w:r w:rsidRPr="00884FAA" w:rsidDel="0015701D">
        <w:t xml:space="preserve"> </w:t>
      </w:r>
      <w:r w:rsidRPr="00884FAA">
        <w:t>are more closely aligned with Aboriginal and Torres Strait Islander approaches to holistic health and wellbeing. Many ACCHSs already integrate family and community services into their health care services.</w:t>
      </w:r>
    </w:p>
    <w:p w14:paraId="4C98AD12" w14:textId="77777777" w:rsidR="00153F72" w:rsidRPr="00884FAA" w:rsidRDefault="00153F72" w:rsidP="00153F72">
      <w:r w:rsidRPr="00884FAA">
        <w:t xml:space="preserve">The IAHP does not </w:t>
      </w:r>
      <w:r>
        <w:t xml:space="preserve">generally enable </w:t>
      </w:r>
      <w:r w:rsidRPr="00884FAA">
        <w:t xml:space="preserve">system integration. The ITC program, however, does enable care coordination for eligible clients. The ITC program is highly valued because it provides additional supports for people to navigate the health system and access the specialist care they need. </w:t>
      </w:r>
    </w:p>
    <w:p w14:paraId="1834653B" w14:textId="77777777" w:rsidR="00153F72" w:rsidRPr="00884FAA" w:rsidRDefault="00153F72" w:rsidP="00153F72">
      <w:r w:rsidRPr="00884FAA">
        <w:t>Many evaluation participants viewed the ITC program as a bandaid for a broken system. However, until there is transition to a model that facilitates genuine coordination and integration of care</w:t>
      </w:r>
      <w:r>
        <w:t>,</w:t>
      </w:r>
      <w:r w:rsidRPr="00884FAA">
        <w:t xml:space="preserve"> the participants view the ITC as an essential element to improve outcomes and support care coordination. For that reason, many ACCHS and PHN evaluation participants, as well as community members, supported to expansion of the ITC program to assist the program to meet the current levels of demand and expand access to other Aboriginal and Torres Strait Islander people who experience barriers to accessing specialist services and medical equipment. </w:t>
      </w:r>
    </w:p>
    <w:p w14:paraId="2D1C4C2C" w14:textId="77777777" w:rsidR="00153F72" w:rsidRPr="00884FAA" w:rsidRDefault="00153F72" w:rsidP="00153F72">
      <w:r w:rsidRPr="00884FAA">
        <w:t xml:space="preserve">Participants at several evaluation sites outlined examples of good practice in local health system integration that could inform further system reform. </w:t>
      </w:r>
    </w:p>
    <w:p w14:paraId="31A2EF41" w14:textId="77777777" w:rsidR="00153F72" w:rsidRPr="00884FAA" w:rsidRDefault="00153F72" w:rsidP="00153F72">
      <w:r w:rsidRPr="00884FAA">
        <w:rPr>
          <w:noProof/>
        </w:rPr>
        <w:lastRenderedPageBreak/>
        <mc:AlternateContent>
          <mc:Choice Requires="wps">
            <w:drawing>
              <wp:inline distT="0" distB="0" distL="0" distR="0" wp14:anchorId="1031FB4F" wp14:editId="6882CEC1">
                <wp:extent cx="5689820" cy="5372100"/>
                <wp:effectExtent l="19050" t="19050" r="25400" b="19050"/>
                <wp:docPr id="451" name="Freeform: Shape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5372100"/>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30E4F97D" w14:textId="77777777" w:rsidR="00153F72" w:rsidRPr="0058387D" w:rsidRDefault="00153F72" w:rsidP="00BD21A6">
                            <w:pPr>
                              <w:pStyle w:val="NoSpacing"/>
                              <w:spacing w:before="240"/>
                              <w:jc w:val="left"/>
                              <w:rPr>
                                <w:b/>
                                <w:bCs/>
                                <w:color w:val="1A3E5F" w:themeColor="accent1" w:themeShade="80"/>
                              </w:rPr>
                            </w:pPr>
                            <w:r w:rsidRPr="0058387D">
                              <w:rPr>
                                <w:b/>
                                <w:bCs/>
                                <w:color w:val="1A3E5F" w:themeColor="accent1" w:themeShade="80"/>
                              </w:rPr>
                              <w:t xml:space="preserve">Example of promising practice – Formal partnership between ACCHS and local hospital </w:t>
                            </w:r>
                          </w:p>
                          <w:p w14:paraId="5B440441" w14:textId="77777777" w:rsidR="00153F72" w:rsidRPr="003C3452" w:rsidRDefault="00153F72" w:rsidP="00153F72">
                            <w:pPr>
                              <w:pStyle w:val="NoSpacing"/>
                            </w:pPr>
                            <w:r w:rsidRPr="003C3452">
                              <w:t xml:space="preserve">At one metropolitan evaluation site, integrated care is built on a formal partnership between the local hospital network and the ACCHS. The partnership operates at several levels, including involving the ACCHS in the hospital network’s governance and in research collaborations. The governance relationship extends to partnership and representation in the governance of the local hospital. </w:t>
                            </w:r>
                          </w:p>
                          <w:p w14:paraId="5B641544" w14:textId="77777777" w:rsidR="00153F72" w:rsidRPr="003C3452" w:rsidRDefault="00153F72" w:rsidP="00153F72">
                            <w:pPr>
                              <w:pStyle w:val="NoSpacing"/>
                            </w:pPr>
                            <w:r w:rsidRPr="003C3452">
                              <w:t xml:space="preserve">There is also partnership in the delivery of specialist services using various integrated delivery models. This includes systems for Aboriginal and Torres Strait Islander health care users to access eye surgery, an ENT pathway, and collaborations across mental health services, chronic care, and child and family health to review and coordinate support for </w:t>
                            </w:r>
                            <w:r>
                              <w:t>Aboriginal and Torres Strait Islander</w:t>
                            </w:r>
                            <w:r w:rsidRPr="003C3452">
                              <w:t xml:space="preserve"> clients. For specialist hospital services, the ACCHS makes the referrals and the hospital network manages data entry across both ACCHS and hospital systems to ensure all the patient’s care is captured. The collaboration has recently extended to the creation of a metabolic clinic to support </w:t>
                            </w:r>
                            <w:r>
                              <w:t>Aboriginal and Torres Strait Islander</w:t>
                            </w:r>
                            <w:r w:rsidRPr="003C3452">
                              <w:t xml:space="preserve"> clients with weight loss. The model for delivery of services at the metabolic clinic at the local hospital, involving a multi-disciplinary team of endocrinologists, dieticians, physios, psychologists, psychiatrists, etc, has been replicated at the ACCHS. The initiative aims to break down some of the cultural, social, communication, and structural barriers that </w:t>
                            </w:r>
                            <w:r>
                              <w:t>Aboriginal and Torres Strait Islander</w:t>
                            </w:r>
                            <w:r w:rsidRPr="003C3452">
                              <w:t xml:space="preserve"> people face in accessing specialist services in mainstream settings.</w:t>
                            </w:r>
                          </w:p>
                          <w:p w14:paraId="2990C1DF" w14:textId="77777777" w:rsidR="00153F72" w:rsidRPr="00A1178E" w:rsidRDefault="00153F72" w:rsidP="00153F72">
                            <w:pPr>
                              <w:pStyle w:val="Quote"/>
                              <w:spacing w:before="360" w:after="0"/>
                              <w:rPr>
                                <w:color w:val="18525E" w:themeColor="accent5" w:themeShade="80"/>
                                <w:sz w:val="21"/>
                                <w:szCs w:val="21"/>
                              </w:rPr>
                            </w:pPr>
                            <w:r w:rsidRPr="00A1178E">
                              <w:rPr>
                                <w:color w:val="18525E" w:themeColor="accent5" w:themeShade="80"/>
                                <w:sz w:val="21"/>
                                <w:szCs w:val="21"/>
                              </w:rPr>
                              <w:t xml:space="preserve">We've taken that clinic, in its entirety, and replicated it at [name of ACCHS] …. it's got all of those health professionals and clinicians …. it’s really changing people's sort of health and life trajectory. </w:t>
                            </w:r>
                          </w:p>
                          <w:p w14:paraId="316A5EA1" w14:textId="77777777" w:rsidR="00153F72" w:rsidRPr="003C3452" w:rsidRDefault="00153F72" w:rsidP="00153F72">
                            <w:pPr>
                              <w:pStyle w:val="Quote"/>
                              <w:spacing w:before="0" w:after="360"/>
                              <w:jc w:val="right"/>
                              <w:rPr>
                                <w:sz w:val="21"/>
                                <w:szCs w:val="21"/>
                              </w:rPr>
                            </w:pPr>
                            <w:r w:rsidRPr="00ED223D">
                              <w:rPr>
                                <w:b/>
                                <w:bCs/>
                                <w:color w:val="auto"/>
                                <w:sz w:val="21"/>
                                <w:szCs w:val="21"/>
                              </w:rPr>
                              <w:t>State or territory government</w:t>
                            </w:r>
                          </w:p>
                        </w:txbxContent>
                      </wps:txbx>
                      <wps:bodyPr rot="0" vert="horz" wrap="square" lIns="91440" tIns="45720" rIns="91440" bIns="45720" anchor="t" anchorCtr="0" upright="1">
                        <a:noAutofit/>
                      </wps:bodyPr>
                    </wps:wsp>
                  </a:graphicData>
                </a:graphic>
              </wp:inline>
            </w:drawing>
          </mc:Choice>
          <mc:Fallback>
            <w:pict>
              <v:shape w14:anchorId="1031FB4F" id="Freeform: Shape 451" o:spid="_x0000_s1097" style="width:448pt;height:423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s19BMAAMtlAAAOAAAAZHJzL2Uyb0RvYy54bWysXdtuI7kRfQ+QfxD0mCDrJtnXwXqD7G42&#10;CLC5AFE+QGPLYyO25Uia8Wy+PqdIVptsk1WNIC/T1qhEFuuwinWKpPTt778+PW6+HE7nh+Pz9dZ8&#10;02w3h+eb4+3D86fr7T93P/1u3G7Ol/3z7f7x+Hy43v5yOG9//92vf/Xt68uHgz3eHx9vD6cNGnk+&#10;f3h9ud7eXy4vH66uzjf3h6f9+Zvjy+EZb94dT0/7C16ePl3dnvavaP3p8co2TX/1ejzdvpyON4fz&#10;Gf/7Y3hz+51v/+7ucHP5293d+XDZPF5vodvF/3vy/36kf6+++3b/4dNp/3L/cBPV2P8PWjztH57R&#10;6dzUj/vLfvP59PCuqaeHm9PxfLy7fHNzfLo63t093Bz8GDAa0yxG84/7/cvBjwXGOb/MZjr//5q9&#10;+euXf7z8/USqn19+Pt786wyLXL2+nD/M79CLM2Q2H1//crwFhvvPl6Mf7Ne70xN9EsPYfPU2/WW2&#10;6eHrZXOD/+z6cRotTH+D9zo3WNN4q1/tP/DHbz6fL386HH1T+y8/ny8BlFv85U16u3neP6HfHVq5&#10;e3oEPr/93abZmLEZNsYNUwRxFjMs9purza7ZvG4m4/qlkGWh0NZkN2YySyHHQmjJQOR+4/qBJ83c&#10;X8tSvilre7RVUKtjMVKrrajVs1Bsy5TUGlgILVlrKmrB8xJr2aFti2pNLEZqjRW1TG566rRgLpNa&#10;vq6YyW3vrOuKmpnU/Dtja7ot7N9hnO+hNKn5LWTKWJocANd3lTmWYrAzfU23BQiNK+qWYmAhU9aN&#10;vChBtDXNVLSbTWHY2aoH5DBYW7SbTUEgmYpuOQht12OGFJzApjDs0FzFO3MYLHn6e0xtCgLJVHTL&#10;QWinASiUdEth2NmaL7gcBmvLoSMFgWTKurkchK6dENgKurkUhp2r+YLLYbAAv2A3l4JAMhXdchC6&#10;yZR9waUw7FzNF1wOg5nGom4pCCRT1q3NQehdZS1oUxh2bc0X2hyGit3aFIS63dochH6kGVLAtE1h&#10;2CE8l32hzWGwrugLbQoCyVTsloMw2BEolHRLYdi1NV/ochgsgnRhvnUpCCRT1q3LQRiGii90KQy7&#10;ruYLXQ6DNVhl3seQLgWBZCq65SCMtu2LdutSGHZdzRe6HAbkDEXdUhBIpqxbn4Mw9l059vYpDLu+&#10;5gt9DoN1WGXe261PQSCZim45CFMzlO3WpzDs+pov9DkMllbAgm4pCCRT0S0HYcKiVcS0T2HY9TVf&#10;QGKYLs+2Ka6nQwoCyZR1G3IQpgkuWPLTIYVhN9R8YchhsK4Ye4cUBJKp6JaDYJp2KCciQ4rDDsiX&#10;A9yQ41AJvsjzo3l91ltbtMYcBdN0TTm7HFMgdmPNG8YciN4VUR1TGEimbLkxh6FuuTFFYjfW3GFc&#10;IGFolrz3hzHFwZBQRb0cCKhX4QxjisUOS0gZ2GmBRTcWly4o/IasIaGyelMORR3aKUVjB95WUS9H&#10;wzZjMZpMKRZeqKLeAgy4RdlnpxSO3VRziylHA5yluEhMKRZeqKwe8e40PgFdGm9h7TdNCsgOH6wY&#10;0DQ5InZCYlqYf6ZJAfFSNR1zSKAjlveyjikq0LHmIqbJYXFuKHPXJkXFS9V0zHHB4Co4g5+xxYlb&#10;m6bmJ2ZBr91oyzwxI9heqqLjgmJPI1b7ohkXHLtOsk2ODDovplMm49leqqZijgtW3wrSJgVmZ+pc&#10;2+TAuNEUY7UxKSxeqqLignCjkFVeSkzOuE2VchubOww6LwZsk7FuL1VTMYdlbLFWFIHOibepMm9j&#10;c1zQeTHsmIx8e6maijksY1MD2qa4oN5TdZcFA4f/FdcV49I45qUqKi5Y+NANZaZrchpuqjzcLIh4&#10;1YoZFZesiApmGr0HxLUy0DkbR+WzFrwXfBydl4OOS2HxUhUrLjk5SqVlFXNSbqqs3CxoedWKGTGX&#10;rLik5r7oVVoCc25uquTcLNi5G13Zihk/91I1K+bu0g19uVpl2hSXHWV15TTHLEh61YoZTZesuCDq&#10;nasUIk3O1E2VqpsFV0fnxVTMZGzdS1Ws2OXu0o4V3mlywm6qjB15aeaAWNrKuU6XwuKlKiouaDty&#10;7QrQOW83VeJuFswdEa+sYsbdvVRNxXx1cTUWanL6bqr83SwIfHUu9umiL83FfgFL21aS2pzFmyqN&#10;Nwse70YiQe9JlcmYvJeqWHHB5V3TluszJifzpsrmzYLOV62YEXrJikPuLnaolFNNTulNldObBamH&#10;I5QznYzWe6mKFRfEHiX1irvkxB67hLW4uKD2sE/ZXTJy76VqKubuYvoaMcjpvanye7Mg+A7JU3Eu&#10;ZgzfS9VUzN3FuKkyF3OKb6oc3yxIvuv6sooZy/dSFRWXNL91FRVzmk/7s5UFcMpxcSC4RStmTN9L&#10;1VTM3cVgPS9nOjnVN1Wuj42ObHUJDlgIOjnbJzctq4izEVmDSLLKxADHDliQSCo+V7GiXZJ9MxWB&#10;xv5l0qAlqZqKOSxQscwAbZNxfSqaloG2C66PIARc3lsRW4WJil6qpmIOC1QsA40ic9IirFhLxnD8&#10;gQXDwQMsHEUVM6qPCVYrKWI7JW+wJb5WSGltTvVpG6ZixQXVx35CWcMUFRKq2HCxpW5aCrNFBVNU&#10;drZK9O2S6JviLiemHlsGMxvunCiI0yef+HzJ/p6PnNx8fY5nTvDXZk9HmBp/0OXleKYDLju4Ck6x&#10;7BydE0ETkKIDKhVhmIeEh1XCUJWEgfqapglKL96tE4dhvbg/KqMqTtUMEkcRYo0yVFnw4utGSiyf&#10;xEHO17ROjNuLrxsqsV8vvm6oxERJHARyjTLECr34uqESQyNxEKs1rRNb8uLrhkrMxYuvGyqxCBJH&#10;8r9GGcrovfi6oVJ2TeJIite0TpmuF183VMo6vfi6oVIGSOJI3NYoQ9mYF183VMqMSDysK6o3UZbi&#10;xdcNlTIGL75uqL5WT/JUY18zWOyahA4MFsF1H4jjNWuD0xydUAte1QNVeP0YELFXfYAjFNVJ132A&#10;B42q5boP8KBXhilfGfRjQEVvVQ8cqZCCr/sAxyqzMlgZjlYGtadVKnG8MisDlq/v+EGjLrOqB45Z&#10;BlWSVR/gqGVWhi1fifAqoYKwrgdGemXo8izd9wB2vaoHjl4mHFVVI4bh+GVWBjDDEcyAB65SiWNY&#10;TI51lTiKIZ1f1wPHMQPGskYlz0PIrMQf1n0g+jRl8+s+EJG2KwOZz5i9SisDmeVARqlnolIwb0wt&#10;TziTvjyNftpucBr9I31m/+Flf6GMlP/cvF5v/QHmzf311h8/pneejl8Ou6OXuVBqGrMqPEK/b+8/&#10;PqdyhugCxjSPiN/m54tvzkS8/bFpqM/v8jNI2biM85rP7/IzSDmqK6NLPvbN7/IzSLUWVIsUiwPg&#10;d/kZpLoGnBFSrSxFtSJIsTG4DX6GtnoqJlOPcmMD7SJBDJuBwbTcCj9DaziMHsTYP/htfkYxKiah&#10;NWxhSa1NVBwmMSuKYdEPVtPkDFEmGoRsEmyNBh+Zl0nWnp9hFNibC9NIk8P56TXDxf5KHIdsPSw4&#10;oV9sDEnmMz1tQ2O8aFaWi2FqXr94nPyM4x1iDAcsYnsj7Tug33m14nb4GdubIq2BeaT26IZLaE8e&#10;L0JgmH3oXmwPhg52Ufr1FRJ9vlhLZV7IIaqI/XIM4NDO5uBnMIttI5dUWuuouEVWljvF1llQTum1&#10;j8RrTiZZK35G7Qbad0a3wE4cLIcCZZLi6G0Eg9cv7o+fsd8pJkHKZHYcDOb8kNvhZ2jP4QSYH4cS&#10;DJyJTo4CjjReZ2mDEXaRY4tzcXWUXdKh1BVQk13N4bxIkFO06+jMBbRT0HUdVYkJXXkFcj3tOJGc&#10;Mo6BdnwhB48TrTfGWTUn6YwWPyNqUwzhilzbUOWQ+pXH0RKdIzllFrQ2zhZlFrQuOqU8mVvcAAvd&#10;ilbBXmicBYrYGMGQxbq4TCq64eih102JZm1PRyJgOiAiQdv2tKFAJpYDRjvE1V5ZTdsxckYNsinm&#10;Uopc13BqI3tu588EYRyKa3S+Fk1y8pTvcALQ20Vxoc7FqpIS0DrMFt8ezmJIeHQdlaKhnxJIu472&#10;tEhOsUtPu9Qkp/Q7xOwGB2RE/UY6DYT2NNwm2m0gOdnFu4nns6xf30Q7K5kwkqpgZ4U89LgO4PVD&#10;wJfG22PlCOOQ7dIjVgU5eV717RTwxfQX++1o0xn2U7LmvqczHySn2G+I2RzcU+x3pK0xak+Ti/Nq&#10;LiXxUsDPsCT0EwKLnwfyPO0ntosch4aGTmfQvJLtPJg4TxUSM/itQBqvrN9g45qg+OXg6DwY2lOy&#10;9aGNFci5yMR242ewH9wy4AuYJdyGLtpF0w8TcA0eQx9Zh7J+DENMrOZ6BevPzzgOTjjlaTWM0c3l&#10;3H+YIrrypB+bSMVlbKFaXFPluTfOsUVpz0YGiNAhYTa6OAeUNWt0EQvFJ3GwNsw9ZS0CAQxzQEnT&#10;sF8afA0Qi+MYYhUX2a4oN8aEaS7d8hzhZ5grI8cMRb+piYUiZc2a/LUCihkybpM/dQ05OusuDQSl&#10;rrD4vhU/eQT8DCOBYFw9lCGH4hmFIWXdgmDAOG5OV+teEydElHjIg4lJe6e4MMwTlrgO7EduMe7f&#10;YHHSBEOLgxItZwSpdqF0HXkeqviiYBPXG9zKUJpsYqaFsqQynCYWzjCPtN7p1BvNNNsrtpzzHqes&#10;ZFMT61jYrNFGFNcKHAzWRkQHCEnPTqFqUzMTcc1K7I04nKj6Y4zLo+qQdCOA9MT9Bxl3gyDgJSfs&#10;YIgzBAVEL4kTO6pk5Itv+2QcB/jJ8SDW/PDFE5pXcq3WYuNE1LPheqjTvKiJnAY1LKX3hk7CwZ4W&#10;d/213mN+12m9M+62V3IKeHu0PA4nyr37W0mkJ/IpRZLbpEREtKe/CUZt4jy2LMkxxOLMsSLJNYAG&#10;lR6x9ybuC+AskGb5uLOBGpgqGYKiWx1tnFPWfFySjjyhVTJnRIYo2Sl5zhzlXa/EkHGKc96Bn4n2&#10;HCfmM73CkEYKMjTn0aYcl8YhchpdkqswumQ38zg9ywu+iTbltWNsYwyBpOwduBAS4icsL8/k0TLv&#10;6xFypZmML1RiPRWuhks9c+9yXILvxrkE/i73zrmhOpfAJWJRVRv7MNIVkDBDZI/DVkzM0vClH6Ke&#10;4Fk865TsFAW42UpyBBu4nIyxyxgNLe/N9QpGg5vHrlgeTHkekeybAx0FCPbU2uQTQTqaXC9Ux47C&#10;J1dOlN77cdZTqxbhImIckZKx9MyZXD+fJeBcgZ8hZ0ABj+Onktf1fSxvY59AnnV9hwDrLd9hYZK8&#10;uH/b9cR5DFHS8aZDN5+/4JHwM46IUpqAu7IW9/7Mufc4ZUXomZy4XtnS6puY12HfV7YSdltiDU6V&#10;HBkj2Eu0Esp63KYSvTs4EnuH7Ee4zTDPOjnOY5GZLa+02cUtFcwlOYagsh1jXaewHtTKeUQIZdJc&#10;QvV9Xjvk7Bf1fF4RUIQQ28QB9WhPhUR2DUhZmJ9Kda6d5uit8M0WX0zFbcoY4XY0Y6TM5HaI7Azr&#10;u7waYpeHe1fifNvHrUjXK7GuBfBxREpNviWaGeypbtDFjVU1zrc28neMXZ5L2Bxk71A4QourE1FP&#10;zfINxzotV3QT3ZoJOYMcGdwUi0oYuxyT3UiXKENUlL0YRSL2DgVNbHlymwpGCLA8lxQehwtULKlE&#10;b4fvu2Mryd6B8vpaSXTPVpLzJfe2HikVCfcWbZT1HaVdjvMKj3NztMGX14kRzPJemdMqcJZ33yCp&#10;tIk7j8FKHQo4UvykL+dkSTkTsG97UkpuY7kSrfq7bek+qZ/zyo4nvhOKo41ywsnycQCcl1BGhO97&#10;ir3D8UUr8ekltKnYs5nzZGxZSm3iwBvPJaWWiyORvG4qvBi3NjkyKCsCTgSzHynegcvArKcmScaJ&#10;EUxetXFfnC2vcFjckuc2lcwKR8dZT4Vro0A69y7j7ouuMc5rkuxxvda7RUkttqlYiY5tR0llLnG1&#10;EOumnP3i1gZHWuXMB75RicGUlzjcUmdBOSrRfkAYjjKRaIchCspZQDeHD2WDhffQkP/Ig3Fz6qeU&#10;cu3svUqLuJHJg5EXLD4pi6gpYzj7o7L+xh0gcHwZl7jfhnNtioJxQjhYXYxsET2L+9SSHOcmdHhH&#10;kuMMim66iHLR0I3CBOiLU7DmYOGV+43H/MBaZDxiDcWOip25Peyui+OI/mRx2kGUi/MAC7OCR1gT&#10;bKdw/eDGls4qSWYOsdNSkUkSC0sWvmFbHmyYK/iKUXmt5nM4dENF7DXMAdyKlrGNlRIcc5ZtF1de&#10;3FaRfSPuCGPrWGkvGNngZIc4jogtvixEmQNhLuN7T2S7oBhGcx63nxS7BNhwJkJGN96DwwWvlXLa&#10;XI79Okx+CV8eB5UjRbloZ7pOIspF+xlNv7AS43sH5Xka58ukpHTx2NaoOEecVYOyoYuMg8BF9VEc&#10;a6yUaJQgUhx8R6PcWsxNlEISl2cUzhD3Ct4uSHFxkZ+hyBjtRkc6RFSDbu+wunk8ng/hg3TXyV+l&#10;ny890V2p5Pcgno8/PTw+QpjuINFVKHxNEkqL9Pp8fHy4pXf9i9Onjz88njZf9vihD9f/of/++6hb&#10;JnY6fn6+9a3dH/a3f4x/X/YPj+Fvf+Qj/gAG/eYF/Y7I+cPl68evm4dbNOyhpf/6eLz95e+nzekY&#10;flEEv4CCP+6Pp/9sN6/4NZHr7fnfn/enw3bz+Odn/FzHBOqCiH3xL7DCU+J9St/5mL6zf75BU9fb&#10;yxZfQkB//nAJP1ny+eX08OkePRlvgefjH/BTHHcP9IMZ/jc7glbxBX4xxJs2/roJ/SRJ+tpLvf0G&#10;y3f/BQAA//8DAFBLAwQUAAYACAAAACEA6oSR9dgAAAAFAQAADwAAAGRycy9kb3ducmV2LnhtbEyP&#10;QUvDQBCF74L/YRnBi9hNS4gxZlNE6FVorPdpdkyi2dmQ3bTRX+/oRS/De7zhzTfldnGDOtEUes8G&#10;1qsEFHHjbc+tgcPL7jYHFSKyxcEzGfikANvq8qLEwvoz7+lUx1ZJCYcCDXQxjoXWoenIYVj5kViy&#10;Nz85jGKnVtsJz1LuBr1Jkkw77FkudDjSU0fNRz07A9k63Rzanb6bX7/elzrdP+d8Q8ZcXy2PD6Ai&#10;LfFvGX7wBR0qYTr6mW1QgwF5JP5OyfL7TOxRRCpCV6X+T199AwAA//8DAFBLAQItABQABgAIAAAA&#10;IQC2gziS/gAAAOEBAAATAAAAAAAAAAAAAAAAAAAAAABbQ29udGVudF9UeXBlc10ueG1sUEsBAi0A&#10;FAAGAAgAAAAhADj9If/WAAAAlAEAAAsAAAAAAAAAAAAAAAAALwEAAF9yZWxzLy5yZWxzUEsBAi0A&#10;FAAGAAgAAAAhAOtSKzX0EwAAy2UAAA4AAAAAAAAAAAAAAAAALgIAAGRycy9lMm9Eb2MueG1sUEsB&#10;Ai0AFAAGAAgAAAAhAOqEkfXYAAAABQEAAA8AAAAAAAAAAAAAAAAAThYAAGRycy9kb3ducmV2Lnht&#10;bFBLBQYAAAAABAAEAPMAAABTFw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281047;549925,323497;850110,323497;1155900,371802;1418718,297149;1700220,327888;1981721,303004;2238311,324961;2560294,322033;2826226,289830;3069115,322033;3389852,346918;3680073,310323;3992714,314714;4276707,330816;4528937,349845;4793624,305932;5030284,298613;5336697,348381;5667400,322033;5683592,928041;5667400,1680428;5645602,2323031;5683592,3057852;5666777,3726803;5673627,4291825;5650584,4934428;5604498,5596059;5281892,5598987;5027793,5582885;4736950,5588741;4424931,5585813;4155885,5543363;3860060,5585813;3566725,5581422;3295188,5585813;3017423,5610697;2730316,5585813;2447569,5590204;2177901,5594596;1908232,5536044;1599950,5585813;1289178,5626799;1035079,5585813;827067,5603378;525636,5579958;186215,5569711;7473,5218402;32385,4539205;2491,3962473;15570,3213013;14324,2609933;14947,2025882;23043,1266176;20552,453774" o:connectangles="0,0,0,0,0,0,0,0,0,0,0,0,0,0,0,0,0,0,0,0,0,0,0,0,0,0,0,0,0,0,0,0,0,0,0,0,0,0,0,0,0,0,0,0,0,0,0,0,0,0,0,0,0,0,0" textboxrect="0,0,9136,3670"/>
                <v:textbox>
                  <w:txbxContent>
                    <w:p w14:paraId="30E4F97D" w14:textId="77777777" w:rsidR="00153F72" w:rsidRPr="0058387D" w:rsidRDefault="00153F72" w:rsidP="00BD21A6">
                      <w:pPr>
                        <w:pStyle w:val="NoSpacing"/>
                        <w:spacing w:before="240"/>
                        <w:jc w:val="left"/>
                        <w:rPr>
                          <w:b/>
                          <w:bCs/>
                          <w:color w:val="1A3E5F" w:themeColor="accent1" w:themeShade="80"/>
                        </w:rPr>
                      </w:pPr>
                      <w:r w:rsidRPr="0058387D">
                        <w:rPr>
                          <w:b/>
                          <w:bCs/>
                          <w:color w:val="1A3E5F" w:themeColor="accent1" w:themeShade="80"/>
                        </w:rPr>
                        <w:t xml:space="preserve">Example of promising practice – Formal partnership between ACCHS and local hospital </w:t>
                      </w:r>
                    </w:p>
                    <w:p w14:paraId="5B440441" w14:textId="77777777" w:rsidR="00153F72" w:rsidRPr="003C3452" w:rsidRDefault="00153F72" w:rsidP="00153F72">
                      <w:pPr>
                        <w:pStyle w:val="NoSpacing"/>
                      </w:pPr>
                      <w:r w:rsidRPr="003C3452">
                        <w:t xml:space="preserve">At one metropolitan evaluation site, integrated care is built on a formal partnership between the local hospital network and the ACCHS. The partnership operates at several levels, including involving the ACCHS in the hospital network’s governance and in research collaborations. The governance relationship extends to partnership and representation in the governance of the local hospital. </w:t>
                      </w:r>
                    </w:p>
                    <w:p w14:paraId="5B641544" w14:textId="77777777" w:rsidR="00153F72" w:rsidRPr="003C3452" w:rsidRDefault="00153F72" w:rsidP="00153F72">
                      <w:pPr>
                        <w:pStyle w:val="NoSpacing"/>
                      </w:pPr>
                      <w:r w:rsidRPr="003C3452">
                        <w:t xml:space="preserve">There is also partnership in the delivery of specialist services using various integrated delivery models. This includes systems for Aboriginal and Torres Strait Islander health care users to access eye surgery, an ENT pathway, and collaborations across mental health services, chronic care, and child and family health to review and coordinate support for </w:t>
                      </w:r>
                      <w:r>
                        <w:t>Aboriginal and Torres Strait Islander</w:t>
                      </w:r>
                      <w:r w:rsidRPr="003C3452">
                        <w:t xml:space="preserve"> clients. For specialist hospital services, the ACCHS makes the referrals and the hospital network manages data entry across both ACCHS and hospital systems to ensure all the patient’s care is captured. The collaboration has recently extended to the creation of a metabolic clinic to support </w:t>
                      </w:r>
                      <w:r>
                        <w:t>Aboriginal and Torres Strait Islander</w:t>
                      </w:r>
                      <w:r w:rsidRPr="003C3452">
                        <w:t xml:space="preserve"> clients with weight loss. The model for delivery of services at the metabolic clinic at the local hospital, involving a multi-disciplinary team of endocrinologists, dieticians, physios, psychologists, psychiatrists, etc, has been replicated at the ACCHS. The initiative aims to break down some of the cultural, social, communication, and structural barriers that </w:t>
                      </w:r>
                      <w:r>
                        <w:t>Aboriginal and Torres Strait Islander</w:t>
                      </w:r>
                      <w:r w:rsidRPr="003C3452">
                        <w:t xml:space="preserve"> people face in accessing specialist services in mainstream settings.</w:t>
                      </w:r>
                    </w:p>
                    <w:p w14:paraId="2990C1DF" w14:textId="77777777" w:rsidR="00153F72" w:rsidRPr="00A1178E" w:rsidRDefault="00153F72" w:rsidP="00153F72">
                      <w:pPr>
                        <w:pStyle w:val="Quote"/>
                        <w:spacing w:before="360" w:after="0"/>
                        <w:rPr>
                          <w:color w:val="18525E" w:themeColor="accent5" w:themeShade="80"/>
                          <w:sz w:val="21"/>
                          <w:szCs w:val="21"/>
                        </w:rPr>
                      </w:pPr>
                      <w:r w:rsidRPr="00A1178E">
                        <w:rPr>
                          <w:color w:val="18525E" w:themeColor="accent5" w:themeShade="80"/>
                          <w:sz w:val="21"/>
                          <w:szCs w:val="21"/>
                        </w:rPr>
                        <w:t xml:space="preserve">We've taken that clinic, in its entirety, and replicated it at [name of ACCHS] …. it's got all of those health professionals and clinicians …. it’s really changing people's sort of health and life trajectory. </w:t>
                      </w:r>
                    </w:p>
                    <w:p w14:paraId="316A5EA1" w14:textId="77777777" w:rsidR="00153F72" w:rsidRPr="003C3452" w:rsidRDefault="00153F72" w:rsidP="00153F72">
                      <w:pPr>
                        <w:pStyle w:val="Quote"/>
                        <w:spacing w:before="0" w:after="360"/>
                        <w:jc w:val="right"/>
                        <w:rPr>
                          <w:sz w:val="21"/>
                          <w:szCs w:val="21"/>
                        </w:rPr>
                      </w:pPr>
                      <w:r w:rsidRPr="00ED223D">
                        <w:rPr>
                          <w:b/>
                          <w:bCs/>
                          <w:color w:val="auto"/>
                          <w:sz w:val="21"/>
                          <w:szCs w:val="21"/>
                        </w:rPr>
                        <w:t>State or territory government</w:t>
                      </w:r>
                    </w:p>
                  </w:txbxContent>
                </v:textbox>
                <w10:anchorlock/>
              </v:shape>
            </w:pict>
          </mc:Fallback>
        </mc:AlternateContent>
      </w:r>
    </w:p>
    <w:p w14:paraId="52C15E17" w14:textId="77777777" w:rsidR="00153F72" w:rsidRPr="00884FAA" w:rsidRDefault="00153F72" w:rsidP="00153F72">
      <w:pPr>
        <w:pStyle w:val="Quote"/>
        <w:rPr>
          <w:i/>
          <w:iCs w:val="0"/>
        </w:rPr>
      </w:pPr>
    </w:p>
    <w:p w14:paraId="5F436B26" w14:textId="77777777" w:rsidR="00153F72" w:rsidRPr="00884FAA" w:rsidRDefault="00153F72" w:rsidP="00153F72">
      <w:r w:rsidRPr="00884FAA">
        <w:rPr>
          <w:noProof/>
        </w:rPr>
        <w:lastRenderedPageBreak/>
        <mc:AlternateContent>
          <mc:Choice Requires="wps">
            <w:drawing>
              <wp:inline distT="0" distB="0" distL="0" distR="0" wp14:anchorId="7D429FC5" wp14:editId="78080A71">
                <wp:extent cx="5689820" cy="3869138"/>
                <wp:effectExtent l="19050" t="19050" r="25400" b="17145"/>
                <wp:docPr id="452" name="Freeform: 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3869138"/>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58BD1F6D" w14:textId="77777777" w:rsidR="00153F72" w:rsidRPr="0058387D" w:rsidRDefault="00153F72" w:rsidP="00BD21A6">
                            <w:pPr>
                              <w:pStyle w:val="NoSpacing"/>
                              <w:spacing w:before="240"/>
                              <w:jc w:val="left"/>
                              <w:rPr>
                                <w:b/>
                                <w:bCs/>
                                <w:color w:val="1A3E5F" w:themeColor="accent1" w:themeShade="80"/>
                              </w:rPr>
                            </w:pPr>
                            <w:r w:rsidRPr="0058387D">
                              <w:rPr>
                                <w:b/>
                                <w:bCs/>
                                <w:color w:val="1A3E5F" w:themeColor="accent1" w:themeShade="80"/>
                              </w:rPr>
                              <w:t xml:space="preserve">Example of promising practice – Use of telehealth to support remote service delivery </w:t>
                            </w:r>
                          </w:p>
                          <w:p w14:paraId="6A6B89BD" w14:textId="0041C2F3" w:rsidR="00153F72" w:rsidRPr="003C3452" w:rsidRDefault="00153F72" w:rsidP="00153F72">
                            <w:pPr>
                              <w:pStyle w:val="NoSpacing"/>
                            </w:pPr>
                            <w:r w:rsidRPr="003C3452">
                              <w:t xml:space="preserve">In a contrasting remote evaluation site, telehealth is being used to support more integrated models of care for Aboriginal and Torres Strait Islander people. At that location, the ACCHS reflected that sending clients to the distant regional centre for specialist appointments can present real challenges and many things can go wrong for community members when navigating the health system. Since the introduction of telehealth people are able to stay in the community, the ACCHS </w:t>
                            </w:r>
                            <w:r>
                              <w:t>can</w:t>
                            </w:r>
                            <w:r w:rsidRPr="003C3452">
                              <w:t xml:space="preserve"> provide wraparound support to the client, and provide access to the clinic so that a person has support during the consultation with the specialist via telehealth. In future, there is a hope that the specialist will be able to visit the local community at regular intervals to deliver health</w:t>
                            </w:r>
                            <w:r w:rsidR="006D2482">
                              <w:t xml:space="preserve"> </w:t>
                            </w:r>
                            <w:r w:rsidRPr="003C3452">
                              <w:t>care services rather than requiring clients to travel to access these specialist services. Notably, this is now occurring in an ACCHS in a neighbouring regional centre – the specialists are visiting the clinic at the ACCHS rather than expecting the client to go to the mainstream hospital setting which they may be unfamiliar with and where they may feel uncomfortable.</w:t>
                            </w:r>
                          </w:p>
                          <w:p w14:paraId="3A8FFC24" w14:textId="77777777" w:rsidR="00153F72" w:rsidRPr="00A1178E" w:rsidRDefault="00153F72" w:rsidP="00153F72">
                            <w:pPr>
                              <w:pStyle w:val="Quote"/>
                              <w:spacing w:before="360" w:after="0"/>
                              <w:ind w:left="709" w:right="142"/>
                              <w:rPr>
                                <w:color w:val="18525E" w:themeColor="accent5" w:themeShade="80"/>
                                <w:sz w:val="21"/>
                                <w:szCs w:val="21"/>
                              </w:rPr>
                            </w:pPr>
                            <w:r w:rsidRPr="00A1178E">
                              <w:rPr>
                                <w:color w:val="18525E" w:themeColor="accent5" w:themeShade="80"/>
                                <w:sz w:val="21"/>
                                <w:szCs w:val="21"/>
                              </w:rPr>
                              <w:t>You know, it's just quite a little sort of slight change in the way things are delivered that suddenly can make a huge difference.</w:t>
                            </w:r>
                          </w:p>
                          <w:p w14:paraId="40C8BACF" w14:textId="77777777" w:rsidR="00153F72" w:rsidRPr="00ED223D" w:rsidRDefault="00153F72" w:rsidP="00153F72">
                            <w:pPr>
                              <w:jc w:val="right"/>
                            </w:pPr>
                            <w:r w:rsidRPr="0047655C">
                              <w:rPr>
                                <w:b/>
                                <w:bCs/>
                                <w:sz w:val="21"/>
                                <w:szCs w:val="21"/>
                              </w:rPr>
                              <w:t>State or territory government</w:t>
                            </w:r>
                          </w:p>
                        </w:txbxContent>
                      </wps:txbx>
                      <wps:bodyPr rot="0" vert="horz" wrap="square" lIns="91440" tIns="45720" rIns="91440" bIns="45720" anchor="t" anchorCtr="0" upright="1">
                        <a:noAutofit/>
                      </wps:bodyPr>
                    </wps:wsp>
                  </a:graphicData>
                </a:graphic>
              </wp:inline>
            </w:drawing>
          </mc:Choice>
          <mc:Fallback>
            <w:pict>
              <v:shape w14:anchorId="7D429FC5" id="Freeform: Shape 452" o:spid="_x0000_s1098" style="width:448pt;height:304.65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bD6xMAAMtlAAAOAAAAZHJzL2Uyb0RvYy54bWysXV1vIztyfQ+Q/yD4McFeN8ludvfgzl3s&#10;RzYIsMkusNofoLHlsRHbciTNeO7++pwiWT1kD1nVCPIybY1KZLEOq1inSEo///bby/Pu6/F8eTq9&#10;frwxP3U3u+Pr3en+6fXzx5u/7//0m+lmd7keXu8Pz6fX48ebX4+Xm9/+8s//9PP724ejPT2enu+P&#10;5x0aeb18eH/7ePN4vb59uL293D0eXw6Xn05vx1e8+XA6vxyueHn+fHt/Pryj9ZfnW9t1/vb9dL5/&#10;O5/ujpcL/veP8c2bX0L7Dw/Hu+tfHh4ux+vu+eMNdLuGf8/h30/07+0vPx8+fD4f3h6f7pIah/+D&#10;Fi+Hp1d0ujT1x8P1sPtyfvqhqZenu/Ppcnq4/nR3erk9PTw83R3DGDAa061G87fHw9sxjAXGubwt&#10;Zrr8/zV7919f//b21zOpfnn78+nuvy+wyO372+XD8g69uEBm9+n9P0/3wPDw5XoKg/32cH6hT2IY&#10;u2/Bpr8uNj1+u+7u8J+Dn+bJwvR3eM9NfjZuIqvfHj7wx+++XK7/fjyFpg5f/3y5RlDu8Vcw6f3u&#10;9fCCfvdo5eHlGfj862923c5M3bgzbpwTiIuYYbF/ud3tu937Dn36tZBlodjWbHdmNmshx0JoyUDk&#10;cef8yJNm6a9nqdCUtR5tVdQaWIzU6htqeRZKbZmaWiMLoSVrTUMteF5mLTv2fVWtmcVIramhlilN&#10;T51WzGVyy7cVM6XtnXVDVTOTm39vbEu3lf0HjPNHKE1ufguZOpamBMD5oTHHcgz2xrd0W4HQuapu&#10;OQYWMnXdyIsyRHvTzVW72RyGvW16QAmDtVW72RwEkmnoVoLQDx4zpOIENodhj+Ya3lnCYMnTf8TU&#10;5iCQTEO3EoR+HoFCTbcchr1t+YIrYbC2HjpyEEimrpsrQRj6GYGtopvLYdi7li+4EgYL8Ct2czkI&#10;JNPQrQRhmE3dF1wOw961fAFxP5++Zp6quuUgkExdt74EwbvGWtDnMOz7li/0JQwNu/U5CG279SUI&#10;fqIZUsG0z2HYIzzXfaEvYbCu6gt9DgLJNOxWgjDaCSjUdMth2PctXxhKGCyCdGW+DTkIJFPXbShB&#10;GMeGLww5DPuh5QtDCYM1WGV+jCFDDgLJNHQrQZhs76t2G3IY9kPLF4YSBuQMVd1yEEimrpsvQZj8&#10;UI+9Podh71u+4EsYrMMq86PdfA4CyTR0K0GYu7FuN5/DsPctX/AlDJZWwIpuOQgk09CtBGHGolXF&#10;1Ocw7H3LF5AY5vHNdtX1dMxBIJm6bmMJwjzDBWt+OuYw7MeWL4wlDNZVY++Yg0AyDd1KEEzXj/VE&#10;ZMxx2AP5eoAbSxwawRd5fjJvyHpbi9ZUomC6oatnl1MOxH5qecNUAuFdFdUph4Fk6pabShjalpty&#10;JPZTyx2mFRKGZsmP/jDlOBgSaqhXAgH1GpxhyrHYYwmpAzuvsBim6tIFhb8ja0iort5cQtGGds7R&#10;2IO3NdQr0bDdVI0mc45FEGqotwIDblH32TmHYz+33GIu0QBnqS4Sc45FEKqrZ7oVGl1P462s/abL&#10;Adnjgw0Dmq5ExM5ITCvzz3Q5IEGqpWMJCWYglve6jjkq0LHlIqYrYXFurHPXLkclSLV0LHHB4Bo4&#10;g59lExs6tvzErOi1m2ydJxYEO0g1dFxR7HnCal8144pjt0m2KZFB59V0yhQ8O0i1VCxxwerbQNrk&#10;wOxNm2ubEhg3mWqsNiaHJUg1VFwRbhSy6kuJKRm3aVJuY0uHQefVgG0K1h2kWiqWsEw91ooq0CXx&#10;Nk3mbWyJCzqvhh1TkO8g1VKxhGXqWkDbHBfUe5rusmLg8L/qumJcHseCVEPFFQsfh7HOdE1Jw02T&#10;h5sVEW9asaDikhVRwcyzyxFxrQ50ycZR+WwF7xUfR+f1oONyWIJUw4prTo5SaV3FkpSbJis3K1re&#10;tGJBzCUrrql5KHrVlsCSm5smOTcrdu4mV7diwc+DVMuKpbsMo69Xq0yf47KnrK6e5pgVSW9asaDp&#10;khVXRH1wjUKkKZm6aVJ1s+Lq6LyaipmCrQephhWH0l36qcE7TUnYTZOxIy8tHBBLWz3XGXJYglRD&#10;xRVtR67dALrk7aZJ3M2KuSPi1VUsuHuQaqlYri6uxUJNSd9Nk7+bFYFvzkWfL/rSXPQrWPq+kdSW&#10;LN40abxZ8Xg3EQn6kVSZgskHqYYVV1zedX29PmNKMm+abN6s6HzTigWhl6w4lu5ix0Y51ZSU3jQ5&#10;vVmRejhCPdMpaH2QalhxRexRUm+4S0nssUvYiosrag/71N2lIPdBqqVi6S7Gt4hBSe9Nk9+bFcF3&#10;SJ6qc7Fg+EGqpWLpLsbNjblYUnzT5PhmRfLd4OsqFiw/SDVUXNP83jVULGk+7c82FsC5xMWB4Fat&#10;WDD9INVSsXQXbGk35mJJ9U2T62Ojo1hdogNWgk7J9slN6yribETRIJKsOjHAsQMWpA1gfK5hRbsm&#10;+2auAo39y6xBS1ItFUtYoGKdAdqu4PpUNK0DbVdcH0EIuPxoRWwVZioGqZaKJSxQsQ40isxZi7Bi&#10;KxmzK6qPqVNdXWxB9YNUQ8UV1Tc98bVKSmtLqk/bMA0rrqg+9hOqRiyYPgm1FFw5S09htqpgjsre&#10;Nom+XRN9U93lxNTLMIE7Zwri9MlnPl9yeOQjJ3ffXtOZE/y1O9ARpi4cdHk7XeiAyx6uglMse5cO&#10;sECKDqg0hDFpSXjcJAxVSRiox7MxctMEZRAftonDsEE8HJXB2OXWqZpB4ihCbFGGKgtBfNtIieWT&#10;OMj5ltaJcQfxbUMl9hvEtw2VmCiJg0BuUYZYYRDfNlRiaCQOYrWldWJLQXzbUIm5BPFtQyUWQeJI&#10;/rcoQxl9EN82VMquSRxJ8ZbWKdMN4tuGSllnEN82VMoASRyJ2xZlKBsL4tuGSpkRicd1RfUmylKC&#10;+LahUsYQxLcNNdTqSZ5q7FsGi12T2IHBIrjtA2m8ZmtwWqITVohNPVCFN4wBEXvTBzhCUZ102wd4&#10;0KhabvsAD3pjmAqVwTAGVPQ29cCRCin4tg9wrDIbg5XhaGVQe9qkEscrszFghfpOGDTqMpt64Jhl&#10;UCXZ9AGOWmZj2AqViKASKgjbemCkN4auwNJDD2DXm3rg6GXiUVU1YhiOX2ZjADMcwQx44CaVOIal&#10;5FhXiaMY0vltPXAcM2AsW1QKPITMSvxh2weST1M2v+0DCWnKrTd9gAMZjgVt/EAKZJR6Zj1E86bU&#10;8owz6evT6OebHU6jf6LPHD68Ha6UkfKfu/ePN+EA8+4RB6jp+DG983L6etyfgsyVUtOUVeER+/3+&#10;/vNrLmeILsDMy4j4bX6+heZMwjscm4b6/C4/o5RNyzibk9/lZ5RyVFdGl+HcdLOt3oJqkWJpANwG&#10;P2NbQwfOCKlelqJaEaTYGNwGP2NbnorJ1KPc2Ei7SBDDZmA0LbfCz9gaDqNHMZ4q/DY/kxgVk9Aa&#10;trCk1mYqDpOYFcWw6EeraXKGKBMNQjYJtkajjyzLJGvPzzgK7M3FaaTJ4fz0luFifyWNQ7YeFpzY&#10;LzaGJPMZT+QU40WzslwKU8v6xePkZxrvmGI4YBHbm2jfAf0uqxW3w8/U3pxoDcwjtUc3XGJ78ngR&#10;AuPsQ/diezB0tIvSb6iQ6PPFWirzQg5RReyXYwCHdjYHP6NZbJ+4pNLaQMUtsrLcKbbOonJKrz4R&#10;ryWZZK34mbQbad8Z3QI7cbAcCpRJiqO3CQxev7g/fqZ+55QEKZPZcTBY8kNuh5+xPYcTYGEcSjBw&#10;Jjk57kRI43WWNhhhFzm2OJfSfNklHQpiETXZ1RzOi0Q5RbuBzlxAOwVdN1CVmNCVVyDnaceJ5JRx&#10;jLTjCzl4nGi9Kc2qJUlntPiZUJtTCFfk+o4qh9SvPI6e6BzJKbOgt2m2KLOgd8kp5cncO9oNo25F&#10;q2AvNM0CRWxKYMhiQ1omFd1w9DDopkSz3tORCIwBiEjQ9p42FGiscsDox7TaK6tpPyXOqEE2p1xK&#10;kRs6Tm1kzx3CmSCMQ3GNATXlMF5gJ9llwAnAKCfbb3CpqqQEtAGzJbSHsxhivwPd7sI4lEA6DLSn&#10;RXKKXTztUpOc0u+YshsckBH1m+g0ENrTcJtpt4HkZBcfZp7Psn6+S3ZWMmEkVdHOCnnwuA4Q9EPA&#10;l8brsXLEcch28YhVUU6eV76fI76Y/mK/A206w35K1uw9nfkgOcV+Y8rm4J5ivxNtjVF7mlyaV0sp&#10;iZcCfsYlwc8ILGEeyPPUz2wXOQ6NHZ3OoHkl23k0aZ4qJGYMW4E0Xlm/0aY1QfHL0dF5MLSnZOtj&#10;n4j7UmRiu/Ez2g9uGfEFzBJu45DsoumHCbgFj9En1qGsH+OYEqulXsH68zONgxNOeVqNuHwdzSeP&#10;dk7oypN+6hIVl7GFamlNlefetMQWpT2bGCBCh4TZ5NIcUNasySUsFJ/Ewdo495S1CAQwGllJ07Bf&#10;Gn0NEIvjGFMVF9muKDelhGkp3fIc4WecKxPHDEW/uUtrubJmzeFaAcUMGbc5nLqGHJ11lwaCUldc&#10;fL8XP3kE/IwjgWBaPZQhx+IZhSFl3YJgyl+WQi13yU/umg5Jo0VKPOTBpKR9UFwY5olL3AD2I7eY&#10;9m+wOGmCscVRiZYLglS7ULpOPA9VfFGwS+sNbmUoTXYp00JZUhlOlwpnmEda73TqjWaa9Yotl7zH&#10;KSvZ3KU6FjZrtBGltQIHg7UR0QFC0nNQqNrcLURcsxJ7Iw4nqv6Y4vKkOmSa7Ab3H2TcDYJAGNGM&#10;HQxxhqCAGCRxYkeVjD6J4yvqiFI8oJMucu9cq7XYOBElO66HOs2LusRpUMNSeu/oJBxwt7jrr/We&#10;8rtB651xt17JKeDtyfI4nCj3Hm4lkZ7IpxRJbpMSEdGe4SYYtYnz2LIkxxCLM8eKJNcAOlR6xN67&#10;tC+As0Ca5dPOBmpgqmQMim5ztHFOWfNxSTrxhF6b8xwV3aDkOUuUd16JIdOc5rwDPxPtOc3MZ7zC&#10;kCYKMjTn0absxdOYOI0uyVUYXXJYeJye5UXfRJvy2jH1KYZAUvYOXAiJyQIsL8/kyTLv8wi50kzG&#10;FyqxngpXw6WepXc5LsF306wDf5d759xQnUvjnLJSdezjRFdA4gyRPQ5bMSlLw5d+iHqCZ/GsU7JT&#10;FOAWK8kRbORyMkYkYzT2vDfnFYxGt4xdsTyY8jIi2TdHOgoQ7am1ySeCdDS5XqiOHYVPrpwovftp&#10;0VOrFuEiYhqRkrF45kzOL2cJOIHnZ0zkUcBLc35Q8jrvU3kb+wTyrPMDAmyw/ICFSfJi/33XE+cx&#10;REnHmw7Dcv6CR8LPNCJKaSLuylrsw5nz4HHKiuCZnDivbGn5LuV12PeVrYTdlpgr6pITYwR7iVZC&#10;WY/bVKL3AEdi75D9CLcZllknx3ksMovllTaHtKWCuSTHEFS2U6wbFNaDWjmPCKFMmkuovi9rh5z9&#10;op7PKwKKEGKb9KV+cdYpJHLoQMqSpDzn+3mJ3grf7PHFVNymjBFuRzNGykzux8TOsL7LqyF2ebh3&#10;Jc73Pm1FOq/Euh7ApxEpNfmeaGa0p7pBlzZW1Tjf28TfMXZ5LmFzkL1D4Qg9rk4kPTXLdxzrtFzR&#10;zXRrJuYMcmRwcyoqYexyTMY3VHJ2obAJ3GBg71DQxJYnt6lghADLc0nhcbhAxZJK9Hb4vju2kuwd&#10;KK9vlUT3qU1lz9J9X4+UioT7Hm2U9R2lXY7zCo9zS7TBl9eJEczyXpnTKnCWd98gqbSJO4/RSgMK&#10;OFL8pC/nZEk5Ktrve1JKbmO5Eq36u+3pPmnwI2XHE98JxdFGOeFk+TgAzksoI8L3PaXe4fiilfj0&#10;EtpU7NkteTK2LKU2ceCN55JSy8WRSF43FV6MW5scGZQVASeC2Y8U78BlYNZTkyTjRDSVyID74mx5&#10;hcPiljy3qWRWODrOeipcGwXSpXcZ91B0TXFek2SP81rvFiW11Kac2xg6tp0klbnE1UKsm3L2i1sb&#10;HGmV+IlvVGIw5SUOt9RZUI5KtB8Qh6NMJNphSIJyFjAs4UPZYOE9NOQ/8mDckvoppVy7eK/SIm5k&#10;8mBkgs8nZRE1ZQwXf9S8jNcAJUNazs4o2S7LOVhdjGwJPYv71JIc5yZ0eEeS4wyKbrqIcmm8ncIE&#10;6ItTsOZg4ZX7Tcf8wFpkPFINxU6Knbk97K6L40j+ZHHaQZRL8wALs4JHXBPsoHD96MaWzipJZo6x&#10;01KRSRKLSxa+YVsebJwr+IpRea3mczh0Q0XsNc4B3IqWsYXrhDlAZwmk9tLKi9sqsvOmHWFsHSvt&#10;RSMbnOwQ+03Y4stClDkQ5zK+90S2C4phNF7cflLsEmHDmQgZ3XQPDhe8Nsppczn16zD5JTx4HFSO&#10;FOWSnek6iSiX7Gc0/eJKjO8dlOdpmi+zktKlY1uT4hxpVo3Khi4yDgIX1UdxrKlSolGCRHHwHY1y&#10;ayk3UQpJXJ5ROEPaK/h+QYqLi/yMRcZkNzrSIaIadfsBq7vn0+UYP0h3ncJvQSyXnuiuVPZ7EK+n&#10;Pz09P0OY7iDRVSh8TRJKi/T6cnp+uqd3w4vz509/eD7vvh7wQx/O/87//vdJt0LsfPryeh9aezwe&#10;7v8t/X09PD3Hv8P1pPQDGPSbF/Q7IpcP12+fvu2e7tFwiKL0X59O97/+9bw7n+IviuAXUPDH4+n8&#10;j5vdO35N5OPN5X++HM7Hm93zf7zi5zpmUBdE7Gt40SObxotz/s6n/J3D6x2a+nhzvcGXENCff7jG&#10;nyz58nZ++vyInkywwOvpd/gpjocn+sGM8JsdUav0Ar8YEkybft2EfpIkfx2kvv8Gyy//CwAA//8D&#10;AFBLAwQUAAYACAAAACEAWQoT89kAAAAFAQAADwAAAGRycy9kb3ducmV2LnhtbEyPwUrDQBCG74Lv&#10;sIzgReymtcQ0ZlNE6FVorPdpdkyi2dmQ3bTRp3f0opeBn3/45ptiO7tenWgMnWcDy0UCirj2tuPG&#10;wOFld5uBChHZYu+ZDHxSgG15eVFgbv2Z93SqYqMEwiFHA22MQ651qFtyGBZ+IJbuzY8Oo8Sx0XbE&#10;s8Bdr1dJkmqHHcuFFgd6aqn+qCZnIF2uV4dmp++n16/3uVrvnzO+IWOur+bHB1CR5vi3DD/6og6l&#10;OB39xDao3oA8En+ndNkmlXgUcLK5A10W+r99+Q0AAP//AwBQSwECLQAUAAYACAAAACEAtoM4kv4A&#10;AADhAQAAEwAAAAAAAAAAAAAAAAAAAAAAW0NvbnRlbnRfVHlwZXNdLnhtbFBLAQItABQABgAIAAAA&#10;IQA4/SH/1gAAAJQBAAALAAAAAAAAAAAAAAAAAC8BAABfcmVscy8ucmVsc1BLAQItABQABgAIAAAA&#10;IQBEW7bD6xMAAMtlAAAOAAAAAAAAAAAAAAAAAC4CAABkcnMvZTJvRG9jLnhtbFBLAQItABQABgAI&#10;AAAAIQBZChPz2QAAAAUBAAAPAAAAAAAAAAAAAAAAAEUWAABkcnMvZG93bnJldi54bWxQSwUGAAAA&#10;AAQABADzAAAASxc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202418;549925,232992;850110,232992;1155900,267782;1418718,214015;1700220,236154;1981721,218232;2238311,234046;2560294,231937;2826226,208744;3069115,231937;3389852,249860;3680073,223503;3992714,226666;4276707,238263;4528937,251968;4793624,220341;5030284,215069;5336697,250914;5667400,231937;5683592,668401;5667400,1210292;5645602,1673112;5683592,2202351;5666777,2684149;5673627,3091093;5650584,3553914;5604498,4030440;5281892,4032548;5027793,4020952;4736950,4025169;4424931,4023060;4155885,3992487;3860060,4023060;3566725,4019897;3295188,4023060;3017423,4040983;2730316,4023060;2447569,4026223;2177901,4029386;1908232,3987215;1599950,4023060;1289178,4052579;1035079,4023060;827067,4035711;525636,4018843;186215,4011463;7473,3758441;32385,3269263;2491,2853885;15570,2314103;14324,1879747;14947,1459097;23043,911936;20552,326821" o:connectangles="0,0,0,0,0,0,0,0,0,0,0,0,0,0,0,0,0,0,0,0,0,0,0,0,0,0,0,0,0,0,0,0,0,0,0,0,0,0,0,0,0,0,0,0,0,0,0,0,0,0,0,0,0,0,0" textboxrect="0,0,9136,3670"/>
                <v:textbox>
                  <w:txbxContent>
                    <w:p w14:paraId="58BD1F6D" w14:textId="77777777" w:rsidR="00153F72" w:rsidRPr="0058387D" w:rsidRDefault="00153F72" w:rsidP="00BD21A6">
                      <w:pPr>
                        <w:pStyle w:val="NoSpacing"/>
                        <w:spacing w:before="240"/>
                        <w:jc w:val="left"/>
                        <w:rPr>
                          <w:b/>
                          <w:bCs/>
                          <w:color w:val="1A3E5F" w:themeColor="accent1" w:themeShade="80"/>
                        </w:rPr>
                      </w:pPr>
                      <w:r w:rsidRPr="0058387D">
                        <w:rPr>
                          <w:b/>
                          <w:bCs/>
                          <w:color w:val="1A3E5F" w:themeColor="accent1" w:themeShade="80"/>
                        </w:rPr>
                        <w:t xml:space="preserve">Example of promising practice – Use of telehealth to support remote service delivery </w:t>
                      </w:r>
                    </w:p>
                    <w:p w14:paraId="6A6B89BD" w14:textId="0041C2F3" w:rsidR="00153F72" w:rsidRPr="003C3452" w:rsidRDefault="00153F72" w:rsidP="00153F72">
                      <w:pPr>
                        <w:pStyle w:val="NoSpacing"/>
                      </w:pPr>
                      <w:r w:rsidRPr="003C3452">
                        <w:t xml:space="preserve">In a contrasting remote evaluation site, telehealth is being used to support more integrated models of care for Aboriginal and Torres Strait Islander people. At that location, the ACCHS reflected that sending clients to the distant regional centre for specialist appointments can present real challenges and many things can go wrong for community members when navigating the health system. Since the introduction of telehealth people are able to stay in the community, the ACCHS </w:t>
                      </w:r>
                      <w:r>
                        <w:t>can</w:t>
                      </w:r>
                      <w:r w:rsidRPr="003C3452">
                        <w:t xml:space="preserve"> provide wraparound support to the client, and provide access to the clinic so that a person has support during the consultation with the specialist via telehealth. In future, there is a hope that the specialist will be able to visit the local community at regular intervals to deliver health</w:t>
                      </w:r>
                      <w:r w:rsidR="006D2482">
                        <w:t xml:space="preserve"> </w:t>
                      </w:r>
                      <w:r w:rsidRPr="003C3452">
                        <w:t>care services rather than requiring clients to travel to access these specialist services. Notably, this is now occurring in an ACCHS in a neighbouring regional centre – the specialists are visiting the clinic at the ACCHS rather than expecting the client to go to the mainstream hospital setting which they may be unfamiliar with and where they may feel uncomfortable.</w:t>
                      </w:r>
                    </w:p>
                    <w:p w14:paraId="3A8FFC24" w14:textId="77777777" w:rsidR="00153F72" w:rsidRPr="00A1178E" w:rsidRDefault="00153F72" w:rsidP="00153F72">
                      <w:pPr>
                        <w:pStyle w:val="Quote"/>
                        <w:spacing w:before="360" w:after="0"/>
                        <w:ind w:left="709" w:right="142"/>
                        <w:rPr>
                          <w:color w:val="18525E" w:themeColor="accent5" w:themeShade="80"/>
                          <w:sz w:val="21"/>
                          <w:szCs w:val="21"/>
                        </w:rPr>
                      </w:pPr>
                      <w:r w:rsidRPr="00A1178E">
                        <w:rPr>
                          <w:color w:val="18525E" w:themeColor="accent5" w:themeShade="80"/>
                          <w:sz w:val="21"/>
                          <w:szCs w:val="21"/>
                        </w:rPr>
                        <w:t>You know, it's just quite a little sort of slight change in the way things are delivered that suddenly can make a huge difference.</w:t>
                      </w:r>
                    </w:p>
                    <w:p w14:paraId="40C8BACF" w14:textId="77777777" w:rsidR="00153F72" w:rsidRPr="00ED223D" w:rsidRDefault="00153F72" w:rsidP="00153F72">
                      <w:pPr>
                        <w:jc w:val="right"/>
                      </w:pPr>
                      <w:r w:rsidRPr="0047655C">
                        <w:rPr>
                          <w:b/>
                          <w:bCs/>
                          <w:sz w:val="21"/>
                          <w:szCs w:val="21"/>
                        </w:rPr>
                        <w:t>State or territory government</w:t>
                      </w:r>
                    </w:p>
                  </w:txbxContent>
                </v:textbox>
                <w10:anchorlock/>
              </v:shape>
            </w:pict>
          </mc:Fallback>
        </mc:AlternateContent>
      </w:r>
    </w:p>
    <w:p w14:paraId="387285FE" w14:textId="77777777" w:rsidR="00153F72" w:rsidRPr="00884FAA" w:rsidRDefault="00153F72" w:rsidP="00651D06">
      <w:pPr>
        <w:pStyle w:val="Heading3"/>
      </w:pPr>
      <w:r w:rsidRPr="00884FAA">
        <w:t>Strengthen mechanisms for information sharing and collaboration</w:t>
      </w:r>
    </w:p>
    <w:p w14:paraId="1C8B3E69" w14:textId="77777777" w:rsidR="00153F72" w:rsidRPr="00884FAA" w:rsidRDefault="00153F72" w:rsidP="00153F72">
      <w:r w:rsidRPr="00884FAA">
        <w:t xml:space="preserve">A practical and relatively simple step towards supporting health system integration, raised by many evaluation participants, is to strengthen opportunities for sharing information and collaborating across health services and other organisations. There is a perception that increasing these opportunities </w:t>
      </w:r>
      <w:r>
        <w:t>will</w:t>
      </w:r>
      <w:r w:rsidRPr="00884FAA">
        <w:t xml:space="preserve"> address issues associated with different services and agencies working in silos and a reported lack of transparency and accountability over what funders and providers are doing. </w:t>
      </w:r>
    </w:p>
    <w:p w14:paraId="24E61385" w14:textId="3BAB60B5" w:rsidR="00153F72" w:rsidRPr="00884FAA" w:rsidRDefault="00153F72" w:rsidP="00153F72">
      <w:r w:rsidRPr="00884FAA">
        <w:t>The state and territory Health Partnership Forums are a potential mechanism for driving increased information sharing and supporting collaboration at the jurisdictional level. However, there is wide variation in the current status of these forums</w:t>
      </w:r>
      <w:r w:rsidR="003016A6">
        <w:t xml:space="preserve">. This, in part, </w:t>
      </w:r>
      <w:r w:rsidR="00AA3254">
        <w:t>reflects the impact of the COVID-19 pandemic.</w:t>
      </w:r>
      <w:r w:rsidRPr="00884FAA">
        <w:t xml:space="preserve"> Some </w:t>
      </w:r>
      <w:r w:rsidR="00AA3254" w:rsidRPr="00884FAA">
        <w:t xml:space="preserve">Health Partnership Forums </w:t>
      </w:r>
      <w:r w:rsidRPr="00884FAA">
        <w:t xml:space="preserve">are continuing to meet regularly to share information and collaborate on planning, while others are in hiatus. There is also considerable variation in how these forums did function when they were all running regularly, including the membership of the forums. For example, while all forums involved a tripartite partnership between the state or territory peak body, and the Australian and state or territory government, some also involved PHNs and other organisations such as the NIAA. </w:t>
      </w:r>
    </w:p>
    <w:p w14:paraId="298792D6" w14:textId="70BE8170" w:rsidR="00153F72" w:rsidRPr="00884FAA" w:rsidRDefault="00153F72" w:rsidP="00153F72">
      <w:r w:rsidRPr="00884FAA">
        <w:t xml:space="preserve">Where Health Partnership Forums were </w:t>
      </w:r>
      <w:r w:rsidR="00011018">
        <w:t>active</w:t>
      </w:r>
      <w:r w:rsidRPr="00884FAA">
        <w:t xml:space="preserve">, participants </w:t>
      </w:r>
      <w:r>
        <w:t xml:space="preserve">described them as </w:t>
      </w:r>
      <w:r w:rsidRPr="00884FAA">
        <w:t>being open and collaborative, focused on consensus building, and attended by senior staff with authority to make decisions. Participants suggested the function of the forums could be expanded to take on a more strategic role. For example</w:t>
      </w:r>
      <w:r>
        <w:t>,</w:t>
      </w:r>
      <w:r w:rsidRPr="00884FAA">
        <w:t xml:space="preserve"> making strategic decisions on what new funding </w:t>
      </w:r>
      <w:r w:rsidRPr="00884FAA">
        <w:lastRenderedPageBreak/>
        <w:t>to pursue as a system. Other participants said the forums need to go further than this and enable shared decision-making consistent with the Closing the Gap Priority Reforms.</w:t>
      </w:r>
    </w:p>
    <w:p w14:paraId="5118D416" w14:textId="77777777" w:rsidR="00153F72" w:rsidRPr="00A1178E" w:rsidRDefault="00153F72" w:rsidP="00153F72">
      <w:pPr>
        <w:pStyle w:val="Quote"/>
        <w:spacing w:after="0"/>
        <w:rPr>
          <w:rStyle w:val="BoxText-HeadingRecs"/>
          <w:iCs/>
          <w:color w:val="18525E" w:themeColor="accent5" w:themeShade="80"/>
          <w:sz w:val="22"/>
        </w:rPr>
      </w:pPr>
      <w:r w:rsidRPr="00A1178E">
        <w:rPr>
          <w:rStyle w:val="BoxText-HeadingRecs"/>
          <w:color w:val="18525E" w:themeColor="accent5" w:themeShade="80"/>
          <w:sz w:val="22"/>
        </w:rPr>
        <w:t>If we're talking about being at the table and being equal partners, then it's not advisory anymore…. We want to be able to make joint decisions, that we both come to.</w:t>
      </w:r>
    </w:p>
    <w:p w14:paraId="408D409C" w14:textId="77777777" w:rsidR="00153F72" w:rsidRPr="00B8013A" w:rsidRDefault="00153F72" w:rsidP="00153F72">
      <w:pPr>
        <w:spacing w:before="120"/>
        <w:jc w:val="right"/>
        <w:rPr>
          <w:b/>
        </w:rPr>
      </w:pPr>
      <w:r w:rsidRPr="00B8013A">
        <w:rPr>
          <w:b/>
        </w:rPr>
        <w:t xml:space="preserve">ACCHS, Remote location </w:t>
      </w:r>
    </w:p>
    <w:p w14:paraId="05F47ABD" w14:textId="129EAC96" w:rsidR="00153F72" w:rsidRPr="00884FAA" w:rsidRDefault="00153F72" w:rsidP="00153F72">
      <w:r w:rsidRPr="00884FAA">
        <w:t>The evaluation also observed formal partnerships and alliances that went beyond information sharing and collaborating. This includes partnerships between ACCHSs, partnerships between ACCHSs and PHNs and partnerships between ACCHSs and local hospital networks. Participants in a Collective Action for Change workshop on partnerships discussed how successful partnerships grew organically, developed in response to different issues in different places, usually formed over a single issue but expanded the scope of activities</w:t>
      </w:r>
      <w:r>
        <w:t xml:space="preserve">. These arrangements </w:t>
      </w:r>
      <w:r w:rsidRPr="00884FAA">
        <w:t>also depended on the nature, history and key personnel of the organisations involved. The workshop found that</w:t>
      </w:r>
      <w:r>
        <w:t>,</w:t>
      </w:r>
      <w:r w:rsidRPr="00884FAA">
        <w:t xml:space="preserve"> although ‘one size does not fit all’ in partnership development, the value that successful partnerships conferred on participating organisations was not in dispute. </w:t>
      </w:r>
    </w:p>
    <w:p w14:paraId="0F1564E1" w14:textId="77777777" w:rsidR="00153F72" w:rsidRPr="00884FAA" w:rsidRDefault="00153F72" w:rsidP="00153F72">
      <w:r w:rsidRPr="00884FAA">
        <w:rPr>
          <w:noProof/>
        </w:rPr>
        <mc:AlternateContent>
          <mc:Choice Requires="wps">
            <w:drawing>
              <wp:inline distT="0" distB="0" distL="0" distR="0" wp14:anchorId="73573BF3" wp14:editId="74A3C1A6">
                <wp:extent cx="5689820" cy="3679493"/>
                <wp:effectExtent l="19050" t="19050" r="25400" b="16510"/>
                <wp:docPr id="455" name="Freeform: 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89820" cy="3679493"/>
                        </a:xfrm>
                        <a:custGeom>
                          <a:avLst/>
                          <a:gdLst>
                            <a:gd name="T0" fmla="+- 0 1807 1379"/>
                            <a:gd name="T1" fmla="*/ T0 w 9136"/>
                            <a:gd name="T2" fmla="+- 0 192 191"/>
                            <a:gd name="T3" fmla="*/ 192 h 3670"/>
                            <a:gd name="T4" fmla="+- 0 2262 1379"/>
                            <a:gd name="T5" fmla="*/ T4 w 9136"/>
                            <a:gd name="T6" fmla="+- 0 221 191"/>
                            <a:gd name="T7" fmla="*/ 221 h 3670"/>
                            <a:gd name="T8" fmla="+- 0 2744 1379"/>
                            <a:gd name="T9" fmla="*/ T8 w 9136"/>
                            <a:gd name="T10" fmla="+- 0 221 191"/>
                            <a:gd name="T11" fmla="*/ 221 h 3670"/>
                            <a:gd name="T12" fmla="+- 0 3235 1379"/>
                            <a:gd name="T13" fmla="*/ T12 w 9136"/>
                            <a:gd name="T14" fmla="+- 0 254 191"/>
                            <a:gd name="T15" fmla="*/ 254 h 3670"/>
                            <a:gd name="T16" fmla="+- 0 3657 1379"/>
                            <a:gd name="T17" fmla="*/ T16 w 9136"/>
                            <a:gd name="T18" fmla="+- 0 203 191"/>
                            <a:gd name="T19" fmla="*/ 203 h 3670"/>
                            <a:gd name="T20" fmla="+- 0 4109 1379"/>
                            <a:gd name="T21" fmla="*/ T20 w 9136"/>
                            <a:gd name="T22" fmla="+- 0 224 191"/>
                            <a:gd name="T23" fmla="*/ 224 h 3670"/>
                            <a:gd name="T24" fmla="+- 0 4561 1379"/>
                            <a:gd name="T25" fmla="*/ T24 w 9136"/>
                            <a:gd name="T26" fmla="+- 0 207 191"/>
                            <a:gd name="T27" fmla="*/ 207 h 3670"/>
                            <a:gd name="T28" fmla="+- 0 4973 1379"/>
                            <a:gd name="T29" fmla="*/ T28 w 9136"/>
                            <a:gd name="T30" fmla="+- 0 222 191"/>
                            <a:gd name="T31" fmla="*/ 222 h 3670"/>
                            <a:gd name="T32" fmla="+- 0 5490 1379"/>
                            <a:gd name="T33" fmla="*/ T32 w 9136"/>
                            <a:gd name="T34" fmla="+- 0 220 191"/>
                            <a:gd name="T35" fmla="*/ 220 h 3670"/>
                            <a:gd name="T36" fmla="+- 0 5917 1379"/>
                            <a:gd name="T37" fmla="*/ T36 w 9136"/>
                            <a:gd name="T38" fmla="+- 0 198 191"/>
                            <a:gd name="T39" fmla="*/ 198 h 3670"/>
                            <a:gd name="T40" fmla="+- 0 6307 1379"/>
                            <a:gd name="T41" fmla="*/ T40 w 9136"/>
                            <a:gd name="T42" fmla="+- 0 220 191"/>
                            <a:gd name="T43" fmla="*/ 220 h 3670"/>
                            <a:gd name="T44" fmla="+- 0 6822 1379"/>
                            <a:gd name="T45" fmla="*/ T44 w 9136"/>
                            <a:gd name="T46" fmla="+- 0 237 191"/>
                            <a:gd name="T47" fmla="*/ 237 h 3670"/>
                            <a:gd name="T48" fmla="+- 0 7288 1379"/>
                            <a:gd name="T49" fmla="*/ T48 w 9136"/>
                            <a:gd name="T50" fmla="+- 0 212 191"/>
                            <a:gd name="T51" fmla="*/ 212 h 3670"/>
                            <a:gd name="T52" fmla="+- 0 7790 1379"/>
                            <a:gd name="T53" fmla="*/ T52 w 9136"/>
                            <a:gd name="T54" fmla="+- 0 215 191"/>
                            <a:gd name="T55" fmla="*/ 215 h 3670"/>
                            <a:gd name="T56" fmla="+- 0 8246 1379"/>
                            <a:gd name="T57" fmla="*/ T56 w 9136"/>
                            <a:gd name="T58" fmla="+- 0 226 191"/>
                            <a:gd name="T59" fmla="*/ 226 h 3670"/>
                            <a:gd name="T60" fmla="+- 0 8651 1379"/>
                            <a:gd name="T61" fmla="*/ T60 w 9136"/>
                            <a:gd name="T62" fmla="+- 0 239 191"/>
                            <a:gd name="T63" fmla="*/ 239 h 3670"/>
                            <a:gd name="T64" fmla="+- 0 9076 1379"/>
                            <a:gd name="T65" fmla="*/ T64 w 9136"/>
                            <a:gd name="T66" fmla="+- 0 209 191"/>
                            <a:gd name="T67" fmla="*/ 209 h 3670"/>
                            <a:gd name="T68" fmla="+- 0 9456 1379"/>
                            <a:gd name="T69" fmla="*/ T68 w 9136"/>
                            <a:gd name="T70" fmla="+- 0 204 191"/>
                            <a:gd name="T71" fmla="*/ 204 h 3670"/>
                            <a:gd name="T72" fmla="+- 0 9948 1379"/>
                            <a:gd name="T73" fmla="*/ T72 w 9136"/>
                            <a:gd name="T74" fmla="+- 0 238 191"/>
                            <a:gd name="T75" fmla="*/ 238 h 3670"/>
                            <a:gd name="T76" fmla="+- 0 10479 1379"/>
                            <a:gd name="T77" fmla="*/ T76 w 9136"/>
                            <a:gd name="T78" fmla="+- 0 220 191"/>
                            <a:gd name="T79" fmla="*/ 220 h 3670"/>
                            <a:gd name="T80" fmla="+- 0 10505 1379"/>
                            <a:gd name="T81" fmla="*/ T80 w 9136"/>
                            <a:gd name="T82" fmla="+- 0 634 191"/>
                            <a:gd name="T83" fmla="*/ 634 h 3670"/>
                            <a:gd name="T84" fmla="+- 0 10479 1379"/>
                            <a:gd name="T85" fmla="*/ T84 w 9136"/>
                            <a:gd name="T86" fmla="+- 0 1148 191"/>
                            <a:gd name="T87" fmla="*/ 1148 h 3670"/>
                            <a:gd name="T88" fmla="+- 0 10444 1379"/>
                            <a:gd name="T89" fmla="*/ T88 w 9136"/>
                            <a:gd name="T90" fmla="+- 0 1587 191"/>
                            <a:gd name="T91" fmla="*/ 1587 h 3670"/>
                            <a:gd name="T92" fmla="+- 0 10505 1379"/>
                            <a:gd name="T93" fmla="*/ T92 w 9136"/>
                            <a:gd name="T94" fmla="+- 0 2089 191"/>
                            <a:gd name="T95" fmla="*/ 2089 h 3670"/>
                            <a:gd name="T96" fmla="+- 0 10478 1379"/>
                            <a:gd name="T97" fmla="*/ T96 w 9136"/>
                            <a:gd name="T98" fmla="+- 0 2546 191"/>
                            <a:gd name="T99" fmla="*/ 2546 h 3670"/>
                            <a:gd name="T100" fmla="+- 0 10489 1379"/>
                            <a:gd name="T101" fmla="*/ T100 w 9136"/>
                            <a:gd name="T102" fmla="+- 0 2932 191"/>
                            <a:gd name="T103" fmla="*/ 2932 h 3670"/>
                            <a:gd name="T104" fmla="+- 0 10452 1379"/>
                            <a:gd name="T105" fmla="*/ T104 w 9136"/>
                            <a:gd name="T106" fmla="+- 0 3371 191"/>
                            <a:gd name="T107" fmla="*/ 3371 h 3670"/>
                            <a:gd name="T108" fmla="+- 0 10378 1379"/>
                            <a:gd name="T109" fmla="*/ T108 w 9136"/>
                            <a:gd name="T110" fmla="+- 0 3823 191"/>
                            <a:gd name="T111" fmla="*/ 3823 h 3670"/>
                            <a:gd name="T112" fmla="+- 0 9860 1379"/>
                            <a:gd name="T113" fmla="*/ T112 w 9136"/>
                            <a:gd name="T114" fmla="+- 0 3825 191"/>
                            <a:gd name="T115" fmla="*/ 3825 h 3670"/>
                            <a:gd name="T116" fmla="+- 0 9452 1379"/>
                            <a:gd name="T117" fmla="*/ T116 w 9136"/>
                            <a:gd name="T118" fmla="+- 0 3814 191"/>
                            <a:gd name="T119" fmla="*/ 3814 h 3670"/>
                            <a:gd name="T120" fmla="+- 0 8985 1379"/>
                            <a:gd name="T121" fmla="*/ T120 w 9136"/>
                            <a:gd name="T122" fmla="+- 0 3818 191"/>
                            <a:gd name="T123" fmla="*/ 3818 h 3670"/>
                            <a:gd name="T124" fmla="+- 0 8484 1379"/>
                            <a:gd name="T125" fmla="*/ T124 w 9136"/>
                            <a:gd name="T126" fmla="+- 0 3816 191"/>
                            <a:gd name="T127" fmla="*/ 3816 h 3670"/>
                            <a:gd name="T128" fmla="+- 0 8052 1379"/>
                            <a:gd name="T129" fmla="*/ T128 w 9136"/>
                            <a:gd name="T130" fmla="+- 0 3787 191"/>
                            <a:gd name="T131" fmla="*/ 3787 h 3670"/>
                            <a:gd name="T132" fmla="+- 0 7577 1379"/>
                            <a:gd name="T133" fmla="*/ T132 w 9136"/>
                            <a:gd name="T134" fmla="+- 0 3816 191"/>
                            <a:gd name="T135" fmla="*/ 3816 h 3670"/>
                            <a:gd name="T136" fmla="+- 0 7106 1379"/>
                            <a:gd name="T137" fmla="*/ T136 w 9136"/>
                            <a:gd name="T138" fmla="+- 0 3813 191"/>
                            <a:gd name="T139" fmla="*/ 3813 h 3670"/>
                            <a:gd name="T140" fmla="+- 0 6670 1379"/>
                            <a:gd name="T141" fmla="*/ T140 w 9136"/>
                            <a:gd name="T142" fmla="+- 0 3816 191"/>
                            <a:gd name="T143" fmla="*/ 3816 h 3670"/>
                            <a:gd name="T144" fmla="+- 0 6224 1379"/>
                            <a:gd name="T145" fmla="*/ T144 w 9136"/>
                            <a:gd name="T146" fmla="+- 0 3833 191"/>
                            <a:gd name="T147" fmla="*/ 3833 h 3670"/>
                            <a:gd name="T148" fmla="+- 0 5763 1379"/>
                            <a:gd name="T149" fmla="*/ T148 w 9136"/>
                            <a:gd name="T150" fmla="+- 0 3816 191"/>
                            <a:gd name="T151" fmla="*/ 3816 h 3670"/>
                            <a:gd name="T152" fmla="+- 0 5309 1379"/>
                            <a:gd name="T153" fmla="*/ T152 w 9136"/>
                            <a:gd name="T154" fmla="+- 0 3819 191"/>
                            <a:gd name="T155" fmla="*/ 3819 h 3670"/>
                            <a:gd name="T156" fmla="+- 0 4876 1379"/>
                            <a:gd name="T157" fmla="*/ T156 w 9136"/>
                            <a:gd name="T158" fmla="+- 0 3822 191"/>
                            <a:gd name="T159" fmla="*/ 3822 h 3670"/>
                            <a:gd name="T160" fmla="+- 0 4443 1379"/>
                            <a:gd name="T161" fmla="*/ T160 w 9136"/>
                            <a:gd name="T162" fmla="+- 0 3782 191"/>
                            <a:gd name="T163" fmla="*/ 3782 h 3670"/>
                            <a:gd name="T164" fmla="+- 0 3948 1379"/>
                            <a:gd name="T165" fmla="*/ T164 w 9136"/>
                            <a:gd name="T166" fmla="+- 0 3816 191"/>
                            <a:gd name="T167" fmla="*/ 3816 h 3670"/>
                            <a:gd name="T168" fmla="+- 0 3449 1379"/>
                            <a:gd name="T169" fmla="*/ T168 w 9136"/>
                            <a:gd name="T170" fmla="+- 0 3844 191"/>
                            <a:gd name="T171" fmla="*/ 3844 h 3670"/>
                            <a:gd name="T172" fmla="+- 0 3041 1379"/>
                            <a:gd name="T173" fmla="*/ T172 w 9136"/>
                            <a:gd name="T174" fmla="+- 0 3816 191"/>
                            <a:gd name="T175" fmla="*/ 3816 h 3670"/>
                            <a:gd name="T176" fmla="+- 0 2707 1379"/>
                            <a:gd name="T177" fmla="*/ T176 w 9136"/>
                            <a:gd name="T178" fmla="+- 0 3828 191"/>
                            <a:gd name="T179" fmla="*/ 3828 h 3670"/>
                            <a:gd name="T180" fmla="+- 0 2223 1379"/>
                            <a:gd name="T181" fmla="*/ T180 w 9136"/>
                            <a:gd name="T182" fmla="+- 0 3812 191"/>
                            <a:gd name="T183" fmla="*/ 3812 h 3670"/>
                            <a:gd name="T184" fmla="+- 0 1678 1379"/>
                            <a:gd name="T185" fmla="*/ T184 w 9136"/>
                            <a:gd name="T186" fmla="+- 0 3805 191"/>
                            <a:gd name="T187" fmla="*/ 3805 h 3670"/>
                            <a:gd name="T188" fmla="+- 0 1391 1379"/>
                            <a:gd name="T189" fmla="*/ T188 w 9136"/>
                            <a:gd name="T190" fmla="+- 0 3565 191"/>
                            <a:gd name="T191" fmla="*/ 3565 h 3670"/>
                            <a:gd name="T192" fmla="+- 0 1431 1379"/>
                            <a:gd name="T193" fmla="*/ T192 w 9136"/>
                            <a:gd name="T194" fmla="+- 0 3101 191"/>
                            <a:gd name="T195" fmla="*/ 3101 h 3670"/>
                            <a:gd name="T196" fmla="+- 0 1383 1379"/>
                            <a:gd name="T197" fmla="*/ T196 w 9136"/>
                            <a:gd name="T198" fmla="+- 0 2707 191"/>
                            <a:gd name="T199" fmla="*/ 2707 h 3670"/>
                            <a:gd name="T200" fmla="+- 0 1404 1379"/>
                            <a:gd name="T201" fmla="*/ T200 w 9136"/>
                            <a:gd name="T202" fmla="+- 0 2195 191"/>
                            <a:gd name="T203" fmla="*/ 2195 h 3670"/>
                            <a:gd name="T204" fmla="+- 0 1402 1379"/>
                            <a:gd name="T205" fmla="*/ T204 w 9136"/>
                            <a:gd name="T206" fmla="+- 0 1783 191"/>
                            <a:gd name="T207" fmla="*/ 1783 h 3670"/>
                            <a:gd name="T208" fmla="+- 0 1403 1379"/>
                            <a:gd name="T209" fmla="*/ T208 w 9136"/>
                            <a:gd name="T210" fmla="+- 0 1384 191"/>
                            <a:gd name="T211" fmla="*/ 1384 h 3670"/>
                            <a:gd name="T212" fmla="+- 0 1416 1379"/>
                            <a:gd name="T213" fmla="*/ T212 w 9136"/>
                            <a:gd name="T214" fmla="+- 0 865 191"/>
                            <a:gd name="T215" fmla="*/ 865 h 3670"/>
                            <a:gd name="T216" fmla="+- 0 1412 1379"/>
                            <a:gd name="T217" fmla="*/ T216 w 9136"/>
                            <a:gd name="T218" fmla="+- 0 310 191"/>
                            <a:gd name="T219" fmla="*/ 310 h 3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136" h="3670">
                              <a:moveTo>
                                <a:pt x="29" y="29"/>
                              </a:moveTo>
                              <a:lnTo>
                                <a:pt x="112" y="15"/>
                              </a:lnTo>
                              <a:lnTo>
                                <a:pt x="193" y="6"/>
                              </a:lnTo>
                              <a:lnTo>
                                <a:pt x="273" y="1"/>
                              </a:lnTo>
                              <a:lnTo>
                                <a:pt x="351" y="0"/>
                              </a:lnTo>
                              <a:lnTo>
                                <a:pt x="428" y="1"/>
                              </a:lnTo>
                              <a:lnTo>
                                <a:pt x="504" y="4"/>
                              </a:lnTo>
                              <a:lnTo>
                                <a:pt x="580" y="9"/>
                              </a:lnTo>
                              <a:lnTo>
                                <a:pt x="655" y="14"/>
                              </a:lnTo>
                              <a:lnTo>
                                <a:pt x="731" y="20"/>
                              </a:lnTo>
                              <a:lnTo>
                                <a:pt x="807" y="25"/>
                              </a:lnTo>
                              <a:lnTo>
                                <a:pt x="883" y="30"/>
                              </a:lnTo>
                              <a:lnTo>
                                <a:pt x="960" y="32"/>
                              </a:lnTo>
                              <a:lnTo>
                                <a:pt x="1038" y="32"/>
                              </a:lnTo>
                              <a:lnTo>
                                <a:pt x="1118" y="29"/>
                              </a:lnTo>
                              <a:lnTo>
                                <a:pt x="1199" y="27"/>
                              </a:lnTo>
                              <a:lnTo>
                                <a:pt x="1282" y="27"/>
                              </a:lnTo>
                              <a:lnTo>
                                <a:pt x="1365" y="30"/>
                              </a:lnTo>
                              <a:lnTo>
                                <a:pt x="1448" y="35"/>
                              </a:lnTo>
                              <a:lnTo>
                                <a:pt x="1532" y="42"/>
                              </a:lnTo>
                              <a:lnTo>
                                <a:pt x="1615" y="48"/>
                              </a:lnTo>
                              <a:lnTo>
                                <a:pt x="1697" y="55"/>
                              </a:lnTo>
                              <a:lnTo>
                                <a:pt x="1777" y="60"/>
                              </a:lnTo>
                              <a:lnTo>
                                <a:pt x="1856" y="63"/>
                              </a:lnTo>
                              <a:lnTo>
                                <a:pt x="1933" y="65"/>
                              </a:lnTo>
                              <a:lnTo>
                                <a:pt x="2006" y="62"/>
                              </a:lnTo>
                              <a:lnTo>
                                <a:pt x="2077" y="56"/>
                              </a:lnTo>
                              <a:lnTo>
                                <a:pt x="2144" y="45"/>
                              </a:lnTo>
                              <a:lnTo>
                                <a:pt x="2207" y="29"/>
                              </a:lnTo>
                              <a:lnTo>
                                <a:pt x="2278" y="12"/>
                              </a:lnTo>
                              <a:lnTo>
                                <a:pt x="2351" y="3"/>
                              </a:lnTo>
                              <a:lnTo>
                                <a:pt x="2425" y="2"/>
                              </a:lnTo>
                              <a:lnTo>
                                <a:pt x="2500" y="6"/>
                              </a:lnTo>
                              <a:lnTo>
                                <a:pt x="2576" y="13"/>
                              </a:lnTo>
                              <a:lnTo>
                                <a:pt x="2653" y="23"/>
                              </a:lnTo>
                              <a:lnTo>
                                <a:pt x="2730" y="33"/>
                              </a:lnTo>
                              <a:lnTo>
                                <a:pt x="2807" y="42"/>
                              </a:lnTo>
                              <a:lnTo>
                                <a:pt x="2884" y="47"/>
                              </a:lnTo>
                              <a:lnTo>
                                <a:pt x="2961" y="48"/>
                              </a:lnTo>
                              <a:lnTo>
                                <a:pt x="3038" y="43"/>
                              </a:lnTo>
                              <a:lnTo>
                                <a:pt x="3114" y="29"/>
                              </a:lnTo>
                              <a:lnTo>
                                <a:pt x="3182" y="16"/>
                              </a:lnTo>
                              <a:lnTo>
                                <a:pt x="3250" y="9"/>
                              </a:lnTo>
                              <a:lnTo>
                                <a:pt x="3317" y="8"/>
                              </a:lnTo>
                              <a:lnTo>
                                <a:pt x="3384" y="10"/>
                              </a:lnTo>
                              <a:lnTo>
                                <a:pt x="3452" y="16"/>
                              </a:lnTo>
                              <a:lnTo>
                                <a:pt x="3522" y="23"/>
                              </a:lnTo>
                              <a:lnTo>
                                <a:pt x="3594" y="31"/>
                              </a:lnTo>
                              <a:lnTo>
                                <a:pt x="3668" y="38"/>
                              </a:lnTo>
                              <a:lnTo>
                                <a:pt x="3747" y="44"/>
                              </a:lnTo>
                              <a:lnTo>
                                <a:pt x="3830" y="47"/>
                              </a:lnTo>
                              <a:lnTo>
                                <a:pt x="3918" y="47"/>
                              </a:lnTo>
                              <a:lnTo>
                                <a:pt x="4011" y="41"/>
                              </a:lnTo>
                              <a:lnTo>
                                <a:pt x="4111" y="29"/>
                              </a:lnTo>
                              <a:lnTo>
                                <a:pt x="4214" y="16"/>
                              </a:lnTo>
                              <a:lnTo>
                                <a:pt x="4300" y="7"/>
                              </a:lnTo>
                              <a:lnTo>
                                <a:pt x="4372" y="2"/>
                              </a:lnTo>
                              <a:lnTo>
                                <a:pt x="4434" y="1"/>
                              </a:lnTo>
                              <a:lnTo>
                                <a:pt x="4488" y="3"/>
                              </a:lnTo>
                              <a:lnTo>
                                <a:pt x="4538" y="7"/>
                              </a:lnTo>
                              <a:lnTo>
                                <a:pt x="4587" y="12"/>
                              </a:lnTo>
                              <a:lnTo>
                                <a:pt x="4639" y="18"/>
                              </a:lnTo>
                              <a:lnTo>
                                <a:pt x="4695" y="23"/>
                              </a:lnTo>
                              <a:lnTo>
                                <a:pt x="4760" y="27"/>
                              </a:lnTo>
                              <a:lnTo>
                                <a:pt x="4837" y="29"/>
                              </a:lnTo>
                              <a:lnTo>
                                <a:pt x="4928" y="29"/>
                              </a:lnTo>
                              <a:lnTo>
                                <a:pt x="5031" y="29"/>
                              </a:lnTo>
                              <a:lnTo>
                                <a:pt x="5126" y="31"/>
                              </a:lnTo>
                              <a:lnTo>
                                <a:pt x="5212" y="34"/>
                              </a:lnTo>
                              <a:lnTo>
                                <a:pt x="5293" y="38"/>
                              </a:lnTo>
                              <a:lnTo>
                                <a:pt x="5369" y="43"/>
                              </a:lnTo>
                              <a:lnTo>
                                <a:pt x="5443" y="46"/>
                              </a:lnTo>
                              <a:lnTo>
                                <a:pt x="5516" y="48"/>
                              </a:lnTo>
                              <a:lnTo>
                                <a:pt x="5590" y="49"/>
                              </a:lnTo>
                              <a:lnTo>
                                <a:pt x="5667" y="46"/>
                              </a:lnTo>
                              <a:lnTo>
                                <a:pt x="5748" y="40"/>
                              </a:lnTo>
                              <a:lnTo>
                                <a:pt x="5835" y="29"/>
                              </a:lnTo>
                              <a:lnTo>
                                <a:pt x="5909" y="21"/>
                              </a:lnTo>
                              <a:lnTo>
                                <a:pt x="5987" y="16"/>
                              </a:lnTo>
                              <a:lnTo>
                                <a:pt x="6069" y="14"/>
                              </a:lnTo>
                              <a:lnTo>
                                <a:pt x="6153" y="15"/>
                              </a:lnTo>
                              <a:lnTo>
                                <a:pt x="6239" y="17"/>
                              </a:lnTo>
                              <a:lnTo>
                                <a:pt x="6325" y="20"/>
                              </a:lnTo>
                              <a:lnTo>
                                <a:pt x="6411" y="24"/>
                              </a:lnTo>
                              <a:lnTo>
                                <a:pt x="6496" y="28"/>
                              </a:lnTo>
                              <a:lnTo>
                                <a:pt x="6579" y="32"/>
                              </a:lnTo>
                              <a:lnTo>
                                <a:pt x="6658" y="36"/>
                              </a:lnTo>
                              <a:lnTo>
                                <a:pt x="6733" y="37"/>
                              </a:lnTo>
                              <a:lnTo>
                                <a:pt x="6803" y="37"/>
                              </a:lnTo>
                              <a:lnTo>
                                <a:pt x="6867" y="35"/>
                              </a:lnTo>
                              <a:lnTo>
                                <a:pt x="6923" y="29"/>
                              </a:lnTo>
                              <a:lnTo>
                                <a:pt x="6996" y="23"/>
                              </a:lnTo>
                              <a:lnTo>
                                <a:pt x="7066" y="24"/>
                              </a:lnTo>
                              <a:lnTo>
                                <a:pt x="7135" y="30"/>
                              </a:lnTo>
                              <a:lnTo>
                                <a:pt x="7203" y="39"/>
                              </a:lnTo>
                              <a:lnTo>
                                <a:pt x="7272" y="48"/>
                              </a:lnTo>
                              <a:lnTo>
                                <a:pt x="7342" y="55"/>
                              </a:lnTo>
                              <a:lnTo>
                                <a:pt x="7413" y="59"/>
                              </a:lnTo>
                              <a:lnTo>
                                <a:pt x="7488" y="58"/>
                              </a:lnTo>
                              <a:lnTo>
                                <a:pt x="7566" y="48"/>
                              </a:lnTo>
                              <a:lnTo>
                                <a:pt x="7649" y="29"/>
                              </a:lnTo>
                              <a:lnTo>
                                <a:pt x="7697" y="18"/>
                              </a:lnTo>
                              <a:lnTo>
                                <a:pt x="7750" y="11"/>
                              </a:lnTo>
                              <a:lnTo>
                                <a:pt x="7807" y="7"/>
                              </a:lnTo>
                              <a:lnTo>
                                <a:pt x="7869" y="5"/>
                              </a:lnTo>
                              <a:lnTo>
                                <a:pt x="7935" y="6"/>
                              </a:lnTo>
                              <a:lnTo>
                                <a:pt x="8004" y="9"/>
                              </a:lnTo>
                              <a:lnTo>
                                <a:pt x="8077" y="13"/>
                              </a:lnTo>
                              <a:lnTo>
                                <a:pt x="8153" y="19"/>
                              </a:lnTo>
                              <a:lnTo>
                                <a:pt x="8232" y="25"/>
                              </a:lnTo>
                              <a:lnTo>
                                <a:pt x="8313" y="31"/>
                              </a:lnTo>
                              <a:lnTo>
                                <a:pt x="8397" y="37"/>
                              </a:lnTo>
                              <a:lnTo>
                                <a:pt x="8482" y="43"/>
                              </a:lnTo>
                              <a:lnTo>
                                <a:pt x="8569" y="47"/>
                              </a:lnTo>
                              <a:lnTo>
                                <a:pt x="8656" y="50"/>
                              </a:lnTo>
                              <a:lnTo>
                                <a:pt x="8745" y="52"/>
                              </a:lnTo>
                              <a:lnTo>
                                <a:pt x="8834" y="51"/>
                              </a:lnTo>
                              <a:lnTo>
                                <a:pt x="8923" y="47"/>
                              </a:lnTo>
                              <a:lnTo>
                                <a:pt x="9012" y="40"/>
                              </a:lnTo>
                              <a:lnTo>
                                <a:pt x="9100" y="29"/>
                              </a:lnTo>
                              <a:lnTo>
                                <a:pt x="9119" y="110"/>
                              </a:lnTo>
                              <a:lnTo>
                                <a:pt x="9130" y="183"/>
                              </a:lnTo>
                              <a:lnTo>
                                <a:pt x="9135" y="251"/>
                              </a:lnTo>
                              <a:lnTo>
                                <a:pt x="9136" y="315"/>
                              </a:lnTo>
                              <a:lnTo>
                                <a:pt x="9132" y="379"/>
                              </a:lnTo>
                              <a:lnTo>
                                <a:pt x="9126" y="443"/>
                              </a:lnTo>
                              <a:lnTo>
                                <a:pt x="9118" y="511"/>
                              </a:lnTo>
                              <a:lnTo>
                                <a:pt x="9111" y="584"/>
                              </a:lnTo>
                              <a:lnTo>
                                <a:pt x="9105" y="665"/>
                              </a:lnTo>
                              <a:lnTo>
                                <a:pt x="9101" y="755"/>
                              </a:lnTo>
                              <a:lnTo>
                                <a:pt x="9100" y="856"/>
                              </a:lnTo>
                              <a:lnTo>
                                <a:pt x="9100" y="957"/>
                              </a:lnTo>
                              <a:lnTo>
                                <a:pt x="9096" y="1046"/>
                              </a:lnTo>
                              <a:lnTo>
                                <a:pt x="9090" y="1125"/>
                              </a:lnTo>
                              <a:lnTo>
                                <a:pt x="9083" y="1197"/>
                              </a:lnTo>
                              <a:lnTo>
                                <a:pt x="9075" y="1264"/>
                              </a:lnTo>
                              <a:lnTo>
                                <a:pt x="9069" y="1330"/>
                              </a:lnTo>
                              <a:lnTo>
                                <a:pt x="9065" y="1396"/>
                              </a:lnTo>
                              <a:lnTo>
                                <a:pt x="9066" y="1465"/>
                              </a:lnTo>
                              <a:lnTo>
                                <a:pt x="9071" y="1541"/>
                              </a:lnTo>
                              <a:lnTo>
                                <a:pt x="9082" y="1625"/>
                              </a:lnTo>
                              <a:lnTo>
                                <a:pt x="9100" y="1719"/>
                              </a:lnTo>
                              <a:lnTo>
                                <a:pt x="9117" y="1810"/>
                              </a:lnTo>
                              <a:lnTo>
                                <a:pt x="9126" y="1898"/>
                              </a:lnTo>
                              <a:lnTo>
                                <a:pt x="9129" y="1981"/>
                              </a:lnTo>
                              <a:lnTo>
                                <a:pt x="9128" y="2061"/>
                              </a:lnTo>
                              <a:lnTo>
                                <a:pt x="9122" y="2139"/>
                              </a:lnTo>
                              <a:lnTo>
                                <a:pt x="9115" y="2213"/>
                              </a:lnTo>
                              <a:lnTo>
                                <a:pt x="9107" y="2285"/>
                              </a:lnTo>
                              <a:lnTo>
                                <a:pt x="9099" y="2355"/>
                              </a:lnTo>
                              <a:lnTo>
                                <a:pt x="9093" y="2423"/>
                              </a:lnTo>
                              <a:lnTo>
                                <a:pt x="9091" y="2490"/>
                              </a:lnTo>
                              <a:lnTo>
                                <a:pt x="9093" y="2555"/>
                              </a:lnTo>
                              <a:lnTo>
                                <a:pt x="9100" y="2618"/>
                              </a:lnTo>
                              <a:lnTo>
                                <a:pt x="9108" y="2678"/>
                              </a:lnTo>
                              <a:lnTo>
                                <a:pt x="9110" y="2741"/>
                              </a:lnTo>
                              <a:lnTo>
                                <a:pt x="9108" y="2807"/>
                              </a:lnTo>
                              <a:lnTo>
                                <a:pt x="9103" y="2876"/>
                              </a:lnTo>
                              <a:lnTo>
                                <a:pt x="9096" y="2948"/>
                              </a:lnTo>
                              <a:lnTo>
                                <a:pt x="9088" y="3022"/>
                              </a:lnTo>
                              <a:lnTo>
                                <a:pt x="9080" y="3100"/>
                              </a:lnTo>
                              <a:lnTo>
                                <a:pt x="9073" y="3180"/>
                              </a:lnTo>
                              <a:lnTo>
                                <a:pt x="9070" y="3264"/>
                              </a:lnTo>
                              <a:lnTo>
                                <a:pt x="9069" y="3350"/>
                              </a:lnTo>
                              <a:lnTo>
                                <a:pt x="9073" y="3439"/>
                              </a:lnTo>
                              <a:lnTo>
                                <a:pt x="9083" y="3531"/>
                              </a:lnTo>
                              <a:lnTo>
                                <a:pt x="9100" y="3625"/>
                              </a:lnTo>
                              <a:lnTo>
                                <a:pt x="8999" y="3632"/>
                              </a:lnTo>
                              <a:lnTo>
                                <a:pt x="8903" y="3636"/>
                              </a:lnTo>
                              <a:lnTo>
                                <a:pt x="8810" y="3639"/>
                              </a:lnTo>
                              <a:lnTo>
                                <a:pt x="8723" y="3639"/>
                              </a:lnTo>
                              <a:lnTo>
                                <a:pt x="8639" y="3639"/>
                              </a:lnTo>
                              <a:lnTo>
                                <a:pt x="8558" y="3637"/>
                              </a:lnTo>
                              <a:lnTo>
                                <a:pt x="8481" y="3634"/>
                              </a:lnTo>
                              <a:lnTo>
                                <a:pt x="8407" y="3631"/>
                              </a:lnTo>
                              <a:lnTo>
                                <a:pt x="8336" y="3628"/>
                              </a:lnTo>
                              <a:lnTo>
                                <a:pt x="8267" y="3626"/>
                              </a:lnTo>
                              <a:lnTo>
                                <a:pt x="8201" y="3624"/>
                              </a:lnTo>
                              <a:lnTo>
                                <a:pt x="8136" y="3623"/>
                              </a:lnTo>
                              <a:lnTo>
                                <a:pt x="8073" y="3623"/>
                              </a:lnTo>
                              <a:lnTo>
                                <a:pt x="8012" y="3625"/>
                              </a:lnTo>
                              <a:lnTo>
                                <a:pt x="7934" y="3628"/>
                              </a:lnTo>
                              <a:lnTo>
                                <a:pt x="7854" y="3630"/>
                              </a:lnTo>
                              <a:lnTo>
                                <a:pt x="7772" y="3630"/>
                              </a:lnTo>
                              <a:lnTo>
                                <a:pt x="7690" y="3629"/>
                              </a:lnTo>
                              <a:lnTo>
                                <a:pt x="7606" y="3627"/>
                              </a:lnTo>
                              <a:lnTo>
                                <a:pt x="7522" y="3626"/>
                              </a:lnTo>
                              <a:lnTo>
                                <a:pt x="7438" y="3624"/>
                              </a:lnTo>
                              <a:lnTo>
                                <a:pt x="7354" y="3623"/>
                              </a:lnTo>
                              <a:lnTo>
                                <a:pt x="7270" y="3622"/>
                              </a:lnTo>
                              <a:lnTo>
                                <a:pt x="7187" y="3623"/>
                              </a:lnTo>
                              <a:lnTo>
                                <a:pt x="7105" y="3625"/>
                              </a:lnTo>
                              <a:lnTo>
                                <a:pt x="7031" y="3626"/>
                              </a:lnTo>
                              <a:lnTo>
                                <a:pt x="6958" y="3623"/>
                              </a:lnTo>
                              <a:lnTo>
                                <a:pt x="6887" y="3617"/>
                              </a:lnTo>
                              <a:lnTo>
                                <a:pt x="6816" y="3610"/>
                              </a:lnTo>
                              <a:lnTo>
                                <a:pt x="6745" y="3603"/>
                              </a:lnTo>
                              <a:lnTo>
                                <a:pt x="6673" y="3596"/>
                              </a:lnTo>
                              <a:lnTo>
                                <a:pt x="6600" y="3590"/>
                              </a:lnTo>
                              <a:lnTo>
                                <a:pt x="6525" y="3588"/>
                              </a:lnTo>
                              <a:lnTo>
                                <a:pt x="6448" y="3589"/>
                              </a:lnTo>
                              <a:lnTo>
                                <a:pt x="6368" y="3595"/>
                              </a:lnTo>
                              <a:lnTo>
                                <a:pt x="6285" y="3607"/>
                              </a:lnTo>
                              <a:lnTo>
                                <a:pt x="6198" y="3625"/>
                              </a:lnTo>
                              <a:lnTo>
                                <a:pt x="6111" y="3642"/>
                              </a:lnTo>
                              <a:lnTo>
                                <a:pt x="6028" y="3650"/>
                              </a:lnTo>
                              <a:lnTo>
                                <a:pt x="5949" y="3650"/>
                              </a:lnTo>
                              <a:lnTo>
                                <a:pt x="5873" y="3644"/>
                              </a:lnTo>
                              <a:lnTo>
                                <a:pt x="5799" y="3634"/>
                              </a:lnTo>
                              <a:lnTo>
                                <a:pt x="5727" y="3622"/>
                              </a:lnTo>
                              <a:lnTo>
                                <a:pt x="5656" y="3611"/>
                              </a:lnTo>
                              <a:lnTo>
                                <a:pt x="5585" y="3602"/>
                              </a:lnTo>
                              <a:lnTo>
                                <a:pt x="5514" y="3596"/>
                              </a:lnTo>
                              <a:lnTo>
                                <a:pt x="5442" y="3597"/>
                              </a:lnTo>
                              <a:lnTo>
                                <a:pt x="5367" y="3606"/>
                              </a:lnTo>
                              <a:lnTo>
                                <a:pt x="5291" y="3625"/>
                              </a:lnTo>
                              <a:lnTo>
                                <a:pt x="5213" y="3645"/>
                              </a:lnTo>
                              <a:lnTo>
                                <a:pt x="5138" y="3656"/>
                              </a:lnTo>
                              <a:lnTo>
                                <a:pt x="5064" y="3659"/>
                              </a:lnTo>
                              <a:lnTo>
                                <a:pt x="4990" y="3657"/>
                              </a:lnTo>
                              <a:lnTo>
                                <a:pt x="4917" y="3651"/>
                              </a:lnTo>
                              <a:lnTo>
                                <a:pt x="4845" y="3642"/>
                              </a:lnTo>
                              <a:lnTo>
                                <a:pt x="4771" y="3633"/>
                              </a:lnTo>
                              <a:lnTo>
                                <a:pt x="4697" y="3624"/>
                              </a:lnTo>
                              <a:lnTo>
                                <a:pt x="4622" y="3617"/>
                              </a:lnTo>
                              <a:lnTo>
                                <a:pt x="4544" y="3614"/>
                              </a:lnTo>
                              <a:lnTo>
                                <a:pt x="4465" y="3616"/>
                              </a:lnTo>
                              <a:lnTo>
                                <a:pt x="4384" y="3625"/>
                              </a:lnTo>
                              <a:lnTo>
                                <a:pt x="4296" y="3636"/>
                              </a:lnTo>
                              <a:lnTo>
                                <a:pt x="4216" y="3641"/>
                              </a:lnTo>
                              <a:lnTo>
                                <a:pt x="4140" y="3642"/>
                              </a:lnTo>
                              <a:lnTo>
                                <a:pt x="4068" y="3639"/>
                              </a:lnTo>
                              <a:lnTo>
                                <a:pt x="3998" y="3634"/>
                              </a:lnTo>
                              <a:lnTo>
                                <a:pt x="3930" y="3628"/>
                              </a:lnTo>
                              <a:lnTo>
                                <a:pt x="3862" y="3622"/>
                              </a:lnTo>
                              <a:lnTo>
                                <a:pt x="3793" y="3617"/>
                              </a:lnTo>
                              <a:lnTo>
                                <a:pt x="3722" y="3616"/>
                              </a:lnTo>
                              <a:lnTo>
                                <a:pt x="3647" y="3618"/>
                              </a:lnTo>
                              <a:lnTo>
                                <a:pt x="3567" y="3625"/>
                              </a:lnTo>
                              <a:lnTo>
                                <a:pt x="3497" y="3631"/>
                              </a:lnTo>
                              <a:lnTo>
                                <a:pt x="3427" y="3631"/>
                              </a:lnTo>
                              <a:lnTo>
                                <a:pt x="3356" y="3627"/>
                              </a:lnTo>
                              <a:lnTo>
                                <a:pt x="3285" y="3619"/>
                              </a:lnTo>
                              <a:lnTo>
                                <a:pt x="3213" y="3610"/>
                              </a:lnTo>
                              <a:lnTo>
                                <a:pt x="3139" y="3600"/>
                              </a:lnTo>
                              <a:lnTo>
                                <a:pt x="3064" y="3591"/>
                              </a:lnTo>
                              <a:lnTo>
                                <a:pt x="2987" y="3584"/>
                              </a:lnTo>
                              <a:lnTo>
                                <a:pt x="2909" y="3581"/>
                              </a:lnTo>
                              <a:lnTo>
                                <a:pt x="2828" y="3582"/>
                              </a:lnTo>
                              <a:lnTo>
                                <a:pt x="2744" y="3589"/>
                              </a:lnTo>
                              <a:lnTo>
                                <a:pt x="2658" y="3603"/>
                              </a:lnTo>
                              <a:lnTo>
                                <a:pt x="2569" y="3625"/>
                              </a:lnTo>
                              <a:lnTo>
                                <a:pt x="2474" y="3649"/>
                              </a:lnTo>
                              <a:lnTo>
                                <a:pt x="2385" y="3663"/>
                              </a:lnTo>
                              <a:lnTo>
                                <a:pt x="2300" y="3669"/>
                              </a:lnTo>
                              <a:lnTo>
                                <a:pt x="2220" y="3668"/>
                              </a:lnTo>
                              <a:lnTo>
                                <a:pt x="2144" y="3662"/>
                              </a:lnTo>
                              <a:lnTo>
                                <a:pt x="2070" y="3653"/>
                              </a:lnTo>
                              <a:lnTo>
                                <a:pt x="1999" y="3643"/>
                              </a:lnTo>
                              <a:lnTo>
                                <a:pt x="1931" y="3632"/>
                              </a:lnTo>
                              <a:lnTo>
                                <a:pt x="1863" y="3624"/>
                              </a:lnTo>
                              <a:lnTo>
                                <a:pt x="1796" y="3619"/>
                              </a:lnTo>
                              <a:lnTo>
                                <a:pt x="1729" y="3619"/>
                              </a:lnTo>
                              <a:lnTo>
                                <a:pt x="1662" y="3625"/>
                              </a:lnTo>
                              <a:lnTo>
                                <a:pt x="1620" y="3631"/>
                              </a:lnTo>
                              <a:lnTo>
                                <a:pt x="1572" y="3634"/>
                              </a:lnTo>
                              <a:lnTo>
                                <a:pt x="1519" y="3637"/>
                              </a:lnTo>
                              <a:lnTo>
                                <a:pt x="1460" y="3638"/>
                              </a:lnTo>
                              <a:lnTo>
                                <a:pt x="1396" y="3638"/>
                              </a:lnTo>
                              <a:lnTo>
                                <a:pt x="1328" y="3637"/>
                              </a:lnTo>
                              <a:lnTo>
                                <a:pt x="1255" y="3635"/>
                              </a:lnTo>
                              <a:lnTo>
                                <a:pt x="1179" y="3633"/>
                              </a:lnTo>
                              <a:lnTo>
                                <a:pt x="1099" y="3630"/>
                              </a:lnTo>
                              <a:lnTo>
                                <a:pt x="1017" y="3627"/>
                              </a:lnTo>
                              <a:lnTo>
                                <a:pt x="932" y="3624"/>
                              </a:lnTo>
                              <a:lnTo>
                                <a:pt x="844" y="3621"/>
                              </a:lnTo>
                              <a:lnTo>
                                <a:pt x="755" y="3619"/>
                              </a:lnTo>
                              <a:lnTo>
                                <a:pt x="665" y="3616"/>
                              </a:lnTo>
                              <a:lnTo>
                                <a:pt x="574" y="3615"/>
                              </a:lnTo>
                              <a:lnTo>
                                <a:pt x="482" y="3614"/>
                              </a:lnTo>
                              <a:lnTo>
                                <a:pt x="390" y="3613"/>
                              </a:lnTo>
                              <a:lnTo>
                                <a:pt x="299" y="3614"/>
                              </a:lnTo>
                              <a:lnTo>
                                <a:pt x="208" y="3617"/>
                              </a:lnTo>
                              <a:lnTo>
                                <a:pt x="118" y="3620"/>
                              </a:lnTo>
                              <a:lnTo>
                                <a:pt x="29" y="3625"/>
                              </a:lnTo>
                              <a:lnTo>
                                <a:pt x="18" y="3541"/>
                              </a:lnTo>
                              <a:lnTo>
                                <a:pt x="12" y="3457"/>
                              </a:lnTo>
                              <a:lnTo>
                                <a:pt x="12" y="3374"/>
                              </a:lnTo>
                              <a:lnTo>
                                <a:pt x="15" y="3292"/>
                              </a:lnTo>
                              <a:lnTo>
                                <a:pt x="22" y="3212"/>
                              </a:lnTo>
                              <a:lnTo>
                                <a:pt x="30" y="3133"/>
                              </a:lnTo>
                              <a:lnTo>
                                <a:pt x="38" y="3056"/>
                              </a:lnTo>
                              <a:lnTo>
                                <a:pt x="46" y="2982"/>
                              </a:lnTo>
                              <a:lnTo>
                                <a:pt x="52" y="2910"/>
                              </a:lnTo>
                              <a:lnTo>
                                <a:pt x="54" y="2841"/>
                              </a:lnTo>
                              <a:lnTo>
                                <a:pt x="52" y="2775"/>
                              </a:lnTo>
                              <a:lnTo>
                                <a:pt x="44" y="2713"/>
                              </a:lnTo>
                              <a:lnTo>
                                <a:pt x="29" y="2654"/>
                              </a:lnTo>
                              <a:lnTo>
                                <a:pt x="13" y="2589"/>
                              </a:lnTo>
                              <a:lnTo>
                                <a:pt x="4" y="2516"/>
                              </a:lnTo>
                              <a:lnTo>
                                <a:pt x="0" y="2438"/>
                              </a:lnTo>
                              <a:lnTo>
                                <a:pt x="1" y="2355"/>
                              </a:lnTo>
                              <a:lnTo>
                                <a:pt x="5" y="2269"/>
                              </a:lnTo>
                              <a:lnTo>
                                <a:pt x="11" y="2181"/>
                              </a:lnTo>
                              <a:lnTo>
                                <a:pt x="18" y="2092"/>
                              </a:lnTo>
                              <a:lnTo>
                                <a:pt x="25" y="2004"/>
                              </a:lnTo>
                              <a:lnTo>
                                <a:pt x="31" y="1917"/>
                              </a:lnTo>
                              <a:lnTo>
                                <a:pt x="35" y="1834"/>
                              </a:lnTo>
                              <a:lnTo>
                                <a:pt x="34" y="1756"/>
                              </a:lnTo>
                              <a:lnTo>
                                <a:pt x="29" y="1683"/>
                              </a:lnTo>
                              <a:lnTo>
                                <a:pt x="26" y="1641"/>
                              </a:lnTo>
                              <a:lnTo>
                                <a:pt x="23" y="1592"/>
                              </a:lnTo>
                              <a:lnTo>
                                <a:pt x="21" y="1538"/>
                              </a:lnTo>
                              <a:lnTo>
                                <a:pt x="21" y="1478"/>
                              </a:lnTo>
                              <a:lnTo>
                                <a:pt x="21" y="1413"/>
                              </a:lnTo>
                              <a:lnTo>
                                <a:pt x="21" y="1344"/>
                              </a:lnTo>
                              <a:lnTo>
                                <a:pt x="23" y="1270"/>
                              </a:lnTo>
                              <a:lnTo>
                                <a:pt x="24" y="1193"/>
                              </a:lnTo>
                              <a:lnTo>
                                <a:pt x="26" y="1113"/>
                              </a:lnTo>
                              <a:lnTo>
                                <a:pt x="29" y="1029"/>
                              </a:lnTo>
                              <a:lnTo>
                                <a:pt x="31" y="943"/>
                              </a:lnTo>
                              <a:lnTo>
                                <a:pt x="33" y="855"/>
                              </a:lnTo>
                              <a:lnTo>
                                <a:pt x="35" y="765"/>
                              </a:lnTo>
                              <a:lnTo>
                                <a:pt x="37" y="674"/>
                              </a:lnTo>
                              <a:lnTo>
                                <a:pt x="38" y="582"/>
                              </a:lnTo>
                              <a:lnTo>
                                <a:pt x="39" y="489"/>
                              </a:lnTo>
                              <a:lnTo>
                                <a:pt x="39" y="396"/>
                              </a:lnTo>
                              <a:lnTo>
                                <a:pt x="38" y="303"/>
                              </a:lnTo>
                              <a:lnTo>
                                <a:pt x="36" y="211"/>
                              </a:lnTo>
                              <a:lnTo>
                                <a:pt x="33" y="119"/>
                              </a:lnTo>
                              <a:lnTo>
                                <a:pt x="29" y="29"/>
                              </a:lnTo>
                              <a:close/>
                            </a:path>
                          </a:pathLst>
                        </a:custGeom>
                        <a:noFill/>
                        <a:ln w="44450">
                          <a:solidFill>
                            <a:srgbClr val="36A6BB"/>
                          </a:solidFill>
                          <a:round/>
                          <a:headEnd/>
                          <a:tailEnd/>
                        </a:ln>
                      </wps:spPr>
                      <wps:txbx>
                        <w:txbxContent>
                          <w:p w14:paraId="6FB366D8" w14:textId="77777777" w:rsidR="00153F72" w:rsidRPr="0058387D" w:rsidRDefault="00153F72" w:rsidP="007D2058">
                            <w:pPr>
                              <w:pStyle w:val="NoSpacing"/>
                              <w:spacing w:before="240"/>
                              <w:jc w:val="left"/>
                              <w:rPr>
                                <w:b/>
                                <w:bCs/>
                                <w:color w:val="1A3E5F" w:themeColor="accent1" w:themeShade="80"/>
                              </w:rPr>
                            </w:pPr>
                            <w:r w:rsidRPr="0058387D">
                              <w:rPr>
                                <w:b/>
                                <w:bCs/>
                                <w:color w:val="1A3E5F" w:themeColor="accent1" w:themeShade="80"/>
                              </w:rPr>
                              <w:t xml:space="preserve">Example of promising practice – Coordination and information sharing across regions </w:t>
                            </w:r>
                          </w:p>
                          <w:p w14:paraId="507D6FE4" w14:textId="77777777" w:rsidR="00153F72" w:rsidRDefault="00153F72" w:rsidP="00153F72">
                            <w:pPr>
                              <w:pStyle w:val="NoSpacing"/>
                            </w:pPr>
                            <w:r w:rsidRPr="00C22550">
                              <w:t xml:space="preserve">At a regional evaluation site, a group of non-Indigenous organisations established a system partner liaison group to share information about what each organisation was doing, and on shared issues of interest. This was not a decision-making or planning group but focused on supporting communication and coordination and, ultimately, on reducing fragmentation or inconsistency in the experience of ACCHSs and clients. The group </w:t>
                            </w:r>
                            <w:r>
                              <w:t>was</w:t>
                            </w:r>
                            <w:r w:rsidRPr="00C22550">
                              <w:t xml:space="preserve"> established to address challenges reported by ACCHSs – primarily that funding partners worked in disjointed ways and that this impacts directly on the work of ACCHSs.</w:t>
                            </w:r>
                          </w:p>
                          <w:p w14:paraId="773A6EBE" w14:textId="3F5D6C72" w:rsidR="00153F72" w:rsidRDefault="00153F72" w:rsidP="00153F72">
                            <w:pPr>
                              <w:pStyle w:val="NoSpacing"/>
                            </w:pPr>
                            <w:r>
                              <w:t>In a remote evaluation site, three ACCHSs established an alliance with staff and a board of directors to manage regional projects, apply for funding, coordinate research projects, and advocate and make representation to government. This enabled the health services to focus on their core function of providing primary care services. The alliance has given the services a stronger collective voice at regional forums. It’s been built on ‘trust, common goals, continuous meaningful consultation and delivery’ (CEO of the alliance). The alliance operates on funding received from non-government sources, including lotteries and the extractives sector. This funding is welcome, but the security of operational funding is also a challenge.</w:t>
                            </w:r>
                            <w:r w:rsidR="00AA35E2">
                              <w:t xml:space="preserve"> </w:t>
                            </w:r>
                          </w:p>
                          <w:p w14:paraId="17B764F7" w14:textId="77777777" w:rsidR="00153F72" w:rsidRDefault="00153F72" w:rsidP="00153F72">
                            <w:pPr>
                              <w:pStyle w:val="NoSpacing"/>
                            </w:pPr>
                            <w:r>
                              <w:t xml:space="preserve"> </w:t>
                            </w:r>
                          </w:p>
                          <w:p w14:paraId="71A9079B" w14:textId="77777777" w:rsidR="00153F72" w:rsidRPr="00C22550" w:rsidRDefault="00153F72" w:rsidP="00153F72">
                            <w:pPr>
                              <w:pStyle w:val="NoSpacing"/>
                            </w:pPr>
                            <w:r w:rsidRPr="00C22550">
                              <w:t xml:space="preserve"> </w:t>
                            </w:r>
                          </w:p>
                          <w:p w14:paraId="7C95C821" w14:textId="77777777" w:rsidR="00153F72" w:rsidRDefault="00153F72" w:rsidP="00153F72">
                            <w:pPr>
                              <w:pStyle w:val="NoSpacing"/>
                              <w:spacing w:before="240"/>
                              <w:rPr>
                                <w:b/>
                                <w:bCs/>
                                <w:color w:val="357DBE" w:themeColor="accent1"/>
                              </w:rPr>
                            </w:pPr>
                          </w:p>
                        </w:txbxContent>
                      </wps:txbx>
                      <wps:bodyPr rot="0" vert="horz" wrap="square" lIns="91440" tIns="45720" rIns="91440" bIns="45720" anchor="t" anchorCtr="0" upright="1">
                        <a:noAutofit/>
                      </wps:bodyPr>
                    </wps:wsp>
                  </a:graphicData>
                </a:graphic>
              </wp:inline>
            </w:drawing>
          </mc:Choice>
          <mc:Fallback>
            <w:pict>
              <v:shape w14:anchorId="73573BF3" id="Freeform: Shape 455" o:spid="_x0000_s1099" style="width:448pt;height:289.7pt;visibility:visible;mso-wrap-style:square;mso-left-percent:-10001;mso-top-percent:-10001;mso-position-horizontal:absolute;mso-position-horizontal-relative:char;mso-position-vertical:absolute;mso-position-vertical-relative:line;mso-left-percent:-10001;mso-top-percent:-10001;v-text-anchor:top" coordsize="9136,3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dbT7RMAAMtlAAAOAAAAZHJzL2Uyb0RvYy54bWysXV1vIztyfQ+Q/yD4McFeN8ludvfgzl3s&#10;RzYIsMkusNofoLHlsRHbciTNx91fn1Mkq032kFWNIC/T1qhEFuuwinWKpPTzb7+/PO++Hs+Xp9Pr&#10;xxvzU3ezO77ene6fXj9/vPn7/k+/mW52l+vh9f7wfHo9frz59Xi5+e0v//xPP397+3C0p8fT8/3x&#10;vEMjr5cP394+3jxer28fbm8vd4/Hl8Plp9Pb8RVvPpzOL4crXp4/396fD9/Q+svzre06f/vtdL5/&#10;O5/ujpcL/veP8c2bX0L7Dw/Hu+tfHh4ux+vu+eMNdLuGf8/h30/07+0vPx8+fD4f3h6f7pIah/+D&#10;Fi+Hp1d0ujT1x8P1sPtyfvqhqZenu/Ppcnq4/nR3erk9PTw83R3DGDAa061G87fHw9sxjAXGubwt&#10;Zrr8/zV7919f//b21zOpfnn78+nuvy+wyO23t8uH5R16cYHM7tO3/zzdA8PDl+spDPb7w/mFPolh&#10;7L4Hm/662PT4/bq7w38OfponC9Pf4T3nx7mfHVn99vCBP3735XL99+MpNHX4+ufLNYJyj7+CSe93&#10;r4cX9LtHKw8vz8DnX3+z63Zm6sadceOcQFzEDIv9y+1u3+2+7Wbj/FrIslBsa7Y7M5u1kGMhtGQg&#10;8rjDCHjSLP31LBWastajrYpaA4uRWn1DLc9CqS1TU2tkIbRkrWmoBc/LrGXHvq+qNbMYqTU11DKl&#10;6anTirlMbvm2Yqa0vbNuqGpmcvPvjW3ptrL/gHH+CKXJzW8hU8fSlAA4PzTmWI7B3viWbisQOlfV&#10;LcfAQqauG3lRhmhvurlqN5vDsLdNDyhhsLZqN5uDQDIN3UoQ+sFjhlScwOYw7NFcwztLGCx5+o+Y&#10;2hwEkmnoVoLQzyNQqOmWw7C3LV9wJQzW1kNHDgLJ1HVzJQhDPyOwVXRzOQx71/IFV8JgAX7Fbi4H&#10;gWQaupUgDLOp+4LLYdi7li+4EgYzT1XdchBIpq5bX4LgXWMt6HMY9n3LF/oShobd+hyEtt36EgQ/&#10;0QypYNrnMOwRnuu+0JcwWFf1hT4HgWQaditBGO0EFGq65TDs+5YvDCUMFkG6Mt+GHASSqes2lCCM&#10;Y8MXhhyG/dDyhaGEwRqsMj/GkCEHgWQaupUgTLb3VbsNOQz7oeULQwkDcoaqbjkIJFPXzZcgTH6o&#10;x16fw7D3LV/wJQzWYZX50W4+B4FkGrqVIMzdWLebz2HY+5Yv+BIGSytgRbccBJJp6FaCMGPRqmLq&#10;cxj2vuULSAzz5dl21fV0zEEgmbpuYwnCPMMFa3465jDsx5YvjCUM1lVj75iDQDIN3UoQTNeP9URk&#10;zHHYA/l6gBtLHBrBF3l+Mm/IeluL1lSiYLqhq2eXUw7Efmp5w1QC4V0V1SmHgWTqlptKGNqWm3Ik&#10;9lPLHaYVEoZmyY/+MOU4GBJqqFcCAfUanGHKsdhjCakDO6+wGKbq0gWF35E1JFRXby6haEMLhvne&#10;4B68raFeiYbtpmo0mXMsglBDvRUYcIu6z845HPu55RZziQY4S3WRmHMsglBdPdOt0Oh6Gm9l7Tdd&#10;DsgeH2wY0HQlInZGYlqZf6bLAQlSLR1LSDADsbzXdcxRgY4tFzFdCYtzY527djkqQaqlY4kLBtfA&#10;Gfwsn4ema/mJWdFrN9k6TywIdpBq6Lii2POE1b5qxhXHbpNsUyKDzqvplCl4dpBqqVjigtW3gbTJ&#10;gdmbNtc2JTBuMtVYbUwOS5BqqLgi3Chk1ZcSUzJu06TcxpYOg86rAdsUrDtItVQsYZl6rBVVoEvi&#10;bZrM29gSF3ReDTumIN9BqqViCcvUtYC2OS6o9zTdZcXA4X/VdcW4PI4FqYaKKxY+DmOd6ZqShpsm&#10;DzcrIt60YkHFJSuigplnlyPiWh3oko2j8tkK3is+js7rQcflsASphhXXnByl0rqKJSk3TVZuVrS8&#10;acWCmEtWXFPzUPSqLYElNzdNcm5W7NxNrm7Fgp8HqZYVS3cZRl+vVpk+x2VPWV09zTErkt60YkHT&#10;JSuuiPrgGoVIUzJ106TqZsXV0Xk1FTMFWw9SDSsOpbv0U4N3mpKwmyZjR15aOCCWtnquM+SwBKmG&#10;iivajly7AXTJ202TuJsVc0fEq6tYcPcg1VKxXF1ci4Wakr6bJn83KwLfnIs+X/SluehXsPR9I6kt&#10;Wbxp0niz4vFuIhL0I6kyBZMPUg0rrri86/p6fcaUZN402bxZ0fmmFQtCL1lxLN3Fjo1yqikpvWly&#10;erMi9XCEeqZT0Pog1bDiitijpN5wl5LYY5ewFRdX1B72qbtLQe6DVEvF0l2MbxGDkt6bJr83K4Lv&#10;kDxV52LB8INUS8XSXYybG3OxpPimyfHNiuS7wddVLFh+kGqouKb5vWuoWNJ82p9tLIBziYsDwa1a&#10;sWD6QaqlYukuBut5PdMpqb5pcn1sdBSrS3TAStAp2T65aV1FnI0oGkSSVScGOHbAgrQBjM81rGjX&#10;ZN/MVaCxf5k1aEmqpWIJC1SsM0DbFVyfiqZ1oO2K6yMIAZcfrYitwkzFINVSsYQFKtaBRpE5axFW&#10;bCVjdkX1MXWqq4stqH6Qaqi4ovqmJ75WSWltSfVpG6ZhxRXVx35C1YgF0yehloIrZ+kpzFYVzFHZ&#10;2ybRt2uib6q7nJh6GSZw50xBnD75zOdLDo985OTu+2s6c4K/dgc6wtSFgy5vpwsdcNnDVXCKZc8H&#10;WCBFB1Qawpi0JDym0y6yMFQlYaAez8bI0gRlEB+2icOwQTwclcHY5dapmkHiKEJsUYYqC0F820iJ&#10;5ZM4yPmW1olxB/FtQyX2G8S3DZWYKImDQG5RhlhhEN82VGJoJA5itaV1YktBfNtQibkE8W1DJRZB&#10;4kj+tyhDGX0Q3zZUyq5JHEnxltYp0w3i24ZKWWcQ3zZUygBJHInbFmUoGwvi24ZKmRGJx3VF9SbK&#10;UoL4tqFSxhDEtw011OpJnmrsWwaLXZPYgcEiuO0Dabxma3BaohNWiE09UIU3jAERe9MHOEJRnXTb&#10;B3jQqFpu+wAPemOYCpXBMAZU9Db1wJEKKfi2D3CsMhuDleFoZVB72qQSxyuzMWCF+k4YNOoym3rg&#10;mGVQJdn0AY5aZmPYCpWIoBIqCNt6YKQ3hq7A0kMPYNebeuDoZeJRVTViGI5fZmMAMxzBDHjgJpU4&#10;hqXkWFeJoxjS+W09cBwzYCxbVAo8hMxK/GHbB5JPUza/7QMJacqtN32AAxmOBW38QApklHpmPUTz&#10;ptTyjDPp69Po55sdTqN/os8cPrwdrpSR8p+7bx9vwgHm3WM4QB0z0pfT1+P+FGSulJqmrAqP2O/7&#10;+8+vuZwhugAzLyPit/n5FpozCe9wbBrq87v8jFI2LeNsTn6Xn1HKUV0ZXYZz0822eguqRYqlAXAb&#10;/IxtDR04I6R6WYpqRZBiY3Ab/IxteSomU49yYyPtIkEMm4HRtNwKP2NrOIwexXiq8Nv8TGJUTEJr&#10;2MKSWpupOExiVhTDoh+tpskZokw0CNkk2BqNPrIsk6w9P+MosDcXp5Emh/PTW4aL/ZU0Dtl6WHBi&#10;v9gYksxnPJFTjBfNynIpTC3rF4+Tn2m8Y4rhgEVsb6J9B/S7rFbcDj9Te3OiNTCP1B7dcIntyeNF&#10;CIyzD92L7cHQ0S5Kv6FCos8Xa6nMCzlEFbFfjgEc2tkc/IxmsX3ikkprAxW3yMpyp9g6i8opvfpE&#10;vJZkkrXiZ9JupH1ndAvsxMFyKFAmKY7eJjB4/eL++Jn6nVMSpExmx8FgyQ+5HX7G9hxOgIVxKMHA&#10;meTkuBMhjddZ2mCEXeTY4lxK82WXdCiIRdRkV3M4LxLlFO0GOnMB7RR03UBVYkJXXoGcpx0nklPG&#10;MdKOL+TgcaL1pjSrliSd0eJnQm1OIVyR6zuqHFK/8jh6onMkp8yC3qbZosyC3iWnlCdz72g3jLoV&#10;rYK90DQLFLEpgSGLDWmZVHTD0cOgmxLNek9HIjAGICJB23vaUKCxygGjH9Nqr6ym/ZQ4owbZnHIp&#10;RW7oOLWRPXcIZ4IwDsU1BtSUw3iBnWSXAScAo5xsv8GlqpIS0AbMltAezmKI/Q50uwvjUALpMNCe&#10;FskpdvG0S01ySr9jym5wQEbUb6LTQGhPw22m3QaSk118mHk+y/r5LtlZyYSRVEU7K+TB4zpA0A8B&#10;Xxqvx8oRxyHbxSNWRTl5Xvl+jvhi+ov9DrTpDPspWbP3dOaD5BT7jSmbg3uK/U60NUbtaXJpXi2l&#10;JF4K+BmXBD8jsIR5IM9TP7Nd5Dg0dnQ6g+aVbOfRpHmqkJgxbAXSeGX9RpvWBMUvR0fnwdCekq2P&#10;fSLuS5GJ7cbPaD+4ZcQXMEu4jUOyi6YfJuAWPEafWIeyfoxjSqyWegXrz880Dk445Wk1TsnN5dx/&#10;nBO68qSfukTFZWyhWlpT5bk3LbFFac8mBojQIWE2uTQHlDVrcgkLxSdxsDbOPWUtAgGMc0BJ07Bf&#10;Gn0NEIvjGFMVF9muKDelhGkp3fIc4WecKxPHDEW/uUtrubJmzeFaAcUMGbc5nLqGHJ11lwaCUldc&#10;fN+LnzwCfsaRQDCtHsqQY/GMwpCybkEw5S9LoZa75Cd3TYek0SIlHvJgUtI+KC4M88QlbgD7kVtM&#10;+zdYnDTB2OKoRMsFQapdKF0nnocqvijYpfUGtzKUJruUaaEsqQynS4UzzCOtdzr1RjPNesWWS97j&#10;lJVs7lIdC5s12ojSWoGDwdqI6AAh6TkoVG3uFiKuWYm9EYcTVX9McXlSHTJNdoP7DzLuBkEgjGjG&#10;DoY4Q1BADJI4saNKRp/E8RV1RCke0EkXuXeu1VpsnIiSHddDneZFXeI0qGEpvXd0Eg64W9z113pP&#10;+d2g9c64W6/kFPD2ZHkcTpR7D7eSSE/kU4okt0mJiGjPcBOM2sR5bFmSY4jFmWNFkmsAHSo9Yu9d&#10;2hfAWSDN8mlnAzUwVTIGRbc52jinrPm4JJ14Qq/NeY6KblDynCXKO6/EkGlOc96Bn4n2nGbmM15h&#10;SBMFGZrzaFP24mlMnEaX5CqMLjksPE7P8qJvok157Zj6FEMgKXsHLoTEZAGWl2fyZJn3eYRcaSbj&#10;C5VYT4Wr4VLP0rscl+C7adaBv8u9c26oziVwiVRU1cY+TnQFJM4Q2eOwFZOyNHzph6gneBbPOiU7&#10;RQFusZIcwUYuJ2PsMkZjz3tzXsFodMvYFcuDKS8jkn1zpKMA0Z5am3wiSEeT64Xq2FH45MqJ0ruf&#10;Fj21ahEuIqYRKRmLZ87k/HKWgBN4fsZEHgW8NOcHJa/zPpW3sU8gzzo/IMAGyw9YmCQv9u+7njiP&#10;IUo63nQYlvMXPBJ+phFRShNxV9ZiH86cB49TVgTP5MR5ZUvLdymvw76vbCXstqQanCo5MUawl2gl&#10;lPW4TSV6D3Ak9g7Zj3CbYZl1cpzHIrNYXmlzSFsqmEtyDEFlO8W6QWE9qJXziBDKpLmE6vuydsjZ&#10;L+r5vCKgCCG2iQPqyZ4KiRw6kLI4P5XqXD8v0Vvhmz2+mIrblDHC7WjGSJnJ/ZjYGdZ3eTXELg/3&#10;rsT53qetSOeVWNcD+DQipSbfE82M9lQ36NLGqhrne5v4O8YuzyVsDrJ3KByhx9WJpKdm+Y5jnZYr&#10;upluzcScQY4Mbk5FJYxdjsluokuUMSrKXowbDOwdCprY8uQ2FYwQYHkuKTwOF6hYUoneDt93x1aS&#10;vQPl9a2S6J6tJOdL7n09UioS7j3aKOs7Srsc5xUe55Zogy+vEyOY5b0yp1XgLO++QVJpE3ceo5UG&#10;FHCk+ElfzsmSciZg3/eklNzGciVa9Xfb033SMOeVHU98JxRHG+WEk+XjADgvoYwI3/eUeofji1bi&#10;00toU7Fnt+TJ2LKU2sSBN55LSi0XRyJ53VR4MW5tcmRQVgScCGY/UrwDl4FZT02SjJMimLxq4744&#10;W17hsLglz20qmRWOjrOeCtdGgXTpXcY9FF1TnNck2eO81rtFSS21qViJjm0nSWUucbUQ66ac/eLW&#10;Bkda5cwHvlGJwZSXONxSZ0E5KtF+QByOMpFohyEJylnAsIQPZYOF99CQ/8iDcUvqp5Ry7eK9Sou4&#10;kcmDkRcsPimLqCljuPijsv6mHSBwfBmX5eyMku2ynIPVxciW0LO4Ty3JcW5Ch3ckOc6g6KaLKJcM&#10;3SlMgL44BWsOFl6533TMD6xFxiPVUOyk2Jnbw+66OI7kTxanHUS5NA+wMCt4xDXBDgrXj25s6ayS&#10;ZOYYOy0VmSSxuGThG7blwca5gq8YlddqPodDN1TEXuMcwK1oGdtUKcExZ9l2aeXFbRXZedOOMLaO&#10;lfaikQ1OdojjSNjiy0KUORDnMr73RLYLimE053H7SbFLhA1nImR00z04XPDaKKfN5dSvw+SX8OVx&#10;UDlSlEt2puskolyyn9H0iysxvndQnqdpvsxKSpeObU2Kc6RZNSobusg4CFxUH8WxpkqJRgkSxcF3&#10;NMqtpdxEKSRxeUbhDGmv4P2CFBcX+RmLjMludKRDRDXq9gNWd8+nyzF+kO46hd+CWC490V2p7Pcg&#10;Xk9/enp+hjDdQaKrUPiaJJQW6fXl9Px0T++GF+fPn/7wfN59PeCHPpz/nf/975Nuhdj59OX1PrT2&#10;eDzc/1v6+3p4eo5/h+tJ6Qcw6Dcv6HdELh+u3z993z3dU8PUKP3Xp9P9r389786n+Isi+AUU/PF4&#10;Ov/jZvcNvyby8ebyP18O5+PN7vk/XvFzHTOoCyL2NbzokU3jxTl/51P+zuH1Dk19vLne4EsI6M8/&#10;XONPlnx5Oz99fkRPJljg9fQ7/BTHwxP9YEb4zY6oVXqBXwwJpk2/bkI/SZK/DlLvv8Hyy/8CAAD/&#10;/wMAUEsDBBQABgAIAAAAIQAKqrLp2wAAAAUBAAAPAAAAZHJzL2Rvd25yZXYueG1sTI9BS8NAEIXv&#10;Qv/DMgUvYjctMU1jNqUIvQqN9b7NjklsdjZkN2301zt6sZcHjze8902+nWwnLjj41pGC5SICgVQ5&#10;01Kt4Pi2f0xB+KDJ6M4RKvhCD9tidpfrzLgrHfBShlpwCflMK2hC6DMpfdWg1X7heiTOPtxgdWA7&#10;1NIM+srltpOrKEqk1S3xQqN7fGmwOpejVZAs49Wx3sv1+P79OZXx4TWlB1Tqfj7tnkEEnML/Mfzi&#10;MzoUzHRyIxkvOgX8SPhTztJNwvak4Gm9iUEWubylL34AAAD//wMAUEsBAi0AFAAGAAgAAAAhALaD&#10;OJL+AAAA4QEAABMAAAAAAAAAAAAAAAAAAAAAAFtDb250ZW50X1R5cGVzXS54bWxQSwECLQAUAAYA&#10;CAAAACEAOP0h/9YAAACUAQAACwAAAAAAAAAAAAAAAAAvAQAAX3JlbHMvLnJlbHNQSwECLQAUAAYA&#10;CAAAACEA++XW0+0TAADLZQAADgAAAAAAAAAAAAAAAAAuAgAAZHJzL2Uyb0RvYy54bWxQSwECLQAU&#10;AAYACAAAACEACqqy6dsAAAAFAQAADwAAAAAAAAAAAAAAAABHFgAAZHJzL2Rvd25yZXYueG1sUEsF&#10;BgAAAAAEAAQA8wAAAE8XAAAAAA==&#10;" adj="-11796480,,5400" path="m29,29l112,15,193,6,273,1,351,r77,1l504,4r76,5l655,14r76,6l807,25r76,5l960,32r78,l1118,29r81,-2l1282,27r83,3l1448,35r84,7l1615,48r82,7l1777,60r79,3l1933,65r73,-3l2077,56r67,-11l2207,29r71,-17l2351,3r74,-1l2500,6r76,7l2653,23r77,10l2807,42r77,5l2961,48r77,-5l3114,29r68,-13l3250,9r67,-1l3384,10r68,6l3522,23r72,8l3668,38r79,6l3830,47r88,l4011,41,4111,29,4214,16r86,-9l4372,2r62,-1l4488,3r50,4l4587,12r52,6l4695,23r65,4l4837,29r91,l5031,29r95,2l5212,34r81,4l5369,43r74,3l5516,48r74,1l5667,46r81,-6l5835,29r74,-8l5987,16r82,-2l6153,15r86,2l6325,20r86,4l6496,28r83,4l6658,36r75,1l6803,37r64,-2l6923,29r73,-6l7066,24r69,6l7203,39r69,9l7342,55r71,4l7488,58r78,-10l7649,29r48,-11l7750,11r57,-4l7869,5r66,1l8004,9r73,4l8153,19r79,6l8313,31r84,6l8482,43r87,4l8656,50r89,2l8834,51r89,-4l9012,40r88,-11l9119,110r11,73l9135,251r1,64l9132,379r-6,64l9118,511r-7,73l9105,665r-4,90l9100,856r,101l9096,1046r-6,79l9083,1197r-8,67l9069,1330r-4,66l9066,1465r5,76l9082,1625r18,94l9117,1810r9,88l9129,1981r-1,80l9122,2139r-7,74l9107,2285r-8,70l9093,2423r-2,67l9093,2555r7,63l9108,2678r2,63l9108,2807r-5,69l9096,2948r-8,74l9080,3100r-7,80l9070,3264r-1,86l9073,3439r10,92l9100,3625r-101,7l8903,3636r-93,3l8723,3639r-84,l8558,3637r-77,-3l8407,3631r-71,-3l8267,3626r-66,-2l8136,3623r-63,l8012,3625r-78,3l7854,3630r-82,l7690,3629r-84,-2l7522,3626r-84,-2l7354,3623r-84,-1l7187,3623r-82,2l7031,3626r-73,-3l6887,3617r-71,-7l6745,3603r-72,-7l6600,3590r-75,-2l6448,3589r-80,6l6285,3607r-87,18l6111,3642r-83,8l5949,3650r-76,-6l5799,3634r-72,-12l5656,3611r-71,-9l5514,3596r-72,1l5367,3606r-76,19l5213,3645r-75,11l5064,3659r-74,-2l4917,3651r-72,-9l4771,3633r-74,-9l4622,3617r-78,-3l4465,3616r-81,9l4296,3636r-80,5l4140,3642r-72,-3l3998,3634r-68,-6l3862,3622r-69,-5l3722,3616r-75,2l3567,3625r-70,6l3427,3631r-71,-4l3285,3619r-72,-9l3139,3600r-75,-9l2987,3584r-78,-3l2828,3582r-84,7l2658,3603r-89,22l2474,3649r-89,14l2300,3669r-80,-1l2144,3662r-74,-9l1999,3643r-68,-11l1863,3624r-67,-5l1729,3619r-67,6l1620,3631r-48,3l1519,3637r-59,1l1396,3638r-68,-1l1255,3635r-76,-2l1099,3630r-82,-3l932,3624r-88,-3l755,3619r-90,-3l574,3615r-92,-1l390,3613r-91,1l208,3617r-90,3l29,3625,18,3541r-6,-84l12,3374r3,-82l22,3212r8,-79l38,3056r8,-74l52,2910r2,-69l52,2775r-8,-62l29,2654,13,2589,4,2516,,2438r1,-83l5,2269r6,-88l18,2092r7,-88l31,1917r4,-83l34,1756r-5,-73l26,1641r-3,-49l21,1538r,-60l21,1413r,-69l23,1270r1,-77l26,1113r3,-84l31,943r2,-88l35,765r2,-91l38,582r1,-93l39,396,38,303,36,211,33,119,29,29xe" filled="f" strokecolor="#36a6bb" strokeweight="3.5pt">
                <v:stroke joinstyle="round"/>
                <v:formulas/>
                <v:path arrowok="t" o:connecttype="custom" o:connectlocs="266555,192497;549925,221572;850110,221572;1155900,254657;1418718,203525;1700220,224579;1981721,207535;2238311,222574;2560294,220569;2826226,198512;3069115,220569;3389852,237613;3680073,212548;3992714,215556;4276707,226585;4528937,239618;4793624,209541;5030284,204528;5336697,238616;5667400,220569;5683592,635640;5667400,1150969;5645602,1591105;5683592,2094404;5666777,2552586;5673627,2939584;5650584,3379720;5604498,3832889;5281892,3834894;5027793,3823865;4736950,3827876;4424931,3825871;4155885,3796796;3860060,3825871;3566725,3822863;3295188,3825871;3017423,3842915;2730316,3825871;2447569,3828878;2177901,3831886;1908232,3791783;1599950,3825871;1289178,3853943;1035079,3825871;827067,3837902;525636,3821860;186215,3814842;7473,3574221;32385,3109021;2491,2714002;15570,2200678;14324,1787612;14947,1387580;23043,867237;20552,310802" o:connectangles="0,0,0,0,0,0,0,0,0,0,0,0,0,0,0,0,0,0,0,0,0,0,0,0,0,0,0,0,0,0,0,0,0,0,0,0,0,0,0,0,0,0,0,0,0,0,0,0,0,0,0,0,0,0,0" textboxrect="0,0,9136,3670"/>
                <v:textbox>
                  <w:txbxContent>
                    <w:p w14:paraId="6FB366D8" w14:textId="77777777" w:rsidR="00153F72" w:rsidRPr="0058387D" w:rsidRDefault="00153F72" w:rsidP="007D2058">
                      <w:pPr>
                        <w:pStyle w:val="NoSpacing"/>
                        <w:spacing w:before="240"/>
                        <w:jc w:val="left"/>
                        <w:rPr>
                          <w:b/>
                          <w:bCs/>
                          <w:color w:val="1A3E5F" w:themeColor="accent1" w:themeShade="80"/>
                        </w:rPr>
                      </w:pPr>
                      <w:r w:rsidRPr="0058387D">
                        <w:rPr>
                          <w:b/>
                          <w:bCs/>
                          <w:color w:val="1A3E5F" w:themeColor="accent1" w:themeShade="80"/>
                        </w:rPr>
                        <w:t xml:space="preserve">Example of promising practice – Coordination and information sharing across regions </w:t>
                      </w:r>
                    </w:p>
                    <w:p w14:paraId="507D6FE4" w14:textId="77777777" w:rsidR="00153F72" w:rsidRDefault="00153F72" w:rsidP="00153F72">
                      <w:pPr>
                        <w:pStyle w:val="NoSpacing"/>
                      </w:pPr>
                      <w:r w:rsidRPr="00C22550">
                        <w:t xml:space="preserve">At a regional evaluation site, a group of non-Indigenous organisations established a system partner liaison group to share information about what each organisation was doing, and on shared issues of interest. This was not a decision-making or planning group but focused on supporting communication and coordination and, ultimately, on reducing fragmentation or inconsistency in the experience of ACCHSs and clients. The group </w:t>
                      </w:r>
                      <w:r>
                        <w:t>was</w:t>
                      </w:r>
                      <w:r w:rsidRPr="00C22550">
                        <w:t xml:space="preserve"> established to address challenges reported by ACCHSs – primarily that funding partners worked in disjointed ways and that this impacts directly on the work of ACCHSs.</w:t>
                      </w:r>
                    </w:p>
                    <w:p w14:paraId="773A6EBE" w14:textId="3F5D6C72" w:rsidR="00153F72" w:rsidRDefault="00153F72" w:rsidP="00153F72">
                      <w:pPr>
                        <w:pStyle w:val="NoSpacing"/>
                      </w:pPr>
                      <w:r>
                        <w:t>In a remote evaluation site, three ACCHSs established an alliance with staff and a board of directors to manage regional projects, apply for funding, coordinate research projects, and advocate and make representation to government. This enabled the health services to focus on their core function of providing primary care services. The alliance has given the services a stronger collective voice at regional forums. It’s been built on ‘trust, common goals, continuous meaningful consultation and delivery’ (CEO of the alliance). The alliance operates on funding received from non-government sources, including lotteries and the extractives sector. This funding is welcome, but the security of operational funding is also a challenge.</w:t>
                      </w:r>
                      <w:r w:rsidR="00AA35E2">
                        <w:t xml:space="preserve"> </w:t>
                      </w:r>
                    </w:p>
                    <w:p w14:paraId="17B764F7" w14:textId="77777777" w:rsidR="00153F72" w:rsidRDefault="00153F72" w:rsidP="00153F72">
                      <w:pPr>
                        <w:pStyle w:val="NoSpacing"/>
                      </w:pPr>
                      <w:r>
                        <w:t xml:space="preserve"> </w:t>
                      </w:r>
                    </w:p>
                    <w:p w14:paraId="71A9079B" w14:textId="77777777" w:rsidR="00153F72" w:rsidRPr="00C22550" w:rsidRDefault="00153F72" w:rsidP="00153F72">
                      <w:pPr>
                        <w:pStyle w:val="NoSpacing"/>
                      </w:pPr>
                      <w:r w:rsidRPr="00C22550">
                        <w:t xml:space="preserve"> </w:t>
                      </w:r>
                    </w:p>
                    <w:p w14:paraId="7C95C821" w14:textId="77777777" w:rsidR="00153F72" w:rsidRDefault="00153F72" w:rsidP="00153F72">
                      <w:pPr>
                        <w:pStyle w:val="NoSpacing"/>
                        <w:spacing w:before="240"/>
                        <w:rPr>
                          <w:b/>
                          <w:bCs/>
                          <w:color w:val="357DBE" w:themeColor="accent1"/>
                        </w:rPr>
                      </w:pPr>
                    </w:p>
                  </w:txbxContent>
                </v:textbox>
                <w10:anchorlock/>
              </v:shape>
            </w:pict>
          </mc:Fallback>
        </mc:AlternateContent>
      </w:r>
    </w:p>
    <w:p w14:paraId="42CBB267" w14:textId="77777777" w:rsidR="00153F72" w:rsidRDefault="00153F72" w:rsidP="00153F72">
      <w:pPr>
        <w:jc w:val="left"/>
        <w:rPr>
          <w:b/>
          <w:bCs/>
          <w:color w:val="9E6047" w:themeColor="accent3"/>
          <w:sz w:val="36"/>
          <w:szCs w:val="36"/>
          <w:lang w:val="en-NZ"/>
        </w:rPr>
      </w:pPr>
      <w:r>
        <w:br w:type="page"/>
      </w:r>
    </w:p>
    <w:p w14:paraId="1B87E8C5" w14:textId="77777777" w:rsidR="00153F72" w:rsidRPr="00884FAA" w:rsidRDefault="00153F72" w:rsidP="0035030F">
      <w:pPr>
        <w:pStyle w:val="Heading2"/>
      </w:pPr>
      <w:bookmarkStart w:id="326" w:name="_Toc137208944"/>
      <w:r w:rsidRPr="00884FAA">
        <w:lastRenderedPageBreak/>
        <w:t>Enhance the use of knowledge and information</w:t>
      </w:r>
      <w:bookmarkEnd w:id="326"/>
    </w:p>
    <w:p w14:paraId="47F98EC1" w14:textId="77777777" w:rsidR="00153F72" w:rsidRPr="00884FAA" w:rsidRDefault="00153F72" w:rsidP="00153F72">
      <w:r w:rsidRPr="00884FAA">
        <w:t xml:space="preserve">Participants discussed opportunities to improve the use and transfer of knowledge and information under the IAHP and across the PHC system. People reported some of the perceived shortcomings related to current data systems, such as reporting requirements being too onerous and KPIs not being directly relevant from a health service operational and clinical sense. </w:t>
      </w:r>
    </w:p>
    <w:p w14:paraId="4BE65D00" w14:textId="77777777" w:rsidR="00153F72" w:rsidRPr="00A1178E" w:rsidRDefault="00153F72" w:rsidP="00153F72">
      <w:pPr>
        <w:pStyle w:val="Quote"/>
        <w:spacing w:after="0"/>
        <w:rPr>
          <w:color w:val="18525E" w:themeColor="accent5" w:themeShade="80"/>
        </w:rPr>
      </w:pPr>
      <w:r w:rsidRPr="00A1178E">
        <w:rPr>
          <w:color w:val="18525E" w:themeColor="accent5" w:themeShade="80"/>
        </w:rPr>
        <w:t>We see them [nKPIs] purely as a means to secure IAHP funding. But there's no clinical need. So it's an administrative burden with no positive impact on patient outcomes.</w:t>
      </w:r>
    </w:p>
    <w:p w14:paraId="5F8AAF80" w14:textId="77777777" w:rsidR="00153F72" w:rsidRPr="00B8013A" w:rsidRDefault="00153F72" w:rsidP="00153F72">
      <w:pPr>
        <w:spacing w:before="120"/>
        <w:jc w:val="right"/>
        <w:rPr>
          <w:b/>
        </w:rPr>
      </w:pPr>
      <w:r w:rsidRPr="00B8013A">
        <w:rPr>
          <w:b/>
        </w:rPr>
        <w:t xml:space="preserve">State or territory government health service </w:t>
      </w:r>
    </w:p>
    <w:p w14:paraId="667BADEB" w14:textId="77777777" w:rsidR="00153F72" w:rsidRPr="00884FAA" w:rsidRDefault="00153F72" w:rsidP="00153F72">
      <w:r w:rsidRPr="00884FAA">
        <w:t xml:space="preserve">More than this, however participants </w:t>
      </w:r>
      <w:r>
        <w:t xml:space="preserve">identified an opportunity </w:t>
      </w:r>
      <w:r w:rsidRPr="00884FAA">
        <w:t xml:space="preserve">to turn knowledge and information systems on their head, to get much more serious about the use of data and information and </w:t>
      </w:r>
      <w:r>
        <w:t xml:space="preserve">to </w:t>
      </w:r>
      <w:r w:rsidRPr="00884FAA">
        <w:t>build a different culture around the use of data. These ideas</w:t>
      </w:r>
      <w:r>
        <w:t xml:space="preserve"> </w:t>
      </w:r>
      <w:r w:rsidRPr="00884FAA">
        <w:t>came from a small number of participants with specialist knowledge of information systems and use, and an understanding of the capability of new information technologies.</w:t>
      </w:r>
    </w:p>
    <w:p w14:paraId="31CC0A35" w14:textId="77777777" w:rsidR="00153F72" w:rsidRPr="00884FAA" w:rsidRDefault="00153F72" w:rsidP="00153F72">
      <w:r w:rsidRPr="00884FAA">
        <w:t xml:space="preserve">Reflecting on the current system, including the IAHP, participants described top-down funding systems and requirements that drove the approach to the collection and use of data and influenced the approach and behaviour of health professionals in the delivery of health care. For example, output-based funding systems based on episodes of care that incentivise health services to see clients regularly. </w:t>
      </w:r>
    </w:p>
    <w:p w14:paraId="7BB05410" w14:textId="77777777" w:rsidR="00153F72" w:rsidRPr="00A1178E" w:rsidRDefault="00153F72" w:rsidP="00153F72">
      <w:pPr>
        <w:pStyle w:val="Quote"/>
        <w:spacing w:after="0"/>
        <w:rPr>
          <w:color w:val="18525E" w:themeColor="accent5" w:themeShade="80"/>
        </w:rPr>
      </w:pPr>
      <w:r w:rsidRPr="00A1178E">
        <w:rPr>
          <w:color w:val="18525E" w:themeColor="accent5" w:themeShade="80"/>
        </w:rPr>
        <w:t>You constantly say to them [clients], you need to come back in, you need to come back in. Ultimately, what I'm feeding is my dashboard to show that we engage with the patients.</w:t>
      </w:r>
    </w:p>
    <w:p w14:paraId="3695EE96" w14:textId="77777777" w:rsidR="00153F72" w:rsidRPr="00A615B4" w:rsidRDefault="00153F72" w:rsidP="00153F72">
      <w:pPr>
        <w:jc w:val="right"/>
        <w:rPr>
          <w:b/>
          <w:bCs/>
        </w:rPr>
      </w:pPr>
      <w:r w:rsidRPr="00A615B4">
        <w:rPr>
          <w:b/>
          <w:bCs/>
        </w:rPr>
        <w:t xml:space="preserve">ACCHS, Regional location </w:t>
      </w:r>
    </w:p>
    <w:p w14:paraId="30EEC53D" w14:textId="77777777" w:rsidR="00153F72" w:rsidRPr="00884FAA" w:rsidRDefault="00153F72" w:rsidP="00153F72">
      <w:r w:rsidRPr="00884FAA">
        <w:t xml:space="preserve">The proposed solution </w:t>
      </w:r>
      <w:r>
        <w:t>is to re</w:t>
      </w:r>
      <w:r w:rsidRPr="00884FAA">
        <w:t>build the system based on data ‘from the ground up’ that reflects what communities value about health care and their needs; use data on a true understanding of need to drive programs, services and funding systems; and incentivise health professionals to record accurate data and to focus on addressing needs to achieve health outcomes (rather than capture and report on the activity supporting those outcomes).</w:t>
      </w:r>
    </w:p>
    <w:p w14:paraId="53117958" w14:textId="77777777" w:rsidR="00153F72" w:rsidRPr="00A1178E" w:rsidRDefault="00153F72" w:rsidP="00153F72">
      <w:pPr>
        <w:pStyle w:val="Quote"/>
        <w:spacing w:after="0"/>
        <w:rPr>
          <w:color w:val="18525E" w:themeColor="accent5" w:themeShade="80"/>
        </w:rPr>
      </w:pPr>
      <w:r w:rsidRPr="00A1178E">
        <w:rPr>
          <w:color w:val="18525E" w:themeColor="accent5" w:themeShade="80"/>
        </w:rPr>
        <w:t>My model … was to go away from funding, was to see the patient less but do more when they attend.</w:t>
      </w:r>
    </w:p>
    <w:p w14:paraId="60690A0C" w14:textId="77777777" w:rsidR="00153F72" w:rsidRPr="00A615B4" w:rsidRDefault="00153F72" w:rsidP="00153F72">
      <w:pPr>
        <w:jc w:val="right"/>
        <w:rPr>
          <w:b/>
          <w:bCs/>
        </w:rPr>
      </w:pPr>
      <w:r w:rsidRPr="00A615B4">
        <w:rPr>
          <w:b/>
          <w:bCs/>
        </w:rPr>
        <w:t xml:space="preserve">ACCHS, Regional location </w:t>
      </w:r>
    </w:p>
    <w:p w14:paraId="38B34979" w14:textId="77777777" w:rsidR="00153F72" w:rsidRPr="00A1178E" w:rsidRDefault="00153F72" w:rsidP="00153F72">
      <w:pPr>
        <w:pStyle w:val="Quote"/>
        <w:spacing w:before="240" w:after="0"/>
        <w:rPr>
          <w:color w:val="18525E" w:themeColor="accent5" w:themeShade="80"/>
        </w:rPr>
      </w:pPr>
      <w:r w:rsidRPr="00A1178E">
        <w:rPr>
          <w:color w:val="18525E" w:themeColor="accent5" w:themeShade="80"/>
        </w:rPr>
        <w:t>Then they get more done and less visits who wouldn't like that, right? You wouldn't like a holistic care model twice a year rather than [episodic care] 55 times a year?</w:t>
      </w:r>
    </w:p>
    <w:p w14:paraId="51167C00" w14:textId="77777777" w:rsidR="00153F72" w:rsidRPr="003E29E6" w:rsidRDefault="00153F72" w:rsidP="00153F72">
      <w:pPr>
        <w:spacing w:before="120"/>
        <w:jc w:val="right"/>
        <w:rPr>
          <w:b/>
          <w:bCs/>
        </w:rPr>
      </w:pPr>
      <w:r w:rsidRPr="003E29E6">
        <w:rPr>
          <w:b/>
          <w:bCs/>
        </w:rPr>
        <w:t xml:space="preserve">State or territory government health service </w:t>
      </w:r>
    </w:p>
    <w:p w14:paraId="669FEC0E" w14:textId="77777777" w:rsidR="00153F72" w:rsidRDefault="00153F72" w:rsidP="00153F72">
      <w:pPr>
        <w:jc w:val="left"/>
      </w:pPr>
      <w:r>
        <w:br w:type="page"/>
      </w:r>
    </w:p>
    <w:p w14:paraId="202FD00C" w14:textId="77777777" w:rsidR="00153F72" w:rsidRPr="00884FAA" w:rsidRDefault="00153F72" w:rsidP="00153F72">
      <w:r w:rsidRPr="00884FAA">
        <w:lastRenderedPageBreak/>
        <w:t>Participants discussed how data on addressing needs would provide more useful information to them, as health care professionals, and would be more useful for the department in terms of understanding the return on its investment and projected future needs. They also discussed related opportunities</w:t>
      </w:r>
      <w:r>
        <w:t>.</w:t>
      </w:r>
    </w:p>
    <w:p w14:paraId="654D129B" w14:textId="26AF8EDF" w:rsidR="00153F72" w:rsidRPr="00884FAA" w:rsidRDefault="00153F72" w:rsidP="00343EB2">
      <w:pPr>
        <w:numPr>
          <w:ilvl w:val="0"/>
          <w:numId w:val="19"/>
        </w:numPr>
        <w:spacing w:after="120"/>
      </w:pPr>
      <w:r w:rsidRPr="00884FAA">
        <w:t xml:space="preserve">Building a system that </w:t>
      </w:r>
      <w:r w:rsidRPr="00632E4D">
        <w:rPr>
          <w:b/>
          <w:bCs/>
        </w:rPr>
        <w:t>enables data to be used in real-time</w:t>
      </w:r>
      <w:r w:rsidRPr="00884FAA">
        <w:t xml:space="preserve"> for operational decisions, disease surveillance, clinical decision support</w:t>
      </w:r>
      <w:r>
        <w:t>,</w:t>
      </w:r>
      <w:r w:rsidRPr="00884FAA">
        <w:t xml:space="preserve"> and quality improvement. For quality improvement, real-time data </w:t>
      </w:r>
      <w:r w:rsidR="00051CA5">
        <w:t>were</w:t>
      </w:r>
      <w:r w:rsidR="00051CA5" w:rsidRPr="00884FAA">
        <w:t xml:space="preserve"> </w:t>
      </w:r>
      <w:r w:rsidRPr="00884FAA">
        <w:t xml:space="preserve">seen as particularly crucial in areas with high staff turnover where there is inconsistency in staff across nKPI reporting cycles and a corresponding lack of ownership of </w:t>
      </w:r>
      <w:r w:rsidR="00932823">
        <w:t>n</w:t>
      </w:r>
      <w:r w:rsidRPr="00884FAA">
        <w:t>KPIs.</w:t>
      </w:r>
    </w:p>
    <w:p w14:paraId="58CFB1A1" w14:textId="77777777" w:rsidR="00153F72" w:rsidRPr="00884FAA" w:rsidRDefault="00153F72" w:rsidP="00343EB2">
      <w:pPr>
        <w:numPr>
          <w:ilvl w:val="0"/>
          <w:numId w:val="19"/>
        </w:numPr>
        <w:spacing w:after="120"/>
      </w:pPr>
      <w:r w:rsidRPr="00884FAA">
        <w:t xml:space="preserve">Making the </w:t>
      </w:r>
      <w:r w:rsidRPr="00632E4D">
        <w:rPr>
          <w:b/>
          <w:bCs/>
        </w:rPr>
        <w:t>funding system more responsive to the data</w:t>
      </w:r>
      <w:r w:rsidRPr="00884FAA">
        <w:t xml:space="preserve"> by connecting it to burden of disease, including funding systems being responsive to changes in burden of disease.</w:t>
      </w:r>
    </w:p>
    <w:p w14:paraId="32DE47DA" w14:textId="77777777" w:rsidR="00153F72" w:rsidRPr="00884FAA" w:rsidRDefault="00153F72" w:rsidP="00343EB2">
      <w:pPr>
        <w:numPr>
          <w:ilvl w:val="0"/>
          <w:numId w:val="19"/>
        </w:numPr>
        <w:spacing w:after="120"/>
      </w:pPr>
      <w:r w:rsidRPr="00884FAA">
        <w:t xml:space="preserve">Establishing </w:t>
      </w:r>
      <w:r w:rsidRPr="00632E4D">
        <w:rPr>
          <w:b/>
          <w:bCs/>
        </w:rPr>
        <w:t>systems to link PHC data with hospital service data</w:t>
      </w:r>
      <w:r w:rsidRPr="00884FAA">
        <w:t xml:space="preserve"> in each jurisdiction in real-time through health information exchange technology platforms. This was described as ‘the future state we need to get to’. But it was also acknowledged that the technology exists to do this now and participants cited the Lumos program in NSW, funded under the Australian Government’s Health Innovation Fund, that links general practice data with hospital data and provides insights on the patient journey through the system.</w:t>
      </w:r>
      <w:r w:rsidRPr="00884FAA">
        <w:rPr>
          <w:rStyle w:val="FootnoteReference"/>
        </w:rPr>
        <w:footnoteReference w:id="80"/>
      </w:r>
    </w:p>
    <w:p w14:paraId="14775249" w14:textId="2346D522" w:rsidR="00153F72" w:rsidRPr="00884FAA" w:rsidRDefault="00153F72" w:rsidP="00153F72">
      <w:r w:rsidRPr="00884FAA">
        <w:t xml:space="preserve">Participants acknowledged that suggested changes </w:t>
      </w:r>
      <w:r>
        <w:t xml:space="preserve">to how services engage with data </w:t>
      </w:r>
      <w:r w:rsidRPr="00884FAA">
        <w:t xml:space="preserve">will require a level of sophistication but that there are also sufficient people with the appropriate capability to utilise a more sophisticated </w:t>
      </w:r>
      <w:r>
        <w:t xml:space="preserve">data </w:t>
      </w:r>
      <w:r w:rsidRPr="00884FAA">
        <w:t xml:space="preserve">system. It would require building a stronger culture of learning in health services and across the entire system, including within the department, where data is used in a strengths-based way. </w:t>
      </w:r>
      <w:r>
        <w:t>I</w:t>
      </w:r>
      <w:r w:rsidRPr="00884FAA">
        <w:t xml:space="preserve">t would </w:t>
      </w:r>
      <w:r>
        <w:t xml:space="preserve">also </w:t>
      </w:r>
      <w:r w:rsidRPr="00884FAA">
        <w:t xml:space="preserve">require working through privacy considerations and an effective governance structure with strong Aboriginal and Torres Strait Islander representation. However, they were adamant that </w:t>
      </w:r>
      <w:r w:rsidRPr="0058387D">
        <w:rPr>
          <w:i/>
          <w:iCs/>
          <w:color w:val="1A3E5F" w:themeColor="accent1" w:themeShade="80"/>
        </w:rPr>
        <w:t>‘this is where we need to get to’</w:t>
      </w:r>
      <w:r w:rsidRPr="00884FAA">
        <w:t>.</w:t>
      </w:r>
      <w:r w:rsidR="00131DE8">
        <w:rPr>
          <w:rStyle w:val="FootnoteReference"/>
        </w:rPr>
        <w:footnoteReference w:id="81"/>
      </w:r>
    </w:p>
    <w:p w14:paraId="409C7710" w14:textId="577898ED" w:rsidR="00153F72" w:rsidRPr="00884FAA" w:rsidRDefault="00011018" w:rsidP="00153F72">
      <w:r>
        <w:t>S</w:t>
      </w:r>
      <w:r w:rsidR="00153F72" w:rsidRPr="00884FAA">
        <w:t>uggestions on how to enable better use of knowledge and information include:</w:t>
      </w:r>
    </w:p>
    <w:p w14:paraId="4D9071A9" w14:textId="4DD3078C" w:rsidR="00153F72" w:rsidRPr="00884FAA" w:rsidRDefault="00153F72" w:rsidP="00C040B6">
      <w:pPr>
        <w:numPr>
          <w:ilvl w:val="0"/>
          <w:numId w:val="19"/>
        </w:numPr>
        <w:spacing w:after="120"/>
        <w:ind w:left="714" w:hanging="357"/>
      </w:pPr>
      <w:r w:rsidRPr="00884FAA">
        <w:t xml:space="preserve">Strengthening </w:t>
      </w:r>
      <w:r w:rsidRPr="00A93454">
        <w:rPr>
          <w:b/>
          <w:bCs/>
        </w:rPr>
        <w:t>recognition and use of community expertise</w:t>
      </w:r>
      <w:r w:rsidRPr="00884FAA">
        <w:t>, including valuing the relationships, connections</w:t>
      </w:r>
      <w:r>
        <w:t>,</w:t>
      </w:r>
      <w:r w:rsidRPr="00884FAA">
        <w:t xml:space="preserve"> and knowledge about community leverage points that Aboriginal </w:t>
      </w:r>
      <w:r w:rsidR="00AF26E1">
        <w:t>and Torres Strait Islander H</w:t>
      </w:r>
      <w:r w:rsidRPr="00884FAA">
        <w:t xml:space="preserve">ealth </w:t>
      </w:r>
      <w:r w:rsidR="00AF26E1">
        <w:t>W</w:t>
      </w:r>
      <w:r w:rsidRPr="00884FAA">
        <w:t xml:space="preserve">orkers and </w:t>
      </w:r>
      <w:r w:rsidR="00AF26E1">
        <w:t>H</w:t>
      </w:r>
      <w:r w:rsidRPr="00884FAA">
        <w:t xml:space="preserve">ealth </w:t>
      </w:r>
      <w:r w:rsidR="00AF26E1">
        <w:t>P</w:t>
      </w:r>
      <w:r w:rsidRPr="00884FAA">
        <w:t>ractitioners bring to a service: ‘You couldn’t buy that for $1 million’.</w:t>
      </w:r>
    </w:p>
    <w:p w14:paraId="396539DC" w14:textId="77777777" w:rsidR="00153F72" w:rsidRPr="00884FAA" w:rsidRDefault="00153F72" w:rsidP="00343EB2">
      <w:pPr>
        <w:numPr>
          <w:ilvl w:val="0"/>
          <w:numId w:val="19"/>
        </w:numPr>
        <w:spacing w:after="120"/>
      </w:pPr>
      <w:r w:rsidRPr="00A93454">
        <w:rPr>
          <w:b/>
          <w:bCs/>
        </w:rPr>
        <w:t>Reinvigorating CQI activities</w:t>
      </w:r>
      <w:r w:rsidRPr="00884FAA">
        <w:t>. Participants reported that CQI activity had digressed in many regions and suggested that it needed stronger championing from NACCHO, support with structure, tools and practice guides, and adequate release time and resourcing.</w:t>
      </w:r>
    </w:p>
    <w:p w14:paraId="7B69821D" w14:textId="77777777" w:rsidR="00153F72" w:rsidRPr="00884FAA" w:rsidRDefault="00153F72" w:rsidP="00343EB2">
      <w:pPr>
        <w:numPr>
          <w:ilvl w:val="0"/>
          <w:numId w:val="19"/>
        </w:numPr>
        <w:spacing w:after="120"/>
      </w:pPr>
      <w:r w:rsidRPr="00A93454">
        <w:rPr>
          <w:b/>
          <w:bCs/>
        </w:rPr>
        <w:t>Integrating government reporting requirements</w:t>
      </w:r>
      <w:r w:rsidRPr="00884FAA">
        <w:t xml:space="preserve"> into a single hub with standardised reporting measures.</w:t>
      </w:r>
    </w:p>
    <w:p w14:paraId="19B18088" w14:textId="77777777" w:rsidR="00153F72" w:rsidRPr="00884FAA" w:rsidRDefault="00153F72" w:rsidP="00153F72">
      <w:r w:rsidRPr="00884FAA">
        <w:lastRenderedPageBreak/>
        <w:t>Participants saw the opportunity for the IAHP to fund some of these improvements in information and knowledge systems as an alternative to business-as-usual which was not seen as particularly valuable. This included the opportunity to fund some pilot initiatives that could be scaled-up if successful.</w:t>
      </w:r>
    </w:p>
    <w:p w14:paraId="499CADC2" w14:textId="77777777" w:rsidR="00153F72" w:rsidRPr="00884FAA" w:rsidRDefault="00153F72" w:rsidP="00153F72"/>
    <w:p w14:paraId="1AC2C8D7" w14:textId="0900123C" w:rsidR="00153F72" w:rsidRPr="00884FAA" w:rsidRDefault="00153F72" w:rsidP="00153F72">
      <w:pPr>
        <w:jc w:val="left"/>
        <w:rPr>
          <w:b/>
          <w:caps/>
          <w:color w:val="9E6047" w:themeColor="accent3"/>
          <w:kern w:val="28"/>
          <w:sz w:val="40"/>
          <w:szCs w:val="48"/>
        </w:rPr>
      </w:pPr>
    </w:p>
    <w:p w14:paraId="59F35E95" w14:textId="77777777" w:rsidR="00127454" w:rsidRPr="00884FAA" w:rsidRDefault="00127454">
      <w:pPr>
        <w:jc w:val="left"/>
        <w:rPr>
          <w:rFonts w:eastAsiaTheme="majorEastAsia" w:cstheme="majorBidi"/>
          <w:b/>
          <w:caps/>
          <w:color w:val="357DBE" w:themeColor="accent1"/>
          <w:sz w:val="32"/>
          <w:szCs w:val="32"/>
        </w:rPr>
      </w:pPr>
    </w:p>
    <w:p w14:paraId="539DFFB0" w14:textId="7097C226" w:rsidR="005C17C6" w:rsidRDefault="005C17C6">
      <w:pPr>
        <w:jc w:val="left"/>
        <w:rPr>
          <w:b/>
          <w:caps/>
          <w:color w:val="9E6047" w:themeColor="accent3"/>
          <w:kern w:val="28"/>
          <w:sz w:val="40"/>
          <w:szCs w:val="48"/>
        </w:rPr>
      </w:pPr>
    </w:p>
    <w:p w14:paraId="0B485634" w14:textId="77777777" w:rsidR="00DD4E3C" w:rsidRPr="00884FAA" w:rsidRDefault="00DD4E3C" w:rsidP="003D4A7C">
      <w:pPr>
        <w:pStyle w:val="Heading1"/>
        <w:sectPr w:rsidR="00DD4E3C" w:rsidRPr="00884FAA" w:rsidSect="00100AA9">
          <w:pgSz w:w="11909" w:h="16834" w:code="9"/>
          <w:pgMar w:top="1440" w:right="1440" w:bottom="1440" w:left="1440" w:header="720" w:footer="720" w:gutter="0"/>
          <w:cols w:space="720"/>
          <w:titlePg/>
          <w:docGrid w:linePitch="360"/>
        </w:sectPr>
      </w:pPr>
    </w:p>
    <w:p w14:paraId="2FCA9CB0" w14:textId="155592E5" w:rsidR="00BE72FA" w:rsidRPr="00884FAA" w:rsidRDefault="00BE72FA" w:rsidP="0044691C">
      <w:pPr>
        <w:pStyle w:val="Bullet1"/>
        <w:ind w:left="425" w:firstLine="0"/>
        <w:rPr>
          <w:lang w:val="en-AU"/>
        </w:rPr>
      </w:pPr>
    </w:p>
    <w:p w14:paraId="44F11047" w14:textId="1E7884D5" w:rsidR="00301B1B" w:rsidRPr="00884FAA" w:rsidRDefault="00301B1B" w:rsidP="00DA6112">
      <w:pPr>
        <w:rPr>
          <w:color w:val="357DBE" w:themeColor="accent1"/>
        </w:rPr>
        <w:sectPr w:rsidR="00301B1B" w:rsidRPr="00884FAA" w:rsidSect="00100AA9">
          <w:pgSz w:w="11909" w:h="16834" w:code="9"/>
          <w:pgMar w:top="1440" w:right="1440" w:bottom="1440" w:left="1440" w:header="720" w:footer="720" w:gutter="0"/>
          <w:cols w:space="720"/>
          <w:titlePg/>
          <w:docGrid w:linePitch="360"/>
        </w:sectPr>
      </w:pPr>
      <w:bookmarkStart w:id="327" w:name="_Toc131630621"/>
      <w:bookmarkStart w:id="328" w:name="_Toc131630817"/>
      <w:r w:rsidRPr="00884FAA">
        <w:rPr>
          <w:noProof/>
        </w:rPr>
        <mc:AlternateContent>
          <mc:Choice Requires="wps">
            <w:drawing>
              <wp:anchor distT="0" distB="0" distL="114300" distR="114300" simplePos="0" relativeHeight="251657220" behindDoc="0" locked="1" layoutInCell="1" allowOverlap="1" wp14:anchorId="108C9688" wp14:editId="5636CD8D">
                <wp:simplePos x="0" y="0"/>
                <wp:positionH relativeFrom="margin">
                  <wp:posOffset>-635</wp:posOffset>
                </wp:positionH>
                <wp:positionV relativeFrom="margin">
                  <wp:posOffset>869950</wp:posOffset>
                </wp:positionV>
                <wp:extent cx="5734050" cy="226758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5734050" cy="2267585"/>
                        </a:xfrm>
                        <a:prstGeom prst="rect">
                          <a:avLst/>
                        </a:prstGeom>
                        <a:noFill/>
                        <a:ln w="6350">
                          <a:noFill/>
                        </a:ln>
                      </wps:spPr>
                      <wps:txbx>
                        <w:txbxContent>
                          <w:p w14:paraId="4831DC8C" w14:textId="0282C28D" w:rsidR="00301B1B" w:rsidRPr="005444A1" w:rsidRDefault="009058DC" w:rsidP="005361DC">
                            <w:pPr>
                              <w:pStyle w:val="Partheading"/>
                            </w:pPr>
                            <w:bookmarkStart w:id="329" w:name="_Toc137208945"/>
                            <w:r>
                              <w:t>Part D</w:t>
                            </w:r>
                            <w:r w:rsidR="00301B1B">
                              <w:t xml:space="preserve">: </w:t>
                            </w:r>
                            <w:r w:rsidR="004170A1">
                              <w:t xml:space="preserve">Looking </w:t>
                            </w:r>
                            <w:r w:rsidR="006C6C1C">
                              <w:t>a</w:t>
                            </w:r>
                            <w:r w:rsidR="004170A1">
                              <w:t>head</w:t>
                            </w:r>
                            <w:bookmarkEnd w:id="329"/>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C9688" id="Text Box 10" o:spid="_x0000_s1100" type="#_x0000_t202" style="position:absolute;left:0;text-align:left;margin-left:-.05pt;margin-top:68.5pt;width:451.5pt;height:178.55pt;z-index:2516572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jm2GwIAADUEAAAOAAAAZHJzL2Uyb0RvYy54bWysU01v2zAMvQ/YfxB0X5zvdEacImuRYUDQ&#10;FkiHnhVZigXIoiYpsbNfP0rO17qdhl1kUqQfyfeo+X1ba3IQziswBR30+pQIw6FUZlfQ76+rT3eU&#10;+MBMyTQYUdCj8PR+8fHDvLG5GEIFuhSOIIjxeWMLWoVg8yzzvBI18z2wwmBQgqtZQNftstKxBtFr&#10;nQ37/WnWgCutAy68x9vHLkgXCV9KwcOzlF4EoguKvYV0unRu45kt5izfOWYrxU9tsH/oombKYNEL&#10;1CMLjOyd+gOqVtyBBxl6HOoMpFRcpBlwmkH/3TSbilmRZkFyvL3Q5P8fLH86bOyLI6H9Ai0KGAlp&#10;rM89XsZ5Wunq+MVOCcaRwuOFNtEGwvFyMhuN+xMMcYwNh9PZ5G4ScbLr79b58FVATaJRUIe6JLrY&#10;Ye1Dl3pOidUMrJTWSRttSFPQ6Qjxf4sguDZY49pstEK7bYkqCzqanSfZQnnEAR102nvLVwqbWDMf&#10;XphDsbFxXODwjIfUgMXgZFFSgfv5t/uYjxpglJIGl6eg/seeOUGJ/mZQnc+D8ThuW3LGk9kQHXcb&#10;2d5GzL5+ANzPAT4Vy5MZ84M+m9JB/YZ7voxVMcQMx9oF3Z7Nh9CtNL4TLpbLlIT7ZVlYm43lETqS&#10;Fyl+bd+YsycdAkr4BOc1Y/k7ObrcjvblPoBUSatIdMfqiX/czaT26R3F5b/1U9b1tS9+AQAA//8D&#10;AFBLAwQUAAYACAAAACEAkx+7a+AAAAAJAQAADwAAAGRycy9kb3ducmV2LnhtbEyPwU7DMBBE70j8&#10;g7VI3FonbYEmxKlQpYoTEi1UVW9OvE0i4nUUu0n4e5YTHHdmNPsm20y2FQP2vnGkIJ5HIJBKZxqq&#10;FHx+7GZrED5oMrp1hAq+0cMmv73JdGrcSHscDqESXEI+1QrqELpUSl/WaLWfuw6JvYvrrQ589pU0&#10;vR653LZyEUWP0uqG+EOtO9zWWH4drlbB2T4U/rItd2/H4XU87pen97o6KXV/N708gwg4hb8w/OIz&#10;OuTMVLgrGS9aBbOYgywvn3gS+0m0SEAUClbJKgaZZ/L/gvwHAAD//wMAUEsBAi0AFAAGAAgAAAAh&#10;ALaDOJL+AAAA4QEAABMAAAAAAAAAAAAAAAAAAAAAAFtDb250ZW50X1R5cGVzXS54bWxQSwECLQAU&#10;AAYACAAAACEAOP0h/9YAAACUAQAACwAAAAAAAAAAAAAAAAAvAQAAX3JlbHMvLnJlbHNQSwECLQAU&#10;AAYACAAAACEAe+o5thsCAAA1BAAADgAAAAAAAAAAAAAAAAAuAgAAZHJzL2Uyb0RvYy54bWxQSwEC&#10;LQAUAAYACAAAACEAkx+7a+AAAAAJAQAADwAAAAAAAAAAAAAAAAB1BAAAZHJzL2Rvd25yZXYueG1s&#10;UEsFBgAAAAAEAAQA8wAAAIIFAAAAAA==&#10;" filled="f" stroked="f" strokeweight=".5pt">
                <v:textbox>
                  <w:txbxContent>
                    <w:p w14:paraId="4831DC8C" w14:textId="0282C28D" w:rsidR="00301B1B" w:rsidRPr="005444A1" w:rsidRDefault="009058DC" w:rsidP="005361DC">
                      <w:pPr>
                        <w:pStyle w:val="Partheading"/>
                      </w:pPr>
                      <w:bookmarkStart w:id="330" w:name="_Toc137208945"/>
                      <w:r>
                        <w:t>Part D</w:t>
                      </w:r>
                      <w:r w:rsidR="00301B1B">
                        <w:t xml:space="preserve">: </w:t>
                      </w:r>
                      <w:r w:rsidR="004170A1">
                        <w:t xml:space="preserve">Looking </w:t>
                      </w:r>
                      <w:r w:rsidR="006C6C1C">
                        <w:t>a</w:t>
                      </w:r>
                      <w:r w:rsidR="004170A1">
                        <w:t>head</w:t>
                      </w:r>
                      <w:bookmarkEnd w:id="330"/>
                    </w:p>
                  </w:txbxContent>
                </v:textbox>
                <w10:wrap anchorx="margin" anchory="margin"/>
                <w10:anchorlock/>
              </v:shape>
            </w:pict>
          </mc:Fallback>
        </mc:AlternateContent>
      </w:r>
      <w:r w:rsidRPr="00884FAA">
        <w:rPr>
          <w:noProof/>
        </w:rPr>
        <w:drawing>
          <wp:anchor distT="0" distB="0" distL="114300" distR="114300" simplePos="0" relativeHeight="251657219" behindDoc="1" locked="1" layoutInCell="1" allowOverlap="1" wp14:anchorId="79A18DE6" wp14:editId="24727673">
            <wp:simplePos x="0" y="0"/>
            <wp:positionH relativeFrom="page">
              <wp:posOffset>3175</wp:posOffset>
            </wp:positionH>
            <wp:positionV relativeFrom="page">
              <wp:posOffset>0</wp:posOffset>
            </wp:positionV>
            <wp:extent cx="7546975" cy="10680700"/>
            <wp:effectExtent l="0" t="0" r="0" b="635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546975" cy="10680700"/>
                    </a:xfrm>
                    <a:prstGeom prst="rect">
                      <a:avLst/>
                    </a:prstGeom>
                  </pic:spPr>
                </pic:pic>
              </a:graphicData>
            </a:graphic>
            <wp14:sizeRelH relativeFrom="margin">
              <wp14:pctWidth>0</wp14:pctWidth>
            </wp14:sizeRelH>
            <wp14:sizeRelV relativeFrom="margin">
              <wp14:pctHeight>0</wp14:pctHeight>
            </wp14:sizeRelV>
          </wp:anchor>
        </w:drawing>
      </w:r>
      <w:bookmarkEnd w:id="327"/>
      <w:bookmarkEnd w:id="328"/>
    </w:p>
    <w:p w14:paraId="32F80776" w14:textId="4155388E" w:rsidR="00E03719" w:rsidRDefault="00BE45E1" w:rsidP="00C71700">
      <w:pPr>
        <w:pStyle w:val="Heading1"/>
        <w:numPr>
          <w:ilvl w:val="0"/>
          <w:numId w:val="0"/>
        </w:numPr>
        <w:ind w:left="720" w:hanging="720"/>
      </w:pPr>
      <w:bookmarkStart w:id="331" w:name="_Toc137208946"/>
      <w:r w:rsidRPr="00BE45E1">
        <w:rPr>
          <w:noProof/>
        </w:rPr>
        <w:lastRenderedPageBreak/>
        <w:drawing>
          <wp:anchor distT="0" distB="0" distL="114300" distR="114300" simplePos="0" relativeHeight="251658290" behindDoc="0" locked="1" layoutInCell="1" allowOverlap="0" wp14:anchorId="7117F7CB" wp14:editId="526FA5AA">
            <wp:simplePos x="0" y="0"/>
            <wp:positionH relativeFrom="column">
              <wp:posOffset>3326765</wp:posOffset>
            </wp:positionH>
            <wp:positionV relativeFrom="paragraph">
              <wp:posOffset>-774700</wp:posOffset>
            </wp:positionV>
            <wp:extent cx="3196590" cy="687070"/>
            <wp:effectExtent l="0" t="0" r="0" b="0"/>
            <wp:wrapNone/>
            <wp:docPr id="1100" name="Picture 1100">
              <a:extLst xmlns:a="http://schemas.openxmlformats.org/drawingml/2006/main">
                <a:ext uri="{FF2B5EF4-FFF2-40B4-BE49-F238E27FC236}">
                  <a16:creationId xmlns:a16="http://schemas.microsoft.com/office/drawing/2014/main" id="{A886C446-5A21-D47D-E8BC-CF2C56968F0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Picture 1100">
                      <a:extLst>
                        <a:ext uri="{FF2B5EF4-FFF2-40B4-BE49-F238E27FC236}">
                          <a16:creationId xmlns:a16="http://schemas.microsoft.com/office/drawing/2014/main" id="{A886C446-5A21-D47D-E8BC-CF2C56968F03}"/>
                        </a:ext>
                        <a:ext uri="{C183D7F6-B498-43B3-948B-1728B52AA6E4}">
                          <adec:decorative xmlns:adec="http://schemas.microsoft.com/office/drawing/2017/decorative" val="1"/>
                        </a:ext>
                      </a:extLst>
                    </pic:cNvPr>
                    <pic:cNvPicPr>
                      <a:picLocks noChangeAspect="1"/>
                    </pic:cNvPicPr>
                  </pic:nvPicPr>
                  <pic:blipFill>
                    <a:blip r:embed="rId146">
                      <a:extLst>
                        <a:ext uri="{96DAC541-7B7A-43D3-8B79-37D633B846F1}">
                          <asvg:svgBlip xmlns:asvg="http://schemas.microsoft.com/office/drawing/2016/SVG/main" r:embed="rId147"/>
                        </a:ext>
                      </a:extLst>
                    </a:blip>
                    <a:stretch>
                      <a:fillRect/>
                    </a:stretch>
                  </pic:blipFill>
                  <pic:spPr>
                    <a:xfrm>
                      <a:off x="0" y="0"/>
                      <a:ext cx="3196590" cy="687070"/>
                    </a:xfrm>
                    <a:prstGeom prst="rect">
                      <a:avLst/>
                    </a:prstGeom>
                  </pic:spPr>
                </pic:pic>
              </a:graphicData>
            </a:graphic>
            <wp14:sizeRelH relativeFrom="margin">
              <wp14:pctWidth>0</wp14:pctWidth>
            </wp14:sizeRelH>
            <wp14:sizeRelV relativeFrom="margin">
              <wp14:pctHeight>0</wp14:pctHeight>
            </wp14:sizeRelV>
          </wp:anchor>
        </w:drawing>
      </w:r>
      <w:r w:rsidR="00E03719">
        <w:t>O</w:t>
      </w:r>
      <w:r w:rsidR="00A5384E">
        <w:t>verview of Part D</w:t>
      </w:r>
      <w:bookmarkEnd w:id="331"/>
      <w:r w:rsidR="00A5384E">
        <w:t xml:space="preserve"> </w:t>
      </w:r>
    </w:p>
    <w:p w14:paraId="4C9F9C3B" w14:textId="5578B826" w:rsidR="00E03719" w:rsidRDefault="00FF129D" w:rsidP="0068426F">
      <w:r>
        <w:t xml:space="preserve">Part </w:t>
      </w:r>
      <w:r w:rsidR="00280459">
        <w:t>D</w:t>
      </w:r>
      <w:r>
        <w:t xml:space="preserve"> </w:t>
      </w:r>
      <w:r w:rsidR="00F217D6">
        <w:t>draws on the findings set out in Parts B and C to identify opportunities to</w:t>
      </w:r>
      <w:r w:rsidR="007E0AA1">
        <w:t xml:space="preserve"> strengthen the impact of the investment in primary health care for Aboriginal and Torres Strait Islander people through the IAHP</w:t>
      </w:r>
      <w:r>
        <w:t xml:space="preserve">. </w:t>
      </w:r>
      <w:r w:rsidR="007E0AA1">
        <w:t xml:space="preserve">Part D </w:t>
      </w:r>
      <w:r>
        <w:t>includes the following sections:</w:t>
      </w:r>
    </w:p>
    <w:p w14:paraId="6CEFB658" w14:textId="48BC5515" w:rsidR="00D269F8" w:rsidRPr="00D269F8" w:rsidRDefault="00D269F8" w:rsidP="00343EB2">
      <w:pPr>
        <w:numPr>
          <w:ilvl w:val="0"/>
          <w:numId w:val="19"/>
        </w:numPr>
        <w:spacing w:after="120"/>
      </w:pPr>
      <w:r w:rsidRPr="00D269F8">
        <w:rPr>
          <w:b/>
          <w:bCs/>
        </w:rPr>
        <w:t>Section 1</w:t>
      </w:r>
      <w:r w:rsidR="00321B44">
        <w:rPr>
          <w:b/>
          <w:bCs/>
        </w:rPr>
        <w:t>0</w:t>
      </w:r>
      <w:r w:rsidRPr="00D269F8">
        <w:rPr>
          <w:b/>
          <w:bCs/>
        </w:rPr>
        <w:t xml:space="preserve"> – Evaluative assessment</w:t>
      </w:r>
      <w:r>
        <w:t xml:space="preserve"> </w:t>
      </w:r>
      <w:r w:rsidR="003B2095">
        <w:t>provide</w:t>
      </w:r>
      <w:r w:rsidR="004A6A8C">
        <w:t>s</w:t>
      </w:r>
      <w:r w:rsidR="003B2095">
        <w:t xml:space="preserve"> </w:t>
      </w:r>
      <w:r w:rsidR="00CA6E8D">
        <w:t>explicit answer</w:t>
      </w:r>
      <w:r w:rsidR="004A6A8C">
        <w:t>s</w:t>
      </w:r>
      <w:r w:rsidR="00CA6E8D">
        <w:t xml:space="preserve"> to the 4 KEQs and </w:t>
      </w:r>
      <w:r w:rsidR="003B2095">
        <w:t>consider</w:t>
      </w:r>
      <w:r w:rsidR="004A6A8C">
        <w:t>s</w:t>
      </w:r>
      <w:r w:rsidR="003B2095">
        <w:t xml:space="preserve"> the overall appropriateness and effectiveness of the IAHP.</w:t>
      </w:r>
    </w:p>
    <w:p w14:paraId="37F49078" w14:textId="60BCDDA3" w:rsidR="00FF129D" w:rsidRDefault="00FF129D" w:rsidP="00343EB2">
      <w:pPr>
        <w:numPr>
          <w:ilvl w:val="0"/>
          <w:numId w:val="19"/>
        </w:numPr>
        <w:spacing w:after="120"/>
      </w:pPr>
      <w:r w:rsidRPr="007B1396">
        <w:rPr>
          <w:b/>
          <w:bCs/>
        </w:rPr>
        <w:t xml:space="preserve">Section </w:t>
      </w:r>
      <w:r w:rsidR="00F217D6" w:rsidRPr="007B1396">
        <w:rPr>
          <w:b/>
          <w:bCs/>
        </w:rPr>
        <w:t>1</w:t>
      </w:r>
      <w:r w:rsidR="00321B44">
        <w:rPr>
          <w:b/>
          <w:bCs/>
        </w:rPr>
        <w:t>1</w:t>
      </w:r>
      <w:r w:rsidR="00F217D6" w:rsidRPr="007B1396">
        <w:rPr>
          <w:b/>
          <w:bCs/>
        </w:rPr>
        <w:t xml:space="preserve"> – </w:t>
      </w:r>
      <w:r w:rsidR="00321B44">
        <w:rPr>
          <w:b/>
          <w:bCs/>
        </w:rPr>
        <w:t>Implications of the evaluation findings</w:t>
      </w:r>
      <w:r w:rsidR="00A5384E">
        <w:t xml:space="preserve"> </w:t>
      </w:r>
      <w:r w:rsidR="00680ACD" w:rsidRPr="00680ACD">
        <w:t>discusses the implications of the evaluation findings for strengthening the appropriateness and effectiveness of comprehensive PHC systems for Aboriginal and Torres Strait Islander people, and for the IAHP and the context in which it operates.</w:t>
      </w:r>
    </w:p>
    <w:p w14:paraId="7F88BF96" w14:textId="526413C3" w:rsidR="00F217D6" w:rsidRPr="007B1396" w:rsidRDefault="00F217D6" w:rsidP="00343EB2">
      <w:pPr>
        <w:numPr>
          <w:ilvl w:val="0"/>
          <w:numId w:val="19"/>
        </w:numPr>
        <w:spacing w:after="120"/>
        <w:rPr>
          <w:b/>
          <w:bCs/>
        </w:rPr>
      </w:pPr>
      <w:r w:rsidRPr="007B1396">
        <w:rPr>
          <w:b/>
          <w:bCs/>
        </w:rPr>
        <w:t>Section 1</w:t>
      </w:r>
      <w:r w:rsidR="00321B44">
        <w:rPr>
          <w:b/>
          <w:bCs/>
        </w:rPr>
        <w:t>2</w:t>
      </w:r>
      <w:r w:rsidRPr="007B1396">
        <w:rPr>
          <w:b/>
          <w:bCs/>
        </w:rPr>
        <w:t xml:space="preserve"> – Recommendations </w:t>
      </w:r>
      <w:r w:rsidR="00DC1DD9" w:rsidRPr="007B1396">
        <w:t xml:space="preserve">supports continuing investment in the IAHP and </w:t>
      </w:r>
      <w:r w:rsidR="002A1D4A">
        <w:t xml:space="preserve">makes </w:t>
      </w:r>
      <w:r w:rsidR="00FD2AE4" w:rsidRPr="00C90C5B">
        <w:t xml:space="preserve">specific recommendations to improve the </w:t>
      </w:r>
      <w:r w:rsidR="008B7E5C">
        <w:t xml:space="preserve">implementation and </w:t>
      </w:r>
      <w:r w:rsidR="00DC1DD9" w:rsidRPr="00C90C5B">
        <w:t>operation of the IAHP</w:t>
      </w:r>
      <w:r w:rsidR="002A1D4A">
        <w:t xml:space="preserve"> to ensure it realises the program objectives</w:t>
      </w:r>
      <w:r w:rsidR="00DC1DD9" w:rsidRPr="00C90C5B">
        <w:t xml:space="preserve">. The key recommendations are connected to the </w:t>
      </w:r>
      <w:r w:rsidR="0004671B">
        <w:t>Priority Reforms</w:t>
      </w:r>
      <w:r w:rsidR="00DC1DD9" w:rsidRPr="00C90C5B">
        <w:t xml:space="preserve"> in the National Agreement on Closing the Gap to ensure that </w:t>
      </w:r>
      <w:r w:rsidR="00C90C5B" w:rsidRPr="00C90C5B">
        <w:t xml:space="preserve">the IAHP is closely aligned to priority </w:t>
      </w:r>
      <w:r w:rsidR="005D1F1F">
        <w:t xml:space="preserve">outcomes and </w:t>
      </w:r>
      <w:r w:rsidR="00C90C5B" w:rsidRPr="00C90C5B">
        <w:t>activity under the National Agreement</w:t>
      </w:r>
      <w:r w:rsidR="00C90C5B">
        <w:t xml:space="preserve">. </w:t>
      </w:r>
    </w:p>
    <w:p w14:paraId="12EE4A41" w14:textId="77777777" w:rsidR="007E0AA1" w:rsidRDefault="007E0AA1">
      <w:pPr>
        <w:jc w:val="left"/>
      </w:pPr>
    </w:p>
    <w:p w14:paraId="03A33D14" w14:textId="77777777" w:rsidR="007E0AA1" w:rsidRDefault="007E0AA1">
      <w:pPr>
        <w:jc w:val="left"/>
      </w:pPr>
    </w:p>
    <w:p w14:paraId="26B90CF1" w14:textId="1A211EB1" w:rsidR="00E03719" w:rsidRDefault="00E03719">
      <w:pPr>
        <w:jc w:val="left"/>
        <w:rPr>
          <w:b/>
          <w:caps/>
          <w:color w:val="9E6047" w:themeColor="accent3"/>
          <w:kern w:val="28"/>
          <w:sz w:val="40"/>
          <w:szCs w:val="48"/>
        </w:rPr>
      </w:pPr>
      <w:r>
        <w:br w:type="page"/>
      </w:r>
    </w:p>
    <w:p w14:paraId="55A6B19E" w14:textId="547F4775" w:rsidR="001D7A4A" w:rsidRPr="001D7A4A" w:rsidRDefault="001D7A4A" w:rsidP="00930BF4">
      <w:pPr>
        <w:pStyle w:val="Heading1"/>
        <w:ind w:left="1080" w:hanging="1080"/>
      </w:pPr>
      <w:bookmarkStart w:id="332" w:name="_Toc137208947"/>
      <w:r w:rsidRPr="001D7A4A">
        <w:rPr>
          <w:noProof/>
        </w:rPr>
        <w:lastRenderedPageBreak/>
        <w:drawing>
          <wp:anchor distT="0" distB="0" distL="114300" distR="114300" simplePos="0" relativeHeight="251657232" behindDoc="0" locked="0" layoutInCell="1" allowOverlap="1" wp14:anchorId="7C1D2698" wp14:editId="0382F1FF">
            <wp:simplePos x="0" y="0"/>
            <wp:positionH relativeFrom="column">
              <wp:posOffset>9441180</wp:posOffset>
            </wp:positionH>
            <wp:positionV relativeFrom="paragraph">
              <wp:posOffset>8571865</wp:posOffset>
            </wp:positionV>
            <wp:extent cx="1798955" cy="893445"/>
            <wp:effectExtent l="0" t="0" r="0" b="0"/>
            <wp:wrapNone/>
            <wp:docPr id="1832886418" name="Picture 1832886418">
              <a:extLst xmlns:a="http://schemas.openxmlformats.org/drawingml/2006/main">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86418" name="Picture 1832886418">
                      <a:extLst>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pic:cNvPr>
                    <pic:cNvPicPr>
                      <a:picLocks noChangeAspect="1"/>
                    </pic:cNvPicPr>
                  </pic:nvPicPr>
                  <pic:blipFill>
                    <a:blip r:embed="rId14"/>
                    <a:srcRect/>
                    <a:stretch/>
                  </pic:blipFill>
                  <pic:spPr>
                    <a:xfrm>
                      <a:off x="0" y="0"/>
                      <a:ext cx="1798955" cy="893445"/>
                    </a:xfrm>
                    <a:prstGeom prst="rect">
                      <a:avLst/>
                    </a:prstGeom>
                  </pic:spPr>
                </pic:pic>
              </a:graphicData>
            </a:graphic>
            <wp14:sizeRelV relativeFrom="margin">
              <wp14:pctHeight>0</wp14:pctHeight>
            </wp14:sizeRelV>
          </wp:anchor>
        </w:drawing>
      </w:r>
      <w:r w:rsidRPr="001D7A4A">
        <w:t xml:space="preserve">Evaluative </w:t>
      </w:r>
      <w:r w:rsidR="009A5A81">
        <w:t>Assessment</w:t>
      </w:r>
      <w:bookmarkEnd w:id="332"/>
    </w:p>
    <w:p w14:paraId="76F8E40B" w14:textId="48C6D97D" w:rsidR="001D7A4A" w:rsidRPr="001D7A4A" w:rsidRDefault="001D7A4A" w:rsidP="001D7A4A">
      <w:r w:rsidRPr="001D7A4A">
        <w:t>This section provides the overall answers to the KEQs. This section moves beyond what the evidence generated in the evaluation says</w:t>
      </w:r>
      <w:r w:rsidR="00BE7944">
        <w:t>,</w:t>
      </w:r>
      <w:r w:rsidRPr="001D7A4A">
        <w:t xml:space="preserve"> to what this evidence means for the evaluation </w:t>
      </w:r>
      <w:r w:rsidR="00DA780E">
        <w:t xml:space="preserve">of the </w:t>
      </w:r>
      <w:r w:rsidRPr="001D7A4A">
        <w:t xml:space="preserve">IAHP. </w:t>
      </w:r>
    </w:p>
    <w:p w14:paraId="45517E8B" w14:textId="77777777" w:rsidR="001D7A4A" w:rsidRPr="001D7A4A" w:rsidRDefault="001D7A4A" w:rsidP="0035030F">
      <w:pPr>
        <w:pStyle w:val="Heading2"/>
      </w:pPr>
      <w:bookmarkStart w:id="333" w:name="_Toc137151144"/>
      <w:bookmarkStart w:id="334" w:name="_Toc137208948"/>
      <w:r w:rsidRPr="001D7A4A">
        <w:t>The IAHP and its evaluation</w:t>
      </w:r>
      <w:bookmarkEnd w:id="333"/>
      <w:bookmarkEnd w:id="334"/>
    </w:p>
    <w:p w14:paraId="627080C5" w14:textId="77777777" w:rsidR="001D7A4A" w:rsidRPr="001D7A4A" w:rsidRDefault="001D7A4A" w:rsidP="001D7A4A">
      <w:r w:rsidRPr="001D7A4A">
        <w:t>The IAHP seeks to provide Aboriginal and Torres Strait Islander people with access to effective, high quality, comprehensive, and culturally appropriate PHC services in urban, regional and remote locations across Australia. The IAHP aims to improve: (1) the health of Aboriginal and Torres Strait Islander people; (2) access to high-quality, comprehensive and culturally safe and appropriate PHC; and (3) system level support to increase the effectiveness and efficiency of services for Aboriginal and Torres Strait Islander people.</w:t>
      </w:r>
    </w:p>
    <w:p w14:paraId="11090373" w14:textId="3B2CD7EC" w:rsidR="001D7A4A" w:rsidRPr="001D7A4A" w:rsidRDefault="001D7A4A" w:rsidP="001D7A4A">
      <w:r w:rsidRPr="001D7A4A">
        <w:t xml:space="preserve">Around 64% of the IAHP </w:t>
      </w:r>
      <w:r w:rsidR="005A4F86">
        <w:t xml:space="preserve">grant </w:t>
      </w:r>
      <w:r w:rsidRPr="001D7A4A">
        <w:t xml:space="preserve">funding (approximately $575 million per annum) is spent under a PHC Services funding stream which </w:t>
      </w:r>
      <w:r w:rsidRPr="00E30E44">
        <w:t xml:space="preserve">includes funding for the </w:t>
      </w:r>
      <w:r w:rsidR="000F7ACE" w:rsidRPr="00E30E44">
        <w:t>PHC Program</w:t>
      </w:r>
      <w:r w:rsidRPr="00E30E44">
        <w:t xml:space="preserve">, New Directions Expansion, Australian Nurse Family Partnership Program, and Connected Beginnings. The remaining 36% of IAHP </w:t>
      </w:r>
      <w:r w:rsidR="007D2058">
        <w:t xml:space="preserve">grant </w:t>
      </w:r>
      <w:r w:rsidRPr="00E30E44">
        <w:t xml:space="preserve">funding (approximately $320 million per annum) is spent across multiple programs and activities in </w:t>
      </w:r>
      <w:r w:rsidR="00E30E44" w:rsidRPr="00E30E44">
        <w:t>8</w:t>
      </w:r>
      <w:r w:rsidR="006D2482" w:rsidRPr="00E30E44">
        <w:t xml:space="preserve"> </w:t>
      </w:r>
      <w:r w:rsidRPr="00E30E44">
        <w:t>other funding streams. This includes programs to improve access to PHC, targeted health activities, the Tackling Indigenous Smoking program, mental health programs, and capital works programs</w:t>
      </w:r>
      <w:r w:rsidRPr="001D7A4A">
        <w:t>. The majority (70%) of IAHP funding goes to ACCHSs and other Aboriginal and Torres Strait Islander organisations.</w:t>
      </w:r>
    </w:p>
    <w:p w14:paraId="21D60C40" w14:textId="69561B35" w:rsidR="001D7A4A" w:rsidRDefault="001D7A4A" w:rsidP="001D7A4A">
      <w:r w:rsidRPr="001D7A4A">
        <w:t xml:space="preserve">The </w:t>
      </w:r>
      <w:r w:rsidR="000F7ACE">
        <w:t>PHC Program</w:t>
      </w:r>
      <w:r w:rsidRPr="001D7A4A">
        <w:t xml:space="preserve"> is the focus of this evaluation. However, the evaluation locates the </w:t>
      </w:r>
      <w:r w:rsidR="000F7ACE">
        <w:t>PHC Program</w:t>
      </w:r>
      <w:r w:rsidRPr="001D7A4A">
        <w:t xml:space="preserve"> within the context of the IAHP as a whole, and the wider PHC and health systems. This involves evaluating how the </w:t>
      </w:r>
      <w:r w:rsidR="000F7ACE">
        <w:t>PHC Program</w:t>
      </w:r>
      <w:r w:rsidRPr="001D7A4A">
        <w:t xml:space="preserve"> and the IAHP: (1) </w:t>
      </w:r>
      <w:r w:rsidRPr="001D7A4A">
        <w:rPr>
          <w:b/>
          <w:bCs/>
        </w:rPr>
        <w:t>enables</w:t>
      </w:r>
      <w:r w:rsidRPr="001D7A4A">
        <w:t xml:space="preserve"> health services to provide better comprehensive PHC for Aboriginal and Torres Strait Islander people; and (2) </w:t>
      </w:r>
      <w:r w:rsidRPr="001D7A4A">
        <w:rPr>
          <w:b/>
          <w:bCs/>
        </w:rPr>
        <w:t>interacts</w:t>
      </w:r>
      <w:r w:rsidRPr="001D7A4A">
        <w:t xml:space="preserve"> with and </w:t>
      </w:r>
      <w:r w:rsidRPr="001D7A4A">
        <w:rPr>
          <w:b/>
          <w:bCs/>
        </w:rPr>
        <w:t>influences</w:t>
      </w:r>
      <w:r w:rsidRPr="001D7A4A">
        <w:t xml:space="preserve"> other parts of the PHC and wider health systems to provide better comprehensive PHC for Aboriginal and Torres Strait Islander people.</w:t>
      </w:r>
      <w:r w:rsidR="00AA35E2">
        <w:t xml:space="preserve"> </w:t>
      </w:r>
    </w:p>
    <w:p w14:paraId="2F7189E8" w14:textId="31C44F57" w:rsidR="00171F4C" w:rsidRDefault="00171F4C">
      <w:pPr>
        <w:jc w:val="left"/>
      </w:pPr>
      <w:r>
        <w:br w:type="page"/>
      </w:r>
    </w:p>
    <w:p w14:paraId="2BA0B2F1" w14:textId="3488B292" w:rsidR="001D7A4A" w:rsidRPr="001D7A4A" w:rsidRDefault="00781675" w:rsidP="0035030F">
      <w:pPr>
        <w:pStyle w:val="Heading2"/>
      </w:pPr>
      <w:r>
        <w:lastRenderedPageBreak/>
        <w:t xml:space="preserve"> </w:t>
      </w:r>
      <w:bookmarkStart w:id="335" w:name="_Toc137151145"/>
      <w:bookmarkStart w:id="336" w:name="_Toc137208949"/>
      <w:r w:rsidR="001D7A4A" w:rsidRPr="001D7A4A">
        <w:t>Explicit answers to the evaluation questions</w:t>
      </w:r>
      <w:bookmarkEnd w:id="335"/>
      <w:bookmarkEnd w:id="336"/>
    </w:p>
    <w:p w14:paraId="178DA504" w14:textId="210DCCC2" w:rsidR="004F0B2D" w:rsidRPr="004F0B2D" w:rsidRDefault="001D7A4A" w:rsidP="004F0B2D">
      <w:pPr>
        <w:rPr>
          <w:lang w:val="en-NZ"/>
        </w:rPr>
      </w:pPr>
      <w:r w:rsidRPr="001D7A4A">
        <w:t xml:space="preserve">This section provides explicit answers to KEQs 1-4. These KEQs are the big picture questions about how well the IAHP is enabling the PHC system to work and the difference it is making. Answering these questions requires lifting the analysis of evidence up a level to consider the overall </w:t>
      </w:r>
      <w:r w:rsidR="004E3BC6">
        <w:t xml:space="preserve">appropriateness and effectiveness </w:t>
      </w:r>
      <w:r w:rsidRPr="001D7A4A">
        <w:t xml:space="preserve">of the IAHP. Providing explicit, and succinct, answers to the KEQs involved attenuating some of the complexity within the IAHP and the contexts in which it operates, to identify system-level changes and impacts consistent with the scope of the evaluation. </w:t>
      </w:r>
      <w:r w:rsidR="001432EB">
        <w:t>The</w:t>
      </w:r>
      <w:r w:rsidR="004F0B2D">
        <w:t xml:space="preserve"> evaluation </w:t>
      </w:r>
      <w:r w:rsidR="001432EB">
        <w:t>acknowledges that</w:t>
      </w:r>
      <w:r w:rsidR="004F0B2D">
        <w:t xml:space="preserve"> this risks</w:t>
      </w:r>
      <w:r w:rsidR="004F0B2D" w:rsidRPr="004F0B2D">
        <w:rPr>
          <w:lang w:val="en-NZ"/>
        </w:rPr>
        <w:t xml:space="preserve"> minimising some of the complex elements at play and the way </w:t>
      </w:r>
      <w:r w:rsidR="00C00B10">
        <w:rPr>
          <w:lang w:val="en-NZ"/>
        </w:rPr>
        <w:t>these elements interact</w:t>
      </w:r>
      <w:r w:rsidR="004F0B2D" w:rsidRPr="004F0B2D">
        <w:rPr>
          <w:lang w:val="en-NZ"/>
        </w:rPr>
        <w:t>.</w:t>
      </w:r>
    </w:p>
    <w:p w14:paraId="6FAA3317" w14:textId="77777777" w:rsidR="001D7A4A" w:rsidRPr="00C078C6" w:rsidRDefault="001D7A4A" w:rsidP="001D7A4A">
      <w:pPr>
        <w:keepNext/>
        <w:spacing w:before="360" w:line="240" w:lineRule="auto"/>
        <w:jc w:val="left"/>
        <w:outlineLvl w:val="5"/>
        <w:rPr>
          <w:rFonts w:cstheme="minorHAnsi"/>
          <w:b/>
          <w:bCs/>
          <w:color w:val="275D8E" w:themeColor="accent1" w:themeShade="BF"/>
          <w:sz w:val="24"/>
          <w:szCs w:val="24"/>
          <w:lang w:val="en-NZ"/>
        </w:rPr>
      </w:pPr>
      <w:r w:rsidRPr="00C078C6">
        <w:rPr>
          <w:rFonts w:cstheme="minorHAnsi"/>
          <w:b/>
          <w:bCs/>
          <w:color w:val="275D8E" w:themeColor="accent1" w:themeShade="BF"/>
          <w:sz w:val="24"/>
          <w:szCs w:val="24"/>
          <w:lang w:val="en-NZ"/>
        </w:rPr>
        <w:t>KEQ1: How well is the IAHP enabling the PHC system to work for Aboriginal and Torres Strait Islander people?</w:t>
      </w:r>
    </w:p>
    <w:p w14:paraId="6F76DE48" w14:textId="38DD10A6" w:rsidR="001D7A4A" w:rsidRPr="001D7A4A" w:rsidRDefault="001D7A4A" w:rsidP="001D7A4A">
      <w:r w:rsidRPr="001D7A4A">
        <w:t xml:space="preserve">By asking </w:t>
      </w:r>
      <w:r w:rsidRPr="001D7A4A">
        <w:rPr>
          <w:i/>
          <w:iCs/>
        </w:rPr>
        <w:t>how well</w:t>
      </w:r>
      <w:r w:rsidRPr="001D7A4A">
        <w:t xml:space="preserve"> the IAHP is enabling the system to work, KEQ1 is explicitly evaluative. The core of the question is how the IAHP, as a program, </w:t>
      </w:r>
      <w:r w:rsidRPr="001D7A4A">
        <w:rPr>
          <w:i/>
          <w:iCs/>
        </w:rPr>
        <w:t>enables</w:t>
      </w:r>
      <w:r w:rsidRPr="001D7A4A">
        <w:t xml:space="preserve">, or makes it possible, for the PHC system to work. The question, therefore, requires an understanding of how the IAHP interacts with the broader PHC system. Critically, the question is about the PHC system working </w:t>
      </w:r>
      <w:r w:rsidRPr="001D7A4A">
        <w:rPr>
          <w:i/>
          <w:iCs/>
        </w:rPr>
        <w:t>for Aboriginal and Torres Strait Islander people.</w:t>
      </w:r>
      <w:r w:rsidRPr="001D7A4A">
        <w:t xml:space="preserve"> This requires an understanding of what is important for Aboriginal and Torres Strait Islander people in terms of a PHC system</w:t>
      </w:r>
      <w:r w:rsidR="00684C00">
        <w:t>,</w:t>
      </w:r>
      <w:r w:rsidRPr="001D7A4A">
        <w:t xml:space="preserve"> an understanding of their experiences of </w:t>
      </w:r>
      <w:r w:rsidR="000F4C13">
        <w:t xml:space="preserve">the health system, and of the interactions between </w:t>
      </w:r>
      <w:r w:rsidR="000F4C13" w:rsidRPr="001D7A4A">
        <w:t xml:space="preserve">Aboriginal and Torres Strait Islander </w:t>
      </w:r>
      <w:r w:rsidR="000F4C13">
        <w:t>communities and the health system.</w:t>
      </w:r>
      <w:r w:rsidRPr="001D7A4A">
        <w:t xml:space="preserve"> </w:t>
      </w:r>
    </w:p>
    <w:p w14:paraId="651F1539" w14:textId="25CE19F0" w:rsidR="001D7A4A" w:rsidRPr="001D7A4A" w:rsidRDefault="001D7A4A" w:rsidP="001D7A4A">
      <w:r w:rsidRPr="001D7A4A">
        <w:t>The evaluation found that Aboriginal and Torres Strait Islander people value comprehensive PHC that is delivered seamlessly by health professionals who demonstrate an ethic of care and responsibility, and who understand and are responsive to local contexts.</w:t>
      </w:r>
      <w:r w:rsidRPr="001D7A4A" w:rsidDel="000B2CD9">
        <w:t xml:space="preserve"> </w:t>
      </w:r>
      <w:r w:rsidR="003748BA">
        <w:t xml:space="preserve">That is, </w:t>
      </w:r>
      <w:r w:rsidRPr="001D7A4A">
        <w:t>Aboriginal and Torres Strait Islander people value the type of health care that originally drove the community-led establishment of ACCHSs and continues to shape the models of care that ACCHSs strive to deliver.</w:t>
      </w:r>
      <w:r w:rsidR="00632FB9">
        <w:t xml:space="preserve"> </w:t>
      </w:r>
    </w:p>
    <w:p w14:paraId="747E0804" w14:textId="7048CF5A" w:rsidR="001D7A4A" w:rsidRPr="001D7A4A" w:rsidRDefault="001D7A4A" w:rsidP="001D7A4A">
      <w:r w:rsidRPr="001D7A4A">
        <w:t xml:space="preserve">Aboriginal and Torres Strait Islander people’s experiences of health care are diverse. Using what people value about health care as a benchmark, </w:t>
      </w:r>
      <w:r w:rsidRPr="00D26A6E">
        <w:t>the performance of the health system as a whole is inconsistent and is not meeting this standard</w:t>
      </w:r>
      <w:r w:rsidR="005F1B3D">
        <w:t xml:space="preserve"> overall</w:t>
      </w:r>
      <w:r w:rsidRPr="00D26A6E">
        <w:t>. However, people’s experiences are generally better in ACCHSs and the discordance is predominantly experienced when people move across health service systems and access specialist services and hospital-based care</w:t>
      </w:r>
      <w:r w:rsidRPr="001D7A4A">
        <w:t>. Therefore, through providing critical funding to ACCHSs, the IAHP enables this part of the PHC system to work better for Aboriginal and Torres Strait Islander people. There are still inconsistencies, however, in how well the IAHP is enabling funded organisations to deliver care that meets people’s needs.</w:t>
      </w:r>
    </w:p>
    <w:p w14:paraId="22067944" w14:textId="219B89C9" w:rsidR="001D7A4A" w:rsidRPr="001D7A4A" w:rsidRDefault="001D7A4A" w:rsidP="001D7A4A">
      <w:r w:rsidRPr="001D7A4A">
        <w:t xml:space="preserve">Critically, the IAHP </w:t>
      </w:r>
      <w:r w:rsidR="000F7ACE">
        <w:t>PHC Program</w:t>
      </w:r>
      <w:r w:rsidRPr="001D7A4A">
        <w:t xml:space="preserve"> funding provides </w:t>
      </w:r>
      <w:r w:rsidR="00BA137D">
        <w:t>medium</w:t>
      </w:r>
      <w:r w:rsidRPr="001D7A4A">
        <w:t xml:space="preserve">-term and stable funding that enables funded organisations, the majority of which are ACCHSs, to operate, employ health professionals and deliver services to Aboriginal and Torres Strait Islander people. </w:t>
      </w:r>
      <w:r w:rsidR="008E649A">
        <w:t xml:space="preserve">These services are mostly </w:t>
      </w:r>
      <w:r w:rsidRPr="001D7A4A">
        <w:t xml:space="preserve">delivered in ways that meet the needs of Aboriginal and Torres Strait Islander people better than mainstream health services. The IAHP also directly contributes to Aboriginal and Torres Strait Islander people being able to navigate the health system, primarily through the ITC program. This is </w:t>
      </w:r>
      <w:r w:rsidR="00D45D83">
        <w:t xml:space="preserve">an </w:t>
      </w:r>
      <w:r w:rsidRPr="001D7A4A">
        <w:t>important</w:t>
      </w:r>
      <w:r w:rsidR="00D45D83">
        <w:t xml:space="preserve"> contribution</w:t>
      </w:r>
      <w:r w:rsidRPr="001D7A4A" w:rsidDel="00D45D83">
        <w:t>,</w:t>
      </w:r>
      <w:r w:rsidRPr="001D7A4A">
        <w:t xml:space="preserve"> given the poor experiences </w:t>
      </w:r>
      <w:r w:rsidR="00D45D83">
        <w:lastRenderedPageBreak/>
        <w:t xml:space="preserve">Aboriginal and Torres Strait Islander </w:t>
      </w:r>
      <w:r w:rsidRPr="001D7A4A">
        <w:t xml:space="preserve">people reported when </w:t>
      </w:r>
      <w:r w:rsidR="00E92401">
        <w:t xml:space="preserve">accessing services and </w:t>
      </w:r>
      <w:r w:rsidRPr="001D7A4A">
        <w:t>moving across health service systems.</w:t>
      </w:r>
    </w:p>
    <w:p w14:paraId="216B53BF" w14:textId="7632DAE4" w:rsidR="00421EC0" w:rsidRDefault="00ED4752" w:rsidP="001D7A4A">
      <w:r>
        <w:t xml:space="preserve">The evaluation found that there are opportunities to increase the role of IAHP funding to enable the health system to deliver PHC that aligns with what Aboriginal and Torres Strait Islander people value. This evaluation identified two core factors that appear to constrain the realisation of this objective. </w:t>
      </w:r>
      <w:r w:rsidR="0012614F">
        <w:t>The first is that</w:t>
      </w:r>
      <w:r w:rsidR="001D7A4A" w:rsidRPr="001D7A4A" w:rsidDel="0012614F">
        <w:t xml:space="preserve"> </w:t>
      </w:r>
      <w:r w:rsidR="001D7A4A" w:rsidRPr="001D7A4A">
        <w:t>while the IAHP provides critical funding</w:t>
      </w:r>
      <w:r w:rsidR="0012614F">
        <w:t xml:space="preserve"> to ACCHSs</w:t>
      </w:r>
      <w:r w:rsidR="001D7A4A" w:rsidRPr="001D7A4A">
        <w:t xml:space="preserve">, the amount of funding does not consistently </w:t>
      </w:r>
      <w:r w:rsidR="003B651F">
        <w:t>enable</w:t>
      </w:r>
      <w:r w:rsidR="003B651F" w:rsidRPr="001D7A4A">
        <w:t xml:space="preserve"> </w:t>
      </w:r>
      <w:r w:rsidR="001D7A4A" w:rsidRPr="001D7A4A">
        <w:t xml:space="preserve">funded organisations to provide </w:t>
      </w:r>
      <w:r w:rsidR="002C6B82">
        <w:t xml:space="preserve">the </w:t>
      </w:r>
      <w:r w:rsidR="001D7A4A" w:rsidRPr="001D7A4A">
        <w:t xml:space="preserve">comprehensive PHC services that </w:t>
      </w:r>
      <w:r w:rsidR="003B651F">
        <w:t xml:space="preserve">are valued by </w:t>
      </w:r>
      <w:r w:rsidR="002C6B82">
        <w:t>Aboriginal and Torres Strait Islander people</w:t>
      </w:r>
      <w:r w:rsidR="003B651F">
        <w:t>.</w:t>
      </w:r>
      <w:r w:rsidR="00AA35E2">
        <w:t xml:space="preserve"> </w:t>
      </w:r>
      <w:r w:rsidR="001D7A4A" w:rsidRPr="001D7A4A">
        <w:t xml:space="preserve">For example, in practice, </w:t>
      </w:r>
      <w:r w:rsidR="000F7ACE">
        <w:t>PHC Program</w:t>
      </w:r>
      <w:r w:rsidR="001D7A4A" w:rsidRPr="001D7A4A">
        <w:t xml:space="preserve"> funding is </w:t>
      </w:r>
      <w:r w:rsidR="00BA069D">
        <w:t>mostly</w:t>
      </w:r>
      <w:r w:rsidR="00BA069D" w:rsidRPr="001D7A4A">
        <w:t xml:space="preserve"> </w:t>
      </w:r>
      <w:r w:rsidR="001D7A4A" w:rsidRPr="001D7A4A">
        <w:t>applied</w:t>
      </w:r>
      <w:r w:rsidR="002C6B82">
        <w:t xml:space="preserve"> by ACCH</w:t>
      </w:r>
      <w:r w:rsidR="004E48A6">
        <w:t xml:space="preserve">Ss </w:t>
      </w:r>
      <w:r w:rsidR="001D7A4A" w:rsidRPr="001D7A4A">
        <w:t xml:space="preserve">to the delivery of </w:t>
      </w:r>
      <w:r w:rsidR="00BA069D">
        <w:t xml:space="preserve">core </w:t>
      </w:r>
      <w:r w:rsidR="001D7A4A" w:rsidRPr="001D7A4A">
        <w:t xml:space="preserve">clinical PHC services. </w:t>
      </w:r>
    </w:p>
    <w:p w14:paraId="6D66EA43" w14:textId="77564876" w:rsidR="001D7A4A" w:rsidRPr="001D7A4A" w:rsidRDefault="00421EC0" w:rsidP="001D7A4A">
      <w:r>
        <w:t>Supporting the delivery of clinical services to Aboriginal and Torres Strait Islander people is an essential feature of the IAHP and one that is valued</w:t>
      </w:r>
      <w:r w:rsidR="00476958">
        <w:t xml:space="preserve"> and prioritised</w:t>
      </w:r>
      <w:r>
        <w:t xml:space="preserve"> by </w:t>
      </w:r>
      <w:r w:rsidR="0083713B">
        <w:t xml:space="preserve">funded </w:t>
      </w:r>
      <w:r>
        <w:t xml:space="preserve">services. </w:t>
      </w:r>
      <w:r w:rsidR="00E86E5D">
        <w:t>The delivery of clinical services is essential to supporting access to health</w:t>
      </w:r>
      <w:r w:rsidR="001728B9">
        <w:t xml:space="preserve"> </w:t>
      </w:r>
      <w:r w:rsidR="00E86E5D">
        <w:t>care and community-based responses to the disproportionately high burden of disease experienced by Aboriginal and Torres Strait Islander people. However, the pool of funding available through the IAHP</w:t>
      </w:r>
      <w:r w:rsidR="00097BBB">
        <w:t xml:space="preserve"> </w:t>
      </w:r>
      <w:r w:rsidR="00CE66A4">
        <w:t xml:space="preserve">does not </w:t>
      </w:r>
      <w:r w:rsidR="005A64F1">
        <w:t>consistently</w:t>
      </w:r>
      <w:r w:rsidR="00CE66A4">
        <w:t xml:space="preserve"> enable </w:t>
      </w:r>
      <w:r w:rsidR="00097BBB">
        <w:t xml:space="preserve">funded </w:t>
      </w:r>
      <w:r w:rsidR="00CE66A4">
        <w:t>services to build this clinical offering into a model of care than includes holistic services and support that align</w:t>
      </w:r>
      <w:r w:rsidR="00D9359E">
        <w:t>s</w:t>
      </w:r>
      <w:r w:rsidR="00CE66A4">
        <w:t xml:space="preserve"> with what Aboriginal and Torres Strait Islander people value. </w:t>
      </w:r>
      <w:r w:rsidR="001860D2">
        <w:t>This would include the community engagement, health promotion and</w:t>
      </w:r>
      <w:r w:rsidR="001D7A4A" w:rsidRPr="001D7A4A">
        <w:t xml:space="preserve"> prevention programs and activities </w:t>
      </w:r>
      <w:r w:rsidR="001860D2">
        <w:t xml:space="preserve">that are </w:t>
      </w:r>
      <w:r w:rsidR="001D7A4A" w:rsidRPr="001D7A4A">
        <w:t>characteristic of comprehensive PHC models</w:t>
      </w:r>
      <w:r w:rsidR="001860D2">
        <w:t xml:space="preserve"> and aligned to the way that many services want to </w:t>
      </w:r>
      <w:r w:rsidR="00554FED">
        <w:t>work more proactively to support early intervention and improve health outcomes in their communities</w:t>
      </w:r>
      <w:r w:rsidR="00B4190B">
        <w:t>.</w:t>
      </w:r>
      <w:r w:rsidR="001D7A4A" w:rsidRPr="001D7A4A">
        <w:t xml:space="preserve"> The </w:t>
      </w:r>
      <w:r w:rsidR="002370BF">
        <w:t>gap</w:t>
      </w:r>
      <w:r w:rsidR="00324D39">
        <w:t xml:space="preserve"> in expenditure on</w:t>
      </w:r>
      <w:r w:rsidR="002370BF">
        <w:t xml:space="preserve"> health care </w:t>
      </w:r>
      <w:r w:rsidR="00000B4C">
        <w:t xml:space="preserve">for Aboriginal </w:t>
      </w:r>
      <w:r w:rsidR="002370BF">
        <w:t xml:space="preserve">and </w:t>
      </w:r>
      <w:r w:rsidR="00000B4C">
        <w:t>Torres Strait Islander people</w:t>
      </w:r>
      <w:r w:rsidR="002370BF">
        <w:t xml:space="preserve"> has been </w:t>
      </w:r>
      <w:r w:rsidR="003F4B0E">
        <w:t>estimated</w:t>
      </w:r>
      <w:r w:rsidR="002370BF">
        <w:t xml:space="preserve"> through </w:t>
      </w:r>
      <w:r w:rsidR="00002E3F">
        <w:t xml:space="preserve">research commissioned by the NACCHO. </w:t>
      </w:r>
      <w:r w:rsidR="00002E3F" w:rsidRPr="00186D33">
        <w:t xml:space="preserve">This research </w:t>
      </w:r>
      <w:r w:rsidR="00502699">
        <w:t>reported</w:t>
      </w:r>
      <w:r w:rsidR="00870ECD">
        <w:t xml:space="preserve"> </w:t>
      </w:r>
      <w:r w:rsidR="00502699">
        <w:t>the</w:t>
      </w:r>
      <w:r w:rsidR="00870ECD">
        <w:t xml:space="preserve"> gap in total recurrent health expenditure</w:t>
      </w:r>
      <w:r w:rsidR="00502699">
        <w:t xml:space="preserve"> at $4.4 billion</w:t>
      </w:r>
      <w:r w:rsidR="001D7A4A" w:rsidRPr="001D7A4A">
        <w:t xml:space="preserve"> </w:t>
      </w:r>
      <w:r w:rsidR="001D7A4A" w:rsidRPr="001D7A4A">
        <w:fldChar w:fldCharType="begin"/>
      </w:r>
      <w:r w:rsidR="00F8760E">
        <w:instrText xml:space="preserve"> ADDIN ZOTERO_ITEM CSL_CITATION {"citationID":"uo2cQJaV","properties":{"formattedCitation":"(National Aboriginal Community Controlled Health Organisation &amp; Equity Economics, 2022)","plainCitation":"(National Aboriginal Community Controlled Health Organisation &amp; Equity Economics, 2022)","noteIndex":0},"citationItems":[{"id":3649,"uris":["http://zotero.org/groups/4420056/items/EYYUWBRV",["http://zotero.org/groups/4420056/items/EYYUWBRV"],["http://zotero.org/groups/4420056/items/EYYUWBRV",["http://zotero.org/groups/4420056/items/EYYUWBRV"]]],"itemData":{"id":3649,"type":"report","genre":"Final report","title":"NACCHO and Equity Economics Report Measuring the Gap in Health Expenditure","URL":"https://static1.squarespace.com/static/61b14c4abbc81a1543f55180/t/62789d5f490b3b08b26635d0/1652071796196/NACCHO-and-Equity-Economics-Report-Measuring-the-Gap-in-Health-Expenditure_FINAL.pdf","author":[{"literal":"National Aboriginal Community Controlled Health Organisation"},{"literal":"Equity Economics"}],"accessed":{"date-parts":[["2023",3,13]]},"issued":{"date-parts":[["2022",5]]}}}],"schema":"https://github.com/citation-style-language/schema/raw/master/csl-citation.json"} </w:instrText>
      </w:r>
      <w:r w:rsidR="001D7A4A" w:rsidRPr="001D7A4A">
        <w:fldChar w:fldCharType="separate"/>
      </w:r>
      <w:r w:rsidR="001D7A4A" w:rsidRPr="001D7A4A">
        <w:rPr>
          <w:rFonts w:ascii="Arial" w:hAnsi="Arial" w:cs="Arial"/>
        </w:rPr>
        <w:t>(National Aboriginal Community Controlled Health Organisation &amp; Equity Economics, 2022)</w:t>
      </w:r>
      <w:r w:rsidR="001D7A4A" w:rsidRPr="001D7A4A">
        <w:fldChar w:fldCharType="end"/>
      </w:r>
      <w:r w:rsidR="001D7A4A" w:rsidRPr="001D7A4A">
        <w:t>.</w:t>
      </w:r>
    </w:p>
    <w:p w14:paraId="15072B60" w14:textId="7B662295" w:rsidR="00FC387B" w:rsidRDefault="004C7DE8" w:rsidP="001D7A4A">
      <w:r>
        <w:t xml:space="preserve">Improvements to the </w:t>
      </w:r>
      <w:r w:rsidR="00760C13">
        <w:t xml:space="preserve">quantum and </w:t>
      </w:r>
      <w:r>
        <w:t>administration of</w:t>
      </w:r>
      <w:r w:rsidR="00B72CEB">
        <w:t xml:space="preserve"> IAHP</w:t>
      </w:r>
      <w:r>
        <w:t xml:space="preserve"> funding may further enable the </w:t>
      </w:r>
      <w:r w:rsidR="00B72CEB">
        <w:t xml:space="preserve">influence of the </w:t>
      </w:r>
      <w:r>
        <w:t xml:space="preserve">IAHP </w:t>
      </w:r>
      <w:r w:rsidR="00B72CEB">
        <w:t xml:space="preserve">to be extended </w:t>
      </w:r>
      <w:r w:rsidR="00760C13">
        <w:t xml:space="preserve">to improve the </w:t>
      </w:r>
      <w:r>
        <w:t>PHC system</w:t>
      </w:r>
      <w:r w:rsidR="00760C13">
        <w:t xml:space="preserve"> for Aboriginal and Torres Strait Islander people</w:t>
      </w:r>
      <w:r>
        <w:t xml:space="preserve">. </w:t>
      </w:r>
      <w:r w:rsidR="00906D27">
        <w:t xml:space="preserve">The </w:t>
      </w:r>
      <w:r w:rsidR="001D7A4A" w:rsidRPr="001D7A4A">
        <w:t>way that the IAHP funding is mobilised</w:t>
      </w:r>
      <w:r w:rsidR="00906D27">
        <w:t xml:space="preserve"> </w:t>
      </w:r>
      <w:r w:rsidR="00074E3B">
        <w:t xml:space="preserve">can mirror some of the system </w:t>
      </w:r>
      <w:r w:rsidR="00907F34">
        <w:t>fragmentation</w:t>
      </w:r>
      <w:r w:rsidR="00074E3B">
        <w:t xml:space="preserve"> that undermines the capacity of the health system to deliver effective, high quality, comprehensive and culturally </w:t>
      </w:r>
      <w:r w:rsidR="00907F34">
        <w:t>appropriate services for Aboriginal and Torres Strait Islander people.</w:t>
      </w:r>
      <w:r w:rsidR="002414A2">
        <w:t xml:space="preserve"> This is not unique to the IAHP</w:t>
      </w:r>
      <w:r w:rsidR="009A5D46">
        <w:t xml:space="preserve">. However, </w:t>
      </w:r>
      <w:r w:rsidR="002414A2">
        <w:t xml:space="preserve">the impact of this fragmented approach directly </w:t>
      </w:r>
      <w:r w:rsidR="0057390B">
        <w:t xml:space="preserve">conflicts with Aboriginal and Torres Strait Islander approaches to health and wellbeing and the expression of what Aboriginal and Torres Strait Islander people value in health care identified </w:t>
      </w:r>
      <w:r w:rsidR="004B748A">
        <w:t>in</w:t>
      </w:r>
      <w:r w:rsidR="0057390B">
        <w:t xml:space="preserve"> this evaluation.</w:t>
      </w:r>
      <w:r w:rsidR="009A5D46">
        <w:t xml:space="preserve"> This also</w:t>
      </w:r>
      <w:r w:rsidR="00E57556">
        <w:t xml:space="preserve"> places limitations on the capacity of funded services who experience </w:t>
      </w:r>
      <w:r w:rsidR="00FC387B">
        <w:t>resourcing implications associated with multiple funding and reporting arrangements over various funding streams</w:t>
      </w:r>
      <w:r w:rsidR="00F512E1">
        <w:t xml:space="preserve"> an</w:t>
      </w:r>
      <w:r w:rsidR="00752F7E">
        <w:t>d</w:t>
      </w:r>
      <w:r w:rsidR="00F512E1">
        <w:t xml:space="preserve"> programs</w:t>
      </w:r>
      <w:r w:rsidR="00752F7E">
        <w:t>, including programs that target highly specific health needs</w:t>
      </w:r>
      <w:r w:rsidR="00FC387B">
        <w:t xml:space="preserve">. </w:t>
      </w:r>
      <w:r w:rsidR="00E34D1E">
        <w:t xml:space="preserve">While the </w:t>
      </w:r>
      <w:r w:rsidR="001C7B72">
        <w:t xml:space="preserve">recent </w:t>
      </w:r>
      <w:r w:rsidR="00E34D1E">
        <w:t xml:space="preserve">shift in approach to funding through </w:t>
      </w:r>
      <w:r w:rsidR="001C7B72">
        <w:t xml:space="preserve">longer funding arrangements has alleviated </w:t>
      </w:r>
      <w:r w:rsidR="00752F7E">
        <w:t xml:space="preserve">some of the </w:t>
      </w:r>
      <w:r w:rsidR="00BA6AE2">
        <w:t>direct</w:t>
      </w:r>
      <w:r w:rsidR="001C7B72">
        <w:t xml:space="preserve"> impact of funding and reporting arrangements for the IAHP, m</w:t>
      </w:r>
      <w:r w:rsidR="00EA0F39">
        <w:t>ost</w:t>
      </w:r>
      <w:r w:rsidR="001C7B72">
        <w:t xml:space="preserve"> services are still operating in a PHC system that requires them to </w:t>
      </w:r>
      <w:r w:rsidR="00BA6AE2">
        <w:t>source multiple streams of funding to meet the identified needs in their communities</w:t>
      </w:r>
      <w:r w:rsidR="00905861">
        <w:t xml:space="preserve"> and deliver the type of holistic care that is valued by Aboriginal and Torres Strait Islander people in those communities.</w:t>
      </w:r>
      <w:r w:rsidR="00AA35E2">
        <w:t xml:space="preserve"> </w:t>
      </w:r>
    </w:p>
    <w:p w14:paraId="2035EDE6" w14:textId="5CDFEE24" w:rsidR="001D7A4A" w:rsidRPr="001D7A4A" w:rsidRDefault="00AC1A97" w:rsidP="001D7A4A">
      <w:r>
        <w:t>The IAHP is ad</w:t>
      </w:r>
      <w:r w:rsidR="003B7747">
        <w:t xml:space="preserve">ministered through </w:t>
      </w:r>
      <w:r w:rsidR="001D7A4A" w:rsidRPr="001D7A4A">
        <w:t xml:space="preserve">standard commissioning processes with centralised program design, standard application and assessment processes, and grant management and </w:t>
      </w:r>
      <w:r w:rsidR="001D7A4A" w:rsidRPr="001D7A4A">
        <w:lastRenderedPageBreak/>
        <w:t>reporting requirements</w:t>
      </w:r>
      <w:r w:rsidR="003B7747">
        <w:t>.</w:t>
      </w:r>
      <w:r w:rsidR="00AA35E2">
        <w:t xml:space="preserve"> </w:t>
      </w:r>
      <w:r w:rsidR="003B7747">
        <w:t xml:space="preserve">These </w:t>
      </w:r>
      <w:r w:rsidR="003172FA">
        <w:t xml:space="preserve">top-down and transactional </w:t>
      </w:r>
      <w:r w:rsidR="003B7747">
        <w:t>approaches</w:t>
      </w:r>
      <w:r w:rsidR="003172FA">
        <w:t xml:space="preserve"> to funding </w:t>
      </w:r>
      <w:r w:rsidR="001D7A4A" w:rsidRPr="001D7A4A">
        <w:t>do not</w:t>
      </w:r>
      <w:r w:rsidR="001D7A4A" w:rsidRPr="001D7A4A" w:rsidDel="003172FA">
        <w:t xml:space="preserve"> </w:t>
      </w:r>
      <w:r w:rsidR="001D7A4A" w:rsidRPr="001D7A4A">
        <w:t xml:space="preserve">reflect the relational way </w:t>
      </w:r>
      <w:r w:rsidR="003172FA">
        <w:t xml:space="preserve">that </w:t>
      </w:r>
      <w:r w:rsidR="001D7A4A" w:rsidRPr="001D7A4A">
        <w:t xml:space="preserve">most funded organisations (the majority of whom are ACCHSs) work and </w:t>
      </w:r>
      <w:r w:rsidR="003172FA">
        <w:t xml:space="preserve">do not </w:t>
      </w:r>
      <w:r w:rsidR="00D03F97">
        <w:t xml:space="preserve">give effect to </w:t>
      </w:r>
      <w:r w:rsidR="003172FA">
        <w:t xml:space="preserve">the </w:t>
      </w:r>
      <w:r w:rsidR="001D7A4A" w:rsidRPr="001D7A4A">
        <w:t xml:space="preserve">right to self-determination. </w:t>
      </w:r>
      <w:r w:rsidR="00A85272">
        <w:t>Critically, r</w:t>
      </w:r>
      <w:r w:rsidR="00BD3BF0">
        <w:t>ev</w:t>
      </w:r>
      <w:r w:rsidR="00D51802">
        <w:t>ised</w:t>
      </w:r>
      <w:r w:rsidR="00D51802" w:rsidRPr="001D7A4A">
        <w:t xml:space="preserve"> </w:t>
      </w:r>
      <w:r w:rsidR="001D7A4A" w:rsidRPr="001D7A4A">
        <w:t xml:space="preserve">commissioning approaches have emerged under the IAHP, such as co-design processes, and the </w:t>
      </w:r>
      <w:r w:rsidR="000F7ACE">
        <w:t>PHC Program</w:t>
      </w:r>
      <w:r w:rsidR="001D7A4A" w:rsidRPr="001D7A4A">
        <w:t xml:space="preserve"> does provide a degree of flexibility and ‘untied’ funding</w:t>
      </w:r>
      <w:r w:rsidR="00432A66">
        <w:t xml:space="preserve"> to enable services to make choices about how to allocate the PHC funding. </w:t>
      </w:r>
      <w:r w:rsidR="00D51802">
        <w:t xml:space="preserve">These approaches have </w:t>
      </w:r>
      <w:r w:rsidR="00A9365A">
        <w:t>considerable</w:t>
      </w:r>
      <w:r w:rsidR="00D51802">
        <w:t xml:space="preserve"> potential to shape </w:t>
      </w:r>
      <w:r w:rsidR="002F53E2">
        <w:t xml:space="preserve">how </w:t>
      </w:r>
      <w:r w:rsidR="00EC61A2">
        <w:t xml:space="preserve">the IAHP </w:t>
      </w:r>
      <w:r w:rsidR="002F53E2">
        <w:t xml:space="preserve">enables </w:t>
      </w:r>
      <w:r w:rsidR="00341A55">
        <w:t xml:space="preserve">the </w:t>
      </w:r>
      <w:r w:rsidR="00EC61A2">
        <w:t xml:space="preserve">PHC system </w:t>
      </w:r>
      <w:r w:rsidR="00341A55">
        <w:t xml:space="preserve">to work </w:t>
      </w:r>
      <w:r w:rsidR="00EC61A2">
        <w:t>for Aboriginal and Torres Strait Islander people</w:t>
      </w:r>
      <w:r w:rsidR="00341A55">
        <w:t xml:space="preserve"> through supporting community-led decision-making about service </w:t>
      </w:r>
      <w:r w:rsidR="00A85272">
        <w:t xml:space="preserve">design and </w:t>
      </w:r>
      <w:r w:rsidR="00341A55">
        <w:t>delivery</w:t>
      </w:r>
      <w:r w:rsidR="00EC61A2">
        <w:t xml:space="preserve">. </w:t>
      </w:r>
      <w:r w:rsidR="00341A55">
        <w:t>Notably, however</w:t>
      </w:r>
      <w:r w:rsidR="00432A66">
        <w:t>,</w:t>
      </w:r>
      <w:r w:rsidR="00EC61A2">
        <w:t xml:space="preserve"> </w:t>
      </w:r>
      <w:r w:rsidR="00432A66">
        <w:t xml:space="preserve">this choice-making is still constrained by the limited pool of funding </w:t>
      </w:r>
      <w:r w:rsidR="00487A74">
        <w:t xml:space="preserve">and the reporting and administrative requirements </w:t>
      </w:r>
      <w:r w:rsidR="00523B1E">
        <w:t xml:space="preserve">associated with </w:t>
      </w:r>
      <w:r w:rsidR="008B0272">
        <w:t xml:space="preserve">grant </w:t>
      </w:r>
      <w:r w:rsidR="00523B1E">
        <w:t>fun</w:t>
      </w:r>
      <w:r w:rsidR="008B0272">
        <w:t>d</w:t>
      </w:r>
      <w:r w:rsidR="00523B1E">
        <w:t>ing</w:t>
      </w:r>
      <w:r w:rsidR="008B0272">
        <w:t>.</w:t>
      </w:r>
    </w:p>
    <w:p w14:paraId="2CB8B0E5" w14:textId="39FB2EF8" w:rsidR="005B3DC4" w:rsidRDefault="00E228AE" w:rsidP="001D7A4A">
      <w:r>
        <w:t xml:space="preserve">The IAHP recognises that ACCHSs are a critical part of the PHC system. </w:t>
      </w:r>
      <w:r w:rsidR="00A339F7">
        <w:t xml:space="preserve">The </w:t>
      </w:r>
      <w:r w:rsidR="001D7A4A" w:rsidRPr="001D7A4A">
        <w:t xml:space="preserve">IAHP </w:t>
      </w:r>
      <w:r w:rsidR="00A339F7">
        <w:t xml:space="preserve">enables </w:t>
      </w:r>
      <w:r w:rsidR="001D7A4A" w:rsidRPr="001D7A4A">
        <w:t>funded organisations, the majority of which are ACCHSs, to operate and provide PHC services to Aboriginal and Torres Strait Islander people</w:t>
      </w:r>
      <w:r w:rsidR="00A339F7">
        <w:t>. In this way</w:t>
      </w:r>
      <w:r w:rsidR="001D7A4A" w:rsidRPr="001D7A4A">
        <w:t>, the IAHP is enabling the PHC system to work for the clients of these funded organisations (</w:t>
      </w:r>
      <w:r w:rsidR="00A339F7">
        <w:t xml:space="preserve">currently representing </w:t>
      </w:r>
      <w:r w:rsidR="001D7A4A" w:rsidRPr="001D7A4A">
        <w:t xml:space="preserve">around 45% of the </w:t>
      </w:r>
      <w:r w:rsidR="00312322">
        <w:t xml:space="preserve">total </w:t>
      </w:r>
      <w:r w:rsidR="00024964" w:rsidRPr="001D7A4A">
        <w:t>Aboriginal and Torres Strait Islander</w:t>
      </w:r>
      <w:r w:rsidR="001D7A4A" w:rsidRPr="001D7A4A">
        <w:t xml:space="preserve"> population)</w:t>
      </w:r>
      <w:r w:rsidR="00483DBE">
        <w:t xml:space="preserve"> through the provision of PHC that is more likely to be aligned with their values than services delivered through mainstream settings</w:t>
      </w:r>
      <w:r w:rsidR="001D7A4A" w:rsidRPr="001D7A4A">
        <w:t xml:space="preserve">. However, the IAHP </w:t>
      </w:r>
      <w:r w:rsidR="001D7A4A" w:rsidRPr="001D7A4A" w:rsidDel="00462314">
        <w:t xml:space="preserve">is not consistently </w:t>
      </w:r>
      <w:r w:rsidR="001D7A4A" w:rsidRPr="001D7A4A">
        <w:t xml:space="preserve">enabling the </w:t>
      </w:r>
      <w:r w:rsidR="001C4F4E">
        <w:t xml:space="preserve">PHC </w:t>
      </w:r>
      <w:r w:rsidR="001D7A4A" w:rsidRPr="001D7A4A">
        <w:t xml:space="preserve">system to work well </w:t>
      </w:r>
      <w:r w:rsidR="00462314">
        <w:t xml:space="preserve">for Aboriginal and Torres Strait Islander people </w:t>
      </w:r>
      <w:r w:rsidR="001C4F4E">
        <w:t xml:space="preserve">when assessed by </w:t>
      </w:r>
      <w:r w:rsidR="001D7A4A" w:rsidRPr="001D7A4A" w:rsidDel="00471EA3">
        <w:t xml:space="preserve">the </w:t>
      </w:r>
      <w:r w:rsidR="001C4F4E">
        <w:t xml:space="preserve">identified </w:t>
      </w:r>
      <w:r w:rsidR="001D7A4A" w:rsidRPr="001D7A4A">
        <w:t>values and needs of Aboriginal and Torres Strait Islander people.</w:t>
      </w:r>
    </w:p>
    <w:p w14:paraId="013544F9" w14:textId="0F610789" w:rsidR="00727242" w:rsidRPr="00727242" w:rsidRDefault="007F66D8" w:rsidP="00727242">
      <w:pPr>
        <w:rPr>
          <w:lang w:val="en-NZ"/>
        </w:rPr>
      </w:pPr>
      <w:r>
        <w:t xml:space="preserve">Current </w:t>
      </w:r>
      <w:r w:rsidR="003C67DC">
        <w:t>c</w:t>
      </w:r>
      <w:r w:rsidR="008A58C2">
        <w:t xml:space="preserve">onstraints in the way that IAHP funding is mobilised may be addressed through </w:t>
      </w:r>
      <w:r w:rsidR="00BB129F">
        <w:t xml:space="preserve">new commissioning processes. </w:t>
      </w:r>
      <w:r w:rsidR="00727242" w:rsidRPr="00727242">
        <w:rPr>
          <w:lang w:val="en-NZ"/>
        </w:rPr>
        <w:t xml:space="preserve">However, improved commissioning will only be effective if the significant resource gap is also addressed. This will require a strategic approach to funding this part of the sector, that enables the resource gap to be closed. </w:t>
      </w:r>
    </w:p>
    <w:p w14:paraId="6BC29778" w14:textId="77777777" w:rsidR="001D7A4A" w:rsidRPr="00C078C6" w:rsidRDefault="001D7A4A" w:rsidP="001D7A4A">
      <w:pPr>
        <w:keepNext/>
        <w:spacing w:before="360" w:line="240" w:lineRule="auto"/>
        <w:jc w:val="left"/>
        <w:outlineLvl w:val="5"/>
        <w:rPr>
          <w:rFonts w:cstheme="minorHAnsi"/>
          <w:b/>
          <w:bCs/>
          <w:color w:val="275D8E" w:themeColor="accent1" w:themeShade="BF"/>
          <w:sz w:val="24"/>
          <w:szCs w:val="24"/>
          <w:lang w:val="en-NZ"/>
        </w:rPr>
      </w:pPr>
      <w:r w:rsidRPr="00C078C6">
        <w:rPr>
          <w:rFonts w:cstheme="minorHAnsi"/>
          <w:b/>
          <w:bCs/>
          <w:color w:val="275D8E" w:themeColor="accent1" w:themeShade="BF"/>
          <w:sz w:val="24"/>
          <w:szCs w:val="24"/>
          <w:lang w:val="en-NZ"/>
        </w:rPr>
        <w:t>KEQ2: What difference is the IAHP making to the PHC system?</w:t>
      </w:r>
    </w:p>
    <w:p w14:paraId="5E6E2259" w14:textId="04A05882" w:rsidR="001D7A4A" w:rsidRPr="001D7A4A" w:rsidRDefault="001D7A4A" w:rsidP="001D7A4A">
      <w:r w:rsidRPr="001D7A4A">
        <w:t xml:space="preserve">In answering KEQ2, the evaluation was guided by the sub-questions under this KEQ. These sub-questions indicate the dimensions of the PHC system of </w:t>
      </w:r>
      <w:r w:rsidR="00CF7E1A">
        <w:t>specific focus</w:t>
      </w:r>
      <w:r w:rsidRPr="001D7A4A" w:rsidDel="00CF7E1A">
        <w:t xml:space="preserve"> </w:t>
      </w:r>
      <w:r w:rsidR="00CF7E1A">
        <w:t xml:space="preserve">for </w:t>
      </w:r>
      <w:r w:rsidRPr="001D7A4A">
        <w:t xml:space="preserve">the evaluation, including funding, service delivery, governance, knowledge and information, and workforce. The sub-questions also indicate the direction and type of </w:t>
      </w:r>
      <w:r w:rsidRPr="001D7A4A">
        <w:rPr>
          <w:i/>
          <w:iCs/>
        </w:rPr>
        <w:t>difference</w:t>
      </w:r>
      <w:r w:rsidRPr="001D7A4A">
        <w:t xml:space="preserve"> of interest to the evaluation. For example, there are questions about the contribution of the IAHP to the system and questions about how the system enables the implementation of the IAHP, therefore covering change in both/dual direction(s). Many of the questions also include words such as </w:t>
      </w:r>
      <w:r w:rsidRPr="001D7A4A">
        <w:rPr>
          <w:i/>
          <w:iCs/>
        </w:rPr>
        <w:t>enabling, contributing, informing, supporting, working with,</w:t>
      </w:r>
      <w:r w:rsidRPr="001D7A4A">
        <w:t xml:space="preserve"> </w:t>
      </w:r>
      <w:r w:rsidRPr="001D7A4A">
        <w:rPr>
          <w:i/>
          <w:iCs/>
        </w:rPr>
        <w:t xml:space="preserve">interacting </w:t>
      </w:r>
      <w:r w:rsidRPr="001D7A4A">
        <w:t>and</w:t>
      </w:r>
      <w:r w:rsidRPr="001D7A4A">
        <w:rPr>
          <w:i/>
          <w:iCs/>
        </w:rPr>
        <w:t xml:space="preserve"> supplementing</w:t>
      </w:r>
      <w:r w:rsidRPr="001D7A4A">
        <w:t xml:space="preserve"> which have guided the type of </w:t>
      </w:r>
      <w:r w:rsidRPr="001D7A4A">
        <w:rPr>
          <w:i/>
          <w:iCs/>
        </w:rPr>
        <w:t>difference</w:t>
      </w:r>
      <w:r w:rsidRPr="001D7A4A">
        <w:t xml:space="preserve"> the IAHP is expected to make.  </w:t>
      </w:r>
    </w:p>
    <w:p w14:paraId="4228A4C5" w14:textId="4FF8F103" w:rsidR="001D7A4A" w:rsidRPr="001D7A4A" w:rsidRDefault="001D7A4A" w:rsidP="001D7A4A">
      <w:r w:rsidRPr="001D7A4A">
        <w:t xml:space="preserve">The evaluation found a lack of clarity about how the IAHP is intended to work with the rest of the PHC system and, therefore, uncertainty over the difference the IAHP is expected to make to the PHC system. This has important implications when attempting to make judgements about the </w:t>
      </w:r>
      <w:r w:rsidR="000A39E1">
        <w:t>difference th</w:t>
      </w:r>
      <w:r w:rsidR="00CC4E66">
        <w:t>at</w:t>
      </w:r>
      <w:r w:rsidR="000A39E1">
        <w:t xml:space="preserve"> </w:t>
      </w:r>
      <w:r w:rsidRPr="001D7A4A">
        <w:t xml:space="preserve">the IAHP </w:t>
      </w:r>
      <w:r w:rsidR="000A39E1">
        <w:t xml:space="preserve">is making in </w:t>
      </w:r>
      <w:r w:rsidRPr="001D7A4A">
        <w:t>this area.</w:t>
      </w:r>
    </w:p>
    <w:p w14:paraId="2C45FDBF" w14:textId="77777777" w:rsidR="001D7A4A" w:rsidRPr="001D7A4A" w:rsidRDefault="001D7A4A" w:rsidP="001D7A4A">
      <w:r w:rsidRPr="001D7A4A">
        <w:t>In terms of different dimensions of the PHC system:</w:t>
      </w:r>
    </w:p>
    <w:p w14:paraId="14245C9C" w14:textId="2BFB7A4E" w:rsidR="001D7A4A" w:rsidRPr="001D7A4A" w:rsidRDefault="001D7A4A" w:rsidP="00343EB2">
      <w:pPr>
        <w:numPr>
          <w:ilvl w:val="0"/>
          <w:numId w:val="19"/>
        </w:numPr>
        <w:spacing w:after="120"/>
      </w:pPr>
      <w:r w:rsidRPr="001D7A4A">
        <w:t xml:space="preserve">The IAHP makes a critical contribution to the </w:t>
      </w:r>
      <w:r w:rsidRPr="001D7A4A">
        <w:rPr>
          <w:b/>
          <w:bCs/>
        </w:rPr>
        <w:t>service delivery</w:t>
      </w:r>
      <w:r w:rsidRPr="001D7A4A">
        <w:t xml:space="preserve"> capacity of funded organisations. </w:t>
      </w:r>
      <w:r w:rsidR="00BC34B9">
        <w:t>These organisation</w:t>
      </w:r>
      <w:r w:rsidR="00455E9F">
        <w:t>s</w:t>
      </w:r>
      <w:r w:rsidR="00BC34B9">
        <w:t xml:space="preserve"> deliver </w:t>
      </w:r>
      <w:r w:rsidR="00455E9F">
        <w:t xml:space="preserve">primary care services to around 45% of the </w:t>
      </w:r>
      <w:r w:rsidR="00455E9F">
        <w:lastRenderedPageBreak/>
        <w:t xml:space="preserve">Aboriginal and Torres Strait Islander population. </w:t>
      </w:r>
      <w:r w:rsidRPr="001D7A4A">
        <w:t xml:space="preserve">The counterfactual (no IAHP) would have significant implications </w:t>
      </w:r>
      <w:r w:rsidR="00A70E7B">
        <w:t>for</w:t>
      </w:r>
      <w:r w:rsidR="00A70E7B" w:rsidRPr="001D7A4A">
        <w:t xml:space="preserve"> </w:t>
      </w:r>
      <w:r w:rsidRPr="001D7A4A">
        <w:t xml:space="preserve">Aboriginal and Torres Strait Islander people’s access to effective, high quality, comprehensive, and culturally appropriate PHC services. </w:t>
      </w:r>
      <w:r w:rsidR="00A70E7B">
        <w:t xml:space="preserve">Without IAHP funding, many of the </w:t>
      </w:r>
      <w:r w:rsidR="00F6742E">
        <w:t xml:space="preserve">funded </w:t>
      </w:r>
      <w:r w:rsidR="00A70E7B">
        <w:t xml:space="preserve">services would not be able to operate. </w:t>
      </w:r>
      <w:r w:rsidR="008D7FFC">
        <w:t xml:space="preserve">This </w:t>
      </w:r>
      <w:r w:rsidR="00C664D0">
        <w:t>demonstrates</w:t>
      </w:r>
      <w:r w:rsidR="008D7FFC">
        <w:t xml:space="preserve"> the cr</w:t>
      </w:r>
      <w:r w:rsidR="0040077C">
        <w:t>itical value of the IAHP.</w:t>
      </w:r>
      <w:r w:rsidR="001258D0">
        <w:rPr>
          <w:rStyle w:val="CommentReference"/>
        </w:rPr>
        <w:t xml:space="preserve"> </w:t>
      </w:r>
    </w:p>
    <w:p w14:paraId="52018671" w14:textId="4992836C" w:rsidR="001D7A4A" w:rsidRPr="001D7A4A" w:rsidRDefault="001D7A4A" w:rsidP="002F565F">
      <w:pPr>
        <w:numPr>
          <w:ilvl w:val="0"/>
          <w:numId w:val="19"/>
        </w:numPr>
        <w:spacing w:after="120"/>
        <w:ind w:left="714" w:hanging="357"/>
      </w:pPr>
      <w:r w:rsidRPr="001D7A4A">
        <w:t xml:space="preserve">From a </w:t>
      </w:r>
      <w:r w:rsidRPr="001D7A4A">
        <w:rPr>
          <w:b/>
          <w:bCs/>
        </w:rPr>
        <w:t>health workforce</w:t>
      </w:r>
      <w:r w:rsidRPr="001D7A4A">
        <w:t xml:space="preserve"> perspective, the difference the IAHP makes can be interpreted differently. On</w:t>
      </w:r>
      <w:r w:rsidR="001F4C20">
        <w:t xml:space="preserve"> </w:t>
      </w:r>
      <w:r w:rsidRPr="001D7A4A">
        <w:t>the</w:t>
      </w:r>
      <w:r w:rsidR="001F4C20">
        <w:t xml:space="preserve"> </w:t>
      </w:r>
      <w:r w:rsidRPr="001D7A4A">
        <w:t>one</w:t>
      </w:r>
      <w:r w:rsidR="001F4C20">
        <w:t xml:space="preserve"> </w:t>
      </w:r>
      <w:r w:rsidRPr="001D7A4A">
        <w:t xml:space="preserve">hand, a significant proportion of IAHP funding is </w:t>
      </w:r>
      <w:r w:rsidR="00B44A72">
        <w:t>directed towards</w:t>
      </w:r>
      <w:r w:rsidR="00B44A72" w:rsidRPr="001D7A4A">
        <w:t xml:space="preserve"> </w:t>
      </w:r>
      <w:r w:rsidRPr="001D7A4A">
        <w:t>employing</w:t>
      </w:r>
      <w:r w:rsidRPr="001D7A4A" w:rsidDel="0002035F">
        <w:t xml:space="preserve"> </w:t>
      </w:r>
      <w:r w:rsidR="0002035F">
        <w:t>staff</w:t>
      </w:r>
      <w:r w:rsidR="0002035F" w:rsidRPr="001D7A4A">
        <w:t xml:space="preserve"> </w:t>
      </w:r>
      <w:r w:rsidRPr="001D7A4A">
        <w:t>and the counterfactual (no IAHP) is that health services would need to significantly reduce staffing levels. On</w:t>
      </w:r>
      <w:r w:rsidR="001F4C20">
        <w:t xml:space="preserve"> </w:t>
      </w:r>
      <w:r w:rsidRPr="001D7A4A">
        <w:t>the</w:t>
      </w:r>
      <w:r w:rsidR="001F4C20">
        <w:t xml:space="preserve"> </w:t>
      </w:r>
      <w:r w:rsidRPr="001D7A4A">
        <w:t>other</w:t>
      </w:r>
      <w:r w:rsidR="001F4C20">
        <w:t xml:space="preserve"> </w:t>
      </w:r>
      <w:r w:rsidRPr="001D7A4A">
        <w:t>hand, current workforce challenges are significant across the health system and the ability of the IAHP to make a difference given current supply issues and other challenges</w:t>
      </w:r>
      <w:r w:rsidR="00772962">
        <w:t>, such as pay equity,</w:t>
      </w:r>
      <w:r w:rsidRPr="001D7A4A">
        <w:t xml:space="preserve"> is limited. Other than providing funding to services to employ a workforce, the IAHP currently has few policy levers to </w:t>
      </w:r>
      <w:r w:rsidR="0002035F">
        <w:t>influence health workforce development</w:t>
      </w:r>
      <w:r w:rsidRPr="001D7A4A">
        <w:t xml:space="preserve">. Given the significance of workforce issues to the health system, </w:t>
      </w:r>
      <w:r w:rsidR="00017393">
        <w:t xml:space="preserve">there </w:t>
      </w:r>
      <w:r w:rsidR="00CD7E98">
        <w:t xml:space="preserve">is </w:t>
      </w:r>
      <w:r w:rsidR="00017393">
        <w:t>an opportunity for</w:t>
      </w:r>
      <w:r w:rsidR="00017393" w:rsidRPr="001D7A4A">
        <w:t xml:space="preserve"> </w:t>
      </w:r>
      <w:r w:rsidRPr="001D7A4A">
        <w:t xml:space="preserve">the IAHP </w:t>
      </w:r>
      <w:r w:rsidR="00932606">
        <w:t xml:space="preserve">to </w:t>
      </w:r>
      <w:r w:rsidR="00CD7E98">
        <w:t xml:space="preserve">increase </w:t>
      </w:r>
      <w:r w:rsidR="00CA0DBF">
        <w:t xml:space="preserve">activity </w:t>
      </w:r>
      <w:r w:rsidRPr="001D7A4A">
        <w:t>in this area</w:t>
      </w:r>
      <w:r w:rsidR="00932606">
        <w:t xml:space="preserve"> to ensure there is investment in a workforce that can meet the health care needs of Aboriginal and Torres Strait Islander people</w:t>
      </w:r>
      <w:r w:rsidRPr="001D7A4A">
        <w:t xml:space="preserve">. There are certainly implications for the </w:t>
      </w:r>
      <w:r w:rsidR="00932606">
        <w:t xml:space="preserve">effectiveness of the </w:t>
      </w:r>
      <w:r w:rsidRPr="001D7A4A">
        <w:t xml:space="preserve">IAHP if the organisations </w:t>
      </w:r>
      <w:r w:rsidR="00057B05">
        <w:t xml:space="preserve">funded to deliver </w:t>
      </w:r>
      <w:r w:rsidR="00DC0E57">
        <w:t xml:space="preserve">comprehensive </w:t>
      </w:r>
      <w:r w:rsidR="00057B05">
        <w:t xml:space="preserve">PHC </w:t>
      </w:r>
      <w:r w:rsidRPr="001D7A4A">
        <w:t xml:space="preserve">do not have access to a </w:t>
      </w:r>
      <w:r w:rsidR="00F97531">
        <w:t>competent</w:t>
      </w:r>
      <w:r w:rsidR="008A7730">
        <w:t>,</w:t>
      </w:r>
      <w:r w:rsidR="00F97531">
        <w:t xml:space="preserve"> appropriate </w:t>
      </w:r>
      <w:r w:rsidRPr="001D7A4A">
        <w:t xml:space="preserve">and stable workforce. </w:t>
      </w:r>
    </w:p>
    <w:p w14:paraId="1F8F789E" w14:textId="43C70B48" w:rsidR="001D7A4A" w:rsidRPr="001D7A4A" w:rsidRDefault="001D7A4A" w:rsidP="00343EB2">
      <w:pPr>
        <w:numPr>
          <w:ilvl w:val="0"/>
          <w:numId w:val="19"/>
        </w:numPr>
        <w:spacing w:after="120"/>
      </w:pPr>
      <w:r w:rsidRPr="001D7A4A">
        <w:t xml:space="preserve">In terms of system </w:t>
      </w:r>
      <w:r w:rsidRPr="001D7A4A">
        <w:rPr>
          <w:b/>
          <w:bCs/>
        </w:rPr>
        <w:t>governance and leadership</w:t>
      </w:r>
      <w:r w:rsidRPr="001D7A4A">
        <w:t xml:space="preserve">, the </w:t>
      </w:r>
      <w:r w:rsidR="002B555E">
        <w:t xml:space="preserve">evidence indicates </w:t>
      </w:r>
      <w:r w:rsidRPr="001D7A4A">
        <w:t xml:space="preserve">that the IAHP is not </w:t>
      </w:r>
      <w:r w:rsidR="002B555E">
        <w:t xml:space="preserve">integrated with </w:t>
      </w:r>
      <w:r w:rsidRPr="001D7A4A">
        <w:t xml:space="preserve">whole-of-systems processes. As a consequence, the </w:t>
      </w:r>
      <w:r w:rsidR="0098220B">
        <w:t xml:space="preserve">opportunity to </w:t>
      </w:r>
      <w:r w:rsidR="00742EC5">
        <w:t xml:space="preserve">draw on the strengths of the </w:t>
      </w:r>
      <w:r w:rsidRPr="001D7A4A">
        <w:t>IAHP</w:t>
      </w:r>
      <w:r w:rsidR="00742EC5">
        <w:t xml:space="preserve"> to deliver </w:t>
      </w:r>
      <w:r w:rsidRPr="001D7A4A">
        <w:t>integrated policy response</w:t>
      </w:r>
      <w:r w:rsidR="00742EC5">
        <w:t>s</w:t>
      </w:r>
      <w:r w:rsidRPr="001D7A4A">
        <w:t xml:space="preserve"> to whole-of-system and whole-of-government commitments</w:t>
      </w:r>
      <w:r w:rsidR="00742EC5">
        <w:t xml:space="preserve"> </w:t>
      </w:r>
      <w:r w:rsidR="00527EA9">
        <w:t>has not been fully realised</w:t>
      </w:r>
      <w:r w:rsidRPr="001D7A4A">
        <w:t xml:space="preserve">. This is not to say that there is no governance and leadership oversight over the IAHP; there are processes for specific programs and activities and committed individuals and strong partnerships. </w:t>
      </w:r>
      <w:r w:rsidR="002629E0">
        <w:t>The</w:t>
      </w:r>
      <w:r w:rsidR="00115FBD">
        <w:t>re is an opportunity to extend on this</w:t>
      </w:r>
      <w:r w:rsidR="00502812">
        <w:t xml:space="preserve"> to build</w:t>
      </w:r>
      <w:r w:rsidRPr="001D7A4A" w:rsidDel="002629E0">
        <w:t xml:space="preserve"> </w:t>
      </w:r>
      <w:r w:rsidRPr="001D7A4A">
        <w:t xml:space="preserve">whole-of-IAHP governance and leadership, and </w:t>
      </w:r>
      <w:r w:rsidR="00502812">
        <w:t xml:space="preserve">strengthen </w:t>
      </w:r>
      <w:r w:rsidRPr="001D7A4A">
        <w:t>processes for shared decision-making</w:t>
      </w:r>
      <w:r w:rsidR="00A07BAA">
        <w:t xml:space="preserve">, including </w:t>
      </w:r>
      <w:r w:rsidRPr="001D7A4A">
        <w:t xml:space="preserve">at regional and local levels. The </w:t>
      </w:r>
      <w:r w:rsidR="00107831">
        <w:t>department</w:t>
      </w:r>
      <w:r w:rsidRPr="001D7A4A">
        <w:t xml:space="preserve"> </w:t>
      </w:r>
      <w:r w:rsidR="004E58FF">
        <w:t>continues to address this gap and is building the mechanisms t</w:t>
      </w:r>
      <w:r w:rsidR="00906ED3">
        <w:t>o</w:t>
      </w:r>
      <w:r w:rsidR="004E58FF">
        <w:t xml:space="preserve"> support a more active and inclusive partnership with </w:t>
      </w:r>
      <w:r w:rsidR="00B42E75">
        <w:t>funded services</w:t>
      </w:r>
      <w:r w:rsidR="00906ED3">
        <w:t>,</w:t>
      </w:r>
      <w:r w:rsidR="00B42E75">
        <w:t xml:space="preserve"> consistent with self-determination. </w:t>
      </w:r>
    </w:p>
    <w:p w14:paraId="7C44EB2B" w14:textId="271DFD19" w:rsidR="00944DAB" w:rsidRDefault="001D7A4A" w:rsidP="00343EB2">
      <w:pPr>
        <w:numPr>
          <w:ilvl w:val="0"/>
          <w:numId w:val="19"/>
        </w:numPr>
        <w:spacing w:after="120"/>
      </w:pPr>
      <w:r w:rsidRPr="001D7A4A">
        <w:t xml:space="preserve">From a </w:t>
      </w:r>
      <w:r w:rsidRPr="001525D8">
        <w:rPr>
          <w:b/>
          <w:bCs/>
        </w:rPr>
        <w:t>knowledge and information</w:t>
      </w:r>
      <w:r w:rsidRPr="001D7A4A">
        <w:t xml:space="preserve"> perspective,</w:t>
      </w:r>
      <w:r w:rsidR="00B63D3F">
        <w:t xml:space="preserve"> the </w:t>
      </w:r>
      <w:r w:rsidRPr="001D7A4A">
        <w:t xml:space="preserve">IAHP </w:t>
      </w:r>
      <w:r w:rsidRPr="00531FF4">
        <w:t>contributes to significant data and information about funded organisations and on process-of-care indicators.</w:t>
      </w:r>
      <w:r w:rsidR="00757959" w:rsidRPr="00531FF4">
        <w:t xml:space="preserve"> </w:t>
      </w:r>
      <w:r w:rsidR="00327F7B" w:rsidRPr="00531FF4">
        <w:t xml:space="preserve">The knowledge and information processes for the IAHP have been streamlined and </w:t>
      </w:r>
      <w:r w:rsidR="00327F7B" w:rsidRPr="00455A60">
        <w:t xml:space="preserve">improved, </w:t>
      </w:r>
      <w:r w:rsidR="0022046B" w:rsidRPr="00455A60">
        <w:t>including a shared process with ACCH</w:t>
      </w:r>
      <w:r w:rsidR="000B5A74" w:rsidRPr="00455A60">
        <w:t>S</w:t>
      </w:r>
      <w:r w:rsidR="0022046B" w:rsidRPr="00455A60">
        <w:t>s to revise the OSR and nKPI</w:t>
      </w:r>
      <w:r w:rsidR="00944DAB" w:rsidRPr="00455A60">
        <w:t>s</w:t>
      </w:r>
      <w:r w:rsidR="0022046B" w:rsidRPr="00455A60">
        <w:t>.</w:t>
      </w:r>
      <w:r w:rsidR="001525D8" w:rsidRPr="00455A60">
        <w:t xml:space="preserve"> </w:t>
      </w:r>
      <w:r w:rsidR="00EC1266" w:rsidRPr="00455A60">
        <w:t>While there have been improvements to the reporting arrangements for IAHP</w:t>
      </w:r>
      <w:r w:rsidR="000B4543" w:rsidRPr="00455A60">
        <w:t>, the need to supplement</w:t>
      </w:r>
      <w:r w:rsidR="000B4543">
        <w:t xml:space="preserve"> funding from other sources resulted in </w:t>
      </w:r>
      <w:r w:rsidR="00175650">
        <w:t xml:space="preserve">services feeling overburdened by </w:t>
      </w:r>
      <w:r w:rsidR="009478EE">
        <w:t xml:space="preserve">multiple </w:t>
      </w:r>
      <w:r w:rsidR="00175650">
        <w:t>reporting requirements</w:t>
      </w:r>
      <w:r w:rsidR="005B1893">
        <w:t>.</w:t>
      </w:r>
      <w:r w:rsidR="00A851A8">
        <w:t xml:space="preserve"> </w:t>
      </w:r>
      <w:r w:rsidR="00455A60">
        <w:t xml:space="preserve">Moreover, while there </w:t>
      </w:r>
      <w:r w:rsidR="00253496">
        <w:t xml:space="preserve">is support for effective data and knowledge transfer processes to support continuous improvement, </w:t>
      </w:r>
      <w:r w:rsidR="009478EE">
        <w:t xml:space="preserve">there is a perception that current arrangements do not provide this opportunity and are driven by compliance </w:t>
      </w:r>
      <w:r w:rsidR="005D1519">
        <w:t xml:space="preserve">rather than </w:t>
      </w:r>
      <w:r w:rsidR="00455A60">
        <w:t xml:space="preserve">being </w:t>
      </w:r>
      <w:r w:rsidR="004123D3">
        <w:t xml:space="preserve">orientated towards </w:t>
      </w:r>
      <w:r w:rsidR="005D1519">
        <w:t>improvement</w:t>
      </w:r>
      <w:r w:rsidR="00455A60">
        <w:t xml:space="preserve"> and learning</w:t>
      </w:r>
      <w:r w:rsidR="005D1519">
        <w:t xml:space="preserve">. </w:t>
      </w:r>
      <w:r w:rsidR="000E7B0F">
        <w:t xml:space="preserve">Any future effort to improve the data and knowledge transfer processes for the IAHP should focus on </w:t>
      </w:r>
      <w:r w:rsidR="00944DAB">
        <w:t xml:space="preserve">delivering transformational change to support community-led decision-making through relevant, outcomes-driven data collection and transfer processes. </w:t>
      </w:r>
    </w:p>
    <w:p w14:paraId="5E12F786" w14:textId="46BE35AE" w:rsidR="001D7A4A" w:rsidRPr="001D7A4A" w:rsidRDefault="001D7A4A" w:rsidP="001525D8">
      <w:pPr>
        <w:pStyle w:val="Bullet1"/>
        <w:ind w:firstLine="0"/>
      </w:pPr>
      <w:r w:rsidRPr="001D7A4A">
        <w:t xml:space="preserve">There has been considerable investment in the knowledge and information systems around the IAHP, notably the OSR and nKPI data collections, and </w:t>
      </w:r>
      <w:r w:rsidR="007B190A">
        <w:t xml:space="preserve">there is </w:t>
      </w:r>
      <w:r w:rsidR="00BC4E89">
        <w:t xml:space="preserve">improved </w:t>
      </w:r>
      <w:r w:rsidR="007B190A">
        <w:t xml:space="preserve">balance between </w:t>
      </w:r>
      <w:r w:rsidR="00766B4B">
        <w:t xml:space="preserve">data collection and reporting burden. </w:t>
      </w:r>
      <w:r w:rsidR="004123D3">
        <w:t>A</w:t>
      </w:r>
      <w:r w:rsidRPr="001D7A4A">
        <w:t xml:space="preserve">ny decisions on managing </w:t>
      </w:r>
      <w:r w:rsidRPr="001D7A4A">
        <w:lastRenderedPageBreak/>
        <w:t xml:space="preserve">perceived shortcomings need careful consideration. At the same time, achieving an acceptable return on this investment </w:t>
      </w:r>
      <w:r w:rsidR="004123D3">
        <w:t xml:space="preserve">in knowledge and information </w:t>
      </w:r>
      <w:r w:rsidRPr="001D7A4A">
        <w:t>is paramount. There is work going on beyond the IAHP on the PHC minimum data set. This will deliver incremental improvements but perhaps not the transformational change needed to drive access to, and the capability to use, locally-relevant data and information, as committed to in the National Agreement on Closing the Gap.</w:t>
      </w:r>
    </w:p>
    <w:p w14:paraId="18AEBD61" w14:textId="29A3FC63" w:rsidR="001D7A4A" w:rsidRPr="001D7A4A" w:rsidRDefault="008242FF" w:rsidP="001D7A4A">
      <w:r>
        <w:t xml:space="preserve">It is clear that the </w:t>
      </w:r>
      <w:r w:rsidR="001D7A4A" w:rsidRPr="001D7A4A">
        <w:t xml:space="preserve">IAHP makes a strong contribution to </w:t>
      </w:r>
      <w:r w:rsidR="00F71FC3">
        <w:t xml:space="preserve">system capacity to </w:t>
      </w:r>
      <w:r w:rsidR="001D7A4A" w:rsidRPr="001D7A4A">
        <w:t>deliver</w:t>
      </w:r>
      <w:r w:rsidR="00F71FC3">
        <w:t xml:space="preserve"> primary health services to Aboriginal and Torres Strait Islander people</w:t>
      </w:r>
      <w:r w:rsidR="0059123C">
        <w:t>. T</w:t>
      </w:r>
      <w:r w:rsidR="001D7A4A" w:rsidRPr="001D7A4A">
        <w:t xml:space="preserve">here </w:t>
      </w:r>
      <w:r w:rsidR="009A1786">
        <w:t xml:space="preserve">is less clarity on </w:t>
      </w:r>
      <w:r w:rsidR="003B4A60">
        <w:t xml:space="preserve">how well </w:t>
      </w:r>
      <w:r w:rsidR="009A1786">
        <w:t xml:space="preserve">the IAHP </w:t>
      </w:r>
      <w:r w:rsidR="006A0241">
        <w:t xml:space="preserve">enables activity in other parts of the </w:t>
      </w:r>
      <w:r w:rsidR="001D7A4A" w:rsidRPr="001D7A4A">
        <w:t xml:space="preserve">PHC system. Equally, reflecting the dual direction of many of the evaluation questions, there are also inconsistencies in how well the rest of the PHC system is enabling the IAHP to work. Overall, there is </w:t>
      </w:r>
      <w:r w:rsidR="00D122F0">
        <w:t xml:space="preserve">evidence that the limited integration of the IAHP with </w:t>
      </w:r>
      <w:r w:rsidR="00B33885">
        <w:t xml:space="preserve">the wider PHC </w:t>
      </w:r>
      <w:r w:rsidR="001D7A4A" w:rsidRPr="001D7A4A" w:rsidDel="00B33885">
        <w:t xml:space="preserve">system </w:t>
      </w:r>
      <w:r w:rsidR="000F5C47">
        <w:t xml:space="preserve">has an influence on how the IAHP is expected to contribute to whole of system </w:t>
      </w:r>
      <w:r w:rsidR="008A3B79">
        <w:t xml:space="preserve">impacts and outcomes. </w:t>
      </w:r>
      <w:r w:rsidR="00A231E8">
        <w:t xml:space="preserve"> </w:t>
      </w:r>
    </w:p>
    <w:p w14:paraId="02A3E2B9" w14:textId="7283CBBB" w:rsidR="001D7A4A" w:rsidRPr="00C078C6" w:rsidRDefault="001D7A4A" w:rsidP="001D7A4A">
      <w:pPr>
        <w:keepNext/>
        <w:spacing w:before="360" w:line="240" w:lineRule="auto"/>
        <w:jc w:val="left"/>
        <w:outlineLvl w:val="5"/>
        <w:rPr>
          <w:rFonts w:cstheme="minorHAnsi"/>
          <w:b/>
          <w:bCs/>
          <w:color w:val="275D8E" w:themeColor="accent1" w:themeShade="BF"/>
          <w:sz w:val="24"/>
          <w:szCs w:val="24"/>
          <w:lang w:val="en-NZ"/>
        </w:rPr>
      </w:pPr>
      <w:r w:rsidRPr="00C078C6">
        <w:rPr>
          <w:rFonts w:cstheme="minorHAnsi"/>
          <w:b/>
          <w:bCs/>
          <w:color w:val="275D8E" w:themeColor="accent1" w:themeShade="BF"/>
          <w:sz w:val="24"/>
          <w:szCs w:val="24"/>
          <w:lang w:val="en-NZ"/>
        </w:rPr>
        <w:t>KEQ3: What difference is the IAHP making to the health and wellbeing of Aboriginal and Torres Strait Islander people?</w:t>
      </w:r>
    </w:p>
    <w:p w14:paraId="24A478EF" w14:textId="36C49891" w:rsidR="001D7A4A" w:rsidRPr="001D7A4A" w:rsidRDefault="001D7A4A" w:rsidP="001D7A4A">
      <w:r w:rsidRPr="001D7A4A">
        <w:t xml:space="preserve">The evaluation </w:t>
      </w:r>
      <w:r w:rsidR="00BA5996">
        <w:t>considered</w:t>
      </w:r>
      <w:r w:rsidRPr="001D7A4A">
        <w:t xml:space="preserve"> how the health and wellbeing of Aboriginal and Torres Strait Islander people is changing over time. The evaluation also examined how PHC activity was associated with changes in health and wellbeing outcomes, and the influence of other determinants on outcomes. There was limited ability to attribute changes in health and wellbeing to IAHP investments.</w:t>
      </w:r>
    </w:p>
    <w:p w14:paraId="2023590A" w14:textId="77777777" w:rsidR="00385C97" w:rsidRPr="00C078C6" w:rsidRDefault="00385C97" w:rsidP="00385C97">
      <w:pPr>
        <w:rPr>
          <w:b/>
          <w:bCs/>
          <w:color w:val="9E6047" w:themeColor="accent3"/>
        </w:rPr>
      </w:pPr>
      <w:r w:rsidRPr="00C078C6">
        <w:rPr>
          <w:b/>
          <w:bCs/>
          <w:color w:val="9E6047" w:themeColor="accent3"/>
        </w:rPr>
        <w:t>Trends in the health and wellbeing of Aboriginal and Torres Strait Islander people</w:t>
      </w:r>
    </w:p>
    <w:p w14:paraId="4A2C9EB5" w14:textId="72A22B90" w:rsidR="00385C97" w:rsidRPr="00385C97" w:rsidRDefault="00385C97" w:rsidP="00385C97">
      <w:r w:rsidRPr="00385C97">
        <w:t>The evaluation findings align with other data indicating mixed results in trends in Aboriginal and Torres Strait Islander health and wellbeing.</w:t>
      </w:r>
      <w:r w:rsidR="00A45FB3">
        <w:t xml:space="preserve"> </w:t>
      </w:r>
      <w:r w:rsidRPr="00385C97">
        <w:t xml:space="preserve">The burden of disease among Aboriginal and Torres Strait Islander people is 2.3 times greater than the burden among non-Indigenous Australians </w:t>
      </w:r>
      <w:r w:rsidRPr="00385C97">
        <w:fldChar w:fldCharType="begin"/>
      </w:r>
      <w:r w:rsidR="00F8760E">
        <w:instrText xml:space="preserve"> ADDIN ZOTERO_ITEM CSL_CITATION {"citationID":"GevMnsua","properties":{"formattedCitation":"(Australian Institute of Health and Welfare, 2022a)","plainCitation":"(Australian Institute of Health and Welfare, 2022a)","noteIndex":0},"citationItems":[{"id":3891,"uris":["http://zotero.org/groups/4420056/items/7RY54XGJ",["http://zotero.org/groups/4420056/items/7RY54XGJ"],["http://zotero.org/groups/4420056/items/7RY54XGJ",["http://zotero.org/groups/4420056/items/7RY54XGJ"]]],"itemData":{"id":3891,"type":"report","abstract":"This report describes the impact of 219 diseases and injuries among Aboriginal and Torres Strait Islander people in terms of living with illness (non-fatal burden) and premature death (fatal burden). It finds that:\n\nthe burden rate fell by 15% between 2003 and 2018, driven by a substantial drop in fatal burden\ninjuries and chronic diseases (such as mental &amp; substance use disorders, cardiovascular diseases, cancers and musculoskeletal conditions) caused most of the burden in 2018.","language":"en","note":"DOI: 10.25816/XD60-4366","publisher":"Australian Institute of Health and Welfare","source":"DOI.org (Datacite)","title":"Australian Burden of Disease Study: Impact and causes of illness and death in Aboriginal and Torres Strait Islander people 2018","URL":"http://www.aihw.gov.au/reports/burden-of-disease/illness-death-indigenous-2018","author":[{"family":"Australian Institute of Health and Welfare","given":""}],"contributor":[{"family":"AIHW","given":""}],"accessed":{"date-parts":[["2023",6,7]]},"issued":{"date-parts":[["2022"]]}}}],"schema":"https://github.com/citation-style-language/schema/raw/master/csl-citation.json"} </w:instrText>
      </w:r>
      <w:r w:rsidRPr="00385C97">
        <w:fldChar w:fldCharType="separate"/>
      </w:r>
      <w:r w:rsidR="00685726" w:rsidRPr="00685726">
        <w:rPr>
          <w:rFonts w:ascii="Arial" w:hAnsi="Arial" w:cs="Arial"/>
        </w:rPr>
        <w:t>(Australian Institute of Health and Welfare, 2022a)</w:t>
      </w:r>
      <w:r w:rsidRPr="00385C97">
        <w:fldChar w:fldCharType="end"/>
      </w:r>
      <w:r w:rsidRPr="00385C97">
        <w:t xml:space="preserve">. This relative gap in burden remained stable between 2003 and 2018 although the absolute gap between Aboriginal and Torres Strait Islander people and non-Indigenous Australians decreased (DALY rate differences of 263 and 222 per 1,000 people). </w:t>
      </w:r>
    </w:p>
    <w:p w14:paraId="2CD172B3" w14:textId="0C39291E" w:rsidR="00385C97" w:rsidRPr="00385C97" w:rsidRDefault="00385C97" w:rsidP="00385C97">
      <w:r w:rsidRPr="00385C97">
        <w:t xml:space="preserve">Five disease groups accounted for almost two-thirds (63%) of the total disease burden among Aboriginal and Torres Strait Islander people: mental and substance use disorders, injuries, cardiovascular diseases, cancer and other neoplasms, and musculoskeletal conditions. In 2018, 49% of the burden of disease in Aboriginal and Torres Strait Islander people could potentially have been prevented by avoiding exposure to modifiable risk factors </w:t>
      </w:r>
      <w:r w:rsidRPr="00385C97">
        <w:fldChar w:fldCharType="begin"/>
      </w:r>
      <w:r w:rsidR="00F8760E">
        <w:instrText xml:space="preserve"> ADDIN ZOTERO_ITEM CSL_CITATION {"citationID":"kRULeqYz","properties":{"formattedCitation":"(Australian Institute of Health and Welfare, 2022a)","plainCitation":"(Australian Institute of Health and Welfare, 2022a)","noteIndex":0},"citationItems":[{"id":3891,"uris":["http://zotero.org/groups/4420056/items/7RY54XGJ",["http://zotero.org/groups/4420056/items/7RY54XGJ"],["http://zotero.org/groups/4420056/items/7RY54XGJ",["http://zotero.org/groups/4420056/items/7RY54XGJ"]]],"itemData":{"id":3891,"type":"report","abstract":"This report describes the impact of 219 diseases and injuries among Aboriginal and Torres Strait Islander people in terms of living with illness (non-fatal burden) and premature death (fatal burden). It finds that:\n\nthe burden rate fell by 15% between 2003 and 2018, driven by a substantial drop in fatal burden\ninjuries and chronic diseases (such as mental &amp; substance use disorders, cardiovascular diseases, cancers and musculoskeletal conditions) caused most of the burden in 2018.","language":"en","note":"DOI: 10.25816/XD60-4366","publisher":"Australian Institute of Health and Welfare","source":"DOI.org (Datacite)","title":"Australian Burden of Disease Study: Impact and causes of illness and death in Aboriginal and Torres Strait Islander people 2018","URL":"http://www.aihw.gov.au/reports/burden-of-disease/illness-death-indigenous-2018","author":[{"family":"Australian Institute of Health and Welfare","given":""}],"contributor":[{"family":"AIHW","given":""}],"accessed":{"date-parts":[["2023",6,7]]},"issued":{"date-parts":[["2022"]]}}}],"schema":"https://github.com/citation-style-language/schema/raw/master/csl-citation.json"} </w:instrText>
      </w:r>
      <w:r w:rsidRPr="00385C97">
        <w:fldChar w:fldCharType="separate"/>
      </w:r>
      <w:r w:rsidR="00685726" w:rsidRPr="00685726">
        <w:rPr>
          <w:rFonts w:ascii="Arial" w:hAnsi="Arial" w:cs="Arial"/>
        </w:rPr>
        <w:t>(Australian Institute of Health and Welfare, 2022a)</w:t>
      </w:r>
      <w:r w:rsidRPr="00385C97">
        <w:fldChar w:fldCharType="end"/>
      </w:r>
      <w:r w:rsidRPr="00385C97">
        <w:t>. The risk factors contributing to the most burden were tobacco use (11.9% to total burden), alcohol use (10.5%), overweight, including obesity (9.7%) illicit drug use (6.9%), and dietary risks (6.2%).</w:t>
      </w:r>
    </w:p>
    <w:p w14:paraId="7A2A1AE9" w14:textId="77777777" w:rsidR="00385C97" w:rsidRPr="00385C97" w:rsidRDefault="00385C97" w:rsidP="00385C97">
      <w:r w:rsidRPr="00385C97">
        <w:t xml:space="preserve">The evaluation found that over one-third (9 of 24) of nKPI process-of-care and health outcome indicators showed meaningful improvement across the evaluation sites over June 2017 to December 2019. Three indicators showed change in a non-favourable direction over this period. Nationally, of 23 nKPI measures, between June 2017 and June 2022, 3 showed </w:t>
      </w:r>
      <w:r w:rsidRPr="00385C97">
        <w:lastRenderedPageBreak/>
        <w:t>improvement, 5 showed no (or limited) change, 10 had not improved, and trends for 5 could not be calculated.</w:t>
      </w:r>
      <w:r w:rsidRPr="00385C97">
        <w:rPr>
          <w:vertAlign w:val="superscript"/>
        </w:rPr>
        <w:footnoteReference w:id="82"/>
      </w:r>
      <w:r w:rsidRPr="00385C97">
        <w:t xml:space="preserve">  </w:t>
      </w:r>
    </w:p>
    <w:p w14:paraId="3C574D56" w14:textId="77777777" w:rsidR="00385C97" w:rsidRPr="00385C97" w:rsidRDefault="00385C97" w:rsidP="00385C97">
      <w:r w:rsidRPr="00385C97">
        <w:t>National data on health-related Closing the Gap outcomes and targets</w:t>
      </w:r>
      <w:r w:rsidRPr="00385C97">
        <w:rPr>
          <w:vertAlign w:val="superscript"/>
        </w:rPr>
        <w:footnoteReference w:id="83"/>
      </w:r>
      <w:r w:rsidRPr="00385C97">
        <w:t xml:space="preserve"> indicates:</w:t>
      </w:r>
    </w:p>
    <w:p w14:paraId="7C3EBD45" w14:textId="77777777" w:rsidR="00385C97" w:rsidRPr="00385C97" w:rsidRDefault="00385C97" w:rsidP="00C040B6">
      <w:pPr>
        <w:numPr>
          <w:ilvl w:val="0"/>
          <w:numId w:val="27"/>
        </w:numPr>
        <w:spacing w:after="120"/>
        <w:ind w:left="714" w:hanging="357"/>
        <w:rPr>
          <w:lang w:val="en-NZ"/>
        </w:rPr>
      </w:pPr>
      <w:r w:rsidRPr="00385C97">
        <w:rPr>
          <w:lang w:val="en-NZ"/>
        </w:rPr>
        <w:t xml:space="preserve">Improvements in life expectancy for Aboriginal and Torres Strait Islander people between 2005-07 and 2015-17 and a narrowing of the gap between Aboriginal and Torres Strait Islander people and non-Indigenous Australians </w:t>
      </w:r>
      <w:r w:rsidRPr="00385C97">
        <w:t>(from 11.4 years to 8.6 years for males and from 9.6 years to 7.8 years for females)</w:t>
      </w:r>
      <w:r w:rsidRPr="00385C97">
        <w:rPr>
          <w:lang w:val="en-NZ"/>
        </w:rPr>
        <w:t>. However, the 2031 target (closing the gap) is not on track to be met.</w:t>
      </w:r>
    </w:p>
    <w:p w14:paraId="0DF008E4" w14:textId="77777777" w:rsidR="00385C97" w:rsidRPr="00385C97" w:rsidRDefault="00385C97" w:rsidP="00C040B6">
      <w:pPr>
        <w:numPr>
          <w:ilvl w:val="0"/>
          <w:numId w:val="27"/>
        </w:numPr>
        <w:spacing w:after="120"/>
        <w:ind w:left="714" w:hanging="357"/>
        <w:rPr>
          <w:lang w:val="en-NZ"/>
        </w:rPr>
      </w:pPr>
      <w:r w:rsidRPr="00385C97">
        <w:rPr>
          <w:lang w:val="en-NZ"/>
        </w:rPr>
        <w:t>No overall change in the proportion of Aboriginal and Torres Strait Islander babies with a healthy birthweight (89%) between 2014 and 2020. The 2031 target (91%) is not on track to be met.</w:t>
      </w:r>
    </w:p>
    <w:p w14:paraId="4C91BA04" w14:textId="77777777" w:rsidR="00385C97" w:rsidRPr="00385C97" w:rsidRDefault="00385C97" w:rsidP="000C5422">
      <w:pPr>
        <w:numPr>
          <w:ilvl w:val="0"/>
          <w:numId w:val="27"/>
        </w:numPr>
        <w:rPr>
          <w:lang w:val="en-NZ"/>
        </w:rPr>
      </w:pPr>
      <w:r w:rsidRPr="00385C97">
        <w:rPr>
          <w:lang w:val="en-NZ"/>
        </w:rPr>
        <w:t>An increase in the suicide mortality rate for Aboriginal and Torres Strait Islander people between 2009 and 2021. The 2031 target (significant and sustained reduction towards zero) is not on track to be met.</w:t>
      </w:r>
    </w:p>
    <w:p w14:paraId="0D9A0538" w14:textId="77777777" w:rsidR="00385C97" w:rsidRPr="007A136C" w:rsidRDefault="00385C97" w:rsidP="00385C97">
      <w:pPr>
        <w:rPr>
          <w:b/>
          <w:bCs/>
          <w:color w:val="9E6047" w:themeColor="accent3"/>
        </w:rPr>
      </w:pPr>
      <w:r w:rsidRPr="007A136C">
        <w:rPr>
          <w:b/>
          <w:bCs/>
          <w:color w:val="9E6047" w:themeColor="accent3"/>
        </w:rPr>
        <w:t>The influence of primary care activity on the health and wellbeing of Aboriginal and Torres Strait Islander people</w:t>
      </w:r>
    </w:p>
    <w:p w14:paraId="68C7000C" w14:textId="1B6EC06E" w:rsidR="00385C97" w:rsidRPr="00385C97" w:rsidRDefault="00385C97" w:rsidP="00385C97">
      <w:r w:rsidRPr="00385C97">
        <w:rPr>
          <w:lang w:val="en-NZ"/>
        </w:rPr>
        <w:t xml:space="preserve">Primary health care is a core part of any health system, with international evidence indicating that a strong PHC system correlates with better health outcomes, reduced national health care expenditure, and lower infant mortality rates </w:t>
      </w:r>
      <w:r w:rsidRPr="00385C97">
        <w:rPr>
          <w:lang w:val="en-NZ"/>
        </w:rPr>
        <w:fldChar w:fldCharType="begin"/>
      </w:r>
      <w:r w:rsidR="00F8760E">
        <w:rPr>
          <w:lang w:val="en-NZ"/>
        </w:rPr>
        <w:instrText xml:space="preserve"> ADDIN ZOTERO_ITEM CSL_CITATION {"citationID":"x2pxi7b2","properties":{"formattedCitation":"(Starfield &amp; Shi, 2002)","plainCitation":"(Starfield &amp; Shi, 2002)","noteIndex":0},"citationItems":[{"id":391,"uris":["http://zotero.org/groups/4420056/items/D3J28UCF",["http://zotero.org/groups/4420056/items/D3J28UCF"],["http://zotero.org/groups/4420056/items/D3J28UCF",["http://zotero.org/groups/4420056/items/D3J28UCF"]]],"itemData":{"id":391,"type":"article-journal","abstract":"BACKGROUND: International comparisons can provide clues to understanding some of the important policy-related determinants of health, including those related to the provision of health care services. An earlier study indicated that the strength of the primary care infrastructure of a health services system might be related to overall costs of health services. The purpose of the current research was to determine the robustness of the findings in the light of the passage of 5-10 years, the addition of two more countries, and the findings of other research on the possible importance of other determinants of country health levels.\nMETHODS: Thirteen industrialized countries, all with populations of at least 5 million, were characterized by the relative strength of their primary care infrastructure, the degree of national income inequality, and a major manifestation of a behavioral determinant of health that is amenable to policy intervention (smoking), using international data sets and national informants. Health system and primary care practice characteristics were judged according to pre-set criteria. Major indicators of health were used as dependent variables, as were health care costs.\nFINDINGS: The stronger the primary care, the lower the costs. Countries with very weak primary care infrastructures have poorer performance on major aspects of health. Although countries that are intermediate in the strength of their primary care generally have levels of health at least as good as those with high levels of primary care, this is not the case in early life, when the impact of strong primary care is greatest. A subset of characteristics (equitable distribution of resources, publicly accountable universal financial coverage, low cost sharing, comprehensive services, and family-oriented services) distinguishes countries with overall good health from those with poor health at all ages. Neither income inequality nor smoking status accurately identified those countries with either consistently high or consistently poor performance on the health indicators.\nINTERPRETATION: A certain level of health care expenditures may be required to achieve overall good health levels, even in the presence of strong primary care infrastructures. Very low costs may interfere with achievement of good health, particularly at older ages, although very high levels of costs may signal excessive and potentially health-compromising care. Five policy-relevant characteristics appear to be related to better population health levels. There is no consistent relationship between income inequality, smoking, and health levels as measured by various indicators of health in different age groups.","container-title":"Health Policy (Amsterdam, Netherlands)","DOI":"10.1016/s0168-8510(01)00208-1","ISSN":"0168-8510","issue":"3","journalAbbreviation":"Health Policy","language":"eng","note":"PMID: 11965331","page":"201-218","source":"PubMed","title":"Policy relevant determinants of health: an international perspective","title-short":"Policy relevant determinants of health","volume":"60","author":[{"family":"Starfield","given":"Barbara"},{"family":"Shi","given":"Leiyu"}],"issued":{"date-parts":[["2002",6]]}}}],"schema":"https://github.com/citation-style-language/schema/raw/master/csl-citation.json"} </w:instrText>
      </w:r>
      <w:r w:rsidRPr="00385C97">
        <w:rPr>
          <w:lang w:val="en-NZ"/>
        </w:rPr>
        <w:fldChar w:fldCharType="separate"/>
      </w:r>
      <w:r w:rsidRPr="00385C97">
        <w:t>(Starfield &amp; Shi, 2002)</w:t>
      </w:r>
      <w:r w:rsidRPr="00385C97">
        <w:fldChar w:fldCharType="end"/>
      </w:r>
      <w:r w:rsidRPr="00385C97">
        <w:rPr>
          <w:lang w:val="en-NZ"/>
        </w:rPr>
        <w:t xml:space="preserve">. The evaluation found high variation in health care activity, such as health assessments, GP management plans, testing, immunisation and recording of data across the evaluation sites, and that higher levels of activity tended to cluster together. Across the evaluation sites, the proportion of </w:t>
      </w:r>
      <w:r w:rsidRPr="00385C97">
        <w:t>Aboriginal and Torres Strait Islander people who received health assessments increased between 2012-13 and 2018-19, from a median of 157 to 280 per 1,000 Aboriginal and Torres Strait Islander people. This is similar to the national rate which increased from 161 to 288 over the same period. There has been a decline over the past 2 years to a rate of 272 per 1,000 Aboriginal and Torres Strait Islander people.</w:t>
      </w:r>
      <w:r w:rsidRPr="00385C97">
        <w:rPr>
          <w:vertAlign w:val="superscript"/>
        </w:rPr>
        <w:footnoteReference w:id="84"/>
      </w:r>
    </w:p>
    <w:p w14:paraId="3559A9DF" w14:textId="77777777" w:rsidR="00385C97" w:rsidRPr="00385C97" w:rsidRDefault="00385C97" w:rsidP="00385C97">
      <w:r w:rsidRPr="00385C97">
        <w:t>The evaluation found that higher levels of primary care activity were associated with increased levels of hospital care for many diagnoses. Taking a case study of diabetes, the evaluation found that increased primary care activity, couple with increased hospital care was associated with lower rates of mortality for diabetes. Therefore, taken together, more primary and hospital care was contributing to improved mortality outcomes.</w:t>
      </w:r>
    </w:p>
    <w:p w14:paraId="4BD69DDD" w14:textId="0652B397" w:rsidR="00385C97" w:rsidRPr="00385C97" w:rsidRDefault="00385C97" w:rsidP="00385C97">
      <w:r w:rsidRPr="00385C97">
        <w:t xml:space="preserve">Potentially avoidable deaths and potentially preventable hospitalisations are used in Australia as performance indicators for the accessibility and effectiveness of the health system, </w:t>
      </w:r>
      <w:r w:rsidRPr="00385C97">
        <w:lastRenderedPageBreak/>
        <w:t xml:space="preserve">including hospital, primary and community care. </w:t>
      </w:r>
      <w:r w:rsidRPr="00385C97">
        <w:rPr>
          <w:lang w:val="en-NZ"/>
        </w:rPr>
        <w:t>Deaths of Aboriginal and Torres Strait Islander people determined as potentially avoidable represent 79.3% of all deaths at all ages; this is 2.5 times the proportion for non-Indigenous Australians.</w:t>
      </w:r>
      <w:r w:rsidRPr="00385C97">
        <w:rPr>
          <w:vertAlign w:val="superscript"/>
          <w:lang w:val="en-NZ"/>
        </w:rPr>
        <w:footnoteReference w:id="85"/>
      </w:r>
      <w:r w:rsidRPr="00385C97">
        <w:rPr>
          <w:lang w:val="en-NZ"/>
        </w:rPr>
        <w:t xml:space="preserve"> Moreover, Aboriginal and Torres Strait Islander people experience potentially preventable hospitalisations </w:t>
      </w:r>
      <w:r w:rsidR="003B528D">
        <w:rPr>
          <w:lang w:val="en-NZ"/>
        </w:rPr>
        <w:t xml:space="preserve">(PPH) </w:t>
      </w:r>
      <w:r w:rsidRPr="00385C97">
        <w:rPr>
          <w:lang w:val="en-NZ"/>
        </w:rPr>
        <w:t>at a rate 3 times as high as non-Indigenous Australians</w:t>
      </w:r>
      <w:r w:rsidR="00011A93">
        <w:rPr>
          <w:lang w:val="en-NZ"/>
        </w:rPr>
        <w:t xml:space="preserve"> </w:t>
      </w:r>
      <w:r w:rsidR="00685726">
        <w:rPr>
          <w:lang w:val="en-NZ"/>
        </w:rPr>
        <w:fldChar w:fldCharType="begin"/>
      </w:r>
      <w:r w:rsidR="00F8760E">
        <w:rPr>
          <w:lang w:val="en-NZ"/>
        </w:rPr>
        <w:instrText xml:space="preserve"> ADDIN ZOTERO_ITEM CSL_CITATION {"citationID":"NW1sxQyD","properties":{"formattedCitation":"(Australian Institute of Health and Welfare, 2020c)","plainCitation":"(Australian Institute of Health and Welfare, 2020c)","noteIndex":0},"citationItems":[{"id":3897,"uris":["http://zotero.org/groups/5010721/items/AWGNT9SJ",["http://zotero.org/groups/5010721/items/AWGNT9SJ"],["http://zotero.org/groups/5010721/items/AWGNT9SJ",["http://zotero.org/groups/5010721/items/AWGNT9SJ"]]],"itemData":{"id":3897,"type":"report","event-place":"Canberra","publisher-place":"Canberra","title":"Disparities in potentially preventable hospitalisations across Australia - 2021-13 to 2017-18","URL":"https://www.aihw.gov.au/getmedia/20bc5bf9-d46c-40a7-96c1-d632a1d448bc/aihw-hpf-50.pdf.aspx?inline=true","author":[{"literal":"Australian Institute of Health and Welfare"}],"accessed":{"date-parts":[["2023",6,7]]},"issued":{"date-parts":[["2020"]]}}}],"schema":"https://github.com/citation-style-language/schema/raw/master/csl-citation.json"} </w:instrText>
      </w:r>
      <w:r w:rsidR="00685726">
        <w:rPr>
          <w:lang w:val="en-NZ"/>
        </w:rPr>
        <w:fldChar w:fldCharType="separate"/>
      </w:r>
      <w:r w:rsidR="00685726" w:rsidRPr="00685726">
        <w:rPr>
          <w:rFonts w:ascii="Arial" w:hAnsi="Arial" w:cs="Arial"/>
        </w:rPr>
        <w:t>(Australian Institute of Health and Welfare, 2020c)</w:t>
      </w:r>
      <w:r w:rsidR="00685726">
        <w:rPr>
          <w:lang w:val="en-NZ"/>
        </w:rPr>
        <w:fldChar w:fldCharType="end"/>
      </w:r>
      <w:r w:rsidRPr="00385C97">
        <w:rPr>
          <w:lang w:val="en-NZ"/>
        </w:rPr>
        <w:t xml:space="preserve">. In 2017-18, there were nearly 45,000 PPH for Aboriginal and Torres Strait Islander people. Between 2012-13 and 2017-18, the rate of PPH for Aboriginal and Torres Strait Islander people increased by 25%, compared with a 15% increase for non-Indigenous Australians. </w:t>
      </w:r>
      <w:r w:rsidRPr="00385C97">
        <w:t xml:space="preserve">PPH rates often increase with increasing remoteness and socioeconomic disadvantage. The PPH gap between people living in very remote areas and major cities widened between 2012-13 and 2017-18. Similarly, the gap between people living in the lowest and highest socioeconomic areas widened for a number of conditions </w:t>
      </w:r>
      <w:r w:rsidR="002D07A3">
        <w:fldChar w:fldCharType="begin"/>
      </w:r>
      <w:r w:rsidR="00F8760E">
        <w:instrText xml:space="preserve"> ADDIN ZOTERO_ITEM CSL_CITATION {"citationID":"AR9WTDPd","properties":{"formattedCitation":"(Australian Institute of Health and Welfare, 2020c)","plainCitation":"(Australian Institute of Health and Welfare, 2020c)","noteIndex":0},"citationItems":[{"id":3897,"uris":["http://zotero.org/groups/5010721/items/AWGNT9SJ",["http://zotero.org/groups/5010721/items/AWGNT9SJ"],["http://zotero.org/groups/5010721/items/AWGNT9SJ",["http://zotero.org/groups/5010721/items/AWGNT9SJ"]]],"itemData":{"id":3897,"type":"report","event-place":"Canberra","publisher-place":"Canberra","title":"Disparities in potentially preventable hospitalisations across Australia - 2021-13 to 2017-18","URL":"https://www.aihw.gov.au/getmedia/20bc5bf9-d46c-40a7-96c1-d632a1d448bc/aihw-hpf-50.pdf.aspx?inline=true","author":[{"literal":"Australian Institute of Health and Welfare"}],"accessed":{"date-parts":[["2023",6,7]]},"issued":{"date-parts":[["2020"]]}}}],"schema":"https://github.com/citation-style-language/schema/raw/master/csl-citation.json"} </w:instrText>
      </w:r>
      <w:r w:rsidR="002D07A3">
        <w:fldChar w:fldCharType="separate"/>
      </w:r>
      <w:r w:rsidR="002D07A3" w:rsidRPr="002D07A3">
        <w:rPr>
          <w:rFonts w:ascii="Arial" w:hAnsi="Arial" w:cs="Arial"/>
        </w:rPr>
        <w:t>(Australian Institute of Health and Welfare, 2020c)</w:t>
      </w:r>
      <w:r w:rsidR="002D07A3">
        <w:fldChar w:fldCharType="end"/>
      </w:r>
      <w:r w:rsidRPr="00385C97">
        <w:t>.</w:t>
      </w:r>
    </w:p>
    <w:p w14:paraId="0372F690" w14:textId="6BC1B987" w:rsidR="00385C97" w:rsidRPr="00385C97" w:rsidRDefault="00385C97" w:rsidP="00385C97">
      <w:pPr>
        <w:rPr>
          <w:lang w:val="en-NZ"/>
        </w:rPr>
      </w:pPr>
      <w:r w:rsidRPr="00385C97">
        <w:t xml:space="preserve">The evaluation finding of the </w:t>
      </w:r>
      <w:r w:rsidRPr="005A7DA4">
        <w:t>association between higher levels of primary care activity and hospitalisations is not uncommon (for example,</w:t>
      </w:r>
      <w:r w:rsidR="00A368E7" w:rsidRPr="005A7DA4">
        <w:t xml:space="preserve"> </w:t>
      </w:r>
      <w:r w:rsidR="009643CD" w:rsidRPr="005A7DA4">
        <w:fldChar w:fldCharType="begin"/>
      </w:r>
      <w:r w:rsidR="00F8760E">
        <w:instrText xml:space="preserve"> ADDIN ZOTERO_ITEM CSL_CITATION {"citationID":"lmyW7tHX","properties":{"formattedCitation":"(Starfield, 1991)","plainCitation":"(Starfield, 1991)","dontUpdate":true,"noteIndex":0},"citationItems":[{"id":3901,"uris":["http://zotero.org/groups/5010721/items/I2BE5ER4",["http://zotero.org/groups/5010721/items/I2BE5ER4"],["http://zotero.org/groups/5010721/items/I2BE5ER4",["http://zotero.org/groups/5010721/items/I2BE5ER4"]]],"itemData":{"id":3901,"type":"article-journal","abstract":"Ten Western industrialized nations were compared on the basis of three characteristics: the extent of their primary health service, their levels of 12 health indicators (eg, infant mortality, life expectancy, and age-adjusted death rates), and the satisfaction of their populations in relation to overall costs of the systems. Information was derived primarily from published sources. Indices were developed to characterize the extent of primary care in each country and the standing of each country relative to the others on the health indicators. There was general concordance for primary care, the health indicators, and the satisfaction-expense ratio in nine of the 10 countries. Ratings for the United States were low on all three measures. West Germany also had low ratings. In contrast, Canada, Sweden, and the Netherlands had generally high ratings for all three measures. The lack of concordance in the ratings in the United Kingdom may be a result of relatively low expenditures for other social services and public education in that country. The findings may add to the debate and deliberations concerning modifications in organization and financing of care that are currently being considered in the United States.","container-title":"JAMA","ISSN":"0098-7484","issue":"16","journalAbbreviation":"JAMA","language":"eng","note":"PMID: 1920727","page":"2268-2271","source":"PubMed","title":"Primary care and health. A cross-national comparison","volume":"266","author":[{"family":"Starfield","given":"B."}],"issued":{"date-parts":[["1991",10,23]]}}}],"schema":"https://github.com/citation-style-language/schema/raw/master/csl-citation.json"} </w:instrText>
      </w:r>
      <w:r w:rsidR="009643CD" w:rsidRPr="005A7DA4">
        <w:fldChar w:fldCharType="separate"/>
      </w:r>
      <w:r w:rsidR="009643CD" w:rsidRPr="005A7DA4">
        <w:rPr>
          <w:rFonts w:ascii="Arial" w:hAnsi="Arial" w:cs="Arial"/>
        </w:rPr>
        <w:t>Starfield, 1991)</w:t>
      </w:r>
      <w:r w:rsidR="009643CD" w:rsidRPr="005A7DA4">
        <w:fldChar w:fldCharType="end"/>
      </w:r>
      <w:r w:rsidRPr="005A7DA4">
        <w:t>. W</w:t>
      </w:r>
      <w:r w:rsidRPr="005A7DA4">
        <w:rPr>
          <w:lang w:val="en-NZ"/>
        </w:rPr>
        <w:t>hen PHC access is gained in a community it is not unusual to see hospitalisation</w:t>
      </w:r>
      <w:r w:rsidRPr="00385C97">
        <w:rPr>
          <w:lang w:val="en-NZ"/>
        </w:rPr>
        <w:t xml:space="preserve"> climb, as people are more likely to be referred to hospital. Evidence from linked primary care clinic and hospital data for Aboriginal and Torres Strait Islander people in the remote NT </w:t>
      </w:r>
      <w:r w:rsidR="005A7DA4">
        <w:rPr>
          <w:lang w:val="en-NZ"/>
        </w:rPr>
        <w:fldChar w:fldCharType="begin"/>
      </w:r>
      <w:r w:rsidR="00F8760E">
        <w:rPr>
          <w:lang w:val="en-NZ"/>
        </w:rPr>
        <w:instrText xml:space="preserve"> ADDIN ZOTERO_ITEM CSL_CITATION {"citationID":"HAfLoO0F","properties":{"formattedCitation":"(Zhao et al., 2013)","plainCitation":"(Zhao et al., 2013)","noteIndex":0},"citationItems":[{"id":3898,"uris":["http://zotero.org/groups/5010721/items/9WCZK93F",["http://zotero.org/groups/5010721/items/9WCZK93F"],["http://zotero.org/groups/5010721/items/9WCZK93F",["http://zotero.org/groups/5010721/items/9WCZK93F"]]],"itemData":{"id":3898,"type":"article-journal","abstract":"BACKGROUND: Primary health care (PHC) is widely regarded as essential for preventing and treating ill health. However, the evidence on whether improved PHC reduces hospitalisations has been mixed. This study examines the relationship between PHC and hospital inpatient care in a population with high health need, high rates of hospitalisation and relatively poor PHC access.\nMETHODS: The cross-sectional study used linked individual level PHC visit and hospitalisation data for 52 739 Indigenous residents from 54 remote communities in the Northern Territory of Australia between 1 July 2007 and 30 June 2011. The association between PHC visits and hospitalisations was modelled using simple and spline quadratic regression for key demographics and disease groups including potentially avoidable hospitalisations.\nRESULTS: At the aggregate level, the average annual number of PHC visits per person had a U-shaped association with hospitalisations. For all conditions combined, there was an inverse association between PHC visits and hospitalisations for people with less than four clinic visits per year, but a positive association for those visiting the clinic four times or more. For patients with diabetes, ischaemic heart disease or renal disease, the minimum level of hospitalisation was found when there was 20-30 PHC visits a year, and for children with otitis media and dental conditions, 5-8 visits a year.\nCONCLUSIONS: The results of this study demonstrate a U-shape relationship between PHC visits and hospitalisations. Under the conditions of remote Indigenous Australians, there may be an optimal level of PHC at which hospitalisations are at a minimum. The authors propose that the effectiveness of a health system may hinge on a refined balance, rather than a straight-line relationship between primary health care and tertiary care.","container-title":"BMC health services research","DOI":"10.1186/1472-6963-13-466","ISSN":"1472-6963","journalAbbreviation":"BMC Health Serv Res","language":"eng","note":"PMID: 24195746\nPMCID: PMC4226196","page":"466","source":"PubMed","title":"The relationship between number of primary health care visits and hospitalisations: evidence from linked clinic and hospital data for remote Indigenous Australians","title-short":"The relationship between number of primary health care visits and hospitalisations","volume":"13","author":[{"family":"Zhao","given":"Yuejen"},{"family":"Wright","given":"Jo"},{"family":"Guthridge","given":"Steven"},{"family":"Lawton","given":"Paul"}],"issued":{"date-parts":[["2013",11,6]]}}}],"schema":"https://github.com/citation-style-language/schema/raw/master/csl-citation.json"} </w:instrText>
      </w:r>
      <w:r w:rsidR="005A7DA4">
        <w:rPr>
          <w:lang w:val="en-NZ"/>
        </w:rPr>
        <w:fldChar w:fldCharType="separate"/>
      </w:r>
      <w:r w:rsidR="005A7DA4" w:rsidRPr="005A7DA4">
        <w:rPr>
          <w:rFonts w:ascii="Arial" w:hAnsi="Arial" w:cs="Arial"/>
        </w:rPr>
        <w:t>(Zhao et al., 2013)</w:t>
      </w:r>
      <w:r w:rsidR="005A7DA4">
        <w:rPr>
          <w:lang w:val="en-NZ"/>
        </w:rPr>
        <w:fldChar w:fldCharType="end"/>
      </w:r>
      <w:r w:rsidRPr="00385C97">
        <w:rPr>
          <w:lang w:val="en-NZ"/>
        </w:rPr>
        <w:t xml:space="preserve"> shows a U-shaped association between number of PHC visits and hospitalisations – there was an inverse association between PHC visits and hospitalisations for people with less than </w:t>
      </w:r>
      <w:r w:rsidR="006D2482">
        <w:rPr>
          <w:lang w:val="en-NZ"/>
        </w:rPr>
        <w:t>4</w:t>
      </w:r>
      <w:r w:rsidR="006D2482" w:rsidRPr="00385C97">
        <w:rPr>
          <w:lang w:val="en-NZ"/>
        </w:rPr>
        <w:t xml:space="preserve"> </w:t>
      </w:r>
      <w:r w:rsidRPr="00385C97">
        <w:rPr>
          <w:lang w:val="en-NZ"/>
        </w:rPr>
        <w:t>primary care clinic visits per year, but a positive association for those visiting the clinic four times or more.</w:t>
      </w:r>
    </w:p>
    <w:p w14:paraId="6C69AC88" w14:textId="12B13DD0" w:rsidR="00385C97" w:rsidRPr="00385C97" w:rsidRDefault="00385C97" w:rsidP="00385C97">
      <w:pPr>
        <w:rPr>
          <w:lang w:val="en-NZ"/>
        </w:rPr>
      </w:pPr>
      <w:r w:rsidRPr="00385C97">
        <w:rPr>
          <w:lang w:val="en-NZ"/>
        </w:rPr>
        <w:t xml:space="preserve">The evaluation findings on the relative influence of other determinants of health on outcomes, such as economic resources and socioeconomic advantage, are well understood. For example, the Health Plan </w:t>
      </w:r>
      <w:r w:rsidRPr="00385C97">
        <w:rPr>
          <w:lang w:val="en-NZ"/>
        </w:rPr>
        <w:fldChar w:fldCharType="begin"/>
      </w:r>
      <w:r w:rsidR="00F8760E">
        <w:rPr>
          <w:lang w:val="en-NZ"/>
        </w:rPr>
        <w:instrText xml:space="preserve"> ADDIN ZOTERO_ITEM CSL_CITATION {"citationID":"KRCoN4x1","properties":{"formattedCitation":"(Australian Department of Health, 2021)","plainCitation":"(Australian Department of Health, 2021)","dontUpdate":true,"noteIndex":0},"citationItems":[{"id":2960,"uris":["http://zotero.org/groups/4420056/items/2VPBRDVK",["http://zotero.org/groups/4420056/items/2VPBRDVK"],["http://zotero.org/groups/4420056/items/2VPBRDVK",["http://zotero.org/groups/4420056/items/2VPBRDVK"]]],"itemData":{"id":2960,"type":"report","event-place":"Canberra","publisher":"Commonwealth of Australia","publisher-place":"Canberra","title":"National Aboriginal and Torres Strait Islander Health Plan 2021–2031","URL":"https://www.health.gov.au/sites/default/files/documents/2022/06/national-aboriginal-and-torres-strait-islander-health-plan-2021-2031.pdf","author":[{"literal":"Australian Department of Health"}],"issued":{"date-parts":[["2021"]]}}}],"schema":"https://github.com/citation-style-language/schema/raw/master/csl-citation.json"} </w:instrText>
      </w:r>
      <w:r w:rsidRPr="00385C97">
        <w:rPr>
          <w:lang w:val="en-NZ"/>
        </w:rPr>
        <w:fldChar w:fldCharType="separate"/>
      </w:r>
      <w:r w:rsidRPr="00385C97">
        <w:rPr>
          <w:lang w:val="en-NZ"/>
        </w:rPr>
        <w:t>(p.20, Australian Department of Health, 2021)</w:t>
      </w:r>
      <w:r w:rsidRPr="00385C97">
        <w:fldChar w:fldCharType="end"/>
      </w:r>
      <w:r w:rsidRPr="00385C97">
        <w:rPr>
          <w:lang w:val="en-NZ"/>
        </w:rPr>
        <w:t xml:space="preserve"> reports that social determinants of health account for 34% of the total gap in health outcomes between Aboriginal and Torres Strait Islander people and non-Indigenous Australians.</w:t>
      </w:r>
    </w:p>
    <w:p w14:paraId="2D0CBC6B" w14:textId="4AE58041" w:rsidR="00385C97" w:rsidRPr="00385C97" w:rsidRDefault="00385C97" w:rsidP="00385C97">
      <w:pPr>
        <w:rPr>
          <w:lang w:val="en-NZ"/>
        </w:rPr>
      </w:pPr>
      <w:r w:rsidRPr="00385C97">
        <w:rPr>
          <w:lang w:val="en-NZ"/>
        </w:rPr>
        <w:t xml:space="preserve">The various health and wellbeing measures discussed here require action on both health care and its determinants. If the model of Aboriginal and Torres Strait Islander community-controlled comprehensive PHC is fully applied, more favourable health and wellbeing outcomes could be expected. Notably, </w:t>
      </w:r>
      <w:r w:rsidR="00036B8B">
        <w:rPr>
          <w:lang w:val="en-NZ"/>
        </w:rPr>
        <w:t xml:space="preserve">much of the </w:t>
      </w:r>
      <w:r w:rsidRPr="00385C97">
        <w:rPr>
          <w:lang w:val="en-NZ"/>
        </w:rPr>
        <w:t>data refer</w:t>
      </w:r>
      <w:r w:rsidR="00036B8B">
        <w:rPr>
          <w:lang w:val="en-NZ"/>
        </w:rPr>
        <w:t>enced</w:t>
      </w:r>
      <w:r w:rsidRPr="00385C97">
        <w:rPr>
          <w:lang w:val="en-NZ"/>
        </w:rPr>
        <w:t xml:space="preserve"> </w:t>
      </w:r>
      <w:r w:rsidR="00036B8B">
        <w:rPr>
          <w:lang w:val="en-NZ"/>
        </w:rPr>
        <w:t xml:space="preserve">above </w:t>
      </w:r>
      <w:r w:rsidRPr="00385C97">
        <w:rPr>
          <w:lang w:val="en-NZ"/>
        </w:rPr>
        <w:t>refers to the whole Aboriginal and Torres Strait Islander population, rather than the approximate 45% who attend an Aboriginal and Torres Strait Islander health service. As reported in this evaluation, many ACCHS staff discussed their focus on the initial acute response to meeting the needs of their communities, and similarly talked about the clinical focus of the IAHP. They also discussed their interest in engaging in wider health determinants.</w:t>
      </w:r>
    </w:p>
    <w:p w14:paraId="1CE3BD71" w14:textId="77777777" w:rsidR="00171F4C" w:rsidRDefault="00171F4C">
      <w:pPr>
        <w:jc w:val="left"/>
        <w:rPr>
          <w:rFonts w:cstheme="minorHAnsi"/>
          <w:b/>
          <w:bCs/>
          <w:color w:val="9E6047" w:themeColor="accent3"/>
          <w:sz w:val="24"/>
          <w:szCs w:val="24"/>
          <w:lang w:val="en-NZ"/>
        </w:rPr>
      </w:pPr>
      <w:r>
        <w:rPr>
          <w:rFonts w:cstheme="minorHAnsi"/>
          <w:b/>
          <w:bCs/>
          <w:color w:val="9E6047" w:themeColor="accent3"/>
          <w:sz w:val="24"/>
          <w:szCs w:val="24"/>
          <w:lang w:val="en-NZ"/>
        </w:rPr>
        <w:br w:type="page"/>
      </w:r>
    </w:p>
    <w:p w14:paraId="10622165" w14:textId="78B9B22F" w:rsidR="001D7A4A" w:rsidRPr="007A136C" w:rsidRDefault="001D7A4A" w:rsidP="001D7A4A">
      <w:pPr>
        <w:keepNext/>
        <w:spacing w:before="360" w:line="240" w:lineRule="auto"/>
        <w:jc w:val="left"/>
        <w:outlineLvl w:val="5"/>
        <w:rPr>
          <w:rFonts w:cstheme="minorHAnsi"/>
          <w:b/>
          <w:bCs/>
          <w:color w:val="275D8E" w:themeColor="accent1" w:themeShade="BF"/>
          <w:sz w:val="24"/>
          <w:szCs w:val="24"/>
          <w:lang w:val="en-NZ"/>
        </w:rPr>
      </w:pPr>
      <w:r w:rsidRPr="007A136C">
        <w:rPr>
          <w:rFonts w:cstheme="minorHAnsi"/>
          <w:b/>
          <w:bCs/>
          <w:color w:val="275D8E" w:themeColor="accent1" w:themeShade="BF"/>
          <w:sz w:val="24"/>
          <w:szCs w:val="24"/>
          <w:lang w:val="en-NZ"/>
        </w:rPr>
        <w:lastRenderedPageBreak/>
        <w:t>KEQ4: How can faster progress be made towards improving the health and wellbeing of Aboriginal and Torres Strait Islander people?</w:t>
      </w:r>
    </w:p>
    <w:p w14:paraId="1FA7DEC9" w14:textId="77777777" w:rsidR="001D7A4A" w:rsidRPr="001D7A4A" w:rsidRDefault="001D7A4A" w:rsidP="001D7A4A">
      <w:r w:rsidRPr="001D7A4A">
        <w:t xml:space="preserve">In answering KEQ4, the evaluation was guided by the sub-questions under this KEQ which ask about the </w:t>
      </w:r>
      <w:r w:rsidRPr="001D7A4A">
        <w:rPr>
          <w:i/>
          <w:iCs/>
        </w:rPr>
        <w:t>changes, actions</w:t>
      </w:r>
      <w:r w:rsidRPr="001D7A4A">
        <w:t xml:space="preserve"> and </w:t>
      </w:r>
      <w:r w:rsidRPr="001D7A4A">
        <w:rPr>
          <w:i/>
          <w:iCs/>
        </w:rPr>
        <w:t>improvements</w:t>
      </w:r>
      <w:r w:rsidRPr="001D7A4A">
        <w:t xml:space="preserve"> required to the IAHP and the context in which it operates that will contribute to improved health and wellbeing for Aboriginal and Torres Strait Islander people. </w:t>
      </w:r>
    </w:p>
    <w:p w14:paraId="04906800" w14:textId="77777777" w:rsidR="001D7A4A" w:rsidRPr="001D7A4A" w:rsidRDefault="001D7A4A" w:rsidP="001D7A4A">
      <w:r w:rsidRPr="001D7A4A">
        <w:t>To support faster progress towards improving the health and wellbeing of Aboriginal and Torres Strait Islander people, evaluation participants identified the need to:</w:t>
      </w:r>
    </w:p>
    <w:p w14:paraId="32F28A50" w14:textId="77777777" w:rsidR="001D7A4A" w:rsidRPr="00343EB2" w:rsidRDefault="001D7A4A" w:rsidP="00C040B6">
      <w:pPr>
        <w:numPr>
          <w:ilvl w:val="0"/>
          <w:numId w:val="27"/>
        </w:numPr>
        <w:spacing w:after="120"/>
        <w:ind w:left="714" w:hanging="357"/>
        <w:rPr>
          <w:lang w:val="en-NZ"/>
        </w:rPr>
      </w:pPr>
      <w:r w:rsidRPr="00343EB2">
        <w:rPr>
          <w:lang w:val="en-NZ"/>
        </w:rPr>
        <w:t>strengthen governance and accountability processes across the IAHP</w:t>
      </w:r>
    </w:p>
    <w:p w14:paraId="1DB0EF63" w14:textId="77777777" w:rsidR="001D7A4A" w:rsidRPr="00343EB2" w:rsidRDefault="001D7A4A" w:rsidP="00C040B6">
      <w:pPr>
        <w:numPr>
          <w:ilvl w:val="0"/>
          <w:numId w:val="27"/>
        </w:numPr>
        <w:spacing w:after="120"/>
        <w:rPr>
          <w:lang w:val="en-NZ"/>
        </w:rPr>
      </w:pPr>
      <w:r w:rsidRPr="00343EB2">
        <w:rPr>
          <w:lang w:val="en-NZ"/>
        </w:rPr>
        <w:t>strengthen shared decision-making processes and formal partnerships with ACCHSs and communities, including in the commissioning of IAHP programs and activities</w:t>
      </w:r>
    </w:p>
    <w:p w14:paraId="27DC7804" w14:textId="77777777" w:rsidR="001D7A4A" w:rsidRPr="00343EB2" w:rsidRDefault="001D7A4A" w:rsidP="00C040B6">
      <w:pPr>
        <w:numPr>
          <w:ilvl w:val="0"/>
          <w:numId w:val="27"/>
        </w:numPr>
        <w:spacing w:after="120"/>
        <w:rPr>
          <w:lang w:val="en-NZ"/>
        </w:rPr>
      </w:pPr>
      <w:r w:rsidRPr="00343EB2">
        <w:rPr>
          <w:lang w:val="en-NZ"/>
        </w:rPr>
        <w:t>scale up investment to support the delivery of comprehensive PHC</w:t>
      </w:r>
    </w:p>
    <w:p w14:paraId="4FF4FD21" w14:textId="64FBDBA4" w:rsidR="001D7A4A" w:rsidRPr="00343EB2" w:rsidRDefault="001D7A4A" w:rsidP="00C040B6">
      <w:pPr>
        <w:numPr>
          <w:ilvl w:val="0"/>
          <w:numId w:val="27"/>
        </w:numPr>
        <w:spacing w:after="120"/>
        <w:rPr>
          <w:lang w:val="en-NZ"/>
        </w:rPr>
      </w:pPr>
      <w:r w:rsidRPr="00343EB2">
        <w:rPr>
          <w:lang w:val="en-NZ"/>
        </w:rPr>
        <w:t xml:space="preserve">strengthen the </w:t>
      </w:r>
      <w:r w:rsidR="00B40657" w:rsidRPr="00343EB2">
        <w:rPr>
          <w:lang w:val="en-NZ"/>
        </w:rPr>
        <w:t>coordination between</w:t>
      </w:r>
      <w:r w:rsidRPr="00343EB2">
        <w:rPr>
          <w:lang w:val="en-NZ"/>
        </w:rPr>
        <w:t xml:space="preserve"> the IAHP </w:t>
      </w:r>
      <w:r w:rsidR="00B40657" w:rsidRPr="00343EB2">
        <w:rPr>
          <w:lang w:val="en-NZ"/>
        </w:rPr>
        <w:t>and</w:t>
      </w:r>
      <w:r w:rsidRPr="00343EB2">
        <w:rPr>
          <w:lang w:val="en-NZ"/>
        </w:rPr>
        <w:t xml:space="preserve"> the rest of the health system, including through supporting integrated models of care and to reduce the fragmentation in funding</w:t>
      </w:r>
    </w:p>
    <w:p w14:paraId="049FC65D" w14:textId="2BBC7550" w:rsidR="001D7A4A" w:rsidRPr="00343EB2" w:rsidRDefault="001D7A4A" w:rsidP="00343EB2">
      <w:pPr>
        <w:numPr>
          <w:ilvl w:val="0"/>
          <w:numId w:val="27"/>
        </w:numPr>
        <w:rPr>
          <w:lang w:val="en-NZ"/>
        </w:rPr>
      </w:pPr>
      <w:r w:rsidRPr="00343EB2">
        <w:rPr>
          <w:lang w:val="en-NZ"/>
        </w:rPr>
        <w:t xml:space="preserve">improve the use of knowledge and information, including to better reflect what Aboriginal and Torres Strait Islander people value, </w:t>
      </w:r>
      <w:r w:rsidR="002C781A" w:rsidRPr="00343EB2">
        <w:rPr>
          <w:lang w:val="en-NZ"/>
        </w:rPr>
        <w:t>to recognise and incorporate culturally-relevant knowledge systems</w:t>
      </w:r>
      <w:r w:rsidR="006F3089" w:rsidRPr="00343EB2">
        <w:rPr>
          <w:lang w:val="en-NZ"/>
        </w:rPr>
        <w:t xml:space="preserve"> </w:t>
      </w:r>
      <w:r w:rsidRPr="00343EB2">
        <w:rPr>
          <w:lang w:val="en-NZ"/>
        </w:rPr>
        <w:t>to monitor outcomes, and to support health service decision-making.</w:t>
      </w:r>
    </w:p>
    <w:p w14:paraId="00899C6E" w14:textId="174B50BD" w:rsidR="001D7A4A" w:rsidRPr="001D7A4A" w:rsidRDefault="001D7A4A" w:rsidP="001D7A4A">
      <w:r w:rsidRPr="001D7A4A">
        <w:t xml:space="preserve">Specific changes, actions and improvements to support faster progress towards improving the health and wellbeing of Aboriginal and Torres Strait Islander people identified by the evaluation are included in the evaluation’s </w:t>
      </w:r>
      <w:r w:rsidRPr="006E7837">
        <w:t>recommendations (</w:t>
      </w:r>
      <w:r w:rsidR="006F3089" w:rsidRPr="006E7837">
        <w:t>S</w:t>
      </w:r>
      <w:r w:rsidRPr="006E7837">
        <w:t xml:space="preserve">ection </w:t>
      </w:r>
      <w:r w:rsidR="006E7837" w:rsidRPr="006E7837">
        <w:fldChar w:fldCharType="begin"/>
      </w:r>
      <w:r w:rsidR="006E7837" w:rsidRPr="006E7837">
        <w:instrText xml:space="preserve"> REF _Ref137158233 \r \h </w:instrText>
      </w:r>
      <w:r w:rsidR="006E7837">
        <w:instrText xml:space="preserve"> \* MERGEFORMAT </w:instrText>
      </w:r>
      <w:r w:rsidR="006E7837" w:rsidRPr="006E7837">
        <w:fldChar w:fldCharType="separate"/>
      </w:r>
      <w:r w:rsidR="00165B17">
        <w:t>12</w:t>
      </w:r>
      <w:r w:rsidR="006E7837" w:rsidRPr="006E7837">
        <w:fldChar w:fldCharType="end"/>
      </w:r>
      <w:r w:rsidRPr="006E7837">
        <w:t>).</w:t>
      </w:r>
      <w:r w:rsidRPr="001D7A4A">
        <w:t xml:space="preserve"> </w:t>
      </w:r>
    </w:p>
    <w:p w14:paraId="3A42D5BE" w14:textId="04D2AA42" w:rsidR="001D7A4A" w:rsidRPr="001D7A4A" w:rsidRDefault="001D7A4A" w:rsidP="001D7A4A">
      <w:r w:rsidRPr="001D7A4A">
        <w:t>The IAHP is being implemented within a landscape of policy reform and refresh. These changes have the potential to reorientate the health system in ways that strengthen access to comprehensive PHC services for all Aboriginal and Torres Strait Islander people. The ACCHS sector provides a platform for change. Over the past 50 years, the ACCHS sector built much of the system architecture, experience and capability required as a foundation for change and improvement. This architecture and capability has been built with support from the IAHP and its predecessor programs. Recent experience with the COVID-19 pandemic response demonstrated the value of the secto</w:t>
      </w:r>
      <w:r w:rsidR="002C781A">
        <w:t xml:space="preserve">r and its ability to mount an agile response to an immediate threat. </w:t>
      </w:r>
    </w:p>
    <w:p w14:paraId="75AF929D" w14:textId="77777777" w:rsidR="00B50DBA" w:rsidRDefault="001D7A4A" w:rsidP="001D7A4A">
      <w:pPr>
        <w:rPr>
          <w:lang w:val="en-NZ"/>
        </w:rPr>
      </w:pPr>
      <w:r w:rsidRPr="001D7A4A">
        <w:rPr>
          <w:lang w:val="en-NZ"/>
        </w:rPr>
        <w:t xml:space="preserve">Implementation fidelity is critical to successfully translating policy into practice. The recommendations from the evaluation must consider important contextual factors. Tweaking the IAHP will not, on its own, bring the change needed to close health inequities. Solutions need to recognise the complexity of the system and the lack of significant progress on outcomes for some time, despite considerable effort. This includes macro changes that will require time to implement and embed. To be successful, the implementation of changes needs to be actively managed. </w:t>
      </w:r>
    </w:p>
    <w:p w14:paraId="5BCD21E6" w14:textId="00D2671C" w:rsidR="001D7A4A" w:rsidRPr="001D7A4A" w:rsidRDefault="001D7A4A" w:rsidP="001D7A4A">
      <w:pPr>
        <w:rPr>
          <w:bCs/>
          <w:lang w:val="en-NZ"/>
        </w:rPr>
      </w:pPr>
      <w:r w:rsidRPr="001D7A4A">
        <w:rPr>
          <w:lang w:val="en-NZ"/>
        </w:rPr>
        <w:t xml:space="preserve">Solutions must come from genuine engagement and partnerships with all partners and stakeholders. </w:t>
      </w:r>
      <w:r w:rsidRPr="001D7A4A">
        <w:rPr>
          <w:bCs/>
          <w:lang w:val="en-NZ"/>
        </w:rPr>
        <w:t xml:space="preserve">Solutions must also be </w:t>
      </w:r>
      <w:r w:rsidR="0093165F">
        <w:rPr>
          <w:lang w:val="en-NZ"/>
        </w:rPr>
        <w:t>person</w:t>
      </w:r>
      <w:r w:rsidRPr="00191CC0">
        <w:rPr>
          <w:lang w:val="en-NZ"/>
        </w:rPr>
        <w:t>-centred</w:t>
      </w:r>
      <w:r w:rsidRPr="001D7A4A">
        <w:rPr>
          <w:bCs/>
          <w:lang w:val="en-NZ"/>
        </w:rPr>
        <w:t xml:space="preserve"> – place people’s experiences of care </w:t>
      </w:r>
      <w:r w:rsidRPr="001D7A4A">
        <w:rPr>
          <w:bCs/>
          <w:lang w:val="en-NZ"/>
        </w:rPr>
        <w:lastRenderedPageBreak/>
        <w:t xml:space="preserve">and </w:t>
      </w:r>
      <w:r w:rsidR="00E56C57">
        <w:rPr>
          <w:bCs/>
          <w:lang w:val="en-NZ"/>
        </w:rPr>
        <w:t>people’s</w:t>
      </w:r>
      <w:r w:rsidRPr="001D7A4A">
        <w:rPr>
          <w:bCs/>
          <w:lang w:val="en-NZ"/>
        </w:rPr>
        <w:t xml:space="preserve">-reported health and wellbeing outcomes at the centre of decision-making </w:t>
      </w:r>
      <w:r w:rsidR="00E56C57">
        <w:rPr>
          <w:bCs/>
          <w:lang w:val="en-NZ"/>
        </w:rPr>
        <w:t>and system</w:t>
      </w:r>
      <w:r w:rsidR="00E56C57" w:rsidRPr="001D7A4A">
        <w:rPr>
          <w:bCs/>
          <w:lang w:val="en-NZ"/>
        </w:rPr>
        <w:t xml:space="preserve"> </w:t>
      </w:r>
      <w:r w:rsidRPr="001D7A4A">
        <w:rPr>
          <w:bCs/>
          <w:lang w:val="en-NZ"/>
        </w:rPr>
        <w:t>changes.</w:t>
      </w:r>
    </w:p>
    <w:p w14:paraId="70CECEE2" w14:textId="77777777" w:rsidR="001D7A4A" w:rsidRPr="001D7A4A" w:rsidRDefault="001D7A4A" w:rsidP="001D7A4A"/>
    <w:p w14:paraId="23884914" w14:textId="77777777" w:rsidR="003B5E35" w:rsidRDefault="003B5E35">
      <w:pPr>
        <w:jc w:val="left"/>
        <w:rPr>
          <w:b/>
          <w:caps/>
          <w:color w:val="9E6047" w:themeColor="accent3"/>
          <w:kern w:val="28"/>
          <w:sz w:val="40"/>
          <w:szCs w:val="48"/>
        </w:rPr>
      </w:pPr>
      <w:r>
        <w:br w:type="page"/>
      </w:r>
    </w:p>
    <w:p w14:paraId="48E3B6ED" w14:textId="21004CA0" w:rsidR="001D7A4A" w:rsidRDefault="001D7A4A" w:rsidP="00A37553">
      <w:pPr>
        <w:pStyle w:val="Heading1"/>
        <w:ind w:left="900" w:hanging="900"/>
      </w:pPr>
      <w:bookmarkStart w:id="337" w:name="_Ref137158004"/>
      <w:bookmarkStart w:id="338" w:name="_Ref137158131"/>
      <w:bookmarkStart w:id="339" w:name="_Ref137158356"/>
      <w:bookmarkStart w:id="340" w:name="_Toc137208950"/>
      <w:r w:rsidRPr="001D7A4A">
        <w:lastRenderedPageBreak/>
        <w:t>Implications of the evaluation findings</w:t>
      </w:r>
      <w:bookmarkEnd w:id="337"/>
      <w:bookmarkEnd w:id="338"/>
      <w:bookmarkEnd w:id="339"/>
      <w:bookmarkEnd w:id="340"/>
    </w:p>
    <w:p w14:paraId="62ED81A1" w14:textId="2955EC6A" w:rsidR="001D7A4A" w:rsidRPr="001D7A4A" w:rsidRDefault="001D7A4A" w:rsidP="001D7A4A">
      <w:r w:rsidRPr="001D7A4A">
        <w:t xml:space="preserve">This section discusses the implications of the evaluation findings for strengthening the appropriateness and effectiveness of comprehensive PHC systems for Aboriginal and Torres Strait Islander people, and for the IAHP and the context in which it operates. These are the evaluation’s strategic implications. Addressing these requires strategies and tactics directed at health system complexities. </w:t>
      </w:r>
      <w:r w:rsidR="0081500B">
        <w:t>T</w:t>
      </w:r>
      <w:r w:rsidRPr="001D7A4A">
        <w:t>he time is right to tackle these challenges</w:t>
      </w:r>
      <w:r w:rsidR="0081500B">
        <w:t xml:space="preserve"> as evidenced by current </w:t>
      </w:r>
      <w:r w:rsidRPr="001D7A4A">
        <w:t xml:space="preserve">political ambition, a strong policy framework, strong </w:t>
      </w:r>
      <w:r w:rsidR="007E5A94">
        <w:t xml:space="preserve">leadership and </w:t>
      </w:r>
      <w:r w:rsidRPr="001D7A4A">
        <w:t xml:space="preserve">capability </w:t>
      </w:r>
      <w:r w:rsidR="007E5A94">
        <w:t xml:space="preserve">within the Aboriginal </w:t>
      </w:r>
      <w:r w:rsidR="00C20553">
        <w:t xml:space="preserve">and Torres Strait Islander </w:t>
      </w:r>
      <w:r w:rsidR="007E5A94">
        <w:t xml:space="preserve">community-controlled health sector </w:t>
      </w:r>
      <w:r w:rsidR="004609EB">
        <w:t>including</w:t>
      </w:r>
      <w:r w:rsidRPr="001D7A4A">
        <w:t xml:space="preserve"> an existing systems architecture, recent experience in new ways of working, and ongoing reform work across the Australian PHC system that is seeking to strengthen the system in similar ways. </w:t>
      </w:r>
    </w:p>
    <w:p w14:paraId="2467487B" w14:textId="241ACA02" w:rsidR="00EC5745" w:rsidRDefault="001D7A4A" w:rsidP="0022017B">
      <w:r w:rsidRPr="001D7A4A">
        <w:t xml:space="preserve">The </w:t>
      </w:r>
      <w:r w:rsidR="0094708F">
        <w:t xml:space="preserve">strength and </w:t>
      </w:r>
      <w:r w:rsidR="00C20553">
        <w:t>capability of the Aboriginal and Torres Strait Islander community-controlled sector</w:t>
      </w:r>
      <w:r w:rsidR="00E503FB">
        <w:t xml:space="preserve">, </w:t>
      </w:r>
      <w:r w:rsidR="00E503FB" w:rsidRPr="001D7A4A">
        <w:t xml:space="preserve">as the main </w:t>
      </w:r>
      <w:r w:rsidR="00286D77">
        <w:t xml:space="preserve">service </w:t>
      </w:r>
      <w:r w:rsidR="00E503FB" w:rsidRPr="001D7A4A">
        <w:t>deliver</w:t>
      </w:r>
      <w:r w:rsidR="00286D77">
        <w:t>y partners</w:t>
      </w:r>
      <w:r w:rsidR="00E503FB" w:rsidRPr="001D7A4A">
        <w:t xml:space="preserve"> of IAHP programs and activities</w:t>
      </w:r>
      <w:r w:rsidR="00E503FB">
        <w:t>,</w:t>
      </w:r>
      <w:r w:rsidR="00E503FB" w:rsidRPr="001D7A4A">
        <w:t xml:space="preserve"> </w:t>
      </w:r>
      <w:r w:rsidR="00E503FB">
        <w:t>is particularly relevant in considering the implications of the evaluation findings.</w:t>
      </w:r>
      <w:r w:rsidR="0094708F">
        <w:t xml:space="preserve"> </w:t>
      </w:r>
      <w:r w:rsidR="00EC5745" w:rsidRPr="001D7A4A">
        <w:t xml:space="preserve">The largest ACCHSs have well over 500 staff with significant capability in health policy, public health, data and research and, increasingly, in health service commissioning. These organisations have diverse sources of funding and are </w:t>
      </w:r>
      <w:r w:rsidR="00EC5745">
        <w:t xml:space="preserve">consistently able to </w:t>
      </w:r>
      <w:r w:rsidR="00EC5745" w:rsidRPr="001D7A4A">
        <w:t>attract mainstream funding sources, including Medicare funding. They also report how critical the IAHP funding is to their operations. These organisations often have direct lines of communication with policy-makers and funders and do not rely on support from intermediaries such as PHNs and peak bodies.</w:t>
      </w:r>
    </w:p>
    <w:p w14:paraId="09399286" w14:textId="24DF3D0A" w:rsidR="00C20553" w:rsidRDefault="00EC5745" w:rsidP="0022017B">
      <w:r w:rsidRPr="001D7A4A">
        <w:t xml:space="preserve">On-the-other-hand, there are also many small ACCHSs, servicing small local communities and with limited capability in areas like policy and data and research. This evolving </w:t>
      </w:r>
      <w:r>
        <w:t>configuration</w:t>
      </w:r>
      <w:r w:rsidRPr="001D7A4A">
        <w:t xml:space="preserve"> of the community-controlled sector is important context.</w:t>
      </w:r>
      <w:r>
        <w:t xml:space="preserve"> </w:t>
      </w:r>
      <w:r w:rsidRPr="0022017B">
        <w:t>The increasingly diverse capacity and capability of the community-controlled sector requires a nuanced central policy and funding response, including how to leverage the depth of expertise that is now in these larger local organisations, as well a</w:t>
      </w:r>
      <w:r w:rsidR="000B6B12">
        <w:t>s</w:t>
      </w:r>
      <w:r w:rsidRPr="0022017B">
        <w:t xml:space="preserve"> directly supporting smaller organisations to </w:t>
      </w:r>
      <w:r w:rsidR="00281E5F">
        <w:t>build their capability</w:t>
      </w:r>
      <w:r w:rsidRPr="0022017B">
        <w:t>.</w:t>
      </w:r>
    </w:p>
    <w:p w14:paraId="609E036C" w14:textId="26289634" w:rsidR="009F1E38" w:rsidRDefault="00C84139" w:rsidP="0022017B">
      <w:r w:rsidRPr="00CB4D42">
        <w:t xml:space="preserve">The </w:t>
      </w:r>
      <w:r w:rsidR="009F1E38" w:rsidRPr="00CB4D42">
        <w:t xml:space="preserve">evaluation also heard about the growth in regional partnerships and networks of </w:t>
      </w:r>
      <w:r w:rsidRPr="00CB4D42">
        <w:t>ACCHSs</w:t>
      </w:r>
      <w:r w:rsidR="00607E78" w:rsidRPr="00CB4D42">
        <w:t xml:space="preserve"> who are collaborating to</w:t>
      </w:r>
      <w:r w:rsidR="009F1E38" w:rsidRPr="00CB4D42">
        <w:t xml:space="preserve">, variously, strengthen coordination and pool resourcing (see Section </w:t>
      </w:r>
      <w:r w:rsidR="00CB4D42" w:rsidRPr="00CB4D42">
        <w:fldChar w:fldCharType="begin"/>
      </w:r>
      <w:r w:rsidR="00CB4D42" w:rsidRPr="00CB4D42">
        <w:instrText xml:space="preserve"> REF _Ref137158289 \r \h </w:instrText>
      </w:r>
      <w:r w:rsidR="00CB4D42">
        <w:instrText xml:space="preserve"> \* MERGEFORMAT </w:instrText>
      </w:r>
      <w:r w:rsidR="00CB4D42" w:rsidRPr="00CB4D42">
        <w:fldChar w:fldCharType="separate"/>
      </w:r>
      <w:r w:rsidR="00165B17">
        <w:t>9.4</w:t>
      </w:r>
      <w:r w:rsidR="00CB4D42" w:rsidRPr="00CB4D42">
        <w:fldChar w:fldCharType="end"/>
      </w:r>
      <w:r w:rsidR="009F1E38" w:rsidRPr="00CB4D42">
        <w:t>, for example).</w:t>
      </w:r>
    </w:p>
    <w:p w14:paraId="7C423037" w14:textId="77777777" w:rsidR="002E52A8" w:rsidRDefault="00FC43B8" w:rsidP="0094708F">
      <w:r>
        <w:t>There is an expectation that the Aboriginal and Torres Strait Islander community-controlled sector</w:t>
      </w:r>
      <w:r w:rsidR="001A0188">
        <w:t xml:space="preserve"> will be supported to </w:t>
      </w:r>
      <w:r w:rsidR="009473CC">
        <w:t xml:space="preserve">continue to play a significant role in </w:t>
      </w:r>
      <w:r w:rsidR="0027621B">
        <w:t xml:space="preserve">Closing the Gap for Aboriginal and Torres Strait </w:t>
      </w:r>
      <w:r w:rsidR="009D2614">
        <w:t>I</w:t>
      </w:r>
      <w:r w:rsidR="0027621B">
        <w:t>slander people</w:t>
      </w:r>
      <w:r w:rsidR="009D2614">
        <w:t xml:space="preserve">. This is evidenced </w:t>
      </w:r>
      <w:r w:rsidR="0027621B">
        <w:t>through the</w:t>
      </w:r>
      <w:r w:rsidR="009D2614">
        <w:t xml:space="preserve"> priorities and actions </w:t>
      </w:r>
      <w:r w:rsidR="00393AD8">
        <w:t>in the</w:t>
      </w:r>
      <w:r w:rsidR="0027621B">
        <w:t xml:space="preserve"> National Agreement on</w:t>
      </w:r>
      <w:r w:rsidR="00393AD8">
        <w:t xml:space="preserve"> </w:t>
      </w:r>
      <w:r w:rsidR="0027621B">
        <w:t>Cl</w:t>
      </w:r>
      <w:r w:rsidR="00393AD8">
        <w:t>o</w:t>
      </w:r>
      <w:r w:rsidR="0027621B">
        <w:t>sing the Gap, the National Aboriginal and Torres Str</w:t>
      </w:r>
      <w:r w:rsidR="00393AD8">
        <w:t>a</w:t>
      </w:r>
      <w:r w:rsidR="0027621B">
        <w:t xml:space="preserve">it Islander Health Plan and the </w:t>
      </w:r>
      <w:r w:rsidR="00BA5AB3">
        <w:t>Primary Health Care 10 Year Plan.</w:t>
      </w:r>
    </w:p>
    <w:p w14:paraId="2F1BF6B3" w14:textId="5E1984BD" w:rsidR="001D7A4A" w:rsidRPr="001D7A4A" w:rsidRDefault="005A666A" w:rsidP="001D7A4A">
      <w:r>
        <w:t>T</w:t>
      </w:r>
      <w:r w:rsidR="008D1B64">
        <w:t xml:space="preserve">he expertise and knowledge systems in the community-controlled sector </w:t>
      </w:r>
      <w:r w:rsidR="007A7473">
        <w:t xml:space="preserve">have value beyond the delivery of health care to Aboriginal and Torres Strait Islander people. </w:t>
      </w:r>
      <w:r w:rsidR="00965437">
        <w:t xml:space="preserve">Mainstream PHC reform processes, including the Primary Health Care 10 Year Plan and </w:t>
      </w:r>
      <w:r w:rsidR="0061099E">
        <w:t>s</w:t>
      </w:r>
      <w:r w:rsidR="00965437">
        <w:t>trengthening Medicare</w:t>
      </w:r>
      <w:r w:rsidR="0061099E">
        <w:t xml:space="preserve"> reforms, </w:t>
      </w:r>
      <w:r w:rsidR="00A40C55">
        <w:t xml:space="preserve">present a vision for PHC that strongly aligns with the model of </w:t>
      </w:r>
      <w:r w:rsidR="00A40C55" w:rsidRPr="00A40C55">
        <w:rPr>
          <w:lang w:val="en-NZ"/>
        </w:rPr>
        <w:t xml:space="preserve">Aboriginal and Torres Strait Islander </w:t>
      </w:r>
      <w:r w:rsidR="00A40C55">
        <w:rPr>
          <w:lang w:val="en-NZ"/>
        </w:rPr>
        <w:t>c</w:t>
      </w:r>
      <w:r w:rsidR="00A40C55" w:rsidRPr="00A40C55">
        <w:rPr>
          <w:lang w:val="en-NZ"/>
        </w:rPr>
        <w:t>ommunity</w:t>
      </w:r>
      <w:r w:rsidR="00A40C55">
        <w:rPr>
          <w:lang w:val="en-NZ"/>
        </w:rPr>
        <w:t>-c</w:t>
      </w:r>
      <w:r w:rsidR="00A40C55" w:rsidRPr="00A40C55">
        <w:rPr>
          <w:lang w:val="en-NZ"/>
        </w:rPr>
        <w:t xml:space="preserve">ontrolled </w:t>
      </w:r>
      <w:r w:rsidR="00A40C55">
        <w:rPr>
          <w:lang w:val="en-NZ"/>
        </w:rPr>
        <w:t>c</w:t>
      </w:r>
      <w:r w:rsidR="00A40C55" w:rsidRPr="00A40C55">
        <w:rPr>
          <w:lang w:val="en-NZ"/>
        </w:rPr>
        <w:t>omprehensive P</w:t>
      </w:r>
      <w:r w:rsidR="00A40C55">
        <w:rPr>
          <w:lang w:val="en-NZ"/>
        </w:rPr>
        <w:t xml:space="preserve">HC. </w:t>
      </w:r>
      <w:r w:rsidR="002E52A8">
        <w:rPr>
          <w:lang w:val="en-NZ"/>
        </w:rPr>
        <w:t xml:space="preserve">This includes, for </w:t>
      </w:r>
      <w:r w:rsidR="002E52A8">
        <w:rPr>
          <w:lang w:val="en-NZ"/>
        </w:rPr>
        <w:lastRenderedPageBreak/>
        <w:t xml:space="preserve">example, </w:t>
      </w:r>
      <w:r w:rsidR="0072038C">
        <w:rPr>
          <w:lang w:val="en-NZ"/>
        </w:rPr>
        <w:t>a focus on multidisciplinary team-based care</w:t>
      </w:r>
      <w:r w:rsidR="00933755">
        <w:rPr>
          <w:lang w:val="en-NZ"/>
        </w:rPr>
        <w:t xml:space="preserve"> </w:t>
      </w:r>
      <w:r w:rsidR="001E1E12">
        <w:rPr>
          <w:lang w:val="en-NZ"/>
        </w:rPr>
        <w:t>and empowering consumers to have a voice in the design of services.</w:t>
      </w:r>
      <w:r w:rsidR="00933755">
        <w:rPr>
          <w:lang w:val="en-NZ"/>
        </w:rPr>
        <w:t xml:space="preserve"> </w:t>
      </w:r>
      <w:r w:rsidR="000A4D90">
        <w:rPr>
          <w:lang w:val="en-NZ"/>
        </w:rPr>
        <w:t>The</w:t>
      </w:r>
      <w:r w:rsidR="001D7A4A" w:rsidRPr="001D7A4A">
        <w:t xml:space="preserve"> legacy, creativity, capability and experience across the ACCHS sector</w:t>
      </w:r>
      <w:r w:rsidR="000A4D90">
        <w:t xml:space="preserve"> has the </w:t>
      </w:r>
      <w:r w:rsidR="002E52A8">
        <w:t>potential</w:t>
      </w:r>
      <w:r w:rsidR="000A4D90">
        <w:t xml:space="preserve"> to contribute to </w:t>
      </w:r>
      <w:r w:rsidR="002E52A8">
        <w:t>whole-of-population reforms.</w:t>
      </w:r>
      <w:r w:rsidR="001D7A4A" w:rsidRPr="001D7A4A">
        <w:t xml:space="preserve"> </w:t>
      </w:r>
    </w:p>
    <w:p w14:paraId="5F081B5D" w14:textId="57CF7A48" w:rsidR="008873DB" w:rsidRPr="001D7A4A" w:rsidRDefault="008873DB" w:rsidP="0035030F">
      <w:pPr>
        <w:pStyle w:val="Heading2"/>
      </w:pPr>
      <w:bookmarkStart w:id="341" w:name="_Toc137208951"/>
      <w:r w:rsidRPr="001D7A4A">
        <w:t xml:space="preserve">Embedding </w:t>
      </w:r>
      <w:r>
        <w:t xml:space="preserve">self-determination and </w:t>
      </w:r>
      <w:r w:rsidRPr="001D7A4A">
        <w:t>genuine partnerships</w:t>
      </w:r>
      <w:bookmarkEnd w:id="341"/>
      <w:r>
        <w:t xml:space="preserve"> </w:t>
      </w:r>
    </w:p>
    <w:p w14:paraId="550E9B3F" w14:textId="77777777" w:rsidR="008873DB" w:rsidRPr="001D7A4A" w:rsidRDefault="008873DB" w:rsidP="008873DB">
      <w:r w:rsidRPr="001D7A4A">
        <w:t xml:space="preserve">There was a high degree of discussion across the evaluation around partnerships and shared decision-making. This included participants sharing experiences of partnership working, such as in co-design processes, as part of the response to the COVID-19 pandemic, and health services and PHNs forming regional alliances and networks. There are strong commitments across the current policy framework to sharing power and decision-making, and these are mirrored by growing expectations across Aboriginal and Torres Strait Islander communities for genuine partnership working. At the highest level, these commitments and expectations reflect Aboriginal and Torres Strait Islander people’s rights to self-determination, coupled with increased transparency and accountability in the relationship between governments and Aboriginal and Torres Strait Islander people. </w:t>
      </w:r>
    </w:p>
    <w:p w14:paraId="2C669F46" w14:textId="77777777" w:rsidR="008873DB" w:rsidRPr="001D7A4A" w:rsidRDefault="008873DB" w:rsidP="008873DB">
      <w:r w:rsidRPr="001D7A4A">
        <w:t>In terms of the implications of the findings for the IAHP and the context in which it operates, the evaluation identifie</w:t>
      </w:r>
      <w:r>
        <w:t>d</w:t>
      </w:r>
      <w:r w:rsidRPr="001D7A4A">
        <w:t xml:space="preserve"> some strong practice to build on and some important principles to enable the IAHP to meet government policy commitments and </w:t>
      </w:r>
      <w:r>
        <w:t xml:space="preserve">the </w:t>
      </w:r>
      <w:r w:rsidRPr="001D7A4A">
        <w:t>rights and expectations</w:t>
      </w:r>
      <w:r>
        <w:t xml:space="preserve"> of Aboriginal and Torres Strait Islander people and communities</w:t>
      </w:r>
      <w:r w:rsidRPr="001D7A4A">
        <w:t>. These include:</w:t>
      </w:r>
    </w:p>
    <w:p w14:paraId="77F8FCAB" w14:textId="77777777" w:rsidR="008873DB" w:rsidRPr="001D7A4A" w:rsidRDefault="008873DB" w:rsidP="00C4104A">
      <w:pPr>
        <w:numPr>
          <w:ilvl w:val="0"/>
          <w:numId w:val="27"/>
        </w:numPr>
        <w:spacing w:after="120"/>
        <w:ind w:left="714" w:hanging="357"/>
      </w:pPr>
      <w:r w:rsidRPr="001D7A4A">
        <w:t xml:space="preserve">Enable shared decision-making partnerships </w:t>
      </w:r>
      <w:r w:rsidRPr="001D7A4A">
        <w:rPr>
          <w:b/>
          <w:bCs/>
        </w:rPr>
        <w:t>at all levels</w:t>
      </w:r>
      <w:r w:rsidRPr="001D7A4A">
        <w:t xml:space="preserve"> of the health system, from the individual through to national policy and funding decisions. </w:t>
      </w:r>
    </w:p>
    <w:p w14:paraId="26022DD3" w14:textId="42123024" w:rsidR="008873DB" w:rsidRPr="001D7A4A" w:rsidRDefault="008873DB" w:rsidP="00C4104A">
      <w:pPr>
        <w:numPr>
          <w:ilvl w:val="0"/>
          <w:numId w:val="27"/>
        </w:numPr>
        <w:spacing w:after="120"/>
        <w:ind w:left="714" w:hanging="357"/>
      </w:pPr>
      <w:r w:rsidRPr="001D7A4A">
        <w:rPr>
          <w:b/>
        </w:rPr>
        <w:t>Grow and adapt existing partnerships</w:t>
      </w:r>
      <w:r w:rsidRPr="001D7A4A">
        <w:t xml:space="preserve">. The IAHP does not need entirely separate partnership approaches which silo decision-making off </w:t>
      </w:r>
      <w:r>
        <w:t>from</w:t>
      </w:r>
      <w:r w:rsidRPr="001D7A4A">
        <w:t xml:space="preserve"> the rest of the health system. For example, at the national level, the </w:t>
      </w:r>
      <w:r>
        <w:t xml:space="preserve">administration of the </w:t>
      </w:r>
      <w:r w:rsidRPr="001D7A4A">
        <w:t xml:space="preserve">IAHP </w:t>
      </w:r>
      <w:r>
        <w:t xml:space="preserve">could </w:t>
      </w:r>
      <w:r w:rsidRPr="001D7A4A">
        <w:t xml:space="preserve">sit within a broader partnership covering the implementation of the </w:t>
      </w:r>
      <w:r w:rsidRPr="001D7A4A">
        <w:rPr>
          <w:lang w:val="en-GB"/>
        </w:rPr>
        <w:t>National Aboriginal and Torres Strait Islander Health Plan.</w:t>
      </w:r>
      <w:r w:rsidRPr="001D7A4A">
        <w:t xml:space="preserve"> </w:t>
      </w:r>
    </w:p>
    <w:p w14:paraId="3CA4BB50" w14:textId="77777777" w:rsidR="008873DB" w:rsidRPr="001D7A4A" w:rsidRDefault="008873DB" w:rsidP="00C4104A">
      <w:pPr>
        <w:numPr>
          <w:ilvl w:val="0"/>
          <w:numId w:val="27"/>
        </w:numPr>
        <w:spacing w:after="120"/>
        <w:ind w:left="714" w:hanging="357"/>
      </w:pPr>
      <w:r w:rsidRPr="001D7A4A">
        <w:t xml:space="preserve">Support decision-making processes as </w:t>
      </w:r>
      <w:r w:rsidRPr="001D7A4A">
        <w:rPr>
          <w:b/>
          <w:bCs/>
        </w:rPr>
        <w:t>close to the health service client and community</w:t>
      </w:r>
      <w:r w:rsidRPr="001D7A4A">
        <w:t xml:space="preserve"> as possible. As a general principle, decision-making partnerships should be place-based, recognising the unique circumstances and contexts of Aboriginal and Torres Strait Islander communities. Acknowledging that this is not always feasible, the IAHP should be guided by Aboriginal and Torres Strait Islander community led mechanisms and structures for decision-making such as alliances, networks and peak bodies. </w:t>
      </w:r>
    </w:p>
    <w:p w14:paraId="16B2C6BB" w14:textId="77777777" w:rsidR="008873DB" w:rsidRPr="001D7A4A" w:rsidRDefault="008873DB" w:rsidP="00C4104A">
      <w:pPr>
        <w:numPr>
          <w:ilvl w:val="0"/>
          <w:numId w:val="27"/>
        </w:numPr>
        <w:spacing w:after="120"/>
        <w:ind w:left="714" w:hanging="357"/>
      </w:pPr>
      <w:r w:rsidRPr="001D7A4A">
        <w:t xml:space="preserve">Where centralised decision-making mechanisms and structures are used, ensure that there are </w:t>
      </w:r>
      <w:r w:rsidRPr="001D7A4A">
        <w:rPr>
          <w:b/>
          <w:bCs/>
        </w:rPr>
        <w:t xml:space="preserve">genuine opportunities for </w:t>
      </w:r>
      <w:r>
        <w:rPr>
          <w:b/>
          <w:bCs/>
        </w:rPr>
        <w:t xml:space="preserve">direct </w:t>
      </w:r>
      <w:r w:rsidRPr="001D7A4A">
        <w:rPr>
          <w:b/>
          <w:bCs/>
        </w:rPr>
        <w:t>participation</w:t>
      </w:r>
      <w:r w:rsidRPr="001D7A4A">
        <w:t xml:space="preserve"> by community and regional partners.</w:t>
      </w:r>
    </w:p>
    <w:p w14:paraId="637E9F2A" w14:textId="77777777" w:rsidR="008873DB" w:rsidRPr="001D7A4A" w:rsidRDefault="008873DB" w:rsidP="00343EB2">
      <w:pPr>
        <w:numPr>
          <w:ilvl w:val="0"/>
          <w:numId w:val="27"/>
        </w:numPr>
      </w:pPr>
      <w:r w:rsidRPr="001D7A4A">
        <w:t xml:space="preserve">Enable Aboriginal and Torres Strait Islander </w:t>
      </w:r>
      <w:r w:rsidRPr="001D7A4A">
        <w:rPr>
          <w:b/>
          <w:bCs/>
        </w:rPr>
        <w:t>communities to lead</w:t>
      </w:r>
      <w:r w:rsidRPr="001D7A4A">
        <w:t xml:space="preserve">. Communities and ACCHSs know what works in their community. This was strongly demonstrated in the COVID-19 response. In the context of the IAHP, communities and ACCHSs need to be enabled to lead community health needs assessment as a basis for informing </w:t>
      </w:r>
      <w:r w:rsidRPr="001D7A4A">
        <w:lastRenderedPageBreak/>
        <w:t xml:space="preserve">service design. IAHP programs and activities then need to be sufficiently adaptable and flexible to respond to locally-defined needs.  </w:t>
      </w:r>
    </w:p>
    <w:p w14:paraId="0BAD070C" w14:textId="48480DAC" w:rsidR="008873DB" w:rsidRPr="001D7A4A" w:rsidRDefault="008873DB" w:rsidP="008873DB">
      <w:r w:rsidRPr="001D7A4A">
        <w:t xml:space="preserve">Overall, transitioning to this new way of working under the IAHP requires the </w:t>
      </w:r>
      <w:r w:rsidR="00806455">
        <w:t xml:space="preserve">department </w:t>
      </w:r>
      <w:r w:rsidRPr="001D7A4A">
        <w:t xml:space="preserve">to shift the balance of power to enable shared decision-making with Aboriginal and Torres Strait Islander communities. This will require more relational commissioning processes, including co-designing programs and activities with ACCHSs, providing longer-term and integrated funding agreements, providing more flexibility within funding agreements to support local decision-making, and shifting accountability arrangements to recognise the value and role of ACCHSs beyond contracted service providers and to address reciprocal accountability. It will also require sufficient capability within ACCHSs and the </w:t>
      </w:r>
      <w:r w:rsidR="00806455">
        <w:t>department</w:t>
      </w:r>
      <w:r w:rsidRPr="001D7A4A">
        <w:t xml:space="preserve"> to implement effective partnership working.</w:t>
      </w:r>
    </w:p>
    <w:p w14:paraId="07F40359" w14:textId="793BCB69" w:rsidR="008873DB" w:rsidRPr="001D7A4A" w:rsidRDefault="008873DB" w:rsidP="008873DB">
      <w:r w:rsidRPr="001D7A4A">
        <w:t xml:space="preserve">Encouragingly, there is strong basis of partnership working under the IAHP and elsewhere, for example the COVID-19 pandemic response, to build on. </w:t>
      </w:r>
      <w:r w:rsidRPr="001D7A4A">
        <w:rPr>
          <w:lang w:val="en-US"/>
        </w:rPr>
        <w:t>The ACCHS sector has the knowledge and skills to work in partnership with governments. The ACCHS sector can bring both national and local place-based experiences and solutions to the table, which transform the governments’ response in a timely, evidence-based and effective way. The COVID-19 response is a demonstrated example of shared</w:t>
      </w:r>
      <w:r w:rsidR="00E00590">
        <w:rPr>
          <w:lang w:val="en-US"/>
        </w:rPr>
        <w:t xml:space="preserve"> </w:t>
      </w:r>
      <w:r w:rsidRPr="001D7A4A">
        <w:rPr>
          <w:lang w:val="en-US"/>
        </w:rPr>
        <w:t>decision</w:t>
      </w:r>
      <w:r w:rsidR="00E00590">
        <w:rPr>
          <w:lang w:val="en-US"/>
        </w:rPr>
        <w:t>-</w:t>
      </w:r>
      <w:r w:rsidRPr="001D7A4A">
        <w:rPr>
          <w:lang w:val="en-US"/>
        </w:rPr>
        <w:t xml:space="preserve">making and pooling of knowledge between the Australian, state and territory governments and the ACCHS sector to develop and execute a timely, effective, evidence-informed response to this crisis. This response kept thousands of people safe. The COVID-19 experience strengthened the long-standing working relationship between the </w:t>
      </w:r>
      <w:r w:rsidR="00806455">
        <w:rPr>
          <w:lang w:val="en-US"/>
        </w:rPr>
        <w:t>department</w:t>
      </w:r>
      <w:r w:rsidRPr="001D7A4A">
        <w:rPr>
          <w:lang w:val="en-US"/>
        </w:rPr>
        <w:t xml:space="preserve"> and NACCHO, and built confidence and trust in the ACCHS sector. </w:t>
      </w:r>
      <w:r w:rsidRPr="001D7A4A">
        <w:t>Partnerships and shared decision-making need to be formalised and systematised across the IAHP and at all levels of the health system.</w:t>
      </w:r>
    </w:p>
    <w:p w14:paraId="5ED3FDAD" w14:textId="77777777" w:rsidR="001D7A4A" w:rsidRPr="001D7A4A" w:rsidRDefault="001D7A4A" w:rsidP="0035030F">
      <w:pPr>
        <w:pStyle w:val="Heading2"/>
      </w:pPr>
      <w:bookmarkStart w:id="342" w:name="_Toc137208952"/>
      <w:r w:rsidRPr="001D7A4A">
        <w:t>A strategic focus for the IAHP</w:t>
      </w:r>
      <w:bookmarkEnd w:id="342"/>
    </w:p>
    <w:p w14:paraId="05B7CF16" w14:textId="77777777" w:rsidR="001D7A4A" w:rsidRPr="001D7A4A" w:rsidRDefault="001D7A4A" w:rsidP="001D7A4A">
      <w:r w:rsidRPr="001D7A4A">
        <w:t>There is a strong policy framework to support improvements to the delivery of comprehensive PHC and support improved health and wellbeing outcomes for Aboriginal and Torres Strait Islander people.</w:t>
      </w:r>
      <w:r w:rsidRPr="001D7A4A">
        <w:rPr>
          <w:vertAlign w:val="superscript"/>
        </w:rPr>
        <w:footnoteReference w:id="86"/>
      </w:r>
      <w:r w:rsidRPr="001D7A4A">
        <w:t xml:space="preserve"> Across this policy framework there are core commitments to:</w:t>
      </w:r>
    </w:p>
    <w:p w14:paraId="77902E6B" w14:textId="77777777" w:rsidR="001D7A4A" w:rsidRPr="001D7A4A" w:rsidRDefault="001D7A4A" w:rsidP="00C4104A">
      <w:pPr>
        <w:numPr>
          <w:ilvl w:val="0"/>
          <w:numId w:val="27"/>
        </w:numPr>
        <w:spacing w:after="120"/>
        <w:ind w:left="714" w:hanging="357"/>
      </w:pPr>
      <w:r w:rsidRPr="001D7A4A">
        <w:t xml:space="preserve">self-determination through transfer of power, decision-making, and resources to Aboriginal and Torres Strait Islander communities </w:t>
      </w:r>
    </w:p>
    <w:p w14:paraId="7151BE3F" w14:textId="77777777" w:rsidR="001D7A4A" w:rsidRPr="001D7A4A" w:rsidRDefault="001D7A4A" w:rsidP="00C4104A">
      <w:pPr>
        <w:numPr>
          <w:ilvl w:val="0"/>
          <w:numId w:val="27"/>
        </w:numPr>
        <w:spacing w:after="120"/>
        <w:ind w:left="714" w:hanging="357"/>
      </w:pPr>
      <w:r w:rsidRPr="001D7A4A">
        <w:t xml:space="preserve">strengthening the community-controlled sector </w:t>
      </w:r>
    </w:p>
    <w:p w14:paraId="67FC6EFF" w14:textId="77777777" w:rsidR="001D7A4A" w:rsidRPr="001D7A4A" w:rsidRDefault="001D7A4A" w:rsidP="00C4104A">
      <w:pPr>
        <w:numPr>
          <w:ilvl w:val="0"/>
          <w:numId w:val="27"/>
        </w:numPr>
        <w:spacing w:after="120"/>
        <w:ind w:left="714" w:hanging="357"/>
      </w:pPr>
      <w:r w:rsidRPr="001D7A4A">
        <w:t xml:space="preserve">delivering holistic, </w:t>
      </w:r>
      <w:r w:rsidRPr="007D0CF9">
        <w:t>person-centred</w:t>
      </w:r>
      <w:r w:rsidRPr="001D7A4A">
        <w:t xml:space="preserve"> approaches to health and wellbeing</w:t>
      </w:r>
    </w:p>
    <w:p w14:paraId="5A3B0D11" w14:textId="77777777" w:rsidR="001D7A4A" w:rsidRPr="001D7A4A" w:rsidRDefault="001D7A4A" w:rsidP="00C4104A">
      <w:pPr>
        <w:numPr>
          <w:ilvl w:val="0"/>
          <w:numId w:val="27"/>
        </w:numPr>
        <w:spacing w:after="120"/>
        <w:ind w:left="714" w:hanging="357"/>
      </w:pPr>
      <w:r w:rsidRPr="001D7A4A">
        <w:t xml:space="preserve">investing in addressing inequities in access and outcomes, including for Aboriginal and Torrs Strait Islander people </w:t>
      </w:r>
    </w:p>
    <w:p w14:paraId="26713C9D" w14:textId="77777777" w:rsidR="001D7A4A" w:rsidRPr="001D7A4A" w:rsidRDefault="001D7A4A" w:rsidP="00C4104A">
      <w:pPr>
        <w:numPr>
          <w:ilvl w:val="0"/>
          <w:numId w:val="27"/>
        </w:numPr>
        <w:spacing w:after="120"/>
        <w:ind w:left="714" w:hanging="357"/>
      </w:pPr>
      <w:r w:rsidRPr="001D7A4A">
        <w:t xml:space="preserve">linking policy commitments and activity to clearly defined and measurable outcomes </w:t>
      </w:r>
    </w:p>
    <w:p w14:paraId="612F1B0A" w14:textId="77777777" w:rsidR="001D7A4A" w:rsidRPr="001D7A4A" w:rsidRDefault="001D7A4A" w:rsidP="00C4104A">
      <w:pPr>
        <w:numPr>
          <w:ilvl w:val="0"/>
          <w:numId w:val="27"/>
        </w:numPr>
        <w:spacing w:after="120"/>
        <w:ind w:left="714" w:hanging="357"/>
      </w:pPr>
      <w:r w:rsidRPr="001D7A4A">
        <w:lastRenderedPageBreak/>
        <w:t xml:space="preserve">ensuring that government is publicly accountable for targets and key outcomes through public reporting processes </w:t>
      </w:r>
    </w:p>
    <w:p w14:paraId="672D3DD3" w14:textId="77777777" w:rsidR="001D7A4A" w:rsidRPr="001D7A4A" w:rsidRDefault="001D7A4A" w:rsidP="00C4104A">
      <w:pPr>
        <w:numPr>
          <w:ilvl w:val="0"/>
          <w:numId w:val="27"/>
        </w:numPr>
        <w:spacing w:after="120"/>
        <w:ind w:left="714" w:hanging="357"/>
      </w:pPr>
      <w:r w:rsidRPr="001D7A4A">
        <w:t xml:space="preserve">accountability to community through Aboriginal and Torres Strait Islander-led processes of monitoring and review </w:t>
      </w:r>
    </w:p>
    <w:p w14:paraId="4DA9B6C5" w14:textId="77777777" w:rsidR="001D7A4A" w:rsidRPr="001D7A4A" w:rsidRDefault="001D7A4A" w:rsidP="00343EB2">
      <w:pPr>
        <w:numPr>
          <w:ilvl w:val="0"/>
          <w:numId w:val="27"/>
        </w:numPr>
      </w:pPr>
      <w:r w:rsidRPr="001D7A4A">
        <w:t>recognition that improving health outcomes requires attention and action to address social and cultural determinants of health.</w:t>
      </w:r>
    </w:p>
    <w:p w14:paraId="02D58BB9" w14:textId="77777777" w:rsidR="001D7A4A" w:rsidRPr="001D7A4A" w:rsidRDefault="001D7A4A" w:rsidP="001D7A4A">
      <w:r w:rsidRPr="001D7A4A">
        <w:t xml:space="preserve">There is close alignment between policy framework commitments and the expectations and aspirations of site partners and people contributing to the evaluation. For example, the National Aboriginal and Torres Strait Islander Health Plan reflects the community ambition for greater control and agency in service delivery. </w:t>
      </w:r>
    </w:p>
    <w:p w14:paraId="555DD7C0" w14:textId="4E5E4E56" w:rsidR="001D7A4A" w:rsidRPr="001D7A4A" w:rsidRDefault="001D7A4A" w:rsidP="001D7A4A">
      <w:r w:rsidRPr="001D7A4A">
        <w:t xml:space="preserve">There is a real opportunity to give practical effect to these existing commitments and policy directions through improvements to the implementation of the IAHP. The </w:t>
      </w:r>
      <w:r w:rsidR="00806455">
        <w:t>department</w:t>
      </w:r>
      <w:r w:rsidRPr="001D7A4A">
        <w:t xml:space="preserve"> is looking at its policies and programs within the context of the current policy framework. For the IAHP, this presents an opportunity to:</w:t>
      </w:r>
    </w:p>
    <w:p w14:paraId="0C2ACCA7" w14:textId="77777777" w:rsidR="001D7A4A" w:rsidRPr="001D7A4A" w:rsidRDefault="001D7A4A" w:rsidP="00C4104A">
      <w:pPr>
        <w:numPr>
          <w:ilvl w:val="0"/>
          <w:numId w:val="27"/>
        </w:numPr>
        <w:spacing w:after="120"/>
        <w:ind w:left="714" w:hanging="357"/>
      </w:pPr>
      <w:r w:rsidRPr="001D7A4A">
        <w:t xml:space="preserve">Set the </w:t>
      </w:r>
      <w:r w:rsidRPr="001D7A4A">
        <w:rPr>
          <w:b/>
          <w:bCs/>
        </w:rPr>
        <w:t>strategic focus</w:t>
      </w:r>
      <w:r w:rsidRPr="001D7A4A">
        <w:t xml:space="preserve"> for the IAHP, including clarifying (and perhaps narrowing) the intent of the IAHP vis-à-vis expectations of mainstream funding and how the IAHP and mainstream funding are intended to work together. This needs to take a whole-of-program and whole-of-system approach, looking at the IAHP in its totality (across funding streams, programs and activities), and its place within the health system.</w:t>
      </w:r>
    </w:p>
    <w:p w14:paraId="60F9DC5C" w14:textId="77777777" w:rsidR="001D7A4A" w:rsidRPr="001D7A4A" w:rsidRDefault="001D7A4A" w:rsidP="00C4104A">
      <w:pPr>
        <w:numPr>
          <w:ilvl w:val="0"/>
          <w:numId w:val="27"/>
        </w:numPr>
        <w:spacing w:after="120"/>
        <w:ind w:left="714" w:hanging="357"/>
      </w:pPr>
      <w:r w:rsidRPr="001D7A4A">
        <w:t xml:space="preserve">Set an </w:t>
      </w:r>
      <w:r w:rsidRPr="001D7A4A">
        <w:rPr>
          <w:b/>
          <w:bCs/>
        </w:rPr>
        <w:t>investment strategy</w:t>
      </w:r>
      <w:r w:rsidRPr="001D7A4A">
        <w:t xml:space="preserve"> for the IAHP, again through a whole-of-government approach that situates the IAHP within the context of all investment for Aboriginal and Torres Strait Islander comprehensive PHC. The investment strategy needs to consider the specific issue of financing for Aboriginal and Torres Strait Islander health and wellbeing outcomes that support realisation of the outcomes in the National Agreement on Closing the Gap. Financing is one of the gaps in the current policy framework.</w:t>
      </w:r>
    </w:p>
    <w:p w14:paraId="6877D89B" w14:textId="7324FBAF" w:rsidR="00953EA0" w:rsidRDefault="001D7A4A" w:rsidP="00343EB2">
      <w:pPr>
        <w:numPr>
          <w:ilvl w:val="0"/>
          <w:numId w:val="27"/>
        </w:numPr>
      </w:pPr>
      <w:r w:rsidRPr="001D7A4A">
        <w:t xml:space="preserve">Sharpen the focus of the IAHP on pursuing </w:t>
      </w:r>
      <w:r w:rsidRPr="001D7A4A">
        <w:rPr>
          <w:b/>
          <w:bCs/>
        </w:rPr>
        <w:t>health equity</w:t>
      </w:r>
      <w:r w:rsidRPr="001D7A4A">
        <w:t xml:space="preserve"> for Aboriginal and Torres Strait Islander people.</w:t>
      </w:r>
      <w:r w:rsidR="00DF7672">
        <w:t xml:space="preserve"> </w:t>
      </w:r>
      <w:r w:rsidR="00DF7672" w:rsidRPr="00DF7672">
        <w:t xml:space="preserve">This requires recognition that to address equity, which is an outcome measure, there needs to be additional investments, inputs and outputs for populations whose </w:t>
      </w:r>
      <w:r w:rsidR="00F006D9">
        <w:t>have a significant burden of disease</w:t>
      </w:r>
      <w:r w:rsidR="00DF7672" w:rsidRPr="00DF7672">
        <w:t>. Hence the need for an additional funding mechanism, as is I</w:t>
      </w:r>
      <w:r w:rsidR="001D575C">
        <w:t>AHP</w:t>
      </w:r>
      <w:r w:rsidR="00DF7672" w:rsidRPr="00DF7672">
        <w:t xml:space="preserve">, over and above mainstream funding mechanisms. </w:t>
      </w:r>
      <w:r w:rsidR="00B129F9">
        <w:t>Th</w:t>
      </w:r>
      <w:r w:rsidR="00DF7672" w:rsidRPr="00DF7672">
        <w:t xml:space="preserve">is funding mechanism needs to be resourced at a level commensurate with </w:t>
      </w:r>
      <w:r w:rsidR="004505CA">
        <w:t>Closing</w:t>
      </w:r>
      <w:r w:rsidR="00DF7672" w:rsidRPr="00DF7672">
        <w:t xml:space="preserve"> the </w:t>
      </w:r>
      <w:r w:rsidR="004505CA">
        <w:t>Gap</w:t>
      </w:r>
      <w:r w:rsidR="00DF7672" w:rsidRPr="00DF7672">
        <w:t xml:space="preserve">. </w:t>
      </w:r>
      <w:r w:rsidR="00D417C6">
        <w:t xml:space="preserve">This also requires </w:t>
      </w:r>
      <w:r w:rsidR="00BC2A98">
        <w:t>identifying and addressing equity issues within the population</w:t>
      </w:r>
      <w:r w:rsidR="001D73F6">
        <w:t>, including harder to reach populations,</w:t>
      </w:r>
      <w:r w:rsidR="00BC2A98">
        <w:t xml:space="preserve"> that the IAHP </w:t>
      </w:r>
      <w:r w:rsidR="00DF7672" w:rsidRPr="00DF7672">
        <w:t xml:space="preserve">funding </w:t>
      </w:r>
      <w:r w:rsidR="001D73F6">
        <w:t>intends to support</w:t>
      </w:r>
      <w:r w:rsidR="00776DEE">
        <w:t>.</w:t>
      </w:r>
    </w:p>
    <w:p w14:paraId="2C8655DA" w14:textId="530D2835" w:rsidR="001D7A4A" w:rsidRPr="001D7A4A" w:rsidRDefault="001D7A4A" w:rsidP="001D7A4A">
      <w:pPr>
        <w:rPr>
          <w:lang w:val="en-NZ"/>
        </w:rPr>
      </w:pPr>
      <w:r w:rsidRPr="001D7A4A">
        <w:rPr>
          <w:lang w:val="en-NZ"/>
        </w:rPr>
        <w:t xml:space="preserve">Setting the strategic focus of the IAHP within the context of the wider health system </w:t>
      </w:r>
      <w:r w:rsidR="005E1C9B">
        <w:rPr>
          <w:lang w:val="en-NZ"/>
        </w:rPr>
        <w:t>in partnership with Aboriginal and Torres Strait Islander</w:t>
      </w:r>
      <w:r w:rsidR="00A34BAF">
        <w:rPr>
          <w:lang w:val="en-NZ"/>
        </w:rPr>
        <w:t xml:space="preserve"> people</w:t>
      </w:r>
      <w:r w:rsidR="005E1C9B">
        <w:rPr>
          <w:lang w:val="en-NZ"/>
        </w:rPr>
        <w:t xml:space="preserve"> </w:t>
      </w:r>
      <w:r w:rsidRPr="001D7A4A">
        <w:rPr>
          <w:lang w:val="en-NZ"/>
        </w:rPr>
        <w:t xml:space="preserve">would contribute to a more coherent, coordinated and interconnected health system. It would elevate the IAHP from a funding program to an integrated </w:t>
      </w:r>
      <w:r w:rsidR="003000B5">
        <w:rPr>
          <w:lang w:val="en-NZ"/>
        </w:rPr>
        <w:t xml:space="preserve">funding and </w:t>
      </w:r>
      <w:r w:rsidRPr="001D7A4A">
        <w:rPr>
          <w:lang w:val="en-NZ"/>
        </w:rPr>
        <w:t>policy response to meet government policy commitments</w:t>
      </w:r>
      <w:r w:rsidR="0058316E">
        <w:rPr>
          <w:lang w:val="en-NZ"/>
        </w:rPr>
        <w:t xml:space="preserve"> and make a stronger contribution to whole-off-government action to social </w:t>
      </w:r>
      <w:r w:rsidR="005E4E5C">
        <w:rPr>
          <w:lang w:val="en-NZ"/>
        </w:rPr>
        <w:t>determinants</w:t>
      </w:r>
      <w:r w:rsidR="0058316E">
        <w:rPr>
          <w:lang w:val="en-NZ"/>
        </w:rPr>
        <w:t xml:space="preserve"> of health and wellbeing through the deep connection that funded organisations have </w:t>
      </w:r>
      <w:r w:rsidR="00F57E2D">
        <w:rPr>
          <w:lang w:val="en-NZ"/>
        </w:rPr>
        <w:t xml:space="preserve">with </w:t>
      </w:r>
      <w:r w:rsidR="005E4E5C">
        <w:rPr>
          <w:lang w:val="en-NZ"/>
        </w:rPr>
        <w:t>local communities</w:t>
      </w:r>
      <w:r w:rsidRPr="001D7A4A">
        <w:rPr>
          <w:lang w:val="en-NZ"/>
        </w:rPr>
        <w:t xml:space="preserve">. </w:t>
      </w:r>
    </w:p>
    <w:p w14:paraId="38985327" w14:textId="76553449" w:rsidR="001D7A4A" w:rsidRPr="001D7A4A" w:rsidRDefault="001D7A4A" w:rsidP="001D7A4A">
      <w:r w:rsidRPr="001D7A4A">
        <w:rPr>
          <w:lang w:val="en-NZ"/>
        </w:rPr>
        <w:lastRenderedPageBreak/>
        <w:t xml:space="preserve">In addition to setting the strategic focus for the IAHP, the evaluation findings indicate a need to focus on successfully translating the strategy into practice. This is not as simple as managing the delivery of IAHP funding. It requires having strategic oversight of the critical drivers of successful policy implementation. Based on best practice guidance </w:t>
      </w:r>
      <w:r w:rsidRPr="001D7A4A">
        <w:rPr>
          <w:lang w:val="en-NZ"/>
        </w:rPr>
        <w:fldChar w:fldCharType="begin"/>
      </w:r>
      <w:r w:rsidR="00F8760E">
        <w:rPr>
          <w:lang w:val="en-NZ"/>
        </w:rPr>
        <w:instrText xml:space="preserve"> ADDIN ZOTERO_ITEM CSL_CITATION {"citationID":"kki5ddSl","properties":{"formattedCitation":"(Department of the Prime Minister and Cabinet &amp; Australian National Audit Office, 2014)","plainCitation":"(Department of the Prime Minister and Cabinet &amp; Australian National Audit Office, 2014)","noteIndex":0},"citationItems":[{"id":3715,"uris":["http://zotero.org/groups/4420056/items/MYNK2BB9",["http://zotero.org/groups/4420056/items/MYNK2BB9"],["http://zotero.org/groups/4420056/items/MYNK2BB9",["http://zotero.org/groups/4420056/items/MYNK2BB9"]]],"itemData":{"id":3715,"type":"report","abstract":"This guide offers advice to public sector senior leaders on the successful implementation of policies so that unintended consequences, which deny the community the full benefits of a new policy or waste public resources, can be avoided. Foreword All Governments expect their policies to be implemented on time, on budget and to expectations. For that to occur, implementation considerations must be a fundamental part of all stages of policy development.","archive_location":"Australia","genre":"Report","language":"en","publisher":"Commonwealth of Australia","source":"apo.org.au","title":"Successful implementation of policy initiatives: better practice guide","title-short":"Successful implementation of policy initiatives","URL":"https://apo.org.au/node/41796","author":[{"literal":"Department of the Prime Minister and Cabinet"},{"literal":"Australian National Audit Office"}],"accessed":{"date-parts":[["2023",3,30]]},"issued":{"date-parts":[["2014",10,15]]}}}],"schema":"https://github.com/citation-style-language/schema/raw/master/csl-citation.json"} </w:instrText>
      </w:r>
      <w:r w:rsidRPr="001D7A4A">
        <w:rPr>
          <w:lang w:val="en-NZ"/>
        </w:rPr>
        <w:fldChar w:fldCharType="separate"/>
      </w:r>
      <w:r w:rsidRPr="001D7A4A">
        <w:rPr>
          <w:rFonts w:ascii="Arial" w:hAnsi="Arial" w:cs="Arial"/>
        </w:rPr>
        <w:t>(Department of the Prime Minister and Cabinet &amp; Australian National Audit Office, 2014)</w:t>
      </w:r>
      <w:r w:rsidRPr="001D7A4A">
        <w:rPr>
          <w:lang w:val="en-NZ"/>
        </w:rPr>
        <w:fldChar w:fldCharType="end"/>
      </w:r>
      <w:r w:rsidRPr="001D7A4A">
        <w:rPr>
          <w:lang w:val="en-NZ"/>
        </w:rPr>
        <w:t xml:space="preserve">, this requires active management of </w:t>
      </w:r>
      <w:r w:rsidRPr="001D7A4A">
        <w:t>pre-conditions and capabilities for successful implementation, including:</w:t>
      </w:r>
    </w:p>
    <w:p w14:paraId="46BAD988" w14:textId="77777777" w:rsidR="001D7A4A" w:rsidRPr="001D7A4A" w:rsidRDefault="001D7A4A" w:rsidP="00C4104A">
      <w:pPr>
        <w:pStyle w:val="ListParagraph"/>
        <w:numPr>
          <w:ilvl w:val="0"/>
          <w:numId w:val="64"/>
        </w:numPr>
        <w:spacing w:after="120"/>
        <w:ind w:left="714" w:hanging="357"/>
        <w:contextualSpacing w:val="0"/>
      </w:pPr>
      <w:r w:rsidRPr="001D7A4A">
        <w:t>sound governance arrangements</w:t>
      </w:r>
    </w:p>
    <w:p w14:paraId="0938127F" w14:textId="77777777" w:rsidR="001D7A4A" w:rsidRPr="001D7A4A" w:rsidRDefault="001D7A4A" w:rsidP="00C4104A">
      <w:pPr>
        <w:pStyle w:val="ListParagraph"/>
        <w:numPr>
          <w:ilvl w:val="0"/>
          <w:numId w:val="64"/>
        </w:numPr>
        <w:spacing w:after="120"/>
        <w:ind w:left="714" w:hanging="357"/>
        <w:contextualSpacing w:val="0"/>
      </w:pPr>
      <w:r w:rsidRPr="001D7A4A">
        <w:t>the identification and management of risk</w:t>
      </w:r>
    </w:p>
    <w:p w14:paraId="472A4EAE" w14:textId="77777777" w:rsidR="001D7A4A" w:rsidRPr="001D7A4A" w:rsidRDefault="001D7A4A" w:rsidP="00C4104A">
      <w:pPr>
        <w:pStyle w:val="ListParagraph"/>
        <w:numPr>
          <w:ilvl w:val="0"/>
          <w:numId w:val="64"/>
        </w:numPr>
        <w:spacing w:after="120"/>
        <w:ind w:left="714" w:hanging="357"/>
        <w:contextualSpacing w:val="0"/>
      </w:pPr>
      <w:r w:rsidRPr="001D7A4A">
        <w:t>effective stakeholder engagement</w:t>
      </w:r>
    </w:p>
    <w:p w14:paraId="3D193A0F" w14:textId="77777777" w:rsidR="001D7A4A" w:rsidRPr="001D7A4A" w:rsidRDefault="001D7A4A" w:rsidP="00C4104A">
      <w:pPr>
        <w:pStyle w:val="ListParagraph"/>
        <w:numPr>
          <w:ilvl w:val="0"/>
          <w:numId w:val="64"/>
        </w:numPr>
        <w:spacing w:after="120"/>
        <w:ind w:left="714" w:hanging="357"/>
        <w:contextualSpacing w:val="0"/>
      </w:pPr>
      <w:r w:rsidRPr="001D7A4A">
        <w:t>an implementation roadmap, addressing matters such as timeframe, dependencies with other policies or activities, program logic, phases of implementation, roles and responsibilities, resourcing, and compliance with legal and policy requirements</w:t>
      </w:r>
    </w:p>
    <w:p w14:paraId="0BD52AEB" w14:textId="39A62998" w:rsidR="001D7A4A" w:rsidRPr="001D7A4A" w:rsidRDefault="001D7A4A" w:rsidP="00C4104A">
      <w:pPr>
        <w:pStyle w:val="ListParagraph"/>
        <w:numPr>
          <w:ilvl w:val="0"/>
          <w:numId w:val="64"/>
        </w:numPr>
        <w:spacing w:after="120"/>
        <w:ind w:left="714" w:hanging="357"/>
        <w:contextualSpacing w:val="0"/>
      </w:pPr>
      <w:r w:rsidRPr="001D7A4A">
        <w:t>sufficient resources, including funding,</w:t>
      </w:r>
      <w:r w:rsidR="003000B5">
        <w:t xml:space="preserve"> workforce</w:t>
      </w:r>
      <w:r w:rsidR="00AE7C7A">
        <w:t>,</w:t>
      </w:r>
      <w:r w:rsidRPr="001D7A4A">
        <w:t xml:space="preserve"> capability and IT systems</w:t>
      </w:r>
    </w:p>
    <w:p w14:paraId="0BDC2834" w14:textId="7B4137CE" w:rsidR="001D7A4A" w:rsidRPr="001D7A4A" w:rsidRDefault="001D7A4A" w:rsidP="002F565F">
      <w:pPr>
        <w:pStyle w:val="ListParagraph"/>
        <w:numPr>
          <w:ilvl w:val="0"/>
          <w:numId w:val="64"/>
        </w:numPr>
      </w:pPr>
      <w:r w:rsidRPr="001D7A4A">
        <w:t>monitoring, review and evaluation processes for the active management of implementation</w:t>
      </w:r>
      <w:r w:rsidR="000354C7">
        <w:t>.</w:t>
      </w:r>
    </w:p>
    <w:p w14:paraId="17FF1A86" w14:textId="62E821C2" w:rsidR="001D7A4A" w:rsidRPr="001D7A4A" w:rsidRDefault="001D7A4A" w:rsidP="001D7A4A">
      <w:pPr>
        <w:rPr>
          <w:lang w:val="en-GB"/>
        </w:rPr>
      </w:pPr>
      <w:r w:rsidRPr="001D7A4A">
        <w:t xml:space="preserve">This focus on implementation recognises that the IAHP operates within a complex system and the </w:t>
      </w:r>
      <w:r w:rsidR="00AE7C7A">
        <w:t xml:space="preserve">challenges of </w:t>
      </w:r>
      <w:r w:rsidRPr="001D7A4A">
        <w:t>implement</w:t>
      </w:r>
      <w:r w:rsidR="00AE7C7A">
        <w:t xml:space="preserve">ing </w:t>
      </w:r>
      <w:r w:rsidR="00282784">
        <w:t xml:space="preserve">a </w:t>
      </w:r>
      <w:r w:rsidR="00AE7C7A">
        <w:t>policy</w:t>
      </w:r>
      <w:r w:rsidR="00282784">
        <w:t xml:space="preserve">’s intent </w:t>
      </w:r>
      <w:r w:rsidR="008E484B">
        <w:t xml:space="preserve">within a </w:t>
      </w:r>
      <w:r w:rsidR="00E2717D">
        <w:t>dynamic</w:t>
      </w:r>
      <w:r w:rsidR="008E484B">
        <w:t xml:space="preserve"> context</w:t>
      </w:r>
      <w:r w:rsidR="00945826">
        <w:t xml:space="preserve"> </w:t>
      </w:r>
      <w:r w:rsidRPr="001D7A4A">
        <w:t>is inherently challenging. It addresses concerns identified through the evaluation that Closing the Gap health targets will not be met</w:t>
      </w:r>
      <w:r w:rsidR="00CA6000">
        <w:t>.</w:t>
      </w:r>
    </w:p>
    <w:p w14:paraId="6AE33744" w14:textId="77777777" w:rsidR="001D7A4A" w:rsidRPr="001D7A4A" w:rsidRDefault="001D7A4A" w:rsidP="0035030F">
      <w:pPr>
        <w:pStyle w:val="Heading2"/>
      </w:pPr>
      <w:bookmarkStart w:id="343" w:name="_Toc137208953"/>
      <w:r w:rsidRPr="001D7A4A">
        <w:t>Resourcing that matches ambition</w:t>
      </w:r>
      <w:bookmarkEnd w:id="343"/>
    </w:p>
    <w:p w14:paraId="29CC11FB" w14:textId="63151172" w:rsidR="001D7A4A" w:rsidRPr="001D7A4A" w:rsidRDefault="001D7A4A" w:rsidP="001D7A4A">
      <w:r w:rsidRPr="001D7A4A">
        <w:t>The insufficiency of the investment in Aboriginal and Torres Strait Islander comprehensive PHC was strongly reported and acknowledged across participants in the evaluation. Fundamentally, the level of investment does not appear to match the degree of ambition signalled across the policy framework</w:t>
      </w:r>
      <w:r w:rsidR="00CD5A28">
        <w:t xml:space="preserve"> and</w:t>
      </w:r>
      <w:r w:rsidRPr="001D7A4A">
        <w:t xml:space="preserve"> many policy commitments lack an aligned financial plan.</w:t>
      </w:r>
    </w:p>
    <w:p w14:paraId="14DAA1C7" w14:textId="77777777" w:rsidR="001D7A4A" w:rsidRPr="001D7A4A" w:rsidRDefault="001D7A4A" w:rsidP="001D7A4A">
      <w:r w:rsidRPr="001D7A4A">
        <w:t>The evaluation concludes that increased investment in Aboriginal and Torres Strait Islander comprehensive PHC is critical to:</w:t>
      </w:r>
    </w:p>
    <w:p w14:paraId="227D0FBC" w14:textId="1197EB98" w:rsidR="001D7A4A" w:rsidRPr="001D7A4A" w:rsidRDefault="001D7A4A" w:rsidP="00C87A4E">
      <w:pPr>
        <w:numPr>
          <w:ilvl w:val="0"/>
          <w:numId w:val="27"/>
        </w:numPr>
        <w:spacing w:after="120"/>
        <w:ind w:left="714" w:hanging="357"/>
      </w:pPr>
      <w:r w:rsidRPr="001D7A4A">
        <w:t xml:space="preserve">Enable ACCHSs to deliver their full </w:t>
      </w:r>
      <w:r w:rsidRPr="001D7A4A">
        <w:rPr>
          <w:b/>
          <w:bCs/>
        </w:rPr>
        <w:t>model of care</w:t>
      </w:r>
      <w:r w:rsidRPr="001D7A4A">
        <w:t xml:space="preserve"> for comprehensive PHC, including across all</w:t>
      </w:r>
      <w:r w:rsidRPr="001D7A4A" w:rsidDel="006D2482">
        <w:t xml:space="preserve"> </w:t>
      </w:r>
      <w:r w:rsidR="006D2482">
        <w:t>4</w:t>
      </w:r>
      <w:r w:rsidR="006D2482" w:rsidRPr="001D7A4A">
        <w:t xml:space="preserve"> </w:t>
      </w:r>
      <w:r w:rsidRPr="001D7A4A">
        <w:t xml:space="preserve">domains – governance, clinical services, policy direction and partnerships, community health promotion and empowerment – in the Core Services Framework </w:t>
      </w:r>
      <w:r w:rsidRPr="001D7A4A">
        <w:fldChar w:fldCharType="begin"/>
      </w:r>
      <w:r w:rsidR="00F8760E">
        <w:instrText xml:space="preserve"> ADDIN ZOTERO_ITEM CSL_CITATION {"citationID":"jpJHtQVq","properties":{"formattedCitation":"(National Aboriginal Community Controlled Health Organisation, 2021b)","plainCitation":"(National Aboriginal Community Controlled Health Organisation, 2021b)","noteIndex":0},"citationItems":[{"id":3627,"uris":["http://zotero.org/groups/4420056/items/9TQYZN82",["http://zotero.org/groups/4420056/items/9TQYZN82"],["http://zotero.org/groups/4420056/items/9TQYZN82",["http://zotero.org/groups/4420056/items/9TQYZN82"]]],"itemData":{"id":3627,"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rsidRPr="001D7A4A">
        <w:fldChar w:fldCharType="separate"/>
      </w:r>
      <w:r w:rsidR="002730C3" w:rsidRPr="002730C3">
        <w:rPr>
          <w:rFonts w:ascii="Arial" w:hAnsi="Arial" w:cs="Arial"/>
        </w:rPr>
        <w:t>(National Aboriginal Community Controlled Health Organisation, 2021b)</w:t>
      </w:r>
      <w:r w:rsidRPr="001D7A4A">
        <w:fldChar w:fldCharType="end"/>
      </w:r>
      <w:r w:rsidRPr="001D7A4A">
        <w:t>.</w:t>
      </w:r>
    </w:p>
    <w:p w14:paraId="32D15ADE" w14:textId="77777777" w:rsidR="001D7A4A" w:rsidRPr="001D7A4A" w:rsidRDefault="001D7A4A" w:rsidP="00C87A4E">
      <w:pPr>
        <w:numPr>
          <w:ilvl w:val="0"/>
          <w:numId w:val="27"/>
        </w:numPr>
        <w:spacing w:after="120"/>
        <w:ind w:left="714" w:hanging="357"/>
      </w:pPr>
      <w:r w:rsidRPr="001D7A4A">
        <w:t xml:space="preserve">Respond to increasing </w:t>
      </w:r>
      <w:r w:rsidRPr="001D7A4A">
        <w:rPr>
          <w:b/>
          <w:bCs/>
        </w:rPr>
        <w:t>demand</w:t>
      </w:r>
      <w:r w:rsidRPr="001D7A4A">
        <w:t xml:space="preserve"> for services as a result of population growth and a population that requires high-level complex health care arrangements.</w:t>
      </w:r>
    </w:p>
    <w:p w14:paraId="2497B9A3" w14:textId="77777777" w:rsidR="001D7A4A" w:rsidRPr="001D7A4A" w:rsidRDefault="001D7A4A" w:rsidP="00343EB2">
      <w:pPr>
        <w:numPr>
          <w:ilvl w:val="0"/>
          <w:numId w:val="27"/>
        </w:numPr>
      </w:pPr>
      <w:r w:rsidRPr="001D7A4A">
        <w:t xml:space="preserve">Enable ACCHSs to attract and retain an appropriate multi-disciplinary </w:t>
      </w:r>
      <w:r w:rsidRPr="001D7A4A">
        <w:rPr>
          <w:b/>
          <w:bCs/>
        </w:rPr>
        <w:t>workforce</w:t>
      </w:r>
      <w:r w:rsidRPr="001D7A4A">
        <w:t>, including an Aboriginal and Torres Strait Islander workforce. A strong and stable Aboriginal and Torres Strait Islander workforce is essential to delivering health care that meets the needs of Aboriginal and Torres Strait Islander people.</w:t>
      </w:r>
    </w:p>
    <w:p w14:paraId="6BB96486" w14:textId="13329028" w:rsidR="001D7A4A" w:rsidRPr="001D7A4A" w:rsidRDefault="001D7A4A" w:rsidP="001D7A4A">
      <w:r w:rsidRPr="001D7A4A">
        <w:lastRenderedPageBreak/>
        <w:t>Alongside these factors, there is a need to consider the sufficiency of funding against ambitions to address the determinants of health, and ambitions to extend the reach of ACCHSs. The evaluation notes that IAHP funded organisations provided services to around 443,000 Aboriginal and Torres Strait Islander clients in 2021-22 which represents 45% of the total estimated Aboriginal and Torres Strait Islander population.</w:t>
      </w:r>
      <w:r w:rsidRPr="001D7A4A">
        <w:rPr>
          <w:vertAlign w:val="superscript"/>
        </w:rPr>
        <w:footnoteReference w:id="87"/>
      </w:r>
      <w:r w:rsidRPr="001D7A4A">
        <w:t xml:space="preserve"> This indicates that around 55% of the population do not access PHC services at ACCHSs or other IAHP funded primary care organisations. The evaluation notes that the population not served by ACCHSs is invisible in much of the discourse on comprehensive PHC</w:t>
      </w:r>
      <w:r w:rsidR="00E95FF0">
        <w:t xml:space="preserve"> for Aboriginal and Torres Strait Islander people</w:t>
      </w:r>
      <w:r w:rsidRPr="001D7A4A">
        <w:t>. Given the effectiveness of the model of Aboriginal and Torres Strait Islander community-controlled comprehensive PHC and the challenge presented by the Closing the Gap health targets, the evaluation concludes that a discussion on the appropriateness of a growth strategy to extend the reach of ACCHSs is warranted. This needs to be co-led by the ACCHS sector. It also needs to be cognisant of the tension in pursuing a growth strategy</w:t>
      </w:r>
      <w:r w:rsidR="00E2717D">
        <w:t>,</w:t>
      </w:r>
      <w:r w:rsidR="003F248D">
        <w:t xml:space="preserve"> if funding is constrained</w:t>
      </w:r>
      <w:r w:rsidR="00E2717D">
        <w:t>,</w:t>
      </w:r>
      <w:r w:rsidR="003F248D">
        <w:t xml:space="preserve"> </w:t>
      </w:r>
      <w:r w:rsidRPr="001D7A4A" w:rsidDel="003F248D">
        <w:t>when</w:t>
      </w:r>
      <w:r w:rsidRPr="001D7A4A">
        <w:t xml:space="preserve"> many services face significant challenges in providing a stable and appropriate service to their existing client base.</w:t>
      </w:r>
    </w:p>
    <w:p w14:paraId="42525F5E" w14:textId="58099833" w:rsidR="001D7A4A" w:rsidRPr="001D7A4A" w:rsidRDefault="001D7A4A" w:rsidP="001D7A4A">
      <w:r w:rsidRPr="001D7A4A">
        <w:t xml:space="preserve">There is also a need to consider the implications of increasing the investment in Aboriginal and Torres Strait Islander comprehensive PHC for the IAHP. This needs to be considered within an investment strategy for comprehensive PHC (as discussed in Section </w:t>
      </w:r>
      <w:r w:rsidR="00D83411">
        <w:fldChar w:fldCharType="begin"/>
      </w:r>
      <w:r w:rsidR="00D83411">
        <w:instrText xml:space="preserve"> REF _Ref137158356 \r \h </w:instrText>
      </w:r>
      <w:r w:rsidR="00D83411">
        <w:fldChar w:fldCharType="separate"/>
      </w:r>
      <w:r w:rsidR="00165B17">
        <w:t>11</w:t>
      </w:r>
      <w:r w:rsidR="00D83411">
        <w:fldChar w:fldCharType="end"/>
      </w:r>
      <w:r w:rsidRPr="001D7A4A">
        <w:t xml:space="preserve">). The evaluation concludes that the IAHP is a uniquely placed, and proven, mechanism for distributing funding dedicated to supporting Aboriginal and Torres Strait Islander community-controlled comprehensive PHC. However, the evaluation also acknowledges that current legislative authorities may restrict what can be funded through the IAHP and some areas of investment required, for example workforce, will need to be closely coordinated with mainstream investments and might be better delivered outside of the IAHP. At risk of the IAHP being </w:t>
      </w:r>
      <w:r w:rsidRPr="001D7A4A">
        <w:rPr>
          <w:i/>
          <w:iCs/>
        </w:rPr>
        <w:t>everything to everybody</w:t>
      </w:r>
      <w:r w:rsidRPr="001D7A4A">
        <w:t>, the evaluation concludes that increased IAHP funding should focus on the delivery of comprehensive PHC though Aboriginal and Torres Strait Islander community-controlled organisations.</w:t>
      </w:r>
    </w:p>
    <w:p w14:paraId="6D216832" w14:textId="700D5AC7" w:rsidR="001D7A4A" w:rsidRPr="001D7A4A" w:rsidRDefault="001D7A4A" w:rsidP="001D7A4A">
      <w:r w:rsidRPr="001D7A4A">
        <w:t xml:space="preserve">The evaluation </w:t>
      </w:r>
      <w:r w:rsidR="00086498">
        <w:t>has</w:t>
      </w:r>
      <w:r w:rsidRPr="001D7A4A">
        <w:t xml:space="preserve"> not </w:t>
      </w:r>
      <w:r w:rsidR="00086498">
        <w:t>analysed</w:t>
      </w:r>
      <w:r w:rsidRPr="001D7A4A">
        <w:t xml:space="preserve"> the level of increased investment required. The evaluation acknowledges that other work has measured the gap in health expenditure for Aboriginal and Torres Strait Islander people </w:t>
      </w:r>
      <w:r w:rsidRPr="001D7A4A">
        <w:fldChar w:fldCharType="begin"/>
      </w:r>
      <w:r w:rsidR="00F8760E">
        <w:instrText xml:space="preserve"> ADDIN ZOTERO_ITEM CSL_CITATION {"citationID":"3ts3BRXJ","properties":{"formattedCitation":"(National Aboriginal Community Controlled Health Organisation &amp; Equity Economics, 2022)","plainCitation":"(National Aboriginal Community Controlled Health Organisation &amp; Equity Economics, 2022)","noteIndex":0},"citationItems":[{"id":3649,"uris":["http://zotero.org/groups/4420056/items/EYYUWBRV",["http://zotero.org/groups/4420056/items/EYYUWBRV"],["http://zotero.org/groups/4420056/items/EYYUWBRV",["http://zotero.org/groups/4420056/items/EYYUWBRV"]]],"itemData":{"id":3649,"type":"report","genre":"Final report","title":"NACCHO and Equity Economics Report Measuring the Gap in Health Expenditure","URL":"https://static1.squarespace.com/static/61b14c4abbc81a1543f55180/t/62789d5f490b3b08b26635d0/1652071796196/NACCHO-and-Equity-Economics-Report-Measuring-the-Gap-in-Health-Expenditure_FINAL.pdf","author":[{"literal":"National Aboriginal Community Controlled Health Organisation"},{"literal":"Equity Economics"}],"accessed":{"date-parts":[["2023",3,13]]},"issued":{"date-parts":[["2022",5]]}}}],"schema":"https://github.com/citation-style-language/schema/raw/master/csl-citation.json"} </w:instrText>
      </w:r>
      <w:r w:rsidRPr="001D7A4A">
        <w:fldChar w:fldCharType="separate"/>
      </w:r>
      <w:r w:rsidRPr="001D7A4A">
        <w:rPr>
          <w:rFonts w:ascii="Arial" w:hAnsi="Arial" w:cs="Arial"/>
        </w:rPr>
        <w:t>(National Aboriginal Community Controlled Health Organisation &amp; Equity Economics, 2022)</w:t>
      </w:r>
      <w:r w:rsidRPr="001D7A4A">
        <w:fldChar w:fldCharType="end"/>
      </w:r>
      <w:r w:rsidRPr="001D7A4A">
        <w:t xml:space="preserve">, and current commitments to increase the level of IAHP </w:t>
      </w:r>
      <w:r w:rsidR="000F7ACE">
        <w:t>PHC Program</w:t>
      </w:r>
      <w:r w:rsidRPr="001D7A4A">
        <w:t xml:space="preserve"> funding by 3% per year. There is a need to develop robust costings. In the absence of robust costings, the evaluation suggests that a 3% per year funding growth rate is somewhat insufficient to deliver on the ambition in the current policy framework</w:t>
      </w:r>
      <w:r w:rsidR="00A804B7">
        <w:t>, including to close the health equity gap</w:t>
      </w:r>
      <w:r w:rsidRPr="001D7A4A">
        <w:t>. The evaluation also concludes that there has been minimal real growth in IAHP funding over the last 5 years (18% inflation-adjusted, 7% inflation- and population-adjusted).</w:t>
      </w:r>
    </w:p>
    <w:p w14:paraId="35A73835" w14:textId="635AF133" w:rsidR="001D7A4A" w:rsidRPr="001D7A4A" w:rsidRDefault="001D7A4A" w:rsidP="001D7A4A">
      <w:r w:rsidRPr="001D7A4A">
        <w:t>The evaluation notes that, over time, increased expenditure on the IAHP should contribute to savings in other health expenditure, notably on the public hospital system</w:t>
      </w:r>
      <w:r w:rsidR="00853659">
        <w:t>.</w:t>
      </w:r>
      <w:r w:rsidRPr="001D7A4A">
        <w:t xml:space="preserve"> </w:t>
      </w:r>
      <w:r w:rsidR="00290B71">
        <w:t xml:space="preserve">Studies have </w:t>
      </w:r>
      <w:r w:rsidR="00FB5253">
        <w:t>measured the economic value of ACCHSs models of care and savings to the health system</w:t>
      </w:r>
      <w:r w:rsidR="00376A68">
        <w:t xml:space="preserve"> </w:t>
      </w:r>
      <w:r w:rsidR="00376A68">
        <w:fldChar w:fldCharType="begin"/>
      </w:r>
      <w:r w:rsidR="00F8760E">
        <w:instrText xml:space="preserve"> ADDIN ZOTERO_ITEM CSL_CITATION {"citationID":"2sgaKCpi","properties":{"formattedCitation":"(Deloitte, 2020)","plainCitation":"(Deloitte, 2020)","dontUpdate":true,"noteIndex":0},"citationItems":[{"id":3892,"uris":["http://zotero.org/groups/4420056/items/I3X9YGHN",["http://zotero.org/groups/4420056/items/I3X9YGHN"],["http://zotero.org/groups/4420056/items/I3X9YGHN",["http://zotero.org/groups/4420056/items/I3X9YGHN"]]],"itemData":{"id":3892,"type":"document","title":"Evaluation of the Institute for Urban Indigenous Health","author":[{"literal":"Deloitte"}],"issued":{"date-parts":[["2020"]]}}}],"schema":"https://github.com/citation-style-language/schema/raw/master/csl-citation.json"} </w:instrText>
      </w:r>
      <w:r w:rsidR="00376A68">
        <w:fldChar w:fldCharType="separate"/>
      </w:r>
      <w:r w:rsidR="00376A68" w:rsidRPr="00376A68">
        <w:rPr>
          <w:rFonts w:ascii="Arial" w:hAnsi="Arial" w:cs="Arial"/>
        </w:rPr>
        <w:t>(</w:t>
      </w:r>
      <w:r w:rsidR="00376A68">
        <w:rPr>
          <w:rFonts w:ascii="Arial" w:hAnsi="Arial" w:cs="Arial"/>
        </w:rPr>
        <w:t xml:space="preserve">for example, </w:t>
      </w:r>
      <w:r w:rsidR="00376A68" w:rsidRPr="00376A68">
        <w:rPr>
          <w:rFonts w:ascii="Arial" w:hAnsi="Arial" w:cs="Arial"/>
        </w:rPr>
        <w:t>Deloitte, 2020)</w:t>
      </w:r>
      <w:r w:rsidR="00376A68">
        <w:fldChar w:fldCharType="end"/>
      </w:r>
      <w:r w:rsidR="00376A68">
        <w:t>.</w:t>
      </w:r>
      <w:r w:rsidRPr="001D7A4A">
        <w:t xml:space="preserve"> This return on investment could be investigated further, </w:t>
      </w:r>
      <w:r w:rsidRPr="001D7A4A">
        <w:lastRenderedPageBreak/>
        <w:t>acknowledging that there were plans to undertake an economic evaluation of the IAHP in parallel to this evaluation, with a focus on articulating the IAHP’s return on investment.</w:t>
      </w:r>
    </w:p>
    <w:p w14:paraId="3096C45A" w14:textId="72B4AF72" w:rsidR="001D7A4A" w:rsidRPr="001D7A4A" w:rsidRDefault="00741881" w:rsidP="0035030F">
      <w:pPr>
        <w:pStyle w:val="Heading2"/>
      </w:pPr>
      <w:bookmarkStart w:id="344" w:name="_Toc137208954"/>
      <w:r>
        <w:t>Delivery of</w:t>
      </w:r>
      <w:r w:rsidR="001D7A4A" w:rsidRPr="001D7A4A">
        <w:t xml:space="preserve"> mainstream services</w:t>
      </w:r>
      <w:bookmarkEnd w:id="344"/>
    </w:p>
    <w:p w14:paraId="22F7890A" w14:textId="178FF940" w:rsidR="001D7A4A" w:rsidRPr="001D7A4A" w:rsidRDefault="001D7A4A" w:rsidP="001D7A4A">
      <w:r w:rsidRPr="001D7A4A">
        <w:t xml:space="preserve">Addressing the ambition and commitments relating to Aboriginal and Torres Strait Islander people’s health and wellbeing across the policy framework requires a focus on improving the quality of care provided by mainstream health services. As noted in the National Aboriginal and Torres Strait Islander Health Plan </w:t>
      </w:r>
      <w:r w:rsidRPr="001D7A4A">
        <w:fldChar w:fldCharType="begin"/>
      </w:r>
      <w:r w:rsidR="00F8760E">
        <w:instrText xml:space="preserve"> ADDIN ZOTERO_ITEM CSL_CITATION {"citationID":"CKvhaTSg","properties":{"formattedCitation":"(Australian Department of Health, 2021)","plainCitation":"(Australian Department of Health, 2021)","dontUpdate":true,"noteIndex":0},"citationItems":[{"id":3766,"uris":["http://zotero.org/groups/5010721/items/VEKQG4DD",["http://zotero.org/groups/5010721/items/VEKQG4DD"],["http://zotero.org/groups/5010721/items/VEKQG4DD",["http://zotero.org/groups/5010721/items/VEKQG4DD"]]],"itemData":{"id":3766,"type":"report","event-place":"Canberra","publisher":"Commonwealth of Australia","publisher-place":"Canberra","title":"National Aboriginal and Torres Strait Islander Health Plan 2021–2031","URL":"https://www.health.gov.au/sites/default/files/documents/2022/06/national-aboriginal-and-torres-strait-islander-health-plan-2021-2031.pdf","author":[{"literal":"Australian Department of Health"}],"issued":{"date-parts":[["2021"]]}}}],"schema":"https://github.com/citation-style-language/schema/raw/master/csl-citation.json"} </w:instrText>
      </w:r>
      <w:r w:rsidRPr="001D7A4A">
        <w:fldChar w:fldCharType="separate"/>
      </w:r>
      <w:r w:rsidRPr="001D7A4A">
        <w:rPr>
          <w:rFonts w:ascii="Arial" w:hAnsi="Arial" w:cs="Arial"/>
        </w:rPr>
        <w:t>(p.8, Australian Department of Health, 2021)</w:t>
      </w:r>
      <w:r w:rsidRPr="001D7A4A">
        <w:fldChar w:fldCharType="end"/>
      </w:r>
      <w:r w:rsidRPr="001D7A4A">
        <w:t>:</w:t>
      </w:r>
    </w:p>
    <w:p w14:paraId="0D50FE08" w14:textId="77777777" w:rsidR="001D7A4A" w:rsidRPr="00A1178E" w:rsidRDefault="001D7A4A" w:rsidP="001D7A4A">
      <w:pPr>
        <w:spacing w:before="480" w:after="480" w:line="240" w:lineRule="auto"/>
        <w:ind w:left="567"/>
        <w:rPr>
          <w:iCs/>
          <w:color w:val="18525E" w:themeColor="accent5" w:themeShade="80"/>
          <w:szCs w:val="28"/>
        </w:rPr>
      </w:pPr>
      <w:r w:rsidRPr="00A1178E">
        <w:rPr>
          <w:iCs/>
          <w:color w:val="18525E" w:themeColor="accent5" w:themeShade="80"/>
          <w:szCs w:val="28"/>
        </w:rPr>
        <w:t>Many Aboriginal and Torres Strait Islander people access their health care from an Aboriginal Community Controlled Health Service (ACCHS). However, many are unable to access an ACCHS because of their location and other barriers. Others choose to use mainstream services, which means these services must be capable of providing high quality, culturally safe, trauma-aware, healing-informed and responsive care. This means that in addition to the continued focus on prioritising and extending the reach of ACCHS, there must also be a focus on greater access to primary health care services across the broader health system. This includes through government clinics, private general practitioners and mainstream community health services.</w:t>
      </w:r>
    </w:p>
    <w:p w14:paraId="772E31A0" w14:textId="31096887" w:rsidR="001D7A4A" w:rsidRPr="001D7A4A" w:rsidRDefault="001D7A4A" w:rsidP="001D7A4A">
      <w:r w:rsidRPr="001D7A4A">
        <w:t>The evaluation estimates that around 55% of the Aboriginal and Torres Strait Islander population do not attend an ACCHS. Outside of primary care, almost all health services for Aboriginal and Torres Strait Islander people are delivered by mainstream organisations, including hospitals, ambulances, medical retrieval services, pharmacists, laboratories and diagnostic services. Mainstream services are, therefore, the major provider of health care to Aboriginal and Torres Strait Islander population. Even under the most optimistic scenario for growth of the ACCHS sector, the evaluation concludes that this is likely to remain the situation for some time</w:t>
      </w:r>
      <w:r w:rsidR="001D7A28">
        <w:t>; up to and beyond the target year for Closing the Gap (2031)</w:t>
      </w:r>
      <w:r w:rsidRPr="001D7A4A">
        <w:t xml:space="preserve">.   </w:t>
      </w:r>
    </w:p>
    <w:p w14:paraId="4232B439" w14:textId="58E20F22" w:rsidR="001D7A4A" w:rsidRPr="001D7A4A" w:rsidRDefault="001D7A4A" w:rsidP="001D7A4A">
      <w:pPr>
        <w:rPr>
          <w:lang w:eastAsia="en-NZ"/>
        </w:rPr>
      </w:pPr>
      <w:r w:rsidRPr="001D7A4A">
        <w:rPr>
          <w:lang w:eastAsia="en-NZ"/>
        </w:rPr>
        <w:t xml:space="preserve">This means that mainstream services must be capable of providing high quality, culturally safe, trauma-aware, healing-informed and responsive care. This includes government primary care clinics, private general practitioners and mainstream community health services. Beyond PHC, this includes hospitals and other specialist health services. The evaluation found that </w:t>
      </w:r>
      <w:r w:rsidRPr="001D7A4A">
        <w:t xml:space="preserve">Aboriginal and Torres Strait Islander people’s experiences of care were poorer in mainstream services and were commonly attributed to racism, cost, staff negligence, and health professional </w:t>
      </w:r>
      <w:r w:rsidRPr="00CD5A28">
        <w:t>competencies</w:t>
      </w:r>
      <w:r w:rsidRPr="001D7A4A">
        <w:t>.</w:t>
      </w:r>
    </w:p>
    <w:p w14:paraId="2E38B42B" w14:textId="5D5A2B06" w:rsidR="001D7A4A" w:rsidRPr="001D7A4A" w:rsidRDefault="00AC6BE2" w:rsidP="001D7A4A">
      <w:r w:rsidRPr="001D7A4A">
        <w:rPr>
          <w:lang w:eastAsia="en-NZ"/>
        </w:rPr>
        <w:t>Grant making</w:t>
      </w:r>
      <w:r w:rsidR="001D7A4A" w:rsidRPr="001D7A4A">
        <w:rPr>
          <w:lang w:eastAsia="en-NZ"/>
        </w:rPr>
        <w:t xml:space="preserve"> under the IAHP has limited leverage over </w:t>
      </w:r>
      <w:r w:rsidR="001D7A4A" w:rsidRPr="001D7A4A">
        <w:t>improving the quality of care provided by mainstream health services. The ITC program supports primary care clients on their health care journey, enabling access to medical specialist and allied health services, transport services and medical aids, and supporting the coordination of care across service providers. IAHP funded ACCHSs also</w:t>
      </w:r>
      <w:r w:rsidR="001D7A4A" w:rsidRPr="001D7A4A">
        <w:rPr>
          <w:lang w:eastAsia="en-NZ"/>
        </w:rPr>
        <w:t xml:space="preserve"> </w:t>
      </w:r>
      <w:r w:rsidR="001D7A4A" w:rsidRPr="001D7A4A" w:rsidDel="00D40E86">
        <w:rPr>
          <w:lang w:eastAsia="en-NZ"/>
        </w:rPr>
        <w:t>‘</w:t>
      </w:r>
      <w:r w:rsidR="001D7A4A" w:rsidRPr="001D7A4A">
        <w:rPr>
          <w:lang w:eastAsia="en-NZ"/>
        </w:rPr>
        <w:t xml:space="preserve">play critical roles in advocating for their communities’ rights to health, and in supporting mainstream services (like hospitals) to become more culturally safe and responsive’ </w:t>
      </w:r>
      <w:r w:rsidR="001D7A4A" w:rsidRPr="001D7A4A">
        <w:rPr>
          <w:lang w:eastAsia="en-NZ"/>
        </w:rPr>
        <w:fldChar w:fldCharType="begin"/>
      </w:r>
      <w:r w:rsidR="00F8760E">
        <w:rPr>
          <w:lang w:eastAsia="en-NZ"/>
        </w:rPr>
        <w:instrText xml:space="preserve"> ADDIN ZOTERO_ITEM CSL_CITATION {"citationID":"86aqj8hS","properties":{"formattedCitation":"(Australian Department of Health, 2021a)","plainCitation":"(Australian Department of Health, 2021a)","noteIndex":0},"citationItems":[{"id":3766,"uris":["http://zotero.org/groups/5010721/items/VEKQG4DD",["http://zotero.org/groups/5010721/items/VEKQG4DD"],["http://zotero.org/groups/5010721/items/VEKQG4DD",["http://zotero.org/groups/5010721/items/VEKQG4DD"]]],"itemData":{"id":3766,"type":"report","event-place":"Canberra","publisher":"Commonwealth of Australia","publisher-place":"Canberra","title":"National Aboriginal and Torres Strait Islander Health Plan 2021–2031","URL":"https://www.health.gov.au/sites/default/files/documents/2022/06/national-aboriginal-and-torres-strait-islander-health-plan-2021-2031.pdf","author":[{"literal":"Australian Department of Health"}],"issued":{"date-parts":[["2021"]]}}}],"schema":"https://github.com/citation-style-language/schema/raw/master/csl-citation.json"} </w:instrText>
      </w:r>
      <w:r w:rsidR="001D7A4A" w:rsidRPr="001D7A4A">
        <w:rPr>
          <w:lang w:eastAsia="en-NZ"/>
        </w:rPr>
        <w:fldChar w:fldCharType="separate"/>
      </w:r>
      <w:r w:rsidR="002730C3" w:rsidRPr="002730C3">
        <w:rPr>
          <w:rFonts w:ascii="Arial" w:hAnsi="Arial" w:cs="Arial"/>
        </w:rPr>
        <w:t>(Australian Department of Health, 2021a)</w:t>
      </w:r>
      <w:r w:rsidR="001D7A4A" w:rsidRPr="001D7A4A">
        <w:rPr>
          <w:lang w:eastAsia="en-NZ"/>
        </w:rPr>
        <w:fldChar w:fldCharType="end"/>
      </w:r>
      <w:r w:rsidR="001D7A4A" w:rsidRPr="001D7A4A">
        <w:rPr>
          <w:lang w:eastAsia="en-NZ"/>
        </w:rPr>
        <w:t xml:space="preserve">. Separate to IAHP </w:t>
      </w:r>
      <w:r w:rsidRPr="001D7A4A">
        <w:rPr>
          <w:lang w:eastAsia="en-NZ"/>
        </w:rPr>
        <w:t>grant making</w:t>
      </w:r>
      <w:r w:rsidR="001D7A4A" w:rsidRPr="001D7A4A">
        <w:rPr>
          <w:lang w:eastAsia="en-NZ"/>
        </w:rPr>
        <w:t xml:space="preserve">, the First Nations Health Division plays a critical role in influencing other divisions within the department to improve access and outcomes for </w:t>
      </w:r>
      <w:r w:rsidR="001D7A4A" w:rsidRPr="001D7A4A">
        <w:t xml:space="preserve">Aboriginal and Torres Strait Islander people, as well as influencing the direction of system-wide reforms such as to Medicare. NACCHO </w:t>
      </w:r>
      <w:r w:rsidR="001D7A4A" w:rsidRPr="001D7A4A">
        <w:lastRenderedPageBreak/>
        <w:t>and its state and territory affiliates also play a critical role in advocating for policy reforms to ensure mainstream health services work better for Aboriginal and Torres Strait Islander people.</w:t>
      </w:r>
    </w:p>
    <w:p w14:paraId="506497B5" w14:textId="539CF17C" w:rsidR="001D7A4A" w:rsidRPr="001D7A4A" w:rsidRDefault="001D7A4A" w:rsidP="001D7A4A">
      <w:r w:rsidRPr="001D7A4A">
        <w:t>Despite having limited leverage, the performance of the IAHP is directly influenced by the quality of care Aboriginal and Torres Strait Islander people receive in mainstream health services such as hospitals and other referral services. The evaluation identifies two inter-related policy levers that would strengthen the IAHP through improvements to quality of care in mainstream health services – commissioning of services and</w:t>
      </w:r>
      <w:r w:rsidR="003201C9">
        <w:t xml:space="preserve"> improved </w:t>
      </w:r>
      <w:r w:rsidR="00C9693D">
        <w:t xml:space="preserve">integration of </w:t>
      </w:r>
      <w:r w:rsidRPr="001D7A4A">
        <w:t>services.</w:t>
      </w:r>
    </w:p>
    <w:p w14:paraId="3E1CDC89" w14:textId="1045846C" w:rsidR="001D7A4A" w:rsidRPr="001D7A4A" w:rsidRDefault="001D7A4A" w:rsidP="001D7A4A">
      <w:r w:rsidRPr="001D7A4A">
        <w:t>The evaluation heard that ACCHSs want to be able to provide better support for clients on their health care journey. The ITC program provides an opportunity to do this; but</w:t>
      </w:r>
      <w:r w:rsidRPr="001D7A4A" w:rsidDel="00C9693D">
        <w:t xml:space="preserve"> </w:t>
      </w:r>
      <w:r w:rsidR="00C9693D">
        <w:t xml:space="preserve">the potential </w:t>
      </w:r>
      <w:r w:rsidR="008C7EFD">
        <w:t xml:space="preserve">scale of </w:t>
      </w:r>
      <w:r w:rsidR="00C9693D">
        <w:t xml:space="preserve">impact is limited due to </w:t>
      </w:r>
      <w:r w:rsidRPr="001D7A4A">
        <w:t>resourcing</w:t>
      </w:r>
      <w:r w:rsidR="008C7EFD">
        <w:t xml:space="preserve"> </w:t>
      </w:r>
      <w:r w:rsidR="007B2F36">
        <w:t>limitations and narrow eligibility</w:t>
      </w:r>
      <w:r w:rsidRPr="001D7A4A">
        <w:t>. The evaluation also heard that some ACCHSs are playing a role in the commissioning of health services (for example, aged care services), making decisions about how resources are allocated and what services are provided. Aboriginal and Torres Strait Islander led commissioning shifts the balance of power and decision-making to Aboriginal and Torres Strait Islander communities. It also has the potential to lead to more appropriate care and improved health outcomes as Aboriginal and Torres Strait Islander communities and organisations are well-placed to know what services their people need and what approaches to care work best for their people. This was evidenced in the commissioning of public health responses to the COVID-19 pandemic, such as health information and resources targeting Aboriginal and Torres Strait Islander communities.</w:t>
      </w:r>
    </w:p>
    <w:p w14:paraId="74454F2E" w14:textId="1BB2E6C9" w:rsidR="001D7A4A" w:rsidRPr="001D7A4A" w:rsidRDefault="001D7A4A" w:rsidP="001D7A4A">
      <w:r w:rsidRPr="001D7A4A">
        <w:t xml:space="preserve">An inter-related policy lever for strengthening mainstream health services for Aboriginal and Torres Strait Islander people is through strengthening integrated service delivery. </w:t>
      </w:r>
      <w:r w:rsidR="00C45237">
        <w:t>P</w:t>
      </w:r>
      <w:r w:rsidRPr="001D7A4A">
        <w:t xml:space="preserve">eople </w:t>
      </w:r>
      <w:r w:rsidR="00C45237">
        <w:t xml:space="preserve">reported </w:t>
      </w:r>
      <w:r w:rsidRPr="001D7A4A">
        <w:t>experienc</w:t>
      </w:r>
      <w:r w:rsidR="00C45237">
        <w:t>ing</w:t>
      </w:r>
      <w:r w:rsidRPr="001D7A4A">
        <w:t xml:space="preserve"> fragmented health services and suggests that ACCHSs and mainstream services often operate in parallel systems, with insufficient inter-connections.</w:t>
      </w:r>
      <w:r w:rsidR="00A51CEA">
        <w:t xml:space="preserve"> </w:t>
      </w:r>
      <w:r w:rsidR="00A51CEA" w:rsidRPr="00A51CEA">
        <w:t xml:space="preserve">In addition, the lack of integration within mainstream services </w:t>
      </w:r>
      <w:r w:rsidR="0052364F">
        <w:t>is well recognised</w:t>
      </w:r>
      <w:r w:rsidRPr="001D7A4A">
        <w:t xml:space="preserve"> </w:t>
      </w:r>
      <w:r w:rsidR="00010DEF">
        <w:t>and this has a disproportionate impact on Aboriginal and Torres St</w:t>
      </w:r>
      <w:r w:rsidR="00B90A88">
        <w:t>rait</w:t>
      </w:r>
      <w:r w:rsidR="00010DEF">
        <w:t xml:space="preserve"> Islander people </w:t>
      </w:r>
      <w:r w:rsidR="00A07C82">
        <w:fldChar w:fldCharType="begin"/>
      </w:r>
      <w:r w:rsidR="00F8760E">
        <w:instrText xml:space="preserve"> ADDIN ZOTERO_ITEM CSL_CITATION {"citationID":"38yW2gJ9","properties":{"formattedCitation":"(Australian Department of Health and Aged Care, 2022f)","plainCitation":"(Australian Department of Health and Aged Care, 2022f)","dontUpdate":true,"noteIndex":0},"citationItems":[{"id":3772,"uris":["http://zotero.org/groups/5010721/items/WFV3SBYZ",["http://zotero.org/groups/5010721/items/WFV3SBYZ"],["http://zotero.org/groups/5010721/items/WFV3SBYZ",["http://zotero.org/groups/5010721/items/WFV3SBYZ"]]],"itemData":{"id":3772,"type":"report","event-place":"Canberra","language":"en","publisher":"Commonwealth of Australia","publisher-place":"Canberra","source":"Zotero","title":"Strengthening Medicare Taskforce Report","URL":"https://www.health.gov.au/resources/publications/strengthening-medicare-taskforce-report?language=en","author":[{"literal":"Australian Department of Health and Aged Care"}],"issued":{"date-parts":[["2022",12]]}}}],"schema":"https://github.com/citation-style-language/schema/raw/master/csl-citation.json"} </w:instrText>
      </w:r>
      <w:r w:rsidR="00A07C82">
        <w:fldChar w:fldCharType="separate"/>
      </w:r>
      <w:r w:rsidR="00A07C82" w:rsidRPr="00A07C82">
        <w:rPr>
          <w:rFonts w:ascii="Arial" w:hAnsi="Arial" w:cs="Arial"/>
        </w:rPr>
        <w:t>(</w:t>
      </w:r>
      <w:r w:rsidR="003D2B81">
        <w:rPr>
          <w:rFonts w:ascii="Arial" w:hAnsi="Arial" w:cs="Arial"/>
        </w:rPr>
        <w:t xml:space="preserve">for example, </w:t>
      </w:r>
      <w:r w:rsidR="00A07C82" w:rsidRPr="00A07C82">
        <w:rPr>
          <w:rFonts w:ascii="Arial" w:hAnsi="Arial" w:cs="Arial"/>
        </w:rPr>
        <w:t>Australian Department of Health and Aged Care, 2022)</w:t>
      </w:r>
      <w:r w:rsidR="00A07C82">
        <w:fldChar w:fldCharType="end"/>
      </w:r>
      <w:r w:rsidR="003D2B81">
        <w:t>.</w:t>
      </w:r>
      <w:r w:rsidRPr="001D7A4A">
        <w:t xml:space="preserve"> </w:t>
      </w:r>
      <w:r w:rsidR="00B90A88">
        <w:t>T</w:t>
      </w:r>
      <w:r w:rsidRPr="001D7A4A">
        <w:t xml:space="preserve">he evaluation also heard encouraging examples of ACCHSs and mainstream services partnering to deliver integrated health care services. This includes, for example, a partnership between a local hospital network and an ACCHS to deliver a holistic, interdisciplinary </w:t>
      </w:r>
      <w:r w:rsidRPr="00A76B56">
        <w:t xml:space="preserve">metabolic clinic (see Section </w:t>
      </w:r>
      <w:r w:rsidR="00A76B56" w:rsidRPr="00A76B56">
        <w:fldChar w:fldCharType="begin"/>
      </w:r>
      <w:r w:rsidR="00A76B56" w:rsidRPr="00A76B56">
        <w:instrText xml:space="preserve"> REF _Ref137158397 \r \h </w:instrText>
      </w:r>
      <w:r w:rsidR="00A76B56">
        <w:instrText xml:space="preserve"> \* MERGEFORMAT </w:instrText>
      </w:r>
      <w:r w:rsidR="00A76B56" w:rsidRPr="00A76B56">
        <w:fldChar w:fldCharType="separate"/>
      </w:r>
      <w:r w:rsidR="00165B17">
        <w:t>9.4</w:t>
      </w:r>
      <w:r w:rsidR="00A76B56" w:rsidRPr="00A76B56">
        <w:fldChar w:fldCharType="end"/>
      </w:r>
      <w:r w:rsidRPr="00A76B56">
        <w:t>),</w:t>
      </w:r>
      <w:r w:rsidRPr="001D7A4A">
        <w:t xml:space="preserve"> and a partnership between a local hospital network, PHN and ACCHS to deliver a Hospital in the Home service that aims to integrate </w:t>
      </w:r>
      <w:r w:rsidR="00692C8F">
        <w:t xml:space="preserve">and better position </w:t>
      </w:r>
      <w:r w:rsidRPr="001D7A4A">
        <w:t xml:space="preserve">care between </w:t>
      </w:r>
      <w:r w:rsidR="00692C8F">
        <w:t xml:space="preserve">the community provider </w:t>
      </w:r>
      <w:r w:rsidRPr="001D7A4A">
        <w:t>and secondary care.</w:t>
      </w:r>
    </w:p>
    <w:p w14:paraId="21FB88A1" w14:textId="4D507CF4" w:rsidR="001D7A4A" w:rsidRPr="001D7A4A" w:rsidRDefault="001D7A4A" w:rsidP="001D7A4A">
      <w:r w:rsidRPr="001D7A4A">
        <w:t>The evaluation concludes that, in addition to increased investment in the ITC program, the IAHP could play an enabling role in supporting ACCHSs to partner in the commissioning and delivery of mainstream health services. This</w:t>
      </w:r>
      <w:r w:rsidRPr="001D7A4A" w:rsidDel="00267061">
        <w:t xml:space="preserve"> </w:t>
      </w:r>
      <w:r w:rsidR="00267061">
        <w:t>must</w:t>
      </w:r>
      <w:r w:rsidR="00267061" w:rsidRPr="001D7A4A">
        <w:t xml:space="preserve"> </w:t>
      </w:r>
      <w:r w:rsidRPr="001D7A4A">
        <w:t>include supporting the capability and capacity of ACCHSs to engage in partnering</w:t>
      </w:r>
      <w:r w:rsidR="00267061">
        <w:t xml:space="preserve"> and commissioning</w:t>
      </w:r>
      <w:r w:rsidRPr="001D7A4A">
        <w:t xml:space="preserve"> processes.</w:t>
      </w:r>
    </w:p>
    <w:p w14:paraId="49B55823" w14:textId="77777777" w:rsidR="001D7A4A" w:rsidRPr="001D7A4A" w:rsidRDefault="001D7A4A" w:rsidP="001D7A4A">
      <w:r w:rsidRPr="001D7A4A">
        <w:t xml:space="preserve">This focus aligns with actions in the Health Sector Strengthening Plan to develop processes in partnership with the ACCHS sector to support commissioning and other funding mechanisms such as preferred provider status. It also aligns with recommendations in the </w:t>
      </w:r>
      <w:r w:rsidRPr="001D7A4A">
        <w:lastRenderedPageBreak/>
        <w:t xml:space="preserve">Strengthening Medicare Taskforce report to grow and invest in ACCHSs to commission primary care services for their communities. </w:t>
      </w:r>
    </w:p>
    <w:p w14:paraId="0A1A83B3" w14:textId="5CCE4D57" w:rsidR="001D7A4A" w:rsidRPr="001D7A4A" w:rsidRDefault="005B44F7" w:rsidP="0035030F">
      <w:pPr>
        <w:pStyle w:val="Heading2"/>
      </w:pPr>
      <w:bookmarkStart w:id="345" w:name="_Toc137208955"/>
      <w:r>
        <w:t>Putting the values and experiences of people at the centre</w:t>
      </w:r>
      <w:r w:rsidR="00366D3D">
        <w:t xml:space="preserve"> of program design and delivery</w:t>
      </w:r>
      <w:bookmarkEnd w:id="345"/>
      <w:r w:rsidR="00366D3D">
        <w:t xml:space="preserve"> </w:t>
      </w:r>
    </w:p>
    <w:p w14:paraId="363B2BAA" w14:textId="08F648FF" w:rsidR="001D7A4A" w:rsidRPr="001D7A4A" w:rsidRDefault="00703A4E" w:rsidP="001D7A4A">
      <w:pPr>
        <w:rPr>
          <w:lang w:val="en-GB" w:eastAsia="en-GB"/>
        </w:rPr>
      </w:pPr>
      <w:r>
        <w:rPr>
          <w:lang w:val="en-GB" w:eastAsia="en-GB"/>
        </w:rPr>
        <w:t>The</w:t>
      </w:r>
      <w:r w:rsidR="001D7A4A" w:rsidRPr="001D7A4A">
        <w:rPr>
          <w:lang w:val="en-GB" w:eastAsia="en-GB"/>
        </w:rPr>
        <w:t xml:space="preserve"> evaluation identified some implications for the IAHP in terms of </w:t>
      </w:r>
      <w:r w:rsidR="007A53E8">
        <w:rPr>
          <w:lang w:val="en-GB" w:eastAsia="en-GB"/>
        </w:rPr>
        <w:t>the realisation of person-centred care</w:t>
      </w:r>
      <w:r w:rsidR="00447840">
        <w:rPr>
          <w:lang w:val="en-GB" w:eastAsia="en-GB"/>
        </w:rPr>
        <w:t xml:space="preserve">. The </w:t>
      </w:r>
      <w:r w:rsidR="001D7A4A" w:rsidRPr="001D7A4A">
        <w:rPr>
          <w:lang w:val="en-GB" w:eastAsia="en-GB"/>
        </w:rPr>
        <w:t>evaluation</w:t>
      </w:r>
      <w:r w:rsidR="00447840">
        <w:rPr>
          <w:lang w:val="en-GB" w:eastAsia="en-GB"/>
        </w:rPr>
        <w:t xml:space="preserve"> </w:t>
      </w:r>
      <w:r w:rsidR="003E62CB">
        <w:rPr>
          <w:lang w:val="en-GB" w:eastAsia="en-GB"/>
        </w:rPr>
        <w:t xml:space="preserve">was </w:t>
      </w:r>
      <w:r w:rsidR="00447840">
        <w:rPr>
          <w:lang w:val="en-GB" w:eastAsia="en-GB"/>
        </w:rPr>
        <w:t xml:space="preserve">grounded </w:t>
      </w:r>
      <w:r w:rsidR="003E62CB">
        <w:rPr>
          <w:lang w:val="en-GB" w:eastAsia="en-GB"/>
        </w:rPr>
        <w:t xml:space="preserve">in the values and experiences of Aboriginal and Torres Strait Islander people and has </w:t>
      </w:r>
      <w:r w:rsidR="001D7A4A" w:rsidRPr="001D7A4A">
        <w:rPr>
          <w:lang w:val="en-GB" w:eastAsia="en-GB"/>
        </w:rPr>
        <w:t>strengthen</w:t>
      </w:r>
      <w:r w:rsidR="003E62CB">
        <w:rPr>
          <w:lang w:val="en-GB" w:eastAsia="en-GB"/>
        </w:rPr>
        <w:t>ed</w:t>
      </w:r>
      <w:r w:rsidR="001D7A4A" w:rsidRPr="001D7A4A">
        <w:rPr>
          <w:lang w:val="en-GB" w:eastAsia="en-GB"/>
        </w:rPr>
        <w:t xml:space="preserve"> understanding of what is important for Aboriginal and Torres Strait Islander people and how they experience the health system (as </w:t>
      </w:r>
      <w:r w:rsidR="001D7A4A" w:rsidRPr="00FD3E17">
        <w:rPr>
          <w:lang w:val="en-GB" w:eastAsia="en-GB"/>
        </w:rPr>
        <w:t>discussed in Part B of this</w:t>
      </w:r>
      <w:r w:rsidR="001D7A4A" w:rsidRPr="001D7A4A">
        <w:rPr>
          <w:lang w:val="en-GB" w:eastAsia="en-GB"/>
        </w:rPr>
        <w:t xml:space="preserve"> report).</w:t>
      </w:r>
      <w:r w:rsidR="00ED0215">
        <w:rPr>
          <w:lang w:val="en-GB" w:eastAsia="en-GB"/>
        </w:rPr>
        <w:t xml:space="preserve"> The evaluation found that there is a disconnect between the intended operation of the IAHP and the lived experiences of people delivering and experiencing PHC.  </w:t>
      </w:r>
    </w:p>
    <w:p w14:paraId="1706F718" w14:textId="6516804F" w:rsidR="001D7A4A" w:rsidRPr="001D7A4A" w:rsidRDefault="001D7A4A" w:rsidP="001D7A4A">
      <w:pPr>
        <w:rPr>
          <w:lang w:val="en-GB" w:eastAsia="en-GB"/>
        </w:rPr>
      </w:pPr>
      <w:r w:rsidRPr="001D7A4A">
        <w:rPr>
          <w:lang w:val="en-GB" w:eastAsia="en-GB"/>
        </w:rPr>
        <w:t>The implications of the evaluation findings on what is important for Aboriginal and Torres Strait Islander people and putting this at the centre of health care, include:</w:t>
      </w:r>
    </w:p>
    <w:p w14:paraId="6A60D095" w14:textId="5575B6AF" w:rsidR="00AE461A" w:rsidRPr="001D7A4A" w:rsidRDefault="00AE461A" w:rsidP="00C87A4E">
      <w:pPr>
        <w:numPr>
          <w:ilvl w:val="0"/>
          <w:numId w:val="27"/>
        </w:numPr>
        <w:spacing w:after="120"/>
        <w:ind w:left="714" w:hanging="357"/>
        <w:rPr>
          <w:lang w:eastAsia="en-GB"/>
        </w:rPr>
      </w:pPr>
      <w:r w:rsidRPr="001D7A4A">
        <w:rPr>
          <w:b/>
          <w:lang w:eastAsia="en-GB"/>
        </w:rPr>
        <w:t>Self-determination</w:t>
      </w:r>
      <w:r w:rsidRPr="001D7A4A">
        <w:rPr>
          <w:lang w:eastAsia="en-GB"/>
        </w:rPr>
        <w:t xml:space="preserve"> – focusing on support for community-controlled services is an expression of self-determination. The IAHP also needs to consider how it can better activate meaningful community participation and decision-making in the design and delivery of programs and services</w:t>
      </w:r>
      <w:r w:rsidR="00205D58">
        <w:rPr>
          <w:lang w:eastAsia="en-GB"/>
        </w:rPr>
        <w:t xml:space="preserve">, and </w:t>
      </w:r>
      <w:r w:rsidR="000467A7">
        <w:rPr>
          <w:lang w:eastAsia="en-GB"/>
        </w:rPr>
        <w:t>how community control is recognised and valued as an integral part of effective comprehensive PHC.</w:t>
      </w:r>
    </w:p>
    <w:p w14:paraId="01422180" w14:textId="77777777" w:rsidR="001D7A4A" w:rsidRPr="001D7A4A" w:rsidRDefault="001D7A4A" w:rsidP="00C87A4E">
      <w:pPr>
        <w:numPr>
          <w:ilvl w:val="0"/>
          <w:numId w:val="27"/>
        </w:numPr>
        <w:spacing w:after="120"/>
        <w:ind w:left="714" w:hanging="357"/>
        <w:rPr>
          <w:lang w:eastAsia="en-GB"/>
        </w:rPr>
      </w:pPr>
      <w:r w:rsidRPr="001D7A4A">
        <w:rPr>
          <w:b/>
          <w:lang w:eastAsia="en-GB"/>
        </w:rPr>
        <w:t>Place-based approaches</w:t>
      </w:r>
      <w:r w:rsidRPr="001D7A4A">
        <w:rPr>
          <w:lang w:eastAsia="en-GB"/>
        </w:rPr>
        <w:t xml:space="preserve"> – IAHP policy, programs and activities need to be able to be tailored and adapted to fit local community contexts, and be flexible to be responsive to changing contexts. As well as being responsive to broad geographic contexts (urban, regional, remote), this includes being responsive to environmental, social and cultural differences between communities.</w:t>
      </w:r>
    </w:p>
    <w:p w14:paraId="1CD54CC2" w14:textId="38D6E64E" w:rsidR="001D7A4A" w:rsidRPr="001D7A4A" w:rsidRDefault="001D7A4A" w:rsidP="00C87A4E">
      <w:pPr>
        <w:numPr>
          <w:ilvl w:val="0"/>
          <w:numId w:val="27"/>
        </w:numPr>
        <w:spacing w:after="120"/>
        <w:ind w:left="714" w:hanging="357"/>
        <w:rPr>
          <w:lang w:eastAsia="en-GB"/>
        </w:rPr>
      </w:pPr>
      <w:r w:rsidRPr="001D7A4A">
        <w:rPr>
          <w:b/>
          <w:lang w:eastAsia="en-GB"/>
        </w:rPr>
        <w:t>Consistency and continuity</w:t>
      </w:r>
      <w:r w:rsidRPr="001D7A4A">
        <w:rPr>
          <w:lang w:eastAsia="en-GB"/>
        </w:rPr>
        <w:t xml:space="preserve"> – the IAHP </w:t>
      </w:r>
      <w:r w:rsidR="000F7ACE">
        <w:rPr>
          <w:lang w:eastAsia="en-GB"/>
        </w:rPr>
        <w:t>PHC Program</w:t>
      </w:r>
      <w:r w:rsidRPr="001D7A4A">
        <w:rPr>
          <w:lang w:eastAsia="en-GB"/>
        </w:rPr>
        <w:t xml:space="preserve"> provides fairly consistent and long-term resourcing to funded organisations. Shorter-term resourcing for other programs and activities can result in short-lived services and disruptions to continuity of care. Further shifting the balance of IAHP funding towards longer-term programs like the </w:t>
      </w:r>
      <w:r w:rsidR="000F7ACE">
        <w:rPr>
          <w:lang w:eastAsia="en-GB"/>
        </w:rPr>
        <w:t>PHC Program</w:t>
      </w:r>
      <w:r w:rsidRPr="001D7A4A">
        <w:rPr>
          <w:lang w:eastAsia="en-GB"/>
        </w:rPr>
        <w:t xml:space="preserve"> would provide more certainty and consistency.</w:t>
      </w:r>
    </w:p>
    <w:p w14:paraId="3DEE7236" w14:textId="77777777" w:rsidR="001D7A4A" w:rsidRPr="001D7A4A" w:rsidRDefault="001D7A4A" w:rsidP="00C87A4E">
      <w:pPr>
        <w:numPr>
          <w:ilvl w:val="0"/>
          <w:numId w:val="27"/>
        </w:numPr>
        <w:spacing w:after="120"/>
        <w:ind w:left="714" w:hanging="357"/>
        <w:rPr>
          <w:lang w:eastAsia="en-GB"/>
        </w:rPr>
      </w:pPr>
      <w:r w:rsidRPr="00343EB2">
        <w:rPr>
          <w:b/>
          <w:lang w:eastAsia="en-GB"/>
        </w:rPr>
        <w:t>Aboriginal and Torres Strait Islander staff – IAHP funded organisations are a major</w:t>
      </w:r>
      <w:r w:rsidRPr="001D7A4A">
        <w:rPr>
          <w:lang w:eastAsia="en-GB"/>
        </w:rPr>
        <w:t xml:space="preserve"> employer of Aboriginal and Torres Strait Islander people. Having Aboriginal and Torres Strait Islander staff in health services is valued by people for many reasons, including the positive influence these staff have on service design and delivery, cultural safety and familiarity, and for their relational approach to providing care and support. The multiple benefits of having a </w:t>
      </w:r>
      <w:r w:rsidRPr="001D7A4A">
        <w:t>skilled Aboriginal and Torres Strait Islander workforce for the delivery person-centred primary care needs to be factored into policy and funding decisions across the health system.</w:t>
      </w:r>
    </w:p>
    <w:p w14:paraId="7FA0633F" w14:textId="77777777" w:rsidR="001D7A4A" w:rsidRPr="001D7A4A" w:rsidRDefault="001D7A4A" w:rsidP="00C87A4E">
      <w:pPr>
        <w:numPr>
          <w:ilvl w:val="0"/>
          <w:numId w:val="27"/>
        </w:numPr>
        <w:spacing w:after="120"/>
        <w:ind w:left="714" w:hanging="357"/>
        <w:rPr>
          <w:lang w:eastAsia="en-GB"/>
        </w:rPr>
      </w:pPr>
      <w:r w:rsidRPr="001D7A4A">
        <w:rPr>
          <w:b/>
          <w:lang w:eastAsia="en-GB"/>
        </w:rPr>
        <w:t>Physical spaces and infrastructure</w:t>
      </w:r>
      <w:r w:rsidRPr="001D7A4A">
        <w:rPr>
          <w:lang w:eastAsia="en-GB"/>
        </w:rPr>
        <w:t xml:space="preserve"> – the IAHP is a major funder of ACCHS infrastructure. The design of health clinics needs to consider the value of having services co-located, as well as the value of spaces for people to connect with each other, like courtyards and meeting rooms.</w:t>
      </w:r>
    </w:p>
    <w:p w14:paraId="470C5BBA" w14:textId="77777777" w:rsidR="001D7A4A" w:rsidRPr="001D7A4A" w:rsidRDefault="001D7A4A" w:rsidP="00C87A4E">
      <w:pPr>
        <w:numPr>
          <w:ilvl w:val="0"/>
          <w:numId w:val="27"/>
        </w:numPr>
        <w:spacing w:after="120"/>
        <w:ind w:left="714" w:hanging="357"/>
        <w:rPr>
          <w:lang w:eastAsia="en-GB"/>
        </w:rPr>
      </w:pPr>
      <w:r w:rsidRPr="001D7A4A">
        <w:rPr>
          <w:b/>
          <w:lang w:eastAsia="en-GB"/>
        </w:rPr>
        <w:lastRenderedPageBreak/>
        <w:t>Holistic and connected care</w:t>
      </w:r>
      <w:r w:rsidRPr="001D7A4A">
        <w:rPr>
          <w:lang w:eastAsia="en-GB"/>
        </w:rPr>
        <w:t xml:space="preserve"> – the IAHP supports the delivery of holistic comprehensive PHC. In addition to enabling services to focus on healing the whole person, this needs to be responsive to caring and healing that recognises connections to family, community and the environment. Practically, this means, for example, that the IAHP needs to be able to support programs and activities that facilitate collective approaches to wellbeing and caring on Country.</w:t>
      </w:r>
    </w:p>
    <w:p w14:paraId="4027C184" w14:textId="77777777" w:rsidR="001D7A4A" w:rsidRPr="001D7A4A" w:rsidRDefault="001D7A4A" w:rsidP="00C87A4E">
      <w:pPr>
        <w:numPr>
          <w:ilvl w:val="0"/>
          <w:numId w:val="27"/>
        </w:numPr>
        <w:spacing w:after="120"/>
        <w:ind w:left="714" w:hanging="357"/>
        <w:rPr>
          <w:lang w:eastAsia="en-GB"/>
        </w:rPr>
      </w:pPr>
      <w:r w:rsidRPr="001D7A4A">
        <w:rPr>
          <w:b/>
          <w:lang w:eastAsia="en-GB"/>
        </w:rPr>
        <w:t>Coordinated and integrated care</w:t>
      </w:r>
      <w:r w:rsidRPr="001D7A4A">
        <w:rPr>
          <w:lang w:eastAsia="en-GB"/>
        </w:rPr>
        <w:t xml:space="preserve"> – programs and staff that assist with care coordination are strongly valued by Aboriginal and Torres Strait Islander people. ITC care coordinators provide this support, as do other staff in ACCHSs. This support, and the potential to expand it, needs to be recognised in funding decisions.</w:t>
      </w:r>
    </w:p>
    <w:p w14:paraId="68E20306" w14:textId="5B99F058" w:rsidR="009877A9" w:rsidRPr="001D7A4A" w:rsidRDefault="001D7A4A" w:rsidP="00C87A4E">
      <w:pPr>
        <w:numPr>
          <w:ilvl w:val="0"/>
          <w:numId w:val="27"/>
        </w:numPr>
        <w:rPr>
          <w:lang w:eastAsia="en-GB"/>
        </w:rPr>
      </w:pPr>
      <w:r w:rsidRPr="001D7A4A">
        <w:rPr>
          <w:b/>
          <w:lang w:eastAsia="en-GB"/>
        </w:rPr>
        <w:t>Care across the life course</w:t>
      </w:r>
      <w:r w:rsidRPr="001D7A4A">
        <w:rPr>
          <w:lang w:eastAsia="en-GB"/>
        </w:rPr>
        <w:t xml:space="preserve"> – Aboriginal and Torres Strait Islander people value health services that support their wellbeing across the life course. The evaluation found some gaps in services at critical stages in the life course, including preventative programs and services for young people. There is a need to better understand the nature of these gaps, for example whether the gap is related to an element of accessibility, such as availability or acceptability, and what this might mean for the IAHP. There is also a need to better understand the characteristics of groups not accessing PHC services. These groups were under-represented in the evaluation and it is critical to understand their needs from a health equity perspective.</w:t>
      </w:r>
    </w:p>
    <w:p w14:paraId="066983A3" w14:textId="2F9327FE" w:rsidR="00F27340" w:rsidRPr="00BF383A" w:rsidRDefault="004D0766" w:rsidP="0035030F">
      <w:pPr>
        <w:pStyle w:val="Heading2"/>
      </w:pPr>
      <w:bookmarkStart w:id="346" w:name="_Toc137208956"/>
      <w:r w:rsidRPr="00BF383A">
        <w:t xml:space="preserve">Using data and information to inform </w:t>
      </w:r>
      <w:r w:rsidR="00BF383A" w:rsidRPr="00BF383A">
        <w:t>care</w:t>
      </w:r>
      <w:bookmarkEnd w:id="346"/>
      <w:r w:rsidR="00562641" w:rsidRPr="00BF383A">
        <w:t xml:space="preserve"> </w:t>
      </w:r>
    </w:p>
    <w:p w14:paraId="060F5E61" w14:textId="7AC0726F" w:rsidR="001D7A4A" w:rsidRPr="001D7A4A" w:rsidRDefault="001D7A4A" w:rsidP="001D7A4A">
      <w:pPr>
        <w:rPr>
          <w:lang w:eastAsia="en-GB"/>
        </w:rPr>
      </w:pPr>
      <w:r w:rsidRPr="001D7A4A">
        <w:rPr>
          <w:lang w:eastAsia="en-GB"/>
        </w:rPr>
        <w:t>The evaluation findings on what Aboriginal and Torres Strait Islander people value in health service design and delivery also has implications for the collection and use of data across the IAHP. This includes implications for a future IAHP accountability framework</w:t>
      </w:r>
      <w:r w:rsidR="00092BEF">
        <w:rPr>
          <w:lang w:eastAsia="en-GB"/>
        </w:rPr>
        <w:t xml:space="preserve"> and for the development of an outcomes framework</w:t>
      </w:r>
      <w:r w:rsidR="00D06714">
        <w:rPr>
          <w:lang w:eastAsia="en-GB"/>
        </w:rPr>
        <w:t xml:space="preserve"> as phase 2 of the Core Services and Outcomes Framework </w:t>
      </w:r>
      <w:r w:rsidR="0059171C">
        <w:rPr>
          <w:lang w:eastAsia="en-GB"/>
        </w:rPr>
        <w:fldChar w:fldCharType="begin"/>
      </w:r>
      <w:r w:rsidR="00F8760E">
        <w:rPr>
          <w:lang w:eastAsia="en-GB"/>
        </w:rPr>
        <w:instrText xml:space="preserve"> ADDIN ZOTERO_ITEM CSL_CITATION {"citationID":"DicdIjDO","properties":{"formattedCitation":"(National Aboriginal Community Controlled Health Organisation, 2021b)","plainCitation":"(National Aboriginal Community Controlled Health Organisation, 2021b)","noteIndex":0},"citationItems":[{"id":3627,"uris":["http://zotero.org/groups/4420056/items/9TQYZN82",["http://zotero.org/groups/4420056/items/9TQYZN82"],["http://zotero.org/groups/4420056/items/9TQYZN82",["http://zotero.org/groups/4420056/items/9TQYZN82"]]],"itemData":{"id":3627,"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rsidR="0059171C">
        <w:rPr>
          <w:lang w:eastAsia="en-GB"/>
        </w:rPr>
        <w:fldChar w:fldCharType="separate"/>
      </w:r>
      <w:r w:rsidR="0059171C" w:rsidRPr="0059171C">
        <w:rPr>
          <w:rFonts w:ascii="Arial" w:hAnsi="Arial" w:cs="Arial"/>
        </w:rPr>
        <w:t>(National Aboriginal Community Controlled Health Organisation, 2021b)</w:t>
      </w:r>
      <w:r w:rsidR="0059171C">
        <w:rPr>
          <w:lang w:eastAsia="en-GB"/>
        </w:rPr>
        <w:fldChar w:fldCharType="end"/>
      </w:r>
      <w:r w:rsidRPr="001D7A4A">
        <w:rPr>
          <w:lang w:eastAsia="en-GB"/>
        </w:rPr>
        <w:t>.</w:t>
      </w:r>
      <w:r w:rsidR="0059171C">
        <w:rPr>
          <w:rStyle w:val="FootnoteReference"/>
          <w:lang w:eastAsia="en-GB"/>
        </w:rPr>
        <w:footnoteReference w:id="88"/>
      </w:r>
      <w:r w:rsidRPr="001D7A4A">
        <w:rPr>
          <w:lang w:eastAsia="en-GB"/>
        </w:rPr>
        <w:t xml:space="preserve"> Benchmarking and measuring performance against what is important to people should be a central component of knowledge and decision support systems. The implications of the evaluation include:</w:t>
      </w:r>
    </w:p>
    <w:p w14:paraId="16A45B00" w14:textId="77777777" w:rsidR="001D7A4A" w:rsidRPr="001D7A4A" w:rsidRDefault="001D7A4A" w:rsidP="00343EB2">
      <w:pPr>
        <w:numPr>
          <w:ilvl w:val="0"/>
          <w:numId w:val="27"/>
        </w:numPr>
        <w:rPr>
          <w:lang w:val="en-US" w:eastAsia="en-GB"/>
        </w:rPr>
      </w:pPr>
      <w:r w:rsidRPr="001D7A4A">
        <w:rPr>
          <w:b/>
          <w:lang w:eastAsia="en-GB"/>
        </w:rPr>
        <w:t>Health needs assessments</w:t>
      </w:r>
      <w:r w:rsidRPr="001D7A4A">
        <w:rPr>
          <w:lang w:eastAsia="en-GB"/>
        </w:rPr>
        <w:t xml:space="preserve"> – current approaches to health needs assessment are biomedically focused and do not effectively capture </w:t>
      </w:r>
      <w:r w:rsidRPr="001D7A4A">
        <w:rPr>
          <w:lang w:val="en-US" w:eastAsia="en-GB"/>
        </w:rPr>
        <w:t>Aboriginal and Torres Strait Islander concepts of health, and interpretation of the data is done in isolation from the communities concerned. HNAs also have limited influence over subsequent decision-making, including resource allocation to PHNs.</w:t>
      </w:r>
      <w:r w:rsidRPr="001D7A4A">
        <w:rPr>
          <w:rFonts w:ascii="Arial" w:eastAsia="Arial" w:hAnsi="Arial" w:cs="Arial"/>
          <w:lang w:val="en-US"/>
        </w:rPr>
        <w:t xml:space="preserve"> </w:t>
      </w:r>
      <w:r w:rsidRPr="001D7A4A">
        <w:rPr>
          <w:lang w:val="en-US" w:eastAsia="en-GB"/>
        </w:rPr>
        <w:t>Aboriginal and Torres Strait Islander concepts relevant to needs assessment will likely include issues of belonging and connection, holistic health, purpose and control, dignity and respect. Basic health needs are interwoven through other aspects of peoples’ families, communities, and culture, and are not seen in isolation; nor are they able to be addressed in isolation.</w:t>
      </w:r>
    </w:p>
    <w:p w14:paraId="3A43C579" w14:textId="308A0B70" w:rsidR="001D7A4A" w:rsidRPr="001D7A4A" w:rsidRDefault="001D7A4A" w:rsidP="00343EB2">
      <w:pPr>
        <w:numPr>
          <w:ilvl w:val="0"/>
          <w:numId w:val="27"/>
        </w:numPr>
        <w:rPr>
          <w:rFonts w:ascii="Symbol" w:hAnsi="Symbol"/>
          <w:color w:val="357CBD"/>
        </w:rPr>
      </w:pPr>
      <w:r w:rsidRPr="001D7A4A">
        <w:rPr>
          <w:b/>
          <w:lang w:eastAsia="en-GB"/>
        </w:rPr>
        <w:lastRenderedPageBreak/>
        <w:t>Data systems</w:t>
      </w:r>
      <w:r w:rsidRPr="001D7A4A">
        <w:rPr>
          <w:lang w:eastAsia="en-GB"/>
        </w:rPr>
        <w:t xml:space="preserve"> – </w:t>
      </w:r>
      <w:r w:rsidRPr="001D7A4A">
        <w:t>current data systems are largely built on administrative requirements for billing and funding purposes. Data systems are focused on demonstrating financial accountability to government for funds utilised, and enabling services to charge for specific activities, most of which are biomedically focused. The</w:t>
      </w:r>
      <w:r w:rsidRPr="001D7A4A">
        <w:rPr>
          <w:spacing w:val="-16"/>
        </w:rPr>
        <w:t xml:space="preserve"> </w:t>
      </w:r>
      <w:r w:rsidRPr="001D7A4A">
        <w:t>data</w:t>
      </w:r>
      <w:r w:rsidRPr="001D7A4A">
        <w:rPr>
          <w:spacing w:val="-15"/>
        </w:rPr>
        <w:t xml:space="preserve"> </w:t>
      </w:r>
      <w:r w:rsidRPr="001D7A4A">
        <w:t>systems</w:t>
      </w:r>
      <w:r w:rsidRPr="001D7A4A">
        <w:rPr>
          <w:spacing w:val="-15"/>
        </w:rPr>
        <w:t xml:space="preserve"> </w:t>
      </w:r>
      <w:r w:rsidRPr="001D7A4A">
        <w:t>have</w:t>
      </w:r>
      <w:r w:rsidRPr="001D7A4A">
        <w:rPr>
          <w:spacing w:val="-16"/>
        </w:rPr>
        <w:t xml:space="preserve"> </w:t>
      </w:r>
      <w:r w:rsidRPr="001D7A4A">
        <w:t>not</w:t>
      </w:r>
      <w:r w:rsidRPr="001D7A4A">
        <w:rPr>
          <w:spacing w:val="-15"/>
        </w:rPr>
        <w:t xml:space="preserve"> </w:t>
      </w:r>
      <w:r w:rsidRPr="001D7A4A">
        <w:t>been</w:t>
      </w:r>
      <w:r w:rsidRPr="001D7A4A">
        <w:rPr>
          <w:spacing w:val="-15"/>
        </w:rPr>
        <w:t xml:space="preserve"> </w:t>
      </w:r>
      <w:r w:rsidRPr="001D7A4A">
        <w:t>designed</w:t>
      </w:r>
      <w:r w:rsidRPr="001D7A4A">
        <w:rPr>
          <w:spacing w:val="-15"/>
        </w:rPr>
        <w:t xml:space="preserve"> </w:t>
      </w:r>
      <w:r w:rsidRPr="001D7A4A">
        <w:t>primarily</w:t>
      </w:r>
      <w:r w:rsidRPr="001D7A4A">
        <w:rPr>
          <w:spacing w:val="-16"/>
        </w:rPr>
        <w:t xml:space="preserve"> </w:t>
      </w:r>
      <w:r w:rsidRPr="001D7A4A">
        <w:t>around</w:t>
      </w:r>
      <w:r w:rsidRPr="001D7A4A">
        <w:rPr>
          <w:spacing w:val="-15"/>
        </w:rPr>
        <w:t xml:space="preserve"> </w:t>
      </w:r>
      <w:r w:rsidRPr="001D7A4A">
        <w:t>the</w:t>
      </w:r>
      <w:r w:rsidRPr="001D7A4A">
        <w:rPr>
          <w:spacing w:val="-15"/>
        </w:rPr>
        <w:t xml:space="preserve"> </w:t>
      </w:r>
      <w:r w:rsidRPr="001D7A4A">
        <w:t>information</w:t>
      </w:r>
      <w:r w:rsidRPr="001D7A4A">
        <w:rPr>
          <w:spacing w:val="-16"/>
        </w:rPr>
        <w:t xml:space="preserve"> </w:t>
      </w:r>
      <w:r w:rsidRPr="001D7A4A">
        <w:t xml:space="preserve">needed to inform health decision-making and improvement. Within the IAHP, the evaluation found the nKPI data collection lacked a focus on patient experience and outcomes, and it does not identify or measure a number of </w:t>
      </w:r>
      <w:r w:rsidR="0032381E">
        <w:t xml:space="preserve">processes and </w:t>
      </w:r>
      <w:r w:rsidRPr="001D7A4A">
        <w:t>outcomes relevant to the community or community-controlled health services.</w:t>
      </w:r>
    </w:p>
    <w:p w14:paraId="56DB8D2A" w14:textId="77777777" w:rsidR="003103E0" w:rsidRDefault="001D7A4A" w:rsidP="001D7A4A">
      <w:r w:rsidRPr="001D7A4A">
        <w:t>Some ACCHSs and other providers collect data on what their communities value, including for ACCHSs through their board processes. However, these processes are not system</w:t>
      </w:r>
      <w:r w:rsidRPr="001D7A4A">
        <w:rPr>
          <w:spacing w:val="-1"/>
        </w:rPr>
        <w:t xml:space="preserve"> </w:t>
      </w:r>
      <w:r w:rsidRPr="001D7A4A">
        <w:t>wide,</w:t>
      </w:r>
      <w:r w:rsidRPr="001D7A4A">
        <w:rPr>
          <w:spacing w:val="-1"/>
        </w:rPr>
        <w:t xml:space="preserve"> </w:t>
      </w:r>
      <w:r w:rsidRPr="001D7A4A">
        <w:t>and</w:t>
      </w:r>
      <w:r w:rsidRPr="001D7A4A">
        <w:rPr>
          <w:spacing w:val="-5"/>
        </w:rPr>
        <w:t xml:space="preserve"> </w:t>
      </w:r>
      <w:r w:rsidRPr="001D7A4A">
        <w:t>not</w:t>
      </w:r>
      <w:r w:rsidRPr="001D7A4A">
        <w:rPr>
          <w:spacing w:val="-4"/>
        </w:rPr>
        <w:t xml:space="preserve"> </w:t>
      </w:r>
      <w:r w:rsidRPr="001D7A4A">
        <w:t>directly</w:t>
      </w:r>
      <w:r w:rsidRPr="001D7A4A">
        <w:rPr>
          <w:spacing w:val="-2"/>
        </w:rPr>
        <w:t xml:space="preserve"> </w:t>
      </w:r>
      <w:r w:rsidRPr="001D7A4A">
        <w:t>informing</w:t>
      </w:r>
      <w:r w:rsidRPr="001D7A4A">
        <w:rPr>
          <w:spacing w:val="-3"/>
        </w:rPr>
        <w:t xml:space="preserve"> </w:t>
      </w:r>
      <w:r w:rsidRPr="001D7A4A">
        <w:t>and</w:t>
      </w:r>
      <w:r w:rsidRPr="001D7A4A">
        <w:rPr>
          <w:spacing w:val="-5"/>
        </w:rPr>
        <w:t xml:space="preserve"> </w:t>
      </w:r>
      <w:r w:rsidRPr="001D7A4A">
        <w:t>shaping</w:t>
      </w:r>
      <w:r w:rsidRPr="001D7A4A">
        <w:rPr>
          <w:spacing w:val="-3"/>
        </w:rPr>
        <w:t xml:space="preserve"> </w:t>
      </w:r>
      <w:r w:rsidRPr="001D7A4A">
        <w:t>the</w:t>
      </w:r>
      <w:r w:rsidRPr="001D7A4A">
        <w:rPr>
          <w:spacing w:val="-3"/>
        </w:rPr>
        <w:t xml:space="preserve"> </w:t>
      </w:r>
      <w:r w:rsidRPr="001D7A4A">
        <w:t>governments</w:t>
      </w:r>
      <w:r w:rsidRPr="001D7A4A">
        <w:rPr>
          <w:spacing w:val="-5"/>
        </w:rPr>
        <w:t xml:space="preserve"> </w:t>
      </w:r>
      <w:r w:rsidRPr="001D7A4A">
        <w:t>and</w:t>
      </w:r>
      <w:r w:rsidRPr="001D7A4A">
        <w:rPr>
          <w:spacing w:val="-5"/>
        </w:rPr>
        <w:t xml:space="preserve"> </w:t>
      </w:r>
      <w:r w:rsidRPr="001D7A4A">
        <w:t>the</w:t>
      </w:r>
      <w:r w:rsidRPr="001D7A4A">
        <w:rPr>
          <w:spacing w:val="-3"/>
        </w:rPr>
        <w:t xml:space="preserve"> </w:t>
      </w:r>
      <w:r w:rsidRPr="001D7A4A">
        <w:t xml:space="preserve">system </w:t>
      </w:r>
      <w:r w:rsidRPr="001D7A4A">
        <w:rPr>
          <w:spacing w:val="-2"/>
        </w:rPr>
        <w:t xml:space="preserve">response. </w:t>
      </w:r>
      <w:r w:rsidRPr="001D7A4A">
        <w:t>There is potential seen in linking data across community and hospital care subject to Indigenous Data Sovereignty Principles being met. Integrated data flows can support population-based funding, patient safety, coordinated care, and team-based care, as well as contribute to efficiency gains for clients and services.</w:t>
      </w:r>
      <w:r w:rsidR="003847F2">
        <w:t xml:space="preserve"> </w:t>
      </w:r>
    </w:p>
    <w:p w14:paraId="1994F5AD" w14:textId="64A536B0" w:rsidR="003D31FF" w:rsidRDefault="003847F2" w:rsidP="001D7A4A">
      <w:r>
        <w:t xml:space="preserve">Using data </w:t>
      </w:r>
      <w:r w:rsidR="00D05874">
        <w:t>better to info</w:t>
      </w:r>
      <w:r w:rsidR="00667E82">
        <w:t>r</w:t>
      </w:r>
      <w:r w:rsidR="00D05874">
        <w:t xml:space="preserve">m value-based care </w:t>
      </w:r>
      <w:r w:rsidR="00667E82">
        <w:t>is central to the vision for strengthening Me</w:t>
      </w:r>
      <w:r w:rsidR="009D302C">
        <w:t xml:space="preserve">dicare </w:t>
      </w:r>
      <w:r w:rsidR="003E1734">
        <w:fldChar w:fldCharType="begin"/>
      </w:r>
      <w:r w:rsidR="00F8760E">
        <w:instrText xml:space="preserve"> ADDIN ZOTERO_ITEM CSL_CITATION {"citationID":"70U4l24S","properties":{"formattedCitation":"(Australian Department of Health and Aged Care, 2022c)","plainCitation":"(Australian Department of Health and Aged Care, 2022c)","noteIndex":0},"citationItems":[{"id":3772,"uris":["http://zotero.org/groups/5010721/items/WFV3SBYZ",["http://zotero.org/groups/5010721/items/WFV3SBYZ"],["http://zotero.org/groups/5010721/items/WFV3SBYZ",["http://zotero.org/groups/5010721/items/WFV3SBYZ"]]],"itemData":{"id":3772,"type":"report","event-place":"Canberra","language":"en","publisher":"Commonwealth of Australia","publisher-place":"Canberra","source":"Zotero","title":"Strengthening Medicare Taskforce Report","URL":"https://www.health.gov.au/resources/publications/strengthening-medicare-taskforce-report?language=en","author":[{"literal":"Australian Department of Health and Aged Care"}],"issued":{"date-parts":[["2022",12]]}}}],"schema":"https://github.com/citation-style-language/schema/raw/master/csl-citation.json"} </w:instrText>
      </w:r>
      <w:r w:rsidR="003E1734">
        <w:fldChar w:fldCharType="separate"/>
      </w:r>
      <w:r w:rsidR="00685726" w:rsidRPr="00685726">
        <w:rPr>
          <w:rFonts w:ascii="Arial" w:hAnsi="Arial" w:cs="Arial"/>
        </w:rPr>
        <w:t>(Australian Department of Health and Aged Care, 2022c)</w:t>
      </w:r>
      <w:r w:rsidR="003E1734">
        <w:fldChar w:fldCharType="end"/>
      </w:r>
      <w:r w:rsidR="003103E0">
        <w:t xml:space="preserve">. </w:t>
      </w:r>
      <w:r w:rsidR="00016E5E">
        <w:t>The IAHP and the community-controlled sector have a strong legacy in using data</w:t>
      </w:r>
      <w:r w:rsidR="00667E82">
        <w:t xml:space="preserve"> </w:t>
      </w:r>
      <w:r w:rsidR="00F11122">
        <w:t>and the benefit of experience with existing data collections</w:t>
      </w:r>
      <w:r w:rsidR="005F1137">
        <w:t>, such as the nKPIs,</w:t>
      </w:r>
      <w:r w:rsidR="00667E82">
        <w:t xml:space="preserve"> </w:t>
      </w:r>
      <w:r w:rsidR="00DF5ABA">
        <w:t xml:space="preserve">and </w:t>
      </w:r>
      <w:r w:rsidR="003D08C9">
        <w:t>a degree of consistency in clinical information systems</w:t>
      </w:r>
      <w:r w:rsidR="002E655B">
        <w:t>.</w:t>
      </w:r>
      <w:r w:rsidR="003D08C9">
        <w:t xml:space="preserve"> </w:t>
      </w:r>
      <w:r w:rsidR="00667E82">
        <w:t xml:space="preserve"> </w:t>
      </w:r>
    </w:p>
    <w:p w14:paraId="54FB8ED1" w14:textId="5ADE349B" w:rsidR="001D7A4A" w:rsidRPr="001D7A4A" w:rsidRDefault="001D7A4A" w:rsidP="001D7A4A">
      <w:r w:rsidRPr="001D7A4A">
        <w:br w:type="page"/>
      </w:r>
    </w:p>
    <w:p w14:paraId="51A2DC4A" w14:textId="77777777" w:rsidR="001D7A4A" w:rsidRPr="001D7A4A" w:rsidRDefault="001D7A4A" w:rsidP="00507EBA">
      <w:pPr>
        <w:pStyle w:val="Heading1"/>
        <w:ind w:left="900" w:hanging="900"/>
      </w:pPr>
      <w:bookmarkStart w:id="347" w:name="_Ref137158233"/>
      <w:bookmarkStart w:id="348" w:name="_Toc137208957"/>
      <w:r w:rsidRPr="001D7A4A">
        <w:lastRenderedPageBreak/>
        <w:t>Recommendations</w:t>
      </w:r>
      <w:bookmarkEnd w:id="347"/>
      <w:bookmarkEnd w:id="348"/>
    </w:p>
    <w:p w14:paraId="6FE9E017" w14:textId="6F5EE125" w:rsidR="001D7A4A" w:rsidRPr="001D7A4A" w:rsidRDefault="001D7A4A" w:rsidP="001D7A4A">
      <w:pPr>
        <w:rPr>
          <w:lang w:val="en-NZ"/>
        </w:rPr>
      </w:pPr>
      <w:r w:rsidRPr="001D7A4A">
        <w:t xml:space="preserve">This section </w:t>
      </w:r>
      <w:r w:rsidR="00B863F4">
        <w:t>sets out</w:t>
      </w:r>
      <w:r w:rsidR="00B863F4" w:rsidRPr="001D7A4A">
        <w:t xml:space="preserve"> </w:t>
      </w:r>
      <w:r w:rsidRPr="001D7A4A">
        <w:t>the evaluation’s recommendations</w:t>
      </w:r>
      <w:r w:rsidR="00F05F6B">
        <w:t xml:space="preserve">. </w:t>
      </w:r>
      <w:r w:rsidRPr="001D7A4A">
        <w:t xml:space="preserve">The recommendations cover changes, actions and improvements to support faster progress towards improving the health and wellbeing of Aboriginal and Torres Strait Islander people. </w:t>
      </w:r>
      <w:r w:rsidRPr="001D7A4A">
        <w:rPr>
          <w:lang w:val="en-NZ"/>
        </w:rPr>
        <w:t>This includes:</w:t>
      </w:r>
    </w:p>
    <w:p w14:paraId="7A46D10E" w14:textId="77777777" w:rsidR="001D7A4A" w:rsidRPr="00343EB2" w:rsidRDefault="001D7A4A" w:rsidP="003D5E64">
      <w:pPr>
        <w:numPr>
          <w:ilvl w:val="0"/>
          <w:numId w:val="27"/>
        </w:numPr>
        <w:spacing w:after="120"/>
        <w:ind w:left="714" w:hanging="357"/>
        <w:rPr>
          <w:bCs/>
          <w:lang w:eastAsia="en-GB"/>
        </w:rPr>
      </w:pPr>
      <w:r w:rsidRPr="00343EB2">
        <w:rPr>
          <w:bCs/>
          <w:lang w:eastAsia="en-GB"/>
        </w:rPr>
        <w:t>recommendations to strengthen the design and implementation of the IAHP</w:t>
      </w:r>
    </w:p>
    <w:p w14:paraId="09CF0C49" w14:textId="77777777" w:rsidR="001D7A4A" w:rsidRPr="00343EB2" w:rsidRDefault="001D7A4A" w:rsidP="00343EB2">
      <w:pPr>
        <w:numPr>
          <w:ilvl w:val="0"/>
          <w:numId w:val="27"/>
        </w:numPr>
        <w:rPr>
          <w:bCs/>
          <w:lang w:eastAsia="en-GB"/>
        </w:rPr>
      </w:pPr>
      <w:r w:rsidRPr="00343EB2">
        <w:rPr>
          <w:bCs/>
          <w:lang w:eastAsia="en-GB"/>
        </w:rPr>
        <w:t>recommendations to strengthen the health system context in which the IAHP operates – action on these recommendations will support the delivery of PHC services funded through the IAHP.</w:t>
      </w:r>
    </w:p>
    <w:p w14:paraId="3A98616F" w14:textId="77777777" w:rsidR="005574A4" w:rsidRDefault="00FB71EB" w:rsidP="001D7A4A">
      <w:r>
        <w:t>The recommendations are based on the assessment of the IAHP against the KEQs, the implications of that assessment, and the need to locate and consider the IAHP within the broader health system</w:t>
      </w:r>
      <w:r w:rsidRPr="001D7A4A">
        <w:t xml:space="preserve">. </w:t>
      </w:r>
    </w:p>
    <w:p w14:paraId="44E79E6D" w14:textId="73FFB10E" w:rsidR="00FB6A8D" w:rsidRDefault="00134943" w:rsidP="001D7A4A">
      <w:r>
        <w:t xml:space="preserve">The recommendations are </w:t>
      </w:r>
      <w:r w:rsidR="008862B5">
        <w:t xml:space="preserve">directly </w:t>
      </w:r>
      <w:r>
        <w:t xml:space="preserve">informed by </w:t>
      </w:r>
      <w:r w:rsidR="00230FD6">
        <w:t>discussions and engagement with site partners</w:t>
      </w:r>
      <w:r w:rsidR="008862B5">
        <w:t xml:space="preserve"> </w:t>
      </w:r>
      <w:r w:rsidR="00A22047">
        <w:t xml:space="preserve">over Cycle 3 of the evaluation </w:t>
      </w:r>
      <w:r w:rsidR="00993E06">
        <w:t>on</w:t>
      </w:r>
      <w:r w:rsidR="008862B5">
        <w:t xml:space="preserve"> what needs to change and improve to make faster progress to support improvements to health and wellbeing for Aboriginal and Torres Strait Islander people</w:t>
      </w:r>
      <w:r w:rsidR="00FB6A8D">
        <w:t xml:space="preserve">. </w:t>
      </w:r>
      <w:r w:rsidR="00282467">
        <w:t>Th</w:t>
      </w:r>
      <w:r w:rsidR="004B33EC">
        <w:t>ese discussions</w:t>
      </w:r>
      <w:r w:rsidR="00282467">
        <w:t xml:space="preserve"> included </w:t>
      </w:r>
      <w:r w:rsidR="004B33EC">
        <w:t>a focus on what needs to change with the IAHP</w:t>
      </w:r>
      <w:r w:rsidR="00CB59CE">
        <w:t>.</w:t>
      </w:r>
      <w:r w:rsidR="00FB6A8D">
        <w:t xml:space="preserve"> There was also close engagement with site partners</w:t>
      </w:r>
      <w:r w:rsidR="00230FD6">
        <w:t xml:space="preserve">, the HSCG and the department over Cycle 3 </w:t>
      </w:r>
      <w:r w:rsidR="00386161">
        <w:t>on</w:t>
      </w:r>
      <w:r>
        <w:t xml:space="preserve"> testing and refining of the evidence and insights generated through data collected in Cycles 1 and 2</w:t>
      </w:r>
      <w:r w:rsidR="00C44E2E">
        <w:t xml:space="preserve">. This </w:t>
      </w:r>
      <w:r w:rsidR="00DB0693">
        <w:t>strengthened</w:t>
      </w:r>
      <w:r w:rsidR="00C44E2E">
        <w:t xml:space="preserve"> the cr</w:t>
      </w:r>
      <w:r w:rsidR="009A5030">
        <w:t xml:space="preserve">edibility of the evidence and </w:t>
      </w:r>
      <w:r w:rsidR="0076392A">
        <w:t xml:space="preserve">contributed to understanding about what this evidence meant in terms </w:t>
      </w:r>
      <w:r w:rsidR="00583C46">
        <w:t>of</w:t>
      </w:r>
      <w:r w:rsidR="00743C08">
        <w:t xml:space="preserve"> changes needed to the IAHP and the broader health system</w:t>
      </w:r>
      <w:r>
        <w:t xml:space="preserve">. </w:t>
      </w:r>
    </w:p>
    <w:p w14:paraId="462F09D8" w14:textId="3627FDF1" w:rsidR="00B42ED6" w:rsidRDefault="00FB6A8D" w:rsidP="001D7A4A">
      <w:r>
        <w:t xml:space="preserve">A significant component of </w:t>
      </w:r>
      <w:r w:rsidR="00150D29">
        <w:t xml:space="preserve">the development and testing of </w:t>
      </w:r>
      <w:r w:rsidR="008577D9">
        <w:t>draft</w:t>
      </w:r>
      <w:r w:rsidR="00150D29">
        <w:t xml:space="preserve"> recommendations</w:t>
      </w:r>
      <w:r>
        <w:t xml:space="preserve"> was </w:t>
      </w:r>
      <w:r w:rsidR="00150D29">
        <w:t xml:space="preserve">through engagement and co-design processes with site partners at the </w:t>
      </w:r>
      <w:r w:rsidR="000F3D8D">
        <w:t>n</w:t>
      </w:r>
      <w:r w:rsidR="00150D29">
        <w:t xml:space="preserve">ational </w:t>
      </w:r>
      <w:r w:rsidR="000F3D8D">
        <w:t>evaluation w</w:t>
      </w:r>
      <w:r w:rsidR="00150D29">
        <w:t xml:space="preserve">orkshop in </w:t>
      </w:r>
      <w:r w:rsidR="00150D29" w:rsidRPr="00747AFC">
        <w:t>February 2023.</w:t>
      </w:r>
      <w:r w:rsidR="00150D29">
        <w:t xml:space="preserve"> </w:t>
      </w:r>
      <w:r w:rsidR="000F3D8D">
        <w:t xml:space="preserve">This involved </w:t>
      </w:r>
      <w:r w:rsidR="00ED5A85">
        <w:t>discussion</w:t>
      </w:r>
      <w:r w:rsidR="004E1F0B">
        <w:t>s</w:t>
      </w:r>
      <w:r w:rsidR="00ED5A85">
        <w:t xml:space="preserve"> around the intent</w:t>
      </w:r>
      <w:r w:rsidR="00152628">
        <w:t>, ambition</w:t>
      </w:r>
      <w:r w:rsidR="00150D29">
        <w:t xml:space="preserve"> </w:t>
      </w:r>
      <w:r w:rsidR="00C00A6D">
        <w:t xml:space="preserve">and rationale for </w:t>
      </w:r>
      <w:r w:rsidR="00176A6E">
        <w:t xml:space="preserve">draft </w:t>
      </w:r>
      <w:r w:rsidR="001D7BF1">
        <w:t>recommendation</w:t>
      </w:r>
      <w:r w:rsidR="00176A6E">
        <w:t xml:space="preserve"> areas</w:t>
      </w:r>
      <w:r w:rsidR="00152628">
        <w:t xml:space="preserve">. </w:t>
      </w:r>
      <w:r w:rsidR="00803512">
        <w:t>Collectively, p</w:t>
      </w:r>
      <w:r w:rsidR="00D8714A">
        <w:t>articipants</w:t>
      </w:r>
      <w:r w:rsidR="00332C9E">
        <w:t xml:space="preserve"> drew on significant experience in designing</w:t>
      </w:r>
      <w:r w:rsidR="00C85E09">
        <w:t xml:space="preserve">, implementing and delivering comprehensive PHC policy and programs in </w:t>
      </w:r>
      <w:r w:rsidR="002D4DBE">
        <w:t>settings across Australia.</w:t>
      </w:r>
      <w:r w:rsidR="00D8714A">
        <w:t xml:space="preserve"> </w:t>
      </w:r>
      <w:r w:rsidR="00194D88">
        <w:t xml:space="preserve">Discussions at the workshop were captured </w:t>
      </w:r>
      <w:r w:rsidR="00194D88" w:rsidRPr="00CF4380">
        <w:t xml:space="preserve">in graphic format and these are included in </w:t>
      </w:r>
      <w:r w:rsidR="00C7584C" w:rsidRPr="00CF4380">
        <w:t xml:space="preserve">Final Report </w:t>
      </w:r>
      <w:r w:rsidR="00747AFC" w:rsidRPr="00CF4380">
        <w:t>Supporting Material</w:t>
      </w:r>
      <w:r w:rsidR="00E954E2" w:rsidRPr="00CF4380">
        <w:t xml:space="preserve"> </w:t>
      </w:r>
      <w:r w:rsidR="00C7584C" w:rsidRPr="00CF4380">
        <w:t xml:space="preserve">Appendix </w:t>
      </w:r>
      <w:r w:rsidR="00CF4380" w:rsidRPr="00CF4380">
        <w:t>L</w:t>
      </w:r>
      <w:r w:rsidR="00194D88" w:rsidRPr="00CF4380">
        <w:t>.</w:t>
      </w:r>
      <w:r w:rsidR="00D8714A">
        <w:t xml:space="preserve"> </w:t>
      </w:r>
      <w:r w:rsidR="00152628">
        <w:t xml:space="preserve"> </w:t>
      </w:r>
      <w:r w:rsidR="001D7BF1">
        <w:t xml:space="preserve"> </w:t>
      </w:r>
    </w:p>
    <w:p w14:paraId="3EDE950D" w14:textId="77777777" w:rsidR="00B42ED6" w:rsidRDefault="00B42ED6">
      <w:pPr>
        <w:jc w:val="left"/>
      </w:pPr>
      <w:r>
        <w:br w:type="page"/>
      </w:r>
    </w:p>
    <w:p w14:paraId="7A3F1619" w14:textId="3CCCB222" w:rsidR="001D7A4A" w:rsidRPr="001D7A4A" w:rsidRDefault="001D7A4A" w:rsidP="0035030F">
      <w:pPr>
        <w:pStyle w:val="Heading2"/>
      </w:pPr>
      <w:bookmarkStart w:id="349" w:name="_Toc137208958"/>
      <w:r w:rsidRPr="001D7A4A">
        <w:lastRenderedPageBreak/>
        <w:t>Introduction</w:t>
      </w:r>
      <w:bookmarkEnd w:id="349"/>
    </w:p>
    <w:p w14:paraId="613FA528" w14:textId="77777777" w:rsidR="001D7A4A" w:rsidRPr="001D7A4A" w:rsidRDefault="001D7A4A" w:rsidP="001D7A4A">
      <w:r w:rsidRPr="001D7A4A">
        <w:t xml:space="preserve">The scope of the evaluation included the identification of </w:t>
      </w:r>
      <w:r w:rsidRPr="001D7A4A">
        <w:rPr>
          <w:i/>
          <w:iCs/>
        </w:rPr>
        <w:t>‘changes required at different levels of the system, in order to improve health outcomes for Aboriginal and Torres Strait Islander people’</w:t>
      </w:r>
      <w:r w:rsidRPr="001D7A4A">
        <w:t xml:space="preserve"> (Objective 2a) and for the evaluation </w:t>
      </w:r>
      <w:r w:rsidRPr="001D7A4A">
        <w:rPr>
          <w:i/>
          <w:iCs/>
        </w:rPr>
        <w:t xml:space="preserve">‘to support informed policy, planning and decision-making that will enable improvements to be incorporated into the IAHP’ (Objective 3). </w:t>
      </w:r>
      <w:r w:rsidRPr="001D7A4A">
        <w:t>KEQ4 also asks</w:t>
      </w:r>
      <w:r w:rsidRPr="001D7A4A">
        <w:rPr>
          <w:i/>
          <w:iCs/>
        </w:rPr>
        <w:t xml:space="preserve"> ‘how can faster progress be made towards improving the health and wellbeing of Aboriginal and Torres Strait Islander people?’</w:t>
      </w:r>
      <w:r w:rsidRPr="001D7A4A">
        <w:t>. The supporting questions under KEQ4 ask:</w:t>
      </w:r>
    </w:p>
    <w:p w14:paraId="61AFD4E8" w14:textId="77777777" w:rsidR="001D7A4A" w:rsidRPr="001D7A4A" w:rsidRDefault="001D7A4A" w:rsidP="00F16837">
      <w:pPr>
        <w:pStyle w:val="Bullet-Number"/>
        <w:numPr>
          <w:ilvl w:val="0"/>
          <w:numId w:val="45"/>
        </w:numPr>
      </w:pPr>
      <w:r w:rsidRPr="001D7A4A">
        <w:t>What, if anything, needs to change in the IAHP, the Implementation Plan [for the National Aboriginal and Torres Strait Islander Health Plan 2013-2023</w:t>
      </w:r>
      <w:r w:rsidRPr="001D7A4A">
        <w:rPr>
          <w:vertAlign w:val="superscript"/>
        </w:rPr>
        <w:footnoteReference w:id="89"/>
      </w:r>
      <w:r w:rsidRPr="001D7A4A">
        <w:t>] and in the broader policy settings and processes? (4.1)</w:t>
      </w:r>
    </w:p>
    <w:p w14:paraId="3187BF45" w14:textId="77777777" w:rsidR="001D7A4A" w:rsidRPr="001D7A4A" w:rsidRDefault="001D7A4A" w:rsidP="00FA3B1D">
      <w:pPr>
        <w:pStyle w:val="Bullet-Number"/>
        <w:numPr>
          <w:ilvl w:val="0"/>
          <w:numId w:val="28"/>
        </w:numPr>
      </w:pPr>
      <w:r w:rsidRPr="001D7A4A">
        <w:t>What effective action can be taken to address the social and cultural determinants of health and environmental health? (4.2)</w:t>
      </w:r>
    </w:p>
    <w:p w14:paraId="3FC17EA0" w14:textId="77777777" w:rsidR="001D7A4A" w:rsidRPr="001D7A4A" w:rsidRDefault="001D7A4A" w:rsidP="00FA3B1D">
      <w:pPr>
        <w:pStyle w:val="Bullet-Number"/>
        <w:numPr>
          <w:ilvl w:val="0"/>
          <w:numId w:val="28"/>
        </w:numPr>
      </w:pPr>
      <w:r w:rsidRPr="001D7A4A">
        <w:t>What needs to change at different levels of the health system (site, state and territory, national)? (4.3)</w:t>
      </w:r>
    </w:p>
    <w:p w14:paraId="7D23A1AE" w14:textId="77777777" w:rsidR="001D7A4A" w:rsidRPr="001D7A4A" w:rsidRDefault="001D7A4A" w:rsidP="00FA3B1D">
      <w:pPr>
        <w:pStyle w:val="Bullet-Number"/>
        <w:numPr>
          <w:ilvl w:val="0"/>
          <w:numId w:val="28"/>
        </w:numPr>
      </w:pPr>
      <w:r w:rsidRPr="001D7A4A">
        <w:t xml:space="preserve">What needs to change in other policy areas (for example, education, employment, social security, housing, food)? (4.4) </w:t>
      </w:r>
    </w:p>
    <w:p w14:paraId="5AFE7D15" w14:textId="77777777" w:rsidR="001D7A4A" w:rsidRPr="001D7A4A" w:rsidRDefault="001D7A4A" w:rsidP="003D5E64">
      <w:pPr>
        <w:pStyle w:val="Bullet-Number"/>
        <w:numPr>
          <w:ilvl w:val="0"/>
          <w:numId w:val="28"/>
        </w:numPr>
        <w:spacing w:after="240"/>
        <w:ind w:left="714" w:hanging="357"/>
      </w:pPr>
      <w:r w:rsidRPr="001D7A4A">
        <w:t>How can greater progress be made to achieve PHC system reform? (4.5)</w:t>
      </w:r>
    </w:p>
    <w:p w14:paraId="7011659E" w14:textId="36F23916" w:rsidR="001D7A4A" w:rsidRPr="001D7A4A" w:rsidRDefault="001D7A4A" w:rsidP="001D7A4A">
      <w:r w:rsidRPr="001D7A4A">
        <w:t xml:space="preserve">In framing the evaluation’s recommendations, it is acknowledged that the </w:t>
      </w:r>
      <w:r w:rsidR="00806455">
        <w:t>department</w:t>
      </w:r>
      <w:r w:rsidRPr="001D7A4A">
        <w:t xml:space="preserve"> required that the evaluation focus on </w:t>
      </w:r>
      <w:r w:rsidRPr="001D7A4A">
        <w:rPr>
          <w:i/>
          <w:iCs/>
        </w:rPr>
        <w:t xml:space="preserve">‘the Australian Government’s Aboriginal and Torres Strait Islander specific PHC investment, but take a whole-of-systems, consumer-oriented lens’ </w:t>
      </w:r>
      <w:r w:rsidRPr="001D7A4A">
        <w:rPr>
          <w:i/>
          <w:iCs/>
        </w:rPr>
        <w:fldChar w:fldCharType="begin"/>
      </w:r>
      <w:r w:rsidR="00F8760E">
        <w:rPr>
          <w:i/>
          <w:iCs/>
        </w:rPr>
        <w:instrText xml:space="preserve"> ADDIN ZOTERO_ITEM CSL_CITATION {"citationID":"4gvKMp61","properties":{"formattedCitation":"(Australian Department of Health, 2021a, p. 4)","plainCitation":"(Australian Department of Health, 2021a, p. 4)","noteIndex":0},"citationItems":[{"id":3766,"uris":["http://zotero.org/groups/5010721/items/VEKQG4DD",["http://zotero.org/groups/5010721/items/VEKQG4DD"],["http://zotero.org/groups/5010721/items/VEKQG4DD",["http://zotero.org/groups/5010721/items/VEKQG4DD"]]],"itemData":{"id":3766,"type":"report","event-place":"Canberra","publisher":"Commonwealth of Australia","publisher-place":"Canberra","title":"National Aboriginal and Torres Strait Islander Health Plan 2021–2031","URL":"https://www.health.gov.au/sites/default/files/documents/2022/06/national-aboriginal-and-torres-strait-islander-health-plan-2021-2031.pdf","author":[{"literal":"Australian Department of Health"}],"issued":{"date-parts":[["2021"]]}},"locator":"4","label":"page"}],"schema":"https://github.com/citation-style-language/schema/raw/master/csl-citation.json"} </w:instrText>
      </w:r>
      <w:r w:rsidRPr="001D7A4A">
        <w:rPr>
          <w:i/>
          <w:iCs/>
        </w:rPr>
        <w:fldChar w:fldCharType="separate"/>
      </w:r>
      <w:r w:rsidR="002730C3" w:rsidRPr="002730C3">
        <w:rPr>
          <w:rFonts w:ascii="Arial" w:hAnsi="Arial" w:cs="Arial"/>
        </w:rPr>
        <w:t>(Australian Department of Health, 2021a, p. 4)</w:t>
      </w:r>
      <w:r w:rsidRPr="001D7A4A">
        <w:fldChar w:fldCharType="end"/>
      </w:r>
      <w:r w:rsidRPr="001D7A4A">
        <w:rPr>
          <w:i/>
          <w:iCs/>
        </w:rPr>
        <w:t>.</w:t>
      </w:r>
      <w:r w:rsidRPr="001D7A4A">
        <w:t xml:space="preserve"> Lastly in developing the recommendations</w:t>
      </w:r>
      <w:r w:rsidR="00806455">
        <w:t>,</w:t>
      </w:r>
      <w:r w:rsidRPr="001D7A4A" w:rsidDel="00806455">
        <w:t xml:space="preserve"> </w:t>
      </w:r>
      <w:r w:rsidRPr="001D7A4A">
        <w:t xml:space="preserve">it is also acknowledged that much has changed </w:t>
      </w:r>
      <w:r w:rsidR="00806455">
        <w:t xml:space="preserve">in the policy and operational landscape </w:t>
      </w:r>
      <w:r w:rsidRPr="001D7A4A">
        <w:t>since the evaluation commenced and it is important that the evaluation recommendations ‘speak into’ the current Aboriginal and Torres Strait Islander health policy landscape and are relevant to reforms that have emerged since the evaluation commenced in 2018.</w:t>
      </w:r>
    </w:p>
    <w:p w14:paraId="66745A2E" w14:textId="5ABB5D00" w:rsidR="001D7A4A" w:rsidRPr="001D7A4A" w:rsidRDefault="001D7A4A" w:rsidP="001D7A4A">
      <w:r w:rsidRPr="001D7A4A">
        <w:t xml:space="preserve">As such, the evaluation’s recommendations align to and build on the </w:t>
      </w:r>
      <w:r w:rsidR="00806455">
        <w:t>Priority Reforms</w:t>
      </w:r>
      <w:r w:rsidR="00806455" w:rsidRPr="001D7A4A">
        <w:t xml:space="preserve"> </w:t>
      </w:r>
      <w:r w:rsidRPr="001D7A4A">
        <w:t xml:space="preserve">and objectives in the National Agreement on Closing the Gap, the National Aboriginal and Torres Strait Islander Health Plan and the Health Sector Strengthening Plan, focusing on the practical implementation of those priorities and objectives, particularly as they relate to the IAHP. There is widespread concern that the Closing the Gap’s health outcomes and associated indicators are not on track and will not be met by 2031. To deliver on Closing the Gap’s health expectation by 2031 requires </w:t>
      </w:r>
      <w:r w:rsidR="00806455">
        <w:t xml:space="preserve">sharper focus on </w:t>
      </w:r>
      <w:r w:rsidRPr="001D7A4A">
        <w:t xml:space="preserve">issue within governments. </w:t>
      </w:r>
    </w:p>
    <w:p w14:paraId="6066765A" w14:textId="77777777" w:rsidR="00E40425" w:rsidRPr="00A1178E" w:rsidRDefault="00E40425">
      <w:pPr>
        <w:jc w:val="left"/>
        <w:rPr>
          <w:iCs/>
          <w:color w:val="18525E" w:themeColor="accent5" w:themeShade="80"/>
          <w:szCs w:val="28"/>
        </w:rPr>
      </w:pPr>
      <w:r w:rsidRPr="00A1178E">
        <w:rPr>
          <w:iCs/>
          <w:color w:val="18525E" w:themeColor="accent5" w:themeShade="80"/>
          <w:szCs w:val="28"/>
        </w:rPr>
        <w:br w:type="page"/>
      </w:r>
    </w:p>
    <w:p w14:paraId="18B47340" w14:textId="2984A2CE" w:rsidR="001D7A4A" w:rsidRPr="00A1178E" w:rsidRDefault="001D7A4A" w:rsidP="00F70EA9">
      <w:pPr>
        <w:spacing w:before="480" w:after="0" w:line="240" w:lineRule="auto"/>
        <w:ind w:left="567"/>
        <w:rPr>
          <w:iCs/>
          <w:color w:val="18525E" w:themeColor="accent5" w:themeShade="80"/>
          <w:szCs w:val="28"/>
        </w:rPr>
      </w:pPr>
      <w:r w:rsidRPr="00A1178E">
        <w:rPr>
          <w:iCs/>
          <w:color w:val="18525E" w:themeColor="accent5" w:themeShade="80"/>
          <w:szCs w:val="28"/>
        </w:rPr>
        <w:lastRenderedPageBreak/>
        <w:t>The gap is not closing fast enough. I know many people are frustrated by the lack of progress …. It is particularly disappointing to see the target for healthy birthweights for babies has gone from being ‘on track’ to ‘not on track’ …. More of the same isn’t good enough. We need to do things differently by working in partnership with communities to get better results.</w:t>
      </w:r>
      <w:r w:rsidRPr="00A1178E">
        <w:rPr>
          <w:color w:val="18525E" w:themeColor="accent5" w:themeShade="80"/>
          <w:szCs w:val="28"/>
          <w:vertAlign w:val="superscript"/>
        </w:rPr>
        <w:footnoteReference w:id="90"/>
      </w:r>
    </w:p>
    <w:p w14:paraId="5DB61E3D" w14:textId="77777777" w:rsidR="001D7A4A" w:rsidRPr="001D7A4A" w:rsidRDefault="001D7A4A" w:rsidP="00F70EA9">
      <w:pPr>
        <w:jc w:val="right"/>
        <w:rPr>
          <w:b/>
          <w:bCs/>
          <w:iCs/>
        </w:rPr>
      </w:pPr>
      <w:r w:rsidRPr="001D7A4A">
        <w:rPr>
          <w:b/>
          <w:bCs/>
          <w:iCs/>
        </w:rPr>
        <w:t xml:space="preserve">The Hon Linda Burney MP, Minister for Indigenous Australians </w:t>
      </w:r>
    </w:p>
    <w:p w14:paraId="2EB2E8A5" w14:textId="77777777" w:rsidR="001D7A4A" w:rsidRPr="001D7A4A" w:rsidRDefault="001D7A4A" w:rsidP="001D7A4A">
      <w:r w:rsidRPr="001D7A4A">
        <w:t xml:space="preserve">In this policy context, the IAHP is a federal financing mechanism, that plays a fundamental role in supporting service delivery and the continued development of the Aboriginal and Torres Strait Islander community-controlled PHC sector. The evaluation recommendations focus on how the IAHP and elements of the broader health system in which it functions can be enhanced and expanded to improve health outcomes aligned to the Closing the Gap Priority Reforms.  </w:t>
      </w:r>
    </w:p>
    <w:p w14:paraId="2093DDA8" w14:textId="61AE9A55" w:rsidR="001D7A4A" w:rsidRPr="001D7A4A" w:rsidRDefault="001D7A4A" w:rsidP="001D7A4A">
      <w:r w:rsidRPr="001D7A4A">
        <w:t xml:space="preserve">The recommendations are grouped under the </w:t>
      </w:r>
      <w:r w:rsidR="006D2482">
        <w:t>4</w:t>
      </w:r>
      <w:r w:rsidR="006D2482" w:rsidRPr="001D7A4A">
        <w:t xml:space="preserve"> </w:t>
      </w:r>
      <w:r w:rsidRPr="001D7A4A">
        <w:t>Closing the Gap Priority Reforms, with an additional foundational recommendation and a final recommendation covering implementation issues. While the</w:t>
      </w:r>
      <w:r w:rsidRPr="001D7A4A" w:rsidDel="006D2482">
        <w:t xml:space="preserve"> </w:t>
      </w:r>
      <w:r w:rsidR="006D2482">
        <w:t>4</w:t>
      </w:r>
      <w:r w:rsidR="006D2482" w:rsidRPr="001D7A4A">
        <w:t xml:space="preserve"> </w:t>
      </w:r>
      <w:r w:rsidRPr="001D7A4A">
        <w:t xml:space="preserve">Priority Reforms have been used as an organising framework for the recommendations, there are clear links across the recommendations, as there are across the </w:t>
      </w:r>
      <w:r w:rsidR="006D2482">
        <w:t>4</w:t>
      </w:r>
      <w:r w:rsidR="006D2482" w:rsidRPr="001D7A4A">
        <w:t xml:space="preserve"> </w:t>
      </w:r>
      <w:r w:rsidRPr="001D7A4A">
        <w:t>Priority Reform areas.</w:t>
      </w:r>
    </w:p>
    <w:p w14:paraId="63AB3618" w14:textId="77777777" w:rsidR="001D7A4A" w:rsidRPr="001D7A4A" w:rsidRDefault="001D7A4A" w:rsidP="001D7A4A">
      <w:r w:rsidRPr="001D7A4A">
        <w:t>The evaluation recommendations do not imply that there is no current activity in the specific areas mentioned. Exemplary practice was observed during the evaluation; for example the early response to COVID 19. Some recommendations reflect lessons from this experience and recommend that best practice is scaled and formally recognised in the health system’s policies and processes.</w:t>
      </w:r>
    </w:p>
    <w:p w14:paraId="55109B93" w14:textId="0695D54D" w:rsidR="00B15D4C" w:rsidRDefault="00445663" w:rsidP="001D7A4A">
      <w:r>
        <w:t xml:space="preserve">Each recommendation includes an implementation </w:t>
      </w:r>
      <w:r w:rsidR="000C05A1">
        <w:t>timeframe based on immediate, medium and long term.</w:t>
      </w:r>
      <w:r w:rsidR="00D073AB">
        <w:t xml:space="preserve"> There are tensions in </w:t>
      </w:r>
      <w:r w:rsidR="000422C9">
        <w:t xml:space="preserve">policy, theory of change and </w:t>
      </w:r>
      <w:r w:rsidR="00061EFD">
        <w:t xml:space="preserve">Closing the Gap target timeframes. </w:t>
      </w:r>
      <w:r w:rsidR="004A53CE">
        <w:t xml:space="preserve">Timeframes for </w:t>
      </w:r>
      <w:r w:rsidR="00264DFB">
        <w:t>Closing the Gap target</w:t>
      </w:r>
      <w:r w:rsidR="00F043B9">
        <w:t>, at 2031, are in the medium term</w:t>
      </w:r>
      <w:r w:rsidR="008D1A17">
        <w:t xml:space="preserve">. </w:t>
      </w:r>
      <w:r w:rsidR="00345E1C">
        <w:t>Timeframes for p</w:t>
      </w:r>
      <w:r w:rsidR="008D1A17">
        <w:t>olicy</w:t>
      </w:r>
      <w:r w:rsidR="00345E1C">
        <w:t>-making</w:t>
      </w:r>
      <w:r w:rsidR="00C822F1">
        <w:t xml:space="preserve"> and theory of change </w:t>
      </w:r>
      <w:r w:rsidR="003840CF">
        <w:t xml:space="preserve">(mapping backwards from </w:t>
      </w:r>
      <w:r w:rsidR="00063916">
        <w:t>the</w:t>
      </w:r>
      <w:r w:rsidR="003840CF">
        <w:t xml:space="preserve"> projected </w:t>
      </w:r>
      <w:r w:rsidR="00063916">
        <w:t>length of time</w:t>
      </w:r>
      <w:r w:rsidR="00165225">
        <w:t xml:space="preserve"> to deliver on a recommendation’s intent)</w:t>
      </w:r>
      <w:r w:rsidR="000F5C0F">
        <w:t xml:space="preserve"> </w:t>
      </w:r>
      <w:r w:rsidR="00AD5E66">
        <w:t xml:space="preserve">will </w:t>
      </w:r>
      <w:r w:rsidR="00CC47DE">
        <w:t>go beyond 2031.</w:t>
      </w:r>
      <w:r w:rsidR="00E04781">
        <w:t xml:space="preserve"> The evaluation has prioritised </w:t>
      </w:r>
      <w:r w:rsidR="001A7ED8">
        <w:t xml:space="preserve">recommendations </w:t>
      </w:r>
      <w:r w:rsidR="00196DBA">
        <w:t>critical to Closing the Gap</w:t>
      </w:r>
      <w:r w:rsidR="00CD6C3F">
        <w:t xml:space="preserve">, but </w:t>
      </w:r>
      <w:r w:rsidR="007B54AF">
        <w:t xml:space="preserve">initial </w:t>
      </w:r>
      <w:r w:rsidR="001224BB">
        <w:t xml:space="preserve">implementation of long term recommendations </w:t>
      </w:r>
      <w:r w:rsidR="00391654">
        <w:t>should be addressed concurrently.</w:t>
      </w:r>
      <w:r w:rsidR="000F5C0F">
        <w:t xml:space="preserve"> </w:t>
      </w:r>
      <w:r w:rsidR="00BA2E6B" w:rsidRPr="008C24C2">
        <w:fldChar w:fldCharType="begin"/>
      </w:r>
      <w:r w:rsidR="00BA2E6B" w:rsidRPr="008C24C2">
        <w:instrText xml:space="preserve"> REF _Ref137139338 \h </w:instrText>
      </w:r>
      <w:r w:rsidR="008C24C2" w:rsidRPr="008C24C2">
        <w:instrText xml:space="preserve"> \* MERGEFORMAT </w:instrText>
      </w:r>
      <w:r w:rsidR="00BA2E6B" w:rsidRPr="008C24C2">
        <w:fldChar w:fldCharType="separate"/>
      </w:r>
      <w:r w:rsidR="00165B17" w:rsidRPr="00165B17">
        <w:rPr>
          <w:b/>
          <w:iCs/>
          <w:szCs w:val="18"/>
        </w:rPr>
        <w:t>Table</w:t>
      </w:r>
      <w:r w:rsidR="00165B17">
        <w:t xml:space="preserve"> </w:t>
      </w:r>
      <w:r w:rsidR="00165B17">
        <w:rPr>
          <w:noProof/>
        </w:rPr>
        <w:t>12</w:t>
      </w:r>
      <w:r w:rsidR="00165B17">
        <w:rPr>
          <w:noProof/>
        </w:rPr>
        <w:noBreakHyphen/>
        <w:t>1</w:t>
      </w:r>
      <w:r w:rsidR="00BA2E6B" w:rsidRPr="008C24C2">
        <w:fldChar w:fldCharType="end"/>
      </w:r>
      <w:r w:rsidR="001D7A4A" w:rsidRPr="001D7A4A">
        <w:t xml:space="preserve"> provides a summary of the </w:t>
      </w:r>
      <w:r w:rsidR="001D7A4A" w:rsidRPr="008C24C2">
        <w:t>inten</w:t>
      </w:r>
      <w:r w:rsidR="008C24C2" w:rsidRPr="008C24C2">
        <w:t>ded outcomes</w:t>
      </w:r>
      <w:r w:rsidR="001D7A4A" w:rsidRPr="001D7A4A">
        <w:t xml:space="preserve"> of each recommendation.</w:t>
      </w:r>
    </w:p>
    <w:p w14:paraId="109A0C45" w14:textId="77777777" w:rsidR="00B15D4C" w:rsidRDefault="00B15D4C">
      <w:pPr>
        <w:jc w:val="left"/>
      </w:pPr>
      <w:r>
        <w:br w:type="page"/>
      </w:r>
    </w:p>
    <w:p w14:paraId="792D3D33" w14:textId="427A88F2" w:rsidR="001D7A4A" w:rsidRPr="001D7A4A" w:rsidRDefault="001D7A4A" w:rsidP="00BA2E6B">
      <w:pPr>
        <w:pStyle w:val="Caption"/>
        <w:rPr>
          <w:b w:val="0"/>
          <w:sz w:val="21"/>
          <w:szCs w:val="20"/>
          <w:lang w:val="en-NZ"/>
        </w:rPr>
      </w:pPr>
      <w:bookmarkStart w:id="350" w:name="_Ref137139338"/>
      <w:bookmarkStart w:id="351" w:name="_Toc138851295"/>
      <w:r>
        <w:lastRenderedPageBreak/>
        <w:t xml:space="preserve">Table </w:t>
      </w:r>
      <w:r w:rsidR="00BA2E6B">
        <w:fldChar w:fldCharType="begin"/>
      </w:r>
      <w:r w:rsidR="00BA2E6B">
        <w:instrText xml:space="preserve"> STYLEREF 1 \s </w:instrText>
      </w:r>
      <w:r w:rsidR="00BA2E6B">
        <w:fldChar w:fldCharType="separate"/>
      </w:r>
      <w:r w:rsidR="00165B17">
        <w:rPr>
          <w:noProof/>
        </w:rPr>
        <w:t>12</w:t>
      </w:r>
      <w:r w:rsidR="00BA2E6B">
        <w:fldChar w:fldCharType="end"/>
      </w:r>
      <w:r w:rsidR="00BA2E6B">
        <w:noBreakHyphen/>
      </w:r>
      <w:r w:rsidR="00BA2E6B">
        <w:fldChar w:fldCharType="begin"/>
      </w:r>
      <w:r w:rsidR="00BA2E6B">
        <w:instrText xml:space="preserve"> SEQ Table \* ARABIC \s 1 </w:instrText>
      </w:r>
      <w:r w:rsidR="00BA2E6B">
        <w:fldChar w:fldCharType="separate"/>
      </w:r>
      <w:r w:rsidR="00165B17">
        <w:rPr>
          <w:noProof/>
        </w:rPr>
        <w:t>1</w:t>
      </w:r>
      <w:r w:rsidR="00BA2E6B">
        <w:fldChar w:fldCharType="end"/>
      </w:r>
      <w:bookmarkEnd w:id="350"/>
      <w:r w:rsidRPr="001D7A4A">
        <w:rPr>
          <w:sz w:val="21"/>
          <w:szCs w:val="20"/>
          <w:lang w:val="en-NZ"/>
        </w:rPr>
        <w:t>: Inten</w:t>
      </w:r>
      <w:r w:rsidR="008C24C2">
        <w:rPr>
          <w:sz w:val="21"/>
          <w:szCs w:val="20"/>
          <w:lang w:val="en-NZ"/>
        </w:rPr>
        <w:t>ded outcomes</w:t>
      </w:r>
      <w:r w:rsidRPr="001D7A4A">
        <w:rPr>
          <w:sz w:val="21"/>
          <w:szCs w:val="20"/>
          <w:lang w:val="en-NZ"/>
        </w:rPr>
        <w:t xml:space="preserve"> of the evaluation’s recommendations</w:t>
      </w:r>
      <w:bookmarkEnd w:id="351"/>
      <w:r w:rsidRPr="001D7A4A">
        <w:rPr>
          <w:sz w:val="21"/>
          <w:szCs w:val="20"/>
          <w:lang w:val="en-NZ"/>
        </w:rPr>
        <w:t xml:space="preserve"> </w:t>
      </w:r>
    </w:p>
    <w:tbl>
      <w:tblPr>
        <w:tblStyle w:val="ACTableDesign1White"/>
        <w:tblW w:w="0" w:type="auto"/>
        <w:tblLook w:val="0220" w:firstRow="1" w:lastRow="0" w:firstColumn="0" w:lastColumn="0" w:noHBand="1" w:noVBand="0"/>
      </w:tblPr>
      <w:tblGrid>
        <w:gridCol w:w="450"/>
        <w:gridCol w:w="8573"/>
      </w:tblGrid>
      <w:tr w:rsidR="001D7A4A" w:rsidRPr="001D7A4A" w14:paraId="10C4C2B7" w14:textId="77777777" w:rsidTr="007F6E8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23" w:type="dxa"/>
            <w:gridSpan w:val="2"/>
            <w:vAlign w:val="top"/>
          </w:tcPr>
          <w:p w14:paraId="5791D5D2" w14:textId="5B58718A" w:rsidR="001D7A4A" w:rsidRPr="0058387D" w:rsidRDefault="001D7A4A" w:rsidP="001D7A4A">
            <w:pPr>
              <w:spacing w:line="276" w:lineRule="auto"/>
              <w:jc w:val="left"/>
              <w:rPr>
                <w:b w:val="0"/>
                <w:bCs/>
                <w:color w:val="000000" w:themeColor="text1"/>
              </w:rPr>
            </w:pPr>
            <w:r w:rsidRPr="0058387D">
              <w:rPr>
                <w:bCs/>
                <w:color w:val="000000" w:themeColor="text1"/>
              </w:rPr>
              <w:t>Recommendation number and inten</w:t>
            </w:r>
            <w:r w:rsidR="008C24C2" w:rsidRPr="0058387D">
              <w:rPr>
                <w:bCs/>
                <w:color w:val="000000" w:themeColor="text1"/>
              </w:rPr>
              <w:t>ded outcome</w:t>
            </w:r>
          </w:p>
        </w:tc>
      </w:tr>
      <w:tr w:rsidR="001D7A4A" w:rsidRPr="001D7A4A" w14:paraId="1C59980B" w14:textId="77777777" w:rsidTr="007F6E8B">
        <w:tc>
          <w:tcPr>
            <w:cnfStyle w:val="000010000000" w:firstRow="0" w:lastRow="0" w:firstColumn="0" w:lastColumn="0" w:oddVBand="1" w:evenVBand="0" w:oddHBand="0" w:evenHBand="0" w:firstRowFirstColumn="0" w:firstRowLastColumn="0" w:lastRowFirstColumn="0" w:lastRowLastColumn="0"/>
            <w:tcW w:w="9023" w:type="dxa"/>
            <w:gridSpan w:val="2"/>
            <w:shd w:val="clear" w:color="auto" w:fill="D5E4F3" w:themeFill="accent1" w:themeFillTint="33"/>
            <w:vAlign w:val="top"/>
          </w:tcPr>
          <w:p w14:paraId="676EAFC2" w14:textId="77777777" w:rsidR="001D7A4A" w:rsidRPr="001D7A4A" w:rsidRDefault="001D7A4A" w:rsidP="001D7A4A">
            <w:pPr>
              <w:spacing w:after="120" w:line="276" w:lineRule="auto"/>
              <w:jc w:val="left"/>
              <w:rPr>
                <w:b/>
                <w:bCs/>
              </w:rPr>
            </w:pPr>
            <w:r w:rsidRPr="001D7A4A">
              <w:rPr>
                <w:b/>
                <w:bCs/>
              </w:rPr>
              <w:t>Foundational</w:t>
            </w:r>
          </w:p>
        </w:tc>
      </w:tr>
      <w:tr w:rsidR="001D7A4A" w:rsidRPr="001D7A4A" w14:paraId="4B866318"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342AAD6C" w14:textId="77777777" w:rsidR="001D7A4A" w:rsidRPr="001D7A4A" w:rsidRDefault="001D7A4A" w:rsidP="001D7A4A">
            <w:pPr>
              <w:spacing w:after="120" w:line="276" w:lineRule="auto"/>
              <w:jc w:val="left"/>
            </w:pPr>
            <w:r w:rsidRPr="001D7A4A">
              <w:t>1</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644BD063" w14:textId="7A4BE400" w:rsidR="001D7A4A" w:rsidRPr="001D7A4A" w:rsidRDefault="00607755" w:rsidP="001D7A4A">
            <w:pPr>
              <w:spacing w:after="120" w:line="276" w:lineRule="auto"/>
              <w:jc w:val="left"/>
            </w:pPr>
            <w:r>
              <w:t xml:space="preserve">To </w:t>
            </w:r>
            <w:r w:rsidR="00AE52B7">
              <w:t>sustain</w:t>
            </w:r>
            <w:r>
              <w:t xml:space="preserve"> </w:t>
            </w:r>
            <w:r w:rsidR="001D3F75">
              <w:t xml:space="preserve">the IAHP </w:t>
            </w:r>
            <w:r w:rsidR="0097215B">
              <w:t>as a specialised funder of comprehensive PHC</w:t>
            </w:r>
          </w:p>
        </w:tc>
      </w:tr>
      <w:tr w:rsidR="001D7A4A" w:rsidRPr="001D7A4A" w14:paraId="43968E1E" w14:textId="77777777" w:rsidTr="007F6E8B">
        <w:tc>
          <w:tcPr>
            <w:cnfStyle w:val="000010000000" w:firstRow="0" w:lastRow="0" w:firstColumn="0" w:lastColumn="0" w:oddVBand="1" w:evenVBand="0" w:oddHBand="0" w:evenHBand="0" w:firstRowFirstColumn="0" w:firstRowLastColumn="0" w:lastRowFirstColumn="0" w:lastRowLastColumn="0"/>
            <w:tcW w:w="9023" w:type="dxa"/>
            <w:gridSpan w:val="2"/>
            <w:shd w:val="clear" w:color="auto" w:fill="D5E4F3" w:themeFill="accent1" w:themeFillTint="33"/>
            <w:vAlign w:val="top"/>
          </w:tcPr>
          <w:p w14:paraId="7D947698" w14:textId="77777777" w:rsidR="001D7A4A" w:rsidRPr="001D7A4A" w:rsidRDefault="001D7A4A" w:rsidP="001D7A4A">
            <w:pPr>
              <w:spacing w:after="120" w:line="276" w:lineRule="auto"/>
              <w:jc w:val="left"/>
              <w:rPr>
                <w:b/>
                <w:bCs/>
              </w:rPr>
            </w:pPr>
            <w:r w:rsidRPr="001D7A4A">
              <w:rPr>
                <w:b/>
                <w:bCs/>
              </w:rPr>
              <w:t>Priority Reform 1: Formal partnerships and shared decision-making</w:t>
            </w:r>
          </w:p>
        </w:tc>
      </w:tr>
      <w:tr w:rsidR="001D7A4A" w:rsidRPr="001D7A4A" w14:paraId="3FA967A7"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01D6FA21" w14:textId="77777777" w:rsidR="001D7A4A" w:rsidRPr="001D7A4A" w:rsidRDefault="001D7A4A" w:rsidP="001D7A4A">
            <w:pPr>
              <w:spacing w:after="120" w:line="276" w:lineRule="auto"/>
              <w:jc w:val="left"/>
            </w:pPr>
            <w:r w:rsidRPr="001D7A4A">
              <w:t>2</w:t>
            </w:r>
          </w:p>
        </w:tc>
        <w:tc>
          <w:tcPr>
            <w:cnfStyle w:val="000001000000" w:firstRow="0" w:lastRow="0" w:firstColumn="0" w:lastColumn="0" w:oddVBand="0" w:evenVBand="1" w:oddHBand="0" w:evenHBand="0" w:firstRowFirstColumn="0" w:firstRowLastColumn="0" w:lastRowFirstColumn="0" w:lastRowLastColumn="0"/>
            <w:tcW w:w="8600" w:type="dxa"/>
            <w:tcBorders>
              <w:left w:val="nil"/>
              <w:bottom w:val="single" w:sz="2" w:space="0" w:color="36424A" w:themeColor="accent2"/>
            </w:tcBorders>
            <w:vAlign w:val="top"/>
          </w:tcPr>
          <w:p w14:paraId="2F4686AD" w14:textId="642683A9" w:rsidR="001D7A4A" w:rsidRPr="001D7A4A" w:rsidRDefault="001D7A4A" w:rsidP="001D7A4A">
            <w:pPr>
              <w:spacing w:after="120" w:line="276" w:lineRule="auto"/>
            </w:pPr>
            <w:r w:rsidRPr="001D7A4A">
              <w:t xml:space="preserve">To strengthen shared decision-making authority </w:t>
            </w:r>
            <w:r w:rsidR="00936779">
              <w:t>over</w:t>
            </w:r>
            <w:r w:rsidRPr="001D7A4A">
              <w:t xml:space="preserve"> the IAHP</w:t>
            </w:r>
          </w:p>
        </w:tc>
      </w:tr>
      <w:tr w:rsidR="001D7A4A" w:rsidRPr="001D7A4A" w14:paraId="65487C30"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60FA431D" w14:textId="77777777" w:rsidR="001D7A4A" w:rsidRPr="001D7A4A" w:rsidRDefault="001D7A4A" w:rsidP="001D7A4A">
            <w:pPr>
              <w:spacing w:after="120" w:line="276" w:lineRule="auto"/>
              <w:jc w:val="left"/>
            </w:pPr>
            <w:r w:rsidRPr="001D7A4A">
              <w:t>3</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7BED9A61" w14:textId="6A09A8A1" w:rsidR="001D7A4A" w:rsidRPr="001D7A4A" w:rsidRDefault="001D7A4A" w:rsidP="001D7A4A">
            <w:pPr>
              <w:spacing w:after="120" w:line="276" w:lineRule="auto"/>
              <w:jc w:val="left"/>
            </w:pPr>
            <w:r w:rsidRPr="0056773E">
              <w:t xml:space="preserve">To determine the financial resources required to support the delivery of comprehensive PHC to </w:t>
            </w:r>
            <w:r w:rsidR="003B3BD2" w:rsidRPr="0056773E">
              <w:t xml:space="preserve">all </w:t>
            </w:r>
            <w:r w:rsidRPr="0056773E">
              <w:t xml:space="preserve">Aboriginal and Torres Strait Islander people </w:t>
            </w:r>
            <w:r w:rsidR="00B502F9" w:rsidRPr="0056773E">
              <w:t xml:space="preserve">through the development of an investment strategy </w:t>
            </w:r>
            <w:r w:rsidR="00E5717A" w:rsidRPr="0056773E">
              <w:t>for the</w:t>
            </w:r>
            <w:r w:rsidRPr="0056773E">
              <w:t xml:space="preserve"> IAHP </w:t>
            </w:r>
          </w:p>
        </w:tc>
      </w:tr>
      <w:tr w:rsidR="001D7A4A" w:rsidRPr="001D7A4A" w14:paraId="7BF1E85F" w14:textId="77777777" w:rsidTr="007F6E8B">
        <w:tc>
          <w:tcPr>
            <w:cnfStyle w:val="000010000000" w:firstRow="0" w:lastRow="0" w:firstColumn="0" w:lastColumn="0" w:oddVBand="1" w:evenVBand="0" w:oddHBand="0" w:evenHBand="0" w:firstRowFirstColumn="0" w:firstRowLastColumn="0" w:lastRowFirstColumn="0" w:lastRowLastColumn="0"/>
            <w:tcW w:w="9023" w:type="dxa"/>
            <w:gridSpan w:val="2"/>
            <w:shd w:val="clear" w:color="auto" w:fill="D5E4F3" w:themeFill="accent1" w:themeFillTint="33"/>
            <w:vAlign w:val="top"/>
          </w:tcPr>
          <w:p w14:paraId="28D12E82" w14:textId="77777777" w:rsidR="001D7A4A" w:rsidRPr="001D7A4A" w:rsidRDefault="001D7A4A" w:rsidP="001D7A4A">
            <w:pPr>
              <w:spacing w:after="120" w:line="276" w:lineRule="auto"/>
              <w:jc w:val="left"/>
              <w:rPr>
                <w:b/>
                <w:bCs/>
              </w:rPr>
            </w:pPr>
            <w:r w:rsidRPr="001D7A4A">
              <w:rPr>
                <w:b/>
                <w:bCs/>
              </w:rPr>
              <w:t>Priority Reform 2: Building the community-controlled sector</w:t>
            </w:r>
          </w:p>
        </w:tc>
      </w:tr>
      <w:tr w:rsidR="001D7A4A" w:rsidRPr="001D7A4A" w14:paraId="4E8D8CEC"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0A6C78BB" w14:textId="77777777" w:rsidR="001D7A4A" w:rsidRPr="001D7A4A" w:rsidRDefault="001D7A4A" w:rsidP="001D7A4A">
            <w:pPr>
              <w:spacing w:after="120" w:line="276" w:lineRule="auto"/>
              <w:jc w:val="left"/>
            </w:pPr>
            <w:r w:rsidRPr="001D7A4A">
              <w:t>4</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7E6046EA" w14:textId="7FC62E2C" w:rsidR="001D7A4A" w:rsidRPr="001D7A4A" w:rsidRDefault="001D7A4A" w:rsidP="001D7A4A">
            <w:pPr>
              <w:spacing w:after="120" w:line="276" w:lineRule="auto"/>
              <w:jc w:val="left"/>
            </w:pPr>
            <w:r w:rsidRPr="001D7A4A">
              <w:t>To enable full implementation of the model of Aboriginal and Torres Strait Islander community-controlled comprehensive PHC through increased IAHP funding</w:t>
            </w:r>
          </w:p>
        </w:tc>
      </w:tr>
      <w:tr w:rsidR="001D7A4A" w:rsidRPr="001D7A4A" w14:paraId="03EF108C"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276414C6" w14:textId="77777777" w:rsidR="001D7A4A" w:rsidRPr="001D7A4A" w:rsidRDefault="001D7A4A" w:rsidP="001D7A4A">
            <w:pPr>
              <w:spacing w:after="120" w:line="276" w:lineRule="auto"/>
              <w:jc w:val="left"/>
            </w:pPr>
            <w:r w:rsidRPr="001D7A4A">
              <w:t>5</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457DBE01" w14:textId="77777777" w:rsidR="001D7A4A" w:rsidRPr="001D7A4A" w:rsidRDefault="001D7A4A" w:rsidP="001D7A4A">
            <w:pPr>
              <w:spacing w:after="120" w:line="276" w:lineRule="auto"/>
              <w:jc w:val="left"/>
            </w:pPr>
            <w:r w:rsidRPr="001D7A4A">
              <w:t>To support the delivery of IAHP-funded comprehensive PHC through the development of the Aboriginal and Torres Strait Islander health workforce</w:t>
            </w:r>
          </w:p>
        </w:tc>
      </w:tr>
      <w:tr w:rsidR="001D7A4A" w:rsidRPr="001D7A4A" w14:paraId="7AB03698"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055A78B8" w14:textId="77777777" w:rsidR="001D7A4A" w:rsidRPr="001D7A4A" w:rsidRDefault="001D7A4A" w:rsidP="001D7A4A">
            <w:pPr>
              <w:spacing w:after="120" w:line="276" w:lineRule="auto"/>
              <w:jc w:val="left"/>
            </w:pPr>
            <w:r w:rsidRPr="001D7A4A">
              <w:t>6</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7AD5E49C" w14:textId="77777777" w:rsidR="001D7A4A" w:rsidRPr="001D7A4A" w:rsidRDefault="001D7A4A" w:rsidP="001D7A4A">
            <w:pPr>
              <w:spacing w:after="120" w:line="276" w:lineRule="auto"/>
              <w:jc w:val="left"/>
            </w:pPr>
            <w:r w:rsidRPr="001D7A4A">
              <w:t>To build the capability of community-controlled health services and support integrated care through supporting the development of alliances and partnerships</w:t>
            </w:r>
          </w:p>
        </w:tc>
      </w:tr>
      <w:tr w:rsidR="001D7A4A" w:rsidRPr="001D7A4A" w14:paraId="21F82C4B"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552B6439" w14:textId="77777777" w:rsidR="001D7A4A" w:rsidRPr="001D7A4A" w:rsidRDefault="001D7A4A" w:rsidP="001D7A4A">
            <w:pPr>
              <w:spacing w:after="120" w:line="276" w:lineRule="auto"/>
              <w:jc w:val="left"/>
            </w:pPr>
            <w:r w:rsidRPr="001D7A4A">
              <w:t>7</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7CB0B40C" w14:textId="6508455F" w:rsidR="001D7A4A" w:rsidRPr="008C24C2" w:rsidRDefault="001D7A4A" w:rsidP="001D7A4A">
            <w:pPr>
              <w:spacing w:after="120" w:line="276" w:lineRule="auto"/>
              <w:jc w:val="left"/>
            </w:pPr>
            <w:r w:rsidRPr="008C24C2">
              <w:t>To increase the flexibility and co</w:t>
            </w:r>
            <w:r w:rsidR="008C24C2" w:rsidRPr="008C24C2">
              <w:t>ordination</w:t>
            </w:r>
            <w:r w:rsidRPr="008C24C2">
              <w:t xml:space="preserve"> of funding and reporting systems within and beyond the IAHP</w:t>
            </w:r>
          </w:p>
        </w:tc>
      </w:tr>
      <w:tr w:rsidR="001D7A4A" w:rsidRPr="001D7A4A" w14:paraId="3B5529E9" w14:textId="77777777" w:rsidTr="007F6E8B">
        <w:tc>
          <w:tcPr>
            <w:cnfStyle w:val="000010000000" w:firstRow="0" w:lastRow="0" w:firstColumn="0" w:lastColumn="0" w:oddVBand="1" w:evenVBand="0" w:oddHBand="0" w:evenHBand="0" w:firstRowFirstColumn="0" w:firstRowLastColumn="0" w:lastRowFirstColumn="0" w:lastRowLastColumn="0"/>
            <w:tcW w:w="9023" w:type="dxa"/>
            <w:gridSpan w:val="2"/>
            <w:shd w:val="clear" w:color="auto" w:fill="D5E4F3" w:themeFill="accent1" w:themeFillTint="33"/>
            <w:vAlign w:val="top"/>
          </w:tcPr>
          <w:p w14:paraId="48C7FD81" w14:textId="77777777" w:rsidR="001D7A4A" w:rsidRPr="001D7A4A" w:rsidRDefault="001D7A4A" w:rsidP="001D7A4A">
            <w:pPr>
              <w:spacing w:after="120" w:line="276" w:lineRule="auto"/>
              <w:jc w:val="left"/>
              <w:rPr>
                <w:b/>
                <w:bCs/>
              </w:rPr>
            </w:pPr>
            <w:r w:rsidRPr="001D7A4A">
              <w:rPr>
                <w:b/>
                <w:bCs/>
              </w:rPr>
              <w:t>Priority Reform 3: Transforming government organisations</w:t>
            </w:r>
          </w:p>
        </w:tc>
      </w:tr>
      <w:tr w:rsidR="001D7A4A" w:rsidRPr="001D7A4A" w14:paraId="14277364"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4D35A6A3" w14:textId="77777777" w:rsidR="001D7A4A" w:rsidRPr="001D7A4A" w:rsidRDefault="001D7A4A" w:rsidP="001D7A4A">
            <w:pPr>
              <w:spacing w:after="120" w:line="276" w:lineRule="auto"/>
              <w:jc w:val="left"/>
            </w:pPr>
            <w:r w:rsidRPr="001D7A4A">
              <w:t>8</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1E4690A3" w14:textId="77777777" w:rsidR="001D7A4A" w:rsidRPr="001D7A4A" w:rsidRDefault="001D7A4A" w:rsidP="001D7A4A">
            <w:pPr>
              <w:spacing w:after="120" w:line="276" w:lineRule="auto"/>
              <w:jc w:val="left"/>
              <w:rPr>
                <w:rFonts w:eastAsia="Arial" w:cs="Times New Roman"/>
                <w:iCs/>
              </w:rPr>
            </w:pPr>
            <w:r w:rsidRPr="001D7A4A">
              <w:t xml:space="preserve">To improve the delivery of culturally safe and responsive services across the health system through supporting Aboriginal and Torres Strait Islander participation in mainstream health service </w:t>
            </w:r>
            <w:r w:rsidRPr="001D7A4A">
              <w:rPr>
                <w:rFonts w:eastAsia="Arial" w:cs="Times New Roman"/>
                <w:iCs/>
              </w:rPr>
              <w:t>governance, commissioning and delivery processes</w:t>
            </w:r>
          </w:p>
        </w:tc>
      </w:tr>
      <w:tr w:rsidR="001D7A4A" w:rsidRPr="001D7A4A" w14:paraId="2F9AFE5C"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48828351" w14:textId="77777777" w:rsidR="001D7A4A" w:rsidRPr="001D7A4A" w:rsidRDefault="001D7A4A" w:rsidP="001D7A4A">
            <w:pPr>
              <w:spacing w:after="120" w:line="276" w:lineRule="auto"/>
              <w:jc w:val="left"/>
            </w:pPr>
            <w:r w:rsidRPr="001D7A4A">
              <w:t>9</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51F498E9" w14:textId="7F65F80C" w:rsidR="001D7A4A" w:rsidRPr="001D7A4A" w:rsidRDefault="001D7A4A" w:rsidP="001D7A4A">
            <w:pPr>
              <w:spacing w:after="120" w:line="276" w:lineRule="auto"/>
              <w:jc w:val="left"/>
            </w:pPr>
            <w:r w:rsidRPr="001D7A4A">
              <w:t>To strengthen the administration of the IAHP in partnership with Aboriginal and Torres Strait Islander though continuing to build capability within the First Nations Health Division</w:t>
            </w:r>
          </w:p>
        </w:tc>
      </w:tr>
      <w:tr w:rsidR="001D7A4A" w:rsidRPr="001D7A4A" w14:paraId="161CDF18"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681CCF7C" w14:textId="77777777" w:rsidR="001D7A4A" w:rsidRPr="001D7A4A" w:rsidRDefault="001D7A4A" w:rsidP="001D7A4A">
            <w:pPr>
              <w:spacing w:after="120" w:line="276" w:lineRule="auto"/>
              <w:jc w:val="left"/>
            </w:pPr>
            <w:r w:rsidRPr="001D7A4A">
              <w:t>10</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3450AD80" w14:textId="75896550" w:rsidR="001D7A4A" w:rsidRPr="001D7A4A" w:rsidRDefault="001D7A4A" w:rsidP="001D7A4A">
            <w:pPr>
              <w:spacing w:after="120" w:line="276" w:lineRule="auto"/>
              <w:jc w:val="left"/>
            </w:pPr>
            <w:r w:rsidRPr="001D7A4A">
              <w:t xml:space="preserve">To strengthen </w:t>
            </w:r>
            <w:r w:rsidR="007132E7">
              <w:t xml:space="preserve">PHN roles in </w:t>
            </w:r>
            <w:r w:rsidRPr="001D7A4A">
              <w:t xml:space="preserve">health service commissioning and the integration of local health services </w:t>
            </w:r>
          </w:p>
        </w:tc>
      </w:tr>
      <w:tr w:rsidR="001D7A4A" w:rsidRPr="001D7A4A" w14:paraId="6B874C76" w14:textId="77777777" w:rsidTr="007F6E8B">
        <w:tc>
          <w:tcPr>
            <w:cnfStyle w:val="000010000000" w:firstRow="0" w:lastRow="0" w:firstColumn="0" w:lastColumn="0" w:oddVBand="1" w:evenVBand="0" w:oddHBand="0" w:evenHBand="0" w:firstRowFirstColumn="0" w:firstRowLastColumn="0" w:lastRowFirstColumn="0" w:lastRowLastColumn="0"/>
            <w:tcW w:w="9023" w:type="dxa"/>
            <w:gridSpan w:val="2"/>
            <w:shd w:val="clear" w:color="auto" w:fill="D5E4F3" w:themeFill="accent1" w:themeFillTint="33"/>
            <w:vAlign w:val="top"/>
          </w:tcPr>
          <w:p w14:paraId="6CA75C28" w14:textId="77777777" w:rsidR="001D7A4A" w:rsidRPr="001D7A4A" w:rsidRDefault="001D7A4A" w:rsidP="001D7A4A">
            <w:pPr>
              <w:spacing w:after="120" w:line="276" w:lineRule="auto"/>
              <w:jc w:val="left"/>
              <w:rPr>
                <w:b/>
                <w:bCs/>
              </w:rPr>
            </w:pPr>
            <w:r w:rsidRPr="001D7A4A">
              <w:rPr>
                <w:b/>
                <w:bCs/>
              </w:rPr>
              <w:t>Priority Reform 4: Shared access to data and information at a regional level</w:t>
            </w:r>
          </w:p>
        </w:tc>
      </w:tr>
      <w:tr w:rsidR="001D7A4A" w:rsidRPr="001D7A4A" w14:paraId="3E03E91E"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408D344B" w14:textId="77777777" w:rsidR="001D7A4A" w:rsidRPr="001D7A4A" w:rsidRDefault="001D7A4A" w:rsidP="001D7A4A">
            <w:pPr>
              <w:spacing w:after="120" w:line="276" w:lineRule="auto"/>
              <w:jc w:val="left"/>
            </w:pPr>
            <w:r w:rsidRPr="001D7A4A">
              <w:t>11</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041BEA9B" w14:textId="77777777" w:rsidR="001D7A4A" w:rsidRPr="001D7A4A" w:rsidRDefault="001D7A4A" w:rsidP="001D7A4A">
            <w:pPr>
              <w:spacing w:after="120" w:line="276" w:lineRule="auto"/>
              <w:jc w:val="left"/>
            </w:pPr>
            <w:r w:rsidRPr="001D7A4A">
              <w:t>To strengthen local decision-making on health service planning, design and delivery, including in relation to the IAHP, through funding ACCHSs to lead health needs assessments in their local communities</w:t>
            </w:r>
          </w:p>
        </w:tc>
      </w:tr>
      <w:tr w:rsidR="001D7A4A" w:rsidRPr="001D7A4A" w14:paraId="08B9107C"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3712EF34" w14:textId="77777777" w:rsidR="001D7A4A" w:rsidRPr="001D7A4A" w:rsidRDefault="001D7A4A" w:rsidP="001D7A4A">
            <w:pPr>
              <w:spacing w:after="120" w:line="276" w:lineRule="auto"/>
              <w:jc w:val="left"/>
            </w:pPr>
            <w:r w:rsidRPr="001D7A4A">
              <w:t>12</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6C6F666B" w14:textId="10AC7B2C" w:rsidR="001D7A4A" w:rsidRPr="001D7A4A" w:rsidRDefault="001D7A4A" w:rsidP="001D7A4A">
            <w:pPr>
              <w:spacing w:after="120" w:line="276" w:lineRule="auto"/>
              <w:jc w:val="left"/>
            </w:pPr>
            <w:r w:rsidRPr="001D7A4A">
              <w:t xml:space="preserve">To strengthen the relevance and use of IAHP data though revising data </w:t>
            </w:r>
            <w:r w:rsidR="005A49B7">
              <w:t xml:space="preserve">systems </w:t>
            </w:r>
            <w:r w:rsidRPr="001D7A4A">
              <w:t>and reporting processes to reflect ACCHSs’ models of care and community aspirations for health and wellbeing</w:t>
            </w:r>
          </w:p>
        </w:tc>
      </w:tr>
      <w:tr w:rsidR="001D7A4A" w:rsidRPr="001D7A4A" w14:paraId="032C2B4A" w14:textId="77777777" w:rsidTr="007F6E8B">
        <w:tc>
          <w:tcPr>
            <w:cnfStyle w:val="000010000000" w:firstRow="0" w:lastRow="0" w:firstColumn="0" w:lastColumn="0" w:oddVBand="1" w:evenVBand="0" w:oddHBand="0" w:evenHBand="0" w:firstRowFirstColumn="0" w:firstRowLastColumn="0" w:lastRowFirstColumn="0" w:lastRowLastColumn="0"/>
            <w:tcW w:w="9023" w:type="dxa"/>
            <w:gridSpan w:val="2"/>
            <w:shd w:val="clear" w:color="auto" w:fill="D5E4F3" w:themeFill="accent1" w:themeFillTint="33"/>
            <w:vAlign w:val="top"/>
          </w:tcPr>
          <w:p w14:paraId="3EBA1108" w14:textId="77777777" w:rsidR="001D7A4A" w:rsidRPr="001D7A4A" w:rsidRDefault="001D7A4A" w:rsidP="001D7A4A">
            <w:pPr>
              <w:spacing w:after="120" w:line="276" w:lineRule="auto"/>
              <w:jc w:val="left"/>
              <w:rPr>
                <w:b/>
                <w:bCs/>
              </w:rPr>
            </w:pPr>
            <w:r w:rsidRPr="001D7A4A">
              <w:rPr>
                <w:b/>
                <w:bCs/>
              </w:rPr>
              <w:t>Implementation</w:t>
            </w:r>
          </w:p>
        </w:tc>
      </w:tr>
      <w:tr w:rsidR="001D7A4A" w:rsidRPr="001D7A4A" w14:paraId="030C3434" w14:textId="77777777" w:rsidTr="007F6E8B">
        <w:tc>
          <w:tcPr>
            <w:cnfStyle w:val="000010000000" w:firstRow="0" w:lastRow="0" w:firstColumn="0" w:lastColumn="0" w:oddVBand="1" w:evenVBand="0" w:oddHBand="0" w:evenHBand="0" w:firstRowFirstColumn="0" w:firstRowLastColumn="0" w:lastRowFirstColumn="0" w:lastRowLastColumn="0"/>
            <w:tcW w:w="423" w:type="dxa"/>
            <w:tcBorders>
              <w:right w:val="nil"/>
            </w:tcBorders>
            <w:vAlign w:val="top"/>
          </w:tcPr>
          <w:p w14:paraId="50855F05" w14:textId="77777777" w:rsidR="001D7A4A" w:rsidRPr="001D7A4A" w:rsidRDefault="001D7A4A" w:rsidP="001D7A4A">
            <w:pPr>
              <w:spacing w:after="120" w:line="276" w:lineRule="auto"/>
              <w:jc w:val="left"/>
            </w:pPr>
            <w:r w:rsidRPr="001D7A4A">
              <w:t>13</w:t>
            </w:r>
          </w:p>
        </w:tc>
        <w:tc>
          <w:tcPr>
            <w:cnfStyle w:val="000001000000" w:firstRow="0" w:lastRow="0" w:firstColumn="0" w:lastColumn="0" w:oddVBand="0" w:evenVBand="1" w:oddHBand="0" w:evenHBand="0" w:firstRowFirstColumn="0" w:firstRowLastColumn="0" w:lastRowFirstColumn="0" w:lastRowLastColumn="0"/>
            <w:tcW w:w="8600" w:type="dxa"/>
            <w:tcBorders>
              <w:left w:val="nil"/>
            </w:tcBorders>
            <w:vAlign w:val="top"/>
          </w:tcPr>
          <w:p w14:paraId="279B11F2" w14:textId="13CCFF0C" w:rsidR="001D7A4A" w:rsidRPr="001D7A4A" w:rsidRDefault="001D7A4A" w:rsidP="001D7A4A">
            <w:pPr>
              <w:spacing w:after="120" w:line="276" w:lineRule="auto"/>
              <w:jc w:val="left"/>
            </w:pPr>
            <w:r w:rsidRPr="001D7A4A">
              <w:t xml:space="preserve">To strengthen the implementation of the IAHP through ensuring active and continuous leadership and management across all stages of </w:t>
            </w:r>
            <w:r w:rsidR="00712596">
              <w:t>the policy process</w:t>
            </w:r>
          </w:p>
        </w:tc>
      </w:tr>
    </w:tbl>
    <w:p w14:paraId="173CC5FD" w14:textId="3B546680" w:rsidR="001D7A4A" w:rsidRPr="001D7A4A" w:rsidRDefault="00CB5B69" w:rsidP="0035030F">
      <w:pPr>
        <w:pStyle w:val="Heading2"/>
      </w:pPr>
      <w:r>
        <w:lastRenderedPageBreak/>
        <w:t xml:space="preserve"> </w:t>
      </w:r>
      <w:bookmarkStart w:id="352" w:name="_Toc137208959"/>
      <w:r w:rsidR="001D7A4A" w:rsidRPr="001D7A4A">
        <w:t>Foundational recommendation</w:t>
      </w:r>
      <w:bookmarkEnd w:id="352"/>
    </w:p>
    <w:p w14:paraId="6B97D090" w14:textId="392852C5" w:rsidR="001D7A4A" w:rsidRPr="004900AF" w:rsidRDefault="001D7A4A" w:rsidP="001D7A4A">
      <w:pPr>
        <w:rPr>
          <w:rFonts w:ascii="Arial" w:hAnsi="Arial"/>
          <w:color w:val="000000" w:themeColor="text1"/>
        </w:rPr>
      </w:pPr>
      <w:r w:rsidRPr="001D7A4A">
        <w:t xml:space="preserve">The </w:t>
      </w:r>
      <w:r w:rsidRPr="001D7A4A">
        <w:rPr>
          <w:b/>
          <w:bCs/>
        </w:rPr>
        <w:t>intent</w:t>
      </w:r>
      <w:r w:rsidRPr="001D7A4A">
        <w:t xml:space="preserve"> of this foundational recommendation is to ensure that the IAHP is sustained </w:t>
      </w:r>
      <w:r w:rsidR="00AE52B7">
        <w:t xml:space="preserve">as a specialised funder of </w:t>
      </w:r>
      <w:r w:rsidR="00093D78">
        <w:t xml:space="preserve">Aboriginal and Torres Strait Islander PHC </w:t>
      </w:r>
      <w:r w:rsidRPr="001D7A4A">
        <w:t>through continued investment. This recommendation responds to evaluation findings that the IAHP investment is critical to the delivery of Aboriginal and Torres Strait Islander community-controlled PHC, and that this model aligns with Aboriginal and Torres Strait Islander people’s values and needs for health care.</w:t>
      </w: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42" w:type="dxa"/>
          <w:right w:w="142" w:type="dxa"/>
        </w:tblCellMar>
        <w:tblLook w:val="04A0" w:firstRow="1" w:lastRow="0" w:firstColumn="1" w:lastColumn="0" w:noHBand="0" w:noVBand="1"/>
      </w:tblPr>
      <w:tblGrid>
        <w:gridCol w:w="709"/>
        <w:gridCol w:w="8408"/>
      </w:tblGrid>
      <w:tr w:rsidR="0050040B" w:rsidRPr="00AC1CAA" w14:paraId="115D528A" w14:textId="77777777">
        <w:trPr>
          <w:trHeight w:val="442"/>
        </w:trPr>
        <w:tc>
          <w:tcPr>
            <w:tcW w:w="9117"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6B35FDFA" w14:textId="77777777" w:rsidR="0050040B" w:rsidRPr="00AC1CAA" w:rsidRDefault="0050040B">
            <w:pPr>
              <w:spacing w:before="60" w:after="60" w:line="240" w:lineRule="auto"/>
              <w:jc w:val="left"/>
              <w:rPr>
                <w:rFonts w:ascii="Arial" w:eastAsia="Arial" w:hAnsi="Arial" w:cs="Times New Roman"/>
                <w:b/>
                <w:bCs/>
                <w:sz w:val="26"/>
                <w:szCs w:val="26"/>
              </w:rPr>
            </w:pPr>
            <w:r w:rsidRPr="00AC1CAA">
              <w:rPr>
                <w:rFonts w:ascii="Arial" w:eastAsia="Arial" w:hAnsi="Arial" w:cs="Times New Roman"/>
                <w:b/>
                <w:bCs/>
                <w:sz w:val="26"/>
                <w:szCs w:val="26"/>
              </w:rPr>
              <w:t xml:space="preserve">Foundational recommendation </w:t>
            </w:r>
          </w:p>
        </w:tc>
      </w:tr>
      <w:tr w:rsidR="0050040B" w:rsidRPr="00AC1CAA" w14:paraId="444A120B" w14:textId="77777777">
        <w:trPr>
          <w:trHeight w:val="1290"/>
        </w:trPr>
        <w:tc>
          <w:tcPr>
            <w:tcW w:w="9117" w:type="dxa"/>
            <w:gridSpan w:val="2"/>
            <w:tcBorders>
              <w:top w:val="single" w:sz="8" w:space="0" w:color="535552"/>
              <w:left w:val="single" w:sz="18" w:space="0" w:color="535552"/>
              <w:bottom w:val="dashed" w:sz="4" w:space="0" w:color="535552"/>
              <w:right w:val="single" w:sz="18" w:space="0" w:color="535552"/>
            </w:tcBorders>
            <w:shd w:val="clear" w:color="auto" w:fill="FFFFFF"/>
            <w:vAlign w:val="center"/>
          </w:tcPr>
          <w:p w14:paraId="44342F35" w14:textId="77777777" w:rsidR="0050040B" w:rsidRPr="00AC1CAA" w:rsidRDefault="0050040B">
            <w:pPr>
              <w:spacing w:before="60" w:after="60" w:line="240" w:lineRule="auto"/>
              <w:jc w:val="left"/>
              <w:rPr>
                <w:rFonts w:ascii="Arial" w:eastAsia="Arial" w:hAnsi="Arial" w:cs="Times New Roman"/>
                <w:b/>
                <w:bCs/>
                <w:iCs/>
                <w:sz w:val="32"/>
                <w:szCs w:val="32"/>
              </w:rPr>
            </w:pPr>
            <w:r w:rsidRPr="00AC1CAA">
              <w:rPr>
                <w:rFonts w:ascii="Arial" w:eastAsia="Arial" w:hAnsi="Arial" w:cs="Times New Roman"/>
                <w:b/>
                <w:bCs/>
                <w:iCs/>
                <w:sz w:val="32"/>
                <w:szCs w:val="32"/>
              </w:rPr>
              <w:t>1</w:t>
            </w:r>
          </w:p>
          <w:p w14:paraId="2103CB23" w14:textId="77777777" w:rsidR="0050040B" w:rsidRPr="00AC1CAA" w:rsidRDefault="0050040B">
            <w:pPr>
              <w:spacing w:before="60" w:after="60" w:line="240" w:lineRule="auto"/>
              <w:jc w:val="left"/>
              <w:rPr>
                <w:rFonts w:ascii="Arial" w:eastAsia="Arial" w:hAnsi="Arial" w:cs="Times New Roman"/>
                <w:b/>
                <w:bCs/>
                <w:iCs/>
                <w:szCs w:val="20"/>
              </w:rPr>
            </w:pPr>
            <w:r w:rsidRPr="00AC1CAA">
              <w:rPr>
                <w:rFonts w:ascii="Arial" w:eastAsia="Arial" w:hAnsi="Arial" w:cs="Times New Roman"/>
                <w:b/>
                <w:bCs/>
                <w:iCs/>
                <w:szCs w:val="20"/>
              </w:rPr>
              <w:t xml:space="preserve">The Department of Health and Aged Care continue to invest in the delivery of comprehensive PHC services to Aboriginal and Torres Strait Islander people through the IAHP. </w:t>
            </w:r>
          </w:p>
          <w:p w14:paraId="2994D11D" w14:textId="77777777" w:rsidR="0050040B" w:rsidRPr="00AC1CAA" w:rsidRDefault="0050040B">
            <w:pPr>
              <w:spacing w:before="60" w:after="60" w:line="240" w:lineRule="auto"/>
              <w:jc w:val="left"/>
              <w:rPr>
                <w:rFonts w:ascii="Arial" w:eastAsia="Arial" w:hAnsi="Arial" w:cs="Times New Roman"/>
                <w:bCs/>
                <w:iCs/>
                <w:szCs w:val="20"/>
                <w:lang w:val="en-NZ"/>
              </w:rPr>
            </w:pPr>
            <w:r w:rsidRPr="00AC1CAA">
              <w:rPr>
                <w:rFonts w:ascii="Arial" w:eastAsia="Arial" w:hAnsi="Arial" w:cs="Times New Roman"/>
                <w:bCs/>
                <w:iCs/>
                <w:szCs w:val="20"/>
                <w:lang w:val="en-NZ"/>
              </w:rPr>
              <w:t>Continuation of this targeted investment recognises:</w:t>
            </w:r>
          </w:p>
          <w:p w14:paraId="4D26FF61" w14:textId="77777777" w:rsidR="0050040B" w:rsidRPr="00AC1CAA" w:rsidRDefault="0050040B">
            <w:pPr>
              <w:numPr>
                <w:ilvl w:val="0"/>
                <w:numId w:val="24"/>
              </w:numPr>
              <w:spacing w:before="60" w:after="60" w:line="240" w:lineRule="auto"/>
              <w:jc w:val="left"/>
              <w:rPr>
                <w:rFonts w:ascii="Arial" w:eastAsia="Arial" w:hAnsi="Arial" w:cs="Times New Roman"/>
                <w:bCs/>
                <w:iCs/>
                <w:szCs w:val="20"/>
              </w:rPr>
            </w:pPr>
            <w:r w:rsidRPr="00AC1CAA">
              <w:rPr>
                <w:rFonts w:ascii="Arial" w:eastAsia="Arial" w:hAnsi="Arial" w:cs="Times New Roman"/>
                <w:bCs/>
                <w:iCs/>
                <w:szCs w:val="20"/>
              </w:rPr>
              <w:t>The importance of comprehensive PHC for Aboriginal and Torres Strait Islander people.</w:t>
            </w:r>
          </w:p>
          <w:p w14:paraId="6C200EC4" w14:textId="77777777" w:rsidR="0050040B" w:rsidRPr="00AC1CAA" w:rsidRDefault="0050040B">
            <w:pPr>
              <w:numPr>
                <w:ilvl w:val="0"/>
                <w:numId w:val="24"/>
              </w:numPr>
              <w:spacing w:before="60" w:after="60" w:line="240" w:lineRule="auto"/>
              <w:jc w:val="left"/>
              <w:rPr>
                <w:rFonts w:ascii="Arial" w:eastAsia="Arial" w:hAnsi="Arial" w:cs="Times New Roman"/>
                <w:bCs/>
                <w:iCs/>
                <w:szCs w:val="20"/>
              </w:rPr>
            </w:pPr>
            <w:r w:rsidRPr="00AC1CAA">
              <w:rPr>
                <w:rFonts w:ascii="Arial" w:eastAsia="Arial" w:hAnsi="Arial" w:cs="Times New Roman"/>
                <w:bCs/>
                <w:iCs/>
                <w:szCs w:val="20"/>
              </w:rPr>
              <w:t>The value placed on comprehensive PHC delivered by Aboriginal and Torres Strait Islander people for Aboriginal and Torres Strait Islander people.</w:t>
            </w:r>
          </w:p>
          <w:p w14:paraId="24E36FF0" w14:textId="77777777" w:rsidR="0050040B" w:rsidRPr="00AC1CAA" w:rsidRDefault="0050040B">
            <w:pPr>
              <w:numPr>
                <w:ilvl w:val="0"/>
                <w:numId w:val="24"/>
              </w:numPr>
              <w:spacing w:before="60" w:after="60" w:line="240" w:lineRule="auto"/>
              <w:jc w:val="left"/>
              <w:rPr>
                <w:rFonts w:ascii="Arial" w:eastAsia="Arial" w:hAnsi="Arial" w:cs="Times New Roman"/>
                <w:szCs w:val="20"/>
              </w:rPr>
            </w:pPr>
            <w:r w:rsidRPr="00AC1CAA">
              <w:rPr>
                <w:rFonts w:ascii="Arial" w:eastAsia="Arial" w:hAnsi="Arial" w:cs="Times New Roman"/>
                <w:bCs/>
                <w:iCs/>
                <w:szCs w:val="20"/>
              </w:rPr>
              <w:t>The enduring barriers for Aboriginal and Torres Strait Islander people who access health services in mainstream settings.</w:t>
            </w:r>
          </w:p>
        </w:tc>
      </w:tr>
      <w:tr w:rsidR="0050040B" w:rsidRPr="00AC1CAA" w14:paraId="05FF3714" w14:textId="77777777">
        <w:trPr>
          <w:trHeight w:val="369"/>
        </w:trPr>
        <w:tc>
          <w:tcPr>
            <w:tcW w:w="709" w:type="dxa"/>
            <w:tcBorders>
              <w:top w:val="dashed" w:sz="4" w:space="0" w:color="535552"/>
              <w:left w:val="single" w:sz="18" w:space="0" w:color="535552"/>
              <w:bottom w:val="single" w:sz="18" w:space="0" w:color="535552"/>
              <w:right w:val="nil"/>
            </w:tcBorders>
            <w:shd w:val="clear" w:color="auto" w:fill="EBECED"/>
            <w:vAlign w:val="center"/>
          </w:tcPr>
          <w:p w14:paraId="68A31140" w14:textId="77777777" w:rsidR="0050040B" w:rsidRPr="00AC1CAA" w:rsidRDefault="0050040B">
            <w:pPr>
              <w:spacing w:before="60" w:after="60" w:line="240" w:lineRule="auto"/>
              <w:rPr>
                <w:rFonts w:ascii="Arial" w:eastAsia="Arial" w:hAnsi="Arial" w:cs="Times New Roman"/>
                <w:b/>
                <w:bCs/>
                <w:iCs/>
                <w:szCs w:val="20"/>
              </w:rPr>
            </w:pPr>
            <w:r w:rsidRPr="00AC1CAA">
              <w:rPr>
                <w:rFonts w:ascii="Arial" w:eastAsia="Arial" w:hAnsi="Arial" w:cs="Times New Roman"/>
                <w:noProof/>
                <w:szCs w:val="20"/>
              </w:rPr>
              <w:drawing>
                <wp:inline distT="0" distB="0" distL="0" distR="0" wp14:anchorId="2AF0A0DB" wp14:editId="3291387F">
                  <wp:extent cx="238125" cy="238125"/>
                  <wp:effectExtent l="0" t="0" r="9525" b="9525"/>
                  <wp:docPr id="903101043" name="Picture 903101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01043" name="Picture 903101043">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408" w:type="dxa"/>
            <w:tcBorders>
              <w:top w:val="dashed" w:sz="4" w:space="0" w:color="535552"/>
              <w:left w:val="nil"/>
              <w:bottom w:val="single" w:sz="18" w:space="0" w:color="535552"/>
              <w:right w:val="single" w:sz="18" w:space="0" w:color="535552"/>
            </w:tcBorders>
            <w:shd w:val="clear" w:color="auto" w:fill="EBECED"/>
            <w:vAlign w:val="center"/>
          </w:tcPr>
          <w:p w14:paraId="52D9BB9C" w14:textId="77777777" w:rsidR="0050040B" w:rsidRPr="00AC1CAA" w:rsidRDefault="0050040B">
            <w:pPr>
              <w:spacing w:before="60" w:after="60" w:line="240" w:lineRule="auto"/>
              <w:rPr>
                <w:rFonts w:ascii="Arial" w:eastAsia="Arial" w:hAnsi="Arial" w:cs="Times New Roman"/>
                <w:iCs/>
                <w:szCs w:val="20"/>
              </w:rPr>
            </w:pPr>
            <w:r w:rsidRPr="00AC1CAA">
              <w:rPr>
                <w:rFonts w:ascii="Arial" w:eastAsia="Arial" w:hAnsi="Arial" w:cs="Times New Roman"/>
                <w:bCs/>
                <w:iCs/>
                <w:szCs w:val="20"/>
              </w:rPr>
              <w:t>Immediate term – Ongoing</w:t>
            </w:r>
          </w:p>
        </w:tc>
      </w:tr>
    </w:tbl>
    <w:p w14:paraId="3A2904AC" w14:textId="77777777" w:rsidR="001D7A4A" w:rsidRPr="001D7A4A" w:rsidRDefault="001D7A4A" w:rsidP="001D7A4A"/>
    <w:p w14:paraId="52A504BD" w14:textId="77777777" w:rsidR="001D7A4A" w:rsidRPr="001D7A4A" w:rsidRDefault="001D7A4A" w:rsidP="001D7A4A">
      <w:pPr>
        <w:jc w:val="left"/>
        <w:rPr>
          <w:b/>
          <w:bCs/>
          <w:color w:val="9E6047" w:themeColor="accent3"/>
          <w:sz w:val="36"/>
          <w:szCs w:val="36"/>
          <w:lang w:val="en-NZ"/>
        </w:rPr>
      </w:pPr>
      <w:r w:rsidRPr="001D7A4A">
        <w:br w:type="page"/>
      </w:r>
    </w:p>
    <w:p w14:paraId="1FB3A0BA" w14:textId="1CAF4BC3" w:rsidR="001D7A4A" w:rsidRPr="001D7A4A" w:rsidRDefault="001D7A4A" w:rsidP="0035030F">
      <w:pPr>
        <w:pStyle w:val="Heading2"/>
      </w:pPr>
      <w:r w:rsidRPr="001D7A4A">
        <w:lastRenderedPageBreak/>
        <w:t xml:space="preserve"> </w:t>
      </w:r>
      <w:bookmarkStart w:id="353" w:name="_Toc137208960"/>
      <w:r w:rsidRPr="001D7A4A">
        <w:t>Formal partnerships and shared decision-making</w:t>
      </w:r>
      <w:bookmarkEnd w:id="353"/>
    </w:p>
    <w:p w14:paraId="4929BFC9" w14:textId="77777777" w:rsidR="001D7A4A" w:rsidRPr="001D7A4A" w:rsidRDefault="001D7A4A" w:rsidP="001D7A4A">
      <w:r w:rsidRPr="001D7A4A">
        <w:t>Recommendations aligned to Priority Reform 1 give purpose to commitments to Aboriginal and Torres Strait Islander people being empowered to share in the decisions government and health services make about their health. Formal partnerships and shared decision-making are important enablers for self-determination and the success of the IAHP.</w:t>
      </w:r>
    </w:p>
    <w:tbl>
      <w:tblPr>
        <w:tblStyle w:val="ACTableDesig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3"/>
      </w:tblGrid>
      <w:tr w:rsidR="001D7A4A" w:rsidRPr="001D7A4A" w14:paraId="0A83F536" w14:textId="7777777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23" w:type="dxa"/>
            <w:shd w:val="clear" w:color="auto" w:fill="DAF0F3"/>
          </w:tcPr>
          <w:p w14:paraId="61AF4F0B" w14:textId="77777777" w:rsidR="001D7A4A" w:rsidRPr="001D7A4A" w:rsidRDefault="001D7A4A" w:rsidP="001D7A4A">
            <w:pPr>
              <w:keepNext/>
              <w:spacing w:before="240" w:after="240" w:line="276" w:lineRule="auto"/>
              <w:ind w:left="142" w:right="142"/>
              <w:jc w:val="left"/>
              <w:outlineLvl w:val="5"/>
              <w:rPr>
                <w:rFonts w:asciiTheme="minorHAnsi" w:hAnsiTheme="minorHAnsi" w:cstheme="minorHAnsi"/>
                <w:iCs/>
                <w:color w:val="357DBE" w:themeColor="accent1"/>
                <w:sz w:val="28"/>
                <w:szCs w:val="28"/>
              </w:rPr>
            </w:pPr>
            <w:r w:rsidRPr="001D7A4A">
              <w:rPr>
                <w:rFonts w:asciiTheme="minorHAnsi" w:hAnsiTheme="minorHAnsi" w:cstheme="minorHAnsi"/>
                <w:color w:val="357DBE" w:themeColor="accent1"/>
                <w:sz w:val="28"/>
                <w:szCs w:val="28"/>
              </w:rPr>
              <w:t>Connection to policy priorities</w:t>
            </w:r>
          </w:p>
          <w:p w14:paraId="1D784EB6" w14:textId="77777777" w:rsidR="001D7A4A" w:rsidRPr="001D7A4A" w:rsidRDefault="001D7A4A" w:rsidP="001D7A4A">
            <w:pPr>
              <w:spacing w:before="240" w:after="240" w:line="276" w:lineRule="auto"/>
              <w:ind w:left="142" w:right="142"/>
              <w:rPr>
                <w:b w:val="0"/>
                <w:bCs/>
                <w:color w:val="36424A" w:themeColor="background2"/>
              </w:rPr>
            </w:pPr>
            <w:r w:rsidRPr="001D7A4A">
              <w:rPr>
                <w:color w:val="36424A" w:themeColor="background2"/>
              </w:rPr>
              <w:t>Closing the Gap:</w:t>
            </w:r>
            <w:r w:rsidRPr="001D7A4A">
              <w:rPr>
                <w:b w:val="0"/>
                <w:bCs/>
                <w:color w:val="36424A" w:themeColor="background2"/>
              </w:rPr>
              <w:t xml:space="preserve"> Formal partnerships and shared decision-making (Priority Reform 1).</w:t>
            </w:r>
          </w:p>
          <w:p w14:paraId="2B705D4E" w14:textId="77777777" w:rsidR="001D7A4A" w:rsidRPr="001D7A4A" w:rsidRDefault="001D7A4A" w:rsidP="001D7A4A">
            <w:pPr>
              <w:spacing w:before="240" w:after="240" w:line="276" w:lineRule="auto"/>
              <w:ind w:left="142" w:right="142"/>
              <w:rPr>
                <w:b w:val="0"/>
                <w:bCs/>
                <w:color w:val="36424A" w:themeColor="background2"/>
              </w:rPr>
            </w:pPr>
            <w:r w:rsidRPr="001D7A4A">
              <w:rPr>
                <w:color w:val="36424A" w:themeColor="background2"/>
              </w:rPr>
              <w:t>Closing the Gap Implementation Plan 2023:</w:t>
            </w:r>
            <w:r w:rsidRPr="001D7A4A">
              <w:rPr>
                <w:b w:val="0"/>
                <w:bCs/>
                <w:color w:val="36424A" w:themeColor="background2"/>
              </w:rPr>
              <w:t xml:space="preserve"> The Commonwealth commits to working in formal partnership and sharing decision-making with Aboriginal and Torres Strait Islander people to move beyond the ad-hoc engagement processes to genuine partnership based on a shared objective and strong partnership elements. The Commonwealth focused on establishing policy and place-based partnerships to support shared decision-making between the Coalition of Peaks members and all levels.</w:t>
            </w:r>
          </w:p>
          <w:p w14:paraId="10B8543A" w14:textId="01CB1C84" w:rsidR="001D7A4A" w:rsidRPr="001D7A4A" w:rsidRDefault="001D7A4A" w:rsidP="001D7A4A">
            <w:pPr>
              <w:spacing w:before="240" w:after="240" w:line="276" w:lineRule="auto"/>
              <w:ind w:left="142" w:right="142"/>
            </w:pPr>
            <w:r w:rsidRPr="001D7A4A">
              <w:rPr>
                <w:color w:val="36424A" w:themeColor="background2"/>
              </w:rPr>
              <w:t xml:space="preserve">National Aboriginal and Torres Strait Islander Health Plan 2021-2031: </w:t>
            </w:r>
            <w:r w:rsidRPr="001D7A4A">
              <w:rPr>
                <w:b w:val="0"/>
                <w:bCs/>
                <w:color w:val="36424A" w:themeColor="background2"/>
              </w:rPr>
              <w:t>Enabler of change; Priority 1: Genuine shared decision</w:t>
            </w:r>
            <w:r w:rsidR="00E00590">
              <w:rPr>
                <w:b w:val="0"/>
                <w:bCs/>
                <w:color w:val="36424A" w:themeColor="background2"/>
              </w:rPr>
              <w:t>-</w:t>
            </w:r>
            <w:r w:rsidRPr="001D7A4A">
              <w:rPr>
                <w:b w:val="0"/>
                <w:bCs/>
                <w:color w:val="36424A" w:themeColor="background2"/>
              </w:rPr>
              <w:t>making and partnerships.</w:t>
            </w:r>
          </w:p>
        </w:tc>
      </w:tr>
    </w:tbl>
    <w:p w14:paraId="0362DEAE" w14:textId="77777777" w:rsidR="001D7A4A" w:rsidRPr="001D7A4A" w:rsidRDefault="001D7A4A" w:rsidP="001D7A4A"/>
    <w:p w14:paraId="03056652" w14:textId="77777777" w:rsidR="001D7A4A" w:rsidRPr="001D7A4A" w:rsidRDefault="001D7A4A" w:rsidP="001D7A4A">
      <w:r w:rsidRPr="001D7A4A">
        <w:t xml:space="preserve">The </w:t>
      </w:r>
      <w:r w:rsidRPr="001D7A4A">
        <w:rPr>
          <w:b/>
          <w:bCs/>
        </w:rPr>
        <w:t>intent</w:t>
      </w:r>
      <w:r w:rsidRPr="001D7A4A">
        <w:t xml:space="preserve"> of these recommendations are to:</w:t>
      </w:r>
    </w:p>
    <w:p w14:paraId="0133189B" w14:textId="2F0D5A98" w:rsidR="001D7A4A" w:rsidRPr="001D7A4A" w:rsidRDefault="001D7A4A" w:rsidP="00343EB2">
      <w:pPr>
        <w:numPr>
          <w:ilvl w:val="0"/>
          <w:numId w:val="27"/>
        </w:numPr>
      </w:pPr>
      <w:r w:rsidRPr="001D7A4A">
        <w:t xml:space="preserve">Ensure that the IAHP delivers on the sentiment of </w:t>
      </w:r>
      <w:r w:rsidRPr="001D7A4A">
        <w:rPr>
          <w:i/>
          <w:iCs/>
        </w:rPr>
        <w:t>no decisions are made about us without us</w:t>
      </w:r>
      <w:r w:rsidRPr="001D7A4A">
        <w:t>. Aboriginal and Torres Strait Islander people will have control over or be in a shared decision-making partnership with the organisations and decision makers whose purpose is to improve health and health services for Aboriginal and Torres Strait Islander people. Under this recommendation, decisions must be made as close to the health service client and the community as possible. The decision-making processes will be transparent, and accountable to the government and the communities being served.</w:t>
      </w:r>
    </w:p>
    <w:p w14:paraId="2043AA5C" w14:textId="3E93DBEE" w:rsidR="001D7A4A" w:rsidRPr="001D7A4A" w:rsidRDefault="001D7A4A" w:rsidP="00343EB2">
      <w:pPr>
        <w:numPr>
          <w:ilvl w:val="0"/>
          <w:numId w:val="27"/>
        </w:numPr>
      </w:pPr>
      <w:r w:rsidRPr="001D7A4A">
        <w:t xml:space="preserve">Develop an overall investment strategy for Aboriginal and Torres Strait Islander </w:t>
      </w:r>
      <w:r w:rsidR="00CE4AA5">
        <w:t>comprehensive</w:t>
      </w:r>
      <w:r w:rsidRPr="001D7A4A">
        <w:t xml:space="preserve"> PHC that reflects the scope and ambition of policy commitments. The IAHP policy and funding will be aligned to this investment strategy.</w:t>
      </w:r>
      <w:r w:rsidR="001A2B82">
        <w:t xml:space="preserve"> </w:t>
      </w:r>
      <w:r w:rsidR="001939DB">
        <w:t>The shared decision-making partnership(s) will have stewardship over this strategy.</w:t>
      </w:r>
    </w:p>
    <w:p w14:paraId="5EEB50CC" w14:textId="77777777" w:rsidR="001D7A4A" w:rsidRPr="001D7A4A" w:rsidRDefault="001D7A4A" w:rsidP="001D7A4A"/>
    <w:p w14:paraId="048796D0" w14:textId="77777777" w:rsidR="001D7A4A" w:rsidRPr="001D7A4A" w:rsidRDefault="001D7A4A" w:rsidP="001D7A4A">
      <w:r w:rsidRPr="001D7A4A">
        <w:br w:type="page"/>
      </w: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42" w:type="dxa"/>
          <w:right w:w="142" w:type="dxa"/>
        </w:tblCellMar>
        <w:tblLook w:val="04A0" w:firstRow="1" w:lastRow="0" w:firstColumn="1" w:lastColumn="0" w:noHBand="0" w:noVBand="1"/>
      </w:tblPr>
      <w:tblGrid>
        <w:gridCol w:w="567"/>
        <w:gridCol w:w="8550"/>
      </w:tblGrid>
      <w:tr w:rsidR="005B00FD" w:rsidRPr="004D18C7" w14:paraId="3716600B" w14:textId="77777777">
        <w:trPr>
          <w:trHeight w:val="406"/>
        </w:trPr>
        <w:tc>
          <w:tcPr>
            <w:tcW w:w="9117"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02314450" w14:textId="77777777" w:rsidR="005B00FD" w:rsidRPr="004D18C7" w:rsidRDefault="005B00FD">
            <w:pPr>
              <w:spacing w:beforeLines="60" w:before="144" w:afterLines="60" w:after="144" w:line="240" w:lineRule="auto"/>
              <w:jc w:val="left"/>
              <w:rPr>
                <w:rFonts w:ascii="Arial" w:eastAsia="Arial" w:hAnsi="Arial" w:cs="Times New Roman"/>
                <w:b/>
                <w:bCs/>
                <w:sz w:val="26"/>
                <w:szCs w:val="26"/>
              </w:rPr>
            </w:pPr>
            <w:r w:rsidRPr="004D18C7">
              <w:rPr>
                <w:rFonts w:ascii="Arial" w:eastAsia="Arial" w:hAnsi="Arial" w:cs="Times New Roman"/>
                <w:b/>
                <w:bCs/>
                <w:sz w:val="26"/>
                <w:szCs w:val="26"/>
              </w:rPr>
              <w:lastRenderedPageBreak/>
              <w:t>Recommendations: Formal partnerships and shared decision-making</w:t>
            </w:r>
          </w:p>
        </w:tc>
      </w:tr>
      <w:tr w:rsidR="005B00FD" w:rsidRPr="004D18C7" w14:paraId="4751A9F4" w14:textId="77777777">
        <w:trPr>
          <w:trHeight w:val="975"/>
        </w:trPr>
        <w:tc>
          <w:tcPr>
            <w:tcW w:w="9117" w:type="dxa"/>
            <w:gridSpan w:val="2"/>
            <w:tcBorders>
              <w:top w:val="single" w:sz="8" w:space="0" w:color="535552"/>
              <w:left w:val="single" w:sz="18" w:space="0" w:color="535552"/>
              <w:bottom w:val="dashed" w:sz="4" w:space="0" w:color="535552"/>
              <w:right w:val="single" w:sz="18" w:space="0" w:color="535552"/>
            </w:tcBorders>
            <w:shd w:val="clear" w:color="auto" w:fill="FFFFFF"/>
            <w:vAlign w:val="center"/>
          </w:tcPr>
          <w:p w14:paraId="706F5B90" w14:textId="77777777" w:rsidR="005B00FD" w:rsidRPr="004D18C7" w:rsidRDefault="005B00FD">
            <w:pPr>
              <w:spacing w:before="60" w:after="60" w:line="240" w:lineRule="auto"/>
              <w:jc w:val="left"/>
              <w:rPr>
                <w:rFonts w:ascii="Arial" w:eastAsia="Arial" w:hAnsi="Arial" w:cs="Times New Roman"/>
                <w:b/>
                <w:bCs/>
                <w:iCs/>
                <w:sz w:val="32"/>
                <w:szCs w:val="32"/>
              </w:rPr>
            </w:pPr>
            <w:r w:rsidRPr="004D18C7">
              <w:rPr>
                <w:rFonts w:ascii="Arial" w:eastAsia="Arial" w:hAnsi="Arial" w:cs="Times New Roman"/>
                <w:b/>
                <w:bCs/>
                <w:iCs/>
                <w:sz w:val="32"/>
                <w:szCs w:val="32"/>
              </w:rPr>
              <w:t>2</w:t>
            </w:r>
          </w:p>
          <w:p w14:paraId="7B18A4C9" w14:textId="77777777" w:rsidR="005B00FD" w:rsidRPr="004D18C7" w:rsidRDefault="005B00FD">
            <w:pPr>
              <w:spacing w:beforeLines="60" w:before="144" w:afterLines="60" w:after="144" w:line="240" w:lineRule="auto"/>
              <w:jc w:val="left"/>
              <w:rPr>
                <w:rFonts w:ascii="Arial" w:eastAsia="Arial" w:hAnsi="Arial" w:cs="Times New Roman"/>
                <w:b/>
                <w:bCs/>
                <w:iCs/>
                <w:szCs w:val="20"/>
              </w:rPr>
            </w:pPr>
            <w:r w:rsidRPr="004D18C7">
              <w:rPr>
                <w:rFonts w:ascii="Arial" w:eastAsia="Arial" w:hAnsi="Arial" w:cs="Times New Roman"/>
                <w:b/>
                <w:bCs/>
                <w:iCs/>
                <w:szCs w:val="20"/>
              </w:rPr>
              <w:t>The Department of Health and Aged Care to strengthen the alignment of the IAHP to a shared decision-making partnership with Aboriginal and Torres Strait Islander people.</w:t>
            </w:r>
          </w:p>
          <w:p w14:paraId="7B76AE6C" w14:textId="125D506D" w:rsidR="005B00FD" w:rsidRPr="004D18C7" w:rsidRDefault="005B00FD">
            <w:p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 xml:space="preserve">To enable greater self-determination in the IAHP, the Department of Health and Aged Care to embed shared decision-making at the whole-of-program level. The shared decision-making partnership will strengthen co-design processes, and bring increased coherency, capability, transparency and accountability to decision-making relating to the funding of </w:t>
            </w:r>
            <w:r w:rsidR="00B30A22">
              <w:rPr>
                <w:rFonts w:ascii="Arial" w:eastAsia="Arial" w:hAnsi="Arial" w:cs="Times New Roman"/>
                <w:bCs/>
                <w:iCs/>
                <w:szCs w:val="20"/>
              </w:rPr>
              <w:t>p</w:t>
            </w:r>
            <w:r w:rsidRPr="004D18C7">
              <w:rPr>
                <w:rFonts w:ascii="Arial" w:eastAsia="Arial" w:hAnsi="Arial" w:cs="Times New Roman"/>
                <w:bCs/>
                <w:iCs/>
                <w:szCs w:val="20"/>
              </w:rPr>
              <w:t>rograms and activities through the IAHP.</w:t>
            </w:r>
          </w:p>
          <w:p w14:paraId="130E6BBC" w14:textId="77777777" w:rsidR="005B00FD" w:rsidRPr="004D18C7" w:rsidRDefault="005B00FD">
            <w:pPr>
              <w:spacing w:beforeLines="60" w:before="144" w:afterLines="60" w:after="144" w:line="240" w:lineRule="auto"/>
              <w:jc w:val="left"/>
              <w:rPr>
                <w:rFonts w:ascii="Arial" w:eastAsia="Arial" w:hAnsi="Arial" w:cs="Times New Roman"/>
                <w:bCs/>
                <w:iCs/>
                <w:szCs w:val="20"/>
                <w:lang w:val="en-NZ"/>
              </w:rPr>
            </w:pPr>
            <w:r w:rsidRPr="004D18C7">
              <w:rPr>
                <w:rFonts w:ascii="Arial" w:eastAsia="Arial" w:hAnsi="Arial" w:cs="Times New Roman"/>
                <w:bCs/>
                <w:iCs/>
                <w:szCs w:val="20"/>
                <w:lang w:val="en-NZ"/>
              </w:rPr>
              <w:t>In implementing this recommendation, the evaluation suggests:</w:t>
            </w:r>
          </w:p>
          <w:p w14:paraId="2B47C093" w14:textId="77777777" w:rsidR="005B00FD" w:rsidRPr="004D18C7" w:rsidRDefault="005B00FD">
            <w:pPr>
              <w:numPr>
                <w:ilvl w:val="0"/>
                <w:numId w:val="24"/>
              </w:num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 xml:space="preserve">Growing and adapting existing partnerships to embed shared decision-making relating to the IAHP, rather than creating a new partnership arrangement specifically for the IAHP. </w:t>
            </w:r>
          </w:p>
          <w:p w14:paraId="7AB3807F" w14:textId="77777777" w:rsidR="005B00FD" w:rsidRPr="004D18C7" w:rsidRDefault="005B00FD">
            <w:pPr>
              <w:numPr>
                <w:ilvl w:val="0"/>
                <w:numId w:val="24"/>
              </w:num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Strengthening the connections between the IAHP and existing health reforms and priorities, including priorities in the National Agreement on Closing the Gap and the National Aboriginal and Torres Strait Islander Health Plan.</w:t>
            </w:r>
          </w:p>
          <w:p w14:paraId="535571B6" w14:textId="77777777" w:rsidR="005B00FD" w:rsidRPr="004D18C7" w:rsidRDefault="005B00FD">
            <w:pPr>
              <w:numPr>
                <w:ilvl w:val="0"/>
                <w:numId w:val="24"/>
              </w:num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Ensuring the composition of the partnership includes Aboriginal and Torres Strait Islander people with expertise in health service management, primary care clinical roles, public health, policy making, consumer experience and cultural expertise.</w:t>
            </w:r>
          </w:p>
          <w:p w14:paraId="0FF82A69" w14:textId="77777777" w:rsidR="005B00FD" w:rsidRPr="004D18C7" w:rsidRDefault="005B00FD">
            <w:pPr>
              <w:numPr>
                <w:ilvl w:val="0"/>
                <w:numId w:val="24"/>
              </w:num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Reporting directly to the executive level of the Department of Health and Aged Care to support increased accountability for the delivery of improved health and wellbeing outcomes for Aboriginal and Torres Strait Islander people.</w:t>
            </w:r>
          </w:p>
          <w:p w14:paraId="3E7FC913" w14:textId="77777777" w:rsidR="005B00FD" w:rsidRPr="004D18C7" w:rsidRDefault="005B00FD">
            <w:pPr>
              <w:numPr>
                <w:ilvl w:val="0"/>
                <w:numId w:val="24"/>
              </w:numPr>
              <w:spacing w:beforeLines="60" w:before="144" w:afterLines="60" w:after="144" w:line="240" w:lineRule="auto"/>
              <w:jc w:val="left"/>
              <w:rPr>
                <w:rFonts w:ascii="Arial" w:eastAsia="Arial" w:hAnsi="Arial" w:cs="Times New Roman"/>
                <w:bCs/>
                <w:iCs/>
                <w:szCs w:val="20"/>
              </w:rPr>
            </w:pPr>
            <w:r w:rsidRPr="004D18C7">
              <w:rPr>
                <w:rFonts w:ascii="Arial" w:eastAsia="Arial" w:hAnsi="Arial" w:cs="Times New Roman"/>
                <w:bCs/>
                <w:iCs/>
                <w:szCs w:val="20"/>
              </w:rPr>
              <w:t>Creating accountability measures and processes based on the advice of Aboriginal and Torres Strait Islander people to support tracking and regular reporting on IAHP funding and program impacts and outcomes.</w:t>
            </w:r>
          </w:p>
        </w:tc>
      </w:tr>
      <w:tr w:rsidR="005B00FD" w:rsidRPr="004D18C7" w14:paraId="0D129D01" w14:textId="77777777">
        <w:trPr>
          <w:trHeight w:val="402"/>
        </w:trPr>
        <w:tc>
          <w:tcPr>
            <w:tcW w:w="567" w:type="dxa"/>
            <w:tcBorders>
              <w:top w:val="dashed" w:sz="4" w:space="0" w:color="535552"/>
              <w:left w:val="single" w:sz="18" w:space="0" w:color="535552"/>
              <w:bottom w:val="single" w:sz="12" w:space="0" w:color="535552"/>
              <w:right w:val="nil"/>
            </w:tcBorders>
            <w:shd w:val="clear" w:color="auto" w:fill="EBECED"/>
            <w:vAlign w:val="center"/>
          </w:tcPr>
          <w:p w14:paraId="22F1DD7E" w14:textId="77777777" w:rsidR="005B00FD" w:rsidRPr="004D18C7" w:rsidRDefault="005B00FD">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noProof/>
                <w:szCs w:val="20"/>
              </w:rPr>
              <w:drawing>
                <wp:inline distT="0" distB="0" distL="0" distR="0" wp14:anchorId="65179077" wp14:editId="08313FF9">
                  <wp:extent cx="238125" cy="238125"/>
                  <wp:effectExtent l="0" t="0" r="9525" b="9525"/>
                  <wp:docPr id="66064325" name="Picture 66064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4325" name="Picture 66064325">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535552"/>
              <w:left w:val="nil"/>
              <w:bottom w:val="single" w:sz="12" w:space="0" w:color="535552"/>
              <w:right w:val="single" w:sz="18" w:space="0" w:color="535552"/>
            </w:tcBorders>
            <w:shd w:val="clear" w:color="auto" w:fill="EBECED"/>
            <w:vAlign w:val="center"/>
          </w:tcPr>
          <w:p w14:paraId="33CAFB2C" w14:textId="77777777" w:rsidR="005B00FD" w:rsidRPr="004D18C7" w:rsidRDefault="005B00FD">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bCs/>
                <w:iCs/>
                <w:szCs w:val="20"/>
              </w:rPr>
              <w:t>Immediate term</w:t>
            </w:r>
          </w:p>
        </w:tc>
      </w:tr>
      <w:tr w:rsidR="0003551C" w:rsidRPr="004D18C7" w14:paraId="6D55C267" w14:textId="77777777">
        <w:trPr>
          <w:trHeight w:val="264"/>
        </w:trPr>
        <w:tc>
          <w:tcPr>
            <w:tcW w:w="9117" w:type="dxa"/>
            <w:gridSpan w:val="2"/>
            <w:tcBorders>
              <w:top w:val="single" w:sz="12" w:space="0" w:color="535552"/>
              <w:left w:val="single" w:sz="18" w:space="0" w:color="535552"/>
              <w:bottom w:val="dashed" w:sz="4" w:space="0" w:color="36424A"/>
              <w:right w:val="single" w:sz="18" w:space="0" w:color="535552"/>
            </w:tcBorders>
            <w:shd w:val="clear" w:color="auto" w:fill="FFFFFF"/>
          </w:tcPr>
          <w:p w14:paraId="7EB4E12C" w14:textId="77777777" w:rsidR="0003551C" w:rsidRPr="004D18C7" w:rsidRDefault="0003551C">
            <w:pPr>
              <w:spacing w:before="60" w:after="60" w:line="240" w:lineRule="auto"/>
              <w:jc w:val="left"/>
              <w:rPr>
                <w:rFonts w:ascii="Arial" w:eastAsia="Arial" w:hAnsi="Arial" w:cs="Times New Roman"/>
                <w:b/>
                <w:bCs/>
                <w:iCs/>
                <w:sz w:val="32"/>
                <w:szCs w:val="32"/>
              </w:rPr>
            </w:pPr>
            <w:r w:rsidRPr="004D18C7">
              <w:rPr>
                <w:rFonts w:ascii="Arial" w:eastAsia="Arial" w:hAnsi="Arial" w:cs="Times New Roman"/>
                <w:b/>
                <w:bCs/>
                <w:iCs/>
                <w:sz w:val="32"/>
                <w:szCs w:val="32"/>
              </w:rPr>
              <w:t>3</w:t>
            </w:r>
          </w:p>
          <w:p w14:paraId="7C2F43E0" w14:textId="77777777" w:rsidR="0003551C" w:rsidRDefault="0003551C" w:rsidP="00786739">
            <w:pPr>
              <w:spacing w:beforeLines="60" w:before="144" w:afterLines="60" w:after="144" w:line="240" w:lineRule="auto"/>
              <w:jc w:val="left"/>
              <w:rPr>
                <w:rFonts w:ascii="Arial" w:eastAsia="Arial" w:hAnsi="Arial" w:cs="Times New Roman"/>
                <w:b/>
                <w:iCs/>
                <w:szCs w:val="20"/>
                <w:lang w:val="en-NZ"/>
              </w:rPr>
            </w:pPr>
            <w:r w:rsidRPr="008A7654">
              <w:rPr>
                <w:rFonts w:ascii="Arial" w:eastAsia="Arial" w:hAnsi="Arial" w:cs="Times New Roman"/>
                <w:b/>
                <w:iCs/>
                <w:szCs w:val="20"/>
                <w:lang w:val="en-NZ"/>
              </w:rPr>
              <w:t>Co-design an investment strategy for the IAHP to improve access to comprehensive PHC and health and wellbeing outcomes for Aboriginal and Torres Strait Islander people.</w:t>
            </w:r>
          </w:p>
          <w:p w14:paraId="3C4BED86" w14:textId="77777777" w:rsidR="0003551C" w:rsidRDefault="0003551C" w:rsidP="00786739">
            <w:pPr>
              <w:spacing w:beforeLines="60" w:before="144" w:afterLines="60" w:after="144" w:line="240" w:lineRule="auto"/>
              <w:jc w:val="left"/>
              <w:rPr>
                <w:rFonts w:ascii="Arial" w:eastAsia="Arial" w:hAnsi="Arial" w:cs="Times New Roman"/>
                <w:bCs/>
                <w:iCs/>
                <w:szCs w:val="20"/>
                <w:lang w:val="en-NZ"/>
              </w:rPr>
            </w:pPr>
            <w:r w:rsidRPr="007B0C28">
              <w:rPr>
                <w:rFonts w:ascii="Arial" w:eastAsia="Arial" w:hAnsi="Arial" w:cs="Times New Roman"/>
                <w:bCs/>
                <w:iCs/>
                <w:szCs w:val="20"/>
                <w:lang w:val="en-NZ"/>
              </w:rPr>
              <w:t xml:space="preserve">To ensure the IAHP achieves its objectives and supports the delivery of significant health and whole-of-government policy commitments to improve outcomes for Aboriginal and Torres Strait Islander people, the Department of Health and Aged Care co-design an investment strategy for the IAHP with Aboriginal and Torres Strait Islander people. </w:t>
            </w:r>
          </w:p>
          <w:p w14:paraId="47E3FEFA" w14:textId="588C2911" w:rsidR="0003551C" w:rsidRDefault="0003551C" w:rsidP="00786739">
            <w:pPr>
              <w:spacing w:beforeLines="60" w:before="144" w:afterLines="60" w:after="144" w:line="240" w:lineRule="auto"/>
              <w:jc w:val="left"/>
              <w:rPr>
                <w:rFonts w:ascii="Arial" w:eastAsia="Arial" w:hAnsi="Arial" w:cs="Times New Roman"/>
                <w:bCs/>
                <w:iCs/>
                <w:szCs w:val="20"/>
                <w:lang w:val="en-NZ"/>
              </w:rPr>
            </w:pPr>
            <w:r w:rsidRPr="007B0C28">
              <w:rPr>
                <w:rFonts w:ascii="Arial" w:eastAsia="Arial" w:hAnsi="Arial" w:cs="Times New Roman"/>
                <w:bCs/>
                <w:iCs/>
                <w:szCs w:val="20"/>
                <w:lang w:val="en-NZ"/>
              </w:rPr>
              <w:t xml:space="preserve">The investment strategy </w:t>
            </w:r>
            <w:r w:rsidR="00786739">
              <w:rPr>
                <w:rFonts w:ascii="Arial" w:eastAsia="Arial" w:hAnsi="Arial" w:cs="Times New Roman"/>
                <w:bCs/>
                <w:iCs/>
                <w:szCs w:val="20"/>
                <w:lang w:val="en-NZ"/>
              </w:rPr>
              <w:t>should</w:t>
            </w:r>
            <w:r w:rsidRPr="007B0C28">
              <w:rPr>
                <w:rFonts w:ascii="Arial" w:eastAsia="Arial" w:hAnsi="Arial" w:cs="Times New Roman"/>
                <w:bCs/>
                <w:iCs/>
                <w:szCs w:val="20"/>
                <w:lang w:val="en-NZ"/>
              </w:rPr>
              <w:t xml:space="preserve"> define the purpose and expected outcomes of the IAHP, as well as its theory of change – or the strategy, actions, conditions and resources required to facilitate change and achieve the </w:t>
            </w:r>
            <w:r w:rsidR="00786739">
              <w:rPr>
                <w:rFonts w:ascii="Arial" w:eastAsia="Arial" w:hAnsi="Arial" w:cs="Times New Roman"/>
                <w:bCs/>
                <w:iCs/>
                <w:szCs w:val="20"/>
                <w:lang w:val="en-NZ"/>
              </w:rPr>
              <w:t>agreed purpose and</w:t>
            </w:r>
            <w:r w:rsidRPr="007B0C28">
              <w:rPr>
                <w:rFonts w:ascii="Arial" w:eastAsia="Arial" w:hAnsi="Arial" w:cs="Times New Roman"/>
                <w:bCs/>
                <w:iCs/>
                <w:szCs w:val="20"/>
                <w:lang w:val="en-NZ"/>
              </w:rPr>
              <w:t xml:space="preserve"> expected outcomes. The investment strategy needs to position the IAHP within the wider PHC system context, including other investments to improve the delivery of comprehensive PHC for all Aboriginal and Torres Strait Islander people. The strategy is intended to guide IAHP </w:t>
            </w:r>
            <w:r w:rsidRPr="007B0C28">
              <w:rPr>
                <w:rFonts w:ascii="Arial" w:eastAsia="Arial" w:hAnsi="Arial" w:cs="Times New Roman"/>
                <w:bCs/>
                <w:iCs/>
                <w:szCs w:val="20"/>
                <w:lang w:val="en-NZ"/>
              </w:rPr>
              <w:lastRenderedPageBreak/>
              <w:t xml:space="preserve">investments, including how funding will be mobilised, within the context of the wider PHC system.  </w:t>
            </w:r>
          </w:p>
          <w:p w14:paraId="10B999BC" w14:textId="77777777" w:rsidR="0003551C" w:rsidRPr="0098200C" w:rsidRDefault="0003551C" w:rsidP="00581EED">
            <w:p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lang w:val="en-NZ"/>
              </w:rPr>
              <w:t>In implementing this recommendation, the evaluation suggests:</w:t>
            </w:r>
          </w:p>
          <w:p w14:paraId="3B4B7DC4" w14:textId="77777777" w:rsidR="0003551C" w:rsidRPr="0098200C" w:rsidRDefault="0003551C" w:rsidP="00581EED">
            <w:pPr>
              <w:numPr>
                <w:ilvl w:val="0"/>
                <w:numId w:val="55"/>
              </w:numPr>
              <w:spacing w:beforeLines="60" w:before="144" w:afterLines="60" w:after="144" w:line="240" w:lineRule="auto"/>
              <w:jc w:val="left"/>
              <w:rPr>
                <w:rFonts w:ascii="Arial" w:eastAsia="Arial" w:hAnsi="Arial" w:cs="Times New Roman"/>
                <w:bCs/>
                <w:iCs/>
                <w:szCs w:val="20"/>
              </w:rPr>
            </w:pPr>
            <w:r w:rsidRPr="0098200C">
              <w:rPr>
                <w:rFonts w:ascii="Arial" w:eastAsia="Arial" w:hAnsi="Arial" w:cs="Times New Roman"/>
                <w:bCs/>
                <w:iCs/>
                <w:szCs w:val="20"/>
              </w:rPr>
              <w:t xml:space="preserve">Ensuring that the IAHP investment strategy is connected to the realisation of Closing the Gap targets by 2031. </w:t>
            </w:r>
          </w:p>
          <w:p w14:paraId="5A249215" w14:textId="77777777" w:rsidR="0003551C" w:rsidRPr="0098200C" w:rsidRDefault="0003551C" w:rsidP="00581EED">
            <w:pPr>
              <w:numPr>
                <w:ilvl w:val="0"/>
                <w:numId w:val="55"/>
              </w:numPr>
              <w:spacing w:beforeLines="60" w:before="144" w:afterLines="60" w:after="144" w:line="240" w:lineRule="auto"/>
              <w:jc w:val="left"/>
              <w:rPr>
                <w:rFonts w:ascii="Arial" w:eastAsia="Arial" w:hAnsi="Arial" w:cs="Times New Roman"/>
                <w:bCs/>
                <w:iCs/>
                <w:szCs w:val="20"/>
              </w:rPr>
            </w:pPr>
            <w:r w:rsidRPr="0098200C">
              <w:rPr>
                <w:rFonts w:ascii="Arial" w:eastAsia="Arial" w:hAnsi="Arial" w:cs="Times New Roman"/>
                <w:bCs/>
                <w:iCs/>
                <w:szCs w:val="20"/>
              </w:rPr>
              <w:t>Recognising that meeting existing policy commitments to improve outcomes will require substantial increased investment in Aboriginal and Torres Strait Islander comprehensive PHC.</w:t>
            </w:r>
          </w:p>
          <w:p w14:paraId="48050D37" w14:textId="77777777" w:rsidR="0003551C" w:rsidRPr="0098200C" w:rsidRDefault="0003551C" w:rsidP="00581EED">
            <w:pPr>
              <w:numPr>
                <w:ilvl w:val="0"/>
                <w:numId w:val="55"/>
              </w:numPr>
              <w:spacing w:beforeLines="60" w:before="144" w:afterLines="60" w:after="144" w:line="240" w:lineRule="auto"/>
              <w:jc w:val="left"/>
              <w:rPr>
                <w:rFonts w:ascii="Arial" w:eastAsia="Arial" w:hAnsi="Arial" w:cs="Times New Roman"/>
                <w:bCs/>
                <w:iCs/>
                <w:szCs w:val="20"/>
              </w:rPr>
            </w:pPr>
            <w:r w:rsidRPr="0098200C">
              <w:rPr>
                <w:rFonts w:ascii="Arial" w:eastAsia="Arial" w:hAnsi="Arial" w:cs="Times New Roman"/>
                <w:bCs/>
                <w:iCs/>
                <w:szCs w:val="20"/>
              </w:rPr>
              <w:t>Increasing investment in comprehensive PHC through the IAHP is expected to support increased prevention and early intervention activity for Aboriginal and Torres Strait Islander people which will reduce the impact of chronic health conditions on the public health system as a whole.</w:t>
            </w:r>
          </w:p>
          <w:p w14:paraId="04D8CBCE" w14:textId="77777777" w:rsidR="0003551C" w:rsidRPr="0098200C" w:rsidRDefault="0003551C" w:rsidP="00581EED">
            <w:pPr>
              <w:numPr>
                <w:ilvl w:val="0"/>
                <w:numId w:val="55"/>
              </w:numPr>
              <w:spacing w:beforeLines="60" w:before="144" w:afterLines="60" w:after="144" w:line="240" w:lineRule="auto"/>
              <w:jc w:val="left"/>
              <w:rPr>
                <w:rFonts w:ascii="Arial" w:eastAsia="Arial" w:hAnsi="Arial" w:cs="Times New Roman"/>
                <w:bCs/>
                <w:iCs/>
                <w:szCs w:val="20"/>
              </w:rPr>
            </w:pPr>
            <w:r w:rsidRPr="0098200C">
              <w:rPr>
                <w:rFonts w:ascii="Arial" w:eastAsia="Arial" w:hAnsi="Arial" w:cs="Times New Roman"/>
                <w:bCs/>
                <w:iCs/>
                <w:szCs w:val="20"/>
              </w:rPr>
              <w:t>Ensuring that the investment required to achieve the IAHP’s objectives and outcomes reflects:</w:t>
            </w:r>
          </w:p>
          <w:p w14:paraId="0C0F42A1" w14:textId="77777777" w:rsidR="0003551C" w:rsidRPr="0098200C" w:rsidRDefault="0003551C" w:rsidP="00581EED">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commitments to grow, support and retain the Aboriginal and Torres Strait Islander health workforce, consistent with the National Aboriginal and Torres Strait Islander Health Workforce Strategic Framework and Implementation Plan</w:t>
            </w:r>
          </w:p>
          <w:p w14:paraId="407BD515" w14:textId="77777777" w:rsidR="0003551C" w:rsidRPr="0098200C" w:rsidRDefault="0003551C" w:rsidP="00581EED">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 xml:space="preserve">commitments to building the Aboriginal and Torres Strait Islander community-controlled sector, consistent with </w:t>
            </w:r>
            <w:r w:rsidRPr="0098200C">
              <w:rPr>
                <w:rFonts w:ascii="Arial" w:eastAsia="Arial" w:hAnsi="Arial" w:cs="Times New Roman"/>
                <w:bCs/>
                <w:iCs/>
                <w:szCs w:val="20"/>
                <w:lang w:val="en-NZ"/>
              </w:rPr>
              <w:t xml:space="preserve">the </w:t>
            </w:r>
            <w:r w:rsidRPr="0098200C">
              <w:rPr>
                <w:rFonts w:ascii="Arial" w:eastAsia="Arial" w:hAnsi="Arial" w:cs="Times New Roman"/>
                <w:bCs/>
                <w:iCs/>
                <w:szCs w:val="20"/>
              </w:rPr>
              <w:t>National Agreement on Closing the Gap</w:t>
            </w:r>
          </w:p>
          <w:p w14:paraId="69AA621D" w14:textId="77777777" w:rsidR="0003551C" w:rsidRPr="0098200C" w:rsidRDefault="0003551C" w:rsidP="00581EED">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differences in service delivery across different community and geographical settings</w:t>
            </w:r>
          </w:p>
          <w:p w14:paraId="4882EA6C" w14:textId="77777777" w:rsidR="0003551C" w:rsidRPr="0098200C" w:rsidRDefault="0003551C" w:rsidP="00581EED">
            <w:pPr>
              <w:numPr>
                <w:ilvl w:val="0"/>
                <w:numId w:val="56"/>
              </w:num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rPr>
              <w:t xml:space="preserve">changes in the costs of service delivery across different community and geographical settings, including changes in population health needs. </w:t>
            </w:r>
          </w:p>
          <w:p w14:paraId="6167FCAF" w14:textId="77777777" w:rsidR="0003551C" w:rsidRPr="004D18C7" w:rsidRDefault="0003551C" w:rsidP="00581EED">
            <w:pPr>
              <w:spacing w:beforeLines="60" w:before="144" w:afterLines="60" w:after="144" w:line="240" w:lineRule="auto"/>
              <w:jc w:val="left"/>
              <w:rPr>
                <w:rFonts w:ascii="Arial" w:eastAsia="Arial" w:hAnsi="Arial" w:cs="Times New Roman"/>
                <w:bCs/>
                <w:iCs/>
                <w:szCs w:val="20"/>
                <w:lang w:val="en-NZ"/>
              </w:rPr>
            </w:pPr>
            <w:r w:rsidRPr="0098200C">
              <w:rPr>
                <w:rFonts w:ascii="Arial" w:eastAsia="Arial" w:hAnsi="Arial" w:cs="Times New Roman"/>
                <w:bCs/>
                <w:iCs/>
                <w:szCs w:val="20"/>
                <w:lang w:val="en-NZ"/>
              </w:rPr>
              <w:t>This recommendation supports action that is consistent with the realisation of commitments to improving health outcomes under the National Agreement on Closing the Gap and the National Aboriginal and Torres Strait Islander Health Plan through ensuring that health services are appropriately resourced to achieve these policy commitments</w:t>
            </w:r>
            <w:r w:rsidRPr="004D18C7">
              <w:rPr>
                <w:rFonts w:ascii="Arial" w:eastAsia="Arial" w:hAnsi="Arial" w:cs="Times New Roman"/>
                <w:bCs/>
                <w:iCs/>
                <w:szCs w:val="20"/>
                <w:lang w:val="en-NZ"/>
              </w:rPr>
              <w:t xml:space="preserve"> </w:t>
            </w:r>
          </w:p>
        </w:tc>
      </w:tr>
      <w:tr w:rsidR="0003551C" w:rsidRPr="004D18C7" w14:paraId="3DFB573C" w14:textId="77777777">
        <w:trPr>
          <w:trHeight w:val="291"/>
        </w:trPr>
        <w:tc>
          <w:tcPr>
            <w:tcW w:w="567" w:type="dxa"/>
            <w:tcBorders>
              <w:top w:val="dashed" w:sz="4" w:space="0" w:color="36424A"/>
              <w:left w:val="single" w:sz="18" w:space="0" w:color="535552"/>
              <w:bottom w:val="single" w:sz="18" w:space="0" w:color="535552"/>
              <w:right w:val="nil"/>
            </w:tcBorders>
            <w:shd w:val="clear" w:color="auto" w:fill="EBECED"/>
            <w:vAlign w:val="center"/>
          </w:tcPr>
          <w:p w14:paraId="0E0FDACA" w14:textId="77777777" w:rsidR="0003551C" w:rsidRPr="004D18C7" w:rsidRDefault="0003551C">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bCs/>
                <w:iCs/>
                <w:noProof/>
                <w:szCs w:val="20"/>
                <w:lang w:val="en-NZ"/>
              </w:rPr>
              <w:lastRenderedPageBreak/>
              <w:drawing>
                <wp:inline distT="0" distB="0" distL="0" distR="0" wp14:anchorId="6E4E6572" wp14:editId="646FF325">
                  <wp:extent cx="238125" cy="238125"/>
                  <wp:effectExtent l="0" t="0" r="9525" b="9525"/>
                  <wp:docPr id="747122433" name="Picture 747122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22433" name="Picture 747122433">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8" w:space="0" w:color="535552"/>
              <w:right w:val="single" w:sz="18" w:space="0" w:color="535552"/>
            </w:tcBorders>
            <w:shd w:val="clear" w:color="auto" w:fill="EBECED"/>
            <w:vAlign w:val="center"/>
          </w:tcPr>
          <w:p w14:paraId="1149241E" w14:textId="77777777" w:rsidR="0003551C" w:rsidRPr="004D18C7" w:rsidRDefault="0003551C">
            <w:pPr>
              <w:spacing w:before="60" w:after="60" w:line="240" w:lineRule="auto"/>
              <w:jc w:val="left"/>
              <w:rPr>
                <w:rFonts w:ascii="Arial" w:eastAsia="Arial" w:hAnsi="Arial" w:cs="Times New Roman"/>
                <w:bCs/>
                <w:iCs/>
                <w:szCs w:val="20"/>
                <w:lang w:val="en-NZ"/>
              </w:rPr>
            </w:pPr>
            <w:r w:rsidRPr="004D18C7">
              <w:rPr>
                <w:rFonts w:ascii="Arial" w:eastAsia="Arial" w:hAnsi="Arial" w:cs="Times New Roman"/>
                <w:bCs/>
                <w:iCs/>
                <w:szCs w:val="20"/>
                <w:lang w:val="en-NZ"/>
              </w:rPr>
              <w:t>Immediate – Medium term</w:t>
            </w:r>
          </w:p>
        </w:tc>
      </w:tr>
    </w:tbl>
    <w:p w14:paraId="0B754470" w14:textId="77777777" w:rsidR="001D7A4A" w:rsidRPr="001D7A4A" w:rsidRDefault="001D7A4A" w:rsidP="001D7A4A"/>
    <w:p w14:paraId="2CCF2F6A" w14:textId="77777777" w:rsidR="001D7A4A" w:rsidRPr="001D7A4A" w:rsidRDefault="001D7A4A" w:rsidP="001D7A4A"/>
    <w:p w14:paraId="235ACE3A" w14:textId="77777777" w:rsidR="001D7A4A" w:rsidRPr="001D7A4A" w:rsidRDefault="001D7A4A" w:rsidP="001D7A4A">
      <w:pPr>
        <w:jc w:val="left"/>
      </w:pPr>
      <w:r w:rsidRPr="001D7A4A">
        <w:br w:type="page"/>
      </w:r>
    </w:p>
    <w:p w14:paraId="6DA63CF1" w14:textId="59D9D84C" w:rsidR="001D7A4A" w:rsidRPr="001D7A4A" w:rsidRDefault="001D7A4A" w:rsidP="0035030F">
      <w:pPr>
        <w:pStyle w:val="Heading2"/>
      </w:pPr>
      <w:bookmarkStart w:id="354" w:name="_Toc137208961"/>
      <w:r w:rsidRPr="001D7A4A">
        <w:lastRenderedPageBreak/>
        <w:t>Strengthening the community-controlled sector</w:t>
      </w:r>
      <w:bookmarkEnd w:id="354"/>
    </w:p>
    <w:p w14:paraId="1D7CDA65" w14:textId="77777777" w:rsidR="001D7A4A" w:rsidRPr="001D7A4A" w:rsidRDefault="001D7A4A" w:rsidP="001D7A4A">
      <w:r w:rsidRPr="001D7A4A">
        <w:t>Recommendations aligned to Priority Reform 2 will strengthen the Aboriginal and Torres Strait Islander community-controlled health sector, building the capacity and capability of health services to deliver high quality services that meet community needs.</w:t>
      </w:r>
    </w:p>
    <w:tbl>
      <w:tblPr>
        <w:tblStyle w:val="ACTableDesig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3"/>
      </w:tblGrid>
      <w:tr w:rsidR="001D7A4A" w:rsidRPr="001D7A4A" w14:paraId="4966523E" w14:textId="7777777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23" w:type="dxa"/>
            <w:shd w:val="clear" w:color="auto" w:fill="DAF0F3"/>
          </w:tcPr>
          <w:p w14:paraId="59D31D72" w14:textId="77777777" w:rsidR="001D7A4A" w:rsidRPr="001D7A4A" w:rsidRDefault="001D7A4A" w:rsidP="001D7A4A">
            <w:pPr>
              <w:keepNext/>
              <w:spacing w:before="240" w:after="240" w:line="276" w:lineRule="auto"/>
              <w:ind w:left="142" w:right="142"/>
              <w:jc w:val="left"/>
              <w:outlineLvl w:val="5"/>
              <w:rPr>
                <w:rFonts w:asciiTheme="minorHAnsi" w:hAnsiTheme="minorHAnsi" w:cstheme="minorHAnsi"/>
                <w:iCs/>
                <w:color w:val="357DBE" w:themeColor="accent1"/>
                <w:sz w:val="28"/>
                <w:szCs w:val="28"/>
              </w:rPr>
            </w:pPr>
            <w:r w:rsidRPr="001D7A4A">
              <w:rPr>
                <w:rFonts w:asciiTheme="minorHAnsi" w:hAnsiTheme="minorHAnsi" w:cstheme="minorHAnsi"/>
                <w:color w:val="357DBE" w:themeColor="accent1"/>
                <w:sz w:val="28"/>
                <w:szCs w:val="28"/>
              </w:rPr>
              <w:t>Connection to policy priorities</w:t>
            </w:r>
          </w:p>
          <w:p w14:paraId="131D8691" w14:textId="77777777" w:rsidR="001D7A4A" w:rsidRPr="001D7A4A" w:rsidRDefault="001D7A4A" w:rsidP="001D7A4A">
            <w:pPr>
              <w:spacing w:before="240" w:after="240" w:line="276" w:lineRule="auto"/>
              <w:ind w:left="142" w:right="142"/>
              <w:rPr>
                <w:b w:val="0"/>
                <w:color w:val="36424A" w:themeColor="background2"/>
              </w:rPr>
            </w:pPr>
            <w:r w:rsidRPr="001D7A4A">
              <w:rPr>
                <w:color w:val="36424A" w:themeColor="background2"/>
              </w:rPr>
              <w:t xml:space="preserve">Closing the Gap: </w:t>
            </w:r>
            <w:r w:rsidRPr="001D7A4A">
              <w:rPr>
                <w:b w:val="0"/>
                <w:bCs/>
                <w:color w:val="36424A" w:themeColor="background2"/>
              </w:rPr>
              <w:t>Building the Community Controlled Sector.</w:t>
            </w:r>
          </w:p>
          <w:p w14:paraId="6EC02E95" w14:textId="77777777" w:rsidR="001D7A4A" w:rsidRPr="001D7A4A" w:rsidRDefault="001D7A4A" w:rsidP="001D7A4A">
            <w:pPr>
              <w:spacing w:before="240" w:after="240" w:line="276" w:lineRule="auto"/>
              <w:ind w:left="142" w:right="142"/>
              <w:rPr>
                <w:bCs/>
              </w:rPr>
            </w:pPr>
            <w:r w:rsidRPr="001D7A4A">
              <w:rPr>
                <w:color w:val="36424A" w:themeColor="background2"/>
              </w:rPr>
              <w:t>National Aboriginal and Torres Strait Islander Health Plan 2021-2031:</w:t>
            </w:r>
            <w:r w:rsidRPr="001D7A4A">
              <w:rPr>
                <w:b w:val="0"/>
                <w:bCs/>
                <w:color w:val="36424A" w:themeColor="background2"/>
              </w:rPr>
              <w:t xml:space="preserve"> Enabler of change; Priority 2: Aboriginal and Torres Strait Islander community controlled comprehensive primary health care.</w:t>
            </w:r>
          </w:p>
          <w:p w14:paraId="5DC7F606" w14:textId="77777777" w:rsidR="001D7A4A" w:rsidRPr="001D7A4A" w:rsidRDefault="001D7A4A" w:rsidP="001D7A4A">
            <w:pPr>
              <w:spacing w:before="240" w:after="240"/>
              <w:ind w:left="142" w:right="142"/>
              <w:rPr>
                <w:b w:val="0"/>
                <w:color w:val="36424A" w:themeColor="background2"/>
                <w:lang w:val="en-US"/>
              </w:rPr>
            </w:pPr>
            <w:r w:rsidRPr="001D7A4A">
              <w:rPr>
                <w:bCs/>
                <w:color w:val="36424A" w:themeColor="background2"/>
                <w:lang w:val="en-US"/>
              </w:rPr>
              <w:t xml:space="preserve">Health Sector Strengthening Plan: </w:t>
            </w:r>
            <w:r w:rsidRPr="001D7A4A">
              <w:rPr>
                <w:b w:val="0"/>
                <w:color w:val="36424A" w:themeColor="background2"/>
                <w:lang w:val="en-US"/>
              </w:rPr>
              <w:t>Actions for strengthened Aboriginal and Torres Strait Islander community-controlled health sector including a consistent funding model.</w:t>
            </w:r>
          </w:p>
          <w:p w14:paraId="5B363399" w14:textId="77777777" w:rsidR="001D7A4A" w:rsidRPr="001D7A4A" w:rsidRDefault="001D7A4A" w:rsidP="001D7A4A">
            <w:pPr>
              <w:spacing w:before="240" w:after="240" w:line="276" w:lineRule="auto"/>
              <w:ind w:left="142" w:right="142"/>
              <w:rPr>
                <w:b w:val="0"/>
                <w:bCs/>
              </w:rPr>
            </w:pPr>
            <w:r w:rsidRPr="001D7A4A">
              <w:rPr>
                <w:color w:val="36424A" w:themeColor="background2"/>
              </w:rPr>
              <w:t xml:space="preserve">Core Services and Outcomes Framework: </w:t>
            </w:r>
            <w:r w:rsidRPr="001D7A4A">
              <w:rPr>
                <w:b w:val="0"/>
                <w:color w:val="36424A" w:themeColor="background2"/>
              </w:rPr>
              <w:t>The Model of Aboriginal and Torres Strait Islander Community Controlled Comprehensive Primary Health Care.</w:t>
            </w:r>
          </w:p>
        </w:tc>
      </w:tr>
    </w:tbl>
    <w:p w14:paraId="756DF04F" w14:textId="77777777" w:rsidR="001D7A4A" w:rsidRPr="001D7A4A" w:rsidRDefault="001D7A4A" w:rsidP="001D7A4A"/>
    <w:p w14:paraId="15A8F419" w14:textId="77777777" w:rsidR="001D7A4A" w:rsidRPr="001D7A4A" w:rsidRDefault="001D7A4A" w:rsidP="001D7A4A">
      <w:r w:rsidRPr="001D7A4A">
        <w:t xml:space="preserve">The </w:t>
      </w:r>
      <w:r w:rsidRPr="001D7A4A">
        <w:rPr>
          <w:b/>
          <w:bCs/>
        </w:rPr>
        <w:t>intent</w:t>
      </w:r>
      <w:r w:rsidRPr="001D7A4A">
        <w:t xml:space="preserve"> of these recommendation is to give all Aboriginal and Torres Strait Islander people the choice of accessing comprehensive PHC delivered by an Aboriginal and Torres Strait Islander community-controlled organisation.</w:t>
      </w:r>
    </w:p>
    <w:p w14:paraId="0DA91E0E" w14:textId="77777777" w:rsidR="001D7A4A" w:rsidRPr="001D7A4A" w:rsidRDefault="001D7A4A" w:rsidP="001D7A4A">
      <w:r w:rsidRPr="001D7A4A">
        <w:t>The modality of community-control</w:t>
      </w:r>
      <w:r w:rsidRPr="001D7A4A">
        <w:rPr>
          <w:spacing w:val="-1"/>
        </w:rPr>
        <w:t xml:space="preserve"> </w:t>
      </w:r>
      <w:r w:rsidRPr="001D7A4A">
        <w:t>for service provision offers direct benefits in terms of health system performance. Community-control also has indirect benefits through enabling</w:t>
      </w:r>
      <w:r w:rsidRPr="001D7A4A">
        <w:rPr>
          <w:spacing w:val="-2"/>
        </w:rPr>
        <w:t xml:space="preserve"> </w:t>
      </w:r>
      <w:r w:rsidRPr="001D7A4A">
        <w:t>a</w:t>
      </w:r>
      <w:r w:rsidRPr="001D7A4A">
        <w:rPr>
          <w:spacing w:val="-2"/>
        </w:rPr>
        <w:t xml:space="preserve"> </w:t>
      </w:r>
      <w:r w:rsidRPr="001D7A4A">
        <w:t>level</w:t>
      </w:r>
      <w:r w:rsidRPr="001D7A4A">
        <w:rPr>
          <w:spacing w:val="-2"/>
        </w:rPr>
        <w:t xml:space="preserve"> </w:t>
      </w:r>
      <w:r w:rsidRPr="001D7A4A">
        <w:t>of</w:t>
      </w:r>
      <w:r w:rsidRPr="001D7A4A">
        <w:rPr>
          <w:spacing w:val="-1"/>
        </w:rPr>
        <w:t xml:space="preserve"> </w:t>
      </w:r>
      <w:r w:rsidRPr="001D7A4A">
        <w:t>self-determination</w:t>
      </w:r>
      <w:r w:rsidRPr="001D7A4A">
        <w:rPr>
          <w:spacing w:val="-2"/>
        </w:rPr>
        <w:t xml:space="preserve"> </w:t>
      </w:r>
      <w:r w:rsidRPr="001D7A4A">
        <w:t>of</w:t>
      </w:r>
      <w:r w:rsidRPr="001D7A4A">
        <w:rPr>
          <w:spacing w:val="-3"/>
        </w:rPr>
        <w:t xml:space="preserve"> </w:t>
      </w:r>
      <w:r w:rsidRPr="001D7A4A">
        <w:t>health</w:t>
      </w:r>
      <w:r w:rsidRPr="001D7A4A">
        <w:rPr>
          <w:spacing w:val="-4"/>
        </w:rPr>
        <w:t xml:space="preserve"> </w:t>
      </w:r>
      <w:r w:rsidRPr="001D7A4A">
        <w:t>care</w:t>
      </w:r>
      <w:r w:rsidRPr="001D7A4A">
        <w:rPr>
          <w:spacing w:val="-2"/>
        </w:rPr>
        <w:t xml:space="preserve"> </w:t>
      </w:r>
      <w:r w:rsidRPr="001D7A4A">
        <w:t>by</w:t>
      </w:r>
      <w:r w:rsidRPr="001D7A4A">
        <w:rPr>
          <w:spacing w:val="-4"/>
        </w:rPr>
        <w:t xml:space="preserve"> </w:t>
      </w:r>
      <w:r w:rsidRPr="001D7A4A">
        <w:t>the</w:t>
      </w:r>
      <w:r w:rsidRPr="001D7A4A">
        <w:rPr>
          <w:spacing w:val="-2"/>
        </w:rPr>
        <w:t xml:space="preserve"> </w:t>
      </w:r>
      <w:r w:rsidRPr="001D7A4A">
        <w:t>community,</w:t>
      </w:r>
      <w:r w:rsidRPr="001D7A4A">
        <w:rPr>
          <w:spacing w:val="-1"/>
        </w:rPr>
        <w:t xml:space="preserve"> </w:t>
      </w:r>
      <w:r w:rsidRPr="001D7A4A">
        <w:t>and</w:t>
      </w:r>
      <w:r w:rsidRPr="001D7A4A">
        <w:rPr>
          <w:spacing w:val="-2"/>
        </w:rPr>
        <w:t xml:space="preserve"> </w:t>
      </w:r>
      <w:r w:rsidRPr="001D7A4A">
        <w:t>social</w:t>
      </w:r>
      <w:r w:rsidRPr="001D7A4A">
        <w:rPr>
          <w:spacing w:val="-2"/>
        </w:rPr>
        <w:t xml:space="preserve"> </w:t>
      </w:r>
      <w:r w:rsidRPr="001D7A4A">
        <w:t>and economic benefits though employment and training opportunities for Aboriginal and Torres</w:t>
      </w:r>
      <w:r w:rsidRPr="001D7A4A">
        <w:rPr>
          <w:spacing w:val="-3"/>
        </w:rPr>
        <w:t xml:space="preserve"> </w:t>
      </w:r>
      <w:r w:rsidRPr="001D7A4A">
        <w:t>Strait</w:t>
      </w:r>
      <w:r w:rsidRPr="001D7A4A">
        <w:rPr>
          <w:spacing w:val="-4"/>
        </w:rPr>
        <w:t xml:space="preserve"> </w:t>
      </w:r>
      <w:r w:rsidRPr="001D7A4A">
        <w:t>Islander</w:t>
      </w:r>
      <w:r w:rsidRPr="001D7A4A">
        <w:rPr>
          <w:spacing w:val="-2"/>
        </w:rPr>
        <w:t xml:space="preserve"> </w:t>
      </w:r>
      <w:r w:rsidRPr="001D7A4A">
        <w:t>people</w:t>
      </w:r>
      <w:r w:rsidRPr="001D7A4A">
        <w:rPr>
          <w:spacing w:val="-4"/>
        </w:rPr>
        <w:t xml:space="preserve"> </w:t>
      </w:r>
      <w:r w:rsidRPr="001D7A4A">
        <w:t>in</w:t>
      </w:r>
      <w:r w:rsidRPr="001D7A4A">
        <w:rPr>
          <w:spacing w:val="-4"/>
        </w:rPr>
        <w:t xml:space="preserve"> </w:t>
      </w:r>
      <w:r w:rsidRPr="001D7A4A">
        <w:t>health</w:t>
      </w:r>
      <w:r w:rsidRPr="001D7A4A">
        <w:rPr>
          <w:spacing w:val="-4"/>
        </w:rPr>
        <w:t xml:space="preserve"> </w:t>
      </w:r>
      <w:r w:rsidRPr="001D7A4A">
        <w:t>services,</w:t>
      </w:r>
      <w:r w:rsidRPr="001D7A4A">
        <w:rPr>
          <w:spacing w:val="-2"/>
        </w:rPr>
        <w:t xml:space="preserve"> </w:t>
      </w:r>
      <w:r w:rsidRPr="001D7A4A">
        <w:t>governance</w:t>
      </w:r>
      <w:r w:rsidRPr="001D7A4A">
        <w:rPr>
          <w:spacing w:val="-4"/>
        </w:rPr>
        <w:t xml:space="preserve"> </w:t>
      </w:r>
      <w:r w:rsidRPr="001D7A4A">
        <w:t>and</w:t>
      </w:r>
      <w:r w:rsidRPr="001D7A4A">
        <w:rPr>
          <w:spacing w:val="-6"/>
        </w:rPr>
        <w:t xml:space="preserve"> </w:t>
      </w:r>
      <w:r w:rsidRPr="001D7A4A">
        <w:t>leadership,</w:t>
      </w:r>
      <w:r w:rsidRPr="001D7A4A">
        <w:rPr>
          <w:spacing w:val="-2"/>
        </w:rPr>
        <w:t xml:space="preserve"> </w:t>
      </w:r>
      <w:r w:rsidRPr="001D7A4A">
        <w:t>business management and development.</w:t>
      </w:r>
    </w:p>
    <w:p w14:paraId="2BF2B0B1" w14:textId="7C283FEC" w:rsidR="001D7A4A" w:rsidRPr="001D7A4A" w:rsidRDefault="001D7A4A" w:rsidP="001D7A4A">
      <w:pPr>
        <w:rPr>
          <w:rFonts w:ascii="Symbol" w:hAnsi="Symbol"/>
          <w:color w:val="357CBD"/>
        </w:rPr>
      </w:pPr>
      <w:r w:rsidRPr="001D7A4A">
        <w:t>ACCHSs</w:t>
      </w:r>
      <w:r w:rsidRPr="001D7A4A">
        <w:rPr>
          <w:spacing w:val="-7"/>
        </w:rPr>
        <w:t xml:space="preserve"> </w:t>
      </w:r>
      <w:r w:rsidRPr="001D7A4A">
        <w:t>are</w:t>
      </w:r>
      <w:r w:rsidRPr="001D7A4A" w:rsidDel="002C160F">
        <w:rPr>
          <w:spacing w:val="-7"/>
        </w:rPr>
        <w:t xml:space="preserve"> </w:t>
      </w:r>
      <w:r w:rsidRPr="001D7A4A">
        <w:t>cost-effective</w:t>
      </w:r>
      <w:r w:rsidRPr="001D7A4A">
        <w:rPr>
          <w:spacing w:val="-9"/>
        </w:rPr>
        <w:t xml:space="preserve"> </w:t>
      </w:r>
      <w:r w:rsidRPr="001D7A4A">
        <w:t>and</w:t>
      </w:r>
      <w:r w:rsidRPr="001D7A4A">
        <w:rPr>
          <w:spacing w:val="-7"/>
        </w:rPr>
        <w:t xml:space="preserve"> </w:t>
      </w:r>
      <w:r w:rsidRPr="001D7A4A">
        <w:t>deliver</w:t>
      </w:r>
      <w:r w:rsidRPr="001D7A4A">
        <w:rPr>
          <w:spacing w:val="-9"/>
        </w:rPr>
        <w:t xml:space="preserve"> </w:t>
      </w:r>
      <w:r w:rsidRPr="001D7A4A">
        <w:t>greater</w:t>
      </w:r>
      <w:r w:rsidRPr="001D7A4A">
        <w:rPr>
          <w:spacing w:val="-6"/>
        </w:rPr>
        <w:t xml:space="preserve"> </w:t>
      </w:r>
      <w:r w:rsidRPr="001D7A4A">
        <w:t>health</w:t>
      </w:r>
      <w:r w:rsidRPr="001D7A4A">
        <w:rPr>
          <w:spacing w:val="-10"/>
        </w:rPr>
        <w:t xml:space="preserve"> </w:t>
      </w:r>
      <w:r w:rsidRPr="001D7A4A">
        <w:t>gains</w:t>
      </w:r>
      <w:r w:rsidRPr="001D7A4A">
        <w:rPr>
          <w:spacing w:val="-7"/>
        </w:rPr>
        <w:t xml:space="preserve"> </w:t>
      </w:r>
      <w:r w:rsidRPr="001D7A4A">
        <w:t>or</w:t>
      </w:r>
      <w:r w:rsidRPr="001D7A4A">
        <w:rPr>
          <w:spacing w:val="-9"/>
        </w:rPr>
        <w:t xml:space="preserve"> </w:t>
      </w:r>
      <w:r w:rsidRPr="001D7A4A">
        <w:t>benefits</w:t>
      </w:r>
      <w:r w:rsidRPr="001D7A4A">
        <w:rPr>
          <w:spacing w:val="-12"/>
        </w:rPr>
        <w:t xml:space="preserve"> </w:t>
      </w:r>
      <w:r w:rsidRPr="001D7A4A">
        <w:t>compared to the same programs delivered via mainstream primary care services. Community-controlled services have an impressive history of service innovation over the last 20 years.</w:t>
      </w:r>
      <w:r w:rsidRPr="001D7A4A">
        <w:rPr>
          <w:spacing w:val="-16"/>
        </w:rPr>
        <w:t xml:space="preserve"> </w:t>
      </w:r>
      <w:r w:rsidRPr="001D7A4A">
        <w:t>The</w:t>
      </w:r>
      <w:r w:rsidRPr="001D7A4A">
        <w:rPr>
          <w:spacing w:val="-15"/>
        </w:rPr>
        <w:t xml:space="preserve"> </w:t>
      </w:r>
      <w:r w:rsidRPr="001D7A4A">
        <w:t>innovation</w:t>
      </w:r>
      <w:r w:rsidRPr="001D7A4A">
        <w:rPr>
          <w:spacing w:val="-15"/>
        </w:rPr>
        <w:t xml:space="preserve"> </w:t>
      </w:r>
      <w:r w:rsidRPr="001D7A4A">
        <w:t>often</w:t>
      </w:r>
      <w:r w:rsidRPr="001D7A4A">
        <w:rPr>
          <w:spacing w:val="-16"/>
        </w:rPr>
        <w:t xml:space="preserve"> </w:t>
      </w:r>
      <w:r w:rsidRPr="001D7A4A">
        <w:t>comes</w:t>
      </w:r>
      <w:r w:rsidRPr="001D7A4A">
        <w:rPr>
          <w:spacing w:val="-15"/>
        </w:rPr>
        <w:t xml:space="preserve"> </w:t>
      </w:r>
      <w:r w:rsidRPr="001D7A4A">
        <w:t>within</w:t>
      </w:r>
      <w:r w:rsidRPr="001D7A4A">
        <w:rPr>
          <w:spacing w:val="-15"/>
        </w:rPr>
        <w:t xml:space="preserve"> </w:t>
      </w:r>
      <w:r w:rsidRPr="001D7A4A">
        <w:t>the</w:t>
      </w:r>
      <w:r w:rsidRPr="001D7A4A">
        <w:rPr>
          <w:spacing w:val="-15"/>
        </w:rPr>
        <w:t xml:space="preserve"> </w:t>
      </w:r>
      <w:r w:rsidRPr="001D7A4A">
        <w:t>context</w:t>
      </w:r>
      <w:r w:rsidRPr="001D7A4A">
        <w:rPr>
          <w:spacing w:val="-16"/>
        </w:rPr>
        <w:t xml:space="preserve"> </w:t>
      </w:r>
      <w:r w:rsidRPr="001D7A4A">
        <w:t>of</w:t>
      </w:r>
      <w:r w:rsidRPr="001D7A4A">
        <w:rPr>
          <w:spacing w:val="-15"/>
        </w:rPr>
        <w:t xml:space="preserve"> </w:t>
      </w:r>
      <w:r w:rsidRPr="001D7A4A">
        <w:t>using</w:t>
      </w:r>
      <w:r w:rsidRPr="001D7A4A">
        <w:rPr>
          <w:spacing w:val="-15"/>
        </w:rPr>
        <w:t xml:space="preserve"> </w:t>
      </w:r>
      <w:r w:rsidRPr="001D7A4A">
        <w:t>limited</w:t>
      </w:r>
      <w:r w:rsidRPr="001D7A4A">
        <w:rPr>
          <w:spacing w:val="-15"/>
        </w:rPr>
        <w:t xml:space="preserve"> </w:t>
      </w:r>
      <w:r w:rsidRPr="001D7A4A">
        <w:t>resources</w:t>
      </w:r>
      <w:r w:rsidRPr="001D7A4A">
        <w:rPr>
          <w:spacing w:val="-16"/>
        </w:rPr>
        <w:t xml:space="preserve"> </w:t>
      </w:r>
      <w:r w:rsidRPr="001D7A4A">
        <w:t>to</w:t>
      </w:r>
      <w:r w:rsidRPr="001D7A4A">
        <w:rPr>
          <w:spacing w:val="-15"/>
        </w:rPr>
        <w:t xml:space="preserve"> </w:t>
      </w:r>
      <w:r w:rsidRPr="001D7A4A">
        <w:t>meet the community’s health need.</w:t>
      </w:r>
    </w:p>
    <w:p w14:paraId="18713338" w14:textId="6EA59A37" w:rsidR="001D7A4A" w:rsidRPr="001D7A4A" w:rsidRDefault="001D7A4A" w:rsidP="001D7A4A">
      <w:pPr>
        <w:rPr>
          <w:rFonts w:ascii="Symbol" w:hAnsi="Symbol"/>
          <w:color w:val="357CBD"/>
        </w:rPr>
      </w:pPr>
      <w:r w:rsidRPr="001D7A4A">
        <w:t>Larger ACCHSs have grown their funding by diversifying their funding base, developing diverse income-generating activities. Funding comes from state and territory governments, including hospital funding streams; federal funding, including but not restricted</w:t>
      </w:r>
      <w:r w:rsidRPr="001D7A4A">
        <w:rPr>
          <w:spacing w:val="-12"/>
        </w:rPr>
        <w:t xml:space="preserve"> </w:t>
      </w:r>
      <w:r w:rsidRPr="001D7A4A">
        <w:t>to</w:t>
      </w:r>
      <w:r w:rsidRPr="001D7A4A">
        <w:rPr>
          <w:spacing w:val="-12"/>
        </w:rPr>
        <w:t xml:space="preserve"> </w:t>
      </w:r>
      <w:r w:rsidRPr="001D7A4A">
        <w:t>the</w:t>
      </w:r>
      <w:r w:rsidRPr="001D7A4A">
        <w:rPr>
          <w:spacing w:val="-12"/>
        </w:rPr>
        <w:t xml:space="preserve"> </w:t>
      </w:r>
      <w:r w:rsidRPr="001D7A4A">
        <w:t>IAHP;</w:t>
      </w:r>
      <w:r w:rsidRPr="001D7A4A">
        <w:rPr>
          <w:spacing w:val="-11"/>
        </w:rPr>
        <w:t xml:space="preserve"> </w:t>
      </w:r>
      <w:r w:rsidRPr="001D7A4A">
        <w:t>private</w:t>
      </w:r>
      <w:r w:rsidRPr="001D7A4A">
        <w:rPr>
          <w:spacing w:val="-12"/>
        </w:rPr>
        <w:t xml:space="preserve"> </w:t>
      </w:r>
      <w:r w:rsidRPr="001D7A4A">
        <w:t>sector</w:t>
      </w:r>
      <w:r w:rsidRPr="001D7A4A">
        <w:rPr>
          <w:spacing w:val="-11"/>
        </w:rPr>
        <w:t xml:space="preserve"> </w:t>
      </w:r>
      <w:r w:rsidRPr="001D7A4A">
        <w:t>and</w:t>
      </w:r>
      <w:r w:rsidRPr="001D7A4A">
        <w:rPr>
          <w:spacing w:val="-10"/>
        </w:rPr>
        <w:t xml:space="preserve"> </w:t>
      </w:r>
      <w:r w:rsidRPr="001D7A4A">
        <w:t>philanthropy;</w:t>
      </w:r>
      <w:r w:rsidRPr="001D7A4A">
        <w:rPr>
          <w:spacing w:val="-8"/>
        </w:rPr>
        <w:t xml:space="preserve"> </w:t>
      </w:r>
      <w:r w:rsidRPr="001D7A4A">
        <w:t>as</w:t>
      </w:r>
      <w:r w:rsidRPr="001D7A4A">
        <w:rPr>
          <w:spacing w:val="-9"/>
        </w:rPr>
        <w:t xml:space="preserve"> </w:t>
      </w:r>
      <w:r w:rsidRPr="001D7A4A">
        <w:t>well</w:t>
      </w:r>
      <w:r w:rsidRPr="001D7A4A">
        <w:rPr>
          <w:spacing w:val="-10"/>
        </w:rPr>
        <w:t xml:space="preserve"> </w:t>
      </w:r>
      <w:r w:rsidRPr="001D7A4A">
        <w:t>as</w:t>
      </w:r>
      <w:r w:rsidRPr="001D7A4A">
        <w:rPr>
          <w:spacing w:val="-12"/>
        </w:rPr>
        <w:t xml:space="preserve"> </w:t>
      </w:r>
      <w:r w:rsidRPr="001D7A4A">
        <w:t>volumes-driven</w:t>
      </w:r>
      <w:r w:rsidRPr="001D7A4A">
        <w:rPr>
          <w:spacing w:val="-12"/>
        </w:rPr>
        <w:t xml:space="preserve"> </w:t>
      </w:r>
      <w:r w:rsidRPr="001D7A4A">
        <w:t xml:space="preserve">MBS activities. Diversification protects these ACCHSs from policy shifts that impact on a single funding stream and gives them a degree of independence to pursue their own strategic agenda. These ACCHSs have used diverse funding mechanisms to grow to become major health providers. These large community- controlled organisations have </w:t>
      </w:r>
      <w:r w:rsidR="001829BC">
        <w:t>increasing</w:t>
      </w:r>
      <w:r w:rsidR="001829BC" w:rsidRPr="001D7A4A">
        <w:t xml:space="preserve"> </w:t>
      </w:r>
      <w:r w:rsidRPr="001D7A4A">
        <w:t xml:space="preserve">influence on the overall health response in their region and are expanding the scope of their activities beyond comprehensive PHC to include the pathways of care </w:t>
      </w:r>
      <w:r w:rsidR="001829BC">
        <w:t xml:space="preserve">and commissioning </w:t>
      </w:r>
      <w:r w:rsidRPr="001D7A4A">
        <w:t>through other parts of the health system.</w:t>
      </w:r>
    </w:p>
    <w:p w14:paraId="49C6B8AB" w14:textId="77777777" w:rsidR="001D7A4A" w:rsidRPr="001D7A4A" w:rsidRDefault="001D7A4A" w:rsidP="001D7A4A">
      <w:pPr>
        <w:rPr>
          <w:lang w:val="en-US"/>
        </w:rPr>
      </w:pPr>
      <w:r w:rsidRPr="001D7A4A">
        <w:rPr>
          <w:lang w:val="en-US"/>
        </w:rPr>
        <w:lastRenderedPageBreak/>
        <w:t>Small ACCHSs in remote and regional areas have limited resources and are required to focus these resources on seeking out additional funding, or attempting to utilise mainstream funding modalities that are a poor fit with their context.</w:t>
      </w:r>
    </w:p>
    <w:p w14:paraId="67A76357" w14:textId="77777777" w:rsidR="001D7A4A" w:rsidRPr="001D7A4A" w:rsidRDefault="001D7A4A" w:rsidP="001D7A4A">
      <w:pPr>
        <w:rPr>
          <w:lang w:val="en-US"/>
        </w:rPr>
      </w:pPr>
      <w:r w:rsidRPr="001D7A4A">
        <w:rPr>
          <w:lang w:val="en-US"/>
        </w:rPr>
        <w:t>The growth of the ACCHS sector requires coordinated growth of funding, an Aboriginal and Torres Strait Islander workforce, a general health workforce, infrastructure, governance capability, and models of care, including investment in coordinated and integrated models of care. The IAHP is the only funder focused on ACCHSs and it plays a pivotal role in supporting the stability and growth of the ACCHS sector. However, the growth in resources available to the IAHP has not kept pace with population growth and health and wellbeing needs. ACCHSs struggle to keep up with demand.</w:t>
      </w:r>
    </w:p>
    <w:tbl>
      <w:tblPr>
        <w:tblW w:w="9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42" w:type="dxa"/>
          <w:right w:w="142" w:type="dxa"/>
        </w:tblCellMar>
        <w:tblLook w:val="04A0" w:firstRow="1" w:lastRow="0" w:firstColumn="1" w:lastColumn="0" w:noHBand="0" w:noVBand="1"/>
      </w:tblPr>
      <w:tblGrid>
        <w:gridCol w:w="567"/>
        <w:gridCol w:w="8550"/>
      </w:tblGrid>
      <w:tr w:rsidR="00394A1D" w:rsidRPr="001143F2" w14:paraId="2E332FC9" w14:textId="77777777">
        <w:trPr>
          <w:trHeight w:val="264"/>
        </w:trPr>
        <w:tc>
          <w:tcPr>
            <w:tcW w:w="9117"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60A4D2AD" w14:textId="3D966FB7" w:rsidR="00394A1D" w:rsidRPr="001143F2" w:rsidRDefault="001D7A4A">
            <w:pPr>
              <w:spacing w:before="60" w:afterLines="60" w:after="144" w:line="240" w:lineRule="auto"/>
              <w:jc w:val="left"/>
              <w:rPr>
                <w:rFonts w:ascii="Arial" w:eastAsia="Arial" w:hAnsi="Arial" w:cs="Times New Roman"/>
                <w:b/>
                <w:bCs/>
                <w:color w:val="FFFFFF"/>
                <w:sz w:val="26"/>
                <w:szCs w:val="26"/>
              </w:rPr>
            </w:pPr>
            <w:r w:rsidRPr="001D7A4A">
              <w:t xml:space="preserve"> </w:t>
            </w:r>
            <w:r w:rsidR="00394A1D" w:rsidRPr="001143F2">
              <w:rPr>
                <w:rFonts w:ascii="Arial" w:eastAsia="Arial" w:hAnsi="Arial" w:cs="Times New Roman"/>
                <w:b/>
                <w:bCs/>
                <w:sz w:val="26"/>
                <w:szCs w:val="26"/>
              </w:rPr>
              <w:t>Recommendations: Building the community-controlled sector</w:t>
            </w:r>
          </w:p>
        </w:tc>
      </w:tr>
      <w:tr w:rsidR="00394A1D" w:rsidRPr="001143F2" w14:paraId="51C14CAE" w14:textId="77777777">
        <w:tc>
          <w:tcPr>
            <w:tcW w:w="9117" w:type="dxa"/>
            <w:gridSpan w:val="2"/>
            <w:tcBorders>
              <w:top w:val="single" w:sz="8" w:space="0" w:color="535552"/>
              <w:left w:val="single" w:sz="18" w:space="0" w:color="535552"/>
              <w:bottom w:val="dashed" w:sz="4" w:space="0" w:color="36424A"/>
              <w:right w:val="single" w:sz="18" w:space="0" w:color="535552"/>
            </w:tcBorders>
            <w:shd w:val="clear" w:color="auto" w:fill="FFFFFF"/>
            <w:vAlign w:val="center"/>
          </w:tcPr>
          <w:p w14:paraId="7CBCEBF0" w14:textId="77777777" w:rsidR="00394A1D" w:rsidRPr="001143F2" w:rsidRDefault="00394A1D">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t>4</w:t>
            </w:r>
          </w:p>
          <w:p w14:paraId="3D9774A7" w14:textId="77777777" w:rsidR="00394A1D" w:rsidRPr="001143F2" w:rsidRDefault="00394A1D">
            <w:pPr>
              <w:spacing w:before="60" w:afterLines="60" w:after="144" w:line="240" w:lineRule="auto"/>
              <w:jc w:val="left"/>
              <w:rPr>
                <w:rFonts w:ascii="Arial" w:eastAsia="Arial" w:hAnsi="Arial" w:cs="Times New Roman"/>
                <w:iCs/>
                <w:szCs w:val="20"/>
              </w:rPr>
            </w:pPr>
            <w:r w:rsidRPr="001143F2">
              <w:rPr>
                <w:rFonts w:ascii="Arial" w:eastAsia="Arial" w:hAnsi="Arial" w:cs="Times New Roman"/>
                <w:b/>
                <w:bCs/>
                <w:iCs/>
                <w:szCs w:val="20"/>
              </w:rPr>
              <w:t>Continue to invest in</w:t>
            </w:r>
            <w:r w:rsidRPr="001143F2">
              <w:rPr>
                <w:rFonts w:ascii="Arial" w:eastAsia="Arial" w:hAnsi="Arial" w:cs="Times New Roman"/>
                <w:b/>
                <w:bCs/>
                <w:iCs/>
                <w:szCs w:val="20"/>
                <w:lang w:val="en-NZ"/>
              </w:rPr>
              <w:t xml:space="preserve"> improved health and wellbeing outcomes for Aboriginal and Torres</w:t>
            </w:r>
            <w:r w:rsidRPr="001143F2">
              <w:rPr>
                <w:rFonts w:ascii="Arial" w:eastAsia="Arial" w:hAnsi="Arial" w:cs="Times New Roman"/>
                <w:b/>
                <w:iCs/>
                <w:szCs w:val="20"/>
                <w:lang w:val="en-NZ"/>
              </w:rPr>
              <w:t xml:space="preserve"> Strait Islander people through increasing IAHP funding to support the delivery of Aboriginal and Torres Strait Islander community-controlled comprehensive PHC.</w:t>
            </w:r>
          </w:p>
          <w:p w14:paraId="3A14EE58" w14:textId="77777777" w:rsidR="00394A1D" w:rsidRPr="001143F2" w:rsidRDefault="00394A1D">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To enable ACCHSs to fully implement their model of comprehensive PHC and meet the health and wellbeing needs of their communities, the Department of Health and Aged Care to build on the strength of the IAHP by directing additional resourcing to community-controlled health services.</w:t>
            </w:r>
          </w:p>
          <w:p w14:paraId="16C9F52D" w14:textId="77777777" w:rsidR="00394A1D" w:rsidRPr="001143F2" w:rsidRDefault="00394A1D">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In implementing this recommendation, the evaluation suggests:</w:t>
            </w:r>
          </w:p>
          <w:p w14:paraId="5CCF6D94"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Increasing the focus of the IAHP on funding programs and activities delivered by ACCHSs.</w:t>
            </w:r>
          </w:p>
          <w:p w14:paraId="1CABA361"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Increasing the amount and the proportion of the IAHP funding allocated under the PHC Program (to address current policy commitments and population health needs the rate of funding increase needs to be significantly more than the current commitment of 3% per year).</w:t>
            </w:r>
          </w:p>
          <w:p w14:paraId="7FA78731"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Ensuring that IAHP funding contributes to the growth and stability of ACCHSs, including the scope of services provided in relation to cultural and other health determinants.</w:t>
            </w:r>
          </w:p>
          <w:p w14:paraId="58FA6387"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Ensuring that IAHP funding supports ACCHSs to function well through strengthening organisational governance, management and other ‘back-office’ functions that support the delivery of high-quality care.</w:t>
            </w:r>
          </w:p>
          <w:p w14:paraId="18C90E48" w14:textId="51CB558F"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Considering fully funding ACCHSs that rely significantly on the IAHP as their primary funding source to ensure existing service capacity is invested in service delivery instead of additional fund-raising.</w:t>
            </w:r>
          </w:p>
          <w:p w14:paraId="50A47FA2" w14:textId="77777777" w:rsidR="00394A1D" w:rsidRPr="001143F2" w:rsidRDefault="00394A1D">
            <w:pPr>
              <w:spacing w:before="60" w:afterLines="60" w:after="144" w:line="240" w:lineRule="auto"/>
              <w:jc w:val="left"/>
              <w:rPr>
                <w:rFonts w:ascii="Arial" w:eastAsia="Arial" w:hAnsi="Arial" w:cs="Times New Roman"/>
                <w:bCs/>
              </w:rPr>
            </w:pPr>
            <w:r w:rsidRPr="001143F2">
              <w:rPr>
                <w:rFonts w:ascii="Arial" w:eastAsia="Arial" w:hAnsi="Arial" w:cs="Times New Roman"/>
                <w:bCs/>
                <w:iCs/>
                <w:szCs w:val="20"/>
                <w:lang w:val="en-NZ"/>
              </w:rPr>
              <w:t xml:space="preserve">This recommendation supports action that is consistent with </w:t>
            </w:r>
            <w:r w:rsidRPr="001143F2">
              <w:rPr>
                <w:rFonts w:ascii="Arial" w:eastAsia="Arial" w:hAnsi="Arial" w:cs="Times New Roman"/>
                <w:iCs/>
                <w:szCs w:val="20"/>
              </w:rPr>
              <w:t>the development of the Core Services and Outcomes Framework, and commitments in the Health Sector Strengthening Plan to develop a needs-based funding model.</w:t>
            </w:r>
          </w:p>
        </w:tc>
      </w:tr>
      <w:tr w:rsidR="00394A1D" w:rsidRPr="001143F2" w14:paraId="0E7E6E78" w14:textId="77777777">
        <w:tc>
          <w:tcPr>
            <w:tcW w:w="567" w:type="dxa"/>
            <w:tcBorders>
              <w:top w:val="dashed" w:sz="4" w:space="0" w:color="36424A"/>
              <w:left w:val="single" w:sz="18" w:space="0" w:color="535552"/>
              <w:bottom w:val="single" w:sz="12" w:space="0" w:color="36424A"/>
              <w:right w:val="nil"/>
            </w:tcBorders>
            <w:shd w:val="clear" w:color="auto" w:fill="EBECED"/>
            <w:vAlign w:val="center"/>
          </w:tcPr>
          <w:p w14:paraId="7FA79F73" w14:textId="77777777" w:rsidR="00394A1D" w:rsidRPr="001143F2" w:rsidRDefault="00394A1D">
            <w:pPr>
              <w:spacing w:before="60" w:after="60" w:line="240" w:lineRule="auto"/>
              <w:jc w:val="left"/>
              <w:rPr>
                <w:rFonts w:ascii="Arial" w:eastAsia="Arial" w:hAnsi="Arial" w:cs="Times New Roman"/>
                <w:iCs/>
                <w:szCs w:val="20"/>
              </w:rPr>
            </w:pPr>
            <w:r w:rsidRPr="001143F2">
              <w:rPr>
                <w:rFonts w:ascii="Arial" w:eastAsia="Arial" w:hAnsi="Arial" w:cs="Times New Roman"/>
                <w:bCs/>
                <w:iCs/>
                <w:noProof/>
                <w:szCs w:val="20"/>
                <w:lang w:val="en-NZ"/>
              </w:rPr>
              <w:drawing>
                <wp:inline distT="0" distB="0" distL="0" distR="0" wp14:anchorId="71D17C90" wp14:editId="35CFBB6B">
                  <wp:extent cx="238125" cy="238125"/>
                  <wp:effectExtent l="0" t="0" r="9525" b="9525"/>
                  <wp:docPr id="77412796" name="Picture 774127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2796" name="Picture 77412796">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2" w:space="0" w:color="36424A"/>
              <w:right w:val="single" w:sz="18" w:space="0" w:color="535552"/>
            </w:tcBorders>
            <w:shd w:val="clear" w:color="auto" w:fill="EBECED"/>
            <w:vAlign w:val="center"/>
          </w:tcPr>
          <w:p w14:paraId="5C9D02BA" w14:textId="77777777" w:rsidR="00394A1D" w:rsidRPr="001143F2" w:rsidRDefault="00394A1D">
            <w:pPr>
              <w:spacing w:before="60" w:after="60" w:line="240" w:lineRule="auto"/>
              <w:jc w:val="left"/>
              <w:rPr>
                <w:rFonts w:ascii="Arial" w:eastAsia="Arial" w:hAnsi="Arial" w:cs="Times New Roman"/>
                <w:iCs/>
                <w:szCs w:val="20"/>
              </w:rPr>
            </w:pPr>
            <w:r w:rsidRPr="001143F2">
              <w:rPr>
                <w:rFonts w:ascii="Arial" w:eastAsia="Arial" w:hAnsi="Arial" w:cs="Times New Roman"/>
                <w:iCs/>
                <w:szCs w:val="20"/>
              </w:rPr>
              <w:t>Medium term</w:t>
            </w:r>
          </w:p>
        </w:tc>
      </w:tr>
      <w:tr w:rsidR="00394A1D" w:rsidRPr="001143F2" w14:paraId="7CFB4F91" w14:textId="77777777">
        <w:trPr>
          <w:trHeight w:val="821"/>
        </w:trPr>
        <w:tc>
          <w:tcPr>
            <w:tcW w:w="9117" w:type="dxa"/>
            <w:gridSpan w:val="2"/>
            <w:tcBorders>
              <w:top w:val="single" w:sz="12" w:space="0" w:color="36424A"/>
              <w:left w:val="single" w:sz="18" w:space="0" w:color="535552"/>
              <w:bottom w:val="dashed" w:sz="4" w:space="0" w:color="36424A"/>
              <w:right w:val="single" w:sz="18" w:space="0" w:color="535552"/>
            </w:tcBorders>
            <w:shd w:val="clear" w:color="auto" w:fill="FFFFFF"/>
            <w:vAlign w:val="center"/>
          </w:tcPr>
          <w:p w14:paraId="23609D5B" w14:textId="77777777" w:rsidR="00394A1D" w:rsidRPr="001143F2" w:rsidRDefault="00394A1D">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lastRenderedPageBreak/>
              <w:t>5</w:t>
            </w:r>
          </w:p>
          <w:p w14:paraId="4C816288" w14:textId="77777777" w:rsidR="00394A1D" w:rsidRPr="001143F2" w:rsidRDefault="00394A1D">
            <w:pPr>
              <w:spacing w:before="60" w:afterLines="60" w:after="144" w:line="240" w:lineRule="auto"/>
              <w:jc w:val="left"/>
              <w:rPr>
                <w:rFonts w:ascii="Arial" w:eastAsia="Arial" w:hAnsi="Arial" w:cs="Times New Roman"/>
                <w:b/>
                <w:iCs/>
                <w:szCs w:val="20"/>
                <w:lang w:val="en-NZ"/>
              </w:rPr>
            </w:pPr>
            <w:r w:rsidRPr="001143F2">
              <w:rPr>
                <w:rFonts w:ascii="Arial" w:eastAsia="Arial" w:hAnsi="Arial" w:cs="Times New Roman"/>
                <w:b/>
                <w:iCs/>
                <w:szCs w:val="20"/>
                <w:lang w:val="en-NZ"/>
              </w:rPr>
              <w:t>Increase investment to support the development of a strong and stable Aboriginal and Torres Strait Islander PHC workforce.</w:t>
            </w:r>
          </w:p>
          <w:p w14:paraId="1AADD745" w14:textId="77777777" w:rsidR="00394A1D" w:rsidRPr="001143F2" w:rsidRDefault="00394A1D">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 xml:space="preserve">To ensure a strong and stable workforce is available to support the delivery of community-controlled PHC services funded through the IAHP, the Department of Health and Aged Care to coordinate across the department (and with other government agencies with accountability for workforce training and regulation), to secure and build investment and improve conditions of employment for the Aboriginal and Torres Strait Islander PHC workforce. </w:t>
            </w:r>
          </w:p>
          <w:p w14:paraId="1A284012" w14:textId="77777777" w:rsidR="00394A1D" w:rsidRPr="001143F2" w:rsidRDefault="00394A1D">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In implementing this recommendation, the evaluation suggests:</w:t>
            </w:r>
          </w:p>
          <w:p w14:paraId="152EA964"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Undertaking a pay parity review, and subsequently acting on the review’s findings, to better understand salary inequities for Aboriginal and Torres Strait Islander Health Workers and Health Practitioners working in different workplace settings, including ACCHSs and mainstream health services.</w:t>
            </w:r>
          </w:p>
          <w:p w14:paraId="3A25134E"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Strengthening incentives for employing, training and retaining a larger and more diverse (for example, gender diversity and across a range of roles) Aboriginal and Torres Strait Islander health workforce (for example, recognising skills, training, unique roles and cultural load through micro-credentialling and conditions of employment). </w:t>
            </w:r>
          </w:p>
          <w:p w14:paraId="3B627718"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Continuing to factor in costs associated with community-controlled health services hosting Aboriginal and Torres Strait Islander </w:t>
            </w:r>
            <w:r>
              <w:rPr>
                <w:rFonts w:ascii="Arial" w:eastAsia="Arial" w:hAnsi="Arial" w:cs="Times New Roman"/>
                <w:bCs/>
                <w:iCs/>
                <w:szCs w:val="20"/>
              </w:rPr>
              <w:t>health worker</w:t>
            </w:r>
            <w:r w:rsidRPr="001143F2">
              <w:rPr>
                <w:rFonts w:ascii="Arial" w:eastAsia="Arial" w:hAnsi="Arial" w:cs="Times New Roman"/>
                <w:bCs/>
                <w:iCs/>
                <w:szCs w:val="20"/>
              </w:rPr>
              <w:t xml:space="preserve"> trainees who require supervision and mentoring.</w:t>
            </w:r>
          </w:p>
          <w:p w14:paraId="4B7FB2CD"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rPr>
            </w:pPr>
            <w:r w:rsidRPr="001143F2">
              <w:rPr>
                <w:rFonts w:ascii="Arial" w:eastAsia="Arial" w:hAnsi="Arial" w:cs="Times New Roman"/>
                <w:bCs/>
                <w:iCs/>
                <w:szCs w:val="20"/>
              </w:rPr>
              <w:t>Considering the need to also grow and sustain the Aboriginal and Torres Strait Islander health workforce across mainstream services.</w:t>
            </w:r>
          </w:p>
        </w:tc>
      </w:tr>
      <w:tr w:rsidR="00394A1D" w:rsidRPr="001143F2" w14:paraId="53C34D25" w14:textId="77777777">
        <w:trPr>
          <w:trHeight w:val="423"/>
        </w:trPr>
        <w:tc>
          <w:tcPr>
            <w:tcW w:w="567" w:type="dxa"/>
            <w:tcBorders>
              <w:top w:val="dashed" w:sz="4" w:space="0" w:color="36424A"/>
              <w:left w:val="single" w:sz="18" w:space="0" w:color="535552"/>
              <w:bottom w:val="single" w:sz="12" w:space="0" w:color="36424A"/>
              <w:right w:val="nil"/>
            </w:tcBorders>
            <w:shd w:val="clear" w:color="auto" w:fill="EBECED"/>
            <w:vAlign w:val="center"/>
          </w:tcPr>
          <w:p w14:paraId="5028597F" w14:textId="77777777" w:rsidR="00394A1D" w:rsidRPr="001143F2" w:rsidRDefault="00394A1D">
            <w:pPr>
              <w:spacing w:before="60" w:after="60" w:line="240" w:lineRule="auto"/>
              <w:jc w:val="left"/>
              <w:rPr>
                <w:rFonts w:ascii="Arial" w:eastAsia="Arial" w:hAnsi="Arial" w:cs="Times New Roman"/>
                <w:iCs/>
                <w:szCs w:val="20"/>
              </w:rPr>
            </w:pPr>
            <w:r w:rsidRPr="001143F2">
              <w:rPr>
                <w:rFonts w:ascii="Arial" w:eastAsia="Arial" w:hAnsi="Arial" w:cs="Times New Roman"/>
                <w:bCs/>
                <w:iCs/>
                <w:noProof/>
                <w:szCs w:val="20"/>
                <w:lang w:val="en-NZ"/>
              </w:rPr>
              <w:drawing>
                <wp:inline distT="0" distB="0" distL="0" distR="0" wp14:anchorId="1F927D9A" wp14:editId="7D55BDB3">
                  <wp:extent cx="238125" cy="238125"/>
                  <wp:effectExtent l="0" t="0" r="9525" b="9525"/>
                  <wp:docPr id="1819445087" name="Picture 1819445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45087" name="Picture 1819445087">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2" w:space="0" w:color="36424A"/>
              <w:right w:val="single" w:sz="18" w:space="0" w:color="535552"/>
            </w:tcBorders>
            <w:shd w:val="clear" w:color="auto" w:fill="EBECED"/>
            <w:vAlign w:val="center"/>
          </w:tcPr>
          <w:p w14:paraId="36FE45AA" w14:textId="77777777" w:rsidR="00394A1D" w:rsidRPr="001143F2" w:rsidRDefault="00394A1D">
            <w:pPr>
              <w:spacing w:before="60" w:after="60" w:line="240" w:lineRule="auto"/>
              <w:jc w:val="left"/>
              <w:rPr>
                <w:rFonts w:ascii="Arial" w:eastAsia="Arial" w:hAnsi="Arial" w:cs="Times New Roman"/>
                <w:iCs/>
                <w:szCs w:val="20"/>
              </w:rPr>
            </w:pPr>
            <w:r w:rsidRPr="001143F2">
              <w:rPr>
                <w:rFonts w:ascii="Arial" w:eastAsia="Arial" w:hAnsi="Arial" w:cs="Times New Roman"/>
                <w:bCs/>
                <w:iCs/>
                <w:szCs w:val="20"/>
              </w:rPr>
              <w:t>Medium term</w:t>
            </w:r>
          </w:p>
        </w:tc>
      </w:tr>
      <w:tr w:rsidR="00394A1D" w:rsidRPr="001143F2" w14:paraId="2F6A29EE" w14:textId="77777777">
        <w:trPr>
          <w:trHeight w:val="1265"/>
        </w:trPr>
        <w:tc>
          <w:tcPr>
            <w:tcW w:w="9117" w:type="dxa"/>
            <w:gridSpan w:val="2"/>
            <w:tcBorders>
              <w:top w:val="single" w:sz="12" w:space="0" w:color="36424A"/>
              <w:left w:val="single" w:sz="18" w:space="0" w:color="535552"/>
              <w:bottom w:val="dashed" w:sz="4" w:space="0" w:color="36424A"/>
              <w:right w:val="single" w:sz="18" w:space="0" w:color="535552"/>
            </w:tcBorders>
            <w:shd w:val="clear" w:color="auto" w:fill="FFFFFF"/>
            <w:vAlign w:val="center"/>
          </w:tcPr>
          <w:p w14:paraId="06735BBD" w14:textId="77777777" w:rsidR="00394A1D" w:rsidRPr="001143F2" w:rsidRDefault="00394A1D">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t>6</w:t>
            </w:r>
          </w:p>
          <w:p w14:paraId="1293063A" w14:textId="77777777" w:rsidR="00394A1D" w:rsidRPr="001143F2" w:rsidRDefault="00394A1D">
            <w:pPr>
              <w:spacing w:before="60" w:afterLines="60" w:after="144" w:line="240" w:lineRule="auto"/>
              <w:jc w:val="left"/>
              <w:rPr>
                <w:rFonts w:ascii="Arial" w:eastAsia="Arial" w:hAnsi="Arial" w:cs="Times New Roman"/>
                <w:b/>
                <w:iCs/>
                <w:szCs w:val="20"/>
                <w:lang w:val="en-NZ"/>
              </w:rPr>
            </w:pPr>
            <w:r w:rsidRPr="001143F2">
              <w:rPr>
                <w:rFonts w:ascii="Arial" w:eastAsia="Arial" w:hAnsi="Arial" w:cs="Times New Roman"/>
                <w:b/>
                <w:iCs/>
                <w:szCs w:val="20"/>
                <w:lang w:val="en-NZ"/>
              </w:rPr>
              <w:t xml:space="preserve">Support </w:t>
            </w:r>
            <w:r w:rsidRPr="001143F2">
              <w:rPr>
                <w:rFonts w:ascii="Arial" w:eastAsia="Arial" w:hAnsi="Arial" w:cs="Times New Roman"/>
                <w:b/>
                <w:iCs/>
                <w:szCs w:val="20"/>
              </w:rPr>
              <w:t xml:space="preserve">ACCHSs </w:t>
            </w:r>
            <w:r w:rsidRPr="001143F2">
              <w:rPr>
                <w:rFonts w:ascii="Arial" w:eastAsia="Arial" w:hAnsi="Arial" w:cs="Times New Roman"/>
                <w:b/>
                <w:iCs/>
                <w:szCs w:val="20"/>
                <w:lang w:val="en-NZ"/>
              </w:rPr>
              <w:t>to connect regionally with other organisations to build partnerships and alliances that strengthen the community-controlled sector.</w:t>
            </w:r>
          </w:p>
          <w:p w14:paraId="2D62AB20" w14:textId="77A9003D" w:rsidR="00394A1D" w:rsidRPr="001143F2" w:rsidRDefault="00394A1D">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To enable community-controlled health services to build capability and support more integrated ways of working, funding through the IAHP to support ACCHSs to continue to lead the development of formal partnerships and alliances at a regional level.</w:t>
            </w:r>
            <w:r w:rsidR="00AA35E2">
              <w:rPr>
                <w:rFonts w:ascii="Arial" w:eastAsia="Arial" w:hAnsi="Arial" w:cs="Times New Roman"/>
                <w:iCs/>
                <w:szCs w:val="20"/>
              </w:rPr>
              <w:t xml:space="preserve"> </w:t>
            </w:r>
            <w:r w:rsidRPr="001143F2">
              <w:rPr>
                <w:rFonts w:ascii="Arial" w:eastAsia="Arial" w:hAnsi="Arial" w:cs="Times New Roman"/>
                <w:iCs/>
                <w:szCs w:val="20"/>
              </w:rPr>
              <w:t>These partnerships and alliances may target different health system enablers – such as service delivery, governance, workforce, information and data sharing – that strengthen the operational context for the IAHP.</w:t>
            </w:r>
          </w:p>
          <w:p w14:paraId="3D4BAC1D" w14:textId="77777777" w:rsidR="00394A1D" w:rsidRPr="001143F2" w:rsidRDefault="00394A1D">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In implementing this recommendation, the evaluation suggests:</w:t>
            </w:r>
          </w:p>
          <w:p w14:paraId="1B16A4F0"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Considering the role of the IAHP in addressing funding requirements to support ACCHSs to engage in formal partnerships.</w:t>
            </w:r>
          </w:p>
          <w:p w14:paraId="4EC23AD7"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Respecting ACCHSs rights to determine partnership arrangements (not forcing partnerships through conditional funding or other mechanisms).</w:t>
            </w:r>
          </w:p>
          <w:p w14:paraId="0C583807"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iCs/>
              </w:rPr>
            </w:pPr>
            <w:r w:rsidRPr="001143F2">
              <w:rPr>
                <w:rFonts w:ascii="Arial" w:eastAsia="Arial" w:hAnsi="Arial" w:cs="Times New Roman"/>
                <w:bCs/>
                <w:iCs/>
                <w:szCs w:val="20"/>
              </w:rPr>
              <w:t>Considering the benefits of supporting partnerships that go beyond ACCHSs (for example, between ACCHSs and mainstream organisations such as PHNs and local hospital networks).</w:t>
            </w:r>
          </w:p>
        </w:tc>
      </w:tr>
      <w:tr w:rsidR="00394A1D" w:rsidRPr="001143F2" w14:paraId="42617C29" w14:textId="77777777">
        <w:trPr>
          <w:trHeight w:val="408"/>
        </w:trPr>
        <w:tc>
          <w:tcPr>
            <w:tcW w:w="567" w:type="dxa"/>
            <w:tcBorders>
              <w:top w:val="dashed" w:sz="4" w:space="0" w:color="36424A"/>
              <w:left w:val="single" w:sz="18" w:space="0" w:color="535552"/>
              <w:bottom w:val="single" w:sz="12" w:space="0" w:color="36424A"/>
              <w:right w:val="nil"/>
            </w:tcBorders>
            <w:shd w:val="clear" w:color="auto" w:fill="EBECED"/>
            <w:vAlign w:val="center"/>
          </w:tcPr>
          <w:p w14:paraId="16D74A95" w14:textId="77777777" w:rsidR="00394A1D" w:rsidRPr="001143F2" w:rsidRDefault="00394A1D">
            <w:pPr>
              <w:spacing w:before="60" w:after="60" w:line="240" w:lineRule="auto"/>
              <w:jc w:val="left"/>
              <w:rPr>
                <w:rFonts w:ascii="Arial" w:eastAsia="Arial" w:hAnsi="Arial" w:cs="Times New Roman"/>
                <w:bCs/>
                <w:iCs/>
                <w:szCs w:val="20"/>
                <w:lang w:val="en-NZ"/>
              </w:rPr>
            </w:pPr>
            <w:r w:rsidRPr="001143F2">
              <w:rPr>
                <w:rFonts w:ascii="Arial" w:eastAsia="Arial" w:hAnsi="Arial" w:cs="Times New Roman"/>
                <w:bCs/>
                <w:iCs/>
                <w:noProof/>
                <w:szCs w:val="20"/>
                <w:lang w:val="en-NZ"/>
              </w:rPr>
              <w:drawing>
                <wp:inline distT="0" distB="0" distL="0" distR="0" wp14:anchorId="7A9189CA" wp14:editId="5D5B8751">
                  <wp:extent cx="238125" cy="238125"/>
                  <wp:effectExtent l="0" t="0" r="9525" b="9525"/>
                  <wp:docPr id="902018387" name="Picture 902018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18387" name="Picture 902018387">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36424A"/>
              <w:left w:val="nil"/>
              <w:bottom w:val="single" w:sz="12" w:space="0" w:color="36424A"/>
              <w:right w:val="single" w:sz="18" w:space="0" w:color="535552"/>
            </w:tcBorders>
            <w:shd w:val="clear" w:color="auto" w:fill="EBECED"/>
            <w:vAlign w:val="center"/>
          </w:tcPr>
          <w:p w14:paraId="5C54F5AB" w14:textId="77777777" w:rsidR="00394A1D" w:rsidRPr="001143F2" w:rsidRDefault="00394A1D">
            <w:pPr>
              <w:spacing w:before="60" w:after="60"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Medium term</w:t>
            </w:r>
          </w:p>
        </w:tc>
      </w:tr>
      <w:tr w:rsidR="00394A1D" w:rsidRPr="001143F2" w14:paraId="7EDE3A32" w14:textId="77777777">
        <w:trPr>
          <w:trHeight w:val="408"/>
        </w:trPr>
        <w:tc>
          <w:tcPr>
            <w:tcW w:w="9117" w:type="dxa"/>
            <w:gridSpan w:val="2"/>
            <w:tcBorders>
              <w:top w:val="single" w:sz="12" w:space="0" w:color="36424A"/>
              <w:left w:val="single" w:sz="18" w:space="0" w:color="535552"/>
              <w:bottom w:val="dashed" w:sz="4" w:space="0" w:color="9E6047"/>
              <w:right w:val="single" w:sz="18" w:space="0" w:color="535552"/>
            </w:tcBorders>
            <w:shd w:val="clear" w:color="auto" w:fill="FFFFFF"/>
            <w:vAlign w:val="center"/>
          </w:tcPr>
          <w:p w14:paraId="30E4FEF9" w14:textId="77777777" w:rsidR="00394A1D" w:rsidRPr="001143F2" w:rsidRDefault="00394A1D">
            <w:pPr>
              <w:spacing w:before="60" w:after="60" w:line="240" w:lineRule="auto"/>
              <w:jc w:val="left"/>
              <w:rPr>
                <w:rFonts w:ascii="Arial" w:eastAsia="Arial" w:hAnsi="Arial" w:cs="Times New Roman"/>
                <w:b/>
                <w:bCs/>
                <w:iCs/>
                <w:sz w:val="32"/>
                <w:szCs w:val="32"/>
              </w:rPr>
            </w:pPr>
            <w:r w:rsidRPr="001143F2">
              <w:rPr>
                <w:rFonts w:ascii="Arial" w:eastAsia="Arial" w:hAnsi="Arial" w:cs="Times New Roman"/>
                <w:b/>
                <w:bCs/>
                <w:iCs/>
                <w:sz w:val="32"/>
                <w:szCs w:val="32"/>
              </w:rPr>
              <w:lastRenderedPageBreak/>
              <w:t>7</w:t>
            </w:r>
          </w:p>
          <w:p w14:paraId="5C165446" w14:textId="77777777" w:rsidR="00394A1D" w:rsidRPr="001143F2" w:rsidRDefault="00394A1D">
            <w:pPr>
              <w:spacing w:before="60" w:afterLines="60" w:after="144" w:line="240" w:lineRule="auto"/>
              <w:jc w:val="left"/>
              <w:rPr>
                <w:rFonts w:ascii="Arial" w:eastAsia="Arial" w:hAnsi="Arial" w:cs="Times New Roman"/>
                <w:b/>
                <w:iCs/>
                <w:szCs w:val="20"/>
                <w:lang w:val="en-NZ"/>
              </w:rPr>
            </w:pPr>
            <w:r w:rsidRPr="001143F2">
              <w:rPr>
                <w:rFonts w:ascii="Arial" w:eastAsia="Arial" w:hAnsi="Arial" w:cs="Times New Roman"/>
                <w:b/>
                <w:iCs/>
                <w:szCs w:val="20"/>
                <w:lang w:val="en-NZ"/>
              </w:rPr>
              <w:t>Increase the flexibility and coherency of funding, including through the IAHP, to support the delivery of comprehensive PHC to Aboriginal and Torres Strait Islander people and communities.</w:t>
            </w:r>
          </w:p>
          <w:p w14:paraId="5FABD5A6" w14:textId="77777777" w:rsidR="00394A1D" w:rsidRPr="001143F2" w:rsidRDefault="00394A1D">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To further enable self-determination and more streamlined and integrated policy responses to Aboriginal and Torres Strait Islander comprehensive PHC, the Department of Health and Aged Care to coordinate across the department (and with other funders of comprehensive PHC) to develop more flexible and coherent funding and reporting systems. This will strengthen the alignment between the IAHP and other government funding programs.</w:t>
            </w:r>
          </w:p>
          <w:p w14:paraId="777FA13F" w14:textId="77777777" w:rsidR="00394A1D" w:rsidRPr="001143F2" w:rsidRDefault="00394A1D">
            <w:pPr>
              <w:spacing w:before="60" w:afterLines="60" w:after="144" w:line="240" w:lineRule="auto"/>
              <w:jc w:val="left"/>
              <w:rPr>
                <w:rFonts w:ascii="Arial" w:eastAsia="Arial" w:hAnsi="Arial" w:cs="Times New Roman"/>
                <w:iCs/>
                <w:szCs w:val="20"/>
              </w:rPr>
            </w:pPr>
            <w:r w:rsidRPr="001143F2">
              <w:rPr>
                <w:rFonts w:ascii="Arial" w:eastAsia="Arial" w:hAnsi="Arial" w:cs="Times New Roman"/>
                <w:iCs/>
                <w:szCs w:val="20"/>
              </w:rPr>
              <w:t>In implementing this recommendation, the evaluation suggests:</w:t>
            </w:r>
          </w:p>
          <w:p w14:paraId="4A4D265A" w14:textId="77777777" w:rsidR="00766B58" w:rsidRPr="001143F2" w:rsidRDefault="00766B58" w:rsidP="00766B58">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Developing needs-based and outcomes-</w:t>
            </w:r>
            <w:r>
              <w:rPr>
                <w:rFonts w:ascii="Arial" w:eastAsia="Arial" w:hAnsi="Arial" w:cs="Times New Roman"/>
                <w:bCs/>
                <w:iCs/>
                <w:szCs w:val="20"/>
              </w:rPr>
              <w:t>based</w:t>
            </w:r>
            <w:r w:rsidRPr="001143F2">
              <w:rPr>
                <w:rFonts w:ascii="Arial" w:eastAsia="Arial" w:hAnsi="Arial" w:cs="Times New Roman"/>
                <w:bCs/>
                <w:iCs/>
                <w:szCs w:val="20"/>
              </w:rPr>
              <w:t xml:space="preserve"> approaches to IAHP funding that accommodate flexibility in </w:t>
            </w:r>
            <w:r w:rsidRPr="006A060E">
              <w:rPr>
                <w:rFonts w:ascii="Arial" w:eastAsia="Arial" w:hAnsi="Arial" w:cs="Times New Roman"/>
                <w:i/>
                <w:szCs w:val="20"/>
              </w:rPr>
              <w:t>how</w:t>
            </w:r>
            <w:r w:rsidRPr="001143F2">
              <w:rPr>
                <w:rFonts w:ascii="Arial" w:eastAsia="Arial" w:hAnsi="Arial" w:cs="Times New Roman"/>
                <w:bCs/>
                <w:iCs/>
                <w:szCs w:val="20"/>
              </w:rPr>
              <w:t xml:space="preserve"> services and activities are delivered and empowers decision-making at the community level.</w:t>
            </w:r>
            <w:r>
              <w:rPr>
                <w:rFonts w:ascii="Arial" w:eastAsia="Arial" w:hAnsi="Arial" w:cs="Times New Roman"/>
                <w:bCs/>
                <w:iCs/>
                <w:szCs w:val="20"/>
              </w:rPr>
              <w:t xml:space="preserve"> Under outcomes-based approaches, funded organisations would be required to deliver, and report against, pre-defined outcomes. There would be flexibility in how these outcomes were achieved.</w:t>
            </w:r>
          </w:p>
          <w:p w14:paraId="72DBFC6D"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Maintaining a level of prescription to how services and activities are delivered where the model of care is supported by contextually-relevant evidence.</w:t>
            </w:r>
          </w:p>
          <w:p w14:paraId="041CD62B" w14:textId="77777777" w:rsidR="00766B58" w:rsidRPr="001143F2" w:rsidRDefault="00766B58" w:rsidP="00766B58">
            <w:pPr>
              <w:numPr>
                <w:ilvl w:val="0"/>
                <w:numId w:val="24"/>
              </w:numPr>
              <w:spacing w:before="60" w:afterLines="60" w:after="144" w:line="240" w:lineRule="auto"/>
              <w:ind w:left="601" w:hanging="357"/>
              <w:jc w:val="left"/>
              <w:rPr>
                <w:rFonts w:ascii="Arial" w:eastAsia="Arial" w:hAnsi="Arial" w:cs="Times New Roman"/>
                <w:bCs/>
                <w:iCs/>
                <w:szCs w:val="20"/>
              </w:rPr>
            </w:pPr>
            <w:r>
              <w:rPr>
                <w:rFonts w:ascii="Arial" w:eastAsia="Arial" w:hAnsi="Arial" w:cs="Times New Roman"/>
                <w:bCs/>
                <w:iCs/>
                <w:szCs w:val="20"/>
              </w:rPr>
              <w:t>Identifying</w:t>
            </w:r>
            <w:r w:rsidRPr="001143F2">
              <w:rPr>
                <w:rFonts w:ascii="Arial" w:eastAsia="Arial" w:hAnsi="Arial" w:cs="Times New Roman"/>
                <w:bCs/>
                <w:iCs/>
                <w:szCs w:val="20"/>
              </w:rPr>
              <w:t xml:space="preserve"> opportunities to </w:t>
            </w:r>
            <w:r>
              <w:rPr>
                <w:rFonts w:ascii="Arial" w:eastAsia="Arial" w:hAnsi="Arial" w:cs="Times New Roman"/>
                <w:bCs/>
                <w:iCs/>
                <w:szCs w:val="20"/>
              </w:rPr>
              <w:t xml:space="preserve">work </w:t>
            </w:r>
            <w:r w:rsidRPr="001143F2">
              <w:rPr>
                <w:rFonts w:ascii="Arial" w:eastAsia="Arial" w:hAnsi="Arial" w:cs="Times New Roman"/>
                <w:bCs/>
                <w:iCs/>
                <w:szCs w:val="20"/>
              </w:rPr>
              <w:t>across governments and government</w:t>
            </w:r>
            <w:r>
              <w:rPr>
                <w:rFonts w:ascii="Arial" w:eastAsia="Arial" w:hAnsi="Arial" w:cs="Times New Roman"/>
                <w:bCs/>
                <w:iCs/>
                <w:szCs w:val="20"/>
              </w:rPr>
              <w:t>-funded</w:t>
            </w:r>
            <w:r w:rsidRPr="001143F2">
              <w:rPr>
                <w:rFonts w:ascii="Arial" w:eastAsia="Arial" w:hAnsi="Arial" w:cs="Times New Roman"/>
                <w:bCs/>
                <w:iCs/>
                <w:szCs w:val="20"/>
              </w:rPr>
              <w:t xml:space="preserve"> </w:t>
            </w:r>
            <w:r>
              <w:rPr>
                <w:rFonts w:ascii="Arial" w:eastAsia="Arial" w:hAnsi="Arial" w:cs="Times New Roman"/>
                <w:bCs/>
                <w:iCs/>
                <w:szCs w:val="20"/>
              </w:rPr>
              <w:t>services to develop more integrated approaches to funding PHC</w:t>
            </w:r>
            <w:r w:rsidRPr="001143F2">
              <w:rPr>
                <w:rFonts w:ascii="Arial" w:eastAsia="Arial" w:hAnsi="Arial" w:cs="Times New Roman"/>
                <w:bCs/>
                <w:iCs/>
                <w:szCs w:val="20"/>
              </w:rPr>
              <w:t>.</w:t>
            </w:r>
          </w:p>
          <w:p w14:paraId="6BD1803C"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Strengthening the delivery of comprehensive PHC by re-integrating social and emotional wellbeing and alcohol and drug program funding into the IAHP.</w:t>
            </w:r>
          </w:p>
          <w:p w14:paraId="5F3165DF"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 xml:space="preserve">Reviewing reporting frameworks for government funding provided to the ACCHS sector to identify opportunities to minimise and/or streamline reporting requirements while maintaining accountability (for example, strengthening of outcomes-based performance measures, consistent reporting timeframes and language, reducing redundancy, and opportunities for digitalisation. </w:t>
            </w:r>
          </w:p>
          <w:p w14:paraId="051E0165" w14:textId="77777777" w:rsidR="00394A1D" w:rsidRPr="001143F2"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1143F2">
              <w:rPr>
                <w:rFonts w:ascii="Arial" w:eastAsia="Arial" w:hAnsi="Arial" w:cs="Times New Roman"/>
                <w:bCs/>
                <w:iCs/>
                <w:szCs w:val="20"/>
              </w:rPr>
              <w:t>Designing reporting requirements for new programs and activities in partnership with providers ACCHSs to account for context of their overall reporting requirements and so that opportunities to streamline with existing reporting is maximised.</w:t>
            </w:r>
          </w:p>
          <w:p w14:paraId="6B2829F3" w14:textId="77777777" w:rsidR="00394A1D" w:rsidRPr="001143F2" w:rsidRDefault="00394A1D">
            <w:pPr>
              <w:spacing w:before="60" w:afterLines="60" w:after="144"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This recommendation recognises the comparative strengths of the IAHP within a complex funding system across multiple governments (Australian, state and territory) and agencies, and the opportunity to build on the strengths and the experience of the IAHP to support further improvement across government agencies involved in funding Aboriginal and Torres Strait Islander health services.</w:t>
            </w:r>
          </w:p>
        </w:tc>
      </w:tr>
      <w:tr w:rsidR="00394A1D" w:rsidRPr="001143F2" w14:paraId="0A9E312F" w14:textId="77777777">
        <w:trPr>
          <w:trHeight w:val="408"/>
        </w:trPr>
        <w:tc>
          <w:tcPr>
            <w:tcW w:w="567" w:type="dxa"/>
            <w:tcBorders>
              <w:top w:val="dashed" w:sz="4" w:space="0" w:color="9E6047"/>
              <w:left w:val="single" w:sz="18" w:space="0" w:color="535552"/>
              <w:bottom w:val="single" w:sz="18" w:space="0" w:color="535552"/>
              <w:right w:val="nil"/>
            </w:tcBorders>
            <w:shd w:val="clear" w:color="auto" w:fill="EBECED"/>
            <w:vAlign w:val="center"/>
          </w:tcPr>
          <w:p w14:paraId="2E6B9829" w14:textId="77777777" w:rsidR="00394A1D" w:rsidRPr="001143F2" w:rsidRDefault="00394A1D">
            <w:pPr>
              <w:spacing w:before="60" w:after="60" w:line="240" w:lineRule="auto"/>
              <w:jc w:val="left"/>
              <w:rPr>
                <w:rFonts w:ascii="Arial" w:eastAsia="Arial" w:hAnsi="Arial" w:cs="Times New Roman"/>
                <w:bCs/>
                <w:iCs/>
                <w:noProof/>
                <w:szCs w:val="20"/>
                <w:lang w:val="en-NZ"/>
              </w:rPr>
            </w:pPr>
            <w:r w:rsidRPr="001143F2">
              <w:rPr>
                <w:rFonts w:ascii="Arial" w:eastAsia="Arial" w:hAnsi="Arial" w:cs="Times New Roman"/>
                <w:bCs/>
                <w:iCs/>
                <w:noProof/>
                <w:szCs w:val="20"/>
                <w:lang w:val="en-NZ"/>
              </w:rPr>
              <w:drawing>
                <wp:inline distT="0" distB="0" distL="0" distR="0" wp14:anchorId="4BF8C8DC" wp14:editId="1B63220B">
                  <wp:extent cx="238125" cy="238125"/>
                  <wp:effectExtent l="0" t="0" r="9525" b="9525"/>
                  <wp:docPr id="819999566" name="Picture 819999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99566" name="Picture 819999566">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0" w:type="dxa"/>
            <w:tcBorders>
              <w:top w:val="dashed" w:sz="4" w:space="0" w:color="9E6047"/>
              <w:left w:val="nil"/>
              <w:bottom w:val="single" w:sz="18" w:space="0" w:color="535552"/>
              <w:right w:val="single" w:sz="18" w:space="0" w:color="535552"/>
            </w:tcBorders>
            <w:shd w:val="clear" w:color="auto" w:fill="EBECED"/>
            <w:vAlign w:val="center"/>
          </w:tcPr>
          <w:p w14:paraId="70B92A71" w14:textId="77777777" w:rsidR="00394A1D" w:rsidRPr="001143F2" w:rsidRDefault="00394A1D">
            <w:pPr>
              <w:spacing w:before="60" w:after="60" w:line="240" w:lineRule="auto"/>
              <w:jc w:val="left"/>
              <w:rPr>
                <w:rFonts w:ascii="Arial" w:eastAsia="Arial" w:hAnsi="Arial" w:cs="Times New Roman"/>
                <w:bCs/>
                <w:iCs/>
                <w:szCs w:val="20"/>
                <w:lang w:val="en-NZ"/>
              </w:rPr>
            </w:pPr>
            <w:r w:rsidRPr="001143F2">
              <w:rPr>
                <w:rFonts w:ascii="Arial" w:eastAsia="Arial" w:hAnsi="Arial" w:cs="Times New Roman"/>
                <w:bCs/>
                <w:iCs/>
                <w:szCs w:val="20"/>
                <w:lang w:val="en-NZ"/>
              </w:rPr>
              <w:t>Immediate – Medium term</w:t>
            </w:r>
          </w:p>
        </w:tc>
      </w:tr>
    </w:tbl>
    <w:p w14:paraId="1B9AFE0A" w14:textId="5C44F327" w:rsidR="001D7A4A" w:rsidRPr="001D7A4A" w:rsidRDefault="001D7A4A" w:rsidP="001D7A4A"/>
    <w:p w14:paraId="24107BA8" w14:textId="77777777" w:rsidR="001D7A4A" w:rsidRPr="001D7A4A" w:rsidRDefault="001D7A4A" w:rsidP="001D7A4A">
      <w:pPr>
        <w:jc w:val="left"/>
      </w:pPr>
      <w:r w:rsidRPr="001D7A4A">
        <w:br w:type="page"/>
      </w:r>
    </w:p>
    <w:p w14:paraId="4F7FF053" w14:textId="0140EFB2" w:rsidR="001D7A4A" w:rsidRPr="001D7A4A" w:rsidRDefault="001D7A4A" w:rsidP="0035030F">
      <w:pPr>
        <w:pStyle w:val="Heading2"/>
      </w:pPr>
      <w:r w:rsidRPr="001D7A4A">
        <w:lastRenderedPageBreak/>
        <w:t xml:space="preserve"> </w:t>
      </w:r>
      <w:bookmarkStart w:id="355" w:name="_Toc137208962"/>
      <w:r w:rsidRPr="001D7A4A">
        <w:t>Transforming government organisations</w:t>
      </w:r>
      <w:bookmarkEnd w:id="355"/>
    </w:p>
    <w:p w14:paraId="7A338BE5" w14:textId="77777777" w:rsidR="001D7A4A" w:rsidRPr="001D7A4A" w:rsidRDefault="001D7A4A" w:rsidP="001D7A4A">
      <w:pPr>
        <w:rPr>
          <w:iCs/>
        </w:rPr>
      </w:pPr>
      <w:r w:rsidRPr="001D7A4A">
        <w:t xml:space="preserve">Recommendations aligned to Priority Reform 3 will support transformation of mainstream institutions, including the Department of Health and Aged Care, PHNs and local hospital networks, to make them culturally safe and responsive to the health needs of Aboriginal and Torres Strait Islander people. These recommendations will also support strengthened relationships and partnerships between mainstream institutions and </w:t>
      </w:r>
      <w:r w:rsidRPr="001D7A4A">
        <w:rPr>
          <w:iCs/>
        </w:rPr>
        <w:t>Aboriginal and Torres Strait Islander organisations, communities and people.</w:t>
      </w:r>
    </w:p>
    <w:tbl>
      <w:tblPr>
        <w:tblStyle w:val="ACTableDesig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3"/>
      </w:tblGrid>
      <w:tr w:rsidR="001D7A4A" w:rsidRPr="001D7A4A" w14:paraId="25F16E35" w14:textId="7777777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23" w:type="dxa"/>
            <w:shd w:val="clear" w:color="auto" w:fill="DAF0F3"/>
          </w:tcPr>
          <w:p w14:paraId="268AD80A" w14:textId="77777777" w:rsidR="001D7A4A" w:rsidRPr="001D7A4A" w:rsidRDefault="001D7A4A" w:rsidP="001D7A4A">
            <w:pPr>
              <w:keepNext/>
              <w:spacing w:before="240" w:after="240" w:line="276" w:lineRule="auto"/>
              <w:ind w:left="142" w:right="142"/>
              <w:jc w:val="left"/>
              <w:outlineLvl w:val="5"/>
              <w:rPr>
                <w:rFonts w:cstheme="minorHAnsi"/>
                <w:bCs/>
                <w:iCs/>
                <w:color w:val="357DBE" w:themeColor="accent1"/>
                <w:sz w:val="28"/>
                <w:szCs w:val="28"/>
              </w:rPr>
            </w:pPr>
            <w:r w:rsidRPr="001D7A4A">
              <w:rPr>
                <w:rFonts w:cstheme="minorHAnsi"/>
                <w:bCs/>
                <w:iCs/>
                <w:color w:val="357DBE" w:themeColor="accent1"/>
                <w:sz w:val="28"/>
                <w:szCs w:val="28"/>
              </w:rPr>
              <w:t>Connection to policy priorities</w:t>
            </w:r>
          </w:p>
          <w:p w14:paraId="378EB73F" w14:textId="77777777" w:rsidR="001D7A4A" w:rsidRPr="001D7A4A" w:rsidRDefault="001D7A4A" w:rsidP="001D7A4A">
            <w:pPr>
              <w:spacing w:before="0" w:line="276" w:lineRule="auto"/>
              <w:ind w:left="142" w:right="142"/>
              <w:rPr>
                <w:rFonts w:asciiTheme="minorHAnsi" w:hAnsiTheme="minorHAnsi"/>
                <w:b w:val="0"/>
                <w:bCs/>
                <w:color w:val="auto"/>
                <w:szCs w:val="21"/>
              </w:rPr>
            </w:pPr>
            <w:r w:rsidRPr="001D7A4A">
              <w:rPr>
                <w:rFonts w:asciiTheme="minorHAnsi" w:hAnsiTheme="minorHAnsi"/>
                <w:color w:val="auto"/>
                <w:szCs w:val="21"/>
              </w:rPr>
              <w:t xml:space="preserve">Closing the </w:t>
            </w:r>
            <w:r w:rsidRPr="001D7A4A">
              <w:rPr>
                <w:rFonts w:asciiTheme="minorHAnsi" w:hAnsiTheme="minorHAnsi"/>
                <w:bCs/>
                <w:color w:val="auto"/>
                <w:szCs w:val="21"/>
              </w:rPr>
              <w:t>Gap</w:t>
            </w:r>
            <w:r w:rsidRPr="001D7A4A">
              <w:rPr>
                <w:rFonts w:asciiTheme="minorHAnsi" w:hAnsiTheme="minorHAnsi"/>
                <w:color w:val="auto"/>
                <w:szCs w:val="21"/>
              </w:rPr>
              <w:t xml:space="preserve">: </w:t>
            </w:r>
            <w:r w:rsidRPr="001D7A4A">
              <w:rPr>
                <w:rFonts w:asciiTheme="minorHAnsi" w:hAnsiTheme="minorHAnsi"/>
                <w:b w:val="0"/>
                <w:bCs/>
                <w:color w:val="auto"/>
                <w:szCs w:val="21"/>
              </w:rPr>
              <w:t>Transforming government organisations.</w:t>
            </w:r>
          </w:p>
          <w:p w14:paraId="7918CDE4" w14:textId="77777777" w:rsidR="001D7A4A" w:rsidRPr="001D7A4A" w:rsidRDefault="001D7A4A" w:rsidP="001D7A4A">
            <w:pPr>
              <w:spacing w:before="0" w:line="276" w:lineRule="auto"/>
              <w:ind w:left="142" w:right="142"/>
              <w:rPr>
                <w:bCs/>
                <w:color w:val="auto"/>
                <w:szCs w:val="21"/>
              </w:rPr>
            </w:pPr>
            <w:r w:rsidRPr="001D7A4A">
              <w:rPr>
                <w:rFonts w:asciiTheme="minorHAnsi" w:hAnsiTheme="minorHAnsi"/>
                <w:bCs/>
                <w:color w:val="auto"/>
                <w:szCs w:val="21"/>
              </w:rPr>
              <w:t>Closing the Gap Implementation Plan 2023:</w:t>
            </w:r>
            <w:r w:rsidRPr="001D7A4A">
              <w:rPr>
                <w:rFonts w:asciiTheme="minorHAnsi" w:hAnsiTheme="minorHAnsi"/>
                <w:color w:val="auto"/>
                <w:szCs w:val="21"/>
              </w:rPr>
              <w:t xml:space="preserve"> </w:t>
            </w:r>
            <w:r w:rsidRPr="001D7A4A">
              <w:rPr>
                <w:rFonts w:asciiTheme="minorHAnsi" w:hAnsiTheme="minorHAnsi"/>
                <w:b w:val="0"/>
                <w:bCs/>
                <w:color w:val="auto"/>
                <w:szCs w:val="21"/>
              </w:rPr>
              <w:t>Target for a decrease in the proportion of Aboriginal and Torres Strait Islander people who have experiences of racism.</w:t>
            </w:r>
          </w:p>
          <w:p w14:paraId="479F9425" w14:textId="77777777" w:rsidR="001D7A4A" w:rsidRPr="001D7A4A" w:rsidRDefault="001D7A4A" w:rsidP="001D7A4A">
            <w:pPr>
              <w:spacing w:before="0" w:line="276" w:lineRule="auto"/>
              <w:ind w:left="142" w:right="142"/>
              <w:rPr>
                <w:b w:val="0"/>
                <w:szCs w:val="21"/>
                <w:lang w:val="en-US"/>
              </w:rPr>
            </w:pPr>
            <w:r w:rsidRPr="001D7A4A">
              <w:rPr>
                <w:bCs/>
                <w:szCs w:val="21"/>
                <w:lang w:val="en-US"/>
              </w:rPr>
              <w:t xml:space="preserve">Health Sector Strengthening Plan: </w:t>
            </w:r>
            <w:r w:rsidRPr="001D7A4A">
              <w:rPr>
                <w:b w:val="0"/>
                <w:szCs w:val="21"/>
                <w:lang w:val="en-US"/>
              </w:rPr>
              <w:t>Actions for strengthened Aboriginal and Torres Strait Islander community-controlled health sector including workforce, service delivery and governance.</w:t>
            </w:r>
          </w:p>
          <w:p w14:paraId="50033412" w14:textId="77777777" w:rsidR="001D7A4A" w:rsidRPr="001D7A4A" w:rsidRDefault="001D7A4A" w:rsidP="001D7A4A">
            <w:pPr>
              <w:spacing w:before="0" w:after="240" w:line="276" w:lineRule="auto"/>
              <w:ind w:left="142" w:right="142"/>
              <w:rPr>
                <w:rFonts w:asciiTheme="minorHAnsi" w:hAnsiTheme="minorHAnsi"/>
                <w:color w:val="auto"/>
                <w:sz w:val="22"/>
                <w:szCs w:val="22"/>
              </w:rPr>
            </w:pPr>
            <w:r w:rsidRPr="001D7A4A">
              <w:rPr>
                <w:rFonts w:asciiTheme="minorHAnsi" w:hAnsiTheme="minorHAnsi"/>
                <w:color w:val="auto"/>
                <w:szCs w:val="21"/>
              </w:rPr>
              <w:t>National Aboriginal and Torres Strait Islander Health Plan 2021-2031:</w:t>
            </w:r>
            <w:r w:rsidRPr="001D7A4A">
              <w:rPr>
                <w:rFonts w:asciiTheme="minorHAnsi" w:hAnsiTheme="minorHAnsi"/>
                <w:b w:val="0"/>
                <w:color w:val="auto"/>
                <w:szCs w:val="21"/>
              </w:rPr>
              <w:t xml:space="preserve"> Mainstream services must be capable of providing high quality, culturally safe, trauma-aware, healing-informed, and responsive care.</w:t>
            </w:r>
          </w:p>
        </w:tc>
      </w:tr>
    </w:tbl>
    <w:p w14:paraId="3A1DAEA9" w14:textId="77777777" w:rsidR="001D7A4A" w:rsidRPr="001D7A4A" w:rsidRDefault="001D7A4A" w:rsidP="001D7A4A"/>
    <w:p w14:paraId="1FC26735" w14:textId="77777777" w:rsidR="001D7A4A" w:rsidRPr="001D7A4A" w:rsidRDefault="001D7A4A" w:rsidP="001D7A4A">
      <w:pPr>
        <w:rPr>
          <w:szCs w:val="21"/>
        </w:rPr>
      </w:pPr>
      <w:r w:rsidRPr="001D7A4A">
        <w:rPr>
          <w:szCs w:val="21"/>
        </w:rPr>
        <w:t xml:space="preserve">The </w:t>
      </w:r>
      <w:r w:rsidRPr="001D7A4A">
        <w:rPr>
          <w:b/>
          <w:bCs/>
          <w:szCs w:val="21"/>
        </w:rPr>
        <w:t>intent</w:t>
      </w:r>
      <w:r w:rsidRPr="001D7A4A">
        <w:rPr>
          <w:szCs w:val="21"/>
        </w:rPr>
        <w:t xml:space="preserve"> of these recommendations is to improve the quality of care provided by mainstream health services to Aboriginal and Torres Strait Islander people, such that all mainstream services for Aboriginal and Torres Strait Islander people are providing culturally safe, trauma-aware, healing-informed, and responsive care. Further, that all primary care services for </w:t>
      </w:r>
      <w:r w:rsidRPr="001D7A4A">
        <w:t>Aboriginal and Torres Strait Islander people</w:t>
      </w:r>
      <w:r w:rsidRPr="001D7A4A">
        <w:rPr>
          <w:szCs w:val="21"/>
        </w:rPr>
        <w:t xml:space="preserve"> provide comprehensive PHC. Underpinning and sustaining this future state will be increased influence of </w:t>
      </w:r>
      <w:r w:rsidRPr="001D7A4A">
        <w:t xml:space="preserve">Aboriginal and Torres Strait Islander </w:t>
      </w:r>
      <w:r w:rsidRPr="001D7A4A">
        <w:rPr>
          <w:szCs w:val="21"/>
        </w:rPr>
        <w:t>communities over all health services provided to Aboriginal and Torres Strait Islander people.</w:t>
      </w:r>
    </w:p>
    <w:p w14:paraId="7FFE1F9C" w14:textId="51AD9C1D" w:rsidR="001D7A4A" w:rsidRPr="001D7A4A" w:rsidRDefault="001D7A4A" w:rsidP="001D7A4A">
      <w:pPr>
        <w:rPr>
          <w:lang w:val="en-US"/>
        </w:rPr>
      </w:pPr>
      <w:r w:rsidRPr="001D7A4A">
        <w:rPr>
          <w:szCs w:val="21"/>
          <w:lang w:val="en-US"/>
        </w:rPr>
        <w:t xml:space="preserve">Transforming the experience and outcomes of care for Aboriginal and Torres Strait Islander people in mainstream services is essential for meeting Closing the Gap health targets. Similarly, improving the quality of care provided by mainstream services is essential to lifting the performance of the IAHP. Turning this around, the </w:t>
      </w:r>
      <w:r w:rsidRPr="001D7A4A">
        <w:rPr>
          <w:lang w:val="en-US"/>
        </w:rPr>
        <w:t>existence and growth of the ACCHS sector has a positive influence on mainstream service provision though demonstrating innovation in models of care, including the practice of community control, management and reporting of chronic disease management, and a culture of transparency and public reporting of their finances and activities. The recommendations under Priority Reform 2 and 3 are, therefore, interconnected.</w:t>
      </w:r>
    </w:p>
    <w:p w14:paraId="0C4AF648" w14:textId="77777777" w:rsidR="00394A1D" w:rsidRDefault="00394A1D">
      <w:pPr>
        <w:jc w:val="left"/>
        <w:rPr>
          <w:lang w:val="en-US"/>
        </w:rPr>
      </w:pPr>
      <w:r>
        <w:rPr>
          <w:lang w:val="en-US"/>
        </w:rPr>
        <w:br w:type="page"/>
      </w:r>
    </w:p>
    <w:tbl>
      <w:tblPr>
        <w:tblW w:w="9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51"/>
      </w:tblGrid>
      <w:tr w:rsidR="00394A1D" w:rsidRPr="00CA1206" w14:paraId="03DA126F" w14:textId="77777777">
        <w:trPr>
          <w:trHeight w:val="264"/>
        </w:trPr>
        <w:tc>
          <w:tcPr>
            <w:tcW w:w="9118"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3E920BC3" w14:textId="77777777" w:rsidR="00394A1D" w:rsidRPr="00CA1206" w:rsidRDefault="00394A1D">
            <w:pPr>
              <w:spacing w:before="60" w:afterLines="60" w:after="144" w:line="240" w:lineRule="auto"/>
              <w:jc w:val="left"/>
              <w:rPr>
                <w:rFonts w:ascii="Arial" w:eastAsia="Arial" w:hAnsi="Arial" w:cs="Times New Roman"/>
                <w:bCs/>
                <w:iCs/>
                <w:color w:val="FFFFFF"/>
                <w:sz w:val="26"/>
                <w:szCs w:val="26"/>
                <w:lang w:val="en-NZ"/>
              </w:rPr>
            </w:pPr>
            <w:r w:rsidRPr="00CA1206">
              <w:rPr>
                <w:rFonts w:ascii="Arial" w:eastAsia="Arial" w:hAnsi="Arial" w:cs="Times New Roman"/>
                <w:b/>
                <w:bCs/>
                <w:sz w:val="26"/>
                <w:szCs w:val="26"/>
              </w:rPr>
              <w:lastRenderedPageBreak/>
              <w:t xml:space="preserve">Recommendations: </w:t>
            </w:r>
            <w:r w:rsidRPr="00CA1206">
              <w:rPr>
                <w:rFonts w:ascii="Arial" w:eastAsia="Arial" w:hAnsi="Arial" w:cs="Times New Roman"/>
                <w:b/>
                <w:iCs/>
                <w:sz w:val="26"/>
                <w:szCs w:val="26"/>
              </w:rPr>
              <w:t>Transforming government organisations</w:t>
            </w:r>
          </w:p>
        </w:tc>
      </w:tr>
      <w:tr w:rsidR="00394A1D" w:rsidRPr="00CA1206" w14:paraId="5BD818AC" w14:textId="77777777">
        <w:trPr>
          <w:trHeight w:val="5422"/>
        </w:trPr>
        <w:tc>
          <w:tcPr>
            <w:tcW w:w="9118" w:type="dxa"/>
            <w:gridSpan w:val="2"/>
            <w:tcBorders>
              <w:top w:val="single" w:sz="8" w:space="0" w:color="535552"/>
              <w:left w:val="single" w:sz="18" w:space="0" w:color="535552"/>
              <w:bottom w:val="dashed" w:sz="4" w:space="0" w:color="808080"/>
              <w:right w:val="single" w:sz="18" w:space="0" w:color="535552"/>
            </w:tcBorders>
            <w:shd w:val="clear" w:color="auto" w:fill="FFFFFF"/>
            <w:vAlign w:val="center"/>
          </w:tcPr>
          <w:p w14:paraId="6001D096" w14:textId="77777777" w:rsidR="00394A1D" w:rsidRPr="00CA1206" w:rsidRDefault="00394A1D">
            <w:pPr>
              <w:spacing w:before="60" w:afterLines="60" w:after="144" w:line="240" w:lineRule="auto"/>
              <w:jc w:val="left"/>
              <w:rPr>
                <w:rFonts w:ascii="Arial" w:eastAsia="Arial" w:hAnsi="Arial" w:cs="Times New Roman"/>
                <w:b/>
                <w:iCs/>
                <w:sz w:val="32"/>
                <w:szCs w:val="32"/>
                <w:lang w:val="en-NZ"/>
              </w:rPr>
            </w:pPr>
            <w:r w:rsidRPr="00CA1206">
              <w:rPr>
                <w:rFonts w:ascii="Arial" w:eastAsia="Arial" w:hAnsi="Arial" w:cs="Times New Roman"/>
                <w:b/>
                <w:iCs/>
                <w:sz w:val="32"/>
                <w:szCs w:val="32"/>
                <w:lang w:val="en-NZ"/>
              </w:rPr>
              <w:t>8</w:t>
            </w:r>
          </w:p>
          <w:p w14:paraId="5FE2D4FD" w14:textId="77777777" w:rsidR="00394A1D" w:rsidRPr="00CA1206" w:rsidRDefault="00394A1D">
            <w:pPr>
              <w:spacing w:before="60" w:afterLines="60" w:after="144" w:line="240" w:lineRule="auto"/>
              <w:jc w:val="left"/>
              <w:rPr>
                <w:rFonts w:ascii="Arial" w:eastAsia="Arial" w:hAnsi="Arial" w:cs="Times New Roman"/>
                <w:b/>
                <w:iCs/>
                <w:szCs w:val="20"/>
                <w:lang w:val="en-NZ"/>
              </w:rPr>
            </w:pPr>
            <w:r w:rsidRPr="00CA1206">
              <w:rPr>
                <w:rFonts w:ascii="Arial" w:eastAsia="Arial" w:hAnsi="Arial" w:cs="Times New Roman"/>
                <w:b/>
                <w:iCs/>
                <w:szCs w:val="20"/>
                <w:lang w:val="en-NZ"/>
              </w:rPr>
              <w:t>Support partnerships between mainstream health organisations and Aboriginal and Torres Strait Islander people to improve the delivery of culturally safe and responsive services across the health system.</w:t>
            </w:r>
          </w:p>
          <w:p w14:paraId="73B04B3F" w14:textId="77777777" w:rsidR="00394A1D" w:rsidRPr="00CA1206" w:rsidRDefault="00394A1D">
            <w:pPr>
              <w:spacing w:before="60" w:afterLines="60" w:after="144" w:line="240" w:lineRule="auto"/>
              <w:jc w:val="left"/>
              <w:rPr>
                <w:rFonts w:ascii="Arial" w:eastAsia="Arial" w:hAnsi="Arial" w:cs="Times New Roman"/>
                <w:bCs/>
                <w:iCs/>
                <w:szCs w:val="20"/>
              </w:rPr>
            </w:pPr>
            <w:r w:rsidRPr="00CA1206">
              <w:rPr>
                <w:rFonts w:ascii="Arial" w:eastAsia="Arial" w:hAnsi="Arial" w:cs="Times New Roman"/>
                <w:bCs/>
                <w:iCs/>
                <w:szCs w:val="20"/>
              </w:rPr>
              <w:t>To improve the safety and responsiveness of mainstream health services and improve health and wellbeing outcomes across the patient journey, the Department of Health and Aged care to work with state and territory governments and Aboriginal and Torres Strait Islander people and organisations to partner in health service governance, commissioning, and delivery processes.</w:t>
            </w:r>
          </w:p>
          <w:p w14:paraId="2E41556A" w14:textId="77777777" w:rsidR="00394A1D" w:rsidRPr="00CA1206" w:rsidRDefault="00394A1D">
            <w:pPr>
              <w:spacing w:before="60" w:afterLines="60" w:after="144" w:line="240" w:lineRule="auto"/>
              <w:jc w:val="left"/>
              <w:rPr>
                <w:rFonts w:ascii="Arial" w:eastAsia="Arial" w:hAnsi="Arial" w:cs="Times New Roman"/>
                <w:iCs/>
                <w:szCs w:val="20"/>
              </w:rPr>
            </w:pPr>
            <w:r w:rsidRPr="00CA1206">
              <w:rPr>
                <w:rFonts w:ascii="Arial" w:eastAsia="Arial" w:hAnsi="Arial" w:cs="Times New Roman"/>
                <w:iCs/>
                <w:szCs w:val="20"/>
              </w:rPr>
              <w:t xml:space="preserve">In implementing this recommendation, the evaluation suggests additional funding be made available </w:t>
            </w:r>
            <w:r w:rsidR="00CD4312">
              <w:rPr>
                <w:rFonts w:ascii="Arial" w:eastAsia="Arial" w:hAnsi="Arial" w:cs="Times New Roman"/>
                <w:iCs/>
                <w:szCs w:val="20"/>
              </w:rPr>
              <w:t xml:space="preserve">by the department </w:t>
            </w:r>
            <w:r w:rsidR="00CD4312" w:rsidRPr="00CA1206">
              <w:rPr>
                <w:rFonts w:ascii="Arial" w:eastAsia="Arial" w:hAnsi="Arial" w:cs="Times New Roman"/>
                <w:iCs/>
                <w:szCs w:val="20"/>
              </w:rPr>
              <w:t>to enable:</w:t>
            </w:r>
          </w:p>
          <w:p w14:paraId="197CB828" w14:textId="77777777" w:rsidR="00394A1D" w:rsidRPr="00CA1206"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Partnerships between mainstream services, PHNs and Aboriginal and Torres Strait Islander organisations and people to identify opportunities to influence outcomes for Aboriginal and Torres Strait Islander people across the patient journey.</w:t>
            </w:r>
          </w:p>
          <w:p w14:paraId="60B1A3C8" w14:textId="77777777" w:rsidR="00394A1D" w:rsidRPr="00CA1206"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Strengthened participation of Aboriginal and Torres Strait Islander people in governance and leadership arrangements in mainstream health services, including local hospital networks.</w:t>
            </w:r>
          </w:p>
          <w:p w14:paraId="19E513EA" w14:textId="77777777" w:rsidR="00394A1D" w:rsidRPr="00CA1206"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Increased leadership and participation by Aboriginal and Torres Strait Islander communities in the commissioning of mainstream health services that are used by Aboriginal and Torres Strait Islander people, including in assessing needs, planning services, procuring services and monitoring the quality of services.</w:t>
            </w:r>
          </w:p>
          <w:p w14:paraId="0439ACD6" w14:textId="77777777" w:rsidR="00394A1D" w:rsidRPr="00CA1206"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The development of health service and operational responses that improve the quality, appropriateness and integration of care across health service settings. This may include, for example, partnerships between ACCHSs and local hospital networks to facilitate integrated care arrangements, including, where appropriate, the transfer of specific, hospital-based services to community-controlled health services. </w:t>
            </w:r>
          </w:p>
          <w:p w14:paraId="33A84364" w14:textId="77777777" w:rsidR="00394A1D" w:rsidRPr="00CA1206" w:rsidRDefault="00394A1D">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Increased investment in the ITC program to strengthen the ability of ACCHSs to support patients’ journeys through the health system. This may involve expanding eligibility under the ITC program to increase access to support services, including services across the patient journey such as hospital and outpatient care.</w:t>
            </w:r>
          </w:p>
          <w:p w14:paraId="592E2F44" w14:textId="77777777" w:rsidR="00394A1D" w:rsidRPr="00CA1206" w:rsidRDefault="00394A1D">
            <w:pPr>
              <w:spacing w:before="60" w:afterLines="60" w:after="144" w:line="240" w:lineRule="auto"/>
              <w:jc w:val="left"/>
              <w:rPr>
                <w:rFonts w:ascii="Arial" w:eastAsia="Arial" w:hAnsi="Arial" w:cs="Times New Roman"/>
                <w:iCs/>
                <w:lang w:val="en-NZ"/>
              </w:rPr>
            </w:pPr>
            <w:r w:rsidRPr="00CA1206">
              <w:rPr>
                <w:rFonts w:ascii="Arial" w:eastAsia="Arial" w:hAnsi="Arial" w:cs="Times New Roman"/>
                <w:bCs/>
                <w:iCs/>
                <w:szCs w:val="20"/>
              </w:rPr>
              <w:t xml:space="preserve">This recommendation is consistent with recommendations by the </w:t>
            </w:r>
            <w:r w:rsidRPr="00CA1206">
              <w:rPr>
                <w:rFonts w:ascii="Arial" w:eastAsia="Arial" w:hAnsi="Arial" w:cs="Times New Roman"/>
                <w:iCs/>
              </w:rPr>
              <w:t xml:space="preserve">Strengthening Medicare Taskforce to grow and invest in ACCHSs to commission primary care services for their communities; and to support local health system integration and person-centred care </w:t>
            </w:r>
            <w:r w:rsidRPr="00CA1206">
              <w:rPr>
                <w:rFonts w:ascii="Arial" w:eastAsia="Arial" w:hAnsi="Arial" w:cs="Times New Roman"/>
                <w:iCs/>
                <w:lang w:val="en-NZ"/>
              </w:rPr>
              <w:t>through PHNs working with local hospital networks, local practices, ACCHSs, pharmacies and other partners to facilitate integration of specialist and hospital services with primary care, and integrate primary care with mental health, aged care, community and disability services.</w:t>
            </w:r>
          </w:p>
        </w:tc>
      </w:tr>
      <w:tr w:rsidR="00394A1D" w:rsidRPr="00CA1206" w14:paraId="7FAB0A22" w14:textId="77777777">
        <w:trPr>
          <w:trHeight w:val="631"/>
        </w:trPr>
        <w:tc>
          <w:tcPr>
            <w:tcW w:w="567" w:type="dxa"/>
            <w:tcBorders>
              <w:top w:val="dashed" w:sz="4" w:space="0" w:color="808080"/>
              <w:left w:val="single" w:sz="18" w:space="0" w:color="535552"/>
              <w:bottom w:val="single" w:sz="12" w:space="0" w:color="808080"/>
              <w:right w:val="nil"/>
            </w:tcBorders>
            <w:shd w:val="clear" w:color="auto" w:fill="EBECED"/>
          </w:tcPr>
          <w:p w14:paraId="0C375794" w14:textId="77777777" w:rsidR="00394A1D" w:rsidRPr="00CA1206" w:rsidRDefault="00394A1D">
            <w:pPr>
              <w:spacing w:before="120" w:after="120" w:line="240" w:lineRule="auto"/>
              <w:jc w:val="left"/>
              <w:rPr>
                <w:rFonts w:ascii="Arial" w:eastAsia="Arial" w:hAnsi="Arial" w:cs="Times New Roman"/>
                <w:b/>
                <w:iCs/>
                <w:szCs w:val="20"/>
                <w:lang w:val="en-NZ"/>
              </w:rPr>
            </w:pPr>
            <w:r w:rsidRPr="00CA1206">
              <w:rPr>
                <w:rFonts w:ascii="Arial" w:eastAsia="Arial" w:hAnsi="Arial" w:cs="Times New Roman"/>
                <w:bCs/>
                <w:iCs/>
                <w:noProof/>
                <w:szCs w:val="20"/>
                <w:lang w:val="en-NZ"/>
              </w:rPr>
              <w:drawing>
                <wp:inline distT="0" distB="0" distL="0" distR="0" wp14:anchorId="5FB0AB31" wp14:editId="451DBDE3">
                  <wp:extent cx="238125" cy="238125"/>
                  <wp:effectExtent l="0" t="0" r="9525" b="9525"/>
                  <wp:docPr id="792277899" name="Picture 792277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77899" name="Picture 792277899">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1" w:type="dxa"/>
            <w:tcBorders>
              <w:top w:val="dashed" w:sz="4" w:space="0" w:color="808080"/>
              <w:left w:val="nil"/>
              <w:bottom w:val="single" w:sz="12" w:space="0" w:color="808080"/>
              <w:right w:val="single" w:sz="18" w:space="0" w:color="535552"/>
            </w:tcBorders>
            <w:shd w:val="clear" w:color="auto" w:fill="EBECED"/>
            <w:vAlign w:val="center"/>
          </w:tcPr>
          <w:p w14:paraId="42277B1E" w14:textId="77777777" w:rsidR="00394A1D" w:rsidRPr="00CA1206" w:rsidRDefault="00394A1D">
            <w:pPr>
              <w:spacing w:before="120" w:after="120" w:line="240" w:lineRule="auto"/>
              <w:jc w:val="left"/>
              <w:rPr>
                <w:rFonts w:ascii="Arial" w:eastAsia="Arial" w:hAnsi="Arial" w:cs="Times New Roman"/>
                <w:b/>
                <w:iCs/>
                <w:szCs w:val="20"/>
                <w:lang w:val="en-NZ"/>
              </w:rPr>
            </w:pPr>
            <w:r w:rsidRPr="00CA1206">
              <w:rPr>
                <w:rFonts w:ascii="Arial" w:eastAsia="Arial" w:hAnsi="Arial" w:cs="Times New Roman"/>
                <w:bCs/>
                <w:iCs/>
                <w:szCs w:val="20"/>
              </w:rPr>
              <w:t>Medium – Long term</w:t>
            </w:r>
          </w:p>
        </w:tc>
      </w:tr>
    </w:tbl>
    <w:p w14:paraId="7E5CA211" w14:textId="77777777" w:rsidR="00394A1D" w:rsidRPr="001D7A4A" w:rsidRDefault="00394A1D" w:rsidP="001D7A4A">
      <w:pPr>
        <w:rPr>
          <w:lang w:val="en-US"/>
        </w:rPr>
      </w:pPr>
    </w:p>
    <w:p w14:paraId="530FAF30" w14:textId="7811B426" w:rsidR="00E676A8" w:rsidRDefault="00E676A8">
      <w:pPr>
        <w:jc w:val="left"/>
        <w:rPr>
          <w:szCs w:val="21"/>
        </w:rPr>
      </w:pPr>
      <w:r>
        <w:rPr>
          <w:szCs w:val="21"/>
        </w:rPr>
        <w:br w:type="page"/>
      </w:r>
    </w:p>
    <w:tbl>
      <w:tblPr>
        <w:tblW w:w="9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51"/>
        <w:gridCol w:w="28"/>
      </w:tblGrid>
      <w:tr w:rsidR="001704F0" w:rsidRPr="00CA1206" w14:paraId="75301871" w14:textId="77777777">
        <w:trPr>
          <w:gridAfter w:val="1"/>
          <w:wAfter w:w="28" w:type="dxa"/>
        </w:trPr>
        <w:tc>
          <w:tcPr>
            <w:tcW w:w="9118" w:type="dxa"/>
            <w:gridSpan w:val="2"/>
            <w:tcBorders>
              <w:top w:val="single" w:sz="12" w:space="0" w:color="808080"/>
              <w:left w:val="single" w:sz="18" w:space="0" w:color="535552"/>
              <w:bottom w:val="dashed" w:sz="4" w:space="0" w:color="808080"/>
              <w:right w:val="single" w:sz="18" w:space="0" w:color="535552"/>
            </w:tcBorders>
            <w:shd w:val="clear" w:color="auto" w:fill="FFFFFF"/>
            <w:vAlign w:val="center"/>
          </w:tcPr>
          <w:p w14:paraId="20699F1A" w14:textId="77777777" w:rsidR="001704F0" w:rsidRPr="00CA1206" w:rsidRDefault="001704F0">
            <w:pPr>
              <w:spacing w:before="60" w:afterLines="60" w:after="144" w:line="240" w:lineRule="auto"/>
              <w:jc w:val="left"/>
              <w:rPr>
                <w:rFonts w:ascii="Arial" w:eastAsia="Arial" w:hAnsi="Arial" w:cs="Times New Roman"/>
                <w:b/>
                <w:iCs/>
                <w:sz w:val="32"/>
                <w:szCs w:val="32"/>
                <w:lang w:val="en-NZ"/>
              </w:rPr>
            </w:pPr>
            <w:r w:rsidRPr="00CA1206">
              <w:rPr>
                <w:rFonts w:ascii="Arial" w:eastAsia="Arial" w:hAnsi="Arial" w:cs="Times New Roman"/>
                <w:b/>
                <w:iCs/>
                <w:sz w:val="32"/>
                <w:szCs w:val="32"/>
                <w:lang w:val="en-NZ"/>
              </w:rPr>
              <w:lastRenderedPageBreak/>
              <w:t>9</w:t>
            </w:r>
          </w:p>
          <w:p w14:paraId="5EA0FF36" w14:textId="77777777" w:rsidR="00FC1A55" w:rsidRPr="00CA1206" w:rsidRDefault="00FC1A55" w:rsidP="00FC1A55">
            <w:pPr>
              <w:spacing w:before="60" w:afterLines="60" w:after="144" w:line="240" w:lineRule="auto"/>
              <w:jc w:val="left"/>
              <w:rPr>
                <w:rFonts w:ascii="Arial" w:eastAsia="Arial" w:hAnsi="Arial" w:cs="Times New Roman"/>
                <w:b/>
                <w:iCs/>
                <w:szCs w:val="20"/>
              </w:rPr>
            </w:pPr>
            <w:r w:rsidRPr="00CA1206">
              <w:rPr>
                <w:rFonts w:ascii="Arial" w:eastAsia="Arial" w:hAnsi="Arial" w:cs="Times New Roman"/>
                <w:b/>
                <w:iCs/>
                <w:szCs w:val="20"/>
                <w:lang w:val="en-NZ"/>
              </w:rPr>
              <w:t xml:space="preserve">The </w:t>
            </w:r>
            <w:r w:rsidRPr="00CA1206">
              <w:rPr>
                <w:rFonts w:ascii="Arial" w:eastAsia="Arial" w:hAnsi="Arial" w:cs="Times New Roman"/>
                <w:b/>
                <w:iCs/>
                <w:szCs w:val="20"/>
              </w:rPr>
              <w:t xml:space="preserve">Department of Health and Aged Care to strengthen Aboriginal and Torres Strait Islander health policy capability and capacity </w:t>
            </w:r>
            <w:r>
              <w:rPr>
                <w:rFonts w:ascii="Arial" w:eastAsia="Arial" w:hAnsi="Arial" w:cs="Times New Roman"/>
                <w:b/>
                <w:iCs/>
                <w:szCs w:val="20"/>
              </w:rPr>
              <w:t xml:space="preserve">across the department, including </w:t>
            </w:r>
            <w:r w:rsidRPr="00CA1206">
              <w:rPr>
                <w:rFonts w:ascii="Arial" w:eastAsia="Arial" w:hAnsi="Arial" w:cs="Times New Roman"/>
                <w:b/>
                <w:iCs/>
                <w:szCs w:val="20"/>
              </w:rPr>
              <w:t xml:space="preserve">in the </w:t>
            </w:r>
            <w:r>
              <w:rPr>
                <w:rFonts w:ascii="Arial" w:eastAsia="Arial" w:hAnsi="Arial" w:cs="Times New Roman"/>
                <w:b/>
                <w:iCs/>
                <w:szCs w:val="20"/>
              </w:rPr>
              <w:t>specialist</w:t>
            </w:r>
            <w:r w:rsidRPr="00CA1206">
              <w:rPr>
                <w:rFonts w:ascii="Arial" w:eastAsia="Arial" w:hAnsi="Arial" w:cs="Times New Roman"/>
                <w:b/>
                <w:iCs/>
                <w:szCs w:val="20"/>
              </w:rPr>
              <w:t xml:space="preserve"> First Nations Health Division</w:t>
            </w:r>
            <w:r>
              <w:rPr>
                <w:rFonts w:ascii="Arial" w:eastAsia="Arial" w:hAnsi="Arial" w:cs="Times New Roman"/>
                <w:b/>
                <w:iCs/>
                <w:szCs w:val="20"/>
              </w:rPr>
              <w:t>,</w:t>
            </w:r>
            <w:r w:rsidRPr="00CA1206">
              <w:rPr>
                <w:rFonts w:ascii="Arial" w:eastAsia="Arial" w:hAnsi="Arial" w:cs="Times New Roman"/>
                <w:b/>
                <w:iCs/>
                <w:szCs w:val="20"/>
              </w:rPr>
              <w:t xml:space="preserve"> to support shared policy decision-making, governance and accountability processes.</w:t>
            </w:r>
          </w:p>
          <w:p w14:paraId="7A5F419F" w14:textId="24B13453" w:rsidR="001704F0" w:rsidRPr="00CA1206" w:rsidRDefault="001704F0">
            <w:pPr>
              <w:spacing w:before="60" w:afterLines="60" w:after="144" w:line="240" w:lineRule="auto"/>
              <w:jc w:val="left"/>
              <w:rPr>
                <w:rFonts w:ascii="Arial" w:eastAsia="Arial" w:hAnsi="Arial" w:cs="Times New Roman"/>
                <w:bCs/>
                <w:iCs/>
                <w:szCs w:val="20"/>
              </w:rPr>
            </w:pPr>
            <w:r w:rsidRPr="00CA1206">
              <w:rPr>
                <w:rFonts w:ascii="Arial" w:eastAsia="Arial" w:hAnsi="Arial" w:cs="Times New Roman"/>
                <w:bCs/>
                <w:iCs/>
                <w:szCs w:val="20"/>
              </w:rPr>
              <w:t>To strengthen the administration of the IAHP and embed health policy expertise and capability that enables the Department of Health and Aged Care to maintain strong and effective partnerships with Aboriginal and Torres Strait Islander people, the department continue to build Aboriginal and Torres Strait Islander health policy capability</w:t>
            </w:r>
            <w:r w:rsidR="003B6103">
              <w:rPr>
                <w:rFonts w:ascii="Arial" w:eastAsia="Arial" w:hAnsi="Arial" w:cs="Times New Roman"/>
                <w:bCs/>
                <w:iCs/>
                <w:szCs w:val="20"/>
              </w:rPr>
              <w:t>, including</w:t>
            </w:r>
            <w:r w:rsidRPr="00CA1206">
              <w:rPr>
                <w:rFonts w:ascii="Arial" w:eastAsia="Arial" w:hAnsi="Arial" w:cs="Times New Roman"/>
                <w:bCs/>
                <w:iCs/>
                <w:szCs w:val="20"/>
              </w:rPr>
              <w:t xml:space="preserve"> through a dedicated team. </w:t>
            </w:r>
          </w:p>
          <w:p w14:paraId="33655DC9" w14:textId="77777777" w:rsidR="001704F0" w:rsidRPr="00CA1206" w:rsidRDefault="001704F0">
            <w:pPr>
              <w:spacing w:before="60" w:afterLines="60" w:after="144" w:line="240" w:lineRule="auto"/>
              <w:jc w:val="left"/>
              <w:rPr>
                <w:rFonts w:ascii="Arial" w:eastAsia="Arial" w:hAnsi="Arial" w:cs="Times New Roman"/>
                <w:iCs/>
                <w:szCs w:val="20"/>
              </w:rPr>
            </w:pPr>
            <w:r w:rsidRPr="00CA1206">
              <w:rPr>
                <w:rFonts w:ascii="Arial" w:eastAsia="Arial" w:hAnsi="Arial" w:cs="Times New Roman"/>
                <w:iCs/>
                <w:szCs w:val="20"/>
              </w:rPr>
              <w:t>In implementing this recommendation, the evaluation suggests:</w:t>
            </w:r>
          </w:p>
          <w:p w14:paraId="52CBA695"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Strengthening workforce strategies to attract and retain staff with experience and expertise in Aboriginal and Torres Strait Islander health care and programs, including as a priority, Aboriginal and Torres Strait Islander staff.</w:t>
            </w:r>
          </w:p>
          <w:p w14:paraId="69C295AB"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Embedding and practising cultural safety within the First Nations Health Division and across the Department of Health and Aged Care to support culturally responsive decision-making, stronger relationships and understanding of key issues affecting the administration of the IAHP and the delivery of PHC to Aboriginal and Torres Strait Islander people. </w:t>
            </w:r>
          </w:p>
          <w:p w14:paraId="68F49E68"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Improving engagement with Aboriginal and Torres Strait Islander funded organisations and communities to build collaborative relationships and understand context specific issues affecting local service delivery. </w:t>
            </w:r>
          </w:p>
          <w:p w14:paraId="0B6DDB18"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Strengthening formal connections between Aboriginal and Torres Strait Islander health policy expertise in the department and in Aboriginal and Torres Strait Islander peak bodies and ACCHSs.</w:t>
            </w:r>
          </w:p>
          <w:p w14:paraId="107ADCFF"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The First Nations Health Division continue to focus on engagement across the Department of Health and Aged Care and with central agencies to ensure collective responsibility for health outcomes for Aboriginal and Torres Strait Islander people. </w:t>
            </w:r>
          </w:p>
          <w:p w14:paraId="547CDBBB"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Strengthening Aboriginal and Torres Strait Islander health expertise at the most senior levels of departmental leadership and decision-making.</w:t>
            </w:r>
          </w:p>
          <w:p w14:paraId="55067E82" w14:textId="77777777" w:rsidR="001704F0" w:rsidRPr="00CA1206" w:rsidRDefault="001704F0">
            <w:pPr>
              <w:spacing w:before="60" w:afterLines="60" w:after="144" w:line="240" w:lineRule="auto"/>
              <w:jc w:val="left"/>
              <w:rPr>
                <w:rFonts w:ascii="Arial" w:eastAsia="Arial" w:hAnsi="Arial" w:cs="Times New Roman"/>
                <w:bCs/>
                <w:iCs/>
                <w:szCs w:val="20"/>
              </w:rPr>
            </w:pPr>
            <w:r w:rsidRPr="00CA1206">
              <w:rPr>
                <w:rFonts w:ascii="Arial" w:eastAsia="Arial" w:hAnsi="Arial" w:cs="Times New Roman"/>
                <w:bCs/>
                <w:iCs/>
                <w:szCs w:val="20"/>
              </w:rPr>
              <w:t xml:space="preserve">This recommendation is consistent with existing commitments in the National Agreement on Closing the Gap to transform government organisations, and the value identified in the evaluation of having a specialist, dedicated Aboriginal and Torres Strait Islander division (the First Nations Health Division) within the Department of Health and Aged Care. </w:t>
            </w:r>
          </w:p>
        </w:tc>
      </w:tr>
      <w:tr w:rsidR="001704F0" w:rsidRPr="00CA1206" w14:paraId="5CD9F3B4" w14:textId="77777777">
        <w:trPr>
          <w:gridAfter w:val="1"/>
          <w:wAfter w:w="28" w:type="dxa"/>
        </w:trPr>
        <w:tc>
          <w:tcPr>
            <w:tcW w:w="567" w:type="dxa"/>
            <w:tcBorders>
              <w:top w:val="dashed" w:sz="4" w:space="0" w:color="808080"/>
              <w:left w:val="single" w:sz="18" w:space="0" w:color="535552"/>
              <w:bottom w:val="single" w:sz="12" w:space="0" w:color="808080"/>
              <w:right w:val="nil"/>
            </w:tcBorders>
            <w:shd w:val="clear" w:color="auto" w:fill="EBECED"/>
            <w:vAlign w:val="center"/>
          </w:tcPr>
          <w:p w14:paraId="51269160" w14:textId="77777777" w:rsidR="001704F0" w:rsidRPr="00CA1206" w:rsidRDefault="001704F0">
            <w:pPr>
              <w:spacing w:before="60" w:after="60" w:line="240" w:lineRule="auto"/>
              <w:jc w:val="left"/>
              <w:rPr>
                <w:rFonts w:ascii="Arial" w:eastAsia="Arial" w:hAnsi="Arial" w:cs="Times New Roman"/>
                <w:iCs/>
                <w:szCs w:val="20"/>
              </w:rPr>
            </w:pPr>
            <w:r w:rsidRPr="00CA1206">
              <w:rPr>
                <w:rFonts w:ascii="Arial" w:eastAsia="Arial" w:hAnsi="Arial" w:cs="Times New Roman"/>
                <w:bCs/>
                <w:iCs/>
                <w:noProof/>
                <w:szCs w:val="20"/>
                <w:lang w:val="en-NZ"/>
              </w:rPr>
              <w:drawing>
                <wp:inline distT="0" distB="0" distL="0" distR="0" wp14:anchorId="2C6758CB" wp14:editId="210A88A8">
                  <wp:extent cx="238125" cy="238125"/>
                  <wp:effectExtent l="0" t="0" r="9525" b="9525"/>
                  <wp:docPr id="1177981571" name="Picture 1177981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81571" name="Picture 117798157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51" w:type="dxa"/>
            <w:tcBorders>
              <w:top w:val="dashed" w:sz="4" w:space="0" w:color="808080"/>
              <w:left w:val="nil"/>
              <w:bottom w:val="single" w:sz="12" w:space="0" w:color="808080"/>
              <w:right w:val="single" w:sz="18" w:space="0" w:color="535552"/>
            </w:tcBorders>
            <w:shd w:val="clear" w:color="auto" w:fill="EBECED"/>
            <w:vAlign w:val="center"/>
          </w:tcPr>
          <w:p w14:paraId="4FA3E01F" w14:textId="77777777" w:rsidR="001704F0" w:rsidRPr="00CA1206" w:rsidRDefault="001704F0">
            <w:pPr>
              <w:spacing w:before="60" w:after="60" w:line="240" w:lineRule="auto"/>
              <w:jc w:val="left"/>
              <w:rPr>
                <w:rFonts w:ascii="Arial" w:eastAsia="Arial" w:hAnsi="Arial" w:cs="Times New Roman"/>
                <w:iCs/>
                <w:szCs w:val="20"/>
              </w:rPr>
            </w:pPr>
            <w:r w:rsidRPr="00CA1206">
              <w:rPr>
                <w:rFonts w:ascii="Arial" w:eastAsia="Arial" w:hAnsi="Arial" w:cs="Times New Roman"/>
                <w:bCs/>
                <w:iCs/>
                <w:szCs w:val="20"/>
              </w:rPr>
              <w:t xml:space="preserve">Immediate term – Ongoing </w:t>
            </w:r>
          </w:p>
        </w:tc>
      </w:tr>
      <w:tr w:rsidR="001704F0" w:rsidRPr="00CA1206" w14:paraId="2E9200C0" w14:textId="77777777">
        <w:tc>
          <w:tcPr>
            <w:tcW w:w="9146" w:type="dxa"/>
            <w:gridSpan w:val="3"/>
            <w:tcBorders>
              <w:top w:val="single" w:sz="4" w:space="0" w:color="808080"/>
              <w:left w:val="single" w:sz="18" w:space="0" w:color="535552"/>
              <w:bottom w:val="dashed" w:sz="4" w:space="0" w:color="808080"/>
              <w:right w:val="single" w:sz="18" w:space="0" w:color="535552"/>
            </w:tcBorders>
            <w:shd w:val="clear" w:color="auto" w:fill="FFFFFF"/>
            <w:vAlign w:val="center"/>
          </w:tcPr>
          <w:p w14:paraId="3067368E" w14:textId="77777777" w:rsidR="001704F0" w:rsidRPr="00CA1206" w:rsidRDefault="001704F0">
            <w:pPr>
              <w:spacing w:before="60" w:afterLines="60" w:after="144" w:line="240" w:lineRule="auto"/>
              <w:jc w:val="left"/>
              <w:rPr>
                <w:rFonts w:ascii="Arial" w:eastAsia="Arial" w:hAnsi="Arial" w:cs="Times New Roman"/>
                <w:b/>
                <w:iCs/>
                <w:sz w:val="32"/>
                <w:szCs w:val="32"/>
                <w:lang w:val="en-NZ"/>
              </w:rPr>
            </w:pPr>
            <w:r w:rsidRPr="00CA1206">
              <w:rPr>
                <w:rFonts w:ascii="Arial" w:eastAsia="Arial" w:hAnsi="Arial" w:cs="Times New Roman"/>
                <w:b/>
                <w:iCs/>
                <w:sz w:val="32"/>
                <w:szCs w:val="32"/>
                <w:lang w:val="en-NZ"/>
              </w:rPr>
              <w:t>10</w:t>
            </w:r>
          </w:p>
          <w:p w14:paraId="02A4AA39" w14:textId="77777777" w:rsidR="001704F0" w:rsidRPr="00CA1206" w:rsidRDefault="001704F0">
            <w:pPr>
              <w:spacing w:before="60" w:afterLines="60" w:after="144" w:line="240" w:lineRule="auto"/>
              <w:jc w:val="left"/>
              <w:rPr>
                <w:rFonts w:ascii="Arial" w:eastAsia="Arial" w:hAnsi="Arial" w:cs="Times New Roman"/>
                <w:b/>
                <w:iCs/>
                <w:szCs w:val="20"/>
                <w:lang w:val="en-NZ"/>
              </w:rPr>
            </w:pPr>
            <w:r w:rsidRPr="00CA1206">
              <w:rPr>
                <w:rFonts w:ascii="Arial" w:eastAsia="Arial" w:hAnsi="Arial" w:cs="Times New Roman"/>
                <w:b/>
                <w:iCs/>
                <w:szCs w:val="20"/>
                <w:lang w:val="en-NZ"/>
              </w:rPr>
              <w:t>The Department of Health and Aged Care to work with PHNs to strengthen the PHC system to improve care for Aboriginal and Torres Strait Islander people.</w:t>
            </w:r>
          </w:p>
          <w:p w14:paraId="02230EDF" w14:textId="77777777" w:rsidR="001704F0" w:rsidRPr="00CA1206" w:rsidRDefault="001704F0">
            <w:pPr>
              <w:spacing w:before="60" w:afterLines="60" w:after="144" w:line="240" w:lineRule="auto"/>
              <w:jc w:val="left"/>
              <w:rPr>
                <w:rFonts w:ascii="Arial" w:eastAsia="Arial" w:hAnsi="Arial" w:cs="Times New Roman"/>
                <w:iCs/>
              </w:rPr>
            </w:pPr>
            <w:r w:rsidRPr="00CA1206">
              <w:rPr>
                <w:rFonts w:ascii="Arial" w:eastAsia="Arial" w:hAnsi="Arial" w:cs="Times New Roman"/>
                <w:bCs/>
                <w:iCs/>
                <w:szCs w:val="20"/>
                <w:lang w:val="en-NZ"/>
              </w:rPr>
              <w:t>To continue to transform PHNs to be more accountable, culturally safe and responsive to the needs of Aboriginal and Torres Strait Islander people, the Department of Health and Aged Care to support and encourage PHNs to improve commissioning processes and the integration of local health care services.</w:t>
            </w:r>
          </w:p>
          <w:p w14:paraId="15FE4367" w14:textId="77777777" w:rsidR="001704F0" w:rsidRDefault="001704F0">
            <w:pPr>
              <w:spacing w:before="60" w:afterLines="60" w:after="144" w:line="240" w:lineRule="auto"/>
              <w:jc w:val="left"/>
              <w:rPr>
                <w:rFonts w:ascii="Arial" w:eastAsia="Arial" w:hAnsi="Arial" w:cs="Times New Roman"/>
                <w:iCs/>
                <w:szCs w:val="20"/>
              </w:rPr>
            </w:pPr>
          </w:p>
          <w:p w14:paraId="566C8E58" w14:textId="77777777" w:rsidR="001704F0" w:rsidRPr="00CA1206" w:rsidRDefault="001704F0">
            <w:pPr>
              <w:spacing w:before="60" w:afterLines="60" w:after="144" w:line="240" w:lineRule="auto"/>
              <w:jc w:val="left"/>
              <w:rPr>
                <w:rFonts w:ascii="Arial" w:eastAsia="Arial" w:hAnsi="Arial" w:cs="Times New Roman"/>
                <w:iCs/>
                <w:szCs w:val="20"/>
              </w:rPr>
            </w:pPr>
            <w:r w:rsidRPr="00CA1206">
              <w:rPr>
                <w:rFonts w:ascii="Arial" w:eastAsia="Arial" w:hAnsi="Arial" w:cs="Times New Roman"/>
                <w:iCs/>
                <w:szCs w:val="20"/>
              </w:rPr>
              <w:lastRenderedPageBreak/>
              <w:t>In implementing this recommendation, the evaluation suggests:</w:t>
            </w:r>
          </w:p>
          <w:p w14:paraId="1D9DA693"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 xml:space="preserve">Supporting PHNs to strengthen governance and accountability processes for organisational transformation, including involving Aboriginal and Torres Strait Islander people and organisations in leadership and governance arrangements. </w:t>
            </w:r>
          </w:p>
          <w:p w14:paraId="440C062E"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Ensuring PHN commissioning processes are transparent and responsive to the identified needs of Aboriginal and Torres Strait Islander people within their community.</w:t>
            </w:r>
          </w:p>
          <w:p w14:paraId="1C55F611"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Supporting PHNs and ACCHSs to engage in health service co-commissioning processes.</w:t>
            </w:r>
          </w:p>
          <w:p w14:paraId="28CDBE79" w14:textId="77777777"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Supporting alliances between PHNs, mainstream health services and Aboriginal and Torres Strait Islander organisations, communities and people, including through adequate resourcing to engage in collaboration and co-design activity.</w:t>
            </w:r>
          </w:p>
          <w:p w14:paraId="7810E8B1" w14:textId="70776043" w:rsidR="001704F0" w:rsidRPr="00CA1206"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CA1206">
              <w:rPr>
                <w:rFonts w:ascii="Arial" w:eastAsia="Arial" w:hAnsi="Arial" w:cs="Times New Roman"/>
                <w:bCs/>
                <w:iCs/>
                <w:szCs w:val="20"/>
              </w:rPr>
              <w:t>Ensuring outcomes and indicators in the PHN Program Performance and Quality Framework reflect the Priority Reforms in the National Agreement on Closing the Gap.</w:t>
            </w:r>
            <w:r w:rsidR="00AA35E2">
              <w:rPr>
                <w:rFonts w:ascii="Arial" w:eastAsia="Arial" w:hAnsi="Arial" w:cs="Times New Roman"/>
                <w:bCs/>
                <w:iCs/>
                <w:szCs w:val="20"/>
              </w:rPr>
              <w:t xml:space="preserve"> </w:t>
            </w:r>
          </w:p>
          <w:p w14:paraId="3BBBCC1B" w14:textId="77777777" w:rsidR="001704F0" w:rsidRPr="00CA1206" w:rsidRDefault="001704F0">
            <w:pPr>
              <w:spacing w:before="60" w:afterLines="60" w:after="144" w:line="240" w:lineRule="auto"/>
              <w:jc w:val="left"/>
              <w:rPr>
                <w:rFonts w:ascii="Arial" w:eastAsia="Arial" w:hAnsi="Arial" w:cs="Times New Roman"/>
                <w:iCs/>
              </w:rPr>
            </w:pPr>
            <w:r w:rsidRPr="00CA1206">
              <w:rPr>
                <w:rFonts w:ascii="Arial" w:eastAsia="Arial" w:hAnsi="Arial" w:cs="Times New Roman"/>
                <w:bCs/>
                <w:iCs/>
                <w:szCs w:val="20"/>
              </w:rPr>
              <w:t xml:space="preserve">This recommendation is consistent with a recommendation in the </w:t>
            </w:r>
            <w:r w:rsidRPr="00CA1206">
              <w:rPr>
                <w:rFonts w:ascii="Arial" w:eastAsia="Arial" w:hAnsi="Arial" w:cs="Times New Roman"/>
                <w:iCs/>
              </w:rPr>
              <w:t xml:space="preserve">Strengthening Medicare Taskforce to strengthen the role of PHNs to support the adoption of successful, locally designed models of care. </w:t>
            </w:r>
          </w:p>
        </w:tc>
      </w:tr>
      <w:tr w:rsidR="001704F0" w:rsidRPr="00CA1206" w14:paraId="4C8F3169" w14:textId="77777777">
        <w:tc>
          <w:tcPr>
            <w:tcW w:w="567" w:type="dxa"/>
            <w:tcBorders>
              <w:top w:val="dashed" w:sz="4" w:space="0" w:color="808080"/>
              <w:left w:val="single" w:sz="18" w:space="0" w:color="535552"/>
              <w:bottom w:val="single" w:sz="18" w:space="0" w:color="535552"/>
              <w:right w:val="nil"/>
            </w:tcBorders>
            <w:shd w:val="clear" w:color="auto" w:fill="EBECED"/>
            <w:vAlign w:val="center"/>
          </w:tcPr>
          <w:p w14:paraId="32339088" w14:textId="77777777" w:rsidR="001704F0" w:rsidRPr="00CA1206" w:rsidRDefault="001704F0">
            <w:pPr>
              <w:spacing w:before="60" w:after="60" w:line="240" w:lineRule="auto"/>
              <w:jc w:val="left"/>
              <w:rPr>
                <w:rFonts w:ascii="Arial" w:eastAsia="Arial" w:hAnsi="Arial" w:cs="Times New Roman"/>
                <w:iCs/>
                <w:szCs w:val="20"/>
              </w:rPr>
            </w:pPr>
            <w:r w:rsidRPr="00CA1206">
              <w:rPr>
                <w:rFonts w:ascii="Arial" w:eastAsia="Arial" w:hAnsi="Arial" w:cs="Times New Roman"/>
                <w:bCs/>
                <w:iCs/>
                <w:noProof/>
                <w:szCs w:val="20"/>
                <w:lang w:val="en-NZ"/>
              </w:rPr>
              <w:lastRenderedPageBreak/>
              <w:drawing>
                <wp:inline distT="0" distB="0" distL="0" distR="0" wp14:anchorId="37B10F9B" wp14:editId="68A92F13">
                  <wp:extent cx="238125" cy="238125"/>
                  <wp:effectExtent l="0" t="0" r="9525" b="9525"/>
                  <wp:docPr id="975212819" name="Picture 975212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12819" name="Picture 975212819">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79" w:type="dxa"/>
            <w:gridSpan w:val="2"/>
            <w:tcBorders>
              <w:top w:val="dashed" w:sz="4" w:space="0" w:color="808080"/>
              <w:left w:val="nil"/>
              <w:bottom w:val="single" w:sz="18" w:space="0" w:color="535552"/>
              <w:right w:val="single" w:sz="18" w:space="0" w:color="535552"/>
            </w:tcBorders>
            <w:shd w:val="clear" w:color="auto" w:fill="EBECED"/>
            <w:vAlign w:val="center"/>
          </w:tcPr>
          <w:p w14:paraId="7F3C6F85" w14:textId="77777777" w:rsidR="001704F0" w:rsidRPr="00CA1206" w:rsidRDefault="001704F0">
            <w:pPr>
              <w:spacing w:before="60" w:after="60" w:line="240" w:lineRule="auto"/>
              <w:jc w:val="left"/>
              <w:rPr>
                <w:rFonts w:ascii="Arial" w:eastAsia="Arial" w:hAnsi="Arial" w:cs="Times New Roman"/>
                <w:iCs/>
                <w:szCs w:val="20"/>
              </w:rPr>
            </w:pPr>
            <w:r w:rsidRPr="00CA1206">
              <w:rPr>
                <w:rFonts w:ascii="Arial" w:eastAsia="Arial" w:hAnsi="Arial" w:cs="Times New Roman"/>
                <w:bCs/>
                <w:iCs/>
                <w:szCs w:val="20"/>
                <w:lang w:val="en-NZ"/>
              </w:rPr>
              <w:t>Medium term</w:t>
            </w:r>
          </w:p>
        </w:tc>
      </w:tr>
    </w:tbl>
    <w:p w14:paraId="1A15AF1D" w14:textId="77777777" w:rsidR="001D7A4A" w:rsidRPr="001D7A4A" w:rsidRDefault="001D7A4A" w:rsidP="001D7A4A"/>
    <w:p w14:paraId="4CEB9917" w14:textId="77777777" w:rsidR="001D7A4A" w:rsidRPr="001D7A4A" w:rsidRDefault="001D7A4A" w:rsidP="001D7A4A"/>
    <w:p w14:paraId="055CF1FB" w14:textId="77777777" w:rsidR="001D7A4A" w:rsidRPr="001D7A4A" w:rsidRDefault="001D7A4A" w:rsidP="001D7A4A">
      <w:pPr>
        <w:jc w:val="left"/>
      </w:pPr>
      <w:r w:rsidRPr="001D7A4A">
        <w:br w:type="page"/>
      </w:r>
    </w:p>
    <w:p w14:paraId="59BBEFDE" w14:textId="44F41F0C" w:rsidR="001D7A4A" w:rsidRPr="001D7A4A" w:rsidRDefault="001D7A4A" w:rsidP="0035030F">
      <w:pPr>
        <w:pStyle w:val="Heading2"/>
      </w:pPr>
      <w:bookmarkStart w:id="356" w:name="_Toc137208963"/>
      <w:r w:rsidRPr="001D7A4A">
        <w:lastRenderedPageBreak/>
        <w:t>Shared access to data and information at a regional level</w:t>
      </w:r>
      <w:bookmarkEnd w:id="356"/>
    </w:p>
    <w:p w14:paraId="19EDEEA5" w14:textId="77777777" w:rsidR="001D7A4A" w:rsidRPr="001D7A4A" w:rsidRDefault="001D7A4A" w:rsidP="001D7A4A">
      <w:r w:rsidRPr="001D7A4A">
        <w:t xml:space="preserve">Recommendations aligned to Priority Reform 4 will grow a knowledge driven system of health care for and with Aboriginal and Torres Strait Islander people. </w:t>
      </w:r>
    </w:p>
    <w:tbl>
      <w:tblPr>
        <w:tblStyle w:val="ACTableDesig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3"/>
      </w:tblGrid>
      <w:tr w:rsidR="001D7A4A" w:rsidRPr="001D7A4A" w14:paraId="5521A795" w14:textId="7777777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23" w:type="dxa"/>
            <w:shd w:val="clear" w:color="auto" w:fill="DAF0F3"/>
          </w:tcPr>
          <w:p w14:paraId="57E8DEFF" w14:textId="77777777" w:rsidR="001D7A4A" w:rsidRPr="001D7A4A" w:rsidRDefault="001D7A4A" w:rsidP="001D7A4A">
            <w:pPr>
              <w:keepNext/>
              <w:spacing w:before="240" w:after="240" w:line="276" w:lineRule="auto"/>
              <w:ind w:left="142" w:right="142"/>
              <w:jc w:val="left"/>
              <w:outlineLvl w:val="5"/>
              <w:rPr>
                <w:rFonts w:cstheme="minorHAnsi"/>
                <w:color w:val="357DBE" w:themeColor="accent1"/>
                <w:sz w:val="28"/>
                <w:szCs w:val="28"/>
              </w:rPr>
            </w:pPr>
            <w:r w:rsidRPr="001D7A4A">
              <w:rPr>
                <w:rFonts w:cstheme="minorHAnsi"/>
                <w:iCs/>
                <w:color w:val="357DBE" w:themeColor="accent1"/>
                <w:sz w:val="28"/>
                <w:szCs w:val="28"/>
              </w:rPr>
              <w:t>Connection to policy priorities</w:t>
            </w:r>
          </w:p>
          <w:p w14:paraId="1BBFB92D" w14:textId="77777777" w:rsidR="001D7A4A" w:rsidRPr="001D7A4A" w:rsidRDefault="001D7A4A" w:rsidP="001D7A4A">
            <w:pPr>
              <w:spacing w:before="0" w:line="276" w:lineRule="auto"/>
              <w:ind w:left="142" w:right="142"/>
              <w:rPr>
                <w:rFonts w:asciiTheme="minorHAnsi" w:hAnsiTheme="minorHAnsi"/>
                <w:b w:val="0"/>
                <w:color w:val="auto"/>
                <w:szCs w:val="21"/>
              </w:rPr>
            </w:pPr>
            <w:r w:rsidRPr="001D7A4A">
              <w:rPr>
                <w:rFonts w:asciiTheme="minorHAnsi" w:hAnsiTheme="minorHAnsi"/>
                <w:color w:val="auto"/>
                <w:szCs w:val="21"/>
              </w:rPr>
              <w:t xml:space="preserve">Closing the Gap: </w:t>
            </w:r>
            <w:r w:rsidRPr="001D7A4A">
              <w:rPr>
                <w:b w:val="0"/>
                <w:szCs w:val="21"/>
              </w:rPr>
              <w:t>Shared access to data and information at a regional level.</w:t>
            </w:r>
          </w:p>
          <w:p w14:paraId="252FB357" w14:textId="77777777" w:rsidR="001D7A4A" w:rsidRPr="001D7A4A" w:rsidRDefault="001D7A4A" w:rsidP="001D7A4A">
            <w:pPr>
              <w:spacing w:before="0" w:line="276" w:lineRule="auto"/>
              <w:ind w:left="142" w:right="142"/>
              <w:rPr>
                <w:szCs w:val="21"/>
              </w:rPr>
            </w:pPr>
            <w:r w:rsidRPr="001D7A4A">
              <w:rPr>
                <w:rFonts w:asciiTheme="minorHAnsi" w:hAnsiTheme="minorHAnsi"/>
                <w:bCs/>
                <w:color w:val="auto"/>
                <w:szCs w:val="21"/>
              </w:rPr>
              <w:t xml:space="preserve">Closing the Gap Implementation Plan 2023: </w:t>
            </w:r>
            <w:r w:rsidRPr="001D7A4A">
              <w:rPr>
                <w:rFonts w:asciiTheme="minorHAnsi" w:hAnsiTheme="minorHAnsi"/>
                <w:b w:val="0"/>
                <w:color w:val="auto"/>
                <w:szCs w:val="21"/>
              </w:rPr>
              <w:t xml:space="preserve">Target to increase </w:t>
            </w:r>
            <w:r w:rsidRPr="001D7A4A">
              <w:rPr>
                <w:b w:val="0"/>
                <w:szCs w:val="21"/>
              </w:rPr>
              <w:t>the number of regional data projects to support Aboriginal and Torres Strait Islander communities to make decisions about Closing the Gap and their development.</w:t>
            </w:r>
          </w:p>
          <w:p w14:paraId="31FFC8BA" w14:textId="77777777" w:rsidR="001D7A4A" w:rsidRPr="001D7A4A" w:rsidRDefault="001D7A4A" w:rsidP="001D7A4A">
            <w:pPr>
              <w:spacing w:before="0" w:line="276" w:lineRule="auto"/>
              <w:ind w:left="142" w:right="142"/>
              <w:rPr>
                <w:rFonts w:asciiTheme="minorHAnsi" w:hAnsiTheme="minorHAnsi"/>
                <w:b w:val="0"/>
                <w:color w:val="auto"/>
                <w:szCs w:val="21"/>
              </w:rPr>
            </w:pPr>
            <w:r w:rsidRPr="001D7A4A">
              <w:rPr>
                <w:rFonts w:asciiTheme="minorHAnsi" w:hAnsiTheme="minorHAnsi"/>
                <w:bCs/>
                <w:color w:val="auto"/>
                <w:szCs w:val="21"/>
                <w:lang w:val="en-US"/>
              </w:rPr>
              <w:t>Health Sector Strengthening Plan:</w:t>
            </w:r>
            <w:r w:rsidRPr="001D7A4A">
              <w:rPr>
                <w:rFonts w:asciiTheme="minorHAnsi" w:hAnsiTheme="minorHAnsi"/>
                <w:b w:val="0"/>
                <w:color w:val="auto"/>
                <w:szCs w:val="21"/>
                <w:lang w:val="en-US"/>
              </w:rPr>
              <w:t xml:space="preserve"> Actions for strengthened Aboriginal and Torres Strait Islander community-controlled health sector including service delivery through minimisation/streamlining of reporting requirements (where appropriate).</w:t>
            </w:r>
          </w:p>
          <w:p w14:paraId="0A4B0FD4" w14:textId="77777777" w:rsidR="001D7A4A" w:rsidRDefault="001D7A4A" w:rsidP="001D7A4A">
            <w:pPr>
              <w:spacing w:before="0" w:after="240" w:line="276" w:lineRule="auto"/>
              <w:ind w:left="142" w:right="142"/>
              <w:rPr>
                <w:bCs/>
                <w:color w:val="auto"/>
                <w:szCs w:val="21"/>
              </w:rPr>
            </w:pPr>
            <w:r w:rsidRPr="001D7A4A">
              <w:rPr>
                <w:rFonts w:asciiTheme="minorHAnsi" w:hAnsiTheme="minorHAnsi"/>
                <w:color w:val="auto"/>
                <w:szCs w:val="21"/>
              </w:rPr>
              <w:t>National Aboriginal and Torres Strait Islander Health Plan 2021-2031:</w:t>
            </w:r>
            <w:r w:rsidRPr="001D7A4A">
              <w:rPr>
                <w:rFonts w:asciiTheme="minorHAnsi" w:hAnsiTheme="minorHAnsi"/>
                <w:b w:val="0"/>
                <w:bCs/>
                <w:color w:val="auto"/>
                <w:szCs w:val="21"/>
              </w:rPr>
              <w:t xml:space="preserve"> Culturally informed evidence base; Priority 11: Culturally informed and evidence-based evaluation, research and practice; Priority 12: Shared access to data and information at a regional level.</w:t>
            </w:r>
          </w:p>
          <w:p w14:paraId="3CC46348" w14:textId="171325B3" w:rsidR="00696E84" w:rsidRPr="001D7A4A" w:rsidRDefault="00D846A9" w:rsidP="001D7A4A">
            <w:pPr>
              <w:spacing w:before="0" w:after="240" w:line="276" w:lineRule="auto"/>
              <w:ind w:left="142" w:right="142"/>
              <w:rPr>
                <w:rFonts w:asciiTheme="minorHAnsi" w:hAnsiTheme="minorHAnsi"/>
                <w:b w:val="0"/>
                <w:bCs/>
                <w:color w:val="auto"/>
                <w:sz w:val="22"/>
                <w:szCs w:val="22"/>
              </w:rPr>
            </w:pPr>
            <w:r w:rsidRPr="001D7A4A">
              <w:rPr>
                <w:color w:val="36424A" w:themeColor="background2"/>
              </w:rPr>
              <w:t xml:space="preserve">Core Services and Outcomes Framework: </w:t>
            </w:r>
            <w:r w:rsidRPr="001D7A4A">
              <w:rPr>
                <w:b w:val="0"/>
                <w:color w:val="36424A" w:themeColor="background2"/>
              </w:rPr>
              <w:t>The Model of Aboriginal and Torres Strait Islander Community Controlled Comprehensive Primary Health Care.</w:t>
            </w:r>
          </w:p>
        </w:tc>
      </w:tr>
    </w:tbl>
    <w:p w14:paraId="0726E496" w14:textId="77777777" w:rsidR="001D7A4A" w:rsidRPr="001D7A4A" w:rsidRDefault="001D7A4A" w:rsidP="001D7A4A"/>
    <w:p w14:paraId="7A1BFFB8" w14:textId="1FDF9B6C" w:rsidR="001D7A4A" w:rsidRPr="001D7A4A" w:rsidRDefault="001D7A4A" w:rsidP="001D7A4A">
      <w:pPr>
        <w:rPr>
          <w:bCs/>
          <w:szCs w:val="21"/>
        </w:rPr>
      </w:pPr>
      <w:r w:rsidRPr="001D7A4A">
        <w:rPr>
          <w:bCs/>
          <w:szCs w:val="21"/>
        </w:rPr>
        <w:t xml:space="preserve">The </w:t>
      </w:r>
      <w:r w:rsidRPr="001D7A4A">
        <w:rPr>
          <w:b/>
          <w:szCs w:val="21"/>
        </w:rPr>
        <w:t>intent</w:t>
      </w:r>
      <w:r w:rsidRPr="001D7A4A">
        <w:rPr>
          <w:bCs/>
          <w:szCs w:val="21"/>
        </w:rPr>
        <w:t xml:space="preserve"> of these recommendations is to develop, with community involved governance and respecting data sovereignty, a whole of health system knowledge, data, and information system at the regional level. The system will be based on robust health needs assessment at the local level, serve as an accountability mechanism to both governments and the community, and contain utilisation, performance, experience, and outcome measures for all Aboriginal and Torres Strait Islander people.</w:t>
      </w:r>
    </w:p>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65"/>
      </w:tblGrid>
      <w:tr w:rsidR="001704F0" w:rsidRPr="00BA6D6C" w14:paraId="73D8F250" w14:textId="77777777">
        <w:trPr>
          <w:trHeight w:val="547"/>
        </w:trPr>
        <w:tc>
          <w:tcPr>
            <w:tcW w:w="9132" w:type="dxa"/>
            <w:gridSpan w:val="2"/>
            <w:tcBorders>
              <w:top w:val="single" w:sz="18" w:space="0" w:color="535552"/>
              <w:left w:val="single" w:sz="18" w:space="0" w:color="535552"/>
              <w:bottom w:val="single" w:sz="8" w:space="0" w:color="535552"/>
              <w:right w:val="single" w:sz="18" w:space="0" w:color="535552"/>
            </w:tcBorders>
            <w:shd w:val="clear" w:color="auto" w:fill="E4E879"/>
          </w:tcPr>
          <w:p w14:paraId="17A01882" w14:textId="77777777" w:rsidR="001704F0" w:rsidRPr="00BA6D6C" w:rsidRDefault="001704F0">
            <w:pPr>
              <w:spacing w:before="60" w:afterLines="60" w:after="144" w:line="240" w:lineRule="auto"/>
              <w:jc w:val="left"/>
              <w:rPr>
                <w:rFonts w:ascii="Arial" w:eastAsia="Arial" w:hAnsi="Arial" w:cs="Times New Roman"/>
                <w:bCs/>
                <w:iCs/>
                <w:sz w:val="26"/>
                <w:szCs w:val="26"/>
                <w:lang w:val="en-NZ"/>
              </w:rPr>
            </w:pPr>
            <w:r w:rsidRPr="00BA6D6C">
              <w:rPr>
                <w:rFonts w:ascii="Arial" w:eastAsia="Arial" w:hAnsi="Arial" w:cs="Times New Roman"/>
                <w:b/>
                <w:bCs/>
                <w:sz w:val="26"/>
                <w:szCs w:val="26"/>
              </w:rPr>
              <w:t xml:space="preserve">Recommendations: </w:t>
            </w:r>
            <w:r w:rsidRPr="00BA6D6C">
              <w:rPr>
                <w:rFonts w:ascii="Arial" w:eastAsia="Arial" w:hAnsi="Arial" w:cs="Times New Roman"/>
                <w:b/>
                <w:bCs/>
                <w:iCs/>
                <w:sz w:val="26"/>
                <w:szCs w:val="26"/>
                <w:lang w:val="en-NZ"/>
              </w:rPr>
              <w:t>Shared access to data and information at a regional level</w:t>
            </w:r>
          </w:p>
        </w:tc>
      </w:tr>
      <w:tr w:rsidR="001704F0" w:rsidRPr="00BA6D6C" w14:paraId="4C2C3F27" w14:textId="77777777">
        <w:tc>
          <w:tcPr>
            <w:tcW w:w="9132" w:type="dxa"/>
            <w:gridSpan w:val="2"/>
            <w:tcBorders>
              <w:top w:val="single" w:sz="8" w:space="0" w:color="535552"/>
              <w:left w:val="single" w:sz="18" w:space="0" w:color="535552"/>
              <w:bottom w:val="dashed" w:sz="4" w:space="0" w:color="808080"/>
              <w:right w:val="single" w:sz="18" w:space="0" w:color="535552"/>
            </w:tcBorders>
            <w:shd w:val="clear" w:color="auto" w:fill="FFFFFF"/>
            <w:vAlign w:val="center"/>
          </w:tcPr>
          <w:p w14:paraId="64D4E504" w14:textId="77777777" w:rsidR="001704F0" w:rsidRPr="00BA6D6C" w:rsidRDefault="001704F0">
            <w:pPr>
              <w:spacing w:before="60" w:afterLines="60" w:after="144" w:line="240" w:lineRule="auto"/>
              <w:jc w:val="left"/>
              <w:rPr>
                <w:rFonts w:ascii="Arial" w:eastAsia="Arial" w:hAnsi="Arial" w:cs="Times New Roman"/>
                <w:b/>
                <w:iCs/>
                <w:sz w:val="32"/>
                <w:szCs w:val="32"/>
                <w:lang w:val="en-NZ"/>
              </w:rPr>
            </w:pPr>
            <w:r w:rsidRPr="00BA6D6C">
              <w:rPr>
                <w:rFonts w:ascii="Arial" w:eastAsia="Arial" w:hAnsi="Arial" w:cs="Times New Roman"/>
                <w:b/>
                <w:iCs/>
                <w:sz w:val="32"/>
                <w:szCs w:val="32"/>
                <w:lang w:val="en-NZ"/>
              </w:rPr>
              <w:t>11</w:t>
            </w:r>
          </w:p>
          <w:p w14:paraId="5662B154" w14:textId="77777777" w:rsidR="001704F0" w:rsidRPr="00BA6D6C" w:rsidRDefault="001704F0">
            <w:pPr>
              <w:spacing w:before="60" w:afterLines="60" w:after="144" w:line="240" w:lineRule="auto"/>
              <w:jc w:val="left"/>
              <w:rPr>
                <w:rFonts w:ascii="Arial" w:eastAsia="Arial" w:hAnsi="Arial" w:cs="Times New Roman"/>
                <w:b/>
                <w:iCs/>
                <w:szCs w:val="20"/>
              </w:rPr>
            </w:pPr>
            <w:r w:rsidRPr="00BA6D6C">
              <w:rPr>
                <w:rFonts w:ascii="Arial" w:eastAsia="Arial" w:hAnsi="Arial" w:cs="Times New Roman"/>
                <w:b/>
                <w:iCs/>
                <w:szCs w:val="20"/>
              </w:rPr>
              <w:t>Invest in Aboriginal and Torres Strait Islander communities to lead community health needs assessments to strengthen decision-making on health service planning, design and delivery.</w:t>
            </w:r>
          </w:p>
          <w:p w14:paraId="01CBB43D" w14:textId="77777777" w:rsidR="001704F0" w:rsidRPr="00BA6D6C" w:rsidRDefault="001704F0">
            <w:pPr>
              <w:spacing w:before="60" w:afterLines="60" w:after="144" w:line="240" w:lineRule="auto"/>
              <w:jc w:val="left"/>
              <w:rPr>
                <w:rFonts w:ascii="Arial" w:eastAsia="Arial" w:hAnsi="Arial" w:cs="Times New Roman"/>
                <w:bCs/>
                <w:iCs/>
                <w:szCs w:val="20"/>
              </w:rPr>
            </w:pPr>
            <w:r w:rsidRPr="00BA6D6C">
              <w:rPr>
                <w:rFonts w:ascii="Arial" w:eastAsia="Arial" w:hAnsi="Arial" w:cs="Times New Roman"/>
                <w:iCs/>
                <w:szCs w:val="20"/>
              </w:rPr>
              <w:t xml:space="preserve">To enable improved locally-responsive decision-making to support the planning, design and delivery of the IAHP and other programs and activities, the Department of Health and Aged Care to fund </w:t>
            </w:r>
            <w:r w:rsidRPr="00BA6D6C">
              <w:rPr>
                <w:rFonts w:ascii="Arial" w:eastAsia="Arial" w:hAnsi="Arial" w:cs="Times New Roman"/>
                <w:iCs/>
              </w:rPr>
              <w:t xml:space="preserve">ACCHSs </w:t>
            </w:r>
            <w:r w:rsidRPr="00BA6D6C">
              <w:rPr>
                <w:rFonts w:ascii="Arial" w:eastAsia="Arial" w:hAnsi="Arial" w:cs="Times New Roman"/>
                <w:iCs/>
                <w:szCs w:val="20"/>
              </w:rPr>
              <w:t>to lead health needs assessments in their local communities.</w:t>
            </w:r>
          </w:p>
          <w:p w14:paraId="7ECE3EB4" w14:textId="77777777" w:rsidR="001704F0" w:rsidRPr="00BA6D6C" w:rsidRDefault="001704F0">
            <w:pPr>
              <w:spacing w:before="60" w:afterLines="60" w:after="144" w:line="240" w:lineRule="auto"/>
              <w:jc w:val="left"/>
              <w:rPr>
                <w:rFonts w:ascii="Arial" w:eastAsia="Arial" w:hAnsi="Arial" w:cs="Times New Roman"/>
                <w:iCs/>
                <w:szCs w:val="20"/>
              </w:rPr>
            </w:pPr>
            <w:r w:rsidRPr="00BA6D6C">
              <w:rPr>
                <w:rFonts w:ascii="Arial" w:eastAsia="Arial" w:hAnsi="Arial" w:cs="Times New Roman"/>
                <w:iCs/>
                <w:szCs w:val="20"/>
              </w:rPr>
              <w:t>In implementing this recommendation, the evaluation suggests:</w:t>
            </w:r>
          </w:p>
          <w:p w14:paraId="49488896"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lastRenderedPageBreak/>
              <w:t>Enabling Aboriginal and Torres Strait Islander communities to define the measures, processes and reporting for health needs assessments, and data capture, knowledge transfer and other reporting and accountability processes.</w:t>
            </w:r>
          </w:p>
          <w:p w14:paraId="7EACC35F"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Making sure that the IAHP and other funding programs are responsive to the outcomes of health needs assessments.</w:t>
            </w:r>
          </w:p>
          <w:p w14:paraId="44D00E65"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 xml:space="preserve">Supporting the capacity of ACCHSs to collect and use data relating to health needs in their communities (for example, for CQI processes and to support service design and improvement), and to exercise their sovereignty over how data is used and interpreted (for example, whether it contributes to a PHN or local hospital network health needs assessment). </w:t>
            </w:r>
          </w:p>
          <w:p w14:paraId="7CC50E55"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Providing Aboriginal and Torres Strait Islander communities with access to locally-relevant data and information to support their health needs assessments, consistent with commitments to Indigenous Data Sovereignty and Indigenous Data Governance.</w:t>
            </w:r>
          </w:p>
          <w:p w14:paraId="2EC3C452" w14:textId="77777777" w:rsidR="001704F0" w:rsidRPr="001357A4" w:rsidRDefault="001704F0">
            <w:pPr>
              <w:numPr>
                <w:ilvl w:val="0"/>
                <w:numId w:val="24"/>
              </w:numPr>
              <w:spacing w:before="60" w:afterLines="60" w:after="144" w:line="240" w:lineRule="auto"/>
              <w:ind w:left="601" w:hanging="357"/>
              <w:jc w:val="left"/>
              <w:rPr>
                <w:rFonts w:ascii="Arial" w:eastAsia="Arial" w:hAnsi="Arial" w:cs="Times New Roman"/>
                <w:b/>
                <w:bCs/>
                <w:iCs/>
              </w:rPr>
            </w:pPr>
            <w:r w:rsidRPr="00BA6D6C">
              <w:rPr>
                <w:rFonts w:ascii="Arial" w:eastAsia="Arial" w:hAnsi="Arial" w:cs="Times New Roman"/>
                <w:bCs/>
                <w:iCs/>
                <w:szCs w:val="20"/>
              </w:rPr>
              <w:t>Supporting ACCHSs (for example, through resources and training) to participate in research to generate evidence in relation to comprehensive PHC services and delivery.</w:t>
            </w:r>
          </w:p>
          <w:p w14:paraId="147AF596" w14:textId="1C24035E" w:rsidR="004B5A57" w:rsidRPr="00BA6D6C" w:rsidRDefault="00352945" w:rsidP="001357A4">
            <w:pPr>
              <w:spacing w:before="60" w:afterLines="60" w:after="144" w:line="240" w:lineRule="auto"/>
              <w:jc w:val="left"/>
              <w:rPr>
                <w:rFonts w:ascii="Arial" w:eastAsia="Arial" w:hAnsi="Arial" w:cs="Times New Roman"/>
                <w:b/>
                <w:bCs/>
                <w:iCs/>
              </w:rPr>
            </w:pPr>
            <w:r w:rsidRPr="001143F2">
              <w:rPr>
                <w:rFonts w:ascii="Arial" w:eastAsia="Arial" w:hAnsi="Arial" w:cs="Times New Roman"/>
                <w:bCs/>
                <w:iCs/>
                <w:szCs w:val="20"/>
                <w:lang w:val="en-NZ"/>
              </w:rPr>
              <w:t xml:space="preserve">This recommendation supports action that is </w:t>
            </w:r>
            <w:r w:rsidRPr="001357A4">
              <w:rPr>
                <w:rFonts w:ascii="Arial" w:eastAsia="Arial" w:hAnsi="Arial" w:cs="Times New Roman"/>
                <w:bCs/>
                <w:iCs/>
                <w:szCs w:val="20"/>
                <w:lang w:val="en-NZ"/>
              </w:rPr>
              <w:t xml:space="preserve">consistent with </w:t>
            </w:r>
            <w:r w:rsidRPr="001357A4">
              <w:rPr>
                <w:rFonts w:ascii="Arial" w:eastAsia="Arial" w:hAnsi="Arial" w:cs="Times New Roman"/>
                <w:bCs/>
                <w:iCs/>
                <w:szCs w:val="20"/>
              </w:rPr>
              <w:t xml:space="preserve">the development of </w:t>
            </w:r>
            <w:r w:rsidR="00A4158C">
              <w:rPr>
                <w:rFonts w:ascii="Arial" w:eastAsia="Arial" w:hAnsi="Arial" w:cs="Times New Roman"/>
                <w:bCs/>
                <w:iCs/>
                <w:szCs w:val="20"/>
              </w:rPr>
              <w:t xml:space="preserve">the </w:t>
            </w:r>
            <w:r w:rsidR="00F04DF5">
              <w:rPr>
                <w:rFonts w:ascii="Arial" w:eastAsia="Arial" w:hAnsi="Arial" w:cs="Times New Roman"/>
                <w:bCs/>
                <w:iCs/>
                <w:szCs w:val="20"/>
              </w:rPr>
              <w:t xml:space="preserve">needs assessment and outcome </w:t>
            </w:r>
            <w:r w:rsidR="006D6372">
              <w:rPr>
                <w:rFonts w:ascii="Arial" w:eastAsia="Arial" w:hAnsi="Arial" w:cs="Times New Roman"/>
                <w:bCs/>
                <w:iCs/>
                <w:szCs w:val="20"/>
              </w:rPr>
              <w:t xml:space="preserve">component of </w:t>
            </w:r>
            <w:r w:rsidRPr="001357A4">
              <w:rPr>
                <w:rFonts w:ascii="Arial" w:eastAsia="Arial" w:hAnsi="Arial" w:cs="Times New Roman"/>
                <w:bCs/>
                <w:iCs/>
                <w:szCs w:val="20"/>
              </w:rPr>
              <w:t>the Core Services and Outcomes Framework</w:t>
            </w:r>
            <w:r w:rsidR="006D6372">
              <w:rPr>
                <w:rFonts w:ascii="Arial" w:eastAsia="Arial" w:hAnsi="Arial" w:cs="Times New Roman"/>
                <w:bCs/>
                <w:iCs/>
                <w:szCs w:val="20"/>
              </w:rPr>
              <w:t>.</w:t>
            </w:r>
            <w:r w:rsidR="00A4158C">
              <w:rPr>
                <w:rFonts w:ascii="Arial" w:eastAsia="Arial" w:hAnsi="Arial" w:cs="Times New Roman"/>
                <w:bCs/>
                <w:iCs/>
                <w:szCs w:val="20"/>
              </w:rPr>
              <w:t xml:space="preserve"> This component is under development.</w:t>
            </w:r>
          </w:p>
        </w:tc>
      </w:tr>
      <w:tr w:rsidR="001704F0" w:rsidRPr="00BA6D6C" w14:paraId="7687923D" w14:textId="77777777">
        <w:tc>
          <w:tcPr>
            <w:tcW w:w="567" w:type="dxa"/>
            <w:tcBorders>
              <w:top w:val="dashed" w:sz="4" w:space="0" w:color="808080"/>
              <w:left w:val="single" w:sz="18" w:space="0" w:color="535552"/>
              <w:bottom w:val="single" w:sz="12" w:space="0" w:color="808080"/>
              <w:right w:val="nil"/>
            </w:tcBorders>
            <w:shd w:val="clear" w:color="auto" w:fill="EBECED"/>
            <w:vAlign w:val="center"/>
          </w:tcPr>
          <w:p w14:paraId="587F95D4" w14:textId="77777777" w:rsidR="001704F0" w:rsidRPr="00BA6D6C" w:rsidRDefault="001704F0">
            <w:pPr>
              <w:spacing w:before="60" w:after="60" w:line="240" w:lineRule="auto"/>
              <w:jc w:val="left"/>
              <w:rPr>
                <w:rFonts w:ascii="Arial" w:eastAsia="Arial" w:hAnsi="Arial" w:cs="Times New Roman"/>
                <w:iCs/>
                <w:szCs w:val="20"/>
              </w:rPr>
            </w:pPr>
            <w:r w:rsidRPr="00BA6D6C">
              <w:rPr>
                <w:rFonts w:ascii="Arial" w:eastAsia="Arial" w:hAnsi="Arial" w:cs="Times New Roman"/>
                <w:bCs/>
                <w:iCs/>
                <w:noProof/>
                <w:szCs w:val="20"/>
                <w:lang w:val="en-NZ"/>
              </w:rPr>
              <w:lastRenderedPageBreak/>
              <w:drawing>
                <wp:inline distT="0" distB="0" distL="0" distR="0" wp14:anchorId="63AA12F1" wp14:editId="0CB23907">
                  <wp:extent cx="238125" cy="238125"/>
                  <wp:effectExtent l="0" t="0" r="9525" b="9525"/>
                  <wp:docPr id="1802817573" name="Picture 1802817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17573" name="Picture 1802817573">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65" w:type="dxa"/>
            <w:tcBorders>
              <w:top w:val="dashed" w:sz="4" w:space="0" w:color="808080"/>
              <w:left w:val="nil"/>
              <w:bottom w:val="single" w:sz="12" w:space="0" w:color="808080"/>
              <w:right w:val="single" w:sz="18" w:space="0" w:color="535552"/>
            </w:tcBorders>
            <w:shd w:val="clear" w:color="auto" w:fill="EBECED"/>
            <w:vAlign w:val="center"/>
          </w:tcPr>
          <w:p w14:paraId="31A3DDFA" w14:textId="77777777" w:rsidR="001704F0" w:rsidRPr="00BA6D6C" w:rsidRDefault="001704F0">
            <w:pPr>
              <w:spacing w:before="60" w:after="60" w:line="240" w:lineRule="auto"/>
              <w:jc w:val="left"/>
              <w:rPr>
                <w:rFonts w:ascii="Arial" w:eastAsia="Arial" w:hAnsi="Arial" w:cs="Times New Roman"/>
                <w:iCs/>
                <w:szCs w:val="20"/>
              </w:rPr>
            </w:pPr>
            <w:r w:rsidRPr="00BA6D6C">
              <w:rPr>
                <w:rFonts w:ascii="Arial" w:eastAsia="Arial" w:hAnsi="Arial" w:cs="Times New Roman"/>
                <w:bCs/>
                <w:iCs/>
                <w:szCs w:val="20"/>
                <w:lang w:val="en-NZ"/>
              </w:rPr>
              <w:t>Medium – Long term</w:t>
            </w:r>
          </w:p>
        </w:tc>
      </w:tr>
      <w:tr w:rsidR="001704F0" w:rsidRPr="00BA6D6C" w14:paraId="54E1E1E1" w14:textId="77777777">
        <w:tc>
          <w:tcPr>
            <w:tcW w:w="9132" w:type="dxa"/>
            <w:gridSpan w:val="2"/>
            <w:tcBorders>
              <w:top w:val="single" w:sz="4" w:space="0" w:color="auto"/>
              <w:left w:val="single" w:sz="18" w:space="0" w:color="535552"/>
              <w:bottom w:val="dashed" w:sz="4" w:space="0" w:color="808080"/>
              <w:right w:val="single" w:sz="18" w:space="0" w:color="535552"/>
            </w:tcBorders>
            <w:shd w:val="clear" w:color="auto" w:fill="FFFFFF"/>
            <w:vAlign w:val="center"/>
          </w:tcPr>
          <w:p w14:paraId="4A0226DF" w14:textId="77777777" w:rsidR="001704F0" w:rsidRPr="00BA6D6C" w:rsidRDefault="001704F0">
            <w:pPr>
              <w:spacing w:before="60" w:afterLines="60" w:after="144" w:line="240" w:lineRule="auto"/>
              <w:jc w:val="left"/>
              <w:rPr>
                <w:rFonts w:ascii="Arial" w:eastAsia="Arial" w:hAnsi="Arial" w:cs="Times New Roman"/>
                <w:b/>
                <w:iCs/>
                <w:sz w:val="32"/>
                <w:szCs w:val="32"/>
                <w:lang w:val="en-NZ"/>
              </w:rPr>
            </w:pPr>
            <w:r w:rsidRPr="00BA6D6C">
              <w:rPr>
                <w:rFonts w:ascii="Arial" w:eastAsia="Arial" w:hAnsi="Arial" w:cs="Times New Roman"/>
                <w:b/>
                <w:iCs/>
                <w:sz w:val="32"/>
                <w:szCs w:val="32"/>
                <w:lang w:val="en-NZ"/>
              </w:rPr>
              <w:t>12</w:t>
            </w:r>
          </w:p>
          <w:p w14:paraId="4F9A0477" w14:textId="77777777" w:rsidR="001704F0" w:rsidRPr="00BA6D6C" w:rsidRDefault="001704F0">
            <w:pPr>
              <w:spacing w:before="60" w:afterLines="60" w:after="144" w:line="240" w:lineRule="auto"/>
              <w:jc w:val="left"/>
              <w:rPr>
                <w:rFonts w:ascii="Arial" w:eastAsia="Arial" w:hAnsi="Arial" w:cs="Times New Roman"/>
                <w:b/>
                <w:iCs/>
                <w:szCs w:val="20"/>
                <w:lang w:val="en-NZ"/>
              </w:rPr>
            </w:pPr>
            <w:r w:rsidRPr="00BA6D6C">
              <w:rPr>
                <w:rFonts w:ascii="Arial" w:eastAsia="Arial" w:hAnsi="Arial" w:cs="Times New Roman"/>
                <w:b/>
                <w:iCs/>
                <w:szCs w:val="20"/>
                <w:lang w:val="en-NZ"/>
              </w:rPr>
              <w:t xml:space="preserve">Improve the relevance and use of IAHP data and reporting processes to support shared accountability and decision-making on </w:t>
            </w:r>
            <w:r w:rsidRPr="00BA6D6C">
              <w:rPr>
                <w:rFonts w:ascii="Arial" w:eastAsia="Arial" w:hAnsi="Arial" w:cs="Times New Roman"/>
                <w:b/>
                <w:iCs/>
                <w:szCs w:val="20"/>
              </w:rPr>
              <w:t>health service planning, design and delivery.</w:t>
            </w:r>
          </w:p>
          <w:p w14:paraId="62AA1FB2" w14:textId="77777777" w:rsidR="001704F0" w:rsidRPr="00BA6D6C" w:rsidRDefault="001704F0">
            <w:pPr>
              <w:spacing w:before="60" w:afterLines="60" w:after="144" w:line="240" w:lineRule="auto"/>
              <w:jc w:val="left"/>
              <w:rPr>
                <w:rFonts w:ascii="Arial" w:eastAsia="Arial" w:hAnsi="Arial" w:cs="Times New Roman"/>
                <w:bCs/>
                <w:iCs/>
                <w:szCs w:val="20"/>
                <w:lang w:val="en-NZ"/>
              </w:rPr>
            </w:pPr>
            <w:r w:rsidRPr="00BA6D6C">
              <w:rPr>
                <w:rFonts w:ascii="Arial" w:eastAsia="Arial" w:hAnsi="Arial" w:cs="Times New Roman"/>
                <w:bCs/>
                <w:iCs/>
                <w:szCs w:val="20"/>
                <w:lang w:val="en-NZ"/>
              </w:rPr>
              <w:t>To strengthen the relevance and use of IAHP data, the Department of Health and Aged Care to work with the Aboriginal and Torres Strait Islander communities to ensure that IAHP data and reporting processes reflect ACCHSs’ models of care and community aspirations for health and wellbeing.</w:t>
            </w:r>
          </w:p>
          <w:p w14:paraId="338EE108" w14:textId="77777777" w:rsidR="001704F0" w:rsidRPr="00BA6D6C" w:rsidRDefault="001704F0">
            <w:pPr>
              <w:spacing w:before="60" w:afterLines="60" w:after="144" w:line="240" w:lineRule="auto"/>
              <w:jc w:val="left"/>
              <w:rPr>
                <w:rFonts w:ascii="Arial" w:eastAsia="Arial" w:hAnsi="Arial" w:cs="Times New Roman"/>
                <w:iCs/>
                <w:szCs w:val="20"/>
              </w:rPr>
            </w:pPr>
            <w:r w:rsidRPr="00BA6D6C">
              <w:rPr>
                <w:rFonts w:ascii="Arial" w:eastAsia="Arial" w:hAnsi="Arial" w:cs="Times New Roman"/>
                <w:iCs/>
                <w:szCs w:val="20"/>
              </w:rPr>
              <w:t>In implementing this recommendation, the evaluation suggests:</w:t>
            </w:r>
          </w:p>
          <w:p w14:paraId="0B5BC2EE"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 xml:space="preserve">Revising the nKPIs to broaden its focus to capture additional indicators that are useful for communities, including outcomes and people’s experience of care, and the practice of community control. This would include reviewing and managing the reporting burden and resourcing required to capture and report on additional indicators. </w:t>
            </w:r>
          </w:p>
          <w:p w14:paraId="5A51E1D3"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bCs/>
                <w:iCs/>
                <w:szCs w:val="20"/>
              </w:rPr>
            </w:pPr>
            <w:r w:rsidRPr="00BA6D6C">
              <w:rPr>
                <w:rFonts w:ascii="Arial" w:eastAsia="Arial" w:hAnsi="Arial" w:cs="Times New Roman"/>
                <w:bCs/>
                <w:iCs/>
                <w:szCs w:val="20"/>
              </w:rPr>
              <w:t xml:space="preserve">Increasing transparency around the purpose of the IAHP data collections (nKPIs and OSR) and communicating to ACCHSs and communities when and how this data is used by the department. </w:t>
            </w:r>
          </w:p>
          <w:p w14:paraId="125152CB" w14:textId="77777777" w:rsidR="001704F0" w:rsidRPr="00BA6D6C" w:rsidRDefault="001704F0">
            <w:pPr>
              <w:numPr>
                <w:ilvl w:val="0"/>
                <w:numId w:val="24"/>
              </w:numPr>
              <w:spacing w:before="60" w:afterLines="60" w:after="144" w:line="240" w:lineRule="auto"/>
              <w:ind w:left="601" w:hanging="357"/>
              <w:jc w:val="left"/>
              <w:rPr>
                <w:rFonts w:ascii="Arial" w:eastAsia="Arial" w:hAnsi="Arial" w:cs="Times New Roman"/>
                <w:iCs/>
              </w:rPr>
            </w:pPr>
            <w:r w:rsidRPr="00BA6D6C">
              <w:rPr>
                <w:rFonts w:ascii="Arial" w:eastAsia="Arial" w:hAnsi="Arial" w:cs="Times New Roman"/>
                <w:bCs/>
                <w:iCs/>
                <w:szCs w:val="20"/>
              </w:rPr>
              <w:t>Ensuring all IAHP data uphold principles of Indigenous Data Sovereignty and Indigenous Data Governance.</w:t>
            </w:r>
          </w:p>
        </w:tc>
      </w:tr>
      <w:tr w:rsidR="001704F0" w:rsidRPr="00BA6D6C" w14:paraId="1F8F9DEB" w14:textId="77777777">
        <w:tc>
          <w:tcPr>
            <w:tcW w:w="567" w:type="dxa"/>
            <w:tcBorders>
              <w:top w:val="dashed" w:sz="4" w:space="0" w:color="808080"/>
              <w:left w:val="single" w:sz="18" w:space="0" w:color="535552"/>
              <w:bottom w:val="single" w:sz="18" w:space="0" w:color="535552"/>
              <w:right w:val="nil"/>
            </w:tcBorders>
            <w:shd w:val="clear" w:color="auto" w:fill="EBECED"/>
            <w:vAlign w:val="center"/>
          </w:tcPr>
          <w:p w14:paraId="78A34E0D" w14:textId="77777777" w:rsidR="001704F0" w:rsidRPr="00BA6D6C" w:rsidRDefault="001704F0">
            <w:pPr>
              <w:spacing w:before="60" w:after="60" w:line="240" w:lineRule="auto"/>
              <w:jc w:val="left"/>
              <w:rPr>
                <w:rFonts w:ascii="Arial" w:eastAsia="Arial" w:hAnsi="Arial" w:cs="Times New Roman"/>
                <w:iCs/>
                <w:szCs w:val="20"/>
              </w:rPr>
            </w:pPr>
            <w:r w:rsidRPr="00BA6D6C">
              <w:rPr>
                <w:rFonts w:ascii="Arial" w:eastAsia="Arial" w:hAnsi="Arial" w:cs="Times New Roman"/>
                <w:bCs/>
                <w:iCs/>
                <w:noProof/>
                <w:szCs w:val="20"/>
                <w:lang w:val="en-NZ"/>
              </w:rPr>
              <w:drawing>
                <wp:inline distT="0" distB="0" distL="0" distR="0" wp14:anchorId="7F58DFE0" wp14:editId="2C426DD4">
                  <wp:extent cx="238125" cy="238125"/>
                  <wp:effectExtent l="0" t="0" r="9525" b="9525"/>
                  <wp:docPr id="165548390" name="Picture 165548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8390" name="Picture 165548390">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65" w:type="dxa"/>
            <w:tcBorders>
              <w:top w:val="dashed" w:sz="4" w:space="0" w:color="808080"/>
              <w:left w:val="nil"/>
              <w:bottom w:val="single" w:sz="18" w:space="0" w:color="535552"/>
              <w:right w:val="single" w:sz="18" w:space="0" w:color="535552"/>
            </w:tcBorders>
            <w:shd w:val="clear" w:color="auto" w:fill="EBECED"/>
            <w:vAlign w:val="center"/>
          </w:tcPr>
          <w:p w14:paraId="2BF63658" w14:textId="77777777" w:rsidR="001704F0" w:rsidRPr="00BA6D6C" w:rsidRDefault="001704F0">
            <w:pPr>
              <w:spacing w:before="60" w:after="60" w:line="240" w:lineRule="auto"/>
              <w:jc w:val="left"/>
              <w:rPr>
                <w:rFonts w:ascii="Arial" w:eastAsia="Arial" w:hAnsi="Arial" w:cs="Times New Roman"/>
                <w:iCs/>
                <w:szCs w:val="20"/>
              </w:rPr>
            </w:pPr>
            <w:r w:rsidRPr="00BA6D6C">
              <w:rPr>
                <w:rFonts w:ascii="Arial" w:eastAsia="Arial" w:hAnsi="Arial" w:cs="Times New Roman"/>
                <w:bCs/>
                <w:iCs/>
                <w:szCs w:val="20"/>
                <w:lang w:val="en-NZ"/>
              </w:rPr>
              <w:t>Medium term</w:t>
            </w:r>
          </w:p>
        </w:tc>
      </w:tr>
    </w:tbl>
    <w:p w14:paraId="1F2E1CA6" w14:textId="77777777" w:rsidR="001D7A4A" w:rsidRPr="001D7A4A" w:rsidRDefault="001D7A4A" w:rsidP="001D7A4A"/>
    <w:p w14:paraId="4D50107B" w14:textId="77777777" w:rsidR="001D7A4A" w:rsidRPr="001D7A4A" w:rsidRDefault="001D7A4A" w:rsidP="001D7A4A">
      <w:r w:rsidRPr="001D7A4A">
        <w:br w:type="page"/>
      </w:r>
    </w:p>
    <w:p w14:paraId="47531413" w14:textId="442BC262" w:rsidR="001D7A4A" w:rsidRPr="001D7A4A" w:rsidRDefault="001D7A4A" w:rsidP="0035030F">
      <w:pPr>
        <w:pStyle w:val="Heading2"/>
      </w:pPr>
      <w:r w:rsidRPr="001D7A4A">
        <w:lastRenderedPageBreak/>
        <w:t xml:space="preserve"> </w:t>
      </w:r>
      <w:bookmarkStart w:id="357" w:name="_Toc137208964"/>
      <w:r w:rsidRPr="001D7A4A">
        <w:t>Ensuring IAHP implementation success</w:t>
      </w:r>
      <w:bookmarkEnd w:id="357"/>
    </w:p>
    <w:p w14:paraId="5935EA87" w14:textId="77777777" w:rsidR="001D7A4A" w:rsidRPr="001D7A4A" w:rsidRDefault="001D7A4A" w:rsidP="001D7A4A">
      <w:r w:rsidRPr="001D7A4A">
        <w:t xml:space="preserve">This recommendation on implementation cuts across all the recommendations. This recommendation will ensure that implementation considerations are considered throughout all the stages of the IAHP policy implementation. It recognises that successful policy implementation requires active and ongoing stewardship and management across the policy cycle; rather than only at a policy design stage. </w:t>
      </w:r>
    </w:p>
    <w:tbl>
      <w:tblPr>
        <w:tblStyle w:val="ACTableDesig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3"/>
      </w:tblGrid>
      <w:tr w:rsidR="001D7A4A" w:rsidRPr="001D7A4A" w14:paraId="6F8C5127" w14:textId="7777777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23" w:type="dxa"/>
            <w:shd w:val="clear" w:color="auto" w:fill="DAF0F3"/>
          </w:tcPr>
          <w:p w14:paraId="04731DC8" w14:textId="77777777" w:rsidR="001D7A4A" w:rsidRPr="001D7A4A" w:rsidRDefault="001D7A4A" w:rsidP="001D7A4A">
            <w:pPr>
              <w:keepNext/>
              <w:spacing w:before="240" w:after="240" w:line="276" w:lineRule="auto"/>
              <w:ind w:left="142" w:right="142"/>
              <w:jc w:val="left"/>
              <w:outlineLvl w:val="5"/>
              <w:rPr>
                <w:rFonts w:cstheme="minorHAnsi"/>
                <w:color w:val="357DBE" w:themeColor="accent1"/>
                <w:sz w:val="28"/>
                <w:szCs w:val="28"/>
              </w:rPr>
            </w:pPr>
            <w:r w:rsidRPr="001D7A4A">
              <w:rPr>
                <w:rFonts w:cstheme="minorHAnsi"/>
                <w:iCs/>
                <w:color w:val="357DBE" w:themeColor="accent1"/>
                <w:sz w:val="28"/>
                <w:szCs w:val="28"/>
              </w:rPr>
              <w:t>Connection to policy priorities</w:t>
            </w:r>
          </w:p>
          <w:p w14:paraId="4F4A21E0" w14:textId="77777777" w:rsidR="001D7A4A" w:rsidRPr="001D7A4A" w:rsidRDefault="001D7A4A" w:rsidP="001D7A4A">
            <w:pPr>
              <w:spacing w:before="0" w:line="276" w:lineRule="auto"/>
              <w:ind w:left="142" w:right="142"/>
              <w:rPr>
                <w:rFonts w:asciiTheme="minorHAnsi" w:hAnsiTheme="minorHAnsi"/>
                <w:b w:val="0"/>
                <w:color w:val="auto"/>
                <w:szCs w:val="21"/>
              </w:rPr>
            </w:pPr>
            <w:r w:rsidRPr="001D7A4A">
              <w:rPr>
                <w:rFonts w:asciiTheme="minorHAnsi" w:hAnsiTheme="minorHAnsi"/>
                <w:color w:val="auto"/>
                <w:szCs w:val="21"/>
              </w:rPr>
              <w:t xml:space="preserve">Closing the Gap: </w:t>
            </w:r>
            <w:r w:rsidRPr="001D7A4A">
              <w:rPr>
                <w:rFonts w:asciiTheme="minorHAnsi" w:hAnsiTheme="minorHAnsi"/>
                <w:b w:val="0"/>
                <w:bCs/>
                <w:color w:val="auto"/>
                <w:szCs w:val="21"/>
              </w:rPr>
              <w:t>Commitments to develop implementation plans and to Aboriginal and Torres Strait Islander people having access to information monitor the implementation of efforts to close the gap</w:t>
            </w:r>
            <w:r w:rsidRPr="001D7A4A">
              <w:rPr>
                <w:szCs w:val="21"/>
              </w:rPr>
              <w:t>.</w:t>
            </w:r>
          </w:p>
          <w:p w14:paraId="6A026C42" w14:textId="77777777" w:rsidR="001D7A4A" w:rsidRPr="001D7A4A" w:rsidRDefault="001D7A4A" w:rsidP="001D7A4A">
            <w:pPr>
              <w:spacing w:before="0" w:line="276" w:lineRule="auto"/>
              <w:ind w:left="142" w:right="142"/>
              <w:rPr>
                <w:rFonts w:asciiTheme="minorHAnsi" w:hAnsiTheme="minorHAnsi"/>
                <w:bCs/>
                <w:color w:val="auto"/>
                <w:szCs w:val="21"/>
              </w:rPr>
            </w:pPr>
            <w:r w:rsidRPr="001D7A4A">
              <w:rPr>
                <w:rFonts w:asciiTheme="minorHAnsi" w:hAnsiTheme="minorHAnsi"/>
                <w:bCs/>
                <w:color w:val="auto"/>
                <w:szCs w:val="21"/>
              </w:rPr>
              <w:t xml:space="preserve">Closing the Gap Implementation Plan 2023: </w:t>
            </w:r>
            <w:r w:rsidRPr="001D7A4A">
              <w:rPr>
                <w:rFonts w:asciiTheme="minorHAnsi" w:hAnsiTheme="minorHAnsi"/>
                <w:b w:val="0"/>
                <w:color w:val="auto"/>
                <w:szCs w:val="21"/>
              </w:rPr>
              <w:t>Monitoring of all outcomes and targets</w:t>
            </w:r>
            <w:r w:rsidRPr="001D7A4A">
              <w:rPr>
                <w:szCs w:val="21"/>
              </w:rPr>
              <w:t>.</w:t>
            </w:r>
          </w:p>
          <w:p w14:paraId="7A0010AA" w14:textId="77777777" w:rsidR="001D7A4A" w:rsidRPr="001D7A4A" w:rsidRDefault="001D7A4A" w:rsidP="001D7A4A">
            <w:pPr>
              <w:spacing w:before="0" w:after="240" w:line="276" w:lineRule="auto"/>
              <w:ind w:left="142" w:right="142"/>
              <w:rPr>
                <w:rFonts w:asciiTheme="minorHAnsi" w:hAnsiTheme="minorHAnsi"/>
                <w:b w:val="0"/>
                <w:bCs/>
                <w:color w:val="auto"/>
                <w:sz w:val="22"/>
                <w:szCs w:val="22"/>
              </w:rPr>
            </w:pPr>
            <w:r w:rsidRPr="001D7A4A">
              <w:rPr>
                <w:rFonts w:asciiTheme="minorHAnsi" w:hAnsiTheme="minorHAnsi"/>
                <w:color w:val="auto"/>
                <w:szCs w:val="21"/>
              </w:rPr>
              <w:t>National Aboriginal and Torres Strait Islander Health Plan 2021-2031:</w:t>
            </w:r>
            <w:r w:rsidRPr="001D7A4A">
              <w:rPr>
                <w:rFonts w:asciiTheme="minorHAnsi" w:hAnsiTheme="minorHAnsi"/>
                <w:b w:val="0"/>
                <w:bCs/>
                <w:color w:val="auto"/>
                <w:szCs w:val="21"/>
              </w:rPr>
              <w:t xml:space="preserve"> Commitments to develop two 5-year Commonwealth Implementation Plans for the Health Plan, and to develop a robust accountability framework, and governance arrangement.</w:t>
            </w:r>
          </w:p>
        </w:tc>
      </w:tr>
    </w:tbl>
    <w:p w14:paraId="751227B2" w14:textId="77777777" w:rsidR="001D7A4A" w:rsidRPr="001D7A4A" w:rsidRDefault="001D7A4A" w:rsidP="001D7A4A"/>
    <w:p w14:paraId="5489D278" w14:textId="11173DC8" w:rsidR="001D7A4A" w:rsidRPr="001D7A4A" w:rsidRDefault="001D7A4A" w:rsidP="001D7A4A">
      <w:r w:rsidRPr="001D7A4A">
        <w:t xml:space="preserve">The </w:t>
      </w:r>
      <w:r w:rsidRPr="001D7A4A">
        <w:rPr>
          <w:b/>
          <w:bCs/>
        </w:rPr>
        <w:t>intent</w:t>
      </w:r>
      <w:r w:rsidRPr="001D7A4A">
        <w:t xml:space="preserve"> of this recommendation is to ensure that the shared decision-making partnership with authority for the IAHP (Recommendation 2) has oversight of the critical drivers of implementation success of the IAHP, and regularly discusses and reviews progress and performance. This will help to ensure that the IAHP will be implemented on time, on budget and to expectations, and each of these are adequately considered and realistic. The Department of Health and Aged Care will apply the time, resources and capability to support successful implementation. Implementation challenges, risks, benefits and opportunities will be adequately considered and managed. The IAHP will continue to calibrate and adapt in response to data measurement and analysis, stakeholder engagement and feedback, and evaluation and review.</w:t>
      </w:r>
    </w:p>
    <w:p w14:paraId="43A9D881" w14:textId="77777777" w:rsidR="00EA507E" w:rsidRDefault="00EA507E">
      <w:pPr>
        <w:jc w:val="left"/>
      </w:pPr>
      <w:r>
        <w:br w:type="page"/>
      </w:r>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567"/>
        <w:gridCol w:w="8508"/>
      </w:tblGrid>
      <w:tr w:rsidR="00EA507E" w:rsidRPr="001D7A4A" w14:paraId="6EBC2754" w14:textId="77777777">
        <w:trPr>
          <w:cantSplit/>
          <w:trHeight w:val="264"/>
        </w:trPr>
        <w:tc>
          <w:tcPr>
            <w:tcW w:w="9075" w:type="dxa"/>
            <w:gridSpan w:val="2"/>
            <w:tcBorders>
              <w:top w:val="single" w:sz="18" w:space="0" w:color="535552"/>
              <w:left w:val="single" w:sz="18" w:space="0" w:color="535552"/>
              <w:bottom w:val="single" w:sz="8" w:space="0" w:color="535552"/>
              <w:right w:val="single" w:sz="18" w:space="0" w:color="535552"/>
            </w:tcBorders>
            <w:shd w:val="clear" w:color="auto" w:fill="E4E879"/>
            <w:vAlign w:val="center"/>
          </w:tcPr>
          <w:p w14:paraId="0CFD5BEC" w14:textId="77777777" w:rsidR="00EA507E" w:rsidRPr="001D7A4A" w:rsidRDefault="00EA507E">
            <w:pPr>
              <w:spacing w:before="60" w:afterLines="60" w:after="144" w:line="240" w:lineRule="auto"/>
              <w:jc w:val="left"/>
              <w:rPr>
                <w:rFonts w:ascii="Arial" w:eastAsia="Arial" w:hAnsi="Arial" w:cs="Times New Roman"/>
                <w:bCs/>
                <w:iCs/>
                <w:sz w:val="26"/>
                <w:szCs w:val="26"/>
                <w:lang w:val="en-NZ"/>
              </w:rPr>
            </w:pPr>
            <w:r w:rsidRPr="001D7A4A">
              <w:rPr>
                <w:rFonts w:ascii="Arial" w:eastAsia="Arial" w:hAnsi="Arial" w:cs="Times New Roman"/>
                <w:b/>
                <w:bCs/>
                <w:sz w:val="26"/>
                <w:szCs w:val="26"/>
              </w:rPr>
              <w:lastRenderedPageBreak/>
              <w:t xml:space="preserve">Recommendation: </w:t>
            </w:r>
            <w:r w:rsidRPr="001D7A4A">
              <w:rPr>
                <w:rFonts w:ascii="Arial" w:eastAsia="Arial" w:hAnsi="Arial" w:cs="Times New Roman"/>
                <w:b/>
                <w:bCs/>
                <w:iCs/>
                <w:sz w:val="26"/>
                <w:szCs w:val="26"/>
              </w:rPr>
              <w:t>Ensuring IAHP implementation success</w:t>
            </w:r>
          </w:p>
        </w:tc>
      </w:tr>
      <w:tr w:rsidR="00EA507E" w:rsidRPr="001D7A4A" w14:paraId="31CBA8A7" w14:textId="77777777">
        <w:trPr>
          <w:cantSplit/>
        </w:trPr>
        <w:tc>
          <w:tcPr>
            <w:tcW w:w="9075" w:type="dxa"/>
            <w:gridSpan w:val="2"/>
            <w:tcBorders>
              <w:top w:val="single" w:sz="8" w:space="0" w:color="535552"/>
              <w:left w:val="single" w:sz="18" w:space="0" w:color="535552"/>
              <w:bottom w:val="dashed" w:sz="4" w:space="0" w:color="808080" w:themeColor="background1" w:themeShade="80"/>
              <w:right w:val="single" w:sz="18" w:space="0" w:color="535552"/>
            </w:tcBorders>
            <w:shd w:val="clear" w:color="auto" w:fill="FFFFFF" w:themeFill="background1"/>
            <w:vAlign w:val="center"/>
          </w:tcPr>
          <w:p w14:paraId="433DA881" w14:textId="77777777" w:rsidR="00EA507E" w:rsidRPr="008233BB" w:rsidRDefault="00EA507E">
            <w:pPr>
              <w:spacing w:before="60" w:afterLines="60" w:after="144" w:line="240" w:lineRule="auto"/>
              <w:jc w:val="left"/>
              <w:rPr>
                <w:rFonts w:ascii="Arial" w:eastAsia="Arial" w:hAnsi="Arial" w:cs="Times New Roman"/>
                <w:b/>
                <w:iCs/>
                <w:sz w:val="32"/>
                <w:szCs w:val="32"/>
              </w:rPr>
            </w:pPr>
            <w:r w:rsidRPr="008233BB">
              <w:rPr>
                <w:rFonts w:ascii="Arial" w:eastAsia="Arial" w:hAnsi="Arial" w:cs="Times New Roman"/>
                <w:b/>
                <w:iCs/>
                <w:sz w:val="32"/>
                <w:szCs w:val="32"/>
              </w:rPr>
              <w:t>13</w:t>
            </w:r>
          </w:p>
          <w:p w14:paraId="4F7C54CC" w14:textId="77777777" w:rsidR="001478C1" w:rsidRPr="001D7A4A" w:rsidRDefault="001478C1" w:rsidP="001478C1">
            <w:pPr>
              <w:spacing w:before="60" w:afterLines="60" w:after="144" w:line="240" w:lineRule="auto"/>
              <w:jc w:val="left"/>
              <w:rPr>
                <w:rFonts w:ascii="Arial" w:eastAsia="Arial" w:hAnsi="Arial" w:cs="Times New Roman"/>
                <w:b/>
                <w:iCs/>
                <w:szCs w:val="20"/>
              </w:rPr>
            </w:pPr>
            <w:r w:rsidRPr="001D7A4A">
              <w:rPr>
                <w:rFonts w:ascii="Arial" w:eastAsia="Arial" w:hAnsi="Arial" w:cs="Times New Roman"/>
                <w:b/>
                <w:iCs/>
                <w:szCs w:val="20"/>
              </w:rPr>
              <w:t xml:space="preserve">The Department of Health and Aged Care to provide active and continuous leadership and management of the </w:t>
            </w:r>
            <w:r>
              <w:rPr>
                <w:rFonts w:ascii="Arial" w:eastAsia="Arial" w:hAnsi="Arial" w:cs="Times New Roman"/>
                <w:b/>
                <w:iCs/>
                <w:szCs w:val="20"/>
              </w:rPr>
              <w:t xml:space="preserve">ongoing </w:t>
            </w:r>
            <w:r w:rsidRPr="001D7A4A">
              <w:rPr>
                <w:rFonts w:ascii="Arial" w:eastAsia="Arial" w:hAnsi="Arial" w:cs="Times New Roman"/>
                <w:b/>
                <w:iCs/>
                <w:szCs w:val="20"/>
              </w:rPr>
              <w:t xml:space="preserve">implementation of the IAHP, including regular reporting to partners on progress against </w:t>
            </w:r>
            <w:r>
              <w:rPr>
                <w:rFonts w:ascii="Arial" w:eastAsia="Arial" w:hAnsi="Arial" w:cs="Times New Roman"/>
                <w:b/>
                <w:iCs/>
                <w:szCs w:val="20"/>
              </w:rPr>
              <w:t>the co-design investment strategy</w:t>
            </w:r>
            <w:r w:rsidRPr="001D7A4A">
              <w:rPr>
                <w:rFonts w:ascii="Arial" w:eastAsia="Arial" w:hAnsi="Arial" w:cs="Times New Roman"/>
                <w:b/>
                <w:iCs/>
                <w:szCs w:val="20"/>
              </w:rPr>
              <w:t>.</w:t>
            </w:r>
          </w:p>
          <w:p w14:paraId="6FCE02C1" w14:textId="77777777" w:rsidR="001478C1" w:rsidRPr="001D7A4A" w:rsidRDefault="001478C1" w:rsidP="001478C1">
            <w:pPr>
              <w:spacing w:before="60" w:afterLines="60" w:after="144" w:line="240" w:lineRule="auto"/>
              <w:jc w:val="left"/>
              <w:rPr>
                <w:rFonts w:ascii="Arial" w:eastAsia="Arial" w:hAnsi="Arial" w:cs="Times New Roman"/>
                <w:iCs/>
                <w:szCs w:val="20"/>
              </w:rPr>
            </w:pPr>
            <w:r w:rsidRPr="001D7A4A">
              <w:rPr>
                <w:rFonts w:ascii="Arial" w:eastAsia="Arial" w:hAnsi="Arial" w:cs="Times New Roman"/>
                <w:iCs/>
                <w:szCs w:val="20"/>
              </w:rPr>
              <w:t xml:space="preserve">To ensure that the IAHP is </w:t>
            </w:r>
            <w:r>
              <w:rPr>
                <w:rFonts w:ascii="Arial" w:eastAsia="Arial" w:hAnsi="Arial" w:cs="Times New Roman"/>
                <w:iCs/>
                <w:szCs w:val="20"/>
              </w:rPr>
              <w:t>successful</w:t>
            </w:r>
            <w:r w:rsidRPr="001D7A4A">
              <w:rPr>
                <w:rFonts w:ascii="Arial" w:eastAsia="Arial" w:hAnsi="Arial" w:cs="Times New Roman"/>
                <w:iCs/>
                <w:szCs w:val="20"/>
              </w:rPr>
              <w:t xml:space="preserve"> and achieves its objectives, the Department of Health and Aged Care to strengthen processes to support early, informed and systematic consideration of </w:t>
            </w:r>
            <w:r>
              <w:rPr>
                <w:rFonts w:ascii="Arial" w:eastAsia="Arial" w:hAnsi="Arial" w:cs="Times New Roman"/>
                <w:iCs/>
                <w:szCs w:val="20"/>
              </w:rPr>
              <w:t>program issues</w:t>
            </w:r>
            <w:r w:rsidRPr="001D7A4A">
              <w:rPr>
                <w:rFonts w:ascii="Arial" w:eastAsia="Arial" w:hAnsi="Arial" w:cs="Times New Roman"/>
                <w:iCs/>
                <w:szCs w:val="20"/>
              </w:rPr>
              <w:t>, including the identification of actions and recommendations to inform program growth and improvement.</w:t>
            </w:r>
          </w:p>
          <w:p w14:paraId="4D4C8E7D" w14:textId="77777777" w:rsidR="00EA507E" w:rsidRPr="001D7A4A" w:rsidRDefault="00EA507E">
            <w:pPr>
              <w:spacing w:before="60" w:afterLines="60" w:after="144" w:line="240" w:lineRule="auto"/>
              <w:jc w:val="left"/>
              <w:rPr>
                <w:rFonts w:ascii="Arial" w:eastAsia="Arial" w:hAnsi="Arial" w:cs="Times New Roman"/>
                <w:iCs/>
                <w:szCs w:val="20"/>
              </w:rPr>
            </w:pPr>
            <w:r w:rsidRPr="001D7A4A">
              <w:rPr>
                <w:rFonts w:ascii="Arial" w:eastAsia="Arial" w:hAnsi="Arial" w:cs="Times New Roman"/>
                <w:iCs/>
                <w:szCs w:val="20"/>
              </w:rPr>
              <w:t>In implementing this recommendation, the evaluation suggests:</w:t>
            </w:r>
          </w:p>
          <w:p w14:paraId="0D032C4D" w14:textId="77777777" w:rsidR="00EA507E" w:rsidRPr="001D7A4A" w:rsidRDefault="00EA507E">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 xml:space="preserve">Ensuring the proposed shared decision-making partnership has oversight of the </w:t>
            </w:r>
            <w:r w:rsidR="001478C1">
              <w:rPr>
                <w:rFonts w:ascii="Arial" w:eastAsia="Arial" w:hAnsi="Arial" w:cs="Times New Roman"/>
                <w:bCs/>
                <w:iCs/>
                <w:szCs w:val="20"/>
              </w:rPr>
              <w:t xml:space="preserve">ongoing </w:t>
            </w:r>
            <w:r w:rsidR="001478C1" w:rsidRPr="001D7A4A">
              <w:rPr>
                <w:rFonts w:ascii="Arial" w:eastAsia="Arial" w:hAnsi="Arial" w:cs="Times New Roman"/>
                <w:bCs/>
                <w:iCs/>
                <w:szCs w:val="20"/>
              </w:rPr>
              <w:t>implementation of the IAHP.</w:t>
            </w:r>
          </w:p>
          <w:p w14:paraId="4DC7461C" w14:textId="77777777" w:rsidR="00EA507E" w:rsidRPr="001D7A4A" w:rsidRDefault="00EA507E">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Identifying and actively managing risks to the continued implementation of the IAHP.</w:t>
            </w:r>
          </w:p>
          <w:p w14:paraId="70D98C97" w14:textId="77777777" w:rsidR="001478C1" w:rsidRPr="001D7A4A" w:rsidRDefault="001478C1" w:rsidP="001478C1">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Identifying partners and stakeholders and how they will be engaged</w:t>
            </w:r>
            <w:r>
              <w:rPr>
                <w:rFonts w:ascii="Arial" w:eastAsia="Arial" w:hAnsi="Arial" w:cs="Times New Roman"/>
                <w:bCs/>
                <w:iCs/>
                <w:szCs w:val="20"/>
              </w:rPr>
              <w:t>, including through co-design processes.</w:t>
            </w:r>
          </w:p>
          <w:p w14:paraId="64F376B0" w14:textId="77777777" w:rsidR="00EA507E" w:rsidRPr="001D7A4A" w:rsidRDefault="00EA507E">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Identifying resource requirements and managing constraints early.</w:t>
            </w:r>
          </w:p>
          <w:p w14:paraId="6B1D2543" w14:textId="77777777" w:rsidR="00EA507E" w:rsidRPr="001D7A4A" w:rsidRDefault="00EA507E">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 xml:space="preserve">Establishing effective monitoring, review and evaluation processes to support active management of the </w:t>
            </w:r>
            <w:r w:rsidR="001478C1">
              <w:rPr>
                <w:rFonts w:ascii="Arial" w:eastAsia="Arial" w:hAnsi="Arial" w:cs="Times New Roman"/>
                <w:bCs/>
                <w:iCs/>
                <w:szCs w:val="20"/>
              </w:rPr>
              <w:t>ongoing</w:t>
            </w:r>
            <w:r w:rsidR="001478C1" w:rsidRPr="001D7A4A">
              <w:rPr>
                <w:rFonts w:ascii="Arial" w:eastAsia="Arial" w:hAnsi="Arial" w:cs="Times New Roman"/>
                <w:bCs/>
                <w:iCs/>
                <w:szCs w:val="20"/>
              </w:rPr>
              <w:t xml:space="preserve"> implementation of the IAHP.</w:t>
            </w:r>
          </w:p>
          <w:p w14:paraId="582B67AF" w14:textId="77777777" w:rsidR="00EA507E" w:rsidRPr="001D7A4A" w:rsidRDefault="00EA507E">
            <w:pPr>
              <w:numPr>
                <w:ilvl w:val="0"/>
                <w:numId w:val="24"/>
              </w:numPr>
              <w:spacing w:before="60" w:afterLines="60" w:after="144" w:line="240" w:lineRule="auto"/>
              <w:ind w:left="601" w:hanging="357"/>
              <w:jc w:val="left"/>
              <w:rPr>
                <w:rFonts w:ascii="Arial" w:eastAsia="Arial" w:hAnsi="Arial" w:cs="Times New Roman"/>
                <w:bCs/>
                <w:iCs/>
                <w:szCs w:val="20"/>
              </w:rPr>
            </w:pPr>
            <w:r w:rsidRPr="001D7A4A">
              <w:rPr>
                <w:rFonts w:ascii="Arial" w:eastAsia="Arial" w:hAnsi="Arial" w:cs="Times New Roman"/>
                <w:bCs/>
                <w:iCs/>
                <w:szCs w:val="20"/>
              </w:rPr>
              <w:t>Publishing outcome measures for the IAHP and performance against these to increase program transparency.</w:t>
            </w:r>
          </w:p>
          <w:p w14:paraId="5C2C7D31" w14:textId="14359798" w:rsidR="00EA507E" w:rsidRPr="001D7A4A" w:rsidRDefault="00EA507E">
            <w:pPr>
              <w:numPr>
                <w:ilvl w:val="0"/>
                <w:numId w:val="24"/>
              </w:numPr>
              <w:spacing w:before="60" w:afterLines="60" w:after="144" w:line="240" w:lineRule="auto"/>
              <w:ind w:left="601" w:hanging="357"/>
              <w:jc w:val="left"/>
              <w:rPr>
                <w:rFonts w:eastAsia="Arial" w:cs="Times New Roman"/>
                <w:b/>
                <w:bCs/>
                <w:iCs/>
              </w:rPr>
            </w:pPr>
            <w:r w:rsidRPr="001D7A4A">
              <w:rPr>
                <w:rFonts w:ascii="Arial" w:eastAsia="Arial" w:hAnsi="Arial" w:cs="Times New Roman"/>
                <w:bCs/>
                <w:iCs/>
                <w:szCs w:val="20"/>
              </w:rPr>
              <w:t>Establishing annual measurement and reporting of government investment in the IAHP and in Aboriginal and Torres Strait Islander PHC.</w:t>
            </w:r>
          </w:p>
        </w:tc>
      </w:tr>
      <w:tr w:rsidR="00EA507E" w:rsidRPr="001D7A4A" w14:paraId="6DE1F6B8" w14:textId="77777777">
        <w:trPr>
          <w:cantSplit/>
        </w:trPr>
        <w:tc>
          <w:tcPr>
            <w:tcW w:w="567" w:type="dxa"/>
            <w:tcBorders>
              <w:top w:val="dashed" w:sz="4" w:space="0" w:color="808080" w:themeColor="background1" w:themeShade="80"/>
              <w:left w:val="single" w:sz="18" w:space="0" w:color="535552"/>
              <w:bottom w:val="single" w:sz="18" w:space="0" w:color="535552"/>
              <w:right w:val="nil"/>
            </w:tcBorders>
            <w:shd w:val="clear" w:color="auto" w:fill="EBECED" w:themeFill="text2"/>
            <w:vAlign w:val="center"/>
          </w:tcPr>
          <w:p w14:paraId="6D11DF10" w14:textId="77777777" w:rsidR="00EA507E" w:rsidRPr="001D7A4A" w:rsidRDefault="00EA507E">
            <w:pPr>
              <w:spacing w:before="60" w:after="60" w:line="240" w:lineRule="auto"/>
              <w:jc w:val="left"/>
              <w:rPr>
                <w:rFonts w:ascii="Arial" w:eastAsia="Arial" w:hAnsi="Arial" w:cs="Times New Roman"/>
                <w:iCs/>
                <w:szCs w:val="20"/>
              </w:rPr>
            </w:pPr>
            <w:r w:rsidRPr="001D7A4A">
              <w:rPr>
                <w:rFonts w:ascii="Arial" w:eastAsia="Arial" w:hAnsi="Arial" w:cs="Times New Roman"/>
                <w:bCs/>
                <w:iCs/>
                <w:noProof/>
                <w:szCs w:val="20"/>
                <w:lang w:val="en-NZ"/>
              </w:rPr>
              <w:drawing>
                <wp:inline distT="0" distB="0" distL="0" distR="0" wp14:anchorId="10C2DC98" wp14:editId="0B7C1EE8">
                  <wp:extent cx="238125" cy="238125"/>
                  <wp:effectExtent l="0" t="0" r="9525" b="9525"/>
                  <wp:docPr id="2120945791" name="Picture 2120945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45791" name="Picture 2120945791">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38125" cy="238125"/>
                          </a:xfrm>
                          <a:prstGeom prst="rect">
                            <a:avLst/>
                          </a:prstGeom>
                        </pic:spPr>
                      </pic:pic>
                    </a:graphicData>
                  </a:graphic>
                </wp:inline>
              </w:drawing>
            </w:r>
          </w:p>
        </w:tc>
        <w:tc>
          <w:tcPr>
            <w:tcW w:w="8508" w:type="dxa"/>
            <w:tcBorders>
              <w:top w:val="dashed" w:sz="4" w:space="0" w:color="808080" w:themeColor="background1" w:themeShade="80"/>
              <w:left w:val="nil"/>
              <w:bottom w:val="single" w:sz="18" w:space="0" w:color="535552"/>
              <w:right w:val="single" w:sz="18" w:space="0" w:color="535552"/>
            </w:tcBorders>
            <w:shd w:val="clear" w:color="auto" w:fill="EBECED" w:themeFill="text2"/>
            <w:vAlign w:val="center"/>
          </w:tcPr>
          <w:p w14:paraId="61A76531" w14:textId="77777777" w:rsidR="00EA507E" w:rsidRPr="001D7A4A" w:rsidRDefault="00EA507E">
            <w:pPr>
              <w:spacing w:before="60" w:after="60" w:line="240" w:lineRule="auto"/>
              <w:jc w:val="left"/>
              <w:rPr>
                <w:rFonts w:ascii="Arial" w:eastAsia="Arial" w:hAnsi="Arial" w:cs="Times New Roman"/>
                <w:iCs/>
                <w:szCs w:val="20"/>
              </w:rPr>
            </w:pPr>
            <w:r w:rsidRPr="001D7A4A">
              <w:rPr>
                <w:rFonts w:ascii="Arial" w:eastAsia="Arial" w:hAnsi="Arial" w:cs="Times New Roman"/>
                <w:bCs/>
                <w:iCs/>
                <w:szCs w:val="20"/>
              </w:rPr>
              <w:t>Immediate term – Ongoing</w:t>
            </w:r>
          </w:p>
        </w:tc>
      </w:tr>
    </w:tbl>
    <w:p w14:paraId="465C3AB5" w14:textId="77777777" w:rsidR="001D7A4A" w:rsidRPr="001D7A4A" w:rsidRDefault="001D7A4A" w:rsidP="001D7A4A"/>
    <w:p w14:paraId="5B4507EC" w14:textId="77777777" w:rsidR="001D7A4A" w:rsidRPr="001D7A4A" w:rsidRDefault="001D7A4A" w:rsidP="001D7A4A"/>
    <w:p w14:paraId="234051AA" w14:textId="22CBFE83" w:rsidR="001D7A4A" w:rsidRPr="001D7A4A" w:rsidRDefault="001D7A4A" w:rsidP="001D7A4A">
      <w:r w:rsidRPr="001D7A4A">
        <w:br w:type="page"/>
      </w:r>
    </w:p>
    <w:p w14:paraId="7589B32F" w14:textId="77777777" w:rsidR="001D7A4A" w:rsidRPr="001D7A4A" w:rsidRDefault="001D7A4A" w:rsidP="001D7A4A"/>
    <w:p w14:paraId="6618AFA6" w14:textId="77777777" w:rsidR="001D7A4A" w:rsidRPr="001D7A4A" w:rsidRDefault="001D7A4A" w:rsidP="001D7A4A"/>
    <w:p w14:paraId="05B7ED74" w14:textId="0F25FC80" w:rsidR="001D7A4A" w:rsidRPr="001D7A4A" w:rsidRDefault="001D7A4A" w:rsidP="001D7A4A">
      <w:pPr>
        <w:tabs>
          <w:tab w:val="left" w:pos="1740"/>
        </w:tabs>
      </w:pPr>
      <w:r w:rsidRPr="001D7A4A">
        <w:rPr>
          <w:rFonts w:eastAsiaTheme="majorEastAsia" w:cstheme="majorBidi"/>
          <w:b/>
          <w:caps/>
          <w:color w:val="357DBE" w:themeColor="accent1"/>
          <w:sz w:val="32"/>
          <w:szCs w:val="32"/>
        </w:rPr>
        <w:tab/>
      </w:r>
    </w:p>
    <w:p w14:paraId="60AA4E7D" w14:textId="77777777" w:rsidR="001D7A4A" w:rsidRDefault="001D7A4A">
      <w:pPr>
        <w:jc w:val="left"/>
      </w:pPr>
    </w:p>
    <w:p w14:paraId="7D19B875" w14:textId="77777777" w:rsidR="001D7A4A" w:rsidRDefault="001D7A4A">
      <w:pPr>
        <w:jc w:val="left"/>
      </w:pPr>
    </w:p>
    <w:p w14:paraId="0E52A634" w14:textId="62987DFB" w:rsidR="0088297C" w:rsidRDefault="0088297C">
      <w:pPr>
        <w:jc w:val="left"/>
        <w:rPr>
          <w:b/>
          <w:caps/>
          <w:color w:val="9E6047" w:themeColor="accent3"/>
          <w:kern w:val="28"/>
          <w:sz w:val="40"/>
          <w:szCs w:val="48"/>
        </w:rPr>
      </w:pPr>
    </w:p>
    <w:p w14:paraId="39C9C6CA" w14:textId="5C652129" w:rsidR="00C6462E" w:rsidRPr="00884FAA" w:rsidRDefault="005A156F" w:rsidP="00F54317">
      <w:pPr>
        <w:rPr>
          <w:color w:val="357DBE" w:themeColor="accent1"/>
        </w:rPr>
      </w:pPr>
      <w:bookmarkStart w:id="358" w:name="_Toc131628748"/>
      <w:bookmarkStart w:id="359" w:name="_Toc131630652"/>
      <w:bookmarkStart w:id="360" w:name="_Toc131630830"/>
      <w:bookmarkStart w:id="361" w:name="_Toc137151155"/>
      <w:bookmarkStart w:id="362" w:name="_Toc137208965"/>
      <w:r w:rsidRPr="00884FAA">
        <w:rPr>
          <w:noProof/>
        </w:rPr>
        <mc:AlternateContent>
          <mc:Choice Requires="wps">
            <w:drawing>
              <wp:anchor distT="0" distB="0" distL="114300" distR="114300" simplePos="0" relativeHeight="251658266" behindDoc="0" locked="1" layoutInCell="1" allowOverlap="1" wp14:anchorId="2EB5FC56" wp14:editId="335A814E">
                <wp:simplePos x="0" y="0"/>
                <wp:positionH relativeFrom="margin">
                  <wp:posOffset>-635</wp:posOffset>
                </wp:positionH>
                <wp:positionV relativeFrom="margin">
                  <wp:posOffset>1543685</wp:posOffset>
                </wp:positionV>
                <wp:extent cx="5734050" cy="226758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734050" cy="2267585"/>
                        </a:xfrm>
                        <a:prstGeom prst="rect">
                          <a:avLst/>
                        </a:prstGeom>
                        <a:noFill/>
                        <a:ln w="6350">
                          <a:noFill/>
                        </a:ln>
                      </wps:spPr>
                      <wps:txbx>
                        <w:txbxContent>
                          <w:p w14:paraId="732137C3" w14:textId="4A4980B4" w:rsidR="005A156F" w:rsidRPr="005A156F" w:rsidRDefault="00343EB2" w:rsidP="005A156F">
                            <w:pPr>
                              <w:pStyle w:val="CoverTitle"/>
                              <w:rPr>
                                <w:color w:val="357DBE" w:themeColor="accent1"/>
                                <w:lang w:val="en-GB"/>
                              </w:rPr>
                            </w:pPr>
                            <w:r>
                              <w:rPr>
                                <w:color w:val="357DBE" w:themeColor="accent1"/>
                                <w:lang w:val="en-GB"/>
                              </w:rPr>
                              <w:t xml:space="preserve">Glossary + </w:t>
                            </w:r>
                            <w:r w:rsidR="005A156F">
                              <w:rPr>
                                <w:color w:val="357DBE" w:themeColor="accent1"/>
                                <w:lang w:val="en-GB"/>
                              </w:rPr>
                              <w:t>References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5FC56" id="Text Box 18" o:spid="_x0000_s1101" type="#_x0000_t202" style="position:absolute;left:0;text-align:left;margin-left:-.05pt;margin-top:121.55pt;width:451.5pt;height:178.5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4ztGwIAADUEAAAOAAAAZHJzL2Uyb0RvYy54bWysU01v2zAMvQ/YfxB0X5zvZkacImuRYUDQ&#10;FkiHnhVZigXIoiYpsbNfP0rO17qdhl1kUqQfyfeo+X1ba3IQziswBR30+pQIw6FUZlfQ76+rTzNK&#10;fGCmZBqMKOhReHq/+Phh3thcDKECXQpHEMT4vLEFrUKweZZ5Xoma+R5YYTAowdUsoOt2WelYg+i1&#10;zob9/jRrwJXWARfe4+1jF6SLhC+l4OFZSi8C0QXF3kI6XTq38cwWc5bvHLOV4qc22D90UTNlsOgF&#10;6pEFRvZO/QFVK+7Agww9DnUGUiou0gw4zaD/bppNxaxIsyA53l5o8v8Plj8dNvbFkdB+gRYFjIQ0&#10;1uceL+M8rXR1/GKnBONI4fFCm2gD4Xg5uRuN+xMMcYwNh9O7yWwScbLr79b58FVATaJRUIe6JLrY&#10;Ye1Dl3pOidUMrJTWSRttSFPQ6Qjxf4sguDZY49pstEK7bYkqCzqanSfZQnnEAR102nvLVwqbWDMf&#10;XphDsbFxXODwjIfUgMXgZFFSgfv5t/uYjxpglJIGl6eg/seeOUGJ/mZQnc+D8ThuW3LGk7shOu42&#10;sr2NmH39ALifA3wqlicz5gd9NqWD+g33fBmrYogZjrULuj2bD6FbaXwnXCyXKQn3y7KwNhvLI3Qk&#10;L1L82r4xZ086BJTwCc5rxvJ3cnS5He3LfQCpklaR6I7VE/+4m0nt0zuKy3/rp6zra1/8AgAA//8D&#10;AFBLAwQUAAYACAAAACEAyV9K0eAAAAAJAQAADwAAAGRycy9kb3ducmV2LnhtbEyPQUvDQBCF74L/&#10;YRnBW7vbVIuNmRQpFE+CrZbibZPdJsHsbMhuk/jvHU/29ob3eO+bbDO5Vgy2D40nhMVcgbBUetNQ&#10;hfD5sZs9gQhRk9GtJ4vwYwNs8tubTKfGj7S3wyFWgksopBqhjrFLpQxlbZ0Oc99ZYu/se6cjn30l&#10;Ta9HLnetTJRaSacb4oVad3Zb2/L7cHEIX+6xCOdtuXs7Dq/jcb88vdfVCfH+bnp5BhHtFP/D8IfP&#10;6JAzU+EvZIJoEWYLDiIkD0sW7K9VsgZRIKyUSkDmmbz+IP8FAAD//wMAUEsBAi0AFAAGAAgAAAAh&#10;ALaDOJL+AAAA4QEAABMAAAAAAAAAAAAAAAAAAAAAAFtDb250ZW50X1R5cGVzXS54bWxQSwECLQAU&#10;AAYACAAAACEAOP0h/9YAAACUAQAACwAAAAAAAAAAAAAAAAAvAQAAX3JlbHMvLnJlbHNQSwECLQAU&#10;AAYACAAAACEAeHOM7RsCAAA1BAAADgAAAAAAAAAAAAAAAAAuAgAAZHJzL2Uyb0RvYy54bWxQSwEC&#10;LQAUAAYACAAAACEAyV9K0eAAAAAJAQAADwAAAAAAAAAAAAAAAAB1BAAAZHJzL2Rvd25yZXYueG1s&#10;UEsFBgAAAAAEAAQA8wAAAIIFAAAAAA==&#10;" filled="f" stroked="f" strokeweight=".5pt">
                <v:textbox>
                  <w:txbxContent>
                    <w:p w14:paraId="732137C3" w14:textId="4A4980B4" w:rsidR="005A156F" w:rsidRPr="005A156F" w:rsidRDefault="00343EB2" w:rsidP="005A156F">
                      <w:pPr>
                        <w:pStyle w:val="CoverTitle"/>
                        <w:rPr>
                          <w:color w:val="357DBE" w:themeColor="accent1"/>
                          <w:lang w:val="en-GB"/>
                        </w:rPr>
                      </w:pPr>
                      <w:r>
                        <w:rPr>
                          <w:color w:val="357DBE" w:themeColor="accent1"/>
                          <w:lang w:val="en-GB"/>
                        </w:rPr>
                        <w:t xml:space="preserve">Glossary + </w:t>
                      </w:r>
                      <w:r w:rsidR="005A156F">
                        <w:rPr>
                          <w:color w:val="357DBE" w:themeColor="accent1"/>
                          <w:lang w:val="en-GB"/>
                        </w:rPr>
                        <w:t>References</w:t>
                      </w:r>
                    </w:p>
                  </w:txbxContent>
                </v:textbox>
                <w10:wrap anchorx="margin" anchory="margin"/>
                <w10:anchorlock/>
              </v:shape>
            </w:pict>
          </mc:Fallback>
        </mc:AlternateContent>
      </w:r>
      <w:r w:rsidRPr="00884FAA">
        <w:rPr>
          <w:noProof/>
        </w:rPr>
        <w:drawing>
          <wp:anchor distT="0" distB="0" distL="114300" distR="114300" simplePos="0" relativeHeight="251658267" behindDoc="1" locked="1" layoutInCell="1" allowOverlap="1" wp14:anchorId="5C38DB2C" wp14:editId="33BA694C">
            <wp:simplePos x="0" y="0"/>
            <wp:positionH relativeFrom="page">
              <wp:posOffset>3175</wp:posOffset>
            </wp:positionH>
            <wp:positionV relativeFrom="page">
              <wp:posOffset>0</wp:posOffset>
            </wp:positionV>
            <wp:extent cx="7546975" cy="10680700"/>
            <wp:effectExtent l="0" t="0" r="0" b="635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546975" cy="10680700"/>
                    </a:xfrm>
                    <a:prstGeom prst="rect">
                      <a:avLst/>
                    </a:prstGeom>
                  </pic:spPr>
                </pic:pic>
              </a:graphicData>
            </a:graphic>
            <wp14:sizeRelH relativeFrom="margin">
              <wp14:pctWidth>0</wp14:pctWidth>
            </wp14:sizeRelH>
            <wp14:sizeRelV relativeFrom="margin">
              <wp14:pctHeight>0</wp14:pctHeight>
            </wp14:sizeRelV>
          </wp:anchor>
        </w:drawing>
      </w:r>
      <w:bookmarkEnd w:id="358"/>
      <w:bookmarkEnd w:id="359"/>
      <w:bookmarkEnd w:id="360"/>
      <w:bookmarkEnd w:id="361"/>
      <w:bookmarkEnd w:id="362"/>
    </w:p>
    <w:p w14:paraId="6E92B0CB" w14:textId="77777777" w:rsidR="005A156F" w:rsidRPr="00884FAA" w:rsidRDefault="005A156F" w:rsidP="005A156F"/>
    <w:p w14:paraId="38B1BAC2" w14:textId="0CDBFD57" w:rsidR="005A156F" w:rsidRPr="00884FAA" w:rsidRDefault="005A156F" w:rsidP="005A156F">
      <w:pPr>
        <w:sectPr w:rsidR="005A156F" w:rsidRPr="00884FAA" w:rsidSect="00100AA9">
          <w:headerReference w:type="even" r:id="rId148"/>
          <w:headerReference w:type="default" r:id="rId149"/>
          <w:headerReference w:type="first" r:id="rId150"/>
          <w:footerReference w:type="first" r:id="rId151"/>
          <w:pgSz w:w="11909" w:h="16834" w:code="9"/>
          <w:pgMar w:top="1440" w:right="1440" w:bottom="1440" w:left="1440" w:header="720" w:footer="720" w:gutter="0"/>
          <w:cols w:space="720"/>
          <w:titlePg/>
          <w:docGrid w:linePitch="360"/>
        </w:sectPr>
      </w:pPr>
    </w:p>
    <w:p w14:paraId="27F8D6E3" w14:textId="77777777" w:rsidR="006B48E2" w:rsidRPr="00884FAA" w:rsidRDefault="006B48E2" w:rsidP="00244F83">
      <w:pPr>
        <w:pStyle w:val="Heading1"/>
        <w:numPr>
          <w:ilvl w:val="0"/>
          <w:numId w:val="0"/>
        </w:numPr>
        <w:ind w:left="720" w:hanging="720"/>
      </w:pPr>
      <w:bookmarkStart w:id="363" w:name="_Toc137208966"/>
      <w:r w:rsidRPr="00884FAA">
        <w:lastRenderedPageBreak/>
        <w:t>Glossary</w:t>
      </w:r>
      <w:bookmarkEnd w:id="363"/>
    </w:p>
    <w:p w14:paraId="105887A0" w14:textId="1595B989" w:rsidR="006B48E2" w:rsidRPr="00884FAA" w:rsidRDefault="006B48E2" w:rsidP="006B48E2">
      <w:r w:rsidRPr="00884FAA">
        <w:rPr>
          <w:b/>
        </w:rPr>
        <w:t xml:space="preserve">Aboriginal community control </w:t>
      </w:r>
      <w:r w:rsidRPr="00884FAA">
        <w:t>in health services</w:t>
      </w:r>
      <w:r w:rsidRPr="00884FAA">
        <w:rPr>
          <w:b/>
        </w:rPr>
        <w:t xml:space="preserve"> </w:t>
      </w:r>
      <w:r w:rsidRPr="00884FAA">
        <w:t>is defined by NACCHO, the national peak body for ACCHOs, as: ‘a process which allows the local Aboriginal community to be involved in its affairs in accordance with whatever protocols or procedures are determined by the Communi</w:t>
      </w:r>
      <w:r>
        <w:t xml:space="preserve">ty’ </w:t>
      </w:r>
      <w:r>
        <w:fldChar w:fldCharType="begin"/>
      </w:r>
      <w:r w:rsidR="00F8760E">
        <w:instrText xml:space="preserve"> ADDIN ZOTERO_ITEM CSL_CITATION {"citationID":"npydmGi9","properties":{"formattedCitation":"(National Aboriginal Community Controlled Health Organisation, n.d.-a)","plainCitation":"(National Aboriginal Community Controlled Health Organisation, n.d.-a)","noteIndex":0},"citationItems":[{"id":3734,"uris":["http://zotero.org/groups/5010721/items/72CBPGFB",["http://zotero.org/groups/5010721/items/72CBPGFB"],["http://zotero.org/groups/5010721/items/72CBPGFB",["http://zotero.org/groups/5010721/items/72CBPGFB"]]],"itemData":{"id":3734,"type":"webpage","container-title":"naccho.org.au","genre":"website text","language":"en-au","title":"Aboriginal Community Controlled Health Organisations (ACCHOs)","URL":"https://www.naccho.org.au/acchos","author":[{"literal":"National Aboriginal Community Controlled Health Organisation"}],"accessed":{"date-parts":[["2021",10,5]]}}}],"schema":"https://github.com/citation-style-language/schema/raw/master/csl-citation.json"} </w:instrText>
      </w:r>
      <w:r>
        <w:fldChar w:fldCharType="separate"/>
      </w:r>
      <w:r w:rsidRPr="006B1D75">
        <w:rPr>
          <w:rFonts w:ascii="Arial" w:hAnsi="Arial" w:cs="Arial"/>
        </w:rPr>
        <w:t>(National Aboriginal Community Controlled Health Organisation, n.d.-a)</w:t>
      </w:r>
      <w:r>
        <w:fldChar w:fldCharType="end"/>
      </w:r>
      <w:r w:rsidRPr="00884FAA">
        <w:t>.</w:t>
      </w:r>
    </w:p>
    <w:p w14:paraId="2F57D1B4" w14:textId="3B81B1CA" w:rsidR="006B48E2" w:rsidRPr="00884FAA" w:rsidRDefault="006B48E2" w:rsidP="006B48E2">
      <w:r w:rsidRPr="00884FAA">
        <w:rPr>
          <w:b/>
        </w:rPr>
        <w:t>Aboriginal Community Controlled Health Organisation/Service (ACCHO)/ACCHS)</w:t>
      </w:r>
      <w:r w:rsidRPr="00884FAA">
        <w:t xml:space="preserve"> is a ‘primary health care service initiated and operated by the local Aboriginal community to deliver holistic, comprehensive, and culturally appropriate health care to the community which controls it, through a locally elected Board of Management’. ACCHOs aim to support local Aboriginal and Torres Strait Islander communities to live better lives. The ACCHO approach evolved from the need to provide culturally appropriate responsive services designed to meet the needs of Aboriginal and Torres Strait Islander communities. Their holistic health approach supports the social, emotional, physical, and cultural wellbeing of Aboriginal and Torres Strait Islander people, families, and communities </w:t>
      </w:r>
      <w:r>
        <w:fldChar w:fldCharType="begin"/>
      </w:r>
      <w:r w:rsidR="00F8760E">
        <w:instrText xml:space="preserve"> ADDIN ZOTERO_ITEM CSL_CITATION {"citationID":"VCWIrU54","properties":{"formattedCitation":"(National Aboriginal Community Controlled Health Organisation, n.d.-a)","plainCitation":"(National Aboriginal Community Controlled Health Organisation, n.d.-a)","noteIndex":0},"citationItems":[{"id":3734,"uris":["http://zotero.org/groups/5010721/items/72CBPGFB",["http://zotero.org/groups/5010721/items/72CBPGFB"],["http://zotero.org/groups/5010721/items/72CBPGFB",["http://zotero.org/groups/5010721/items/72CBPGFB"]]],"itemData":{"id":3734,"type":"webpage","container-title":"naccho.org.au","genre":"website text","language":"en-au","title":"Aboriginal Community Controlled Health Organisations (ACCHOs)","URL":"https://www.naccho.org.au/acchos","author":[{"literal":"National Aboriginal Community Controlled Health Organisation"}],"accessed":{"date-parts":[["2021",10,5]]}}}],"schema":"https://github.com/citation-style-language/schema/raw/master/csl-citation.json"} </w:instrText>
      </w:r>
      <w:r>
        <w:fldChar w:fldCharType="separate"/>
      </w:r>
      <w:r w:rsidRPr="00D927F2">
        <w:rPr>
          <w:rFonts w:ascii="Arial" w:hAnsi="Arial" w:cs="Arial"/>
        </w:rPr>
        <w:t>(National Aboriginal Community Controlled Health Organisation, n.d.-a)</w:t>
      </w:r>
      <w:r>
        <w:fldChar w:fldCharType="end"/>
      </w:r>
      <w:r w:rsidRPr="00884FAA">
        <w:t>.</w:t>
      </w:r>
    </w:p>
    <w:p w14:paraId="5714B24B" w14:textId="77777777" w:rsidR="006B48E2" w:rsidRPr="00884FAA" w:rsidRDefault="006B48E2" w:rsidP="006B48E2">
      <w:r w:rsidRPr="00884FAA">
        <w:rPr>
          <w:b/>
        </w:rPr>
        <w:t>Aboriginal Medical Service (AMS)</w:t>
      </w:r>
      <w:r w:rsidRPr="00884FAA">
        <w:t xml:space="preserve"> refers to state and territory-managed Aboriginal Medical Services, and other non-community-controlled health services designed primarily to meet the needs of Aboriginal and Torres Strait Islander people. While all ACCHOs are AMSs, the reverse is not the case.</w:t>
      </w:r>
    </w:p>
    <w:p w14:paraId="5008C129" w14:textId="7C9CAAE8" w:rsidR="006B48E2" w:rsidRPr="00884FAA" w:rsidRDefault="006B48E2" w:rsidP="006B48E2">
      <w:r w:rsidRPr="00884FAA">
        <w:rPr>
          <w:b/>
        </w:rPr>
        <w:t xml:space="preserve">Access </w:t>
      </w:r>
      <w:r w:rsidRPr="00884FAA">
        <w:rPr>
          <w:bCs/>
        </w:rPr>
        <w:t>and</w:t>
      </w:r>
      <w:r w:rsidRPr="00884FAA">
        <w:rPr>
          <w:b/>
        </w:rPr>
        <w:t xml:space="preserve"> coverage: </w:t>
      </w:r>
      <w:r w:rsidRPr="00884FAA">
        <w:t xml:space="preserve">‘Access, utilization, availability and coverage are often used interchangeably to answer the question - are people in need of something for their health actually getting it? ... The difference between ‘access’ and ‘coverage’ is conceptually difficult’ </w:t>
      </w:r>
      <w:r>
        <w:fldChar w:fldCharType="begin"/>
      </w:r>
      <w:r w:rsidR="00F8760E">
        <w:instrText xml:space="preserve"> ADDIN ZOTERO_ITEM CSL_CITATION {"citationID":"utJ460s6","properties":{"formattedCitation":"(World Health Organization, 2005)","plainCitation":"(World Health Organization, 2005)","noteIndex":0},"citationItems":[{"id":3752,"uris":["http://zotero.org/groups/5010721/items/Y2IY5S8H",["http://zotero.org/groups/5010721/items/Y2IY5S8H"],["http://zotero.org/groups/5010721/items/Y2IY5S8H",["http://zotero.org/groups/5010721/items/Y2IY5S8H"]]],"itemData":{"id":3752,"type":"report","event-place":"Geneva","genre":"Background paper on the concept of universal access","publisher-place":"Geneva","title":"Technical Meeting for the Development of the Framework for Universal Access to HIV/AIDS Prevention, Treatment and Care in the Health Sector","URL":"https://www.who.int/hiv/universalaccess2010/UA_definitions_Dec05.pdf","author":[{"literal":"World Health Organization"}],"accessed":{"date-parts":[["2021",11,15]]},"issued":{"date-parts":[["2005",10,18]]}}}],"schema":"https://github.com/citation-style-language/schema/raw/master/csl-citation.json"} </w:instrText>
      </w:r>
      <w:r>
        <w:fldChar w:fldCharType="separate"/>
      </w:r>
      <w:r w:rsidRPr="001D2287">
        <w:rPr>
          <w:rFonts w:ascii="Arial" w:hAnsi="Arial" w:cs="Arial"/>
        </w:rPr>
        <w:t>(World Health Organization, 2005)</w:t>
      </w:r>
      <w:r>
        <w:fldChar w:fldCharType="end"/>
      </w:r>
      <w:r w:rsidRPr="00884FAA">
        <w:t xml:space="preserve">. </w:t>
      </w:r>
      <w:r>
        <w:t xml:space="preserve">For this evaluation, </w:t>
      </w:r>
      <w:r w:rsidRPr="00884FAA">
        <w:t xml:space="preserve">‘access’ or ‘accessibility’ </w:t>
      </w:r>
      <w:r>
        <w:t xml:space="preserve">includes </w:t>
      </w:r>
      <w:r w:rsidRPr="00884FAA">
        <w:t>dimensions of availability, affordability, ability to engage, acceptability and approachability of the system</w:t>
      </w:r>
      <w:r>
        <w:t xml:space="preserve"> </w:t>
      </w:r>
      <w:r>
        <w:fldChar w:fldCharType="begin"/>
      </w:r>
      <w:r w:rsidR="00F8760E">
        <w:instrText xml:space="preserve"> ADDIN ZOTERO_ITEM CSL_CITATION {"citationID":"v3aXvWEy","properties":{"formattedCitation":"(Davy et al., 2016a)","plainCitation":"(Davy et al., 2016a)","noteIndex":0},"citationItems":[{"id":3722,"uris":["http://zotero.org/groups/5010721/items/TYTUZ2IL",["http://zotero.org/groups/5010721/items/TYTUZ2IL"],["http://zotero.org/groups/5010721/items/TYTUZ2IL",["http://zotero.org/groups/5010721/items/TYTUZ2IL"]]],"itemData":{"id":3722,"type":"article-journal","abstract":"Indigenous peoples often find it difficult to access appropriate mainstream primary health care services. Securing access to primary health care services requires more than just services that are situated within easy reach. Ensuring the accessibility of health care for Indigenous peoples who are often faced with a vast array of additional barriers including experiences of discrimination and racism, can be complex. This framework synthesis aimed to identify issues that hindered Indigenous peoples from accessing primary health care and then explore how, if at all, these were addressed by Indigenous health care services.","container-title":"International Journal for Equity in Health","DOI":"10.1186/s12939-016-0450-5","ISSN":"1475-9276","issue":"1","journalAbbreviation":"International Journal for Equity in Health","page":"163","title":"Access to primary health care services for Indigenous peoples: A framework synthesis","URL":"https://doi.org/10.1186/s12939-016-0450-5","volume":"15","author":[{"family":"Davy","given":"Carol"},{"family":"Harfield","given":"Stephen"},{"family":"McArthur","given":"Alexa"},{"family":"Munn","given":"Zachary"},{"family":"Brown","given":"Alex"}],"issued":{"date-parts":[["2016",9,30]]}}}],"schema":"https://github.com/citation-style-language/schema/raw/master/csl-citation.json"} </w:instrText>
      </w:r>
      <w:r>
        <w:fldChar w:fldCharType="separate"/>
      </w:r>
      <w:r w:rsidRPr="00407C1F">
        <w:rPr>
          <w:rFonts w:ascii="Arial" w:hAnsi="Arial" w:cs="Arial"/>
        </w:rPr>
        <w:t>(Davy et al., 2016a)</w:t>
      </w:r>
      <w:r>
        <w:fldChar w:fldCharType="end"/>
      </w:r>
      <w:r w:rsidRPr="00884FAA">
        <w:t>. ‘Coverage’ reflects the extent to which people in need receive important health interventions.</w:t>
      </w:r>
    </w:p>
    <w:p w14:paraId="7AE71A88" w14:textId="3327408D" w:rsidR="006B48E2" w:rsidRDefault="006B48E2" w:rsidP="006B48E2">
      <w:r w:rsidRPr="00884FAA">
        <w:rPr>
          <w:b/>
        </w:rPr>
        <w:t>Co-design and co-creation</w:t>
      </w:r>
      <w:r w:rsidRPr="00884FAA">
        <w:t xml:space="preserve">: Co-design means the active involvement of stakeholders at national, regional, and local levels, whose perspectives will collectively inform and shape the ongoing iterations of the evaluation over the </w:t>
      </w:r>
      <w:r w:rsidR="006D2482">
        <w:t>4</w:t>
      </w:r>
      <w:r w:rsidR="006D2482" w:rsidRPr="00884FAA">
        <w:t xml:space="preserve"> </w:t>
      </w:r>
      <w:r w:rsidRPr="00884FAA">
        <w:t xml:space="preserve">years of its implementation. Co-creation means the collective creation of knowledge and understanding, solutions, responses, and actions to address issues. Co-design in this evaluation focuses on implementation, and co-creation addresses the findings emerging throughout the evaluation. Both co-design and co-creation focus on developing innovative solutions through participatory, collaborative processes </w:t>
      </w:r>
      <w:r>
        <w:fldChar w:fldCharType="begin"/>
      </w:r>
      <w:r w:rsidR="00F8760E">
        <w:instrText xml:space="preserve"> ADDIN ZOTERO_ITEM CSL_CITATION {"citationID":"vUjwhKXI","properties":{"formattedCitation":"(Bailey et al., 2018)","plainCitation":"(Bailey et al., 2018)","noteIndex":0},"citationItems":[{"id":3736,"uris":["http://zotero.org/groups/5010721/items/C6EF9VZ3",["http://zotero.org/groups/5010721/items/C6EF9VZ3"],["http://zotero.org/groups/5010721/items/C6EF9VZ3",["http://zotero.org/groups/5010721/items/C6EF9VZ3"]]],"itemData":{"id":3736,"type":"report","event-place":"Wellington","genre":"Monitoring and Design Report","publisher":"Allen + Clarke. Funded by the Australian Government","publisher-place":"Wellington","title":"Evaluation of the Australian Government’s Investment in Aboriginal and Torres Strait Islander Primary Health Care through the Indigenous Australians’ Health Programme: Monitoring and Evaluation Design Report","author":[{"family":"Bailey","given":"Robyn"},{"family":"Hardie-Boys","given":"Ned"},{"family":"Carr","given":"Julia"},{"family":"Moodie","given":"D"},{"family":"McLean","given":"G"},{"family":"Scanlen","given":"A"},{"family":"Bainbridge","given":"Roxanne"},{"family":"Monaghan","given":"Robert"},{"family":"Walke","given":"Emma"},{"family":"Bailie","given":"Ross"}],"issued":{"date-parts":[["2018"]]}}}],"schema":"https://github.com/citation-style-language/schema/raw/master/csl-citation.json"} </w:instrText>
      </w:r>
      <w:r>
        <w:fldChar w:fldCharType="separate"/>
      </w:r>
      <w:r w:rsidR="00085000" w:rsidRPr="00085000">
        <w:rPr>
          <w:rFonts w:ascii="Arial" w:hAnsi="Arial" w:cs="Arial"/>
        </w:rPr>
        <w:t>(Bailey et al., 2018)</w:t>
      </w:r>
      <w:r>
        <w:fldChar w:fldCharType="end"/>
      </w:r>
      <w:r>
        <w:t>.</w:t>
      </w:r>
    </w:p>
    <w:p w14:paraId="0EF1CF0B" w14:textId="77777777" w:rsidR="006B48E2" w:rsidRDefault="006B48E2" w:rsidP="006B48E2">
      <w:pPr>
        <w:jc w:val="left"/>
        <w:rPr>
          <w:b/>
        </w:rPr>
      </w:pPr>
      <w:r>
        <w:rPr>
          <w:b/>
        </w:rPr>
        <w:br w:type="page"/>
      </w:r>
    </w:p>
    <w:p w14:paraId="6DA08161" w14:textId="2B712274" w:rsidR="006B48E2" w:rsidRPr="00884FAA" w:rsidRDefault="006B48E2" w:rsidP="006B48E2">
      <w:r w:rsidRPr="00884FAA">
        <w:rPr>
          <w:b/>
        </w:rPr>
        <w:lastRenderedPageBreak/>
        <w:t>Comprehensive PHC</w:t>
      </w:r>
      <w:r w:rsidRPr="00884FAA">
        <w:t xml:space="preserve"> is health care that is ‘high-quality, safe, comprehensive, integrated, accessible, available and affordable for everyone and everywhere, provided with compassion, respect and dignity by health professionals who are well-trained, skilled, motivated and committed’ </w:t>
      </w:r>
      <w:r w:rsidRPr="00884FAA">
        <w:fldChar w:fldCharType="begin"/>
      </w:r>
      <w:r w:rsidR="00F8760E">
        <w:instrText xml:space="preserve"> ADDIN ZOTERO_ITEM CSL_CITATION {"citationID":"nXSv0RPn","properties":{"formattedCitation":"(World Health Organization &amp; United Nations Children\\uc0\\u8217{}s Fund (UNICEF), 2018b)","plainCitation":"(World Health Organization &amp; United Nations Children’s Fund (UNICEF), 2018b)","noteIndex":0},"citationItems":[{"id":2958,"uri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http://zotero.org/groups/4420056/items/FTGH924S"]]]]]],"itemData":{"id":2958,"type":"report","language":"en","note":"number-of-pages: 46","number":"WHO/HIS/SDS/2018.15","source":"apps.who.int","title":"A vision for primary health care in the 21st century: towards universal health coverage and the Sustainable Development Goals","title-short":"A vision for primary health care in the 21st century","author":[{"literal":"World Health Organization"},{"literal":"United Nations Children's Fund (UNICEF)"}],"accessed":{"date-parts":[["2022",6,2]]},"issued":{"date-parts":[["2018"]]}}}],"schema":"https://github.com/citation-style-language/schema/raw/master/csl-citation.json"} </w:instrText>
      </w:r>
      <w:r w:rsidRPr="00884FAA">
        <w:fldChar w:fldCharType="separate"/>
      </w:r>
      <w:r w:rsidR="002730C3" w:rsidRPr="002730C3">
        <w:rPr>
          <w:rFonts w:ascii="Arial" w:hAnsi="Arial" w:cs="Arial"/>
          <w:szCs w:val="24"/>
        </w:rPr>
        <w:t>(World Health Organization &amp; United Nations Children’s Fund (UNICEF), 2018b)</w:t>
      </w:r>
      <w:r w:rsidRPr="00884FAA">
        <w:fldChar w:fldCharType="end"/>
      </w:r>
      <w:r w:rsidRPr="00884FAA">
        <w:t>.</w:t>
      </w:r>
    </w:p>
    <w:p w14:paraId="419062C5" w14:textId="77777777" w:rsidR="006B48E2" w:rsidRPr="00884FAA" w:rsidRDefault="006B48E2" w:rsidP="006B48E2">
      <w:r w:rsidRPr="00884FAA">
        <w:t>Comprehensive PHC includes:</w:t>
      </w:r>
    </w:p>
    <w:p w14:paraId="5B29F535" w14:textId="77777777" w:rsidR="006B48E2" w:rsidRPr="00884FAA" w:rsidRDefault="006B48E2" w:rsidP="00343EB2">
      <w:pPr>
        <w:numPr>
          <w:ilvl w:val="0"/>
          <w:numId w:val="27"/>
        </w:numPr>
      </w:pPr>
      <w:r w:rsidRPr="00884FAA">
        <w:t>interdisciplinary services and programs that are accessible, equitable, sustainable, culturally appropriate, safe, effective, and efficient</w:t>
      </w:r>
    </w:p>
    <w:p w14:paraId="73B0E3B1" w14:textId="27004C31" w:rsidR="006B48E2" w:rsidRPr="00884FAA" w:rsidRDefault="006B48E2" w:rsidP="00343EB2">
      <w:pPr>
        <w:numPr>
          <w:ilvl w:val="0"/>
          <w:numId w:val="27"/>
        </w:numPr>
      </w:pPr>
      <w:r w:rsidRPr="00884FAA">
        <w:t>person-centred services which empower individuals and the community to prevent and reduce risk behaviours and better self-manage their health and wellbeing, particularly for those with long term illness and chronic conditions</w:t>
      </w:r>
    </w:p>
    <w:p w14:paraId="641BFDA7" w14:textId="77777777" w:rsidR="006B48E2" w:rsidRPr="00884FAA" w:rsidRDefault="006B48E2" w:rsidP="00343EB2">
      <w:pPr>
        <w:numPr>
          <w:ilvl w:val="0"/>
          <w:numId w:val="27"/>
        </w:numPr>
      </w:pPr>
      <w:r w:rsidRPr="00884FAA">
        <w:t>illness prevention, health promotion and advocacy activities</w:t>
      </w:r>
    </w:p>
    <w:p w14:paraId="20DECF5B" w14:textId="77777777" w:rsidR="006B48E2" w:rsidRPr="00884FAA" w:rsidRDefault="006B48E2" w:rsidP="00343EB2">
      <w:pPr>
        <w:numPr>
          <w:ilvl w:val="0"/>
          <w:numId w:val="27"/>
        </w:numPr>
      </w:pPr>
      <w:r w:rsidRPr="00884FAA">
        <w:t>oral health</w:t>
      </w:r>
    </w:p>
    <w:p w14:paraId="1EC587D0" w14:textId="77777777" w:rsidR="006B48E2" w:rsidRPr="00884FAA" w:rsidRDefault="006B48E2" w:rsidP="00343EB2">
      <w:pPr>
        <w:numPr>
          <w:ilvl w:val="0"/>
          <w:numId w:val="27"/>
        </w:numPr>
      </w:pPr>
      <w:r w:rsidRPr="00884FAA">
        <w:t>local participation of the community in planning, organisation, operation, and evaluation of services</w:t>
      </w:r>
    </w:p>
    <w:p w14:paraId="1AF8016B" w14:textId="4992C930" w:rsidR="006B48E2" w:rsidRPr="00884FAA" w:rsidRDefault="006B48E2" w:rsidP="00343EB2">
      <w:pPr>
        <w:numPr>
          <w:ilvl w:val="0"/>
          <w:numId w:val="27"/>
        </w:numPr>
      </w:pPr>
      <w:r w:rsidRPr="00884FAA">
        <w:t>strategies to address the health needs of individuals and communities by improving health literacy evidence-informed services and programs delivered by qualified practitioners</w:t>
      </w:r>
      <w:r>
        <w:t xml:space="preserve"> </w:t>
      </w:r>
      <w:r>
        <w:fldChar w:fldCharType="begin"/>
      </w:r>
      <w:r w:rsidR="00F8760E">
        <w:instrText xml:space="preserve"> ADDIN ZOTERO_ITEM CSL_CITATION {"citationID":"ZC9usiR2","properties":{"formattedCitation":"(Public Health Association Australia, 2014)","plainCitation":"(Public Health Association Australia, 2014)","noteIndex":0},"citationItems":[{"id":3858,"uris":["http://zotero.org/groups/4420056/items/TJ68A2W7",["http://zotero.org/groups/4420056/items/TJ68A2W7"],["http://zotero.org/groups/4420056/items/TJ68A2W7",["http://zotero.org/groups/4420056/items/TJ68A2W7"]]],"itemData":{"id":3858,"type":"document","publisher":"PHAA’s Primary Health Care Special Interest Group (SIG)","title":"Public Health Association of Australia: Policy-at-a-glance – Primary Health Care Policy","URL":"https://www.phaa.net.au/documents/item/266","author":[{"literal":"Public Health Association Australia"}],"accessed":{"date-parts":[["2023",4,5]]},"issued":{"date-parts":[["2014",9]]}}}],"schema":"https://github.com/citation-style-language/schema/raw/master/csl-citation.json"} </w:instrText>
      </w:r>
      <w:r>
        <w:fldChar w:fldCharType="separate"/>
      </w:r>
      <w:r w:rsidRPr="00343EB2">
        <w:t>(Public Health Association Australia, 2014)</w:t>
      </w:r>
      <w:r>
        <w:fldChar w:fldCharType="end"/>
      </w:r>
      <w:r w:rsidRPr="00884FAA">
        <w:t>.</w:t>
      </w:r>
    </w:p>
    <w:p w14:paraId="375B2AF5" w14:textId="7EF0668E" w:rsidR="006B48E2" w:rsidRPr="00884FAA" w:rsidRDefault="006B48E2" w:rsidP="006B48E2">
      <w:r w:rsidRPr="00884FAA">
        <w:t>The above definition aligns with NACCHO’s descriptions of comprehensive PHC in the Core Services and Outcomes Framework</w:t>
      </w:r>
      <w:r>
        <w:t xml:space="preserve"> </w:t>
      </w:r>
      <w:r>
        <w:fldChar w:fldCharType="begin"/>
      </w:r>
      <w:r w:rsidR="00F8760E">
        <w:instrText xml:space="preserve"> ADDIN ZOTERO_ITEM CSL_CITATION {"citationID":"q8GLhgIk","properties":{"formattedCitation":"(National Aboriginal Community Controlled Health Organisation, 2021a)","plainCitation":"(National Aboriginal Community Controlled Health Organisation, 2021a)","noteIndex":0},"citationItems":[{"id":3769,"uris":["http://zotero.org/groups/5010721/items/QW6QA8RE",["http://zotero.org/groups/5010721/items/QW6QA8RE"],["http://zotero.org/groups/5010721/items/QW6QA8RE",["http://zotero.org/groups/5010721/items/QW6QA8RE"]]],"itemData":{"id":3769,"type":"book","title":"Core Services and Outcomes Framework: The Model of Aboriginal and Torres Strait Islander Community-Controlled Comprehensive Primary Health Care","URL":"https://csof.naccho.org.au/wp-content/uploads/2022/10/Core-Services-Outcomes-Framework-brief-overview.pdf","author":[{"literal":"National Aboriginal Community Controlled Health Organisation"}],"issued":{"date-parts":[["2021"]]}}}],"schema":"https://github.com/citation-style-language/schema/raw/master/csl-citation.json"} </w:instrText>
      </w:r>
      <w:r>
        <w:fldChar w:fldCharType="separate"/>
      </w:r>
      <w:r w:rsidRPr="006E18D8">
        <w:rPr>
          <w:rFonts w:ascii="Arial" w:hAnsi="Arial" w:cs="Arial"/>
        </w:rPr>
        <w:t>(National Aboriginal Community Controlled Health Organisation, 2021a)</w:t>
      </w:r>
      <w:r>
        <w:fldChar w:fldCharType="end"/>
      </w:r>
      <w:r w:rsidRPr="00884FAA">
        <w:t xml:space="preserve">. </w:t>
      </w:r>
    </w:p>
    <w:p w14:paraId="3F8BBE9D" w14:textId="77777777" w:rsidR="006B48E2" w:rsidRPr="00884FAA" w:rsidRDefault="006B48E2" w:rsidP="006B48E2">
      <w:r w:rsidRPr="00884FAA">
        <w:rPr>
          <w:b/>
        </w:rPr>
        <w:t>Consumers</w:t>
      </w:r>
      <w:r w:rsidRPr="00884FAA">
        <w:t xml:space="preserve"> are people who use PHC and other health services, sometimes also referred to as ‘patient’ or ‘client’. </w:t>
      </w:r>
    </w:p>
    <w:p w14:paraId="6F1C5D0E" w14:textId="77777777" w:rsidR="006B48E2" w:rsidRPr="00884FAA" w:rsidRDefault="006B48E2" w:rsidP="006B48E2">
      <w:r w:rsidRPr="00884FAA">
        <w:rPr>
          <w:b/>
          <w:bCs/>
        </w:rPr>
        <w:t xml:space="preserve">Coverage: </w:t>
      </w:r>
      <w:r w:rsidRPr="00884FAA">
        <w:t>Refer to access above.</w:t>
      </w:r>
    </w:p>
    <w:p w14:paraId="2E2AE1FD" w14:textId="286D8E76" w:rsidR="006B48E2" w:rsidRPr="00884FAA" w:rsidRDefault="006B48E2" w:rsidP="006B48E2">
      <w:r w:rsidRPr="00884FAA">
        <w:rPr>
          <w:b/>
          <w:bCs/>
        </w:rPr>
        <w:t>Cultural competency:</w:t>
      </w:r>
      <w:r w:rsidRPr="00884FAA">
        <w:t xml:space="preserve"> A set of congruent behaviours, attitudes, and policies that come together in a system, agency, or among professionals to enable that system, agency. or those professionals to work effectively in cross-cultural situations </w:t>
      </w:r>
      <w:r>
        <w:fldChar w:fldCharType="begin"/>
      </w:r>
      <w:r w:rsidR="00F8760E">
        <w:instrText xml:space="preserve"> ADDIN ZOTERO_ITEM CSL_CITATION {"citationID":"lRmEVaYs","properties":{"formattedCitation":"(Cross et al., 1989)","plainCitation":"(Cross et al., 1989)","noteIndex":0},"citationItems":[{"id":3861,"uris":["http://zotero.org/groups/5010721/items/3YNT2VH2",["http://zotero.org/groups/5010721/items/3YNT2VH2"],["http://zotero.org/groups/5010721/items/3YNT2VH2",["http://zotero.org/groups/5010721/items/3YNT2VH2"]]],"itemData":{"id":3861,"type":"report","event-place":"Washington DC","publisher":"Child and Adolescent Service System Program Technical Assistance Centre, Georgetown University Child Development Centre","publisher-place":"Washington DC","title":"Towards a culturally competent system of care: a monograph on effective services for minority children who are severely emotionally disturbed","URL":"&lt;http://files.eric.ed.gov/fulltext/ED330171.pdf&gt;.","author":[{"family":"Cross","given":"T"},{"family":"Bazron","given":"B.J."},{"family":"Dennis","given":"K.W."},{"family":"Isaacs","given":"M.R."}],"issued":{"date-parts":[["1989"]]}}}],"schema":"https://github.com/citation-style-language/schema/raw/master/csl-citation.json"} </w:instrText>
      </w:r>
      <w:r>
        <w:fldChar w:fldCharType="separate"/>
      </w:r>
      <w:r w:rsidRPr="00445DE4">
        <w:rPr>
          <w:rFonts w:ascii="Arial" w:hAnsi="Arial" w:cs="Arial"/>
        </w:rPr>
        <w:t>(Cross et al., 1989)</w:t>
      </w:r>
      <w:r>
        <w:fldChar w:fldCharType="end"/>
      </w:r>
      <w:r w:rsidRPr="00884FAA">
        <w:t xml:space="preserve"> as used in</w:t>
      </w:r>
      <w:r>
        <w:t xml:space="preserve"> the Cultural Respect Framework </w:t>
      </w:r>
      <w:r>
        <w:fldChar w:fldCharType="begin"/>
      </w:r>
      <w:r w:rsidR="00F8760E">
        <w:instrText xml:space="preserve"> ADDIN ZOTERO_ITEM CSL_CITATION {"citationID":"7K80mMk2","properties":{"formattedCitation":"(2016, p. 18)","plainCitation":"(2016, p. 18)","noteIndex":0},"citationItems":[{"id":3741,"uris":["http://zotero.org/groups/5010721/items/JNRCZYS6",["http://zotero.org/groups/5010721/items/JNRCZYS6"],["http://zotero.org/groups/5010721/items/JNRCZYS6",["http://zotero.org/groups/5010721/items/JNRCZYS6"]]],"itemData":{"id":3741,"type":"report","event-place":"Canberra","publisher":"Australian Health Ministers' Advisory Council","publisher-place":"Canberra","title":"Cultural Respect Framework 2016-2026 for Aboriginal and Torres Strait Islander Health: A National Approach to Building a Culturally Respectful Health System","URL":"https://www.sahealth.sa.gov.au/wps/wcm/connect/06651271-647f-4ac5-a3a7-4ceaebb0f13a/National+Cultural+Respect+Framework+for+Aboriginal+and+Torres+Strait+Isl....pdf?MOD=AJPERES&amp;amp;CACHEID=ROOTWORKSPACE-06651271-647f-4ac5-a3a7-4ceaebb0f13a-nKPaygc","author":[{"literal":"Australian Health Ministers’ Advisory Council’s National Aboriginal and Torres Strait Islander Health Standing Committee"}],"issued":{"date-parts":[["2016"]]}},"locator":"18","label":"page","suppress-author":true}],"schema":"https://github.com/citation-style-language/schema/raw/master/csl-citation.json"} </w:instrText>
      </w:r>
      <w:r>
        <w:fldChar w:fldCharType="separate"/>
      </w:r>
      <w:r w:rsidRPr="00270FC7">
        <w:rPr>
          <w:rFonts w:ascii="Arial" w:hAnsi="Arial" w:cs="Arial"/>
        </w:rPr>
        <w:t>(2016, p. 18)</w:t>
      </w:r>
      <w:r>
        <w:fldChar w:fldCharType="end"/>
      </w:r>
      <w:r>
        <w:t xml:space="preserve"> </w:t>
      </w:r>
      <w:r w:rsidRPr="00884FAA">
        <w:t>.</w:t>
      </w:r>
    </w:p>
    <w:p w14:paraId="3E2C8326" w14:textId="77777777" w:rsidR="006B48E2" w:rsidRPr="00884FAA" w:rsidRDefault="006B48E2" w:rsidP="006B48E2">
      <w:pPr>
        <w:pStyle w:val="Bullet1"/>
        <w:ind w:left="0" w:firstLine="0"/>
        <w:rPr>
          <w:lang w:val="en-AU"/>
        </w:rPr>
      </w:pPr>
      <w:r w:rsidRPr="00884FAA">
        <w:rPr>
          <w:b/>
          <w:bCs/>
          <w:lang w:val="en-AU"/>
        </w:rPr>
        <w:t xml:space="preserve">Cultural safety </w:t>
      </w:r>
      <w:r w:rsidRPr="00884FAA">
        <w:rPr>
          <w:lang w:val="en-AU"/>
        </w:rPr>
        <w:t>comes from the premise that health consumers are safest when health professionals consider power relations, cultural differences, and patients’ rights. Health professionals do not define cultural safety. The health consumer’s experience determines it through the experience of care provided and their ability to access services and raise concerns. Part of this process requires health professionals to examine their realities, beliefs, and attitudes. The essential features of cultural safety are:</w:t>
      </w:r>
    </w:p>
    <w:p w14:paraId="4CB01348" w14:textId="77777777" w:rsidR="006B48E2" w:rsidRPr="00884FAA" w:rsidRDefault="006B48E2" w:rsidP="00343EB2">
      <w:pPr>
        <w:numPr>
          <w:ilvl w:val="0"/>
          <w:numId w:val="27"/>
        </w:numPr>
      </w:pPr>
      <w:r w:rsidRPr="00884FAA">
        <w:t>an understanding of one’s culture</w:t>
      </w:r>
    </w:p>
    <w:p w14:paraId="19E0A021" w14:textId="77777777" w:rsidR="006B48E2" w:rsidRPr="00884FAA" w:rsidRDefault="006B48E2" w:rsidP="00343EB2">
      <w:pPr>
        <w:numPr>
          <w:ilvl w:val="0"/>
          <w:numId w:val="27"/>
        </w:numPr>
      </w:pPr>
      <w:r w:rsidRPr="00884FAA">
        <w:t>an acknowledgment of difference and a requirement that caregivers are actively mindful and respectful of differences</w:t>
      </w:r>
    </w:p>
    <w:p w14:paraId="596BC5D6" w14:textId="77777777" w:rsidR="006B48E2" w:rsidRPr="00884FAA" w:rsidRDefault="006B48E2" w:rsidP="00343EB2">
      <w:pPr>
        <w:numPr>
          <w:ilvl w:val="0"/>
          <w:numId w:val="27"/>
        </w:numPr>
      </w:pPr>
      <w:r w:rsidRPr="00884FAA">
        <w:lastRenderedPageBreak/>
        <w:t>that theories of power relations inform cultural safety; attempts to depoliticise cultural safety misses the point</w:t>
      </w:r>
    </w:p>
    <w:p w14:paraId="16919742" w14:textId="77777777" w:rsidR="006B48E2" w:rsidRPr="00884FAA" w:rsidRDefault="006B48E2" w:rsidP="00343EB2">
      <w:pPr>
        <w:numPr>
          <w:ilvl w:val="0"/>
          <w:numId w:val="27"/>
        </w:numPr>
      </w:pPr>
      <w:r w:rsidRPr="00884FAA">
        <w:t>an appreciation of the historical context of colonisation, the practices of racism at individual and institutional levels, and their impact on Aboriginal and Torres Strait Islander people’s living and wellbeing, both in the present and past</w:t>
      </w:r>
    </w:p>
    <w:p w14:paraId="6A6483C2" w14:textId="34229E92" w:rsidR="006B48E2" w:rsidRPr="00884FAA" w:rsidRDefault="006B48E2" w:rsidP="00343EB2">
      <w:pPr>
        <w:numPr>
          <w:ilvl w:val="0"/>
          <w:numId w:val="27"/>
        </w:numPr>
      </w:pPr>
      <w:r w:rsidRPr="00884FAA">
        <w:t>that the recipient of care, not the caregiver, determines its presence or absence</w:t>
      </w:r>
      <w:r>
        <w:t xml:space="preserve"> </w:t>
      </w:r>
      <w:r>
        <w:fldChar w:fldCharType="begin"/>
      </w:r>
      <w:r w:rsidR="00F8760E">
        <w:instrText xml:space="preserve"> ADDIN ZOTERO_ITEM CSL_CITATION {"citationID":"AaqXW7NC","properties":{"formattedCitation":"(Australian Health Ministers\\uc0\\u8217{} Advisory Council\\uc0\\u8217{}s National Aboriginal and Torres Strait Islander Health Standing Committee, 2016, p. 18)","plainCitation":"(Australian Health Ministers’ Advisory Council’s National Aboriginal and Torres Strait Islander Health Standing Committee, 2016, p. 18)","noteIndex":0},"citationItems":[{"id":3741,"uris":["http://zotero.org/groups/5010721/items/JNRCZYS6",["http://zotero.org/groups/5010721/items/JNRCZYS6"],["http://zotero.org/groups/5010721/items/JNRCZYS6",["http://zotero.org/groups/5010721/items/JNRCZYS6"]]],"itemData":{"id":3741,"type":"report","event-place":"Canberra","publisher":"Australian Health Ministers' Advisory Council","publisher-place":"Canberra","title":"Cultural Respect Framework 2016-2026 for Aboriginal and Torres Strait Islander Health: A National Approach to Building a Culturally Respectful Health System","URL":"https://www.sahealth.sa.gov.au/wps/wcm/connect/06651271-647f-4ac5-a3a7-4ceaebb0f13a/National+Cultural+Respect+Framework+for+Aboriginal+and+Torres+Strait+Isl....pdf?MOD=AJPERES&amp;amp;CACHEID=ROOTWORKSPACE-06651271-647f-4ac5-a3a7-4ceaebb0f13a-nKPaygc","author":[{"literal":"Australian Health Ministers’ Advisory Council’s National Aboriginal and Torres Strait Islander Health Standing Committee"}],"issued":{"date-parts":[["2016"]]}},"locator":"18","label":"page"}],"schema":"https://github.com/citation-style-language/schema/raw/master/csl-citation.json"} </w:instrText>
      </w:r>
      <w:r>
        <w:fldChar w:fldCharType="separate"/>
      </w:r>
      <w:r w:rsidRPr="00343EB2">
        <w:t>(Australian Health Ministers’ Advisory Council’s National Aboriginal and Torres Strait Islander Health Standing Committee, 2016, p. 18)</w:t>
      </w:r>
      <w:r>
        <w:fldChar w:fldCharType="end"/>
      </w:r>
      <w:r w:rsidRPr="00884FAA">
        <w:t>.</w:t>
      </w:r>
    </w:p>
    <w:p w14:paraId="2D1F9FF1" w14:textId="53F91954" w:rsidR="006B48E2" w:rsidRPr="00884FAA" w:rsidRDefault="006B48E2" w:rsidP="006B48E2">
      <w:r w:rsidRPr="00884FAA">
        <w:t xml:space="preserve">The </w:t>
      </w:r>
      <w:r w:rsidRPr="00884FAA">
        <w:rPr>
          <w:b/>
        </w:rPr>
        <w:t>National Aboriginal Community Controlled Health Organisation (NACCHO)</w:t>
      </w:r>
      <w:r w:rsidRPr="00884FAA">
        <w:t xml:space="preserve"> is Australia's national leadership body for Aboriginal and Torres Strait Islander health. NACCHO represents its members – 143 ACCHOs in over 300 clinics across Australia</w:t>
      </w:r>
      <w:r>
        <w:t xml:space="preserve"> </w:t>
      </w:r>
      <w:r>
        <w:fldChar w:fldCharType="begin"/>
      </w:r>
      <w:r w:rsidR="00F8760E">
        <w:instrText xml:space="preserve"> ADDIN ZOTERO_ITEM CSL_CITATION {"citationID":"F7qwC2UJ","properties":{"formattedCitation":"(National Aboriginal Community Controlled Health Organisation, n.d.-b)","plainCitation":"(National Aboriginal Community Controlled Health Organisation, n.d.-b)","noteIndex":0},"citationItems":[{"id":3732,"uris":["http://zotero.org/groups/5010721/items/WJSWATTE",["http://zotero.org/groups/5010721/items/WJSWATTE"],["http://zotero.org/groups/5010721/items/WJSWATTE",["http://zotero.org/groups/5010721/items/WJSWATTE"]]],"itemData":{"id":3732,"type":"webpage","container-title":"naccho.org.au","genre":"website text","language":"en-au","title":"Our Story","URL":"https://www.naccho.org.au/our-story","author":[{"literal":"National Aboriginal Community Controlled Health Organisation"}],"accessed":{"date-parts":[["2021",10,5]]}}}],"schema":"https://github.com/citation-style-language/schema/raw/master/csl-citation.json"} </w:instrText>
      </w:r>
      <w:r>
        <w:fldChar w:fldCharType="separate"/>
      </w:r>
      <w:r w:rsidR="00685726" w:rsidRPr="00685726">
        <w:rPr>
          <w:rFonts w:ascii="Arial" w:hAnsi="Arial" w:cs="Arial"/>
        </w:rPr>
        <w:t>(National Aboriginal Community Controlled Health Organisation, n.d.-b)</w:t>
      </w:r>
      <w:r>
        <w:fldChar w:fldCharType="end"/>
      </w:r>
      <w:r w:rsidRPr="00884FAA">
        <w:t>.</w:t>
      </w:r>
    </w:p>
    <w:p w14:paraId="31479AB2" w14:textId="77777777" w:rsidR="006B48E2" w:rsidRPr="00884FAA" w:rsidRDefault="006B48E2" w:rsidP="006B48E2">
      <w:r w:rsidRPr="00884FAA">
        <w:rPr>
          <w:b/>
          <w:bCs/>
        </w:rPr>
        <w:t xml:space="preserve">Peak Bodies: </w:t>
      </w:r>
      <w:r w:rsidRPr="00884FAA">
        <w:t>Refer to state and territory peak bodies.</w:t>
      </w:r>
    </w:p>
    <w:p w14:paraId="230676B5" w14:textId="36CBECEE" w:rsidR="006B48E2" w:rsidRPr="00884FAA" w:rsidRDefault="006B48E2" w:rsidP="006B48E2">
      <w:pPr>
        <w:spacing w:after="0"/>
      </w:pPr>
      <w:r w:rsidRPr="004108F7">
        <w:rPr>
          <w:b/>
          <w:bCs/>
        </w:rPr>
        <w:t>Primary Health Care in the Australian health care system</w:t>
      </w:r>
      <w:r w:rsidRPr="00884FAA">
        <w:t xml:space="preserve"> ‘encompasses a range of services delivered outside the hospital that generally do not need a referral. This includes unreferred medical services, for example, GP visits, dental, other health practitioner, pharmaceutical, and community and public health services’ </w:t>
      </w:r>
      <w:r>
        <w:fldChar w:fldCharType="begin"/>
      </w:r>
      <w:r w:rsidR="00F8760E">
        <w:instrText xml:space="preserve"> ADDIN ZOTERO_ITEM CSL_CITATION {"citationID":"hyZuLXmE","properties":{"formattedCitation":"(Australian Institute of Health and Welfare, 2016)","plainCitation":"(Australian Institute of Health and Welfare, 2016)","noteIndex":0},"citationItems":[{"id":3750,"uris":["http://zotero.org/groups/5010721/items/2VQYDATD",["http://zotero.org/groups/5010721/items/2VQYDATD"],["http://zotero.org/groups/5010721/items/2VQYDATD",["http://zotero.org/groups/5010721/items/2VQYDATD"]]],"itemData":{"id":3750,"type":"webpage","abstract":"Primary health care is the front line of Australia@s health care system. It is often the first point of contact a person has with the health system.@Primary health care encompasses a range of...","container-title":"aihw.gov.au","genre":"website text","language":"en-AU","note":"Commonwealth of Australia","title":"Primary health care","URL":"https://www.aihw.gov.au/reports/primary-health-care/primary-health-care-in-australia/contents/about-primary-health-care","author":[{"literal":"Australian Institute of Health and Welfare"}],"accessed":{"date-parts":[["2021",11,8]]},"issued":{"date-parts":[["2016",5,24]]}}}],"schema":"https://github.com/citation-style-language/schema/raw/master/csl-citation.json"} </w:instrText>
      </w:r>
      <w:r>
        <w:fldChar w:fldCharType="separate"/>
      </w:r>
      <w:r w:rsidRPr="00477668">
        <w:rPr>
          <w:rFonts w:ascii="Arial" w:hAnsi="Arial" w:cs="Arial"/>
        </w:rPr>
        <w:t>(Australian Institute of Health and Welfare, 2016)</w:t>
      </w:r>
      <w:r>
        <w:fldChar w:fldCharType="end"/>
      </w:r>
    </w:p>
    <w:p w14:paraId="4A04C1A3" w14:textId="77777777" w:rsidR="006B48E2" w:rsidRPr="00884FAA" w:rsidRDefault="006B48E2" w:rsidP="006B48E2">
      <w:pPr>
        <w:spacing w:after="0"/>
      </w:pPr>
    </w:p>
    <w:p w14:paraId="338579C9" w14:textId="396920C4" w:rsidR="006B48E2" w:rsidRPr="00884FAA" w:rsidRDefault="006B48E2" w:rsidP="006B48E2">
      <w:r w:rsidRPr="004108F7">
        <w:rPr>
          <w:b/>
          <w:bCs/>
        </w:rPr>
        <w:t>Site</w:t>
      </w:r>
      <w:r w:rsidRPr="00884FAA">
        <w:t xml:space="preserve"> refers to a geographically defined area that is the focus of the </w:t>
      </w:r>
      <w:r w:rsidRPr="00884FAA">
        <w:rPr>
          <w:i/>
        </w:rPr>
        <w:t>IAHP Yarnes</w:t>
      </w:r>
      <w:r w:rsidRPr="00884FAA">
        <w:t xml:space="preserve"> evaluation ‘place-based’ evaluation activities. Section 4.1.1 of the </w:t>
      </w:r>
      <w:r w:rsidRPr="00884FAA">
        <w:rPr>
          <w:i/>
        </w:rPr>
        <w:t>Monitoring and Evaluation Design Report</w:t>
      </w:r>
      <w:r>
        <w:rPr>
          <w:i/>
        </w:rPr>
        <w:t xml:space="preserve"> </w:t>
      </w:r>
      <w:r>
        <w:rPr>
          <w:i/>
        </w:rPr>
        <w:fldChar w:fldCharType="begin"/>
      </w:r>
      <w:r w:rsidR="00F8760E">
        <w:rPr>
          <w:i/>
        </w:rPr>
        <w:instrText xml:space="preserve"> ADDIN ZOTERO_ITEM CSL_CITATION {"citationID":"tqOA0k41","properties":{"formattedCitation":"(Bailey et al., 2018)","plainCitation":"(Bailey et al., 2018)","noteIndex":0},"citationItems":[{"id":3736,"uris":["http://zotero.org/groups/5010721/items/C6EF9VZ3",["http://zotero.org/groups/5010721/items/C6EF9VZ3"],["http://zotero.org/groups/5010721/items/C6EF9VZ3",["http://zotero.org/groups/5010721/items/C6EF9VZ3"]]],"itemData":{"id":3736,"type":"report","event-place":"Wellington","genre":"Monitoring and Design Report","publisher":"Allen + Clarke. Funded by the Australian Government","publisher-place":"Wellington","title":"Evaluation of the Australian Government’s Investment in Aboriginal and Torres Strait Islander Primary Health Care through the Indigenous Australians’ Health Programme: Monitoring and Evaluation Design Report","author":[{"family":"Bailey","given":"Robyn"},{"family":"Hardie-Boys","given":"Ned"},{"family":"Carr","given":"Julia"},{"family":"Moodie","given":"D"},{"family":"McLean","given":"G"},{"family":"Scanlen","given":"A"},{"family":"Bainbridge","given":"Roxanne"},{"family":"Monaghan","given":"Robert"},{"family":"Walke","given":"Emma"},{"family":"Bailie","given":"Ross"}],"issued":{"date-parts":[["2018"]]}}}],"schema":"https://github.com/citation-style-language/schema/raw/master/csl-citation.json"} </w:instrText>
      </w:r>
      <w:r>
        <w:rPr>
          <w:i/>
        </w:rPr>
        <w:fldChar w:fldCharType="separate"/>
      </w:r>
      <w:r w:rsidRPr="00F21FC5">
        <w:rPr>
          <w:rFonts w:ascii="Arial" w:hAnsi="Arial" w:cs="Arial"/>
        </w:rPr>
        <w:t>(Bailey et al., 2018)</w:t>
      </w:r>
      <w:r>
        <w:rPr>
          <w:i/>
        </w:rPr>
        <w:fldChar w:fldCharType="end"/>
      </w:r>
      <w:r w:rsidRPr="00884FAA">
        <w:rPr>
          <w:i/>
        </w:rPr>
        <w:t>.</w:t>
      </w:r>
    </w:p>
    <w:p w14:paraId="229DD941" w14:textId="77777777" w:rsidR="006B48E2" w:rsidRPr="00884FAA" w:rsidRDefault="006B48E2" w:rsidP="006B48E2">
      <w:r w:rsidRPr="004108F7">
        <w:rPr>
          <w:b/>
          <w:bCs/>
        </w:rPr>
        <w:t xml:space="preserve">State and territory peak bodies, </w:t>
      </w:r>
      <w:r w:rsidRPr="00884FAA">
        <w:t xml:space="preserve">in this report, refer to eight state and territory peak bodies for Aboriginal and Torres Strait Islander community-controlled health services. These organisations are affiliate organisations of the NACCHO and are also referred to as Sector Support Organisations. They include Winnunga Nimmityjah Aboriginal Health and Community Services, the Aboriginal Health and Medical Research Council of NSW, the Aboriginal Medical Services Alliance Northern Territory, Queensland Aboriginal and Islander Health Council, Aboriginal Health Council of South Australia, Tasmanian Aboriginal Centre, Victorian Aboriginal Community Controlled Health Organisation and the Aboriginal Health Council of Western Australia. </w:t>
      </w:r>
    </w:p>
    <w:p w14:paraId="1CA46629" w14:textId="77777777" w:rsidR="006B48E2" w:rsidRPr="00884FAA" w:rsidRDefault="006B48E2" w:rsidP="006B48E2"/>
    <w:p w14:paraId="69EFFAAC" w14:textId="77777777" w:rsidR="006B48E2" w:rsidRPr="00884FAA" w:rsidRDefault="006B48E2" w:rsidP="006B48E2">
      <w:pPr>
        <w:rPr>
          <w:highlight w:val="lightGray"/>
        </w:rPr>
      </w:pPr>
    </w:p>
    <w:p w14:paraId="73831A17" w14:textId="77777777" w:rsidR="006B48E2" w:rsidRDefault="006B48E2">
      <w:pPr>
        <w:jc w:val="left"/>
        <w:rPr>
          <w:b/>
          <w:caps/>
          <w:color w:val="9E6047" w:themeColor="accent3"/>
          <w:kern w:val="28"/>
          <w:sz w:val="40"/>
          <w:szCs w:val="48"/>
        </w:rPr>
      </w:pPr>
      <w:r>
        <w:br w:type="page"/>
      </w:r>
    </w:p>
    <w:p w14:paraId="4387825A" w14:textId="3002B915" w:rsidR="00121BBD" w:rsidRPr="00884FAA" w:rsidRDefault="00121BBD" w:rsidP="00244F83">
      <w:pPr>
        <w:pStyle w:val="Heading1"/>
        <w:numPr>
          <w:ilvl w:val="0"/>
          <w:numId w:val="0"/>
        </w:numPr>
        <w:ind w:left="720" w:hanging="720"/>
      </w:pPr>
      <w:bookmarkStart w:id="364" w:name="_Toc137208967"/>
      <w:r w:rsidRPr="00884FAA">
        <w:lastRenderedPageBreak/>
        <w:t>References</w:t>
      </w:r>
      <w:bookmarkEnd w:id="364"/>
    </w:p>
    <w:p w14:paraId="7E491545" w14:textId="77777777" w:rsidR="00F8760E" w:rsidRPr="00E61911" w:rsidRDefault="00C36C64" w:rsidP="00E61911">
      <w:pPr>
        <w:pStyle w:val="Bibliography"/>
        <w:jc w:val="left"/>
        <w:rPr>
          <w:rFonts w:cstheme="minorHAnsi"/>
        </w:rPr>
      </w:pPr>
      <w:r w:rsidRPr="00884FAA">
        <w:fldChar w:fldCharType="begin"/>
      </w:r>
      <w:r w:rsidR="00F8760E">
        <w:instrText xml:space="preserve"> ADDIN ZOTERO_BIBL {"uncited":[],"omitted":[],"custom":[]} CSL_BIBLIOGRAPHY </w:instrText>
      </w:r>
      <w:r w:rsidRPr="00884FAA">
        <w:fldChar w:fldCharType="separate"/>
      </w:r>
      <w:r w:rsidR="00F8760E" w:rsidRPr="00E61911">
        <w:rPr>
          <w:rFonts w:cstheme="minorHAnsi"/>
        </w:rPr>
        <w:t xml:space="preserve">Australian Bureau of Statistics. (2019, December 11). </w:t>
      </w:r>
      <w:r w:rsidR="00F8760E" w:rsidRPr="00E61911">
        <w:rPr>
          <w:rFonts w:cstheme="minorHAnsi"/>
          <w:i/>
          <w:iCs/>
        </w:rPr>
        <w:t>National Aboriginal and Torres Strait Islander Health Survey Methodology, 2018-19 financial year | Australian Bureau of Statistics</w:t>
      </w:r>
      <w:r w:rsidR="00F8760E" w:rsidRPr="00E61911">
        <w:rPr>
          <w:rFonts w:cstheme="minorHAnsi"/>
        </w:rPr>
        <w:t xml:space="preserve"> [Website text]. Abs.Gov.Au. https://www.abs.gov.au/methodologies/national-aboriginal-and-torres-strait-islander-health-survey-methodology/2018-19</w:t>
      </w:r>
    </w:p>
    <w:p w14:paraId="54C1EC94"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(2018). </w:t>
      </w:r>
      <w:r w:rsidRPr="00E61911">
        <w:rPr>
          <w:rFonts w:cstheme="minorHAnsi"/>
          <w:i/>
          <w:iCs/>
        </w:rPr>
        <w:t>Indigenous Australians’ Health Programme—Programme Guidelines</w:t>
      </w:r>
      <w:r w:rsidRPr="00E61911">
        <w:rPr>
          <w:rFonts w:cstheme="minorHAnsi"/>
        </w:rPr>
        <w:t>. Commonwealth of Australia. https://www.health.gov.au/sites/default/files/documents/2020/12/indigenous-australians-health-programme-guidelines.pdf</w:t>
      </w:r>
    </w:p>
    <w:p w14:paraId="2E9DD4FD"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(2019a). </w:t>
      </w:r>
      <w:r w:rsidRPr="00E61911">
        <w:rPr>
          <w:rFonts w:cstheme="minorHAnsi"/>
          <w:i/>
          <w:iCs/>
        </w:rPr>
        <w:t>Australia’s Long Term National Health Plan</w:t>
      </w:r>
      <w:r w:rsidRPr="00E61911">
        <w:rPr>
          <w:rFonts w:cstheme="minorHAnsi"/>
        </w:rPr>
        <w:t>. Commonwealth of Australia. https://www.health.gov.au/sites/default/files/australia-s-long-term-national-health-plan_0.pdf</w:t>
      </w:r>
    </w:p>
    <w:p w14:paraId="7800C4F9"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(2019b). </w:t>
      </w:r>
      <w:r w:rsidRPr="00E61911">
        <w:rPr>
          <w:rFonts w:cstheme="minorHAnsi"/>
          <w:i/>
          <w:iCs/>
        </w:rPr>
        <w:t>Indigenous Australians’ Health Programme: Primary Health Care Funding Model—Overview and calculation steps</w:t>
      </w:r>
      <w:r w:rsidRPr="00E61911">
        <w:rPr>
          <w:rFonts w:cstheme="minorHAnsi"/>
        </w:rPr>
        <w:t>. Commonwealth of Australia. https://www.health.gov.au/sites/default/files/documents/2020/12/indigenous-australians-health-programme-primary-health-care-funding-model-overview-and-calculation-steps.pdf</w:t>
      </w:r>
    </w:p>
    <w:p w14:paraId="50918735"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(2019c). </w:t>
      </w:r>
      <w:r w:rsidRPr="00E61911">
        <w:rPr>
          <w:rFonts w:cstheme="minorHAnsi"/>
          <w:i/>
          <w:iCs/>
        </w:rPr>
        <w:t>Indigenous Australians’ Health Programme—Primary Health Care Program (For Organisations Currently Outside the PHC Funding Model) Grant Opportunity Guidelines GO3199</w:t>
      </w:r>
      <w:r w:rsidRPr="00E61911">
        <w:rPr>
          <w:rFonts w:cstheme="minorHAnsi"/>
        </w:rPr>
        <w:t xml:space="preserve"> [IAHP Guidelines GO3199]. Commonwealth of Australia. https://www.grants.gov.au/Go/Show?GoUuid=d9fe68b7-0414-af3e-9707-dacbc0514726</w:t>
      </w:r>
    </w:p>
    <w:p w14:paraId="79FCD4BE"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(2019d). </w:t>
      </w:r>
      <w:r w:rsidRPr="00E61911">
        <w:rPr>
          <w:rFonts w:cstheme="minorHAnsi"/>
          <w:i/>
          <w:iCs/>
        </w:rPr>
        <w:t>Integrated Team Care: Program Implementation Guidelines</w:t>
      </w:r>
      <w:r w:rsidRPr="00E61911">
        <w:rPr>
          <w:rFonts w:cstheme="minorHAnsi"/>
        </w:rPr>
        <w:t>. Commonwealth of Australia. https://www.health.gov.au/sites/default/files/documents/2020/12/integrated-team-care-program-implementation-guidelines.pdf</w:t>
      </w:r>
    </w:p>
    <w:p w14:paraId="737A6AB7"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(2020a). </w:t>
      </w:r>
      <w:r w:rsidRPr="00E61911">
        <w:rPr>
          <w:rFonts w:cstheme="minorHAnsi"/>
          <w:i/>
          <w:iCs/>
        </w:rPr>
        <w:t>Indigenous Australians’ Health Programme—Emerging Priorities Round 2. Grant Opportunity guidelines (GO4300)</w:t>
      </w:r>
      <w:r w:rsidRPr="00E61911">
        <w:rPr>
          <w:rFonts w:cstheme="minorHAnsi"/>
        </w:rPr>
        <w:t>. Commonwealth of Australia. https://cecs.anu.edu.au/sites/default/files/staff/announcement/grant_opportunity_guidelines_-_go4300.pdf</w:t>
      </w:r>
    </w:p>
    <w:p w14:paraId="3A5CEBB0"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(2021a). </w:t>
      </w:r>
      <w:r w:rsidRPr="00E61911">
        <w:rPr>
          <w:rFonts w:cstheme="minorHAnsi"/>
          <w:i/>
          <w:iCs/>
        </w:rPr>
        <w:t>National Aboriginal and Torres Strait Islander Health Plan 2021–2031</w:t>
      </w:r>
      <w:r w:rsidRPr="00E61911">
        <w:rPr>
          <w:rFonts w:cstheme="minorHAnsi"/>
        </w:rPr>
        <w:t>. Commonwealth of Australia. https://www.health.gov.au/sites/default/files/documents/2022/06/national-aboriginal-and-torres-strait-islander-health-plan-2021-2031.pdf</w:t>
      </w:r>
    </w:p>
    <w:p w14:paraId="19CA867F"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(2021b). </w:t>
      </w:r>
      <w:r w:rsidRPr="00E61911">
        <w:rPr>
          <w:rFonts w:cstheme="minorHAnsi"/>
          <w:i/>
          <w:iCs/>
        </w:rPr>
        <w:t>National Aboriginal and Torres Strait Islander Health Plan 2021–2031</w:t>
      </w:r>
      <w:r w:rsidRPr="00E61911">
        <w:rPr>
          <w:rFonts w:cstheme="minorHAnsi"/>
        </w:rPr>
        <w:t>. Commonwealth of Australia. https://www.health.gov.au/sites/default/files/documents/2022/06/national-aboriginal-and-torres-strait-islander-health-plan-2021-2031.pdf</w:t>
      </w:r>
    </w:p>
    <w:p w14:paraId="09967B86" w14:textId="77777777" w:rsidR="00F8760E" w:rsidRPr="00E61911" w:rsidRDefault="00F8760E" w:rsidP="00E61911">
      <w:pPr>
        <w:pStyle w:val="Bibliography"/>
        <w:jc w:val="left"/>
        <w:rPr>
          <w:rFonts w:cstheme="minorHAnsi"/>
        </w:rPr>
      </w:pPr>
      <w:r w:rsidRPr="00E61911">
        <w:rPr>
          <w:rFonts w:cstheme="minorHAnsi"/>
        </w:rPr>
        <w:lastRenderedPageBreak/>
        <w:t xml:space="preserve">Australian Department of Health. (2020b, May 4). </w:t>
      </w:r>
      <w:r w:rsidRPr="00E61911">
        <w:rPr>
          <w:rFonts w:cstheme="minorHAnsi"/>
          <w:i/>
          <w:iCs/>
        </w:rPr>
        <w:t>Providing health care remotely during the COVID-19 pandemic</w:t>
      </w:r>
      <w:r w:rsidRPr="00E61911">
        <w:rPr>
          <w:rFonts w:cstheme="minorHAnsi"/>
        </w:rPr>
        <w:t xml:space="preserve"> [Website text]. Www.Health.Gov.Au. https://www.health.gov.au/health-alerts/covid-19/coronavirus-covid-19-advice-for-the-health-and-disability-sector/providing-health-care-remotely-during-the-covid-19-pandemic</w:t>
      </w:r>
    </w:p>
    <w:p w14:paraId="6D0D7ECC"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(2020c, August 12). </w:t>
      </w:r>
      <w:r w:rsidRPr="00E61911">
        <w:rPr>
          <w:rFonts w:cstheme="minorHAnsi"/>
          <w:i/>
          <w:iCs/>
        </w:rPr>
        <w:t>Archived Grant Opportunity View—GO4166</w:t>
      </w:r>
      <w:r w:rsidRPr="00E61911">
        <w:rPr>
          <w:rFonts w:cstheme="minorHAnsi"/>
        </w:rPr>
        <w:t xml:space="preserve"> [Website text]. Www.Health.Gov.Au. https://www.grants.gov.au/Go/Show?GoUuid=f013aec7-f401-aa41-da64-ea0a37f50f4f</w:t>
      </w:r>
    </w:p>
    <w:p w14:paraId="39C63E03"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(2021c, June 30). </w:t>
      </w:r>
      <w:r w:rsidRPr="00E61911">
        <w:rPr>
          <w:rFonts w:cstheme="minorHAnsi"/>
          <w:i/>
          <w:iCs/>
        </w:rPr>
        <w:t>Status and determinants of Aboriginal and Torres Strait Islander health</w:t>
      </w:r>
      <w:r w:rsidRPr="00E61911">
        <w:rPr>
          <w:rFonts w:cstheme="minorHAnsi"/>
        </w:rPr>
        <w:t xml:space="preserve"> [Webpage text]. Australian Government Department of Health and Aged Care. https://www.health.gov.au/topics/aboriginal-and-torres-strait-islander-health/status-and-determinants</w:t>
      </w:r>
    </w:p>
    <w:p w14:paraId="0545D422"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and Age Care. (2019). </w:t>
      </w:r>
      <w:r w:rsidRPr="00E61911">
        <w:rPr>
          <w:rFonts w:cstheme="minorHAnsi"/>
          <w:i/>
          <w:iCs/>
        </w:rPr>
        <w:t>Indigenous Australians’ Health Programme Primary Health Care Program (PHC Funding Model) Grant Opportunity Guidelines GO2884</w:t>
      </w:r>
      <w:r w:rsidRPr="00E61911">
        <w:rPr>
          <w:rFonts w:cstheme="minorHAnsi"/>
        </w:rPr>
        <w:t xml:space="preserve"> [IAHP Guidelines GO2884]. Grant Connect, Australian Government.</w:t>
      </w:r>
    </w:p>
    <w:p w14:paraId="62E7C410"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and Aged Care. (2022a). </w:t>
      </w:r>
      <w:r w:rsidRPr="00E61911">
        <w:rPr>
          <w:rFonts w:cstheme="minorHAnsi"/>
          <w:i/>
          <w:iCs/>
        </w:rPr>
        <w:t>Future focused primary health care: Australia’s Primary Health Care 10 Year Plan 2022-2032</w:t>
      </w:r>
      <w:r w:rsidRPr="00E61911">
        <w:rPr>
          <w:rFonts w:cstheme="minorHAnsi"/>
        </w:rPr>
        <w:t>. Commonwealth of Australia. https://www.health.gov.au/sites/default/files/documents/2022/03/australia-s-primary-health-care-10-year-plan-2022-2032-future-focused-primary-health-care-australia-s-primary-health-care-10-year-plan-2022-2032.pdf</w:t>
      </w:r>
    </w:p>
    <w:p w14:paraId="70597DFD"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and Aged Care. (2022b). </w:t>
      </w:r>
      <w:r w:rsidRPr="00E61911">
        <w:rPr>
          <w:rFonts w:cstheme="minorHAnsi"/>
          <w:i/>
          <w:iCs/>
        </w:rPr>
        <w:t>National Aboriginal and Torres Strait Islander Health Workforce Strategic Framework and Implementation Plan 2021–2031</w:t>
      </w:r>
      <w:r w:rsidRPr="00E61911">
        <w:rPr>
          <w:rFonts w:cstheme="minorHAnsi"/>
        </w:rPr>
        <w:t>. Commonwealth of Australia. https://www.health.gov.au/sites/default/files/documents/2022/03/national-aboriginal-and-torres-strait-islander-health-workforce-strategic-framework-and-implementation-plan-2021-2031.pdf</w:t>
      </w:r>
    </w:p>
    <w:p w14:paraId="34434D7E"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and Aged Care. (2022c). </w:t>
      </w:r>
      <w:r w:rsidRPr="00E61911">
        <w:rPr>
          <w:rFonts w:cstheme="minorHAnsi"/>
          <w:i/>
          <w:iCs/>
        </w:rPr>
        <w:t>Strengthening Medicare Taskforce Report</w:t>
      </w:r>
      <w:r w:rsidRPr="00E61911">
        <w:rPr>
          <w:rFonts w:cstheme="minorHAnsi"/>
        </w:rPr>
        <w:t>. Commonwealth of Australia. https://www.health.gov.au/resources/publications/strengthening-medicare-taskforce-report?language=en</w:t>
      </w:r>
    </w:p>
    <w:p w14:paraId="1500BAE9" w14:textId="77777777" w:rsidR="00F8760E" w:rsidRPr="00E61911" w:rsidRDefault="00F8760E" w:rsidP="00E61911">
      <w:pPr>
        <w:pStyle w:val="Bibliography"/>
        <w:jc w:val="left"/>
        <w:rPr>
          <w:rFonts w:cstheme="minorHAnsi"/>
        </w:rPr>
      </w:pPr>
      <w:r w:rsidRPr="00E61911">
        <w:rPr>
          <w:rFonts w:cstheme="minorHAnsi"/>
        </w:rPr>
        <w:t xml:space="preserve">Australian Department of Health and Aged Care. (2022d, March 1). </w:t>
      </w:r>
      <w:r w:rsidRPr="00E61911">
        <w:rPr>
          <w:rFonts w:cstheme="minorHAnsi"/>
          <w:i/>
          <w:iCs/>
        </w:rPr>
        <w:t>Primary Care for Aboriginal and Torres Strait Islander People</w:t>
      </w:r>
      <w:r w:rsidRPr="00E61911">
        <w:rPr>
          <w:rFonts w:cstheme="minorHAnsi"/>
        </w:rPr>
        <w:t xml:space="preserve"> [Website text]. Www.Health.Gov.Au. https://www.health.gov.au/health-topics/aboriginal-and-torres-strait-islander-health/primary-care</w:t>
      </w:r>
    </w:p>
    <w:p w14:paraId="580F31D8" w14:textId="77777777" w:rsidR="00F8760E" w:rsidRPr="00E61911" w:rsidRDefault="00F8760E" w:rsidP="00E61911">
      <w:pPr>
        <w:pStyle w:val="Bibliography"/>
        <w:jc w:val="left"/>
        <w:rPr>
          <w:rFonts w:cstheme="minorHAnsi"/>
        </w:rPr>
      </w:pPr>
      <w:r w:rsidRPr="00E61911">
        <w:rPr>
          <w:rFonts w:cstheme="minorHAnsi"/>
        </w:rPr>
        <w:t xml:space="preserve">Australian Health Ministers’ Advisory Council’s National Aboriginal and Torres Strait Islander Health Standing Committee. (2016). </w:t>
      </w:r>
      <w:r w:rsidRPr="00E61911">
        <w:rPr>
          <w:rFonts w:cstheme="minorHAnsi"/>
          <w:i/>
          <w:iCs/>
        </w:rPr>
        <w:t>Cultural Respect Framework 2016-2026 for Aboriginal and Torres Strait Islander Health: A National Approach to Building a Culturally Respectful Health System</w:t>
      </w:r>
      <w:r w:rsidRPr="00E61911">
        <w:rPr>
          <w:rFonts w:cstheme="minorHAnsi"/>
        </w:rPr>
        <w:t>. Australian Health Ministers’ Advisory Council. https://www.sahealth.sa.gov.au/wps/wcm/connect/06651271-647f-4ac5-a3a7-4ceaebb0f13a/National+Cultural+Respect+Framework+for+Aboriginal+and+Torres+Strait+Isl....pdf?MOD=AJPERES&amp;amp;CACHEID=ROOTWORKSPACE-06651271-647f-4ac5-a3a7-4ceaebb0f13a-nKPaygc</w:t>
      </w:r>
    </w:p>
    <w:p w14:paraId="59F803F5" w14:textId="77777777" w:rsidR="00F8760E" w:rsidRPr="00E61911" w:rsidRDefault="00F8760E" w:rsidP="00E61911">
      <w:pPr>
        <w:pStyle w:val="Bibliography"/>
        <w:jc w:val="left"/>
        <w:rPr>
          <w:rFonts w:cstheme="minorHAnsi"/>
        </w:rPr>
      </w:pPr>
      <w:r w:rsidRPr="00E61911">
        <w:rPr>
          <w:rFonts w:cstheme="minorHAnsi"/>
        </w:rPr>
        <w:lastRenderedPageBreak/>
        <w:t xml:space="preserve">Australian Institute of Health and Welfare. (n.d.-a). </w:t>
      </w:r>
      <w:r w:rsidRPr="00E61911">
        <w:rPr>
          <w:rFonts w:cstheme="minorHAnsi"/>
          <w:i/>
          <w:iCs/>
        </w:rPr>
        <w:t>3.12 Aboriginal and Torres Strait Islander people in the health workforce</w:t>
      </w:r>
      <w:r w:rsidRPr="00E61911">
        <w:rPr>
          <w:rFonts w:cstheme="minorHAnsi"/>
        </w:rPr>
        <w:t xml:space="preserve"> [Website text]. Indigenoushpf.Gov.Au. Retrieved 21 March 2023, from https://www.indigenoushpf.gov.au/measures/3-12-atsi-people-health-workforce</w:t>
      </w:r>
    </w:p>
    <w:p w14:paraId="1ABCBBB4"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(n.d.-b). </w:t>
      </w:r>
      <w:r w:rsidRPr="00E61911">
        <w:rPr>
          <w:rFonts w:cstheme="minorHAnsi"/>
          <w:i/>
          <w:iCs/>
        </w:rPr>
        <w:t>Online Services Report (OSR) for Indigenous primary health care</w:t>
      </w:r>
      <w:r w:rsidRPr="00E61911">
        <w:rPr>
          <w:rFonts w:cstheme="minorHAnsi"/>
        </w:rPr>
        <w:t xml:space="preserve"> [Website text]. Aihw.Gov.Au. Retrieved 21 March 2023, from https://www.aihw.gov.au/about-our-data/our-data-collections/online-services-report-osr</w:t>
      </w:r>
    </w:p>
    <w:p w14:paraId="557998DE"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(2020a). </w:t>
      </w:r>
      <w:r w:rsidRPr="00E61911">
        <w:rPr>
          <w:rFonts w:cstheme="minorHAnsi"/>
          <w:i/>
          <w:iCs/>
        </w:rPr>
        <w:t>Aboriginal and Torres Strait Islander Health Performance Framework 2020 summary report</w:t>
      </w:r>
      <w:r w:rsidRPr="00E61911">
        <w:rPr>
          <w:rFonts w:cstheme="minorHAnsi"/>
        </w:rPr>
        <w:t xml:space="preserve"> (Cat. No. IHPF 2). Commonwealth of Australia. https://www.indigenoushpf.gov.au/publications/hpf-summary-2020</w:t>
      </w:r>
    </w:p>
    <w:p w14:paraId="34EA6A7F"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(2020b). </w:t>
      </w:r>
      <w:r w:rsidRPr="00E61911">
        <w:rPr>
          <w:rFonts w:cstheme="minorHAnsi"/>
          <w:i/>
          <w:iCs/>
        </w:rPr>
        <w:t>Aboriginal and Torres Strait Islander Health Performance Framework (HPF)</w:t>
      </w:r>
      <w:r w:rsidRPr="00E61911">
        <w:rPr>
          <w:rFonts w:cstheme="minorHAnsi"/>
        </w:rPr>
        <w:t xml:space="preserve"> (Cat. No. IHPF 2). https://www.indigenoushpf.gov.au/</w:t>
      </w:r>
    </w:p>
    <w:p w14:paraId="2004488E"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(2020c). </w:t>
      </w:r>
      <w:r w:rsidRPr="00E61911">
        <w:rPr>
          <w:rFonts w:cstheme="minorHAnsi"/>
          <w:i/>
          <w:iCs/>
        </w:rPr>
        <w:t>Disparities in potentially preventable hospitalisations across Australia—2021-13 to 2017-18</w:t>
      </w:r>
      <w:r w:rsidRPr="00E61911">
        <w:rPr>
          <w:rFonts w:cstheme="minorHAnsi"/>
        </w:rPr>
        <w:t>. https://www.aihw.gov.au/getmedia/20bc5bf9-d46c-40a7-96c1-d632a1d448bc/aihw-hpf-50.pdf.aspx?inline=true</w:t>
      </w:r>
    </w:p>
    <w:p w14:paraId="5F602ED3"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(2021a). </w:t>
      </w:r>
      <w:r w:rsidRPr="00E61911">
        <w:rPr>
          <w:rFonts w:cstheme="minorHAnsi"/>
          <w:i/>
          <w:iCs/>
        </w:rPr>
        <w:t>Aboriginal and Torres Strait Islander health expenditure estimates 2010-11 to 2016–17, Summary</w:t>
      </w:r>
      <w:r w:rsidRPr="00E61911">
        <w:rPr>
          <w:rFonts w:cstheme="minorHAnsi"/>
        </w:rPr>
        <w:t>. Commonwealth of Australia. https://www.aihw.gov.au/getmedia/aa64f228-dd80-4d08-b2dd-641b2f36dd5d/Aboriginal-and-Torres-Strait-Islander-health-expenditure-estimates.pdf.aspx?inline=true</w:t>
      </w:r>
    </w:p>
    <w:p w14:paraId="07F13A2F"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(2021b). </w:t>
      </w:r>
      <w:r w:rsidRPr="00E61911">
        <w:rPr>
          <w:rFonts w:cstheme="minorHAnsi"/>
          <w:i/>
          <w:iCs/>
        </w:rPr>
        <w:t>AIHW national Key Performance Indicators (nKPI) data collection—User guide</w:t>
      </w:r>
      <w:r w:rsidRPr="00E61911">
        <w:rPr>
          <w:rFonts w:cstheme="minorHAnsi"/>
        </w:rPr>
        <w:t>. Commonwealth of Australia. https://www.aihw.gov.au/getmedia/60b0073e-be5c-4292-b30e-e68ee3e64c93/AIHW-nKPI-User-Guide-for-December-2021.pdf.aspx</w:t>
      </w:r>
    </w:p>
    <w:p w14:paraId="4C51D545"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(2022a). </w:t>
      </w:r>
      <w:r w:rsidRPr="00E61911">
        <w:rPr>
          <w:rFonts w:cstheme="minorHAnsi"/>
          <w:i/>
          <w:iCs/>
        </w:rPr>
        <w:t>Australian Burden of Disease Study: Impact and causes of illness and death in Aboriginal and Torres Strait Islander people 2018</w:t>
      </w:r>
      <w:r w:rsidRPr="00E61911">
        <w:rPr>
          <w:rFonts w:cstheme="minorHAnsi"/>
        </w:rPr>
        <w:t>. Australian Institute of Health and Welfare. https://doi.org/10.25816/XD60-4366</w:t>
      </w:r>
    </w:p>
    <w:p w14:paraId="7A6F9ABE"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(2022b). </w:t>
      </w:r>
      <w:r w:rsidRPr="00E61911">
        <w:rPr>
          <w:rFonts w:cstheme="minorHAnsi"/>
          <w:i/>
          <w:iCs/>
        </w:rPr>
        <w:t>Health expenditure Australia 2020-21</w:t>
      </w:r>
      <w:r w:rsidRPr="00E61911">
        <w:rPr>
          <w:rFonts w:cstheme="minorHAnsi"/>
        </w:rPr>
        <w:t>. Commonwealth of Australia. https://www.aihw.gov.au/reports/health-welfare-expenditure/health-expenditure-australia-2020-21/contents/summary</w:t>
      </w:r>
    </w:p>
    <w:p w14:paraId="269073B2"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(2022c). </w:t>
      </w:r>
      <w:r w:rsidRPr="00E61911">
        <w:rPr>
          <w:rFonts w:cstheme="minorHAnsi"/>
          <w:i/>
          <w:iCs/>
        </w:rPr>
        <w:t>Indigenous health checks and follow-ups</w:t>
      </w:r>
      <w:r w:rsidRPr="00E61911">
        <w:rPr>
          <w:rFonts w:cstheme="minorHAnsi"/>
        </w:rPr>
        <w:t xml:space="preserve"> [Web report]. https://www.aihw.gov.au/getmedia/4792b6f8-54bd-4c03-8766-beb8d3037366/Indigenous-health-checks-and-follow-ups.pdf.aspx?inline=true</w:t>
      </w:r>
    </w:p>
    <w:p w14:paraId="0EB33322" w14:textId="77777777" w:rsidR="00F8760E" w:rsidRPr="00E61911" w:rsidRDefault="00F8760E" w:rsidP="00E61911">
      <w:pPr>
        <w:pStyle w:val="Bibliography"/>
        <w:jc w:val="left"/>
        <w:rPr>
          <w:rFonts w:cstheme="minorHAnsi"/>
        </w:rPr>
      </w:pPr>
      <w:r w:rsidRPr="00E61911">
        <w:rPr>
          <w:rFonts w:cstheme="minorHAnsi"/>
        </w:rPr>
        <w:t xml:space="preserve">Australian Institute of Health and Welfare. (2016, May 24). </w:t>
      </w:r>
      <w:r w:rsidRPr="00E61911">
        <w:rPr>
          <w:rFonts w:cstheme="minorHAnsi"/>
          <w:i/>
          <w:iCs/>
        </w:rPr>
        <w:t>Primary health care</w:t>
      </w:r>
      <w:r w:rsidRPr="00E61911">
        <w:rPr>
          <w:rFonts w:cstheme="minorHAnsi"/>
        </w:rPr>
        <w:t xml:space="preserve"> [Website text]. Aihw.Gov.Au. https://www.aihw.gov.au/reports/primary-health-care/primary-health-care-in-australia/contents/about-primary-health-care</w:t>
      </w:r>
    </w:p>
    <w:p w14:paraId="0BBD4D10" w14:textId="77777777" w:rsidR="00F8760E" w:rsidRPr="00E61911" w:rsidRDefault="00F8760E" w:rsidP="00E61911">
      <w:pPr>
        <w:pStyle w:val="Bibliography"/>
        <w:jc w:val="left"/>
        <w:rPr>
          <w:rFonts w:cstheme="minorHAnsi"/>
        </w:rPr>
      </w:pPr>
      <w:r w:rsidRPr="00E61911">
        <w:rPr>
          <w:rFonts w:cstheme="minorHAnsi"/>
        </w:rPr>
        <w:t xml:space="preserve">Australian National Audit Office. (2018). </w:t>
      </w:r>
      <w:r w:rsidRPr="00E61911">
        <w:rPr>
          <w:rFonts w:cstheme="minorHAnsi"/>
          <w:i/>
          <w:iCs/>
        </w:rPr>
        <w:t>Primary Healthcare Grants under the Indigenous Australians’ Health Program</w:t>
      </w:r>
      <w:r w:rsidRPr="00E61911">
        <w:rPr>
          <w:rFonts w:cstheme="minorHAnsi"/>
        </w:rPr>
        <w:t xml:space="preserve"> (Performance Audit No. 50; The Auditor-General). Commonwealth of Australia. https://www.anao.gov.au/sites/default/files/ANAO_Report_2017-2018_50.pdf</w:t>
      </w:r>
    </w:p>
    <w:p w14:paraId="78420AA4" w14:textId="77777777" w:rsidR="00F8760E" w:rsidRPr="00E61911" w:rsidRDefault="00F8760E" w:rsidP="00E61911">
      <w:pPr>
        <w:pStyle w:val="Bibliography"/>
        <w:jc w:val="left"/>
        <w:rPr>
          <w:rFonts w:cstheme="minorHAnsi"/>
        </w:rPr>
      </w:pPr>
      <w:r w:rsidRPr="00E61911">
        <w:rPr>
          <w:rFonts w:cstheme="minorHAnsi"/>
        </w:rPr>
        <w:lastRenderedPageBreak/>
        <w:t xml:space="preserve">Bailey, R., Hardie-Boys, N., Carr, J., Moodie, D., McLean, G., Scanlen, A., Bainbridge, R., Monaghan, R., Walke, E., &amp; Bailie, R. (2018). </w:t>
      </w:r>
      <w:r w:rsidRPr="00E61911">
        <w:rPr>
          <w:rFonts w:cstheme="minorHAnsi"/>
          <w:i/>
          <w:iCs/>
        </w:rPr>
        <w:t>Evaluation of the Australian Government’s Investment in Aboriginal and Torres Strait Islander Primary Health Care through the Indigenous Australians’ Health Programme: Monitoring and Evaluation Design Report</w:t>
      </w:r>
      <w:r w:rsidRPr="00E61911">
        <w:rPr>
          <w:rFonts w:cstheme="minorHAnsi"/>
        </w:rPr>
        <w:t xml:space="preserve"> [Monitoring and Design Report]. Allen + Clarke. Funded by the Australian Government.</w:t>
      </w:r>
    </w:p>
    <w:p w14:paraId="189F3FC0" w14:textId="77777777" w:rsidR="00F8760E" w:rsidRPr="00E61911" w:rsidRDefault="00F8760E" w:rsidP="00E61911">
      <w:pPr>
        <w:pStyle w:val="Bibliography"/>
        <w:jc w:val="left"/>
        <w:rPr>
          <w:rFonts w:cstheme="minorHAnsi"/>
        </w:rPr>
      </w:pPr>
      <w:r w:rsidRPr="00E61911">
        <w:rPr>
          <w:rFonts w:cstheme="minorHAnsi"/>
        </w:rPr>
        <w:t xml:space="preserve">Bainbridge, R., Hardie-Boys, N., Langham, E., &amp; Bailey, R. (2021). </w:t>
      </w:r>
      <w:r w:rsidRPr="00E61911">
        <w:rPr>
          <w:rFonts w:cstheme="minorHAnsi"/>
          <w:i/>
          <w:iCs/>
        </w:rPr>
        <w:t>Evaluation of the Australian Government’s investment in Aboriginal and Torres Strait Islander primary health care through the Indigenous Australian’ Health Programme: Cycle 1 Interim Evaluation Report</w:t>
      </w:r>
      <w:r w:rsidRPr="00E61911">
        <w:rPr>
          <w:rFonts w:cstheme="minorHAnsi"/>
        </w:rPr>
        <w:t xml:space="preserve"> [Interim report]. Allen + Clarke, Central Queensland University and Monaghan Dreaming.</w:t>
      </w:r>
    </w:p>
    <w:p w14:paraId="305D5A21" w14:textId="77777777" w:rsidR="00F8760E" w:rsidRPr="00E61911" w:rsidRDefault="00F8760E" w:rsidP="00E61911">
      <w:pPr>
        <w:pStyle w:val="Bibliography"/>
        <w:jc w:val="left"/>
        <w:rPr>
          <w:rFonts w:cstheme="minorHAnsi"/>
        </w:rPr>
      </w:pPr>
      <w:r w:rsidRPr="00E61911">
        <w:rPr>
          <w:rFonts w:cstheme="minorHAnsi"/>
        </w:rPr>
        <w:t xml:space="preserve">Bainbridge, R., McCalman, J., Whiteside, M., &amp; Redman-MacLaren, M. (2019). Grounded theory as systems science: Working with Indigenous nations for social justice. In </w:t>
      </w:r>
      <w:r w:rsidRPr="00E61911">
        <w:rPr>
          <w:rFonts w:cstheme="minorHAnsi"/>
          <w:i/>
          <w:iCs/>
        </w:rPr>
        <w:t>The SAGE Handbook of Current Developments in Grounded Theory</w:t>
      </w:r>
      <w:r w:rsidRPr="00E61911">
        <w:rPr>
          <w:rFonts w:cstheme="minorHAnsi"/>
        </w:rPr>
        <w:t xml:space="preserve"> (A. Bryant&amp;K. Charmaz, pp. 611–629). Sage Publications.</w:t>
      </w:r>
    </w:p>
    <w:p w14:paraId="0857725E" w14:textId="77777777" w:rsidR="00F8760E" w:rsidRPr="00E61911" w:rsidRDefault="00F8760E" w:rsidP="00E61911">
      <w:pPr>
        <w:pStyle w:val="Bibliography"/>
        <w:jc w:val="left"/>
        <w:rPr>
          <w:rFonts w:cstheme="minorHAnsi"/>
        </w:rPr>
      </w:pPr>
      <w:r w:rsidRPr="00E61911">
        <w:rPr>
          <w:rFonts w:cstheme="minorHAnsi"/>
        </w:rPr>
        <w:t xml:space="preserve">Bessarab, D., &amp; Ng’Andu, B. (2010). Yarning about yarning as a legitimate method in Indigenous research. </w:t>
      </w:r>
      <w:r w:rsidRPr="00E61911">
        <w:rPr>
          <w:rFonts w:cstheme="minorHAnsi"/>
          <w:i/>
          <w:iCs/>
        </w:rPr>
        <w:t>International Journal of Critical Indigenous Studies</w:t>
      </w:r>
      <w:r w:rsidRPr="00E61911">
        <w:rPr>
          <w:rFonts w:cstheme="minorHAnsi"/>
        </w:rPr>
        <w:t xml:space="preserve">, </w:t>
      </w:r>
      <w:r w:rsidRPr="00E61911">
        <w:rPr>
          <w:rFonts w:cstheme="minorHAnsi"/>
          <w:i/>
          <w:iCs/>
        </w:rPr>
        <w:t>3</w:t>
      </w:r>
      <w:r w:rsidRPr="00E61911">
        <w:rPr>
          <w:rFonts w:cstheme="minorHAnsi"/>
        </w:rPr>
        <w:t>(1), 37–50.</w:t>
      </w:r>
    </w:p>
    <w:p w14:paraId="1DCB337A" w14:textId="77777777" w:rsidR="00F8760E" w:rsidRPr="00E61911" w:rsidRDefault="00F8760E" w:rsidP="00E61911">
      <w:pPr>
        <w:pStyle w:val="Bibliography"/>
        <w:jc w:val="left"/>
        <w:rPr>
          <w:rFonts w:cstheme="minorHAnsi"/>
        </w:rPr>
      </w:pPr>
      <w:r w:rsidRPr="00E61911">
        <w:rPr>
          <w:rFonts w:cstheme="minorHAnsi"/>
        </w:rPr>
        <w:t xml:space="preserve">Chakraborty, A., Daniel, M., Howard, N. J., Chong, A., Slavin, N., Brown, A., &amp; Cargo, M. (2021). Identifying Environmental Determinants Relevant to Health and Wellbeing in Remote Australian Indigenous Communities: A Scoping Review of Grey Literature. </w:t>
      </w:r>
      <w:r w:rsidRPr="00E61911">
        <w:rPr>
          <w:rFonts w:cstheme="minorHAnsi"/>
          <w:i/>
          <w:iCs/>
        </w:rPr>
        <w:t>International Journal of Environmental Research and Public Health</w:t>
      </w:r>
      <w:r w:rsidRPr="00E61911">
        <w:rPr>
          <w:rFonts w:cstheme="minorHAnsi"/>
        </w:rPr>
        <w:t xml:space="preserve">, </w:t>
      </w:r>
      <w:r w:rsidRPr="00E61911">
        <w:rPr>
          <w:rFonts w:cstheme="minorHAnsi"/>
          <w:i/>
          <w:iCs/>
        </w:rPr>
        <w:t>18</w:t>
      </w:r>
      <w:r w:rsidRPr="00E61911">
        <w:rPr>
          <w:rFonts w:cstheme="minorHAnsi"/>
        </w:rPr>
        <w:t>(8), 4167. https://doi.org/10.3390/ijerph18084167</w:t>
      </w:r>
    </w:p>
    <w:p w14:paraId="1782930F" w14:textId="77777777" w:rsidR="00F8760E" w:rsidRPr="00E61911" w:rsidRDefault="00F8760E" w:rsidP="00E61911">
      <w:pPr>
        <w:pStyle w:val="Bibliography"/>
        <w:jc w:val="left"/>
        <w:rPr>
          <w:rFonts w:cstheme="minorHAnsi"/>
        </w:rPr>
      </w:pPr>
      <w:r w:rsidRPr="00E61911">
        <w:rPr>
          <w:rFonts w:cstheme="minorHAnsi"/>
        </w:rPr>
        <w:t xml:space="preserve">Clarke, A. E., Friese, C., &amp; Washburn, R. S. (2017). </w:t>
      </w:r>
      <w:r w:rsidRPr="00E61911">
        <w:rPr>
          <w:rFonts w:cstheme="minorHAnsi"/>
          <w:i/>
          <w:iCs/>
        </w:rPr>
        <w:t>Situational analysis: Grounded theory after the interpretive turn</w:t>
      </w:r>
      <w:r w:rsidRPr="00E61911">
        <w:rPr>
          <w:rFonts w:cstheme="minorHAnsi"/>
        </w:rPr>
        <w:t>. Sage Publications.</w:t>
      </w:r>
    </w:p>
    <w:p w14:paraId="075061B9" w14:textId="77777777" w:rsidR="00F8760E" w:rsidRPr="00E61911" w:rsidRDefault="00F8760E" w:rsidP="00E61911">
      <w:pPr>
        <w:pStyle w:val="Bibliography"/>
        <w:jc w:val="left"/>
        <w:rPr>
          <w:rFonts w:cstheme="minorHAnsi"/>
        </w:rPr>
      </w:pPr>
      <w:r w:rsidRPr="00E61911">
        <w:rPr>
          <w:rFonts w:cstheme="minorHAnsi"/>
        </w:rPr>
        <w:t xml:space="preserve">Coalition of Aboriginal and Torres Strait Islander Peak Organisations and Australian Governments (COAG). (2020a). </w:t>
      </w:r>
      <w:r w:rsidRPr="00E61911">
        <w:rPr>
          <w:rFonts w:cstheme="minorHAnsi"/>
          <w:i/>
          <w:iCs/>
        </w:rPr>
        <w:t>National Agreement on Closing the Gap</w:t>
      </w:r>
      <w:r w:rsidRPr="00E61911">
        <w:rPr>
          <w:rFonts w:cstheme="minorHAnsi"/>
        </w:rPr>
        <w:t>. Commonwealth of Australia. https://www.closingthegap.gov.au/national-agreement</w:t>
      </w:r>
    </w:p>
    <w:p w14:paraId="31C19D52" w14:textId="77777777" w:rsidR="00F8760E" w:rsidRPr="00E61911" w:rsidRDefault="00F8760E" w:rsidP="00E61911">
      <w:pPr>
        <w:pStyle w:val="Bibliography"/>
        <w:jc w:val="left"/>
        <w:rPr>
          <w:rFonts w:cstheme="minorHAnsi"/>
        </w:rPr>
      </w:pPr>
      <w:r w:rsidRPr="00E61911">
        <w:rPr>
          <w:rFonts w:cstheme="minorHAnsi"/>
        </w:rPr>
        <w:t xml:space="preserve">Coalition of Aboriginal and Torres Strait Islander Peak Organisations and Australian Governments (COAG). (2020b). </w:t>
      </w:r>
      <w:r w:rsidRPr="00E61911">
        <w:rPr>
          <w:rFonts w:cstheme="minorHAnsi"/>
          <w:i/>
          <w:iCs/>
        </w:rPr>
        <w:t>National Agreement on Closing the Gap</w:t>
      </w:r>
      <w:r w:rsidRPr="00E61911">
        <w:rPr>
          <w:rFonts w:cstheme="minorHAnsi"/>
        </w:rPr>
        <w:t>. https://www.closingthegap.gov.au/national-agreement</w:t>
      </w:r>
    </w:p>
    <w:p w14:paraId="6BBD2595" w14:textId="77777777" w:rsidR="00F8760E" w:rsidRPr="00E61911" w:rsidRDefault="00F8760E" w:rsidP="00E61911">
      <w:pPr>
        <w:pStyle w:val="Bibliography"/>
        <w:jc w:val="left"/>
        <w:rPr>
          <w:rFonts w:cstheme="minorHAnsi"/>
        </w:rPr>
      </w:pPr>
      <w:r w:rsidRPr="00E61911">
        <w:rPr>
          <w:rFonts w:cstheme="minorHAnsi"/>
        </w:rPr>
        <w:t xml:space="preserve">Cohen, J. (1988). </w:t>
      </w:r>
      <w:r w:rsidRPr="00E61911">
        <w:rPr>
          <w:rFonts w:cstheme="minorHAnsi"/>
          <w:i/>
          <w:iCs/>
        </w:rPr>
        <w:t>Statistical power analysis for the behavioral sciences</w:t>
      </w:r>
      <w:r w:rsidRPr="00E61911">
        <w:rPr>
          <w:rFonts w:cstheme="minorHAnsi"/>
        </w:rPr>
        <w:t xml:space="preserve"> (2nd ed). L. Erlbaum Associates.</w:t>
      </w:r>
    </w:p>
    <w:p w14:paraId="5257BA51" w14:textId="77777777" w:rsidR="00F8760E" w:rsidRPr="00E61911" w:rsidRDefault="00F8760E" w:rsidP="00E61911">
      <w:pPr>
        <w:pStyle w:val="Bibliography"/>
        <w:jc w:val="left"/>
        <w:rPr>
          <w:rFonts w:cstheme="minorHAnsi"/>
        </w:rPr>
      </w:pPr>
      <w:r w:rsidRPr="00E61911">
        <w:rPr>
          <w:rFonts w:cstheme="minorHAnsi"/>
        </w:rPr>
        <w:t xml:space="preserve">Commonwealth of Australia. (2017a). </w:t>
      </w:r>
      <w:r w:rsidRPr="00E61911">
        <w:rPr>
          <w:rFonts w:cstheme="minorHAnsi"/>
          <w:i/>
          <w:iCs/>
        </w:rPr>
        <w:t>National Strategic Framework for Aboriginal and Torres Strait Islander Peoples’  Mental Health and Social and Emotional Wellbeing  2017-2023</w:t>
      </w:r>
      <w:r w:rsidRPr="00E61911">
        <w:rPr>
          <w:rFonts w:cstheme="minorHAnsi"/>
        </w:rPr>
        <w:t>. Endorsed by the Australian Health Ministers’ Council. https://www.niaa.gov.au/sites/default/files/publications/mhsewb-framework_0.pdf</w:t>
      </w:r>
    </w:p>
    <w:p w14:paraId="0A939291" w14:textId="77777777" w:rsidR="00F8760E" w:rsidRPr="00E61911" w:rsidRDefault="00F8760E" w:rsidP="00E61911">
      <w:pPr>
        <w:pStyle w:val="Bibliography"/>
        <w:jc w:val="left"/>
        <w:rPr>
          <w:rFonts w:cstheme="minorHAnsi"/>
        </w:rPr>
      </w:pPr>
      <w:r w:rsidRPr="00E61911">
        <w:rPr>
          <w:rFonts w:cstheme="minorHAnsi"/>
        </w:rPr>
        <w:t xml:space="preserve">Commonwealth of Australia. (2017b). </w:t>
      </w:r>
      <w:r w:rsidRPr="00E61911">
        <w:rPr>
          <w:rFonts w:cstheme="minorHAnsi"/>
          <w:i/>
          <w:iCs/>
        </w:rPr>
        <w:t>Referendum Council Final Report</w:t>
      </w:r>
      <w:r w:rsidRPr="00E61911">
        <w:rPr>
          <w:rFonts w:cstheme="minorHAnsi"/>
        </w:rPr>
        <w:t>. https://ulurustatemdev.wpengine.com/wp-content/uploads/2022/01/Referendum_Council_Final_Report.pdf</w:t>
      </w:r>
    </w:p>
    <w:p w14:paraId="5A6A6FAF" w14:textId="77777777" w:rsidR="00F8760E" w:rsidRPr="00E61911" w:rsidRDefault="00F8760E" w:rsidP="00E61911">
      <w:pPr>
        <w:pStyle w:val="Bibliography"/>
        <w:jc w:val="left"/>
        <w:rPr>
          <w:rFonts w:cstheme="minorHAnsi"/>
        </w:rPr>
      </w:pPr>
      <w:r w:rsidRPr="00E61911">
        <w:rPr>
          <w:rFonts w:cstheme="minorHAnsi"/>
        </w:rPr>
        <w:lastRenderedPageBreak/>
        <w:t xml:space="preserve">Coombes, J., Cullen, P., Bennett-Brook, K., Longbottom, M., Mackean, T., Field, B., &amp; Parry, V. (2022). Culturally Safe and Integrated Primary Health Care: A Case Study of Yerin Eleanor Duncan Aboriginal Health Services’ Holistic Model. </w:t>
      </w:r>
      <w:r w:rsidRPr="00E61911">
        <w:rPr>
          <w:rFonts w:cstheme="minorHAnsi"/>
          <w:i/>
          <w:iCs/>
        </w:rPr>
        <w:t>Journal of the Australian Indigenous HealthInfoNet</w:t>
      </w:r>
      <w:r w:rsidRPr="00E61911">
        <w:rPr>
          <w:rFonts w:cstheme="minorHAnsi"/>
        </w:rPr>
        <w:t xml:space="preserve">, </w:t>
      </w:r>
      <w:r w:rsidRPr="00E61911">
        <w:rPr>
          <w:rFonts w:cstheme="minorHAnsi"/>
          <w:i/>
          <w:iCs/>
        </w:rPr>
        <w:t>3</w:t>
      </w:r>
      <w:r w:rsidRPr="00E61911">
        <w:rPr>
          <w:rFonts w:cstheme="minorHAnsi"/>
        </w:rPr>
        <w:t>((1)).</w:t>
      </w:r>
    </w:p>
    <w:p w14:paraId="404B7074" w14:textId="77777777" w:rsidR="00F8760E" w:rsidRPr="00E61911" w:rsidRDefault="00F8760E" w:rsidP="00E61911">
      <w:pPr>
        <w:pStyle w:val="Bibliography"/>
        <w:jc w:val="left"/>
        <w:rPr>
          <w:rFonts w:cstheme="minorHAnsi"/>
        </w:rPr>
      </w:pPr>
      <w:r w:rsidRPr="00E61911">
        <w:rPr>
          <w:rFonts w:cstheme="minorHAnsi"/>
        </w:rPr>
        <w:t xml:space="preserve">Cross, T., Bazron, B. J., Dennis, K. W., &amp; Isaacs, M. R. (1989). </w:t>
      </w:r>
      <w:r w:rsidRPr="00E61911">
        <w:rPr>
          <w:rFonts w:cstheme="minorHAnsi"/>
          <w:i/>
          <w:iCs/>
        </w:rPr>
        <w:t>Towards a culturally competent system of care: A monograph on effective services for minority children who are severely emotionally disturbed</w:t>
      </w:r>
      <w:r w:rsidRPr="00E61911">
        <w:rPr>
          <w:rFonts w:cstheme="minorHAnsi"/>
        </w:rPr>
        <w:t>. Child and Adolescent Service System Program Technical Assistance Centre, Georgetown University Child Development Centre. &lt;http://files.eric.ed.gov/fulltext/ED330171.pdf&gt;.</w:t>
      </w:r>
    </w:p>
    <w:p w14:paraId="2925F0DA" w14:textId="77777777" w:rsidR="00F8760E" w:rsidRPr="00E61911" w:rsidRDefault="00F8760E" w:rsidP="00E61911">
      <w:pPr>
        <w:pStyle w:val="Bibliography"/>
        <w:jc w:val="left"/>
        <w:rPr>
          <w:rFonts w:cstheme="minorHAnsi"/>
        </w:rPr>
      </w:pPr>
      <w:r w:rsidRPr="00E61911">
        <w:rPr>
          <w:rFonts w:cstheme="minorHAnsi"/>
        </w:rPr>
        <w:t xml:space="preserve">Davy, C., Harfield, S., McArthur, A., Munn, Z., &amp; Brown, A. (2016a). Access to primary health care services for Indigenous peoples: A framework synthesis. </w:t>
      </w:r>
      <w:r w:rsidRPr="00E61911">
        <w:rPr>
          <w:rFonts w:cstheme="minorHAnsi"/>
          <w:i/>
          <w:iCs/>
        </w:rPr>
        <w:t>International Journal for Equity in Health</w:t>
      </w:r>
      <w:r w:rsidRPr="00E61911">
        <w:rPr>
          <w:rFonts w:cstheme="minorHAnsi"/>
        </w:rPr>
        <w:t xml:space="preserve">, </w:t>
      </w:r>
      <w:r w:rsidRPr="00E61911">
        <w:rPr>
          <w:rFonts w:cstheme="minorHAnsi"/>
          <w:i/>
          <w:iCs/>
        </w:rPr>
        <w:t>15</w:t>
      </w:r>
      <w:r w:rsidRPr="00E61911">
        <w:rPr>
          <w:rFonts w:cstheme="minorHAnsi"/>
        </w:rPr>
        <w:t>(1), 163. https://doi.org/10.1186/s12939-016-0450-5</w:t>
      </w:r>
    </w:p>
    <w:p w14:paraId="2F95A573" w14:textId="77777777" w:rsidR="00F8760E" w:rsidRPr="00E61911" w:rsidRDefault="00F8760E" w:rsidP="00E61911">
      <w:pPr>
        <w:pStyle w:val="Bibliography"/>
        <w:jc w:val="left"/>
        <w:rPr>
          <w:rFonts w:cstheme="minorHAnsi"/>
        </w:rPr>
      </w:pPr>
      <w:r w:rsidRPr="00E61911">
        <w:rPr>
          <w:rFonts w:cstheme="minorHAnsi"/>
        </w:rPr>
        <w:t xml:space="preserve">Davy, C., Harfield, S., McArthur, A., Munn, Z., &amp; Brown, A. (2016b). Access to primary health care services for Indigenous peoples: A framework synthesis. </w:t>
      </w:r>
      <w:r w:rsidRPr="00E61911">
        <w:rPr>
          <w:rFonts w:cstheme="minorHAnsi"/>
          <w:i/>
          <w:iCs/>
        </w:rPr>
        <w:t>International Journal for Equity in Health</w:t>
      </w:r>
      <w:r w:rsidRPr="00E61911">
        <w:rPr>
          <w:rFonts w:cstheme="minorHAnsi"/>
        </w:rPr>
        <w:t xml:space="preserve">, </w:t>
      </w:r>
      <w:r w:rsidRPr="00E61911">
        <w:rPr>
          <w:rFonts w:cstheme="minorHAnsi"/>
          <w:i/>
          <w:iCs/>
        </w:rPr>
        <w:t>15</w:t>
      </w:r>
      <w:r w:rsidRPr="00E61911">
        <w:rPr>
          <w:rFonts w:cstheme="minorHAnsi"/>
        </w:rPr>
        <w:t>(1), 163. https://doi.org/10.1186/s12939-016-0450-5</w:t>
      </w:r>
    </w:p>
    <w:p w14:paraId="1AF906D8" w14:textId="77777777" w:rsidR="00F8760E" w:rsidRPr="00E61911" w:rsidRDefault="00F8760E" w:rsidP="00E61911">
      <w:pPr>
        <w:pStyle w:val="Bibliography"/>
        <w:jc w:val="left"/>
        <w:rPr>
          <w:rFonts w:cstheme="minorHAnsi"/>
        </w:rPr>
      </w:pPr>
      <w:r w:rsidRPr="00E61911">
        <w:rPr>
          <w:rFonts w:cstheme="minorHAnsi"/>
        </w:rPr>
        <w:t xml:space="preserve">Deloitte. (2020). </w:t>
      </w:r>
      <w:r w:rsidRPr="00E61911">
        <w:rPr>
          <w:rFonts w:cstheme="minorHAnsi"/>
          <w:i/>
          <w:iCs/>
        </w:rPr>
        <w:t>Evaluation of the Institute for Urban Indigenous Health</w:t>
      </w:r>
      <w:r w:rsidRPr="00E61911">
        <w:rPr>
          <w:rFonts w:cstheme="minorHAnsi"/>
        </w:rPr>
        <w:t>.</w:t>
      </w:r>
    </w:p>
    <w:p w14:paraId="5E884CAE" w14:textId="77777777" w:rsidR="00F8760E" w:rsidRPr="00E61911" w:rsidRDefault="00F8760E" w:rsidP="00E61911">
      <w:pPr>
        <w:pStyle w:val="Bibliography"/>
        <w:jc w:val="left"/>
        <w:rPr>
          <w:rFonts w:cstheme="minorHAnsi"/>
        </w:rPr>
      </w:pPr>
      <w:r w:rsidRPr="00E61911">
        <w:rPr>
          <w:rFonts w:cstheme="minorHAnsi"/>
        </w:rPr>
        <w:t xml:space="preserve">Department of the Prime Minister and Cabinet &amp; Australian National Audit Office. (2014). </w:t>
      </w:r>
      <w:r w:rsidRPr="00E61911">
        <w:rPr>
          <w:rFonts w:cstheme="minorHAnsi"/>
          <w:i/>
          <w:iCs/>
        </w:rPr>
        <w:t>Successful implementation of policy initiatives: Better practice guide</w:t>
      </w:r>
      <w:r w:rsidRPr="00E61911">
        <w:rPr>
          <w:rFonts w:cstheme="minorHAnsi"/>
        </w:rPr>
        <w:t xml:space="preserve"> (Australia) [Report]. Commonwealth of Australia. https://apo.org.au/node/41796</w:t>
      </w:r>
    </w:p>
    <w:p w14:paraId="2DF2A29A" w14:textId="77777777" w:rsidR="00F8760E" w:rsidRPr="00E61911" w:rsidRDefault="00F8760E" w:rsidP="00E61911">
      <w:pPr>
        <w:pStyle w:val="Bibliography"/>
        <w:jc w:val="left"/>
        <w:rPr>
          <w:rFonts w:cstheme="minorHAnsi"/>
        </w:rPr>
      </w:pPr>
      <w:r w:rsidRPr="00E61911">
        <w:rPr>
          <w:rFonts w:cstheme="minorHAnsi"/>
        </w:rPr>
        <w:t xml:space="preserve">Downe-Wambolt, B. (1992). Content analysis: Method, applications, and issues. </w:t>
      </w:r>
      <w:r w:rsidRPr="00E61911">
        <w:rPr>
          <w:rFonts w:cstheme="minorHAnsi"/>
          <w:i/>
          <w:iCs/>
        </w:rPr>
        <w:t>Health Care for Women International</w:t>
      </w:r>
      <w:r w:rsidRPr="00E61911">
        <w:rPr>
          <w:rFonts w:cstheme="minorHAnsi"/>
        </w:rPr>
        <w:t xml:space="preserve">, </w:t>
      </w:r>
      <w:r w:rsidRPr="00E61911">
        <w:rPr>
          <w:rFonts w:cstheme="minorHAnsi"/>
          <w:i/>
          <w:iCs/>
        </w:rPr>
        <w:t>13</w:t>
      </w:r>
      <w:r w:rsidRPr="00E61911">
        <w:rPr>
          <w:rFonts w:cstheme="minorHAnsi"/>
        </w:rPr>
        <w:t>(3), 313–321.</w:t>
      </w:r>
    </w:p>
    <w:p w14:paraId="5054BD4B" w14:textId="77777777" w:rsidR="00F8760E" w:rsidRPr="00E61911" w:rsidRDefault="00F8760E" w:rsidP="00E61911">
      <w:pPr>
        <w:pStyle w:val="Bibliography"/>
        <w:jc w:val="left"/>
        <w:rPr>
          <w:rFonts w:cstheme="minorHAnsi"/>
        </w:rPr>
      </w:pPr>
      <w:r w:rsidRPr="00E61911">
        <w:rPr>
          <w:rFonts w:cstheme="minorHAnsi"/>
        </w:rPr>
        <w:t xml:space="preserve">Dwyer, J., Boulton, A., Lavoie, J. G., Tenbensel, T., &amp; Cumming, J. (2014). Indigenous Peoples’ Health Care: New approaches to contracting and accountability at the public administration frontier. </w:t>
      </w:r>
      <w:r w:rsidRPr="00E61911">
        <w:rPr>
          <w:rFonts w:cstheme="minorHAnsi"/>
          <w:i/>
          <w:iCs/>
        </w:rPr>
        <w:t>Public Management Review</w:t>
      </w:r>
      <w:r w:rsidRPr="00E61911">
        <w:rPr>
          <w:rFonts w:cstheme="minorHAnsi"/>
        </w:rPr>
        <w:t xml:space="preserve">, </w:t>
      </w:r>
      <w:r w:rsidRPr="00E61911">
        <w:rPr>
          <w:rFonts w:cstheme="minorHAnsi"/>
          <w:i/>
          <w:iCs/>
        </w:rPr>
        <w:t>16</w:t>
      </w:r>
      <w:r w:rsidRPr="00E61911">
        <w:rPr>
          <w:rFonts w:cstheme="minorHAnsi"/>
        </w:rPr>
        <w:t>(8), 1091–1112. https://doi.org/10.1080/14719037.2013.868507</w:t>
      </w:r>
    </w:p>
    <w:p w14:paraId="5DEECDCC" w14:textId="77777777" w:rsidR="00F8760E" w:rsidRPr="00E61911" w:rsidRDefault="00F8760E" w:rsidP="00E61911">
      <w:pPr>
        <w:pStyle w:val="Bibliography"/>
        <w:jc w:val="left"/>
        <w:rPr>
          <w:rFonts w:cstheme="minorHAnsi"/>
        </w:rPr>
      </w:pPr>
      <w:r w:rsidRPr="00E61911">
        <w:rPr>
          <w:rFonts w:cstheme="minorHAnsi"/>
        </w:rPr>
        <w:t xml:space="preserve">Ellis, B. (2013). An Overview of Complexity Theory: Understanding Primary Care as a Complex Adaptive System. In J. P. Sturmberg &amp; C. M. Martin (Eds.), </w:t>
      </w:r>
      <w:r w:rsidRPr="00E61911">
        <w:rPr>
          <w:rFonts w:cstheme="minorHAnsi"/>
          <w:i/>
          <w:iCs/>
        </w:rPr>
        <w:t>Handbook of Systems and Complexity in Health</w:t>
      </w:r>
      <w:r w:rsidRPr="00E61911">
        <w:rPr>
          <w:rFonts w:cstheme="minorHAnsi"/>
        </w:rPr>
        <w:t xml:space="preserve"> (pp. 485–494). Springer. https://doi.org/10.1007/978-1-4614-4998-0_29</w:t>
      </w:r>
    </w:p>
    <w:p w14:paraId="2D59E600" w14:textId="77777777" w:rsidR="00F8760E" w:rsidRPr="00E61911" w:rsidRDefault="00F8760E" w:rsidP="00E61911">
      <w:pPr>
        <w:pStyle w:val="Bibliography"/>
        <w:jc w:val="left"/>
        <w:rPr>
          <w:rFonts w:cstheme="minorHAnsi"/>
        </w:rPr>
      </w:pPr>
      <w:r w:rsidRPr="00E61911">
        <w:rPr>
          <w:rFonts w:cstheme="minorHAnsi"/>
        </w:rPr>
        <w:t xml:space="preserve">Flyvbjerg, B. (2001). </w:t>
      </w:r>
      <w:r w:rsidRPr="00E61911">
        <w:rPr>
          <w:rFonts w:cstheme="minorHAnsi"/>
          <w:i/>
          <w:iCs/>
        </w:rPr>
        <w:t>Making Social Science Matter: Why Social Inquiry Fails and How it Can Succeed Again</w:t>
      </w:r>
      <w:r w:rsidRPr="00E61911">
        <w:rPr>
          <w:rFonts w:cstheme="minorHAnsi"/>
        </w:rPr>
        <w:t xml:space="preserve"> (S. Sampson, Trans.; 1st edition). Cambridge University Press.</w:t>
      </w:r>
    </w:p>
    <w:p w14:paraId="6CD94E23" w14:textId="77777777" w:rsidR="00F8760E" w:rsidRPr="00E61911" w:rsidRDefault="00F8760E" w:rsidP="00E61911">
      <w:pPr>
        <w:pStyle w:val="Bibliography"/>
        <w:jc w:val="left"/>
        <w:rPr>
          <w:rFonts w:cstheme="minorHAnsi"/>
        </w:rPr>
      </w:pPr>
      <w:r w:rsidRPr="00E61911">
        <w:rPr>
          <w:rFonts w:cstheme="minorHAnsi"/>
        </w:rPr>
        <w:t xml:space="preserve">Fredericks, B., Adams, K., Finlay, S., Fletcher, G., Andy, S., Briggs, L., &amp; Hall, R. (2011). Engaging the practice of Indigenous yarning in action research. </w:t>
      </w:r>
      <w:r w:rsidRPr="00E61911">
        <w:rPr>
          <w:rFonts w:cstheme="minorHAnsi"/>
          <w:i/>
          <w:iCs/>
        </w:rPr>
        <w:t>ALAR: Action Learning and Action Research Journal</w:t>
      </w:r>
      <w:r w:rsidRPr="00E61911">
        <w:rPr>
          <w:rFonts w:cstheme="minorHAnsi"/>
        </w:rPr>
        <w:t xml:space="preserve">, </w:t>
      </w:r>
      <w:r w:rsidRPr="00E61911">
        <w:rPr>
          <w:rFonts w:cstheme="minorHAnsi"/>
          <w:i/>
          <w:iCs/>
        </w:rPr>
        <w:t>17</w:t>
      </w:r>
      <w:r w:rsidRPr="00E61911">
        <w:rPr>
          <w:rFonts w:cstheme="minorHAnsi"/>
        </w:rPr>
        <w:t>(2).</w:t>
      </w:r>
    </w:p>
    <w:p w14:paraId="67978122" w14:textId="77777777" w:rsidR="00F8760E" w:rsidRPr="00E61911" w:rsidRDefault="00F8760E" w:rsidP="00E61911">
      <w:pPr>
        <w:pStyle w:val="Bibliography"/>
        <w:jc w:val="left"/>
        <w:rPr>
          <w:rFonts w:cstheme="minorHAnsi"/>
        </w:rPr>
      </w:pPr>
      <w:r w:rsidRPr="00E61911">
        <w:rPr>
          <w:rFonts w:cstheme="minorHAnsi"/>
        </w:rPr>
        <w:t xml:space="preserve">Fredericks, B., Clapham, K., Bessarab, D., Dudgeon, P., Bainbridge, R., Ball, R., Longbottom, M., Andersen, C., M., A., Collard, L., Duthie, D., &amp; Daniels, C. (2015). Developing Pictorial Conceptual Metaphors as a means of understanding and changing the Australian Health System for Indigenous People. </w:t>
      </w:r>
      <w:r w:rsidRPr="00E61911">
        <w:rPr>
          <w:rFonts w:cstheme="minorHAnsi"/>
          <w:i/>
          <w:iCs/>
        </w:rPr>
        <w:t>ALARj-Action Learning Action Research Journal</w:t>
      </w:r>
      <w:r w:rsidRPr="00E61911">
        <w:rPr>
          <w:rFonts w:cstheme="minorHAnsi"/>
        </w:rPr>
        <w:t xml:space="preserve">, </w:t>
      </w:r>
      <w:r w:rsidRPr="00E61911">
        <w:rPr>
          <w:rFonts w:cstheme="minorHAnsi"/>
          <w:i/>
          <w:iCs/>
        </w:rPr>
        <w:t>21</w:t>
      </w:r>
      <w:r w:rsidRPr="00E61911">
        <w:rPr>
          <w:rFonts w:cstheme="minorHAnsi"/>
        </w:rPr>
        <w:t>, 77–107.</w:t>
      </w:r>
    </w:p>
    <w:p w14:paraId="3A41EF43" w14:textId="77777777" w:rsidR="00F8760E" w:rsidRPr="00E61911" w:rsidRDefault="00F8760E" w:rsidP="00E61911">
      <w:pPr>
        <w:pStyle w:val="Bibliography"/>
        <w:jc w:val="left"/>
        <w:rPr>
          <w:rFonts w:cstheme="minorHAnsi"/>
        </w:rPr>
      </w:pPr>
      <w:r w:rsidRPr="00E61911">
        <w:rPr>
          <w:rFonts w:cstheme="minorHAnsi"/>
        </w:rPr>
        <w:lastRenderedPageBreak/>
        <w:t xml:space="preserve">Graneheim, U. H., Lindgren, B.-M., &amp; Lundman, B. (2017). Methodological challenges in qualitative content analysis: A discussion paper. </w:t>
      </w:r>
      <w:r w:rsidRPr="00E61911">
        <w:rPr>
          <w:rFonts w:cstheme="minorHAnsi"/>
          <w:i/>
          <w:iCs/>
        </w:rPr>
        <w:t>Nurse Education Today</w:t>
      </w:r>
      <w:r w:rsidRPr="00E61911">
        <w:rPr>
          <w:rFonts w:cstheme="minorHAnsi"/>
        </w:rPr>
        <w:t xml:space="preserve">, </w:t>
      </w:r>
      <w:r w:rsidRPr="00E61911">
        <w:rPr>
          <w:rFonts w:cstheme="minorHAnsi"/>
          <w:i/>
          <w:iCs/>
        </w:rPr>
        <w:t>56</w:t>
      </w:r>
      <w:r w:rsidRPr="00E61911">
        <w:rPr>
          <w:rFonts w:cstheme="minorHAnsi"/>
        </w:rPr>
        <w:t>, 29–34.</w:t>
      </w:r>
    </w:p>
    <w:p w14:paraId="0E84A520" w14:textId="77777777" w:rsidR="00F8760E" w:rsidRPr="00E61911" w:rsidRDefault="00F8760E" w:rsidP="00E61911">
      <w:pPr>
        <w:pStyle w:val="Bibliography"/>
        <w:jc w:val="left"/>
        <w:rPr>
          <w:rFonts w:cstheme="minorHAnsi"/>
        </w:rPr>
      </w:pPr>
      <w:r w:rsidRPr="00E61911">
        <w:rPr>
          <w:rFonts w:cstheme="minorHAnsi"/>
        </w:rPr>
        <w:t xml:space="preserve">Joint Council on Closing the Gap. (2021a). </w:t>
      </w:r>
      <w:r w:rsidRPr="00E61911">
        <w:rPr>
          <w:rFonts w:cstheme="minorHAnsi"/>
          <w:i/>
          <w:iCs/>
        </w:rPr>
        <w:t>Sector Strengthening Plan: Health, Under Priority Reform Two of the National Agreement of Closing the Gap.</w:t>
      </w:r>
      <w:r w:rsidRPr="00E61911">
        <w:rPr>
          <w:rFonts w:cstheme="minorHAnsi"/>
        </w:rPr>
        <w:t xml:space="preserve"> [Final draft]. Commonwealth of Australia. https://www.closingthegap.gov.au/sites/default/files/2021-12/sector-strengthening-plan-health_2.pdf</w:t>
      </w:r>
    </w:p>
    <w:p w14:paraId="11BF708E" w14:textId="77777777" w:rsidR="00F8760E" w:rsidRPr="00E61911" w:rsidRDefault="00F8760E" w:rsidP="00E61911">
      <w:pPr>
        <w:pStyle w:val="Bibliography"/>
        <w:jc w:val="left"/>
        <w:rPr>
          <w:rFonts w:cstheme="minorHAnsi"/>
        </w:rPr>
      </w:pPr>
      <w:r w:rsidRPr="00E61911">
        <w:rPr>
          <w:rFonts w:cstheme="minorHAnsi"/>
        </w:rPr>
        <w:t xml:space="preserve">Joint Council on Closing the Gap. (2021b). </w:t>
      </w:r>
      <w:r w:rsidRPr="00E61911">
        <w:rPr>
          <w:rFonts w:cstheme="minorHAnsi"/>
          <w:i/>
          <w:iCs/>
        </w:rPr>
        <w:t>Sector Strengthening Plan: Health, Under Priority Reform Two of the National Agreement of Closing the Gap.</w:t>
      </w:r>
      <w:r w:rsidRPr="00E61911">
        <w:rPr>
          <w:rFonts w:cstheme="minorHAnsi"/>
        </w:rPr>
        <w:t xml:space="preserve"> [Final draft]. https://www.closingthegap.gov.au/sites/default/files/2021-12/sector-strengthening-plan-health_1.pdf</w:t>
      </w:r>
    </w:p>
    <w:p w14:paraId="784DA657" w14:textId="77777777" w:rsidR="00F8760E" w:rsidRPr="00E61911" w:rsidRDefault="00F8760E" w:rsidP="00E61911">
      <w:pPr>
        <w:pStyle w:val="Bibliography"/>
        <w:jc w:val="left"/>
        <w:rPr>
          <w:rFonts w:cstheme="minorHAnsi"/>
        </w:rPr>
      </w:pPr>
      <w:r w:rsidRPr="00E61911">
        <w:rPr>
          <w:rFonts w:cstheme="minorHAnsi"/>
        </w:rPr>
        <w:t xml:space="preserve">Kwaymullina, A., &amp; Kwaymullina, B. (2010). Learning to read the signs: Law in an Indigenous reality. </w:t>
      </w:r>
      <w:r w:rsidRPr="00E61911">
        <w:rPr>
          <w:rFonts w:cstheme="minorHAnsi"/>
          <w:i/>
          <w:iCs/>
        </w:rPr>
        <w:t>Journal of Australian Studies</w:t>
      </w:r>
      <w:r w:rsidRPr="00E61911">
        <w:rPr>
          <w:rFonts w:cstheme="minorHAnsi"/>
        </w:rPr>
        <w:t xml:space="preserve">, </w:t>
      </w:r>
      <w:r w:rsidRPr="00E61911">
        <w:rPr>
          <w:rFonts w:cstheme="minorHAnsi"/>
          <w:i/>
          <w:iCs/>
        </w:rPr>
        <w:t>34</w:t>
      </w:r>
      <w:r w:rsidRPr="00E61911">
        <w:rPr>
          <w:rFonts w:cstheme="minorHAnsi"/>
        </w:rPr>
        <w:t>(2), 195–208. https://doi.org/10.1080/14443051003721189</w:t>
      </w:r>
    </w:p>
    <w:p w14:paraId="55F33EA2" w14:textId="77777777" w:rsidR="00F8760E" w:rsidRPr="00E61911" w:rsidRDefault="00F8760E" w:rsidP="00E61911">
      <w:pPr>
        <w:pStyle w:val="Bibliography"/>
        <w:jc w:val="left"/>
        <w:rPr>
          <w:rFonts w:cstheme="minorHAnsi"/>
        </w:rPr>
      </w:pPr>
      <w:r w:rsidRPr="00E61911">
        <w:rPr>
          <w:rFonts w:cstheme="minorHAnsi"/>
        </w:rPr>
        <w:t xml:space="preserve">Langham, E., Potts, B., Doran, C., &amp; Hansen, S. L. (2021). </w:t>
      </w:r>
      <w:r w:rsidRPr="00E61911">
        <w:rPr>
          <w:rFonts w:cstheme="minorHAnsi"/>
          <w:i/>
          <w:iCs/>
        </w:rPr>
        <w:t>IAHP Yarnes Cycle 1 Interim Evaluation Report Companion document 3 – Technical Report.</w:t>
      </w:r>
      <w:r w:rsidRPr="00E61911">
        <w:rPr>
          <w:rFonts w:cstheme="minorHAnsi"/>
        </w:rPr>
        <w:t xml:space="preserve"> Allen and Clarke Consulting, Central Queensland University and Monaghan Dreaming.</w:t>
      </w:r>
    </w:p>
    <w:p w14:paraId="6FB69D66" w14:textId="77777777" w:rsidR="00F8760E" w:rsidRPr="00E61911" w:rsidRDefault="00F8760E" w:rsidP="00E61911">
      <w:pPr>
        <w:pStyle w:val="Bibliography"/>
        <w:jc w:val="left"/>
        <w:rPr>
          <w:rFonts w:cstheme="minorHAnsi"/>
        </w:rPr>
      </w:pPr>
      <w:r w:rsidRPr="00E61911">
        <w:rPr>
          <w:rFonts w:cstheme="minorHAnsi"/>
        </w:rPr>
        <w:t xml:space="preserve">Matheson, A., Walton, M., Gray, R., Lindberg, K., Shanthakumar, M., Fyfe, C., Wehipeihana, N., &amp; Borman, B. (2018). Evaluating a community-based public health intervention using a complex systems approach. </w:t>
      </w:r>
      <w:r w:rsidRPr="00E61911">
        <w:rPr>
          <w:rFonts w:cstheme="minorHAnsi"/>
          <w:i/>
          <w:iCs/>
        </w:rPr>
        <w:t>Journal of Public Health (Oxford, England)</w:t>
      </w:r>
      <w:r w:rsidRPr="00E61911">
        <w:rPr>
          <w:rFonts w:cstheme="minorHAnsi"/>
        </w:rPr>
        <w:t xml:space="preserve">, </w:t>
      </w:r>
      <w:r w:rsidRPr="00E61911">
        <w:rPr>
          <w:rFonts w:cstheme="minorHAnsi"/>
          <w:i/>
          <w:iCs/>
        </w:rPr>
        <w:t>40</w:t>
      </w:r>
      <w:r w:rsidRPr="00E61911">
        <w:rPr>
          <w:rFonts w:cstheme="minorHAnsi"/>
        </w:rPr>
        <w:t>(3), 606–613. https://doi.org/10.1093/pubmed/fdx117</w:t>
      </w:r>
    </w:p>
    <w:p w14:paraId="4BC13602" w14:textId="77777777" w:rsidR="00F8760E" w:rsidRPr="00E61911" w:rsidRDefault="00F8760E" w:rsidP="00E61911">
      <w:pPr>
        <w:pStyle w:val="Bibliography"/>
        <w:jc w:val="left"/>
        <w:rPr>
          <w:rFonts w:cstheme="minorHAnsi"/>
        </w:rPr>
      </w:pPr>
      <w:r w:rsidRPr="00E61911">
        <w:rPr>
          <w:rFonts w:cstheme="minorHAnsi"/>
        </w:rPr>
        <w:t xml:space="preserve">Mayne, J. (2008). Contribution analysis: An approach to exploring cause and effect. </w:t>
      </w:r>
      <w:r w:rsidRPr="00E61911">
        <w:rPr>
          <w:rFonts w:cstheme="minorHAnsi"/>
          <w:i/>
          <w:iCs/>
        </w:rPr>
        <w:t>Institutional Learning and Change (ILAC) Initiative, ILAC Briefs</w:t>
      </w:r>
      <w:r w:rsidRPr="00E61911">
        <w:rPr>
          <w:rFonts w:cstheme="minorHAnsi"/>
        </w:rPr>
        <w:t xml:space="preserve">, </w:t>
      </w:r>
      <w:r w:rsidRPr="00E61911">
        <w:rPr>
          <w:rFonts w:cstheme="minorHAnsi"/>
          <w:i/>
          <w:iCs/>
        </w:rPr>
        <w:t>16</w:t>
      </w:r>
      <w:r w:rsidRPr="00E61911">
        <w:rPr>
          <w:rFonts w:cstheme="minorHAnsi"/>
        </w:rPr>
        <w:t>.</w:t>
      </w:r>
    </w:p>
    <w:p w14:paraId="4E41D08E" w14:textId="77777777" w:rsidR="00F8760E" w:rsidRPr="00E61911" w:rsidRDefault="00F8760E" w:rsidP="00E61911">
      <w:pPr>
        <w:pStyle w:val="Bibliography"/>
        <w:jc w:val="left"/>
        <w:rPr>
          <w:rFonts w:cstheme="minorHAnsi"/>
        </w:rPr>
      </w:pPr>
      <w:r w:rsidRPr="00E61911">
        <w:rPr>
          <w:rFonts w:cstheme="minorHAnsi"/>
        </w:rPr>
        <w:t xml:space="preserve">Moreton-Robinson, A. (2017). Relationality: A key presupposition of an Indigenous social research paradigm. In J. M. O’Brien &amp; C. Andersen (Eds.), </w:t>
      </w:r>
      <w:r w:rsidRPr="00E61911">
        <w:rPr>
          <w:rFonts w:cstheme="minorHAnsi"/>
          <w:i/>
          <w:iCs/>
        </w:rPr>
        <w:t>Sources and methods in Indigenous studies (Routledge Guides to Using Historical Sources)</w:t>
      </w:r>
      <w:r w:rsidRPr="00E61911">
        <w:rPr>
          <w:rFonts w:cstheme="minorHAnsi"/>
        </w:rPr>
        <w:t xml:space="preserve"> (pp. 69–77). Routledge. https://eprints.qut.edu.au/93245/</w:t>
      </w:r>
    </w:p>
    <w:p w14:paraId="4DEAABA8" w14:textId="77777777" w:rsidR="00F8760E" w:rsidRPr="00E61911" w:rsidRDefault="00F8760E" w:rsidP="00E61911">
      <w:pPr>
        <w:pStyle w:val="Bibliography"/>
        <w:jc w:val="left"/>
        <w:rPr>
          <w:rFonts w:cstheme="minorHAnsi"/>
        </w:rPr>
      </w:pPr>
      <w:r w:rsidRPr="00E61911">
        <w:rPr>
          <w:rFonts w:cstheme="minorHAnsi"/>
        </w:rPr>
        <w:t xml:space="preserve">National Aboriginal Community Controlled Health Organisation. (n.d.-a). </w:t>
      </w:r>
      <w:r w:rsidRPr="00E61911">
        <w:rPr>
          <w:rFonts w:cstheme="minorHAnsi"/>
          <w:i/>
          <w:iCs/>
        </w:rPr>
        <w:t>Aboriginal Community Controlled Health Organisations (ACCHOs)</w:t>
      </w:r>
      <w:r w:rsidRPr="00E61911">
        <w:rPr>
          <w:rFonts w:cstheme="minorHAnsi"/>
        </w:rPr>
        <w:t xml:space="preserve"> [Website text]. Naccho.Org.Au. Retrieved 5 October 2021, from https://www.naccho.org.au/acchos</w:t>
      </w:r>
    </w:p>
    <w:p w14:paraId="3EC81E3A" w14:textId="77777777" w:rsidR="00F8760E" w:rsidRPr="00E61911" w:rsidRDefault="00F8760E" w:rsidP="00E61911">
      <w:pPr>
        <w:pStyle w:val="Bibliography"/>
        <w:jc w:val="left"/>
        <w:rPr>
          <w:rFonts w:cstheme="minorHAnsi"/>
        </w:rPr>
      </w:pPr>
      <w:r w:rsidRPr="00E61911">
        <w:rPr>
          <w:rFonts w:cstheme="minorHAnsi"/>
        </w:rPr>
        <w:t xml:space="preserve">National Aboriginal Community Controlled Health Organisation. (n.d.-b). </w:t>
      </w:r>
      <w:r w:rsidRPr="00E61911">
        <w:rPr>
          <w:rFonts w:cstheme="minorHAnsi"/>
          <w:i/>
          <w:iCs/>
        </w:rPr>
        <w:t>Our Story</w:t>
      </w:r>
      <w:r w:rsidRPr="00E61911">
        <w:rPr>
          <w:rFonts w:cstheme="minorHAnsi"/>
        </w:rPr>
        <w:t xml:space="preserve"> [Website text]. Naccho.Org.Au. Retrieved 5 October 2021, from https://www.naccho.org.au/our-story</w:t>
      </w:r>
    </w:p>
    <w:p w14:paraId="1E3C7AE1" w14:textId="77777777" w:rsidR="00F8760E" w:rsidRPr="00E61911" w:rsidRDefault="00F8760E" w:rsidP="00E61911">
      <w:pPr>
        <w:pStyle w:val="Bibliography"/>
        <w:jc w:val="left"/>
        <w:rPr>
          <w:rFonts w:cstheme="minorHAnsi"/>
        </w:rPr>
      </w:pPr>
      <w:r w:rsidRPr="00E61911">
        <w:rPr>
          <w:rFonts w:cstheme="minorHAnsi"/>
        </w:rPr>
        <w:t xml:space="preserve">National Aboriginal Community Controlled Health Organisation. (2021a). </w:t>
      </w:r>
      <w:r w:rsidRPr="00E61911">
        <w:rPr>
          <w:rFonts w:cstheme="minorHAnsi"/>
          <w:i/>
          <w:iCs/>
        </w:rPr>
        <w:t>Core Services and Outcomes Framework: The Model of Aboriginal and Torres Strait Islander Community-Controlled Comprehensive Primary Health Care</w:t>
      </w:r>
      <w:r w:rsidRPr="00E61911">
        <w:rPr>
          <w:rFonts w:cstheme="minorHAnsi"/>
        </w:rPr>
        <w:t>. https://csof.naccho.org.au/wp-content/uploads/2022/10/Core-Services-Outcomes-Framework-brief-overview.pdf</w:t>
      </w:r>
    </w:p>
    <w:p w14:paraId="1142BB1F" w14:textId="77777777" w:rsidR="00F8760E" w:rsidRPr="00E61911" w:rsidRDefault="00F8760E" w:rsidP="00E61911">
      <w:pPr>
        <w:pStyle w:val="Bibliography"/>
        <w:jc w:val="left"/>
        <w:rPr>
          <w:rFonts w:cstheme="minorHAnsi"/>
        </w:rPr>
      </w:pPr>
      <w:r w:rsidRPr="00E61911">
        <w:rPr>
          <w:rFonts w:cstheme="minorHAnsi"/>
        </w:rPr>
        <w:t xml:space="preserve">National Aboriginal Community Controlled Health Organisation. (2021b). </w:t>
      </w:r>
      <w:r w:rsidRPr="00E61911">
        <w:rPr>
          <w:rFonts w:cstheme="minorHAnsi"/>
          <w:i/>
          <w:iCs/>
        </w:rPr>
        <w:t>Core Services and Outcomes Framework: The Model of Aboriginal and Torres Strait Islander Community-Controlled Comprehensive Primary Health Care</w:t>
      </w:r>
      <w:r w:rsidRPr="00E61911">
        <w:rPr>
          <w:rFonts w:cstheme="minorHAnsi"/>
        </w:rPr>
        <w:t>. https://csof.naccho.org.au/wp-content/uploads/2022/10/Core-Services-Outcomes-Framework-brief-overview.pdf</w:t>
      </w:r>
    </w:p>
    <w:p w14:paraId="48113C46" w14:textId="77777777" w:rsidR="00F8760E" w:rsidRPr="00E61911" w:rsidRDefault="00F8760E" w:rsidP="00E61911">
      <w:pPr>
        <w:pStyle w:val="Bibliography"/>
        <w:jc w:val="left"/>
        <w:rPr>
          <w:rFonts w:cstheme="minorHAnsi"/>
        </w:rPr>
      </w:pPr>
      <w:r w:rsidRPr="00E61911">
        <w:rPr>
          <w:rFonts w:cstheme="minorHAnsi"/>
        </w:rPr>
        <w:lastRenderedPageBreak/>
        <w:t xml:space="preserve">National Aboriginal Community Controlled Health Organisation &amp; Equity Economics. (2022). </w:t>
      </w:r>
      <w:r w:rsidRPr="00E61911">
        <w:rPr>
          <w:rFonts w:cstheme="minorHAnsi"/>
          <w:i/>
          <w:iCs/>
        </w:rPr>
        <w:t>NACCHO and Equity Economics Report Measuring the Gap in Health Expenditure</w:t>
      </w:r>
      <w:r w:rsidRPr="00E61911">
        <w:rPr>
          <w:rFonts w:cstheme="minorHAnsi"/>
        </w:rPr>
        <w:t xml:space="preserve"> [Final report]. https://static1.squarespace.com/static/61b14c4abbc81a1543f55180/t/62789d5f490b3b08b26635d0/1652071796196/NACCHO-and-Equity-Economics-Report-Measuring-the-Gap-in-Health-Expenditure_FINAL.pdf</w:t>
      </w:r>
    </w:p>
    <w:p w14:paraId="5842231E" w14:textId="77777777" w:rsidR="00F8760E" w:rsidRPr="00E61911" w:rsidRDefault="00F8760E" w:rsidP="00E61911">
      <w:pPr>
        <w:pStyle w:val="Bibliography"/>
        <w:jc w:val="left"/>
        <w:rPr>
          <w:rFonts w:cstheme="minorHAnsi"/>
        </w:rPr>
      </w:pPr>
      <w:r w:rsidRPr="00E61911">
        <w:rPr>
          <w:rFonts w:cstheme="minorHAnsi"/>
        </w:rPr>
        <w:t xml:space="preserve">Pourbohloul, B., &amp; Kieny, M.-P. (2011). Complex systems analysis: Towards holistic approaches to health systems planning and policy. </w:t>
      </w:r>
      <w:r w:rsidRPr="00E61911">
        <w:rPr>
          <w:rFonts w:cstheme="minorHAnsi"/>
          <w:i/>
          <w:iCs/>
        </w:rPr>
        <w:t>Bulletin of the World Health Organization</w:t>
      </w:r>
      <w:r w:rsidRPr="00E61911">
        <w:rPr>
          <w:rFonts w:cstheme="minorHAnsi"/>
        </w:rPr>
        <w:t xml:space="preserve">, </w:t>
      </w:r>
      <w:r w:rsidRPr="00E61911">
        <w:rPr>
          <w:rFonts w:cstheme="minorHAnsi"/>
          <w:i/>
          <w:iCs/>
        </w:rPr>
        <w:t>89</w:t>
      </w:r>
      <w:r w:rsidRPr="00E61911">
        <w:rPr>
          <w:rFonts w:cstheme="minorHAnsi"/>
        </w:rPr>
        <w:t>(4), 242. https://doi.org/10.2471/BLT.11.087544</w:t>
      </w:r>
    </w:p>
    <w:p w14:paraId="7C4A1FFE" w14:textId="77777777" w:rsidR="00F8760E" w:rsidRPr="00E61911" w:rsidRDefault="00F8760E" w:rsidP="00E61911">
      <w:pPr>
        <w:pStyle w:val="Bibliography"/>
        <w:jc w:val="left"/>
        <w:rPr>
          <w:rFonts w:cstheme="minorHAnsi"/>
        </w:rPr>
      </w:pPr>
      <w:r w:rsidRPr="00E61911">
        <w:rPr>
          <w:rFonts w:cstheme="minorHAnsi"/>
        </w:rPr>
        <w:t xml:space="preserve">Public Health Association Australia. (2014). </w:t>
      </w:r>
      <w:r w:rsidRPr="00E61911">
        <w:rPr>
          <w:rFonts w:cstheme="minorHAnsi"/>
          <w:i/>
          <w:iCs/>
        </w:rPr>
        <w:t>Public Health Association of Australia: Policy-at-a-glance – Primary Health Care Policy</w:t>
      </w:r>
      <w:r w:rsidRPr="00E61911">
        <w:rPr>
          <w:rFonts w:cstheme="minorHAnsi"/>
        </w:rPr>
        <w:t>. PHAA’s Primary Health Care Special Interest Group (SIG). https://www.phaa.net.au/documents/item/266</w:t>
      </w:r>
    </w:p>
    <w:p w14:paraId="42BA5B45" w14:textId="77777777" w:rsidR="00F8760E" w:rsidRPr="00E61911" w:rsidRDefault="00F8760E" w:rsidP="00E61911">
      <w:pPr>
        <w:pStyle w:val="Bibliography"/>
        <w:jc w:val="left"/>
        <w:rPr>
          <w:rFonts w:cstheme="minorHAnsi"/>
        </w:rPr>
      </w:pPr>
      <w:r w:rsidRPr="00E61911">
        <w:rPr>
          <w:rFonts w:cstheme="minorHAnsi"/>
          <w:lang w:val="da-DK"/>
        </w:rPr>
        <w:t xml:space="preserve">Rapport, F., Shih, P., Bierbaum, M., &amp; Hogden, A. (2019). </w:t>
      </w:r>
      <w:r w:rsidRPr="00E61911">
        <w:rPr>
          <w:rFonts w:cstheme="minorHAnsi"/>
        </w:rPr>
        <w:t xml:space="preserve">Schema Analysis of Qualitative Data: A Team-Based Approach. In </w:t>
      </w:r>
      <w:r w:rsidRPr="00E61911">
        <w:rPr>
          <w:rFonts w:cstheme="minorHAnsi"/>
          <w:i/>
          <w:iCs/>
        </w:rPr>
        <w:t>Handbook of Research Methods in Health Social Sciences</w:t>
      </w:r>
      <w:r w:rsidRPr="00E61911">
        <w:rPr>
          <w:rFonts w:cstheme="minorHAnsi"/>
        </w:rPr>
        <w:t xml:space="preserve"> (Pranee Liamputtong, pp. 897–915). Springer.</w:t>
      </w:r>
    </w:p>
    <w:p w14:paraId="024C339F" w14:textId="77777777" w:rsidR="00F8760E" w:rsidRPr="00E61911" w:rsidRDefault="00F8760E" w:rsidP="00E61911">
      <w:pPr>
        <w:pStyle w:val="Bibliography"/>
        <w:jc w:val="left"/>
        <w:rPr>
          <w:rFonts w:cstheme="minorHAnsi"/>
        </w:rPr>
      </w:pPr>
      <w:r w:rsidRPr="00E61911">
        <w:rPr>
          <w:rFonts w:cstheme="minorHAnsi"/>
        </w:rPr>
        <w:t xml:space="preserve">Reynolds, V. A., Anderegg, L. D., Loy, X., HilleRisLamders, J., &amp; Mayfield, M. M. (2018). Unexpected drought resistance strategies in seedlings of four Brachychiton species. </w:t>
      </w:r>
      <w:r w:rsidRPr="00E61911">
        <w:rPr>
          <w:rFonts w:cstheme="minorHAnsi"/>
          <w:i/>
          <w:iCs/>
        </w:rPr>
        <w:t>Tree Physiology</w:t>
      </w:r>
      <w:r w:rsidRPr="00E61911">
        <w:rPr>
          <w:rFonts w:cstheme="minorHAnsi"/>
        </w:rPr>
        <w:t xml:space="preserve">, </w:t>
      </w:r>
      <w:r w:rsidRPr="00E61911">
        <w:rPr>
          <w:rFonts w:cstheme="minorHAnsi"/>
          <w:i/>
          <w:iCs/>
        </w:rPr>
        <w:t>38</w:t>
      </w:r>
      <w:r w:rsidRPr="00E61911">
        <w:rPr>
          <w:rFonts w:cstheme="minorHAnsi"/>
        </w:rPr>
        <w:t>(5), 664–677.</w:t>
      </w:r>
    </w:p>
    <w:p w14:paraId="40650E2A" w14:textId="77777777" w:rsidR="00F8760E" w:rsidRPr="00E61911" w:rsidRDefault="00F8760E" w:rsidP="00E61911">
      <w:pPr>
        <w:pStyle w:val="Bibliography"/>
        <w:jc w:val="left"/>
        <w:rPr>
          <w:rFonts w:cstheme="minorHAnsi"/>
        </w:rPr>
      </w:pPr>
      <w:r w:rsidRPr="00E61911">
        <w:rPr>
          <w:rFonts w:cstheme="minorHAnsi"/>
        </w:rPr>
        <w:t xml:space="preserve">Royal Australian College of General Practitioners. (2018). </w:t>
      </w:r>
      <w:r w:rsidRPr="00E61911">
        <w:rPr>
          <w:rFonts w:cstheme="minorHAnsi"/>
          <w:i/>
          <w:iCs/>
        </w:rPr>
        <w:t>National guide to a preventive health assessment for Aboriginal and Torres Strait Islander people.</w:t>
      </w:r>
      <w:r w:rsidRPr="00E61911">
        <w:rPr>
          <w:rFonts w:cstheme="minorHAnsi"/>
        </w:rPr>
        <w:t xml:space="preserve"> [Third edition]. https://www.racgp.org.au/FSDEDEV/media/documents/Clinical%20Resources/Resources/National-guide-3rd-ed-Sept-2018-web.pdf</w:t>
      </w:r>
    </w:p>
    <w:p w14:paraId="7FDD2BF6" w14:textId="77777777" w:rsidR="00F8760E" w:rsidRPr="00E61911" w:rsidRDefault="00F8760E" w:rsidP="00E61911">
      <w:pPr>
        <w:pStyle w:val="Bibliography"/>
        <w:jc w:val="left"/>
        <w:rPr>
          <w:rFonts w:cstheme="minorHAnsi"/>
        </w:rPr>
      </w:pPr>
      <w:r w:rsidRPr="00E61911">
        <w:rPr>
          <w:rFonts w:cstheme="minorHAnsi"/>
        </w:rPr>
        <w:t xml:space="preserve">Smith, L. T. (2021). </w:t>
      </w:r>
      <w:r w:rsidRPr="00E61911">
        <w:rPr>
          <w:rFonts w:cstheme="minorHAnsi"/>
          <w:i/>
          <w:iCs/>
        </w:rPr>
        <w:t>Decolonizing methodologies: Research and indigenous peoples</w:t>
      </w:r>
      <w:r w:rsidRPr="00E61911">
        <w:rPr>
          <w:rFonts w:cstheme="minorHAnsi"/>
        </w:rPr>
        <w:t>. Bloomsbury Publishing.</w:t>
      </w:r>
    </w:p>
    <w:p w14:paraId="62EC70E1" w14:textId="77777777" w:rsidR="00F8760E" w:rsidRPr="00E61911" w:rsidRDefault="00F8760E" w:rsidP="00E61911">
      <w:pPr>
        <w:pStyle w:val="Bibliography"/>
        <w:jc w:val="left"/>
        <w:rPr>
          <w:rFonts w:cstheme="minorHAnsi"/>
        </w:rPr>
      </w:pPr>
      <w:r w:rsidRPr="00E61911">
        <w:rPr>
          <w:rFonts w:cstheme="minorHAnsi"/>
        </w:rPr>
        <w:t xml:space="preserve">St. Clair, R. (2000). Visual Metaphor, Cultural Knowledge, and the New Rhetoric. In J. Reyhmer, J. Martin, L. Lockard, &amp; W. S. Gilbert (Eds.), </w:t>
      </w:r>
      <w:r w:rsidRPr="00E61911">
        <w:rPr>
          <w:rFonts w:cstheme="minorHAnsi"/>
          <w:i/>
          <w:iCs/>
        </w:rPr>
        <w:t>Learn in Beauty: Indigenous Education for a New Century</w:t>
      </w:r>
      <w:r w:rsidRPr="00E61911">
        <w:rPr>
          <w:rFonts w:cstheme="minorHAnsi"/>
        </w:rPr>
        <w:t xml:space="preserve"> (pp. 85–101). Northern Arizona University. https://jan.ucc.nau.edu/~jar/LIB/LIB8.html</w:t>
      </w:r>
    </w:p>
    <w:p w14:paraId="23B352F6" w14:textId="77777777" w:rsidR="00F8760E" w:rsidRPr="00E61911" w:rsidRDefault="00F8760E" w:rsidP="00E61911">
      <w:pPr>
        <w:pStyle w:val="Bibliography"/>
        <w:jc w:val="left"/>
        <w:rPr>
          <w:rFonts w:cstheme="minorHAnsi"/>
        </w:rPr>
      </w:pPr>
      <w:r w:rsidRPr="00E61911">
        <w:rPr>
          <w:rFonts w:cstheme="minorHAnsi"/>
        </w:rPr>
        <w:t xml:space="preserve">Starfield, B. (1991). Primary care and health. A cross-national comparison. </w:t>
      </w:r>
      <w:r w:rsidRPr="00E61911">
        <w:rPr>
          <w:rFonts w:cstheme="minorHAnsi"/>
          <w:i/>
          <w:iCs/>
        </w:rPr>
        <w:t>JAMA</w:t>
      </w:r>
      <w:r w:rsidRPr="00E61911">
        <w:rPr>
          <w:rFonts w:cstheme="minorHAnsi"/>
        </w:rPr>
        <w:t xml:space="preserve">, </w:t>
      </w:r>
      <w:r w:rsidRPr="00E61911">
        <w:rPr>
          <w:rFonts w:cstheme="minorHAnsi"/>
          <w:i/>
          <w:iCs/>
        </w:rPr>
        <w:t>266</w:t>
      </w:r>
      <w:r w:rsidRPr="00E61911">
        <w:rPr>
          <w:rFonts w:cstheme="minorHAnsi"/>
        </w:rPr>
        <w:t>(16), 2268–2271.</w:t>
      </w:r>
    </w:p>
    <w:p w14:paraId="31827E6F" w14:textId="77777777" w:rsidR="00F8760E" w:rsidRPr="00E61911" w:rsidRDefault="00F8760E" w:rsidP="00E61911">
      <w:pPr>
        <w:pStyle w:val="Bibliography"/>
        <w:jc w:val="left"/>
        <w:rPr>
          <w:rFonts w:cstheme="minorHAnsi"/>
        </w:rPr>
      </w:pPr>
      <w:r w:rsidRPr="00E61911">
        <w:rPr>
          <w:rFonts w:cstheme="minorHAnsi"/>
        </w:rPr>
        <w:t xml:space="preserve">Starfield, B., &amp; Shi, L. (2002). Policy relevant determinants of health: An international perspective. </w:t>
      </w:r>
      <w:r w:rsidRPr="00E61911">
        <w:rPr>
          <w:rFonts w:cstheme="minorHAnsi"/>
          <w:i/>
          <w:iCs/>
        </w:rPr>
        <w:t>Health Policy (Amsterdam, Netherlands)</w:t>
      </w:r>
      <w:r w:rsidRPr="00E61911">
        <w:rPr>
          <w:rFonts w:cstheme="minorHAnsi"/>
        </w:rPr>
        <w:t xml:space="preserve">, </w:t>
      </w:r>
      <w:r w:rsidRPr="00E61911">
        <w:rPr>
          <w:rFonts w:cstheme="minorHAnsi"/>
          <w:i/>
          <w:iCs/>
        </w:rPr>
        <w:t>60</w:t>
      </w:r>
      <w:r w:rsidRPr="00E61911">
        <w:rPr>
          <w:rFonts w:cstheme="minorHAnsi"/>
        </w:rPr>
        <w:t>(3), 201–218. https://doi.org/10.1016/s0168-8510(01)00208-1</w:t>
      </w:r>
    </w:p>
    <w:p w14:paraId="763944B5" w14:textId="77777777" w:rsidR="00F8760E" w:rsidRPr="00E61911" w:rsidRDefault="00F8760E" w:rsidP="00E61911">
      <w:pPr>
        <w:pStyle w:val="Bibliography"/>
        <w:jc w:val="left"/>
        <w:rPr>
          <w:rFonts w:cstheme="minorHAnsi"/>
        </w:rPr>
      </w:pPr>
      <w:r w:rsidRPr="00E61911">
        <w:rPr>
          <w:rFonts w:cstheme="minorHAnsi"/>
        </w:rPr>
        <w:t xml:space="preserve">Strübing, J. (2007). Research as Pragmatic Problem solving: The Pragmatist Roots of Empirically-grounded Theorizing. In A. Bryant &amp; K. Charmaz (Eds.), </w:t>
      </w:r>
      <w:r w:rsidRPr="00E61911">
        <w:rPr>
          <w:rFonts w:cstheme="minorHAnsi"/>
          <w:i/>
          <w:iCs/>
        </w:rPr>
        <w:t>The SAGE Handbook of Grounded Theory</w:t>
      </w:r>
      <w:r w:rsidRPr="00E61911">
        <w:rPr>
          <w:rFonts w:cstheme="minorHAnsi"/>
        </w:rPr>
        <w:t xml:space="preserve"> (p. 580). SAGE Publications, Limited.</w:t>
      </w:r>
    </w:p>
    <w:p w14:paraId="0E0DD289" w14:textId="77777777" w:rsidR="00F8760E" w:rsidRPr="00E61911" w:rsidRDefault="00F8760E" w:rsidP="00E61911">
      <w:pPr>
        <w:pStyle w:val="Bibliography"/>
        <w:jc w:val="left"/>
        <w:rPr>
          <w:rFonts w:cstheme="minorHAnsi"/>
        </w:rPr>
      </w:pPr>
      <w:r w:rsidRPr="00E61911">
        <w:rPr>
          <w:rFonts w:cstheme="minorHAnsi"/>
        </w:rPr>
        <w:t xml:space="preserve">Thabet, A. A., Youssef, F. S., Korinek, M., Chang, F.-R., Wu, Y.-C., Chen, B.-H., El-Shazly, M., Singab, A. N. B., &amp; Hwang, T.-L. (2018). Study of the anti-allergic and anti-inflammatory activity of Brachychiton rupestris and Brachychiton discolor leaves (Malvaceae) using in vitro </w:t>
      </w:r>
      <w:r w:rsidRPr="00E61911">
        <w:rPr>
          <w:rFonts w:cstheme="minorHAnsi"/>
        </w:rPr>
        <w:lastRenderedPageBreak/>
        <w:t xml:space="preserve">models. </w:t>
      </w:r>
      <w:r w:rsidRPr="00E61911">
        <w:rPr>
          <w:rFonts w:cstheme="minorHAnsi"/>
          <w:i/>
          <w:iCs/>
        </w:rPr>
        <w:t>BMC Complementary and Alternative Medicine</w:t>
      </w:r>
      <w:r w:rsidRPr="00E61911">
        <w:rPr>
          <w:rFonts w:cstheme="minorHAnsi"/>
        </w:rPr>
        <w:t xml:space="preserve">, </w:t>
      </w:r>
      <w:r w:rsidRPr="00E61911">
        <w:rPr>
          <w:rFonts w:cstheme="minorHAnsi"/>
          <w:i/>
          <w:iCs/>
        </w:rPr>
        <w:t>18</w:t>
      </w:r>
      <w:r w:rsidRPr="00E61911">
        <w:rPr>
          <w:rFonts w:cstheme="minorHAnsi"/>
        </w:rPr>
        <w:t>(1), 299. https://doi.org/10.1186/s12906-018-2359-6</w:t>
      </w:r>
    </w:p>
    <w:p w14:paraId="43529222" w14:textId="77777777" w:rsidR="00F8760E" w:rsidRPr="00E61911" w:rsidRDefault="00F8760E" w:rsidP="00E61911">
      <w:pPr>
        <w:pStyle w:val="Bibliography"/>
        <w:jc w:val="left"/>
        <w:rPr>
          <w:rFonts w:cstheme="minorHAnsi"/>
        </w:rPr>
      </w:pPr>
      <w:r w:rsidRPr="00E61911">
        <w:rPr>
          <w:rFonts w:cstheme="minorHAnsi"/>
        </w:rPr>
        <w:t xml:space="preserve">van Olmen, J., Criel, B., Van Damme, W., Marchal, B., Van Belle, S., Van Dormael, M., Hoerée, T., Pirard, M., &amp; Kegels, G. (2012). </w:t>
      </w:r>
      <w:r w:rsidRPr="00E61911">
        <w:rPr>
          <w:rFonts w:cstheme="minorHAnsi"/>
          <w:i/>
          <w:iCs/>
        </w:rPr>
        <w:t>Analysing health system dynamics; a framework</w:t>
      </w:r>
      <w:r w:rsidRPr="00E61911">
        <w:rPr>
          <w:rFonts w:cstheme="minorHAnsi"/>
        </w:rPr>
        <w:t>. ITGPress.</w:t>
      </w:r>
    </w:p>
    <w:p w14:paraId="51BCFD50" w14:textId="77777777" w:rsidR="00F8760E" w:rsidRPr="00E61911" w:rsidRDefault="00F8760E" w:rsidP="00E61911">
      <w:pPr>
        <w:pStyle w:val="Bibliography"/>
        <w:jc w:val="left"/>
        <w:rPr>
          <w:rFonts w:cstheme="minorHAnsi"/>
        </w:rPr>
      </w:pPr>
      <w:r w:rsidRPr="00E61911">
        <w:rPr>
          <w:rFonts w:cstheme="minorHAnsi"/>
        </w:rPr>
        <w:t xml:space="preserve">Walton, M., Eppel, E., &amp; Matheson, A. (2011). Applying complexity theory to New Zealand public policy: Principles for practice. </w:t>
      </w:r>
      <w:r w:rsidRPr="00E61911">
        <w:rPr>
          <w:rFonts w:cstheme="minorHAnsi"/>
          <w:i/>
          <w:iCs/>
        </w:rPr>
        <w:t>Policy Quarterly</w:t>
      </w:r>
      <w:r w:rsidRPr="00E61911">
        <w:rPr>
          <w:rFonts w:cstheme="minorHAnsi"/>
        </w:rPr>
        <w:t xml:space="preserve">, </w:t>
      </w:r>
      <w:r w:rsidRPr="00E61911">
        <w:rPr>
          <w:rFonts w:cstheme="minorHAnsi"/>
          <w:i/>
          <w:iCs/>
        </w:rPr>
        <w:t>7</w:t>
      </w:r>
      <w:r w:rsidRPr="00E61911">
        <w:rPr>
          <w:rFonts w:cstheme="minorHAnsi"/>
        </w:rPr>
        <w:t>, 48–55. https://doi.org/10.26686/pq.v7i1.4369</w:t>
      </w:r>
    </w:p>
    <w:p w14:paraId="5A4ED388" w14:textId="13C6E222" w:rsidR="00F8760E" w:rsidRPr="00E61911" w:rsidRDefault="00F8760E" w:rsidP="00E61911">
      <w:pPr>
        <w:pStyle w:val="Bibliography"/>
        <w:jc w:val="left"/>
        <w:rPr>
          <w:rFonts w:cstheme="minorHAnsi"/>
        </w:rPr>
      </w:pPr>
      <w:r w:rsidRPr="00E61911">
        <w:rPr>
          <w:rFonts w:cstheme="minorHAnsi"/>
        </w:rPr>
        <w:t xml:space="preserve">World Health Organization. (1978). </w:t>
      </w:r>
      <w:r w:rsidRPr="00E61911">
        <w:rPr>
          <w:rFonts w:cstheme="minorHAnsi"/>
          <w:i/>
          <w:iCs/>
        </w:rPr>
        <w:t>Declaration of alma-ata</w:t>
      </w:r>
      <w:r w:rsidRPr="00E61911">
        <w:rPr>
          <w:rFonts w:cstheme="minorHAnsi"/>
        </w:rPr>
        <w:t>. World Health Organization. https://www.who.int/teams/social-determinants-of-health/declaration-of-alma-ata#:~:text=The%20Alma%2DAta%20Declaration%20of,goal%20of%20Health%20for%20All</w:t>
      </w:r>
    </w:p>
    <w:p w14:paraId="1D15F0B5" w14:textId="77777777" w:rsidR="00F8760E" w:rsidRPr="00E61911" w:rsidRDefault="00F8760E" w:rsidP="00E61911">
      <w:pPr>
        <w:pStyle w:val="Bibliography"/>
        <w:jc w:val="left"/>
        <w:rPr>
          <w:rFonts w:cstheme="minorHAnsi"/>
        </w:rPr>
      </w:pPr>
      <w:r w:rsidRPr="00E61911">
        <w:rPr>
          <w:rFonts w:cstheme="minorHAnsi"/>
        </w:rPr>
        <w:t xml:space="preserve">World Health Organization. (2005). </w:t>
      </w:r>
      <w:r w:rsidRPr="00E61911">
        <w:rPr>
          <w:rFonts w:cstheme="minorHAnsi"/>
          <w:i/>
          <w:iCs/>
        </w:rPr>
        <w:t>Technical Meeting for the Development of the Framework for Universal Access to HIV/AIDS Prevention, Treatment and Care in the Health Sector</w:t>
      </w:r>
      <w:r w:rsidRPr="00E61911">
        <w:rPr>
          <w:rFonts w:cstheme="minorHAnsi"/>
        </w:rPr>
        <w:t xml:space="preserve"> [Background paper on the concept of universal access]. https://www.who.int/hiv/universalaccess2010/UA_definitions_Dec05.pdf</w:t>
      </w:r>
    </w:p>
    <w:p w14:paraId="6DC02399" w14:textId="77777777" w:rsidR="00F8760E" w:rsidRPr="00E61911" w:rsidRDefault="00F8760E" w:rsidP="00E61911">
      <w:pPr>
        <w:pStyle w:val="Bibliography"/>
        <w:jc w:val="left"/>
        <w:rPr>
          <w:rFonts w:cstheme="minorHAnsi"/>
        </w:rPr>
      </w:pPr>
      <w:r w:rsidRPr="00E61911">
        <w:rPr>
          <w:rFonts w:cstheme="minorHAnsi"/>
        </w:rPr>
        <w:t xml:space="preserve">World Health Organization &amp; United Nations Children’s Fund (UNICEF). (2018a). </w:t>
      </w:r>
      <w:r w:rsidRPr="00E61911">
        <w:rPr>
          <w:rFonts w:cstheme="minorHAnsi"/>
          <w:i/>
          <w:iCs/>
        </w:rPr>
        <w:t>A vision for primary health care in the 21st century: Towards universal health coverage and the Sustainable Development Goals</w:t>
      </w:r>
      <w:r w:rsidRPr="00E61911">
        <w:rPr>
          <w:rFonts w:cstheme="minorHAnsi"/>
        </w:rPr>
        <w:t xml:space="preserve"> (WHO/HIS/SDS/2018.15).</w:t>
      </w:r>
    </w:p>
    <w:p w14:paraId="7F22883C" w14:textId="77777777" w:rsidR="00F8760E" w:rsidRPr="00E61911" w:rsidRDefault="00F8760E" w:rsidP="00E61911">
      <w:pPr>
        <w:pStyle w:val="Bibliography"/>
        <w:jc w:val="left"/>
        <w:rPr>
          <w:rFonts w:cstheme="minorHAnsi"/>
        </w:rPr>
      </w:pPr>
      <w:r w:rsidRPr="00E61911">
        <w:rPr>
          <w:rFonts w:cstheme="minorHAnsi"/>
        </w:rPr>
        <w:t xml:space="preserve">World Health Organization &amp; United Nations Children’s Fund (UNICEF). (2018b). </w:t>
      </w:r>
      <w:r w:rsidRPr="00E61911">
        <w:rPr>
          <w:rFonts w:cstheme="minorHAnsi"/>
          <w:i/>
          <w:iCs/>
        </w:rPr>
        <w:t>A vision for primary health care in the 21st century: Towards universal health coverage and the Sustainable Development Goals</w:t>
      </w:r>
      <w:r w:rsidRPr="00E61911">
        <w:rPr>
          <w:rFonts w:cstheme="minorHAnsi"/>
        </w:rPr>
        <w:t xml:space="preserve"> (WHO/HIS/SDS/2018.15).</w:t>
      </w:r>
    </w:p>
    <w:p w14:paraId="6AD1561D" w14:textId="77777777" w:rsidR="00F8760E" w:rsidRDefault="00F8760E" w:rsidP="00E61911">
      <w:pPr>
        <w:pStyle w:val="Bibliography"/>
        <w:jc w:val="left"/>
      </w:pPr>
      <w:r w:rsidRPr="00E61911">
        <w:rPr>
          <w:rFonts w:cstheme="minorHAnsi"/>
        </w:rPr>
        <w:t xml:space="preserve">Zhao, Y., Wright, J., Guthridge, S., &amp; Lawton, P. (2013). The relationship between number of primary health care visits and hospitalisations: Evidence from linked clinic and hospital data for remote Indigenous Australians. </w:t>
      </w:r>
      <w:r w:rsidRPr="00E61911">
        <w:rPr>
          <w:rFonts w:cstheme="minorHAnsi"/>
          <w:i/>
          <w:iCs/>
        </w:rPr>
        <w:t>BMC Health Services Research</w:t>
      </w:r>
      <w:r w:rsidRPr="00E61911">
        <w:rPr>
          <w:rFonts w:cstheme="minorHAnsi"/>
        </w:rPr>
        <w:t xml:space="preserve">, </w:t>
      </w:r>
      <w:r w:rsidRPr="00E61911">
        <w:rPr>
          <w:rFonts w:cstheme="minorHAnsi"/>
          <w:i/>
          <w:iCs/>
        </w:rPr>
        <w:t>13</w:t>
      </w:r>
      <w:r w:rsidRPr="00E61911">
        <w:rPr>
          <w:rFonts w:cstheme="minorHAnsi"/>
        </w:rPr>
        <w:t>, 466. https://doi.org/10.1186/1472-6963-13-466</w:t>
      </w:r>
    </w:p>
    <w:p w14:paraId="1251362D" w14:textId="143ED200" w:rsidR="002E0D13" w:rsidRDefault="00C36C64" w:rsidP="00BA1BC9">
      <w:pPr>
        <w:jc w:val="left"/>
      </w:pPr>
      <w:r w:rsidRPr="00884FAA">
        <w:fldChar w:fldCharType="end"/>
      </w:r>
    </w:p>
    <w:p w14:paraId="7DE543D2" w14:textId="2B20545D" w:rsidR="005A156F" w:rsidRPr="00884FAA" w:rsidRDefault="005A156F" w:rsidP="002E0D13">
      <w:pPr>
        <w:sectPr w:rsidR="005A156F" w:rsidRPr="00884FAA" w:rsidSect="00100AA9">
          <w:pgSz w:w="11909" w:h="16834" w:code="9"/>
          <w:pgMar w:top="1440" w:right="1440" w:bottom="1440" w:left="1440" w:header="720" w:footer="720" w:gutter="0"/>
          <w:cols w:space="720"/>
          <w:titlePg/>
          <w:docGrid w:linePitch="360"/>
        </w:sectPr>
      </w:pPr>
    </w:p>
    <w:p w14:paraId="48E4FAD0" w14:textId="77777777" w:rsidR="005A156F" w:rsidRPr="00884FAA" w:rsidRDefault="005A156F" w:rsidP="005A156F"/>
    <w:p w14:paraId="524C0F6A" w14:textId="15AD0007" w:rsidR="005A156F" w:rsidRPr="00884FAA" w:rsidRDefault="005A156F" w:rsidP="005A156F">
      <w:pPr>
        <w:tabs>
          <w:tab w:val="left" w:pos="1740"/>
        </w:tabs>
        <w:rPr>
          <w:rFonts w:eastAsiaTheme="majorEastAsia" w:cstheme="majorBidi"/>
          <w:b/>
          <w:caps/>
          <w:color w:val="357DBE" w:themeColor="accent1"/>
          <w:sz w:val="32"/>
          <w:szCs w:val="32"/>
        </w:rPr>
      </w:pPr>
      <w:r w:rsidRPr="00884FAA">
        <w:rPr>
          <w:noProof/>
        </w:rPr>
        <w:drawing>
          <wp:anchor distT="0" distB="0" distL="114300" distR="114300" simplePos="0" relativeHeight="251658268" behindDoc="1" locked="1" layoutInCell="1" allowOverlap="1" wp14:anchorId="6EB8A030" wp14:editId="1166593C">
            <wp:simplePos x="0" y="0"/>
            <wp:positionH relativeFrom="page">
              <wp:posOffset>0</wp:posOffset>
            </wp:positionH>
            <wp:positionV relativeFrom="page">
              <wp:posOffset>0</wp:posOffset>
            </wp:positionV>
            <wp:extent cx="7546975" cy="10679430"/>
            <wp:effectExtent l="0" t="0" r="0" b="762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152"/>
                    <a:stretch>
                      <a:fillRect/>
                    </a:stretch>
                  </pic:blipFill>
                  <pic:spPr>
                    <a:xfrm>
                      <a:off x="0" y="0"/>
                      <a:ext cx="7546975" cy="10679430"/>
                    </a:xfrm>
                    <a:prstGeom prst="rect">
                      <a:avLst/>
                    </a:prstGeom>
                  </pic:spPr>
                </pic:pic>
              </a:graphicData>
            </a:graphic>
            <wp14:sizeRelH relativeFrom="margin">
              <wp14:pctWidth>0</wp14:pctWidth>
            </wp14:sizeRelH>
            <wp14:sizeRelV relativeFrom="margin">
              <wp14:pctHeight>0</wp14:pctHeight>
            </wp14:sizeRelV>
          </wp:anchor>
        </w:drawing>
      </w:r>
    </w:p>
    <w:p w14:paraId="17B40780" w14:textId="37CF4121" w:rsidR="007E5DFA" w:rsidRPr="00884FAA" w:rsidRDefault="00F61CFA" w:rsidP="009B0154">
      <w:pPr>
        <w:tabs>
          <w:tab w:val="left" w:pos="1740"/>
        </w:tabs>
      </w:pPr>
      <w:r>
        <w:rPr>
          <w:noProof/>
        </w:rPr>
        <w:drawing>
          <wp:anchor distT="0" distB="0" distL="114300" distR="114300" simplePos="0" relativeHeight="251658269" behindDoc="0" locked="0" layoutInCell="1" allowOverlap="1" wp14:anchorId="6D93BC4D" wp14:editId="1E7A175C">
            <wp:simplePos x="0" y="0"/>
            <wp:positionH relativeFrom="margin">
              <wp:posOffset>1856740</wp:posOffset>
            </wp:positionH>
            <wp:positionV relativeFrom="paragraph">
              <wp:posOffset>7252970</wp:posOffset>
            </wp:positionV>
            <wp:extent cx="2495550" cy="762000"/>
            <wp:effectExtent l="0" t="0" r="0" b="0"/>
            <wp:wrapNone/>
            <wp:docPr id="2065761310" name="Picture 2065761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61310" name="Picture 2065761310">
                      <a:extLst>
                        <a:ext uri="{C183D7F6-B498-43B3-948B-1728B52AA6E4}">
                          <adec:decorative xmlns:adec="http://schemas.microsoft.com/office/drawing/2017/decorative" val="1"/>
                        </a:ext>
                      </a:extLs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95550" cy="762000"/>
                    </a:xfrm>
                    <a:prstGeom prst="rect">
                      <a:avLst/>
                    </a:prstGeom>
                    <a:noFill/>
                    <a:ln>
                      <a:noFill/>
                    </a:ln>
                  </pic:spPr>
                </pic:pic>
              </a:graphicData>
            </a:graphic>
          </wp:anchor>
        </w:drawing>
      </w:r>
    </w:p>
    <w:sectPr w:rsidR="007E5DFA" w:rsidRPr="00884FAA" w:rsidSect="00C20402">
      <w:headerReference w:type="even" r:id="rId154"/>
      <w:headerReference w:type="default" r:id="rId155"/>
      <w:headerReference w:type="first" r:id="rId156"/>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6D3600" w14:textId="77777777" w:rsidR="00962380" w:rsidRDefault="00962380" w:rsidP="00C81E6A">
      <w:r>
        <w:separator/>
      </w:r>
    </w:p>
    <w:p w14:paraId="24BD615D" w14:textId="77777777" w:rsidR="00962380" w:rsidRDefault="00962380" w:rsidP="00C81E6A"/>
    <w:p w14:paraId="104CEB94" w14:textId="77777777" w:rsidR="00962380" w:rsidRDefault="00962380"/>
    <w:p w14:paraId="71F6487B" w14:textId="77777777" w:rsidR="00962380" w:rsidRDefault="00962380"/>
    <w:p w14:paraId="10478DF9" w14:textId="77777777" w:rsidR="00962380" w:rsidRDefault="00962380"/>
    <w:p w14:paraId="241E4387" w14:textId="77777777" w:rsidR="00962380" w:rsidRDefault="00962380"/>
    <w:p w14:paraId="3811631E" w14:textId="77777777" w:rsidR="00962380" w:rsidRDefault="00962380"/>
    <w:p w14:paraId="0E143DE8" w14:textId="77777777" w:rsidR="00962380" w:rsidRDefault="00962380"/>
    <w:p w14:paraId="3997B61D" w14:textId="77777777" w:rsidR="00962380" w:rsidRDefault="00962380"/>
  </w:endnote>
  <w:endnote w:type="continuationSeparator" w:id="0">
    <w:p w14:paraId="7EB2E208" w14:textId="77777777" w:rsidR="00962380" w:rsidRDefault="00962380" w:rsidP="00C81E6A">
      <w:r>
        <w:continuationSeparator/>
      </w:r>
    </w:p>
    <w:p w14:paraId="2F96392E" w14:textId="77777777" w:rsidR="00962380" w:rsidRDefault="00962380" w:rsidP="00C81E6A"/>
    <w:p w14:paraId="311C5F52" w14:textId="77777777" w:rsidR="00962380" w:rsidRDefault="00962380"/>
    <w:p w14:paraId="28819CD0" w14:textId="77777777" w:rsidR="00962380" w:rsidRDefault="00962380"/>
    <w:p w14:paraId="0F69B11B" w14:textId="77777777" w:rsidR="00962380" w:rsidRDefault="00962380"/>
    <w:p w14:paraId="64BC0E9B" w14:textId="77777777" w:rsidR="00962380" w:rsidRDefault="00962380"/>
    <w:p w14:paraId="1D893A2F" w14:textId="77777777" w:rsidR="00962380" w:rsidRDefault="00962380"/>
    <w:p w14:paraId="3489E9CD" w14:textId="77777777" w:rsidR="00962380" w:rsidRDefault="00962380"/>
    <w:p w14:paraId="29DB3750" w14:textId="77777777" w:rsidR="00962380" w:rsidRDefault="00962380"/>
  </w:endnote>
  <w:endnote w:type="continuationNotice" w:id="1">
    <w:p w14:paraId="5F790AAF" w14:textId="77777777" w:rsidR="00962380" w:rsidRDefault="00962380" w:rsidP="00C81E6A"/>
    <w:p w14:paraId="419BD02A" w14:textId="77777777" w:rsidR="00962380" w:rsidRDefault="00962380"/>
    <w:p w14:paraId="118DA703" w14:textId="77777777" w:rsidR="00962380" w:rsidRDefault="00962380"/>
    <w:p w14:paraId="024CEA12" w14:textId="77777777" w:rsidR="00962380" w:rsidRDefault="00962380"/>
    <w:p w14:paraId="5BBC6F0F" w14:textId="77777777" w:rsidR="00962380" w:rsidRDefault="00962380"/>
    <w:p w14:paraId="66FD66F8" w14:textId="77777777" w:rsidR="00962380" w:rsidRDefault="00962380"/>
    <w:p w14:paraId="226424BE" w14:textId="77777777" w:rsidR="00962380" w:rsidRDefault="00962380"/>
    <w:p w14:paraId="76E24F08" w14:textId="77777777" w:rsidR="00962380" w:rsidRDefault="009623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NexusMixPro-Bold">
    <w:altName w:val="Times New Roman"/>
    <w:panose1 w:val="00000000000000000000"/>
    <w:charset w:val="00"/>
    <w:family w:val="modern"/>
    <w:notTrueType/>
    <w:pitch w:val="variable"/>
    <w:sig w:usb0="A00000AF" w:usb1="4000E07B" w:usb2="00000000" w:usb3="00000000" w:csb0="00000093" w:csb1="00000000"/>
  </w:font>
  <w:font w:name="AvenirLTStd-Book">
    <w:altName w:val="Calibri"/>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1850247895"/>
      <w:docPartObj>
        <w:docPartGallery w:val="Page Numbers (Bottom of Page)"/>
        <w:docPartUnique/>
      </w:docPartObj>
    </w:sdtPr>
    <w:sdtEndPr>
      <w:rPr>
        <w:noProof/>
        <w:color w:val="275D8E" w:themeColor="accent1" w:themeShade="BF"/>
      </w:rPr>
    </w:sdtEndPr>
    <w:sdtContent>
      <w:p w14:paraId="70386187" w14:textId="387E18B1" w:rsidR="001A19E6" w:rsidRPr="008828EA" w:rsidRDefault="005829AD" w:rsidP="008828EA">
        <w:pPr>
          <w:pStyle w:val="Footer"/>
          <w:jc w:val="right"/>
          <w:rPr>
            <w:color w:val="275D8E" w:themeColor="accent1" w:themeShade="BF"/>
          </w:rPr>
        </w:pPr>
        <w:r w:rsidRPr="005829AD">
          <w:rPr>
            <w:noProof w:val="0"/>
            <w:color w:val="275D8E" w:themeColor="accent1" w:themeShade="BF"/>
          </w:rPr>
          <w:fldChar w:fldCharType="begin"/>
        </w:r>
        <w:r w:rsidRPr="005829AD">
          <w:rPr>
            <w:color w:val="275D8E" w:themeColor="accent1" w:themeShade="BF"/>
          </w:rPr>
          <w:instrText xml:space="preserve"> PAGE   \* MERGEFORMAT </w:instrText>
        </w:r>
        <w:r w:rsidRPr="005829AD">
          <w:rPr>
            <w:noProof w:val="0"/>
            <w:color w:val="275D8E" w:themeColor="accent1" w:themeShade="BF"/>
          </w:rPr>
          <w:fldChar w:fldCharType="separate"/>
        </w:r>
        <w:r w:rsidRPr="005829AD">
          <w:rPr>
            <w:color w:val="275D8E" w:themeColor="accent1" w:themeShade="BF"/>
          </w:rPr>
          <w:t>2</w:t>
        </w:r>
        <w:r w:rsidRPr="005829AD">
          <w:rPr>
            <w:color w:val="275D8E" w:themeColor="accent1" w:themeShade="B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884152648"/>
      <w:docPartObj>
        <w:docPartGallery w:val="Page Numbers (Bottom of Page)"/>
        <w:docPartUnique/>
      </w:docPartObj>
    </w:sdtPr>
    <w:sdtEndPr>
      <w:rPr>
        <w:noProof/>
        <w:color w:val="1A3E5F" w:themeColor="accent1" w:themeShade="80"/>
      </w:rPr>
    </w:sdtEndPr>
    <w:sdtContent>
      <w:p w14:paraId="7DF1C812" w14:textId="4D4E74C2" w:rsidR="003C317F" w:rsidRPr="0058387D" w:rsidRDefault="003C317F">
        <w:pPr>
          <w:pStyle w:val="Footer"/>
          <w:jc w:val="right"/>
          <w:rPr>
            <w:color w:val="1A3E5F" w:themeColor="accent1" w:themeShade="80"/>
          </w:rPr>
        </w:pPr>
        <w:r w:rsidRPr="0058387D">
          <w:rPr>
            <w:noProof w:val="0"/>
            <w:color w:val="1A3E5F" w:themeColor="accent1" w:themeShade="80"/>
          </w:rPr>
          <w:fldChar w:fldCharType="begin"/>
        </w:r>
        <w:r w:rsidRPr="0058387D">
          <w:rPr>
            <w:color w:val="1A3E5F" w:themeColor="accent1" w:themeShade="80"/>
          </w:rPr>
          <w:instrText xml:space="preserve"> PAGE   \* MERGEFORMAT </w:instrText>
        </w:r>
        <w:r w:rsidRPr="0058387D">
          <w:rPr>
            <w:noProof w:val="0"/>
            <w:color w:val="1A3E5F" w:themeColor="accent1" w:themeShade="80"/>
          </w:rPr>
          <w:fldChar w:fldCharType="separate"/>
        </w:r>
        <w:r w:rsidRPr="0058387D">
          <w:rPr>
            <w:color w:val="1A3E5F" w:themeColor="accent1" w:themeShade="80"/>
          </w:rPr>
          <w:t>2</w:t>
        </w:r>
        <w:r w:rsidRPr="0058387D">
          <w:rPr>
            <w:color w:val="1A3E5F" w:themeColor="accent1" w:themeShade="80"/>
          </w:rPr>
          <w:fldChar w:fldCharType="end"/>
        </w:r>
      </w:p>
    </w:sdtContent>
  </w:sdt>
  <w:p w14:paraId="515A3937" w14:textId="29DF7E01" w:rsidR="000700A4" w:rsidRDefault="000700A4" w:rsidP="000700A4">
    <w:pPr>
      <w:pStyle w:val="Footer"/>
      <w:jc w:val="left"/>
    </w:pPr>
  </w:p>
  <w:p w14:paraId="49DB2E68" w14:textId="77777777" w:rsidR="001A19E6" w:rsidRDefault="001A19E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1413235863"/>
      <w:docPartObj>
        <w:docPartGallery w:val="Page Numbers (Bottom of Page)"/>
        <w:docPartUnique/>
      </w:docPartObj>
    </w:sdtPr>
    <w:sdtEndPr>
      <w:rPr>
        <w:noProof/>
        <w:color w:val="1A3E5F" w:themeColor="accent1" w:themeShade="80"/>
      </w:rPr>
    </w:sdtEndPr>
    <w:sdtContent>
      <w:p w14:paraId="678B0ECA" w14:textId="77777777" w:rsidR="003C317F" w:rsidRPr="0058387D" w:rsidRDefault="003C317F">
        <w:pPr>
          <w:pStyle w:val="Footer"/>
          <w:jc w:val="right"/>
          <w:rPr>
            <w:color w:val="1A3E5F" w:themeColor="accent1" w:themeShade="80"/>
          </w:rPr>
        </w:pPr>
        <w:r w:rsidRPr="0058387D">
          <w:rPr>
            <w:noProof w:val="0"/>
            <w:color w:val="1A3E5F" w:themeColor="accent1" w:themeShade="80"/>
          </w:rPr>
          <w:fldChar w:fldCharType="begin"/>
        </w:r>
        <w:r w:rsidRPr="0058387D">
          <w:rPr>
            <w:color w:val="1A3E5F" w:themeColor="accent1" w:themeShade="80"/>
          </w:rPr>
          <w:instrText xml:space="preserve"> PAGE   \* MERGEFORMAT </w:instrText>
        </w:r>
        <w:r w:rsidRPr="0058387D">
          <w:rPr>
            <w:noProof w:val="0"/>
            <w:color w:val="1A3E5F" w:themeColor="accent1" w:themeShade="80"/>
          </w:rPr>
          <w:fldChar w:fldCharType="separate"/>
        </w:r>
        <w:r w:rsidRPr="0058387D">
          <w:rPr>
            <w:color w:val="1A3E5F" w:themeColor="accent1" w:themeShade="80"/>
          </w:rPr>
          <w:t>2</w:t>
        </w:r>
        <w:r w:rsidRPr="0058387D">
          <w:rPr>
            <w:color w:val="1A3E5F" w:themeColor="accent1" w:themeShade="80"/>
          </w:rPr>
          <w:fldChar w:fldCharType="end"/>
        </w:r>
      </w:p>
    </w:sdtContent>
  </w:sdt>
  <w:p w14:paraId="5CC3513E" w14:textId="77777777" w:rsidR="000700A4" w:rsidRDefault="000700A4" w:rsidP="000700A4">
    <w:pPr>
      <w:pStyle w:val="Footer"/>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D8F0B" w14:textId="45C78999" w:rsidR="004529D2" w:rsidRPr="0058387D" w:rsidRDefault="004529D2">
    <w:pPr>
      <w:pStyle w:val="Footer"/>
      <w:jc w:val="right"/>
      <w:rPr>
        <w:color w:val="1A3E5F" w:themeColor="accent1" w:themeShade="80"/>
      </w:rPr>
    </w:pPr>
    <w:r w:rsidRPr="0058387D">
      <w:rPr>
        <w:noProof w:val="0"/>
        <w:color w:val="1A3E5F" w:themeColor="accent1" w:themeShade="80"/>
      </w:rPr>
      <w:fldChar w:fldCharType="begin"/>
    </w:r>
    <w:r w:rsidRPr="0058387D">
      <w:rPr>
        <w:color w:val="1A3E5F" w:themeColor="accent1" w:themeShade="80"/>
      </w:rPr>
      <w:instrText xml:space="preserve"> PAGE   \* MERGEFORMAT </w:instrText>
    </w:r>
    <w:r w:rsidRPr="0058387D">
      <w:rPr>
        <w:noProof w:val="0"/>
        <w:color w:val="1A3E5F" w:themeColor="accent1" w:themeShade="80"/>
      </w:rPr>
      <w:fldChar w:fldCharType="separate"/>
    </w:r>
    <w:r w:rsidRPr="0058387D">
      <w:rPr>
        <w:color w:val="1A3E5F" w:themeColor="accent1" w:themeShade="80"/>
      </w:rPr>
      <w:t>2</w:t>
    </w:r>
    <w:r w:rsidRPr="0058387D">
      <w:rPr>
        <w:color w:val="1A3E5F" w:themeColor="accent1" w:themeShade="80"/>
      </w:rPr>
      <w:fldChar w:fldCharType="end"/>
    </w:r>
  </w:p>
  <w:p w14:paraId="1F755BAF" w14:textId="77777777" w:rsidR="00933C7C" w:rsidRDefault="00933C7C" w:rsidP="000700A4">
    <w:pPr>
      <w:pStyle w:val="Footer"/>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9FD3A" w14:textId="4221D63A" w:rsidR="00D01379" w:rsidRPr="00647F2B" w:rsidRDefault="00D01379">
    <w:pPr>
      <w:pStyle w:val="Footer"/>
      <w:jc w:val="right"/>
      <w:rPr>
        <w:color w:val="275D8E" w:themeColor="accent1" w:themeShade="BF"/>
      </w:rPr>
    </w:pPr>
    <w:r w:rsidRPr="00647F2B">
      <w:rPr>
        <w:noProof w:val="0"/>
        <w:color w:val="275D8E" w:themeColor="accent1" w:themeShade="BF"/>
      </w:rPr>
      <w:fldChar w:fldCharType="begin"/>
    </w:r>
    <w:r w:rsidRPr="00647F2B">
      <w:rPr>
        <w:color w:val="275D8E" w:themeColor="accent1" w:themeShade="BF"/>
      </w:rPr>
      <w:instrText xml:space="preserve"> PAGE   \* MERGEFORMAT </w:instrText>
    </w:r>
    <w:r w:rsidRPr="00647F2B">
      <w:rPr>
        <w:noProof w:val="0"/>
        <w:color w:val="275D8E" w:themeColor="accent1" w:themeShade="BF"/>
      </w:rPr>
      <w:fldChar w:fldCharType="separate"/>
    </w:r>
    <w:r w:rsidRPr="00647F2B">
      <w:rPr>
        <w:color w:val="275D8E" w:themeColor="accent1" w:themeShade="BF"/>
      </w:rPr>
      <w:t>2</w:t>
    </w:r>
    <w:r w:rsidRPr="00647F2B">
      <w:rPr>
        <w:color w:val="275D8E" w:themeColor="accent1" w:themeShade="BF"/>
      </w:rPr>
      <w:fldChar w:fldCharType="end"/>
    </w:r>
  </w:p>
  <w:p w14:paraId="32DDBB2C" w14:textId="7C34508A" w:rsidR="00933C7C" w:rsidRDefault="00933C7C" w:rsidP="000700A4">
    <w:pPr>
      <w:pStyle w:val="Footer"/>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369916428"/>
      <w:docPartObj>
        <w:docPartGallery w:val="Page Numbers (Bottom of Page)"/>
        <w:docPartUnique/>
      </w:docPartObj>
    </w:sdtPr>
    <w:sdtEndPr>
      <w:rPr>
        <w:noProof/>
        <w:color w:val="275D8E" w:themeColor="accent1" w:themeShade="BF"/>
      </w:rPr>
    </w:sdtEndPr>
    <w:sdtContent>
      <w:p w14:paraId="1FC8E0B1" w14:textId="77777777" w:rsidR="00F05D18" w:rsidRPr="00361FE1" w:rsidRDefault="00F05D18">
        <w:pPr>
          <w:pStyle w:val="Footer"/>
          <w:jc w:val="right"/>
          <w:rPr>
            <w:color w:val="275D8E" w:themeColor="accent1" w:themeShade="BF"/>
          </w:rPr>
        </w:pPr>
        <w:r w:rsidRPr="00361FE1">
          <w:rPr>
            <w:noProof w:val="0"/>
            <w:color w:val="275D8E" w:themeColor="accent1" w:themeShade="BF"/>
          </w:rPr>
          <w:fldChar w:fldCharType="begin"/>
        </w:r>
        <w:r w:rsidRPr="00361FE1">
          <w:rPr>
            <w:color w:val="275D8E" w:themeColor="accent1" w:themeShade="BF"/>
          </w:rPr>
          <w:instrText xml:space="preserve"> PAGE   \* MERGEFORMAT </w:instrText>
        </w:r>
        <w:r w:rsidRPr="00361FE1">
          <w:rPr>
            <w:noProof w:val="0"/>
            <w:color w:val="275D8E" w:themeColor="accent1" w:themeShade="BF"/>
          </w:rPr>
          <w:fldChar w:fldCharType="separate"/>
        </w:r>
        <w:r w:rsidRPr="00361FE1">
          <w:rPr>
            <w:color w:val="275D8E" w:themeColor="accent1" w:themeShade="BF"/>
          </w:rPr>
          <w:t>2</w:t>
        </w:r>
        <w:r w:rsidRPr="00361FE1">
          <w:rPr>
            <w:color w:val="275D8E" w:themeColor="accent1" w:themeShade="BF"/>
          </w:rPr>
          <w:fldChar w:fldCharType="end"/>
        </w:r>
      </w:p>
    </w:sdtContent>
  </w:sdt>
  <w:p w14:paraId="7860B32D" w14:textId="79F97391" w:rsidR="00EB4F33" w:rsidRDefault="00EB4F3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1467548383"/>
      <w:docPartObj>
        <w:docPartGallery w:val="Page Numbers (Bottom of Page)"/>
        <w:docPartUnique/>
      </w:docPartObj>
    </w:sdtPr>
    <w:sdtEndPr>
      <w:rPr>
        <w:noProof/>
      </w:rPr>
    </w:sdtEndPr>
    <w:sdtContent>
      <w:p w14:paraId="47500DE1" w14:textId="77911E76" w:rsidR="006602EB" w:rsidRDefault="006602EB" w:rsidP="006602EB">
        <w:pPr>
          <w:pStyle w:val="Footer"/>
          <w:jc w:val="right"/>
        </w:pPr>
        <w:r w:rsidRPr="00647F2B">
          <w:rPr>
            <w:noProof w:val="0"/>
            <w:color w:val="275D8E" w:themeColor="accent1" w:themeShade="BF"/>
          </w:rPr>
          <w:fldChar w:fldCharType="begin"/>
        </w:r>
        <w:r w:rsidRPr="00647F2B">
          <w:rPr>
            <w:color w:val="275D8E" w:themeColor="accent1" w:themeShade="BF"/>
          </w:rPr>
          <w:instrText xml:space="preserve"> PAGE   \* MERGEFORMAT </w:instrText>
        </w:r>
        <w:r w:rsidRPr="00647F2B">
          <w:rPr>
            <w:noProof w:val="0"/>
            <w:color w:val="275D8E" w:themeColor="accent1" w:themeShade="BF"/>
          </w:rPr>
          <w:fldChar w:fldCharType="separate"/>
        </w:r>
        <w:r w:rsidRPr="00647F2B">
          <w:rPr>
            <w:color w:val="275D8E" w:themeColor="accent1" w:themeShade="BF"/>
          </w:rPr>
          <w:t>2</w:t>
        </w:r>
        <w:r w:rsidRPr="00647F2B">
          <w:rPr>
            <w:color w:val="275D8E" w:themeColor="accent1" w:themeShade="B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8FBB4" w14:textId="69E699E1" w:rsidR="009173B7" w:rsidRPr="0058387D" w:rsidRDefault="009173B7">
    <w:pPr>
      <w:pStyle w:val="Footer"/>
      <w:jc w:val="right"/>
      <w:rPr>
        <w:color w:val="1A3E5F" w:themeColor="accent1" w:themeShade="80"/>
      </w:rPr>
    </w:pPr>
    <w:r w:rsidRPr="0058387D">
      <w:rPr>
        <w:noProof w:val="0"/>
        <w:color w:val="1A3E5F" w:themeColor="accent1" w:themeShade="80"/>
      </w:rPr>
      <w:fldChar w:fldCharType="begin"/>
    </w:r>
    <w:r w:rsidRPr="0058387D">
      <w:rPr>
        <w:color w:val="1A3E5F" w:themeColor="accent1" w:themeShade="80"/>
      </w:rPr>
      <w:instrText xml:space="preserve"> PAGE   \* MERGEFORMAT </w:instrText>
    </w:r>
    <w:r w:rsidRPr="0058387D">
      <w:rPr>
        <w:noProof w:val="0"/>
        <w:color w:val="1A3E5F" w:themeColor="accent1" w:themeShade="80"/>
      </w:rPr>
      <w:fldChar w:fldCharType="separate"/>
    </w:r>
    <w:r w:rsidRPr="0058387D">
      <w:rPr>
        <w:color w:val="1A3E5F" w:themeColor="accent1" w:themeShade="80"/>
      </w:rPr>
      <w:t>2</w:t>
    </w:r>
    <w:r w:rsidRPr="0058387D">
      <w:rPr>
        <w:color w:val="1A3E5F" w:themeColor="accent1" w:themeShade="80"/>
      </w:rPr>
      <w:fldChar w:fldCharType="end"/>
    </w:r>
  </w:p>
  <w:p w14:paraId="061C7773" w14:textId="77777777" w:rsidR="0074578B" w:rsidRDefault="0074578B">
    <w:pPr>
      <w:pStyle w:val="BodyTex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2FC1B2" w14:textId="77777777" w:rsidR="001D7A4A" w:rsidRPr="0058387D" w:rsidRDefault="001D7A4A">
    <w:pPr>
      <w:pStyle w:val="Footer"/>
      <w:jc w:val="right"/>
      <w:rPr>
        <w:color w:val="1A3E5F" w:themeColor="accent1" w:themeShade="80"/>
      </w:rPr>
    </w:pPr>
    <w:r w:rsidRPr="0058387D">
      <w:rPr>
        <w:noProof w:val="0"/>
        <w:color w:val="1A3E5F" w:themeColor="accent1" w:themeShade="80"/>
      </w:rPr>
      <w:fldChar w:fldCharType="begin"/>
    </w:r>
    <w:r w:rsidRPr="0058387D">
      <w:rPr>
        <w:color w:val="1A3E5F" w:themeColor="accent1" w:themeShade="80"/>
      </w:rPr>
      <w:instrText xml:space="preserve"> PAGE   \* MERGEFORMAT </w:instrText>
    </w:r>
    <w:r w:rsidRPr="0058387D">
      <w:rPr>
        <w:noProof w:val="0"/>
        <w:color w:val="1A3E5F" w:themeColor="accent1" w:themeShade="80"/>
      </w:rPr>
      <w:fldChar w:fldCharType="separate"/>
    </w:r>
    <w:r w:rsidRPr="0058387D">
      <w:rPr>
        <w:color w:val="1A3E5F" w:themeColor="accent1" w:themeShade="80"/>
      </w:rPr>
      <w:t>2</w:t>
    </w:r>
    <w:r w:rsidRPr="0058387D">
      <w:rPr>
        <w:color w:val="1A3E5F" w:themeColor="accent1" w:themeShade="80"/>
      </w:rPr>
      <w:fldChar w:fldCharType="end"/>
    </w:r>
  </w:p>
  <w:p w14:paraId="2D26CA18" w14:textId="77777777" w:rsidR="001D7A4A" w:rsidRDefault="001D7A4A">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C22D35" w14:textId="77777777" w:rsidR="00962380" w:rsidRDefault="00962380" w:rsidP="00C81E6A">
      <w:r>
        <w:separator/>
      </w:r>
    </w:p>
  </w:footnote>
  <w:footnote w:type="continuationSeparator" w:id="0">
    <w:p w14:paraId="2E0A6573" w14:textId="77777777" w:rsidR="00962380" w:rsidRDefault="00962380" w:rsidP="00C81E6A">
      <w:r>
        <w:continuationSeparator/>
      </w:r>
    </w:p>
  </w:footnote>
  <w:footnote w:type="continuationNotice" w:id="1">
    <w:p w14:paraId="16A312D6" w14:textId="77777777" w:rsidR="00962380" w:rsidRDefault="00962380" w:rsidP="00C81E6A"/>
    <w:p w14:paraId="09165CDC" w14:textId="77777777" w:rsidR="00962380" w:rsidRDefault="00962380"/>
    <w:p w14:paraId="39F5117B" w14:textId="77777777" w:rsidR="00962380" w:rsidRDefault="00962380"/>
    <w:p w14:paraId="09AC5FF2" w14:textId="77777777" w:rsidR="00962380" w:rsidRDefault="00962380"/>
    <w:p w14:paraId="34E98C99" w14:textId="77777777" w:rsidR="00962380" w:rsidRDefault="00962380"/>
    <w:p w14:paraId="7EC3A092" w14:textId="77777777" w:rsidR="00962380" w:rsidRDefault="00962380"/>
    <w:p w14:paraId="31F3FCD2" w14:textId="77777777" w:rsidR="00962380" w:rsidRDefault="00962380"/>
    <w:p w14:paraId="7836E0D3" w14:textId="77777777" w:rsidR="00962380" w:rsidRDefault="00962380"/>
  </w:footnote>
  <w:footnote w:id="2">
    <w:p w14:paraId="2B6E77C9" w14:textId="0D7593F9" w:rsidR="00E15348" w:rsidRDefault="00E15348">
      <w:pPr>
        <w:pStyle w:val="FootnoteText"/>
      </w:pPr>
      <w:r w:rsidRPr="005D1C41">
        <w:rPr>
          <w:rStyle w:val="FootnoteReference"/>
        </w:rPr>
        <w:footnoteRef/>
      </w:r>
      <w:r>
        <w:t xml:space="preserve"> Key policy frameworks influencing the delivery of primary health care to Aboriginal and Torres Strait Islander people include the </w:t>
      </w:r>
      <w:r w:rsidR="00967F65">
        <w:t>National Aboriginal and Torres Strait Islander Health Plan 2021-2031, the National Aboriginal and Torres Strait Islander Health Workforce Strategic Framework and Implementation Plan 2021-2031, Australia’s Primary Health Care 10 Year Plan 2022-2032</w:t>
      </w:r>
      <w:r w:rsidR="003D33C2">
        <w:t xml:space="preserve">, the Cultural Respect Framework 2016-2032 and the Health Sector Strengthening Plan. The recent recommendations of the Strengthening Medicare Taskforce will also shape the </w:t>
      </w:r>
      <w:r w:rsidR="00DA1D2F">
        <w:t>operation of the PHC system, including the delivery of PHC to Aboriginal and Torres Strait Islander people</w:t>
      </w:r>
      <w:r w:rsidR="007F446E">
        <w:t>.</w:t>
      </w:r>
    </w:p>
  </w:footnote>
  <w:footnote w:id="3">
    <w:p w14:paraId="00E4C8AA" w14:textId="2C8851D8" w:rsidR="00E82ED5" w:rsidRDefault="00E82ED5" w:rsidP="00E82ED5">
      <w:pPr>
        <w:pStyle w:val="FootnoteText"/>
      </w:pPr>
      <w:r w:rsidRPr="005D1C41">
        <w:rPr>
          <w:rStyle w:val="FootnoteReference"/>
        </w:rPr>
        <w:footnoteRef/>
      </w:r>
      <w:r>
        <w:t xml:space="preserve"> Babuny (also written as Bahbooney) is the name for </w:t>
      </w:r>
      <w:r w:rsidR="00FE1984">
        <w:rPr>
          <w:i/>
          <w:iCs/>
        </w:rPr>
        <w:t>B</w:t>
      </w:r>
      <w:r w:rsidRPr="002E7126">
        <w:rPr>
          <w:i/>
          <w:iCs/>
        </w:rPr>
        <w:t>rachychiton rupestris</w:t>
      </w:r>
      <w:r>
        <w:t xml:space="preserve">, in the language of the Gunggari people, noting that each of the hundreds of Aboriginal and Torres Strait Islander languages would have their own name.  </w:t>
      </w:r>
    </w:p>
  </w:footnote>
  <w:footnote w:id="4">
    <w:p w14:paraId="2A95F466" w14:textId="77777777" w:rsidR="00D36136" w:rsidRPr="00DA407B" w:rsidRDefault="00D36136" w:rsidP="00D36136">
      <w:pPr>
        <w:pStyle w:val="FootnoteText"/>
        <w:rPr>
          <w:rFonts w:eastAsia="Times New Roman"/>
          <w:b/>
          <w:bCs/>
          <w:i/>
          <w:iCs/>
          <w:szCs w:val="20"/>
          <w:lang w:eastAsia="en-GB"/>
        </w:rPr>
      </w:pPr>
      <w:r w:rsidRPr="005D1C41">
        <w:rPr>
          <w:rStyle w:val="FootnoteReference"/>
        </w:rPr>
        <w:footnoteRef/>
      </w:r>
      <w:r w:rsidRPr="00DA407B">
        <w:t xml:space="preserve"> The Productivity Commission maintains a </w:t>
      </w:r>
      <w:r>
        <w:t>d</w:t>
      </w:r>
      <w:r w:rsidRPr="00DA407B">
        <w:t xml:space="preserve">ashboard of the most up-to-date data and information on the targets and indicators in the National Agreement. The latest update was on 8 March 2023. The </w:t>
      </w:r>
      <w:r>
        <w:t>d</w:t>
      </w:r>
      <w:r w:rsidRPr="00DA407B">
        <w:t xml:space="preserve">ashboard is available at: </w:t>
      </w:r>
      <w:hyperlink r:id="rId1" w:history="1">
        <w:r w:rsidRPr="00DA407B">
          <w:rPr>
            <w:rStyle w:val="Hyperlink"/>
            <w:rFonts w:asciiTheme="minorHAnsi" w:hAnsiTheme="minorHAnsi"/>
            <w:b w:val="0"/>
            <w:bCs/>
          </w:rPr>
          <w:t>https://www.pc.gov.au/closing-the-gap-data/dashboard</w:t>
        </w:r>
      </w:hyperlink>
      <w:r w:rsidRPr="00DA407B">
        <w:rPr>
          <w:b/>
          <w:bCs/>
        </w:rPr>
        <w:t xml:space="preserve"> </w:t>
      </w:r>
    </w:p>
  </w:footnote>
  <w:footnote w:id="5">
    <w:p w14:paraId="31302AAF" w14:textId="77777777" w:rsidR="00AF0343" w:rsidRPr="009E6BA7" w:rsidRDefault="00AF0343" w:rsidP="00AF0343">
      <w:pPr>
        <w:pStyle w:val="FootnoteText"/>
        <w:rPr>
          <w:rFonts w:ascii="Times New Roman" w:hAnsi="Times New Roman" w:cs="Times New Roman"/>
          <w:u w:val="single"/>
        </w:rPr>
      </w:pPr>
      <w:r w:rsidRPr="005D1C41">
        <w:rPr>
          <w:rStyle w:val="FootnoteReference"/>
        </w:rPr>
        <w:footnoteRef/>
      </w:r>
      <w:r>
        <w:t xml:space="preserve"> A larger list of </w:t>
      </w:r>
      <w:r w:rsidRPr="009E6BA7">
        <w:rPr>
          <w:u w:val="single"/>
        </w:rPr>
        <w:t>relevant policies, including state and territory policies, is in the National Aboriginal and Torres Strait Islander Health Plan. Found here: https://www.health.gov.au/sites/default/files/documents/2021/02/national-aboriginal-and-torres-strait-islander-health-plan-2013-2023.pdf</w:t>
      </w:r>
    </w:p>
  </w:footnote>
  <w:footnote w:id="6">
    <w:p w14:paraId="61122DE9" w14:textId="77777777" w:rsidR="00502CD1" w:rsidRDefault="00502CD1" w:rsidP="00502CD1">
      <w:pPr>
        <w:pStyle w:val="FootnoteText"/>
      </w:pPr>
      <w:r w:rsidRPr="005D1C41">
        <w:rPr>
          <w:rStyle w:val="FootnoteReference"/>
        </w:rPr>
        <w:footnoteRef/>
      </w:r>
      <w:r>
        <w:t xml:space="preserve"> Article 12 of CEDAW provides for access to health care services for women, including family planning and reproductive healthcare. </w:t>
      </w:r>
    </w:p>
  </w:footnote>
  <w:footnote w:id="7">
    <w:p w14:paraId="11783145" w14:textId="77777777" w:rsidR="00502CD1" w:rsidRDefault="00502CD1" w:rsidP="00502CD1">
      <w:pPr>
        <w:pStyle w:val="FootnoteText"/>
      </w:pPr>
      <w:r w:rsidRPr="005D1C41">
        <w:rPr>
          <w:rStyle w:val="FootnoteReference"/>
        </w:rPr>
        <w:footnoteRef/>
      </w:r>
      <w:r>
        <w:t xml:space="preserve"> Article 24 of the CRC recognises the right of the child to enjoy the highest stainable standard of health and facilities for the treatment of illness and rehabilitation of health. This includes commitments to diminish infant and child mortality and to ensure the provision of necessary medical assistance, including through the development of primary health care. </w:t>
      </w:r>
    </w:p>
  </w:footnote>
  <w:footnote w:id="8">
    <w:p w14:paraId="4B06CD94" w14:textId="77777777" w:rsidR="00502CD1" w:rsidRDefault="00502CD1" w:rsidP="00502CD1">
      <w:pPr>
        <w:pStyle w:val="FootnoteText"/>
      </w:pPr>
      <w:r w:rsidRPr="005D1C41">
        <w:rPr>
          <w:rStyle w:val="FootnoteReference"/>
        </w:rPr>
        <w:footnoteRef/>
      </w:r>
      <w:r>
        <w:t xml:space="preserve"> Article 25 of the CRPD provides that people with disabilities have the right to the enjoyment of the highest attainable standard of health without discrimination on the basis of disability. This includes commitment to take action to provide people with disabilities with the same range, quality, and standard of free or affordable health care and programmes provided to other persons. </w:t>
      </w:r>
    </w:p>
  </w:footnote>
  <w:footnote w:id="9">
    <w:p w14:paraId="6A12A4B7" w14:textId="77777777" w:rsidR="00270195" w:rsidRPr="00571576" w:rsidRDefault="00270195" w:rsidP="00270195">
      <w:pPr>
        <w:pStyle w:val="FootnoteText"/>
      </w:pPr>
      <w:r w:rsidRPr="00571576">
        <w:rPr>
          <w:rStyle w:val="FootnoteReference"/>
        </w:rPr>
        <w:footnoteRef/>
      </w:r>
      <w:r w:rsidRPr="00571576">
        <w:t xml:space="preserve"> The proposed sites were geographic areas large enough to explore comprehensive PHC systems in operation. The evaluation sties were selected according to the following parameters (criteria) (Bainbridge et al. 2020):</w:t>
      </w:r>
    </w:p>
    <w:p w14:paraId="6845DF6A" w14:textId="77777777" w:rsidR="00270195" w:rsidRPr="00571576" w:rsidRDefault="00270195" w:rsidP="00270195">
      <w:pPr>
        <w:pStyle w:val="ListParagraph"/>
        <w:numPr>
          <w:ilvl w:val="0"/>
          <w:numId w:val="63"/>
        </w:numPr>
        <w:spacing w:before="120" w:after="60"/>
        <w:ind w:left="714" w:hanging="357"/>
        <w:rPr>
          <w:sz w:val="20"/>
          <w:szCs w:val="20"/>
        </w:rPr>
      </w:pPr>
      <w:r w:rsidRPr="00571576">
        <w:rPr>
          <w:sz w:val="20"/>
          <w:szCs w:val="20"/>
        </w:rPr>
        <w:t xml:space="preserve">Sites will have a minimum Aboriginal and Torres Strait Islander population of around 1,500 to reduce the potential for random variation in data analysed for the evaluation and have a maximum Aboriginal and Torres Strait Islander population of around 8,000. </w:t>
      </w:r>
    </w:p>
    <w:p w14:paraId="5B98C4AA" w14:textId="77777777" w:rsidR="00270195" w:rsidRPr="00571576" w:rsidRDefault="00270195" w:rsidP="00270195">
      <w:pPr>
        <w:pStyle w:val="FootnoteText"/>
        <w:numPr>
          <w:ilvl w:val="0"/>
          <w:numId w:val="63"/>
        </w:numPr>
      </w:pPr>
      <w:r w:rsidRPr="00571576">
        <w:t>Sites will fall within the boundary of a single PHN and local health district (or equivalent state government-administered health district).</w:t>
      </w:r>
    </w:p>
    <w:p w14:paraId="0EBDA1D3" w14:textId="77777777" w:rsidR="00270195" w:rsidRPr="00706C8D" w:rsidRDefault="00270195" w:rsidP="00270195">
      <w:pPr>
        <w:pStyle w:val="FootnoteText"/>
        <w:spacing w:before="120"/>
      </w:pPr>
      <w:r w:rsidRPr="00571576">
        <w:t xml:space="preserve">Moreover, for a site to be a part of the evaluation, the ACCHS, any other PHC service that delivers services to a predominantly Aboriginal or Torres Strait Islander population (e.g. a state or territory government clinic), and the PHN in that location need to agree to partner with the evaluation (Bainbridge et al. 2020).  </w:t>
      </w:r>
    </w:p>
  </w:footnote>
  <w:footnote w:id="10">
    <w:p w14:paraId="55032B74" w14:textId="0FFC7037" w:rsidR="00A407B3" w:rsidRPr="00A407B3" w:rsidRDefault="00A407B3">
      <w:pPr>
        <w:pStyle w:val="FootnoteText"/>
        <w:rPr>
          <w:lang w:val="en-GB"/>
        </w:rPr>
      </w:pPr>
      <w:r>
        <w:rPr>
          <w:rStyle w:val="FootnoteReference"/>
        </w:rPr>
        <w:footnoteRef/>
      </w:r>
      <w:r>
        <w:t xml:space="preserve"> </w:t>
      </w:r>
      <w:r>
        <w:rPr>
          <w:lang w:val="en-GB"/>
        </w:rPr>
        <w:t xml:space="preserve">KEQ5 was added </w:t>
      </w:r>
      <w:r w:rsidR="00BB2E56">
        <w:rPr>
          <w:lang w:val="en-GB"/>
        </w:rPr>
        <w:t>after Phase One</w:t>
      </w:r>
      <w:r>
        <w:rPr>
          <w:lang w:val="en-GB"/>
        </w:rPr>
        <w:t xml:space="preserve"> and is not addressed in this report.</w:t>
      </w:r>
    </w:p>
  </w:footnote>
  <w:footnote w:id="11">
    <w:p w14:paraId="35579562" w14:textId="3D195A04" w:rsidR="001B4B3D" w:rsidRPr="009D0D91" w:rsidRDefault="001B4B3D" w:rsidP="001B4B3D">
      <w:pPr>
        <w:pStyle w:val="FootnoteText"/>
      </w:pPr>
      <w:r w:rsidRPr="00C66D55">
        <w:rPr>
          <w:rStyle w:val="FootnoteReference"/>
        </w:rPr>
        <w:footnoteRef/>
      </w:r>
      <w:r w:rsidRPr="00C66D55">
        <w:t xml:space="preserve"> A semi-structured interview is a method that involves asking participants a set of open-ended questions and following </w:t>
      </w:r>
      <w:r w:rsidR="00493A1F" w:rsidRPr="00C66D55">
        <w:t xml:space="preserve">these </w:t>
      </w:r>
      <w:r w:rsidRPr="00C66D55">
        <w:t xml:space="preserve">up with probe questions </w:t>
      </w:r>
      <w:r w:rsidR="00493A1F" w:rsidRPr="00C66D55">
        <w:t xml:space="preserve">that </w:t>
      </w:r>
      <w:r w:rsidRPr="00C66D55">
        <w:t xml:space="preserve">explore </w:t>
      </w:r>
      <w:r w:rsidR="00C66D55" w:rsidRPr="00C66D55">
        <w:t xml:space="preserve">the </w:t>
      </w:r>
      <w:r w:rsidRPr="00C66D55">
        <w:t xml:space="preserve">response further and </w:t>
      </w:r>
      <w:r w:rsidR="00C66D55" w:rsidRPr="00C66D55">
        <w:t xml:space="preserve">make </w:t>
      </w:r>
      <w:r w:rsidRPr="00C66D55">
        <w:t xml:space="preserve">connections </w:t>
      </w:r>
      <w:r w:rsidR="00C66D55" w:rsidRPr="00C66D55">
        <w:t xml:space="preserve">with </w:t>
      </w:r>
      <w:r w:rsidRPr="00C66D55">
        <w:t xml:space="preserve">the key evaluation questions. Semi-structured interviews focus on broader topics of interest and key </w:t>
      </w:r>
      <w:r w:rsidR="00C825B0" w:rsidRPr="00C66D55">
        <w:t xml:space="preserve">evaluation </w:t>
      </w:r>
      <w:r w:rsidRPr="00C66D55">
        <w:t>questions, while allowing the space and flexibility to explore relevant ideas and concepts that may come up during the interview. Qualitative researchers use semi-structured interviews to collect new data, expand the notion of concepts and definitions, as well as to explore participants’ thoughts, beliefs and values about a particular topic.</w:t>
      </w:r>
    </w:p>
  </w:footnote>
  <w:footnote w:id="12">
    <w:p w14:paraId="2FEBEA78" w14:textId="4F2313E2" w:rsidR="004C628C" w:rsidRDefault="004C628C" w:rsidP="004C628C">
      <w:pPr>
        <w:pStyle w:val="FootnoteText"/>
      </w:pPr>
      <w:r w:rsidRPr="005D1C41">
        <w:rPr>
          <w:rStyle w:val="FootnoteReference"/>
        </w:rPr>
        <w:footnoteRef/>
      </w:r>
      <w:r>
        <w:t xml:space="preserve"> Decolonising methodologies</w:t>
      </w:r>
      <w:r w:rsidRPr="008254BE">
        <w:t xml:space="preserve"> </w:t>
      </w:r>
      <w:r>
        <w:t xml:space="preserve">are not about rejecting all theory, research, or Western knowledge. Rather, they are about centring Indigenous concerns and world views and then coming to know and understand theory and research from our own perspectives and for our own purposes </w:t>
      </w:r>
      <w:r>
        <w:fldChar w:fldCharType="begin"/>
      </w:r>
      <w:r w:rsidR="00F8760E">
        <w:instrText xml:space="preserve"> ADDIN ZOTERO_ITEM CSL_CITATION {"citationID":"GaoI97em","properties":{"formattedCitation":"(Smith, 2021, p. 39)","plainCitation":"(Smith, 2021, p. 39)","noteIndex":11},"citationItems":[{"id":3855,"uris":["http://zotero.org/groups/5010721/items/DYLAHUFB",["http://zotero.org/groups/5010721/items/DYLAHUFB"],["http://zotero.org/groups/5010721/items/DYLAHUFB",["http://zotero.org/groups/5010721/items/DYLAHUFB"]]],"itemData":{"id":3855,"type":"book","event-place":"Wellington, New Zealand","ISBN":"1-78699-813-0","publisher":"Bloomsbury Publishing","publisher-place":"Wellington, New Zealand","title":"Decolonizing methodologies: Research and indigenous peoples","author":[{"family":"Smith","given":"Linda Tuhiwai"}],"issued":{"date-parts":[["2021"]]}},"locator":"39","label":"page"}],"schema":"https://github.com/citation-style-language/schema/raw/master/csl-citation.json"} </w:instrText>
      </w:r>
      <w:r>
        <w:fldChar w:fldCharType="separate"/>
      </w:r>
      <w:r w:rsidRPr="00F13387">
        <w:rPr>
          <w:rFonts w:ascii="Arial" w:hAnsi="Arial" w:cs="Arial"/>
        </w:rPr>
        <w:t>(Smith, 2021, p. 39)</w:t>
      </w:r>
      <w:r>
        <w:fldChar w:fldCharType="end"/>
      </w:r>
      <w:r>
        <w:t>. This decolonising (emancipatory) movement advocates building a body of knowledge that has relevance, practical application and vision for Indigenous people.</w:t>
      </w:r>
    </w:p>
    <w:p w14:paraId="088EC202" w14:textId="77777777" w:rsidR="004C628C" w:rsidRPr="003A7136" w:rsidRDefault="004C628C" w:rsidP="004C628C">
      <w:pPr>
        <w:pStyle w:val="FootnoteText"/>
      </w:pPr>
      <w:r>
        <w:t xml:space="preserve"> </w:t>
      </w:r>
    </w:p>
  </w:footnote>
  <w:footnote w:id="13">
    <w:p w14:paraId="73723F4F" w14:textId="77777777" w:rsidR="006A2E3C" w:rsidRPr="006A74C0" w:rsidRDefault="006A2E3C" w:rsidP="006A2E3C">
      <w:pPr>
        <w:pStyle w:val="FootnoteText"/>
      </w:pPr>
      <w:r w:rsidRPr="00B54F61">
        <w:rPr>
          <w:rStyle w:val="FootnoteReference"/>
        </w:rPr>
        <w:footnoteRef/>
      </w:r>
      <w:r w:rsidRPr="00B54F61">
        <w:t xml:space="preserve"> These professionals were selected by the evaluation team based on their knowledge and experience in Aboriginal and Torres Strait Islander health and primary health care systems.</w:t>
      </w:r>
      <w:r>
        <w:t xml:space="preserve"> </w:t>
      </w:r>
    </w:p>
  </w:footnote>
  <w:footnote w:id="14">
    <w:p w14:paraId="57AD52A1" w14:textId="77777777" w:rsidR="00D500A1" w:rsidRPr="00016E96" w:rsidRDefault="00D500A1" w:rsidP="00D500A1">
      <w:pPr>
        <w:pStyle w:val="FootnoteText"/>
        <w:rPr>
          <w:lang w:val="en-GB"/>
        </w:rPr>
      </w:pPr>
      <w:r w:rsidRPr="005D1C41">
        <w:rPr>
          <w:rStyle w:val="FootnoteReference"/>
        </w:rPr>
        <w:footnoteRef/>
      </w:r>
      <w:r>
        <w:t xml:space="preserve"> This work included: (1) the development of an Accountability Framework as part of the National Aboriginal and Torres Strait Islander Health Plan 2021-2031; (2) work under Action 11 of the Closing the Gap Health Sector Strengthening Plan to rectifying the ‘overburden of activity reporting to governments to allow the Aboriginal and Torres Strait Islander community-controlled health sector to focus on outcomes while maintaining accountability’; and (3) the development of the NACCHO Core Services and Outcomes Framework which outlines the foundations for community-controlled comprehensive PHC.</w:t>
      </w:r>
    </w:p>
  </w:footnote>
  <w:footnote w:id="15">
    <w:p w14:paraId="4D40ED2C" w14:textId="68FEB429" w:rsidR="00495A48" w:rsidRPr="000D77A0" w:rsidRDefault="00495A48" w:rsidP="00495A48">
      <w:pPr>
        <w:pStyle w:val="FootnoteText"/>
      </w:pPr>
      <w:r w:rsidRPr="005D1C41">
        <w:rPr>
          <w:rStyle w:val="FootnoteReference"/>
        </w:rPr>
        <w:footnoteRef/>
      </w:r>
      <w:r w:rsidRPr="000D77A0">
        <w:t xml:space="preserve"> Including Aboriginal Community Controlled Health Services (ACCHSs), state and territory</w:t>
      </w:r>
      <w:r>
        <w:t xml:space="preserve"> government</w:t>
      </w:r>
      <w:r w:rsidRPr="000D77A0">
        <w:t xml:space="preserve"> </w:t>
      </w:r>
      <w:r>
        <w:t>primary care services</w:t>
      </w:r>
      <w:r w:rsidRPr="000D77A0">
        <w:t>, non-government organisations and mainstream services (</w:t>
      </w:r>
      <w:r w:rsidR="00B100A1">
        <w:t>for example</w:t>
      </w:r>
      <w:r w:rsidR="00381D45">
        <w:t>,</w:t>
      </w:r>
      <w:r w:rsidRPr="000D77A0">
        <w:t xml:space="preserve"> private general practice).</w:t>
      </w:r>
    </w:p>
  </w:footnote>
  <w:footnote w:id="16">
    <w:p w14:paraId="543D22B9" w14:textId="371581F8" w:rsidR="00576663" w:rsidRPr="00576663" w:rsidRDefault="00576663">
      <w:pPr>
        <w:pStyle w:val="FootnoteText"/>
        <w:rPr>
          <w:lang w:val="en-GB"/>
        </w:rPr>
      </w:pPr>
      <w:r>
        <w:rPr>
          <w:rStyle w:val="FootnoteReference"/>
        </w:rPr>
        <w:footnoteRef/>
      </w:r>
      <w:r>
        <w:t xml:space="preserve"> </w:t>
      </w:r>
      <w:r w:rsidR="003F7C08">
        <w:rPr>
          <w:lang w:val="en-GB"/>
        </w:rPr>
        <w:t xml:space="preserve">Source: </w:t>
      </w:r>
      <w:r w:rsidR="001C0E10">
        <w:rPr>
          <w:lang w:val="en-GB"/>
        </w:rPr>
        <w:t xml:space="preserve">Health </w:t>
      </w:r>
      <w:r w:rsidR="003F7C08">
        <w:rPr>
          <w:lang w:val="en-GB"/>
        </w:rPr>
        <w:t>Portfolio Budget Statements 2021-22 (p63).</w:t>
      </w:r>
    </w:p>
  </w:footnote>
  <w:footnote w:id="17">
    <w:p w14:paraId="0AC3ED9B" w14:textId="77777777" w:rsidR="007F7679" w:rsidRPr="00926AAE" w:rsidRDefault="007F7679" w:rsidP="007F7679">
      <w:pPr>
        <w:pStyle w:val="FootnoteText"/>
        <w:rPr>
          <w:lang w:val="en-GB"/>
        </w:rPr>
      </w:pPr>
      <w:r>
        <w:rPr>
          <w:rStyle w:val="FootnoteReference"/>
        </w:rPr>
        <w:footnoteRef/>
      </w:r>
      <w:r>
        <w:t xml:space="preserve"> </w:t>
      </w:r>
      <w:r>
        <w:rPr>
          <w:lang w:val="en-GB"/>
        </w:rPr>
        <w:t xml:space="preserve">Data from </w:t>
      </w:r>
      <w:r w:rsidRPr="00926AAE">
        <w:t>Health Portfolio Budget Statements</w:t>
      </w:r>
      <w:r>
        <w:t xml:space="preserve"> 2015-16 to 2023-24.</w:t>
      </w:r>
    </w:p>
  </w:footnote>
  <w:footnote w:id="18">
    <w:p w14:paraId="66CEAE92" w14:textId="4D62ED3B" w:rsidR="003340EF" w:rsidRPr="003340EF" w:rsidRDefault="003340EF">
      <w:pPr>
        <w:pStyle w:val="FootnoteText"/>
        <w:rPr>
          <w:lang w:val="en-GB"/>
        </w:rPr>
      </w:pPr>
      <w:r w:rsidRPr="005D1C41">
        <w:rPr>
          <w:rStyle w:val="FootnoteReference"/>
        </w:rPr>
        <w:footnoteRef/>
      </w:r>
      <w:r>
        <w:t xml:space="preserve"> ‘Indigenous Australians’ is used here for consistency with the </w:t>
      </w:r>
      <w:r>
        <w:rPr>
          <w:lang w:val="en-GB"/>
        </w:rPr>
        <w:t>AIHW’s health expenditure data.</w:t>
      </w:r>
    </w:p>
  </w:footnote>
  <w:footnote w:id="19">
    <w:p w14:paraId="0A90E33E" w14:textId="6376260D" w:rsidR="00735668" w:rsidRPr="00735668" w:rsidRDefault="00735668">
      <w:pPr>
        <w:pStyle w:val="FootnoteText"/>
        <w:rPr>
          <w:lang w:val="en-GB"/>
        </w:rPr>
      </w:pPr>
      <w:r w:rsidRPr="005D1C41">
        <w:rPr>
          <w:rStyle w:val="FootnoteReference"/>
        </w:rPr>
        <w:footnoteRef/>
      </w:r>
      <w:r>
        <w:t xml:space="preserve"> T</w:t>
      </w:r>
      <w:r w:rsidRPr="00735668">
        <w:t>his diagram</w:t>
      </w:r>
      <w:r>
        <w:t xml:space="preserve"> of funding flows </w:t>
      </w:r>
      <w:r w:rsidRPr="00735668">
        <w:t xml:space="preserve">was developed when the IAHP was configured into slightly different funding streams than those </w:t>
      </w:r>
      <w:r w:rsidR="00CB3BD2">
        <w:t xml:space="preserve">presented </w:t>
      </w:r>
      <w:r w:rsidR="00A25704">
        <w:t>elsewhere in this section</w:t>
      </w:r>
      <w:r w:rsidR="00CB3BD2" w:rsidRPr="00ED504C">
        <w:t>.</w:t>
      </w:r>
    </w:p>
  </w:footnote>
  <w:footnote w:id="20">
    <w:p w14:paraId="326459FE" w14:textId="77777777" w:rsidR="00D32792" w:rsidRPr="00C17A23" w:rsidRDefault="00D32792" w:rsidP="00D32792">
      <w:pPr>
        <w:pStyle w:val="FootnoteText"/>
        <w:rPr>
          <w:lang w:val="en-NZ"/>
        </w:rPr>
      </w:pPr>
      <w:r w:rsidRPr="005D1C41">
        <w:rPr>
          <w:rStyle w:val="FootnoteReference"/>
        </w:rPr>
        <w:footnoteRef/>
      </w:r>
      <w:r>
        <w:t xml:space="preserve"> </w:t>
      </w:r>
      <w:r w:rsidRPr="00C17A23">
        <w:t>Data provided by the Department of Health and Aged Care, March 2022</w:t>
      </w:r>
      <w:r>
        <w:t>.</w:t>
      </w:r>
    </w:p>
  </w:footnote>
  <w:footnote w:id="21">
    <w:p w14:paraId="4EDD2650" w14:textId="77777777" w:rsidR="00D32792" w:rsidRPr="00C17A23" w:rsidRDefault="00D32792" w:rsidP="00D32792">
      <w:pPr>
        <w:pStyle w:val="FootnoteText"/>
        <w:rPr>
          <w:lang w:val="en-NZ"/>
        </w:rPr>
      </w:pPr>
      <w:r w:rsidRPr="005D1C41">
        <w:rPr>
          <w:rStyle w:val="FootnoteReference"/>
        </w:rPr>
        <w:footnoteRef/>
      </w:r>
      <w:r>
        <w:t xml:space="preserve"> </w:t>
      </w:r>
      <w:r w:rsidRPr="00C17A23">
        <w:t xml:space="preserve">Data provided by the Department of Health and Aged Care, </w:t>
      </w:r>
      <w:r>
        <w:t>December</w:t>
      </w:r>
      <w:r w:rsidRPr="00C17A23">
        <w:t xml:space="preserve"> 2022</w:t>
      </w:r>
      <w:r>
        <w:t>.</w:t>
      </w:r>
    </w:p>
  </w:footnote>
  <w:footnote w:id="22">
    <w:p w14:paraId="5FF8BBAE" w14:textId="38ADB21E" w:rsidR="006C2DB2" w:rsidRPr="00FA1990" w:rsidRDefault="006C2DB2">
      <w:pPr>
        <w:pStyle w:val="FootnoteText"/>
        <w:rPr>
          <w:lang w:val="en-GB"/>
        </w:rPr>
      </w:pPr>
      <w:r w:rsidRPr="005D1C41">
        <w:rPr>
          <w:rStyle w:val="FootnoteReference"/>
        </w:rPr>
        <w:footnoteRef/>
      </w:r>
      <w:r>
        <w:t xml:space="preserve"> </w:t>
      </w:r>
      <w:r w:rsidR="002D01C0">
        <w:rPr>
          <w:lang w:val="en-GB"/>
        </w:rPr>
        <w:t xml:space="preserve">Client data is </w:t>
      </w:r>
      <w:r w:rsidR="00A75485">
        <w:rPr>
          <w:lang w:val="en-GB"/>
        </w:rPr>
        <w:t>from</w:t>
      </w:r>
      <w:r w:rsidR="004D617E">
        <w:rPr>
          <w:lang w:val="en-GB"/>
        </w:rPr>
        <w:t xml:space="preserve"> </w:t>
      </w:r>
      <w:r w:rsidR="00A75485">
        <w:rPr>
          <w:lang w:val="en-GB"/>
        </w:rPr>
        <w:t>th</w:t>
      </w:r>
      <w:r w:rsidR="004D617E">
        <w:rPr>
          <w:lang w:val="en-GB"/>
        </w:rPr>
        <w:t>e</w:t>
      </w:r>
      <w:r w:rsidR="00B81A5A">
        <w:rPr>
          <w:lang w:val="en-GB"/>
        </w:rPr>
        <w:t xml:space="preserve"> OSR data collection</w:t>
      </w:r>
      <w:r w:rsidR="004D617E">
        <w:rPr>
          <w:lang w:val="en-GB"/>
        </w:rPr>
        <w:t xml:space="preserve"> and</w:t>
      </w:r>
      <w:r w:rsidR="00857564">
        <w:rPr>
          <w:lang w:val="en-GB"/>
        </w:rPr>
        <w:t xml:space="preserve"> </w:t>
      </w:r>
      <w:r w:rsidR="00AA228C" w:rsidRPr="00B81A5A">
        <w:t>refers</w:t>
      </w:r>
      <w:r w:rsidR="00B81A5A" w:rsidRPr="00B81A5A">
        <w:t xml:space="preserve"> to how many individuals receive health</w:t>
      </w:r>
      <w:r w:rsidR="009E0166">
        <w:t xml:space="preserve"> </w:t>
      </w:r>
      <w:r w:rsidR="00B81A5A" w:rsidRPr="00B81A5A">
        <w:t xml:space="preserve">care from an organisation during the period. </w:t>
      </w:r>
      <w:r w:rsidR="00FA1990">
        <w:t>T</w:t>
      </w:r>
      <w:r w:rsidR="00B81A5A" w:rsidRPr="00B81A5A">
        <w:t>his refers to Indigenous and non-Indigenous clients.</w:t>
      </w:r>
      <w:r w:rsidR="004D617E">
        <w:t xml:space="preserve"> </w:t>
      </w:r>
      <w:r w:rsidR="007A387A">
        <w:t>There have been changes to the organisations reporting to the OSR collection over reporting periods.</w:t>
      </w:r>
      <w:r w:rsidR="00BF7023">
        <w:t xml:space="preserve"> </w:t>
      </w:r>
      <w:r w:rsidR="000520AF">
        <w:t xml:space="preserve">Currently, data is reported from over </w:t>
      </w:r>
      <w:r w:rsidR="00BF7023">
        <w:t>200</w:t>
      </w:r>
      <w:r w:rsidR="000520AF">
        <w:t xml:space="preserve"> organisations</w:t>
      </w:r>
      <w:r w:rsidR="00EF250F">
        <w:t xml:space="preserve"> that receive funding under the IAHP to deliver</w:t>
      </w:r>
      <w:r w:rsidR="007A387A">
        <w:t xml:space="preserve"> </w:t>
      </w:r>
      <w:r w:rsidR="00EF250F">
        <w:t>co</w:t>
      </w:r>
      <w:r w:rsidR="00EF250F" w:rsidRPr="00EF250F">
        <w:t>mprehensive and culturally appropriate</w:t>
      </w:r>
      <w:r w:rsidR="00EF250F">
        <w:t xml:space="preserve"> PHC services.</w:t>
      </w:r>
    </w:p>
  </w:footnote>
  <w:footnote w:id="23">
    <w:p w14:paraId="73FD8EA1" w14:textId="563FF593" w:rsidR="007C2A7E" w:rsidRPr="00CB63E8" w:rsidRDefault="007C2A7E" w:rsidP="007C2A7E">
      <w:pPr>
        <w:pStyle w:val="FootnoteText"/>
        <w:rPr>
          <w:lang w:val="en-GB"/>
        </w:rPr>
      </w:pPr>
      <w:r w:rsidRPr="005D1C41">
        <w:rPr>
          <w:rStyle w:val="FootnoteReference"/>
        </w:rPr>
        <w:footnoteRef/>
      </w:r>
      <w:r>
        <w:t xml:space="preserve"> </w:t>
      </w:r>
      <w:r>
        <w:rPr>
          <w:lang w:val="en-GB"/>
        </w:rPr>
        <w:t>This reflects several limitations with the data including undercounting of the Indigenous population in ABS population data, double-counting of individual clients across health services in the OSR data collection</w:t>
      </w:r>
      <w:r w:rsidR="0010505B">
        <w:rPr>
          <w:lang w:val="en-GB"/>
        </w:rPr>
        <w:t xml:space="preserve"> (i.e. individuals who attend more than one health service </w:t>
      </w:r>
      <w:r w:rsidR="004A6708">
        <w:rPr>
          <w:lang w:val="en-GB"/>
        </w:rPr>
        <w:t>in a given period)</w:t>
      </w:r>
      <w:r>
        <w:rPr>
          <w:lang w:val="en-GB"/>
        </w:rPr>
        <w:t xml:space="preserve">, counting of non-Indigenous clients in the OSR collection, and transient populations across state and territory borders. </w:t>
      </w:r>
    </w:p>
  </w:footnote>
  <w:footnote w:id="24">
    <w:p w14:paraId="462EA896" w14:textId="77777777" w:rsidR="00F64E7D" w:rsidRPr="00B643AE" w:rsidRDefault="00F64E7D" w:rsidP="00F64E7D">
      <w:pPr>
        <w:pStyle w:val="FootnoteText"/>
        <w:rPr>
          <w:lang w:val="en-NZ"/>
        </w:rPr>
      </w:pPr>
      <w:r w:rsidRPr="005D1C41">
        <w:rPr>
          <w:rStyle w:val="FootnoteReference"/>
        </w:rPr>
        <w:footnoteRef/>
      </w:r>
      <w:r>
        <w:t xml:space="preserve"> </w:t>
      </w:r>
      <w:r>
        <w:rPr>
          <w:lang w:val="en-NZ"/>
        </w:rPr>
        <w:t xml:space="preserve">Brisbane North PHN no longer receives IAHP funding. In July 2022, the ITC program moved to a direct commissioning arrangement between the Department of Health and Aged Care and IUIH. </w:t>
      </w:r>
    </w:p>
  </w:footnote>
  <w:footnote w:id="25">
    <w:p w14:paraId="07065883" w14:textId="1CC1904C" w:rsidR="00F64E7D" w:rsidRPr="00681D74" w:rsidRDefault="00F64E7D" w:rsidP="00F64E7D">
      <w:pPr>
        <w:pStyle w:val="FootnoteText"/>
        <w:rPr>
          <w:lang w:val="en-NZ"/>
        </w:rPr>
      </w:pPr>
      <w:r w:rsidRPr="005D1C41">
        <w:rPr>
          <w:rStyle w:val="FootnoteReference"/>
        </w:rPr>
        <w:footnoteRef/>
      </w:r>
      <w:r>
        <w:t xml:space="preserve"> </w:t>
      </w:r>
      <w:r w:rsidRPr="00C04C6C">
        <w:t>Torres and Cape Hospital and Health Service</w:t>
      </w:r>
      <w:r>
        <w:t xml:space="preserve"> receives IAHP PHC </w:t>
      </w:r>
      <w:r w:rsidR="002844ED">
        <w:t>P</w:t>
      </w:r>
      <w:r>
        <w:t xml:space="preserve">rogram funding for services in the Torres Strait Islands but this service was not a partner in the evaluation. </w:t>
      </w:r>
    </w:p>
  </w:footnote>
  <w:footnote w:id="26">
    <w:p w14:paraId="197E6126" w14:textId="77777777" w:rsidR="00F64E7D" w:rsidRPr="00360141" w:rsidRDefault="00F64E7D" w:rsidP="00F64E7D">
      <w:pPr>
        <w:pStyle w:val="FootnoteText"/>
        <w:rPr>
          <w:lang w:val="en-GB"/>
        </w:rPr>
      </w:pPr>
      <w:r w:rsidRPr="005D1C41">
        <w:rPr>
          <w:rStyle w:val="FootnoteReference"/>
        </w:rPr>
        <w:footnoteRef/>
      </w:r>
      <w:r>
        <w:t xml:space="preserve"> </w:t>
      </w:r>
      <w:r>
        <w:rPr>
          <w:lang w:val="en-GB"/>
        </w:rPr>
        <w:t>This data includes the 23 ACCHSs in the 17 evaluation sites. It excludes grant funding to the NT Regional Health Services as this grant covers the entire NT. It also excludes IAHP funding provided to ACCHSs indirectly through other funded organisations, such as PHNs.</w:t>
      </w:r>
    </w:p>
  </w:footnote>
  <w:footnote w:id="27">
    <w:p w14:paraId="3D36CA38" w14:textId="3D40BB5A" w:rsidR="00CE555A" w:rsidRDefault="00CE555A" w:rsidP="00CE555A">
      <w:pPr>
        <w:pStyle w:val="FootnoteText"/>
      </w:pPr>
      <w:r w:rsidRPr="005D1C41">
        <w:rPr>
          <w:rStyle w:val="FootnoteReference"/>
        </w:rPr>
        <w:footnoteRef/>
      </w:r>
      <w:r>
        <w:t xml:space="preserve"> Babuny (also written as Bahbooney) is the name for </w:t>
      </w:r>
      <w:r w:rsidR="00FE1984">
        <w:rPr>
          <w:i/>
          <w:iCs/>
        </w:rPr>
        <w:t>B</w:t>
      </w:r>
      <w:r w:rsidRPr="002E7126">
        <w:rPr>
          <w:i/>
          <w:iCs/>
        </w:rPr>
        <w:t>rachychiton rupestris</w:t>
      </w:r>
      <w:r>
        <w:t xml:space="preserve">, in the language of the Gunggari people, noting that each of the hundreds of Aboriginal and Torres Strait Islander languages would have their own name.  </w:t>
      </w:r>
    </w:p>
  </w:footnote>
  <w:footnote w:id="28">
    <w:p w14:paraId="54B3594A" w14:textId="14859105" w:rsidR="003B4838" w:rsidRDefault="003B4838" w:rsidP="003B4838">
      <w:pPr>
        <w:pStyle w:val="FootnoteText"/>
      </w:pPr>
      <w:r w:rsidRPr="005D1C41">
        <w:rPr>
          <w:rStyle w:val="FootnoteReference"/>
        </w:rPr>
        <w:footnoteRef/>
      </w:r>
      <w:r>
        <w:t xml:space="preserve"> </w:t>
      </w:r>
      <w:r w:rsidRPr="00441FAE">
        <w:t>The labels used to reflect these concepts on</w:t>
      </w:r>
      <w:r w:rsidR="00176AF5">
        <w:t xml:space="preserve"> </w:t>
      </w:r>
      <w:r w:rsidRPr="00441FAE">
        <w:t xml:space="preserve">Babuny are those used in the </w:t>
      </w:r>
      <w:r w:rsidRPr="00C415FF">
        <w:rPr>
          <w:i/>
          <w:iCs/>
        </w:rPr>
        <w:t xml:space="preserve">Accessibility Framework for Indigenous peoples accessing Indigenous primary health care services </w:t>
      </w:r>
      <w:r w:rsidRPr="00441FAE">
        <w:t xml:space="preserve">developed by the Wardliparingga Aboriginal Research Unit to reflect the coherence </w:t>
      </w:r>
      <w:r>
        <w:t>of</w:t>
      </w:r>
      <w:r w:rsidRPr="00441FAE">
        <w:t xml:space="preserve"> </w:t>
      </w:r>
      <w:r w:rsidR="00DD7FBB">
        <w:t>the evaluation’s</w:t>
      </w:r>
      <w:r w:rsidR="00DD7FBB" w:rsidRPr="00441FAE">
        <w:t xml:space="preserve"> </w:t>
      </w:r>
      <w:r w:rsidRPr="00441FAE">
        <w:t>findings</w:t>
      </w:r>
      <w:r>
        <w:t xml:space="preserve"> with that framework</w:t>
      </w:r>
      <w:r w:rsidRPr="00441FAE">
        <w:t xml:space="preserve"> </w:t>
      </w:r>
      <w:r w:rsidR="00407C1F">
        <w:fldChar w:fldCharType="begin"/>
      </w:r>
      <w:r w:rsidR="00F8760E">
        <w:instrText xml:space="preserve"> ADDIN ZOTERO_ITEM CSL_CITATION {"citationID":"aRVcxuUZ","properties":{"formattedCitation":"(Davy et al., 2016b)","plainCitation":"(Davy et al., 2016b)","noteIndex":27},"citationItems":[{"id":92,"uris":["http://zotero.org/groups/4420056/items/TV4V6VAM",["http://zotero.org/groups/4420056/items/TV4V6VAM"],["http://zotero.org/groups/4420056/items/TV4V6VAM",["http://zotero.org/groups/4420056/items/TV4V6VAM"]]],"itemData":{"id":92,"type":"article-journal","abstract":"Indigenous peoples often find it difficult to access appropriate mainstream primary health care services. Securing access to primary health care services requires more than just services that are situated within easy reach. Ensuring the accessibility of health care for Indigenous peoples who are often faced with a vast array of additional barriers including experiences of discrimination and racism, can be complex. This framework synthesis aimed to identify issues that hindered Indigenous peoples from accessing primary health care and then explore how, if at all, these were addressed by Indigenous health care services.","container-title":"International Journal for Equity in Health","DOI":"10.1186/s12939-016-0450-5","ISSN":"1475-9276","issue":"1","journalAbbreviation":"International Journal for Equity in Health","page":"163","title":"Access to primary health care services for Indigenous peoples: A framework synthesis","URL":"https://doi.org/10.1186/s12939-016-0450-5","volume":"15","author":[{"family":"Davy","given":"Carol"},{"family":"Harfield","given":"Stephen"},{"family":"McArthur","given":"Alexa"},{"family":"Munn","given":"Zachary"},{"family":"Brown","given":"Alex"}],"issued":{"date-parts":[["2016",9,30]]}}}],"schema":"https://github.com/citation-style-language/schema/raw/master/csl-citation.json"} </w:instrText>
      </w:r>
      <w:r w:rsidR="00407C1F">
        <w:fldChar w:fldCharType="separate"/>
      </w:r>
      <w:r w:rsidR="00407C1F" w:rsidRPr="00407C1F">
        <w:rPr>
          <w:rFonts w:ascii="Arial" w:hAnsi="Arial" w:cs="Arial"/>
        </w:rPr>
        <w:t>(Davy et al., 2016b)</w:t>
      </w:r>
      <w:r w:rsidR="00407C1F">
        <w:fldChar w:fldCharType="end"/>
      </w:r>
      <w:r w:rsidRPr="00441FAE">
        <w:t>.</w:t>
      </w:r>
    </w:p>
  </w:footnote>
  <w:footnote w:id="29">
    <w:p w14:paraId="5C4EBBB1" w14:textId="26A84E15" w:rsidR="000150E1" w:rsidRDefault="000150E1">
      <w:pPr>
        <w:pStyle w:val="FootnoteText"/>
      </w:pPr>
      <w:r>
        <w:rPr>
          <w:rStyle w:val="FootnoteReference"/>
        </w:rPr>
        <w:footnoteRef/>
      </w:r>
      <w:r>
        <w:t xml:space="preserve"> A tree’s taproot is th</w:t>
      </w:r>
      <w:r w:rsidR="005141B3">
        <w:t>e</w:t>
      </w:r>
      <w:r>
        <w:t xml:space="preserve"> dominant root from which all other roots </w:t>
      </w:r>
      <w:r w:rsidR="005141B3">
        <w:t>sprout</w:t>
      </w:r>
    </w:p>
  </w:footnote>
  <w:footnote w:id="30">
    <w:p w14:paraId="5C2FE327" w14:textId="687C1EB7" w:rsidR="00BA5553" w:rsidRDefault="00BA5553">
      <w:pPr>
        <w:pStyle w:val="FootnoteText"/>
      </w:pPr>
      <w:r w:rsidRPr="005D1C41">
        <w:rPr>
          <w:rStyle w:val="FootnoteReference"/>
        </w:rPr>
        <w:footnoteRef/>
      </w:r>
      <w:r>
        <w:t xml:space="preserve"> </w:t>
      </w:r>
      <w:r w:rsidR="00E9619C">
        <w:t>Community member.</w:t>
      </w:r>
    </w:p>
  </w:footnote>
  <w:footnote w:id="31">
    <w:p w14:paraId="7DD82F9F" w14:textId="3154812F" w:rsidR="00033759" w:rsidRPr="00B60E7C" w:rsidRDefault="00033759" w:rsidP="00033759">
      <w:pPr>
        <w:pStyle w:val="FootnoteText"/>
        <w:rPr>
          <w:lang w:val="en-NZ"/>
        </w:rPr>
      </w:pPr>
      <w:r w:rsidRPr="005D1C41">
        <w:rPr>
          <w:rStyle w:val="FootnoteReference"/>
        </w:rPr>
        <w:footnoteRef/>
      </w:r>
      <w:r>
        <w:t xml:space="preserve"> </w:t>
      </w:r>
      <w:r>
        <w:rPr>
          <w:lang w:val="en-NZ"/>
        </w:rPr>
        <w:t>Community member.</w:t>
      </w:r>
    </w:p>
  </w:footnote>
  <w:footnote w:id="32">
    <w:p w14:paraId="69A7DBB9" w14:textId="598ACC64" w:rsidR="00033759" w:rsidRPr="000C3A38" w:rsidRDefault="00033759" w:rsidP="00033759">
      <w:pPr>
        <w:pStyle w:val="FootnoteText"/>
        <w:rPr>
          <w:lang w:val="en-NZ"/>
        </w:rPr>
      </w:pPr>
      <w:r w:rsidRPr="005D1C41">
        <w:rPr>
          <w:rStyle w:val="FootnoteReference"/>
        </w:rPr>
        <w:footnoteRef/>
      </w:r>
      <w:r>
        <w:t xml:space="preserve"> </w:t>
      </w:r>
      <w:r>
        <w:rPr>
          <w:lang w:val="en-NZ"/>
        </w:rPr>
        <w:t>Community member.</w:t>
      </w:r>
    </w:p>
  </w:footnote>
  <w:footnote w:id="33">
    <w:p w14:paraId="551A4233" w14:textId="75DA2258" w:rsidR="00C40CCF" w:rsidRPr="00C40CCF" w:rsidRDefault="00C40CCF">
      <w:pPr>
        <w:pStyle w:val="FootnoteText"/>
        <w:rPr>
          <w:lang w:val="en-GB"/>
        </w:rPr>
      </w:pPr>
      <w:r>
        <w:rPr>
          <w:rStyle w:val="FootnoteReference"/>
        </w:rPr>
        <w:footnoteRef/>
      </w:r>
      <w:r>
        <w:t xml:space="preserve"> </w:t>
      </w:r>
      <w:r w:rsidR="005F01C5">
        <w:rPr>
          <w:lang w:val="en-GB"/>
        </w:rPr>
        <w:t>Community members.</w:t>
      </w:r>
    </w:p>
  </w:footnote>
  <w:footnote w:id="34">
    <w:p w14:paraId="59CD1591" w14:textId="763BD258" w:rsidR="00E55696" w:rsidRPr="00CC19A2" w:rsidRDefault="00E55696" w:rsidP="00E55696">
      <w:pPr>
        <w:pStyle w:val="FootnoteText"/>
      </w:pPr>
      <w:r w:rsidRPr="005D1C41">
        <w:rPr>
          <w:rStyle w:val="FootnoteReference"/>
        </w:rPr>
        <w:footnoteRef/>
      </w:r>
      <w:r w:rsidRPr="00CC19A2">
        <w:t xml:space="preserve"> Data from the AIHW shows that the main service gaps reported by Indigenous </w:t>
      </w:r>
      <w:r>
        <w:t>PHC</w:t>
      </w:r>
      <w:r w:rsidRPr="00CC19A2">
        <w:t xml:space="preserve"> organisations</w:t>
      </w:r>
      <w:r>
        <w:t xml:space="preserve"> </w:t>
      </w:r>
      <w:r w:rsidRPr="00CC19A2">
        <w:t xml:space="preserve">receiving PHC </w:t>
      </w:r>
      <w:r w:rsidR="002844ED">
        <w:t>P</w:t>
      </w:r>
      <w:r>
        <w:t xml:space="preserve">rogram </w:t>
      </w:r>
      <w:r w:rsidRPr="00CC19A2">
        <w:t>funding</w:t>
      </w:r>
      <w:r>
        <w:t>,</w:t>
      </w:r>
      <w:r w:rsidRPr="00CC19A2">
        <w:t xml:space="preserve"> included mental health/social and emotional health and wellbeing (68%), youth services (54%) and alcohol, tobacco and other drug services (45%). </w:t>
      </w:r>
      <w:hyperlink r:id="rId2" w:history="1">
        <w:r w:rsidRPr="00CC19A2">
          <w:rPr>
            <w:rStyle w:val="Hyperlink"/>
            <w:rFonts w:asciiTheme="minorHAnsi" w:hAnsiTheme="minorHAnsi"/>
            <w:b w:val="0"/>
            <w:color w:val="auto"/>
            <w:u w:val="none"/>
          </w:rPr>
          <w:t>https://www.indigenoushpf.gov.au/measures/3-14-access-services-compared-with-need</w:t>
        </w:r>
      </w:hyperlink>
    </w:p>
    <w:p w14:paraId="2BC131D8" w14:textId="77777777" w:rsidR="00E55696" w:rsidRDefault="00E55696" w:rsidP="00E55696">
      <w:pPr>
        <w:pStyle w:val="FootnoteText"/>
      </w:pPr>
    </w:p>
  </w:footnote>
  <w:footnote w:id="35">
    <w:p w14:paraId="64D0D058" w14:textId="38BBAEDD" w:rsidR="00E55696" w:rsidRPr="007A1337" w:rsidRDefault="00E55696" w:rsidP="00E55696">
      <w:pPr>
        <w:pStyle w:val="FootnoteText"/>
        <w:rPr>
          <w:lang w:val="en-GB"/>
        </w:rPr>
      </w:pPr>
      <w:r w:rsidRPr="005D1C41">
        <w:rPr>
          <w:rStyle w:val="FootnoteReference"/>
        </w:rPr>
        <w:footnoteRef/>
      </w:r>
      <w:r>
        <w:t xml:space="preserve"> Clinical services have always been </w:t>
      </w:r>
      <w:r w:rsidRPr="00E67DA6">
        <w:rPr>
          <w:i/>
          <w:iCs/>
        </w:rPr>
        <w:t>part of</w:t>
      </w:r>
      <w:r>
        <w:t xml:space="preserve"> the intent of the IAHP. </w:t>
      </w:r>
      <w:r w:rsidRPr="00DE5A5D">
        <w:t>When</w:t>
      </w:r>
      <w:r>
        <w:t xml:space="preserve"> </w:t>
      </w:r>
      <w:r w:rsidRPr="00DE5A5D">
        <w:t xml:space="preserve">the IAHP was established, the consolidation of funding streams was intended to reduce administrative complexity and enable an improved focus on basic health needs (including clinical PHC) at a local level </w:t>
      </w:r>
      <w:r w:rsidRPr="00DE5A5D">
        <w:fldChar w:fldCharType="begin"/>
      </w:r>
      <w:r w:rsidR="00F8760E">
        <w:instrText xml:space="preserve"> ADDIN ZOTERO_ITEM CSL_CITATION {"citationID":"fAvHGlk6","properties":{"formattedCitation":"(Australian National Audit Office, 2018)","plainCitation":"(Australian National Audit Office, 2018)","noteIndex":34},"citationItems":[{"id":3724,"uris":["http://zotero.org/groups/5010721/items/UGS57SCW",["http://zotero.org/groups/5010721/items/UGS57SCW"],["http://zotero.org/groups/5010721/items/UGS57SCW",["http://zotero.org/groups/5010721/items/UGS57SCW"]]],"itemData":{"id":3724,"type":"report","collection-title":"The Auditor-General","event-place":"Canberra","genre":"Performance Audit","number":"50","publisher":"Commonwealth of Australia","publisher-place":"Canberra","title":"Primary Healthcare Grants under the Indigenous Australians' Health Program","URL":"https://www.anao.gov.au/sites/default/files/ANAO_Report_2017-2018_50.pdf","author":[{"literal":"Australian National Audit Office"}],"accessed":{"date-parts":[["2021",9,21]]},"issued":{"date-parts":[["2018"]]}}}],"schema":"https://github.com/citation-style-language/schema/raw/master/csl-citation.json"} </w:instrText>
      </w:r>
      <w:r w:rsidRPr="00DE5A5D">
        <w:fldChar w:fldCharType="separate"/>
      </w:r>
      <w:r w:rsidR="001744A4" w:rsidRPr="001744A4">
        <w:rPr>
          <w:rFonts w:ascii="Arial" w:hAnsi="Arial" w:cs="Arial"/>
        </w:rPr>
        <w:t>(Australian National Audit Office, 2018)</w:t>
      </w:r>
      <w:r w:rsidRPr="00DE5A5D">
        <w:fldChar w:fldCharType="end"/>
      </w:r>
      <w:r w:rsidRPr="00DE5A5D">
        <w:t>.</w:t>
      </w:r>
      <w:r>
        <w:t xml:space="preserve"> </w:t>
      </w:r>
    </w:p>
  </w:footnote>
  <w:footnote w:id="36">
    <w:p w14:paraId="76D8FCF2" w14:textId="77777777" w:rsidR="008C20CD" w:rsidRDefault="008C20CD" w:rsidP="008C20CD">
      <w:pPr>
        <w:pStyle w:val="FootnoteText"/>
      </w:pPr>
      <w:r w:rsidRPr="005D1C41">
        <w:rPr>
          <w:rStyle w:val="FootnoteReference"/>
        </w:rPr>
        <w:footnoteRef/>
      </w:r>
      <w:r>
        <w:t xml:space="preserve"> AIHW data</w:t>
      </w:r>
      <w:r>
        <w:rPr>
          <w:rStyle w:val="FootnoteReference"/>
        </w:rPr>
        <w:t xml:space="preserve"> </w:t>
      </w:r>
      <w:r>
        <w:t>shows that nearly 7% of Indigenous Australians live in areas of low relative supply of GPs.</w:t>
      </w:r>
    </w:p>
  </w:footnote>
  <w:footnote w:id="37">
    <w:p w14:paraId="4F79631A" w14:textId="7308C900" w:rsidR="008C20CD" w:rsidRDefault="008C20CD" w:rsidP="008C20CD">
      <w:pPr>
        <w:pStyle w:val="FootnoteText"/>
      </w:pPr>
      <w:r w:rsidRPr="005D1C41">
        <w:rPr>
          <w:rStyle w:val="FootnoteReference"/>
        </w:rPr>
        <w:footnoteRef/>
      </w:r>
      <w:r w:rsidRPr="000B071D">
        <w:rPr>
          <w:lang w:val="en-NZ"/>
        </w:rPr>
        <w:t xml:space="preserve"> Coombes et al.</w:t>
      </w:r>
      <w:r w:rsidR="00277258">
        <w:rPr>
          <w:lang w:val="da-DK"/>
        </w:rPr>
        <w:fldChar w:fldCharType="begin"/>
      </w:r>
      <w:r w:rsidR="00F8760E">
        <w:rPr>
          <w:lang w:val="en-NZ"/>
        </w:rPr>
        <w:instrText xml:space="preserve"> ADDIN ZOTERO_ITEM CSL_CITATION {"citationID":"jMYsgCcP","properties":{"formattedCitation":"(2022)","plainCitation":"(2022)","noteIndex":36},"citationItems":[{"id":3032,"uris":["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http://zotero.org/groups/4420056/items/3ZB2LG6F"]]]]],"itemData":{"id":3032,"type":"article-journal","container-title":"Journal of the Australian Indigenous HealthInfoNet","issue":"(1)","title":"Culturally Safe and Integrated Primary Health Care: A Case Study of Yerin Eleanor Duncan Aboriginal Health Services’ Holistic Model","volume":"3","author":[{"literal":"Coombes, J., Cullen, P., Bennett-Brook, K., Longbottom, M., Mackean, T., Field, B., &amp; Parry, V."}],"issued":{"date-parts":[["2022"]]}},"label":"page","suppress-author":true}],"schema":"https://github.com/citation-style-language/schema/raw/master/csl-citation.json"} </w:instrText>
      </w:r>
      <w:r w:rsidR="00277258">
        <w:rPr>
          <w:lang w:val="da-DK"/>
        </w:rPr>
        <w:fldChar w:fldCharType="separate"/>
      </w:r>
      <w:r w:rsidR="00333E29" w:rsidRPr="00333E29">
        <w:rPr>
          <w:rFonts w:ascii="Arial" w:hAnsi="Arial" w:cs="Arial"/>
        </w:rPr>
        <w:t>(2022)</w:t>
      </w:r>
      <w:r w:rsidR="00277258">
        <w:rPr>
          <w:lang w:val="da-DK"/>
        </w:rPr>
        <w:fldChar w:fldCharType="end"/>
      </w:r>
      <w:r w:rsidR="00FB46C3" w:rsidRPr="000833E3">
        <w:rPr>
          <w:lang w:val="en-NZ"/>
        </w:rPr>
        <w:t xml:space="preserve"> </w:t>
      </w:r>
      <w:r>
        <w:t>refer to these as ‘soft entry’ pathways.</w:t>
      </w:r>
    </w:p>
  </w:footnote>
  <w:footnote w:id="38">
    <w:p w14:paraId="67CAA6DF" w14:textId="5E21DAE1" w:rsidR="00703D29" w:rsidRPr="00DB34E0" w:rsidRDefault="00703D29" w:rsidP="00703D29">
      <w:pPr>
        <w:pStyle w:val="FootnoteText"/>
        <w:rPr>
          <w:lang w:val="en-NZ"/>
        </w:rPr>
      </w:pPr>
      <w:r w:rsidRPr="005D1C41">
        <w:rPr>
          <w:rStyle w:val="FootnoteReference"/>
        </w:rPr>
        <w:footnoteRef/>
      </w:r>
      <w:r w:rsidRPr="003A0688">
        <w:t xml:space="preserve"> </w:t>
      </w:r>
      <w:r w:rsidR="007C43E6">
        <w:t xml:space="preserve">Source: </w:t>
      </w:r>
      <w:r w:rsidR="007C43E6">
        <w:rPr>
          <w:lang w:val="en-NZ"/>
        </w:rPr>
        <w:t xml:space="preserve">National Health Workforce Dataset. </w:t>
      </w:r>
      <w:r w:rsidR="0075545C">
        <w:rPr>
          <w:lang w:val="en-NZ"/>
        </w:rPr>
        <w:t>Note</w:t>
      </w:r>
      <w:r w:rsidR="00CC63D7">
        <w:rPr>
          <w:lang w:val="en-NZ"/>
        </w:rPr>
        <w:t>s</w:t>
      </w:r>
      <w:r w:rsidR="0075545C">
        <w:rPr>
          <w:lang w:val="en-NZ"/>
        </w:rPr>
        <w:t xml:space="preserve">: </w:t>
      </w:r>
      <w:r w:rsidR="00CC63D7">
        <w:rPr>
          <w:lang w:val="en-NZ"/>
        </w:rPr>
        <w:t xml:space="preserve">(1) </w:t>
      </w:r>
      <w:r w:rsidR="0075545C">
        <w:rPr>
          <w:lang w:val="en-NZ"/>
        </w:rPr>
        <w:t>Restricted to staff</w:t>
      </w:r>
      <w:r w:rsidR="004A572A">
        <w:rPr>
          <w:lang w:val="en-NZ"/>
        </w:rPr>
        <w:t xml:space="preserve"> in clinical job</w:t>
      </w:r>
      <w:r w:rsidR="0075545C">
        <w:rPr>
          <w:lang w:val="en-NZ"/>
        </w:rPr>
        <w:t xml:space="preserve"> roles</w:t>
      </w:r>
      <w:r w:rsidR="00CC63D7">
        <w:rPr>
          <w:lang w:val="en-NZ"/>
        </w:rPr>
        <w:t xml:space="preserve">; </w:t>
      </w:r>
      <w:r w:rsidR="00D77A2C">
        <w:rPr>
          <w:lang w:val="en-NZ"/>
        </w:rPr>
        <w:t xml:space="preserve">(2) Includes staff </w:t>
      </w:r>
      <w:r w:rsidR="00677AD8">
        <w:rPr>
          <w:lang w:val="en-NZ"/>
        </w:rPr>
        <w:t>in a range of settings</w:t>
      </w:r>
      <w:r w:rsidR="009C6F55">
        <w:rPr>
          <w:lang w:val="en-NZ"/>
        </w:rPr>
        <w:t>, combined</w:t>
      </w:r>
      <w:r w:rsidR="00677AD8">
        <w:rPr>
          <w:lang w:val="en-NZ"/>
        </w:rPr>
        <w:t xml:space="preserve"> (</w:t>
      </w:r>
      <w:r w:rsidR="009141A9">
        <w:rPr>
          <w:lang w:val="en-NZ"/>
        </w:rPr>
        <w:t xml:space="preserve">including </w:t>
      </w:r>
      <w:r w:rsidR="00677AD8" w:rsidRPr="00677AD8">
        <w:t>Aboriginal</w:t>
      </w:r>
      <w:r w:rsidR="009141A9">
        <w:t xml:space="preserve"> and Torres Strait Islander</w:t>
      </w:r>
      <w:r w:rsidR="00677AD8" w:rsidRPr="00677AD8">
        <w:t xml:space="preserve"> health organisations, hospitals, and private practice</w:t>
      </w:r>
      <w:r w:rsidR="009141A9">
        <w:t xml:space="preserve">); </w:t>
      </w:r>
      <w:r w:rsidR="00CC63D7">
        <w:rPr>
          <w:lang w:val="en-NZ"/>
        </w:rPr>
        <w:t>(</w:t>
      </w:r>
      <w:r w:rsidR="009141A9">
        <w:rPr>
          <w:lang w:val="en-NZ"/>
        </w:rPr>
        <w:t>3</w:t>
      </w:r>
      <w:r w:rsidR="00CC63D7">
        <w:rPr>
          <w:lang w:val="en-NZ"/>
        </w:rPr>
        <w:t xml:space="preserve">) </w:t>
      </w:r>
      <w:r w:rsidR="005469B1">
        <w:rPr>
          <w:lang w:val="en-NZ"/>
        </w:rPr>
        <w:t>Based on count of people; not FTEs.</w:t>
      </w:r>
    </w:p>
  </w:footnote>
  <w:footnote w:id="39">
    <w:p w14:paraId="5A814B41" w14:textId="2DC4AD28" w:rsidR="002F01B8" w:rsidRDefault="002F01B8" w:rsidP="002F01B8">
      <w:pPr>
        <w:pStyle w:val="FootnoteText"/>
      </w:pPr>
      <w:r w:rsidRPr="005D1C41">
        <w:rPr>
          <w:rStyle w:val="FootnoteReference"/>
        </w:rPr>
        <w:footnoteRef/>
      </w:r>
      <w:r>
        <w:t xml:space="preserve"> </w:t>
      </w:r>
      <w:r w:rsidR="009141A9">
        <w:t xml:space="preserve">Source: </w:t>
      </w:r>
      <w:r w:rsidR="009141A9">
        <w:rPr>
          <w:lang w:val="en-NZ"/>
        </w:rPr>
        <w:t xml:space="preserve">National Health Workforce Dataset. </w:t>
      </w:r>
      <w:r w:rsidR="00D81E86">
        <w:rPr>
          <w:lang w:val="en-NZ"/>
        </w:rPr>
        <w:t xml:space="preserve">Note: </w:t>
      </w:r>
      <w:r>
        <w:t>Site is based on geographical regions</w:t>
      </w:r>
      <w:r w:rsidR="00A828A3">
        <w:t xml:space="preserve"> at SA3 level; </w:t>
      </w:r>
      <w:r>
        <w:t>not</w:t>
      </w:r>
      <w:r w:rsidR="0007600B">
        <w:t xml:space="preserve"> on services</w:t>
      </w:r>
      <w:r w:rsidR="00A828A3">
        <w:t>.</w:t>
      </w:r>
      <w:r>
        <w:t xml:space="preserve"> </w:t>
      </w:r>
    </w:p>
  </w:footnote>
  <w:footnote w:id="40">
    <w:p w14:paraId="0DE79457" w14:textId="13269967" w:rsidR="00F9677B" w:rsidRPr="00F9677B" w:rsidRDefault="00F9677B">
      <w:pPr>
        <w:pStyle w:val="FootnoteText"/>
        <w:rPr>
          <w:lang w:val="en-GB"/>
        </w:rPr>
      </w:pPr>
      <w:r w:rsidRPr="005D1C41">
        <w:rPr>
          <w:rStyle w:val="FootnoteReference"/>
        </w:rPr>
        <w:footnoteRef/>
      </w:r>
      <w:r>
        <w:t xml:space="preserve"> Source: </w:t>
      </w:r>
      <w:r>
        <w:rPr>
          <w:lang w:val="en-NZ"/>
        </w:rPr>
        <w:t>National Health Workforce Dataset.</w:t>
      </w:r>
    </w:p>
  </w:footnote>
  <w:footnote w:id="41">
    <w:p w14:paraId="6EBF3EB3" w14:textId="590BF098" w:rsidR="00FC5E0B" w:rsidRPr="00FC5E0B" w:rsidRDefault="00FC5E0B">
      <w:pPr>
        <w:pStyle w:val="FootnoteText"/>
        <w:rPr>
          <w:lang w:val="en-GB"/>
        </w:rPr>
      </w:pPr>
      <w:r w:rsidRPr="005D1C41">
        <w:rPr>
          <w:rStyle w:val="FootnoteReference"/>
        </w:rPr>
        <w:footnoteRef/>
      </w:r>
      <w:r>
        <w:t xml:space="preserve"> </w:t>
      </w:r>
      <w:r>
        <w:rPr>
          <w:lang w:val="en-GB"/>
        </w:rPr>
        <w:t>Th</w:t>
      </w:r>
      <w:r w:rsidR="00493EA0">
        <w:rPr>
          <w:lang w:val="en-GB"/>
        </w:rPr>
        <w:t xml:space="preserve">e </w:t>
      </w:r>
      <w:r>
        <w:rPr>
          <w:lang w:val="en-GB"/>
        </w:rPr>
        <w:t>distinction</w:t>
      </w:r>
      <w:r w:rsidR="00E3684E">
        <w:rPr>
          <w:lang w:val="en-GB"/>
        </w:rPr>
        <w:t xml:space="preserve"> associated with having these two roles and its departure from </w:t>
      </w:r>
      <w:r w:rsidR="00E3684E" w:rsidRPr="00E3684E">
        <w:t>from the ‘principal-agent’ concept of the relationship between funders and providers</w:t>
      </w:r>
      <w:r w:rsidR="00E3684E">
        <w:t xml:space="preserve"> is discussed by</w:t>
      </w:r>
      <w:r w:rsidR="00E3684E" w:rsidRPr="00E3684E">
        <w:fldChar w:fldCharType="begin"/>
      </w:r>
      <w:r w:rsidR="00F8760E">
        <w:instrText xml:space="preserve"> ADDIN ZOTERO_ITEM CSL_CITATION {"citationID":"Wgr8t3av","properties":{"formattedCitation":"(Dwyer et al., 2014)","plainCitation":"(Dwyer et al., 2014)","dontUpdate":true,"noteIndex":40},"citationItems":[{"id":3644,"uris":["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http://zotero.org/groups/4420056/items/EPUDV9XK"]]]]]],"itemData":{"id":3644,"type":"article-journal","abstract":"This article analyses reforms to contracting and accountability for indigenous primary health care organizations in Canada, New Zealand, and Australia. The reforms are presented as comparative case studies, the common reform features identified and their implications analysed.The reforms share important characteristics. Each proceeds from implicit recognition that indigenous organizations are ‘co-principals’ rather than simply agents in their relationship with government funders and regulators. There is a common tendency towards more relational forms of contracting; and tentative attempts to reconceptualize accountability. These ‘frontier’ cases have broad implications for social service contracting.","container-title":"Public Management Review","DOI":"10.1080/14719037.2013.868507","ISSN":"1471-9037","issue":"8","note":"publisher: Routledge\n_eprint: https://doi.org/10.1080/14719037.2013.868507","page":"1091-1112","source":"Taylor and Francis+NEJM","title":"Indigenous Peoples’ Health Care: New approaches to contracting and accountability at the public administration frontier","title-short":"Indigenous Peoples’ Health Care","URL":"https://doi.org/10.1080/14719037.2013.868507","volume":"16","author":[{"family":"Dwyer","given":"Judith"},{"family":"Boulton","given":"Amohia"},{"family":"Lavoie","given":"Josée G."},{"family":"Tenbensel","given":"Tim"},{"family":"Cumming","given":"Jacqueline"}],"accessed":{"date-parts":[["2023",3,6]]},"issued":{"date-parts":[["2014",11,17]]}}}],"schema":"https://github.com/citation-style-language/schema/raw/master/csl-citation.json"} </w:instrText>
      </w:r>
      <w:r w:rsidR="00E3684E" w:rsidRPr="00E3684E">
        <w:fldChar w:fldCharType="separate"/>
      </w:r>
      <w:r w:rsidR="00885B0C">
        <w:t xml:space="preserve"> </w:t>
      </w:r>
      <w:r w:rsidR="00E3684E" w:rsidRPr="00E3684E">
        <w:t xml:space="preserve">Dwyer et al. </w:t>
      </w:r>
      <w:r w:rsidR="00885B0C">
        <w:t>(</w:t>
      </w:r>
      <w:r w:rsidR="00E3684E" w:rsidRPr="00E3684E">
        <w:t>2014)</w:t>
      </w:r>
      <w:r w:rsidR="00E3684E" w:rsidRPr="00E3684E">
        <w:rPr>
          <w:lang w:val="en-GB"/>
        </w:rPr>
        <w:fldChar w:fldCharType="end"/>
      </w:r>
      <w:r w:rsidR="00E3684E" w:rsidRPr="00E3684E">
        <w:t>.</w:t>
      </w:r>
    </w:p>
  </w:footnote>
  <w:footnote w:id="42">
    <w:p w14:paraId="45596A28" w14:textId="49E3F858" w:rsidR="00C77B80" w:rsidRPr="000426A1" w:rsidRDefault="00C77B80" w:rsidP="00C77B80">
      <w:pPr>
        <w:pStyle w:val="FootnoteText"/>
      </w:pPr>
      <w:r w:rsidRPr="005D1C41">
        <w:rPr>
          <w:rStyle w:val="FootnoteReference"/>
        </w:rPr>
        <w:footnoteRef/>
      </w:r>
      <w:r w:rsidRPr="000426A1">
        <w:t xml:space="preserve"> </w:t>
      </w:r>
      <w:r w:rsidRPr="000426A1">
        <w:rPr>
          <w:lang w:val="en-NZ"/>
        </w:rPr>
        <w:t xml:space="preserve">The Health Performance Framework </w:t>
      </w:r>
      <w:r w:rsidRPr="000426A1">
        <w:rPr>
          <w:lang w:val="en-NZ"/>
        </w:rPr>
        <w:fldChar w:fldCharType="begin"/>
      </w:r>
      <w:r w:rsidR="00F8760E">
        <w:rPr>
          <w:lang w:val="en-NZ"/>
        </w:rPr>
        <w:instrText xml:space="preserve"> ADDIN ZOTERO_ITEM CSL_CITATION {"citationID":"EUvoxNYr","properties":{"formattedCitation":"(Australian Institute of Health and Welfare, 2020a)","plainCitation":"(Australian Institute of Health and Welfare, 2020a)","noteIndex":41},"citationItems":[{"id":3730,"uris":["http://zotero.org/groups/5010721/items/RM6M3J7J",["http://zotero.org/groups/5010721/items/RM6M3J7J"],["http://zotero.org/groups/5010721/items/RM6M3J7J",["http://zotero.org/groups/5010721/items/RM6M3J7J"]]],"itemData":{"id":3730,"type":"report","abstract":"The information comes from numerous sources to provide a comprehensive, up-to-date view of the state of Aboriginal and Torres Strait Islander health outcomes, health system performance and the broader determinants of health in one area.","event-place":"Canberra","genre":"Cat. no.","language":"en-AU","number":"IHPF 2","publisher":"Commonwealth of Australia","publisher-place":"Canberra","title":"Aboriginal and Torres Strait Islander Health Performance Framework 2020 summary report","URL":"https://www.indigenoushpf.gov.au/publications/hpf-summary-2020","author":[{"literal":"Australian Institute of Health and Welfare"}],"accessed":{"date-parts":[["2021",9,28]]},"issued":{"date-parts":[["2020"]]}}}],"schema":"https://github.com/citation-style-language/schema/raw/master/csl-citation.json"} </w:instrText>
      </w:r>
      <w:r w:rsidRPr="000426A1">
        <w:rPr>
          <w:lang w:val="en-NZ"/>
        </w:rPr>
        <w:fldChar w:fldCharType="separate"/>
      </w:r>
      <w:r w:rsidRPr="000426A1">
        <w:rPr>
          <w:rFonts w:ascii="Arial" w:hAnsi="Arial" w:cs="Arial"/>
        </w:rPr>
        <w:t>(Australian Institute of Health and Welfare, 2020a)</w:t>
      </w:r>
      <w:r w:rsidRPr="000426A1">
        <w:rPr>
          <w:lang w:val="en-NZ"/>
        </w:rPr>
        <w:fldChar w:fldCharType="end"/>
      </w:r>
      <w:r w:rsidRPr="000426A1">
        <w:rPr>
          <w:lang w:val="en-NZ"/>
        </w:rPr>
        <w:t xml:space="preserve"> reported data from the Australian Aboriginal and Torres Strait Islander Health Survey, which assessed the reason(s) why participants did not attend a doctor in the last 12 months when they needed to (according to self-identifying a need to). Table D3.14.14 available from </w:t>
      </w:r>
      <w:hyperlink r:id="rId3" w:anchor="DataSource" w:history="1">
        <w:r w:rsidRPr="000426A1">
          <w:rPr>
            <w:lang w:val="en-NZ"/>
          </w:rPr>
          <w:t>https://www.indigenoushpf.gov.au/measures/3-14-access-services-compared-with-need/data#DataSource</w:t>
        </w:r>
      </w:hyperlink>
      <w:r w:rsidRPr="000426A1">
        <w:t xml:space="preserve"> </w:t>
      </w:r>
    </w:p>
  </w:footnote>
  <w:footnote w:id="43">
    <w:p w14:paraId="56F49245" w14:textId="77777777" w:rsidR="00317F03" w:rsidRPr="00EB1D0A" w:rsidRDefault="00317F03" w:rsidP="00317F03">
      <w:pPr>
        <w:pStyle w:val="FootnoteText"/>
        <w:rPr>
          <w:lang w:val="en-GB"/>
        </w:rPr>
      </w:pPr>
      <w:r w:rsidRPr="005D1C41">
        <w:rPr>
          <w:rStyle w:val="FootnoteReference"/>
        </w:rPr>
        <w:footnoteRef/>
      </w:r>
      <w:r>
        <w:t xml:space="preserve"> </w:t>
      </w:r>
      <w:r>
        <w:rPr>
          <w:lang w:val="en-GB"/>
        </w:rPr>
        <w:t xml:space="preserve">Client data from OSR (provided by AIHW); population estimate as at 30 </w:t>
      </w:r>
      <w:r w:rsidRPr="008445FA">
        <w:rPr>
          <w:lang w:val="en-GB"/>
        </w:rPr>
        <w:t xml:space="preserve">June 2021 from ABS </w:t>
      </w:r>
      <w:r w:rsidRPr="008445FA">
        <w:t>(</w:t>
      </w:r>
      <w:hyperlink r:id="rId4" w:history="1">
        <w:r w:rsidRPr="008445FA">
          <w:rPr>
            <w:lang w:val="en-GB"/>
          </w:rPr>
          <w:t>https://www.abs.gov.au/statistics/people/aboriginal-and-torres-strait-islander-peoples/estimates-aboriginal-and-torres-strait-islander-australians/jun-2021</w:t>
        </w:r>
      </w:hyperlink>
      <w:r w:rsidRPr="008445FA">
        <w:rPr>
          <w:lang w:val="en-GB"/>
        </w:rPr>
        <w:t>)</w:t>
      </w:r>
      <w:r>
        <w:rPr>
          <w:lang w:val="en-GB"/>
        </w:rPr>
        <w:t xml:space="preserve"> </w:t>
      </w:r>
    </w:p>
  </w:footnote>
  <w:footnote w:id="44">
    <w:p w14:paraId="194479F7" w14:textId="5B55EEDA" w:rsidR="00DC0DFC" w:rsidRPr="00DC0DFC" w:rsidRDefault="00DC0DFC">
      <w:pPr>
        <w:pStyle w:val="FootnoteText"/>
        <w:rPr>
          <w:lang w:val="en-GB"/>
        </w:rPr>
      </w:pPr>
      <w:r w:rsidRPr="005D1C41">
        <w:rPr>
          <w:rStyle w:val="FootnoteReference"/>
        </w:rPr>
        <w:footnoteRef/>
      </w:r>
      <w:r>
        <w:t xml:space="preserve"> </w:t>
      </w:r>
      <w:r>
        <w:rPr>
          <w:lang w:val="en-GB"/>
        </w:rPr>
        <w:t>These four funding streams were</w:t>
      </w:r>
      <w:r w:rsidR="00DE7028">
        <w:rPr>
          <w:lang w:val="en-GB"/>
        </w:rPr>
        <w:t xml:space="preserve">: primary health care; </w:t>
      </w:r>
      <w:r w:rsidR="00AA3DDC">
        <w:rPr>
          <w:lang w:val="en-GB"/>
        </w:rPr>
        <w:t xml:space="preserve">child and maternal health programs; </w:t>
      </w:r>
      <w:r w:rsidR="00B3186A">
        <w:rPr>
          <w:lang w:val="en-GB"/>
        </w:rPr>
        <w:t xml:space="preserve">Stronger Futures in the Northern Territory (Health); and </w:t>
      </w:r>
      <w:r w:rsidR="00AA53C6">
        <w:rPr>
          <w:lang w:val="en-GB"/>
        </w:rPr>
        <w:t xml:space="preserve">programs covered </w:t>
      </w:r>
      <w:r w:rsidR="00B638BC">
        <w:rPr>
          <w:lang w:val="en-GB"/>
        </w:rPr>
        <w:t>by the Aboriginal and Torres Strait Islander Chronic Disease Fund.</w:t>
      </w:r>
      <w:r>
        <w:rPr>
          <w:lang w:val="en-GB"/>
        </w:rPr>
        <w:t xml:space="preserve"> </w:t>
      </w:r>
    </w:p>
  </w:footnote>
  <w:footnote w:id="45">
    <w:p w14:paraId="21888342" w14:textId="5CA3E67C" w:rsidR="002E4B48" w:rsidRPr="00360141" w:rsidRDefault="002E4B48" w:rsidP="002E4B48">
      <w:pPr>
        <w:pStyle w:val="FootnoteText"/>
        <w:rPr>
          <w:lang w:val="en-GB"/>
        </w:rPr>
      </w:pPr>
      <w:r w:rsidRPr="005D1C41">
        <w:rPr>
          <w:rStyle w:val="FootnoteReference"/>
        </w:rPr>
        <w:footnoteRef/>
      </w:r>
      <w:r>
        <w:t xml:space="preserve"> </w:t>
      </w:r>
      <w:r>
        <w:rPr>
          <w:lang w:val="en-GB"/>
        </w:rPr>
        <w:t>This data includes the 23 ACCHSs in the 17 evaluation sites. It excludes grant funding to the NT Regional Health Services as this grant covers the entire NT. It also excludes IAHP funding provided to ACCHSs indirectly through other funded organisations, such as PHNs.</w:t>
      </w:r>
    </w:p>
  </w:footnote>
  <w:footnote w:id="46">
    <w:p w14:paraId="5A67315B" w14:textId="77777777" w:rsidR="00E44E72" w:rsidRDefault="00E44E72" w:rsidP="00E44E72">
      <w:pPr>
        <w:pStyle w:val="FootnoteText"/>
      </w:pPr>
      <w:r w:rsidRPr="005D1C41">
        <w:rPr>
          <w:rStyle w:val="FootnoteReference"/>
        </w:rPr>
        <w:footnoteRef/>
      </w:r>
      <w:r>
        <w:t xml:space="preserve"> GrantConnect.</w:t>
      </w:r>
    </w:p>
  </w:footnote>
  <w:footnote w:id="47">
    <w:p w14:paraId="43DD622D" w14:textId="77777777" w:rsidR="00E44E72" w:rsidRDefault="00E44E72" w:rsidP="00E44E72">
      <w:pPr>
        <w:pStyle w:val="FootnoteText"/>
      </w:pPr>
      <w:r w:rsidRPr="005D1C41">
        <w:rPr>
          <w:rStyle w:val="FootnoteReference"/>
        </w:rPr>
        <w:footnoteRef/>
      </w:r>
      <w:r>
        <w:t xml:space="preserve"> </w:t>
      </w:r>
      <w:r w:rsidRPr="004D1252">
        <w:t xml:space="preserve">Five organisations were awarded more than 50 grants, with a maximum of 248. These are not reflected in the average of 16 reported </w:t>
      </w:r>
      <w:r>
        <w:t>here</w:t>
      </w:r>
      <w:r w:rsidRPr="004D1252">
        <w:t>.</w:t>
      </w:r>
    </w:p>
  </w:footnote>
  <w:footnote w:id="48">
    <w:p w14:paraId="240F0FAE" w14:textId="77777777" w:rsidR="00C23684" w:rsidRPr="001D003B" w:rsidRDefault="00C23684" w:rsidP="00C23684">
      <w:pPr>
        <w:pStyle w:val="FootnoteText"/>
        <w:rPr>
          <w:lang w:val="en-GB"/>
        </w:rPr>
      </w:pPr>
      <w:r w:rsidRPr="005D1C41">
        <w:rPr>
          <w:rStyle w:val="FootnoteReference"/>
        </w:rPr>
        <w:footnoteRef/>
      </w:r>
      <w:r>
        <w:t xml:space="preserve"> </w:t>
      </w:r>
      <w:r w:rsidRPr="00995272">
        <w:rPr>
          <w:rStyle w:val="FootnoteReference"/>
          <w:szCs w:val="18"/>
          <w:vertAlign w:val="baseline"/>
        </w:rPr>
        <w:t xml:space="preserve">GrantConnect is the Australian Government’s grants information system: </w:t>
      </w:r>
      <w:hyperlink r:id="rId5" w:history="1">
        <w:r w:rsidRPr="00995272">
          <w:rPr>
            <w:rStyle w:val="Hyperlink"/>
            <w:b w:val="0"/>
            <w:bCs/>
            <w:color w:val="auto"/>
            <w:szCs w:val="18"/>
          </w:rPr>
          <w:t>https://www.grants.gov.au/</w:t>
        </w:r>
      </w:hyperlink>
    </w:p>
  </w:footnote>
  <w:footnote w:id="49">
    <w:p w14:paraId="183DE7FA" w14:textId="7384E1C5" w:rsidR="001D003B" w:rsidRPr="001D003B" w:rsidRDefault="001D003B">
      <w:pPr>
        <w:pStyle w:val="FootnoteText"/>
        <w:rPr>
          <w:lang w:val="en-GB"/>
        </w:rPr>
      </w:pPr>
      <w:r w:rsidRPr="005D1C41">
        <w:rPr>
          <w:rStyle w:val="FootnoteReference"/>
        </w:rPr>
        <w:footnoteRef/>
      </w:r>
      <w:r>
        <w:t xml:space="preserve"> </w:t>
      </w:r>
      <w:r w:rsidR="00CC454A" w:rsidRPr="00995272">
        <w:rPr>
          <w:rStyle w:val="FootnoteReference"/>
          <w:szCs w:val="18"/>
          <w:vertAlign w:val="baseline"/>
        </w:rPr>
        <w:t xml:space="preserve">GrantConnect is the Australian Government’s grants information system: </w:t>
      </w:r>
      <w:hyperlink r:id="rId6" w:history="1">
        <w:r w:rsidR="00CC454A" w:rsidRPr="00995272">
          <w:rPr>
            <w:rStyle w:val="Hyperlink"/>
            <w:b w:val="0"/>
            <w:bCs/>
            <w:color w:val="auto"/>
            <w:szCs w:val="18"/>
          </w:rPr>
          <w:t>https://www.grants.gov.au/</w:t>
        </w:r>
      </w:hyperlink>
    </w:p>
  </w:footnote>
  <w:footnote w:id="50">
    <w:p w14:paraId="2FDA6509" w14:textId="77777777" w:rsidR="00E44E72" w:rsidRPr="0077752C" w:rsidRDefault="00E44E72" w:rsidP="00E44E72">
      <w:pPr>
        <w:pStyle w:val="FootnoteText"/>
      </w:pPr>
      <w:r w:rsidRPr="005D1C41">
        <w:rPr>
          <w:rStyle w:val="FootnoteReference"/>
        </w:rPr>
        <w:footnoteRef/>
      </w:r>
      <w:r>
        <w:t xml:space="preserve"> </w:t>
      </w:r>
      <w:r w:rsidRPr="008D742E">
        <w:t xml:space="preserve">The COAG Section 19(2) Exemptions Initiative overrides </w:t>
      </w:r>
      <w:r w:rsidRPr="0077752C">
        <w:t>Section 19(2) of the Health Insurance Act 1973 (the Act) that prohibits the payment of Medicare benefits where other government funding is provided for that service</w:t>
      </w:r>
      <w:r w:rsidRPr="008D742E">
        <w:t>.</w:t>
      </w:r>
    </w:p>
  </w:footnote>
  <w:footnote w:id="51">
    <w:p w14:paraId="47D13C0E" w14:textId="15146BDB" w:rsidR="00812FA6" w:rsidRPr="00812FA6" w:rsidRDefault="00812FA6">
      <w:pPr>
        <w:pStyle w:val="FootnoteText"/>
        <w:rPr>
          <w:lang w:val="en-GB"/>
        </w:rPr>
      </w:pPr>
      <w:r>
        <w:rPr>
          <w:rStyle w:val="FootnoteReference"/>
        </w:rPr>
        <w:footnoteRef/>
      </w:r>
      <w:r>
        <w:t xml:space="preserve"> </w:t>
      </w:r>
      <w:r w:rsidR="008A2B91">
        <w:rPr>
          <w:lang w:val="en-GB"/>
        </w:rPr>
        <w:t>The PHC Program funding model include</w:t>
      </w:r>
      <w:r w:rsidR="00FC4898">
        <w:rPr>
          <w:lang w:val="en-GB"/>
        </w:rPr>
        <w:t>s</w:t>
      </w:r>
      <w:r w:rsidR="00533FED">
        <w:rPr>
          <w:lang w:val="en-GB"/>
        </w:rPr>
        <w:t xml:space="preserve"> adjustment</w:t>
      </w:r>
      <w:r w:rsidR="00FC4898">
        <w:rPr>
          <w:lang w:val="en-GB"/>
        </w:rPr>
        <w:t xml:space="preserve">s for location and health care needs. </w:t>
      </w:r>
      <w:r w:rsidR="00A52253">
        <w:rPr>
          <w:lang w:val="en-GB"/>
        </w:rPr>
        <w:t>Major cities</w:t>
      </w:r>
      <w:r w:rsidR="0094536D">
        <w:rPr>
          <w:lang w:val="en-GB"/>
        </w:rPr>
        <w:t xml:space="preserve"> do not attract a location multiplier</w:t>
      </w:r>
      <w:r w:rsidR="00A52253">
        <w:rPr>
          <w:lang w:val="en-GB"/>
        </w:rPr>
        <w:t xml:space="preserve">. The health care needs adjustment </w:t>
      </w:r>
      <w:r w:rsidR="002E2FA3">
        <w:rPr>
          <w:lang w:val="en-GB"/>
        </w:rPr>
        <w:t>is made up of an estimate of the impacts of the social determinants of health, and an estimate of the burden of disease in the population.</w:t>
      </w:r>
      <w:r w:rsidR="0094536D">
        <w:rPr>
          <w:lang w:val="en-GB"/>
        </w:rPr>
        <w:t xml:space="preserve"> </w:t>
      </w:r>
    </w:p>
  </w:footnote>
  <w:footnote w:id="52">
    <w:p w14:paraId="54405EDD" w14:textId="785F60AE" w:rsidR="00CA77F3" w:rsidRDefault="00CA77F3" w:rsidP="00CA77F3">
      <w:pPr>
        <w:pStyle w:val="FootnoteText"/>
      </w:pPr>
      <w:r w:rsidRPr="005D1C41">
        <w:rPr>
          <w:rStyle w:val="FootnoteReference"/>
        </w:rPr>
        <w:footnoteRef/>
      </w:r>
      <w:r>
        <w:t xml:space="preserve"> OSR data from organisations receiving IAHP funding.</w:t>
      </w:r>
      <w:r w:rsidR="008E4DBE">
        <w:t xml:space="preserve"> Provided by AIHW</w:t>
      </w:r>
    </w:p>
  </w:footnote>
  <w:footnote w:id="53">
    <w:p w14:paraId="64D85BC5" w14:textId="725BDE06" w:rsidR="00CE7838" w:rsidRPr="00CE7838" w:rsidRDefault="00CE7838">
      <w:pPr>
        <w:pStyle w:val="FootnoteText"/>
        <w:rPr>
          <w:lang w:val="en-GB"/>
        </w:rPr>
      </w:pPr>
      <w:r w:rsidRPr="005D1C41">
        <w:rPr>
          <w:rStyle w:val="FootnoteReference"/>
        </w:rPr>
        <w:footnoteRef/>
      </w:r>
      <w:r>
        <w:t xml:space="preserve"> OSR data from organisations receiving IAHP funding.</w:t>
      </w:r>
    </w:p>
  </w:footnote>
  <w:footnote w:id="54">
    <w:p w14:paraId="7C8D3F15" w14:textId="77777777" w:rsidR="0027196E" w:rsidRPr="00FF2E80" w:rsidRDefault="0027196E" w:rsidP="0027196E">
      <w:pPr>
        <w:pStyle w:val="FootnoteText"/>
        <w:rPr>
          <w:lang w:val="en-NZ"/>
        </w:rPr>
      </w:pPr>
      <w:r w:rsidRPr="005D1C41">
        <w:rPr>
          <w:rStyle w:val="FootnoteReference"/>
        </w:rPr>
        <w:footnoteRef/>
      </w:r>
      <w:r>
        <w:t xml:space="preserve"> </w:t>
      </w:r>
      <w:r>
        <w:rPr>
          <w:lang w:val="en-NZ"/>
        </w:rPr>
        <w:t xml:space="preserve">AIHW </w:t>
      </w:r>
      <w:r w:rsidRPr="00C74FBC">
        <w:rPr>
          <w:lang w:val="en-NZ"/>
        </w:rPr>
        <w:t xml:space="preserve">OSR collection. </w:t>
      </w:r>
      <w:hyperlink r:id="rId7" w:history="1">
        <w:r w:rsidRPr="00C74FBC">
          <w:rPr>
            <w:lang w:val="en-NZ"/>
          </w:rPr>
          <w:t>www.aihw.gov.au</w:t>
        </w:r>
      </w:hyperlink>
      <w:r w:rsidRPr="00C74FBC">
        <w:rPr>
          <w:lang w:val="en-NZ"/>
        </w:rPr>
        <w:t xml:space="preserve"> [accessed</w:t>
      </w:r>
      <w:r>
        <w:rPr>
          <w:lang w:val="en-NZ"/>
        </w:rPr>
        <w:t xml:space="preserve"> 10 March 2023].</w:t>
      </w:r>
    </w:p>
  </w:footnote>
  <w:footnote w:id="55">
    <w:p w14:paraId="0FE1CA55" w14:textId="66F99CBB" w:rsidR="00F3254E" w:rsidRPr="00892DFB" w:rsidRDefault="00F3254E" w:rsidP="00F3254E">
      <w:pPr>
        <w:pStyle w:val="FootnoteText"/>
        <w:rPr>
          <w:lang w:val="en-GB"/>
        </w:rPr>
      </w:pPr>
      <w:r w:rsidRPr="00A07906">
        <w:rPr>
          <w:rStyle w:val="FootnoteReference"/>
        </w:rPr>
        <w:footnoteRef/>
      </w:r>
      <w:r w:rsidRPr="00A07906">
        <w:t xml:space="preserve"> </w:t>
      </w:r>
      <w:r w:rsidRPr="00A07906">
        <w:rPr>
          <w:lang w:val="en-GB"/>
        </w:rPr>
        <w:t xml:space="preserve">Health workforce data </w:t>
      </w:r>
      <w:r w:rsidR="00051CA5">
        <w:rPr>
          <w:lang w:val="en-GB"/>
        </w:rPr>
        <w:t>were</w:t>
      </w:r>
      <w:r w:rsidR="00051CA5" w:rsidRPr="00A07906">
        <w:rPr>
          <w:lang w:val="en-GB"/>
        </w:rPr>
        <w:t xml:space="preserve"> </w:t>
      </w:r>
      <w:r w:rsidR="00162F11" w:rsidRPr="00A07906">
        <w:rPr>
          <w:lang w:val="en-GB"/>
        </w:rPr>
        <w:t xml:space="preserve">sourced from the National Health Workforce </w:t>
      </w:r>
      <w:r w:rsidR="00CA6298" w:rsidRPr="00A07906">
        <w:rPr>
          <w:lang w:val="en-GB"/>
        </w:rPr>
        <w:t>D</w:t>
      </w:r>
      <w:r w:rsidR="00162F11" w:rsidRPr="00A07906">
        <w:rPr>
          <w:lang w:val="en-GB"/>
        </w:rPr>
        <w:t xml:space="preserve">ataset and </w:t>
      </w:r>
      <w:r w:rsidRPr="00A07906">
        <w:rPr>
          <w:lang w:val="en-GB"/>
        </w:rPr>
        <w:t>was provided by the Department of Health and Aged Care.</w:t>
      </w:r>
      <w:r w:rsidR="00A9597D" w:rsidRPr="00A07906">
        <w:rPr>
          <w:lang w:val="en-GB"/>
        </w:rPr>
        <w:t xml:space="preserve"> The workforce setting for </w:t>
      </w:r>
      <w:r w:rsidR="005C666B" w:rsidRPr="00A07906">
        <w:rPr>
          <w:lang w:val="en-GB"/>
        </w:rPr>
        <w:t>‘Aborig</w:t>
      </w:r>
      <w:r w:rsidR="007E1698" w:rsidRPr="00A07906">
        <w:rPr>
          <w:lang w:val="en-GB"/>
        </w:rPr>
        <w:t>i</w:t>
      </w:r>
      <w:r w:rsidR="005C666B" w:rsidRPr="00A07906">
        <w:rPr>
          <w:lang w:val="en-GB"/>
        </w:rPr>
        <w:t>nal health organi</w:t>
      </w:r>
      <w:r w:rsidR="007E1698" w:rsidRPr="00A07906">
        <w:rPr>
          <w:lang w:val="en-GB"/>
        </w:rPr>
        <w:t>s</w:t>
      </w:r>
      <w:r w:rsidR="005C666B" w:rsidRPr="00A07906">
        <w:rPr>
          <w:lang w:val="en-GB"/>
        </w:rPr>
        <w:t>ation’ includes</w:t>
      </w:r>
      <w:r w:rsidR="00B617F1" w:rsidRPr="00A07906">
        <w:rPr>
          <w:lang w:val="en-GB"/>
        </w:rPr>
        <w:t xml:space="preserve"> two categories in the </w:t>
      </w:r>
      <w:r w:rsidR="00804BEB" w:rsidRPr="00A07906">
        <w:rPr>
          <w:lang w:val="en-GB"/>
        </w:rPr>
        <w:t>dataset: ‘Aboriginal health service’ and ‘Other Aboriginal health service’.</w:t>
      </w:r>
      <w:r w:rsidR="00B617F1">
        <w:rPr>
          <w:lang w:val="en-GB"/>
        </w:rPr>
        <w:t xml:space="preserve"> </w:t>
      </w:r>
    </w:p>
  </w:footnote>
  <w:footnote w:id="56">
    <w:p w14:paraId="23D27451" w14:textId="0745C153" w:rsidR="00BF1949" w:rsidRPr="00BF1949" w:rsidRDefault="00BF1949">
      <w:pPr>
        <w:pStyle w:val="FootnoteText"/>
        <w:rPr>
          <w:lang w:val="en-GB"/>
        </w:rPr>
      </w:pPr>
      <w:r>
        <w:rPr>
          <w:rStyle w:val="FootnoteReference"/>
        </w:rPr>
        <w:footnoteRef/>
      </w:r>
      <w:r>
        <w:t xml:space="preserve"> </w:t>
      </w:r>
      <w:r w:rsidR="00183E9E">
        <w:rPr>
          <w:lang w:val="en-NZ"/>
        </w:rPr>
        <w:t>Source: National Health Workforce Dataset.</w:t>
      </w:r>
    </w:p>
  </w:footnote>
  <w:footnote w:id="57">
    <w:p w14:paraId="51C68608" w14:textId="415DB68F" w:rsidR="00183E9E" w:rsidRPr="00183E9E" w:rsidRDefault="00183E9E">
      <w:pPr>
        <w:pStyle w:val="FootnoteText"/>
        <w:rPr>
          <w:lang w:val="en-GB"/>
        </w:rPr>
      </w:pPr>
      <w:r>
        <w:rPr>
          <w:rStyle w:val="FootnoteReference"/>
        </w:rPr>
        <w:footnoteRef/>
      </w:r>
      <w:r>
        <w:t xml:space="preserve"> </w:t>
      </w:r>
      <w:r>
        <w:rPr>
          <w:lang w:val="en-NZ"/>
        </w:rPr>
        <w:t>Source: National Health Workforce Dataset.</w:t>
      </w:r>
    </w:p>
  </w:footnote>
  <w:footnote w:id="58">
    <w:p w14:paraId="00B67EB8" w14:textId="642FA174" w:rsidR="00A16A8A" w:rsidRPr="009C1DE5" w:rsidRDefault="00A16A8A" w:rsidP="00A16A8A">
      <w:pPr>
        <w:pStyle w:val="FootnoteText"/>
      </w:pPr>
      <w:r w:rsidRPr="005D1C41">
        <w:rPr>
          <w:rStyle w:val="FootnoteReference"/>
        </w:rPr>
        <w:footnoteRef/>
      </w:r>
      <w:r>
        <w:t xml:space="preserve"> The Implementation Plan Advisory Group</w:t>
      </w:r>
      <w:r w:rsidRPr="009C1DE5">
        <w:rPr>
          <w:rFonts w:ascii="Segoe UI" w:hAnsi="Segoe UI" w:cs="Segoe UI"/>
          <w:color w:val="313131"/>
          <w:shd w:val="clear" w:color="auto" w:fill="FFFFFF"/>
        </w:rPr>
        <w:t xml:space="preserve"> </w:t>
      </w:r>
      <w:r w:rsidRPr="009C1DE5">
        <w:t>work</w:t>
      </w:r>
      <w:r>
        <w:t>s</w:t>
      </w:r>
      <w:r w:rsidRPr="009C1DE5">
        <w:t xml:space="preserve"> in partnership with the Australian Government to monitor and review the </w:t>
      </w:r>
      <w:hyperlink r:id="rId8" w:history="1">
        <w:r w:rsidRPr="009C1DE5">
          <w:rPr>
            <w:i/>
            <w:iCs/>
          </w:rPr>
          <w:t>Implementation Plan for the National Aboriginal and Torres Strait Islander Health Plan 2013–2023</w:t>
        </w:r>
      </w:hyperlink>
      <w:r>
        <w:rPr>
          <w:i/>
          <w:iCs/>
        </w:rPr>
        <w:t xml:space="preserve">. </w:t>
      </w:r>
      <w:r>
        <w:t>The National Health Leadership Forum is a partnership of national Aboriginal and Torres Strait Islander health and wellbeing organisations. It pro</w:t>
      </w:r>
      <w:r w:rsidRPr="00B8546E">
        <w:t>vides advice and direction to the Australian Government on policy and program objectives that contribute to improved and equitable health and life outcomes, and cultural wellbeing.</w:t>
      </w:r>
      <w:r>
        <w:t xml:space="preserve"> Health Partnership Forums exist in each state and territory and provide a formal</w:t>
      </w:r>
      <w:r w:rsidRPr="00B8546E">
        <w:t xml:space="preserve"> way for members to work together, plan and share information.</w:t>
      </w:r>
      <w:r>
        <w:t xml:space="preserve"> Members include peak organisations for ACCHSs, state and territory government health departments, and the Australian Government Department of Health</w:t>
      </w:r>
      <w:r w:rsidR="00AD78BF">
        <w:t xml:space="preserve"> and Aged Care</w:t>
      </w:r>
      <w:r>
        <w:t xml:space="preserve">. </w:t>
      </w:r>
      <w:r w:rsidRPr="00B8546E">
        <w:t> </w:t>
      </w:r>
    </w:p>
  </w:footnote>
  <w:footnote w:id="59">
    <w:p w14:paraId="4D3971DA" w14:textId="1D3893F8" w:rsidR="00974B80" w:rsidRPr="00974B80" w:rsidRDefault="00974B80">
      <w:pPr>
        <w:pStyle w:val="FootnoteText"/>
        <w:rPr>
          <w:lang w:val="en-GB"/>
        </w:rPr>
      </w:pPr>
      <w:r w:rsidRPr="005D1C41">
        <w:rPr>
          <w:rStyle w:val="FootnoteReference"/>
        </w:rPr>
        <w:footnoteRef/>
      </w:r>
      <w:r>
        <w:t xml:space="preserve"> </w:t>
      </w:r>
      <w:r>
        <w:rPr>
          <w:lang w:val="en-GB"/>
        </w:rPr>
        <w:t xml:space="preserve">A strategic collaboration between the Aboriginal community-controlled health sector, </w:t>
      </w:r>
      <w:r w:rsidR="00A403F4">
        <w:rPr>
          <w:lang w:val="en-GB"/>
        </w:rPr>
        <w:t>the mainstream health sector</w:t>
      </w:r>
      <w:r w:rsidR="006B51B0">
        <w:rPr>
          <w:lang w:val="en-GB"/>
        </w:rPr>
        <w:t>,</w:t>
      </w:r>
      <w:r w:rsidR="00A403F4">
        <w:rPr>
          <w:lang w:val="en-GB"/>
        </w:rPr>
        <w:t xml:space="preserve"> and the Victorian Department of Health.</w:t>
      </w:r>
    </w:p>
  </w:footnote>
  <w:footnote w:id="60">
    <w:p w14:paraId="3564AE00" w14:textId="1EA53C8F" w:rsidR="00E30D2C" w:rsidRPr="00E30D2C" w:rsidRDefault="00E30D2C">
      <w:pPr>
        <w:pStyle w:val="FootnoteText"/>
        <w:rPr>
          <w:lang w:val="en-NZ"/>
        </w:rPr>
      </w:pPr>
      <w:r w:rsidRPr="005D1C41">
        <w:rPr>
          <w:rStyle w:val="FootnoteReference"/>
        </w:rPr>
        <w:footnoteRef/>
      </w:r>
      <w:r>
        <w:t xml:space="preserve"> </w:t>
      </w:r>
      <w:r w:rsidR="00BA41C1">
        <w:t>S</w:t>
      </w:r>
      <w:r w:rsidR="00BA41C1" w:rsidRPr="00C1435A">
        <w:t xml:space="preserve">ee </w:t>
      </w:r>
      <w:r w:rsidR="00C1435A" w:rsidRPr="00C1435A">
        <w:t xml:space="preserve">Final Report Supporting Material: Appendix G </w:t>
      </w:r>
      <w:r w:rsidR="00BA41C1" w:rsidRPr="00C1435A">
        <w:t>for a discussion on funding processes and responsibilities.</w:t>
      </w:r>
    </w:p>
  </w:footnote>
  <w:footnote w:id="61">
    <w:p w14:paraId="5BCBDAB0" w14:textId="4D5330F1" w:rsidR="00417E5F" w:rsidRPr="00417E5F" w:rsidRDefault="00417E5F">
      <w:pPr>
        <w:pStyle w:val="FootnoteText"/>
        <w:rPr>
          <w:lang w:val="en-NZ"/>
        </w:rPr>
      </w:pPr>
      <w:r w:rsidRPr="005D1C41">
        <w:rPr>
          <w:rStyle w:val="FootnoteReference"/>
        </w:rPr>
        <w:footnoteRef/>
      </w:r>
      <w:r>
        <w:t xml:space="preserve"> </w:t>
      </w:r>
      <w:r w:rsidR="00C46B74">
        <w:rPr>
          <w:lang w:val="en-NZ"/>
        </w:rPr>
        <w:t>Currently</w:t>
      </w:r>
      <w:r w:rsidR="00FF6254">
        <w:rPr>
          <w:lang w:val="en-NZ"/>
        </w:rPr>
        <w:t>,</w:t>
      </w:r>
      <w:r w:rsidR="00C46B74">
        <w:rPr>
          <w:lang w:val="en-NZ"/>
        </w:rPr>
        <w:t xml:space="preserve"> 22 of the 24 nKPIs are reported through the </w:t>
      </w:r>
      <w:r w:rsidR="00FF6254">
        <w:rPr>
          <w:lang w:val="en-NZ"/>
        </w:rPr>
        <w:t>Health Data Portal.</w:t>
      </w:r>
    </w:p>
  </w:footnote>
  <w:footnote w:id="62">
    <w:p w14:paraId="7F0AA339" w14:textId="77777777" w:rsidR="006717E9" w:rsidRPr="003117A5" w:rsidRDefault="006717E9" w:rsidP="006717E9">
      <w:pPr>
        <w:pStyle w:val="FootnoteText"/>
        <w:rPr>
          <w:lang w:val="en-GB"/>
        </w:rPr>
      </w:pPr>
      <w:r w:rsidRPr="005D1C41">
        <w:rPr>
          <w:rStyle w:val="FootnoteReference"/>
        </w:rPr>
        <w:footnoteRef/>
      </w:r>
      <w:r>
        <w:t xml:space="preserve"> </w:t>
      </w:r>
      <w:r>
        <w:rPr>
          <w:lang w:val="en-GB"/>
        </w:rPr>
        <w:t>Based on only three ACCHSs, this data should not be treated as representative of all ACCHSs. We aimed to collect reporting data from six ACCHSs but it was not readily available. The three ACCHSs that provided data were from regional (2) and remote (1) areas, had an average of 3,500 regular clients and annual revenue of $12 million.</w:t>
      </w:r>
    </w:p>
  </w:footnote>
  <w:footnote w:id="63">
    <w:p w14:paraId="6BAB3576" w14:textId="3C7E105D" w:rsidR="006D57FC" w:rsidRPr="006D57FC" w:rsidRDefault="006D57FC">
      <w:pPr>
        <w:pStyle w:val="FootnoteText"/>
        <w:rPr>
          <w:lang w:val="en-NZ"/>
        </w:rPr>
      </w:pPr>
      <w:r w:rsidRPr="005D1C41">
        <w:rPr>
          <w:rStyle w:val="FootnoteReference"/>
        </w:rPr>
        <w:footnoteRef/>
      </w:r>
      <w:r>
        <w:t xml:space="preserve"> </w:t>
      </w:r>
      <w:r w:rsidR="00D2643C">
        <w:rPr>
          <w:lang w:val="en-NZ"/>
        </w:rPr>
        <w:t xml:space="preserve">These examples of how ACCHSs are using </w:t>
      </w:r>
      <w:r w:rsidR="004A027F">
        <w:rPr>
          <w:lang w:val="en-NZ"/>
        </w:rPr>
        <w:t>nKPI and OSR data</w:t>
      </w:r>
      <w:r w:rsidR="00CD6700">
        <w:rPr>
          <w:lang w:val="en-NZ"/>
        </w:rPr>
        <w:t xml:space="preserve"> are to support understanding about how the data is used</w:t>
      </w:r>
      <w:r w:rsidR="003E4992">
        <w:rPr>
          <w:lang w:val="en-NZ"/>
        </w:rPr>
        <w:t xml:space="preserve">. The evaluation </w:t>
      </w:r>
      <w:r w:rsidR="006A0B6B">
        <w:rPr>
          <w:lang w:val="en-NZ"/>
        </w:rPr>
        <w:t xml:space="preserve">did not </w:t>
      </w:r>
      <w:r w:rsidR="002B4F70">
        <w:rPr>
          <w:lang w:val="en-NZ"/>
        </w:rPr>
        <w:t xml:space="preserve">attempt to </w:t>
      </w:r>
      <w:r w:rsidR="00146257">
        <w:rPr>
          <w:lang w:val="en-NZ"/>
        </w:rPr>
        <w:t>measure</w:t>
      </w:r>
      <w:r w:rsidR="002B4F70">
        <w:rPr>
          <w:lang w:val="en-NZ"/>
        </w:rPr>
        <w:t xml:space="preserve"> the </w:t>
      </w:r>
      <w:r w:rsidR="009204B5">
        <w:rPr>
          <w:lang w:val="en-NZ"/>
        </w:rPr>
        <w:t xml:space="preserve">extent the data </w:t>
      </w:r>
      <w:r w:rsidR="00051CA5">
        <w:rPr>
          <w:lang w:val="en-NZ"/>
        </w:rPr>
        <w:t xml:space="preserve">were </w:t>
      </w:r>
      <w:r w:rsidR="009204B5">
        <w:rPr>
          <w:lang w:val="en-NZ"/>
        </w:rPr>
        <w:t>being used in these ways.</w:t>
      </w:r>
      <w:r w:rsidR="00CD6700">
        <w:rPr>
          <w:lang w:val="en-NZ"/>
        </w:rPr>
        <w:t xml:space="preserve"> </w:t>
      </w:r>
      <w:r w:rsidR="00F95E7D">
        <w:rPr>
          <w:lang w:val="en-NZ"/>
        </w:rPr>
        <w:t xml:space="preserve">The data comes from </w:t>
      </w:r>
      <w:r w:rsidR="00A8387D">
        <w:rPr>
          <w:lang w:val="en-NZ"/>
        </w:rPr>
        <w:t xml:space="preserve">interviews that focused on </w:t>
      </w:r>
      <w:r w:rsidR="00C27EE8">
        <w:rPr>
          <w:lang w:val="en-NZ"/>
        </w:rPr>
        <w:t xml:space="preserve">how services were using </w:t>
      </w:r>
      <w:r w:rsidR="00382190">
        <w:rPr>
          <w:lang w:val="en-NZ"/>
        </w:rPr>
        <w:t>d</w:t>
      </w:r>
      <w:r w:rsidR="00C27EE8">
        <w:rPr>
          <w:lang w:val="en-NZ"/>
        </w:rPr>
        <w:t>ata and how useful th</w:t>
      </w:r>
      <w:r w:rsidR="00977F26">
        <w:rPr>
          <w:lang w:val="en-NZ"/>
        </w:rPr>
        <w:t>is was</w:t>
      </w:r>
      <w:r w:rsidR="00C27EE8">
        <w:rPr>
          <w:lang w:val="en-NZ"/>
        </w:rPr>
        <w:t>.</w:t>
      </w:r>
    </w:p>
  </w:footnote>
  <w:footnote w:id="64">
    <w:p w14:paraId="3B00FC2A" w14:textId="22777B6F" w:rsidR="00A762F6" w:rsidRPr="00966686" w:rsidRDefault="00A762F6" w:rsidP="00A762F6">
      <w:pPr>
        <w:pStyle w:val="FootnoteText"/>
      </w:pPr>
      <w:r w:rsidRPr="00DD4759">
        <w:rPr>
          <w:rStyle w:val="FootnoteReference"/>
          <w:rFonts w:ascii="Arial" w:hAnsi="Arial" w:cs="Arial"/>
        </w:rPr>
        <w:footnoteRef/>
      </w:r>
      <w:r w:rsidRPr="00DD4759">
        <w:t xml:space="preserve"> </w:t>
      </w:r>
      <w:r w:rsidRPr="00DD4759">
        <w:rPr>
          <w:shd w:val="clear" w:color="auto" w:fill="FFFFFF"/>
        </w:rPr>
        <w:t xml:space="preserve">Mortality data are only reported by </w:t>
      </w:r>
      <w:r w:rsidR="00092013">
        <w:rPr>
          <w:shd w:val="clear" w:color="auto" w:fill="FFFFFF"/>
        </w:rPr>
        <w:t>five</w:t>
      </w:r>
      <w:r w:rsidRPr="00DD4759">
        <w:rPr>
          <w:shd w:val="clear" w:color="auto" w:fill="FFFFFF"/>
        </w:rPr>
        <w:t xml:space="preserve"> jurisdictions. For some indicators, Victoria had not reported at the time of compiling data.</w:t>
      </w:r>
    </w:p>
  </w:footnote>
  <w:footnote w:id="65">
    <w:p w14:paraId="2FD69BBE" w14:textId="594EA227" w:rsidR="00A762F6" w:rsidRPr="00D61C0D" w:rsidRDefault="00A762F6" w:rsidP="00A762F6">
      <w:pPr>
        <w:pStyle w:val="FootnoteText"/>
        <w:rPr>
          <w:lang w:val="en-US"/>
        </w:rPr>
      </w:pPr>
      <w:r w:rsidRPr="005D1C41">
        <w:rPr>
          <w:rStyle w:val="FootnoteReference"/>
        </w:rPr>
        <w:footnoteRef/>
      </w:r>
      <w:r>
        <w:t xml:space="preserve"> </w:t>
      </w:r>
      <w:r>
        <w:rPr>
          <w:lang w:val="en-US"/>
        </w:rPr>
        <w:t>A concept known as statistical power – the probability that a statistical test detects an effect, assuming it exists.</w:t>
      </w:r>
    </w:p>
  </w:footnote>
  <w:footnote w:id="66">
    <w:p w14:paraId="5721A29C" w14:textId="20824908" w:rsidR="00A762F6" w:rsidRPr="00D61C0D" w:rsidRDefault="00A762F6" w:rsidP="00A762F6">
      <w:pPr>
        <w:pStyle w:val="FootnoteText"/>
        <w:rPr>
          <w:lang w:val="en-US"/>
        </w:rPr>
      </w:pPr>
      <w:r w:rsidRPr="005D1C41">
        <w:rPr>
          <w:rStyle w:val="FootnoteReference"/>
        </w:rPr>
        <w:footnoteRef/>
      </w:r>
      <w:r>
        <w:t xml:space="preserve"> A general guideline of effect sizes: small</w:t>
      </w:r>
      <w:r w:rsidR="007B7BF6">
        <w:t xml:space="preserve"> </w:t>
      </w:r>
      <w:r>
        <w:t>=</w:t>
      </w:r>
      <w:r w:rsidR="007B7BF6">
        <w:t xml:space="preserve"> </w:t>
      </w:r>
      <w:r>
        <w:t>.10, medium</w:t>
      </w:r>
      <w:r w:rsidR="007B7BF6">
        <w:t xml:space="preserve"> </w:t>
      </w:r>
      <w:r>
        <w:t>=</w:t>
      </w:r>
      <w:r w:rsidR="007B7BF6">
        <w:t xml:space="preserve"> </w:t>
      </w:r>
      <w:r>
        <w:t>.30, large</w:t>
      </w:r>
      <w:r w:rsidR="007B7BF6">
        <w:t xml:space="preserve"> </w:t>
      </w:r>
      <w:r>
        <w:t>=</w:t>
      </w:r>
      <w:r w:rsidR="007B7BF6">
        <w:t xml:space="preserve"> </w:t>
      </w:r>
      <w:r>
        <w:t xml:space="preserve">.50 is given for </w:t>
      </w:r>
      <w:r>
        <w:rPr>
          <w:lang w:val="en-US"/>
        </w:rPr>
        <w:t>Cohen’s</w:t>
      </w:r>
      <w:r w:rsidR="00AA54F5">
        <w:rPr>
          <w:lang w:val="en-US"/>
        </w:rPr>
        <w:t xml:space="preserve"> (1998)</w:t>
      </w:r>
      <w:r>
        <w:rPr>
          <w:lang w:val="en-US"/>
        </w:rPr>
        <w:t xml:space="preserve"> </w:t>
      </w:r>
      <w:r>
        <w:rPr>
          <w:rFonts w:cstheme="minorHAnsi"/>
          <w:lang w:val="en-US"/>
        </w:rPr>
        <w:t>ω</w:t>
      </w:r>
      <w:r>
        <w:rPr>
          <w:lang w:val="en-US"/>
        </w:rPr>
        <w:t xml:space="preserve"> - a measure of effect size for categorical associations in </w:t>
      </w:r>
      <w:r w:rsidR="0078205E" w:rsidRPr="00AA54F5">
        <w:rPr>
          <w:lang w:val="en-US"/>
        </w:rPr>
        <w:fldChar w:fldCharType="begin"/>
      </w:r>
      <w:r w:rsidR="00F8760E">
        <w:rPr>
          <w:lang w:val="en-US"/>
        </w:rPr>
        <w:instrText xml:space="preserve"> ADDIN ZOTERO_ITEM CSL_CITATION {"citationID":"aV0Ez5zk","properties":{"formattedCitation":"(Cohen, 1988)","plainCitation":"(Cohen, 1988)","noteIndex":65},"citationItems":[{"id":3907,"uris":["http://zotero.org/groups/5010721/items/WNB7RCRE",["http://zotero.org/groups/5010721/items/WNB7RCRE"]],"itemData":{"id":3907,"type":"book","call-number":"HA29 .C66 1988","edition":"2nd ed","event-place":"Hillsdale, N.J","ISBN":"978-0-8058-0283-2","language":"en","number-of-pages":"567","publisher":"L. Erlbaum Associates","publisher-place":"Hillsdale, N.J","source":"Library of Congress ISBN","title":"Statistical power analysis for the behavioral sciences","author":[{"family":"Cohen","given":"Jacob"}],"issued":{"date-parts":[["1988"]]}}}],"schema":"https://github.com/citation-style-language/schema/raw/master/csl-citation.json"} </w:instrText>
      </w:r>
      <w:r w:rsidR="0078205E" w:rsidRPr="00AA54F5">
        <w:rPr>
          <w:lang w:val="en-US"/>
        </w:rPr>
        <w:fldChar w:fldCharType="separate"/>
      </w:r>
      <w:r w:rsidR="0078205E" w:rsidRPr="00AA54F5">
        <w:rPr>
          <w:rFonts w:ascii="Arial" w:hAnsi="Arial" w:cs="Arial"/>
        </w:rPr>
        <w:t>(Cohen, 1988)</w:t>
      </w:r>
      <w:r w:rsidR="0078205E" w:rsidRPr="00AA54F5">
        <w:rPr>
          <w:lang w:val="en-US"/>
        </w:rPr>
        <w:fldChar w:fldCharType="end"/>
      </w:r>
      <w:r w:rsidRPr="00AA54F5">
        <w:rPr>
          <w:lang w:val="en-US"/>
        </w:rPr>
        <w:t>.</w:t>
      </w:r>
    </w:p>
  </w:footnote>
  <w:footnote w:id="67">
    <w:p w14:paraId="0BAEDDD9" w14:textId="77777777" w:rsidR="004363AA" w:rsidRDefault="004363AA" w:rsidP="003E1A0A">
      <w:pPr>
        <w:pStyle w:val="FootnoteText"/>
      </w:pPr>
      <w:r>
        <w:rPr>
          <w:vertAlign w:val="superscript"/>
        </w:rPr>
        <w:footnoteRef/>
      </w:r>
      <w:r>
        <w:rPr>
          <w:szCs w:val="20"/>
        </w:rPr>
        <w:t xml:space="preserve"> </w:t>
      </w:r>
      <w:r>
        <w:rPr>
          <w:highlight w:val="white"/>
        </w:rPr>
        <w:t>The diagnosis established after study to be chiefly responsible for occasioning a patient's service event or episode. (https://meteor.aihw.gov.au/content/433351)</w:t>
      </w:r>
    </w:p>
  </w:footnote>
  <w:footnote w:id="68">
    <w:p w14:paraId="4E8183C8" w14:textId="5E96AB5E" w:rsidR="004363AA" w:rsidRDefault="004363AA" w:rsidP="003E1A0A">
      <w:pPr>
        <w:pStyle w:val="FootnoteText"/>
        <w:rPr>
          <w:sz w:val="12"/>
          <w:szCs w:val="12"/>
        </w:rPr>
      </w:pPr>
      <w:r>
        <w:rPr>
          <w:vertAlign w:val="superscript"/>
        </w:rPr>
        <w:footnoteRef/>
      </w:r>
      <w:r>
        <w:rPr>
          <w:szCs w:val="20"/>
        </w:rPr>
        <w:t xml:space="preserve"> </w:t>
      </w:r>
      <w:r>
        <w:rPr>
          <w:highlight w:val="white"/>
        </w:rPr>
        <w:t>A condition or complaint either co</w:t>
      </w:r>
      <w:r w:rsidR="005B592A">
        <w:rPr>
          <w:highlight w:val="white"/>
        </w:rPr>
        <w:t>-</w:t>
      </w:r>
      <w:r>
        <w:rPr>
          <w:highlight w:val="white"/>
        </w:rPr>
        <w:t>existing with the principal diagnosis or arising during a service event or episode. (https://meteor.aihw.gov.au/content/641014)</w:t>
      </w:r>
    </w:p>
  </w:footnote>
  <w:footnote w:id="69">
    <w:p w14:paraId="57D8BA30" w14:textId="760B536D" w:rsidR="002A67DB" w:rsidRPr="00DD245E" w:rsidRDefault="002A67DB" w:rsidP="002A67DB">
      <w:pPr>
        <w:pStyle w:val="FootnoteText"/>
        <w:rPr>
          <w:lang w:val="en-NZ"/>
        </w:rPr>
      </w:pPr>
      <w:r w:rsidRPr="005D1C41">
        <w:rPr>
          <w:rStyle w:val="FootnoteReference"/>
        </w:rPr>
        <w:footnoteRef/>
      </w:r>
      <w:r>
        <w:t xml:space="preserve"> </w:t>
      </w:r>
      <w:r w:rsidRPr="005D6670">
        <w:rPr>
          <w:lang w:val="en-US"/>
        </w:rPr>
        <w:t>A</w:t>
      </w:r>
      <w:r>
        <w:rPr>
          <w:lang w:val="en-US"/>
        </w:rPr>
        <w:t>n MBS</w:t>
      </w:r>
      <w:r w:rsidRPr="005D6670">
        <w:rPr>
          <w:lang w:val="en-US"/>
        </w:rPr>
        <w:t xml:space="preserve"> 715 health assessment can be conducted by any </w:t>
      </w:r>
      <w:r>
        <w:rPr>
          <w:lang w:val="en-US"/>
        </w:rPr>
        <w:t xml:space="preserve">mainstream </w:t>
      </w:r>
      <w:r w:rsidRPr="005D6670">
        <w:rPr>
          <w:lang w:val="en-US"/>
        </w:rPr>
        <w:t>general practice or Aboriginal</w:t>
      </w:r>
      <w:r>
        <w:rPr>
          <w:lang w:val="en-US"/>
        </w:rPr>
        <w:t xml:space="preserve"> and Torres Strait Islander </w:t>
      </w:r>
      <w:r w:rsidRPr="005D6670">
        <w:rPr>
          <w:lang w:val="en-US"/>
        </w:rPr>
        <w:t xml:space="preserve">health </w:t>
      </w:r>
      <w:r w:rsidR="00DD0F34" w:rsidRPr="005D6670">
        <w:rPr>
          <w:lang w:val="en-US"/>
        </w:rPr>
        <w:t>service and</w:t>
      </w:r>
      <w:r w:rsidRPr="005D6670">
        <w:rPr>
          <w:lang w:val="en-US"/>
        </w:rPr>
        <w:t xml:space="preserve"> is recommended as an annual check for all Aboriginal and Torres Strait Islander people. Completion of 715 health assessments is a</w:t>
      </w:r>
      <w:r>
        <w:rPr>
          <w:lang w:val="en-US"/>
        </w:rPr>
        <w:t>n</w:t>
      </w:r>
      <w:r w:rsidRPr="005D6670">
        <w:rPr>
          <w:lang w:val="en-US"/>
        </w:rPr>
        <w:t xml:space="preserve"> nKPI. </w:t>
      </w:r>
      <w:r w:rsidR="00536931">
        <w:rPr>
          <w:lang w:val="en-US"/>
        </w:rPr>
        <w:t>The</w:t>
      </w:r>
      <w:r w:rsidR="00536931" w:rsidRPr="005D6670">
        <w:rPr>
          <w:lang w:val="en-US"/>
        </w:rPr>
        <w:t xml:space="preserve"> </w:t>
      </w:r>
      <w:r w:rsidRPr="005D6670">
        <w:rPr>
          <w:lang w:val="en-US"/>
        </w:rPr>
        <w:t xml:space="preserve">working assumption was that widespread use of the 715 health assessment leads to appropriate follow-up </w:t>
      </w:r>
      <w:r>
        <w:rPr>
          <w:lang w:val="en-US"/>
        </w:rPr>
        <w:t xml:space="preserve">health </w:t>
      </w:r>
      <w:r w:rsidRPr="005D6670">
        <w:rPr>
          <w:lang w:val="en-US"/>
        </w:rPr>
        <w:t>care (tests and other services) and the conduct of this follow-up care results in better health outcomes.</w:t>
      </w:r>
    </w:p>
  </w:footnote>
  <w:footnote w:id="70">
    <w:p w14:paraId="306BAFC9" w14:textId="02FB0445" w:rsidR="002A67DB" w:rsidRPr="00654689" w:rsidRDefault="002A67DB" w:rsidP="002A67DB">
      <w:pPr>
        <w:pStyle w:val="FootnoteText"/>
        <w:rPr>
          <w:lang w:val="en-NZ"/>
        </w:rPr>
      </w:pPr>
      <w:r w:rsidRPr="005D1C41">
        <w:rPr>
          <w:rStyle w:val="FootnoteReference"/>
        </w:rPr>
        <w:footnoteRef/>
      </w:r>
      <w:r>
        <w:t xml:space="preserve"> The ACCHS in one site, </w:t>
      </w:r>
      <w:r>
        <w:rPr>
          <w:lang w:val="en-NZ"/>
        </w:rPr>
        <w:t xml:space="preserve">the Torres Strait Islands, did not receive IAHP PHC </w:t>
      </w:r>
      <w:r w:rsidR="002844ED">
        <w:rPr>
          <w:lang w:val="en-NZ"/>
        </w:rPr>
        <w:t>P</w:t>
      </w:r>
      <w:r>
        <w:rPr>
          <w:lang w:val="en-NZ"/>
        </w:rPr>
        <w:t>rogram funding so did not report nKPI data.</w:t>
      </w:r>
    </w:p>
  </w:footnote>
  <w:footnote w:id="71">
    <w:p w14:paraId="12DC555A" w14:textId="77777777" w:rsidR="00BF5DF1" w:rsidRPr="00270A69" w:rsidRDefault="00BF5DF1" w:rsidP="00BF5DF1">
      <w:pPr>
        <w:pStyle w:val="FootnoteText"/>
        <w:rPr>
          <w:lang w:val="en-GB"/>
        </w:rPr>
      </w:pPr>
      <w:r w:rsidRPr="005D1C41">
        <w:rPr>
          <w:rStyle w:val="FootnoteReference"/>
        </w:rPr>
        <w:footnoteRef/>
      </w:r>
      <w:r>
        <w:t xml:space="preserve"> </w:t>
      </w:r>
      <w:r w:rsidRPr="00270A69">
        <w:t> </w:t>
      </w:r>
      <w:r>
        <w:t>A</w:t>
      </w:r>
      <w:r w:rsidRPr="00270A69">
        <w:t xml:space="preserve">n alcohol screen that can help identify </w:t>
      </w:r>
      <w:r>
        <w:t>people</w:t>
      </w:r>
      <w:r w:rsidRPr="00270A69">
        <w:t xml:space="preserve"> who are hazardous drinkers or have active alcohol use disorders</w:t>
      </w:r>
      <w:r>
        <w:t>.</w:t>
      </w:r>
    </w:p>
  </w:footnote>
  <w:footnote w:id="72">
    <w:p w14:paraId="566FD8D1" w14:textId="34CBA449" w:rsidR="00AE418C" w:rsidRPr="00AE418C" w:rsidRDefault="00AE418C">
      <w:pPr>
        <w:pStyle w:val="FootnoteText"/>
        <w:rPr>
          <w:lang w:val="en-GB"/>
        </w:rPr>
      </w:pPr>
      <w:r w:rsidRPr="005D1C41">
        <w:rPr>
          <w:rStyle w:val="FootnoteReference"/>
        </w:rPr>
        <w:footnoteRef/>
      </w:r>
      <w:r>
        <w:t xml:space="preserve"> M</w:t>
      </w:r>
      <w:r w:rsidRPr="00AE418C">
        <w:t>easure</w:t>
      </w:r>
      <w:r>
        <w:t xml:space="preserve"> of </w:t>
      </w:r>
      <w:r w:rsidRPr="00AE418C">
        <w:t>blood glucose (sugar) levels</w:t>
      </w:r>
      <w:r>
        <w:t>.</w:t>
      </w:r>
    </w:p>
  </w:footnote>
  <w:footnote w:id="73">
    <w:p w14:paraId="5539A57A" w14:textId="342E25CC" w:rsidR="00140E98" w:rsidRPr="00140E98" w:rsidRDefault="00140E98">
      <w:pPr>
        <w:pStyle w:val="FootnoteText"/>
        <w:rPr>
          <w:lang w:val="en-GB"/>
        </w:rPr>
      </w:pPr>
      <w:r w:rsidRPr="005D1C41">
        <w:rPr>
          <w:rStyle w:val="FootnoteReference"/>
        </w:rPr>
        <w:footnoteRef/>
      </w:r>
      <w:r>
        <w:t xml:space="preserve"> </w:t>
      </w:r>
      <w:r w:rsidR="00023019">
        <w:rPr>
          <w:lang w:val="en-GB"/>
        </w:rPr>
        <w:t>Indicates how well kidneys are filtering.</w:t>
      </w:r>
    </w:p>
  </w:footnote>
  <w:footnote w:id="74">
    <w:p w14:paraId="64B77039" w14:textId="30612352" w:rsidR="00CC07CE" w:rsidRPr="00CC07CE" w:rsidRDefault="00CC07CE">
      <w:pPr>
        <w:pStyle w:val="FootnoteText"/>
        <w:rPr>
          <w:lang w:val="en-GB"/>
        </w:rPr>
      </w:pPr>
      <w:r w:rsidRPr="005D1C41">
        <w:rPr>
          <w:rStyle w:val="FootnoteReference"/>
        </w:rPr>
        <w:footnoteRef/>
      </w:r>
      <w:r>
        <w:t xml:space="preserve"> </w:t>
      </w:r>
      <w:r>
        <w:rPr>
          <w:lang w:val="en-GB"/>
        </w:rPr>
        <w:t>Detects elevate</w:t>
      </w:r>
      <w:r w:rsidR="00616018">
        <w:rPr>
          <w:lang w:val="en-GB"/>
        </w:rPr>
        <w:t xml:space="preserve">d </w:t>
      </w:r>
      <w:r w:rsidR="00BC2C13">
        <w:rPr>
          <w:lang w:val="en-GB"/>
        </w:rPr>
        <w:t>protei</w:t>
      </w:r>
      <w:r w:rsidR="00A44942">
        <w:rPr>
          <w:lang w:val="en-GB"/>
        </w:rPr>
        <w:t>n.</w:t>
      </w:r>
    </w:p>
  </w:footnote>
  <w:footnote w:id="75">
    <w:p w14:paraId="6E599F9C" w14:textId="77777777" w:rsidR="002A67DB" w:rsidRPr="006D5D67" w:rsidRDefault="002A67DB" w:rsidP="002A67DB">
      <w:pPr>
        <w:pStyle w:val="FootnoteText"/>
        <w:rPr>
          <w:lang w:val="en-US"/>
        </w:rPr>
      </w:pPr>
      <w:r w:rsidRPr="005D1C41">
        <w:rPr>
          <w:rStyle w:val="FootnoteReference"/>
        </w:rPr>
        <w:footnoteRef/>
      </w:r>
      <w:r>
        <w:t xml:space="preserve"> </w:t>
      </w:r>
      <w:r>
        <w:rPr>
          <w:lang w:val="en-US"/>
        </w:rPr>
        <w:t xml:space="preserve">These associations may be positive, where high scores correspond to high scores; or negative, where high scores on one measure correspond to </w:t>
      </w:r>
      <w:r w:rsidRPr="00FA10C8">
        <w:rPr>
          <w:lang w:val="en-US"/>
        </w:rPr>
        <w:t>low scores on another</w:t>
      </w:r>
      <w:r>
        <w:rPr>
          <w:lang w:val="en-US"/>
        </w:rPr>
        <w:t xml:space="preserve">. Clustering methods are typically based on the strength of the association and ignore the direction. </w:t>
      </w:r>
    </w:p>
  </w:footnote>
  <w:footnote w:id="76">
    <w:p w14:paraId="6D093256" w14:textId="0BE285FB" w:rsidR="00225601" w:rsidRPr="00225601" w:rsidRDefault="005460CA" w:rsidP="00225601">
      <w:pPr>
        <w:pStyle w:val="FootnoteText"/>
        <w:rPr>
          <w:lang w:val="en-GB"/>
        </w:rPr>
      </w:pPr>
      <w:r w:rsidRPr="005D1C41">
        <w:rPr>
          <w:rStyle w:val="FootnoteReference"/>
        </w:rPr>
        <w:footnoteRef/>
      </w:r>
      <w:r>
        <w:t xml:space="preserve"> </w:t>
      </w:r>
      <w:r>
        <w:rPr>
          <w:lang w:val="en-GB"/>
        </w:rPr>
        <w:t>Ensemble regression combines several models to improve predictive accuracy.</w:t>
      </w:r>
      <w:r w:rsidR="001B453D">
        <w:rPr>
          <w:lang w:val="en-GB"/>
        </w:rPr>
        <w:t xml:space="preserve"> </w:t>
      </w:r>
      <w:r w:rsidR="00225601" w:rsidRPr="00225601">
        <w:rPr>
          <w:lang w:val="en-GB"/>
        </w:rPr>
        <w:t>However in this context it was used to elicit the plausible range of effects of the explanatory variables on health outcomes.</w:t>
      </w:r>
    </w:p>
    <w:p w14:paraId="786A299C" w14:textId="14DD0ECC" w:rsidR="005460CA" w:rsidRPr="005460CA" w:rsidRDefault="005460CA">
      <w:pPr>
        <w:pStyle w:val="FootnoteText"/>
        <w:rPr>
          <w:lang w:val="en-GB"/>
        </w:rPr>
      </w:pPr>
    </w:p>
  </w:footnote>
  <w:footnote w:id="77">
    <w:p w14:paraId="0411EEA9" w14:textId="77777777" w:rsidR="00D0130F" w:rsidRPr="00E856E3" w:rsidRDefault="00D0130F" w:rsidP="00D0130F">
      <w:pPr>
        <w:pStyle w:val="FootnoteText"/>
        <w:rPr>
          <w:lang w:val="en-GB"/>
        </w:rPr>
      </w:pPr>
      <w:r w:rsidRPr="005D1C41">
        <w:rPr>
          <w:rStyle w:val="FootnoteReference"/>
        </w:rPr>
        <w:footnoteRef/>
      </w:r>
      <w:r>
        <w:t xml:space="preserve"> </w:t>
      </w:r>
      <w:r>
        <w:rPr>
          <w:lang w:val="en-GB"/>
        </w:rPr>
        <w:t>Emergency department presentations data were available for Time 2 only.</w:t>
      </w:r>
    </w:p>
  </w:footnote>
  <w:footnote w:id="78">
    <w:p w14:paraId="79273C48" w14:textId="044F6E32" w:rsidR="00153F72" w:rsidRPr="003F2F7A" w:rsidRDefault="00153F72" w:rsidP="00153F72">
      <w:pPr>
        <w:pStyle w:val="FootnoteText"/>
        <w:rPr>
          <w:lang w:val="en-GB"/>
        </w:rPr>
      </w:pPr>
      <w:r w:rsidRPr="005D1C41">
        <w:rPr>
          <w:rStyle w:val="FootnoteReference"/>
        </w:rPr>
        <w:footnoteRef/>
      </w:r>
      <w:r>
        <w:t xml:space="preserve"> </w:t>
      </w:r>
      <w:r>
        <w:rPr>
          <w:lang w:val="en-GB"/>
        </w:rPr>
        <w:t xml:space="preserve">The specialist Indigenous </w:t>
      </w:r>
      <w:r w:rsidR="00DD16E5">
        <w:rPr>
          <w:lang w:val="en-GB"/>
        </w:rPr>
        <w:t>and Rural H</w:t>
      </w:r>
      <w:r>
        <w:rPr>
          <w:lang w:val="en-GB"/>
        </w:rPr>
        <w:t xml:space="preserve">ealth </w:t>
      </w:r>
      <w:r w:rsidR="00DD16E5">
        <w:rPr>
          <w:lang w:val="en-GB"/>
        </w:rPr>
        <w:t>D</w:t>
      </w:r>
      <w:r>
        <w:rPr>
          <w:lang w:val="en-GB"/>
        </w:rPr>
        <w:t xml:space="preserve">ivision has since transitioned to the Indigenous Health Division which then changed its name to the First Nations Health Division. </w:t>
      </w:r>
    </w:p>
  </w:footnote>
  <w:footnote w:id="79">
    <w:p w14:paraId="7A40C484" w14:textId="4621EA7E" w:rsidR="00E16A5D" w:rsidRPr="00E16A5D" w:rsidRDefault="00E16A5D">
      <w:pPr>
        <w:pStyle w:val="FootnoteText"/>
        <w:rPr>
          <w:lang w:val="en-NZ"/>
        </w:rPr>
      </w:pPr>
      <w:r>
        <w:rPr>
          <w:rStyle w:val="FootnoteReference"/>
        </w:rPr>
        <w:footnoteRef/>
      </w:r>
      <w:r>
        <w:t xml:space="preserve"> </w:t>
      </w:r>
      <w:r w:rsidR="00590723">
        <w:rPr>
          <w:lang w:val="en-NZ"/>
        </w:rPr>
        <w:t>Community member</w:t>
      </w:r>
    </w:p>
  </w:footnote>
  <w:footnote w:id="80">
    <w:p w14:paraId="71408BDE" w14:textId="77777777" w:rsidR="00153F72" w:rsidRPr="00A96D54" w:rsidRDefault="00153F72" w:rsidP="00153F72">
      <w:pPr>
        <w:pStyle w:val="FootnoteText"/>
        <w:rPr>
          <w:b/>
          <w:bCs/>
          <w:lang w:val="en-GB"/>
        </w:rPr>
      </w:pPr>
      <w:r w:rsidRPr="005D1C41">
        <w:rPr>
          <w:rStyle w:val="FootnoteReference"/>
        </w:rPr>
        <w:footnoteRef/>
      </w:r>
      <w:r w:rsidRPr="00A96D54">
        <w:rPr>
          <w:b/>
          <w:bCs/>
        </w:rPr>
        <w:t xml:space="preserve"> </w:t>
      </w:r>
      <w:hyperlink r:id="rId9" w:history="1">
        <w:r w:rsidRPr="00A96D54">
          <w:rPr>
            <w:rStyle w:val="Hyperlink"/>
            <w:rFonts w:asciiTheme="minorHAnsi" w:hAnsiTheme="minorHAnsi"/>
            <w:b w:val="0"/>
            <w:bCs/>
          </w:rPr>
          <w:t>https://www.health.nsw.gov.au/lumos</w:t>
        </w:r>
      </w:hyperlink>
      <w:r w:rsidRPr="00A96D54">
        <w:rPr>
          <w:b/>
          <w:bCs/>
        </w:rPr>
        <w:t xml:space="preserve"> </w:t>
      </w:r>
    </w:p>
  </w:footnote>
  <w:footnote w:id="81">
    <w:p w14:paraId="6F6B31EB" w14:textId="3BABC07A" w:rsidR="00131DE8" w:rsidRPr="00131DE8" w:rsidRDefault="00131DE8">
      <w:pPr>
        <w:pStyle w:val="FootnoteText"/>
        <w:rPr>
          <w:lang w:val="en-NZ"/>
        </w:rPr>
      </w:pPr>
      <w:r>
        <w:rPr>
          <w:rStyle w:val="FootnoteReference"/>
        </w:rPr>
        <w:footnoteRef/>
      </w:r>
      <w:r>
        <w:t xml:space="preserve"> </w:t>
      </w:r>
      <w:r w:rsidR="0011215E">
        <w:rPr>
          <w:lang w:val="en-NZ"/>
        </w:rPr>
        <w:t>State or territory government participant.</w:t>
      </w:r>
    </w:p>
  </w:footnote>
  <w:footnote w:id="82">
    <w:p w14:paraId="3E2A4E98" w14:textId="77777777" w:rsidR="00385C97" w:rsidRPr="006672AD" w:rsidRDefault="00385C97" w:rsidP="006672AD">
      <w:pPr>
        <w:pStyle w:val="FootnoteText"/>
      </w:pPr>
      <w:r w:rsidRPr="006672AD">
        <w:rPr>
          <w:rStyle w:val="FootnoteReference"/>
        </w:rPr>
        <w:footnoteRef/>
      </w:r>
      <w:r w:rsidRPr="006672AD">
        <w:t xml:space="preserve"> </w:t>
      </w:r>
      <w:hyperlink r:id="rId10" w:history="1">
        <w:r w:rsidRPr="006672AD">
          <w:rPr>
            <w:rStyle w:val="Hyperlink"/>
            <w:rFonts w:asciiTheme="minorHAnsi" w:hAnsiTheme="minorHAnsi"/>
            <w:b w:val="0"/>
            <w:color w:val="auto"/>
            <w:u w:val="none"/>
          </w:rPr>
          <w:t>https://www.aihw.gov.au/reports/indigenous-australians/indigenous-primary-health-care-results-osr-nkpi/contents/nkpi-summary-over-time</w:t>
        </w:r>
      </w:hyperlink>
      <w:r w:rsidRPr="006672AD">
        <w:t xml:space="preserve"> [Accessed: 5 June 2022].</w:t>
      </w:r>
    </w:p>
  </w:footnote>
  <w:footnote w:id="83">
    <w:p w14:paraId="7815E6DF" w14:textId="77777777" w:rsidR="00385C97" w:rsidRPr="006672AD" w:rsidRDefault="00385C97" w:rsidP="006672AD">
      <w:pPr>
        <w:pStyle w:val="FootnoteText"/>
      </w:pPr>
      <w:r w:rsidRPr="006672AD">
        <w:rPr>
          <w:rStyle w:val="FootnoteReference"/>
        </w:rPr>
        <w:footnoteRef/>
      </w:r>
      <w:r w:rsidRPr="006672AD">
        <w:t xml:space="preserve"> The Productivity Commission maintains a dashboard of the most up-to-date data and information on the targets and indicators in the National Agreement. The latest update was on 8 March 2023. The dashboard is available at: </w:t>
      </w:r>
      <w:hyperlink r:id="rId11" w:history="1">
        <w:r w:rsidRPr="006672AD">
          <w:rPr>
            <w:rStyle w:val="Hyperlink"/>
            <w:rFonts w:asciiTheme="minorHAnsi" w:hAnsiTheme="minorHAnsi"/>
            <w:b w:val="0"/>
            <w:color w:val="auto"/>
            <w:u w:val="none"/>
          </w:rPr>
          <w:t>https://www.pc.gov.au/closing-the-gap-data/dashboard</w:t>
        </w:r>
      </w:hyperlink>
      <w:r w:rsidRPr="006672AD">
        <w:t xml:space="preserve"> </w:t>
      </w:r>
    </w:p>
  </w:footnote>
  <w:footnote w:id="84">
    <w:p w14:paraId="7B46E80D" w14:textId="77777777" w:rsidR="00385C97" w:rsidRPr="006672AD" w:rsidRDefault="00385C97" w:rsidP="006672AD">
      <w:pPr>
        <w:pStyle w:val="FootnoteText"/>
      </w:pPr>
      <w:r w:rsidRPr="006672AD">
        <w:rPr>
          <w:rStyle w:val="FootnoteReference"/>
        </w:rPr>
        <w:footnoteRef/>
      </w:r>
      <w:r w:rsidRPr="006672AD">
        <w:t xml:space="preserve"> </w:t>
      </w:r>
      <w:hyperlink r:id="rId12" w:history="1">
        <w:r w:rsidRPr="006672AD">
          <w:rPr>
            <w:rStyle w:val="Hyperlink"/>
            <w:rFonts w:asciiTheme="minorHAnsi" w:hAnsiTheme="minorHAnsi"/>
            <w:b w:val="0"/>
            <w:color w:val="auto"/>
            <w:u w:val="none"/>
          </w:rPr>
          <w:t>https://www.aihw.gov.au/reports/indigenous-australians/indigenous-health-checks-follow-ups/contents/about</w:t>
        </w:r>
      </w:hyperlink>
      <w:r w:rsidRPr="006672AD">
        <w:t xml:space="preserve"> [Accessed 5 June 2023].</w:t>
      </w:r>
    </w:p>
  </w:footnote>
  <w:footnote w:id="85">
    <w:p w14:paraId="6A41426A" w14:textId="77777777" w:rsidR="00385C97" w:rsidRPr="00DF2C14" w:rsidRDefault="00385C97" w:rsidP="00385C97">
      <w:pPr>
        <w:pStyle w:val="FootnoteText"/>
        <w:rPr>
          <w:b/>
          <w:lang w:val="en-GB"/>
        </w:rPr>
      </w:pPr>
      <w:r w:rsidRPr="00DF2C14">
        <w:rPr>
          <w:rStyle w:val="FootnoteReference"/>
          <w:b/>
        </w:rPr>
        <w:footnoteRef/>
      </w:r>
      <w:r w:rsidRPr="00DF2C14">
        <w:rPr>
          <w:b/>
        </w:rPr>
        <w:t xml:space="preserve"> </w:t>
      </w:r>
      <w:hyperlink r:id="rId13" w:history="1">
        <w:r w:rsidRPr="00DF2C14">
          <w:rPr>
            <w:rStyle w:val="Hyperlink"/>
            <w:rFonts w:asciiTheme="minorHAnsi" w:hAnsiTheme="minorHAnsi"/>
            <w:b w:val="0"/>
            <w:color w:val="auto"/>
          </w:rPr>
          <w:t>https://phidu.torrens.edu.au/notes-on-the-data/aboriginal-notes/aboriginal-avoidable-deaths</w:t>
        </w:r>
      </w:hyperlink>
      <w:r w:rsidRPr="00DF2C14">
        <w:rPr>
          <w:b/>
        </w:rPr>
        <w:t xml:space="preserve"> </w:t>
      </w:r>
      <w:r>
        <w:t>[Accessed 5 June 2023].</w:t>
      </w:r>
    </w:p>
  </w:footnote>
  <w:footnote w:id="86">
    <w:p w14:paraId="7DB925A7" w14:textId="3EBA6C27" w:rsidR="001D7A4A" w:rsidRPr="00076C7D" w:rsidRDefault="001D7A4A" w:rsidP="001D7A4A">
      <w:pPr>
        <w:pStyle w:val="FootnoteText"/>
        <w:rPr>
          <w:lang w:val="en-GB"/>
        </w:rPr>
      </w:pPr>
      <w:r w:rsidRPr="005D1C41">
        <w:rPr>
          <w:rStyle w:val="FootnoteReference"/>
        </w:rPr>
        <w:footnoteRef/>
      </w:r>
      <w:r>
        <w:t xml:space="preserve"> </w:t>
      </w:r>
      <w:r>
        <w:rPr>
          <w:lang w:val="en-GB"/>
        </w:rPr>
        <w:t>The policy framework includes the National Agreement on Closing the Gap, the Strengthening Medicare Taskforce, Australia’s PHC 10 Year Plan, the Aboriginal and Torres Strait Islander Health Plan (</w:t>
      </w:r>
      <w:r w:rsidRPr="00515ADC">
        <w:rPr>
          <w:lang w:val="en-GB"/>
        </w:rPr>
        <w:t xml:space="preserve">see Section </w:t>
      </w:r>
      <w:r w:rsidR="00515ADC" w:rsidRPr="00515ADC">
        <w:rPr>
          <w:lang w:val="en-GB"/>
        </w:rPr>
        <w:fldChar w:fldCharType="begin"/>
      </w:r>
      <w:r w:rsidR="00515ADC" w:rsidRPr="00515ADC">
        <w:rPr>
          <w:lang w:val="en-GB"/>
        </w:rPr>
        <w:instrText xml:space="preserve"> REF _Ref137158522 \r \h </w:instrText>
      </w:r>
      <w:r w:rsidR="00515ADC">
        <w:rPr>
          <w:lang w:val="en-GB"/>
        </w:rPr>
        <w:instrText xml:space="preserve"> \* MERGEFORMAT </w:instrText>
      </w:r>
      <w:r w:rsidR="00515ADC" w:rsidRPr="00515ADC">
        <w:rPr>
          <w:lang w:val="en-GB"/>
        </w:rPr>
      </w:r>
      <w:r w:rsidR="00515ADC" w:rsidRPr="00515ADC">
        <w:rPr>
          <w:lang w:val="en-GB"/>
        </w:rPr>
        <w:fldChar w:fldCharType="separate"/>
      </w:r>
      <w:r w:rsidR="00165B17">
        <w:rPr>
          <w:lang w:val="en-GB"/>
        </w:rPr>
        <w:t>1.5</w:t>
      </w:r>
      <w:r w:rsidR="00515ADC" w:rsidRPr="00515ADC">
        <w:rPr>
          <w:lang w:val="en-GB"/>
        </w:rPr>
        <w:fldChar w:fldCharType="end"/>
      </w:r>
      <w:r w:rsidRPr="00515ADC">
        <w:rPr>
          <w:lang w:val="en-GB"/>
        </w:rPr>
        <w:t>).</w:t>
      </w:r>
    </w:p>
  </w:footnote>
  <w:footnote w:id="87">
    <w:p w14:paraId="20746209" w14:textId="07000D0E" w:rsidR="001D7A4A" w:rsidRPr="00EB1D0A" w:rsidRDefault="001D7A4A" w:rsidP="001D7A4A">
      <w:pPr>
        <w:pStyle w:val="FootnoteText"/>
        <w:rPr>
          <w:lang w:val="en-GB"/>
        </w:rPr>
      </w:pPr>
      <w:r w:rsidRPr="005D1C41">
        <w:rPr>
          <w:rStyle w:val="FootnoteReference"/>
        </w:rPr>
        <w:footnoteRef/>
      </w:r>
      <w:r>
        <w:t xml:space="preserve"> </w:t>
      </w:r>
      <w:r>
        <w:rPr>
          <w:lang w:val="en-GB"/>
        </w:rPr>
        <w:t xml:space="preserve">Client data from OSR (provided by AIHW); population estimate as at 30 </w:t>
      </w:r>
      <w:r w:rsidRPr="008445FA">
        <w:rPr>
          <w:lang w:val="en-GB"/>
        </w:rPr>
        <w:t xml:space="preserve">June 2021 from ABS </w:t>
      </w:r>
      <w:r w:rsidRPr="008445FA">
        <w:t>(</w:t>
      </w:r>
      <w:hyperlink r:id="rId14" w:history="1">
        <w:r w:rsidRPr="008445FA">
          <w:rPr>
            <w:lang w:val="en-GB"/>
          </w:rPr>
          <w:t>https://www.abs.gov.au/statistics/people/aboriginal-and-torres-strait-islander-peoples/estimates-aboriginal-and-torres-strait-islander-australians/jun-2021</w:t>
        </w:r>
      </w:hyperlink>
      <w:r w:rsidRPr="008445FA">
        <w:rPr>
          <w:lang w:val="en-GB"/>
        </w:rPr>
        <w:t>)</w:t>
      </w:r>
      <w:r w:rsidR="00016192">
        <w:rPr>
          <w:lang w:val="en-GB"/>
        </w:rPr>
        <w:t>.</w:t>
      </w:r>
      <w:r>
        <w:rPr>
          <w:lang w:val="en-GB"/>
        </w:rPr>
        <w:t xml:space="preserve"> </w:t>
      </w:r>
    </w:p>
  </w:footnote>
  <w:footnote w:id="88">
    <w:p w14:paraId="49B158FA" w14:textId="09EEA495" w:rsidR="0059171C" w:rsidRPr="00024195" w:rsidRDefault="0059171C">
      <w:pPr>
        <w:pStyle w:val="FootnoteText"/>
        <w:rPr>
          <w:lang w:val="en-GB"/>
        </w:rPr>
      </w:pPr>
      <w:r>
        <w:rPr>
          <w:rStyle w:val="FootnoteReference"/>
        </w:rPr>
        <w:footnoteRef/>
      </w:r>
      <w:r>
        <w:t xml:space="preserve"> </w:t>
      </w:r>
      <w:r w:rsidR="00D61BDB">
        <w:rPr>
          <w:lang w:val="en-GB"/>
        </w:rPr>
        <w:t xml:space="preserve">Phase 2 of the Core Services and Outcomes Framework is intended to identify the expected benefits or outcomes of the </w:t>
      </w:r>
      <w:r w:rsidR="00024195">
        <w:rPr>
          <w:lang w:val="en-GB"/>
        </w:rPr>
        <w:t>model of Aboriginal and Torres Strait Islander community-controlled comprehensive PHC.</w:t>
      </w:r>
      <w:r w:rsidR="00D61BDB">
        <w:rPr>
          <w:lang w:val="en-GB"/>
        </w:rPr>
        <w:t xml:space="preserve"> </w:t>
      </w:r>
    </w:p>
  </w:footnote>
  <w:footnote w:id="89">
    <w:p w14:paraId="2BE1AB78" w14:textId="77777777" w:rsidR="001D7A4A" w:rsidRPr="00213BE2" w:rsidRDefault="001D7A4A" w:rsidP="001D7A4A">
      <w:pPr>
        <w:pStyle w:val="FootnoteText"/>
        <w:rPr>
          <w:lang w:val="en-GB"/>
        </w:rPr>
      </w:pPr>
      <w:r w:rsidRPr="005D1C41">
        <w:rPr>
          <w:rStyle w:val="FootnoteReference"/>
        </w:rPr>
        <w:footnoteRef/>
      </w:r>
      <w:r>
        <w:t xml:space="preserve"> </w:t>
      </w:r>
      <w:r>
        <w:rPr>
          <w:lang w:val="en-GB"/>
        </w:rPr>
        <w:t>Subsequently superseded by the new National Aboriginal and Torres Strait Islander Health Plan 2021-2031.</w:t>
      </w:r>
    </w:p>
  </w:footnote>
  <w:footnote w:id="90">
    <w:p w14:paraId="0B7BD6EA" w14:textId="77777777" w:rsidR="001D7A4A" w:rsidRPr="007626F9" w:rsidRDefault="001D7A4A" w:rsidP="001D7A4A">
      <w:pPr>
        <w:pStyle w:val="FootnoteText"/>
        <w:rPr>
          <w:lang w:val="en-GB"/>
        </w:rPr>
      </w:pPr>
      <w:r w:rsidRPr="005D1C41">
        <w:rPr>
          <w:rStyle w:val="FootnoteReference"/>
        </w:rPr>
        <w:footnoteRef/>
      </w:r>
      <w:r>
        <w:t xml:space="preserve"> </w:t>
      </w:r>
      <w:r w:rsidRPr="001C32D1">
        <w:rPr>
          <w:lang w:val="en-GB"/>
        </w:rPr>
        <w:t>The Hon Linda Burney MP</w:t>
      </w:r>
      <w:r>
        <w:rPr>
          <w:lang w:val="en-GB"/>
        </w:rPr>
        <w:t>, Minister for Indigenous Australians, Media Release, 8 March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EAFC5E" w14:textId="02014524" w:rsidR="00C634C9" w:rsidRDefault="00C634C9">
    <w:pPr>
      <w:pStyle w:val="Header"/>
    </w:pPr>
  </w:p>
  <w:p w14:paraId="486E0816" w14:textId="77777777" w:rsidR="001A19E6" w:rsidRDefault="001A19E6"/>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4C3D6" w14:textId="42D0D6D9" w:rsidR="003B06D8" w:rsidRDefault="003B06D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44137" w14:textId="60CF0AD6" w:rsidR="003B06D8" w:rsidRDefault="003B06D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3E6DE" w14:textId="0C9B747F" w:rsidR="003B06D8" w:rsidRDefault="003B06D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68590" w14:textId="7B7A99F1" w:rsidR="003B06D8" w:rsidRDefault="003B06D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5372E" w14:textId="29709AB5" w:rsidR="003B06D8" w:rsidRDefault="003B06D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FDA5A" w14:textId="01DFA2F1" w:rsidR="00EB4F33" w:rsidRDefault="00EB4F3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13856" w14:textId="7372F4AC" w:rsidR="003B06D8" w:rsidRDefault="003B06D8">
    <w:pPr>
      <w:pStyle w:val="Header"/>
    </w:pPr>
  </w:p>
  <w:p w14:paraId="36E20651" w14:textId="77777777" w:rsidR="00740B9E" w:rsidRDefault="00740B9E"/>
  <w:p w14:paraId="59457853" w14:textId="77777777" w:rsidR="003B06D8" w:rsidRDefault="003B06D8"/>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BDF09" w14:textId="1C21569C" w:rsidR="00EB4F33" w:rsidRDefault="00EB4F33">
    <w:pPr>
      <w:pStyle w:val="Header"/>
    </w:pPr>
  </w:p>
  <w:p w14:paraId="3CAEFE77" w14:textId="77777777" w:rsidR="00740B9E" w:rsidRDefault="00740B9E"/>
  <w:p w14:paraId="6442A14D" w14:textId="77777777" w:rsidR="00EB4F33" w:rsidRDefault="00EB4F33"/>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10EE9" w14:textId="5FEBC860" w:rsidR="003B06D8" w:rsidRDefault="003B06D8">
    <w:pPr>
      <w:pStyle w:val="Header"/>
    </w:pPr>
  </w:p>
  <w:p w14:paraId="4268767C" w14:textId="77777777" w:rsidR="00740B9E" w:rsidRDefault="00740B9E"/>
  <w:p w14:paraId="6CEB97D4" w14:textId="77777777" w:rsidR="003B06D8" w:rsidRDefault="003B06D8"/>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CD423" w14:textId="55C1F48F" w:rsidR="000269C6" w:rsidRDefault="000269C6">
    <w:pPr>
      <w:pStyle w:val="Header"/>
    </w:pPr>
  </w:p>
  <w:p w14:paraId="2C43259F" w14:textId="77777777" w:rsidR="000269C6" w:rsidRDefault="000269C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4805D" w14:textId="05C6261C" w:rsidR="00C634C9" w:rsidRDefault="00C634C9">
    <w:pPr>
      <w:pStyle w:val="Header"/>
    </w:pPr>
  </w:p>
  <w:p w14:paraId="7B3587D3" w14:textId="77777777" w:rsidR="001A19E6" w:rsidRDefault="001A19E6"/>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45411" w14:textId="2F71463C" w:rsidR="003B06D8" w:rsidRDefault="003B06D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1DC3C" w14:textId="27A04497" w:rsidR="003B06D8" w:rsidRDefault="003B06D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121BF" w14:textId="46045658" w:rsidR="0074578B" w:rsidRDefault="0074578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08AF4" w14:textId="61D7C662" w:rsidR="001D7A4A" w:rsidRDefault="001D7A4A">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949E0" w14:textId="2DE28CF2" w:rsidR="001D7A4A" w:rsidRDefault="001D7A4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DCAB4" w14:textId="4A7411B2" w:rsidR="001D7A4A" w:rsidRDefault="001D7A4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3D0EB" w14:textId="02127839" w:rsidR="003B06D8" w:rsidRDefault="003B06D8">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1FA52" w14:textId="199AC301" w:rsidR="003B06D8" w:rsidRDefault="003B06D8">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9DFC4" w14:textId="6745F69B" w:rsidR="00916436" w:rsidRDefault="009164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FE0DF" w14:textId="21A9968C" w:rsidR="008456FE" w:rsidRDefault="008456FE" w:rsidP="008456FE">
    <w:pPr>
      <w:pStyle w:val="Header"/>
      <w:tabs>
        <w:tab w:val="left" w:pos="2552"/>
      </w:tabs>
    </w:pPr>
    <w:r w:rsidRPr="009F27B9">
      <w:rPr>
        <w:lang w:val="en-US"/>
      </w:rPr>
      <w:drawing>
        <wp:anchor distT="0" distB="0" distL="114300" distR="114300" simplePos="0" relativeHeight="251658241" behindDoc="0" locked="0" layoutInCell="1" allowOverlap="1" wp14:anchorId="3CEA1F8C" wp14:editId="7A57451F">
          <wp:simplePos x="0" y="0"/>
          <wp:positionH relativeFrom="column">
            <wp:posOffset>4729163</wp:posOffset>
          </wp:positionH>
          <wp:positionV relativeFrom="paragraph">
            <wp:posOffset>-138113</wp:posOffset>
          </wp:positionV>
          <wp:extent cx="1518197" cy="414337"/>
          <wp:effectExtent l="0" t="0" r="0" b="5080"/>
          <wp:wrapNone/>
          <wp:docPr id="1854984830" name="Picture 1854984830">
            <a:extLst xmlns:a="http://schemas.openxmlformats.org/drawingml/2006/main">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84830" name="Picture 1854984830">
                    <a:extLst>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pic:cNvPr>
                  <pic:cNvPicPr>
                    <a:picLocks noChangeAspect="1"/>
                  </pic:cNvPicPr>
                </pic:nvPicPr>
                <pic:blipFill rotWithShape="1">
                  <a:blip r:embed="rId1">
                    <a:extLst>
                      <a:ext uri="{28A0092B-C50C-407E-A947-70E740481C1C}">
                        <a14:useLocalDpi xmlns:a14="http://schemas.microsoft.com/office/drawing/2010/main" val="0"/>
                      </a:ext>
                    </a:extLst>
                  </a:blip>
                  <a:srcRect t="18125" b="26934"/>
                  <a:stretch/>
                </pic:blipFill>
                <pic:spPr bwMode="auto">
                  <a:xfrm>
                    <a:off x="0" y="0"/>
                    <a:ext cx="1518197" cy="4143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27B9">
      <w:rPr>
        <w:lang w:val="en-US"/>
      </w:rPr>
      <w:drawing>
        <wp:anchor distT="0" distB="0" distL="114300" distR="114300" simplePos="0" relativeHeight="251658242" behindDoc="0" locked="0" layoutInCell="1" allowOverlap="1" wp14:anchorId="4ADE1158" wp14:editId="0103B592">
          <wp:simplePos x="0" y="0"/>
          <wp:positionH relativeFrom="column">
            <wp:posOffset>7754938</wp:posOffset>
          </wp:positionH>
          <wp:positionV relativeFrom="paragraph">
            <wp:posOffset>-33020</wp:posOffset>
          </wp:positionV>
          <wp:extent cx="1518197" cy="414337"/>
          <wp:effectExtent l="0" t="0" r="0" b="5080"/>
          <wp:wrapNone/>
          <wp:docPr id="2114224081" name="Picture 2114224081">
            <a:extLst xmlns:a="http://schemas.openxmlformats.org/drawingml/2006/main">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24081" name="Picture 2114224081">
                    <a:extLst>
                      <a:ext uri="{FF2B5EF4-FFF2-40B4-BE49-F238E27FC236}">
                        <a16:creationId xmlns:a16="http://schemas.microsoft.com/office/drawing/2014/main" id="{680CA44F-CE4E-57C1-F019-02B04958DFE3}"/>
                      </a:ext>
                      <a:ext uri="{C183D7F6-B498-43B3-948B-1728B52AA6E4}">
                        <adec:decorative xmlns:adec="http://schemas.microsoft.com/office/drawing/2017/decorative" val="1"/>
                      </a:ext>
                    </a:extLst>
                  </pic:cNvPr>
                  <pic:cNvPicPr>
                    <a:picLocks noChangeAspect="1"/>
                  </pic:cNvPicPr>
                </pic:nvPicPr>
                <pic:blipFill rotWithShape="1">
                  <a:blip r:embed="rId1">
                    <a:extLst>
                      <a:ext uri="{28A0092B-C50C-407E-A947-70E740481C1C}">
                        <a14:useLocalDpi xmlns:a14="http://schemas.microsoft.com/office/drawing/2010/main" val="0"/>
                      </a:ext>
                    </a:extLst>
                  </a:blip>
                  <a:srcRect t="18125" b="26934"/>
                  <a:stretch/>
                </pic:blipFill>
                <pic:spPr bwMode="auto">
                  <a:xfrm>
                    <a:off x="0" y="0"/>
                    <a:ext cx="1518197" cy="4143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6188">
      <w:rPr>
        <w:color w:val="808080" w:themeColor="background1" w:themeShade="80"/>
      </w:rPr>
      <mc:AlternateContent>
        <mc:Choice Requires="wps">
          <w:drawing>
            <wp:anchor distT="0" distB="0" distL="114300" distR="114300" simplePos="0" relativeHeight="251658240" behindDoc="0" locked="0" layoutInCell="1" allowOverlap="1" wp14:anchorId="3B413079" wp14:editId="29F3947E">
              <wp:simplePos x="0" y="0"/>
              <wp:positionH relativeFrom="column">
                <wp:posOffset>-7620</wp:posOffset>
              </wp:positionH>
              <wp:positionV relativeFrom="paragraph">
                <wp:posOffset>160324</wp:posOffset>
              </wp:positionV>
              <wp:extent cx="1311965" cy="0"/>
              <wp:effectExtent l="0" t="0" r="0" b="0"/>
              <wp:wrapNone/>
              <wp:docPr id="1415228617" name="Straight Connector 14152286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311965" cy="0"/>
                      </a:xfrm>
                      <a:prstGeom prst="line">
                        <a:avLst/>
                      </a:prstGeom>
                      <a:ln w="9525">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01ABE2" id="Straight Connector 1415228617" o:spid="_x0000_s1026" alt="&quot;&quot;"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6pt,12.6pt" to="102.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lgYuwEAAOEDAAAOAAAAZHJzL2Uyb0RvYy54bWysU01v3CAQvVfqf0Dcu7Y32qix1ptDovRS&#10;tVE/fgDBwxoJGAR07f33HfCuN0orVYl6wTDMezPvMd7eTtawA4So0XW8WdWcgZPYa7fv+M8fDx8+&#10;chaTcL0w6KDjR4j8dvf+3Xb0LaxxQNNDYETiYjv6jg8p+baqohzAirhCD44uFQYrEh3DvuqDGInd&#10;mmpd19fViKH3ASXESNH7+ZLvCr9SINNXpSIkZjpOvaWyhrI+5bXabUW7D8IPWp7aEG/owgrtqOhC&#10;dS+SYL+C/oPKahkwokoribZCpbSEooHUNPULNd8H4aFoIXOiX2yK/49WfjncucdANow+ttE/hqxi&#10;UsHmL/XHpmLWcTELpsQkBZurprm53nAmz3fVBehDTJ8ALcubjhvtsg7RisPnmKgYpZ5Tctg4Nnb8&#10;ZrPelKyIRvcP2ph8V0YB7kxgB0GPKKQEl67ywxHJs0w6GUfBi46yS0cDc4lvoJjuc+dzkTxiL3mb&#10;E69xlJ1hirpYgPW/gaf8DIUyfq8BL4hSGV1awFY7DH+rnqZzy2rOPzsw684WPGF/LC9crKE5Ks6d&#10;Zj4P6vNzgV/+zN1vAAAA//8DAFBLAwQUAAYACAAAACEAiKdkr90AAAAIAQAADwAAAGRycy9kb3du&#10;cmV2LnhtbEyPQWvDMAyF74P+B6NBb62TkK5rGqeUwU6FwbJR2M2N1STMlkPsttm/n8YO20lI7/H0&#10;vXI3OSuuOIbek4J0mYBAarzpqVXw/va8eAQRoiajrSdU8IUBdtXsrtSF8Td6xWsdW8EhFAqtoItx&#10;KKQMTYdOh6UfkFg7+9HpyOvYSjPqG4c7K7MkeZBO98QfOj3gU4fNZ31xCvL6uLb+PB1f0nz9UW8w&#10;hv4QlZrfT/stiIhT/DPDDz6jQ8VMJ38hE4RVsEgzdirIVjxZz5JVDuL0e5BVKf8XqL4BAAD//wMA&#10;UEsBAi0AFAAGAAgAAAAhALaDOJL+AAAA4QEAABMAAAAAAAAAAAAAAAAAAAAAAFtDb250ZW50X1R5&#10;cGVzXS54bWxQSwECLQAUAAYACAAAACEAOP0h/9YAAACUAQAACwAAAAAAAAAAAAAAAAAvAQAAX3Jl&#10;bHMvLnJlbHNQSwECLQAUAAYACAAAACEAI3pYGLsBAADhAwAADgAAAAAAAAAAAAAAAAAuAgAAZHJz&#10;L2Uyb0RvYy54bWxQSwECLQAUAAYACAAAACEAiKdkr90AAAAIAQAADwAAAAAAAAAAAAAAAAAVBAAA&#10;ZHJzL2Rvd25yZXYueG1sUEsFBgAAAAAEAAQA8wAAAB8FAAAAAA==&#10;" strokecolor="#9e6047 [3206]">
              <v:stroke joinstyle="miter"/>
            </v:line>
          </w:pict>
        </mc:Fallback>
      </mc:AlternateContent>
    </w:r>
    <w:r w:rsidR="005A156F">
      <w:t>IAHP Yarnes Evaluation: Final Report</w:t>
    </w:r>
    <w:r>
      <w:t xml:space="preserve"> </w:t>
    </w:r>
  </w:p>
  <w:p w14:paraId="3007F674" w14:textId="77777777" w:rsidR="001A19E6" w:rsidRDefault="001A19E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6D74A" w14:textId="21641364" w:rsidR="003B06D8" w:rsidRDefault="003B06D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73380" w14:textId="1748AE5F" w:rsidR="003B06D8" w:rsidRDefault="003B06D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0B11D" w14:textId="1DB0C436" w:rsidR="003B06D8" w:rsidRDefault="003B06D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99129" w14:textId="385C213B" w:rsidR="003B06D8" w:rsidRDefault="003B06D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E4D67" w14:textId="4173A55B" w:rsidR="003B06D8" w:rsidRDefault="003B06D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B0D1E" w14:textId="5A5635D5" w:rsidR="003B06D8" w:rsidRDefault="003B06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B4992D6"/>
    <w:multiLevelType w:val="hybridMultilevel"/>
    <w:tmpl w:val="FFFFFFFF"/>
    <w:lvl w:ilvl="0" w:tplc="FFFFFFFF">
      <w:start w:val="1"/>
      <w:numFmt w:val="decim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C"/>
    <w:multiLevelType w:val="singleLevel"/>
    <w:tmpl w:val="90A2154A"/>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9F26DCD2"/>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2A34660C"/>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FAC4FCC8"/>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9740E558"/>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0BF071E2"/>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667C30FC"/>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694CDFB8"/>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2C4A5E82"/>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D5640FC6"/>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08F26DA"/>
    <w:multiLevelType w:val="hybridMultilevel"/>
    <w:tmpl w:val="FED004AC"/>
    <w:styleLink w:val="ArticleSection"/>
    <w:lvl w:ilvl="0" w:tplc="A208AB06">
      <w:start w:val="1"/>
      <w:numFmt w:val="bullet"/>
      <w:lvlText w:val=""/>
      <w:lvlJc w:val="left"/>
      <w:pPr>
        <w:ind w:left="720" w:hanging="360"/>
      </w:pPr>
      <w:rPr>
        <w:rFonts w:ascii="Symbol" w:hAnsi="Symbol" w:hint="default"/>
        <w:color w:val="357DBE" w:themeColor="accent1"/>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28436BE"/>
    <w:multiLevelType w:val="multilevel"/>
    <w:tmpl w:val="1CAA213C"/>
    <w:styleLink w:val="1111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A394D5E"/>
    <w:multiLevelType w:val="multilevel"/>
    <w:tmpl w:val="CDE0B19A"/>
    <w:lvl w:ilvl="0">
      <w:start w:val="1"/>
      <w:numFmt w:val="decimal"/>
      <w:pStyle w:val="Heading1nonumber"/>
      <w:lvlText w:val="%1"/>
      <w:lvlJc w:val="left"/>
      <w:pPr>
        <w:ind w:left="432" w:hanging="432"/>
      </w:pPr>
      <w:rPr>
        <w:rFonts w:hint="default"/>
        <w:color w:val="9E6047" w:themeColor="accent3"/>
        <w:sz w:val="40"/>
        <w:szCs w:val="40"/>
      </w:rPr>
    </w:lvl>
    <w:lvl w:ilvl="1">
      <w:start w:val="1"/>
      <w:numFmt w:val="decimal"/>
      <w:pStyle w:val="Heading2NotNumbered"/>
      <w:lvlText w:val="%1.%2"/>
      <w:lvlJc w:val="left"/>
      <w:pPr>
        <w:ind w:left="576" w:hanging="576"/>
      </w:pPr>
    </w:lvl>
    <w:lvl w:ilvl="2">
      <w:start w:val="1"/>
      <w:numFmt w:val="decimal"/>
      <w:pStyle w:val="Heading3nonumber"/>
      <w:lvlText w:val="%1.%2.%3"/>
      <w:lvlJc w:val="left"/>
      <w:pPr>
        <w:ind w:left="720" w:hanging="720"/>
      </w:pPr>
      <w:rPr>
        <w:rFonts w:hint="default"/>
        <w:b/>
        <w:bCs/>
        <w:sz w:val="32"/>
        <w:szCs w:val="3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0A52222D"/>
    <w:multiLevelType w:val="hybridMultilevel"/>
    <w:tmpl w:val="C506F4B6"/>
    <w:lvl w:ilvl="0" w:tplc="B190994A">
      <w:start w:val="1"/>
      <w:numFmt w:val="decimal"/>
      <w:pStyle w:val="TableNotesnumbered"/>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DBE7608"/>
    <w:multiLevelType w:val="hybridMultilevel"/>
    <w:tmpl w:val="EE34FBBE"/>
    <w:lvl w:ilvl="0" w:tplc="34CCC34C">
      <w:start w:val="1"/>
      <w:numFmt w:val="lowerLetter"/>
      <w:pStyle w:val="TableLetteredfootnotes"/>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74B3ADE"/>
    <w:multiLevelType w:val="multilevel"/>
    <w:tmpl w:val="A2869250"/>
    <w:styleLink w:val="TableBullets"/>
    <w:lvl w:ilvl="0">
      <w:start w:val="1"/>
      <w:numFmt w:val="none"/>
      <w:suff w:val="nothing"/>
      <w:lvlText w:val=""/>
      <w:lvlJc w:val="left"/>
      <w:pPr>
        <w:ind w:left="0" w:firstLine="0"/>
      </w:pPr>
      <w:rPr>
        <w:rFonts w:hint="default"/>
      </w:rPr>
    </w:lvl>
    <w:lvl w:ilvl="1">
      <w:start w:val="1"/>
      <w:numFmt w:val="bullet"/>
      <w:lvlText w:val=""/>
      <w:lvlJc w:val="left"/>
      <w:pPr>
        <w:ind w:left="216" w:hanging="216"/>
      </w:pPr>
      <w:rPr>
        <w:rFonts w:ascii="Symbol" w:hAnsi="Symbol" w:hint="default"/>
      </w:rPr>
    </w:lvl>
    <w:lvl w:ilvl="2">
      <w:start w:val="1"/>
      <w:numFmt w:val="bullet"/>
      <w:lvlText w:val="−"/>
      <w:lvlJc w:val="left"/>
      <w:pPr>
        <w:ind w:left="432" w:hanging="216"/>
      </w:pPr>
      <w:rPr>
        <w:rFonts w:ascii="Arial" w:hAnsi="Arial"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8ED7453"/>
    <w:multiLevelType w:val="hybridMultilevel"/>
    <w:tmpl w:val="19BE0976"/>
    <w:lvl w:ilvl="0" w:tplc="137A6CB4">
      <w:start w:val="1"/>
      <w:numFmt w:val="bullet"/>
      <w:pStyle w:val="Table-bullet"/>
      <w:lvlText w:val=""/>
      <w:lvlJc w:val="left"/>
      <w:pPr>
        <w:ind w:left="720" w:hanging="360"/>
      </w:pPr>
      <w:rPr>
        <w:rFonts w:ascii="Symbol" w:hAnsi="Symbol" w:hint="default"/>
        <w:color w:val="36424A" w:themeColor="background2"/>
      </w:rPr>
    </w:lvl>
    <w:lvl w:ilvl="1" w:tplc="F1EEEB36">
      <w:numFmt w:val="bullet"/>
      <w:lvlText w:val="•"/>
      <w:lvlJc w:val="left"/>
      <w:pPr>
        <w:ind w:left="1800" w:hanging="720"/>
      </w:pPr>
      <w:rPr>
        <w:rFonts w:ascii="Cambria" w:eastAsiaTheme="minorHAnsi" w:hAnsi="Cambri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9B5B08"/>
    <w:multiLevelType w:val="multilevel"/>
    <w:tmpl w:val="0D8AC0AE"/>
    <w:styleLink w:val="NumberedHeadings"/>
    <w:lvl w:ilvl="0">
      <w:start w:val="1"/>
      <w:numFmt w:val="decimal"/>
      <w:pStyle w:val="Bullet-Number"/>
      <w:lvlText w:val="%1."/>
      <w:lvlJc w:val="left"/>
      <w:pPr>
        <w:ind w:left="720" w:hanging="360"/>
      </w:pPr>
      <w:rPr>
        <w:rFonts w:hint="default"/>
        <w:color w:val="357DBE" w:themeColor="accent1"/>
      </w:rPr>
    </w:lvl>
    <w:lvl w:ilvl="1">
      <w:start w:val="1"/>
      <w:numFmt w:val="lowerLetter"/>
      <w:lvlText w:val="%2."/>
      <w:lvlJc w:val="left"/>
      <w:pPr>
        <w:ind w:left="1440" w:hanging="360"/>
      </w:pPr>
      <w:rPr>
        <w:color w:val="357DBE" w:themeColor="accent1"/>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15:restartNumberingAfterBreak="0">
    <w:nsid w:val="22ED286C"/>
    <w:multiLevelType w:val="hybridMultilevel"/>
    <w:tmpl w:val="446AF118"/>
    <w:lvl w:ilvl="0" w:tplc="4C863A6E">
      <w:start w:val="1"/>
      <w:numFmt w:val="bullet"/>
      <w:lvlText w:val=""/>
      <w:lvlJc w:val="left"/>
      <w:pPr>
        <w:ind w:left="717" w:hanging="360"/>
      </w:pPr>
      <w:rPr>
        <w:rFonts w:ascii="Symbol" w:hAnsi="Symbol" w:hint="default"/>
        <w:color w:val="357DBE" w:themeColor="accent1"/>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4D24412"/>
    <w:multiLevelType w:val="multilevel"/>
    <w:tmpl w:val="C3F655C0"/>
    <w:styleLink w:val="Outlines"/>
    <w:lvl w:ilvl="0">
      <w:start w:val="1"/>
      <w:numFmt w:val="decimal"/>
      <w:lvlText w:val="%1."/>
      <w:lvlJc w:val="left"/>
      <w:pPr>
        <w:ind w:left="425" w:hanging="425"/>
      </w:pPr>
      <w:rPr>
        <w:rFonts w:hint="default"/>
      </w:rPr>
    </w:lvl>
    <w:lvl w:ilvl="1">
      <w:start w:val="1"/>
      <w:numFmt w:val="lowerLetter"/>
      <w:lvlText w:val="%2."/>
      <w:lvlJc w:val="left"/>
      <w:pPr>
        <w:ind w:left="850" w:hanging="425"/>
      </w:pPr>
      <w:rPr>
        <w:rFonts w:hint="default"/>
      </w:rPr>
    </w:lvl>
    <w:lvl w:ilvl="2">
      <w:start w:val="1"/>
      <w:numFmt w:val="lowerRoman"/>
      <w:lvlText w:val="%3."/>
      <w:lvlJc w:val="left"/>
      <w:pPr>
        <w:ind w:left="1275" w:hanging="425"/>
      </w:pPr>
      <w:rPr>
        <w:rFonts w:hint="default"/>
      </w:rPr>
    </w:lvl>
    <w:lvl w:ilvl="3">
      <w:start w:val="1"/>
      <w:numFmt w:val="none"/>
      <w:lvlText w:val=""/>
      <w:lvlJc w:val="left"/>
      <w:pPr>
        <w:ind w:left="1700" w:hanging="425"/>
      </w:pPr>
      <w:rPr>
        <w:rFonts w:hint="default"/>
      </w:rPr>
    </w:lvl>
    <w:lvl w:ilvl="4">
      <w:start w:val="1"/>
      <w:numFmt w:val="none"/>
      <w:lvlText w:val=""/>
      <w:lvlJc w:val="left"/>
      <w:pPr>
        <w:ind w:left="2125" w:hanging="425"/>
      </w:pPr>
      <w:rPr>
        <w:rFonts w:hint="default"/>
      </w:rPr>
    </w:lvl>
    <w:lvl w:ilvl="5">
      <w:start w:val="1"/>
      <w:numFmt w:val="none"/>
      <w:lvlText w:val=""/>
      <w:lvlJc w:val="left"/>
      <w:pPr>
        <w:ind w:left="2550" w:hanging="425"/>
      </w:pPr>
      <w:rPr>
        <w:rFonts w:hint="default"/>
      </w:rPr>
    </w:lvl>
    <w:lvl w:ilvl="6">
      <w:start w:val="1"/>
      <w:numFmt w:val="none"/>
      <w:lvlText w:val=""/>
      <w:lvlJc w:val="left"/>
      <w:pPr>
        <w:ind w:left="2975" w:hanging="425"/>
      </w:pPr>
      <w:rPr>
        <w:rFonts w:hint="default"/>
      </w:rPr>
    </w:lvl>
    <w:lvl w:ilvl="7">
      <w:start w:val="1"/>
      <w:numFmt w:val="none"/>
      <w:lvlText w:val=""/>
      <w:lvlJc w:val="left"/>
      <w:pPr>
        <w:ind w:left="3400" w:hanging="425"/>
      </w:pPr>
      <w:rPr>
        <w:rFonts w:hint="default"/>
      </w:rPr>
    </w:lvl>
    <w:lvl w:ilvl="8">
      <w:start w:val="1"/>
      <w:numFmt w:val="none"/>
      <w:lvlText w:val=""/>
      <w:lvlJc w:val="left"/>
      <w:pPr>
        <w:ind w:left="3825" w:hanging="425"/>
      </w:pPr>
      <w:rPr>
        <w:rFonts w:hint="default"/>
      </w:rPr>
    </w:lvl>
  </w:abstractNum>
  <w:abstractNum w:abstractNumId="21" w15:restartNumberingAfterBreak="0">
    <w:nsid w:val="255030EB"/>
    <w:multiLevelType w:val="hybridMultilevel"/>
    <w:tmpl w:val="FFCCD00A"/>
    <w:lvl w:ilvl="0" w:tplc="14090003">
      <w:start w:val="1"/>
      <w:numFmt w:val="bullet"/>
      <w:lvlText w:val="o"/>
      <w:lvlJc w:val="left"/>
      <w:pPr>
        <w:ind w:left="862" w:hanging="360"/>
      </w:pPr>
      <w:rPr>
        <w:rFonts w:ascii="Courier New" w:hAnsi="Courier New" w:cs="Courier New" w:hint="default"/>
        <w:color w:val="357DBE" w:themeColor="accent1"/>
        <w:w w:val="120"/>
      </w:rPr>
    </w:lvl>
    <w:lvl w:ilvl="1" w:tplc="FFFFFFFF">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22" w15:restartNumberingAfterBreak="0">
    <w:nsid w:val="27743DFB"/>
    <w:multiLevelType w:val="multilevel"/>
    <w:tmpl w:val="7A0CAD00"/>
    <w:lvl w:ilvl="0">
      <w:start w:val="1"/>
      <w:numFmt w:val="decimal"/>
      <w:pStyle w:val="NumberedHeading1"/>
      <w:lvlText w:val="%1."/>
      <w:lvlJc w:val="left"/>
      <w:pPr>
        <w:ind w:left="680" w:hanging="680"/>
      </w:pPr>
      <w:rPr>
        <w:rFonts w:hint="default"/>
      </w:rPr>
    </w:lvl>
    <w:lvl w:ilvl="1">
      <w:start w:val="1"/>
      <w:numFmt w:val="decimal"/>
      <w:pStyle w:val="NumberedHeading2"/>
      <w:lvlText w:val="%1.%2."/>
      <w:lvlJc w:val="left"/>
      <w:pPr>
        <w:ind w:left="680" w:hanging="680"/>
      </w:pPr>
      <w:rPr>
        <w:rFonts w:hint="default"/>
      </w:rPr>
    </w:lvl>
    <w:lvl w:ilvl="2">
      <w:start w:val="1"/>
      <w:numFmt w:val="decimal"/>
      <w:pStyle w:val="NumberedHeading3"/>
      <w:lvlText w:val="%1.%2.%3."/>
      <w:lvlJc w:val="left"/>
      <w:pPr>
        <w:ind w:left="851" w:hanging="851"/>
      </w:pPr>
      <w:rPr>
        <w:rFonts w:hint="default"/>
      </w:rPr>
    </w:lvl>
    <w:lvl w:ilvl="3">
      <w:start w:val="1"/>
      <w:numFmt w:val="decimal"/>
      <w:pStyle w:val="NumberedHeading4"/>
      <w:lvlText w:val="%1.%2.%3.%4."/>
      <w:lvlJc w:val="left"/>
      <w:pPr>
        <w:ind w:left="1418" w:hanging="1418"/>
      </w:pPr>
      <w:rPr>
        <w:rFonts w:hint="default"/>
      </w:rPr>
    </w:lvl>
    <w:lvl w:ilvl="4">
      <w:start w:val="1"/>
      <w:numFmt w:val="decimal"/>
      <w:lvlText w:val="%1.%2.%3.%4.%5."/>
      <w:lvlJc w:val="left"/>
      <w:pPr>
        <w:ind w:left="1418" w:hanging="1418"/>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23" w15:restartNumberingAfterBreak="0">
    <w:nsid w:val="30783A9E"/>
    <w:multiLevelType w:val="hybridMultilevel"/>
    <w:tmpl w:val="FED004AC"/>
    <w:lvl w:ilvl="0" w:tplc="A208AB06">
      <w:start w:val="1"/>
      <w:numFmt w:val="bullet"/>
      <w:lvlText w:val=""/>
      <w:lvlJc w:val="left"/>
      <w:pPr>
        <w:ind w:left="720" w:hanging="360"/>
      </w:pPr>
      <w:rPr>
        <w:rFonts w:ascii="Symbol" w:hAnsi="Symbol" w:hint="default"/>
        <w:color w:val="357DBE" w:themeColor="accent1"/>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1CE6B13"/>
    <w:multiLevelType w:val="hybridMultilevel"/>
    <w:tmpl w:val="24C2761A"/>
    <w:lvl w:ilvl="0" w:tplc="A208AB06">
      <w:start w:val="1"/>
      <w:numFmt w:val="bullet"/>
      <w:lvlText w:val=""/>
      <w:lvlJc w:val="left"/>
      <w:pPr>
        <w:ind w:left="720" w:hanging="360"/>
      </w:pPr>
      <w:rPr>
        <w:rFonts w:ascii="Symbol" w:hAnsi="Symbol" w:hint="default"/>
        <w:color w:val="357DBE" w:themeColor="accen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6843445"/>
    <w:multiLevelType w:val="multilevel"/>
    <w:tmpl w:val="AE1875FE"/>
    <w:lvl w:ilvl="0">
      <w:start w:val="1"/>
      <w:numFmt w:val="bullet"/>
      <w:lvlText w:val=""/>
      <w:lvlJc w:val="left"/>
      <w:pPr>
        <w:ind w:left="680" w:hanging="510"/>
      </w:pPr>
      <w:rPr>
        <w:rFonts w:ascii="Symbol" w:hAnsi="Symbol" w:hint="default"/>
        <w:color w:val="357DBE" w:themeColor="accent1"/>
      </w:rPr>
    </w:lvl>
    <w:lvl w:ilvl="1">
      <w:start w:val="1"/>
      <w:numFmt w:val="bullet"/>
      <w:pStyle w:val="ACReport-MainTitle"/>
      <w:lvlText w:val="o"/>
      <w:lvlJc w:val="left"/>
      <w:pPr>
        <w:ind w:left="1191" w:hanging="567"/>
      </w:pPr>
      <w:rPr>
        <w:rFonts w:ascii="Courier New" w:hAnsi="Courier New" w:hint="default"/>
      </w:rPr>
    </w:lvl>
    <w:lvl w:ilvl="2">
      <w:start w:val="1"/>
      <w:numFmt w:val="bullet"/>
      <w:lvlText w:val="o"/>
      <w:lvlJc w:val="left"/>
      <w:pPr>
        <w:ind w:left="1080" w:hanging="360"/>
      </w:pPr>
      <w:rPr>
        <w:rFonts w:ascii="Courier New" w:hAnsi="Courier New" w:cs="Courier New"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3A5916B4"/>
    <w:multiLevelType w:val="hybridMultilevel"/>
    <w:tmpl w:val="870658F4"/>
    <w:lvl w:ilvl="0" w:tplc="105C0ADE">
      <w:start w:val="1"/>
      <w:numFmt w:val="bullet"/>
      <w:pStyle w:val="BoxBullet1"/>
      <w:lvlText w:val=""/>
      <w:lvlJc w:val="left"/>
      <w:pPr>
        <w:tabs>
          <w:tab w:val="num" w:pos="964"/>
        </w:tabs>
        <w:ind w:left="964" w:hanging="720"/>
      </w:pPr>
      <w:rPr>
        <w:rFonts w:ascii="Symbol" w:hAnsi="Symbol" w:hint="default"/>
      </w:rPr>
    </w:lvl>
    <w:lvl w:ilvl="1" w:tplc="0C090003" w:tentative="1">
      <w:start w:val="1"/>
      <w:numFmt w:val="bullet"/>
      <w:lvlText w:val="o"/>
      <w:lvlJc w:val="left"/>
      <w:pPr>
        <w:tabs>
          <w:tab w:val="num" w:pos="1429"/>
        </w:tabs>
        <w:ind w:left="1429" w:hanging="360"/>
      </w:pPr>
      <w:rPr>
        <w:rFonts w:ascii="Courier New" w:hAnsi="Courier New" w:cs="Courier New" w:hint="default"/>
      </w:rPr>
    </w:lvl>
    <w:lvl w:ilvl="2" w:tplc="0C090005" w:tentative="1">
      <w:start w:val="1"/>
      <w:numFmt w:val="bullet"/>
      <w:lvlText w:val=""/>
      <w:lvlJc w:val="left"/>
      <w:pPr>
        <w:tabs>
          <w:tab w:val="num" w:pos="2149"/>
        </w:tabs>
        <w:ind w:left="2149" w:hanging="360"/>
      </w:pPr>
      <w:rPr>
        <w:rFonts w:ascii="Wingdings" w:hAnsi="Wingdings" w:hint="default"/>
      </w:rPr>
    </w:lvl>
    <w:lvl w:ilvl="3" w:tplc="0C090001" w:tentative="1">
      <w:start w:val="1"/>
      <w:numFmt w:val="bullet"/>
      <w:lvlText w:val=""/>
      <w:lvlJc w:val="left"/>
      <w:pPr>
        <w:tabs>
          <w:tab w:val="num" w:pos="2869"/>
        </w:tabs>
        <w:ind w:left="2869" w:hanging="360"/>
      </w:pPr>
      <w:rPr>
        <w:rFonts w:ascii="Symbol" w:hAnsi="Symbol" w:hint="default"/>
      </w:rPr>
    </w:lvl>
    <w:lvl w:ilvl="4" w:tplc="0C090003" w:tentative="1">
      <w:start w:val="1"/>
      <w:numFmt w:val="bullet"/>
      <w:lvlText w:val="o"/>
      <w:lvlJc w:val="left"/>
      <w:pPr>
        <w:tabs>
          <w:tab w:val="num" w:pos="3589"/>
        </w:tabs>
        <w:ind w:left="3589" w:hanging="360"/>
      </w:pPr>
      <w:rPr>
        <w:rFonts w:ascii="Courier New" w:hAnsi="Courier New" w:cs="Courier New" w:hint="default"/>
      </w:rPr>
    </w:lvl>
    <w:lvl w:ilvl="5" w:tplc="0C090005" w:tentative="1">
      <w:start w:val="1"/>
      <w:numFmt w:val="bullet"/>
      <w:lvlText w:val=""/>
      <w:lvlJc w:val="left"/>
      <w:pPr>
        <w:tabs>
          <w:tab w:val="num" w:pos="4309"/>
        </w:tabs>
        <w:ind w:left="4309" w:hanging="360"/>
      </w:pPr>
      <w:rPr>
        <w:rFonts w:ascii="Wingdings" w:hAnsi="Wingdings" w:hint="default"/>
      </w:rPr>
    </w:lvl>
    <w:lvl w:ilvl="6" w:tplc="0C090001" w:tentative="1">
      <w:start w:val="1"/>
      <w:numFmt w:val="bullet"/>
      <w:lvlText w:val=""/>
      <w:lvlJc w:val="left"/>
      <w:pPr>
        <w:tabs>
          <w:tab w:val="num" w:pos="5029"/>
        </w:tabs>
        <w:ind w:left="5029" w:hanging="360"/>
      </w:pPr>
      <w:rPr>
        <w:rFonts w:ascii="Symbol" w:hAnsi="Symbol" w:hint="default"/>
      </w:rPr>
    </w:lvl>
    <w:lvl w:ilvl="7" w:tplc="0C090003" w:tentative="1">
      <w:start w:val="1"/>
      <w:numFmt w:val="bullet"/>
      <w:lvlText w:val="o"/>
      <w:lvlJc w:val="left"/>
      <w:pPr>
        <w:tabs>
          <w:tab w:val="num" w:pos="5749"/>
        </w:tabs>
        <w:ind w:left="5749" w:hanging="360"/>
      </w:pPr>
      <w:rPr>
        <w:rFonts w:ascii="Courier New" w:hAnsi="Courier New" w:cs="Courier New" w:hint="default"/>
      </w:rPr>
    </w:lvl>
    <w:lvl w:ilvl="8" w:tplc="0C090005" w:tentative="1">
      <w:start w:val="1"/>
      <w:numFmt w:val="bullet"/>
      <w:lvlText w:val=""/>
      <w:lvlJc w:val="left"/>
      <w:pPr>
        <w:tabs>
          <w:tab w:val="num" w:pos="6469"/>
        </w:tabs>
        <w:ind w:left="6469" w:hanging="360"/>
      </w:pPr>
      <w:rPr>
        <w:rFonts w:ascii="Wingdings" w:hAnsi="Wingdings" w:hint="default"/>
      </w:rPr>
    </w:lvl>
  </w:abstractNum>
  <w:abstractNum w:abstractNumId="27" w15:restartNumberingAfterBreak="0">
    <w:nsid w:val="43E746DA"/>
    <w:multiLevelType w:val="multilevel"/>
    <w:tmpl w:val="7C9CD72E"/>
    <w:styleLink w:val="Headings"/>
    <w:lvl w:ilvl="0">
      <w:start w:val="1"/>
      <w:numFmt w:val="decimal"/>
      <w:lvlText w:val="%1"/>
      <w:lvlJc w:val="left"/>
      <w:pPr>
        <w:ind w:left="720" w:hanging="720"/>
      </w:pPr>
      <w:rPr>
        <w:rFonts w:hint="default"/>
        <w:color w:val="9E6047" w:themeColor="accent3"/>
        <w:sz w:val="40"/>
        <w:szCs w:val="4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9B97372"/>
    <w:multiLevelType w:val="multilevel"/>
    <w:tmpl w:val="3AF68008"/>
    <w:lvl w:ilvl="0">
      <w:start w:val="1"/>
      <w:numFmt w:val="decimal"/>
      <w:pStyle w:val="NumberedHeading5"/>
      <w:lvlText w:val="%1."/>
      <w:lvlJc w:val="left"/>
      <w:pPr>
        <w:tabs>
          <w:tab w:val="num" w:pos="2921"/>
        </w:tabs>
        <w:ind w:left="2921" w:hanging="794"/>
      </w:pPr>
      <w:rPr>
        <w:rFonts w:hint="default"/>
      </w:rPr>
    </w:lvl>
    <w:lvl w:ilvl="1">
      <w:start w:val="1"/>
      <w:numFmt w:val="decimal"/>
      <w:lvlRestart w:val="0"/>
      <w:lvlText w:val="%1.%2."/>
      <w:lvlJc w:val="left"/>
      <w:pPr>
        <w:ind w:left="792" w:hanging="792"/>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1.%2.%3.%4."/>
      <w:lvlJc w:val="left"/>
      <w:pPr>
        <w:tabs>
          <w:tab w:val="num" w:pos="794"/>
        </w:tabs>
        <w:ind w:left="794" w:hanging="794"/>
      </w:pPr>
      <w:rPr>
        <w:rFonts w:hint="default"/>
      </w:rPr>
    </w:lvl>
    <w:lvl w:ilvl="4">
      <w:start w:val="1"/>
      <w:numFmt w:val="decimal"/>
      <w:pStyle w:val="NumberedHeading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AC64383"/>
    <w:multiLevelType w:val="hybridMultilevel"/>
    <w:tmpl w:val="C9927AD2"/>
    <w:lvl w:ilvl="0" w:tplc="ADC00A48">
      <w:start w:val="1"/>
      <w:numFmt w:val="bullet"/>
      <w:lvlText w:val=""/>
      <w:lvlJc w:val="left"/>
      <w:pPr>
        <w:ind w:left="360" w:hanging="360"/>
      </w:pPr>
      <w:rPr>
        <w:rFonts w:ascii="Symbol" w:hAnsi="Symbol" w:hint="default"/>
        <w:color w:val="357DBE" w:themeColor="accent1"/>
        <w:w w:val="12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4E6E0996"/>
    <w:multiLevelType w:val="multilevel"/>
    <w:tmpl w:val="78360C64"/>
    <w:lvl w:ilvl="0">
      <w:start w:val="1"/>
      <w:numFmt w:val="bullet"/>
      <w:lvlText w:val=""/>
      <w:lvlJc w:val="left"/>
      <w:pPr>
        <w:ind w:left="851" w:hanging="567"/>
      </w:pPr>
      <w:rPr>
        <w:rFonts w:ascii="Symbol" w:hAnsi="Symbol" w:hint="default"/>
        <w:color w:val="auto"/>
        <w:sz w:val="22"/>
      </w:rPr>
    </w:lvl>
    <w:lvl w:ilvl="1">
      <w:start w:val="1"/>
      <w:numFmt w:val="bullet"/>
      <w:pStyle w:val="List-BulletLvl2"/>
      <w:lvlText w:val="-"/>
      <w:lvlJc w:val="left"/>
      <w:pPr>
        <w:ind w:left="567" w:hanging="567"/>
      </w:pPr>
      <w:rPr>
        <w:rFonts w:ascii="Calibri" w:hAnsi="Calibri" w:hint="default"/>
        <w:color w:val="EBECED" w:themeColor="text2"/>
        <w:sz w:val="24"/>
      </w:rPr>
    </w:lvl>
    <w:lvl w:ilvl="2">
      <w:start w:val="1"/>
      <w:numFmt w:val="bullet"/>
      <w:pStyle w:val="List-BulletLvl3"/>
      <w:lvlText w:val=""/>
      <w:lvlJc w:val="left"/>
      <w:pPr>
        <w:ind w:left="1985" w:hanging="567"/>
      </w:pPr>
      <w:rPr>
        <w:rFonts w:ascii="Symbol" w:hAnsi="Symbol" w:hint="default"/>
        <w:color w:val="357DBE" w:themeColor="accent1"/>
        <w:sz w:val="18"/>
      </w:rPr>
    </w:lvl>
    <w:lvl w:ilvl="3">
      <w:start w:val="1"/>
      <w:numFmt w:val="decimal"/>
      <w:lvlText w:val="(%4)"/>
      <w:lvlJc w:val="left"/>
      <w:pPr>
        <w:ind w:left="2552" w:hanging="567"/>
      </w:pPr>
      <w:rPr>
        <w:rFonts w:hint="default"/>
      </w:rPr>
    </w:lvl>
    <w:lvl w:ilvl="4">
      <w:start w:val="1"/>
      <w:numFmt w:val="lowerLetter"/>
      <w:lvlText w:val="(%5)"/>
      <w:lvlJc w:val="left"/>
      <w:pPr>
        <w:ind w:left="3119" w:hanging="567"/>
      </w:pPr>
      <w:rPr>
        <w:rFonts w:hint="default"/>
      </w:rPr>
    </w:lvl>
    <w:lvl w:ilvl="5">
      <w:start w:val="1"/>
      <w:numFmt w:val="lowerRoman"/>
      <w:lvlText w:val="(%6)"/>
      <w:lvlJc w:val="left"/>
      <w:pPr>
        <w:ind w:left="3686" w:hanging="567"/>
      </w:pPr>
      <w:rPr>
        <w:rFonts w:hint="default"/>
      </w:rPr>
    </w:lvl>
    <w:lvl w:ilvl="6">
      <w:start w:val="1"/>
      <w:numFmt w:val="decimal"/>
      <w:lvlText w:val="%7."/>
      <w:lvlJc w:val="left"/>
      <w:pPr>
        <w:ind w:left="1134" w:hanging="567"/>
      </w:pPr>
      <w:rPr>
        <w:rFonts w:hint="default"/>
      </w:rPr>
    </w:lvl>
    <w:lvl w:ilvl="7">
      <w:start w:val="1"/>
      <w:numFmt w:val="lowerLetter"/>
      <w:lvlText w:val="%8."/>
      <w:lvlJc w:val="left"/>
      <w:pPr>
        <w:ind w:left="4820" w:hanging="567"/>
      </w:pPr>
      <w:rPr>
        <w:rFonts w:hint="default"/>
      </w:rPr>
    </w:lvl>
    <w:lvl w:ilvl="8">
      <w:start w:val="1"/>
      <w:numFmt w:val="lowerRoman"/>
      <w:lvlText w:val="%9."/>
      <w:lvlJc w:val="left"/>
      <w:pPr>
        <w:ind w:left="5387" w:hanging="567"/>
      </w:pPr>
      <w:rPr>
        <w:rFonts w:hint="default"/>
      </w:rPr>
    </w:lvl>
  </w:abstractNum>
  <w:abstractNum w:abstractNumId="31" w15:restartNumberingAfterBreak="0">
    <w:nsid w:val="536461FB"/>
    <w:multiLevelType w:val="multilevel"/>
    <w:tmpl w:val="B3986A32"/>
    <w:lvl w:ilvl="0">
      <w:start w:val="1"/>
      <w:numFmt w:val="decimal"/>
      <w:pStyle w:val="Heading1"/>
      <w:lvlText w:val="%1"/>
      <w:lvlJc w:val="left"/>
      <w:pPr>
        <w:ind w:left="432" w:hanging="432"/>
      </w:pPr>
      <w:rPr>
        <w:sz w:val="40"/>
        <w:szCs w:val="4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sz w:val="32"/>
        <w:szCs w:val="32"/>
      </w:r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15:restartNumberingAfterBreak="0">
    <w:nsid w:val="57B91A17"/>
    <w:multiLevelType w:val="multilevel"/>
    <w:tmpl w:val="AD2AD600"/>
    <w:styleLink w:val="BullettedList"/>
    <w:lvl w:ilvl="0">
      <w:start w:val="1"/>
      <w:numFmt w:val="bullet"/>
      <w:lvlText w:val=""/>
      <w:lvlJc w:val="left"/>
      <w:pPr>
        <w:ind w:left="851" w:hanging="426"/>
      </w:pPr>
      <w:rPr>
        <w:rFonts w:ascii="Symbol" w:hAnsi="Symbol" w:hint="default"/>
      </w:rPr>
    </w:lvl>
    <w:lvl w:ilvl="1">
      <w:start w:val="1"/>
      <w:numFmt w:val="bullet"/>
      <w:lvlText w:val="o"/>
      <w:lvlJc w:val="left"/>
      <w:pPr>
        <w:ind w:left="1276" w:hanging="426"/>
      </w:pPr>
      <w:rPr>
        <w:rFonts w:ascii="Courier New" w:hAnsi="Courier New" w:hint="default"/>
      </w:rPr>
    </w:lvl>
    <w:lvl w:ilvl="2">
      <w:start w:val="1"/>
      <w:numFmt w:val="bullet"/>
      <w:lvlText w:val="o"/>
      <w:lvlJc w:val="left"/>
      <w:pPr>
        <w:ind w:left="1701" w:hanging="426"/>
      </w:pPr>
      <w:rPr>
        <w:rFonts w:ascii="Courier New" w:hAnsi="Courier New" w:hint="default"/>
      </w:rPr>
    </w:lvl>
    <w:lvl w:ilvl="3">
      <w:start w:val="1"/>
      <w:numFmt w:val="bullet"/>
      <w:lvlText w:val="o"/>
      <w:lvlJc w:val="left"/>
      <w:pPr>
        <w:ind w:left="2126" w:hanging="426"/>
      </w:pPr>
      <w:rPr>
        <w:rFonts w:ascii="Courier New" w:hAnsi="Courier New" w:hint="default"/>
      </w:rPr>
    </w:lvl>
    <w:lvl w:ilvl="4">
      <w:start w:val="1"/>
      <w:numFmt w:val="bullet"/>
      <w:lvlText w:val="o"/>
      <w:lvlJc w:val="left"/>
      <w:pPr>
        <w:ind w:left="2551" w:hanging="426"/>
      </w:pPr>
      <w:rPr>
        <w:rFonts w:ascii="Courier New" w:hAnsi="Courier New" w:cs="Courier New" w:hint="default"/>
      </w:rPr>
    </w:lvl>
    <w:lvl w:ilvl="5">
      <w:start w:val="1"/>
      <w:numFmt w:val="bullet"/>
      <w:lvlText w:val=""/>
      <w:lvlJc w:val="left"/>
      <w:pPr>
        <w:ind w:left="2976" w:hanging="426"/>
      </w:pPr>
      <w:rPr>
        <w:rFonts w:ascii="Wingdings" w:hAnsi="Wingdings" w:hint="default"/>
      </w:rPr>
    </w:lvl>
    <w:lvl w:ilvl="6">
      <w:start w:val="1"/>
      <w:numFmt w:val="bullet"/>
      <w:lvlText w:val=""/>
      <w:lvlJc w:val="left"/>
      <w:pPr>
        <w:ind w:left="3401" w:hanging="426"/>
      </w:pPr>
      <w:rPr>
        <w:rFonts w:ascii="Symbol" w:hAnsi="Symbol" w:hint="default"/>
      </w:rPr>
    </w:lvl>
    <w:lvl w:ilvl="7">
      <w:start w:val="1"/>
      <w:numFmt w:val="bullet"/>
      <w:lvlText w:val="o"/>
      <w:lvlJc w:val="left"/>
      <w:pPr>
        <w:ind w:left="3826" w:hanging="426"/>
      </w:pPr>
      <w:rPr>
        <w:rFonts w:ascii="Courier New" w:hAnsi="Courier New" w:cs="Courier New" w:hint="default"/>
      </w:rPr>
    </w:lvl>
    <w:lvl w:ilvl="8">
      <w:start w:val="1"/>
      <w:numFmt w:val="bullet"/>
      <w:lvlText w:val=""/>
      <w:lvlJc w:val="left"/>
      <w:pPr>
        <w:ind w:left="4251" w:hanging="426"/>
      </w:pPr>
      <w:rPr>
        <w:rFonts w:ascii="Wingdings" w:hAnsi="Wingdings" w:hint="default"/>
      </w:rPr>
    </w:lvl>
  </w:abstractNum>
  <w:abstractNum w:abstractNumId="33" w15:restartNumberingAfterBreak="0">
    <w:nsid w:val="59706FF6"/>
    <w:multiLevelType w:val="hybridMultilevel"/>
    <w:tmpl w:val="34482B14"/>
    <w:lvl w:ilvl="0" w:tplc="F476DEC0">
      <w:start w:val="1"/>
      <w:numFmt w:val="bullet"/>
      <w:lvlText w:val=""/>
      <w:lvlJc w:val="left"/>
      <w:pPr>
        <w:ind w:left="862" w:hanging="360"/>
      </w:pPr>
      <w:rPr>
        <w:rFonts w:ascii="Symbol" w:hAnsi="Symbol" w:hint="default"/>
        <w:color w:val="357DBE" w:themeColor="accent1"/>
      </w:rPr>
    </w:lvl>
    <w:lvl w:ilvl="1" w:tplc="14090003" w:tentative="1">
      <w:start w:val="1"/>
      <w:numFmt w:val="bullet"/>
      <w:lvlText w:val="o"/>
      <w:lvlJc w:val="left"/>
      <w:pPr>
        <w:ind w:left="1582" w:hanging="360"/>
      </w:pPr>
      <w:rPr>
        <w:rFonts w:ascii="Courier New" w:hAnsi="Courier New" w:cs="Courier New" w:hint="default"/>
      </w:rPr>
    </w:lvl>
    <w:lvl w:ilvl="2" w:tplc="14090005" w:tentative="1">
      <w:start w:val="1"/>
      <w:numFmt w:val="bullet"/>
      <w:lvlText w:val=""/>
      <w:lvlJc w:val="left"/>
      <w:pPr>
        <w:ind w:left="2302" w:hanging="360"/>
      </w:pPr>
      <w:rPr>
        <w:rFonts w:ascii="Wingdings" w:hAnsi="Wingdings" w:hint="default"/>
      </w:rPr>
    </w:lvl>
    <w:lvl w:ilvl="3" w:tplc="14090001" w:tentative="1">
      <w:start w:val="1"/>
      <w:numFmt w:val="bullet"/>
      <w:lvlText w:val=""/>
      <w:lvlJc w:val="left"/>
      <w:pPr>
        <w:ind w:left="3022" w:hanging="360"/>
      </w:pPr>
      <w:rPr>
        <w:rFonts w:ascii="Symbol" w:hAnsi="Symbol" w:hint="default"/>
      </w:rPr>
    </w:lvl>
    <w:lvl w:ilvl="4" w:tplc="14090003" w:tentative="1">
      <w:start w:val="1"/>
      <w:numFmt w:val="bullet"/>
      <w:lvlText w:val="o"/>
      <w:lvlJc w:val="left"/>
      <w:pPr>
        <w:ind w:left="3742" w:hanging="360"/>
      </w:pPr>
      <w:rPr>
        <w:rFonts w:ascii="Courier New" w:hAnsi="Courier New" w:cs="Courier New" w:hint="default"/>
      </w:rPr>
    </w:lvl>
    <w:lvl w:ilvl="5" w:tplc="14090005" w:tentative="1">
      <w:start w:val="1"/>
      <w:numFmt w:val="bullet"/>
      <w:lvlText w:val=""/>
      <w:lvlJc w:val="left"/>
      <w:pPr>
        <w:ind w:left="4462" w:hanging="360"/>
      </w:pPr>
      <w:rPr>
        <w:rFonts w:ascii="Wingdings" w:hAnsi="Wingdings" w:hint="default"/>
      </w:rPr>
    </w:lvl>
    <w:lvl w:ilvl="6" w:tplc="14090001" w:tentative="1">
      <w:start w:val="1"/>
      <w:numFmt w:val="bullet"/>
      <w:lvlText w:val=""/>
      <w:lvlJc w:val="left"/>
      <w:pPr>
        <w:ind w:left="5182" w:hanging="360"/>
      </w:pPr>
      <w:rPr>
        <w:rFonts w:ascii="Symbol" w:hAnsi="Symbol" w:hint="default"/>
      </w:rPr>
    </w:lvl>
    <w:lvl w:ilvl="7" w:tplc="14090003" w:tentative="1">
      <w:start w:val="1"/>
      <w:numFmt w:val="bullet"/>
      <w:lvlText w:val="o"/>
      <w:lvlJc w:val="left"/>
      <w:pPr>
        <w:ind w:left="5902" w:hanging="360"/>
      </w:pPr>
      <w:rPr>
        <w:rFonts w:ascii="Courier New" w:hAnsi="Courier New" w:cs="Courier New" w:hint="default"/>
      </w:rPr>
    </w:lvl>
    <w:lvl w:ilvl="8" w:tplc="14090005" w:tentative="1">
      <w:start w:val="1"/>
      <w:numFmt w:val="bullet"/>
      <w:lvlText w:val=""/>
      <w:lvlJc w:val="left"/>
      <w:pPr>
        <w:ind w:left="6622" w:hanging="360"/>
      </w:pPr>
      <w:rPr>
        <w:rFonts w:ascii="Wingdings" w:hAnsi="Wingdings" w:hint="default"/>
      </w:rPr>
    </w:lvl>
  </w:abstractNum>
  <w:abstractNum w:abstractNumId="34" w15:restartNumberingAfterBreak="0">
    <w:nsid w:val="5F55010A"/>
    <w:multiLevelType w:val="multilevel"/>
    <w:tmpl w:val="F3385258"/>
    <w:styleLink w:val="1ai"/>
    <w:lvl w:ilvl="0">
      <w:start w:val="1"/>
      <w:numFmt w:val="decimal"/>
      <w:lvlText w:val="%1"/>
      <w:lvlJc w:val="left"/>
      <w:pPr>
        <w:ind w:left="432" w:hanging="432"/>
      </w:pPr>
      <w:rPr>
        <w:rFonts w:hint="default"/>
        <w:color w:val="9E6047" w:themeColor="accent3"/>
        <w:sz w:val="40"/>
        <w:szCs w:val="40"/>
      </w:rPr>
    </w:lvl>
    <w:lvl w:ilvl="1">
      <w:start w:val="1"/>
      <w:numFmt w:val="decimal"/>
      <w:lvlText w:val="%1.%2"/>
      <w:lvlJc w:val="left"/>
      <w:pPr>
        <w:ind w:left="576" w:hanging="576"/>
      </w:pPr>
      <w:rPr>
        <w:rFonts w:hint="default"/>
        <w:color w:val="9E6047" w:themeColor="accent3"/>
      </w:rPr>
    </w:lvl>
    <w:lvl w:ilvl="2">
      <w:start w:val="1"/>
      <w:numFmt w:val="decimal"/>
      <w:lvlText w:val="%1.%2.%3"/>
      <w:lvlJc w:val="left"/>
      <w:pPr>
        <w:ind w:left="720" w:hanging="720"/>
      </w:pPr>
      <w:rPr>
        <w:rFonts w:hint="default"/>
        <w:b/>
        <w:bCs/>
        <w:sz w:val="32"/>
        <w:szCs w:val="3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61EA0689"/>
    <w:multiLevelType w:val="hybridMultilevel"/>
    <w:tmpl w:val="AE604004"/>
    <w:lvl w:ilvl="0" w:tplc="598CDDF4">
      <w:start w:val="1"/>
      <w:numFmt w:val="decimal"/>
      <w:pStyle w:val="Figurenumbered"/>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63D06EC5"/>
    <w:multiLevelType w:val="hybridMultilevel"/>
    <w:tmpl w:val="5532F12A"/>
    <w:lvl w:ilvl="0" w:tplc="0C090001">
      <w:start w:val="1"/>
      <w:numFmt w:val="bullet"/>
      <w:lvlText w:val=""/>
      <w:lvlJc w:val="left"/>
      <w:pPr>
        <w:ind w:left="720" w:hanging="360"/>
      </w:pPr>
      <w:rPr>
        <w:rFonts w:ascii="Symbol" w:hAnsi="Symbol" w:hint="default"/>
        <w:color w:val="357DBE" w:themeColor="accent1"/>
      </w:rPr>
    </w:lvl>
    <w:lvl w:ilvl="1" w:tplc="FFFFFFFF">
      <w:start w:val="1"/>
      <w:numFmt w:val="lowerLetter"/>
      <w:lvlText w:val="%2."/>
      <w:lvlJc w:val="left"/>
      <w:pPr>
        <w:ind w:left="1440" w:hanging="360"/>
      </w:pPr>
      <w:rPr>
        <w:color w:val="357DBE" w:themeColor="accent1"/>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5E8418C"/>
    <w:multiLevelType w:val="hybridMultilevel"/>
    <w:tmpl w:val="B748E212"/>
    <w:lvl w:ilvl="0" w:tplc="DE061EF6">
      <w:start w:val="1"/>
      <w:numFmt w:val="bullet"/>
      <w:lvlText w:val=""/>
      <w:lvlJc w:val="left"/>
      <w:pPr>
        <w:ind w:left="862" w:hanging="360"/>
      </w:pPr>
      <w:rPr>
        <w:rFonts w:ascii="Symbol" w:hAnsi="Symbol" w:hint="default"/>
        <w:color w:val="357DBE" w:themeColor="accent1"/>
      </w:rPr>
    </w:lvl>
    <w:lvl w:ilvl="1" w:tplc="14090003">
      <w:start w:val="1"/>
      <w:numFmt w:val="bullet"/>
      <w:lvlText w:val="o"/>
      <w:lvlJc w:val="left"/>
      <w:pPr>
        <w:ind w:left="1582" w:hanging="360"/>
      </w:pPr>
      <w:rPr>
        <w:rFonts w:ascii="Courier New" w:hAnsi="Courier New" w:cs="Courier New" w:hint="default"/>
      </w:rPr>
    </w:lvl>
    <w:lvl w:ilvl="2" w:tplc="14090005" w:tentative="1">
      <w:start w:val="1"/>
      <w:numFmt w:val="bullet"/>
      <w:lvlText w:val=""/>
      <w:lvlJc w:val="left"/>
      <w:pPr>
        <w:ind w:left="2302" w:hanging="360"/>
      </w:pPr>
      <w:rPr>
        <w:rFonts w:ascii="Wingdings" w:hAnsi="Wingdings" w:hint="default"/>
      </w:rPr>
    </w:lvl>
    <w:lvl w:ilvl="3" w:tplc="14090001" w:tentative="1">
      <w:start w:val="1"/>
      <w:numFmt w:val="bullet"/>
      <w:lvlText w:val=""/>
      <w:lvlJc w:val="left"/>
      <w:pPr>
        <w:ind w:left="3022" w:hanging="360"/>
      </w:pPr>
      <w:rPr>
        <w:rFonts w:ascii="Symbol" w:hAnsi="Symbol" w:hint="default"/>
      </w:rPr>
    </w:lvl>
    <w:lvl w:ilvl="4" w:tplc="14090003" w:tentative="1">
      <w:start w:val="1"/>
      <w:numFmt w:val="bullet"/>
      <w:lvlText w:val="o"/>
      <w:lvlJc w:val="left"/>
      <w:pPr>
        <w:ind w:left="3742" w:hanging="360"/>
      </w:pPr>
      <w:rPr>
        <w:rFonts w:ascii="Courier New" w:hAnsi="Courier New" w:cs="Courier New" w:hint="default"/>
      </w:rPr>
    </w:lvl>
    <w:lvl w:ilvl="5" w:tplc="14090005" w:tentative="1">
      <w:start w:val="1"/>
      <w:numFmt w:val="bullet"/>
      <w:lvlText w:val=""/>
      <w:lvlJc w:val="left"/>
      <w:pPr>
        <w:ind w:left="4462" w:hanging="360"/>
      </w:pPr>
      <w:rPr>
        <w:rFonts w:ascii="Wingdings" w:hAnsi="Wingdings" w:hint="default"/>
      </w:rPr>
    </w:lvl>
    <w:lvl w:ilvl="6" w:tplc="14090001" w:tentative="1">
      <w:start w:val="1"/>
      <w:numFmt w:val="bullet"/>
      <w:lvlText w:val=""/>
      <w:lvlJc w:val="left"/>
      <w:pPr>
        <w:ind w:left="5182" w:hanging="360"/>
      </w:pPr>
      <w:rPr>
        <w:rFonts w:ascii="Symbol" w:hAnsi="Symbol" w:hint="default"/>
      </w:rPr>
    </w:lvl>
    <w:lvl w:ilvl="7" w:tplc="14090003" w:tentative="1">
      <w:start w:val="1"/>
      <w:numFmt w:val="bullet"/>
      <w:lvlText w:val="o"/>
      <w:lvlJc w:val="left"/>
      <w:pPr>
        <w:ind w:left="5902" w:hanging="360"/>
      </w:pPr>
      <w:rPr>
        <w:rFonts w:ascii="Courier New" w:hAnsi="Courier New" w:cs="Courier New" w:hint="default"/>
      </w:rPr>
    </w:lvl>
    <w:lvl w:ilvl="8" w:tplc="14090005" w:tentative="1">
      <w:start w:val="1"/>
      <w:numFmt w:val="bullet"/>
      <w:lvlText w:val=""/>
      <w:lvlJc w:val="left"/>
      <w:pPr>
        <w:ind w:left="6622" w:hanging="360"/>
      </w:pPr>
      <w:rPr>
        <w:rFonts w:ascii="Wingdings" w:hAnsi="Wingdings" w:hint="default"/>
      </w:rPr>
    </w:lvl>
  </w:abstractNum>
  <w:abstractNum w:abstractNumId="38" w15:restartNumberingAfterBreak="0">
    <w:nsid w:val="6EC70E83"/>
    <w:multiLevelType w:val="hybridMultilevel"/>
    <w:tmpl w:val="FE8E566E"/>
    <w:lvl w:ilvl="0" w:tplc="CC8E1508">
      <w:start w:val="1"/>
      <w:numFmt w:val="upperLetter"/>
      <w:pStyle w:val="Appendix"/>
      <w:lvlText w:val="Appendix %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6F8347AA"/>
    <w:multiLevelType w:val="hybridMultilevel"/>
    <w:tmpl w:val="25BC0A5C"/>
    <w:lvl w:ilvl="0" w:tplc="DE061EF6">
      <w:start w:val="1"/>
      <w:numFmt w:val="bullet"/>
      <w:lvlText w:val=""/>
      <w:lvlJc w:val="left"/>
      <w:pPr>
        <w:ind w:left="720" w:hanging="360"/>
      </w:pPr>
      <w:rPr>
        <w:rFonts w:ascii="Symbol" w:hAnsi="Symbol" w:hint="default"/>
        <w:color w:val="357DBE" w:themeColor="accent1"/>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0" w15:restartNumberingAfterBreak="0">
    <w:nsid w:val="755811B5"/>
    <w:multiLevelType w:val="hybridMultilevel"/>
    <w:tmpl w:val="DDFA5E9C"/>
    <w:lvl w:ilvl="0" w:tplc="EBB2C5BC">
      <w:start w:val="1"/>
      <w:numFmt w:val="bullet"/>
      <w:pStyle w:val="TableBullet1"/>
      <w:lvlText w:val=""/>
      <w:lvlJc w:val="left"/>
      <w:pPr>
        <w:ind w:left="829" w:hanging="377"/>
      </w:pPr>
      <w:rPr>
        <w:rFonts w:ascii="Symbol" w:hAnsi="Symbol" w:hint="default"/>
      </w:rPr>
    </w:lvl>
    <w:lvl w:ilvl="1" w:tplc="0C090003" w:tentative="1">
      <w:start w:val="1"/>
      <w:numFmt w:val="bullet"/>
      <w:lvlText w:val="o"/>
      <w:lvlJc w:val="left"/>
      <w:pPr>
        <w:ind w:left="1665" w:hanging="360"/>
      </w:pPr>
      <w:rPr>
        <w:rFonts w:ascii="Courier New" w:hAnsi="Courier New" w:cs="Courier New" w:hint="default"/>
      </w:rPr>
    </w:lvl>
    <w:lvl w:ilvl="2" w:tplc="0C090005" w:tentative="1">
      <w:start w:val="1"/>
      <w:numFmt w:val="bullet"/>
      <w:lvlText w:val=""/>
      <w:lvlJc w:val="left"/>
      <w:pPr>
        <w:ind w:left="2385" w:hanging="360"/>
      </w:pPr>
      <w:rPr>
        <w:rFonts w:ascii="Wingdings" w:hAnsi="Wingdings" w:hint="default"/>
      </w:rPr>
    </w:lvl>
    <w:lvl w:ilvl="3" w:tplc="0C090001" w:tentative="1">
      <w:start w:val="1"/>
      <w:numFmt w:val="bullet"/>
      <w:lvlText w:val=""/>
      <w:lvlJc w:val="left"/>
      <w:pPr>
        <w:ind w:left="3105" w:hanging="360"/>
      </w:pPr>
      <w:rPr>
        <w:rFonts w:ascii="Symbol" w:hAnsi="Symbol" w:hint="default"/>
      </w:rPr>
    </w:lvl>
    <w:lvl w:ilvl="4" w:tplc="0C090003" w:tentative="1">
      <w:start w:val="1"/>
      <w:numFmt w:val="bullet"/>
      <w:lvlText w:val="o"/>
      <w:lvlJc w:val="left"/>
      <w:pPr>
        <w:ind w:left="3825" w:hanging="360"/>
      </w:pPr>
      <w:rPr>
        <w:rFonts w:ascii="Courier New" w:hAnsi="Courier New" w:cs="Courier New" w:hint="default"/>
      </w:rPr>
    </w:lvl>
    <w:lvl w:ilvl="5" w:tplc="0C090005" w:tentative="1">
      <w:start w:val="1"/>
      <w:numFmt w:val="bullet"/>
      <w:lvlText w:val=""/>
      <w:lvlJc w:val="left"/>
      <w:pPr>
        <w:ind w:left="4545" w:hanging="360"/>
      </w:pPr>
      <w:rPr>
        <w:rFonts w:ascii="Wingdings" w:hAnsi="Wingdings" w:hint="default"/>
      </w:rPr>
    </w:lvl>
    <w:lvl w:ilvl="6" w:tplc="0C090001" w:tentative="1">
      <w:start w:val="1"/>
      <w:numFmt w:val="bullet"/>
      <w:lvlText w:val=""/>
      <w:lvlJc w:val="left"/>
      <w:pPr>
        <w:ind w:left="5265" w:hanging="360"/>
      </w:pPr>
      <w:rPr>
        <w:rFonts w:ascii="Symbol" w:hAnsi="Symbol" w:hint="default"/>
      </w:rPr>
    </w:lvl>
    <w:lvl w:ilvl="7" w:tplc="0C090003" w:tentative="1">
      <w:start w:val="1"/>
      <w:numFmt w:val="bullet"/>
      <w:lvlText w:val="o"/>
      <w:lvlJc w:val="left"/>
      <w:pPr>
        <w:ind w:left="5985" w:hanging="360"/>
      </w:pPr>
      <w:rPr>
        <w:rFonts w:ascii="Courier New" w:hAnsi="Courier New" w:cs="Courier New" w:hint="default"/>
      </w:rPr>
    </w:lvl>
    <w:lvl w:ilvl="8" w:tplc="0C090005" w:tentative="1">
      <w:start w:val="1"/>
      <w:numFmt w:val="bullet"/>
      <w:lvlText w:val=""/>
      <w:lvlJc w:val="left"/>
      <w:pPr>
        <w:ind w:left="6705" w:hanging="360"/>
      </w:pPr>
      <w:rPr>
        <w:rFonts w:ascii="Wingdings" w:hAnsi="Wingdings" w:hint="default"/>
      </w:rPr>
    </w:lvl>
  </w:abstractNum>
  <w:abstractNum w:abstractNumId="41" w15:restartNumberingAfterBreak="0">
    <w:nsid w:val="78FE0848"/>
    <w:multiLevelType w:val="hybridMultilevel"/>
    <w:tmpl w:val="A3C64FD6"/>
    <w:lvl w:ilvl="0" w:tplc="4C863A6E">
      <w:start w:val="1"/>
      <w:numFmt w:val="bullet"/>
      <w:pStyle w:val="TableDot-point"/>
      <w:lvlText w:val=""/>
      <w:lvlJc w:val="left"/>
      <w:pPr>
        <w:ind w:left="360" w:hanging="360"/>
      </w:pPr>
      <w:rPr>
        <w:rFonts w:ascii="Symbol" w:hAnsi="Symbol" w:hint="default"/>
        <w:color w:val="357DBE" w:themeColor="accent1"/>
        <w:sz w:val="20"/>
      </w:rPr>
    </w:lvl>
    <w:lvl w:ilvl="1" w:tplc="FFFFFFFF">
      <w:start w:val="1"/>
      <w:numFmt w:val="lowerLetter"/>
      <w:pStyle w:val="Heading2s"/>
      <w:lvlText w:val="%2."/>
      <w:lvlJc w:val="left"/>
      <w:pPr>
        <w:ind w:left="1080" w:hanging="360"/>
      </w:pPr>
      <w:rPr>
        <w:color w:val="357DBE" w:themeColor="accent1"/>
      </w:rPr>
    </w:lvl>
    <w:lvl w:ilvl="2" w:tplc="FFFFFFFF" w:tentative="1">
      <w:start w:val="1"/>
      <w:numFmt w:val="lowerRoman"/>
      <w:pStyle w:val="Heading3-NOTinTOC"/>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7A001AD0"/>
    <w:multiLevelType w:val="hybridMultilevel"/>
    <w:tmpl w:val="D0305FE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3" w15:restartNumberingAfterBreak="0">
    <w:nsid w:val="7B250AFC"/>
    <w:multiLevelType w:val="hybridMultilevel"/>
    <w:tmpl w:val="75CEF3E6"/>
    <w:lvl w:ilvl="0" w:tplc="DE061EF6">
      <w:start w:val="1"/>
      <w:numFmt w:val="bullet"/>
      <w:lvlText w:val=""/>
      <w:lvlJc w:val="left"/>
      <w:pPr>
        <w:ind w:left="720" w:hanging="360"/>
      </w:pPr>
      <w:rPr>
        <w:rFonts w:ascii="Symbol" w:hAnsi="Symbol" w:hint="default"/>
        <w:color w:val="357DBE"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255817902">
    <w:abstractNumId w:val="20"/>
  </w:num>
  <w:num w:numId="2" w16cid:durableId="385958683">
    <w:abstractNumId w:val="16"/>
  </w:num>
  <w:num w:numId="3" w16cid:durableId="588659527">
    <w:abstractNumId w:val="38"/>
  </w:num>
  <w:num w:numId="4" w16cid:durableId="404110244">
    <w:abstractNumId w:val="10"/>
  </w:num>
  <w:num w:numId="5" w16cid:durableId="1285119412">
    <w:abstractNumId w:val="8"/>
  </w:num>
  <w:num w:numId="6" w16cid:durableId="258410976">
    <w:abstractNumId w:val="7"/>
  </w:num>
  <w:num w:numId="7" w16cid:durableId="366566459">
    <w:abstractNumId w:val="6"/>
  </w:num>
  <w:num w:numId="8" w16cid:durableId="291717056">
    <w:abstractNumId w:val="5"/>
  </w:num>
  <w:num w:numId="9" w16cid:durableId="1475443298">
    <w:abstractNumId w:val="9"/>
  </w:num>
  <w:num w:numId="10" w16cid:durableId="1292252149">
    <w:abstractNumId w:val="4"/>
  </w:num>
  <w:num w:numId="11" w16cid:durableId="241530967">
    <w:abstractNumId w:val="3"/>
  </w:num>
  <w:num w:numId="12" w16cid:durableId="2063477674">
    <w:abstractNumId w:val="2"/>
  </w:num>
  <w:num w:numId="13" w16cid:durableId="1493182452">
    <w:abstractNumId w:val="1"/>
  </w:num>
  <w:num w:numId="14" w16cid:durableId="1552113725">
    <w:abstractNumId w:val="32"/>
  </w:num>
  <w:num w:numId="15" w16cid:durableId="812714945">
    <w:abstractNumId w:val="27"/>
  </w:num>
  <w:num w:numId="16" w16cid:durableId="159271667">
    <w:abstractNumId w:val="18"/>
  </w:num>
  <w:num w:numId="17" w16cid:durableId="645670038">
    <w:abstractNumId w:val="43"/>
  </w:num>
  <w:num w:numId="18" w16cid:durableId="1889415875">
    <w:abstractNumId w:val="19"/>
  </w:num>
  <w:num w:numId="19" w16cid:durableId="91819980">
    <w:abstractNumId w:val="24"/>
  </w:num>
  <w:num w:numId="20" w16cid:durableId="18088416">
    <w:abstractNumId w:val="0"/>
  </w:num>
  <w:num w:numId="21" w16cid:durableId="1367683198">
    <w:abstractNumId w:val="22"/>
  </w:num>
  <w:num w:numId="22" w16cid:durableId="703796770">
    <w:abstractNumId w:val="18"/>
    <w:lvlOverride w:ilvl="0">
      <w:startOverride w:val="1"/>
    </w:lvlOverride>
  </w:num>
  <w:num w:numId="23" w16cid:durableId="26952311">
    <w:abstractNumId w:val="18"/>
    <w:lvlOverride w:ilvl="0">
      <w:startOverride w:val="1"/>
    </w:lvlOverride>
  </w:num>
  <w:num w:numId="24" w16cid:durableId="1812943080">
    <w:abstractNumId w:val="37"/>
  </w:num>
  <w:num w:numId="25" w16cid:durableId="1143306192">
    <w:abstractNumId w:val="36"/>
  </w:num>
  <w:num w:numId="26" w16cid:durableId="1343626483">
    <w:abstractNumId w:val="41"/>
  </w:num>
  <w:num w:numId="27" w16cid:durableId="1874033692">
    <w:abstractNumId w:val="23"/>
  </w:num>
  <w:num w:numId="28" w16cid:durableId="3400848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311120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60955675">
    <w:abstractNumId w:val="11"/>
  </w:num>
  <w:num w:numId="31" w16cid:durableId="1355424731">
    <w:abstractNumId w:val="26"/>
  </w:num>
  <w:num w:numId="32" w16cid:durableId="1192768524">
    <w:abstractNumId w:val="40"/>
  </w:num>
  <w:num w:numId="33" w16cid:durableId="1763454396">
    <w:abstractNumId w:val="15"/>
  </w:num>
  <w:num w:numId="34" w16cid:durableId="827750589">
    <w:abstractNumId w:val="14"/>
  </w:num>
  <w:num w:numId="35" w16cid:durableId="877397416">
    <w:abstractNumId w:val="35"/>
  </w:num>
  <w:num w:numId="36" w16cid:durableId="1558125441">
    <w:abstractNumId w:val="34"/>
  </w:num>
  <w:num w:numId="37" w16cid:durableId="1835678330">
    <w:abstractNumId w:val="12"/>
  </w:num>
  <w:num w:numId="38" w16cid:durableId="208610749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9717432">
    <w:abstractNumId w:val="25"/>
  </w:num>
  <w:num w:numId="40" w16cid:durableId="6532914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5015916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685278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6119652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136953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297875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965163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226573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80420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8569140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6492730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11891742">
    <w:abstractNumId w:val="28"/>
  </w:num>
  <w:num w:numId="52" w16cid:durableId="1246457080">
    <w:abstractNumId w:val="17"/>
  </w:num>
  <w:num w:numId="53" w16cid:durableId="1183324822">
    <w:abstractNumId w:val="30"/>
  </w:num>
  <w:num w:numId="54" w16cid:durableId="207306407">
    <w:abstractNumId w:val="33"/>
  </w:num>
  <w:num w:numId="55" w16cid:durableId="1623460840">
    <w:abstractNumId w:val="29"/>
  </w:num>
  <w:num w:numId="56" w16cid:durableId="1717004144">
    <w:abstractNumId w:val="21"/>
  </w:num>
  <w:num w:numId="57" w16cid:durableId="1642418836">
    <w:abstractNumId w:val="13"/>
  </w:num>
  <w:num w:numId="58" w16cid:durableId="203256658">
    <w:abstractNumId w:val="31"/>
  </w:num>
  <w:num w:numId="59" w16cid:durableId="392389159">
    <w:abstractNumId w:val="31"/>
  </w:num>
  <w:num w:numId="60" w16cid:durableId="193277003">
    <w:abstractNumId w:val="31"/>
  </w:num>
  <w:num w:numId="61" w16cid:durableId="40593295">
    <w:abstractNumId w:val="31"/>
  </w:num>
  <w:num w:numId="62" w16cid:durableId="2042634349">
    <w:abstractNumId w:val="31"/>
  </w:num>
  <w:num w:numId="63" w16cid:durableId="314917635">
    <w:abstractNumId w:val="42"/>
  </w:num>
  <w:num w:numId="64" w16cid:durableId="573319748">
    <w:abstractNumId w:val="39"/>
  </w:num>
  <w:num w:numId="65" w16cid:durableId="935559134">
    <w:abstractNumId w:val="18"/>
  </w:num>
  <w:num w:numId="66" w16cid:durableId="17343551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FormatFilter w:val="9224" w:allStyles="0" w:customStyles="0" w:latentStyles="1" w:stylesInUse="0" w:headingStyles="1" w:numberingStyles="0" w:tableStyles="0" w:directFormattingOnRuns="0" w:directFormattingOnParagraphs="1" w:directFormattingOnNumbering="0" w:directFormattingOnTables="0" w:clearFormatting="1" w:top3HeadingStyles="0" w:visibleStyles="0" w:alternateStyleNames="1"/>
  <w:stylePaneSortMethod w:val="0000"/>
  <w:styleLockQFSet/>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rYwsDQ1tTSyMDY0MrVU0lEKTi0uzszPAykwNKoFAH0A8S0tAAAA"/>
  </w:docVars>
  <w:rsids>
    <w:rsidRoot w:val="00E31070"/>
    <w:rsid w:val="00000002"/>
    <w:rsid w:val="00000011"/>
    <w:rsid w:val="000000ED"/>
    <w:rsid w:val="0000024E"/>
    <w:rsid w:val="00000262"/>
    <w:rsid w:val="000002A8"/>
    <w:rsid w:val="00000373"/>
    <w:rsid w:val="0000043D"/>
    <w:rsid w:val="00000556"/>
    <w:rsid w:val="000008D1"/>
    <w:rsid w:val="00000B4C"/>
    <w:rsid w:val="00000BB5"/>
    <w:rsid w:val="00000BFB"/>
    <w:rsid w:val="00000CAD"/>
    <w:rsid w:val="00000CDB"/>
    <w:rsid w:val="00000D67"/>
    <w:rsid w:val="00000EE4"/>
    <w:rsid w:val="00000FC0"/>
    <w:rsid w:val="000010F9"/>
    <w:rsid w:val="0000123D"/>
    <w:rsid w:val="000013C5"/>
    <w:rsid w:val="000013ED"/>
    <w:rsid w:val="000014BA"/>
    <w:rsid w:val="00001589"/>
    <w:rsid w:val="000015AB"/>
    <w:rsid w:val="000016DE"/>
    <w:rsid w:val="000017BE"/>
    <w:rsid w:val="00001804"/>
    <w:rsid w:val="00001818"/>
    <w:rsid w:val="0000186D"/>
    <w:rsid w:val="00001893"/>
    <w:rsid w:val="00001920"/>
    <w:rsid w:val="000019A6"/>
    <w:rsid w:val="00001A4E"/>
    <w:rsid w:val="00001B57"/>
    <w:rsid w:val="00001B63"/>
    <w:rsid w:val="00001C52"/>
    <w:rsid w:val="00001D2C"/>
    <w:rsid w:val="00001F6F"/>
    <w:rsid w:val="00002241"/>
    <w:rsid w:val="0000230F"/>
    <w:rsid w:val="00002316"/>
    <w:rsid w:val="00002534"/>
    <w:rsid w:val="000026F8"/>
    <w:rsid w:val="0000288C"/>
    <w:rsid w:val="00002996"/>
    <w:rsid w:val="00002BFA"/>
    <w:rsid w:val="00002CE1"/>
    <w:rsid w:val="00002D44"/>
    <w:rsid w:val="00002E3F"/>
    <w:rsid w:val="00002E67"/>
    <w:rsid w:val="00002F0D"/>
    <w:rsid w:val="00003003"/>
    <w:rsid w:val="00003200"/>
    <w:rsid w:val="0000323A"/>
    <w:rsid w:val="00003260"/>
    <w:rsid w:val="0000330F"/>
    <w:rsid w:val="00003453"/>
    <w:rsid w:val="0000350F"/>
    <w:rsid w:val="000036BB"/>
    <w:rsid w:val="000036D1"/>
    <w:rsid w:val="000036EE"/>
    <w:rsid w:val="000037EB"/>
    <w:rsid w:val="000038BE"/>
    <w:rsid w:val="000038FC"/>
    <w:rsid w:val="000039E1"/>
    <w:rsid w:val="00003A82"/>
    <w:rsid w:val="00003AAC"/>
    <w:rsid w:val="00003B26"/>
    <w:rsid w:val="00003B90"/>
    <w:rsid w:val="00003C49"/>
    <w:rsid w:val="00003C6B"/>
    <w:rsid w:val="00003C71"/>
    <w:rsid w:val="00003D69"/>
    <w:rsid w:val="00003E05"/>
    <w:rsid w:val="00003E56"/>
    <w:rsid w:val="00003EC7"/>
    <w:rsid w:val="00004105"/>
    <w:rsid w:val="00004170"/>
    <w:rsid w:val="00004206"/>
    <w:rsid w:val="00004207"/>
    <w:rsid w:val="00004294"/>
    <w:rsid w:val="000043D9"/>
    <w:rsid w:val="000043FF"/>
    <w:rsid w:val="00004433"/>
    <w:rsid w:val="0000450E"/>
    <w:rsid w:val="00004564"/>
    <w:rsid w:val="000045CF"/>
    <w:rsid w:val="0000464E"/>
    <w:rsid w:val="000046BD"/>
    <w:rsid w:val="000047E4"/>
    <w:rsid w:val="00004827"/>
    <w:rsid w:val="00004987"/>
    <w:rsid w:val="00004A53"/>
    <w:rsid w:val="00004AF9"/>
    <w:rsid w:val="00004B11"/>
    <w:rsid w:val="00004B8C"/>
    <w:rsid w:val="00004CBD"/>
    <w:rsid w:val="00004D78"/>
    <w:rsid w:val="00004DF7"/>
    <w:rsid w:val="00004F80"/>
    <w:rsid w:val="000050A4"/>
    <w:rsid w:val="00005101"/>
    <w:rsid w:val="00005487"/>
    <w:rsid w:val="00005560"/>
    <w:rsid w:val="00005566"/>
    <w:rsid w:val="0000558C"/>
    <w:rsid w:val="0000598F"/>
    <w:rsid w:val="000059FF"/>
    <w:rsid w:val="00005B38"/>
    <w:rsid w:val="00005C41"/>
    <w:rsid w:val="00005C57"/>
    <w:rsid w:val="00005CFB"/>
    <w:rsid w:val="00005DE1"/>
    <w:rsid w:val="00005E08"/>
    <w:rsid w:val="00005F34"/>
    <w:rsid w:val="00006121"/>
    <w:rsid w:val="000062EB"/>
    <w:rsid w:val="0000630C"/>
    <w:rsid w:val="0000638C"/>
    <w:rsid w:val="0000659D"/>
    <w:rsid w:val="000065D3"/>
    <w:rsid w:val="00006807"/>
    <w:rsid w:val="000069E7"/>
    <w:rsid w:val="000069EC"/>
    <w:rsid w:val="00006AB5"/>
    <w:rsid w:val="00006B5F"/>
    <w:rsid w:val="00006D47"/>
    <w:rsid w:val="00006D6B"/>
    <w:rsid w:val="00006DB8"/>
    <w:rsid w:val="00006DD5"/>
    <w:rsid w:val="00006E69"/>
    <w:rsid w:val="00006E9C"/>
    <w:rsid w:val="00006EB8"/>
    <w:rsid w:val="00006F9F"/>
    <w:rsid w:val="00006FCB"/>
    <w:rsid w:val="0000710C"/>
    <w:rsid w:val="0000718E"/>
    <w:rsid w:val="00007204"/>
    <w:rsid w:val="0000725A"/>
    <w:rsid w:val="000072D1"/>
    <w:rsid w:val="0000732F"/>
    <w:rsid w:val="00007341"/>
    <w:rsid w:val="00007386"/>
    <w:rsid w:val="000074E1"/>
    <w:rsid w:val="00007518"/>
    <w:rsid w:val="00007566"/>
    <w:rsid w:val="000075FB"/>
    <w:rsid w:val="0000769E"/>
    <w:rsid w:val="00007716"/>
    <w:rsid w:val="0000772C"/>
    <w:rsid w:val="00007822"/>
    <w:rsid w:val="00007848"/>
    <w:rsid w:val="000079C2"/>
    <w:rsid w:val="00007A5E"/>
    <w:rsid w:val="00007BA0"/>
    <w:rsid w:val="00007BE2"/>
    <w:rsid w:val="00007C6F"/>
    <w:rsid w:val="00007CE5"/>
    <w:rsid w:val="00007E65"/>
    <w:rsid w:val="00007E75"/>
    <w:rsid w:val="00007E7B"/>
    <w:rsid w:val="00007EF8"/>
    <w:rsid w:val="00007F31"/>
    <w:rsid w:val="00007FAD"/>
    <w:rsid w:val="00007FCC"/>
    <w:rsid w:val="00007FEE"/>
    <w:rsid w:val="000100C6"/>
    <w:rsid w:val="000100EC"/>
    <w:rsid w:val="0001019F"/>
    <w:rsid w:val="000101E8"/>
    <w:rsid w:val="00010200"/>
    <w:rsid w:val="0001020C"/>
    <w:rsid w:val="00010319"/>
    <w:rsid w:val="00010332"/>
    <w:rsid w:val="000103B9"/>
    <w:rsid w:val="0001040F"/>
    <w:rsid w:val="00010417"/>
    <w:rsid w:val="000104B8"/>
    <w:rsid w:val="00010568"/>
    <w:rsid w:val="00010591"/>
    <w:rsid w:val="000105C6"/>
    <w:rsid w:val="0001060F"/>
    <w:rsid w:val="0001067B"/>
    <w:rsid w:val="000106EB"/>
    <w:rsid w:val="000106FA"/>
    <w:rsid w:val="000108A1"/>
    <w:rsid w:val="00010A04"/>
    <w:rsid w:val="00010A48"/>
    <w:rsid w:val="00010B9D"/>
    <w:rsid w:val="00010BF9"/>
    <w:rsid w:val="00010C2E"/>
    <w:rsid w:val="00010DEF"/>
    <w:rsid w:val="00010EA6"/>
    <w:rsid w:val="00010F28"/>
    <w:rsid w:val="00010FF9"/>
    <w:rsid w:val="00011018"/>
    <w:rsid w:val="00011108"/>
    <w:rsid w:val="00011136"/>
    <w:rsid w:val="0001117D"/>
    <w:rsid w:val="00011398"/>
    <w:rsid w:val="00011421"/>
    <w:rsid w:val="000114D3"/>
    <w:rsid w:val="0001154B"/>
    <w:rsid w:val="000119FD"/>
    <w:rsid w:val="00011A3E"/>
    <w:rsid w:val="00011A93"/>
    <w:rsid w:val="00011B71"/>
    <w:rsid w:val="00011BD9"/>
    <w:rsid w:val="00011C6E"/>
    <w:rsid w:val="00011CC9"/>
    <w:rsid w:val="00011E2F"/>
    <w:rsid w:val="00011F15"/>
    <w:rsid w:val="0001202F"/>
    <w:rsid w:val="000121CD"/>
    <w:rsid w:val="00012203"/>
    <w:rsid w:val="00012269"/>
    <w:rsid w:val="000122A6"/>
    <w:rsid w:val="000124A3"/>
    <w:rsid w:val="00012513"/>
    <w:rsid w:val="00012560"/>
    <w:rsid w:val="0001259A"/>
    <w:rsid w:val="0001266F"/>
    <w:rsid w:val="0001270F"/>
    <w:rsid w:val="00012934"/>
    <w:rsid w:val="00012946"/>
    <w:rsid w:val="0001299B"/>
    <w:rsid w:val="000129A8"/>
    <w:rsid w:val="000129CA"/>
    <w:rsid w:val="00012AA7"/>
    <w:rsid w:val="00012B45"/>
    <w:rsid w:val="00012BCD"/>
    <w:rsid w:val="00012C1D"/>
    <w:rsid w:val="00012C89"/>
    <w:rsid w:val="00012D0D"/>
    <w:rsid w:val="00012E19"/>
    <w:rsid w:val="00012F18"/>
    <w:rsid w:val="00012F7F"/>
    <w:rsid w:val="0001303A"/>
    <w:rsid w:val="00013174"/>
    <w:rsid w:val="000132DA"/>
    <w:rsid w:val="00013398"/>
    <w:rsid w:val="00013411"/>
    <w:rsid w:val="000134DB"/>
    <w:rsid w:val="00013591"/>
    <w:rsid w:val="000135E1"/>
    <w:rsid w:val="000136DF"/>
    <w:rsid w:val="0001378F"/>
    <w:rsid w:val="000137AD"/>
    <w:rsid w:val="0001384A"/>
    <w:rsid w:val="000138A5"/>
    <w:rsid w:val="00013AAA"/>
    <w:rsid w:val="00013B68"/>
    <w:rsid w:val="00013B8A"/>
    <w:rsid w:val="00013BB5"/>
    <w:rsid w:val="00013E49"/>
    <w:rsid w:val="0001408A"/>
    <w:rsid w:val="000140F6"/>
    <w:rsid w:val="000141D2"/>
    <w:rsid w:val="000142D0"/>
    <w:rsid w:val="000143FA"/>
    <w:rsid w:val="00014412"/>
    <w:rsid w:val="00014786"/>
    <w:rsid w:val="00014889"/>
    <w:rsid w:val="0001495B"/>
    <w:rsid w:val="00014A47"/>
    <w:rsid w:val="00014B23"/>
    <w:rsid w:val="00014BB8"/>
    <w:rsid w:val="00014C6E"/>
    <w:rsid w:val="00014C9E"/>
    <w:rsid w:val="00014E6E"/>
    <w:rsid w:val="00014EEB"/>
    <w:rsid w:val="00014F55"/>
    <w:rsid w:val="00014F93"/>
    <w:rsid w:val="00014FE9"/>
    <w:rsid w:val="000150E1"/>
    <w:rsid w:val="00015183"/>
    <w:rsid w:val="000151B7"/>
    <w:rsid w:val="000151F4"/>
    <w:rsid w:val="000152CE"/>
    <w:rsid w:val="00015447"/>
    <w:rsid w:val="00015461"/>
    <w:rsid w:val="000156F2"/>
    <w:rsid w:val="00015717"/>
    <w:rsid w:val="00015771"/>
    <w:rsid w:val="0001578A"/>
    <w:rsid w:val="000157D1"/>
    <w:rsid w:val="0001584A"/>
    <w:rsid w:val="00015BB6"/>
    <w:rsid w:val="00015C3C"/>
    <w:rsid w:val="00015CA5"/>
    <w:rsid w:val="00015DC8"/>
    <w:rsid w:val="00015DEB"/>
    <w:rsid w:val="00016192"/>
    <w:rsid w:val="000161AC"/>
    <w:rsid w:val="00016273"/>
    <w:rsid w:val="00016339"/>
    <w:rsid w:val="00016488"/>
    <w:rsid w:val="0001659B"/>
    <w:rsid w:val="000165A6"/>
    <w:rsid w:val="00016617"/>
    <w:rsid w:val="00016744"/>
    <w:rsid w:val="000169A2"/>
    <w:rsid w:val="00016B2B"/>
    <w:rsid w:val="00016D20"/>
    <w:rsid w:val="00016D87"/>
    <w:rsid w:val="00016E5E"/>
    <w:rsid w:val="00016E7C"/>
    <w:rsid w:val="00016EF0"/>
    <w:rsid w:val="00016FB9"/>
    <w:rsid w:val="00017011"/>
    <w:rsid w:val="000170B4"/>
    <w:rsid w:val="000170BF"/>
    <w:rsid w:val="000171F5"/>
    <w:rsid w:val="0001725B"/>
    <w:rsid w:val="0001728D"/>
    <w:rsid w:val="00017393"/>
    <w:rsid w:val="000173B8"/>
    <w:rsid w:val="000173F4"/>
    <w:rsid w:val="000174B3"/>
    <w:rsid w:val="00017527"/>
    <w:rsid w:val="00017543"/>
    <w:rsid w:val="000178CD"/>
    <w:rsid w:val="00017900"/>
    <w:rsid w:val="00017AE6"/>
    <w:rsid w:val="00017BF2"/>
    <w:rsid w:val="00017D49"/>
    <w:rsid w:val="00017DAF"/>
    <w:rsid w:val="00017F35"/>
    <w:rsid w:val="00017F84"/>
    <w:rsid w:val="00017F8E"/>
    <w:rsid w:val="0002003C"/>
    <w:rsid w:val="0002007C"/>
    <w:rsid w:val="00020084"/>
    <w:rsid w:val="000201B3"/>
    <w:rsid w:val="0002032F"/>
    <w:rsid w:val="0002035F"/>
    <w:rsid w:val="00020474"/>
    <w:rsid w:val="000204F0"/>
    <w:rsid w:val="0002069B"/>
    <w:rsid w:val="0002080A"/>
    <w:rsid w:val="00020A13"/>
    <w:rsid w:val="00020A17"/>
    <w:rsid w:val="00020B37"/>
    <w:rsid w:val="00020BA7"/>
    <w:rsid w:val="00020BB0"/>
    <w:rsid w:val="00020C6B"/>
    <w:rsid w:val="00020C90"/>
    <w:rsid w:val="000210B8"/>
    <w:rsid w:val="000210C8"/>
    <w:rsid w:val="00021115"/>
    <w:rsid w:val="0002124C"/>
    <w:rsid w:val="00021289"/>
    <w:rsid w:val="0002130A"/>
    <w:rsid w:val="00021370"/>
    <w:rsid w:val="000213C7"/>
    <w:rsid w:val="00021700"/>
    <w:rsid w:val="00021749"/>
    <w:rsid w:val="00021768"/>
    <w:rsid w:val="000217BA"/>
    <w:rsid w:val="00021811"/>
    <w:rsid w:val="0002187B"/>
    <w:rsid w:val="000218B9"/>
    <w:rsid w:val="0002197E"/>
    <w:rsid w:val="00021A65"/>
    <w:rsid w:val="00021A9B"/>
    <w:rsid w:val="00021CB6"/>
    <w:rsid w:val="00021D31"/>
    <w:rsid w:val="00021D9F"/>
    <w:rsid w:val="00021E9F"/>
    <w:rsid w:val="00021EB0"/>
    <w:rsid w:val="00021F2A"/>
    <w:rsid w:val="00022049"/>
    <w:rsid w:val="0002206D"/>
    <w:rsid w:val="0002209C"/>
    <w:rsid w:val="0002221B"/>
    <w:rsid w:val="0002225D"/>
    <w:rsid w:val="000222FA"/>
    <w:rsid w:val="00022328"/>
    <w:rsid w:val="00022410"/>
    <w:rsid w:val="0002243B"/>
    <w:rsid w:val="0002244A"/>
    <w:rsid w:val="000226BA"/>
    <w:rsid w:val="00022714"/>
    <w:rsid w:val="000229CC"/>
    <w:rsid w:val="00022A90"/>
    <w:rsid w:val="00022B99"/>
    <w:rsid w:val="00022F29"/>
    <w:rsid w:val="00023019"/>
    <w:rsid w:val="00023246"/>
    <w:rsid w:val="00023309"/>
    <w:rsid w:val="0002350D"/>
    <w:rsid w:val="000235FD"/>
    <w:rsid w:val="0002362A"/>
    <w:rsid w:val="000236EC"/>
    <w:rsid w:val="00023851"/>
    <w:rsid w:val="000238AE"/>
    <w:rsid w:val="000238B1"/>
    <w:rsid w:val="000238D3"/>
    <w:rsid w:val="00023A16"/>
    <w:rsid w:val="00023ACA"/>
    <w:rsid w:val="00023AE5"/>
    <w:rsid w:val="00023C4A"/>
    <w:rsid w:val="00023DB8"/>
    <w:rsid w:val="00023E57"/>
    <w:rsid w:val="00023EDD"/>
    <w:rsid w:val="00023F43"/>
    <w:rsid w:val="0002405C"/>
    <w:rsid w:val="00024096"/>
    <w:rsid w:val="00024117"/>
    <w:rsid w:val="0002411B"/>
    <w:rsid w:val="00024195"/>
    <w:rsid w:val="00024211"/>
    <w:rsid w:val="000243C9"/>
    <w:rsid w:val="00024492"/>
    <w:rsid w:val="000244F1"/>
    <w:rsid w:val="00024534"/>
    <w:rsid w:val="000245BE"/>
    <w:rsid w:val="00024964"/>
    <w:rsid w:val="00024A12"/>
    <w:rsid w:val="00024A37"/>
    <w:rsid w:val="00024B04"/>
    <w:rsid w:val="00024B27"/>
    <w:rsid w:val="00024B33"/>
    <w:rsid w:val="00024CDD"/>
    <w:rsid w:val="00024D48"/>
    <w:rsid w:val="00024DDC"/>
    <w:rsid w:val="000250CC"/>
    <w:rsid w:val="000253CC"/>
    <w:rsid w:val="0002550E"/>
    <w:rsid w:val="000255BD"/>
    <w:rsid w:val="0002576F"/>
    <w:rsid w:val="0002581D"/>
    <w:rsid w:val="00025A4E"/>
    <w:rsid w:val="00025A9E"/>
    <w:rsid w:val="00025C1C"/>
    <w:rsid w:val="00025DA9"/>
    <w:rsid w:val="00025E97"/>
    <w:rsid w:val="00025ED8"/>
    <w:rsid w:val="00025F02"/>
    <w:rsid w:val="00026016"/>
    <w:rsid w:val="000260A5"/>
    <w:rsid w:val="00026152"/>
    <w:rsid w:val="00026246"/>
    <w:rsid w:val="000262A3"/>
    <w:rsid w:val="000262B3"/>
    <w:rsid w:val="000262DC"/>
    <w:rsid w:val="000263B5"/>
    <w:rsid w:val="00026599"/>
    <w:rsid w:val="000265BD"/>
    <w:rsid w:val="00026691"/>
    <w:rsid w:val="00026765"/>
    <w:rsid w:val="0002696E"/>
    <w:rsid w:val="000269C6"/>
    <w:rsid w:val="00026B92"/>
    <w:rsid w:val="00026BCE"/>
    <w:rsid w:val="00026E5C"/>
    <w:rsid w:val="00026F0E"/>
    <w:rsid w:val="00026F10"/>
    <w:rsid w:val="000270FA"/>
    <w:rsid w:val="00027195"/>
    <w:rsid w:val="00027226"/>
    <w:rsid w:val="0002723E"/>
    <w:rsid w:val="0002741F"/>
    <w:rsid w:val="000276B8"/>
    <w:rsid w:val="0002770E"/>
    <w:rsid w:val="000278B8"/>
    <w:rsid w:val="00027AD0"/>
    <w:rsid w:val="00027CED"/>
    <w:rsid w:val="00027DAE"/>
    <w:rsid w:val="00027DE1"/>
    <w:rsid w:val="00027DF7"/>
    <w:rsid w:val="00027FB6"/>
    <w:rsid w:val="00027FDC"/>
    <w:rsid w:val="00030077"/>
    <w:rsid w:val="0003021C"/>
    <w:rsid w:val="00030366"/>
    <w:rsid w:val="00030393"/>
    <w:rsid w:val="000303CC"/>
    <w:rsid w:val="00030413"/>
    <w:rsid w:val="00030416"/>
    <w:rsid w:val="0003041B"/>
    <w:rsid w:val="000304FC"/>
    <w:rsid w:val="0003069B"/>
    <w:rsid w:val="00030838"/>
    <w:rsid w:val="00030B48"/>
    <w:rsid w:val="00030C67"/>
    <w:rsid w:val="00030D0E"/>
    <w:rsid w:val="00030F1C"/>
    <w:rsid w:val="00030FC7"/>
    <w:rsid w:val="00031098"/>
    <w:rsid w:val="0003118F"/>
    <w:rsid w:val="00031206"/>
    <w:rsid w:val="0003132E"/>
    <w:rsid w:val="00031367"/>
    <w:rsid w:val="0003149B"/>
    <w:rsid w:val="000314D6"/>
    <w:rsid w:val="0003157B"/>
    <w:rsid w:val="0003163E"/>
    <w:rsid w:val="0003189F"/>
    <w:rsid w:val="00031A03"/>
    <w:rsid w:val="00031A2D"/>
    <w:rsid w:val="00031A38"/>
    <w:rsid w:val="00031A61"/>
    <w:rsid w:val="00031D66"/>
    <w:rsid w:val="0003201D"/>
    <w:rsid w:val="0003225D"/>
    <w:rsid w:val="00032445"/>
    <w:rsid w:val="0003253B"/>
    <w:rsid w:val="00032592"/>
    <w:rsid w:val="000325B6"/>
    <w:rsid w:val="000325E9"/>
    <w:rsid w:val="000326C6"/>
    <w:rsid w:val="000328CB"/>
    <w:rsid w:val="00032929"/>
    <w:rsid w:val="0003292C"/>
    <w:rsid w:val="00032B9E"/>
    <w:rsid w:val="00032C86"/>
    <w:rsid w:val="00032E40"/>
    <w:rsid w:val="00032EBC"/>
    <w:rsid w:val="00032EC8"/>
    <w:rsid w:val="00032FDB"/>
    <w:rsid w:val="00033239"/>
    <w:rsid w:val="00033292"/>
    <w:rsid w:val="0003337D"/>
    <w:rsid w:val="0003339D"/>
    <w:rsid w:val="00033504"/>
    <w:rsid w:val="00033641"/>
    <w:rsid w:val="00033759"/>
    <w:rsid w:val="000339BB"/>
    <w:rsid w:val="00033A66"/>
    <w:rsid w:val="00033B0E"/>
    <w:rsid w:val="00033C6B"/>
    <w:rsid w:val="00034081"/>
    <w:rsid w:val="0003417A"/>
    <w:rsid w:val="000343BC"/>
    <w:rsid w:val="00034491"/>
    <w:rsid w:val="00034822"/>
    <w:rsid w:val="00034917"/>
    <w:rsid w:val="00034C5A"/>
    <w:rsid w:val="00034D57"/>
    <w:rsid w:val="00034E79"/>
    <w:rsid w:val="00034EC8"/>
    <w:rsid w:val="000350A5"/>
    <w:rsid w:val="000350D1"/>
    <w:rsid w:val="000351AD"/>
    <w:rsid w:val="00035395"/>
    <w:rsid w:val="000354AC"/>
    <w:rsid w:val="000354C7"/>
    <w:rsid w:val="0003551C"/>
    <w:rsid w:val="0003552C"/>
    <w:rsid w:val="00035532"/>
    <w:rsid w:val="000355AE"/>
    <w:rsid w:val="00035795"/>
    <w:rsid w:val="0003584D"/>
    <w:rsid w:val="000358B0"/>
    <w:rsid w:val="000359EB"/>
    <w:rsid w:val="00035A2A"/>
    <w:rsid w:val="00035A8D"/>
    <w:rsid w:val="00035AE1"/>
    <w:rsid w:val="00035B10"/>
    <w:rsid w:val="00035B50"/>
    <w:rsid w:val="00035C42"/>
    <w:rsid w:val="00035DBE"/>
    <w:rsid w:val="00035DED"/>
    <w:rsid w:val="00035E3D"/>
    <w:rsid w:val="00035EEE"/>
    <w:rsid w:val="0003605C"/>
    <w:rsid w:val="00036080"/>
    <w:rsid w:val="00036100"/>
    <w:rsid w:val="00036129"/>
    <w:rsid w:val="00036227"/>
    <w:rsid w:val="0003624B"/>
    <w:rsid w:val="000363F3"/>
    <w:rsid w:val="000366D2"/>
    <w:rsid w:val="00036798"/>
    <w:rsid w:val="00036806"/>
    <w:rsid w:val="0003681C"/>
    <w:rsid w:val="00036825"/>
    <w:rsid w:val="00036871"/>
    <w:rsid w:val="00036A6F"/>
    <w:rsid w:val="00036B8B"/>
    <w:rsid w:val="00036CCC"/>
    <w:rsid w:val="00036D8A"/>
    <w:rsid w:val="00036DB3"/>
    <w:rsid w:val="00036E60"/>
    <w:rsid w:val="00036E7C"/>
    <w:rsid w:val="00036E83"/>
    <w:rsid w:val="00036E89"/>
    <w:rsid w:val="00036EE9"/>
    <w:rsid w:val="00036FED"/>
    <w:rsid w:val="0003702F"/>
    <w:rsid w:val="0003704B"/>
    <w:rsid w:val="0003708C"/>
    <w:rsid w:val="0003712A"/>
    <w:rsid w:val="0003720B"/>
    <w:rsid w:val="000372EC"/>
    <w:rsid w:val="00037622"/>
    <w:rsid w:val="0003768B"/>
    <w:rsid w:val="00037899"/>
    <w:rsid w:val="000378EA"/>
    <w:rsid w:val="00037974"/>
    <w:rsid w:val="00037D16"/>
    <w:rsid w:val="00037FEB"/>
    <w:rsid w:val="00040105"/>
    <w:rsid w:val="00040179"/>
    <w:rsid w:val="0004039C"/>
    <w:rsid w:val="00040617"/>
    <w:rsid w:val="0004084C"/>
    <w:rsid w:val="000409E4"/>
    <w:rsid w:val="00040AA7"/>
    <w:rsid w:val="00040AD4"/>
    <w:rsid w:val="00040BEF"/>
    <w:rsid w:val="00040CED"/>
    <w:rsid w:val="00040FA3"/>
    <w:rsid w:val="000410A1"/>
    <w:rsid w:val="000410E4"/>
    <w:rsid w:val="000412BF"/>
    <w:rsid w:val="00041323"/>
    <w:rsid w:val="00041378"/>
    <w:rsid w:val="000413A3"/>
    <w:rsid w:val="0004148F"/>
    <w:rsid w:val="000414CA"/>
    <w:rsid w:val="00041635"/>
    <w:rsid w:val="000416A5"/>
    <w:rsid w:val="00041854"/>
    <w:rsid w:val="000418A8"/>
    <w:rsid w:val="0004191B"/>
    <w:rsid w:val="000419A3"/>
    <w:rsid w:val="000419DF"/>
    <w:rsid w:val="000419F6"/>
    <w:rsid w:val="00041A7B"/>
    <w:rsid w:val="00041BAB"/>
    <w:rsid w:val="00041DFD"/>
    <w:rsid w:val="00041F53"/>
    <w:rsid w:val="000420BD"/>
    <w:rsid w:val="000420FB"/>
    <w:rsid w:val="000421FA"/>
    <w:rsid w:val="00042242"/>
    <w:rsid w:val="000422C9"/>
    <w:rsid w:val="00042335"/>
    <w:rsid w:val="00042370"/>
    <w:rsid w:val="00042482"/>
    <w:rsid w:val="00042631"/>
    <w:rsid w:val="000426A1"/>
    <w:rsid w:val="000427B1"/>
    <w:rsid w:val="00042A30"/>
    <w:rsid w:val="00042AE1"/>
    <w:rsid w:val="00042AF3"/>
    <w:rsid w:val="00042ECB"/>
    <w:rsid w:val="00042EDC"/>
    <w:rsid w:val="00042FD7"/>
    <w:rsid w:val="000431AE"/>
    <w:rsid w:val="000431DC"/>
    <w:rsid w:val="00043246"/>
    <w:rsid w:val="00043488"/>
    <w:rsid w:val="000435A8"/>
    <w:rsid w:val="000436B8"/>
    <w:rsid w:val="0004373E"/>
    <w:rsid w:val="00043830"/>
    <w:rsid w:val="00043840"/>
    <w:rsid w:val="0004387B"/>
    <w:rsid w:val="00043975"/>
    <w:rsid w:val="00043AB1"/>
    <w:rsid w:val="00043B41"/>
    <w:rsid w:val="00043CBA"/>
    <w:rsid w:val="00043D47"/>
    <w:rsid w:val="00043D60"/>
    <w:rsid w:val="00043E58"/>
    <w:rsid w:val="00043E72"/>
    <w:rsid w:val="00043E75"/>
    <w:rsid w:val="000442B2"/>
    <w:rsid w:val="000442B8"/>
    <w:rsid w:val="0004432B"/>
    <w:rsid w:val="00044330"/>
    <w:rsid w:val="00044584"/>
    <w:rsid w:val="000445FA"/>
    <w:rsid w:val="0004467C"/>
    <w:rsid w:val="00044682"/>
    <w:rsid w:val="00044723"/>
    <w:rsid w:val="0004478C"/>
    <w:rsid w:val="000448A0"/>
    <w:rsid w:val="00044B1F"/>
    <w:rsid w:val="00044B8A"/>
    <w:rsid w:val="00044C60"/>
    <w:rsid w:val="00044CBF"/>
    <w:rsid w:val="00045001"/>
    <w:rsid w:val="0004502B"/>
    <w:rsid w:val="0004505F"/>
    <w:rsid w:val="00045177"/>
    <w:rsid w:val="000452B3"/>
    <w:rsid w:val="00045445"/>
    <w:rsid w:val="00045493"/>
    <w:rsid w:val="00045707"/>
    <w:rsid w:val="00045836"/>
    <w:rsid w:val="000458DC"/>
    <w:rsid w:val="00045992"/>
    <w:rsid w:val="000459EC"/>
    <w:rsid w:val="00045D8C"/>
    <w:rsid w:val="00045DD2"/>
    <w:rsid w:val="00045F75"/>
    <w:rsid w:val="00045FDB"/>
    <w:rsid w:val="00046020"/>
    <w:rsid w:val="00046021"/>
    <w:rsid w:val="000460F9"/>
    <w:rsid w:val="0004616E"/>
    <w:rsid w:val="000462C6"/>
    <w:rsid w:val="000462FD"/>
    <w:rsid w:val="0004669A"/>
    <w:rsid w:val="0004671B"/>
    <w:rsid w:val="000467A7"/>
    <w:rsid w:val="00046863"/>
    <w:rsid w:val="000468A2"/>
    <w:rsid w:val="000468C4"/>
    <w:rsid w:val="00046B49"/>
    <w:rsid w:val="00046CCC"/>
    <w:rsid w:val="00046D35"/>
    <w:rsid w:val="00046DE3"/>
    <w:rsid w:val="00046E5F"/>
    <w:rsid w:val="00046EC6"/>
    <w:rsid w:val="00046EF9"/>
    <w:rsid w:val="00047047"/>
    <w:rsid w:val="0004704A"/>
    <w:rsid w:val="000470F1"/>
    <w:rsid w:val="000470FC"/>
    <w:rsid w:val="000472AA"/>
    <w:rsid w:val="00047337"/>
    <w:rsid w:val="000473C7"/>
    <w:rsid w:val="000474C9"/>
    <w:rsid w:val="000474EF"/>
    <w:rsid w:val="0004763B"/>
    <w:rsid w:val="0004765D"/>
    <w:rsid w:val="000477FE"/>
    <w:rsid w:val="000478CB"/>
    <w:rsid w:val="00047970"/>
    <w:rsid w:val="00047B63"/>
    <w:rsid w:val="00047B6B"/>
    <w:rsid w:val="00047C5E"/>
    <w:rsid w:val="00047DE1"/>
    <w:rsid w:val="00047DF2"/>
    <w:rsid w:val="00047F0B"/>
    <w:rsid w:val="00050129"/>
    <w:rsid w:val="0005030D"/>
    <w:rsid w:val="0005051A"/>
    <w:rsid w:val="0005065D"/>
    <w:rsid w:val="000508A9"/>
    <w:rsid w:val="00050A3C"/>
    <w:rsid w:val="00050A3F"/>
    <w:rsid w:val="00050C74"/>
    <w:rsid w:val="00051026"/>
    <w:rsid w:val="000510BA"/>
    <w:rsid w:val="00051120"/>
    <w:rsid w:val="000512AB"/>
    <w:rsid w:val="000512C0"/>
    <w:rsid w:val="000512D2"/>
    <w:rsid w:val="00051326"/>
    <w:rsid w:val="000513CD"/>
    <w:rsid w:val="000513DD"/>
    <w:rsid w:val="00051461"/>
    <w:rsid w:val="0005168D"/>
    <w:rsid w:val="000517BF"/>
    <w:rsid w:val="000518D5"/>
    <w:rsid w:val="0005192E"/>
    <w:rsid w:val="00051979"/>
    <w:rsid w:val="00051A95"/>
    <w:rsid w:val="00051B57"/>
    <w:rsid w:val="00051C1E"/>
    <w:rsid w:val="00051C29"/>
    <w:rsid w:val="00051CA5"/>
    <w:rsid w:val="00051D9C"/>
    <w:rsid w:val="00051E4C"/>
    <w:rsid w:val="00051E77"/>
    <w:rsid w:val="00051F1D"/>
    <w:rsid w:val="00051F40"/>
    <w:rsid w:val="000520AF"/>
    <w:rsid w:val="000521A2"/>
    <w:rsid w:val="00052288"/>
    <w:rsid w:val="0005238B"/>
    <w:rsid w:val="000527C1"/>
    <w:rsid w:val="0005288E"/>
    <w:rsid w:val="00052900"/>
    <w:rsid w:val="00052943"/>
    <w:rsid w:val="00052A6B"/>
    <w:rsid w:val="00052B3C"/>
    <w:rsid w:val="00052B96"/>
    <w:rsid w:val="00052BF0"/>
    <w:rsid w:val="00052C57"/>
    <w:rsid w:val="00052C8B"/>
    <w:rsid w:val="00052CEC"/>
    <w:rsid w:val="00052D19"/>
    <w:rsid w:val="000530D0"/>
    <w:rsid w:val="00053272"/>
    <w:rsid w:val="0005328C"/>
    <w:rsid w:val="000532A6"/>
    <w:rsid w:val="00053467"/>
    <w:rsid w:val="00053525"/>
    <w:rsid w:val="00053563"/>
    <w:rsid w:val="000535EC"/>
    <w:rsid w:val="000535FB"/>
    <w:rsid w:val="000536FC"/>
    <w:rsid w:val="0005378D"/>
    <w:rsid w:val="000538B3"/>
    <w:rsid w:val="00053908"/>
    <w:rsid w:val="0005395B"/>
    <w:rsid w:val="00053994"/>
    <w:rsid w:val="00053C04"/>
    <w:rsid w:val="00053F32"/>
    <w:rsid w:val="00054016"/>
    <w:rsid w:val="0005401C"/>
    <w:rsid w:val="00054029"/>
    <w:rsid w:val="0005406D"/>
    <w:rsid w:val="00054105"/>
    <w:rsid w:val="0005450F"/>
    <w:rsid w:val="0005467C"/>
    <w:rsid w:val="00054775"/>
    <w:rsid w:val="000548C4"/>
    <w:rsid w:val="00054AFA"/>
    <w:rsid w:val="00054CD4"/>
    <w:rsid w:val="00054E8A"/>
    <w:rsid w:val="00054ED5"/>
    <w:rsid w:val="00055177"/>
    <w:rsid w:val="000552D9"/>
    <w:rsid w:val="00055316"/>
    <w:rsid w:val="000553BC"/>
    <w:rsid w:val="000553EF"/>
    <w:rsid w:val="0005542C"/>
    <w:rsid w:val="00055575"/>
    <w:rsid w:val="00055655"/>
    <w:rsid w:val="00055753"/>
    <w:rsid w:val="00055970"/>
    <w:rsid w:val="000559B5"/>
    <w:rsid w:val="000559C0"/>
    <w:rsid w:val="00055A36"/>
    <w:rsid w:val="00055ABC"/>
    <w:rsid w:val="00055B0B"/>
    <w:rsid w:val="00055B56"/>
    <w:rsid w:val="00055BC0"/>
    <w:rsid w:val="00055EBB"/>
    <w:rsid w:val="00055F94"/>
    <w:rsid w:val="00056059"/>
    <w:rsid w:val="000563DF"/>
    <w:rsid w:val="000563FB"/>
    <w:rsid w:val="0005654D"/>
    <w:rsid w:val="0005663F"/>
    <w:rsid w:val="00056702"/>
    <w:rsid w:val="00056704"/>
    <w:rsid w:val="0005671C"/>
    <w:rsid w:val="0005675A"/>
    <w:rsid w:val="00056852"/>
    <w:rsid w:val="0005687B"/>
    <w:rsid w:val="000568F5"/>
    <w:rsid w:val="000568FD"/>
    <w:rsid w:val="00056B74"/>
    <w:rsid w:val="00056C0D"/>
    <w:rsid w:val="00056C4A"/>
    <w:rsid w:val="00056DBA"/>
    <w:rsid w:val="00056F35"/>
    <w:rsid w:val="0005713D"/>
    <w:rsid w:val="00057391"/>
    <w:rsid w:val="00057477"/>
    <w:rsid w:val="000574F7"/>
    <w:rsid w:val="000575C9"/>
    <w:rsid w:val="0005769D"/>
    <w:rsid w:val="0005776F"/>
    <w:rsid w:val="000577E8"/>
    <w:rsid w:val="00057B05"/>
    <w:rsid w:val="00057B49"/>
    <w:rsid w:val="00057B54"/>
    <w:rsid w:val="00057B93"/>
    <w:rsid w:val="00057C5D"/>
    <w:rsid w:val="00057D55"/>
    <w:rsid w:val="00057DF6"/>
    <w:rsid w:val="00057E29"/>
    <w:rsid w:val="00057EE2"/>
    <w:rsid w:val="00057F87"/>
    <w:rsid w:val="000600CC"/>
    <w:rsid w:val="0006040A"/>
    <w:rsid w:val="00060585"/>
    <w:rsid w:val="000605A8"/>
    <w:rsid w:val="000606AF"/>
    <w:rsid w:val="0006075F"/>
    <w:rsid w:val="00060821"/>
    <w:rsid w:val="0006085F"/>
    <w:rsid w:val="00060876"/>
    <w:rsid w:val="000608DC"/>
    <w:rsid w:val="000609C5"/>
    <w:rsid w:val="00060C9E"/>
    <w:rsid w:val="00060F9E"/>
    <w:rsid w:val="00060FB0"/>
    <w:rsid w:val="00060FD5"/>
    <w:rsid w:val="00061085"/>
    <w:rsid w:val="000610C6"/>
    <w:rsid w:val="000611DE"/>
    <w:rsid w:val="0006129D"/>
    <w:rsid w:val="00061336"/>
    <w:rsid w:val="000613D8"/>
    <w:rsid w:val="00061428"/>
    <w:rsid w:val="0006144C"/>
    <w:rsid w:val="00061644"/>
    <w:rsid w:val="000616F8"/>
    <w:rsid w:val="00061704"/>
    <w:rsid w:val="000617E0"/>
    <w:rsid w:val="00061803"/>
    <w:rsid w:val="000618A3"/>
    <w:rsid w:val="000618B8"/>
    <w:rsid w:val="0006194C"/>
    <w:rsid w:val="000619F6"/>
    <w:rsid w:val="00061A97"/>
    <w:rsid w:val="00061B28"/>
    <w:rsid w:val="00061B39"/>
    <w:rsid w:val="00061B67"/>
    <w:rsid w:val="00061BFD"/>
    <w:rsid w:val="00061D37"/>
    <w:rsid w:val="00061D52"/>
    <w:rsid w:val="00061DD1"/>
    <w:rsid w:val="00061DE9"/>
    <w:rsid w:val="00061E61"/>
    <w:rsid w:val="00061E9A"/>
    <w:rsid w:val="00061EFD"/>
    <w:rsid w:val="00061F04"/>
    <w:rsid w:val="00062174"/>
    <w:rsid w:val="000621E3"/>
    <w:rsid w:val="0006254A"/>
    <w:rsid w:val="00062554"/>
    <w:rsid w:val="0006256B"/>
    <w:rsid w:val="000625FB"/>
    <w:rsid w:val="000626B5"/>
    <w:rsid w:val="000626CF"/>
    <w:rsid w:val="0006272C"/>
    <w:rsid w:val="000627B8"/>
    <w:rsid w:val="000627DA"/>
    <w:rsid w:val="000629FA"/>
    <w:rsid w:val="00062A58"/>
    <w:rsid w:val="00062BA4"/>
    <w:rsid w:val="00062C73"/>
    <w:rsid w:val="00062CD2"/>
    <w:rsid w:val="00062CF0"/>
    <w:rsid w:val="00062D25"/>
    <w:rsid w:val="00062E68"/>
    <w:rsid w:val="00062EC3"/>
    <w:rsid w:val="00062EC9"/>
    <w:rsid w:val="00062F88"/>
    <w:rsid w:val="00063324"/>
    <w:rsid w:val="0006375A"/>
    <w:rsid w:val="00063778"/>
    <w:rsid w:val="000637B6"/>
    <w:rsid w:val="000637C8"/>
    <w:rsid w:val="00063916"/>
    <w:rsid w:val="0006392B"/>
    <w:rsid w:val="0006397D"/>
    <w:rsid w:val="00063B3A"/>
    <w:rsid w:val="00063B6D"/>
    <w:rsid w:val="00063B85"/>
    <w:rsid w:val="00063BBD"/>
    <w:rsid w:val="00063BD1"/>
    <w:rsid w:val="00063CC7"/>
    <w:rsid w:val="00063D21"/>
    <w:rsid w:val="00063E36"/>
    <w:rsid w:val="00063F8E"/>
    <w:rsid w:val="000641CE"/>
    <w:rsid w:val="00064238"/>
    <w:rsid w:val="000642F7"/>
    <w:rsid w:val="00064401"/>
    <w:rsid w:val="0006457A"/>
    <w:rsid w:val="000646F8"/>
    <w:rsid w:val="00064780"/>
    <w:rsid w:val="000647B7"/>
    <w:rsid w:val="000647DD"/>
    <w:rsid w:val="000648E1"/>
    <w:rsid w:val="00064952"/>
    <w:rsid w:val="000649F1"/>
    <w:rsid w:val="00064A1A"/>
    <w:rsid w:val="00064A61"/>
    <w:rsid w:val="00064B20"/>
    <w:rsid w:val="00064BD9"/>
    <w:rsid w:val="00064D92"/>
    <w:rsid w:val="00064E70"/>
    <w:rsid w:val="00064FDC"/>
    <w:rsid w:val="00065017"/>
    <w:rsid w:val="0006515D"/>
    <w:rsid w:val="00065173"/>
    <w:rsid w:val="000651C2"/>
    <w:rsid w:val="000652A5"/>
    <w:rsid w:val="000652EB"/>
    <w:rsid w:val="000654CA"/>
    <w:rsid w:val="00065600"/>
    <w:rsid w:val="000656D0"/>
    <w:rsid w:val="0006575C"/>
    <w:rsid w:val="0006589E"/>
    <w:rsid w:val="000658D7"/>
    <w:rsid w:val="0006598D"/>
    <w:rsid w:val="000659F9"/>
    <w:rsid w:val="00065A0E"/>
    <w:rsid w:val="00065A5F"/>
    <w:rsid w:val="00065D8C"/>
    <w:rsid w:val="00065DB0"/>
    <w:rsid w:val="00065DBA"/>
    <w:rsid w:val="00065DFB"/>
    <w:rsid w:val="00065EFD"/>
    <w:rsid w:val="0006608F"/>
    <w:rsid w:val="000661CB"/>
    <w:rsid w:val="000661D0"/>
    <w:rsid w:val="00066240"/>
    <w:rsid w:val="00066242"/>
    <w:rsid w:val="00066351"/>
    <w:rsid w:val="000663B6"/>
    <w:rsid w:val="00066547"/>
    <w:rsid w:val="0006659B"/>
    <w:rsid w:val="000665C8"/>
    <w:rsid w:val="000666B0"/>
    <w:rsid w:val="000666F3"/>
    <w:rsid w:val="0006690D"/>
    <w:rsid w:val="000669B4"/>
    <w:rsid w:val="000669D6"/>
    <w:rsid w:val="00066AFD"/>
    <w:rsid w:val="00066BAD"/>
    <w:rsid w:val="00066BB2"/>
    <w:rsid w:val="00066BFB"/>
    <w:rsid w:val="00066CED"/>
    <w:rsid w:val="00066D0B"/>
    <w:rsid w:val="00066D49"/>
    <w:rsid w:val="00066F54"/>
    <w:rsid w:val="00067047"/>
    <w:rsid w:val="0006713C"/>
    <w:rsid w:val="0006723E"/>
    <w:rsid w:val="000673B1"/>
    <w:rsid w:val="000673F0"/>
    <w:rsid w:val="00067448"/>
    <w:rsid w:val="00067461"/>
    <w:rsid w:val="00067482"/>
    <w:rsid w:val="000674C1"/>
    <w:rsid w:val="00067533"/>
    <w:rsid w:val="00067534"/>
    <w:rsid w:val="0006761C"/>
    <w:rsid w:val="0006763B"/>
    <w:rsid w:val="000676D1"/>
    <w:rsid w:val="00067831"/>
    <w:rsid w:val="00067A66"/>
    <w:rsid w:val="00067BFC"/>
    <w:rsid w:val="00067D68"/>
    <w:rsid w:val="00067DB2"/>
    <w:rsid w:val="00067E6E"/>
    <w:rsid w:val="0007007D"/>
    <w:rsid w:val="000700A4"/>
    <w:rsid w:val="000700DD"/>
    <w:rsid w:val="0007014A"/>
    <w:rsid w:val="000701AA"/>
    <w:rsid w:val="000701BE"/>
    <w:rsid w:val="00070223"/>
    <w:rsid w:val="00070225"/>
    <w:rsid w:val="0007022D"/>
    <w:rsid w:val="00070240"/>
    <w:rsid w:val="000704A5"/>
    <w:rsid w:val="000704BF"/>
    <w:rsid w:val="00070589"/>
    <w:rsid w:val="0007072F"/>
    <w:rsid w:val="0007076E"/>
    <w:rsid w:val="000707EF"/>
    <w:rsid w:val="00070811"/>
    <w:rsid w:val="00070918"/>
    <w:rsid w:val="00070A07"/>
    <w:rsid w:val="00070AEB"/>
    <w:rsid w:val="00070E89"/>
    <w:rsid w:val="00070EDC"/>
    <w:rsid w:val="00070EFB"/>
    <w:rsid w:val="0007100C"/>
    <w:rsid w:val="00071212"/>
    <w:rsid w:val="0007125E"/>
    <w:rsid w:val="0007148C"/>
    <w:rsid w:val="000715DC"/>
    <w:rsid w:val="00071642"/>
    <w:rsid w:val="0007168C"/>
    <w:rsid w:val="0007194D"/>
    <w:rsid w:val="000719C7"/>
    <w:rsid w:val="00071A04"/>
    <w:rsid w:val="00071BE7"/>
    <w:rsid w:val="00071CF4"/>
    <w:rsid w:val="00071D62"/>
    <w:rsid w:val="00071DD4"/>
    <w:rsid w:val="00071E39"/>
    <w:rsid w:val="00071E75"/>
    <w:rsid w:val="00071E8D"/>
    <w:rsid w:val="00071F27"/>
    <w:rsid w:val="00071F3F"/>
    <w:rsid w:val="00071F97"/>
    <w:rsid w:val="0007200D"/>
    <w:rsid w:val="0007214D"/>
    <w:rsid w:val="00072171"/>
    <w:rsid w:val="00072362"/>
    <w:rsid w:val="00072424"/>
    <w:rsid w:val="00072429"/>
    <w:rsid w:val="00072531"/>
    <w:rsid w:val="00072571"/>
    <w:rsid w:val="00072791"/>
    <w:rsid w:val="00072A0E"/>
    <w:rsid w:val="00072B85"/>
    <w:rsid w:val="00072CD8"/>
    <w:rsid w:val="00072E30"/>
    <w:rsid w:val="00072EA6"/>
    <w:rsid w:val="00073144"/>
    <w:rsid w:val="00073161"/>
    <w:rsid w:val="00073164"/>
    <w:rsid w:val="0007331D"/>
    <w:rsid w:val="00073441"/>
    <w:rsid w:val="0007361A"/>
    <w:rsid w:val="000736D9"/>
    <w:rsid w:val="0007398F"/>
    <w:rsid w:val="00073A33"/>
    <w:rsid w:val="00073A5B"/>
    <w:rsid w:val="00073A64"/>
    <w:rsid w:val="00073B28"/>
    <w:rsid w:val="00073C30"/>
    <w:rsid w:val="00073CC5"/>
    <w:rsid w:val="00073D98"/>
    <w:rsid w:val="00073F63"/>
    <w:rsid w:val="000740C5"/>
    <w:rsid w:val="000740E4"/>
    <w:rsid w:val="00074242"/>
    <w:rsid w:val="0007426E"/>
    <w:rsid w:val="0007473B"/>
    <w:rsid w:val="000747B1"/>
    <w:rsid w:val="000748E2"/>
    <w:rsid w:val="00074A50"/>
    <w:rsid w:val="00074B5E"/>
    <w:rsid w:val="00074BEC"/>
    <w:rsid w:val="00074DE2"/>
    <w:rsid w:val="00074E3B"/>
    <w:rsid w:val="00074F26"/>
    <w:rsid w:val="00074F97"/>
    <w:rsid w:val="00074FD2"/>
    <w:rsid w:val="00074FE9"/>
    <w:rsid w:val="00075005"/>
    <w:rsid w:val="00075206"/>
    <w:rsid w:val="00075321"/>
    <w:rsid w:val="0007532D"/>
    <w:rsid w:val="00075331"/>
    <w:rsid w:val="000755C9"/>
    <w:rsid w:val="00075705"/>
    <w:rsid w:val="00075746"/>
    <w:rsid w:val="000758DA"/>
    <w:rsid w:val="00075AA6"/>
    <w:rsid w:val="00075BBE"/>
    <w:rsid w:val="00075DA0"/>
    <w:rsid w:val="00075DE2"/>
    <w:rsid w:val="00075FBE"/>
    <w:rsid w:val="00075FC3"/>
    <w:rsid w:val="00075FEF"/>
    <w:rsid w:val="0007600B"/>
    <w:rsid w:val="0007606A"/>
    <w:rsid w:val="00076091"/>
    <w:rsid w:val="0007615C"/>
    <w:rsid w:val="0007619B"/>
    <w:rsid w:val="000761D5"/>
    <w:rsid w:val="0007630F"/>
    <w:rsid w:val="00076372"/>
    <w:rsid w:val="000763DE"/>
    <w:rsid w:val="0007656F"/>
    <w:rsid w:val="000765B1"/>
    <w:rsid w:val="00076623"/>
    <w:rsid w:val="0007686A"/>
    <w:rsid w:val="000768E3"/>
    <w:rsid w:val="00076902"/>
    <w:rsid w:val="00076B00"/>
    <w:rsid w:val="00076CF7"/>
    <w:rsid w:val="00076D3D"/>
    <w:rsid w:val="00076E3C"/>
    <w:rsid w:val="00076F82"/>
    <w:rsid w:val="00076F84"/>
    <w:rsid w:val="00077075"/>
    <w:rsid w:val="000770A0"/>
    <w:rsid w:val="00077266"/>
    <w:rsid w:val="00077359"/>
    <w:rsid w:val="000773AD"/>
    <w:rsid w:val="000773C5"/>
    <w:rsid w:val="0007746A"/>
    <w:rsid w:val="000774A3"/>
    <w:rsid w:val="0007768D"/>
    <w:rsid w:val="0007786F"/>
    <w:rsid w:val="000778AF"/>
    <w:rsid w:val="00077B42"/>
    <w:rsid w:val="00077B78"/>
    <w:rsid w:val="00077BA7"/>
    <w:rsid w:val="00077C5C"/>
    <w:rsid w:val="00077C9A"/>
    <w:rsid w:val="00077E9A"/>
    <w:rsid w:val="00077F8A"/>
    <w:rsid w:val="0008033D"/>
    <w:rsid w:val="000803DA"/>
    <w:rsid w:val="0008046A"/>
    <w:rsid w:val="0008047D"/>
    <w:rsid w:val="00080579"/>
    <w:rsid w:val="00080692"/>
    <w:rsid w:val="00080707"/>
    <w:rsid w:val="000807B5"/>
    <w:rsid w:val="0008085F"/>
    <w:rsid w:val="00080AA7"/>
    <w:rsid w:val="00080B56"/>
    <w:rsid w:val="00080CDF"/>
    <w:rsid w:val="00080DD6"/>
    <w:rsid w:val="00080E4E"/>
    <w:rsid w:val="00080E61"/>
    <w:rsid w:val="00081464"/>
    <w:rsid w:val="0008149F"/>
    <w:rsid w:val="000815FD"/>
    <w:rsid w:val="00081799"/>
    <w:rsid w:val="000818FC"/>
    <w:rsid w:val="00081A77"/>
    <w:rsid w:val="00081A92"/>
    <w:rsid w:val="00081DC6"/>
    <w:rsid w:val="00081E42"/>
    <w:rsid w:val="00081EE2"/>
    <w:rsid w:val="00081FE3"/>
    <w:rsid w:val="00082087"/>
    <w:rsid w:val="000820DC"/>
    <w:rsid w:val="00082191"/>
    <w:rsid w:val="00082220"/>
    <w:rsid w:val="000822E9"/>
    <w:rsid w:val="000824F6"/>
    <w:rsid w:val="000826D6"/>
    <w:rsid w:val="00082703"/>
    <w:rsid w:val="0008272C"/>
    <w:rsid w:val="000827A4"/>
    <w:rsid w:val="00082914"/>
    <w:rsid w:val="000829C6"/>
    <w:rsid w:val="00082AED"/>
    <w:rsid w:val="00082BDB"/>
    <w:rsid w:val="00082C4C"/>
    <w:rsid w:val="00082CDC"/>
    <w:rsid w:val="00082CE8"/>
    <w:rsid w:val="00082CF8"/>
    <w:rsid w:val="00082DB0"/>
    <w:rsid w:val="00082DF5"/>
    <w:rsid w:val="00082E0C"/>
    <w:rsid w:val="00082FF4"/>
    <w:rsid w:val="0008305B"/>
    <w:rsid w:val="0008314D"/>
    <w:rsid w:val="000831FF"/>
    <w:rsid w:val="0008333F"/>
    <w:rsid w:val="00083359"/>
    <w:rsid w:val="000833E3"/>
    <w:rsid w:val="0008341C"/>
    <w:rsid w:val="000835C6"/>
    <w:rsid w:val="000835CD"/>
    <w:rsid w:val="000838AB"/>
    <w:rsid w:val="00083A29"/>
    <w:rsid w:val="00083A36"/>
    <w:rsid w:val="00083AA6"/>
    <w:rsid w:val="00083B44"/>
    <w:rsid w:val="00083B70"/>
    <w:rsid w:val="00083BC3"/>
    <w:rsid w:val="00083FE9"/>
    <w:rsid w:val="000841FD"/>
    <w:rsid w:val="000842A2"/>
    <w:rsid w:val="0008430A"/>
    <w:rsid w:val="00084383"/>
    <w:rsid w:val="00084572"/>
    <w:rsid w:val="000845A1"/>
    <w:rsid w:val="000845B1"/>
    <w:rsid w:val="000846CD"/>
    <w:rsid w:val="00084725"/>
    <w:rsid w:val="00084806"/>
    <w:rsid w:val="000848D6"/>
    <w:rsid w:val="000849D8"/>
    <w:rsid w:val="00084A3D"/>
    <w:rsid w:val="00084BD8"/>
    <w:rsid w:val="00084C9A"/>
    <w:rsid w:val="00084FED"/>
    <w:rsid w:val="00085000"/>
    <w:rsid w:val="00085071"/>
    <w:rsid w:val="0008510C"/>
    <w:rsid w:val="00085144"/>
    <w:rsid w:val="00085163"/>
    <w:rsid w:val="00085299"/>
    <w:rsid w:val="000852AD"/>
    <w:rsid w:val="000854C0"/>
    <w:rsid w:val="000854E1"/>
    <w:rsid w:val="00085527"/>
    <w:rsid w:val="00085825"/>
    <w:rsid w:val="00085855"/>
    <w:rsid w:val="00085860"/>
    <w:rsid w:val="0008589D"/>
    <w:rsid w:val="00085A6E"/>
    <w:rsid w:val="00085A70"/>
    <w:rsid w:val="00085A8A"/>
    <w:rsid w:val="00085C11"/>
    <w:rsid w:val="00085C16"/>
    <w:rsid w:val="00085C76"/>
    <w:rsid w:val="00086141"/>
    <w:rsid w:val="000861CB"/>
    <w:rsid w:val="00086371"/>
    <w:rsid w:val="00086498"/>
    <w:rsid w:val="000868DC"/>
    <w:rsid w:val="00086944"/>
    <w:rsid w:val="00086BCC"/>
    <w:rsid w:val="00086BEC"/>
    <w:rsid w:val="00086BEE"/>
    <w:rsid w:val="00086C04"/>
    <w:rsid w:val="00086CA6"/>
    <w:rsid w:val="00086EC4"/>
    <w:rsid w:val="00086F70"/>
    <w:rsid w:val="00086F75"/>
    <w:rsid w:val="00087067"/>
    <w:rsid w:val="0008706F"/>
    <w:rsid w:val="000870E5"/>
    <w:rsid w:val="00087126"/>
    <w:rsid w:val="000872F2"/>
    <w:rsid w:val="00087355"/>
    <w:rsid w:val="000873DF"/>
    <w:rsid w:val="000874A9"/>
    <w:rsid w:val="00087630"/>
    <w:rsid w:val="00087882"/>
    <w:rsid w:val="00087889"/>
    <w:rsid w:val="000879B0"/>
    <w:rsid w:val="00087AE6"/>
    <w:rsid w:val="00087C86"/>
    <w:rsid w:val="00087CED"/>
    <w:rsid w:val="00087D05"/>
    <w:rsid w:val="00087D32"/>
    <w:rsid w:val="00087F27"/>
    <w:rsid w:val="0009006A"/>
    <w:rsid w:val="00090127"/>
    <w:rsid w:val="000903D7"/>
    <w:rsid w:val="00090415"/>
    <w:rsid w:val="00090580"/>
    <w:rsid w:val="00090601"/>
    <w:rsid w:val="0009071B"/>
    <w:rsid w:val="00090730"/>
    <w:rsid w:val="00090767"/>
    <w:rsid w:val="000907DC"/>
    <w:rsid w:val="000908EC"/>
    <w:rsid w:val="00090998"/>
    <w:rsid w:val="00090AC2"/>
    <w:rsid w:val="00090AC4"/>
    <w:rsid w:val="00090BBE"/>
    <w:rsid w:val="00090C6C"/>
    <w:rsid w:val="00090D81"/>
    <w:rsid w:val="00090ED4"/>
    <w:rsid w:val="00091077"/>
    <w:rsid w:val="0009109E"/>
    <w:rsid w:val="00091104"/>
    <w:rsid w:val="00091263"/>
    <w:rsid w:val="000912EC"/>
    <w:rsid w:val="00091344"/>
    <w:rsid w:val="000913D4"/>
    <w:rsid w:val="000915A7"/>
    <w:rsid w:val="00091702"/>
    <w:rsid w:val="000917F2"/>
    <w:rsid w:val="00091834"/>
    <w:rsid w:val="00091859"/>
    <w:rsid w:val="000918A6"/>
    <w:rsid w:val="00091902"/>
    <w:rsid w:val="00091A24"/>
    <w:rsid w:val="00091B3B"/>
    <w:rsid w:val="00091CCB"/>
    <w:rsid w:val="00091D36"/>
    <w:rsid w:val="00091F63"/>
    <w:rsid w:val="00091FA6"/>
    <w:rsid w:val="00092013"/>
    <w:rsid w:val="000920AA"/>
    <w:rsid w:val="0009233C"/>
    <w:rsid w:val="000924CA"/>
    <w:rsid w:val="00092677"/>
    <w:rsid w:val="000926E5"/>
    <w:rsid w:val="00092763"/>
    <w:rsid w:val="0009276B"/>
    <w:rsid w:val="00092819"/>
    <w:rsid w:val="000928D2"/>
    <w:rsid w:val="00092925"/>
    <w:rsid w:val="000929CC"/>
    <w:rsid w:val="00092A21"/>
    <w:rsid w:val="00092A6B"/>
    <w:rsid w:val="00092ADD"/>
    <w:rsid w:val="00092BEF"/>
    <w:rsid w:val="00092C22"/>
    <w:rsid w:val="00092C6F"/>
    <w:rsid w:val="00092CE6"/>
    <w:rsid w:val="00092D90"/>
    <w:rsid w:val="00093130"/>
    <w:rsid w:val="000931A1"/>
    <w:rsid w:val="000932EB"/>
    <w:rsid w:val="000933E4"/>
    <w:rsid w:val="00093402"/>
    <w:rsid w:val="00093464"/>
    <w:rsid w:val="0009347C"/>
    <w:rsid w:val="00093711"/>
    <w:rsid w:val="000938AF"/>
    <w:rsid w:val="00093A34"/>
    <w:rsid w:val="00093A52"/>
    <w:rsid w:val="00093A8F"/>
    <w:rsid w:val="00093B00"/>
    <w:rsid w:val="00093D78"/>
    <w:rsid w:val="00093EDA"/>
    <w:rsid w:val="00093FDD"/>
    <w:rsid w:val="000940FB"/>
    <w:rsid w:val="00094198"/>
    <w:rsid w:val="000942CC"/>
    <w:rsid w:val="00094341"/>
    <w:rsid w:val="00094937"/>
    <w:rsid w:val="00094990"/>
    <w:rsid w:val="000949C1"/>
    <w:rsid w:val="00094A1C"/>
    <w:rsid w:val="00094A55"/>
    <w:rsid w:val="00094C5A"/>
    <w:rsid w:val="00094C65"/>
    <w:rsid w:val="00094CF0"/>
    <w:rsid w:val="00094DB1"/>
    <w:rsid w:val="00095037"/>
    <w:rsid w:val="00095110"/>
    <w:rsid w:val="000951EF"/>
    <w:rsid w:val="00095397"/>
    <w:rsid w:val="000953EA"/>
    <w:rsid w:val="000954D1"/>
    <w:rsid w:val="000955C9"/>
    <w:rsid w:val="00095A02"/>
    <w:rsid w:val="00095A1E"/>
    <w:rsid w:val="00095A58"/>
    <w:rsid w:val="00095A6E"/>
    <w:rsid w:val="00095BD8"/>
    <w:rsid w:val="00095BE2"/>
    <w:rsid w:val="00095C6C"/>
    <w:rsid w:val="00095E69"/>
    <w:rsid w:val="00095E86"/>
    <w:rsid w:val="00095F29"/>
    <w:rsid w:val="0009601A"/>
    <w:rsid w:val="00096047"/>
    <w:rsid w:val="00096117"/>
    <w:rsid w:val="00096136"/>
    <w:rsid w:val="0009625B"/>
    <w:rsid w:val="0009643B"/>
    <w:rsid w:val="000964C0"/>
    <w:rsid w:val="000965DD"/>
    <w:rsid w:val="0009669F"/>
    <w:rsid w:val="000968EB"/>
    <w:rsid w:val="0009695F"/>
    <w:rsid w:val="000969B1"/>
    <w:rsid w:val="000969D1"/>
    <w:rsid w:val="00096C5B"/>
    <w:rsid w:val="00096C7B"/>
    <w:rsid w:val="00096C82"/>
    <w:rsid w:val="00096ED9"/>
    <w:rsid w:val="00096F18"/>
    <w:rsid w:val="00096F81"/>
    <w:rsid w:val="000971B7"/>
    <w:rsid w:val="000972E4"/>
    <w:rsid w:val="000974D9"/>
    <w:rsid w:val="0009760F"/>
    <w:rsid w:val="000976BB"/>
    <w:rsid w:val="000976E0"/>
    <w:rsid w:val="00097855"/>
    <w:rsid w:val="000979F2"/>
    <w:rsid w:val="00097ACD"/>
    <w:rsid w:val="00097B93"/>
    <w:rsid w:val="00097BB4"/>
    <w:rsid w:val="00097BBB"/>
    <w:rsid w:val="00097BFD"/>
    <w:rsid w:val="00097D65"/>
    <w:rsid w:val="00097DF6"/>
    <w:rsid w:val="00097EA2"/>
    <w:rsid w:val="000A0006"/>
    <w:rsid w:val="000A0199"/>
    <w:rsid w:val="000A01E2"/>
    <w:rsid w:val="000A0204"/>
    <w:rsid w:val="000A03E9"/>
    <w:rsid w:val="000A05D4"/>
    <w:rsid w:val="000A0650"/>
    <w:rsid w:val="000A070A"/>
    <w:rsid w:val="000A08E2"/>
    <w:rsid w:val="000A0940"/>
    <w:rsid w:val="000A0B7A"/>
    <w:rsid w:val="000A0B90"/>
    <w:rsid w:val="000A0D19"/>
    <w:rsid w:val="000A0D45"/>
    <w:rsid w:val="000A0EAE"/>
    <w:rsid w:val="000A128D"/>
    <w:rsid w:val="000A1338"/>
    <w:rsid w:val="000A1621"/>
    <w:rsid w:val="000A164D"/>
    <w:rsid w:val="000A1687"/>
    <w:rsid w:val="000A16EA"/>
    <w:rsid w:val="000A1805"/>
    <w:rsid w:val="000A1835"/>
    <w:rsid w:val="000A1881"/>
    <w:rsid w:val="000A1939"/>
    <w:rsid w:val="000A1965"/>
    <w:rsid w:val="000A1A2A"/>
    <w:rsid w:val="000A1C0D"/>
    <w:rsid w:val="000A1CC2"/>
    <w:rsid w:val="000A1D93"/>
    <w:rsid w:val="000A1DD9"/>
    <w:rsid w:val="000A208C"/>
    <w:rsid w:val="000A209D"/>
    <w:rsid w:val="000A20F1"/>
    <w:rsid w:val="000A2175"/>
    <w:rsid w:val="000A2258"/>
    <w:rsid w:val="000A26DB"/>
    <w:rsid w:val="000A277E"/>
    <w:rsid w:val="000A283E"/>
    <w:rsid w:val="000A2A8C"/>
    <w:rsid w:val="000A2C8B"/>
    <w:rsid w:val="000A2CFD"/>
    <w:rsid w:val="000A2D18"/>
    <w:rsid w:val="000A2E40"/>
    <w:rsid w:val="000A2F51"/>
    <w:rsid w:val="000A3048"/>
    <w:rsid w:val="000A3156"/>
    <w:rsid w:val="000A3265"/>
    <w:rsid w:val="000A3295"/>
    <w:rsid w:val="000A32AB"/>
    <w:rsid w:val="000A3330"/>
    <w:rsid w:val="000A3468"/>
    <w:rsid w:val="000A3542"/>
    <w:rsid w:val="000A356D"/>
    <w:rsid w:val="000A36EC"/>
    <w:rsid w:val="000A37D5"/>
    <w:rsid w:val="000A388C"/>
    <w:rsid w:val="000A39AF"/>
    <w:rsid w:val="000A39E1"/>
    <w:rsid w:val="000A3A12"/>
    <w:rsid w:val="000A3C48"/>
    <w:rsid w:val="000A3CC2"/>
    <w:rsid w:val="000A40CC"/>
    <w:rsid w:val="000A4208"/>
    <w:rsid w:val="000A438B"/>
    <w:rsid w:val="000A4445"/>
    <w:rsid w:val="000A44C3"/>
    <w:rsid w:val="000A45C5"/>
    <w:rsid w:val="000A467B"/>
    <w:rsid w:val="000A46EB"/>
    <w:rsid w:val="000A47F5"/>
    <w:rsid w:val="000A4B2F"/>
    <w:rsid w:val="000A4D55"/>
    <w:rsid w:val="000A4D7B"/>
    <w:rsid w:val="000A4D90"/>
    <w:rsid w:val="000A4E07"/>
    <w:rsid w:val="000A4F68"/>
    <w:rsid w:val="000A5157"/>
    <w:rsid w:val="000A51EA"/>
    <w:rsid w:val="000A52D4"/>
    <w:rsid w:val="000A533F"/>
    <w:rsid w:val="000A53F4"/>
    <w:rsid w:val="000A54BE"/>
    <w:rsid w:val="000A54C8"/>
    <w:rsid w:val="000A5574"/>
    <w:rsid w:val="000A55D8"/>
    <w:rsid w:val="000A5606"/>
    <w:rsid w:val="000A595E"/>
    <w:rsid w:val="000A5961"/>
    <w:rsid w:val="000A5AD2"/>
    <w:rsid w:val="000A5D21"/>
    <w:rsid w:val="000A5EB8"/>
    <w:rsid w:val="000A6281"/>
    <w:rsid w:val="000A62E5"/>
    <w:rsid w:val="000A6474"/>
    <w:rsid w:val="000A6573"/>
    <w:rsid w:val="000A657C"/>
    <w:rsid w:val="000A673D"/>
    <w:rsid w:val="000A6747"/>
    <w:rsid w:val="000A6892"/>
    <w:rsid w:val="000A68BC"/>
    <w:rsid w:val="000A68ED"/>
    <w:rsid w:val="000A6C2B"/>
    <w:rsid w:val="000A6C43"/>
    <w:rsid w:val="000A6D4B"/>
    <w:rsid w:val="000A6EAE"/>
    <w:rsid w:val="000A6F84"/>
    <w:rsid w:val="000A7407"/>
    <w:rsid w:val="000A74C4"/>
    <w:rsid w:val="000A74D0"/>
    <w:rsid w:val="000A7627"/>
    <w:rsid w:val="000A7692"/>
    <w:rsid w:val="000A76E1"/>
    <w:rsid w:val="000A7769"/>
    <w:rsid w:val="000A7809"/>
    <w:rsid w:val="000A78F9"/>
    <w:rsid w:val="000A797B"/>
    <w:rsid w:val="000A7B8B"/>
    <w:rsid w:val="000A7C19"/>
    <w:rsid w:val="000A7D38"/>
    <w:rsid w:val="000A7D42"/>
    <w:rsid w:val="000A7F5F"/>
    <w:rsid w:val="000A7F8E"/>
    <w:rsid w:val="000A7FB9"/>
    <w:rsid w:val="000B00B4"/>
    <w:rsid w:val="000B00DF"/>
    <w:rsid w:val="000B00ED"/>
    <w:rsid w:val="000B0367"/>
    <w:rsid w:val="000B038D"/>
    <w:rsid w:val="000B03BC"/>
    <w:rsid w:val="000B0577"/>
    <w:rsid w:val="000B057C"/>
    <w:rsid w:val="000B0666"/>
    <w:rsid w:val="000B06D1"/>
    <w:rsid w:val="000B071D"/>
    <w:rsid w:val="000B07BD"/>
    <w:rsid w:val="000B07E3"/>
    <w:rsid w:val="000B0A2D"/>
    <w:rsid w:val="000B0B12"/>
    <w:rsid w:val="000B0D3C"/>
    <w:rsid w:val="000B0D4F"/>
    <w:rsid w:val="000B0D93"/>
    <w:rsid w:val="000B0EE4"/>
    <w:rsid w:val="000B0F04"/>
    <w:rsid w:val="000B0F27"/>
    <w:rsid w:val="000B0FA1"/>
    <w:rsid w:val="000B10B2"/>
    <w:rsid w:val="000B132C"/>
    <w:rsid w:val="000B1347"/>
    <w:rsid w:val="000B1496"/>
    <w:rsid w:val="000B14CD"/>
    <w:rsid w:val="000B15C7"/>
    <w:rsid w:val="000B15FD"/>
    <w:rsid w:val="000B168C"/>
    <w:rsid w:val="000B16A1"/>
    <w:rsid w:val="000B16F1"/>
    <w:rsid w:val="000B1803"/>
    <w:rsid w:val="000B18DF"/>
    <w:rsid w:val="000B1930"/>
    <w:rsid w:val="000B19AD"/>
    <w:rsid w:val="000B1BC4"/>
    <w:rsid w:val="000B1E96"/>
    <w:rsid w:val="000B1F87"/>
    <w:rsid w:val="000B200A"/>
    <w:rsid w:val="000B2019"/>
    <w:rsid w:val="000B2069"/>
    <w:rsid w:val="000B2106"/>
    <w:rsid w:val="000B213E"/>
    <w:rsid w:val="000B21F7"/>
    <w:rsid w:val="000B21F9"/>
    <w:rsid w:val="000B2297"/>
    <w:rsid w:val="000B270F"/>
    <w:rsid w:val="000B279E"/>
    <w:rsid w:val="000B27E3"/>
    <w:rsid w:val="000B285B"/>
    <w:rsid w:val="000B2A34"/>
    <w:rsid w:val="000B2C92"/>
    <w:rsid w:val="000B2C9F"/>
    <w:rsid w:val="000B2CCE"/>
    <w:rsid w:val="000B2CD2"/>
    <w:rsid w:val="000B2CD6"/>
    <w:rsid w:val="000B2CD9"/>
    <w:rsid w:val="000B2DEF"/>
    <w:rsid w:val="000B2F4D"/>
    <w:rsid w:val="000B303E"/>
    <w:rsid w:val="000B3153"/>
    <w:rsid w:val="000B31F0"/>
    <w:rsid w:val="000B34CB"/>
    <w:rsid w:val="000B3847"/>
    <w:rsid w:val="000B385F"/>
    <w:rsid w:val="000B3879"/>
    <w:rsid w:val="000B3904"/>
    <w:rsid w:val="000B3B8E"/>
    <w:rsid w:val="000B3E32"/>
    <w:rsid w:val="000B411F"/>
    <w:rsid w:val="000B440B"/>
    <w:rsid w:val="000B441A"/>
    <w:rsid w:val="000B4543"/>
    <w:rsid w:val="000B45BE"/>
    <w:rsid w:val="000B45F4"/>
    <w:rsid w:val="000B46B1"/>
    <w:rsid w:val="000B4AEF"/>
    <w:rsid w:val="000B4B32"/>
    <w:rsid w:val="000B4CA0"/>
    <w:rsid w:val="000B4D4D"/>
    <w:rsid w:val="000B4F79"/>
    <w:rsid w:val="000B4FCA"/>
    <w:rsid w:val="000B503E"/>
    <w:rsid w:val="000B5117"/>
    <w:rsid w:val="000B5151"/>
    <w:rsid w:val="000B55EC"/>
    <w:rsid w:val="000B579C"/>
    <w:rsid w:val="000B57D7"/>
    <w:rsid w:val="000B580A"/>
    <w:rsid w:val="000B59EC"/>
    <w:rsid w:val="000B5A69"/>
    <w:rsid w:val="000B5A74"/>
    <w:rsid w:val="000B5A80"/>
    <w:rsid w:val="000B5AB5"/>
    <w:rsid w:val="000B5C4F"/>
    <w:rsid w:val="000B5C72"/>
    <w:rsid w:val="000B5CDB"/>
    <w:rsid w:val="000B5CDC"/>
    <w:rsid w:val="000B5D6D"/>
    <w:rsid w:val="000B5DB2"/>
    <w:rsid w:val="000B5DBE"/>
    <w:rsid w:val="000B5DE7"/>
    <w:rsid w:val="000B5ECE"/>
    <w:rsid w:val="000B5F6A"/>
    <w:rsid w:val="000B60A0"/>
    <w:rsid w:val="000B6183"/>
    <w:rsid w:val="000B626E"/>
    <w:rsid w:val="000B63BA"/>
    <w:rsid w:val="000B65FE"/>
    <w:rsid w:val="000B6611"/>
    <w:rsid w:val="000B673D"/>
    <w:rsid w:val="000B674C"/>
    <w:rsid w:val="000B68B6"/>
    <w:rsid w:val="000B69E8"/>
    <w:rsid w:val="000B6AB0"/>
    <w:rsid w:val="000B6B12"/>
    <w:rsid w:val="000B6DF6"/>
    <w:rsid w:val="000B6E88"/>
    <w:rsid w:val="000B6EBC"/>
    <w:rsid w:val="000B6F4D"/>
    <w:rsid w:val="000B710F"/>
    <w:rsid w:val="000B7127"/>
    <w:rsid w:val="000B71F6"/>
    <w:rsid w:val="000B7644"/>
    <w:rsid w:val="000B76A1"/>
    <w:rsid w:val="000B76D0"/>
    <w:rsid w:val="000B7743"/>
    <w:rsid w:val="000B7849"/>
    <w:rsid w:val="000B784B"/>
    <w:rsid w:val="000B799E"/>
    <w:rsid w:val="000B7A9D"/>
    <w:rsid w:val="000B7AE4"/>
    <w:rsid w:val="000B7B14"/>
    <w:rsid w:val="000B7B86"/>
    <w:rsid w:val="000B7BF4"/>
    <w:rsid w:val="000B7CE5"/>
    <w:rsid w:val="000B7D1A"/>
    <w:rsid w:val="000B7D40"/>
    <w:rsid w:val="000B7E3A"/>
    <w:rsid w:val="000B7F35"/>
    <w:rsid w:val="000B7FC4"/>
    <w:rsid w:val="000C00F4"/>
    <w:rsid w:val="000C01D5"/>
    <w:rsid w:val="000C01E3"/>
    <w:rsid w:val="000C0315"/>
    <w:rsid w:val="000C0476"/>
    <w:rsid w:val="000C04CA"/>
    <w:rsid w:val="000C0530"/>
    <w:rsid w:val="000C058D"/>
    <w:rsid w:val="000C05A1"/>
    <w:rsid w:val="000C05B1"/>
    <w:rsid w:val="000C0698"/>
    <w:rsid w:val="000C07CD"/>
    <w:rsid w:val="000C07FD"/>
    <w:rsid w:val="000C09A4"/>
    <w:rsid w:val="000C0A23"/>
    <w:rsid w:val="000C0A4F"/>
    <w:rsid w:val="000C0AE4"/>
    <w:rsid w:val="000C0B7C"/>
    <w:rsid w:val="000C0C4F"/>
    <w:rsid w:val="000C0C7A"/>
    <w:rsid w:val="000C0C97"/>
    <w:rsid w:val="000C0CA9"/>
    <w:rsid w:val="000C0E01"/>
    <w:rsid w:val="000C0EAF"/>
    <w:rsid w:val="000C0F75"/>
    <w:rsid w:val="000C0FA1"/>
    <w:rsid w:val="000C1002"/>
    <w:rsid w:val="000C1091"/>
    <w:rsid w:val="000C1215"/>
    <w:rsid w:val="000C137A"/>
    <w:rsid w:val="000C137F"/>
    <w:rsid w:val="000C14F5"/>
    <w:rsid w:val="000C1638"/>
    <w:rsid w:val="000C177B"/>
    <w:rsid w:val="000C1AAF"/>
    <w:rsid w:val="000C1AC1"/>
    <w:rsid w:val="000C1BD3"/>
    <w:rsid w:val="000C1C10"/>
    <w:rsid w:val="000C1CCC"/>
    <w:rsid w:val="000C1EAE"/>
    <w:rsid w:val="000C1F65"/>
    <w:rsid w:val="000C208C"/>
    <w:rsid w:val="000C2220"/>
    <w:rsid w:val="000C22A7"/>
    <w:rsid w:val="000C2435"/>
    <w:rsid w:val="000C2483"/>
    <w:rsid w:val="000C24A5"/>
    <w:rsid w:val="000C25EB"/>
    <w:rsid w:val="000C25F8"/>
    <w:rsid w:val="000C2746"/>
    <w:rsid w:val="000C274D"/>
    <w:rsid w:val="000C286B"/>
    <w:rsid w:val="000C289F"/>
    <w:rsid w:val="000C2C26"/>
    <w:rsid w:val="000C2C47"/>
    <w:rsid w:val="000C2C7F"/>
    <w:rsid w:val="000C2C9C"/>
    <w:rsid w:val="000C2D0E"/>
    <w:rsid w:val="000C2D4D"/>
    <w:rsid w:val="000C2EAC"/>
    <w:rsid w:val="000C2FA9"/>
    <w:rsid w:val="000C32EB"/>
    <w:rsid w:val="000C3300"/>
    <w:rsid w:val="000C3409"/>
    <w:rsid w:val="000C3513"/>
    <w:rsid w:val="000C369C"/>
    <w:rsid w:val="000C3766"/>
    <w:rsid w:val="000C386A"/>
    <w:rsid w:val="000C388D"/>
    <w:rsid w:val="000C3987"/>
    <w:rsid w:val="000C3B2F"/>
    <w:rsid w:val="000C3B9C"/>
    <w:rsid w:val="000C3C0B"/>
    <w:rsid w:val="000C3C3D"/>
    <w:rsid w:val="000C3D9E"/>
    <w:rsid w:val="000C3E2D"/>
    <w:rsid w:val="000C3E6E"/>
    <w:rsid w:val="000C3F10"/>
    <w:rsid w:val="000C3FAB"/>
    <w:rsid w:val="000C3FD9"/>
    <w:rsid w:val="000C41AB"/>
    <w:rsid w:val="000C41FE"/>
    <w:rsid w:val="000C427D"/>
    <w:rsid w:val="000C42F8"/>
    <w:rsid w:val="000C42FB"/>
    <w:rsid w:val="000C4329"/>
    <w:rsid w:val="000C43B6"/>
    <w:rsid w:val="000C4410"/>
    <w:rsid w:val="000C44F7"/>
    <w:rsid w:val="000C4525"/>
    <w:rsid w:val="000C468E"/>
    <w:rsid w:val="000C46AC"/>
    <w:rsid w:val="000C4709"/>
    <w:rsid w:val="000C4716"/>
    <w:rsid w:val="000C4831"/>
    <w:rsid w:val="000C4891"/>
    <w:rsid w:val="000C4959"/>
    <w:rsid w:val="000C49B5"/>
    <w:rsid w:val="000C4B11"/>
    <w:rsid w:val="000C4D50"/>
    <w:rsid w:val="000C4E2A"/>
    <w:rsid w:val="000C4F75"/>
    <w:rsid w:val="000C51F4"/>
    <w:rsid w:val="000C5422"/>
    <w:rsid w:val="000C5497"/>
    <w:rsid w:val="000C5561"/>
    <w:rsid w:val="000C57AE"/>
    <w:rsid w:val="000C5865"/>
    <w:rsid w:val="000C5900"/>
    <w:rsid w:val="000C5BA6"/>
    <w:rsid w:val="000C5CB3"/>
    <w:rsid w:val="000C5D9B"/>
    <w:rsid w:val="000C5EA1"/>
    <w:rsid w:val="000C6037"/>
    <w:rsid w:val="000C6093"/>
    <w:rsid w:val="000C609F"/>
    <w:rsid w:val="000C61AB"/>
    <w:rsid w:val="000C6255"/>
    <w:rsid w:val="000C636C"/>
    <w:rsid w:val="000C63FB"/>
    <w:rsid w:val="000C65DC"/>
    <w:rsid w:val="000C65FB"/>
    <w:rsid w:val="000C670F"/>
    <w:rsid w:val="000C688A"/>
    <w:rsid w:val="000C68BB"/>
    <w:rsid w:val="000C6902"/>
    <w:rsid w:val="000C69AF"/>
    <w:rsid w:val="000C6B4F"/>
    <w:rsid w:val="000C6BEE"/>
    <w:rsid w:val="000C6EA3"/>
    <w:rsid w:val="000C7245"/>
    <w:rsid w:val="000C7249"/>
    <w:rsid w:val="000C724F"/>
    <w:rsid w:val="000C72F4"/>
    <w:rsid w:val="000C735A"/>
    <w:rsid w:val="000C7423"/>
    <w:rsid w:val="000C746C"/>
    <w:rsid w:val="000C74B9"/>
    <w:rsid w:val="000C7574"/>
    <w:rsid w:val="000C769D"/>
    <w:rsid w:val="000C76C9"/>
    <w:rsid w:val="000C78AA"/>
    <w:rsid w:val="000C7A62"/>
    <w:rsid w:val="000C7AD9"/>
    <w:rsid w:val="000C7B9A"/>
    <w:rsid w:val="000C7BF6"/>
    <w:rsid w:val="000C7C3E"/>
    <w:rsid w:val="000C7C50"/>
    <w:rsid w:val="000C7CC9"/>
    <w:rsid w:val="000C7D10"/>
    <w:rsid w:val="000C7E51"/>
    <w:rsid w:val="000D00A6"/>
    <w:rsid w:val="000D01CA"/>
    <w:rsid w:val="000D01DB"/>
    <w:rsid w:val="000D0425"/>
    <w:rsid w:val="000D0607"/>
    <w:rsid w:val="000D0733"/>
    <w:rsid w:val="000D0756"/>
    <w:rsid w:val="000D07BE"/>
    <w:rsid w:val="000D07F5"/>
    <w:rsid w:val="000D08C2"/>
    <w:rsid w:val="000D08C7"/>
    <w:rsid w:val="000D0A53"/>
    <w:rsid w:val="000D0ABD"/>
    <w:rsid w:val="000D0B16"/>
    <w:rsid w:val="000D0B64"/>
    <w:rsid w:val="000D0C53"/>
    <w:rsid w:val="000D0CEF"/>
    <w:rsid w:val="000D0DDE"/>
    <w:rsid w:val="000D0EB4"/>
    <w:rsid w:val="000D101B"/>
    <w:rsid w:val="000D105F"/>
    <w:rsid w:val="000D1063"/>
    <w:rsid w:val="000D1138"/>
    <w:rsid w:val="000D1224"/>
    <w:rsid w:val="000D1861"/>
    <w:rsid w:val="000D19AD"/>
    <w:rsid w:val="000D19F7"/>
    <w:rsid w:val="000D1A74"/>
    <w:rsid w:val="000D1AB6"/>
    <w:rsid w:val="000D1AE9"/>
    <w:rsid w:val="000D1B8A"/>
    <w:rsid w:val="000D1CAF"/>
    <w:rsid w:val="000D1D90"/>
    <w:rsid w:val="000D1E31"/>
    <w:rsid w:val="000D1FE2"/>
    <w:rsid w:val="000D2048"/>
    <w:rsid w:val="000D232C"/>
    <w:rsid w:val="000D24E8"/>
    <w:rsid w:val="000D2693"/>
    <w:rsid w:val="000D271A"/>
    <w:rsid w:val="000D276D"/>
    <w:rsid w:val="000D27E1"/>
    <w:rsid w:val="000D2970"/>
    <w:rsid w:val="000D2A9A"/>
    <w:rsid w:val="000D2B11"/>
    <w:rsid w:val="000D2B59"/>
    <w:rsid w:val="000D2D5F"/>
    <w:rsid w:val="000D2DE1"/>
    <w:rsid w:val="000D2E0A"/>
    <w:rsid w:val="000D2E58"/>
    <w:rsid w:val="000D2EF8"/>
    <w:rsid w:val="000D305E"/>
    <w:rsid w:val="000D30AF"/>
    <w:rsid w:val="000D338F"/>
    <w:rsid w:val="000D3510"/>
    <w:rsid w:val="000D352E"/>
    <w:rsid w:val="000D3569"/>
    <w:rsid w:val="000D3579"/>
    <w:rsid w:val="000D35CA"/>
    <w:rsid w:val="000D360A"/>
    <w:rsid w:val="000D36F6"/>
    <w:rsid w:val="000D37F3"/>
    <w:rsid w:val="000D39B4"/>
    <w:rsid w:val="000D3BA3"/>
    <w:rsid w:val="000D3CF4"/>
    <w:rsid w:val="000D3D6D"/>
    <w:rsid w:val="000D3D8B"/>
    <w:rsid w:val="000D3DA2"/>
    <w:rsid w:val="000D3F90"/>
    <w:rsid w:val="000D4333"/>
    <w:rsid w:val="000D436F"/>
    <w:rsid w:val="000D454F"/>
    <w:rsid w:val="000D459B"/>
    <w:rsid w:val="000D4604"/>
    <w:rsid w:val="000D477B"/>
    <w:rsid w:val="000D4789"/>
    <w:rsid w:val="000D4817"/>
    <w:rsid w:val="000D4915"/>
    <w:rsid w:val="000D4A45"/>
    <w:rsid w:val="000D4C0D"/>
    <w:rsid w:val="000D4D09"/>
    <w:rsid w:val="000D4D49"/>
    <w:rsid w:val="000D4E32"/>
    <w:rsid w:val="000D4EFD"/>
    <w:rsid w:val="000D4FC7"/>
    <w:rsid w:val="000D507D"/>
    <w:rsid w:val="000D50DB"/>
    <w:rsid w:val="000D5136"/>
    <w:rsid w:val="000D5143"/>
    <w:rsid w:val="000D5188"/>
    <w:rsid w:val="000D521E"/>
    <w:rsid w:val="000D52DF"/>
    <w:rsid w:val="000D536A"/>
    <w:rsid w:val="000D5372"/>
    <w:rsid w:val="000D53B6"/>
    <w:rsid w:val="000D53E3"/>
    <w:rsid w:val="000D5478"/>
    <w:rsid w:val="000D5567"/>
    <w:rsid w:val="000D5684"/>
    <w:rsid w:val="000D56D2"/>
    <w:rsid w:val="000D5764"/>
    <w:rsid w:val="000D5766"/>
    <w:rsid w:val="000D58BC"/>
    <w:rsid w:val="000D5902"/>
    <w:rsid w:val="000D59BF"/>
    <w:rsid w:val="000D59C2"/>
    <w:rsid w:val="000D5B59"/>
    <w:rsid w:val="000D5BF5"/>
    <w:rsid w:val="000D5C14"/>
    <w:rsid w:val="000D5C39"/>
    <w:rsid w:val="000D5E78"/>
    <w:rsid w:val="000D5F30"/>
    <w:rsid w:val="000D5FA6"/>
    <w:rsid w:val="000D603F"/>
    <w:rsid w:val="000D614B"/>
    <w:rsid w:val="000D62F3"/>
    <w:rsid w:val="000D6317"/>
    <w:rsid w:val="000D6374"/>
    <w:rsid w:val="000D63FB"/>
    <w:rsid w:val="000D643A"/>
    <w:rsid w:val="000D6456"/>
    <w:rsid w:val="000D654A"/>
    <w:rsid w:val="000D677D"/>
    <w:rsid w:val="000D6A7C"/>
    <w:rsid w:val="000D6B26"/>
    <w:rsid w:val="000D6CFE"/>
    <w:rsid w:val="000D707A"/>
    <w:rsid w:val="000D72BB"/>
    <w:rsid w:val="000D73E7"/>
    <w:rsid w:val="000D744F"/>
    <w:rsid w:val="000D749F"/>
    <w:rsid w:val="000D74A4"/>
    <w:rsid w:val="000D750A"/>
    <w:rsid w:val="000D7649"/>
    <w:rsid w:val="000D77A0"/>
    <w:rsid w:val="000D7805"/>
    <w:rsid w:val="000D78E7"/>
    <w:rsid w:val="000D7A82"/>
    <w:rsid w:val="000D7C4E"/>
    <w:rsid w:val="000D7E66"/>
    <w:rsid w:val="000D7FC7"/>
    <w:rsid w:val="000D7FFC"/>
    <w:rsid w:val="000E005E"/>
    <w:rsid w:val="000E00C0"/>
    <w:rsid w:val="000E0126"/>
    <w:rsid w:val="000E0185"/>
    <w:rsid w:val="000E02EA"/>
    <w:rsid w:val="000E02EE"/>
    <w:rsid w:val="000E03A1"/>
    <w:rsid w:val="000E03CA"/>
    <w:rsid w:val="000E0417"/>
    <w:rsid w:val="000E0505"/>
    <w:rsid w:val="000E0519"/>
    <w:rsid w:val="000E05B8"/>
    <w:rsid w:val="000E06EC"/>
    <w:rsid w:val="000E0982"/>
    <w:rsid w:val="000E0C9A"/>
    <w:rsid w:val="000E0CF9"/>
    <w:rsid w:val="000E0E77"/>
    <w:rsid w:val="000E0F18"/>
    <w:rsid w:val="000E0FAA"/>
    <w:rsid w:val="000E1010"/>
    <w:rsid w:val="000E11DA"/>
    <w:rsid w:val="000E12CA"/>
    <w:rsid w:val="000E1476"/>
    <w:rsid w:val="000E16FD"/>
    <w:rsid w:val="000E1734"/>
    <w:rsid w:val="000E1738"/>
    <w:rsid w:val="000E1768"/>
    <w:rsid w:val="000E176F"/>
    <w:rsid w:val="000E17F1"/>
    <w:rsid w:val="000E1816"/>
    <w:rsid w:val="000E1852"/>
    <w:rsid w:val="000E1A00"/>
    <w:rsid w:val="000E1A4A"/>
    <w:rsid w:val="000E1D19"/>
    <w:rsid w:val="000E1DBF"/>
    <w:rsid w:val="000E1E15"/>
    <w:rsid w:val="000E1F0B"/>
    <w:rsid w:val="000E1F70"/>
    <w:rsid w:val="000E1FCC"/>
    <w:rsid w:val="000E1FF2"/>
    <w:rsid w:val="000E2175"/>
    <w:rsid w:val="000E222A"/>
    <w:rsid w:val="000E2271"/>
    <w:rsid w:val="000E2350"/>
    <w:rsid w:val="000E2361"/>
    <w:rsid w:val="000E2377"/>
    <w:rsid w:val="000E270B"/>
    <w:rsid w:val="000E277B"/>
    <w:rsid w:val="000E2798"/>
    <w:rsid w:val="000E29A2"/>
    <w:rsid w:val="000E2A1C"/>
    <w:rsid w:val="000E2A49"/>
    <w:rsid w:val="000E2A77"/>
    <w:rsid w:val="000E2BDB"/>
    <w:rsid w:val="000E2D11"/>
    <w:rsid w:val="000E2DEB"/>
    <w:rsid w:val="000E308C"/>
    <w:rsid w:val="000E31AF"/>
    <w:rsid w:val="000E3207"/>
    <w:rsid w:val="000E3243"/>
    <w:rsid w:val="000E325B"/>
    <w:rsid w:val="000E32CF"/>
    <w:rsid w:val="000E32D4"/>
    <w:rsid w:val="000E32DD"/>
    <w:rsid w:val="000E338D"/>
    <w:rsid w:val="000E3692"/>
    <w:rsid w:val="000E36E2"/>
    <w:rsid w:val="000E376E"/>
    <w:rsid w:val="000E3803"/>
    <w:rsid w:val="000E395F"/>
    <w:rsid w:val="000E3ACE"/>
    <w:rsid w:val="000E3B27"/>
    <w:rsid w:val="000E3B5F"/>
    <w:rsid w:val="000E3B65"/>
    <w:rsid w:val="000E3CC7"/>
    <w:rsid w:val="000E3E98"/>
    <w:rsid w:val="000E3EB9"/>
    <w:rsid w:val="000E3F6D"/>
    <w:rsid w:val="000E3F7D"/>
    <w:rsid w:val="000E40AF"/>
    <w:rsid w:val="000E4216"/>
    <w:rsid w:val="000E4260"/>
    <w:rsid w:val="000E43DA"/>
    <w:rsid w:val="000E4589"/>
    <w:rsid w:val="000E46C2"/>
    <w:rsid w:val="000E4751"/>
    <w:rsid w:val="000E48A9"/>
    <w:rsid w:val="000E492A"/>
    <w:rsid w:val="000E4A1F"/>
    <w:rsid w:val="000E4A95"/>
    <w:rsid w:val="000E4AA8"/>
    <w:rsid w:val="000E4AF6"/>
    <w:rsid w:val="000E4AF8"/>
    <w:rsid w:val="000E4BA9"/>
    <w:rsid w:val="000E4C9C"/>
    <w:rsid w:val="000E4CD3"/>
    <w:rsid w:val="000E5045"/>
    <w:rsid w:val="000E5151"/>
    <w:rsid w:val="000E516A"/>
    <w:rsid w:val="000E52C4"/>
    <w:rsid w:val="000E52CB"/>
    <w:rsid w:val="000E5329"/>
    <w:rsid w:val="000E538A"/>
    <w:rsid w:val="000E53A1"/>
    <w:rsid w:val="000E5448"/>
    <w:rsid w:val="000E5567"/>
    <w:rsid w:val="000E5B14"/>
    <w:rsid w:val="000E5D81"/>
    <w:rsid w:val="000E5E3E"/>
    <w:rsid w:val="000E5F84"/>
    <w:rsid w:val="000E6043"/>
    <w:rsid w:val="000E6076"/>
    <w:rsid w:val="000E629B"/>
    <w:rsid w:val="000E630A"/>
    <w:rsid w:val="000E6468"/>
    <w:rsid w:val="000E655B"/>
    <w:rsid w:val="000E663A"/>
    <w:rsid w:val="000E6779"/>
    <w:rsid w:val="000E6806"/>
    <w:rsid w:val="000E68B8"/>
    <w:rsid w:val="000E68CB"/>
    <w:rsid w:val="000E6AE0"/>
    <w:rsid w:val="000E6B48"/>
    <w:rsid w:val="000E6D41"/>
    <w:rsid w:val="000E6E9D"/>
    <w:rsid w:val="000E6F47"/>
    <w:rsid w:val="000E6F54"/>
    <w:rsid w:val="000E7060"/>
    <w:rsid w:val="000E7155"/>
    <w:rsid w:val="000E716D"/>
    <w:rsid w:val="000E72FD"/>
    <w:rsid w:val="000E746D"/>
    <w:rsid w:val="000E748B"/>
    <w:rsid w:val="000E7524"/>
    <w:rsid w:val="000E758B"/>
    <w:rsid w:val="000E75DF"/>
    <w:rsid w:val="000E75E8"/>
    <w:rsid w:val="000E760A"/>
    <w:rsid w:val="000E76E6"/>
    <w:rsid w:val="000E7709"/>
    <w:rsid w:val="000E7837"/>
    <w:rsid w:val="000E79DA"/>
    <w:rsid w:val="000E7B0F"/>
    <w:rsid w:val="000E7B4D"/>
    <w:rsid w:val="000E7C04"/>
    <w:rsid w:val="000E7C79"/>
    <w:rsid w:val="000E7D37"/>
    <w:rsid w:val="000E7D51"/>
    <w:rsid w:val="000E7D5E"/>
    <w:rsid w:val="000E7ECF"/>
    <w:rsid w:val="000E7F0F"/>
    <w:rsid w:val="000E7F25"/>
    <w:rsid w:val="000F0125"/>
    <w:rsid w:val="000F0250"/>
    <w:rsid w:val="000F030C"/>
    <w:rsid w:val="000F038D"/>
    <w:rsid w:val="000F0396"/>
    <w:rsid w:val="000F0462"/>
    <w:rsid w:val="000F05A0"/>
    <w:rsid w:val="000F05D4"/>
    <w:rsid w:val="000F06D0"/>
    <w:rsid w:val="000F0713"/>
    <w:rsid w:val="000F0777"/>
    <w:rsid w:val="000F077C"/>
    <w:rsid w:val="000F098B"/>
    <w:rsid w:val="000F0A84"/>
    <w:rsid w:val="000F0B9E"/>
    <w:rsid w:val="000F0C45"/>
    <w:rsid w:val="000F0C77"/>
    <w:rsid w:val="000F0E09"/>
    <w:rsid w:val="000F0EAC"/>
    <w:rsid w:val="000F0F72"/>
    <w:rsid w:val="000F11FA"/>
    <w:rsid w:val="000F1238"/>
    <w:rsid w:val="000F13AB"/>
    <w:rsid w:val="000F14A2"/>
    <w:rsid w:val="000F14CD"/>
    <w:rsid w:val="000F157F"/>
    <w:rsid w:val="000F1651"/>
    <w:rsid w:val="000F16FF"/>
    <w:rsid w:val="000F170F"/>
    <w:rsid w:val="000F1865"/>
    <w:rsid w:val="000F1A34"/>
    <w:rsid w:val="000F1ACB"/>
    <w:rsid w:val="000F1B01"/>
    <w:rsid w:val="000F1B92"/>
    <w:rsid w:val="000F1B9B"/>
    <w:rsid w:val="000F1C67"/>
    <w:rsid w:val="000F1C9E"/>
    <w:rsid w:val="000F1D2C"/>
    <w:rsid w:val="000F1D43"/>
    <w:rsid w:val="000F1D5A"/>
    <w:rsid w:val="000F1EB6"/>
    <w:rsid w:val="000F1ED4"/>
    <w:rsid w:val="000F1EE4"/>
    <w:rsid w:val="000F1F20"/>
    <w:rsid w:val="000F22A3"/>
    <w:rsid w:val="000F22E2"/>
    <w:rsid w:val="000F233E"/>
    <w:rsid w:val="000F235A"/>
    <w:rsid w:val="000F2529"/>
    <w:rsid w:val="000F27B4"/>
    <w:rsid w:val="000F2C6A"/>
    <w:rsid w:val="000F2CB4"/>
    <w:rsid w:val="000F2D45"/>
    <w:rsid w:val="000F2D72"/>
    <w:rsid w:val="000F2D9A"/>
    <w:rsid w:val="000F2DC2"/>
    <w:rsid w:val="000F2F0B"/>
    <w:rsid w:val="000F301C"/>
    <w:rsid w:val="000F3109"/>
    <w:rsid w:val="000F3499"/>
    <w:rsid w:val="000F3501"/>
    <w:rsid w:val="000F350E"/>
    <w:rsid w:val="000F3A3F"/>
    <w:rsid w:val="000F3B8E"/>
    <w:rsid w:val="000F3C17"/>
    <w:rsid w:val="000F3C2D"/>
    <w:rsid w:val="000F3C6E"/>
    <w:rsid w:val="000F3D8D"/>
    <w:rsid w:val="000F3E79"/>
    <w:rsid w:val="000F3F17"/>
    <w:rsid w:val="000F3F21"/>
    <w:rsid w:val="000F3F7C"/>
    <w:rsid w:val="000F4017"/>
    <w:rsid w:val="000F40B9"/>
    <w:rsid w:val="000F40C9"/>
    <w:rsid w:val="000F42C7"/>
    <w:rsid w:val="000F42E4"/>
    <w:rsid w:val="000F4338"/>
    <w:rsid w:val="000F4461"/>
    <w:rsid w:val="000F4640"/>
    <w:rsid w:val="000F4797"/>
    <w:rsid w:val="000F47B3"/>
    <w:rsid w:val="000F49E9"/>
    <w:rsid w:val="000F4AE3"/>
    <w:rsid w:val="000F4C13"/>
    <w:rsid w:val="000F4DDD"/>
    <w:rsid w:val="000F4E1E"/>
    <w:rsid w:val="000F4F0F"/>
    <w:rsid w:val="000F5037"/>
    <w:rsid w:val="000F504E"/>
    <w:rsid w:val="000F50B7"/>
    <w:rsid w:val="000F50D6"/>
    <w:rsid w:val="000F5410"/>
    <w:rsid w:val="000F5494"/>
    <w:rsid w:val="000F5679"/>
    <w:rsid w:val="000F56DF"/>
    <w:rsid w:val="000F574C"/>
    <w:rsid w:val="000F576D"/>
    <w:rsid w:val="000F577F"/>
    <w:rsid w:val="000F5839"/>
    <w:rsid w:val="000F5896"/>
    <w:rsid w:val="000F58EB"/>
    <w:rsid w:val="000F5AE2"/>
    <w:rsid w:val="000F5C0F"/>
    <w:rsid w:val="000F5C47"/>
    <w:rsid w:val="000F5C8D"/>
    <w:rsid w:val="000F5F5A"/>
    <w:rsid w:val="000F6075"/>
    <w:rsid w:val="000F60C6"/>
    <w:rsid w:val="000F60F6"/>
    <w:rsid w:val="000F61CA"/>
    <w:rsid w:val="000F61D3"/>
    <w:rsid w:val="000F62F6"/>
    <w:rsid w:val="000F634A"/>
    <w:rsid w:val="000F63CB"/>
    <w:rsid w:val="000F64A9"/>
    <w:rsid w:val="000F6620"/>
    <w:rsid w:val="000F6675"/>
    <w:rsid w:val="000F6762"/>
    <w:rsid w:val="000F68BE"/>
    <w:rsid w:val="000F6949"/>
    <w:rsid w:val="000F6954"/>
    <w:rsid w:val="000F6A00"/>
    <w:rsid w:val="000F6A1E"/>
    <w:rsid w:val="000F6A6D"/>
    <w:rsid w:val="000F6ACB"/>
    <w:rsid w:val="000F6B64"/>
    <w:rsid w:val="000F6C9E"/>
    <w:rsid w:val="000F6CFF"/>
    <w:rsid w:val="000F6EC8"/>
    <w:rsid w:val="000F6EE1"/>
    <w:rsid w:val="000F6EE4"/>
    <w:rsid w:val="000F712A"/>
    <w:rsid w:val="000F7227"/>
    <w:rsid w:val="000F72AB"/>
    <w:rsid w:val="000F7359"/>
    <w:rsid w:val="000F73AE"/>
    <w:rsid w:val="000F749E"/>
    <w:rsid w:val="000F752A"/>
    <w:rsid w:val="000F7571"/>
    <w:rsid w:val="000F760A"/>
    <w:rsid w:val="000F76C9"/>
    <w:rsid w:val="000F79B6"/>
    <w:rsid w:val="000F7AAD"/>
    <w:rsid w:val="000F7ACE"/>
    <w:rsid w:val="000F7BB2"/>
    <w:rsid w:val="000F7D7A"/>
    <w:rsid w:val="000F7DFB"/>
    <w:rsid w:val="000F7E88"/>
    <w:rsid w:val="000F7EB8"/>
    <w:rsid w:val="000F7F64"/>
    <w:rsid w:val="0010010C"/>
    <w:rsid w:val="00100184"/>
    <w:rsid w:val="00100195"/>
    <w:rsid w:val="001001EB"/>
    <w:rsid w:val="001002F5"/>
    <w:rsid w:val="00100364"/>
    <w:rsid w:val="001003C4"/>
    <w:rsid w:val="00100411"/>
    <w:rsid w:val="0010052C"/>
    <w:rsid w:val="00100538"/>
    <w:rsid w:val="0010090E"/>
    <w:rsid w:val="0010093C"/>
    <w:rsid w:val="00100AA9"/>
    <w:rsid w:val="00100ACB"/>
    <w:rsid w:val="00100AE6"/>
    <w:rsid w:val="00100BDC"/>
    <w:rsid w:val="00100CD3"/>
    <w:rsid w:val="00100D2B"/>
    <w:rsid w:val="00100D2D"/>
    <w:rsid w:val="00100E1A"/>
    <w:rsid w:val="00100ED9"/>
    <w:rsid w:val="0010109D"/>
    <w:rsid w:val="00101159"/>
    <w:rsid w:val="001012C2"/>
    <w:rsid w:val="0010133B"/>
    <w:rsid w:val="00101471"/>
    <w:rsid w:val="001014C6"/>
    <w:rsid w:val="00101503"/>
    <w:rsid w:val="001015A6"/>
    <w:rsid w:val="001015E8"/>
    <w:rsid w:val="00101681"/>
    <w:rsid w:val="001016A3"/>
    <w:rsid w:val="001017B7"/>
    <w:rsid w:val="00101960"/>
    <w:rsid w:val="00101A03"/>
    <w:rsid w:val="00101A1E"/>
    <w:rsid w:val="00101A56"/>
    <w:rsid w:val="00101A81"/>
    <w:rsid w:val="00101AE1"/>
    <w:rsid w:val="00101BDD"/>
    <w:rsid w:val="00101C53"/>
    <w:rsid w:val="00101C5F"/>
    <w:rsid w:val="00101D1B"/>
    <w:rsid w:val="00101D54"/>
    <w:rsid w:val="00101D7D"/>
    <w:rsid w:val="00101F55"/>
    <w:rsid w:val="00102095"/>
    <w:rsid w:val="00102102"/>
    <w:rsid w:val="00102188"/>
    <w:rsid w:val="0010234E"/>
    <w:rsid w:val="00102395"/>
    <w:rsid w:val="0010246D"/>
    <w:rsid w:val="00102478"/>
    <w:rsid w:val="0010247C"/>
    <w:rsid w:val="0010256B"/>
    <w:rsid w:val="00102764"/>
    <w:rsid w:val="001028AC"/>
    <w:rsid w:val="0010292F"/>
    <w:rsid w:val="0010296A"/>
    <w:rsid w:val="00102990"/>
    <w:rsid w:val="0010299A"/>
    <w:rsid w:val="00102A9D"/>
    <w:rsid w:val="00102BEF"/>
    <w:rsid w:val="00102C26"/>
    <w:rsid w:val="00102C8B"/>
    <w:rsid w:val="00102CF1"/>
    <w:rsid w:val="00102D51"/>
    <w:rsid w:val="00102DD0"/>
    <w:rsid w:val="00102DF6"/>
    <w:rsid w:val="00102EFE"/>
    <w:rsid w:val="00102F30"/>
    <w:rsid w:val="001030CB"/>
    <w:rsid w:val="001031D7"/>
    <w:rsid w:val="001031E5"/>
    <w:rsid w:val="00103211"/>
    <w:rsid w:val="00103239"/>
    <w:rsid w:val="0010328B"/>
    <w:rsid w:val="0010332E"/>
    <w:rsid w:val="001034B4"/>
    <w:rsid w:val="0010351C"/>
    <w:rsid w:val="00103667"/>
    <w:rsid w:val="00103712"/>
    <w:rsid w:val="00103A36"/>
    <w:rsid w:val="00103A91"/>
    <w:rsid w:val="00103CB8"/>
    <w:rsid w:val="00103CE2"/>
    <w:rsid w:val="00103CF4"/>
    <w:rsid w:val="00103E03"/>
    <w:rsid w:val="00103E32"/>
    <w:rsid w:val="001040EE"/>
    <w:rsid w:val="0010412E"/>
    <w:rsid w:val="00104480"/>
    <w:rsid w:val="001044AC"/>
    <w:rsid w:val="00104504"/>
    <w:rsid w:val="00104585"/>
    <w:rsid w:val="001045AD"/>
    <w:rsid w:val="00104657"/>
    <w:rsid w:val="00104693"/>
    <w:rsid w:val="001048D9"/>
    <w:rsid w:val="001049CF"/>
    <w:rsid w:val="00104C33"/>
    <w:rsid w:val="00104D2E"/>
    <w:rsid w:val="00104D46"/>
    <w:rsid w:val="00104D54"/>
    <w:rsid w:val="00104DAB"/>
    <w:rsid w:val="00104E38"/>
    <w:rsid w:val="0010505B"/>
    <w:rsid w:val="0010509A"/>
    <w:rsid w:val="0010511E"/>
    <w:rsid w:val="001051D2"/>
    <w:rsid w:val="00105235"/>
    <w:rsid w:val="001052EE"/>
    <w:rsid w:val="001052F7"/>
    <w:rsid w:val="001053CE"/>
    <w:rsid w:val="001053FD"/>
    <w:rsid w:val="00105480"/>
    <w:rsid w:val="0010558E"/>
    <w:rsid w:val="001055AE"/>
    <w:rsid w:val="001055D2"/>
    <w:rsid w:val="001056B0"/>
    <w:rsid w:val="001056F7"/>
    <w:rsid w:val="00105827"/>
    <w:rsid w:val="00105931"/>
    <w:rsid w:val="0010594E"/>
    <w:rsid w:val="00105A25"/>
    <w:rsid w:val="00105B61"/>
    <w:rsid w:val="00105BD2"/>
    <w:rsid w:val="00105CE9"/>
    <w:rsid w:val="00105D65"/>
    <w:rsid w:val="00105E9B"/>
    <w:rsid w:val="00105F2F"/>
    <w:rsid w:val="001060A2"/>
    <w:rsid w:val="0010619E"/>
    <w:rsid w:val="0010625B"/>
    <w:rsid w:val="00106298"/>
    <w:rsid w:val="001062C4"/>
    <w:rsid w:val="0010637F"/>
    <w:rsid w:val="001063A3"/>
    <w:rsid w:val="0010645C"/>
    <w:rsid w:val="00106613"/>
    <w:rsid w:val="0010677C"/>
    <w:rsid w:val="001067AE"/>
    <w:rsid w:val="001068D7"/>
    <w:rsid w:val="001069A2"/>
    <w:rsid w:val="00106A4B"/>
    <w:rsid w:val="00106A73"/>
    <w:rsid w:val="00106D26"/>
    <w:rsid w:val="00106D3B"/>
    <w:rsid w:val="00106DBB"/>
    <w:rsid w:val="00107027"/>
    <w:rsid w:val="001073D8"/>
    <w:rsid w:val="001073DE"/>
    <w:rsid w:val="001074C6"/>
    <w:rsid w:val="0010754E"/>
    <w:rsid w:val="00107588"/>
    <w:rsid w:val="001075AB"/>
    <w:rsid w:val="001075EF"/>
    <w:rsid w:val="00107675"/>
    <w:rsid w:val="001076E6"/>
    <w:rsid w:val="001077C3"/>
    <w:rsid w:val="00107821"/>
    <w:rsid w:val="00107831"/>
    <w:rsid w:val="00107851"/>
    <w:rsid w:val="001078AE"/>
    <w:rsid w:val="00107C90"/>
    <w:rsid w:val="00107ED9"/>
    <w:rsid w:val="0011028C"/>
    <w:rsid w:val="00110388"/>
    <w:rsid w:val="001104A7"/>
    <w:rsid w:val="00110569"/>
    <w:rsid w:val="0011056B"/>
    <w:rsid w:val="001105BC"/>
    <w:rsid w:val="0011066D"/>
    <w:rsid w:val="00110726"/>
    <w:rsid w:val="001108FB"/>
    <w:rsid w:val="00110AB6"/>
    <w:rsid w:val="00110B1F"/>
    <w:rsid w:val="00110C7A"/>
    <w:rsid w:val="00110F67"/>
    <w:rsid w:val="00110FA5"/>
    <w:rsid w:val="001111ED"/>
    <w:rsid w:val="00111242"/>
    <w:rsid w:val="001112A3"/>
    <w:rsid w:val="0011130C"/>
    <w:rsid w:val="0011140D"/>
    <w:rsid w:val="001114A3"/>
    <w:rsid w:val="001114C0"/>
    <w:rsid w:val="001118C2"/>
    <w:rsid w:val="00111918"/>
    <w:rsid w:val="001119D9"/>
    <w:rsid w:val="00111BE2"/>
    <w:rsid w:val="00111D4D"/>
    <w:rsid w:val="00111E7A"/>
    <w:rsid w:val="00111EA5"/>
    <w:rsid w:val="00111F2D"/>
    <w:rsid w:val="00111F66"/>
    <w:rsid w:val="00111F94"/>
    <w:rsid w:val="00112029"/>
    <w:rsid w:val="0011213B"/>
    <w:rsid w:val="0011215E"/>
    <w:rsid w:val="0011216D"/>
    <w:rsid w:val="00112197"/>
    <w:rsid w:val="0011244E"/>
    <w:rsid w:val="00112460"/>
    <w:rsid w:val="00112652"/>
    <w:rsid w:val="001128EE"/>
    <w:rsid w:val="00112C1B"/>
    <w:rsid w:val="00112C2D"/>
    <w:rsid w:val="00112C86"/>
    <w:rsid w:val="00112CDE"/>
    <w:rsid w:val="00112F8B"/>
    <w:rsid w:val="00112F97"/>
    <w:rsid w:val="00112FED"/>
    <w:rsid w:val="00113021"/>
    <w:rsid w:val="00113037"/>
    <w:rsid w:val="0011304F"/>
    <w:rsid w:val="00113305"/>
    <w:rsid w:val="00113437"/>
    <w:rsid w:val="0011353C"/>
    <w:rsid w:val="0011353E"/>
    <w:rsid w:val="00113653"/>
    <w:rsid w:val="0011377C"/>
    <w:rsid w:val="0011394D"/>
    <w:rsid w:val="00113B04"/>
    <w:rsid w:val="00113B20"/>
    <w:rsid w:val="00113E3A"/>
    <w:rsid w:val="00113F41"/>
    <w:rsid w:val="00113FAD"/>
    <w:rsid w:val="00114029"/>
    <w:rsid w:val="0011402F"/>
    <w:rsid w:val="001140B3"/>
    <w:rsid w:val="0011425E"/>
    <w:rsid w:val="00114291"/>
    <w:rsid w:val="001142C1"/>
    <w:rsid w:val="00114360"/>
    <w:rsid w:val="001143A4"/>
    <w:rsid w:val="001143F2"/>
    <w:rsid w:val="0011442F"/>
    <w:rsid w:val="001144DC"/>
    <w:rsid w:val="001144E4"/>
    <w:rsid w:val="001145B9"/>
    <w:rsid w:val="001145EE"/>
    <w:rsid w:val="001145F0"/>
    <w:rsid w:val="0011466E"/>
    <w:rsid w:val="0011471C"/>
    <w:rsid w:val="0011485E"/>
    <w:rsid w:val="0011489A"/>
    <w:rsid w:val="00114A89"/>
    <w:rsid w:val="00114CAF"/>
    <w:rsid w:val="00114D51"/>
    <w:rsid w:val="00114E1B"/>
    <w:rsid w:val="00114E4D"/>
    <w:rsid w:val="00114F2A"/>
    <w:rsid w:val="00114FD6"/>
    <w:rsid w:val="0011508A"/>
    <w:rsid w:val="001150DB"/>
    <w:rsid w:val="00115135"/>
    <w:rsid w:val="001151BE"/>
    <w:rsid w:val="001152DE"/>
    <w:rsid w:val="001152EE"/>
    <w:rsid w:val="0011567C"/>
    <w:rsid w:val="00115774"/>
    <w:rsid w:val="001157B2"/>
    <w:rsid w:val="00115825"/>
    <w:rsid w:val="00115A00"/>
    <w:rsid w:val="00115B7C"/>
    <w:rsid w:val="00115B8F"/>
    <w:rsid w:val="00115BA4"/>
    <w:rsid w:val="00115BCC"/>
    <w:rsid w:val="00115CDD"/>
    <w:rsid w:val="00115CFA"/>
    <w:rsid w:val="00115E1C"/>
    <w:rsid w:val="00115E9B"/>
    <w:rsid w:val="00115F35"/>
    <w:rsid w:val="00115F63"/>
    <w:rsid w:val="00115FBD"/>
    <w:rsid w:val="0011601B"/>
    <w:rsid w:val="0011620C"/>
    <w:rsid w:val="0011628E"/>
    <w:rsid w:val="00116568"/>
    <w:rsid w:val="00116592"/>
    <w:rsid w:val="001165D6"/>
    <w:rsid w:val="00116776"/>
    <w:rsid w:val="00116929"/>
    <w:rsid w:val="00116A2E"/>
    <w:rsid w:val="00116A86"/>
    <w:rsid w:val="00116BA2"/>
    <w:rsid w:val="00116C95"/>
    <w:rsid w:val="00116CBB"/>
    <w:rsid w:val="00116CE7"/>
    <w:rsid w:val="00116F1A"/>
    <w:rsid w:val="00116F2A"/>
    <w:rsid w:val="00116F42"/>
    <w:rsid w:val="00116F51"/>
    <w:rsid w:val="0011708F"/>
    <w:rsid w:val="0011716A"/>
    <w:rsid w:val="00117302"/>
    <w:rsid w:val="0011730F"/>
    <w:rsid w:val="001174BD"/>
    <w:rsid w:val="00117514"/>
    <w:rsid w:val="00117527"/>
    <w:rsid w:val="0011758C"/>
    <w:rsid w:val="001175F2"/>
    <w:rsid w:val="001177A9"/>
    <w:rsid w:val="00117801"/>
    <w:rsid w:val="00117818"/>
    <w:rsid w:val="00117D5E"/>
    <w:rsid w:val="00117DAA"/>
    <w:rsid w:val="00117F14"/>
    <w:rsid w:val="00120355"/>
    <w:rsid w:val="00120411"/>
    <w:rsid w:val="001208FE"/>
    <w:rsid w:val="0012097D"/>
    <w:rsid w:val="001209C3"/>
    <w:rsid w:val="00120A41"/>
    <w:rsid w:val="00120A8C"/>
    <w:rsid w:val="00120A91"/>
    <w:rsid w:val="00120B51"/>
    <w:rsid w:val="00120CDF"/>
    <w:rsid w:val="00120FAC"/>
    <w:rsid w:val="00120FDE"/>
    <w:rsid w:val="00120FEB"/>
    <w:rsid w:val="001210E0"/>
    <w:rsid w:val="00121356"/>
    <w:rsid w:val="00121654"/>
    <w:rsid w:val="00121659"/>
    <w:rsid w:val="001217A7"/>
    <w:rsid w:val="001219E6"/>
    <w:rsid w:val="00121A02"/>
    <w:rsid w:val="00121A9E"/>
    <w:rsid w:val="00121BB0"/>
    <w:rsid w:val="00121BBD"/>
    <w:rsid w:val="00121CF5"/>
    <w:rsid w:val="00121F02"/>
    <w:rsid w:val="00121FD9"/>
    <w:rsid w:val="00122007"/>
    <w:rsid w:val="0012204B"/>
    <w:rsid w:val="00122135"/>
    <w:rsid w:val="00122273"/>
    <w:rsid w:val="00122355"/>
    <w:rsid w:val="001224BB"/>
    <w:rsid w:val="00122543"/>
    <w:rsid w:val="00122561"/>
    <w:rsid w:val="0012258B"/>
    <w:rsid w:val="001225EB"/>
    <w:rsid w:val="00122768"/>
    <w:rsid w:val="001227A4"/>
    <w:rsid w:val="001228C3"/>
    <w:rsid w:val="001228F9"/>
    <w:rsid w:val="001229D6"/>
    <w:rsid w:val="001229E0"/>
    <w:rsid w:val="00122C59"/>
    <w:rsid w:val="0012305B"/>
    <w:rsid w:val="0012309E"/>
    <w:rsid w:val="001231B8"/>
    <w:rsid w:val="00123271"/>
    <w:rsid w:val="001232C6"/>
    <w:rsid w:val="0012334A"/>
    <w:rsid w:val="00123356"/>
    <w:rsid w:val="00123505"/>
    <w:rsid w:val="0012368F"/>
    <w:rsid w:val="001237A3"/>
    <w:rsid w:val="0012381F"/>
    <w:rsid w:val="00123866"/>
    <w:rsid w:val="00123A66"/>
    <w:rsid w:val="00123AD0"/>
    <w:rsid w:val="00123D0C"/>
    <w:rsid w:val="00123E36"/>
    <w:rsid w:val="00123EB8"/>
    <w:rsid w:val="00124058"/>
    <w:rsid w:val="00124134"/>
    <w:rsid w:val="001241E6"/>
    <w:rsid w:val="001244BE"/>
    <w:rsid w:val="001244BF"/>
    <w:rsid w:val="0012454C"/>
    <w:rsid w:val="00124728"/>
    <w:rsid w:val="0012498E"/>
    <w:rsid w:val="0012499F"/>
    <w:rsid w:val="001249C0"/>
    <w:rsid w:val="00124A48"/>
    <w:rsid w:val="00124B2E"/>
    <w:rsid w:val="00124BC6"/>
    <w:rsid w:val="00124D69"/>
    <w:rsid w:val="00124D9D"/>
    <w:rsid w:val="00124DE8"/>
    <w:rsid w:val="00124DF8"/>
    <w:rsid w:val="00124E0B"/>
    <w:rsid w:val="00124EEC"/>
    <w:rsid w:val="00124F16"/>
    <w:rsid w:val="00124F1C"/>
    <w:rsid w:val="00124F21"/>
    <w:rsid w:val="00125063"/>
    <w:rsid w:val="0012513D"/>
    <w:rsid w:val="001252C8"/>
    <w:rsid w:val="001252DF"/>
    <w:rsid w:val="0012537F"/>
    <w:rsid w:val="001253B5"/>
    <w:rsid w:val="001253D7"/>
    <w:rsid w:val="00125415"/>
    <w:rsid w:val="001255FF"/>
    <w:rsid w:val="0012584B"/>
    <w:rsid w:val="001258D0"/>
    <w:rsid w:val="001259B8"/>
    <w:rsid w:val="00125B17"/>
    <w:rsid w:val="00125E04"/>
    <w:rsid w:val="00125E3C"/>
    <w:rsid w:val="00125F64"/>
    <w:rsid w:val="00125F81"/>
    <w:rsid w:val="001260CB"/>
    <w:rsid w:val="0012614F"/>
    <w:rsid w:val="001261E3"/>
    <w:rsid w:val="001262B2"/>
    <w:rsid w:val="001262D8"/>
    <w:rsid w:val="001265CA"/>
    <w:rsid w:val="00126628"/>
    <w:rsid w:val="0012677A"/>
    <w:rsid w:val="001267BF"/>
    <w:rsid w:val="00126846"/>
    <w:rsid w:val="00126865"/>
    <w:rsid w:val="001269B3"/>
    <w:rsid w:val="00126D01"/>
    <w:rsid w:val="00126DF0"/>
    <w:rsid w:val="00126E00"/>
    <w:rsid w:val="00126E68"/>
    <w:rsid w:val="00127036"/>
    <w:rsid w:val="00127082"/>
    <w:rsid w:val="0012708C"/>
    <w:rsid w:val="0012712E"/>
    <w:rsid w:val="00127170"/>
    <w:rsid w:val="0012718D"/>
    <w:rsid w:val="001271E6"/>
    <w:rsid w:val="001272B2"/>
    <w:rsid w:val="001273EC"/>
    <w:rsid w:val="00127454"/>
    <w:rsid w:val="0012757C"/>
    <w:rsid w:val="00127582"/>
    <w:rsid w:val="001275A9"/>
    <w:rsid w:val="001275C4"/>
    <w:rsid w:val="00127816"/>
    <w:rsid w:val="001279B3"/>
    <w:rsid w:val="00127A4B"/>
    <w:rsid w:val="00127CF2"/>
    <w:rsid w:val="00127D4E"/>
    <w:rsid w:val="00127DC9"/>
    <w:rsid w:val="00127F3C"/>
    <w:rsid w:val="00127F83"/>
    <w:rsid w:val="00127FB2"/>
    <w:rsid w:val="001300D4"/>
    <w:rsid w:val="001300D8"/>
    <w:rsid w:val="0013011B"/>
    <w:rsid w:val="00130157"/>
    <w:rsid w:val="00130480"/>
    <w:rsid w:val="00130828"/>
    <w:rsid w:val="00130832"/>
    <w:rsid w:val="0013093F"/>
    <w:rsid w:val="001309B4"/>
    <w:rsid w:val="001309BA"/>
    <w:rsid w:val="00130B67"/>
    <w:rsid w:val="00130B90"/>
    <w:rsid w:val="00130B98"/>
    <w:rsid w:val="00130D2A"/>
    <w:rsid w:val="00130DD4"/>
    <w:rsid w:val="00130E33"/>
    <w:rsid w:val="00130F16"/>
    <w:rsid w:val="00130F51"/>
    <w:rsid w:val="00130F5C"/>
    <w:rsid w:val="00130F6C"/>
    <w:rsid w:val="00131057"/>
    <w:rsid w:val="00131186"/>
    <w:rsid w:val="001312B3"/>
    <w:rsid w:val="001312FC"/>
    <w:rsid w:val="001313DB"/>
    <w:rsid w:val="00131521"/>
    <w:rsid w:val="00131533"/>
    <w:rsid w:val="00131577"/>
    <w:rsid w:val="001317AE"/>
    <w:rsid w:val="001317DB"/>
    <w:rsid w:val="00131950"/>
    <w:rsid w:val="00131A2D"/>
    <w:rsid w:val="00131DE8"/>
    <w:rsid w:val="00131EBA"/>
    <w:rsid w:val="00131EEA"/>
    <w:rsid w:val="00131F48"/>
    <w:rsid w:val="00131F7F"/>
    <w:rsid w:val="00131F9F"/>
    <w:rsid w:val="00132046"/>
    <w:rsid w:val="001320C2"/>
    <w:rsid w:val="00132130"/>
    <w:rsid w:val="0013223E"/>
    <w:rsid w:val="00132241"/>
    <w:rsid w:val="00132274"/>
    <w:rsid w:val="00132543"/>
    <w:rsid w:val="00132570"/>
    <w:rsid w:val="00132AE5"/>
    <w:rsid w:val="00132B0C"/>
    <w:rsid w:val="00132BAA"/>
    <w:rsid w:val="00132C8D"/>
    <w:rsid w:val="00132C91"/>
    <w:rsid w:val="00132D16"/>
    <w:rsid w:val="00132F25"/>
    <w:rsid w:val="00132FB5"/>
    <w:rsid w:val="0013311F"/>
    <w:rsid w:val="0013323C"/>
    <w:rsid w:val="00133317"/>
    <w:rsid w:val="00133364"/>
    <w:rsid w:val="001333A9"/>
    <w:rsid w:val="00133419"/>
    <w:rsid w:val="00133455"/>
    <w:rsid w:val="001334D0"/>
    <w:rsid w:val="0013363D"/>
    <w:rsid w:val="001336A9"/>
    <w:rsid w:val="0013372F"/>
    <w:rsid w:val="00133747"/>
    <w:rsid w:val="00133A8A"/>
    <w:rsid w:val="00133B35"/>
    <w:rsid w:val="00133D23"/>
    <w:rsid w:val="00133DDB"/>
    <w:rsid w:val="00133F0B"/>
    <w:rsid w:val="001340C5"/>
    <w:rsid w:val="001340D3"/>
    <w:rsid w:val="00134108"/>
    <w:rsid w:val="001342D1"/>
    <w:rsid w:val="0013437C"/>
    <w:rsid w:val="0013451B"/>
    <w:rsid w:val="0013458C"/>
    <w:rsid w:val="001345B2"/>
    <w:rsid w:val="001346BA"/>
    <w:rsid w:val="001346F2"/>
    <w:rsid w:val="00134731"/>
    <w:rsid w:val="00134943"/>
    <w:rsid w:val="00134B5C"/>
    <w:rsid w:val="00134BDE"/>
    <w:rsid w:val="00134C57"/>
    <w:rsid w:val="00134C5B"/>
    <w:rsid w:val="001351D0"/>
    <w:rsid w:val="00135344"/>
    <w:rsid w:val="001353D6"/>
    <w:rsid w:val="001355F8"/>
    <w:rsid w:val="0013564D"/>
    <w:rsid w:val="001357A4"/>
    <w:rsid w:val="001359C3"/>
    <w:rsid w:val="00135A4C"/>
    <w:rsid w:val="00135AC2"/>
    <w:rsid w:val="00135B4A"/>
    <w:rsid w:val="00135BE5"/>
    <w:rsid w:val="00135BEE"/>
    <w:rsid w:val="00135DF4"/>
    <w:rsid w:val="00135E5A"/>
    <w:rsid w:val="001361D1"/>
    <w:rsid w:val="001362B5"/>
    <w:rsid w:val="0013635F"/>
    <w:rsid w:val="0013654F"/>
    <w:rsid w:val="00136948"/>
    <w:rsid w:val="00136951"/>
    <w:rsid w:val="00136A18"/>
    <w:rsid w:val="00136AF6"/>
    <w:rsid w:val="00136B9F"/>
    <w:rsid w:val="00136F62"/>
    <w:rsid w:val="00136FF6"/>
    <w:rsid w:val="001370B8"/>
    <w:rsid w:val="0013710D"/>
    <w:rsid w:val="0013715D"/>
    <w:rsid w:val="00137224"/>
    <w:rsid w:val="001373CC"/>
    <w:rsid w:val="001373FE"/>
    <w:rsid w:val="00137436"/>
    <w:rsid w:val="001374D6"/>
    <w:rsid w:val="0013770B"/>
    <w:rsid w:val="0013777F"/>
    <w:rsid w:val="00137818"/>
    <w:rsid w:val="0013781F"/>
    <w:rsid w:val="00137B16"/>
    <w:rsid w:val="00137C76"/>
    <w:rsid w:val="00137DCA"/>
    <w:rsid w:val="00137DE9"/>
    <w:rsid w:val="00137DF5"/>
    <w:rsid w:val="00137E63"/>
    <w:rsid w:val="00137F60"/>
    <w:rsid w:val="00140153"/>
    <w:rsid w:val="001402D7"/>
    <w:rsid w:val="00140310"/>
    <w:rsid w:val="00140497"/>
    <w:rsid w:val="001404C1"/>
    <w:rsid w:val="001404DD"/>
    <w:rsid w:val="00140598"/>
    <w:rsid w:val="001405CF"/>
    <w:rsid w:val="0014062A"/>
    <w:rsid w:val="001406A4"/>
    <w:rsid w:val="00140901"/>
    <w:rsid w:val="00140914"/>
    <w:rsid w:val="00140993"/>
    <w:rsid w:val="001409B8"/>
    <w:rsid w:val="001409ED"/>
    <w:rsid w:val="001409F6"/>
    <w:rsid w:val="00140AA5"/>
    <w:rsid w:val="00140C10"/>
    <w:rsid w:val="00140E87"/>
    <w:rsid w:val="00140E98"/>
    <w:rsid w:val="0014114B"/>
    <w:rsid w:val="00141199"/>
    <w:rsid w:val="001411DB"/>
    <w:rsid w:val="001411E1"/>
    <w:rsid w:val="0014131A"/>
    <w:rsid w:val="00141392"/>
    <w:rsid w:val="0014143D"/>
    <w:rsid w:val="001414CF"/>
    <w:rsid w:val="001414EE"/>
    <w:rsid w:val="00141795"/>
    <w:rsid w:val="0014179F"/>
    <w:rsid w:val="00141800"/>
    <w:rsid w:val="00141A6D"/>
    <w:rsid w:val="00141AD6"/>
    <w:rsid w:val="00141C46"/>
    <w:rsid w:val="00141DCB"/>
    <w:rsid w:val="00141ED5"/>
    <w:rsid w:val="00141F6B"/>
    <w:rsid w:val="00141F7B"/>
    <w:rsid w:val="00141FD9"/>
    <w:rsid w:val="0014207B"/>
    <w:rsid w:val="001420EC"/>
    <w:rsid w:val="0014218E"/>
    <w:rsid w:val="001421A1"/>
    <w:rsid w:val="001421F6"/>
    <w:rsid w:val="0014243A"/>
    <w:rsid w:val="0014245A"/>
    <w:rsid w:val="00142593"/>
    <w:rsid w:val="00142682"/>
    <w:rsid w:val="0014268D"/>
    <w:rsid w:val="001426F7"/>
    <w:rsid w:val="0014271E"/>
    <w:rsid w:val="0014279E"/>
    <w:rsid w:val="00142821"/>
    <w:rsid w:val="00142899"/>
    <w:rsid w:val="00142913"/>
    <w:rsid w:val="00142ACB"/>
    <w:rsid w:val="00142D4A"/>
    <w:rsid w:val="00142D64"/>
    <w:rsid w:val="00142DF2"/>
    <w:rsid w:val="00142EFB"/>
    <w:rsid w:val="00142F07"/>
    <w:rsid w:val="00142FB1"/>
    <w:rsid w:val="001430D7"/>
    <w:rsid w:val="00143295"/>
    <w:rsid w:val="0014329F"/>
    <w:rsid w:val="001432EB"/>
    <w:rsid w:val="001432F5"/>
    <w:rsid w:val="00143317"/>
    <w:rsid w:val="00143402"/>
    <w:rsid w:val="00143563"/>
    <w:rsid w:val="0014363B"/>
    <w:rsid w:val="00143707"/>
    <w:rsid w:val="0014371B"/>
    <w:rsid w:val="0014387B"/>
    <w:rsid w:val="001438BF"/>
    <w:rsid w:val="00143AC0"/>
    <w:rsid w:val="00143B2F"/>
    <w:rsid w:val="00143BB8"/>
    <w:rsid w:val="00143C2D"/>
    <w:rsid w:val="00143C66"/>
    <w:rsid w:val="00143CBD"/>
    <w:rsid w:val="00143CC2"/>
    <w:rsid w:val="00143D75"/>
    <w:rsid w:val="00143DA7"/>
    <w:rsid w:val="00143E22"/>
    <w:rsid w:val="00143EDC"/>
    <w:rsid w:val="00143F4B"/>
    <w:rsid w:val="00144097"/>
    <w:rsid w:val="001442CA"/>
    <w:rsid w:val="001442D2"/>
    <w:rsid w:val="001442FC"/>
    <w:rsid w:val="00144374"/>
    <w:rsid w:val="00144506"/>
    <w:rsid w:val="00144526"/>
    <w:rsid w:val="00144529"/>
    <w:rsid w:val="001445BC"/>
    <w:rsid w:val="00144705"/>
    <w:rsid w:val="0014473B"/>
    <w:rsid w:val="001447F7"/>
    <w:rsid w:val="001448CA"/>
    <w:rsid w:val="00144B02"/>
    <w:rsid w:val="00144B48"/>
    <w:rsid w:val="00144B8E"/>
    <w:rsid w:val="00144BA8"/>
    <w:rsid w:val="00144BE9"/>
    <w:rsid w:val="00144C26"/>
    <w:rsid w:val="00144CE9"/>
    <w:rsid w:val="00144E47"/>
    <w:rsid w:val="00144EEA"/>
    <w:rsid w:val="00144EEC"/>
    <w:rsid w:val="00144F62"/>
    <w:rsid w:val="00144FFB"/>
    <w:rsid w:val="00145002"/>
    <w:rsid w:val="001451EE"/>
    <w:rsid w:val="00145407"/>
    <w:rsid w:val="00145472"/>
    <w:rsid w:val="0014549D"/>
    <w:rsid w:val="0014552C"/>
    <w:rsid w:val="0014554B"/>
    <w:rsid w:val="00145994"/>
    <w:rsid w:val="001459DB"/>
    <w:rsid w:val="00145AF5"/>
    <w:rsid w:val="00145CA3"/>
    <w:rsid w:val="00145E27"/>
    <w:rsid w:val="00145E72"/>
    <w:rsid w:val="00145F89"/>
    <w:rsid w:val="0014600A"/>
    <w:rsid w:val="0014603A"/>
    <w:rsid w:val="00146099"/>
    <w:rsid w:val="001460AE"/>
    <w:rsid w:val="001460D3"/>
    <w:rsid w:val="00146257"/>
    <w:rsid w:val="00146485"/>
    <w:rsid w:val="0014658B"/>
    <w:rsid w:val="001465C5"/>
    <w:rsid w:val="0014672B"/>
    <w:rsid w:val="0014678B"/>
    <w:rsid w:val="0014684F"/>
    <w:rsid w:val="0014687F"/>
    <w:rsid w:val="00146A03"/>
    <w:rsid w:val="00146A0C"/>
    <w:rsid w:val="00146A17"/>
    <w:rsid w:val="00146B87"/>
    <w:rsid w:val="00146BEE"/>
    <w:rsid w:val="00146D59"/>
    <w:rsid w:val="00146E45"/>
    <w:rsid w:val="00146EDE"/>
    <w:rsid w:val="00146F18"/>
    <w:rsid w:val="00146F36"/>
    <w:rsid w:val="00146FC4"/>
    <w:rsid w:val="00147059"/>
    <w:rsid w:val="0014709F"/>
    <w:rsid w:val="001474BF"/>
    <w:rsid w:val="001474FC"/>
    <w:rsid w:val="001476CA"/>
    <w:rsid w:val="001478C1"/>
    <w:rsid w:val="00147950"/>
    <w:rsid w:val="00147AA5"/>
    <w:rsid w:val="00147B3C"/>
    <w:rsid w:val="00147B9F"/>
    <w:rsid w:val="00147BB5"/>
    <w:rsid w:val="00147BCE"/>
    <w:rsid w:val="00147BFE"/>
    <w:rsid w:val="00147C30"/>
    <w:rsid w:val="00147CD4"/>
    <w:rsid w:val="00147EA3"/>
    <w:rsid w:val="00147FBD"/>
    <w:rsid w:val="00147FD6"/>
    <w:rsid w:val="00147FDB"/>
    <w:rsid w:val="00150049"/>
    <w:rsid w:val="00150119"/>
    <w:rsid w:val="0015039B"/>
    <w:rsid w:val="0015048A"/>
    <w:rsid w:val="001504CB"/>
    <w:rsid w:val="0015057E"/>
    <w:rsid w:val="0015075C"/>
    <w:rsid w:val="00150818"/>
    <w:rsid w:val="00150850"/>
    <w:rsid w:val="00150876"/>
    <w:rsid w:val="00150AA2"/>
    <w:rsid w:val="00150AC5"/>
    <w:rsid w:val="00150BAB"/>
    <w:rsid w:val="00150BB6"/>
    <w:rsid w:val="00150C5B"/>
    <w:rsid w:val="00150CDC"/>
    <w:rsid w:val="00150CEA"/>
    <w:rsid w:val="00150D29"/>
    <w:rsid w:val="00150D78"/>
    <w:rsid w:val="00150E08"/>
    <w:rsid w:val="00150EC2"/>
    <w:rsid w:val="00150EE2"/>
    <w:rsid w:val="00150F36"/>
    <w:rsid w:val="00150FD1"/>
    <w:rsid w:val="0015110C"/>
    <w:rsid w:val="00151322"/>
    <w:rsid w:val="001513A9"/>
    <w:rsid w:val="001513CA"/>
    <w:rsid w:val="001513D5"/>
    <w:rsid w:val="0015147C"/>
    <w:rsid w:val="00151486"/>
    <w:rsid w:val="001514E0"/>
    <w:rsid w:val="0015155E"/>
    <w:rsid w:val="00151658"/>
    <w:rsid w:val="00151663"/>
    <w:rsid w:val="00151695"/>
    <w:rsid w:val="001516E4"/>
    <w:rsid w:val="0015172E"/>
    <w:rsid w:val="00151742"/>
    <w:rsid w:val="001517E2"/>
    <w:rsid w:val="001517F9"/>
    <w:rsid w:val="00151B01"/>
    <w:rsid w:val="00151BA0"/>
    <w:rsid w:val="00151C8E"/>
    <w:rsid w:val="00151E65"/>
    <w:rsid w:val="00151E96"/>
    <w:rsid w:val="0015247B"/>
    <w:rsid w:val="001524D3"/>
    <w:rsid w:val="0015256B"/>
    <w:rsid w:val="001525B8"/>
    <w:rsid w:val="001525D8"/>
    <w:rsid w:val="00152628"/>
    <w:rsid w:val="00152796"/>
    <w:rsid w:val="001527C8"/>
    <w:rsid w:val="001527EE"/>
    <w:rsid w:val="001527F0"/>
    <w:rsid w:val="001528B7"/>
    <w:rsid w:val="00152912"/>
    <w:rsid w:val="00152A4A"/>
    <w:rsid w:val="00152B46"/>
    <w:rsid w:val="00152C27"/>
    <w:rsid w:val="00152CA6"/>
    <w:rsid w:val="00152E56"/>
    <w:rsid w:val="00152F9A"/>
    <w:rsid w:val="001530A3"/>
    <w:rsid w:val="001530FD"/>
    <w:rsid w:val="001531AE"/>
    <w:rsid w:val="0015337D"/>
    <w:rsid w:val="001533AC"/>
    <w:rsid w:val="001533CB"/>
    <w:rsid w:val="001533FE"/>
    <w:rsid w:val="001534F6"/>
    <w:rsid w:val="00153553"/>
    <w:rsid w:val="0015359A"/>
    <w:rsid w:val="00153677"/>
    <w:rsid w:val="0015376C"/>
    <w:rsid w:val="0015383C"/>
    <w:rsid w:val="0015385C"/>
    <w:rsid w:val="00153937"/>
    <w:rsid w:val="00153ABC"/>
    <w:rsid w:val="00153AF3"/>
    <w:rsid w:val="00153B1C"/>
    <w:rsid w:val="00153E44"/>
    <w:rsid w:val="00153F45"/>
    <w:rsid w:val="00153F52"/>
    <w:rsid w:val="00153F72"/>
    <w:rsid w:val="00153F86"/>
    <w:rsid w:val="00153F92"/>
    <w:rsid w:val="001541D4"/>
    <w:rsid w:val="001541F8"/>
    <w:rsid w:val="00154240"/>
    <w:rsid w:val="001542B2"/>
    <w:rsid w:val="001542DF"/>
    <w:rsid w:val="0015431E"/>
    <w:rsid w:val="00154364"/>
    <w:rsid w:val="00154546"/>
    <w:rsid w:val="00154661"/>
    <w:rsid w:val="001549AC"/>
    <w:rsid w:val="001549D7"/>
    <w:rsid w:val="001549E4"/>
    <w:rsid w:val="00154A2E"/>
    <w:rsid w:val="00154AF2"/>
    <w:rsid w:val="00154BA4"/>
    <w:rsid w:val="00154D93"/>
    <w:rsid w:val="00154DA0"/>
    <w:rsid w:val="00154DEA"/>
    <w:rsid w:val="00154E0D"/>
    <w:rsid w:val="00154E49"/>
    <w:rsid w:val="00154EE3"/>
    <w:rsid w:val="00154EF0"/>
    <w:rsid w:val="00155005"/>
    <w:rsid w:val="0015508A"/>
    <w:rsid w:val="0015509E"/>
    <w:rsid w:val="001552EC"/>
    <w:rsid w:val="00155470"/>
    <w:rsid w:val="001555C6"/>
    <w:rsid w:val="0015588F"/>
    <w:rsid w:val="001559DA"/>
    <w:rsid w:val="00155A9E"/>
    <w:rsid w:val="00155BBF"/>
    <w:rsid w:val="00155BD4"/>
    <w:rsid w:val="00155C71"/>
    <w:rsid w:val="00155CB4"/>
    <w:rsid w:val="00155D2E"/>
    <w:rsid w:val="00155D7D"/>
    <w:rsid w:val="00155E43"/>
    <w:rsid w:val="00155E6E"/>
    <w:rsid w:val="00156095"/>
    <w:rsid w:val="001562F9"/>
    <w:rsid w:val="0015639D"/>
    <w:rsid w:val="0015645F"/>
    <w:rsid w:val="00156505"/>
    <w:rsid w:val="001565D2"/>
    <w:rsid w:val="00156640"/>
    <w:rsid w:val="001566DE"/>
    <w:rsid w:val="001567AB"/>
    <w:rsid w:val="0015682F"/>
    <w:rsid w:val="00156D2A"/>
    <w:rsid w:val="00156EB4"/>
    <w:rsid w:val="00156FA6"/>
    <w:rsid w:val="0015701D"/>
    <w:rsid w:val="0015735A"/>
    <w:rsid w:val="00157398"/>
    <w:rsid w:val="00157434"/>
    <w:rsid w:val="0015749B"/>
    <w:rsid w:val="00157563"/>
    <w:rsid w:val="001575CB"/>
    <w:rsid w:val="00157647"/>
    <w:rsid w:val="00157707"/>
    <w:rsid w:val="00157822"/>
    <w:rsid w:val="00157860"/>
    <w:rsid w:val="001578D5"/>
    <w:rsid w:val="00157989"/>
    <w:rsid w:val="00157A7A"/>
    <w:rsid w:val="00157CE6"/>
    <w:rsid w:val="00157D6D"/>
    <w:rsid w:val="00157EB5"/>
    <w:rsid w:val="00157EDE"/>
    <w:rsid w:val="001600E8"/>
    <w:rsid w:val="00160167"/>
    <w:rsid w:val="00160184"/>
    <w:rsid w:val="001601C5"/>
    <w:rsid w:val="0016023B"/>
    <w:rsid w:val="001602B7"/>
    <w:rsid w:val="0016034C"/>
    <w:rsid w:val="0016037B"/>
    <w:rsid w:val="00160539"/>
    <w:rsid w:val="0016053C"/>
    <w:rsid w:val="00160A99"/>
    <w:rsid w:val="00160CF2"/>
    <w:rsid w:val="00160ECD"/>
    <w:rsid w:val="0016103F"/>
    <w:rsid w:val="00161105"/>
    <w:rsid w:val="001613FA"/>
    <w:rsid w:val="00161401"/>
    <w:rsid w:val="0016144C"/>
    <w:rsid w:val="00161515"/>
    <w:rsid w:val="001615DE"/>
    <w:rsid w:val="001616D1"/>
    <w:rsid w:val="001618B3"/>
    <w:rsid w:val="001618BA"/>
    <w:rsid w:val="0016191E"/>
    <w:rsid w:val="00161A7F"/>
    <w:rsid w:val="00161A94"/>
    <w:rsid w:val="00161B3E"/>
    <w:rsid w:val="00161BAF"/>
    <w:rsid w:val="00161BD4"/>
    <w:rsid w:val="00161C2D"/>
    <w:rsid w:val="00161CE2"/>
    <w:rsid w:val="00161DE9"/>
    <w:rsid w:val="00161F19"/>
    <w:rsid w:val="00162294"/>
    <w:rsid w:val="001623F7"/>
    <w:rsid w:val="00162544"/>
    <w:rsid w:val="00162631"/>
    <w:rsid w:val="001626B7"/>
    <w:rsid w:val="00162829"/>
    <w:rsid w:val="00162949"/>
    <w:rsid w:val="001629BB"/>
    <w:rsid w:val="001629DF"/>
    <w:rsid w:val="001629E6"/>
    <w:rsid w:val="00162B64"/>
    <w:rsid w:val="00162C6C"/>
    <w:rsid w:val="00162F11"/>
    <w:rsid w:val="00162F5B"/>
    <w:rsid w:val="0016314E"/>
    <w:rsid w:val="0016316F"/>
    <w:rsid w:val="001631BF"/>
    <w:rsid w:val="001636DD"/>
    <w:rsid w:val="00163814"/>
    <w:rsid w:val="00163C2D"/>
    <w:rsid w:val="00163C98"/>
    <w:rsid w:val="00163CB9"/>
    <w:rsid w:val="00163CCF"/>
    <w:rsid w:val="00163D79"/>
    <w:rsid w:val="00163D88"/>
    <w:rsid w:val="00163DA5"/>
    <w:rsid w:val="00163F9E"/>
    <w:rsid w:val="00163FA7"/>
    <w:rsid w:val="00164104"/>
    <w:rsid w:val="00164226"/>
    <w:rsid w:val="00164274"/>
    <w:rsid w:val="001642F8"/>
    <w:rsid w:val="0016467C"/>
    <w:rsid w:val="0016468F"/>
    <w:rsid w:val="00164A65"/>
    <w:rsid w:val="00164ABA"/>
    <w:rsid w:val="00164ACD"/>
    <w:rsid w:val="00164B20"/>
    <w:rsid w:val="00164B35"/>
    <w:rsid w:val="00164B68"/>
    <w:rsid w:val="00164C79"/>
    <w:rsid w:val="00164DEF"/>
    <w:rsid w:val="00164E1C"/>
    <w:rsid w:val="00164E3A"/>
    <w:rsid w:val="00164E59"/>
    <w:rsid w:val="00165056"/>
    <w:rsid w:val="001650B1"/>
    <w:rsid w:val="00165157"/>
    <w:rsid w:val="00165186"/>
    <w:rsid w:val="001651E5"/>
    <w:rsid w:val="00165225"/>
    <w:rsid w:val="00165321"/>
    <w:rsid w:val="0016532F"/>
    <w:rsid w:val="00165412"/>
    <w:rsid w:val="00165557"/>
    <w:rsid w:val="001656F2"/>
    <w:rsid w:val="0016584F"/>
    <w:rsid w:val="001658B6"/>
    <w:rsid w:val="001658FC"/>
    <w:rsid w:val="00165949"/>
    <w:rsid w:val="00165B17"/>
    <w:rsid w:val="00165C1C"/>
    <w:rsid w:val="00165C4B"/>
    <w:rsid w:val="00165DE7"/>
    <w:rsid w:val="00165DF1"/>
    <w:rsid w:val="00165F1B"/>
    <w:rsid w:val="00165FA9"/>
    <w:rsid w:val="001663F5"/>
    <w:rsid w:val="00166403"/>
    <w:rsid w:val="001664F6"/>
    <w:rsid w:val="001665AF"/>
    <w:rsid w:val="001665FC"/>
    <w:rsid w:val="00166608"/>
    <w:rsid w:val="001669DC"/>
    <w:rsid w:val="00166D22"/>
    <w:rsid w:val="00166EFC"/>
    <w:rsid w:val="00166FE0"/>
    <w:rsid w:val="0016703F"/>
    <w:rsid w:val="0016708F"/>
    <w:rsid w:val="001672C4"/>
    <w:rsid w:val="001673C3"/>
    <w:rsid w:val="00167434"/>
    <w:rsid w:val="001674BC"/>
    <w:rsid w:val="00167554"/>
    <w:rsid w:val="00167696"/>
    <w:rsid w:val="00167781"/>
    <w:rsid w:val="001678F3"/>
    <w:rsid w:val="00167A0E"/>
    <w:rsid w:val="00167A71"/>
    <w:rsid w:val="00167A8A"/>
    <w:rsid w:val="00167ABD"/>
    <w:rsid w:val="00167B29"/>
    <w:rsid w:val="00167DFF"/>
    <w:rsid w:val="00167EBE"/>
    <w:rsid w:val="00167ED0"/>
    <w:rsid w:val="00167EEA"/>
    <w:rsid w:val="00170013"/>
    <w:rsid w:val="001700A6"/>
    <w:rsid w:val="001700E5"/>
    <w:rsid w:val="0017031F"/>
    <w:rsid w:val="0017033A"/>
    <w:rsid w:val="00170422"/>
    <w:rsid w:val="00170452"/>
    <w:rsid w:val="0017046C"/>
    <w:rsid w:val="001704F0"/>
    <w:rsid w:val="0017065D"/>
    <w:rsid w:val="001707A2"/>
    <w:rsid w:val="001708B0"/>
    <w:rsid w:val="0017090C"/>
    <w:rsid w:val="00170915"/>
    <w:rsid w:val="0017097C"/>
    <w:rsid w:val="00170A42"/>
    <w:rsid w:val="00170A81"/>
    <w:rsid w:val="00170B8A"/>
    <w:rsid w:val="00170B9B"/>
    <w:rsid w:val="00170BC9"/>
    <w:rsid w:val="00170C07"/>
    <w:rsid w:val="00170C2A"/>
    <w:rsid w:val="00170C35"/>
    <w:rsid w:val="00170F56"/>
    <w:rsid w:val="00170F88"/>
    <w:rsid w:val="00171057"/>
    <w:rsid w:val="00171106"/>
    <w:rsid w:val="00171386"/>
    <w:rsid w:val="001713AB"/>
    <w:rsid w:val="0017140A"/>
    <w:rsid w:val="00171467"/>
    <w:rsid w:val="001715C0"/>
    <w:rsid w:val="0017163C"/>
    <w:rsid w:val="001716A9"/>
    <w:rsid w:val="001717C1"/>
    <w:rsid w:val="0017186A"/>
    <w:rsid w:val="001718B1"/>
    <w:rsid w:val="00171927"/>
    <w:rsid w:val="0017194E"/>
    <w:rsid w:val="00171A98"/>
    <w:rsid w:val="00171B5B"/>
    <w:rsid w:val="00171DF4"/>
    <w:rsid w:val="00171F4C"/>
    <w:rsid w:val="00171FD0"/>
    <w:rsid w:val="001720B8"/>
    <w:rsid w:val="001720DE"/>
    <w:rsid w:val="001723A0"/>
    <w:rsid w:val="001723CC"/>
    <w:rsid w:val="00172477"/>
    <w:rsid w:val="001724C3"/>
    <w:rsid w:val="001724FC"/>
    <w:rsid w:val="0017250D"/>
    <w:rsid w:val="001728B9"/>
    <w:rsid w:val="001728D2"/>
    <w:rsid w:val="001728D8"/>
    <w:rsid w:val="001728E2"/>
    <w:rsid w:val="001728F7"/>
    <w:rsid w:val="00172946"/>
    <w:rsid w:val="00172961"/>
    <w:rsid w:val="0017296F"/>
    <w:rsid w:val="00172978"/>
    <w:rsid w:val="001729EA"/>
    <w:rsid w:val="00172A3D"/>
    <w:rsid w:val="00172A59"/>
    <w:rsid w:val="00172B7C"/>
    <w:rsid w:val="00172BA9"/>
    <w:rsid w:val="00172BBF"/>
    <w:rsid w:val="00172DCD"/>
    <w:rsid w:val="00172F0D"/>
    <w:rsid w:val="00172F52"/>
    <w:rsid w:val="00172FBE"/>
    <w:rsid w:val="00172FC7"/>
    <w:rsid w:val="0017324F"/>
    <w:rsid w:val="001732A0"/>
    <w:rsid w:val="00173321"/>
    <w:rsid w:val="00173453"/>
    <w:rsid w:val="00173632"/>
    <w:rsid w:val="001736F6"/>
    <w:rsid w:val="0017372A"/>
    <w:rsid w:val="00173B28"/>
    <w:rsid w:val="00173B5D"/>
    <w:rsid w:val="00173E2B"/>
    <w:rsid w:val="00173F2E"/>
    <w:rsid w:val="00173F55"/>
    <w:rsid w:val="00174296"/>
    <w:rsid w:val="001744A4"/>
    <w:rsid w:val="001746B1"/>
    <w:rsid w:val="001746C5"/>
    <w:rsid w:val="00174701"/>
    <w:rsid w:val="00174707"/>
    <w:rsid w:val="0017478E"/>
    <w:rsid w:val="0017481F"/>
    <w:rsid w:val="00174875"/>
    <w:rsid w:val="0017495B"/>
    <w:rsid w:val="00174ACB"/>
    <w:rsid w:val="00174C9E"/>
    <w:rsid w:val="00174D6A"/>
    <w:rsid w:val="00174FC0"/>
    <w:rsid w:val="00175046"/>
    <w:rsid w:val="00175138"/>
    <w:rsid w:val="0017519D"/>
    <w:rsid w:val="00175650"/>
    <w:rsid w:val="0017575B"/>
    <w:rsid w:val="001757D2"/>
    <w:rsid w:val="00175868"/>
    <w:rsid w:val="00175966"/>
    <w:rsid w:val="00175A9E"/>
    <w:rsid w:val="00175D13"/>
    <w:rsid w:val="00175D79"/>
    <w:rsid w:val="00175EC3"/>
    <w:rsid w:val="00175F3A"/>
    <w:rsid w:val="00175FD3"/>
    <w:rsid w:val="0017601C"/>
    <w:rsid w:val="00176365"/>
    <w:rsid w:val="00176391"/>
    <w:rsid w:val="001764EE"/>
    <w:rsid w:val="00176529"/>
    <w:rsid w:val="00176720"/>
    <w:rsid w:val="0017675E"/>
    <w:rsid w:val="00176801"/>
    <w:rsid w:val="00176949"/>
    <w:rsid w:val="00176A6E"/>
    <w:rsid w:val="00176AF5"/>
    <w:rsid w:val="00176AFC"/>
    <w:rsid w:val="00176B37"/>
    <w:rsid w:val="00176BA7"/>
    <w:rsid w:val="00176D34"/>
    <w:rsid w:val="00177096"/>
    <w:rsid w:val="0017720E"/>
    <w:rsid w:val="00177287"/>
    <w:rsid w:val="00177443"/>
    <w:rsid w:val="001774D6"/>
    <w:rsid w:val="0017756D"/>
    <w:rsid w:val="0017759D"/>
    <w:rsid w:val="00177654"/>
    <w:rsid w:val="0017770E"/>
    <w:rsid w:val="00177986"/>
    <w:rsid w:val="00177A6B"/>
    <w:rsid w:val="00177A82"/>
    <w:rsid w:val="00177B3B"/>
    <w:rsid w:val="00177D4E"/>
    <w:rsid w:val="00177FF8"/>
    <w:rsid w:val="001800D9"/>
    <w:rsid w:val="00180250"/>
    <w:rsid w:val="0018036E"/>
    <w:rsid w:val="0018038B"/>
    <w:rsid w:val="001803F2"/>
    <w:rsid w:val="001805C0"/>
    <w:rsid w:val="0018064D"/>
    <w:rsid w:val="00180778"/>
    <w:rsid w:val="0018078B"/>
    <w:rsid w:val="001807EE"/>
    <w:rsid w:val="00180875"/>
    <w:rsid w:val="001808C2"/>
    <w:rsid w:val="001809B6"/>
    <w:rsid w:val="00180A97"/>
    <w:rsid w:val="00180AEF"/>
    <w:rsid w:val="00180BC4"/>
    <w:rsid w:val="00180BFA"/>
    <w:rsid w:val="00180CF9"/>
    <w:rsid w:val="00180E7D"/>
    <w:rsid w:val="00180F3B"/>
    <w:rsid w:val="00180F53"/>
    <w:rsid w:val="0018104A"/>
    <w:rsid w:val="001813FB"/>
    <w:rsid w:val="001813FC"/>
    <w:rsid w:val="0018144D"/>
    <w:rsid w:val="001814A2"/>
    <w:rsid w:val="001814ED"/>
    <w:rsid w:val="0018150F"/>
    <w:rsid w:val="00181533"/>
    <w:rsid w:val="001816BF"/>
    <w:rsid w:val="00181B0D"/>
    <w:rsid w:val="00181E6D"/>
    <w:rsid w:val="0018207D"/>
    <w:rsid w:val="0018217F"/>
    <w:rsid w:val="00182364"/>
    <w:rsid w:val="00182492"/>
    <w:rsid w:val="001825FF"/>
    <w:rsid w:val="001826D7"/>
    <w:rsid w:val="0018272A"/>
    <w:rsid w:val="00182776"/>
    <w:rsid w:val="00182836"/>
    <w:rsid w:val="001829BC"/>
    <w:rsid w:val="00182AE6"/>
    <w:rsid w:val="00182B5D"/>
    <w:rsid w:val="00182BD7"/>
    <w:rsid w:val="00182C70"/>
    <w:rsid w:val="00182D44"/>
    <w:rsid w:val="00182E75"/>
    <w:rsid w:val="00182FC5"/>
    <w:rsid w:val="00182FCC"/>
    <w:rsid w:val="00182FF9"/>
    <w:rsid w:val="00183019"/>
    <w:rsid w:val="001830A6"/>
    <w:rsid w:val="001830DE"/>
    <w:rsid w:val="0018324B"/>
    <w:rsid w:val="001832BA"/>
    <w:rsid w:val="00183347"/>
    <w:rsid w:val="001833B1"/>
    <w:rsid w:val="0018340F"/>
    <w:rsid w:val="00183433"/>
    <w:rsid w:val="001834F5"/>
    <w:rsid w:val="00183702"/>
    <w:rsid w:val="00183733"/>
    <w:rsid w:val="0018386C"/>
    <w:rsid w:val="0018396B"/>
    <w:rsid w:val="00183999"/>
    <w:rsid w:val="00183B40"/>
    <w:rsid w:val="00183DEB"/>
    <w:rsid w:val="00183DEF"/>
    <w:rsid w:val="00183DF6"/>
    <w:rsid w:val="00183E05"/>
    <w:rsid w:val="00183E11"/>
    <w:rsid w:val="00183E9E"/>
    <w:rsid w:val="00183F27"/>
    <w:rsid w:val="00184024"/>
    <w:rsid w:val="001840E5"/>
    <w:rsid w:val="00184255"/>
    <w:rsid w:val="00184291"/>
    <w:rsid w:val="00184413"/>
    <w:rsid w:val="00184483"/>
    <w:rsid w:val="00184537"/>
    <w:rsid w:val="0018456C"/>
    <w:rsid w:val="001845A3"/>
    <w:rsid w:val="001845E8"/>
    <w:rsid w:val="001845E9"/>
    <w:rsid w:val="0018463B"/>
    <w:rsid w:val="001846E4"/>
    <w:rsid w:val="001848B7"/>
    <w:rsid w:val="00184CEE"/>
    <w:rsid w:val="001850BE"/>
    <w:rsid w:val="00185214"/>
    <w:rsid w:val="00185308"/>
    <w:rsid w:val="00185370"/>
    <w:rsid w:val="001853D2"/>
    <w:rsid w:val="0018548B"/>
    <w:rsid w:val="00185525"/>
    <w:rsid w:val="001855AE"/>
    <w:rsid w:val="001855EF"/>
    <w:rsid w:val="0018561B"/>
    <w:rsid w:val="00185620"/>
    <w:rsid w:val="00185708"/>
    <w:rsid w:val="00185751"/>
    <w:rsid w:val="00185824"/>
    <w:rsid w:val="00185831"/>
    <w:rsid w:val="0018591E"/>
    <w:rsid w:val="001859BD"/>
    <w:rsid w:val="00185B0D"/>
    <w:rsid w:val="00185C10"/>
    <w:rsid w:val="00185C4E"/>
    <w:rsid w:val="00185C6E"/>
    <w:rsid w:val="00185C94"/>
    <w:rsid w:val="00185CD4"/>
    <w:rsid w:val="00185D61"/>
    <w:rsid w:val="00185D67"/>
    <w:rsid w:val="00185EF2"/>
    <w:rsid w:val="00185FF2"/>
    <w:rsid w:val="0018601D"/>
    <w:rsid w:val="001860D2"/>
    <w:rsid w:val="00186264"/>
    <w:rsid w:val="001862ED"/>
    <w:rsid w:val="00186564"/>
    <w:rsid w:val="00186656"/>
    <w:rsid w:val="00186798"/>
    <w:rsid w:val="001867B4"/>
    <w:rsid w:val="001867F0"/>
    <w:rsid w:val="0018685F"/>
    <w:rsid w:val="00186969"/>
    <w:rsid w:val="00186A61"/>
    <w:rsid w:val="00186C86"/>
    <w:rsid w:val="00186D33"/>
    <w:rsid w:val="00186FEC"/>
    <w:rsid w:val="0018710C"/>
    <w:rsid w:val="001871BE"/>
    <w:rsid w:val="00187353"/>
    <w:rsid w:val="00187376"/>
    <w:rsid w:val="0018746F"/>
    <w:rsid w:val="001874FD"/>
    <w:rsid w:val="00187595"/>
    <w:rsid w:val="001876EB"/>
    <w:rsid w:val="001877BE"/>
    <w:rsid w:val="00187955"/>
    <w:rsid w:val="00187B0A"/>
    <w:rsid w:val="00187B3D"/>
    <w:rsid w:val="00187E10"/>
    <w:rsid w:val="00187E6E"/>
    <w:rsid w:val="00187FB2"/>
    <w:rsid w:val="00190081"/>
    <w:rsid w:val="00190460"/>
    <w:rsid w:val="0019048F"/>
    <w:rsid w:val="00190723"/>
    <w:rsid w:val="00190817"/>
    <w:rsid w:val="001909B6"/>
    <w:rsid w:val="00190A29"/>
    <w:rsid w:val="00190A42"/>
    <w:rsid w:val="00190B7A"/>
    <w:rsid w:val="00190B85"/>
    <w:rsid w:val="00190C85"/>
    <w:rsid w:val="00190DAF"/>
    <w:rsid w:val="00190F07"/>
    <w:rsid w:val="001910D1"/>
    <w:rsid w:val="00191150"/>
    <w:rsid w:val="001911E1"/>
    <w:rsid w:val="00191347"/>
    <w:rsid w:val="0019135B"/>
    <w:rsid w:val="001913FF"/>
    <w:rsid w:val="001914CC"/>
    <w:rsid w:val="001914DE"/>
    <w:rsid w:val="00191521"/>
    <w:rsid w:val="00191641"/>
    <w:rsid w:val="001916FD"/>
    <w:rsid w:val="00191848"/>
    <w:rsid w:val="0019186D"/>
    <w:rsid w:val="001919CE"/>
    <w:rsid w:val="00191A74"/>
    <w:rsid w:val="00191A93"/>
    <w:rsid w:val="00191B29"/>
    <w:rsid w:val="00191B8A"/>
    <w:rsid w:val="00191C0D"/>
    <w:rsid w:val="00191CC0"/>
    <w:rsid w:val="00191D2C"/>
    <w:rsid w:val="00191F81"/>
    <w:rsid w:val="00191FDB"/>
    <w:rsid w:val="00192191"/>
    <w:rsid w:val="001922D4"/>
    <w:rsid w:val="00192469"/>
    <w:rsid w:val="001926FA"/>
    <w:rsid w:val="00192705"/>
    <w:rsid w:val="00192754"/>
    <w:rsid w:val="00192772"/>
    <w:rsid w:val="00192812"/>
    <w:rsid w:val="00192951"/>
    <w:rsid w:val="0019297B"/>
    <w:rsid w:val="00192BA1"/>
    <w:rsid w:val="00192C73"/>
    <w:rsid w:val="00192D04"/>
    <w:rsid w:val="00192D64"/>
    <w:rsid w:val="00192E48"/>
    <w:rsid w:val="00192ECB"/>
    <w:rsid w:val="00192EFB"/>
    <w:rsid w:val="001931EF"/>
    <w:rsid w:val="00193236"/>
    <w:rsid w:val="00193257"/>
    <w:rsid w:val="0019334C"/>
    <w:rsid w:val="001933B6"/>
    <w:rsid w:val="001933BF"/>
    <w:rsid w:val="0019348B"/>
    <w:rsid w:val="001935A5"/>
    <w:rsid w:val="001939DB"/>
    <w:rsid w:val="00193A32"/>
    <w:rsid w:val="00193AA6"/>
    <w:rsid w:val="00193ABC"/>
    <w:rsid w:val="00193AF9"/>
    <w:rsid w:val="00193B08"/>
    <w:rsid w:val="00193BEB"/>
    <w:rsid w:val="00193D6F"/>
    <w:rsid w:val="00193E68"/>
    <w:rsid w:val="00193E69"/>
    <w:rsid w:val="0019403C"/>
    <w:rsid w:val="0019403E"/>
    <w:rsid w:val="00194728"/>
    <w:rsid w:val="0019475F"/>
    <w:rsid w:val="001947D0"/>
    <w:rsid w:val="00194A19"/>
    <w:rsid w:val="00194B6A"/>
    <w:rsid w:val="00194CE1"/>
    <w:rsid w:val="00194CF5"/>
    <w:rsid w:val="00194D88"/>
    <w:rsid w:val="00194E05"/>
    <w:rsid w:val="00194E5C"/>
    <w:rsid w:val="00194EC7"/>
    <w:rsid w:val="0019516D"/>
    <w:rsid w:val="001951ED"/>
    <w:rsid w:val="00195202"/>
    <w:rsid w:val="00195291"/>
    <w:rsid w:val="001952EA"/>
    <w:rsid w:val="00195435"/>
    <w:rsid w:val="00195475"/>
    <w:rsid w:val="0019547E"/>
    <w:rsid w:val="001954E2"/>
    <w:rsid w:val="00195563"/>
    <w:rsid w:val="0019561D"/>
    <w:rsid w:val="0019566A"/>
    <w:rsid w:val="0019572A"/>
    <w:rsid w:val="001957EB"/>
    <w:rsid w:val="00195833"/>
    <w:rsid w:val="001959EE"/>
    <w:rsid w:val="00195A2D"/>
    <w:rsid w:val="00195B84"/>
    <w:rsid w:val="00195CC0"/>
    <w:rsid w:val="00195E95"/>
    <w:rsid w:val="00196023"/>
    <w:rsid w:val="0019606F"/>
    <w:rsid w:val="001960DC"/>
    <w:rsid w:val="00196211"/>
    <w:rsid w:val="00196264"/>
    <w:rsid w:val="001963C7"/>
    <w:rsid w:val="001963E2"/>
    <w:rsid w:val="0019644D"/>
    <w:rsid w:val="001965F8"/>
    <w:rsid w:val="00196759"/>
    <w:rsid w:val="0019675A"/>
    <w:rsid w:val="001967CA"/>
    <w:rsid w:val="001969B5"/>
    <w:rsid w:val="00196A80"/>
    <w:rsid w:val="00196BCD"/>
    <w:rsid w:val="00196DBA"/>
    <w:rsid w:val="00196EC0"/>
    <w:rsid w:val="001970DC"/>
    <w:rsid w:val="00197100"/>
    <w:rsid w:val="001971F3"/>
    <w:rsid w:val="0019720A"/>
    <w:rsid w:val="001972E3"/>
    <w:rsid w:val="001973C4"/>
    <w:rsid w:val="001974D0"/>
    <w:rsid w:val="001975D8"/>
    <w:rsid w:val="001977CF"/>
    <w:rsid w:val="00197877"/>
    <w:rsid w:val="001978C0"/>
    <w:rsid w:val="001978C5"/>
    <w:rsid w:val="0019790D"/>
    <w:rsid w:val="00197BC7"/>
    <w:rsid w:val="00197CAD"/>
    <w:rsid w:val="00197EF2"/>
    <w:rsid w:val="00197F55"/>
    <w:rsid w:val="001A002A"/>
    <w:rsid w:val="001A0111"/>
    <w:rsid w:val="001A012C"/>
    <w:rsid w:val="001A0188"/>
    <w:rsid w:val="001A01B7"/>
    <w:rsid w:val="001A01DB"/>
    <w:rsid w:val="001A0472"/>
    <w:rsid w:val="001A0729"/>
    <w:rsid w:val="001A08D6"/>
    <w:rsid w:val="001A09B9"/>
    <w:rsid w:val="001A0A00"/>
    <w:rsid w:val="001A0A91"/>
    <w:rsid w:val="001A0CE3"/>
    <w:rsid w:val="001A0CFB"/>
    <w:rsid w:val="001A0D29"/>
    <w:rsid w:val="001A0E2C"/>
    <w:rsid w:val="001A0E52"/>
    <w:rsid w:val="001A0EAE"/>
    <w:rsid w:val="001A0F26"/>
    <w:rsid w:val="001A0FFA"/>
    <w:rsid w:val="001A10AC"/>
    <w:rsid w:val="001A1186"/>
    <w:rsid w:val="001A11B0"/>
    <w:rsid w:val="001A1211"/>
    <w:rsid w:val="001A1225"/>
    <w:rsid w:val="001A157B"/>
    <w:rsid w:val="001A16D3"/>
    <w:rsid w:val="001A17B0"/>
    <w:rsid w:val="001A19E6"/>
    <w:rsid w:val="001A1A64"/>
    <w:rsid w:val="001A1AC7"/>
    <w:rsid w:val="001A1B20"/>
    <w:rsid w:val="001A1BC2"/>
    <w:rsid w:val="001A1BE2"/>
    <w:rsid w:val="001A1D9F"/>
    <w:rsid w:val="001A1E20"/>
    <w:rsid w:val="001A1F1C"/>
    <w:rsid w:val="001A2238"/>
    <w:rsid w:val="001A2271"/>
    <w:rsid w:val="001A23A3"/>
    <w:rsid w:val="001A2467"/>
    <w:rsid w:val="001A2475"/>
    <w:rsid w:val="001A24FF"/>
    <w:rsid w:val="001A25E9"/>
    <w:rsid w:val="001A2731"/>
    <w:rsid w:val="001A2949"/>
    <w:rsid w:val="001A29F9"/>
    <w:rsid w:val="001A29FC"/>
    <w:rsid w:val="001A2AB5"/>
    <w:rsid w:val="001A2AB8"/>
    <w:rsid w:val="001A2AF0"/>
    <w:rsid w:val="001A2B03"/>
    <w:rsid w:val="001A2B7D"/>
    <w:rsid w:val="001A2B82"/>
    <w:rsid w:val="001A2D40"/>
    <w:rsid w:val="001A2D66"/>
    <w:rsid w:val="001A2D98"/>
    <w:rsid w:val="001A2E7E"/>
    <w:rsid w:val="001A2F1D"/>
    <w:rsid w:val="001A2F76"/>
    <w:rsid w:val="001A2FCB"/>
    <w:rsid w:val="001A2FFB"/>
    <w:rsid w:val="001A30A9"/>
    <w:rsid w:val="001A3105"/>
    <w:rsid w:val="001A312D"/>
    <w:rsid w:val="001A31E4"/>
    <w:rsid w:val="001A32A3"/>
    <w:rsid w:val="001A3301"/>
    <w:rsid w:val="001A3317"/>
    <w:rsid w:val="001A336C"/>
    <w:rsid w:val="001A352C"/>
    <w:rsid w:val="001A3597"/>
    <w:rsid w:val="001A375A"/>
    <w:rsid w:val="001A39CF"/>
    <w:rsid w:val="001A39F6"/>
    <w:rsid w:val="001A3C6A"/>
    <w:rsid w:val="001A3CB6"/>
    <w:rsid w:val="001A3D28"/>
    <w:rsid w:val="001A3D7B"/>
    <w:rsid w:val="001A3D8E"/>
    <w:rsid w:val="001A3DBA"/>
    <w:rsid w:val="001A3E00"/>
    <w:rsid w:val="001A4173"/>
    <w:rsid w:val="001A43F4"/>
    <w:rsid w:val="001A4454"/>
    <w:rsid w:val="001A45CE"/>
    <w:rsid w:val="001A469D"/>
    <w:rsid w:val="001A46BF"/>
    <w:rsid w:val="001A46C8"/>
    <w:rsid w:val="001A480C"/>
    <w:rsid w:val="001A4A40"/>
    <w:rsid w:val="001A4C81"/>
    <w:rsid w:val="001A4CEB"/>
    <w:rsid w:val="001A518A"/>
    <w:rsid w:val="001A51CC"/>
    <w:rsid w:val="001A5241"/>
    <w:rsid w:val="001A52D2"/>
    <w:rsid w:val="001A5766"/>
    <w:rsid w:val="001A59EB"/>
    <w:rsid w:val="001A5A51"/>
    <w:rsid w:val="001A5BAB"/>
    <w:rsid w:val="001A5C2C"/>
    <w:rsid w:val="001A5C59"/>
    <w:rsid w:val="001A61AB"/>
    <w:rsid w:val="001A6234"/>
    <w:rsid w:val="001A6427"/>
    <w:rsid w:val="001A64FD"/>
    <w:rsid w:val="001A65A9"/>
    <w:rsid w:val="001A65BD"/>
    <w:rsid w:val="001A65F1"/>
    <w:rsid w:val="001A6631"/>
    <w:rsid w:val="001A6677"/>
    <w:rsid w:val="001A68C3"/>
    <w:rsid w:val="001A6A1E"/>
    <w:rsid w:val="001A6B2F"/>
    <w:rsid w:val="001A6C58"/>
    <w:rsid w:val="001A6C7B"/>
    <w:rsid w:val="001A6DF8"/>
    <w:rsid w:val="001A6FF1"/>
    <w:rsid w:val="001A7108"/>
    <w:rsid w:val="001A7259"/>
    <w:rsid w:val="001A7286"/>
    <w:rsid w:val="001A7445"/>
    <w:rsid w:val="001A7587"/>
    <w:rsid w:val="001A75B1"/>
    <w:rsid w:val="001A75D8"/>
    <w:rsid w:val="001A7601"/>
    <w:rsid w:val="001A760A"/>
    <w:rsid w:val="001A7635"/>
    <w:rsid w:val="001A7984"/>
    <w:rsid w:val="001A7A3F"/>
    <w:rsid w:val="001A7AD4"/>
    <w:rsid w:val="001A7ADC"/>
    <w:rsid w:val="001A7B8A"/>
    <w:rsid w:val="001A7BBB"/>
    <w:rsid w:val="001A7E35"/>
    <w:rsid w:val="001A7ED5"/>
    <w:rsid w:val="001A7ED8"/>
    <w:rsid w:val="001A7F00"/>
    <w:rsid w:val="001B003A"/>
    <w:rsid w:val="001B007C"/>
    <w:rsid w:val="001B009F"/>
    <w:rsid w:val="001B012F"/>
    <w:rsid w:val="001B029D"/>
    <w:rsid w:val="001B0335"/>
    <w:rsid w:val="001B0337"/>
    <w:rsid w:val="001B0567"/>
    <w:rsid w:val="001B05FF"/>
    <w:rsid w:val="001B06CC"/>
    <w:rsid w:val="001B074D"/>
    <w:rsid w:val="001B090C"/>
    <w:rsid w:val="001B0A28"/>
    <w:rsid w:val="001B0C1E"/>
    <w:rsid w:val="001B0C57"/>
    <w:rsid w:val="001B0DD1"/>
    <w:rsid w:val="001B0EAB"/>
    <w:rsid w:val="001B100F"/>
    <w:rsid w:val="001B10E2"/>
    <w:rsid w:val="001B1177"/>
    <w:rsid w:val="001B121C"/>
    <w:rsid w:val="001B1353"/>
    <w:rsid w:val="001B1443"/>
    <w:rsid w:val="001B15C8"/>
    <w:rsid w:val="001B17BD"/>
    <w:rsid w:val="001B18F0"/>
    <w:rsid w:val="001B19B4"/>
    <w:rsid w:val="001B19B5"/>
    <w:rsid w:val="001B1A55"/>
    <w:rsid w:val="001B1BD0"/>
    <w:rsid w:val="001B1D5D"/>
    <w:rsid w:val="001B1DB8"/>
    <w:rsid w:val="001B1FB1"/>
    <w:rsid w:val="001B2138"/>
    <w:rsid w:val="001B214F"/>
    <w:rsid w:val="001B2238"/>
    <w:rsid w:val="001B224F"/>
    <w:rsid w:val="001B228B"/>
    <w:rsid w:val="001B22BB"/>
    <w:rsid w:val="001B23A1"/>
    <w:rsid w:val="001B23B0"/>
    <w:rsid w:val="001B25D9"/>
    <w:rsid w:val="001B2627"/>
    <w:rsid w:val="001B26C0"/>
    <w:rsid w:val="001B27FC"/>
    <w:rsid w:val="001B2874"/>
    <w:rsid w:val="001B2885"/>
    <w:rsid w:val="001B2A5E"/>
    <w:rsid w:val="001B2C3E"/>
    <w:rsid w:val="001B2D15"/>
    <w:rsid w:val="001B2E08"/>
    <w:rsid w:val="001B30B2"/>
    <w:rsid w:val="001B3131"/>
    <w:rsid w:val="001B3178"/>
    <w:rsid w:val="001B3240"/>
    <w:rsid w:val="001B3262"/>
    <w:rsid w:val="001B3268"/>
    <w:rsid w:val="001B3348"/>
    <w:rsid w:val="001B338E"/>
    <w:rsid w:val="001B3577"/>
    <w:rsid w:val="001B3664"/>
    <w:rsid w:val="001B36BD"/>
    <w:rsid w:val="001B384D"/>
    <w:rsid w:val="001B38E5"/>
    <w:rsid w:val="001B3929"/>
    <w:rsid w:val="001B39BD"/>
    <w:rsid w:val="001B3AB9"/>
    <w:rsid w:val="001B3AFF"/>
    <w:rsid w:val="001B3D6C"/>
    <w:rsid w:val="001B3D73"/>
    <w:rsid w:val="001B3DA2"/>
    <w:rsid w:val="001B3E80"/>
    <w:rsid w:val="001B3E8D"/>
    <w:rsid w:val="001B3EDD"/>
    <w:rsid w:val="001B3F14"/>
    <w:rsid w:val="001B4082"/>
    <w:rsid w:val="001B40ED"/>
    <w:rsid w:val="001B415C"/>
    <w:rsid w:val="001B4192"/>
    <w:rsid w:val="001B42A3"/>
    <w:rsid w:val="001B4321"/>
    <w:rsid w:val="001B442A"/>
    <w:rsid w:val="001B447D"/>
    <w:rsid w:val="001B453D"/>
    <w:rsid w:val="001B464D"/>
    <w:rsid w:val="001B47EA"/>
    <w:rsid w:val="001B4884"/>
    <w:rsid w:val="001B48E9"/>
    <w:rsid w:val="001B494B"/>
    <w:rsid w:val="001B4A01"/>
    <w:rsid w:val="001B4A03"/>
    <w:rsid w:val="001B4AF6"/>
    <w:rsid w:val="001B4AF7"/>
    <w:rsid w:val="001B4B3D"/>
    <w:rsid w:val="001B4D39"/>
    <w:rsid w:val="001B4D43"/>
    <w:rsid w:val="001B4D93"/>
    <w:rsid w:val="001B4EF5"/>
    <w:rsid w:val="001B4F26"/>
    <w:rsid w:val="001B4F79"/>
    <w:rsid w:val="001B5146"/>
    <w:rsid w:val="001B5199"/>
    <w:rsid w:val="001B5547"/>
    <w:rsid w:val="001B55BF"/>
    <w:rsid w:val="001B564B"/>
    <w:rsid w:val="001B5684"/>
    <w:rsid w:val="001B597C"/>
    <w:rsid w:val="001B5A2F"/>
    <w:rsid w:val="001B5A4D"/>
    <w:rsid w:val="001B5AC1"/>
    <w:rsid w:val="001B5B21"/>
    <w:rsid w:val="001B5D81"/>
    <w:rsid w:val="001B5DC7"/>
    <w:rsid w:val="001B5F6A"/>
    <w:rsid w:val="001B620C"/>
    <w:rsid w:val="001B622B"/>
    <w:rsid w:val="001B63CA"/>
    <w:rsid w:val="001B647D"/>
    <w:rsid w:val="001B64F2"/>
    <w:rsid w:val="001B6597"/>
    <w:rsid w:val="001B6695"/>
    <w:rsid w:val="001B6755"/>
    <w:rsid w:val="001B6814"/>
    <w:rsid w:val="001B694D"/>
    <w:rsid w:val="001B69CA"/>
    <w:rsid w:val="001B69DA"/>
    <w:rsid w:val="001B6A5A"/>
    <w:rsid w:val="001B6B0D"/>
    <w:rsid w:val="001B6BB2"/>
    <w:rsid w:val="001B6CC5"/>
    <w:rsid w:val="001B6DAF"/>
    <w:rsid w:val="001B6EEE"/>
    <w:rsid w:val="001B6F2C"/>
    <w:rsid w:val="001B7170"/>
    <w:rsid w:val="001B744B"/>
    <w:rsid w:val="001B78DF"/>
    <w:rsid w:val="001B795C"/>
    <w:rsid w:val="001B7BB8"/>
    <w:rsid w:val="001B7BC4"/>
    <w:rsid w:val="001B7BF8"/>
    <w:rsid w:val="001B7C08"/>
    <w:rsid w:val="001B7D8C"/>
    <w:rsid w:val="001B7EB1"/>
    <w:rsid w:val="001C0015"/>
    <w:rsid w:val="001C0058"/>
    <w:rsid w:val="001C0061"/>
    <w:rsid w:val="001C0101"/>
    <w:rsid w:val="001C013F"/>
    <w:rsid w:val="001C01DE"/>
    <w:rsid w:val="001C020F"/>
    <w:rsid w:val="001C02A8"/>
    <w:rsid w:val="001C0424"/>
    <w:rsid w:val="001C0498"/>
    <w:rsid w:val="001C0585"/>
    <w:rsid w:val="001C0589"/>
    <w:rsid w:val="001C0788"/>
    <w:rsid w:val="001C0888"/>
    <w:rsid w:val="001C08F1"/>
    <w:rsid w:val="001C09E4"/>
    <w:rsid w:val="001C0CDE"/>
    <w:rsid w:val="001C0D2A"/>
    <w:rsid w:val="001C0DCE"/>
    <w:rsid w:val="001C0DDC"/>
    <w:rsid w:val="001C0E10"/>
    <w:rsid w:val="001C0E25"/>
    <w:rsid w:val="001C1015"/>
    <w:rsid w:val="001C134F"/>
    <w:rsid w:val="001C1401"/>
    <w:rsid w:val="001C14A7"/>
    <w:rsid w:val="001C14B3"/>
    <w:rsid w:val="001C1631"/>
    <w:rsid w:val="001C17D6"/>
    <w:rsid w:val="001C18C8"/>
    <w:rsid w:val="001C18CD"/>
    <w:rsid w:val="001C1A2E"/>
    <w:rsid w:val="001C1A51"/>
    <w:rsid w:val="001C1B7D"/>
    <w:rsid w:val="001C1BDC"/>
    <w:rsid w:val="001C1C1E"/>
    <w:rsid w:val="001C1CA9"/>
    <w:rsid w:val="001C1CD2"/>
    <w:rsid w:val="001C1D34"/>
    <w:rsid w:val="001C1DAF"/>
    <w:rsid w:val="001C1EE0"/>
    <w:rsid w:val="001C208A"/>
    <w:rsid w:val="001C20CC"/>
    <w:rsid w:val="001C21C4"/>
    <w:rsid w:val="001C21E9"/>
    <w:rsid w:val="001C22FC"/>
    <w:rsid w:val="001C2318"/>
    <w:rsid w:val="001C24D3"/>
    <w:rsid w:val="001C24EB"/>
    <w:rsid w:val="001C2599"/>
    <w:rsid w:val="001C2656"/>
    <w:rsid w:val="001C2726"/>
    <w:rsid w:val="001C273D"/>
    <w:rsid w:val="001C275F"/>
    <w:rsid w:val="001C2846"/>
    <w:rsid w:val="001C28DE"/>
    <w:rsid w:val="001C2A0C"/>
    <w:rsid w:val="001C2AC6"/>
    <w:rsid w:val="001C2B8F"/>
    <w:rsid w:val="001C2D6C"/>
    <w:rsid w:val="001C2D85"/>
    <w:rsid w:val="001C2DCD"/>
    <w:rsid w:val="001C2F69"/>
    <w:rsid w:val="001C301F"/>
    <w:rsid w:val="001C307B"/>
    <w:rsid w:val="001C311F"/>
    <w:rsid w:val="001C3198"/>
    <w:rsid w:val="001C31E0"/>
    <w:rsid w:val="001C32D1"/>
    <w:rsid w:val="001C337E"/>
    <w:rsid w:val="001C34AF"/>
    <w:rsid w:val="001C34E4"/>
    <w:rsid w:val="001C350F"/>
    <w:rsid w:val="001C3516"/>
    <w:rsid w:val="001C35BD"/>
    <w:rsid w:val="001C3758"/>
    <w:rsid w:val="001C380B"/>
    <w:rsid w:val="001C3864"/>
    <w:rsid w:val="001C39D2"/>
    <w:rsid w:val="001C3A27"/>
    <w:rsid w:val="001C3B3C"/>
    <w:rsid w:val="001C3CD5"/>
    <w:rsid w:val="001C3DDD"/>
    <w:rsid w:val="001C3E1C"/>
    <w:rsid w:val="001C40C0"/>
    <w:rsid w:val="001C416B"/>
    <w:rsid w:val="001C4240"/>
    <w:rsid w:val="001C43AA"/>
    <w:rsid w:val="001C44B0"/>
    <w:rsid w:val="001C4725"/>
    <w:rsid w:val="001C4899"/>
    <w:rsid w:val="001C4953"/>
    <w:rsid w:val="001C4A87"/>
    <w:rsid w:val="001C4B65"/>
    <w:rsid w:val="001C4C06"/>
    <w:rsid w:val="001C4CB4"/>
    <w:rsid w:val="001C4D4C"/>
    <w:rsid w:val="001C4EFD"/>
    <w:rsid w:val="001C4F4E"/>
    <w:rsid w:val="001C50B5"/>
    <w:rsid w:val="001C510E"/>
    <w:rsid w:val="001C5151"/>
    <w:rsid w:val="001C5174"/>
    <w:rsid w:val="001C52F8"/>
    <w:rsid w:val="001C545D"/>
    <w:rsid w:val="001C546B"/>
    <w:rsid w:val="001C54E5"/>
    <w:rsid w:val="001C5674"/>
    <w:rsid w:val="001C5730"/>
    <w:rsid w:val="001C57A8"/>
    <w:rsid w:val="001C588C"/>
    <w:rsid w:val="001C592A"/>
    <w:rsid w:val="001C5C68"/>
    <w:rsid w:val="001C5C80"/>
    <w:rsid w:val="001C5D88"/>
    <w:rsid w:val="001C5DBD"/>
    <w:rsid w:val="001C5DE0"/>
    <w:rsid w:val="001C5EC5"/>
    <w:rsid w:val="001C5F29"/>
    <w:rsid w:val="001C5F3D"/>
    <w:rsid w:val="001C5F93"/>
    <w:rsid w:val="001C5FE2"/>
    <w:rsid w:val="001C603F"/>
    <w:rsid w:val="001C607E"/>
    <w:rsid w:val="001C6103"/>
    <w:rsid w:val="001C623C"/>
    <w:rsid w:val="001C623F"/>
    <w:rsid w:val="001C6302"/>
    <w:rsid w:val="001C6371"/>
    <w:rsid w:val="001C638D"/>
    <w:rsid w:val="001C63F7"/>
    <w:rsid w:val="001C6410"/>
    <w:rsid w:val="001C6505"/>
    <w:rsid w:val="001C6512"/>
    <w:rsid w:val="001C670A"/>
    <w:rsid w:val="001C6805"/>
    <w:rsid w:val="001C6856"/>
    <w:rsid w:val="001C68D1"/>
    <w:rsid w:val="001C6938"/>
    <w:rsid w:val="001C6960"/>
    <w:rsid w:val="001C6BA0"/>
    <w:rsid w:val="001C6C67"/>
    <w:rsid w:val="001C6DD8"/>
    <w:rsid w:val="001C6E93"/>
    <w:rsid w:val="001C6F24"/>
    <w:rsid w:val="001C6FF8"/>
    <w:rsid w:val="001C71C7"/>
    <w:rsid w:val="001C72AA"/>
    <w:rsid w:val="001C7364"/>
    <w:rsid w:val="001C7446"/>
    <w:rsid w:val="001C7636"/>
    <w:rsid w:val="001C7687"/>
    <w:rsid w:val="001C7752"/>
    <w:rsid w:val="001C7774"/>
    <w:rsid w:val="001C77B0"/>
    <w:rsid w:val="001C799A"/>
    <w:rsid w:val="001C7AC9"/>
    <w:rsid w:val="001C7B13"/>
    <w:rsid w:val="001C7B72"/>
    <w:rsid w:val="001C7BBA"/>
    <w:rsid w:val="001C7D0F"/>
    <w:rsid w:val="001C7D4C"/>
    <w:rsid w:val="001C7D59"/>
    <w:rsid w:val="001C7DAC"/>
    <w:rsid w:val="001C7FE2"/>
    <w:rsid w:val="001D003B"/>
    <w:rsid w:val="001D003E"/>
    <w:rsid w:val="001D0152"/>
    <w:rsid w:val="001D0275"/>
    <w:rsid w:val="001D036D"/>
    <w:rsid w:val="001D03E1"/>
    <w:rsid w:val="001D04D5"/>
    <w:rsid w:val="001D0594"/>
    <w:rsid w:val="001D05F7"/>
    <w:rsid w:val="001D061A"/>
    <w:rsid w:val="001D06BC"/>
    <w:rsid w:val="001D073E"/>
    <w:rsid w:val="001D08E8"/>
    <w:rsid w:val="001D097D"/>
    <w:rsid w:val="001D09DE"/>
    <w:rsid w:val="001D0A5C"/>
    <w:rsid w:val="001D0A79"/>
    <w:rsid w:val="001D0A98"/>
    <w:rsid w:val="001D0AE5"/>
    <w:rsid w:val="001D0D0D"/>
    <w:rsid w:val="001D0F1C"/>
    <w:rsid w:val="001D1155"/>
    <w:rsid w:val="001D1192"/>
    <w:rsid w:val="001D122B"/>
    <w:rsid w:val="001D12A3"/>
    <w:rsid w:val="001D1305"/>
    <w:rsid w:val="001D1316"/>
    <w:rsid w:val="001D1331"/>
    <w:rsid w:val="001D136B"/>
    <w:rsid w:val="001D13CB"/>
    <w:rsid w:val="001D1441"/>
    <w:rsid w:val="001D1471"/>
    <w:rsid w:val="001D1512"/>
    <w:rsid w:val="001D1554"/>
    <w:rsid w:val="001D1729"/>
    <w:rsid w:val="001D1760"/>
    <w:rsid w:val="001D189D"/>
    <w:rsid w:val="001D18D7"/>
    <w:rsid w:val="001D18E2"/>
    <w:rsid w:val="001D1A31"/>
    <w:rsid w:val="001D1CAE"/>
    <w:rsid w:val="001D1DD0"/>
    <w:rsid w:val="001D1E41"/>
    <w:rsid w:val="001D1F64"/>
    <w:rsid w:val="001D20B0"/>
    <w:rsid w:val="001D2287"/>
    <w:rsid w:val="001D2337"/>
    <w:rsid w:val="001D239D"/>
    <w:rsid w:val="001D23C4"/>
    <w:rsid w:val="001D2417"/>
    <w:rsid w:val="001D24EF"/>
    <w:rsid w:val="001D25BA"/>
    <w:rsid w:val="001D2662"/>
    <w:rsid w:val="001D2690"/>
    <w:rsid w:val="001D26A2"/>
    <w:rsid w:val="001D27C1"/>
    <w:rsid w:val="001D27D6"/>
    <w:rsid w:val="001D28A6"/>
    <w:rsid w:val="001D28F0"/>
    <w:rsid w:val="001D296A"/>
    <w:rsid w:val="001D29FC"/>
    <w:rsid w:val="001D2B86"/>
    <w:rsid w:val="001D2C06"/>
    <w:rsid w:val="001D2C6D"/>
    <w:rsid w:val="001D2DAB"/>
    <w:rsid w:val="001D2DC3"/>
    <w:rsid w:val="001D2E97"/>
    <w:rsid w:val="001D30CE"/>
    <w:rsid w:val="001D3480"/>
    <w:rsid w:val="001D3622"/>
    <w:rsid w:val="001D369E"/>
    <w:rsid w:val="001D36C8"/>
    <w:rsid w:val="001D374D"/>
    <w:rsid w:val="001D37CB"/>
    <w:rsid w:val="001D3934"/>
    <w:rsid w:val="001D3DE4"/>
    <w:rsid w:val="001D3DF1"/>
    <w:rsid w:val="001D3F2F"/>
    <w:rsid w:val="001D3F75"/>
    <w:rsid w:val="001D4068"/>
    <w:rsid w:val="001D406F"/>
    <w:rsid w:val="001D4073"/>
    <w:rsid w:val="001D4113"/>
    <w:rsid w:val="001D4141"/>
    <w:rsid w:val="001D427A"/>
    <w:rsid w:val="001D43AD"/>
    <w:rsid w:val="001D43C3"/>
    <w:rsid w:val="001D43D6"/>
    <w:rsid w:val="001D4497"/>
    <w:rsid w:val="001D476D"/>
    <w:rsid w:val="001D47D4"/>
    <w:rsid w:val="001D4A31"/>
    <w:rsid w:val="001D4D3A"/>
    <w:rsid w:val="001D4E1E"/>
    <w:rsid w:val="001D4E73"/>
    <w:rsid w:val="001D5061"/>
    <w:rsid w:val="001D50F2"/>
    <w:rsid w:val="001D51B8"/>
    <w:rsid w:val="001D520C"/>
    <w:rsid w:val="001D525B"/>
    <w:rsid w:val="001D527A"/>
    <w:rsid w:val="001D5374"/>
    <w:rsid w:val="001D544D"/>
    <w:rsid w:val="001D5621"/>
    <w:rsid w:val="001D5650"/>
    <w:rsid w:val="001D568C"/>
    <w:rsid w:val="001D5698"/>
    <w:rsid w:val="001D571D"/>
    <w:rsid w:val="001D575C"/>
    <w:rsid w:val="001D57C5"/>
    <w:rsid w:val="001D59AA"/>
    <w:rsid w:val="001D59EC"/>
    <w:rsid w:val="001D5ACD"/>
    <w:rsid w:val="001D5BD4"/>
    <w:rsid w:val="001D5E0D"/>
    <w:rsid w:val="001D5FC5"/>
    <w:rsid w:val="001D60E8"/>
    <w:rsid w:val="001D6197"/>
    <w:rsid w:val="001D628C"/>
    <w:rsid w:val="001D62A5"/>
    <w:rsid w:val="001D6316"/>
    <w:rsid w:val="001D6363"/>
    <w:rsid w:val="001D63CB"/>
    <w:rsid w:val="001D64A6"/>
    <w:rsid w:val="001D67EC"/>
    <w:rsid w:val="001D68AB"/>
    <w:rsid w:val="001D691C"/>
    <w:rsid w:val="001D69D1"/>
    <w:rsid w:val="001D6B36"/>
    <w:rsid w:val="001D6BCD"/>
    <w:rsid w:val="001D6C1F"/>
    <w:rsid w:val="001D6C43"/>
    <w:rsid w:val="001D6C64"/>
    <w:rsid w:val="001D6CBC"/>
    <w:rsid w:val="001D6D40"/>
    <w:rsid w:val="001D70B2"/>
    <w:rsid w:val="001D70CC"/>
    <w:rsid w:val="001D718E"/>
    <w:rsid w:val="001D7210"/>
    <w:rsid w:val="001D7213"/>
    <w:rsid w:val="001D733E"/>
    <w:rsid w:val="001D73AA"/>
    <w:rsid w:val="001D73F6"/>
    <w:rsid w:val="001D74B2"/>
    <w:rsid w:val="001D74B8"/>
    <w:rsid w:val="001D74FF"/>
    <w:rsid w:val="001D7566"/>
    <w:rsid w:val="001D7692"/>
    <w:rsid w:val="001D773C"/>
    <w:rsid w:val="001D775F"/>
    <w:rsid w:val="001D78BD"/>
    <w:rsid w:val="001D7901"/>
    <w:rsid w:val="001D79AC"/>
    <w:rsid w:val="001D79DB"/>
    <w:rsid w:val="001D7A28"/>
    <w:rsid w:val="001D7A4A"/>
    <w:rsid w:val="001D7BF1"/>
    <w:rsid w:val="001D7CAD"/>
    <w:rsid w:val="001D7D43"/>
    <w:rsid w:val="001D7DD8"/>
    <w:rsid w:val="001D7E08"/>
    <w:rsid w:val="001D7E9D"/>
    <w:rsid w:val="001D7FA5"/>
    <w:rsid w:val="001D7FAC"/>
    <w:rsid w:val="001E0047"/>
    <w:rsid w:val="001E00E8"/>
    <w:rsid w:val="001E012E"/>
    <w:rsid w:val="001E01F8"/>
    <w:rsid w:val="001E039E"/>
    <w:rsid w:val="001E03A7"/>
    <w:rsid w:val="001E0448"/>
    <w:rsid w:val="001E048D"/>
    <w:rsid w:val="001E0555"/>
    <w:rsid w:val="001E065A"/>
    <w:rsid w:val="001E072D"/>
    <w:rsid w:val="001E08A7"/>
    <w:rsid w:val="001E08EA"/>
    <w:rsid w:val="001E098F"/>
    <w:rsid w:val="001E0A65"/>
    <w:rsid w:val="001E0B09"/>
    <w:rsid w:val="001E0B0F"/>
    <w:rsid w:val="001E0B31"/>
    <w:rsid w:val="001E0C0D"/>
    <w:rsid w:val="001E0C93"/>
    <w:rsid w:val="001E0E1A"/>
    <w:rsid w:val="001E105F"/>
    <w:rsid w:val="001E1177"/>
    <w:rsid w:val="001E1278"/>
    <w:rsid w:val="001E12EF"/>
    <w:rsid w:val="001E13E7"/>
    <w:rsid w:val="001E146A"/>
    <w:rsid w:val="001E149F"/>
    <w:rsid w:val="001E1575"/>
    <w:rsid w:val="001E1760"/>
    <w:rsid w:val="001E1865"/>
    <w:rsid w:val="001E19CF"/>
    <w:rsid w:val="001E1A57"/>
    <w:rsid w:val="001E1A5B"/>
    <w:rsid w:val="001E1B74"/>
    <w:rsid w:val="001E1C23"/>
    <w:rsid w:val="001E1C6F"/>
    <w:rsid w:val="001E1C8C"/>
    <w:rsid w:val="001E1D40"/>
    <w:rsid w:val="001E1E12"/>
    <w:rsid w:val="001E1F11"/>
    <w:rsid w:val="001E1F25"/>
    <w:rsid w:val="001E1F35"/>
    <w:rsid w:val="001E1FC5"/>
    <w:rsid w:val="001E1FCF"/>
    <w:rsid w:val="001E20A2"/>
    <w:rsid w:val="001E21D2"/>
    <w:rsid w:val="001E22CB"/>
    <w:rsid w:val="001E230E"/>
    <w:rsid w:val="001E2340"/>
    <w:rsid w:val="001E23A2"/>
    <w:rsid w:val="001E241D"/>
    <w:rsid w:val="001E251B"/>
    <w:rsid w:val="001E2787"/>
    <w:rsid w:val="001E27DA"/>
    <w:rsid w:val="001E2844"/>
    <w:rsid w:val="001E2989"/>
    <w:rsid w:val="001E2A49"/>
    <w:rsid w:val="001E2BD8"/>
    <w:rsid w:val="001E2BEE"/>
    <w:rsid w:val="001E2E48"/>
    <w:rsid w:val="001E2FDF"/>
    <w:rsid w:val="001E315B"/>
    <w:rsid w:val="001E32AE"/>
    <w:rsid w:val="001E3367"/>
    <w:rsid w:val="001E33A9"/>
    <w:rsid w:val="001E33AC"/>
    <w:rsid w:val="001E3648"/>
    <w:rsid w:val="001E379C"/>
    <w:rsid w:val="001E37BA"/>
    <w:rsid w:val="001E38BF"/>
    <w:rsid w:val="001E395C"/>
    <w:rsid w:val="001E3ACF"/>
    <w:rsid w:val="001E3C07"/>
    <w:rsid w:val="001E3C89"/>
    <w:rsid w:val="001E3C8A"/>
    <w:rsid w:val="001E3C95"/>
    <w:rsid w:val="001E3CE3"/>
    <w:rsid w:val="001E3E8A"/>
    <w:rsid w:val="001E3EA3"/>
    <w:rsid w:val="001E3F14"/>
    <w:rsid w:val="001E3F17"/>
    <w:rsid w:val="001E4123"/>
    <w:rsid w:val="001E41D1"/>
    <w:rsid w:val="001E42A7"/>
    <w:rsid w:val="001E4337"/>
    <w:rsid w:val="001E437A"/>
    <w:rsid w:val="001E447E"/>
    <w:rsid w:val="001E474C"/>
    <w:rsid w:val="001E4804"/>
    <w:rsid w:val="001E491C"/>
    <w:rsid w:val="001E4A9B"/>
    <w:rsid w:val="001E4AA2"/>
    <w:rsid w:val="001E4BA3"/>
    <w:rsid w:val="001E4BFE"/>
    <w:rsid w:val="001E4C25"/>
    <w:rsid w:val="001E4C6E"/>
    <w:rsid w:val="001E4C92"/>
    <w:rsid w:val="001E4CA5"/>
    <w:rsid w:val="001E4D5C"/>
    <w:rsid w:val="001E4DE9"/>
    <w:rsid w:val="001E4EB3"/>
    <w:rsid w:val="001E5046"/>
    <w:rsid w:val="001E50E9"/>
    <w:rsid w:val="001E5196"/>
    <w:rsid w:val="001E5425"/>
    <w:rsid w:val="001E5637"/>
    <w:rsid w:val="001E56BB"/>
    <w:rsid w:val="001E598D"/>
    <w:rsid w:val="001E5995"/>
    <w:rsid w:val="001E59A1"/>
    <w:rsid w:val="001E59AB"/>
    <w:rsid w:val="001E5AA0"/>
    <w:rsid w:val="001E5C4E"/>
    <w:rsid w:val="001E5EB9"/>
    <w:rsid w:val="001E5F22"/>
    <w:rsid w:val="001E5F39"/>
    <w:rsid w:val="001E6025"/>
    <w:rsid w:val="001E6072"/>
    <w:rsid w:val="001E61F6"/>
    <w:rsid w:val="001E626F"/>
    <w:rsid w:val="001E62C9"/>
    <w:rsid w:val="001E63F8"/>
    <w:rsid w:val="001E649C"/>
    <w:rsid w:val="001E65F2"/>
    <w:rsid w:val="001E65FD"/>
    <w:rsid w:val="001E671C"/>
    <w:rsid w:val="001E6818"/>
    <w:rsid w:val="001E68A4"/>
    <w:rsid w:val="001E6AA0"/>
    <w:rsid w:val="001E6DD1"/>
    <w:rsid w:val="001E6E3D"/>
    <w:rsid w:val="001E6F60"/>
    <w:rsid w:val="001E6FCC"/>
    <w:rsid w:val="001E7055"/>
    <w:rsid w:val="001E70E8"/>
    <w:rsid w:val="001E719F"/>
    <w:rsid w:val="001E71B6"/>
    <w:rsid w:val="001E7218"/>
    <w:rsid w:val="001E7238"/>
    <w:rsid w:val="001E7364"/>
    <w:rsid w:val="001E736F"/>
    <w:rsid w:val="001E7479"/>
    <w:rsid w:val="001E74AD"/>
    <w:rsid w:val="001E7717"/>
    <w:rsid w:val="001E772B"/>
    <w:rsid w:val="001E776C"/>
    <w:rsid w:val="001E7828"/>
    <w:rsid w:val="001E78D3"/>
    <w:rsid w:val="001E7B79"/>
    <w:rsid w:val="001E7B8B"/>
    <w:rsid w:val="001E7C56"/>
    <w:rsid w:val="001E7EF9"/>
    <w:rsid w:val="001E7F0E"/>
    <w:rsid w:val="001E7F31"/>
    <w:rsid w:val="001F02F6"/>
    <w:rsid w:val="001F0334"/>
    <w:rsid w:val="001F057C"/>
    <w:rsid w:val="001F0A58"/>
    <w:rsid w:val="001F0C0C"/>
    <w:rsid w:val="001F0C8F"/>
    <w:rsid w:val="001F0D29"/>
    <w:rsid w:val="001F0D87"/>
    <w:rsid w:val="001F0E1F"/>
    <w:rsid w:val="001F0E53"/>
    <w:rsid w:val="001F0E9E"/>
    <w:rsid w:val="001F0F96"/>
    <w:rsid w:val="001F151F"/>
    <w:rsid w:val="001F16D0"/>
    <w:rsid w:val="001F170D"/>
    <w:rsid w:val="001F17BB"/>
    <w:rsid w:val="001F180C"/>
    <w:rsid w:val="001F18E1"/>
    <w:rsid w:val="001F19E4"/>
    <w:rsid w:val="001F1A03"/>
    <w:rsid w:val="001F1BBC"/>
    <w:rsid w:val="001F1C46"/>
    <w:rsid w:val="001F1D27"/>
    <w:rsid w:val="001F1F1C"/>
    <w:rsid w:val="001F1F9E"/>
    <w:rsid w:val="001F21EB"/>
    <w:rsid w:val="001F2612"/>
    <w:rsid w:val="001F299C"/>
    <w:rsid w:val="001F2AAA"/>
    <w:rsid w:val="001F2D98"/>
    <w:rsid w:val="001F2DEC"/>
    <w:rsid w:val="001F2E12"/>
    <w:rsid w:val="001F2E37"/>
    <w:rsid w:val="001F3194"/>
    <w:rsid w:val="001F31CF"/>
    <w:rsid w:val="001F3225"/>
    <w:rsid w:val="001F3226"/>
    <w:rsid w:val="001F3322"/>
    <w:rsid w:val="001F334D"/>
    <w:rsid w:val="001F33E6"/>
    <w:rsid w:val="001F3576"/>
    <w:rsid w:val="001F3582"/>
    <w:rsid w:val="001F37D6"/>
    <w:rsid w:val="001F3A3B"/>
    <w:rsid w:val="001F3A8B"/>
    <w:rsid w:val="001F3B0E"/>
    <w:rsid w:val="001F3B31"/>
    <w:rsid w:val="001F3C00"/>
    <w:rsid w:val="001F3CF9"/>
    <w:rsid w:val="001F3D45"/>
    <w:rsid w:val="001F3DD2"/>
    <w:rsid w:val="001F3E2A"/>
    <w:rsid w:val="001F3F57"/>
    <w:rsid w:val="001F4026"/>
    <w:rsid w:val="001F4035"/>
    <w:rsid w:val="001F4116"/>
    <w:rsid w:val="001F420B"/>
    <w:rsid w:val="001F428A"/>
    <w:rsid w:val="001F42B0"/>
    <w:rsid w:val="001F431B"/>
    <w:rsid w:val="001F4375"/>
    <w:rsid w:val="001F4498"/>
    <w:rsid w:val="001F4623"/>
    <w:rsid w:val="001F465A"/>
    <w:rsid w:val="001F47F3"/>
    <w:rsid w:val="001F47F4"/>
    <w:rsid w:val="001F4A57"/>
    <w:rsid w:val="001F4A5D"/>
    <w:rsid w:val="001F4A72"/>
    <w:rsid w:val="001F4BB6"/>
    <w:rsid w:val="001F4C20"/>
    <w:rsid w:val="001F4D3C"/>
    <w:rsid w:val="001F4E2D"/>
    <w:rsid w:val="001F4F4D"/>
    <w:rsid w:val="001F4F9D"/>
    <w:rsid w:val="001F5007"/>
    <w:rsid w:val="001F50F6"/>
    <w:rsid w:val="001F5186"/>
    <w:rsid w:val="001F5190"/>
    <w:rsid w:val="001F523A"/>
    <w:rsid w:val="001F523C"/>
    <w:rsid w:val="001F53AB"/>
    <w:rsid w:val="001F543D"/>
    <w:rsid w:val="001F5664"/>
    <w:rsid w:val="001F5699"/>
    <w:rsid w:val="001F585E"/>
    <w:rsid w:val="001F588C"/>
    <w:rsid w:val="001F58B9"/>
    <w:rsid w:val="001F5929"/>
    <w:rsid w:val="001F59D8"/>
    <w:rsid w:val="001F5B3D"/>
    <w:rsid w:val="001F5C57"/>
    <w:rsid w:val="001F5CEB"/>
    <w:rsid w:val="001F5D3E"/>
    <w:rsid w:val="001F5E17"/>
    <w:rsid w:val="001F5E3F"/>
    <w:rsid w:val="001F5F6C"/>
    <w:rsid w:val="001F601F"/>
    <w:rsid w:val="001F6064"/>
    <w:rsid w:val="001F6074"/>
    <w:rsid w:val="001F6097"/>
    <w:rsid w:val="001F609A"/>
    <w:rsid w:val="001F60C7"/>
    <w:rsid w:val="001F6198"/>
    <w:rsid w:val="001F6467"/>
    <w:rsid w:val="001F647D"/>
    <w:rsid w:val="001F64D1"/>
    <w:rsid w:val="001F66DC"/>
    <w:rsid w:val="001F67F9"/>
    <w:rsid w:val="001F6809"/>
    <w:rsid w:val="001F6983"/>
    <w:rsid w:val="001F69FC"/>
    <w:rsid w:val="001F6A36"/>
    <w:rsid w:val="001F6A85"/>
    <w:rsid w:val="001F6C11"/>
    <w:rsid w:val="001F6D4B"/>
    <w:rsid w:val="001F6D61"/>
    <w:rsid w:val="001F70DC"/>
    <w:rsid w:val="001F70F3"/>
    <w:rsid w:val="001F71B6"/>
    <w:rsid w:val="001F7250"/>
    <w:rsid w:val="001F72EC"/>
    <w:rsid w:val="001F7475"/>
    <w:rsid w:val="001F74E8"/>
    <w:rsid w:val="001F754B"/>
    <w:rsid w:val="001F75A1"/>
    <w:rsid w:val="001F75D5"/>
    <w:rsid w:val="001F772D"/>
    <w:rsid w:val="001F793C"/>
    <w:rsid w:val="001F79AF"/>
    <w:rsid w:val="001F79C0"/>
    <w:rsid w:val="001F7A50"/>
    <w:rsid w:val="001F7AA7"/>
    <w:rsid w:val="001F7BFA"/>
    <w:rsid w:val="001F7C41"/>
    <w:rsid w:val="001F7C6C"/>
    <w:rsid w:val="001F7CBE"/>
    <w:rsid w:val="001F7D37"/>
    <w:rsid w:val="0020010A"/>
    <w:rsid w:val="00200143"/>
    <w:rsid w:val="00200419"/>
    <w:rsid w:val="00200511"/>
    <w:rsid w:val="002005C0"/>
    <w:rsid w:val="002005DB"/>
    <w:rsid w:val="00200613"/>
    <w:rsid w:val="002006A7"/>
    <w:rsid w:val="002007EE"/>
    <w:rsid w:val="00200840"/>
    <w:rsid w:val="00200B83"/>
    <w:rsid w:val="00200BCF"/>
    <w:rsid w:val="00200E3C"/>
    <w:rsid w:val="00200F0F"/>
    <w:rsid w:val="0020101C"/>
    <w:rsid w:val="002010B4"/>
    <w:rsid w:val="002010D2"/>
    <w:rsid w:val="00201120"/>
    <w:rsid w:val="00201157"/>
    <w:rsid w:val="00201210"/>
    <w:rsid w:val="002013A6"/>
    <w:rsid w:val="00201489"/>
    <w:rsid w:val="00201548"/>
    <w:rsid w:val="002015FA"/>
    <w:rsid w:val="00201658"/>
    <w:rsid w:val="002018BF"/>
    <w:rsid w:val="00201990"/>
    <w:rsid w:val="002019A3"/>
    <w:rsid w:val="00201F09"/>
    <w:rsid w:val="00201F4C"/>
    <w:rsid w:val="00202151"/>
    <w:rsid w:val="00202239"/>
    <w:rsid w:val="002023D3"/>
    <w:rsid w:val="00202503"/>
    <w:rsid w:val="0020267B"/>
    <w:rsid w:val="002026BF"/>
    <w:rsid w:val="002026FB"/>
    <w:rsid w:val="00202775"/>
    <w:rsid w:val="0020282D"/>
    <w:rsid w:val="00202859"/>
    <w:rsid w:val="002029D2"/>
    <w:rsid w:val="00202A27"/>
    <w:rsid w:val="00202B09"/>
    <w:rsid w:val="00202B76"/>
    <w:rsid w:val="00202B88"/>
    <w:rsid w:val="00202CB9"/>
    <w:rsid w:val="00202D85"/>
    <w:rsid w:val="00202D8E"/>
    <w:rsid w:val="00202DB8"/>
    <w:rsid w:val="00202DD7"/>
    <w:rsid w:val="00202E11"/>
    <w:rsid w:val="00202E4E"/>
    <w:rsid w:val="0020312F"/>
    <w:rsid w:val="00203182"/>
    <w:rsid w:val="0020349B"/>
    <w:rsid w:val="00203594"/>
    <w:rsid w:val="0020368F"/>
    <w:rsid w:val="002037CA"/>
    <w:rsid w:val="002037DE"/>
    <w:rsid w:val="00203901"/>
    <w:rsid w:val="0020399E"/>
    <w:rsid w:val="00203A25"/>
    <w:rsid w:val="00203AC1"/>
    <w:rsid w:val="00203B0D"/>
    <w:rsid w:val="00203B60"/>
    <w:rsid w:val="00203C25"/>
    <w:rsid w:val="00203DD9"/>
    <w:rsid w:val="00203E8F"/>
    <w:rsid w:val="0020417F"/>
    <w:rsid w:val="00204239"/>
    <w:rsid w:val="0020431D"/>
    <w:rsid w:val="00204348"/>
    <w:rsid w:val="0020445B"/>
    <w:rsid w:val="0020445C"/>
    <w:rsid w:val="002044BE"/>
    <w:rsid w:val="002045A8"/>
    <w:rsid w:val="00204645"/>
    <w:rsid w:val="002047CB"/>
    <w:rsid w:val="00204836"/>
    <w:rsid w:val="00204977"/>
    <w:rsid w:val="00204A58"/>
    <w:rsid w:val="00204A92"/>
    <w:rsid w:val="00204B63"/>
    <w:rsid w:val="00204BD2"/>
    <w:rsid w:val="00204D56"/>
    <w:rsid w:val="00204F3C"/>
    <w:rsid w:val="00204F86"/>
    <w:rsid w:val="00204F9F"/>
    <w:rsid w:val="002050C7"/>
    <w:rsid w:val="00205100"/>
    <w:rsid w:val="00205196"/>
    <w:rsid w:val="002051FF"/>
    <w:rsid w:val="00205236"/>
    <w:rsid w:val="002052A4"/>
    <w:rsid w:val="00205319"/>
    <w:rsid w:val="002053CC"/>
    <w:rsid w:val="0020543A"/>
    <w:rsid w:val="002055CA"/>
    <w:rsid w:val="00205878"/>
    <w:rsid w:val="002058AE"/>
    <w:rsid w:val="00205A3A"/>
    <w:rsid w:val="00205BC0"/>
    <w:rsid w:val="00205D58"/>
    <w:rsid w:val="00205DD4"/>
    <w:rsid w:val="00205ED8"/>
    <w:rsid w:val="00206224"/>
    <w:rsid w:val="0020627A"/>
    <w:rsid w:val="00206298"/>
    <w:rsid w:val="00206319"/>
    <w:rsid w:val="00206439"/>
    <w:rsid w:val="0020653A"/>
    <w:rsid w:val="00206649"/>
    <w:rsid w:val="0020668D"/>
    <w:rsid w:val="002066E3"/>
    <w:rsid w:val="0020688B"/>
    <w:rsid w:val="0020691A"/>
    <w:rsid w:val="00206AC2"/>
    <w:rsid w:val="00206D59"/>
    <w:rsid w:val="00206D6B"/>
    <w:rsid w:val="00206D6D"/>
    <w:rsid w:val="00206DCA"/>
    <w:rsid w:val="00206E8A"/>
    <w:rsid w:val="002070CB"/>
    <w:rsid w:val="002071FA"/>
    <w:rsid w:val="00207236"/>
    <w:rsid w:val="002073C1"/>
    <w:rsid w:val="002073E4"/>
    <w:rsid w:val="002074FE"/>
    <w:rsid w:val="00207633"/>
    <w:rsid w:val="002076E2"/>
    <w:rsid w:val="00207766"/>
    <w:rsid w:val="00207781"/>
    <w:rsid w:val="002077B9"/>
    <w:rsid w:val="00207A58"/>
    <w:rsid w:val="00207B18"/>
    <w:rsid w:val="00207BCC"/>
    <w:rsid w:val="00207D3E"/>
    <w:rsid w:val="00207E77"/>
    <w:rsid w:val="00207EA1"/>
    <w:rsid w:val="00207EB6"/>
    <w:rsid w:val="00210047"/>
    <w:rsid w:val="0021009D"/>
    <w:rsid w:val="002100BB"/>
    <w:rsid w:val="002100C2"/>
    <w:rsid w:val="00210111"/>
    <w:rsid w:val="002101A2"/>
    <w:rsid w:val="0021022C"/>
    <w:rsid w:val="00210269"/>
    <w:rsid w:val="00210574"/>
    <w:rsid w:val="002105C2"/>
    <w:rsid w:val="002105C6"/>
    <w:rsid w:val="0021066A"/>
    <w:rsid w:val="002106F6"/>
    <w:rsid w:val="0021078B"/>
    <w:rsid w:val="0021091A"/>
    <w:rsid w:val="0021092A"/>
    <w:rsid w:val="00210931"/>
    <w:rsid w:val="0021098F"/>
    <w:rsid w:val="00210A4A"/>
    <w:rsid w:val="00210A7C"/>
    <w:rsid w:val="00210AB6"/>
    <w:rsid w:val="00210AEA"/>
    <w:rsid w:val="00210B2B"/>
    <w:rsid w:val="00210B4E"/>
    <w:rsid w:val="00210C3F"/>
    <w:rsid w:val="00210DAE"/>
    <w:rsid w:val="00211013"/>
    <w:rsid w:val="002110CD"/>
    <w:rsid w:val="00211108"/>
    <w:rsid w:val="00211211"/>
    <w:rsid w:val="00211397"/>
    <w:rsid w:val="002113B0"/>
    <w:rsid w:val="002115C6"/>
    <w:rsid w:val="0021161A"/>
    <w:rsid w:val="00211911"/>
    <w:rsid w:val="002119DA"/>
    <w:rsid w:val="002119EA"/>
    <w:rsid w:val="00211A16"/>
    <w:rsid w:val="00211A45"/>
    <w:rsid w:val="00211A68"/>
    <w:rsid w:val="00211A83"/>
    <w:rsid w:val="00211D44"/>
    <w:rsid w:val="00211E8F"/>
    <w:rsid w:val="00211E90"/>
    <w:rsid w:val="00211EF7"/>
    <w:rsid w:val="00211F12"/>
    <w:rsid w:val="00211F1A"/>
    <w:rsid w:val="00211FDF"/>
    <w:rsid w:val="00212050"/>
    <w:rsid w:val="002120E8"/>
    <w:rsid w:val="002120F7"/>
    <w:rsid w:val="00212246"/>
    <w:rsid w:val="00212260"/>
    <w:rsid w:val="002122E5"/>
    <w:rsid w:val="002122E6"/>
    <w:rsid w:val="002123AD"/>
    <w:rsid w:val="0021245E"/>
    <w:rsid w:val="00212568"/>
    <w:rsid w:val="0021260D"/>
    <w:rsid w:val="00212667"/>
    <w:rsid w:val="002127E7"/>
    <w:rsid w:val="00212859"/>
    <w:rsid w:val="00212860"/>
    <w:rsid w:val="002128B8"/>
    <w:rsid w:val="00212959"/>
    <w:rsid w:val="00212986"/>
    <w:rsid w:val="00212A11"/>
    <w:rsid w:val="00212A70"/>
    <w:rsid w:val="00212AD1"/>
    <w:rsid w:val="00212C12"/>
    <w:rsid w:val="00212C76"/>
    <w:rsid w:val="00212DE3"/>
    <w:rsid w:val="00212EA0"/>
    <w:rsid w:val="00212FBE"/>
    <w:rsid w:val="00213034"/>
    <w:rsid w:val="002130FD"/>
    <w:rsid w:val="0021310D"/>
    <w:rsid w:val="002131BD"/>
    <w:rsid w:val="002131E9"/>
    <w:rsid w:val="0021331F"/>
    <w:rsid w:val="00213367"/>
    <w:rsid w:val="00213368"/>
    <w:rsid w:val="0021341D"/>
    <w:rsid w:val="002134BE"/>
    <w:rsid w:val="0021359E"/>
    <w:rsid w:val="002136B2"/>
    <w:rsid w:val="0021381D"/>
    <w:rsid w:val="00213965"/>
    <w:rsid w:val="0021398F"/>
    <w:rsid w:val="002139E0"/>
    <w:rsid w:val="002139E5"/>
    <w:rsid w:val="00213AD7"/>
    <w:rsid w:val="00213E0B"/>
    <w:rsid w:val="00213E4E"/>
    <w:rsid w:val="0021419E"/>
    <w:rsid w:val="00214288"/>
    <w:rsid w:val="002142A3"/>
    <w:rsid w:val="00214313"/>
    <w:rsid w:val="00214359"/>
    <w:rsid w:val="0021437B"/>
    <w:rsid w:val="002143B5"/>
    <w:rsid w:val="002144B4"/>
    <w:rsid w:val="002145D6"/>
    <w:rsid w:val="002146EA"/>
    <w:rsid w:val="00214724"/>
    <w:rsid w:val="00214881"/>
    <w:rsid w:val="002148CA"/>
    <w:rsid w:val="00214937"/>
    <w:rsid w:val="00214964"/>
    <w:rsid w:val="00214A15"/>
    <w:rsid w:val="00214A39"/>
    <w:rsid w:val="00214AEA"/>
    <w:rsid w:val="00214B44"/>
    <w:rsid w:val="00214C3C"/>
    <w:rsid w:val="00214D5D"/>
    <w:rsid w:val="00214E32"/>
    <w:rsid w:val="00214EB0"/>
    <w:rsid w:val="00214EC0"/>
    <w:rsid w:val="00214EDA"/>
    <w:rsid w:val="00214EEB"/>
    <w:rsid w:val="00214FD0"/>
    <w:rsid w:val="002150EE"/>
    <w:rsid w:val="0021526A"/>
    <w:rsid w:val="002153CB"/>
    <w:rsid w:val="002154E7"/>
    <w:rsid w:val="0021551E"/>
    <w:rsid w:val="00215566"/>
    <w:rsid w:val="0021564E"/>
    <w:rsid w:val="00215690"/>
    <w:rsid w:val="002156C2"/>
    <w:rsid w:val="002157E8"/>
    <w:rsid w:val="0021581D"/>
    <w:rsid w:val="002159FC"/>
    <w:rsid w:val="00215BAD"/>
    <w:rsid w:val="00215C34"/>
    <w:rsid w:val="00215C6B"/>
    <w:rsid w:val="00215E8B"/>
    <w:rsid w:val="00215FCD"/>
    <w:rsid w:val="0021605D"/>
    <w:rsid w:val="0021621D"/>
    <w:rsid w:val="0021633A"/>
    <w:rsid w:val="00216478"/>
    <w:rsid w:val="00216558"/>
    <w:rsid w:val="00216637"/>
    <w:rsid w:val="002167F3"/>
    <w:rsid w:val="002169A7"/>
    <w:rsid w:val="00216B76"/>
    <w:rsid w:val="00216B78"/>
    <w:rsid w:val="00216C8C"/>
    <w:rsid w:val="00216DB0"/>
    <w:rsid w:val="00216E38"/>
    <w:rsid w:val="00216EC8"/>
    <w:rsid w:val="00217147"/>
    <w:rsid w:val="002173D4"/>
    <w:rsid w:val="002173E9"/>
    <w:rsid w:val="00217403"/>
    <w:rsid w:val="00217487"/>
    <w:rsid w:val="002174DF"/>
    <w:rsid w:val="002175E8"/>
    <w:rsid w:val="002175F3"/>
    <w:rsid w:val="002176AA"/>
    <w:rsid w:val="002176E7"/>
    <w:rsid w:val="0021776D"/>
    <w:rsid w:val="002179F0"/>
    <w:rsid w:val="00217A18"/>
    <w:rsid w:val="00217AC0"/>
    <w:rsid w:val="00217B1F"/>
    <w:rsid w:val="00217BC7"/>
    <w:rsid w:val="00217BF6"/>
    <w:rsid w:val="00217D0C"/>
    <w:rsid w:val="00217F3D"/>
    <w:rsid w:val="00220015"/>
    <w:rsid w:val="00220062"/>
    <w:rsid w:val="0022011C"/>
    <w:rsid w:val="0022017B"/>
    <w:rsid w:val="002201FE"/>
    <w:rsid w:val="0022029C"/>
    <w:rsid w:val="002202B0"/>
    <w:rsid w:val="0022046B"/>
    <w:rsid w:val="002204EF"/>
    <w:rsid w:val="002205EB"/>
    <w:rsid w:val="0022060F"/>
    <w:rsid w:val="002206ED"/>
    <w:rsid w:val="0022074E"/>
    <w:rsid w:val="00220937"/>
    <w:rsid w:val="00220B7E"/>
    <w:rsid w:val="00220C7D"/>
    <w:rsid w:val="00220C86"/>
    <w:rsid w:val="00220D31"/>
    <w:rsid w:val="00220E56"/>
    <w:rsid w:val="00220EF8"/>
    <w:rsid w:val="00220F09"/>
    <w:rsid w:val="002210A6"/>
    <w:rsid w:val="0022111E"/>
    <w:rsid w:val="00221125"/>
    <w:rsid w:val="00221263"/>
    <w:rsid w:val="002212D5"/>
    <w:rsid w:val="002213A1"/>
    <w:rsid w:val="002214EB"/>
    <w:rsid w:val="00221759"/>
    <w:rsid w:val="0022183D"/>
    <w:rsid w:val="0022184C"/>
    <w:rsid w:val="00221853"/>
    <w:rsid w:val="0022186E"/>
    <w:rsid w:val="002219CA"/>
    <w:rsid w:val="00221BE1"/>
    <w:rsid w:val="00221C7A"/>
    <w:rsid w:val="00221D9A"/>
    <w:rsid w:val="00221DBA"/>
    <w:rsid w:val="00221E0B"/>
    <w:rsid w:val="00221F11"/>
    <w:rsid w:val="002220B6"/>
    <w:rsid w:val="0022228A"/>
    <w:rsid w:val="002222FC"/>
    <w:rsid w:val="00222374"/>
    <w:rsid w:val="002224B3"/>
    <w:rsid w:val="0022257E"/>
    <w:rsid w:val="002225EE"/>
    <w:rsid w:val="00222696"/>
    <w:rsid w:val="002226BD"/>
    <w:rsid w:val="00222994"/>
    <w:rsid w:val="00222A31"/>
    <w:rsid w:val="00222B7A"/>
    <w:rsid w:val="00222D89"/>
    <w:rsid w:val="00222F73"/>
    <w:rsid w:val="0022309D"/>
    <w:rsid w:val="00223116"/>
    <w:rsid w:val="0022314F"/>
    <w:rsid w:val="002231B4"/>
    <w:rsid w:val="0022326B"/>
    <w:rsid w:val="0022338B"/>
    <w:rsid w:val="00223449"/>
    <w:rsid w:val="00223460"/>
    <w:rsid w:val="0022363E"/>
    <w:rsid w:val="0022369B"/>
    <w:rsid w:val="0022374B"/>
    <w:rsid w:val="0022379D"/>
    <w:rsid w:val="002237EC"/>
    <w:rsid w:val="00223A32"/>
    <w:rsid w:val="00223AC6"/>
    <w:rsid w:val="00223D0C"/>
    <w:rsid w:val="00223E08"/>
    <w:rsid w:val="00223F2F"/>
    <w:rsid w:val="00223F78"/>
    <w:rsid w:val="00223F9A"/>
    <w:rsid w:val="00224123"/>
    <w:rsid w:val="0022415D"/>
    <w:rsid w:val="00224351"/>
    <w:rsid w:val="00224355"/>
    <w:rsid w:val="002243B1"/>
    <w:rsid w:val="00224548"/>
    <w:rsid w:val="0022454C"/>
    <w:rsid w:val="0022456C"/>
    <w:rsid w:val="0022459D"/>
    <w:rsid w:val="0022494F"/>
    <w:rsid w:val="00224A76"/>
    <w:rsid w:val="00224AC5"/>
    <w:rsid w:val="00224B92"/>
    <w:rsid w:val="00224B9A"/>
    <w:rsid w:val="00224C6D"/>
    <w:rsid w:val="00224CB2"/>
    <w:rsid w:val="00224D2C"/>
    <w:rsid w:val="00225074"/>
    <w:rsid w:val="002250B1"/>
    <w:rsid w:val="002252AB"/>
    <w:rsid w:val="00225334"/>
    <w:rsid w:val="002253C9"/>
    <w:rsid w:val="00225409"/>
    <w:rsid w:val="0022547F"/>
    <w:rsid w:val="00225601"/>
    <w:rsid w:val="00225758"/>
    <w:rsid w:val="00225770"/>
    <w:rsid w:val="00225854"/>
    <w:rsid w:val="00225919"/>
    <w:rsid w:val="00225973"/>
    <w:rsid w:val="00225B55"/>
    <w:rsid w:val="00225C02"/>
    <w:rsid w:val="00225CC9"/>
    <w:rsid w:val="00225EC3"/>
    <w:rsid w:val="00225F7A"/>
    <w:rsid w:val="00225FB5"/>
    <w:rsid w:val="002260B0"/>
    <w:rsid w:val="00226125"/>
    <w:rsid w:val="00226164"/>
    <w:rsid w:val="00226195"/>
    <w:rsid w:val="00226373"/>
    <w:rsid w:val="0022641E"/>
    <w:rsid w:val="00226526"/>
    <w:rsid w:val="002265B9"/>
    <w:rsid w:val="00226701"/>
    <w:rsid w:val="00226767"/>
    <w:rsid w:val="00226CA7"/>
    <w:rsid w:val="00226CB2"/>
    <w:rsid w:val="00226DA3"/>
    <w:rsid w:val="00226E77"/>
    <w:rsid w:val="00227033"/>
    <w:rsid w:val="002272E5"/>
    <w:rsid w:val="0022738B"/>
    <w:rsid w:val="002273FA"/>
    <w:rsid w:val="00227426"/>
    <w:rsid w:val="00227491"/>
    <w:rsid w:val="0022751A"/>
    <w:rsid w:val="002275BE"/>
    <w:rsid w:val="00227615"/>
    <w:rsid w:val="00227649"/>
    <w:rsid w:val="002277E5"/>
    <w:rsid w:val="0022783A"/>
    <w:rsid w:val="0022784E"/>
    <w:rsid w:val="0022787F"/>
    <w:rsid w:val="002278DD"/>
    <w:rsid w:val="00227B47"/>
    <w:rsid w:val="00227BFB"/>
    <w:rsid w:val="00227C8D"/>
    <w:rsid w:val="00227C99"/>
    <w:rsid w:val="00227D78"/>
    <w:rsid w:val="00227EA5"/>
    <w:rsid w:val="00227EAF"/>
    <w:rsid w:val="00227F92"/>
    <w:rsid w:val="00230019"/>
    <w:rsid w:val="002300E5"/>
    <w:rsid w:val="00230277"/>
    <w:rsid w:val="002302A5"/>
    <w:rsid w:val="00230336"/>
    <w:rsid w:val="00230385"/>
    <w:rsid w:val="00230455"/>
    <w:rsid w:val="00230510"/>
    <w:rsid w:val="002305B0"/>
    <w:rsid w:val="002305E9"/>
    <w:rsid w:val="002305FA"/>
    <w:rsid w:val="0023061D"/>
    <w:rsid w:val="00230711"/>
    <w:rsid w:val="00230734"/>
    <w:rsid w:val="00230904"/>
    <w:rsid w:val="00230943"/>
    <w:rsid w:val="002309AB"/>
    <w:rsid w:val="002309AE"/>
    <w:rsid w:val="00230C02"/>
    <w:rsid w:val="00230CB3"/>
    <w:rsid w:val="00230E88"/>
    <w:rsid w:val="00230F11"/>
    <w:rsid w:val="00230FD6"/>
    <w:rsid w:val="002311EE"/>
    <w:rsid w:val="002312FA"/>
    <w:rsid w:val="00231304"/>
    <w:rsid w:val="002313FD"/>
    <w:rsid w:val="0023147C"/>
    <w:rsid w:val="002314E6"/>
    <w:rsid w:val="002315FE"/>
    <w:rsid w:val="00231651"/>
    <w:rsid w:val="00231751"/>
    <w:rsid w:val="00231841"/>
    <w:rsid w:val="002319EA"/>
    <w:rsid w:val="002319F9"/>
    <w:rsid w:val="00231A2C"/>
    <w:rsid w:val="00231B3D"/>
    <w:rsid w:val="00231BCE"/>
    <w:rsid w:val="00231C30"/>
    <w:rsid w:val="00231E8C"/>
    <w:rsid w:val="0023211B"/>
    <w:rsid w:val="00232237"/>
    <w:rsid w:val="00232249"/>
    <w:rsid w:val="0023239F"/>
    <w:rsid w:val="002325E2"/>
    <w:rsid w:val="002325F6"/>
    <w:rsid w:val="002326E1"/>
    <w:rsid w:val="00232809"/>
    <w:rsid w:val="0023285B"/>
    <w:rsid w:val="00232897"/>
    <w:rsid w:val="002329F4"/>
    <w:rsid w:val="00232A30"/>
    <w:rsid w:val="00232A61"/>
    <w:rsid w:val="00232A79"/>
    <w:rsid w:val="00232B15"/>
    <w:rsid w:val="00232BB5"/>
    <w:rsid w:val="00232C0B"/>
    <w:rsid w:val="00232C23"/>
    <w:rsid w:val="00232C39"/>
    <w:rsid w:val="00232C49"/>
    <w:rsid w:val="00232CDB"/>
    <w:rsid w:val="00232CF8"/>
    <w:rsid w:val="00232D01"/>
    <w:rsid w:val="00232D02"/>
    <w:rsid w:val="00232D5F"/>
    <w:rsid w:val="00232E8F"/>
    <w:rsid w:val="00232F07"/>
    <w:rsid w:val="0023302D"/>
    <w:rsid w:val="0023304C"/>
    <w:rsid w:val="0023305E"/>
    <w:rsid w:val="00233090"/>
    <w:rsid w:val="00233154"/>
    <w:rsid w:val="002331E5"/>
    <w:rsid w:val="002333FF"/>
    <w:rsid w:val="00233454"/>
    <w:rsid w:val="0023346B"/>
    <w:rsid w:val="002335A4"/>
    <w:rsid w:val="002338B6"/>
    <w:rsid w:val="002338CD"/>
    <w:rsid w:val="00233928"/>
    <w:rsid w:val="002339CB"/>
    <w:rsid w:val="00233B7D"/>
    <w:rsid w:val="00233C86"/>
    <w:rsid w:val="00233C95"/>
    <w:rsid w:val="00233E64"/>
    <w:rsid w:val="00233ED7"/>
    <w:rsid w:val="00233F56"/>
    <w:rsid w:val="002340E2"/>
    <w:rsid w:val="00234153"/>
    <w:rsid w:val="002341FC"/>
    <w:rsid w:val="00234201"/>
    <w:rsid w:val="00234202"/>
    <w:rsid w:val="00234323"/>
    <w:rsid w:val="002344BD"/>
    <w:rsid w:val="002345C0"/>
    <w:rsid w:val="002346C8"/>
    <w:rsid w:val="002348D0"/>
    <w:rsid w:val="00234CF7"/>
    <w:rsid w:val="00234DAB"/>
    <w:rsid w:val="00234E2C"/>
    <w:rsid w:val="00234F1C"/>
    <w:rsid w:val="0023504E"/>
    <w:rsid w:val="002350DB"/>
    <w:rsid w:val="00235219"/>
    <w:rsid w:val="002353F6"/>
    <w:rsid w:val="002354F9"/>
    <w:rsid w:val="002355F0"/>
    <w:rsid w:val="00235683"/>
    <w:rsid w:val="002357C4"/>
    <w:rsid w:val="00235C9F"/>
    <w:rsid w:val="00235CB7"/>
    <w:rsid w:val="00235D34"/>
    <w:rsid w:val="00235E60"/>
    <w:rsid w:val="00235F27"/>
    <w:rsid w:val="00235F8C"/>
    <w:rsid w:val="00235FBF"/>
    <w:rsid w:val="00235FC4"/>
    <w:rsid w:val="00235FD9"/>
    <w:rsid w:val="0023618F"/>
    <w:rsid w:val="002361AC"/>
    <w:rsid w:val="00236282"/>
    <w:rsid w:val="0023662B"/>
    <w:rsid w:val="0023669E"/>
    <w:rsid w:val="00236710"/>
    <w:rsid w:val="00236736"/>
    <w:rsid w:val="00236935"/>
    <w:rsid w:val="00236DF3"/>
    <w:rsid w:val="002370B2"/>
    <w:rsid w:val="002370BF"/>
    <w:rsid w:val="002370E4"/>
    <w:rsid w:val="00237214"/>
    <w:rsid w:val="002372F1"/>
    <w:rsid w:val="00237383"/>
    <w:rsid w:val="00237563"/>
    <w:rsid w:val="0023761C"/>
    <w:rsid w:val="00237706"/>
    <w:rsid w:val="002378CB"/>
    <w:rsid w:val="00237A2E"/>
    <w:rsid w:val="00237ACD"/>
    <w:rsid w:val="00237B89"/>
    <w:rsid w:val="00237BC3"/>
    <w:rsid w:val="00237D03"/>
    <w:rsid w:val="00237E81"/>
    <w:rsid w:val="00237EAC"/>
    <w:rsid w:val="00237F2F"/>
    <w:rsid w:val="00237F35"/>
    <w:rsid w:val="00237F93"/>
    <w:rsid w:val="00240067"/>
    <w:rsid w:val="002400D5"/>
    <w:rsid w:val="002401EF"/>
    <w:rsid w:val="002403D0"/>
    <w:rsid w:val="00240460"/>
    <w:rsid w:val="002404E9"/>
    <w:rsid w:val="002405ED"/>
    <w:rsid w:val="002406FE"/>
    <w:rsid w:val="00240700"/>
    <w:rsid w:val="0024078D"/>
    <w:rsid w:val="002408A5"/>
    <w:rsid w:val="0024093A"/>
    <w:rsid w:val="002409D6"/>
    <w:rsid w:val="002409F7"/>
    <w:rsid w:val="00240BEB"/>
    <w:rsid w:val="00240BFE"/>
    <w:rsid w:val="00240C39"/>
    <w:rsid w:val="00240E7D"/>
    <w:rsid w:val="00240F23"/>
    <w:rsid w:val="00241081"/>
    <w:rsid w:val="002410FF"/>
    <w:rsid w:val="002412E2"/>
    <w:rsid w:val="002414A2"/>
    <w:rsid w:val="00241606"/>
    <w:rsid w:val="0024165D"/>
    <w:rsid w:val="00241668"/>
    <w:rsid w:val="00241678"/>
    <w:rsid w:val="002416BB"/>
    <w:rsid w:val="00241786"/>
    <w:rsid w:val="0024182B"/>
    <w:rsid w:val="0024182C"/>
    <w:rsid w:val="002418C8"/>
    <w:rsid w:val="00241954"/>
    <w:rsid w:val="002419F3"/>
    <w:rsid w:val="00241A1E"/>
    <w:rsid w:val="00241AE1"/>
    <w:rsid w:val="00241B06"/>
    <w:rsid w:val="00241BEE"/>
    <w:rsid w:val="00241C8C"/>
    <w:rsid w:val="00241CED"/>
    <w:rsid w:val="00241DD0"/>
    <w:rsid w:val="00241E5C"/>
    <w:rsid w:val="00241EC1"/>
    <w:rsid w:val="00242004"/>
    <w:rsid w:val="002420B1"/>
    <w:rsid w:val="002420EC"/>
    <w:rsid w:val="00242586"/>
    <w:rsid w:val="00242644"/>
    <w:rsid w:val="002426DB"/>
    <w:rsid w:val="0024289C"/>
    <w:rsid w:val="002428FE"/>
    <w:rsid w:val="00242AD6"/>
    <w:rsid w:val="00242B46"/>
    <w:rsid w:val="00242B9E"/>
    <w:rsid w:val="00242CD2"/>
    <w:rsid w:val="00242D36"/>
    <w:rsid w:val="00242D79"/>
    <w:rsid w:val="00242E6D"/>
    <w:rsid w:val="00242E8E"/>
    <w:rsid w:val="00242FEE"/>
    <w:rsid w:val="0024304E"/>
    <w:rsid w:val="0024323A"/>
    <w:rsid w:val="00243385"/>
    <w:rsid w:val="00243B54"/>
    <w:rsid w:val="00243C00"/>
    <w:rsid w:val="00243C1A"/>
    <w:rsid w:val="00243C3A"/>
    <w:rsid w:val="002440EE"/>
    <w:rsid w:val="002443DD"/>
    <w:rsid w:val="00244744"/>
    <w:rsid w:val="00244943"/>
    <w:rsid w:val="00244A29"/>
    <w:rsid w:val="00244A54"/>
    <w:rsid w:val="00244A63"/>
    <w:rsid w:val="00244AB3"/>
    <w:rsid w:val="00244CF4"/>
    <w:rsid w:val="00244D06"/>
    <w:rsid w:val="00244D8D"/>
    <w:rsid w:val="00244DE6"/>
    <w:rsid w:val="00244EF0"/>
    <w:rsid w:val="00244F83"/>
    <w:rsid w:val="002450FE"/>
    <w:rsid w:val="00245180"/>
    <w:rsid w:val="00245256"/>
    <w:rsid w:val="00245296"/>
    <w:rsid w:val="0024532D"/>
    <w:rsid w:val="0024534B"/>
    <w:rsid w:val="002454E1"/>
    <w:rsid w:val="002454EF"/>
    <w:rsid w:val="002455E3"/>
    <w:rsid w:val="00245604"/>
    <w:rsid w:val="00245720"/>
    <w:rsid w:val="002457EF"/>
    <w:rsid w:val="00245916"/>
    <w:rsid w:val="00245A46"/>
    <w:rsid w:val="00245A79"/>
    <w:rsid w:val="00245BFA"/>
    <w:rsid w:val="00245C23"/>
    <w:rsid w:val="00245C5F"/>
    <w:rsid w:val="00245DA8"/>
    <w:rsid w:val="00245FB7"/>
    <w:rsid w:val="00246134"/>
    <w:rsid w:val="00246222"/>
    <w:rsid w:val="002462EF"/>
    <w:rsid w:val="00246361"/>
    <w:rsid w:val="0024637B"/>
    <w:rsid w:val="0024650E"/>
    <w:rsid w:val="002466E1"/>
    <w:rsid w:val="002467A1"/>
    <w:rsid w:val="00246828"/>
    <w:rsid w:val="00246926"/>
    <w:rsid w:val="00246B57"/>
    <w:rsid w:val="00246B6A"/>
    <w:rsid w:val="00246C51"/>
    <w:rsid w:val="00246D13"/>
    <w:rsid w:val="00246DAD"/>
    <w:rsid w:val="00246E0A"/>
    <w:rsid w:val="00246E25"/>
    <w:rsid w:val="00246E30"/>
    <w:rsid w:val="00246F37"/>
    <w:rsid w:val="00246FA9"/>
    <w:rsid w:val="00246FE1"/>
    <w:rsid w:val="00247180"/>
    <w:rsid w:val="00247291"/>
    <w:rsid w:val="00247320"/>
    <w:rsid w:val="00247509"/>
    <w:rsid w:val="002476C4"/>
    <w:rsid w:val="0024777B"/>
    <w:rsid w:val="002477E3"/>
    <w:rsid w:val="002477FF"/>
    <w:rsid w:val="0024782C"/>
    <w:rsid w:val="00247900"/>
    <w:rsid w:val="00247910"/>
    <w:rsid w:val="002479AA"/>
    <w:rsid w:val="00247DB6"/>
    <w:rsid w:val="00247E0B"/>
    <w:rsid w:val="00247EFB"/>
    <w:rsid w:val="00247F2C"/>
    <w:rsid w:val="00247F7A"/>
    <w:rsid w:val="00247FA2"/>
    <w:rsid w:val="00250081"/>
    <w:rsid w:val="0025010C"/>
    <w:rsid w:val="0025032A"/>
    <w:rsid w:val="0025037D"/>
    <w:rsid w:val="002503B4"/>
    <w:rsid w:val="002504C5"/>
    <w:rsid w:val="00250521"/>
    <w:rsid w:val="0025056E"/>
    <w:rsid w:val="002505A3"/>
    <w:rsid w:val="00250638"/>
    <w:rsid w:val="002507A7"/>
    <w:rsid w:val="00250861"/>
    <w:rsid w:val="00250941"/>
    <w:rsid w:val="00250BA0"/>
    <w:rsid w:val="00250C20"/>
    <w:rsid w:val="00250CC3"/>
    <w:rsid w:val="00250DAD"/>
    <w:rsid w:val="00250E1F"/>
    <w:rsid w:val="00250E59"/>
    <w:rsid w:val="00250FA1"/>
    <w:rsid w:val="00250FAD"/>
    <w:rsid w:val="00251074"/>
    <w:rsid w:val="00251092"/>
    <w:rsid w:val="002510D7"/>
    <w:rsid w:val="0025115C"/>
    <w:rsid w:val="002512B2"/>
    <w:rsid w:val="0025137C"/>
    <w:rsid w:val="00251480"/>
    <w:rsid w:val="002514D8"/>
    <w:rsid w:val="002514EB"/>
    <w:rsid w:val="00251597"/>
    <w:rsid w:val="002515AE"/>
    <w:rsid w:val="00251690"/>
    <w:rsid w:val="002516C7"/>
    <w:rsid w:val="00251AEF"/>
    <w:rsid w:val="00251B84"/>
    <w:rsid w:val="00251BE6"/>
    <w:rsid w:val="00251C29"/>
    <w:rsid w:val="00251DA2"/>
    <w:rsid w:val="0025211A"/>
    <w:rsid w:val="0025218D"/>
    <w:rsid w:val="002521B5"/>
    <w:rsid w:val="00252216"/>
    <w:rsid w:val="0025227B"/>
    <w:rsid w:val="002525A1"/>
    <w:rsid w:val="002525BD"/>
    <w:rsid w:val="00252662"/>
    <w:rsid w:val="002527BF"/>
    <w:rsid w:val="002527DB"/>
    <w:rsid w:val="0025284E"/>
    <w:rsid w:val="0025291C"/>
    <w:rsid w:val="00252988"/>
    <w:rsid w:val="00252A51"/>
    <w:rsid w:val="00252A9A"/>
    <w:rsid w:val="00252AA8"/>
    <w:rsid w:val="00252BC2"/>
    <w:rsid w:val="00252C5B"/>
    <w:rsid w:val="00252C7B"/>
    <w:rsid w:val="00252C8D"/>
    <w:rsid w:val="00252CC5"/>
    <w:rsid w:val="00252CCA"/>
    <w:rsid w:val="00252CE2"/>
    <w:rsid w:val="00252E36"/>
    <w:rsid w:val="00252E45"/>
    <w:rsid w:val="00252EB3"/>
    <w:rsid w:val="00252EC7"/>
    <w:rsid w:val="00252EE1"/>
    <w:rsid w:val="002530AC"/>
    <w:rsid w:val="00253223"/>
    <w:rsid w:val="00253227"/>
    <w:rsid w:val="00253285"/>
    <w:rsid w:val="002532CD"/>
    <w:rsid w:val="00253379"/>
    <w:rsid w:val="002533A9"/>
    <w:rsid w:val="00253496"/>
    <w:rsid w:val="002534FE"/>
    <w:rsid w:val="00253525"/>
    <w:rsid w:val="00253675"/>
    <w:rsid w:val="00253898"/>
    <w:rsid w:val="002538D2"/>
    <w:rsid w:val="00253ABC"/>
    <w:rsid w:val="00253ACF"/>
    <w:rsid w:val="00253ADB"/>
    <w:rsid w:val="00253D3D"/>
    <w:rsid w:val="00253D7D"/>
    <w:rsid w:val="00253DF3"/>
    <w:rsid w:val="00253E3E"/>
    <w:rsid w:val="00253ED1"/>
    <w:rsid w:val="00253F68"/>
    <w:rsid w:val="00253F84"/>
    <w:rsid w:val="00254032"/>
    <w:rsid w:val="00254063"/>
    <w:rsid w:val="002541DF"/>
    <w:rsid w:val="00254275"/>
    <w:rsid w:val="00254377"/>
    <w:rsid w:val="00254466"/>
    <w:rsid w:val="002544C2"/>
    <w:rsid w:val="0025451E"/>
    <w:rsid w:val="00254531"/>
    <w:rsid w:val="00254640"/>
    <w:rsid w:val="00254B30"/>
    <w:rsid w:val="00254B8A"/>
    <w:rsid w:val="00254D16"/>
    <w:rsid w:val="00254D7E"/>
    <w:rsid w:val="00254F07"/>
    <w:rsid w:val="002550A5"/>
    <w:rsid w:val="002551B3"/>
    <w:rsid w:val="002552B1"/>
    <w:rsid w:val="0025537E"/>
    <w:rsid w:val="002553A8"/>
    <w:rsid w:val="002553DD"/>
    <w:rsid w:val="0025540A"/>
    <w:rsid w:val="00255588"/>
    <w:rsid w:val="002555F9"/>
    <w:rsid w:val="0025561D"/>
    <w:rsid w:val="00255666"/>
    <w:rsid w:val="0025577C"/>
    <w:rsid w:val="002557C6"/>
    <w:rsid w:val="00255804"/>
    <w:rsid w:val="00255A60"/>
    <w:rsid w:val="00255AFF"/>
    <w:rsid w:val="00255BDF"/>
    <w:rsid w:val="00255C39"/>
    <w:rsid w:val="00255F44"/>
    <w:rsid w:val="00255FC4"/>
    <w:rsid w:val="0025605E"/>
    <w:rsid w:val="002564D5"/>
    <w:rsid w:val="002565AA"/>
    <w:rsid w:val="002566AE"/>
    <w:rsid w:val="002567F2"/>
    <w:rsid w:val="002568B2"/>
    <w:rsid w:val="002568B9"/>
    <w:rsid w:val="002568C6"/>
    <w:rsid w:val="00256971"/>
    <w:rsid w:val="00256A70"/>
    <w:rsid w:val="00256BD6"/>
    <w:rsid w:val="00256D67"/>
    <w:rsid w:val="00256D80"/>
    <w:rsid w:val="00256DCB"/>
    <w:rsid w:val="00256DDF"/>
    <w:rsid w:val="00256E2E"/>
    <w:rsid w:val="00256F39"/>
    <w:rsid w:val="0025723A"/>
    <w:rsid w:val="002572CA"/>
    <w:rsid w:val="00257349"/>
    <w:rsid w:val="002574F9"/>
    <w:rsid w:val="00257553"/>
    <w:rsid w:val="00257710"/>
    <w:rsid w:val="00257784"/>
    <w:rsid w:val="0025781E"/>
    <w:rsid w:val="0025790D"/>
    <w:rsid w:val="002579A4"/>
    <w:rsid w:val="002579C0"/>
    <w:rsid w:val="00257A01"/>
    <w:rsid w:val="00257A64"/>
    <w:rsid w:val="00257B0B"/>
    <w:rsid w:val="00257BB5"/>
    <w:rsid w:val="00257C1B"/>
    <w:rsid w:val="00257C89"/>
    <w:rsid w:val="00257E8F"/>
    <w:rsid w:val="00257F70"/>
    <w:rsid w:val="00257F8D"/>
    <w:rsid w:val="00260119"/>
    <w:rsid w:val="00260144"/>
    <w:rsid w:val="0026024C"/>
    <w:rsid w:val="002603C7"/>
    <w:rsid w:val="002603F1"/>
    <w:rsid w:val="002605B7"/>
    <w:rsid w:val="00260620"/>
    <w:rsid w:val="00260670"/>
    <w:rsid w:val="002606AE"/>
    <w:rsid w:val="00260823"/>
    <w:rsid w:val="00260A37"/>
    <w:rsid w:val="00260AC6"/>
    <w:rsid w:val="00260B5E"/>
    <w:rsid w:val="00260D78"/>
    <w:rsid w:val="00260EC2"/>
    <w:rsid w:val="0026106C"/>
    <w:rsid w:val="002610A8"/>
    <w:rsid w:val="00261154"/>
    <w:rsid w:val="002611C7"/>
    <w:rsid w:val="0026136A"/>
    <w:rsid w:val="0026147C"/>
    <w:rsid w:val="0026148B"/>
    <w:rsid w:val="002614F4"/>
    <w:rsid w:val="00261535"/>
    <w:rsid w:val="0026154F"/>
    <w:rsid w:val="00261640"/>
    <w:rsid w:val="0026166D"/>
    <w:rsid w:val="002616EE"/>
    <w:rsid w:val="00261766"/>
    <w:rsid w:val="00261797"/>
    <w:rsid w:val="002618E5"/>
    <w:rsid w:val="00261990"/>
    <w:rsid w:val="002619E9"/>
    <w:rsid w:val="00261BD0"/>
    <w:rsid w:val="00261C11"/>
    <w:rsid w:val="00261EC4"/>
    <w:rsid w:val="00261EEB"/>
    <w:rsid w:val="002621D8"/>
    <w:rsid w:val="002621E6"/>
    <w:rsid w:val="00262272"/>
    <w:rsid w:val="002622C8"/>
    <w:rsid w:val="002622FC"/>
    <w:rsid w:val="0026231B"/>
    <w:rsid w:val="0026236A"/>
    <w:rsid w:val="00262459"/>
    <w:rsid w:val="0026247E"/>
    <w:rsid w:val="00262544"/>
    <w:rsid w:val="0026262B"/>
    <w:rsid w:val="00262638"/>
    <w:rsid w:val="00262687"/>
    <w:rsid w:val="00262770"/>
    <w:rsid w:val="002627D0"/>
    <w:rsid w:val="002627E6"/>
    <w:rsid w:val="0026283B"/>
    <w:rsid w:val="00262899"/>
    <w:rsid w:val="00262921"/>
    <w:rsid w:val="0026297D"/>
    <w:rsid w:val="002629A8"/>
    <w:rsid w:val="002629E0"/>
    <w:rsid w:val="00262AFC"/>
    <w:rsid w:val="00262B1E"/>
    <w:rsid w:val="00262CDC"/>
    <w:rsid w:val="00262D47"/>
    <w:rsid w:val="00262F02"/>
    <w:rsid w:val="00262F6A"/>
    <w:rsid w:val="00263230"/>
    <w:rsid w:val="00263289"/>
    <w:rsid w:val="002632FE"/>
    <w:rsid w:val="002634A4"/>
    <w:rsid w:val="0026372F"/>
    <w:rsid w:val="002637E8"/>
    <w:rsid w:val="002638C0"/>
    <w:rsid w:val="00263BA0"/>
    <w:rsid w:val="00263CF9"/>
    <w:rsid w:val="00263D0D"/>
    <w:rsid w:val="00263DB4"/>
    <w:rsid w:val="00263E2A"/>
    <w:rsid w:val="00263FD8"/>
    <w:rsid w:val="00264014"/>
    <w:rsid w:val="00264069"/>
    <w:rsid w:val="00264402"/>
    <w:rsid w:val="00264494"/>
    <w:rsid w:val="0026458F"/>
    <w:rsid w:val="002646B5"/>
    <w:rsid w:val="00264719"/>
    <w:rsid w:val="0026471B"/>
    <w:rsid w:val="002647F0"/>
    <w:rsid w:val="00264905"/>
    <w:rsid w:val="0026490D"/>
    <w:rsid w:val="00264949"/>
    <w:rsid w:val="0026495A"/>
    <w:rsid w:val="00264A18"/>
    <w:rsid w:val="00264A6D"/>
    <w:rsid w:val="00264AD5"/>
    <w:rsid w:val="00264B9F"/>
    <w:rsid w:val="00264BD7"/>
    <w:rsid w:val="00264BDC"/>
    <w:rsid w:val="00264CDA"/>
    <w:rsid w:val="00264DFB"/>
    <w:rsid w:val="00264E2A"/>
    <w:rsid w:val="0026514C"/>
    <w:rsid w:val="002651F7"/>
    <w:rsid w:val="002652B1"/>
    <w:rsid w:val="002654EF"/>
    <w:rsid w:val="0026558D"/>
    <w:rsid w:val="00265647"/>
    <w:rsid w:val="002658B2"/>
    <w:rsid w:val="002658D8"/>
    <w:rsid w:val="00265901"/>
    <w:rsid w:val="0026592B"/>
    <w:rsid w:val="00265998"/>
    <w:rsid w:val="00265A45"/>
    <w:rsid w:val="00265B32"/>
    <w:rsid w:val="00265BB3"/>
    <w:rsid w:val="00265E30"/>
    <w:rsid w:val="00265EA2"/>
    <w:rsid w:val="00265ECA"/>
    <w:rsid w:val="00265FCC"/>
    <w:rsid w:val="00265FF1"/>
    <w:rsid w:val="00266033"/>
    <w:rsid w:val="00266049"/>
    <w:rsid w:val="00266059"/>
    <w:rsid w:val="00266078"/>
    <w:rsid w:val="0026608E"/>
    <w:rsid w:val="002660C0"/>
    <w:rsid w:val="002660DC"/>
    <w:rsid w:val="00266287"/>
    <w:rsid w:val="0026644C"/>
    <w:rsid w:val="00266461"/>
    <w:rsid w:val="0026650E"/>
    <w:rsid w:val="0026652B"/>
    <w:rsid w:val="002666C2"/>
    <w:rsid w:val="002667D7"/>
    <w:rsid w:val="0026690B"/>
    <w:rsid w:val="002669E6"/>
    <w:rsid w:val="00266AC7"/>
    <w:rsid w:val="00266BFA"/>
    <w:rsid w:val="00266CF7"/>
    <w:rsid w:val="00266E21"/>
    <w:rsid w:val="00266E47"/>
    <w:rsid w:val="00266ED7"/>
    <w:rsid w:val="00266F35"/>
    <w:rsid w:val="00266FE0"/>
    <w:rsid w:val="00267061"/>
    <w:rsid w:val="0026713F"/>
    <w:rsid w:val="00267223"/>
    <w:rsid w:val="002673DB"/>
    <w:rsid w:val="00267443"/>
    <w:rsid w:val="00267448"/>
    <w:rsid w:val="00267521"/>
    <w:rsid w:val="00267593"/>
    <w:rsid w:val="002676AF"/>
    <w:rsid w:val="0026777E"/>
    <w:rsid w:val="002677AA"/>
    <w:rsid w:val="00267911"/>
    <w:rsid w:val="00267A4F"/>
    <w:rsid w:val="00267BAF"/>
    <w:rsid w:val="00267D17"/>
    <w:rsid w:val="00267E10"/>
    <w:rsid w:val="00267EA7"/>
    <w:rsid w:val="00267EB9"/>
    <w:rsid w:val="00267EBD"/>
    <w:rsid w:val="00267F1E"/>
    <w:rsid w:val="002700FD"/>
    <w:rsid w:val="00270195"/>
    <w:rsid w:val="002701B7"/>
    <w:rsid w:val="0027023D"/>
    <w:rsid w:val="002702CF"/>
    <w:rsid w:val="00270430"/>
    <w:rsid w:val="00270484"/>
    <w:rsid w:val="002704EA"/>
    <w:rsid w:val="0027055D"/>
    <w:rsid w:val="002705F1"/>
    <w:rsid w:val="00270650"/>
    <w:rsid w:val="00270845"/>
    <w:rsid w:val="00270849"/>
    <w:rsid w:val="00270B37"/>
    <w:rsid w:val="00270B81"/>
    <w:rsid w:val="00270DA2"/>
    <w:rsid w:val="00270FC7"/>
    <w:rsid w:val="00270FE8"/>
    <w:rsid w:val="00271046"/>
    <w:rsid w:val="002711A1"/>
    <w:rsid w:val="0027126D"/>
    <w:rsid w:val="002716AF"/>
    <w:rsid w:val="00271718"/>
    <w:rsid w:val="0027172B"/>
    <w:rsid w:val="00271757"/>
    <w:rsid w:val="00271796"/>
    <w:rsid w:val="0027186F"/>
    <w:rsid w:val="002718E4"/>
    <w:rsid w:val="0027196E"/>
    <w:rsid w:val="00271A0C"/>
    <w:rsid w:val="00271A9B"/>
    <w:rsid w:val="00271AC2"/>
    <w:rsid w:val="00271AD2"/>
    <w:rsid w:val="00271BF2"/>
    <w:rsid w:val="00271C5F"/>
    <w:rsid w:val="00271E1A"/>
    <w:rsid w:val="00271E48"/>
    <w:rsid w:val="00272359"/>
    <w:rsid w:val="002723EF"/>
    <w:rsid w:val="002724DB"/>
    <w:rsid w:val="0027250A"/>
    <w:rsid w:val="00272541"/>
    <w:rsid w:val="00272549"/>
    <w:rsid w:val="002725A2"/>
    <w:rsid w:val="002725E8"/>
    <w:rsid w:val="002726E7"/>
    <w:rsid w:val="00272710"/>
    <w:rsid w:val="00272816"/>
    <w:rsid w:val="00272850"/>
    <w:rsid w:val="00272868"/>
    <w:rsid w:val="002728BF"/>
    <w:rsid w:val="002729AA"/>
    <w:rsid w:val="00272B2B"/>
    <w:rsid w:val="00272C19"/>
    <w:rsid w:val="00272D5C"/>
    <w:rsid w:val="00272E74"/>
    <w:rsid w:val="00272F47"/>
    <w:rsid w:val="00272FC4"/>
    <w:rsid w:val="00273064"/>
    <w:rsid w:val="002730C3"/>
    <w:rsid w:val="00273105"/>
    <w:rsid w:val="00273218"/>
    <w:rsid w:val="00273432"/>
    <w:rsid w:val="00273693"/>
    <w:rsid w:val="0027380A"/>
    <w:rsid w:val="00273843"/>
    <w:rsid w:val="00273889"/>
    <w:rsid w:val="00273A3E"/>
    <w:rsid w:val="00273AC4"/>
    <w:rsid w:val="00273B95"/>
    <w:rsid w:val="00273C4D"/>
    <w:rsid w:val="00273C51"/>
    <w:rsid w:val="00273C53"/>
    <w:rsid w:val="00273D0B"/>
    <w:rsid w:val="00273D95"/>
    <w:rsid w:val="00273DDC"/>
    <w:rsid w:val="00274060"/>
    <w:rsid w:val="00274187"/>
    <w:rsid w:val="002741A8"/>
    <w:rsid w:val="002741FA"/>
    <w:rsid w:val="002744E8"/>
    <w:rsid w:val="002746F8"/>
    <w:rsid w:val="002746FE"/>
    <w:rsid w:val="0027470F"/>
    <w:rsid w:val="0027471B"/>
    <w:rsid w:val="00274763"/>
    <w:rsid w:val="002747E0"/>
    <w:rsid w:val="0027487E"/>
    <w:rsid w:val="00274893"/>
    <w:rsid w:val="002749D1"/>
    <w:rsid w:val="00274B07"/>
    <w:rsid w:val="00274B4A"/>
    <w:rsid w:val="00274B74"/>
    <w:rsid w:val="00274BC2"/>
    <w:rsid w:val="00274C84"/>
    <w:rsid w:val="00274CCF"/>
    <w:rsid w:val="00274ED9"/>
    <w:rsid w:val="00274F25"/>
    <w:rsid w:val="00274FCB"/>
    <w:rsid w:val="0027504C"/>
    <w:rsid w:val="002750AC"/>
    <w:rsid w:val="002750C9"/>
    <w:rsid w:val="002752F1"/>
    <w:rsid w:val="002752F7"/>
    <w:rsid w:val="00275350"/>
    <w:rsid w:val="002753B3"/>
    <w:rsid w:val="00275448"/>
    <w:rsid w:val="00275469"/>
    <w:rsid w:val="0027547E"/>
    <w:rsid w:val="0027553D"/>
    <w:rsid w:val="0027562A"/>
    <w:rsid w:val="00275644"/>
    <w:rsid w:val="00275695"/>
    <w:rsid w:val="002757FD"/>
    <w:rsid w:val="00275831"/>
    <w:rsid w:val="00275984"/>
    <w:rsid w:val="00275A4C"/>
    <w:rsid w:val="00275A63"/>
    <w:rsid w:val="00275CC9"/>
    <w:rsid w:val="00275CF6"/>
    <w:rsid w:val="00275DEC"/>
    <w:rsid w:val="00275E05"/>
    <w:rsid w:val="00275E0C"/>
    <w:rsid w:val="00275EE0"/>
    <w:rsid w:val="00275F95"/>
    <w:rsid w:val="00275FD0"/>
    <w:rsid w:val="00276067"/>
    <w:rsid w:val="002760DD"/>
    <w:rsid w:val="0027614C"/>
    <w:rsid w:val="002761C0"/>
    <w:rsid w:val="0027621B"/>
    <w:rsid w:val="00276230"/>
    <w:rsid w:val="00276275"/>
    <w:rsid w:val="00276361"/>
    <w:rsid w:val="002763D0"/>
    <w:rsid w:val="002764C8"/>
    <w:rsid w:val="002764E6"/>
    <w:rsid w:val="002764EB"/>
    <w:rsid w:val="002764F6"/>
    <w:rsid w:val="0027655F"/>
    <w:rsid w:val="00276705"/>
    <w:rsid w:val="0027675E"/>
    <w:rsid w:val="0027681E"/>
    <w:rsid w:val="00276970"/>
    <w:rsid w:val="002769A7"/>
    <w:rsid w:val="00276AE2"/>
    <w:rsid w:val="00276BA6"/>
    <w:rsid w:val="00276BF9"/>
    <w:rsid w:val="00276EE5"/>
    <w:rsid w:val="00276FAB"/>
    <w:rsid w:val="002770B6"/>
    <w:rsid w:val="00277258"/>
    <w:rsid w:val="0027729E"/>
    <w:rsid w:val="002773A9"/>
    <w:rsid w:val="00277429"/>
    <w:rsid w:val="0027742E"/>
    <w:rsid w:val="00277478"/>
    <w:rsid w:val="00277551"/>
    <w:rsid w:val="00277579"/>
    <w:rsid w:val="002775AC"/>
    <w:rsid w:val="002776BC"/>
    <w:rsid w:val="00277739"/>
    <w:rsid w:val="00277793"/>
    <w:rsid w:val="002777B2"/>
    <w:rsid w:val="002777C1"/>
    <w:rsid w:val="00277A8D"/>
    <w:rsid w:val="00277AA4"/>
    <w:rsid w:val="00277C95"/>
    <w:rsid w:val="00277EEF"/>
    <w:rsid w:val="002800D9"/>
    <w:rsid w:val="0028012F"/>
    <w:rsid w:val="002801B8"/>
    <w:rsid w:val="002801FE"/>
    <w:rsid w:val="00280223"/>
    <w:rsid w:val="00280459"/>
    <w:rsid w:val="00280482"/>
    <w:rsid w:val="0028062A"/>
    <w:rsid w:val="00280670"/>
    <w:rsid w:val="002806F9"/>
    <w:rsid w:val="00280927"/>
    <w:rsid w:val="00280A24"/>
    <w:rsid w:val="00280BBE"/>
    <w:rsid w:val="00280CAA"/>
    <w:rsid w:val="00280CD8"/>
    <w:rsid w:val="00280E2E"/>
    <w:rsid w:val="00280F81"/>
    <w:rsid w:val="002810D4"/>
    <w:rsid w:val="0028137C"/>
    <w:rsid w:val="00281491"/>
    <w:rsid w:val="002815FC"/>
    <w:rsid w:val="00281679"/>
    <w:rsid w:val="002818BE"/>
    <w:rsid w:val="00281900"/>
    <w:rsid w:val="002819FC"/>
    <w:rsid w:val="00281A5C"/>
    <w:rsid w:val="00281AD5"/>
    <w:rsid w:val="00281B82"/>
    <w:rsid w:val="00281CAC"/>
    <w:rsid w:val="00281D68"/>
    <w:rsid w:val="00281DCF"/>
    <w:rsid w:val="00281E5F"/>
    <w:rsid w:val="00281E7A"/>
    <w:rsid w:val="00281F05"/>
    <w:rsid w:val="00282173"/>
    <w:rsid w:val="0028218C"/>
    <w:rsid w:val="0028233B"/>
    <w:rsid w:val="0028239F"/>
    <w:rsid w:val="00282467"/>
    <w:rsid w:val="00282548"/>
    <w:rsid w:val="00282784"/>
    <w:rsid w:val="002827EA"/>
    <w:rsid w:val="0028292A"/>
    <w:rsid w:val="00282989"/>
    <w:rsid w:val="00282B2F"/>
    <w:rsid w:val="00282D19"/>
    <w:rsid w:val="00282F2B"/>
    <w:rsid w:val="002830B5"/>
    <w:rsid w:val="002831E3"/>
    <w:rsid w:val="00283216"/>
    <w:rsid w:val="0028322C"/>
    <w:rsid w:val="002832D1"/>
    <w:rsid w:val="00283445"/>
    <w:rsid w:val="002834DF"/>
    <w:rsid w:val="00283633"/>
    <w:rsid w:val="002836C5"/>
    <w:rsid w:val="0028380F"/>
    <w:rsid w:val="0028398D"/>
    <w:rsid w:val="00283A23"/>
    <w:rsid w:val="00284039"/>
    <w:rsid w:val="002841DC"/>
    <w:rsid w:val="00284217"/>
    <w:rsid w:val="002842DF"/>
    <w:rsid w:val="0028435A"/>
    <w:rsid w:val="002844ED"/>
    <w:rsid w:val="00284542"/>
    <w:rsid w:val="002845D9"/>
    <w:rsid w:val="00284690"/>
    <w:rsid w:val="00284AE6"/>
    <w:rsid w:val="00284B6A"/>
    <w:rsid w:val="00284BE6"/>
    <w:rsid w:val="00284CD0"/>
    <w:rsid w:val="00284DBD"/>
    <w:rsid w:val="00284F28"/>
    <w:rsid w:val="00284F43"/>
    <w:rsid w:val="002850F1"/>
    <w:rsid w:val="0028510D"/>
    <w:rsid w:val="0028512F"/>
    <w:rsid w:val="00285458"/>
    <w:rsid w:val="002854CD"/>
    <w:rsid w:val="002856CB"/>
    <w:rsid w:val="00285777"/>
    <w:rsid w:val="002857D4"/>
    <w:rsid w:val="002859A9"/>
    <w:rsid w:val="00285A6E"/>
    <w:rsid w:val="00285B32"/>
    <w:rsid w:val="00285B47"/>
    <w:rsid w:val="00285C10"/>
    <w:rsid w:val="00285CE6"/>
    <w:rsid w:val="00285DA1"/>
    <w:rsid w:val="00285DCC"/>
    <w:rsid w:val="00285EF7"/>
    <w:rsid w:val="00285FAC"/>
    <w:rsid w:val="00285FC7"/>
    <w:rsid w:val="00285FD8"/>
    <w:rsid w:val="00286092"/>
    <w:rsid w:val="00286169"/>
    <w:rsid w:val="00286266"/>
    <w:rsid w:val="002862A4"/>
    <w:rsid w:val="00286450"/>
    <w:rsid w:val="00286614"/>
    <w:rsid w:val="002866B4"/>
    <w:rsid w:val="002866EC"/>
    <w:rsid w:val="002868EA"/>
    <w:rsid w:val="0028692E"/>
    <w:rsid w:val="00286BAC"/>
    <w:rsid w:val="00286C45"/>
    <w:rsid w:val="00286CF7"/>
    <w:rsid w:val="00286CFF"/>
    <w:rsid w:val="00286D77"/>
    <w:rsid w:val="00286F3A"/>
    <w:rsid w:val="00286FE5"/>
    <w:rsid w:val="002870B2"/>
    <w:rsid w:val="002870EC"/>
    <w:rsid w:val="0028715D"/>
    <w:rsid w:val="00287306"/>
    <w:rsid w:val="0028749C"/>
    <w:rsid w:val="0028756A"/>
    <w:rsid w:val="002875C0"/>
    <w:rsid w:val="0028763C"/>
    <w:rsid w:val="002876B4"/>
    <w:rsid w:val="002876F1"/>
    <w:rsid w:val="002877B3"/>
    <w:rsid w:val="002877FA"/>
    <w:rsid w:val="00287958"/>
    <w:rsid w:val="00287968"/>
    <w:rsid w:val="002879C9"/>
    <w:rsid w:val="00287B45"/>
    <w:rsid w:val="00287C0A"/>
    <w:rsid w:val="00287DE5"/>
    <w:rsid w:val="00287E46"/>
    <w:rsid w:val="0029005F"/>
    <w:rsid w:val="00290079"/>
    <w:rsid w:val="00290098"/>
    <w:rsid w:val="0029031C"/>
    <w:rsid w:val="0029046C"/>
    <w:rsid w:val="002904DD"/>
    <w:rsid w:val="002905E2"/>
    <w:rsid w:val="00290909"/>
    <w:rsid w:val="00290ACE"/>
    <w:rsid w:val="00290B71"/>
    <w:rsid w:val="00290B9C"/>
    <w:rsid w:val="00290D1A"/>
    <w:rsid w:val="00290D53"/>
    <w:rsid w:val="00290E8C"/>
    <w:rsid w:val="00290EC7"/>
    <w:rsid w:val="0029100C"/>
    <w:rsid w:val="00291011"/>
    <w:rsid w:val="00291057"/>
    <w:rsid w:val="002911B3"/>
    <w:rsid w:val="0029124D"/>
    <w:rsid w:val="0029146E"/>
    <w:rsid w:val="00291496"/>
    <w:rsid w:val="002915CD"/>
    <w:rsid w:val="00291687"/>
    <w:rsid w:val="00291802"/>
    <w:rsid w:val="00291B36"/>
    <w:rsid w:val="00291BF1"/>
    <w:rsid w:val="00291C24"/>
    <w:rsid w:val="00291CB5"/>
    <w:rsid w:val="00291F2B"/>
    <w:rsid w:val="00291F65"/>
    <w:rsid w:val="00291F74"/>
    <w:rsid w:val="00291F84"/>
    <w:rsid w:val="00291FCD"/>
    <w:rsid w:val="00291FFF"/>
    <w:rsid w:val="00292097"/>
    <w:rsid w:val="002921EA"/>
    <w:rsid w:val="00292292"/>
    <w:rsid w:val="00292317"/>
    <w:rsid w:val="0029242A"/>
    <w:rsid w:val="0029249C"/>
    <w:rsid w:val="002925C2"/>
    <w:rsid w:val="00292657"/>
    <w:rsid w:val="00292755"/>
    <w:rsid w:val="00292A76"/>
    <w:rsid w:val="00292B2F"/>
    <w:rsid w:val="00292C0C"/>
    <w:rsid w:val="00292CC3"/>
    <w:rsid w:val="00292D34"/>
    <w:rsid w:val="00292E8E"/>
    <w:rsid w:val="00292F14"/>
    <w:rsid w:val="00292FC9"/>
    <w:rsid w:val="0029302D"/>
    <w:rsid w:val="0029312F"/>
    <w:rsid w:val="0029317F"/>
    <w:rsid w:val="002931CB"/>
    <w:rsid w:val="002932C6"/>
    <w:rsid w:val="0029334A"/>
    <w:rsid w:val="002933A0"/>
    <w:rsid w:val="002934BC"/>
    <w:rsid w:val="0029350C"/>
    <w:rsid w:val="00293515"/>
    <w:rsid w:val="0029365A"/>
    <w:rsid w:val="0029369A"/>
    <w:rsid w:val="002938B6"/>
    <w:rsid w:val="002938D4"/>
    <w:rsid w:val="00293944"/>
    <w:rsid w:val="00293CA3"/>
    <w:rsid w:val="00293CA6"/>
    <w:rsid w:val="00293D5E"/>
    <w:rsid w:val="00293D6D"/>
    <w:rsid w:val="00293E1F"/>
    <w:rsid w:val="002941A5"/>
    <w:rsid w:val="002941AD"/>
    <w:rsid w:val="002941C8"/>
    <w:rsid w:val="002942D8"/>
    <w:rsid w:val="002943E9"/>
    <w:rsid w:val="0029444E"/>
    <w:rsid w:val="002944D1"/>
    <w:rsid w:val="00294505"/>
    <w:rsid w:val="0029462E"/>
    <w:rsid w:val="00294788"/>
    <w:rsid w:val="00294883"/>
    <w:rsid w:val="002948B0"/>
    <w:rsid w:val="0029494F"/>
    <w:rsid w:val="00294AD8"/>
    <w:rsid w:val="00294C13"/>
    <w:rsid w:val="00294D95"/>
    <w:rsid w:val="00294EC4"/>
    <w:rsid w:val="00294ECD"/>
    <w:rsid w:val="00294EEA"/>
    <w:rsid w:val="00294F1C"/>
    <w:rsid w:val="00294F2B"/>
    <w:rsid w:val="00295067"/>
    <w:rsid w:val="0029514B"/>
    <w:rsid w:val="002951D9"/>
    <w:rsid w:val="002951FF"/>
    <w:rsid w:val="0029529E"/>
    <w:rsid w:val="0029537B"/>
    <w:rsid w:val="00295387"/>
    <w:rsid w:val="002953D9"/>
    <w:rsid w:val="002956B1"/>
    <w:rsid w:val="00295748"/>
    <w:rsid w:val="00295784"/>
    <w:rsid w:val="002957D3"/>
    <w:rsid w:val="002959B5"/>
    <w:rsid w:val="00295AEE"/>
    <w:rsid w:val="00295B26"/>
    <w:rsid w:val="00295C05"/>
    <w:rsid w:val="00295CED"/>
    <w:rsid w:val="00295D18"/>
    <w:rsid w:val="00296082"/>
    <w:rsid w:val="00296125"/>
    <w:rsid w:val="0029616F"/>
    <w:rsid w:val="002962C6"/>
    <w:rsid w:val="0029650F"/>
    <w:rsid w:val="00296630"/>
    <w:rsid w:val="00296650"/>
    <w:rsid w:val="00296660"/>
    <w:rsid w:val="002967FB"/>
    <w:rsid w:val="0029699A"/>
    <w:rsid w:val="00296A0B"/>
    <w:rsid w:val="00296B45"/>
    <w:rsid w:val="00296D3E"/>
    <w:rsid w:val="002970FC"/>
    <w:rsid w:val="00297469"/>
    <w:rsid w:val="00297523"/>
    <w:rsid w:val="00297646"/>
    <w:rsid w:val="00297658"/>
    <w:rsid w:val="0029774A"/>
    <w:rsid w:val="0029774B"/>
    <w:rsid w:val="0029788C"/>
    <w:rsid w:val="002978C3"/>
    <w:rsid w:val="00297924"/>
    <w:rsid w:val="00297971"/>
    <w:rsid w:val="00297A0C"/>
    <w:rsid w:val="00297D68"/>
    <w:rsid w:val="00297D76"/>
    <w:rsid w:val="00297E33"/>
    <w:rsid w:val="00297E36"/>
    <w:rsid w:val="00297E95"/>
    <w:rsid w:val="00297F42"/>
    <w:rsid w:val="002A003E"/>
    <w:rsid w:val="002A024D"/>
    <w:rsid w:val="002A02A3"/>
    <w:rsid w:val="002A0411"/>
    <w:rsid w:val="002A0550"/>
    <w:rsid w:val="002A05F5"/>
    <w:rsid w:val="002A069C"/>
    <w:rsid w:val="002A06E6"/>
    <w:rsid w:val="002A075D"/>
    <w:rsid w:val="002A080A"/>
    <w:rsid w:val="002A0A55"/>
    <w:rsid w:val="002A0AE5"/>
    <w:rsid w:val="002A0C35"/>
    <w:rsid w:val="002A0E87"/>
    <w:rsid w:val="002A0FD5"/>
    <w:rsid w:val="002A1017"/>
    <w:rsid w:val="002A1046"/>
    <w:rsid w:val="002A1077"/>
    <w:rsid w:val="002A1097"/>
    <w:rsid w:val="002A1109"/>
    <w:rsid w:val="002A118E"/>
    <w:rsid w:val="002A1611"/>
    <w:rsid w:val="002A164B"/>
    <w:rsid w:val="002A1786"/>
    <w:rsid w:val="002A1951"/>
    <w:rsid w:val="002A1A7A"/>
    <w:rsid w:val="002A1AE0"/>
    <w:rsid w:val="002A1B2F"/>
    <w:rsid w:val="002A1CE0"/>
    <w:rsid w:val="002A1D4A"/>
    <w:rsid w:val="002A1DDC"/>
    <w:rsid w:val="002A1E78"/>
    <w:rsid w:val="002A1E7A"/>
    <w:rsid w:val="002A20D2"/>
    <w:rsid w:val="002A21D2"/>
    <w:rsid w:val="002A23A0"/>
    <w:rsid w:val="002A2465"/>
    <w:rsid w:val="002A2601"/>
    <w:rsid w:val="002A260C"/>
    <w:rsid w:val="002A274F"/>
    <w:rsid w:val="002A2911"/>
    <w:rsid w:val="002A2AA9"/>
    <w:rsid w:val="002A2ACB"/>
    <w:rsid w:val="002A2B5E"/>
    <w:rsid w:val="002A2C66"/>
    <w:rsid w:val="002A2C6B"/>
    <w:rsid w:val="002A2C6C"/>
    <w:rsid w:val="002A2CEC"/>
    <w:rsid w:val="002A2D99"/>
    <w:rsid w:val="002A2E53"/>
    <w:rsid w:val="002A2EBD"/>
    <w:rsid w:val="002A2ECF"/>
    <w:rsid w:val="002A2F90"/>
    <w:rsid w:val="002A3170"/>
    <w:rsid w:val="002A318A"/>
    <w:rsid w:val="002A3200"/>
    <w:rsid w:val="002A36E0"/>
    <w:rsid w:val="002A3858"/>
    <w:rsid w:val="002A3862"/>
    <w:rsid w:val="002A390C"/>
    <w:rsid w:val="002A3AC1"/>
    <w:rsid w:val="002A3AE5"/>
    <w:rsid w:val="002A3AFE"/>
    <w:rsid w:val="002A3B49"/>
    <w:rsid w:val="002A3B85"/>
    <w:rsid w:val="002A3D0B"/>
    <w:rsid w:val="002A3D91"/>
    <w:rsid w:val="002A3FE8"/>
    <w:rsid w:val="002A40D0"/>
    <w:rsid w:val="002A4158"/>
    <w:rsid w:val="002A42AE"/>
    <w:rsid w:val="002A444E"/>
    <w:rsid w:val="002A45E7"/>
    <w:rsid w:val="002A477A"/>
    <w:rsid w:val="002A4796"/>
    <w:rsid w:val="002A48D8"/>
    <w:rsid w:val="002A49C7"/>
    <w:rsid w:val="002A4B12"/>
    <w:rsid w:val="002A4B89"/>
    <w:rsid w:val="002A4C53"/>
    <w:rsid w:val="002A4D0F"/>
    <w:rsid w:val="002A4D22"/>
    <w:rsid w:val="002A4D69"/>
    <w:rsid w:val="002A4F22"/>
    <w:rsid w:val="002A4FDA"/>
    <w:rsid w:val="002A508A"/>
    <w:rsid w:val="002A51BF"/>
    <w:rsid w:val="002A51EE"/>
    <w:rsid w:val="002A5439"/>
    <w:rsid w:val="002A5551"/>
    <w:rsid w:val="002A5564"/>
    <w:rsid w:val="002A55F7"/>
    <w:rsid w:val="002A5624"/>
    <w:rsid w:val="002A56E0"/>
    <w:rsid w:val="002A5818"/>
    <w:rsid w:val="002A588A"/>
    <w:rsid w:val="002A596D"/>
    <w:rsid w:val="002A59B5"/>
    <w:rsid w:val="002A5ACA"/>
    <w:rsid w:val="002A5B32"/>
    <w:rsid w:val="002A5BB5"/>
    <w:rsid w:val="002A5D61"/>
    <w:rsid w:val="002A5E6E"/>
    <w:rsid w:val="002A5F08"/>
    <w:rsid w:val="002A5FAD"/>
    <w:rsid w:val="002A6077"/>
    <w:rsid w:val="002A60DB"/>
    <w:rsid w:val="002A60F0"/>
    <w:rsid w:val="002A65D2"/>
    <w:rsid w:val="002A670F"/>
    <w:rsid w:val="002A6716"/>
    <w:rsid w:val="002A67DB"/>
    <w:rsid w:val="002A6859"/>
    <w:rsid w:val="002A68E4"/>
    <w:rsid w:val="002A69CF"/>
    <w:rsid w:val="002A6B0D"/>
    <w:rsid w:val="002A6B9E"/>
    <w:rsid w:val="002A6BB5"/>
    <w:rsid w:val="002A6C34"/>
    <w:rsid w:val="002A6CAC"/>
    <w:rsid w:val="002A6F6A"/>
    <w:rsid w:val="002A71C1"/>
    <w:rsid w:val="002A72C5"/>
    <w:rsid w:val="002A73CB"/>
    <w:rsid w:val="002A7436"/>
    <w:rsid w:val="002A743B"/>
    <w:rsid w:val="002A75C0"/>
    <w:rsid w:val="002A767E"/>
    <w:rsid w:val="002A77F8"/>
    <w:rsid w:val="002A79A6"/>
    <w:rsid w:val="002A79AE"/>
    <w:rsid w:val="002A7A27"/>
    <w:rsid w:val="002A7A9A"/>
    <w:rsid w:val="002A7BCF"/>
    <w:rsid w:val="002A7EB6"/>
    <w:rsid w:val="002A7F01"/>
    <w:rsid w:val="002A7F2D"/>
    <w:rsid w:val="002A7F8B"/>
    <w:rsid w:val="002A7FC8"/>
    <w:rsid w:val="002B0008"/>
    <w:rsid w:val="002B00DA"/>
    <w:rsid w:val="002B01D6"/>
    <w:rsid w:val="002B02A4"/>
    <w:rsid w:val="002B05F8"/>
    <w:rsid w:val="002B0678"/>
    <w:rsid w:val="002B068C"/>
    <w:rsid w:val="002B068E"/>
    <w:rsid w:val="002B07C2"/>
    <w:rsid w:val="002B098E"/>
    <w:rsid w:val="002B09AB"/>
    <w:rsid w:val="002B0B00"/>
    <w:rsid w:val="002B0BB3"/>
    <w:rsid w:val="002B0BD8"/>
    <w:rsid w:val="002B0BFE"/>
    <w:rsid w:val="002B0DA8"/>
    <w:rsid w:val="002B0DB5"/>
    <w:rsid w:val="002B0E56"/>
    <w:rsid w:val="002B0FF4"/>
    <w:rsid w:val="002B1003"/>
    <w:rsid w:val="002B1129"/>
    <w:rsid w:val="002B1183"/>
    <w:rsid w:val="002B13B1"/>
    <w:rsid w:val="002B13EE"/>
    <w:rsid w:val="002B157B"/>
    <w:rsid w:val="002B159B"/>
    <w:rsid w:val="002B16A3"/>
    <w:rsid w:val="002B18D0"/>
    <w:rsid w:val="002B1917"/>
    <w:rsid w:val="002B1B27"/>
    <w:rsid w:val="002B1C44"/>
    <w:rsid w:val="002B1C9F"/>
    <w:rsid w:val="002B1CE5"/>
    <w:rsid w:val="002B1CE7"/>
    <w:rsid w:val="002B1D41"/>
    <w:rsid w:val="002B1D44"/>
    <w:rsid w:val="002B1D5B"/>
    <w:rsid w:val="002B1DA0"/>
    <w:rsid w:val="002B1F63"/>
    <w:rsid w:val="002B2374"/>
    <w:rsid w:val="002B237E"/>
    <w:rsid w:val="002B2597"/>
    <w:rsid w:val="002B25CF"/>
    <w:rsid w:val="002B2662"/>
    <w:rsid w:val="002B276C"/>
    <w:rsid w:val="002B27F3"/>
    <w:rsid w:val="002B2840"/>
    <w:rsid w:val="002B2A33"/>
    <w:rsid w:val="002B2A82"/>
    <w:rsid w:val="002B2C15"/>
    <w:rsid w:val="002B2E25"/>
    <w:rsid w:val="002B2F25"/>
    <w:rsid w:val="002B2FA0"/>
    <w:rsid w:val="002B3177"/>
    <w:rsid w:val="002B3545"/>
    <w:rsid w:val="002B357F"/>
    <w:rsid w:val="002B364F"/>
    <w:rsid w:val="002B378D"/>
    <w:rsid w:val="002B37B5"/>
    <w:rsid w:val="002B38FF"/>
    <w:rsid w:val="002B39DC"/>
    <w:rsid w:val="002B3A37"/>
    <w:rsid w:val="002B3B6A"/>
    <w:rsid w:val="002B3BA6"/>
    <w:rsid w:val="002B3C50"/>
    <w:rsid w:val="002B3E21"/>
    <w:rsid w:val="002B3F51"/>
    <w:rsid w:val="002B40E0"/>
    <w:rsid w:val="002B4257"/>
    <w:rsid w:val="002B42ED"/>
    <w:rsid w:val="002B43ED"/>
    <w:rsid w:val="002B4412"/>
    <w:rsid w:val="002B44A6"/>
    <w:rsid w:val="002B44BE"/>
    <w:rsid w:val="002B4573"/>
    <w:rsid w:val="002B470D"/>
    <w:rsid w:val="002B47E0"/>
    <w:rsid w:val="002B4878"/>
    <w:rsid w:val="002B48DD"/>
    <w:rsid w:val="002B4924"/>
    <w:rsid w:val="002B4A24"/>
    <w:rsid w:val="002B4ACC"/>
    <w:rsid w:val="002B4BA4"/>
    <w:rsid w:val="002B4C9D"/>
    <w:rsid w:val="002B4CB9"/>
    <w:rsid w:val="002B4DAB"/>
    <w:rsid w:val="002B4ED2"/>
    <w:rsid w:val="002B4F70"/>
    <w:rsid w:val="002B4FED"/>
    <w:rsid w:val="002B519D"/>
    <w:rsid w:val="002B5274"/>
    <w:rsid w:val="002B52A1"/>
    <w:rsid w:val="002B5381"/>
    <w:rsid w:val="002B5414"/>
    <w:rsid w:val="002B5417"/>
    <w:rsid w:val="002B5470"/>
    <w:rsid w:val="002B54AA"/>
    <w:rsid w:val="002B54D9"/>
    <w:rsid w:val="002B555E"/>
    <w:rsid w:val="002B55A2"/>
    <w:rsid w:val="002B56EA"/>
    <w:rsid w:val="002B5710"/>
    <w:rsid w:val="002B58A3"/>
    <w:rsid w:val="002B5940"/>
    <w:rsid w:val="002B5960"/>
    <w:rsid w:val="002B5B05"/>
    <w:rsid w:val="002B5BAC"/>
    <w:rsid w:val="002B5E43"/>
    <w:rsid w:val="002B6039"/>
    <w:rsid w:val="002B603A"/>
    <w:rsid w:val="002B6236"/>
    <w:rsid w:val="002B6269"/>
    <w:rsid w:val="002B62CD"/>
    <w:rsid w:val="002B630C"/>
    <w:rsid w:val="002B6314"/>
    <w:rsid w:val="002B63D4"/>
    <w:rsid w:val="002B6436"/>
    <w:rsid w:val="002B649E"/>
    <w:rsid w:val="002B64C2"/>
    <w:rsid w:val="002B64F2"/>
    <w:rsid w:val="002B6624"/>
    <w:rsid w:val="002B6669"/>
    <w:rsid w:val="002B6703"/>
    <w:rsid w:val="002B6818"/>
    <w:rsid w:val="002B691F"/>
    <w:rsid w:val="002B6975"/>
    <w:rsid w:val="002B6B57"/>
    <w:rsid w:val="002B6BA2"/>
    <w:rsid w:val="002B6CB4"/>
    <w:rsid w:val="002B6E82"/>
    <w:rsid w:val="002B6F18"/>
    <w:rsid w:val="002B7030"/>
    <w:rsid w:val="002B70D1"/>
    <w:rsid w:val="002B717B"/>
    <w:rsid w:val="002B72B0"/>
    <w:rsid w:val="002B73E5"/>
    <w:rsid w:val="002B73F8"/>
    <w:rsid w:val="002B76AF"/>
    <w:rsid w:val="002B774D"/>
    <w:rsid w:val="002B77BD"/>
    <w:rsid w:val="002B78E2"/>
    <w:rsid w:val="002B7931"/>
    <w:rsid w:val="002B7ADF"/>
    <w:rsid w:val="002B7B10"/>
    <w:rsid w:val="002B7BD0"/>
    <w:rsid w:val="002B7BDF"/>
    <w:rsid w:val="002B7D11"/>
    <w:rsid w:val="002B7D19"/>
    <w:rsid w:val="002B7E2E"/>
    <w:rsid w:val="002B7E69"/>
    <w:rsid w:val="002B7F3E"/>
    <w:rsid w:val="002C03EC"/>
    <w:rsid w:val="002C047F"/>
    <w:rsid w:val="002C0508"/>
    <w:rsid w:val="002C05B7"/>
    <w:rsid w:val="002C062D"/>
    <w:rsid w:val="002C067A"/>
    <w:rsid w:val="002C070B"/>
    <w:rsid w:val="002C07CA"/>
    <w:rsid w:val="002C07CB"/>
    <w:rsid w:val="002C0869"/>
    <w:rsid w:val="002C0969"/>
    <w:rsid w:val="002C097D"/>
    <w:rsid w:val="002C0A66"/>
    <w:rsid w:val="002C0AB1"/>
    <w:rsid w:val="002C0B08"/>
    <w:rsid w:val="002C0D6E"/>
    <w:rsid w:val="002C0F4E"/>
    <w:rsid w:val="002C1056"/>
    <w:rsid w:val="002C10D5"/>
    <w:rsid w:val="002C11EA"/>
    <w:rsid w:val="002C1261"/>
    <w:rsid w:val="002C1347"/>
    <w:rsid w:val="002C13C3"/>
    <w:rsid w:val="002C1525"/>
    <w:rsid w:val="002C152C"/>
    <w:rsid w:val="002C156C"/>
    <w:rsid w:val="002C160F"/>
    <w:rsid w:val="002C1718"/>
    <w:rsid w:val="002C1774"/>
    <w:rsid w:val="002C1849"/>
    <w:rsid w:val="002C18AF"/>
    <w:rsid w:val="002C1AA4"/>
    <w:rsid w:val="002C1ADA"/>
    <w:rsid w:val="002C1B1C"/>
    <w:rsid w:val="002C1B3F"/>
    <w:rsid w:val="002C1C61"/>
    <w:rsid w:val="002C1E09"/>
    <w:rsid w:val="002C1EB2"/>
    <w:rsid w:val="002C1F21"/>
    <w:rsid w:val="002C1FBE"/>
    <w:rsid w:val="002C203A"/>
    <w:rsid w:val="002C2223"/>
    <w:rsid w:val="002C22FE"/>
    <w:rsid w:val="002C2453"/>
    <w:rsid w:val="002C24A8"/>
    <w:rsid w:val="002C25E4"/>
    <w:rsid w:val="002C25F7"/>
    <w:rsid w:val="002C270E"/>
    <w:rsid w:val="002C282D"/>
    <w:rsid w:val="002C28C7"/>
    <w:rsid w:val="002C2ACB"/>
    <w:rsid w:val="002C2B8F"/>
    <w:rsid w:val="002C2C16"/>
    <w:rsid w:val="002C2D26"/>
    <w:rsid w:val="002C2DAE"/>
    <w:rsid w:val="002C2EFF"/>
    <w:rsid w:val="002C2FAC"/>
    <w:rsid w:val="002C30E8"/>
    <w:rsid w:val="002C3158"/>
    <w:rsid w:val="002C33AE"/>
    <w:rsid w:val="002C35AC"/>
    <w:rsid w:val="002C35D0"/>
    <w:rsid w:val="002C3667"/>
    <w:rsid w:val="002C367B"/>
    <w:rsid w:val="002C375E"/>
    <w:rsid w:val="002C376F"/>
    <w:rsid w:val="002C3785"/>
    <w:rsid w:val="002C392E"/>
    <w:rsid w:val="002C39C3"/>
    <w:rsid w:val="002C39E2"/>
    <w:rsid w:val="002C3A13"/>
    <w:rsid w:val="002C3A7E"/>
    <w:rsid w:val="002C3AE2"/>
    <w:rsid w:val="002C3B82"/>
    <w:rsid w:val="002C3B93"/>
    <w:rsid w:val="002C3C05"/>
    <w:rsid w:val="002C3C06"/>
    <w:rsid w:val="002C3CB5"/>
    <w:rsid w:val="002C3D9E"/>
    <w:rsid w:val="002C3E54"/>
    <w:rsid w:val="002C3EB2"/>
    <w:rsid w:val="002C3ED5"/>
    <w:rsid w:val="002C3F36"/>
    <w:rsid w:val="002C41C8"/>
    <w:rsid w:val="002C424E"/>
    <w:rsid w:val="002C426B"/>
    <w:rsid w:val="002C4295"/>
    <w:rsid w:val="002C42D3"/>
    <w:rsid w:val="002C42FE"/>
    <w:rsid w:val="002C432E"/>
    <w:rsid w:val="002C4882"/>
    <w:rsid w:val="002C4A10"/>
    <w:rsid w:val="002C4A21"/>
    <w:rsid w:val="002C4A89"/>
    <w:rsid w:val="002C4AFE"/>
    <w:rsid w:val="002C4C45"/>
    <w:rsid w:val="002C4C94"/>
    <w:rsid w:val="002C4D2B"/>
    <w:rsid w:val="002C4D93"/>
    <w:rsid w:val="002C5064"/>
    <w:rsid w:val="002C513A"/>
    <w:rsid w:val="002C51BE"/>
    <w:rsid w:val="002C53B4"/>
    <w:rsid w:val="002C53C2"/>
    <w:rsid w:val="002C5522"/>
    <w:rsid w:val="002C5735"/>
    <w:rsid w:val="002C584E"/>
    <w:rsid w:val="002C591E"/>
    <w:rsid w:val="002C59DF"/>
    <w:rsid w:val="002C5A90"/>
    <w:rsid w:val="002C5AAF"/>
    <w:rsid w:val="002C5BDC"/>
    <w:rsid w:val="002C5F48"/>
    <w:rsid w:val="002C5FC7"/>
    <w:rsid w:val="002C613A"/>
    <w:rsid w:val="002C61D2"/>
    <w:rsid w:val="002C6237"/>
    <w:rsid w:val="002C62D6"/>
    <w:rsid w:val="002C633F"/>
    <w:rsid w:val="002C6360"/>
    <w:rsid w:val="002C6547"/>
    <w:rsid w:val="002C673F"/>
    <w:rsid w:val="002C676B"/>
    <w:rsid w:val="002C6795"/>
    <w:rsid w:val="002C688B"/>
    <w:rsid w:val="002C68A1"/>
    <w:rsid w:val="002C698A"/>
    <w:rsid w:val="002C6B2C"/>
    <w:rsid w:val="002C6B82"/>
    <w:rsid w:val="002C6D35"/>
    <w:rsid w:val="002C6D7C"/>
    <w:rsid w:val="002C6D8B"/>
    <w:rsid w:val="002C6E79"/>
    <w:rsid w:val="002C6ED8"/>
    <w:rsid w:val="002C72BE"/>
    <w:rsid w:val="002C72D5"/>
    <w:rsid w:val="002C72E6"/>
    <w:rsid w:val="002C7390"/>
    <w:rsid w:val="002C7441"/>
    <w:rsid w:val="002C7467"/>
    <w:rsid w:val="002C747F"/>
    <w:rsid w:val="002C75FD"/>
    <w:rsid w:val="002C7628"/>
    <w:rsid w:val="002C781A"/>
    <w:rsid w:val="002C78F5"/>
    <w:rsid w:val="002C793B"/>
    <w:rsid w:val="002C79CB"/>
    <w:rsid w:val="002C7C3A"/>
    <w:rsid w:val="002C7CF3"/>
    <w:rsid w:val="002C7D7F"/>
    <w:rsid w:val="002C7DA1"/>
    <w:rsid w:val="002C7DFE"/>
    <w:rsid w:val="002D0170"/>
    <w:rsid w:val="002D01C0"/>
    <w:rsid w:val="002D022F"/>
    <w:rsid w:val="002D0441"/>
    <w:rsid w:val="002D04A6"/>
    <w:rsid w:val="002D05EC"/>
    <w:rsid w:val="002D05F0"/>
    <w:rsid w:val="002D0666"/>
    <w:rsid w:val="002D0784"/>
    <w:rsid w:val="002D07A3"/>
    <w:rsid w:val="002D07F9"/>
    <w:rsid w:val="002D0806"/>
    <w:rsid w:val="002D0A4B"/>
    <w:rsid w:val="002D0A9A"/>
    <w:rsid w:val="002D0B7E"/>
    <w:rsid w:val="002D0C8F"/>
    <w:rsid w:val="002D0CA0"/>
    <w:rsid w:val="002D0CDB"/>
    <w:rsid w:val="002D0E44"/>
    <w:rsid w:val="002D0EA6"/>
    <w:rsid w:val="002D106F"/>
    <w:rsid w:val="002D1074"/>
    <w:rsid w:val="002D11A1"/>
    <w:rsid w:val="002D125D"/>
    <w:rsid w:val="002D1270"/>
    <w:rsid w:val="002D155B"/>
    <w:rsid w:val="002D15C1"/>
    <w:rsid w:val="002D17E9"/>
    <w:rsid w:val="002D18D6"/>
    <w:rsid w:val="002D1A03"/>
    <w:rsid w:val="002D1A22"/>
    <w:rsid w:val="002D1A2D"/>
    <w:rsid w:val="002D1A98"/>
    <w:rsid w:val="002D1BB7"/>
    <w:rsid w:val="002D1D71"/>
    <w:rsid w:val="002D1E72"/>
    <w:rsid w:val="002D1E8A"/>
    <w:rsid w:val="002D1F80"/>
    <w:rsid w:val="002D1FCD"/>
    <w:rsid w:val="002D2049"/>
    <w:rsid w:val="002D2290"/>
    <w:rsid w:val="002D22BE"/>
    <w:rsid w:val="002D230C"/>
    <w:rsid w:val="002D2344"/>
    <w:rsid w:val="002D2539"/>
    <w:rsid w:val="002D25BE"/>
    <w:rsid w:val="002D264B"/>
    <w:rsid w:val="002D27D1"/>
    <w:rsid w:val="002D28F9"/>
    <w:rsid w:val="002D2942"/>
    <w:rsid w:val="002D2A02"/>
    <w:rsid w:val="002D2A7E"/>
    <w:rsid w:val="002D2B9B"/>
    <w:rsid w:val="002D2C19"/>
    <w:rsid w:val="002D2CBA"/>
    <w:rsid w:val="002D2D60"/>
    <w:rsid w:val="002D2D8C"/>
    <w:rsid w:val="002D2DBE"/>
    <w:rsid w:val="002D2E29"/>
    <w:rsid w:val="002D2F7B"/>
    <w:rsid w:val="002D2FC1"/>
    <w:rsid w:val="002D2FED"/>
    <w:rsid w:val="002D3008"/>
    <w:rsid w:val="002D3028"/>
    <w:rsid w:val="002D316A"/>
    <w:rsid w:val="002D3250"/>
    <w:rsid w:val="002D3269"/>
    <w:rsid w:val="002D33F8"/>
    <w:rsid w:val="002D36AE"/>
    <w:rsid w:val="002D383B"/>
    <w:rsid w:val="002D3843"/>
    <w:rsid w:val="002D3851"/>
    <w:rsid w:val="002D388B"/>
    <w:rsid w:val="002D3894"/>
    <w:rsid w:val="002D38E3"/>
    <w:rsid w:val="002D3A70"/>
    <w:rsid w:val="002D3B6C"/>
    <w:rsid w:val="002D3E01"/>
    <w:rsid w:val="002D3E21"/>
    <w:rsid w:val="002D3F4F"/>
    <w:rsid w:val="002D4084"/>
    <w:rsid w:val="002D4124"/>
    <w:rsid w:val="002D4227"/>
    <w:rsid w:val="002D4228"/>
    <w:rsid w:val="002D428E"/>
    <w:rsid w:val="002D4769"/>
    <w:rsid w:val="002D483E"/>
    <w:rsid w:val="002D4860"/>
    <w:rsid w:val="002D4932"/>
    <w:rsid w:val="002D495D"/>
    <w:rsid w:val="002D4976"/>
    <w:rsid w:val="002D4A32"/>
    <w:rsid w:val="002D4B8D"/>
    <w:rsid w:val="002D4D0D"/>
    <w:rsid w:val="002D4DBE"/>
    <w:rsid w:val="002D4DDC"/>
    <w:rsid w:val="002D4EBE"/>
    <w:rsid w:val="002D5199"/>
    <w:rsid w:val="002D526B"/>
    <w:rsid w:val="002D528F"/>
    <w:rsid w:val="002D538A"/>
    <w:rsid w:val="002D541D"/>
    <w:rsid w:val="002D5467"/>
    <w:rsid w:val="002D5553"/>
    <w:rsid w:val="002D55A1"/>
    <w:rsid w:val="002D5786"/>
    <w:rsid w:val="002D57DC"/>
    <w:rsid w:val="002D57E0"/>
    <w:rsid w:val="002D5BC1"/>
    <w:rsid w:val="002D5C79"/>
    <w:rsid w:val="002D5E28"/>
    <w:rsid w:val="002D5F7E"/>
    <w:rsid w:val="002D617E"/>
    <w:rsid w:val="002D61E6"/>
    <w:rsid w:val="002D6348"/>
    <w:rsid w:val="002D639D"/>
    <w:rsid w:val="002D64A3"/>
    <w:rsid w:val="002D6567"/>
    <w:rsid w:val="002D65D2"/>
    <w:rsid w:val="002D6640"/>
    <w:rsid w:val="002D678F"/>
    <w:rsid w:val="002D681E"/>
    <w:rsid w:val="002D689E"/>
    <w:rsid w:val="002D68D7"/>
    <w:rsid w:val="002D6A68"/>
    <w:rsid w:val="002D6AF3"/>
    <w:rsid w:val="002D6BC0"/>
    <w:rsid w:val="002D6BD6"/>
    <w:rsid w:val="002D6D24"/>
    <w:rsid w:val="002D6D98"/>
    <w:rsid w:val="002D6DD4"/>
    <w:rsid w:val="002D6E59"/>
    <w:rsid w:val="002D6F52"/>
    <w:rsid w:val="002D6F6A"/>
    <w:rsid w:val="002D7029"/>
    <w:rsid w:val="002D70AC"/>
    <w:rsid w:val="002D71AF"/>
    <w:rsid w:val="002D721B"/>
    <w:rsid w:val="002D7270"/>
    <w:rsid w:val="002D72B4"/>
    <w:rsid w:val="002D73DD"/>
    <w:rsid w:val="002D74F3"/>
    <w:rsid w:val="002D759A"/>
    <w:rsid w:val="002D75FA"/>
    <w:rsid w:val="002D7740"/>
    <w:rsid w:val="002D7806"/>
    <w:rsid w:val="002D7815"/>
    <w:rsid w:val="002D7869"/>
    <w:rsid w:val="002D792C"/>
    <w:rsid w:val="002D7BE6"/>
    <w:rsid w:val="002D7F32"/>
    <w:rsid w:val="002E01A6"/>
    <w:rsid w:val="002E01AB"/>
    <w:rsid w:val="002E02A9"/>
    <w:rsid w:val="002E036F"/>
    <w:rsid w:val="002E0670"/>
    <w:rsid w:val="002E06F3"/>
    <w:rsid w:val="002E099C"/>
    <w:rsid w:val="002E09E8"/>
    <w:rsid w:val="002E0A95"/>
    <w:rsid w:val="002E0ABF"/>
    <w:rsid w:val="002E0CFF"/>
    <w:rsid w:val="002E0D13"/>
    <w:rsid w:val="002E0DA6"/>
    <w:rsid w:val="002E0E25"/>
    <w:rsid w:val="002E0E90"/>
    <w:rsid w:val="002E0F08"/>
    <w:rsid w:val="002E0FBC"/>
    <w:rsid w:val="002E1016"/>
    <w:rsid w:val="002E1194"/>
    <w:rsid w:val="002E1235"/>
    <w:rsid w:val="002E1443"/>
    <w:rsid w:val="002E14E8"/>
    <w:rsid w:val="002E1629"/>
    <w:rsid w:val="002E16F0"/>
    <w:rsid w:val="002E181C"/>
    <w:rsid w:val="002E190E"/>
    <w:rsid w:val="002E1935"/>
    <w:rsid w:val="002E1A65"/>
    <w:rsid w:val="002E1B27"/>
    <w:rsid w:val="002E1D05"/>
    <w:rsid w:val="002E1E0C"/>
    <w:rsid w:val="002E1E4C"/>
    <w:rsid w:val="002E1F99"/>
    <w:rsid w:val="002E2301"/>
    <w:rsid w:val="002E234F"/>
    <w:rsid w:val="002E23B4"/>
    <w:rsid w:val="002E23B8"/>
    <w:rsid w:val="002E24D1"/>
    <w:rsid w:val="002E25C5"/>
    <w:rsid w:val="002E285D"/>
    <w:rsid w:val="002E2B53"/>
    <w:rsid w:val="002E2BF1"/>
    <w:rsid w:val="002E2C5E"/>
    <w:rsid w:val="002E2C6E"/>
    <w:rsid w:val="002E2E06"/>
    <w:rsid w:val="002E2E71"/>
    <w:rsid w:val="002E2F33"/>
    <w:rsid w:val="002E2F3B"/>
    <w:rsid w:val="002E2F64"/>
    <w:rsid w:val="002E2FA3"/>
    <w:rsid w:val="002E2FC5"/>
    <w:rsid w:val="002E305C"/>
    <w:rsid w:val="002E32DA"/>
    <w:rsid w:val="002E356D"/>
    <w:rsid w:val="002E35EA"/>
    <w:rsid w:val="002E37BE"/>
    <w:rsid w:val="002E37FD"/>
    <w:rsid w:val="002E395B"/>
    <w:rsid w:val="002E398C"/>
    <w:rsid w:val="002E3AE0"/>
    <w:rsid w:val="002E3AEE"/>
    <w:rsid w:val="002E3BF4"/>
    <w:rsid w:val="002E3D2A"/>
    <w:rsid w:val="002E3F0C"/>
    <w:rsid w:val="002E3FAE"/>
    <w:rsid w:val="002E3FE6"/>
    <w:rsid w:val="002E42BD"/>
    <w:rsid w:val="002E435B"/>
    <w:rsid w:val="002E43B3"/>
    <w:rsid w:val="002E43E6"/>
    <w:rsid w:val="002E4425"/>
    <w:rsid w:val="002E456C"/>
    <w:rsid w:val="002E45A6"/>
    <w:rsid w:val="002E48C4"/>
    <w:rsid w:val="002E4AA8"/>
    <w:rsid w:val="002E4B48"/>
    <w:rsid w:val="002E4F90"/>
    <w:rsid w:val="002E500A"/>
    <w:rsid w:val="002E5015"/>
    <w:rsid w:val="002E502D"/>
    <w:rsid w:val="002E50B8"/>
    <w:rsid w:val="002E52A8"/>
    <w:rsid w:val="002E537F"/>
    <w:rsid w:val="002E5568"/>
    <w:rsid w:val="002E5698"/>
    <w:rsid w:val="002E56B8"/>
    <w:rsid w:val="002E5753"/>
    <w:rsid w:val="002E57F4"/>
    <w:rsid w:val="002E5B59"/>
    <w:rsid w:val="002E5B9D"/>
    <w:rsid w:val="002E5BC2"/>
    <w:rsid w:val="002E5D11"/>
    <w:rsid w:val="002E6071"/>
    <w:rsid w:val="002E60B0"/>
    <w:rsid w:val="002E60F1"/>
    <w:rsid w:val="002E62B8"/>
    <w:rsid w:val="002E638A"/>
    <w:rsid w:val="002E64F7"/>
    <w:rsid w:val="002E655B"/>
    <w:rsid w:val="002E6580"/>
    <w:rsid w:val="002E6748"/>
    <w:rsid w:val="002E6935"/>
    <w:rsid w:val="002E69DB"/>
    <w:rsid w:val="002E6AC3"/>
    <w:rsid w:val="002E6BC4"/>
    <w:rsid w:val="002E6D4E"/>
    <w:rsid w:val="002E6DFD"/>
    <w:rsid w:val="002E6E19"/>
    <w:rsid w:val="002E6F72"/>
    <w:rsid w:val="002E711B"/>
    <w:rsid w:val="002E71FE"/>
    <w:rsid w:val="002E7414"/>
    <w:rsid w:val="002E74DF"/>
    <w:rsid w:val="002E7523"/>
    <w:rsid w:val="002E7582"/>
    <w:rsid w:val="002E7593"/>
    <w:rsid w:val="002E75F5"/>
    <w:rsid w:val="002E7816"/>
    <w:rsid w:val="002E784B"/>
    <w:rsid w:val="002E7998"/>
    <w:rsid w:val="002E799A"/>
    <w:rsid w:val="002E7A51"/>
    <w:rsid w:val="002E7A66"/>
    <w:rsid w:val="002E7B2A"/>
    <w:rsid w:val="002E7B67"/>
    <w:rsid w:val="002E7CDB"/>
    <w:rsid w:val="002E7D0D"/>
    <w:rsid w:val="002E7D25"/>
    <w:rsid w:val="002F01B8"/>
    <w:rsid w:val="002F01DE"/>
    <w:rsid w:val="002F0264"/>
    <w:rsid w:val="002F0416"/>
    <w:rsid w:val="002F0424"/>
    <w:rsid w:val="002F0583"/>
    <w:rsid w:val="002F0636"/>
    <w:rsid w:val="002F064E"/>
    <w:rsid w:val="002F06C8"/>
    <w:rsid w:val="002F071D"/>
    <w:rsid w:val="002F0729"/>
    <w:rsid w:val="002F079E"/>
    <w:rsid w:val="002F0B14"/>
    <w:rsid w:val="002F0C88"/>
    <w:rsid w:val="002F0D29"/>
    <w:rsid w:val="002F0DDF"/>
    <w:rsid w:val="002F0EFB"/>
    <w:rsid w:val="002F0FD8"/>
    <w:rsid w:val="002F1042"/>
    <w:rsid w:val="002F11AE"/>
    <w:rsid w:val="002F124F"/>
    <w:rsid w:val="002F13AA"/>
    <w:rsid w:val="002F1423"/>
    <w:rsid w:val="002F147D"/>
    <w:rsid w:val="002F14FF"/>
    <w:rsid w:val="002F16F8"/>
    <w:rsid w:val="002F171C"/>
    <w:rsid w:val="002F17BC"/>
    <w:rsid w:val="002F186B"/>
    <w:rsid w:val="002F1873"/>
    <w:rsid w:val="002F1B3E"/>
    <w:rsid w:val="002F1BF7"/>
    <w:rsid w:val="002F1CA2"/>
    <w:rsid w:val="002F1D76"/>
    <w:rsid w:val="002F1EB1"/>
    <w:rsid w:val="002F1FAB"/>
    <w:rsid w:val="002F1FDA"/>
    <w:rsid w:val="002F211B"/>
    <w:rsid w:val="002F21F3"/>
    <w:rsid w:val="002F232E"/>
    <w:rsid w:val="002F23A4"/>
    <w:rsid w:val="002F23E1"/>
    <w:rsid w:val="002F247D"/>
    <w:rsid w:val="002F24FF"/>
    <w:rsid w:val="002F2595"/>
    <w:rsid w:val="002F295A"/>
    <w:rsid w:val="002F2A1E"/>
    <w:rsid w:val="002F2A69"/>
    <w:rsid w:val="002F2B7A"/>
    <w:rsid w:val="002F2CCA"/>
    <w:rsid w:val="002F2D80"/>
    <w:rsid w:val="002F2DB1"/>
    <w:rsid w:val="002F2DFE"/>
    <w:rsid w:val="002F2F69"/>
    <w:rsid w:val="002F2FC0"/>
    <w:rsid w:val="002F306B"/>
    <w:rsid w:val="002F318F"/>
    <w:rsid w:val="002F31CD"/>
    <w:rsid w:val="002F321F"/>
    <w:rsid w:val="002F327A"/>
    <w:rsid w:val="002F3282"/>
    <w:rsid w:val="002F328E"/>
    <w:rsid w:val="002F33C0"/>
    <w:rsid w:val="002F33EF"/>
    <w:rsid w:val="002F34C8"/>
    <w:rsid w:val="002F3560"/>
    <w:rsid w:val="002F3591"/>
    <w:rsid w:val="002F3722"/>
    <w:rsid w:val="002F3724"/>
    <w:rsid w:val="002F37A5"/>
    <w:rsid w:val="002F38BF"/>
    <w:rsid w:val="002F393E"/>
    <w:rsid w:val="002F3A0D"/>
    <w:rsid w:val="002F3A1F"/>
    <w:rsid w:val="002F3A35"/>
    <w:rsid w:val="002F3ABF"/>
    <w:rsid w:val="002F3B06"/>
    <w:rsid w:val="002F3C75"/>
    <w:rsid w:val="002F3E4B"/>
    <w:rsid w:val="002F3E66"/>
    <w:rsid w:val="002F4062"/>
    <w:rsid w:val="002F406C"/>
    <w:rsid w:val="002F407A"/>
    <w:rsid w:val="002F4082"/>
    <w:rsid w:val="002F410D"/>
    <w:rsid w:val="002F416A"/>
    <w:rsid w:val="002F4174"/>
    <w:rsid w:val="002F435C"/>
    <w:rsid w:val="002F44D8"/>
    <w:rsid w:val="002F4628"/>
    <w:rsid w:val="002F4942"/>
    <w:rsid w:val="002F4999"/>
    <w:rsid w:val="002F4C19"/>
    <w:rsid w:val="002F4C20"/>
    <w:rsid w:val="002F4D00"/>
    <w:rsid w:val="002F5037"/>
    <w:rsid w:val="002F51A2"/>
    <w:rsid w:val="002F5255"/>
    <w:rsid w:val="002F5391"/>
    <w:rsid w:val="002F53C8"/>
    <w:rsid w:val="002F53E2"/>
    <w:rsid w:val="002F550B"/>
    <w:rsid w:val="002F5622"/>
    <w:rsid w:val="002F565F"/>
    <w:rsid w:val="002F57D9"/>
    <w:rsid w:val="002F598A"/>
    <w:rsid w:val="002F59B3"/>
    <w:rsid w:val="002F5A43"/>
    <w:rsid w:val="002F5A4B"/>
    <w:rsid w:val="002F5C2A"/>
    <w:rsid w:val="002F5C32"/>
    <w:rsid w:val="002F5C5D"/>
    <w:rsid w:val="002F5D52"/>
    <w:rsid w:val="002F5DB3"/>
    <w:rsid w:val="002F5ED4"/>
    <w:rsid w:val="002F5FD7"/>
    <w:rsid w:val="002F6029"/>
    <w:rsid w:val="002F6039"/>
    <w:rsid w:val="002F60F4"/>
    <w:rsid w:val="002F61AD"/>
    <w:rsid w:val="002F637D"/>
    <w:rsid w:val="002F63AE"/>
    <w:rsid w:val="002F6554"/>
    <w:rsid w:val="002F6656"/>
    <w:rsid w:val="002F6659"/>
    <w:rsid w:val="002F66CC"/>
    <w:rsid w:val="002F66DE"/>
    <w:rsid w:val="002F671D"/>
    <w:rsid w:val="002F67AC"/>
    <w:rsid w:val="002F6833"/>
    <w:rsid w:val="002F6B55"/>
    <w:rsid w:val="002F6D66"/>
    <w:rsid w:val="002F6DD1"/>
    <w:rsid w:val="002F6E6F"/>
    <w:rsid w:val="002F6EEB"/>
    <w:rsid w:val="002F6F5B"/>
    <w:rsid w:val="002F7270"/>
    <w:rsid w:val="002F73E9"/>
    <w:rsid w:val="002F7411"/>
    <w:rsid w:val="002F74A2"/>
    <w:rsid w:val="002F7554"/>
    <w:rsid w:val="002F769D"/>
    <w:rsid w:val="002F7775"/>
    <w:rsid w:val="002F789D"/>
    <w:rsid w:val="002F7A37"/>
    <w:rsid w:val="002F7A54"/>
    <w:rsid w:val="002F7A60"/>
    <w:rsid w:val="002F7A93"/>
    <w:rsid w:val="002F7A9B"/>
    <w:rsid w:val="002F7B76"/>
    <w:rsid w:val="002F7CA1"/>
    <w:rsid w:val="002F7E20"/>
    <w:rsid w:val="002F7E26"/>
    <w:rsid w:val="002F7E7B"/>
    <w:rsid w:val="002F7F95"/>
    <w:rsid w:val="00300094"/>
    <w:rsid w:val="003000A6"/>
    <w:rsid w:val="003000B5"/>
    <w:rsid w:val="003000F3"/>
    <w:rsid w:val="0030031C"/>
    <w:rsid w:val="00300365"/>
    <w:rsid w:val="0030044C"/>
    <w:rsid w:val="003005BC"/>
    <w:rsid w:val="0030072B"/>
    <w:rsid w:val="0030073F"/>
    <w:rsid w:val="0030084A"/>
    <w:rsid w:val="00300979"/>
    <w:rsid w:val="003009E8"/>
    <w:rsid w:val="00300A2F"/>
    <w:rsid w:val="00300BCD"/>
    <w:rsid w:val="00300C31"/>
    <w:rsid w:val="00300C3C"/>
    <w:rsid w:val="00300CC1"/>
    <w:rsid w:val="00300D49"/>
    <w:rsid w:val="00300E61"/>
    <w:rsid w:val="00300F27"/>
    <w:rsid w:val="003010CC"/>
    <w:rsid w:val="00301187"/>
    <w:rsid w:val="00301242"/>
    <w:rsid w:val="00301444"/>
    <w:rsid w:val="00301502"/>
    <w:rsid w:val="0030155C"/>
    <w:rsid w:val="003016A6"/>
    <w:rsid w:val="003019B1"/>
    <w:rsid w:val="00301ACA"/>
    <w:rsid w:val="00301B1B"/>
    <w:rsid w:val="00301C4F"/>
    <w:rsid w:val="00301C66"/>
    <w:rsid w:val="00301E87"/>
    <w:rsid w:val="00301EE6"/>
    <w:rsid w:val="00301EEC"/>
    <w:rsid w:val="00301F52"/>
    <w:rsid w:val="00302090"/>
    <w:rsid w:val="00302107"/>
    <w:rsid w:val="003021AA"/>
    <w:rsid w:val="00302312"/>
    <w:rsid w:val="00302376"/>
    <w:rsid w:val="0030259A"/>
    <w:rsid w:val="003025AF"/>
    <w:rsid w:val="00302777"/>
    <w:rsid w:val="0030286A"/>
    <w:rsid w:val="003028C4"/>
    <w:rsid w:val="003029E3"/>
    <w:rsid w:val="00302A2E"/>
    <w:rsid w:val="00302A9E"/>
    <w:rsid w:val="00302AE0"/>
    <w:rsid w:val="00302B30"/>
    <w:rsid w:val="00302B8E"/>
    <w:rsid w:val="00302B8F"/>
    <w:rsid w:val="00302BB5"/>
    <w:rsid w:val="00302C34"/>
    <w:rsid w:val="00302C35"/>
    <w:rsid w:val="00302DC4"/>
    <w:rsid w:val="00302E70"/>
    <w:rsid w:val="00302ECC"/>
    <w:rsid w:val="00302F00"/>
    <w:rsid w:val="00302F95"/>
    <w:rsid w:val="003031FB"/>
    <w:rsid w:val="00303449"/>
    <w:rsid w:val="003035B5"/>
    <w:rsid w:val="003035B9"/>
    <w:rsid w:val="0030361D"/>
    <w:rsid w:val="0030369C"/>
    <w:rsid w:val="003036A6"/>
    <w:rsid w:val="0030372E"/>
    <w:rsid w:val="0030379B"/>
    <w:rsid w:val="003037AB"/>
    <w:rsid w:val="003038FB"/>
    <w:rsid w:val="003039C6"/>
    <w:rsid w:val="00303B22"/>
    <w:rsid w:val="00303B50"/>
    <w:rsid w:val="00303B6E"/>
    <w:rsid w:val="00303BFF"/>
    <w:rsid w:val="00303C2B"/>
    <w:rsid w:val="00303EC7"/>
    <w:rsid w:val="00303F93"/>
    <w:rsid w:val="0030454D"/>
    <w:rsid w:val="0030454F"/>
    <w:rsid w:val="00304574"/>
    <w:rsid w:val="003045AA"/>
    <w:rsid w:val="00304602"/>
    <w:rsid w:val="0030462D"/>
    <w:rsid w:val="00304C3A"/>
    <w:rsid w:val="00304DE8"/>
    <w:rsid w:val="00304F1A"/>
    <w:rsid w:val="00304F39"/>
    <w:rsid w:val="00305059"/>
    <w:rsid w:val="003050CA"/>
    <w:rsid w:val="00305256"/>
    <w:rsid w:val="00305283"/>
    <w:rsid w:val="0030554D"/>
    <w:rsid w:val="003056B8"/>
    <w:rsid w:val="003057F1"/>
    <w:rsid w:val="0030582E"/>
    <w:rsid w:val="00305888"/>
    <w:rsid w:val="003058A6"/>
    <w:rsid w:val="00305992"/>
    <w:rsid w:val="00305BC6"/>
    <w:rsid w:val="00305C6D"/>
    <w:rsid w:val="00305E9D"/>
    <w:rsid w:val="0030612F"/>
    <w:rsid w:val="00306358"/>
    <w:rsid w:val="00306379"/>
    <w:rsid w:val="003063C7"/>
    <w:rsid w:val="003063F0"/>
    <w:rsid w:val="0030644C"/>
    <w:rsid w:val="003066D1"/>
    <w:rsid w:val="003067D0"/>
    <w:rsid w:val="0030680E"/>
    <w:rsid w:val="0030687F"/>
    <w:rsid w:val="003068A0"/>
    <w:rsid w:val="0030692D"/>
    <w:rsid w:val="00306932"/>
    <w:rsid w:val="003069D0"/>
    <w:rsid w:val="00306BF8"/>
    <w:rsid w:val="00306C41"/>
    <w:rsid w:val="00306D2E"/>
    <w:rsid w:val="00306D48"/>
    <w:rsid w:val="00306E39"/>
    <w:rsid w:val="00306ECC"/>
    <w:rsid w:val="00306F3C"/>
    <w:rsid w:val="00307021"/>
    <w:rsid w:val="0030707F"/>
    <w:rsid w:val="003070A5"/>
    <w:rsid w:val="003070F0"/>
    <w:rsid w:val="00307152"/>
    <w:rsid w:val="00307201"/>
    <w:rsid w:val="0030735E"/>
    <w:rsid w:val="003073E1"/>
    <w:rsid w:val="00307448"/>
    <w:rsid w:val="00307559"/>
    <w:rsid w:val="00307626"/>
    <w:rsid w:val="00307650"/>
    <w:rsid w:val="003076EC"/>
    <w:rsid w:val="00307822"/>
    <w:rsid w:val="00307859"/>
    <w:rsid w:val="00307B44"/>
    <w:rsid w:val="00307B73"/>
    <w:rsid w:val="00307C89"/>
    <w:rsid w:val="00307CEF"/>
    <w:rsid w:val="00307F68"/>
    <w:rsid w:val="00307F95"/>
    <w:rsid w:val="0031002F"/>
    <w:rsid w:val="0031029E"/>
    <w:rsid w:val="003102C3"/>
    <w:rsid w:val="00310346"/>
    <w:rsid w:val="003103E0"/>
    <w:rsid w:val="0031041C"/>
    <w:rsid w:val="00310493"/>
    <w:rsid w:val="0031058F"/>
    <w:rsid w:val="003109CD"/>
    <w:rsid w:val="00310ACA"/>
    <w:rsid w:val="00310AD9"/>
    <w:rsid w:val="00310BA9"/>
    <w:rsid w:val="00310BB7"/>
    <w:rsid w:val="00310DB3"/>
    <w:rsid w:val="00310DCE"/>
    <w:rsid w:val="00310EA3"/>
    <w:rsid w:val="0031100F"/>
    <w:rsid w:val="0031114D"/>
    <w:rsid w:val="00311212"/>
    <w:rsid w:val="00311425"/>
    <w:rsid w:val="00311459"/>
    <w:rsid w:val="003114A7"/>
    <w:rsid w:val="003115B3"/>
    <w:rsid w:val="003117A5"/>
    <w:rsid w:val="0031193C"/>
    <w:rsid w:val="00311A00"/>
    <w:rsid w:val="00311A32"/>
    <w:rsid w:val="00311A3E"/>
    <w:rsid w:val="00311C43"/>
    <w:rsid w:val="00311D09"/>
    <w:rsid w:val="00311D3C"/>
    <w:rsid w:val="00311E55"/>
    <w:rsid w:val="003121E8"/>
    <w:rsid w:val="003121FF"/>
    <w:rsid w:val="00312322"/>
    <w:rsid w:val="00312394"/>
    <w:rsid w:val="00312496"/>
    <w:rsid w:val="00312557"/>
    <w:rsid w:val="003125C9"/>
    <w:rsid w:val="003125F2"/>
    <w:rsid w:val="00312690"/>
    <w:rsid w:val="00312693"/>
    <w:rsid w:val="003126AF"/>
    <w:rsid w:val="0031275A"/>
    <w:rsid w:val="003128A1"/>
    <w:rsid w:val="00312A7A"/>
    <w:rsid w:val="00312AAD"/>
    <w:rsid w:val="00312BD4"/>
    <w:rsid w:val="00312D18"/>
    <w:rsid w:val="00312F33"/>
    <w:rsid w:val="00312F81"/>
    <w:rsid w:val="00312F8C"/>
    <w:rsid w:val="00313229"/>
    <w:rsid w:val="00313257"/>
    <w:rsid w:val="003132C8"/>
    <w:rsid w:val="003134D8"/>
    <w:rsid w:val="00313532"/>
    <w:rsid w:val="003136BF"/>
    <w:rsid w:val="003137BE"/>
    <w:rsid w:val="0031389E"/>
    <w:rsid w:val="003138FD"/>
    <w:rsid w:val="003139C7"/>
    <w:rsid w:val="00313A83"/>
    <w:rsid w:val="00313A96"/>
    <w:rsid w:val="00313ABE"/>
    <w:rsid w:val="00313C6B"/>
    <w:rsid w:val="00313DC2"/>
    <w:rsid w:val="00313E3A"/>
    <w:rsid w:val="00313F5F"/>
    <w:rsid w:val="00314001"/>
    <w:rsid w:val="0031400F"/>
    <w:rsid w:val="00314095"/>
    <w:rsid w:val="003140A2"/>
    <w:rsid w:val="0031418F"/>
    <w:rsid w:val="003141E7"/>
    <w:rsid w:val="003141EB"/>
    <w:rsid w:val="003143D1"/>
    <w:rsid w:val="003145D8"/>
    <w:rsid w:val="003147E9"/>
    <w:rsid w:val="00314A7D"/>
    <w:rsid w:val="00314C63"/>
    <w:rsid w:val="00314D39"/>
    <w:rsid w:val="0031504A"/>
    <w:rsid w:val="003153E9"/>
    <w:rsid w:val="0031542B"/>
    <w:rsid w:val="00315499"/>
    <w:rsid w:val="003154D0"/>
    <w:rsid w:val="0031577A"/>
    <w:rsid w:val="003157B6"/>
    <w:rsid w:val="00315936"/>
    <w:rsid w:val="00315979"/>
    <w:rsid w:val="00315ACF"/>
    <w:rsid w:val="00315BE2"/>
    <w:rsid w:val="00315DF3"/>
    <w:rsid w:val="00315EAE"/>
    <w:rsid w:val="00316075"/>
    <w:rsid w:val="00316163"/>
    <w:rsid w:val="003161BC"/>
    <w:rsid w:val="0031622C"/>
    <w:rsid w:val="0031627A"/>
    <w:rsid w:val="00316391"/>
    <w:rsid w:val="00316624"/>
    <w:rsid w:val="00316664"/>
    <w:rsid w:val="00316694"/>
    <w:rsid w:val="003166C2"/>
    <w:rsid w:val="003167D0"/>
    <w:rsid w:val="003168DD"/>
    <w:rsid w:val="00316954"/>
    <w:rsid w:val="00316979"/>
    <w:rsid w:val="00316C37"/>
    <w:rsid w:val="00316E79"/>
    <w:rsid w:val="00316F24"/>
    <w:rsid w:val="00316FB0"/>
    <w:rsid w:val="00316FD0"/>
    <w:rsid w:val="003172FA"/>
    <w:rsid w:val="00317792"/>
    <w:rsid w:val="00317896"/>
    <w:rsid w:val="00317B26"/>
    <w:rsid w:val="00317BE5"/>
    <w:rsid w:val="00317D29"/>
    <w:rsid w:val="00317D9F"/>
    <w:rsid w:val="00317DF7"/>
    <w:rsid w:val="00317EA1"/>
    <w:rsid w:val="00317F03"/>
    <w:rsid w:val="00317FCD"/>
    <w:rsid w:val="00320022"/>
    <w:rsid w:val="0032007D"/>
    <w:rsid w:val="003201C9"/>
    <w:rsid w:val="003202B4"/>
    <w:rsid w:val="00320435"/>
    <w:rsid w:val="0032044B"/>
    <w:rsid w:val="0032052D"/>
    <w:rsid w:val="003205D9"/>
    <w:rsid w:val="00320640"/>
    <w:rsid w:val="0032068D"/>
    <w:rsid w:val="003206AB"/>
    <w:rsid w:val="00320713"/>
    <w:rsid w:val="003207B9"/>
    <w:rsid w:val="003208F3"/>
    <w:rsid w:val="003209D6"/>
    <w:rsid w:val="00320C07"/>
    <w:rsid w:val="00320C7E"/>
    <w:rsid w:val="00320E25"/>
    <w:rsid w:val="00320E4E"/>
    <w:rsid w:val="003211C7"/>
    <w:rsid w:val="0032121B"/>
    <w:rsid w:val="003213F7"/>
    <w:rsid w:val="003219EC"/>
    <w:rsid w:val="00321A59"/>
    <w:rsid w:val="00321B44"/>
    <w:rsid w:val="00321C3E"/>
    <w:rsid w:val="00321D09"/>
    <w:rsid w:val="00321DAB"/>
    <w:rsid w:val="00321E92"/>
    <w:rsid w:val="00321F4E"/>
    <w:rsid w:val="00321F7D"/>
    <w:rsid w:val="00321FCC"/>
    <w:rsid w:val="00322500"/>
    <w:rsid w:val="00322646"/>
    <w:rsid w:val="003226C2"/>
    <w:rsid w:val="003226E3"/>
    <w:rsid w:val="00322792"/>
    <w:rsid w:val="003227EB"/>
    <w:rsid w:val="00322819"/>
    <w:rsid w:val="00322829"/>
    <w:rsid w:val="00322A58"/>
    <w:rsid w:val="00322A86"/>
    <w:rsid w:val="00322A8B"/>
    <w:rsid w:val="00322B2E"/>
    <w:rsid w:val="00322C40"/>
    <w:rsid w:val="00322D28"/>
    <w:rsid w:val="00322EC1"/>
    <w:rsid w:val="00322FF2"/>
    <w:rsid w:val="003231B2"/>
    <w:rsid w:val="0032341E"/>
    <w:rsid w:val="0032345B"/>
    <w:rsid w:val="003235A4"/>
    <w:rsid w:val="003235CA"/>
    <w:rsid w:val="003235F2"/>
    <w:rsid w:val="00323617"/>
    <w:rsid w:val="003236D2"/>
    <w:rsid w:val="0032381E"/>
    <w:rsid w:val="00323872"/>
    <w:rsid w:val="003238C6"/>
    <w:rsid w:val="00323964"/>
    <w:rsid w:val="0032398D"/>
    <w:rsid w:val="00323A7D"/>
    <w:rsid w:val="00323B92"/>
    <w:rsid w:val="00323C3B"/>
    <w:rsid w:val="00323CC6"/>
    <w:rsid w:val="00323F22"/>
    <w:rsid w:val="00323F5B"/>
    <w:rsid w:val="00323F8C"/>
    <w:rsid w:val="00323F90"/>
    <w:rsid w:val="00323FD9"/>
    <w:rsid w:val="00323FEA"/>
    <w:rsid w:val="003241CC"/>
    <w:rsid w:val="00324234"/>
    <w:rsid w:val="00324275"/>
    <w:rsid w:val="0032428B"/>
    <w:rsid w:val="003244C6"/>
    <w:rsid w:val="003244E9"/>
    <w:rsid w:val="0032452F"/>
    <w:rsid w:val="00324587"/>
    <w:rsid w:val="00324722"/>
    <w:rsid w:val="003247FE"/>
    <w:rsid w:val="00324836"/>
    <w:rsid w:val="00324874"/>
    <w:rsid w:val="00324B08"/>
    <w:rsid w:val="00324B74"/>
    <w:rsid w:val="00324B8E"/>
    <w:rsid w:val="00324BEA"/>
    <w:rsid w:val="00324C13"/>
    <w:rsid w:val="00324C1D"/>
    <w:rsid w:val="00324D39"/>
    <w:rsid w:val="00324DFD"/>
    <w:rsid w:val="00324E25"/>
    <w:rsid w:val="00324F03"/>
    <w:rsid w:val="00325038"/>
    <w:rsid w:val="00325039"/>
    <w:rsid w:val="00325152"/>
    <w:rsid w:val="003251A4"/>
    <w:rsid w:val="0032525D"/>
    <w:rsid w:val="00325323"/>
    <w:rsid w:val="0032542C"/>
    <w:rsid w:val="0032547E"/>
    <w:rsid w:val="0032559B"/>
    <w:rsid w:val="00325719"/>
    <w:rsid w:val="00325721"/>
    <w:rsid w:val="00325815"/>
    <w:rsid w:val="00325A60"/>
    <w:rsid w:val="00325AD0"/>
    <w:rsid w:val="00325BD8"/>
    <w:rsid w:val="00325C0A"/>
    <w:rsid w:val="00325D9A"/>
    <w:rsid w:val="00325E50"/>
    <w:rsid w:val="00325E55"/>
    <w:rsid w:val="00325F02"/>
    <w:rsid w:val="00325FCB"/>
    <w:rsid w:val="0032600B"/>
    <w:rsid w:val="00326020"/>
    <w:rsid w:val="00326077"/>
    <w:rsid w:val="00326096"/>
    <w:rsid w:val="00326130"/>
    <w:rsid w:val="0032615F"/>
    <w:rsid w:val="003261E5"/>
    <w:rsid w:val="003261F1"/>
    <w:rsid w:val="0032625B"/>
    <w:rsid w:val="00326685"/>
    <w:rsid w:val="0032676F"/>
    <w:rsid w:val="00326940"/>
    <w:rsid w:val="00326ACE"/>
    <w:rsid w:val="00326B62"/>
    <w:rsid w:val="00326C28"/>
    <w:rsid w:val="00326D9F"/>
    <w:rsid w:val="00326DCB"/>
    <w:rsid w:val="00326FF4"/>
    <w:rsid w:val="0032703F"/>
    <w:rsid w:val="00327109"/>
    <w:rsid w:val="00327250"/>
    <w:rsid w:val="003272CF"/>
    <w:rsid w:val="00327379"/>
    <w:rsid w:val="003275EA"/>
    <w:rsid w:val="00327605"/>
    <w:rsid w:val="003276A1"/>
    <w:rsid w:val="003278B4"/>
    <w:rsid w:val="0032792D"/>
    <w:rsid w:val="00327991"/>
    <w:rsid w:val="003279C5"/>
    <w:rsid w:val="00327A8C"/>
    <w:rsid w:val="00327AA8"/>
    <w:rsid w:val="00327F7B"/>
    <w:rsid w:val="00327F7C"/>
    <w:rsid w:val="003300A6"/>
    <w:rsid w:val="003301A0"/>
    <w:rsid w:val="00330275"/>
    <w:rsid w:val="003302AD"/>
    <w:rsid w:val="00330489"/>
    <w:rsid w:val="0033055E"/>
    <w:rsid w:val="003305AB"/>
    <w:rsid w:val="00330672"/>
    <w:rsid w:val="003306D1"/>
    <w:rsid w:val="00330728"/>
    <w:rsid w:val="0033087D"/>
    <w:rsid w:val="00330AE7"/>
    <w:rsid w:val="00330B2E"/>
    <w:rsid w:val="00330C9F"/>
    <w:rsid w:val="00330CCE"/>
    <w:rsid w:val="00330D11"/>
    <w:rsid w:val="00330DFC"/>
    <w:rsid w:val="00330EB8"/>
    <w:rsid w:val="00330F51"/>
    <w:rsid w:val="00330F72"/>
    <w:rsid w:val="00331180"/>
    <w:rsid w:val="00331203"/>
    <w:rsid w:val="00331211"/>
    <w:rsid w:val="003312DC"/>
    <w:rsid w:val="003315A9"/>
    <w:rsid w:val="003315E9"/>
    <w:rsid w:val="0033167B"/>
    <w:rsid w:val="003316DD"/>
    <w:rsid w:val="00331708"/>
    <w:rsid w:val="003317E2"/>
    <w:rsid w:val="00331850"/>
    <w:rsid w:val="0033199D"/>
    <w:rsid w:val="00331BD3"/>
    <w:rsid w:val="00331BF5"/>
    <w:rsid w:val="00331D3A"/>
    <w:rsid w:val="00331D8B"/>
    <w:rsid w:val="00331E68"/>
    <w:rsid w:val="00331F46"/>
    <w:rsid w:val="003321FD"/>
    <w:rsid w:val="003323C5"/>
    <w:rsid w:val="00332424"/>
    <w:rsid w:val="00332459"/>
    <w:rsid w:val="003324CB"/>
    <w:rsid w:val="003326B8"/>
    <w:rsid w:val="003326F4"/>
    <w:rsid w:val="003327B6"/>
    <w:rsid w:val="003327B7"/>
    <w:rsid w:val="003329F2"/>
    <w:rsid w:val="00332A40"/>
    <w:rsid w:val="00332BE6"/>
    <w:rsid w:val="00332C7F"/>
    <w:rsid w:val="00332C9E"/>
    <w:rsid w:val="00332D2A"/>
    <w:rsid w:val="00332EA5"/>
    <w:rsid w:val="00332FEC"/>
    <w:rsid w:val="00333094"/>
    <w:rsid w:val="00333107"/>
    <w:rsid w:val="00333131"/>
    <w:rsid w:val="00333173"/>
    <w:rsid w:val="003331B1"/>
    <w:rsid w:val="00333244"/>
    <w:rsid w:val="003333C9"/>
    <w:rsid w:val="003334D8"/>
    <w:rsid w:val="0033354C"/>
    <w:rsid w:val="003338AD"/>
    <w:rsid w:val="00333A0C"/>
    <w:rsid w:val="00333A56"/>
    <w:rsid w:val="00333B47"/>
    <w:rsid w:val="00333D76"/>
    <w:rsid w:val="00333E00"/>
    <w:rsid w:val="00333E29"/>
    <w:rsid w:val="00333E2A"/>
    <w:rsid w:val="00333FDB"/>
    <w:rsid w:val="00334020"/>
    <w:rsid w:val="003340C8"/>
    <w:rsid w:val="003340EF"/>
    <w:rsid w:val="00334328"/>
    <w:rsid w:val="003343AA"/>
    <w:rsid w:val="003343AC"/>
    <w:rsid w:val="003343BF"/>
    <w:rsid w:val="003343C6"/>
    <w:rsid w:val="00334438"/>
    <w:rsid w:val="003346C6"/>
    <w:rsid w:val="003347FB"/>
    <w:rsid w:val="003348B3"/>
    <w:rsid w:val="0033490E"/>
    <w:rsid w:val="00334AC3"/>
    <w:rsid w:val="00334BEF"/>
    <w:rsid w:val="00334C72"/>
    <w:rsid w:val="00334DE8"/>
    <w:rsid w:val="00334E33"/>
    <w:rsid w:val="00334F4B"/>
    <w:rsid w:val="00334F9B"/>
    <w:rsid w:val="00335043"/>
    <w:rsid w:val="003350F4"/>
    <w:rsid w:val="003351A5"/>
    <w:rsid w:val="003351AC"/>
    <w:rsid w:val="003351EC"/>
    <w:rsid w:val="003352D0"/>
    <w:rsid w:val="00335379"/>
    <w:rsid w:val="0033539E"/>
    <w:rsid w:val="003354B3"/>
    <w:rsid w:val="00335639"/>
    <w:rsid w:val="00335642"/>
    <w:rsid w:val="003356CF"/>
    <w:rsid w:val="003357C8"/>
    <w:rsid w:val="00335951"/>
    <w:rsid w:val="003359B9"/>
    <w:rsid w:val="003359FB"/>
    <w:rsid w:val="00335A68"/>
    <w:rsid w:val="00335B40"/>
    <w:rsid w:val="00335FA1"/>
    <w:rsid w:val="0033600D"/>
    <w:rsid w:val="00336021"/>
    <w:rsid w:val="00336034"/>
    <w:rsid w:val="003360B3"/>
    <w:rsid w:val="00336153"/>
    <w:rsid w:val="003361C5"/>
    <w:rsid w:val="00336362"/>
    <w:rsid w:val="00336525"/>
    <w:rsid w:val="0033656F"/>
    <w:rsid w:val="00336625"/>
    <w:rsid w:val="003366B9"/>
    <w:rsid w:val="00336742"/>
    <w:rsid w:val="00336760"/>
    <w:rsid w:val="00336AA2"/>
    <w:rsid w:val="00336AB6"/>
    <w:rsid w:val="00336B23"/>
    <w:rsid w:val="00336B8D"/>
    <w:rsid w:val="00336BAC"/>
    <w:rsid w:val="00336D36"/>
    <w:rsid w:val="00336EE7"/>
    <w:rsid w:val="00336FB6"/>
    <w:rsid w:val="00336FD2"/>
    <w:rsid w:val="00337115"/>
    <w:rsid w:val="00337155"/>
    <w:rsid w:val="0033721E"/>
    <w:rsid w:val="0033723C"/>
    <w:rsid w:val="003372F2"/>
    <w:rsid w:val="003373FE"/>
    <w:rsid w:val="003375DE"/>
    <w:rsid w:val="00337750"/>
    <w:rsid w:val="003377B8"/>
    <w:rsid w:val="003378F3"/>
    <w:rsid w:val="00337911"/>
    <w:rsid w:val="00337943"/>
    <w:rsid w:val="003379BA"/>
    <w:rsid w:val="00337A54"/>
    <w:rsid w:val="00337AB5"/>
    <w:rsid w:val="00337B39"/>
    <w:rsid w:val="00337CC0"/>
    <w:rsid w:val="00337D24"/>
    <w:rsid w:val="0034003C"/>
    <w:rsid w:val="00340075"/>
    <w:rsid w:val="0034007B"/>
    <w:rsid w:val="003400F0"/>
    <w:rsid w:val="00340194"/>
    <w:rsid w:val="003401A1"/>
    <w:rsid w:val="003401AA"/>
    <w:rsid w:val="00340208"/>
    <w:rsid w:val="0034021D"/>
    <w:rsid w:val="00340267"/>
    <w:rsid w:val="003402F1"/>
    <w:rsid w:val="00340306"/>
    <w:rsid w:val="0034039B"/>
    <w:rsid w:val="003404C0"/>
    <w:rsid w:val="0034051F"/>
    <w:rsid w:val="003405F8"/>
    <w:rsid w:val="0034077D"/>
    <w:rsid w:val="0034078E"/>
    <w:rsid w:val="00340AE1"/>
    <w:rsid w:val="00340BCC"/>
    <w:rsid w:val="00340BED"/>
    <w:rsid w:val="00340C3A"/>
    <w:rsid w:val="00340C41"/>
    <w:rsid w:val="00340C8F"/>
    <w:rsid w:val="00340DE7"/>
    <w:rsid w:val="00340E06"/>
    <w:rsid w:val="00340E15"/>
    <w:rsid w:val="00340EF6"/>
    <w:rsid w:val="00340FC8"/>
    <w:rsid w:val="00341008"/>
    <w:rsid w:val="0034137F"/>
    <w:rsid w:val="00341506"/>
    <w:rsid w:val="0034157E"/>
    <w:rsid w:val="003415FB"/>
    <w:rsid w:val="00341626"/>
    <w:rsid w:val="00341663"/>
    <w:rsid w:val="0034178D"/>
    <w:rsid w:val="003417C7"/>
    <w:rsid w:val="0034188D"/>
    <w:rsid w:val="003418E0"/>
    <w:rsid w:val="00341987"/>
    <w:rsid w:val="00341994"/>
    <w:rsid w:val="003419B3"/>
    <w:rsid w:val="003419DA"/>
    <w:rsid w:val="00341A55"/>
    <w:rsid w:val="00341B8A"/>
    <w:rsid w:val="00341DA8"/>
    <w:rsid w:val="00341E92"/>
    <w:rsid w:val="00341ED5"/>
    <w:rsid w:val="00341F9E"/>
    <w:rsid w:val="003421C6"/>
    <w:rsid w:val="003421F5"/>
    <w:rsid w:val="003423A1"/>
    <w:rsid w:val="00342485"/>
    <w:rsid w:val="00342557"/>
    <w:rsid w:val="003425F8"/>
    <w:rsid w:val="0034267F"/>
    <w:rsid w:val="0034271D"/>
    <w:rsid w:val="00342C6D"/>
    <w:rsid w:val="00342E36"/>
    <w:rsid w:val="003433C3"/>
    <w:rsid w:val="003433CE"/>
    <w:rsid w:val="00343416"/>
    <w:rsid w:val="0034347C"/>
    <w:rsid w:val="00343566"/>
    <w:rsid w:val="0034380B"/>
    <w:rsid w:val="00343815"/>
    <w:rsid w:val="00343887"/>
    <w:rsid w:val="00343947"/>
    <w:rsid w:val="003439CD"/>
    <w:rsid w:val="00343A1A"/>
    <w:rsid w:val="00343A2F"/>
    <w:rsid w:val="00343AFF"/>
    <w:rsid w:val="00343B8B"/>
    <w:rsid w:val="00343BA3"/>
    <w:rsid w:val="00343D64"/>
    <w:rsid w:val="00343DA5"/>
    <w:rsid w:val="00343E46"/>
    <w:rsid w:val="00343EB2"/>
    <w:rsid w:val="00343EDD"/>
    <w:rsid w:val="00343F7A"/>
    <w:rsid w:val="0034411B"/>
    <w:rsid w:val="00344124"/>
    <w:rsid w:val="00344163"/>
    <w:rsid w:val="0034417C"/>
    <w:rsid w:val="003441DD"/>
    <w:rsid w:val="0034421C"/>
    <w:rsid w:val="0034445E"/>
    <w:rsid w:val="003444D9"/>
    <w:rsid w:val="003446C2"/>
    <w:rsid w:val="003446E1"/>
    <w:rsid w:val="00344791"/>
    <w:rsid w:val="003447D3"/>
    <w:rsid w:val="003448C6"/>
    <w:rsid w:val="00344A10"/>
    <w:rsid w:val="00344A72"/>
    <w:rsid w:val="00344E07"/>
    <w:rsid w:val="00345096"/>
    <w:rsid w:val="00345237"/>
    <w:rsid w:val="003453AB"/>
    <w:rsid w:val="003453F0"/>
    <w:rsid w:val="00345410"/>
    <w:rsid w:val="003454BD"/>
    <w:rsid w:val="00345565"/>
    <w:rsid w:val="003455B9"/>
    <w:rsid w:val="0034564E"/>
    <w:rsid w:val="003456E4"/>
    <w:rsid w:val="0034572B"/>
    <w:rsid w:val="003457F9"/>
    <w:rsid w:val="00345868"/>
    <w:rsid w:val="003459D5"/>
    <w:rsid w:val="00345A0E"/>
    <w:rsid w:val="00345AA4"/>
    <w:rsid w:val="00345BB6"/>
    <w:rsid w:val="00345BF0"/>
    <w:rsid w:val="00345C89"/>
    <w:rsid w:val="00345D4A"/>
    <w:rsid w:val="00345DFA"/>
    <w:rsid w:val="00345E1C"/>
    <w:rsid w:val="0034602D"/>
    <w:rsid w:val="0034608A"/>
    <w:rsid w:val="003460B8"/>
    <w:rsid w:val="00346125"/>
    <w:rsid w:val="003461EA"/>
    <w:rsid w:val="00346288"/>
    <w:rsid w:val="003462D7"/>
    <w:rsid w:val="003462F2"/>
    <w:rsid w:val="00346486"/>
    <w:rsid w:val="003465BA"/>
    <w:rsid w:val="003466A0"/>
    <w:rsid w:val="00346740"/>
    <w:rsid w:val="00346742"/>
    <w:rsid w:val="0034685C"/>
    <w:rsid w:val="003468DC"/>
    <w:rsid w:val="00346A8A"/>
    <w:rsid w:val="00346ABB"/>
    <w:rsid w:val="00346D31"/>
    <w:rsid w:val="00346F50"/>
    <w:rsid w:val="00346F6A"/>
    <w:rsid w:val="003471ED"/>
    <w:rsid w:val="003472C5"/>
    <w:rsid w:val="003472E3"/>
    <w:rsid w:val="00347341"/>
    <w:rsid w:val="00347346"/>
    <w:rsid w:val="003473EA"/>
    <w:rsid w:val="003474C1"/>
    <w:rsid w:val="00347510"/>
    <w:rsid w:val="003475F3"/>
    <w:rsid w:val="00347679"/>
    <w:rsid w:val="0034768C"/>
    <w:rsid w:val="0034773E"/>
    <w:rsid w:val="00347A72"/>
    <w:rsid w:val="00347B00"/>
    <w:rsid w:val="00347BD0"/>
    <w:rsid w:val="00347CD6"/>
    <w:rsid w:val="00347CF4"/>
    <w:rsid w:val="00347CF5"/>
    <w:rsid w:val="00347D4E"/>
    <w:rsid w:val="00347E10"/>
    <w:rsid w:val="00347E17"/>
    <w:rsid w:val="00347EB4"/>
    <w:rsid w:val="00347FA8"/>
    <w:rsid w:val="00347FD7"/>
    <w:rsid w:val="00350017"/>
    <w:rsid w:val="00350109"/>
    <w:rsid w:val="003501BE"/>
    <w:rsid w:val="00350274"/>
    <w:rsid w:val="0035030F"/>
    <w:rsid w:val="00350581"/>
    <w:rsid w:val="0035058F"/>
    <w:rsid w:val="003508F4"/>
    <w:rsid w:val="00350AFF"/>
    <w:rsid w:val="00350BE6"/>
    <w:rsid w:val="00350C98"/>
    <w:rsid w:val="00350CA0"/>
    <w:rsid w:val="00350CA1"/>
    <w:rsid w:val="00350D74"/>
    <w:rsid w:val="00350DDE"/>
    <w:rsid w:val="003510D5"/>
    <w:rsid w:val="00351151"/>
    <w:rsid w:val="00351363"/>
    <w:rsid w:val="00351389"/>
    <w:rsid w:val="00351402"/>
    <w:rsid w:val="00351415"/>
    <w:rsid w:val="003515CF"/>
    <w:rsid w:val="003516D7"/>
    <w:rsid w:val="00351928"/>
    <w:rsid w:val="003519D5"/>
    <w:rsid w:val="00351B9F"/>
    <w:rsid w:val="00351BC9"/>
    <w:rsid w:val="00351CB0"/>
    <w:rsid w:val="00351DBF"/>
    <w:rsid w:val="00351E89"/>
    <w:rsid w:val="00351F3E"/>
    <w:rsid w:val="00352071"/>
    <w:rsid w:val="00352087"/>
    <w:rsid w:val="0035213B"/>
    <w:rsid w:val="003522CC"/>
    <w:rsid w:val="00352373"/>
    <w:rsid w:val="0035239A"/>
    <w:rsid w:val="0035242E"/>
    <w:rsid w:val="0035267C"/>
    <w:rsid w:val="003526A2"/>
    <w:rsid w:val="003527C9"/>
    <w:rsid w:val="00352945"/>
    <w:rsid w:val="003529ED"/>
    <w:rsid w:val="00352AED"/>
    <w:rsid w:val="00352B8C"/>
    <w:rsid w:val="00352C0E"/>
    <w:rsid w:val="00352C79"/>
    <w:rsid w:val="00352CB0"/>
    <w:rsid w:val="00352CD8"/>
    <w:rsid w:val="00352E6E"/>
    <w:rsid w:val="00352FA5"/>
    <w:rsid w:val="003531E5"/>
    <w:rsid w:val="003532D9"/>
    <w:rsid w:val="003535EF"/>
    <w:rsid w:val="0035361C"/>
    <w:rsid w:val="0035374D"/>
    <w:rsid w:val="00353798"/>
    <w:rsid w:val="0035395C"/>
    <w:rsid w:val="0035396A"/>
    <w:rsid w:val="00353C49"/>
    <w:rsid w:val="00353E2F"/>
    <w:rsid w:val="00353E4E"/>
    <w:rsid w:val="003540C0"/>
    <w:rsid w:val="003540E0"/>
    <w:rsid w:val="00354164"/>
    <w:rsid w:val="00354237"/>
    <w:rsid w:val="0035427C"/>
    <w:rsid w:val="0035429B"/>
    <w:rsid w:val="00354403"/>
    <w:rsid w:val="00354438"/>
    <w:rsid w:val="00354476"/>
    <w:rsid w:val="003545A8"/>
    <w:rsid w:val="003547A1"/>
    <w:rsid w:val="003547BC"/>
    <w:rsid w:val="00354879"/>
    <w:rsid w:val="00354AC3"/>
    <w:rsid w:val="00354AD5"/>
    <w:rsid w:val="00354AE9"/>
    <w:rsid w:val="00354B21"/>
    <w:rsid w:val="00354FAE"/>
    <w:rsid w:val="0035502B"/>
    <w:rsid w:val="00355174"/>
    <w:rsid w:val="00355439"/>
    <w:rsid w:val="00355451"/>
    <w:rsid w:val="00355460"/>
    <w:rsid w:val="00355636"/>
    <w:rsid w:val="003556C9"/>
    <w:rsid w:val="00355714"/>
    <w:rsid w:val="00355753"/>
    <w:rsid w:val="00355791"/>
    <w:rsid w:val="0035590B"/>
    <w:rsid w:val="00355982"/>
    <w:rsid w:val="00355A5C"/>
    <w:rsid w:val="00355C28"/>
    <w:rsid w:val="00355D50"/>
    <w:rsid w:val="00355E3D"/>
    <w:rsid w:val="00355FCA"/>
    <w:rsid w:val="0035611C"/>
    <w:rsid w:val="0035611E"/>
    <w:rsid w:val="0035640C"/>
    <w:rsid w:val="00356474"/>
    <w:rsid w:val="0035647A"/>
    <w:rsid w:val="003564BC"/>
    <w:rsid w:val="00356600"/>
    <w:rsid w:val="0035670C"/>
    <w:rsid w:val="00356768"/>
    <w:rsid w:val="00356769"/>
    <w:rsid w:val="003567B9"/>
    <w:rsid w:val="003567E7"/>
    <w:rsid w:val="00356836"/>
    <w:rsid w:val="003569B3"/>
    <w:rsid w:val="00356A26"/>
    <w:rsid w:val="00356B85"/>
    <w:rsid w:val="00356BA6"/>
    <w:rsid w:val="00356C7E"/>
    <w:rsid w:val="00356C92"/>
    <w:rsid w:val="00356DB4"/>
    <w:rsid w:val="00356F6E"/>
    <w:rsid w:val="00356F75"/>
    <w:rsid w:val="00356FBD"/>
    <w:rsid w:val="00356FD0"/>
    <w:rsid w:val="003570DF"/>
    <w:rsid w:val="0035717F"/>
    <w:rsid w:val="0035723B"/>
    <w:rsid w:val="00357312"/>
    <w:rsid w:val="00357318"/>
    <w:rsid w:val="0035748F"/>
    <w:rsid w:val="003574E8"/>
    <w:rsid w:val="00357678"/>
    <w:rsid w:val="00357745"/>
    <w:rsid w:val="00357A1C"/>
    <w:rsid w:val="00357B2D"/>
    <w:rsid w:val="00357CE6"/>
    <w:rsid w:val="00357D3D"/>
    <w:rsid w:val="00357DF2"/>
    <w:rsid w:val="00357E59"/>
    <w:rsid w:val="00360141"/>
    <w:rsid w:val="00360270"/>
    <w:rsid w:val="00360460"/>
    <w:rsid w:val="00360493"/>
    <w:rsid w:val="003605D2"/>
    <w:rsid w:val="003606AD"/>
    <w:rsid w:val="003607BA"/>
    <w:rsid w:val="003607EF"/>
    <w:rsid w:val="00360860"/>
    <w:rsid w:val="003608B5"/>
    <w:rsid w:val="0036090A"/>
    <w:rsid w:val="00360974"/>
    <w:rsid w:val="00360AC7"/>
    <w:rsid w:val="00360B05"/>
    <w:rsid w:val="00360BB7"/>
    <w:rsid w:val="00360C83"/>
    <w:rsid w:val="00360D49"/>
    <w:rsid w:val="00360D83"/>
    <w:rsid w:val="00360DE0"/>
    <w:rsid w:val="00360E16"/>
    <w:rsid w:val="00360E45"/>
    <w:rsid w:val="00360E70"/>
    <w:rsid w:val="00360EBC"/>
    <w:rsid w:val="00360EF8"/>
    <w:rsid w:val="00360F5B"/>
    <w:rsid w:val="0036139D"/>
    <w:rsid w:val="003614C9"/>
    <w:rsid w:val="003614D1"/>
    <w:rsid w:val="003614F0"/>
    <w:rsid w:val="0036163F"/>
    <w:rsid w:val="0036165E"/>
    <w:rsid w:val="0036172D"/>
    <w:rsid w:val="00361836"/>
    <w:rsid w:val="00361938"/>
    <w:rsid w:val="00361A40"/>
    <w:rsid w:val="00361AC4"/>
    <w:rsid w:val="00361C53"/>
    <w:rsid w:val="00361E13"/>
    <w:rsid w:val="00361F76"/>
    <w:rsid w:val="00361FB9"/>
    <w:rsid w:val="00361FE1"/>
    <w:rsid w:val="00362111"/>
    <w:rsid w:val="0036224F"/>
    <w:rsid w:val="00362261"/>
    <w:rsid w:val="00362279"/>
    <w:rsid w:val="0036231F"/>
    <w:rsid w:val="00362372"/>
    <w:rsid w:val="003624A5"/>
    <w:rsid w:val="003624CB"/>
    <w:rsid w:val="00362531"/>
    <w:rsid w:val="0036262B"/>
    <w:rsid w:val="00362638"/>
    <w:rsid w:val="003627CE"/>
    <w:rsid w:val="0036281D"/>
    <w:rsid w:val="003628A9"/>
    <w:rsid w:val="00362B01"/>
    <w:rsid w:val="00362CEE"/>
    <w:rsid w:val="00362D48"/>
    <w:rsid w:val="00362E8E"/>
    <w:rsid w:val="00362FEE"/>
    <w:rsid w:val="003634AA"/>
    <w:rsid w:val="003634C0"/>
    <w:rsid w:val="0036353E"/>
    <w:rsid w:val="00363561"/>
    <w:rsid w:val="00363665"/>
    <w:rsid w:val="003637A5"/>
    <w:rsid w:val="0036391D"/>
    <w:rsid w:val="00363A25"/>
    <w:rsid w:val="00363B05"/>
    <w:rsid w:val="00363B24"/>
    <w:rsid w:val="00363B69"/>
    <w:rsid w:val="00363C33"/>
    <w:rsid w:val="00363D10"/>
    <w:rsid w:val="00363DF0"/>
    <w:rsid w:val="00363E33"/>
    <w:rsid w:val="003640D2"/>
    <w:rsid w:val="003640E0"/>
    <w:rsid w:val="003640FC"/>
    <w:rsid w:val="003641A3"/>
    <w:rsid w:val="00364339"/>
    <w:rsid w:val="00364471"/>
    <w:rsid w:val="0036470E"/>
    <w:rsid w:val="00364713"/>
    <w:rsid w:val="00364923"/>
    <w:rsid w:val="00364A3C"/>
    <w:rsid w:val="00364A56"/>
    <w:rsid w:val="00364AD2"/>
    <w:rsid w:val="00364ADD"/>
    <w:rsid w:val="00364B46"/>
    <w:rsid w:val="00364BA1"/>
    <w:rsid w:val="00364C3E"/>
    <w:rsid w:val="00364C91"/>
    <w:rsid w:val="00364DE8"/>
    <w:rsid w:val="00364EF5"/>
    <w:rsid w:val="00364F4A"/>
    <w:rsid w:val="00364F9A"/>
    <w:rsid w:val="003651C3"/>
    <w:rsid w:val="003653AD"/>
    <w:rsid w:val="00365514"/>
    <w:rsid w:val="0036579A"/>
    <w:rsid w:val="0036595D"/>
    <w:rsid w:val="00365B7D"/>
    <w:rsid w:val="00365BA2"/>
    <w:rsid w:val="00365CCB"/>
    <w:rsid w:val="00365D0C"/>
    <w:rsid w:val="00365E31"/>
    <w:rsid w:val="00365EB0"/>
    <w:rsid w:val="00365ED9"/>
    <w:rsid w:val="00365EEA"/>
    <w:rsid w:val="00365FA3"/>
    <w:rsid w:val="00366176"/>
    <w:rsid w:val="00366236"/>
    <w:rsid w:val="00366329"/>
    <w:rsid w:val="00366416"/>
    <w:rsid w:val="00366462"/>
    <w:rsid w:val="003664C7"/>
    <w:rsid w:val="0036650B"/>
    <w:rsid w:val="00366583"/>
    <w:rsid w:val="00366642"/>
    <w:rsid w:val="00366762"/>
    <w:rsid w:val="0036688A"/>
    <w:rsid w:val="0036697A"/>
    <w:rsid w:val="00366D1C"/>
    <w:rsid w:val="00366D3D"/>
    <w:rsid w:val="00366DA6"/>
    <w:rsid w:val="00366E45"/>
    <w:rsid w:val="00366EA7"/>
    <w:rsid w:val="00366F6A"/>
    <w:rsid w:val="00366F70"/>
    <w:rsid w:val="00366F9E"/>
    <w:rsid w:val="00366FC0"/>
    <w:rsid w:val="00366FFD"/>
    <w:rsid w:val="003670C4"/>
    <w:rsid w:val="00367155"/>
    <w:rsid w:val="003672E4"/>
    <w:rsid w:val="0036730F"/>
    <w:rsid w:val="003673C2"/>
    <w:rsid w:val="0036747A"/>
    <w:rsid w:val="003674F1"/>
    <w:rsid w:val="00367590"/>
    <w:rsid w:val="003676E5"/>
    <w:rsid w:val="00367763"/>
    <w:rsid w:val="0036782D"/>
    <w:rsid w:val="00367851"/>
    <w:rsid w:val="00367890"/>
    <w:rsid w:val="00367975"/>
    <w:rsid w:val="00367B33"/>
    <w:rsid w:val="00367DCB"/>
    <w:rsid w:val="00367DEA"/>
    <w:rsid w:val="00367EFF"/>
    <w:rsid w:val="00370078"/>
    <w:rsid w:val="0037007B"/>
    <w:rsid w:val="00370090"/>
    <w:rsid w:val="0037022F"/>
    <w:rsid w:val="00370325"/>
    <w:rsid w:val="0037032C"/>
    <w:rsid w:val="0037033E"/>
    <w:rsid w:val="003705E8"/>
    <w:rsid w:val="00370617"/>
    <w:rsid w:val="003707E3"/>
    <w:rsid w:val="003708D3"/>
    <w:rsid w:val="00370941"/>
    <w:rsid w:val="00370C2D"/>
    <w:rsid w:val="00370CCE"/>
    <w:rsid w:val="00370CD4"/>
    <w:rsid w:val="00370D62"/>
    <w:rsid w:val="00370E45"/>
    <w:rsid w:val="00371000"/>
    <w:rsid w:val="0037109F"/>
    <w:rsid w:val="003710D9"/>
    <w:rsid w:val="0037125A"/>
    <w:rsid w:val="003713E5"/>
    <w:rsid w:val="003713F5"/>
    <w:rsid w:val="003714EA"/>
    <w:rsid w:val="00371594"/>
    <w:rsid w:val="0037166C"/>
    <w:rsid w:val="00371688"/>
    <w:rsid w:val="003718DA"/>
    <w:rsid w:val="003718DF"/>
    <w:rsid w:val="003719FD"/>
    <w:rsid w:val="00371AA7"/>
    <w:rsid w:val="00371B69"/>
    <w:rsid w:val="00371BB2"/>
    <w:rsid w:val="00371BB7"/>
    <w:rsid w:val="00371CBC"/>
    <w:rsid w:val="00371D03"/>
    <w:rsid w:val="00371D61"/>
    <w:rsid w:val="00371E94"/>
    <w:rsid w:val="00371ECB"/>
    <w:rsid w:val="00371F9A"/>
    <w:rsid w:val="0037217C"/>
    <w:rsid w:val="003722F2"/>
    <w:rsid w:val="00372312"/>
    <w:rsid w:val="00372364"/>
    <w:rsid w:val="0037236B"/>
    <w:rsid w:val="003723BC"/>
    <w:rsid w:val="003724A5"/>
    <w:rsid w:val="003725BF"/>
    <w:rsid w:val="00372628"/>
    <w:rsid w:val="003726B3"/>
    <w:rsid w:val="00372848"/>
    <w:rsid w:val="003729D5"/>
    <w:rsid w:val="00372A38"/>
    <w:rsid w:val="00372AA6"/>
    <w:rsid w:val="00372ADA"/>
    <w:rsid w:val="00372AFC"/>
    <w:rsid w:val="00372C18"/>
    <w:rsid w:val="00372D20"/>
    <w:rsid w:val="00372EDE"/>
    <w:rsid w:val="00372EE5"/>
    <w:rsid w:val="00373145"/>
    <w:rsid w:val="00373146"/>
    <w:rsid w:val="00373169"/>
    <w:rsid w:val="003732B6"/>
    <w:rsid w:val="00373319"/>
    <w:rsid w:val="0037335F"/>
    <w:rsid w:val="00373444"/>
    <w:rsid w:val="003734EB"/>
    <w:rsid w:val="003737E3"/>
    <w:rsid w:val="00373871"/>
    <w:rsid w:val="003738AA"/>
    <w:rsid w:val="00373A24"/>
    <w:rsid w:val="00373AC2"/>
    <w:rsid w:val="00373B73"/>
    <w:rsid w:val="00373D78"/>
    <w:rsid w:val="00373DE1"/>
    <w:rsid w:val="00373DF9"/>
    <w:rsid w:val="00373E14"/>
    <w:rsid w:val="00373E4A"/>
    <w:rsid w:val="00373FE2"/>
    <w:rsid w:val="0037406E"/>
    <w:rsid w:val="003741D0"/>
    <w:rsid w:val="003741E0"/>
    <w:rsid w:val="0037420C"/>
    <w:rsid w:val="00374215"/>
    <w:rsid w:val="00374229"/>
    <w:rsid w:val="00374279"/>
    <w:rsid w:val="00374281"/>
    <w:rsid w:val="003742CB"/>
    <w:rsid w:val="0037434F"/>
    <w:rsid w:val="003743BD"/>
    <w:rsid w:val="00374496"/>
    <w:rsid w:val="00374575"/>
    <w:rsid w:val="00374751"/>
    <w:rsid w:val="0037483F"/>
    <w:rsid w:val="003748BA"/>
    <w:rsid w:val="00374A29"/>
    <w:rsid w:val="00374AD2"/>
    <w:rsid w:val="00374B04"/>
    <w:rsid w:val="00374B44"/>
    <w:rsid w:val="00374C01"/>
    <w:rsid w:val="00374E42"/>
    <w:rsid w:val="00374E54"/>
    <w:rsid w:val="00374FD0"/>
    <w:rsid w:val="0037504C"/>
    <w:rsid w:val="003751C6"/>
    <w:rsid w:val="00375239"/>
    <w:rsid w:val="003752A5"/>
    <w:rsid w:val="003753E7"/>
    <w:rsid w:val="003755C3"/>
    <w:rsid w:val="00375880"/>
    <w:rsid w:val="00375BB4"/>
    <w:rsid w:val="00375CA9"/>
    <w:rsid w:val="00375D76"/>
    <w:rsid w:val="003761FE"/>
    <w:rsid w:val="003762CF"/>
    <w:rsid w:val="003763F6"/>
    <w:rsid w:val="00376454"/>
    <w:rsid w:val="0037649A"/>
    <w:rsid w:val="003764CD"/>
    <w:rsid w:val="003766BF"/>
    <w:rsid w:val="00376715"/>
    <w:rsid w:val="0037682C"/>
    <w:rsid w:val="003768B6"/>
    <w:rsid w:val="00376A3B"/>
    <w:rsid w:val="00376A68"/>
    <w:rsid w:val="00376B52"/>
    <w:rsid w:val="00376B71"/>
    <w:rsid w:val="00376D26"/>
    <w:rsid w:val="00376E05"/>
    <w:rsid w:val="00376E49"/>
    <w:rsid w:val="00376EA0"/>
    <w:rsid w:val="00377027"/>
    <w:rsid w:val="00377345"/>
    <w:rsid w:val="00377580"/>
    <w:rsid w:val="00377727"/>
    <w:rsid w:val="003777B4"/>
    <w:rsid w:val="0037781C"/>
    <w:rsid w:val="00377821"/>
    <w:rsid w:val="003778F9"/>
    <w:rsid w:val="00377908"/>
    <w:rsid w:val="00377943"/>
    <w:rsid w:val="0037794E"/>
    <w:rsid w:val="003779B6"/>
    <w:rsid w:val="00377D2E"/>
    <w:rsid w:val="00377D7D"/>
    <w:rsid w:val="00377EC8"/>
    <w:rsid w:val="00380034"/>
    <w:rsid w:val="0038004D"/>
    <w:rsid w:val="0038009D"/>
    <w:rsid w:val="0038012A"/>
    <w:rsid w:val="0038020B"/>
    <w:rsid w:val="00380290"/>
    <w:rsid w:val="0038039A"/>
    <w:rsid w:val="0038040C"/>
    <w:rsid w:val="0038047A"/>
    <w:rsid w:val="0038053E"/>
    <w:rsid w:val="00380573"/>
    <w:rsid w:val="0038075B"/>
    <w:rsid w:val="00380766"/>
    <w:rsid w:val="0038082B"/>
    <w:rsid w:val="003808F1"/>
    <w:rsid w:val="0038099E"/>
    <w:rsid w:val="00380A35"/>
    <w:rsid w:val="00380B9D"/>
    <w:rsid w:val="00380BA4"/>
    <w:rsid w:val="00380CE0"/>
    <w:rsid w:val="00380CEE"/>
    <w:rsid w:val="00380E08"/>
    <w:rsid w:val="00380E51"/>
    <w:rsid w:val="00380EE0"/>
    <w:rsid w:val="00380F1C"/>
    <w:rsid w:val="00380F39"/>
    <w:rsid w:val="00380F4B"/>
    <w:rsid w:val="00380FFB"/>
    <w:rsid w:val="0038111F"/>
    <w:rsid w:val="0038116D"/>
    <w:rsid w:val="00381280"/>
    <w:rsid w:val="003812F9"/>
    <w:rsid w:val="0038138C"/>
    <w:rsid w:val="00381419"/>
    <w:rsid w:val="00381438"/>
    <w:rsid w:val="003814E3"/>
    <w:rsid w:val="00381510"/>
    <w:rsid w:val="003815C4"/>
    <w:rsid w:val="0038164F"/>
    <w:rsid w:val="003816C4"/>
    <w:rsid w:val="003817E8"/>
    <w:rsid w:val="003818A4"/>
    <w:rsid w:val="003818F5"/>
    <w:rsid w:val="00381A07"/>
    <w:rsid w:val="00381A9F"/>
    <w:rsid w:val="00381BD8"/>
    <w:rsid w:val="00381D1A"/>
    <w:rsid w:val="00381D45"/>
    <w:rsid w:val="00381D81"/>
    <w:rsid w:val="00381EF8"/>
    <w:rsid w:val="00382028"/>
    <w:rsid w:val="00382190"/>
    <w:rsid w:val="003822C2"/>
    <w:rsid w:val="0038256C"/>
    <w:rsid w:val="00382612"/>
    <w:rsid w:val="00382774"/>
    <w:rsid w:val="00382969"/>
    <w:rsid w:val="00382C6C"/>
    <w:rsid w:val="00382FA3"/>
    <w:rsid w:val="00383130"/>
    <w:rsid w:val="003831AD"/>
    <w:rsid w:val="0038325C"/>
    <w:rsid w:val="00383279"/>
    <w:rsid w:val="00383408"/>
    <w:rsid w:val="003834A6"/>
    <w:rsid w:val="0038355B"/>
    <w:rsid w:val="0038377F"/>
    <w:rsid w:val="00383848"/>
    <w:rsid w:val="003839F1"/>
    <w:rsid w:val="00383AC3"/>
    <w:rsid w:val="00383B3A"/>
    <w:rsid w:val="00383B9E"/>
    <w:rsid w:val="00383BD1"/>
    <w:rsid w:val="00383D06"/>
    <w:rsid w:val="00383F70"/>
    <w:rsid w:val="003840AA"/>
    <w:rsid w:val="003840CF"/>
    <w:rsid w:val="0038411E"/>
    <w:rsid w:val="00384121"/>
    <w:rsid w:val="00384734"/>
    <w:rsid w:val="003847CE"/>
    <w:rsid w:val="003847F2"/>
    <w:rsid w:val="0038481B"/>
    <w:rsid w:val="00384840"/>
    <w:rsid w:val="00384B62"/>
    <w:rsid w:val="00384B6E"/>
    <w:rsid w:val="00384C33"/>
    <w:rsid w:val="00384CBA"/>
    <w:rsid w:val="00384D0B"/>
    <w:rsid w:val="00384D48"/>
    <w:rsid w:val="00384EE1"/>
    <w:rsid w:val="003850F8"/>
    <w:rsid w:val="0038519B"/>
    <w:rsid w:val="003851D5"/>
    <w:rsid w:val="00385252"/>
    <w:rsid w:val="003853AC"/>
    <w:rsid w:val="003854C2"/>
    <w:rsid w:val="003854FF"/>
    <w:rsid w:val="00385514"/>
    <w:rsid w:val="00385591"/>
    <w:rsid w:val="00385736"/>
    <w:rsid w:val="00385795"/>
    <w:rsid w:val="003857EF"/>
    <w:rsid w:val="003858B8"/>
    <w:rsid w:val="00385A59"/>
    <w:rsid w:val="00385BCC"/>
    <w:rsid w:val="00385C97"/>
    <w:rsid w:val="00385E06"/>
    <w:rsid w:val="00385FE0"/>
    <w:rsid w:val="003860B8"/>
    <w:rsid w:val="00386161"/>
    <w:rsid w:val="0038619D"/>
    <w:rsid w:val="003861BA"/>
    <w:rsid w:val="00386228"/>
    <w:rsid w:val="0038637C"/>
    <w:rsid w:val="003863E0"/>
    <w:rsid w:val="00386415"/>
    <w:rsid w:val="00386466"/>
    <w:rsid w:val="003864AE"/>
    <w:rsid w:val="003865A4"/>
    <w:rsid w:val="00386683"/>
    <w:rsid w:val="003867C4"/>
    <w:rsid w:val="003867F4"/>
    <w:rsid w:val="003868B0"/>
    <w:rsid w:val="003868B7"/>
    <w:rsid w:val="00386939"/>
    <w:rsid w:val="00386970"/>
    <w:rsid w:val="003869A9"/>
    <w:rsid w:val="00386A38"/>
    <w:rsid w:val="00386AB6"/>
    <w:rsid w:val="00386BC9"/>
    <w:rsid w:val="00386E67"/>
    <w:rsid w:val="0038711D"/>
    <w:rsid w:val="003871C2"/>
    <w:rsid w:val="003872E8"/>
    <w:rsid w:val="003872EA"/>
    <w:rsid w:val="003873C9"/>
    <w:rsid w:val="00387481"/>
    <w:rsid w:val="00387530"/>
    <w:rsid w:val="0038757F"/>
    <w:rsid w:val="0038772E"/>
    <w:rsid w:val="003877A9"/>
    <w:rsid w:val="003877FE"/>
    <w:rsid w:val="0038786F"/>
    <w:rsid w:val="00387A23"/>
    <w:rsid w:val="00387A4E"/>
    <w:rsid w:val="00387AAA"/>
    <w:rsid w:val="00387ACD"/>
    <w:rsid w:val="00387ACE"/>
    <w:rsid w:val="00387B81"/>
    <w:rsid w:val="00387C06"/>
    <w:rsid w:val="00387C14"/>
    <w:rsid w:val="00387DD5"/>
    <w:rsid w:val="00387E43"/>
    <w:rsid w:val="00387EF1"/>
    <w:rsid w:val="00387F6D"/>
    <w:rsid w:val="00387F95"/>
    <w:rsid w:val="0038FA43"/>
    <w:rsid w:val="00390032"/>
    <w:rsid w:val="0039009A"/>
    <w:rsid w:val="003900BB"/>
    <w:rsid w:val="00390257"/>
    <w:rsid w:val="003902FE"/>
    <w:rsid w:val="0039030A"/>
    <w:rsid w:val="003903D5"/>
    <w:rsid w:val="003903F5"/>
    <w:rsid w:val="003904A5"/>
    <w:rsid w:val="00390665"/>
    <w:rsid w:val="0039073C"/>
    <w:rsid w:val="003907B1"/>
    <w:rsid w:val="00390882"/>
    <w:rsid w:val="00390892"/>
    <w:rsid w:val="003909DB"/>
    <w:rsid w:val="00390AC2"/>
    <w:rsid w:val="00390C01"/>
    <w:rsid w:val="00390CAB"/>
    <w:rsid w:val="00390CCC"/>
    <w:rsid w:val="00390E31"/>
    <w:rsid w:val="00390F6E"/>
    <w:rsid w:val="003910A2"/>
    <w:rsid w:val="003911E3"/>
    <w:rsid w:val="0039126F"/>
    <w:rsid w:val="0039127E"/>
    <w:rsid w:val="003912CF"/>
    <w:rsid w:val="003912D3"/>
    <w:rsid w:val="003913DF"/>
    <w:rsid w:val="0039150C"/>
    <w:rsid w:val="00391583"/>
    <w:rsid w:val="00391621"/>
    <w:rsid w:val="00391647"/>
    <w:rsid w:val="00391654"/>
    <w:rsid w:val="003916AC"/>
    <w:rsid w:val="003916DD"/>
    <w:rsid w:val="00391773"/>
    <w:rsid w:val="0039194C"/>
    <w:rsid w:val="0039197F"/>
    <w:rsid w:val="00391DE9"/>
    <w:rsid w:val="00391E17"/>
    <w:rsid w:val="00391E57"/>
    <w:rsid w:val="00391F3C"/>
    <w:rsid w:val="00391F8E"/>
    <w:rsid w:val="00391FD8"/>
    <w:rsid w:val="00392153"/>
    <w:rsid w:val="00392170"/>
    <w:rsid w:val="00392178"/>
    <w:rsid w:val="00392181"/>
    <w:rsid w:val="003921A2"/>
    <w:rsid w:val="003921E3"/>
    <w:rsid w:val="00392257"/>
    <w:rsid w:val="003924F6"/>
    <w:rsid w:val="0039253B"/>
    <w:rsid w:val="003925AA"/>
    <w:rsid w:val="00392602"/>
    <w:rsid w:val="003926F6"/>
    <w:rsid w:val="003927C1"/>
    <w:rsid w:val="003929F1"/>
    <w:rsid w:val="00392AA4"/>
    <w:rsid w:val="00392C2E"/>
    <w:rsid w:val="00392DE1"/>
    <w:rsid w:val="00392E8D"/>
    <w:rsid w:val="00392F9A"/>
    <w:rsid w:val="0039313A"/>
    <w:rsid w:val="00393186"/>
    <w:rsid w:val="00393203"/>
    <w:rsid w:val="00393293"/>
    <w:rsid w:val="00393343"/>
    <w:rsid w:val="0039336F"/>
    <w:rsid w:val="00393401"/>
    <w:rsid w:val="00393440"/>
    <w:rsid w:val="0039376F"/>
    <w:rsid w:val="003937B1"/>
    <w:rsid w:val="0039388B"/>
    <w:rsid w:val="003938D0"/>
    <w:rsid w:val="0039399C"/>
    <w:rsid w:val="00393A3D"/>
    <w:rsid w:val="00393A8C"/>
    <w:rsid w:val="00393AD8"/>
    <w:rsid w:val="00393C1B"/>
    <w:rsid w:val="00393C66"/>
    <w:rsid w:val="00393C85"/>
    <w:rsid w:val="00393CF7"/>
    <w:rsid w:val="00393D49"/>
    <w:rsid w:val="00394033"/>
    <w:rsid w:val="003944DB"/>
    <w:rsid w:val="003945C4"/>
    <w:rsid w:val="0039477D"/>
    <w:rsid w:val="003947C3"/>
    <w:rsid w:val="00394828"/>
    <w:rsid w:val="00394935"/>
    <w:rsid w:val="00394A04"/>
    <w:rsid w:val="00394A1D"/>
    <w:rsid w:val="00394AAA"/>
    <w:rsid w:val="00394AFB"/>
    <w:rsid w:val="00394BE0"/>
    <w:rsid w:val="00394C07"/>
    <w:rsid w:val="00394CCE"/>
    <w:rsid w:val="00394CDE"/>
    <w:rsid w:val="00394DB9"/>
    <w:rsid w:val="00394FF0"/>
    <w:rsid w:val="0039503C"/>
    <w:rsid w:val="003950AD"/>
    <w:rsid w:val="003950AE"/>
    <w:rsid w:val="0039530F"/>
    <w:rsid w:val="00395343"/>
    <w:rsid w:val="003953B0"/>
    <w:rsid w:val="003953B1"/>
    <w:rsid w:val="00395493"/>
    <w:rsid w:val="003954BC"/>
    <w:rsid w:val="0039558B"/>
    <w:rsid w:val="00395591"/>
    <w:rsid w:val="00395684"/>
    <w:rsid w:val="003956AC"/>
    <w:rsid w:val="003957A7"/>
    <w:rsid w:val="00395B36"/>
    <w:rsid w:val="00395B8A"/>
    <w:rsid w:val="00395C00"/>
    <w:rsid w:val="00395C89"/>
    <w:rsid w:val="00395D87"/>
    <w:rsid w:val="00395F0A"/>
    <w:rsid w:val="00395F74"/>
    <w:rsid w:val="00395FAC"/>
    <w:rsid w:val="00395FCE"/>
    <w:rsid w:val="003960ED"/>
    <w:rsid w:val="00396184"/>
    <w:rsid w:val="003962E9"/>
    <w:rsid w:val="0039633D"/>
    <w:rsid w:val="0039641D"/>
    <w:rsid w:val="00396550"/>
    <w:rsid w:val="003965B9"/>
    <w:rsid w:val="00396620"/>
    <w:rsid w:val="003966CC"/>
    <w:rsid w:val="003968B2"/>
    <w:rsid w:val="003969AF"/>
    <w:rsid w:val="003969BD"/>
    <w:rsid w:val="00396AD3"/>
    <w:rsid w:val="00396CC7"/>
    <w:rsid w:val="00396E03"/>
    <w:rsid w:val="00396ECB"/>
    <w:rsid w:val="00396F6C"/>
    <w:rsid w:val="0039708B"/>
    <w:rsid w:val="00397340"/>
    <w:rsid w:val="003973D3"/>
    <w:rsid w:val="003973EA"/>
    <w:rsid w:val="003975F6"/>
    <w:rsid w:val="003976A4"/>
    <w:rsid w:val="00397720"/>
    <w:rsid w:val="00397732"/>
    <w:rsid w:val="003977B8"/>
    <w:rsid w:val="00397820"/>
    <w:rsid w:val="00397897"/>
    <w:rsid w:val="00397A48"/>
    <w:rsid w:val="00397AC1"/>
    <w:rsid w:val="00397AF8"/>
    <w:rsid w:val="00397BD3"/>
    <w:rsid w:val="00397CEB"/>
    <w:rsid w:val="00397CF5"/>
    <w:rsid w:val="00397F2B"/>
    <w:rsid w:val="00397F66"/>
    <w:rsid w:val="00397FDE"/>
    <w:rsid w:val="0039E51D"/>
    <w:rsid w:val="003A00C2"/>
    <w:rsid w:val="003A014C"/>
    <w:rsid w:val="003A01A5"/>
    <w:rsid w:val="003A01F4"/>
    <w:rsid w:val="003A0236"/>
    <w:rsid w:val="003A035B"/>
    <w:rsid w:val="003A0362"/>
    <w:rsid w:val="003A03C2"/>
    <w:rsid w:val="003A03CD"/>
    <w:rsid w:val="003A055B"/>
    <w:rsid w:val="003A061E"/>
    <w:rsid w:val="003A0A17"/>
    <w:rsid w:val="003A0A3D"/>
    <w:rsid w:val="003A0A80"/>
    <w:rsid w:val="003A0BA9"/>
    <w:rsid w:val="003A0C7E"/>
    <w:rsid w:val="003A0CEE"/>
    <w:rsid w:val="003A0FDA"/>
    <w:rsid w:val="003A106B"/>
    <w:rsid w:val="003A131E"/>
    <w:rsid w:val="003A13E1"/>
    <w:rsid w:val="003A14A3"/>
    <w:rsid w:val="003A1508"/>
    <w:rsid w:val="003A164F"/>
    <w:rsid w:val="003A17C8"/>
    <w:rsid w:val="003A1837"/>
    <w:rsid w:val="003A19A3"/>
    <w:rsid w:val="003A1A52"/>
    <w:rsid w:val="003A1BAF"/>
    <w:rsid w:val="003A1C1E"/>
    <w:rsid w:val="003A1C7A"/>
    <w:rsid w:val="003A1DE2"/>
    <w:rsid w:val="003A1E43"/>
    <w:rsid w:val="003A2093"/>
    <w:rsid w:val="003A20D3"/>
    <w:rsid w:val="003A2258"/>
    <w:rsid w:val="003A23FA"/>
    <w:rsid w:val="003A2456"/>
    <w:rsid w:val="003A24F3"/>
    <w:rsid w:val="003A257C"/>
    <w:rsid w:val="003A2647"/>
    <w:rsid w:val="003A276A"/>
    <w:rsid w:val="003A2835"/>
    <w:rsid w:val="003A29B0"/>
    <w:rsid w:val="003A29FC"/>
    <w:rsid w:val="003A2A93"/>
    <w:rsid w:val="003A2CAB"/>
    <w:rsid w:val="003A2E22"/>
    <w:rsid w:val="003A2EC3"/>
    <w:rsid w:val="003A2EF4"/>
    <w:rsid w:val="003A2F5A"/>
    <w:rsid w:val="003A2FA4"/>
    <w:rsid w:val="003A2FB9"/>
    <w:rsid w:val="003A3052"/>
    <w:rsid w:val="003A30A0"/>
    <w:rsid w:val="003A30CB"/>
    <w:rsid w:val="003A30E3"/>
    <w:rsid w:val="003A31E4"/>
    <w:rsid w:val="003A3248"/>
    <w:rsid w:val="003A326B"/>
    <w:rsid w:val="003A32BF"/>
    <w:rsid w:val="003A32E1"/>
    <w:rsid w:val="003A3607"/>
    <w:rsid w:val="003A367C"/>
    <w:rsid w:val="003A380B"/>
    <w:rsid w:val="003A3856"/>
    <w:rsid w:val="003A399A"/>
    <w:rsid w:val="003A3A1D"/>
    <w:rsid w:val="003A3A25"/>
    <w:rsid w:val="003A3BE8"/>
    <w:rsid w:val="003A3C20"/>
    <w:rsid w:val="003A3CEC"/>
    <w:rsid w:val="003A3CF1"/>
    <w:rsid w:val="003A3E52"/>
    <w:rsid w:val="003A3EBC"/>
    <w:rsid w:val="003A3ED7"/>
    <w:rsid w:val="003A3F0D"/>
    <w:rsid w:val="003A3FA6"/>
    <w:rsid w:val="003A40E8"/>
    <w:rsid w:val="003A41A9"/>
    <w:rsid w:val="003A43C3"/>
    <w:rsid w:val="003A4432"/>
    <w:rsid w:val="003A471D"/>
    <w:rsid w:val="003A4909"/>
    <w:rsid w:val="003A495C"/>
    <w:rsid w:val="003A4996"/>
    <w:rsid w:val="003A4A1E"/>
    <w:rsid w:val="003A4A1F"/>
    <w:rsid w:val="003A4AAD"/>
    <w:rsid w:val="003A4B20"/>
    <w:rsid w:val="003A4BA8"/>
    <w:rsid w:val="003A4BDF"/>
    <w:rsid w:val="003A4C95"/>
    <w:rsid w:val="003A4D29"/>
    <w:rsid w:val="003A4E06"/>
    <w:rsid w:val="003A4E93"/>
    <w:rsid w:val="003A4EDB"/>
    <w:rsid w:val="003A4EE9"/>
    <w:rsid w:val="003A50D3"/>
    <w:rsid w:val="003A5289"/>
    <w:rsid w:val="003A52BC"/>
    <w:rsid w:val="003A52EC"/>
    <w:rsid w:val="003A53B7"/>
    <w:rsid w:val="003A540E"/>
    <w:rsid w:val="003A541B"/>
    <w:rsid w:val="003A54AF"/>
    <w:rsid w:val="003A5516"/>
    <w:rsid w:val="003A55D0"/>
    <w:rsid w:val="003A560F"/>
    <w:rsid w:val="003A5648"/>
    <w:rsid w:val="003A565A"/>
    <w:rsid w:val="003A5667"/>
    <w:rsid w:val="003A56BE"/>
    <w:rsid w:val="003A56E3"/>
    <w:rsid w:val="003A5817"/>
    <w:rsid w:val="003A5C6D"/>
    <w:rsid w:val="003A5FC6"/>
    <w:rsid w:val="003A600D"/>
    <w:rsid w:val="003A60D8"/>
    <w:rsid w:val="003A6190"/>
    <w:rsid w:val="003A6194"/>
    <w:rsid w:val="003A6202"/>
    <w:rsid w:val="003A63AE"/>
    <w:rsid w:val="003A6406"/>
    <w:rsid w:val="003A64ED"/>
    <w:rsid w:val="003A654F"/>
    <w:rsid w:val="003A6724"/>
    <w:rsid w:val="003A673C"/>
    <w:rsid w:val="003A6837"/>
    <w:rsid w:val="003A68E4"/>
    <w:rsid w:val="003A6949"/>
    <w:rsid w:val="003A69DF"/>
    <w:rsid w:val="003A6AE2"/>
    <w:rsid w:val="003A6B20"/>
    <w:rsid w:val="003A6BC8"/>
    <w:rsid w:val="003A6C21"/>
    <w:rsid w:val="003A6C66"/>
    <w:rsid w:val="003A6F52"/>
    <w:rsid w:val="003A704E"/>
    <w:rsid w:val="003A7200"/>
    <w:rsid w:val="003A723C"/>
    <w:rsid w:val="003A745C"/>
    <w:rsid w:val="003A77B1"/>
    <w:rsid w:val="003A78FD"/>
    <w:rsid w:val="003A798E"/>
    <w:rsid w:val="003A7E74"/>
    <w:rsid w:val="003A7EED"/>
    <w:rsid w:val="003B00E7"/>
    <w:rsid w:val="003B01C7"/>
    <w:rsid w:val="003B0365"/>
    <w:rsid w:val="003B0370"/>
    <w:rsid w:val="003B0371"/>
    <w:rsid w:val="003B042A"/>
    <w:rsid w:val="003B052C"/>
    <w:rsid w:val="003B05A7"/>
    <w:rsid w:val="003B06D8"/>
    <w:rsid w:val="003B073C"/>
    <w:rsid w:val="003B07D5"/>
    <w:rsid w:val="003B081C"/>
    <w:rsid w:val="003B0936"/>
    <w:rsid w:val="003B0A74"/>
    <w:rsid w:val="003B0B75"/>
    <w:rsid w:val="003B0C58"/>
    <w:rsid w:val="003B0D93"/>
    <w:rsid w:val="003B0F3A"/>
    <w:rsid w:val="003B0FAE"/>
    <w:rsid w:val="003B0FB4"/>
    <w:rsid w:val="003B122F"/>
    <w:rsid w:val="003B1805"/>
    <w:rsid w:val="003B186D"/>
    <w:rsid w:val="003B18EA"/>
    <w:rsid w:val="003B1B26"/>
    <w:rsid w:val="003B1B9B"/>
    <w:rsid w:val="003B1DFF"/>
    <w:rsid w:val="003B1EB3"/>
    <w:rsid w:val="003B1F69"/>
    <w:rsid w:val="003B1F9F"/>
    <w:rsid w:val="003B2095"/>
    <w:rsid w:val="003B2189"/>
    <w:rsid w:val="003B21F1"/>
    <w:rsid w:val="003B21F9"/>
    <w:rsid w:val="003B221F"/>
    <w:rsid w:val="003B2264"/>
    <w:rsid w:val="003B236D"/>
    <w:rsid w:val="003B23A3"/>
    <w:rsid w:val="003B23FC"/>
    <w:rsid w:val="003B250D"/>
    <w:rsid w:val="003B265D"/>
    <w:rsid w:val="003B2773"/>
    <w:rsid w:val="003B2828"/>
    <w:rsid w:val="003B2882"/>
    <w:rsid w:val="003B29FE"/>
    <w:rsid w:val="003B2A99"/>
    <w:rsid w:val="003B2B5C"/>
    <w:rsid w:val="003B2E7D"/>
    <w:rsid w:val="003B3032"/>
    <w:rsid w:val="003B3144"/>
    <w:rsid w:val="003B3491"/>
    <w:rsid w:val="003B35B2"/>
    <w:rsid w:val="003B3703"/>
    <w:rsid w:val="003B37DA"/>
    <w:rsid w:val="003B37E3"/>
    <w:rsid w:val="003B3848"/>
    <w:rsid w:val="003B39D9"/>
    <w:rsid w:val="003B3BD2"/>
    <w:rsid w:val="003B3C05"/>
    <w:rsid w:val="003B3D9A"/>
    <w:rsid w:val="003B3DE7"/>
    <w:rsid w:val="003B3EE1"/>
    <w:rsid w:val="003B40D6"/>
    <w:rsid w:val="003B418A"/>
    <w:rsid w:val="003B4202"/>
    <w:rsid w:val="003B4235"/>
    <w:rsid w:val="003B4262"/>
    <w:rsid w:val="003B428E"/>
    <w:rsid w:val="003B42AD"/>
    <w:rsid w:val="003B4376"/>
    <w:rsid w:val="003B43C9"/>
    <w:rsid w:val="003B43D6"/>
    <w:rsid w:val="003B4838"/>
    <w:rsid w:val="003B49DC"/>
    <w:rsid w:val="003B4A60"/>
    <w:rsid w:val="003B4C5E"/>
    <w:rsid w:val="003B4E5E"/>
    <w:rsid w:val="003B4E7E"/>
    <w:rsid w:val="003B4F27"/>
    <w:rsid w:val="003B4FD3"/>
    <w:rsid w:val="003B5096"/>
    <w:rsid w:val="003B509F"/>
    <w:rsid w:val="003B514E"/>
    <w:rsid w:val="003B528D"/>
    <w:rsid w:val="003B52BE"/>
    <w:rsid w:val="003B52EA"/>
    <w:rsid w:val="003B543B"/>
    <w:rsid w:val="003B564D"/>
    <w:rsid w:val="003B5715"/>
    <w:rsid w:val="003B572C"/>
    <w:rsid w:val="003B589E"/>
    <w:rsid w:val="003B58F7"/>
    <w:rsid w:val="003B596D"/>
    <w:rsid w:val="003B5A6A"/>
    <w:rsid w:val="003B5B5B"/>
    <w:rsid w:val="003B5C22"/>
    <w:rsid w:val="003B5D91"/>
    <w:rsid w:val="003B5E35"/>
    <w:rsid w:val="003B5E3E"/>
    <w:rsid w:val="003B5F5F"/>
    <w:rsid w:val="003B5FDF"/>
    <w:rsid w:val="003B6100"/>
    <w:rsid w:val="003B6103"/>
    <w:rsid w:val="003B615B"/>
    <w:rsid w:val="003B6224"/>
    <w:rsid w:val="003B628D"/>
    <w:rsid w:val="003B62D5"/>
    <w:rsid w:val="003B631B"/>
    <w:rsid w:val="003B6485"/>
    <w:rsid w:val="003B651F"/>
    <w:rsid w:val="003B6521"/>
    <w:rsid w:val="003B65D7"/>
    <w:rsid w:val="003B65E8"/>
    <w:rsid w:val="003B665A"/>
    <w:rsid w:val="003B677E"/>
    <w:rsid w:val="003B67C6"/>
    <w:rsid w:val="003B691C"/>
    <w:rsid w:val="003B6AC7"/>
    <w:rsid w:val="003B6CF0"/>
    <w:rsid w:val="003B6D73"/>
    <w:rsid w:val="003B6F2E"/>
    <w:rsid w:val="003B70E2"/>
    <w:rsid w:val="003B75A3"/>
    <w:rsid w:val="003B761B"/>
    <w:rsid w:val="003B7650"/>
    <w:rsid w:val="003B765A"/>
    <w:rsid w:val="003B76E9"/>
    <w:rsid w:val="003B7745"/>
    <w:rsid w:val="003B7747"/>
    <w:rsid w:val="003B7C18"/>
    <w:rsid w:val="003B7CA1"/>
    <w:rsid w:val="003B7CD0"/>
    <w:rsid w:val="003B7DA5"/>
    <w:rsid w:val="003B7DF0"/>
    <w:rsid w:val="003B7FAC"/>
    <w:rsid w:val="003B7FEA"/>
    <w:rsid w:val="003C0009"/>
    <w:rsid w:val="003C0037"/>
    <w:rsid w:val="003C011F"/>
    <w:rsid w:val="003C0156"/>
    <w:rsid w:val="003C02D9"/>
    <w:rsid w:val="003C03EF"/>
    <w:rsid w:val="003C0408"/>
    <w:rsid w:val="003C0473"/>
    <w:rsid w:val="003C0814"/>
    <w:rsid w:val="003C0AFB"/>
    <w:rsid w:val="003C0B3F"/>
    <w:rsid w:val="003C0D82"/>
    <w:rsid w:val="003C0DB6"/>
    <w:rsid w:val="003C0ECA"/>
    <w:rsid w:val="003C0ECB"/>
    <w:rsid w:val="003C11F0"/>
    <w:rsid w:val="003C13CD"/>
    <w:rsid w:val="003C13E7"/>
    <w:rsid w:val="003C14A7"/>
    <w:rsid w:val="003C15DF"/>
    <w:rsid w:val="003C1797"/>
    <w:rsid w:val="003C182F"/>
    <w:rsid w:val="003C186C"/>
    <w:rsid w:val="003C1904"/>
    <w:rsid w:val="003C1A08"/>
    <w:rsid w:val="003C1B0B"/>
    <w:rsid w:val="003C1E39"/>
    <w:rsid w:val="003C1EEC"/>
    <w:rsid w:val="003C2059"/>
    <w:rsid w:val="003C214A"/>
    <w:rsid w:val="003C21DC"/>
    <w:rsid w:val="003C26F8"/>
    <w:rsid w:val="003C26FF"/>
    <w:rsid w:val="003C28D7"/>
    <w:rsid w:val="003C2C1D"/>
    <w:rsid w:val="003C2C27"/>
    <w:rsid w:val="003C2D11"/>
    <w:rsid w:val="003C3027"/>
    <w:rsid w:val="003C317F"/>
    <w:rsid w:val="003C326C"/>
    <w:rsid w:val="003C32D7"/>
    <w:rsid w:val="003C33E2"/>
    <w:rsid w:val="003C3452"/>
    <w:rsid w:val="003C346A"/>
    <w:rsid w:val="003C360F"/>
    <w:rsid w:val="003C37A5"/>
    <w:rsid w:val="003C39C1"/>
    <w:rsid w:val="003C39FE"/>
    <w:rsid w:val="003C3A43"/>
    <w:rsid w:val="003C3A97"/>
    <w:rsid w:val="003C3AFD"/>
    <w:rsid w:val="003C3CD0"/>
    <w:rsid w:val="003C3D3E"/>
    <w:rsid w:val="003C409C"/>
    <w:rsid w:val="003C413A"/>
    <w:rsid w:val="003C43D4"/>
    <w:rsid w:val="003C4414"/>
    <w:rsid w:val="003C44C3"/>
    <w:rsid w:val="003C45C8"/>
    <w:rsid w:val="003C460D"/>
    <w:rsid w:val="003C461F"/>
    <w:rsid w:val="003C4649"/>
    <w:rsid w:val="003C46D1"/>
    <w:rsid w:val="003C475E"/>
    <w:rsid w:val="003C489F"/>
    <w:rsid w:val="003C492C"/>
    <w:rsid w:val="003C4942"/>
    <w:rsid w:val="003C49F2"/>
    <w:rsid w:val="003C4A9B"/>
    <w:rsid w:val="003C4AF3"/>
    <w:rsid w:val="003C4B94"/>
    <w:rsid w:val="003C4BB1"/>
    <w:rsid w:val="003C4CCE"/>
    <w:rsid w:val="003C51B8"/>
    <w:rsid w:val="003C51DA"/>
    <w:rsid w:val="003C5221"/>
    <w:rsid w:val="003C52A9"/>
    <w:rsid w:val="003C5315"/>
    <w:rsid w:val="003C535D"/>
    <w:rsid w:val="003C5397"/>
    <w:rsid w:val="003C539E"/>
    <w:rsid w:val="003C549F"/>
    <w:rsid w:val="003C55CD"/>
    <w:rsid w:val="003C55E5"/>
    <w:rsid w:val="003C5622"/>
    <w:rsid w:val="003C56CA"/>
    <w:rsid w:val="003C5709"/>
    <w:rsid w:val="003C57D8"/>
    <w:rsid w:val="003C5944"/>
    <w:rsid w:val="003C5996"/>
    <w:rsid w:val="003C5AD9"/>
    <w:rsid w:val="003C5BD9"/>
    <w:rsid w:val="003C5DAF"/>
    <w:rsid w:val="003C5E26"/>
    <w:rsid w:val="003C617B"/>
    <w:rsid w:val="003C637B"/>
    <w:rsid w:val="003C63CA"/>
    <w:rsid w:val="003C6445"/>
    <w:rsid w:val="003C6470"/>
    <w:rsid w:val="003C65AE"/>
    <w:rsid w:val="003C6606"/>
    <w:rsid w:val="003C6675"/>
    <w:rsid w:val="003C66FF"/>
    <w:rsid w:val="003C67DC"/>
    <w:rsid w:val="003C6832"/>
    <w:rsid w:val="003C68DD"/>
    <w:rsid w:val="003C6A16"/>
    <w:rsid w:val="003C6AE0"/>
    <w:rsid w:val="003C6B72"/>
    <w:rsid w:val="003C6BCE"/>
    <w:rsid w:val="003C6BF5"/>
    <w:rsid w:val="003C6C08"/>
    <w:rsid w:val="003C6C40"/>
    <w:rsid w:val="003C6C65"/>
    <w:rsid w:val="003C6CE9"/>
    <w:rsid w:val="003C6CF2"/>
    <w:rsid w:val="003C6D18"/>
    <w:rsid w:val="003C6D1F"/>
    <w:rsid w:val="003C6EF9"/>
    <w:rsid w:val="003C6F42"/>
    <w:rsid w:val="003C7026"/>
    <w:rsid w:val="003C708A"/>
    <w:rsid w:val="003C70DA"/>
    <w:rsid w:val="003C729E"/>
    <w:rsid w:val="003C72C4"/>
    <w:rsid w:val="003C757D"/>
    <w:rsid w:val="003C763A"/>
    <w:rsid w:val="003C7661"/>
    <w:rsid w:val="003C76CC"/>
    <w:rsid w:val="003C7710"/>
    <w:rsid w:val="003C785B"/>
    <w:rsid w:val="003C78AF"/>
    <w:rsid w:val="003C790B"/>
    <w:rsid w:val="003C7A93"/>
    <w:rsid w:val="003C7AF7"/>
    <w:rsid w:val="003C7C75"/>
    <w:rsid w:val="003C7CE9"/>
    <w:rsid w:val="003C7ECC"/>
    <w:rsid w:val="003C7F51"/>
    <w:rsid w:val="003D00EA"/>
    <w:rsid w:val="003D00EB"/>
    <w:rsid w:val="003D020F"/>
    <w:rsid w:val="003D0309"/>
    <w:rsid w:val="003D039D"/>
    <w:rsid w:val="003D03AD"/>
    <w:rsid w:val="003D05B6"/>
    <w:rsid w:val="003D05C1"/>
    <w:rsid w:val="003D07AC"/>
    <w:rsid w:val="003D07E2"/>
    <w:rsid w:val="003D08C9"/>
    <w:rsid w:val="003D0985"/>
    <w:rsid w:val="003D0AB1"/>
    <w:rsid w:val="003D0B46"/>
    <w:rsid w:val="003D0BE5"/>
    <w:rsid w:val="003D0DFE"/>
    <w:rsid w:val="003D0EE7"/>
    <w:rsid w:val="003D0F1B"/>
    <w:rsid w:val="003D0F4B"/>
    <w:rsid w:val="003D0F50"/>
    <w:rsid w:val="003D103A"/>
    <w:rsid w:val="003D1199"/>
    <w:rsid w:val="003D121C"/>
    <w:rsid w:val="003D1241"/>
    <w:rsid w:val="003D12D5"/>
    <w:rsid w:val="003D138C"/>
    <w:rsid w:val="003D13FE"/>
    <w:rsid w:val="003D140E"/>
    <w:rsid w:val="003D146E"/>
    <w:rsid w:val="003D171D"/>
    <w:rsid w:val="003D1885"/>
    <w:rsid w:val="003D189B"/>
    <w:rsid w:val="003D18C8"/>
    <w:rsid w:val="003D1AC2"/>
    <w:rsid w:val="003D1B8E"/>
    <w:rsid w:val="003D1BD6"/>
    <w:rsid w:val="003D1C00"/>
    <w:rsid w:val="003D1D4C"/>
    <w:rsid w:val="003D1D6E"/>
    <w:rsid w:val="003D1D99"/>
    <w:rsid w:val="003D1F24"/>
    <w:rsid w:val="003D1FEE"/>
    <w:rsid w:val="003D213D"/>
    <w:rsid w:val="003D2174"/>
    <w:rsid w:val="003D21BA"/>
    <w:rsid w:val="003D2245"/>
    <w:rsid w:val="003D23F1"/>
    <w:rsid w:val="003D24EE"/>
    <w:rsid w:val="003D25B4"/>
    <w:rsid w:val="003D270F"/>
    <w:rsid w:val="003D27CB"/>
    <w:rsid w:val="003D27F9"/>
    <w:rsid w:val="003D2B81"/>
    <w:rsid w:val="003D2BE9"/>
    <w:rsid w:val="003D2C1B"/>
    <w:rsid w:val="003D2FB1"/>
    <w:rsid w:val="003D3061"/>
    <w:rsid w:val="003D3144"/>
    <w:rsid w:val="003D3193"/>
    <w:rsid w:val="003D31FF"/>
    <w:rsid w:val="003D324D"/>
    <w:rsid w:val="003D339C"/>
    <w:rsid w:val="003D33C2"/>
    <w:rsid w:val="003D3432"/>
    <w:rsid w:val="003D34EB"/>
    <w:rsid w:val="003D357B"/>
    <w:rsid w:val="003D3590"/>
    <w:rsid w:val="003D35A6"/>
    <w:rsid w:val="003D3671"/>
    <w:rsid w:val="003D384F"/>
    <w:rsid w:val="003D3A18"/>
    <w:rsid w:val="003D3A3D"/>
    <w:rsid w:val="003D3BF2"/>
    <w:rsid w:val="003D3C92"/>
    <w:rsid w:val="003D3D48"/>
    <w:rsid w:val="003D3D9D"/>
    <w:rsid w:val="003D3DD7"/>
    <w:rsid w:val="003D403C"/>
    <w:rsid w:val="003D40DC"/>
    <w:rsid w:val="003D4250"/>
    <w:rsid w:val="003D4631"/>
    <w:rsid w:val="003D4650"/>
    <w:rsid w:val="003D4707"/>
    <w:rsid w:val="003D4725"/>
    <w:rsid w:val="003D475B"/>
    <w:rsid w:val="003D484F"/>
    <w:rsid w:val="003D4931"/>
    <w:rsid w:val="003D4A42"/>
    <w:rsid w:val="003D4A7C"/>
    <w:rsid w:val="003D4BA5"/>
    <w:rsid w:val="003D4D37"/>
    <w:rsid w:val="003D4DBE"/>
    <w:rsid w:val="003D4DE8"/>
    <w:rsid w:val="003D4E0B"/>
    <w:rsid w:val="003D4EAB"/>
    <w:rsid w:val="003D5066"/>
    <w:rsid w:val="003D526B"/>
    <w:rsid w:val="003D5623"/>
    <w:rsid w:val="003D5675"/>
    <w:rsid w:val="003D57C2"/>
    <w:rsid w:val="003D5924"/>
    <w:rsid w:val="003D5959"/>
    <w:rsid w:val="003D596C"/>
    <w:rsid w:val="003D5A75"/>
    <w:rsid w:val="003D5A9F"/>
    <w:rsid w:val="003D5AC7"/>
    <w:rsid w:val="003D5C4A"/>
    <w:rsid w:val="003D5CBB"/>
    <w:rsid w:val="003D5CE4"/>
    <w:rsid w:val="003D5E64"/>
    <w:rsid w:val="003D5EB5"/>
    <w:rsid w:val="003D5FB3"/>
    <w:rsid w:val="003D60CB"/>
    <w:rsid w:val="003D610D"/>
    <w:rsid w:val="003D61F6"/>
    <w:rsid w:val="003D6270"/>
    <w:rsid w:val="003D6298"/>
    <w:rsid w:val="003D65CD"/>
    <w:rsid w:val="003D699A"/>
    <w:rsid w:val="003D6A79"/>
    <w:rsid w:val="003D6AFE"/>
    <w:rsid w:val="003D6B70"/>
    <w:rsid w:val="003D6B75"/>
    <w:rsid w:val="003D6DF4"/>
    <w:rsid w:val="003D6E79"/>
    <w:rsid w:val="003D6EB9"/>
    <w:rsid w:val="003D6F42"/>
    <w:rsid w:val="003D703B"/>
    <w:rsid w:val="003D72FC"/>
    <w:rsid w:val="003D7379"/>
    <w:rsid w:val="003D7534"/>
    <w:rsid w:val="003D77D4"/>
    <w:rsid w:val="003D783F"/>
    <w:rsid w:val="003D7865"/>
    <w:rsid w:val="003D78A7"/>
    <w:rsid w:val="003D78E6"/>
    <w:rsid w:val="003D7951"/>
    <w:rsid w:val="003D7AA7"/>
    <w:rsid w:val="003D7D2F"/>
    <w:rsid w:val="003E0180"/>
    <w:rsid w:val="003E019A"/>
    <w:rsid w:val="003E01F4"/>
    <w:rsid w:val="003E02AD"/>
    <w:rsid w:val="003E0349"/>
    <w:rsid w:val="003E036A"/>
    <w:rsid w:val="003E0391"/>
    <w:rsid w:val="003E0439"/>
    <w:rsid w:val="003E0519"/>
    <w:rsid w:val="003E0597"/>
    <w:rsid w:val="003E0698"/>
    <w:rsid w:val="003E09D8"/>
    <w:rsid w:val="003E09ED"/>
    <w:rsid w:val="003E0A33"/>
    <w:rsid w:val="003E0CAC"/>
    <w:rsid w:val="003E0CC6"/>
    <w:rsid w:val="003E0D3B"/>
    <w:rsid w:val="003E0E0F"/>
    <w:rsid w:val="003E0E7E"/>
    <w:rsid w:val="003E10D5"/>
    <w:rsid w:val="003E147D"/>
    <w:rsid w:val="003E16E3"/>
    <w:rsid w:val="003E1734"/>
    <w:rsid w:val="003E177E"/>
    <w:rsid w:val="003E18EC"/>
    <w:rsid w:val="003E1A0A"/>
    <w:rsid w:val="003E1B04"/>
    <w:rsid w:val="003E1C17"/>
    <w:rsid w:val="003E1C49"/>
    <w:rsid w:val="003E1F27"/>
    <w:rsid w:val="003E1F61"/>
    <w:rsid w:val="003E1F96"/>
    <w:rsid w:val="003E211A"/>
    <w:rsid w:val="003E22E3"/>
    <w:rsid w:val="003E257D"/>
    <w:rsid w:val="003E2859"/>
    <w:rsid w:val="003E29E6"/>
    <w:rsid w:val="003E2A9E"/>
    <w:rsid w:val="003E2AB8"/>
    <w:rsid w:val="003E2AE0"/>
    <w:rsid w:val="003E2B6D"/>
    <w:rsid w:val="003E2C47"/>
    <w:rsid w:val="003E2CFD"/>
    <w:rsid w:val="003E2DA2"/>
    <w:rsid w:val="003E2E01"/>
    <w:rsid w:val="003E2F19"/>
    <w:rsid w:val="003E30B2"/>
    <w:rsid w:val="003E3165"/>
    <w:rsid w:val="003E31E9"/>
    <w:rsid w:val="003E322A"/>
    <w:rsid w:val="003E3270"/>
    <w:rsid w:val="003E32A2"/>
    <w:rsid w:val="003E3336"/>
    <w:rsid w:val="003E33AB"/>
    <w:rsid w:val="003E33CD"/>
    <w:rsid w:val="003E353E"/>
    <w:rsid w:val="003E3546"/>
    <w:rsid w:val="003E3758"/>
    <w:rsid w:val="003E37FC"/>
    <w:rsid w:val="003E3929"/>
    <w:rsid w:val="003E3A90"/>
    <w:rsid w:val="003E3B1D"/>
    <w:rsid w:val="003E3C55"/>
    <w:rsid w:val="003E3C6D"/>
    <w:rsid w:val="003E3DAD"/>
    <w:rsid w:val="003E3ED5"/>
    <w:rsid w:val="003E3EE4"/>
    <w:rsid w:val="003E3F9F"/>
    <w:rsid w:val="003E4012"/>
    <w:rsid w:val="003E40A8"/>
    <w:rsid w:val="003E421B"/>
    <w:rsid w:val="003E4260"/>
    <w:rsid w:val="003E42AD"/>
    <w:rsid w:val="003E42D4"/>
    <w:rsid w:val="003E4315"/>
    <w:rsid w:val="003E4428"/>
    <w:rsid w:val="003E4435"/>
    <w:rsid w:val="003E44D0"/>
    <w:rsid w:val="003E4517"/>
    <w:rsid w:val="003E467E"/>
    <w:rsid w:val="003E46E7"/>
    <w:rsid w:val="003E48B6"/>
    <w:rsid w:val="003E4934"/>
    <w:rsid w:val="003E4992"/>
    <w:rsid w:val="003E4BD6"/>
    <w:rsid w:val="003E4BF0"/>
    <w:rsid w:val="003E4DD9"/>
    <w:rsid w:val="003E4E89"/>
    <w:rsid w:val="003E4FBE"/>
    <w:rsid w:val="003E515E"/>
    <w:rsid w:val="003E5166"/>
    <w:rsid w:val="003E5362"/>
    <w:rsid w:val="003E53C3"/>
    <w:rsid w:val="003E53C6"/>
    <w:rsid w:val="003E542E"/>
    <w:rsid w:val="003E54CD"/>
    <w:rsid w:val="003E5555"/>
    <w:rsid w:val="003E55F6"/>
    <w:rsid w:val="003E589F"/>
    <w:rsid w:val="003E5995"/>
    <w:rsid w:val="003E5AAC"/>
    <w:rsid w:val="003E5BC5"/>
    <w:rsid w:val="003E5C11"/>
    <w:rsid w:val="003E5C43"/>
    <w:rsid w:val="003E5D54"/>
    <w:rsid w:val="003E5DAE"/>
    <w:rsid w:val="003E5FF1"/>
    <w:rsid w:val="003E610E"/>
    <w:rsid w:val="003E6147"/>
    <w:rsid w:val="003E6189"/>
    <w:rsid w:val="003E61A7"/>
    <w:rsid w:val="003E625A"/>
    <w:rsid w:val="003E62CB"/>
    <w:rsid w:val="003E62E7"/>
    <w:rsid w:val="003E62F6"/>
    <w:rsid w:val="003E659D"/>
    <w:rsid w:val="003E66A5"/>
    <w:rsid w:val="003E66BB"/>
    <w:rsid w:val="003E69CC"/>
    <w:rsid w:val="003E6BE9"/>
    <w:rsid w:val="003E6E4B"/>
    <w:rsid w:val="003E6E5E"/>
    <w:rsid w:val="003E6F0C"/>
    <w:rsid w:val="003E6F67"/>
    <w:rsid w:val="003E6F83"/>
    <w:rsid w:val="003E7198"/>
    <w:rsid w:val="003E7291"/>
    <w:rsid w:val="003E72F3"/>
    <w:rsid w:val="003E7333"/>
    <w:rsid w:val="003E73DB"/>
    <w:rsid w:val="003E745C"/>
    <w:rsid w:val="003E7545"/>
    <w:rsid w:val="003E7581"/>
    <w:rsid w:val="003E75CB"/>
    <w:rsid w:val="003E75ED"/>
    <w:rsid w:val="003E75FB"/>
    <w:rsid w:val="003E77EB"/>
    <w:rsid w:val="003E7824"/>
    <w:rsid w:val="003E7892"/>
    <w:rsid w:val="003E7944"/>
    <w:rsid w:val="003E7991"/>
    <w:rsid w:val="003E7A40"/>
    <w:rsid w:val="003E7AFE"/>
    <w:rsid w:val="003E7B33"/>
    <w:rsid w:val="003E7CBB"/>
    <w:rsid w:val="003E7CFF"/>
    <w:rsid w:val="003E7E3F"/>
    <w:rsid w:val="003F007A"/>
    <w:rsid w:val="003F00AA"/>
    <w:rsid w:val="003F0241"/>
    <w:rsid w:val="003F02B0"/>
    <w:rsid w:val="003F031B"/>
    <w:rsid w:val="003F0323"/>
    <w:rsid w:val="003F0332"/>
    <w:rsid w:val="003F035C"/>
    <w:rsid w:val="003F0569"/>
    <w:rsid w:val="003F0611"/>
    <w:rsid w:val="003F06C1"/>
    <w:rsid w:val="003F077E"/>
    <w:rsid w:val="003F0780"/>
    <w:rsid w:val="003F082D"/>
    <w:rsid w:val="003F0922"/>
    <w:rsid w:val="003F096C"/>
    <w:rsid w:val="003F0A4F"/>
    <w:rsid w:val="003F0A63"/>
    <w:rsid w:val="003F0A73"/>
    <w:rsid w:val="003F0CA9"/>
    <w:rsid w:val="003F0CFB"/>
    <w:rsid w:val="003F0DA8"/>
    <w:rsid w:val="003F0E15"/>
    <w:rsid w:val="003F10CF"/>
    <w:rsid w:val="003F1107"/>
    <w:rsid w:val="003F1370"/>
    <w:rsid w:val="003F1667"/>
    <w:rsid w:val="003F1748"/>
    <w:rsid w:val="003F181F"/>
    <w:rsid w:val="003F1887"/>
    <w:rsid w:val="003F18BC"/>
    <w:rsid w:val="003F1941"/>
    <w:rsid w:val="003F1AD9"/>
    <w:rsid w:val="003F1B70"/>
    <w:rsid w:val="003F1C5D"/>
    <w:rsid w:val="003F1C8E"/>
    <w:rsid w:val="003F1F2C"/>
    <w:rsid w:val="003F207C"/>
    <w:rsid w:val="003F22B7"/>
    <w:rsid w:val="003F248D"/>
    <w:rsid w:val="003F26A0"/>
    <w:rsid w:val="003F29BE"/>
    <w:rsid w:val="003F2A83"/>
    <w:rsid w:val="003F2B16"/>
    <w:rsid w:val="003F2C70"/>
    <w:rsid w:val="003F2D0B"/>
    <w:rsid w:val="003F2D12"/>
    <w:rsid w:val="003F2E5D"/>
    <w:rsid w:val="003F2F7A"/>
    <w:rsid w:val="003F2FBA"/>
    <w:rsid w:val="003F3099"/>
    <w:rsid w:val="003F330A"/>
    <w:rsid w:val="003F3324"/>
    <w:rsid w:val="003F333D"/>
    <w:rsid w:val="003F34C0"/>
    <w:rsid w:val="003F35B8"/>
    <w:rsid w:val="003F370F"/>
    <w:rsid w:val="003F371C"/>
    <w:rsid w:val="003F3763"/>
    <w:rsid w:val="003F37C8"/>
    <w:rsid w:val="003F37CC"/>
    <w:rsid w:val="003F389B"/>
    <w:rsid w:val="003F39EC"/>
    <w:rsid w:val="003F3A7E"/>
    <w:rsid w:val="003F3BFB"/>
    <w:rsid w:val="003F3D2A"/>
    <w:rsid w:val="003F3E09"/>
    <w:rsid w:val="003F3E14"/>
    <w:rsid w:val="003F3EA9"/>
    <w:rsid w:val="003F3EEB"/>
    <w:rsid w:val="003F41E1"/>
    <w:rsid w:val="003F421D"/>
    <w:rsid w:val="003F42E1"/>
    <w:rsid w:val="003F4326"/>
    <w:rsid w:val="003F451E"/>
    <w:rsid w:val="003F4839"/>
    <w:rsid w:val="003F4877"/>
    <w:rsid w:val="003F48A5"/>
    <w:rsid w:val="003F4B0E"/>
    <w:rsid w:val="003F4BD0"/>
    <w:rsid w:val="003F4C37"/>
    <w:rsid w:val="003F4C52"/>
    <w:rsid w:val="003F4D27"/>
    <w:rsid w:val="003F4FDB"/>
    <w:rsid w:val="003F51A2"/>
    <w:rsid w:val="003F5210"/>
    <w:rsid w:val="003F5416"/>
    <w:rsid w:val="003F555D"/>
    <w:rsid w:val="003F55C8"/>
    <w:rsid w:val="003F55FB"/>
    <w:rsid w:val="003F57D2"/>
    <w:rsid w:val="003F589F"/>
    <w:rsid w:val="003F5BF2"/>
    <w:rsid w:val="003F5C46"/>
    <w:rsid w:val="003F5D8F"/>
    <w:rsid w:val="003F5DD9"/>
    <w:rsid w:val="003F5E3B"/>
    <w:rsid w:val="003F5E43"/>
    <w:rsid w:val="003F6065"/>
    <w:rsid w:val="003F60E7"/>
    <w:rsid w:val="003F6412"/>
    <w:rsid w:val="003F6431"/>
    <w:rsid w:val="003F6517"/>
    <w:rsid w:val="003F651F"/>
    <w:rsid w:val="003F655F"/>
    <w:rsid w:val="003F6614"/>
    <w:rsid w:val="003F6663"/>
    <w:rsid w:val="003F6664"/>
    <w:rsid w:val="003F6668"/>
    <w:rsid w:val="003F696F"/>
    <w:rsid w:val="003F6B1F"/>
    <w:rsid w:val="003F6BE1"/>
    <w:rsid w:val="003F6EFE"/>
    <w:rsid w:val="003F6F7F"/>
    <w:rsid w:val="003F716B"/>
    <w:rsid w:val="003F71CE"/>
    <w:rsid w:val="003F7224"/>
    <w:rsid w:val="003F72C5"/>
    <w:rsid w:val="003F736F"/>
    <w:rsid w:val="003F737B"/>
    <w:rsid w:val="003F7420"/>
    <w:rsid w:val="003F747F"/>
    <w:rsid w:val="003F749F"/>
    <w:rsid w:val="003F762C"/>
    <w:rsid w:val="003F762E"/>
    <w:rsid w:val="003F76F9"/>
    <w:rsid w:val="003F77E9"/>
    <w:rsid w:val="003F77FC"/>
    <w:rsid w:val="003F7812"/>
    <w:rsid w:val="003F78F3"/>
    <w:rsid w:val="003F7920"/>
    <w:rsid w:val="003F7981"/>
    <w:rsid w:val="003F79EE"/>
    <w:rsid w:val="003F7BD9"/>
    <w:rsid w:val="003F7C08"/>
    <w:rsid w:val="003F7C76"/>
    <w:rsid w:val="003F7D05"/>
    <w:rsid w:val="003F7D94"/>
    <w:rsid w:val="003F7E4D"/>
    <w:rsid w:val="003F7EF2"/>
    <w:rsid w:val="003F7F59"/>
    <w:rsid w:val="003F7FC4"/>
    <w:rsid w:val="00400099"/>
    <w:rsid w:val="004002B5"/>
    <w:rsid w:val="004002F2"/>
    <w:rsid w:val="00400385"/>
    <w:rsid w:val="004003E3"/>
    <w:rsid w:val="004004E1"/>
    <w:rsid w:val="004004F4"/>
    <w:rsid w:val="00400502"/>
    <w:rsid w:val="004005B3"/>
    <w:rsid w:val="00400738"/>
    <w:rsid w:val="00400748"/>
    <w:rsid w:val="0040077C"/>
    <w:rsid w:val="00400810"/>
    <w:rsid w:val="004008AC"/>
    <w:rsid w:val="004009AD"/>
    <w:rsid w:val="00400A5F"/>
    <w:rsid w:val="00400A61"/>
    <w:rsid w:val="00400A8D"/>
    <w:rsid w:val="00400C12"/>
    <w:rsid w:val="00400C89"/>
    <w:rsid w:val="00400D56"/>
    <w:rsid w:val="00400D86"/>
    <w:rsid w:val="00400E1A"/>
    <w:rsid w:val="00400E99"/>
    <w:rsid w:val="00401036"/>
    <w:rsid w:val="00401127"/>
    <w:rsid w:val="00401204"/>
    <w:rsid w:val="00401255"/>
    <w:rsid w:val="004012C3"/>
    <w:rsid w:val="004013B7"/>
    <w:rsid w:val="00401876"/>
    <w:rsid w:val="0040188D"/>
    <w:rsid w:val="00401A27"/>
    <w:rsid w:val="00401BC4"/>
    <w:rsid w:val="00401BE1"/>
    <w:rsid w:val="00401C16"/>
    <w:rsid w:val="00401CA4"/>
    <w:rsid w:val="00401D65"/>
    <w:rsid w:val="00401EB3"/>
    <w:rsid w:val="00401F4B"/>
    <w:rsid w:val="00401F80"/>
    <w:rsid w:val="004021B9"/>
    <w:rsid w:val="004022D7"/>
    <w:rsid w:val="004022E1"/>
    <w:rsid w:val="0040237C"/>
    <w:rsid w:val="004023B2"/>
    <w:rsid w:val="0040247D"/>
    <w:rsid w:val="0040254A"/>
    <w:rsid w:val="004025CC"/>
    <w:rsid w:val="0040272A"/>
    <w:rsid w:val="00402750"/>
    <w:rsid w:val="004027EF"/>
    <w:rsid w:val="004028EB"/>
    <w:rsid w:val="00402926"/>
    <w:rsid w:val="00402B2D"/>
    <w:rsid w:val="00402B82"/>
    <w:rsid w:val="00402C15"/>
    <w:rsid w:val="00402C3E"/>
    <w:rsid w:val="00402C66"/>
    <w:rsid w:val="00402CD6"/>
    <w:rsid w:val="00402DA5"/>
    <w:rsid w:val="00402DC4"/>
    <w:rsid w:val="00402EAE"/>
    <w:rsid w:val="00402EFB"/>
    <w:rsid w:val="00402F17"/>
    <w:rsid w:val="00402F35"/>
    <w:rsid w:val="00402F7C"/>
    <w:rsid w:val="00402F91"/>
    <w:rsid w:val="00403067"/>
    <w:rsid w:val="0040309A"/>
    <w:rsid w:val="004030B1"/>
    <w:rsid w:val="0040316C"/>
    <w:rsid w:val="00403183"/>
    <w:rsid w:val="004033AD"/>
    <w:rsid w:val="00403458"/>
    <w:rsid w:val="00403493"/>
    <w:rsid w:val="0040351A"/>
    <w:rsid w:val="00403541"/>
    <w:rsid w:val="00403587"/>
    <w:rsid w:val="004035AC"/>
    <w:rsid w:val="00403623"/>
    <w:rsid w:val="00403862"/>
    <w:rsid w:val="00403A71"/>
    <w:rsid w:val="00403AAF"/>
    <w:rsid w:val="00403AEE"/>
    <w:rsid w:val="00403AF8"/>
    <w:rsid w:val="00403C43"/>
    <w:rsid w:val="00403C66"/>
    <w:rsid w:val="00403C99"/>
    <w:rsid w:val="00403D42"/>
    <w:rsid w:val="00403D94"/>
    <w:rsid w:val="00403E35"/>
    <w:rsid w:val="00403F95"/>
    <w:rsid w:val="00404047"/>
    <w:rsid w:val="00404102"/>
    <w:rsid w:val="0040427B"/>
    <w:rsid w:val="00404361"/>
    <w:rsid w:val="004043D6"/>
    <w:rsid w:val="0040478A"/>
    <w:rsid w:val="00404933"/>
    <w:rsid w:val="0040493F"/>
    <w:rsid w:val="00404949"/>
    <w:rsid w:val="0040497A"/>
    <w:rsid w:val="00404986"/>
    <w:rsid w:val="00404990"/>
    <w:rsid w:val="00404ABE"/>
    <w:rsid w:val="00404BBA"/>
    <w:rsid w:val="00404CEB"/>
    <w:rsid w:val="00404DDB"/>
    <w:rsid w:val="00404DE5"/>
    <w:rsid w:val="00404EAB"/>
    <w:rsid w:val="00404F2C"/>
    <w:rsid w:val="00404F7E"/>
    <w:rsid w:val="0040500E"/>
    <w:rsid w:val="00405021"/>
    <w:rsid w:val="0040528C"/>
    <w:rsid w:val="004055CC"/>
    <w:rsid w:val="004056A5"/>
    <w:rsid w:val="004057AF"/>
    <w:rsid w:val="004057D9"/>
    <w:rsid w:val="0040580F"/>
    <w:rsid w:val="00405812"/>
    <w:rsid w:val="0040585E"/>
    <w:rsid w:val="00405897"/>
    <w:rsid w:val="004058B2"/>
    <w:rsid w:val="004058FF"/>
    <w:rsid w:val="004059F3"/>
    <w:rsid w:val="00405B02"/>
    <w:rsid w:val="00405B3B"/>
    <w:rsid w:val="00405B5C"/>
    <w:rsid w:val="00405C62"/>
    <w:rsid w:val="00405C9D"/>
    <w:rsid w:val="00405E4D"/>
    <w:rsid w:val="00405F0D"/>
    <w:rsid w:val="00405F1D"/>
    <w:rsid w:val="00405F2F"/>
    <w:rsid w:val="0040600B"/>
    <w:rsid w:val="00406043"/>
    <w:rsid w:val="00406081"/>
    <w:rsid w:val="00406092"/>
    <w:rsid w:val="004060C5"/>
    <w:rsid w:val="00406238"/>
    <w:rsid w:val="0040633C"/>
    <w:rsid w:val="0040635E"/>
    <w:rsid w:val="0040645A"/>
    <w:rsid w:val="004064D3"/>
    <w:rsid w:val="00406615"/>
    <w:rsid w:val="004066C1"/>
    <w:rsid w:val="0040696B"/>
    <w:rsid w:val="004069BB"/>
    <w:rsid w:val="00406C66"/>
    <w:rsid w:val="00406CF3"/>
    <w:rsid w:val="00406D60"/>
    <w:rsid w:val="00406DEE"/>
    <w:rsid w:val="00406E72"/>
    <w:rsid w:val="00407085"/>
    <w:rsid w:val="004070A5"/>
    <w:rsid w:val="00407232"/>
    <w:rsid w:val="0040741E"/>
    <w:rsid w:val="00407469"/>
    <w:rsid w:val="004075D6"/>
    <w:rsid w:val="004076B9"/>
    <w:rsid w:val="00407757"/>
    <w:rsid w:val="004077C3"/>
    <w:rsid w:val="00407805"/>
    <w:rsid w:val="004079CF"/>
    <w:rsid w:val="00407B13"/>
    <w:rsid w:val="00407BBA"/>
    <w:rsid w:val="00407C1F"/>
    <w:rsid w:val="00407D74"/>
    <w:rsid w:val="00407E9C"/>
    <w:rsid w:val="00407F90"/>
    <w:rsid w:val="00407FBD"/>
    <w:rsid w:val="00407FD5"/>
    <w:rsid w:val="004100DD"/>
    <w:rsid w:val="00410258"/>
    <w:rsid w:val="00410299"/>
    <w:rsid w:val="00410314"/>
    <w:rsid w:val="00410328"/>
    <w:rsid w:val="004104E7"/>
    <w:rsid w:val="00410524"/>
    <w:rsid w:val="00410535"/>
    <w:rsid w:val="004106C3"/>
    <w:rsid w:val="0041083B"/>
    <w:rsid w:val="004108F7"/>
    <w:rsid w:val="00410932"/>
    <w:rsid w:val="00410997"/>
    <w:rsid w:val="004109BA"/>
    <w:rsid w:val="00410A0B"/>
    <w:rsid w:val="00410E05"/>
    <w:rsid w:val="00410EB2"/>
    <w:rsid w:val="00411020"/>
    <w:rsid w:val="004110D1"/>
    <w:rsid w:val="00411180"/>
    <w:rsid w:val="004113EF"/>
    <w:rsid w:val="00411585"/>
    <w:rsid w:val="004115A2"/>
    <w:rsid w:val="004115B9"/>
    <w:rsid w:val="00411637"/>
    <w:rsid w:val="00411720"/>
    <w:rsid w:val="004117A6"/>
    <w:rsid w:val="0041186D"/>
    <w:rsid w:val="00411892"/>
    <w:rsid w:val="00411A7B"/>
    <w:rsid w:val="00411B2C"/>
    <w:rsid w:val="00411D2D"/>
    <w:rsid w:val="00411EA9"/>
    <w:rsid w:val="00411FD8"/>
    <w:rsid w:val="0041215B"/>
    <w:rsid w:val="004121E3"/>
    <w:rsid w:val="00412367"/>
    <w:rsid w:val="00412373"/>
    <w:rsid w:val="004123C1"/>
    <w:rsid w:val="004123D3"/>
    <w:rsid w:val="004123F7"/>
    <w:rsid w:val="004124FA"/>
    <w:rsid w:val="0041252C"/>
    <w:rsid w:val="0041275C"/>
    <w:rsid w:val="004127E9"/>
    <w:rsid w:val="004128A9"/>
    <w:rsid w:val="00412A4E"/>
    <w:rsid w:val="00412AAB"/>
    <w:rsid w:val="00412AE2"/>
    <w:rsid w:val="00412B34"/>
    <w:rsid w:val="00412B3D"/>
    <w:rsid w:val="00412B4E"/>
    <w:rsid w:val="00412C4D"/>
    <w:rsid w:val="00412CA5"/>
    <w:rsid w:val="00412E2E"/>
    <w:rsid w:val="00412F59"/>
    <w:rsid w:val="00412F86"/>
    <w:rsid w:val="00412FA9"/>
    <w:rsid w:val="00413059"/>
    <w:rsid w:val="0041315D"/>
    <w:rsid w:val="004133B0"/>
    <w:rsid w:val="00413501"/>
    <w:rsid w:val="00413566"/>
    <w:rsid w:val="00413567"/>
    <w:rsid w:val="004135FD"/>
    <w:rsid w:val="00413726"/>
    <w:rsid w:val="00413769"/>
    <w:rsid w:val="00413770"/>
    <w:rsid w:val="004139D8"/>
    <w:rsid w:val="00413AA6"/>
    <w:rsid w:val="00413DA3"/>
    <w:rsid w:val="00413DDA"/>
    <w:rsid w:val="00413F2C"/>
    <w:rsid w:val="00413F9F"/>
    <w:rsid w:val="0041424F"/>
    <w:rsid w:val="004142BE"/>
    <w:rsid w:val="004142D7"/>
    <w:rsid w:val="00414628"/>
    <w:rsid w:val="00414751"/>
    <w:rsid w:val="00414785"/>
    <w:rsid w:val="004149E6"/>
    <w:rsid w:val="00414A70"/>
    <w:rsid w:val="00414A95"/>
    <w:rsid w:val="00414B53"/>
    <w:rsid w:val="00414B90"/>
    <w:rsid w:val="00414C8B"/>
    <w:rsid w:val="00414D58"/>
    <w:rsid w:val="00414DBE"/>
    <w:rsid w:val="00414F08"/>
    <w:rsid w:val="00414F42"/>
    <w:rsid w:val="00414F52"/>
    <w:rsid w:val="00414F74"/>
    <w:rsid w:val="00415015"/>
    <w:rsid w:val="0041505B"/>
    <w:rsid w:val="00415187"/>
    <w:rsid w:val="00415189"/>
    <w:rsid w:val="00415263"/>
    <w:rsid w:val="004152C4"/>
    <w:rsid w:val="00415480"/>
    <w:rsid w:val="0041549C"/>
    <w:rsid w:val="0041559C"/>
    <w:rsid w:val="004156AA"/>
    <w:rsid w:val="004156B7"/>
    <w:rsid w:val="00415757"/>
    <w:rsid w:val="0041586F"/>
    <w:rsid w:val="0041589A"/>
    <w:rsid w:val="00415A2F"/>
    <w:rsid w:val="00415A7E"/>
    <w:rsid w:val="00415B33"/>
    <w:rsid w:val="00415B5F"/>
    <w:rsid w:val="00415BAB"/>
    <w:rsid w:val="00415BC8"/>
    <w:rsid w:val="00415C6E"/>
    <w:rsid w:val="00415D41"/>
    <w:rsid w:val="00415D51"/>
    <w:rsid w:val="00415DFB"/>
    <w:rsid w:val="00415EFD"/>
    <w:rsid w:val="0041605B"/>
    <w:rsid w:val="00416260"/>
    <w:rsid w:val="00416360"/>
    <w:rsid w:val="004163F4"/>
    <w:rsid w:val="004165BA"/>
    <w:rsid w:val="004167A9"/>
    <w:rsid w:val="0041698A"/>
    <w:rsid w:val="00416993"/>
    <w:rsid w:val="00416A7C"/>
    <w:rsid w:val="00416BEE"/>
    <w:rsid w:val="00416C24"/>
    <w:rsid w:val="00416CE0"/>
    <w:rsid w:val="00416DA8"/>
    <w:rsid w:val="00416EC2"/>
    <w:rsid w:val="00417076"/>
    <w:rsid w:val="004170A1"/>
    <w:rsid w:val="00417157"/>
    <w:rsid w:val="004172AD"/>
    <w:rsid w:val="004173F4"/>
    <w:rsid w:val="0041748A"/>
    <w:rsid w:val="00417615"/>
    <w:rsid w:val="00417772"/>
    <w:rsid w:val="0041797A"/>
    <w:rsid w:val="00417AD5"/>
    <w:rsid w:val="00417B70"/>
    <w:rsid w:val="00417BBF"/>
    <w:rsid w:val="00417C48"/>
    <w:rsid w:val="00417CB7"/>
    <w:rsid w:val="00417CC8"/>
    <w:rsid w:val="00417D12"/>
    <w:rsid w:val="00417D7A"/>
    <w:rsid w:val="00417E5F"/>
    <w:rsid w:val="00417F35"/>
    <w:rsid w:val="0042009C"/>
    <w:rsid w:val="0042011C"/>
    <w:rsid w:val="004201AC"/>
    <w:rsid w:val="004201D6"/>
    <w:rsid w:val="004202D2"/>
    <w:rsid w:val="0042059F"/>
    <w:rsid w:val="004205AC"/>
    <w:rsid w:val="00420632"/>
    <w:rsid w:val="004206A5"/>
    <w:rsid w:val="00420802"/>
    <w:rsid w:val="004208BB"/>
    <w:rsid w:val="00420AE6"/>
    <w:rsid w:val="00420C1B"/>
    <w:rsid w:val="00420CA4"/>
    <w:rsid w:val="00420D45"/>
    <w:rsid w:val="00420DAA"/>
    <w:rsid w:val="004210CF"/>
    <w:rsid w:val="00421126"/>
    <w:rsid w:val="004211FE"/>
    <w:rsid w:val="00421345"/>
    <w:rsid w:val="004213DF"/>
    <w:rsid w:val="00421736"/>
    <w:rsid w:val="00421761"/>
    <w:rsid w:val="00421849"/>
    <w:rsid w:val="004218E7"/>
    <w:rsid w:val="00421AE3"/>
    <w:rsid w:val="00421CEA"/>
    <w:rsid w:val="00421E23"/>
    <w:rsid w:val="00421E3A"/>
    <w:rsid w:val="00421EC0"/>
    <w:rsid w:val="00421F3C"/>
    <w:rsid w:val="00421F4A"/>
    <w:rsid w:val="00421F9A"/>
    <w:rsid w:val="00422028"/>
    <w:rsid w:val="00422193"/>
    <w:rsid w:val="00422197"/>
    <w:rsid w:val="0042221D"/>
    <w:rsid w:val="004222FB"/>
    <w:rsid w:val="004223D0"/>
    <w:rsid w:val="0042244E"/>
    <w:rsid w:val="0042258F"/>
    <w:rsid w:val="0042272A"/>
    <w:rsid w:val="0042273F"/>
    <w:rsid w:val="00422761"/>
    <w:rsid w:val="00422868"/>
    <w:rsid w:val="00422910"/>
    <w:rsid w:val="00422A79"/>
    <w:rsid w:val="00422D1A"/>
    <w:rsid w:val="00422D58"/>
    <w:rsid w:val="00422F34"/>
    <w:rsid w:val="00422F83"/>
    <w:rsid w:val="00423006"/>
    <w:rsid w:val="00423054"/>
    <w:rsid w:val="004230EF"/>
    <w:rsid w:val="00423122"/>
    <w:rsid w:val="004231E3"/>
    <w:rsid w:val="004231FA"/>
    <w:rsid w:val="00423295"/>
    <w:rsid w:val="004232FB"/>
    <w:rsid w:val="00423631"/>
    <w:rsid w:val="0042368B"/>
    <w:rsid w:val="00423849"/>
    <w:rsid w:val="00423892"/>
    <w:rsid w:val="00423A4D"/>
    <w:rsid w:val="00423B01"/>
    <w:rsid w:val="00423BFB"/>
    <w:rsid w:val="00423CDF"/>
    <w:rsid w:val="00423D8A"/>
    <w:rsid w:val="00423E24"/>
    <w:rsid w:val="00423E2A"/>
    <w:rsid w:val="00423E88"/>
    <w:rsid w:val="00423F1F"/>
    <w:rsid w:val="00424110"/>
    <w:rsid w:val="004241F1"/>
    <w:rsid w:val="004242BA"/>
    <w:rsid w:val="00424333"/>
    <w:rsid w:val="00424383"/>
    <w:rsid w:val="004244FB"/>
    <w:rsid w:val="00424506"/>
    <w:rsid w:val="00424551"/>
    <w:rsid w:val="004245E4"/>
    <w:rsid w:val="004246B2"/>
    <w:rsid w:val="0042471D"/>
    <w:rsid w:val="004248B0"/>
    <w:rsid w:val="004249C2"/>
    <w:rsid w:val="00424AC6"/>
    <w:rsid w:val="00424BB6"/>
    <w:rsid w:val="00424C95"/>
    <w:rsid w:val="00424E3D"/>
    <w:rsid w:val="00424E56"/>
    <w:rsid w:val="00424FA9"/>
    <w:rsid w:val="004250F9"/>
    <w:rsid w:val="00425234"/>
    <w:rsid w:val="0042545B"/>
    <w:rsid w:val="00425468"/>
    <w:rsid w:val="00425657"/>
    <w:rsid w:val="00425669"/>
    <w:rsid w:val="00425689"/>
    <w:rsid w:val="004256CD"/>
    <w:rsid w:val="004256FD"/>
    <w:rsid w:val="00425799"/>
    <w:rsid w:val="004257EE"/>
    <w:rsid w:val="004258FD"/>
    <w:rsid w:val="004259AB"/>
    <w:rsid w:val="00425A6F"/>
    <w:rsid w:val="00425AB8"/>
    <w:rsid w:val="00425C57"/>
    <w:rsid w:val="00425D98"/>
    <w:rsid w:val="00425EAF"/>
    <w:rsid w:val="00425F07"/>
    <w:rsid w:val="00425F14"/>
    <w:rsid w:val="00426024"/>
    <w:rsid w:val="004262FB"/>
    <w:rsid w:val="00426331"/>
    <w:rsid w:val="004263F6"/>
    <w:rsid w:val="00426582"/>
    <w:rsid w:val="004266F6"/>
    <w:rsid w:val="004267E8"/>
    <w:rsid w:val="00426887"/>
    <w:rsid w:val="0042695B"/>
    <w:rsid w:val="00426983"/>
    <w:rsid w:val="00426A3B"/>
    <w:rsid w:val="00426BB3"/>
    <w:rsid w:val="00426CAA"/>
    <w:rsid w:val="00426DE4"/>
    <w:rsid w:val="00426F30"/>
    <w:rsid w:val="00426FDB"/>
    <w:rsid w:val="00427077"/>
    <w:rsid w:val="0042711F"/>
    <w:rsid w:val="0042722B"/>
    <w:rsid w:val="00427276"/>
    <w:rsid w:val="00427495"/>
    <w:rsid w:val="004274C5"/>
    <w:rsid w:val="004274ED"/>
    <w:rsid w:val="004276A7"/>
    <w:rsid w:val="0042771A"/>
    <w:rsid w:val="004277BB"/>
    <w:rsid w:val="004277FE"/>
    <w:rsid w:val="0042793A"/>
    <w:rsid w:val="0042797E"/>
    <w:rsid w:val="004279EC"/>
    <w:rsid w:val="00427A1F"/>
    <w:rsid w:val="00427A30"/>
    <w:rsid w:val="00427A6C"/>
    <w:rsid w:val="00427B6C"/>
    <w:rsid w:val="00427B87"/>
    <w:rsid w:val="00427B9A"/>
    <w:rsid w:val="00427F9B"/>
    <w:rsid w:val="004300A5"/>
    <w:rsid w:val="004302D1"/>
    <w:rsid w:val="0043052A"/>
    <w:rsid w:val="0043064F"/>
    <w:rsid w:val="004309AD"/>
    <w:rsid w:val="004309EC"/>
    <w:rsid w:val="00430A76"/>
    <w:rsid w:val="00430B17"/>
    <w:rsid w:val="00430BB3"/>
    <w:rsid w:val="00430BB6"/>
    <w:rsid w:val="00430E1B"/>
    <w:rsid w:val="00430F1B"/>
    <w:rsid w:val="00430F29"/>
    <w:rsid w:val="00430F78"/>
    <w:rsid w:val="0043116B"/>
    <w:rsid w:val="00431174"/>
    <w:rsid w:val="004311DC"/>
    <w:rsid w:val="0043128A"/>
    <w:rsid w:val="004312BF"/>
    <w:rsid w:val="004312E2"/>
    <w:rsid w:val="004313DF"/>
    <w:rsid w:val="00431474"/>
    <w:rsid w:val="004315C9"/>
    <w:rsid w:val="00431605"/>
    <w:rsid w:val="0043175B"/>
    <w:rsid w:val="004319A9"/>
    <w:rsid w:val="00431A40"/>
    <w:rsid w:val="00431B7F"/>
    <w:rsid w:val="00431BC1"/>
    <w:rsid w:val="00431C62"/>
    <w:rsid w:val="00431DC6"/>
    <w:rsid w:val="00431E0B"/>
    <w:rsid w:val="00431EBD"/>
    <w:rsid w:val="00431F27"/>
    <w:rsid w:val="00432011"/>
    <w:rsid w:val="00432016"/>
    <w:rsid w:val="00432038"/>
    <w:rsid w:val="00432060"/>
    <w:rsid w:val="004320F7"/>
    <w:rsid w:val="00432146"/>
    <w:rsid w:val="00432402"/>
    <w:rsid w:val="004326E5"/>
    <w:rsid w:val="004326F4"/>
    <w:rsid w:val="00432708"/>
    <w:rsid w:val="004327D4"/>
    <w:rsid w:val="00432826"/>
    <w:rsid w:val="004328E3"/>
    <w:rsid w:val="00432910"/>
    <w:rsid w:val="00432A66"/>
    <w:rsid w:val="00432BB8"/>
    <w:rsid w:val="00432C92"/>
    <w:rsid w:val="00432E03"/>
    <w:rsid w:val="00432E1F"/>
    <w:rsid w:val="00432F20"/>
    <w:rsid w:val="004330D0"/>
    <w:rsid w:val="00433340"/>
    <w:rsid w:val="00433441"/>
    <w:rsid w:val="0043355D"/>
    <w:rsid w:val="004335B6"/>
    <w:rsid w:val="00433677"/>
    <w:rsid w:val="00433754"/>
    <w:rsid w:val="00433760"/>
    <w:rsid w:val="004337EB"/>
    <w:rsid w:val="00433812"/>
    <w:rsid w:val="0043392F"/>
    <w:rsid w:val="00433993"/>
    <w:rsid w:val="00433A76"/>
    <w:rsid w:val="00433E00"/>
    <w:rsid w:val="00433E9A"/>
    <w:rsid w:val="00433F94"/>
    <w:rsid w:val="00433FB5"/>
    <w:rsid w:val="0043401C"/>
    <w:rsid w:val="00434040"/>
    <w:rsid w:val="004340E3"/>
    <w:rsid w:val="004341F9"/>
    <w:rsid w:val="0043430D"/>
    <w:rsid w:val="00434323"/>
    <w:rsid w:val="0043437A"/>
    <w:rsid w:val="004344B4"/>
    <w:rsid w:val="004344EE"/>
    <w:rsid w:val="004346E0"/>
    <w:rsid w:val="00434806"/>
    <w:rsid w:val="00434808"/>
    <w:rsid w:val="00434A51"/>
    <w:rsid w:val="00434D12"/>
    <w:rsid w:val="00434E56"/>
    <w:rsid w:val="00434EB4"/>
    <w:rsid w:val="00435492"/>
    <w:rsid w:val="004354F4"/>
    <w:rsid w:val="0043553D"/>
    <w:rsid w:val="0043558E"/>
    <w:rsid w:val="00435643"/>
    <w:rsid w:val="00435B3D"/>
    <w:rsid w:val="00435E17"/>
    <w:rsid w:val="00435ED3"/>
    <w:rsid w:val="004361B8"/>
    <w:rsid w:val="00436216"/>
    <w:rsid w:val="00436263"/>
    <w:rsid w:val="004362A6"/>
    <w:rsid w:val="0043632A"/>
    <w:rsid w:val="00436335"/>
    <w:rsid w:val="0043634C"/>
    <w:rsid w:val="00436356"/>
    <w:rsid w:val="004363AA"/>
    <w:rsid w:val="004363CE"/>
    <w:rsid w:val="004363E5"/>
    <w:rsid w:val="004364D7"/>
    <w:rsid w:val="004364ED"/>
    <w:rsid w:val="004367E9"/>
    <w:rsid w:val="00436C88"/>
    <w:rsid w:val="00436CB0"/>
    <w:rsid w:val="00436D09"/>
    <w:rsid w:val="00436D0F"/>
    <w:rsid w:val="00436D4E"/>
    <w:rsid w:val="00436D75"/>
    <w:rsid w:val="00436E12"/>
    <w:rsid w:val="00436E2A"/>
    <w:rsid w:val="00437177"/>
    <w:rsid w:val="004372A5"/>
    <w:rsid w:val="004373AD"/>
    <w:rsid w:val="0043748D"/>
    <w:rsid w:val="00437785"/>
    <w:rsid w:val="0043783D"/>
    <w:rsid w:val="00437905"/>
    <w:rsid w:val="0043798C"/>
    <w:rsid w:val="004379AA"/>
    <w:rsid w:val="00437C52"/>
    <w:rsid w:val="00437CF2"/>
    <w:rsid w:val="00437D44"/>
    <w:rsid w:val="00437DBB"/>
    <w:rsid w:val="00437E69"/>
    <w:rsid w:val="00437E87"/>
    <w:rsid w:val="00437EDE"/>
    <w:rsid w:val="00440043"/>
    <w:rsid w:val="0044008D"/>
    <w:rsid w:val="004402DE"/>
    <w:rsid w:val="004403FA"/>
    <w:rsid w:val="0044053A"/>
    <w:rsid w:val="0044054D"/>
    <w:rsid w:val="00440611"/>
    <w:rsid w:val="004407A3"/>
    <w:rsid w:val="004407B2"/>
    <w:rsid w:val="004408C7"/>
    <w:rsid w:val="00440AA7"/>
    <w:rsid w:val="00440C24"/>
    <w:rsid w:val="00440E3C"/>
    <w:rsid w:val="00440F5E"/>
    <w:rsid w:val="0044114A"/>
    <w:rsid w:val="0044124B"/>
    <w:rsid w:val="004412A3"/>
    <w:rsid w:val="004413A8"/>
    <w:rsid w:val="00441609"/>
    <w:rsid w:val="004416AD"/>
    <w:rsid w:val="004416EA"/>
    <w:rsid w:val="004418B6"/>
    <w:rsid w:val="0044190D"/>
    <w:rsid w:val="00441A6D"/>
    <w:rsid w:val="00441AEE"/>
    <w:rsid w:val="00441B2B"/>
    <w:rsid w:val="00441C2E"/>
    <w:rsid w:val="00441C73"/>
    <w:rsid w:val="00441CC8"/>
    <w:rsid w:val="00441D15"/>
    <w:rsid w:val="00441E45"/>
    <w:rsid w:val="00442077"/>
    <w:rsid w:val="0044208C"/>
    <w:rsid w:val="004420A0"/>
    <w:rsid w:val="004420E9"/>
    <w:rsid w:val="00442158"/>
    <w:rsid w:val="004421A8"/>
    <w:rsid w:val="004422F0"/>
    <w:rsid w:val="0044239A"/>
    <w:rsid w:val="0044241B"/>
    <w:rsid w:val="00442586"/>
    <w:rsid w:val="0044293A"/>
    <w:rsid w:val="004429A3"/>
    <w:rsid w:val="00442ADE"/>
    <w:rsid w:val="00442B62"/>
    <w:rsid w:val="00442C3B"/>
    <w:rsid w:val="00442CC6"/>
    <w:rsid w:val="00442CD0"/>
    <w:rsid w:val="00442D00"/>
    <w:rsid w:val="00442E90"/>
    <w:rsid w:val="00442EDE"/>
    <w:rsid w:val="00443336"/>
    <w:rsid w:val="00443362"/>
    <w:rsid w:val="0044336E"/>
    <w:rsid w:val="004433C0"/>
    <w:rsid w:val="004434E9"/>
    <w:rsid w:val="0044372B"/>
    <w:rsid w:val="00443961"/>
    <w:rsid w:val="00443A4F"/>
    <w:rsid w:val="00443A8D"/>
    <w:rsid w:val="00443BC7"/>
    <w:rsid w:val="00443C0B"/>
    <w:rsid w:val="00443E0A"/>
    <w:rsid w:val="00443EC8"/>
    <w:rsid w:val="00444022"/>
    <w:rsid w:val="00444084"/>
    <w:rsid w:val="00444133"/>
    <w:rsid w:val="00444188"/>
    <w:rsid w:val="004443B5"/>
    <w:rsid w:val="00444428"/>
    <w:rsid w:val="0044449D"/>
    <w:rsid w:val="00444519"/>
    <w:rsid w:val="00444703"/>
    <w:rsid w:val="004447CE"/>
    <w:rsid w:val="00444827"/>
    <w:rsid w:val="004448AF"/>
    <w:rsid w:val="004448B5"/>
    <w:rsid w:val="00444A17"/>
    <w:rsid w:val="00444AD9"/>
    <w:rsid w:val="00444B30"/>
    <w:rsid w:val="00444B94"/>
    <w:rsid w:val="00444C07"/>
    <w:rsid w:val="00444E3D"/>
    <w:rsid w:val="00444E52"/>
    <w:rsid w:val="00444E8A"/>
    <w:rsid w:val="00444E9C"/>
    <w:rsid w:val="0044511E"/>
    <w:rsid w:val="0044521E"/>
    <w:rsid w:val="00445293"/>
    <w:rsid w:val="0044547F"/>
    <w:rsid w:val="004454C6"/>
    <w:rsid w:val="00445541"/>
    <w:rsid w:val="004455C4"/>
    <w:rsid w:val="00445629"/>
    <w:rsid w:val="0044562C"/>
    <w:rsid w:val="00445663"/>
    <w:rsid w:val="00445670"/>
    <w:rsid w:val="0044571E"/>
    <w:rsid w:val="0044582A"/>
    <w:rsid w:val="00445A9C"/>
    <w:rsid w:val="00445B6B"/>
    <w:rsid w:val="00445B72"/>
    <w:rsid w:val="00445CCE"/>
    <w:rsid w:val="00445D59"/>
    <w:rsid w:val="00445DE4"/>
    <w:rsid w:val="00445E45"/>
    <w:rsid w:val="00445E5C"/>
    <w:rsid w:val="00445E97"/>
    <w:rsid w:val="00445EB1"/>
    <w:rsid w:val="00445F78"/>
    <w:rsid w:val="004460C3"/>
    <w:rsid w:val="0044612B"/>
    <w:rsid w:val="0044619A"/>
    <w:rsid w:val="00446306"/>
    <w:rsid w:val="00446349"/>
    <w:rsid w:val="0044635C"/>
    <w:rsid w:val="00446387"/>
    <w:rsid w:val="004464F4"/>
    <w:rsid w:val="0044653B"/>
    <w:rsid w:val="00446573"/>
    <w:rsid w:val="00446612"/>
    <w:rsid w:val="00446727"/>
    <w:rsid w:val="004467C6"/>
    <w:rsid w:val="00446836"/>
    <w:rsid w:val="00446889"/>
    <w:rsid w:val="0044691C"/>
    <w:rsid w:val="004469D7"/>
    <w:rsid w:val="00446A90"/>
    <w:rsid w:val="00446AB7"/>
    <w:rsid w:val="00446ADE"/>
    <w:rsid w:val="00446AE7"/>
    <w:rsid w:val="00446C35"/>
    <w:rsid w:val="00446DF4"/>
    <w:rsid w:val="00446E53"/>
    <w:rsid w:val="00446EC1"/>
    <w:rsid w:val="00446F05"/>
    <w:rsid w:val="00446F0B"/>
    <w:rsid w:val="00446FA4"/>
    <w:rsid w:val="0044700E"/>
    <w:rsid w:val="004470BC"/>
    <w:rsid w:val="004471D8"/>
    <w:rsid w:val="004473E8"/>
    <w:rsid w:val="0044761F"/>
    <w:rsid w:val="00447679"/>
    <w:rsid w:val="0044771E"/>
    <w:rsid w:val="00447760"/>
    <w:rsid w:val="004477C9"/>
    <w:rsid w:val="004477DC"/>
    <w:rsid w:val="004477DF"/>
    <w:rsid w:val="00447840"/>
    <w:rsid w:val="0044789F"/>
    <w:rsid w:val="00447CAA"/>
    <w:rsid w:val="00447EA5"/>
    <w:rsid w:val="00447F6A"/>
    <w:rsid w:val="00447FF9"/>
    <w:rsid w:val="004501D8"/>
    <w:rsid w:val="004502D5"/>
    <w:rsid w:val="004503E1"/>
    <w:rsid w:val="00450456"/>
    <w:rsid w:val="004505CA"/>
    <w:rsid w:val="00450650"/>
    <w:rsid w:val="00450791"/>
    <w:rsid w:val="00450A8B"/>
    <w:rsid w:val="00450AF9"/>
    <w:rsid w:val="00450AFA"/>
    <w:rsid w:val="00450D8B"/>
    <w:rsid w:val="00450F1F"/>
    <w:rsid w:val="00450F88"/>
    <w:rsid w:val="00450FA4"/>
    <w:rsid w:val="00451065"/>
    <w:rsid w:val="00451670"/>
    <w:rsid w:val="0045169C"/>
    <w:rsid w:val="0045172C"/>
    <w:rsid w:val="004517FD"/>
    <w:rsid w:val="0045198D"/>
    <w:rsid w:val="004519D1"/>
    <w:rsid w:val="00451A33"/>
    <w:rsid w:val="00451A80"/>
    <w:rsid w:val="00451AEC"/>
    <w:rsid w:val="00451AFA"/>
    <w:rsid w:val="00451D6C"/>
    <w:rsid w:val="00451DB5"/>
    <w:rsid w:val="00451E1C"/>
    <w:rsid w:val="00451E21"/>
    <w:rsid w:val="00451E33"/>
    <w:rsid w:val="00451E53"/>
    <w:rsid w:val="00451ECA"/>
    <w:rsid w:val="00451EDA"/>
    <w:rsid w:val="00451F69"/>
    <w:rsid w:val="004520E7"/>
    <w:rsid w:val="004523FC"/>
    <w:rsid w:val="004524C2"/>
    <w:rsid w:val="004524FC"/>
    <w:rsid w:val="0045261D"/>
    <w:rsid w:val="00452858"/>
    <w:rsid w:val="004529C4"/>
    <w:rsid w:val="004529D2"/>
    <w:rsid w:val="00452A45"/>
    <w:rsid w:val="00452D76"/>
    <w:rsid w:val="004530DA"/>
    <w:rsid w:val="004531C2"/>
    <w:rsid w:val="00453209"/>
    <w:rsid w:val="00453221"/>
    <w:rsid w:val="0045334B"/>
    <w:rsid w:val="0045337A"/>
    <w:rsid w:val="004536A2"/>
    <w:rsid w:val="004537C3"/>
    <w:rsid w:val="00453A27"/>
    <w:rsid w:val="00453AA4"/>
    <w:rsid w:val="00453BFF"/>
    <w:rsid w:val="00453CD8"/>
    <w:rsid w:val="00453E8F"/>
    <w:rsid w:val="0045408A"/>
    <w:rsid w:val="00454117"/>
    <w:rsid w:val="00454125"/>
    <w:rsid w:val="00454275"/>
    <w:rsid w:val="004542E2"/>
    <w:rsid w:val="0045436D"/>
    <w:rsid w:val="00454374"/>
    <w:rsid w:val="004543D7"/>
    <w:rsid w:val="004544CE"/>
    <w:rsid w:val="004544DF"/>
    <w:rsid w:val="00454516"/>
    <w:rsid w:val="00454522"/>
    <w:rsid w:val="004545B9"/>
    <w:rsid w:val="0045460C"/>
    <w:rsid w:val="004546A6"/>
    <w:rsid w:val="00454A0F"/>
    <w:rsid w:val="00454A28"/>
    <w:rsid w:val="00454A46"/>
    <w:rsid w:val="00454A73"/>
    <w:rsid w:val="00454B6B"/>
    <w:rsid w:val="00454C60"/>
    <w:rsid w:val="00454C7D"/>
    <w:rsid w:val="00454CFD"/>
    <w:rsid w:val="00454D9C"/>
    <w:rsid w:val="00454F5F"/>
    <w:rsid w:val="00454FEC"/>
    <w:rsid w:val="004550D7"/>
    <w:rsid w:val="00455170"/>
    <w:rsid w:val="00455190"/>
    <w:rsid w:val="004551EB"/>
    <w:rsid w:val="00455349"/>
    <w:rsid w:val="00455571"/>
    <w:rsid w:val="00455892"/>
    <w:rsid w:val="004559C9"/>
    <w:rsid w:val="00455A60"/>
    <w:rsid w:val="00455D54"/>
    <w:rsid w:val="00455E9F"/>
    <w:rsid w:val="00455F31"/>
    <w:rsid w:val="00456209"/>
    <w:rsid w:val="004563CF"/>
    <w:rsid w:val="004563D1"/>
    <w:rsid w:val="004563D7"/>
    <w:rsid w:val="004566A9"/>
    <w:rsid w:val="00456812"/>
    <w:rsid w:val="00456819"/>
    <w:rsid w:val="004568A5"/>
    <w:rsid w:val="0045696F"/>
    <w:rsid w:val="004569AD"/>
    <w:rsid w:val="00456A40"/>
    <w:rsid w:val="00456AA1"/>
    <w:rsid w:val="00456B0A"/>
    <w:rsid w:val="00456B1C"/>
    <w:rsid w:val="00456BB7"/>
    <w:rsid w:val="00456C90"/>
    <w:rsid w:val="00456CA0"/>
    <w:rsid w:val="00456D4C"/>
    <w:rsid w:val="00456DA2"/>
    <w:rsid w:val="00457181"/>
    <w:rsid w:val="00457186"/>
    <w:rsid w:val="00457338"/>
    <w:rsid w:val="0045736B"/>
    <w:rsid w:val="004574A3"/>
    <w:rsid w:val="0045751D"/>
    <w:rsid w:val="00457AB4"/>
    <w:rsid w:val="00457B22"/>
    <w:rsid w:val="00457B94"/>
    <w:rsid w:val="00457BF7"/>
    <w:rsid w:val="00457C80"/>
    <w:rsid w:val="00457E10"/>
    <w:rsid w:val="00457E55"/>
    <w:rsid w:val="00457F03"/>
    <w:rsid w:val="00460078"/>
    <w:rsid w:val="00460135"/>
    <w:rsid w:val="00460235"/>
    <w:rsid w:val="004602EF"/>
    <w:rsid w:val="00460389"/>
    <w:rsid w:val="004603B3"/>
    <w:rsid w:val="00460486"/>
    <w:rsid w:val="00460704"/>
    <w:rsid w:val="0046073A"/>
    <w:rsid w:val="0046074B"/>
    <w:rsid w:val="004609EB"/>
    <w:rsid w:val="00460A14"/>
    <w:rsid w:val="00460A15"/>
    <w:rsid w:val="00460A5D"/>
    <w:rsid w:val="00460B55"/>
    <w:rsid w:val="00460B5F"/>
    <w:rsid w:val="00460B9C"/>
    <w:rsid w:val="00460BDC"/>
    <w:rsid w:val="00460CB2"/>
    <w:rsid w:val="00460CE3"/>
    <w:rsid w:val="00460F0A"/>
    <w:rsid w:val="00460F24"/>
    <w:rsid w:val="0046111D"/>
    <w:rsid w:val="0046112C"/>
    <w:rsid w:val="004611F2"/>
    <w:rsid w:val="004611F3"/>
    <w:rsid w:val="004611FC"/>
    <w:rsid w:val="00461259"/>
    <w:rsid w:val="004612B1"/>
    <w:rsid w:val="004613D2"/>
    <w:rsid w:val="00461447"/>
    <w:rsid w:val="004614A5"/>
    <w:rsid w:val="00461502"/>
    <w:rsid w:val="004616F1"/>
    <w:rsid w:val="00461899"/>
    <w:rsid w:val="00461977"/>
    <w:rsid w:val="00461B57"/>
    <w:rsid w:val="00461E46"/>
    <w:rsid w:val="004621F8"/>
    <w:rsid w:val="00462225"/>
    <w:rsid w:val="00462240"/>
    <w:rsid w:val="00462314"/>
    <w:rsid w:val="00462362"/>
    <w:rsid w:val="004623D4"/>
    <w:rsid w:val="00462543"/>
    <w:rsid w:val="00462657"/>
    <w:rsid w:val="0046271B"/>
    <w:rsid w:val="0046276E"/>
    <w:rsid w:val="004627B1"/>
    <w:rsid w:val="00462861"/>
    <w:rsid w:val="0046292F"/>
    <w:rsid w:val="00462995"/>
    <w:rsid w:val="00462A3A"/>
    <w:rsid w:val="00462D73"/>
    <w:rsid w:val="00462DB8"/>
    <w:rsid w:val="00463062"/>
    <w:rsid w:val="00463066"/>
    <w:rsid w:val="004630B5"/>
    <w:rsid w:val="004630BD"/>
    <w:rsid w:val="00463105"/>
    <w:rsid w:val="00463391"/>
    <w:rsid w:val="004633A9"/>
    <w:rsid w:val="00463458"/>
    <w:rsid w:val="004634BD"/>
    <w:rsid w:val="00463561"/>
    <w:rsid w:val="004635D4"/>
    <w:rsid w:val="00463604"/>
    <w:rsid w:val="00463682"/>
    <w:rsid w:val="00463696"/>
    <w:rsid w:val="004636D3"/>
    <w:rsid w:val="00463795"/>
    <w:rsid w:val="00463995"/>
    <w:rsid w:val="00463A14"/>
    <w:rsid w:val="00463A9C"/>
    <w:rsid w:val="00463B0D"/>
    <w:rsid w:val="00463B34"/>
    <w:rsid w:val="00463B97"/>
    <w:rsid w:val="00463C65"/>
    <w:rsid w:val="00463E6E"/>
    <w:rsid w:val="004640CC"/>
    <w:rsid w:val="00464580"/>
    <w:rsid w:val="00464966"/>
    <w:rsid w:val="00464982"/>
    <w:rsid w:val="004649FD"/>
    <w:rsid w:val="00464B02"/>
    <w:rsid w:val="00464B6F"/>
    <w:rsid w:val="00464B9F"/>
    <w:rsid w:val="00464DDB"/>
    <w:rsid w:val="00464E5A"/>
    <w:rsid w:val="00464ECA"/>
    <w:rsid w:val="00464EE6"/>
    <w:rsid w:val="00464F35"/>
    <w:rsid w:val="00464FB1"/>
    <w:rsid w:val="00465152"/>
    <w:rsid w:val="004651FF"/>
    <w:rsid w:val="0046521A"/>
    <w:rsid w:val="004652C1"/>
    <w:rsid w:val="00465300"/>
    <w:rsid w:val="00465390"/>
    <w:rsid w:val="004653E7"/>
    <w:rsid w:val="00465575"/>
    <w:rsid w:val="0046567C"/>
    <w:rsid w:val="004656D9"/>
    <w:rsid w:val="0046573F"/>
    <w:rsid w:val="00465755"/>
    <w:rsid w:val="004657D3"/>
    <w:rsid w:val="00465A41"/>
    <w:rsid w:val="00465A8A"/>
    <w:rsid w:val="00465BA6"/>
    <w:rsid w:val="00465EDC"/>
    <w:rsid w:val="00465F82"/>
    <w:rsid w:val="00466188"/>
    <w:rsid w:val="004663EC"/>
    <w:rsid w:val="0046645D"/>
    <w:rsid w:val="004664C3"/>
    <w:rsid w:val="0046651D"/>
    <w:rsid w:val="004665F5"/>
    <w:rsid w:val="00466603"/>
    <w:rsid w:val="004667FD"/>
    <w:rsid w:val="004668C0"/>
    <w:rsid w:val="004668DF"/>
    <w:rsid w:val="00466B25"/>
    <w:rsid w:val="00466E0C"/>
    <w:rsid w:val="00466FEF"/>
    <w:rsid w:val="00467021"/>
    <w:rsid w:val="00467269"/>
    <w:rsid w:val="004672B9"/>
    <w:rsid w:val="0046730A"/>
    <w:rsid w:val="00467605"/>
    <w:rsid w:val="00467674"/>
    <w:rsid w:val="004676E8"/>
    <w:rsid w:val="0046778A"/>
    <w:rsid w:val="004678C0"/>
    <w:rsid w:val="00467981"/>
    <w:rsid w:val="00467C81"/>
    <w:rsid w:val="00467CAC"/>
    <w:rsid w:val="00467DA9"/>
    <w:rsid w:val="00467DE7"/>
    <w:rsid w:val="00467FAB"/>
    <w:rsid w:val="004700B4"/>
    <w:rsid w:val="0047013A"/>
    <w:rsid w:val="0047029B"/>
    <w:rsid w:val="004703C5"/>
    <w:rsid w:val="0047059A"/>
    <w:rsid w:val="0047059E"/>
    <w:rsid w:val="004706C2"/>
    <w:rsid w:val="00470725"/>
    <w:rsid w:val="00470753"/>
    <w:rsid w:val="0047075B"/>
    <w:rsid w:val="0047076B"/>
    <w:rsid w:val="0047076E"/>
    <w:rsid w:val="00470832"/>
    <w:rsid w:val="004709E5"/>
    <w:rsid w:val="00470BDD"/>
    <w:rsid w:val="00470C6C"/>
    <w:rsid w:val="00470CDE"/>
    <w:rsid w:val="00470DAA"/>
    <w:rsid w:val="00470F80"/>
    <w:rsid w:val="0047113E"/>
    <w:rsid w:val="004711DA"/>
    <w:rsid w:val="00471217"/>
    <w:rsid w:val="004712ED"/>
    <w:rsid w:val="0047133F"/>
    <w:rsid w:val="0047137A"/>
    <w:rsid w:val="004715BD"/>
    <w:rsid w:val="0047162D"/>
    <w:rsid w:val="00471634"/>
    <w:rsid w:val="00471747"/>
    <w:rsid w:val="004718DB"/>
    <w:rsid w:val="004719A6"/>
    <w:rsid w:val="00471A08"/>
    <w:rsid w:val="00471ACE"/>
    <w:rsid w:val="00471AF5"/>
    <w:rsid w:val="00471CDE"/>
    <w:rsid w:val="00471E30"/>
    <w:rsid w:val="00471EA3"/>
    <w:rsid w:val="00471F1A"/>
    <w:rsid w:val="00471F3D"/>
    <w:rsid w:val="00471F58"/>
    <w:rsid w:val="00472023"/>
    <w:rsid w:val="00472061"/>
    <w:rsid w:val="00472276"/>
    <w:rsid w:val="004722DB"/>
    <w:rsid w:val="004722F4"/>
    <w:rsid w:val="0047237D"/>
    <w:rsid w:val="004723F7"/>
    <w:rsid w:val="00472525"/>
    <w:rsid w:val="00472547"/>
    <w:rsid w:val="00472556"/>
    <w:rsid w:val="0047260A"/>
    <w:rsid w:val="004726AE"/>
    <w:rsid w:val="004727E6"/>
    <w:rsid w:val="00472802"/>
    <w:rsid w:val="00472BA0"/>
    <w:rsid w:val="00472D11"/>
    <w:rsid w:val="00472D39"/>
    <w:rsid w:val="00472D78"/>
    <w:rsid w:val="00472DA1"/>
    <w:rsid w:val="00472E0A"/>
    <w:rsid w:val="00472E56"/>
    <w:rsid w:val="00472F51"/>
    <w:rsid w:val="004730D0"/>
    <w:rsid w:val="00473123"/>
    <w:rsid w:val="0047319D"/>
    <w:rsid w:val="004732EF"/>
    <w:rsid w:val="0047332A"/>
    <w:rsid w:val="0047351F"/>
    <w:rsid w:val="0047374E"/>
    <w:rsid w:val="00473824"/>
    <w:rsid w:val="00473845"/>
    <w:rsid w:val="00473898"/>
    <w:rsid w:val="004738D0"/>
    <w:rsid w:val="004738E5"/>
    <w:rsid w:val="00473A94"/>
    <w:rsid w:val="00473B63"/>
    <w:rsid w:val="00473DDE"/>
    <w:rsid w:val="00473E46"/>
    <w:rsid w:val="00473F5E"/>
    <w:rsid w:val="004742B1"/>
    <w:rsid w:val="004742F6"/>
    <w:rsid w:val="00474326"/>
    <w:rsid w:val="0047434D"/>
    <w:rsid w:val="004744F4"/>
    <w:rsid w:val="00474500"/>
    <w:rsid w:val="004745C1"/>
    <w:rsid w:val="0047477B"/>
    <w:rsid w:val="00474A72"/>
    <w:rsid w:val="00474B63"/>
    <w:rsid w:val="00474BBA"/>
    <w:rsid w:val="00474C0C"/>
    <w:rsid w:val="00474C1F"/>
    <w:rsid w:val="00474D23"/>
    <w:rsid w:val="00474E2B"/>
    <w:rsid w:val="00474E8A"/>
    <w:rsid w:val="00474EFB"/>
    <w:rsid w:val="00474F5B"/>
    <w:rsid w:val="00475034"/>
    <w:rsid w:val="0047511F"/>
    <w:rsid w:val="004752F0"/>
    <w:rsid w:val="004753A7"/>
    <w:rsid w:val="004753C1"/>
    <w:rsid w:val="00475987"/>
    <w:rsid w:val="004759FE"/>
    <w:rsid w:val="00475A48"/>
    <w:rsid w:val="00475A52"/>
    <w:rsid w:val="00475C6E"/>
    <w:rsid w:val="00475DE7"/>
    <w:rsid w:val="00475E21"/>
    <w:rsid w:val="00475EA4"/>
    <w:rsid w:val="00475FCC"/>
    <w:rsid w:val="004760B8"/>
    <w:rsid w:val="004760CD"/>
    <w:rsid w:val="00476130"/>
    <w:rsid w:val="0047622F"/>
    <w:rsid w:val="004762E3"/>
    <w:rsid w:val="0047654D"/>
    <w:rsid w:val="0047655C"/>
    <w:rsid w:val="0047663D"/>
    <w:rsid w:val="0047684F"/>
    <w:rsid w:val="00476958"/>
    <w:rsid w:val="00476A28"/>
    <w:rsid w:val="00476AEF"/>
    <w:rsid w:val="0047702D"/>
    <w:rsid w:val="00477269"/>
    <w:rsid w:val="00477298"/>
    <w:rsid w:val="0047738B"/>
    <w:rsid w:val="004773DC"/>
    <w:rsid w:val="00477668"/>
    <w:rsid w:val="004777B1"/>
    <w:rsid w:val="00477969"/>
    <w:rsid w:val="00477A6A"/>
    <w:rsid w:val="00477ADA"/>
    <w:rsid w:val="00477B0D"/>
    <w:rsid w:val="00477BD2"/>
    <w:rsid w:val="00477CEF"/>
    <w:rsid w:val="00477D82"/>
    <w:rsid w:val="00477DF0"/>
    <w:rsid w:val="00477E3A"/>
    <w:rsid w:val="00477F6E"/>
    <w:rsid w:val="0048016F"/>
    <w:rsid w:val="004801EC"/>
    <w:rsid w:val="0048038A"/>
    <w:rsid w:val="0048048E"/>
    <w:rsid w:val="004805D2"/>
    <w:rsid w:val="0048066A"/>
    <w:rsid w:val="004806C2"/>
    <w:rsid w:val="0048076A"/>
    <w:rsid w:val="0048087A"/>
    <w:rsid w:val="004809FE"/>
    <w:rsid w:val="00480A0A"/>
    <w:rsid w:val="00480B3B"/>
    <w:rsid w:val="00480E21"/>
    <w:rsid w:val="00480E75"/>
    <w:rsid w:val="00480EE1"/>
    <w:rsid w:val="00480EEC"/>
    <w:rsid w:val="00480EF5"/>
    <w:rsid w:val="00480F69"/>
    <w:rsid w:val="00480F9B"/>
    <w:rsid w:val="00481171"/>
    <w:rsid w:val="0048123E"/>
    <w:rsid w:val="0048127E"/>
    <w:rsid w:val="004813E3"/>
    <w:rsid w:val="004817AF"/>
    <w:rsid w:val="00481805"/>
    <w:rsid w:val="00481851"/>
    <w:rsid w:val="00481887"/>
    <w:rsid w:val="004819B4"/>
    <w:rsid w:val="00481B40"/>
    <w:rsid w:val="00481CB2"/>
    <w:rsid w:val="00481E74"/>
    <w:rsid w:val="0048204C"/>
    <w:rsid w:val="004821A2"/>
    <w:rsid w:val="004822D3"/>
    <w:rsid w:val="00482374"/>
    <w:rsid w:val="004823BD"/>
    <w:rsid w:val="004823FE"/>
    <w:rsid w:val="004824D7"/>
    <w:rsid w:val="00482763"/>
    <w:rsid w:val="004829FA"/>
    <w:rsid w:val="00482A8F"/>
    <w:rsid w:val="00482AFA"/>
    <w:rsid w:val="00482B78"/>
    <w:rsid w:val="00482BA8"/>
    <w:rsid w:val="00482C16"/>
    <w:rsid w:val="00482D5F"/>
    <w:rsid w:val="00482DFB"/>
    <w:rsid w:val="00482F88"/>
    <w:rsid w:val="004831EC"/>
    <w:rsid w:val="0048331C"/>
    <w:rsid w:val="00483454"/>
    <w:rsid w:val="0048353A"/>
    <w:rsid w:val="00483580"/>
    <w:rsid w:val="004835C1"/>
    <w:rsid w:val="004839BD"/>
    <w:rsid w:val="00483AD8"/>
    <w:rsid w:val="00483AFB"/>
    <w:rsid w:val="00483B9A"/>
    <w:rsid w:val="00483BB0"/>
    <w:rsid w:val="00483C39"/>
    <w:rsid w:val="00483C4A"/>
    <w:rsid w:val="00483C5B"/>
    <w:rsid w:val="00483CA9"/>
    <w:rsid w:val="00483CB2"/>
    <w:rsid w:val="00483DBE"/>
    <w:rsid w:val="00483E6C"/>
    <w:rsid w:val="004840BA"/>
    <w:rsid w:val="0048419C"/>
    <w:rsid w:val="004842FC"/>
    <w:rsid w:val="00484363"/>
    <w:rsid w:val="0048448C"/>
    <w:rsid w:val="004845CD"/>
    <w:rsid w:val="00484624"/>
    <w:rsid w:val="004848CF"/>
    <w:rsid w:val="0048490C"/>
    <w:rsid w:val="00484A10"/>
    <w:rsid w:val="00484ADE"/>
    <w:rsid w:val="00484C1F"/>
    <w:rsid w:val="00484C80"/>
    <w:rsid w:val="00484DA4"/>
    <w:rsid w:val="00484E29"/>
    <w:rsid w:val="00484EA1"/>
    <w:rsid w:val="00484F35"/>
    <w:rsid w:val="00484FAA"/>
    <w:rsid w:val="0048506E"/>
    <w:rsid w:val="004851C1"/>
    <w:rsid w:val="0048532A"/>
    <w:rsid w:val="0048548C"/>
    <w:rsid w:val="0048550A"/>
    <w:rsid w:val="004855E4"/>
    <w:rsid w:val="00485612"/>
    <w:rsid w:val="00485660"/>
    <w:rsid w:val="00485751"/>
    <w:rsid w:val="00485950"/>
    <w:rsid w:val="004859F3"/>
    <w:rsid w:val="00485B2B"/>
    <w:rsid w:val="00485B79"/>
    <w:rsid w:val="00485C6B"/>
    <w:rsid w:val="00485CEF"/>
    <w:rsid w:val="00486021"/>
    <w:rsid w:val="0048628D"/>
    <w:rsid w:val="0048650D"/>
    <w:rsid w:val="00486558"/>
    <w:rsid w:val="00486721"/>
    <w:rsid w:val="00486797"/>
    <w:rsid w:val="004867AF"/>
    <w:rsid w:val="00486940"/>
    <w:rsid w:val="0048697E"/>
    <w:rsid w:val="004869DA"/>
    <w:rsid w:val="00486C92"/>
    <w:rsid w:val="00486D71"/>
    <w:rsid w:val="00486E1F"/>
    <w:rsid w:val="00486E8B"/>
    <w:rsid w:val="00487018"/>
    <w:rsid w:val="0048705B"/>
    <w:rsid w:val="004870B1"/>
    <w:rsid w:val="00487156"/>
    <w:rsid w:val="0048715B"/>
    <w:rsid w:val="004871E5"/>
    <w:rsid w:val="004873A0"/>
    <w:rsid w:val="004873A9"/>
    <w:rsid w:val="00487634"/>
    <w:rsid w:val="00487850"/>
    <w:rsid w:val="0048787B"/>
    <w:rsid w:val="004878E3"/>
    <w:rsid w:val="00487A1C"/>
    <w:rsid w:val="00487A74"/>
    <w:rsid w:val="00487AFB"/>
    <w:rsid w:val="00487C14"/>
    <w:rsid w:val="00487D30"/>
    <w:rsid w:val="00487DBB"/>
    <w:rsid w:val="00487E8E"/>
    <w:rsid w:val="00487EB4"/>
    <w:rsid w:val="00487EFC"/>
    <w:rsid w:val="00487F26"/>
    <w:rsid w:val="00487F87"/>
    <w:rsid w:val="00487F89"/>
    <w:rsid w:val="004900AF"/>
    <w:rsid w:val="004900C9"/>
    <w:rsid w:val="00490181"/>
    <w:rsid w:val="0049024D"/>
    <w:rsid w:val="004902C1"/>
    <w:rsid w:val="00490375"/>
    <w:rsid w:val="004903D0"/>
    <w:rsid w:val="00490434"/>
    <w:rsid w:val="004904C2"/>
    <w:rsid w:val="004904FC"/>
    <w:rsid w:val="004905CC"/>
    <w:rsid w:val="00490824"/>
    <w:rsid w:val="00490856"/>
    <w:rsid w:val="004908A1"/>
    <w:rsid w:val="004908FF"/>
    <w:rsid w:val="00490AAD"/>
    <w:rsid w:val="00490B29"/>
    <w:rsid w:val="00490B85"/>
    <w:rsid w:val="00490CCC"/>
    <w:rsid w:val="00490D10"/>
    <w:rsid w:val="00490DB2"/>
    <w:rsid w:val="00491010"/>
    <w:rsid w:val="00491045"/>
    <w:rsid w:val="00491047"/>
    <w:rsid w:val="00491094"/>
    <w:rsid w:val="00491255"/>
    <w:rsid w:val="004912A8"/>
    <w:rsid w:val="00491576"/>
    <w:rsid w:val="0049157E"/>
    <w:rsid w:val="004915DA"/>
    <w:rsid w:val="004916E1"/>
    <w:rsid w:val="00491764"/>
    <w:rsid w:val="004917BE"/>
    <w:rsid w:val="004917C5"/>
    <w:rsid w:val="00491806"/>
    <w:rsid w:val="0049189B"/>
    <w:rsid w:val="0049191C"/>
    <w:rsid w:val="00491A18"/>
    <w:rsid w:val="00491AA0"/>
    <w:rsid w:val="00491BCF"/>
    <w:rsid w:val="00491C9E"/>
    <w:rsid w:val="00491CCD"/>
    <w:rsid w:val="00491E47"/>
    <w:rsid w:val="00491E53"/>
    <w:rsid w:val="00491F54"/>
    <w:rsid w:val="00492028"/>
    <w:rsid w:val="00492051"/>
    <w:rsid w:val="004921A6"/>
    <w:rsid w:val="00492353"/>
    <w:rsid w:val="0049239D"/>
    <w:rsid w:val="00492570"/>
    <w:rsid w:val="00492609"/>
    <w:rsid w:val="004926CF"/>
    <w:rsid w:val="00492701"/>
    <w:rsid w:val="004927CE"/>
    <w:rsid w:val="00492A76"/>
    <w:rsid w:val="00492AA4"/>
    <w:rsid w:val="00492B91"/>
    <w:rsid w:val="00492BEE"/>
    <w:rsid w:val="00492C9C"/>
    <w:rsid w:val="00492E99"/>
    <w:rsid w:val="00492EFA"/>
    <w:rsid w:val="00492FE3"/>
    <w:rsid w:val="0049303D"/>
    <w:rsid w:val="00493416"/>
    <w:rsid w:val="004934B2"/>
    <w:rsid w:val="004934D9"/>
    <w:rsid w:val="004934FC"/>
    <w:rsid w:val="004935D2"/>
    <w:rsid w:val="00493780"/>
    <w:rsid w:val="004938BC"/>
    <w:rsid w:val="004938F4"/>
    <w:rsid w:val="00493A0A"/>
    <w:rsid w:val="00493A1F"/>
    <w:rsid w:val="00493A25"/>
    <w:rsid w:val="00493A70"/>
    <w:rsid w:val="00493B70"/>
    <w:rsid w:val="00493C02"/>
    <w:rsid w:val="00493CB0"/>
    <w:rsid w:val="00493D13"/>
    <w:rsid w:val="00493D2F"/>
    <w:rsid w:val="00493EA0"/>
    <w:rsid w:val="00493F02"/>
    <w:rsid w:val="00493FB8"/>
    <w:rsid w:val="00494035"/>
    <w:rsid w:val="00494073"/>
    <w:rsid w:val="00494432"/>
    <w:rsid w:val="004944C8"/>
    <w:rsid w:val="004944D6"/>
    <w:rsid w:val="00494516"/>
    <w:rsid w:val="00494630"/>
    <w:rsid w:val="00494698"/>
    <w:rsid w:val="00494744"/>
    <w:rsid w:val="00494846"/>
    <w:rsid w:val="00494BEA"/>
    <w:rsid w:val="00494BFE"/>
    <w:rsid w:val="00494C5C"/>
    <w:rsid w:val="00494CE3"/>
    <w:rsid w:val="00494DA3"/>
    <w:rsid w:val="00494EB9"/>
    <w:rsid w:val="00494EFC"/>
    <w:rsid w:val="00494F2A"/>
    <w:rsid w:val="00494F48"/>
    <w:rsid w:val="00494FF8"/>
    <w:rsid w:val="004952A5"/>
    <w:rsid w:val="0049547A"/>
    <w:rsid w:val="00495569"/>
    <w:rsid w:val="00495713"/>
    <w:rsid w:val="0049575D"/>
    <w:rsid w:val="00495908"/>
    <w:rsid w:val="004959A8"/>
    <w:rsid w:val="00495A3E"/>
    <w:rsid w:val="00495A48"/>
    <w:rsid w:val="00495A94"/>
    <w:rsid w:val="00495B7D"/>
    <w:rsid w:val="00495C09"/>
    <w:rsid w:val="00495D8A"/>
    <w:rsid w:val="00495E34"/>
    <w:rsid w:val="00495E35"/>
    <w:rsid w:val="00495E97"/>
    <w:rsid w:val="00495F02"/>
    <w:rsid w:val="00495F52"/>
    <w:rsid w:val="00495FFD"/>
    <w:rsid w:val="00496092"/>
    <w:rsid w:val="00496132"/>
    <w:rsid w:val="00496340"/>
    <w:rsid w:val="0049638E"/>
    <w:rsid w:val="00496554"/>
    <w:rsid w:val="00496866"/>
    <w:rsid w:val="00496A03"/>
    <w:rsid w:val="00496A69"/>
    <w:rsid w:val="00496B1A"/>
    <w:rsid w:val="00496C2D"/>
    <w:rsid w:val="00496E28"/>
    <w:rsid w:val="00496F2D"/>
    <w:rsid w:val="00496F8D"/>
    <w:rsid w:val="00496F95"/>
    <w:rsid w:val="00496FCE"/>
    <w:rsid w:val="0049743B"/>
    <w:rsid w:val="0049746D"/>
    <w:rsid w:val="00497514"/>
    <w:rsid w:val="0049752D"/>
    <w:rsid w:val="00497537"/>
    <w:rsid w:val="00497667"/>
    <w:rsid w:val="004977F3"/>
    <w:rsid w:val="00497995"/>
    <w:rsid w:val="004979B3"/>
    <w:rsid w:val="00497A4E"/>
    <w:rsid w:val="00497B54"/>
    <w:rsid w:val="00497BEE"/>
    <w:rsid w:val="00497C36"/>
    <w:rsid w:val="00497F80"/>
    <w:rsid w:val="004A016F"/>
    <w:rsid w:val="004A01EA"/>
    <w:rsid w:val="004A027F"/>
    <w:rsid w:val="004A03D7"/>
    <w:rsid w:val="004A03D9"/>
    <w:rsid w:val="004A0419"/>
    <w:rsid w:val="004A0579"/>
    <w:rsid w:val="004A07A6"/>
    <w:rsid w:val="004A07A7"/>
    <w:rsid w:val="004A07EC"/>
    <w:rsid w:val="004A0836"/>
    <w:rsid w:val="004A0A3D"/>
    <w:rsid w:val="004A0ABD"/>
    <w:rsid w:val="004A0AE2"/>
    <w:rsid w:val="004A0C8C"/>
    <w:rsid w:val="004A0CA8"/>
    <w:rsid w:val="004A0CD6"/>
    <w:rsid w:val="004A0CF1"/>
    <w:rsid w:val="004A0DD4"/>
    <w:rsid w:val="004A0F70"/>
    <w:rsid w:val="004A11FF"/>
    <w:rsid w:val="004A1300"/>
    <w:rsid w:val="004A13AF"/>
    <w:rsid w:val="004A14A3"/>
    <w:rsid w:val="004A1525"/>
    <w:rsid w:val="004A15EA"/>
    <w:rsid w:val="004A15EB"/>
    <w:rsid w:val="004A1600"/>
    <w:rsid w:val="004A16C1"/>
    <w:rsid w:val="004A1706"/>
    <w:rsid w:val="004A1754"/>
    <w:rsid w:val="004A1806"/>
    <w:rsid w:val="004A181A"/>
    <w:rsid w:val="004A181D"/>
    <w:rsid w:val="004A18D1"/>
    <w:rsid w:val="004A19C3"/>
    <w:rsid w:val="004A19CA"/>
    <w:rsid w:val="004A19FF"/>
    <w:rsid w:val="004A1A64"/>
    <w:rsid w:val="004A1A84"/>
    <w:rsid w:val="004A1BD0"/>
    <w:rsid w:val="004A1C82"/>
    <w:rsid w:val="004A1C8D"/>
    <w:rsid w:val="004A1CC4"/>
    <w:rsid w:val="004A1EC7"/>
    <w:rsid w:val="004A1ED2"/>
    <w:rsid w:val="004A1F1F"/>
    <w:rsid w:val="004A1FD6"/>
    <w:rsid w:val="004A21CB"/>
    <w:rsid w:val="004A222F"/>
    <w:rsid w:val="004A2241"/>
    <w:rsid w:val="004A263D"/>
    <w:rsid w:val="004A26D4"/>
    <w:rsid w:val="004A26D7"/>
    <w:rsid w:val="004A27AD"/>
    <w:rsid w:val="004A28BE"/>
    <w:rsid w:val="004A292E"/>
    <w:rsid w:val="004A29C5"/>
    <w:rsid w:val="004A2ACA"/>
    <w:rsid w:val="004A2B6C"/>
    <w:rsid w:val="004A2BD2"/>
    <w:rsid w:val="004A2BED"/>
    <w:rsid w:val="004A2C3F"/>
    <w:rsid w:val="004A2CB1"/>
    <w:rsid w:val="004A2D07"/>
    <w:rsid w:val="004A2DE0"/>
    <w:rsid w:val="004A2DE9"/>
    <w:rsid w:val="004A2EC8"/>
    <w:rsid w:val="004A30BD"/>
    <w:rsid w:val="004A30D6"/>
    <w:rsid w:val="004A3154"/>
    <w:rsid w:val="004A33BA"/>
    <w:rsid w:val="004A33CA"/>
    <w:rsid w:val="004A33FD"/>
    <w:rsid w:val="004A34D4"/>
    <w:rsid w:val="004A3661"/>
    <w:rsid w:val="004A3761"/>
    <w:rsid w:val="004A3875"/>
    <w:rsid w:val="004A3A08"/>
    <w:rsid w:val="004A3A6E"/>
    <w:rsid w:val="004A3A86"/>
    <w:rsid w:val="004A3B01"/>
    <w:rsid w:val="004A3C79"/>
    <w:rsid w:val="004A3E5F"/>
    <w:rsid w:val="004A3FDC"/>
    <w:rsid w:val="004A4039"/>
    <w:rsid w:val="004A40CB"/>
    <w:rsid w:val="004A414F"/>
    <w:rsid w:val="004A4205"/>
    <w:rsid w:val="004A43DD"/>
    <w:rsid w:val="004A44B7"/>
    <w:rsid w:val="004A48B4"/>
    <w:rsid w:val="004A48C9"/>
    <w:rsid w:val="004A48EA"/>
    <w:rsid w:val="004A48F5"/>
    <w:rsid w:val="004A498B"/>
    <w:rsid w:val="004A4B1E"/>
    <w:rsid w:val="004A4C78"/>
    <w:rsid w:val="004A4C9E"/>
    <w:rsid w:val="004A4D51"/>
    <w:rsid w:val="004A4D61"/>
    <w:rsid w:val="004A4D8A"/>
    <w:rsid w:val="004A4DCB"/>
    <w:rsid w:val="004A4E06"/>
    <w:rsid w:val="004A5010"/>
    <w:rsid w:val="004A505F"/>
    <w:rsid w:val="004A5114"/>
    <w:rsid w:val="004A5175"/>
    <w:rsid w:val="004A526B"/>
    <w:rsid w:val="004A52FF"/>
    <w:rsid w:val="004A530F"/>
    <w:rsid w:val="004A5389"/>
    <w:rsid w:val="004A53CE"/>
    <w:rsid w:val="004A5528"/>
    <w:rsid w:val="004A55AC"/>
    <w:rsid w:val="004A55EA"/>
    <w:rsid w:val="004A5705"/>
    <w:rsid w:val="004A572A"/>
    <w:rsid w:val="004A572D"/>
    <w:rsid w:val="004A575B"/>
    <w:rsid w:val="004A57B5"/>
    <w:rsid w:val="004A57FA"/>
    <w:rsid w:val="004A5931"/>
    <w:rsid w:val="004A5C7D"/>
    <w:rsid w:val="004A5F32"/>
    <w:rsid w:val="004A603E"/>
    <w:rsid w:val="004A610F"/>
    <w:rsid w:val="004A61BA"/>
    <w:rsid w:val="004A6424"/>
    <w:rsid w:val="004A6543"/>
    <w:rsid w:val="004A654F"/>
    <w:rsid w:val="004A66A7"/>
    <w:rsid w:val="004A6708"/>
    <w:rsid w:val="004A6938"/>
    <w:rsid w:val="004A69CC"/>
    <w:rsid w:val="004A6A8C"/>
    <w:rsid w:val="004A6C16"/>
    <w:rsid w:val="004A6CA9"/>
    <w:rsid w:val="004A6CE0"/>
    <w:rsid w:val="004A6CF1"/>
    <w:rsid w:val="004A6EBC"/>
    <w:rsid w:val="004A6F4C"/>
    <w:rsid w:val="004A7009"/>
    <w:rsid w:val="004A70E0"/>
    <w:rsid w:val="004A729E"/>
    <w:rsid w:val="004A72AC"/>
    <w:rsid w:val="004A7300"/>
    <w:rsid w:val="004A73CA"/>
    <w:rsid w:val="004A74E1"/>
    <w:rsid w:val="004A74F8"/>
    <w:rsid w:val="004A75EE"/>
    <w:rsid w:val="004A7643"/>
    <w:rsid w:val="004A764F"/>
    <w:rsid w:val="004A76DD"/>
    <w:rsid w:val="004A7878"/>
    <w:rsid w:val="004A787A"/>
    <w:rsid w:val="004A78B1"/>
    <w:rsid w:val="004A792F"/>
    <w:rsid w:val="004A7BCB"/>
    <w:rsid w:val="004A7DCA"/>
    <w:rsid w:val="004A7EFE"/>
    <w:rsid w:val="004A7F25"/>
    <w:rsid w:val="004A7F72"/>
    <w:rsid w:val="004A7FA3"/>
    <w:rsid w:val="004B000C"/>
    <w:rsid w:val="004B0190"/>
    <w:rsid w:val="004B02A4"/>
    <w:rsid w:val="004B02C8"/>
    <w:rsid w:val="004B02CE"/>
    <w:rsid w:val="004B0341"/>
    <w:rsid w:val="004B04E6"/>
    <w:rsid w:val="004B05BB"/>
    <w:rsid w:val="004B060F"/>
    <w:rsid w:val="004B0671"/>
    <w:rsid w:val="004B0717"/>
    <w:rsid w:val="004B071A"/>
    <w:rsid w:val="004B0783"/>
    <w:rsid w:val="004B07BD"/>
    <w:rsid w:val="004B0930"/>
    <w:rsid w:val="004B0963"/>
    <w:rsid w:val="004B099E"/>
    <w:rsid w:val="004B0B3C"/>
    <w:rsid w:val="004B0BAF"/>
    <w:rsid w:val="004B0CA0"/>
    <w:rsid w:val="004B0CE1"/>
    <w:rsid w:val="004B0DB4"/>
    <w:rsid w:val="004B0EC8"/>
    <w:rsid w:val="004B121F"/>
    <w:rsid w:val="004B12FA"/>
    <w:rsid w:val="004B1432"/>
    <w:rsid w:val="004B1578"/>
    <w:rsid w:val="004B16C7"/>
    <w:rsid w:val="004B1757"/>
    <w:rsid w:val="004B19FD"/>
    <w:rsid w:val="004B1C97"/>
    <w:rsid w:val="004B1F0D"/>
    <w:rsid w:val="004B215D"/>
    <w:rsid w:val="004B217E"/>
    <w:rsid w:val="004B21A0"/>
    <w:rsid w:val="004B224B"/>
    <w:rsid w:val="004B2477"/>
    <w:rsid w:val="004B24FC"/>
    <w:rsid w:val="004B2638"/>
    <w:rsid w:val="004B2639"/>
    <w:rsid w:val="004B2654"/>
    <w:rsid w:val="004B27D4"/>
    <w:rsid w:val="004B2875"/>
    <w:rsid w:val="004B28B5"/>
    <w:rsid w:val="004B2A89"/>
    <w:rsid w:val="004B2D27"/>
    <w:rsid w:val="004B2D2A"/>
    <w:rsid w:val="004B2E96"/>
    <w:rsid w:val="004B2ECF"/>
    <w:rsid w:val="004B333F"/>
    <w:rsid w:val="004B33EC"/>
    <w:rsid w:val="004B3565"/>
    <w:rsid w:val="004B3626"/>
    <w:rsid w:val="004B37DF"/>
    <w:rsid w:val="004B37E5"/>
    <w:rsid w:val="004B3867"/>
    <w:rsid w:val="004B389C"/>
    <w:rsid w:val="004B38A4"/>
    <w:rsid w:val="004B3936"/>
    <w:rsid w:val="004B3955"/>
    <w:rsid w:val="004B39A7"/>
    <w:rsid w:val="004B39EB"/>
    <w:rsid w:val="004B3AD2"/>
    <w:rsid w:val="004B3AD5"/>
    <w:rsid w:val="004B3B05"/>
    <w:rsid w:val="004B3B2F"/>
    <w:rsid w:val="004B3BE3"/>
    <w:rsid w:val="004B3FAA"/>
    <w:rsid w:val="004B416C"/>
    <w:rsid w:val="004B4181"/>
    <w:rsid w:val="004B4321"/>
    <w:rsid w:val="004B435A"/>
    <w:rsid w:val="004B44BC"/>
    <w:rsid w:val="004B46D5"/>
    <w:rsid w:val="004B46D7"/>
    <w:rsid w:val="004B46E2"/>
    <w:rsid w:val="004B4890"/>
    <w:rsid w:val="004B4941"/>
    <w:rsid w:val="004B4972"/>
    <w:rsid w:val="004B4BB3"/>
    <w:rsid w:val="004B4BED"/>
    <w:rsid w:val="004B4C28"/>
    <w:rsid w:val="004B4C95"/>
    <w:rsid w:val="004B4DD3"/>
    <w:rsid w:val="004B4DE8"/>
    <w:rsid w:val="004B4E6C"/>
    <w:rsid w:val="004B4F05"/>
    <w:rsid w:val="004B5008"/>
    <w:rsid w:val="004B500B"/>
    <w:rsid w:val="004B5041"/>
    <w:rsid w:val="004B5370"/>
    <w:rsid w:val="004B546C"/>
    <w:rsid w:val="004B547D"/>
    <w:rsid w:val="004B54AC"/>
    <w:rsid w:val="004B5527"/>
    <w:rsid w:val="004B55AE"/>
    <w:rsid w:val="004B55D2"/>
    <w:rsid w:val="004B5672"/>
    <w:rsid w:val="004B568A"/>
    <w:rsid w:val="004B58D1"/>
    <w:rsid w:val="004B5931"/>
    <w:rsid w:val="004B5A57"/>
    <w:rsid w:val="004B5AF1"/>
    <w:rsid w:val="004B5B55"/>
    <w:rsid w:val="004B5C41"/>
    <w:rsid w:val="004B5C9B"/>
    <w:rsid w:val="004B5CE1"/>
    <w:rsid w:val="004B5D24"/>
    <w:rsid w:val="004B5F24"/>
    <w:rsid w:val="004B6062"/>
    <w:rsid w:val="004B6267"/>
    <w:rsid w:val="004B6274"/>
    <w:rsid w:val="004B6454"/>
    <w:rsid w:val="004B64C5"/>
    <w:rsid w:val="004B64CF"/>
    <w:rsid w:val="004B655E"/>
    <w:rsid w:val="004B659F"/>
    <w:rsid w:val="004B665C"/>
    <w:rsid w:val="004B6739"/>
    <w:rsid w:val="004B684D"/>
    <w:rsid w:val="004B6892"/>
    <w:rsid w:val="004B6901"/>
    <w:rsid w:val="004B6969"/>
    <w:rsid w:val="004B6992"/>
    <w:rsid w:val="004B6AC9"/>
    <w:rsid w:val="004B6B36"/>
    <w:rsid w:val="004B6CB1"/>
    <w:rsid w:val="004B6D14"/>
    <w:rsid w:val="004B6D73"/>
    <w:rsid w:val="004B6DAB"/>
    <w:rsid w:val="004B6E7B"/>
    <w:rsid w:val="004B6EBE"/>
    <w:rsid w:val="004B73C7"/>
    <w:rsid w:val="004B744B"/>
    <w:rsid w:val="004B748A"/>
    <w:rsid w:val="004B74FB"/>
    <w:rsid w:val="004B755A"/>
    <w:rsid w:val="004B7590"/>
    <w:rsid w:val="004B776D"/>
    <w:rsid w:val="004B783D"/>
    <w:rsid w:val="004B7845"/>
    <w:rsid w:val="004B78DB"/>
    <w:rsid w:val="004B79B3"/>
    <w:rsid w:val="004B7B34"/>
    <w:rsid w:val="004B7C6F"/>
    <w:rsid w:val="004B7D58"/>
    <w:rsid w:val="004B7E75"/>
    <w:rsid w:val="004B7F03"/>
    <w:rsid w:val="004C00B0"/>
    <w:rsid w:val="004C01C5"/>
    <w:rsid w:val="004C023F"/>
    <w:rsid w:val="004C02E7"/>
    <w:rsid w:val="004C043A"/>
    <w:rsid w:val="004C08AD"/>
    <w:rsid w:val="004C093D"/>
    <w:rsid w:val="004C09A8"/>
    <w:rsid w:val="004C09FD"/>
    <w:rsid w:val="004C0A36"/>
    <w:rsid w:val="004C0A94"/>
    <w:rsid w:val="004C0ACB"/>
    <w:rsid w:val="004C0C20"/>
    <w:rsid w:val="004C0E6D"/>
    <w:rsid w:val="004C0EC8"/>
    <w:rsid w:val="004C0EDB"/>
    <w:rsid w:val="004C0EF0"/>
    <w:rsid w:val="004C0FC5"/>
    <w:rsid w:val="004C0FFB"/>
    <w:rsid w:val="004C1098"/>
    <w:rsid w:val="004C12EC"/>
    <w:rsid w:val="004C1503"/>
    <w:rsid w:val="004C1588"/>
    <w:rsid w:val="004C159E"/>
    <w:rsid w:val="004C15C4"/>
    <w:rsid w:val="004C1649"/>
    <w:rsid w:val="004C16C7"/>
    <w:rsid w:val="004C17C7"/>
    <w:rsid w:val="004C1877"/>
    <w:rsid w:val="004C189E"/>
    <w:rsid w:val="004C18EA"/>
    <w:rsid w:val="004C18ED"/>
    <w:rsid w:val="004C1B5E"/>
    <w:rsid w:val="004C1C5E"/>
    <w:rsid w:val="004C1D0A"/>
    <w:rsid w:val="004C1EBE"/>
    <w:rsid w:val="004C1EBF"/>
    <w:rsid w:val="004C2016"/>
    <w:rsid w:val="004C2052"/>
    <w:rsid w:val="004C212B"/>
    <w:rsid w:val="004C21AC"/>
    <w:rsid w:val="004C2234"/>
    <w:rsid w:val="004C224C"/>
    <w:rsid w:val="004C22F8"/>
    <w:rsid w:val="004C2383"/>
    <w:rsid w:val="004C238B"/>
    <w:rsid w:val="004C2600"/>
    <w:rsid w:val="004C261A"/>
    <w:rsid w:val="004C2661"/>
    <w:rsid w:val="004C272F"/>
    <w:rsid w:val="004C28F7"/>
    <w:rsid w:val="004C29AE"/>
    <w:rsid w:val="004C29FE"/>
    <w:rsid w:val="004C2A58"/>
    <w:rsid w:val="004C2D0A"/>
    <w:rsid w:val="004C2DCB"/>
    <w:rsid w:val="004C2E28"/>
    <w:rsid w:val="004C2E6A"/>
    <w:rsid w:val="004C2EAF"/>
    <w:rsid w:val="004C2F58"/>
    <w:rsid w:val="004C2FF3"/>
    <w:rsid w:val="004C3030"/>
    <w:rsid w:val="004C3036"/>
    <w:rsid w:val="004C30F0"/>
    <w:rsid w:val="004C31C4"/>
    <w:rsid w:val="004C3373"/>
    <w:rsid w:val="004C3559"/>
    <w:rsid w:val="004C360F"/>
    <w:rsid w:val="004C3645"/>
    <w:rsid w:val="004C3674"/>
    <w:rsid w:val="004C3718"/>
    <w:rsid w:val="004C3777"/>
    <w:rsid w:val="004C37C4"/>
    <w:rsid w:val="004C3859"/>
    <w:rsid w:val="004C3876"/>
    <w:rsid w:val="004C3975"/>
    <w:rsid w:val="004C39DB"/>
    <w:rsid w:val="004C3A8E"/>
    <w:rsid w:val="004C3B0A"/>
    <w:rsid w:val="004C3B1B"/>
    <w:rsid w:val="004C3C7F"/>
    <w:rsid w:val="004C3FF8"/>
    <w:rsid w:val="004C40DE"/>
    <w:rsid w:val="004C412D"/>
    <w:rsid w:val="004C413E"/>
    <w:rsid w:val="004C42B8"/>
    <w:rsid w:val="004C42C3"/>
    <w:rsid w:val="004C43E5"/>
    <w:rsid w:val="004C4467"/>
    <w:rsid w:val="004C4496"/>
    <w:rsid w:val="004C45B9"/>
    <w:rsid w:val="004C485B"/>
    <w:rsid w:val="004C4875"/>
    <w:rsid w:val="004C48F0"/>
    <w:rsid w:val="004C4C34"/>
    <w:rsid w:val="004C4C46"/>
    <w:rsid w:val="004C4F5F"/>
    <w:rsid w:val="004C507C"/>
    <w:rsid w:val="004C5271"/>
    <w:rsid w:val="004C53FC"/>
    <w:rsid w:val="004C54F0"/>
    <w:rsid w:val="004C550A"/>
    <w:rsid w:val="004C5565"/>
    <w:rsid w:val="004C5607"/>
    <w:rsid w:val="004C5628"/>
    <w:rsid w:val="004C5673"/>
    <w:rsid w:val="004C5730"/>
    <w:rsid w:val="004C574F"/>
    <w:rsid w:val="004C5C22"/>
    <w:rsid w:val="004C60EC"/>
    <w:rsid w:val="004C611F"/>
    <w:rsid w:val="004C628C"/>
    <w:rsid w:val="004C62C0"/>
    <w:rsid w:val="004C655E"/>
    <w:rsid w:val="004C655F"/>
    <w:rsid w:val="004C658A"/>
    <w:rsid w:val="004C65D0"/>
    <w:rsid w:val="004C672C"/>
    <w:rsid w:val="004C6992"/>
    <w:rsid w:val="004C69E6"/>
    <w:rsid w:val="004C6A3B"/>
    <w:rsid w:val="004C6AB1"/>
    <w:rsid w:val="004C6E2D"/>
    <w:rsid w:val="004C6EBE"/>
    <w:rsid w:val="004C6F7F"/>
    <w:rsid w:val="004C6FE4"/>
    <w:rsid w:val="004C6FE8"/>
    <w:rsid w:val="004C6FFA"/>
    <w:rsid w:val="004C701F"/>
    <w:rsid w:val="004C707D"/>
    <w:rsid w:val="004C73BD"/>
    <w:rsid w:val="004C744B"/>
    <w:rsid w:val="004C74F4"/>
    <w:rsid w:val="004C7506"/>
    <w:rsid w:val="004C7AEC"/>
    <w:rsid w:val="004C7B80"/>
    <w:rsid w:val="004C7C5B"/>
    <w:rsid w:val="004C7C8E"/>
    <w:rsid w:val="004C7DE8"/>
    <w:rsid w:val="004C7DEB"/>
    <w:rsid w:val="004C7E84"/>
    <w:rsid w:val="004C7EB1"/>
    <w:rsid w:val="004D0237"/>
    <w:rsid w:val="004D030C"/>
    <w:rsid w:val="004D0499"/>
    <w:rsid w:val="004D05BC"/>
    <w:rsid w:val="004D061C"/>
    <w:rsid w:val="004D0766"/>
    <w:rsid w:val="004D09AC"/>
    <w:rsid w:val="004D0A51"/>
    <w:rsid w:val="004D0A96"/>
    <w:rsid w:val="004D0B02"/>
    <w:rsid w:val="004D0B91"/>
    <w:rsid w:val="004D0C84"/>
    <w:rsid w:val="004D0E14"/>
    <w:rsid w:val="004D0F93"/>
    <w:rsid w:val="004D0FBE"/>
    <w:rsid w:val="004D1093"/>
    <w:rsid w:val="004D10ED"/>
    <w:rsid w:val="004D129E"/>
    <w:rsid w:val="004D130E"/>
    <w:rsid w:val="004D1367"/>
    <w:rsid w:val="004D1371"/>
    <w:rsid w:val="004D140E"/>
    <w:rsid w:val="004D14AE"/>
    <w:rsid w:val="004D1525"/>
    <w:rsid w:val="004D156A"/>
    <w:rsid w:val="004D15E5"/>
    <w:rsid w:val="004D16EB"/>
    <w:rsid w:val="004D18C7"/>
    <w:rsid w:val="004D1BD4"/>
    <w:rsid w:val="004D1D17"/>
    <w:rsid w:val="004D1D4A"/>
    <w:rsid w:val="004D1D7E"/>
    <w:rsid w:val="004D201F"/>
    <w:rsid w:val="004D243F"/>
    <w:rsid w:val="004D24B4"/>
    <w:rsid w:val="004D24EC"/>
    <w:rsid w:val="004D25F7"/>
    <w:rsid w:val="004D2633"/>
    <w:rsid w:val="004D26CC"/>
    <w:rsid w:val="004D2724"/>
    <w:rsid w:val="004D2759"/>
    <w:rsid w:val="004D2853"/>
    <w:rsid w:val="004D288D"/>
    <w:rsid w:val="004D28B8"/>
    <w:rsid w:val="004D29C1"/>
    <w:rsid w:val="004D2A54"/>
    <w:rsid w:val="004D2C3D"/>
    <w:rsid w:val="004D2EE0"/>
    <w:rsid w:val="004D3216"/>
    <w:rsid w:val="004D32E2"/>
    <w:rsid w:val="004D3332"/>
    <w:rsid w:val="004D3353"/>
    <w:rsid w:val="004D3426"/>
    <w:rsid w:val="004D34A3"/>
    <w:rsid w:val="004D358D"/>
    <w:rsid w:val="004D3592"/>
    <w:rsid w:val="004D36E5"/>
    <w:rsid w:val="004D373F"/>
    <w:rsid w:val="004D37D2"/>
    <w:rsid w:val="004D3868"/>
    <w:rsid w:val="004D3952"/>
    <w:rsid w:val="004D398D"/>
    <w:rsid w:val="004D3B98"/>
    <w:rsid w:val="004D3C25"/>
    <w:rsid w:val="004D3FBB"/>
    <w:rsid w:val="004D4033"/>
    <w:rsid w:val="004D4057"/>
    <w:rsid w:val="004D40C6"/>
    <w:rsid w:val="004D4108"/>
    <w:rsid w:val="004D4260"/>
    <w:rsid w:val="004D4277"/>
    <w:rsid w:val="004D43EE"/>
    <w:rsid w:val="004D44C4"/>
    <w:rsid w:val="004D44F9"/>
    <w:rsid w:val="004D46E5"/>
    <w:rsid w:val="004D4715"/>
    <w:rsid w:val="004D47A7"/>
    <w:rsid w:val="004D4898"/>
    <w:rsid w:val="004D4A39"/>
    <w:rsid w:val="004D4AB4"/>
    <w:rsid w:val="004D4C39"/>
    <w:rsid w:val="004D5074"/>
    <w:rsid w:val="004D5274"/>
    <w:rsid w:val="004D5284"/>
    <w:rsid w:val="004D52A0"/>
    <w:rsid w:val="004D52F3"/>
    <w:rsid w:val="004D5348"/>
    <w:rsid w:val="004D5478"/>
    <w:rsid w:val="004D552C"/>
    <w:rsid w:val="004D5655"/>
    <w:rsid w:val="004D5735"/>
    <w:rsid w:val="004D581E"/>
    <w:rsid w:val="004D5915"/>
    <w:rsid w:val="004D5929"/>
    <w:rsid w:val="004D5C5B"/>
    <w:rsid w:val="004D5CD1"/>
    <w:rsid w:val="004D5DEE"/>
    <w:rsid w:val="004D5E32"/>
    <w:rsid w:val="004D5E3A"/>
    <w:rsid w:val="004D5FC3"/>
    <w:rsid w:val="004D6097"/>
    <w:rsid w:val="004D617E"/>
    <w:rsid w:val="004D61CA"/>
    <w:rsid w:val="004D6247"/>
    <w:rsid w:val="004D62AC"/>
    <w:rsid w:val="004D6345"/>
    <w:rsid w:val="004D63CF"/>
    <w:rsid w:val="004D6413"/>
    <w:rsid w:val="004D66B4"/>
    <w:rsid w:val="004D67FB"/>
    <w:rsid w:val="004D688A"/>
    <w:rsid w:val="004D692D"/>
    <w:rsid w:val="004D6A37"/>
    <w:rsid w:val="004D6A4A"/>
    <w:rsid w:val="004D6B46"/>
    <w:rsid w:val="004D6B5E"/>
    <w:rsid w:val="004D6C06"/>
    <w:rsid w:val="004D6C07"/>
    <w:rsid w:val="004D6C20"/>
    <w:rsid w:val="004D6E41"/>
    <w:rsid w:val="004D6E4D"/>
    <w:rsid w:val="004D6E9C"/>
    <w:rsid w:val="004D6E9F"/>
    <w:rsid w:val="004D7078"/>
    <w:rsid w:val="004D707C"/>
    <w:rsid w:val="004D70BC"/>
    <w:rsid w:val="004D70D9"/>
    <w:rsid w:val="004D7264"/>
    <w:rsid w:val="004D72BA"/>
    <w:rsid w:val="004D72C7"/>
    <w:rsid w:val="004D7307"/>
    <w:rsid w:val="004D73C1"/>
    <w:rsid w:val="004D7519"/>
    <w:rsid w:val="004D7569"/>
    <w:rsid w:val="004D7576"/>
    <w:rsid w:val="004D77A9"/>
    <w:rsid w:val="004D789D"/>
    <w:rsid w:val="004D78D3"/>
    <w:rsid w:val="004D7921"/>
    <w:rsid w:val="004D7AA2"/>
    <w:rsid w:val="004D7D01"/>
    <w:rsid w:val="004E0013"/>
    <w:rsid w:val="004E0050"/>
    <w:rsid w:val="004E005C"/>
    <w:rsid w:val="004E00CF"/>
    <w:rsid w:val="004E0377"/>
    <w:rsid w:val="004E044D"/>
    <w:rsid w:val="004E05ED"/>
    <w:rsid w:val="004E064B"/>
    <w:rsid w:val="004E06EA"/>
    <w:rsid w:val="004E0717"/>
    <w:rsid w:val="004E0787"/>
    <w:rsid w:val="004E07A9"/>
    <w:rsid w:val="004E0869"/>
    <w:rsid w:val="004E08C5"/>
    <w:rsid w:val="004E090E"/>
    <w:rsid w:val="004E0C3F"/>
    <w:rsid w:val="004E1063"/>
    <w:rsid w:val="004E1135"/>
    <w:rsid w:val="004E12CC"/>
    <w:rsid w:val="004E131E"/>
    <w:rsid w:val="004E146B"/>
    <w:rsid w:val="004E15DB"/>
    <w:rsid w:val="004E15FD"/>
    <w:rsid w:val="004E1615"/>
    <w:rsid w:val="004E177D"/>
    <w:rsid w:val="004E17FB"/>
    <w:rsid w:val="004E19A8"/>
    <w:rsid w:val="004E1B75"/>
    <w:rsid w:val="004E1BC6"/>
    <w:rsid w:val="004E1C7A"/>
    <w:rsid w:val="004E1D19"/>
    <w:rsid w:val="004E1F0B"/>
    <w:rsid w:val="004E1F59"/>
    <w:rsid w:val="004E2132"/>
    <w:rsid w:val="004E21C1"/>
    <w:rsid w:val="004E2225"/>
    <w:rsid w:val="004E232A"/>
    <w:rsid w:val="004E2467"/>
    <w:rsid w:val="004E2488"/>
    <w:rsid w:val="004E24ED"/>
    <w:rsid w:val="004E26B6"/>
    <w:rsid w:val="004E2884"/>
    <w:rsid w:val="004E29DD"/>
    <w:rsid w:val="004E2A2C"/>
    <w:rsid w:val="004E2AC3"/>
    <w:rsid w:val="004E2B3C"/>
    <w:rsid w:val="004E2BBD"/>
    <w:rsid w:val="004E2C8B"/>
    <w:rsid w:val="004E2D05"/>
    <w:rsid w:val="004E2EA2"/>
    <w:rsid w:val="004E2FB2"/>
    <w:rsid w:val="004E308A"/>
    <w:rsid w:val="004E308D"/>
    <w:rsid w:val="004E31C2"/>
    <w:rsid w:val="004E31E9"/>
    <w:rsid w:val="004E3331"/>
    <w:rsid w:val="004E34CC"/>
    <w:rsid w:val="004E35BB"/>
    <w:rsid w:val="004E36D1"/>
    <w:rsid w:val="004E36EE"/>
    <w:rsid w:val="004E3932"/>
    <w:rsid w:val="004E39D7"/>
    <w:rsid w:val="004E3B61"/>
    <w:rsid w:val="004E3B82"/>
    <w:rsid w:val="004E3BB2"/>
    <w:rsid w:val="004E3BC6"/>
    <w:rsid w:val="004E3E1E"/>
    <w:rsid w:val="004E3EB0"/>
    <w:rsid w:val="004E40A8"/>
    <w:rsid w:val="004E40CC"/>
    <w:rsid w:val="004E411C"/>
    <w:rsid w:val="004E434F"/>
    <w:rsid w:val="004E43C2"/>
    <w:rsid w:val="004E4472"/>
    <w:rsid w:val="004E4474"/>
    <w:rsid w:val="004E44AE"/>
    <w:rsid w:val="004E48A6"/>
    <w:rsid w:val="004E49E9"/>
    <w:rsid w:val="004E4A07"/>
    <w:rsid w:val="004E4A58"/>
    <w:rsid w:val="004E4A93"/>
    <w:rsid w:val="004E4AC4"/>
    <w:rsid w:val="004E4B4E"/>
    <w:rsid w:val="004E4B78"/>
    <w:rsid w:val="004E4B93"/>
    <w:rsid w:val="004E4BF8"/>
    <w:rsid w:val="004E4C5C"/>
    <w:rsid w:val="004E4C6D"/>
    <w:rsid w:val="004E4CEF"/>
    <w:rsid w:val="004E4E00"/>
    <w:rsid w:val="004E4E06"/>
    <w:rsid w:val="004E4E22"/>
    <w:rsid w:val="004E4E6E"/>
    <w:rsid w:val="004E4F03"/>
    <w:rsid w:val="004E4F26"/>
    <w:rsid w:val="004E4FB3"/>
    <w:rsid w:val="004E525D"/>
    <w:rsid w:val="004E52B3"/>
    <w:rsid w:val="004E52E4"/>
    <w:rsid w:val="004E5328"/>
    <w:rsid w:val="004E53C8"/>
    <w:rsid w:val="004E55DF"/>
    <w:rsid w:val="004E573E"/>
    <w:rsid w:val="004E58FF"/>
    <w:rsid w:val="004E5AF0"/>
    <w:rsid w:val="004E5BEC"/>
    <w:rsid w:val="004E5C4C"/>
    <w:rsid w:val="004E5C6B"/>
    <w:rsid w:val="004E5CE6"/>
    <w:rsid w:val="004E5F0E"/>
    <w:rsid w:val="004E5F20"/>
    <w:rsid w:val="004E6001"/>
    <w:rsid w:val="004E607E"/>
    <w:rsid w:val="004E60DC"/>
    <w:rsid w:val="004E62B4"/>
    <w:rsid w:val="004E63C6"/>
    <w:rsid w:val="004E63FA"/>
    <w:rsid w:val="004E65A9"/>
    <w:rsid w:val="004E65B9"/>
    <w:rsid w:val="004E65E9"/>
    <w:rsid w:val="004E65F4"/>
    <w:rsid w:val="004E65F7"/>
    <w:rsid w:val="004E66E8"/>
    <w:rsid w:val="004E67AD"/>
    <w:rsid w:val="004E67C5"/>
    <w:rsid w:val="004E6949"/>
    <w:rsid w:val="004E6AF3"/>
    <w:rsid w:val="004E6C05"/>
    <w:rsid w:val="004E6DB1"/>
    <w:rsid w:val="004E6E1F"/>
    <w:rsid w:val="004E6F58"/>
    <w:rsid w:val="004E7191"/>
    <w:rsid w:val="004E7211"/>
    <w:rsid w:val="004E7253"/>
    <w:rsid w:val="004E747F"/>
    <w:rsid w:val="004E76F8"/>
    <w:rsid w:val="004E772B"/>
    <w:rsid w:val="004E77EA"/>
    <w:rsid w:val="004E7833"/>
    <w:rsid w:val="004E788D"/>
    <w:rsid w:val="004E790F"/>
    <w:rsid w:val="004E79A8"/>
    <w:rsid w:val="004E79C8"/>
    <w:rsid w:val="004E7AAB"/>
    <w:rsid w:val="004E7BEB"/>
    <w:rsid w:val="004E7C6B"/>
    <w:rsid w:val="004F0178"/>
    <w:rsid w:val="004F01C6"/>
    <w:rsid w:val="004F01D9"/>
    <w:rsid w:val="004F030A"/>
    <w:rsid w:val="004F0327"/>
    <w:rsid w:val="004F04CF"/>
    <w:rsid w:val="004F059D"/>
    <w:rsid w:val="004F0640"/>
    <w:rsid w:val="004F0844"/>
    <w:rsid w:val="004F086D"/>
    <w:rsid w:val="004F099C"/>
    <w:rsid w:val="004F09B6"/>
    <w:rsid w:val="004F09FD"/>
    <w:rsid w:val="004F0A2F"/>
    <w:rsid w:val="004F0A49"/>
    <w:rsid w:val="004F0B2D"/>
    <w:rsid w:val="004F0C43"/>
    <w:rsid w:val="004F0D74"/>
    <w:rsid w:val="004F0DA9"/>
    <w:rsid w:val="004F10B6"/>
    <w:rsid w:val="004F1110"/>
    <w:rsid w:val="004F11BF"/>
    <w:rsid w:val="004F129C"/>
    <w:rsid w:val="004F132F"/>
    <w:rsid w:val="004F13C6"/>
    <w:rsid w:val="004F1416"/>
    <w:rsid w:val="004F15F2"/>
    <w:rsid w:val="004F16C5"/>
    <w:rsid w:val="004F16CB"/>
    <w:rsid w:val="004F1725"/>
    <w:rsid w:val="004F17D1"/>
    <w:rsid w:val="004F1885"/>
    <w:rsid w:val="004F19E3"/>
    <w:rsid w:val="004F1B30"/>
    <w:rsid w:val="004F1B71"/>
    <w:rsid w:val="004F1D4D"/>
    <w:rsid w:val="004F1DAB"/>
    <w:rsid w:val="004F1DD1"/>
    <w:rsid w:val="004F1E96"/>
    <w:rsid w:val="004F2058"/>
    <w:rsid w:val="004F20B9"/>
    <w:rsid w:val="004F213D"/>
    <w:rsid w:val="004F215F"/>
    <w:rsid w:val="004F22E7"/>
    <w:rsid w:val="004F2351"/>
    <w:rsid w:val="004F23AD"/>
    <w:rsid w:val="004F2455"/>
    <w:rsid w:val="004F24AC"/>
    <w:rsid w:val="004F26BF"/>
    <w:rsid w:val="004F26D0"/>
    <w:rsid w:val="004F27E6"/>
    <w:rsid w:val="004F27EB"/>
    <w:rsid w:val="004F2931"/>
    <w:rsid w:val="004F2937"/>
    <w:rsid w:val="004F29DB"/>
    <w:rsid w:val="004F2E01"/>
    <w:rsid w:val="004F3213"/>
    <w:rsid w:val="004F3372"/>
    <w:rsid w:val="004F3386"/>
    <w:rsid w:val="004F3453"/>
    <w:rsid w:val="004F349E"/>
    <w:rsid w:val="004F3560"/>
    <w:rsid w:val="004F35FD"/>
    <w:rsid w:val="004F3603"/>
    <w:rsid w:val="004F3620"/>
    <w:rsid w:val="004F36D8"/>
    <w:rsid w:val="004F3850"/>
    <w:rsid w:val="004F38EA"/>
    <w:rsid w:val="004F3BD1"/>
    <w:rsid w:val="004F3C08"/>
    <w:rsid w:val="004F3DA7"/>
    <w:rsid w:val="004F3DC1"/>
    <w:rsid w:val="004F3E7B"/>
    <w:rsid w:val="004F3F59"/>
    <w:rsid w:val="004F409E"/>
    <w:rsid w:val="004F41AB"/>
    <w:rsid w:val="004F435A"/>
    <w:rsid w:val="004F44D0"/>
    <w:rsid w:val="004F47CF"/>
    <w:rsid w:val="004F4870"/>
    <w:rsid w:val="004F487C"/>
    <w:rsid w:val="004F48FF"/>
    <w:rsid w:val="004F4A8F"/>
    <w:rsid w:val="004F4ABD"/>
    <w:rsid w:val="004F4AD2"/>
    <w:rsid w:val="004F4B81"/>
    <w:rsid w:val="004F4D1F"/>
    <w:rsid w:val="004F4E36"/>
    <w:rsid w:val="004F4E55"/>
    <w:rsid w:val="004F509D"/>
    <w:rsid w:val="004F5141"/>
    <w:rsid w:val="004F539A"/>
    <w:rsid w:val="004F53A0"/>
    <w:rsid w:val="004F568B"/>
    <w:rsid w:val="004F57BF"/>
    <w:rsid w:val="004F5894"/>
    <w:rsid w:val="004F5A1D"/>
    <w:rsid w:val="004F5B2B"/>
    <w:rsid w:val="004F5C16"/>
    <w:rsid w:val="004F5D5B"/>
    <w:rsid w:val="004F5D8C"/>
    <w:rsid w:val="004F5E1D"/>
    <w:rsid w:val="004F5EA4"/>
    <w:rsid w:val="004F5F3D"/>
    <w:rsid w:val="004F5F89"/>
    <w:rsid w:val="004F5F95"/>
    <w:rsid w:val="004F6028"/>
    <w:rsid w:val="004F61F0"/>
    <w:rsid w:val="004F62A9"/>
    <w:rsid w:val="004F62F2"/>
    <w:rsid w:val="004F62F8"/>
    <w:rsid w:val="004F6409"/>
    <w:rsid w:val="004F643D"/>
    <w:rsid w:val="004F64A0"/>
    <w:rsid w:val="004F6615"/>
    <w:rsid w:val="004F6635"/>
    <w:rsid w:val="004F686F"/>
    <w:rsid w:val="004F6A28"/>
    <w:rsid w:val="004F6B86"/>
    <w:rsid w:val="004F6BA2"/>
    <w:rsid w:val="004F6D0E"/>
    <w:rsid w:val="004F6F11"/>
    <w:rsid w:val="004F6F19"/>
    <w:rsid w:val="004F6F3B"/>
    <w:rsid w:val="004F7066"/>
    <w:rsid w:val="004F706C"/>
    <w:rsid w:val="004F70F5"/>
    <w:rsid w:val="004F71AD"/>
    <w:rsid w:val="004F7208"/>
    <w:rsid w:val="004F73ED"/>
    <w:rsid w:val="004F74D5"/>
    <w:rsid w:val="004F7501"/>
    <w:rsid w:val="004F7563"/>
    <w:rsid w:val="004F7585"/>
    <w:rsid w:val="004F76D7"/>
    <w:rsid w:val="004F7730"/>
    <w:rsid w:val="004F77E9"/>
    <w:rsid w:val="004F7935"/>
    <w:rsid w:val="004F7968"/>
    <w:rsid w:val="004F797A"/>
    <w:rsid w:val="004F7B12"/>
    <w:rsid w:val="004F7C04"/>
    <w:rsid w:val="004F7F53"/>
    <w:rsid w:val="00500088"/>
    <w:rsid w:val="005001B6"/>
    <w:rsid w:val="00500286"/>
    <w:rsid w:val="0050035D"/>
    <w:rsid w:val="0050040B"/>
    <w:rsid w:val="00500534"/>
    <w:rsid w:val="00500554"/>
    <w:rsid w:val="0050055D"/>
    <w:rsid w:val="00500567"/>
    <w:rsid w:val="00500596"/>
    <w:rsid w:val="00500638"/>
    <w:rsid w:val="0050064B"/>
    <w:rsid w:val="005008E7"/>
    <w:rsid w:val="0050097E"/>
    <w:rsid w:val="00500AB7"/>
    <w:rsid w:val="00500CA5"/>
    <w:rsid w:val="00500D93"/>
    <w:rsid w:val="00500DE2"/>
    <w:rsid w:val="00500E06"/>
    <w:rsid w:val="00500EF5"/>
    <w:rsid w:val="00501090"/>
    <w:rsid w:val="0050116C"/>
    <w:rsid w:val="0050132B"/>
    <w:rsid w:val="005013F6"/>
    <w:rsid w:val="005014B3"/>
    <w:rsid w:val="00501522"/>
    <w:rsid w:val="00501572"/>
    <w:rsid w:val="005015E0"/>
    <w:rsid w:val="0050189F"/>
    <w:rsid w:val="00501C6C"/>
    <w:rsid w:val="00501D64"/>
    <w:rsid w:val="00501F38"/>
    <w:rsid w:val="00502055"/>
    <w:rsid w:val="00502205"/>
    <w:rsid w:val="00502237"/>
    <w:rsid w:val="00502250"/>
    <w:rsid w:val="00502267"/>
    <w:rsid w:val="0050236B"/>
    <w:rsid w:val="00502377"/>
    <w:rsid w:val="005023CF"/>
    <w:rsid w:val="005025C7"/>
    <w:rsid w:val="00502669"/>
    <w:rsid w:val="00502699"/>
    <w:rsid w:val="005027F6"/>
    <w:rsid w:val="00502812"/>
    <w:rsid w:val="00502904"/>
    <w:rsid w:val="00502905"/>
    <w:rsid w:val="00502927"/>
    <w:rsid w:val="00502A1C"/>
    <w:rsid w:val="00502A40"/>
    <w:rsid w:val="00502B0E"/>
    <w:rsid w:val="00502B47"/>
    <w:rsid w:val="00502B68"/>
    <w:rsid w:val="00502CD1"/>
    <w:rsid w:val="00502D57"/>
    <w:rsid w:val="00502D5E"/>
    <w:rsid w:val="00502F30"/>
    <w:rsid w:val="0050308F"/>
    <w:rsid w:val="00503090"/>
    <w:rsid w:val="00503201"/>
    <w:rsid w:val="00503246"/>
    <w:rsid w:val="005032D8"/>
    <w:rsid w:val="005032DD"/>
    <w:rsid w:val="00503324"/>
    <w:rsid w:val="0050335B"/>
    <w:rsid w:val="005033CA"/>
    <w:rsid w:val="0050342E"/>
    <w:rsid w:val="005034BF"/>
    <w:rsid w:val="00503587"/>
    <w:rsid w:val="0050360D"/>
    <w:rsid w:val="0050365E"/>
    <w:rsid w:val="005036E0"/>
    <w:rsid w:val="00503AD6"/>
    <w:rsid w:val="00503B31"/>
    <w:rsid w:val="00503B35"/>
    <w:rsid w:val="00503B75"/>
    <w:rsid w:val="00503C8B"/>
    <w:rsid w:val="00503CAC"/>
    <w:rsid w:val="00503D97"/>
    <w:rsid w:val="00503F81"/>
    <w:rsid w:val="005040EE"/>
    <w:rsid w:val="0050421C"/>
    <w:rsid w:val="0050427E"/>
    <w:rsid w:val="00504320"/>
    <w:rsid w:val="005043FE"/>
    <w:rsid w:val="00504826"/>
    <w:rsid w:val="005048A7"/>
    <w:rsid w:val="00504929"/>
    <w:rsid w:val="00504A53"/>
    <w:rsid w:val="00504A80"/>
    <w:rsid w:val="00504A9D"/>
    <w:rsid w:val="00504E7D"/>
    <w:rsid w:val="00504E90"/>
    <w:rsid w:val="00504F43"/>
    <w:rsid w:val="00505009"/>
    <w:rsid w:val="00505554"/>
    <w:rsid w:val="00505635"/>
    <w:rsid w:val="005057D5"/>
    <w:rsid w:val="005057ED"/>
    <w:rsid w:val="00505824"/>
    <w:rsid w:val="00505838"/>
    <w:rsid w:val="00505929"/>
    <w:rsid w:val="00505A16"/>
    <w:rsid w:val="00505AFF"/>
    <w:rsid w:val="00505BC5"/>
    <w:rsid w:val="00505CD9"/>
    <w:rsid w:val="00505D7E"/>
    <w:rsid w:val="00505E57"/>
    <w:rsid w:val="00505F43"/>
    <w:rsid w:val="005060FC"/>
    <w:rsid w:val="0050610A"/>
    <w:rsid w:val="0050611B"/>
    <w:rsid w:val="0050617D"/>
    <w:rsid w:val="00506301"/>
    <w:rsid w:val="005064BA"/>
    <w:rsid w:val="00506730"/>
    <w:rsid w:val="0050675A"/>
    <w:rsid w:val="0050687D"/>
    <w:rsid w:val="00506964"/>
    <w:rsid w:val="00506C31"/>
    <w:rsid w:val="00506C75"/>
    <w:rsid w:val="00506CFC"/>
    <w:rsid w:val="00506D12"/>
    <w:rsid w:val="00506E5F"/>
    <w:rsid w:val="00506E99"/>
    <w:rsid w:val="00506FF1"/>
    <w:rsid w:val="005071BC"/>
    <w:rsid w:val="005071DA"/>
    <w:rsid w:val="00507262"/>
    <w:rsid w:val="005072D2"/>
    <w:rsid w:val="00507348"/>
    <w:rsid w:val="0050736C"/>
    <w:rsid w:val="0050767F"/>
    <w:rsid w:val="00507700"/>
    <w:rsid w:val="005077F9"/>
    <w:rsid w:val="00507AC5"/>
    <w:rsid w:val="00507BCD"/>
    <w:rsid w:val="00507BF5"/>
    <w:rsid w:val="00507DA0"/>
    <w:rsid w:val="00507EBA"/>
    <w:rsid w:val="005102FD"/>
    <w:rsid w:val="00510372"/>
    <w:rsid w:val="00510453"/>
    <w:rsid w:val="0051046E"/>
    <w:rsid w:val="005107A6"/>
    <w:rsid w:val="00510856"/>
    <w:rsid w:val="00510A60"/>
    <w:rsid w:val="00510BDD"/>
    <w:rsid w:val="00510D09"/>
    <w:rsid w:val="00510E46"/>
    <w:rsid w:val="00510F0C"/>
    <w:rsid w:val="005110DF"/>
    <w:rsid w:val="00511193"/>
    <w:rsid w:val="00511314"/>
    <w:rsid w:val="00511424"/>
    <w:rsid w:val="0051147C"/>
    <w:rsid w:val="005115BF"/>
    <w:rsid w:val="005115EC"/>
    <w:rsid w:val="00511737"/>
    <w:rsid w:val="005117DC"/>
    <w:rsid w:val="00511836"/>
    <w:rsid w:val="005118D7"/>
    <w:rsid w:val="005119C2"/>
    <w:rsid w:val="00511A06"/>
    <w:rsid w:val="00511ABA"/>
    <w:rsid w:val="00511C54"/>
    <w:rsid w:val="00511C97"/>
    <w:rsid w:val="00511DC6"/>
    <w:rsid w:val="00511F06"/>
    <w:rsid w:val="00511F22"/>
    <w:rsid w:val="00511F92"/>
    <w:rsid w:val="00511FCB"/>
    <w:rsid w:val="00512042"/>
    <w:rsid w:val="005121AC"/>
    <w:rsid w:val="0051263E"/>
    <w:rsid w:val="005129E1"/>
    <w:rsid w:val="00512CAE"/>
    <w:rsid w:val="00512D7E"/>
    <w:rsid w:val="00512D9C"/>
    <w:rsid w:val="00512DF3"/>
    <w:rsid w:val="00512E73"/>
    <w:rsid w:val="00512FE1"/>
    <w:rsid w:val="0051302C"/>
    <w:rsid w:val="005131E9"/>
    <w:rsid w:val="00513263"/>
    <w:rsid w:val="00513359"/>
    <w:rsid w:val="00513421"/>
    <w:rsid w:val="00513548"/>
    <w:rsid w:val="00513558"/>
    <w:rsid w:val="005136DC"/>
    <w:rsid w:val="005136EC"/>
    <w:rsid w:val="0051373E"/>
    <w:rsid w:val="00513807"/>
    <w:rsid w:val="005138D2"/>
    <w:rsid w:val="0051390D"/>
    <w:rsid w:val="0051393D"/>
    <w:rsid w:val="005139E4"/>
    <w:rsid w:val="00513B2E"/>
    <w:rsid w:val="00513B8E"/>
    <w:rsid w:val="00513CB4"/>
    <w:rsid w:val="00513DA4"/>
    <w:rsid w:val="00513EF1"/>
    <w:rsid w:val="005140BF"/>
    <w:rsid w:val="0051411F"/>
    <w:rsid w:val="0051416B"/>
    <w:rsid w:val="005141B3"/>
    <w:rsid w:val="005141E5"/>
    <w:rsid w:val="00514394"/>
    <w:rsid w:val="00514510"/>
    <w:rsid w:val="0051453F"/>
    <w:rsid w:val="0051456C"/>
    <w:rsid w:val="0051487D"/>
    <w:rsid w:val="005148E0"/>
    <w:rsid w:val="00514984"/>
    <w:rsid w:val="005149D2"/>
    <w:rsid w:val="00514B02"/>
    <w:rsid w:val="00514BEB"/>
    <w:rsid w:val="00514CB3"/>
    <w:rsid w:val="00514CD1"/>
    <w:rsid w:val="00514CD3"/>
    <w:rsid w:val="00514CD4"/>
    <w:rsid w:val="00514DF6"/>
    <w:rsid w:val="00514EAE"/>
    <w:rsid w:val="00514EB6"/>
    <w:rsid w:val="00514EBE"/>
    <w:rsid w:val="00514FCE"/>
    <w:rsid w:val="005153F4"/>
    <w:rsid w:val="00515434"/>
    <w:rsid w:val="00515451"/>
    <w:rsid w:val="0051545F"/>
    <w:rsid w:val="005154E1"/>
    <w:rsid w:val="005154E9"/>
    <w:rsid w:val="00515502"/>
    <w:rsid w:val="00515783"/>
    <w:rsid w:val="00515995"/>
    <w:rsid w:val="005159CC"/>
    <w:rsid w:val="00515A19"/>
    <w:rsid w:val="00515ADC"/>
    <w:rsid w:val="00515B96"/>
    <w:rsid w:val="00515C87"/>
    <w:rsid w:val="00515DC9"/>
    <w:rsid w:val="00515DE5"/>
    <w:rsid w:val="00515E18"/>
    <w:rsid w:val="00515E2E"/>
    <w:rsid w:val="00515F48"/>
    <w:rsid w:val="00515FA2"/>
    <w:rsid w:val="00515FC5"/>
    <w:rsid w:val="00516146"/>
    <w:rsid w:val="0051625A"/>
    <w:rsid w:val="00516332"/>
    <w:rsid w:val="005163D7"/>
    <w:rsid w:val="0051648D"/>
    <w:rsid w:val="00516561"/>
    <w:rsid w:val="00516697"/>
    <w:rsid w:val="005167D9"/>
    <w:rsid w:val="0051688D"/>
    <w:rsid w:val="005168C0"/>
    <w:rsid w:val="0051692C"/>
    <w:rsid w:val="00516CFC"/>
    <w:rsid w:val="00516DC6"/>
    <w:rsid w:val="00516DEB"/>
    <w:rsid w:val="00516FFE"/>
    <w:rsid w:val="005170F6"/>
    <w:rsid w:val="00517525"/>
    <w:rsid w:val="005176A8"/>
    <w:rsid w:val="0051782B"/>
    <w:rsid w:val="00517A67"/>
    <w:rsid w:val="00517BA9"/>
    <w:rsid w:val="00517BC4"/>
    <w:rsid w:val="00517BE3"/>
    <w:rsid w:val="00517C39"/>
    <w:rsid w:val="00517CA6"/>
    <w:rsid w:val="00517CAC"/>
    <w:rsid w:val="00517D79"/>
    <w:rsid w:val="00517DC6"/>
    <w:rsid w:val="00517E54"/>
    <w:rsid w:val="00517E66"/>
    <w:rsid w:val="00517F8B"/>
    <w:rsid w:val="00520054"/>
    <w:rsid w:val="0052012C"/>
    <w:rsid w:val="005201A8"/>
    <w:rsid w:val="0052020F"/>
    <w:rsid w:val="00520387"/>
    <w:rsid w:val="0052040D"/>
    <w:rsid w:val="00520591"/>
    <w:rsid w:val="0052063C"/>
    <w:rsid w:val="0052078E"/>
    <w:rsid w:val="005208FF"/>
    <w:rsid w:val="005209A1"/>
    <w:rsid w:val="00520A07"/>
    <w:rsid w:val="00520AD9"/>
    <w:rsid w:val="00520C4A"/>
    <w:rsid w:val="00520C93"/>
    <w:rsid w:val="00520CA5"/>
    <w:rsid w:val="00520E36"/>
    <w:rsid w:val="00521032"/>
    <w:rsid w:val="005210B1"/>
    <w:rsid w:val="005211B0"/>
    <w:rsid w:val="0052124F"/>
    <w:rsid w:val="005212C9"/>
    <w:rsid w:val="005212D6"/>
    <w:rsid w:val="00521318"/>
    <w:rsid w:val="005213C8"/>
    <w:rsid w:val="00521465"/>
    <w:rsid w:val="00521732"/>
    <w:rsid w:val="00521798"/>
    <w:rsid w:val="00521853"/>
    <w:rsid w:val="0052198C"/>
    <w:rsid w:val="00521CE5"/>
    <w:rsid w:val="005220FF"/>
    <w:rsid w:val="005221DA"/>
    <w:rsid w:val="005222A2"/>
    <w:rsid w:val="005224E1"/>
    <w:rsid w:val="005227C1"/>
    <w:rsid w:val="005229D7"/>
    <w:rsid w:val="00522A0B"/>
    <w:rsid w:val="00522C2E"/>
    <w:rsid w:val="00522D02"/>
    <w:rsid w:val="00522E47"/>
    <w:rsid w:val="00522ED7"/>
    <w:rsid w:val="00522F86"/>
    <w:rsid w:val="00522FBD"/>
    <w:rsid w:val="005233FE"/>
    <w:rsid w:val="0052364F"/>
    <w:rsid w:val="005237B7"/>
    <w:rsid w:val="00523862"/>
    <w:rsid w:val="005238D6"/>
    <w:rsid w:val="00523A15"/>
    <w:rsid w:val="00523A58"/>
    <w:rsid w:val="00523AD4"/>
    <w:rsid w:val="00523B1E"/>
    <w:rsid w:val="00523B1F"/>
    <w:rsid w:val="00523B42"/>
    <w:rsid w:val="00523B76"/>
    <w:rsid w:val="00523D80"/>
    <w:rsid w:val="00523DB9"/>
    <w:rsid w:val="00523E0F"/>
    <w:rsid w:val="00523EFA"/>
    <w:rsid w:val="00523F7D"/>
    <w:rsid w:val="005241EB"/>
    <w:rsid w:val="00524228"/>
    <w:rsid w:val="00524335"/>
    <w:rsid w:val="005243EF"/>
    <w:rsid w:val="0052449B"/>
    <w:rsid w:val="00524646"/>
    <w:rsid w:val="00524696"/>
    <w:rsid w:val="005246AD"/>
    <w:rsid w:val="0052472A"/>
    <w:rsid w:val="005247B9"/>
    <w:rsid w:val="005248C6"/>
    <w:rsid w:val="005248CF"/>
    <w:rsid w:val="0052493F"/>
    <w:rsid w:val="00524D5A"/>
    <w:rsid w:val="00524D7C"/>
    <w:rsid w:val="00524E24"/>
    <w:rsid w:val="00524F1A"/>
    <w:rsid w:val="00524F7B"/>
    <w:rsid w:val="0052505A"/>
    <w:rsid w:val="005250CB"/>
    <w:rsid w:val="005250CE"/>
    <w:rsid w:val="0052515E"/>
    <w:rsid w:val="00525191"/>
    <w:rsid w:val="005251A1"/>
    <w:rsid w:val="00525223"/>
    <w:rsid w:val="005252E6"/>
    <w:rsid w:val="00525333"/>
    <w:rsid w:val="0052534E"/>
    <w:rsid w:val="00525426"/>
    <w:rsid w:val="005255AC"/>
    <w:rsid w:val="005255F0"/>
    <w:rsid w:val="005256FB"/>
    <w:rsid w:val="005257F3"/>
    <w:rsid w:val="0052587D"/>
    <w:rsid w:val="00525948"/>
    <w:rsid w:val="00525976"/>
    <w:rsid w:val="00525A5D"/>
    <w:rsid w:val="00525AE1"/>
    <w:rsid w:val="00525B39"/>
    <w:rsid w:val="00525B44"/>
    <w:rsid w:val="00525B91"/>
    <w:rsid w:val="00525C45"/>
    <w:rsid w:val="00525D08"/>
    <w:rsid w:val="00525E95"/>
    <w:rsid w:val="00525F5D"/>
    <w:rsid w:val="00526045"/>
    <w:rsid w:val="005260C7"/>
    <w:rsid w:val="005260FD"/>
    <w:rsid w:val="00526329"/>
    <w:rsid w:val="005263A0"/>
    <w:rsid w:val="005263C6"/>
    <w:rsid w:val="0052640A"/>
    <w:rsid w:val="00526566"/>
    <w:rsid w:val="00526707"/>
    <w:rsid w:val="005267AE"/>
    <w:rsid w:val="005268D1"/>
    <w:rsid w:val="00526999"/>
    <w:rsid w:val="00526A57"/>
    <w:rsid w:val="00526A9A"/>
    <w:rsid w:val="00526AB9"/>
    <w:rsid w:val="00526B16"/>
    <w:rsid w:val="00526B7E"/>
    <w:rsid w:val="00526C15"/>
    <w:rsid w:val="00526C27"/>
    <w:rsid w:val="00526DF9"/>
    <w:rsid w:val="0052703D"/>
    <w:rsid w:val="00527207"/>
    <w:rsid w:val="005272A2"/>
    <w:rsid w:val="0052749F"/>
    <w:rsid w:val="00527772"/>
    <w:rsid w:val="00527B18"/>
    <w:rsid w:val="00527D86"/>
    <w:rsid w:val="00527E68"/>
    <w:rsid w:val="00527EA9"/>
    <w:rsid w:val="00527F3E"/>
    <w:rsid w:val="00530313"/>
    <w:rsid w:val="00530342"/>
    <w:rsid w:val="005304F5"/>
    <w:rsid w:val="00530522"/>
    <w:rsid w:val="00530547"/>
    <w:rsid w:val="00530590"/>
    <w:rsid w:val="0053062E"/>
    <w:rsid w:val="005307E4"/>
    <w:rsid w:val="005307F7"/>
    <w:rsid w:val="005307FB"/>
    <w:rsid w:val="00530800"/>
    <w:rsid w:val="00530976"/>
    <w:rsid w:val="005309AF"/>
    <w:rsid w:val="00530A08"/>
    <w:rsid w:val="00530C7A"/>
    <w:rsid w:val="00530CA1"/>
    <w:rsid w:val="00530E85"/>
    <w:rsid w:val="005310F2"/>
    <w:rsid w:val="005312DC"/>
    <w:rsid w:val="00531328"/>
    <w:rsid w:val="0053144C"/>
    <w:rsid w:val="0053151E"/>
    <w:rsid w:val="0053165C"/>
    <w:rsid w:val="0053166F"/>
    <w:rsid w:val="005316C0"/>
    <w:rsid w:val="005318B0"/>
    <w:rsid w:val="00531929"/>
    <w:rsid w:val="00531960"/>
    <w:rsid w:val="00531977"/>
    <w:rsid w:val="005319E5"/>
    <w:rsid w:val="00531ACC"/>
    <w:rsid w:val="00531AEA"/>
    <w:rsid w:val="00531B25"/>
    <w:rsid w:val="00531C1B"/>
    <w:rsid w:val="00531C37"/>
    <w:rsid w:val="00531D4D"/>
    <w:rsid w:val="00531D80"/>
    <w:rsid w:val="00531F3D"/>
    <w:rsid w:val="00531FF4"/>
    <w:rsid w:val="00532053"/>
    <w:rsid w:val="0053209D"/>
    <w:rsid w:val="0053215B"/>
    <w:rsid w:val="00532423"/>
    <w:rsid w:val="005324D2"/>
    <w:rsid w:val="00532503"/>
    <w:rsid w:val="00532633"/>
    <w:rsid w:val="00532655"/>
    <w:rsid w:val="005326E7"/>
    <w:rsid w:val="0053273D"/>
    <w:rsid w:val="0053274E"/>
    <w:rsid w:val="00532780"/>
    <w:rsid w:val="00532791"/>
    <w:rsid w:val="005328CC"/>
    <w:rsid w:val="0053295C"/>
    <w:rsid w:val="00532A1A"/>
    <w:rsid w:val="00532A7A"/>
    <w:rsid w:val="00532B66"/>
    <w:rsid w:val="00532C2E"/>
    <w:rsid w:val="00532E69"/>
    <w:rsid w:val="00532F38"/>
    <w:rsid w:val="00533003"/>
    <w:rsid w:val="00533018"/>
    <w:rsid w:val="0053304B"/>
    <w:rsid w:val="00533144"/>
    <w:rsid w:val="0053316B"/>
    <w:rsid w:val="00533341"/>
    <w:rsid w:val="00533456"/>
    <w:rsid w:val="0053345C"/>
    <w:rsid w:val="00533463"/>
    <w:rsid w:val="005334D3"/>
    <w:rsid w:val="005334ED"/>
    <w:rsid w:val="005335FA"/>
    <w:rsid w:val="005335FF"/>
    <w:rsid w:val="0053366A"/>
    <w:rsid w:val="0053366D"/>
    <w:rsid w:val="00533679"/>
    <w:rsid w:val="00533790"/>
    <w:rsid w:val="0053385C"/>
    <w:rsid w:val="005338C7"/>
    <w:rsid w:val="00533A69"/>
    <w:rsid w:val="00533A71"/>
    <w:rsid w:val="00533B1A"/>
    <w:rsid w:val="00533BDB"/>
    <w:rsid w:val="00533C20"/>
    <w:rsid w:val="00533D96"/>
    <w:rsid w:val="00533F18"/>
    <w:rsid w:val="00533F3E"/>
    <w:rsid w:val="00533FBD"/>
    <w:rsid w:val="00533FC7"/>
    <w:rsid w:val="00533FED"/>
    <w:rsid w:val="005340AE"/>
    <w:rsid w:val="0053412F"/>
    <w:rsid w:val="00534189"/>
    <w:rsid w:val="0053420B"/>
    <w:rsid w:val="0053425E"/>
    <w:rsid w:val="00534285"/>
    <w:rsid w:val="005342DA"/>
    <w:rsid w:val="005342F0"/>
    <w:rsid w:val="00534494"/>
    <w:rsid w:val="00534496"/>
    <w:rsid w:val="0053464F"/>
    <w:rsid w:val="00534834"/>
    <w:rsid w:val="00534836"/>
    <w:rsid w:val="005348C6"/>
    <w:rsid w:val="00534922"/>
    <w:rsid w:val="00534A10"/>
    <w:rsid w:val="00534A4F"/>
    <w:rsid w:val="00534C48"/>
    <w:rsid w:val="00534E3B"/>
    <w:rsid w:val="00534E66"/>
    <w:rsid w:val="00534FBF"/>
    <w:rsid w:val="00535056"/>
    <w:rsid w:val="00535087"/>
    <w:rsid w:val="005351DE"/>
    <w:rsid w:val="005352E8"/>
    <w:rsid w:val="005353F9"/>
    <w:rsid w:val="005354F5"/>
    <w:rsid w:val="00535582"/>
    <w:rsid w:val="005355A8"/>
    <w:rsid w:val="005356BA"/>
    <w:rsid w:val="00535745"/>
    <w:rsid w:val="0053574E"/>
    <w:rsid w:val="00535753"/>
    <w:rsid w:val="00535768"/>
    <w:rsid w:val="0053582A"/>
    <w:rsid w:val="00535885"/>
    <w:rsid w:val="00535923"/>
    <w:rsid w:val="00535AD6"/>
    <w:rsid w:val="00535B8C"/>
    <w:rsid w:val="00535DFA"/>
    <w:rsid w:val="00536124"/>
    <w:rsid w:val="005361DC"/>
    <w:rsid w:val="00536238"/>
    <w:rsid w:val="005362DE"/>
    <w:rsid w:val="005363DA"/>
    <w:rsid w:val="005364C9"/>
    <w:rsid w:val="005366F9"/>
    <w:rsid w:val="00536768"/>
    <w:rsid w:val="00536776"/>
    <w:rsid w:val="005367F4"/>
    <w:rsid w:val="005368F3"/>
    <w:rsid w:val="0053691F"/>
    <w:rsid w:val="00536931"/>
    <w:rsid w:val="005369E0"/>
    <w:rsid w:val="00536A88"/>
    <w:rsid w:val="00536D57"/>
    <w:rsid w:val="00536DF7"/>
    <w:rsid w:val="00536FD9"/>
    <w:rsid w:val="00536FE3"/>
    <w:rsid w:val="00536FE9"/>
    <w:rsid w:val="005370B4"/>
    <w:rsid w:val="00537129"/>
    <w:rsid w:val="0053720D"/>
    <w:rsid w:val="005372C8"/>
    <w:rsid w:val="0053748C"/>
    <w:rsid w:val="005374F5"/>
    <w:rsid w:val="00537563"/>
    <w:rsid w:val="005375D2"/>
    <w:rsid w:val="0053762C"/>
    <w:rsid w:val="0053768C"/>
    <w:rsid w:val="005376B8"/>
    <w:rsid w:val="00537701"/>
    <w:rsid w:val="0053777C"/>
    <w:rsid w:val="00537909"/>
    <w:rsid w:val="00537B39"/>
    <w:rsid w:val="00537B9A"/>
    <w:rsid w:val="00537C35"/>
    <w:rsid w:val="00537C7F"/>
    <w:rsid w:val="00537DD5"/>
    <w:rsid w:val="00537FE2"/>
    <w:rsid w:val="00540024"/>
    <w:rsid w:val="00540178"/>
    <w:rsid w:val="005403A3"/>
    <w:rsid w:val="005403CF"/>
    <w:rsid w:val="00540501"/>
    <w:rsid w:val="005406B0"/>
    <w:rsid w:val="005406C2"/>
    <w:rsid w:val="00540744"/>
    <w:rsid w:val="005408BC"/>
    <w:rsid w:val="00540A82"/>
    <w:rsid w:val="00540A8E"/>
    <w:rsid w:val="00540B1F"/>
    <w:rsid w:val="00540BF5"/>
    <w:rsid w:val="00540CED"/>
    <w:rsid w:val="00540E87"/>
    <w:rsid w:val="00540E93"/>
    <w:rsid w:val="00540EA4"/>
    <w:rsid w:val="00540F31"/>
    <w:rsid w:val="00540FA2"/>
    <w:rsid w:val="0054125E"/>
    <w:rsid w:val="0054126A"/>
    <w:rsid w:val="00541272"/>
    <w:rsid w:val="005412A1"/>
    <w:rsid w:val="005412D6"/>
    <w:rsid w:val="005416D3"/>
    <w:rsid w:val="00541977"/>
    <w:rsid w:val="00541979"/>
    <w:rsid w:val="005419FE"/>
    <w:rsid w:val="00541AB5"/>
    <w:rsid w:val="00541B73"/>
    <w:rsid w:val="00541C86"/>
    <w:rsid w:val="00541D2B"/>
    <w:rsid w:val="00541DDF"/>
    <w:rsid w:val="00541EF5"/>
    <w:rsid w:val="00541FC4"/>
    <w:rsid w:val="005420DF"/>
    <w:rsid w:val="005420F9"/>
    <w:rsid w:val="00542153"/>
    <w:rsid w:val="00542190"/>
    <w:rsid w:val="00542307"/>
    <w:rsid w:val="00542322"/>
    <w:rsid w:val="00542424"/>
    <w:rsid w:val="00542428"/>
    <w:rsid w:val="00542668"/>
    <w:rsid w:val="0054276F"/>
    <w:rsid w:val="005427EE"/>
    <w:rsid w:val="00542993"/>
    <w:rsid w:val="005429A6"/>
    <w:rsid w:val="005429C9"/>
    <w:rsid w:val="00542ACF"/>
    <w:rsid w:val="00542B8B"/>
    <w:rsid w:val="00542C3C"/>
    <w:rsid w:val="00542C68"/>
    <w:rsid w:val="00542D1F"/>
    <w:rsid w:val="00542DAC"/>
    <w:rsid w:val="005430B4"/>
    <w:rsid w:val="0054316C"/>
    <w:rsid w:val="00543236"/>
    <w:rsid w:val="0054337D"/>
    <w:rsid w:val="005433B9"/>
    <w:rsid w:val="0054340F"/>
    <w:rsid w:val="00543414"/>
    <w:rsid w:val="00543474"/>
    <w:rsid w:val="00543548"/>
    <w:rsid w:val="005437E6"/>
    <w:rsid w:val="0054380D"/>
    <w:rsid w:val="00543949"/>
    <w:rsid w:val="0054395E"/>
    <w:rsid w:val="00543A07"/>
    <w:rsid w:val="00543A52"/>
    <w:rsid w:val="00543B20"/>
    <w:rsid w:val="00543DE4"/>
    <w:rsid w:val="00543E54"/>
    <w:rsid w:val="00543E58"/>
    <w:rsid w:val="00543EBF"/>
    <w:rsid w:val="00543F1B"/>
    <w:rsid w:val="00544123"/>
    <w:rsid w:val="0054425C"/>
    <w:rsid w:val="0054427A"/>
    <w:rsid w:val="005442C1"/>
    <w:rsid w:val="005444A1"/>
    <w:rsid w:val="00544521"/>
    <w:rsid w:val="00544567"/>
    <w:rsid w:val="0054456C"/>
    <w:rsid w:val="00544612"/>
    <w:rsid w:val="00544752"/>
    <w:rsid w:val="00544824"/>
    <w:rsid w:val="0054483D"/>
    <w:rsid w:val="00544974"/>
    <w:rsid w:val="005449F7"/>
    <w:rsid w:val="00544BCB"/>
    <w:rsid w:val="00544EED"/>
    <w:rsid w:val="00544F1E"/>
    <w:rsid w:val="00545037"/>
    <w:rsid w:val="00545319"/>
    <w:rsid w:val="00545486"/>
    <w:rsid w:val="00545647"/>
    <w:rsid w:val="005456F3"/>
    <w:rsid w:val="00545703"/>
    <w:rsid w:val="005457AE"/>
    <w:rsid w:val="00545953"/>
    <w:rsid w:val="00545A08"/>
    <w:rsid w:val="00545C1A"/>
    <w:rsid w:val="00545C23"/>
    <w:rsid w:val="00545E94"/>
    <w:rsid w:val="00545EAB"/>
    <w:rsid w:val="00546016"/>
    <w:rsid w:val="005460CA"/>
    <w:rsid w:val="005461E4"/>
    <w:rsid w:val="00546404"/>
    <w:rsid w:val="00546408"/>
    <w:rsid w:val="0054655D"/>
    <w:rsid w:val="005466EB"/>
    <w:rsid w:val="0054675A"/>
    <w:rsid w:val="005467BA"/>
    <w:rsid w:val="005468E0"/>
    <w:rsid w:val="0054693A"/>
    <w:rsid w:val="00546944"/>
    <w:rsid w:val="005469B1"/>
    <w:rsid w:val="00546B21"/>
    <w:rsid w:val="00546BF9"/>
    <w:rsid w:val="00546CAB"/>
    <w:rsid w:val="00546D07"/>
    <w:rsid w:val="00546DD4"/>
    <w:rsid w:val="00546E2A"/>
    <w:rsid w:val="005470DA"/>
    <w:rsid w:val="00547192"/>
    <w:rsid w:val="00547420"/>
    <w:rsid w:val="00547440"/>
    <w:rsid w:val="0054744E"/>
    <w:rsid w:val="0054768A"/>
    <w:rsid w:val="005476B7"/>
    <w:rsid w:val="00547799"/>
    <w:rsid w:val="005478CC"/>
    <w:rsid w:val="005479DE"/>
    <w:rsid w:val="00547A8A"/>
    <w:rsid w:val="00547AF2"/>
    <w:rsid w:val="00547C57"/>
    <w:rsid w:val="00547CC6"/>
    <w:rsid w:val="00547D84"/>
    <w:rsid w:val="00547F24"/>
    <w:rsid w:val="005501D8"/>
    <w:rsid w:val="00550219"/>
    <w:rsid w:val="005502AA"/>
    <w:rsid w:val="005502B3"/>
    <w:rsid w:val="00550492"/>
    <w:rsid w:val="005504C1"/>
    <w:rsid w:val="005504D3"/>
    <w:rsid w:val="00550579"/>
    <w:rsid w:val="005505B3"/>
    <w:rsid w:val="005506CA"/>
    <w:rsid w:val="005507C9"/>
    <w:rsid w:val="0055088C"/>
    <w:rsid w:val="005508B3"/>
    <w:rsid w:val="00550A34"/>
    <w:rsid w:val="00550ACA"/>
    <w:rsid w:val="00550B4C"/>
    <w:rsid w:val="00550C54"/>
    <w:rsid w:val="00550C8D"/>
    <w:rsid w:val="00550D48"/>
    <w:rsid w:val="00550E2B"/>
    <w:rsid w:val="00551055"/>
    <w:rsid w:val="005511BB"/>
    <w:rsid w:val="00551447"/>
    <w:rsid w:val="0055153C"/>
    <w:rsid w:val="00551834"/>
    <w:rsid w:val="00551961"/>
    <w:rsid w:val="00551A89"/>
    <w:rsid w:val="00551C65"/>
    <w:rsid w:val="00551EE1"/>
    <w:rsid w:val="00551F6C"/>
    <w:rsid w:val="00551FEA"/>
    <w:rsid w:val="00552215"/>
    <w:rsid w:val="00552517"/>
    <w:rsid w:val="00552634"/>
    <w:rsid w:val="005527C7"/>
    <w:rsid w:val="00552917"/>
    <w:rsid w:val="00552994"/>
    <w:rsid w:val="00552A45"/>
    <w:rsid w:val="00552D51"/>
    <w:rsid w:val="00552DBC"/>
    <w:rsid w:val="00552E19"/>
    <w:rsid w:val="00552EDC"/>
    <w:rsid w:val="00552F02"/>
    <w:rsid w:val="00552F50"/>
    <w:rsid w:val="00553048"/>
    <w:rsid w:val="00553071"/>
    <w:rsid w:val="00553138"/>
    <w:rsid w:val="005531CD"/>
    <w:rsid w:val="0055320E"/>
    <w:rsid w:val="00553358"/>
    <w:rsid w:val="00553361"/>
    <w:rsid w:val="005534AE"/>
    <w:rsid w:val="005535DC"/>
    <w:rsid w:val="0055360E"/>
    <w:rsid w:val="00553654"/>
    <w:rsid w:val="00553764"/>
    <w:rsid w:val="005537E7"/>
    <w:rsid w:val="00553A14"/>
    <w:rsid w:val="00553A18"/>
    <w:rsid w:val="00553AFA"/>
    <w:rsid w:val="00553BAC"/>
    <w:rsid w:val="00553C67"/>
    <w:rsid w:val="00553CF4"/>
    <w:rsid w:val="00553D91"/>
    <w:rsid w:val="00553E92"/>
    <w:rsid w:val="00553F04"/>
    <w:rsid w:val="00553F45"/>
    <w:rsid w:val="00553F4A"/>
    <w:rsid w:val="00553FB6"/>
    <w:rsid w:val="005540D9"/>
    <w:rsid w:val="00554143"/>
    <w:rsid w:val="005541DA"/>
    <w:rsid w:val="0055423E"/>
    <w:rsid w:val="0055444A"/>
    <w:rsid w:val="00554538"/>
    <w:rsid w:val="005545AA"/>
    <w:rsid w:val="00554607"/>
    <w:rsid w:val="005547FF"/>
    <w:rsid w:val="005549A0"/>
    <w:rsid w:val="005549E3"/>
    <w:rsid w:val="00554B09"/>
    <w:rsid w:val="00554B80"/>
    <w:rsid w:val="00554CB4"/>
    <w:rsid w:val="00554D6E"/>
    <w:rsid w:val="00554DCE"/>
    <w:rsid w:val="00554DE0"/>
    <w:rsid w:val="00554E54"/>
    <w:rsid w:val="00554EE6"/>
    <w:rsid w:val="00554FCF"/>
    <w:rsid w:val="00554FED"/>
    <w:rsid w:val="00555074"/>
    <w:rsid w:val="0055512A"/>
    <w:rsid w:val="00555198"/>
    <w:rsid w:val="005551BD"/>
    <w:rsid w:val="005551E6"/>
    <w:rsid w:val="00555205"/>
    <w:rsid w:val="0055550F"/>
    <w:rsid w:val="00555577"/>
    <w:rsid w:val="005556C6"/>
    <w:rsid w:val="00555857"/>
    <w:rsid w:val="00555AB7"/>
    <w:rsid w:val="00555B41"/>
    <w:rsid w:val="00555BE1"/>
    <w:rsid w:val="00555C53"/>
    <w:rsid w:val="00555E70"/>
    <w:rsid w:val="00555F2D"/>
    <w:rsid w:val="0055611C"/>
    <w:rsid w:val="00556160"/>
    <w:rsid w:val="005561F6"/>
    <w:rsid w:val="00556229"/>
    <w:rsid w:val="005564D7"/>
    <w:rsid w:val="00556533"/>
    <w:rsid w:val="00556614"/>
    <w:rsid w:val="005567A4"/>
    <w:rsid w:val="0055697D"/>
    <w:rsid w:val="00556CB3"/>
    <w:rsid w:val="00556D9B"/>
    <w:rsid w:val="00556DC0"/>
    <w:rsid w:val="00556EFC"/>
    <w:rsid w:val="00556FC6"/>
    <w:rsid w:val="00557020"/>
    <w:rsid w:val="0055710B"/>
    <w:rsid w:val="00557188"/>
    <w:rsid w:val="0055723D"/>
    <w:rsid w:val="005572CF"/>
    <w:rsid w:val="00557426"/>
    <w:rsid w:val="0055743B"/>
    <w:rsid w:val="00557470"/>
    <w:rsid w:val="005574A4"/>
    <w:rsid w:val="005574F0"/>
    <w:rsid w:val="005575CF"/>
    <w:rsid w:val="00557686"/>
    <w:rsid w:val="005578CB"/>
    <w:rsid w:val="00557916"/>
    <w:rsid w:val="0055798A"/>
    <w:rsid w:val="00557A40"/>
    <w:rsid w:val="00557CAF"/>
    <w:rsid w:val="00557CC2"/>
    <w:rsid w:val="00557EAB"/>
    <w:rsid w:val="00557EC8"/>
    <w:rsid w:val="00557F9A"/>
    <w:rsid w:val="00560516"/>
    <w:rsid w:val="00560748"/>
    <w:rsid w:val="0056087A"/>
    <w:rsid w:val="00560B5D"/>
    <w:rsid w:val="00560B86"/>
    <w:rsid w:val="00560B89"/>
    <w:rsid w:val="00560C61"/>
    <w:rsid w:val="00560D77"/>
    <w:rsid w:val="00560E0F"/>
    <w:rsid w:val="00560E13"/>
    <w:rsid w:val="00560E67"/>
    <w:rsid w:val="00560E73"/>
    <w:rsid w:val="00560F02"/>
    <w:rsid w:val="005610D6"/>
    <w:rsid w:val="00561167"/>
    <w:rsid w:val="0056118F"/>
    <w:rsid w:val="00561267"/>
    <w:rsid w:val="005612E4"/>
    <w:rsid w:val="0056136F"/>
    <w:rsid w:val="00561440"/>
    <w:rsid w:val="005614C7"/>
    <w:rsid w:val="00561581"/>
    <w:rsid w:val="0056161C"/>
    <w:rsid w:val="00561696"/>
    <w:rsid w:val="0056184A"/>
    <w:rsid w:val="00561851"/>
    <w:rsid w:val="0056192F"/>
    <w:rsid w:val="00561ABE"/>
    <w:rsid w:val="00561BDB"/>
    <w:rsid w:val="00561C39"/>
    <w:rsid w:val="00561C8C"/>
    <w:rsid w:val="00561CF5"/>
    <w:rsid w:val="00561D06"/>
    <w:rsid w:val="00561D2F"/>
    <w:rsid w:val="00561E51"/>
    <w:rsid w:val="00561F86"/>
    <w:rsid w:val="00561F8C"/>
    <w:rsid w:val="005620EA"/>
    <w:rsid w:val="005621B1"/>
    <w:rsid w:val="00562241"/>
    <w:rsid w:val="00562296"/>
    <w:rsid w:val="005622B6"/>
    <w:rsid w:val="0056236B"/>
    <w:rsid w:val="005624A1"/>
    <w:rsid w:val="005624C3"/>
    <w:rsid w:val="0056254E"/>
    <w:rsid w:val="005625C3"/>
    <w:rsid w:val="00562641"/>
    <w:rsid w:val="005626E1"/>
    <w:rsid w:val="00562759"/>
    <w:rsid w:val="00562885"/>
    <w:rsid w:val="00562B42"/>
    <w:rsid w:val="00562BDA"/>
    <w:rsid w:val="00562C67"/>
    <w:rsid w:val="00562C73"/>
    <w:rsid w:val="00562D0B"/>
    <w:rsid w:val="00562E09"/>
    <w:rsid w:val="00562F38"/>
    <w:rsid w:val="005630E8"/>
    <w:rsid w:val="00563142"/>
    <w:rsid w:val="00563424"/>
    <w:rsid w:val="005634E6"/>
    <w:rsid w:val="00563976"/>
    <w:rsid w:val="005639A7"/>
    <w:rsid w:val="00563A59"/>
    <w:rsid w:val="00563BDA"/>
    <w:rsid w:val="00563C7E"/>
    <w:rsid w:val="00563D27"/>
    <w:rsid w:val="00563DB5"/>
    <w:rsid w:val="00563DC2"/>
    <w:rsid w:val="00563EB6"/>
    <w:rsid w:val="00563F38"/>
    <w:rsid w:val="00563F63"/>
    <w:rsid w:val="0056403C"/>
    <w:rsid w:val="00564224"/>
    <w:rsid w:val="0056422E"/>
    <w:rsid w:val="00564236"/>
    <w:rsid w:val="0056426D"/>
    <w:rsid w:val="00564282"/>
    <w:rsid w:val="00564296"/>
    <w:rsid w:val="005642D5"/>
    <w:rsid w:val="00564337"/>
    <w:rsid w:val="0056447B"/>
    <w:rsid w:val="0056449A"/>
    <w:rsid w:val="00564574"/>
    <w:rsid w:val="00564577"/>
    <w:rsid w:val="005645E8"/>
    <w:rsid w:val="0056469F"/>
    <w:rsid w:val="005648B9"/>
    <w:rsid w:val="005648EA"/>
    <w:rsid w:val="00564A7A"/>
    <w:rsid w:val="00564E2C"/>
    <w:rsid w:val="00564F96"/>
    <w:rsid w:val="005650EA"/>
    <w:rsid w:val="0056511B"/>
    <w:rsid w:val="0056518D"/>
    <w:rsid w:val="005653DD"/>
    <w:rsid w:val="0056540A"/>
    <w:rsid w:val="00565565"/>
    <w:rsid w:val="00565647"/>
    <w:rsid w:val="00565732"/>
    <w:rsid w:val="00565760"/>
    <w:rsid w:val="00565849"/>
    <w:rsid w:val="0056587F"/>
    <w:rsid w:val="005658BB"/>
    <w:rsid w:val="005658BE"/>
    <w:rsid w:val="00565945"/>
    <w:rsid w:val="00565A51"/>
    <w:rsid w:val="00565A83"/>
    <w:rsid w:val="00565AF0"/>
    <w:rsid w:val="00565CA0"/>
    <w:rsid w:val="00565CDA"/>
    <w:rsid w:val="00565EC9"/>
    <w:rsid w:val="00566003"/>
    <w:rsid w:val="00566061"/>
    <w:rsid w:val="00566120"/>
    <w:rsid w:val="005662B1"/>
    <w:rsid w:val="0056633B"/>
    <w:rsid w:val="00566637"/>
    <w:rsid w:val="005668BE"/>
    <w:rsid w:val="00566941"/>
    <w:rsid w:val="00566A38"/>
    <w:rsid w:val="00566A55"/>
    <w:rsid w:val="00566B29"/>
    <w:rsid w:val="00566E87"/>
    <w:rsid w:val="00566F25"/>
    <w:rsid w:val="005671BA"/>
    <w:rsid w:val="005672BB"/>
    <w:rsid w:val="005672C2"/>
    <w:rsid w:val="00567329"/>
    <w:rsid w:val="0056738E"/>
    <w:rsid w:val="005673F0"/>
    <w:rsid w:val="005673FE"/>
    <w:rsid w:val="0056742B"/>
    <w:rsid w:val="00567542"/>
    <w:rsid w:val="00567573"/>
    <w:rsid w:val="005675A3"/>
    <w:rsid w:val="00567614"/>
    <w:rsid w:val="0056773E"/>
    <w:rsid w:val="0056796E"/>
    <w:rsid w:val="00567A99"/>
    <w:rsid w:val="00567AE0"/>
    <w:rsid w:val="00567C3C"/>
    <w:rsid w:val="00567CE7"/>
    <w:rsid w:val="00567DF6"/>
    <w:rsid w:val="00567E7F"/>
    <w:rsid w:val="00567EE2"/>
    <w:rsid w:val="00567FD6"/>
    <w:rsid w:val="00570028"/>
    <w:rsid w:val="00570046"/>
    <w:rsid w:val="005700E1"/>
    <w:rsid w:val="00570100"/>
    <w:rsid w:val="005702C2"/>
    <w:rsid w:val="005703E5"/>
    <w:rsid w:val="00570451"/>
    <w:rsid w:val="005705FD"/>
    <w:rsid w:val="00570611"/>
    <w:rsid w:val="00570685"/>
    <w:rsid w:val="00570703"/>
    <w:rsid w:val="00570AC6"/>
    <w:rsid w:val="00570ACE"/>
    <w:rsid w:val="00570B23"/>
    <w:rsid w:val="00570CFE"/>
    <w:rsid w:val="0057117B"/>
    <w:rsid w:val="00571184"/>
    <w:rsid w:val="00571532"/>
    <w:rsid w:val="00571576"/>
    <w:rsid w:val="0057163F"/>
    <w:rsid w:val="005716E9"/>
    <w:rsid w:val="0057180B"/>
    <w:rsid w:val="005718FF"/>
    <w:rsid w:val="00571956"/>
    <w:rsid w:val="0057199E"/>
    <w:rsid w:val="00571A59"/>
    <w:rsid w:val="00571C44"/>
    <w:rsid w:val="00571C9D"/>
    <w:rsid w:val="00571F2A"/>
    <w:rsid w:val="0057202C"/>
    <w:rsid w:val="00572367"/>
    <w:rsid w:val="005723C7"/>
    <w:rsid w:val="005724F9"/>
    <w:rsid w:val="005726EB"/>
    <w:rsid w:val="0057279B"/>
    <w:rsid w:val="005727B8"/>
    <w:rsid w:val="00572832"/>
    <w:rsid w:val="005728D1"/>
    <w:rsid w:val="00572B7D"/>
    <w:rsid w:val="00572BB3"/>
    <w:rsid w:val="00572CE2"/>
    <w:rsid w:val="00572D00"/>
    <w:rsid w:val="00572D66"/>
    <w:rsid w:val="00572F89"/>
    <w:rsid w:val="0057305A"/>
    <w:rsid w:val="005730F8"/>
    <w:rsid w:val="0057324A"/>
    <w:rsid w:val="0057326C"/>
    <w:rsid w:val="00573288"/>
    <w:rsid w:val="005732A9"/>
    <w:rsid w:val="00573464"/>
    <w:rsid w:val="005735E6"/>
    <w:rsid w:val="0057386A"/>
    <w:rsid w:val="0057390B"/>
    <w:rsid w:val="00573968"/>
    <w:rsid w:val="00573A67"/>
    <w:rsid w:val="00573A83"/>
    <w:rsid w:val="00573BB6"/>
    <w:rsid w:val="00573C18"/>
    <w:rsid w:val="00573E84"/>
    <w:rsid w:val="00573E85"/>
    <w:rsid w:val="00573ED2"/>
    <w:rsid w:val="00573EFA"/>
    <w:rsid w:val="00574048"/>
    <w:rsid w:val="00574194"/>
    <w:rsid w:val="005741C6"/>
    <w:rsid w:val="005742A2"/>
    <w:rsid w:val="0057432B"/>
    <w:rsid w:val="0057438B"/>
    <w:rsid w:val="00574448"/>
    <w:rsid w:val="005744C8"/>
    <w:rsid w:val="00574654"/>
    <w:rsid w:val="00574958"/>
    <w:rsid w:val="005749C5"/>
    <w:rsid w:val="005749C9"/>
    <w:rsid w:val="00574A1A"/>
    <w:rsid w:val="00574A32"/>
    <w:rsid w:val="00574A84"/>
    <w:rsid w:val="00574ABD"/>
    <w:rsid w:val="00574B03"/>
    <w:rsid w:val="00574B0D"/>
    <w:rsid w:val="00574B4C"/>
    <w:rsid w:val="00574BA0"/>
    <w:rsid w:val="00574C2A"/>
    <w:rsid w:val="00574DA8"/>
    <w:rsid w:val="00574DBC"/>
    <w:rsid w:val="00574DD9"/>
    <w:rsid w:val="00574E5F"/>
    <w:rsid w:val="00574F51"/>
    <w:rsid w:val="00574F6E"/>
    <w:rsid w:val="00575034"/>
    <w:rsid w:val="00575075"/>
    <w:rsid w:val="005750AC"/>
    <w:rsid w:val="0057510D"/>
    <w:rsid w:val="005751C4"/>
    <w:rsid w:val="0057527D"/>
    <w:rsid w:val="0057529C"/>
    <w:rsid w:val="00575472"/>
    <w:rsid w:val="00575560"/>
    <w:rsid w:val="00575698"/>
    <w:rsid w:val="005757A5"/>
    <w:rsid w:val="005757B7"/>
    <w:rsid w:val="00575A57"/>
    <w:rsid w:val="00575A69"/>
    <w:rsid w:val="00575BE0"/>
    <w:rsid w:val="00575C00"/>
    <w:rsid w:val="00575C25"/>
    <w:rsid w:val="00575CB5"/>
    <w:rsid w:val="00575CC5"/>
    <w:rsid w:val="00575D49"/>
    <w:rsid w:val="00575FDF"/>
    <w:rsid w:val="00576034"/>
    <w:rsid w:val="0057610E"/>
    <w:rsid w:val="00576467"/>
    <w:rsid w:val="0057647F"/>
    <w:rsid w:val="005764BE"/>
    <w:rsid w:val="00576559"/>
    <w:rsid w:val="00576663"/>
    <w:rsid w:val="005766CE"/>
    <w:rsid w:val="00576714"/>
    <w:rsid w:val="0057675A"/>
    <w:rsid w:val="00576840"/>
    <w:rsid w:val="00576889"/>
    <w:rsid w:val="005768CA"/>
    <w:rsid w:val="00576A1F"/>
    <w:rsid w:val="00576A3B"/>
    <w:rsid w:val="00576A71"/>
    <w:rsid w:val="00576A95"/>
    <w:rsid w:val="00576AB5"/>
    <w:rsid w:val="00576AD2"/>
    <w:rsid w:val="00576B0C"/>
    <w:rsid w:val="00576BFC"/>
    <w:rsid w:val="00576C4B"/>
    <w:rsid w:val="00576D79"/>
    <w:rsid w:val="00576E8F"/>
    <w:rsid w:val="00576E9F"/>
    <w:rsid w:val="00576F6E"/>
    <w:rsid w:val="00577048"/>
    <w:rsid w:val="0057707F"/>
    <w:rsid w:val="0057709B"/>
    <w:rsid w:val="005770E5"/>
    <w:rsid w:val="0057723D"/>
    <w:rsid w:val="00577240"/>
    <w:rsid w:val="0057730C"/>
    <w:rsid w:val="00577323"/>
    <w:rsid w:val="0057783B"/>
    <w:rsid w:val="005778D0"/>
    <w:rsid w:val="0057796D"/>
    <w:rsid w:val="005779FF"/>
    <w:rsid w:val="00577A9C"/>
    <w:rsid w:val="00577B13"/>
    <w:rsid w:val="00577B3D"/>
    <w:rsid w:val="00577C7B"/>
    <w:rsid w:val="00577D1D"/>
    <w:rsid w:val="00577D59"/>
    <w:rsid w:val="00577D6D"/>
    <w:rsid w:val="00577DBD"/>
    <w:rsid w:val="00577DDB"/>
    <w:rsid w:val="00577E40"/>
    <w:rsid w:val="00577F82"/>
    <w:rsid w:val="00580138"/>
    <w:rsid w:val="0058033E"/>
    <w:rsid w:val="00580430"/>
    <w:rsid w:val="00580510"/>
    <w:rsid w:val="005805C9"/>
    <w:rsid w:val="0058066F"/>
    <w:rsid w:val="00580736"/>
    <w:rsid w:val="005808A4"/>
    <w:rsid w:val="00580908"/>
    <w:rsid w:val="00580929"/>
    <w:rsid w:val="0058099C"/>
    <w:rsid w:val="00580A41"/>
    <w:rsid w:val="00580A88"/>
    <w:rsid w:val="00580BAD"/>
    <w:rsid w:val="00580C19"/>
    <w:rsid w:val="00580D00"/>
    <w:rsid w:val="00580FC3"/>
    <w:rsid w:val="00581008"/>
    <w:rsid w:val="00581067"/>
    <w:rsid w:val="00581077"/>
    <w:rsid w:val="005812BC"/>
    <w:rsid w:val="00581348"/>
    <w:rsid w:val="005813EF"/>
    <w:rsid w:val="005815A6"/>
    <w:rsid w:val="005816E2"/>
    <w:rsid w:val="00581857"/>
    <w:rsid w:val="005818F9"/>
    <w:rsid w:val="0058191D"/>
    <w:rsid w:val="005819F2"/>
    <w:rsid w:val="005819F5"/>
    <w:rsid w:val="00581BCC"/>
    <w:rsid w:val="00581BDC"/>
    <w:rsid w:val="00581C82"/>
    <w:rsid w:val="00581D36"/>
    <w:rsid w:val="00581D45"/>
    <w:rsid w:val="00581E62"/>
    <w:rsid w:val="00581EED"/>
    <w:rsid w:val="00582108"/>
    <w:rsid w:val="005821FB"/>
    <w:rsid w:val="00582335"/>
    <w:rsid w:val="005823A7"/>
    <w:rsid w:val="005825F3"/>
    <w:rsid w:val="0058264B"/>
    <w:rsid w:val="00582860"/>
    <w:rsid w:val="005828C8"/>
    <w:rsid w:val="005829AD"/>
    <w:rsid w:val="00582ADC"/>
    <w:rsid w:val="00582B82"/>
    <w:rsid w:val="00582C5F"/>
    <w:rsid w:val="00582C7D"/>
    <w:rsid w:val="00582DAA"/>
    <w:rsid w:val="00582DC0"/>
    <w:rsid w:val="00582F18"/>
    <w:rsid w:val="00582FDE"/>
    <w:rsid w:val="005830AC"/>
    <w:rsid w:val="0058313D"/>
    <w:rsid w:val="0058316E"/>
    <w:rsid w:val="00583251"/>
    <w:rsid w:val="00583364"/>
    <w:rsid w:val="005834C1"/>
    <w:rsid w:val="00583543"/>
    <w:rsid w:val="00583649"/>
    <w:rsid w:val="005836D2"/>
    <w:rsid w:val="00583876"/>
    <w:rsid w:val="0058387D"/>
    <w:rsid w:val="005839C7"/>
    <w:rsid w:val="00583A19"/>
    <w:rsid w:val="00583A1E"/>
    <w:rsid w:val="00583A75"/>
    <w:rsid w:val="00583AA1"/>
    <w:rsid w:val="00583B30"/>
    <w:rsid w:val="00583C46"/>
    <w:rsid w:val="00583FD1"/>
    <w:rsid w:val="0058404E"/>
    <w:rsid w:val="005841F1"/>
    <w:rsid w:val="0058423A"/>
    <w:rsid w:val="00584452"/>
    <w:rsid w:val="0058448A"/>
    <w:rsid w:val="0058451A"/>
    <w:rsid w:val="00584613"/>
    <w:rsid w:val="0058468C"/>
    <w:rsid w:val="00584744"/>
    <w:rsid w:val="005847B5"/>
    <w:rsid w:val="005847C3"/>
    <w:rsid w:val="00584809"/>
    <w:rsid w:val="0058486B"/>
    <w:rsid w:val="005848E1"/>
    <w:rsid w:val="00584969"/>
    <w:rsid w:val="00584CA9"/>
    <w:rsid w:val="00584D2D"/>
    <w:rsid w:val="00584DA9"/>
    <w:rsid w:val="00584F8E"/>
    <w:rsid w:val="00585135"/>
    <w:rsid w:val="00585194"/>
    <w:rsid w:val="005852F9"/>
    <w:rsid w:val="00585335"/>
    <w:rsid w:val="00585344"/>
    <w:rsid w:val="005853C5"/>
    <w:rsid w:val="005854D8"/>
    <w:rsid w:val="0058575A"/>
    <w:rsid w:val="005857A2"/>
    <w:rsid w:val="00585815"/>
    <w:rsid w:val="005858AF"/>
    <w:rsid w:val="00585913"/>
    <w:rsid w:val="00585970"/>
    <w:rsid w:val="005859AD"/>
    <w:rsid w:val="00585A45"/>
    <w:rsid w:val="00585B86"/>
    <w:rsid w:val="00585CE8"/>
    <w:rsid w:val="00585DC1"/>
    <w:rsid w:val="00585E88"/>
    <w:rsid w:val="00585E92"/>
    <w:rsid w:val="00585F2E"/>
    <w:rsid w:val="0058610F"/>
    <w:rsid w:val="00586195"/>
    <w:rsid w:val="005863D2"/>
    <w:rsid w:val="005865F0"/>
    <w:rsid w:val="0058674D"/>
    <w:rsid w:val="0058682E"/>
    <w:rsid w:val="00586886"/>
    <w:rsid w:val="0058692F"/>
    <w:rsid w:val="00586960"/>
    <w:rsid w:val="005869D5"/>
    <w:rsid w:val="00586D1E"/>
    <w:rsid w:val="00586E9C"/>
    <w:rsid w:val="00586F61"/>
    <w:rsid w:val="00586F7A"/>
    <w:rsid w:val="00587041"/>
    <w:rsid w:val="00587275"/>
    <w:rsid w:val="005872B0"/>
    <w:rsid w:val="0058766F"/>
    <w:rsid w:val="00587859"/>
    <w:rsid w:val="005878B0"/>
    <w:rsid w:val="00587A16"/>
    <w:rsid w:val="00587C08"/>
    <w:rsid w:val="00587C61"/>
    <w:rsid w:val="00587D09"/>
    <w:rsid w:val="005900DC"/>
    <w:rsid w:val="00590217"/>
    <w:rsid w:val="0059021B"/>
    <w:rsid w:val="00590389"/>
    <w:rsid w:val="00590391"/>
    <w:rsid w:val="005903CA"/>
    <w:rsid w:val="005903D0"/>
    <w:rsid w:val="00590464"/>
    <w:rsid w:val="0059061E"/>
    <w:rsid w:val="00590723"/>
    <w:rsid w:val="005907FC"/>
    <w:rsid w:val="00590927"/>
    <w:rsid w:val="00590A76"/>
    <w:rsid w:val="00590B1D"/>
    <w:rsid w:val="00590B97"/>
    <w:rsid w:val="00590BBD"/>
    <w:rsid w:val="00590C4C"/>
    <w:rsid w:val="00590D2C"/>
    <w:rsid w:val="00590D43"/>
    <w:rsid w:val="00590DDF"/>
    <w:rsid w:val="00590DEB"/>
    <w:rsid w:val="00590EE5"/>
    <w:rsid w:val="00590EE8"/>
    <w:rsid w:val="00590F34"/>
    <w:rsid w:val="0059102A"/>
    <w:rsid w:val="0059123C"/>
    <w:rsid w:val="00591253"/>
    <w:rsid w:val="00591284"/>
    <w:rsid w:val="005914C7"/>
    <w:rsid w:val="00591513"/>
    <w:rsid w:val="005915DB"/>
    <w:rsid w:val="00591626"/>
    <w:rsid w:val="0059171C"/>
    <w:rsid w:val="005917B4"/>
    <w:rsid w:val="005917BA"/>
    <w:rsid w:val="005917D9"/>
    <w:rsid w:val="00591884"/>
    <w:rsid w:val="005918FC"/>
    <w:rsid w:val="0059192F"/>
    <w:rsid w:val="005919B1"/>
    <w:rsid w:val="005919C7"/>
    <w:rsid w:val="00591A84"/>
    <w:rsid w:val="00591ABF"/>
    <w:rsid w:val="00591B4C"/>
    <w:rsid w:val="00591F07"/>
    <w:rsid w:val="00591FAA"/>
    <w:rsid w:val="00591FD7"/>
    <w:rsid w:val="00592222"/>
    <w:rsid w:val="005922D5"/>
    <w:rsid w:val="0059231C"/>
    <w:rsid w:val="00592363"/>
    <w:rsid w:val="00592502"/>
    <w:rsid w:val="005926CD"/>
    <w:rsid w:val="00592745"/>
    <w:rsid w:val="005928D2"/>
    <w:rsid w:val="00592A7C"/>
    <w:rsid w:val="00592A83"/>
    <w:rsid w:val="00592BD1"/>
    <w:rsid w:val="00592CC2"/>
    <w:rsid w:val="00592DFB"/>
    <w:rsid w:val="00592E40"/>
    <w:rsid w:val="00592E88"/>
    <w:rsid w:val="00592FD8"/>
    <w:rsid w:val="005932DB"/>
    <w:rsid w:val="005933F9"/>
    <w:rsid w:val="0059340A"/>
    <w:rsid w:val="0059343F"/>
    <w:rsid w:val="00593451"/>
    <w:rsid w:val="005934C2"/>
    <w:rsid w:val="005934FF"/>
    <w:rsid w:val="00593568"/>
    <w:rsid w:val="0059366E"/>
    <w:rsid w:val="005937EB"/>
    <w:rsid w:val="005938B9"/>
    <w:rsid w:val="00593911"/>
    <w:rsid w:val="00593959"/>
    <w:rsid w:val="00593A78"/>
    <w:rsid w:val="00593EF0"/>
    <w:rsid w:val="00593EF8"/>
    <w:rsid w:val="00593F03"/>
    <w:rsid w:val="00593F12"/>
    <w:rsid w:val="0059401A"/>
    <w:rsid w:val="00594157"/>
    <w:rsid w:val="0059416E"/>
    <w:rsid w:val="00594235"/>
    <w:rsid w:val="005942B5"/>
    <w:rsid w:val="00594330"/>
    <w:rsid w:val="005943CA"/>
    <w:rsid w:val="00594590"/>
    <w:rsid w:val="005945E1"/>
    <w:rsid w:val="00594677"/>
    <w:rsid w:val="005946B7"/>
    <w:rsid w:val="005946BF"/>
    <w:rsid w:val="005946D6"/>
    <w:rsid w:val="0059478F"/>
    <w:rsid w:val="0059479A"/>
    <w:rsid w:val="005947AD"/>
    <w:rsid w:val="00594837"/>
    <w:rsid w:val="00594844"/>
    <w:rsid w:val="005949A8"/>
    <w:rsid w:val="00594AEF"/>
    <w:rsid w:val="00594F44"/>
    <w:rsid w:val="00594F5A"/>
    <w:rsid w:val="005950C6"/>
    <w:rsid w:val="0059514B"/>
    <w:rsid w:val="0059515F"/>
    <w:rsid w:val="005951DE"/>
    <w:rsid w:val="00595240"/>
    <w:rsid w:val="0059575D"/>
    <w:rsid w:val="00595780"/>
    <w:rsid w:val="0059580F"/>
    <w:rsid w:val="0059582A"/>
    <w:rsid w:val="00595D3C"/>
    <w:rsid w:val="00595EA3"/>
    <w:rsid w:val="00595EAA"/>
    <w:rsid w:val="00595EB8"/>
    <w:rsid w:val="00595ED3"/>
    <w:rsid w:val="00595FF0"/>
    <w:rsid w:val="005960FA"/>
    <w:rsid w:val="005960FB"/>
    <w:rsid w:val="00596133"/>
    <w:rsid w:val="005961A9"/>
    <w:rsid w:val="0059626E"/>
    <w:rsid w:val="005963A9"/>
    <w:rsid w:val="0059659D"/>
    <w:rsid w:val="005965DD"/>
    <w:rsid w:val="0059664D"/>
    <w:rsid w:val="005967CB"/>
    <w:rsid w:val="00596802"/>
    <w:rsid w:val="005969FE"/>
    <w:rsid w:val="00596B17"/>
    <w:rsid w:val="00596BD4"/>
    <w:rsid w:val="00596CA7"/>
    <w:rsid w:val="00596D09"/>
    <w:rsid w:val="00596DB0"/>
    <w:rsid w:val="00596E29"/>
    <w:rsid w:val="00596EAC"/>
    <w:rsid w:val="00596ED0"/>
    <w:rsid w:val="00596FB2"/>
    <w:rsid w:val="005970D0"/>
    <w:rsid w:val="00597173"/>
    <w:rsid w:val="00597236"/>
    <w:rsid w:val="0059725C"/>
    <w:rsid w:val="005972A0"/>
    <w:rsid w:val="005972AB"/>
    <w:rsid w:val="005972CE"/>
    <w:rsid w:val="005972EE"/>
    <w:rsid w:val="00597478"/>
    <w:rsid w:val="00597528"/>
    <w:rsid w:val="00597539"/>
    <w:rsid w:val="005975D6"/>
    <w:rsid w:val="00597688"/>
    <w:rsid w:val="005976AB"/>
    <w:rsid w:val="005979A6"/>
    <w:rsid w:val="00597A2B"/>
    <w:rsid w:val="00597AC2"/>
    <w:rsid w:val="00597E29"/>
    <w:rsid w:val="00597F12"/>
    <w:rsid w:val="005A01CA"/>
    <w:rsid w:val="005A02B8"/>
    <w:rsid w:val="005A02F2"/>
    <w:rsid w:val="005A0346"/>
    <w:rsid w:val="005A03A3"/>
    <w:rsid w:val="005A03C5"/>
    <w:rsid w:val="005A03CD"/>
    <w:rsid w:val="005A0436"/>
    <w:rsid w:val="005A060E"/>
    <w:rsid w:val="005A0774"/>
    <w:rsid w:val="005A0871"/>
    <w:rsid w:val="005A0883"/>
    <w:rsid w:val="005A0A9C"/>
    <w:rsid w:val="005A0CA7"/>
    <w:rsid w:val="005A0DF2"/>
    <w:rsid w:val="005A0DF9"/>
    <w:rsid w:val="005A135E"/>
    <w:rsid w:val="005A13D2"/>
    <w:rsid w:val="005A14DD"/>
    <w:rsid w:val="005A1539"/>
    <w:rsid w:val="005A156F"/>
    <w:rsid w:val="005A15CB"/>
    <w:rsid w:val="005A15FE"/>
    <w:rsid w:val="005A1647"/>
    <w:rsid w:val="005A1ACF"/>
    <w:rsid w:val="005A1BF2"/>
    <w:rsid w:val="005A1C29"/>
    <w:rsid w:val="005A1DBA"/>
    <w:rsid w:val="005A1E09"/>
    <w:rsid w:val="005A1EFB"/>
    <w:rsid w:val="005A2004"/>
    <w:rsid w:val="005A2129"/>
    <w:rsid w:val="005A22C7"/>
    <w:rsid w:val="005A2308"/>
    <w:rsid w:val="005A241E"/>
    <w:rsid w:val="005A25E2"/>
    <w:rsid w:val="005A2608"/>
    <w:rsid w:val="005A265C"/>
    <w:rsid w:val="005A26D1"/>
    <w:rsid w:val="005A2757"/>
    <w:rsid w:val="005A27EC"/>
    <w:rsid w:val="005A2992"/>
    <w:rsid w:val="005A29A2"/>
    <w:rsid w:val="005A2A12"/>
    <w:rsid w:val="005A2AC2"/>
    <w:rsid w:val="005A2E22"/>
    <w:rsid w:val="005A2E50"/>
    <w:rsid w:val="005A2E8C"/>
    <w:rsid w:val="005A2F30"/>
    <w:rsid w:val="005A3027"/>
    <w:rsid w:val="005A304C"/>
    <w:rsid w:val="005A3484"/>
    <w:rsid w:val="005A360A"/>
    <w:rsid w:val="005A37FB"/>
    <w:rsid w:val="005A388E"/>
    <w:rsid w:val="005A38BF"/>
    <w:rsid w:val="005A3A1A"/>
    <w:rsid w:val="005A3B98"/>
    <w:rsid w:val="005A3BC0"/>
    <w:rsid w:val="005A3C0E"/>
    <w:rsid w:val="005A3D3E"/>
    <w:rsid w:val="005A3D47"/>
    <w:rsid w:val="005A3D7B"/>
    <w:rsid w:val="005A3D87"/>
    <w:rsid w:val="005A3DDE"/>
    <w:rsid w:val="005A3E0D"/>
    <w:rsid w:val="005A3EAC"/>
    <w:rsid w:val="005A3F56"/>
    <w:rsid w:val="005A4028"/>
    <w:rsid w:val="005A4067"/>
    <w:rsid w:val="005A41FA"/>
    <w:rsid w:val="005A4355"/>
    <w:rsid w:val="005A4370"/>
    <w:rsid w:val="005A43EA"/>
    <w:rsid w:val="005A43FB"/>
    <w:rsid w:val="005A4486"/>
    <w:rsid w:val="005A44BA"/>
    <w:rsid w:val="005A44FA"/>
    <w:rsid w:val="005A4624"/>
    <w:rsid w:val="005A46C3"/>
    <w:rsid w:val="005A488D"/>
    <w:rsid w:val="005A491B"/>
    <w:rsid w:val="005A4978"/>
    <w:rsid w:val="005A49B7"/>
    <w:rsid w:val="005A4AD0"/>
    <w:rsid w:val="005A4BD1"/>
    <w:rsid w:val="005A4EBE"/>
    <w:rsid w:val="005A4F37"/>
    <w:rsid w:val="005A4F5C"/>
    <w:rsid w:val="005A4F86"/>
    <w:rsid w:val="005A5042"/>
    <w:rsid w:val="005A50DF"/>
    <w:rsid w:val="005A53BF"/>
    <w:rsid w:val="005A5418"/>
    <w:rsid w:val="005A554E"/>
    <w:rsid w:val="005A55D7"/>
    <w:rsid w:val="005A560F"/>
    <w:rsid w:val="005A5806"/>
    <w:rsid w:val="005A58D6"/>
    <w:rsid w:val="005A5951"/>
    <w:rsid w:val="005A59EB"/>
    <w:rsid w:val="005A5A64"/>
    <w:rsid w:val="005A5B57"/>
    <w:rsid w:val="005A5BE5"/>
    <w:rsid w:val="005A5CC1"/>
    <w:rsid w:val="005A5E51"/>
    <w:rsid w:val="005A5FEB"/>
    <w:rsid w:val="005A60AF"/>
    <w:rsid w:val="005A64A2"/>
    <w:rsid w:val="005A64F1"/>
    <w:rsid w:val="005A64F4"/>
    <w:rsid w:val="005A6545"/>
    <w:rsid w:val="005A666A"/>
    <w:rsid w:val="005A6749"/>
    <w:rsid w:val="005A67EE"/>
    <w:rsid w:val="005A6A32"/>
    <w:rsid w:val="005A6A65"/>
    <w:rsid w:val="005A6C65"/>
    <w:rsid w:val="005A6DAE"/>
    <w:rsid w:val="005A6DE6"/>
    <w:rsid w:val="005A7298"/>
    <w:rsid w:val="005A7311"/>
    <w:rsid w:val="005A75E9"/>
    <w:rsid w:val="005A75EE"/>
    <w:rsid w:val="005A766E"/>
    <w:rsid w:val="005A76AE"/>
    <w:rsid w:val="005A7797"/>
    <w:rsid w:val="005A77E8"/>
    <w:rsid w:val="005A77ED"/>
    <w:rsid w:val="005A788D"/>
    <w:rsid w:val="005A7B9D"/>
    <w:rsid w:val="005A7BA5"/>
    <w:rsid w:val="005A7D9D"/>
    <w:rsid w:val="005A7DA4"/>
    <w:rsid w:val="005A7DEF"/>
    <w:rsid w:val="005A7F12"/>
    <w:rsid w:val="005A7FC2"/>
    <w:rsid w:val="005B00FD"/>
    <w:rsid w:val="005B01BF"/>
    <w:rsid w:val="005B0308"/>
    <w:rsid w:val="005B04B9"/>
    <w:rsid w:val="005B0647"/>
    <w:rsid w:val="005B06B5"/>
    <w:rsid w:val="005B07A6"/>
    <w:rsid w:val="005B0875"/>
    <w:rsid w:val="005B0A47"/>
    <w:rsid w:val="005B0BD1"/>
    <w:rsid w:val="005B0C04"/>
    <w:rsid w:val="005B0D08"/>
    <w:rsid w:val="005B0DDD"/>
    <w:rsid w:val="005B0E95"/>
    <w:rsid w:val="005B0ECE"/>
    <w:rsid w:val="005B0F6E"/>
    <w:rsid w:val="005B1029"/>
    <w:rsid w:val="005B10DE"/>
    <w:rsid w:val="005B118C"/>
    <w:rsid w:val="005B11DD"/>
    <w:rsid w:val="005B1410"/>
    <w:rsid w:val="005B15B4"/>
    <w:rsid w:val="005B1686"/>
    <w:rsid w:val="005B16B1"/>
    <w:rsid w:val="005B17E4"/>
    <w:rsid w:val="005B1893"/>
    <w:rsid w:val="005B199E"/>
    <w:rsid w:val="005B19AC"/>
    <w:rsid w:val="005B1A17"/>
    <w:rsid w:val="005B1A4B"/>
    <w:rsid w:val="005B1AE3"/>
    <w:rsid w:val="005B1BE0"/>
    <w:rsid w:val="005B1C8F"/>
    <w:rsid w:val="005B1CA3"/>
    <w:rsid w:val="005B1D08"/>
    <w:rsid w:val="005B1EB5"/>
    <w:rsid w:val="005B1F83"/>
    <w:rsid w:val="005B2022"/>
    <w:rsid w:val="005B2128"/>
    <w:rsid w:val="005B2129"/>
    <w:rsid w:val="005B2403"/>
    <w:rsid w:val="005B2499"/>
    <w:rsid w:val="005B2715"/>
    <w:rsid w:val="005B27B4"/>
    <w:rsid w:val="005B29C3"/>
    <w:rsid w:val="005B29C4"/>
    <w:rsid w:val="005B29FD"/>
    <w:rsid w:val="005B2B52"/>
    <w:rsid w:val="005B2BAA"/>
    <w:rsid w:val="005B2C5D"/>
    <w:rsid w:val="005B2D1E"/>
    <w:rsid w:val="005B2D37"/>
    <w:rsid w:val="005B2DA3"/>
    <w:rsid w:val="005B2E1A"/>
    <w:rsid w:val="005B2EA4"/>
    <w:rsid w:val="005B2FBA"/>
    <w:rsid w:val="005B3065"/>
    <w:rsid w:val="005B3105"/>
    <w:rsid w:val="005B3119"/>
    <w:rsid w:val="005B31B2"/>
    <w:rsid w:val="005B33C4"/>
    <w:rsid w:val="005B3430"/>
    <w:rsid w:val="005B35E6"/>
    <w:rsid w:val="005B37DB"/>
    <w:rsid w:val="005B387E"/>
    <w:rsid w:val="005B38C2"/>
    <w:rsid w:val="005B3908"/>
    <w:rsid w:val="005B39E0"/>
    <w:rsid w:val="005B3A9D"/>
    <w:rsid w:val="005B3B01"/>
    <w:rsid w:val="005B3B85"/>
    <w:rsid w:val="005B3BDA"/>
    <w:rsid w:val="005B3BF6"/>
    <w:rsid w:val="005B3CAC"/>
    <w:rsid w:val="005B3DC4"/>
    <w:rsid w:val="005B3F78"/>
    <w:rsid w:val="005B4084"/>
    <w:rsid w:val="005B40F6"/>
    <w:rsid w:val="005B40FD"/>
    <w:rsid w:val="005B410B"/>
    <w:rsid w:val="005B414A"/>
    <w:rsid w:val="005B417E"/>
    <w:rsid w:val="005B4401"/>
    <w:rsid w:val="005B4419"/>
    <w:rsid w:val="005B4484"/>
    <w:rsid w:val="005B44F7"/>
    <w:rsid w:val="005B4569"/>
    <w:rsid w:val="005B458E"/>
    <w:rsid w:val="005B46C3"/>
    <w:rsid w:val="005B476E"/>
    <w:rsid w:val="005B4A4F"/>
    <w:rsid w:val="005B4B19"/>
    <w:rsid w:val="005B4CCE"/>
    <w:rsid w:val="005B4D04"/>
    <w:rsid w:val="005B4D8D"/>
    <w:rsid w:val="005B503E"/>
    <w:rsid w:val="005B50DA"/>
    <w:rsid w:val="005B51E1"/>
    <w:rsid w:val="005B5277"/>
    <w:rsid w:val="005B538F"/>
    <w:rsid w:val="005B53AF"/>
    <w:rsid w:val="005B5407"/>
    <w:rsid w:val="005B5425"/>
    <w:rsid w:val="005B54F0"/>
    <w:rsid w:val="005B55A0"/>
    <w:rsid w:val="005B5667"/>
    <w:rsid w:val="005B56BC"/>
    <w:rsid w:val="005B56C9"/>
    <w:rsid w:val="005B57D5"/>
    <w:rsid w:val="005B583F"/>
    <w:rsid w:val="005B592A"/>
    <w:rsid w:val="005B5991"/>
    <w:rsid w:val="005B59FA"/>
    <w:rsid w:val="005B5C1B"/>
    <w:rsid w:val="005B5CEC"/>
    <w:rsid w:val="005B5D64"/>
    <w:rsid w:val="005B5EF1"/>
    <w:rsid w:val="005B5F0B"/>
    <w:rsid w:val="005B5FC4"/>
    <w:rsid w:val="005B6219"/>
    <w:rsid w:val="005B6267"/>
    <w:rsid w:val="005B627E"/>
    <w:rsid w:val="005B6312"/>
    <w:rsid w:val="005B639D"/>
    <w:rsid w:val="005B63E9"/>
    <w:rsid w:val="005B6424"/>
    <w:rsid w:val="005B6479"/>
    <w:rsid w:val="005B6676"/>
    <w:rsid w:val="005B670E"/>
    <w:rsid w:val="005B6748"/>
    <w:rsid w:val="005B67EA"/>
    <w:rsid w:val="005B6ADD"/>
    <w:rsid w:val="005B6B0F"/>
    <w:rsid w:val="005B6B21"/>
    <w:rsid w:val="005B6CE1"/>
    <w:rsid w:val="005B6DF2"/>
    <w:rsid w:val="005B719D"/>
    <w:rsid w:val="005B71E4"/>
    <w:rsid w:val="005B71FE"/>
    <w:rsid w:val="005B7538"/>
    <w:rsid w:val="005B75CC"/>
    <w:rsid w:val="005B76C1"/>
    <w:rsid w:val="005B770D"/>
    <w:rsid w:val="005B7837"/>
    <w:rsid w:val="005B79E2"/>
    <w:rsid w:val="005B7A26"/>
    <w:rsid w:val="005B7AF0"/>
    <w:rsid w:val="005B7CB8"/>
    <w:rsid w:val="005B7CBF"/>
    <w:rsid w:val="005B7DE3"/>
    <w:rsid w:val="005B7F2A"/>
    <w:rsid w:val="005C00BA"/>
    <w:rsid w:val="005C00F1"/>
    <w:rsid w:val="005C024B"/>
    <w:rsid w:val="005C0311"/>
    <w:rsid w:val="005C039F"/>
    <w:rsid w:val="005C03FB"/>
    <w:rsid w:val="005C0503"/>
    <w:rsid w:val="005C06A7"/>
    <w:rsid w:val="005C088F"/>
    <w:rsid w:val="005C08E0"/>
    <w:rsid w:val="005C0983"/>
    <w:rsid w:val="005C09B1"/>
    <w:rsid w:val="005C0A91"/>
    <w:rsid w:val="005C0B81"/>
    <w:rsid w:val="005C0BCA"/>
    <w:rsid w:val="005C0CD3"/>
    <w:rsid w:val="005C0D7C"/>
    <w:rsid w:val="005C0E78"/>
    <w:rsid w:val="005C109A"/>
    <w:rsid w:val="005C11B1"/>
    <w:rsid w:val="005C11EA"/>
    <w:rsid w:val="005C126B"/>
    <w:rsid w:val="005C1327"/>
    <w:rsid w:val="005C13C0"/>
    <w:rsid w:val="005C1429"/>
    <w:rsid w:val="005C142B"/>
    <w:rsid w:val="005C1471"/>
    <w:rsid w:val="005C14C4"/>
    <w:rsid w:val="005C14FC"/>
    <w:rsid w:val="005C17C6"/>
    <w:rsid w:val="005C17E6"/>
    <w:rsid w:val="005C1A4F"/>
    <w:rsid w:val="005C1A89"/>
    <w:rsid w:val="005C1AC3"/>
    <w:rsid w:val="005C1C46"/>
    <w:rsid w:val="005C1C5F"/>
    <w:rsid w:val="005C1CD1"/>
    <w:rsid w:val="005C1CD4"/>
    <w:rsid w:val="005C1D68"/>
    <w:rsid w:val="005C1DB1"/>
    <w:rsid w:val="005C1E1F"/>
    <w:rsid w:val="005C1E77"/>
    <w:rsid w:val="005C1F3C"/>
    <w:rsid w:val="005C1FB2"/>
    <w:rsid w:val="005C1FCD"/>
    <w:rsid w:val="005C1FF2"/>
    <w:rsid w:val="005C215C"/>
    <w:rsid w:val="005C223C"/>
    <w:rsid w:val="005C22EC"/>
    <w:rsid w:val="005C235D"/>
    <w:rsid w:val="005C24E7"/>
    <w:rsid w:val="005C2522"/>
    <w:rsid w:val="005C25C7"/>
    <w:rsid w:val="005C25FF"/>
    <w:rsid w:val="005C280E"/>
    <w:rsid w:val="005C299D"/>
    <w:rsid w:val="005C2CF2"/>
    <w:rsid w:val="005C2D11"/>
    <w:rsid w:val="005C2D3F"/>
    <w:rsid w:val="005C2F84"/>
    <w:rsid w:val="005C329D"/>
    <w:rsid w:val="005C33A2"/>
    <w:rsid w:val="005C3414"/>
    <w:rsid w:val="005C3439"/>
    <w:rsid w:val="005C351C"/>
    <w:rsid w:val="005C3557"/>
    <w:rsid w:val="005C3567"/>
    <w:rsid w:val="005C3590"/>
    <w:rsid w:val="005C35B2"/>
    <w:rsid w:val="005C36FF"/>
    <w:rsid w:val="005C3720"/>
    <w:rsid w:val="005C3834"/>
    <w:rsid w:val="005C38A2"/>
    <w:rsid w:val="005C3A97"/>
    <w:rsid w:val="005C3AA7"/>
    <w:rsid w:val="005C3ACF"/>
    <w:rsid w:val="005C3B19"/>
    <w:rsid w:val="005C3C92"/>
    <w:rsid w:val="005C3D42"/>
    <w:rsid w:val="005C3D95"/>
    <w:rsid w:val="005C3D98"/>
    <w:rsid w:val="005C3DC2"/>
    <w:rsid w:val="005C3DDD"/>
    <w:rsid w:val="005C3F48"/>
    <w:rsid w:val="005C3F77"/>
    <w:rsid w:val="005C4063"/>
    <w:rsid w:val="005C4074"/>
    <w:rsid w:val="005C41B1"/>
    <w:rsid w:val="005C41F5"/>
    <w:rsid w:val="005C4374"/>
    <w:rsid w:val="005C43FA"/>
    <w:rsid w:val="005C44F5"/>
    <w:rsid w:val="005C45ED"/>
    <w:rsid w:val="005C4616"/>
    <w:rsid w:val="005C4671"/>
    <w:rsid w:val="005C46C2"/>
    <w:rsid w:val="005C470B"/>
    <w:rsid w:val="005C479B"/>
    <w:rsid w:val="005C48BD"/>
    <w:rsid w:val="005C490E"/>
    <w:rsid w:val="005C4A5B"/>
    <w:rsid w:val="005C4A62"/>
    <w:rsid w:val="005C4A90"/>
    <w:rsid w:val="005C4B27"/>
    <w:rsid w:val="005C4BFF"/>
    <w:rsid w:val="005C4C7D"/>
    <w:rsid w:val="005C4EC6"/>
    <w:rsid w:val="005C5133"/>
    <w:rsid w:val="005C5258"/>
    <w:rsid w:val="005C5344"/>
    <w:rsid w:val="005C5360"/>
    <w:rsid w:val="005C546C"/>
    <w:rsid w:val="005C54A0"/>
    <w:rsid w:val="005C5549"/>
    <w:rsid w:val="005C56CF"/>
    <w:rsid w:val="005C56DD"/>
    <w:rsid w:val="005C586E"/>
    <w:rsid w:val="005C58FF"/>
    <w:rsid w:val="005C594A"/>
    <w:rsid w:val="005C5A67"/>
    <w:rsid w:val="005C5BBB"/>
    <w:rsid w:val="005C5DBC"/>
    <w:rsid w:val="005C5F79"/>
    <w:rsid w:val="005C6184"/>
    <w:rsid w:val="005C623D"/>
    <w:rsid w:val="005C632E"/>
    <w:rsid w:val="005C664C"/>
    <w:rsid w:val="005C666B"/>
    <w:rsid w:val="005C6998"/>
    <w:rsid w:val="005C6A99"/>
    <w:rsid w:val="005C6C4D"/>
    <w:rsid w:val="005C6D1B"/>
    <w:rsid w:val="005C6E19"/>
    <w:rsid w:val="005C6F04"/>
    <w:rsid w:val="005C6F36"/>
    <w:rsid w:val="005C6F8F"/>
    <w:rsid w:val="005C6FB7"/>
    <w:rsid w:val="005C706E"/>
    <w:rsid w:val="005C7128"/>
    <w:rsid w:val="005C71C3"/>
    <w:rsid w:val="005C7284"/>
    <w:rsid w:val="005C72E1"/>
    <w:rsid w:val="005C7515"/>
    <w:rsid w:val="005C752D"/>
    <w:rsid w:val="005C75FC"/>
    <w:rsid w:val="005C764C"/>
    <w:rsid w:val="005C76AD"/>
    <w:rsid w:val="005C7744"/>
    <w:rsid w:val="005C77CF"/>
    <w:rsid w:val="005C7A22"/>
    <w:rsid w:val="005C7AEC"/>
    <w:rsid w:val="005C7B2D"/>
    <w:rsid w:val="005C7F2F"/>
    <w:rsid w:val="005C7F80"/>
    <w:rsid w:val="005D0145"/>
    <w:rsid w:val="005D01F8"/>
    <w:rsid w:val="005D026E"/>
    <w:rsid w:val="005D0419"/>
    <w:rsid w:val="005D0433"/>
    <w:rsid w:val="005D04C0"/>
    <w:rsid w:val="005D0624"/>
    <w:rsid w:val="005D066A"/>
    <w:rsid w:val="005D0781"/>
    <w:rsid w:val="005D07A0"/>
    <w:rsid w:val="005D0894"/>
    <w:rsid w:val="005D0A00"/>
    <w:rsid w:val="005D0A0B"/>
    <w:rsid w:val="005D0A56"/>
    <w:rsid w:val="005D0A63"/>
    <w:rsid w:val="005D0A7E"/>
    <w:rsid w:val="005D0C62"/>
    <w:rsid w:val="005D0C7C"/>
    <w:rsid w:val="005D0CB9"/>
    <w:rsid w:val="005D0D12"/>
    <w:rsid w:val="005D0FA9"/>
    <w:rsid w:val="005D100A"/>
    <w:rsid w:val="005D106D"/>
    <w:rsid w:val="005D1090"/>
    <w:rsid w:val="005D114B"/>
    <w:rsid w:val="005D120E"/>
    <w:rsid w:val="005D124A"/>
    <w:rsid w:val="005D13C4"/>
    <w:rsid w:val="005D1519"/>
    <w:rsid w:val="005D153B"/>
    <w:rsid w:val="005D1786"/>
    <w:rsid w:val="005D18BC"/>
    <w:rsid w:val="005D1A77"/>
    <w:rsid w:val="005D1A84"/>
    <w:rsid w:val="005D1B01"/>
    <w:rsid w:val="005D1B30"/>
    <w:rsid w:val="005D1B8E"/>
    <w:rsid w:val="005D1BA0"/>
    <w:rsid w:val="005D1BF7"/>
    <w:rsid w:val="005D1C41"/>
    <w:rsid w:val="005D1CEC"/>
    <w:rsid w:val="005D1E3D"/>
    <w:rsid w:val="005D1F1F"/>
    <w:rsid w:val="005D201C"/>
    <w:rsid w:val="005D2116"/>
    <w:rsid w:val="005D21FF"/>
    <w:rsid w:val="005D2253"/>
    <w:rsid w:val="005D230D"/>
    <w:rsid w:val="005D244F"/>
    <w:rsid w:val="005D24B1"/>
    <w:rsid w:val="005D2562"/>
    <w:rsid w:val="005D2568"/>
    <w:rsid w:val="005D2627"/>
    <w:rsid w:val="005D26EC"/>
    <w:rsid w:val="005D278B"/>
    <w:rsid w:val="005D2892"/>
    <w:rsid w:val="005D2A65"/>
    <w:rsid w:val="005D2AB4"/>
    <w:rsid w:val="005D2C88"/>
    <w:rsid w:val="005D2C8A"/>
    <w:rsid w:val="005D2DBE"/>
    <w:rsid w:val="005D2F6E"/>
    <w:rsid w:val="005D3293"/>
    <w:rsid w:val="005D348E"/>
    <w:rsid w:val="005D3535"/>
    <w:rsid w:val="005D3544"/>
    <w:rsid w:val="005D35FC"/>
    <w:rsid w:val="005D368C"/>
    <w:rsid w:val="005D3731"/>
    <w:rsid w:val="005D3989"/>
    <w:rsid w:val="005D39B9"/>
    <w:rsid w:val="005D3B69"/>
    <w:rsid w:val="005D3BF5"/>
    <w:rsid w:val="005D3C60"/>
    <w:rsid w:val="005D3DE6"/>
    <w:rsid w:val="005D3E3F"/>
    <w:rsid w:val="005D3F15"/>
    <w:rsid w:val="005D4009"/>
    <w:rsid w:val="005D401E"/>
    <w:rsid w:val="005D406C"/>
    <w:rsid w:val="005D4176"/>
    <w:rsid w:val="005D4236"/>
    <w:rsid w:val="005D4267"/>
    <w:rsid w:val="005D445D"/>
    <w:rsid w:val="005D4545"/>
    <w:rsid w:val="005D4741"/>
    <w:rsid w:val="005D47CF"/>
    <w:rsid w:val="005D47FB"/>
    <w:rsid w:val="005D4865"/>
    <w:rsid w:val="005D4937"/>
    <w:rsid w:val="005D49C2"/>
    <w:rsid w:val="005D4CC7"/>
    <w:rsid w:val="005D4D82"/>
    <w:rsid w:val="005D4F1C"/>
    <w:rsid w:val="005D4FBB"/>
    <w:rsid w:val="005D5008"/>
    <w:rsid w:val="005D500D"/>
    <w:rsid w:val="005D5159"/>
    <w:rsid w:val="005D520A"/>
    <w:rsid w:val="005D54AA"/>
    <w:rsid w:val="005D55C8"/>
    <w:rsid w:val="005D570C"/>
    <w:rsid w:val="005D5797"/>
    <w:rsid w:val="005D5823"/>
    <w:rsid w:val="005D5837"/>
    <w:rsid w:val="005D5B85"/>
    <w:rsid w:val="005D5B8B"/>
    <w:rsid w:val="005D5CC9"/>
    <w:rsid w:val="005D5D2E"/>
    <w:rsid w:val="005D5E5A"/>
    <w:rsid w:val="005D5FEC"/>
    <w:rsid w:val="005D609E"/>
    <w:rsid w:val="005D60C9"/>
    <w:rsid w:val="005D636E"/>
    <w:rsid w:val="005D6629"/>
    <w:rsid w:val="005D6670"/>
    <w:rsid w:val="005D6776"/>
    <w:rsid w:val="005D68EB"/>
    <w:rsid w:val="005D69BC"/>
    <w:rsid w:val="005D6ADA"/>
    <w:rsid w:val="005D6AE4"/>
    <w:rsid w:val="005D6AEF"/>
    <w:rsid w:val="005D6AF4"/>
    <w:rsid w:val="005D6BC2"/>
    <w:rsid w:val="005D6C9F"/>
    <w:rsid w:val="005D6EB6"/>
    <w:rsid w:val="005D6F4B"/>
    <w:rsid w:val="005D6F64"/>
    <w:rsid w:val="005D6F9C"/>
    <w:rsid w:val="005D71C7"/>
    <w:rsid w:val="005D7446"/>
    <w:rsid w:val="005D75D9"/>
    <w:rsid w:val="005D767F"/>
    <w:rsid w:val="005D77F4"/>
    <w:rsid w:val="005D78AA"/>
    <w:rsid w:val="005D79C9"/>
    <w:rsid w:val="005D7AB6"/>
    <w:rsid w:val="005D7ADB"/>
    <w:rsid w:val="005D7BB2"/>
    <w:rsid w:val="005D7F2A"/>
    <w:rsid w:val="005D7FA0"/>
    <w:rsid w:val="005E01F4"/>
    <w:rsid w:val="005E0299"/>
    <w:rsid w:val="005E03F3"/>
    <w:rsid w:val="005E0449"/>
    <w:rsid w:val="005E05B1"/>
    <w:rsid w:val="005E06EB"/>
    <w:rsid w:val="005E0926"/>
    <w:rsid w:val="005E0B4F"/>
    <w:rsid w:val="005E0C36"/>
    <w:rsid w:val="005E0C73"/>
    <w:rsid w:val="005E0D1E"/>
    <w:rsid w:val="005E0D82"/>
    <w:rsid w:val="005E0DC8"/>
    <w:rsid w:val="005E0E68"/>
    <w:rsid w:val="005E0EC8"/>
    <w:rsid w:val="005E10C8"/>
    <w:rsid w:val="005E10F6"/>
    <w:rsid w:val="005E1177"/>
    <w:rsid w:val="005E1326"/>
    <w:rsid w:val="005E1343"/>
    <w:rsid w:val="005E13DD"/>
    <w:rsid w:val="005E149D"/>
    <w:rsid w:val="005E14A7"/>
    <w:rsid w:val="005E1574"/>
    <w:rsid w:val="005E15B8"/>
    <w:rsid w:val="005E1808"/>
    <w:rsid w:val="005E186B"/>
    <w:rsid w:val="005E198B"/>
    <w:rsid w:val="005E1AA0"/>
    <w:rsid w:val="005E1B27"/>
    <w:rsid w:val="005E1B8E"/>
    <w:rsid w:val="005E1BD8"/>
    <w:rsid w:val="005E1C8A"/>
    <w:rsid w:val="005E1C9B"/>
    <w:rsid w:val="005E1CFF"/>
    <w:rsid w:val="005E1FD7"/>
    <w:rsid w:val="005E1FE5"/>
    <w:rsid w:val="005E284D"/>
    <w:rsid w:val="005E28B0"/>
    <w:rsid w:val="005E2B0C"/>
    <w:rsid w:val="005E2C14"/>
    <w:rsid w:val="005E2C42"/>
    <w:rsid w:val="005E2E61"/>
    <w:rsid w:val="005E305A"/>
    <w:rsid w:val="005E30D2"/>
    <w:rsid w:val="005E31D4"/>
    <w:rsid w:val="005E31D5"/>
    <w:rsid w:val="005E3237"/>
    <w:rsid w:val="005E3313"/>
    <w:rsid w:val="005E33FE"/>
    <w:rsid w:val="005E3446"/>
    <w:rsid w:val="005E348A"/>
    <w:rsid w:val="005E34CE"/>
    <w:rsid w:val="005E384A"/>
    <w:rsid w:val="005E3AE2"/>
    <w:rsid w:val="005E3C5D"/>
    <w:rsid w:val="005E3E23"/>
    <w:rsid w:val="005E3E31"/>
    <w:rsid w:val="005E3EB5"/>
    <w:rsid w:val="005E3FA3"/>
    <w:rsid w:val="005E40BE"/>
    <w:rsid w:val="005E434A"/>
    <w:rsid w:val="005E43A7"/>
    <w:rsid w:val="005E4525"/>
    <w:rsid w:val="005E457C"/>
    <w:rsid w:val="005E45B3"/>
    <w:rsid w:val="005E4636"/>
    <w:rsid w:val="005E46B5"/>
    <w:rsid w:val="005E46CD"/>
    <w:rsid w:val="005E4737"/>
    <w:rsid w:val="005E47FD"/>
    <w:rsid w:val="005E485C"/>
    <w:rsid w:val="005E485F"/>
    <w:rsid w:val="005E4A6E"/>
    <w:rsid w:val="005E4A9D"/>
    <w:rsid w:val="005E4BCA"/>
    <w:rsid w:val="005E4E25"/>
    <w:rsid w:val="005E4E3B"/>
    <w:rsid w:val="005E4E5C"/>
    <w:rsid w:val="005E4E8D"/>
    <w:rsid w:val="005E4EA8"/>
    <w:rsid w:val="005E4FAD"/>
    <w:rsid w:val="005E519B"/>
    <w:rsid w:val="005E51A0"/>
    <w:rsid w:val="005E5233"/>
    <w:rsid w:val="005E5524"/>
    <w:rsid w:val="005E5652"/>
    <w:rsid w:val="005E567D"/>
    <w:rsid w:val="005E5727"/>
    <w:rsid w:val="005E5790"/>
    <w:rsid w:val="005E5798"/>
    <w:rsid w:val="005E5804"/>
    <w:rsid w:val="005E589F"/>
    <w:rsid w:val="005E59A6"/>
    <w:rsid w:val="005E59C3"/>
    <w:rsid w:val="005E59D4"/>
    <w:rsid w:val="005E5A0C"/>
    <w:rsid w:val="005E5A18"/>
    <w:rsid w:val="005E5CBE"/>
    <w:rsid w:val="005E5D8B"/>
    <w:rsid w:val="005E5E84"/>
    <w:rsid w:val="005E61E3"/>
    <w:rsid w:val="005E62D5"/>
    <w:rsid w:val="005E6378"/>
    <w:rsid w:val="005E641C"/>
    <w:rsid w:val="005E645C"/>
    <w:rsid w:val="005E6646"/>
    <w:rsid w:val="005E6738"/>
    <w:rsid w:val="005E6759"/>
    <w:rsid w:val="005E6872"/>
    <w:rsid w:val="005E688F"/>
    <w:rsid w:val="005E68E8"/>
    <w:rsid w:val="005E6AC7"/>
    <w:rsid w:val="005E6AF9"/>
    <w:rsid w:val="005E6B83"/>
    <w:rsid w:val="005E6FB5"/>
    <w:rsid w:val="005E70B4"/>
    <w:rsid w:val="005E7139"/>
    <w:rsid w:val="005E7172"/>
    <w:rsid w:val="005E7179"/>
    <w:rsid w:val="005E71D9"/>
    <w:rsid w:val="005E71E4"/>
    <w:rsid w:val="005E71F3"/>
    <w:rsid w:val="005E720D"/>
    <w:rsid w:val="005E7240"/>
    <w:rsid w:val="005E7536"/>
    <w:rsid w:val="005E7677"/>
    <w:rsid w:val="005E78CC"/>
    <w:rsid w:val="005E793B"/>
    <w:rsid w:val="005E7A07"/>
    <w:rsid w:val="005E7A57"/>
    <w:rsid w:val="005E7C1C"/>
    <w:rsid w:val="005E7D28"/>
    <w:rsid w:val="005E7F16"/>
    <w:rsid w:val="005F002F"/>
    <w:rsid w:val="005F011D"/>
    <w:rsid w:val="005F01C5"/>
    <w:rsid w:val="005F02A1"/>
    <w:rsid w:val="005F030A"/>
    <w:rsid w:val="005F0340"/>
    <w:rsid w:val="005F0446"/>
    <w:rsid w:val="005F04AF"/>
    <w:rsid w:val="005F050C"/>
    <w:rsid w:val="005F0628"/>
    <w:rsid w:val="005F0704"/>
    <w:rsid w:val="005F0727"/>
    <w:rsid w:val="005F0769"/>
    <w:rsid w:val="005F0833"/>
    <w:rsid w:val="005F088B"/>
    <w:rsid w:val="005F0A12"/>
    <w:rsid w:val="005F0AF6"/>
    <w:rsid w:val="005F0BF9"/>
    <w:rsid w:val="005F0C24"/>
    <w:rsid w:val="005F0D18"/>
    <w:rsid w:val="005F0FEE"/>
    <w:rsid w:val="005F1137"/>
    <w:rsid w:val="005F12DF"/>
    <w:rsid w:val="005F130A"/>
    <w:rsid w:val="005F151F"/>
    <w:rsid w:val="005F15FF"/>
    <w:rsid w:val="005F1648"/>
    <w:rsid w:val="005F16FF"/>
    <w:rsid w:val="005F1758"/>
    <w:rsid w:val="005F1767"/>
    <w:rsid w:val="005F192B"/>
    <w:rsid w:val="005F198C"/>
    <w:rsid w:val="005F1A69"/>
    <w:rsid w:val="005F1B05"/>
    <w:rsid w:val="005F1B0D"/>
    <w:rsid w:val="005F1B3D"/>
    <w:rsid w:val="005F1BD5"/>
    <w:rsid w:val="005F1C2A"/>
    <w:rsid w:val="005F1CE6"/>
    <w:rsid w:val="005F1DF0"/>
    <w:rsid w:val="005F219C"/>
    <w:rsid w:val="005F22E4"/>
    <w:rsid w:val="005F2350"/>
    <w:rsid w:val="005F24B2"/>
    <w:rsid w:val="005F2526"/>
    <w:rsid w:val="005F2532"/>
    <w:rsid w:val="005F25A0"/>
    <w:rsid w:val="005F25C3"/>
    <w:rsid w:val="005F25E4"/>
    <w:rsid w:val="005F268E"/>
    <w:rsid w:val="005F299A"/>
    <w:rsid w:val="005F29AC"/>
    <w:rsid w:val="005F2B8A"/>
    <w:rsid w:val="005F2BC4"/>
    <w:rsid w:val="005F2C01"/>
    <w:rsid w:val="005F2C54"/>
    <w:rsid w:val="005F2DB4"/>
    <w:rsid w:val="005F2E57"/>
    <w:rsid w:val="005F2E85"/>
    <w:rsid w:val="005F2F3D"/>
    <w:rsid w:val="005F3023"/>
    <w:rsid w:val="005F3067"/>
    <w:rsid w:val="005F3163"/>
    <w:rsid w:val="005F3269"/>
    <w:rsid w:val="005F32AE"/>
    <w:rsid w:val="005F346F"/>
    <w:rsid w:val="005F36AF"/>
    <w:rsid w:val="005F36ED"/>
    <w:rsid w:val="005F3721"/>
    <w:rsid w:val="005F3744"/>
    <w:rsid w:val="005F376E"/>
    <w:rsid w:val="005F378D"/>
    <w:rsid w:val="005F3888"/>
    <w:rsid w:val="005F3A5E"/>
    <w:rsid w:val="005F3A8E"/>
    <w:rsid w:val="005F3B17"/>
    <w:rsid w:val="005F3BE5"/>
    <w:rsid w:val="005F3C06"/>
    <w:rsid w:val="005F3C3F"/>
    <w:rsid w:val="005F3D34"/>
    <w:rsid w:val="005F3D6D"/>
    <w:rsid w:val="005F3E84"/>
    <w:rsid w:val="005F3F2C"/>
    <w:rsid w:val="005F3FC4"/>
    <w:rsid w:val="005F4004"/>
    <w:rsid w:val="005F403D"/>
    <w:rsid w:val="005F41AC"/>
    <w:rsid w:val="005F428A"/>
    <w:rsid w:val="005F4304"/>
    <w:rsid w:val="005F4380"/>
    <w:rsid w:val="005F44FB"/>
    <w:rsid w:val="005F4579"/>
    <w:rsid w:val="005F49FF"/>
    <w:rsid w:val="005F4ACF"/>
    <w:rsid w:val="005F4BF4"/>
    <w:rsid w:val="005F4D68"/>
    <w:rsid w:val="005F4D8E"/>
    <w:rsid w:val="005F4E2C"/>
    <w:rsid w:val="005F4E6A"/>
    <w:rsid w:val="005F4E93"/>
    <w:rsid w:val="005F4F30"/>
    <w:rsid w:val="005F4F8F"/>
    <w:rsid w:val="005F4FCC"/>
    <w:rsid w:val="005F5012"/>
    <w:rsid w:val="005F509D"/>
    <w:rsid w:val="005F5128"/>
    <w:rsid w:val="005F5277"/>
    <w:rsid w:val="005F52F2"/>
    <w:rsid w:val="005F5375"/>
    <w:rsid w:val="005F53B8"/>
    <w:rsid w:val="005F54EA"/>
    <w:rsid w:val="005F552D"/>
    <w:rsid w:val="005F557A"/>
    <w:rsid w:val="005F5695"/>
    <w:rsid w:val="005F580B"/>
    <w:rsid w:val="005F5A9E"/>
    <w:rsid w:val="005F5D2A"/>
    <w:rsid w:val="005F5D31"/>
    <w:rsid w:val="005F5E84"/>
    <w:rsid w:val="005F60D7"/>
    <w:rsid w:val="005F6123"/>
    <w:rsid w:val="005F6219"/>
    <w:rsid w:val="005F635A"/>
    <w:rsid w:val="005F640C"/>
    <w:rsid w:val="005F64BD"/>
    <w:rsid w:val="005F658C"/>
    <w:rsid w:val="005F659C"/>
    <w:rsid w:val="005F65BC"/>
    <w:rsid w:val="005F670E"/>
    <w:rsid w:val="005F688F"/>
    <w:rsid w:val="005F699D"/>
    <w:rsid w:val="005F69EB"/>
    <w:rsid w:val="005F6C45"/>
    <w:rsid w:val="005F6DEB"/>
    <w:rsid w:val="005F6E66"/>
    <w:rsid w:val="005F6FA1"/>
    <w:rsid w:val="005F6FAF"/>
    <w:rsid w:val="005F71C0"/>
    <w:rsid w:val="005F727D"/>
    <w:rsid w:val="005F72F9"/>
    <w:rsid w:val="005F7390"/>
    <w:rsid w:val="005F74B2"/>
    <w:rsid w:val="005F77F5"/>
    <w:rsid w:val="005F78EE"/>
    <w:rsid w:val="005F7BF2"/>
    <w:rsid w:val="005F7C3A"/>
    <w:rsid w:val="005F7F61"/>
    <w:rsid w:val="005F7FA7"/>
    <w:rsid w:val="006002AD"/>
    <w:rsid w:val="0060056A"/>
    <w:rsid w:val="00600696"/>
    <w:rsid w:val="00600704"/>
    <w:rsid w:val="0060082D"/>
    <w:rsid w:val="006008FC"/>
    <w:rsid w:val="00600906"/>
    <w:rsid w:val="00600C40"/>
    <w:rsid w:val="00600CC5"/>
    <w:rsid w:val="00600D73"/>
    <w:rsid w:val="00600DE2"/>
    <w:rsid w:val="00600F09"/>
    <w:rsid w:val="00600F52"/>
    <w:rsid w:val="00600FA1"/>
    <w:rsid w:val="00600FB0"/>
    <w:rsid w:val="00601147"/>
    <w:rsid w:val="006011B4"/>
    <w:rsid w:val="006014E4"/>
    <w:rsid w:val="00601572"/>
    <w:rsid w:val="00601861"/>
    <w:rsid w:val="0060198B"/>
    <w:rsid w:val="00601AB6"/>
    <w:rsid w:val="00601B6B"/>
    <w:rsid w:val="00601BF1"/>
    <w:rsid w:val="00601D1C"/>
    <w:rsid w:val="00601D75"/>
    <w:rsid w:val="00601EEB"/>
    <w:rsid w:val="00601F1C"/>
    <w:rsid w:val="00601F82"/>
    <w:rsid w:val="00601FB0"/>
    <w:rsid w:val="00601FD0"/>
    <w:rsid w:val="00601FDC"/>
    <w:rsid w:val="00601FDD"/>
    <w:rsid w:val="00602144"/>
    <w:rsid w:val="006021B3"/>
    <w:rsid w:val="006021E6"/>
    <w:rsid w:val="0060233A"/>
    <w:rsid w:val="00602345"/>
    <w:rsid w:val="00602374"/>
    <w:rsid w:val="0060240A"/>
    <w:rsid w:val="00602576"/>
    <w:rsid w:val="00602662"/>
    <w:rsid w:val="00602739"/>
    <w:rsid w:val="006027A7"/>
    <w:rsid w:val="006028D2"/>
    <w:rsid w:val="0060299D"/>
    <w:rsid w:val="00602BAC"/>
    <w:rsid w:val="00602BC8"/>
    <w:rsid w:val="00602D78"/>
    <w:rsid w:val="00602F44"/>
    <w:rsid w:val="0060302B"/>
    <w:rsid w:val="00603184"/>
    <w:rsid w:val="006031B2"/>
    <w:rsid w:val="006032E1"/>
    <w:rsid w:val="006032FF"/>
    <w:rsid w:val="006033A0"/>
    <w:rsid w:val="0060351B"/>
    <w:rsid w:val="00603574"/>
    <w:rsid w:val="00603819"/>
    <w:rsid w:val="0060383F"/>
    <w:rsid w:val="006038F1"/>
    <w:rsid w:val="00603904"/>
    <w:rsid w:val="00603A7C"/>
    <w:rsid w:val="00603BD6"/>
    <w:rsid w:val="00603C4A"/>
    <w:rsid w:val="00603CAE"/>
    <w:rsid w:val="00603CC1"/>
    <w:rsid w:val="00603DDA"/>
    <w:rsid w:val="00603E3A"/>
    <w:rsid w:val="00603F19"/>
    <w:rsid w:val="00603FE8"/>
    <w:rsid w:val="006040AD"/>
    <w:rsid w:val="006042C1"/>
    <w:rsid w:val="00604386"/>
    <w:rsid w:val="00604388"/>
    <w:rsid w:val="0060440D"/>
    <w:rsid w:val="0060443B"/>
    <w:rsid w:val="006044C4"/>
    <w:rsid w:val="006044FA"/>
    <w:rsid w:val="0060455A"/>
    <w:rsid w:val="0060456C"/>
    <w:rsid w:val="006045C7"/>
    <w:rsid w:val="00604686"/>
    <w:rsid w:val="006046C6"/>
    <w:rsid w:val="00604856"/>
    <w:rsid w:val="006048B8"/>
    <w:rsid w:val="006048E1"/>
    <w:rsid w:val="006048F3"/>
    <w:rsid w:val="00604A31"/>
    <w:rsid w:val="00604B91"/>
    <w:rsid w:val="00605133"/>
    <w:rsid w:val="0060518D"/>
    <w:rsid w:val="006051B7"/>
    <w:rsid w:val="006051C4"/>
    <w:rsid w:val="006051C6"/>
    <w:rsid w:val="0060522A"/>
    <w:rsid w:val="00605264"/>
    <w:rsid w:val="0060531E"/>
    <w:rsid w:val="0060546A"/>
    <w:rsid w:val="006054EC"/>
    <w:rsid w:val="00605529"/>
    <w:rsid w:val="00605575"/>
    <w:rsid w:val="006055C6"/>
    <w:rsid w:val="0060593B"/>
    <w:rsid w:val="00605AA2"/>
    <w:rsid w:val="00605AE8"/>
    <w:rsid w:val="00605B2C"/>
    <w:rsid w:val="00605C34"/>
    <w:rsid w:val="00605D2E"/>
    <w:rsid w:val="00605F70"/>
    <w:rsid w:val="00605FDC"/>
    <w:rsid w:val="0060601C"/>
    <w:rsid w:val="00606025"/>
    <w:rsid w:val="00606028"/>
    <w:rsid w:val="00606087"/>
    <w:rsid w:val="00606258"/>
    <w:rsid w:val="00606282"/>
    <w:rsid w:val="0060630F"/>
    <w:rsid w:val="0060636F"/>
    <w:rsid w:val="006063BD"/>
    <w:rsid w:val="006063D1"/>
    <w:rsid w:val="00606459"/>
    <w:rsid w:val="0060646F"/>
    <w:rsid w:val="0060651C"/>
    <w:rsid w:val="006065B8"/>
    <w:rsid w:val="00606757"/>
    <w:rsid w:val="006067FB"/>
    <w:rsid w:val="00606881"/>
    <w:rsid w:val="0060691E"/>
    <w:rsid w:val="0060699F"/>
    <w:rsid w:val="00606B9E"/>
    <w:rsid w:val="00606E4E"/>
    <w:rsid w:val="00606F3D"/>
    <w:rsid w:val="0060706C"/>
    <w:rsid w:val="006071EC"/>
    <w:rsid w:val="00607375"/>
    <w:rsid w:val="0060745F"/>
    <w:rsid w:val="006074F8"/>
    <w:rsid w:val="0060750A"/>
    <w:rsid w:val="0060764A"/>
    <w:rsid w:val="0060767F"/>
    <w:rsid w:val="00607755"/>
    <w:rsid w:val="006077BD"/>
    <w:rsid w:val="006078C5"/>
    <w:rsid w:val="006078EC"/>
    <w:rsid w:val="00607908"/>
    <w:rsid w:val="00607911"/>
    <w:rsid w:val="00607996"/>
    <w:rsid w:val="00607A62"/>
    <w:rsid w:val="00607B60"/>
    <w:rsid w:val="00607BC9"/>
    <w:rsid w:val="00607C45"/>
    <w:rsid w:val="00607D3D"/>
    <w:rsid w:val="00607DDB"/>
    <w:rsid w:val="00607E78"/>
    <w:rsid w:val="00607F1C"/>
    <w:rsid w:val="00607FA1"/>
    <w:rsid w:val="00610088"/>
    <w:rsid w:val="006105AB"/>
    <w:rsid w:val="006105CC"/>
    <w:rsid w:val="00610611"/>
    <w:rsid w:val="00610640"/>
    <w:rsid w:val="0061095D"/>
    <w:rsid w:val="0061099E"/>
    <w:rsid w:val="00610A73"/>
    <w:rsid w:val="00610ABF"/>
    <w:rsid w:val="00610D90"/>
    <w:rsid w:val="00610E7F"/>
    <w:rsid w:val="00610EE9"/>
    <w:rsid w:val="00611089"/>
    <w:rsid w:val="006110A5"/>
    <w:rsid w:val="00611186"/>
    <w:rsid w:val="006112B0"/>
    <w:rsid w:val="00611306"/>
    <w:rsid w:val="006114A6"/>
    <w:rsid w:val="006115A4"/>
    <w:rsid w:val="0061165B"/>
    <w:rsid w:val="006116F2"/>
    <w:rsid w:val="0061170A"/>
    <w:rsid w:val="0061188D"/>
    <w:rsid w:val="00611BCA"/>
    <w:rsid w:val="00611CA2"/>
    <w:rsid w:val="00611CB6"/>
    <w:rsid w:val="00611D91"/>
    <w:rsid w:val="00611DF4"/>
    <w:rsid w:val="00611E96"/>
    <w:rsid w:val="00611F03"/>
    <w:rsid w:val="00611F04"/>
    <w:rsid w:val="00611F6F"/>
    <w:rsid w:val="006120B6"/>
    <w:rsid w:val="0061225B"/>
    <w:rsid w:val="006122AF"/>
    <w:rsid w:val="006123D8"/>
    <w:rsid w:val="006123D9"/>
    <w:rsid w:val="0061248C"/>
    <w:rsid w:val="0061253B"/>
    <w:rsid w:val="0061265C"/>
    <w:rsid w:val="006126A6"/>
    <w:rsid w:val="00612842"/>
    <w:rsid w:val="00612868"/>
    <w:rsid w:val="00612893"/>
    <w:rsid w:val="006128CC"/>
    <w:rsid w:val="00612A3A"/>
    <w:rsid w:val="00612AA3"/>
    <w:rsid w:val="00612ACC"/>
    <w:rsid w:val="00612B4D"/>
    <w:rsid w:val="00612C71"/>
    <w:rsid w:val="00612DBC"/>
    <w:rsid w:val="00613050"/>
    <w:rsid w:val="00613213"/>
    <w:rsid w:val="00613250"/>
    <w:rsid w:val="006134CE"/>
    <w:rsid w:val="0061359B"/>
    <w:rsid w:val="006135C2"/>
    <w:rsid w:val="006135DB"/>
    <w:rsid w:val="006137B4"/>
    <w:rsid w:val="00613CA4"/>
    <w:rsid w:val="00613CD0"/>
    <w:rsid w:val="00613F1F"/>
    <w:rsid w:val="00613F35"/>
    <w:rsid w:val="00613FBF"/>
    <w:rsid w:val="00613FE0"/>
    <w:rsid w:val="00614066"/>
    <w:rsid w:val="0061408D"/>
    <w:rsid w:val="00614104"/>
    <w:rsid w:val="00614230"/>
    <w:rsid w:val="00614340"/>
    <w:rsid w:val="006143E7"/>
    <w:rsid w:val="006143FE"/>
    <w:rsid w:val="00614481"/>
    <w:rsid w:val="00614513"/>
    <w:rsid w:val="00614596"/>
    <w:rsid w:val="0061465B"/>
    <w:rsid w:val="0061465D"/>
    <w:rsid w:val="00614695"/>
    <w:rsid w:val="0061485D"/>
    <w:rsid w:val="00614A18"/>
    <w:rsid w:val="00614A56"/>
    <w:rsid w:val="00614A8C"/>
    <w:rsid w:val="00614B67"/>
    <w:rsid w:val="00614DAC"/>
    <w:rsid w:val="00614EB9"/>
    <w:rsid w:val="00614F7D"/>
    <w:rsid w:val="006150FC"/>
    <w:rsid w:val="0061510D"/>
    <w:rsid w:val="00615199"/>
    <w:rsid w:val="00615207"/>
    <w:rsid w:val="00615257"/>
    <w:rsid w:val="00615319"/>
    <w:rsid w:val="006153C2"/>
    <w:rsid w:val="006153F0"/>
    <w:rsid w:val="006153F1"/>
    <w:rsid w:val="00615473"/>
    <w:rsid w:val="006154D2"/>
    <w:rsid w:val="006155C2"/>
    <w:rsid w:val="006156C4"/>
    <w:rsid w:val="006156DB"/>
    <w:rsid w:val="00615902"/>
    <w:rsid w:val="00615975"/>
    <w:rsid w:val="00615A5E"/>
    <w:rsid w:val="00615C42"/>
    <w:rsid w:val="00615C7A"/>
    <w:rsid w:val="00615D53"/>
    <w:rsid w:val="00615D9A"/>
    <w:rsid w:val="00615DCE"/>
    <w:rsid w:val="00615E6C"/>
    <w:rsid w:val="00615F19"/>
    <w:rsid w:val="00616018"/>
    <w:rsid w:val="00616025"/>
    <w:rsid w:val="006160DB"/>
    <w:rsid w:val="00616100"/>
    <w:rsid w:val="00616118"/>
    <w:rsid w:val="0061621E"/>
    <w:rsid w:val="00616235"/>
    <w:rsid w:val="00616266"/>
    <w:rsid w:val="006162EF"/>
    <w:rsid w:val="006163D5"/>
    <w:rsid w:val="0061644E"/>
    <w:rsid w:val="00616592"/>
    <w:rsid w:val="006165F1"/>
    <w:rsid w:val="006165FA"/>
    <w:rsid w:val="00616920"/>
    <w:rsid w:val="0061698F"/>
    <w:rsid w:val="00616A3F"/>
    <w:rsid w:val="00616AFD"/>
    <w:rsid w:val="00616B35"/>
    <w:rsid w:val="00616B46"/>
    <w:rsid w:val="00616B58"/>
    <w:rsid w:val="00616BEB"/>
    <w:rsid w:val="00616CF4"/>
    <w:rsid w:val="00616EBB"/>
    <w:rsid w:val="00616F6B"/>
    <w:rsid w:val="00617033"/>
    <w:rsid w:val="00617057"/>
    <w:rsid w:val="00617248"/>
    <w:rsid w:val="0061738A"/>
    <w:rsid w:val="0061742E"/>
    <w:rsid w:val="0061758B"/>
    <w:rsid w:val="0061771E"/>
    <w:rsid w:val="006177CB"/>
    <w:rsid w:val="0061782A"/>
    <w:rsid w:val="00617857"/>
    <w:rsid w:val="00617878"/>
    <w:rsid w:val="0061797F"/>
    <w:rsid w:val="006179A7"/>
    <w:rsid w:val="00617BD7"/>
    <w:rsid w:val="00617BFC"/>
    <w:rsid w:val="00617CA9"/>
    <w:rsid w:val="00617F03"/>
    <w:rsid w:val="00617FA6"/>
    <w:rsid w:val="00617FF3"/>
    <w:rsid w:val="006202BD"/>
    <w:rsid w:val="00620327"/>
    <w:rsid w:val="0062033F"/>
    <w:rsid w:val="00620352"/>
    <w:rsid w:val="00620673"/>
    <w:rsid w:val="00620724"/>
    <w:rsid w:val="00620A84"/>
    <w:rsid w:val="00620AAB"/>
    <w:rsid w:val="00620C21"/>
    <w:rsid w:val="00620CA0"/>
    <w:rsid w:val="00620D60"/>
    <w:rsid w:val="00620DFA"/>
    <w:rsid w:val="00620E7F"/>
    <w:rsid w:val="00620F94"/>
    <w:rsid w:val="006211BA"/>
    <w:rsid w:val="006214AA"/>
    <w:rsid w:val="006214B6"/>
    <w:rsid w:val="00621615"/>
    <w:rsid w:val="006217E9"/>
    <w:rsid w:val="00621852"/>
    <w:rsid w:val="006219AF"/>
    <w:rsid w:val="00621A82"/>
    <w:rsid w:val="00621AFE"/>
    <w:rsid w:val="00621DE6"/>
    <w:rsid w:val="00621DF2"/>
    <w:rsid w:val="00621ECF"/>
    <w:rsid w:val="00621F7E"/>
    <w:rsid w:val="00621F96"/>
    <w:rsid w:val="00622346"/>
    <w:rsid w:val="0062236B"/>
    <w:rsid w:val="006223BA"/>
    <w:rsid w:val="006224EA"/>
    <w:rsid w:val="006227E6"/>
    <w:rsid w:val="00622A30"/>
    <w:rsid w:val="00622AE9"/>
    <w:rsid w:val="00622B15"/>
    <w:rsid w:val="00622BA1"/>
    <w:rsid w:val="00622E17"/>
    <w:rsid w:val="00622E85"/>
    <w:rsid w:val="00623015"/>
    <w:rsid w:val="00623182"/>
    <w:rsid w:val="006231F4"/>
    <w:rsid w:val="00623303"/>
    <w:rsid w:val="00623386"/>
    <w:rsid w:val="0062346F"/>
    <w:rsid w:val="0062351C"/>
    <w:rsid w:val="006236E3"/>
    <w:rsid w:val="00623A6C"/>
    <w:rsid w:val="00623BA3"/>
    <w:rsid w:val="00623C9C"/>
    <w:rsid w:val="00623CC0"/>
    <w:rsid w:val="00623EA6"/>
    <w:rsid w:val="00623F14"/>
    <w:rsid w:val="00624098"/>
    <w:rsid w:val="006241DE"/>
    <w:rsid w:val="00624215"/>
    <w:rsid w:val="00624289"/>
    <w:rsid w:val="006242B0"/>
    <w:rsid w:val="00624328"/>
    <w:rsid w:val="00624332"/>
    <w:rsid w:val="006244C1"/>
    <w:rsid w:val="006244F8"/>
    <w:rsid w:val="0062462A"/>
    <w:rsid w:val="00624699"/>
    <w:rsid w:val="006249ED"/>
    <w:rsid w:val="00624A9F"/>
    <w:rsid w:val="00624BB8"/>
    <w:rsid w:val="00624CA4"/>
    <w:rsid w:val="00624CF2"/>
    <w:rsid w:val="00625178"/>
    <w:rsid w:val="00625207"/>
    <w:rsid w:val="0062522F"/>
    <w:rsid w:val="00625248"/>
    <w:rsid w:val="0062544E"/>
    <w:rsid w:val="00625620"/>
    <w:rsid w:val="0062568C"/>
    <w:rsid w:val="006257B3"/>
    <w:rsid w:val="00625803"/>
    <w:rsid w:val="0062586F"/>
    <w:rsid w:val="00625D22"/>
    <w:rsid w:val="00625D41"/>
    <w:rsid w:val="00625DA9"/>
    <w:rsid w:val="00625DBE"/>
    <w:rsid w:val="00625EC7"/>
    <w:rsid w:val="00625EF0"/>
    <w:rsid w:val="00625FED"/>
    <w:rsid w:val="00626029"/>
    <w:rsid w:val="0062604A"/>
    <w:rsid w:val="0062605B"/>
    <w:rsid w:val="0062606C"/>
    <w:rsid w:val="0062649A"/>
    <w:rsid w:val="0062649C"/>
    <w:rsid w:val="0062651D"/>
    <w:rsid w:val="00626551"/>
    <w:rsid w:val="0062672F"/>
    <w:rsid w:val="00626836"/>
    <w:rsid w:val="00626856"/>
    <w:rsid w:val="00626869"/>
    <w:rsid w:val="006269AB"/>
    <w:rsid w:val="00626A2E"/>
    <w:rsid w:val="00626A80"/>
    <w:rsid w:val="00626B12"/>
    <w:rsid w:val="00626B90"/>
    <w:rsid w:val="00626BB1"/>
    <w:rsid w:val="00626C4B"/>
    <w:rsid w:val="00626C68"/>
    <w:rsid w:val="00626CB7"/>
    <w:rsid w:val="00626D7D"/>
    <w:rsid w:val="00626DD8"/>
    <w:rsid w:val="00626E25"/>
    <w:rsid w:val="006270A4"/>
    <w:rsid w:val="00627257"/>
    <w:rsid w:val="00627473"/>
    <w:rsid w:val="0062747E"/>
    <w:rsid w:val="006274CA"/>
    <w:rsid w:val="0062758C"/>
    <w:rsid w:val="006275C3"/>
    <w:rsid w:val="0062762F"/>
    <w:rsid w:val="006277C8"/>
    <w:rsid w:val="00627B4F"/>
    <w:rsid w:val="00627DCA"/>
    <w:rsid w:val="00627ED3"/>
    <w:rsid w:val="00627F22"/>
    <w:rsid w:val="00630057"/>
    <w:rsid w:val="00630082"/>
    <w:rsid w:val="0063011D"/>
    <w:rsid w:val="00630152"/>
    <w:rsid w:val="006302E0"/>
    <w:rsid w:val="00630347"/>
    <w:rsid w:val="006303C3"/>
    <w:rsid w:val="00630474"/>
    <w:rsid w:val="00630594"/>
    <w:rsid w:val="00630686"/>
    <w:rsid w:val="00630910"/>
    <w:rsid w:val="00630975"/>
    <w:rsid w:val="00630AE2"/>
    <w:rsid w:val="00630E70"/>
    <w:rsid w:val="00630EB3"/>
    <w:rsid w:val="00630F3E"/>
    <w:rsid w:val="00631142"/>
    <w:rsid w:val="006311E7"/>
    <w:rsid w:val="006311F0"/>
    <w:rsid w:val="00631205"/>
    <w:rsid w:val="006312BB"/>
    <w:rsid w:val="006315C4"/>
    <w:rsid w:val="006316D2"/>
    <w:rsid w:val="0063178B"/>
    <w:rsid w:val="00631937"/>
    <w:rsid w:val="00631A94"/>
    <w:rsid w:val="00631ADC"/>
    <w:rsid w:val="00631B06"/>
    <w:rsid w:val="00631B3C"/>
    <w:rsid w:val="00631CF2"/>
    <w:rsid w:val="00632114"/>
    <w:rsid w:val="006321FF"/>
    <w:rsid w:val="00632218"/>
    <w:rsid w:val="006325A1"/>
    <w:rsid w:val="00632666"/>
    <w:rsid w:val="00632697"/>
    <w:rsid w:val="00632857"/>
    <w:rsid w:val="006328B1"/>
    <w:rsid w:val="006328DB"/>
    <w:rsid w:val="00632935"/>
    <w:rsid w:val="0063294E"/>
    <w:rsid w:val="00632BCD"/>
    <w:rsid w:val="00632BE5"/>
    <w:rsid w:val="00632C78"/>
    <w:rsid w:val="00632CBF"/>
    <w:rsid w:val="00632D55"/>
    <w:rsid w:val="00632DAB"/>
    <w:rsid w:val="00632DE7"/>
    <w:rsid w:val="00632E4D"/>
    <w:rsid w:val="00632FA5"/>
    <w:rsid w:val="00632FB9"/>
    <w:rsid w:val="006330DE"/>
    <w:rsid w:val="00633176"/>
    <w:rsid w:val="00633431"/>
    <w:rsid w:val="006334FC"/>
    <w:rsid w:val="006335BC"/>
    <w:rsid w:val="0063363F"/>
    <w:rsid w:val="006336BF"/>
    <w:rsid w:val="00633750"/>
    <w:rsid w:val="00633823"/>
    <w:rsid w:val="006339E7"/>
    <w:rsid w:val="00633A6D"/>
    <w:rsid w:val="00633AEF"/>
    <w:rsid w:val="00633B69"/>
    <w:rsid w:val="00633C93"/>
    <w:rsid w:val="00633E29"/>
    <w:rsid w:val="00633E6A"/>
    <w:rsid w:val="00633EA0"/>
    <w:rsid w:val="00634020"/>
    <w:rsid w:val="0063405F"/>
    <w:rsid w:val="006340D3"/>
    <w:rsid w:val="0063429B"/>
    <w:rsid w:val="006343F5"/>
    <w:rsid w:val="006344CA"/>
    <w:rsid w:val="00634618"/>
    <w:rsid w:val="0063461C"/>
    <w:rsid w:val="0063470B"/>
    <w:rsid w:val="00634795"/>
    <w:rsid w:val="006348A3"/>
    <w:rsid w:val="006348D6"/>
    <w:rsid w:val="00634986"/>
    <w:rsid w:val="006349A4"/>
    <w:rsid w:val="00634AF7"/>
    <w:rsid w:val="00634B61"/>
    <w:rsid w:val="00634B6F"/>
    <w:rsid w:val="00634C48"/>
    <w:rsid w:val="00634E26"/>
    <w:rsid w:val="00634E50"/>
    <w:rsid w:val="00634F02"/>
    <w:rsid w:val="00634F76"/>
    <w:rsid w:val="00635013"/>
    <w:rsid w:val="006350F0"/>
    <w:rsid w:val="0063544A"/>
    <w:rsid w:val="006354EF"/>
    <w:rsid w:val="0063558F"/>
    <w:rsid w:val="0063562A"/>
    <w:rsid w:val="00635665"/>
    <w:rsid w:val="006356A4"/>
    <w:rsid w:val="00635792"/>
    <w:rsid w:val="006357F7"/>
    <w:rsid w:val="006358BC"/>
    <w:rsid w:val="006358DF"/>
    <w:rsid w:val="0063599A"/>
    <w:rsid w:val="00635A55"/>
    <w:rsid w:val="00635ACA"/>
    <w:rsid w:val="00635D16"/>
    <w:rsid w:val="00635D3F"/>
    <w:rsid w:val="00635D52"/>
    <w:rsid w:val="00635EB5"/>
    <w:rsid w:val="00635EF5"/>
    <w:rsid w:val="00636041"/>
    <w:rsid w:val="00636293"/>
    <w:rsid w:val="0063629D"/>
    <w:rsid w:val="0063638C"/>
    <w:rsid w:val="00636390"/>
    <w:rsid w:val="006363F1"/>
    <w:rsid w:val="006364A5"/>
    <w:rsid w:val="006364BC"/>
    <w:rsid w:val="006366E7"/>
    <w:rsid w:val="00636824"/>
    <w:rsid w:val="00636874"/>
    <w:rsid w:val="00636899"/>
    <w:rsid w:val="00636B6C"/>
    <w:rsid w:val="00636C63"/>
    <w:rsid w:val="00636E7F"/>
    <w:rsid w:val="00637007"/>
    <w:rsid w:val="0063704D"/>
    <w:rsid w:val="00637051"/>
    <w:rsid w:val="0063709B"/>
    <w:rsid w:val="00637128"/>
    <w:rsid w:val="006371D4"/>
    <w:rsid w:val="00637398"/>
    <w:rsid w:val="00637534"/>
    <w:rsid w:val="0063754F"/>
    <w:rsid w:val="0063761E"/>
    <w:rsid w:val="006379CB"/>
    <w:rsid w:val="00637A53"/>
    <w:rsid w:val="00637B5E"/>
    <w:rsid w:val="00637C65"/>
    <w:rsid w:val="00637DDB"/>
    <w:rsid w:val="00637DFC"/>
    <w:rsid w:val="00637E69"/>
    <w:rsid w:val="00637EDA"/>
    <w:rsid w:val="00637F69"/>
    <w:rsid w:val="00637FAB"/>
    <w:rsid w:val="0064008D"/>
    <w:rsid w:val="006400DA"/>
    <w:rsid w:val="006400FA"/>
    <w:rsid w:val="00640110"/>
    <w:rsid w:val="00640115"/>
    <w:rsid w:val="006401A5"/>
    <w:rsid w:val="0064026E"/>
    <w:rsid w:val="00640387"/>
    <w:rsid w:val="006403C5"/>
    <w:rsid w:val="00640428"/>
    <w:rsid w:val="00640478"/>
    <w:rsid w:val="0064061F"/>
    <w:rsid w:val="006406C1"/>
    <w:rsid w:val="00640716"/>
    <w:rsid w:val="0064076F"/>
    <w:rsid w:val="006408E9"/>
    <w:rsid w:val="00640B0B"/>
    <w:rsid w:val="00640C44"/>
    <w:rsid w:val="00640D05"/>
    <w:rsid w:val="00640D6B"/>
    <w:rsid w:val="00640DDD"/>
    <w:rsid w:val="00640F01"/>
    <w:rsid w:val="00640F09"/>
    <w:rsid w:val="006410BC"/>
    <w:rsid w:val="00641165"/>
    <w:rsid w:val="0064143D"/>
    <w:rsid w:val="00641554"/>
    <w:rsid w:val="0064177D"/>
    <w:rsid w:val="006417BA"/>
    <w:rsid w:val="006418A0"/>
    <w:rsid w:val="0064192D"/>
    <w:rsid w:val="00641968"/>
    <w:rsid w:val="00641977"/>
    <w:rsid w:val="0064198E"/>
    <w:rsid w:val="00641A27"/>
    <w:rsid w:val="00641B59"/>
    <w:rsid w:val="00641C40"/>
    <w:rsid w:val="00641CBE"/>
    <w:rsid w:val="00641DE4"/>
    <w:rsid w:val="00641F56"/>
    <w:rsid w:val="00641F68"/>
    <w:rsid w:val="00642051"/>
    <w:rsid w:val="00642204"/>
    <w:rsid w:val="006423FA"/>
    <w:rsid w:val="00642453"/>
    <w:rsid w:val="006425D9"/>
    <w:rsid w:val="0064285C"/>
    <w:rsid w:val="00642865"/>
    <w:rsid w:val="0064293D"/>
    <w:rsid w:val="00642950"/>
    <w:rsid w:val="00642982"/>
    <w:rsid w:val="006429B2"/>
    <w:rsid w:val="00642AE6"/>
    <w:rsid w:val="00642B53"/>
    <w:rsid w:val="00642B5B"/>
    <w:rsid w:val="00642B9D"/>
    <w:rsid w:val="00642CC6"/>
    <w:rsid w:val="00642D6C"/>
    <w:rsid w:val="00642E37"/>
    <w:rsid w:val="00642EFA"/>
    <w:rsid w:val="00642F34"/>
    <w:rsid w:val="00642F89"/>
    <w:rsid w:val="00642F8D"/>
    <w:rsid w:val="0064301B"/>
    <w:rsid w:val="006430BD"/>
    <w:rsid w:val="0064329A"/>
    <w:rsid w:val="00643350"/>
    <w:rsid w:val="00643556"/>
    <w:rsid w:val="006437AF"/>
    <w:rsid w:val="006437CB"/>
    <w:rsid w:val="006437D0"/>
    <w:rsid w:val="006437F1"/>
    <w:rsid w:val="0064394D"/>
    <w:rsid w:val="00643A82"/>
    <w:rsid w:val="00643BA1"/>
    <w:rsid w:val="00643D49"/>
    <w:rsid w:val="00643EB5"/>
    <w:rsid w:val="00643F16"/>
    <w:rsid w:val="00644004"/>
    <w:rsid w:val="00644066"/>
    <w:rsid w:val="006441A7"/>
    <w:rsid w:val="00644231"/>
    <w:rsid w:val="0064426D"/>
    <w:rsid w:val="006445B5"/>
    <w:rsid w:val="006446CD"/>
    <w:rsid w:val="00644746"/>
    <w:rsid w:val="00644972"/>
    <w:rsid w:val="006449CF"/>
    <w:rsid w:val="006449E5"/>
    <w:rsid w:val="006449E9"/>
    <w:rsid w:val="00644B0F"/>
    <w:rsid w:val="00644B5B"/>
    <w:rsid w:val="00644B65"/>
    <w:rsid w:val="00644BA5"/>
    <w:rsid w:val="00644D20"/>
    <w:rsid w:val="0064502A"/>
    <w:rsid w:val="00645046"/>
    <w:rsid w:val="0064537D"/>
    <w:rsid w:val="006453F7"/>
    <w:rsid w:val="006454B7"/>
    <w:rsid w:val="006454B8"/>
    <w:rsid w:val="0064566A"/>
    <w:rsid w:val="0064572C"/>
    <w:rsid w:val="00645824"/>
    <w:rsid w:val="00645A23"/>
    <w:rsid w:val="00645B10"/>
    <w:rsid w:val="00645BE7"/>
    <w:rsid w:val="00645FED"/>
    <w:rsid w:val="00646028"/>
    <w:rsid w:val="006461DC"/>
    <w:rsid w:val="0064640D"/>
    <w:rsid w:val="0064640F"/>
    <w:rsid w:val="00646554"/>
    <w:rsid w:val="00646557"/>
    <w:rsid w:val="006465B8"/>
    <w:rsid w:val="006466B5"/>
    <w:rsid w:val="006468C0"/>
    <w:rsid w:val="00646945"/>
    <w:rsid w:val="00646A64"/>
    <w:rsid w:val="00646AAB"/>
    <w:rsid w:val="00646CAB"/>
    <w:rsid w:val="00646D24"/>
    <w:rsid w:val="00646D3B"/>
    <w:rsid w:val="00646D95"/>
    <w:rsid w:val="00646DBC"/>
    <w:rsid w:val="00646DF4"/>
    <w:rsid w:val="00647035"/>
    <w:rsid w:val="006471FA"/>
    <w:rsid w:val="006472F6"/>
    <w:rsid w:val="00647323"/>
    <w:rsid w:val="00647426"/>
    <w:rsid w:val="00647434"/>
    <w:rsid w:val="00647588"/>
    <w:rsid w:val="00647694"/>
    <w:rsid w:val="006476A3"/>
    <w:rsid w:val="006476E9"/>
    <w:rsid w:val="0064772D"/>
    <w:rsid w:val="00647852"/>
    <w:rsid w:val="00647977"/>
    <w:rsid w:val="00647AB4"/>
    <w:rsid w:val="00647C14"/>
    <w:rsid w:val="00647C23"/>
    <w:rsid w:val="00647C76"/>
    <w:rsid w:val="00647E0E"/>
    <w:rsid w:val="00647E85"/>
    <w:rsid w:val="00647EC8"/>
    <w:rsid w:val="00647F2B"/>
    <w:rsid w:val="00650022"/>
    <w:rsid w:val="006500BC"/>
    <w:rsid w:val="006500E5"/>
    <w:rsid w:val="006501D4"/>
    <w:rsid w:val="00650254"/>
    <w:rsid w:val="00650352"/>
    <w:rsid w:val="0065042B"/>
    <w:rsid w:val="00650465"/>
    <w:rsid w:val="00650470"/>
    <w:rsid w:val="00650479"/>
    <w:rsid w:val="0065051D"/>
    <w:rsid w:val="006505C0"/>
    <w:rsid w:val="00650750"/>
    <w:rsid w:val="00650822"/>
    <w:rsid w:val="0065082E"/>
    <w:rsid w:val="006509C7"/>
    <w:rsid w:val="00650A2B"/>
    <w:rsid w:val="00650A7E"/>
    <w:rsid w:val="00650B62"/>
    <w:rsid w:val="00650C18"/>
    <w:rsid w:val="00650C66"/>
    <w:rsid w:val="00650C67"/>
    <w:rsid w:val="00650D6C"/>
    <w:rsid w:val="00650D99"/>
    <w:rsid w:val="00650E3F"/>
    <w:rsid w:val="00650F33"/>
    <w:rsid w:val="00651148"/>
    <w:rsid w:val="00651150"/>
    <w:rsid w:val="0065125F"/>
    <w:rsid w:val="00651756"/>
    <w:rsid w:val="00651836"/>
    <w:rsid w:val="00651915"/>
    <w:rsid w:val="00651A28"/>
    <w:rsid w:val="00651B4C"/>
    <w:rsid w:val="00651B77"/>
    <w:rsid w:val="00651B8C"/>
    <w:rsid w:val="00651C9B"/>
    <w:rsid w:val="00651CA7"/>
    <w:rsid w:val="00651D06"/>
    <w:rsid w:val="00651F5D"/>
    <w:rsid w:val="00652015"/>
    <w:rsid w:val="00652098"/>
    <w:rsid w:val="00652187"/>
    <w:rsid w:val="006521AE"/>
    <w:rsid w:val="0065238D"/>
    <w:rsid w:val="006523A0"/>
    <w:rsid w:val="006523F1"/>
    <w:rsid w:val="00652482"/>
    <w:rsid w:val="00652663"/>
    <w:rsid w:val="00652749"/>
    <w:rsid w:val="00652757"/>
    <w:rsid w:val="006527EF"/>
    <w:rsid w:val="00652830"/>
    <w:rsid w:val="006528B6"/>
    <w:rsid w:val="00652A92"/>
    <w:rsid w:val="00652AAA"/>
    <w:rsid w:val="00652ACA"/>
    <w:rsid w:val="00652B77"/>
    <w:rsid w:val="00652C2B"/>
    <w:rsid w:val="00652DF9"/>
    <w:rsid w:val="00652F6F"/>
    <w:rsid w:val="00652FA6"/>
    <w:rsid w:val="0065301E"/>
    <w:rsid w:val="00653121"/>
    <w:rsid w:val="006532D2"/>
    <w:rsid w:val="00653330"/>
    <w:rsid w:val="00653462"/>
    <w:rsid w:val="0065350F"/>
    <w:rsid w:val="0065353B"/>
    <w:rsid w:val="0065356F"/>
    <w:rsid w:val="006536D8"/>
    <w:rsid w:val="00653728"/>
    <w:rsid w:val="0065384F"/>
    <w:rsid w:val="006538AE"/>
    <w:rsid w:val="006538CA"/>
    <w:rsid w:val="006539A4"/>
    <w:rsid w:val="00653A76"/>
    <w:rsid w:val="00653AD9"/>
    <w:rsid w:val="00653AF8"/>
    <w:rsid w:val="00653BE0"/>
    <w:rsid w:val="00653C50"/>
    <w:rsid w:val="00653C57"/>
    <w:rsid w:val="00653C8C"/>
    <w:rsid w:val="00653CFF"/>
    <w:rsid w:val="00653D70"/>
    <w:rsid w:val="00653DC1"/>
    <w:rsid w:val="00653E87"/>
    <w:rsid w:val="00653F7A"/>
    <w:rsid w:val="00654273"/>
    <w:rsid w:val="006542CD"/>
    <w:rsid w:val="006542D6"/>
    <w:rsid w:val="006543A0"/>
    <w:rsid w:val="0065464E"/>
    <w:rsid w:val="0065471D"/>
    <w:rsid w:val="00654758"/>
    <w:rsid w:val="0065475C"/>
    <w:rsid w:val="006547F6"/>
    <w:rsid w:val="0065487D"/>
    <w:rsid w:val="006549B3"/>
    <w:rsid w:val="00654A61"/>
    <w:rsid w:val="00654A78"/>
    <w:rsid w:val="00654B86"/>
    <w:rsid w:val="00654B92"/>
    <w:rsid w:val="00654BD6"/>
    <w:rsid w:val="00654C22"/>
    <w:rsid w:val="00654C92"/>
    <w:rsid w:val="00654D29"/>
    <w:rsid w:val="00654E2C"/>
    <w:rsid w:val="00654F32"/>
    <w:rsid w:val="00654FAF"/>
    <w:rsid w:val="00654FEB"/>
    <w:rsid w:val="00655074"/>
    <w:rsid w:val="00655104"/>
    <w:rsid w:val="00655149"/>
    <w:rsid w:val="00655174"/>
    <w:rsid w:val="00655176"/>
    <w:rsid w:val="00655270"/>
    <w:rsid w:val="0065544A"/>
    <w:rsid w:val="006554C6"/>
    <w:rsid w:val="0065598C"/>
    <w:rsid w:val="00655A8E"/>
    <w:rsid w:val="00655B9F"/>
    <w:rsid w:val="00655DE1"/>
    <w:rsid w:val="00655E3D"/>
    <w:rsid w:val="00655E82"/>
    <w:rsid w:val="00655FAF"/>
    <w:rsid w:val="006560BD"/>
    <w:rsid w:val="0065623A"/>
    <w:rsid w:val="0065626D"/>
    <w:rsid w:val="00656287"/>
    <w:rsid w:val="006562F2"/>
    <w:rsid w:val="00656491"/>
    <w:rsid w:val="006564CF"/>
    <w:rsid w:val="00656534"/>
    <w:rsid w:val="00656574"/>
    <w:rsid w:val="00656731"/>
    <w:rsid w:val="0065684D"/>
    <w:rsid w:val="00656C1E"/>
    <w:rsid w:val="00656CF4"/>
    <w:rsid w:val="00656D78"/>
    <w:rsid w:val="00656FB1"/>
    <w:rsid w:val="00657030"/>
    <w:rsid w:val="006570FE"/>
    <w:rsid w:val="006572A4"/>
    <w:rsid w:val="006572DC"/>
    <w:rsid w:val="00657536"/>
    <w:rsid w:val="006576B1"/>
    <w:rsid w:val="00657989"/>
    <w:rsid w:val="00657B70"/>
    <w:rsid w:val="00657CF8"/>
    <w:rsid w:val="00657D64"/>
    <w:rsid w:val="00657D76"/>
    <w:rsid w:val="00657DE4"/>
    <w:rsid w:val="00657E05"/>
    <w:rsid w:val="00657E15"/>
    <w:rsid w:val="00657E31"/>
    <w:rsid w:val="00657E6F"/>
    <w:rsid w:val="00657F97"/>
    <w:rsid w:val="00657FA0"/>
    <w:rsid w:val="0066005D"/>
    <w:rsid w:val="006600ED"/>
    <w:rsid w:val="006600F0"/>
    <w:rsid w:val="00660189"/>
    <w:rsid w:val="006601BB"/>
    <w:rsid w:val="006602EB"/>
    <w:rsid w:val="006602EE"/>
    <w:rsid w:val="0066035F"/>
    <w:rsid w:val="006603A4"/>
    <w:rsid w:val="006603E1"/>
    <w:rsid w:val="00660413"/>
    <w:rsid w:val="0066049C"/>
    <w:rsid w:val="00660743"/>
    <w:rsid w:val="0066082E"/>
    <w:rsid w:val="006608BD"/>
    <w:rsid w:val="006609F4"/>
    <w:rsid w:val="00660A2A"/>
    <w:rsid w:val="00660A9D"/>
    <w:rsid w:val="00660C16"/>
    <w:rsid w:val="00660F79"/>
    <w:rsid w:val="00661095"/>
    <w:rsid w:val="006611A7"/>
    <w:rsid w:val="0066129A"/>
    <w:rsid w:val="0066187C"/>
    <w:rsid w:val="006619F8"/>
    <w:rsid w:val="00661A76"/>
    <w:rsid w:val="00661AAA"/>
    <w:rsid w:val="00661AB4"/>
    <w:rsid w:val="00661AFB"/>
    <w:rsid w:val="00661B25"/>
    <w:rsid w:val="00661D81"/>
    <w:rsid w:val="00661EFE"/>
    <w:rsid w:val="00662141"/>
    <w:rsid w:val="00662308"/>
    <w:rsid w:val="00662426"/>
    <w:rsid w:val="00662458"/>
    <w:rsid w:val="006624D5"/>
    <w:rsid w:val="006625ED"/>
    <w:rsid w:val="00662623"/>
    <w:rsid w:val="00662666"/>
    <w:rsid w:val="0066268B"/>
    <w:rsid w:val="00662693"/>
    <w:rsid w:val="00662720"/>
    <w:rsid w:val="00662A37"/>
    <w:rsid w:val="00662A45"/>
    <w:rsid w:val="00662ACE"/>
    <w:rsid w:val="00662AE0"/>
    <w:rsid w:val="00662C92"/>
    <w:rsid w:val="00662CC5"/>
    <w:rsid w:val="00662DF1"/>
    <w:rsid w:val="00662F58"/>
    <w:rsid w:val="006631A9"/>
    <w:rsid w:val="006632E6"/>
    <w:rsid w:val="0066335F"/>
    <w:rsid w:val="006634C5"/>
    <w:rsid w:val="0066351C"/>
    <w:rsid w:val="00663558"/>
    <w:rsid w:val="00663586"/>
    <w:rsid w:val="006636BF"/>
    <w:rsid w:val="006636C2"/>
    <w:rsid w:val="00663710"/>
    <w:rsid w:val="006637CD"/>
    <w:rsid w:val="0066381C"/>
    <w:rsid w:val="0066382E"/>
    <w:rsid w:val="00663868"/>
    <w:rsid w:val="00663933"/>
    <w:rsid w:val="00663936"/>
    <w:rsid w:val="00663AF7"/>
    <w:rsid w:val="00663B7F"/>
    <w:rsid w:val="00663D91"/>
    <w:rsid w:val="00663DD3"/>
    <w:rsid w:val="00663DE0"/>
    <w:rsid w:val="00664193"/>
    <w:rsid w:val="006641BC"/>
    <w:rsid w:val="006642DE"/>
    <w:rsid w:val="0066431F"/>
    <w:rsid w:val="006643F4"/>
    <w:rsid w:val="00664411"/>
    <w:rsid w:val="00664718"/>
    <w:rsid w:val="006649C3"/>
    <w:rsid w:val="00664C17"/>
    <w:rsid w:val="00665020"/>
    <w:rsid w:val="006650BB"/>
    <w:rsid w:val="00665303"/>
    <w:rsid w:val="006653EA"/>
    <w:rsid w:val="00665545"/>
    <w:rsid w:val="0066576E"/>
    <w:rsid w:val="00665841"/>
    <w:rsid w:val="0066589C"/>
    <w:rsid w:val="006658F2"/>
    <w:rsid w:val="0066593D"/>
    <w:rsid w:val="006659B1"/>
    <w:rsid w:val="006659F3"/>
    <w:rsid w:val="00665AAB"/>
    <w:rsid w:val="00665B7D"/>
    <w:rsid w:val="00665C8D"/>
    <w:rsid w:val="00665D65"/>
    <w:rsid w:val="00665D98"/>
    <w:rsid w:val="00665E67"/>
    <w:rsid w:val="00665F6E"/>
    <w:rsid w:val="0066608D"/>
    <w:rsid w:val="00666137"/>
    <w:rsid w:val="0066617C"/>
    <w:rsid w:val="00666277"/>
    <w:rsid w:val="0066627A"/>
    <w:rsid w:val="0066641E"/>
    <w:rsid w:val="00666458"/>
    <w:rsid w:val="00666477"/>
    <w:rsid w:val="00666584"/>
    <w:rsid w:val="00666625"/>
    <w:rsid w:val="00666637"/>
    <w:rsid w:val="006666E4"/>
    <w:rsid w:val="006666E8"/>
    <w:rsid w:val="006667AC"/>
    <w:rsid w:val="006667CA"/>
    <w:rsid w:val="0066685F"/>
    <w:rsid w:val="006669EC"/>
    <w:rsid w:val="00666A16"/>
    <w:rsid w:val="00666A85"/>
    <w:rsid w:val="00666D89"/>
    <w:rsid w:val="00666FAA"/>
    <w:rsid w:val="00666FB2"/>
    <w:rsid w:val="00666FB5"/>
    <w:rsid w:val="00666FC8"/>
    <w:rsid w:val="00667193"/>
    <w:rsid w:val="00667206"/>
    <w:rsid w:val="006672AD"/>
    <w:rsid w:val="0066731A"/>
    <w:rsid w:val="0066736F"/>
    <w:rsid w:val="006674D5"/>
    <w:rsid w:val="006675FF"/>
    <w:rsid w:val="00667690"/>
    <w:rsid w:val="006676B3"/>
    <w:rsid w:val="00667799"/>
    <w:rsid w:val="006677B8"/>
    <w:rsid w:val="006677DA"/>
    <w:rsid w:val="006678AC"/>
    <w:rsid w:val="00667B8E"/>
    <w:rsid w:val="00667B9F"/>
    <w:rsid w:val="00667C03"/>
    <w:rsid w:val="00667D37"/>
    <w:rsid w:val="00667E82"/>
    <w:rsid w:val="00667EA1"/>
    <w:rsid w:val="00667F11"/>
    <w:rsid w:val="00667FF0"/>
    <w:rsid w:val="00670036"/>
    <w:rsid w:val="006700FD"/>
    <w:rsid w:val="00670188"/>
    <w:rsid w:val="006701A3"/>
    <w:rsid w:val="006701FD"/>
    <w:rsid w:val="006702A3"/>
    <w:rsid w:val="0067031E"/>
    <w:rsid w:val="0067039F"/>
    <w:rsid w:val="00670561"/>
    <w:rsid w:val="00670722"/>
    <w:rsid w:val="006707E2"/>
    <w:rsid w:val="0067080A"/>
    <w:rsid w:val="00670A25"/>
    <w:rsid w:val="00670A28"/>
    <w:rsid w:val="00670C40"/>
    <w:rsid w:val="00670DB0"/>
    <w:rsid w:val="00670E58"/>
    <w:rsid w:val="00670F60"/>
    <w:rsid w:val="0067111C"/>
    <w:rsid w:val="0067113E"/>
    <w:rsid w:val="0067115D"/>
    <w:rsid w:val="00671376"/>
    <w:rsid w:val="0067140F"/>
    <w:rsid w:val="00671492"/>
    <w:rsid w:val="006714BC"/>
    <w:rsid w:val="006715CE"/>
    <w:rsid w:val="0067175B"/>
    <w:rsid w:val="006717E9"/>
    <w:rsid w:val="0067183D"/>
    <w:rsid w:val="00671843"/>
    <w:rsid w:val="00671957"/>
    <w:rsid w:val="00671AF4"/>
    <w:rsid w:val="00671C9D"/>
    <w:rsid w:val="00671F62"/>
    <w:rsid w:val="00672106"/>
    <w:rsid w:val="006722D1"/>
    <w:rsid w:val="006722DC"/>
    <w:rsid w:val="006722EB"/>
    <w:rsid w:val="0067232B"/>
    <w:rsid w:val="006723C8"/>
    <w:rsid w:val="00672469"/>
    <w:rsid w:val="00672609"/>
    <w:rsid w:val="006726CB"/>
    <w:rsid w:val="00672770"/>
    <w:rsid w:val="006727B7"/>
    <w:rsid w:val="006728B4"/>
    <w:rsid w:val="00672AB4"/>
    <w:rsid w:val="00672B28"/>
    <w:rsid w:val="00672B5B"/>
    <w:rsid w:val="00672CE3"/>
    <w:rsid w:val="00672D04"/>
    <w:rsid w:val="00672E91"/>
    <w:rsid w:val="00672FA3"/>
    <w:rsid w:val="00673028"/>
    <w:rsid w:val="006730E2"/>
    <w:rsid w:val="0067312A"/>
    <w:rsid w:val="0067317B"/>
    <w:rsid w:val="006731A9"/>
    <w:rsid w:val="00673216"/>
    <w:rsid w:val="00673326"/>
    <w:rsid w:val="006736FD"/>
    <w:rsid w:val="00673782"/>
    <w:rsid w:val="0067388C"/>
    <w:rsid w:val="006739E2"/>
    <w:rsid w:val="00673ADE"/>
    <w:rsid w:val="00673AF9"/>
    <w:rsid w:val="00673B27"/>
    <w:rsid w:val="00673B2F"/>
    <w:rsid w:val="00673BE4"/>
    <w:rsid w:val="00673BFE"/>
    <w:rsid w:val="00673C0A"/>
    <w:rsid w:val="00673CB0"/>
    <w:rsid w:val="00673CF5"/>
    <w:rsid w:val="00673D40"/>
    <w:rsid w:val="00673D6B"/>
    <w:rsid w:val="00673DD1"/>
    <w:rsid w:val="00673E1A"/>
    <w:rsid w:val="00673E98"/>
    <w:rsid w:val="00673EAB"/>
    <w:rsid w:val="006740A8"/>
    <w:rsid w:val="0067411B"/>
    <w:rsid w:val="006741BB"/>
    <w:rsid w:val="006741C2"/>
    <w:rsid w:val="006741D4"/>
    <w:rsid w:val="006742D7"/>
    <w:rsid w:val="0067434C"/>
    <w:rsid w:val="006744A8"/>
    <w:rsid w:val="006746A2"/>
    <w:rsid w:val="00674719"/>
    <w:rsid w:val="00674835"/>
    <w:rsid w:val="0067483C"/>
    <w:rsid w:val="00674A1D"/>
    <w:rsid w:val="00674B6F"/>
    <w:rsid w:val="00674C6F"/>
    <w:rsid w:val="00674C73"/>
    <w:rsid w:val="00674F51"/>
    <w:rsid w:val="0067504D"/>
    <w:rsid w:val="006750E4"/>
    <w:rsid w:val="006751E4"/>
    <w:rsid w:val="006752A0"/>
    <w:rsid w:val="0067542A"/>
    <w:rsid w:val="0067543F"/>
    <w:rsid w:val="006754B2"/>
    <w:rsid w:val="006754F5"/>
    <w:rsid w:val="0067550D"/>
    <w:rsid w:val="00675541"/>
    <w:rsid w:val="0067559E"/>
    <w:rsid w:val="006755A5"/>
    <w:rsid w:val="006756BC"/>
    <w:rsid w:val="0067598C"/>
    <w:rsid w:val="006759BF"/>
    <w:rsid w:val="00675AE7"/>
    <w:rsid w:val="00675B96"/>
    <w:rsid w:val="00675E05"/>
    <w:rsid w:val="00675FB5"/>
    <w:rsid w:val="00676025"/>
    <w:rsid w:val="006761C0"/>
    <w:rsid w:val="006761C9"/>
    <w:rsid w:val="006761CC"/>
    <w:rsid w:val="006762A1"/>
    <w:rsid w:val="00676568"/>
    <w:rsid w:val="006766CE"/>
    <w:rsid w:val="0067672A"/>
    <w:rsid w:val="006767CD"/>
    <w:rsid w:val="00676831"/>
    <w:rsid w:val="006769B3"/>
    <w:rsid w:val="006769CF"/>
    <w:rsid w:val="006769F9"/>
    <w:rsid w:val="00676ACC"/>
    <w:rsid w:val="00676B57"/>
    <w:rsid w:val="00676BA5"/>
    <w:rsid w:val="00676EF1"/>
    <w:rsid w:val="00676FB3"/>
    <w:rsid w:val="006770BC"/>
    <w:rsid w:val="00677155"/>
    <w:rsid w:val="00677242"/>
    <w:rsid w:val="00677387"/>
    <w:rsid w:val="006775D5"/>
    <w:rsid w:val="00677657"/>
    <w:rsid w:val="006776C1"/>
    <w:rsid w:val="0067772C"/>
    <w:rsid w:val="00677751"/>
    <w:rsid w:val="00677761"/>
    <w:rsid w:val="006779B2"/>
    <w:rsid w:val="00677AD8"/>
    <w:rsid w:val="00677D6C"/>
    <w:rsid w:val="00677D92"/>
    <w:rsid w:val="00677D93"/>
    <w:rsid w:val="00677E3A"/>
    <w:rsid w:val="00677E59"/>
    <w:rsid w:val="00677EF8"/>
    <w:rsid w:val="006800FF"/>
    <w:rsid w:val="0068015A"/>
    <w:rsid w:val="0068023B"/>
    <w:rsid w:val="00680256"/>
    <w:rsid w:val="006802B7"/>
    <w:rsid w:val="00680363"/>
    <w:rsid w:val="006803F7"/>
    <w:rsid w:val="00680474"/>
    <w:rsid w:val="0068069F"/>
    <w:rsid w:val="00680ACD"/>
    <w:rsid w:val="00680B35"/>
    <w:rsid w:val="00680B3A"/>
    <w:rsid w:val="00680C0B"/>
    <w:rsid w:val="00680CF5"/>
    <w:rsid w:val="00680D9B"/>
    <w:rsid w:val="00680DF4"/>
    <w:rsid w:val="00680E51"/>
    <w:rsid w:val="0068113D"/>
    <w:rsid w:val="0068118D"/>
    <w:rsid w:val="00681247"/>
    <w:rsid w:val="006812A8"/>
    <w:rsid w:val="006813E0"/>
    <w:rsid w:val="006815C9"/>
    <w:rsid w:val="00681676"/>
    <w:rsid w:val="006816D0"/>
    <w:rsid w:val="006817A8"/>
    <w:rsid w:val="00681822"/>
    <w:rsid w:val="0068188A"/>
    <w:rsid w:val="006818FD"/>
    <w:rsid w:val="0068190C"/>
    <w:rsid w:val="006819E4"/>
    <w:rsid w:val="00681CEA"/>
    <w:rsid w:val="00681D74"/>
    <w:rsid w:val="00681DE3"/>
    <w:rsid w:val="00681FAA"/>
    <w:rsid w:val="0068208E"/>
    <w:rsid w:val="0068209B"/>
    <w:rsid w:val="006820CB"/>
    <w:rsid w:val="006821BF"/>
    <w:rsid w:val="006822FF"/>
    <w:rsid w:val="0068244A"/>
    <w:rsid w:val="00682495"/>
    <w:rsid w:val="006824B9"/>
    <w:rsid w:val="0068253C"/>
    <w:rsid w:val="006825FC"/>
    <w:rsid w:val="0068261A"/>
    <w:rsid w:val="0068264C"/>
    <w:rsid w:val="006826A5"/>
    <w:rsid w:val="006826C1"/>
    <w:rsid w:val="00682A3E"/>
    <w:rsid w:val="00682A8E"/>
    <w:rsid w:val="00682BA7"/>
    <w:rsid w:val="00682C68"/>
    <w:rsid w:val="00682C94"/>
    <w:rsid w:val="00682CBC"/>
    <w:rsid w:val="00682D2B"/>
    <w:rsid w:val="0068309D"/>
    <w:rsid w:val="0068313B"/>
    <w:rsid w:val="0068315E"/>
    <w:rsid w:val="0068319A"/>
    <w:rsid w:val="006832CF"/>
    <w:rsid w:val="0068331D"/>
    <w:rsid w:val="0068332B"/>
    <w:rsid w:val="0068357F"/>
    <w:rsid w:val="0068360E"/>
    <w:rsid w:val="006836A2"/>
    <w:rsid w:val="006838D1"/>
    <w:rsid w:val="006838E0"/>
    <w:rsid w:val="006838E6"/>
    <w:rsid w:val="006839D9"/>
    <w:rsid w:val="00683B1A"/>
    <w:rsid w:val="00683C28"/>
    <w:rsid w:val="00683C71"/>
    <w:rsid w:val="00683CCB"/>
    <w:rsid w:val="00683CCD"/>
    <w:rsid w:val="00683D79"/>
    <w:rsid w:val="00683DFE"/>
    <w:rsid w:val="00683E9F"/>
    <w:rsid w:val="00683EC9"/>
    <w:rsid w:val="00683F6B"/>
    <w:rsid w:val="00683FFE"/>
    <w:rsid w:val="006840FE"/>
    <w:rsid w:val="0068426F"/>
    <w:rsid w:val="00684396"/>
    <w:rsid w:val="006843FD"/>
    <w:rsid w:val="00684419"/>
    <w:rsid w:val="00684546"/>
    <w:rsid w:val="00684552"/>
    <w:rsid w:val="006846CF"/>
    <w:rsid w:val="00684721"/>
    <w:rsid w:val="00684862"/>
    <w:rsid w:val="006849E2"/>
    <w:rsid w:val="00684B05"/>
    <w:rsid w:val="00684B0E"/>
    <w:rsid w:val="00684B43"/>
    <w:rsid w:val="00684BA4"/>
    <w:rsid w:val="00684C00"/>
    <w:rsid w:val="00684EA9"/>
    <w:rsid w:val="00684EDC"/>
    <w:rsid w:val="00684FD9"/>
    <w:rsid w:val="0068516F"/>
    <w:rsid w:val="006851C7"/>
    <w:rsid w:val="006851D6"/>
    <w:rsid w:val="00685324"/>
    <w:rsid w:val="006853E6"/>
    <w:rsid w:val="00685430"/>
    <w:rsid w:val="006856E5"/>
    <w:rsid w:val="00685726"/>
    <w:rsid w:val="006857CE"/>
    <w:rsid w:val="0068584F"/>
    <w:rsid w:val="00685850"/>
    <w:rsid w:val="00685999"/>
    <w:rsid w:val="00685B48"/>
    <w:rsid w:val="00685B63"/>
    <w:rsid w:val="00685B8D"/>
    <w:rsid w:val="00685C45"/>
    <w:rsid w:val="00685CF1"/>
    <w:rsid w:val="00685F59"/>
    <w:rsid w:val="00685FDD"/>
    <w:rsid w:val="0068604E"/>
    <w:rsid w:val="006862F3"/>
    <w:rsid w:val="0068638F"/>
    <w:rsid w:val="006863BC"/>
    <w:rsid w:val="006863F1"/>
    <w:rsid w:val="00686433"/>
    <w:rsid w:val="0068649D"/>
    <w:rsid w:val="006864BE"/>
    <w:rsid w:val="006864C5"/>
    <w:rsid w:val="006865C8"/>
    <w:rsid w:val="006867A4"/>
    <w:rsid w:val="00686859"/>
    <w:rsid w:val="006868E3"/>
    <w:rsid w:val="00686A4C"/>
    <w:rsid w:val="00686B06"/>
    <w:rsid w:val="00686DDD"/>
    <w:rsid w:val="0068709B"/>
    <w:rsid w:val="00687150"/>
    <w:rsid w:val="006871AF"/>
    <w:rsid w:val="0068723F"/>
    <w:rsid w:val="0068756D"/>
    <w:rsid w:val="006875DA"/>
    <w:rsid w:val="006876D4"/>
    <w:rsid w:val="0068779A"/>
    <w:rsid w:val="006877FC"/>
    <w:rsid w:val="00687838"/>
    <w:rsid w:val="0068787E"/>
    <w:rsid w:val="00687B4D"/>
    <w:rsid w:val="00687B50"/>
    <w:rsid w:val="00687C90"/>
    <w:rsid w:val="00687CC6"/>
    <w:rsid w:val="00687D6B"/>
    <w:rsid w:val="00687DB1"/>
    <w:rsid w:val="00687E83"/>
    <w:rsid w:val="00687EA5"/>
    <w:rsid w:val="00687EE3"/>
    <w:rsid w:val="00687F60"/>
    <w:rsid w:val="0069003E"/>
    <w:rsid w:val="006900CF"/>
    <w:rsid w:val="0069024C"/>
    <w:rsid w:val="00690325"/>
    <w:rsid w:val="00690339"/>
    <w:rsid w:val="00690497"/>
    <w:rsid w:val="006904B2"/>
    <w:rsid w:val="006904EE"/>
    <w:rsid w:val="0069056C"/>
    <w:rsid w:val="0069070E"/>
    <w:rsid w:val="00690750"/>
    <w:rsid w:val="006907E5"/>
    <w:rsid w:val="00690806"/>
    <w:rsid w:val="006908FB"/>
    <w:rsid w:val="00690B08"/>
    <w:rsid w:val="00690C21"/>
    <w:rsid w:val="00690C2F"/>
    <w:rsid w:val="00691043"/>
    <w:rsid w:val="0069112C"/>
    <w:rsid w:val="006912D4"/>
    <w:rsid w:val="006914D4"/>
    <w:rsid w:val="006915AD"/>
    <w:rsid w:val="00691851"/>
    <w:rsid w:val="006918B8"/>
    <w:rsid w:val="00691ACD"/>
    <w:rsid w:val="00691C71"/>
    <w:rsid w:val="00691C7E"/>
    <w:rsid w:val="00691CA9"/>
    <w:rsid w:val="00691CAC"/>
    <w:rsid w:val="00691DEF"/>
    <w:rsid w:val="00691DF7"/>
    <w:rsid w:val="00691E44"/>
    <w:rsid w:val="00692088"/>
    <w:rsid w:val="006921F5"/>
    <w:rsid w:val="0069222F"/>
    <w:rsid w:val="00692386"/>
    <w:rsid w:val="0069261D"/>
    <w:rsid w:val="006927C7"/>
    <w:rsid w:val="00692981"/>
    <w:rsid w:val="006929B7"/>
    <w:rsid w:val="00692A0E"/>
    <w:rsid w:val="00692A3C"/>
    <w:rsid w:val="00692A6F"/>
    <w:rsid w:val="00692AB8"/>
    <w:rsid w:val="00692B5E"/>
    <w:rsid w:val="00692C8F"/>
    <w:rsid w:val="00692DAB"/>
    <w:rsid w:val="00692F81"/>
    <w:rsid w:val="00692FAB"/>
    <w:rsid w:val="006931AA"/>
    <w:rsid w:val="006931F2"/>
    <w:rsid w:val="00693369"/>
    <w:rsid w:val="0069338B"/>
    <w:rsid w:val="00693426"/>
    <w:rsid w:val="0069342D"/>
    <w:rsid w:val="006934F0"/>
    <w:rsid w:val="006935B8"/>
    <w:rsid w:val="00693714"/>
    <w:rsid w:val="00693823"/>
    <w:rsid w:val="00693899"/>
    <w:rsid w:val="006938C5"/>
    <w:rsid w:val="00693ABC"/>
    <w:rsid w:val="00693B90"/>
    <w:rsid w:val="00693BE6"/>
    <w:rsid w:val="00693CD0"/>
    <w:rsid w:val="00693D3D"/>
    <w:rsid w:val="00693F0A"/>
    <w:rsid w:val="00693F1B"/>
    <w:rsid w:val="00693F3C"/>
    <w:rsid w:val="00693FAD"/>
    <w:rsid w:val="006943E9"/>
    <w:rsid w:val="00694403"/>
    <w:rsid w:val="006945ED"/>
    <w:rsid w:val="00694756"/>
    <w:rsid w:val="00694797"/>
    <w:rsid w:val="00694839"/>
    <w:rsid w:val="006949D6"/>
    <w:rsid w:val="00694BB5"/>
    <w:rsid w:val="00694BDF"/>
    <w:rsid w:val="00694C7F"/>
    <w:rsid w:val="00694CB4"/>
    <w:rsid w:val="00694F0A"/>
    <w:rsid w:val="00694FCD"/>
    <w:rsid w:val="00695058"/>
    <w:rsid w:val="006950E5"/>
    <w:rsid w:val="00695152"/>
    <w:rsid w:val="006951C1"/>
    <w:rsid w:val="006954AF"/>
    <w:rsid w:val="006954E1"/>
    <w:rsid w:val="0069556F"/>
    <w:rsid w:val="006956ED"/>
    <w:rsid w:val="006958FD"/>
    <w:rsid w:val="00695931"/>
    <w:rsid w:val="00695962"/>
    <w:rsid w:val="00695989"/>
    <w:rsid w:val="00695A5F"/>
    <w:rsid w:val="00695BFF"/>
    <w:rsid w:val="00695CA7"/>
    <w:rsid w:val="00695EA9"/>
    <w:rsid w:val="00695EE6"/>
    <w:rsid w:val="00695EEA"/>
    <w:rsid w:val="00695FDF"/>
    <w:rsid w:val="006960D0"/>
    <w:rsid w:val="006960D7"/>
    <w:rsid w:val="00696190"/>
    <w:rsid w:val="006961D0"/>
    <w:rsid w:val="00696205"/>
    <w:rsid w:val="006963A6"/>
    <w:rsid w:val="00696415"/>
    <w:rsid w:val="0069658D"/>
    <w:rsid w:val="006965B5"/>
    <w:rsid w:val="00696609"/>
    <w:rsid w:val="00696627"/>
    <w:rsid w:val="006967B1"/>
    <w:rsid w:val="0069687B"/>
    <w:rsid w:val="006968B9"/>
    <w:rsid w:val="006968FD"/>
    <w:rsid w:val="006969F6"/>
    <w:rsid w:val="00696A8D"/>
    <w:rsid w:val="00696AEA"/>
    <w:rsid w:val="00696B47"/>
    <w:rsid w:val="00696BF0"/>
    <w:rsid w:val="00696C1B"/>
    <w:rsid w:val="00696DCD"/>
    <w:rsid w:val="00696DCF"/>
    <w:rsid w:val="00696E84"/>
    <w:rsid w:val="00697026"/>
    <w:rsid w:val="00697098"/>
    <w:rsid w:val="00697395"/>
    <w:rsid w:val="006973E5"/>
    <w:rsid w:val="00697400"/>
    <w:rsid w:val="00697423"/>
    <w:rsid w:val="006977AC"/>
    <w:rsid w:val="006977DF"/>
    <w:rsid w:val="00697A00"/>
    <w:rsid w:val="00697AE5"/>
    <w:rsid w:val="00697CDA"/>
    <w:rsid w:val="00697D50"/>
    <w:rsid w:val="00697E29"/>
    <w:rsid w:val="00697E82"/>
    <w:rsid w:val="00697EEA"/>
    <w:rsid w:val="00697F3F"/>
    <w:rsid w:val="006A0030"/>
    <w:rsid w:val="006A0102"/>
    <w:rsid w:val="006A014A"/>
    <w:rsid w:val="006A015F"/>
    <w:rsid w:val="006A0194"/>
    <w:rsid w:val="006A0241"/>
    <w:rsid w:val="006A0259"/>
    <w:rsid w:val="006A0282"/>
    <w:rsid w:val="006A02D4"/>
    <w:rsid w:val="006A02DC"/>
    <w:rsid w:val="006A0334"/>
    <w:rsid w:val="006A03EA"/>
    <w:rsid w:val="006A0438"/>
    <w:rsid w:val="006A05AA"/>
    <w:rsid w:val="006A060E"/>
    <w:rsid w:val="006A0813"/>
    <w:rsid w:val="006A087D"/>
    <w:rsid w:val="006A0963"/>
    <w:rsid w:val="006A0AA7"/>
    <w:rsid w:val="006A0B6B"/>
    <w:rsid w:val="006A0B81"/>
    <w:rsid w:val="006A0BBD"/>
    <w:rsid w:val="006A0BD8"/>
    <w:rsid w:val="006A0CB7"/>
    <w:rsid w:val="006A0E30"/>
    <w:rsid w:val="006A0E7F"/>
    <w:rsid w:val="006A0EA0"/>
    <w:rsid w:val="006A1016"/>
    <w:rsid w:val="006A1123"/>
    <w:rsid w:val="006A1171"/>
    <w:rsid w:val="006A11BE"/>
    <w:rsid w:val="006A11EB"/>
    <w:rsid w:val="006A129A"/>
    <w:rsid w:val="006A12BE"/>
    <w:rsid w:val="006A13B4"/>
    <w:rsid w:val="006A13FF"/>
    <w:rsid w:val="006A145F"/>
    <w:rsid w:val="006A154D"/>
    <w:rsid w:val="006A1638"/>
    <w:rsid w:val="006A164D"/>
    <w:rsid w:val="006A1697"/>
    <w:rsid w:val="006A1967"/>
    <w:rsid w:val="006A19FE"/>
    <w:rsid w:val="006A1A0F"/>
    <w:rsid w:val="006A1B13"/>
    <w:rsid w:val="006A1B4F"/>
    <w:rsid w:val="006A1C1B"/>
    <w:rsid w:val="006A1C73"/>
    <w:rsid w:val="006A1CAD"/>
    <w:rsid w:val="006A1DA6"/>
    <w:rsid w:val="006A2141"/>
    <w:rsid w:val="006A21BF"/>
    <w:rsid w:val="006A244A"/>
    <w:rsid w:val="006A282F"/>
    <w:rsid w:val="006A2869"/>
    <w:rsid w:val="006A28B5"/>
    <w:rsid w:val="006A2A0D"/>
    <w:rsid w:val="006A2B48"/>
    <w:rsid w:val="006A2C7E"/>
    <w:rsid w:val="006A2D1A"/>
    <w:rsid w:val="006A2D95"/>
    <w:rsid w:val="006A2E3C"/>
    <w:rsid w:val="006A2E93"/>
    <w:rsid w:val="006A2EF9"/>
    <w:rsid w:val="006A3032"/>
    <w:rsid w:val="006A30EE"/>
    <w:rsid w:val="006A310E"/>
    <w:rsid w:val="006A3143"/>
    <w:rsid w:val="006A323D"/>
    <w:rsid w:val="006A357C"/>
    <w:rsid w:val="006A38A4"/>
    <w:rsid w:val="006A3A1A"/>
    <w:rsid w:val="006A3A2A"/>
    <w:rsid w:val="006A3AF5"/>
    <w:rsid w:val="006A3B6D"/>
    <w:rsid w:val="006A3B81"/>
    <w:rsid w:val="006A3C95"/>
    <w:rsid w:val="006A3E07"/>
    <w:rsid w:val="006A3F0F"/>
    <w:rsid w:val="006A3FF3"/>
    <w:rsid w:val="006A4074"/>
    <w:rsid w:val="006A411F"/>
    <w:rsid w:val="006A4155"/>
    <w:rsid w:val="006A42E0"/>
    <w:rsid w:val="006A4326"/>
    <w:rsid w:val="006A432E"/>
    <w:rsid w:val="006A456D"/>
    <w:rsid w:val="006A4773"/>
    <w:rsid w:val="006A4782"/>
    <w:rsid w:val="006A47AC"/>
    <w:rsid w:val="006A47C8"/>
    <w:rsid w:val="006A4801"/>
    <w:rsid w:val="006A48AE"/>
    <w:rsid w:val="006A4A25"/>
    <w:rsid w:val="006A4AB5"/>
    <w:rsid w:val="006A4C21"/>
    <w:rsid w:val="006A4CBB"/>
    <w:rsid w:val="006A4DFB"/>
    <w:rsid w:val="006A4F74"/>
    <w:rsid w:val="006A508F"/>
    <w:rsid w:val="006A517A"/>
    <w:rsid w:val="006A526B"/>
    <w:rsid w:val="006A52A7"/>
    <w:rsid w:val="006A537C"/>
    <w:rsid w:val="006A5440"/>
    <w:rsid w:val="006A5497"/>
    <w:rsid w:val="006A54C9"/>
    <w:rsid w:val="006A54E8"/>
    <w:rsid w:val="006A54F7"/>
    <w:rsid w:val="006A594A"/>
    <w:rsid w:val="006A59BB"/>
    <w:rsid w:val="006A5DEC"/>
    <w:rsid w:val="006A6004"/>
    <w:rsid w:val="006A6047"/>
    <w:rsid w:val="006A60B4"/>
    <w:rsid w:val="006A610B"/>
    <w:rsid w:val="006A6150"/>
    <w:rsid w:val="006A6220"/>
    <w:rsid w:val="006A6448"/>
    <w:rsid w:val="006A6530"/>
    <w:rsid w:val="006A659C"/>
    <w:rsid w:val="006A6A5F"/>
    <w:rsid w:val="006A6A99"/>
    <w:rsid w:val="006A6C54"/>
    <w:rsid w:val="006A6D51"/>
    <w:rsid w:val="006A6E66"/>
    <w:rsid w:val="006A6E8A"/>
    <w:rsid w:val="006A705E"/>
    <w:rsid w:val="006A74DA"/>
    <w:rsid w:val="006A7688"/>
    <w:rsid w:val="006A76AD"/>
    <w:rsid w:val="006A76E2"/>
    <w:rsid w:val="006A77B5"/>
    <w:rsid w:val="006A7B9C"/>
    <w:rsid w:val="006A7C1D"/>
    <w:rsid w:val="006A7C65"/>
    <w:rsid w:val="006A7C8B"/>
    <w:rsid w:val="006A7CE2"/>
    <w:rsid w:val="006A7E86"/>
    <w:rsid w:val="006A7F2B"/>
    <w:rsid w:val="006A7F40"/>
    <w:rsid w:val="006B0063"/>
    <w:rsid w:val="006B00DD"/>
    <w:rsid w:val="006B0153"/>
    <w:rsid w:val="006B0175"/>
    <w:rsid w:val="006B024C"/>
    <w:rsid w:val="006B0301"/>
    <w:rsid w:val="006B0324"/>
    <w:rsid w:val="006B032C"/>
    <w:rsid w:val="006B0358"/>
    <w:rsid w:val="006B0414"/>
    <w:rsid w:val="006B0430"/>
    <w:rsid w:val="006B0471"/>
    <w:rsid w:val="006B0595"/>
    <w:rsid w:val="006B05B3"/>
    <w:rsid w:val="006B063F"/>
    <w:rsid w:val="006B0926"/>
    <w:rsid w:val="006B09E1"/>
    <w:rsid w:val="006B0D15"/>
    <w:rsid w:val="006B0D64"/>
    <w:rsid w:val="006B0E02"/>
    <w:rsid w:val="006B0E5A"/>
    <w:rsid w:val="006B0E78"/>
    <w:rsid w:val="006B0F5A"/>
    <w:rsid w:val="006B0F9F"/>
    <w:rsid w:val="006B10C8"/>
    <w:rsid w:val="006B1239"/>
    <w:rsid w:val="006B1259"/>
    <w:rsid w:val="006B125A"/>
    <w:rsid w:val="006B128F"/>
    <w:rsid w:val="006B13BA"/>
    <w:rsid w:val="006B17AC"/>
    <w:rsid w:val="006B180E"/>
    <w:rsid w:val="006B192C"/>
    <w:rsid w:val="006B195C"/>
    <w:rsid w:val="006B1987"/>
    <w:rsid w:val="006B19CD"/>
    <w:rsid w:val="006B1B38"/>
    <w:rsid w:val="006B1B87"/>
    <w:rsid w:val="006B1BEA"/>
    <w:rsid w:val="006B1D75"/>
    <w:rsid w:val="006B20A6"/>
    <w:rsid w:val="006B2159"/>
    <w:rsid w:val="006B2165"/>
    <w:rsid w:val="006B21E4"/>
    <w:rsid w:val="006B225F"/>
    <w:rsid w:val="006B22EA"/>
    <w:rsid w:val="006B233C"/>
    <w:rsid w:val="006B2411"/>
    <w:rsid w:val="006B247C"/>
    <w:rsid w:val="006B25E5"/>
    <w:rsid w:val="006B2618"/>
    <w:rsid w:val="006B268A"/>
    <w:rsid w:val="006B2758"/>
    <w:rsid w:val="006B2906"/>
    <w:rsid w:val="006B2AD2"/>
    <w:rsid w:val="006B2BD2"/>
    <w:rsid w:val="006B2C56"/>
    <w:rsid w:val="006B2D93"/>
    <w:rsid w:val="006B2E43"/>
    <w:rsid w:val="006B2E60"/>
    <w:rsid w:val="006B2E75"/>
    <w:rsid w:val="006B2F37"/>
    <w:rsid w:val="006B2F65"/>
    <w:rsid w:val="006B3005"/>
    <w:rsid w:val="006B3475"/>
    <w:rsid w:val="006B35CC"/>
    <w:rsid w:val="006B36A1"/>
    <w:rsid w:val="006B3892"/>
    <w:rsid w:val="006B3900"/>
    <w:rsid w:val="006B3A18"/>
    <w:rsid w:val="006B3B34"/>
    <w:rsid w:val="006B3C9D"/>
    <w:rsid w:val="006B3CB8"/>
    <w:rsid w:val="006B3D19"/>
    <w:rsid w:val="006B3D37"/>
    <w:rsid w:val="006B3DDC"/>
    <w:rsid w:val="006B3E10"/>
    <w:rsid w:val="006B3E9F"/>
    <w:rsid w:val="006B4119"/>
    <w:rsid w:val="006B424C"/>
    <w:rsid w:val="006B4272"/>
    <w:rsid w:val="006B4329"/>
    <w:rsid w:val="006B43AC"/>
    <w:rsid w:val="006B4495"/>
    <w:rsid w:val="006B452A"/>
    <w:rsid w:val="006B45A6"/>
    <w:rsid w:val="006B466B"/>
    <w:rsid w:val="006B4820"/>
    <w:rsid w:val="006B48E2"/>
    <w:rsid w:val="006B494C"/>
    <w:rsid w:val="006B49E2"/>
    <w:rsid w:val="006B4CED"/>
    <w:rsid w:val="006B4DD4"/>
    <w:rsid w:val="006B4E4A"/>
    <w:rsid w:val="006B4E86"/>
    <w:rsid w:val="006B4F21"/>
    <w:rsid w:val="006B4F46"/>
    <w:rsid w:val="006B4F6A"/>
    <w:rsid w:val="006B508D"/>
    <w:rsid w:val="006B50DC"/>
    <w:rsid w:val="006B51B0"/>
    <w:rsid w:val="006B51E7"/>
    <w:rsid w:val="006B51F1"/>
    <w:rsid w:val="006B54FE"/>
    <w:rsid w:val="006B5AB8"/>
    <w:rsid w:val="006B5B07"/>
    <w:rsid w:val="006B5B86"/>
    <w:rsid w:val="006B5C54"/>
    <w:rsid w:val="006B609E"/>
    <w:rsid w:val="006B618B"/>
    <w:rsid w:val="006B620B"/>
    <w:rsid w:val="006B62FF"/>
    <w:rsid w:val="006B6556"/>
    <w:rsid w:val="006B6619"/>
    <w:rsid w:val="006B665C"/>
    <w:rsid w:val="006B6744"/>
    <w:rsid w:val="006B675B"/>
    <w:rsid w:val="006B6769"/>
    <w:rsid w:val="006B6785"/>
    <w:rsid w:val="006B6925"/>
    <w:rsid w:val="006B6929"/>
    <w:rsid w:val="006B6936"/>
    <w:rsid w:val="006B6B67"/>
    <w:rsid w:val="006B6BE3"/>
    <w:rsid w:val="006B6CA0"/>
    <w:rsid w:val="006B6EAF"/>
    <w:rsid w:val="006B6F65"/>
    <w:rsid w:val="006B6F86"/>
    <w:rsid w:val="006B6F8D"/>
    <w:rsid w:val="006B6F96"/>
    <w:rsid w:val="006B705D"/>
    <w:rsid w:val="006B7124"/>
    <w:rsid w:val="006B71E5"/>
    <w:rsid w:val="006B726B"/>
    <w:rsid w:val="006B74D0"/>
    <w:rsid w:val="006B75D6"/>
    <w:rsid w:val="006B75DB"/>
    <w:rsid w:val="006B764F"/>
    <w:rsid w:val="006B79F7"/>
    <w:rsid w:val="006B7B82"/>
    <w:rsid w:val="006B7BF5"/>
    <w:rsid w:val="006B7C74"/>
    <w:rsid w:val="006B7CD3"/>
    <w:rsid w:val="006B7D73"/>
    <w:rsid w:val="006B7D7F"/>
    <w:rsid w:val="006B7E8C"/>
    <w:rsid w:val="006B7FD9"/>
    <w:rsid w:val="006C05D5"/>
    <w:rsid w:val="006C06FC"/>
    <w:rsid w:val="006C0777"/>
    <w:rsid w:val="006C0A39"/>
    <w:rsid w:val="006C0B40"/>
    <w:rsid w:val="006C0B44"/>
    <w:rsid w:val="006C0CB7"/>
    <w:rsid w:val="006C0CC6"/>
    <w:rsid w:val="006C0DB2"/>
    <w:rsid w:val="006C0DCE"/>
    <w:rsid w:val="006C0E28"/>
    <w:rsid w:val="006C0E52"/>
    <w:rsid w:val="006C0E7D"/>
    <w:rsid w:val="006C0F03"/>
    <w:rsid w:val="006C10FE"/>
    <w:rsid w:val="006C113E"/>
    <w:rsid w:val="006C135C"/>
    <w:rsid w:val="006C13C0"/>
    <w:rsid w:val="006C13CF"/>
    <w:rsid w:val="006C1454"/>
    <w:rsid w:val="006C15A6"/>
    <w:rsid w:val="006C169F"/>
    <w:rsid w:val="006C16A3"/>
    <w:rsid w:val="006C16F1"/>
    <w:rsid w:val="006C1807"/>
    <w:rsid w:val="006C1A6D"/>
    <w:rsid w:val="006C1B1C"/>
    <w:rsid w:val="006C1C2E"/>
    <w:rsid w:val="006C1C4B"/>
    <w:rsid w:val="006C1DD7"/>
    <w:rsid w:val="006C2074"/>
    <w:rsid w:val="006C2137"/>
    <w:rsid w:val="006C2339"/>
    <w:rsid w:val="006C2376"/>
    <w:rsid w:val="006C23F0"/>
    <w:rsid w:val="006C2460"/>
    <w:rsid w:val="006C24B1"/>
    <w:rsid w:val="006C255D"/>
    <w:rsid w:val="006C2635"/>
    <w:rsid w:val="006C296E"/>
    <w:rsid w:val="006C29A4"/>
    <w:rsid w:val="006C29BE"/>
    <w:rsid w:val="006C2B15"/>
    <w:rsid w:val="006C2C50"/>
    <w:rsid w:val="006C2CC3"/>
    <w:rsid w:val="006C2D8A"/>
    <w:rsid w:val="006C2DB2"/>
    <w:rsid w:val="006C2F7E"/>
    <w:rsid w:val="006C3008"/>
    <w:rsid w:val="006C30AB"/>
    <w:rsid w:val="006C3146"/>
    <w:rsid w:val="006C31C5"/>
    <w:rsid w:val="006C31FA"/>
    <w:rsid w:val="006C325C"/>
    <w:rsid w:val="006C3332"/>
    <w:rsid w:val="006C33A9"/>
    <w:rsid w:val="006C33B6"/>
    <w:rsid w:val="006C366F"/>
    <w:rsid w:val="006C3805"/>
    <w:rsid w:val="006C3835"/>
    <w:rsid w:val="006C3886"/>
    <w:rsid w:val="006C3975"/>
    <w:rsid w:val="006C397E"/>
    <w:rsid w:val="006C3C91"/>
    <w:rsid w:val="006C3CBA"/>
    <w:rsid w:val="006C3D38"/>
    <w:rsid w:val="006C3D47"/>
    <w:rsid w:val="006C3E7A"/>
    <w:rsid w:val="006C3F01"/>
    <w:rsid w:val="006C3F1A"/>
    <w:rsid w:val="006C3F94"/>
    <w:rsid w:val="006C4056"/>
    <w:rsid w:val="006C40D2"/>
    <w:rsid w:val="006C4113"/>
    <w:rsid w:val="006C414E"/>
    <w:rsid w:val="006C417D"/>
    <w:rsid w:val="006C41B3"/>
    <w:rsid w:val="006C4351"/>
    <w:rsid w:val="006C44CF"/>
    <w:rsid w:val="006C46D7"/>
    <w:rsid w:val="006C4756"/>
    <w:rsid w:val="006C47B3"/>
    <w:rsid w:val="006C48BD"/>
    <w:rsid w:val="006C4BE2"/>
    <w:rsid w:val="006C4CA2"/>
    <w:rsid w:val="006C4CAB"/>
    <w:rsid w:val="006C4D5B"/>
    <w:rsid w:val="006C4E7D"/>
    <w:rsid w:val="006C4EFF"/>
    <w:rsid w:val="006C508A"/>
    <w:rsid w:val="006C50BF"/>
    <w:rsid w:val="006C50C1"/>
    <w:rsid w:val="006C5284"/>
    <w:rsid w:val="006C5447"/>
    <w:rsid w:val="006C5544"/>
    <w:rsid w:val="006C5771"/>
    <w:rsid w:val="006C57E5"/>
    <w:rsid w:val="006C5831"/>
    <w:rsid w:val="006C5947"/>
    <w:rsid w:val="006C59D7"/>
    <w:rsid w:val="006C5AF9"/>
    <w:rsid w:val="006C5B2A"/>
    <w:rsid w:val="006C5BDF"/>
    <w:rsid w:val="006C5BFC"/>
    <w:rsid w:val="006C5CC8"/>
    <w:rsid w:val="006C5D95"/>
    <w:rsid w:val="006C5E17"/>
    <w:rsid w:val="006C5EB5"/>
    <w:rsid w:val="006C5EE1"/>
    <w:rsid w:val="006C5EE9"/>
    <w:rsid w:val="006C5F61"/>
    <w:rsid w:val="006C5F90"/>
    <w:rsid w:val="006C5FB7"/>
    <w:rsid w:val="006C603F"/>
    <w:rsid w:val="006C61A1"/>
    <w:rsid w:val="006C6251"/>
    <w:rsid w:val="006C62F0"/>
    <w:rsid w:val="006C65DE"/>
    <w:rsid w:val="006C663D"/>
    <w:rsid w:val="006C6756"/>
    <w:rsid w:val="006C6814"/>
    <w:rsid w:val="006C6865"/>
    <w:rsid w:val="006C6934"/>
    <w:rsid w:val="006C6969"/>
    <w:rsid w:val="006C6A14"/>
    <w:rsid w:val="006C6A63"/>
    <w:rsid w:val="006C6AFC"/>
    <w:rsid w:val="006C6B60"/>
    <w:rsid w:val="006C6B8D"/>
    <w:rsid w:val="006C6C1C"/>
    <w:rsid w:val="006C6DBA"/>
    <w:rsid w:val="006C6E3E"/>
    <w:rsid w:val="006C6E92"/>
    <w:rsid w:val="006C6FC9"/>
    <w:rsid w:val="006C7083"/>
    <w:rsid w:val="006C70CC"/>
    <w:rsid w:val="006C71AB"/>
    <w:rsid w:val="006C738B"/>
    <w:rsid w:val="006C7516"/>
    <w:rsid w:val="006C75ED"/>
    <w:rsid w:val="006C76B2"/>
    <w:rsid w:val="006C76C8"/>
    <w:rsid w:val="006C7754"/>
    <w:rsid w:val="006C7787"/>
    <w:rsid w:val="006C7797"/>
    <w:rsid w:val="006C78CF"/>
    <w:rsid w:val="006C78F2"/>
    <w:rsid w:val="006C7AB9"/>
    <w:rsid w:val="006C7AD7"/>
    <w:rsid w:val="006C7BCE"/>
    <w:rsid w:val="006C7D44"/>
    <w:rsid w:val="006C7DAD"/>
    <w:rsid w:val="006C7F05"/>
    <w:rsid w:val="006D00B3"/>
    <w:rsid w:val="006D0143"/>
    <w:rsid w:val="006D022C"/>
    <w:rsid w:val="006D02A8"/>
    <w:rsid w:val="006D02C3"/>
    <w:rsid w:val="006D0398"/>
    <w:rsid w:val="006D03F5"/>
    <w:rsid w:val="006D063E"/>
    <w:rsid w:val="006D0668"/>
    <w:rsid w:val="006D0755"/>
    <w:rsid w:val="006D079D"/>
    <w:rsid w:val="006D07B6"/>
    <w:rsid w:val="006D088C"/>
    <w:rsid w:val="006D0891"/>
    <w:rsid w:val="006D0B2C"/>
    <w:rsid w:val="006D0BCA"/>
    <w:rsid w:val="006D0CFB"/>
    <w:rsid w:val="006D0DE4"/>
    <w:rsid w:val="006D0F30"/>
    <w:rsid w:val="006D0F59"/>
    <w:rsid w:val="006D0FB2"/>
    <w:rsid w:val="006D0FC1"/>
    <w:rsid w:val="006D1034"/>
    <w:rsid w:val="006D1050"/>
    <w:rsid w:val="006D1072"/>
    <w:rsid w:val="006D11A2"/>
    <w:rsid w:val="006D1411"/>
    <w:rsid w:val="006D14B3"/>
    <w:rsid w:val="006D1545"/>
    <w:rsid w:val="006D1581"/>
    <w:rsid w:val="006D16E7"/>
    <w:rsid w:val="006D182D"/>
    <w:rsid w:val="006D183D"/>
    <w:rsid w:val="006D1A68"/>
    <w:rsid w:val="006D1A6B"/>
    <w:rsid w:val="006D1BF2"/>
    <w:rsid w:val="006D1EC5"/>
    <w:rsid w:val="006D1ED2"/>
    <w:rsid w:val="006D1F94"/>
    <w:rsid w:val="006D1FFD"/>
    <w:rsid w:val="006D20E2"/>
    <w:rsid w:val="006D21B6"/>
    <w:rsid w:val="006D2251"/>
    <w:rsid w:val="006D225E"/>
    <w:rsid w:val="006D23D5"/>
    <w:rsid w:val="006D2482"/>
    <w:rsid w:val="006D24C2"/>
    <w:rsid w:val="006D2599"/>
    <w:rsid w:val="006D25B9"/>
    <w:rsid w:val="006D25C9"/>
    <w:rsid w:val="006D2614"/>
    <w:rsid w:val="006D2654"/>
    <w:rsid w:val="006D2688"/>
    <w:rsid w:val="006D269D"/>
    <w:rsid w:val="006D274E"/>
    <w:rsid w:val="006D2799"/>
    <w:rsid w:val="006D27D3"/>
    <w:rsid w:val="006D2875"/>
    <w:rsid w:val="006D28AD"/>
    <w:rsid w:val="006D2936"/>
    <w:rsid w:val="006D2B3D"/>
    <w:rsid w:val="006D2B57"/>
    <w:rsid w:val="006D2CAB"/>
    <w:rsid w:val="006D2D1D"/>
    <w:rsid w:val="006D2D4E"/>
    <w:rsid w:val="006D2D65"/>
    <w:rsid w:val="006D2E06"/>
    <w:rsid w:val="006D2ED3"/>
    <w:rsid w:val="006D2FAF"/>
    <w:rsid w:val="006D32D6"/>
    <w:rsid w:val="006D3736"/>
    <w:rsid w:val="006D37B0"/>
    <w:rsid w:val="006D37E8"/>
    <w:rsid w:val="006D3828"/>
    <w:rsid w:val="006D3858"/>
    <w:rsid w:val="006D387C"/>
    <w:rsid w:val="006D3985"/>
    <w:rsid w:val="006D3AB1"/>
    <w:rsid w:val="006D3B78"/>
    <w:rsid w:val="006D3BAF"/>
    <w:rsid w:val="006D3C17"/>
    <w:rsid w:val="006D3CA4"/>
    <w:rsid w:val="006D3DE4"/>
    <w:rsid w:val="006D3F0F"/>
    <w:rsid w:val="006D3F1A"/>
    <w:rsid w:val="006D415D"/>
    <w:rsid w:val="006D416B"/>
    <w:rsid w:val="006D4226"/>
    <w:rsid w:val="006D428E"/>
    <w:rsid w:val="006D4293"/>
    <w:rsid w:val="006D4387"/>
    <w:rsid w:val="006D43C8"/>
    <w:rsid w:val="006D4431"/>
    <w:rsid w:val="006D4557"/>
    <w:rsid w:val="006D4590"/>
    <w:rsid w:val="006D45E6"/>
    <w:rsid w:val="006D48A6"/>
    <w:rsid w:val="006D48B1"/>
    <w:rsid w:val="006D49C4"/>
    <w:rsid w:val="006D4B02"/>
    <w:rsid w:val="006D4D04"/>
    <w:rsid w:val="006D4D28"/>
    <w:rsid w:val="006D4D31"/>
    <w:rsid w:val="006D4DE4"/>
    <w:rsid w:val="006D4DE9"/>
    <w:rsid w:val="006D4E11"/>
    <w:rsid w:val="006D4E46"/>
    <w:rsid w:val="006D5039"/>
    <w:rsid w:val="006D507A"/>
    <w:rsid w:val="006D50B1"/>
    <w:rsid w:val="006D52FC"/>
    <w:rsid w:val="006D5387"/>
    <w:rsid w:val="006D53D3"/>
    <w:rsid w:val="006D53F4"/>
    <w:rsid w:val="006D5609"/>
    <w:rsid w:val="006D5773"/>
    <w:rsid w:val="006D57BE"/>
    <w:rsid w:val="006D57FC"/>
    <w:rsid w:val="006D5826"/>
    <w:rsid w:val="006D5868"/>
    <w:rsid w:val="006D5A5E"/>
    <w:rsid w:val="006D5B02"/>
    <w:rsid w:val="006D5BB2"/>
    <w:rsid w:val="006D5CBF"/>
    <w:rsid w:val="006D5CC1"/>
    <w:rsid w:val="006D5CED"/>
    <w:rsid w:val="006D5D9E"/>
    <w:rsid w:val="006D6188"/>
    <w:rsid w:val="006D6207"/>
    <w:rsid w:val="006D62F1"/>
    <w:rsid w:val="006D6372"/>
    <w:rsid w:val="006D6381"/>
    <w:rsid w:val="006D6569"/>
    <w:rsid w:val="006D677B"/>
    <w:rsid w:val="006D68DF"/>
    <w:rsid w:val="006D6DF1"/>
    <w:rsid w:val="006D6E2C"/>
    <w:rsid w:val="006D6E68"/>
    <w:rsid w:val="006D6F40"/>
    <w:rsid w:val="006D6F98"/>
    <w:rsid w:val="006D71D8"/>
    <w:rsid w:val="006D720D"/>
    <w:rsid w:val="006D7407"/>
    <w:rsid w:val="006D740F"/>
    <w:rsid w:val="006D742A"/>
    <w:rsid w:val="006D756F"/>
    <w:rsid w:val="006D7587"/>
    <w:rsid w:val="006D75C6"/>
    <w:rsid w:val="006D7679"/>
    <w:rsid w:val="006D77AA"/>
    <w:rsid w:val="006D781F"/>
    <w:rsid w:val="006D78AC"/>
    <w:rsid w:val="006D78C0"/>
    <w:rsid w:val="006D78E7"/>
    <w:rsid w:val="006D7AEA"/>
    <w:rsid w:val="006D7B4D"/>
    <w:rsid w:val="006D7D02"/>
    <w:rsid w:val="006D7D35"/>
    <w:rsid w:val="006D7F37"/>
    <w:rsid w:val="006E00C4"/>
    <w:rsid w:val="006E0213"/>
    <w:rsid w:val="006E0257"/>
    <w:rsid w:val="006E02CE"/>
    <w:rsid w:val="006E0345"/>
    <w:rsid w:val="006E038B"/>
    <w:rsid w:val="006E039E"/>
    <w:rsid w:val="006E0436"/>
    <w:rsid w:val="006E0501"/>
    <w:rsid w:val="006E051A"/>
    <w:rsid w:val="006E052F"/>
    <w:rsid w:val="006E0610"/>
    <w:rsid w:val="006E06D8"/>
    <w:rsid w:val="006E06E3"/>
    <w:rsid w:val="006E08FD"/>
    <w:rsid w:val="006E0960"/>
    <w:rsid w:val="006E0A3E"/>
    <w:rsid w:val="006E0AFB"/>
    <w:rsid w:val="006E0CAA"/>
    <w:rsid w:val="006E0CD9"/>
    <w:rsid w:val="006E0ED8"/>
    <w:rsid w:val="006E0F91"/>
    <w:rsid w:val="006E10AD"/>
    <w:rsid w:val="006E11D2"/>
    <w:rsid w:val="006E121E"/>
    <w:rsid w:val="006E13A8"/>
    <w:rsid w:val="006E13AF"/>
    <w:rsid w:val="006E13B9"/>
    <w:rsid w:val="006E14CB"/>
    <w:rsid w:val="006E16B5"/>
    <w:rsid w:val="006E17A0"/>
    <w:rsid w:val="006E180F"/>
    <w:rsid w:val="006E1882"/>
    <w:rsid w:val="006E18D8"/>
    <w:rsid w:val="006E1B07"/>
    <w:rsid w:val="006E1B21"/>
    <w:rsid w:val="006E1B29"/>
    <w:rsid w:val="006E1B49"/>
    <w:rsid w:val="006E1C3D"/>
    <w:rsid w:val="006E1C94"/>
    <w:rsid w:val="006E1D3D"/>
    <w:rsid w:val="006E1DFD"/>
    <w:rsid w:val="006E1ED1"/>
    <w:rsid w:val="006E1F88"/>
    <w:rsid w:val="006E216F"/>
    <w:rsid w:val="006E21E3"/>
    <w:rsid w:val="006E2252"/>
    <w:rsid w:val="006E2263"/>
    <w:rsid w:val="006E2294"/>
    <w:rsid w:val="006E22C9"/>
    <w:rsid w:val="006E2376"/>
    <w:rsid w:val="006E2421"/>
    <w:rsid w:val="006E25BD"/>
    <w:rsid w:val="006E28CA"/>
    <w:rsid w:val="006E28E7"/>
    <w:rsid w:val="006E29BF"/>
    <w:rsid w:val="006E2EC3"/>
    <w:rsid w:val="006E2FEA"/>
    <w:rsid w:val="006E3000"/>
    <w:rsid w:val="006E3013"/>
    <w:rsid w:val="006E3158"/>
    <w:rsid w:val="006E315D"/>
    <w:rsid w:val="006E31F2"/>
    <w:rsid w:val="006E3345"/>
    <w:rsid w:val="006E33D4"/>
    <w:rsid w:val="006E33ED"/>
    <w:rsid w:val="006E34BB"/>
    <w:rsid w:val="006E366D"/>
    <w:rsid w:val="006E3724"/>
    <w:rsid w:val="006E3786"/>
    <w:rsid w:val="006E3944"/>
    <w:rsid w:val="006E396C"/>
    <w:rsid w:val="006E3B13"/>
    <w:rsid w:val="006E3BE0"/>
    <w:rsid w:val="006E3C45"/>
    <w:rsid w:val="006E4118"/>
    <w:rsid w:val="006E42FB"/>
    <w:rsid w:val="006E4403"/>
    <w:rsid w:val="006E45BF"/>
    <w:rsid w:val="006E45CC"/>
    <w:rsid w:val="006E487E"/>
    <w:rsid w:val="006E48F5"/>
    <w:rsid w:val="006E492E"/>
    <w:rsid w:val="006E4A19"/>
    <w:rsid w:val="006E4C53"/>
    <w:rsid w:val="006E4C73"/>
    <w:rsid w:val="006E4CC5"/>
    <w:rsid w:val="006E4E5C"/>
    <w:rsid w:val="006E4EA5"/>
    <w:rsid w:val="006E501D"/>
    <w:rsid w:val="006E50E6"/>
    <w:rsid w:val="006E5122"/>
    <w:rsid w:val="006E5480"/>
    <w:rsid w:val="006E553D"/>
    <w:rsid w:val="006E573B"/>
    <w:rsid w:val="006E5971"/>
    <w:rsid w:val="006E5A46"/>
    <w:rsid w:val="006E5A65"/>
    <w:rsid w:val="006E5A76"/>
    <w:rsid w:val="006E5BC8"/>
    <w:rsid w:val="006E5EC6"/>
    <w:rsid w:val="006E6291"/>
    <w:rsid w:val="006E63EC"/>
    <w:rsid w:val="006E643A"/>
    <w:rsid w:val="006E6594"/>
    <w:rsid w:val="006E65A5"/>
    <w:rsid w:val="006E667C"/>
    <w:rsid w:val="006E6742"/>
    <w:rsid w:val="006E6759"/>
    <w:rsid w:val="006E681F"/>
    <w:rsid w:val="006E6989"/>
    <w:rsid w:val="006E6A43"/>
    <w:rsid w:val="006E6AAF"/>
    <w:rsid w:val="006E6BB4"/>
    <w:rsid w:val="006E6C05"/>
    <w:rsid w:val="006E6CB3"/>
    <w:rsid w:val="006E6D8A"/>
    <w:rsid w:val="006E7103"/>
    <w:rsid w:val="006E7168"/>
    <w:rsid w:val="006E721F"/>
    <w:rsid w:val="006E7233"/>
    <w:rsid w:val="006E72A4"/>
    <w:rsid w:val="006E72EE"/>
    <w:rsid w:val="006E72F2"/>
    <w:rsid w:val="006E735B"/>
    <w:rsid w:val="006E749E"/>
    <w:rsid w:val="006E74D7"/>
    <w:rsid w:val="006E7527"/>
    <w:rsid w:val="006E767C"/>
    <w:rsid w:val="006E76AA"/>
    <w:rsid w:val="006E76BB"/>
    <w:rsid w:val="006E76BF"/>
    <w:rsid w:val="006E76CB"/>
    <w:rsid w:val="006E77AD"/>
    <w:rsid w:val="006E7837"/>
    <w:rsid w:val="006E7A5B"/>
    <w:rsid w:val="006E7A74"/>
    <w:rsid w:val="006E7B1C"/>
    <w:rsid w:val="006E7C38"/>
    <w:rsid w:val="006E7C4A"/>
    <w:rsid w:val="006E7C72"/>
    <w:rsid w:val="006E7D6E"/>
    <w:rsid w:val="006E7E12"/>
    <w:rsid w:val="006E7E87"/>
    <w:rsid w:val="006E7F14"/>
    <w:rsid w:val="006F0302"/>
    <w:rsid w:val="006F0313"/>
    <w:rsid w:val="006F03E1"/>
    <w:rsid w:val="006F051B"/>
    <w:rsid w:val="006F06FC"/>
    <w:rsid w:val="006F070B"/>
    <w:rsid w:val="006F07C5"/>
    <w:rsid w:val="006F0A0C"/>
    <w:rsid w:val="006F0A7F"/>
    <w:rsid w:val="006F0CD6"/>
    <w:rsid w:val="006F0D1B"/>
    <w:rsid w:val="006F0D46"/>
    <w:rsid w:val="006F0E60"/>
    <w:rsid w:val="006F0F55"/>
    <w:rsid w:val="006F1086"/>
    <w:rsid w:val="006F1155"/>
    <w:rsid w:val="006F1199"/>
    <w:rsid w:val="006F11CD"/>
    <w:rsid w:val="006F12A7"/>
    <w:rsid w:val="006F12CF"/>
    <w:rsid w:val="006F1369"/>
    <w:rsid w:val="006F13CA"/>
    <w:rsid w:val="006F1481"/>
    <w:rsid w:val="006F15DF"/>
    <w:rsid w:val="006F16B1"/>
    <w:rsid w:val="006F17AF"/>
    <w:rsid w:val="006F19DD"/>
    <w:rsid w:val="006F1A21"/>
    <w:rsid w:val="006F1AB3"/>
    <w:rsid w:val="006F1C33"/>
    <w:rsid w:val="006F1CF0"/>
    <w:rsid w:val="006F1D06"/>
    <w:rsid w:val="006F1E07"/>
    <w:rsid w:val="006F1E41"/>
    <w:rsid w:val="006F1ECD"/>
    <w:rsid w:val="006F1F84"/>
    <w:rsid w:val="006F241D"/>
    <w:rsid w:val="006F2423"/>
    <w:rsid w:val="006F24C8"/>
    <w:rsid w:val="006F272C"/>
    <w:rsid w:val="006F277D"/>
    <w:rsid w:val="006F28B7"/>
    <w:rsid w:val="006F28D9"/>
    <w:rsid w:val="006F2932"/>
    <w:rsid w:val="006F2C51"/>
    <w:rsid w:val="006F2DE7"/>
    <w:rsid w:val="006F2DEC"/>
    <w:rsid w:val="006F2E80"/>
    <w:rsid w:val="006F2F63"/>
    <w:rsid w:val="006F3049"/>
    <w:rsid w:val="006F3089"/>
    <w:rsid w:val="006F30E6"/>
    <w:rsid w:val="006F343B"/>
    <w:rsid w:val="006F354A"/>
    <w:rsid w:val="006F35F4"/>
    <w:rsid w:val="006F377B"/>
    <w:rsid w:val="006F380A"/>
    <w:rsid w:val="006F3AF3"/>
    <w:rsid w:val="006F3AF5"/>
    <w:rsid w:val="006F3BB5"/>
    <w:rsid w:val="006F3C2D"/>
    <w:rsid w:val="006F3C31"/>
    <w:rsid w:val="006F3C49"/>
    <w:rsid w:val="006F3CAC"/>
    <w:rsid w:val="006F3CB4"/>
    <w:rsid w:val="006F3E5F"/>
    <w:rsid w:val="006F3E95"/>
    <w:rsid w:val="006F3EA0"/>
    <w:rsid w:val="006F3EB5"/>
    <w:rsid w:val="006F4010"/>
    <w:rsid w:val="006F41A4"/>
    <w:rsid w:val="006F42A9"/>
    <w:rsid w:val="006F42DE"/>
    <w:rsid w:val="006F442F"/>
    <w:rsid w:val="006F44F7"/>
    <w:rsid w:val="006F45E7"/>
    <w:rsid w:val="006F496D"/>
    <w:rsid w:val="006F49E7"/>
    <w:rsid w:val="006F4A88"/>
    <w:rsid w:val="006F4B38"/>
    <w:rsid w:val="006F4C23"/>
    <w:rsid w:val="006F4EDA"/>
    <w:rsid w:val="006F4F7B"/>
    <w:rsid w:val="006F5093"/>
    <w:rsid w:val="006F509B"/>
    <w:rsid w:val="006F5182"/>
    <w:rsid w:val="006F5324"/>
    <w:rsid w:val="006F5336"/>
    <w:rsid w:val="006F5358"/>
    <w:rsid w:val="006F5389"/>
    <w:rsid w:val="006F55A4"/>
    <w:rsid w:val="006F571F"/>
    <w:rsid w:val="006F5739"/>
    <w:rsid w:val="006F5743"/>
    <w:rsid w:val="006F5994"/>
    <w:rsid w:val="006F5996"/>
    <w:rsid w:val="006F5999"/>
    <w:rsid w:val="006F59AB"/>
    <w:rsid w:val="006F5B21"/>
    <w:rsid w:val="006F5C1F"/>
    <w:rsid w:val="006F5D24"/>
    <w:rsid w:val="006F5FE7"/>
    <w:rsid w:val="006F6172"/>
    <w:rsid w:val="006F6325"/>
    <w:rsid w:val="006F6378"/>
    <w:rsid w:val="006F647A"/>
    <w:rsid w:val="006F6519"/>
    <w:rsid w:val="006F6618"/>
    <w:rsid w:val="006F6672"/>
    <w:rsid w:val="006F6726"/>
    <w:rsid w:val="006F68B0"/>
    <w:rsid w:val="006F6932"/>
    <w:rsid w:val="006F6B35"/>
    <w:rsid w:val="006F6CF9"/>
    <w:rsid w:val="006F6D28"/>
    <w:rsid w:val="006F6E06"/>
    <w:rsid w:val="006F6E28"/>
    <w:rsid w:val="006F6FE1"/>
    <w:rsid w:val="006F707F"/>
    <w:rsid w:val="006F7292"/>
    <w:rsid w:val="006F73A6"/>
    <w:rsid w:val="006F7447"/>
    <w:rsid w:val="006F7546"/>
    <w:rsid w:val="006F7588"/>
    <w:rsid w:val="006F7701"/>
    <w:rsid w:val="006F7735"/>
    <w:rsid w:val="006F77B9"/>
    <w:rsid w:val="006F79A4"/>
    <w:rsid w:val="006F7A06"/>
    <w:rsid w:val="006F7B40"/>
    <w:rsid w:val="006F7BB1"/>
    <w:rsid w:val="006F7C4C"/>
    <w:rsid w:val="006F7C96"/>
    <w:rsid w:val="006F7CCD"/>
    <w:rsid w:val="006F7D65"/>
    <w:rsid w:val="006F7D9A"/>
    <w:rsid w:val="006F7DF6"/>
    <w:rsid w:val="006F7F9E"/>
    <w:rsid w:val="00700018"/>
    <w:rsid w:val="007002FD"/>
    <w:rsid w:val="007003C6"/>
    <w:rsid w:val="0070043F"/>
    <w:rsid w:val="00700752"/>
    <w:rsid w:val="00700878"/>
    <w:rsid w:val="00700986"/>
    <w:rsid w:val="00700A89"/>
    <w:rsid w:val="00700B2E"/>
    <w:rsid w:val="00700D28"/>
    <w:rsid w:val="00700DBC"/>
    <w:rsid w:val="00700EE2"/>
    <w:rsid w:val="00701070"/>
    <w:rsid w:val="007010A2"/>
    <w:rsid w:val="00701137"/>
    <w:rsid w:val="00701155"/>
    <w:rsid w:val="00701206"/>
    <w:rsid w:val="007012A5"/>
    <w:rsid w:val="00701382"/>
    <w:rsid w:val="00701438"/>
    <w:rsid w:val="007014AE"/>
    <w:rsid w:val="007014E6"/>
    <w:rsid w:val="00701543"/>
    <w:rsid w:val="00701576"/>
    <w:rsid w:val="00701699"/>
    <w:rsid w:val="00701741"/>
    <w:rsid w:val="0070180E"/>
    <w:rsid w:val="0070181D"/>
    <w:rsid w:val="00701A1C"/>
    <w:rsid w:val="00701BBB"/>
    <w:rsid w:val="00701BBC"/>
    <w:rsid w:val="00701BD7"/>
    <w:rsid w:val="00701C21"/>
    <w:rsid w:val="00701C4A"/>
    <w:rsid w:val="00701CF1"/>
    <w:rsid w:val="00702075"/>
    <w:rsid w:val="0070235B"/>
    <w:rsid w:val="0070238A"/>
    <w:rsid w:val="00702596"/>
    <w:rsid w:val="007026D4"/>
    <w:rsid w:val="007027CA"/>
    <w:rsid w:val="007027DA"/>
    <w:rsid w:val="00702A2A"/>
    <w:rsid w:val="00702B36"/>
    <w:rsid w:val="00702BB9"/>
    <w:rsid w:val="00702D16"/>
    <w:rsid w:val="00702FFE"/>
    <w:rsid w:val="007030C4"/>
    <w:rsid w:val="007030EA"/>
    <w:rsid w:val="007032D1"/>
    <w:rsid w:val="00703391"/>
    <w:rsid w:val="007033E1"/>
    <w:rsid w:val="00703410"/>
    <w:rsid w:val="00703424"/>
    <w:rsid w:val="0070360B"/>
    <w:rsid w:val="00703675"/>
    <w:rsid w:val="00703710"/>
    <w:rsid w:val="00703893"/>
    <w:rsid w:val="00703A4E"/>
    <w:rsid w:val="00703A9D"/>
    <w:rsid w:val="00703C56"/>
    <w:rsid w:val="00703D29"/>
    <w:rsid w:val="00703DD2"/>
    <w:rsid w:val="00703DE1"/>
    <w:rsid w:val="00703E6C"/>
    <w:rsid w:val="00703F11"/>
    <w:rsid w:val="00703F3E"/>
    <w:rsid w:val="00703F5F"/>
    <w:rsid w:val="00703F96"/>
    <w:rsid w:val="0070407E"/>
    <w:rsid w:val="007040C8"/>
    <w:rsid w:val="007041B9"/>
    <w:rsid w:val="007041CC"/>
    <w:rsid w:val="0070429E"/>
    <w:rsid w:val="007042AB"/>
    <w:rsid w:val="0070441D"/>
    <w:rsid w:val="00704476"/>
    <w:rsid w:val="00704561"/>
    <w:rsid w:val="007046B2"/>
    <w:rsid w:val="007046B9"/>
    <w:rsid w:val="007046F5"/>
    <w:rsid w:val="00704763"/>
    <w:rsid w:val="00704975"/>
    <w:rsid w:val="00704BCA"/>
    <w:rsid w:val="00704C0A"/>
    <w:rsid w:val="00704C46"/>
    <w:rsid w:val="0070529F"/>
    <w:rsid w:val="0070541D"/>
    <w:rsid w:val="00705441"/>
    <w:rsid w:val="00705809"/>
    <w:rsid w:val="00705942"/>
    <w:rsid w:val="00705949"/>
    <w:rsid w:val="007059B7"/>
    <w:rsid w:val="00705A0C"/>
    <w:rsid w:val="00705AA2"/>
    <w:rsid w:val="00705BFC"/>
    <w:rsid w:val="00705C03"/>
    <w:rsid w:val="00705C44"/>
    <w:rsid w:val="00705C9D"/>
    <w:rsid w:val="00705CD1"/>
    <w:rsid w:val="00705D1F"/>
    <w:rsid w:val="00705D41"/>
    <w:rsid w:val="00705D6F"/>
    <w:rsid w:val="00705DE9"/>
    <w:rsid w:val="00706073"/>
    <w:rsid w:val="00706184"/>
    <w:rsid w:val="007061EF"/>
    <w:rsid w:val="00706236"/>
    <w:rsid w:val="00706333"/>
    <w:rsid w:val="00706493"/>
    <w:rsid w:val="0070654A"/>
    <w:rsid w:val="007066C2"/>
    <w:rsid w:val="0070676D"/>
    <w:rsid w:val="0070678C"/>
    <w:rsid w:val="00706909"/>
    <w:rsid w:val="00706A5F"/>
    <w:rsid w:val="00706B28"/>
    <w:rsid w:val="00706B4C"/>
    <w:rsid w:val="00706CB6"/>
    <w:rsid w:val="00706CC6"/>
    <w:rsid w:val="00706E37"/>
    <w:rsid w:val="00706F9B"/>
    <w:rsid w:val="007070A0"/>
    <w:rsid w:val="00707108"/>
    <w:rsid w:val="007071A5"/>
    <w:rsid w:val="00707381"/>
    <w:rsid w:val="0070740B"/>
    <w:rsid w:val="007074E8"/>
    <w:rsid w:val="007075B1"/>
    <w:rsid w:val="007077A4"/>
    <w:rsid w:val="00707880"/>
    <w:rsid w:val="007079B9"/>
    <w:rsid w:val="007079E5"/>
    <w:rsid w:val="00707A7E"/>
    <w:rsid w:val="00707BAA"/>
    <w:rsid w:val="007100F5"/>
    <w:rsid w:val="00710118"/>
    <w:rsid w:val="007101A5"/>
    <w:rsid w:val="00710272"/>
    <w:rsid w:val="007102E6"/>
    <w:rsid w:val="0071031E"/>
    <w:rsid w:val="007104CA"/>
    <w:rsid w:val="007104FB"/>
    <w:rsid w:val="007105E9"/>
    <w:rsid w:val="007105FA"/>
    <w:rsid w:val="00710987"/>
    <w:rsid w:val="00710A54"/>
    <w:rsid w:val="00710B98"/>
    <w:rsid w:val="00710C40"/>
    <w:rsid w:val="00710C5A"/>
    <w:rsid w:val="00710CD4"/>
    <w:rsid w:val="0071101A"/>
    <w:rsid w:val="0071104D"/>
    <w:rsid w:val="00711116"/>
    <w:rsid w:val="0071115A"/>
    <w:rsid w:val="0071124A"/>
    <w:rsid w:val="00711325"/>
    <w:rsid w:val="00711346"/>
    <w:rsid w:val="007113DA"/>
    <w:rsid w:val="0071149B"/>
    <w:rsid w:val="00711513"/>
    <w:rsid w:val="007115B6"/>
    <w:rsid w:val="00711646"/>
    <w:rsid w:val="00711658"/>
    <w:rsid w:val="00711666"/>
    <w:rsid w:val="00711769"/>
    <w:rsid w:val="00711815"/>
    <w:rsid w:val="00711B8F"/>
    <w:rsid w:val="00711B9F"/>
    <w:rsid w:val="00711BBF"/>
    <w:rsid w:val="00711BD4"/>
    <w:rsid w:val="00711BED"/>
    <w:rsid w:val="00711CD1"/>
    <w:rsid w:val="00711E3C"/>
    <w:rsid w:val="00711E71"/>
    <w:rsid w:val="00711EB8"/>
    <w:rsid w:val="00711F3D"/>
    <w:rsid w:val="00712250"/>
    <w:rsid w:val="00712299"/>
    <w:rsid w:val="00712327"/>
    <w:rsid w:val="007124FC"/>
    <w:rsid w:val="00712596"/>
    <w:rsid w:val="0071262B"/>
    <w:rsid w:val="00712656"/>
    <w:rsid w:val="007127CF"/>
    <w:rsid w:val="00712816"/>
    <w:rsid w:val="00712891"/>
    <w:rsid w:val="00712966"/>
    <w:rsid w:val="007129BF"/>
    <w:rsid w:val="00712A97"/>
    <w:rsid w:val="00712AAA"/>
    <w:rsid w:val="00712B6D"/>
    <w:rsid w:val="00712C91"/>
    <w:rsid w:val="00712DEC"/>
    <w:rsid w:val="00712E4D"/>
    <w:rsid w:val="00712FAC"/>
    <w:rsid w:val="00713012"/>
    <w:rsid w:val="007130EF"/>
    <w:rsid w:val="007132E7"/>
    <w:rsid w:val="00713310"/>
    <w:rsid w:val="0071336F"/>
    <w:rsid w:val="007134C2"/>
    <w:rsid w:val="007136D6"/>
    <w:rsid w:val="0071375B"/>
    <w:rsid w:val="007137DD"/>
    <w:rsid w:val="007137F5"/>
    <w:rsid w:val="0071384C"/>
    <w:rsid w:val="007138E6"/>
    <w:rsid w:val="007139F6"/>
    <w:rsid w:val="00713A0C"/>
    <w:rsid w:val="00713BC9"/>
    <w:rsid w:val="00713C27"/>
    <w:rsid w:val="00713C29"/>
    <w:rsid w:val="00713C94"/>
    <w:rsid w:val="00713CB9"/>
    <w:rsid w:val="00713E1B"/>
    <w:rsid w:val="00713E4C"/>
    <w:rsid w:val="00713F03"/>
    <w:rsid w:val="00713FEE"/>
    <w:rsid w:val="0071402A"/>
    <w:rsid w:val="00714197"/>
    <w:rsid w:val="00714237"/>
    <w:rsid w:val="007142CF"/>
    <w:rsid w:val="007147B8"/>
    <w:rsid w:val="00714816"/>
    <w:rsid w:val="00714927"/>
    <w:rsid w:val="00714E3B"/>
    <w:rsid w:val="00714E9D"/>
    <w:rsid w:val="00715133"/>
    <w:rsid w:val="00715170"/>
    <w:rsid w:val="0071517A"/>
    <w:rsid w:val="00715367"/>
    <w:rsid w:val="00715397"/>
    <w:rsid w:val="00715414"/>
    <w:rsid w:val="007155A5"/>
    <w:rsid w:val="007155BB"/>
    <w:rsid w:val="0071579C"/>
    <w:rsid w:val="00715948"/>
    <w:rsid w:val="007159A0"/>
    <w:rsid w:val="00715A3D"/>
    <w:rsid w:val="00715A44"/>
    <w:rsid w:val="00715B6C"/>
    <w:rsid w:val="00715FC0"/>
    <w:rsid w:val="007160A2"/>
    <w:rsid w:val="00716246"/>
    <w:rsid w:val="00716321"/>
    <w:rsid w:val="00716364"/>
    <w:rsid w:val="00716438"/>
    <w:rsid w:val="00716450"/>
    <w:rsid w:val="0071649D"/>
    <w:rsid w:val="007164BD"/>
    <w:rsid w:val="00716613"/>
    <w:rsid w:val="0071677A"/>
    <w:rsid w:val="007167BB"/>
    <w:rsid w:val="007168D1"/>
    <w:rsid w:val="00716A5C"/>
    <w:rsid w:val="00716AB9"/>
    <w:rsid w:val="00716C25"/>
    <w:rsid w:val="00716D8B"/>
    <w:rsid w:val="00716FA5"/>
    <w:rsid w:val="00716FF4"/>
    <w:rsid w:val="007170A0"/>
    <w:rsid w:val="00717142"/>
    <w:rsid w:val="007171AC"/>
    <w:rsid w:val="007171CB"/>
    <w:rsid w:val="00717393"/>
    <w:rsid w:val="00717541"/>
    <w:rsid w:val="0071776B"/>
    <w:rsid w:val="007177E6"/>
    <w:rsid w:val="00717877"/>
    <w:rsid w:val="00717A3F"/>
    <w:rsid w:val="00717C41"/>
    <w:rsid w:val="00717DC1"/>
    <w:rsid w:val="00717DDA"/>
    <w:rsid w:val="00720060"/>
    <w:rsid w:val="00720093"/>
    <w:rsid w:val="00720096"/>
    <w:rsid w:val="007200BA"/>
    <w:rsid w:val="00720129"/>
    <w:rsid w:val="007201B6"/>
    <w:rsid w:val="007201EA"/>
    <w:rsid w:val="0072038C"/>
    <w:rsid w:val="0072045F"/>
    <w:rsid w:val="0072046D"/>
    <w:rsid w:val="007205D7"/>
    <w:rsid w:val="007205FD"/>
    <w:rsid w:val="00720608"/>
    <w:rsid w:val="007206E8"/>
    <w:rsid w:val="007207E7"/>
    <w:rsid w:val="00720932"/>
    <w:rsid w:val="0072095C"/>
    <w:rsid w:val="00720A0D"/>
    <w:rsid w:val="00720ED4"/>
    <w:rsid w:val="00720FB3"/>
    <w:rsid w:val="00720FEC"/>
    <w:rsid w:val="00721092"/>
    <w:rsid w:val="007211B5"/>
    <w:rsid w:val="007211FF"/>
    <w:rsid w:val="0072132D"/>
    <w:rsid w:val="007213B6"/>
    <w:rsid w:val="007214BF"/>
    <w:rsid w:val="00721575"/>
    <w:rsid w:val="007215CE"/>
    <w:rsid w:val="007216D2"/>
    <w:rsid w:val="00721810"/>
    <w:rsid w:val="00721933"/>
    <w:rsid w:val="0072193A"/>
    <w:rsid w:val="00721B38"/>
    <w:rsid w:val="00721CD3"/>
    <w:rsid w:val="00721E0A"/>
    <w:rsid w:val="00721E9F"/>
    <w:rsid w:val="00721F5E"/>
    <w:rsid w:val="00722093"/>
    <w:rsid w:val="0072209B"/>
    <w:rsid w:val="007222E1"/>
    <w:rsid w:val="0072231E"/>
    <w:rsid w:val="0072237D"/>
    <w:rsid w:val="007223A8"/>
    <w:rsid w:val="0072252B"/>
    <w:rsid w:val="00722641"/>
    <w:rsid w:val="00722698"/>
    <w:rsid w:val="0072269B"/>
    <w:rsid w:val="007226AF"/>
    <w:rsid w:val="007226CC"/>
    <w:rsid w:val="00722778"/>
    <w:rsid w:val="00722A6C"/>
    <w:rsid w:val="00722BCE"/>
    <w:rsid w:val="00722EBD"/>
    <w:rsid w:val="00722F16"/>
    <w:rsid w:val="0072315F"/>
    <w:rsid w:val="00723163"/>
    <w:rsid w:val="00723176"/>
    <w:rsid w:val="0072319F"/>
    <w:rsid w:val="00723285"/>
    <w:rsid w:val="00723465"/>
    <w:rsid w:val="00723508"/>
    <w:rsid w:val="00723629"/>
    <w:rsid w:val="007236EE"/>
    <w:rsid w:val="00723728"/>
    <w:rsid w:val="00723810"/>
    <w:rsid w:val="00723A1A"/>
    <w:rsid w:val="00723B1C"/>
    <w:rsid w:val="00723B6D"/>
    <w:rsid w:val="00723C76"/>
    <w:rsid w:val="00723DAF"/>
    <w:rsid w:val="00723E24"/>
    <w:rsid w:val="00723F42"/>
    <w:rsid w:val="0072415B"/>
    <w:rsid w:val="0072415D"/>
    <w:rsid w:val="0072417B"/>
    <w:rsid w:val="007242AA"/>
    <w:rsid w:val="007244A7"/>
    <w:rsid w:val="00724576"/>
    <w:rsid w:val="00724632"/>
    <w:rsid w:val="00724749"/>
    <w:rsid w:val="00724780"/>
    <w:rsid w:val="007248FA"/>
    <w:rsid w:val="00724B0B"/>
    <w:rsid w:val="00724CA5"/>
    <w:rsid w:val="00724D7A"/>
    <w:rsid w:val="00724F22"/>
    <w:rsid w:val="00724F52"/>
    <w:rsid w:val="00724FB1"/>
    <w:rsid w:val="0072505E"/>
    <w:rsid w:val="0072514B"/>
    <w:rsid w:val="007252F2"/>
    <w:rsid w:val="00725638"/>
    <w:rsid w:val="007256FC"/>
    <w:rsid w:val="00725942"/>
    <w:rsid w:val="00725972"/>
    <w:rsid w:val="00725AA7"/>
    <w:rsid w:val="00725ABC"/>
    <w:rsid w:val="00725B90"/>
    <w:rsid w:val="00725C06"/>
    <w:rsid w:val="00725C19"/>
    <w:rsid w:val="00725CA0"/>
    <w:rsid w:val="007261E5"/>
    <w:rsid w:val="007262FD"/>
    <w:rsid w:val="0072634B"/>
    <w:rsid w:val="00726456"/>
    <w:rsid w:val="00726527"/>
    <w:rsid w:val="00726625"/>
    <w:rsid w:val="007267F9"/>
    <w:rsid w:val="00726801"/>
    <w:rsid w:val="00726826"/>
    <w:rsid w:val="007268D1"/>
    <w:rsid w:val="00726AF1"/>
    <w:rsid w:val="00726C79"/>
    <w:rsid w:val="00726C7F"/>
    <w:rsid w:val="00726D13"/>
    <w:rsid w:val="00726D59"/>
    <w:rsid w:val="00726DA8"/>
    <w:rsid w:val="00726DB9"/>
    <w:rsid w:val="00726E20"/>
    <w:rsid w:val="00726EC1"/>
    <w:rsid w:val="0072710F"/>
    <w:rsid w:val="00727242"/>
    <w:rsid w:val="007272CE"/>
    <w:rsid w:val="007274DA"/>
    <w:rsid w:val="0072754B"/>
    <w:rsid w:val="0072754E"/>
    <w:rsid w:val="00727722"/>
    <w:rsid w:val="00727781"/>
    <w:rsid w:val="0072780C"/>
    <w:rsid w:val="00727855"/>
    <w:rsid w:val="0072793C"/>
    <w:rsid w:val="00727970"/>
    <w:rsid w:val="00727A97"/>
    <w:rsid w:val="00727B85"/>
    <w:rsid w:val="00727CA1"/>
    <w:rsid w:val="00727DFE"/>
    <w:rsid w:val="00727E8B"/>
    <w:rsid w:val="0073005F"/>
    <w:rsid w:val="0073007D"/>
    <w:rsid w:val="0073024E"/>
    <w:rsid w:val="00730267"/>
    <w:rsid w:val="00730304"/>
    <w:rsid w:val="00730591"/>
    <w:rsid w:val="007307D0"/>
    <w:rsid w:val="007308E8"/>
    <w:rsid w:val="00730A15"/>
    <w:rsid w:val="00730A22"/>
    <w:rsid w:val="00730A50"/>
    <w:rsid w:val="00730D12"/>
    <w:rsid w:val="00730DC8"/>
    <w:rsid w:val="00730DEA"/>
    <w:rsid w:val="00730E10"/>
    <w:rsid w:val="00730E5C"/>
    <w:rsid w:val="007311F1"/>
    <w:rsid w:val="007311FF"/>
    <w:rsid w:val="00731248"/>
    <w:rsid w:val="0073127F"/>
    <w:rsid w:val="0073152F"/>
    <w:rsid w:val="00731545"/>
    <w:rsid w:val="007317A8"/>
    <w:rsid w:val="007318BB"/>
    <w:rsid w:val="007318EB"/>
    <w:rsid w:val="00731983"/>
    <w:rsid w:val="00731AF0"/>
    <w:rsid w:val="00731B51"/>
    <w:rsid w:val="00731B93"/>
    <w:rsid w:val="00731BAD"/>
    <w:rsid w:val="00731FD5"/>
    <w:rsid w:val="0073212C"/>
    <w:rsid w:val="0073213F"/>
    <w:rsid w:val="0073215B"/>
    <w:rsid w:val="00732291"/>
    <w:rsid w:val="0073231E"/>
    <w:rsid w:val="007325C3"/>
    <w:rsid w:val="007326FE"/>
    <w:rsid w:val="00732A6F"/>
    <w:rsid w:val="00732A90"/>
    <w:rsid w:val="00732AC2"/>
    <w:rsid w:val="00732B4E"/>
    <w:rsid w:val="00732B67"/>
    <w:rsid w:val="00732BCE"/>
    <w:rsid w:val="00732DD1"/>
    <w:rsid w:val="00732F94"/>
    <w:rsid w:val="00732FD3"/>
    <w:rsid w:val="007330B5"/>
    <w:rsid w:val="0073320C"/>
    <w:rsid w:val="00733243"/>
    <w:rsid w:val="007333E6"/>
    <w:rsid w:val="007334E6"/>
    <w:rsid w:val="0073353D"/>
    <w:rsid w:val="00733562"/>
    <w:rsid w:val="007335E4"/>
    <w:rsid w:val="0073365E"/>
    <w:rsid w:val="0073373E"/>
    <w:rsid w:val="0073374D"/>
    <w:rsid w:val="007337AF"/>
    <w:rsid w:val="00733812"/>
    <w:rsid w:val="00733885"/>
    <w:rsid w:val="00733B92"/>
    <w:rsid w:val="00733DBB"/>
    <w:rsid w:val="007340FF"/>
    <w:rsid w:val="0073414F"/>
    <w:rsid w:val="00734174"/>
    <w:rsid w:val="00734184"/>
    <w:rsid w:val="00734290"/>
    <w:rsid w:val="007342E7"/>
    <w:rsid w:val="007342EA"/>
    <w:rsid w:val="00734356"/>
    <w:rsid w:val="007343E2"/>
    <w:rsid w:val="00734442"/>
    <w:rsid w:val="007344AC"/>
    <w:rsid w:val="0073454C"/>
    <w:rsid w:val="00734607"/>
    <w:rsid w:val="00734675"/>
    <w:rsid w:val="0073467B"/>
    <w:rsid w:val="00734A7F"/>
    <w:rsid w:val="00734BD7"/>
    <w:rsid w:val="00734BD8"/>
    <w:rsid w:val="00734C48"/>
    <w:rsid w:val="00734D40"/>
    <w:rsid w:val="00734D4B"/>
    <w:rsid w:val="00734D7A"/>
    <w:rsid w:val="00734DF3"/>
    <w:rsid w:val="00734EE7"/>
    <w:rsid w:val="00734FC9"/>
    <w:rsid w:val="00735042"/>
    <w:rsid w:val="00735063"/>
    <w:rsid w:val="00735105"/>
    <w:rsid w:val="007351B9"/>
    <w:rsid w:val="00735256"/>
    <w:rsid w:val="00735343"/>
    <w:rsid w:val="00735496"/>
    <w:rsid w:val="00735575"/>
    <w:rsid w:val="00735668"/>
    <w:rsid w:val="00735790"/>
    <w:rsid w:val="0073598C"/>
    <w:rsid w:val="00735993"/>
    <w:rsid w:val="00735BED"/>
    <w:rsid w:val="00735C8A"/>
    <w:rsid w:val="00735D32"/>
    <w:rsid w:val="00735E80"/>
    <w:rsid w:val="00735F08"/>
    <w:rsid w:val="00736133"/>
    <w:rsid w:val="00736329"/>
    <w:rsid w:val="007364CC"/>
    <w:rsid w:val="007364DE"/>
    <w:rsid w:val="00736556"/>
    <w:rsid w:val="00736609"/>
    <w:rsid w:val="007366D5"/>
    <w:rsid w:val="00736704"/>
    <w:rsid w:val="00736729"/>
    <w:rsid w:val="00736792"/>
    <w:rsid w:val="00736AA2"/>
    <w:rsid w:val="00736D6A"/>
    <w:rsid w:val="00736DE2"/>
    <w:rsid w:val="00736ED2"/>
    <w:rsid w:val="00736FE1"/>
    <w:rsid w:val="00737023"/>
    <w:rsid w:val="007370E4"/>
    <w:rsid w:val="0073714A"/>
    <w:rsid w:val="0073748B"/>
    <w:rsid w:val="007375C7"/>
    <w:rsid w:val="007377DB"/>
    <w:rsid w:val="007377F3"/>
    <w:rsid w:val="00737843"/>
    <w:rsid w:val="007378D7"/>
    <w:rsid w:val="007379CC"/>
    <w:rsid w:val="00737A4E"/>
    <w:rsid w:val="00737C50"/>
    <w:rsid w:val="00737C8A"/>
    <w:rsid w:val="00737D2C"/>
    <w:rsid w:val="00737DC9"/>
    <w:rsid w:val="00737DD9"/>
    <w:rsid w:val="00737EDD"/>
    <w:rsid w:val="00737F5D"/>
    <w:rsid w:val="00737F71"/>
    <w:rsid w:val="007400D6"/>
    <w:rsid w:val="007400D7"/>
    <w:rsid w:val="00740136"/>
    <w:rsid w:val="00740183"/>
    <w:rsid w:val="00740317"/>
    <w:rsid w:val="00740609"/>
    <w:rsid w:val="007406FF"/>
    <w:rsid w:val="007409CA"/>
    <w:rsid w:val="00740AD5"/>
    <w:rsid w:val="00740B9E"/>
    <w:rsid w:val="00740DA1"/>
    <w:rsid w:val="00740E39"/>
    <w:rsid w:val="00740E6D"/>
    <w:rsid w:val="00740F08"/>
    <w:rsid w:val="00741002"/>
    <w:rsid w:val="00741088"/>
    <w:rsid w:val="00741244"/>
    <w:rsid w:val="007412B2"/>
    <w:rsid w:val="00741485"/>
    <w:rsid w:val="00741541"/>
    <w:rsid w:val="007415FE"/>
    <w:rsid w:val="00741721"/>
    <w:rsid w:val="007417AA"/>
    <w:rsid w:val="0074185D"/>
    <w:rsid w:val="00741881"/>
    <w:rsid w:val="00741894"/>
    <w:rsid w:val="0074195A"/>
    <w:rsid w:val="00741A2C"/>
    <w:rsid w:val="00741C8F"/>
    <w:rsid w:val="00741E03"/>
    <w:rsid w:val="0074206A"/>
    <w:rsid w:val="007420D5"/>
    <w:rsid w:val="007422B2"/>
    <w:rsid w:val="007422F7"/>
    <w:rsid w:val="0074246D"/>
    <w:rsid w:val="00742492"/>
    <w:rsid w:val="007424A5"/>
    <w:rsid w:val="007424BF"/>
    <w:rsid w:val="007428BC"/>
    <w:rsid w:val="007428F0"/>
    <w:rsid w:val="007429D7"/>
    <w:rsid w:val="007429ED"/>
    <w:rsid w:val="00742A9A"/>
    <w:rsid w:val="00742AFF"/>
    <w:rsid w:val="00742C24"/>
    <w:rsid w:val="00742DAA"/>
    <w:rsid w:val="00742DCF"/>
    <w:rsid w:val="00742E6A"/>
    <w:rsid w:val="00742EC5"/>
    <w:rsid w:val="00743082"/>
    <w:rsid w:val="007430F1"/>
    <w:rsid w:val="00743169"/>
    <w:rsid w:val="0074327F"/>
    <w:rsid w:val="007432D5"/>
    <w:rsid w:val="007433B0"/>
    <w:rsid w:val="00743426"/>
    <w:rsid w:val="007434F6"/>
    <w:rsid w:val="0074357D"/>
    <w:rsid w:val="007435B5"/>
    <w:rsid w:val="00743708"/>
    <w:rsid w:val="00743737"/>
    <w:rsid w:val="007437AA"/>
    <w:rsid w:val="00743978"/>
    <w:rsid w:val="00743C08"/>
    <w:rsid w:val="00743CAA"/>
    <w:rsid w:val="00743DA3"/>
    <w:rsid w:val="007441CC"/>
    <w:rsid w:val="007443A9"/>
    <w:rsid w:val="007443CB"/>
    <w:rsid w:val="0074471D"/>
    <w:rsid w:val="0074473E"/>
    <w:rsid w:val="007447F1"/>
    <w:rsid w:val="0074486E"/>
    <w:rsid w:val="00744896"/>
    <w:rsid w:val="007448AE"/>
    <w:rsid w:val="00744AB6"/>
    <w:rsid w:val="00744B57"/>
    <w:rsid w:val="00744B7F"/>
    <w:rsid w:val="00744B8C"/>
    <w:rsid w:val="00744BFE"/>
    <w:rsid w:val="00744E71"/>
    <w:rsid w:val="00744EAC"/>
    <w:rsid w:val="0074500F"/>
    <w:rsid w:val="00745056"/>
    <w:rsid w:val="0074511D"/>
    <w:rsid w:val="00745131"/>
    <w:rsid w:val="00745245"/>
    <w:rsid w:val="0074537C"/>
    <w:rsid w:val="00745546"/>
    <w:rsid w:val="00745558"/>
    <w:rsid w:val="00745588"/>
    <w:rsid w:val="007456BE"/>
    <w:rsid w:val="0074578B"/>
    <w:rsid w:val="00745A15"/>
    <w:rsid w:val="00745CCC"/>
    <w:rsid w:val="00745D7A"/>
    <w:rsid w:val="00745DD6"/>
    <w:rsid w:val="00745DFB"/>
    <w:rsid w:val="00745E4F"/>
    <w:rsid w:val="00745F1C"/>
    <w:rsid w:val="00745F80"/>
    <w:rsid w:val="007460C8"/>
    <w:rsid w:val="007460D0"/>
    <w:rsid w:val="007462CC"/>
    <w:rsid w:val="0074636E"/>
    <w:rsid w:val="00746418"/>
    <w:rsid w:val="00746518"/>
    <w:rsid w:val="00746606"/>
    <w:rsid w:val="00746815"/>
    <w:rsid w:val="007468DB"/>
    <w:rsid w:val="00746A25"/>
    <w:rsid w:val="00746A29"/>
    <w:rsid w:val="00746B2F"/>
    <w:rsid w:val="00746BDD"/>
    <w:rsid w:val="00746BFE"/>
    <w:rsid w:val="00746C61"/>
    <w:rsid w:val="00746D23"/>
    <w:rsid w:val="00746D35"/>
    <w:rsid w:val="00746D90"/>
    <w:rsid w:val="00746E95"/>
    <w:rsid w:val="00746EC6"/>
    <w:rsid w:val="00746F32"/>
    <w:rsid w:val="00746F7D"/>
    <w:rsid w:val="00746F9D"/>
    <w:rsid w:val="0074711D"/>
    <w:rsid w:val="00747173"/>
    <w:rsid w:val="007472D5"/>
    <w:rsid w:val="00747317"/>
    <w:rsid w:val="0074738A"/>
    <w:rsid w:val="007473AF"/>
    <w:rsid w:val="0074748F"/>
    <w:rsid w:val="00747680"/>
    <w:rsid w:val="00747744"/>
    <w:rsid w:val="00747760"/>
    <w:rsid w:val="007478B4"/>
    <w:rsid w:val="007478B8"/>
    <w:rsid w:val="007478CF"/>
    <w:rsid w:val="00747931"/>
    <w:rsid w:val="00747955"/>
    <w:rsid w:val="0074795C"/>
    <w:rsid w:val="00747AFC"/>
    <w:rsid w:val="00747B5C"/>
    <w:rsid w:val="00747C29"/>
    <w:rsid w:val="00747E84"/>
    <w:rsid w:val="00747F51"/>
    <w:rsid w:val="007501DB"/>
    <w:rsid w:val="00750278"/>
    <w:rsid w:val="007503A9"/>
    <w:rsid w:val="007503FB"/>
    <w:rsid w:val="00750485"/>
    <w:rsid w:val="0075050A"/>
    <w:rsid w:val="00750640"/>
    <w:rsid w:val="0075082C"/>
    <w:rsid w:val="007508E3"/>
    <w:rsid w:val="0075094B"/>
    <w:rsid w:val="007509A5"/>
    <w:rsid w:val="00750AA9"/>
    <w:rsid w:val="00750E4C"/>
    <w:rsid w:val="00750EEE"/>
    <w:rsid w:val="00750F35"/>
    <w:rsid w:val="007510C0"/>
    <w:rsid w:val="0075115A"/>
    <w:rsid w:val="00751217"/>
    <w:rsid w:val="00751271"/>
    <w:rsid w:val="00751512"/>
    <w:rsid w:val="00751581"/>
    <w:rsid w:val="00751602"/>
    <w:rsid w:val="0075161E"/>
    <w:rsid w:val="007517FD"/>
    <w:rsid w:val="00751935"/>
    <w:rsid w:val="00751983"/>
    <w:rsid w:val="007519D8"/>
    <w:rsid w:val="00751BFC"/>
    <w:rsid w:val="00751CA6"/>
    <w:rsid w:val="00751DFC"/>
    <w:rsid w:val="00751F72"/>
    <w:rsid w:val="00751FA6"/>
    <w:rsid w:val="007520BE"/>
    <w:rsid w:val="007520D8"/>
    <w:rsid w:val="00752153"/>
    <w:rsid w:val="00752155"/>
    <w:rsid w:val="007521D7"/>
    <w:rsid w:val="007522D5"/>
    <w:rsid w:val="00752355"/>
    <w:rsid w:val="00752464"/>
    <w:rsid w:val="007524F9"/>
    <w:rsid w:val="007525DD"/>
    <w:rsid w:val="0075265D"/>
    <w:rsid w:val="007527E5"/>
    <w:rsid w:val="00752900"/>
    <w:rsid w:val="0075298A"/>
    <w:rsid w:val="007529A3"/>
    <w:rsid w:val="00752AB3"/>
    <w:rsid w:val="00752AC7"/>
    <w:rsid w:val="00752B23"/>
    <w:rsid w:val="00752C0C"/>
    <w:rsid w:val="00752C76"/>
    <w:rsid w:val="00752C97"/>
    <w:rsid w:val="00752C9D"/>
    <w:rsid w:val="00752D19"/>
    <w:rsid w:val="00752D51"/>
    <w:rsid w:val="00752F7E"/>
    <w:rsid w:val="00752FDD"/>
    <w:rsid w:val="00753083"/>
    <w:rsid w:val="007530A7"/>
    <w:rsid w:val="00753223"/>
    <w:rsid w:val="00753242"/>
    <w:rsid w:val="00753257"/>
    <w:rsid w:val="00753286"/>
    <w:rsid w:val="00753307"/>
    <w:rsid w:val="0075343F"/>
    <w:rsid w:val="0075347D"/>
    <w:rsid w:val="007534F2"/>
    <w:rsid w:val="00753502"/>
    <w:rsid w:val="00753881"/>
    <w:rsid w:val="007538A1"/>
    <w:rsid w:val="007539CA"/>
    <w:rsid w:val="007539CB"/>
    <w:rsid w:val="00753A1E"/>
    <w:rsid w:val="00753A86"/>
    <w:rsid w:val="00753ACD"/>
    <w:rsid w:val="00753C8E"/>
    <w:rsid w:val="00753E41"/>
    <w:rsid w:val="0075404E"/>
    <w:rsid w:val="00754262"/>
    <w:rsid w:val="007542D1"/>
    <w:rsid w:val="00754400"/>
    <w:rsid w:val="00754440"/>
    <w:rsid w:val="007545ED"/>
    <w:rsid w:val="00754741"/>
    <w:rsid w:val="007547E9"/>
    <w:rsid w:val="00754879"/>
    <w:rsid w:val="007548A2"/>
    <w:rsid w:val="00754965"/>
    <w:rsid w:val="007549FD"/>
    <w:rsid w:val="00754C15"/>
    <w:rsid w:val="00754C4E"/>
    <w:rsid w:val="00755158"/>
    <w:rsid w:val="007551C1"/>
    <w:rsid w:val="0075533C"/>
    <w:rsid w:val="007553BA"/>
    <w:rsid w:val="00755436"/>
    <w:rsid w:val="0075545C"/>
    <w:rsid w:val="0075554D"/>
    <w:rsid w:val="007555CC"/>
    <w:rsid w:val="00755695"/>
    <w:rsid w:val="007556FC"/>
    <w:rsid w:val="0075570A"/>
    <w:rsid w:val="0075576C"/>
    <w:rsid w:val="007557E8"/>
    <w:rsid w:val="00755828"/>
    <w:rsid w:val="00755848"/>
    <w:rsid w:val="0075595A"/>
    <w:rsid w:val="0075599B"/>
    <w:rsid w:val="00755A42"/>
    <w:rsid w:val="00755AC1"/>
    <w:rsid w:val="00755BA7"/>
    <w:rsid w:val="00755D3A"/>
    <w:rsid w:val="00755DB1"/>
    <w:rsid w:val="00755DB4"/>
    <w:rsid w:val="00755E0C"/>
    <w:rsid w:val="007560FE"/>
    <w:rsid w:val="00756213"/>
    <w:rsid w:val="00756307"/>
    <w:rsid w:val="007563C6"/>
    <w:rsid w:val="00756496"/>
    <w:rsid w:val="0075654A"/>
    <w:rsid w:val="007565BF"/>
    <w:rsid w:val="007565F0"/>
    <w:rsid w:val="00756615"/>
    <w:rsid w:val="00756891"/>
    <w:rsid w:val="00756A1F"/>
    <w:rsid w:val="00756BD7"/>
    <w:rsid w:val="00756BE6"/>
    <w:rsid w:val="00756C48"/>
    <w:rsid w:val="00756D20"/>
    <w:rsid w:val="00756DF3"/>
    <w:rsid w:val="00756E99"/>
    <w:rsid w:val="00757168"/>
    <w:rsid w:val="007572F0"/>
    <w:rsid w:val="007574A1"/>
    <w:rsid w:val="0075754D"/>
    <w:rsid w:val="00757612"/>
    <w:rsid w:val="0075766C"/>
    <w:rsid w:val="007577D1"/>
    <w:rsid w:val="00757817"/>
    <w:rsid w:val="00757863"/>
    <w:rsid w:val="00757905"/>
    <w:rsid w:val="00757959"/>
    <w:rsid w:val="00757997"/>
    <w:rsid w:val="00757A49"/>
    <w:rsid w:val="00757A6E"/>
    <w:rsid w:val="00757B2C"/>
    <w:rsid w:val="00757C22"/>
    <w:rsid w:val="00757C55"/>
    <w:rsid w:val="00757E10"/>
    <w:rsid w:val="00757E3B"/>
    <w:rsid w:val="00757F68"/>
    <w:rsid w:val="0076000A"/>
    <w:rsid w:val="0076024C"/>
    <w:rsid w:val="00760273"/>
    <w:rsid w:val="007602A5"/>
    <w:rsid w:val="007603C8"/>
    <w:rsid w:val="00760442"/>
    <w:rsid w:val="0076057E"/>
    <w:rsid w:val="0076065E"/>
    <w:rsid w:val="0076067A"/>
    <w:rsid w:val="007606E4"/>
    <w:rsid w:val="0076088C"/>
    <w:rsid w:val="0076090A"/>
    <w:rsid w:val="007609A9"/>
    <w:rsid w:val="00760A74"/>
    <w:rsid w:val="00760B25"/>
    <w:rsid w:val="00760C13"/>
    <w:rsid w:val="00760D57"/>
    <w:rsid w:val="00760D74"/>
    <w:rsid w:val="00760DC8"/>
    <w:rsid w:val="00760DE9"/>
    <w:rsid w:val="00760E1B"/>
    <w:rsid w:val="00760EDC"/>
    <w:rsid w:val="00760FDD"/>
    <w:rsid w:val="0076105F"/>
    <w:rsid w:val="00761108"/>
    <w:rsid w:val="00761239"/>
    <w:rsid w:val="007612DA"/>
    <w:rsid w:val="00761354"/>
    <w:rsid w:val="007613AE"/>
    <w:rsid w:val="00761459"/>
    <w:rsid w:val="007614BC"/>
    <w:rsid w:val="00761607"/>
    <w:rsid w:val="0076169C"/>
    <w:rsid w:val="00761759"/>
    <w:rsid w:val="007617F3"/>
    <w:rsid w:val="00761A5B"/>
    <w:rsid w:val="00761B23"/>
    <w:rsid w:val="00761C91"/>
    <w:rsid w:val="00761CFC"/>
    <w:rsid w:val="00761D24"/>
    <w:rsid w:val="00761D9E"/>
    <w:rsid w:val="0076202F"/>
    <w:rsid w:val="00762060"/>
    <w:rsid w:val="00762117"/>
    <w:rsid w:val="00762359"/>
    <w:rsid w:val="007623FA"/>
    <w:rsid w:val="00762716"/>
    <w:rsid w:val="0076286D"/>
    <w:rsid w:val="0076292E"/>
    <w:rsid w:val="007629CD"/>
    <w:rsid w:val="00762A92"/>
    <w:rsid w:val="00762B05"/>
    <w:rsid w:val="00762B1F"/>
    <w:rsid w:val="00762B89"/>
    <w:rsid w:val="00762BC8"/>
    <w:rsid w:val="00762CE4"/>
    <w:rsid w:val="00762DA7"/>
    <w:rsid w:val="00762DB0"/>
    <w:rsid w:val="00762E23"/>
    <w:rsid w:val="00762F56"/>
    <w:rsid w:val="00762FCA"/>
    <w:rsid w:val="0076312A"/>
    <w:rsid w:val="00763166"/>
    <w:rsid w:val="00763184"/>
    <w:rsid w:val="007631BB"/>
    <w:rsid w:val="00763240"/>
    <w:rsid w:val="007632A9"/>
    <w:rsid w:val="007634E4"/>
    <w:rsid w:val="00763511"/>
    <w:rsid w:val="0076352A"/>
    <w:rsid w:val="0076377E"/>
    <w:rsid w:val="007637C4"/>
    <w:rsid w:val="0076390A"/>
    <w:rsid w:val="0076392A"/>
    <w:rsid w:val="00763952"/>
    <w:rsid w:val="00763995"/>
    <w:rsid w:val="007639F4"/>
    <w:rsid w:val="00763A0C"/>
    <w:rsid w:val="00763A0E"/>
    <w:rsid w:val="00763A95"/>
    <w:rsid w:val="00763C2C"/>
    <w:rsid w:val="00763C9E"/>
    <w:rsid w:val="00763FCC"/>
    <w:rsid w:val="007640F9"/>
    <w:rsid w:val="0076412E"/>
    <w:rsid w:val="00764197"/>
    <w:rsid w:val="00764329"/>
    <w:rsid w:val="007643E9"/>
    <w:rsid w:val="00764404"/>
    <w:rsid w:val="0076459C"/>
    <w:rsid w:val="0076463A"/>
    <w:rsid w:val="0076474E"/>
    <w:rsid w:val="00764759"/>
    <w:rsid w:val="007647F1"/>
    <w:rsid w:val="00764956"/>
    <w:rsid w:val="0076497F"/>
    <w:rsid w:val="007649CD"/>
    <w:rsid w:val="00764A6E"/>
    <w:rsid w:val="00764AF7"/>
    <w:rsid w:val="00764B00"/>
    <w:rsid w:val="00764D31"/>
    <w:rsid w:val="00764D96"/>
    <w:rsid w:val="00764F86"/>
    <w:rsid w:val="007650C4"/>
    <w:rsid w:val="007651C8"/>
    <w:rsid w:val="00765210"/>
    <w:rsid w:val="0076527F"/>
    <w:rsid w:val="007653E9"/>
    <w:rsid w:val="0076540E"/>
    <w:rsid w:val="007657D7"/>
    <w:rsid w:val="00765986"/>
    <w:rsid w:val="007659CB"/>
    <w:rsid w:val="00765B1C"/>
    <w:rsid w:val="00765B88"/>
    <w:rsid w:val="00765C48"/>
    <w:rsid w:val="00765DF6"/>
    <w:rsid w:val="00765E8B"/>
    <w:rsid w:val="00766160"/>
    <w:rsid w:val="007662E4"/>
    <w:rsid w:val="00766346"/>
    <w:rsid w:val="007663E1"/>
    <w:rsid w:val="00766439"/>
    <w:rsid w:val="007664ED"/>
    <w:rsid w:val="00766554"/>
    <w:rsid w:val="00766607"/>
    <w:rsid w:val="0076669B"/>
    <w:rsid w:val="0076678A"/>
    <w:rsid w:val="007667A4"/>
    <w:rsid w:val="007667B5"/>
    <w:rsid w:val="007667CD"/>
    <w:rsid w:val="007667FE"/>
    <w:rsid w:val="00766916"/>
    <w:rsid w:val="00766979"/>
    <w:rsid w:val="007669C3"/>
    <w:rsid w:val="007669DC"/>
    <w:rsid w:val="007669F6"/>
    <w:rsid w:val="00766A19"/>
    <w:rsid w:val="00766B4B"/>
    <w:rsid w:val="00766B58"/>
    <w:rsid w:val="00766CA9"/>
    <w:rsid w:val="00766F72"/>
    <w:rsid w:val="00766FEC"/>
    <w:rsid w:val="00766FFC"/>
    <w:rsid w:val="00767059"/>
    <w:rsid w:val="0076708F"/>
    <w:rsid w:val="0076713D"/>
    <w:rsid w:val="00767339"/>
    <w:rsid w:val="00767363"/>
    <w:rsid w:val="00767483"/>
    <w:rsid w:val="007674CD"/>
    <w:rsid w:val="0076756E"/>
    <w:rsid w:val="007677F8"/>
    <w:rsid w:val="007678A3"/>
    <w:rsid w:val="007679F0"/>
    <w:rsid w:val="00767A49"/>
    <w:rsid w:val="00767CCE"/>
    <w:rsid w:val="00767CD6"/>
    <w:rsid w:val="00767D14"/>
    <w:rsid w:val="00767D9F"/>
    <w:rsid w:val="00767E00"/>
    <w:rsid w:val="00767E01"/>
    <w:rsid w:val="00767E8B"/>
    <w:rsid w:val="00767FE1"/>
    <w:rsid w:val="007701D7"/>
    <w:rsid w:val="00770297"/>
    <w:rsid w:val="0077082A"/>
    <w:rsid w:val="0077088C"/>
    <w:rsid w:val="007708A9"/>
    <w:rsid w:val="00770934"/>
    <w:rsid w:val="00770BFE"/>
    <w:rsid w:val="00770C02"/>
    <w:rsid w:val="00770C37"/>
    <w:rsid w:val="00770C83"/>
    <w:rsid w:val="00770CE6"/>
    <w:rsid w:val="00770FA9"/>
    <w:rsid w:val="00770FCF"/>
    <w:rsid w:val="00771174"/>
    <w:rsid w:val="00771241"/>
    <w:rsid w:val="00771272"/>
    <w:rsid w:val="007712A1"/>
    <w:rsid w:val="007713D7"/>
    <w:rsid w:val="0077149E"/>
    <w:rsid w:val="00771667"/>
    <w:rsid w:val="00771974"/>
    <w:rsid w:val="007719B7"/>
    <w:rsid w:val="00771BCB"/>
    <w:rsid w:val="00771CC4"/>
    <w:rsid w:val="00771E21"/>
    <w:rsid w:val="00771F0F"/>
    <w:rsid w:val="00771F78"/>
    <w:rsid w:val="00771FD5"/>
    <w:rsid w:val="007721B2"/>
    <w:rsid w:val="0077223E"/>
    <w:rsid w:val="007722FB"/>
    <w:rsid w:val="007723EC"/>
    <w:rsid w:val="00772575"/>
    <w:rsid w:val="007725B1"/>
    <w:rsid w:val="0077272D"/>
    <w:rsid w:val="00772787"/>
    <w:rsid w:val="0077278D"/>
    <w:rsid w:val="00772862"/>
    <w:rsid w:val="00772962"/>
    <w:rsid w:val="00772B9E"/>
    <w:rsid w:val="00772D1C"/>
    <w:rsid w:val="00772D7A"/>
    <w:rsid w:val="00772DFA"/>
    <w:rsid w:val="00772E0E"/>
    <w:rsid w:val="00772E34"/>
    <w:rsid w:val="00772E49"/>
    <w:rsid w:val="007730F9"/>
    <w:rsid w:val="00773175"/>
    <w:rsid w:val="007732A8"/>
    <w:rsid w:val="007732FD"/>
    <w:rsid w:val="007733A6"/>
    <w:rsid w:val="00773474"/>
    <w:rsid w:val="007734D7"/>
    <w:rsid w:val="007735A7"/>
    <w:rsid w:val="007735BB"/>
    <w:rsid w:val="007735E0"/>
    <w:rsid w:val="0077361A"/>
    <w:rsid w:val="00773935"/>
    <w:rsid w:val="00773B05"/>
    <w:rsid w:val="00773B58"/>
    <w:rsid w:val="00773CB1"/>
    <w:rsid w:val="00773CF0"/>
    <w:rsid w:val="00773D52"/>
    <w:rsid w:val="00773E00"/>
    <w:rsid w:val="00773E71"/>
    <w:rsid w:val="00773E95"/>
    <w:rsid w:val="00773E9C"/>
    <w:rsid w:val="0077400F"/>
    <w:rsid w:val="007740A0"/>
    <w:rsid w:val="00774295"/>
    <w:rsid w:val="00774319"/>
    <w:rsid w:val="0077435D"/>
    <w:rsid w:val="007743CC"/>
    <w:rsid w:val="00774458"/>
    <w:rsid w:val="0077453D"/>
    <w:rsid w:val="00774599"/>
    <w:rsid w:val="007745EE"/>
    <w:rsid w:val="00774646"/>
    <w:rsid w:val="00774709"/>
    <w:rsid w:val="0077476E"/>
    <w:rsid w:val="00774783"/>
    <w:rsid w:val="007748F0"/>
    <w:rsid w:val="00774A4E"/>
    <w:rsid w:val="00774A8D"/>
    <w:rsid w:val="00774AD6"/>
    <w:rsid w:val="00774B5E"/>
    <w:rsid w:val="00774B75"/>
    <w:rsid w:val="00774BC6"/>
    <w:rsid w:val="00774C46"/>
    <w:rsid w:val="00774C5F"/>
    <w:rsid w:val="00774C9D"/>
    <w:rsid w:val="00774DD6"/>
    <w:rsid w:val="00774F01"/>
    <w:rsid w:val="00775005"/>
    <w:rsid w:val="00775145"/>
    <w:rsid w:val="0077525A"/>
    <w:rsid w:val="00775296"/>
    <w:rsid w:val="007754E0"/>
    <w:rsid w:val="007756D2"/>
    <w:rsid w:val="007757EB"/>
    <w:rsid w:val="00775B96"/>
    <w:rsid w:val="00775BB4"/>
    <w:rsid w:val="00775C4F"/>
    <w:rsid w:val="00775D20"/>
    <w:rsid w:val="00775D2C"/>
    <w:rsid w:val="00775DEB"/>
    <w:rsid w:val="00775DFC"/>
    <w:rsid w:val="00775E35"/>
    <w:rsid w:val="00775EB6"/>
    <w:rsid w:val="007762B9"/>
    <w:rsid w:val="007762CD"/>
    <w:rsid w:val="00776326"/>
    <w:rsid w:val="00776586"/>
    <w:rsid w:val="007765D1"/>
    <w:rsid w:val="00776703"/>
    <w:rsid w:val="00776765"/>
    <w:rsid w:val="00776A24"/>
    <w:rsid w:val="00776AB8"/>
    <w:rsid w:val="00776B14"/>
    <w:rsid w:val="00776B5A"/>
    <w:rsid w:val="00776BF6"/>
    <w:rsid w:val="00776C05"/>
    <w:rsid w:val="00776DEE"/>
    <w:rsid w:val="00777070"/>
    <w:rsid w:val="007770F3"/>
    <w:rsid w:val="00777221"/>
    <w:rsid w:val="007772A5"/>
    <w:rsid w:val="007772B2"/>
    <w:rsid w:val="007772BE"/>
    <w:rsid w:val="00777397"/>
    <w:rsid w:val="007773C7"/>
    <w:rsid w:val="0077752C"/>
    <w:rsid w:val="0077756E"/>
    <w:rsid w:val="00777636"/>
    <w:rsid w:val="00777699"/>
    <w:rsid w:val="007776A4"/>
    <w:rsid w:val="007776D7"/>
    <w:rsid w:val="00777953"/>
    <w:rsid w:val="007779EC"/>
    <w:rsid w:val="007779FA"/>
    <w:rsid w:val="00777B69"/>
    <w:rsid w:val="00777D1C"/>
    <w:rsid w:val="00777D85"/>
    <w:rsid w:val="00777DE4"/>
    <w:rsid w:val="00777DF7"/>
    <w:rsid w:val="00777E92"/>
    <w:rsid w:val="00777EEE"/>
    <w:rsid w:val="00777EF8"/>
    <w:rsid w:val="00777F20"/>
    <w:rsid w:val="00777F27"/>
    <w:rsid w:val="007800D5"/>
    <w:rsid w:val="00780244"/>
    <w:rsid w:val="0078035E"/>
    <w:rsid w:val="007805A1"/>
    <w:rsid w:val="00780893"/>
    <w:rsid w:val="007808E9"/>
    <w:rsid w:val="00780964"/>
    <w:rsid w:val="007809BC"/>
    <w:rsid w:val="00780A96"/>
    <w:rsid w:val="00780B08"/>
    <w:rsid w:val="00780B50"/>
    <w:rsid w:val="00780D52"/>
    <w:rsid w:val="00780D8F"/>
    <w:rsid w:val="00780E16"/>
    <w:rsid w:val="0078108E"/>
    <w:rsid w:val="00781317"/>
    <w:rsid w:val="007813C1"/>
    <w:rsid w:val="007813E8"/>
    <w:rsid w:val="007813F9"/>
    <w:rsid w:val="00781675"/>
    <w:rsid w:val="007817B2"/>
    <w:rsid w:val="007818C3"/>
    <w:rsid w:val="00781A32"/>
    <w:rsid w:val="00781C20"/>
    <w:rsid w:val="00781D6A"/>
    <w:rsid w:val="00781DFE"/>
    <w:rsid w:val="00781E33"/>
    <w:rsid w:val="00781E49"/>
    <w:rsid w:val="00781F1A"/>
    <w:rsid w:val="00781F72"/>
    <w:rsid w:val="0078205E"/>
    <w:rsid w:val="0078214B"/>
    <w:rsid w:val="00782164"/>
    <w:rsid w:val="007821F3"/>
    <w:rsid w:val="007823A5"/>
    <w:rsid w:val="007824A1"/>
    <w:rsid w:val="0078251C"/>
    <w:rsid w:val="007827BA"/>
    <w:rsid w:val="00782850"/>
    <w:rsid w:val="0078299C"/>
    <w:rsid w:val="00782AB2"/>
    <w:rsid w:val="00782AD5"/>
    <w:rsid w:val="00782BE1"/>
    <w:rsid w:val="00782BE9"/>
    <w:rsid w:val="00782D02"/>
    <w:rsid w:val="00782FB1"/>
    <w:rsid w:val="0078308B"/>
    <w:rsid w:val="007831AD"/>
    <w:rsid w:val="00783241"/>
    <w:rsid w:val="0078325D"/>
    <w:rsid w:val="00783270"/>
    <w:rsid w:val="007835E1"/>
    <w:rsid w:val="007839CD"/>
    <w:rsid w:val="00783A37"/>
    <w:rsid w:val="00783C06"/>
    <w:rsid w:val="00783CB8"/>
    <w:rsid w:val="00783D73"/>
    <w:rsid w:val="00783D91"/>
    <w:rsid w:val="00783DDE"/>
    <w:rsid w:val="00783E63"/>
    <w:rsid w:val="00783EEA"/>
    <w:rsid w:val="00783FB4"/>
    <w:rsid w:val="0078417B"/>
    <w:rsid w:val="00784204"/>
    <w:rsid w:val="0078422A"/>
    <w:rsid w:val="0078435A"/>
    <w:rsid w:val="007843FE"/>
    <w:rsid w:val="007844C9"/>
    <w:rsid w:val="007849A8"/>
    <w:rsid w:val="00784A43"/>
    <w:rsid w:val="00784B1C"/>
    <w:rsid w:val="00784D0E"/>
    <w:rsid w:val="00784D57"/>
    <w:rsid w:val="00785098"/>
    <w:rsid w:val="007850C5"/>
    <w:rsid w:val="0078514E"/>
    <w:rsid w:val="007851A7"/>
    <w:rsid w:val="0078529A"/>
    <w:rsid w:val="007852F4"/>
    <w:rsid w:val="007853CF"/>
    <w:rsid w:val="007855D8"/>
    <w:rsid w:val="007855E2"/>
    <w:rsid w:val="00785637"/>
    <w:rsid w:val="0078564F"/>
    <w:rsid w:val="0078573D"/>
    <w:rsid w:val="00785785"/>
    <w:rsid w:val="00785970"/>
    <w:rsid w:val="00785997"/>
    <w:rsid w:val="007859A8"/>
    <w:rsid w:val="00785B09"/>
    <w:rsid w:val="00785BD5"/>
    <w:rsid w:val="00785C39"/>
    <w:rsid w:val="00785C4B"/>
    <w:rsid w:val="00785D72"/>
    <w:rsid w:val="00785E62"/>
    <w:rsid w:val="007860CF"/>
    <w:rsid w:val="007860EC"/>
    <w:rsid w:val="007862DA"/>
    <w:rsid w:val="007862E2"/>
    <w:rsid w:val="0078637D"/>
    <w:rsid w:val="007863B3"/>
    <w:rsid w:val="00786482"/>
    <w:rsid w:val="0078660E"/>
    <w:rsid w:val="0078670E"/>
    <w:rsid w:val="00786727"/>
    <w:rsid w:val="00786739"/>
    <w:rsid w:val="00786917"/>
    <w:rsid w:val="00786A52"/>
    <w:rsid w:val="00786A9F"/>
    <w:rsid w:val="00786E10"/>
    <w:rsid w:val="00786EF9"/>
    <w:rsid w:val="00786F41"/>
    <w:rsid w:val="007870D9"/>
    <w:rsid w:val="0078711C"/>
    <w:rsid w:val="00787190"/>
    <w:rsid w:val="00787277"/>
    <w:rsid w:val="00787393"/>
    <w:rsid w:val="007873A6"/>
    <w:rsid w:val="007873E7"/>
    <w:rsid w:val="0078749B"/>
    <w:rsid w:val="0078758B"/>
    <w:rsid w:val="007875EF"/>
    <w:rsid w:val="007876E9"/>
    <w:rsid w:val="007878A5"/>
    <w:rsid w:val="00787906"/>
    <w:rsid w:val="0078790C"/>
    <w:rsid w:val="00787A74"/>
    <w:rsid w:val="00787BAF"/>
    <w:rsid w:val="00787BB0"/>
    <w:rsid w:val="00787BC1"/>
    <w:rsid w:val="00787C1A"/>
    <w:rsid w:val="00787D27"/>
    <w:rsid w:val="00787D74"/>
    <w:rsid w:val="00787FCF"/>
    <w:rsid w:val="00787FD1"/>
    <w:rsid w:val="00787FDE"/>
    <w:rsid w:val="00787FE1"/>
    <w:rsid w:val="0079018E"/>
    <w:rsid w:val="0079022A"/>
    <w:rsid w:val="00790286"/>
    <w:rsid w:val="007903BC"/>
    <w:rsid w:val="007905C6"/>
    <w:rsid w:val="0079062A"/>
    <w:rsid w:val="00790701"/>
    <w:rsid w:val="00790791"/>
    <w:rsid w:val="007907DB"/>
    <w:rsid w:val="00790830"/>
    <w:rsid w:val="00790A79"/>
    <w:rsid w:val="00790CEE"/>
    <w:rsid w:val="00790D75"/>
    <w:rsid w:val="00790D98"/>
    <w:rsid w:val="00790FEC"/>
    <w:rsid w:val="007910EA"/>
    <w:rsid w:val="007910F4"/>
    <w:rsid w:val="00791152"/>
    <w:rsid w:val="00791233"/>
    <w:rsid w:val="007912B9"/>
    <w:rsid w:val="00791489"/>
    <w:rsid w:val="0079149C"/>
    <w:rsid w:val="00791521"/>
    <w:rsid w:val="0079152C"/>
    <w:rsid w:val="007915C5"/>
    <w:rsid w:val="007915D4"/>
    <w:rsid w:val="0079161E"/>
    <w:rsid w:val="00791786"/>
    <w:rsid w:val="007917E9"/>
    <w:rsid w:val="0079183C"/>
    <w:rsid w:val="00791998"/>
    <w:rsid w:val="00791A0D"/>
    <w:rsid w:val="00791B71"/>
    <w:rsid w:val="00791B77"/>
    <w:rsid w:val="00791BB4"/>
    <w:rsid w:val="00791CA7"/>
    <w:rsid w:val="00791CAF"/>
    <w:rsid w:val="00791CDD"/>
    <w:rsid w:val="00791DE7"/>
    <w:rsid w:val="00791FA6"/>
    <w:rsid w:val="007920DF"/>
    <w:rsid w:val="0079212E"/>
    <w:rsid w:val="00792387"/>
    <w:rsid w:val="007923C9"/>
    <w:rsid w:val="00792428"/>
    <w:rsid w:val="00792470"/>
    <w:rsid w:val="00792988"/>
    <w:rsid w:val="00792A91"/>
    <w:rsid w:val="00792AA9"/>
    <w:rsid w:val="00792B80"/>
    <w:rsid w:val="00792D08"/>
    <w:rsid w:val="00792E55"/>
    <w:rsid w:val="00792EB0"/>
    <w:rsid w:val="00792FF7"/>
    <w:rsid w:val="0079314F"/>
    <w:rsid w:val="00793381"/>
    <w:rsid w:val="007933BB"/>
    <w:rsid w:val="007933D1"/>
    <w:rsid w:val="00793464"/>
    <w:rsid w:val="007938BB"/>
    <w:rsid w:val="007939C1"/>
    <w:rsid w:val="00793A82"/>
    <w:rsid w:val="00793ADC"/>
    <w:rsid w:val="00793AEE"/>
    <w:rsid w:val="00793CFB"/>
    <w:rsid w:val="00793F33"/>
    <w:rsid w:val="00793FDA"/>
    <w:rsid w:val="00794003"/>
    <w:rsid w:val="00794168"/>
    <w:rsid w:val="0079429E"/>
    <w:rsid w:val="0079437D"/>
    <w:rsid w:val="0079448D"/>
    <w:rsid w:val="007945DA"/>
    <w:rsid w:val="00794610"/>
    <w:rsid w:val="0079477B"/>
    <w:rsid w:val="007947D6"/>
    <w:rsid w:val="007948E0"/>
    <w:rsid w:val="00794930"/>
    <w:rsid w:val="00794943"/>
    <w:rsid w:val="00794A8B"/>
    <w:rsid w:val="00794CC7"/>
    <w:rsid w:val="00794EDC"/>
    <w:rsid w:val="00794EFB"/>
    <w:rsid w:val="0079500B"/>
    <w:rsid w:val="00795074"/>
    <w:rsid w:val="00795304"/>
    <w:rsid w:val="00795369"/>
    <w:rsid w:val="007954BF"/>
    <w:rsid w:val="007954CE"/>
    <w:rsid w:val="007954F4"/>
    <w:rsid w:val="00795525"/>
    <w:rsid w:val="0079553F"/>
    <w:rsid w:val="007955B6"/>
    <w:rsid w:val="007956F7"/>
    <w:rsid w:val="007957AD"/>
    <w:rsid w:val="00795828"/>
    <w:rsid w:val="00795907"/>
    <w:rsid w:val="00795A31"/>
    <w:rsid w:val="00795ADD"/>
    <w:rsid w:val="00795C80"/>
    <w:rsid w:val="00795D3C"/>
    <w:rsid w:val="00795D90"/>
    <w:rsid w:val="00795DB7"/>
    <w:rsid w:val="00795E6E"/>
    <w:rsid w:val="00795F06"/>
    <w:rsid w:val="00796069"/>
    <w:rsid w:val="00796504"/>
    <w:rsid w:val="0079661E"/>
    <w:rsid w:val="00796651"/>
    <w:rsid w:val="00796798"/>
    <w:rsid w:val="0079684E"/>
    <w:rsid w:val="0079694F"/>
    <w:rsid w:val="00796B88"/>
    <w:rsid w:val="00796D20"/>
    <w:rsid w:val="00796D22"/>
    <w:rsid w:val="00796DC6"/>
    <w:rsid w:val="00796FA0"/>
    <w:rsid w:val="00797106"/>
    <w:rsid w:val="00797108"/>
    <w:rsid w:val="00797148"/>
    <w:rsid w:val="00797198"/>
    <w:rsid w:val="0079735D"/>
    <w:rsid w:val="007974D6"/>
    <w:rsid w:val="00797505"/>
    <w:rsid w:val="00797560"/>
    <w:rsid w:val="00797577"/>
    <w:rsid w:val="007975AF"/>
    <w:rsid w:val="007977CD"/>
    <w:rsid w:val="007977FE"/>
    <w:rsid w:val="00797B6C"/>
    <w:rsid w:val="00797C96"/>
    <w:rsid w:val="00797D84"/>
    <w:rsid w:val="00797DB8"/>
    <w:rsid w:val="00797F97"/>
    <w:rsid w:val="00797FB6"/>
    <w:rsid w:val="007A0358"/>
    <w:rsid w:val="007A03BE"/>
    <w:rsid w:val="007A03F1"/>
    <w:rsid w:val="007A054E"/>
    <w:rsid w:val="007A055A"/>
    <w:rsid w:val="007A057B"/>
    <w:rsid w:val="007A0752"/>
    <w:rsid w:val="007A097D"/>
    <w:rsid w:val="007A0B3D"/>
    <w:rsid w:val="007A0BAC"/>
    <w:rsid w:val="007A0CF5"/>
    <w:rsid w:val="007A0D4E"/>
    <w:rsid w:val="007A0E33"/>
    <w:rsid w:val="007A0F22"/>
    <w:rsid w:val="007A1337"/>
    <w:rsid w:val="007A136C"/>
    <w:rsid w:val="007A138C"/>
    <w:rsid w:val="007A14CC"/>
    <w:rsid w:val="007A1699"/>
    <w:rsid w:val="007A16CF"/>
    <w:rsid w:val="007A1704"/>
    <w:rsid w:val="007A1785"/>
    <w:rsid w:val="007A1870"/>
    <w:rsid w:val="007A1882"/>
    <w:rsid w:val="007A18C0"/>
    <w:rsid w:val="007A1AE0"/>
    <w:rsid w:val="007A1D53"/>
    <w:rsid w:val="007A1DE7"/>
    <w:rsid w:val="007A1E04"/>
    <w:rsid w:val="007A1EB8"/>
    <w:rsid w:val="007A21B0"/>
    <w:rsid w:val="007A22A9"/>
    <w:rsid w:val="007A22D5"/>
    <w:rsid w:val="007A2612"/>
    <w:rsid w:val="007A26C5"/>
    <w:rsid w:val="007A275F"/>
    <w:rsid w:val="007A2765"/>
    <w:rsid w:val="007A27F7"/>
    <w:rsid w:val="007A2A2C"/>
    <w:rsid w:val="007A2AF7"/>
    <w:rsid w:val="007A2C59"/>
    <w:rsid w:val="007A2D43"/>
    <w:rsid w:val="007A2D60"/>
    <w:rsid w:val="007A2F67"/>
    <w:rsid w:val="007A31A8"/>
    <w:rsid w:val="007A3239"/>
    <w:rsid w:val="007A32F3"/>
    <w:rsid w:val="007A340F"/>
    <w:rsid w:val="007A351F"/>
    <w:rsid w:val="007A35FE"/>
    <w:rsid w:val="007A362B"/>
    <w:rsid w:val="007A36B3"/>
    <w:rsid w:val="007A3728"/>
    <w:rsid w:val="007A37F8"/>
    <w:rsid w:val="007A387A"/>
    <w:rsid w:val="007A38D4"/>
    <w:rsid w:val="007A393F"/>
    <w:rsid w:val="007A3AD5"/>
    <w:rsid w:val="007A3BE5"/>
    <w:rsid w:val="007A3C0A"/>
    <w:rsid w:val="007A3CD8"/>
    <w:rsid w:val="007A3D07"/>
    <w:rsid w:val="007A3EE5"/>
    <w:rsid w:val="007A4016"/>
    <w:rsid w:val="007A403D"/>
    <w:rsid w:val="007A40CF"/>
    <w:rsid w:val="007A4220"/>
    <w:rsid w:val="007A4619"/>
    <w:rsid w:val="007A4648"/>
    <w:rsid w:val="007A4784"/>
    <w:rsid w:val="007A47A2"/>
    <w:rsid w:val="007A4847"/>
    <w:rsid w:val="007A48DA"/>
    <w:rsid w:val="007A492D"/>
    <w:rsid w:val="007A49FD"/>
    <w:rsid w:val="007A4A3C"/>
    <w:rsid w:val="007A4AA0"/>
    <w:rsid w:val="007A4AF4"/>
    <w:rsid w:val="007A4B04"/>
    <w:rsid w:val="007A4C51"/>
    <w:rsid w:val="007A4D49"/>
    <w:rsid w:val="007A4E9F"/>
    <w:rsid w:val="007A4EB4"/>
    <w:rsid w:val="007A5070"/>
    <w:rsid w:val="007A508C"/>
    <w:rsid w:val="007A5215"/>
    <w:rsid w:val="007A537A"/>
    <w:rsid w:val="007A53E8"/>
    <w:rsid w:val="007A55CE"/>
    <w:rsid w:val="007A5633"/>
    <w:rsid w:val="007A5685"/>
    <w:rsid w:val="007A56A7"/>
    <w:rsid w:val="007A577E"/>
    <w:rsid w:val="007A59DE"/>
    <w:rsid w:val="007A5B63"/>
    <w:rsid w:val="007A5BAE"/>
    <w:rsid w:val="007A5C16"/>
    <w:rsid w:val="007A5C20"/>
    <w:rsid w:val="007A5C34"/>
    <w:rsid w:val="007A5CA8"/>
    <w:rsid w:val="007A5CC0"/>
    <w:rsid w:val="007A5CF0"/>
    <w:rsid w:val="007A5DEA"/>
    <w:rsid w:val="007A5EAB"/>
    <w:rsid w:val="007A5FDE"/>
    <w:rsid w:val="007A645F"/>
    <w:rsid w:val="007A6627"/>
    <w:rsid w:val="007A6715"/>
    <w:rsid w:val="007A6748"/>
    <w:rsid w:val="007A67C7"/>
    <w:rsid w:val="007A693F"/>
    <w:rsid w:val="007A69ED"/>
    <w:rsid w:val="007A6B26"/>
    <w:rsid w:val="007A6CA0"/>
    <w:rsid w:val="007A6EE1"/>
    <w:rsid w:val="007A72FD"/>
    <w:rsid w:val="007A730F"/>
    <w:rsid w:val="007A73C9"/>
    <w:rsid w:val="007A73D7"/>
    <w:rsid w:val="007A7408"/>
    <w:rsid w:val="007A7418"/>
    <w:rsid w:val="007A7473"/>
    <w:rsid w:val="007A7497"/>
    <w:rsid w:val="007A753A"/>
    <w:rsid w:val="007A755C"/>
    <w:rsid w:val="007A7615"/>
    <w:rsid w:val="007A7692"/>
    <w:rsid w:val="007A776E"/>
    <w:rsid w:val="007A77DA"/>
    <w:rsid w:val="007A77F7"/>
    <w:rsid w:val="007A78C2"/>
    <w:rsid w:val="007A78EF"/>
    <w:rsid w:val="007A7A39"/>
    <w:rsid w:val="007A7A66"/>
    <w:rsid w:val="007A7CA5"/>
    <w:rsid w:val="007A7D34"/>
    <w:rsid w:val="007A7D78"/>
    <w:rsid w:val="007A7E32"/>
    <w:rsid w:val="007B00BF"/>
    <w:rsid w:val="007B016F"/>
    <w:rsid w:val="007B01C6"/>
    <w:rsid w:val="007B027A"/>
    <w:rsid w:val="007B02F2"/>
    <w:rsid w:val="007B02FD"/>
    <w:rsid w:val="007B035A"/>
    <w:rsid w:val="007B03F6"/>
    <w:rsid w:val="007B0557"/>
    <w:rsid w:val="007B06D4"/>
    <w:rsid w:val="007B06ED"/>
    <w:rsid w:val="007B071A"/>
    <w:rsid w:val="007B07EF"/>
    <w:rsid w:val="007B07F4"/>
    <w:rsid w:val="007B08A2"/>
    <w:rsid w:val="007B0923"/>
    <w:rsid w:val="007B09F4"/>
    <w:rsid w:val="007B0A1E"/>
    <w:rsid w:val="007B0A7A"/>
    <w:rsid w:val="007B0C28"/>
    <w:rsid w:val="007B0D0F"/>
    <w:rsid w:val="007B0DBE"/>
    <w:rsid w:val="007B0E1D"/>
    <w:rsid w:val="007B0E96"/>
    <w:rsid w:val="007B0FAA"/>
    <w:rsid w:val="007B1066"/>
    <w:rsid w:val="007B1073"/>
    <w:rsid w:val="007B1103"/>
    <w:rsid w:val="007B11A5"/>
    <w:rsid w:val="007B11D7"/>
    <w:rsid w:val="007B11E2"/>
    <w:rsid w:val="007B1396"/>
    <w:rsid w:val="007B1412"/>
    <w:rsid w:val="007B142A"/>
    <w:rsid w:val="007B146D"/>
    <w:rsid w:val="007B14B2"/>
    <w:rsid w:val="007B159D"/>
    <w:rsid w:val="007B15D1"/>
    <w:rsid w:val="007B162F"/>
    <w:rsid w:val="007B167C"/>
    <w:rsid w:val="007B1686"/>
    <w:rsid w:val="007B16A6"/>
    <w:rsid w:val="007B190A"/>
    <w:rsid w:val="007B19F6"/>
    <w:rsid w:val="007B1B52"/>
    <w:rsid w:val="007B1BCE"/>
    <w:rsid w:val="007B1BD2"/>
    <w:rsid w:val="007B1CC6"/>
    <w:rsid w:val="007B1D46"/>
    <w:rsid w:val="007B1E3A"/>
    <w:rsid w:val="007B1E6C"/>
    <w:rsid w:val="007B1F1D"/>
    <w:rsid w:val="007B1F56"/>
    <w:rsid w:val="007B1F8B"/>
    <w:rsid w:val="007B1FBA"/>
    <w:rsid w:val="007B22E1"/>
    <w:rsid w:val="007B22E3"/>
    <w:rsid w:val="007B2337"/>
    <w:rsid w:val="007B2418"/>
    <w:rsid w:val="007B2506"/>
    <w:rsid w:val="007B254E"/>
    <w:rsid w:val="007B2583"/>
    <w:rsid w:val="007B25E2"/>
    <w:rsid w:val="007B25F0"/>
    <w:rsid w:val="007B26BD"/>
    <w:rsid w:val="007B26DC"/>
    <w:rsid w:val="007B280C"/>
    <w:rsid w:val="007B2823"/>
    <w:rsid w:val="007B29E4"/>
    <w:rsid w:val="007B2A4C"/>
    <w:rsid w:val="007B2B80"/>
    <w:rsid w:val="007B2C13"/>
    <w:rsid w:val="007B2C52"/>
    <w:rsid w:val="007B2E90"/>
    <w:rsid w:val="007B2EA7"/>
    <w:rsid w:val="007B2EB4"/>
    <w:rsid w:val="007B2F36"/>
    <w:rsid w:val="007B303D"/>
    <w:rsid w:val="007B30C5"/>
    <w:rsid w:val="007B310C"/>
    <w:rsid w:val="007B3506"/>
    <w:rsid w:val="007B3543"/>
    <w:rsid w:val="007B35BE"/>
    <w:rsid w:val="007B37E8"/>
    <w:rsid w:val="007B37F5"/>
    <w:rsid w:val="007B3974"/>
    <w:rsid w:val="007B3A4E"/>
    <w:rsid w:val="007B3A7E"/>
    <w:rsid w:val="007B3B02"/>
    <w:rsid w:val="007B3D52"/>
    <w:rsid w:val="007B3FA0"/>
    <w:rsid w:val="007B4032"/>
    <w:rsid w:val="007B4095"/>
    <w:rsid w:val="007B41C0"/>
    <w:rsid w:val="007B42C3"/>
    <w:rsid w:val="007B4428"/>
    <w:rsid w:val="007B4474"/>
    <w:rsid w:val="007B460F"/>
    <w:rsid w:val="007B464A"/>
    <w:rsid w:val="007B47F2"/>
    <w:rsid w:val="007B4938"/>
    <w:rsid w:val="007B495E"/>
    <w:rsid w:val="007B4AD0"/>
    <w:rsid w:val="007B4B0A"/>
    <w:rsid w:val="007B4B36"/>
    <w:rsid w:val="007B4C71"/>
    <w:rsid w:val="007B4DF1"/>
    <w:rsid w:val="007B4EB1"/>
    <w:rsid w:val="007B4FF4"/>
    <w:rsid w:val="007B5006"/>
    <w:rsid w:val="007B5073"/>
    <w:rsid w:val="007B5079"/>
    <w:rsid w:val="007B50A2"/>
    <w:rsid w:val="007B50F4"/>
    <w:rsid w:val="007B538C"/>
    <w:rsid w:val="007B54AF"/>
    <w:rsid w:val="007B5547"/>
    <w:rsid w:val="007B56FB"/>
    <w:rsid w:val="007B56FC"/>
    <w:rsid w:val="007B5707"/>
    <w:rsid w:val="007B5718"/>
    <w:rsid w:val="007B577A"/>
    <w:rsid w:val="007B58FC"/>
    <w:rsid w:val="007B5A25"/>
    <w:rsid w:val="007B5B6A"/>
    <w:rsid w:val="007B5BB6"/>
    <w:rsid w:val="007B5E61"/>
    <w:rsid w:val="007B6233"/>
    <w:rsid w:val="007B640E"/>
    <w:rsid w:val="007B641C"/>
    <w:rsid w:val="007B6688"/>
    <w:rsid w:val="007B66FD"/>
    <w:rsid w:val="007B6771"/>
    <w:rsid w:val="007B68FA"/>
    <w:rsid w:val="007B69ED"/>
    <w:rsid w:val="007B6A31"/>
    <w:rsid w:val="007B6B72"/>
    <w:rsid w:val="007B6BF0"/>
    <w:rsid w:val="007B6CA0"/>
    <w:rsid w:val="007B6EB3"/>
    <w:rsid w:val="007B6EB5"/>
    <w:rsid w:val="007B6EE4"/>
    <w:rsid w:val="007B70F3"/>
    <w:rsid w:val="007B7113"/>
    <w:rsid w:val="007B71CF"/>
    <w:rsid w:val="007B78C0"/>
    <w:rsid w:val="007B78FF"/>
    <w:rsid w:val="007B7BF6"/>
    <w:rsid w:val="007B7D39"/>
    <w:rsid w:val="007B7E1B"/>
    <w:rsid w:val="007B7EA7"/>
    <w:rsid w:val="007C00BE"/>
    <w:rsid w:val="007C04C5"/>
    <w:rsid w:val="007C0558"/>
    <w:rsid w:val="007C05D9"/>
    <w:rsid w:val="007C0603"/>
    <w:rsid w:val="007C0714"/>
    <w:rsid w:val="007C07A6"/>
    <w:rsid w:val="007C07C4"/>
    <w:rsid w:val="007C080C"/>
    <w:rsid w:val="007C08BD"/>
    <w:rsid w:val="007C0C47"/>
    <w:rsid w:val="007C0C7F"/>
    <w:rsid w:val="007C0CA1"/>
    <w:rsid w:val="007C0CB1"/>
    <w:rsid w:val="007C0CD8"/>
    <w:rsid w:val="007C0E2F"/>
    <w:rsid w:val="007C0E41"/>
    <w:rsid w:val="007C1083"/>
    <w:rsid w:val="007C1093"/>
    <w:rsid w:val="007C10C6"/>
    <w:rsid w:val="007C1147"/>
    <w:rsid w:val="007C11E4"/>
    <w:rsid w:val="007C12EA"/>
    <w:rsid w:val="007C1392"/>
    <w:rsid w:val="007C13CA"/>
    <w:rsid w:val="007C141A"/>
    <w:rsid w:val="007C143E"/>
    <w:rsid w:val="007C147D"/>
    <w:rsid w:val="007C1540"/>
    <w:rsid w:val="007C15E6"/>
    <w:rsid w:val="007C162F"/>
    <w:rsid w:val="007C1664"/>
    <w:rsid w:val="007C1884"/>
    <w:rsid w:val="007C1923"/>
    <w:rsid w:val="007C1A32"/>
    <w:rsid w:val="007C1CBE"/>
    <w:rsid w:val="007C1CD7"/>
    <w:rsid w:val="007C1D7C"/>
    <w:rsid w:val="007C1DEE"/>
    <w:rsid w:val="007C1E12"/>
    <w:rsid w:val="007C1E21"/>
    <w:rsid w:val="007C1F0D"/>
    <w:rsid w:val="007C202C"/>
    <w:rsid w:val="007C21B9"/>
    <w:rsid w:val="007C252F"/>
    <w:rsid w:val="007C26A2"/>
    <w:rsid w:val="007C26C3"/>
    <w:rsid w:val="007C281D"/>
    <w:rsid w:val="007C2936"/>
    <w:rsid w:val="007C29A2"/>
    <w:rsid w:val="007C2A0E"/>
    <w:rsid w:val="007C2A75"/>
    <w:rsid w:val="007C2A7E"/>
    <w:rsid w:val="007C2B9D"/>
    <w:rsid w:val="007C2BEB"/>
    <w:rsid w:val="007C2C03"/>
    <w:rsid w:val="007C2C44"/>
    <w:rsid w:val="007C2C52"/>
    <w:rsid w:val="007C2C91"/>
    <w:rsid w:val="007C2F3C"/>
    <w:rsid w:val="007C307D"/>
    <w:rsid w:val="007C3168"/>
    <w:rsid w:val="007C3184"/>
    <w:rsid w:val="007C336D"/>
    <w:rsid w:val="007C33D3"/>
    <w:rsid w:val="007C3429"/>
    <w:rsid w:val="007C3A4C"/>
    <w:rsid w:val="007C3B25"/>
    <w:rsid w:val="007C3C04"/>
    <w:rsid w:val="007C3C6C"/>
    <w:rsid w:val="007C3C96"/>
    <w:rsid w:val="007C3CE8"/>
    <w:rsid w:val="007C3D87"/>
    <w:rsid w:val="007C3D9B"/>
    <w:rsid w:val="007C3F35"/>
    <w:rsid w:val="007C3FA4"/>
    <w:rsid w:val="007C4256"/>
    <w:rsid w:val="007C4289"/>
    <w:rsid w:val="007C4291"/>
    <w:rsid w:val="007C43E6"/>
    <w:rsid w:val="007C443E"/>
    <w:rsid w:val="007C44E6"/>
    <w:rsid w:val="007C45FB"/>
    <w:rsid w:val="007C490D"/>
    <w:rsid w:val="007C4982"/>
    <w:rsid w:val="007C4A23"/>
    <w:rsid w:val="007C4A2B"/>
    <w:rsid w:val="007C4A76"/>
    <w:rsid w:val="007C4AD3"/>
    <w:rsid w:val="007C4B79"/>
    <w:rsid w:val="007C4BCD"/>
    <w:rsid w:val="007C4D4D"/>
    <w:rsid w:val="007C4DA1"/>
    <w:rsid w:val="007C4DEE"/>
    <w:rsid w:val="007C4E21"/>
    <w:rsid w:val="007C4E29"/>
    <w:rsid w:val="007C4E55"/>
    <w:rsid w:val="007C4F33"/>
    <w:rsid w:val="007C514A"/>
    <w:rsid w:val="007C5185"/>
    <w:rsid w:val="007C5231"/>
    <w:rsid w:val="007C5281"/>
    <w:rsid w:val="007C5316"/>
    <w:rsid w:val="007C54B8"/>
    <w:rsid w:val="007C554E"/>
    <w:rsid w:val="007C56EA"/>
    <w:rsid w:val="007C58E5"/>
    <w:rsid w:val="007C5957"/>
    <w:rsid w:val="007C5AC9"/>
    <w:rsid w:val="007C5BE0"/>
    <w:rsid w:val="007C5C1D"/>
    <w:rsid w:val="007C5FD9"/>
    <w:rsid w:val="007C6067"/>
    <w:rsid w:val="007C60E2"/>
    <w:rsid w:val="007C617E"/>
    <w:rsid w:val="007C61C2"/>
    <w:rsid w:val="007C62EF"/>
    <w:rsid w:val="007C6376"/>
    <w:rsid w:val="007C641C"/>
    <w:rsid w:val="007C6644"/>
    <w:rsid w:val="007C66EF"/>
    <w:rsid w:val="007C6741"/>
    <w:rsid w:val="007C6896"/>
    <w:rsid w:val="007C69C2"/>
    <w:rsid w:val="007C6A6C"/>
    <w:rsid w:val="007C6D64"/>
    <w:rsid w:val="007C6DB6"/>
    <w:rsid w:val="007C6E21"/>
    <w:rsid w:val="007C6E3F"/>
    <w:rsid w:val="007C6EFC"/>
    <w:rsid w:val="007C6F7A"/>
    <w:rsid w:val="007C750F"/>
    <w:rsid w:val="007C75DD"/>
    <w:rsid w:val="007C75F0"/>
    <w:rsid w:val="007C76BA"/>
    <w:rsid w:val="007C76D0"/>
    <w:rsid w:val="007C781C"/>
    <w:rsid w:val="007C79FD"/>
    <w:rsid w:val="007C7AA0"/>
    <w:rsid w:val="007C7B35"/>
    <w:rsid w:val="007C7E94"/>
    <w:rsid w:val="007D01ED"/>
    <w:rsid w:val="007D0210"/>
    <w:rsid w:val="007D02F9"/>
    <w:rsid w:val="007D0386"/>
    <w:rsid w:val="007D03D9"/>
    <w:rsid w:val="007D063E"/>
    <w:rsid w:val="007D07C6"/>
    <w:rsid w:val="007D09DE"/>
    <w:rsid w:val="007D0A06"/>
    <w:rsid w:val="007D0A26"/>
    <w:rsid w:val="007D0ADA"/>
    <w:rsid w:val="007D0B84"/>
    <w:rsid w:val="007D0CF9"/>
    <w:rsid w:val="007D0D74"/>
    <w:rsid w:val="007D0DD6"/>
    <w:rsid w:val="007D0F56"/>
    <w:rsid w:val="007D10F5"/>
    <w:rsid w:val="007D13B9"/>
    <w:rsid w:val="007D150B"/>
    <w:rsid w:val="007D1543"/>
    <w:rsid w:val="007D1567"/>
    <w:rsid w:val="007D1645"/>
    <w:rsid w:val="007D176E"/>
    <w:rsid w:val="007D18AE"/>
    <w:rsid w:val="007D1923"/>
    <w:rsid w:val="007D1A9B"/>
    <w:rsid w:val="007D1AA5"/>
    <w:rsid w:val="007D1AE2"/>
    <w:rsid w:val="007D1B9B"/>
    <w:rsid w:val="007D1BD5"/>
    <w:rsid w:val="007D1C1F"/>
    <w:rsid w:val="007D1CDC"/>
    <w:rsid w:val="007D1F69"/>
    <w:rsid w:val="007D2054"/>
    <w:rsid w:val="007D2058"/>
    <w:rsid w:val="007D2260"/>
    <w:rsid w:val="007D230A"/>
    <w:rsid w:val="007D2466"/>
    <w:rsid w:val="007D246A"/>
    <w:rsid w:val="007D2494"/>
    <w:rsid w:val="007D24D9"/>
    <w:rsid w:val="007D25A7"/>
    <w:rsid w:val="007D2626"/>
    <w:rsid w:val="007D2840"/>
    <w:rsid w:val="007D2845"/>
    <w:rsid w:val="007D284B"/>
    <w:rsid w:val="007D28B9"/>
    <w:rsid w:val="007D2B35"/>
    <w:rsid w:val="007D2B84"/>
    <w:rsid w:val="007D2C66"/>
    <w:rsid w:val="007D2CA8"/>
    <w:rsid w:val="007D2D2F"/>
    <w:rsid w:val="007D2DA7"/>
    <w:rsid w:val="007D2E06"/>
    <w:rsid w:val="007D2F35"/>
    <w:rsid w:val="007D2F96"/>
    <w:rsid w:val="007D30FB"/>
    <w:rsid w:val="007D321D"/>
    <w:rsid w:val="007D3260"/>
    <w:rsid w:val="007D32A2"/>
    <w:rsid w:val="007D3603"/>
    <w:rsid w:val="007D3779"/>
    <w:rsid w:val="007D37A2"/>
    <w:rsid w:val="007D3936"/>
    <w:rsid w:val="007D39AA"/>
    <w:rsid w:val="007D3A76"/>
    <w:rsid w:val="007D3BB2"/>
    <w:rsid w:val="007D3C42"/>
    <w:rsid w:val="007D3CED"/>
    <w:rsid w:val="007D3D42"/>
    <w:rsid w:val="007D3E14"/>
    <w:rsid w:val="007D3E28"/>
    <w:rsid w:val="007D3ED7"/>
    <w:rsid w:val="007D3F08"/>
    <w:rsid w:val="007D3F54"/>
    <w:rsid w:val="007D41F6"/>
    <w:rsid w:val="007D45DD"/>
    <w:rsid w:val="007D4686"/>
    <w:rsid w:val="007D49E4"/>
    <w:rsid w:val="007D4AE6"/>
    <w:rsid w:val="007D4BA7"/>
    <w:rsid w:val="007D4BEF"/>
    <w:rsid w:val="007D4C4E"/>
    <w:rsid w:val="007D4C79"/>
    <w:rsid w:val="007D4DAE"/>
    <w:rsid w:val="007D4E5F"/>
    <w:rsid w:val="007D4E62"/>
    <w:rsid w:val="007D4F95"/>
    <w:rsid w:val="007D4FD3"/>
    <w:rsid w:val="007D4FDC"/>
    <w:rsid w:val="007D5004"/>
    <w:rsid w:val="007D513E"/>
    <w:rsid w:val="007D5168"/>
    <w:rsid w:val="007D51AA"/>
    <w:rsid w:val="007D51B0"/>
    <w:rsid w:val="007D5201"/>
    <w:rsid w:val="007D52B5"/>
    <w:rsid w:val="007D5329"/>
    <w:rsid w:val="007D53B2"/>
    <w:rsid w:val="007D558D"/>
    <w:rsid w:val="007D5656"/>
    <w:rsid w:val="007D5756"/>
    <w:rsid w:val="007D57FC"/>
    <w:rsid w:val="007D58AB"/>
    <w:rsid w:val="007D592B"/>
    <w:rsid w:val="007D5A19"/>
    <w:rsid w:val="007D5AC0"/>
    <w:rsid w:val="007D5AFE"/>
    <w:rsid w:val="007D5B68"/>
    <w:rsid w:val="007D5BF5"/>
    <w:rsid w:val="007D5CFD"/>
    <w:rsid w:val="007D5DB9"/>
    <w:rsid w:val="007D5DCF"/>
    <w:rsid w:val="007D5E69"/>
    <w:rsid w:val="007D5EB7"/>
    <w:rsid w:val="007D5FE1"/>
    <w:rsid w:val="007D60B8"/>
    <w:rsid w:val="007D60C7"/>
    <w:rsid w:val="007D6171"/>
    <w:rsid w:val="007D633A"/>
    <w:rsid w:val="007D6389"/>
    <w:rsid w:val="007D63F4"/>
    <w:rsid w:val="007D6423"/>
    <w:rsid w:val="007D64DC"/>
    <w:rsid w:val="007D6580"/>
    <w:rsid w:val="007D66CB"/>
    <w:rsid w:val="007D67A6"/>
    <w:rsid w:val="007D6815"/>
    <w:rsid w:val="007D68A3"/>
    <w:rsid w:val="007D68CE"/>
    <w:rsid w:val="007D68FD"/>
    <w:rsid w:val="007D6A93"/>
    <w:rsid w:val="007D6C63"/>
    <w:rsid w:val="007D6CF3"/>
    <w:rsid w:val="007D6D47"/>
    <w:rsid w:val="007D6DF2"/>
    <w:rsid w:val="007D6E8D"/>
    <w:rsid w:val="007D6F15"/>
    <w:rsid w:val="007D6F38"/>
    <w:rsid w:val="007D70E1"/>
    <w:rsid w:val="007D7153"/>
    <w:rsid w:val="007D73AB"/>
    <w:rsid w:val="007D7433"/>
    <w:rsid w:val="007D74A7"/>
    <w:rsid w:val="007D74B7"/>
    <w:rsid w:val="007D7566"/>
    <w:rsid w:val="007D759E"/>
    <w:rsid w:val="007D768C"/>
    <w:rsid w:val="007D76D0"/>
    <w:rsid w:val="007D777C"/>
    <w:rsid w:val="007D7872"/>
    <w:rsid w:val="007D7A00"/>
    <w:rsid w:val="007D7A31"/>
    <w:rsid w:val="007D7AC1"/>
    <w:rsid w:val="007D7BA4"/>
    <w:rsid w:val="007D7BD1"/>
    <w:rsid w:val="007D7D09"/>
    <w:rsid w:val="007D7E9A"/>
    <w:rsid w:val="007D7FFD"/>
    <w:rsid w:val="007E001E"/>
    <w:rsid w:val="007E00EC"/>
    <w:rsid w:val="007E03CD"/>
    <w:rsid w:val="007E04EB"/>
    <w:rsid w:val="007E053B"/>
    <w:rsid w:val="007E0719"/>
    <w:rsid w:val="007E0744"/>
    <w:rsid w:val="007E0808"/>
    <w:rsid w:val="007E0829"/>
    <w:rsid w:val="007E0843"/>
    <w:rsid w:val="007E0982"/>
    <w:rsid w:val="007E09D7"/>
    <w:rsid w:val="007E0A44"/>
    <w:rsid w:val="007E0A6F"/>
    <w:rsid w:val="007E0AA1"/>
    <w:rsid w:val="007E0AC5"/>
    <w:rsid w:val="007E0B5D"/>
    <w:rsid w:val="007E0BBE"/>
    <w:rsid w:val="007E0C3D"/>
    <w:rsid w:val="007E0C46"/>
    <w:rsid w:val="007E0F08"/>
    <w:rsid w:val="007E0FD8"/>
    <w:rsid w:val="007E109F"/>
    <w:rsid w:val="007E1123"/>
    <w:rsid w:val="007E13C9"/>
    <w:rsid w:val="007E14C2"/>
    <w:rsid w:val="007E15DB"/>
    <w:rsid w:val="007E1693"/>
    <w:rsid w:val="007E1698"/>
    <w:rsid w:val="007E173C"/>
    <w:rsid w:val="007E176C"/>
    <w:rsid w:val="007E1802"/>
    <w:rsid w:val="007E1876"/>
    <w:rsid w:val="007E1910"/>
    <w:rsid w:val="007E1961"/>
    <w:rsid w:val="007E19B2"/>
    <w:rsid w:val="007E1C02"/>
    <w:rsid w:val="007E1CAA"/>
    <w:rsid w:val="007E1D74"/>
    <w:rsid w:val="007E1EED"/>
    <w:rsid w:val="007E202D"/>
    <w:rsid w:val="007E2138"/>
    <w:rsid w:val="007E2139"/>
    <w:rsid w:val="007E21BD"/>
    <w:rsid w:val="007E2569"/>
    <w:rsid w:val="007E278E"/>
    <w:rsid w:val="007E27AC"/>
    <w:rsid w:val="007E2B91"/>
    <w:rsid w:val="007E2C24"/>
    <w:rsid w:val="007E2E67"/>
    <w:rsid w:val="007E2F2C"/>
    <w:rsid w:val="007E2F37"/>
    <w:rsid w:val="007E304E"/>
    <w:rsid w:val="007E3343"/>
    <w:rsid w:val="007E3399"/>
    <w:rsid w:val="007E33A6"/>
    <w:rsid w:val="007E3482"/>
    <w:rsid w:val="007E34E4"/>
    <w:rsid w:val="007E34E7"/>
    <w:rsid w:val="007E3532"/>
    <w:rsid w:val="007E3726"/>
    <w:rsid w:val="007E3799"/>
    <w:rsid w:val="007E3ACC"/>
    <w:rsid w:val="007E3CD6"/>
    <w:rsid w:val="007E3D10"/>
    <w:rsid w:val="007E3E30"/>
    <w:rsid w:val="007E3F29"/>
    <w:rsid w:val="007E3F42"/>
    <w:rsid w:val="007E3F46"/>
    <w:rsid w:val="007E3FAF"/>
    <w:rsid w:val="007E40B3"/>
    <w:rsid w:val="007E4486"/>
    <w:rsid w:val="007E45C2"/>
    <w:rsid w:val="007E45DD"/>
    <w:rsid w:val="007E46BD"/>
    <w:rsid w:val="007E46F9"/>
    <w:rsid w:val="007E47A6"/>
    <w:rsid w:val="007E48C8"/>
    <w:rsid w:val="007E491D"/>
    <w:rsid w:val="007E494B"/>
    <w:rsid w:val="007E4A08"/>
    <w:rsid w:val="007E4A51"/>
    <w:rsid w:val="007E4B33"/>
    <w:rsid w:val="007E4B4F"/>
    <w:rsid w:val="007E4B99"/>
    <w:rsid w:val="007E4B9D"/>
    <w:rsid w:val="007E4BD3"/>
    <w:rsid w:val="007E4C3E"/>
    <w:rsid w:val="007E4C96"/>
    <w:rsid w:val="007E4E99"/>
    <w:rsid w:val="007E4EAE"/>
    <w:rsid w:val="007E4FB2"/>
    <w:rsid w:val="007E519A"/>
    <w:rsid w:val="007E51B5"/>
    <w:rsid w:val="007E52B9"/>
    <w:rsid w:val="007E534C"/>
    <w:rsid w:val="007E5676"/>
    <w:rsid w:val="007E593C"/>
    <w:rsid w:val="007E5A0E"/>
    <w:rsid w:val="007E5A94"/>
    <w:rsid w:val="007E5B32"/>
    <w:rsid w:val="007E5BA3"/>
    <w:rsid w:val="007E5C92"/>
    <w:rsid w:val="007E5CDE"/>
    <w:rsid w:val="007E5DE8"/>
    <w:rsid w:val="007E5DFA"/>
    <w:rsid w:val="007E5F17"/>
    <w:rsid w:val="007E601C"/>
    <w:rsid w:val="007E6067"/>
    <w:rsid w:val="007E611B"/>
    <w:rsid w:val="007E612F"/>
    <w:rsid w:val="007E6268"/>
    <w:rsid w:val="007E62C6"/>
    <w:rsid w:val="007E65B8"/>
    <w:rsid w:val="007E6773"/>
    <w:rsid w:val="007E69F0"/>
    <w:rsid w:val="007E6CB1"/>
    <w:rsid w:val="007E6EFB"/>
    <w:rsid w:val="007E6FB6"/>
    <w:rsid w:val="007E710E"/>
    <w:rsid w:val="007E7185"/>
    <w:rsid w:val="007E732A"/>
    <w:rsid w:val="007E760F"/>
    <w:rsid w:val="007E767D"/>
    <w:rsid w:val="007E7784"/>
    <w:rsid w:val="007E77B3"/>
    <w:rsid w:val="007E77BB"/>
    <w:rsid w:val="007E7822"/>
    <w:rsid w:val="007E7988"/>
    <w:rsid w:val="007E79AA"/>
    <w:rsid w:val="007E79DB"/>
    <w:rsid w:val="007E7A4F"/>
    <w:rsid w:val="007E7ABE"/>
    <w:rsid w:val="007E7AEB"/>
    <w:rsid w:val="007E7B4D"/>
    <w:rsid w:val="007E7C45"/>
    <w:rsid w:val="007E7C88"/>
    <w:rsid w:val="007E7F08"/>
    <w:rsid w:val="007E7F48"/>
    <w:rsid w:val="007E7FB1"/>
    <w:rsid w:val="007F00B8"/>
    <w:rsid w:val="007F00CF"/>
    <w:rsid w:val="007F00FF"/>
    <w:rsid w:val="007F020B"/>
    <w:rsid w:val="007F03DE"/>
    <w:rsid w:val="007F04A5"/>
    <w:rsid w:val="007F04D3"/>
    <w:rsid w:val="007F0570"/>
    <w:rsid w:val="007F05B5"/>
    <w:rsid w:val="007F0601"/>
    <w:rsid w:val="007F0622"/>
    <w:rsid w:val="007F0D5B"/>
    <w:rsid w:val="007F0DFA"/>
    <w:rsid w:val="007F0EA1"/>
    <w:rsid w:val="007F113B"/>
    <w:rsid w:val="007F1255"/>
    <w:rsid w:val="007F142F"/>
    <w:rsid w:val="007F143E"/>
    <w:rsid w:val="007F1564"/>
    <w:rsid w:val="007F1703"/>
    <w:rsid w:val="007F17F4"/>
    <w:rsid w:val="007F1858"/>
    <w:rsid w:val="007F18AB"/>
    <w:rsid w:val="007F18DB"/>
    <w:rsid w:val="007F18EA"/>
    <w:rsid w:val="007F1949"/>
    <w:rsid w:val="007F1970"/>
    <w:rsid w:val="007F1A0A"/>
    <w:rsid w:val="007F1A74"/>
    <w:rsid w:val="007F1A96"/>
    <w:rsid w:val="007F1BB0"/>
    <w:rsid w:val="007F1BE3"/>
    <w:rsid w:val="007F1D60"/>
    <w:rsid w:val="007F1E72"/>
    <w:rsid w:val="007F1EE0"/>
    <w:rsid w:val="007F1EE9"/>
    <w:rsid w:val="007F1EF1"/>
    <w:rsid w:val="007F1F7C"/>
    <w:rsid w:val="007F2027"/>
    <w:rsid w:val="007F205D"/>
    <w:rsid w:val="007F2538"/>
    <w:rsid w:val="007F26CD"/>
    <w:rsid w:val="007F2764"/>
    <w:rsid w:val="007F27F1"/>
    <w:rsid w:val="007F282D"/>
    <w:rsid w:val="007F2867"/>
    <w:rsid w:val="007F286A"/>
    <w:rsid w:val="007F28CC"/>
    <w:rsid w:val="007F29CE"/>
    <w:rsid w:val="007F2B08"/>
    <w:rsid w:val="007F2B09"/>
    <w:rsid w:val="007F2B33"/>
    <w:rsid w:val="007F2B7B"/>
    <w:rsid w:val="007F2C88"/>
    <w:rsid w:val="007F2E95"/>
    <w:rsid w:val="007F2F84"/>
    <w:rsid w:val="007F3123"/>
    <w:rsid w:val="007F3158"/>
    <w:rsid w:val="007F3257"/>
    <w:rsid w:val="007F3287"/>
    <w:rsid w:val="007F346E"/>
    <w:rsid w:val="007F34D3"/>
    <w:rsid w:val="007F351E"/>
    <w:rsid w:val="007F35DD"/>
    <w:rsid w:val="007F3608"/>
    <w:rsid w:val="007F384C"/>
    <w:rsid w:val="007F39A3"/>
    <w:rsid w:val="007F3C7A"/>
    <w:rsid w:val="007F3E38"/>
    <w:rsid w:val="007F3ECA"/>
    <w:rsid w:val="007F3EE3"/>
    <w:rsid w:val="007F3EFD"/>
    <w:rsid w:val="007F3FFA"/>
    <w:rsid w:val="007F406B"/>
    <w:rsid w:val="007F40F1"/>
    <w:rsid w:val="007F4111"/>
    <w:rsid w:val="007F43BA"/>
    <w:rsid w:val="007F446E"/>
    <w:rsid w:val="007F44A2"/>
    <w:rsid w:val="007F44A8"/>
    <w:rsid w:val="007F44AF"/>
    <w:rsid w:val="007F45D9"/>
    <w:rsid w:val="007F4702"/>
    <w:rsid w:val="007F4846"/>
    <w:rsid w:val="007F4AA7"/>
    <w:rsid w:val="007F4B2F"/>
    <w:rsid w:val="007F4C95"/>
    <w:rsid w:val="007F4CB6"/>
    <w:rsid w:val="007F4D31"/>
    <w:rsid w:val="007F4F59"/>
    <w:rsid w:val="007F4FA8"/>
    <w:rsid w:val="007F504B"/>
    <w:rsid w:val="007F5071"/>
    <w:rsid w:val="007F50CA"/>
    <w:rsid w:val="007F515C"/>
    <w:rsid w:val="007F52D8"/>
    <w:rsid w:val="007F5450"/>
    <w:rsid w:val="007F56C9"/>
    <w:rsid w:val="007F5823"/>
    <w:rsid w:val="007F5A62"/>
    <w:rsid w:val="007F5AA7"/>
    <w:rsid w:val="007F5BDF"/>
    <w:rsid w:val="007F5DA5"/>
    <w:rsid w:val="007F5E0E"/>
    <w:rsid w:val="007F5FE1"/>
    <w:rsid w:val="007F60D4"/>
    <w:rsid w:val="007F630B"/>
    <w:rsid w:val="007F632C"/>
    <w:rsid w:val="007F64F1"/>
    <w:rsid w:val="007F654F"/>
    <w:rsid w:val="007F66D8"/>
    <w:rsid w:val="007F689B"/>
    <w:rsid w:val="007F69A2"/>
    <w:rsid w:val="007F6A56"/>
    <w:rsid w:val="007F6A84"/>
    <w:rsid w:val="007F6AE4"/>
    <w:rsid w:val="007F6BD2"/>
    <w:rsid w:val="007F6C32"/>
    <w:rsid w:val="007F6D37"/>
    <w:rsid w:val="007F6DBA"/>
    <w:rsid w:val="007F6DC8"/>
    <w:rsid w:val="007F6E8B"/>
    <w:rsid w:val="007F6EF1"/>
    <w:rsid w:val="007F6F02"/>
    <w:rsid w:val="007F70CF"/>
    <w:rsid w:val="007F7167"/>
    <w:rsid w:val="007F7345"/>
    <w:rsid w:val="007F7395"/>
    <w:rsid w:val="007F73A6"/>
    <w:rsid w:val="007F745F"/>
    <w:rsid w:val="007F74B1"/>
    <w:rsid w:val="007F74D2"/>
    <w:rsid w:val="007F7679"/>
    <w:rsid w:val="007F77F0"/>
    <w:rsid w:val="007F7877"/>
    <w:rsid w:val="007F78D7"/>
    <w:rsid w:val="007F793D"/>
    <w:rsid w:val="007F79F2"/>
    <w:rsid w:val="007F7BBC"/>
    <w:rsid w:val="007F7BCD"/>
    <w:rsid w:val="007F7EA2"/>
    <w:rsid w:val="007F7EC5"/>
    <w:rsid w:val="007F7FF7"/>
    <w:rsid w:val="008000FA"/>
    <w:rsid w:val="00800120"/>
    <w:rsid w:val="008001CA"/>
    <w:rsid w:val="008001FA"/>
    <w:rsid w:val="0080023A"/>
    <w:rsid w:val="00800293"/>
    <w:rsid w:val="008002E6"/>
    <w:rsid w:val="00800351"/>
    <w:rsid w:val="008003AC"/>
    <w:rsid w:val="0080043A"/>
    <w:rsid w:val="0080051C"/>
    <w:rsid w:val="00800887"/>
    <w:rsid w:val="008008D9"/>
    <w:rsid w:val="008009AA"/>
    <w:rsid w:val="00800B81"/>
    <w:rsid w:val="00800E11"/>
    <w:rsid w:val="00800EEE"/>
    <w:rsid w:val="00800F4C"/>
    <w:rsid w:val="00800FF7"/>
    <w:rsid w:val="008010DF"/>
    <w:rsid w:val="008010EA"/>
    <w:rsid w:val="00801107"/>
    <w:rsid w:val="0080138E"/>
    <w:rsid w:val="008013DD"/>
    <w:rsid w:val="008013FE"/>
    <w:rsid w:val="00801402"/>
    <w:rsid w:val="0080151B"/>
    <w:rsid w:val="00801546"/>
    <w:rsid w:val="00801628"/>
    <w:rsid w:val="008016A6"/>
    <w:rsid w:val="00801729"/>
    <w:rsid w:val="008017CD"/>
    <w:rsid w:val="00801835"/>
    <w:rsid w:val="00801B71"/>
    <w:rsid w:val="00801D52"/>
    <w:rsid w:val="00801D72"/>
    <w:rsid w:val="00801DBA"/>
    <w:rsid w:val="00801E90"/>
    <w:rsid w:val="00801EB8"/>
    <w:rsid w:val="00801FE4"/>
    <w:rsid w:val="00801FE7"/>
    <w:rsid w:val="00802076"/>
    <w:rsid w:val="0080231C"/>
    <w:rsid w:val="008023B1"/>
    <w:rsid w:val="00802523"/>
    <w:rsid w:val="0080261A"/>
    <w:rsid w:val="00802889"/>
    <w:rsid w:val="00802902"/>
    <w:rsid w:val="008029B8"/>
    <w:rsid w:val="00802B61"/>
    <w:rsid w:val="00802C92"/>
    <w:rsid w:val="00802D2B"/>
    <w:rsid w:val="00802DAF"/>
    <w:rsid w:val="00802F21"/>
    <w:rsid w:val="00802FB1"/>
    <w:rsid w:val="00803065"/>
    <w:rsid w:val="0080307F"/>
    <w:rsid w:val="0080316B"/>
    <w:rsid w:val="0080328D"/>
    <w:rsid w:val="00803512"/>
    <w:rsid w:val="008035A9"/>
    <w:rsid w:val="008037D7"/>
    <w:rsid w:val="00803A1B"/>
    <w:rsid w:val="00803A21"/>
    <w:rsid w:val="00803B03"/>
    <w:rsid w:val="00803B08"/>
    <w:rsid w:val="00803B3A"/>
    <w:rsid w:val="00803BB0"/>
    <w:rsid w:val="00803CE8"/>
    <w:rsid w:val="00803D4B"/>
    <w:rsid w:val="00803D82"/>
    <w:rsid w:val="00803DE9"/>
    <w:rsid w:val="00803ECF"/>
    <w:rsid w:val="00803F75"/>
    <w:rsid w:val="00804128"/>
    <w:rsid w:val="00804194"/>
    <w:rsid w:val="008042BC"/>
    <w:rsid w:val="00804310"/>
    <w:rsid w:val="00804667"/>
    <w:rsid w:val="0080474D"/>
    <w:rsid w:val="00804782"/>
    <w:rsid w:val="008049B8"/>
    <w:rsid w:val="008049FC"/>
    <w:rsid w:val="00804AB1"/>
    <w:rsid w:val="00804AC3"/>
    <w:rsid w:val="00804AD5"/>
    <w:rsid w:val="00804B68"/>
    <w:rsid w:val="00804BEB"/>
    <w:rsid w:val="00804C00"/>
    <w:rsid w:val="00804CA9"/>
    <w:rsid w:val="00804CB8"/>
    <w:rsid w:val="00804CD0"/>
    <w:rsid w:val="00804D36"/>
    <w:rsid w:val="00804DD4"/>
    <w:rsid w:val="00804FB4"/>
    <w:rsid w:val="008050A0"/>
    <w:rsid w:val="00805156"/>
    <w:rsid w:val="00805175"/>
    <w:rsid w:val="008052D5"/>
    <w:rsid w:val="008054AC"/>
    <w:rsid w:val="00805542"/>
    <w:rsid w:val="0080566C"/>
    <w:rsid w:val="0080567A"/>
    <w:rsid w:val="0080577E"/>
    <w:rsid w:val="00805797"/>
    <w:rsid w:val="0080584C"/>
    <w:rsid w:val="0080584E"/>
    <w:rsid w:val="00805858"/>
    <w:rsid w:val="008058C5"/>
    <w:rsid w:val="00805956"/>
    <w:rsid w:val="0080598C"/>
    <w:rsid w:val="00805BB3"/>
    <w:rsid w:val="00805C2B"/>
    <w:rsid w:val="00805D8A"/>
    <w:rsid w:val="00805EC0"/>
    <w:rsid w:val="00805EEF"/>
    <w:rsid w:val="00805EF0"/>
    <w:rsid w:val="00805EFF"/>
    <w:rsid w:val="0080603A"/>
    <w:rsid w:val="008061FD"/>
    <w:rsid w:val="00806449"/>
    <w:rsid w:val="00806455"/>
    <w:rsid w:val="0080648E"/>
    <w:rsid w:val="00806508"/>
    <w:rsid w:val="00806715"/>
    <w:rsid w:val="00806890"/>
    <w:rsid w:val="0080692C"/>
    <w:rsid w:val="0080697F"/>
    <w:rsid w:val="00806A0F"/>
    <w:rsid w:val="00806A55"/>
    <w:rsid w:val="00806C5D"/>
    <w:rsid w:val="00806CBA"/>
    <w:rsid w:val="00806D25"/>
    <w:rsid w:val="00806DA1"/>
    <w:rsid w:val="00806DBB"/>
    <w:rsid w:val="00806E71"/>
    <w:rsid w:val="008070FD"/>
    <w:rsid w:val="008072C2"/>
    <w:rsid w:val="008073AD"/>
    <w:rsid w:val="008074B5"/>
    <w:rsid w:val="00807505"/>
    <w:rsid w:val="008076A7"/>
    <w:rsid w:val="008076D5"/>
    <w:rsid w:val="008076FB"/>
    <w:rsid w:val="0080772F"/>
    <w:rsid w:val="0080785C"/>
    <w:rsid w:val="00807875"/>
    <w:rsid w:val="008078AA"/>
    <w:rsid w:val="00807970"/>
    <w:rsid w:val="008079F3"/>
    <w:rsid w:val="00807AF5"/>
    <w:rsid w:val="00807EF5"/>
    <w:rsid w:val="00807F72"/>
    <w:rsid w:val="00807F93"/>
    <w:rsid w:val="00807FD7"/>
    <w:rsid w:val="00810008"/>
    <w:rsid w:val="00810011"/>
    <w:rsid w:val="00810027"/>
    <w:rsid w:val="0081004C"/>
    <w:rsid w:val="00810228"/>
    <w:rsid w:val="00810265"/>
    <w:rsid w:val="008102A2"/>
    <w:rsid w:val="00810316"/>
    <w:rsid w:val="008103E3"/>
    <w:rsid w:val="00810602"/>
    <w:rsid w:val="0081061D"/>
    <w:rsid w:val="0081081E"/>
    <w:rsid w:val="00810846"/>
    <w:rsid w:val="00810934"/>
    <w:rsid w:val="00810A7A"/>
    <w:rsid w:val="00810AB1"/>
    <w:rsid w:val="00810B12"/>
    <w:rsid w:val="00810BA1"/>
    <w:rsid w:val="00810C48"/>
    <w:rsid w:val="00810C5E"/>
    <w:rsid w:val="00810C5F"/>
    <w:rsid w:val="00810CCB"/>
    <w:rsid w:val="00810D34"/>
    <w:rsid w:val="00810E5A"/>
    <w:rsid w:val="00810E83"/>
    <w:rsid w:val="00810E9A"/>
    <w:rsid w:val="00810F56"/>
    <w:rsid w:val="00810FAE"/>
    <w:rsid w:val="00811003"/>
    <w:rsid w:val="00811009"/>
    <w:rsid w:val="0081103C"/>
    <w:rsid w:val="0081111A"/>
    <w:rsid w:val="0081117E"/>
    <w:rsid w:val="00811185"/>
    <w:rsid w:val="00811274"/>
    <w:rsid w:val="008113E2"/>
    <w:rsid w:val="008115D4"/>
    <w:rsid w:val="00811725"/>
    <w:rsid w:val="008118E2"/>
    <w:rsid w:val="00811920"/>
    <w:rsid w:val="0081195F"/>
    <w:rsid w:val="008119C4"/>
    <w:rsid w:val="00811B80"/>
    <w:rsid w:val="00811DF8"/>
    <w:rsid w:val="00811E37"/>
    <w:rsid w:val="00811EC4"/>
    <w:rsid w:val="00811F6B"/>
    <w:rsid w:val="00811FE2"/>
    <w:rsid w:val="0081204A"/>
    <w:rsid w:val="008120A8"/>
    <w:rsid w:val="00812317"/>
    <w:rsid w:val="0081236F"/>
    <w:rsid w:val="008126E9"/>
    <w:rsid w:val="00812721"/>
    <w:rsid w:val="00812768"/>
    <w:rsid w:val="00812827"/>
    <w:rsid w:val="00812874"/>
    <w:rsid w:val="00812A0B"/>
    <w:rsid w:val="00812A72"/>
    <w:rsid w:val="00812A91"/>
    <w:rsid w:val="00812AED"/>
    <w:rsid w:val="00812B25"/>
    <w:rsid w:val="00812D4B"/>
    <w:rsid w:val="00812E5D"/>
    <w:rsid w:val="00812E8E"/>
    <w:rsid w:val="00812ED5"/>
    <w:rsid w:val="00812F32"/>
    <w:rsid w:val="00812FA6"/>
    <w:rsid w:val="00812FAC"/>
    <w:rsid w:val="00813004"/>
    <w:rsid w:val="00813024"/>
    <w:rsid w:val="0081307F"/>
    <w:rsid w:val="0081309E"/>
    <w:rsid w:val="0081312D"/>
    <w:rsid w:val="00813148"/>
    <w:rsid w:val="00813191"/>
    <w:rsid w:val="008132E8"/>
    <w:rsid w:val="00813344"/>
    <w:rsid w:val="00813425"/>
    <w:rsid w:val="0081351B"/>
    <w:rsid w:val="00813596"/>
    <w:rsid w:val="008135C7"/>
    <w:rsid w:val="008139FE"/>
    <w:rsid w:val="00813A9D"/>
    <w:rsid w:val="00813ACA"/>
    <w:rsid w:val="00813B16"/>
    <w:rsid w:val="00813BE1"/>
    <w:rsid w:val="00813BF6"/>
    <w:rsid w:val="00813C51"/>
    <w:rsid w:val="00813CDD"/>
    <w:rsid w:val="00813DCF"/>
    <w:rsid w:val="00813FB8"/>
    <w:rsid w:val="00814009"/>
    <w:rsid w:val="0081411D"/>
    <w:rsid w:val="00814140"/>
    <w:rsid w:val="00814166"/>
    <w:rsid w:val="008141FC"/>
    <w:rsid w:val="00814251"/>
    <w:rsid w:val="008142DE"/>
    <w:rsid w:val="00814366"/>
    <w:rsid w:val="00814369"/>
    <w:rsid w:val="00814468"/>
    <w:rsid w:val="008144DF"/>
    <w:rsid w:val="00814593"/>
    <w:rsid w:val="008145A6"/>
    <w:rsid w:val="0081460D"/>
    <w:rsid w:val="0081469C"/>
    <w:rsid w:val="008146C1"/>
    <w:rsid w:val="008147D2"/>
    <w:rsid w:val="008147F6"/>
    <w:rsid w:val="00814865"/>
    <w:rsid w:val="00814894"/>
    <w:rsid w:val="00814BE0"/>
    <w:rsid w:val="00814EC1"/>
    <w:rsid w:val="00815000"/>
    <w:rsid w:val="0081500B"/>
    <w:rsid w:val="00815198"/>
    <w:rsid w:val="008151DE"/>
    <w:rsid w:val="0081532A"/>
    <w:rsid w:val="00815500"/>
    <w:rsid w:val="00815567"/>
    <w:rsid w:val="0081559A"/>
    <w:rsid w:val="00815617"/>
    <w:rsid w:val="00815674"/>
    <w:rsid w:val="0081570F"/>
    <w:rsid w:val="00815769"/>
    <w:rsid w:val="00815982"/>
    <w:rsid w:val="00815C43"/>
    <w:rsid w:val="00815EB8"/>
    <w:rsid w:val="00815F07"/>
    <w:rsid w:val="00816022"/>
    <w:rsid w:val="0081613F"/>
    <w:rsid w:val="00816167"/>
    <w:rsid w:val="008162C8"/>
    <w:rsid w:val="00816344"/>
    <w:rsid w:val="008163B7"/>
    <w:rsid w:val="008163EA"/>
    <w:rsid w:val="008164D9"/>
    <w:rsid w:val="00816750"/>
    <w:rsid w:val="0081676B"/>
    <w:rsid w:val="008167B9"/>
    <w:rsid w:val="0081681F"/>
    <w:rsid w:val="00816843"/>
    <w:rsid w:val="0081692E"/>
    <w:rsid w:val="00816932"/>
    <w:rsid w:val="00816E19"/>
    <w:rsid w:val="00816E87"/>
    <w:rsid w:val="00816F17"/>
    <w:rsid w:val="008171DB"/>
    <w:rsid w:val="00817351"/>
    <w:rsid w:val="00817400"/>
    <w:rsid w:val="008174D6"/>
    <w:rsid w:val="00817566"/>
    <w:rsid w:val="008175D9"/>
    <w:rsid w:val="008178CB"/>
    <w:rsid w:val="00817962"/>
    <w:rsid w:val="00817AE3"/>
    <w:rsid w:val="00817B96"/>
    <w:rsid w:val="00817C2E"/>
    <w:rsid w:val="00817CA0"/>
    <w:rsid w:val="00817CA5"/>
    <w:rsid w:val="00817D1A"/>
    <w:rsid w:val="00817DF0"/>
    <w:rsid w:val="00817F06"/>
    <w:rsid w:val="00817FDA"/>
    <w:rsid w:val="008200F2"/>
    <w:rsid w:val="008202DD"/>
    <w:rsid w:val="0082038F"/>
    <w:rsid w:val="0082062F"/>
    <w:rsid w:val="00820793"/>
    <w:rsid w:val="00820987"/>
    <w:rsid w:val="00820A68"/>
    <w:rsid w:val="00820BAF"/>
    <w:rsid w:val="00820C98"/>
    <w:rsid w:val="00820E7A"/>
    <w:rsid w:val="00821167"/>
    <w:rsid w:val="008211AD"/>
    <w:rsid w:val="008212CB"/>
    <w:rsid w:val="0082130D"/>
    <w:rsid w:val="0082133A"/>
    <w:rsid w:val="0082135C"/>
    <w:rsid w:val="008213DA"/>
    <w:rsid w:val="0082147C"/>
    <w:rsid w:val="00821602"/>
    <w:rsid w:val="0082160B"/>
    <w:rsid w:val="00821642"/>
    <w:rsid w:val="00821657"/>
    <w:rsid w:val="008216F2"/>
    <w:rsid w:val="00821764"/>
    <w:rsid w:val="00821A49"/>
    <w:rsid w:val="00821C50"/>
    <w:rsid w:val="00821E3B"/>
    <w:rsid w:val="00821E94"/>
    <w:rsid w:val="00821E9B"/>
    <w:rsid w:val="00821F49"/>
    <w:rsid w:val="008221CB"/>
    <w:rsid w:val="0082226D"/>
    <w:rsid w:val="00822316"/>
    <w:rsid w:val="008223A4"/>
    <w:rsid w:val="00822420"/>
    <w:rsid w:val="00822495"/>
    <w:rsid w:val="00822564"/>
    <w:rsid w:val="0082262D"/>
    <w:rsid w:val="008226EB"/>
    <w:rsid w:val="00822708"/>
    <w:rsid w:val="00822829"/>
    <w:rsid w:val="0082292E"/>
    <w:rsid w:val="008229B4"/>
    <w:rsid w:val="00822AC5"/>
    <w:rsid w:val="00822BF1"/>
    <w:rsid w:val="00822C93"/>
    <w:rsid w:val="00822CC1"/>
    <w:rsid w:val="00822D4F"/>
    <w:rsid w:val="00822DF6"/>
    <w:rsid w:val="00822E30"/>
    <w:rsid w:val="00822EF8"/>
    <w:rsid w:val="00823035"/>
    <w:rsid w:val="008233BB"/>
    <w:rsid w:val="008233C1"/>
    <w:rsid w:val="008233D9"/>
    <w:rsid w:val="008233F4"/>
    <w:rsid w:val="008233FC"/>
    <w:rsid w:val="008234E4"/>
    <w:rsid w:val="00823584"/>
    <w:rsid w:val="00823604"/>
    <w:rsid w:val="008236AE"/>
    <w:rsid w:val="00823858"/>
    <w:rsid w:val="008238AA"/>
    <w:rsid w:val="00823CB2"/>
    <w:rsid w:val="00823D7A"/>
    <w:rsid w:val="00823F3F"/>
    <w:rsid w:val="0082415F"/>
    <w:rsid w:val="0082416E"/>
    <w:rsid w:val="008242FF"/>
    <w:rsid w:val="00824340"/>
    <w:rsid w:val="0082436F"/>
    <w:rsid w:val="008246B4"/>
    <w:rsid w:val="008246C5"/>
    <w:rsid w:val="008249A4"/>
    <w:rsid w:val="00824A0F"/>
    <w:rsid w:val="00824AC2"/>
    <w:rsid w:val="00824B3B"/>
    <w:rsid w:val="00824BE1"/>
    <w:rsid w:val="00824C91"/>
    <w:rsid w:val="00824CCC"/>
    <w:rsid w:val="00824DE8"/>
    <w:rsid w:val="00824EFA"/>
    <w:rsid w:val="00824F04"/>
    <w:rsid w:val="00824F25"/>
    <w:rsid w:val="00824FED"/>
    <w:rsid w:val="0082512C"/>
    <w:rsid w:val="008253A3"/>
    <w:rsid w:val="00825545"/>
    <w:rsid w:val="008256C4"/>
    <w:rsid w:val="00825750"/>
    <w:rsid w:val="00825826"/>
    <w:rsid w:val="00825908"/>
    <w:rsid w:val="00825974"/>
    <w:rsid w:val="00825D12"/>
    <w:rsid w:val="00825DEE"/>
    <w:rsid w:val="00825E26"/>
    <w:rsid w:val="00825E60"/>
    <w:rsid w:val="00825FFF"/>
    <w:rsid w:val="00826040"/>
    <w:rsid w:val="008261D7"/>
    <w:rsid w:val="0082625E"/>
    <w:rsid w:val="0082671E"/>
    <w:rsid w:val="00826725"/>
    <w:rsid w:val="00826762"/>
    <w:rsid w:val="0082683E"/>
    <w:rsid w:val="00826858"/>
    <w:rsid w:val="00826A67"/>
    <w:rsid w:val="00826AD2"/>
    <w:rsid w:val="00826AE3"/>
    <w:rsid w:val="00826BC6"/>
    <w:rsid w:val="00826C2F"/>
    <w:rsid w:val="00826C40"/>
    <w:rsid w:val="00826D21"/>
    <w:rsid w:val="00826D82"/>
    <w:rsid w:val="00826EE8"/>
    <w:rsid w:val="0082722C"/>
    <w:rsid w:val="00827398"/>
    <w:rsid w:val="0082739B"/>
    <w:rsid w:val="008273F9"/>
    <w:rsid w:val="008273FB"/>
    <w:rsid w:val="008274B1"/>
    <w:rsid w:val="008274BA"/>
    <w:rsid w:val="0082753D"/>
    <w:rsid w:val="008275B2"/>
    <w:rsid w:val="008276ED"/>
    <w:rsid w:val="0082770B"/>
    <w:rsid w:val="00827714"/>
    <w:rsid w:val="00827748"/>
    <w:rsid w:val="008277D4"/>
    <w:rsid w:val="00827871"/>
    <w:rsid w:val="008278B7"/>
    <w:rsid w:val="00827927"/>
    <w:rsid w:val="00827B03"/>
    <w:rsid w:val="00827B69"/>
    <w:rsid w:val="00827CA8"/>
    <w:rsid w:val="00827D92"/>
    <w:rsid w:val="00827E5A"/>
    <w:rsid w:val="00827E6F"/>
    <w:rsid w:val="00827E97"/>
    <w:rsid w:val="00827EA9"/>
    <w:rsid w:val="00827ECB"/>
    <w:rsid w:val="00827F9C"/>
    <w:rsid w:val="00827FE6"/>
    <w:rsid w:val="00830166"/>
    <w:rsid w:val="00830278"/>
    <w:rsid w:val="00830476"/>
    <w:rsid w:val="00830498"/>
    <w:rsid w:val="0083055D"/>
    <w:rsid w:val="0083069A"/>
    <w:rsid w:val="008306A0"/>
    <w:rsid w:val="00830703"/>
    <w:rsid w:val="00830755"/>
    <w:rsid w:val="008307CA"/>
    <w:rsid w:val="00830865"/>
    <w:rsid w:val="008309D5"/>
    <w:rsid w:val="00830A32"/>
    <w:rsid w:val="00830A6E"/>
    <w:rsid w:val="00830A7E"/>
    <w:rsid w:val="00830AD6"/>
    <w:rsid w:val="00830B0A"/>
    <w:rsid w:val="00830B70"/>
    <w:rsid w:val="00830B9F"/>
    <w:rsid w:val="00830C61"/>
    <w:rsid w:val="00830DEA"/>
    <w:rsid w:val="00831136"/>
    <w:rsid w:val="008311AD"/>
    <w:rsid w:val="00831238"/>
    <w:rsid w:val="00831368"/>
    <w:rsid w:val="008314A3"/>
    <w:rsid w:val="0083157A"/>
    <w:rsid w:val="00831733"/>
    <w:rsid w:val="00831772"/>
    <w:rsid w:val="00831868"/>
    <w:rsid w:val="00831948"/>
    <w:rsid w:val="00831AC3"/>
    <w:rsid w:val="00831B28"/>
    <w:rsid w:val="00831B85"/>
    <w:rsid w:val="00831BC7"/>
    <w:rsid w:val="00831DF6"/>
    <w:rsid w:val="00831F75"/>
    <w:rsid w:val="008321A5"/>
    <w:rsid w:val="0083233B"/>
    <w:rsid w:val="008323DA"/>
    <w:rsid w:val="00832424"/>
    <w:rsid w:val="00832559"/>
    <w:rsid w:val="008325F1"/>
    <w:rsid w:val="008325FA"/>
    <w:rsid w:val="00832673"/>
    <w:rsid w:val="0083269C"/>
    <w:rsid w:val="00832839"/>
    <w:rsid w:val="00832A12"/>
    <w:rsid w:val="00832A66"/>
    <w:rsid w:val="00832C3D"/>
    <w:rsid w:val="00832CC0"/>
    <w:rsid w:val="00832D20"/>
    <w:rsid w:val="00832D4F"/>
    <w:rsid w:val="00832D97"/>
    <w:rsid w:val="00832DBE"/>
    <w:rsid w:val="00832EF2"/>
    <w:rsid w:val="00832F1A"/>
    <w:rsid w:val="00832F5F"/>
    <w:rsid w:val="00832F90"/>
    <w:rsid w:val="0083300F"/>
    <w:rsid w:val="008330B2"/>
    <w:rsid w:val="00833388"/>
    <w:rsid w:val="008333D5"/>
    <w:rsid w:val="008333EA"/>
    <w:rsid w:val="00833493"/>
    <w:rsid w:val="008334FE"/>
    <w:rsid w:val="00833923"/>
    <w:rsid w:val="008339CB"/>
    <w:rsid w:val="008339D9"/>
    <w:rsid w:val="00833ACE"/>
    <w:rsid w:val="00833B1B"/>
    <w:rsid w:val="00833BF5"/>
    <w:rsid w:val="00833D45"/>
    <w:rsid w:val="00833D69"/>
    <w:rsid w:val="00834015"/>
    <w:rsid w:val="0083401A"/>
    <w:rsid w:val="00834070"/>
    <w:rsid w:val="00834135"/>
    <w:rsid w:val="00834168"/>
    <w:rsid w:val="00834290"/>
    <w:rsid w:val="008343F3"/>
    <w:rsid w:val="0083446E"/>
    <w:rsid w:val="008344BC"/>
    <w:rsid w:val="0083454C"/>
    <w:rsid w:val="00834562"/>
    <w:rsid w:val="00834571"/>
    <w:rsid w:val="008345BD"/>
    <w:rsid w:val="00834669"/>
    <w:rsid w:val="008347D5"/>
    <w:rsid w:val="008347FB"/>
    <w:rsid w:val="00834814"/>
    <w:rsid w:val="00834BBD"/>
    <w:rsid w:val="00834C56"/>
    <w:rsid w:val="00834D70"/>
    <w:rsid w:val="00834E26"/>
    <w:rsid w:val="00834F03"/>
    <w:rsid w:val="00834F5D"/>
    <w:rsid w:val="00834F87"/>
    <w:rsid w:val="008350CB"/>
    <w:rsid w:val="008351D5"/>
    <w:rsid w:val="008351EC"/>
    <w:rsid w:val="00835213"/>
    <w:rsid w:val="0083548C"/>
    <w:rsid w:val="00835552"/>
    <w:rsid w:val="00835691"/>
    <w:rsid w:val="0083573F"/>
    <w:rsid w:val="008357AD"/>
    <w:rsid w:val="00835839"/>
    <w:rsid w:val="008359BD"/>
    <w:rsid w:val="008359CA"/>
    <w:rsid w:val="00835A4C"/>
    <w:rsid w:val="00835CD8"/>
    <w:rsid w:val="00835CE1"/>
    <w:rsid w:val="00835E26"/>
    <w:rsid w:val="00835E4F"/>
    <w:rsid w:val="00835ED0"/>
    <w:rsid w:val="00835FF2"/>
    <w:rsid w:val="00836037"/>
    <w:rsid w:val="0083612F"/>
    <w:rsid w:val="008361C7"/>
    <w:rsid w:val="0083620F"/>
    <w:rsid w:val="008362A2"/>
    <w:rsid w:val="008362E0"/>
    <w:rsid w:val="008363F4"/>
    <w:rsid w:val="008366CA"/>
    <w:rsid w:val="00836709"/>
    <w:rsid w:val="0083682A"/>
    <w:rsid w:val="008368CF"/>
    <w:rsid w:val="00836A2A"/>
    <w:rsid w:val="00836B62"/>
    <w:rsid w:val="00836B76"/>
    <w:rsid w:val="00836E31"/>
    <w:rsid w:val="00836E69"/>
    <w:rsid w:val="00836F15"/>
    <w:rsid w:val="00836F1D"/>
    <w:rsid w:val="00837014"/>
    <w:rsid w:val="0083704C"/>
    <w:rsid w:val="0083708E"/>
    <w:rsid w:val="0083712C"/>
    <w:rsid w:val="0083713B"/>
    <w:rsid w:val="00837345"/>
    <w:rsid w:val="0083736F"/>
    <w:rsid w:val="00837389"/>
    <w:rsid w:val="0083739F"/>
    <w:rsid w:val="008373AF"/>
    <w:rsid w:val="008373E3"/>
    <w:rsid w:val="00837468"/>
    <w:rsid w:val="00837805"/>
    <w:rsid w:val="008379E1"/>
    <w:rsid w:val="00837A94"/>
    <w:rsid w:val="00837C26"/>
    <w:rsid w:val="00837CC7"/>
    <w:rsid w:val="00837D20"/>
    <w:rsid w:val="00837D4E"/>
    <w:rsid w:val="00837E66"/>
    <w:rsid w:val="00837EC5"/>
    <w:rsid w:val="00837FE4"/>
    <w:rsid w:val="0084007F"/>
    <w:rsid w:val="00840153"/>
    <w:rsid w:val="00840165"/>
    <w:rsid w:val="0084016C"/>
    <w:rsid w:val="008401A6"/>
    <w:rsid w:val="008401DF"/>
    <w:rsid w:val="008403E4"/>
    <w:rsid w:val="008406D5"/>
    <w:rsid w:val="008407AB"/>
    <w:rsid w:val="00840807"/>
    <w:rsid w:val="00840836"/>
    <w:rsid w:val="008408D2"/>
    <w:rsid w:val="00840AD8"/>
    <w:rsid w:val="00840B64"/>
    <w:rsid w:val="00840BA1"/>
    <w:rsid w:val="00840BC8"/>
    <w:rsid w:val="00840D6D"/>
    <w:rsid w:val="00840EDB"/>
    <w:rsid w:val="00841000"/>
    <w:rsid w:val="00841155"/>
    <w:rsid w:val="0084159D"/>
    <w:rsid w:val="008415E0"/>
    <w:rsid w:val="00841862"/>
    <w:rsid w:val="008419A3"/>
    <w:rsid w:val="008419BC"/>
    <w:rsid w:val="00841BCA"/>
    <w:rsid w:val="00841CA2"/>
    <w:rsid w:val="00841D39"/>
    <w:rsid w:val="00841E05"/>
    <w:rsid w:val="00841E8D"/>
    <w:rsid w:val="00841F2B"/>
    <w:rsid w:val="00841FDF"/>
    <w:rsid w:val="008421C6"/>
    <w:rsid w:val="00842360"/>
    <w:rsid w:val="0084246D"/>
    <w:rsid w:val="008425CF"/>
    <w:rsid w:val="008425D7"/>
    <w:rsid w:val="00842611"/>
    <w:rsid w:val="0084264C"/>
    <w:rsid w:val="00842686"/>
    <w:rsid w:val="008426B6"/>
    <w:rsid w:val="008426D8"/>
    <w:rsid w:val="00842917"/>
    <w:rsid w:val="008429D4"/>
    <w:rsid w:val="00842C06"/>
    <w:rsid w:val="00842C70"/>
    <w:rsid w:val="00842CA3"/>
    <w:rsid w:val="00842D71"/>
    <w:rsid w:val="00842D7C"/>
    <w:rsid w:val="00842D89"/>
    <w:rsid w:val="00842EEE"/>
    <w:rsid w:val="00842F84"/>
    <w:rsid w:val="00843054"/>
    <w:rsid w:val="00843207"/>
    <w:rsid w:val="00843251"/>
    <w:rsid w:val="0084328B"/>
    <w:rsid w:val="008432F0"/>
    <w:rsid w:val="0084333F"/>
    <w:rsid w:val="0084340A"/>
    <w:rsid w:val="008434B2"/>
    <w:rsid w:val="008436ED"/>
    <w:rsid w:val="00843919"/>
    <w:rsid w:val="00843C7A"/>
    <w:rsid w:val="00843C94"/>
    <w:rsid w:val="00843DC4"/>
    <w:rsid w:val="00843E25"/>
    <w:rsid w:val="00843E5A"/>
    <w:rsid w:val="00843EBA"/>
    <w:rsid w:val="00843F59"/>
    <w:rsid w:val="00844004"/>
    <w:rsid w:val="0084408A"/>
    <w:rsid w:val="00844145"/>
    <w:rsid w:val="00844295"/>
    <w:rsid w:val="008442D8"/>
    <w:rsid w:val="008444FE"/>
    <w:rsid w:val="008445D0"/>
    <w:rsid w:val="0084460B"/>
    <w:rsid w:val="008446A0"/>
    <w:rsid w:val="008446CE"/>
    <w:rsid w:val="008447A2"/>
    <w:rsid w:val="008447ED"/>
    <w:rsid w:val="008448D6"/>
    <w:rsid w:val="00844A09"/>
    <w:rsid w:val="00844B86"/>
    <w:rsid w:val="00844BA3"/>
    <w:rsid w:val="00844BC4"/>
    <w:rsid w:val="00844CB5"/>
    <w:rsid w:val="00844CDD"/>
    <w:rsid w:val="00844D20"/>
    <w:rsid w:val="00844DD7"/>
    <w:rsid w:val="00844FA9"/>
    <w:rsid w:val="00845000"/>
    <w:rsid w:val="0084507A"/>
    <w:rsid w:val="00845239"/>
    <w:rsid w:val="008453D7"/>
    <w:rsid w:val="00845419"/>
    <w:rsid w:val="0084541A"/>
    <w:rsid w:val="00845533"/>
    <w:rsid w:val="0084556F"/>
    <w:rsid w:val="008455A6"/>
    <w:rsid w:val="0084567C"/>
    <w:rsid w:val="008456FE"/>
    <w:rsid w:val="00845703"/>
    <w:rsid w:val="00845765"/>
    <w:rsid w:val="00845899"/>
    <w:rsid w:val="008458C2"/>
    <w:rsid w:val="00845902"/>
    <w:rsid w:val="00845BE2"/>
    <w:rsid w:val="00845C09"/>
    <w:rsid w:val="00845F5D"/>
    <w:rsid w:val="00845F76"/>
    <w:rsid w:val="008460E8"/>
    <w:rsid w:val="008461F8"/>
    <w:rsid w:val="00846508"/>
    <w:rsid w:val="00846786"/>
    <w:rsid w:val="0084678D"/>
    <w:rsid w:val="00846839"/>
    <w:rsid w:val="00846996"/>
    <w:rsid w:val="008469FE"/>
    <w:rsid w:val="00846A93"/>
    <w:rsid w:val="00846C13"/>
    <w:rsid w:val="00846D05"/>
    <w:rsid w:val="00846FF5"/>
    <w:rsid w:val="008471BD"/>
    <w:rsid w:val="008472BA"/>
    <w:rsid w:val="008472FF"/>
    <w:rsid w:val="0084739A"/>
    <w:rsid w:val="00847490"/>
    <w:rsid w:val="008475B2"/>
    <w:rsid w:val="0084763A"/>
    <w:rsid w:val="0084769C"/>
    <w:rsid w:val="0084775A"/>
    <w:rsid w:val="00847ACA"/>
    <w:rsid w:val="00847AFD"/>
    <w:rsid w:val="00847B83"/>
    <w:rsid w:val="00847BD2"/>
    <w:rsid w:val="00847C16"/>
    <w:rsid w:val="00847C74"/>
    <w:rsid w:val="00847C89"/>
    <w:rsid w:val="00847D17"/>
    <w:rsid w:val="00847E9F"/>
    <w:rsid w:val="00847F05"/>
    <w:rsid w:val="00850011"/>
    <w:rsid w:val="00850103"/>
    <w:rsid w:val="008502A1"/>
    <w:rsid w:val="008502F2"/>
    <w:rsid w:val="008503D5"/>
    <w:rsid w:val="00850402"/>
    <w:rsid w:val="0085049C"/>
    <w:rsid w:val="00850611"/>
    <w:rsid w:val="008506E9"/>
    <w:rsid w:val="00850837"/>
    <w:rsid w:val="00850864"/>
    <w:rsid w:val="0085096D"/>
    <w:rsid w:val="00850A53"/>
    <w:rsid w:val="00850B95"/>
    <w:rsid w:val="00850C8C"/>
    <w:rsid w:val="00850CC1"/>
    <w:rsid w:val="00850D7E"/>
    <w:rsid w:val="00850DA0"/>
    <w:rsid w:val="00850EC5"/>
    <w:rsid w:val="00850F51"/>
    <w:rsid w:val="00850F6F"/>
    <w:rsid w:val="008511A4"/>
    <w:rsid w:val="008511D3"/>
    <w:rsid w:val="008512AA"/>
    <w:rsid w:val="008512D1"/>
    <w:rsid w:val="008513B3"/>
    <w:rsid w:val="0085145B"/>
    <w:rsid w:val="00851519"/>
    <w:rsid w:val="0085157A"/>
    <w:rsid w:val="00851829"/>
    <w:rsid w:val="008518A0"/>
    <w:rsid w:val="00851962"/>
    <w:rsid w:val="008519C9"/>
    <w:rsid w:val="00851AE3"/>
    <w:rsid w:val="00851B59"/>
    <w:rsid w:val="00851C7E"/>
    <w:rsid w:val="00851CE1"/>
    <w:rsid w:val="00851DB0"/>
    <w:rsid w:val="00851E7D"/>
    <w:rsid w:val="0085208E"/>
    <w:rsid w:val="00852149"/>
    <w:rsid w:val="00852291"/>
    <w:rsid w:val="008522AA"/>
    <w:rsid w:val="00852382"/>
    <w:rsid w:val="0085241A"/>
    <w:rsid w:val="00852589"/>
    <w:rsid w:val="0085261D"/>
    <w:rsid w:val="0085278B"/>
    <w:rsid w:val="00852B2C"/>
    <w:rsid w:val="00852C14"/>
    <w:rsid w:val="00852C76"/>
    <w:rsid w:val="00852CEF"/>
    <w:rsid w:val="00852D2E"/>
    <w:rsid w:val="00852F9E"/>
    <w:rsid w:val="00852FFD"/>
    <w:rsid w:val="00853364"/>
    <w:rsid w:val="00853475"/>
    <w:rsid w:val="0085347C"/>
    <w:rsid w:val="00853659"/>
    <w:rsid w:val="00853856"/>
    <w:rsid w:val="00853915"/>
    <w:rsid w:val="00853BDA"/>
    <w:rsid w:val="00853BFA"/>
    <w:rsid w:val="00853C33"/>
    <w:rsid w:val="00853D00"/>
    <w:rsid w:val="00853DE1"/>
    <w:rsid w:val="00853DF5"/>
    <w:rsid w:val="00853E85"/>
    <w:rsid w:val="00853EB2"/>
    <w:rsid w:val="00853FFB"/>
    <w:rsid w:val="00854147"/>
    <w:rsid w:val="0085422F"/>
    <w:rsid w:val="0085425C"/>
    <w:rsid w:val="008542B5"/>
    <w:rsid w:val="008542E8"/>
    <w:rsid w:val="008543F8"/>
    <w:rsid w:val="008544E3"/>
    <w:rsid w:val="008547A2"/>
    <w:rsid w:val="00854974"/>
    <w:rsid w:val="00854982"/>
    <w:rsid w:val="00854996"/>
    <w:rsid w:val="00854AB2"/>
    <w:rsid w:val="00854DDE"/>
    <w:rsid w:val="00854F08"/>
    <w:rsid w:val="008550DC"/>
    <w:rsid w:val="00855159"/>
    <w:rsid w:val="008551EE"/>
    <w:rsid w:val="0085527F"/>
    <w:rsid w:val="008552BB"/>
    <w:rsid w:val="008554BB"/>
    <w:rsid w:val="00855545"/>
    <w:rsid w:val="00855654"/>
    <w:rsid w:val="008557AF"/>
    <w:rsid w:val="00855804"/>
    <w:rsid w:val="00855836"/>
    <w:rsid w:val="0085593A"/>
    <w:rsid w:val="00855AC1"/>
    <w:rsid w:val="00855C58"/>
    <w:rsid w:val="00855C61"/>
    <w:rsid w:val="00855D8B"/>
    <w:rsid w:val="00855EE0"/>
    <w:rsid w:val="00855F6F"/>
    <w:rsid w:val="00855FDD"/>
    <w:rsid w:val="0085605C"/>
    <w:rsid w:val="00856270"/>
    <w:rsid w:val="0085632E"/>
    <w:rsid w:val="008563DD"/>
    <w:rsid w:val="008564AD"/>
    <w:rsid w:val="0085662F"/>
    <w:rsid w:val="008566F9"/>
    <w:rsid w:val="0085674D"/>
    <w:rsid w:val="00856783"/>
    <w:rsid w:val="008568DF"/>
    <w:rsid w:val="00856984"/>
    <w:rsid w:val="00856998"/>
    <w:rsid w:val="00856B79"/>
    <w:rsid w:val="00856BC0"/>
    <w:rsid w:val="00856BE3"/>
    <w:rsid w:val="00856C20"/>
    <w:rsid w:val="00856C2F"/>
    <w:rsid w:val="00856C5E"/>
    <w:rsid w:val="00856D54"/>
    <w:rsid w:val="00856F55"/>
    <w:rsid w:val="0085700A"/>
    <w:rsid w:val="00857053"/>
    <w:rsid w:val="00857094"/>
    <w:rsid w:val="0085713E"/>
    <w:rsid w:val="008571F4"/>
    <w:rsid w:val="008572FC"/>
    <w:rsid w:val="0085737B"/>
    <w:rsid w:val="00857492"/>
    <w:rsid w:val="00857564"/>
    <w:rsid w:val="0085758B"/>
    <w:rsid w:val="0085762F"/>
    <w:rsid w:val="008576EE"/>
    <w:rsid w:val="0085773D"/>
    <w:rsid w:val="008577D9"/>
    <w:rsid w:val="00857955"/>
    <w:rsid w:val="00857AA0"/>
    <w:rsid w:val="00857B60"/>
    <w:rsid w:val="00857B99"/>
    <w:rsid w:val="00857C17"/>
    <w:rsid w:val="00857CBB"/>
    <w:rsid w:val="00857D0F"/>
    <w:rsid w:val="00857E69"/>
    <w:rsid w:val="00857F7E"/>
    <w:rsid w:val="00857FC0"/>
    <w:rsid w:val="00860200"/>
    <w:rsid w:val="008602AD"/>
    <w:rsid w:val="008603C6"/>
    <w:rsid w:val="008604D5"/>
    <w:rsid w:val="00860513"/>
    <w:rsid w:val="0086056A"/>
    <w:rsid w:val="00860706"/>
    <w:rsid w:val="00860732"/>
    <w:rsid w:val="00860816"/>
    <w:rsid w:val="008609C7"/>
    <w:rsid w:val="00860A8C"/>
    <w:rsid w:val="00860AC6"/>
    <w:rsid w:val="00860B2B"/>
    <w:rsid w:val="00860B3E"/>
    <w:rsid w:val="00860BBD"/>
    <w:rsid w:val="00860BC0"/>
    <w:rsid w:val="00860CF0"/>
    <w:rsid w:val="00860E6D"/>
    <w:rsid w:val="00860FCE"/>
    <w:rsid w:val="00860FF2"/>
    <w:rsid w:val="008610C4"/>
    <w:rsid w:val="0086134F"/>
    <w:rsid w:val="00861456"/>
    <w:rsid w:val="0086156F"/>
    <w:rsid w:val="008616BC"/>
    <w:rsid w:val="00861702"/>
    <w:rsid w:val="00861882"/>
    <w:rsid w:val="00861897"/>
    <w:rsid w:val="0086194D"/>
    <w:rsid w:val="0086199E"/>
    <w:rsid w:val="008619EE"/>
    <w:rsid w:val="00861B3C"/>
    <w:rsid w:val="00861B9F"/>
    <w:rsid w:val="00861D20"/>
    <w:rsid w:val="00861D68"/>
    <w:rsid w:val="00861DEB"/>
    <w:rsid w:val="00861F4A"/>
    <w:rsid w:val="00862027"/>
    <w:rsid w:val="0086205C"/>
    <w:rsid w:val="008620B6"/>
    <w:rsid w:val="00862112"/>
    <w:rsid w:val="008621E4"/>
    <w:rsid w:val="00862240"/>
    <w:rsid w:val="008622F3"/>
    <w:rsid w:val="008623DE"/>
    <w:rsid w:val="00862502"/>
    <w:rsid w:val="00862555"/>
    <w:rsid w:val="008626D3"/>
    <w:rsid w:val="008626FD"/>
    <w:rsid w:val="00862783"/>
    <w:rsid w:val="0086283D"/>
    <w:rsid w:val="008629E5"/>
    <w:rsid w:val="00862A27"/>
    <w:rsid w:val="00862A28"/>
    <w:rsid w:val="00862B13"/>
    <w:rsid w:val="00862E0C"/>
    <w:rsid w:val="0086319A"/>
    <w:rsid w:val="008631A6"/>
    <w:rsid w:val="0086324C"/>
    <w:rsid w:val="00863280"/>
    <w:rsid w:val="00863324"/>
    <w:rsid w:val="00863464"/>
    <w:rsid w:val="00863496"/>
    <w:rsid w:val="00863536"/>
    <w:rsid w:val="00863545"/>
    <w:rsid w:val="00863564"/>
    <w:rsid w:val="00863591"/>
    <w:rsid w:val="00863698"/>
    <w:rsid w:val="008636C0"/>
    <w:rsid w:val="008636F1"/>
    <w:rsid w:val="0086372D"/>
    <w:rsid w:val="008637C8"/>
    <w:rsid w:val="00863817"/>
    <w:rsid w:val="00863898"/>
    <w:rsid w:val="008638BF"/>
    <w:rsid w:val="00863A0F"/>
    <w:rsid w:val="00863A6C"/>
    <w:rsid w:val="00863AD7"/>
    <w:rsid w:val="00863AE5"/>
    <w:rsid w:val="00863AF4"/>
    <w:rsid w:val="00863C3A"/>
    <w:rsid w:val="00863CC2"/>
    <w:rsid w:val="00863D4B"/>
    <w:rsid w:val="00863F76"/>
    <w:rsid w:val="0086403D"/>
    <w:rsid w:val="0086404B"/>
    <w:rsid w:val="00864106"/>
    <w:rsid w:val="0086441E"/>
    <w:rsid w:val="008644F5"/>
    <w:rsid w:val="00864562"/>
    <w:rsid w:val="0086456E"/>
    <w:rsid w:val="00864668"/>
    <w:rsid w:val="008646BF"/>
    <w:rsid w:val="00864A0A"/>
    <w:rsid w:val="00864C79"/>
    <w:rsid w:val="00864F75"/>
    <w:rsid w:val="00864F9F"/>
    <w:rsid w:val="008651F7"/>
    <w:rsid w:val="008652BA"/>
    <w:rsid w:val="00865328"/>
    <w:rsid w:val="00865351"/>
    <w:rsid w:val="00865472"/>
    <w:rsid w:val="008655F9"/>
    <w:rsid w:val="00865600"/>
    <w:rsid w:val="0086570A"/>
    <w:rsid w:val="00865992"/>
    <w:rsid w:val="00865AE5"/>
    <w:rsid w:val="00865C56"/>
    <w:rsid w:val="00865EBB"/>
    <w:rsid w:val="00865F42"/>
    <w:rsid w:val="008660D0"/>
    <w:rsid w:val="0086624D"/>
    <w:rsid w:val="0086636F"/>
    <w:rsid w:val="008663C3"/>
    <w:rsid w:val="008663EF"/>
    <w:rsid w:val="00866465"/>
    <w:rsid w:val="00866511"/>
    <w:rsid w:val="008668E4"/>
    <w:rsid w:val="00866967"/>
    <w:rsid w:val="00866A86"/>
    <w:rsid w:val="00866B09"/>
    <w:rsid w:val="00866B5D"/>
    <w:rsid w:val="00866BD6"/>
    <w:rsid w:val="00866CA5"/>
    <w:rsid w:val="00866D20"/>
    <w:rsid w:val="00867213"/>
    <w:rsid w:val="008673CB"/>
    <w:rsid w:val="008673F3"/>
    <w:rsid w:val="00867563"/>
    <w:rsid w:val="008675B7"/>
    <w:rsid w:val="00867814"/>
    <w:rsid w:val="0086782A"/>
    <w:rsid w:val="00867912"/>
    <w:rsid w:val="0086792E"/>
    <w:rsid w:val="00867977"/>
    <w:rsid w:val="008679BA"/>
    <w:rsid w:val="008679D3"/>
    <w:rsid w:val="008679EE"/>
    <w:rsid w:val="00867AC5"/>
    <w:rsid w:val="00867AEA"/>
    <w:rsid w:val="00867AF4"/>
    <w:rsid w:val="00867B68"/>
    <w:rsid w:val="00867BAC"/>
    <w:rsid w:val="00867D06"/>
    <w:rsid w:val="00867D75"/>
    <w:rsid w:val="00867EB8"/>
    <w:rsid w:val="0087003F"/>
    <w:rsid w:val="008700AE"/>
    <w:rsid w:val="008700E5"/>
    <w:rsid w:val="00870182"/>
    <w:rsid w:val="008702F1"/>
    <w:rsid w:val="00870359"/>
    <w:rsid w:val="00870575"/>
    <w:rsid w:val="008706BB"/>
    <w:rsid w:val="00870838"/>
    <w:rsid w:val="0087098B"/>
    <w:rsid w:val="008709EC"/>
    <w:rsid w:val="00870A7A"/>
    <w:rsid w:val="00870C75"/>
    <w:rsid w:val="00870D35"/>
    <w:rsid w:val="00870D3B"/>
    <w:rsid w:val="00870DAB"/>
    <w:rsid w:val="00870ECD"/>
    <w:rsid w:val="00870F29"/>
    <w:rsid w:val="00870F2A"/>
    <w:rsid w:val="00870F8E"/>
    <w:rsid w:val="008710D8"/>
    <w:rsid w:val="0087116A"/>
    <w:rsid w:val="00871296"/>
    <w:rsid w:val="008712A5"/>
    <w:rsid w:val="008713E0"/>
    <w:rsid w:val="00871461"/>
    <w:rsid w:val="00871503"/>
    <w:rsid w:val="0087154A"/>
    <w:rsid w:val="008716A0"/>
    <w:rsid w:val="008717A5"/>
    <w:rsid w:val="008718AD"/>
    <w:rsid w:val="008718BF"/>
    <w:rsid w:val="00871A33"/>
    <w:rsid w:val="00871BFD"/>
    <w:rsid w:val="00871C48"/>
    <w:rsid w:val="00871C59"/>
    <w:rsid w:val="00871DB3"/>
    <w:rsid w:val="0087207F"/>
    <w:rsid w:val="00872161"/>
    <w:rsid w:val="008721C0"/>
    <w:rsid w:val="008722A8"/>
    <w:rsid w:val="008722DA"/>
    <w:rsid w:val="008723EF"/>
    <w:rsid w:val="00872471"/>
    <w:rsid w:val="008724E7"/>
    <w:rsid w:val="008726AB"/>
    <w:rsid w:val="008727F9"/>
    <w:rsid w:val="00872849"/>
    <w:rsid w:val="00872867"/>
    <w:rsid w:val="008729A4"/>
    <w:rsid w:val="00872A03"/>
    <w:rsid w:val="00872A11"/>
    <w:rsid w:val="00872A1A"/>
    <w:rsid w:val="00872C20"/>
    <w:rsid w:val="00872DBE"/>
    <w:rsid w:val="00872E4C"/>
    <w:rsid w:val="00872EDA"/>
    <w:rsid w:val="00872EE5"/>
    <w:rsid w:val="00873053"/>
    <w:rsid w:val="00873112"/>
    <w:rsid w:val="00873147"/>
    <w:rsid w:val="00873268"/>
    <w:rsid w:val="0087329E"/>
    <w:rsid w:val="00873337"/>
    <w:rsid w:val="00873358"/>
    <w:rsid w:val="00873600"/>
    <w:rsid w:val="008736A3"/>
    <w:rsid w:val="0087373C"/>
    <w:rsid w:val="00873780"/>
    <w:rsid w:val="00873833"/>
    <w:rsid w:val="00873921"/>
    <w:rsid w:val="00873944"/>
    <w:rsid w:val="0087398F"/>
    <w:rsid w:val="008739E3"/>
    <w:rsid w:val="00873A56"/>
    <w:rsid w:val="00873A65"/>
    <w:rsid w:val="00873DD2"/>
    <w:rsid w:val="00873E2F"/>
    <w:rsid w:val="00873FFD"/>
    <w:rsid w:val="0087407B"/>
    <w:rsid w:val="00874147"/>
    <w:rsid w:val="008742C2"/>
    <w:rsid w:val="00874515"/>
    <w:rsid w:val="0087458A"/>
    <w:rsid w:val="00874692"/>
    <w:rsid w:val="008746BE"/>
    <w:rsid w:val="008746EA"/>
    <w:rsid w:val="0087483C"/>
    <w:rsid w:val="0087496A"/>
    <w:rsid w:val="008749B9"/>
    <w:rsid w:val="00874A06"/>
    <w:rsid w:val="00874D11"/>
    <w:rsid w:val="00874D3D"/>
    <w:rsid w:val="00874D47"/>
    <w:rsid w:val="00874EB1"/>
    <w:rsid w:val="00874F1A"/>
    <w:rsid w:val="00874F7C"/>
    <w:rsid w:val="00875190"/>
    <w:rsid w:val="0087519C"/>
    <w:rsid w:val="008752E6"/>
    <w:rsid w:val="00875476"/>
    <w:rsid w:val="00875507"/>
    <w:rsid w:val="008757E9"/>
    <w:rsid w:val="0087582D"/>
    <w:rsid w:val="00875845"/>
    <w:rsid w:val="00875933"/>
    <w:rsid w:val="00875A99"/>
    <w:rsid w:val="00875AAA"/>
    <w:rsid w:val="00875B29"/>
    <w:rsid w:val="00875C2D"/>
    <w:rsid w:val="00875CE6"/>
    <w:rsid w:val="00875D78"/>
    <w:rsid w:val="00875E28"/>
    <w:rsid w:val="00875FFA"/>
    <w:rsid w:val="008762AB"/>
    <w:rsid w:val="008762B1"/>
    <w:rsid w:val="008762E2"/>
    <w:rsid w:val="00876375"/>
    <w:rsid w:val="008763C6"/>
    <w:rsid w:val="008763ED"/>
    <w:rsid w:val="008763FB"/>
    <w:rsid w:val="0087644F"/>
    <w:rsid w:val="008765D4"/>
    <w:rsid w:val="0087664B"/>
    <w:rsid w:val="0087669C"/>
    <w:rsid w:val="00876752"/>
    <w:rsid w:val="00876864"/>
    <w:rsid w:val="008768F1"/>
    <w:rsid w:val="008769DE"/>
    <w:rsid w:val="008769DF"/>
    <w:rsid w:val="00876A51"/>
    <w:rsid w:val="00876B0A"/>
    <w:rsid w:val="00876B31"/>
    <w:rsid w:val="00876B4B"/>
    <w:rsid w:val="00876C41"/>
    <w:rsid w:val="00876C82"/>
    <w:rsid w:val="00876CA6"/>
    <w:rsid w:val="00876F12"/>
    <w:rsid w:val="00876F5A"/>
    <w:rsid w:val="008770A4"/>
    <w:rsid w:val="00877131"/>
    <w:rsid w:val="008771FD"/>
    <w:rsid w:val="00877219"/>
    <w:rsid w:val="00877265"/>
    <w:rsid w:val="008772F8"/>
    <w:rsid w:val="00877381"/>
    <w:rsid w:val="008776B0"/>
    <w:rsid w:val="00877727"/>
    <w:rsid w:val="008777DE"/>
    <w:rsid w:val="00877815"/>
    <w:rsid w:val="00877908"/>
    <w:rsid w:val="008779CC"/>
    <w:rsid w:val="00877ADD"/>
    <w:rsid w:val="00877CD1"/>
    <w:rsid w:val="00877D56"/>
    <w:rsid w:val="00880078"/>
    <w:rsid w:val="00880099"/>
    <w:rsid w:val="0088011D"/>
    <w:rsid w:val="0088028B"/>
    <w:rsid w:val="008802C9"/>
    <w:rsid w:val="00880366"/>
    <w:rsid w:val="008803D4"/>
    <w:rsid w:val="008805AF"/>
    <w:rsid w:val="008805B2"/>
    <w:rsid w:val="0088064D"/>
    <w:rsid w:val="0088074A"/>
    <w:rsid w:val="00880814"/>
    <w:rsid w:val="00880E0D"/>
    <w:rsid w:val="00880FE9"/>
    <w:rsid w:val="00881042"/>
    <w:rsid w:val="008810C6"/>
    <w:rsid w:val="0088112E"/>
    <w:rsid w:val="008811FA"/>
    <w:rsid w:val="008812FC"/>
    <w:rsid w:val="00881346"/>
    <w:rsid w:val="00881356"/>
    <w:rsid w:val="00881488"/>
    <w:rsid w:val="00881541"/>
    <w:rsid w:val="00881559"/>
    <w:rsid w:val="00881606"/>
    <w:rsid w:val="00881692"/>
    <w:rsid w:val="008816F4"/>
    <w:rsid w:val="008817C8"/>
    <w:rsid w:val="00881921"/>
    <w:rsid w:val="00881976"/>
    <w:rsid w:val="008819B8"/>
    <w:rsid w:val="00881AE5"/>
    <w:rsid w:val="00881B26"/>
    <w:rsid w:val="00881BF6"/>
    <w:rsid w:val="00881E69"/>
    <w:rsid w:val="008820F0"/>
    <w:rsid w:val="00882217"/>
    <w:rsid w:val="00882245"/>
    <w:rsid w:val="008822B8"/>
    <w:rsid w:val="008822CD"/>
    <w:rsid w:val="00882352"/>
    <w:rsid w:val="008823E0"/>
    <w:rsid w:val="008824DA"/>
    <w:rsid w:val="008825CB"/>
    <w:rsid w:val="008826F6"/>
    <w:rsid w:val="00882713"/>
    <w:rsid w:val="0088276B"/>
    <w:rsid w:val="008828A4"/>
    <w:rsid w:val="008828B2"/>
    <w:rsid w:val="008828DF"/>
    <w:rsid w:val="008828EA"/>
    <w:rsid w:val="0088290B"/>
    <w:rsid w:val="0088297C"/>
    <w:rsid w:val="00882A08"/>
    <w:rsid w:val="00882AAD"/>
    <w:rsid w:val="00882B69"/>
    <w:rsid w:val="00882FEA"/>
    <w:rsid w:val="008831EA"/>
    <w:rsid w:val="00883398"/>
    <w:rsid w:val="00883412"/>
    <w:rsid w:val="00883418"/>
    <w:rsid w:val="008834DF"/>
    <w:rsid w:val="008835D4"/>
    <w:rsid w:val="00883632"/>
    <w:rsid w:val="008838E2"/>
    <w:rsid w:val="00883AF4"/>
    <w:rsid w:val="00883B58"/>
    <w:rsid w:val="00883B5D"/>
    <w:rsid w:val="00883BE0"/>
    <w:rsid w:val="00883D7F"/>
    <w:rsid w:val="00883EE4"/>
    <w:rsid w:val="00883FA7"/>
    <w:rsid w:val="00883FC6"/>
    <w:rsid w:val="0088415E"/>
    <w:rsid w:val="0088419E"/>
    <w:rsid w:val="008841EF"/>
    <w:rsid w:val="00884294"/>
    <w:rsid w:val="00884334"/>
    <w:rsid w:val="0088449D"/>
    <w:rsid w:val="008847A3"/>
    <w:rsid w:val="0088494B"/>
    <w:rsid w:val="008849CF"/>
    <w:rsid w:val="00884A50"/>
    <w:rsid w:val="00884A5D"/>
    <w:rsid w:val="00884ADF"/>
    <w:rsid w:val="00884B68"/>
    <w:rsid w:val="00884C7C"/>
    <w:rsid w:val="00884E3B"/>
    <w:rsid w:val="00884FAA"/>
    <w:rsid w:val="008850BE"/>
    <w:rsid w:val="008850DF"/>
    <w:rsid w:val="008851A3"/>
    <w:rsid w:val="008852B6"/>
    <w:rsid w:val="008853A7"/>
    <w:rsid w:val="00885458"/>
    <w:rsid w:val="00885509"/>
    <w:rsid w:val="0088574C"/>
    <w:rsid w:val="008857FC"/>
    <w:rsid w:val="008858A8"/>
    <w:rsid w:val="008859FA"/>
    <w:rsid w:val="00885A1C"/>
    <w:rsid w:val="00885B0C"/>
    <w:rsid w:val="00885B17"/>
    <w:rsid w:val="00885CBC"/>
    <w:rsid w:val="00885CDA"/>
    <w:rsid w:val="00885CED"/>
    <w:rsid w:val="00885D2F"/>
    <w:rsid w:val="00885D34"/>
    <w:rsid w:val="00885DED"/>
    <w:rsid w:val="00885E08"/>
    <w:rsid w:val="00885E0D"/>
    <w:rsid w:val="00885E80"/>
    <w:rsid w:val="00885EB3"/>
    <w:rsid w:val="00885F3E"/>
    <w:rsid w:val="00885FE0"/>
    <w:rsid w:val="0088606C"/>
    <w:rsid w:val="00886135"/>
    <w:rsid w:val="008862B5"/>
    <w:rsid w:val="00886477"/>
    <w:rsid w:val="0088656B"/>
    <w:rsid w:val="008865BB"/>
    <w:rsid w:val="00886771"/>
    <w:rsid w:val="00886799"/>
    <w:rsid w:val="008867BA"/>
    <w:rsid w:val="008868BD"/>
    <w:rsid w:val="0088699E"/>
    <w:rsid w:val="008869AC"/>
    <w:rsid w:val="00886A8B"/>
    <w:rsid w:val="00886AAE"/>
    <w:rsid w:val="00886E2D"/>
    <w:rsid w:val="00886E55"/>
    <w:rsid w:val="00886F2A"/>
    <w:rsid w:val="00886FD6"/>
    <w:rsid w:val="00887331"/>
    <w:rsid w:val="008873DB"/>
    <w:rsid w:val="00887532"/>
    <w:rsid w:val="00887538"/>
    <w:rsid w:val="00887586"/>
    <w:rsid w:val="008876BB"/>
    <w:rsid w:val="008876C8"/>
    <w:rsid w:val="008877FF"/>
    <w:rsid w:val="0088781F"/>
    <w:rsid w:val="008878F8"/>
    <w:rsid w:val="00887958"/>
    <w:rsid w:val="00887962"/>
    <w:rsid w:val="0088797C"/>
    <w:rsid w:val="00887AA5"/>
    <w:rsid w:val="00887BDD"/>
    <w:rsid w:val="00887C7D"/>
    <w:rsid w:val="00887C8C"/>
    <w:rsid w:val="00887D7B"/>
    <w:rsid w:val="00887ED1"/>
    <w:rsid w:val="00887EED"/>
    <w:rsid w:val="00887F5F"/>
    <w:rsid w:val="00890045"/>
    <w:rsid w:val="0089005D"/>
    <w:rsid w:val="008902E9"/>
    <w:rsid w:val="00890324"/>
    <w:rsid w:val="008903EA"/>
    <w:rsid w:val="008904E0"/>
    <w:rsid w:val="008906BD"/>
    <w:rsid w:val="008907DC"/>
    <w:rsid w:val="0089082B"/>
    <w:rsid w:val="00890BA7"/>
    <w:rsid w:val="00890CC6"/>
    <w:rsid w:val="00890D75"/>
    <w:rsid w:val="00890E09"/>
    <w:rsid w:val="0089107A"/>
    <w:rsid w:val="008910EE"/>
    <w:rsid w:val="0089114C"/>
    <w:rsid w:val="008916D6"/>
    <w:rsid w:val="00891879"/>
    <w:rsid w:val="00891A53"/>
    <w:rsid w:val="00891AF0"/>
    <w:rsid w:val="00891CB3"/>
    <w:rsid w:val="00891CCE"/>
    <w:rsid w:val="00891F89"/>
    <w:rsid w:val="0089207E"/>
    <w:rsid w:val="008920B1"/>
    <w:rsid w:val="00892105"/>
    <w:rsid w:val="0089218F"/>
    <w:rsid w:val="00892198"/>
    <w:rsid w:val="008921C8"/>
    <w:rsid w:val="008923B9"/>
    <w:rsid w:val="00892451"/>
    <w:rsid w:val="00892506"/>
    <w:rsid w:val="00892650"/>
    <w:rsid w:val="00892898"/>
    <w:rsid w:val="008928EC"/>
    <w:rsid w:val="00892925"/>
    <w:rsid w:val="00892983"/>
    <w:rsid w:val="008929E4"/>
    <w:rsid w:val="00892ABE"/>
    <w:rsid w:val="00892B98"/>
    <w:rsid w:val="00892C59"/>
    <w:rsid w:val="00892DA3"/>
    <w:rsid w:val="00892DFB"/>
    <w:rsid w:val="00892E52"/>
    <w:rsid w:val="00892E78"/>
    <w:rsid w:val="00892ECE"/>
    <w:rsid w:val="00892FB6"/>
    <w:rsid w:val="00893004"/>
    <w:rsid w:val="0089311F"/>
    <w:rsid w:val="00893126"/>
    <w:rsid w:val="00893250"/>
    <w:rsid w:val="008932A7"/>
    <w:rsid w:val="00893682"/>
    <w:rsid w:val="00893693"/>
    <w:rsid w:val="00893694"/>
    <w:rsid w:val="00893812"/>
    <w:rsid w:val="0089383F"/>
    <w:rsid w:val="00893881"/>
    <w:rsid w:val="0089392A"/>
    <w:rsid w:val="00893A70"/>
    <w:rsid w:val="00893AC0"/>
    <w:rsid w:val="00893B98"/>
    <w:rsid w:val="00893BEF"/>
    <w:rsid w:val="00893C51"/>
    <w:rsid w:val="00893E25"/>
    <w:rsid w:val="00893FA1"/>
    <w:rsid w:val="00894042"/>
    <w:rsid w:val="00894107"/>
    <w:rsid w:val="008941AF"/>
    <w:rsid w:val="008942F9"/>
    <w:rsid w:val="008943FA"/>
    <w:rsid w:val="008944F8"/>
    <w:rsid w:val="008945AE"/>
    <w:rsid w:val="0089465D"/>
    <w:rsid w:val="0089483A"/>
    <w:rsid w:val="00894C1E"/>
    <w:rsid w:val="00894C86"/>
    <w:rsid w:val="008950FF"/>
    <w:rsid w:val="00895272"/>
    <w:rsid w:val="008954E7"/>
    <w:rsid w:val="0089558B"/>
    <w:rsid w:val="00895626"/>
    <w:rsid w:val="008957D7"/>
    <w:rsid w:val="008958F8"/>
    <w:rsid w:val="00895915"/>
    <w:rsid w:val="00895957"/>
    <w:rsid w:val="00895A7B"/>
    <w:rsid w:val="00895D64"/>
    <w:rsid w:val="00895DC5"/>
    <w:rsid w:val="00895E1C"/>
    <w:rsid w:val="00895E60"/>
    <w:rsid w:val="00895E8B"/>
    <w:rsid w:val="00895FD8"/>
    <w:rsid w:val="008960A3"/>
    <w:rsid w:val="00896491"/>
    <w:rsid w:val="00896547"/>
    <w:rsid w:val="0089678B"/>
    <w:rsid w:val="008967B1"/>
    <w:rsid w:val="00896963"/>
    <w:rsid w:val="008969E3"/>
    <w:rsid w:val="00896AF6"/>
    <w:rsid w:val="00896C3B"/>
    <w:rsid w:val="00896C3D"/>
    <w:rsid w:val="00896CE5"/>
    <w:rsid w:val="00896CE7"/>
    <w:rsid w:val="00896CEA"/>
    <w:rsid w:val="00896D0D"/>
    <w:rsid w:val="00896D4E"/>
    <w:rsid w:val="00896E26"/>
    <w:rsid w:val="008970BB"/>
    <w:rsid w:val="00897103"/>
    <w:rsid w:val="0089710E"/>
    <w:rsid w:val="0089714C"/>
    <w:rsid w:val="008971F9"/>
    <w:rsid w:val="008972EA"/>
    <w:rsid w:val="00897522"/>
    <w:rsid w:val="00897587"/>
    <w:rsid w:val="00897591"/>
    <w:rsid w:val="008975E8"/>
    <w:rsid w:val="00897654"/>
    <w:rsid w:val="0089772F"/>
    <w:rsid w:val="008977BA"/>
    <w:rsid w:val="008977E8"/>
    <w:rsid w:val="00897962"/>
    <w:rsid w:val="00897A3C"/>
    <w:rsid w:val="00897B8F"/>
    <w:rsid w:val="008A0086"/>
    <w:rsid w:val="008A039E"/>
    <w:rsid w:val="008A04C4"/>
    <w:rsid w:val="008A04CB"/>
    <w:rsid w:val="008A0549"/>
    <w:rsid w:val="008A05D1"/>
    <w:rsid w:val="008A06C4"/>
    <w:rsid w:val="008A06EA"/>
    <w:rsid w:val="008A07DF"/>
    <w:rsid w:val="008A08FD"/>
    <w:rsid w:val="008A0991"/>
    <w:rsid w:val="008A09F9"/>
    <w:rsid w:val="008A0BD2"/>
    <w:rsid w:val="008A0C78"/>
    <w:rsid w:val="008A0FD5"/>
    <w:rsid w:val="008A1014"/>
    <w:rsid w:val="008A110F"/>
    <w:rsid w:val="008A1225"/>
    <w:rsid w:val="008A138A"/>
    <w:rsid w:val="008A151B"/>
    <w:rsid w:val="008A17E7"/>
    <w:rsid w:val="008A189C"/>
    <w:rsid w:val="008A1966"/>
    <w:rsid w:val="008A19F5"/>
    <w:rsid w:val="008A1A80"/>
    <w:rsid w:val="008A1AB0"/>
    <w:rsid w:val="008A1CC2"/>
    <w:rsid w:val="008A1EC2"/>
    <w:rsid w:val="008A1FB6"/>
    <w:rsid w:val="008A1FCB"/>
    <w:rsid w:val="008A234C"/>
    <w:rsid w:val="008A2453"/>
    <w:rsid w:val="008A25BC"/>
    <w:rsid w:val="008A260B"/>
    <w:rsid w:val="008A26B8"/>
    <w:rsid w:val="008A27A3"/>
    <w:rsid w:val="008A291D"/>
    <w:rsid w:val="008A2A01"/>
    <w:rsid w:val="008A2AD3"/>
    <w:rsid w:val="008A2B43"/>
    <w:rsid w:val="008A2B4C"/>
    <w:rsid w:val="008A2B91"/>
    <w:rsid w:val="008A2BA7"/>
    <w:rsid w:val="008A2BE6"/>
    <w:rsid w:val="008A2CA2"/>
    <w:rsid w:val="008A2E27"/>
    <w:rsid w:val="008A31DB"/>
    <w:rsid w:val="008A326F"/>
    <w:rsid w:val="008A3328"/>
    <w:rsid w:val="008A34B0"/>
    <w:rsid w:val="008A34CB"/>
    <w:rsid w:val="008A37F8"/>
    <w:rsid w:val="008A3941"/>
    <w:rsid w:val="008A3A07"/>
    <w:rsid w:val="008A3AA6"/>
    <w:rsid w:val="008A3B79"/>
    <w:rsid w:val="008A3C55"/>
    <w:rsid w:val="008A3D0C"/>
    <w:rsid w:val="008A3D1C"/>
    <w:rsid w:val="008A3DAF"/>
    <w:rsid w:val="008A3E53"/>
    <w:rsid w:val="008A3E57"/>
    <w:rsid w:val="008A3EB0"/>
    <w:rsid w:val="008A4021"/>
    <w:rsid w:val="008A411C"/>
    <w:rsid w:val="008A418C"/>
    <w:rsid w:val="008A4231"/>
    <w:rsid w:val="008A430F"/>
    <w:rsid w:val="008A4372"/>
    <w:rsid w:val="008A4384"/>
    <w:rsid w:val="008A452B"/>
    <w:rsid w:val="008A4531"/>
    <w:rsid w:val="008A496A"/>
    <w:rsid w:val="008A49AD"/>
    <w:rsid w:val="008A49FE"/>
    <w:rsid w:val="008A4A68"/>
    <w:rsid w:val="008A4AA1"/>
    <w:rsid w:val="008A4CBC"/>
    <w:rsid w:val="008A4D35"/>
    <w:rsid w:val="008A4E77"/>
    <w:rsid w:val="008A4EAA"/>
    <w:rsid w:val="008A5045"/>
    <w:rsid w:val="008A507B"/>
    <w:rsid w:val="008A513C"/>
    <w:rsid w:val="008A52C4"/>
    <w:rsid w:val="008A538D"/>
    <w:rsid w:val="008A53C3"/>
    <w:rsid w:val="008A5470"/>
    <w:rsid w:val="008A55BF"/>
    <w:rsid w:val="008A5618"/>
    <w:rsid w:val="008A561A"/>
    <w:rsid w:val="008A5669"/>
    <w:rsid w:val="008A575C"/>
    <w:rsid w:val="008A5774"/>
    <w:rsid w:val="008A58C2"/>
    <w:rsid w:val="008A59E7"/>
    <w:rsid w:val="008A5B80"/>
    <w:rsid w:val="008A5C13"/>
    <w:rsid w:val="008A5C22"/>
    <w:rsid w:val="008A5CA5"/>
    <w:rsid w:val="008A625C"/>
    <w:rsid w:val="008A6282"/>
    <w:rsid w:val="008A634B"/>
    <w:rsid w:val="008A63B7"/>
    <w:rsid w:val="008A6420"/>
    <w:rsid w:val="008A64AB"/>
    <w:rsid w:val="008A64D3"/>
    <w:rsid w:val="008A66FF"/>
    <w:rsid w:val="008A6732"/>
    <w:rsid w:val="008A673D"/>
    <w:rsid w:val="008A675B"/>
    <w:rsid w:val="008A67C4"/>
    <w:rsid w:val="008A694C"/>
    <w:rsid w:val="008A69CA"/>
    <w:rsid w:val="008A6BC5"/>
    <w:rsid w:val="008A6CA8"/>
    <w:rsid w:val="008A6D3A"/>
    <w:rsid w:val="008A6E53"/>
    <w:rsid w:val="008A6F9E"/>
    <w:rsid w:val="008A70F5"/>
    <w:rsid w:val="008A70FD"/>
    <w:rsid w:val="008A711A"/>
    <w:rsid w:val="008A71CF"/>
    <w:rsid w:val="008A71F2"/>
    <w:rsid w:val="008A7210"/>
    <w:rsid w:val="008A7535"/>
    <w:rsid w:val="008A7584"/>
    <w:rsid w:val="008A7654"/>
    <w:rsid w:val="008A7730"/>
    <w:rsid w:val="008A7850"/>
    <w:rsid w:val="008A7967"/>
    <w:rsid w:val="008A7AFE"/>
    <w:rsid w:val="008A7B5A"/>
    <w:rsid w:val="008A7C0D"/>
    <w:rsid w:val="008A7D23"/>
    <w:rsid w:val="008A7E9A"/>
    <w:rsid w:val="008A7F7E"/>
    <w:rsid w:val="008B0051"/>
    <w:rsid w:val="008B00A4"/>
    <w:rsid w:val="008B00B3"/>
    <w:rsid w:val="008B0177"/>
    <w:rsid w:val="008B01DA"/>
    <w:rsid w:val="008B0272"/>
    <w:rsid w:val="008B02D1"/>
    <w:rsid w:val="008B02DD"/>
    <w:rsid w:val="008B0405"/>
    <w:rsid w:val="008B05B5"/>
    <w:rsid w:val="008B05F6"/>
    <w:rsid w:val="008B0722"/>
    <w:rsid w:val="008B08C5"/>
    <w:rsid w:val="008B08EB"/>
    <w:rsid w:val="008B0939"/>
    <w:rsid w:val="008B0962"/>
    <w:rsid w:val="008B0989"/>
    <w:rsid w:val="008B09AF"/>
    <w:rsid w:val="008B0A42"/>
    <w:rsid w:val="008B0A8B"/>
    <w:rsid w:val="008B0B59"/>
    <w:rsid w:val="008B0CE6"/>
    <w:rsid w:val="008B0DD2"/>
    <w:rsid w:val="008B0E1A"/>
    <w:rsid w:val="008B0F61"/>
    <w:rsid w:val="008B0FAB"/>
    <w:rsid w:val="008B0FE3"/>
    <w:rsid w:val="008B1227"/>
    <w:rsid w:val="008B1368"/>
    <w:rsid w:val="008B1404"/>
    <w:rsid w:val="008B1421"/>
    <w:rsid w:val="008B1438"/>
    <w:rsid w:val="008B14EF"/>
    <w:rsid w:val="008B170B"/>
    <w:rsid w:val="008B1807"/>
    <w:rsid w:val="008B18ED"/>
    <w:rsid w:val="008B1A66"/>
    <w:rsid w:val="008B1B55"/>
    <w:rsid w:val="008B1C42"/>
    <w:rsid w:val="008B1CD8"/>
    <w:rsid w:val="008B1DD6"/>
    <w:rsid w:val="008B1DD7"/>
    <w:rsid w:val="008B1F3C"/>
    <w:rsid w:val="008B2194"/>
    <w:rsid w:val="008B220E"/>
    <w:rsid w:val="008B22FD"/>
    <w:rsid w:val="008B234B"/>
    <w:rsid w:val="008B239C"/>
    <w:rsid w:val="008B26F8"/>
    <w:rsid w:val="008B270C"/>
    <w:rsid w:val="008B2722"/>
    <w:rsid w:val="008B2767"/>
    <w:rsid w:val="008B285F"/>
    <w:rsid w:val="008B29A0"/>
    <w:rsid w:val="008B2B5D"/>
    <w:rsid w:val="008B2BE4"/>
    <w:rsid w:val="008B2D91"/>
    <w:rsid w:val="008B2E32"/>
    <w:rsid w:val="008B2EBD"/>
    <w:rsid w:val="008B2F16"/>
    <w:rsid w:val="008B300E"/>
    <w:rsid w:val="008B3021"/>
    <w:rsid w:val="008B3241"/>
    <w:rsid w:val="008B328B"/>
    <w:rsid w:val="008B32E2"/>
    <w:rsid w:val="008B344D"/>
    <w:rsid w:val="008B34C0"/>
    <w:rsid w:val="008B37B1"/>
    <w:rsid w:val="008B39E0"/>
    <w:rsid w:val="008B3A4E"/>
    <w:rsid w:val="008B3B3A"/>
    <w:rsid w:val="008B3B71"/>
    <w:rsid w:val="008B3B72"/>
    <w:rsid w:val="008B3B77"/>
    <w:rsid w:val="008B3BA7"/>
    <w:rsid w:val="008B3BC9"/>
    <w:rsid w:val="008B3C40"/>
    <w:rsid w:val="008B3CF7"/>
    <w:rsid w:val="008B3DA3"/>
    <w:rsid w:val="008B3F6F"/>
    <w:rsid w:val="008B3FB9"/>
    <w:rsid w:val="008B40E9"/>
    <w:rsid w:val="008B431A"/>
    <w:rsid w:val="008B44FA"/>
    <w:rsid w:val="008B4551"/>
    <w:rsid w:val="008B4678"/>
    <w:rsid w:val="008B46BD"/>
    <w:rsid w:val="008B48EF"/>
    <w:rsid w:val="008B4973"/>
    <w:rsid w:val="008B4B2C"/>
    <w:rsid w:val="008B4BB2"/>
    <w:rsid w:val="008B4DAD"/>
    <w:rsid w:val="008B4EED"/>
    <w:rsid w:val="008B4F3B"/>
    <w:rsid w:val="008B517C"/>
    <w:rsid w:val="008B52F8"/>
    <w:rsid w:val="008B5576"/>
    <w:rsid w:val="008B5578"/>
    <w:rsid w:val="008B57D9"/>
    <w:rsid w:val="008B57F2"/>
    <w:rsid w:val="008B5989"/>
    <w:rsid w:val="008B5B24"/>
    <w:rsid w:val="008B5B88"/>
    <w:rsid w:val="008B5E29"/>
    <w:rsid w:val="008B5F07"/>
    <w:rsid w:val="008B5FED"/>
    <w:rsid w:val="008B60CF"/>
    <w:rsid w:val="008B60F9"/>
    <w:rsid w:val="008B61A5"/>
    <w:rsid w:val="008B61C4"/>
    <w:rsid w:val="008B6322"/>
    <w:rsid w:val="008B633F"/>
    <w:rsid w:val="008B636B"/>
    <w:rsid w:val="008B63A1"/>
    <w:rsid w:val="008B63CE"/>
    <w:rsid w:val="008B6618"/>
    <w:rsid w:val="008B67CF"/>
    <w:rsid w:val="008B68CA"/>
    <w:rsid w:val="008B6A11"/>
    <w:rsid w:val="008B6B09"/>
    <w:rsid w:val="008B6C25"/>
    <w:rsid w:val="008B6C80"/>
    <w:rsid w:val="008B6CEA"/>
    <w:rsid w:val="008B6E28"/>
    <w:rsid w:val="008B6EFB"/>
    <w:rsid w:val="008B70AD"/>
    <w:rsid w:val="008B71BE"/>
    <w:rsid w:val="008B72F5"/>
    <w:rsid w:val="008B7345"/>
    <w:rsid w:val="008B7601"/>
    <w:rsid w:val="008B7761"/>
    <w:rsid w:val="008B7764"/>
    <w:rsid w:val="008B781D"/>
    <w:rsid w:val="008B7A4A"/>
    <w:rsid w:val="008B7B09"/>
    <w:rsid w:val="008B7B4C"/>
    <w:rsid w:val="008B7C94"/>
    <w:rsid w:val="008B7E5C"/>
    <w:rsid w:val="008B7EB3"/>
    <w:rsid w:val="008B7F1A"/>
    <w:rsid w:val="008B7F37"/>
    <w:rsid w:val="008B7F7C"/>
    <w:rsid w:val="008B7FC7"/>
    <w:rsid w:val="008B7FFA"/>
    <w:rsid w:val="008C011B"/>
    <w:rsid w:val="008C01F1"/>
    <w:rsid w:val="008C01F2"/>
    <w:rsid w:val="008C0291"/>
    <w:rsid w:val="008C03BC"/>
    <w:rsid w:val="008C03FF"/>
    <w:rsid w:val="008C0481"/>
    <w:rsid w:val="008C04BF"/>
    <w:rsid w:val="008C04DD"/>
    <w:rsid w:val="008C0781"/>
    <w:rsid w:val="008C07C1"/>
    <w:rsid w:val="008C086A"/>
    <w:rsid w:val="008C08A9"/>
    <w:rsid w:val="008C08B9"/>
    <w:rsid w:val="008C09BD"/>
    <w:rsid w:val="008C0A8A"/>
    <w:rsid w:val="008C0AF5"/>
    <w:rsid w:val="008C0B02"/>
    <w:rsid w:val="008C0BA7"/>
    <w:rsid w:val="008C0D2F"/>
    <w:rsid w:val="008C0FD9"/>
    <w:rsid w:val="008C10F1"/>
    <w:rsid w:val="008C1148"/>
    <w:rsid w:val="008C1178"/>
    <w:rsid w:val="008C1205"/>
    <w:rsid w:val="008C135F"/>
    <w:rsid w:val="008C14A1"/>
    <w:rsid w:val="008C159F"/>
    <w:rsid w:val="008C162F"/>
    <w:rsid w:val="008C17EE"/>
    <w:rsid w:val="008C1879"/>
    <w:rsid w:val="008C188E"/>
    <w:rsid w:val="008C18FC"/>
    <w:rsid w:val="008C1909"/>
    <w:rsid w:val="008C19C8"/>
    <w:rsid w:val="008C19ED"/>
    <w:rsid w:val="008C1A46"/>
    <w:rsid w:val="008C1A4B"/>
    <w:rsid w:val="008C1AFE"/>
    <w:rsid w:val="008C1B2C"/>
    <w:rsid w:val="008C1B39"/>
    <w:rsid w:val="008C1BBC"/>
    <w:rsid w:val="008C1E55"/>
    <w:rsid w:val="008C1FEA"/>
    <w:rsid w:val="008C20A1"/>
    <w:rsid w:val="008C20CD"/>
    <w:rsid w:val="008C20DD"/>
    <w:rsid w:val="008C2150"/>
    <w:rsid w:val="008C2247"/>
    <w:rsid w:val="008C2284"/>
    <w:rsid w:val="008C22CE"/>
    <w:rsid w:val="008C2338"/>
    <w:rsid w:val="008C24C2"/>
    <w:rsid w:val="008C252B"/>
    <w:rsid w:val="008C25D1"/>
    <w:rsid w:val="008C26DD"/>
    <w:rsid w:val="008C2848"/>
    <w:rsid w:val="008C2931"/>
    <w:rsid w:val="008C29BF"/>
    <w:rsid w:val="008C2A30"/>
    <w:rsid w:val="008C2A3A"/>
    <w:rsid w:val="008C2C08"/>
    <w:rsid w:val="008C2D01"/>
    <w:rsid w:val="008C2D3F"/>
    <w:rsid w:val="008C2DCC"/>
    <w:rsid w:val="008C2F83"/>
    <w:rsid w:val="008C3211"/>
    <w:rsid w:val="008C34B6"/>
    <w:rsid w:val="008C377C"/>
    <w:rsid w:val="008C3783"/>
    <w:rsid w:val="008C3809"/>
    <w:rsid w:val="008C3879"/>
    <w:rsid w:val="008C38AA"/>
    <w:rsid w:val="008C3920"/>
    <w:rsid w:val="008C3927"/>
    <w:rsid w:val="008C3A04"/>
    <w:rsid w:val="008C3A20"/>
    <w:rsid w:val="008C3A27"/>
    <w:rsid w:val="008C3A6C"/>
    <w:rsid w:val="008C3C02"/>
    <w:rsid w:val="008C3C10"/>
    <w:rsid w:val="008C3C4B"/>
    <w:rsid w:val="008C3D21"/>
    <w:rsid w:val="008C3D23"/>
    <w:rsid w:val="008C3D41"/>
    <w:rsid w:val="008C3DC6"/>
    <w:rsid w:val="008C3EA2"/>
    <w:rsid w:val="008C3F4F"/>
    <w:rsid w:val="008C4191"/>
    <w:rsid w:val="008C41C8"/>
    <w:rsid w:val="008C4283"/>
    <w:rsid w:val="008C4869"/>
    <w:rsid w:val="008C4A57"/>
    <w:rsid w:val="008C4A77"/>
    <w:rsid w:val="008C4C64"/>
    <w:rsid w:val="008C4C7F"/>
    <w:rsid w:val="008C4EB7"/>
    <w:rsid w:val="008C50C4"/>
    <w:rsid w:val="008C5103"/>
    <w:rsid w:val="008C5118"/>
    <w:rsid w:val="008C51DE"/>
    <w:rsid w:val="008C5204"/>
    <w:rsid w:val="008C522B"/>
    <w:rsid w:val="008C5244"/>
    <w:rsid w:val="008C5421"/>
    <w:rsid w:val="008C557B"/>
    <w:rsid w:val="008C564F"/>
    <w:rsid w:val="008C56F5"/>
    <w:rsid w:val="008C5766"/>
    <w:rsid w:val="008C57B8"/>
    <w:rsid w:val="008C57BC"/>
    <w:rsid w:val="008C5876"/>
    <w:rsid w:val="008C5B66"/>
    <w:rsid w:val="008C5BF0"/>
    <w:rsid w:val="008C5E29"/>
    <w:rsid w:val="008C5E34"/>
    <w:rsid w:val="008C5FDB"/>
    <w:rsid w:val="008C60A2"/>
    <w:rsid w:val="008C61D0"/>
    <w:rsid w:val="008C61F3"/>
    <w:rsid w:val="008C6752"/>
    <w:rsid w:val="008C68D3"/>
    <w:rsid w:val="008C6928"/>
    <w:rsid w:val="008C695B"/>
    <w:rsid w:val="008C698F"/>
    <w:rsid w:val="008C69DF"/>
    <w:rsid w:val="008C6AAA"/>
    <w:rsid w:val="008C6B24"/>
    <w:rsid w:val="008C6B9B"/>
    <w:rsid w:val="008C6D31"/>
    <w:rsid w:val="008C6D40"/>
    <w:rsid w:val="008C6E04"/>
    <w:rsid w:val="008C6F48"/>
    <w:rsid w:val="008C7107"/>
    <w:rsid w:val="008C7184"/>
    <w:rsid w:val="008C727D"/>
    <w:rsid w:val="008C72F4"/>
    <w:rsid w:val="008C736D"/>
    <w:rsid w:val="008C7419"/>
    <w:rsid w:val="008C743B"/>
    <w:rsid w:val="008C7489"/>
    <w:rsid w:val="008C749C"/>
    <w:rsid w:val="008C7548"/>
    <w:rsid w:val="008C7781"/>
    <w:rsid w:val="008C7BE8"/>
    <w:rsid w:val="008C7BF1"/>
    <w:rsid w:val="008C7C09"/>
    <w:rsid w:val="008C7C21"/>
    <w:rsid w:val="008C7C64"/>
    <w:rsid w:val="008C7C6D"/>
    <w:rsid w:val="008C7EFD"/>
    <w:rsid w:val="008D0117"/>
    <w:rsid w:val="008D018C"/>
    <w:rsid w:val="008D01B0"/>
    <w:rsid w:val="008D028E"/>
    <w:rsid w:val="008D035D"/>
    <w:rsid w:val="008D04D4"/>
    <w:rsid w:val="008D0618"/>
    <w:rsid w:val="008D0648"/>
    <w:rsid w:val="008D07D6"/>
    <w:rsid w:val="008D097A"/>
    <w:rsid w:val="008D09D8"/>
    <w:rsid w:val="008D0D5B"/>
    <w:rsid w:val="008D0D77"/>
    <w:rsid w:val="008D0DF4"/>
    <w:rsid w:val="008D0EAB"/>
    <w:rsid w:val="008D0FFA"/>
    <w:rsid w:val="008D106E"/>
    <w:rsid w:val="008D11F7"/>
    <w:rsid w:val="008D128C"/>
    <w:rsid w:val="008D12B1"/>
    <w:rsid w:val="008D12F2"/>
    <w:rsid w:val="008D13E5"/>
    <w:rsid w:val="008D1480"/>
    <w:rsid w:val="008D15C0"/>
    <w:rsid w:val="008D15E1"/>
    <w:rsid w:val="008D1722"/>
    <w:rsid w:val="008D19A4"/>
    <w:rsid w:val="008D19D3"/>
    <w:rsid w:val="008D1A17"/>
    <w:rsid w:val="008D1B64"/>
    <w:rsid w:val="008D1D66"/>
    <w:rsid w:val="008D1D86"/>
    <w:rsid w:val="008D1E3E"/>
    <w:rsid w:val="008D1F9D"/>
    <w:rsid w:val="008D1FC7"/>
    <w:rsid w:val="008D1FDC"/>
    <w:rsid w:val="008D1FE6"/>
    <w:rsid w:val="008D211D"/>
    <w:rsid w:val="008D21D0"/>
    <w:rsid w:val="008D22AC"/>
    <w:rsid w:val="008D2380"/>
    <w:rsid w:val="008D252D"/>
    <w:rsid w:val="008D253D"/>
    <w:rsid w:val="008D25D8"/>
    <w:rsid w:val="008D25F7"/>
    <w:rsid w:val="008D2796"/>
    <w:rsid w:val="008D288D"/>
    <w:rsid w:val="008D2896"/>
    <w:rsid w:val="008D28C3"/>
    <w:rsid w:val="008D29D4"/>
    <w:rsid w:val="008D29F9"/>
    <w:rsid w:val="008D2DC0"/>
    <w:rsid w:val="008D2E18"/>
    <w:rsid w:val="008D2EB5"/>
    <w:rsid w:val="008D2F48"/>
    <w:rsid w:val="008D3051"/>
    <w:rsid w:val="008D3127"/>
    <w:rsid w:val="008D315F"/>
    <w:rsid w:val="008D31C4"/>
    <w:rsid w:val="008D31CE"/>
    <w:rsid w:val="008D326B"/>
    <w:rsid w:val="008D326D"/>
    <w:rsid w:val="008D34B0"/>
    <w:rsid w:val="008D38D8"/>
    <w:rsid w:val="008D3CDB"/>
    <w:rsid w:val="008D3DD8"/>
    <w:rsid w:val="008D409F"/>
    <w:rsid w:val="008D4154"/>
    <w:rsid w:val="008D4195"/>
    <w:rsid w:val="008D41A7"/>
    <w:rsid w:val="008D4376"/>
    <w:rsid w:val="008D4453"/>
    <w:rsid w:val="008D459B"/>
    <w:rsid w:val="008D4610"/>
    <w:rsid w:val="008D4663"/>
    <w:rsid w:val="008D4668"/>
    <w:rsid w:val="008D4720"/>
    <w:rsid w:val="008D4783"/>
    <w:rsid w:val="008D47B2"/>
    <w:rsid w:val="008D47DA"/>
    <w:rsid w:val="008D4867"/>
    <w:rsid w:val="008D48D2"/>
    <w:rsid w:val="008D49C6"/>
    <w:rsid w:val="008D4A98"/>
    <w:rsid w:val="008D4B60"/>
    <w:rsid w:val="008D4B80"/>
    <w:rsid w:val="008D4B84"/>
    <w:rsid w:val="008D4C4A"/>
    <w:rsid w:val="008D4C4C"/>
    <w:rsid w:val="008D4CA7"/>
    <w:rsid w:val="008D4DD8"/>
    <w:rsid w:val="008D4E6B"/>
    <w:rsid w:val="008D4F82"/>
    <w:rsid w:val="008D50C0"/>
    <w:rsid w:val="008D5142"/>
    <w:rsid w:val="008D517A"/>
    <w:rsid w:val="008D519D"/>
    <w:rsid w:val="008D5379"/>
    <w:rsid w:val="008D55C2"/>
    <w:rsid w:val="008D5688"/>
    <w:rsid w:val="008D56A8"/>
    <w:rsid w:val="008D5745"/>
    <w:rsid w:val="008D57E4"/>
    <w:rsid w:val="008D5859"/>
    <w:rsid w:val="008D58C0"/>
    <w:rsid w:val="008D5A40"/>
    <w:rsid w:val="008D5AC9"/>
    <w:rsid w:val="008D5B88"/>
    <w:rsid w:val="008D5D4B"/>
    <w:rsid w:val="008D5DB9"/>
    <w:rsid w:val="008D5EFA"/>
    <w:rsid w:val="008D5F88"/>
    <w:rsid w:val="008D5FF8"/>
    <w:rsid w:val="008D6299"/>
    <w:rsid w:val="008D62B7"/>
    <w:rsid w:val="008D62FE"/>
    <w:rsid w:val="008D63DB"/>
    <w:rsid w:val="008D6432"/>
    <w:rsid w:val="008D643C"/>
    <w:rsid w:val="008D64FB"/>
    <w:rsid w:val="008D654C"/>
    <w:rsid w:val="008D684E"/>
    <w:rsid w:val="008D6892"/>
    <w:rsid w:val="008D68C0"/>
    <w:rsid w:val="008D6919"/>
    <w:rsid w:val="008D69AC"/>
    <w:rsid w:val="008D6A9A"/>
    <w:rsid w:val="008D6B8C"/>
    <w:rsid w:val="008D6BD9"/>
    <w:rsid w:val="008D6C1F"/>
    <w:rsid w:val="008D6C3D"/>
    <w:rsid w:val="008D6F87"/>
    <w:rsid w:val="008D7024"/>
    <w:rsid w:val="008D7051"/>
    <w:rsid w:val="008D716A"/>
    <w:rsid w:val="008D7176"/>
    <w:rsid w:val="008D7387"/>
    <w:rsid w:val="008D73C9"/>
    <w:rsid w:val="008D7414"/>
    <w:rsid w:val="008D746C"/>
    <w:rsid w:val="008D74ED"/>
    <w:rsid w:val="008D767C"/>
    <w:rsid w:val="008D7795"/>
    <w:rsid w:val="008D7B5C"/>
    <w:rsid w:val="008D7BD9"/>
    <w:rsid w:val="008D7C53"/>
    <w:rsid w:val="008D7C7B"/>
    <w:rsid w:val="008D7F96"/>
    <w:rsid w:val="008D7F9E"/>
    <w:rsid w:val="008D7FFC"/>
    <w:rsid w:val="008E015F"/>
    <w:rsid w:val="008E0214"/>
    <w:rsid w:val="008E0256"/>
    <w:rsid w:val="008E02B0"/>
    <w:rsid w:val="008E0438"/>
    <w:rsid w:val="008E0661"/>
    <w:rsid w:val="008E07DA"/>
    <w:rsid w:val="008E0815"/>
    <w:rsid w:val="008E081A"/>
    <w:rsid w:val="008E08A1"/>
    <w:rsid w:val="008E0A2D"/>
    <w:rsid w:val="008E0A95"/>
    <w:rsid w:val="008E0C7D"/>
    <w:rsid w:val="008E0F7F"/>
    <w:rsid w:val="008E113D"/>
    <w:rsid w:val="008E1400"/>
    <w:rsid w:val="008E14DD"/>
    <w:rsid w:val="008E1509"/>
    <w:rsid w:val="008E1554"/>
    <w:rsid w:val="008E164C"/>
    <w:rsid w:val="008E166C"/>
    <w:rsid w:val="008E1969"/>
    <w:rsid w:val="008E1A56"/>
    <w:rsid w:val="008E1C3C"/>
    <w:rsid w:val="008E1CDE"/>
    <w:rsid w:val="008E1CF0"/>
    <w:rsid w:val="008E1CFE"/>
    <w:rsid w:val="008E1CFF"/>
    <w:rsid w:val="008E1DBC"/>
    <w:rsid w:val="008E1F1A"/>
    <w:rsid w:val="008E2027"/>
    <w:rsid w:val="008E21C0"/>
    <w:rsid w:val="008E2259"/>
    <w:rsid w:val="008E2310"/>
    <w:rsid w:val="008E23A6"/>
    <w:rsid w:val="008E23D8"/>
    <w:rsid w:val="008E249D"/>
    <w:rsid w:val="008E2579"/>
    <w:rsid w:val="008E2827"/>
    <w:rsid w:val="008E2878"/>
    <w:rsid w:val="008E29FD"/>
    <w:rsid w:val="008E2AB1"/>
    <w:rsid w:val="008E2AD5"/>
    <w:rsid w:val="008E2C82"/>
    <w:rsid w:val="008E2CAD"/>
    <w:rsid w:val="008E2D56"/>
    <w:rsid w:val="008E2DB0"/>
    <w:rsid w:val="008E301D"/>
    <w:rsid w:val="008E33CE"/>
    <w:rsid w:val="008E3449"/>
    <w:rsid w:val="008E36D6"/>
    <w:rsid w:val="008E3728"/>
    <w:rsid w:val="008E37F5"/>
    <w:rsid w:val="008E39AD"/>
    <w:rsid w:val="008E39E2"/>
    <w:rsid w:val="008E3B39"/>
    <w:rsid w:val="008E3B69"/>
    <w:rsid w:val="008E3CD0"/>
    <w:rsid w:val="008E3F96"/>
    <w:rsid w:val="008E40E2"/>
    <w:rsid w:val="008E40F8"/>
    <w:rsid w:val="008E412C"/>
    <w:rsid w:val="008E4154"/>
    <w:rsid w:val="008E418D"/>
    <w:rsid w:val="008E4250"/>
    <w:rsid w:val="008E4277"/>
    <w:rsid w:val="008E435C"/>
    <w:rsid w:val="008E4380"/>
    <w:rsid w:val="008E43EB"/>
    <w:rsid w:val="008E44E0"/>
    <w:rsid w:val="008E452A"/>
    <w:rsid w:val="008E4530"/>
    <w:rsid w:val="008E4635"/>
    <w:rsid w:val="008E4666"/>
    <w:rsid w:val="008E4770"/>
    <w:rsid w:val="008E4812"/>
    <w:rsid w:val="008E484B"/>
    <w:rsid w:val="008E494A"/>
    <w:rsid w:val="008E49D8"/>
    <w:rsid w:val="008E4CD5"/>
    <w:rsid w:val="008E4D49"/>
    <w:rsid w:val="008E4DBE"/>
    <w:rsid w:val="008E4E1E"/>
    <w:rsid w:val="008E4EE4"/>
    <w:rsid w:val="008E4F38"/>
    <w:rsid w:val="008E4F54"/>
    <w:rsid w:val="008E4F7E"/>
    <w:rsid w:val="008E5068"/>
    <w:rsid w:val="008E5352"/>
    <w:rsid w:val="008E5391"/>
    <w:rsid w:val="008E53C0"/>
    <w:rsid w:val="008E53C5"/>
    <w:rsid w:val="008E53CB"/>
    <w:rsid w:val="008E5A0C"/>
    <w:rsid w:val="008E5A32"/>
    <w:rsid w:val="008E5C6F"/>
    <w:rsid w:val="008E5CBB"/>
    <w:rsid w:val="008E5CE7"/>
    <w:rsid w:val="008E5F52"/>
    <w:rsid w:val="008E5FAD"/>
    <w:rsid w:val="008E60AB"/>
    <w:rsid w:val="008E615D"/>
    <w:rsid w:val="008E6348"/>
    <w:rsid w:val="008E6353"/>
    <w:rsid w:val="008E63F0"/>
    <w:rsid w:val="008E63F2"/>
    <w:rsid w:val="008E640C"/>
    <w:rsid w:val="008E649A"/>
    <w:rsid w:val="008E6516"/>
    <w:rsid w:val="008E665B"/>
    <w:rsid w:val="008E6761"/>
    <w:rsid w:val="008E67A6"/>
    <w:rsid w:val="008E6987"/>
    <w:rsid w:val="008E698E"/>
    <w:rsid w:val="008E6995"/>
    <w:rsid w:val="008E6B69"/>
    <w:rsid w:val="008E6C16"/>
    <w:rsid w:val="008E6CA4"/>
    <w:rsid w:val="008E6D7D"/>
    <w:rsid w:val="008E6E6A"/>
    <w:rsid w:val="008E7153"/>
    <w:rsid w:val="008E716E"/>
    <w:rsid w:val="008E720B"/>
    <w:rsid w:val="008E729C"/>
    <w:rsid w:val="008E748E"/>
    <w:rsid w:val="008E7497"/>
    <w:rsid w:val="008E7540"/>
    <w:rsid w:val="008E774A"/>
    <w:rsid w:val="008E7847"/>
    <w:rsid w:val="008E78E7"/>
    <w:rsid w:val="008E798D"/>
    <w:rsid w:val="008E7C28"/>
    <w:rsid w:val="008E7C87"/>
    <w:rsid w:val="008E7D95"/>
    <w:rsid w:val="008E7DD1"/>
    <w:rsid w:val="008E7E38"/>
    <w:rsid w:val="008E7EBF"/>
    <w:rsid w:val="008F006D"/>
    <w:rsid w:val="008F0273"/>
    <w:rsid w:val="008F02DE"/>
    <w:rsid w:val="008F02E5"/>
    <w:rsid w:val="008F039C"/>
    <w:rsid w:val="008F03EF"/>
    <w:rsid w:val="008F06FB"/>
    <w:rsid w:val="008F0795"/>
    <w:rsid w:val="008F091B"/>
    <w:rsid w:val="008F09B8"/>
    <w:rsid w:val="008F09E1"/>
    <w:rsid w:val="008F0A21"/>
    <w:rsid w:val="008F0A52"/>
    <w:rsid w:val="008F0B27"/>
    <w:rsid w:val="008F0C9A"/>
    <w:rsid w:val="008F0E54"/>
    <w:rsid w:val="008F0FF8"/>
    <w:rsid w:val="008F10E9"/>
    <w:rsid w:val="008F1531"/>
    <w:rsid w:val="008F161A"/>
    <w:rsid w:val="008F16C4"/>
    <w:rsid w:val="008F1797"/>
    <w:rsid w:val="008F1867"/>
    <w:rsid w:val="008F1A65"/>
    <w:rsid w:val="008F1CF7"/>
    <w:rsid w:val="008F1F6D"/>
    <w:rsid w:val="008F205D"/>
    <w:rsid w:val="008F22F1"/>
    <w:rsid w:val="008F241B"/>
    <w:rsid w:val="008F247D"/>
    <w:rsid w:val="008F24AD"/>
    <w:rsid w:val="008F25A6"/>
    <w:rsid w:val="008F25AA"/>
    <w:rsid w:val="008F2636"/>
    <w:rsid w:val="008F2673"/>
    <w:rsid w:val="008F268B"/>
    <w:rsid w:val="008F26A4"/>
    <w:rsid w:val="008F2834"/>
    <w:rsid w:val="008F2883"/>
    <w:rsid w:val="008F2AAB"/>
    <w:rsid w:val="008F2ACD"/>
    <w:rsid w:val="008F2C11"/>
    <w:rsid w:val="008F2D9B"/>
    <w:rsid w:val="008F2E1F"/>
    <w:rsid w:val="008F2E6F"/>
    <w:rsid w:val="008F2E73"/>
    <w:rsid w:val="008F2F27"/>
    <w:rsid w:val="008F2F5F"/>
    <w:rsid w:val="008F2FF1"/>
    <w:rsid w:val="008F315D"/>
    <w:rsid w:val="008F31CF"/>
    <w:rsid w:val="008F320C"/>
    <w:rsid w:val="008F334A"/>
    <w:rsid w:val="008F343C"/>
    <w:rsid w:val="008F3661"/>
    <w:rsid w:val="008F381D"/>
    <w:rsid w:val="008F39EE"/>
    <w:rsid w:val="008F3A4E"/>
    <w:rsid w:val="008F3AC3"/>
    <w:rsid w:val="008F3B15"/>
    <w:rsid w:val="008F3BBC"/>
    <w:rsid w:val="008F3C7C"/>
    <w:rsid w:val="008F3DCB"/>
    <w:rsid w:val="008F3DFF"/>
    <w:rsid w:val="008F4178"/>
    <w:rsid w:val="008F41A0"/>
    <w:rsid w:val="008F424F"/>
    <w:rsid w:val="008F4456"/>
    <w:rsid w:val="008F4477"/>
    <w:rsid w:val="008F453B"/>
    <w:rsid w:val="008F4675"/>
    <w:rsid w:val="008F4791"/>
    <w:rsid w:val="008F4874"/>
    <w:rsid w:val="008F48E7"/>
    <w:rsid w:val="008F4903"/>
    <w:rsid w:val="008F49A2"/>
    <w:rsid w:val="008F49D3"/>
    <w:rsid w:val="008F4AF2"/>
    <w:rsid w:val="008F4AF9"/>
    <w:rsid w:val="008F4B4D"/>
    <w:rsid w:val="008F4C48"/>
    <w:rsid w:val="008F4E08"/>
    <w:rsid w:val="008F4E81"/>
    <w:rsid w:val="008F50EE"/>
    <w:rsid w:val="008F510C"/>
    <w:rsid w:val="008F5268"/>
    <w:rsid w:val="008F539A"/>
    <w:rsid w:val="008F53F5"/>
    <w:rsid w:val="008F5504"/>
    <w:rsid w:val="008F5606"/>
    <w:rsid w:val="008F5610"/>
    <w:rsid w:val="008F5683"/>
    <w:rsid w:val="008F5844"/>
    <w:rsid w:val="008F585E"/>
    <w:rsid w:val="008F58BD"/>
    <w:rsid w:val="008F5C0F"/>
    <w:rsid w:val="008F5C7C"/>
    <w:rsid w:val="008F5DB8"/>
    <w:rsid w:val="008F5E73"/>
    <w:rsid w:val="008F5FAE"/>
    <w:rsid w:val="008F6040"/>
    <w:rsid w:val="008F60EF"/>
    <w:rsid w:val="008F6151"/>
    <w:rsid w:val="008F6159"/>
    <w:rsid w:val="008F61C9"/>
    <w:rsid w:val="008F61FD"/>
    <w:rsid w:val="008F6300"/>
    <w:rsid w:val="008F6316"/>
    <w:rsid w:val="008F64C2"/>
    <w:rsid w:val="008F6539"/>
    <w:rsid w:val="008F6553"/>
    <w:rsid w:val="008F65A1"/>
    <w:rsid w:val="008F65F3"/>
    <w:rsid w:val="008F6647"/>
    <w:rsid w:val="008F6664"/>
    <w:rsid w:val="008F679E"/>
    <w:rsid w:val="008F687F"/>
    <w:rsid w:val="008F6C7E"/>
    <w:rsid w:val="008F6CFC"/>
    <w:rsid w:val="008F6E1A"/>
    <w:rsid w:val="008F6E77"/>
    <w:rsid w:val="008F7169"/>
    <w:rsid w:val="008F7184"/>
    <w:rsid w:val="008F734B"/>
    <w:rsid w:val="008F73E5"/>
    <w:rsid w:val="008F75EC"/>
    <w:rsid w:val="008F76A2"/>
    <w:rsid w:val="008F7723"/>
    <w:rsid w:val="008F7AD1"/>
    <w:rsid w:val="008F7AD6"/>
    <w:rsid w:val="008F7AEC"/>
    <w:rsid w:val="008F7BB0"/>
    <w:rsid w:val="008F7BFD"/>
    <w:rsid w:val="008F7CB9"/>
    <w:rsid w:val="008F7D6F"/>
    <w:rsid w:val="008F7EEC"/>
    <w:rsid w:val="008F7F79"/>
    <w:rsid w:val="00900133"/>
    <w:rsid w:val="0090013E"/>
    <w:rsid w:val="00900144"/>
    <w:rsid w:val="009001A7"/>
    <w:rsid w:val="00900246"/>
    <w:rsid w:val="00900385"/>
    <w:rsid w:val="009003A2"/>
    <w:rsid w:val="009004E5"/>
    <w:rsid w:val="009005AF"/>
    <w:rsid w:val="00900653"/>
    <w:rsid w:val="00900709"/>
    <w:rsid w:val="0090073E"/>
    <w:rsid w:val="00900783"/>
    <w:rsid w:val="009009BA"/>
    <w:rsid w:val="009009DB"/>
    <w:rsid w:val="00900AC9"/>
    <w:rsid w:val="00900CD9"/>
    <w:rsid w:val="00900DFF"/>
    <w:rsid w:val="00900EB3"/>
    <w:rsid w:val="00900F39"/>
    <w:rsid w:val="009010E8"/>
    <w:rsid w:val="009011DC"/>
    <w:rsid w:val="009011F1"/>
    <w:rsid w:val="00901380"/>
    <w:rsid w:val="009014DB"/>
    <w:rsid w:val="009014ED"/>
    <w:rsid w:val="0090159E"/>
    <w:rsid w:val="009015D1"/>
    <w:rsid w:val="0090167A"/>
    <w:rsid w:val="009016AF"/>
    <w:rsid w:val="00901859"/>
    <w:rsid w:val="00901873"/>
    <w:rsid w:val="009019E3"/>
    <w:rsid w:val="009019EB"/>
    <w:rsid w:val="00901B09"/>
    <w:rsid w:val="00901BB0"/>
    <w:rsid w:val="00901C1D"/>
    <w:rsid w:val="00901C8E"/>
    <w:rsid w:val="00901C9B"/>
    <w:rsid w:val="00901D42"/>
    <w:rsid w:val="00901D68"/>
    <w:rsid w:val="00901E52"/>
    <w:rsid w:val="0090216F"/>
    <w:rsid w:val="00902401"/>
    <w:rsid w:val="00902541"/>
    <w:rsid w:val="00902578"/>
    <w:rsid w:val="0090263C"/>
    <w:rsid w:val="00902814"/>
    <w:rsid w:val="009029E0"/>
    <w:rsid w:val="00902E73"/>
    <w:rsid w:val="00902F39"/>
    <w:rsid w:val="00902F95"/>
    <w:rsid w:val="00903265"/>
    <w:rsid w:val="00903602"/>
    <w:rsid w:val="00903645"/>
    <w:rsid w:val="009036B5"/>
    <w:rsid w:val="009037D2"/>
    <w:rsid w:val="009037F6"/>
    <w:rsid w:val="00903851"/>
    <w:rsid w:val="00903890"/>
    <w:rsid w:val="009039D1"/>
    <w:rsid w:val="00903AB1"/>
    <w:rsid w:val="00903B03"/>
    <w:rsid w:val="00903BD9"/>
    <w:rsid w:val="00903C53"/>
    <w:rsid w:val="00903CD3"/>
    <w:rsid w:val="00903CDF"/>
    <w:rsid w:val="00903E25"/>
    <w:rsid w:val="00903EC0"/>
    <w:rsid w:val="00903F3C"/>
    <w:rsid w:val="00904072"/>
    <w:rsid w:val="009041F5"/>
    <w:rsid w:val="00904354"/>
    <w:rsid w:val="00904357"/>
    <w:rsid w:val="009044FA"/>
    <w:rsid w:val="0090464F"/>
    <w:rsid w:val="00904763"/>
    <w:rsid w:val="009047A1"/>
    <w:rsid w:val="00904859"/>
    <w:rsid w:val="009049CC"/>
    <w:rsid w:val="00904A19"/>
    <w:rsid w:val="00904A5A"/>
    <w:rsid w:val="00904DBA"/>
    <w:rsid w:val="00904E88"/>
    <w:rsid w:val="00904F5D"/>
    <w:rsid w:val="00904F75"/>
    <w:rsid w:val="0090505F"/>
    <w:rsid w:val="009050CE"/>
    <w:rsid w:val="0090521A"/>
    <w:rsid w:val="00905254"/>
    <w:rsid w:val="00905287"/>
    <w:rsid w:val="0090537C"/>
    <w:rsid w:val="00905477"/>
    <w:rsid w:val="009054D6"/>
    <w:rsid w:val="00905533"/>
    <w:rsid w:val="0090566D"/>
    <w:rsid w:val="009056A6"/>
    <w:rsid w:val="009056E4"/>
    <w:rsid w:val="00905823"/>
    <w:rsid w:val="00905861"/>
    <w:rsid w:val="009058BE"/>
    <w:rsid w:val="009058DC"/>
    <w:rsid w:val="00905AD4"/>
    <w:rsid w:val="00905B85"/>
    <w:rsid w:val="00905BCE"/>
    <w:rsid w:val="00905BD4"/>
    <w:rsid w:val="00905CF3"/>
    <w:rsid w:val="00906057"/>
    <w:rsid w:val="00906097"/>
    <w:rsid w:val="0090614F"/>
    <w:rsid w:val="0090629D"/>
    <w:rsid w:val="0090641C"/>
    <w:rsid w:val="00906521"/>
    <w:rsid w:val="00906529"/>
    <w:rsid w:val="00906674"/>
    <w:rsid w:val="009068FE"/>
    <w:rsid w:val="00906938"/>
    <w:rsid w:val="00906962"/>
    <w:rsid w:val="00906A0D"/>
    <w:rsid w:val="00906BA4"/>
    <w:rsid w:val="00906D27"/>
    <w:rsid w:val="00906ED3"/>
    <w:rsid w:val="00906F97"/>
    <w:rsid w:val="0090704B"/>
    <w:rsid w:val="00907125"/>
    <w:rsid w:val="00907186"/>
    <w:rsid w:val="0090724D"/>
    <w:rsid w:val="00907343"/>
    <w:rsid w:val="009073E1"/>
    <w:rsid w:val="00907480"/>
    <w:rsid w:val="009077A4"/>
    <w:rsid w:val="00907918"/>
    <w:rsid w:val="009079B2"/>
    <w:rsid w:val="00907A15"/>
    <w:rsid w:val="00907A66"/>
    <w:rsid w:val="00907F34"/>
    <w:rsid w:val="00907F6A"/>
    <w:rsid w:val="009101D3"/>
    <w:rsid w:val="00910204"/>
    <w:rsid w:val="0091052D"/>
    <w:rsid w:val="009105D4"/>
    <w:rsid w:val="009106A0"/>
    <w:rsid w:val="009106BC"/>
    <w:rsid w:val="009107A7"/>
    <w:rsid w:val="009108B1"/>
    <w:rsid w:val="009108B8"/>
    <w:rsid w:val="00910B12"/>
    <w:rsid w:val="00910B85"/>
    <w:rsid w:val="00910CED"/>
    <w:rsid w:val="00910CEE"/>
    <w:rsid w:val="00910EC7"/>
    <w:rsid w:val="00911004"/>
    <w:rsid w:val="00911030"/>
    <w:rsid w:val="009110AF"/>
    <w:rsid w:val="009111A3"/>
    <w:rsid w:val="009111DC"/>
    <w:rsid w:val="00911201"/>
    <w:rsid w:val="00911314"/>
    <w:rsid w:val="0091140B"/>
    <w:rsid w:val="009117A1"/>
    <w:rsid w:val="00911879"/>
    <w:rsid w:val="00911915"/>
    <w:rsid w:val="00911923"/>
    <w:rsid w:val="00911929"/>
    <w:rsid w:val="009119B1"/>
    <w:rsid w:val="00911A68"/>
    <w:rsid w:val="00911B58"/>
    <w:rsid w:val="00911D2E"/>
    <w:rsid w:val="00911D70"/>
    <w:rsid w:val="00911DD3"/>
    <w:rsid w:val="00911E09"/>
    <w:rsid w:val="00911E54"/>
    <w:rsid w:val="00911FFE"/>
    <w:rsid w:val="00912086"/>
    <w:rsid w:val="0091216D"/>
    <w:rsid w:val="009122B8"/>
    <w:rsid w:val="009123C0"/>
    <w:rsid w:val="009123E8"/>
    <w:rsid w:val="009124C3"/>
    <w:rsid w:val="00912622"/>
    <w:rsid w:val="0091282D"/>
    <w:rsid w:val="00912864"/>
    <w:rsid w:val="009128E5"/>
    <w:rsid w:val="0091298E"/>
    <w:rsid w:val="00912A68"/>
    <w:rsid w:val="00912B4B"/>
    <w:rsid w:val="00912C81"/>
    <w:rsid w:val="00912D53"/>
    <w:rsid w:val="00912F3E"/>
    <w:rsid w:val="00913034"/>
    <w:rsid w:val="0091303C"/>
    <w:rsid w:val="00913064"/>
    <w:rsid w:val="009130E4"/>
    <w:rsid w:val="00913222"/>
    <w:rsid w:val="009132D0"/>
    <w:rsid w:val="009133BF"/>
    <w:rsid w:val="00913422"/>
    <w:rsid w:val="00913627"/>
    <w:rsid w:val="0091362E"/>
    <w:rsid w:val="009136C5"/>
    <w:rsid w:val="00913720"/>
    <w:rsid w:val="009137A4"/>
    <w:rsid w:val="009137B0"/>
    <w:rsid w:val="009137BF"/>
    <w:rsid w:val="00913992"/>
    <w:rsid w:val="00913A18"/>
    <w:rsid w:val="00913A1A"/>
    <w:rsid w:val="00913A52"/>
    <w:rsid w:val="00913C42"/>
    <w:rsid w:val="00913C91"/>
    <w:rsid w:val="00913D93"/>
    <w:rsid w:val="00913FAD"/>
    <w:rsid w:val="00913FB3"/>
    <w:rsid w:val="0091412E"/>
    <w:rsid w:val="009141A9"/>
    <w:rsid w:val="009141BE"/>
    <w:rsid w:val="0091426E"/>
    <w:rsid w:val="00914288"/>
    <w:rsid w:val="00914292"/>
    <w:rsid w:val="00914352"/>
    <w:rsid w:val="00914369"/>
    <w:rsid w:val="0091454E"/>
    <w:rsid w:val="0091456D"/>
    <w:rsid w:val="00914598"/>
    <w:rsid w:val="00914676"/>
    <w:rsid w:val="009146D4"/>
    <w:rsid w:val="009148A3"/>
    <w:rsid w:val="00914914"/>
    <w:rsid w:val="00914AC4"/>
    <w:rsid w:val="00914AFC"/>
    <w:rsid w:val="00914B86"/>
    <w:rsid w:val="00914C84"/>
    <w:rsid w:val="00914FE4"/>
    <w:rsid w:val="00915067"/>
    <w:rsid w:val="009150B7"/>
    <w:rsid w:val="0091510B"/>
    <w:rsid w:val="00915125"/>
    <w:rsid w:val="00915175"/>
    <w:rsid w:val="009151E0"/>
    <w:rsid w:val="00915225"/>
    <w:rsid w:val="009152EF"/>
    <w:rsid w:val="009154E7"/>
    <w:rsid w:val="00915527"/>
    <w:rsid w:val="0091559D"/>
    <w:rsid w:val="0091562F"/>
    <w:rsid w:val="00915710"/>
    <w:rsid w:val="00915731"/>
    <w:rsid w:val="009157C8"/>
    <w:rsid w:val="00915897"/>
    <w:rsid w:val="009158E7"/>
    <w:rsid w:val="00915B1D"/>
    <w:rsid w:val="00915B49"/>
    <w:rsid w:val="00915B69"/>
    <w:rsid w:val="00915B6C"/>
    <w:rsid w:val="00915B8E"/>
    <w:rsid w:val="00915CDA"/>
    <w:rsid w:val="00915F42"/>
    <w:rsid w:val="00915FE8"/>
    <w:rsid w:val="00916250"/>
    <w:rsid w:val="009162FA"/>
    <w:rsid w:val="00916305"/>
    <w:rsid w:val="00916324"/>
    <w:rsid w:val="0091634F"/>
    <w:rsid w:val="0091635E"/>
    <w:rsid w:val="00916430"/>
    <w:rsid w:val="00916436"/>
    <w:rsid w:val="00916467"/>
    <w:rsid w:val="009164D3"/>
    <w:rsid w:val="00916694"/>
    <w:rsid w:val="00916700"/>
    <w:rsid w:val="0091675A"/>
    <w:rsid w:val="009167B2"/>
    <w:rsid w:val="009168E4"/>
    <w:rsid w:val="0091695D"/>
    <w:rsid w:val="00916A3C"/>
    <w:rsid w:val="00916CAB"/>
    <w:rsid w:val="00916D03"/>
    <w:rsid w:val="00916D35"/>
    <w:rsid w:val="009172D3"/>
    <w:rsid w:val="009173B7"/>
    <w:rsid w:val="00917568"/>
    <w:rsid w:val="009175CF"/>
    <w:rsid w:val="009177A3"/>
    <w:rsid w:val="0091799D"/>
    <w:rsid w:val="00917EF6"/>
    <w:rsid w:val="00917F4C"/>
    <w:rsid w:val="00920035"/>
    <w:rsid w:val="0092008D"/>
    <w:rsid w:val="009201DC"/>
    <w:rsid w:val="0092021D"/>
    <w:rsid w:val="009202F0"/>
    <w:rsid w:val="00920412"/>
    <w:rsid w:val="0092041B"/>
    <w:rsid w:val="009204B5"/>
    <w:rsid w:val="009206E9"/>
    <w:rsid w:val="009207BE"/>
    <w:rsid w:val="009207E8"/>
    <w:rsid w:val="00920CA2"/>
    <w:rsid w:val="00920F80"/>
    <w:rsid w:val="00921022"/>
    <w:rsid w:val="009210B8"/>
    <w:rsid w:val="009211C0"/>
    <w:rsid w:val="00921211"/>
    <w:rsid w:val="00921461"/>
    <w:rsid w:val="00921492"/>
    <w:rsid w:val="00921497"/>
    <w:rsid w:val="00921559"/>
    <w:rsid w:val="009215B0"/>
    <w:rsid w:val="00921AD2"/>
    <w:rsid w:val="00921AEE"/>
    <w:rsid w:val="00921B2A"/>
    <w:rsid w:val="00921B98"/>
    <w:rsid w:val="00921BAE"/>
    <w:rsid w:val="00921CF4"/>
    <w:rsid w:val="00921D40"/>
    <w:rsid w:val="00921D71"/>
    <w:rsid w:val="00921D75"/>
    <w:rsid w:val="00921FFF"/>
    <w:rsid w:val="0092201F"/>
    <w:rsid w:val="00922175"/>
    <w:rsid w:val="00922217"/>
    <w:rsid w:val="0092228C"/>
    <w:rsid w:val="009222AB"/>
    <w:rsid w:val="009222BE"/>
    <w:rsid w:val="00922316"/>
    <w:rsid w:val="00922374"/>
    <w:rsid w:val="00922591"/>
    <w:rsid w:val="009225BD"/>
    <w:rsid w:val="00922639"/>
    <w:rsid w:val="009227CA"/>
    <w:rsid w:val="00922805"/>
    <w:rsid w:val="00922AB6"/>
    <w:rsid w:val="00922AFA"/>
    <w:rsid w:val="00922D50"/>
    <w:rsid w:val="00922DA0"/>
    <w:rsid w:val="00922EA4"/>
    <w:rsid w:val="00922EBE"/>
    <w:rsid w:val="00922EBF"/>
    <w:rsid w:val="0092300F"/>
    <w:rsid w:val="009230C9"/>
    <w:rsid w:val="00923246"/>
    <w:rsid w:val="009233AD"/>
    <w:rsid w:val="009233CA"/>
    <w:rsid w:val="00923499"/>
    <w:rsid w:val="009235ED"/>
    <w:rsid w:val="0092364F"/>
    <w:rsid w:val="00923802"/>
    <w:rsid w:val="00923899"/>
    <w:rsid w:val="009238F0"/>
    <w:rsid w:val="009239DD"/>
    <w:rsid w:val="00923C0C"/>
    <w:rsid w:val="00923D11"/>
    <w:rsid w:val="00923DEA"/>
    <w:rsid w:val="00923E04"/>
    <w:rsid w:val="00923E6F"/>
    <w:rsid w:val="0092423B"/>
    <w:rsid w:val="00924411"/>
    <w:rsid w:val="0092442B"/>
    <w:rsid w:val="00924484"/>
    <w:rsid w:val="00924565"/>
    <w:rsid w:val="00924718"/>
    <w:rsid w:val="00924779"/>
    <w:rsid w:val="0092484C"/>
    <w:rsid w:val="009249B9"/>
    <w:rsid w:val="00924B34"/>
    <w:rsid w:val="00924B35"/>
    <w:rsid w:val="00924BC7"/>
    <w:rsid w:val="00924C52"/>
    <w:rsid w:val="00924C81"/>
    <w:rsid w:val="00924D0C"/>
    <w:rsid w:val="00924D27"/>
    <w:rsid w:val="00924D36"/>
    <w:rsid w:val="00924D8A"/>
    <w:rsid w:val="00924DDA"/>
    <w:rsid w:val="00924E7F"/>
    <w:rsid w:val="00924F0C"/>
    <w:rsid w:val="00924F49"/>
    <w:rsid w:val="00924FD1"/>
    <w:rsid w:val="009250CF"/>
    <w:rsid w:val="00925235"/>
    <w:rsid w:val="00925321"/>
    <w:rsid w:val="0092533E"/>
    <w:rsid w:val="00925359"/>
    <w:rsid w:val="009253DA"/>
    <w:rsid w:val="00925402"/>
    <w:rsid w:val="00925651"/>
    <w:rsid w:val="0092586C"/>
    <w:rsid w:val="00925886"/>
    <w:rsid w:val="00925935"/>
    <w:rsid w:val="00925ACC"/>
    <w:rsid w:val="00925BFB"/>
    <w:rsid w:val="00925C1E"/>
    <w:rsid w:val="00925CB1"/>
    <w:rsid w:val="00925E8F"/>
    <w:rsid w:val="00925F00"/>
    <w:rsid w:val="00926045"/>
    <w:rsid w:val="009262D2"/>
    <w:rsid w:val="009264FE"/>
    <w:rsid w:val="009265AE"/>
    <w:rsid w:val="00926606"/>
    <w:rsid w:val="0092661E"/>
    <w:rsid w:val="00926724"/>
    <w:rsid w:val="009267A1"/>
    <w:rsid w:val="009267CC"/>
    <w:rsid w:val="00926821"/>
    <w:rsid w:val="009268C3"/>
    <w:rsid w:val="00926993"/>
    <w:rsid w:val="00926A08"/>
    <w:rsid w:val="00926A7D"/>
    <w:rsid w:val="00926A98"/>
    <w:rsid w:val="00926AAE"/>
    <w:rsid w:val="00926B6D"/>
    <w:rsid w:val="00926EA4"/>
    <w:rsid w:val="00926F43"/>
    <w:rsid w:val="00926F87"/>
    <w:rsid w:val="00926F98"/>
    <w:rsid w:val="0092700C"/>
    <w:rsid w:val="00927011"/>
    <w:rsid w:val="00927169"/>
    <w:rsid w:val="009271E2"/>
    <w:rsid w:val="00927335"/>
    <w:rsid w:val="00927470"/>
    <w:rsid w:val="00927480"/>
    <w:rsid w:val="0092756A"/>
    <w:rsid w:val="009276F4"/>
    <w:rsid w:val="00927734"/>
    <w:rsid w:val="009278E4"/>
    <w:rsid w:val="00927C78"/>
    <w:rsid w:val="00927D51"/>
    <w:rsid w:val="00927D6F"/>
    <w:rsid w:val="00927D9C"/>
    <w:rsid w:val="00927F1C"/>
    <w:rsid w:val="00927F84"/>
    <w:rsid w:val="00927FAF"/>
    <w:rsid w:val="00927FF0"/>
    <w:rsid w:val="00930006"/>
    <w:rsid w:val="0093015B"/>
    <w:rsid w:val="00930281"/>
    <w:rsid w:val="00930406"/>
    <w:rsid w:val="009304AE"/>
    <w:rsid w:val="009306AE"/>
    <w:rsid w:val="00930722"/>
    <w:rsid w:val="009308F7"/>
    <w:rsid w:val="00930BF4"/>
    <w:rsid w:val="00930D5F"/>
    <w:rsid w:val="00930DFA"/>
    <w:rsid w:val="00930E4D"/>
    <w:rsid w:val="00930EFC"/>
    <w:rsid w:val="00931008"/>
    <w:rsid w:val="00931009"/>
    <w:rsid w:val="00931065"/>
    <w:rsid w:val="00931094"/>
    <w:rsid w:val="00931101"/>
    <w:rsid w:val="00931204"/>
    <w:rsid w:val="009312B1"/>
    <w:rsid w:val="00931302"/>
    <w:rsid w:val="00931317"/>
    <w:rsid w:val="00931343"/>
    <w:rsid w:val="00931367"/>
    <w:rsid w:val="009314E2"/>
    <w:rsid w:val="0093165F"/>
    <w:rsid w:val="0093169F"/>
    <w:rsid w:val="009318E7"/>
    <w:rsid w:val="009319A7"/>
    <w:rsid w:val="00931A00"/>
    <w:rsid w:val="00931A2B"/>
    <w:rsid w:val="00931A3D"/>
    <w:rsid w:val="00931AA5"/>
    <w:rsid w:val="00931B93"/>
    <w:rsid w:val="00931BA3"/>
    <w:rsid w:val="00931D5E"/>
    <w:rsid w:val="00931EA2"/>
    <w:rsid w:val="00931F96"/>
    <w:rsid w:val="00932126"/>
    <w:rsid w:val="00932177"/>
    <w:rsid w:val="009321D8"/>
    <w:rsid w:val="00932238"/>
    <w:rsid w:val="00932262"/>
    <w:rsid w:val="009322F6"/>
    <w:rsid w:val="00932338"/>
    <w:rsid w:val="00932364"/>
    <w:rsid w:val="009323D5"/>
    <w:rsid w:val="009324E5"/>
    <w:rsid w:val="00932579"/>
    <w:rsid w:val="00932606"/>
    <w:rsid w:val="00932823"/>
    <w:rsid w:val="00932AA4"/>
    <w:rsid w:val="00932AC0"/>
    <w:rsid w:val="00932B86"/>
    <w:rsid w:val="00932BB5"/>
    <w:rsid w:val="00932BE9"/>
    <w:rsid w:val="00932C47"/>
    <w:rsid w:val="00932CDC"/>
    <w:rsid w:val="00932CFA"/>
    <w:rsid w:val="00932D43"/>
    <w:rsid w:val="00932D50"/>
    <w:rsid w:val="00932D55"/>
    <w:rsid w:val="00932D56"/>
    <w:rsid w:val="00932DEC"/>
    <w:rsid w:val="00932E14"/>
    <w:rsid w:val="00932F05"/>
    <w:rsid w:val="00932FA6"/>
    <w:rsid w:val="00932FFA"/>
    <w:rsid w:val="009330E4"/>
    <w:rsid w:val="0093312D"/>
    <w:rsid w:val="0093324E"/>
    <w:rsid w:val="00933289"/>
    <w:rsid w:val="0093328B"/>
    <w:rsid w:val="0093335E"/>
    <w:rsid w:val="0093345C"/>
    <w:rsid w:val="00933695"/>
    <w:rsid w:val="0093372C"/>
    <w:rsid w:val="00933755"/>
    <w:rsid w:val="00933959"/>
    <w:rsid w:val="00933B84"/>
    <w:rsid w:val="00933C15"/>
    <w:rsid w:val="00933C7C"/>
    <w:rsid w:val="00933E2A"/>
    <w:rsid w:val="00933E69"/>
    <w:rsid w:val="00933E9E"/>
    <w:rsid w:val="00933EF7"/>
    <w:rsid w:val="00933F2B"/>
    <w:rsid w:val="00933F9B"/>
    <w:rsid w:val="00934060"/>
    <w:rsid w:val="009340BB"/>
    <w:rsid w:val="00934219"/>
    <w:rsid w:val="009342D3"/>
    <w:rsid w:val="00934418"/>
    <w:rsid w:val="0093447E"/>
    <w:rsid w:val="00934520"/>
    <w:rsid w:val="0093471B"/>
    <w:rsid w:val="00934761"/>
    <w:rsid w:val="00934984"/>
    <w:rsid w:val="009349C0"/>
    <w:rsid w:val="00934A70"/>
    <w:rsid w:val="00934B25"/>
    <w:rsid w:val="00934CA8"/>
    <w:rsid w:val="00934CC2"/>
    <w:rsid w:val="00934CF6"/>
    <w:rsid w:val="00934DA1"/>
    <w:rsid w:val="0093501B"/>
    <w:rsid w:val="009352A1"/>
    <w:rsid w:val="009352D2"/>
    <w:rsid w:val="00935321"/>
    <w:rsid w:val="0093544E"/>
    <w:rsid w:val="009355AD"/>
    <w:rsid w:val="00935625"/>
    <w:rsid w:val="00935645"/>
    <w:rsid w:val="009356B7"/>
    <w:rsid w:val="009357D8"/>
    <w:rsid w:val="009358D5"/>
    <w:rsid w:val="009358EB"/>
    <w:rsid w:val="00935B33"/>
    <w:rsid w:val="00935B51"/>
    <w:rsid w:val="00935C09"/>
    <w:rsid w:val="00935C29"/>
    <w:rsid w:val="00935D1D"/>
    <w:rsid w:val="00935E30"/>
    <w:rsid w:val="00935E6C"/>
    <w:rsid w:val="00935F22"/>
    <w:rsid w:val="00935FE6"/>
    <w:rsid w:val="00936177"/>
    <w:rsid w:val="0093621E"/>
    <w:rsid w:val="00936317"/>
    <w:rsid w:val="00936341"/>
    <w:rsid w:val="0093634D"/>
    <w:rsid w:val="009366F5"/>
    <w:rsid w:val="00936779"/>
    <w:rsid w:val="00936788"/>
    <w:rsid w:val="00936817"/>
    <w:rsid w:val="0093691F"/>
    <w:rsid w:val="009369F0"/>
    <w:rsid w:val="00936AEF"/>
    <w:rsid w:val="00936C0C"/>
    <w:rsid w:val="00936C55"/>
    <w:rsid w:val="00936CBD"/>
    <w:rsid w:val="00936CF5"/>
    <w:rsid w:val="00936D73"/>
    <w:rsid w:val="00936E74"/>
    <w:rsid w:val="0093700D"/>
    <w:rsid w:val="00937151"/>
    <w:rsid w:val="009372AE"/>
    <w:rsid w:val="009372D1"/>
    <w:rsid w:val="009375E5"/>
    <w:rsid w:val="009376CB"/>
    <w:rsid w:val="009376D4"/>
    <w:rsid w:val="009377D4"/>
    <w:rsid w:val="00937893"/>
    <w:rsid w:val="0093790B"/>
    <w:rsid w:val="00937AE7"/>
    <w:rsid w:val="00937C48"/>
    <w:rsid w:val="00937CAB"/>
    <w:rsid w:val="00937CDE"/>
    <w:rsid w:val="00937D62"/>
    <w:rsid w:val="00937E1F"/>
    <w:rsid w:val="00940018"/>
    <w:rsid w:val="0094016E"/>
    <w:rsid w:val="0094025C"/>
    <w:rsid w:val="0094026E"/>
    <w:rsid w:val="00940315"/>
    <w:rsid w:val="0094060F"/>
    <w:rsid w:val="00940701"/>
    <w:rsid w:val="00940775"/>
    <w:rsid w:val="00940801"/>
    <w:rsid w:val="0094088F"/>
    <w:rsid w:val="00940BD8"/>
    <w:rsid w:val="00940C21"/>
    <w:rsid w:val="00940C6C"/>
    <w:rsid w:val="00940D3B"/>
    <w:rsid w:val="00940FA7"/>
    <w:rsid w:val="00940FBD"/>
    <w:rsid w:val="00941249"/>
    <w:rsid w:val="00941263"/>
    <w:rsid w:val="009412DF"/>
    <w:rsid w:val="009413E5"/>
    <w:rsid w:val="009413E8"/>
    <w:rsid w:val="00941598"/>
    <w:rsid w:val="00941675"/>
    <w:rsid w:val="00941684"/>
    <w:rsid w:val="009416EE"/>
    <w:rsid w:val="009417D6"/>
    <w:rsid w:val="00941844"/>
    <w:rsid w:val="0094193B"/>
    <w:rsid w:val="00941A1F"/>
    <w:rsid w:val="00941B9E"/>
    <w:rsid w:val="00941C5D"/>
    <w:rsid w:val="00941C77"/>
    <w:rsid w:val="00941C8E"/>
    <w:rsid w:val="00941DC4"/>
    <w:rsid w:val="00941DC7"/>
    <w:rsid w:val="00941E23"/>
    <w:rsid w:val="00942022"/>
    <w:rsid w:val="00942082"/>
    <w:rsid w:val="00942161"/>
    <w:rsid w:val="00942413"/>
    <w:rsid w:val="00942422"/>
    <w:rsid w:val="009424E5"/>
    <w:rsid w:val="0094251F"/>
    <w:rsid w:val="00942652"/>
    <w:rsid w:val="009426A7"/>
    <w:rsid w:val="009426AA"/>
    <w:rsid w:val="00942808"/>
    <w:rsid w:val="009429AE"/>
    <w:rsid w:val="00942A02"/>
    <w:rsid w:val="00942A0C"/>
    <w:rsid w:val="00942A0E"/>
    <w:rsid w:val="00942A17"/>
    <w:rsid w:val="00942A90"/>
    <w:rsid w:val="00942ADF"/>
    <w:rsid w:val="00942B5B"/>
    <w:rsid w:val="00942CBD"/>
    <w:rsid w:val="00942D09"/>
    <w:rsid w:val="00942DD2"/>
    <w:rsid w:val="00942E7D"/>
    <w:rsid w:val="00942EAD"/>
    <w:rsid w:val="00942EB5"/>
    <w:rsid w:val="00943064"/>
    <w:rsid w:val="00943101"/>
    <w:rsid w:val="0094327E"/>
    <w:rsid w:val="009432A8"/>
    <w:rsid w:val="009435C0"/>
    <w:rsid w:val="009435C2"/>
    <w:rsid w:val="00943855"/>
    <w:rsid w:val="009438D2"/>
    <w:rsid w:val="009438E3"/>
    <w:rsid w:val="00943A77"/>
    <w:rsid w:val="00943B61"/>
    <w:rsid w:val="00943CC8"/>
    <w:rsid w:val="00943CE1"/>
    <w:rsid w:val="009441E9"/>
    <w:rsid w:val="0094423E"/>
    <w:rsid w:val="00944303"/>
    <w:rsid w:val="00944322"/>
    <w:rsid w:val="00944399"/>
    <w:rsid w:val="009445D7"/>
    <w:rsid w:val="00944718"/>
    <w:rsid w:val="00944907"/>
    <w:rsid w:val="00944B6A"/>
    <w:rsid w:val="00944BA5"/>
    <w:rsid w:val="00944C93"/>
    <w:rsid w:val="00944D11"/>
    <w:rsid w:val="00944D3A"/>
    <w:rsid w:val="00944DAB"/>
    <w:rsid w:val="00944E30"/>
    <w:rsid w:val="00944ECA"/>
    <w:rsid w:val="009450DF"/>
    <w:rsid w:val="009451F2"/>
    <w:rsid w:val="00945297"/>
    <w:rsid w:val="0094536D"/>
    <w:rsid w:val="00945382"/>
    <w:rsid w:val="009453E8"/>
    <w:rsid w:val="009454BF"/>
    <w:rsid w:val="0094558B"/>
    <w:rsid w:val="00945826"/>
    <w:rsid w:val="0094586D"/>
    <w:rsid w:val="00945953"/>
    <w:rsid w:val="00945B7A"/>
    <w:rsid w:val="00945C6A"/>
    <w:rsid w:val="00945E6F"/>
    <w:rsid w:val="009461D3"/>
    <w:rsid w:val="0094626F"/>
    <w:rsid w:val="009462F3"/>
    <w:rsid w:val="00946447"/>
    <w:rsid w:val="00946793"/>
    <w:rsid w:val="00946824"/>
    <w:rsid w:val="00946922"/>
    <w:rsid w:val="00946926"/>
    <w:rsid w:val="00946946"/>
    <w:rsid w:val="00946957"/>
    <w:rsid w:val="00946976"/>
    <w:rsid w:val="00946AB6"/>
    <w:rsid w:val="00946BA4"/>
    <w:rsid w:val="00946C24"/>
    <w:rsid w:val="00946CEF"/>
    <w:rsid w:val="00946D8C"/>
    <w:rsid w:val="00946E64"/>
    <w:rsid w:val="00946F7F"/>
    <w:rsid w:val="00947020"/>
    <w:rsid w:val="0094708F"/>
    <w:rsid w:val="00947266"/>
    <w:rsid w:val="009472C2"/>
    <w:rsid w:val="00947335"/>
    <w:rsid w:val="00947338"/>
    <w:rsid w:val="009473CC"/>
    <w:rsid w:val="00947566"/>
    <w:rsid w:val="00947586"/>
    <w:rsid w:val="0094763D"/>
    <w:rsid w:val="0094765D"/>
    <w:rsid w:val="009476FB"/>
    <w:rsid w:val="009478EE"/>
    <w:rsid w:val="00947A29"/>
    <w:rsid w:val="00947ADF"/>
    <w:rsid w:val="00947B3F"/>
    <w:rsid w:val="00947C68"/>
    <w:rsid w:val="00947D0E"/>
    <w:rsid w:val="00947E1D"/>
    <w:rsid w:val="0095001B"/>
    <w:rsid w:val="00950216"/>
    <w:rsid w:val="0095034B"/>
    <w:rsid w:val="009503DC"/>
    <w:rsid w:val="0095045B"/>
    <w:rsid w:val="009504C0"/>
    <w:rsid w:val="0095065C"/>
    <w:rsid w:val="00950669"/>
    <w:rsid w:val="0095067F"/>
    <w:rsid w:val="0095069F"/>
    <w:rsid w:val="0095076B"/>
    <w:rsid w:val="00950770"/>
    <w:rsid w:val="009508C8"/>
    <w:rsid w:val="00950B2A"/>
    <w:rsid w:val="00950C96"/>
    <w:rsid w:val="00950E8C"/>
    <w:rsid w:val="009511C6"/>
    <w:rsid w:val="009512A6"/>
    <w:rsid w:val="009512B4"/>
    <w:rsid w:val="00951378"/>
    <w:rsid w:val="009513CB"/>
    <w:rsid w:val="0095146F"/>
    <w:rsid w:val="009514C5"/>
    <w:rsid w:val="009517BD"/>
    <w:rsid w:val="00951A09"/>
    <w:rsid w:val="00951B38"/>
    <w:rsid w:val="00951C6A"/>
    <w:rsid w:val="00951CFB"/>
    <w:rsid w:val="00951DA3"/>
    <w:rsid w:val="00951DE3"/>
    <w:rsid w:val="00951E58"/>
    <w:rsid w:val="0095211C"/>
    <w:rsid w:val="0095215C"/>
    <w:rsid w:val="00952172"/>
    <w:rsid w:val="00952215"/>
    <w:rsid w:val="0095221B"/>
    <w:rsid w:val="009522CB"/>
    <w:rsid w:val="00952389"/>
    <w:rsid w:val="00952755"/>
    <w:rsid w:val="0095287E"/>
    <w:rsid w:val="00952887"/>
    <w:rsid w:val="00952920"/>
    <w:rsid w:val="009529DC"/>
    <w:rsid w:val="00952A78"/>
    <w:rsid w:val="00952AB9"/>
    <w:rsid w:val="00952B99"/>
    <w:rsid w:val="00952C3D"/>
    <w:rsid w:val="00952C64"/>
    <w:rsid w:val="00952D74"/>
    <w:rsid w:val="00952DB1"/>
    <w:rsid w:val="00952E3D"/>
    <w:rsid w:val="00952F49"/>
    <w:rsid w:val="00952F58"/>
    <w:rsid w:val="009533EC"/>
    <w:rsid w:val="00953495"/>
    <w:rsid w:val="00953503"/>
    <w:rsid w:val="009535E6"/>
    <w:rsid w:val="0095361C"/>
    <w:rsid w:val="00953770"/>
    <w:rsid w:val="009537D6"/>
    <w:rsid w:val="009537FC"/>
    <w:rsid w:val="00953828"/>
    <w:rsid w:val="0095388A"/>
    <w:rsid w:val="0095388B"/>
    <w:rsid w:val="009538B5"/>
    <w:rsid w:val="00953914"/>
    <w:rsid w:val="00953968"/>
    <w:rsid w:val="00953998"/>
    <w:rsid w:val="009539F4"/>
    <w:rsid w:val="00953D0F"/>
    <w:rsid w:val="00953E81"/>
    <w:rsid w:val="00953EA0"/>
    <w:rsid w:val="00953F8F"/>
    <w:rsid w:val="00954054"/>
    <w:rsid w:val="009540F7"/>
    <w:rsid w:val="00954114"/>
    <w:rsid w:val="00954127"/>
    <w:rsid w:val="009541F5"/>
    <w:rsid w:val="0095432F"/>
    <w:rsid w:val="0095433C"/>
    <w:rsid w:val="0095438D"/>
    <w:rsid w:val="009545A7"/>
    <w:rsid w:val="00954640"/>
    <w:rsid w:val="00954664"/>
    <w:rsid w:val="0095467F"/>
    <w:rsid w:val="0095470F"/>
    <w:rsid w:val="0095478F"/>
    <w:rsid w:val="009548A1"/>
    <w:rsid w:val="00954A2C"/>
    <w:rsid w:val="00954AA7"/>
    <w:rsid w:val="00954AAF"/>
    <w:rsid w:val="00954ABC"/>
    <w:rsid w:val="00954B4B"/>
    <w:rsid w:val="00954D26"/>
    <w:rsid w:val="00954DA6"/>
    <w:rsid w:val="00954FB8"/>
    <w:rsid w:val="00955103"/>
    <w:rsid w:val="0095515A"/>
    <w:rsid w:val="0095534E"/>
    <w:rsid w:val="009553EE"/>
    <w:rsid w:val="009554C4"/>
    <w:rsid w:val="00955671"/>
    <w:rsid w:val="00955791"/>
    <w:rsid w:val="0095582D"/>
    <w:rsid w:val="00955869"/>
    <w:rsid w:val="009558DA"/>
    <w:rsid w:val="00955CF4"/>
    <w:rsid w:val="00955D60"/>
    <w:rsid w:val="00955E55"/>
    <w:rsid w:val="00955EAA"/>
    <w:rsid w:val="00955ED2"/>
    <w:rsid w:val="00955F6D"/>
    <w:rsid w:val="00956088"/>
    <w:rsid w:val="009560D7"/>
    <w:rsid w:val="009562D0"/>
    <w:rsid w:val="0095634B"/>
    <w:rsid w:val="009565B8"/>
    <w:rsid w:val="0095661A"/>
    <w:rsid w:val="00956639"/>
    <w:rsid w:val="009566C6"/>
    <w:rsid w:val="009567BB"/>
    <w:rsid w:val="00956818"/>
    <w:rsid w:val="00956830"/>
    <w:rsid w:val="00956896"/>
    <w:rsid w:val="00956909"/>
    <w:rsid w:val="0095690C"/>
    <w:rsid w:val="00956947"/>
    <w:rsid w:val="00956A0B"/>
    <w:rsid w:val="00956B8E"/>
    <w:rsid w:val="00956B99"/>
    <w:rsid w:val="00956D8F"/>
    <w:rsid w:val="00956E3E"/>
    <w:rsid w:val="00957011"/>
    <w:rsid w:val="0095721F"/>
    <w:rsid w:val="00957239"/>
    <w:rsid w:val="009572E1"/>
    <w:rsid w:val="00957361"/>
    <w:rsid w:val="00957452"/>
    <w:rsid w:val="00957499"/>
    <w:rsid w:val="00957576"/>
    <w:rsid w:val="009575C5"/>
    <w:rsid w:val="00957AA9"/>
    <w:rsid w:val="00957AAE"/>
    <w:rsid w:val="00957B14"/>
    <w:rsid w:val="00957C0A"/>
    <w:rsid w:val="00957D3B"/>
    <w:rsid w:val="00957D4F"/>
    <w:rsid w:val="00960008"/>
    <w:rsid w:val="00960045"/>
    <w:rsid w:val="00960193"/>
    <w:rsid w:val="0096025E"/>
    <w:rsid w:val="009602F7"/>
    <w:rsid w:val="00960366"/>
    <w:rsid w:val="00960417"/>
    <w:rsid w:val="0096042F"/>
    <w:rsid w:val="00960436"/>
    <w:rsid w:val="0096047D"/>
    <w:rsid w:val="0096047F"/>
    <w:rsid w:val="009604DB"/>
    <w:rsid w:val="009604DF"/>
    <w:rsid w:val="00960549"/>
    <w:rsid w:val="00960690"/>
    <w:rsid w:val="0096069B"/>
    <w:rsid w:val="009607D6"/>
    <w:rsid w:val="009609E1"/>
    <w:rsid w:val="00960B55"/>
    <w:rsid w:val="00960D55"/>
    <w:rsid w:val="00960EE4"/>
    <w:rsid w:val="00960F1A"/>
    <w:rsid w:val="00960F2F"/>
    <w:rsid w:val="0096100C"/>
    <w:rsid w:val="0096102D"/>
    <w:rsid w:val="009610B6"/>
    <w:rsid w:val="00961135"/>
    <w:rsid w:val="00961159"/>
    <w:rsid w:val="0096117A"/>
    <w:rsid w:val="0096131C"/>
    <w:rsid w:val="009613E4"/>
    <w:rsid w:val="0096141A"/>
    <w:rsid w:val="0096148F"/>
    <w:rsid w:val="00961795"/>
    <w:rsid w:val="009617D3"/>
    <w:rsid w:val="009618E4"/>
    <w:rsid w:val="00961977"/>
    <w:rsid w:val="00961AE6"/>
    <w:rsid w:val="00961B56"/>
    <w:rsid w:val="00961BB2"/>
    <w:rsid w:val="00961CBE"/>
    <w:rsid w:val="00961D68"/>
    <w:rsid w:val="00961D6C"/>
    <w:rsid w:val="00961E8F"/>
    <w:rsid w:val="00961F24"/>
    <w:rsid w:val="00961F5E"/>
    <w:rsid w:val="00961F60"/>
    <w:rsid w:val="00961FB1"/>
    <w:rsid w:val="00962063"/>
    <w:rsid w:val="00962162"/>
    <w:rsid w:val="009621BD"/>
    <w:rsid w:val="00962239"/>
    <w:rsid w:val="009622AA"/>
    <w:rsid w:val="00962380"/>
    <w:rsid w:val="009623A7"/>
    <w:rsid w:val="00962568"/>
    <w:rsid w:val="00962709"/>
    <w:rsid w:val="0096274D"/>
    <w:rsid w:val="009629B7"/>
    <w:rsid w:val="00962AAB"/>
    <w:rsid w:val="00962B30"/>
    <w:rsid w:val="00962BBA"/>
    <w:rsid w:val="009631C9"/>
    <w:rsid w:val="009632C4"/>
    <w:rsid w:val="00963360"/>
    <w:rsid w:val="009634EA"/>
    <w:rsid w:val="009637CF"/>
    <w:rsid w:val="0096394D"/>
    <w:rsid w:val="00963ACC"/>
    <w:rsid w:val="00963C3B"/>
    <w:rsid w:val="00963F30"/>
    <w:rsid w:val="00963F82"/>
    <w:rsid w:val="00963FC0"/>
    <w:rsid w:val="009640E4"/>
    <w:rsid w:val="009641DB"/>
    <w:rsid w:val="0096434C"/>
    <w:rsid w:val="009643CD"/>
    <w:rsid w:val="00964615"/>
    <w:rsid w:val="00964647"/>
    <w:rsid w:val="00964696"/>
    <w:rsid w:val="0096474C"/>
    <w:rsid w:val="00964764"/>
    <w:rsid w:val="009647EF"/>
    <w:rsid w:val="009648D7"/>
    <w:rsid w:val="0096497D"/>
    <w:rsid w:val="00964AAD"/>
    <w:rsid w:val="00964ACB"/>
    <w:rsid w:val="00964B1C"/>
    <w:rsid w:val="00964B2A"/>
    <w:rsid w:val="00964BA4"/>
    <w:rsid w:val="00964C3C"/>
    <w:rsid w:val="00964CA7"/>
    <w:rsid w:val="00964CC3"/>
    <w:rsid w:val="00964D71"/>
    <w:rsid w:val="00964E89"/>
    <w:rsid w:val="00964F1B"/>
    <w:rsid w:val="00964FC9"/>
    <w:rsid w:val="00965055"/>
    <w:rsid w:val="00965172"/>
    <w:rsid w:val="0096518C"/>
    <w:rsid w:val="009653EC"/>
    <w:rsid w:val="00965437"/>
    <w:rsid w:val="009654E6"/>
    <w:rsid w:val="0096552B"/>
    <w:rsid w:val="009655C0"/>
    <w:rsid w:val="009656A7"/>
    <w:rsid w:val="00965760"/>
    <w:rsid w:val="00965855"/>
    <w:rsid w:val="0096588F"/>
    <w:rsid w:val="009658FB"/>
    <w:rsid w:val="00965A71"/>
    <w:rsid w:val="00965AB8"/>
    <w:rsid w:val="00965B5F"/>
    <w:rsid w:val="00965BCF"/>
    <w:rsid w:val="00965C3D"/>
    <w:rsid w:val="00965EE5"/>
    <w:rsid w:val="00965EEA"/>
    <w:rsid w:val="00966078"/>
    <w:rsid w:val="009661F1"/>
    <w:rsid w:val="00966268"/>
    <w:rsid w:val="0096634D"/>
    <w:rsid w:val="0096649C"/>
    <w:rsid w:val="009664B8"/>
    <w:rsid w:val="009665BD"/>
    <w:rsid w:val="00966746"/>
    <w:rsid w:val="0096674C"/>
    <w:rsid w:val="00966884"/>
    <w:rsid w:val="0096692C"/>
    <w:rsid w:val="009669A5"/>
    <w:rsid w:val="009669EA"/>
    <w:rsid w:val="00966A09"/>
    <w:rsid w:val="00966A0F"/>
    <w:rsid w:val="00966B36"/>
    <w:rsid w:val="00966C12"/>
    <w:rsid w:val="00966C2F"/>
    <w:rsid w:val="00966C50"/>
    <w:rsid w:val="00966C76"/>
    <w:rsid w:val="00966C8D"/>
    <w:rsid w:val="00966CE7"/>
    <w:rsid w:val="00966D64"/>
    <w:rsid w:val="00966DD0"/>
    <w:rsid w:val="00966E21"/>
    <w:rsid w:val="00966EC6"/>
    <w:rsid w:val="00966EF6"/>
    <w:rsid w:val="00966F1E"/>
    <w:rsid w:val="00966F66"/>
    <w:rsid w:val="00966FA8"/>
    <w:rsid w:val="0096703B"/>
    <w:rsid w:val="009670AC"/>
    <w:rsid w:val="00967162"/>
    <w:rsid w:val="0096723F"/>
    <w:rsid w:val="00967258"/>
    <w:rsid w:val="00967302"/>
    <w:rsid w:val="00967746"/>
    <w:rsid w:val="009678C2"/>
    <w:rsid w:val="00967AB4"/>
    <w:rsid w:val="00967AFD"/>
    <w:rsid w:val="00967B32"/>
    <w:rsid w:val="00967BC0"/>
    <w:rsid w:val="00967BDD"/>
    <w:rsid w:val="00967CA4"/>
    <w:rsid w:val="00967D37"/>
    <w:rsid w:val="00967F65"/>
    <w:rsid w:val="009700F9"/>
    <w:rsid w:val="0097012E"/>
    <w:rsid w:val="009702BE"/>
    <w:rsid w:val="009702C1"/>
    <w:rsid w:val="009703E3"/>
    <w:rsid w:val="00970459"/>
    <w:rsid w:val="009705FD"/>
    <w:rsid w:val="00970746"/>
    <w:rsid w:val="0097074B"/>
    <w:rsid w:val="009708B8"/>
    <w:rsid w:val="0097094C"/>
    <w:rsid w:val="009709DC"/>
    <w:rsid w:val="00970B31"/>
    <w:rsid w:val="00970BB8"/>
    <w:rsid w:val="00970BC0"/>
    <w:rsid w:val="00970D1D"/>
    <w:rsid w:val="00970E92"/>
    <w:rsid w:val="00970F5F"/>
    <w:rsid w:val="00971105"/>
    <w:rsid w:val="0097113A"/>
    <w:rsid w:val="009711ED"/>
    <w:rsid w:val="00971201"/>
    <w:rsid w:val="009712C8"/>
    <w:rsid w:val="00971350"/>
    <w:rsid w:val="00971378"/>
    <w:rsid w:val="009713E4"/>
    <w:rsid w:val="009713EE"/>
    <w:rsid w:val="00971534"/>
    <w:rsid w:val="00971671"/>
    <w:rsid w:val="00971915"/>
    <w:rsid w:val="00971980"/>
    <w:rsid w:val="00971A09"/>
    <w:rsid w:val="00971C12"/>
    <w:rsid w:val="00971D02"/>
    <w:rsid w:val="00971F7E"/>
    <w:rsid w:val="00972056"/>
    <w:rsid w:val="00972072"/>
    <w:rsid w:val="0097215B"/>
    <w:rsid w:val="00972292"/>
    <w:rsid w:val="009722EA"/>
    <w:rsid w:val="009722FA"/>
    <w:rsid w:val="009723A8"/>
    <w:rsid w:val="009724EC"/>
    <w:rsid w:val="009725E2"/>
    <w:rsid w:val="009727F5"/>
    <w:rsid w:val="00972B3A"/>
    <w:rsid w:val="00972B73"/>
    <w:rsid w:val="00972CD3"/>
    <w:rsid w:val="00972F01"/>
    <w:rsid w:val="009730AF"/>
    <w:rsid w:val="0097312D"/>
    <w:rsid w:val="009731EC"/>
    <w:rsid w:val="0097326A"/>
    <w:rsid w:val="0097356C"/>
    <w:rsid w:val="0097360F"/>
    <w:rsid w:val="00973645"/>
    <w:rsid w:val="009736AC"/>
    <w:rsid w:val="009736D7"/>
    <w:rsid w:val="009737E2"/>
    <w:rsid w:val="00973898"/>
    <w:rsid w:val="009738A3"/>
    <w:rsid w:val="009738C4"/>
    <w:rsid w:val="00973979"/>
    <w:rsid w:val="009739D1"/>
    <w:rsid w:val="00973B1A"/>
    <w:rsid w:val="00973E81"/>
    <w:rsid w:val="00973FAA"/>
    <w:rsid w:val="00974094"/>
    <w:rsid w:val="00974241"/>
    <w:rsid w:val="00974308"/>
    <w:rsid w:val="00974487"/>
    <w:rsid w:val="00974624"/>
    <w:rsid w:val="00974628"/>
    <w:rsid w:val="0097465C"/>
    <w:rsid w:val="009748D9"/>
    <w:rsid w:val="00974900"/>
    <w:rsid w:val="00974949"/>
    <w:rsid w:val="00974995"/>
    <w:rsid w:val="0097499C"/>
    <w:rsid w:val="0097499F"/>
    <w:rsid w:val="00974A4E"/>
    <w:rsid w:val="00974AD7"/>
    <w:rsid w:val="00974AED"/>
    <w:rsid w:val="00974B80"/>
    <w:rsid w:val="00974C2E"/>
    <w:rsid w:val="00974C3F"/>
    <w:rsid w:val="00974DF5"/>
    <w:rsid w:val="00975381"/>
    <w:rsid w:val="009755E2"/>
    <w:rsid w:val="009756F4"/>
    <w:rsid w:val="0097573D"/>
    <w:rsid w:val="009757AB"/>
    <w:rsid w:val="00975935"/>
    <w:rsid w:val="00975A1C"/>
    <w:rsid w:val="00975B55"/>
    <w:rsid w:val="00975B84"/>
    <w:rsid w:val="00975BDD"/>
    <w:rsid w:val="00975CE3"/>
    <w:rsid w:val="00975DCC"/>
    <w:rsid w:val="00975DF1"/>
    <w:rsid w:val="00975E3F"/>
    <w:rsid w:val="00975F97"/>
    <w:rsid w:val="00975FB2"/>
    <w:rsid w:val="00975FE7"/>
    <w:rsid w:val="009760FD"/>
    <w:rsid w:val="009761CF"/>
    <w:rsid w:val="00976237"/>
    <w:rsid w:val="009762D5"/>
    <w:rsid w:val="00976392"/>
    <w:rsid w:val="00976779"/>
    <w:rsid w:val="009769CB"/>
    <w:rsid w:val="00976A3D"/>
    <w:rsid w:val="00976A42"/>
    <w:rsid w:val="00976B57"/>
    <w:rsid w:val="00976D6E"/>
    <w:rsid w:val="00976E6D"/>
    <w:rsid w:val="00976F18"/>
    <w:rsid w:val="00976FF4"/>
    <w:rsid w:val="00977068"/>
    <w:rsid w:val="009770A1"/>
    <w:rsid w:val="009770C1"/>
    <w:rsid w:val="009771C7"/>
    <w:rsid w:val="009772AF"/>
    <w:rsid w:val="00977366"/>
    <w:rsid w:val="00977385"/>
    <w:rsid w:val="00977392"/>
    <w:rsid w:val="009774C1"/>
    <w:rsid w:val="009774D1"/>
    <w:rsid w:val="00977547"/>
    <w:rsid w:val="00977555"/>
    <w:rsid w:val="009775BC"/>
    <w:rsid w:val="009776E2"/>
    <w:rsid w:val="0097772B"/>
    <w:rsid w:val="0097774B"/>
    <w:rsid w:val="009777A4"/>
    <w:rsid w:val="009777E9"/>
    <w:rsid w:val="009778DB"/>
    <w:rsid w:val="009779BC"/>
    <w:rsid w:val="009779D0"/>
    <w:rsid w:val="00977A2E"/>
    <w:rsid w:val="00977B80"/>
    <w:rsid w:val="00977C38"/>
    <w:rsid w:val="00977C49"/>
    <w:rsid w:val="00977CC5"/>
    <w:rsid w:val="00977D3A"/>
    <w:rsid w:val="00977D5A"/>
    <w:rsid w:val="00977D65"/>
    <w:rsid w:val="00977D6F"/>
    <w:rsid w:val="00977F26"/>
    <w:rsid w:val="00980035"/>
    <w:rsid w:val="00980135"/>
    <w:rsid w:val="009801FD"/>
    <w:rsid w:val="0098029C"/>
    <w:rsid w:val="00980333"/>
    <w:rsid w:val="00980371"/>
    <w:rsid w:val="00980388"/>
    <w:rsid w:val="009803BB"/>
    <w:rsid w:val="009803C0"/>
    <w:rsid w:val="009804CE"/>
    <w:rsid w:val="00980576"/>
    <w:rsid w:val="00980600"/>
    <w:rsid w:val="009806F9"/>
    <w:rsid w:val="009807B7"/>
    <w:rsid w:val="009809A9"/>
    <w:rsid w:val="00980C9A"/>
    <w:rsid w:val="00980D1D"/>
    <w:rsid w:val="00980D2C"/>
    <w:rsid w:val="00980D49"/>
    <w:rsid w:val="00980DC8"/>
    <w:rsid w:val="00980E36"/>
    <w:rsid w:val="00981004"/>
    <w:rsid w:val="0098119C"/>
    <w:rsid w:val="009811AB"/>
    <w:rsid w:val="009811C1"/>
    <w:rsid w:val="00981255"/>
    <w:rsid w:val="0098133F"/>
    <w:rsid w:val="009815B0"/>
    <w:rsid w:val="009816BF"/>
    <w:rsid w:val="009818CD"/>
    <w:rsid w:val="00981932"/>
    <w:rsid w:val="009819C1"/>
    <w:rsid w:val="009819FD"/>
    <w:rsid w:val="00981AB3"/>
    <w:rsid w:val="00981AC8"/>
    <w:rsid w:val="00981C16"/>
    <w:rsid w:val="00981D37"/>
    <w:rsid w:val="00981D71"/>
    <w:rsid w:val="00981E1C"/>
    <w:rsid w:val="00981F11"/>
    <w:rsid w:val="0098200C"/>
    <w:rsid w:val="00982146"/>
    <w:rsid w:val="009821BF"/>
    <w:rsid w:val="0098220B"/>
    <w:rsid w:val="009823D9"/>
    <w:rsid w:val="0098252F"/>
    <w:rsid w:val="0098266E"/>
    <w:rsid w:val="009826A5"/>
    <w:rsid w:val="009827E6"/>
    <w:rsid w:val="00982842"/>
    <w:rsid w:val="0098290E"/>
    <w:rsid w:val="00982A22"/>
    <w:rsid w:val="00982A49"/>
    <w:rsid w:val="00982D4C"/>
    <w:rsid w:val="00982DDD"/>
    <w:rsid w:val="00982E10"/>
    <w:rsid w:val="00982FDF"/>
    <w:rsid w:val="00983070"/>
    <w:rsid w:val="009830E3"/>
    <w:rsid w:val="00983216"/>
    <w:rsid w:val="00983305"/>
    <w:rsid w:val="00983347"/>
    <w:rsid w:val="009833BF"/>
    <w:rsid w:val="0098346B"/>
    <w:rsid w:val="00983501"/>
    <w:rsid w:val="00983644"/>
    <w:rsid w:val="0098365C"/>
    <w:rsid w:val="009837D5"/>
    <w:rsid w:val="00983864"/>
    <w:rsid w:val="00983A13"/>
    <w:rsid w:val="00983A79"/>
    <w:rsid w:val="00983AAA"/>
    <w:rsid w:val="00983C63"/>
    <w:rsid w:val="00983DF0"/>
    <w:rsid w:val="00983E02"/>
    <w:rsid w:val="00984029"/>
    <w:rsid w:val="00984135"/>
    <w:rsid w:val="009841AC"/>
    <w:rsid w:val="00984228"/>
    <w:rsid w:val="00984307"/>
    <w:rsid w:val="00984313"/>
    <w:rsid w:val="00984327"/>
    <w:rsid w:val="00984456"/>
    <w:rsid w:val="0098445A"/>
    <w:rsid w:val="009844C0"/>
    <w:rsid w:val="009845F2"/>
    <w:rsid w:val="00984691"/>
    <w:rsid w:val="009846C6"/>
    <w:rsid w:val="0098479B"/>
    <w:rsid w:val="009847AE"/>
    <w:rsid w:val="009847E2"/>
    <w:rsid w:val="009847F4"/>
    <w:rsid w:val="009848CA"/>
    <w:rsid w:val="00984C72"/>
    <w:rsid w:val="00984D41"/>
    <w:rsid w:val="00984D42"/>
    <w:rsid w:val="00984DDC"/>
    <w:rsid w:val="00984E0F"/>
    <w:rsid w:val="00984EE0"/>
    <w:rsid w:val="00984F82"/>
    <w:rsid w:val="00984F8C"/>
    <w:rsid w:val="00985057"/>
    <w:rsid w:val="009851E1"/>
    <w:rsid w:val="0098550C"/>
    <w:rsid w:val="0098559E"/>
    <w:rsid w:val="00985607"/>
    <w:rsid w:val="00985878"/>
    <w:rsid w:val="009859EC"/>
    <w:rsid w:val="00985C9A"/>
    <w:rsid w:val="00985CD8"/>
    <w:rsid w:val="00985CE6"/>
    <w:rsid w:val="00985DCF"/>
    <w:rsid w:val="00985EFF"/>
    <w:rsid w:val="00985FB0"/>
    <w:rsid w:val="00986022"/>
    <w:rsid w:val="00986057"/>
    <w:rsid w:val="00986067"/>
    <w:rsid w:val="0098606F"/>
    <w:rsid w:val="009860D9"/>
    <w:rsid w:val="00986105"/>
    <w:rsid w:val="009862E0"/>
    <w:rsid w:val="00986384"/>
    <w:rsid w:val="00986472"/>
    <w:rsid w:val="009866F1"/>
    <w:rsid w:val="00986765"/>
    <w:rsid w:val="00986B1E"/>
    <w:rsid w:val="00986B73"/>
    <w:rsid w:val="00986C97"/>
    <w:rsid w:val="00986D30"/>
    <w:rsid w:val="00986D99"/>
    <w:rsid w:val="00986DFC"/>
    <w:rsid w:val="00986E49"/>
    <w:rsid w:val="00986E66"/>
    <w:rsid w:val="00986E93"/>
    <w:rsid w:val="00987070"/>
    <w:rsid w:val="009870DE"/>
    <w:rsid w:val="009871BE"/>
    <w:rsid w:val="00987413"/>
    <w:rsid w:val="00987493"/>
    <w:rsid w:val="009874C3"/>
    <w:rsid w:val="0098760D"/>
    <w:rsid w:val="0098769F"/>
    <w:rsid w:val="009876F2"/>
    <w:rsid w:val="00987717"/>
    <w:rsid w:val="00987798"/>
    <w:rsid w:val="009877A9"/>
    <w:rsid w:val="009877E7"/>
    <w:rsid w:val="009877FE"/>
    <w:rsid w:val="009878A3"/>
    <w:rsid w:val="009878C2"/>
    <w:rsid w:val="009879BF"/>
    <w:rsid w:val="00987A04"/>
    <w:rsid w:val="00987A8D"/>
    <w:rsid w:val="00987B4A"/>
    <w:rsid w:val="00987BD0"/>
    <w:rsid w:val="00987C59"/>
    <w:rsid w:val="00987C7B"/>
    <w:rsid w:val="00987D89"/>
    <w:rsid w:val="00987E3E"/>
    <w:rsid w:val="00987E8A"/>
    <w:rsid w:val="00987EB9"/>
    <w:rsid w:val="00990001"/>
    <w:rsid w:val="00990025"/>
    <w:rsid w:val="009901AA"/>
    <w:rsid w:val="009902E4"/>
    <w:rsid w:val="0099033D"/>
    <w:rsid w:val="009903B3"/>
    <w:rsid w:val="009907ED"/>
    <w:rsid w:val="00990848"/>
    <w:rsid w:val="009909ED"/>
    <w:rsid w:val="00990B2D"/>
    <w:rsid w:val="00990B9F"/>
    <w:rsid w:val="00990D56"/>
    <w:rsid w:val="00990E29"/>
    <w:rsid w:val="00990E6D"/>
    <w:rsid w:val="00990E7A"/>
    <w:rsid w:val="00991246"/>
    <w:rsid w:val="009912DA"/>
    <w:rsid w:val="009913DF"/>
    <w:rsid w:val="00991517"/>
    <w:rsid w:val="00991574"/>
    <w:rsid w:val="009916AD"/>
    <w:rsid w:val="00991799"/>
    <w:rsid w:val="0099182A"/>
    <w:rsid w:val="00991868"/>
    <w:rsid w:val="0099188D"/>
    <w:rsid w:val="009918BD"/>
    <w:rsid w:val="00991940"/>
    <w:rsid w:val="00991AC2"/>
    <w:rsid w:val="00991B3A"/>
    <w:rsid w:val="00991BDB"/>
    <w:rsid w:val="00991CF4"/>
    <w:rsid w:val="00991D18"/>
    <w:rsid w:val="00991DB5"/>
    <w:rsid w:val="00991DE8"/>
    <w:rsid w:val="0099210B"/>
    <w:rsid w:val="0099212E"/>
    <w:rsid w:val="009921AA"/>
    <w:rsid w:val="009921C1"/>
    <w:rsid w:val="009923FF"/>
    <w:rsid w:val="0099240F"/>
    <w:rsid w:val="00992452"/>
    <w:rsid w:val="00992515"/>
    <w:rsid w:val="0099259E"/>
    <w:rsid w:val="00992737"/>
    <w:rsid w:val="00992779"/>
    <w:rsid w:val="009927AC"/>
    <w:rsid w:val="00992850"/>
    <w:rsid w:val="0099292F"/>
    <w:rsid w:val="00992A23"/>
    <w:rsid w:val="00992ABE"/>
    <w:rsid w:val="00992B90"/>
    <w:rsid w:val="00992BDB"/>
    <w:rsid w:val="00992CA9"/>
    <w:rsid w:val="00992F01"/>
    <w:rsid w:val="0099325C"/>
    <w:rsid w:val="00993325"/>
    <w:rsid w:val="00993326"/>
    <w:rsid w:val="00993406"/>
    <w:rsid w:val="0099349D"/>
    <w:rsid w:val="0099353A"/>
    <w:rsid w:val="00993760"/>
    <w:rsid w:val="00993975"/>
    <w:rsid w:val="009939B0"/>
    <w:rsid w:val="009939D6"/>
    <w:rsid w:val="00993A97"/>
    <w:rsid w:val="00993AA6"/>
    <w:rsid w:val="00993B6E"/>
    <w:rsid w:val="00993C31"/>
    <w:rsid w:val="00993D88"/>
    <w:rsid w:val="00993DCD"/>
    <w:rsid w:val="00993E06"/>
    <w:rsid w:val="00993F44"/>
    <w:rsid w:val="00993FC2"/>
    <w:rsid w:val="00994095"/>
    <w:rsid w:val="0099415C"/>
    <w:rsid w:val="009941D0"/>
    <w:rsid w:val="00994265"/>
    <w:rsid w:val="00994349"/>
    <w:rsid w:val="0099441C"/>
    <w:rsid w:val="00994476"/>
    <w:rsid w:val="00994483"/>
    <w:rsid w:val="00994485"/>
    <w:rsid w:val="009944F3"/>
    <w:rsid w:val="0099451A"/>
    <w:rsid w:val="0099455B"/>
    <w:rsid w:val="009945C5"/>
    <w:rsid w:val="00994632"/>
    <w:rsid w:val="009946CD"/>
    <w:rsid w:val="00994803"/>
    <w:rsid w:val="00994827"/>
    <w:rsid w:val="009948C9"/>
    <w:rsid w:val="00994B80"/>
    <w:rsid w:val="00994CD6"/>
    <w:rsid w:val="00994CF8"/>
    <w:rsid w:val="00994CFC"/>
    <w:rsid w:val="00994EA4"/>
    <w:rsid w:val="009950EB"/>
    <w:rsid w:val="009951E5"/>
    <w:rsid w:val="00995204"/>
    <w:rsid w:val="00995272"/>
    <w:rsid w:val="00995285"/>
    <w:rsid w:val="009953B6"/>
    <w:rsid w:val="009954D9"/>
    <w:rsid w:val="00995633"/>
    <w:rsid w:val="00995853"/>
    <w:rsid w:val="009958A1"/>
    <w:rsid w:val="0099593B"/>
    <w:rsid w:val="00995986"/>
    <w:rsid w:val="009959CE"/>
    <w:rsid w:val="009959E2"/>
    <w:rsid w:val="00995AAE"/>
    <w:rsid w:val="00995ADB"/>
    <w:rsid w:val="00995B43"/>
    <w:rsid w:val="00995C19"/>
    <w:rsid w:val="00995E49"/>
    <w:rsid w:val="00995E7D"/>
    <w:rsid w:val="00995F56"/>
    <w:rsid w:val="00996004"/>
    <w:rsid w:val="0099600E"/>
    <w:rsid w:val="00996194"/>
    <w:rsid w:val="009961C2"/>
    <w:rsid w:val="0099632C"/>
    <w:rsid w:val="00996487"/>
    <w:rsid w:val="009964D7"/>
    <w:rsid w:val="009964EE"/>
    <w:rsid w:val="00996740"/>
    <w:rsid w:val="00996953"/>
    <w:rsid w:val="00996A01"/>
    <w:rsid w:val="00996B1A"/>
    <w:rsid w:val="00996D88"/>
    <w:rsid w:val="00996DC2"/>
    <w:rsid w:val="00996ECE"/>
    <w:rsid w:val="00996FD2"/>
    <w:rsid w:val="00997000"/>
    <w:rsid w:val="009972C6"/>
    <w:rsid w:val="00997353"/>
    <w:rsid w:val="00997355"/>
    <w:rsid w:val="00997361"/>
    <w:rsid w:val="009974C4"/>
    <w:rsid w:val="009975A2"/>
    <w:rsid w:val="009975B0"/>
    <w:rsid w:val="009975D9"/>
    <w:rsid w:val="00997777"/>
    <w:rsid w:val="009979BD"/>
    <w:rsid w:val="00997B23"/>
    <w:rsid w:val="00997BD7"/>
    <w:rsid w:val="00997C86"/>
    <w:rsid w:val="00997EB4"/>
    <w:rsid w:val="009A0000"/>
    <w:rsid w:val="009A0289"/>
    <w:rsid w:val="009A034D"/>
    <w:rsid w:val="009A03CE"/>
    <w:rsid w:val="009A0484"/>
    <w:rsid w:val="009A05A7"/>
    <w:rsid w:val="009A05CE"/>
    <w:rsid w:val="009A0689"/>
    <w:rsid w:val="009A071F"/>
    <w:rsid w:val="009A07A2"/>
    <w:rsid w:val="009A0899"/>
    <w:rsid w:val="009A0A82"/>
    <w:rsid w:val="009A0D01"/>
    <w:rsid w:val="009A0D2B"/>
    <w:rsid w:val="009A0DB7"/>
    <w:rsid w:val="009A0E0E"/>
    <w:rsid w:val="009A0EED"/>
    <w:rsid w:val="009A0FF4"/>
    <w:rsid w:val="009A1026"/>
    <w:rsid w:val="009A1092"/>
    <w:rsid w:val="009A10D8"/>
    <w:rsid w:val="009A1313"/>
    <w:rsid w:val="009A1779"/>
    <w:rsid w:val="009A1786"/>
    <w:rsid w:val="009A18B1"/>
    <w:rsid w:val="009A1926"/>
    <w:rsid w:val="009A1958"/>
    <w:rsid w:val="009A19F8"/>
    <w:rsid w:val="009A1AF3"/>
    <w:rsid w:val="009A1B1A"/>
    <w:rsid w:val="009A1BB9"/>
    <w:rsid w:val="009A1C86"/>
    <w:rsid w:val="009A2121"/>
    <w:rsid w:val="009A23C7"/>
    <w:rsid w:val="009A23CC"/>
    <w:rsid w:val="009A24B3"/>
    <w:rsid w:val="009A24DB"/>
    <w:rsid w:val="009A25EF"/>
    <w:rsid w:val="009A2700"/>
    <w:rsid w:val="009A2890"/>
    <w:rsid w:val="009A28FC"/>
    <w:rsid w:val="009A2A7A"/>
    <w:rsid w:val="009A2AD6"/>
    <w:rsid w:val="009A2B52"/>
    <w:rsid w:val="009A2BB8"/>
    <w:rsid w:val="009A2C24"/>
    <w:rsid w:val="009A2E1D"/>
    <w:rsid w:val="009A2EBA"/>
    <w:rsid w:val="009A2FD2"/>
    <w:rsid w:val="009A2FE3"/>
    <w:rsid w:val="009A2FEE"/>
    <w:rsid w:val="009A3044"/>
    <w:rsid w:val="009A30AC"/>
    <w:rsid w:val="009A3108"/>
    <w:rsid w:val="009A33E0"/>
    <w:rsid w:val="009A3594"/>
    <w:rsid w:val="009A35FC"/>
    <w:rsid w:val="009A3A26"/>
    <w:rsid w:val="009A3A41"/>
    <w:rsid w:val="009A3A74"/>
    <w:rsid w:val="009A3AB9"/>
    <w:rsid w:val="009A3B15"/>
    <w:rsid w:val="009A3B1B"/>
    <w:rsid w:val="009A3B99"/>
    <w:rsid w:val="009A3BD9"/>
    <w:rsid w:val="009A3E42"/>
    <w:rsid w:val="009A4156"/>
    <w:rsid w:val="009A4160"/>
    <w:rsid w:val="009A419C"/>
    <w:rsid w:val="009A42F8"/>
    <w:rsid w:val="009A4373"/>
    <w:rsid w:val="009A43C5"/>
    <w:rsid w:val="009A45A3"/>
    <w:rsid w:val="009A47C7"/>
    <w:rsid w:val="009A487C"/>
    <w:rsid w:val="009A4A11"/>
    <w:rsid w:val="009A4A30"/>
    <w:rsid w:val="009A4A5B"/>
    <w:rsid w:val="009A4BDC"/>
    <w:rsid w:val="009A4C65"/>
    <w:rsid w:val="009A4CBF"/>
    <w:rsid w:val="009A4D2E"/>
    <w:rsid w:val="009A4D6E"/>
    <w:rsid w:val="009A4DB4"/>
    <w:rsid w:val="009A4DD7"/>
    <w:rsid w:val="009A4E4B"/>
    <w:rsid w:val="009A4EEA"/>
    <w:rsid w:val="009A4F8B"/>
    <w:rsid w:val="009A4FAA"/>
    <w:rsid w:val="009A5030"/>
    <w:rsid w:val="009A51FA"/>
    <w:rsid w:val="009A538A"/>
    <w:rsid w:val="009A540D"/>
    <w:rsid w:val="009A5651"/>
    <w:rsid w:val="009A5700"/>
    <w:rsid w:val="009A5764"/>
    <w:rsid w:val="009A57F2"/>
    <w:rsid w:val="009A5899"/>
    <w:rsid w:val="009A58DE"/>
    <w:rsid w:val="009A5A71"/>
    <w:rsid w:val="009A5A7B"/>
    <w:rsid w:val="009A5A81"/>
    <w:rsid w:val="009A5ADE"/>
    <w:rsid w:val="009A5D46"/>
    <w:rsid w:val="009A5EF4"/>
    <w:rsid w:val="009A6028"/>
    <w:rsid w:val="009A61C2"/>
    <w:rsid w:val="009A6289"/>
    <w:rsid w:val="009A6337"/>
    <w:rsid w:val="009A6452"/>
    <w:rsid w:val="009A64F3"/>
    <w:rsid w:val="009A67CA"/>
    <w:rsid w:val="009A699D"/>
    <w:rsid w:val="009A6C22"/>
    <w:rsid w:val="009A6CD5"/>
    <w:rsid w:val="009A6D38"/>
    <w:rsid w:val="009A6D96"/>
    <w:rsid w:val="009A721F"/>
    <w:rsid w:val="009A726D"/>
    <w:rsid w:val="009A7356"/>
    <w:rsid w:val="009A735C"/>
    <w:rsid w:val="009A7387"/>
    <w:rsid w:val="009A73AA"/>
    <w:rsid w:val="009A7434"/>
    <w:rsid w:val="009A7644"/>
    <w:rsid w:val="009A768E"/>
    <w:rsid w:val="009A77B4"/>
    <w:rsid w:val="009A77BF"/>
    <w:rsid w:val="009A7822"/>
    <w:rsid w:val="009A788B"/>
    <w:rsid w:val="009A79E3"/>
    <w:rsid w:val="009A7A2B"/>
    <w:rsid w:val="009A7A40"/>
    <w:rsid w:val="009A7DD6"/>
    <w:rsid w:val="009A7E24"/>
    <w:rsid w:val="009A7E80"/>
    <w:rsid w:val="009A7F25"/>
    <w:rsid w:val="009A7F2B"/>
    <w:rsid w:val="009A7FAF"/>
    <w:rsid w:val="009B00D3"/>
    <w:rsid w:val="009B0151"/>
    <w:rsid w:val="009B0154"/>
    <w:rsid w:val="009B0259"/>
    <w:rsid w:val="009B02EB"/>
    <w:rsid w:val="009B0342"/>
    <w:rsid w:val="009B0392"/>
    <w:rsid w:val="009B03EC"/>
    <w:rsid w:val="009B0579"/>
    <w:rsid w:val="009B0790"/>
    <w:rsid w:val="009B094B"/>
    <w:rsid w:val="009B09D8"/>
    <w:rsid w:val="009B0AE0"/>
    <w:rsid w:val="009B0BFD"/>
    <w:rsid w:val="009B0D34"/>
    <w:rsid w:val="009B0D63"/>
    <w:rsid w:val="009B0DE6"/>
    <w:rsid w:val="009B0E2D"/>
    <w:rsid w:val="009B0E5B"/>
    <w:rsid w:val="009B0EBC"/>
    <w:rsid w:val="009B0ECF"/>
    <w:rsid w:val="009B0F5F"/>
    <w:rsid w:val="009B0F7A"/>
    <w:rsid w:val="009B1062"/>
    <w:rsid w:val="009B11A6"/>
    <w:rsid w:val="009B1351"/>
    <w:rsid w:val="009B1378"/>
    <w:rsid w:val="009B1449"/>
    <w:rsid w:val="009B146A"/>
    <w:rsid w:val="009B1560"/>
    <w:rsid w:val="009B177B"/>
    <w:rsid w:val="009B19F5"/>
    <w:rsid w:val="009B1AF8"/>
    <w:rsid w:val="009B1AFA"/>
    <w:rsid w:val="009B1C26"/>
    <w:rsid w:val="009B1C93"/>
    <w:rsid w:val="009B1CED"/>
    <w:rsid w:val="009B20D3"/>
    <w:rsid w:val="009B2125"/>
    <w:rsid w:val="009B221A"/>
    <w:rsid w:val="009B226C"/>
    <w:rsid w:val="009B22CC"/>
    <w:rsid w:val="009B2473"/>
    <w:rsid w:val="009B2480"/>
    <w:rsid w:val="009B24A8"/>
    <w:rsid w:val="009B252A"/>
    <w:rsid w:val="009B284D"/>
    <w:rsid w:val="009B29D6"/>
    <w:rsid w:val="009B2A8E"/>
    <w:rsid w:val="009B2C78"/>
    <w:rsid w:val="009B2D85"/>
    <w:rsid w:val="009B2E8D"/>
    <w:rsid w:val="009B30C7"/>
    <w:rsid w:val="009B31D8"/>
    <w:rsid w:val="009B361A"/>
    <w:rsid w:val="009B36E0"/>
    <w:rsid w:val="009B38DA"/>
    <w:rsid w:val="009B38DC"/>
    <w:rsid w:val="009B3A5D"/>
    <w:rsid w:val="009B3A91"/>
    <w:rsid w:val="009B3A9D"/>
    <w:rsid w:val="009B3B5D"/>
    <w:rsid w:val="009B3BDE"/>
    <w:rsid w:val="009B3CC4"/>
    <w:rsid w:val="009B3EA0"/>
    <w:rsid w:val="009B3ED1"/>
    <w:rsid w:val="009B3F4F"/>
    <w:rsid w:val="009B3FAC"/>
    <w:rsid w:val="009B4059"/>
    <w:rsid w:val="009B405A"/>
    <w:rsid w:val="009B40A3"/>
    <w:rsid w:val="009B41E6"/>
    <w:rsid w:val="009B41ED"/>
    <w:rsid w:val="009B4222"/>
    <w:rsid w:val="009B42DE"/>
    <w:rsid w:val="009B43C4"/>
    <w:rsid w:val="009B44F3"/>
    <w:rsid w:val="009B44F8"/>
    <w:rsid w:val="009B4523"/>
    <w:rsid w:val="009B455F"/>
    <w:rsid w:val="009B4585"/>
    <w:rsid w:val="009B458D"/>
    <w:rsid w:val="009B472B"/>
    <w:rsid w:val="009B488F"/>
    <w:rsid w:val="009B48BA"/>
    <w:rsid w:val="009B48F3"/>
    <w:rsid w:val="009B491E"/>
    <w:rsid w:val="009B4966"/>
    <w:rsid w:val="009B498E"/>
    <w:rsid w:val="009B4AD7"/>
    <w:rsid w:val="009B4E60"/>
    <w:rsid w:val="009B5078"/>
    <w:rsid w:val="009B508B"/>
    <w:rsid w:val="009B50CC"/>
    <w:rsid w:val="009B50FC"/>
    <w:rsid w:val="009B53BE"/>
    <w:rsid w:val="009B5476"/>
    <w:rsid w:val="009B5542"/>
    <w:rsid w:val="009B5759"/>
    <w:rsid w:val="009B58F3"/>
    <w:rsid w:val="009B5A71"/>
    <w:rsid w:val="009B5BBB"/>
    <w:rsid w:val="009B5E2A"/>
    <w:rsid w:val="009B5EF3"/>
    <w:rsid w:val="009B5F3B"/>
    <w:rsid w:val="009B5FCA"/>
    <w:rsid w:val="009B6137"/>
    <w:rsid w:val="009B617C"/>
    <w:rsid w:val="009B61A3"/>
    <w:rsid w:val="009B621A"/>
    <w:rsid w:val="009B621C"/>
    <w:rsid w:val="009B621F"/>
    <w:rsid w:val="009B63D3"/>
    <w:rsid w:val="009B63EB"/>
    <w:rsid w:val="009B6474"/>
    <w:rsid w:val="009B64FA"/>
    <w:rsid w:val="009B67D6"/>
    <w:rsid w:val="009B6803"/>
    <w:rsid w:val="009B6811"/>
    <w:rsid w:val="009B6BCE"/>
    <w:rsid w:val="009B6EC9"/>
    <w:rsid w:val="009B6F30"/>
    <w:rsid w:val="009B6F82"/>
    <w:rsid w:val="009B6FB0"/>
    <w:rsid w:val="009B70DE"/>
    <w:rsid w:val="009B7154"/>
    <w:rsid w:val="009B71C2"/>
    <w:rsid w:val="009B71F2"/>
    <w:rsid w:val="009B72FA"/>
    <w:rsid w:val="009B7396"/>
    <w:rsid w:val="009B7586"/>
    <w:rsid w:val="009B7631"/>
    <w:rsid w:val="009B76D0"/>
    <w:rsid w:val="009B76E1"/>
    <w:rsid w:val="009B7762"/>
    <w:rsid w:val="009B7972"/>
    <w:rsid w:val="009B7B3D"/>
    <w:rsid w:val="009B7D9B"/>
    <w:rsid w:val="009B7EF1"/>
    <w:rsid w:val="009B7FEE"/>
    <w:rsid w:val="009C0115"/>
    <w:rsid w:val="009C02ED"/>
    <w:rsid w:val="009C0337"/>
    <w:rsid w:val="009C03DD"/>
    <w:rsid w:val="009C0413"/>
    <w:rsid w:val="009C049D"/>
    <w:rsid w:val="009C052B"/>
    <w:rsid w:val="009C058C"/>
    <w:rsid w:val="009C05B9"/>
    <w:rsid w:val="009C08B6"/>
    <w:rsid w:val="009C0B4A"/>
    <w:rsid w:val="009C0BB3"/>
    <w:rsid w:val="009C0CB4"/>
    <w:rsid w:val="009C0E5F"/>
    <w:rsid w:val="009C0F3F"/>
    <w:rsid w:val="009C0FFC"/>
    <w:rsid w:val="009C1067"/>
    <w:rsid w:val="009C1080"/>
    <w:rsid w:val="009C11DA"/>
    <w:rsid w:val="009C11F8"/>
    <w:rsid w:val="009C1335"/>
    <w:rsid w:val="009C13BF"/>
    <w:rsid w:val="009C1403"/>
    <w:rsid w:val="009C1491"/>
    <w:rsid w:val="009C1633"/>
    <w:rsid w:val="009C17BE"/>
    <w:rsid w:val="009C1904"/>
    <w:rsid w:val="009C19FB"/>
    <w:rsid w:val="009C1A77"/>
    <w:rsid w:val="009C1B9A"/>
    <w:rsid w:val="009C1C38"/>
    <w:rsid w:val="009C1C44"/>
    <w:rsid w:val="009C1C9C"/>
    <w:rsid w:val="009C1D86"/>
    <w:rsid w:val="009C1DCD"/>
    <w:rsid w:val="009C1DF9"/>
    <w:rsid w:val="009C1E03"/>
    <w:rsid w:val="009C1E75"/>
    <w:rsid w:val="009C1F39"/>
    <w:rsid w:val="009C1F48"/>
    <w:rsid w:val="009C2004"/>
    <w:rsid w:val="009C20C5"/>
    <w:rsid w:val="009C211B"/>
    <w:rsid w:val="009C21EC"/>
    <w:rsid w:val="009C21F9"/>
    <w:rsid w:val="009C2604"/>
    <w:rsid w:val="009C2862"/>
    <w:rsid w:val="009C2ACF"/>
    <w:rsid w:val="009C2B18"/>
    <w:rsid w:val="009C2C74"/>
    <w:rsid w:val="009C2CD4"/>
    <w:rsid w:val="009C2CF3"/>
    <w:rsid w:val="009C2DF4"/>
    <w:rsid w:val="009C2E06"/>
    <w:rsid w:val="009C2EF8"/>
    <w:rsid w:val="009C317C"/>
    <w:rsid w:val="009C3280"/>
    <w:rsid w:val="009C3315"/>
    <w:rsid w:val="009C341D"/>
    <w:rsid w:val="009C344A"/>
    <w:rsid w:val="009C3475"/>
    <w:rsid w:val="009C35AF"/>
    <w:rsid w:val="009C38B0"/>
    <w:rsid w:val="009C39E0"/>
    <w:rsid w:val="009C3A65"/>
    <w:rsid w:val="009C3A85"/>
    <w:rsid w:val="009C3DDF"/>
    <w:rsid w:val="009C3EA3"/>
    <w:rsid w:val="009C3F05"/>
    <w:rsid w:val="009C406F"/>
    <w:rsid w:val="009C4091"/>
    <w:rsid w:val="009C41F1"/>
    <w:rsid w:val="009C421A"/>
    <w:rsid w:val="009C4282"/>
    <w:rsid w:val="009C4298"/>
    <w:rsid w:val="009C42E2"/>
    <w:rsid w:val="009C44CC"/>
    <w:rsid w:val="009C492B"/>
    <w:rsid w:val="009C4976"/>
    <w:rsid w:val="009C49E9"/>
    <w:rsid w:val="009C4BB1"/>
    <w:rsid w:val="009C4C1B"/>
    <w:rsid w:val="009C4C7F"/>
    <w:rsid w:val="009C4D04"/>
    <w:rsid w:val="009C4E23"/>
    <w:rsid w:val="009C4E8A"/>
    <w:rsid w:val="009C4EC1"/>
    <w:rsid w:val="009C4EDB"/>
    <w:rsid w:val="009C4F28"/>
    <w:rsid w:val="009C4FA7"/>
    <w:rsid w:val="009C51F7"/>
    <w:rsid w:val="009C521B"/>
    <w:rsid w:val="009C549C"/>
    <w:rsid w:val="009C5848"/>
    <w:rsid w:val="009C58DB"/>
    <w:rsid w:val="009C58E1"/>
    <w:rsid w:val="009C5A2C"/>
    <w:rsid w:val="009C5ABF"/>
    <w:rsid w:val="009C5C3F"/>
    <w:rsid w:val="009C5C4A"/>
    <w:rsid w:val="009C5CFF"/>
    <w:rsid w:val="009C5E99"/>
    <w:rsid w:val="009C5EDA"/>
    <w:rsid w:val="009C5F38"/>
    <w:rsid w:val="009C6111"/>
    <w:rsid w:val="009C65EC"/>
    <w:rsid w:val="009C6810"/>
    <w:rsid w:val="009C68F3"/>
    <w:rsid w:val="009C6A0F"/>
    <w:rsid w:val="009C6A95"/>
    <w:rsid w:val="009C6C0E"/>
    <w:rsid w:val="009C6C13"/>
    <w:rsid w:val="009C6C6B"/>
    <w:rsid w:val="009C6D30"/>
    <w:rsid w:val="009C6E79"/>
    <w:rsid w:val="009C6F55"/>
    <w:rsid w:val="009C7015"/>
    <w:rsid w:val="009C706B"/>
    <w:rsid w:val="009C709E"/>
    <w:rsid w:val="009C70E3"/>
    <w:rsid w:val="009C7347"/>
    <w:rsid w:val="009C73C4"/>
    <w:rsid w:val="009C760E"/>
    <w:rsid w:val="009C7652"/>
    <w:rsid w:val="009C76E8"/>
    <w:rsid w:val="009C772F"/>
    <w:rsid w:val="009C7781"/>
    <w:rsid w:val="009C77F2"/>
    <w:rsid w:val="009C782E"/>
    <w:rsid w:val="009C7830"/>
    <w:rsid w:val="009C7A3E"/>
    <w:rsid w:val="009C7CAE"/>
    <w:rsid w:val="009C7D75"/>
    <w:rsid w:val="009C7D97"/>
    <w:rsid w:val="009C7DEB"/>
    <w:rsid w:val="009C7E76"/>
    <w:rsid w:val="009C7E82"/>
    <w:rsid w:val="009C7EA6"/>
    <w:rsid w:val="009C7EAC"/>
    <w:rsid w:val="009C7ED5"/>
    <w:rsid w:val="009C7F44"/>
    <w:rsid w:val="009C7FB1"/>
    <w:rsid w:val="009D02B8"/>
    <w:rsid w:val="009D0441"/>
    <w:rsid w:val="009D0564"/>
    <w:rsid w:val="009D06B5"/>
    <w:rsid w:val="009D072C"/>
    <w:rsid w:val="009D0829"/>
    <w:rsid w:val="009D087C"/>
    <w:rsid w:val="009D095F"/>
    <w:rsid w:val="009D098C"/>
    <w:rsid w:val="009D0A68"/>
    <w:rsid w:val="009D0A72"/>
    <w:rsid w:val="009D0ADB"/>
    <w:rsid w:val="009D0D72"/>
    <w:rsid w:val="009D0F23"/>
    <w:rsid w:val="009D0FD2"/>
    <w:rsid w:val="009D10C1"/>
    <w:rsid w:val="009D1117"/>
    <w:rsid w:val="009D11A1"/>
    <w:rsid w:val="009D130A"/>
    <w:rsid w:val="009D1346"/>
    <w:rsid w:val="009D1580"/>
    <w:rsid w:val="009D16CF"/>
    <w:rsid w:val="009D17A0"/>
    <w:rsid w:val="009D1874"/>
    <w:rsid w:val="009D19D2"/>
    <w:rsid w:val="009D1C74"/>
    <w:rsid w:val="009D1E73"/>
    <w:rsid w:val="009D1F0C"/>
    <w:rsid w:val="009D1F95"/>
    <w:rsid w:val="009D203B"/>
    <w:rsid w:val="009D2081"/>
    <w:rsid w:val="009D215D"/>
    <w:rsid w:val="009D2217"/>
    <w:rsid w:val="009D23B6"/>
    <w:rsid w:val="009D23C5"/>
    <w:rsid w:val="009D2440"/>
    <w:rsid w:val="009D2614"/>
    <w:rsid w:val="009D2753"/>
    <w:rsid w:val="009D27A2"/>
    <w:rsid w:val="009D29D7"/>
    <w:rsid w:val="009D2A6B"/>
    <w:rsid w:val="009D2A94"/>
    <w:rsid w:val="009D2AB7"/>
    <w:rsid w:val="009D2AC4"/>
    <w:rsid w:val="009D2B54"/>
    <w:rsid w:val="009D2BF2"/>
    <w:rsid w:val="009D2CEA"/>
    <w:rsid w:val="009D2D76"/>
    <w:rsid w:val="009D2D8E"/>
    <w:rsid w:val="009D2DCD"/>
    <w:rsid w:val="009D2E2D"/>
    <w:rsid w:val="009D302C"/>
    <w:rsid w:val="009D3041"/>
    <w:rsid w:val="009D3125"/>
    <w:rsid w:val="009D3145"/>
    <w:rsid w:val="009D3205"/>
    <w:rsid w:val="009D3232"/>
    <w:rsid w:val="009D32E5"/>
    <w:rsid w:val="009D333F"/>
    <w:rsid w:val="009D33A4"/>
    <w:rsid w:val="009D3598"/>
    <w:rsid w:val="009D368D"/>
    <w:rsid w:val="009D36B2"/>
    <w:rsid w:val="009D3795"/>
    <w:rsid w:val="009D3840"/>
    <w:rsid w:val="009D3914"/>
    <w:rsid w:val="009D3ACD"/>
    <w:rsid w:val="009D3CB2"/>
    <w:rsid w:val="009D3D46"/>
    <w:rsid w:val="009D3E1D"/>
    <w:rsid w:val="009D3E9B"/>
    <w:rsid w:val="009D3FF8"/>
    <w:rsid w:val="009D40A9"/>
    <w:rsid w:val="009D40D8"/>
    <w:rsid w:val="009D412B"/>
    <w:rsid w:val="009D413C"/>
    <w:rsid w:val="009D41A4"/>
    <w:rsid w:val="009D42F0"/>
    <w:rsid w:val="009D464F"/>
    <w:rsid w:val="009D49A3"/>
    <w:rsid w:val="009D4A20"/>
    <w:rsid w:val="009D4A51"/>
    <w:rsid w:val="009D4A88"/>
    <w:rsid w:val="009D4B73"/>
    <w:rsid w:val="009D4ECC"/>
    <w:rsid w:val="009D4ED5"/>
    <w:rsid w:val="009D4F7C"/>
    <w:rsid w:val="009D506A"/>
    <w:rsid w:val="009D508C"/>
    <w:rsid w:val="009D5099"/>
    <w:rsid w:val="009D5240"/>
    <w:rsid w:val="009D5483"/>
    <w:rsid w:val="009D5637"/>
    <w:rsid w:val="009D566C"/>
    <w:rsid w:val="009D567A"/>
    <w:rsid w:val="009D5855"/>
    <w:rsid w:val="009D5880"/>
    <w:rsid w:val="009D58D0"/>
    <w:rsid w:val="009D58E2"/>
    <w:rsid w:val="009D5983"/>
    <w:rsid w:val="009D59AF"/>
    <w:rsid w:val="009D5A55"/>
    <w:rsid w:val="009D5AE6"/>
    <w:rsid w:val="009D5B74"/>
    <w:rsid w:val="009D5BE7"/>
    <w:rsid w:val="009D5C23"/>
    <w:rsid w:val="009D5CFC"/>
    <w:rsid w:val="009D5D95"/>
    <w:rsid w:val="009D5E22"/>
    <w:rsid w:val="009D5E38"/>
    <w:rsid w:val="009D5EBB"/>
    <w:rsid w:val="009D5EEF"/>
    <w:rsid w:val="009D5F32"/>
    <w:rsid w:val="009D5FE3"/>
    <w:rsid w:val="009D60CA"/>
    <w:rsid w:val="009D60D8"/>
    <w:rsid w:val="009D60E2"/>
    <w:rsid w:val="009D6393"/>
    <w:rsid w:val="009D63D3"/>
    <w:rsid w:val="009D640C"/>
    <w:rsid w:val="009D6413"/>
    <w:rsid w:val="009D6671"/>
    <w:rsid w:val="009D66FC"/>
    <w:rsid w:val="009D672E"/>
    <w:rsid w:val="009D675A"/>
    <w:rsid w:val="009D67B6"/>
    <w:rsid w:val="009D6839"/>
    <w:rsid w:val="009D690C"/>
    <w:rsid w:val="009D694C"/>
    <w:rsid w:val="009D69C9"/>
    <w:rsid w:val="009D6A36"/>
    <w:rsid w:val="009D6B1B"/>
    <w:rsid w:val="009D6B57"/>
    <w:rsid w:val="009D6C03"/>
    <w:rsid w:val="009D6C57"/>
    <w:rsid w:val="009D6D5E"/>
    <w:rsid w:val="009D6DDA"/>
    <w:rsid w:val="009D6DF4"/>
    <w:rsid w:val="009D6F61"/>
    <w:rsid w:val="009D73CC"/>
    <w:rsid w:val="009D75E7"/>
    <w:rsid w:val="009D767A"/>
    <w:rsid w:val="009D783A"/>
    <w:rsid w:val="009D7880"/>
    <w:rsid w:val="009D78B6"/>
    <w:rsid w:val="009D7ABD"/>
    <w:rsid w:val="009D7AC5"/>
    <w:rsid w:val="009D7C2C"/>
    <w:rsid w:val="009D7D3F"/>
    <w:rsid w:val="009D7D66"/>
    <w:rsid w:val="009D7D99"/>
    <w:rsid w:val="009D7E20"/>
    <w:rsid w:val="009D7ED2"/>
    <w:rsid w:val="009D7F46"/>
    <w:rsid w:val="009D7F85"/>
    <w:rsid w:val="009E0081"/>
    <w:rsid w:val="009E00D1"/>
    <w:rsid w:val="009E0166"/>
    <w:rsid w:val="009E034C"/>
    <w:rsid w:val="009E0527"/>
    <w:rsid w:val="009E06AC"/>
    <w:rsid w:val="009E0836"/>
    <w:rsid w:val="009E085C"/>
    <w:rsid w:val="009E0870"/>
    <w:rsid w:val="009E08A9"/>
    <w:rsid w:val="009E0A99"/>
    <w:rsid w:val="009E0AB8"/>
    <w:rsid w:val="009E0CD6"/>
    <w:rsid w:val="009E0E01"/>
    <w:rsid w:val="009E0E6B"/>
    <w:rsid w:val="009E0EEA"/>
    <w:rsid w:val="009E1145"/>
    <w:rsid w:val="009E114D"/>
    <w:rsid w:val="009E1388"/>
    <w:rsid w:val="009E1694"/>
    <w:rsid w:val="009E1923"/>
    <w:rsid w:val="009E193F"/>
    <w:rsid w:val="009E195B"/>
    <w:rsid w:val="009E19F6"/>
    <w:rsid w:val="009E1AAF"/>
    <w:rsid w:val="009E1D08"/>
    <w:rsid w:val="009E23B0"/>
    <w:rsid w:val="009E23BB"/>
    <w:rsid w:val="009E27D6"/>
    <w:rsid w:val="009E2861"/>
    <w:rsid w:val="009E28BF"/>
    <w:rsid w:val="009E2B66"/>
    <w:rsid w:val="009E2B6A"/>
    <w:rsid w:val="009E2D1F"/>
    <w:rsid w:val="009E2D23"/>
    <w:rsid w:val="009E2D6C"/>
    <w:rsid w:val="009E2E03"/>
    <w:rsid w:val="009E2F2D"/>
    <w:rsid w:val="009E2F95"/>
    <w:rsid w:val="009E2F9F"/>
    <w:rsid w:val="009E328A"/>
    <w:rsid w:val="009E3299"/>
    <w:rsid w:val="009E32D0"/>
    <w:rsid w:val="009E34C5"/>
    <w:rsid w:val="009E3581"/>
    <w:rsid w:val="009E365C"/>
    <w:rsid w:val="009E3708"/>
    <w:rsid w:val="009E37EB"/>
    <w:rsid w:val="009E3813"/>
    <w:rsid w:val="009E3976"/>
    <w:rsid w:val="009E39D6"/>
    <w:rsid w:val="009E3A2F"/>
    <w:rsid w:val="009E3AD0"/>
    <w:rsid w:val="009E3B8D"/>
    <w:rsid w:val="009E3BB4"/>
    <w:rsid w:val="009E3C16"/>
    <w:rsid w:val="009E3C8E"/>
    <w:rsid w:val="009E3CE2"/>
    <w:rsid w:val="009E3D39"/>
    <w:rsid w:val="009E3D95"/>
    <w:rsid w:val="009E3DED"/>
    <w:rsid w:val="009E3E96"/>
    <w:rsid w:val="009E3EB5"/>
    <w:rsid w:val="009E3EF1"/>
    <w:rsid w:val="009E3F67"/>
    <w:rsid w:val="009E3F98"/>
    <w:rsid w:val="009E3FF3"/>
    <w:rsid w:val="009E4061"/>
    <w:rsid w:val="009E423E"/>
    <w:rsid w:val="009E425A"/>
    <w:rsid w:val="009E42FE"/>
    <w:rsid w:val="009E44A3"/>
    <w:rsid w:val="009E45D7"/>
    <w:rsid w:val="009E46A3"/>
    <w:rsid w:val="009E46DE"/>
    <w:rsid w:val="009E4759"/>
    <w:rsid w:val="009E4880"/>
    <w:rsid w:val="009E49B6"/>
    <w:rsid w:val="009E4BC7"/>
    <w:rsid w:val="009E4CD5"/>
    <w:rsid w:val="009E4D74"/>
    <w:rsid w:val="009E4E67"/>
    <w:rsid w:val="009E4EF4"/>
    <w:rsid w:val="009E4EFB"/>
    <w:rsid w:val="009E4EFD"/>
    <w:rsid w:val="009E4F92"/>
    <w:rsid w:val="009E4FDB"/>
    <w:rsid w:val="009E5110"/>
    <w:rsid w:val="009E5249"/>
    <w:rsid w:val="009E5435"/>
    <w:rsid w:val="009E552B"/>
    <w:rsid w:val="009E55F1"/>
    <w:rsid w:val="009E562A"/>
    <w:rsid w:val="009E569E"/>
    <w:rsid w:val="009E5906"/>
    <w:rsid w:val="009E59B4"/>
    <w:rsid w:val="009E5A66"/>
    <w:rsid w:val="009E5A6C"/>
    <w:rsid w:val="009E5A80"/>
    <w:rsid w:val="009E5A90"/>
    <w:rsid w:val="009E5BD0"/>
    <w:rsid w:val="009E5D1F"/>
    <w:rsid w:val="009E5F9C"/>
    <w:rsid w:val="009E6075"/>
    <w:rsid w:val="009E60A3"/>
    <w:rsid w:val="009E60E6"/>
    <w:rsid w:val="009E61F5"/>
    <w:rsid w:val="009E632A"/>
    <w:rsid w:val="009E6371"/>
    <w:rsid w:val="009E63BA"/>
    <w:rsid w:val="009E63DB"/>
    <w:rsid w:val="009E63F6"/>
    <w:rsid w:val="009E64E7"/>
    <w:rsid w:val="009E65AD"/>
    <w:rsid w:val="009E65AF"/>
    <w:rsid w:val="009E666F"/>
    <w:rsid w:val="009E6713"/>
    <w:rsid w:val="009E68BF"/>
    <w:rsid w:val="009E695F"/>
    <w:rsid w:val="009E6A36"/>
    <w:rsid w:val="009E6B7A"/>
    <w:rsid w:val="009E6BA7"/>
    <w:rsid w:val="009E6E80"/>
    <w:rsid w:val="009E6ED1"/>
    <w:rsid w:val="009E6FDF"/>
    <w:rsid w:val="009E7140"/>
    <w:rsid w:val="009E7286"/>
    <w:rsid w:val="009E728C"/>
    <w:rsid w:val="009E72A1"/>
    <w:rsid w:val="009E72D5"/>
    <w:rsid w:val="009E750F"/>
    <w:rsid w:val="009E758F"/>
    <w:rsid w:val="009E7658"/>
    <w:rsid w:val="009E77CF"/>
    <w:rsid w:val="009E7907"/>
    <w:rsid w:val="009E7B6F"/>
    <w:rsid w:val="009E7CEF"/>
    <w:rsid w:val="009E7DC6"/>
    <w:rsid w:val="009E7F04"/>
    <w:rsid w:val="009E7F05"/>
    <w:rsid w:val="009E7F5A"/>
    <w:rsid w:val="009E7FA9"/>
    <w:rsid w:val="009E7FC0"/>
    <w:rsid w:val="009F0086"/>
    <w:rsid w:val="009F0119"/>
    <w:rsid w:val="009F0319"/>
    <w:rsid w:val="009F046E"/>
    <w:rsid w:val="009F04D9"/>
    <w:rsid w:val="009F0522"/>
    <w:rsid w:val="009F0558"/>
    <w:rsid w:val="009F0734"/>
    <w:rsid w:val="009F075E"/>
    <w:rsid w:val="009F0C7D"/>
    <w:rsid w:val="009F0DD4"/>
    <w:rsid w:val="009F0DD7"/>
    <w:rsid w:val="009F0DF6"/>
    <w:rsid w:val="009F0F23"/>
    <w:rsid w:val="009F0FFF"/>
    <w:rsid w:val="009F11B0"/>
    <w:rsid w:val="009F1243"/>
    <w:rsid w:val="009F12B7"/>
    <w:rsid w:val="009F167F"/>
    <w:rsid w:val="009F1773"/>
    <w:rsid w:val="009F17C5"/>
    <w:rsid w:val="009F17CF"/>
    <w:rsid w:val="009F186C"/>
    <w:rsid w:val="009F19BF"/>
    <w:rsid w:val="009F1B92"/>
    <w:rsid w:val="009F1D4B"/>
    <w:rsid w:val="009F1D65"/>
    <w:rsid w:val="009F1E38"/>
    <w:rsid w:val="009F1EB6"/>
    <w:rsid w:val="009F1F5E"/>
    <w:rsid w:val="009F20DB"/>
    <w:rsid w:val="009F2154"/>
    <w:rsid w:val="009F21CE"/>
    <w:rsid w:val="009F223E"/>
    <w:rsid w:val="009F24DD"/>
    <w:rsid w:val="009F25E2"/>
    <w:rsid w:val="009F274A"/>
    <w:rsid w:val="009F27B9"/>
    <w:rsid w:val="009F289E"/>
    <w:rsid w:val="009F292D"/>
    <w:rsid w:val="009F297D"/>
    <w:rsid w:val="009F2AB8"/>
    <w:rsid w:val="009F2AEF"/>
    <w:rsid w:val="009F2AFD"/>
    <w:rsid w:val="009F2D43"/>
    <w:rsid w:val="009F2FFE"/>
    <w:rsid w:val="009F324F"/>
    <w:rsid w:val="009F3271"/>
    <w:rsid w:val="009F33B1"/>
    <w:rsid w:val="009F346C"/>
    <w:rsid w:val="009F3473"/>
    <w:rsid w:val="009F3538"/>
    <w:rsid w:val="009F35BD"/>
    <w:rsid w:val="009F35C4"/>
    <w:rsid w:val="009F36CC"/>
    <w:rsid w:val="009F370C"/>
    <w:rsid w:val="009F3752"/>
    <w:rsid w:val="009F37E0"/>
    <w:rsid w:val="009F38B9"/>
    <w:rsid w:val="009F3957"/>
    <w:rsid w:val="009F3A02"/>
    <w:rsid w:val="009F3C3E"/>
    <w:rsid w:val="009F3C7B"/>
    <w:rsid w:val="009F3C81"/>
    <w:rsid w:val="009F3C83"/>
    <w:rsid w:val="009F3D5B"/>
    <w:rsid w:val="009F3F5A"/>
    <w:rsid w:val="009F3F77"/>
    <w:rsid w:val="009F3FBA"/>
    <w:rsid w:val="009F4066"/>
    <w:rsid w:val="009F4085"/>
    <w:rsid w:val="009F41BB"/>
    <w:rsid w:val="009F43C7"/>
    <w:rsid w:val="009F4561"/>
    <w:rsid w:val="009F4720"/>
    <w:rsid w:val="009F480C"/>
    <w:rsid w:val="009F4921"/>
    <w:rsid w:val="009F494B"/>
    <w:rsid w:val="009F49A7"/>
    <w:rsid w:val="009F4A9F"/>
    <w:rsid w:val="009F4B31"/>
    <w:rsid w:val="009F4B37"/>
    <w:rsid w:val="009F4B83"/>
    <w:rsid w:val="009F4E48"/>
    <w:rsid w:val="009F4EA2"/>
    <w:rsid w:val="009F4EBC"/>
    <w:rsid w:val="009F50C2"/>
    <w:rsid w:val="009F512A"/>
    <w:rsid w:val="009F5208"/>
    <w:rsid w:val="009F52BC"/>
    <w:rsid w:val="009F5537"/>
    <w:rsid w:val="009F5558"/>
    <w:rsid w:val="009F575E"/>
    <w:rsid w:val="009F5816"/>
    <w:rsid w:val="009F587F"/>
    <w:rsid w:val="009F5A62"/>
    <w:rsid w:val="009F5B68"/>
    <w:rsid w:val="009F5C44"/>
    <w:rsid w:val="009F5E47"/>
    <w:rsid w:val="009F5EC7"/>
    <w:rsid w:val="009F5F06"/>
    <w:rsid w:val="009F5FA5"/>
    <w:rsid w:val="009F6068"/>
    <w:rsid w:val="009F60D0"/>
    <w:rsid w:val="009F64B2"/>
    <w:rsid w:val="009F6598"/>
    <w:rsid w:val="009F65CC"/>
    <w:rsid w:val="009F6613"/>
    <w:rsid w:val="009F661C"/>
    <w:rsid w:val="009F6863"/>
    <w:rsid w:val="009F6932"/>
    <w:rsid w:val="009F6C08"/>
    <w:rsid w:val="009F6DC5"/>
    <w:rsid w:val="009F6F20"/>
    <w:rsid w:val="009F703B"/>
    <w:rsid w:val="009F707E"/>
    <w:rsid w:val="009F712C"/>
    <w:rsid w:val="009F7140"/>
    <w:rsid w:val="009F722F"/>
    <w:rsid w:val="009F7272"/>
    <w:rsid w:val="009F736A"/>
    <w:rsid w:val="009F7907"/>
    <w:rsid w:val="009F796E"/>
    <w:rsid w:val="009F7A94"/>
    <w:rsid w:val="009F7AE1"/>
    <w:rsid w:val="009F7AF8"/>
    <w:rsid w:val="009F7B47"/>
    <w:rsid w:val="009F7CDE"/>
    <w:rsid w:val="009F7D08"/>
    <w:rsid w:val="009F7D2D"/>
    <w:rsid w:val="009F7D31"/>
    <w:rsid w:val="009F7DBA"/>
    <w:rsid w:val="009F7EF8"/>
    <w:rsid w:val="009F7F39"/>
    <w:rsid w:val="009F7F4C"/>
    <w:rsid w:val="009F7F5C"/>
    <w:rsid w:val="009F7F83"/>
    <w:rsid w:val="009F7FCF"/>
    <w:rsid w:val="00A0018D"/>
    <w:rsid w:val="00A00307"/>
    <w:rsid w:val="00A00335"/>
    <w:rsid w:val="00A00342"/>
    <w:rsid w:val="00A00364"/>
    <w:rsid w:val="00A003AB"/>
    <w:rsid w:val="00A004F1"/>
    <w:rsid w:val="00A0054B"/>
    <w:rsid w:val="00A006EE"/>
    <w:rsid w:val="00A0085A"/>
    <w:rsid w:val="00A0085B"/>
    <w:rsid w:val="00A00A26"/>
    <w:rsid w:val="00A00AB6"/>
    <w:rsid w:val="00A00B08"/>
    <w:rsid w:val="00A00BF4"/>
    <w:rsid w:val="00A00DC0"/>
    <w:rsid w:val="00A00E36"/>
    <w:rsid w:val="00A011C9"/>
    <w:rsid w:val="00A0137F"/>
    <w:rsid w:val="00A01493"/>
    <w:rsid w:val="00A0167E"/>
    <w:rsid w:val="00A0170E"/>
    <w:rsid w:val="00A01970"/>
    <w:rsid w:val="00A01DB1"/>
    <w:rsid w:val="00A01EEC"/>
    <w:rsid w:val="00A01EFA"/>
    <w:rsid w:val="00A01F83"/>
    <w:rsid w:val="00A0209B"/>
    <w:rsid w:val="00A0215D"/>
    <w:rsid w:val="00A02268"/>
    <w:rsid w:val="00A02499"/>
    <w:rsid w:val="00A024A7"/>
    <w:rsid w:val="00A02526"/>
    <w:rsid w:val="00A02581"/>
    <w:rsid w:val="00A025B0"/>
    <w:rsid w:val="00A02737"/>
    <w:rsid w:val="00A027E5"/>
    <w:rsid w:val="00A028AD"/>
    <w:rsid w:val="00A029A7"/>
    <w:rsid w:val="00A029D7"/>
    <w:rsid w:val="00A02BEC"/>
    <w:rsid w:val="00A02CF8"/>
    <w:rsid w:val="00A02D71"/>
    <w:rsid w:val="00A02F79"/>
    <w:rsid w:val="00A02F7F"/>
    <w:rsid w:val="00A02FFC"/>
    <w:rsid w:val="00A030B7"/>
    <w:rsid w:val="00A031C0"/>
    <w:rsid w:val="00A031F4"/>
    <w:rsid w:val="00A03346"/>
    <w:rsid w:val="00A03363"/>
    <w:rsid w:val="00A03417"/>
    <w:rsid w:val="00A0356D"/>
    <w:rsid w:val="00A0394B"/>
    <w:rsid w:val="00A039B0"/>
    <w:rsid w:val="00A03A79"/>
    <w:rsid w:val="00A03ACD"/>
    <w:rsid w:val="00A03B44"/>
    <w:rsid w:val="00A03C31"/>
    <w:rsid w:val="00A03D0F"/>
    <w:rsid w:val="00A03D2D"/>
    <w:rsid w:val="00A03E10"/>
    <w:rsid w:val="00A03F72"/>
    <w:rsid w:val="00A040CA"/>
    <w:rsid w:val="00A040D6"/>
    <w:rsid w:val="00A0429F"/>
    <w:rsid w:val="00A04324"/>
    <w:rsid w:val="00A04350"/>
    <w:rsid w:val="00A043CB"/>
    <w:rsid w:val="00A04413"/>
    <w:rsid w:val="00A047A4"/>
    <w:rsid w:val="00A047AE"/>
    <w:rsid w:val="00A04B25"/>
    <w:rsid w:val="00A04D03"/>
    <w:rsid w:val="00A04DED"/>
    <w:rsid w:val="00A05252"/>
    <w:rsid w:val="00A053BA"/>
    <w:rsid w:val="00A053D3"/>
    <w:rsid w:val="00A054D4"/>
    <w:rsid w:val="00A05528"/>
    <w:rsid w:val="00A05573"/>
    <w:rsid w:val="00A05583"/>
    <w:rsid w:val="00A056ED"/>
    <w:rsid w:val="00A05716"/>
    <w:rsid w:val="00A057B2"/>
    <w:rsid w:val="00A05815"/>
    <w:rsid w:val="00A05830"/>
    <w:rsid w:val="00A05853"/>
    <w:rsid w:val="00A058EC"/>
    <w:rsid w:val="00A059E1"/>
    <w:rsid w:val="00A05ADB"/>
    <w:rsid w:val="00A05B04"/>
    <w:rsid w:val="00A05B09"/>
    <w:rsid w:val="00A05B27"/>
    <w:rsid w:val="00A05B28"/>
    <w:rsid w:val="00A05B58"/>
    <w:rsid w:val="00A05B91"/>
    <w:rsid w:val="00A05CF5"/>
    <w:rsid w:val="00A05E4F"/>
    <w:rsid w:val="00A05FAA"/>
    <w:rsid w:val="00A06025"/>
    <w:rsid w:val="00A06141"/>
    <w:rsid w:val="00A061FC"/>
    <w:rsid w:val="00A0621B"/>
    <w:rsid w:val="00A06240"/>
    <w:rsid w:val="00A062D8"/>
    <w:rsid w:val="00A063D7"/>
    <w:rsid w:val="00A0646C"/>
    <w:rsid w:val="00A066F8"/>
    <w:rsid w:val="00A06864"/>
    <w:rsid w:val="00A06895"/>
    <w:rsid w:val="00A0692C"/>
    <w:rsid w:val="00A069E6"/>
    <w:rsid w:val="00A06A30"/>
    <w:rsid w:val="00A06B88"/>
    <w:rsid w:val="00A06B90"/>
    <w:rsid w:val="00A06E9B"/>
    <w:rsid w:val="00A06F17"/>
    <w:rsid w:val="00A06FFE"/>
    <w:rsid w:val="00A072DD"/>
    <w:rsid w:val="00A072F7"/>
    <w:rsid w:val="00A07357"/>
    <w:rsid w:val="00A073E5"/>
    <w:rsid w:val="00A0740D"/>
    <w:rsid w:val="00A074FA"/>
    <w:rsid w:val="00A07617"/>
    <w:rsid w:val="00A07662"/>
    <w:rsid w:val="00A07905"/>
    <w:rsid w:val="00A07906"/>
    <w:rsid w:val="00A0793B"/>
    <w:rsid w:val="00A079FE"/>
    <w:rsid w:val="00A07BA1"/>
    <w:rsid w:val="00A07BAA"/>
    <w:rsid w:val="00A07C14"/>
    <w:rsid w:val="00A07C31"/>
    <w:rsid w:val="00A07C82"/>
    <w:rsid w:val="00A07CE2"/>
    <w:rsid w:val="00A07D4E"/>
    <w:rsid w:val="00A07DC8"/>
    <w:rsid w:val="00A07FD1"/>
    <w:rsid w:val="00A10040"/>
    <w:rsid w:val="00A10110"/>
    <w:rsid w:val="00A10376"/>
    <w:rsid w:val="00A10449"/>
    <w:rsid w:val="00A1050C"/>
    <w:rsid w:val="00A1051B"/>
    <w:rsid w:val="00A1053F"/>
    <w:rsid w:val="00A1064F"/>
    <w:rsid w:val="00A1092A"/>
    <w:rsid w:val="00A109F8"/>
    <w:rsid w:val="00A10A36"/>
    <w:rsid w:val="00A10A5D"/>
    <w:rsid w:val="00A10C51"/>
    <w:rsid w:val="00A10D54"/>
    <w:rsid w:val="00A10D84"/>
    <w:rsid w:val="00A10D95"/>
    <w:rsid w:val="00A10EC8"/>
    <w:rsid w:val="00A10EFD"/>
    <w:rsid w:val="00A10F39"/>
    <w:rsid w:val="00A11097"/>
    <w:rsid w:val="00A1116C"/>
    <w:rsid w:val="00A11280"/>
    <w:rsid w:val="00A1128C"/>
    <w:rsid w:val="00A11311"/>
    <w:rsid w:val="00A11431"/>
    <w:rsid w:val="00A1149E"/>
    <w:rsid w:val="00A1166B"/>
    <w:rsid w:val="00A1178E"/>
    <w:rsid w:val="00A117EE"/>
    <w:rsid w:val="00A117F7"/>
    <w:rsid w:val="00A119F5"/>
    <w:rsid w:val="00A11D1D"/>
    <w:rsid w:val="00A11D2C"/>
    <w:rsid w:val="00A11DE8"/>
    <w:rsid w:val="00A11E7B"/>
    <w:rsid w:val="00A11EB6"/>
    <w:rsid w:val="00A11F2F"/>
    <w:rsid w:val="00A11F6D"/>
    <w:rsid w:val="00A11F7F"/>
    <w:rsid w:val="00A1210A"/>
    <w:rsid w:val="00A1218A"/>
    <w:rsid w:val="00A121B3"/>
    <w:rsid w:val="00A121B7"/>
    <w:rsid w:val="00A1240A"/>
    <w:rsid w:val="00A12481"/>
    <w:rsid w:val="00A1255F"/>
    <w:rsid w:val="00A125D5"/>
    <w:rsid w:val="00A12696"/>
    <w:rsid w:val="00A1270D"/>
    <w:rsid w:val="00A12800"/>
    <w:rsid w:val="00A1281D"/>
    <w:rsid w:val="00A12884"/>
    <w:rsid w:val="00A12BCB"/>
    <w:rsid w:val="00A12C07"/>
    <w:rsid w:val="00A12C53"/>
    <w:rsid w:val="00A12C5E"/>
    <w:rsid w:val="00A12CA8"/>
    <w:rsid w:val="00A12CAA"/>
    <w:rsid w:val="00A12CFF"/>
    <w:rsid w:val="00A12D15"/>
    <w:rsid w:val="00A12F96"/>
    <w:rsid w:val="00A1300A"/>
    <w:rsid w:val="00A1316B"/>
    <w:rsid w:val="00A131C7"/>
    <w:rsid w:val="00A133A3"/>
    <w:rsid w:val="00A133A4"/>
    <w:rsid w:val="00A133F1"/>
    <w:rsid w:val="00A1349C"/>
    <w:rsid w:val="00A134EB"/>
    <w:rsid w:val="00A13645"/>
    <w:rsid w:val="00A13703"/>
    <w:rsid w:val="00A13741"/>
    <w:rsid w:val="00A137B0"/>
    <w:rsid w:val="00A1384E"/>
    <w:rsid w:val="00A139AF"/>
    <w:rsid w:val="00A13A59"/>
    <w:rsid w:val="00A13D40"/>
    <w:rsid w:val="00A13E8F"/>
    <w:rsid w:val="00A13EA6"/>
    <w:rsid w:val="00A13F22"/>
    <w:rsid w:val="00A13FBD"/>
    <w:rsid w:val="00A13FC2"/>
    <w:rsid w:val="00A13FE5"/>
    <w:rsid w:val="00A14024"/>
    <w:rsid w:val="00A1404D"/>
    <w:rsid w:val="00A14143"/>
    <w:rsid w:val="00A14168"/>
    <w:rsid w:val="00A14263"/>
    <w:rsid w:val="00A14324"/>
    <w:rsid w:val="00A143F3"/>
    <w:rsid w:val="00A145D5"/>
    <w:rsid w:val="00A1462B"/>
    <w:rsid w:val="00A147E5"/>
    <w:rsid w:val="00A14866"/>
    <w:rsid w:val="00A14992"/>
    <w:rsid w:val="00A14A93"/>
    <w:rsid w:val="00A14AB9"/>
    <w:rsid w:val="00A14B39"/>
    <w:rsid w:val="00A14B44"/>
    <w:rsid w:val="00A14B7E"/>
    <w:rsid w:val="00A14C88"/>
    <w:rsid w:val="00A15022"/>
    <w:rsid w:val="00A1503D"/>
    <w:rsid w:val="00A15057"/>
    <w:rsid w:val="00A15097"/>
    <w:rsid w:val="00A151D4"/>
    <w:rsid w:val="00A1553C"/>
    <w:rsid w:val="00A155A0"/>
    <w:rsid w:val="00A15636"/>
    <w:rsid w:val="00A15804"/>
    <w:rsid w:val="00A15975"/>
    <w:rsid w:val="00A15BBF"/>
    <w:rsid w:val="00A15D59"/>
    <w:rsid w:val="00A15D9F"/>
    <w:rsid w:val="00A15DA7"/>
    <w:rsid w:val="00A15F7C"/>
    <w:rsid w:val="00A16003"/>
    <w:rsid w:val="00A16070"/>
    <w:rsid w:val="00A16074"/>
    <w:rsid w:val="00A1627D"/>
    <w:rsid w:val="00A16316"/>
    <w:rsid w:val="00A1637B"/>
    <w:rsid w:val="00A165BD"/>
    <w:rsid w:val="00A16607"/>
    <w:rsid w:val="00A16635"/>
    <w:rsid w:val="00A168BD"/>
    <w:rsid w:val="00A168EA"/>
    <w:rsid w:val="00A16A40"/>
    <w:rsid w:val="00A16A8A"/>
    <w:rsid w:val="00A16BB1"/>
    <w:rsid w:val="00A16C38"/>
    <w:rsid w:val="00A16CA1"/>
    <w:rsid w:val="00A16CFE"/>
    <w:rsid w:val="00A16D17"/>
    <w:rsid w:val="00A16D30"/>
    <w:rsid w:val="00A16D7A"/>
    <w:rsid w:val="00A16DA4"/>
    <w:rsid w:val="00A16E0B"/>
    <w:rsid w:val="00A16E1D"/>
    <w:rsid w:val="00A16EA8"/>
    <w:rsid w:val="00A16F2F"/>
    <w:rsid w:val="00A16F99"/>
    <w:rsid w:val="00A16FC2"/>
    <w:rsid w:val="00A17026"/>
    <w:rsid w:val="00A170DD"/>
    <w:rsid w:val="00A17239"/>
    <w:rsid w:val="00A17281"/>
    <w:rsid w:val="00A172F0"/>
    <w:rsid w:val="00A17324"/>
    <w:rsid w:val="00A17414"/>
    <w:rsid w:val="00A17573"/>
    <w:rsid w:val="00A176D9"/>
    <w:rsid w:val="00A17708"/>
    <w:rsid w:val="00A1783C"/>
    <w:rsid w:val="00A178C1"/>
    <w:rsid w:val="00A17997"/>
    <w:rsid w:val="00A17AF4"/>
    <w:rsid w:val="00A17C03"/>
    <w:rsid w:val="00A17C63"/>
    <w:rsid w:val="00A17D8B"/>
    <w:rsid w:val="00A17DC9"/>
    <w:rsid w:val="00A17E0D"/>
    <w:rsid w:val="00A17E4A"/>
    <w:rsid w:val="00A17F1C"/>
    <w:rsid w:val="00A20004"/>
    <w:rsid w:val="00A200DB"/>
    <w:rsid w:val="00A2010F"/>
    <w:rsid w:val="00A2049A"/>
    <w:rsid w:val="00A204FA"/>
    <w:rsid w:val="00A2050D"/>
    <w:rsid w:val="00A205E8"/>
    <w:rsid w:val="00A20661"/>
    <w:rsid w:val="00A2098A"/>
    <w:rsid w:val="00A20A51"/>
    <w:rsid w:val="00A20A57"/>
    <w:rsid w:val="00A20AC0"/>
    <w:rsid w:val="00A20D2D"/>
    <w:rsid w:val="00A20D30"/>
    <w:rsid w:val="00A20D5E"/>
    <w:rsid w:val="00A20FFA"/>
    <w:rsid w:val="00A212CC"/>
    <w:rsid w:val="00A214F9"/>
    <w:rsid w:val="00A214FD"/>
    <w:rsid w:val="00A216B1"/>
    <w:rsid w:val="00A216BA"/>
    <w:rsid w:val="00A216BE"/>
    <w:rsid w:val="00A21771"/>
    <w:rsid w:val="00A21905"/>
    <w:rsid w:val="00A21A34"/>
    <w:rsid w:val="00A21ABB"/>
    <w:rsid w:val="00A21B58"/>
    <w:rsid w:val="00A21E39"/>
    <w:rsid w:val="00A22024"/>
    <w:rsid w:val="00A22047"/>
    <w:rsid w:val="00A22111"/>
    <w:rsid w:val="00A22204"/>
    <w:rsid w:val="00A223E4"/>
    <w:rsid w:val="00A22910"/>
    <w:rsid w:val="00A229AE"/>
    <w:rsid w:val="00A229F6"/>
    <w:rsid w:val="00A22C61"/>
    <w:rsid w:val="00A22E13"/>
    <w:rsid w:val="00A22EB0"/>
    <w:rsid w:val="00A2311A"/>
    <w:rsid w:val="00A231CC"/>
    <w:rsid w:val="00A231E8"/>
    <w:rsid w:val="00A231FC"/>
    <w:rsid w:val="00A2321B"/>
    <w:rsid w:val="00A232AD"/>
    <w:rsid w:val="00A2333F"/>
    <w:rsid w:val="00A23409"/>
    <w:rsid w:val="00A2349B"/>
    <w:rsid w:val="00A235F3"/>
    <w:rsid w:val="00A238BC"/>
    <w:rsid w:val="00A2399F"/>
    <w:rsid w:val="00A239E9"/>
    <w:rsid w:val="00A23A55"/>
    <w:rsid w:val="00A23B61"/>
    <w:rsid w:val="00A23BCC"/>
    <w:rsid w:val="00A23BE9"/>
    <w:rsid w:val="00A23CF1"/>
    <w:rsid w:val="00A23D84"/>
    <w:rsid w:val="00A2410B"/>
    <w:rsid w:val="00A2421A"/>
    <w:rsid w:val="00A24221"/>
    <w:rsid w:val="00A242BD"/>
    <w:rsid w:val="00A242FB"/>
    <w:rsid w:val="00A2430B"/>
    <w:rsid w:val="00A24431"/>
    <w:rsid w:val="00A2454E"/>
    <w:rsid w:val="00A246DE"/>
    <w:rsid w:val="00A24853"/>
    <w:rsid w:val="00A248BF"/>
    <w:rsid w:val="00A24B35"/>
    <w:rsid w:val="00A24C4D"/>
    <w:rsid w:val="00A24D2A"/>
    <w:rsid w:val="00A24DA3"/>
    <w:rsid w:val="00A24DB2"/>
    <w:rsid w:val="00A24F62"/>
    <w:rsid w:val="00A25000"/>
    <w:rsid w:val="00A250B7"/>
    <w:rsid w:val="00A25128"/>
    <w:rsid w:val="00A25294"/>
    <w:rsid w:val="00A2530B"/>
    <w:rsid w:val="00A2530C"/>
    <w:rsid w:val="00A253FD"/>
    <w:rsid w:val="00A25562"/>
    <w:rsid w:val="00A25598"/>
    <w:rsid w:val="00A255DE"/>
    <w:rsid w:val="00A25704"/>
    <w:rsid w:val="00A25735"/>
    <w:rsid w:val="00A25765"/>
    <w:rsid w:val="00A25A44"/>
    <w:rsid w:val="00A25B37"/>
    <w:rsid w:val="00A25BD8"/>
    <w:rsid w:val="00A25CAE"/>
    <w:rsid w:val="00A25D20"/>
    <w:rsid w:val="00A25D6A"/>
    <w:rsid w:val="00A260E9"/>
    <w:rsid w:val="00A26111"/>
    <w:rsid w:val="00A261AD"/>
    <w:rsid w:val="00A261DA"/>
    <w:rsid w:val="00A2626E"/>
    <w:rsid w:val="00A262A7"/>
    <w:rsid w:val="00A263C5"/>
    <w:rsid w:val="00A26460"/>
    <w:rsid w:val="00A26821"/>
    <w:rsid w:val="00A26838"/>
    <w:rsid w:val="00A26853"/>
    <w:rsid w:val="00A268EF"/>
    <w:rsid w:val="00A26988"/>
    <w:rsid w:val="00A26C32"/>
    <w:rsid w:val="00A26D1C"/>
    <w:rsid w:val="00A26D9D"/>
    <w:rsid w:val="00A27055"/>
    <w:rsid w:val="00A27345"/>
    <w:rsid w:val="00A2748F"/>
    <w:rsid w:val="00A27566"/>
    <w:rsid w:val="00A27902"/>
    <w:rsid w:val="00A27951"/>
    <w:rsid w:val="00A27961"/>
    <w:rsid w:val="00A27A17"/>
    <w:rsid w:val="00A27A46"/>
    <w:rsid w:val="00A27B38"/>
    <w:rsid w:val="00A27B95"/>
    <w:rsid w:val="00A27BC7"/>
    <w:rsid w:val="00A27BC9"/>
    <w:rsid w:val="00A27BEF"/>
    <w:rsid w:val="00A27D69"/>
    <w:rsid w:val="00A27D8F"/>
    <w:rsid w:val="00A27DE2"/>
    <w:rsid w:val="00A27EE1"/>
    <w:rsid w:val="00A27F25"/>
    <w:rsid w:val="00A27F94"/>
    <w:rsid w:val="00A30009"/>
    <w:rsid w:val="00A301BD"/>
    <w:rsid w:val="00A3037E"/>
    <w:rsid w:val="00A304AA"/>
    <w:rsid w:val="00A30547"/>
    <w:rsid w:val="00A30565"/>
    <w:rsid w:val="00A3061C"/>
    <w:rsid w:val="00A30654"/>
    <w:rsid w:val="00A30678"/>
    <w:rsid w:val="00A30712"/>
    <w:rsid w:val="00A30756"/>
    <w:rsid w:val="00A3081C"/>
    <w:rsid w:val="00A3086F"/>
    <w:rsid w:val="00A309DA"/>
    <w:rsid w:val="00A30AD9"/>
    <w:rsid w:val="00A30C8E"/>
    <w:rsid w:val="00A30D07"/>
    <w:rsid w:val="00A30D36"/>
    <w:rsid w:val="00A30DA7"/>
    <w:rsid w:val="00A30F3A"/>
    <w:rsid w:val="00A30F6E"/>
    <w:rsid w:val="00A31054"/>
    <w:rsid w:val="00A31084"/>
    <w:rsid w:val="00A310A3"/>
    <w:rsid w:val="00A311A4"/>
    <w:rsid w:val="00A31366"/>
    <w:rsid w:val="00A31465"/>
    <w:rsid w:val="00A314EC"/>
    <w:rsid w:val="00A3151D"/>
    <w:rsid w:val="00A315A6"/>
    <w:rsid w:val="00A31742"/>
    <w:rsid w:val="00A31C18"/>
    <w:rsid w:val="00A31C9D"/>
    <w:rsid w:val="00A31D3C"/>
    <w:rsid w:val="00A31E5A"/>
    <w:rsid w:val="00A31F68"/>
    <w:rsid w:val="00A31F8E"/>
    <w:rsid w:val="00A32040"/>
    <w:rsid w:val="00A32062"/>
    <w:rsid w:val="00A32107"/>
    <w:rsid w:val="00A3213E"/>
    <w:rsid w:val="00A322AC"/>
    <w:rsid w:val="00A322BE"/>
    <w:rsid w:val="00A32308"/>
    <w:rsid w:val="00A32400"/>
    <w:rsid w:val="00A32422"/>
    <w:rsid w:val="00A324BE"/>
    <w:rsid w:val="00A326B0"/>
    <w:rsid w:val="00A3273C"/>
    <w:rsid w:val="00A32B06"/>
    <w:rsid w:val="00A32BEB"/>
    <w:rsid w:val="00A32C10"/>
    <w:rsid w:val="00A32D1F"/>
    <w:rsid w:val="00A32E0F"/>
    <w:rsid w:val="00A32F52"/>
    <w:rsid w:val="00A33055"/>
    <w:rsid w:val="00A33075"/>
    <w:rsid w:val="00A33176"/>
    <w:rsid w:val="00A332C1"/>
    <w:rsid w:val="00A3330E"/>
    <w:rsid w:val="00A333E5"/>
    <w:rsid w:val="00A33451"/>
    <w:rsid w:val="00A33464"/>
    <w:rsid w:val="00A33498"/>
    <w:rsid w:val="00A335A6"/>
    <w:rsid w:val="00A33752"/>
    <w:rsid w:val="00A33846"/>
    <w:rsid w:val="00A338AD"/>
    <w:rsid w:val="00A338D3"/>
    <w:rsid w:val="00A33967"/>
    <w:rsid w:val="00A339F7"/>
    <w:rsid w:val="00A33A6B"/>
    <w:rsid w:val="00A33BAC"/>
    <w:rsid w:val="00A33BC5"/>
    <w:rsid w:val="00A33CA8"/>
    <w:rsid w:val="00A33E2F"/>
    <w:rsid w:val="00A33E4F"/>
    <w:rsid w:val="00A33E85"/>
    <w:rsid w:val="00A34073"/>
    <w:rsid w:val="00A342B4"/>
    <w:rsid w:val="00A34393"/>
    <w:rsid w:val="00A3441C"/>
    <w:rsid w:val="00A344D4"/>
    <w:rsid w:val="00A347D0"/>
    <w:rsid w:val="00A34964"/>
    <w:rsid w:val="00A34A84"/>
    <w:rsid w:val="00A34B32"/>
    <w:rsid w:val="00A34BAF"/>
    <w:rsid w:val="00A34C39"/>
    <w:rsid w:val="00A34D5E"/>
    <w:rsid w:val="00A34F0F"/>
    <w:rsid w:val="00A350BC"/>
    <w:rsid w:val="00A3512D"/>
    <w:rsid w:val="00A351A2"/>
    <w:rsid w:val="00A352C2"/>
    <w:rsid w:val="00A352E4"/>
    <w:rsid w:val="00A3543C"/>
    <w:rsid w:val="00A35463"/>
    <w:rsid w:val="00A354F7"/>
    <w:rsid w:val="00A35527"/>
    <w:rsid w:val="00A35689"/>
    <w:rsid w:val="00A356A9"/>
    <w:rsid w:val="00A35750"/>
    <w:rsid w:val="00A35985"/>
    <w:rsid w:val="00A359AB"/>
    <w:rsid w:val="00A35A27"/>
    <w:rsid w:val="00A35B30"/>
    <w:rsid w:val="00A35FF9"/>
    <w:rsid w:val="00A36049"/>
    <w:rsid w:val="00A360AE"/>
    <w:rsid w:val="00A360B0"/>
    <w:rsid w:val="00A36298"/>
    <w:rsid w:val="00A36576"/>
    <w:rsid w:val="00A368E7"/>
    <w:rsid w:val="00A36935"/>
    <w:rsid w:val="00A36946"/>
    <w:rsid w:val="00A36BC4"/>
    <w:rsid w:val="00A36C40"/>
    <w:rsid w:val="00A36D9C"/>
    <w:rsid w:val="00A36E7C"/>
    <w:rsid w:val="00A36F07"/>
    <w:rsid w:val="00A36F6D"/>
    <w:rsid w:val="00A37053"/>
    <w:rsid w:val="00A37161"/>
    <w:rsid w:val="00A37333"/>
    <w:rsid w:val="00A3734D"/>
    <w:rsid w:val="00A37465"/>
    <w:rsid w:val="00A37553"/>
    <w:rsid w:val="00A37590"/>
    <w:rsid w:val="00A375CF"/>
    <w:rsid w:val="00A376AE"/>
    <w:rsid w:val="00A378BE"/>
    <w:rsid w:val="00A378CA"/>
    <w:rsid w:val="00A37A06"/>
    <w:rsid w:val="00A37A3F"/>
    <w:rsid w:val="00A37C93"/>
    <w:rsid w:val="00A37CED"/>
    <w:rsid w:val="00A37DCC"/>
    <w:rsid w:val="00A37E08"/>
    <w:rsid w:val="00A37EFD"/>
    <w:rsid w:val="00A37F98"/>
    <w:rsid w:val="00A4000C"/>
    <w:rsid w:val="00A40078"/>
    <w:rsid w:val="00A403F4"/>
    <w:rsid w:val="00A404FC"/>
    <w:rsid w:val="00A40687"/>
    <w:rsid w:val="00A4078D"/>
    <w:rsid w:val="00A407B3"/>
    <w:rsid w:val="00A407BE"/>
    <w:rsid w:val="00A409A4"/>
    <w:rsid w:val="00A409ED"/>
    <w:rsid w:val="00A409FC"/>
    <w:rsid w:val="00A40A03"/>
    <w:rsid w:val="00A40A7E"/>
    <w:rsid w:val="00A40AEC"/>
    <w:rsid w:val="00A40C1D"/>
    <w:rsid w:val="00A40C55"/>
    <w:rsid w:val="00A40DAE"/>
    <w:rsid w:val="00A40E70"/>
    <w:rsid w:val="00A411EE"/>
    <w:rsid w:val="00A41398"/>
    <w:rsid w:val="00A4158C"/>
    <w:rsid w:val="00A416DB"/>
    <w:rsid w:val="00A416FE"/>
    <w:rsid w:val="00A4175F"/>
    <w:rsid w:val="00A41885"/>
    <w:rsid w:val="00A41937"/>
    <w:rsid w:val="00A419D8"/>
    <w:rsid w:val="00A41A52"/>
    <w:rsid w:val="00A41AB3"/>
    <w:rsid w:val="00A41AD1"/>
    <w:rsid w:val="00A41B93"/>
    <w:rsid w:val="00A41C68"/>
    <w:rsid w:val="00A41D63"/>
    <w:rsid w:val="00A41EFB"/>
    <w:rsid w:val="00A41FAC"/>
    <w:rsid w:val="00A42082"/>
    <w:rsid w:val="00A420CF"/>
    <w:rsid w:val="00A4224C"/>
    <w:rsid w:val="00A422AF"/>
    <w:rsid w:val="00A422D3"/>
    <w:rsid w:val="00A423A6"/>
    <w:rsid w:val="00A42430"/>
    <w:rsid w:val="00A4247A"/>
    <w:rsid w:val="00A424C7"/>
    <w:rsid w:val="00A42639"/>
    <w:rsid w:val="00A42786"/>
    <w:rsid w:val="00A4279E"/>
    <w:rsid w:val="00A429D8"/>
    <w:rsid w:val="00A42A6B"/>
    <w:rsid w:val="00A42BB3"/>
    <w:rsid w:val="00A42C59"/>
    <w:rsid w:val="00A42EB3"/>
    <w:rsid w:val="00A42FE2"/>
    <w:rsid w:val="00A4318E"/>
    <w:rsid w:val="00A4334A"/>
    <w:rsid w:val="00A433FA"/>
    <w:rsid w:val="00A4372C"/>
    <w:rsid w:val="00A4379C"/>
    <w:rsid w:val="00A437D4"/>
    <w:rsid w:val="00A437DB"/>
    <w:rsid w:val="00A43A9C"/>
    <w:rsid w:val="00A43C5B"/>
    <w:rsid w:val="00A43DF6"/>
    <w:rsid w:val="00A4401D"/>
    <w:rsid w:val="00A44118"/>
    <w:rsid w:val="00A443C0"/>
    <w:rsid w:val="00A44599"/>
    <w:rsid w:val="00A445E9"/>
    <w:rsid w:val="00A44625"/>
    <w:rsid w:val="00A446B8"/>
    <w:rsid w:val="00A44837"/>
    <w:rsid w:val="00A44889"/>
    <w:rsid w:val="00A448A1"/>
    <w:rsid w:val="00A4493A"/>
    <w:rsid w:val="00A44942"/>
    <w:rsid w:val="00A44D2F"/>
    <w:rsid w:val="00A45025"/>
    <w:rsid w:val="00A45048"/>
    <w:rsid w:val="00A45081"/>
    <w:rsid w:val="00A451EF"/>
    <w:rsid w:val="00A4536A"/>
    <w:rsid w:val="00A45378"/>
    <w:rsid w:val="00A455FC"/>
    <w:rsid w:val="00A457A4"/>
    <w:rsid w:val="00A4583F"/>
    <w:rsid w:val="00A4592B"/>
    <w:rsid w:val="00A45935"/>
    <w:rsid w:val="00A45B0C"/>
    <w:rsid w:val="00A45B9B"/>
    <w:rsid w:val="00A45BA1"/>
    <w:rsid w:val="00A45BEB"/>
    <w:rsid w:val="00A45C40"/>
    <w:rsid w:val="00A45E10"/>
    <w:rsid w:val="00A45EF7"/>
    <w:rsid w:val="00A45EFF"/>
    <w:rsid w:val="00A45FB3"/>
    <w:rsid w:val="00A45FC2"/>
    <w:rsid w:val="00A46093"/>
    <w:rsid w:val="00A461E6"/>
    <w:rsid w:val="00A46263"/>
    <w:rsid w:val="00A4626B"/>
    <w:rsid w:val="00A463CB"/>
    <w:rsid w:val="00A4648F"/>
    <w:rsid w:val="00A464FF"/>
    <w:rsid w:val="00A4652E"/>
    <w:rsid w:val="00A466E1"/>
    <w:rsid w:val="00A46717"/>
    <w:rsid w:val="00A4671F"/>
    <w:rsid w:val="00A468C4"/>
    <w:rsid w:val="00A4694B"/>
    <w:rsid w:val="00A4694F"/>
    <w:rsid w:val="00A46A09"/>
    <w:rsid w:val="00A46CB1"/>
    <w:rsid w:val="00A46D05"/>
    <w:rsid w:val="00A46D34"/>
    <w:rsid w:val="00A46D74"/>
    <w:rsid w:val="00A46D82"/>
    <w:rsid w:val="00A46F9D"/>
    <w:rsid w:val="00A470A0"/>
    <w:rsid w:val="00A47101"/>
    <w:rsid w:val="00A47146"/>
    <w:rsid w:val="00A47237"/>
    <w:rsid w:val="00A4734E"/>
    <w:rsid w:val="00A473EA"/>
    <w:rsid w:val="00A47422"/>
    <w:rsid w:val="00A47469"/>
    <w:rsid w:val="00A474F4"/>
    <w:rsid w:val="00A47519"/>
    <w:rsid w:val="00A4756D"/>
    <w:rsid w:val="00A47667"/>
    <w:rsid w:val="00A4775A"/>
    <w:rsid w:val="00A4797C"/>
    <w:rsid w:val="00A47B0E"/>
    <w:rsid w:val="00A47CBA"/>
    <w:rsid w:val="00A47CD7"/>
    <w:rsid w:val="00A47D47"/>
    <w:rsid w:val="00A47D96"/>
    <w:rsid w:val="00A47FD0"/>
    <w:rsid w:val="00A5004A"/>
    <w:rsid w:val="00A50603"/>
    <w:rsid w:val="00A506C2"/>
    <w:rsid w:val="00A506C6"/>
    <w:rsid w:val="00A506CC"/>
    <w:rsid w:val="00A508FB"/>
    <w:rsid w:val="00A50A3C"/>
    <w:rsid w:val="00A50A64"/>
    <w:rsid w:val="00A50A9F"/>
    <w:rsid w:val="00A50C92"/>
    <w:rsid w:val="00A50CB9"/>
    <w:rsid w:val="00A50CF6"/>
    <w:rsid w:val="00A50D19"/>
    <w:rsid w:val="00A50E48"/>
    <w:rsid w:val="00A5103D"/>
    <w:rsid w:val="00A51095"/>
    <w:rsid w:val="00A51146"/>
    <w:rsid w:val="00A51189"/>
    <w:rsid w:val="00A514C2"/>
    <w:rsid w:val="00A5164B"/>
    <w:rsid w:val="00A51713"/>
    <w:rsid w:val="00A51853"/>
    <w:rsid w:val="00A51A77"/>
    <w:rsid w:val="00A51C6F"/>
    <w:rsid w:val="00A51C98"/>
    <w:rsid w:val="00A51CB9"/>
    <w:rsid w:val="00A51CEA"/>
    <w:rsid w:val="00A51D2C"/>
    <w:rsid w:val="00A51D72"/>
    <w:rsid w:val="00A51E9A"/>
    <w:rsid w:val="00A51F17"/>
    <w:rsid w:val="00A51F2F"/>
    <w:rsid w:val="00A51F56"/>
    <w:rsid w:val="00A520B7"/>
    <w:rsid w:val="00A52127"/>
    <w:rsid w:val="00A521D3"/>
    <w:rsid w:val="00A52227"/>
    <w:rsid w:val="00A52253"/>
    <w:rsid w:val="00A523B2"/>
    <w:rsid w:val="00A523BC"/>
    <w:rsid w:val="00A523D2"/>
    <w:rsid w:val="00A524EE"/>
    <w:rsid w:val="00A525E0"/>
    <w:rsid w:val="00A52613"/>
    <w:rsid w:val="00A52626"/>
    <w:rsid w:val="00A526B0"/>
    <w:rsid w:val="00A5281F"/>
    <w:rsid w:val="00A52A10"/>
    <w:rsid w:val="00A52C31"/>
    <w:rsid w:val="00A52F6F"/>
    <w:rsid w:val="00A53015"/>
    <w:rsid w:val="00A5310A"/>
    <w:rsid w:val="00A5327B"/>
    <w:rsid w:val="00A5327D"/>
    <w:rsid w:val="00A5329E"/>
    <w:rsid w:val="00A53443"/>
    <w:rsid w:val="00A53458"/>
    <w:rsid w:val="00A5347B"/>
    <w:rsid w:val="00A53571"/>
    <w:rsid w:val="00A53678"/>
    <w:rsid w:val="00A53685"/>
    <w:rsid w:val="00A5384E"/>
    <w:rsid w:val="00A5386E"/>
    <w:rsid w:val="00A5387A"/>
    <w:rsid w:val="00A53C32"/>
    <w:rsid w:val="00A53D1E"/>
    <w:rsid w:val="00A53D42"/>
    <w:rsid w:val="00A53D6C"/>
    <w:rsid w:val="00A53DAD"/>
    <w:rsid w:val="00A53F47"/>
    <w:rsid w:val="00A53FCE"/>
    <w:rsid w:val="00A54049"/>
    <w:rsid w:val="00A54078"/>
    <w:rsid w:val="00A540CF"/>
    <w:rsid w:val="00A54274"/>
    <w:rsid w:val="00A54283"/>
    <w:rsid w:val="00A543C6"/>
    <w:rsid w:val="00A54491"/>
    <w:rsid w:val="00A54501"/>
    <w:rsid w:val="00A54516"/>
    <w:rsid w:val="00A54646"/>
    <w:rsid w:val="00A54655"/>
    <w:rsid w:val="00A546BB"/>
    <w:rsid w:val="00A546C7"/>
    <w:rsid w:val="00A54789"/>
    <w:rsid w:val="00A5488F"/>
    <w:rsid w:val="00A54900"/>
    <w:rsid w:val="00A54973"/>
    <w:rsid w:val="00A54C6A"/>
    <w:rsid w:val="00A54DE3"/>
    <w:rsid w:val="00A54E08"/>
    <w:rsid w:val="00A54ECD"/>
    <w:rsid w:val="00A54F06"/>
    <w:rsid w:val="00A54F5D"/>
    <w:rsid w:val="00A550A7"/>
    <w:rsid w:val="00A553E5"/>
    <w:rsid w:val="00A55626"/>
    <w:rsid w:val="00A55680"/>
    <w:rsid w:val="00A556EA"/>
    <w:rsid w:val="00A55751"/>
    <w:rsid w:val="00A558AB"/>
    <w:rsid w:val="00A5593B"/>
    <w:rsid w:val="00A559D4"/>
    <w:rsid w:val="00A55AE5"/>
    <w:rsid w:val="00A55B31"/>
    <w:rsid w:val="00A55B57"/>
    <w:rsid w:val="00A55C70"/>
    <w:rsid w:val="00A55DD1"/>
    <w:rsid w:val="00A55EC3"/>
    <w:rsid w:val="00A55F44"/>
    <w:rsid w:val="00A56008"/>
    <w:rsid w:val="00A5601C"/>
    <w:rsid w:val="00A56142"/>
    <w:rsid w:val="00A56143"/>
    <w:rsid w:val="00A5624E"/>
    <w:rsid w:val="00A563A3"/>
    <w:rsid w:val="00A564F3"/>
    <w:rsid w:val="00A56679"/>
    <w:rsid w:val="00A5667A"/>
    <w:rsid w:val="00A567FE"/>
    <w:rsid w:val="00A5688B"/>
    <w:rsid w:val="00A568CC"/>
    <w:rsid w:val="00A56998"/>
    <w:rsid w:val="00A56ADE"/>
    <w:rsid w:val="00A56B9A"/>
    <w:rsid w:val="00A56C1F"/>
    <w:rsid w:val="00A56C40"/>
    <w:rsid w:val="00A56D7D"/>
    <w:rsid w:val="00A56F22"/>
    <w:rsid w:val="00A57000"/>
    <w:rsid w:val="00A57071"/>
    <w:rsid w:val="00A5718E"/>
    <w:rsid w:val="00A571AC"/>
    <w:rsid w:val="00A57203"/>
    <w:rsid w:val="00A572E7"/>
    <w:rsid w:val="00A57327"/>
    <w:rsid w:val="00A573C4"/>
    <w:rsid w:val="00A57491"/>
    <w:rsid w:val="00A57516"/>
    <w:rsid w:val="00A575E3"/>
    <w:rsid w:val="00A5781E"/>
    <w:rsid w:val="00A57AE0"/>
    <w:rsid w:val="00A57B11"/>
    <w:rsid w:val="00A57BF5"/>
    <w:rsid w:val="00A57E3E"/>
    <w:rsid w:val="00A57E56"/>
    <w:rsid w:val="00A57F3F"/>
    <w:rsid w:val="00A601EF"/>
    <w:rsid w:val="00A60210"/>
    <w:rsid w:val="00A60274"/>
    <w:rsid w:val="00A602AD"/>
    <w:rsid w:val="00A602CC"/>
    <w:rsid w:val="00A6030F"/>
    <w:rsid w:val="00A60341"/>
    <w:rsid w:val="00A60504"/>
    <w:rsid w:val="00A60609"/>
    <w:rsid w:val="00A6061E"/>
    <w:rsid w:val="00A606FD"/>
    <w:rsid w:val="00A60764"/>
    <w:rsid w:val="00A60939"/>
    <w:rsid w:val="00A60A7E"/>
    <w:rsid w:val="00A60AC2"/>
    <w:rsid w:val="00A60AF0"/>
    <w:rsid w:val="00A60D3A"/>
    <w:rsid w:val="00A60E3A"/>
    <w:rsid w:val="00A60E9D"/>
    <w:rsid w:val="00A60ED8"/>
    <w:rsid w:val="00A60F42"/>
    <w:rsid w:val="00A611AA"/>
    <w:rsid w:val="00A612AE"/>
    <w:rsid w:val="00A6136D"/>
    <w:rsid w:val="00A613F4"/>
    <w:rsid w:val="00A61498"/>
    <w:rsid w:val="00A615B4"/>
    <w:rsid w:val="00A61677"/>
    <w:rsid w:val="00A616DA"/>
    <w:rsid w:val="00A61722"/>
    <w:rsid w:val="00A61921"/>
    <w:rsid w:val="00A61A34"/>
    <w:rsid w:val="00A61A42"/>
    <w:rsid w:val="00A61ACF"/>
    <w:rsid w:val="00A61B18"/>
    <w:rsid w:val="00A61BB0"/>
    <w:rsid w:val="00A61C63"/>
    <w:rsid w:val="00A61CEA"/>
    <w:rsid w:val="00A61E05"/>
    <w:rsid w:val="00A61E2B"/>
    <w:rsid w:val="00A61E36"/>
    <w:rsid w:val="00A61F66"/>
    <w:rsid w:val="00A61F84"/>
    <w:rsid w:val="00A61F92"/>
    <w:rsid w:val="00A61FF5"/>
    <w:rsid w:val="00A6204D"/>
    <w:rsid w:val="00A6206F"/>
    <w:rsid w:val="00A6209D"/>
    <w:rsid w:val="00A62163"/>
    <w:rsid w:val="00A6231D"/>
    <w:rsid w:val="00A62415"/>
    <w:rsid w:val="00A6250B"/>
    <w:rsid w:val="00A62532"/>
    <w:rsid w:val="00A62578"/>
    <w:rsid w:val="00A62613"/>
    <w:rsid w:val="00A6282E"/>
    <w:rsid w:val="00A628AD"/>
    <w:rsid w:val="00A62C28"/>
    <w:rsid w:val="00A62CEF"/>
    <w:rsid w:val="00A62D10"/>
    <w:rsid w:val="00A62D19"/>
    <w:rsid w:val="00A62E80"/>
    <w:rsid w:val="00A62F1A"/>
    <w:rsid w:val="00A63112"/>
    <w:rsid w:val="00A63165"/>
    <w:rsid w:val="00A63176"/>
    <w:rsid w:val="00A631E6"/>
    <w:rsid w:val="00A633FB"/>
    <w:rsid w:val="00A636F3"/>
    <w:rsid w:val="00A63702"/>
    <w:rsid w:val="00A63757"/>
    <w:rsid w:val="00A637A4"/>
    <w:rsid w:val="00A637E6"/>
    <w:rsid w:val="00A637E8"/>
    <w:rsid w:val="00A63808"/>
    <w:rsid w:val="00A63B84"/>
    <w:rsid w:val="00A63E68"/>
    <w:rsid w:val="00A63E91"/>
    <w:rsid w:val="00A63EF2"/>
    <w:rsid w:val="00A640B7"/>
    <w:rsid w:val="00A64136"/>
    <w:rsid w:val="00A6426A"/>
    <w:rsid w:val="00A64382"/>
    <w:rsid w:val="00A64391"/>
    <w:rsid w:val="00A64446"/>
    <w:rsid w:val="00A64466"/>
    <w:rsid w:val="00A645A4"/>
    <w:rsid w:val="00A64793"/>
    <w:rsid w:val="00A64891"/>
    <w:rsid w:val="00A649AD"/>
    <w:rsid w:val="00A649E4"/>
    <w:rsid w:val="00A64B26"/>
    <w:rsid w:val="00A64B7A"/>
    <w:rsid w:val="00A64C9D"/>
    <w:rsid w:val="00A64D27"/>
    <w:rsid w:val="00A64DA1"/>
    <w:rsid w:val="00A64DF5"/>
    <w:rsid w:val="00A64E98"/>
    <w:rsid w:val="00A64FDD"/>
    <w:rsid w:val="00A65162"/>
    <w:rsid w:val="00A65163"/>
    <w:rsid w:val="00A651C3"/>
    <w:rsid w:val="00A6521C"/>
    <w:rsid w:val="00A65232"/>
    <w:rsid w:val="00A6532F"/>
    <w:rsid w:val="00A65330"/>
    <w:rsid w:val="00A65418"/>
    <w:rsid w:val="00A65455"/>
    <w:rsid w:val="00A65458"/>
    <w:rsid w:val="00A65498"/>
    <w:rsid w:val="00A6551C"/>
    <w:rsid w:val="00A6556F"/>
    <w:rsid w:val="00A6557A"/>
    <w:rsid w:val="00A657A1"/>
    <w:rsid w:val="00A657E2"/>
    <w:rsid w:val="00A658AE"/>
    <w:rsid w:val="00A65979"/>
    <w:rsid w:val="00A65AA2"/>
    <w:rsid w:val="00A65AB4"/>
    <w:rsid w:val="00A65C1D"/>
    <w:rsid w:val="00A65CDC"/>
    <w:rsid w:val="00A65D55"/>
    <w:rsid w:val="00A65D73"/>
    <w:rsid w:val="00A65E9F"/>
    <w:rsid w:val="00A65ED2"/>
    <w:rsid w:val="00A6603B"/>
    <w:rsid w:val="00A66210"/>
    <w:rsid w:val="00A66272"/>
    <w:rsid w:val="00A662B4"/>
    <w:rsid w:val="00A663AF"/>
    <w:rsid w:val="00A66404"/>
    <w:rsid w:val="00A664B4"/>
    <w:rsid w:val="00A664E2"/>
    <w:rsid w:val="00A66535"/>
    <w:rsid w:val="00A66562"/>
    <w:rsid w:val="00A666C0"/>
    <w:rsid w:val="00A66A94"/>
    <w:rsid w:val="00A66AB5"/>
    <w:rsid w:val="00A66AD8"/>
    <w:rsid w:val="00A66D86"/>
    <w:rsid w:val="00A66EA8"/>
    <w:rsid w:val="00A66EEB"/>
    <w:rsid w:val="00A67373"/>
    <w:rsid w:val="00A676EE"/>
    <w:rsid w:val="00A67705"/>
    <w:rsid w:val="00A6776A"/>
    <w:rsid w:val="00A6781D"/>
    <w:rsid w:val="00A67871"/>
    <w:rsid w:val="00A678A0"/>
    <w:rsid w:val="00A6799E"/>
    <w:rsid w:val="00A67A08"/>
    <w:rsid w:val="00A67A21"/>
    <w:rsid w:val="00A67A74"/>
    <w:rsid w:val="00A67B2D"/>
    <w:rsid w:val="00A67B3C"/>
    <w:rsid w:val="00A67B6A"/>
    <w:rsid w:val="00A67BE8"/>
    <w:rsid w:val="00A67E13"/>
    <w:rsid w:val="00A70046"/>
    <w:rsid w:val="00A700A7"/>
    <w:rsid w:val="00A70308"/>
    <w:rsid w:val="00A70366"/>
    <w:rsid w:val="00A7037E"/>
    <w:rsid w:val="00A703AD"/>
    <w:rsid w:val="00A70469"/>
    <w:rsid w:val="00A7055C"/>
    <w:rsid w:val="00A705E7"/>
    <w:rsid w:val="00A70600"/>
    <w:rsid w:val="00A706A9"/>
    <w:rsid w:val="00A706E6"/>
    <w:rsid w:val="00A70874"/>
    <w:rsid w:val="00A70999"/>
    <w:rsid w:val="00A70AFD"/>
    <w:rsid w:val="00A70B56"/>
    <w:rsid w:val="00A70B67"/>
    <w:rsid w:val="00A70C79"/>
    <w:rsid w:val="00A70DD0"/>
    <w:rsid w:val="00A70E61"/>
    <w:rsid w:val="00A70E7B"/>
    <w:rsid w:val="00A70EC8"/>
    <w:rsid w:val="00A70FA3"/>
    <w:rsid w:val="00A70FBF"/>
    <w:rsid w:val="00A711AD"/>
    <w:rsid w:val="00A71260"/>
    <w:rsid w:val="00A7135A"/>
    <w:rsid w:val="00A71618"/>
    <w:rsid w:val="00A716CF"/>
    <w:rsid w:val="00A71BA2"/>
    <w:rsid w:val="00A71BCD"/>
    <w:rsid w:val="00A71DA9"/>
    <w:rsid w:val="00A71DAE"/>
    <w:rsid w:val="00A71F18"/>
    <w:rsid w:val="00A71F49"/>
    <w:rsid w:val="00A71F65"/>
    <w:rsid w:val="00A72103"/>
    <w:rsid w:val="00A7228E"/>
    <w:rsid w:val="00A722F0"/>
    <w:rsid w:val="00A723A8"/>
    <w:rsid w:val="00A72427"/>
    <w:rsid w:val="00A72531"/>
    <w:rsid w:val="00A72C40"/>
    <w:rsid w:val="00A72C88"/>
    <w:rsid w:val="00A72D47"/>
    <w:rsid w:val="00A72E21"/>
    <w:rsid w:val="00A73231"/>
    <w:rsid w:val="00A73303"/>
    <w:rsid w:val="00A7338F"/>
    <w:rsid w:val="00A735BE"/>
    <w:rsid w:val="00A73697"/>
    <w:rsid w:val="00A73828"/>
    <w:rsid w:val="00A738E9"/>
    <w:rsid w:val="00A738EC"/>
    <w:rsid w:val="00A73A8F"/>
    <w:rsid w:val="00A73B50"/>
    <w:rsid w:val="00A73B82"/>
    <w:rsid w:val="00A73C19"/>
    <w:rsid w:val="00A73CBC"/>
    <w:rsid w:val="00A73D70"/>
    <w:rsid w:val="00A73E30"/>
    <w:rsid w:val="00A73F23"/>
    <w:rsid w:val="00A74097"/>
    <w:rsid w:val="00A74194"/>
    <w:rsid w:val="00A741AB"/>
    <w:rsid w:val="00A7430F"/>
    <w:rsid w:val="00A7436C"/>
    <w:rsid w:val="00A74373"/>
    <w:rsid w:val="00A743AC"/>
    <w:rsid w:val="00A74589"/>
    <w:rsid w:val="00A745FF"/>
    <w:rsid w:val="00A74A3F"/>
    <w:rsid w:val="00A74AF3"/>
    <w:rsid w:val="00A74B6A"/>
    <w:rsid w:val="00A74BA6"/>
    <w:rsid w:val="00A74E43"/>
    <w:rsid w:val="00A74F33"/>
    <w:rsid w:val="00A74FF3"/>
    <w:rsid w:val="00A7523B"/>
    <w:rsid w:val="00A75328"/>
    <w:rsid w:val="00A75485"/>
    <w:rsid w:val="00A75542"/>
    <w:rsid w:val="00A75564"/>
    <w:rsid w:val="00A75653"/>
    <w:rsid w:val="00A756C4"/>
    <w:rsid w:val="00A75747"/>
    <w:rsid w:val="00A75A4C"/>
    <w:rsid w:val="00A75B12"/>
    <w:rsid w:val="00A75B20"/>
    <w:rsid w:val="00A75C09"/>
    <w:rsid w:val="00A75DE3"/>
    <w:rsid w:val="00A75F60"/>
    <w:rsid w:val="00A761AF"/>
    <w:rsid w:val="00A76247"/>
    <w:rsid w:val="00A762F6"/>
    <w:rsid w:val="00A762FA"/>
    <w:rsid w:val="00A76310"/>
    <w:rsid w:val="00A763FC"/>
    <w:rsid w:val="00A767EA"/>
    <w:rsid w:val="00A76828"/>
    <w:rsid w:val="00A76B3C"/>
    <w:rsid w:val="00A76B51"/>
    <w:rsid w:val="00A76B56"/>
    <w:rsid w:val="00A76B87"/>
    <w:rsid w:val="00A76E6E"/>
    <w:rsid w:val="00A76F3E"/>
    <w:rsid w:val="00A76FCA"/>
    <w:rsid w:val="00A77002"/>
    <w:rsid w:val="00A771AF"/>
    <w:rsid w:val="00A77328"/>
    <w:rsid w:val="00A77335"/>
    <w:rsid w:val="00A7739D"/>
    <w:rsid w:val="00A77498"/>
    <w:rsid w:val="00A77666"/>
    <w:rsid w:val="00A77675"/>
    <w:rsid w:val="00A77716"/>
    <w:rsid w:val="00A777A2"/>
    <w:rsid w:val="00A77931"/>
    <w:rsid w:val="00A77D0A"/>
    <w:rsid w:val="00A77E03"/>
    <w:rsid w:val="00A77EB9"/>
    <w:rsid w:val="00A77ED8"/>
    <w:rsid w:val="00A77FED"/>
    <w:rsid w:val="00A8021E"/>
    <w:rsid w:val="00A802C2"/>
    <w:rsid w:val="00A8032D"/>
    <w:rsid w:val="00A80364"/>
    <w:rsid w:val="00A80399"/>
    <w:rsid w:val="00A804B6"/>
    <w:rsid w:val="00A804B7"/>
    <w:rsid w:val="00A805C8"/>
    <w:rsid w:val="00A80605"/>
    <w:rsid w:val="00A806DB"/>
    <w:rsid w:val="00A809C2"/>
    <w:rsid w:val="00A80AE9"/>
    <w:rsid w:val="00A80B71"/>
    <w:rsid w:val="00A80BD6"/>
    <w:rsid w:val="00A80C9C"/>
    <w:rsid w:val="00A80CAD"/>
    <w:rsid w:val="00A80CF9"/>
    <w:rsid w:val="00A80D61"/>
    <w:rsid w:val="00A80F1A"/>
    <w:rsid w:val="00A81055"/>
    <w:rsid w:val="00A810B9"/>
    <w:rsid w:val="00A81220"/>
    <w:rsid w:val="00A8122D"/>
    <w:rsid w:val="00A81831"/>
    <w:rsid w:val="00A81861"/>
    <w:rsid w:val="00A818FF"/>
    <w:rsid w:val="00A81993"/>
    <w:rsid w:val="00A819E1"/>
    <w:rsid w:val="00A81B83"/>
    <w:rsid w:val="00A81BAD"/>
    <w:rsid w:val="00A81D5B"/>
    <w:rsid w:val="00A81D95"/>
    <w:rsid w:val="00A81DE9"/>
    <w:rsid w:val="00A81DEE"/>
    <w:rsid w:val="00A81FF4"/>
    <w:rsid w:val="00A81FFC"/>
    <w:rsid w:val="00A821DA"/>
    <w:rsid w:val="00A821F0"/>
    <w:rsid w:val="00A8227D"/>
    <w:rsid w:val="00A824C1"/>
    <w:rsid w:val="00A8250C"/>
    <w:rsid w:val="00A82584"/>
    <w:rsid w:val="00A8267B"/>
    <w:rsid w:val="00A82762"/>
    <w:rsid w:val="00A828A3"/>
    <w:rsid w:val="00A829FF"/>
    <w:rsid w:val="00A82A2A"/>
    <w:rsid w:val="00A82BFA"/>
    <w:rsid w:val="00A82CC7"/>
    <w:rsid w:val="00A82CCC"/>
    <w:rsid w:val="00A82E77"/>
    <w:rsid w:val="00A83139"/>
    <w:rsid w:val="00A831E3"/>
    <w:rsid w:val="00A8326F"/>
    <w:rsid w:val="00A83296"/>
    <w:rsid w:val="00A8334B"/>
    <w:rsid w:val="00A8364F"/>
    <w:rsid w:val="00A8387D"/>
    <w:rsid w:val="00A83918"/>
    <w:rsid w:val="00A83930"/>
    <w:rsid w:val="00A839C4"/>
    <w:rsid w:val="00A83AB1"/>
    <w:rsid w:val="00A83C41"/>
    <w:rsid w:val="00A83CB3"/>
    <w:rsid w:val="00A83CDB"/>
    <w:rsid w:val="00A83D3A"/>
    <w:rsid w:val="00A83FFB"/>
    <w:rsid w:val="00A8408F"/>
    <w:rsid w:val="00A840B4"/>
    <w:rsid w:val="00A840B6"/>
    <w:rsid w:val="00A840DD"/>
    <w:rsid w:val="00A843C5"/>
    <w:rsid w:val="00A84590"/>
    <w:rsid w:val="00A8461E"/>
    <w:rsid w:val="00A84628"/>
    <w:rsid w:val="00A8464A"/>
    <w:rsid w:val="00A84857"/>
    <w:rsid w:val="00A8485D"/>
    <w:rsid w:val="00A849B3"/>
    <w:rsid w:val="00A84C0C"/>
    <w:rsid w:val="00A84CCC"/>
    <w:rsid w:val="00A84E6F"/>
    <w:rsid w:val="00A84E8B"/>
    <w:rsid w:val="00A850B9"/>
    <w:rsid w:val="00A851A8"/>
    <w:rsid w:val="00A85272"/>
    <w:rsid w:val="00A8536E"/>
    <w:rsid w:val="00A854E7"/>
    <w:rsid w:val="00A8565C"/>
    <w:rsid w:val="00A85775"/>
    <w:rsid w:val="00A85892"/>
    <w:rsid w:val="00A859DB"/>
    <w:rsid w:val="00A85AF9"/>
    <w:rsid w:val="00A85B0F"/>
    <w:rsid w:val="00A85B73"/>
    <w:rsid w:val="00A85BA0"/>
    <w:rsid w:val="00A85C33"/>
    <w:rsid w:val="00A85CF2"/>
    <w:rsid w:val="00A85DA7"/>
    <w:rsid w:val="00A85DB9"/>
    <w:rsid w:val="00A85E9E"/>
    <w:rsid w:val="00A85EE5"/>
    <w:rsid w:val="00A85FA1"/>
    <w:rsid w:val="00A860A6"/>
    <w:rsid w:val="00A86126"/>
    <w:rsid w:val="00A861EE"/>
    <w:rsid w:val="00A861F4"/>
    <w:rsid w:val="00A863F2"/>
    <w:rsid w:val="00A8662F"/>
    <w:rsid w:val="00A8670E"/>
    <w:rsid w:val="00A868A9"/>
    <w:rsid w:val="00A86906"/>
    <w:rsid w:val="00A86969"/>
    <w:rsid w:val="00A86A1A"/>
    <w:rsid w:val="00A86B57"/>
    <w:rsid w:val="00A86BDD"/>
    <w:rsid w:val="00A86C58"/>
    <w:rsid w:val="00A86C80"/>
    <w:rsid w:val="00A86D5B"/>
    <w:rsid w:val="00A86DCF"/>
    <w:rsid w:val="00A86F68"/>
    <w:rsid w:val="00A86FAA"/>
    <w:rsid w:val="00A87037"/>
    <w:rsid w:val="00A87112"/>
    <w:rsid w:val="00A8727E"/>
    <w:rsid w:val="00A875B3"/>
    <w:rsid w:val="00A87664"/>
    <w:rsid w:val="00A87735"/>
    <w:rsid w:val="00A87855"/>
    <w:rsid w:val="00A8791D"/>
    <w:rsid w:val="00A879A5"/>
    <w:rsid w:val="00A87ABE"/>
    <w:rsid w:val="00A87B28"/>
    <w:rsid w:val="00A87C48"/>
    <w:rsid w:val="00A87D3A"/>
    <w:rsid w:val="00A87DD2"/>
    <w:rsid w:val="00A87FB4"/>
    <w:rsid w:val="00A90052"/>
    <w:rsid w:val="00A9006F"/>
    <w:rsid w:val="00A90082"/>
    <w:rsid w:val="00A90203"/>
    <w:rsid w:val="00A90223"/>
    <w:rsid w:val="00A90224"/>
    <w:rsid w:val="00A9035A"/>
    <w:rsid w:val="00A903BB"/>
    <w:rsid w:val="00A905E9"/>
    <w:rsid w:val="00A905F2"/>
    <w:rsid w:val="00A90634"/>
    <w:rsid w:val="00A9071C"/>
    <w:rsid w:val="00A90875"/>
    <w:rsid w:val="00A90935"/>
    <w:rsid w:val="00A909E6"/>
    <w:rsid w:val="00A90A75"/>
    <w:rsid w:val="00A90AA9"/>
    <w:rsid w:val="00A90B3B"/>
    <w:rsid w:val="00A90C67"/>
    <w:rsid w:val="00A90C86"/>
    <w:rsid w:val="00A90F43"/>
    <w:rsid w:val="00A90FDD"/>
    <w:rsid w:val="00A910D1"/>
    <w:rsid w:val="00A91123"/>
    <w:rsid w:val="00A91361"/>
    <w:rsid w:val="00A9136F"/>
    <w:rsid w:val="00A91503"/>
    <w:rsid w:val="00A915D5"/>
    <w:rsid w:val="00A91692"/>
    <w:rsid w:val="00A91946"/>
    <w:rsid w:val="00A919B0"/>
    <w:rsid w:val="00A91B69"/>
    <w:rsid w:val="00A91B6A"/>
    <w:rsid w:val="00A91D1A"/>
    <w:rsid w:val="00A91E62"/>
    <w:rsid w:val="00A91E69"/>
    <w:rsid w:val="00A91F5A"/>
    <w:rsid w:val="00A920EA"/>
    <w:rsid w:val="00A920F4"/>
    <w:rsid w:val="00A92104"/>
    <w:rsid w:val="00A92162"/>
    <w:rsid w:val="00A921AD"/>
    <w:rsid w:val="00A921D2"/>
    <w:rsid w:val="00A922B0"/>
    <w:rsid w:val="00A92548"/>
    <w:rsid w:val="00A92883"/>
    <w:rsid w:val="00A92965"/>
    <w:rsid w:val="00A92B10"/>
    <w:rsid w:val="00A92C72"/>
    <w:rsid w:val="00A92E28"/>
    <w:rsid w:val="00A92E96"/>
    <w:rsid w:val="00A92EE5"/>
    <w:rsid w:val="00A92EFE"/>
    <w:rsid w:val="00A92F9E"/>
    <w:rsid w:val="00A92FE6"/>
    <w:rsid w:val="00A9307D"/>
    <w:rsid w:val="00A9325C"/>
    <w:rsid w:val="00A93454"/>
    <w:rsid w:val="00A9352F"/>
    <w:rsid w:val="00A9357C"/>
    <w:rsid w:val="00A935BD"/>
    <w:rsid w:val="00A9365A"/>
    <w:rsid w:val="00A936B2"/>
    <w:rsid w:val="00A9380B"/>
    <w:rsid w:val="00A9389E"/>
    <w:rsid w:val="00A938A7"/>
    <w:rsid w:val="00A938E4"/>
    <w:rsid w:val="00A939D0"/>
    <w:rsid w:val="00A93A2A"/>
    <w:rsid w:val="00A93D15"/>
    <w:rsid w:val="00A93E38"/>
    <w:rsid w:val="00A93E92"/>
    <w:rsid w:val="00A93F67"/>
    <w:rsid w:val="00A93FE8"/>
    <w:rsid w:val="00A940CC"/>
    <w:rsid w:val="00A9416E"/>
    <w:rsid w:val="00A94278"/>
    <w:rsid w:val="00A943C7"/>
    <w:rsid w:val="00A9463A"/>
    <w:rsid w:val="00A94645"/>
    <w:rsid w:val="00A9466B"/>
    <w:rsid w:val="00A9482C"/>
    <w:rsid w:val="00A948CB"/>
    <w:rsid w:val="00A94A47"/>
    <w:rsid w:val="00A94C0B"/>
    <w:rsid w:val="00A94DBF"/>
    <w:rsid w:val="00A94DDB"/>
    <w:rsid w:val="00A94DEA"/>
    <w:rsid w:val="00A94ED7"/>
    <w:rsid w:val="00A95034"/>
    <w:rsid w:val="00A9507E"/>
    <w:rsid w:val="00A95158"/>
    <w:rsid w:val="00A9518A"/>
    <w:rsid w:val="00A951C5"/>
    <w:rsid w:val="00A951F4"/>
    <w:rsid w:val="00A95212"/>
    <w:rsid w:val="00A95291"/>
    <w:rsid w:val="00A952B5"/>
    <w:rsid w:val="00A95333"/>
    <w:rsid w:val="00A953F5"/>
    <w:rsid w:val="00A954B5"/>
    <w:rsid w:val="00A95631"/>
    <w:rsid w:val="00A95861"/>
    <w:rsid w:val="00A9593A"/>
    <w:rsid w:val="00A9597D"/>
    <w:rsid w:val="00A95A34"/>
    <w:rsid w:val="00A95A88"/>
    <w:rsid w:val="00A95B42"/>
    <w:rsid w:val="00A95BD2"/>
    <w:rsid w:val="00A95D21"/>
    <w:rsid w:val="00A95D56"/>
    <w:rsid w:val="00A95E29"/>
    <w:rsid w:val="00A95FE9"/>
    <w:rsid w:val="00A96115"/>
    <w:rsid w:val="00A9614D"/>
    <w:rsid w:val="00A963AE"/>
    <w:rsid w:val="00A9643A"/>
    <w:rsid w:val="00A964B6"/>
    <w:rsid w:val="00A964E4"/>
    <w:rsid w:val="00A964ED"/>
    <w:rsid w:val="00A96567"/>
    <w:rsid w:val="00A96602"/>
    <w:rsid w:val="00A968A3"/>
    <w:rsid w:val="00A968FC"/>
    <w:rsid w:val="00A96990"/>
    <w:rsid w:val="00A969BB"/>
    <w:rsid w:val="00A96A6B"/>
    <w:rsid w:val="00A96BCE"/>
    <w:rsid w:val="00A96CF8"/>
    <w:rsid w:val="00A96D40"/>
    <w:rsid w:val="00A96D54"/>
    <w:rsid w:val="00A96D6B"/>
    <w:rsid w:val="00A96E62"/>
    <w:rsid w:val="00A96F4B"/>
    <w:rsid w:val="00A96F74"/>
    <w:rsid w:val="00A96FC4"/>
    <w:rsid w:val="00A96FF9"/>
    <w:rsid w:val="00A9712E"/>
    <w:rsid w:val="00A9726B"/>
    <w:rsid w:val="00A9730A"/>
    <w:rsid w:val="00A9736C"/>
    <w:rsid w:val="00A9739E"/>
    <w:rsid w:val="00A9742D"/>
    <w:rsid w:val="00A97509"/>
    <w:rsid w:val="00A9758F"/>
    <w:rsid w:val="00A9767F"/>
    <w:rsid w:val="00A9778A"/>
    <w:rsid w:val="00A977EE"/>
    <w:rsid w:val="00A978EF"/>
    <w:rsid w:val="00A97943"/>
    <w:rsid w:val="00A9796A"/>
    <w:rsid w:val="00A9796C"/>
    <w:rsid w:val="00A97BBE"/>
    <w:rsid w:val="00A97C0E"/>
    <w:rsid w:val="00A97CAC"/>
    <w:rsid w:val="00A97D60"/>
    <w:rsid w:val="00A97DF0"/>
    <w:rsid w:val="00A97F02"/>
    <w:rsid w:val="00A97FF8"/>
    <w:rsid w:val="00AA0183"/>
    <w:rsid w:val="00AA01B8"/>
    <w:rsid w:val="00AA01F4"/>
    <w:rsid w:val="00AA0542"/>
    <w:rsid w:val="00AA05B0"/>
    <w:rsid w:val="00AA05EC"/>
    <w:rsid w:val="00AA073A"/>
    <w:rsid w:val="00AA0875"/>
    <w:rsid w:val="00AA08EC"/>
    <w:rsid w:val="00AA0913"/>
    <w:rsid w:val="00AA096E"/>
    <w:rsid w:val="00AA0D7F"/>
    <w:rsid w:val="00AA0F6D"/>
    <w:rsid w:val="00AA1087"/>
    <w:rsid w:val="00AA1159"/>
    <w:rsid w:val="00AA11A0"/>
    <w:rsid w:val="00AA1343"/>
    <w:rsid w:val="00AA13E0"/>
    <w:rsid w:val="00AA148C"/>
    <w:rsid w:val="00AA16E1"/>
    <w:rsid w:val="00AA18B5"/>
    <w:rsid w:val="00AA18B7"/>
    <w:rsid w:val="00AA192D"/>
    <w:rsid w:val="00AA1ABA"/>
    <w:rsid w:val="00AA1B71"/>
    <w:rsid w:val="00AA1D17"/>
    <w:rsid w:val="00AA1D55"/>
    <w:rsid w:val="00AA1F53"/>
    <w:rsid w:val="00AA206C"/>
    <w:rsid w:val="00AA20E7"/>
    <w:rsid w:val="00AA211A"/>
    <w:rsid w:val="00AA2170"/>
    <w:rsid w:val="00AA228C"/>
    <w:rsid w:val="00AA2370"/>
    <w:rsid w:val="00AA2439"/>
    <w:rsid w:val="00AA2464"/>
    <w:rsid w:val="00AA254A"/>
    <w:rsid w:val="00AA2592"/>
    <w:rsid w:val="00AA2624"/>
    <w:rsid w:val="00AA26FB"/>
    <w:rsid w:val="00AA274F"/>
    <w:rsid w:val="00AA2758"/>
    <w:rsid w:val="00AA2782"/>
    <w:rsid w:val="00AA281F"/>
    <w:rsid w:val="00AA2826"/>
    <w:rsid w:val="00AA29B0"/>
    <w:rsid w:val="00AA2AD5"/>
    <w:rsid w:val="00AA2AFE"/>
    <w:rsid w:val="00AA2B7C"/>
    <w:rsid w:val="00AA2D6D"/>
    <w:rsid w:val="00AA2E47"/>
    <w:rsid w:val="00AA2EF9"/>
    <w:rsid w:val="00AA2FCF"/>
    <w:rsid w:val="00AA2FD6"/>
    <w:rsid w:val="00AA3084"/>
    <w:rsid w:val="00AA308B"/>
    <w:rsid w:val="00AA3254"/>
    <w:rsid w:val="00AA339E"/>
    <w:rsid w:val="00AA3456"/>
    <w:rsid w:val="00AA3530"/>
    <w:rsid w:val="00AA35E2"/>
    <w:rsid w:val="00AA363A"/>
    <w:rsid w:val="00AA3772"/>
    <w:rsid w:val="00AA388B"/>
    <w:rsid w:val="00AA38E5"/>
    <w:rsid w:val="00AA3995"/>
    <w:rsid w:val="00AA3A75"/>
    <w:rsid w:val="00AA3B3D"/>
    <w:rsid w:val="00AA3B8C"/>
    <w:rsid w:val="00AA3C6E"/>
    <w:rsid w:val="00AA3DDC"/>
    <w:rsid w:val="00AA3FF0"/>
    <w:rsid w:val="00AA404D"/>
    <w:rsid w:val="00AA424B"/>
    <w:rsid w:val="00AA425F"/>
    <w:rsid w:val="00AA4365"/>
    <w:rsid w:val="00AA436F"/>
    <w:rsid w:val="00AA44C6"/>
    <w:rsid w:val="00AA4559"/>
    <w:rsid w:val="00AA470B"/>
    <w:rsid w:val="00AA4715"/>
    <w:rsid w:val="00AA471A"/>
    <w:rsid w:val="00AA47F1"/>
    <w:rsid w:val="00AA484A"/>
    <w:rsid w:val="00AA4A48"/>
    <w:rsid w:val="00AA4AA6"/>
    <w:rsid w:val="00AA4BF5"/>
    <w:rsid w:val="00AA4C27"/>
    <w:rsid w:val="00AA4C67"/>
    <w:rsid w:val="00AA4EA5"/>
    <w:rsid w:val="00AA504C"/>
    <w:rsid w:val="00AA5168"/>
    <w:rsid w:val="00AA5183"/>
    <w:rsid w:val="00AA52E0"/>
    <w:rsid w:val="00AA53C6"/>
    <w:rsid w:val="00AA5420"/>
    <w:rsid w:val="00AA54F5"/>
    <w:rsid w:val="00AA56E4"/>
    <w:rsid w:val="00AA5777"/>
    <w:rsid w:val="00AA57D4"/>
    <w:rsid w:val="00AA57E1"/>
    <w:rsid w:val="00AA5965"/>
    <w:rsid w:val="00AA59DF"/>
    <w:rsid w:val="00AA5A4A"/>
    <w:rsid w:val="00AA5A5A"/>
    <w:rsid w:val="00AA5AEF"/>
    <w:rsid w:val="00AA5B47"/>
    <w:rsid w:val="00AA5B87"/>
    <w:rsid w:val="00AA5BE5"/>
    <w:rsid w:val="00AA5C16"/>
    <w:rsid w:val="00AA5C48"/>
    <w:rsid w:val="00AA5CC0"/>
    <w:rsid w:val="00AA5D2B"/>
    <w:rsid w:val="00AA5E1A"/>
    <w:rsid w:val="00AA5EEB"/>
    <w:rsid w:val="00AA5FF9"/>
    <w:rsid w:val="00AA6035"/>
    <w:rsid w:val="00AA60EA"/>
    <w:rsid w:val="00AA61C3"/>
    <w:rsid w:val="00AA63CB"/>
    <w:rsid w:val="00AA6401"/>
    <w:rsid w:val="00AA6620"/>
    <w:rsid w:val="00AA6765"/>
    <w:rsid w:val="00AA679D"/>
    <w:rsid w:val="00AA68BD"/>
    <w:rsid w:val="00AA6978"/>
    <w:rsid w:val="00AA69BB"/>
    <w:rsid w:val="00AA69F1"/>
    <w:rsid w:val="00AA6A44"/>
    <w:rsid w:val="00AA6A66"/>
    <w:rsid w:val="00AA6B7A"/>
    <w:rsid w:val="00AA6BD5"/>
    <w:rsid w:val="00AA6D2B"/>
    <w:rsid w:val="00AA6F80"/>
    <w:rsid w:val="00AA6FA1"/>
    <w:rsid w:val="00AA7193"/>
    <w:rsid w:val="00AA71E5"/>
    <w:rsid w:val="00AA72E8"/>
    <w:rsid w:val="00AA75A3"/>
    <w:rsid w:val="00AA7736"/>
    <w:rsid w:val="00AA77E8"/>
    <w:rsid w:val="00AA7847"/>
    <w:rsid w:val="00AA78FE"/>
    <w:rsid w:val="00AA79D6"/>
    <w:rsid w:val="00AA79E0"/>
    <w:rsid w:val="00AA7A22"/>
    <w:rsid w:val="00AA7A28"/>
    <w:rsid w:val="00AA7DC4"/>
    <w:rsid w:val="00AA7F1D"/>
    <w:rsid w:val="00AB012E"/>
    <w:rsid w:val="00AB0166"/>
    <w:rsid w:val="00AB0263"/>
    <w:rsid w:val="00AB0474"/>
    <w:rsid w:val="00AB05EB"/>
    <w:rsid w:val="00AB05ED"/>
    <w:rsid w:val="00AB06BB"/>
    <w:rsid w:val="00AB06CF"/>
    <w:rsid w:val="00AB074A"/>
    <w:rsid w:val="00AB07DE"/>
    <w:rsid w:val="00AB0974"/>
    <w:rsid w:val="00AB0A8D"/>
    <w:rsid w:val="00AB0ABA"/>
    <w:rsid w:val="00AB0BC7"/>
    <w:rsid w:val="00AB0C3A"/>
    <w:rsid w:val="00AB0CE6"/>
    <w:rsid w:val="00AB0CF9"/>
    <w:rsid w:val="00AB0CFB"/>
    <w:rsid w:val="00AB0EA6"/>
    <w:rsid w:val="00AB0F7E"/>
    <w:rsid w:val="00AB0FD3"/>
    <w:rsid w:val="00AB105B"/>
    <w:rsid w:val="00AB10B0"/>
    <w:rsid w:val="00AB10FC"/>
    <w:rsid w:val="00AB13D0"/>
    <w:rsid w:val="00AB1436"/>
    <w:rsid w:val="00AB1445"/>
    <w:rsid w:val="00AB15E9"/>
    <w:rsid w:val="00AB16D8"/>
    <w:rsid w:val="00AB17C8"/>
    <w:rsid w:val="00AB17E5"/>
    <w:rsid w:val="00AB182F"/>
    <w:rsid w:val="00AB1844"/>
    <w:rsid w:val="00AB1885"/>
    <w:rsid w:val="00AB19A1"/>
    <w:rsid w:val="00AB1AC5"/>
    <w:rsid w:val="00AB1CC4"/>
    <w:rsid w:val="00AB1DEE"/>
    <w:rsid w:val="00AB1EAF"/>
    <w:rsid w:val="00AB1EEB"/>
    <w:rsid w:val="00AB1F54"/>
    <w:rsid w:val="00AB1F67"/>
    <w:rsid w:val="00AB214B"/>
    <w:rsid w:val="00AB247A"/>
    <w:rsid w:val="00AB24F0"/>
    <w:rsid w:val="00AB2636"/>
    <w:rsid w:val="00AB2669"/>
    <w:rsid w:val="00AB2765"/>
    <w:rsid w:val="00AB283F"/>
    <w:rsid w:val="00AB28EC"/>
    <w:rsid w:val="00AB2C76"/>
    <w:rsid w:val="00AB2C95"/>
    <w:rsid w:val="00AB2CCF"/>
    <w:rsid w:val="00AB2ECF"/>
    <w:rsid w:val="00AB2F32"/>
    <w:rsid w:val="00AB3136"/>
    <w:rsid w:val="00AB326C"/>
    <w:rsid w:val="00AB334A"/>
    <w:rsid w:val="00AB335D"/>
    <w:rsid w:val="00AB3433"/>
    <w:rsid w:val="00AB354E"/>
    <w:rsid w:val="00AB3675"/>
    <w:rsid w:val="00AB3A96"/>
    <w:rsid w:val="00AB3C1A"/>
    <w:rsid w:val="00AB3C61"/>
    <w:rsid w:val="00AB3D10"/>
    <w:rsid w:val="00AB3DCE"/>
    <w:rsid w:val="00AB3F0E"/>
    <w:rsid w:val="00AB3F1C"/>
    <w:rsid w:val="00AB3F4B"/>
    <w:rsid w:val="00AB4041"/>
    <w:rsid w:val="00AB41DF"/>
    <w:rsid w:val="00AB4214"/>
    <w:rsid w:val="00AB436F"/>
    <w:rsid w:val="00AB44BB"/>
    <w:rsid w:val="00AB44BD"/>
    <w:rsid w:val="00AB4568"/>
    <w:rsid w:val="00AB45E5"/>
    <w:rsid w:val="00AB4811"/>
    <w:rsid w:val="00AB4A7A"/>
    <w:rsid w:val="00AB4ADD"/>
    <w:rsid w:val="00AB4C87"/>
    <w:rsid w:val="00AB4C93"/>
    <w:rsid w:val="00AB4D51"/>
    <w:rsid w:val="00AB4DD4"/>
    <w:rsid w:val="00AB4F73"/>
    <w:rsid w:val="00AB5056"/>
    <w:rsid w:val="00AB50DC"/>
    <w:rsid w:val="00AB51A2"/>
    <w:rsid w:val="00AB52F5"/>
    <w:rsid w:val="00AB533A"/>
    <w:rsid w:val="00AB54D0"/>
    <w:rsid w:val="00AB57E4"/>
    <w:rsid w:val="00AB57EE"/>
    <w:rsid w:val="00AB57F0"/>
    <w:rsid w:val="00AB5953"/>
    <w:rsid w:val="00AB5984"/>
    <w:rsid w:val="00AB59A7"/>
    <w:rsid w:val="00AB5A66"/>
    <w:rsid w:val="00AB5ABD"/>
    <w:rsid w:val="00AB5BFF"/>
    <w:rsid w:val="00AB5C9A"/>
    <w:rsid w:val="00AB5DE0"/>
    <w:rsid w:val="00AB5FAF"/>
    <w:rsid w:val="00AB5FE1"/>
    <w:rsid w:val="00AB5FF6"/>
    <w:rsid w:val="00AB6050"/>
    <w:rsid w:val="00AB627D"/>
    <w:rsid w:val="00AB642D"/>
    <w:rsid w:val="00AB64E0"/>
    <w:rsid w:val="00AB654B"/>
    <w:rsid w:val="00AB660E"/>
    <w:rsid w:val="00AB6648"/>
    <w:rsid w:val="00AB665C"/>
    <w:rsid w:val="00AB6872"/>
    <w:rsid w:val="00AB6A3C"/>
    <w:rsid w:val="00AB6AA6"/>
    <w:rsid w:val="00AB6C33"/>
    <w:rsid w:val="00AB6D55"/>
    <w:rsid w:val="00AB6D7F"/>
    <w:rsid w:val="00AB6DAB"/>
    <w:rsid w:val="00AB6E32"/>
    <w:rsid w:val="00AB6E4B"/>
    <w:rsid w:val="00AB6E83"/>
    <w:rsid w:val="00AB6F8C"/>
    <w:rsid w:val="00AB6FB3"/>
    <w:rsid w:val="00AB70FD"/>
    <w:rsid w:val="00AB710A"/>
    <w:rsid w:val="00AB7245"/>
    <w:rsid w:val="00AB72EC"/>
    <w:rsid w:val="00AB7469"/>
    <w:rsid w:val="00AB74E2"/>
    <w:rsid w:val="00AB7517"/>
    <w:rsid w:val="00AB7826"/>
    <w:rsid w:val="00AB7903"/>
    <w:rsid w:val="00AB7950"/>
    <w:rsid w:val="00AB7C26"/>
    <w:rsid w:val="00AB7CFB"/>
    <w:rsid w:val="00AB7EA8"/>
    <w:rsid w:val="00AB7EFB"/>
    <w:rsid w:val="00AB7F73"/>
    <w:rsid w:val="00AC0044"/>
    <w:rsid w:val="00AC0061"/>
    <w:rsid w:val="00AC00BC"/>
    <w:rsid w:val="00AC019C"/>
    <w:rsid w:val="00AC032B"/>
    <w:rsid w:val="00AC0372"/>
    <w:rsid w:val="00AC0392"/>
    <w:rsid w:val="00AC039F"/>
    <w:rsid w:val="00AC0471"/>
    <w:rsid w:val="00AC049F"/>
    <w:rsid w:val="00AC05E6"/>
    <w:rsid w:val="00AC06E6"/>
    <w:rsid w:val="00AC070A"/>
    <w:rsid w:val="00AC0744"/>
    <w:rsid w:val="00AC07D7"/>
    <w:rsid w:val="00AC0866"/>
    <w:rsid w:val="00AC0912"/>
    <w:rsid w:val="00AC093E"/>
    <w:rsid w:val="00AC0953"/>
    <w:rsid w:val="00AC09F4"/>
    <w:rsid w:val="00AC0A6D"/>
    <w:rsid w:val="00AC0ADC"/>
    <w:rsid w:val="00AC0AE6"/>
    <w:rsid w:val="00AC0B33"/>
    <w:rsid w:val="00AC0BAF"/>
    <w:rsid w:val="00AC0BF8"/>
    <w:rsid w:val="00AC0C03"/>
    <w:rsid w:val="00AC0C95"/>
    <w:rsid w:val="00AC0CD8"/>
    <w:rsid w:val="00AC0D2E"/>
    <w:rsid w:val="00AC0DB0"/>
    <w:rsid w:val="00AC0F3C"/>
    <w:rsid w:val="00AC0FE8"/>
    <w:rsid w:val="00AC111F"/>
    <w:rsid w:val="00AC1192"/>
    <w:rsid w:val="00AC1318"/>
    <w:rsid w:val="00AC13E7"/>
    <w:rsid w:val="00AC148F"/>
    <w:rsid w:val="00AC1583"/>
    <w:rsid w:val="00AC1655"/>
    <w:rsid w:val="00AC17E3"/>
    <w:rsid w:val="00AC18F6"/>
    <w:rsid w:val="00AC1911"/>
    <w:rsid w:val="00AC1948"/>
    <w:rsid w:val="00AC198D"/>
    <w:rsid w:val="00AC1A97"/>
    <w:rsid w:val="00AC1B65"/>
    <w:rsid w:val="00AC1C2B"/>
    <w:rsid w:val="00AC1CAA"/>
    <w:rsid w:val="00AC1CDF"/>
    <w:rsid w:val="00AC1D33"/>
    <w:rsid w:val="00AC1D7A"/>
    <w:rsid w:val="00AC1D88"/>
    <w:rsid w:val="00AC1E67"/>
    <w:rsid w:val="00AC1F3E"/>
    <w:rsid w:val="00AC1F5B"/>
    <w:rsid w:val="00AC1FD3"/>
    <w:rsid w:val="00AC2059"/>
    <w:rsid w:val="00AC20AB"/>
    <w:rsid w:val="00AC20D4"/>
    <w:rsid w:val="00AC243D"/>
    <w:rsid w:val="00AC250A"/>
    <w:rsid w:val="00AC2514"/>
    <w:rsid w:val="00AC2527"/>
    <w:rsid w:val="00AC25DE"/>
    <w:rsid w:val="00AC25ED"/>
    <w:rsid w:val="00AC26D8"/>
    <w:rsid w:val="00AC28AC"/>
    <w:rsid w:val="00AC2979"/>
    <w:rsid w:val="00AC2B56"/>
    <w:rsid w:val="00AC2CF2"/>
    <w:rsid w:val="00AC2CFF"/>
    <w:rsid w:val="00AC2D7E"/>
    <w:rsid w:val="00AC2DA3"/>
    <w:rsid w:val="00AC2E0F"/>
    <w:rsid w:val="00AC2EBB"/>
    <w:rsid w:val="00AC2F08"/>
    <w:rsid w:val="00AC3123"/>
    <w:rsid w:val="00AC31E8"/>
    <w:rsid w:val="00AC3209"/>
    <w:rsid w:val="00AC3324"/>
    <w:rsid w:val="00AC339F"/>
    <w:rsid w:val="00AC3447"/>
    <w:rsid w:val="00AC34AD"/>
    <w:rsid w:val="00AC352E"/>
    <w:rsid w:val="00AC35C4"/>
    <w:rsid w:val="00AC35EA"/>
    <w:rsid w:val="00AC36CB"/>
    <w:rsid w:val="00AC372E"/>
    <w:rsid w:val="00AC378B"/>
    <w:rsid w:val="00AC3B6B"/>
    <w:rsid w:val="00AC3D94"/>
    <w:rsid w:val="00AC3E0F"/>
    <w:rsid w:val="00AC3E31"/>
    <w:rsid w:val="00AC3E5D"/>
    <w:rsid w:val="00AC3E61"/>
    <w:rsid w:val="00AC401B"/>
    <w:rsid w:val="00AC4117"/>
    <w:rsid w:val="00AC426B"/>
    <w:rsid w:val="00AC427F"/>
    <w:rsid w:val="00AC432F"/>
    <w:rsid w:val="00AC43C8"/>
    <w:rsid w:val="00AC4416"/>
    <w:rsid w:val="00AC4490"/>
    <w:rsid w:val="00AC458D"/>
    <w:rsid w:val="00AC4778"/>
    <w:rsid w:val="00AC488B"/>
    <w:rsid w:val="00AC4960"/>
    <w:rsid w:val="00AC49C2"/>
    <w:rsid w:val="00AC4B61"/>
    <w:rsid w:val="00AC4D40"/>
    <w:rsid w:val="00AC4D48"/>
    <w:rsid w:val="00AC4D7B"/>
    <w:rsid w:val="00AC4DB3"/>
    <w:rsid w:val="00AC4E27"/>
    <w:rsid w:val="00AC4EDF"/>
    <w:rsid w:val="00AC4F1F"/>
    <w:rsid w:val="00AC4F74"/>
    <w:rsid w:val="00AC4F93"/>
    <w:rsid w:val="00AC5031"/>
    <w:rsid w:val="00AC5207"/>
    <w:rsid w:val="00AC53A7"/>
    <w:rsid w:val="00AC54C1"/>
    <w:rsid w:val="00AC54DF"/>
    <w:rsid w:val="00AC5712"/>
    <w:rsid w:val="00AC5A8F"/>
    <w:rsid w:val="00AC5BA8"/>
    <w:rsid w:val="00AC5D68"/>
    <w:rsid w:val="00AC5DA5"/>
    <w:rsid w:val="00AC6114"/>
    <w:rsid w:val="00AC65F2"/>
    <w:rsid w:val="00AC6659"/>
    <w:rsid w:val="00AC6660"/>
    <w:rsid w:val="00AC688C"/>
    <w:rsid w:val="00AC68B2"/>
    <w:rsid w:val="00AC68FC"/>
    <w:rsid w:val="00AC6BB2"/>
    <w:rsid w:val="00AC6BE2"/>
    <w:rsid w:val="00AC6C18"/>
    <w:rsid w:val="00AC6C8B"/>
    <w:rsid w:val="00AC6D47"/>
    <w:rsid w:val="00AC6DCB"/>
    <w:rsid w:val="00AC6E4B"/>
    <w:rsid w:val="00AC6F05"/>
    <w:rsid w:val="00AC6F5C"/>
    <w:rsid w:val="00AC712B"/>
    <w:rsid w:val="00AC71D4"/>
    <w:rsid w:val="00AC7230"/>
    <w:rsid w:val="00AC7321"/>
    <w:rsid w:val="00AC740D"/>
    <w:rsid w:val="00AC7437"/>
    <w:rsid w:val="00AC785D"/>
    <w:rsid w:val="00AC787F"/>
    <w:rsid w:val="00AC78D5"/>
    <w:rsid w:val="00AC78F8"/>
    <w:rsid w:val="00AC7AF8"/>
    <w:rsid w:val="00AC7B8D"/>
    <w:rsid w:val="00AC7C75"/>
    <w:rsid w:val="00AC7E1F"/>
    <w:rsid w:val="00AC7FEB"/>
    <w:rsid w:val="00AD0060"/>
    <w:rsid w:val="00AD0061"/>
    <w:rsid w:val="00AD00CE"/>
    <w:rsid w:val="00AD00E7"/>
    <w:rsid w:val="00AD0120"/>
    <w:rsid w:val="00AD0126"/>
    <w:rsid w:val="00AD02FD"/>
    <w:rsid w:val="00AD030F"/>
    <w:rsid w:val="00AD051C"/>
    <w:rsid w:val="00AD05A6"/>
    <w:rsid w:val="00AD0606"/>
    <w:rsid w:val="00AD06BA"/>
    <w:rsid w:val="00AD0711"/>
    <w:rsid w:val="00AD0894"/>
    <w:rsid w:val="00AD0A35"/>
    <w:rsid w:val="00AD0B14"/>
    <w:rsid w:val="00AD0B6D"/>
    <w:rsid w:val="00AD0C1B"/>
    <w:rsid w:val="00AD0D76"/>
    <w:rsid w:val="00AD0E94"/>
    <w:rsid w:val="00AD0EC0"/>
    <w:rsid w:val="00AD0F81"/>
    <w:rsid w:val="00AD10F4"/>
    <w:rsid w:val="00AD133A"/>
    <w:rsid w:val="00AD1344"/>
    <w:rsid w:val="00AD13F8"/>
    <w:rsid w:val="00AD1418"/>
    <w:rsid w:val="00AD14D4"/>
    <w:rsid w:val="00AD151B"/>
    <w:rsid w:val="00AD162B"/>
    <w:rsid w:val="00AD18DC"/>
    <w:rsid w:val="00AD18E2"/>
    <w:rsid w:val="00AD19D2"/>
    <w:rsid w:val="00AD1AD9"/>
    <w:rsid w:val="00AD1AEB"/>
    <w:rsid w:val="00AD1B90"/>
    <w:rsid w:val="00AD1C08"/>
    <w:rsid w:val="00AD1ED1"/>
    <w:rsid w:val="00AD1F14"/>
    <w:rsid w:val="00AD1F36"/>
    <w:rsid w:val="00AD1F49"/>
    <w:rsid w:val="00AD1F7B"/>
    <w:rsid w:val="00AD1FD3"/>
    <w:rsid w:val="00AD1FF6"/>
    <w:rsid w:val="00AD21A9"/>
    <w:rsid w:val="00AD2303"/>
    <w:rsid w:val="00AD2332"/>
    <w:rsid w:val="00AD237D"/>
    <w:rsid w:val="00AD2424"/>
    <w:rsid w:val="00AD24A0"/>
    <w:rsid w:val="00AD2603"/>
    <w:rsid w:val="00AD26CE"/>
    <w:rsid w:val="00AD26FC"/>
    <w:rsid w:val="00AD270E"/>
    <w:rsid w:val="00AD2A58"/>
    <w:rsid w:val="00AD2A6C"/>
    <w:rsid w:val="00AD2AA5"/>
    <w:rsid w:val="00AD2B72"/>
    <w:rsid w:val="00AD2C4A"/>
    <w:rsid w:val="00AD2CDC"/>
    <w:rsid w:val="00AD2CDD"/>
    <w:rsid w:val="00AD2DDA"/>
    <w:rsid w:val="00AD2DE6"/>
    <w:rsid w:val="00AD2EAA"/>
    <w:rsid w:val="00AD3011"/>
    <w:rsid w:val="00AD3035"/>
    <w:rsid w:val="00AD3081"/>
    <w:rsid w:val="00AD33D1"/>
    <w:rsid w:val="00AD34D6"/>
    <w:rsid w:val="00AD34D8"/>
    <w:rsid w:val="00AD351A"/>
    <w:rsid w:val="00AD359D"/>
    <w:rsid w:val="00AD35DF"/>
    <w:rsid w:val="00AD36E8"/>
    <w:rsid w:val="00AD378F"/>
    <w:rsid w:val="00AD3899"/>
    <w:rsid w:val="00AD38AF"/>
    <w:rsid w:val="00AD3912"/>
    <w:rsid w:val="00AD3A7E"/>
    <w:rsid w:val="00AD3AB3"/>
    <w:rsid w:val="00AD3BB5"/>
    <w:rsid w:val="00AD3BBD"/>
    <w:rsid w:val="00AD3DE8"/>
    <w:rsid w:val="00AD3FC5"/>
    <w:rsid w:val="00AD423A"/>
    <w:rsid w:val="00AD4323"/>
    <w:rsid w:val="00AD44DF"/>
    <w:rsid w:val="00AD457E"/>
    <w:rsid w:val="00AD4632"/>
    <w:rsid w:val="00AD46EE"/>
    <w:rsid w:val="00AD4797"/>
    <w:rsid w:val="00AD47EF"/>
    <w:rsid w:val="00AD4868"/>
    <w:rsid w:val="00AD495D"/>
    <w:rsid w:val="00AD4B6C"/>
    <w:rsid w:val="00AD4BE3"/>
    <w:rsid w:val="00AD4C3A"/>
    <w:rsid w:val="00AD4EF7"/>
    <w:rsid w:val="00AD522E"/>
    <w:rsid w:val="00AD5471"/>
    <w:rsid w:val="00AD549C"/>
    <w:rsid w:val="00AD54E2"/>
    <w:rsid w:val="00AD555D"/>
    <w:rsid w:val="00AD5667"/>
    <w:rsid w:val="00AD5ADC"/>
    <w:rsid w:val="00AD5CA1"/>
    <w:rsid w:val="00AD5E66"/>
    <w:rsid w:val="00AD5EC6"/>
    <w:rsid w:val="00AD6053"/>
    <w:rsid w:val="00AD60A3"/>
    <w:rsid w:val="00AD6156"/>
    <w:rsid w:val="00AD6170"/>
    <w:rsid w:val="00AD6357"/>
    <w:rsid w:val="00AD639D"/>
    <w:rsid w:val="00AD640F"/>
    <w:rsid w:val="00AD6481"/>
    <w:rsid w:val="00AD652D"/>
    <w:rsid w:val="00AD657D"/>
    <w:rsid w:val="00AD6584"/>
    <w:rsid w:val="00AD65A7"/>
    <w:rsid w:val="00AD66D1"/>
    <w:rsid w:val="00AD6772"/>
    <w:rsid w:val="00AD679F"/>
    <w:rsid w:val="00AD687F"/>
    <w:rsid w:val="00AD6999"/>
    <w:rsid w:val="00AD6CF0"/>
    <w:rsid w:val="00AD6F67"/>
    <w:rsid w:val="00AD7057"/>
    <w:rsid w:val="00AD70F3"/>
    <w:rsid w:val="00AD71CA"/>
    <w:rsid w:val="00AD724D"/>
    <w:rsid w:val="00AD73BE"/>
    <w:rsid w:val="00AD73D5"/>
    <w:rsid w:val="00AD73F6"/>
    <w:rsid w:val="00AD7516"/>
    <w:rsid w:val="00AD754E"/>
    <w:rsid w:val="00AD757F"/>
    <w:rsid w:val="00AD7638"/>
    <w:rsid w:val="00AD76E6"/>
    <w:rsid w:val="00AD78BF"/>
    <w:rsid w:val="00AD7904"/>
    <w:rsid w:val="00AD798A"/>
    <w:rsid w:val="00AD79D1"/>
    <w:rsid w:val="00AD7A72"/>
    <w:rsid w:val="00AD7B3F"/>
    <w:rsid w:val="00AD7B46"/>
    <w:rsid w:val="00AD7BBB"/>
    <w:rsid w:val="00AD7CC1"/>
    <w:rsid w:val="00AD7D45"/>
    <w:rsid w:val="00AD7DCC"/>
    <w:rsid w:val="00AD7E0A"/>
    <w:rsid w:val="00AD7E96"/>
    <w:rsid w:val="00AD7F9C"/>
    <w:rsid w:val="00AE0121"/>
    <w:rsid w:val="00AE0172"/>
    <w:rsid w:val="00AE026F"/>
    <w:rsid w:val="00AE034D"/>
    <w:rsid w:val="00AE0439"/>
    <w:rsid w:val="00AE044B"/>
    <w:rsid w:val="00AE0493"/>
    <w:rsid w:val="00AE0556"/>
    <w:rsid w:val="00AE0580"/>
    <w:rsid w:val="00AE0640"/>
    <w:rsid w:val="00AE07A7"/>
    <w:rsid w:val="00AE08FB"/>
    <w:rsid w:val="00AE0A5C"/>
    <w:rsid w:val="00AE0A8A"/>
    <w:rsid w:val="00AE0B75"/>
    <w:rsid w:val="00AE0CA0"/>
    <w:rsid w:val="00AE0CBB"/>
    <w:rsid w:val="00AE0D0F"/>
    <w:rsid w:val="00AE0D57"/>
    <w:rsid w:val="00AE0DA7"/>
    <w:rsid w:val="00AE0F09"/>
    <w:rsid w:val="00AE1005"/>
    <w:rsid w:val="00AE1365"/>
    <w:rsid w:val="00AE139E"/>
    <w:rsid w:val="00AE1436"/>
    <w:rsid w:val="00AE1449"/>
    <w:rsid w:val="00AE14AF"/>
    <w:rsid w:val="00AE152B"/>
    <w:rsid w:val="00AE1542"/>
    <w:rsid w:val="00AE1586"/>
    <w:rsid w:val="00AE16C4"/>
    <w:rsid w:val="00AE1876"/>
    <w:rsid w:val="00AE189B"/>
    <w:rsid w:val="00AE1A3D"/>
    <w:rsid w:val="00AE1B82"/>
    <w:rsid w:val="00AE1CC9"/>
    <w:rsid w:val="00AE1D0B"/>
    <w:rsid w:val="00AE1D8F"/>
    <w:rsid w:val="00AE1E61"/>
    <w:rsid w:val="00AE203B"/>
    <w:rsid w:val="00AE21EF"/>
    <w:rsid w:val="00AE2476"/>
    <w:rsid w:val="00AE2644"/>
    <w:rsid w:val="00AE2673"/>
    <w:rsid w:val="00AE26AB"/>
    <w:rsid w:val="00AE273D"/>
    <w:rsid w:val="00AE2823"/>
    <w:rsid w:val="00AE2858"/>
    <w:rsid w:val="00AE285C"/>
    <w:rsid w:val="00AE29CC"/>
    <w:rsid w:val="00AE2A46"/>
    <w:rsid w:val="00AE2A70"/>
    <w:rsid w:val="00AE2A7A"/>
    <w:rsid w:val="00AE2C13"/>
    <w:rsid w:val="00AE2D55"/>
    <w:rsid w:val="00AE2D58"/>
    <w:rsid w:val="00AE2D8B"/>
    <w:rsid w:val="00AE2E2C"/>
    <w:rsid w:val="00AE2FAF"/>
    <w:rsid w:val="00AE2FC1"/>
    <w:rsid w:val="00AE3189"/>
    <w:rsid w:val="00AE318A"/>
    <w:rsid w:val="00AE31A4"/>
    <w:rsid w:val="00AE3259"/>
    <w:rsid w:val="00AE32FE"/>
    <w:rsid w:val="00AE3526"/>
    <w:rsid w:val="00AE3842"/>
    <w:rsid w:val="00AE386F"/>
    <w:rsid w:val="00AE38CC"/>
    <w:rsid w:val="00AE3A55"/>
    <w:rsid w:val="00AE3AE2"/>
    <w:rsid w:val="00AE3BF4"/>
    <w:rsid w:val="00AE3C9E"/>
    <w:rsid w:val="00AE3D12"/>
    <w:rsid w:val="00AE3D7B"/>
    <w:rsid w:val="00AE3F42"/>
    <w:rsid w:val="00AE40C3"/>
    <w:rsid w:val="00AE4133"/>
    <w:rsid w:val="00AE4175"/>
    <w:rsid w:val="00AE418C"/>
    <w:rsid w:val="00AE42AA"/>
    <w:rsid w:val="00AE42FD"/>
    <w:rsid w:val="00AE4385"/>
    <w:rsid w:val="00AE43CB"/>
    <w:rsid w:val="00AE4440"/>
    <w:rsid w:val="00AE447D"/>
    <w:rsid w:val="00AE4595"/>
    <w:rsid w:val="00AE461A"/>
    <w:rsid w:val="00AE4725"/>
    <w:rsid w:val="00AE4770"/>
    <w:rsid w:val="00AE4797"/>
    <w:rsid w:val="00AE4808"/>
    <w:rsid w:val="00AE4815"/>
    <w:rsid w:val="00AE4AE8"/>
    <w:rsid w:val="00AE4B03"/>
    <w:rsid w:val="00AE4C50"/>
    <w:rsid w:val="00AE4D5D"/>
    <w:rsid w:val="00AE4E7F"/>
    <w:rsid w:val="00AE5231"/>
    <w:rsid w:val="00AE5291"/>
    <w:rsid w:val="00AE52B7"/>
    <w:rsid w:val="00AE52DA"/>
    <w:rsid w:val="00AE550E"/>
    <w:rsid w:val="00AE5927"/>
    <w:rsid w:val="00AE5C1A"/>
    <w:rsid w:val="00AE5E01"/>
    <w:rsid w:val="00AE6061"/>
    <w:rsid w:val="00AE6524"/>
    <w:rsid w:val="00AE654E"/>
    <w:rsid w:val="00AE66E0"/>
    <w:rsid w:val="00AE6751"/>
    <w:rsid w:val="00AE68E6"/>
    <w:rsid w:val="00AE6992"/>
    <w:rsid w:val="00AE6994"/>
    <w:rsid w:val="00AE6C14"/>
    <w:rsid w:val="00AE6C3B"/>
    <w:rsid w:val="00AE6CB9"/>
    <w:rsid w:val="00AE6DB4"/>
    <w:rsid w:val="00AE6F15"/>
    <w:rsid w:val="00AE701B"/>
    <w:rsid w:val="00AE707F"/>
    <w:rsid w:val="00AE7183"/>
    <w:rsid w:val="00AE731B"/>
    <w:rsid w:val="00AE7337"/>
    <w:rsid w:val="00AE73E6"/>
    <w:rsid w:val="00AE74FD"/>
    <w:rsid w:val="00AE7702"/>
    <w:rsid w:val="00AE779A"/>
    <w:rsid w:val="00AE77C3"/>
    <w:rsid w:val="00AE781D"/>
    <w:rsid w:val="00AE78FE"/>
    <w:rsid w:val="00AE7C35"/>
    <w:rsid w:val="00AE7C7A"/>
    <w:rsid w:val="00AE7E38"/>
    <w:rsid w:val="00AE7E52"/>
    <w:rsid w:val="00AE7FE1"/>
    <w:rsid w:val="00AF0002"/>
    <w:rsid w:val="00AF008C"/>
    <w:rsid w:val="00AF00BE"/>
    <w:rsid w:val="00AF0110"/>
    <w:rsid w:val="00AF01C3"/>
    <w:rsid w:val="00AF026E"/>
    <w:rsid w:val="00AF0343"/>
    <w:rsid w:val="00AF0352"/>
    <w:rsid w:val="00AF0405"/>
    <w:rsid w:val="00AF04F5"/>
    <w:rsid w:val="00AF0507"/>
    <w:rsid w:val="00AF0667"/>
    <w:rsid w:val="00AF0A3D"/>
    <w:rsid w:val="00AF0B7F"/>
    <w:rsid w:val="00AF0D3B"/>
    <w:rsid w:val="00AF0DC6"/>
    <w:rsid w:val="00AF0EBE"/>
    <w:rsid w:val="00AF0FA9"/>
    <w:rsid w:val="00AF0FE3"/>
    <w:rsid w:val="00AF137D"/>
    <w:rsid w:val="00AF1582"/>
    <w:rsid w:val="00AF15C9"/>
    <w:rsid w:val="00AF15D7"/>
    <w:rsid w:val="00AF1659"/>
    <w:rsid w:val="00AF16B4"/>
    <w:rsid w:val="00AF1769"/>
    <w:rsid w:val="00AF183C"/>
    <w:rsid w:val="00AF1894"/>
    <w:rsid w:val="00AF18AF"/>
    <w:rsid w:val="00AF1969"/>
    <w:rsid w:val="00AF19F9"/>
    <w:rsid w:val="00AF1B97"/>
    <w:rsid w:val="00AF1D00"/>
    <w:rsid w:val="00AF1D28"/>
    <w:rsid w:val="00AF1D4B"/>
    <w:rsid w:val="00AF1D65"/>
    <w:rsid w:val="00AF206E"/>
    <w:rsid w:val="00AF2162"/>
    <w:rsid w:val="00AF2229"/>
    <w:rsid w:val="00AF233E"/>
    <w:rsid w:val="00AF2365"/>
    <w:rsid w:val="00AF23A6"/>
    <w:rsid w:val="00AF2409"/>
    <w:rsid w:val="00AF24A5"/>
    <w:rsid w:val="00AF24B4"/>
    <w:rsid w:val="00AF24E8"/>
    <w:rsid w:val="00AF26C8"/>
    <w:rsid w:val="00AF26D8"/>
    <w:rsid w:val="00AF26E1"/>
    <w:rsid w:val="00AF2876"/>
    <w:rsid w:val="00AF28C4"/>
    <w:rsid w:val="00AF2BCE"/>
    <w:rsid w:val="00AF2BDC"/>
    <w:rsid w:val="00AF2CA1"/>
    <w:rsid w:val="00AF2D4A"/>
    <w:rsid w:val="00AF2DFA"/>
    <w:rsid w:val="00AF2E43"/>
    <w:rsid w:val="00AF2E59"/>
    <w:rsid w:val="00AF2E9D"/>
    <w:rsid w:val="00AF2EAB"/>
    <w:rsid w:val="00AF3172"/>
    <w:rsid w:val="00AF31C8"/>
    <w:rsid w:val="00AF3256"/>
    <w:rsid w:val="00AF3281"/>
    <w:rsid w:val="00AF3291"/>
    <w:rsid w:val="00AF3392"/>
    <w:rsid w:val="00AF33A8"/>
    <w:rsid w:val="00AF3497"/>
    <w:rsid w:val="00AF34A6"/>
    <w:rsid w:val="00AF3536"/>
    <w:rsid w:val="00AF354A"/>
    <w:rsid w:val="00AF3563"/>
    <w:rsid w:val="00AF3648"/>
    <w:rsid w:val="00AF3772"/>
    <w:rsid w:val="00AF378B"/>
    <w:rsid w:val="00AF37C9"/>
    <w:rsid w:val="00AF38D9"/>
    <w:rsid w:val="00AF39AF"/>
    <w:rsid w:val="00AF3BA2"/>
    <w:rsid w:val="00AF3BF5"/>
    <w:rsid w:val="00AF3CF9"/>
    <w:rsid w:val="00AF3DEF"/>
    <w:rsid w:val="00AF3E5B"/>
    <w:rsid w:val="00AF3E91"/>
    <w:rsid w:val="00AF3F58"/>
    <w:rsid w:val="00AF44C4"/>
    <w:rsid w:val="00AF44D0"/>
    <w:rsid w:val="00AF46B3"/>
    <w:rsid w:val="00AF4799"/>
    <w:rsid w:val="00AF479B"/>
    <w:rsid w:val="00AF47EF"/>
    <w:rsid w:val="00AF48AD"/>
    <w:rsid w:val="00AF4987"/>
    <w:rsid w:val="00AF4AA4"/>
    <w:rsid w:val="00AF4B96"/>
    <w:rsid w:val="00AF4C1E"/>
    <w:rsid w:val="00AF4C26"/>
    <w:rsid w:val="00AF4C3C"/>
    <w:rsid w:val="00AF4CF3"/>
    <w:rsid w:val="00AF4E89"/>
    <w:rsid w:val="00AF4F77"/>
    <w:rsid w:val="00AF514A"/>
    <w:rsid w:val="00AF52DA"/>
    <w:rsid w:val="00AF5332"/>
    <w:rsid w:val="00AF5408"/>
    <w:rsid w:val="00AF5783"/>
    <w:rsid w:val="00AF5824"/>
    <w:rsid w:val="00AF5863"/>
    <w:rsid w:val="00AF5932"/>
    <w:rsid w:val="00AF5BE4"/>
    <w:rsid w:val="00AF5D07"/>
    <w:rsid w:val="00AF6076"/>
    <w:rsid w:val="00AF60DF"/>
    <w:rsid w:val="00AF616F"/>
    <w:rsid w:val="00AF6389"/>
    <w:rsid w:val="00AF6407"/>
    <w:rsid w:val="00AF64F9"/>
    <w:rsid w:val="00AF6564"/>
    <w:rsid w:val="00AF6658"/>
    <w:rsid w:val="00AF665D"/>
    <w:rsid w:val="00AF694F"/>
    <w:rsid w:val="00AF6A6B"/>
    <w:rsid w:val="00AF6BA6"/>
    <w:rsid w:val="00AF6C63"/>
    <w:rsid w:val="00AF6CA0"/>
    <w:rsid w:val="00AF6CF6"/>
    <w:rsid w:val="00AF6E33"/>
    <w:rsid w:val="00AF6F43"/>
    <w:rsid w:val="00AF6F6C"/>
    <w:rsid w:val="00AF7040"/>
    <w:rsid w:val="00AF7048"/>
    <w:rsid w:val="00AF70E1"/>
    <w:rsid w:val="00AF7127"/>
    <w:rsid w:val="00AF714D"/>
    <w:rsid w:val="00AF71D0"/>
    <w:rsid w:val="00AF7227"/>
    <w:rsid w:val="00AF722E"/>
    <w:rsid w:val="00AF72C1"/>
    <w:rsid w:val="00AF72C3"/>
    <w:rsid w:val="00AF742E"/>
    <w:rsid w:val="00AF74FE"/>
    <w:rsid w:val="00AF750E"/>
    <w:rsid w:val="00AF77C5"/>
    <w:rsid w:val="00AF7A2A"/>
    <w:rsid w:val="00AF7A53"/>
    <w:rsid w:val="00AF7AF4"/>
    <w:rsid w:val="00AF7B09"/>
    <w:rsid w:val="00AF7B7B"/>
    <w:rsid w:val="00AF7D19"/>
    <w:rsid w:val="00AF7D37"/>
    <w:rsid w:val="00AF7D65"/>
    <w:rsid w:val="00AF7E4D"/>
    <w:rsid w:val="00AF7FE8"/>
    <w:rsid w:val="00B000AC"/>
    <w:rsid w:val="00B003A6"/>
    <w:rsid w:val="00B007B3"/>
    <w:rsid w:val="00B00997"/>
    <w:rsid w:val="00B00B5F"/>
    <w:rsid w:val="00B00CD6"/>
    <w:rsid w:val="00B00CF1"/>
    <w:rsid w:val="00B00DAF"/>
    <w:rsid w:val="00B00FA9"/>
    <w:rsid w:val="00B01019"/>
    <w:rsid w:val="00B01033"/>
    <w:rsid w:val="00B011E8"/>
    <w:rsid w:val="00B01290"/>
    <w:rsid w:val="00B0140F"/>
    <w:rsid w:val="00B01471"/>
    <w:rsid w:val="00B01971"/>
    <w:rsid w:val="00B01A6A"/>
    <w:rsid w:val="00B01AA2"/>
    <w:rsid w:val="00B01BE0"/>
    <w:rsid w:val="00B01C13"/>
    <w:rsid w:val="00B01E3B"/>
    <w:rsid w:val="00B01F50"/>
    <w:rsid w:val="00B01FB8"/>
    <w:rsid w:val="00B02082"/>
    <w:rsid w:val="00B020ED"/>
    <w:rsid w:val="00B02203"/>
    <w:rsid w:val="00B02276"/>
    <w:rsid w:val="00B02417"/>
    <w:rsid w:val="00B02469"/>
    <w:rsid w:val="00B02503"/>
    <w:rsid w:val="00B0255D"/>
    <w:rsid w:val="00B02689"/>
    <w:rsid w:val="00B0268C"/>
    <w:rsid w:val="00B02726"/>
    <w:rsid w:val="00B02A56"/>
    <w:rsid w:val="00B02BCC"/>
    <w:rsid w:val="00B02C09"/>
    <w:rsid w:val="00B02D08"/>
    <w:rsid w:val="00B02DBD"/>
    <w:rsid w:val="00B02E57"/>
    <w:rsid w:val="00B02F3B"/>
    <w:rsid w:val="00B0300F"/>
    <w:rsid w:val="00B03067"/>
    <w:rsid w:val="00B030B1"/>
    <w:rsid w:val="00B03127"/>
    <w:rsid w:val="00B0315D"/>
    <w:rsid w:val="00B03174"/>
    <w:rsid w:val="00B0317A"/>
    <w:rsid w:val="00B0329F"/>
    <w:rsid w:val="00B033D1"/>
    <w:rsid w:val="00B0349D"/>
    <w:rsid w:val="00B034B4"/>
    <w:rsid w:val="00B0356C"/>
    <w:rsid w:val="00B0367A"/>
    <w:rsid w:val="00B03684"/>
    <w:rsid w:val="00B03905"/>
    <w:rsid w:val="00B0397F"/>
    <w:rsid w:val="00B039A2"/>
    <w:rsid w:val="00B03B3A"/>
    <w:rsid w:val="00B03BA4"/>
    <w:rsid w:val="00B03C7D"/>
    <w:rsid w:val="00B03CF8"/>
    <w:rsid w:val="00B03D62"/>
    <w:rsid w:val="00B03E56"/>
    <w:rsid w:val="00B03F49"/>
    <w:rsid w:val="00B040A5"/>
    <w:rsid w:val="00B0422D"/>
    <w:rsid w:val="00B04241"/>
    <w:rsid w:val="00B042F6"/>
    <w:rsid w:val="00B043CC"/>
    <w:rsid w:val="00B04415"/>
    <w:rsid w:val="00B04443"/>
    <w:rsid w:val="00B04457"/>
    <w:rsid w:val="00B0446C"/>
    <w:rsid w:val="00B046AE"/>
    <w:rsid w:val="00B04720"/>
    <w:rsid w:val="00B047F8"/>
    <w:rsid w:val="00B0481B"/>
    <w:rsid w:val="00B049E6"/>
    <w:rsid w:val="00B04AF8"/>
    <w:rsid w:val="00B04B21"/>
    <w:rsid w:val="00B04D3F"/>
    <w:rsid w:val="00B04DFA"/>
    <w:rsid w:val="00B04E1B"/>
    <w:rsid w:val="00B04E81"/>
    <w:rsid w:val="00B04F1D"/>
    <w:rsid w:val="00B050B7"/>
    <w:rsid w:val="00B05308"/>
    <w:rsid w:val="00B05403"/>
    <w:rsid w:val="00B05422"/>
    <w:rsid w:val="00B05430"/>
    <w:rsid w:val="00B0557A"/>
    <w:rsid w:val="00B0571F"/>
    <w:rsid w:val="00B057D0"/>
    <w:rsid w:val="00B058FE"/>
    <w:rsid w:val="00B05AA7"/>
    <w:rsid w:val="00B05B18"/>
    <w:rsid w:val="00B05C95"/>
    <w:rsid w:val="00B05CAD"/>
    <w:rsid w:val="00B05CEC"/>
    <w:rsid w:val="00B05D08"/>
    <w:rsid w:val="00B05D49"/>
    <w:rsid w:val="00B05D56"/>
    <w:rsid w:val="00B05F1E"/>
    <w:rsid w:val="00B05F65"/>
    <w:rsid w:val="00B060D4"/>
    <w:rsid w:val="00B060E8"/>
    <w:rsid w:val="00B0612F"/>
    <w:rsid w:val="00B06174"/>
    <w:rsid w:val="00B06191"/>
    <w:rsid w:val="00B061E0"/>
    <w:rsid w:val="00B064D3"/>
    <w:rsid w:val="00B064E8"/>
    <w:rsid w:val="00B06537"/>
    <w:rsid w:val="00B06574"/>
    <w:rsid w:val="00B066CB"/>
    <w:rsid w:val="00B066E9"/>
    <w:rsid w:val="00B0672D"/>
    <w:rsid w:val="00B06747"/>
    <w:rsid w:val="00B0683F"/>
    <w:rsid w:val="00B06847"/>
    <w:rsid w:val="00B069DF"/>
    <w:rsid w:val="00B06A6D"/>
    <w:rsid w:val="00B06B0B"/>
    <w:rsid w:val="00B06D5B"/>
    <w:rsid w:val="00B06D85"/>
    <w:rsid w:val="00B06D97"/>
    <w:rsid w:val="00B06DE1"/>
    <w:rsid w:val="00B06E90"/>
    <w:rsid w:val="00B06FCB"/>
    <w:rsid w:val="00B06FD3"/>
    <w:rsid w:val="00B07262"/>
    <w:rsid w:val="00B07295"/>
    <w:rsid w:val="00B0734C"/>
    <w:rsid w:val="00B075B4"/>
    <w:rsid w:val="00B07703"/>
    <w:rsid w:val="00B07718"/>
    <w:rsid w:val="00B07AB3"/>
    <w:rsid w:val="00B07BB2"/>
    <w:rsid w:val="00B07BCC"/>
    <w:rsid w:val="00B07D31"/>
    <w:rsid w:val="00B07EC3"/>
    <w:rsid w:val="00B1008E"/>
    <w:rsid w:val="00B100A1"/>
    <w:rsid w:val="00B100E6"/>
    <w:rsid w:val="00B100F1"/>
    <w:rsid w:val="00B10167"/>
    <w:rsid w:val="00B1031C"/>
    <w:rsid w:val="00B104CE"/>
    <w:rsid w:val="00B1057F"/>
    <w:rsid w:val="00B105C2"/>
    <w:rsid w:val="00B106D4"/>
    <w:rsid w:val="00B1082D"/>
    <w:rsid w:val="00B109FB"/>
    <w:rsid w:val="00B10A70"/>
    <w:rsid w:val="00B10B84"/>
    <w:rsid w:val="00B10BF1"/>
    <w:rsid w:val="00B10CD4"/>
    <w:rsid w:val="00B10D4D"/>
    <w:rsid w:val="00B10D9D"/>
    <w:rsid w:val="00B10E57"/>
    <w:rsid w:val="00B10E66"/>
    <w:rsid w:val="00B10E91"/>
    <w:rsid w:val="00B10EEC"/>
    <w:rsid w:val="00B10F7F"/>
    <w:rsid w:val="00B10FBD"/>
    <w:rsid w:val="00B10FD3"/>
    <w:rsid w:val="00B10FDA"/>
    <w:rsid w:val="00B11165"/>
    <w:rsid w:val="00B1119B"/>
    <w:rsid w:val="00B11221"/>
    <w:rsid w:val="00B1123D"/>
    <w:rsid w:val="00B112B7"/>
    <w:rsid w:val="00B1135D"/>
    <w:rsid w:val="00B114D6"/>
    <w:rsid w:val="00B114E6"/>
    <w:rsid w:val="00B114FD"/>
    <w:rsid w:val="00B11511"/>
    <w:rsid w:val="00B115BA"/>
    <w:rsid w:val="00B117F9"/>
    <w:rsid w:val="00B11844"/>
    <w:rsid w:val="00B1193D"/>
    <w:rsid w:val="00B11AF1"/>
    <w:rsid w:val="00B11B64"/>
    <w:rsid w:val="00B11BEC"/>
    <w:rsid w:val="00B11E25"/>
    <w:rsid w:val="00B11E29"/>
    <w:rsid w:val="00B11F16"/>
    <w:rsid w:val="00B120A3"/>
    <w:rsid w:val="00B120F4"/>
    <w:rsid w:val="00B12136"/>
    <w:rsid w:val="00B1224F"/>
    <w:rsid w:val="00B1237D"/>
    <w:rsid w:val="00B1238C"/>
    <w:rsid w:val="00B123E6"/>
    <w:rsid w:val="00B12637"/>
    <w:rsid w:val="00B12894"/>
    <w:rsid w:val="00B129AE"/>
    <w:rsid w:val="00B129F9"/>
    <w:rsid w:val="00B12A03"/>
    <w:rsid w:val="00B12C23"/>
    <w:rsid w:val="00B12D4F"/>
    <w:rsid w:val="00B12D8E"/>
    <w:rsid w:val="00B12EF6"/>
    <w:rsid w:val="00B13016"/>
    <w:rsid w:val="00B13068"/>
    <w:rsid w:val="00B13130"/>
    <w:rsid w:val="00B131D4"/>
    <w:rsid w:val="00B132CC"/>
    <w:rsid w:val="00B13569"/>
    <w:rsid w:val="00B13746"/>
    <w:rsid w:val="00B137BE"/>
    <w:rsid w:val="00B137EF"/>
    <w:rsid w:val="00B1382F"/>
    <w:rsid w:val="00B138DC"/>
    <w:rsid w:val="00B1399A"/>
    <w:rsid w:val="00B13A8D"/>
    <w:rsid w:val="00B13AE0"/>
    <w:rsid w:val="00B13B96"/>
    <w:rsid w:val="00B13C77"/>
    <w:rsid w:val="00B13CE9"/>
    <w:rsid w:val="00B13D14"/>
    <w:rsid w:val="00B13D9D"/>
    <w:rsid w:val="00B13DA5"/>
    <w:rsid w:val="00B13E64"/>
    <w:rsid w:val="00B13F1B"/>
    <w:rsid w:val="00B140DD"/>
    <w:rsid w:val="00B1441C"/>
    <w:rsid w:val="00B14443"/>
    <w:rsid w:val="00B14499"/>
    <w:rsid w:val="00B145B9"/>
    <w:rsid w:val="00B146A1"/>
    <w:rsid w:val="00B147EE"/>
    <w:rsid w:val="00B147F6"/>
    <w:rsid w:val="00B14868"/>
    <w:rsid w:val="00B14A42"/>
    <w:rsid w:val="00B14A6F"/>
    <w:rsid w:val="00B14ABD"/>
    <w:rsid w:val="00B14AD3"/>
    <w:rsid w:val="00B14AF6"/>
    <w:rsid w:val="00B14B0E"/>
    <w:rsid w:val="00B14BF5"/>
    <w:rsid w:val="00B14C4C"/>
    <w:rsid w:val="00B14DA3"/>
    <w:rsid w:val="00B14E91"/>
    <w:rsid w:val="00B14F18"/>
    <w:rsid w:val="00B14F63"/>
    <w:rsid w:val="00B150CA"/>
    <w:rsid w:val="00B1529D"/>
    <w:rsid w:val="00B152DD"/>
    <w:rsid w:val="00B1537B"/>
    <w:rsid w:val="00B1537E"/>
    <w:rsid w:val="00B15470"/>
    <w:rsid w:val="00B15570"/>
    <w:rsid w:val="00B15577"/>
    <w:rsid w:val="00B15636"/>
    <w:rsid w:val="00B1587E"/>
    <w:rsid w:val="00B15995"/>
    <w:rsid w:val="00B15A8A"/>
    <w:rsid w:val="00B15AA5"/>
    <w:rsid w:val="00B15AFA"/>
    <w:rsid w:val="00B15B57"/>
    <w:rsid w:val="00B15CFB"/>
    <w:rsid w:val="00B15D4C"/>
    <w:rsid w:val="00B15F35"/>
    <w:rsid w:val="00B160C1"/>
    <w:rsid w:val="00B160ED"/>
    <w:rsid w:val="00B1637D"/>
    <w:rsid w:val="00B16380"/>
    <w:rsid w:val="00B163C2"/>
    <w:rsid w:val="00B163ED"/>
    <w:rsid w:val="00B164A9"/>
    <w:rsid w:val="00B1652E"/>
    <w:rsid w:val="00B166ED"/>
    <w:rsid w:val="00B1670C"/>
    <w:rsid w:val="00B167C9"/>
    <w:rsid w:val="00B16843"/>
    <w:rsid w:val="00B168B1"/>
    <w:rsid w:val="00B16951"/>
    <w:rsid w:val="00B16956"/>
    <w:rsid w:val="00B169D6"/>
    <w:rsid w:val="00B16A3E"/>
    <w:rsid w:val="00B16B29"/>
    <w:rsid w:val="00B16C9B"/>
    <w:rsid w:val="00B16EB8"/>
    <w:rsid w:val="00B17199"/>
    <w:rsid w:val="00B1723B"/>
    <w:rsid w:val="00B17402"/>
    <w:rsid w:val="00B1754C"/>
    <w:rsid w:val="00B17607"/>
    <w:rsid w:val="00B179C1"/>
    <w:rsid w:val="00B179C3"/>
    <w:rsid w:val="00B17DAC"/>
    <w:rsid w:val="00B17DC7"/>
    <w:rsid w:val="00B17DD0"/>
    <w:rsid w:val="00B17E88"/>
    <w:rsid w:val="00B17E97"/>
    <w:rsid w:val="00B20073"/>
    <w:rsid w:val="00B200D2"/>
    <w:rsid w:val="00B2014B"/>
    <w:rsid w:val="00B2016F"/>
    <w:rsid w:val="00B20170"/>
    <w:rsid w:val="00B201CA"/>
    <w:rsid w:val="00B2026A"/>
    <w:rsid w:val="00B202E4"/>
    <w:rsid w:val="00B202FA"/>
    <w:rsid w:val="00B202FE"/>
    <w:rsid w:val="00B20358"/>
    <w:rsid w:val="00B204B2"/>
    <w:rsid w:val="00B20934"/>
    <w:rsid w:val="00B20A48"/>
    <w:rsid w:val="00B20C11"/>
    <w:rsid w:val="00B20C34"/>
    <w:rsid w:val="00B20C46"/>
    <w:rsid w:val="00B20E31"/>
    <w:rsid w:val="00B20E84"/>
    <w:rsid w:val="00B21107"/>
    <w:rsid w:val="00B2131D"/>
    <w:rsid w:val="00B2156B"/>
    <w:rsid w:val="00B21601"/>
    <w:rsid w:val="00B216B2"/>
    <w:rsid w:val="00B21739"/>
    <w:rsid w:val="00B217B4"/>
    <w:rsid w:val="00B219B4"/>
    <w:rsid w:val="00B21A21"/>
    <w:rsid w:val="00B21AF7"/>
    <w:rsid w:val="00B21BDC"/>
    <w:rsid w:val="00B21D35"/>
    <w:rsid w:val="00B21D3E"/>
    <w:rsid w:val="00B21D81"/>
    <w:rsid w:val="00B21DD8"/>
    <w:rsid w:val="00B2201A"/>
    <w:rsid w:val="00B22231"/>
    <w:rsid w:val="00B2228A"/>
    <w:rsid w:val="00B2247F"/>
    <w:rsid w:val="00B2253D"/>
    <w:rsid w:val="00B22623"/>
    <w:rsid w:val="00B2271C"/>
    <w:rsid w:val="00B2282A"/>
    <w:rsid w:val="00B2296D"/>
    <w:rsid w:val="00B229DD"/>
    <w:rsid w:val="00B22D9B"/>
    <w:rsid w:val="00B22E95"/>
    <w:rsid w:val="00B22EA7"/>
    <w:rsid w:val="00B22F63"/>
    <w:rsid w:val="00B231AB"/>
    <w:rsid w:val="00B233D9"/>
    <w:rsid w:val="00B2344B"/>
    <w:rsid w:val="00B2344D"/>
    <w:rsid w:val="00B2351A"/>
    <w:rsid w:val="00B23521"/>
    <w:rsid w:val="00B23522"/>
    <w:rsid w:val="00B2353D"/>
    <w:rsid w:val="00B2361C"/>
    <w:rsid w:val="00B237B1"/>
    <w:rsid w:val="00B23819"/>
    <w:rsid w:val="00B23851"/>
    <w:rsid w:val="00B23893"/>
    <w:rsid w:val="00B238C1"/>
    <w:rsid w:val="00B238EA"/>
    <w:rsid w:val="00B23936"/>
    <w:rsid w:val="00B23B3E"/>
    <w:rsid w:val="00B23C2A"/>
    <w:rsid w:val="00B23EDC"/>
    <w:rsid w:val="00B23FD4"/>
    <w:rsid w:val="00B24039"/>
    <w:rsid w:val="00B2403C"/>
    <w:rsid w:val="00B24100"/>
    <w:rsid w:val="00B24118"/>
    <w:rsid w:val="00B24162"/>
    <w:rsid w:val="00B244A9"/>
    <w:rsid w:val="00B24560"/>
    <w:rsid w:val="00B24577"/>
    <w:rsid w:val="00B24590"/>
    <w:rsid w:val="00B245CA"/>
    <w:rsid w:val="00B247F1"/>
    <w:rsid w:val="00B24826"/>
    <w:rsid w:val="00B24829"/>
    <w:rsid w:val="00B2495C"/>
    <w:rsid w:val="00B24A77"/>
    <w:rsid w:val="00B24C4C"/>
    <w:rsid w:val="00B24E08"/>
    <w:rsid w:val="00B24E18"/>
    <w:rsid w:val="00B24EB5"/>
    <w:rsid w:val="00B2513B"/>
    <w:rsid w:val="00B252CD"/>
    <w:rsid w:val="00B25482"/>
    <w:rsid w:val="00B2551B"/>
    <w:rsid w:val="00B258D2"/>
    <w:rsid w:val="00B258FA"/>
    <w:rsid w:val="00B259B6"/>
    <w:rsid w:val="00B25BD3"/>
    <w:rsid w:val="00B25C3B"/>
    <w:rsid w:val="00B25D45"/>
    <w:rsid w:val="00B25D9D"/>
    <w:rsid w:val="00B25E65"/>
    <w:rsid w:val="00B25FD8"/>
    <w:rsid w:val="00B2612C"/>
    <w:rsid w:val="00B2623C"/>
    <w:rsid w:val="00B26340"/>
    <w:rsid w:val="00B2649A"/>
    <w:rsid w:val="00B264A6"/>
    <w:rsid w:val="00B26628"/>
    <w:rsid w:val="00B266D2"/>
    <w:rsid w:val="00B2688B"/>
    <w:rsid w:val="00B26969"/>
    <w:rsid w:val="00B26BC6"/>
    <w:rsid w:val="00B26C3A"/>
    <w:rsid w:val="00B26CA1"/>
    <w:rsid w:val="00B26D2C"/>
    <w:rsid w:val="00B26EF7"/>
    <w:rsid w:val="00B27374"/>
    <w:rsid w:val="00B273E0"/>
    <w:rsid w:val="00B273E8"/>
    <w:rsid w:val="00B2741D"/>
    <w:rsid w:val="00B275D5"/>
    <w:rsid w:val="00B27766"/>
    <w:rsid w:val="00B27920"/>
    <w:rsid w:val="00B27EDB"/>
    <w:rsid w:val="00B27FCF"/>
    <w:rsid w:val="00B3001E"/>
    <w:rsid w:val="00B30134"/>
    <w:rsid w:val="00B301C0"/>
    <w:rsid w:val="00B301CE"/>
    <w:rsid w:val="00B304E0"/>
    <w:rsid w:val="00B3050C"/>
    <w:rsid w:val="00B306AA"/>
    <w:rsid w:val="00B306B0"/>
    <w:rsid w:val="00B306F3"/>
    <w:rsid w:val="00B30851"/>
    <w:rsid w:val="00B308CF"/>
    <w:rsid w:val="00B3091A"/>
    <w:rsid w:val="00B30999"/>
    <w:rsid w:val="00B309C9"/>
    <w:rsid w:val="00B30A22"/>
    <w:rsid w:val="00B30B2D"/>
    <w:rsid w:val="00B30BD9"/>
    <w:rsid w:val="00B30CAE"/>
    <w:rsid w:val="00B30E95"/>
    <w:rsid w:val="00B30F31"/>
    <w:rsid w:val="00B30FAF"/>
    <w:rsid w:val="00B3121C"/>
    <w:rsid w:val="00B3122A"/>
    <w:rsid w:val="00B312F4"/>
    <w:rsid w:val="00B313DE"/>
    <w:rsid w:val="00B31723"/>
    <w:rsid w:val="00B31748"/>
    <w:rsid w:val="00B31796"/>
    <w:rsid w:val="00B31813"/>
    <w:rsid w:val="00B3184C"/>
    <w:rsid w:val="00B3186A"/>
    <w:rsid w:val="00B31936"/>
    <w:rsid w:val="00B31A43"/>
    <w:rsid w:val="00B31A59"/>
    <w:rsid w:val="00B31BD7"/>
    <w:rsid w:val="00B31C2D"/>
    <w:rsid w:val="00B31CE8"/>
    <w:rsid w:val="00B31D17"/>
    <w:rsid w:val="00B31E81"/>
    <w:rsid w:val="00B31F29"/>
    <w:rsid w:val="00B321A9"/>
    <w:rsid w:val="00B321E5"/>
    <w:rsid w:val="00B3227D"/>
    <w:rsid w:val="00B322D4"/>
    <w:rsid w:val="00B3233D"/>
    <w:rsid w:val="00B32394"/>
    <w:rsid w:val="00B3239F"/>
    <w:rsid w:val="00B32418"/>
    <w:rsid w:val="00B3246A"/>
    <w:rsid w:val="00B3261E"/>
    <w:rsid w:val="00B32792"/>
    <w:rsid w:val="00B32956"/>
    <w:rsid w:val="00B32AA4"/>
    <w:rsid w:val="00B32B1B"/>
    <w:rsid w:val="00B32C36"/>
    <w:rsid w:val="00B32E31"/>
    <w:rsid w:val="00B32E9F"/>
    <w:rsid w:val="00B32F96"/>
    <w:rsid w:val="00B33445"/>
    <w:rsid w:val="00B33515"/>
    <w:rsid w:val="00B33598"/>
    <w:rsid w:val="00B335BC"/>
    <w:rsid w:val="00B33634"/>
    <w:rsid w:val="00B33684"/>
    <w:rsid w:val="00B3371B"/>
    <w:rsid w:val="00B3382A"/>
    <w:rsid w:val="00B33885"/>
    <w:rsid w:val="00B33891"/>
    <w:rsid w:val="00B338B6"/>
    <w:rsid w:val="00B339AD"/>
    <w:rsid w:val="00B339FD"/>
    <w:rsid w:val="00B33A36"/>
    <w:rsid w:val="00B33C12"/>
    <w:rsid w:val="00B33D5D"/>
    <w:rsid w:val="00B33D5E"/>
    <w:rsid w:val="00B33EB1"/>
    <w:rsid w:val="00B34041"/>
    <w:rsid w:val="00B340AB"/>
    <w:rsid w:val="00B340D9"/>
    <w:rsid w:val="00B341CB"/>
    <w:rsid w:val="00B34210"/>
    <w:rsid w:val="00B342CD"/>
    <w:rsid w:val="00B344A3"/>
    <w:rsid w:val="00B344D9"/>
    <w:rsid w:val="00B344EF"/>
    <w:rsid w:val="00B34564"/>
    <w:rsid w:val="00B346E8"/>
    <w:rsid w:val="00B34832"/>
    <w:rsid w:val="00B34836"/>
    <w:rsid w:val="00B348AC"/>
    <w:rsid w:val="00B3492E"/>
    <w:rsid w:val="00B349A8"/>
    <w:rsid w:val="00B349B9"/>
    <w:rsid w:val="00B349CE"/>
    <w:rsid w:val="00B34A49"/>
    <w:rsid w:val="00B34B03"/>
    <w:rsid w:val="00B34B5E"/>
    <w:rsid w:val="00B34C1C"/>
    <w:rsid w:val="00B34C28"/>
    <w:rsid w:val="00B34C97"/>
    <w:rsid w:val="00B34D7D"/>
    <w:rsid w:val="00B34E3F"/>
    <w:rsid w:val="00B34E64"/>
    <w:rsid w:val="00B34F20"/>
    <w:rsid w:val="00B34F84"/>
    <w:rsid w:val="00B34FDC"/>
    <w:rsid w:val="00B3506D"/>
    <w:rsid w:val="00B350BD"/>
    <w:rsid w:val="00B350D3"/>
    <w:rsid w:val="00B35264"/>
    <w:rsid w:val="00B3528B"/>
    <w:rsid w:val="00B35395"/>
    <w:rsid w:val="00B35A3D"/>
    <w:rsid w:val="00B35B19"/>
    <w:rsid w:val="00B35CE4"/>
    <w:rsid w:val="00B35DC2"/>
    <w:rsid w:val="00B35E89"/>
    <w:rsid w:val="00B35F5E"/>
    <w:rsid w:val="00B35FC4"/>
    <w:rsid w:val="00B35FD1"/>
    <w:rsid w:val="00B3611F"/>
    <w:rsid w:val="00B361AF"/>
    <w:rsid w:val="00B3623D"/>
    <w:rsid w:val="00B36308"/>
    <w:rsid w:val="00B36491"/>
    <w:rsid w:val="00B36629"/>
    <w:rsid w:val="00B366C5"/>
    <w:rsid w:val="00B3678A"/>
    <w:rsid w:val="00B36790"/>
    <w:rsid w:val="00B36A4F"/>
    <w:rsid w:val="00B36A98"/>
    <w:rsid w:val="00B36AF4"/>
    <w:rsid w:val="00B36B3D"/>
    <w:rsid w:val="00B36BDB"/>
    <w:rsid w:val="00B36C13"/>
    <w:rsid w:val="00B36C73"/>
    <w:rsid w:val="00B36D55"/>
    <w:rsid w:val="00B36E54"/>
    <w:rsid w:val="00B36F78"/>
    <w:rsid w:val="00B37186"/>
    <w:rsid w:val="00B372EC"/>
    <w:rsid w:val="00B37463"/>
    <w:rsid w:val="00B3753A"/>
    <w:rsid w:val="00B37587"/>
    <w:rsid w:val="00B37596"/>
    <w:rsid w:val="00B3762D"/>
    <w:rsid w:val="00B3775F"/>
    <w:rsid w:val="00B377B9"/>
    <w:rsid w:val="00B3780B"/>
    <w:rsid w:val="00B37916"/>
    <w:rsid w:val="00B37939"/>
    <w:rsid w:val="00B37954"/>
    <w:rsid w:val="00B37A76"/>
    <w:rsid w:val="00B37AE5"/>
    <w:rsid w:val="00B37BD7"/>
    <w:rsid w:val="00B37D4C"/>
    <w:rsid w:val="00B37F5B"/>
    <w:rsid w:val="00B401F0"/>
    <w:rsid w:val="00B40277"/>
    <w:rsid w:val="00B4035E"/>
    <w:rsid w:val="00B405E8"/>
    <w:rsid w:val="00B40657"/>
    <w:rsid w:val="00B40735"/>
    <w:rsid w:val="00B407FB"/>
    <w:rsid w:val="00B40858"/>
    <w:rsid w:val="00B408E0"/>
    <w:rsid w:val="00B409AA"/>
    <w:rsid w:val="00B40A48"/>
    <w:rsid w:val="00B40ADF"/>
    <w:rsid w:val="00B40B4B"/>
    <w:rsid w:val="00B40BE0"/>
    <w:rsid w:val="00B40C1A"/>
    <w:rsid w:val="00B40CB3"/>
    <w:rsid w:val="00B40EAF"/>
    <w:rsid w:val="00B40F0F"/>
    <w:rsid w:val="00B40F21"/>
    <w:rsid w:val="00B40F2A"/>
    <w:rsid w:val="00B41015"/>
    <w:rsid w:val="00B41028"/>
    <w:rsid w:val="00B410B2"/>
    <w:rsid w:val="00B41166"/>
    <w:rsid w:val="00B411C4"/>
    <w:rsid w:val="00B411F4"/>
    <w:rsid w:val="00B412A7"/>
    <w:rsid w:val="00B412CF"/>
    <w:rsid w:val="00B41417"/>
    <w:rsid w:val="00B414AB"/>
    <w:rsid w:val="00B414E1"/>
    <w:rsid w:val="00B4166E"/>
    <w:rsid w:val="00B41703"/>
    <w:rsid w:val="00B4190B"/>
    <w:rsid w:val="00B4199B"/>
    <w:rsid w:val="00B419B4"/>
    <w:rsid w:val="00B41AAE"/>
    <w:rsid w:val="00B41B37"/>
    <w:rsid w:val="00B41BB2"/>
    <w:rsid w:val="00B41C1C"/>
    <w:rsid w:val="00B41C3C"/>
    <w:rsid w:val="00B41ED9"/>
    <w:rsid w:val="00B41EF1"/>
    <w:rsid w:val="00B41EF8"/>
    <w:rsid w:val="00B41F46"/>
    <w:rsid w:val="00B420A4"/>
    <w:rsid w:val="00B420BF"/>
    <w:rsid w:val="00B421B3"/>
    <w:rsid w:val="00B4225C"/>
    <w:rsid w:val="00B4226B"/>
    <w:rsid w:val="00B4245E"/>
    <w:rsid w:val="00B4247D"/>
    <w:rsid w:val="00B424CA"/>
    <w:rsid w:val="00B425B7"/>
    <w:rsid w:val="00B426B8"/>
    <w:rsid w:val="00B427ED"/>
    <w:rsid w:val="00B42A65"/>
    <w:rsid w:val="00B42B46"/>
    <w:rsid w:val="00B42BA1"/>
    <w:rsid w:val="00B42BB2"/>
    <w:rsid w:val="00B42BCF"/>
    <w:rsid w:val="00B42C52"/>
    <w:rsid w:val="00B42CAB"/>
    <w:rsid w:val="00B42CF4"/>
    <w:rsid w:val="00B42E32"/>
    <w:rsid w:val="00B42E59"/>
    <w:rsid w:val="00B42E75"/>
    <w:rsid w:val="00B42E9E"/>
    <w:rsid w:val="00B42ED6"/>
    <w:rsid w:val="00B42F2E"/>
    <w:rsid w:val="00B42FB0"/>
    <w:rsid w:val="00B43156"/>
    <w:rsid w:val="00B431DD"/>
    <w:rsid w:val="00B431F4"/>
    <w:rsid w:val="00B43200"/>
    <w:rsid w:val="00B4325F"/>
    <w:rsid w:val="00B434E2"/>
    <w:rsid w:val="00B436F6"/>
    <w:rsid w:val="00B437B3"/>
    <w:rsid w:val="00B437B4"/>
    <w:rsid w:val="00B43832"/>
    <w:rsid w:val="00B4391C"/>
    <w:rsid w:val="00B439B1"/>
    <w:rsid w:val="00B43B60"/>
    <w:rsid w:val="00B43D69"/>
    <w:rsid w:val="00B43DE3"/>
    <w:rsid w:val="00B43DF1"/>
    <w:rsid w:val="00B43DF5"/>
    <w:rsid w:val="00B4401C"/>
    <w:rsid w:val="00B4406B"/>
    <w:rsid w:val="00B442A6"/>
    <w:rsid w:val="00B44520"/>
    <w:rsid w:val="00B4459E"/>
    <w:rsid w:val="00B4460A"/>
    <w:rsid w:val="00B4467D"/>
    <w:rsid w:val="00B446AF"/>
    <w:rsid w:val="00B447AB"/>
    <w:rsid w:val="00B447E2"/>
    <w:rsid w:val="00B448A8"/>
    <w:rsid w:val="00B4491E"/>
    <w:rsid w:val="00B44A41"/>
    <w:rsid w:val="00B44A42"/>
    <w:rsid w:val="00B44A72"/>
    <w:rsid w:val="00B44AB2"/>
    <w:rsid w:val="00B44B58"/>
    <w:rsid w:val="00B44BEB"/>
    <w:rsid w:val="00B44C91"/>
    <w:rsid w:val="00B44CE6"/>
    <w:rsid w:val="00B44D47"/>
    <w:rsid w:val="00B44E3A"/>
    <w:rsid w:val="00B44EFF"/>
    <w:rsid w:val="00B44F47"/>
    <w:rsid w:val="00B44FA0"/>
    <w:rsid w:val="00B451FC"/>
    <w:rsid w:val="00B45342"/>
    <w:rsid w:val="00B454A6"/>
    <w:rsid w:val="00B458EB"/>
    <w:rsid w:val="00B45ACD"/>
    <w:rsid w:val="00B45AF7"/>
    <w:rsid w:val="00B45B6A"/>
    <w:rsid w:val="00B45C78"/>
    <w:rsid w:val="00B45F23"/>
    <w:rsid w:val="00B45FB0"/>
    <w:rsid w:val="00B4605B"/>
    <w:rsid w:val="00B461BE"/>
    <w:rsid w:val="00B4640F"/>
    <w:rsid w:val="00B46434"/>
    <w:rsid w:val="00B464BD"/>
    <w:rsid w:val="00B464DF"/>
    <w:rsid w:val="00B465D1"/>
    <w:rsid w:val="00B46751"/>
    <w:rsid w:val="00B467DD"/>
    <w:rsid w:val="00B46855"/>
    <w:rsid w:val="00B469AE"/>
    <w:rsid w:val="00B46AA6"/>
    <w:rsid w:val="00B46C91"/>
    <w:rsid w:val="00B46DFD"/>
    <w:rsid w:val="00B46E1D"/>
    <w:rsid w:val="00B46F94"/>
    <w:rsid w:val="00B46FEB"/>
    <w:rsid w:val="00B4703C"/>
    <w:rsid w:val="00B471A3"/>
    <w:rsid w:val="00B471F8"/>
    <w:rsid w:val="00B472F0"/>
    <w:rsid w:val="00B47510"/>
    <w:rsid w:val="00B47723"/>
    <w:rsid w:val="00B47844"/>
    <w:rsid w:val="00B4786C"/>
    <w:rsid w:val="00B479D0"/>
    <w:rsid w:val="00B47BA0"/>
    <w:rsid w:val="00B47BBD"/>
    <w:rsid w:val="00B47BED"/>
    <w:rsid w:val="00B47DBD"/>
    <w:rsid w:val="00B47EB0"/>
    <w:rsid w:val="00B47EB2"/>
    <w:rsid w:val="00B47EEF"/>
    <w:rsid w:val="00B47FA3"/>
    <w:rsid w:val="00B5007E"/>
    <w:rsid w:val="00B50145"/>
    <w:rsid w:val="00B50267"/>
    <w:rsid w:val="00B50269"/>
    <w:rsid w:val="00B502F9"/>
    <w:rsid w:val="00B5033B"/>
    <w:rsid w:val="00B50439"/>
    <w:rsid w:val="00B5063F"/>
    <w:rsid w:val="00B5078A"/>
    <w:rsid w:val="00B50798"/>
    <w:rsid w:val="00B5086E"/>
    <w:rsid w:val="00B508B9"/>
    <w:rsid w:val="00B50927"/>
    <w:rsid w:val="00B50945"/>
    <w:rsid w:val="00B50B8E"/>
    <w:rsid w:val="00B50CEC"/>
    <w:rsid w:val="00B50D14"/>
    <w:rsid w:val="00B50DBA"/>
    <w:rsid w:val="00B50DFA"/>
    <w:rsid w:val="00B50E40"/>
    <w:rsid w:val="00B50F27"/>
    <w:rsid w:val="00B51105"/>
    <w:rsid w:val="00B51353"/>
    <w:rsid w:val="00B513C5"/>
    <w:rsid w:val="00B51440"/>
    <w:rsid w:val="00B515C1"/>
    <w:rsid w:val="00B5188C"/>
    <w:rsid w:val="00B51909"/>
    <w:rsid w:val="00B51B70"/>
    <w:rsid w:val="00B51C66"/>
    <w:rsid w:val="00B51F05"/>
    <w:rsid w:val="00B51F26"/>
    <w:rsid w:val="00B51FD3"/>
    <w:rsid w:val="00B52073"/>
    <w:rsid w:val="00B52146"/>
    <w:rsid w:val="00B52244"/>
    <w:rsid w:val="00B523D2"/>
    <w:rsid w:val="00B52491"/>
    <w:rsid w:val="00B5265A"/>
    <w:rsid w:val="00B52714"/>
    <w:rsid w:val="00B52765"/>
    <w:rsid w:val="00B52771"/>
    <w:rsid w:val="00B527C5"/>
    <w:rsid w:val="00B527F9"/>
    <w:rsid w:val="00B52A52"/>
    <w:rsid w:val="00B52B19"/>
    <w:rsid w:val="00B52C90"/>
    <w:rsid w:val="00B52D36"/>
    <w:rsid w:val="00B52DA3"/>
    <w:rsid w:val="00B52E3F"/>
    <w:rsid w:val="00B52E63"/>
    <w:rsid w:val="00B52FF6"/>
    <w:rsid w:val="00B530F0"/>
    <w:rsid w:val="00B53103"/>
    <w:rsid w:val="00B53174"/>
    <w:rsid w:val="00B5317E"/>
    <w:rsid w:val="00B531C4"/>
    <w:rsid w:val="00B53269"/>
    <w:rsid w:val="00B5336A"/>
    <w:rsid w:val="00B5343A"/>
    <w:rsid w:val="00B5349F"/>
    <w:rsid w:val="00B53506"/>
    <w:rsid w:val="00B53626"/>
    <w:rsid w:val="00B536EB"/>
    <w:rsid w:val="00B537D8"/>
    <w:rsid w:val="00B53941"/>
    <w:rsid w:val="00B539BD"/>
    <w:rsid w:val="00B53A35"/>
    <w:rsid w:val="00B53BF2"/>
    <w:rsid w:val="00B53CDA"/>
    <w:rsid w:val="00B53DFB"/>
    <w:rsid w:val="00B53F32"/>
    <w:rsid w:val="00B53F7F"/>
    <w:rsid w:val="00B5400B"/>
    <w:rsid w:val="00B54128"/>
    <w:rsid w:val="00B541C4"/>
    <w:rsid w:val="00B5428C"/>
    <w:rsid w:val="00B54501"/>
    <w:rsid w:val="00B545D6"/>
    <w:rsid w:val="00B54605"/>
    <w:rsid w:val="00B548A5"/>
    <w:rsid w:val="00B54943"/>
    <w:rsid w:val="00B54963"/>
    <w:rsid w:val="00B54B2B"/>
    <w:rsid w:val="00B54BC1"/>
    <w:rsid w:val="00B54CE8"/>
    <w:rsid w:val="00B54D3D"/>
    <w:rsid w:val="00B54D71"/>
    <w:rsid w:val="00B54F61"/>
    <w:rsid w:val="00B550B8"/>
    <w:rsid w:val="00B553AA"/>
    <w:rsid w:val="00B555B3"/>
    <w:rsid w:val="00B55665"/>
    <w:rsid w:val="00B556F7"/>
    <w:rsid w:val="00B558B8"/>
    <w:rsid w:val="00B558FC"/>
    <w:rsid w:val="00B55A50"/>
    <w:rsid w:val="00B55B2D"/>
    <w:rsid w:val="00B55B5E"/>
    <w:rsid w:val="00B55B84"/>
    <w:rsid w:val="00B55BD3"/>
    <w:rsid w:val="00B55C25"/>
    <w:rsid w:val="00B55D26"/>
    <w:rsid w:val="00B55D89"/>
    <w:rsid w:val="00B55F9A"/>
    <w:rsid w:val="00B560F4"/>
    <w:rsid w:val="00B5610D"/>
    <w:rsid w:val="00B56190"/>
    <w:rsid w:val="00B561BD"/>
    <w:rsid w:val="00B56239"/>
    <w:rsid w:val="00B563C6"/>
    <w:rsid w:val="00B56429"/>
    <w:rsid w:val="00B5646B"/>
    <w:rsid w:val="00B56538"/>
    <w:rsid w:val="00B56685"/>
    <w:rsid w:val="00B566D5"/>
    <w:rsid w:val="00B5671F"/>
    <w:rsid w:val="00B5674F"/>
    <w:rsid w:val="00B56762"/>
    <w:rsid w:val="00B56791"/>
    <w:rsid w:val="00B567D9"/>
    <w:rsid w:val="00B56835"/>
    <w:rsid w:val="00B5689F"/>
    <w:rsid w:val="00B569CD"/>
    <w:rsid w:val="00B56A3A"/>
    <w:rsid w:val="00B56B88"/>
    <w:rsid w:val="00B56C7C"/>
    <w:rsid w:val="00B56D41"/>
    <w:rsid w:val="00B56D45"/>
    <w:rsid w:val="00B56D5C"/>
    <w:rsid w:val="00B56DF9"/>
    <w:rsid w:val="00B56F06"/>
    <w:rsid w:val="00B57001"/>
    <w:rsid w:val="00B570B0"/>
    <w:rsid w:val="00B571BF"/>
    <w:rsid w:val="00B57237"/>
    <w:rsid w:val="00B57407"/>
    <w:rsid w:val="00B57413"/>
    <w:rsid w:val="00B575AA"/>
    <w:rsid w:val="00B57746"/>
    <w:rsid w:val="00B577A1"/>
    <w:rsid w:val="00B577E4"/>
    <w:rsid w:val="00B57844"/>
    <w:rsid w:val="00B57851"/>
    <w:rsid w:val="00B57895"/>
    <w:rsid w:val="00B57937"/>
    <w:rsid w:val="00B5799C"/>
    <w:rsid w:val="00B57B30"/>
    <w:rsid w:val="00B57CF5"/>
    <w:rsid w:val="00B57D16"/>
    <w:rsid w:val="00B57D97"/>
    <w:rsid w:val="00B57E0A"/>
    <w:rsid w:val="00B57F3F"/>
    <w:rsid w:val="00B60191"/>
    <w:rsid w:val="00B601E8"/>
    <w:rsid w:val="00B60208"/>
    <w:rsid w:val="00B60235"/>
    <w:rsid w:val="00B6030C"/>
    <w:rsid w:val="00B603C7"/>
    <w:rsid w:val="00B604AB"/>
    <w:rsid w:val="00B609B3"/>
    <w:rsid w:val="00B60C71"/>
    <w:rsid w:val="00B60CEC"/>
    <w:rsid w:val="00B60D67"/>
    <w:rsid w:val="00B60FD8"/>
    <w:rsid w:val="00B6107A"/>
    <w:rsid w:val="00B61083"/>
    <w:rsid w:val="00B61259"/>
    <w:rsid w:val="00B612C4"/>
    <w:rsid w:val="00B6142C"/>
    <w:rsid w:val="00B61436"/>
    <w:rsid w:val="00B61583"/>
    <w:rsid w:val="00B615B6"/>
    <w:rsid w:val="00B616E1"/>
    <w:rsid w:val="00B616FF"/>
    <w:rsid w:val="00B617F1"/>
    <w:rsid w:val="00B618EB"/>
    <w:rsid w:val="00B61931"/>
    <w:rsid w:val="00B61949"/>
    <w:rsid w:val="00B6196A"/>
    <w:rsid w:val="00B61C9A"/>
    <w:rsid w:val="00B61D01"/>
    <w:rsid w:val="00B61D9F"/>
    <w:rsid w:val="00B61E70"/>
    <w:rsid w:val="00B61F74"/>
    <w:rsid w:val="00B622B0"/>
    <w:rsid w:val="00B62433"/>
    <w:rsid w:val="00B62488"/>
    <w:rsid w:val="00B62558"/>
    <w:rsid w:val="00B62638"/>
    <w:rsid w:val="00B626C5"/>
    <w:rsid w:val="00B626CB"/>
    <w:rsid w:val="00B626EA"/>
    <w:rsid w:val="00B628B5"/>
    <w:rsid w:val="00B62911"/>
    <w:rsid w:val="00B629FD"/>
    <w:rsid w:val="00B62ACB"/>
    <w:rsid w:val="00B62AE8"/>
    <w:rsid w:val="00B62B69"/>
    <w:rsid w:val="00B62B8A"/>
    <w:rsid w:val="00B62BA5"/>
    <w:rsid w:val="00B62E69"/>
    <w:rsid w:val="00B62F3A"/>
    <w:rsid w:val="00B63025"/>
    <w:rsid w:val="00B6310B"/>
    <w:rsid w:val="00B6310F"/>
    <w:rsid w:val="00B63169"/>
    <w:rsid w:val="00B6329A"/>
    <w:rsid w:val="00B632B6"/>
    <w:rsid w:val="00B63329"/>
    <w:rsid w:val="00B63345"/>
    <w:rsid w:val="00B63388"/>
    <w:rsid w:val="00B63556"/>
    <w:rsid w:val="00B636FE"/>
    <w:rsid w:val="00B637E3"/>
    <w:rsid w:val="00B638BC"/>
    <w:rsid w:val="00B638D4"/>
    <w:rsid w:val="00B638F8"/>
    <w:rsid w:val="00B63947"/>
    <w:rsid w:val="00B63993"/>
    <w:rsid w:val="00B63BF9"/>
    <w:rsid w:val="00B63C82"/>
    <w:rsid w:val="00B63D16"/>
    <w:rsid w:val="00B63D3F"/>
    <w:rsid w:val="00B6401B"/>
    <w:rsid w:val="00B6403A"/>
    <w:rsid w:val="00B6403D"/>
    <w:rsid w:val="00B64215"/>
    <w:rsid w:val="00B643AE"/>
    <w:rsid w:val="00B64509"/>
    <w:rsid w:val="00B64643"/>
    <w:rsid w:val="00B6482B"/>
    <w:rsid w:val="00B64939"/>
    <w:rsid w:val="00B64B89"/>
    <w:rsid w:val="00B64BDB"/>
    <w:rsid w:val="00B64CFD"/>
    <w:rsid w:val="00B64DE2"/>
    <w:rsid w:val="00B64EC2"/>
    <w:rsid w:val="00B6525B"/>
    <w:rsid w:val="00B652EC"/>
    <w:rsid w:val="00B6532E"/>
    <w:rsid w:val="00B653D7"/>
    <w:rsid w:val="00B654EF"/>
    <w:rsid w:val="00B656AF"/>
    <w:rsid w:val="00B65783"/>
    <w:rsid w:val="00B65D7B"/>
    <w:rsid w:val="00B65E0E"/>
    <w:rsid w:val="00B65ED4"/>
    <w:rsid w:val="00B65FB3"/>
    <w:rsid w:val="00B65FF1"/>
    <w:rsid w:val="00B66013"/>
    <w:rsid w:val="00B66104"/>
    <w:rsid w:val="00B661BE"/>
    <w:rsid w:val="00B661E9"/>
    <w:rsid w:val="00B661FA"/>
    <w:rsid w:val="00B66377"/>
    <w:rsid w:val="00B6643B"/>
    <w:rsid w:val="00B664B5"/>
    <w:rsid w:val="00B66664"/>
    <w:rsid w:val="00B667AE"/>
    <w:rsid w:val="00B66A36"/>
    <w:rsid w:val="00B66AB5"/>
    <w:rsid w:val="00B66BAE"/>
    <w:rsid w:val="00B66C32"/>
    <w:rsid w:val="00B66C91"/>
    <w:rsid w:val="00B66CBE"/>
    <w:rsid w:val="00B66D55"/>
    <w:rsid w:val="00B66DCC"/>
    <w:rsid w:val="00B66F1D"/>
    <w:rsid w:val="00B66FED"/>
    <w:rsid w:val="00B6709E"/>
    <w:rsid w:val="00B671F6"/>
    <w:rsid w:val="00B6725F"/>
    <w:rsid w:val="00B67264"/>
    <w:rsid w:val="00B6748D"/>
    <w:rsid w:val="00B674A0"/>
    <w:rsid w:val="00B674DA"/>
    <w:rsid w:val="00B675D4"/>
    <w:rsid w:val="00B67709"/>
    <w:rsid w:val="00B677F2"/>
    <w:rsid w:val="00B67A3A"/>
    <w:rsid w:val="00B67B5D"/>
    <w:rsid w:val="00B67B6F"/>
    <w:rsid w:val="00B67B76"/>
    <w:rsid w:val="00B67CBB"/>
    <w:rsid w:val="00B67D59"/>
    <w:rsid w:val="00B67E3F"/>
    <w:rsid w:val="00B67E6F"/>
    <w:rsid w:val="00B70058"/>
    <w:rsid w:val="00B702F5"/>
    <w:rsid w:val="00B702F9"/>
    <w:rsid w:val="00B70548"/>
    <w:rsid w:val="00B70617"/>
    <w:rsid w:val="00B70679"/>
    <w:rsid w:val="00B7073A"/>
    <w:rsid w:val="00B70912"/>
    <w:rsid w:val="00B709DF"/>
    <w:rsid w:val="00B70A1E"/>
    <w:rsid w:val="00B70A4C"/>
    <w:rsid w:val="00B70B08"/>
    <w:rsid w:val="00B70BCA"/>
    <w:rsid w:val="00B70DE6"/>
    <w:rsid w:val="00B70E27"/>
    <w:rsid w:val="00B70F0A"/>
    <w:rsid w:val="00B70F38"/>
    <w:rsid w:val="00B70F56"/>
    <w:rsid w:val="00B711B9"/>
    <w:rsid w:val="00B71286"/>
    <w:rsid w:val="00B71425"/>
    <w:rsid w:val="00B71429"/>
    <w:rsid w:val="00B71492"/>
    <w:rsid w:val="00B714A8"/>
    <w:rsid w:val="00B71652"/>
    <w:rsid w:val="00B71673"/>
    <w:rsid w:val="00B71690"/>
    <w:rsid w:val="00B716B4"/>
    <w:rsid w:val="00B717B2"/>
    <w:rsid w:val="00B717FF"/>
    <w:rsid w:val="00B71854"/>
    <w:rsid w:val="00B7187D"/>
    <w:rsid w:val="00B718FA"/>
    <w:rsid w:val="00B71901"/>
    <w:rsid w:val="00B719DC"/>
    <w:rsid w:val="00B71C8D"/>
    <w:rsid w:val="00B72078"/>
    <w:rsid w:val="00B72802"/>
    <w:rsid w:val="00B72818"/>
    <w:rsid w:val="00B72895"/>
    <w:rsid w:val="00B72ABF"/>
    <w:rsid w:val="00B72B53"/>
    <w:rsid w:val="00B72BAF"/>
    <w:rsid w:val="00B72BD9"/>
    <w:rsid w:val="00B72CEB"/>
    <w:rsid w:val="00B72E56"/>
    <w:rsid w:val="00B730F2"/>
    <w:rsid w:val="00B73358"/>
    <w:rsid w:val="00B734F8"/>
    <w:rsid w:val="00B73632"/>
    <w:rsid w:val="00B7367E"/>
    <w:rsid w:val="00B736D0"/>
    <w:rsid w:val="00B737B1"/>
    <w:rsid w:val="00B7386F"/>
    <w:rsid w:val="00B738B3"/>
    <w:rsid w:val="00B7391B"/>
    <w:rsid w:val="00B73946"/>
    <w:rsid w:val="00B73952"/>
    <w:rsid w:val="00B73983"/>
    <w:rsid w:val="00B73A0A"/>
    <w:rsid w:val="00B73A8A"/>
    <w:rsid w:val="00B73AC8"/>
    <w:rsid w:val="00B73B59"/>
    <w:rsid w:val="00B73BA3"/>
    <w:rsid w:val="00B73C77"/>
    <w:rsid w:val="00B73CB4"/>
    <w:rsid w:val="00B73CE3"/>
    <w:rsid w:val="00B73D19"/>
    <w:rsid w:val="00B73D55"/>
    <w:rsid w:val="00B73DA3"/>
    <w:rsid w:val="00B73DF3"/>
    <w:rsid w:val="00B740D0"/>
    <w:rsid w:val="00B74265"/>
    <w:rsid w:val="00B743C5"/>
    <w:rsid w:val="00B7448A"/>
    <w:rsid w:val="00B746E2"/>
    <w:rsid w:val="00B7470A"/>
    <w:rsid w:val="00B74728"/>
    <w:rsid w:val="00B7476E"/>
    <w:rsid w:val="00B747DE"/>
    <w:rsid w:val="00B748D2"/>
    <w:rsid w:val="00B74A36"/>
    <w:rsid w:val="00B74A79"/>
    <w:rsid w:val="00B74BA4"/>
    <w:rsid w:val="00B74C06"/>
    <w:rsid w:val="00B74CBB"/>
    <w:rsid w:val="00B74EC5"/>
    <w:rsid w:val="00B74EF9"/>
    <w:rsid w:val="00B74FCF"/>
    <w:rsid w:val="00B75146"/>
    <w:rsid w:val="00B752BB"/>
    <w:rsid w:val="00B75326"/>
    <w:rsid w:val="00B75418"/>
    <w:rsid w:val="00B755EF"/>
    <w:rsid w:val="00B75620"/>
    <w:rsid w:val="00B75654"/>
    <w:rsid w:val="00B7567E"/>
    <w:rsid w:val="00B7592A"/>
    <w:rsid w:val="00B759C0"/>
    <w:rsid w:val="00B75A6C"/>
    <w:rsid w:val="00B75A97"/>
    <w:rsid w:val="00B75A9D"/>
    <w:rsid w:val="00B75C0F"/>
    <w:rsid w:val="00B75C3D"/>
    <w:rsid w:val="00B75DF8"/>
    <w:rsid w:val="00B75E5F"/>
    <w:rsid w:val="00B75F00"/>
    <w:rsid w:val="00B75F01"/>
    <w:rsid w:val="00B76005"/>
    <w:rsid w:val="00B76120"/>
    <w:rsid w:val="00B761E6"/>
    <w:rsid w:val="00B76342"/>
    <w:rsid w:val="00B763C1"/>
    <w:rsid w:val="00B76522"/>
    <w:rsid w:val="00B7658D"/>
    <w:rsid w:val="00B76619"/>
    <w:rsid w:val="00B76640"/>
    <w:rsid w:val="00B76692"/>
    <w:rsid w:val="00B7680D"/>
    <w:rsid w:val="00B768C6"/>
    <w:rsid w:val="00B769DF"/>
    <w:rsid w:val="00B76BDE"/>
    <w:rsid w:val="00B76DBA"/>
    <w:rsid w:val="00B76E98"/>
    <w:rsid w:val="00B76F46"/>
    <w:rsid w:val="00B76F8F"/>
    <w:rsid w:val="00B7707E"/>
    <w:rsid w:val="00B771CA"/>
    <w:rsid w:val="00B773BD"/>
    <w:rsid w:val="00B773DA"/>
    <w:rsid w:val="00B7747F"/>
    <w:rsid w:val="00B77657"/>
    <w:rsid w:val="00B77670"/>
    <w:rsid w:val="00B77711"/>
    <w:rsid w:val="00B7774D"/>
    <w:rsid w:val="00B77810"/>
    <w:rsid w:val="00B77860"/>
    <w:rsid w:val="00B77886"/>
    <w:rsid w:val="00B77A22"/>
    <w:rsid w:val="00B77BF5"/>
    <w:rsid w:val="00B77F88"/>
    <w:rsid w:val="00B8007D"/>
    <w:rsid w:val="00B800DD"/>
    <w:rsid w:val="00B8013A"/>
    <w:rsid w:val="00B8024C"/>
    <w:rsid w:val="00B80258"/>
    <w:rsid w:val="00B803FB"/>
    <w:rsid w:val="00B80527"/>
    <w:rsid w:val="00B805D9"/>
    <w:rsid w:val="00B8076B"/>
    <w:rsid w:val="00B8082C"/>
    <w:rsid w:val="00B808C4"/>
    <w:rsid w:val="00B808E0"/>
    <w:rsid w:val="00B80936"/>
    <w:rsid w:val="00B80A45"/>
    <w:rsid w:val="00B80ABE"/>
    <w:rsid w:val="00B80B3B"/>
    <w:rsid w:val="00B80DCD"/>
    <w:rsid w:val="00B80ECA"/>
    <w:rsid w:val="00B80F15"/>
    <w:rsid w:val="00B80F86"/>
    <w:rsid w:val="00B80F8A"/>
    <w:rsid w:val="00B810B2"/>
    <w:rsid w:val="00B811DB"/>
    <w:rsid w:val="00B8130A"/>
    <w:rsid w:val="00B813AB"/>
    <w:rsid w:val="00B8140E"/>
    <w:rsid w:val="00B8196E"/>
    <w:rsid w:val="00B81A5A"/>
    <w:rsid w:val="00B81A84"/>
    <w:rsid w:val="00B81D6F"/>
    <w:rsid w:val="00B81FA9"/>
    <w:rsid w:val="00B820BC"/>
    <w:rsid w:val="00B82235"/>
    <w:rsid w:val="00B822A4"/>
    <w:rsid w:val="00B82594"/>
    <w:rsid w:val="00B82653"/>
    <w:rsid w:val="00B82671"/>
    <w:rsid w:val="00B827A1"/>
    <w:rsid w:val="00B827B4"/>
    <w:rsid w:val="00B827C0"/>
    <w:rsid w:val="00B828DF"/>
    <w:rsid w:val="00B82B92"/>
    <w:rsid w:val="00B82D0B"/>
    <w:rsid w:val="00B82D6A"/>
    <w:rsid w:val="00B82E62"/>
    <w:rsid w:val="00B82ED4"/>
    <w:rsid w:val="00B82F0B"/>
    <w:rsid w:val="00B82F5E"/>
    <w:rsid w:val="00B82F6D"/>
    <w:rsid w:val="00B82F79"/>
    <w:rsid w:val="00B83008"/>
    <w:rsid w:val="00B830F3"/>
    <w:rsid w:val="00B8310C"/>
    <w:rsid w:val="00B83162"/>
    <w:rsid w:val="00B83239"/>
    <w:rsid w:val="00B83378"/>
    <w:rsid w:val="00B836EE"/>
    <w:rsid w:val="00B8394F"/>
    <w:rsid w:val="00B8399F"/>
    <w:rsid w:val="00B83A8A"/>
    <w:rsid w:val="00B83AA7"/>
    <w:rsid w:val="00B83AED"/>
    <w:rsid w:val="00B83BBF"/>
    <w:rsid w:val="00B83BC1"/>
    <w:rsid w:val="00B83BE2"/>
    <w:rsid w:val="00B83BF5"/>
    <w:rsid w:val="00B83CC0"/>
    <w:rsid w:val="00B83CC1"/>
    <w:rsid w:val="00B83E12"/>
    <w:rsid w:val="00B840FB"/>
    <w:rsid w:val="00B84138"/>
    <w:rsid w:val="00B8426D"/>
    <w:rsid w:val="00B842D6"/>
    <w:rsid w:val="00B84451"/>
    <w:rsid w:val="00B844F8"/>
    <w:rsid w:val="00B84520"/>
    <w:rsid w:val="00B84B5D"/>
    <w:rsid w:val="00B84D00"/>
    <w:rsid w:val="00B84EFB"/>
    <w:rsid w:val="00B8500F"/>
    <w:rsid w:val="00B8505D"/>
    <w:rsid w:val="00B8508E"/>
    <w:rsid w:val="00B8516D"/>
    <w:rsid w:val="00B851BE"/>
    <w:rsid w:val="00B851CA"/>
    <w:rsid w:val="00B85227"/>
    <w:rsid w:val="00B8526B"/>
    <w:rsid w:val="00B85341"/>
    <w:rsid w:val="00B853CD"/>
    <w:rsid w:val="00B85458"/>
    <w:rsid w:val="00B854CC"/>
    <w:rsid w:val="00B85636"/>
    <w:rsid w:val="00B85967"/>
    <w:rsid w:val="00B85980"/>
    <w:rsid w:val="00B85AD4"/>
    <w:rsid w:val="00B85C27"/>
    <w:rsid w:val="00B85FAF"/>
    <w:rsid w:val="00B860E0"/>
    <w:rsid w:val="00B8628D"/>
    <w:rsid w:val="00B863F4"/>
    <w:rsid w:val="00B8646A"/>
    <w:rsid w:val="00B86496"/>
    <w:rsid w:val="00B866F7"/>
    <w:rsid w:val="00B869C3"/>
    <w:rsid w:val="00B86A4A"/>
    <w:rsid w:val="00B86AE3"/>
    <w:rsid w:val="00B86E7C"/>
    <w:rsid w:val="00B86EE0"/>
    <w:rsid w:val="00B86F5C"/>
    <w:rsid w:val="00B870FE"/>
    <w:rsid w:val="00B871F2"/>
    <w:rsid w:val="00B8720D"/>
    <w:rsid w:val="00B872A8"/>
    <w:rsid w:val="00B872ED"/>
    <w:rsid w:val="00B873BE"/>
    <w:rsid w:val="00B87532"/>
    <w:rsid w:val="00B875B6"/>
    <w:rsid w:val="00B875C6"/>
    <w:rsid w:val="00B87627"/>
    <w:rsid w:val="00B87776"/>
    <w:rsid w:val="00B8777C"/>
    <w:rsid w:val="00B87827"/>
    <w:rsid w:val="00B87854"/>
    <w:rsid w:val="00B87962"/>
    <w:rsid w:val="00B87A24"/>
    <w:rsid w:val="00B87B06"/>
    <w:rsid w:val="00B87C4C"/>
    <w:rsid w:val="00B87C80"/>
    <w:rsid w:val="00B87D9E"/>
    <w:rsid w:val="00B901BF"/>
    <w:rsid w:val="00B901DE"/>
    <w:rsid w:val="00B902A8"/>
    <w:rsid w:val="00B906BF"/>
    <w:rsid w:val="00B906FE"/>
    <w:rsid w:val="00B90702"/>
    <w:rsid w:val="00B9073D"/>
    <w:rsid w:val="00B907B5"/>
    <w:rsid w:val="00B90856"/>
    <w:rsid w:val="00B9086F"/>
    <w:rsid w:val="00B90A88"/>
    <w:rsid w:val="00B90AC8"/>
    <w:rsid w:val="00B90B09"/>
    <w:rsid w:val="00B90B3E"/>
    <w:rsid w:val="00B90BB2"/>
    <w:rsid w:val="00B90C4E"/>
    <w:rsid w:val="00B90D37"/>
    <w:rsid w:val="00B90D7D"/>
    <w:rsid w:val="00B90D81"/>
    <w:rsid w:val="00B90E1E"/>
    <w:rsid w:val="00B90EB8"/>
    <w:rsid w:val="00B91087"/>
    <w:rsid w:val="00B910FE"/>
    <w:rsid w:val="00B911A4"/>
    <w:rsid w:val="00B911CD"/>
    <w:rsid w:val="00B911D3"/>
    <w:rsid w:val="00B911F5"/>
    <w:rsid w:val="00B9122A"/>
    <w:rsid w:val="00B913C6"/>
    <w:rsid w:val="00B915BC"/>
    <w:rsid w:val="00B918DF"/>
    <w:rsid w:val="00B91A30"/>
    <w:rsid w:val="00B91B22"/>
    <w:rsid w:val="00B91B83"/>
    <w:rsid w:val="00B91CE9"/>
    <w:rsid w:val="00B91D36"/>
    <w:rsid w:val="00B91ECE"/>
    <w:rsid w:val="00B91EF7"/>
    <w:rsid w:val="00B91F14"/>
    <w:rsid w:val="00B91F3F"/>
    <w:rsid w:val="00B9202F"/>
    <w:rsid w:val="00B9214A"/>
    <w:rsid w:val="00B92166"/>
    <w:rsid w:val="00B92453"/>
    <w:rsid w:val="00B92483"/>
    <w:rsid w:val="00B92494"/>
    <w:rsid w:val="00B9256C"/>
    <w:rsid w:val="00B9257B"/>
    <w:rsid w:val="00B925AD"/>
    <w:rsid w:val="00B92709"/>
    <w:rsid w:val="00B928D8"/>
    <w:rsid w:val="00B92A67"/>
    <w:rsid w:val="00B92AB2"/>
    <w:rsid w:val="00B92B07"/>
    <w:rsid w:val="00B92BFF"/>
    <w:rsid w:val="00B92C09"/>
    <w:rsid w:val="00B92D87"/>
    <w:rsid w:val="00B92EC2"/>
    <w:rsid w:val="00B92F34"/>
    <w:rsid w:val="00B92F8A"/>
    <w:rsid w:val="00B92FF4"/>
    <w:rsid w:val="00B9307C"/>
    <w:rsid w:val="00B93142"/>
    <w:rsid w:val="00B9330A"/>
    <w:rsid w:val="00B9358A"/>
    <w:rsid w:val="00B93616"/>
    <w:rsid w:val="00B93643"/>
    <w:rsid w:val="00B937C8"/>
    <w:rsid w:val="00B93B65"/>
    <w:rsid w:val="00B93C11"/>
    <w:rsid w:val="00B93C74"/>
    <w:rsid w:val="00B93CE0"/>
    <w:rsid w:val="00B93CEB"/>
    <w:rsid w:val="00B93ECE"/>
    <w:rsid w:val="00B93F6B"/>
    <w:rsid w:val="00B94045"/>
    <w:rsid w:val="00B9426A"/>
    <w:rsid w:val="00B9440D"/>
    <w:rsid w:val="00B94525"/>
    <w:rsid w:val="00B94572"/>
    <w:rsid w:val="00B945BE"/>
    <w:rsid w:val="00B94905"/>
    <w:rsid w:val="00B94C2C"/>
    <w:rsid w:val="00B94D14"/>
    <w:rsid w:val="00B94F58"/>
    <w:rsid w:val="00B952BF"/>
    <w:rsid w:val="00B9533E"/>
    <w:rsid w:val="00B954F0"/>
    <w:rsid w:val="00B95544"/>
    <w:rsid w:val="00B955F0"/>
    <w:rsid w:val="00B9561B"/>
    <w:rsid w:val="00B95AB7"/>
    <w:rsid w:val="00B95ADC"/>
    <w:rsid w:val="00B95ADE"/>
    <w:rsid w:val="00B95C09"/>
    <w:rsid w:val="00B95CE1"/>
    <w:rsid w:val="00B95DF3"/>
    <w:rsid w:val="00B95E99"/>
    <w:rsid w:val="00B96090"/>
    <w:rsid w:val="00B96119"/>
    <w:rsid w:val="00B9628F"/>
    <w:rsid w:val="00B962A5"/>
    <w:rsid w:val="00B9635F"/>
    <w:rsid w:val="00B96377"/>
    <w:rsid w:val="00B96471"/>
    <w:rsid w:val="00B9661D"/>
    <w:rsid w:val="00B96677"/>
    <w:rsid w:val="00B96791"/>
    <w:rsid w:val="00B967BB"/>
    <w:rsid w:val="00B967C2"/>
    <w:rsid w:val="00B967DB"/>
    <w:rsid w:val="00B96847"/>
    <w:rsid w:val="00B968CF"/>
    <w:rsid w:val="00B96B32"/>
    <w:rsid w:val="00B96ECA"/>
    <w:rsid w:val="00B96EDD"/>
    <w:rsid w:val="00B96F49"/>
    <w:rsid w:val="00B970D1"/>
    <w:rsid w:val="00B97227"/>
    <w:rsid w:val="00B9725E"/>
    <w:rsid w:val="00B97292"/>
    <w:rsid w:val="00B9732A"/>
    <w:rsid w:val="00B975A9"/>
    <w:rsid w:val="00B97691"/>
    <w:rsid w:val="00B976B6"/>
    <w:rsid w:val="00B97776"/>
    <w:rsid w:val="00B977D6"/>
    <w:rsid w:val="00B977D7"/>
    <w:rsid w:val="00B9785A"/>
    <w:rsid w:val="00B97947"/>
    <w:rsid w:val="00B9794C"/>
    <w:rsid w:val="00B97AB2"/>
    <w:rsid w:val="00B97AE7"/>
    <w:rsid w:val="00B97AF7"/>
    <w:rsid w:val="00B97B56"/>
    <w:rsid w:val="00B97C9A"/>
    <w:rsid w:val="00B97F68"/>
    <w:rsid w:val="00B97FE4"/>
    <w:rsid w:val="00BA00E3"/>
    <w:rsid w:val="00BA0239"/>
    <w:rsid w:val="00BA024E"/>
    <w:rsid w:val="00BA0261"/>
    <w:rsid w:val="00BA03E3"/>
    <w:rsid w:val="00BA045C"/>
    <w:rsid w:val="00BA05E8"/>
    <w:rsid w:val="00BA069D"/>
    <w:rsid w:val="00BA0807"/>
    <w:rsid w:val="00BA083E"/>
    <w:rsid w:val="00BA0953"/>
    <w:rsid w:val="00BA095B"/>
    <w:rsid w:val="00BA099B"/>
    <w:rsid w:val="00BA0A11"/>
    <w:rsid w:val="00BA0A14"/>
    <w:rsid w:val="00BA0A80"/>
    <w:rsid w:val="00BA0B90"/>
    <w:rsid w:val="00BA0BB1"/>
    <w:rsid w:val="00BA0E44"/>
    <w:rsid w:val="00BA0F06"/>
    <w:rsid w:val="00BA10C3"/>
    <w:rsid w:val="00BA1186"/>
    <w:rsid w:val="00BA11AA"/>
    <w:rsid w:val="00BA135C"/>
    <w:rsid w:val="00BA137D"/>
    <w:rsid w:val="00BA162D"/>
    <w:rsid w:val="00BA17EC"/>
    <w:rsid w:val="00BA1837"/>
    <w:rsid w:val="00BA18C5"/>
    <w:rsid w:val="00BA19BE"/>
    <w:rsid w:val="00BA19E0"/>
    <w:rsid w:val="00BA1A19"/>
    <w:rsid w:val="00BA1B75"/>
    <w:rsid w:val="00BA1BC9"/>
    <w:rsid w:val="00BA1BEA"/>
    <w:rsid w:val="00BA1BEE"/>
    <w:rsid w:val="00BA1C71"/>
    <w:rsid w:val="00BA1C9E"/>
    <w:rsid w:val="00BA1EDA"/>
    <w:rsid w:val="00BA21A8"/>
    <w:rsid w:val="00BA23EA"/>
    <w:rsid w:val="00BA25B4"/>
    <w:rsid w:val="00BA26F2"/>
    <w:rsid w:val="00BA2716"/>
    <w:rsid w:val="00BA273F"/>
    <w:rsid w:val="00BA281C"/>
    <w:rsid w:val="00BA288E"/>
    <w:rsid w:val="00BA28DD"/>
    <w:rsid w:val="00BA28F8"/>
    <w:rsid w:val="00BA292A"/>
    <w:rsid w:val="00BA2B3B"/>
    <w:rsid w:val="00BA2DD2"/>
    <w:rsid w:val="00BA2E6B"/>
    <w:rsid w:val="00BA2F40"/>
    <w:rsid w:val="00BA318B"/>
    <w:rsid w:val="00BA328A"/>
    <w:rsid w:val="00BA32EB"/>
    <w:rsid w:val="00BA333D"/>
    <w:rsid w:val="00BA344E"/>
    <w:rsid w:val="00BA35A6"/>
    <w:rsid w:val="00BA35CD"/>
    <w:rsid w:val="00BA36CC"/>
    <w:rsid w:val="00BA383D"/>
    <w:rsid w:val="00BA39D2"/>
    <w:rsid w:val="00BA3BA3"/>
    <w:rsid w:val="00BA3BCC"/>
    <w:rsid w:val="00BA3C23"/>
    <w:rsid w:val="00BA3C63"/>
    <w:rsid w:val="00BA3CDE"/>
    <w:rsid w:val="00BA3D06"/>
    <w:rsid w:val="00BA3E45"/>
    <w:rsid w:val="00BA3E49"/>
    <w:rsid w:val="00BA3E64"/>
    <w:rsid w:val="00BA3EAF"/>
    <w:rsid w:val="00BA40B0"/>
    <w:rsid w:val="00BA41C1"/>
    <w:rsid w:val="00BA4251"/>
    <w:rsid w:val="00BA430A"/>
    <w:rsid w:val="00BA4360"/>
    <w:rsid w:val="00BA451B"/>
    <w:rsid w:val="00BA457F"/>
    <w:rsid w:val="00BA45DA"/>
    <w:rsid w:val="00BA4726"/>
    <w:rsid w:val="00BA477A"/>
    <w:rsid w:val="00BA48C3"/>
    <w:rsid w:val="00BA4A03"/>
    <w:rsid w:val="00BA4A90"/>
    <w:rsid w:val="00BA4B00"/>
    <w:rsid w:val="00BA4C6D"/>
    <w:rsid w:val="00BA4DB5"/>
    <w:rsid w:val="00BA4EE5"/>
    <w:rsid w:val="00BA4F5E"/>
    <w:rsid w:val="00BA4F73"/>
    <w:rsid w:val="00BA50D1"/>
    <w:rsid w:val="00BA5138"/>
    <w:rsid w:val="00BA5186"/>
    <w:rsid w:val="00BA5331"/>
    <w:rsid w:val="00BA5391"/>
    <w:rsid w:val="00BA5510"/>
    <w:rsid w:val="00BA5553"/>
    <w:rsid w:val="00BA5578"/>
    <w:rsid w:val="00BA5618"/>
    <w:rsid w:val="00BA56F8"/>
    <w:rsid w:val="00BA5726"/>
    <w:rsid w:val="00BA5854"/>
    <w:rsid w:val="00BA5966"/>
    <w:rsid w:val="00BA5996"/>
    <w:rsid w:val="00BA59FD"/>
    <w:rsid w:val="00BA5A72"/>
    <w:rsid w:val="00BA5AB3"/>
    <w:rsid w:val="00BA5AFB"/>
    <w:rsid w:val="00BA5B3A"/>
    <w:rsid w:val="00BA5B61"/>
    <w:rsid w:val="00BA5BAD"/>
    <w:rsid w:val="00BA5C85"/>
    <w:rsid w:val="00BA5D14"/>
    <w:rsid w:val="00BA5EA0"/>
    <w:rsid w:val="00BA5F6D"/>
    <w:rsid w:val="00BA60EC"/>
    <w:rsid w:val="00BA6144"/>
    <w:rsid w:val="00BA6398"/>
    <w:rsid w:val="00BA6431"/>
    <w:rsid w:val="00BA64DF"/>
    <w:rsid w:val="00BA65EC"/>
    <w:rsid w:val="00BA6604"/>
    <w:rsid w:val="00BA6699"/>
    <w:rsid w:val="00BA688C"/>
    <w:rsid w:val="00BA6890"/>
    <w:rsid w:val="00BA6892"/>
    <w:rsid w:val="00BA68C1"/>
    <w:rsid w:val="00BA68E6"/>
    <w:rsid w:val="00BA69FB"/>
    <w:rsid w:val="00BA6A0E"/>
    <w:rsid w:val="00BA6AD0"/>
    <w:rsid w:val="00BA6AE2"/>
    <w:rsid w:val="00BA6BE0"/>
    <w:rsid w:val="00BA6D6C"/>
    <w:rsid w:val="00BA6DAF"/>
    <w:rsid w:val="00BA6FBC"/>
    <w:rsid w:val="00BA7228"/>
    <w:rsid w:val="00BA722C"/>
    <w:rsid w:val="00BA7236"/>
    <w:rsid w:val="00BA7296"/>
    <w:rsid w:val="00BA72D2"/>
    <w:rsid w:val="00BA7548"/>
    <w:rsid w:val="00BA76BF"/>
    <w:rsid w:val="00BA7704"/>
    <w:rsid w:val="00BA77A4"/>
    <w:rsid w:val="00BA7885"/>
    <w:rsid w:val="00BA78A8"/>
    <w:rsid w:val="00BA7A05"/>
    <w:rsid w:val="00BA7A15"/>
    <w:rsid w:val="00BA7A17"/>
    <w:rsid w:val="00BA7A2C"/>
    <w:rsid w:val="00BA7AE9"/>
    <w:rsid w:val="00BA7B39"/>
    <w:rsid w:val="00BA7D26"/>
    <w:rsid w:val="00BA7F28"/>
    <w:rsid w:val="00BA7FF0"/>
    <w:rsid w:val="00BB00E8"/>
    <w:rsid w:val="00BB0357"/>
    <w:rsid w:val="00BB054D"/>
    <w:rsid w:val="00BB08D8"/>
    <w:rsid w:val="00BB092F"/>
    <w:rsid w:val="00BB0958"/>
    <w:rsid w:val="00BB0A50"/>
    <w:rsid w:val="00BB0C77"/>
    <w:rsid w:val="00BB0CCC"/>
    <w:rsid w:val="00BB0CDE"/>
    <w:rsid w:val="00BB0D31"/>
    <w:rsid w:val="00BB0E1C"/>
    <w:rsid w:val="00BB0EF5"/>
    <w:rsid w:val="00BB0F38"/>
    <w:rsid w:val="00BB1219"/>
    <w:rsid w:val="00BB1232"/>
    <w:rsid w:val="00BB129F"/>
    <w:rsid w:val="00BB12F6"/>
    <w:rsid w:val="00BB14A0"/>
    <w:rsid w:val="00BB16B6"/>
    <w:rsid w:val="00BB179F"/>
    <w:rsid w:val="00BB17E3"/>
    <w:rsid w:val="00BB183D"/>
    <w:rsid w:val="00BB19BD"/>
    <w:rsid w:val="00BB1BB3"/>
    <w:rsid w:val="00BB1F15"/>
    <w:rsid w:val="00BB1F35"/>
    <w:rsid w:val="00BB1FE6"/>
    <w:rsid w:val="00BB20C3"/>
    <w:rsid w:val="00BB21F6"/>
    <w:rsid w:val="00BB2287"/>
    <w:rsid w:val="00BB248F"/>
    <w:rsid w:val="00BB24CA"/>
    <w:rsid w:val="00BB2517"/>
    <w:rsid w:val="00BB2596"/>
    <w:rsid w:val="00BB25A0"/>
    <w:rsid w:val="00BB2665"/>
    <w:rsid w:val="00BB2783"/>
    <w:rsid w:val="00BB27D3"/>
    <w:rsid w:val="00BB2863"/>
    <w:rsid w:val="00BB28CB"/>
    <w:rsid w:val="00BB29F9"/>
    <w:rsid w:val="00BB2A8C"/>
    <w:rsid w:val="00BB2B91"/>
    <w:rsid w:val="00BB2BC3"/>
    <w:rsid w:val="00BB2C24"/>
    <w:rsid w:val="00BB2DD1"/>
    <w:rsid w:val="00BB2E56"/>
    <w:rsid w:val="00BB2E9D"/>
    <w:rsid w:val="00BB2F99"/>
    <w:rsid w:val="00BB3200"/>
    <w:rsid w:val="00BB32D9"/>
    <w:rsid w:val="00BB32F4"/>
    <w:rsid w:val="00BB341D"/>
    <w:rsid w:val="00BB342B"/>
    <w:rsid w:val="00BB3543"/>
    <w:rsid w:val="00BB3620"/>
    <w:rsid w:val="00BB3654"/>
    <w:rsid w:val="00BB36E0"/>
    <w:rsid w:val="00BB3703"/>
    <w:rsid w:val="00BB3772"/>
    <w:rsid w:val="00BB3817"/>
    <w:rsid w:val="00BB3899"/>
    <w:rsid w:val="00BB3975"/>
    <w:rsid w:val="00BB3A3E"/>
    <w:rsid w:val="00BB3B25"/>
    <w:rsid w:val="00BB3B63"/>
    <w:rsid w:val="00BB3B8C"/>
    <w:rsid w:val="00BB3BA7"/>
    <w:rsid w:val="00BB3C21"/>
    <w:rsid w:val="00BB3D5C"/>
    <w:rsid w:val="00BB4113"/>
    <w:rsid w:val="00BB421C"/>
    <w:rsid w:val="00BB426B"/>
    <w:rsid w:val="00BB430E"/>
    <w:rsid w:val="00BB44DD"/>
    <w:rsid w:val="00BB4632"/>
    <w:rsid w:val="00BB4633"/>
    <w:rsid w:val="00BB47BD"/>
    <w:rsid w:val="00BB47C7"/>
    <w:rsid w:val="00BB4AE4"/>
    <w:rsid w:val="00BB4B42"/>
    <w:rsid w:val="00BB4B93"/>
    <w:rsid w:val="00BB4C37"/>
    <w:rsid w:val="00BB4CCE"/>
    <w:rsid w:val="00BB4DA3"/>
    <w:rsid w:val="00BB4E12"/>
    <w:rsid w:val="00BB4E23"/>
    <w:rsid w:val="00BB4E72"/>
    <w:rsid w:val="00BB4F10"/>
    <w:rsid w:val="00BB4FFC"/>
    <w:rsid w:val="00BB50D7"/>
    <w:rsid w:val="00BB5164"/>
    <w:rsid w:val="00BB5235"/>
    <w:rsid w:val="00BB53F6"/>
    <w:rsid w:val="00BB545A"/>
    <w:rsid w:val="00BB57D6"/>
    <w:rsid w:val="00BB5914"/>
    <w:rsid w:val="00BB5C43"/>
    <w:rsid w:val="00BB5E24"/>
    <w:rsid w:val="00BB5FEA"/>
    <w:rsid w:val="00BB60DB"/>
    <w:rsid w:val="00BB6109"/>
    <w:rsid w:val="00BB62F1"/>
    <w:rsid w:val="00BB6362"/>
    <w:rsid w:val="00BB6409"/>
    <w:rsid w:val="00BB64A2"/>
    <w:rsid w:val="00BB6570"/>
    <w:rsid w:val="00BB65FB"/>
    <w:rsid w:val="00BB68FE"/>
    <w:rsid w:val="00BB6B2E"/>
    <w:rsid w:val="00BB6C35"/>
    <w:rsid w:val="00BB6CC2"/>
    <w:rsid w:val="00BB6E2C"/>
    <w:rsid w:val="00BB6FC8"/>
    <w:rsid w:val="00BB703B"/>
    <w:rsid w:val="00BB72B9"/>
    <w:rsid w:val="00BB732C"/>
    <w:rsid w:val="00BB7335"/>
    <w:rsid w:val="00BB7621"/>
    <w:rsid w:val="00BB7628"/>
    <w:rsid w:val="00BB763D"/>
    <w:rsid w:val="00BB7742"/>
    <w:rsid w:val="00BB77AE"/>
    <w:rsid w:val="00BB7822"/>
    <w:rsid w:val="00BB7856"/>
    <w:rsid w:val="00BB7AD3"/>
    <w:rsid w:val="00BB7BC8"/>
    <w:rsid w:val="00BB7BCC"/>
    <w:rsid w:val="00BB7CDC"/>
    <w:rsid w:val="00BB7E9F"/>
    <w:rsid w:val="00BC00FE"/>
    <w:rsid w:val="00BC0184"/>
    <w:rsid w:val="00BC04CB"/>
    <w:rsid w:val="00BC0560"/>
    <w:rsid w:val="00BC05EE"/>
    <w:rsid w:val="00BC0721"/>
    <w:rsid w:val="00BC0751"/>
    <w:rsid w:val="00BC0781"/>
    <w:rsid w:val="00BC08D6"/>
    <w:rsid w:val="00BC08EB"/>
    <w:rsid w:val="00BC096B"/>
    <w:rsid w:val="00BC0A1F"/>
    <w:rsid w:val="00BC0A26"/>
    <w:rsid w:val="00BC0A60"/>
    <w:rsid w:val="00BC0B11"/>
    <w:rsid w:val="00BC0BA4"/>
    <w:rsid w:val="00BC0BCC"/>
    <w:rsid w:val="00BC0BDB"/>
    <w:rsid w:val="00BC0D47"/>
    <w:rsid w:val="00BC0D8E"/>
    <w:rsid w:val="00BC0E2D"/>
    <w:rsid w:val="00BC1289"/>
    <w:rsid w:val="00BC12A3"/>
    <w:rsid w:val="00BC1319"/>
    <w:rsid w:val="00BC136E"/>
    <w:rsid w:val="00BC14C1"/>
    <w:rsid w:val="00BC15E8"/>
    <w:rsid w:val="00BC169F"/>
    <w:rsid w:val="00BC174D"/>
    <w:rsid w:val="00BC1795"/>
    <w:rsid w:val="00BC1889"/>
    <w:rsid w:val="00BC18A2"/>
    <w:rsid w:val="00BC18D9"/>
    <w:rsid w:val="00BC1A0C"/>
    <w:rsid w:val="00BC1A23"/>
    <w:rsid w:val="00BC1A37"/>
    <w:rsid w:val="00BC1ABB"/>
    <w:rsid w:val="00BC1B8F"/>
    <w:rsid w:val="00BC1C44"/>
    <w:rsid w:val="00BC1CC4"/>
    <w:rsid w:val="00BC1E22"/>
    <w:rsid w:val="00BC1F36"/>
    <w:rsid w:val="00BC1F4D"/>
    <w:rsid w:val="00BC1F6D"/>
    <w:rsid w:val="00BC1FEA"/>
    <w:rsid w:val="00BC1FEE"/>
    <w:rsid w:val="00BC201D"/>
    <w:rsid w:val="00BC20EB"/>
    <w:rsid w:val="00BC2169"/>
    <w:rsid w:val="00BC2198"/>
    <w:rsid w:val="00BC21C8"/>
    <w:rsid w:val="00BC2201"/>
    <w:rsid w:val="00BC24D7"/>
    <w:rsid w:val="00BC24FB"/>
    <w:rsid w:val="00BC2503"/>
    <w:rsid w:val="00BC2621"/>
    <w:rsid w:val="00BC2658"/>
    <w:rsid w:val="00BC2764"/>
    <w:rsid w:val="00BC2A98"/>
    <w:rsid w:val="00BC2A9D"/>
    <w:rsid w:val="00BC2AFB"/>
    <w:rsid w:val="00BC2B7E"/>
    <w:rsid w:val="00BC2C13"/>
    <w:rsid w:val="00BC2C1B"/>
    <w:rsid w:val="00BC2CA5"/>
    <w:rsid w:val="00BC2D1D"/>
    <w:rsid w:val="00BC2F8C"/>
    <w:rsid w:val="00BC302E"/>
    <w:rsid w:val="00BC3109"/>
    <w:rsid w:val="00BC3137"/>
    <w:rsid w:val="00BC32BF"/>
    <w:rsid w:val="00BC34B9"/>
    <w:rsid w:val="00BC35A4"/>
    <w:rsid w:val="00BC35F3"/>
    <w:rsid w:val="00BC36B6"/>
    <w:rsid w:val="00BC388B"/>
    <w:rsid w:val="00BC38CC"/>
    <w:rsid w:val="00BC394D"/>
    <w:rsid w:val="00BC3A6B"/>
    <w:rsid w:val="00BC3B4C"/>
    <w:rsid w:val="00BC3B75"/>
    <w:rsid w:val="00BC3D64"/>
    <w:rsid w:val="00BC3E11"/>
    <w:rsid w:val="00BC3ED4"/>
    <w:rsid w:val="00BC406D"/>
    <w:rsid w:val="00BC4181"/>
    <w:rsid w:val="00BC4188"/>
    <w:rsid w:val="00BC42E5"/>
    <w:rsid w:val="00BC44DA"/>
    <w:rsid w:val="00BC459D"/>
    <w:rsid w:val="00BC45BC"/>
    <w:rsid w:val="00BC4795"/>
    <w:rsid w:val="00BC48B9"/>
    <w:rsid w:val="00BC48DE"/>
    <w:rsid w:val="00BC4BBB"/>
    <w:rsid w:val="00BC4BBF"/>
    <w:rsid w:val="00BC4BCF"/>
    <w:rsid w:val="00BC4BF3"/>
    <w:rsid w:val="00BC4C0F"/>
    <w:rsid w:val="00BC4D21"/>
    <w:rsid w:val="00BC4E89"/>
    <w:rsid w:val="00BC4FC4"/>
    <w:rsid w:val="00BC52A5"/>
    <w:rsid w:val="00BC548C"/>
    <w:rsid w:val="00BC55F9"/>
    <w:rsid w:val="00BC573C"/>
    <w:rsid w:val="00BC5876"/>
    <w:rsid w:val="00BC58F8"/>
    <w:rsid w:val="00BC5975"/>
    <w:rsid w:val="00BC5B53"/>
    <w:rsid w:val="00BC6067"/>
    <w:rsid w:val="00BC62AF"/>
    <w:rsid w:val="00BC630C"/>
    <w:rsid w:val="00BC631D"/>
    <w:rsid w:val="00BC6758"/>
    <w:rsid w:val="00BC67EE"/>
    <w:rsid w:val="00BC6806"/>
    <w:rsid w:val="00BC68C4"/>
    <w:rsid w:val="00BC6924"/>
    <w:rsid w:val="00BC69B7"/>
    <w:rsid w:val="00BC6A4D"/>
    <w:rsid w:val="00BC6B85"/>
    <w:rsid w:val="00BC6CDC"/>
    <w:rsid w:val="00BC6D96"/>
    <w:rsid w:val="00BC6DD8"/>
    <w:rsid w:val="00BC6E15"/>
    <w:rsid w:val="00BC7050"/>
    <w:rsid w:val="00BC7069"/>
    <w:rsid w:val="00BC7087"/>
    <w:rsid w:val="00BC70C7"/>
    <w:rsid w:val="00BC726F"/>
    <w:rsid w:val="00BC73D4"/>
    <w:rsid w:val="00BC74CD"/>
    <w:rsid w:val="00BC752B"/>
    <w:rsid w:val="00BC75FA"/>
    <w:rsid w:val="00BC7624"/>
    <w:rsid w:val="00BC76A3"/>
    <w:rsid w:val="00BC7823"/>
    <w:rsid w:val="00BC792B"/>
    <w:rsid w:val="00BC7F77"/>
    <w:rsid w:val="00BD0004"/>
    <w:rsid w:val="00BD0062"/>
    <w:rsid w:val="00BD0091"/>
    <w:rsid w:val="00BD00A4"/>
    <w:rsid w:val="00BD00F7"/>
    <w:rsid w:val="00BD00F8"/>
    <w:rsid w:val="00BD046C"/>
    <w:rsid w:val="00BD0585"/>
    <w:rsid w:val="00BD058F"/>
    <w:rsid w:val="00BD0674"/>
    <w:rsid w:val="00BD0955"/>
    <w:rsid w:val="00BD0A61"/>
    <w:rsid w:val="00BD0C89"/>
    <w:rsid w:val="00BD0D50"/>
    <w:rsid w:val="00BD0DE7"/>
    <w:rsid w:val="00BD0E69"/>
    <w:rsid w:val="00BD0E75"/>
    <w:rsid w:val="00BD0FF7"/>
    <w:rsid w:val="00BD105B"/>
    <w:rsid w:val="00BD1106"/>
    <w:rsid w:val="00BD122D"/>
    <w:rsid w:val="00BD1289"/>
    <w:rsid w:val="00BD1392"/>
    <w:rsid w:val="00BD13CB"/>
    <w:rsid w:val="00BD1783"/>
    <w:rsid w:val="00BD17BE"/>
    <w:rsid w:val="00BD184A"/>
    <w:rsid w:val="00BD1A2D"/>
    <w:rsid w:val="00BD1A7A"/>
    <w:rsid w:val="00BD1A7D"/>
    <w:rsid w:val="00BD1B60"/>
    <w:rsid w:val="00BD1C43"/>
    <w:rsid w:val="00BD1C64"/>
    <w:rsid w:val="00BD1C69"/>
    <w:rsid w:val="00BD1D47"/>
    <w:rsid w:val="00BD1F2E"/>
    <w:rsid w:val="00BD1FB3"/>
    <w:rsid w:val="00BD21A6"/>
    <w:rsid w:val="00BD22D1"/>
    <w:rsid w:val="00BD2644"/>
    <w:rsid w:val="00BD268E"/>
    <w:rsid w:val="00BD2856"/>
    <w:rsid w:val="00BD29D0"/>
    <w:rsid w:val="00BD2A04"/>
    <w:rsid w:val="00BD2AA4"/>
    <w:rsid w:val="00BD2B1F"/>
    <w:rsid w:val="00BD2C9B"/>
    <w:rsid w:val="00BD2CB0"/>
    <w:rsid w:val="00BD2F51"/>
    <w:rsid w:val="00BD3206"/>
    <w:rsid w:val="00BD3284"/>
    <w:rsid w:val="00BD33D3"/>
    <w:rsid w:val="00BD34F8"/>
    <w:rsid w:val="00BD3534"/>
    <w:rsid w:val="00BD3556"/>
    <w:rsid w:val="00BD355F"/>
    <w:rsid w:val="00BD3571"/>
    <w:rsid w:val="00BD359C"/>
    <w:rsid w:val="00BD35D2"/>
    <w:rsid w:val="00BD3631"/>
    <w:rsid w:val="00BD36EF"/>
    <w:rsid w:val="00BD36FB"/>
    <w:rsid w:val="00BD3714"/>
    <w:rsid w:val="00BD37EE"/>
    <w:rsid w:val="00BD3873"/>
    <w:rsid w:val="00BD39E0"/>
    <w:rsid w:val="00BD3B73"/>
    <w:rsid w:val="00BD3BBE"/>
    <w:rsid w:val="00BD3BD8"/>
    <w:rsid w:val="00BD3BF0"/>
    <w:rsid w:val="00BD3CAA"/>
    <w:rsid w:val="00BD3DD0"/>
    <w:rsid w:val="00BD4005"/>
    <w:rsid w:val="00BD4073"/>
    <w:rsid w:val="00BD42B6"/>
    <w:rsid w:val="00BD4555"/>
    <w:rsid w:val="00BD45A3"/>
    <w:rsid w:val="00BD45EE"/>
    <w:rsid w:val="00BD4653"/>
    <w:rsid w:val="00BD4655"/>
    <w:rsid w:val="00BD469A"/>
    <w:rsid w:val="00BD4700"/>
    <w:rsid w:val="00BD478F"/>
    <w:rsid w:val="00BD4C3C"/>
    <w:rsid w:val="00BD4E84"/>
    <w:rsid w:val="00BD4F82"/>
    <w:rsid w:val="00BD5121"/>
    <w:rsid w:val="00BD5168"/>
    <w:rsid w:val="00BD51D7"/>
    <w:rsid w:val="00BD51F7"/>
    <w:rsid w:val="00BD532C"/>
    <w:rsid w:val="00BD545D"/>
    <w:rsid w:val="00BD5559"/>
    <w:rsid w:val="00BD56B2"/>
    <w:rsid w:val="00BD573A"/>
    <w:rsid w:val="00BD5A0C"/>
    <w:rsid w:val="00BD5A54"/>
    <w:rsid w:val="00BD5B0A"/>
    <w:rsid w:val="00BD5B66"/>
    <w:rsid w:val="00BD5C01"/>
    <w:rsid w:val="00BD5C36"/>
    <w:rsid w:val="00BD5C5D"/>
    <w:rsid w:val="00BD5D00"/>
    <w:rsid w:val="00BD5D21"/>
    <w:rsid w:val="00BD5DB0"/>
    <w:rsid w:val="00BD5DC7"/>
    <w:rsid w:val="00BD5E95"/>
    <w:rsid w:val="00BD5F61"/>
    <w:rsid w:val="00BD604C"/>
    <w:rsid w:val="00BD61A5"/>
    <w:rsid w:val="00BD6231"/>
    <w:rsid w:val="00BD625A"/>
    <w:rsid w:val="00BD63BE"/>
    <w:rsid w:val="00BD6445"/>
    <w:rsid w:val="00BD64AB"/>
    <w:rsid w:val="00BD65FE"/>
    <w:rsid w:val="00BD6600"/>
    <w:rsid w:val="00BD666A"/>
    <w:rsid w:val="00BD66E6"/>
    <w:rsid w:val="00BD6837"/>
    <w:rsid w:val="00BD683E"/>
    <w:rsid w:val="00BD68AF"/>
    <w:rsid w:val="00BD68F3"/>
    <w:rsid w:val="00BD69FF"/>
    <w:rsid w:val="00BD6A29"/>
    <w:rsid w:val="00BD6ACE"/>
    <w:rsid w:val="00BD6D3D"/>
    <w:rsid w:val="00BD6DAD"/>
    <w:rsid w:val="00BD708B"/>
    <w:rsid w:val="00BD7122"/>
    <w:rsid w:val="00BD7229"/>
    <w:rsid w:val="00BD7249"/>
    <w:rsid w:val="00BD7563"/>
    <w:rsid w:val="00BD761B"/>
    <w:rsid w:val="00BD7703"/>
    <w:rsid w:val="00BD7716"/>
    <w:rsid w:val="00BD77DC"/>
    <w:rsid w:val="00BD7A3C"/>
    <w:rsid w:val="00BD7A57"/>
    <w:rsid w:val="00BD7B0E"/>
    <w:rsid w:val="00BD7BA7"/>
    <w:rsid w:val="00BD7BAF"/>
    <w:rsid w:val="00BD7CC2"/>
    <w:rsid w:val="00BD7D01"/>
    <w:rsid w:val="00BD7D59"/>
    <w:rsid w:val="00BD7DA1"/>
    <w:rsid w:val="00BD7F31"/>
    <w:rsid w:val="00BD7F79"/>
    <w:rsid w:val="00BD7F7A"/>
    <w:rsid w:val="00BD7F9E"/>
    <w:rsid w:val="00BD7FBC"/>
    <w:rsid w:val="00BE0094"/>
    <w:rsid w:val="00BE00AD"/>
    <w:rsid w:val="00BE0143"/>
    <w:rsid w:val="00BE02CB"/>
    <w:rsid w:val="00BE0337"/>
    <w:rsid w:val="00BE03B7"/>
    <w:rsid w:val="00BE04ED"/>
    <w:rsid w:val="00BE0673"/>
    <w:rsid w:val="00BE06B4"/>
    <w:rsid w:val="00BE0947"/>
    <w:rsid w:val="00BE0AD4"/>
    <w:rsid w:val="00BE0B25"/>
    <w:rsid w:val="00BE0CD4"/>
    <w:rsid w:val="00BE0D31"/>
    <w:rsid w:val="00BE0D95"/>
    <w:rsid w:val="00BE0FB3"/>
    <w:rsid w:val="00BE1076"/>
    <w:rsid w:val="00BE111D"/>
    <w:rsid w:val="00BE1182"/>
    <w:rsid w:val="00BE1221"/>
    <w:rsid w:val="00BE139D"/>
    <w:rsid w:val="00BE14CA"/>
    <w:rsid w:val="00BE1509"/>
    <w:rsid w:val="00BE155D"/>
    <w:rsid w:val="00BE15B4"/>
    <w:rsid w:val="00BE15C5"/>
    <w:rsid w:val="00BE1776"/>
    <w:rsid w:val="00BE17AD"/>
    <w:rsid w:val="00BE1804"/>
    <w:rsid w:val="00BE180E"/>
    <w:rsid w:val="00BE1912"/>
    <w:rsid w:val="00BE19D9"/>
    <w:rsid w:val="00BE1C7F"/>
    <w:rsid w:val="00BE1E30"/>
    <w:rsid w:val="00BE1F6E"/>
    <w:rsid w:val="00BE1FA5"/>
    <w:rsid w:val="00BE2116"/>
    <w:rsid w:val="00BE2118"/>
    <w:rsid w:val="00BE2219"/>
    <w:rsid w:val="00BE2234"/>
    <w:rsid w:val="00BE25A0"/>
    <w:rsid w:val="00BE26DE"/>
    <w:rsid w:val="00BE2867"/>
    <w:rsid w:val="00BE2874"/>
    <w:rsid w:val="00BE29DB"/>
    <w:rsid w:val="00BE2AC8"/>
    <w:rsid w:val="00BE2AE5"/>
    <w:rsid w:val="00BE2B5D"/>
    <w:rsid w:val="00BE2D8C"/>
    <w:rsid w:val="00BE2D9D"/>
    <w:rsid w:val="00BE2EEA"/>
    <w:rsid w:val="00BE310D"/>
    <w:rsid w:val="00BE3133"/>
    <w:rsid w:val="00BE3262"/>
    <w:rsid w:val="00BE32DB"/>
    <w:rsid w:val="00BE32E2"/>
    <w:rsid w:val="00BE339D"/>
    <w:rsid w:val="00BE36F5"/>
    <w:rsid w:val="00BE3804"/>
    <w:rsid w:val="00BE382D"/>
    <w:rsid w:val="00BE3852"/>
    <w:rsid w:val="00BE3A28"/>
    <w:rsid w:val="00BE3B5D"/>
    <w:rsid w:val="00BE3B72"/>
    <w:rsid w:val="00BE3CC2"/>
    <w:rsid w:val="00BE40B8"/>
    <w:rsid w:val="00BE436D"/>
    <w:rsid w:val="00BE45E1"/>
    <w:rsid w:val="00BE45E3"/>
    <w:rsid w:val="00BE4679"/>
    <w:rsid w:val="00BE46EE"/>
    <w:rsid w:val="00BE4800"/>
    <w:rsid w:val="00BE49A5"/>
    <w:rsid w:val="00BE4A1C"/>
    <w:rsid w:val="00BE4A2D"/>
    <w:rsid w:val="00BE4A9C"/>
    <w:rsid w:val="00BE4C15"/>
    <w:rsid w:val="00BE4CE6"/>
    <w:rsid w:val="00BE4E47"/>
    <w:rsid w:val="00BE4F45"/>
    <w:rsid w:val="00BE4F9B"/>
    <w:rsid w:val="00BE4FA3"/>
    <w:rsid w:val="00BE5014"/>
    <w:rsid w:val="00BE5108"/>
    <w:rsid w:val="00BE51B0"/>
    <w:rsid w:val="00BE521B"/>
    <w:rsid w:val="00BE530C"/>
    <w:rsid w:val="00BE5392"/>
    <w:rsid w:val="00BE55C5"/>
    <w:rsid w:val="00BE564F"/>
    <w:rsid w:val="00BE5822"/>
    <w:rsid w:val="00BE58A3"/>
    <w:rsid w:val="00BE59AC"/>
    <w:rsid w:val="00BE5B1A"/>
    <w:rsid w:val="00BE5BE2"/>
    <w:rsid w:val="00BE5C7C"/>
    <w:rsid w:val="00BE5CA4"/>
    <w:rsid w:val="00BE5D35"/>
    <w:rsid w:val="00BE5E8E"/>
    <w:rsid w:val="00BE6010"/>
    <w:rsid w:val="00BE624B"/>
    <w:rsid w:val="00BE6316"/>
    <w:rsid w:val="00BE64BD"/>
    <w:rsid w:val="00BE64FF"/>
    <w:rsid w:val="00BE6597"/>
    <w:rsid w:val="00BE6613"/>
    <w:rsid w:val="00BE66B6"/>
    <w:rsid w:val="00BE67B7"/>
    <w:rsid w:val="00BE67CC"/>
    <w:rsid w:val="00BE680C"/>
    <w:rsid w:val="00BE6A65"/>
    <w:rsid w:val="00BE6A93"/>
    <w:rsid w:val="00BE6AE8"/>
    <w:rsid w:val="00BE6C3E"/>
    <w:rsid w:val="00BE6C5A"/>
    <w:rsid w:val="00BE6C5E"/>
    <w:rsid w:val="00BE6D5A"/>
    <w:rsid w:val="00BE6E7F"/>
    <w:rsid w:val="00BE6ED7"/>
    <w:rsid w:val="00BE7226"/>
    <w:rsid w:val="00BE7284"/>
    <w:rsid w:val="00BE72FA"/>
    <w:rsid w:val="00BE73A8"/>
    <w:rsid w:val="00BE7663"/>
    <w:rsid w:val="00BE778E"/>
    <w:rsid w:val="00BE7944"/>
    <w:rsid w:val="00BE79EA"/>
    <w:rsid w:val="00BE7A41"/>
    <w:rsid w:val="00BE7A9C"/>
    <w:rsid w:val="00BE7AE7"/>
    <w:rsid w:val="00BE7B73"/>
    <w:rsid w:val="00BE7B8B"/>
    <w:rsid w:val="00BE7C54"/>
    <w:rsid w:val="00BE7CD7"/>
    <w:rsid w:val="00BF00DA"/>
    <w:rsid w:val="00BF0113"/>
    <w:rsid w:val="00BF013E"/>
    <w:rsid w:val="00BF0272"/>
    <w:rsid w:val="00BF0362"/>
    <w:rsid w:val="00BF04B1"/>
    <w:rsid w:val="00BF05A5"/>
    <w:rsid w:val="00BF066C"/>
    <w:rsid w:val="00BF07E7"/>
    <w:rsid w:val="00BF0847"/>
    <w:rsid w:val="00BF093B"/>
    <w:rsid w:val="00BF0A35"/>
    <w:rsid w:val="00BF0A97"/>
    <w:rsid w:val="00BF0C1D"/>
    <w:rsid w:val="00BF0CC0"/>
    <w:rsid w:val="00BF0CD8"/>
    <w:rsid w:val="00BF0D9D"/>
    <w:rsid w:val="00BF0DE1"/>
    <w:rsid w:val="00BF0E0D"/>
    <w:rsid w:val="00BF0EE6"/>
    <w:rsid w:val="00BF0F3B"/>
    <w:rsid w:val="00BF1182"/>
    <w:rsid w:val="00BF1418"/>
    <w:rsid w:val="00BF1440"/>
    <w:rsid w:val="00BF148F"/>
    <w:rsid w:val="00BF1503"/>
    <w:rsid w:val="00BF1560"/>
    <w:rsid w:val="00BF16C2"/>
    <w:rsid w:val="00BF175A"/>
    <w:rsid w:val="00BF1949"/>
    <w:rsid w:val="00BF1975"/>
    <w:rsid w:val="00BF1B5F"/>
    <w:rsid w:val="00BF1DA4"/>
    <w:rsid w:val="00BF1E7F"/>
    <w:rsid w:val="00BF1E86"/>
    <w:rsid w:val="00BF1F21"/>
    <w:rsid w:val="00BF1F60"/>
    <w:rsid w:val="00BF1F8D"/>
    <w:rsid w:val="00BF2054"/>
    <w:rsid w:val="00BF2101"/>
    <w:rsid w:val="00BF2105"/>
    <w:rsid w:val="00BF2149"/>
    <w:rsid w:val="00BF228B"/>
    <w:rsid w:val="00BF2324"/>
    <w:rsid w:val="00BF239C"/>
    <w:rsid w:val="00BF23A6"/>
    <w:rsid w:val="00BF23BD"/>
    <w:rsid w:val="00BF23E0"/>
    <w:rsid w:val="00BF26D3"/>
    <w:rsid w:val="00BF26F1"/>
    <w:rsid w:val="00BF2846"/>
    <w:rsid w:val="00BF287B"/>
    <w:rsid w:val="00BF2C30"/>
    <w:rsid w:val="00BF2C54"/>
    <w:rsid w:val="00BF2C6D"/>
    <w:rsid w:val="00BF2C92"/>
    <w:rsid w:val="00BF2E2F"/>
    <w:rsid w:val="00BF2EF3"/>
    <w:rsid w:val="00BF2F61"/>
    <w:rsid w:val="00BF2F71"/>
    <w:rsid w:val="00BF30A1"/>
    <w:rsid w:val="00BF310B"/>
    <w:rsid w:val="00BF32DC"/>
    <w:rsid w:val="00BF3311"/>
    <w:rsid w:val="00BF35A9"/>
    <w:rsid w:val="00BF37B1"/>
    <w:rsid w:val="00BF37D8"/>
    <w:rsid w:val="00BF3818"/>
    <w:rsid w:val="00BF383A"/>
    <w:rsid w:val="00BF3AD8"/>
    <w:rsid w:val="00BF3C5A"/>
    <w:rsid w:val="00BF3C60"/>
    <w:rsid w:val="00BF3CA1"/>
    <w:rsid w:val="00BF3DDA"/>
    <w:rsid w:val="00BF3F0D"/>
    <w:rsid w:val="00BF4005"/>
    <w:rsid w:val="00BF4060"/>
    <w:rsid w:val="00BF406B"/>
    <w:rsid w:val="00BF40CB"/>
    <w:rsid w:val="00BF415A"/>
    <w:rsid w:val="00BF4257"/>
    <w:rsid w:val="00BF427E"/>
    <w:rsid w:val="00BF43C0"/>
    <w:rsid w:val="00BF45D4"/>
    <w:rsid w:val="00BF4768"/>
    <w:rsid w:val="00BF493C"/>
    <w:rsid w:val="00BF4A51"/>
    <w:rsid w:val="00BF4A8C"/>
    <w:rsid w:val="00BF4AA3"/>
    <w:rsid w:val="00BF4AE4"/>
    <w:rsid w:val="00BF4CC5"/>
    <w:rsid w:val="00BF4D86"/>
    <w:rsid w:val="00BF4DA7"/>
    <w:rsid w:val="00BF4DE1"/>
    <w:rsid w:val="00BF519F"/>
    <w:rsid w:val="00BF5521"/>
    <w:rsid w:val="00BF55C2"/>
    <w:rsid w:val="00BF5656"/>
    <w:rsid w:val="00BF5695"/>
    <w:rsid w:val="00BF599C"/>
    <w:rsid w:val="00BF5A4D"/>
    <w:rsid w:val="00BF5A4F"/>
    <w:rsid w:val="00BF5AE0"/>
    <w:rsid w:val="00BF5AF2"/>
    <w:rsid w:val="00BF5AFF"/>
    <w:rsid w:val="00BF5B1A"/>
    <w:rsid w:val="00BF5B20"/>
    <w:rsid w:val="00BF5B8C"/>
    <w:rsid w:val="00BF5BC9"/>
    <w:rsid w:val="00BF5D89"/>
    <w:rsid w:val="00BF5DF1"/>
    <w:rsid w:val="00BF5E66"/>
    <w:rsid w:val="00BF5F0C"/>
    <w:rsid w:val="00BF5FBF"/>
    <w:rsid w:val="00BF5FE6"/>
    <w:rsid w:val="00BF6056"/>
    <w:rsid w:val="00BF611D"/>
    <w:rsid w:val="00BF614D"/>
    <w:rsid w:val="00BF62CB"/>
    <w:rsid w:val="00BF632F"/>
    <w:rsid w:val="00BF6519"/>
    <w:rsid w:val="00BF6626"/>
    <w:rsid w:val="00BF6762"/>
    <w:rsid w:val="00BF682D"/>
    <w:rsid w:val="00BF6B65"/>
    <w:rsid w:val="00BF6F79"/>
    <w:rsid w:val="00BF6F9F"/>
    <w:rsid w:val="00BF7023"/>
    <w:rsid w:val="00BF708D"/>
    <w:rsid w:val="00BF73E7"/>
    <w:rsid w:val="00BF766F"/>
    <w:rsid w:val="00BF76DB"/>
    <w:rsid w:val="00BF7AD4"/>
    <w:rsid w:val="00BF7B91"/>
    <w:rsid w:val="00BF7BEC"/>
    <w:rsid w:val="00BF7C4A"/>
    <w:rsid w:val="00BF7CA3"/>
    <w:rsid w:val="00BF7D2C"/>
    <w:rsid w:val="00BF7EBD"/>
    <w:rsid w:val="00BF7EC0"/>
    <w:rsid w:val="00BF7F35"/>
    <w:rsid w:val="00C0001F"/>
    <w:rsid w:val="00C00044"/>
    <w:rsid w:val="00C000C3"/>
    <w:rsid w:val="00C0016A"/>
    <w:rsid w:val="00C00191"/>
    <w:rsid w:val="00C0025C"/>
    <w:rsid w:val="00C0036D"/>
    <w:rsid w:val="00C00479"/>
    <w:rsid w:val="00C004D4"/>
    <w:rsid w:val="00C0052E"/>
    <w:rsid w:val="00C00584"/>
    <w:rsid w:val="00C005E2"/>
    <w:rsid w:val="00C00812"/>
    <w:rsid w:val="00C00841"/>
    <w:rsid w:val="00C00870"/>
    <w:rsid w:val="00C008E8"/>
    <w:rsid w:val="00C008F8"/>
    <w:rsid w:val="00C00A6D"/>
    <w:rsid w:val="00C00ACD"/>
    <w:rsid w:val="00C00AE4"/>
    <w:rsid w:val="00C00B10"/>
    <w:rsid w:val="00C00B3E"/>
    <w:rsid w:val="00C00D15"/>
    <w:rsid w:val="00C00D73"/>
    <w:rsid w:val="00C00E7A"/>
    <w:rsid w:val="00C01014"/>
    <w:rsid w:val="00C01117"/>
    <w:rsid w:val="00C01225"/>
    <w:rsid w:val="00C012BF"/>
    <w:rsid w:val="00C012C2"/>
    <w:rsid w:val="00C0131F"/>
    <w:rsid w:val="00C01460"/>
    <w:rsid w:val="00C01477"/>
    <w:rsid w:val="00C014E8"/>
    <w:rsid w:val="00C01517"/>
    <w:rsid w:val="00C015B2"/>
    <w:rsid w:val="00C01638"/>
    <w:rsid w:val="00C016E4"/>
    <w:rsid w:val="00C01723"/>
    <w:rsid w:val="00C01805"/>
    <w:rsid w:val="00C01934"/>
    <w:rsid w:val="00C019DC"/>
    <w:rsid w:val="00C01A4A"/>
    <w:rsid w:val="00C01B68"/>
    <w:rsid w:val="00C01CB3"/>
    <w:rsid w:val="00C01D61"/>
    <w:rsid w:val="00C01F8A"/>
    <w:rsid w:val="00C01FCE"/>
    <w:rsid w:val="00C02530"/>
    <w:rsid w:val="00C0261E"/>
    <w:rsid w:val="00C027ED"/>
    <w:rsid w:val="00C029B0"/>
    <w:rsid w:val="00C02A3B"/>
    <w:rsid w:val="00C02A88"/>
    <w:rsid w:val="00C02C00"/>
    <w:rsid w:val="00C02EDA"/>
    <w:rsid w:val="00C03009"/>
    <w:rsid w:val="00C031AE"/>
    <w:rsid w:val="00C033EF"/>
    <w:rsid w:val="00C03419"/>
    <w:rsid w:val="00C0362F"/>
    <w:rsid w:val="00C03641"/>
    <w:rsid w:val="00C036DF"/>
    <w:rsid w:val="00C036E8"/>
    <w:rsid w:val="00C0379D"/>
    <w:rsid w:val="00C037BB"/>
    <w:rsid w:val="00C037F2"/>
    <w:rsid w:val="00C037FB"/>
    <w:rsid w:val="00C03870"/>
    <w:rsid w:val="00C03939"/>
    <w:rsid w:val="00C0398B"/>
    <w:rsid w:val="00C03A23"/>
    <w:rsid w:val="00C03C40"/>
    <w:rsid w:val="00C03DF4"/>
    <w:rsid w:val="00C03DF5"/>
    <w:rsid w:val="00C03E0D"/>
    <w:rsid w:val="00C03E66"/>
    <w:rsid w:val="00C03FF9"/>
    <w:rsid w:val="00C040B6"/>
    <w:rsid w:val="00C0413A"/>
    <w:rsid w:val="00C04186"/>
    <w:rsid w:val="00C04385"/>
    <w:rsid w:val="00C043EC"/>
    <w:rsid w:val="00C04435"/>
    <w:rsid w:val="00C04525"/>
    <w:rsid w:val="00C0469C"/>
    <w:rsid w:val="00C047D4"/>
    <w:rsid w:val="00C049B2"/>
    <w:rsid w:val="00C04A1C"/>
    <w:rsid w:val="00C04AA8"/>
    <w:rsid w:val="00C04B31"/>
    <w:rsid w:val="00C04B3E"/>
    <w:rsid w:val="00C04C6C"/>
    <w:rsid w:val="00C04DE0"/>
    <w:rsid w:val="00C050AF"/>
    <w:rsid w:val="00C0525C"/>
    <w:rsid w:val="00C05379"/>
    <w:rsid w:val="00C054C3"/>
    <w:rsid w:val="00C054E4"/>
    <w:rsid w:val="00C0557B"/>
    <w:rsid w:val="00C05610"/>
    <w:rsid w:val="00C05623"/>
    <w:rsid w:val="00C0564F"/>
    <w:rsid w:val="00C05B3F"/>
    <w:rsid w:val="00C05D1F"/>
    <w:rsid w:val="00C05D84"/>
    <w:rsid w:val="00C05E3A"/>
    <w:rsid w:val="00C05E52"/>
    <w:rsid w:val="00C05EF9"/>
    <w:rsid w:val="00C06091"/>
    <w:rsid w:val="00C0614C"/>
    <w:rsid w:val="00C062DA"/>
    <w:rsid w:val="00C064AC"/>
    <w:rsid w:val="00C065E0"/>
    <w:rsid w:val="00C06636"/>
    <w:rsid w:val="00C066A1"/>
    <w:rsid w:val="00C067A2"/>
    <w:rsid w:val="00C068A5"/>
    <w:rsid w:val="00C06B21"/>
    <w:rsid w:val="00C06B8D"/>
    <w:rsid w:val="00C06C7A"/>
    <w:rsid w:val="00C06CA5"/>
    <w:rsid w:val="00C06CD5"/>
    <w:rsid w:val="00C06DC3"/>
    <w:rsid w:val="00C06E54"/>
    <w:rsid w:val="00C06F32"/>
    <w:rsid w:val="00C0708D"/>
    <w:rsid w:val="00C070AC"/>
    <w:rsid w:val="00C070BD"/>
    <w:rsid w:val="00C070CB"/>
    <w:rsid w:val="00C070E1"/>
    <w:rsid w:val="00C071A5"/>
    <w:rsid w:val="00C071E7"/>
    <w:rsid w:val="00C072FE"/>
    <w:rsid w:val="00C07319"/>
    <w:rsid w:val="00C073A3"/>
    <w:rsid w:val="00C07438"/>
    <w:rsid w:val="00C07447"/>
    <w:rsid w:val="00C0755A"/>
    <w:rsid w:val="00C0757D"/>
    <w:rsid w:val="00C07616"/>
    <w:rsid w:val="00C07799"/>
    <w:rsid w:val="00C0788F"/>
    <w:rsid w:val="00C078C6"/>
    <w:rsid w:val="00C0796D"/>
    <w:rsid w:val="00C07983"/>
    <w:rsid w:val="00C079DA"/>
    <w:rsid w:val="00C07C25"/>
    <w:rsid w:val="00C07C74"/>
    <w:rsid w:val="00C07D4E"/>
    <w:rsid w:val="00C07D82"/>
    <w:rsid w:val="00C07DB9"/>
    <w:rsid w:val="00C07F0A"/>
    <w:rsid w:val="00C10040"/>
    <w:rsid w:val="00C10080"/>
    <w:rsid w:val="00C10104"/>
    <w:rsid w:val="00C10193"/>
    <w:rsid w:val="00C101C7"/>
    <w:rsid w:val="00C102D8"/>
    <w:rsid w:val="00C103A2"/>
    <w:rsid w:val="00C10451"/>
    <w:rsid w:val="00C10527"/>
    <w:rsid w:val="00C10562"/>
    <w:rsid w:val="00C10656"/>
    <w:rsid w:val="00C1075B"/>
    <w:rsid w:val="00C107C5"/>
    <w:rsid w:val="00C107D5"/>
    <w:rsid w:val="00C108B0"/>
    <w:rsid w:val="00C10B26"/>
    <w:rsid w:val="00C10C22"/>
    <w:rsid w:val="00C10D87"/>
    <w:rsid w:val="00C10DA0"/>
    <w:rsid w:val="00C10F5F"/>
    <w:rsid w:val="00C11185"/>
    <w:rsid w:val="00C1120D"/>
    <w:rsid w:val="00C1125D"/>
    <w:rsid w:val="00C1128F"/>
    <w:rsid w:val="00C11327"/>
    <w:rsid w:val="00C11386"/>
    <w:rsid w:val="00C1148E"/>
    <w:rsid w:val="00C114D1"/>
    <w:rsid w:val="00C11725"/>
    <w:rsid w:val="00C11778"/>
    <w:rsid w:val="00C117BA"/>
    <w:rsid w:val="00C11808"/>
    <w:rsid w:val="00C1191B"/>
    <w:rsid w:val="00C1195B"/>
    <w:rsid w:val="00C1198F"/>
    <w:rsid w:val="00C119E0"/>
    <w:rsid w:val="00C11A8B"/>
    <w:rsid w:val="00C11CB7"/>
    <w:rsid w:val="00C11CCE"/>
    <w:rsid w:val="00C11D2E"/>
    <w:rsid w:val="00C12017"/>
    <w:rsid w:val="00C12082"/>
    <w:rsid w:val="00C120D9"/>
    <w:rsid w:val="00C123E1"/>
    <w:rsid w:val="00C1248F"/>
    <w:rsid w:val="00C124E2"/>
    <w:rsid w:val="00C125E5"/>
    <w:rsid w:val="00C12681"/>
    <w:rsid w:val="00C12795"/>
    <w:rsid w:val="00C127D8"/>
    <w:rsid w:val="00C12822"/>
    <w:rsid w:val="00C1283F"/>
    <w:rsid w:val="00C129BC"/>
    <w:rsid w:val="00C12BE6"/>
    <w:rsid w:val="00C12CED"/>
    <w:rsid w:val="00C12D7D"/>
    <w:rsid w:val="00C12E3D"/>
    <w:rsid w:val="00C12E54"/>
    <w:rsid w:val="00C12ED8"/>
    <w:rsid w:val="00C131FD"/>
    <w:rsid w:val="00C1333C"/>
    <w:rsid w:val="00C1339D"/>
    <w:rsid w:val="00C133AC"/>
    <w:rsid w:val="00C133C4"/>
    <w:rsid w:val="00C133DD"/>
    <w:rsid w:val="00C13462"/>
    <w:rsid w:val="00C13790"/>
    <w:rsid w:val="00C13875"/>
    <w:rsid w:val="00C1387C"/>
    <w:rsid w:val="00C13882"/>
    <w:rsid w:val="00C1391C"/>
    <w:rsid w:val="00C139C1"/>
    <w:rsid w:val="00C139CF"/>
    <w:rsid w:val="00C13B26"/>
    <w:rsid w:val="00C13B5A"/>
    <w:rsid w:val="00C13B9C"/>
    <w:rsid w:val="00C13C26"/>
    <w:rsid w:val="00C13D7B"/>
    <w:rsid w:val="00C13DAD"/>
    <w:rsid w:val="00C13DB1"/>
    <w:rsid w:val="00C13EDB"/>
    <w:rsid w:val="00C13F27"/>
    <w:rsid w:val="00C1404B"/>
    <w:rsid w:val="00C14190"/>
    <w:rsid w:val="00C141D0"/>
    <w:rsid w:val="00C141ED"/>
    <w:rsid w:val="00C1434D"/>
    <w:rsid w:val="00C1435A"/>
    <w:rsid w:val="00C1437E"/>
    <w:rsid w:val="00C145E1"/>
    <w:rsid w:val="00C14725"/>
    <w:rsid w:val="00C14901"/>
    <w:rsid w:val="00C14989"/>
    <w:rsid w:val="00C14E22"/>
    <w:rsid w:val="00C14F39"/>
    <w:rsid w:val="00C150EB"/>
    <w:rsid w:val="00C15177"/>
    <w:rsid w:val="00C15268"/>
    <w:rsid w:val="00C1529A"/>
    <w:rsid w:val="00C15408"/>
    <w:rsid w:val="00C15540"/>
    <w:rsid w:val="00C15631"/>
    <w:rsid w:val="00C1570D"/>
    <w:rsid w:val="00C1580A"/>
    <w:rsid w:val="00C158D4"/>
    <w:rsid w:val="00C158E5"/>
    <w:rsid w:val="00C15A6E"/>
    <w:rsid w:val="00C15BB7"/>
    <w:rsid w:val="00C15BEC"/>
    <w:rsid w:val="00C15C67"/>
    <w:rsid w:val="00C15DAD"/>
    <w:rsid w:val="00C15E7C"/>
    <w:rsid w:val="00C15E99"/>
    <w:rsid w:val="00C15EC7"/>
    <w:rsid w:val="00C15F25"/>
    <w:rsid w:val="00C15F5A"/>
    <w:rsid w:val="00C160D0"/>
    <w:rsid w:val="00C162EA"/>
    <w:rsid w:val="00C16462"/>
    <w:rsid w:val="00C165DB"/>
    <w:rsid w:val="00C16604"/>
    <w:rsid w:val="00C16792"/>
    <w:rsid w:val="00C16988"/>
    <w:rsid w:val="00C16AC8"/>
    <w:rsid w:val="00C16AF0"/>
    <w:rsid w:val="00C16BDC"/>
    <w:rsid w:val="00C16D5E"/>
    <w:rsid w:val="00C16D91"/>
    <w:rsid w:val="00C16EDD"/>
    <w:rsid w:val="00C16F61"/>
    <w:rsid w:val="00C16F93"/>
    <w:rsid w:val="00C170BA"/>
    <w:rsid w:val="00C17118"/>
    <w:rsid w:val="00C17234"/>
    <w:rsid w:val="00C172AC"/>
    <w:rsid w:val="00C173DD"/>
    <w:rsid w:val="00C174D7"/>
    <w:rsid w:val="00C175D5"/>
    <w:rsid w:val="00C17800"/>
    <w:rsid w:val="00C17881"/>
    <w:rsid w:val="00C17887"/>
    <w:rsid w:val="00C178DE"/>
    <w:rsid w:val="00C179C1"/>
    <w:rsid w:val="00C17A23"/>
    <w:rsid w:val="00C17BA0"/>
    <w:rsid w:val="00C17C01"/>
    <w:rsid w:val="00C17CFC"/>
    <w:rsid w:val="00C17D49"/>
    <w:rsid w:val="00C17F63"/>
    <w:rsid w:val="00C17FC6"/>
    <w:rsid w:val="00C20000"/>
    <w:rsid w:val="00C200B5"/>
    <w:rsid w:val="00C2010A"/>
    <w:rsid w:val="00C20262"/>
    <w:rsid w:val="00C2028A"/>
    <w:rsid w:val="00C203EC"/>
    <w:rsid w:val="00C20402"/>
    <w:rsid w:val="00C2042F"/>
    <w:rsid w:val="00C20553"/>
    <w:rsid w:val="00C205A6"/>
    <w:rsid w:val="00C20710"/>
    <w:rsid w:val="00C20746"/>
    <w:rsid w:val="00C207A6"/>
    <w:rsid w:val="00C20801"/>
    <w:rsid w:val="00C20823"/>
    <w:rsid w:val="00C208B5"/>
    <w:rsid w:val="00C2093A"/>
    <w:rsid w:val="00C20967"/>
    <w:rsid w:val="00C20982"/>
    <w:rsid w:val="00C209B3"/>
    <w:rsid w:val="00C20A41"/>
    <w:rsid w:val="00C20C26"/>
    <w:rsid w:val="00C20DCD"/>
    <w:rsid w:val="00C20F37"/>
    <w:rsid w:val="00C21053"/>
    <w:rsid w:val="00C21055"/>
    <w:rsid w:val="00C21098"/>
    <w:rsid w:val="00C211C6"/>
    <w:rsid w:val="00C21351"/>
    <w:rsid w:val="00C213B7"/>
    <w:rsid w:val="00C21630"/>
    <w:rsid w:val="00C216AA"/>
    <w:rsid w:val="00C21736"/>
    <w:rsid w:val="00C218F6"/>
    <w:rsid w:val="00C2190B"/>
    <w:rsid w:val="00C21A71"/>
    <w:rsid w:val="00C21C7D"/>
    <w:rsid w:val="00C21C89"/>
    <w:rsid w:val="00C21D9B"/>
    <w:rsid w:val="00C21F55"/>
    <w:rsid w:val="00C21FB3"/>
    <w:rsid w:val="00C22071"/>
    <w:rsid w:val="00C2215B"/>
    <w:rsid w:val="00C223CE"/>
    <w:rsid w:val="00C223D2"/>
    <w:rsid w:val="00C22479"/>
    <w:rsid w:val="00C22494"/>
    <w:rsid w:val="00C22550"/>
    <w:rsid w:val="00C22660"/>
    <w:rsid w:val="00C226AF"/>
    <w:rsid w:val="00C22706"/>
    <w:rsid w:val="00C22850"/>
    <w:rsid w:val="00C22851"/>
    <w:rsid w:val="00C22926"/>
    <w:rsid w:val="00C229CF"/>
    <w:rsid w:val="00C22C78"/>
    <w:rsid w:val="00C22E4D"/>
    <w:rsid w:val="00C22FA4"/>
    <w:rsid w:val="00C23004"/>
    <w:rsid w:val="00C23415"/>
    <w:rsid w:val="00C23493"/>
    <w:rsid w:val="00C235EF"/>
    <w:rsid w:val="00C23684"/>
    <w:rsid w:val="00C2379E"/>
    <w:rsid w:val="00C2388C"/>
    <w:rsid w:val="00C238DA"/>
    <w:rsid w:val="00C23B5B"/>
    <w:rsid w:val="00C23E6F"/>
    <w:rsid w:val="00C23F0F"/>
    <w:rsid w:val="00C23F5A"/>
    <w:rsid w:val="00C24193"/>
    <w:rsid w:val="00C24769"/>
    <w:rsid w:val="00C24980"/>
    <w:rsid w:val="00C249F7"/>
    <w:rsid w:val="00C24AC3"/>
    <w:rsid w:val="00C24B32"/>
    <w:rsid w:val="00C24DA3"/>
    <w:rsid w:val="00C24E4D"/>
    <w:rsid w:val="00C24FA9"/>
    <w:rsid w:val="00C250A8"/>
    <w:rsid w:val="00C25132"/>
    <w:rsid w:val="00C2525F"/>
    <w:rsid w:val="00C2535C"/>
    <w:rsid w:val="00C2542E"/>
    <w:rsid w:val="00C2578B"/>
    <w:rsid w:val="00C25971"/>
    <w:rsid w:val="00C2597C"/>
    <w:rsid w:val="00C25A58"/>
    <w:rsid w:val="00C25B52"/>
    <w:rsid w:val="00C25B8F"/>
    <w:rsid w:val="00C25BC2"/>
    <w:rsid w:val="00C25BE4"/>
    <w:rsid w:val="00C25BF2"/>
    <w:rsid w:val="00C25D31"/>
    <w:rsid w:val="00C25D8A"/>
    <w:rsid w:val="00C25E19"/>
    <w:rsid w:val="00C2600B"/>
    <w:rsid w:val="00C2617A"/>
    <w:rsid w:val="00C262C3"/>
    <w:rsid w:val="00C262EB"/>
    <w:rsid w:val="00C26322"/>
    <w:rsid w:val="00C26325"/>
    <w:rsid w:val="00C26345"/>
    <w:rsid w:val="00C263C7"/>
    <w:rsid w:val="00C26455"/>
    <w:rsid w:val="00C26462"/>
    <w:rsid w:val="00C264D0"/>
    <w:rsid w:val="00C267DD"/>
    <w:rsid w:val="00C268AB"/>
    <w:rsid w:val="00C268B6"/>
    <w:rsid w:val="00C2696C"/>
    <w:rsid w:val="00C269A3"/>
    <w:rsid w:val="00C26BC5"/>
    <w:rsid w:val="00C26C0D"/>
    <w:rsid w:val="00C26C57"/>
    <w:rsid w:val="00C26FF5"/>
    <w:rsid w:val="00C270F3"/>
    <w:rsid w:val="00C2720A"/>
    <w:rsid w:val="00C273FF"/>
    <w:rsid w:val="00C27464"/>
    <w:rsid w:val="00C274CD"/>
    <w:rsid w:val="00C27630"/>
    <w:rsid w:val="00C276C3"/>
    <w:rsid w:val="00C276ED"/>
    <w:rsid w:val="00C276FF"/>
    <w:rsid w:val="00C27874"/>
    <w:rsid w:val="00C27A0E"/>
    <w:rsid w:val="00C27AF2"/>
    <w:rsid w:val="00C27B3E"/>
    <w:rsid w:val="00C27BBA"/>
    <w:rsid w:val="00C27CF1"/>
    <w:rsid w:val="00C27D22"/>
    <w:rsid w:val="00C27EE8"/>
    <w:rsid w:val="00C27F04"/>
    <w:rsid w:val="00C27F6A"/>
    <w:rsid w:val="00C30065"/>
    <w:rsid w:val="00C300E4"/>
    <w:rsid w:val="00C3016D"/>
    <w:rsid w:val="00C3022A"/>
    <w:rsid w:val="00C303AF"/>
    <w:rsid w:val="00C30688"/>
    <w:rsid w:val="00C30696"/>
    <w:rsid w:val="00C30702"/>
    <w:rsid w:val="00C30751"/>
    <w:rsid w:val="00C30930"/>
    <w:rsid w:val="00C309AD"/>
    <w:rsid w:val="00C30A10"/>
    <w:rsid w:val="00C30BAD"/>
    <w:rsid w:val="00C30D0B"/>
    <w:rsid w:val="00C30D78"/>
    <w:rsid w:val="00C30E49"/>
    <w:rsid w:val="00C30E7E"/>
    <w:rsid w:val="00C30EAC"/>
    <w:rsid w:val="00C30EED"/>
    <w:rsid w:val="00C30EF0"/>
    <w:rsid w:val="00C3103D"/>
    <w:rsid w:val="00C310D9"/>
    <w:rsid w:val="00C31272"/>
    <w:rsid w:val="00C3127B"/>
    <w:rsid w:val="00C31349"/>
    <w:rsid w:val="00C3137B"/>
    <w:rsid w:val="00C313A6"/>
    <w:rsid w:val="00C313F1"/>
    <w:rsid w:val="00C31485"/>
    <w:rsid w:val="00C3159B"/>
    <w:rsid w:val="00C315AE"/>
    <w:rsid w:val="00C31802"/>
    <w:rsid w:val="00C31831"/>
    <w:rsid w:val="00C318F6"/>
    <w:rsid w:val="00C3198D"/>
    <w:rsid w:val="00C31BD2"/>
    <w:rsid w:val="00C31C22"/>
    <w:rsid w:val="00C31C95"/>
    <w:rsid w:val="00C31DBB"/>
    <w:rsid w:val="00C31FA5"/>
    <w:rsid w:val="00C31FB2"/>
    <w:rsid w:val="00C31FE7"/>
    <w:rsid w:val="00C320E0"/>
    <w:rsid w:val="00C3213D"/>
    <w:rsid w:val="00C3235F"/>
    <w:rsid w:val="00C32452"/>
    <w:rsid w:val="00C32481"/>
    <w:rsid w:val="00C324C1"/>
    <w:rsid w:val="00C32539"/>
    <w:rsid w:val="00C32604"/>
    <w:rsid w:val="00C32796"/>
    <w:rsid w:val="00C327B5"/>
    <w:rsid w:val="00C32808"/>
    <w:rsid w:val="00C32811"/>
    <w:rsid w:val="00C32899"/>
    <w:rsid w:val="00C328D7"/>
    <w:rsid w:val="00C328DA"/>
    <w:rsid w:val="00C328FB"/>
    <w:rsid w:val="00C3296C"/>
    <w:rsid w:val="00C32C8B"/>
    <w:rsid w:val="00C32CF5"/>
    <w:rsid w:val="00C32E72"/>
    <w:rsid w:val="00C32EF9"/>
    <w:rsid w:val="00C32F00"/>
    <w:rsid w:val="00C3302B"/>
    <w:rsid w:val="00C33182"/>
    <w:rsid w:val="00C332D9"/>
    <w:rsid w:val="00C33387"/>
    <w:rsid w:val="00C333C2"/>
    <w:rsid w:val="00C334C3"/>
    <w:rsid w:val="00C334F8"/>
    <w:rsid w:val="00C335FF"/>
    <w:rsid w:val="00C336FF"/>
    <w:rsid w:val="00C3377E"/>
    <w:rsid w:val="00C33855"/>
    <w:rsid w:val="00C338F5"/>
    <w:rsid w:val="00C339F5"/>
    <w:rsid w:val="00C33B62"/>
    <w:rsid w:val="00C33B96"/>
    <w:rsid w:val="00C33BAB"/>
    <w:rsid w:val="00C33C90"/>
    <w:rsid w:val="00C33D8F"/>
    <w:rsid w:val="00C33F85"/>
    <w:rsid w:val="00C33FB4"/>
    <w:rsid w:val="00C34101"/>
    <w:rsid w:val="00C34113"/>
    <w:rsid w:val="00C34149"/>
    <w:rsid w:val="00C342E9"/>
    <w:rsid w:val="00C34415"/>
    <w:rsid w:val="00C34429"/>
    <w:rsid w:val="00C345BC"/>
    <w:rsid w:val="00C3472C"/>
    <w:rsid w:val="00C34836"/>
    <w:rsid w:val="00C34860"/>
    <w:rsid w:val="00C3487C"/>
    <w:rsid w:val="00C34903"/>
    <w:rsid w:val="00C34984"/>
    <w:rsid w:val="00C349E8"/>
    <w:rsid w:val="00C34C9E"/>
    <w:rsid w:val="00C34DD7"/>
    <w:rsid w:val="00C34F7E"/>
    <w:rsid w:val="00C34F87"/>
    <w:rsid w:val="00C3504F"/>
    <w:rsid w:val="00C351D0"/>
    <w:rsid w:val="00C35214"/>
    <w:rsid w:val="00C35304"/>
    <w:rsid w:val="00C35351"/>
    <w:rsid w:val="00C354E5"/>
    <w:rsid w:val="00C35660"/>
    <w:rsid w:val="00C358EE"/>
    <w:rsid w:val="00C35924"/>
    <w:rsid w:val="00C35B51"/>
    <w:rsid w:val="00C35BEC"/>
    <w:rsid w:val="00C35C52"/>
    <w:rsid w:val="00C35D29"/>
    <w:rsid w:val="00C35F78"/>
    <w:rsid w:val="00C36134"/>
    <w:rsid w:val="00C362AB"/>
    <w:rsid w:val="00C36697"/>
    <w:rsid w:val="00C366EC"/>
    <w:rsid w:val="00C3682D"/>
    <w:rsid w:val="00C368F9"/>
    <w:rsid w:val="00C36921"/>
    <w:rsid w:val="00C3699A"/>
    <w:rsid w:val="00C369DC"/>
    <w:rsid w:val="00C36AAC"/>
    <w:rsid w:val="00C36BAC"/>
    <w:rsid w:val="00C36C64"/>
    <w:rsid w:val="00C36D0A"/>
    <w:rsid w:val="00C36D6D"/>
    <w:rsid w:val="00C36E16"/>
    <w:rsid w:val="00C36E17"/>
    <w:rsid w:val="00C36E33"/>
    <w:rsid w:val="00C36E8F"/>
    <w:rsid w:val="00C36E9F"/>
    <w:rsid w:val="00C36EE0"/>
    <w:rsid w:val="00C36EFC"/>
    <w:rsid w:val="00C36F55"/>
    <w:rsid w:val="00C36F9B"/>
    <w:rsid w:val="00C3705E"/>
    <w:rsid w:val="00C3713F"/>
    <w:rsid w:val="00C371BB"/>
    <w:rsid w:val="00C371E4"/>
    <w:rsid w:val="00C3720E"/>
    <w:rsid w:val="00C372D4"/>
    <w:rsid w:val="00C373A5"/>
    <w:rsid w:val="00C37488"/>
    <w:rsid w:val="00C37522"/>
    <w:rsid w:val="00C37565"/>
    <w:rsid w:val="00C3769B"/>
    <w:rsid w:val="00C377ED"/>
    <w:rsid w:val="00C3784A"/>
    <w:rsid w:val="00C37969"/>
    <w:rsid w:val="00C379B7"/>
    <w:rsid w:val="00C379F9"/>
    <w:rsid w:val="00C37A73"/>
    <w:rsid w:val="00C37B49"/>
    <w:rsid w:val="00C37C43"/>
    <w:rsid w:val="00C37CCC"/>
    <w:rsid w:val="00C37D03"/>
    <w:rsid w:val="00C37D22"/>
    <w:rsid w:val="00C37DE4"/>
    <w:rsid w:val="00C37FFE"/>
    <w:rsid w:val="00C401A6"/>
    <w:rsid w:val="00C401D0"/>
    <w:rsid w:val="00C401F1"/>
    <w:rsid w:val="00C40215"/>
    <w:rsid w:val="00C40229"/>
    <w:rsid w:val="00C40237"/>
    <w:rsid w:val="00C4024B"/>
    <w:rsid w:val="00C40497"/>
    <w:rsid w:val="00C404ED"/>
    <w:rsid w:val="00C4052A"/>
    <w:rsid w:val="00C40690"/>
    <w:rsid w:val="00C408E6"/>
    <w:rsid w:val="00C40980"/>
    <w:rsid w:val="00C409E4"/>
    <w:rsid w:val="00C40A59"/>
    <w:rsid w:val="00C40B3C"/>
    <w:rsid w:val="00C40B43"/>
    <w:rsid w:val="00C40BA6"/>
    <w:rsid w:val="00C40C10"/>
    <w:rsid w:val="00C40C53"/>
    <w:rsid w:val="00C40CCF"/>
    <w:rsid w:val="00C40DD9"/>
    <w:rsid w:val="00C4104A"/>
    <w:rsid w:val="00C41276"/>
    <w:rsid w:val="00C4142C"/>
    <w:rsid w:val="00C414B6"/>
    <w:rsid w:val="00C415F6"/>
    <w:rsid w:val="00C41618"/>
    <w:rsid w:val="00C41801"/>
    <w:rsid w:val="00C4196E"/>
    <w:rsid w:val="00C41995"/>
    <w:rsid w:val="00C419E5"/>
    <w:rsid w:val="00C41B95"/>
    <w:rsid w:val="00C41C40"/>
    <w:rsid w:val="00C41C6A"/>
    <w:rsid w:val="00C41ECA"/>
    <w:rsid w:val="00C41F78"/>
    <w:rsid w:val="00C42014"/>
    <w:rsid w:val="00C42051"/>
    <w:rsid w:val="00C4210C"/>
    <w:rsid w:val="00C4211A"/>
    <w:rsid w:val="00C421B1"/>
    <w:rsid w:val="00C421BD"/>
    <w:rsid w:val="00C422AB"/>
    <w:rsid w:val="00C422CD"/>
    <w:rsid w:val="00C422FB"/>
    <w:rsid w:val="00C42479"/>
    <w:rsid w:val="00C42670"/>
    <w:rsid w:val="00C426B9"/>
    <w:rsid w:val="00C42867"/>
    <w:rsid w:val="00C42992"/>
    <w:rsid w:val="00C42AAC"/>
    <w:rsid w:val="00C42B4C"/>
    <w:rsid w:val="00C42C08"/>
    <w:rsid w:val="00C42D6F"/>
    <w:rsid w:val="00C42F1F"/>
    <w:rsid w:val="00C42F46"/>
    <w:rsid w:val="00C42F58"/>
    <w:rsid w:val="00C432A0"/>
    <w:rsid w:val="00C432A3"/>
    <w:rsid w:val="00C4330C"/>
    <w:rsid w:val="00C433E4"/>
    <w:rsid w:val="00C4349E"/>
    <w:rsid w:val="00C434AB"/>
    <w:rsid w:val="00C434D4"/>
    <w:rsid w:val="00C4352A"/>
    <w:rsid w:val="00C43561"/>
    <w:rsid w:val="00C435C7"/>
    <w:rsid w:val="00C435D1"/>
    <w:rsid w:val="00C4369D"/>
    <w:rsid w:val="00C437D0"/>
    <w:rsid w:val="00C43899"/>
    <w:rsid w:val="00C438A9"/>
    <w:rsid w:val="00C43910"/>
    <w:rsid w:val="00C439F8"/>
    <w:rsid w:val="00C43BAE"/>
    <w:rsid w:val="00C43C05"/>
    <w:rsid w:val="00C43D29"/>
    <w:rsid w:val="00C43E7E"/>
    <w:rsid w:val="00C43EF1"/>
    <w:rsid w:val="00C43F31"/>
    <w:rsid w:val="00C43FE7"/>
    <w:rsid w:val="00C44071"/>
    <w:rsid w:val="00C440F6"/>
    <w:rsid w:val="00C4410C"/>
    <w:rsid w:val="00C4410F"/>
    <w:rsid w:val="00C4432B"/>
    <w:rsid w:val="00C444BD"/>
    <w:rsid w:val="00C445BB"/>
    <w:rsid w:val="00C4478F"/>
    <w:rsid w:val="00C447F5"/>
    <w:rsid w:val="00C44823"/>
    <w:rsid w:val="00C44883"/>
    <w:rsid w:val="00C44897"/>
    <w:rsid w:val="00C448FC"/>
    <w:rsid w:val="00C44942"/>
    <w:rsid w:val="00C44A87"/>
    <w:rsid w:val="00C44B72"/>
    <w:rsid w:val="00C44C65"/>
    <w:rsid w:val="00C44D6D"/>
    <w:rsid w:val="00C44D82"/>
    <w:rsid w:val="00C44E08"/>
    <w:rsid w:val="00C44E1A"/>
    <w:rsid w:val="00C44E2E"/>
    <w:rsid w:val="00C44ECE"/>
    <w:rsid w:val="00C44ED3"/>
    <w:rsid w:val="00C45174"/>
    <w:rsid w:val="00C45237"/>
    <w:rsid w:val="00C4528F"/>
    <w:rsid w:val="00C452C5"/>
    <w:rsid w:val="00C452E3"/>
    <w:rsid w:val="00C45349"/>
    <w:rsid w:val="00C4537A"/>
    <w:rsid w:val="00C45666"/>
    <w:rsid w:val="00C45697"/>
    <w:rsid w:val="00C45764"/>
    <w:rsid w:val="00C45871"/>
    <w:rsid w:val="00C45A2F"/>
    <w:rsid w:val="00C45A52"/>
    <w:rsid w:val="00C45B01"/>
    <w:rsid w:val="00C45B50"/>
    <w:rsid w:val="00C45B5D"/>
    <w:rsid w:val="00C45C85"/>
    <w:rsid w:val="00C45C8F"/>
    <w:rsid w:val="00C45DBA"/>
    <w:rsid w:val="00C45DC7"/>
    <w:rsid w:val="00C45EA3"/>
    <w:rsid w:val="00C45F0A"/>
    <w:rsid w:val="00C45F0B"/>
    <w:rsid w:val="00C45F3A"/>
    <w:rsid w:val="00C46139"/>
    <w:rsid w:val="00C461CA"/>
    <w:rsid w:val="00C46376"/>
    <w:rsid w:val="00C46380"/>
    <w:rsid w:val="00C46387"/>
    <w:rsid w:val="00C46391"/>
    <w:rsid w:val="00C46447"/>
    <w:rsid w:val="00C46510"/>
    <w:rsid w:val="00C46522"/>
    <w:rsid w:val="00C46596"/>
    <w:rsid w:val="00C46635"/>
    <w:rsid w:val="00C46667"/>
    <w:rsid w:val="00C4683D"/>
    <w:rsid w:val="00C46989"/>
    <w:rsid w:val="00C469B2"/>
    <w:rsid w:val="00C469F6"/>
    <w:rsid w:val="00C46A5C"/>
    <w:rsid w:val="00C46A8E"/>
    <w:rsid w:val="00C46AE4"/>
    <w:rsid w:val="00C46B46"/>
    <w:rsid w:val="00C46B74"/>
    <w:rsid w:val="00C46C4A"/>
    <w:rsid w:val="00C46CA2"/>
    <w:rsid w:val="00C46D11"/>
    <w:rsid w:val="00C46D67"/>
    <w:rsid w:val="00C46D85"/>
    <w:rsid w:val="00C46DF7"/>
    <w:rsid w:val="00C46E1C"/>
    <w:rsid w:val="00C47041"/>
    <w:rsid w:val="00C470F3"/>
    <w:rsid w:val="00C471E1"/>
    <w:rsid w:val="00C4729B"/>
    <w:rsid w:val="00C4736A"/>
    <w:rsid w:val="00C473C1"/>
    <w:rsid w:val="00C4746D"/>
    <w:rsid w:val="00C474AC"/>
    <w:rsid w:val="00C4759C"/>
    <w:rsid w:val="00C47763"/>
    <w:rsid w:val="00C477E3"/>
    <w:rsid w:val="00C47863"/>
    <w:rsid w:val="00C47942"/>
    <w:rsid w:val="00C47AAC"/>
    <w:rsid w:val="00C47ACB"/>
    <w:rsid w:val="00C47BB6"/>
    <w:rsid w:val="00C47C9F"/>
    <w:rsid w:val="00C47E12"/>
    <w:rsid w:val="00C47E30"/>
    <w:rsid w:val="00C47FE4"/>
    <w:rsid w:val="00C500B5"/>
    <w:rsid w:val="00C500F7"/>
    <w:rsid w:val="00C502A3"/>
    <w:rsid w:val="00C50409"/>
    <w:rsid w:val="00C50440"/>
    <w:rsid w:val="00C50467"/>
    <w:rsid w:val="00C504B7"/>
    <w:rsid w:val="00C5054A"/>
    <w:rsid w:val="00C5063D"/>
    <w:rsid w:val="00C5067C"/>
    <w:rsid w:val="00C50710"/>
    <w:rsid w:val="00C5075B"/>
    <w:rsid w:val="00C5077C"/>
    <w:rsid w:val="00C509E4"/>
    <w:rsid w:val="00C50A7D"/>
    <w:rsid w:val="00C50A88"/>
    <w:rsid w:val="00C50BEA"/>
    <w:rsid w:val="00C50CF4"/>
    <w:rsid w:val="00C50D1A"/>
    <w:rsid w:val="00C50D31"/>
    <w:rsid w:val="00C50F49"/>
    <w:rsid w:val="00C50F6A"/>
    <w:rsid w:val="00C50FE9"/>
    <w:rsid w:val="00C51158"/>
    <w:rsid w:val="00C5115E"/>
    <w:rsid w:val="00C5119E"/>
    <w:rsid w:val="00C5132C"/>
    <w:rsid w:val="00C513D7"/>
    <w:rsid w:val="00C51486"/>
    <w:rsid w:val="00C514A9"/>
    <w:rsid w:val="00C516EE"/>
    <w:rsid w:val="00C5174E"/>
    <w:rsid w:val="00C5187B"/>
    <w:rsid w:val="00C518AD"/>
    <w:rsid w:val="00C518ED"/>
    <w:rsid w:val="00C5194E"/>
    <w:rsid w:val="00C51A26"/>
    <w:rsid w:val="00C51A9E"/>
    <w:rsid w:val="00C51C44"/>
    <w:rsid w:val="00C51D9E"/>
    <w:rsid w:val="00C51E07"/>
    <w:rsid w:val="00C51E29"/>
    <w:rsid w:val="00C51E35"/>
    <w:rsid w:val="00C51F38"/>
    <w:rsid w:val="00C52026"/>
    <w:rsid w:val="00C52108"/>
    <w:rsid w:val="00C522B0"/>
    <w:rsid w:val="00C52355"/>
    <w:rsid w:val="00C5237D"/>
    <w:rsid w:val="00C5248D"/>
    <w:rsid w:val="00C525C7"/>
    <w:rsid w:val="00C52610"/>
    <w:rsid w:val="00C52697"/>
    <w:rsid w:val="00C526B9"/>
    <w:rsid w:val="00C526E9"/>
    <w:rsid w:val="00C527CB"/>
    <w:rsid w:val="00C5281A"/>
    <w:rsid w:val="00C5282D"/>
    <w:rsid w:val="00C5295C"/>
    <w:rsid w:val="00C52999"/>
    <w:rsid w:val="00C52A51"/>
    <w:rsid w:val="00C52B45"/>
    <w:rsid w:val="00C52BDD"/>
    <w:rsid w:val="00C52D2D"/>
    <w:rsid w:val="00C52D3D"/>
    <w:rsid w:val="00C52D6D"/>
    <w:rsid w:val="00C52F8B"/>
    <w:rsid w:val="00C52FD8"/>
    <w:rsid w:val="00C5302F"/>
    <w:rsid w:val="00C531DF"/>
    <w:rsid w:val="00C53219"/>
    <w:rsid w:val="00C5359B"/>
    <w:rsid w:val="00C535F2"/>
    <w:rsid w:val="00C536A6"/>
    <w:rsid w:val="00C536FA"/>
    <w:rsid w:val="00C53818"/>
    <w:rsid w:val="00C5389C"/>
    <w:rsid w:val="00C538EB"/>
    <w:rsid w:val="00C53AA3"/>
    <w:rsid w:val="00C53B4A"/>
    <w:rsid w:val="00C53C4A"/>
    <w:rsid w:val="00C53CA5"/>
    <w:rsid w:val="00C53CF9"/>
    <w:rsid w:val="00C53D6C"/>
    <w:rsid w:val="00C53DC3"/>
    <w:rsid w:val="00C53E5A"/>
    <w:rsid w:val="00C53E90"/>
    <w:rsid w:val="00C53F73"/>
    <w:rsid w:val="00C5417A"/>
    <w:rsid w:val="00C541B0"/>
    <w:rsid w:val="00C54217"/>
    <w:rsid w:val="00C542FB"/>
    <w:rsid w:val="00C54342"/>
    <w:rsid w:val="00C543B8"/>
    <w:rsid w:val="00C543BE"/>
    <w:rsid w:val="00C546FC"/>
    <w:rsid w:val="00C54777"/>
    <w:rsid w:val="00C54932"/>
    <w:rsid w:val="00C54977"/>
    <w:rsid w:val="00C54979"/>
    <w:rsid w:val="00C549D8"/>
    <w:rsid w:val="00C54A96"/>
    <w:rsid w:val="00C54BA3"/>
    <w:rsid w:val="00C54BD9"/>
    <w:rsid w:val="00C54C44"/>
    <w:rsid w:val="00C54D1D"/>
    <w:rsid w:val="00C54DFD"/>
    <w:rsid w:val="00C54E77"/>
    <w:rsid w:val="00C54EAE"/>
    <w:rsid w:val="00C54F52"/>
    <w:rsid w:val="00C54FC5"/>
    <w:rsid w:val="00C55099"/>
    <w:rsid w:val="00C550D2"/>
    <w:rsid w:val="00C552FE"/>
    <w:rsid w:val="00C553EF"/>
    <w:rsid w:val="00C55436"/>
    <w:rsid w:val="00C55438"/>
    <w:rsid w:val="00C55515"/>
    <w:rsid w:val="00C55572"/>
    <w:rsid w:val="00C555FA"/>
    <w:rsid w:val="00C556A1"/>
    <w:rsid w:val="00C55730"/>
    <w:rsid w:val="00C559C1"/>
    <w:rsid w:val="00C559D2"/>
    <w:rsid w:val="00C55A08"/>
    <w:rsid w:val="00C55A1A"/>
    <w:rsid w:val="00C55A39"/>
    <w:rsid w:val="00C55A7A"/>
    <w:rsid w:val="00C55BC6"/>
    <w:rsid w:val="00C55CE3"/>
    <w:rsid w:val="00C55EF5"/>
    <w:rsid w:val="00C55FC8"/>
    <w:rsid w:val="00C55FF5"/>
    <w:rsid w:val="00C56083"/>
    <w:rsid w:val="00C562F7"/>
    <w:rsid w:val="00C5648C"/>
    <w:rsid w:val="00C56549"/>
    <w:rsid w:val="00C5665C"/>
    <w:rsid w:val="00C56678"/>
    <w:rsid w:val="00C568EF"/>
    <w:rsid w:val="00C56A06"/>
    <w:rsid w:val="00C56B33"/>
    <w:rsid w:val="00C56C85"/>
    <w:rsid w:val="00C56CFA"/>
    <w:rsid w:val="00C56D35"/>
    <w:rsid w:val="00C56F06"/>
    <w:rsid w:val="00C56F38"/>
    <w:rsid w:val="00C56FC0"/>
    <w:rsid w:val="00C56FC8"/>
    <w:rsid w:val="00C5708A"/>
    <w:rsid w:val="00C571B4"/>
    <w:rsid w:val="00C57490"/>
    <w:rsid w:val="00C57558"/>
    <w:rsid w:val="00C577D5"/>
    <w:rsid w:val="00C577DA"/>
    <w:rsid w:val="00C578B0"/>
    <w:rsid w:val="00C57AE6"/>
    <w:rsid w:val="00C57D38"/>
    <w:rsid w:val="00C60048"/>
    <w:rsid w:val="00C60100"/>
    <w:rsid w:val="00C601D5"/>
    <w:rsid w:val="00C6030C"/>
    <w:rsid w:val="00C60502"/>
    <w:rsid w:val="00C6058A"/>
    <w:rsid w:val="00C605DF"/>
    <w:rsid w:val="00C6077A"/>
    <w:rsid w:val="00C607B0"/>
    <w:rsid w:val="00C607CB"/>
    <w:rsid w:val="00C60935"/>
    <w:rsid w:val="00C60944"/>
    <w:rsid w:val="00C6098E"/>
    <w:rsid w:val="00C60A29"/>
    <w:rsid w:val="00C60DC4"/>
    <w:rsid w:val="00C60F00"/>
    <w:rsid w:val="00C60F39"/>
    <w:rsid w:val="00C60F95"/>
    <w:rsid w:val="00C611DE"/>
    <w:rsid w:val="00C6125E"/>
    <w:rsid w:val="00C61290"/>
    <w:rsid w:val="00C6132F"/>
    <w:rsid w:val="00C6134E"/>
    <w:rsid w:val="00C61386"/>
    <w:rsid w:val="00C613BB"/>
    <w:rsid w:val="00C61559"/>
    <w:rsid w:val="00C61730"/>
    <w:rsid w:val="00C6178C"/>
    <w:rsid w:val="00C617C1"/>
    <w:rsid w:val="00C61840"/>
    <w:rsid w:val="00C6186F"/>
    <w:rsid w:val="00C61880"/>
    <w:rsid w:val="00C618D1"/>
    <w:rsid w:val="00C6190E"/>
    <w:rsid w:val="00C6191D"/>
    <w:rsid w:val="00C6198A"/>
    <w:rsid w:val="00C619CC"/>
    <w:rsid w:val="00C61AD1"/>
    <w:rsid w:val="00C61B98"/>
    <w:rsid w:val="00C61BE3"/>
    <w:rsid w:val="00C61C93"/>
    <w:rsid w:val="00C61DC3"/>
    <w:rsid w:val="00C61E2C"/>
    <w:rsid w:val="00C61F0C"/>
    <w:rsid w:val="00C61F75"/>
    <w:rsid w:val="00C6201A"/>
    <w:rsid w:val="00C62097"/>
    <w:rsid w:val="00C62199"/>
    <w:rsid w:val="00C621F7"/>
    <w:rsid w:val="00C622EA"/>
    <w:rsid w:val="00C626CB"/>
    <w:rsid w:val="00C62795"/>
    <w:rsid w:val="00C627A2"/>
    <w:rsid w:val="00C627A9"/>
    <w:rsid w:val="00C6283A"/>
    <w:rsid w:val="00C62887"/>
    <w:rsid w:val="00C628D0"/>
    <w:rsid w:val="00C629FB"/>
    <w:rsid w:val="00C62C61"/>
    <w:rsid w:val="00C62EBA"/>
    <w:rsid w:val="00C62EED"/>
    <w:rsid w:val="00C62FBB"/>
    <w:rsid w:val="00C62FCA"/>
    <w:rsid w:val="00C63139"/>
    <w:rsid w:val="00C63205"/>
    <w:rsid w:val="00C63292"/>
    <w:rsid w:val="00C632FC"/>
    <w:rsid w:val="00C63446"/>
    <w:rsid w:val="00C634C9"/>
    <w:rsid w:val="00C6362C"/>
    <w:rsid w:val="00C636B9"/>
    <w:rsid w:val="00C6370C"/>
    <w:rsid w:val="00C63816"/>
    <w:rsid w:val="00C638ED"/>
    <w:rsid w:val="00C63963"/>
    <w:rsid w:val="00C63A7E"/>
    <w:rsid w:val="00C63A95"/>
    <w:rsid w:val="00C63B7F"/>
    <w:rsid w:val="00C63D18"/>
    <w:rsid w:val="00C63D27"/>
    <w:rsid w:val="00C63DC8"/>
    <w:rsid w:val="00C63E82"/>
    <w:rsid w:val="00C63F54"/>
    <w:rsid w:val="00C640A8"/>
    <w:rsid w:val="00C641D0"/>
    <w:rsid w:val="00C64334"/>
    <w:rsid w:val="00C643DB"/>
    <w:rsid w:val="00C64598"/>
    <w:rsid w:val="00C6462E"/>
    <w:rsid w:val="00C647A8"/>
    <w:rsid w:val="00C647B2"/>
    <w:rsid w:val="00C64855"/>
    <w:rsid w:val="00C64A13"/>
    <w:rsid w:val="00C64D69"/>
    <w:rsid w:val="00C64EAC"/>
    <w:rsid w:val="00C65045"/>
    <w:rsid w:val="00C65162"/>
    <w:rsid w:val="00C6523B"/>
    <w:rsid w:val="00C652FF"/>
    <w:rsid w:val="00C65416"/>
    <w:rsid w:val="00C6544A"/>
    <w:rsid w:val="00C655AD"/>
    <w:rsid w:val="00C6567F"/>
    <w:rsid w:val="00C6584F"/>
    <w:rsid w:val="00C659FF"/>
    <w:rsid w:val="00C65A4F"/>
    <w:rsid w:val="00C65B96"/>
    <w:rsid w:val="00C65E59"/>
    <w:rsid w:val="00C65E64"/>
    <w:rsid w:val="00C660C9"/>
    <w:rsid w:val="00C6631C"/>
    <w:rsid w:val="00C6641D"/>
    <w:rsid w:val="00C6645F"/>
    <w:rsid w:val="00C664D0"/>
    <w:rsid w:val="00C66535"/>
    <w:rsid w:val="00C66AA4"/>
    <w:rsid w:val="00C66B8A"/>
    <w:rsid w:val="00C66C03"/>
    <w:rsid w:val="00C66C4D"/>
    <w:rsid w:val="00C66CA0"/>
    <w:rsid w:val="00C66D42"/>
    <w:rsid w:val="00C66D55"/>
    <w:rsid w:val="00C66D6E"/>
    <w:rsid w:val="00C66EBD"/>
    <w:rsid w:val="00C66FE3"/>
    <w:rsid w:val="00C6706E"/>
    <w:rsid w:val="00C6708E"/>
    <w:rsid w:val="00C670BD"/>
    <w:rsid w:val="00C671FC"/>
    <w:rsid w:val="00C672F6"/>
    <w:rsid w:val="00C67475"/>
    <w:rsid w:val="00C67557"/>
    <w:rsid w:val="00C67626"/>
    <w:rsid w:val="00C67726"/>
    <w:rsid w:val="00C67A56"/>
    <w:rsid w:val="00C67B07"/>
    <w:rsid w:val="00C67B28"/>
    <w:rsid w:val="00C67D47"/>
    <w:rsid w:val="00C67DCC"/>
    <w:rsid w:val="00C67DE8"/>
    <w:rsid w:val="00C67E99"/>
    <w:rsid w:val="00C67F9F"/>
    <w:rsid w:val="00C701DD"/>
    <w:rsid w:val="00C7025F"/>
    <w:rsid w:val="00C703A1"/>
    <w:rsid w:val="00C70410"/>
    <w:rsid w:val="00C70420"/>
    <w:rsid w:val="00C7045A"/>
    <w:rsid w:val="00C705D0"/>
    <w:rsid w:val="00C70629"/>
    <w:rsid w:val="00C70667"/>
    <w:rsid w:val="00C70744"/>
    <w:rsid w:val="00C707C1"/>
    <w:rsid w:val="00C7086F"/>
    <w:rsid w:val="00C708B4"/>
    <w:rsid w:val="00C708D5"/>
    <w:rsid w:val="00C7091B"/>
    <w:rsid w:val="00C7093F"/>
    <w:rsid w:val="00C709AA"/>
    <w:rsid w:val="00C70B34"/>
    <w:rsid w:val="00C70BD9"/>
    <w:rsid w:val="00C70DE6"/>
    <w:rsid w:val="00C70EC3"/>
    <w:rsid w:val="00C70EFE"/>
    <w:rsid w:val="00C71017"/>
    <w:rsid w:val="00C7108A"/>
    <w:rsid w:val="00C7112F"/>
    <w:rsid w:val="00C71147"/>
    <w:rsid w:val="00C711D6"/>
    <w:rsid w:val="00C71534"/>
    <w:rsid w:val="00C71569"/>
    <w:rsid w:val="00C71646"/>
    <w:rsid w:val="00C71700"/>
    <w:rsid w:val="00C71733"/>
    <w:rsid w:val="00C71761"/>
    <w:rsid w:val="00C717DA"/>
    <w:rsid w:val="00C7187C"/>
    <w:rsid w:val="00C718C0"/>
    <w:rsid w:val="00C718C4"/>
    <w:rsid w:val="00C719B7"/>
    <w:rsid w:val="00C71A98"/>
    <w:rsid w:val="00C71C2D"/>
    <w:rsid w:val="00C71C5F"/>
    <w:rsid w:val="00C71FC9"/>
    <w:rsid w:val="00C7201C"/>
    <w:rsid w:val="00C722F8"/>
    <w:rsid w:val="00C724F0"/>
    <w:rsid w:val="00C7258D"/>
    <w:rsid w:val="00C72599"/>
    <w:rsid w:val="00C72679"/>
    <w:rsid w:val="00C72735"/>
    <w:rsid w:val="00C72765"/>
    <w:rsid w:val="00C727D0"/>
    <w:rsid w:val="00C729CC"/>
    <w:rsid w:val="00C729E4"/>
    <w:rsid w:val="00C729E5"/>
    <w:rsid w:val="00C72ACF"/>
    <w:rsid w:val="00C72BFF"/>
    <w:rsid w:val="00C72CA8"/>
    <w:rsid w:val="00C72DD4"/>
    <w:rsid w:val="00C72E4D"/>
    <w:rsid w:val="00C72FA9"/>
    <w:rsid w:val="00C73034"/>
    <w:rsid w:val="00C73088"/>
    <w:rsid w:val="00C7308F"/>
    <w:rsid w:val="00C730E6"/>
    <w:rsid w:val="00C73152"/>
    <w:rsid w:val="00C73248"/>
    <w:rsid w:val="00C73325"/>
    <w:rsid w:val="00C734CB"/>
    <w:rsid w:val="00C7362A"/>
    <w:rsid w:val="00C73682"/>
    <w:rsid w:val="00C73708"/>
    <w:rsid w:val="00C737F3"/>
    <w:rsid w:val="00C73920"/>
    <w:rsid w:val="00C73A20"/>
    <w:rsid w:val="00C73A44"/>
    <w:rsid w:val="00C73C21"/>
    <w:rsid w:val="00C73F8A"/>
    <w:rsid w:val="00C73F90"/>
    <w:rsid w:val="00C74074"/>
    <w:rsid w:val="00C740B3"/>
    <w:rsid w:val="00C74102"/>
    <w:rsid w:val="00C7422D"/>
    <w:rsid w:val="00C74330"/>
    <w:rsid w:val="00C74379"/>
    <w:rsid w:val="00C747E7"/>
    <w:rsid w:val="00C7498F"/>
    <w:rsid w:val="00C74995"/>
    <w:rsid w:val="00C749BC"/>
    <w:rsid w:val="00C749EB"/>
    <w:rsid w:val="00C749EF"/>
    <w:rsid w:val="00C74A6A"/>
    <w:rsid w:val="00C74ABD"/>
    <w:rsid w:val="00C74BE8"/>
    <w:rsid w:val="00C74CC5"/>
    <w:rsid w:val="00C74D36"/>
    <w:rsid w:val="00C74D6A"/>
    <w:rsid w:val="00C74E0B"/>
    <w:rsid w:val="00C74FAE"/>
    <w:rsid w:val="00C74FBC"/>
    <w:rsid w:val="00C74FF1"/>
    <w:rsid w:val="00C750AF"/>
    <w:rsid w:val="00C750BF"/>
    <w:rsid w:val="00C75388"/>
    <w:rsid w:val="00C753CA"/>
    <w:rsid w:val="00C754A8"/>
    <w:rsid w:val="00C75508"/>
    <w:rsid w:val="00C7557D"/>
    <w:rsid w:val="00C755A0"/>
    <w:rsid w:val="00C755AB"/>
    <w:rsid w:val="00C75736"/>
    <w:rsid w:val="00C7584C"/>
    <w:rsid w:val="00C758BE"/>
    <w:rsid w:val="00C75B48"/>
    <w:rsid w:val="00C75B5B"/>
    <w:rsid w:val="00C75D67"/>
    <w:rsid w:val="00C75DB5"/>
    <w:rsid w:val="00C75E4E"/>
    <w:rsid w:val="00C76075"/>
    <w:rsid w:val="00C760A2"/>
    <w:rsid w:val="00C760E6"/>
    <w:rsid w:val="00C76190"/>
    <w:rsid w:val="00C761DB"/>
    <w:rsid w:val="00C762B8"/>
    <w:rsid w:val="00C76460"/>
    <w:rsid w:val="00C764C7"/>
    <w:rsid w:val="00C764F1"/>
    <w:rsid w:val="00C76509"/>
    <w:rsid w:val="00C7659D"/>
    <w:rsid w:val="00C765CE"/>
    <w:rsid w:val="00C768D9"/>
    <w:rsid w:val="00C76972"/>
    <w:rsid w:val="00C76AFF"/>
    <w:rsid w:val="00C76B98"/>
    <w:rsid w:val="00C76CA3"/>
    <w:rsid w:val="00C76E4C"/>
    <w:rsid w:val="00C76EF7"/>
    <w:rsid w:val="00C76FE9"/>
    <w:rsid w:val="00C771BA"/>
    <w:rsid w:val="00C772F5"/>
    <w:rsid w:val="00C773D8"/>
    <w:rsid w:val="00C7743C"/>
    <w:rsid w:val="00C774DD"/>
    <w:rsid w:val="00C77555"/>
    <w:rsid w:val="00C7765C"/>
    <w:rsid w:val="00C77686"/>
    <w:rsid w:val="00C77731"/>
    <w:rsid w:val="00C777F9"/>
    <w:rsid w:val="00C778DA"/>
    <w:rsid w:val="00C778E8"/>
    <w:rsid w:val="00C77964"/>
    <w:rsid w:val="00C77AD1"/>
    <w:rsid w:val="00C77B18"/>
    <w:rsid w:val="00C77B19"/>
    <w:rsid w:val="00C77B80"/>
    <w:rsid w:val="00C77C08"/>
    <w:rsid w:val="00C77C19"/>
    <w:rsid w:val="00C77C66"/>
    <w:rsid w:val="00C77DA7"/>
    <w:rsid w:val="00C77DD0"/>
    <w:rsid w:val="00C77E57"/>
    <w:rsid w:val="00C77F98"/>
    <w:rsid w:val="00C8003F"/>
    <w:rsid w:val="00C8005B"/>
    <w:rsid w:val="00C800BF"/>
    <w:rsid w:val="00C802E6"/>
    <w:rsid w:val="00C80517"/>
    <w:rsid w:val="00C805CE"/>
    <w:rsid w:val="00C806DD"/>
    <w:rsid w:val="00C806F3"/>
    <w:rsid w:val="00C80761"/>
    <w:rsid w:val="00C8092A"/>
    <w:rsid w:val="00C80A29"/>
    <w:rsid w:val="00C80B13"/>
    <w:rsid w:val="00C80B15"/>
    <w:rsid w:val="00C80B3D"/>
    <w:rsid w:val="00C80C70"/>
    <w:rsid w:val="00C80CDF"/>
    <w:rsid w:val="00C80DC6"/>
    <w:rsid w:val="00C80DE5"/>
    <w:rsid w:val="00C80DED"/>
    <w:rsid w:val="00C80E9C"/>
    <w:rsid w:val="00C80ED3"/>
    <w:rsid w:val="00C80EEA"/>
    <w:rsid w:val="00C80F48"/>
    <w:rsid w:val="00C80FB2"/>
    <w:rsid w:val="00C81245"/>
    <w:rsid w:val="00C81398"/>
    <w:rsid w:val="00C816C6"/>
    <w:rsid w:val="00C816F1"/>
    <w:rsid w:val="00C81909"/>
    <w:rsid w:val="00C819CB"/>
    <w:rsid w:val="00C81A4A"/>
    <w:rsid w:val="00C81DA7"/>
    <w:rsid w:val="00C81E6A"/>
    <w:rsid w:val="00C81EE3"/>
    <w:rsid w:val="00C81FA8"/>
    <w:rsid w:val="00C82012"/>
    <w:rsid w:val="00C82029"/>
    <w:rsid w:val="00C82095"/>
    <w:rsid w:val="00C82212"/>
    <w:rsid w:val="00C822F1"/>
    <w:rsid w:val="00C82312"/>
    <w:rsid w:val="00C8234D"/>
    <w:rsid w:val="00C825B0"/>
    <w:rsid w:val="00C8267F"/>
    <w:rsid w:val="00C828AD"/>
    <w:rsid w:val="00C82A01"/>
    <w:rsid w:val="00C82AF1"/>
    <w:rsid w:val="00C82F43"/>
    <w:rsid w:val="00C83032"/>
    <w:rsid w:val="00C8304C"/>
    <w:rsid w:val="00C830FC"/>
    <w:rsid w:val="00C8313B"/>
    <w:rsid w:val="00C83463"/>
    <w:rsid w:val="00C835AE"/>
    <w:rsid w:val="00C835BD"/>
    <w:rsid w:val="00C83725"/>
    <w:rsid w:val="00C83AC4"/>
    <w:rsid w:val="00C83BE6"/>
    <w:rsid w:val="00C83BEB"/>
    <w:rsid w:val="00C83C76"/>
    <w:rsid w:val="00C83EB5"/>
    <w:rsid w:val="00C83F4D"/>
    <w:rsid w:val="00C84071"/>
    <w:rsid w:val="00C84113"/>
    <w:rsid w:val="00C84139"/>
    <w:rsid w:val="00C8422F"/>
    <w:rsid w:val="00C842AB"/>
    <w:rsid w:val="00C8442B"/>
    <w:rsid w:val="00C8446D"/>
    <w:rsid w:val="00C84623"/>
    <w:rsid w:val="00C84644"/>
    <w:rsid w:val="00C84673"/>
    <w:rsid w:val="00C848D1"/>
    <w:rsid w:val="00C848E5"/>
    <w:rsid w:val="00C84967"/>
    <w:rsid w:val="00C84AE4"/>
    <w:rsid w:val="00C84B74"/>
    <w:rsid w:val="00C84C4F"/>
    <w:rsid w:val="00C84D51"/>
    <w:rsid w:val="00C84E50"/>
    <w:rsid w:val="00C84E7B"/>
    <w:rsid w:val="00C85116"/>
    <w:rsid w:val="00C8525D"/>
    <w:rsid w:val="00C852F9"/>
    <w:rsid w:val="00C85301"/>
    <w:rsid w:val="00C85342"/>
    <w:rsid w:val="00C854B4"/>
    <w:rsid w:val="00C8550F"/>
    <w:rsid w:val="00C85586"/>
    <w:rsid w:val="00C85666"/>
    <w:rsid w:val="00C85690"/>
    <w:rsid w:val="00C8570C"/>
    <w:rsid w:val="00C85739"/>
    <w:rsid w:val="00C85799"/>
    <w:rsid w:val="00C85805"/>
    <w:rsid w:val="00C8599B"/>
    <w:rsid w:val="00C85A01"/>
    <w:rsid w:val="00C85A74"/>
    <w:rsid w:val="00C85ADF"/>
    <w:rsid w:val="00C85AE9"/>
    <w:rsid w:val="00C85BB7"/>
    <w:rsid w:val="00C85C11"/>
    <w:rsid w:val="00C85C27"/>
    <w:rsid w:val="00C85C6F"/>
    <w:rsid w:val="00C85C9D"/>
    <w:rsid w:val="00C85E09"/>
    <w:rsid w:val="00C85E49"/>
    <w:rsid w:val="00C85EAF"/>
    <w:rsid w:val="00C85FDA"/>
    <w:rsid w:val="00C85FEF"/>
    <w:rsid w:val="00C8606B"/>
    <w:rsid w:val="00C8618E"/>
    <w:rsid w:val="00C86262"/>
    <w:rsid w:val="00C8636D"/>
    <w:rsid w:val="00C865C7"/>
    <w:rsid w:val="00C866A7"/>
    <w:rsid w:val="00C86701"/>
    <w:rsid w:val="00C86702"/>
    <w:rsid w:val="00C86B9F"/>
    <w:rsid w:val="00C86BA8"/>
    <w:rsid w:val="00C86C5D"/>
    <w:rsid w:val="00C86F07"/>
    <w:rsid w:val="00C87098"/>
    <w:rsid w:val="00C8714B"/>
    <w:rsid w:val="00C871BE"/>
    <w:rsid w:val="00C87209"/>
    <w:rsid w:val="00C8722B"/>
    <w:rsid w:val="00C8739B"/>
    <w:rsid w:val="00C8760E"/>
    <w:rsid w:val="00C87615"/>
    <w:rsid w:val="00C87712"/>
    <w:rsid w:val="00C87799"/>
    <w:rsid w:val="00C87890"/>
    <w:rsid w:val="00C8794E"/>
    <w:rsid w:val="00C87A38"/>
    <w:rsid w:val="00C87A4E"/>
    <w:rsid w:val="00C87A6B"/>
    <w:rsid w:val="00C87BE0"/>
    <w:rsid w:val="00C87E45"/>
    <w:rsid w:val="00C901E2"/>
    <w:rsid w:val="00C9036C"/>
    <w:rsid w:val="00C9041C"/>
    <w:rsid w:val="00C907DB"/>
    <w:rsid w:val="00C9087C"/>
    <w:rsid w:val="00C90999"/>
    <w:rsid w:val="00C90A03"/>
    <w:rsid w:val="00C90AD8"/>
    <w:rsid w:val="00C90B25"/>
    <w:rsid w:val="00C90C02"/>
    <w:rsid w:val="00C90C15"/>
    <w:rsid w:val="00C90C48"/>
    <w:rsid w:val="00C90C5B"/>
    <w:rsid w:val="00C90DA2"/>
    <w:rsid w:val="00C90FE1"/>
    <w:rsid w:val="00C91012"/>
    <w:rsid w:val="00C91102"/>
    <w:rsid w:val="00C91103"/>
    <w:rsid w:val="00C911B1"/>
    <w:rsid w:val="00C91492"/>
    <w:rsid w:val="00C9150B"/>
    <w:rsid w:val="00C916D3"/>
    <w:rsid w:val="00C9173B"/>
    <w:rsid w:val="00C917F4"/>
    <w:rsid w:val="00C91923"/>
    <w:rsid w:val="00C9192B"/>
    <w:rsid w:val="00C91ADA"/>
    <w:rsid w:val="00C91C86"/>
    <w:rsid w:val="00C91CA8"/>
    <w:rsid w:val="00C91D1C"/>
    <w:rsid w:val="00C91D50"/>
    <w:rsid w:val="00C91EEC"/>
    <w:rsid w:val="00C91FD5"/>
    <w:rsid w:val="00C9219E"/>
    <w:rsid w:val="00C92258"/>
    <w:rsid w:val="00C92341"/>
    <w:rsid w:val="00C92392"/>
    <w:rsid w:val="00C92657"/>
    <w:rsid w:val="00C926D8"/>
    <w:rsid w:val="00C9272C"/>
    <w:rsid w:val="00C927BA"/>
    <w:rsid w:val="00C927CA"/>
    <w:rsid w:val="00C92865"/>
    <w:rsid w:val="00C92949"/>
    <w:rsid w:val="00C92AE0"/>
    <w:rsid w:val="00C92B4E"/>
    <w:rsid w:val="00C92C5B"/>
    <w:rsid w:val="00C92F21"/>
    <w:rsid w:val="00C93004"/>
    <w:rsid w:val="00C93200"/>
    <w:rsid w:val="00C932BF"/>
    <w:rsid w:val="00C933FD"/>
    <w:rsid w:val="00C93405"/>
    <w:rsid w:val="00C934CD"/>
    <w:rsid w:val="00C935B9"/>
    <w:rsid w:val="00C937EB"/>
    <w:rsid w:val="00C939C6"/>
    <w:rsid w:val="00C93E3C"/>
    <w:rsid w:val="00C9404A"/>
    <w:rsid w:val="00C940D5"/>
    <w:rsid w:val="00C94142"/>
    <w:rsid w:val="00C94214"/>
    <w:rsid w:val="00C94222"/>
    <w:rsid w:val="00C94355"/>
    <w:rsid w:val="00C94425"/>
    <w:rsid w:val="00C94494"/>
    <w:rsid w:val="00C94608"/>
    <w:rsid w:val="00C94612"/>
    <w:rsid w:val="00C9466A"/>
    <w:rsid w:val="00C9477E"/>
    <w:rsid w:val="00C947EE"/>
    <w:rsid w:val="00C94875"/>
    <w:rsid w:val="00C948F4"/>
    <w:rsid w:val="00C949D7"/>
    <w:rsid w:val="00C94AAB"/>
    <w:rsid w:val="00C94B67"/>
    <w:rsid w:val="00C94B6F"/>
    <w:rsid w:val="00C94CCA"/>
    <w:rsid w:val="00C94DA3"/>
    <w:rsid w:val="00C94DC1"/>
    <w:rsid w:val="00C94F80"/>
    <w:rsid w:val="00C950CC"/>
    <w:rsid w:val="00C9519D"/>
    <w:rsid w:val="00C953F1"/>
    <w:rsid w:val="00C9541C"/>
    <w:rsid w:val="00C954F4"/>
    <w:rsid w:val="00C955BF"/>
    <w:rsid w:val="00C9560A"/>
    <w:rsid w:val="00C9570F"/>
    <w:rsid w:val="00C9584A"/>
    <w:rsid w:val="00C958E1"/>
    <w:rsid w:val="00C959B3"/>
    <w:rsid w:val="00C959B4"/>
    <w:rsid w:val="00C959DD"/>
    <w:rsid w:val="00C95A29"/>
    <w:rsid w:val="00C95C2B"/>
    <w:rsid w:val="00C95C9D"/>
    <w:rsid w:val="00C95D24"/>
    <w:rsid w:val="00C95D34"/>
    <w:rsid w:val="00C95DC5"/>
    <w:rsid w:val="00C95DEC"/>
    <w:rsid w:val="00C95E3D"/>
    <w:rsid w:val="00C95F42"/>
    <w:rsid w:val="00C95F4E"/>
    <w:rsid w:val="00C9603B"/>
    <w:rsid w:val="00C96090"/>
    <w:rsid w:val="00C96184"/>
    <w:rsid w:val="00C962BE"/>
    <w:rsid w:val="00C96320"/>
    <w:rsid w:val="00C9632E"/>
    <w:rsid w:val="00C9634A"/>
    <w:rsid w:val="00C965BF"/>
    <w:rsid w:val="00C96846"/>
    <w:rsid w:val="00C968B4"/>
    <w:rsid w:val="00C9693D"/>
    <w:rsid w:val="00C969F2"/>
    <w:rsid w:val="00C96AB5"/>
    <w:rsid w:val="00C96B71"/>
    <w:rsid w:val="00C96C40"/>
    <w:rsid w:val="00C96CBF"/>
    <w:rsid w:val="00C96D32"/>
    <w:rsid w:val="00C96ED9"/>
    <w:rsid w:val="00C96F48"/>
    <w:rsid w:val="00C96F9B"/>
    <w:rsid w:val="00C97164"/>
    <w:rsid w:val="00C9729C"/>
    <w:rsid w:val="00C97341"/>
    <w:rsid w:val="00C973DB"/>
    <w:rsid w:val="00C97568"/>
    <w:rsid w:val="00C9759D"/>
    <w:rsid w:val="00C9777E"/>
    <w:rsid w:val="00C9779B"/>
    <w:rsid w:val="00C97AD3"/>
    <w:rsid w:val="00C97B16"/>
    <w:rsid w:val="00C97C38"/>
    <w:rsid w:val="00C97C3D"/>
    <w:rsid w:val="00C97CA7"/>
    <w:rsid w:val="00C97CE1"/>
    <w:rsid w:val="00C97D0D"/>
    <w:rsid w:val="00C97E71"/>
    <w:rsid w:val="00C97F37"/>
    <w:rsid w:val="00C97F96"/>
    <w:rsid w:val="00C97FD7"/>
    <w:rsid w:val="00CA0132"/>
    <w:rsid w:val="00CA0189"/>
    <w:rsid w:val="00CA01D6"/>
    <w:rsid w:val="00CA04CC"/>
    <w:rsid w:val="00CA054C"/>
    <w:rsid w:val="00CA056D"/>
    <w:rsid w:val="00CA069B"/>
    <w:rsid w:val="00CA06B1"/>
    <w:rsid w:val="00CA0770"/>
    <w:rsid w:val="00CA07A5"/>
    <w:rsid w:val="00CA0817"/>
    <w:rsid w:val="00CA0C5A"/>
    <w:rsid w:val="00CA0D2D"/>
    <w:rsid w:val="00CA0D7D"/>
    <w:rsid w:val="00CA0DBF"/>
    <w:rsid w:val="00CA0E91"/>
    <w:rsid w:val="00CA0F5B"/>
    <w:rsid w:val="00CA1206"/>
    <w:rsid w:val="00CA12B2"/>
    <w:rsid w:val="00CA14B6"/>
    <w:rsid w:val="00CA1517"/>
    <w:rsid w:val="00CA151F"/>
    <w:rsid w:val="00CA16F4"/>
    <w:rsid w:val="00CA1786"/>
    <w:rsid w:val="00CA18BC"/>
    <w:rsid w:val="00CA1A1F"/>
    <w:rsid w:val="00CA1AB2"/>
    <w:rsid w:val="00CA1B61"/>
    <w:rsid w:val="00CA1B6D"/>
    <w:rsid w:val="00CA1BA3"/>
    <w:rsid w:val="00CA1D27"/>
    <w:rsid w:val="00CA1D82"/>
    <w:rsid w:val="00CA1E41"/>
    <w:rsid w:val="00CA1FEF"/>
    <w:rsid w:val="00CA2098"/>
    <w:rsid w:val="00CA2257"/>
    <w:rsid w:val="00CA229F"/>
    <w:rsid w:val="00CA232A"/>
    <w:rsid w:val="00CA2493"/>
    <w:rsid w:val="00CA2594"/>
    <w:rsid w:val="00CA2597"/>
    <w:rsid w:val="00CA2693"/>
    <w:rsid w:val="00CA2980"/>
    <w:rsid w:val="00CA29A3"/>
    <w:rsid w:val="00CA29E9"/>
    <w:rsid w:val="00CA2A0B"/>
    <w:rsid w:val="00CA2A94"/>
    <w:rsid w:val="00CA2A9D"/>
    <w:rsid w:val="00CA2AC0"/>
    <w:rsid w:val="00CA2CC4"/>
    <w:rsid w:val="00CA2D91"/>
    <w:rsid w:val="00CA2E27"/>
    <w:rsid w:val="00CA34D5"/>
    <w:rsid w:val="00CA35FA"/>
    <w:rsid w:val="00CA3682"/>
    <w:rsid w:val="00CA369A"/>
    <w:rsid w:val="00CA3781"/>
    <w:rsid w:val="00CA37FF"/>
    <w:rsid w:val="00CA383A"/>
    <w:rsid w:val="00CA3B1E"/>
    <w:rsid w:val="00CA3B4A"/>
    <w:rsid w:val="00CA3CC4"/>
    <w:rsid w:val="00CA3CF5"/>
    <w:rsid w:val="00CA432F"/>
    <w:rsid w:val="00CA4408"/>
    <w:rsid w:val="00CA44DF"/>
    <w:rsid w:val="00CA44F5"/>
    <w:rsid w:val="00CA450B"/>
    <w:rsid w:val="00CA46CB"/>
    <w:rsid w:val="00CA46D9"/>
    <w:rsid w:val="00CA478A"/>
    <w:rsid w:val="00CA4D5D"/>
    <w:rsid w:val="00CA4E49"/>
    <w:rsid w:val="00CA52F6"/>
    <w:rsid w:val="00CA54AB"/>
    <w:rsid w:val="00CA556F"/>
    <w:rsid w:val="00CA5586"/>
    <w:rsid w:val="00CA5819"/>
    <w:rsid w:val="00CA587A"/>
    <w:rsid w:val="00CA58D4"/>
    <w:rsid w:val="00CA598D"/>
    <w:rsid w:val="00CA5E91"/>
    <w:rsid w:val="00CA6000"/>
    <w:rsid w:val="00CA604E"/>
    <w:rsid w:val="00CA6167"/>
    <w:rsid w:val="00CA61DF"/>
    <w:rsid w:val="00CA6298"/>
    <w:rsid w:val="00CA6347"/>
    <w:rsid w:val="00CA6436"/>
    <w:rsid w:val="00CA64B3"/>
    <w:rsid w:val="00CA64BA"/>
    <w:rsid w:val="00CA65C5"/>
    <w:rsid w:val="00CA664D"/>
    <w:rsid w:val="00CA6713"/>
    <w:rsid w:val="00CA6879"/>
    <w:rsid w:val="00CA687B"/>
    <w:rsid w:val="00CA6928"/>
    <w:rsid w:val="00CA6955"/>
    <w:rsid w:val="00CA6992"/>
    <w:rsid w:val="00CA6AC2"/>
    <w:rsid w:val="00CA6B7F"/>
    <w:rsid w:val="00CA6B95"/>
    <w:rsid w:val="00CA6BDC"/>
    <w:rsid w:val="00CA6E8D"/>
    <w:rsid w:val="00CA6EE3"/>
    <w:rsid w:val="00CA739E"/>
    <w:rsid w:val="00CA77F3"/>
    <w:rsid w:val="00CA7838"/>
    <w:rsid w:val="00CA7943"/>
    <w:rsid w:val="00CA7AAD"/>
    <w:rsid w:val="00CA7BA8"/>
    <w:rsid w:val="00CA7C28"/>
    <w:rsid w:val="00CA7DDB"/>
    <w:rsid w:val="00CA7E8E"/>
    <w:rsid w:val="00CA7EB9"/>
    <w:rsid w:val="00CB0415"/>
    <w:rsid w:val="00CB0602"/>
    <w:rsid w:val="00CB0639"/>
    <w:rsid w:val="00CB0717"/>
    <w:rsid w:val="00CB07DE"/>
    <w:rsid w:val="00CB08FC"/>
    <w:rsid w:val="00CB0B22"/>
    <w:rsid w:val="00CB0C70"/>
    <w:rsid w:val="00CB0E7D"/>
    <w:rsid w:val="00CB0EB0"/>
    <w:rsid w:val="00CB1354"/>
    <w:rsid w:val="00CB1447"/>
    <w:rsid w:val="00CB1709"/>
    <w:rsid w:val="00CB170C"/>
    <w:rsid w:val="00CB184C"/>
    <w:rsid w:val="00CB18BF"/>
    <w:rsid w:val="00CB1A06"/>
    <w:rsid w:val="00CB1A4E"/>
    <w:rsid w:val="00CB1BF4"/>
    <w:rsid w:val="00CB1D10"/>
    <w:rsid w:val="00CB1D38"/>
    <w:rsid w:val="00CB1E50"/>
    <w:rsid w:val="00CB1F0C"/>
    <w:rsid w:val="00CB1FCA"/>
    <w:rsid w:val="00CB2040"/>
    <w:rsid w:val="00CB20B7"/>
    <w:rsid w:val="00CB2101"/>
    <w:rsid w:val="00CB2169"/>
    <w:rsid w:val="00CB225B"/>
    <w:rsid w:val="00CB228B"/>
    <w:rsid w:val="00CB234C"/>
    <w:rsid w:val="00CB2356"/>
    <w:rsid w:val="00CB2369"/>
    <w:rsid w:val="00CB2397"/>
    <w:rsid w:val="00CB26DB"/>
    <w:rsid w:val="00CB27C4"/>
    <w:rsid w:val="00CB2823"/>
    <w:rsid w:val="00CB2830"/>
    <w:rsid w:val="00CB285D"/>
    <w:rsid w:val="00CB2976"/>
    <w:rsid w:val="00CB2A92"/>
    <w:rsid w:val="00CB2AB0"/>
    <w:rsid w:val="00CB2C09"/>
    <w:rsid w:val="00CB2CA9"/>
    <w:rsid w:val="00CB2CC3"/>
    <w:rsid w:val="00CB2D15"/>
    <w:rsid w:val="00CB2D67"/>
    <w:rsid w:val="00CB2E75"/>
    <w:rsid w:val="00CB2EC1"/>
    <w:rsid w:val="00CB2F2B"/>
    <w:rsid w:val="00CB2F4A"/>
    <w:rsid w:val="00CB2F9B"/>
    <w:rsid w:val="00CB2FEC"/>
    <w:rsid w:val="00CB307C"/>
    <w:rsid w:val="00CB33CF"/>
    <w:rsid w:val="00CB34D8"/>
    <w:rsid w:val="00CB3737"/>
    <w:rsid w:val="00CB37B1"/>
    <w:rsid w:val="00CB393E"/>
    <w:rsid w:val="00CB3996"/>
    <w:rsid w:val="00CB3A2A"/>
    <w:rsid w:val="00CB3A36"/>
    <w:rsid w:val="00CB3BD2"/>
    <w:rsid w:val="00CB3C44"/>
    <w:rsid w:val="00CB3CE0"/>
    <w:rsid w:val="00CB3DD9"/>
    <w:rsid w:val="00CB3E14"/>
    <w:rsid w:val="00CB3E1F"/>
    <w:rsid w:val="00CB3ED4"/>
    <w:rsid w:val="00CB406A"/>
    <w:rsid w:val="00CB416D"/>
    <w:rsid w:val="00CB41B7"/>
    <w:rsid w:val="00CB4208"/>
    <w:rsid w:val="00CB4279"/>
    <w:rsid w:val="00CB42D6"/>
    <w:rsid w:val="00CB4308"/>
    <w:rsid w:val="00CB4447"/>
    <w:rsid w:val="00CB445D"/>
    <w:rsid w:val="00CB4502"/>
    <w:rsid w:val="00CB45D2"/>
    <w:rsid w:val="00CB472A"/>
    <w:rsid w:val="00CB47C5"/>
    <w:rsid w:val="00CB4956"/>
    <w:rsid w:val="00CB4AB6"/>
    <w:rsid w:val="00CB4B2B"/>
    <w:rsid w:val="00CB4B78"/>
    <w:rsid w:val="00CB4B82"/>
    <w:rsid w:val="00CB4C8A"/>
    <w:rsid w:val="00CB4CE1"/>
    <w:rsid w:val="00CB4D42"/>
    <w:rsid w:val="00CB4ED7"/>
    <w:rsid w:val="00CB4FF5"/>
    <w:rsid w:val="00CB5051"/>
    <w:rsid w:val="00CB507E"/>
    <w:rsid w:val="00CB50B5"/>
    <w:rsid w:val="00CB5440"/>
    <w:rsid w:val="00CB5450"/>
    <w:rsid w:val="00CB5492"/>
    <w:rsid w:val="00CB55B6"/>
    <w:rsid w:val="00CB55D0"/>
    <w:rsid w:val="00CB55F0"/>
    <w:rsid w:val="00CB55F9"/>
    <w:rsid w:val="00CB5727"/>
    <w:rsid w:val="00CB572D"/>
    <w:rsid w:val="00CB57A4"/>
    <w:rsid w:val="00CB57D2"/>
    <w:rsid w:val="00CB584A"/>
    <w:rsid w:val="00CB58FB"/>
    <w:rsid w:val="00CB59CE"/>
    <w:rsid w:val="00CB5A25"/>
    <w:rsid w:val="00CB5AFD"/>
    <w:rsid w:val="00CB5B16"/>
    <w:rsid w:val="00CB5B69"/>
    <w:rsid w:val="00CB5BD9"/>
    <w:rsid w:val="00CB5CB7"/>
    <w:rsid w:val="00CB5CEB"/>
    <w:rsid w:val="00CB5DB2"/>
    <w:rsid w:val="00CB5E5B"/>
    <w:rsid w:val="00CB5E7B"/>
    <w:rsid w:val="00CB5E8A"/>
    <w:rsid w:val="00CB5F22"/>
    <w:rsid w:val="00CB5F94"/>
    <w:rsid w:val="00CB5F95"/>
    <w:rsid w:val="00CB605D"/>
    <w:rsid w:val="00CB60C5"/>
    <w:rsid w:val="00CB60FF"/>
    <w:rsid w:val="00CB618A"/>
    <w:rsid w:val="00CB61B9"/>
    <w:rsid w:val="00CB61E9"/>
    <w:rsid w:val="00CB62DF"/>
    <w:rsid w:val="00CB63E8"/>
    <w:rsid w:val="00CB64F9"/>
    <w:rsid w:val="00CB653F"/>
    <w:rsid w:val="00CB6553"/>
    <w:rsid w:val="00CB656F"/>
    <w:rsid w:val="00CB686D"/>
    <w:rsid w:val="00CB698F"/>
    <w:rsid w:val="00CB6A0C"/>
    <w:rsid w:val="00CB6AC8"/>
    <w:rsid w:val="00CB6B52"/>
    <w:rsid w:val="00CB6B9B"/>
    <w:rsid w:val="00CB6BB1"/>
    <w:rsid w:val="00CB6CD7"/>
    <w:rsid w:val="00CB6D62"/>
    <w:rsid w:val="00CB6F6C"/>
    <w:rsid w:val="00CB7037"/>
    <w:rsid w:val="00CB70AF"/>
    <w:rsid w:val="00CB7162"/>
    <w:rsid w:val="00CB7185"/>
    <w:rsid w:val="00CB727D"/>
    <w:rsid w:val="00CB73A6"/>
    <w:rsid w:val="00CB74BA"/>
    <w:rsid w:val="00CB752C"/>
    <w:rsid w:val="00CB7595"/>
    <w:rsid w:val="00CB76DA"/>
    <w:rsid w:val="00CB7701"/>
    <w:rsid w:val="00CB786C"/>
    <w:rsid w:val="00CB7AF5"/>
    <w:rsid w:val="00CB7C19"/>
    <w:rsid w:val="00CB7C4A"/>
    <w:rsid w:val="00CB7CC5"/>
    <w:rsid w:val="00CB7E0E"/>
    <w:rsid w:val="00CB7E39"/>
    <w:rsid w:val="00CC000E"/>
    <w:rsid w:val="00CC0024"/>
    <w:rsid w:val="00CC012F"/>
    <w:rsid w:val="00CC0337"/>
    <w:rsid w:val="00CC0796"/>
    <w:rsid w:val="00CC079F"/>
    <w:rsid w:val="00CC07CE"/>
    <w:rsid w:val="00CC0818"/>
    <w:rsid w:val="00CC09A3"/>
    <w:rsid w:val="00CC0C5E"/>
    <w:rsid w:val="00CC0CEA"/>
    <w:rsid w:val="00CC0E74"/>
    <w:rsid w:val="00CC0E8C"/>
    <w:rsid w:val="00CC0F04"/>
    <w:rsid w:val="00CC0F5E"/>
    <w:rsid w:val="00CC0FCD"/>
    <w:rsid w:val="00CC1119"/>
    <w:rsid w:val="00CC11C6"/>
    <w:rsid w:val="00CC11C8"/>
    <w:rsid w:val="00CC1329"/>
    <w:rsid w:val="00CC135C"/>
    <w:rsid w:val="00CC1399"/>
    <w:rsid w:val="00CC13F7"/>
    <w:rsid w:val="00CC1800"/>
    <w:rsid w:val="00CC19A2"/>
    <w:rsid w:val="00CC19DB"/>
    <w:rsid w:val="00CC1A0F"/>
    <w:rsid w:val="00CC1C6A"/>
    <w:rsid w:val="00CC1FBB"/>
    <w:rsid w:val="00CC21B5"/>
    <w:rsid w:val="00CC245F"/>
    <w:rsid w:val="00CC249F"/>
    <w:rsid w:val="00CC24A6"/>
    <w:rsid w:val="00CC278B"/>
    <w:rsid w:val="00CC28BB"/>
    <w:rsid w:val="00CC2912"/>
    <w:rsid w:val="00CC29E2"/>
    <w:rsid w:val="00CC29F0"/>
    <w:rsid w:val="00CC2AA1"/>
    <w:rsid w:val="00CC2BB5"/>
    <w:rsid w:val="00CC2C3C"/>
    <w:rsid w:val="00CC2CEE"/>
    <w:rsid w:val="00CC2D01"/>
    <w:rsid w:val="00CC2D61"/>
    <w:rsid w:val="00CC2EC5"/>
    <w:rsid w:val="00CC2F89"/>
    <w:rsid w:val="00CC2FA6"/>
    <w:rsid w:val="00CC30AA"/>
    <w:rsid w:val="00CC311B"/>
    <w:rsid w:val="00CC345E"/>
    <w:rsid w:val="00CC34F3"/>
    <w:rsid w:val="00CC3581"/>
    <w:rsid w:val="00CC3704"/>
    <w:rsid w:val="00CC37DB"/>
    <w:rsid w:val="00CC38E5"/>
    <w:rsid w:val="00CC398B"/>
    <w:rsid w:val="00CC39EB"/>
    <w:rsid w:val="00CC3AA0"/>
    <w:rsid w:val="00CC3B4B"/>
    <w:rsid w:val="00CC3B67"/>
    <w:rsid w:val="00CC3C0E"/>
    <w:rsid w:val="00CC3D3B"/>
    <w:rsid w:val="00CC3D64"/>
    <w:rsid w:val="00CC3E00"/>
    <w:rsid w:val="00CC4201"/>
    <w:rsid w:val="00CC42C9"/>
    <w:rsid w:val="00CC438A"/>
    <w:rsid w:val="00CC43BA"/>
    <w:rsid w:val="00CC4536"/>
    <w:rsid w:val="00CC454A"/>
    <w:rsid w:val="00CC45C8"/>
    <w:rsid w:val="00CC45D7"/>
    <w:rsid w:val="00CC47DE"/>
    <w:rsid w:val="00CC48F5"/>
    <w:rsid w:val="00CC4CA9"/>
    <w:rsid w:val="00CC4E5D"/>
    <w:rsid w:val="00CC4E66"/>
    <w:rsid w:val="00CC4F22"/>
    <w:rsid w:val="00CC4FF3"/>
    <w:rsid w:val="00CC5271"/>
    <w:rsid w:val="00CC5334"/>
    <w:rsid w:val="00CC5348"/>
    <w:rsid w:val="00CC5376"/>
    <w:rsid w:val="00CC57D1"/>
    <w:rsid w:val="00CC5888"/>
    <w:rsid w:val="00CC58EB"/>
    <w:rsid w:val="00CC58F9"/>
    <w:rsid w:val="00CC593B"/>
    <w:rsid w:val="00CC5B02"/>
    <w:rsid w:val="00CC5C2D"/>
    <w:rsid w:val="00CC5CB5"/>
    <w:rsid w:val="00CC5CD3"/>
    <w:rsid w:val="00CC5D82"/>
    <w:rsid w:val="00CC5DD4"/>
    <w:rsid w:val="00CC5ED9"/>
    <w:rsid w:val="00CC5F08"/>
    <w:rsid w:val="00CC5FA6"/>
    <w:rsid w:val="00CC5FAE"/>
    <w:rsid w:val="00CC604E"/>
    <w:rsid w:val="00CC6142"/>
    <w:rsid w:val="00CC6147"/>
    <w:rsid w:val="00CC617B"/>
    <w:rsid w:val="00CC624A"/>
    <w:rsid w:val="00CC63D7"/>
    <w:rsid w:val="00CC671A"/>
    <w:rsid w:val="00CC678C"/>
    <w:rsid w:val="00CC67AD"/>
    <w:rsid w:val="00CC6882"/>
    <w:rsid w:val="00CC68E1"/>
    <w:rsid w:val="00CC6996"/>
    <w:rsid w:val="00CC6B2A"/>
    <w:rsid w:val="00CC6BB1"/>
    <w:rsid w:val="00CC6C02"/>
    <w:rsid w:val="00CC6E30"/>
    <w:rsid w:val="00CC6F47"/>
    <w:rsid w:val="00CC6F7B"/>
    <w:rsid w:val="00CC70EF"/>
    <w:rsid w:val="00CC7276"/>
    <w:rsid w:val="00CC734A"/>
    <w:rsid w:val="00CC74B5"/>
    <w:rsid w:val="00CC761E"/>
    <w:rsid w:val="00CC77BD"/>
    <w:rsid w:val="00CC7884"/>
    <w:rsid w:val="00CC7AB1"/>
    <w:rsid w:val="00CC7AC1"/>
    <w:rsid w:val="00CC7B3F"/>
    <w:rsid w:val="00CC7DF8"/>
    <w:rsid w:val="00CC7EDA"/>
    <w:rsid w:val="00CC7FAE"/>
    <w:rsid w:val="00CD00A2"/>
    <w:rsid w:val="00CD015B"/>
    <w:rsid w:val="00CD0242"/>
    <w:rsid w:val="00CD036E"/>
    <w:rsid w:val="00CD0387"/>
    <w:rsid w:val="00CD04AB"/>
    <w:rsid w:val="00CD06B8"/>
    <w:rsid w:val="00CD076F"/>
    <w:rsid w:val="00CD0856"/>
    <w:rsid w:val="00CD091D"/>
    <w:rsid w:val="00CD0ABC"/>
    <w:rsid w:val="00CD0BEC"/>
    <w:rsid w:val="00CD0CD1"/>
    <w:rsid w:val="00CD0E33"/>
    <w:rsid w:val="00CD0F3B"/>
    <w:rsid w:val="00CD0FA4"/>
    <w:rsid w:val="00CD10AA"/>
    <w:rsid w:val="00CD133A"/>
    <w:rsid w:val="00CD13DA"/>
    <w:rsid w:val="00CD150E"/>
    <w:rsid w:val="00CD162F"/>
    <w:rsid w:val="00CD1840"/>
    <w:rsid w:val="00CD18FB"/>
    <w:rsid w:val="00CD1ADD"/>
    <w:rsid w:val="00CD1B00"/>
    <w:rsid w:val="00CD1BF1"/>
    <w:rsid w:val="00CD1C26"/>
    <w:rsid w:val="00CD1C41"/>
    <w:rsid w:val="00CD1D5F"/>
    <w:rsid w:val="00CD1F1C"/>
    <w:rsid w:val="00CD1FF4"/>
    <w:rsid w:val="00CD20EF"/>
    <w:rsid w:val="00CD213D"/>
    <w:rsid w:val="00CD22F3"/>
    <w:rsid w:val="00CD2389"/>
    <w:rsid w:val="00CD23C8"/>
    <w:rsid w:val="00CD2409"/>
    <w:rsid w:val="00CD2421"/>
    <w:rsid w:val="00CD2432"/>
    <w:rsid w:val="00CD2499"/>
    <w:rsid w:val="00CD24D0"/>
    <w:rsid w:val="00CD251C"/>
    <w:rsid w:val="00CD257D"/>
    <w:rsid w:val="00CD25F8"/>
    <w:rsid w:val="00CD277E"/>
    <w:rsid w:val="00CD2895"/>
    <w:rsid w:val="00CD2C22"/>
    <w:rsid w:val="00CD2DB1"/>
    <w:rsid w:val="00CD2DBA"/>
    <w:rsid w:val="00CD3047"/>
    <w:rsid w:val="00CD3119"/>
    <w:rsid w:val="00CD312D"/>
    <w:rsid w:val="00CD320A"/>
    <w:rsid w:val="00CD3281"/>
    <w:rsid w:val="00CD3306"/>
    <w:rsid w:val="00CD3399"/>
    <w:rsid w:val="00CD33BE"/>
    <w:rsid w:val="00CD342D"/>
    <w:rsid w:val="00CD3696"/>
    <w:rsid w:val="00CD373F"/>
    <w:rsid w:val="00CD37EC"/>
    <w:rsid w:val="00CD37FC"/>
    <w:rsid w:val="00CD380E"/>
    <w:rsid w:val="00CD3902"/>
    <w:rsid w:val="00CD3B15"/>
    <w:rsid w:val="00CD3C4B"/>
    <w:rsid w:val="00CD3DAB"/>
    <w:rsid w:val="00CD3E2C"/>
    <w:rsid w:val="00CD3E78"/>
    <w:rsid w:val="00CD3ED2"/>
    <w:rsid w:val="00CD3EEA"/>
    <w:rsid w:val="00CD3FC9"/>
    <w:rsid w:val="00CD40F6"/>
    <w:rsid w:val="00CD424D"/>
    <w:rsid w:val="00CD4312"/>
    <w:rsid w:val="00CD45A7"/>
    <w:rsid w:val="00CD45CC"/>
    <w:rsid w:val="00CD4646"/>
    <w:rsid w:val="00CD4697"/>
    <w:rsid w:val="00CD46BE"/>
    <w:rsid w:val="00CD4711"/>
    <w:rsid w:val="00CD47CA"/>
    <w:rsid w:val="00CD4826"/>
    <w:rsid w:val="00CD49CC"/>
    <w:rsid w:val="00CD49E9"/>
    <w:rsid w:val="00CD4AC0"/>
    <w:rsid w:val="00CD4B61"/>
    <w:rsid w:val="00CD4C39"/>
    <w:rsid w:val="00CD4C6C"/>
    <w:rsid w:val="00CD4D17"/>
    <w:rsid w:val="00CD4D9E"/>
    <w:rsid w:val="00CD4DBE"/>
    <w:rsid w:val="00CD4DC9"/>
    <w:rsid w:val="00CD4F5E"/>
    <w:rsid w:val="00CD50B2"/>
    <w:rsid w:val="00CD5115"/>
    <w:rsid w:val="00CD53C4"/>
    <w:rsid w:val="00CD5426"/>
    <w:rsid w:val="00CD55CA"/>
    <w:rsid w:val="00CD5687"/>
    <w:rsid w:val="00CD576F"/>
    <w:rsid w:val="00CD58CE"/>
    <w:rsid w:val="00CD598A"/>
    <w:rsid w:val="00CD5997"/>
    <w:rsid w:val="00CD5A28"/>
    <w:rsid w:val="00CD5B2F"/>
    <w:rsid w:val="00CD5C53"/>
    <w:rsid w:val="00CD5CDD"/>
    <w:rsid w:val="00CD5EF0"/>
    <w:rsid w:val="00CD5F28"/>
    <w:rsid w:val="00CD5F60"/>
    <w:rsid w:val="00CD5F6F"/>
    <w:rsid w:val="00CD5FCD"/>
    <w:rsid w:val="00CD6259"/>
    <w:rsid w:val="00CD62E1"/>
    <w:rsid w:val="00CD6305"/>
    <w:rsid w:val="00CD64E9"/>
    <w:rsid w:val="00CD6525"/>
    <w:rsid w:val="00CD654C"/>
    <w:rsid w:val="00CD6700"/>
    <w:rsid w:val="00CD69B5"/>
    <w:rsid w:val="00CD6A77"/>
    <w:rsid w:val="00CD6A87"/>
    <w:rsid w:val="00CD6AFF"/>
    <w:rsid w:val="00CD6BC0"/>
    <w:rsid w:val="00CD6C3F"/>
    <w:rsid w:val="00CD6FF5"/>
    <w:rsid w:val="00CD71EC"/>
    <w:rsid w:val="00CD72BA"/>
    <w:rsid w:val="00CD7315"/>
    <w:rsid w:val="00CD740B"/>
    <w:rsid w:val="00CD764A"/>
    <w:rsid w:val="00CD775C"/>
    <w:rsid w:val="00CD77C6"/>
    <w:rsid w:val="00CD7868"/>
    <w:rsid w:val="00CD7B75"/>
    <w:rsid w:val="00CD7CB5"/>
    <w:rsid w:val="00CD7D67"/>
    <w:rsid w:val="00CD7DF5"/>
    <w:rsid w:val="00CD7E98"/>
    <w:rsid w:val="00CE0069"/>
    <w:rsid w:val="00CE0085"/>
    <w:rsid w:val="00CE013B"/>
    <w:rsid w:val="00CE036E"/>
    <w:rsid w:val="00CE03C8"/>
    <w:rsid w:val="00CE03CB"/>
    <w:rsid w:val="00CE04D8"/>
    <w:rsid w:val="00CE05AC"/>
    <w:rsid w:val="00CE05B5"/>
    <w:rsid w:val="00CE066C"/>
    <w:rsid w:val="00CE06E9"/>
    <w:rsid w:val="00CE0729"/>
    <w:rsid w:val="00CE07FF"/>
    <w:rsid w:val="00CE0826"/>
    <w:rsid w:val="00CE08F2"/>
    <w:rsid w:val="00CE0AB2"/>
    <w:rsid w:val="00CE0BC0"/>
    <w:rsid w:val="00CE0C90"/>
    <w:rsid w:val="00CE0DB9"/>
    <w:rsid w:val="00CE0DC9"/>
    <w:rsid w:val="00CE1083"/>
    <w:rsid w:val="00CE1339"/>
    <w:rsid w:val="00CE139F"/>
    <w:rsid w:val="00CE14A7"/>
    <w:rsid w:val="00CE14AF"/>
    <w:rsid w:val="00CE150F"/>
    <w:rsid w:val="00CE1521"/>
    <w:rsid w:val="00CE15E3"/>
    <w:rsid w:val="00CE168E"/>
    <w:rsid w:val="00CE16FE"/>
    <w:rsid w:val="00CE1817"/>
    <w:rsid w:val="00CE1A09"/>
    <w:rsid w:val="00CE1AE9"/>
    <w:rsid w:val="00CE1DB2"/>
    <w:rsid w:val="00CE1ED5"/>
    <w:rsid w:val="00CE213A"/>
    <w:rsid w:val="00CE225A"/>
    <w:rsid w:val="00CE229D"/>
    <w:rsid w:val="00CE2398"/>
    <w:rsid w:val="00CE23AF"/>
    <w:rsid w:val="00CE23C2"/>
    <w:rsid w:val="00CE2444"/>
    <w:rsid w:val="00CE253A"/>
    <w:rsid w:val="00CE25BD"/>
    <w:rsid w:val="00CE2673"/>
    <w:rsid w:val="00CE2ACA"/>
    <w:rsid w:val="00CE2AD9"/>
    <w:rsid w:val="00CE2B6B"/>
    <w:rsid w:val="00CE2B84"/>
    <w:rsid w:val="00CE2BAF"/>
    <w:rsid w:val="00CE2BCB"/>
    <w:rsid w:val="00CE2C7F"/>
    <w:rsid w:val="00CE2FC8"/>
    <w:rsid w:val="00CE2FF1"/>
    <w:rsid w:val="00CE3094"/>
    <w:rsid w:val="00CE3144"/>
    <w:rsid w:val="00CE3469"/>
    <w:rsid w:val="00CE3481"/>
    <w:rsid w:val="00CE34EB"/>
    <w:rsid w:val="00CE350D"/>
    <w:rsid w:val="00CE355D"/>
    <w:rsid w:val="00CE370D"/>
    <w:rsid w:val="00CE373E"/>
    <w:rsid w:val="00CE3852"/>
    <w:rsid w:val="00CE3994"/>
    <w:rsid w:val="00CE3A43"/>
    <w:rsid w:val="00CE3A95"/>
    <w:rsid w:val="00CE3CEB"/>
    <w:rsid w:val="00CE3D10"/>
    <w:rsid w:val="00CE3F66"/>
    <w:rsid w:val="00CE406F"/>
    <w:rsid w:val="00CE4424"/>
    <w:rsid w:val="00CE4578"/>
    <w:rsid w:val="00CE4594"/>
    <w:rsid w:val="00CE470A"/>
    <w:rsid w:val="00CE4773"/>
    <w:rsid w:val="00CE4854"/>
    <w:rsid w:val="00CE485C"/>
    <w:rsid w:val="00CE48CA"/>
    <w:rsid w:val="00CE4A1D"/>
    <w:rsid w:val="00CE4AA5"/>
    <w:rsid w:val="00CE4DDB"/>
    <w:rsid w:val="00CE4E58"/>
    <w:rsid w:val="00CE4E71"/>
    <w:rsid w:val="00CE4E7E"/>
    <w:rsid w:val="00CE4E90"/>
    <w:rsid w:val="00CE4EC7"/>
    <w:rsid w:val="00CE508D"/>
    <w:rsid w:val="00CE50EF"/>
    <w:rsid w:val="00CE51C0"/>
    <w:rsid w:val="00CE5215"/>
    <w:rsid w:val="00CE5428"/>
    <w:rsid w:val="00CE5522"/>
    <w:rsid w:val="00CE555A"/>
    <w:rsid w:val="00CE586B"/>
    <w:rsid w:val="00CE586D"/>
    <w:rsid w:val="00CE58D2"/>
    <w:rsid w:val="00CE593A"/>
    <w:rsid w:val="00CE596D"/>
    <w:rsid w:val="00CE59E1"/>
    <w:rsid w:val="00CE5A62"/>
    <w:rsid w:val="00CE5AD1"/>
    <w:rsid w:val="00CE5B63"/>
    <w:rsid w:val="00CE5C1F"/>
    <w:rsid w:val="00CE5CC7"/>
    <w:rsid w:val="00CE5DCC"/>
    <w:rsid w:val="00CE5ECC"/>
    <w:rsid w:val="00CE5F6D"/>
    <w:rsid w:val="00CE608B"/>
    <w:rsid w:val="00CE60E3"/>
    <w:rsid w:val="00CE6182"/>
    <w:rsid w:val="00CE627E"/>
    <w:rsid w:val="00CE64B7"/>
    <w:rsid w:val="00CE6596"/>
    <w:rsid w:val="00CE66A4"/>
    <w:rsid w:val="00CE676C"/>
    <w:rsid w:val="00CE677C"/>
    <w:rsid w:val="00CE67CE"/>
    <w:rsid w:val="00CE67D7"/>
    <w:rsid w:val="00CE6947"/>
    <w:rsid w:val="00CE6A9D"/>
    <w:rsid w:val="00CE6ABF"/>
    <w:rsid w:val="00CE6BAF"/>
    <w:rsid w:val="00CE6E30"/>
    <w:rsid w:val="00CE6F1E"/>
    <w:rsid w:val="00CE711A"/>
    <w:rsid w:val="00CE7148"/>
    <w:rsid w:val="00CE7316"/>
    <w:rsid w:val="00CE7399"/>
    <w:rsid w:val="00CE7499"/>
    <w:rsid w:val="00CE7558"/>
    <w:rsid w:val="00CE755F"/>
    <w:rsid w:val="00CE7677"/>
    <w:rsid w:val="00CE7681"/>
    <w:rsid w:val="00CE7698"/>
    <w:rsid w:val="00CE76E1"/>
    <w:rsid w:val="00CE77E3"/>
    <w:rsid w:val="00CE7838"/>
    <w:rsid w:val="00CE788B"/>
    <w:rsid w:val="00CE78BE"/>
    <w:rsid w:val="00CE790A"/>
    <w:rsid w:val="00CE7AE6"/>
    <w:rsid w:val="00CE7B44"/>
    <w:rsid w:val="00CE7BB1"/>
    <w:rsid w:val="00CE7EC3"/>
    <w:rsid w:val="00CE7EF8"/>
    <w:rsid w:val="00CF0173"/>
    <w:rsid w:val="00CF017B"/>
    <w:rsid w:val="00CF01D2"/>
    <w:rsid w:val="00CF0222"/>
    <w:rsid w:val="00CF05D5"/>
    <w:rsid w:val="00CF05F1"/>
    <w:rsid w:val="00CF05F3"/>
    <w:rsid w:val="00CF074E"/>
    <w:rsid w:val="00CF07DB"/>
    <w:rsid w:val="00CF087B"/>
    <w:rsid w:val="00CF0883"/>
    <w:rsid w:val="00CF0C59"/>
    <w:rsid w:val="00CF0CA1"/>
    <w:rsid w:val="00CF0F16"/>
    <w:rsid w:val="00CF0F68"/>
    <w:rsid w:val="00CF0F7C"/>
    <w:rsid w:val="00CF0FC5"/>
    <w:rsid w:val="00CF0FFC"/>
    <w:rsid w:val="00CF1083"/>
    <w:rsid w:val="00CF10FE"/>
    <w:rsid w:val="00CF115B"/>
    <w:rsid w:val="00CF119E"/>
    <w:rsid w:val="00CF11D5"/>
    <w:rsid w:val="00CF11EF"/>
    <w:rsid w:val="00CF11F8"/>
    <w:rsid w:val="00CF1202"/>
    <w:rsid w:val="00CF1465"/>
    <w:rsid w:val="00CF14A6"/>
    <w:rsid w:val="00CF14F2"/>
    <w:rsid w:val="00CF14F8"/>
    <w:rsid w:val="00CF1509"/>
    <w:rsid w:val="00CF15BF"/>
    <w:rsid w:val="00CF15E7"/>
    <w:rsid w:val="00CF1715"/>
    <w:rsid w:val="00CF173B"/>
    <w:rsid w:val="00CF180E"/>
    <w:rsid w:val="00CF183D"/>
    <w:rsid w:val="00CF1896"/>
    <w:rsid w:val="00CF18D5"/>
    <w:rsid w:val="00CF196E"/>
    <w:rsid w:val="00CF1C8C"/>
    <w:rsid w:val="00CF1CBA"/>
    <w:rsid w:val="00CF1CEE"/>
    <w:rsid w:val="00CF1F47"/>
    <w:rsid w:val="00CF210D"/>
    <w:rsid w:val="00CF2413"/>
    <w:rsid w:val="00CF2436"/>
    <w:rsid w:val="00CF24BA"/>
    <w:rsid w:val="00CF2B55"/>
    <w:rsid w:val="00CF2B68"/>
    <w:rsid w:val="00CF2B74"/>
    <w:rsid w:val="00CF2C4F"/>
    <w:rsid w:val="00CF2C5D"/>
    <w:rsid w:val="00CF2C73"/>
    <w:rsid w:val="00CF2C96"/>
    <w:rsid w:val="00CF2E80"/>
    <w:rsid w:val="00CF2EBC"/>
    <w:rsid w:val="00CF2F26"/>
    <w:rsid w:val="00CF2FDF"/>
    <w:rsid w:val="00CF2FF7"/>
    <w:rsid w:val="00CF2FF9"/>
    <w:rsid w:val="00CF3030"/>
    <w:rsid w:val="00CF30E3"/>
    <w:rsid w:val="00CF31CF"/>
    <w:rsid w:val="00CF326A"/>
    <w:rsid w:val="00CF3403"/>
    <w:rsid w:val="00CF34DD"/>
    <w:rsid w:val="00CF36A6"/>
    <w:rsid w:val="00CF3896"/>
    <w:rsid w:val="00CF39D8"/>
    <w:rsid w:val="00CF3A04"/>
    <w:rsid w:val="00CF3AC2"/>
    <w:rsid w:val="00CF3C73"/>
    <w:rsid w:val="00CF3DF8"/>
    <w:rsid w:val="00CF3ECB"/>
    <w:rsid w:val="00CF3ED2"/>
    <w:rsid w:val="00CF3FF2"/>
    <w:rsid w:val="00CF400E"/>
    <w:rsid w:val="00CF40A0"/>
    <w:rsid w:val="00CF422F"/>
    <w:rsid w:val="00CF42B3"/>
    <w:rsid w:val="00CF4380"/>
    <w:rsid w:val="00CF4389"/>
    <w:rsid w:val="00CF438A"/>
    <w:rsid w:val="00CF43FA"/>
    <w:rsid w:val="00CF450F"/>
    <w:rsid w:val="00CF45EE"/>
    <w:rsid w:val="00CF47D7"/>
    <w:rsid w:val="00CF4823"/>
    <w:rsid w:val="00CF4840"/>
    <w:rsid w:val="00CF48B8"/>
    <w:rsid w:val="00CF48D5"/>
    <w:rsid w:val="00CF4B07"/>
    <w:rsid w:val="00CF4B51"/>
    <w:rsid w:val="00CF4D1A"/>
    <w:rsid w:val="00CF4FB0"/>
    <w:rsid w:val="00CF5667"/>
    <w:rsid w:val="00CF5828"/>
    <w:rsid w:val="00CF5879"/>
    <w:rsid w:val="00CF588A"/>
    <w:rsid w:val="00CF5A21"/>
    <w:rsid w:val="00CF5E25"/>
    <w:rsid w:val="00CF5EB5"/>
    <w:rsid w:val="00CF5F70"/>
    <w:rsid w:val="00CF5FB7"/>
    <w:rsid w:val="00CF6081"/>
    <w:rsid w:val="00CF6149"/>
    <w:rsid w:val="00CF61A2"/>
    <w:rsid w:val="00CF6219"/>
    <w:rsid w:val="00CF6378"/>
    <w:rsid w:val="00CF64A8"/>
    <w:rsid w:val="00CF64CA"/>
    <w:rsid w:val="00CF65A4"/>
    <w:rsid w:val="00CF65D9"/>
    <w:rsid w:val="00CF6788"/>
    <w:rsid w:val="00CF6798"/>
    <w:rsid w:val="00CF67D1"/>
    <w:rsid w:val="00CF6844"/>
    <w:rsid w:val="00CF6980"/>
    <w:rsid w:val="00CF6B05"/>
    <w:rsid w:val="00CF6B54"/>
    <w:rsid w:val="00CF6B6F"/>
    <w:rsid w:val="00CF6C5F"/>
    <w:rsid w:val="00CF6EC0"/>
    <w:rsid w:val="00CF6FB6"/>
    <w:rsid w:val="00CF7181"/>
    <w:rsid w:val="00CF72CC"/>
    <w:rsid w:val="00CF74E7"/>
    <w:rsid w:val="00CF752E"/>
    <w:rsid w:val="00CF7639"/>
    <w:rsid w:val="00CF7644"/>
    <w:rsid w:val="00CF76A7"/>
    <w:rsid w:val="00CF77F3"/>
    <w:rsid w:val="00CF7801"/>
    <w:rsid w:val="00CF78A8"/>
    <w:rsid w:val="00CF78E0"/>
    <w:rsid w:val="00CF7A1F"/>
    <w:rsid w:val="00CF7A81"/>
    <w:rsid w:val="00CF7B62"/>
    <w:rsid w:val="00CF7BCC"/>
    <w:rsid w:val="00CF7D5F"/>
    <w:rsid w:val="00CF7DC0"/>
    <w:rsid w:val="00CF7E1A"/>
    <w:rsid w:val="00CF7E30"/>
    <w:rsid w:val="00CF7ED8"/>
    <w:rsid w:val="00CF7EDB"/>
    <w:rsid w:val="00CF7F8F"/>
    <w:rsid w:val="00CF7FB7"/>
    <w:rsid w:val="00CF7FC4"/>
    <w:rsid w:val="00D00076"/>
    <w:rsid w:val="00D001AD"/>
    <w:rsid w:val="00D00236"/>
    <w:rsid w:val="00D002F7"/>
    <w:rsid w:val="00D004BE"/>
    <w:rsid w:val="00D00608"/>
    <w:rsid w:val="00D006FE"/>
    <w:rsid w:val="00D00728"/>
    <w:rsid w:val="00D0075C"/>
    <w:rsid w:val="00D009A2"/>
    <w:rsid w:val="00D00B49"/>
    <w:rsid w:val="00D00BF8"/>
    <w:rsid w:val="00D00EB3"/>
    <w:rsid w:val="00D00F67"/>
    <w:rsid w:val="00D01023"/>
    <w:rsid w:val="00D01051"/>
    <w:rsid w:val="00D01075"/>
    <w:rsid w:val="00D0108D"/>
    <w:rsid w:val="00D01156"/>
    <w:rsid w:val="00D0124A"/>
    <w:rsid w:val="00D0126B"/>
    <w:rsid w:val="00D012F0"/>
    <w:rsid w:val="00D0130F"/>
    <w:rsid w:val="00D01379"/>
    <w:rsid w:val="00D0148F"/>
    <w:rsid w:val="00D0150E"/>
    <w:rsid w:val="00D0154C"/>
    <w:rsid w:val="00D01591"/>
    <w:rsid w:val="00D015F3"/>
    <w:rsid w:val="00D01654"/>
    <w:rsid w:val="00D0167A"/>
    <w:rsid w:val="00D017AD"/>
    <w:rsid w:val="00D0181C"/>
    <w:rsid w:val="00D01A4F"/>
    <w:rsid w:val="00D01AA8"/>
    <w:rsid w:val="00D01AAE"/>
    <w:rsid w:val="00D01AC6"/>
    <w:rsid w:val="00D01B02"/>
    <w:rsid w:val="00D01CBB"/>
    <w:rsid w:val="00D01DDF"/>
    <w:rsid w:val="00D01E24"/>
    <w:rsid w:val="00D01F2F"/>
    <w:rsid w:val="00D021B1"/>
    <w:rsid w:val="00D0220E"/>
    <w:rsid w:val="00D0231D"/>
    <w:rsid w:val="00D02414"/>
    <w:rsid w:val="00D0246D"/>
    <w:rsid w:val="00D02513"/>
    <w:rsid w:val="00D0259D"/>
    <w:rsid w:val="00D0284C"/>
    <w:rsid w:val="00D029F1"/>
    <w:rsid w:val="00D02B7F"/>
    <w:rsid w:val="00D02BC2"/>
    <w:rsid w:val="00D02C42"/>
    <w:rsid w:val="00D02C53"/>
    <w:rsid w:val="00D02C9F"/>
    <w:rsid w:val="00D02DCD"/>
    <w:rsid w:val="00D02DEB"/>
    <w:rsid w:val="00D02E29"/>
    <w:rsid w:val="00D02E88"/>
    <w:rsid w:val="00D03079"/>
    <w:rsid w:val="00D03085"/>
    <w:rsid w:val="00D03287"/>
    <w:rsid w:val="00D032A2"/>
    <w:rsid w:val="00D032C5"/>
    <w:rsid w:val="00D03582"/>
    <w:rsid w:val="00D035C9"/>
    <w:rsid w:val="00D037A3"/>
    <w:rsid w:val="00D038DC"/>
    <w:rsid w:val="00D0392F"/>
    <w:rsid w:val="00D03932"/>
    <w:rsid w:val="00D0395A"/>
    <w:rsid w:val="00D039FA"/>
    <w:rsid w:val="00D03B1E"/>
    <w:rsid w:val="00D03BA8"/>
    <w:rsid w:val="00D03C9C"/>
    <w:rsid w:val="00D03F87"/>
    <w:rsid w:val="00D03F97"/>
    <w:rsid w:val="00D03FDD"/>
    <w:rsid w:val="00D0420D"/>
    <w:rsid w:val="00D04320"/>
    <w:rsid w:val="00D04349"/>
    <w:rsid w:val="00D04375"/>
    <w:rsid w:val="00D04425"/>
    <w:rsid w:val="00D0448C"/>
    <w:rsid w:val="00D04674"/>
    <w:rsid w:val="00D046E9"/>
    <w:rsid w:val="00D047A4"/>
    <w:rsid w:val="00D0490D"/>
    <w:rsid w:val="00D049A6"/>
    <w:rsid w:val="00D04A77"/>
    <w:rsid w:val="00D04A93"/>
    <w:rsid w:val="00D04BB1"/>
    <w:rsid w:val="00D04C1B"/>
    <w:rsid w:val="00D04C95"/>
    <w:rsid w:val="00D04CC5"/>
    <w:rsid w:val="00D04D23"/>
    <w:rsid w:val="00D04DA1"/>
    <w:rsid w:val="00D04F1C"/>
    <w:rsid w:val="00D04F47"/>
    <w:rsid w:val="00D05014"/>
    <w:rsid w:val="00D050C7"/>
    <w:rsid w:val="00D05155"/>
    <w:rsid w:val="00D051C6"/>
    <w:rsid w:val="00D051E2"/>
    <w:rsid w:val="00D052BD"/>
    <w:rsid w:val="00D0537C"/>
    <w:rsid w:val="00D053F0"/>
    <w:rsid w:val="00D05639"/>
    <w:rsid w:val="00D0563E"/>
    <w:rsid w:val="00D05784"/>
    <w:rsid w:val="00D05810"/>
    <w:rsid w:val="00D05838"/>
    <w:rsid w:val="00D05874"/>
    <w:rsid w:val="00D0587D"/>
    <w:rsid w:val="00D058EF"/>
    <w:rsid w:val="00D05969"/>
    <w:rsid w:val="00D0596C"/>
    <w:rsid w:val="00D05B0C"/>
    <w:rsid w:val="00D05BB1"/>
    <w:rsid w:val="00D05D23"/>
    <w:rsid w:val="00D05F0C"/>
    <w:rsid w:val="00D05F3E"/>
    <w:rsid w:val="00D05FB7"/>
    <w:rsid w:val="00D06008"/>
    <w:rsid w:val="00D06048"/>
    <w:rsid w:val="00D0617B"/>
    <w:rsid w:val="00D06245"/>
    <w:rsid w:val="00D06265"/>
    <w:rsid w:val="00D0626F"/>
    <w:rsid w:val="00D062DE"/>
    <w:rsid w:val="00D06375"/>
    <w:rsid w:val="00D064E3"/>
    <w:rsid w:val="00D0658B"/>
    <w:rsid w:val="00D0660A"/>
    <w:rsid w:val="00D066C8"/>
    <w:rsid w:val="00D06714"/>
    <w:rsid w:val="00D0689E"/>
    <w:rsid w:val="00D068E1"/>
    <w:rsid w:val="00D0697D"/>
    <w:rsid w:val="00D06994"/>
    <w:rsid w:val="00D06AAF"/>
    <w:rsid w:val="00D06B1B"/>
    <w:rsid w:val="00D06C60"/>
    <w:rsid w:val="00D06CC2"/>
    <w:rsid w:val="00D06E9B"/>
    <w:rsid w:val="00D06EBB"/>
    <w:rsid w:val="00D070D8"/>
    <w:rsid w:val="00D07154"/>
    <w:rsid w:val="00D07261"/>
    <w:rsid w:val="00D073AB"/>
    <w:rsid w:val="00D07411"/>
    <w:rsid w:val="00D0747C"/>
    <w:rsid w:val="00D07513"/>
    <w:rsid w:val="00D07566"/>
    <w:rsid w:val="00D077D2"/>
    <w:rsid w:val="00D077F2"/>
    <w:rsid w:val="00D07910"/>
    <w:rsid w:val="00D079D6"/>
    <w:rsid w:val="00D07D59"/>
    <w:rsid w:val="00D07EC0"/>
    <w:rsid w:val="00D07F48"/>
    <w:rsid w:val="00D100B4"/>
    <w:rsid w:val="00D10191"/>
    <w:rsid w:val="00D10254"/>
    <w:rsid w:val="00D102FD"/>
    <w:rsid w:val="00D103A7"/>
    <w:rsid w:val="00D1068D"/>
    <w:rsid w:val="00D10801"/>
    <w:rsid w:val="00D108A3"/>
    <w:rsid w:val="00D108C0"/>
    <w:rsid w:val="00D10910"/>
    <w:rsid w:val="00D10A9A"/>
    <w:rsid w:val="00D10C07"/>
    <w:rsid w:val="00D10C0C"/>
    <w:rsid w:val="00D10D34"/>
    <w:rsid w:val="00D10E6D"/>
    <w:rsid w:val="00D10EB3"/>
    <w:rsid w:val="00D10F3D"/>
    <w:rsid w:val="00D10F51"/>
    <w:rsid w:val="00D10F52"/>
    <w:rsid w:val="00D10F62"/>
    <w:rsid w:val="00D1101E"/>
    <w:rsid w:val="00D110B0"/>
    <w:rsid w:val="00D110DD"/>
    <w:rsid w:val="00D11234"/>
    <w:rsid w:val="00D112FC"/>
    <w:rsid w:val="00D11329"/>
    <w:rsid w:val="00D116F1"/>
    <w:rsid w:val="00D11756"/>
    <w:rsid w:val="00D117A4"/>
    <w:rsid w:val="00D117F9"/>
    <w:rsid w:val="00D11805"/>
    <w:rsid w:val="00D11823"/>
    <w:rsid w:val="00D11833"/>
    <w:rsid w:val="00D118A7"/>
    <w:rsid w:val="00D1195B"/>
    <w:rsid w:val="00D11A78"/>
    <w:rsid w:val="00D11AB7"/>
    <w:rsid w:val="00D11B5C"/>
    <w:rsid w:val="00D11C00"/>
    <w:rsid w:val="00D11CB4"/>
    <w:rsid w:val="00D11DAC"/>
    <w:rsid w:val="00D11DC6"/>
    <w:rsid w:val="00D11E2F"/>
    <w:rsid w:val="00D11FB2"/>
    <w:rsid w:val="00D120B6"/>
    <w:rsid w:val="00D120EF"/>
    <w:rsid w:val="00D120FB"/>
    <w:rsid w:val="00D12125"/>
    <w:rsid w:val="00D1215E"/>
    <w:rsid w:val="00D122F0"/>
    <w:rsid w:val="00D1243A"/>
    <w:rsid w:val="00D12450"/>
    <w:rsid w:val="00D12486"/>
    <w:rsid w:val="00D124E0"/>
    <w:rsid w:val="00D12519"/>
    <w:rsid w:val="00D125A8"/>
    <w:rsid w:val="00D12625"/>
    <w:rsid w:val="00D128B7"/>
    <w:rsid w:val="00D12A01"/>
    <w:rsid w:val="00D12ACE"/>
    <w:rsid w:val="00D12B3A"/>
    <w:rsid w:val="00D12BEB"/>
    <w:rsid w:val="00D12C00"/>
    <w:rsid w:val="00D12C11"/>
    <w:rsid w:val="00D12CED"/>
    <w:rsid w:val="00D12E4E"/>
    <w:rsid w:val="00D12F67"/>
    <w:rsid w:val="00D13142"/>
    <w:rsid w:val="00D131A1"/>
    <w:rsid w:val="00D13351"/>
    <w:rsid w:val="00D133E5"/>
    <w:rsid w:val="00D134B2"/>
    <w:rsid w:val="00D1356D"/>
    <w:rsid w:val="00D135E2"/>
    <w:rsid w:val="00D136C2"/>
    <w:rsid w:val="00D136E1"/>
    <w:rsid w:val="00D1377C"/>
    <w:rsid w:val="00D138CF"/>
    <w:rsid w:val="00D13932"/>
    <w:rsid w:val="00D13947"/>
    <w:rsid w:val="00D13AAA"/>
    <w:rsid w:val="00D13AB4"/>
    <w:rsid w:val="00D13B15"/>
    <w:rsid w:val="00D13CB5"/>
    <w:rsid w:val="00D13D56"/>
    <w:rsid w:val="00D13DA6"/>
    <w:rsid w:val="00D13E27"/>
    <w:rsid w:val="00D13F95"/>
    <w:rsid w:val="00D14071"/>
    <w:rsid w:val="00D142D8"/>
    <w:rsid w:val="00D14306"/>
    <w:rsid w:val="00D14679"/>
    <w:rsid w:val="00D146DC"/>
    <w:rsid w:val="00D14742"/>
    <w:rsid w:val="00D14753"/>
    <w:rsid w:val="00D14824"/>
    <w:rsid w:val="00D1482A"/>
    <w:rsid w:val="00D149A8"/>
    <w:rsid w:val="00D14A27"/>
    <w:rsid w:val="00D14A2B"/>
    <w:rsid w:val="00D14BEC"/>
    <w:rsid w:val="00D14C04"/>
    <w:rsid w:val="00D14C4F"/>
    <w:rsid w:val="00D14C64"/>
    <w:rsid w:val="00D14D03"/>
    <w:rsid w:val="00D14F3E"/>
    <w:rsid w:val="00D150AC"/>
    <w:rsid w:val="00D152C2"/>
    <w:rsid w:val="00D152DD"/>
    <w:rsid w:val="00D153C3"/>
    <w:rsid w:val="00D154B4"/>
    <w:rsid w:val="00D154F1"/>
    <w:rsid w:val="00D156FE"/>
    <w:rsid w:val="00D15749"/>
    <w:rsid w:val="00D15784"/>
    <w:rsid w:val="00D15862"/>
    <w:rsid w:val="00D15C70"/>
    <w:rsid w:val="00D15F27"/>
    <w:rsid w:val="00D160DE"/>
    <w:rsid w:val="00D161BF"/>
    <w:rsid w:val="00D161C6"/>
    <w:rsid w:val="00D1626A"/>
    <w:rsid w:val="00D16462"/>
    <w:rsid w:val="00D1654E"/>
    <w:rsid w:val="00D16554"/>
    <w:rsid w:val="00D1671D"/>
    <w:rsid w:val="00D16745"/>
    <w:rsid w:val="00D16848"/>
    <w:rsid w:val="00D16897"/>
    <w:rsid w:val="00D169E8"/>
    <w:rsid w:val="00D16A6F"/>
    <w:rsid w:val="00D16D80"/>
    <w:rsid w:val="00D16D8F"/>
    <w:rsid w:val="00D16F90"/>
    <w:rsid w:val="00D1704D"/>
    <w:rsid w:val="00D17058"/>
    <w:rsid w:val="00D171FA"/>
    <w:rsid w:val="00D17256"/>
    <w:rsid w:val="00D173C4"/>
    <w:rsid w:val="00D17400"/>
    <w:rsid w:val="00D17473"/>
    <w:rsid w:val="00D17593"/>
    <w:rsid w:val="00D178B8"/>
    <w:rsid w:val="00D179CE"/>
    <w:rsid w:val="00D17A3C"/>
    <w:rsid w:val="00D17BBF"/>
    <w:rsid w:val="00D17CBB"/>
    <w:rsid w:val="00D17D7E"/>
    <w:rsid w:val="00D17E04"/>
    <w:rsid w:val="00D17E4B"/>
    <w:rsid w:val="00D17E94"/>
    <w:rsid w:val="00D17F5D"/>
    <w:rsid w:val="00D17F94"/>
    <w:rsid w:val="00D20190"/>
    <w:rsid w:val="00D20462"/>
    <w:rsid w:val="00D20469"/>
    <w:rsid w:val="00D204A5"/>
    <w:rsid w:val="00D204B8"/>
    <w:rsid w:val="00D2050D"/>
    <w:rsid w:val="00D205A2"/>
    <w:rsid w:val="00D206FF"/>
    <w:rsid w:val="00D2076D"/>
    <w:rsid w:val="00D2077E"/>
    <w:rsid w:val="00D207EE"/>
    <w:rsid w:val="00D2090C"/>
    <w:rsid w:val="00D20A61"/>
    <w:rsid w:val="00D20BEE"/>
    <w:rsid w:val="00D20C23"/>
    <w:rsid w:val="00D20CD4"/>
    <w:rsid w:val="00D20ED2"/>
    <w:rsid w:val="00D210EA"/>
    <w:rsid w:val="00D2113B"/>
    <w:rsid w:val="00D2148A"/>
    <w:rsid w:val="00D214D4"/>
    <w:rsid w:val="00D215ED"/>
    <w:rsid w:val="00D2164F"/>
    <w:rsid w:val="00D21673"/>
    <w:rsid w:val="00D21808"/>
    <w:rsid w:val="00D21947"/>
    <w:rsid w:val="00D2198D"/>
    <w:rsid w:val="00D21C6B"/>
    <w:rsid w:val="00D21D5C"/>
    <w:rsid w:val="00D21E60"/>
    <w:rsid w:val="00D22118"/>
    <w:rsid w:val="00D2221C"/>
    <w:rsid w:val="00D22418"/>
    <w:rsid w:val="00D22426"/>
    <w:rsid w:val="00D22469"/>
    <w:rsid w:val="00D224F7"/>
    <w:rsid w:val="00D22507"/>
    <w:rsid w:val="00D22558"/>
    <w:rsid w:val="00D22589"/>
    <w:rsid w:val="00D225AE"/>
    <w:rsid w:val="00D227A4"/>
    <w:rsid w:val="00D22838"/>
    <w:rsid w:val="00D2285D"/>
    <w:rsid w:val="00D22871"/>
    <w:rsid w:val="00D22AE7"/>
    <w:rsid w:val="00D22AFB"/>
    <w:rsid w:val="00D22D09"/>
    <w:rsid w:val="00D22D78"/>
    <w:rsid w:val="00D22D8E"/>
    <w:rsid w:val="00D22E5C"/>
    <w:rsid w:val="00D22FEA"/>
    <w:rsid w:val="00D231F3"/>
    <w:rsid w:val="00D2341B"/>
    <w:rsid w:val="00D2347B"/>
    <w:rsid w:val="00D23524"/>
    <w:rsid w:val="00D2366E"/>
    <w:rsid w:val="00D236B1"/>
    <w:rsid w:val="00D23798"/>
    <w:rsid w:val="00D2386E"/>
    <w:rsid w:val="00D23946"/>
    <w:rsid w:val="00D23A29"/>
    <w:rsid w:val="00D23CE8"/>
    <w:rsid w:val="00D23DA3"/>
    <w:rsid w:val="00D23DC8"/>
    <w:rsid w:val="00D23DFC"/>
    <w:rsid w:val="00D23E5B"/>
    <w:rsid w:val="00D24075"/>
    <w:rsid w:val="00D243C3"/>
    <w:rsid w:val="00D244E3"/>
    <w:rsid w:val="00D245EF"/>
    <w:rsid w:val="00D245F7"/>
    <w:rsid w:val="00D24617"/>
    <w:rsid w:val="00D2461C"/>
    <w:rsid w:val="00D2470F"/>
    <w:rsid w:val="00D248BF"/>
    <w:rsid w:val="00D24BEE"/>
    <w:rsid w:val="00D24C90"/>
    <w:rsid w:val="00D24D53"/>
    <w:rsid w:val="00D24D79"/>
    <w:rsid w:val="00D24E9E"/>
    <w:rsid w:val="00D24F2F"/>
    <w:rsid w:val="00D252BA"/>
    <w:rsid w:val="00D25339"/>
    <w:rsid w:val="00D2533C"/>
    <w:rsid w:val="00D253A5"/>
    <w:rsid w:val="00D25449"/>
    <w:rsid w:val="00D25604"/>
    <w:rsid w:val="00D256BB"/>
    <w:rsid w:val="00D256C3"/>
    <w:rsid w:val="00D2580D"/>
    <w:rsid w:val="00D25946"/>
    <w:rsid w:val="00D2598A"/>
    <w:rsid w:val="00D259B0"/>
    <w:rsid w:val="00D25BB7"/>
    <w:rsid w:val="00D25CA5"/>
    <w:rsid w:val="00D25CDC"/>
    <w:rsid w:val="00D25D11"/>
    <w:rsid w:val="00D25DBF"/>
    <w:rsid w:val="00D25E42"/>
    <w:rsid w:val="00D25F00"/>
    <w:rsid w:val="00D26003"/>
    <w:rsid w:val="00D261C7"/>
    <w:rsid w:val="00D26202"/>
    <w:rsid w:val="00D26222"/>
    <w:rsid w:val="00D26241"/>
    <w:rsid w:val="00D2643C"/>
    <w:rsid w:val="00D266C8"/>
    <w:rsid w:val="00D266E6"/>
    <w:rsid w:val="00D2691A"/>
    <w:rsid w:val="00D269B9"/>
    <w:rsid w:val="00D269F8"/>
    <w:rsid w:val="00D26A6E"/>
    <w:rsid w:val="00D26BD1"/>
    <w:rsid w:val="00D26D1B"/>
    <w:rsid w:val="00D26DAA"/>
    <w:rsid w:val="00D27042"/>
    <w:rsid w:val="00D27381"/>
    <w:rsid w:val="00D273E9"/>
    <w:rsid w:val="00D274A9"/>
    <w:rsid w:val="00D2751A"/>
    <w:rsid w:val="00D2751B"/>
    <w:rsid w:val="00D27617"/>
    <w:rsid w:val="00D276B6"/>
    <w:rsid w:val="00D278C5"/>
    <w:rsid w:val="00D278D1"/>
    <w:rsid w:val="00D27952"/>
    <w:rsid w:val="00D27A5E"/>
    <w:rsid w:val="00D27A6E"/>
    <w:rsid w:val="00D27A7B"/>
    <w:rsid w:val="00D27DFE"/>
    <w:rsid w:val="00D27E3F"/>
    <w:rsid w:val="00D2AFB3"/>
    <w:rsid w:val="00D3005B"/>
    <w:rsid w:val="00D300DD"/>
    <w:rsid w:val="00D30141"/>
    <w:rsid w:val="00D301E0"/>
    <w:rsid w:val="00D30256"/>
    <w:rsid w:val="00D302BF"/>
    <w:rsid w:val="00D3031A"/>
    <w:rsid w:val="00D30360"/>
    <w:rsid w:val="00D3050A"/>
    <w:rsid w:val="00D30561"/>
    <w:rsid w:val="00D3062B"/>
    <w:rsid w:val="00D3086F"/>
    <w:rsid w:val="00D308D5"/>
    <w:rsid w:val="00D30959"/>
    <w:rsid w:val="00D30990"/>
    <w:rsid w:val="00D30C02"/>
    <w:rsid w:val="00D30CC7"/>
    <w:rsid w:val="00D30D78"/>
    <w:rsid w:val="00D30DD0"/>
    <w:rsid w:val="00D30E76"/>
    <w:rsid w:val="00D30F69"/>
    <w:rsid w:val="00D3122F"/>
    <w:rsid w:val="00D315AE"/>
    <w:rsid w:val="00D3160C"/>
    <w:rsid w:val="00D316CA"/>
    <w:rsid w:val="00D317BE"/>
    <w:rsid w:val="00D3188C"/>
    <w:rsid w:val="00D319C4"/>
    <w:rsid w:val="00D31C2A"/>
    <w:rsid w:val="00D31C2C"/>
    <w:rsid w:val="00D31C83"/>
    <w:rsid w:val="00D31CCB"/>
    <w:rsid w:val="00D31CF0"/>
    <w:rsid w:val="00D31D33"/>
    <w:rsid w:val="00D31DD5"/>
    <w:rsid w:val="00D31EC4"/>
    <w:rsid w:val="00D31F2E"/>
    <w:rsid w:val="00D32004"/>
    <w:rsid w:val="00D320F3"/>
    <w:rsid w:val="00D3218F"/>
    <w:rsid w:val="00D321E2"/>
    <w:rsid w:val="00D32338"/>
    <w:rsid w:val="00D325B1"/>
    <w:rsid w:val="00D326E7"/>
    <w:rsid w:val="00D32702"/>
    <w:rsid w:val="00D32792"/>
    <w:rsid w:val="00D32811"/>
    <w:rsid w:val="00D32931"/>
    <w:rsid w:val="00D32B07"/>
    <w:rsid w:val="00D32B4B"/>
    <w:rsid w:val="00D32F2E"/>
    <w:rsid w:val="00D33161"/>
    <w:rsid w:val="00D331F9"/>
    <w:rsid w:val="00D3329B"/>
    <w:rsid w:val="00D33397"/>
    <w:rsid w:val="00D333A3"/>
    <w:rsid w:val="00D333BA"/>
    <w:rsid w:val="00D33462"/>
    <w:rsid w:val="00D335D6"/>
    <w:rsid w:val="00D3370C"/>
    <w:rsid w:val="00D338CE"/>
    <w:rsid w:val="00D3390A"/>
    <w:rsid w:val="00D33C25"/>
    <w:rsid w:val="00D33C3E"/>
    <w:rsid w:val="00D33CD6"/>
    <w:rsid w:val="00D33E5F"/>
    <w:rsid w:val="00D33EE1"/>
    <w:rsid w:val="00D340EB"/>
    <w:rsid w:val="00D345F8"/>
    <w:rsid w:val="00D34899"/>
    <w:rsid w:val="00D34926"/>
    <w:rsid w:val="00D34A11"/>
    <w:rsid w:val="00D34C14"/>
    <w:rsid w:val="00D34CBC"/>
    <w:rsid w:val="00D34D58"/>
    <w:rsid w:val="00D34DD5"/>
    <w:rsid w:val="00D34E3C"/>
    <w:rsid w:val="00D34E77"/>
    <w:rsid w:val="00D34F8D"/>
    <w:rsid w:val="00D34FA1"/>
    <w:rsid w:val="00D35103"/>
    <w:rsid w:val="00D35128"/>
    <w:rsid w:val="00D3523B"/>
    <w:rsid w:val="00D35274"/>
    <w:rsid w:val="00D352C0"/>
    <w:rsid w:val="00D3535E"/>
    <w:rsid w:val="00D35566"/>
    <w:rsid w:val="00D355A3"/>
    <w:rsid w:val="00D35631"/>
    <w:rsid w:val="00D35682"/>
    <w:rsid w:val="00D35A01"/>
    <w:rsid w:val="00D35A56"/>
    <w:rsid w:val="00D35B32"/>
    <w:rsid w:val="00D35C4E"/>
    <w:rsid w:val="00D35D21"/>
    <w:rsid w:val="00D35D4E"/>
    <w:rsid w:val="00D35DDE"/>
    <w:rsid w:val="00D35DE2"/>
    <w:rsid w:val="00D35DEE"/>
    <w:rsid w:val="00D35F03"/>
    <w:rsid w:val="00D35F80"/>
    <w:rsid w:val="00D36050"/>
    <w:rsid w:val="00D36090"/>
    <w:rsid w:val="00D360AC"/>
    <w:rsid w:val="00D360C1"/>
    <w:rsid w:val="00D36117"/>
    <w:rsid w:val="00D36136"/>
    <w:rsid w:val="00D36227"/>
    <w:rsid w:val="00D363A6"/>
    <w:rsid w:val="00D36457"/>
    <w:rsid w:val="00D36506"/>
    <w:rsid w:val="00D3670C"/>
    <w:rsid w:val="00D367BB"/>
    <w:rsid w:val="00D36A4D"/>
    <w:rsid w:val="00D36A7C"/>
    <w:rsid w:val="00D36B2F"/>
    <w:rsid w:val="00D36B43"/>
    <w:rsid w:val="00D36C64"/>
    <w:rsid w:val="00D36C7E"/>
    <w:rsid w:val="00D36F2E"/>
    <w:rsid w:val="00D36F32"/>
    <w:rsid w:val="00D36F7A"/>
    <w:rsid w:val="00D36FF5"/>
    <w:rsid w:val="00D37066"/>
    <w:rsid w:val="00D370B7"/>
    <w:rsid w:val="00D372D4"/>
    <w:rsid w:val="00D374F4"/>
    <w:rsid w:val="00D37537"/>
    <w:rsid w:val="00D37586"/>
    <w:rsid w:val="00D37AE8"/>
    <w:rsid w:val="00D37B91"/>
    <w:rsid w:val="00D37B93"/>
    <w:rsid w:val="00D37C38"/>
    <w:rsid w:val="00D37C8E"/>
    <w:rsid w:val="00D37CCE"/>
    <w:rsid w:val="00D37CFF"/>
    <w:rsid w:val="00D37F12"/>
    <w:rsid w:val="00D400E7"/>
    <w:rsid w:val="00D4019B"/>
    <w:rsid w:val="00D4021E"/>
    <w:rsid w:val="00D4027C"/>
    <w:rsid w:val="00D4036B"/>
    <w:rsid w:val="00D40442"/>
    <w:rsid w:val="00D4076A"/>
    <w:rsid w:val="00D4078A"/>
    <w:rsid w:val="00D407F8"/>
    <w:rsid w:val="00D408C1"/>
    <w:rsid w:val="00D40958"/>
    <w:rsid w:val="00D409A1"/>
    <w:rsid w:val="00D40A3E"/>
    <w:rsid w:val="00D40ABA"/>
    <w:rsid w:val="00D40B72"/>
    <w:rsid w:val="00D40C21"/>
    <w:rsid w:val="00D40CBC"/>
    <w:rsid w:val="00D40E14"/>
    <w:rsid w:val="00D40E26"/>
    <w:rsid w:val="00D40E6C"/>
    <w:rsid w:val="00D40E86"/>
    <w:rsid w:val="00D40F72"/>
    <w:rsid w:val="00D40F8C"/>
    <w:rsid w:val="00D41052"/>
    <w:rsid w:val="00D41115"/>
    <w:rsid w:val="00D4113D"/>
    <w:rsid w:val="00D41174"/>
    <w:rsid w:val="00D411D9"/>
    <w:rsid w:val="00D41211"/>
    <w:rsid w:val="00D413F8"/>
    <w:rsid w:val="00D41596"/>
    <w:rsid w:val="00D415A7"/>
    <w:rsid w:val="00D41659"/>
    <w:rsid w:val="00D4170F"/>
    <w:rsid w:val="00D417C3"/>
    <w:rsid w:val="00D417C6"/>
    <w:rsid w:val="00D41833"/>
    <w:rsid w:val="00D4185A"/>
    <w:rsid w:val="00D418C5"/>
    <w:rsid w:val="00D41C38"/>
    <w:rsid w:val="00D41CA7"/>
    <w:rsid w:val="00D41E6F"/>
    <w:rsid w:val="00D41F69"/>
    <w:rsid w:val="00D41FEF"/>
    <w:rsid w:val="00D4204D"/>
    <w:rsid w:val="00D4210A"/>
    <w:rsid w:val="00D42191"/>
    <w:rsid w:val="00D422C6"/>
    <w:rsid w:val="00D422F0"/>
    <w:rsid w:val="00D42341"/>
    <w:rsid w:val="00D42367"/>
    <w:rsid w:val="00D4253D"/>
    <w:rsid w:val="00D42580"/>
    <w:rsid w:val="00D426EE"/>
    <w:rsid w:val="00D42775"/>
    <w:rsid w:val="00D427B3"/>
    <w:rsid w:val="00D4283A"/>
    <w:rsid w:val="00D428D4"/>
    <w:rsid w:val="00D428DB"/>
    <w:rsid w:val="00D429F4"/>
    <w:rsid w:val="00D42A40"/>
    <w:rsid w:val="00D42B2E"/>
    <w:rsid w:val="00D42B73"/>
    <w:rsid w:val="00D42BCA"/>
    <w:rsid w:val="00D42D62"/>
    <w:rsid w:val="00D42DC8"/>
    <w:rsid w:val="00D42DE3"/>
    <w:rsid w:val="00D42EAB"/>
    <w:rsid w:val="00D42F4D"/>
    <w:rsid w:val="00D42FFD"/>
    <w:rsid w:val="00D43024"/>
    <w:rsid w:val="00D4303B"/>
    <w:rsid w:val="00D4317E"/>
    <w:rsid w:val="00D43292"/>
    <w:rsid w:val="00D4336F"/>
    <w:rsid w:val="00D43416"/>
    <w:rsid w:val="00D434A7"/>
    <w:rsid w:val="00D4350F"/>
    <w:rsid w:val="00D43515"/>
    <w:rsid w:val="00D435C5"/>
    <w:rsid w:val="00D4362D"/>
    <w:rsid w:val="00D43652"/>
    <w:rsid w:val="00D436AE"/>
    <w:rsid w:val="00D43A47"/>
    <w:rsid w:val="00D43D7D"/>
    <w:rsid w:val="00D43DCE"/>
    <w:rsid w:val="00D43F5F"/>
    <w:rsid w:val="00D44040"/>
    <w:rsid w:val="00D44141"/>
    <w:rsid w:val="00D441C6"/>
    <w:rsid w:val="00D4426B"/>
    <w:rsid w:val="00D442BE"/>
    <w:rsid w:val="00D44301"/>
    <w:rsid w:val="00D4435F"/>
    <w:rsid w:val="00D4438D"/>
    <w:rsid w:val="00D4447D"/>
    <w:rsid w:val="00D44762"/>
    <w:rsid w:val="00D448BC"/>
    <w:rsid w:val="00D448D0"/>
    <w:rsid w:val="00D4499D"/>
    <w:rsid w:val="00D449C8"/>
    <w:rsid w:val="00D44A23"/>
    <w:rsid w:val="00D44B69"/>
    <w:rsid w:val="00D44C25"/>
    <w:rsid w:val="00D44CC6"/>
    <w:rsid w:val="00D44D1A"/>
    <w:rsid w:val="00D44D38"/>
    <w:rsid w:val="00D44F0C"/>
    <w:rsid w:val="00D45037"/>
    <w:rsid w:val="00D45152"/>
    <w:rsid w:val="00D4521B"/>
    <w:rsid w:val="00D4522E"/>
    <w:rsid w:val="00D45306"/>
    <w:rsid w:val="00D4531E"/>
    <w:rsid w:val="00D4540D"/>
    <w:rsid w:val="00D4543F"/>
    <w:rsid w:val="00D454C6"/>
    <w:rsid w:val="00D456B1"/>
    <w:rsid w:val="00D45754"/>
    <w:rsid w:val="00D45803"/>
    <w:rsid w:val="00D45869"/>
    <w:rsid w:val="00D4589E"/>
    <w:rsid w:val="00D4592C"/>
    <w:rsid w:val="00D4593A"/>
    <w:rsid w:val="00D45B86"/>
    <w:rsid w:val="00D45CA6"/>
    <w:rsid w:val="00D45CD6"/>
    <w:rsid w:val="00D45D83"/>
    <w:rsid w:val="00D45DB1"/>
    <w:rsid w:val="00D45E31"/>
    <w:rsid w:val="00D46065"/>
    <w:rsid w:val="00D46188"/>
    <w:rsid w:val="00D462D3"/>
    <w:rsid w:val="00D4634B"/>
    <w:rsid w:val="00D4641F"/>
    <w:rsid w:val="00D46476"/>
    <w:rsid w:val="00D464BA"/>
    <w:rsid w:val="00D46522"/>
    <w:rsid w:val="00D4658D"/>
    <w:rsid w:val="00D465FA"/>
    <w:rsid w:val="00D46693"/>
    <w:rsid w:val="00D4691A"/>
    <w:rsid w:val="00D46930"/>
    <w:rsid w:val="00D46A20"/>
    <w:rsid w:val="00D46A7C"/>
    <w:rsid w:val="00D46A99"/>
    <w:rsid w:val="00D46BA1"/>
    <w:rsid w:val="00D46CDD"/>
    <w:rsid w:val="00D46D03"/>
    <w:rsid w:val="00D46F5D"/>
    <w:rsid w:val="00D470A2"/>
    <w:rsid w:val="00D47116"/>
    <w:rsid w:val="00D47134"/>
    <w:rsid w:val="00D4716E"/>
    <w:rsid w:val="00D47206"/>
    <w:rsid w:val="00D47212"/>
    <w:rsid w:val="00D4736B"/>
    <w:rsid w:val="00D473F6"/>
    <w:rsid w:val="00D4742E"/>
    <w:rsid w:val="00D47536"/>
    <w:rsid w:val="00D4753D"/>
    <w:rsid w:val="00D47544"/>
    <w:rsid w:val="00D4756F"/>
    <w:rsid w:val="00D47645"/>
    <w:rsid w:val="00D476AF"/>
    <w:rsid w:val="00D476E5"/>
    <w:rsid w:val="00D47712"/>
    <w:rsid w:val="00D477FA"/>
    <w:rsid w:val="00D4786F"/>
    <w:rsid w:val="00D47B61"/>
    <w:rsid w:val="00D47BA0"/>
    <w:rsid w:val="00D47D5A"/>
    <w:rsid w:val="00D47E8F"/>
    <w:rsid w:val="00D47EC9"/>
    <w:rsid w:val="00D47F50"/>
    <w:rsid w:val="00D47F80"/>
    <w:rsid w:val="00D5003D"/>
    <w:rsid w:val="00D500A1"/>
    <w:rsid w:val="00D500CA"/>
    <w:rsid w:val="00D501AF"/>
    <w:rsid w:val="00D505C9"/>
    <w:rsid w:val="00D50650"/>
    <w:rsid w:val="00D507AB"/>
    <w:rsid w:val="00D50839"/>
    <w:rsid w:val="00D50840"/>
    <w:rsid w:val="00D5091E"/>
    <w:rsid w:val="00D50A49"/>
    <w:rsid w:val="00D50AC7"/>
    <w:rsid w:val="00D50B5D"/>
    <w:rsid w:val="00D50BB8"/>
    <w:rsid w:val="00D50DF5"/>
    <w:rsid w:val="00D50E55"/>
    <w:rsid w:val="00D50F35"/>
    <w:rsid w:val="00D50FB1"/>
    <w:rsid w:val="00D50FC5"/>
    <w:rsid w:val="00D5105F"/>
    <w:rsid w:val="00D510D1"/>
    <w:rsid w:val="00D5119D"/>
    <w:rsid w:val="00D5132D"/>
    <w:rsid w:val="00D513A1"/>
    <w:rsid w:val="00D513CC"/>
    <w:rsid w:val="00D5155F"/>
    <w:rsid w:val="00D51575"/>
    <w:rsid w:val="00D516DB"/>
    <w:rsid w:val="00D51802"/>
    <w:rsid w:val="00D51820"/>
    <w:rsid w:val="00D51871"/>
    <w:rsid w:val="00D5189B"/>
    <w:rsid w:val="00D5196A"/>
    <w:rsid w:val="00D519E7"/>
    <w:rsid w:val="00D51A38"/>
    <w:rsid w:val="00D51BDD"/>
    <w:rsid w:val="00D51CE7"/>
    <w:rsid w:val="00D51D81"/>
    <w:rsid w:val="00D51E11"/>
    <w:rsid w:val="00D52098"/>
    <w:rsid w:val="00D520A4"/>
    <w:rsid w:val="00D520CB"/>
    <w:rsid w:val="00D52118"/>
    <w:rsid w:val="00D52137"/>
    <w:rsid w:val="00D52151"/>
    <w:rsid w:val="00D52191"/>
    <w:rsid w:val="00D5223D"/>
    <w:rsid w:val="00D52433"/>
    <w:rsid w:val="00D524E2"/>
    <w:rsid w:val="00D5250C"/>
    <w:rsid w:val="00D526B4"/>
    <w:rsid w:val="00D526D5"/>
    <w:rsid w:val="00D52725"/>
    <w:rsid w:val="00D52728"/>
    <w:rsid w:val="00D528B1"/>
    <w:rsid w:val="00D52942"/>
    <w:rsid w:val="00D52A5A"/>
    <w:rsid w:val="00D52C29"/>
    <w:rsid w:val="00D52D49"/>
    <w:rsid w:val="00D52FE2"/>
    <w:rsid w:val="00D530C0"/>
    <w:rsid w:val="00D5312C"/>
    <w:rsid w:val="00D53187"/>
    <w:rsid w:val="00D53243"/>
    <w:rsid w:val="00D53340"/>
    <w:rsid w:val="00D5338D"/>
    <w:rsid w:val="00D5341D"/>
    <w:rsid w:val="00D5342F"/>
    <w:rsid w:val="00D53435"/>
    <w:rsid w:val="00D53473"/>
    <w:rsid w:val="00D534EC"/>
    <w:rsid w:val="00D535B6"/>
    <w:rsid w:val="00D53608"/>
    <w:rsid w:val="00D53650"/>
    <w:rsid w:val="00D5384A"/>
    <w:rsid w:val="00D538F0"/>
    <w:rsid w:val="00D53A92"/>
    <w:rsid w:val="00D53AF9"/>
    <w:rsid w:val="00D53C21"/>
    <w:rsid w:val="00D53C3B"/>
    <w:rsid w:val="00D53D39"/>
    <w:rsid w:val="00D53E26"/>
    <w:rsid w:val="00D53E75"/>
    <w:rsid w:val="00D53F88"/>
    <w:rsid w:val="00D53FA7"/>
    <w:rsid w:val="00D5408F"/>
    <w:rsid w:val="00D5414C"/>
    <w:rsid w:val="00D5420A"/>
    <w:rsid w:val="00D54252"/>
    <w:rsid w:val="00D542AD"/>
    <w:rsid w:val="00D54306"/>
    <w:rsid w:val="00D54401"/>
    <w:rsid w:val="00D54434"/>
    <w:rsid w:val="00D544A2"/>
    <w:rsid w:val="00D545FB"/>
    <w:rsid w:val="00D54641"/>
    <w:rsid w:val="00D546F5"/>
    <w:rsid w:val="00D5475B"/>
    <w:rsid w:val="00D547F4"/>
    <w:rsid w:val="00D548AF"/>
    <w:rsid w:val="00D54AAF"/>
    <w:rsid w:val="00D54C64"/>
    <w:rsid w:val="00D54CC2"/>
    <w:rsid w:val="00D54CCA"/>
    <w:rsid w:val="00D54CCC"/>
    <w:rsid w:val="00D54D03"/>
    <w:rsid w:val="00D54E5B"/>
    <w:rsid w:val="00D54ECC"/>
    <w:rsid w:val="00D54EEE"/>
    <w:rsid w:val="00D54EF0"/>
    <w:rsid w:val="00D54F5E"/>
    <w:rsid w:val="00D550DA"/>
    <w:rsid w:val="00D5519C"/>
    <w:rsid w:val="00D552DD"/>
    <w:rsid w:val="00D55342"/>
    <w:rsid w:val="00D55482"/>
    <w:rsid w:val="00D55519"/>
    <w:rsid w:val="00D555A5"/>
    <w:rsid w:val="00D5564B"/>
    <w:rsid w:val="00D5575F"/>
    <w:rsid w:val="00D557EA"/>
    <w:rsid w:val="00D55994"/>
    <w:rsid w:val="00D55AF2"/>
    <w:rsid w:val="00D55B8C"/>
    <w:rsid w:val="00D55BB0"/>
    <w:rsid w:val="00D5607F"/>
    <w:rsid w:val="00D56087"/>
    <w:rsid w:val="00D56112"/>
    <w:rsid w:val="00D56352"/>
    <w:rsid w:val="00D5642C"/>
    <w:rsid w:val="00D5642F"/>
    <w:rsid w:val="00D56702"/>
    <w:rsid w:val="00D56734"/>
    <w:rsid w:val="00D56775"/>
    <w:rsid w:val="00D5682F"/>
    <w:rsid w:val="00D56835"/>
    <w:rsid w:val="00D56A3B"/>
    <w:rsid w:val="00D56A9F"/>
    <w:rsid w:val="00D56C35"/>
    <w:rsid w:val="00D56C90"/>
    <w:rsid w:val="00D56D2B"/>
    <w:rsid w:val="00D56D59"/>
    <w:rsid w:val="00D56F32"/>
    <w:rsid w:val="00D56F8B"/>
    <w:rsid w:val="00D57078"/>
    <w:rsid w:val="00D57231"/>
    <w:rsid w:val="00D572D8"/>
    <w:rsid w:val="00D57356"/>
    <w:rsid w:val="00D576F8"/>
    <w:rsid w:val="00D576FE"/>
    <w:rsid w:val="00D576FF"/>
    <w:rsid w:val="00D5773F"/>
    <w:rsid w:val="00D57770"/>
    <w:rsid w:val="00D5779D"/>
    <w:rsid w:val="00D57974"/>
    <w:rsid w:val="00D579D8"/>
    <w:rsid w:val="00D579F4"/>
    <w:rsid w:val="00D57A5C"/>
    <w:rsid w:val="00D57AF1"/>
    <w:rsid w:val="00D57B09"/>
    <w:rsid w:val="00D57B59"/>
    <w:rsid w:val="00D57B81"/>
    <w:rsid w:val="00D57D67"/>
    <w:rsid w:val="00D57DDF"/>
    <w:rsid w:val="00D57F4B"/>
    <w:rsid w:val="00D60053"/>
    <w:rsid w:val="00D60058"/>
    <w:rsid w:val="00D60126"/>
    <w:rsid w:val="00D60185"/>
    <w:rsid w:val="00D602B2"/>
    <w:rsid w:val="00D602BF"/>
    <w:rsid w:val="00D6043B"/>
    <w:rsid w:val="00D6056E"/>
    <w:rsid w:val="00D60588"/>
    <w:rsid w:val="00D605E5"/>
    <w:rsid w:val="00D6063F"/>
    <w:rsid w:val="00D607F2"/>
    <w:rsid w:val="00D60883"/>
    <w:rsid w:val="00D60B77"/>
    <w:rsid w:val="00D60C2C"/>
    <w:rsid w:val="00D60D92"/>
    <w:rsid w:val="00D60F3D"/>
    <w:rsid w:val="00D61085"/>
    <w:rsid w:val="00D610DB"/>
    <w:rsid w:val="00D61203"/>
    <w:rsid w:val="00D61211"/>
    <w:rsid w:val="00D6131E"/>
    <w:rsid w:val="00D6137C"/>
    <w:rsid w:val="00D61443"/>
    <w:rsid w:val="00D615D4"/>
    <w:rsid w:val="00D615EE"/>
    <w:rsid w:val="00D6161E"/>
    <w:rsid w:val="00D616AE"/>
    <w:rsid w:val="00D617B0"/>
    <w:rsid w:val="00D617B2"/>
    <w:rsid w:val="00D61818"/>
    <w:rsid w:val="00D618BB"/>
    <w:rsid w:val="00D619F5"/>
    <w:rsid w:val="00D61A06"/>
    <w:rsid w:val="00D61A7E"/>
    <w:rsid w:val="00D61AB9"/>
    <w:rsid w:val="00D61B40"/>
    <w:rsid w:val="00D61BDB"/>
    <w:rsid w:val="00D61C4B"/>
    <w:rsid w:val="00D61CCB"/>
    <w:rsid w:val="00D61ED9"/>
    <w:rsid w:val="00D61FCF"/>
    <w:rsid w:val="00D6212B"/>
    <w:rsid w:val="00D62303"/>
    <w:rsid w:val="00D6232A"/>
    <w:rsid w:val="00D62410"/>
    <w:rsid w:val="00D62421"/>
    <w:rsid w:val="00D62426"/>
    <w:rsid w:val="00D62446"/>
    <w:rsid w:val="00D624B5"/>
    <w:rsid w:val="00D6254D"/>
    <w:rsid w:val="00D626AB"/>
    <w:rsid w:val="00D626B9"/>
    <w:rsid w:val="00D62820"/>
    <w:rsid w:val="00D629BA"/>
    <w:rsid w:val="00D629C9"/>
    <w:rsid w:val="00D62BCA"/>
    <w:rsid w:val="00D62CF7"/>
    <w:rsid w:val="00D62D96"/>
    <w:rsid w:val="00D62D99"/>
    <w:rsid w:val="00D62F74"/>
    <w:rsid w:val="00D63018"/>
    <w:rsid w:val="00D632A1"/>
    <w:rsid w:val="00D632C1"/>
    <w:rsid w:val="00D6332C"/>
    <w:rsid w:val="00D6332E"/>
    <w:rsid w:val="00D63460"/>
    <w:rsid w:val="00D63568"/>
    <w:rsid w:val="00D6362C"/>
    <w:rsid w:val="00D63722"/>
    <w:rsid w:val="00D6377A"/>
    <w:rsid w:val="00D63813"/>
    <w:rsid w:val="00D63845"/>
    <w:rsid w:val="00D63BFD"/>
    <w:rsid w:val="00D63C12"/>
    <w:rsid w:val="00D63C96"/>
    <w:rsid w:val="00D63D83"/>
    <w:rsid w:val="00D63E1C"/>
    <w:rsid w:val="00D63EF5"/>
    <w:rsid w:val="00D64426"/>
    <w:rsid w:val="00D6447B"/>
    <w:rsid w:val="00D645B4"/>
    <w:rsid w:val="00D645E7"/>
    <w:rsid w:val="00D647C5"/>
    <w:rsid w:val="00D647D0"/>
    <w:rsid w:val="00D6492C"/>
    <w:rsid w:val="00D64940"/>
    <w:rsid w:val="00D64A2F"/>
    <w:rsid w:val="00D64BA8"/>
    <w:rsid w:val="00D64BB1"/>
    <w:rsid w:val="00D64D6F"/>
    <w:rsid w:val="00D64DB4"/>
    <w:rsid w:val="00D64E25"/>
    <w:rsid w:val="00D64ECB"/>
    <w:rsid w:val="00D65030"/>
    <w:rsid w:val="00D650A9"/>
    <w:rsid w:val="00D65340"/>
    <w:rsid w:val="00D65542"/>
    <w:rsid w:val="00D655D1"/>
    <w:rsid w:val="00D656A1"/>
    <w:rsid w:val="00D656BC"/>
    <w:rsid w:val="00D656EA"/>
    <w:rsid w:val="00D6578B"/>
    <w:rsid w:val="00D657F6"/>
    <w:rsid w:val="00D65869"/>
    <w:rsid w:val="00D6594A"/>
    <w:rsid w:val="00D659A7"/>
    <w:rsid w:val="00D659B3"/>
    <w:rsid w:val="00D65ABB"/>
    <w:rsid w:val="00D65AED"/>
    <w:rsid w:val="00D65B0B"/>
    <w:rsid w:val="00D65C06"/>
    <w:rsid w:val="00D65C3E"/>
    <w:rsid w:val="00D65CD1"/>
    <w:rsid w:val="00D65D5C"/>
    <w:rsid w:val="00D65EFF"/>
    <w:rsid w:val="00D65FEC"/>
    <w:rsid w:val="00D66042"/>
    <w:rsid w:val="00D6605E"/>
    <w:rsid w:val="00D660AA"/>
    <w:rsid w:val="00D66118"/>
    <w:rsid w:val="00D662E1"/>
    <w:rsid w:val="00D66302"/>
    <w:rsid w:val="00D6634D"/>
    <w:rsid w:val="00D663CA"/>
    <w:rsid w:val="00D664A4"/>
    <w:rsid w:val="00D664EE"/>
    <w:rsid w:val="00D6674C"/>
    <w:rsid w:val="00D66823"/>
    <w:rsid w:val="00D66904"/>
    <w:rsid w:val="00D66905"/>
    <w:rsid w:val="00D669D5"/>
    <w:rsid w:val="00D66A27"/>
    <w:rsid w:val="00D66C1B"/>
    <w:rsid w:val="00D66D11"/>
    <w:rsid w:val="00D66D22"/>
    <w:rsid w:val="00D66D59"/>
    <w:rsid w:val="00D66E50"/>
    <w:rsid w:val="00D66F6C"/>
    <w:rsid w:val="00D67056"/>
    <w:rsid w:val="00D671A1"/>
    <w:rsid w:val="00D67201"/>
    <w:rsid w:val="00D67282"/>
    <w:rsid w:val="00D6737D"/>
    <w:rsid w:val="00D673B3"/>
    <w:rsid w:val="00D673E3"/>
    <w:rsid w:val="00D6745E"/>
    <w:rsid w:val="00D6779E"/>
    <w:rsid w:val="00D677FB"/>
    <w:rsid w:val="00D6790D"/>
    <w:rsid w:val="00D679DD"/>
    <w:rsid w:val="00D67A46"/>
    <w:rsid w:val="00D67A90"/>
    <w:rsid w:val="00D67AE9"/>
    <w:rsid w:val="00D67AFC"/>
    <w:rsid w:val="00D67BA6"/>
    <w:rsid w:val="00D67BA7"/>
    <w:rsid w:val="00D67C08"/>
    <w:rsid w:val="00D67CDF"/>
    <w:rsid w:val="00D67CEF"/>
    <w:rsid w:val="00D67D11"/>
    <w:rsid w:val="00D67DA5"/>
    <w:rsid w:val="00D67E01"/>
    <w:rsid w:val="00D67E83"/>
    <w:rsid w:val="00D67EDF"/>
    <w:rsid w:val="00D70282"/>
    <w:rsid w:val="00D70374"/>
    <w:rsid w:val="00D705D5"/>
    <w:rsid w:val="00D706D0"/>
    <w:rsid w:val="00D706DC"/>
    <w:rsid w:val="00D7091C"/>
    <w:rsid w:val="00D709D3"/>
    <w:rsid w:val="00D70AED"/>
    <w:rsid w:val="00D70B6B"/>
    <w:rsid w:val="00D70CBE"/>
    <w:rsid w:val="00D70D46"/>
    <w:rsid w:val="00D70D8C"/>
    <w:rsid w:val="00D70E10"/>
    <w:rsid w:val="00D70EE1"/>
    <w:rsid w:val="00D70FF1"/>
    <w:rsid w:val="00D7107D"/>
    <w:rsid w:val="00D710FE"/>
    <w:rsid w:val="00D71535"/>
    <w:rsid w:val="00D718C6"/>
    <w:rsid w:val="00D7191E"/>
    <w:rsid w:val="00D71941"/>
    <w:rsid w:val="00D71987"/>
    <w:rsid w:val="00D71A1B"/>
    <w:rsid w:val="00D71C90"/>
    <w:rsid w:val="00D71D04"/>
    <w:rsid w:val="00D71D62"/>
    <w:rsid w:val="00D71DE0"/>
    <w:rsid w:val="00D71E6F"/>
    <w:rsid w:val="00D72033"/>
    <w:rsid w:val="00D72185"/>
    <w:rsid w:val="00D721DA"/>
    <w:rsid w:val="00D7238F"/>
    <w:rsid w:val="00D7276D"/>
    <w:rsid w:val="00D7278C"/>
    <w:rsid w:val="00D72AD8"/>
    <w:rsid w:val="00D72BFA"/>
    <w:rsid w:val="00D72C89"/>
    <w:rsid w:val="00D72FE2"/>
    <w:rsid w:val="00D73073"/>
    <w:rsid w:val="00D7319A"/>
    <w:rsid w:val="00D73279"/>
    <w:rsid w:val="00D733D7"/>
    <w:rsid w:val="00D7341C"/>
    <w:rsid w:val="00D7343A"/>
    <w:rsid w:val="00D734E6"/>
    <w:rsid w:val="00D73596"/>
    <w:rsid w:val="00D737CD"/>
    <w:rsid w:val="00D737E2"/>
    <w:rsid w:val="00D73805"/>
    <w:rsid w:val="00D73817"/>
    <w:rsid w:val="00D73A07"/>
    <w:rsid w:val="00D73A95"/>
    <w:rsid w:val="00D73AAA"/>
    <w:rsid w:val="00D73B3C"/>
    <w:rsid w:val="00D73C1B"/>
    <w:rsid w:val="00D73F05"/>
    <w:rsid w:val="00D74126"/>
    <w:rsid w:val="00D7441B"/>
    <w:rsid w:val="00D746DE"/>
    <w:rsid w:val="00D7473E"/>
    <w:rsid w:val="00D74770"/>
    <w:rsid w:val="00D74808"/>
    <w:rsid w:val="00D74907"/>
    <w:rsid w:val="00D74979"/>
    <w:rsid w:val="00D74CCE"/>
    <w:rsid w:val="00D74E44"/>
    <w:rsid w:val="00D74F0C"/>
    <w:rsid w:val="00D74F68"/>
    <w:rsid w:val="00D75626"/>
    <w:rsid w:val="00D75789"/>
    <w:rsid w:val="00D757EF"/>
    <w:rsid w:val="00D7583C"/>
    <w:rsid w:val="00D75892"/>
    <w:rsid w:val="00D75ABE"/>
    <w:rsid w:val="00D75AE9"/>
    <w:rsid w:val="00D75BC0"/>
    <w:rsid w:val="00D75C3E"/>
    <w:rsid w:val="00D75C9D"/>
    <w:rsid w:val="00D75CC1"/>
    <w:rsid w:val="00D75CC7"/>
    <w:rsid w:val="00D75F44"/>
    <w:rsid w:val="00D75F78"/>
    <w:rsid w:val="00D76023"/>
    <w:rsid w:val="00D760AF"/>
    <w:rsid w:val="00D7611F"/>
    <w:rsid w:val="00D76120"/>
    <w:rsid w:val="00D76421"/>
    <w:rsid w:val="00D765BC"/>
    <w:rsid w:val="00D76642"/>
    <w:rsid w:val="00D76819"/>
    <w:rsid w:val="00D76911"/>
    <w:rsid w:val="00D769F1"/>
    <w:rsid w:val="00D76BBB"/>
    <w:rsid w:val="00D76E64"/>
    <w:rsid w:val="00D771B9"/>
    <w:rsid w:val="00D771E3"/>
    <w:rsid w:val="00D772DF"/>
    <w:rsid w:val="00D772EA"/>
    <w:rsid w:val="00D775B3"/>
    <w:rsid w:val="00D7769F"/>
    <w:rsid w:val="00D7775D"/>
    <w:rsid w:val="00D7778B"/>
    <w:rsid w:val="00D777E3"/>
    <w:rsid w:val="00D778AC"/>
    <w:rsid w:val="00D779DB"/>
    <w:rsid w:val="00D779F2"/>
    <w:rsid w:val="00D77A0A"/>
    <w:rsid w:val="00D77A2C"/>
    <w:rsid w:val="00D77A53"/>
    <w:rsid w:val="00D77A57"/>
    <w:rsid w:val="00D77ACF"/>
    <w:rsid w:val="00D77BBB"/>
    <w:rsid w:val="00D77BC3"/>
    <w:rsid w:val="00D77CAE"/>
    <w:rsid w:val="00D77D4F"/>
    <w:rsid w:val="00D77E17"/>
    <w:rsid w:val="00D77E1C"/>
    <w:rsid w:val="00D77E7B"/>
    <w:rsid w:val="00D77EEC"/>
    <w:rsid w:val="00D77F2B"/>
    <w:rsid w:val="00D80033"/>
    <w:rsid w:val="00D80110"/>
    <w:rsid w:val="00D80265"/>
    <w:rsid w:val="00D80278"/>
    <w:rsid w:val="00D803E6"/>
    <w:rsid w:val="00D8057D"/>
    <w:rsid w:val="00D8059F"/>
    <w:rsid w:val="00D805A2"/>
    <w:rsid w:val="00D80602"/>
    <w:rsid w:val="00D8063F"/>
    <w:rsid w:val="00D8076C"/>
    <w:rsid w:val="00D80892"/>
    <w:rsid w:val="00D808E5"/>
    <w:rsid w:val="00D80B7A"/>
    <w:rsid w:val="00D80EBC"/>
    <w:rsid w:val="00D80EEB"/>
    <w:rsid w:val="00D80F40"/>
    <w:rsid w:val="00D80F99"/>
    <w:rsid w:val="00D811C9"/>
    <w:rsid w:val="00D81216"/>
    <w:rsid w:val="00D8144D"/>
    <w:rsid w:val="00D814EF"/>
    <w:rsid w:val="00D81539"/>
    <w:rsid w:val="00D8170B"/>
    <w:rsid w:val="00D8176B"/>
    <w:rsid w:val="00D8195D"/>
    <w:rsid w:val="00D81AB6"/>
    <w:rsid w:val="00D81ACF"/>
    <w:rsid w:val="00D81B6F"/>
    <w:rsid w:val="00D81BC1"/>
    <w:rsid w:val="00D81C3C"/>
    <w:rsid w:val="00D81D81"/>
    <w:rsid w:val="00D81DDF"/>
    <w:rsid w:val="00D81E86"/>
    <w:rsid w:val="00D81EBE"/>
    <w:rsid w:val="00D81F5A"/>
    <w:rsid w:val="00D81F6A"/>
    <w:rsid w:val="00D82235"/>
    <w:rsid w:val="00D8223C"/>
    <w:rsid w:val="00D8231C"/>
    <w:rsid w:val="00D8234E"/>
    <w:rsid w:val="00D824B2"/>
    <w:rsid w:val="00D824D4"/>
    <w:rsid w:val="00D82522"/>
    <w:rsid w:val="00D8262D"/>
    <w:rsid w:val="00D82797"/>
    <w:rsid w:val="00D827A6"/>
    <w:rsid w:val="00D82831"/>
    <w:rsid w:val="00D8293B"/>
    <w:rsid w:val="00D829B0"/>
    <w:rsid w:val="00D82A02"/>
    <w:rsid w:val="00D82A20"/>
    <w:rsid w:val="00D82A91"/>
    <w:rsid w:val="00D82B03"/>
    <w:rsid w:val="00D82B07"/>
    <w:rsid w:val="00D82EF3"/>
    <w:rsid w:val="00D82FBC"/>
    <w:rsid w:val="00D82FCB"/>
    <w:rsid w:val="00D8308E"/>
    <w:rsid w:val="00D83120"/>
    <w:rsid w:val="00D83186"/>
    <w:rsid w:val="00D831F0"/>
    <w:rsid w:val="00D83225"/>
    <w:rsid w:val="00D833E3"/>
    <w:rsid w:val="00D83411"/>
    <w:rsid w:val="00D8348E"/>
    <w:rsid w:val="00D834A5"/>
    <w:rsid w:val="00D83558"/>
    <w:rsid w:val="00D83573"/>
    <w:rsid w:val="00D835E8"/>
    <w:rsid w:val="00D835F7"/>
    <w:rsid w:val="00D83671"/>
    <w:rsid w:val="00D83860"/>
    <w:rsid w:val="00D83899"/>
    <w:rsid w:val="00D838DB"/>
    <w:rsid w:val="00D8392C"/>
    <w:rsid w:val="00D839AE"/>
    <w:rsid w:val="00D839F3"/>
    <w:rsid w:val="00D83A31"/>
    <w:rsid w:val="00D83B8C"/>
    <w:rsid w:val="00D83C49"/>
    <w:rsid w:val="00D83EEA"/>
    <w:rsid w:val="00D840C5"/>
    <w:rsid w:val="00D8412D"/>
    <w:rsid w:val="00D84174"/>
    <w:rsid w:val="00D841D2"/>
    <w:rsid w:val="00D841DE"/>
    <w:rsid w:val="00D8422E"/>
    <w:rsid w:val="00D8438F"/>
    <w:rsid w:val="00D84402"/>
    <w:rsid w:val="00D8448B"/>
    <w:rsid w:val="00D844A0"/>
    <w:rsid w:val="00D84567"/>
    <w:rsid w:val="00D846A9"/>
    <w:rsid w:val="00D846BE"/>
    <w:rsid w:val="00D84974"/>
    <w:rsid w:val="00D84A50"/>
    <w:rsid w:val="00D84A64"/>
    <w:rsid w:val="00D84C5C"/>
    <w:rsid w:val="00D84D58"/>
    <w:rsid w:val="00D84E95"/>
    <w:rsid w:val="00D84EAD"/>
    <w:rsid w:val="00D84F03"/>
    <w:rsid w:val="00D84F33"/>
    <w:rsid w:val="00D84FC7"/>
    <w:rsid w:val="00D851E5"/>
    <w:rsid w:val="00D852AA"/>
    <w:rsid w:val="00D85539"/>
    <w:rsid w:val="00D85858"/>
    <w:rsid w:val="00D859D5"/>
    <w:rsid w:val="00D859F7"/>
    <w:rsid w:val="00D85CB6"/>
    <w:rsid w:val="00D85CCB"/>
    <w:rsid w:val="00D85D74"/>
    <w:rsid w:val="00D85DEC"/>
    <w:rsid w:val="00D85E2F"/>
    <w:rsid w:val="00D85EA6"/>
    <w:rsid w:val="00D85FC9"/>
    <w:rsid w:val="00D8609C"/>
    <w:rsid w:val="00D86113"/>
    <w:rsid w:val="00D861C6"/>
    <w:rsid w:val="00D862B2"/>
    <w:rsid w:val="00D863A8"/>
    <w:rsid w:val="00D863D0"/>
    <w:rsid w:val="00D86403"/>
    <w:rsid w:val="00D86426"/>
    <w:rsid w:val="00D8643B"/>
    <w:rsid w:val="00D86593"/>
    <w:rsid w:val="00D865D0"/>
    <w:rsid w:val="00D866D2"/>
    <w:rsid w:val="00D868A1"/>
    <w:rsid w:val="00D868F1"/>
    <w:rsid w:val="00D869DE"/>
    <w:rsid w:val="00D869E4"/>
    <w:rsid w:val="00D86A45"/>
    <w:rsid w:val="00D86ADE"/>
    <w:rsid w:val="00D86B01"/>
    <w:rsid w:val="00D86C83"/>
    <w:rsid w:val="00D86DF8"/>
    <w:rsid w:val="00D86F09"/>
    <w:rsid w:val="00D86FD0"/>
    <w:rsid w:val="00D870CA"/>
    <w:rsid w:val="00D870EC"/>
    <w:rsid w:val="00D8714A"/>
    <w:rsid w:val="00D87211"/>
    <w:rsid w:val="00D87305"/>
    <w:rsid w:val="00D8730F"/>
    <w:rsid w:val="00D87462"/>
    <w:rsid w:val="00D87560"/>
    <w:rsid w:val="00D876F7"/>
    <w:rsid w:val="00D877E6"/>
    <w:rsid w:val="00D8791C"/>
    <w:rsid w:val="00D87924"/>
    <w:rsid w:val="00D87B70"/>
    <w:rsid w:val="00D87BDA"/>
    <w:rsid w:val="00D87C0F"/>
    <w:rsid w:val="00D87C61"/>
    <w:rsid w:val="00D87E1E"/>
    <w:rsid w:val="00D87E3C"/>
    <w:rsid w:val="00D87F3C"/>
    <w:rsid w:val="00D87FA7"/>
    <w:rsid w:val="00D87FC0"/>
    <w:rsid w:val="00D901A1"/>
    <w:rsid w:val="00D902CF"/>
    <w:rsid w:val="00D9060F"/>
    <w:rsid w:val="00D9062A"/>
    <w:rsid w:val="00D90674"/>
    <w:rsid w:val="00D9086C"/>
    <w:rsid w:val="00D908C1"/>
    <w:rsid w:val="00D9097D"/>
    <w:rsid w:val="00D909B9"/>
    <w:rsid w:val="00D90AC6"/>
    <w:rsid w:val="00D90B36"/>
    <w:rsid w:val="00D90B56"/>
    <w:rsid w:val="00D90B86"/>
    <w:rsid w:val="00D90C24"/>
    <w:rsid w:val="00D90C8F"/>
    <w:rsid w:val="00D90D85"/>
    <w:rsid w:val="00D90DAC"/>
    <w:rsid w:val="00D90FA8"/>
    <w:rsid w:val="00D91035"/>
    <w:rsid w:val="00D910BC"/>
    <w:rsid w:val="00D911DA"/>
    <w:rsid w:val="00D91298"/>
    <w:rsid w:val="00D912D4"/>
    <w:rsid w:val="00D912E4"/>
    <w:rsid w:val="00D914C0"/>
    <w:rsid w:val="00D91502"/>
    <w:rsid w:val="00D9153A"/>
    <w:rsid w:val="00D9153D"/>
    <w:rsid w:val="00D91738"/>
    <w:rsid w:val="00D917FB"/>
    <w:rsid w:val="00D91912"/>
    <w:rsid w:val="00D9196C"/>
    <w:rsid w:val="00D91B2C"/>
    <w:rsid w:val="00D91D48"/>
    <w:rsid w:val="00D91D95"/>
    <w:rsid w:val="00D91E01"/>
    <w:rsid w:val="00D91E42"/>
    <w:rsid w:val="00D91FDB"/>
    <w:rsid w:val="00D9201E"/>
    <w:rsid w:val="00D92135"/>
    <w:rsid w:val="00D921FF"/>
    <w:rsid w:val="00D92221"/>
    <w:rsid w:val="00D92278"/>
    <w:rsid w:val="00D923A8"/>
    <w:rsid w:val="00D923D0"/>
    <w:rsid w:val="00D92599"/>
    <w:rsid w:val="00D92648"/>
    <w:rsid w:val="00D92773"/>
    <w:rsid w:val="00D927F2"/>
    <w:rsid w:val="00D9286A"/>
    <w:rsid w:val="00D928D6"/>
    <w:rsid w:val="00D9298B"/>
    <w:rsid w:val="00D92B55"/>
    <w:rsid w:val="00D92B6A"/>
    <w:rsid w:val="00D92D1E"/>
    <w:rsid w:val="00D92E00"/>
    <w:rsid w:val="00D9318C"/>
    <w:rsid w:val="00D9319D"/>
    <w:rsid w:val="00D933FC"/>
    <w:rsid w:val="00D9343F"/>
    <w:rsid w:val="00D9359E"/>
    <w:rsid w:val="00D935AA"/>
    <w:rsid w:val="00D93659"/>
    <w:rsid w:val="00D9367E"/>
    <w:rsid w:val="00D936FD"/>
    <w:rsid w:val="00D93880"/>
    <w:rsid w:val="00D9394C"/>
    <w:rsid w:val="00D93A39"/>
    <w:rsid w:val="00D93ACA"/>
    <w:rsid w:val="00D93B36"/>
    <w:rsid w:val="00D93B64"/>
    <w:rsid w:val="00D93CFB"/>
    <w:rsid w:val="00D93D1A"/>
    <w:rsid w:val="00D93EA7"/>
    <w:rsid w:val="00D94093"/>
    <w:rsid w:val="00D94275"/>
    <w:rsid w:val="00D94342"/>
    <w:rsid w:val="00D943B5"/>
    <w:rsid w:val="00D943DE"/>
    <w:rsid w:val="00D94423"/>
    <w:rsid w:val="00D94428"/>
    <w:rsid w:val="00D94485"/>
    <w:rsid w:val="00D94653"/>
    <w:rsid w:val="00D946EB"/>
    <w:rsid w:val="00D946FC"/>
    <w:rsid w:val="00D94732"/>
    <w:rsid w:val="00D947A8"/>
    <w:rsid w:val="00D947E6"/>
    <w:rsid w:val="00D94825"/>
    <w:rsid w:val="00D94861"/>
    <w:rsid w:val="00D94973"/>
    <w:rsid w:val="00D94A10"/>
    <w:rsid w:val="00D94B2E"/>
    <w:rsid w:val="00D94BB6"/>
    <w:rsid w:val="00D94FAA"/>
    <w:rsid w:val="00D9502A"/>
    <w:rsid w:val="00D95155"/>
    <w:rsid w:val="00D951F4"/>
    <w:rsid w:val="00D9523E"/>
    <w:rsid w:val="00D954C2"/>
    <w:rsid w:val="00D95639"/>
    <w:rsid w:val="00D956B6"/>
    <w:rsid w:val="00D95AE9"/>
    <w:rsid w:val="00D95B4D"/>
    <w:rsid w:val="00D95DA9"/>
    <w:rsid w:val="00D95E90"/>
    <w:rsid w:val="00D95F43"/>
    <w:rsid w:val="00D9605D"/>
    <w:rsid w:val="00D960CD"/>
    <w:rsid w:val="00D96116"/>
    <w:rsid w:val="00D961AE"/>
    <w:rsid w:val="00D962EE"/>
    <w:rsid w:val="00D9635A"/>
    <w:rsid w:val="00D963B3"/>
    <w:rsid w:val="00D9644D"/>
    <w:rsid w:val="00D9644F"/>
    <w:rsid w:val="00D9647B"/>
    <w:rsid w:val="00D96524"/>
    <w:rsid w:val="00D9652B"/>
    <w:rsid w:val="00D965B2"/>
    <w:rsid w:val="00D965EC"/>
    <w:rsid w:val="00D96672"/>
    <w:rsid w:val="00D966F7"/>
    <w:rsid w:val="00D9672D"/>
    <w:rsid w:val="00D9688B"/>
    <w:rsid w:val="00D96988"/>
    <w:rsid w:val="00D969F7"/>
    <w:rsid w:val="00D96A6B"/>
    <w:rsid w:val="00D96A7F"/>
    <w:rsid w:val="00D96B07"/>
    <w:rsid w:val="00D96B0E"/>
    <w:rsid w:val="00D96BAC"/>
    <w:rsid w:val="00D96CF9"/>
    <w:rsid w:val="00D96D4C"/>
    <w:rsid w:val="00D96E45"/>
    <w:rsid w:val="00D96F8C"/>
    <w:rsid w:val="00D96FBA"/>
    <w:rsid w:val="00D97044"/>
    <w:rsid w:val="00D9706A"/>
    <w:rsid w:val="00D970F3"/>
    <w:rsid w:val="00D97223"/>
    <w:rsid w:val="00D97413"/>
    <w:rsid w:val="00D974EF"/>
    <w:rsid w:val="00D97545"/>
    <w:rsid w:val="00D9765A"/>
    <w:rsid w:val="00D9781A"/>
    <w:rsid w:val="00D9785A"/>
    <w:rsid w:val="00D9787D"/>
    <w:rsid w:val="00D9793F"/>
    <w:rsid w:val="00D9796F"/>
    <w:rsid w:val="00D97A04"/>
    <w:rsid w:val="00D97C71"/>
    <w:rsid w:val="00D97D02"/>
    <w:rsid w:val="00D97D9B"/>
    <w:rsid w:val="00D97DED"/>
    <w:rsid w:val="00DA007E"/>
    <w:rsid w:val="00DA0144"/>
    <w:rsid w:val="00DA015B"/>
    <w:rsid w:val="00DA01E1"/>
    <w:rsid w:val="00DA05DF"/>
    <w:rsid w:val="00DA05E0"/>
    <w:rsid w:val="00DA064D"/>
    <w:rsid w:val="00DA06BA"/>
    <w:rsid w:val="00DA06C0"/>
    <w:rsid w:val="00DA08FF"/>
    <w:rsid w:val="00DA0943"/>
    <w:rsid w:val="00DA0CFD"/>
    <w:rsid w:val="00DA0D15"/>
    <w:rsid w:val="00DA0F8F"/>
    <w:rsid w:val="00DA0FB8"/>
    <w:rsid w:val="00DA0FF0"/>
    <w:rsid w:val="00DA10D7"/>
    <w:rsid w:val="00DA1177"/>
    <w:rsid w:val="00DA1181"/>
    <w:rsid w:val="00DA11E1"/>
    <w:rsid w:val="00DA1205"/>
    <w:rsid w:val="00DA121E"/>
    <w:rsid w:val="00DA12A7"/>
    <w:rsid w:val="00DA12B4"/>
    <w:rsid w:val="00DA12BF"/>
    <w:rsid w:val="00DA12E3"/>
    <w:rsid w:val="00DA13C2"/>
    <w:rsid w:val="00DA1479"/>
    <w:rsid w:val="00DA1608"/>
    <w:rsid w:val="00DA1654"/>
    <w:rsid w:val="00DA17F6"/>
    <w:rsid w:val="00DA18E5"/>
    <w:rsid w:val="00DA19EB"/>
    <w:rsid w:val="00DA1A7F"/>
    <w:rsid w:val="00DA1A8D"/>
    <w:rsid w:val="00DA1B17"/>
    <w:rsid w:val="00DA1B48"/>
    <w:rsid w:val="00DA1BB9"/>
    <w:rsid w:val="00DA1D2F"/>
    <w:rsid w:val="00DA1F47"/>
    <w:rsid w:val="00DA1FC5"/>
    <w:rsid w:val="00DA2291"/>
    <w:rsid w:val="00DA2376"/>
    <w:rsid w:val="00DA23A2"/>
    <w:rsid w:val="00DA23CA"/>
    <w:rsid w:val="00DA23DD"/>
    <w:rsid w:val="00DA2403"/>
    <w:rsid w:val="00DA2680"/>
    <w:rsid w:val="00DA2726"/>
    <w:rsid w:val="00DA275A"/>
    <w:rsid w:val="00DA27E1"/>
    <w:rsid w:val="00DA299C"/>
    <w:rsid w:val="00DA29FE"/>
    <w:rsid w:val="00DA2BE8"/>
    <w:rsid w:val="00DA2F40"/>
    <w:rsid w:val="00DA2F9C"/>
    <w:rsid w:val="00DA2FAC"/>
    <w:rsid w:val="00DA2FBA"/>
    <w:rsid w:val="00DA2FEC"/>
    <w:rsid w:val="00DA3058"/>
    <w:rsid w:val="00DA30CE"/>
    <w:rsid w:val="00DA3229"/>
    <w:rsid w:val="00DA35E8"/>
    <w:rsid w:val="00DA37C8"/>
    <w:rsid w:val="00DA3A2E"/>
    <w:rsid w:val="00DA3B84"/>
    <w:rsid w:val="00DA3C02"/>
    <w:rsid w:val="00DA3D1D"/>
    <w:rsid w:val="00DA3DA0"/>
    <w:rsid w:val="00DA3EFD"/>
    <w:rsid w:val="00DA3FA9"/>
    <w:rsid w:val="00DA407B"/>
    <w:rsid w:val="00DA40E8"/>
    <w:rsid w:val="00DA41AA"/>
    <w:rsid w:val="00DA42CE"/>
    <w:rsid w:val="00DA42EA"/>
    <w:rsid w:val="00DA430B"/>
    <w:rsid w:val="00DA431E"/>
    <w:rsid w:val="00DA4366"/>
    <w:rsid w:val="00DA43EE"/>
    <w:rsid w:val="00DA44BB"/>
    <w:rsid w:val="00DA44EF"/>
    <w:rsid w:val="00DA45D4"/>
    <w:rsid w:val="00DA48F4"/>
    <w:rsid w:val="00DA4901"/>
    <w:rsid w:val="00DA49DF"/>
    <w:rsid w:val="00DA4B27"/>
    <w:rsid w:val="00DA4E81"/>
    <w:rsid w:val="00DA4F6A"/>
    <w:rsid w:val="00DA5055"/>
    <w:rsid w:val="00DA5122"/>
    <w:rsid w:val="00DA5148"/>
    <w:rsid w:val="00DA51CE"/>
    <w:rsid w:val="00DA53EF"/>
    <w:rsid w:val="00DA5709"/>
    <w:rsid w:val="00DA573C"/>
    <w:rsid w:val="00DA5B53"/>
    <w:rsid w:val="00DA5BF9"/>
    <w:rsid w:val="00DA5D11"/>
    <w:rsid w:val="00DA5D84"/>
    <w:rsid w:val="00DA5E68"/>
    <w:rsid w:val="00DA5F2D"/>
    <w:rsid w:val="00DA6017"/>
    <w:rsid w:val="00DA6112"/>
    <w:rsid w:val="00DA6191"/>
    <w:rsid w:val="00DA61E9"/>
    <w:rsid w:val="00DA623A"/>
    <w:rsid w:val="00DA6253"/>
    <w:rsid w:val="00DA62D5"/>
    <w:rsid w:val="00DA63A5"/>
    <w:rsid w:val="00DA6403"/>
    <w:rsid w:val="00DA64D4"/>
    <w:rsid w:val="00DA653A"/>
    <w:rsid w:val="00DA654C"/>
    <w:rsid w:val="00DA6644"/>
    <w:rsid w:val="00DA674B"/>
    <w:rsid w:val="00DA681B"/>
    <w:rsid w:val="00DA68A7"/>
    <w:rsid w:val="00DA6914"/>
    <w:rsid w:val="00DA6946"/>
    <w:rsid w:val="00DA6998"/>
    <w:rsid w:val="00DA6A52"/>
    <w:rsid w:val="00DA6A79"/>
    <w:rsid w:val="00DA6B46"/>
    <w:rsid w:val="00DA6BEC"/>
    <w:rsid w:val="00DA6C8B"/>
    <w:rsid w:val="00DA6CFD"/>
    <w:rsid w:val="00DA6D55"/>
    <w:rsid w:val="00DA6D90"/>
    <w:rsid w:val="00DA6E28"/>
    <w:rsid w:val="00DA7068"/>
    <w:rsid w:val="00DA7095"/>
    <w:rsid w:val="00DA727B"/>
    <w:rsid w:val="00DA73A2"/>
    <w:rsid w:val="00DA7455"/>
    <w:rsid w:val="00DA745F"/>
    <w:rsid w:val="00DA755E"/>
    <w:rsid w:val="00DA7607"/>
    <w:rsid w:val="00DA780E"/>
    <w:rsid w:val="00DA7827"/>
    <w:rsid w:val="00DA7863"/>
    <w:rsid w:val="00DA787C"/>
    <w:rsid w:val="00DA798D"/>
    <w:rsid w:val="00DA7AA7"/>
    <w:rsid w:val="00DA7B2B"/>
    <w:rsid w:val="00DA7B5A"/>
    <w:rsid w:val="00DA7C2F"/>
    <w:rsid w:val="00DA7C31"/>
    <w:rsid w:val="00DA7E70"/>
    <w:rsid w:val="00DA7F2E"/>
    <w:rsid w:val="00DB01E3"/>
    <w:rsid w:val="00DB0358"/>
    <w:rsid w:val="00DB0417"/>
    <w:rsid w:val="00DB0421"/>
    <w:rsid w:val="00DB054D"/>
    <w:rsid w:val="00DB05DD"/>
    <w:rsid w:val="00DB0623"/>
    <w:rsid w:val="00DB0693"/>
    <w:rsid w:val="00DB07E7"/>
    <w:rsid w:val="00DB081D"/>
    <w:rsid w:val="00DB089D"/>
    <w:rsid w:val="00DB0991"/>
    <w:rsid w:val="00DB09FF"/>
    <w:rsid w:val="00DB0B72"/>
    <w:rsid w:val="00DB0C72"/>
    <w:rsid w:val="00DB0CB3"/>
    <w:rsid w:val="00DB0ECE"/>
    <w:rsid w:val="00DB1001"/>
    <w:rsid w:val="00DB109F"/>
    <w:rsid w:val="00DB10B2"/>
    <w:rsid w:val="00DB1160"/>
    <w:rsid w:val="00DB116D"/>
    <w:rsid w:val="00DB1220"/>
    <w:rsid w:val="00DB1290"/>
    <w:rsid w:val="00DB1403"/>
    <w:rsid w:val="00DB1435"/>
    <w:rsid w:val="00DB149B"/>
    <w:rsid w:val="00DB155A"/>
    <w:rsid w:val="00DB1592"/>
    <w:rsid w:val="00DB15C8"/>
    <w:rsid w:val="00DB15FD"/>
    <w:rsid w:val="00DB1618"/>
    <w:rsid w:val="00DB169A"/>
    <w:rsid w:val="00DB1765"/>
    <w:rsid w:val="00DB1896"/>
    <w:rsid w:val="00DB18BA"/>
    <w:rsid w:val="00DB19E2"/>
    <w:rsid w:val="00DB19ED"/>
    <w:rsid w:val="00DB1CAD"/>
    <w:rsid w:val="00DB1CB5"/>
    <w:rsid w:val="00DB1CFA"/>
    <w:rsid w:val="00DB1D15"/>
    <w:rsid w:val="00DB1D1C"/>
    <w:rsid w:val="00DB1DE4"/>
    <w:rsid w:val="00DB1E39"/>
    <w:rsid w:val="00DB1E91"/>
    <w:rsid w:val="00DB1EB2"/>
    <w:rsid w:val="00DB1F10"/>
    <w:rsid w:val="00DB1F15"/>
    <w:rsid w:val="00DB2059"/>
    <w:rsid w:val="00DB2089"/>
    <w:rsid w:val="00DB2297"/>
    <w:rsid w:val="00DB25A5"/>
    <w:rsid w:val="00DB2619"/>
    <w:rsid w:val="00DB2781"/>
    <w:rsid w:val="00DB2A36"/>
    <w:rsid w:val="00DB2AA5"/>
    <w:rsid w:val="00DB2AB7"/>
    <w:rsid w:val="00DB2E2E"/>
    <w:rsid w:val="00DB2E64"/>
    <w:rsid w:val="00DB2F7B"/>
    <w:rsid w:val="00DB2F81"/>
    <w:rsid w:val="00DB2FA0"/>
    <w:rsid w:val="00DB3035"/>
    <w:rsid w:val="00DB3199"/>
    <w:rsid w:val="00DB3282"/>
    <w:rsid w:val="00DB3427"/>
    <w:rsid w:val="00DB34E0"/>
    <w:rsid w:val="00DB35A4"/>
    <w:rsid w:val="00DB36A3"/>
    <w:rsid w:val="00DB379F"/>
    <w:rsid w:val="00DB37D7"/>
    <w:rsid w:val="00DB37DD"/>
    <w:rsid w:val="00DB38FF"/>
    <w:rsid w:val="00DB3912"/>
    <w:rsid w:val="00DB3984"/>
    <w:rsid w:val="00DB3A8D"/>
    <w:rsid w:val="00DB3AF7"/>
    <w:rsid w:val="00DB3CB7"/>
    <w:rsid w:val="00DB3D24"/>
    <w:rsid w:val="00DB3DB6"/>
    <w:rsid w:val="00DB3F89"/>
    <w:rsid w:val="00DB407D"/>
    <w:rsid w:val="00DB408D"/>
    <w:rsid w:val="00DB4095"/>
    <w:rsid w:val="00DB41D2"/>
    <w:rsid w:val="00DB421B"/>
    <w:rsid w:val="00DB439F"/>
    <w:rsid w:val="00DB43CD"/>
    <w:rsid w:val="00DB43F4"/>
    <w:rsid w:val="00DB442E"/>
    <w:rsid w:val="00DB4444"/>
    <w:rsid w:val="00DB461B"/>
    <w:rsid w:val="00DB46D6"/>
    <w:rsid w:val="00DB4760"/>
    <w:rsid w:val="00DB4780"/>
    <w:rsid w:val="00DB4842"/>
    <w:rsid w:val="00DB497F"/>
    <w:rsid w:val="00DB49C3"/>
    <w:rsid w:val="00DB4AB4"/>
    <w:rsid w:val="00DB4B92"/>
    <w:rsid w:val="00DB4B99"/>
    <w:rsid w:val="00DB4BB1"/>
    <w:rsid w:val="00DB4CAA"/>
    <w:rsid w:val="00DB4D50"/>
    <w:rsid w:val="00DB4E44"/>
    <w:rsid w:val="00DB506F"/>
    <w:rsid w:val="00DB512D"/>
    <w:rsid w:val="00DB519B"/>
    <w:rsid w:val="00DB51DF"/>
    <w:rsid w:val="00DB5284"/>
    <w:rsid w:val="00DB52C9"/>
    <w:rsid w:val="00DB534D"/>
    <w:rsid w:val="00DB5355"/>
    <w:rsid w:val="00DB544B"/>
    <w:rsid w:val="00DB546E"/>
    <w:rsid w:val="00DB5562"/>
    <w:rsid w:val="00DB57F1"/>
    <w:rsid w:val="00DB5909"/>
    <w:rsid w:val="00DB5932"/>
    <w:rsid w:val="00DB5C45"/>
    <w:rsid w:val="00DB5DD2"/>
    <w:rsid w:val="00DB5FB0"/>
    <w:rsid w:val="00DB610B"/>
    <w:rsid w:val="00DB627B"/>
    <w:rsid w:val="00DB62A0"/>
    <w:rsid w:val="00DB6429"/>
    <w:rsid w:val="00DB6503"/>
    <w:rsid w:val="00DB65BC"/>
    <w:rsid w:val="00DB66B3"/>
    <w:rsid w:val="00DB670D"/>
    <w:rsid w:val="00DB6788"/>
    <w:rsid w:val="00DB68F3"/>
    <w:rsid w:val="00DB6963"/>
    <w:rsid w:val="00DB6A01"/>
    <w:rsid w:val="00DB6AC6"/>
    <w:rsid w:val="00DB6DAA"/>
    <w:rsid w:val="00DB6E2E"/>
    <w:rsid w:val="00DB6EF6"/>
    <w:rsid w:val="00DB71AC"/>
    <w:rsid w:val="00DB71DE"/>
    <w:rsid w:val="00DB72F8"/>
    <w:rsid w:val="00DB73DF"/>
    <w:rsid w:val="00DB741E"/>
    <w:rsid w:val="00DB748A"/>
    <w:rsid w:val="00DB74A5"/>
    <w:rsid w:val="00DB754C"/>
    <w:rsid w:val="00DB7601"/>
    <w:rsid w:val="00DB768B"/>
    <w:rsid w:val="00DB77DF"/>
    <w:rsid w:val="00DB7887"/>
    <w:rsid w:val="00DB7976"/>
    <w:rsid w:val="00DB79EB"/>
    <w:rsid w:val="00DB7A41"/>
    <w:rsid w:val="00DB7B71"/>
    <w:rsid w:val="00DB7BEF"/>
    <w:rsid w:val="00DB7CF3"/>
    <w:rsid w:val="00DB7DC7"/>
    <w:rsid w:val="00DB7E21"/>
    <w:rsid w:val="00DB7F21"/>
    <w:rsid w:val="00DC0010"/>
    <w:rsid w:val="00DC00B0"/>
    <w:rsid w:val="00DC0134"/>
    <w:rsid w:val="00DC039D"/>
    <w:rsid w:val="00DC03C0"/>
    <w:rsid w:val="00DC0489"/>
    <w:rsid w:val="00DC05EB"/>
    <w:rsid w:val="00DC062F"/>
    <w:rsid w:val="00DC07E3"/>
    <w:rsid w:val="00DC08A7"/>
    <w:rsid w:val="00DC08F4"/>
    <w:rsid w:val="00DC09FD"/>
    <w:rsid w:val="00DC0A68"/>
    <w:rsid w:val="00DC0B67"/>
    <w:rsid w:val="00DC0C68"/>
    <w:rsid w:val="00DC0D34"/>
    <w:rsid w:val="00DC0DFC"/>
    <w:rsid w:val="00DC0E57"/>
    <w:rsid w:val="00DC0ED4"/>
    <w:rsid w:val="00DC0F6D"/>
    <w:rsid w:val="00DC0F9B"/>
    <w:rsid w:val="00DC0FFE"/>
    <w:rsid w:val="00DC1005"/>
    <w:rsid w:val="00DC1116"/>
    <w:rsid w:val="00DC1140"/>
    <w:rsid w:val="00DC1178"/>
    <w:rsid w:val="00DC1220"/>
    <w:rsid w:val="00DC1276"/>
    <w:rsid w:val="00DC12AF"/>
    <w:rsid w:val="00DC1361"/>
    <w:rsid w:val="00DC141C"/>
    <w:rsid w:val="00DC14DC"/>
    <w:rsid w:val="00DC154A"/>
    <w:rsid w:val="00DC156C"/>
    <w:rsid w:val="00DC15DF"/>
    <w:rsid w:val="00DC1639"/>
    <w:rsid w:val="00DC1712"/>
    <w:rsid w:val="00DC1889"/>
    <w:rsid w:val="00DC1A8E"/>
    <w:rsid w:val="00DC1B93"/>
    <w:rsid w:val="00DC1B95"/>
    <w:rsid w:val="00DC1C30"/>
    <w:rsid w:val="00DC1D30"/>
    <w:rsid w:val="00DC1D8F"/>
    <w:rsid w:val="00DC1DD9"/>
    <w:rsid w:val="00DC204D"/>
    <w:rsid w:val="00DC2177"/>
    <w:rsid w:val="00DC221A"/>
    <w:rsid w:val="00DC23C6"/>
    <w:rsid w:val="00DC2534"/>
    <w:rsid w:val="00DC2619"/>
    <w:rsid w:val="00DC27A2"/>
    <w:rsid w:val="00DC27B9"/>
    <w:rsid w:val="00DC29D4"/>
    <w:rsid w:val="00DC2B82"/>
    <w:rsid w:val="00DC2BD9"/>
    <w:rsid w:val="00DC2C28"/>
    <w:rsid w:val="00DC2C6C"/>
    <w:rsid w:val="00DC2F19"/>
    <w:rsid w:val="00DC311F"/>
    <w:rsid w:val="00DC3190"/>
    <w:rsid w:val="00DC32F0"/>
    <w:rsid w:val="00DC3309"/>
    <w:rsid w:val="00DC33F3"/>
    <w:rsid w:val="00DC3526"/>
    <w:rsid w:val="00DC35E2"/>
    <w:rsid w:val="00DC36D2"/>
    <w:rsid w:val="00DC3758"/>
    <w:rsid w:val="00DC375B"/>
    <w:rsid w:val="00DC3782"/>
    <w:rsid w:val="00DC3865"/>
    <w:rsid w:val="00DC388D"/>
    <w:rsid w:val="00DC38D8"/>
    <w:rsid w:val="00DC398A"/>
    <w:rsid w:val="00DC398E"/>
    <w:rsid w:val="00DC3C6C"/>
    <w:rsid w:val="00DC3D9B"/>
    <w:rsid w:val="00DC3DB8"/>
    <w:rsid w:val="00DC3E68"/>
    <w:rsid w:val="00DC3E77"/>
    <w:rsid w:val="00DC3F20"/>
    <w:rsid w:val="00DC3F53"/>
    <w:rsid w:val="00DC3F59"/>
    <w:rsid w:val="00DC42F7"/>
    <w:rsid w:val="00DC44EA"/>
    <w:rsid w:val="00DC4500"/>
    <w:rsid w:val="00DC450F"/>
    <w:rsid w:val="00DC45DC"/>
    <w:rsid w:val="00DC46FE"/>
    <w:rsid w:val="00DC4878"/>
    <w:rsid w:val="00DC4955"/>
    <w:rsid w:val="00DC4AD4"/>
    <w:rsid w:val="00DC4BF6"/>
    <w:rsid w:val="00DC4CFA"/>
    <w:rsid w:val="00DC4D3F"/>
    <w:rsid w:val="00DC4D7B"/>
    <w:rsid w:val="00DC4F14"/>
    <w:rsid w:val="00DC4F30"/>
    <w:rsid w:val="00DC4F3E"/>
    <w:rsid w:val="00DC4F7D"/>
    <w:rsid w:val="00DC50A7"/>
    <w:rsid w:val="00DC531F"/>
    <w:rsid w:val="00DC54A9"/>
    <w:rsid w:val="00DC5504"/>
    <w:rsid w:val="00DC5549"/>
    <w:rsid w:val="00DC571C"/>
    <w:rsid w:val="00DC5788"/>
    <w:rsid w:val="00DC58C5"/>
    <w:rsid w:val="00DC597A"/>
    <w:rsid w:val="00DC5AB4"/>
    <w:rsid w:val="00DC5AFF"/>
    <w:rsid w:val="00DC5C0B"/>
    <w:rsid w:val="00DC5E41"/>
    <w:rsid w:val="00DC5FD0"/>
    <w:rsid w:val="00DC607C"/>
    <w:rsid w:val="00DC60D4"/>
    <w:rsid w:val="00DC640E"/>
    <w:rsid w:val="00DC64F2"/>
    <w:rsid w:val="00DC656C"/>
    <w:rsid w:val="00DC6577"/>
    <w:rsid w:val="00DC6654"/>
    <w:rsid w:val="00DC66C9"/>
    <w:rsid w:val="00DC6781"/>
    <w:rsid w:val="00DC6961"/>
    <w:rsid w:val="00DC696A"/>
    <w:rsid w:val="00DC6AB9"/>
    <w:rsid w:val="00DC6B38"/>
    <w:rsid w:val="00DC6CC6"/>
    <w:rsid w:val="00DC6D42"/>
    <w:rsid w:val="00DC6DED"/>
    <w:rsid w:val="00DC6E1C"/>
    <w:rsid w:val="00DC6E8E"/>
    <w:rsid w:val="00DC6F16"/>
    <w:rsid w:val="00DC71A0"/>
    <w:rsid w:val="00DC72ED"/>
    <w:rsid w:val="00DC7364"/>
    <w:rsid w:val="00DC7474"/>
    <w:rsid w:val="00DC74B2"/>
    <w:rsid w:val="00DC76A3"/>
    <w:rsid w:val="00DC76BC"/>
    <w:rsid w:val="00DC7791"/>
    <w:rsid w:val="00DC77F6"/>
    <w:rsid w:val="00DC781A"/>
    <w:rsid w:val="00DC78DB"/>
    <w:rsid w:val="00DC792A"/>
    <w:rsid w:val="00DC7A52"/>
    <w:rsid w:val="00DC7C61"/>
    <w:rsid w:val="00DC7C67"/>
    <w:rsid w:val="00DC7E3B"/>
    <w:rsid w:val="00DC7FA5"/>
    <w:rsid w:val="00DD0031"/>
    <w:rsid w:val="00DD00AE"/>
    <w:rsid w:val="00DD00F5"/>
    <w:rsid w:val="00DD0140"/>
    <w:rsid w:val="00DD0219"/>
    <w:rsid w:val="00DD02AB"/>
    <w:rsid w:val="00DD040F"/>
    <w:rsid w:val="00DD054D"/>
    <w:rsid w:val="00DD05B6"/>
    <w:rsid w:val="00DD05FE"/>
    <w:rsid w:val="00DD0A29"/>
    <w:rsid w:val="00DD0B12"/>
    <w:rsid w:val="00DD0B52"/>
    <w:rsid w:val="00DD0D0C"/>
    <w:rsid w:val="00DD0F34"/>
    <w:rsid w:val="00DD0FE9"/>
    <w:rsid w:val="00DD10AB"/>
    <w:rsid w:val="00DD11F5"/>
    <w:rsid w:val="00DD13CF"/>
    <w:rsid w:val="00DD13F3"/>
    <w:rsid w:val="00DD1416"/>
    <w:rsid w:val="00DD1557"/>
    <w:rsid w:val="00DD16E5"/>
    <w:rsid w:val="00DD173C"/>
    <w:rsid w:val="00DD17C2"/>
    <w:rsid w:val="00DD17CC"/>
    <w:rsid w:val="00DD1802"/>
    <w:rsid w:val="00DD1873"/>
    <w:rsid w:val="00DD18E2"/>
    <w:rsid w:val="00DD194C"/>
    <w:rsid w:val="00DD1A1D"/>
    <w:rsid w:val="00DD1B85"/>
    <w:rsid w:val="00DD1EF6"/>
    <w:rsid w:val="00DD2021"/>
    <w:rsid w:val="00DD245E"/>
    <w:rsid w:val="00DD2482"/>
    <w:rsid w:val="00DD25BE"/>
    <w:rsid w:val="00DD25EB"/>
    <w:rsid w:val="00DD269F"/>
    <w:rsid w:val="00DD2712"/>
    <w:rsid w:val="00DD27CA"/>
    <w:rsid w:val="00DD2848"/>
    <w:rsid w:val="00DD28D7"/>
    <w:rsid w:val="00DD29D6"/>
    <w:rsid w:val="00DD2AAE"/>
    <w:rsid w:val="00DD2AC2"/>
    <w:rsid w:val="00DD2AEF"/>
    <w:rsid w:val="00DD2B58"/>
    <w:rsid w:val="00DD2B8E"/>
    <w:rsid w:val="00DD2BC8"/>
    <w:rsid w:val="00DD2BED"/>
    <w:rsid w:val="00DD2DE7"/>
    <w:rsid w:val="00DD2F60"/>
    <w:rsid w:val="00DD2F70"/>
    <w:rsid w:val="00DD3103"/>
    <w:rsid w:val="00DD31B8"/>
    <w:rsid w:val="00DD32EF"/>
    <w:rsid w:val="00DD3302"/>
    <w:rsid w:val="00DD3333"/>
    <w:rsid w:val="00DD36DE"/>
    <w:rsid w:val="00DD38AA"/>
    <w:rsid w:val="00DD3A78"/>
    <w:rsid w:val="00DD3B68"/>
    <w:rsid w:val="00DD3B8F"/>
    <w:rsid w:val="00DD3DD1"/>
    <w:rsid w:val="00DD3EE0"/>
    <w:rsid w:val="00DD3F41"/>
    <w:rsid w:val="00DD4073"/>
    <w:rsid w:val="00DD4305"/>
    <w:rsid w:val="00DD43D4"/>
    <w:rsid w:val="00DD44F1"/>
    <w:rsid w:val="00DD4562"/>
    <w:rsid w:val="00DD46CA"/>
    <w:rsid w:val="00DD4755"/>
    <w:rsid w:val="00DD4ACD"/>
    <w:rsid w:val="00DD4BA7"/>
    <w:rsid w:val="00DD4BCB"/>
    <w:rsid w:val="00DD4CEA"/>
    <w:rsid w:val="00DD4D29"/>
    <w:rsid w:val="00DD4E3C"/>
    <w:rsid w:val="00DD4E6A"/>
    <w:rsid w:val="00DD4EBB"/>
    <w:rsid w:val="00DD4ED4"/>
    <w:rsid w:val="00DD52F1"/>
    <w:rsid w:val="00DD5339"/>
    <w:rsid w:val="00DD5361"/>
    <w:rsid w:val="00DD56C3"/>
    <w:rsid w:val="00DD5743"/>
    <w:rsid w:val="00DD5760"/>
    <w:rsid w:val="00DD57F2"/>
    <w:rsid w:val="00DD5934"/>
    <w:rsid w:val="00DD5ABF"/>
    <w:rsid w:val="00DD5BA9"/>
    <w:rsid w:val="00DD5C02"/>
    <w:rsid w:val="00DD5D81"/>
    <w:rsid w:val="00DD5F5F"/>
    <w:rsid w:val="00DD5F99"/>
    <w:rsid w:val="00DD6295"/>
    <w:rsid w:val="00DD631B"/>
    <w:rsid w:val="00DD6343"/>
    <w:rsid w:val="00DD6346"/>
    <w:rsid w:val="00DD63EF"/>
    <w:rsid w:val="00DD655F"/>
    <w:rsid w:val="00DD6618"/>
    <w:rsid w:val="00DD6626"/>
    <w:rsid w:val="00DD666E"/>
    <w:rsid w:val="00DD6851"/>
    <w:rsid w:val="00DD689D"/>
    <w:rsid w:val="00DD6905"/>
    <w:rsid w:val="00DD69BF"/>
    <w:rsid w:val="00DD6BAF"/>
    <w:rsid w:val="00DD6C65"/>
    <w:rsid w:val="00DD6D47"/>
    <w:rsid w:val="00DD6D80"/>
    <w:rsid w:val="00DD6E69"/>
    <w:rsid w:val="00DD6EB1"/>
    <w:rsid w:val="00DD6F4A"/>
    <w:rsid w:val="00DD6F6E"/>
    <w:rsid w:val="00DD709D"/>
    <w:rsid w:val="00DD7243"/>
    <w:rsid w:val="00DD74A0"/>
    <w:rsid w:val="00DD74FF"/>
    <w:rsid w:val="00DD75B4"/>
    <w:rsid w:val="00DD76AD"/>
    <w:rsid w:val="00DD76EB"/>
    <w:rsid w:val="00DD7A2C"/>
    <w:rsid w:val="00DD7A3F"/>
    <w:rsid w:val="00DD7DC8"/>
    <w:rsid w:val="00DD7E9E"/>
    <w:rsid w:val="00DD7F6E"/>
    <w:rsid w:val="00DD7FBB"/>
    <w:rsid w:val="00DE0151"/>
    <w:rsid w:val="00DE02FF"/>
    <w:rsid w:val="00DE0308"/>
    <w:rsid w:val="00DE0487"/>
    <w:rsid w:val="00DE04B6"/>
    <w:rsid w:val="00DE0597"/>
    <w:rsid w:val="00DE0704"/>
    <w:rsid w:val="00DE0756"/>
    <w:rsid w:val="00DE096D"/>
    <w:rsid w:val="00DE0B4A"/>
    <w:rsid w:val="00DE0D4F"/>
    <w:rsid w:val="00DE1173"/>
    <w:rsid w:val="00DE11C0"/>
    <w:rsid w:val="00DE1236"/>
    <w:rsid w:val="00DE1246"/>
    <w:rsid w:val="00DE132A"/>
    <w:rsid w:val="00DE1337"/>
    <w:rsid w:val="00DE143D"/>
    <w:rsid w:val="00DE14CD"/>
    <w:rsid w:val="00DE1619"/>
    <w:rsid w:val="00DE16C2"/>
    <w:rsid w:val="00DE17BD"/>
    <w:rsid w:val="00DE18BE"/>
    <w:rsid w:val="00DE18D8"/>
    <w:rsid w:val="00DE1C01"/>
    <w:rsid w:val="00DE1CCC"/>
    <w:rsid w:val="00DE1DEB"/>
    <w:rsid w:val="00DE1DF8"/>
    <w:rsid w:val="00DE2040"/>
    <w:rsid w:val="00DE2283"/>
    <w:rsid w:val="00DE2561"/>
    <w:rsid w:val="00DE259B"/>
    <w:rsid w:val="00DE260A"/>
    <w:rsid w:val="00DE2622"/>
    <w:rsid w:val="00DE2902"/>
    <w:rsid w:val="00DE296E"/>
    <w:rsid w:val="00DE29DC"/>
    <w:rsid w:val="00DE2B9A"/>
    <w:rsid w:val="00DE2BEA"/>
    <w:rsid w:val="00DE2C5A"/>
    <w:rsid w:val="00DE2E4F"/>
    <w:rsid w:val="00DE2EFF"/>
    <w:rsid w:val="00DE303B"/>
    <w:rsid w:val="00DE3171"/>
    <w:rsid w:val="00DE32A6"/>
    <w:rsid w:val="00DE3527"/>
    <w:rsid w:val="00DE3563"/>
    <w:rsid w:val="00DE35E6"/>
    <w:rsid w:val="00DE36C9"/>
    <w:rsid w:val="00DE37A6"/>
    <w:rsid w:val="00DE37F2"/>
    <w:rsid w:val="00DE38D0"/>
    <w:rsid w:val="00DE39C9"/>
    <w:rsid w:val="00DE3B12"/>
    <w:rsid w:val="00DE3B64"/>
    <w:rsid w:val="00DE3B7E"/>
    <w:rsid w:val="00DE3CDC"/>
    <w:rsid w:val="00DE3E6E"/>
    <w:rsid w:val="00DE4019"/>
    <w:rsid w:val="00DE41B8"/>
    <w:rsid w:val="00DE41D2"/>
    <w:rsid w:val="00DE41D3"/>
    <w:rsid w:val="00DE4239"/>
    <w:rsid w:val="00DE42C4"/>
    <w:rsid w:val="00DE43E1"/>
    <w:rsid w:val="00DE4578"/>
    <w:rsid w:val="00DE46D9"/>
    <w:rsid w:val="00DE46FD"/>
    <w:rsid w:val="00DE497A"/>
    <w:rsid w:val="00DE499B"/>
    <w:rsid w:val="00DE49BA"/>
    <w:rsid w:val="00DE4ADC"/>
    <w:rsid w:val="00DE4E12"/>
    <w:rsid w:val="00DE4F92"/>
    <w:rsid w:val="00DE50AA"/>
    <w:rsid w:val="00DE5182"/>
    <w:rsid w:val="00DE523A"/>
    <w:rsid w:val="00DE53C0"/>
    <w:rsid w:val="00DE53E9"/>
    <w:rsid w:val="00DE5488"/>
    <w:rsid w:val="00DE594C"/>
    <w:rsid w:val="00DE595A"/>
    <w:rsid w:val="00DE5A5D"/>
    <w:rsid w:val="00DE5AF3"/>
    <w:rsid w:val="00DE5B2E"/>
    <w:rsid w:val="00DE5BF2"/>
    <w:rsid w:val="00DE5C3B"/>
    <w:rsid w:val="00DE5C82"/>
    <w:rsid w:val="00DE5CE5"/>
    <w:rsid w:val="00DE5DC2"/>
    <w:rsid w:val="00DE5E48"/>
    <w:rsid w:val="00DE5F00"/>
    <w:rsid w:val="00DE6098"/>
    <w:rsid w:val="00DE6229"/>
    <w:rsid w:val="00DE640D"/>
    <w:rsid w:val="00DE6423"/>
    <w:rsid w:val="00DE65DF"/>
    <w:rsid w:val="00DE65EF"/>
    <w:rsid w:val="00DE681F"/>
    <w:rsid w:val="00DE6894"/>
    <w:rsid w:val="00DE698D"/>
    <w:rsid w:val="00DE6ABE"/>
    <w:rsid w:val="00DE6B6C"/>
    <w:rsid w:val="00DE6CEC"/>
    <w:rsid w:val="00DE6F78"/>
    <w:rsid w:val="00DE7028"/>
    <w:rsid w:val="00DE7163"/>
    <w:rsid w:val="00DE71A2"/>
    <w:rsid w:val="00DE72E4"/>
    <w:rsid w:val="00DE74AC"/>
    <w:rsid w:val="00DE7643"/>
    <w:rsid w:val="00DE76A6"/>
    <w:rsid w:val="00DE7702"/>
    <w:rsid w:val="00DE78DA"/>
    <w:rsid w:val="00DE7C7A"/>
    <w:rsid w:val="00DE7DDB"/>
    <w:rsid w:val="00DE7F60"/>
    <w:rsid w:val="00DF002E"/>
    <w:rsid w:val="00DF0125"/>
    <w:rsid w:val="00DF0164"/>
    <w:rsid w:val="00DF0350"/>
    <w:rsid w:val="00DF03B2"/>
    <w:rsid w:val="00DF074E"/>
    <w:rsid w:val="00DF076F"/>
    <w:rsid w:val="00DF07DF"/>
    <w:rsid w:val="00DF0832"/>
    <w:rsid w:val="00DF0876"/>
    <w:rsid w:val="00DF087E"/>
    <w:rsid w:val="00DF088A"/>
    <w:rsid w:val="00DF089C"/>
    <w:rsid w:val="00DF0974"/>
    <w:rsid w:val="00DF0989"/>
    <w:rsid w:val="00DF0A2C"/>
    <w:rsid w:val="00DF0A7C"/>
    <w:rsid w:val="00DF0C8A"/>
    <w:rsid w:val="00DF0C9A"/>
    <w:rsid w:val="00DF0D09"/>
    <w:rsid w:val="00DF0D8B"/>
    <w:rsid w:val="00DF0DAA"/>
    <w:rsid w:val="00DF0E3A"/>
    <w:rsid w:val="00DF0FB2"/>
    <w:rsid w:val="00DF0FC0"/>
    <w:rsid w:val="00DF1069"/>
    <w:rsid w:val="00DF12F3"/>
    <w:rsid w:val="00DF131B"/>
    <w:rsid w:val="00DF1564"/>
    <w:rsid w:val="00DF17CB"/>
    <w:rsid w:val="00DF183F"/>
    <w:rsid w:val="00DF18BA"/>
    <w:rsid w:val="00DF1ACA"/>
    <w:rsid w:val="00DF1B07"/>
    <w:rsid w:val="00DF1C43"/>
    <w:rsid w:val="00DF1D3E"/>
    <w:rsid w:val="00DF1D62"/>
    <w:rsid w:val="00DF1E09"/>
    <w:rsid w:val="00DF20AC"/>
    <w:rsid w:val="00DF2211"/>
    <w:rsid w:val="00DF228C"/>
    <w:rsid w:val="00DF22D5"/>
    <w:rsid w:val="00DF22E3"/>
    <w:rsid w:val="00DF2339"/>
    <w:rsid w:val="00DF247E"/>
    <w:rsid w:val="00DF25BE"/>
    <w:rsid w:val="00DF25F7"/>
    <w:rsid w:val="00DF260C"/>
    <w:rsid w:val="00DF261E"/>
    <w:rsid w:val="00DF2715"/>
    <w:rsid w:val="00DF272B"/>
    <w:rsid w:val="00DF2731"/>
    <w:rsid w:val="00DF2765"/>
    <w:rsid w:val="00DF2923"/>
    <w:rsid w:val="00DF2953"/>
    <w:rsid w:val="00DF2B9A"/>
    <w:rsid w:val="00DF2C14"/>
    <w:rsid w:val="00DF2CD6"/>
    <w:rsid w:val="00DF2F0D"/>
    <w:rsid w:val="00DF2F2F"/>
    <w:rsid w:val="00DF2FB3"/>
    <w:rsid w:val="00DF310E"/>
    <w:rsid w:val="00DF3125"/>
    <w:rsid w:val="00DF31A5"/>
    <w:rsid w:val="00DF3329"/>
    <w:rsid w:val="00DF35DB"/>
    <w:rsid w:val="00DF35E2"/>
    <w:rsid w:val="00DF369C"/>
    <w:rsid w:val="00DF37AE"/>
    <w:rsid w:val="00DF37F5"/>
    <w:rsid w:val="00DF3884"/>
    <w:rsid w:val="00DF3C94"/>
    <w:rsid w:val="00DF3D15"/>
    <w:rsid w:val="00DF3E79"/>
    <w:rsid w:val="00DF3F81"/>
    <w:rsid w:val="00DF3F8E"/>
    <w:rsid w:val="00DF3FE9"/>
    <w:rsid w:val="00DF4169"/>
    <w:rsid w:val="00DF42BF"/>
    <w:rsid w:val="00DF43B6"/>
    <w:rsid w:val="00DF44B5"/>
    <w:rsid w:val="00DF453B"/>
    <w:rsid w:val="00DF4579"/>
    <w:rsid w:val="00DF467E"/>
    <w:rsid w:val="00DF47E3"/>
    <w:rsid w:val="00DF4923"/>
    <w:rsid w:val="00DF4966"/>
    <w:rsid w:val="00DF4A4D"/>
    <w:rsid w:val="00DF4C5A"/>
    <w:rsid w:val="00DF4C6A"/>
    <w:rsid w:val="00DF4DDB"/>
    <w:rsid w:val="00DF4EC1"/>
    <w:rsid w:val="00DF4F6F"/>
    <w:rsid w:val="00DF4F8B"/>
    <w:rsid w:val="00DF4FCB"/>
    <w:rsid w:val="00DF5015"/>
    <w:rsid w:val="00DF5070"/>
    <w:rsid w:val="00DF51D6"/>
    <w:rsid w:val="00DF5270"/>
    <w:rsid w:val="00DF5390"/>
    <w:rsid w:val="00DF573A"/>
    <w:rsid w:val="00DF5740"/>
    <w:rsid w:val="00DF57E6"/>
    <w:rsid w:val="00DF5874"/>
    <w:rsid w:val="00DF58CB"/>
    <w:rsid w:val="00DF5A73"/>
    <w:rsid w:val="00DF5AB5"/>
    <w:rsid w:val="00DF5ABA"/>
    <w:rsid w:val="00DF5B4C"/>
    <w:rsid w:val="00DF5C03"/>
    <w:rsid w:val="00DF5C12"/>
    <w:rsid w:val="00DF5E62"/>
    <w:rsid w:val="00DF5E6D"/>
    <w:rsid w:val="00DF5F0A"/>
    <w:rsid w:val="00DF5FA3"/>
    <w:rsid w:val="00DF6078"/>
    <w:rsid w:val="00DF6109"/>
    <w:rsid w:val="00DF6118"/>
    <w:rsid w:val="00DF63B4"/>
    <w:rsid w:val="00DF6489"/>
    <w:rsid w:val="00DF6864"/>
    <w:rsid w:val="00DF68F7"/>
    <w:rsid w:val="00DF69F7"/>
    <w:rsid w:val="00DF6AA8"/>
    <w:rsid w:val="00DF6D54"/>
    <w:rsid w:val="00DF6E90"/>
    <w:rsid w:val="00DF70E3"/>
    <w:rsid w:val="00DF71BB"/>
    <w:rsid w:val="00DF7228"/>
    <w:rsid w:val="00DF7236"/>
    <w:rsid w:val="00DF7260"/>
    <w:rsid w:val="00DF7344"/>
    <w:rsid w:val="00DF752C"/>
    <w:rsid w:val="00DF757E"/>
    <w:rsid w:val="00DF7672"/>
    <w:rsid w:val="00DF779B"/>
    <w:rsid w:val="00DF780A"/>
    <w:rsid w:val="00DF7875"/>
    <w:rsid w:val="00DF789C"/>
    <w:rsid w:val="00DF7922"/>
    <w:rsid w:val="00DF797D"/>
    <w:rsid w:val="00DF79B7"/>
    <w:rsid w:val="00DF7A24"/>
    <w:rsid w:val="00DF7A7A"/>
    <w:rsid w:val="00DF7B4C"/>
    <w:rsid w:val="00DF7C28"/>
    <w:rsid w:val="00DF7C5D"/>
    <w:rsid w:val="00DF7CE9"/>
    <w:rsid w:val="00DF7DE4"/>
    <w:rsid w:val="00E00075"/>
    <w:rsid w:val="00E0018E"/>
    <w:rsid w:val="00E00233"/>
    <w:rsid w:val="00E00447"/>
    <w:rsid w:val="00E00463"/>
    <w:rsid w:val="00E004C2"/>
    <w:rsid w:val="00E00590"/>
    <w:rsid w:val="00E0071C"/>
    <w:rsid w:val="00E007A7"/>
    <w:rsid w:val="00E00809"/>
    <w:rsid w:val="00E00922"/>
    <w:rsid w:val="00E00A17"/>
    <w:rsid w:val="00E00A92"/>
    <w:rsid w:val="00E00AAD"/>
    <w:rsid w:val="00E00D57"/>
    <w:rsid w:val="00E00E44"/>
    <w:rsid w:val="00E00ED3"/>
    <w:rsid w:val="00E00FCC"/>
    <w:rsid w:val="00E01161"/>
    <w:rsid w:val="00E01254"/>
    <w:rsid w:val="00E01280"/>
    <w:rsid w:val="00E0133C"/>
    <w:rsid w:val="00E013E3"/>
    <w:rsid w:val="00E014B8"/>
    <w:rsid w:val="00E016B4"/>
    <w:rsid w:val="00E01821"/>
    <w:rsid w:val="00E018EB"/>
    <w:rsid w:val="00E01928"/>
    <w:rsid w:val="00E01A57"/>
    <w:rsid w:val="00E01E6F"/>
    <w:rsid w:val="00E02060"/>
    <w:rsid w:val="00E02194"/>
    <w:rsid w:val="00E024C5"/>
    <w:rsid w:val="00E02511"/>
    <w:rsid w:val="00E026AE"/>
    <w:rsid w:val="00E027F7"/>
    <w:rsid w:val="00E028D7"/>
    <w:rsid w:val="00E02AEC"/>
    <w:rsid w:val="00E02BBB"/>
    <w:rsid w:val="00E02C72"/>
    <w:rsid w:val="00E02D50"/>
    <w:rsid w:val="00E02DF0"/>
    <w:rsid w:val="00E02E5D"/>
    <w:rsid w:val="00E02FA7"/>
    <w:rsid w:val="00E02FA8"/>
    <w:rsid w:val="00E02FB6"/>
    <w:rsid w:val="00E030CA"/>
    <w:rsid w:val="00E030FF"/>
    <w:rsid w:val="00E03138"/>
    <w:rsid w:val="00E03155"/>
    <w:rsid w:val="00E031A2"/>
    <w:rsid w:val="00E031DE"/>
    <w:rsid w:val="00E03296"/>
    <w:rsid w:val="00E032A3"/>
    <w:rsid w:val="00E032CA"/>
    <w:rsid w:val="00E03432"/>
    <w:rsid w:val="00E03669"/>
    <w:rsid w:val="00E03680"/>
    <w:rsid w:val="00E03719"/>
    <w:rsid w:val="00E03776"/>
    <w:rsid w:val="00E0382B"/>
    <w:rsid w:val="00E03908"/>
    <w:rsid w:val="00E03DA9"/>
    <w:rsid w:val="00E03E4C"/>
    <w:rsid w:val="00E03F95"/>
    <w:rsid w:val="00E03FDA"/>
    <w:rsid w:val="00E04067"/>
    <w:rsid w:val="00E040EB"/>
    <w:rsid w:val="00E042B3"/>
    <w:rsid w:val="00E043BB"/>
    <w:rsid w:val="00E04507"/>
    <w:rsid w:val="00E04518"/>
    <w:rsid w:val="00E04588"/>
    <w:rsid w:val="00E04628"/>
    <w:rsid w:val="00E0462C"/>
    <w:rsid w:val="00E0466F"/>
    <w:rsid w:val="00E04781"/>
    <w:rsid w:val="00E047B7"/>
    <w:rsid w:val="00E0486D"/>
    <w:rsid w:val="00E048A9"/>
    <w:rsid w:val="00E048FA"/>
    <w:rsid w:val="00E04975"/>
    <w:rsid w:val="00E04992"/>
    <w:rsid w:val="00E04A53"/>
    <w:rsid w:val="00E04AB9"/>
    <w:rsid w:val="00E04AF5"/>
    <w:rsid w:val="00E04C1E"/>
    <w:rsid w:val="00E04CB9"/>
    <w:rsid w:val="00E04EE1"/>
    <w:rsid w:val="00E05029"/>
    <w:rsid w:val="00E05097"/>
    <w:rsid w:val="00E0515A"/>
    <w:rsid w:val="00E051EC"/>
    <w:rsid w:val="00E05232"/>
    <w:rsid w:val="00E05570"/>
    <w:rsid w:val="00E055F2"/>
    <w:rsid w:val="00E05644"/>
    <w:rsid w:val="00E056E7"/>
    <w:rsid w:val="00E0575B"/>
    <w:rsid w:val="00E0577E"/>
    <w:rsid w:val="00E057EA"/>
    <w:rsid w:val="00E0585F"/>
    <w:rsid w:val="00E058DA"/>
    <w:rsid w:val="00E059CE"/>
    <w:rsid w:val="00E05ACB"/>
    <w:rsid w:val="00E05AF4"/>
    <w:rsid w:val="00E05BEF"/>
    <w:rsid w:val="00E05CD8"/>
    <w:rsid w:val="00E05F23"/>
    <w:rsid w:val="00E06002"/>
    <w:rsid w:val="00E06067"/>
    <w:rsid w:val="00E0631B"/>
    <w:rsid w:val="00E06401"/>
    <w:rsid w:val="00E064AB"/>
    <w:rsid w:val="00E06688"/>
    <w:rsid w:val="00E0690D"/>
    <w:rsid w:val="00E069C8"/>
    <w:rsid w:val="00E06AA4"/>
    <w:rsid w:val="00E06B0D"/>
    <w:rsid w:val="00E06B39"/>
    <w:rsid w:val="00E06B97"/>
    <w:rsid w:val="00E06E0A"/>
    <w:rsid w:val="00E06E2E"/>
    <w:rsid w:val="00E07082"/>
    <w:rsid w:val="00E070DC"/>
    <w:rsid w:val="00E075B1"/>
    <w:rsid w:val="00E075D5"/>
    <w:rsid w:val="00E07685"/>
    <w:rsid w:val="00E07786"/>
    <w:rsid w:val="00E07930"/>
    <w:rsid w:val="00E07A4F"/>
    <w:rsid w:val="00E07B6B"/>
    <w:rsid w:val="00E07BCB"/>
    <w:rsid w:val="00E07D38"/>
    <w:rsid w:val="00E07DA9"/>
    <w:rsid w:val="00E07E2D"/>
    <w:rsid w:val="00E07E91"/>
    <w:rsid w:val="00E07EC3"/>
    <w:rsid w:val="00E07EFC"/>
    <w:rsid w:val="00E07F5F"/>
    <w:rsid w:val="00E07F99"/>
    <w:rsid w:val="00E1008F"/>
    <w:rsid w:val="00E1011C"/>
    <w:rsid w:val="00E106EF"/>
    <w:rsid w:val="00E107C3"/>
    <w:rsid w:val="00E10B48"/>
    <w:rsid w:val="00E10C66"/>
    <w:rsid w:val="00E10C85"/>
    <w:rsid w:val="00E10CA9"/>
    <w:rsid w:val="00E10D4C"/>
    <w:rsid w:val="00E10D62"/>
    <w:rsid w:val="00E10EA5"/>
    <w:rsid w:val="00E10F49"/>
    <w:rsid w:val="00E110C3"/>
    <w:rsid w:val="00E1113B"/>
    <w:rsid w:val="00E11277"/>
    <w:rsid w:val="00E11473"/>
    <w:rsid w:val="00E11491"/>
    <w:rsid w:val="00E11515"/>
    <w:rsid w:val="00E115A6"/>
    <w:rsid w:val="00E11679"/>
    <w:rsid w:val="00E116ED"/>
    <w:rsid w:val="00E1180E"/>
    <w:rsid w:val="00E11944"/>
    <w:rsid w:val="00E119CA"/>
    <w:rsid w:val="00E11A1F"/>
    <w:rsid w:val="00E11C7B"/>
    <w:rsid w:val="00E11E45"/>
    <w:rsid w:val="00E11F5F"/>
    <w:rsid w:val="00E121B7"/>
    <w:rsid w:val="00E122E3"/>
    <w:rsid w:val="00E1230C"/>
    <w:rsid w:val="00E12325"/>
    <w:rsid w:val="00E124A9"/>
    <w:rsid w:val="00E12581"/>
    <w:rsid w:val="00E126D4"/>
    <w:rsid w:val="00E1282A"/>
    <w:rsid w:val="00E12847"/>
    <w:rsid w:val="00E12864"/>
    <w:rsid w:val="00E128AF"/>
    <w:rsid w:val="00E12978"/>
    <w:rsid w:val="00E129DA"/>
    <w:rsid w:val="00E12AA8"/>
    <w:rsid w:val="00E12AD7"/>
    <w:rsid w:val="00E12B3B"/>
    <w:rsid w:val="00E12B86"/>
    <w:rsid w:val="00E12BE2"/>
    <w:rsid w:val="00E12C9F"/>
    <w:rsid w:val="00E12CCE"/>
    <w:rsid w:val="00E12CF6"/>
    <w:rsid w:val="00E12E91"/>
    <w:rsid w:val="00E13202"/>
    <w:rsid w:val="00E133B1"/>
    <w:rsid w:val="00E133BA"/>
    <w:rsid w:val="00E13487"/>
    <w:rsid w:val="00E136C0"/>
    <w:rsid w:val="00E136DE"/>
    <w:rsid w:val="00E13748"/>
    <w:rsid w:val="00E13783"/>
    <w:rsid w:val="00E13788"/>
    <w:rsid w:val="00E137E0"/>
    <w:rsid w:val="00E137F3"/>
    <w:rsid w:val="00E1383A"/>
    <w:rsid w:val="00E13918"/>
    <w:rsid w:val="00E13931"/>
    <w:rsid w:val="00E13B13"/>
    <w:rsid w:val="00E13E10"/>
    <w:rsid w:val="00E13E3B"/>
    <w:rsid w:val="00E13EFD"/>
    <w:rsid w:val="00E14075"/>
    <w:rsid w:val="00E140FA"/>
    <w:rsid w:val="00E1450E"/>
    <w:rsid w:val="00E14781"/>
    <w:rsid w:val="00E147CF"/>
    <w:rsid w:val="00E1482B"/>
    <w:rsid w:val="00E14857"/>
    <w:rsid w:val="00E1495B"/>
    <w:rsid w:val="00E14C63"/>
    <w:rsid w:val="00E14CA9"/>
    <w:rsid w:val="00E14D32"/>
    <w:rsid w:val="00E14F8A"/>
    <w:rsid w:val="00E14FDD"/>
    <w:rsid w:val="00E1518C"/>
    <w:rsid w:val="00E15348"/>
    <w:rsid w:val="00E153B1"/>
    <w:rsid w:val="00E1549B"/>
    <w:rsid w:val="00E155D9"/>
    <w:rsid w:val="00E155DB"/>
    <w:rsid w:val="00E155E3"/>
    <w:rsid w:val="00E155E9"/>
    <w:rsid w:val="00E15653"/>
    <w:rsid w:val="00E1567E"/>
    <w:rsid w:val="00E156B9"/>
    <w:rsid w:val="00E15740"/>
    <w:rsid w:val="00E157CA"/>
    <w:rsid w:val="00E1581D"/>
    <w:rsid w:val="00E15835"/>
    <w:rsid w:val="00E15892"/>
    <w:rsid w:val="00E15A0C"/>
    <w:rsid w:val="00E15B73"/>
    <w:rsid w:val="00E15DBA"/>
    <w:rsid w:val="00E160A2"/>
    <w:rsid w:val="00E160EA"/>
    <w:rsid w:val="00E16185"/>
    <w:rsid w:val="00E16256"/>
    <w:rsid w:val="00E162B1"/>
    <w:rsid w:val="00E1631E"/>
    <w:rsid w:val="00E163D7"/>
    <w:rsid w:val="00E163FE"/>
    <w:rsid w:val="00E164EE"/>
    <w:rsid w:val="00E166D7"/>
    <w:rsid w:val="00E166F4"/>
    <w:rsid w:val="00E1678C"/>
    <w:rsid w:val="00E16846"/>
    <w:rsid w:val="00E16911"/>
    <w:rsid w:val="00E169B4"/>
    <w:rsid w:val="00E16A5D"/>
    <w:rsid w:val="00E16A9A"/>
    <w:rsid w:val="00E16B59"/>
    <w:rsid w:val="00E16B87"/>
    <w:rsid w:val="00E16B8E"/>
    <w:rsid w:val="00E16BF1"/>
    <w:rsid w:val="00E16E1A"/>
    <w:rsid w:val="00E16ED3"/>
    <w:rsid w:val="00E1701F"/>
    <w:rsid w:val="00E17100"/>
    <w:rsid w:val="00E17176"/>
    <w:rsid w:val="00E17192"/>
    <w:rsid w:val="00E17540"/>
    <w:rsid w:val="00E1755A"/>
    <w:rsid w:val="00E17591"/>
    <w:rsid w:val="00E17684"/>
    <w:rsid w:val="00E17736"/>
    <w:rsid w:val="00E177D8"/>
    <w:rsid w:val="00E178D1"/>
    <w:rsid w:val="00E179FC"/>
    <w:rsid w:val="00E17AA5"/>
    <w:rsid w:val="00E17B69"/>
    <w:rsid w:val="00E17C39"/>
    <w:rsid w:val="00E17C3A"/>
    <w:rsid w:val="00E17CC6"/>
    <w:rsid w:val="00E17DD9"/>
    <w:rsid w:val="00E17EED"/>
    <w:rsid w:val="00E17F10"/>
    <w:rsid w:val="00E2002E"/>
    <w:rsid w:val="00E200B8"/>
    <w:rsid w:val="00E200D6"/>
    <w:rsid w:val="00E2019F"/>
    <w:rsid w:val="00E2025D"/>
    <w:rsid w:val="00E20263"/>
    <w:rsid w:val="00E2027C"/>
    <w:rsid w:val="00E20336"/>
    <w:rsid w:val="00E20464"/>
    <w:rsid w:val="00E20515"/>
    <w:rsid w:val="00E205BC"/>
    <w:rsid w:val="00E20739"/>
    <w:rsid w:val="00E207A2"/>
    <w:rsid w:val="00E207A3"/>
    <w:rsid w:val="00E207B7"/>
    <w:rsid w:val="00E208B2"/>
    <w:rsid w:val="00E20A1B"/>
    <w:rsid w:val="00E20B28"/>
    <w:rsid w:val="00E20CBA"/>
    <w:rsid w:val="00E20D3F"/>
    <w:rsid w:val="00E20D98"/>
    <w:rsid w:val="00E20DE2"/>
    <w:rsid w:val="00E20F46"/>
    <w:rsid w:val="00E2107F"/>
    <w:rsid w:val="00E21103"/>
    <w:rsid w:val="00E21117"/>
    <w:rsid w:val="00E211A2"/>
    <w:rsid w:val="00E21219"/>
    <w:rsid w:val="00E2127D"/>
    <w:rsid w:val="00E213D8"/>
    <w:rsid w:val="00E213F3"/>
    <w:rsid w:val="00E21463"/>
    <w:rsid w:val="00E2152C"/>
    <w:rsid w:val="00E2163C"/>
    <w:rsid w:val="00E2199F"/>
    <w:rsid w:val="00E219F5"/>
    <w:rsid w:val="00E21A42"/>
    <w:rsid w:val="00E21DA2"/>
    <w:rsid w:val="00E21DF0"/>
    <w:rsid w:val="00E21E09"/>
    <w:rsid w:val="00E21F3B"/>
    <w:rsid w:val="00E22001"/>
    <w:rsid w:val="00E2205A"/>
    <w:rsid w:val="00E2207D"/>
    <w:rsid w:val="00E22114"/>
    <w:rsid w:val="00E2216C"/>
    <w:rsid w:val="00E2226B"/>
    <w:rsid w:val="00E2230E"/>
    <w:rsid w:val="00E22398"/>
    <w:rsid w:val="00E22446"/>
    <w:rsid w:val="00E224C1"/>
    <w:rsid w:val="00E2262E"/>
    <w:rsid w:val="00E2271E"/>
    <w:rsid w:val="00E2273E"/>
    <w:rsid w:val="00E22773"/>
    <w:rsid w:val="00E227A3"/>
    <w:rsid w:val="00E228AE"/>
    <w:rsid w:val="00E22A3C"/>
    <w:rsid w:val="00E22A7E"/>
    <w:rsid w:val="00E22A97"/>
    <w:rsid w:val="00E22ADD"/>
    <w:rsid w:val="00E22C74"/>
    <w:rsid w:val="00E22CB6"/>
    <w:rsid w:val="00E22CF2"/>
    <w:rsid w:val="00E22D17"/>
    <w:rsid w:val="00E22D9E"/>
    <w:rsid w:val="00E22F14"/>
    <w:rsid w:val="00E230A3"/>
    <w:rsid w:val="00E2319D"/>
    <w:rsid w:val="00E234DC"/>
    <w:rsid w:val="00E234E9"/>
    <w:rsid w:val="00E2360A"/>
    <w:rsid w:val="00E23648"/>
    <w:rsid w:val="00E238B1"/>
    <w:rsid w:val="00E23989"/>
    <w:rsid w:val="00E23D12"/>
    <w:rsid w:val="00E23D7B"/>
    <w:rsid w:val="00E23DEE"/>
    <w:rsid w:val="00E23DEF"/>
    <w:rsid w:val="00E2411A"/>
    <w:rsid w:val="00E24142"/>
    <w:rsid w:val="00E24333"/>
    <w:rsid w:val="00E24393"/>
    <w:rsid w:val="00E24488"/>
    <w:rsid w:val="00E244CF"/>
    <w:rsid w:val="00E24559"/>
    <w:rsid w:val="00E24679"/>
    <w:rsid w:val="00E246CA"/>
    <w:rsid w:val="00E246E5"/>
    <w:rsid w:val="00E247B9"/>
    <w:rsid w:val="00E24806"/>
    <w:rsid w:val="00E249F0"/>
    <w:rsid w:val="00E24A0F"/>
    <w:rsid w:val="00E24B07"/>
    <w:rsid w:val="00E24BF6"/>
    <w:rsid w:val="00E24C1C"/>
    <w:rsid w:val="00E24DBB"/>
    <w:rsid w:val="00E24DBF"/>
    <w:rsid w:val="00E24E50"/>
    <w:rsid w:val="00E24E56"/>
    <w:rsid w:val="00E24F6D"/>
    <w:rsid w:val="00E2501C"/>
    <w:rsid w:val="00E250CD"/>
    <w:rsid w:val="00E252AF"/>
    <w:rsid w:val="00E252C0"/>
    <w:rsid w:val="00E253CE"/>
    <w:rsid w:val="00E254FA"/>
    <w:rsid w:val="00E25598"/>
    <w:rsid w:val="00E255E3"/>
    <w:rsid w:val="00E255F1"/>
    <w:rsid w:val="00E256D6"/>
    <w:rsid w:val="00E25765"/>
    <w:rsid w:val="00E2597A"/>
    <w:rsid w:val="00E259DC"/>
    <w:rsid w:val="00E259E2"/>
    <w:rsid w:val="00E25CC5"/>
    <w:rsid w:val="00E25D39"/>
    <w:rsid w:val="00E25D6E"/>
    <w:rsid w:val="00E25E47"/>
    <w:rsid w:val="00E25EE2"/>
    <w:rsid w:val="00E25FEA"/>
    <w:rsid w:val="00E260E7"/>
    <w:rsid w:val="00E261F3"/>
    <w:rsid w:val="00E26213"/>
    <w:rsid w:val="00E26350"/>
    <w:rsid w:val="00E2645B"/>
    <w:rsid w:val="00E2655D"/>
    <w:rsid w:val="00E26595"/>
    <w:rsid w:val="00E2686A"/>
    <w:rsid w:val="00E26918"/>
    <w:rsid w:val="00E26A14"/>
    <w:rsid w:val="00E26A65"/>
    <w:rsid w:val="00E26A98"/>
    <w:rsid w:val="00E26AD7"/>
    <w:rsid w:val="00E26AF7"/>
    <w:rsid w:val="00E26B7F"/>
    <w:rsid w:val="00E26BDF"/>
    <w:rsid w:val="00E26C79"/>
    <w:rsid w:val="00E26DF2"/>
    <w:rsid w:val="00E26E89"/>
    <w:rsid w:val="00E26FF2"/>
    <w:rsid w:val="00E2701E"/>
    <w:rsid w:val="00E270F5"/>
    <w:rsid w:val="00E2717D"/>
    <w:rsid w:val="00E272F0"/>
    <w:rsid w:val="00E27340"/>
    <w:rsid w:val="00E273E3"/>
    <w:rsid w:val="00E274BD"/>
    <w:rsid w:val="00E27510"/>
    <w:rsid w:val="00E275B2"/>
    <w:rsid w:val="00E275D0"/>
    <w:rsid w:val="00E27602"/>
    <w:rsid w:val="00E27674"/>
    <w:rsid w:val="00E276EC"/>
    <w:rsid w:val="00E27739"/>
    <w:rsid w:val="00E277BA"/>
    <w:rsid w:val="00E2784D"/>
    <w:rsid w:val="00E27B0A"/>
    <w:rsid w:val="00E27B1A"/>
    <w:rsid w:val="00E27B4E"/>
    <w:rsid w:val="00E27B65"/>
    <w:rsid w:val="00E27B78"/>
    <w:rsid w:val="00E27CBD"/>
    <w:rsid w:val="00E27D20"/>
    <w:rsid w:val="00E27D60"/>
    <w:rsid w:val="00E27E7E"/>
    <w:rsid w:val="00E30067"/>
    <w:rsid w:val="00E30126"/>
    <w:rsid w:val="00E3016E"/>
    <w:rsid w:val="00E30264"/>
    <w:rsid w:val="00E3035C"/>
    <w:rsid w:val="00E30485"/>
    <w:rsid w:val="00E3049D"/>
    <w:rsid w:val="00E30506"/>
    <w:rsid w:val="00E3054F"/>
    <w:rsid w:val="00E30569"/>
    <w:rsid w:val="00E305AA"/>
    <w:rsid w:val="00E309A8"/>
    <w:rsid w:val="00E309CE"/>
    <w:rsid w:val="00E30AE0"/>
    <w:rsid w:val="00E30D2C"/>
    <w:rsid w:val="00E30E27"/>
    <w:rsid w:val="00E30E3C"/>
    <w:rsid w:val="00E30E44"/>
    <w:rsid w:val="00E30FE4"/>
    <w:rsid w:val="00E31050"/>
    <w:rsid w:val="00E31070"/>
    <w:rsid w:val="00E3108C"/>
    <w:rsid w:val="00E310B7"/>
    <w:rsid w:val="00E310EB"/>
    <w:rsid w:val="00E3112B"/>
    <w:rsid w:val="00E3119A"/>
    <w:rsid w:val="00E311FC"/>
    <w:rsid w:val="00E3147A"/>
    <w:rsid w:val="00E315AF"/>
    <w:rsid w:val="00E315C2"/>
    <w:rsid w:val="00E315FF"/>
    <w:rsid w:val="00E3163F"/>
    <w:rsid w:val="00E3176A"/>
    <w:rsid w:val="00E318AB"/>
    <w:rsid w:val="00E31A8C"/>
    <w:rsid w:val="00E31BF1"/>
    <w:rsid w:val="00E31E23"/>
    <w:rsid w:val="00E31EAB"/>
    <w:rsid w:val="00E31F37"/>
    <w:rsid w:val="00E3200A"/>
    <w:rsid w:val="00E32091"/>
    <w:rsid w:val="00E3229B"/>
    <w:rsid w:val="00E32333"/>
    <w:rsid w:val="00E3235D"/>
    <w:rsid w:val="00E32466"/>
    <w:rsid w:val="00E326F0"/>
    <w:rsid w:val="00E3282B"/>
    <w:rsid w:val="00E32841"/>
    <w:rsid w:val="00E32958"/>
    <w:rsid w:val="00E3296C"/>
    <w:rsid w:val="00E329D3"/>
    <w:rsid w:val="00E32A00"/>
    <w:rsid w:val="00E32A38"/>
    <w:rsid w:val="00E32C87"/>
    <w:rsid w:val="00E32D7A"/>
    <w:rsid w:val="00E32D94"/>
    <w:rsid w:val="00E32DFA"/>
    <w:rsid w:val="00E32E48"/>
    <w:rsid w:val="00E32EE9"/>
    <w:rsid w:val="00E32F3E"/>
    <w:rsid w:val="00E3301B"/>
    <w:rsid w:val="00E33061"/>
    <w:rsid w:val="00E33064"/>
    <w:rsid w:val="00E3306E"/>
    <w:rsid w:val="00E332B7"/>
    <w:rsid w:val="00E332D7"/>
    <w:rsid w:val="00E334E6"/>
    <w:rsid w:val="00E334F2"/>
    <w:rsid w:val="00E33514"/>
    <w:rsid w:val="00E335AE"/>
    <w:rsid w:val="00E335B2"/>
    <w:rsid w:val="00E33604"/>
    <w:rsid w:val="00E33693"/>
    <w:rsid w:val="00E33780"/>
    <w:rsid w:val="00E3383C"/>
    <w:rsid w:val="00E3383F"/>
    <w:rsid w:val="00E3389B"/>
    <w:rsid w:val="00E338C1"/>
    <w:rsid w:val="00E33943"/>
    <w:rsid w:val="00E33A50"/>
    <w:rsid w:val="00E33AFD"/>
    <w:rsid w:val="00E33B72"/>
    <w:rsid w:val="00E33B77"/>
    <w:rsid w:val="00E33C8E"/>
    <w:rsid w:val="00E33D06"/>
    <w:rsid w:val="00E33D89"/>
    <w:rsid w:val="00E33E4D"/>
    <w:rsid w:val="00E34109"/>
    <w:rsid w:val="00E34195"/>
    <w:rsid w:val="00E3429A"/>
    <w:rsid w:val="00E3436B"/>
    <w:rsid w:val="00E343E3"/>
    <w:rsid w:val="00E34598"/>
    <w:rsid w:val="00E34621"/>
    <w:rsid w:val="00E34637"/>
    <w:rsid w:val="00E34778"/>
    <w:rsid w:val="00E347E7"/>
    <w:rsid w:val="00E34824"/>
    <w:rsid w:val="00E34AE1"/>
    <w:rsid w:val="00E34AF2"/>
    <w:rsid w:val="00E34B43"/>
    <w:rsid w:val="00E34D1E"/>
    <w:rsid w:val="00E34E40"/>
    <w:rsid w:val="00E34E7E"/>
    <w:rsid w:val="00E34EBE"/>
    <w:rsid w:val="00E34F00"/>
    <w:rsid w:val="00E35122"/>
    <w:rsid w:val="00E35157"/>
    <w:rsid w:val="00E351B6"/>
    <w:rsid w:val="00E351F2"/>
    <w:rsid w:val="00E35298"/>
    <w:rsid w:val="00E35360"/>
    <w:rsid w:val="00E353BE"/>
    <w:rsid w:val="00E353C5"/>
    <w:rsid w:val="00E3540D"/>
    <w:rsid w:val="00E355F3"/>
    <w:rsid w:val="00E35607"/>
    <w:rsid w:val="00E3580F"/>
    <w:rsid w:val="00E35A68"/>
    <w:rsid w:val="00E35A8D"/>
    <w:rsid w:val="00E35B0F"/>
    <w:rsid w:val="00E35BC7"/>
    <w:rsid w:val="00E35BF4"/>
    <w:rsid w:val="00E35C3A"/>
    <w:rsid w:val="00E35D9E"/>
    <w:rsid w:val="00E35DBB"/>
    <w:rsid w:val="00E35E2F"/>
    <w:rsid w:val="00E3615D"/>
    <w:rsid w:val="00E3635D"/>
    <w:rsid w:val="00E3657D"/>
    <w:rsid w:val="00E3658E"/>
    <w:rsid w:val="00E366E8"/>
    <w:rsid w:val="00E3684E"/>
    <w:rsid w:val="00E368F0"/>
    <w:rsid w:val="00E36AFC"/>
    <w:rsid w:val="00E36B8A"/>
    <w:rsid w:val="00E36BB8"/>
    <w:rsid w:val="00E36D50"/>
    <w:rsid w:val="00E36EE3"/>
    <w:rsid w:val="00E3706A"/>
    <w:rsid w:val="00E3706F"/>
    <w:rsid w:val="00E37071"/>
    <w:rsid w:val="00E370B7"/>
    <w:rsid w:val="00E3716F"/>
    <w:rsid w:val="00E37254"/>
    <w:rsid w:val="00E372A3"/>
    <w:rsid w:val="00E3745B"/>
    <w:rsid w:val="00E374EF"/>
    <w:rsid w:val="00E374F5"/>
    <w:rsid w:val="00E3759A"/>
    <w:rsid w:val="00E375DE"/>
    <w:rsid w:val="00E3768A"/>
    <w:rsid w:val="00E3784F"/>
    <w:rsid w:val="00E379F2"/>
    <w:rsid w:val="00E37A4E"/>
    <w:rsid w:val="00E37B23"/>
    <w:rsid w:val="00E37B59"/>
    <w:rsid w:val="00E37B90"/>
    <w:rsid w:val="00E37C45"/>
    <w:rsid w:val="00E37CB9"/>
    <w:rsid w:val="00E37CC2"/>
    <w:rsid w:val="00E37D9A"/>
    <w:rsid w:val="00E37DCB"/>
    <w:rsid w:val="00E37EDB"/>
    <w:rsid w:val="00E37EE0"/>
    <w:rsid w:val="00E37F39"/>
    <w:rsid w:val="00E37F43"/>
    <w:rsid w:val="00E4004C"/>
    <w:rsid w:val="00E40199"/>
    <w:rsid w:val="00E40202"/>
    <w:rsid w:val="00E4025C"/>
    <w:rsid w:val="00E40425"/>
    <w:rsid w:val="00E405B0"/>
    <w:rsid w:val="00E406C1"/>
    <w:rsid w:val="00E4080A"/>
    <w:rsid w:val="00E40823"/>
    <w:rsid w:val="00E409B9"/>
    <w:rsid w:val="00E409C4"/>
    <w:rsid w:val="00E40A4B"/>
    <w:rsid w:val="00E40A9F"/>
    <w:rsid w:val="00E40AC1"/>
    <w:rsid w:val="00E40ADB"/>
    <w:rsid w:val="00E40BC3"/>
    <w:rsid w:val="00E40F1D"/>
    <w:rsid w:val="00E40F67"/>
    <w:rsid w:val="00E40FF8"/>
    <w:rsid w:val="00E41038"/>
    <w:rsid w:val="00E41137"/>
    <w:rsid w:val="00E411A1"/>
    <w:rsid w:val="00E4138B"/>
    <w:rsid w:val="00E413E7"/>
    <w:rsid w:val="00E41467"/>
    <w:rsid w:val="00E4160B"/>
    <w:rsid w:val="00E416D6"/>
    <w:rsid w:val="00E41792"/>
    <w:rsid w:val="00E4197A"/>
    <w:rsid w:val="00E419FA"/>
    <w:rsid w:val="00E41A4D"/>
    <w:rsid w:val="00E41B18"/>
    <w:rsid w:val="00E41BD3"/>
    <w:rsid w:val="00E41C9C"/>
    <w:rsid w:val="00E41CC6"/>
    <w:rsid w:val="00E41CFC"/>
    <w:rsid w:val="00E41E3D"/>
    <w:rsid w:val="00E41F1F"/>
    <w:rsid w:val="00E41FF0"/>
    <w:rsid w:val="00E42046"/>
    <w:rsid w:val="00E422B8"/>
    <w:rsid w:val="00E422E7"/>
    <w:rsid w:val="00E42367"/>
    <w:rsid w:val="00E4237E"/>
    <w:rsid w:val="00E4248D"/>
    <w:rsid w:val="00E4272B"/>
    <w:rsid w:val="00E4288B"/>
    <w:rsid w:val="00E4291C"/>
    <w:rsid w:val="00E42A5C"/>
    <w:rsid w:val="00E42A83"/>
    <w:rsid w:val="00E42AF3"/>
    <w:rsid w:val="00E42B37"/>
    <w:rsid w:val="00E42B94"/>
    <w:rsid w:val="00E42B9C"/>
    <w:rsid w:val="00E42BFD"/>
    <w:rsid w:val="00E42D01"/>
    <w:rsid w:val="00E42D94"/>
    <w:rsid w:val="00E42EAF"/>
    <w:rsid w:val="00E42F2F"/>
    <w:rsid w:val="00E42F34"/>
    <w:rsid w:val="00E43030"/>
    <w:rsid w:val="00E430F1"/>
    <w:rsid w:val="00E43103"/>
    <w:rsid w:val="00E432A1"/>
    <w:rsid w:val="00E43314"/>
    <w:rsid w:val="00E435FD"/>
    <w:rsid w:val="00E43684"/>
    <w:rsid w:val="00E43695"/>
    <w:rsid w:val="00E436B7"/>
    <w:rsid w:val="00E436F7"/>
    <w:rsid w:val="00E438B7"/>
    <w:rsid w:val="00E4393A"/>
    <w:rsid w:val="00E43B6E"/>
    <w:rsid w:val="00E43BDC"/>
    <w:rsid w:val="00E43CFC"/>
    <w:rsid w:val="00E43D42"/>
    <w:rsid w:val="00E43D57"/>
    <w:rsid w:val="00E43E8B"/>
    <w:rsid w:val="00E43F47"/>
    <w:rsid w:val="00E44009"/>
    <w:rsid w:val="00E44105"/>
    <w:rsid w:val="00E4414C"/>
    <w:rsid w:val="00E4436A"/>
    <w:rsid w:val="00E4453E"/>
    <w:rsid w:val="00E445B8"/>
    <w:rsid w:val="00E4471B"/>
    <w:rsid w:val="00E447F3"/>
    <w:rsid w:val="00E44842"/>
    <w:rsid w:val="00E44861"/>
    <w:rsid w:val="00E449BE"/>
    <w:rsid w:val="00E44A6D"/>
    <w:rsid w:val="00E44A7E"/>
    <w:rsid w:val="00E44B15"/>
    <w:rsid w:val="00E44B2C"/>
    <w:rsid w:val="00E44BFD"/>
    <w:rsid w:val="00E44C47"/>
    <w:rsid w:val="00E44C7B"/>
    <w:rsid w:val="00E44CD2"/>
    <w:rsid w:val="00E44DB5"/>
    <w:rsid w:val="00E44E5E"/>
    <w:rsid w:val="00E44E72"/>
    <w:rsid w:val="00E44E89"/>
    <w:rsid w:val="00E44EE9"/>
    <w:rsid w:val="00E450CE"/>
    <w:rsid w:val="00E45234"/>
    <w:rsid w:val="00E4536A"/>
    <w:rsid w:val="00E454E9"/>
    <w:rsid w:val="00E455A5"/>
    <w:rsid w:val="00E455D1"/>
    <w:rsid w:val="00E455D8"/>
    <w:rsid w:val="00E456E8"/>
    <w:rsid w:val="00E456F2"/>
    <w:rsid w:val="00E45794"/>
    <w:rsid w:val="00E4582A"/>
    <w:rsid w:val="00E45951"/>
    <w:rsid w:val="00E4595F"/>
    <w:rsid w:val="00E459C4"/>
    <w:rsid w:val="00E459F3"/>
    <w:rsid w:val="00E45A19"/>
    <w:rsid w:val="00E45BAA"/>
    <w:rsid w:val="00E45BD6"/>
    <w:rsid w:val="00E45E37"/>
    <w:rsid w:val="00E45F34"/>
    <w:rsid w:val="00E45FDF"/>
    <w:rsid w:val="00E460EA"/>
    <w:rsid w:val="00E4616D"/>
    <w:rsid w:val="00E46378"/>
    <w:rsid w:val="00E463E0"/>
    <w:rsid w:val="00E46558"/>
    <w:rsid w:val="00E466AE"/>
    <w:rsid w:val="00E466C0"/>
    <w:rsid w:val="00E466D3"/>
    <w:rsid w:val="00E468F7"/>
    <w:rsid w:val="00E4693E"/>
    <w:rsid w:val="00E469FB"/>
    <w:rsid w:val="00E46A55"/>
    <w:rsid w:val="00E46A56"/>
    <w:rsid w:val="00E46CD4"/>
    <w:rsid w:val="00E46CFB"/>
    <w:rsid w:val="00E46F20"/>
    <w:rsid w:val="00E46F3B"/>
    <w:rsid w:val="00E4718D"/>
    <w:rsid w:val="00E476AB"/>
    <w:rsid w:val="00E477F4"/>
    <w:rsid w:val="00E4783D"/>
    <w:rsid w:val="00E47861"/>
    <w:rsid w:val="00E47AEE"/>
    <w:rsid w:val="00E47B5A"/>
    <w:rsid w:val="00E47BB5"/>
    <w:rsid w:val="00E47E1C"/>
    <w:rsid w:val="00E47E63"/>
    <w:rsid w:val="00E47F68"/>
    <w:rsid w:val="00E47F96"/>
    <w:rsid w:val="00E5002A"/>
    <w:rsid w:val="00E50088"/>
    <w:rsid w:val="00E500F0"/>
    <w:rsid w:val="00E5010B"/>
    <w:rsid w:val="00E502C0"/>
    <w:rsid w:val="00E502DC"/>
    <w:rsid w:val="00E503FB"/>
    <w:rsid w:val="00E50478"/>
    <w:rsid w:val="00E50539"/>
    <w:rsid w:val="00E50661"/>
    <w:rsid w:val="00E506BC"/>
    <w:rsid w:val="00E5072C"/>
    <w:rsid w:val="00E509E2"/>
    <w:rsid w:val="00E50BF6"/>
    <w:rsid w:val="00E50C4E"/>
    <w:rsid w:val="00E50CEB"/>
    <w:rsid w:val="00E50D49"/>
    <w:rsid w:val="00E50D8D"/>
    <w:rsid w:val="00E50E57"/>
    <w:rsid w:val="00E5101E"/>
    <w:rsid w:val="00E510FC"/>
    <w:rsid w:val="00E5117F"/>
    <w:rsid w:val="00E5141B"/>
    <w:rsid w:val="00E51422"/>
    <w:rsid w:val="00E5161F"/>
    <w:rsid w:val="00E51691"/>
    <w:rsid w:val="00E51809"/>
    <w:rsid w:val="00E51810"/>
    <w:rsid w:val="00E518A3"/>
    <w:rsid w:val="00E518ED"/>
    <w:rsid w:val="00E51954"/>
    <w:rsid w:val="00E51984"/>
    <w:rsid w:val="00E5198A"/>
    <w:rsid w:val="00E51A46"/>
    <w:rsid w:val="00E51BDB"/>
    <w:rsid w:val="00E51C1E"/>
    <w:rsid w:val="00E51CA4"/>
    <w:rsid w:val="00E51E2C"/>
    <w:rsid w:val="00E51EE6"/>
    <w:rsid w:val="00E52069"/>
    <w:rsid w:val="00E521D6"/>
    <w:rsid w:val="00E522CE"/>
    <w:rsid w:val="00E522F1"/>
    <w:rsid w:val="00E5233D"/>
    <w:rsid w:val="00E524EE"/>
    <w:rsid w:val="00E525FE"/>
    <w:rsid w:val="00E5269B"/>
    <w:rsid w:val="00E52737"/>
    <w:rsid w:val="00E5277A"/>
    <w:rsid w:val="00E527C4"/>
    <w:rsid w:val="00E52C58"/>
    <w:rsid w:val="00E52C7D"/>
    <w:rsid w:val="00E52E8A"/>
    <w:rsid w:val="00E52E95"/>
    <w:rsid w:val="00E530BD"/>
    <w:rsid w:val="00E5316D"/>
    <w:rsid w:val="00E53178"/>
    <w:rsid w:val="00E531FD"/>
    <w:rsid w:val="00E5320A"/>
    <w:rsid w:val="00E5324A"/>
    <w:rsid w:val="00E53285"/>
    <w:rsid w:val="00E532FA"/>
    <w:rsid w:val="00E5331F"/>
    <w:rsid w:val="00E53364"/>
    <w:rsid w:val="00E5342C"/>
    <w:rsid w:val="00E53461"/>
    <w:rsid w:val="00E534F9"/>
    <w:rsid w:val="00E53555"/>
    <w:rsid w:val="00E53711"/>
    <w:rsid w:val="00E5374D"/>
    <w:rsid w:val="00E539A0"/>
    <w:rsid w:val="00E539A2"/>
    <w:rsid w:val="00E53A84"/>
    <w:rsid w:val="00E53AF4"/>
    <w:rsid w:val="00E53B56"/>
    <w:rsid w:val="00E53C53"/>
    <w:rsid w:val="00E53DB1"/>
    <w:rsid w:val="00E53DD6"/>
    <w:rsid w:val="00E54060"/>
    <w:rsid w:val="00E541CD"/>
    <w:rsid w:val="00E5429A"/>
    <w:rsid w:val="00E54584"/>
    <w:rsid w:val="00E54649"/>
    <w:rsid w:val="00E54671"/>
    <w:rsid w:val="00E546B2"/>
    <w:rsid w:val="00E546CC"/>
    <w:rsid w:val="00E546E0"/>
    <w:rsid w:val="00E546E2"/>
    <w:rsid w:val="00E54934"/>
    <w:rsid w:val="00E54995"/>
    <w:rsid w:val="00E54C8A"/>
    <w:rsid w:val="00E54CCB"/>
    <w:rsid w:val="00E54D52"/>
    <w:rsid w:val="00E54D7A"/>
    <w:rsid w:val="00E54DAB"/>
    <w:rsid w:val="00E54EEB"/>
    <w:rsid w:val="00E54EF0"/>
    <w:rsid w:val="00E54F79"/>
    <w:rsid w:val="00E551EA"/>
    <w:rsid w:val="00E55550"/>
    <w:rsid w:val="00E555A1"/>
    <w:rsid w:val="00E55617"/>
    <w:rsid w:val="00E55696"/>
    <w:rsid w:val="00E556BB"/>
    <w:rsid w:val="00E55943"/>
    <w:rsid w:val="00E55B04"/>
    <w:rsid w:val="00E55C3B"/>
    <w:rsid w:val="00E55CDA"/>
    <w:rsid w:val="00E55F92"/>
    <w:rsid w:val="00E5600D"/>
    <w:rsid w:val="00E560A5"/>
    <w:rsid w:val="00E560F4"/>
    <w:rsid w:val="00E561E9"/>
    <w:rsid w:val="00E562E5"/>
    <w:rsid w:val="00E56316"/>
    <w:rsid w:val="00E56317"/>
    <w:rsid w:val="00E56503"/>
    <w:rsid w:val="00E5651C"/>
    <w:rsid w:val="00E5658C"/>
    <w:rsid w:val="00E5677E"/>
    <w:rsid w:val="00E567B4"/>
    <w:rsid w:val="00E5699D"/>
    <w:rsid w:val="00E569B1"/>
    <w:rsid w:val="00E569C0"/>
    <w:rsid w:val="00E56B5D"/>
    <w:rsid w:val="00E56B68"/>
    <w:rsid w:val="00E56C11"/>
    <w:rsid w:val="00E56C27"/>
    <w:rsid w:val="00E56C29"/>
    <w:rsid w:val="00E56C57"/>
    <w:rsid w:val="00E56CB0"/>
    <w:rsid w:val="00E56D05"/>
    <w:rsid w:val="00E56E2B"/>
    <w:rsid w:val="00E56E9F"/>
    <w:rsid w:val="00E57110"/>
    <w:rsid w:val="00E5716D"/>
    <w:rsid w:val="00E5717A"/>
    <w:rsid w:val="00E57195"/>
    <w:rsid w:val="00E572E7"/>
    <w:rsid w:val="00E5730D"/>
    <w:rsid w:val="00E573FC"/>
    <w:rsid w:val="00E57556"/>
    <w:rsid w:val="00E575DE"/>
    <w:rsid w:val="00E576E1"/>
    <w:rsid w:val="00E5777C"/>
    <w:rsid w:val="00E577AE"/>
    <w:rsid w:val="00E5784B"/>
    <w:rsid w:val="00E57B93"/>
    <w:rsid w:val="00E57C90"/>
    <w:rsid w:val="00E57E96"/>
    <w:rsid w:val="00E600D4"/>
    <w:rsid w:val="00E600E9"/>
    <w:rsid w:val="00E60238"/>
    <w:rsid w:val="00E602B6"/>
    <w:rsid w:val="00E602D8"/>
    <w:rsid w:val="00E6032D"/>
    <w:rsid w:val="00E604C7"/>
    <w:rsid w:val="00E60571"/>
    <w:rsid w:val="00E606F3"/>
    <w:rsid w:val="00E607D9"/>
    <w:rsid w:val="00E60997"/>
    <w:rsid w:val="00E609FE"/>
    <w:rsid w:val="00E60A79"/>
    <w:rsid w:val="00E60B9B"/>
    <w:rsid w:val="00E60C32"/>
    <w:rsid w:val="00E60D58"/>
    <w:rsid w:val="00E60FEA"/>
    <w:rsid w:val="00E6102B"/>
    <w:rsid w:val="00E6128A"/>
    <w:rsid w:val="00E613CF"/>
    <w:rsid w:val="00E61502"/>
    <w:rsid w:val="00E616E8"/>
    <w:rsid w:val="00E61742"/>
    <w:rsid w:val="00E61907"/>
    <w:rsid w:val="00E61911"/>
    <w:rsid w:val="00E61B1C"/>
    <w:rsid w:val="00E61B7E"/>
    <w:rsid w:val="00E61BB0"/>
    <w:rsid w:val="00E61D80"/>
    <w:rsid w:val="00E61E99"/>
    <w:rsid w:val="00E61FA9"/>
    <w:rsid w:val="00E61FC2"/>
    <w:rsid w:val="00E62068"/>
    <w:rsid w:val="00E62084"/>
    <w:rsid w:val="00E620FF"/>
    <w:rsid w:val="00E62104"/>
    <w:rsid w:val="00E622C4"/>
    <w:rsid w:val="00E62452"/>
    <w:rsid w:val="00E624A4"/>
    <w:rsid w:val="00E6256C"/>
    <w:rsid w:val="00E625E1"/>
    <w:rsid w:val="00E62944"/>
    <w:rsid w:val="00E6294F"/>
    <w:rsid w:val="00E629AE"/>
    <w:rsid w:val="00E62A00"/>
    <w:rsid w:val="00E62A85"/>
    <w:rsid w:val="00E62B71"/>
    <w:rsid w:val="00E62BB7"/>
    <w:rsid w:val="00E62BFF"/>
    <w:rsid w:val="00E62C0D"/>
    <w:rsid w:val="00E62CBE"/>
    <w:rsid w:val="00E62CC8"/>
    <w:rsid w:val="00E62E60"/>
    <w:rsid w:val="00E62EB5"/>
    <w:rsid w:val="00E62FBE"/>
    <w:rsid w:val="00E631DF"/>
    <w:rsid w:val="00E6320F"/>
    <w:rsid w:val="00E632BC"/>
    <w:rsid w:val="00E633FA"/>
    <w:rsid w:val="00E636DA"/>
    <w:rsid w:val="00E6373F"/>
    <w:rsid w:val="00E63A1E"/>
    <w:rsid w:val="00E63B36"/>
    <w:rsid w:val="00E63B81"/>
    <w:rsid w:val="00E63BB0"/>
    <w:rsid w:val="00E63CEF"/>
    <w:rsid w:val="00E63D11"/>
    <w:rsid w:val="00E63D3A"/>
    <w:rsid w:val="00E63DDD"/>
    <w:rsid w:val="00E63EC1"/>
    <w:rsid w:val="00E63F5F"/>
    <w:rsid w:val="00E64099"/>
    <w:rsid w:val="00E64138"/>
    <w:rsid w:val="00E641C0"/>
    <w:rsid w:val="00E6427C"/>
    <w:rsid w:val="00E6433D"/>
    <w:rsid w:val="00E644E5"/>
    <w:rsid w:val="00E645B9"/>
    <w:rsid w:val="00E645E2"/>
    <w:rsid w:val="00E64687"/>
    <w:rsid w:val="00E6471A"/>
    <w:rsid w:val="00E6478B"/>
    <w:rsid w:val="00E648F4"/>
    <w:rsid w:val="00E649DB"/>
    <w:rsid w:val="00E64A35"/>
    <w:rsid w:val="00E64A57"/>
    <w:rsid w:val="00E64ADD"/>
    <w:rsid w:val="00E64B14"/>
    <w:rsid w:val="00E64B42"/>
    <w:rsid w:val="00E64C29"/>
    <w:rsid w:val="00E64C84"/>
    <w:rsid w:val="00E64CC8"/>
    <w:rsid w:val="00E64DCF"/>
    <w:rsid w:val="00E64EC8"/>
    <w:rsid w:val="00E650E6"/>
    <w:rsid w:val="00E6521F"/>
    <w:rsid w:val="00E652D1"/>
    <w:rsid w:val="00E65314"/>
    <w:rsid w:val="00E6549E"/>
    <w:rsid w:val="00E65529"/>
    <w:rsid w:val="00E655B1"/>
    <w:rsid w:val="00E6560F"/>
    <w:rsid w:val="00E65716"/>
    <w:rsid w:val="00E6581A"/>
    <w:rsid w:val="00E65822"/>
    <w:rsid w:val="00E6589C"/>
    <w:rsid w:val="00E65915"/>
    <w:rsid w:val="00E6592B"/>
    <w:rsid w:val="00E659A3"/>
    <w:rsid w:val="00E659B4"/>
    <w:rsid w:val="00E659F5"/>
    <w:rsid w:val="00E65AC8"/>
    <w:rsid w:val="00E65B3F"/>
    <w:rsid w:val="00E65B68"/>
    <w:rsid w:val="00E65BBB"/>
    <w:rsid w:val="00E65C6D"/>
    <w:rsid w:val="00E65CB0"/>
    <w:rsid w:val="00E65CC5"/>
    <w:rsid w:val="00E65D81"/>
    <w:rsid w:val="00E65DF8"/>
    <w:rsid w:val="00E66018"/>
    <w:rsid w:val="00E6602A"/>
    <w:rsid w:val="00E66089"/>
    <w:rsid w:val="00E66275"/>
    <w:rsid w:val="00E662B4"/>
    <w:rsid w:val="00E66353"/>
    <w:rsid w:val="00E66413"/>
    <w:rsid w:val="00E6646E"/>
    <w:rsid w:val="00E66524"/>
    <w:rsid w:val="00E6654C"/>
    <w:rsid w:val="00E66762"/>
    <w:rsid w:val="00E667C2"/>
    <w:rsid w:val="00E66861"/>
    <w:rsid w:val="00E668AF"/>
    <w:rsid w:val="00E66C15"/>
    <w:rsid w:val="00E66D13"/>
    <w:rsid w:val="00E66D94"/>
    <w:rsid w:val="00E66DAE"/>
    <w:rsid w:val="00E66E28"/>
    <w:rsid w:val="00E66E89"/>
    <w:rsid w:val="00E66FAC"/>
    <w:rsid w:val="00E67001"/>
    <w:rsid w:val="00E6718A"/>
    <w:rsid w:val="00E6742B"/>
    <w:rsid w:val="00E674CE"/>
    <w:rsid w:val="00E67566"/>
    <w:rsid w:val="00E676A8"/>
    <w:rsid w:val="00E676D2"/>
    <w:rsid w:val="00E677AA"/>
    <w:rsid w:val="00E677FB"/>
    <w:rsid w:val="00E67896"/>
    <w:rsid w:val="00E678D8"/>
    <w:rsid w:val="00E679D3"/>
    <w:rsid w:val="00E67AE2"/>
    <w:rsid w:val="00E67C01"/>
    <w:rsid w:val="00E67DA6"/>
    <w:rsid w:val="00E67E98"/>
    <w:rsid w:val="00E67EAF"/>
    <w:rsid w:val="00E700B2"/>
    <w:rsid w:val="00E700CF"/>
    <w:rsid w:val="00E7019F"/>
    <w:rsid w:val="00E701D6"/>
    <w:rsid w:val="00E70255"/>
    <w:rsid w:val="00E7037F"/>
    <w:rsid w:val="00E70756"/>
    <w:rsid w:val="00E70801"/>
    <w:rsid w:val="00E70A77"/>
    <w:rsid w:val="00E70CA7"/>
    <w:rsid w:val="00E70DB7"/>
    <w:rsid w:val="00E70DFB"/>
    <w:rsid w:val="00E70F22"/>
    <w:rsid w:val="00E70FE0"/>
    <w:rsid w:val="00E710A2"/>
    <w:rsid w:val="00E711A4"/>
    <w:rsid w:val="00E71385"/>
    <w:rsid w:val="00E713B0"/>
    <w:rsid w:val="00E7157B"/>
    <w:rsid w:val="00E71611"/>
    <w:rsid w:val="00E71714"/>
    <w:rsid w:val="00E718A4"/>
    <w:rsid w:val="00E7190C"/>
    <w:rsid w:val="00E71A53"/>
    <w:rsid w:val="00E71BAD"/>
    <w:rsid w:val="00E71DFB"/>
    <w:rsid w:val="00E71FCC"/>
    <w:rsid w:val="00E71FE8"/>
    <w:rsid w:val="00E7207A"/>
    <w:rsid w:val="00E72124"/>
    <w:rsid w:val="00E72162"/>
    <w:rsid w:val="00E721E5"/>
    <w:rsid w:val="00E721EF"/>
    <w:rsid w:val="00E72232"/>
    <w:rsid w:val="00E72318"/>
    <w:rsid w:val="00E7231C"/>
    <w:rsid w:val="00E72495"/>
    <w:rsid w:val="00E724CE"/>
    <w:rsid w:val="00E72672"/>
    <w:rsid w:val="00E7287C"/>
    <w:rsid w:val="00E72B5F"/>
    <w:rsid w:val="00E72B80"/>
    <w:rsid w:val="00E72BF9"/>
    <w:rsid w:val="00E72C09"/>
    <w:rsid w:val="00E72D68"/>
    <w:rsid w:val="00E72F4D"/>
    <w:rsid w:val="00E73146"/>
    <w:rsid w:val="00E731AD"/>
    <w:rsid w:val="00E733A0"/>
    <w:rsid w:val="00E73412"/>
    <w:rsid w:val="00E735F7"/>
    <w:rsid w:val="00E735FF"/>
    <w:rsid w:val="00E73775"/>
    <w:rsid w:val="00E737D2"/>
    <w:rsid w:val="00E738D6"/>
    <w:rsid w:val="00E7391A"/>
    <w:rsid w:val="00E73948"/>
    <w:rsid w:val="00E7395C"/>
    <w:rsid w:val="00E73A6C"/>
    <w:rsid w:val="00E73CBD"/>
    <w:rsid w:val="00E73D1E"/>
    <w:rsid w:val="00E73D2E"/>
    <w:rsid w:val="00E73D8D"/>
    <w:rsid w:val="00E73E2A"/>
    <w:rsid w:val="00E73E79"/>
    <w:rsid w:val="00E73F5C"/>
    <w:rsid w:val="00E7408E"/>
    <w:rsid w:val="00E740CB"/>
    <w:rsid w:val="00E7415B"/>
    <w:rsid w:val="00E7421A"/>
    <w:rsid w:val="00E74250"/>
    <w:rsid w:val="00E7437E"/>
    <w:rsid w:val="00E744B6"/>
    <w:rsid w:val="00E7459D"/>
    <w:rsid w:val="00E74694"/>
    <w:rsid w:val="00E7473F"/>
    <w:rsid w:val="00E7479E"/>
    <w:rsid w:val="00E748E1"/>
    <w:rsid w:val="00E7496C"/>
    <w:rsid w:val="00E74A2C"/>
    <w:rsid w:val="00E74B57"/>
    <w:rsid w:val="00E74BBB"/>
    <w:rsid w:val="00E74BF9"/>
    <w:rsid w:val="00E74C70"/>
    <w:rsid w:val="00E74CEC"/>
    <w:rsid w:val="00E74DF6"/>
    <w:rsid w:val="00E74EBB"/>
    <w:rsid w:val="00E75003"/>
    <w:rsid w:val="00E75062"/>
    <w:rsid w:val="00E75282"/>
    <w:rsid w:val="00E752DA"/>
    <w:rsid w:val="00E753C2"/>
    <w:rsid w:val="00E754E0"/>
    <w:rsid w:val="00E755AD"/>
    <w:rsid w:val="00E75634"/>
    <w:rsid w:val="00E75651"/>
    <w:rsid w:val="00E757FA"/>
    <w:rsid w:val="00E75843"/>
    <w:rsid w:val="00E75878"/>
    <w:rsid w:val="00E7597E"/>
    <w:rsid w:val="00E759F0"/>
    <w:rsid w:val="00E75A1B"/>
    <w:rsid w:val="00E75A7C"/>
    <w:rsid w:val="00E75ACC"/>
    <w:rsid w:val="00E75BD4"/>
    <w:rsid w:val="00E75C47"/>
    <w:rsid w:val="00E75CE3"/>
    <w:rsid w:val="00E75D45"/>
    <w:rsid w:val="00E75DA0"/>
    <w:rsid w:val="00E75E31"/>
    <w:rsid w:val="00E75E9B"/>
    <w:rsid w:val="00E75F19"/>
    <w:rsid w:val="00E75F27"/>
    <w:rsid w:val="00E75F3D"/>
    <w:rsid w:val="00E75F85"/>
    <w:rsid w:val="00E75F8D"/>
    <w:rsid w:val="00E76123"/>
    <w:rsid w:val="00E7617F"/>
    <w:rsid w:val="00E761E4"/>
    <w:rsid w:val="00E7620D"/>
    <w:rsid w:val="00E76366"/>
    <w:rsid w:val="00E76404"/>
    <w:rsid w:val="00E7647D"/>
    <w:rsid w:val="00E76523"/>
    <w:rsid w:val="00E76817"/>
    <w:rsid w:val="00E76837"/>
    <w:rsid w:val="00E7684C"/>
    <w:rsid w:val="00E768C8"/>
    <w:rsid w:val="00E7692B"/>
    <w:rsid w:val="00E7695A"/>
    <w:rsid w:val="00E76A2A"/>
    <w:rsid w:val="00E76B7F"/>
    <w:rsid w:val="00E76BC6"/>
    <w:rsid w:val="00E76C4B"/>
    <w:rsid w:val="00E76CC9"/>
    <w:rsid w:val="00E76CDB"/>
    <w:rsid w:val="00E76D11"/>
    <w:rsid w:val="00E76D4F"/>
    <w:rsid w:val="00E76D54"/>
    <w:rsid w:val="00E76EE6"/>
    <w:rsid w:val="00E76F06"/>
    <w:rsid w:val="00E76F98"/>
    <w:rsid w:val="00E77052"/>
    <w:rsid w:val="00E77210"/>
    <w:rsid w:val="00E7721C"/>
    <w:rsid w:val="00E772E8"/>
    <w:rsid w:val="00E77346"/>
    <w:rsid w:val="00E77463"/>
    <w:rsid w:val="00E777A8"/>
    <w:rsid w:val="00E77857"/>
    <w:rsid w:val="00E77895"/>
    <w:rsid w:val="00E778B2"/>
    <w:rsid w:val="00E779AA"/>
    <w:rsid w:val="00E779C6"/>
    <w:rsid w:val="00E77A32"/>
    <w:rsid w:val="00E77A41"/>
    <w:rsid w:val="00E77A44"/>
    <w:rsid w:val="00E77A58"/>
    <w:rsid w:val="00E77ABC"/>
    <w:rsid w:val="00E77AC5"/>
    <w:rsid w:val="00E77C5C"/>
    <w:rsid w:val="00E77CE5"/>
    <w:rsid w:val="00E77F2A"/>
    <w:rsid w:val="00E80014"/>
    <w:rsid w:val="00E800B3"/>
    <w:rsid w:val="00E800E8"/>
    <w:rsid w:val="00E802E6"/>
    <w:rsid w:val="00E80348"/>
    <w:rsid w:val="00E80361"/>
    <w:rsid w:val="00E803F5"/>
    <w:rsid w:val="00E804CB"/>
    <w:rsid w:val="00E80552"/>
    <w:rsid w:val="00E8063F"/>
    <w:rsid w:val="00E8080C"/>
    <w:rsid w:val="00E8082E"/>
    <w:rsid w:val="00E8093F"/>
    <w:rsid w:val="00E809B8"/>
    <w:rsid w:val="00E80A75"/>
    <w:rsid w:val="00E80AF9"/>
    <w:rsid w:val="00E80C0D"/>
    <w:rsid w:val="00E80E8D"/>
    <w:rsid w:val="00E81076"/>
    <w:rsid w:val="00E81101"/>
    <w:rsid w:val="00E81147"/>
    <w:rsid w:val="00E8117A"/>
    <w:rsid w:val="00E81189"/>
    <w:rsid w:val="00E8118C"/>
    <w:rsid w:val="00E8128A"/>
    <w:rsid w:val="00E8132E"/>
    <w:rsid w:val="00E81491"/>
    <w:rsid w:val="00E81495"/>
    <w:rsid w:val="00E81671"/>
    <w:rsid w:val="00E8182C"/>
    <w:rsid w:val="00E81B00"/>
    <w:rsid w:val="00E81B2A"/>
    <w:rsid w:val="00E81C47"/>
    <w:rsid w:val="00E81EC3"/>
    <w:rsid w:val="00E82054"/>
    <w:rsid w:val="00E82379"/>
    <w:rsid w:val="00E8258C"/>
    <w:rsid w:val="00E82766"/>
    <w:rsid w:val="00E828BC"/>
    <w:rsid w:val="00E828D3"/>
    <w:rsid w:val="00E828FB"/>
    <w:rsid w:val="00E82998"/>
    <w:rsid w:val="00E82BE0"/>
    <w:rsid w:val="00E82BE9"/>
    <w:rsid w:val="00E82C36"/>
    <w:rsid w:val="00E82D0B"/>
    <w:rsid w:val="00E82DA3"/>
    <w:rsid w:val="00E82EA5"/>
    <w:rsid w:val="00E82ED5"/>
    <w:rsid w:val="00E82F6A"/>
    <w:rsid w:val="00E82F87"/>
    <w:rsid w:val="00E83090"/>
    <w:rsid w:val="00E83182"/>
    <w:rsid w:val="00E831EB"/>
    <w:rsid w:val="00E8325F"/>
    <w:rsid w:val="00E8327B"/>
    <w:rsid w:val="00E83292"/>
    <w:rsid w:val="00E832F6"/>
    <w:rsid w:val="00E833AC"/>
    <w:rsid w:val="00E834D4"/>
    <w:rsid w:val="00E83544"/>
    <w:rsid w:val="00E83797"/>
    <w:rsid w:val="00E838A2"/>
    <w:rsid w:val="00E83950"/>
    <w:rsid w:val="00E83B1E"/>
    <w:rsid w:val="00E83CD9"/>
    <w:rsid w:val="00E83FA3"/>
    <w:rsid w:val="00E8400E"/>
    <w:rsid w:val="00E84038"/>
    <w:rsid w:val="00E84080"/>
    <w:rsid w:val="00E84271"/>
    <w:rsid w:val="00E84328"/>
    <w:rsid w:val="00E84329"/>
    <w:rsid w:val="00E8442C"/>
    <w:rsid w:val="00E8456F"/>
    <w:rsid w:val="00E84592"/>
    <w:rsid w:val="00E847E6"/>
    <w:rsid w:val="00E84AFE"/>
    <w:rsid w:val="00E84B66"/>
    <w:rsid w:val="00E84B94"/>
    <w:rsid w:val="00E84BCC"/>
    <w:rsid w:val="00E84F3E"/>
    <w:rsid w:val="00E84FA3"/>
    <w:rsid w:val="00E84FED"/>
    <w:rsid w:val="00E850E8"/>
    <w:rsid w:val="00E851F9"/>
    <w:rsid w:val="00E85208"/>
    <w:rsid w:val="00E8525B"/>
    <w:rsid w:val="00E85378"/>
    <w:rsid w:val="00E853DF"/>
    <w:rsid w:val="00E855A0"/>
    <w:rsid w:val="00E85614"/>
    <w:rsid w:val="00E856E3"/>
    <w:rsid w:val="00E8575F"/>
    <w:rsid w:val="00E8593A"/>
    <w:rsid w:val="00E85949"/>
    <w:rsid w:val="00E8595B"/>
    <w:rsid w:val="00E85A85"/>
    <w:rsid w:val="00E85B04"/>
    <w:rsid w:val="00E85D0D"/>
    <w:rsid w:val="00E85D64"/>
    <w:rsid w:val="00E85D7A"/>
    <w:rsid w:val="00E85DB6"/>
    <w:rsid w:val="00E85F55"/>
    <w:rsid w:val="00E8609D"/>
    <w:rsid w:val="00E861DA"/>
    <w:rsid w:val="00E86262"/>
    <w:rsid w:val="00E86285"/>
    <w:rsid w:val="00E862B8"/>
    <w:rsid w:val="00E862D9"/>
    <w:rsid w:val="00E8632A"/>
    <w:rsid w:val="00E86372"/>
    <w:rsid w:val="00E863A4"/>
    <w:rsid w:val="00E863BC"/>
    <w:rsid w:val="00E863CC"/>
    <w:rsid w:val="00E86537"/>
    <w:rsid w:val="00E86752"/>
    <w:rsid w:val="00E867EA"/>
    <w:rsid w:val="00E86863"/>
    <w:rsid w:val="00E8690B"/>
    <w:rsid w:val="00E86A4A"/>
    <w:rsid w:val="00E86A4D"/>
    <w:rsid w:val="00E86B7B"/>
    <w:rsid w:val="00E86BFC"/>
    <w:rsid w:val="00E86D4F"/>
    <w:rsid w:val="00E86E51"/>
    <w:rsid w:val="00E86E5D"/>
    <w:rsid w:val="00E86FDE"/>
    <w:rsid w:val="00E87049"/>
    <w:rsid w:val="00E87122"/>
    <w:rsid w:val="00E87243"/>
    <w:rsid w:val="00E872D4"/>
    <w:rsid w:val="00E87305"/>
    <w:rsid w:val="00E87452"/>
    <w:rsid w:val="00E875CE"/>
    <w:rsid w:val="00E87761"/>
    <w:rsid w:val="00E8776D"/>
    <w:rsid w:val="00E87995"/>
    <w:rsid w:val="00E879D8"/>
    <w:rsid w:val="00E87A23"/>
    <w:rsid w:val="00E87A5A"/>
    <w:rsid w:val="00E87AA8"/>
    <w:rsid w:val="00E87BC3"/>
    <w:rsid w:val="00E87C96"/>
    <w:rsid w:val="00E87DC6"/>
    <w:rsid w:val="00E87DDA"/>
    <w:rsid w:val="00E87EAA"/>
    <w:rsid w:val="00E900D3"/>
    <w:rsid w:val="00E90124"/>
    <w:rsid w:val="00E90296"/>
    <w:rsid w:val="00E903A5"/>
    <w:rsid w:val="00E90438"/>
    <w:rsid w:val="00E905AB"/>
    <w:rsid w:val="00E9069E"/>
    <w:rsid w:val="00E9075B"/>
    <w:rsid w:val="00E907E1"/>
    <w:rsid w:val="00E90876"/>
    <w:rsid w:val="00E908C7"/>
    <w:rsid w:val="00E9098F"/>
    <w:rsid w:val="00E90A6C"/>
    <w:rsid w:val="00E90AD3"/>
    <w:rsid w:val="00E90C77"/>
    <w:rsid w:val="00E90C96"/>
    <w:rsid w:val="00E90D7A"/>
    <w:rsid w:val="00E90D89"/>
    <w:rsid w:val="00E90E74"/>
    <w:rsid w:val="00E90FE1"/>
    <w:rsid w:val="00E91012"/>
    <w:rsid w:val="00E91022"/>
    <w:rsid w:val="00E9102C"/>
    <w:rsid w:val="00E9108E"/>
    <w:rsid w:val="00E91177"/>
    <w:rsid w:val="00E911DB"/>
    <w:rsid w:val="00E912F1"/>
    <w:rsid w:val="00E913BE"/>
    <w:rsid w:val="00E914FA"/>
    <w:rsid w:val="00E9169B"/>
    <w:rsid w:val="00E919F2"/>
    <w:rsid w:val="00E91A8F"/>
    <w:rsid w:val="00E91BD8"/>
    <w:rsid w:val="00E91D19"/>
    <w:rsid w:val="00E91F13"/>
    <w:rsid w:val="00E92004"/>
    <w:rsid w:val="00E922ED"/>
    <w:rsid w:val="00E92358"/>
    <w:rsid w:val="00E92364"/>
    <w:rsid w:val="00E923F1"/>
    <w:rsid w:val="00E92401"/>
    <w:rsid w:val="00E92609"/>
    <w:rsid w:val="00E92611"/>
    <w:rsid w:val="00E9263F"/>
    <w:rsid w:val="00E92663"/>
    <w:rsid w:val="00E92884"/>
    <w:rsid w:val="00E92920"/>
    <w:rsid w:val="00E92C29"/>
    <w:rsid w:val="00E92D9A"/>
    <w:rsid w:val="00E930AC"/>
    <w:rsid w:val="00E93236"/>
    <w:rsid w:val="00E9323F"/>
    <w:rsid w:val="00E93366"/>
    <w:rsid w:val="00E9338D"/>
    <w:rsid w:val="00E933A8"/>
    <w:rsid w:val="00E933C1"/>
    <w:rsid w:val="00E934A3"/>
    <w:rsid w:val="00E934AE"/>
    <w:rsid w:val="00E93721"/>
    <w:rsid w:val="00E9374C"/>
    <w:rsid w:val="00E93837"/>
    <w:rsid w:val="00E938D3"/>
    <w:rsid w:val="00E938F4"/>
    <w:rsid w:val="00E93A0A"/>
    <w:rsid w:val="00E93AEC"/>
    <w:rsid w:val="00E93BE3"/>
    <w:rsid w:val="00E93C21"/>
    <w:rsid w:val="00E93D15"/>
    <w:rsid w:val="00E93D3F"/>
    <w:rsid w:val="00E93D73"/>
    <w:rsid w:val="00E93DED"/>
    <w:rsid w:val="00E93F4D"/>
    <w:rsid w:val="00E942CB"/>
    <w:rsid w:val="00E9434E"/>
    <w:rsid w:val="00E9445B"/>
    <w:rsid w:val="00E94464"/>
    <w:rsid w:val="00E9460F"/>
    <w:rsid w:val="00E94618"/>
    <w:rsid w:val="00E9463C"/>
    <w:rsid w:val="00E9463D"/>
    <w:rsid w:val="00E94640"/>
    <w:rsid w:val="00E9479A"/>
    <w:rsid w:val="00E94A31"/>
    <w:rsid w:val="00E94A3E"/>
    <w:rsid w:val="00E94ACD"/>
    <w:rsid w:val="00E94CA9"/>
    <w:rsid w:val="00E94D21"/>
    <w:rsid w:val="00E94DAF"/>
    <w:rsid w:val="00E9525D"/>
    <w:rsid w:val="00E953A6"/>
    <w:rsid w:val="00E954E2"/>
    <w:rsid w:val="00E9573F"/>
    <w:rsid w:val="00E9576A"/>
    <w:rsid w:val="00E958AE"/>
    <w:rsid w:val="00E959AD"/>
    <w:rsid w:val="00E95A5E"/>
    <w:rsid w:val="00E95B41"/>
    <w:rsid w:val="00E95B7D"/>
    <w:rsid w:val="00E95BA1"/>
    <w:rsid w:val="00E95BE7"/>
    <w:rsid w:val="00E95C38"/>
    <w:rsid w:val="00E95CBC"/>
    <w:rsid w:val="00E95CBE"/>
    <w:rsid w:val="00E95D42"/>
    <w:rsid w:val="00E95DA0"/>
    <w:rsid w:val="00E95E48"/>
    <w:rsid w:val="00E95FF0"/>
    <w:rsid w:val="00E9606B"/>
    <w:rsid w:val="00E9619C"/>
    <w:rsid w:val="00E96516"/>
    <w:rsid w:val="00E96560"/>
    <w:rsid w:val="00E965B7"/>
    <w:rsid w:val="00E967EA"/>
    <w:rsid w:val="00E96868"/>
    <w:rsid w:val="00E9687E"/>
    <w:rsid w:val="00E969DA"/>
    <w:rsid w:val="00E96AB0"/>
    <w:rsid w:val="00E96B53"/>
    <w:rsid w:val="00E96E58"/>
    <w:rsid w:val="00E96EA5"/>
    <w:rsid w:val="00E97012"/>
    <w:rsid w:val="00E97112"/>
    <w:rsid w:val="00E9711F"/>
    <w:rsid w:val="00E97351"/>
    <w:rsid w:val="00E97370"/>
    <w:rsid w:val="00E973F9"/>
    <w:rsid w:val="00E9759B"/>
    <w:rsid w:val="00E9795B"/>
    <w:rsid w:val="00E97A0D"/>
    <w:rsid w:val="00E97A55"/>
    <w:rsid w:val="00E97A62"/>
    <w:rsid w:val="00E97A66"/>
    <w:rsid w:val="00E97B5A"/>
    <w:rsid w:val="00E97B6C"/>
    <w:rsid w:val="00E97BA9"/>
    <w:rsid w:val="00E97CA5"/>
    <w:rsid w:val="00E97D42"/>
    <w:rsid w:val="00E97E4F"/>
    <w:rsid w:val="00E97EAC"/>
    <w:rsid w:val="00EA010F"/>
    <w:rsid w:val="00EA02B2"/>
    <w:rsid w:val="00EA0495"/>
    <w:rsid w:val="00EA067F"/>
    <w:rsid w:val="00EA06E2"/>
    <w:rsid w:val="00EA0744"/>
    <w:rsid w:val="00EA09A5"/>
    <w:rsid w:val="00EA0A90"/>
    <w:rsid w:val="00EA0ADA"/>
    <w:rsid w:val="00EA0B2F"/>
    <w:rsid w:val="00EA0B9F"/>
    <w:rsid w:val="00EA0C71"/>
    <w:rsid w:val="00EA0CBF"/>
    <w:rsid w:val="00EA0DCD"/>
    <w:rsid w:val="00EA0E29"/>
    <w:rsid w:val="00EA0F39"/>
    <w:rsid w:val="00EA0F46"/>
    <w:rsid w:val="00EA109A"/>
    <w:rsid w:val="00EA12DD"/>
    <w:rsid w:val="00EA1493"/>
    <w:rsid w:val="00EA169F"/>
    <w:rsid w:val="00EA1805"/>
    <w:rsid w:val="00EA180F"/>
    <w:rsid w:val="00EA1970"/>
    <w:rsid w:val="00EA198A"/>
    <w:rsid w:val="00EA1A12"/>
    <w:rsid w:val="00EA1AA2"/>
    <w:rsid w:val="00EA1ABE"/>
    <w:rsid w:val="00EA1BE8"/>
    <w:rsid w:val="00EA1D8D"/>
    <w:rsid w:val="00EA1E20"/>
    <w:rsid w:val="00EA1E48"/>
    <w:rsid w:val="00EA1F67"/>
    <w:rsid w:val="00EA1F94"/>
    <w:rsid w:val="00EA1FC2"/>
    <w:rsid w:val="00EA1FF0"/>
    <w:rsid w:val="00EA2014"/>
    <w:rsid w:val="00EA208B"/>
    <w:rsid w:val="00EA213B"/>
    <w:rsid w:val="00EA22B4"/>
    <w:rsid w:val="00EA22C4"/>
    <w:rsid w:val="00EA230A"/>
    <w:rsid w:val="00EA2539"/>
    <w:rsid w:val="00EA254B"/>
    <w:rsid w:val="00EA257B"/>
    <w:rsid w:val="00EA25A2"/>
    <w:rsid w:val="00EA26C5"/>
    <w:rsid w:val="00EA26D5"/>
    <w:rsid w:val="00EA2797"/>
    <w:rsid w:val="00EA2939"/>
    <w:rsid w:val="00EA29AA"/>
    <w:rsid w:val="00EA29D9"/>
    <w:rsid w:val="00EA2B04"/>
    <w:rsid w:val="00EA2B1F"/>
    <w:rsid w:val="00EA2B88"/>
    <w:rsid w:val="00EA2C01"/>
    <w:rsid w:val="00EA2C3E"/>
    <w:rsid w:val="00EA2CA8"/>
    <w:rsid w:val="00EA2E31"/>
    <w:rsid w:val="00EA2E5A"/>
    <w:rsid w:val="00EA2FDD"/>
    <w:rsid w:val="00EA3214"/>
    <w:rsid w:val="00EA33D2"/>
    <w:rsid w:val="00EA344C"/>
    <w:rsid w:val="00EA34C1"/>
    <w:rsid w:val="00EA3539"/>
    <w:rsid w:val="00EA376C"/>
    <w:rsid w:val="00EA39BD"/>
    <w:rsid w:val="00EA39CA"/>
    <w:rsid w:val="00EA3AA6"/>
    <w:rsid w:val="00EA3B95"/>
    <w:rsid w:val="00EA3C87"/>
    <w:rsid w:val="00EA3F2D"/>
    <w:rsid w:val="00EA3FC4"/>
    <w:rsid w:val="00EA3FD5"/>
    <w:rsid w:val="00EA4146"/>
    <w:rsid w:val="00EA425F"/>
    <w:rsid w:val="00EA44DD"/>
    <w:rsid w:val="00EA4573"/>
    <w:rsid w:val="00EA4642"/>
    <w:rsid w:val="00EA4656"/>
    <w:rsid w:val="00EA4698"/>
    <w:rsid w:val="00EA46CC"/>
    <w:rsid w:val="00EA4824"/>
    <w:rsid w:val="00EA48FE"/>
    <w:rsid w:val="00EA4909"/>
    <w:rsid w:val="00EA4941"/>
    <w:rsid w:val="00EA49A6"/>
    <w:rsid w:val="00EA4C17"/>
    <w:rsid w:val="00EA507E"/>
    <w:rsid w:val="00EA51F7"/>
    <w:rsid w:val="00EA524F"/>
    <w:rsid w:val="00EA542D"/>
    <w:rsid w:val="00EA54E4"/>
    <w:rsid w:val="00EA564A"/>
    <w:rsid w:val="00EA5787"/>
    <w:rsid w:val="00EA57C6"/>
    <w:rsid w:val="00EA585D"/>
    <w:rsid w:val="00EA58E3"/>
    <w:rsid w:val="00EA5A14"/>
    <w:rsid w:val="00EA5B32"/>
    <w:rsid w:val="00EA5B43"/>
    <w:rsid w:val="00EA5CDE"/>
    <w:rsid w:val="00EA5CEE"/>
    <w:rsid w:val="00EA60DD"/>
    <w:rsid w:val="00EA6119"/>
    <w:rsid w:val="00EA61D7"/>
    <w:rsid w:val="00EA62B0"/>
    <w:rsid w:val="00EA635A"/>
    <w:rsid w:val="00EA6514"/>
    <w:rsid w:val="00EA665D"/>
    <w:rsid w:val="00EA6672"/>
    <w:rsid w:val="00EA66A4"/>
    <w:rsid w:val="00EA6732"/>
    <w:rsid w:val="00EA67AC"/>
    <w:rsid w:val="00EA6852"/>
    <w:rsid w:val="00EA68AE"/>
    <w:rsid w:val="00EA692C"/>
    <w:rsid w:val="00EA69B7"/>
    <w:rsid w:val="00EA6C8F"/>
    <w:rsid w:val="00EA6CBB"/>
    <w:rsid w:val="00EA6DA7"/>
    <w:rsid w:val="00EA6FE8"/>
    <w:rsid w:val="00EA7081"/>
    <w:rsid w:val="00EA713E"/>
    <w:rsid w:val="00EA7307"/>
    <w:rsid w:val="00EA7309"/>
    <w:rsid w:val="00EA733F"/>
    <w:rsid w:val="00EA749E"/>
    <w:rsid w:val="00EA755A"/>
    <w:rsid w:val="00EA756C"/>
    <w:rsid w:val="00EA7599"/>
    <w:rsid w:val="00EA75BA"/>
    <w:rsid w:val="00EA765F"/>
    <w:rsid w:val="00EA794A"/>
    <w:rsid w:val="00EA79B0"/>
    <w:rsid w:val="00EA79BB"/>
    <w:rsid w:val="00EA7A57"/>
    <w:rsid w:val="00EA7AA8"/>
    <w:rsid w:val="00EA7CCA"/>
    <w:rsid w:val="00EA7DB7"/>
    <w:rsid w:val="00EA7ECD"/>
    <w:rsid w:val="00EA7F42"/>
    <w:rsid w:val="00EB0264"/>
    <w:rsid w:val="00EB04A6"/>
    <w:rsid w:val="00EB0753"/>
    <w:rsid w:val="00EB0832"/>
    <w:rsid w:val="00EB0916"/>
    <w:rsid w:val="00EB0A1A"/>
    <w:rsid w:val="00EB0A7A"/>
    <w:rsid w:val="00EB0A99"/>
    <w:rsid w:val="00EB0BF1"/>
    <w:rsid w:val="00EB0F56"/>
    <w:rsid w:val="00EB10C0"/>
    <w:rsid w:val="00EB10F5"/>
    <w:rsid w:val="00EB115A"/>
    <w:rsid w:val="00EB1182"/>
    <w:rsid w:val="00EB1212"/>
    <w:rsid w:val="00EB133C"/>
    <w:rsid w:val="00EB1348"/>
    <w:rsid w:val="00EB1583"/>
    <w:rsid w:val="00EB15CC"/>
    <w:rsid w:val="00EB16D2"/>
    <w:rsid w:val="00EB17E7"/>
    <w:rsid w:val="00EB1806"/>
    <w:rsid w:val="00EB18EC"/>
    <w:rsid w:val="00EB195F"/>
    <w:rsid w:val="00EB1A39"/>
    <w:rsid w:val="00EB1A5A"/>
    <w:rsid w:val="00EB1AE4"/>
    <w:rsid w:val="00EB1BE4"/>
    <w:rsid w:val="00EB1F17"/>
    <w:rsid w:val="00EB1FCA"/>
    <w:rsid w:val="00EB1FD5"/>
    <w:rsid w:val="00EB206F"/>
    <w:rsid w:val="00EB2087"/>
    <w:rsid w:val="00EB211C"/>
    <w:rsid w:val="00EB2273"/>
    <w:rsid w:val="00EB24EC"/>
    <w:rsid w:val="00EB2572"/>
    <w:rsid w:val="00EB25F5"/>
    <w:rsid w:val="00EB260E"/>
    <w:rsid w:val="00EB2873"/>
    <w:rsid w:val="00EB28A4"/>
    <w:rsid w:val="00EB294B"/>
    <w:rsid w:val="00EB2A63"/>
    <w:rsid w:val="00EB2B2B"/>
    <w:rsid w:val="00EB2B4F"/>
    <w:rsid w:val="00EB2C1B"/>
    <w:rsid w:val="00EB2C31"/>
    <w:rsid w:val="00EB2C85"/>
    <w:rsid w:val="00EB321C"/>
    <w:rsid w:val="00EB3251"/>
    <w:rsid w:val="00EB333F"/>
    <w:rsid w:val="00EB3740"/>
    <w:rsid w:val="00EB38FF"/>
    <w:rsid w:val="00EB39E2"/>
    <w:rsid w:val="00EB3A45"/>
    <w:rsid w:val="00EB3AFA"/>
    <w:rsid w:val="00EB3C6E"/>
    <w:rsid w:val="00EB3CFA"/>
    <w:rsid w:val="00EB3F93"/>
    <w:rsid w:val="00EB3FD4"/>
    <w:rsid w:val="00EB40B7"/>
    <w:rsid w:val="00EB415D"/>
    <w:rsid w:val="00EB41F5"/>
    <w:rsid w:val="00EB4295"/>
    <w:rsid w:val="00EB4299"/>
    <w:rsid w:val="00EB4475"/>
    <w:rsid w:val="00EB45E8"/>
    <w:rsid w:val="00EB47CC"/>
    <w:rsid w:val="00EB480C"/>
    <w:rsid w:val="00EB4898"/>
    <w:rsid w:val="00EB4927"/>
    <w:rsid w:val="00EB4A2D"/>
    <w:rsid w:val="00EB4AD3"/>
    <w:rsid w:val="00EB4F33"/>
    <w:rsid w:val="00EB4F65"/>
    <w:rsid w:val="00EB4FA1"/>
    <w:rsid w:val="00EB51E2"/>
    <w:rsid w:val="00EB51FD"/>
    <w:rsid w:val="00EB5326"/>
    <w:rsid w:val="00EB535A"/>
    <w:rsid w:val="00EB542B"/>
    <w:rsid w:val="00EB5477"/>
    <w:rsid w:val="00EB55A7"/>
    <w:rsid w:val="00EB55EC"/>
    <w:rsid w:val="00EB55EF"/>
    <w:rsid w:val="00EB563F"/>
    <w:rsid w:val="00EB5763"/>
    <w:rsid w:val="00EB5822"/>
    <w:rsid w:val="00EB58C0"/>
    <w:rsid w:val="00EB58FB"/>
    <w:rsid w:val="00EB5948"/>
    <w:rsid w:val="00EB595C"/>
    <w:rsid w:val="00EB59AD"/>
    <w:rsid w:val="00EB5B6E"/>
    <w:rsid w:val="00EB5D08"/>
    <w:rsid w:val="00EB5D93"/>
    <w:rsid w:val="00EB5E06"/>
    <w:rsid w:val="00EB5F0A"/>
    <w:rsid w:val="00EB6086"/>
    <w:rsid w:val="00EB6205"/>
    <w:rsid w:val="00EB630E"/>
    <w:rsid w:val="00EB636F"/>
    <w:rsid w:val="00EB6466"/>
    <w:rsid w:val="00EB65F9"/>
    <w:rsid w:val="00EB664C"/>
    <w:rsid w:val="00EB6738"/>
    <w:rsid w:val="00EB673D"/>
    <w:rsid w:val="00EB676F"/>
    <w:rsid w:val="00EB67F1"/>
    <w:rsid w:val="00EB683A"/>
    <w:rsid w:val="00EB6985"/>
    <w:rsid w:val="00EB6991"/>
    <w:rsid w:val="00EB69F8"/>
    <w:rsid w:val="00EB6AA8"/>
    <w:rsid w:val="00EB6AEA"/>
    <w:rsid w:val="00EB6B55"/>
    <w:rsid w:val="00EB6CB0"/>
    <w:rsid w:val="00EB6D48"/>
    <w:rsid w:val="00EB6E66"/>
    <w:rsid w:val="00EB702A"/>
    <w:rsid w:val="00EB70EF"/>
    <w:rsid w:val="00EB718A"/>
    <w:rsid w:val="00EB71C5"/>
    <w:rsid w:val="00EB7269"/>
    <w:rsid w:val="00EB73A8"/>
    <w:rsid w:val="00EB757E"/>
    <w:rsid w:val="00EB75A0"/>
    <w:rsid w:val="00EB75B8"/>
    <w:rsid w:val="00EB760B"/>
    <w:rsid w:val="00EB761F"/>
    <w:rsid w:val="00EB7694"/>
    <w:rsid w:val="00EB78C2"/>
    <w:rsid w:val="00EB7BD3"/>
    <w:rsid w:val="00EB7ED5"/>
    <w:rsid w:val="00EB7F46"/>
    <w:rsid w:val="00EC00F9"/>
    <w:rsid w:val="00EC0130"/>
    <w:rsid w:val="00EC0201"/>
    <w:rsid w:val="00EC03D3"/>
    <w:rsid w:val="00EC03FA"/>
    <w:rsid w:val="00EC0664"/>
    <w:rsid w:val="00EC068B"/>
    <w:rsid w:val="00EC080B"/>
    <w:rsid w:val="00EC09DD"/>
    <w:rsid w:val="00EC0A39"/>
    <w:rsid w:val="00EC0A59"/>
    <w:rsid w:val="00EC0AB6"/>
    <w:rsid w:val="00EC0ACF"/>
    <w:rsid w:val="00EC0AD2"/>
    <w:rsid w:val="00EC0D77"/>
    <w:rsid w:val="00EC1094"/>
    <w:rsid w:val="00EC1098"/>
    <w:rsid w:val="00EC109E"/>
    <w:rsid w:val="00EC10AC"/>
    <w:rsid w:val="00EC11AE"/>
    <w:rsid w:val="00EC1266"/>
    <w:rsid w:val="00EC1446"/>
    <w:rsid w:val="00EC165D"/>
    <w:rsid w:val="00EC1737"/>
    <w:rsid w:val="00EC184A"/>
    <w:rsid w:val="00EC1AD4"/>
    <w:rsid w:val="00EC1B5E"/>
    <w:rsid w:val="00EC1CC7"/>
    <w:rsid w:val="00EC1CDC"/>
    <w:rsid w:val="00EC1F50"/>
    <w:rsid w:val="00EC1FCA"/>
    <w:rsid w:val="00EC2352"/>
    <w:rsid w:val="00EC249A"/>
    <w:rsid w:val="00EC24A8"/>
    <w:rsid w:val="00EC258A"/>
    <w:rsid w:val="00EC2603"/>
    <w:rsid w:val="00EC26DF"/>
    <w:rsid w:val="00EC2781"/>
    <w:rsid w:val="00EC28C6"/>
    <w:rsid w:val="00EC298A"/>
    <w:rsid w:val="00EC2A5F"/>
    <w:rsid w:val="00EC2A8B"/>
    <w:rsid w:val="00EC2AB0"/>
    <w:rsid w:val="00EC2AB3"/>
    <w:rsid w:val="00EC2BC5"/>
    <w:rsid w:val="00EC2C5B"/>
    <w:rsid w:val="00EC2D25"/>
    <w:rsid w:val="00EC2D93"/>
    <w:rsid w:val="00EC2DC8"/>
    <w:rsid w:val="00EC3145"/>
    <w:rsid w:val="00EC3295"/>
    <w:rsid w:val="00EC32B3"/>
    <w:rsid w:val="00EC3344"/>
    <w:rsid w:val="00EC3432"/>
    <w:rsid w:val="00EC34CC"/>
    <w:rsid w:val="00EC3970"/>
    <w:rsid w:val="00EC398C"/>
    <w:rsid w:val="00EC3A1C"/>
    <w:rsid w:val="00EC3A4C"/>
    <w:rsid w:val="00EC3B0D"/>
    <w:rsid w:val="00EC3BBE"/>
    <w:rsid w:val="00EC3C1C"/>
    <w:rsid w:val="00EC418D"/>
    <w:rsid w:val="00EC4230"/>
    <w:rsid w:val="00EC4524"/>
    <w:rsid w:val="00EC4560"/>
    <w:rsid w:val="00EC456C"/>
    <w:rsid w:val="00EC4747"/>
    <w:rsid w:val="00EC489D"/>
    <w:rsid w:val="00EC4A40"/>
    <w:rsid w:val="00EC4A51"/>
    <w:rsid w:val="00EC4C47"/>
    <w:rsid w:val="00EC4E99"/>
    <w:rsid w:val="00EC4F09"/>
    <w:rsid w:val="00EC4FD2"/>
    <w:rsid w:val="00EC502F"/>
    <w:rsid w:val="00EC50CE"/>
    <w:rsid w:val="00EC51B6"/>
    <w:rsid w:val="00EC534D"/>
    <w:rsid w:val="00EC546A"/>
    <w:rsid w:val="00EC573C"/>
    <w:rsid w:val="00EC5745"/>
    <w:rsid w:val="00EC57E7"/>
    <w:rsid w:val="00EC5925"/>
    <w:rsid w:val="00EC5A18"/>
    <w:rsid w:val="00EC5A23"/>
    <w:rsid w:val="00EC5B3D"/>
    <w:rsid w:val="00EC5B55"/>
    <w:rsid w:val="00EC5B92"/>
    <w:rsid w:val="00EC5CC2"/>
    <w:rsid w:val="00EC5CDE"/>
    <w:rsid w:val="00EC607A"/>
    <w:rsid w:val="00EC607B"/>
    <w:rsid w:val="00EC607E"/>
    <w:rsid w:val="00EC6130"/>
    <w:rsid w:val="00EC61A2"/>
    <w:rsid w:val="00EC6201"/>
    <w:rsid w:val="00EC634D"/>
    <w:rsid w:val="00EC63C9"/>
    <w:rsid w:val="00EC6492"/>
    <w:rsid w:val="00EC64B4"/>
    <w:rsid w:val="00EC64BE"/>
    <w:rsid w:val="00EC6543"/>
    <w:rsid w:val="00EC655D"/>
    <w:rsid w:val="00EC663C"/>
    <w:rsid w:val="00EC6896"/>
    <w:rsid w:val="00EC68B4"/>
    <w:rsid w:val="00EC6BC9"/>
    <w:rsid w:val="00EC6C03"/>
    <w:rsid w:val="00EC6C25"/>
    <w:rsid w:val="00EC6D27"/>
    <w:rsid w:val="00EC6D7B"/>
    <w:rsid w:val="00EC6F67"/>
    <w:rsid w:val="00EC70AD"/>
    <w:rsid w:val="00EC7184"/>
    <w:rsid w:val="00EC71D4"/>
    <w:rsid w:val="00EC71DB"/>
    <w:rsid w:val="00EC7217"/>
    <w:rsid w:val="00EC7289"/>
    <w:rsid w:val="00EC7399"/>
    <w:rsid w:val="00EC73A0"/>
    <w:rsid w:val="00EC73EF"/>
    <w:rsid w:val="00EC73FF"/>
    <w:rsid w:val="00EC761A"/>
    <w:rsid w:val="00EC76DA"/>
    <w:rsid w:val="00EC7823"/>
    <w:rsid w:val="00EC791E"/>
    <w:rsid w:val="00EC79CD"/>
    <w:rsid w:val="00EC79F8"/>
    <w:rsid w:val="00EC7A13"/>
    <w:rsid w:val="00EC7B8B"/>
    <w:rsid w:val="00EC7BA3"/>
    <w:rsid w:val="00EC7D91"/>
    <w:rsid w:val="00EC7F8B"/>
    <w:rsid w:val="00EC7FEA"/>
    <w:rsid w:val="00ED0215"/>
    <w:rsid w:val="00ED0216"/>
    <w:rsid w:val="00ED0231"/>
    <w:rsid w:val="00ED0297"/>
    <w:rsid w:val="00ED0322"/>
    <w:rsid w:val="00ED0706"/>
    <w:rsid w:val="00ED076D"/>
    <w:rsid w:val="00ED07E5"/>
    <w:rsid w:val="00ED08A7"/>
    <w:rsid w:val="00ED08BB"/>
    <w:rsid w:val="00ED091C"/>
    <w:rsid w:val="00ED0959"/>
    <w:rsid w:val="00ED0A99"/>
    <w:rsid w:val="00ED0B46"/>
    <w:rsid w:val="00ED0BB4"/>
    <w:rsid w:val="00ED0C99"/>
    <w:rsid w:val="00ED1050"/>
    <w:rsid w:val="00ED1064"/>
    <w:rsid w:val="00ED10CC"/>
    <w:rsid w:val="00ED124C"/>
    <w:rsid w:val="00ED12BF"/>
    <w:rsid w:val="00ED130C"/>
    <w:rsid w:val="00ED135B"/>
    <w:rsid w:val="00ED13DD"/>
    <w:rsid w:val="00ED1412"/>
    <w:rsid w:val="00ED14F5"/>
    <w:rsid w:val="00ED153F"/>
    <w:rsid w:val="00ED1580"/>
    <w:rsid w:val="00ED15A1"/>
    <w:rsid w:val="00ED17AA"/>
    <w:rsid w:val="00ED18F4"/>
    <w:rsid w:val="00ED1AA6"/>
    <w:rsid w:val="00ED1AF9"/>
    <w:rsid w:val="00ED1CEC"/>
    <w:rsid w:val="00ED1E2F"/>
    <w:rsid w:val="00ED2036"/>
    <w:rsid w:val="00ED2116"/>
    <w:rsid w:val="00ED21B0"/>
    <w:rsid w:val="00ED223D"/>
    <w:rsid w:val="00ED22DE"/>
    <w:rsid w:val="00ED24AA"/>
    <w:rsid w:val="00ED25BF"/>
    <w:rsid w:val="00ED2626"/>
    <w:rsid w:val="00ED26AC"/>
    <w:rsid w:val="00ED2739"/>
    <w:rsid w:val="00ED2818"/>
    <w:rsid w:val="00ED28D3"/>
    <w:rsid w:val="00ED2935"/>
    <w:rsid w:val="00ED29FF"/>
    <w:rsid w:val="00ED2AF9"/>
    <w:rsid w:val="00ED2B4F"/>
    <w:rsid w:val="00ED2CA1"/>
    <w:rsid w:val="00ED3082"/>
    <w:rsid w:val="00ED32D2"/>
    <w:rsid w:val="00ED332C"/>
    <w:rsid w:val="00ED33D1"/>
    <w:rsid w:val="00ED34CE"/>
    <w:rsid w:val="00ED34ED"/>
    <w:rsid w:val="00ED3649"/>
    <w:rsid w:val="00ED3694"/>
    <w:rsid w:val="00ED3898"/>
    <w:rsid w:val="00ED389A"/>
    <w:rsid w:val="00ED3A0B"/>
    <w:rsid w:val="00ED3A17"/>
    <w:rsid w:val="00ED3BDF"/>
    <w:rsid w:val="00ED3BFA"/>
    <w:rsid w:val="00ED3D10"/>
    <w:rsid w:val="00ED3D4D"/>
    <w:rsid w:val="00ED3DCB"/>
    <w:rsid w:val="00ED3DCD"/>
    <w:rsid w:val="00ED3E43"/>
    <w:rsid w:val="00ED3E80"/>
    <w:rsid w:val="00ED3F7F"/>
    <w:rsid w:val="00ED401E"/>
    <w:rsid w:val="00ED4052"/>
    <w:rsid w:val="00ED40B1"/>
    <w:rsid w:val="00ED44D8"/>
    <w:rsid w:val="00ED4543"/>
    <w:rsid w:val="00ED465E"/>
    <w:rsid w:val="00ED4752"/>
    <w:rsid w:val="00ED479F"/>
    <w:rsid w:val="00ED4BDB"/>
    <w:rsid w:val="00ED4CBE"/>
    <w:rsid w:val="00ED4CC6"/>
    <w:rsid w:val="00ED4D43"/>
    <w:rsid w:val="00ED4D7E"/>
    <w:rsid w:val="00ED4F2D"/>
    <w:rsid w:val="00ED501C"/>
    <w:rsid w:val="00ED504C"/>
    <w:rsid w:val="00ED505C"/>
    <w:rsid w:val="00ED521D"/>
    <w:rsid w:val="00ED52F3"/>
    <w:rsid w:val="00ED5310"/>
    <w:rsid w:val="00ED57EE"/>
    <w:rsid w:val="00ED5A85"/>
    <w:rsid w:val="00ED5B1B"/>
    <w:rsid w:val="00ED5C07"/>
    <w:rsid w:val="00ED5C19"/>
    <w:rsid w:val="00ED5C2A"/>
    <w:rsid w:val="00ED5CEC"/>
    <w:rsid w:val="00ED5FED"/>
    <w:rsid w:val="00ED601B"/>
    <w:rsid w:val="00ED6082"/>
    <w:rsid w:val="00ED615E"/>
    <w:rsid w:val="00ED6247"/>
    <w:rsid w:val="00ED62CE"/>
    <w:rsid w:val="00ED62D7"/>
    <w:rsid w:val="00ED62FB"/>
    <w:rsid w:val="00ED6453"/>
    <w:rsid w:val="00ED652B"/>
    <w:rsid w:val="00ED65CF"/>
    <w:rsid w:val="00ED66E4"/>
    <w:rsid w:val="00ED6714"/>
    <w:rsid w:val="00ED6717"/>
    <w:rsid w:val="00ED677D"/>
    <w:rsid w:val="00ED678E"/>
    <w:rsid w:val="00ED69E0"/>
    <w:rsid w:val="00ED6A08"/>
    <w:rsid w:val="00ED6CC3"/>
    <w:rsid w:val="00ED6D02"/>
    <w:rsid w:val="00ED6DC7"/>
    <w:rsid w:val="00ED6E6A"/>
    <w:rsid w:val="00ED6FC4"/>
    <w:rsid w:val="00ED701E"/>
    <w:rsid w:val="00ED7164"/>
    <w:rsid w:val="00ED722F"/>
    <w:rsid w:val="00ED7358"/>
    <w:rsid w:val="00ED75EE"/>
    <w:rsid w:val="00ED76D0"/>
    <w:rsid w:val="00ED7720"/>
    <w:rsid w:val="00ED7A28"/>
    <w:rsid w:val="00ED7A31"/>
    <w:rsid w:val="00ED7A55"/>
    <w:rsid w:val="00ED7C2A"/>
    <w:rsid w:val="00ED7D56"/>
    <w:rsid w:val="00ED7F2A"/>
    <w:rsid w:val="00EE00AD"/>
    <w:rsid w:val="00EE00ED"/>
    <w:rsid w:val="00EE023A"/>
    <w:rsid w:val="00EE03B9"/>
    <w:rsid w:val="00EE03DB"/>
    <w:rsid w:val="00EE052D"/>
    <w:rsid w:val="00EE05AD"/>
    <w:rsid w:val="00EE060F"/>
    <w:rsid w:val="00EE0658"/>
    <w:rsid w:val="00EE085A"/>
    <w:rsid w:val="00EE0882"/>
    <w:rsid w:val="00EE08EE"/>
    <w:rsid w:val="00EE0A89"/>
    <w:rsid w:val="00EE0B42"/>
    <w:rsid w:val="00EE0BB3"/>
    <w:rsid w:val="00EE0CC6"/>
    <w:rsid w:val="00EE0DDD"/>
    <w:rsid w:val="00EE0EBD"/>
    <w:rsid w:val="00EE0F73"/>
    <w:rsid w:val="00EE105B"/>
    <w:rsid w:val="00EE10DC"/>
    <w:rsid w:val="00EE116C"/>
    <w:rsid w:val="00EE117D"/>
    <w:rsid w:val="00EE1282"/>
    <w:rsid w:val="00EE146C"/>
    <w:rsid w:val="00EE14D6"/>
    <w:rsid w:val="00EE150E"/>
    <w:rsid w:val="00EE1548"/>
    <w:rsid w:val="00EE160D"/>
    <w:rsid w:val="00EE16D4"/>
    <w:rsid w:val="00EE18B2"/>
    <w:rsid w:val="00EE194F"/>
    <w:rsid w:val="00EE1B32"/>
    <w:rsid w:val="00EE1B5B"/>
    <w:rsid w:val="00EE1B7C"/>
    <w:rsid w:val="00EE1D31"/>
    <w:rsid w:val="00EE1E34"/>
    <w:rsid w:val="00EE1F5A"/>
    <w:rsid w:val="00EE1F74"/>
    <w:rsid w:val="00EE1FC1"/>
    <w:rsid w:val="00EE2005"/>
    <w:rsid w:val="00EE2174"/>
    <w:rsid w:val="00EE2179"/>
    <w:rsid w:val="00EE2296"/>
    <w:rsid w:val="00EE2398"/>
    <w:rsid w:val="00EE2435"/>
    <w:rsid w:val="00EE248F"/>
    <w:rsid w:val="00EE24CC"/>
    <w:rsid w:val="00EE272D"/>
    <w:rsid w:val="00EE2791"/>
    <w:rsid w:val="00EE2909"/>
    <w:rsid w:val="00EE299A"/>
    <w:rsid w:val="00EE29A4"/>
    <w:rsid w:val="00EE2A76"/>
    <w:rsid w:val="00EE2A7C"/>
    <w:rsid w:val="00EE2A96"/>
    <w:rsid w:val="00EE2A9A"/>
    <w:rsid w:val="00EE2B45"/>
    <w:rsid w:val="00EE2BBE"/>
    <w:rsid w:val="00EE2BD5"/>
    <w:rsid w:val="00EE2E06"/>
    <w:rsid w:val="00EE2E29"/>
    <w:rsid w:val="00EE2F5E"/>
    <w:rsid w:val="00EE30AA"/>
    <w:rsid w:val="00EE311A"/>
    <w:rsid w:val="00EE3156"/>
    <w:rsid w:val="00EE31A7"/>
    <w:rsid w:val="00EE3226"/>
    <w:rsid w:val="00EE3387"/>
    <w:rsid w:val="00EE34B7"/>
    <w:rsid w:val="00EE34E7"/>
    <w:rsid w:val="00EE350C"/>
    <w:rsid w:val="00EE353E"/>
    <w:rsid w:val="00EE35AF"/>
    <w:rsid w:val="00EE3640"/>
    <w:rsid w:val="00EE3697"/>
    <w:rsid w:val="00EE37FE"/>
    <w:rsid w:val="00EE3872"/>
    <w:rsid w:val="00EE39F5"/>
    <w:rsid w:val="00EE3AC9"/>
    <w:rsid w:val="00EE3B03"/>
    <w:rsid w:val="00EE3B9F"/>
    <w:rsid w:val="00EE3E34"/>
    <w:rsid w:val="00EE407B"/>
    <w:rsid w:val="00EE4083"/>
    <w:rsid w:val="00EE40E8"/>
    <w:rsid w:val="00EE4372"/>
    <w:rsid w:val="00EE44CB"/>
    <w:rsid w:val="00EE45C1"/>
    <w:rsid w:val="00EE46C7"/>
    <w:rsid w:val="00EE4748"/>
    <w:rsid w:val="00EE479D"/>
    <w:rsid w:val="00EE487E"/>
    <w:rsid w:val="00EE4B69"/>
    <w:rsid w:val="00EE4CB9"/>
    <w:rsid w:val="00EE4E40"/>
    <w:rsid w:val="00EE4E5B"/>
    <w:rsid w:val="00EE4E91"/>
    <w:rsid w:val="00EE4F3F"/>
    <w:rsid w:val="00EE4FF4"/>
    <w:rsid w:val="00EE516D"/>
    <w:rsid w:val="00EE5245"/>
    <w:rsid w:val="00EE535E"/>
    <w:rsid w:val="00EE5519"/>
    <w:rsid w:val="00EE55F2"/>
    <w:rsid w:val="00EE586F"/>
    <w:rsid w:val="00EE58D6"/>
    <w:rsid w:val="00EE595A"/>
    <w:rsid w:val="00EE598E"/>
    <w:rsid w:val="00EE59F9"/>
    <w:rsid w:val="00EE5C2E"/>
    <w:rsid w:val="00EE5C31"/>
    <w:rsid w:val="00EE5C34"/>
    <w:rsid w:val="00EE5D2D"/>
    <w:rsid w:val="00EE5D4B"/>
    <w:rsid w:val="00EE5DA9"/>
    <w:rsid w:val="00EE5DF2"/>
    <w:rsid w:val="00EE5E52"/>
    <w:rsid w:val="00EE5EF2"/>
    <w:rsid w:val="00EE6176"/>
    <w:rsid w:val="00EE61C7"/>
    <w:rsid w:val="00EE61C9"/>
    <w:rsid w:val="00EE63F2"/>
    <w:rsid w:val="00EE64FC"/>
    <w:rsid w:val="00EE6532"/>
    <w:rsid w:val="00EE6654"/>
    <w:rsid w:val="00EE666E"/>
    <w:rsid w:val="00EE68E7"/>
    <w:rsid w:val="00EE6980"/>
    <w:rsid w:val="00EE6B71"/>
    <w:rsid w:val="00EE6B7E"/>
    <w:rsid w:val="00EE6B85"/>
    <w:rsid w:val="00EE6BC6"/>
    <w:rsid w:val="00EE6C95"/>
    <w:rsid w:val="00EE6D59"/>
    <w:rsid w:val="00EE6E77"/>
    <w:rsid w:val="00EE6F95"/>
    <w:rsid w:val="00EE7010"/>
    <w:rsid w:val="00EE7026"/>
    <w:rsid w:val="00EE7059"/>
    <w:rsid w:val="00EE712B"/>
    <w:rsid w:val="00EE71A1"/>
    <w:rsid w:val="00EE7249"/>
    <w:rsid w:val="00EE76EE"/>
    <w:rsid w:val="00EE76FA"/>
    <w:rsid w:val="00EE7777"/>
    <w:rsid w:val="00EE7ADA"/>
    <w:rsid w:val="00EE7C9D"/>
    <w:rsid w:val="00EE7E06"/>
    <w:rsid w:val="00EF00BE"/>
    <w:rsid w:val="00EF0165"/>
    <w:rsid w:val="00EF0258"/>
    <w:rsid w:val="00EF030E"/>
    <w:rsid w:val="00EF044E"/>
    <w:rsid w:val="00EF04A3"/>
    <w:rsid w:val="00EF04D2"/>
    <w:rsid w:val="00EF0507"/>
    <w:rsid w:val="00EF0582"/>
    <w:rsid w:val="00EF05F3"/>
    <w:rsid w:val="00EF0610"/>
    <w:rsid w:val="00EF0650"/>
    <w:rsid w:val="00EF075C"/>
    <w:rsid w:val="00EF07E9"/>
    <w:rsid w:val="00EF0883"/>
    <w:rsid w:val="00EF0A07"/>
    <w:rsid w:val="00EF0AB6"/>
    <w:rsid w:val="00EF0D2F"/>
    <w:rsid w:val="00EF0D97"/>
    <w:rsid w:val="00EF0DF9"/>
    <w:rsid w:val="00EF0EB0"/>
    <w:rsid w:val="00EF0FF7"/>
    <w:rsid w:val="00EF1288"/>
    <w:rsid w:val="00EF131B"/>
    <w:rsid w:val="00EF13DE"/>
    <w:rsid w:val="00EF140D"/>
    <w:rsid w:val="00EF14C9"/>
    <w:rsid w:val="00EF14E0"/>
    <w:rsid w:val="00EF1641"/>
    <w:rsid w:val="00EF17A3"/>
    <w:rsid w:val="00EF1B76"/>
    <w:rsid w:val="00EF1DC9"/>
    <w:rsid w:val="00EF1E62"/>
    <w:rsid w:val="00EF1E9F"/>
    <w:rsid w:val="00EF1F51"/>
    <w:rsid w:val="00EF20EF"/>
    <w:rsid w:val="00EF2182"/>
    <w:rsid w:val="00EF224F"/>
    <w:rsid w:val="00EF250F"/>
    <w:rsid w:val="00EF2727"/>
    <w:rsid w:val="00EF281B"/>
    <w:rsid w:val="00EF2918"/>
    <w:rsid w:val="00EF2AE3"/>
    <w:rsid w:val="00EF2B9C"/>
    <w:rsid w:val="00EF2BCD"/>
    <w:rsid w:val="00EF2BED"/>
    <w:rsid w:val="00EF2CA6"/>
    <w:rsid w:val="00EF2CE1"/>
    <w:rsid w:val="00EF2D77"/>
    <w:rsid w:val="00EF2E06"/>
    <w:rsid w:val="00EF2ECC"/>
    <w:rsid w:val="00EF3106"/>
    <w:rsid w:val="00EF3143"/>
    <w:rsid w:val="00EF3258"/>
    <w:rsid w:val="00EF358F"/>
    <w:rsid w:val="00EF366D"/>
    <w:rsid w:val="00EF375E"/>
    <w:rsid w:val="00EF385C"/>
    <w:rsid w:val="00EF3AB1"/>
    <w:rsid w:val="00EF3C75"/>
    <w:rsid w:val="00EF3D23"/>
    <w:rsid w:val="00EF3ECD"/>
    <w:rsid w:val="00EF3ED4"/>
    <w:rsid w:val="00EF3FD8"/>
    <w:rsid w:val="00EF3FFB"/>
    <w:rsid w:val="00EF42C5"/>
    <w:rsid w:val="00EF432F"/>
    <w:rsid w:val="00EF43D9"/>
    <w:rsid w:val="00EF43DD"/>
    <w:rsid w:val="00EF4402"/>
    <w:rsid w:val="00EF4450"/>
    <w:rsid w:val="00EF46F3"/>
    <w:rsid w:val="00EF4764"/>
    <w:rsid w:val="00EF4A0B"/>
    <w:rsid w:val="00EF4ABF"/>
    <w:rsid w:val="00EF4AE7"/>
    <w:rsid w:val="00EF4B50"/>
    <w:rsid w:val="00EF4B71"/>
    <w:rsid w:val="00EF4BF9"/>
    <w:rsid w:val="00EF4C6F"/>
    <w:rsid w:val="00EF4C73"/>
    <w:rsid w:val="00EF4DA6"/>
    <w:rsid w:val="00EF4DA8"/>
    <w:rsid w:val="00EF4FC1"/>
    <w:rsid w:val="00EF50B7"/>
    <w:rsid w:val="00EF5392"/>
    <w:rsid w:val="00EF53CA"/>
    <w:rsid w:val="00EF544E"/>
    <w:rsid w:val="00EF5664"/>
    <w:rsid w:val="00EF567A"/>
    <w:rsid w:val="00EF577A"/>
    <w:rsid w:val="00EF584B"/>
    <w:rsid w:val="00EF587F"/>
    <w:rsid w:val="00EF5886"/>
    <w:rsid w:val="00EF58D7"/>
    <w:rsid w:val="00EF5902"/>
    <w:rsid w:val="00EF5B2B"/>
    <w:rsid w:val="00EF5B32"/>
    <w:rsid w:val="00EF5B6F"/>
    <w:rsid w:val="00EF5C37"/>
    <w:rsid w:val="00EF5CD0"/>
    <w:rsid w:val="00EF5D5C"/>
    <w:rsid w:val="00EF5DC2"/>
    <w:rsid w:val="00EF5E18"/>
    <w:rsid w:val="00EF5E95"/>
    <w:rsid w:val="00EF5F8F"/>
    <w:rsid w:val="00EF6277"/>
    <w:rsid w:val="00EF6290"/>
    <w:rsid w:val="00EF643C"/>
    <w:rsid w:val="00EF64C0"/>
    <w:rsid w:val="00EF64D0"/>
    <w:rsid w:val="00EF66B4"/>
    <w:rsid w:val="00EF6B56"/>
    <w:rsid w:val="00EF6BFB"/>
    <w:rsid w:val="00EF6D6C"/>
    <w:rsid w:val="00EF6DCF"/>
    <w:rsid w:val="00EF6F3A"/>
    <w:rsid w:val="00EF7016"/>
    <w:rsid w:val="00EF7197"/>
    <w:rsid w:val="00EF7266"/>
    <w:rsid w:val="00EF7375"/>
    <w:rsid w:val="00EF73A3"/>
    <w:rsid w:val="00EF7441"/>
    <w:rsid w:val="00EF7502"/>
    <w:rsid w:val="00EF7549"/>
    <w:rsid w:val="00EF77A7"/>
    <w:rsid w:val="00EF77BE"/>
    <w:rsid w:val="00EF7943"/>
    <w:rsid w:val="00EF7946"/>
    <w:rsid w:val="00EF7A90"/>
    <w:rsid w:val="00EF7AE4"/>
    <w:rsid w:val="00EF7B26"/>
    <w:rsid w:val="00EF7C57"/>
    <w:rsid w:val="00EF7EE4"/>
    <w:rsid w:val="00EF7FF4"/>
    <w:rsid w:val="00F00024"/>
    <w:rsid w:val="00F0008F"/>
    <w:rsid w:val="00F00310"/>
    <w:rsid w:val="00F00698"/>
    <w:rsid w:val="00F006A4"/>
    <w:rsid w:val="00F006D9"/>
    <w:rsid w:val="00F0077C"/>
    <w:rsid w:val="00F00971"/>
    <w:rsid w:val="00F00AB7"/>
    <w:rsid w:val="00F00C86"/>
    <w:rsid w:val="00F00D2D"/>
    <w:rsid w:val="00F00D8C"/>
    <w:rsid w:val="00F00DD4"/>
    <w:rsid w:val="00F00E46"/>
    <w:rsid w:val="00F00F40"/>
    <w:rsid w:val="00F011FE"/>
    <w:rsid w:val="00F012B8"/>
    <w:rsid w:val="00F016B1"/>
    <w:rsid w:val="00F01A31"/>
    <w:rsid w:val="00F01ACA"/>
    <w:rsid w:val="00F01AE7"/>
    <w:rsid w:val="00F01C13"/>
    <w:rsid w:val="00F01C14"/>
    <w:rsid w:val="00F01D4F"/>
    <w:rsid w:val="00F01D9B"/>
    <w:rsid w:val="00F01E05"/>
    <w:rsid w:val="00F01EB8"/>
    <w:rsid w:val="00F01FFF"/>
    <w:rsid w:val="00F02127"/>
    <w:rsid w:val="00F02135"/>
    <w:rsid w:val="00F021ED"/>
    <w:rsid w:val="00F02517"/>
    <w:rsid w:val="00F0252E"/>
    <w:rsid w:val="00F025FB"/>
    <w:rsid w:val="00F0284E"/>
    <w:rsid w:val="00F02901"/>
    <w:rsid w:val="00F02B4E"/>
    <w:rsid w:val="00F02BEA"/>
    <w:rsid w:val="00F02C7A"/>
    <w:rsid w:val="00F02CB9"/>
    <w:rsid w:val="00F02D04"/>
    <w:rsid w:val="00F02D33"/>
    <w:rsid w:val="00F02DFC"/>
    <w:rsid w:val="00F02E81"/>
    <w:rsid w:val="00F0324D"/>
    <w:rsid w:val="00F032A1"/>
    <w:rsid w:val="00F03360"/>
    <w:rsid w:val="00F03379"/>
    <w:rsid w:val="00F033D3"/>
    <w:rsid w:val="00F034D8"/>
    <w:rsid w:val="00F03631"/>
    <w:rsid w:val="00F0368A"/>
    <w:rsid w:val="00F038EF"/>
    <w:rsid w:val="00F03A2E"/>
    <w:rsid w:val="00F03B92"/>
    <w:rsid w:val="00F03BDB"/>
    <w:rsid w:val="00F03D88"/>
    <w:rsid w:val="00F03E63"/>
    <w:rsid w:val="00F03FB8"/>
    <w:rsid w:val="00F03FE0"/>
    <w:rsid w:val="00F040D0"/>
    <w:rsid w:val="00F04108"/>
    <w:rsid w:val="00F04147"/>
    <w:rsid w:val="00F0420D"/>
    <w:rsid w:val="00F043B9"/>
    <w:rsid w:val="00F04493"/>
    <w:rsid w:val="00F0452B"/>
    <w:rsid w:val="00F0465A"/>
    <w:rsid w:val="00F04795"/>
    <w:rsid w:val="00F04851"/>
    <w:rsid w:val="00F048A7"/>
    <w:rsid w:val="00F04919"/>
    <w:rsid w:val="00F04AA6"/>
    <w:rsid w:val="00F04B0A"/>
    <w:rsid w:val="00F04B28"/>
    <w:rsid w:val="00F04B46"/>
    <w:rsid w:val="00F04C32"/>
    <w:rsid w:val="00F04CEE"/>
    <w:rsid w:val="00F04DF5"/>
    <w:rsid w:val="00F04E43"/>
    <w:rsid w:val="00F05007"/>
    <w:rsid w:val="00F05032"/>
    <w:rsid w:val="00F051E0"/>
    <w:rsid w:val="00F052E3"/>
    <w:rsid w:val="00F05415"/>
    <w:rsid w:val="00F0542A"/>
    <w:rsid w:val="00F055BC"/>
    <w:rsid w:val="00F05667"/>
    <w:rsid w:val="00F0567F"/>
    <w:rsid w:val="00F057B6"/>
    <w:rsid w:val="00F057E0"/>
    <w:rsid w:val="00F05D18"/>
    <w:rsid w:val="00F05DFB"/>
    <w:rsid w:val="00F05EBF"/>
    <w:rsid w:val="00F05F4B"/>
    <w:rsid w:val="00F05F6B"/>
    <w:rsid w:val="00F06080"/>
    <w:rsid w:val="00F06102"/>
    <w:rsid w:val="00F06111"/>
    <w:rsid w:val="00F061D4"/>
    <w:rsid w:val="00F065AB"/>
    <w:rsid w:val="00F068C0"/>
    <w:rsid w:val="00F06A45"/>
    <w:rsid w:val="00F06BAD"/>
    <w:rsid w:val="00F06D25"/>
    <w:rsid w:val="00F06D9F"/>
    <w:rsid w:val="00F06DFD"/>
    <w:rsid w:val="00F06E30"/>
    <w:rsid w:val="00F06EA0"/>
    <w:rsid w:val="00F06FE7"/>
    <w:rsid w:val="00F06FFC"/>
    <w:rsid w:val="00F07023"/>
    <w:rsid w:val="00F07382"/>
    <w:rsid w:val="00F07490"/>
    <w:rsid w:val="00F07520"/>
    <w:rsid w:val="00F0770F"/>
    <w:rsid w:val="00F0773D"/>
    <w:rsid w:val="00F077BB"/>
    <w:rsid w:val="00F079A4"/>
    <w:rsid w:val="00F07B77"/>
    <w:rsid w:val="00F07DB0"/>
    <w:rsid w:val="00F07E1F"/>
    <w:rsid w:val="00F07EAB"/>
    <w:rsid w:val="00F07F1F"/>
    <w:rsid w:val="00F07F52"/>
    <w:rsid w:val="00F07FF5"/>
    <w:rsid w:val="00F100D1"/>
    <w:rsid w:val="00F101B1"/>
    <w:rsid w:val="00F102B6"/>
    <w:rsid w:val="00F1043E"/>
    <w:rsid w:val="00F10495"/>
    <w:rsid w:val="00F10708"/>
    <w:rsid w:val="00F10A0A"/>
    <w:rsid w:val="00F10A81"/>
    <w:rsid w:val="00F10C81"/>
    <w:rsid w:val="00F10CDD"/>
    <w:rsid w:val="00F10CF1"/>
    <w:rsid w:val="00F10D0C"/>
    <w:rsid w:val="00F10DAE"/>
    <w:rsid w:val="00F10E86"/>
    <w:rsid w:val="00F10FA2"/>
    <w:rsid w:val="00F11122"/>
    <w:rsid w:val="00F1118F"/>
    <w:rsid w:val="00F1140E"/>
    <w:rsid w:val="00F11428"/>
    <w:rsid w:val="00F114C1"/>
    <w:rsid w:val="00F1153D"/>
    <w:rsid w:val="00F1154B"/>
    <w:rsid w:val="00F1156E"/>
    <w:rsid w:val="00F115D7"/>
    <w:rsid w:val="00F1168A"/>
    <w:rsid w:val="00F1183F"/>
    <w:rsid w:val="00F11A25"/>
    <w:rsid w:val="00F11ADF"/>
    <w:rsid w:val="00F11B64"/>
    <w:rsid w:val="00F11BF5"/>
    <w:rsid w:val="00F11CA9"/>
    <w:rsid w:val="00F11CBC"/>
    <w:rsid w:val="00F12032"/>
    <w:rsid w:val="00F120DB"/>
    <w:rsid w:val="00F121B1"/>
    <w:rsid w:val="00F121EE"/>
    <w:rsid w:val="00F12214"/>
    <w:rsid w:val="00F12250"/>
    <w:rsid w:val="00F123C1"/>
    <w:rsid w:val="00F12488"/>
    <w:rsid w:val="00F124AE"/>
    <w:rsid w:val="00F12674"/>
    <w:rsid w:val="00F12691"/>
    <w:rsid w:val="00F127F2"/>
    <w:rsid w:val="00F128B5"/>
    <w:rsid w:val="00F12948"/>
    <w:rsid w:val="00F12949"/>
    <w:rsid w:val="00F12963"/>
    <w:rsid w:val="00F12AF3"/>
    <w:rsid w:val="00F12BBF"/>
    <w:rsid w:val="00F12C69"/>
    <w:rsid w:val="00F12C74"/>
    <w:rsid w:val="00F12CD5"/>
    <w:rsid w:val="00F12D13"/>
    <w:rsid w:val="00F12DCD"/>
    <w:rsid w:val="00F1302B"/>
    <w:rsid w:val="00F130BE"/>
    <w:rsid w:val="00F130C6"/>
    <w:rsid w:val="00F131EB"/>
    <w:rsid w:val="00F13234"/>
    <w:rsid w:val="00F13364"/>
    <w:rsid w:val="00F133F0"/>
    <w:rsid w:val="00F13418"/>
    <w:rsid w:val="00F13490"/>
    <w:rsid w:val="00F13672"/>
    <w:rsid w:val="00F136AF"/>
    <w:rsid w:val="00F13875"/>
    <w:rsid w:val="00F139DB"/>
    <w:rsid w:val="00F139E0"/>
    <w:rsid w:val="00F139EA"/>
    <w:rsid w:val="00F13A21"/>
    <w:rsid w:val="00F13A95"/>
    <w:rsid w:val="00F13AFD"/>
    <w:rsid w:val="00F13B16"/>
    <w:rsid w:val="00F13B35"/>
    <w:rsid w:val="00F13B49"/>
    <w:rsid w:val="00F13C19"/>
    <w:rsid w:val="00F13CF3"/>
    <w:rsid w:val="00F13DC5"/>
    <w:rsid w:val="00F14055"/>
    <w:rsid w:val="00F140E8"/>
    <w:rsid w:val="00F1419D"/>
    <w:rsid w:val="00F1419F"/>
    <w:rsid w:val="00F141E6"/>
    <w:rsid w:val="00F14258"/>
    <w:rsid w:val="00F14352"/>
    <w:rsid w:val="00F144AC"/>
    <w:rsid w:val="00F144E7"/>
    <w:rsid w:val="00F14578"/>
    <w:rsid w:val="00F14588"/>
    <w:rsid w:val="00F14AC5"/>
    <w:rsid w:val="00F14ADE"/>
    <w:rsid w:val="00F14DE6"/>
    <w:rsid w:val="00F14E90"/>
    <w:rsid w:val="00F14F35"/>
    <w:rsid w:val="00F14F93"/>
    <w:rsid w:val="00F15007"/>
    <w:rsid w:val="00F1501F"/>
    <w:rsid w:val="00F151F9"/>
    <w:rsid w:val="00F153E5"/>
    <w:rsid w:val="00F15427"/>
    <w:rsid w:val="00F154C5"/>
    <w:rsid w:val="00F158CD"/>
    <w:rsid w:val="00F15936"/>
    <w:rsid w:val="00F159EB"/>
    <w:rsid w:val="00F159FB"/>
    <w:rsid w:val="00F15A03"/>
    <w:rsid w:val="00F15AD9"/>
    <w:rsid w:val="00F15B35"/>
    <w:rsid w:val="00F15BD2"/>
    <w:rsid w:val="00F15D98"/>
    <w:rsid w:val="00F15D99"/>
    <w:rsid w:val="00F15DDE"/>
    <w:rsid w:val="00F15EAA"/>
    <w:rsid w:val="00F15F99"/>
    <w:rsid w:val="00F16180"/>
    <w:rsid w:val="00F1626E"/>
    <w:rsid w:val="00F164C3"/>
    <w:rsid w:val="00F16523"/>
    <w:rsid w:val="00F16695"/>
    <w:rsid w:val="00F167A8"/>
    <w:rsid w:val="00F16837"/>
    <w:rsid w:val="00F16953"/>
    <w:rsid w:val="00F16ABF"/>
    <w:rsid w:val="00F16B63"/>
    <w:rsid w:val="00F16D37"/>
    <w:rsid w:val="00F16D5E"/>
    <w:rsid w:val="00F16EB0"/>
    <w:rsid w:val="00F16EE1"/>
    <w:rsid w:val="00F170F5"/>
    <w:rsid w:val="00F17101"/>
    <w:rsid w:val="00F17199"/>
    <w:rsid w:val="00F171D6"/>
    <w:rsid w:val="00F17221"/>
    <w:rsid w:val="00F17477"/>
    <w:rsid w:val="00F17577"/>
    <w:rsid w:val="00F17579"/>
    <w:rsid w:val="00F17616"/>
    <w:rsid w:val="00F1771B"/>
    <w:rsid w:val="00F17796"/>
    <w:rsid w:val="00F178B5"/>
    <w:rsid w:val="00F17934"/>
    <w:rsid w:val="00F179A9"/>
    <w:rsid w:val="00F179DA"/>
    <w:rsid w:val="00F179FF"/>
    <w:rsid w:val="00F17A80"/>
    <w:rsid w:val="00F17B32"/>
    <w:rsid w:val="00F17C3C"/>
    <w:rsid w:val="00F17C9E"/>
    <w:rsid w:val="00F17D3E"/>
    <w:rsid w:val="00F17D61"/>
    <w:rsid w:val="00F17ECA"/>
    <w:rsid w:val="00F17F7E"/>
    <w:rsid w:val="00F200D3"/>
    <w:rsid w:val="00F201F7"/>
    <w:rsid w:val="00F20249"/>
    <w:rsid w:val="00F202AA"/>
    <w:rsid w:val="00F202CD"/>
    <w:rsid w:val="00F20362"/>
    <w:rsid w:val="00F203C3"/>
    <w:rsid w:val="00F203C4"/>
    <w:rsid w:val="00F20575"/>
    <w:rsid w:val="00F205D6"/>
    <w:rsid w:val="00F205F3"/>
    <w:rsid w:val="00F2064B"/>
    <w:rsid w:val="00F206DF"/>
    <w:rsid w:val="00F2079C"/>
    <w:rsid w:val="00F2084F"/>
    <w:rsid w:val="00F20924"/>
    <w:rsid w:val="00F2094B"/>
    <w:rsid w:val="00F2099F"/>
    <w:rsid w:val="00F20A4F"/>
    <w:rsid w:val="00F20B9C"/>
    <w:rsid w:val="00F20C28"/>
    <w:rsid w:val="00F20C81"/>
    <w:rsid w:val="00F20CA7"/>
    <w:rsid w:val="00F20CF8"/>
    <w:rsid w:val="00F20D9F"/>
    <w:rsid w:val="00F20F4A"/>
    <w:rsid w:val="00F20FE7"/>
    <w:rsid w:val="00F2126E"/>
    <w:rsid w:val="00F212B9"/>
    <w:rsid w:val="00F21357"/>
    <w:rsid w:val="00F215F1"/>
    <w:rsid w:val="00F2164D"/>
    <w:rsid w:val="00F21678"/>
    <w:rsid w:val="00F217D6"/>
    <w:rsid w:val="00F21884"/>
    <w:rsid w:val="00F218B8"/>
    <w:rsid w:val="00F219C6"/>
    <w:rsid w:val="00F21B12"/>
    <w:rsid w:val="00F21B3F"/>
    <w:rsid w:val="00F21B6E"/>
    <w:rsid w:val="00F21C71"/>
    <w:rsid w:val="00F21F6F"/>
    <w:rsid w:val="00F21FC5"/>
    <w:rsid w:val="00F220EE"/>
    <w:rsid w:val="00F22161"/>
    <w:rsid w:val="00F22182"/>
    <w:rsid w:val="00F224F8"/>
    <w:rsid w:val="00F226EB"/>
    <w:rsid w:val="00F227C7"/>
    <w:rsid w:val="00F22892"/>
    <w:rsid w:val="00F2294C"/>
    <w:rsid w:val="00F22A4C"/>
    <w:rsid w:val="00F22B60"/>
    <w:rsid w:val="00F22CC7"/>
    <w:rsid w:val="00F22D63"/>
    <w:rsid w:val="00F231BB"/>
    <w:rsid w:val="00F2323E"/>
    <w:rsid w:val="00F232C5"/>
    <w:rsid w:val="00F23305"/>
    <w:rsid w:val="00F233B2"/>
    <w:rsid w:val="00F234C9"/>
    <w:rsid w:val="00F2353C"/>
    <w:rsid w:val="00F23542"/>
    <w:rsid w:val="00F23553"/>
    <w:rsid w:val="00F23635"/>
    <w:rsid w:val="00F236B5"/>
    <w:rsid w:val="00F2388A"/>
    <w:rsid w:val="00F23B13"/>
    <w:rsid w:val="00F23BB8"/>
    <w:rsid w:val="00F23BEB"/>
    <w:rsid w:val="00F23CAC"/>
    <w:rsid w:val="00F23D20"/>
    <w:rsid w:val="00F23EB3"/>
    <w:rsid w:val="00F23FD5"/>
    <w:rsid w:val="00F24074"/>
    <w:rsid w:val="00F24143"/>
    <w:rsid w:val="00F2422B"/>
    <w:rsid w:val="00F243C3"/>
    <w:rsid w:val="00F244CF"/>
    <w:rsid w:val="00F2452C"/>
    <w:rsid w:val="00F24716"/>
    <w:rsid w:val="00F247D2"/>
    <w:rsid w:val="00F24AC2"/>
    <w:rsid w:val="00F24CB1"/>
    <w:rsid w:val="00F24E99"/>
    <w:rsid w:val="00F24ED3"/>
    <w:rsid w:val="00F24F62"/>
    <w:rsid w:val="00F24FBE"/>
    <w:rsid w:val="00F2505E"/>
    <w:rsid w:val="00F2526F"/>
    <w:rsid w:val="00F25488"/>
    <w:rsid w:val="00F25495"/>
    <w:rsid w:val="00F25699"/>
    <w:rsid w:val="00F2570B"/>
    <w:rsid w:val="00F2571A"/>
    <w:rsid w:val="00F2593D"/>
    <w:rsid w:val="00F25A05"/>
    <w:rsid w:val="00F25B09"/>
    <w:rsid w:val="00F25B0F"/>
    <w:rsid w:val="00F25B76"/>
    <w:rsid w:val="00F25B77"/>
    <w:rsid w:val="00F25C85"/>
    <w:rsid w:val="00F25E5F"/>
    <w:rsid w:val="00F25F22"/>
    <w:rsid w:val="00F25F5C"/>
    <w:rsid w:val="00F25F6F"/>
    <w:rsid w:val="00F25FC5"/>
    <w:rsid w:val="00F26182"/>
    <w:rsid w:val="00F26382"/>
    <w:rsid w:val="00F2639B"/>
    <w:rsid w:val="00F26409"/>
    <w:rsid w:val="00F26422"/>
    <w:rsid w:val="00F2648B"/>
    <w:rsid w:val="00F26519"/>
    <w:rsid w:val="00F26594"/>
    <w:rsid w:val="00F26702"/>
    <w:rsid w:val="00F2693D"/>
    <w:rsid w:val="00F26A7B"/>
    <w:rsid w:val="00F26AFE"/>
    <w:rsid w:val="00F26BE5"/>
    <w:rsid w:val="00F26D81"/>
    <w:rsid w:val="00F26E18"/>
    <w:rsid w:val="00F26E85"/>
    <w:rsid w:val="00F26E8D"/>
    <w:rsid w:val="00F26F4D"/>
    <w:rsid w:val="00F27016"/>
    <w:rsid w:val="00F27071"/>
    <w:rsid w:val="00F27340"/>
    <w:rsid w:val="00F274A8"/>
    <w:rsid w:val="00F274AB"/>
    <w:rsid w:val="00F27546"/>
    <w:rsid w:val="00F2766E"/>
    <w:rsid w:val="00F276F5"/>
    <w:rsid w:val="00F27763"/>
    <w:rsid w:val="00F27989"/>
    <w:rsid w:val="00F279BA"/>
    <w:rsid w:val="00F27BE5"/>
    <w:rsid w:val="00F27C31"/>
    <w:rsid w:val="00F27C81"/>
    <w:rsid w:val="00F27D0F"/>
    <w:rsid w:val="00F27DB7"/>
    <w:rsid w:val="00F30077"/>
    <w:rsid w:val="00F30110"/>
    <w:rsid w:val="00F303E2"/>
    <w:rsid w:val="00F303EF"/>
    <w:rsid w:val="00F3041F"/>
    <w:rsid w:val="00F30470"/>
    <w:rsid w:val="00F305E2"/>
    <w:rsid w:val="00F307FF"/>
    <w:rsid w:val="00F30817"/>
    <w:rsid w:val="00F30853"/>
    <w:rsid w:val="00F3087B"/>
    <w:rsid w:val="00F308B4"/>
    <w:rsid w:val="00F309D5"/>
    <w:rsid w:val="00F30A42"/>
    <w:rsid w:val="00F30B05"/>
    <w:rsid w:val="00F30B75"/>
    <w:rsid w:val="00F30E7D"/>
    <w:rsid w:val="00F30EA9"/>
    <w:rsid w:val="00F30F0B"/>
    <w:rsid w:val="00F30FE5"/>
    <w:rsid w:val="00F3111F"/>
    <w:rsid w:val="00F311FE"/>
    <w:rsid w:val="00F3126D"/>
    <w:rsid w:val="00F31463"/>
    <w:rsid w:val="00F3152F"/>
    <w:rsid w:val="00F315A7"/>
    <w:rsid w:val="00F315F1"/>
    <w:rsid w:val="00F3160D"/>
    <w:rsid w:val="00F31637"/>
    <w:rsid w:val="00F3163B"/>
    <w:rsid w:val="00F31727"/>
    <w:rsid w:val="00F3172C"/>
    <w:rsid w:val="00F31779"/>
    <w:rsid w:val="00F31815"/>
    <w:rsid w:val="00F31922"/>
    <w:rsid w:val="00F31962"/>
    <w:rsid w:val="00F31ADD"/>
    <w:rsid w:val="00F31C7E"/>
    <w:rsid w:val="00F31D2D"/>
    <w:rsid w:val="00F3213C"/>
    <w:rsid w:val="00F32169"/>
    <w:rsid w:val="00F32184"/>
    <w:rsid w:val="00F323AB"/>
    <w:rsid w:val="00F32439"/>
    <w:rsid w:val="00F3246A"/>
    <w:rsid w:val="00F32524"/>
    <w:rsid w:val="00F32533"/>
    <w:rsid w:val="00F3254E"/>
    <w:rsid w:val="00F3257E"/>
    <w:rsid w:val="00F3262C"/>
    <w:rsid w:val="00F3264E"/>
    <w:rsid w:val="00F3265C"/>
    <w:rsid w:val="00F326CD"/>
    <w:rsid w:val="00F32771"/>
    <w:rsid w:val="00F327EA"/>
    <w:rsid w:val="00F3289F"/>
    <w:rsid w:val="00F32AE7"/>
    <w:rsid w:val="00F32B67"/>
    <w:rsid w:val="00F32B89"/>
    <w:rsid w:val="00F32BE8"/>
    <w:rsid w:val="00F32C93"/>
    <w:rsid w:val="00F32F5D"/>
    <w:rsid w:val="00F32F8D"/>
    <w:rsid w:val="00F330A4"/>
    <w:rsid w:val="00F33188"/>
    <w:rsid w:val="00F331B1"/>
    <w:rsid w:val="00F332C0"/>
    <w:rsid w:val="00F33317"/>
    <w:rsid w:val="00F33382"/>
    <w:rsid w:val="00F33383"/>
    <w:rsid w:val="00F33386"/>
    <w:rsid w:val="00F335BE"/>
    <w:rsid w:val="00F33620"/>
    <w:rsid w:val="00F33702"/>
    <w:rsid w:val="00F33817"/>
    <w:rsid w:val="00F339DF"/>
    <w:rsid w:val="00F33AF3"/>
    <w:rsid w:val="00F33AF8"/>
    <w:rsid w:val="00F33B6F"/>
    <w:rsid w:val="00F33BAE"/>
    <w:rsid w:val="00F33BDD"/>
    <w:rsid w:val="00F33D81"/>
    <w:rsid w:val="00F33F27"/>
    <w:rsid w:val="00F3400D"/>
    <w:rsid w:val="00F34031"/>
    <w:rsid w:val="00F340FF"/>
    <w:rsid w:val="00F341A5"/>
    <w:rsid w:val="00F342C0"/>
    <w:rsid w:val="00F34442"/>
    <w:rsid w:val="00F34494"/>
    <w:rsid w:val="00F34511"/>
    <w:rsid w:val="00F34662"/>
    <w:rsid w:val="00F3471A"/>
    <w:rsid w:val="00F3475C"/>
    <w:rsid w:val="00F3481A"/>
    <w:rsid w:val="00F34891"/>
    <w:rsid w:val="00F34927"/>
    <w:rsid w:val="00F34CF5"/>
    <w:rsid w:val="00F34D28"/>
    <w:rsid w:val="00F34E28"/>
    <w:rsid w:val="00F35038"/>
    <w:rsid w:val="00F35075"/>
    <w:rsid w:val="00F35149"/>
    <w:rsid w:val="00F35159"/>
    <w:rsid w:val="00F3521A"/>
    <w:rsid w:val="00F352B7"/>
    <w:rsid w:val="00F35313"/>
    <w:rsid w:val="00F3534E"/>
    <w:rsid w:val="00F35359"/>
    <w:rsid w:val="00F35381"/>
    <w:rsid w:val="00F35712"/>
    <w:rsid w:val="00F35A02"/>
    <w:rsid w:val="00F35A84"/>
    <w:rsid w:val="00F35AD6"/>
    <w:rsid w:val="00F35B62"/>
    <w:rsid w:val="00F35BBA"/>
    <w:rsid w:val="00F35BCC"/>
    <w:rsid w:val="00F35CD5"/>
    <w:rsid w:val="00F35DC7"/>
    <w:rsid w:val="00F35E1A"/>
    <w:rsid w:val="00F35F07"/>
    <w:rsid w:val="00F35FBD"/>
    <w:rsid w:val="00F361D0"/>
    <w:rsid w:val="00F36385"/>
    <w:rsid w:val="00F3639C"/>
    <w:rsid w:val="00F36444"/>
    <w:rsid w:val="00F36655"/>
    <w:rsid w:val="00F366C2"/>
    <w:rsid w:val="00F36845"/>
    <w:rsid w:val="00F368B2"/>
    <w:rsid w:val="00F36913"/>
    <w:rsid w:val="00F36914"/>
    <w:rsid w:val="00F369B8"/>
    <w:rsid w:val="00F36A3C"/>
    <w:rsid w:val="00F36AA1"/>
    <w:rsid w:val="00F36B88"/>
    <w:rsid w:val="00F36C3B"/>
    <w:rsid w:val="00F36DF3"/>
    <w:rsid w:val="00F36E32"/>
    <w:rsid w:val="00F36EBC"/>
    <w:rsid w:val="00F37068"/>
    <w:rsid w:val="00F370D0"/>
    <w:rsid w:val="00F372CD"/>
    <w:rsid w:val="00F372E7"/>
    <w:rsid w:val="00F37387"/>
    <w:rsid w:val="00F37450"/>
    <w:rsid w:val="00F374E6"/>
    <w:rsid w:val="00F37593"/>
    <w:rsid w:val="00F3764B"/>
    <w:rsid w:val="00F3769A"/>
    <w:rsid w:val="00F37741"/>
    <w:rsid w:val="00F37756"/>
    <w:rsid w:val="00F37811"/>
    <w:rsid w:val="00F37876"/>
    <w:rsid w:val="00F37941"/>
    <w:rsid w:val="00F37BFC"/>
    <w:rsid w:val="00F37CED"/>
    <w:rsid w:val="00F401F0"/>
    <w:rsid w:val="00F40229"/>
    <w:rsid w:val="00F402D5"/>
    <w:rsid w:val="00F40334"/>
    <w:rsid w:val="00F404FA"/>
    <w:rsid w:val="00F4051E"/>
    <w:rsid w:val="00F4094D"/>
    <w:rsid w:val="00F40A59"/>
    <w:rsid w:val="00F40A63"/>
    <w:rsid w:val="00F40C1F"/>
    <w:rsid w:val="00F40EC1"/>
    <w:rsid w:val="00F41019"/>
    <w:rsid w:val="00F4109E"/>
    <w:rsid w:val="00F410FE"/>
    <w:rsid w:val="00F4113B"/>
    <w:rsid w:val="00F41146"/>
    <w:rsid w:val="00F4121D"/>
    <w:rsid w:val="00F4128B"/>
    <w:rsid w:val="00F413B5"/>
    <w:rsid w:val="00F4144F"/>
    <w:rsid w:val="00F4146F"/>
    <w:rsid w:val="00F41577"/>
    <w:rsid w:val="00F41592"/>
    <w:rsid w:val="00F41601"/>
    <w:rsid w:val="00F418F3"/>
    <w:rsid w:val="00F41922"/>
    <w:rsid w:val="00F419E4"/>
    <w:rsid w:val="00F41B55"/>
    <w:rsid w:val="00F41E6B"/>
    <w:rsid w:val="00F41E89"/>
    <w:rsid w:val="00F4202E"/>
    <w:rsid w:val="00F4219B"/>
    <w:rsid w:val="00F421A5"/>
    <w:rsid w:val="00F4234A"/>
    <w:rsid w:val="00F423C6"/>
    <w:rsid w:val="00F4253F"/>
    <w:rsid w:val="00F42696"/>
    <w:rsid w:val="00F42869"/>
    <w:rsid w:val="00F428ED"/>
    <w:rsid w:val="00F42A95"/>
    <w:rsid w:val="00F42DF2"/>
    <w:rsid w:val="00F42F05"/>
    <w:rsid w:val="00F42F68"/>
    <w:rsid w:val="00F43086"/>
    <w:rsid w:val="00F43123"/>
    <w:rsid w:val="00F432E8"/>
    <w:rsid w:val="00F43426"/>
    <w:rsid w:val="00F43440"/>
    <w:rsid w:val="00F43507"/>
    <w:rsid w:val="00F4350C"/>
    <w:rsid w:val="00F435B9"/>
    <w:rsid w:val="00F4367E"/>
    <w:rsid w:val="00F4374C"/>
    <w:rsid w:val="00F439A9"/>
    <w:rsid w:val="00F439AF"/>
    <w:rsid w:val="00F439BA"/>
    <w:rsid w:val="00F439EA"/>
    <w:rsid w:val="00F43A8B"/>
    <w:rsid w:val="00F43B19"/>
    <w:rsid w:val="00F43B52"/>
    <w:rsid w:val="00F43BB9"/>
    <w:rsid w:val="00F43C0E"/>
    <w:rsid w:val="00F43C69"/>
    <w:rsid w:val="00F43E43"/>
    <w:rsid w:val="00F43FE0"/>
    <w:rsid w:val="00F44072"/>
    <w:rsid w:val="00F4413A"/>
    <w:rsid w:val="00F44225"/>
    <w:rsid w:val="00F44236"/>
    <w:rsid w:val="00F442A7"/>
    <w:rsid w:val="00F44363"/>
    <w:rsid w:val="00F44571"/>
    <w:rsid w:val="00F4466D"/>
    <w:rsid w:val="00F446B1"/>
    <w:rsid w:val="00F447BE"/>
    <w:rsid w:val="00F447FA"/>
    <w:rsid w:val="00F448DD"/>
    <w:rsid w:val="00F4492E"/>
    <w:rsid w:val="00F44A99"/>
    <w:rsid w:val="00F44B3A"/>
    <w:rsid w:val="00F44B3F"/>
    <w:rsid w:val="00F44CCC"/>
    <w:rsid w:val="00F44D3C"/>
    <w:rsid w:val="00F44F13"/>
    <w:rsid w:val="00F44F20"/>
    <w:rsid w:val="00F44F4A"/>
    <w:rsid w:val="00F45184"/>
    <w:rsid w:val="00F451BF"/>
    <w:rsid w:val="00F4526C"/>
    <w:rsid w:val="00F452CC"/>
    <w:rsid w:val="00F45385"/>
    <w:rsid w:val="00F455AC"/>
    <w:rsid w:val="00F455BA"/>
    <w:rsid w:val="00F455DB"/>
    <w:rsid w:val="00F4575D"/>
    <w:rsid w:val="00F4585D"/>
    <w:rsid w:val="00F458E1"/>
    <w:rsid w:val="00F45A11"/>
    <w:rsid w:val="00F45A57"/>
    <w:rsid w:val="00F45BED"/>
    <w:rsid w:val="00F45C43"/>
    <w:rsid w:val="00F45C5B"/>
    <w:rsid w:val="00F45DFB"/>
    <w:rsid w:val="00F45DFE"/>
    <w:rsid w:val="00F45E1E"/>
    <w:rsid w:val="00F45FD4"/>
    <w:rsid w:val="00F460E9"/>
    <w:rsid w:val="00F4622A"/>
    <w:rsid w:val="00F462E4"/>
    <w:rsid w:val="00F46364"/>
    <w:rsid w:val="00F46776"/>
    <w:rsid w:val="00F467AE"/>
    <w:rsid w:val="00F468FD"/>
    <w:rsid w:val="00F46A28"/>
    <w:rsid w:val="00F46A2B"/>
    <w:rsid w:val="00F46B31"/>
    <w:rsid w:val="00F46B39"/>
    <w:rsid w:val="00F46C53"/>
    <w:rsid w:val="00F4704A"/>
    <w:rsid w:val="00F470B7"/>
    <w:rsid w:val="00F4737E"/>
    <w:rsid w:val="00F474AB"/>
    <w:rsid w:val="00F475E3"/>
    <w:rsid w:val="00F4760A"/>
    <w:rsid w:val="00F47655"/>
    <w:rsid w:val="00F476E1"/>
    <w:rsid w:val="00F47874"/>
    <w:rsid w:val="00F47A93"/>
    <w:rsid w:val="00F47ADB"/>
    <w:rsid w:val="00F47B1D"/>
    <w:rsid w:val="00F47C57"/>
    <w:rsid w:val="00F47C6F"/>
    <w:rsid w:val="00F47D7A"/>
    <w:rsid w:val="00F47E01"/>
    <w:rsid w:val="00F500E2"/>
    <w:rsid w:val="00F5022C"/>
    <w:rsid w:val="00F50251"/>
    <w:rsid w:val="00F50421"/>
    <w:rsid w:val="00F50447"/>
    <w:rsid w:val="00F5057F"/>
    <w:rsid w:val="00F505AB"/>
    <w:rsid w:val="00F505DB"/>
    <w:rsid w:val="00F505F5"/>
    <w:rsid w:val="00F5067F"/>
    <w:rsid w:val="00F506C6"/>
    <w:rsid w:val="00F5082A"/>
    <w:rsid w:val="00F509DB"/>
    <w:rsid w:val="00F50EA6"/>
    <w:rsid w:val="00F50EC8"/>
    <w:rsid w:val="00F510CC"/>
    <w:rsid w:val="00F512B9"/>
    <w:rsid w:val="00F512E1"/>
    <w:rsid w:val="00F513E0"/>
    <w:rsid w:val="00F5150C"/>
    <w:rsid w:val="00F5166E"/>
    <w:rsid w:val="00F517C4"/>
    <w:rsid w:val="00F51871"/>
    <w:rsid w:val="00F51873"/>
    <w:rsid w:val="00F518D6"/>
    <w:rsid w:val="00F51938"/>
    <w:rsid w:val="00F519BF"/>
    <w:rsid w:val="00F51A12"/>
    <w:rsid w:val="00F51B93"/>
    <w:rsid w:val="00F51BDD"/>
    <w:rsid w:val="00F51CAE"/>
    <w:rsid w:val="00F51D6B"/>
    <w:rsid w:val="00F51F8F"/>
    <w:rsid w:val="00F51FD0"/>
    <w:rsid w:val="00F52066"/>
    <w:rsid w:val="00F521D0"/>
    <w:rsid w:val="00F5235F"/>
    <w:rsid w:val="00F5238D"/>
    <w:rsid w:val="00F52397"/>
    <w:rsid w:val="00F52420"/>
    <w:rsid w:val="00F52461"/>
    <w:rsid w:val="00F52568"/>
    <w:rsid w:val="00F525D9"/>
    <w:rsid w:val="00F525EC"/>
    <w:rsid w:val="00F527BE"/>
    <w:rsid w:val="00F527C4"/>
    <w:rsid w:val="00F52868"/>
    <w:rsid w:val="00F529A1"/>
    <w:rsid w:val="00F529A3"/>
    <w:rsid w:val="00F529D3"/>
    <w:rsid w:val="00F529F1"/>
    <w:rsid w:val="00F52A58"/>
    <w:rsid w:val="00F52B61"/>
    <w:rsid w:val="00F52BAB"/>
    <w:rsid w:val="00F52CBB"/>
    <w:rsid w:val="00F52CBC"/>
    <w:rsid w:val="00F52DFC"/>
    <w:rsid w:val="00F52E25"/>
    <w:rsid w:val="00F530C8"/>
    <w:rsid w:val="00F530D7"/>
    <w:rsid w:val="00F5311D"/>
    <w:rsid w:val="00F53465"/>
    <w:rsid w:val="00F5353B"/>
    <w:rsid w:val="00F5378A"/>
    <w:rsid w:val="00F537CC"/>
    <w:rsid w:val="00F53806"/>
    <w:rsid w:val="00F53868"/>
    <w:rsid w:val="00F53A2A"/>
    <w:rsid w:val="00F53A8B"/>
    <w:rsid w:val="00F53ADE"/>
    <w:rsid w:val="00F53B2D"/>
    <w:rsid w:val="00F53E67"/>
    <w:rsid w:val="00F541CA"/>
    <w:rsid w:val="00F54222"/>
    <w:rsid w:val="00F54317"/>
    <w:rsid w:val="00F5434E"/>
    <w:rsid w:val="00F544CE"/>
    <w:rsid w:val="00F544FD"/>
    <w:rsid w:val="00F545A5"/>
    <w:rsid w:val="00F546C1"/>
    <w:rsid w:val="00F54868"/>
    <w:rsid w:val="00F548DC"/>
    <w:rsid w:val="00F54E04"/>
    <w:rsid w:val="00F54EE1"/>
    <w:rsid w:val="00F54F80"/>
    <w:rsid w:val="00F55044"/>
    <w:rsid w:val="00F55176"/>
    <w:rsid w:val="00F5517D"/>
    <w:rsid w:val="00F55189"/>
    <w:rsid w:val="00F551E6"/>
    <w:rsid w:val="00F55273"/>
    <w:rsid w:val="00F55345"/>
    <w:rsid w:val="00F5566D"/>
    <w:rsid w:val="00F556D5"/>
    <w:rsid w:val="00F557F0"/>
    <w:rsid w:val="00F558A4"/>
    <w:rsid w:val="00F5598E"/>
    <w:rsid w:val="00F55C2E"/>
    <w:rsid w:val="00F55CDD"/>
    <w:rsid w:val="00F55D03"/>
    <w:rsid w:val="00F55DA0"/>
    <w:rsid w:val="00F55E90"/>
    <w:rsid w:val="00F5604B"/>
    <w:rsid w:val="00F56173"/>
    <w:rsid w:val="00F561D5"/>
    <w:rsid w:val="00F5626A"/>
    <w:rsid w:val="00F562CF"/>
    <w:rsid w:val="00F563C7"/>
    <w:rsid w:val="00F563CE"/>
    <w:rsid w:val="00F564C4"/>
    <w:rsid w:val="00F5652E"/>
    <w:rsid w:val="00F56646"/>
    <w:rsid w:val="00F5666B"/>
    <w:rsid w:val="00F566B5"/>
    <w:rsid w:val="00F56810"/>
    <w:rsid w:val="00F569BB"/>
    <w:rsid w:val="00F56AB7"/>
    <w:rsid w:val="00F56B6C"/>
    <w:rsid w:val="00F56BF4"/>
    <w:rsid w:val="00F56C68"/>
    <w:rsid w:val="00F56C72"/>
    <w:rsid w:val="00F56D64"/>
    <w:rsid w:val="00F56F35"/>
    <w:rsid w:val="00F56FC0"/>
    <w:rsid w:val="00F56FE7"/>
    <w:rsid w:val="00F56FE8"/>
    <w:rsid w:val="00F57271"/>
    <w:rsid w:val="00F5741A"/>
    <w:rsid w:val="00F574F5"/>
    <w:rsid w:val="00F5752D"/>
    <w:rsid w:val="00F57579"/>
    <w:rsid w:val="00F575E4"/>
    <w:rsid w:val="00F57698"/>
    <w:rsid w:val="00F5773B"/>
    <w:rsid w:val="00F57774"/>
    <w:rsid w:val="00F57799"/>
    <w:rsid w:val="00F5792D"/>
    <w:rsid w:val="00F57949"/>
    <w:rsid w:val="00F57969"/>
    <w:rsid w:val="00F57987"/>
    <w:rsid w:val="00F57A55"/>
    <w:rsid w:val="00F57C3E"/>
    <w:rsid w:val="00F57C93"/>
    <w:rsid w:val="00F57E2D"/>
    <w:rsid w:val="00F57E5F"/>
    <w:rsid w:val="00F57F10"/>
    <w:rsid w:val="00F57FC3"/>
    <w:rsid w:val="00F6011C"/>
    <w:rsid w:val="00F601DE"/>
    <w:rsid w:val="00F602E5"/>
    <w:rsid w:val="00F60493"/>
    <w:rsid w:val="00F6064B"/>
    <w:rsid w:val="00F6067A"/>
    <w:rsid w:val="00F60688"/>
    <w:rsid w:val="00F60799"/>
    <w:rsid w:val="00F60B15"/>
    <w:rsid w:val="00F60BB4"/>
    <w:rsid w:val="00F60CE4"/>
    <w:rsid w:val="00F60D70"/>
    <w:rsid w:val="00F60E2A"/>
    <w:rsid w:val="00F60E49"/>
    <w:rsid w:val="00F60EC9"/>
    <w:rsid w:val="00F60EF4"/>
    <w:rsid w:val="00F60F0F"/>
    <w:rsid w:val="00F60FC8"/>
    <w:rsid w:val="00F60FCE"/>
    <w:rsid w:val="00F61002"/>
    <w:rsid w:val="00F611B4"/>
    <w:rsid w:val="00F613AD"/>
    <w:rsid w:val="00F61697"/>
    <w:rsid w:val="00F617D5"/>
    <w:rsid w:val="00F618DB"/>
    <w:rsid w:val="00F61A78"/>
    <w:rsid w:val="00F61C9F"/>
    <w:rsid w:val="00F61CFA"/>
    <w:rsid w:val="00F61EFE"/>
    <w:rsid w:val="00F61FBB"/>
    <w:rsid w:val="00F62130"/>
    <w:rsid w:val="00F621D7"/>
    <w:rsid w:val="00F62230"/>
    <w:rsid w:val="00F6234D"/>
    <w:rsid w:val="00F6248E"/>
    <w:rsid w:val="00F62528"/>
    <w:rsid w:val="00F6252C"/>
    <w:rsid w:val="00F626E8"/>
    <w:rsid w:val="00F628A0"/>
    <w:rsid w:val="00F628CC"/>
    <w:rsid w:val="00F62974"/>
    <w:rsid w:val="00F62ADE"/>
    <w:rsid w:val="00F62AF7"/>
    <w:rsid w:val="00F62BFE"/>
    <w:rsid w:val="00F62E20"/>
    <w:rsid w:val="00F62E5A"/>
    <w:rsid w:val="00F62E78"/>
    <w:rsid w:val="00F62E94"/>
    <w:rsid w:val="00F62F2D"/>
    <w:rsid w:val="00F63030"/>
    <w:rsid w:val="00F6304D"/>
    <w:rsid w:val="00F630BB"/>
    <w:rsid w:val="00F63139"/>
    <w:rsid w:val="00F632E2"/>
    <w:rsid w:val="00F6336E"/>
    <w:rsid w:val="00F63805"/>
    <w:rsid w:val="00F6388D"/>
    <w:rsid w:val="00F63C04"/>
    <w:rsid w:val="00F63C77"/>
    <w:rsid w:val="00F63E6C"/>
    <w:rsid w:val="00F63FFE"/>
    <w:rsid w:val="00F640AA"/>
    <w:rsid w:val="00F64114"/>
    <w:rsid w:val="00F64235"/>
    <w:rsid w:val="00F643C2"/>
    <w:rsid w:val="00F643DC"/>
    <w:rsid w:val="00F64479"/>
    <w:rsid w:val="00F645C2"/>
    <w:rsid w:val="00F645DB"/>
    <w:rsid w:val="00F64606"/>
    <w:rsid w:val="00F64650"/>
    <w:rsid w:val="00F64792"/>
    <w:rsid w:val="00F649B6"/>
    <w:rsid w:val="00F64A6A"/>
    <w:rsid w:val="00F64A83"/>
    <w:rsid w:val="00F64D09"/>
    <w:rsid w:val="00F64DD4"/>
    <w:rsid w:val="00F64E3B"/>
    <w:rsid w:val="00F64E7D"/>
    <w:rsid w:val="00F64FF9"/>
    <w:rsid w:val="00F650B6"/>
    <w:rsid w:val="00F6517E"/>
    <w:rsid w:val="00F6570B"/>
    <w:rsid w:val="00F657B1"/>
    <w:rsid w:val="00F65851"/>
    <w:rsid w:val="00F6589B"/>
    <w:rsid w:val="00F65B68"/>
    <w:rsid w:val="00F65B95"/>
    <w:rsid w:val="00F65B9F"/>
    <w:rsid w:val="00F65C72"/>
    <w:rsid w:val="00F65F94"/>
    <w:rsid w:val="00F66286"/>
    <w:rsid w:val="00F66336"/>
    <w:rsid w:val="00F667AC"/>
    <w:rsid w:val="00F668BB"/>
    <w:rsid w:val="00F66994"/>
    <w:rsid w:val="00F669F9"/>
    <w:rsid w:val="00F66B3C"/>
    <w:rsid w:val="00F66B68"/>
    <w:rsid w:val="00F66C24"/>
    <w:rsid w:val="00F66CAF"/>
    <w:rsid w:val="00F66D31"/>
    <w:rsid w:val="00F66DBD"/>
    <w:rsid w:val="00F66F45"/>
    <w:rsid w:val="00F67047"/>
    <w:rsid w:val="00F6704F"/>
    <w:rsid w:val="00F67271"/>
    <w:rsid w:val="00F6742E"/>
    <w:rsid w:val="00F67443"/>
    <w:rsid w:val="00F675AD"/>
    <w:rsid w:val="00F676B0"/>
    <w:rsid w:val="00F67851"/>
    <w:rsid w:val="00F67894"/>
    <w:rsid w:val="00F6793C"/>
    <w:rsid w:val="00F6797F"/>
    <w:rsid w:val="00F679FA"/>
    <w:rsid w:val="00F67A53"/>
    <w:rsid w:val="00F67A5A"/>
    <w:rsid w:val="00F67A7D"/>
    <w:rsid w:val="00F67AAC"/>
    <w:rsid w:val="00F67AF8"/>
    <w:rsid w:val="00F67B1D"/>
    <w:rsid w:val="00F67CB3"/>
    <w:rsid w:val="00F67DB3"/>
    <w:rsid w:val="00F67DBD"/>
    <w:rsid w:val="00F67DFF"/>
    <w:rsid w:val="00F67E6A"/>
    <w:rsid w:val="00F67EC1"/>
    <w:rsid w:val="00F67F52"/>
    <w:rsid w:val="00F67F6B"/>
    <w:rsid w:val="00F70037"/>
    <w:rsid w:val="00F70109"/>
    <w:rsid w:val="00F7017C"/>
    <w:rsid w:val="00F703F2"/>
    <w:rsid w:val="00F70407"/>
    <w:rsid w:val="00F704EA"/>
    <w:rsid w:val="00F70584"/>
    <w:rsid w:val="00F707A4"/>
    <w:rsid w:val="00F707DC"/>
    <w:rsid w:val="00F70827"/>
    <w:rsid w:val="00F70D3E"/>
    <w:rsid w:val="00F70EA9"/>
    <w:rsid w:val="00F70FAA"/>
    <w:rsid w:val="00F70FB1"/>
    <w:rsid w:val="00F7100C"/>
    <w:rsid w:val="00F71145"/>
    <w:rsid w:val="00F71221"/>
    <w:rsid w:val="00F714F9"/>
    <w:rsid w:val="00F71615"/>
    <w:rsid w:val="00F71751"/>
    <w:rsid w:val="00F71773"/>
    <w:rsid w:val="00F718D2"/>
    <w:rsid w:val="00F718E5"/>
    <w:rsid w:val="00F71A16"/>
    <w:rsid w:val="00F71A77"/>
    <w:rsid w:val="00F71AD9"/>
    <w:rsid w:val="00F71BC3"/>
    <w:rsid w:val="00F71CAD"/>
    <w:rsid w:val="00F71CB1"/>
    <w:rsid w:val="00F71FC3"/>
    <w:rsid w:val="00F72048"/>
    <w:rsid w:val="00F720BF"/>
    <w:rsid w:val="00F72170"/>
    <w:rsid w:val="00F72218"/>
    <w:rsid w:val="00F722E1"/>
    <w:rsid w:val="00F722F6"/>
    <w:rsid w:val="00F72384"/>
    <w:rsid w:val="00F724C1"/>
    <w:rsid w:val="00F72600"/>
    <w:rsid w:val="00F726ED"/>
    <w:rsid w:val="00F72727"/>
    <w:rsid w:val="00F727F5"/>
    <w:rsid w:val="00F729C6"/>
    <w:rsid w:val="00F72A25"/>
    <w:rsid w:val="00F72AD4"/>
    <w:rsid w:val="00F72AF0"/>
    <w:rsid w:val="00F72B81"/>
    <w:rsid w:val="00F72C16"/>
    <w:rsid w:val="00F72D0B"/>
    <w:rsid w:val="00F72EA1"/>
    <w:rsid w:val="00F72F45"/>
    <w:rsid w:val="00F73078"/>
    <w:rsid w:val="00F73477"/>
    <w:rsid w:val="00F73493"/>
    <w:rsid w:val="00F73512"/>
    <w:rsid w:val="00F7351A"/>
    <w:rsid w:val="00F73569"/>
    <w:rsid w:val="00F7369A"/>
    <w:rsid w:val="00F736D8"/>
    <w:rsid w:val="00F737C5"/>
    <w:rsid w:val="00F73823"/>
    <w:rsid w:val="00F7395A"/>
    <w:rsid w:val="00F7396B"/>
    <w:rsid w:val="00F739F7"/>
    <w:rsid w:val="00F73AC4"/>
    <w:rsid w:val="00F73B6B"/>
    <w:rsid w:val="00F73BF9"/>
    <w:rsid w:val="00F73C29"/>
    <w:rsid w:val="00F73DA1"/>
    <w:rsid w:val="00F73DB6"/>
    <w:rsid w:val="00F7409F"/>
    <w:rsid w:val="00F743DD"/>
    <w:rsid w:val="00F74486"/>
    <w:rsid w:val="00F74593"/>
    <w:rsid w:val="00F7494E"/>
    <w:rsid w:val="00F749DD"/>
    <w:rsid w:val="00F74A06"/>
    <w:rsid w:val="00F74A9B"/>
    <w:rsid w:val="00F74AAA"/>
    <w:rsid w:val="00F74B8A"/>
    <w:rsid w:val="00F74C60"/>
    <w:rsid w:val="00F74D16"/>
    <w:rsid w:val="00F74D1C"/>
    <w:rsid w:val="00F74DF8"/>
    <w:rsid w:val="00F74EEF"/>
    <w:rsid w:val="00F74F93"/>
    <w:rsid w:val="00F751C7"/>
    <w:rsid w:val="00F753DB"/>
    <w:rsid w:val="00F753FD"/>
    <w:rsid w:val="00F755A4"/>
    <w:rsid w:val="00F755AD"/>
    <w:rsid w:val="00F757DC"/>
    <w:rsid w:val="00F7583F"/>
    <w:rsid w:val="00F75916"/>
    <w:rsid w:val="00F75BCB"/>
    <w:rsid w:val="00F75C38"/>
    <w:rsid w:val="00F75C47"/>
    <w:rsid w:val="00F75C49"/>
    <w:rsid w:val="00F75E02"/>
    <w:rsid w:val="00F75F6D"/>
    <w:rsid w:val="00F75FF3"/>
    <w:rsid w:val="00F76000"/>
    <w:rsid w:val="00F76135"/>
    <w:rsid w:val="00F76140"/>
    <w:rsid w:val="00F7624C"/>
    <w:rsid w:val="00F76268"/>
    <w:rsid w:val="00F763B1"/>
    <w:rsid w:val="00F764D6"/>
    <w:rsid w:val="00F765D5"/>
    <w:rsid w:val="00F7664C"/>
    <w:rsid w:val="00F76714"/>
    <w:rsid w:val="00F76847"/>
    <w:rsid w:val="00F7687D"/>
    <w:rsid w:val="00F76957"/>
    <w:rsid w:val="00F76A5E"/>
    <w:rsid w:val="00F76BB6"/>
    <w:rsid w:val="00F76FBE"/>
    <w:rsid w:val="00F77076"/>
    <w:rsid w:val="00F770EE"/>
    <w:rsid w:val="00F771EB"/>
    <w:rsid w:val="00F772A9"/>
    <w:rsid w:val="00F777B6"/>
    <w:rsid w:val="00F7791D"/>
    <w:rsid w:val="00F77D53"/>
    <w:rsid w:val="00F77F21"/>
    <w:rsid w:val="00F77F5D"/>
    <w:rsid w:val="00F80023"/>
    <w:rsid w:val="00F800D1"/>
    <w:rsid w:val="00F80122"/>
    <w:rsid w:val="00F8014B"/>
    <w:rsid w:val="00F801D3"/>
    <w:rsid w:val="00F8025A"/>
    <w:rsid w:val="00F80312"/>
    <w:rsid w:val="00F80389"/>
    <w:rsid w:val="00F804B0"/>
    <w:rsid w:val="00F80523"/>
    <w:rsid w:val="00F805FF"/>
    <w:rsid w:val="00F80754"/>
    <w:rsid w:val="00F80795"/>
    <w:rsid w:val="00F807DE"/>
    <w:rsid w:val="00F808D4"/>
    <w:rsid w:val="00F808F3"/>
    <w:rsid w:val="00F80983"/>
    <w:rsid w:val="00F80A04"/>
    <w:rsid w:val="00F80B6F"/>
    <w:rsid w:val="00F80D95"/>
    <w:rsid w:val="00F80DDD"/>
    <w:rsid w:val="00F80DF6"/>
    <w:rsid w:val="00F80E49"/>
    <w:rsid w:val="00F80EB9"/>
    <w:rsid w:val="00F80EC5"/>
    <w:rsid w:val="00F80F67"/>
    <w:rsid w:val="00F810E9"/>
    <w:rsid w:val="00F812E5"/>
    <w:rsid w:val="00F814D0"/>
    <w:rsid w:val="00F8169E"/>
    <w:rsid w:val="00F81825"/>
    <w:rsid w:val="00F81870"/>
    <w:rsid w:val="00F8189F"/>
    <w:rsid w:val="00F81A7B"/>
    <w:rsid w:val="00F81B3B"/>
    <w:rsid w:val="00F81B98"/>
    <w:rsid w:val="00F81CE5"/>
    <w:rsid w:val="00F8209D"/>
    <w:rsid w:val="00F82105"/>
    <w:rsid w:val="00F82196"/>
    <w:rsid w:val="00F821E5"/>
    <w:rsid w:val="00F82250"/>
    <w:rsid w:val="00F8225D"/>
    <w:rsid w:val="00F8226E"/>
    <w:rsid w:val="00F823D5"/>
    <w:rsid w:val="00F82415"/>
    <w:rsid w:val="00F824AC"/>
    <w:rsid w:val="00F824D4"/>
    <w:rsid w:val="00F82661"/>
    <w:rsid w:val="00F826A9"/>
    <w:rsid w:val="00F8279D"/>
    <w:rsid w:val="00F8288F"/>
    <w:rsid w:val="00F82943"/>
    <w:rsid w:val="00F82970"/>
    <w:rsid w:val="00F8297D"/>
    <w:rsid w:val="00F82A6F"/>
    <w:rsid w:val="00F82A93"/>
    <w:rsid w:val="00F82AA1"/>
    <w:rsid w:val="00F82AE9"/>
    <w:rsid w:val="00F82CB7"/>
    <w:rsid w:val="00F82D46"/>
    <w:rsid w:val="00F82E10"/>
    <w:rsid w:val="00F82E11"/>
    <w:rsid w:val="00F82EC0"/>
    <w:rsid w:val="00F82F24"/>
    <w:rsid w:val="00F83074"/>
    <w:rsid w:val="00F831BF"/>
    <w:rsid w:val="00F83352"/>
    <w:rsid w:val="00F83406"/>
    <w:rsid w:val="00F8341E"/>
    <w:rsid w:val="00F837AA"/>
    <w:rsid w:val="00F837D9"/>
    <w:rsid w:val="00F837E4"/>
    <w:rsid w:val="00F83874"/>
    <w:rsid w:val="00F839CB"/>
    <w:rsid w:val="00F83C63"/>
    <w:rsid w:val="00F83C7D"/>
    <w:rsid w:val="00F83CEF"/>
    <w:rsid w:val="00F83D45"/>
    <w:rsid w:val="00F83DA4"/>
    <w:rsid w:val="00F83F12"/>
    <w:rsid w:val="00F83F7A"/>
    <w:rsid w:val="00F84126"/>
    <w:rsid w:val="00F8430C"/>
    <w:rsid w:val="00F8437F"/>
    <w:rsid w:val="00F84468"/>
    <w:rsid w:val="00F844C9"/>
    <w:rsid w:val="00F846DC"/>
    <w:rsid w:val="00F846EA"/>
    <w:rsid w:val="00F84A5E"/>
    <w:rsid w:val="00F84A6F"/>
    <w:rsid w:val="00F84A89"/>
    <w:rsid w:val="00F84AA2"/>
    <w:rsid w:val="00F84AA9"/>
    <w:rsid w:val="00F84B47"/>
    <w:rsid w:val="00F84D4C"/>
    <w:rsid w:val="00F84E93"/>
    <w:rsid w:val="00F85057"/>
    <w:rsid w:val="00F85072"/>
    <w:rsid w:val="00F8521D"/>
    <w:rsid w:val="00F852AE"/>
    <w:rsid w:val="00F853CB"/>
    <w:rsid w:val="00F853FC"/>
    <w:rsid w:val="00F855D1"/>
    <w:rsid w:val="00F858DA"/>
    <w:rsid w:val="00F8595A"/>
    <w:rsid w:val="00F859FE"/>
    <w:rsid w:val="00F85A34"/>
    <w:rsid w:val="00F85A67"/>
    <w:rsid w:val="00F85A79"/>
    <w:rsid w:val="00F85AD0"/>
    <w:rsid w:val="00F85B48"/>
    <w:rsid w:val="00F85C3C"/>
    <w:rsid w:val="00F85C82"/>
    <w:rsid w:val="00F85D10"/>
    <w:rsid w:val="00F85D37"/>
    <w:rsid w:val="00F85D90"/>
    <w:rsid w:val="00F85DC9"/>
    <w:rsid w:val="00F85E10"/>
    <w:rsid w:val="00F85E8E"/>
    <w:rsid w:val="00F85EC4"/>
    <w:rsid w:val="00F85F73"/>
    <w:rsid w:val="00F85F9A"/>
    <w:rsid w:val="00F860F1"/>
    <w:rsid w:val="00F8635E"/>
    <w:rsid w:val="00F8644D"/>
    <w:rsid w:val="00F86459"/>
    <w:rsid w:val="00F8647E"/>
    <w:rsid w:val="00F8648E"/>
    <w:rsid w:val="00F864FA"/>
    <w:rsid w:val="00F865CC"/>
    <w:rsid w:val="00F866BC"/>
    <w:rsid w:val="00F8673F"/>
    <w:rsid w:val="00F868BB"/>
    <w:rsid w:val="00F868F4"/>
    <w:rsid w:val="00F86B6A"/>
    <w:rsid w:val="00F87038"/>
    <w:rsid w:val="00F870A0"/>
    <w:rsid w:val="00F870C0"/>
    <w:rsid w:val="00F87158"/>
    <w:rsid w:val="00F871C8"/>
    <w:rsid w:val="00F87234"/>
    <w:rsid w:val="00F872CE"/>
    <w:rsid w:val="00F8737B"/>
    <w:rsid w:val="00F87404"/>
    <w:rsid w:val="00F87521"/>
    <w:rsid w:val="00F8760E"/>
    <w:rsid w:val="00F8768D"/>
    <w:rsid w:val="00F87A2A"/>
    <w:rsid w:val="00F87C17"/>
    <w:rsid w:val="00F87DD7"/>
    <w:rsid w:val="00F87DDB"/>
    <w:rsid w:val="00F87E00"/>
    <w:rsid w:val="00F87FC2"/>
    <w:rsid w:val="00F900A2"/>
    <w:rsid w:val="00F90169"/>
    <w:rsid w:val="00F901A0"/>
    <w:rsid w:val="00F9040E"/>
    <w:rsid w:val="00F904E5"/>
    <w:rsid w:val="00F90628"/>
    <w:rsid w:val="00F90714"/>
    <w:rsid w:val="00F90877"/>
    <w:rsid w:val="00F908BC"/>
    <w:rsid w:val="00F90955"/>
    <w:rsid w:val="00F90BFD"/>
    <w:rsid w:val="00F90C9D"/>
    <w:rsid w:val="00F90CF6"/>
    <w:rsid w:val="00F90D0E"/>
    <w:rsid w:val="00F90D10"/>
    <w:rsid w:val="00F90E2A"/>
    <w:rsid w:val="00F90E8B"/>
    <w:rsid w:val="00F91049"/>
    <w:rsid w:val="00F9107F"/>
    <w:rsid w:val="00F9120A"/>
    <w:rsid w:val="00F913D2"/>
    <w:rsid w:val="00F91449"/>
    <w:rsid w:val="00F9176D"/>
    <w:rsid w:val="00F918AD"/>
    <w:rsid w:val="00F91973"/>
    <w:rsid w:val="00F91978"/>
    <w:rsid w:val="00F91B67"/>
    <w:rsid w:val="00F91D0B"/>
    <w:rsid w:val="00F91E7F"/>
    <w:rsid w:val="00F92115"/>
    <w:rsid w:val="00F922CD"/>
    <w:rsid w:val="00F92369"/>
    <w:rsid w:val="00F9241D"/>
    <w:rsid w:val="00F92533"/>
    <w:rsid w:val="00F925FD"/>
    <w:rsid w:val="00F926EF"/>
    <w:rsid w:val="00F927A5"/>
    <w:rsid w:val="00F927D1"/>
    <w:rsid w:val="00F92835"/>
    <w:rsid w:val="00F92ACC"/>
    <w:rsid w:val="00F92B2F"/>
    <w:rsid w:val="00F92BD1"/>
    <w:rsid w:val="00F92BD6"/>
    <w:rsid w:val="00F92CF8"/>
    <w:rsid w:val="00F92D68"/>
    <w:rsid w:val="00F92D89"/>
    <w:rsid w:val="00F92E55"/>
    <w:rsid w:val="00F92F23"/>
    <w:rsid w:val="00F930C9"/>
    <w:rsid w:val="00F93209"/>
    <w:rsid w:val="00F93881"/>
    <w:rsid w:val="00F938F5"/>
    <w:rsid w:val="00F93979"/>
    <w:rsid w:val="00F939E4"/>
    <w:rsid w:val="00F93AC7"/>
    <w:rsid w:val="00F93C0B"/>
    <w:rsid w:val="00F93CD5"/>
    <w:rsid w:val="00F93D0D"/>
    <w:rsid w:val="00F94090"/>
    <w:rsid w:val="00F94169"/>
    <w:rsid w:val="00F941F8"/>
    <w:rsid w:val="00F942CB"/>
    <w:rsid w:val="00F942EC"/>
    <w:rsid w:val="00F9441D"/>
    <w:rsid w:val="00F94425"/>
    <w:rsid w:val="00F944EA"/>
    <w:rsid w:val="00F94682"/>
    <w:rsid w:val="00F9468F"/>
    <w:rsid w:val="00F94731"/>
    <w:rsid w:val="00F94745"/>
    <w:rsid w:val="00F9480C"/>
    <w:rsid w:val="00F9493C"/>
    <w:rsid w:val="00F9495C"/>
    <w:rsid w:val="00F94C97"/>
    <w:rsid w:val="00F94CAA"/>
    <w:rsid w:val="00F94E63"/>
    <w:rsid w:val="00F94EAC"/>
    <w:rsid w:val="00F94EBE"/>
    <w:rsid w:val="00F94F3E"/>
    <w:rsid w:val="00F94FD1"/>
    <w:rsid w:val="00F94FFA"/>
    <w:rsid w:val="00F95185"/>
    <w:rsid w:val="00F952DC"/>
    <w:rsid w:val="00F9530A"/>
    <w:rsid w:val="00F953EE"/>
    <w:rsid w:val="00F9542C"/>
    <w:rsid w:val="00F954C4"/>
    <w:rsid w:val="00F9550A"/>
    <w:rsid w:val="00F955CA"/>
    <w:rsid w:val="00F956C1"/>
    <w:rsid w:val="00F95762"/>
    <w:rsid w:val="00F95854"/>
    <w:rsid w:val="00F958C6"/>
    <w:rsid w:val="00F95ABA"/>
    <w:rsid w:val="00F95BCB"/>
    <w:rsid w:val="00F95C06"/>
    <w:rsid w:val="00F95CE1"/>
    <w:rsid w:val="00F95DFC"/>
    <w:rsid w:val="00F95E7D"/>
    <w:rsid w:val="00F95E86"/>
    <w:rsid w:val="00F95F7D"/>
    <w:rsid w:val="00F960CF"/>
    <w:rsid w:val="00F96100"/>
    <w:rsid w:val="00F9617B"/>
    <w:rsid w:val="00F96328"/>
    <w:rsid w:val="00F964DC"/>
    <w:rsid w:val="00F965B2"/>
    <w:rsid w:val="00F966FB"/>
    <w:rsid w:val="00F9677B"/>
    <w:rsid w:val="00F96901"/>
    <w:rsid w:val="00F969B4"/>
    <w:rsid w:val="00F96A76"/>
    <w:rsid w:val="00F96A82"/>
    <w:rsid w:val="00F96B1B"/>
    <w:rsid w:val="00F96C65"/>
    <w:rsid w:val="00F96CD6"/>
    <w:rsid w:val="00F96EC2"/>
    <w:rsid w:val="00F96ED0"/>
    <w:rsid w:val="00F96EFC"/>
    <w:rsid w:val="00F9706F"/>
    <w:rsid w:val="00F971C5"/>
    <w:rsid w:val="00F97204"/>
    <w:rsid w:val="00F9723A"/>
    <w:rsid w:val="00F972EA"/>
    <w:rsid w:val="00F973AA"/>
    <w:rsid w:val="00F973BC"/>
    <w:rsid w:val="00F974D6"/>
    <w:rsid w:val="00F974F5"/>
    <w:rsid w:val="00F97531"/>
    <w:rsid w:val="00F9756A"/>
    <w:rsid w:val="00F97728"/>
    <w:rsid w:val="00F97783"/>
    <w:rsid w:val="00F977CA"/>
    <w:rsid w:val="00F97872"/>
    <w:rsid w:val="00F97893"/>
    <w:rsid w:val="00F9789A"/>
    <w:rsid w:val="00F978A7"/>
    <w:rsid w:val="00F97937"/>
    <w:rsid w:val="00F97A03"/>
    <w:rsid w:val="00F97A05"/>
    <w:rsid w:val="00F97ABC"/>
    <w:rsid w:val="00F97B6E"/>
    <w:rsid w:val="00F97D23"/>
    <w:rsid w:val="00F97D9A"/>
    <w:rsid w:val="00F97DFE"/>
    <w:rsid w:val="00FA0041"/>
    <w:rsid w:val="00FA00F9"/>
    <w:rsid w:val="00FA0102"/>
    <w:rsid w:val="00FA0142"/>
    <w:rsid w:val="00FA015A"/>
    <w:rsid w:val="00FA017A"/>
    <w:rsid w:val="00FA02B5"/>
    <w:rsid w:val="00FA046D"/>
    <w:rsid w:val="00FA0487"/>
    <w:rsid w:val="00FA049B"/>
    <w:rsid w:val="00FA0501"/>
    <w:rsid w:val="00FA056E"/>
    <w:rsid w:val="00FA05BB"/>
    <w:rsid w:val="00FA05BC"/>
    <w:rsid w:val="00FA07E1"/>
    <w:rsid w:val="00FA0857"/>
    <w:rsid w:val="00FA08EA"/>
    <w:rsid w:val="00FA105D"/>
    <w:rsid w:val="00FA10C8"/>
    <w:rsid w:val="00FA112A"/>
    <w:rsid w:val="00FA136A"/>
    <w:rsid w:val="00FA136B"/>
    <w:rsid w:val="00FA137E"/>
    <w:rsid w:val="00FA140D"/>
    <w:rsid w:val="00FA141A"/>
    <w:rsid w:val="00FA144F"/>
    <w:rsid w:val="00FA1758"/>
    <w:rsid w:val="00FA17DB"/>
    <w:rsid w:val="00FA1990"/>
    <w:rsid w:val="00FA19BF"/>
    <w:rsid w:val="00FA19F5"/>
    <w:rsid w:val="00FA1A47"/>
    <w:rsid w:val="00FA1BA0"/>
    <w:rsid w:val="00FA1C48"/>
    <w:rsid w:val="00FA1C53"/>
    <w:rsid w:val="00FA1CC9"/>
    <w:rsid w:val="00FA1CF6"/>
    <w:rsid w:val="00FA1D37"/>
    <w:rsid w:val="00FA1E09"/>
    <w:rsid w:val="00FA1EAF"/>
    <w:rsid w:val="00FA1EF0"/>
    <w:rsid w:val="00FA2000"/>
    <w:rsid w:val="00FA21D5"/>
    <w:rsid w:val="00FA21E1"/>
    <w:rsid w:val="00FA23E4"/>
    <w:rsid w:val="00FA252F"/>
    <w:rsid w:val="00FA270A"/>
    <w:rsid w:val="00FA270B"/>
    <w:rsid w:val="00FA285D"/>
    <w:rsid w:val="00FA287B"/>
    <w:rsid w:val="00FA293A"/>
    <w:rsid w:val="00FA2946"/>
    <w:rsid w:val="00FA2AB7"/>
    <w:rsid w:val="00FA2AD3"/>
    <w:rsid w:val="00FA2D57"/>
    <w:rsid w:val="00FA2E35"/>
    <w:rsid w:val="00FA2F57"/>
    <w:rsid w:val="00FA2FCC"/>
    <w:rsid w:val="00FA312C"/>
    <w:rsid w:val="00FA325E"/>
    <w:rsid w:val="00FA32AA"/>
    <w:rsid w:val="00FA3408"/>
    <w:rsid w:val="00FA34B7"/>
    <w:rsid w:val="00FA34FE"/>
    <w:rsid w:val="00FA3768"/>
    <w:rsid w:val="00FA3898"/>
    <w:rsid w:val="00FA394C"/>
    <w:rsid w:val="00FA3997"/>
    <w:rsid w:val="00FA3B1D"/>
    <w:rsid w:val="00FA3BC1"/>
    <w:rsid w:val="00FA3FA3"/>
    <w:rsid w:val="00FA4087"/>
    <w:rsid w:val="00FA409D"/>
    <w:rsid w:val="00FA417A"/>
    <w:rsid w:val="00FA42AA"/>
    <w:rsid w:val="00FA4533"/>
    <w:rsid w:val="00FA457B"/>
    <w:rsid w:val="00FA459F"/>
    <w:rsid w:val="00FA4646"/>
    <w:rsid w:val="00FA46B2"/>
    <w:rsid w:val="00FA46F3"/>
    <w:rsid w:val="00FA46F5"/>
    <w:rsid w:val="00FA4708"/>
    <w:rsid w:val="00FA474C"/>
    <w:rsid w:val="00FA47C8"/>
    <w:rsid w:val="00FA47F1"/>
    <w:rsid w:val="00FA47F8"/>
    <w:rsid w:val="00FA484B"/>
    <w:rsid w:val="00FA492A"/>
    <w:rsid w:val="00FA4A59"/>
    <w:rsid w:val="00FA4AA0"/>
    <w:rsid w:val="00FA4BF7"/>
    <w:rsid w:val="00FA4D63"/>
    <w:rsid w:val="00FA4D9E"/>
    <w:rsid w:val="00FA4F5A"/>
    <w:rsid w:val="00FA501F"/>
    <w:rsid w:val="00FA508F"/>
    <w:rsid w:val="00FA515E"/>
    <w:rsid w:val="00FA515F"/>
    <w:rsid w:val="00FA52AA"/>
    <w:rsid w:val="00FA52DC"/>
    <w:rsid w:val="00FA5505"/>
    <w:rsid w:val="00FA5737"/>
    <w:rsid w:val="00FA57A6"/>
    <w:rsid w:val="00FA5D2A"/>
    <w:rsid w:val="00FA5D6B"/>
    <w:rsid w:val="00FA5DC6"/>
    <w:rsid w:val="00FA5DCD"/>
    <w:rsid w:val="00FA5DFA"/>
    <w:rsid w:val="00FA5E0F"/>
    <w:rsid w:val="00FA5EC6"/>
    <w:rsid w:val="00FA5F7F"/>
    <w:rsid w:val="00FA6049"/>
    <w:rsid w:val="00FA6067"/>
    <w:rsid w:val="00FA61F7"/>
    <w:rsid w:val="00FA6204"/>
    <w:rsid w:val="00FA642A"/>
    <w:rsid w:val="00FA64B2"/>
    <w:rsid w:val="00FA6517"/>
    <w:rsid w:val="00FA65BA"/>
    <w:rsid w:val="00FA65D3"/>
    <w:rsid w:val="00FA6629"/>
    <w:rsid w:val="00FA6762"/>
    <w:rsid w:val="00FA6766"/>
    <w:rsid w:val="00FA687C"/>
    <w:rsid w:val="00FA68CD"/>
    <w:rsid w:val="00FA68D2"/>
    <w:rsid w:val="00FA68E9"/>
    <w:rsid w:val="00FA6CA3"/>
    <w:rsid w:val="00FA6DDC"/>
    <w:rsid w:val="00FA6DE5"/>
    <w:rsid w:val="00FA6F63"/>
    <w:rsid w:val="00FA6F75"/>
    <w:rsid w:val="00FA6FD8"/>
    <w:rsid w:val="00FA701C"/>
    <w:rsid w:val="00FA7113"/>
    <w:rsid w:val="00FA73F3"/>
    <w:rsid w:val="00FA74C4"/>
    <w:rsid w:val="00FA75D2"/>
    <w:rsid w:val="00FA7845"/>
    <w:rsid w:val="00FA786B"/>
    <w:rsid w:val="00FA78D2"/>
    <w:rsid w:val="00FA79D2"/>
    <w:rsid w:val="00FA7BEA"/>
    <w:rsid w:val="00FA7DEF"/>
    <w:rsid w:val="00FA7E48"/>
    <w:rsid w:val="00FA7FF1"/>
    <w:rsid w:val="00FB0091"/>
    <w:rsid w:val="00FB0102"/>
    <w:rsid w:val="00FB0212"/>
    <w:rsid w:val="00FB0236"/>
    <w:rsid w:val="00FB023C"/>
    <w:rsid w:val="00FB039B"/>
    <w:rsid w:val="00FB040E"/>
    <w:rsid w:val="00FB049F"/>
    <w:rsid w:val="00FB066E"/>
    <w:rsid w:val="00FB0856"/>
    <w:rsid w:val="00FB090A"/>
    <w:rsid w:val="00FB09B1"/>
    <w:rsid w:val="00FB09CC"/>
    <w:rsid w:val="00FB0B53"/>
    <w:rsid w:val="00FB0C1E"/>
    <w:rsid w:val="00FB0C6B"/>
    <w:rsid w:val="00FB0C8B"/>
    <w:rsid w:val="00FB0DF4"/>
    <w:rsid w:val="00FB0EFB"/>
    <w:rsid w:val="00FB0F42"/>
    <w:rsid w:val="00FB1048"/>
    <w:rsid w:val="00FB1127"/>
    <w:rsid w:val="00FB118D"/>
    <w:rsid w:val="00FB125F"/>
    <w:rsid w:val="00FB12FF"/>
    <w:rsid w:val="00FB13AE"/>
    <w:rsid w:val="00FB1510"/>
    <w:rsid w:val="00FB154C"/>
    <w:rsid w:val="00FB170B"/>
    <w:rsid w:val="00FB1790"/>
    <w:rsid w:val="00FB18B9"/>
    <w:rsid w:val="00FB1A68"/>
    <w:rsid w:val="00FB1AC1"/>
    <w:rsid w:val="00FB1AE1"/>
    <w:rsid w:val="00FB1B47"/>
    <w:rsid w:val="00FB1B97"/>
    <w:rsid w:val="00FB1C80"/>
    <w:rsid w:val="00FB1C87"/>
    <w:rsid w:val="00FB1D01"/>
    <w:rsid w:val="00FB1F56"/>
    <w:rsid w:val="00FB1FFB"/>
    <w:rsid w:val="00FB20D8"/>
    <w:rsid w:val="00FB21EF"/>
    <w:rsid w:val="00FB22F4"/>
    <w:rsid w:val="00FB25EF"/>
    <w:rsid w:val="00FB260C"/>
    <w:rsid w:val="00FB2685"/>
    <w:rsid w:val="00FB2700"/>
    <w:rsid w:val="00FB27BE"/>
    <w:rsid w:val="00FB29C9"/>
    <w:rsid w:val="00FB2AC6"/>
    <w:rsid w:val="00FB2B03"/>
    <w:rsid w:val="00FB2BC9"/>
    <w:rsid w:val="00FB2F37"/>
    <w:rsid w:val="00FB30CF"/>
    <w:rsid w:val="00FB31AE"/>
    <w:rsid w:val="00FB32F9"/>
    <w:rsid w:val="00FB33A3"/>
    <w:rsid w:val="00FB3449"/>
    <w:rsid w:val="00FB36B3"/>
    <w:rsid w:val="00FB373D"/>
    <w:rsid w:val="00FB378A"/>
    <w:rsid w:val="00FB3799"/>
    <w:rsid w:val="00FB388B"/>
    <w:rsid w:val="00FB38E6"/>
    <w:rsid w:val="00FB3EC9"/>
    <w:rsid w:val="00FB3EF5"/>
    <w:rsid w:val="00FB3F61"/>
    <w:rsid w:val="00FB3F9E"/>
    <w:rsid w:val="00FB41F8"/>
    <w:rsid w:val="00FB4504"/>
    <w:rsid w:val="00FB450E"/>
    <w:rsid w:val="00FB4569"/>
    <w:rsid w:val="00FB45CC"/>
    <w:rsid w:val="00FB4605"/>
    <w:rsid w:val="00FB46C3"/>
    <w:rsid w:val="00FB47EB"/>
    <w:rsid w:val="00FB4831"/>
    <w:rsid w:val="00FB49DB"/>
    <w:rsid w:val="00FB4A08"/>
    <w:rsid w:val="00FB4C75"/>
    <w:rsid w:val="00FB4DE7"/>
    <w:rsid w:val="00FB4E95"/>
    <w:rsid w:val="00FB4EDF"/>
    <w:rsid w:val="00FB4F0E"/>
    <w:rsid w:val="00FB506A"/>
    <w:rsid w:val="00FB5086"/>
    <w:rsid w:val="00FB50A9"/>
    <w:rsid w:val="00FB50B0"/>
    <w:rsid w:val="00FB50C6"/>
    <w:rsid w:val="00FB5248"/>
    <w:rsid w:val="00FB5253"/>
    <w:rsid w:val="00FB531C"/>
    <w:rsid w:val="00FB5399"/>
    <w:rsid w:val="00FB53D1"/>
    <w:rsid w:val="00FB54DD"/>
    <w:rsid w:val="00FB54E4"/>
    <w:rsid w:val="00FB5529"/>
    <w:rsid w:val="00FB55C4"/>
    <w:rsid w:val="00FB5642"/>
    <w:rsid w:val="00FB573E"/>
    <w:rsid w:val="00FB59E8"/>
    <w:rsid w:val="00FB5B89"/>
    <w:rsid w:val="00FB5D77"/>
    <w:rsid w:val="00FB5D97"/>
    <w:rsid w:val="00FB5DE0"/>
    <w:rsid w:val="00FB5E83"/>
    <w:rsid w:val="00FB5F24"/>
    <w:rsid w:val="00FB5F36"/>
    <w:rsid w:val="00FB6056"/>
    <w:rsid w:val="00FB6086"/>
    <w:rsid w:val="00FB608D"/>
    <w:rsid w:val="00FB60C7"/>
    <w:rsid w:val="00FB633A"/>
    <w:rsid w:val="00FB6370"/>
    <w:rsid w:val="00FB639C"/>
    <w:rsid w:val="00FB6586"/>
    <w:rsid w:val="00FB65F1"/>
    <w:rsid w:val="00FB67CA"/>
    <w:rsid w:val="00FB69C1"/>
    <w:rsid w:val="00FB6A8D"/>
    <w:rsid w:val="00FB6C3C"/>
    <w:rsid w:val="00FB6C69"/>
    <w:rsid w:val="00FB6D1F"/>
    <w:rsid w:val="00FB6D29"/>
    <w:rsid w:val="00FB6DA1"/>
    <w:rsid w:val="00FB6E1F"/>
    <w:rsid w:val="00FB6ED0"/>
    <w:rsid w:val="00FB7055"/>
    <w:rsid w:val="00FB7140"/>
    <w:rsid w:val="00FB71EB"/>
    <w:rsid w:val="00FB72A4"/>
    <w:rsid w:val="00FB7381"/>
    <w:rsid w:val="00FB748A"/>
    <w:rsid w:val="00FB74B9"/>
    <w:rsid w:val="00FB7512"/>
    <w:rsid w:val="00FB7614"/>
    <w:rsid w:val="00FB766C"/>
    <w:rsid w:val="00FB76DB"/>
    <w:rsid w:val="00FB7706"/>
    <w:rsid w:val="00FB77BD"/>
    <w:rsid w:val="00FB77D2"/>
    <w:rsid w:val="00FB7C25"/>
    <w:rsid w:val="00FB7C7E"/>
    <w:rsid w:val="00FB7D87"/>
    <w:rsid w:val="00FB7E0C"/>
    <w:rsid w:val="00FB7EB6"/>
    <w:rsid w:val="00FB7F5E"/>
    <w:rsid w:val="00FB7F5F"/>
    <w:rsid w:val="00FC003C"/>
    <w:rsid w:val="00FC00CB"/>
    <w:rsid w:val="00FC00CE"/>
    <w:rsid w:val="00FC0141"/>
    <w:rsid w:val="00FC0170"/>
    <w:rsid w:val="00FC01BE"/>
    <w:rsid w:val="00FC01C7"/>
    <w:rsid w:val="00FC0547"/>
    <w:rsid w:val="00FC0553"/>
    <w:rsid w:val="00FC0635"/>
    <w:rsid w:val="00FC06B1"/>
    <w:rsid w:val="00FC0856"/>
    <w:rsid w:val="00FC093A"/>
    <w:rsid w:val="00FC0B84"/>
    <w:rsid w:val="00FC0CA7"/>
    <w:rsid w:val="00FC0D1E"/>
    <w:rsid w:val="00FC0FAC"/>
    <w:rsid w:val="00FC102E"/>
    <w:rsid w:val="00FC123B"/>
    <w:rsid w:val="00FC1389"/>
    <w:rsid w:val="00FC13C7"/>
    <w:rsid w:val="00FC14D6"/>
    <w:rsid w:val="00FC1543"/>
    <w:rsid w:val="00FC17B8"/>
    <w:rsid w:val="00FC1866"/>
    <w:rsid w:val="00FC1A55"/>
    <w:rsid w:val="00FC1CC6"/>
    <w:rsid w:val="00FC1D14"/>
    <w:rsid w:val="00FC1D42"/>
    <w:rsid w:val="00FC1D59"/>
    <w:rsid w:val="00FC1D6B"/>
    <w:rsid w:val="00FC1F89"/>
    <w:rsid w:val="00FC2063"/>
    <w:rsid w:val="00FC210A"/>
    <w:rsid w:val="00FC212B"/>
    <w:rsid w:val="00FC2202"/>
    <w:rsid w:val="00FC222F"/>
    <w:rsid w:val="00FC240E"/>
    <w:rsid w:val="00FC2411"/>
    <w:rsid w:val="00FC2542"/>
    <w:rsid w:val="00FC2829"/>
    <w:rsid w:val="00FC29A5"/>
    <w:rsid w:val="00FC29AB"/>
    <w:rsid w:val="00FC2B1E"/>
    <w:rsid w:val="00FC2BE2"/>
    <w:rsid w:val="00FC2BFE"/>
    <w:rsid w:val="00FC2D37"/>
    <w:rsid w:val="00FC2DD7"/>
    <w:rsid w:val="00FC2E78"/>
    <w:rsid w:val="00FC303D"/>
    <w:rsid w:val="00FC352A"/>
    <w:rsid w:val="00FC35DD"/>
    <w:rsid w:val="00FC36E0"/>
    <w:rsid w:val="00FC3750"/>
    <w:rsid w:val="00FC37AE"/>
    <w:rsid w:val="00FC387B"/>
    <w:rsid w:val="00FC39CB"/>
    <w:rsid w:val="00FC3A7D"/>
    <w:rsid w:val="00FC3B5B"/>
    <w:rsid w:val="00FC3D4A"/>
    <w:rsid w:val="00FC3F18"/>
    <w:rsid w:val="00FC4025"/>
    <w:rsid w:val="00FC4161"/>
    <w:rsid w:val="00FC41BF"/>
    <w:rsid w:val="00FC43B8"/>
    <w:rsid w:val="00FC4409"/>
    <w:rsid w:val="00FC460E"/>
    <w:rsid w:val="00FC4667"/>
    <w:rsid w:val="00FC46BB"/>
    <w:rsid w:val="00FC4898"/>
    <w:rsid w:val="00FC4978"/>
    <w:rsid w:val="00FC4A38"/>
    <w:rsid w:val="00FC4A94"/>
    <w:rsid w:val="00FC4C42"/>
    <w:rsid w:val="00FC4CEC"/>
    <w:rsid w:val="00FC4E50"/>
    <w:rsid w:val="00FC4F7C"/>
    <w:rsid w:val="00FC5127"/>
    <w:rsid w:val="00FC5161"/>
    <w:rsid w:val="00FC5295"/>
    <w:rsid w:val="00FC5336"/>
    <w:rsid w:val="00FC56BD"/>
    <w:rsid w:val="00FC57FA"/>
    <w:rsid w:val="00FC585C"/>
    <w:rsid w:val="00FC58D4"/>
    <w:rsid w:val="00FC58E9"/>
    <w:rsid w:val="00FC5954"/>
    <w:rsid w:val="00FC5961"/>
    <w:rsid w:val="00FC5A3F"/>
    <w:rsid w:val="00FC5A94"/>
    <w:rsid w:val="00FC5AD8"/>
    <w:rsid w:val="00FC5AF4"/>
    <w:rsid w:val="00FC5B27"/>
    <w:rsid w:val="00FC5B30"/>
    <w:rsid w:val="00FC5B78"/>
    <w:rsid w:val="00FC5C32"/>
    <w:rsid w:val="00FC5D6E"/>
    <w:rsid w:val="00FC5E0B"/>
    <w:rsid w:val="00FC5F6E"/>
    <w:rsid w:val="00FC5FB5"/>
    <w:rsid w:val="00FC6078"/>
    <w:rsid w:val="00FC6153"/>
    <w:rsid w:val="00FC624D"/>
    <w:rsid w:val="00FC62ED"/>
    <w:rsid w:val="00FC632E"/>
    <w:rsid w:val="00FC635D"/>
    <w:rsid w:val="00FC64EC"/>
    <w:rsid w:val="00FC6514"/>
    <w:rsid w:val="00FC666B"/>
    <w:rsid w:val="00FC6755"/>
    <w:rsid w:val="00FC692C"/>
    <w:rsid w:val="00FC6A68"/>
    <w:rsid w:val="00FC6CF6"/>
    <w:rsid w:val="00FC6D19"/>
    <w:rsid w:val="00FC708D"/>
    <w:rsid w:val="00FC7121"/>
    <w:rsid w:val="00FC7152"/>
    <w:rsid w:val="00FC71A5"/>
    <w:rsid w:val="00FC71E1"/>
    <w:rsid w:val="00FC721F"/>
    <w:rsid w:val="00FC74C2"/>
    <w:rsid w:val="00FC74EF"/>
    <w:rsid w:val="00FC75D3"/>
    <w:rsid w:val="00FC769D"/>
    <w:rsid w:val="00FC7837"/>
    <w:rsid w:val="00FC7859"/>
    <w:rsid w:val="00FC7AE7"/>
    <w:rsid w:val="00FC7B0D"/>
    <w:rsid w:val="00FC7B31"/>
    <w:rsid w:val="00FC7B33"/>
    <w:rsid w:val="00FC7BC8"/>
    <w:rsid w:val="00FC7BD2"/>
    <w:rsid w:val="00FC7CE4"/>
    <w:rsid w:val="00FC7D8D"/>
    <w:rsid w:val="00FC7ECA"/>
    <w:rsid w:val="00FD0092"/>
    <w:rsid w:val="00FD0392"/>
    <w:rsid w:val="00FD04AE"/>
    <w:rsid w:val="00FD064D"/>
    <w:rsid w:val="00FD080B"/>
    <w:rsid w:val="00FD0865"/>
    <w:rsid w:val="00FD08F9"/>
    <w:rsid w:val="00FD093A"/>
    <w:rsid w:val="00FD0C35"/>
    <w:rsid w:val="00FD0C6A"/>
    <w:rsid w:val="00FD0C90"/>
    <w:rsid w:val="00FD0DA4"/>
    <w:rsid w:val="00FD0DF1"/>
    <w:rsid w:val="00FD0E59"/>
    <w:rsid w:val="00FD1153"/>
    <w:rsid w:val="00FD1177"/>
    <w:rsid w:val="00FD1265"/>
    <w:rsid w:val="00FD1415"/>
    <w:rsid w:val="00FD1675"/>
    <w:rsid w:val="00FD173E"/>
    <w:rsid w:val="00FD1795"/>
    <w:rsid w:val="00FD18E9"/>
    <w:rsid w:val="00FD191E"/>
    <w:rsid w:val="00FD1984"/>
    <w:rsid w:val="00FD1B76"/>
    <w:rsid w:val="00FD1CBC"/>
    <w:rsid w:val="00FD1CD0"/>
    <w:rsid w:val="00FD1E50"/>
    <w:rsid w:val="00FD1F2B"/>
    <w:rsid w:val="00FD2034"/>
    <w:rsid w:val="00FD204B"/>
    <w:rsid w:val="00FD258B"/>
    <w:rsid w:val="00FD2818"/>
    <w:rsid w:val="00FD29C2"/>
    <w:rsid w:val="00FD2A15"/>
    <w:rsid w:val="00FD2AE4"/>
    <w:rsid w:val="00FD2B14"/>
    <w:rsid w:val="00FD2B7B"/>
    <w:rsid w:val="00FD2B96"/>
    <w:rsid w:val="00FD2BC2"/>
    <w:rsid w:val="00FD2C90"/>
    <w:rsid w:val="00FD2CAE"/>
    <w:rsid w:val="00FD2F49"/>
    <w:rsid w:val="00FD3191"/>
    <w:rsid w:val="00FD3240"/>
    <w:rsid w:val="00FD3249"/>
    <w:rsid w:val="00FD324C"/>
    <w:rsid w:val="00FD33F2"/>
    <w:rsid w:val="00FD34DD"/>
    <w:rsid w:val="00FD3526"/>
    <w:rsid w:val="00FD35A3"/>
    <w:rsid w:val="00FD367C"/>
    <w:rsid w:val="00FD3828"/>
    <w:rsid w:val="00FD388D"/>
    <w:rsid w:val="00FD389D"/>
    <w:rsid w:val="00FD3AB9"/>
    <w:rsid w:val="00FD3B47"/>
    <w:rsid w:val="00FD3C56"/>
    <w:rsid w:val="00FD3D45"/>
    <w:rsid w:val="00FD3E17"/>
    <w:rsid w:val="00FD3E23"/>
    <w:rsid w:val="00FD3FE0"/>
    <w:rsid w:val="00FD4038"/>
    <w:rsid w:val="00FD4054"/>
    <w:rsid w:val="00FD4057"/>
    <w:rsid w:val="00FD40F5"/>
    <w:rsid w:val="00FD413F"/>
    <w:rsid w:val="00FD441D"/>
    <w:rsid w:val="00FD4545"/>
    <w:rsid w:val="00FD4559"/>
    <w:rsid w:val="00FD4579"/>
    <w:rsid w:val="00FD4672"/>
    <w:rsid w:val="00FD4787"/>
    <w:rsid w:val="00FD47AB"/>
    <w:rsid w:val="00FD47C4"/>
    <w:rsid w:val="00FD4A1F"/>
    <w:rsid w:val="00FD4B6B"/>
    <w:rsid w:val="00FD4D7C"/>
    <w:rsid w:val="00FD4EBB"/>
    <w:rsid w:val="00FD506F"/>
    <w:rsid w:val="00FD50C9"/>
    <w:rsid w:val="00FD518C"/>
    <w:rsid w:val="00FD51E7"/>
    <w:rsid w:val="00FD5230"/>
    <w:rsid w:val="00FD5321"/>
    <w:rsid w:val="00FD53FE"/>
    <w:rsid w:val="00FD5494"/>
    <w:rsid w:val="00FD55C8"/>
    <w:rsid w:val="00FD5671"/>
    <w:rsid w:val="00FD56C7"/>
    <w:rsid w:val="00FD5785"/>
    <w:rsid w:val="00FD57CE"/>
    <w:rsid w:val="00FD57DF"/>
    <w:rsid w:val="00FD582C"/>
    <w:rsid w:val="00FD58A9"/>
    <w:rsid w:val="00FD5A9D"/>
    <w:rsid w:val="00FD5C8F"/>
    <w:rsid w:val="00FD5CA4"/>
    <w:rsid w:val="00FD5D3D"/>
    <w:rsid w:val="00FD5DA2"/>
    <w:rsid w:val="00FD5ECC"/>
    <w:rsid w:val="00FD5F32"/>
    <w:rsid w:val="00FD60C5"/>
    <w:rsid w:val="00FD60C8"/>
    <w:rsid w:val="00FD61B4"/>
    <w:rsid w:val="00FD6270"/>
    <w:rsid w:val="00FD638E"/>
    <w:rsid w:val="00FD63EB"/>
    <w:rsid w:val="00FD6406"/>
    <w:rsid w:val="00FD65F4"/>
    <w:rsid w:val="00FD668F"/>
    <w:rsid w:val="00FD66AD"/>
    <w:rsid w:val="00FD676D"/>
    <w:rsid w:val="00FD6972"/>
    <w:rsid w:val="00FD6993"/>
    <w:rsid w:val="00FD6A2E"/>
    <w:rsid w:val="00FD6A6C"/>
    <w:rsid w:val="00FD6A7B"/>
    <w:rsid w:val="00FD6B74"/>
    <w:rsid w:val="00FD6BCF"/>
    <w:rsid w:val="00FD6D61"/>
    <w:rsid w:val="00FD6F32"/>
    <w:rsid w:val="00FD70A3"/>
    <w:rsid w:val="00FD7298"/>
    <w:rsid w:val="00FD7523"/>
    <w:rsid w:val="00FD75F2"/>
    <w:rsid w:val="00FD75FE"/>
    <w:rsid w:val="00FD7618"/>
    <w:rsid w:val="00FD764B"/>
    <w:rsid w:val="00FD766E"/>
    <w:rsid w:val="00FD7839"/>
    <w:rsid w:val="00FD78B7"/>
    <w:rsid w:val="00FD78DC"/>
    <w:rsid w:val="00FD79C9"/>
    <w:rsid w:val="00FD7A45"/>
    <w:rsid w:val="00FD7AAB"/>
    <w:rsid w:val="00FD7B79"/>
    <w:rsid w:val="00FD7B87"/>
    <w:rsid w:val="00FD7CF3"/>
    <w:rsid w:val="00FD7D45"/>
    <w:rsid w:val="00FD7D8E"/>
    <w:rsid w:val="00FD7E70"/>
    <w:rsid w:val="00FD7F22"/>
    <w:rsid w:val="00FE000D"/>
    <w:rsid w:val="00FE011A"/>
    <w:rsid w:val="00FE03AF"/>
    <w:rsid w:val="00FE0464"/>
    <w:rsid w:val="00FE049E"/>
    <w:rsid w:val="00FE04F9"/>
    <w:rsid w:val="00FE06C0"/>
    <w:rsid w:val="00FE06D5"/>
    <w:rsid w:val="00FE071B"/>
    <w:rsid w:val="00FE0739"/>
    <w:rsid w:val="00FE0887"/>
    <w:rsid w:val="00FE0A47"/>
    <w:rsid w:val="00FE0A70"/>
    <w:rsid w:val="00FE0C6B"/>
    <w:rsid w:val="00FE0D3B"/>
    <w:rsid w:val="00FE0EF5"/>
    <w:rsid w:val="00FE1193"/>
    <w:rsid w:val="00FE13E8"/>
    <w:rsid w:val="00FE1456"/>
    <w:rsid w:val="00FE14AF"/>
    <w:rsid w:val="00FE1510"/>
    <w:rsid w:val="00FE1567"/>
    <w:rsid w:val="00FE1713"/>
    <w:rsid w:val="00FE1736"/>
    <w:rsid w:val="00FE1984"/>
    <w:rsid w:val="00FE198C"/>
    <w:rsid w:val="00FE19B1"/>
    <w:rsid w:val="00FE1A06"/>
    <w:rsid w:val="00FE1B2B"/>
    <w:rsid w:val="00FE1C1A"/>
    <w:rsid w:val="00FE1CC4"/>
    <w:rsid w:val="00FE1EBE"/>
    <w:rsid w:val="00FE1FFA"/>
    <w:rsid w:val="00FE2182"/>
    <w:rsid w:val="00FE231E"/>
    <w:rsid w:val="00FE236A"/>
    <w:rsid w:val="00FE236C"/>
    <w:rsid w:val="00FE23B0"/>
    <w:rsid w:val="00FE2570"/>
    <w:rsid w:val="00FE2841"/>
    <w:rsid w:val="00FE2A52"/>
    <w:rsid w:val="00FE2B04"/>
    <w:rsid w:val="00FE2DB5"/>
    <w:rsid w:val="00FE2EC5"/>
    <w:rsid w:val="00FE3000"/>
    <w:rsid w:val="00FE3067"/>
    <w:rsid w:val="00FE3321"/>
    <w:rsid w:val="00FE343D"/>
    <w:rsid w:val="00FE34DB"/>
    <w:rsid w:val="00FE3653"/>
    <w:rsid w:val="00FE36AE"/>
    <w:rsid w:val="00FE36E4"/>
    <w:rsid w:val="00FE3887"/>
    <w:rsid w:val="00FE39D9"/>
    <w:rsid w:val="00FE3A30"/>
    <w:rsid w:val="00FE3AB5"/>
    <w:rsid w:val="00FE3B70"/>
    <w:rsid w:val="00FE3C64"/>
    <w:rsid w:val="00FE3C75"/>
    <w:rsid w:val="00FE3C87"/>
    <w:rsid w:val="00FE3CD0"/>
    <w:rsid w:val="00FE3D1A"/>
    <w:rsid w:val="00FE3DA1"/>
    <w:rsid w:val="00FE3DEB"/>
    <w:rsid w:val="00FE3E21"/>
    <w:rsid w:val="00FE4039"/>
    <w:rsid w:val="00FE40DA"/>
    <w:rsid w:val="00FE41BE"/>
    <w:rsid w:val="00FE42AF"/>
    <w:rsid w:val="00FE42C7"/>
    <w:rsid w:val="00FE4319"/>
    <w:rsid w:val="00FE436F"/>
    <w:rsid w:val="00FE45AA"/>
    <w:rsid w:val="00FE4604"/>
    <w:rsid w:val="00FE4668"/>
    <w:rsid w:val="00FE4745"/>
    <w:rsid w:val="00FE49E3"/>
    <w:rsid w:val="00FE4AAA"/>
    <w:rsid w:val="00FE4BB9"/>
    <w:rsid w:val="00FE4CCF"/>
    <w:rsid w:val="00FE4CF3"/>
    <w:rsid w:val="00FE4E58"/>
    <w:rsid w:val="00FE4FE2"/>
    <w:rsid w:val="00FE5008"/>
    <w:rsid w:val="00FE50A3"/>
    <w:rsid w:val="00FE51FF"/>
    <w:rsid w:val="00FE522F"/>
    <w:rsid w:val="00FE5236"/>
    <w:rsid w:val="00FE529E"/>
    <w:rsid w:val="00FE5409"/>
    <w:rsid w:val="00FE54CF"/>
    <w:rsid w:val="00FE54E1"/>
    <w:rsid w:val="00FE5534"/>
    <w:rsid w:val="00FE55D3"/>
    <w:rsid w:val="00FE565E"/>
    <w:rsid w:val="00FE568D"/>
    <w:rsid w:val="00FE570B"/>
    <w:rsid w:val="00FE5A57"/>
    <w:rsid w:val="00FE5AC9"/>
    <w:rsid w:val="00FE5B46"/>
    <w:rsid w:val="00FE5D9A"/>
    <w:rsid w:val="00FE5E91"/>
    <w:rsid w:val="00FE5EDE"/>
    <w:rsid w:val="00FE5EE8"/>
    <w:rsid w:val="00FE5F8B"/>
    <w:rsid w:val="00FE5F97"/>
    <w:rsid w:val="00FE6058"/>
    <w:rsid w:val="00FE60E1"/>
    <w:rsid w:val="00FE610C"/>
    <w:rsid w:val="00FE61A3"/>
    <w:rsid w:val="00FE61AC"/>
    <w:rsid w:val="00FE6264"/>
    <w:rsid w:val="00FE64DD"/>
    <w:rsid w:val="00FE66C2"/>
    <w:rsid w:val="00FE6809"/>
    <w:rsid w:val="00FE687E"/>
    <w:rsid w:val="00FE6AD2"/>
    <w:rsid w:val="00FE6CD0"/>
    <w:rsid w:val="00FE6D6B"/>
    <w:rsid w:val="00FE6DB9"/>
    <w:rsid w:val="00FE7265"/>
    <w:rsid w:val="00FE7281"/>
    <w:rsid w:val="00FE728B"/>
    <w:rsid w:val="00FE72DA"/>
    <w:rsid w:val="00FE72EF"/>
    <w:rsid w:val="00FE7495"/>
    <w:rsid w:val="00FE7642"/>
    <w:rsid w:val="00FE783D"/>
    <w:rsid w:val="00FE7A35"/>
    <w:rsid w:val="00FE7AB3"/>
    <w:rsid w:val="00FE7AFF"/>
    <w:rsid w:val="00FE7B6F"/>
    <w:rsid w:val="00FE7BC0"/>
    <w:rsid w:val="00FE7C15"/>
    <w:rsid w:val="00FE7C7D"/>
    <w:rsid w:val="00FE7D6B"/>
    <w:rsid w:val="00FE7DB0"/>
    <w:rsid w:val="00FE7E90"/>
    <w:rsid w:val="00FE7EAD"/>
    <w:rsid w:val="00FE7F16"/>
    <w:rsid w:val="00FF000E"/>
    <w:rsid w:val="00FF006D"/>
    <w:rsid w:val="00FF0168"/>
    <w:rsid w:val="00FF0204"/>
    <w:rsid w:val="00FF02B6"/>
    <w:rsid w:val="00FF038B"/>
    <w:rsid w:val="00FF0438"/>
    <w:rsid w:val="00FF048D"/>
    <w:rsid w:val="00FF054A"/>
    <w:rsid w:val="00FF0584"/>
    <w:rsid w:val="00FF0803"/>
    <w:rsid w:val="00FF0868"/>
    <w:rsid w:val="00FF0D26"/>
    <w:rsid w:val="00FF0DA6"/>
    <w:rsid w:val="00FF0E1F"/>
    <w:rsid w:val="00FF0EE3"/>
    <w:rsid w:val="00FF0F4E"/>
    <w:rsid w:val="00FF1113"/>
    <w:rsid w:val="00FF129D"/>
    <w:rsid w:val="00FF1569"/>
    <w:rsid w:val="00FF15BE"/>
    <w:rsid w:val="00FF175B"/>
    <w:rsid w:val="00FF18F2"/>
    <w:rsid w:val="00FF1A66"/>
    <w:rsid w:val="00FF1A9D"/>
    <w:rsid w:val="00FF1ED9"/>
    <w:rsid w:val="00FF1FCD"/>
    <w:rsid w:val="00FF1FDE"/>
    <w:rsid w:val="00FF2188"/>
    <w:rsid w:val="00FF219F"/>
    <w:rsid w:val="00FF2225"/>
    <w:rsid w:val="00FF2236"/>
    <w:rsid w:val="00FF2246"/>
    <w:rsid w:val="00FF2286"/>
    <w:rsid w:val="00FF2289"/>
    <w:rsid w:val="00FF2347"/>
    <w:rsid w:val="00FF25A3"/>
    <w:rsid w:val="00FF263D"/>
    <w:rsid w:val="00FF2687"/>
    <w:rsid w:val="00FF27BB"/>
    <w:rsid w:val="00FF2813"/>
    <w:rsid w:val="00FF292F"/>
    <w:rsid w:val="00FF29D9"/>
    <w:rsid w:val="00FF2AF8"/>
    <w:rsid w:val="00FF2B0A"/>
    <w:rsid w:val="00FF2B33"/>
    <w:rsid w:val="00FF2D57"/>
    <w:rsid w:val="00FF2E22"/>
    <w:rsid w:val="00FF2E80"/>
    <w:rsid w:val="00FF2EB5"/>
    <w:rsid w:val="00FF2EE9"/>
    <w:rsid w:val="00FF2EFA"/>
    <w:rsid w:val="00FF3142"/>
    <w:rsid w:val="00FF3472"/>
    <w:rsid w:val="00FF34AA"/>
    <w:rsid w:val="00FF3560"/>
    <w:rsid w:val="00FF36A5"/>
    <w:rsid w:val="00FF3756"/>
    <w:rsid w:val="00FF38E1"/>
    <w:rsid w:val="00FF3906"/>
    <w:rsid w:val="00FF3942"/>
    <w:rsid w:val="00FF394D"/>
    <w:rsid w:val="00FF39A0"/>
    <w:rsid w:val="00FF39AE"/>
    <w:rsid w:val="00FF3A3C"/>
    <w:rsid w:val="00FF3B2F"/>
    <w:rsid w:val="00FF3B81"/>
    <w:rsid w:val="00FF3BB9"/>
    <w:rsid w:val="00FF3C8D"/>
    <w:rsid w:val="00FF3CB6"/>
    <w:rsid w:val="00FF3CC8"/>
    <w:rsid w:val="00FF3DA5"/>
    <w:rsid w:val="00FF3DEE"/>
    <w:rsid w:val="00FF3E09"/>
    <w:rsid w:val="00FF3ECC"/>
    <w:rsid w:val="00FF3F4C"/>
    <w:rsid w:val="00FF3FBD"/>
    <w:rsid w:val="00FF4269"/>
    <w:rsid w:val="00FF431A"/>
    <w:rsid w:val="00FF4345"/>
    <w:rsid w:val="00FF4414"/>
    <w:rsid w:val="00FF4513"/>
    <w:rsid w:val="00FF452A"/>
    <w:rsid w:val="00FF453C"/>
    <w:rsid w:val="00FF461F"/>
    <w:rsid w:val="00FF4ADC"/>
    <w:rsid w:val="00FF4B3E"/>
    <w:rsid w:val="00FF4B83"/>
    <w:rsid w:val="00FF4B9C"/>
    <w:rsid w:val="00FF4BBE"/>
    <w:rsid w:val="00FF4D10"/>
    <w:rsid w:val="00FF4D86"/>
    <w:rsid w:val="00FF4EA8"/>
    <w:rsid w:val="00FF4EE1"/>
    <w:rsid w:val="00FF4F01"/>
    <w:rsid w:val="00FF4F32"/>
    <w:rsid w:val="00FF4F89"/>
    <w:rsid w:val="00FF5059"/>
    <w:rsid w:val="00FF51D1"/>
    <w:rsid w:val="00FF5204"/>
    <w:rsid w:val="00FF523E"/>
    <w:rsid w:val="00FF530A"/>
    <w:rsid w:val="00FF53E1"/>
    <w:rsid w:val="00FF5571"/>
    <w:rsid w:val="00FF5628"/>
    <w:rsid w:val="00FF5648"/>
    <w:rsid w:val="00FF5A1B"/>
    <w:rsid w:val="00FF5BC7"/>
    <w:rsid w:val="00FF5CDA"/>
    <w:rsid w:val="00FF5DE4"/>
    <w:rsid w:val="00FF5EFF"/>
    <w:rsid w:val="00FF5F6F"/>
    <w:rsid w:val="00FF6180"/>
    <w:rsid w:val="00FF6254"/>
    <w:rsid w:val="00FF6310"/>
    <w:rsid w:val="00FF6347"/>
    <w:rsid w:val="00FF643A"/>
    <w:rsid w:val="00FF6501"/>
    <w:rsid w:val="00FF650F"/>
    <w:rsid w:val="00FF6925"/>
    <w:rsid w:val="00FF69B4"/>
    <w:rsid w:val="00FF6A88"/>
    <w:rsid w:val="00FF6C5D"/>
    <w:rsid w:val="00FF6CD7"/>
    <w:rsid w:val="00FF6D20"/>
    <w:rsid w:val="00FF6D78"/>
    <w:rsid w:val="00FF6E62"/>
    <w:rsid w:val="00FF6E9A"/>
    <w:rsid w:val="00FF6EBF"/>
    <w:rsid w:val="00FF7099"/>
    <w:rsid w:val="00FF71B4"/>
    <w:rsid w:val="00FF725C"/>
    <w:rsid w:val="00FF727F"/>
    <w:rsid w:val="00FF72BE"/>
    <w:rsid w:val="00FF7440"/>
    <w:rsid w:val="00FF7504"/>
    <w:rsid w:val="00FF753F"/>
    <w:rsid w:val="00FF7649"/>
    <w:rsid w:val="00FF773C"/>
    <w:rsid w:val="00FF7746"/>
    <w:rsid w:val="00FF781C"/>
    <w:rsid w:val="00FF7A2C"/>
    <w:rsid w:val="00FF7AF3"/>
    <w:rsid w:val="00FF7BFD"/>
    <w:rsid w:val="00FF7C13"/>
    <w:rsid w:val="00FF7EF7"/>
    <w:rsid w:val="00FF7FBC"/>
    <w:rsid w:val="0150CEDE"/>
    <w:rsid w:val="015333C0"/>
    <w:rsid w:val="01BF8B22"/>
    <w:rsid w:val="01C1B33A"/>
    <w:rsid w:val="01D7E409"/>
    <w:rsid w:val="01E6CA13"/>
    <w:rsid w:val="021FD40B"/>
    <w:rsid w:val="0220F051"/>
    <w:rsid w:val="02B09BC5"/>
    <w:rsid w:val="02B2AD23"/>
    <w:rsid w:val="02B310A2"/>
    <w:rsid w:val="03022797"/>
    <w:rsid w:val="0333CF5D"/>
    <w:rsid w:val="03913704"/>
    <w:rsid w:val="03D45D6B"/>
    <w:rsid w:val="03EF9768"/>
    <w:rsid w:val="042AC080"/>
    <w:rsid w:val="0462FDDB"/>
    <w:rsid w:val="04841936"/>
    <w:rsid w:val="048C881F"/>
    <w:rsid w:val="04AB6010"/>
    <w:rsid w:val="04D4055E"/>
    <w:rsid w:val="04F8B610"/>
    <w:rsid w:val="05079FF8"/>
    <w:rsid w:val="051E4D1A"/>
    <w:rsid w:val="057FC991"/>
    <w:rsid w:val="05874113"/>
    <w:rsid w:val="062BAE76"/>
    <w:rsid w:val="063FEEC5"/>
    <w:rsid w:val="068CC82E"/>
    <w:rsid w:val="0697D5F9"/>
    <w:rsid w:val="06F5C3B7"/>
    <w:rsid w:val="073466C7"/>
    <w:rsid w:val="07825C83"/>
    <w:rsid w:val="07AAF1C3"/>
    <w:rsid w:val="0800442F"/>
    <w:rsid w:val="0803927F"/>
    <w:rsid w:val="081ACB2D"/>
    <w:rsid w:val="082EE404"/>
    <w:rsid w:val="08570BC2"/>
    <w:rsid w:val="085AB844"/>
    <w:rsid w:val="085FF321"/>
    <w:rsid w:val="08A6DD74"/>
    <w:rsid w:val="08A7444A"/>
    <w:rsid w:val="08B736CB"/>
    <w:rsid w:val="08C2CEB5"/>
    <w:rsid w:val="08D166F5"/>
    <w:rsid w:val="08F2464E"/>
    <w:rsid w:val="09034D58"/>
    <w:rsid w:val="094CE5AF"/>
    <w:rsid w:val="09699DA6"/>
    <w:rsid w:val="09786467"/>
    <w:rsid w:val="0993EB61"/>
    <w:rsid w:val="09B1656A"/>
    <w:rsid w:val="09F92088"/>
    <w:rsid w:val="0A0182DF"/>
    <w:rsid w:val="0A0B0109"/>
    <w:rsid w:val="0A8948F0"/>
    <w:rsid w:val="0A90F62A"/>
    <w:rsid w:val="0AAC7709"/>
    <w:rsid w:val="0AD86EBF"/>
    <w:rsid w:val="0AE1BDF9"/>
    <w:rsid w:val="0B05B78F"/>
    <w:rsid w:val="0B9163E1"/>
    <w:rsid w:val="0BDAACD1"/>
    <w:rsid w:val="0C1B79D2"/>
    <w:rsid w:val="0C1CF022"/>
    <w:rsid w:val="0C4CECC5"/>
    <w:rsid w:val="0C4ED3F8"/>
    <w:rsid w:val="0C554712"/>
    <w:rsid w:val="0C64B160"/>
    <w:rsid w:val="0CB46392"/>
    <w:rsid w:val="0CD5C3C3"/>
    <w:rsid w:val="0CE8CF5A"/>
    <w:rsid w:val="0D138EB8"/>
    <w:rsid w:val="0D467386"/>
    <w:rsid w:val="0DD73C89"/>
    <w:rsid w:val="0DECDDF7"/>
    <w:rsid w:val="0E4CD8DF"/>
    <w:rsid w:val="0E7FF073"/>
    <w:rsid w:val="0E935EB7"/>
    <w:rsid w:val="0EA38FD6"/>
    <w:rsid w:val="0EAF9BDD"/>
    <w:rsid w:val="0FBDD238"/>
    <w:rsid w:val="0FBF888A"/>
    <w:rsid w:val="0FF804F1"/>
    <w:rsid w:val="1032E0E6"/>
    <w:rsid w:val="1054CC10"/>
    <w:rsid w:val="10E2CE43"/>
    <w:rsid w:val="10FEF73F"/>
    <w:rsid w:val="111462D7"/>
    <w:rsid w:val="1179B104"/>
    <w:rsid w:val="118035A1"/>
    <w:rsid w:val="11A49C4B"/>
    <w:rsid w:val="11F57492"/>
    <w:rsid w:val="11F59C06"/>
    <w:rsid w:val="12898D1F"/>
    <w:rsid w:val="1289B385"/>
    <w:rsid w:val="12BCDF38"/>
    <w:rsid w:val="12CD9E7C"/>
    <w:rsid w:val="13007C50"/>
    <w:rsid w:val="133B4E9F"/>
    <w:rsid w:val="135BC436"/>
    <w:rsid w:val="13673337"/>
    <w:rsid w:val="136A029D"/>
    <w:rsid w:val="137A3201"/>
    <w:rsid w:val="139FF356"/>
    <w:rsid w:val="13F748C6"/>
    <w:rsid w:val="141E1511"/>
    <w:rsid w:val="14307E53"/>
    <w:rsid w:val="146930C7"/>
    <w:rsid w:val="146E4716"/>
    <w:rsid w:val="147A0DF5"/>
    <w:rsid w:val="14A0F587"/>
    <w:rsid w:val="14A19FD0"/>
    <w:rsid w:val="155B60B8"/>
    <w:rsid w:val="15ABD661"/>
    <w:rsid w:val="15E5070E"/>
    <w:rsid w:val="15E5358F"/>
    <w:rsid w:val="161E82DC"/>
    <w:rsid w:val="1624B146"/>
    <w:rsid w:val="165F1D23"/>
    <w:rsid w:val="166BF15E"/>
    <w:rsid w:val="166E56E8"/>
    <w:rsid w:val="16860599"/>
    <w:rsid w:val="169FB799"/>
    <w:rsid w:val="16C173DB"/>
    <w:rsid w:val="17501D3A"/>
    <w:rsid w:val="175C6FDA"/>
    <w:rsid w:val="17963BD9"/>
    <w:rsid w:val="179B0AB9"/>
    <w:rsid w:val="17B874D6"/>
    <w:rsid w:val="17FACDBC"/>
    <w:rsid w:val="182268F3"/>
    <w:rsid w:val="182B2CDE"/>
    <w:rsid w:val="182F8A14"/>
    <w:rsid w:val="187552F2"/>
    <w:rsid w:val="187AE83B"/>
    <w:rsid w:val="188153C2"/>
    <w:rsid w:val="188193F6"/>
    <w:rsid w:val="18A36560"/>
    <w:rsid w:val="18CAAF84"/>
    <w:rsid w:val="18DD0BD0"/>
    <w:rsid w:val="19F9F549"/>
    <w:rsid w:val="1A9C96F2"/>
    <w:rsid w:val="1AA913D5"/>
    <w:rsid w:val="1B973321"/>
    <w:rsid w:val="1B994959"/>
    <w:rsid w:val="1B9BE983"/>
    <w:rsid w:val="1B9CA50E"/>
    <w:rsid w:val="1BAB140C"/>
    <w:rsid w:val="1BBD68E2"/>
    <w:rsid w:val="1BF6370A"/>
    <w:rsid w:val="1C10B584"/>
    <w:rsid w:val="1C2BE203"/>
    <w:rsid w:val="1C49AFC7"/>
    <w:rsid w:val="1C52AAAA"/>
    <w:rsid w:val="1C612E45"/>
    <w:rsid w:val="1C7DC3BF"/>
    <w:rsid w:val="1C99203A"/>
    <w:rsid w:val="1C9E7A2F"/>
    <w:rsid w:val="1CC1AFFC"/>
    <w:rsid w:val="1CC2532E"/>
    <w:rsid w:val="1CCDAD13"/>
    <w:rsid w:val="1DA117B8"/>
    <w:rsid w:val="1DB3D464"/>
    <w:rsid w:val="1DD9BA6E"/>
    <w:rsid w:val="1E16E92E"/>
    <w:rsid w:val="1E17A4E4"/>
    <w:rsid w:val="1E1E7BF1"/>
    <w:rsid w:val="1E3D1D99"/>
    <w:rsid w:val="1EA84E16"/>
    <w:rsid w:val="1EF25DA6"/>
    <w:rsid w:val="1EF8069A"/>
    <w:rsid w:val="1FBA2C4C"/>
    <w:rsid w:val="1FD2B0B4"/>
    <w:rsid w:val="2015C839"/>
    <w:rsid w:val="204EE2E6"/>
    <w:rsid w:val="2076917C"/>
    <w:rsid w:val="20C2A486"/>
    <w:rsid w:val="20CF8100"/>
    <w:rsid w:val="20D519A4"/>
    <w:rsid w:val="20FB9B08"/>
    <w:rsid w:val="2125657E"/>
    <w:rsid w:val="21444E96"/>
    <w:rsid w:val="2144A9F5"/>
    <w:rsid w:val="2164C72B"/>
    <w:rsid w:val="21844FB9"/>
    <w:rsid w:val="21A04D6B"/>
    <w:rsid w:val="21A923C2"/>
    <w:rsid w:val="21BA820F"/>
    <w:rsid w:val="2206A374"/>
    <w:rsid w:val="22072661"/>
    <w:rsid w:val="223B72FE"/>
    <w:rsid w:val="22496B00"/>
    <w:rsid w:val="2261518C"/>
    <w:rsid w:val="2282E67C"/>
    <w:rsid w:val="22959484"/>
    <w:rsid w:val="22A8BB5F"/>
    <w:rsid w:val="22B345CF"/>
    <w:rsid w:val="22E4F0A0"/>
    <w:rsid w:val="2355DDA5"/>
    <w:rsid w:val="237B0A81"/>
    <w:rsid w:val="2385BBBD"/>
    <w:rsid w:val="23A8E655"/>
    <w:rsid w:val="23BD17C4"/>
    <w:rsid w:val="23E36F41"/>
    <w:rsid w:val="23ECB4D2"/>
    <w:rsid w:val="23ED2785"/>
    <w:rsid w:val="23F4FB60"/>
    <w:rsid w:val="24021092"/>
    <w:rsid w:val="24144803"/>
    <w:rsid w:val="241FE461"/>
    <w:rsid w:val="243F8981"/>
    <w:rsid w:val="246D1FD8"/>
    <w:rsid w:val="248C697F"/>
    <w:rsid w:val="24C12360"/>
    <w:rsid w:val="24C8156C"/>
    <w:rsid w:val="251BB65C"/>
    <w:rsid w:val="25A6697A"/>
    <w:rsid w:val="25BA1861"/>
    <w:rsid w:val="25F6BDC9"/>
    <w:rsid w:val="263BB916"/>
    <w:rsid w:val="2646F47A"/>
    <w:rsid w:val="268D7474"/>
    <w:rsid w:val="268E67D3"/>
    <w:rsid w:val="268EC657"/>
    <w:rsid w:val="2695FFE4"/>
    <w:rsid w:val="26C322F8"/>
    <w:rsid w:val="26C391E8"/>
    <w:rsid w:val="26F2CE1F"/>
    <w:rsid w:val="26F40E4D"/>
    <w:rsid w:val="278DBB46"/>
    <w:rsid w:val="278F4D95"/>
    <w:rsid w:val="279E624A"/>
    <w:rsid w:val="27BE9A37"/>
    <w:rsid w:val="27C86BD1"/>
    <w:rsid w:val="27CD6D89"/>
    <w:rsid w:val="27D0D818"/>
    <w:rsid w:val="27FA48FD"/>
    <w:rsid w:val="2828D4B5"/>
    <w:rsid w:val="283F0883"/>
    <w:rsid w:val="287D09AD"/>
    <w:rsid w:val="289E6FBD"/>
    <w:rsid w:val="28A796A0"/>
    <w:rsid w:val="28AEEB08"/>
    <w:rsid w:val="28F5A4E3"/>
    <w:rsid w:val="292B3620"/>
    <w:rsid w:val="293360B6"/>
    <w:rsid w:val="294847B3"/>
    <w:rsid w:val="29AD677D"/>
    <w:rsid w:val="29B21788"/>
    <w:rsid w:val="29DF125B"/>
    <w:rsid w:val="2A68188D"/>
    <w:rsid w:val="2A6F6F56"/>
    <w:rsid w:val="2A82E27A"/>
    <w:rsid w:val="2A877D7C"/>
    <w:rsid w:val="2AB59A57"/>
    <w:rsid w:val="2ADFBE56"/>
    <w:rsid w:val="2AEA08F4"/>
    <w:rsid w:val="2B32F5A9"/>
    <w:rsid w:val="2B44F35F"/>
    <w:rsid w:val="2B7D52AE"/>
    <w:rsid w:val="2B9509AA"/>
    <w:rsid w:val="2BCF5574"/>
    <w:rsid w:val="2BF5B87A"/>
    <w:rsid w:val="2C96D9A1"/>
    <w:rsid w:val="2CC4BBEE"/>
    <w:rsid w:val="2CE6C298"/>
    <w:rsid w:val="2D9100C9"/>
    <w:rsid w:val="2DDA5A74"/>
    <w:rsid w:val="2E13F054"/>
    <w:rsid w:val="2E15176A"/>
    <w:rsid w:val="2E19A00A"/>
    <w:rsid w:val="2E8938FA"/>
    <w:rsid w:val="2F2819BB"/>
    <w:rsid w:val="2F4F6897"/>
    <w:rsid w:val="2F6A006C"/>
    <w:rsid w:val="2F8A22DA"/>
    <w:rsid w:val="2FDA5A23"/>
    <w:rsid w:val="303B5E33"/>
    <w:rsid w:val="308221E1"/>
    <w:rsid w:val="309CDE87"/>
    <w:rsid w:val="30F1DE52"/>
    <w:rsid w:val="311EFA06"/>
    <w:rsid w:val="314D1F5C"/>
    <w:rsid w:val="315C70F6"/>
    <w:rsid w:val="315E7E37"/>
    <w:rsid w:val="328EDCC5"/>
    <w:rsid w:val="329C5D42"/>
    <w:rsid w:val="32CE9EAE"/>
    <w:rsid w:val="32E9D57A"/>
    <w:rsid w:val="32FC3852"/>
    <w:rsid w:val="331E8197"/>
    <w:rsid w:val="337CD845"/>
    <w:rsid w:val="338D773F"/>
    <w:rsid w:val="339C7F90"/>
    <w:rsid w:val="33BDB88C"/>
    <w:rsid w:val="33DE85B4"/>
    <w:rsid w:val="341B295F"/>
    <w:rsid w:val="341EFD0D"/>
    <w:rsid w:val="3429D7BD"/>
    <w:rsid w:val="34391845"/>
    <w:rsid w:val="3442F310"/>
    <w:rsid w:val="3454049D"/>
    <w:rsid w:val="34563A47"/>
    <w:rsid w:val="34832755"/>
    <w:rsid w:val="3495317B"/>
    <w:rsid w:val="34CE66A1"/>
    <w:rsid w:val="34D93D9F"/>
    <w:rsid w:val="3537FEA1"/>
    <w:rsid w:val="3571CCBD"/>
    <w:rsid w:val="357BF2B9"/>
    <w:rsid w:val="35846977"/>
    <w:rsid w:val="35C56D1B"/>
    <w:rsid w:val="35C77FBD"/>
    <w:rsid w:val="35EA36BB"/>
    <w:rsid w:val="361D5D8B"/>
    <w:rsid w:val="368D8C8E"/>
    <w:rsid w:val="36A049DA"/>
    <w:rsid w:val="36A155C1"/>
    <w:rsid w:val="36AA4929"/>
    <w:rsid w:val="36AE0D13"/>
    <w:rsid w:val="36CB9576"/>
    <w:rsid w:val="36D1DF37"/>
    <w:rsid w:val="3757BAE2"/>
    <w:rsid w:val="37591535"/>
    <w:rsid w:val="37850BFC"/>
    <w:rsid w:val="37F98948"/>
    <w:rsid w:val="382C8D9D"/>
    <w:rsid w:val="3847CD6D"/>
    <w:rsid w:val="3857654F"/>
    <w:rsid w:val="38587BF8"/>
    <w:rsid w:val="386F5A21"/>
    <w:rsid w:val="3883DC65"/>
    <w:rsid w:val="38AD994B"/>
    <w:rsid w:val="3914B852"/>
    <w:rsid w:val="391E3449"/>
    <w:rsid w:val="39604010"/>
    <w:rsid w:val="39A27171"/>
    <w:rsid w:val="39B33CDD"/>
    <w:rsid w:val="39C028FF"/>
    <w:rsid w:val="39C34DDF"/>
    <w:rsid w:val="39DA30E1"/>
    <w:rsid w:val="39FE5B3E"/>
    <w:rsid w:val="3A13208A"/>
    <w:rsid w:val="3A14B774"/>
    <w:rsid w:val="3A2B94F8"/>
    <w:rsid w:val="3A9D06C2"/>
    <w:rsid w:val="3AE2ECCB"/>
    <w:rsid w:val="3AEC6D9D"/>
    <w:rsid w:val="3AECFF54"/>
    <w:rsid w:val="3AF7A5D8"/>
    <w:rsid w:val="3B01D920"/>
    <w:rsid w:val="3B44AD3D"/>
    <w:rsid w:val="3B8F1A1D"/>
    <w:rsid w:val="3B94BCCB"/>
    <w:rsid w:val="3B96076C"/>
    <w:rsid w:val="3BAF6013"/>
    <w:rsid w:val="3BE936BF"/>
    <w:rsid w:val="3BFEF0B7"/>
    <w:rsid w:val="3C055F9C"/>
    <w:rsid w:val="3C05FAE8"/>
    <w:rsid w:val="3C3646B7"/>
    <w:rsid w:val="3C574E1D"/>
    <w:rsid w:val="3C6FDF0A"/>
    <w:rsid w:val="3C768F56"/>
    <w:rsid w:val="3C9A5A53"/>
    <w:rsid w:val="3CC25096"/>
    <w:rsid w:val="3CE041D0"/>
    <w:rsid w:val="3CE1F3D5"/>
    <w:rsid w:val="3D818792"/>
    <w:rsid w:val="3DB4E61D"/>
    <w:rsid w:val="3DD49FF4"/>
    <w:rsid w:val="3DF9E6BF"/>
    <w:rsid w:val="3E2DDABE"/>
    <w:rsid w:val="3E7E3D89"/>
    <w:rsid w:val="3E82216D"/>
    <w:rsid w:val="3EA19D02"/>
    <w:rsid w:val="3EC8F6A2"/>
    <w:rsid w:val="3EE5664E"/>
    <w:rsid w:val="3F2C95A7"/>
    <w:rsid w:val="3F44B0C1"/>
    <w:rsid w:val="3F4E490D"/>
    <w:rsid w:val="3FA17FAA"/>
    <w:rsid w:val="3FCE902E"/>
    <w:rsid w:val="3FDBA525"/>
    <w:rsid w:val="3FE6415B"/>
    <w:rsid w:val="405DF7CA"/>
    <w:rsid w:val="40BA5090"/>
    <w:rsid w:val="40BFB097"/>
    <w:rsid w:val="40C06C7B"/>
    <w:rsid w:val="410EE3AE"/>
    <w:rsid w:val="414F0FF5"/>
    <w:rsid w:val="4169FAE7"/>
    <w:rsid w:val="41B20CE6"/>
    <w:rsid w:val="41B615A4"/>
    <w:rsid w:val="420159AF"/>
    <w:rsid w:val="421B46A6"/>
    <w:rsid w:val="428BE362"/>
    <w:rsid w:val="42EF5BED"/>
    <w:rsid w:val="4336A6A4"/>
    <w:rsid w:val="436E6DB7"/>
    <w:rsid w:val="43AACE98"/>
    <w:rsid w:val="43E9D261"/>
    <w:rsid w:val="440D1855"/>
    <w:rsid w:val="443C19CD"/>
    <w:rsid w:val="445F8787"/>
    <w:rsid w:val="447B6195"/>
    <w:rsid w:val="44CD47EE"/>
    <w:rsid w:val="4505752F"/>
    <w:rsid w:val="45403DCC"/>
    <w:rsid w:val="45A0C010"/>
    <w:rsid w:val="46484EC7"/>
    <w:rsid w:val="465FD507"/>
    <w:rsid w:val="466DF4F6"/>
    <w:rsid w:val="46AC91EA"/>
    <w:rsid w:val="4739A970"/>
    <w:rsid w:val="47444E6F"/>
    <w:rsid w:val="4759CC8D"/>
    <w:rsid w:val="4782065E"/>
    <w:rsid w:val="4793835A"/>
    <w:rsid w:val="47A6B9A7"/>
    <w:rsid w:val="480AA6C0"/>
    <w:rsid w:val="483AA559"/>
    <w:rsid w:val="484C2FB8"/>
    <w:rsid w:val="48689AE5"/>
    <w:rsid w:val="487219AE"/>
    <w:rsid w:val="48750E81"/>
    <w:rsid w:val="48AD0C1A"/>
    <w:rsid w:val="48BA41D1"/>
    <w:rsid w:val="48BFD0BA"/>
    <w:rsid w:val="48C6BD98"/>
    <w:rsid w:val="48F64EF0"/>
    <w:rsid w:val="4910B1BC"/>
    <w:rsid w:val="498539E4"/>
    <w:rsid w:val="498862A3"/>
    <w:rsid w:val="49AD958C"/>
    <w:rsid w:val="49CA036B"/>
    <w:rsid w:val="4A2131B2"/>
    <w:rsid w:val="4A2DCEEC"/>
    <w:rsid w:val="4A4A55EC"/>
    <w:rsid w:val="4A5DD2CA"/>
    <w:rsid w:val="4A7F95B9"/>
    <w:rsid w:val="4A92CD75"/>
    <w:rsid w:val="4AAD5C71"/>
    <w:rsid w:val="4AC42AF7"/>
    <w:rsid w:val="4AC7E54B"/>
    <w:rsid w:val="4AE0DE7E"/>
    <w:rsid w:val="4AE9AA87"/>
    <w:rsid w:val="4AEAD1BC"/>
    <w:rsid w:val="4B44C991"/>
    <w:rsid w:val="4B56DBC3"/>
    <w:rsid w:val="4BE256CE"/>
    <w:rsid w:val="4C155747"/>
    <w:rsid w:val="4C1E83DB"/>
    <w:rsid w:val="4C9F6FB7"/>
    <w:rsid w:val="4D0D1E04"/>
    <w:rsid w:val="4D1BE34B"/>
    <w:rsid w:val="4D3356EE"/>
    <w:rsid w:val="4D35A57E"/>
    <w:rsid w:val="4D83F622"/>
    <w:rsid w:val="4D8CB9B7"/>
    <w:rsid w:val="4DA5CCB7"/>
    <w:rsid w:val="4DA6A042"/>
    <w:rsid w:val="4DB8A2E3"/>
    <w:rsid w:val="4DEE28CD"/>
    <w:rsid w:val="4E206791"/>
    <w:rsid w:val="4E614636"/>
    <w:rsid w:val="4E733AE8"/>
    <w:rsid w:val="4E901C9F"/>
    <w:rsid w:val="4EC500B8"/>
    <w:rsid w:val="4ED51F74"/>
    <w:rsid w:val="4ED53865"/>
    <w:rsid w:val="4EE8F3E8"/>
    <w:rsid w:val="4F69AABF"/>
    <w:rsid w:val="4F9AC3F0"/>
    <w:rsid w:val="4FC32116"/>
    <w:rsid w:val="4FD7F9C8"/>
    <w:rsid w:val="4FEE5918"/>
    <w:rsid w:val="5049745B"/>
    <w:rsid w:val="505D40F0"/>
    <w:rsid w:val="50FAC841"/>
    <w:rsid w:val="51741077"/>
    <w:rsid w:val="5183E6EF"/>
    <w:rsid w:val="51A32DD0"/>
    <w:rsid w:val="51CEB357"/>
    <w:rsid w:val="521CBB61"/>
    <w:rsid w:val="52232762"/>
    <w:rsid w:val="52584E34"/>
    <w:rsid w:val="5279D215"/>
    <w:rsid w:val="52ACB725"/>
    <w:rsid w:val="536910F4"/>
    <w:rsid w:val="53994669"/>
    <w:rsid w:val="53C301DB"/>
    <w:rsid w:val="53F1ADC1"/>
    <w:rsid w:val="54305F0A"/>
    <w:rsid w:val="543BF677"/>
    <w:rsid w:val="544DCBBF"/>
    <w:rsid w:val="54E24B1A"/>
    <w:rsid w:val="54F0187B"/>
    <w:rsid w:val="55875060"/>
    <w:rsid w:val="55A8BE9F"/>
    <w:rsid w:val="55CBEC03"/>
    <w:rsid w:val="55CBF24E"/>
    <w:rsid w:val="565AFDA7"/>
    <w:rsid w:val="567E66FD"/>
    <w:rsid w:val="56DE05D2"/>
    <w:rsid w:val="56F164D9"/>
    <w:rsid w:val="56F3C7F3"/>
    <w:rsid w:val="571212F9"/>
    <w:rsid w:val="571310BE"/>
    <w:rsid w:val="572D7E44"/>
    <w:rsid w:val="572FB276"/>
    <w:rsid w:val="5755F77E"/>
    <w:rsid w:val="5774F222"/>
    <w:rsid w:val="5794FA6C"/>
    <w:rsid w:val="57AF858B"/>
    <w:rsid w:val="57B422C6"/>
    <w:rsid w:val="57DEA4F0"/>
    <w:rsid w:val="585F209C"/>
    <w:rsid w:val="5867C597"/>
    <w:rsid w:val="589B924B"/>
    <w:rsid w:val="58C2EBEB"/>
    <w:rsid w:val="5968790D"/>
    <w:rsid w:val="5968D7F8"/>
    <w:rsid w:val="59ADA724"/>
    <w:rsid w:val="5A3981BE"/>
    <w:rsid w:val="5A520B66"/>
    <w:rsid w:val="5A53B870"/>
    <w:rsid w:val="5A596247"/>
    <w:rsid w:val="5A7B0311"/>
    <w:rsid w:val="5A873238"/>
    <w:rsid w:val="5A924817"/>
    <w:rsid w:val="5AEE371A"/>
    <w:rsid w:val="5B22CCB1"/>
    <w:rsid w:val="5B2BF723"/>
    <w:rsid w:val="5B551E97"/>
    <w:rsid w:val="5B6A8DF1"/>
    <w:rsid w:val="5B7077A2"/>
    <w:rsid w:val="5B72D846"/>
    <w:rsid w:val="5BA11A34"/>
    <w:rsid w:val="5C118F35"/>
    <w:rsid w:val="5C683EC0"/>
    <w:rsid w:val="5CA106F2"/>
    <w:rsid w:val="5CA66EEE"/>
    <w:rsid w:val="5CB69BB5"/>
    <w:rsid w:val="5CC4FF32"/>
    <w:rsid w:val="5CF983F6"/>
    <w:rsid w:val="5CFCD747"/>
    <w:rsid w:val="5D4BF8B8"/>
    <w:rsid w:val="5D952658"/>
    <w:rsid w:val="5E3A14FF"/>
    <w:rsid w:val="5E68A888"/>
    <w:rsid w:val="5E76DE7F"/>
    <w:rsid w:val="5E77D8DB"/>
    <w:rsid w:val="5E8D4C2B"/>
    <w:rsid w:val="5E9553F2"/>
    <w:rsid w:val="5EBBE154"/>
    <w:rsid w:val="5EDECF86"/>
    <w:rsid w:val="5F3ECC41"/>
    <w:rsid w:val="5F40273C"/>
    <w:rsid w:val="5F5918D2"/>
    <w:rsid w:val="5F6A6F73"/>
    <w:rsid w:val="5FB0BCF0"/>
    <w:rsid w:val="5FE285F1"/>
    <w:rsid w:val="60C83EBC"/>
    <w:rsid w:val="60FE13BF"/>
    <w:rsid w:val="6127FD0D"/>
    <w:rsid w:val="615E6100"/>
    <w:rsid w:val="617E1CEC"/>
    <w:rsid w:val="6187C55D"/>
    <w:rsid w:val="618A7CDB"/>
    <w:rsid w:val="61AA96FE"/>
    <w:rsid w:val="61D8A151"/>
    <w:rsid w:val="61FBBA0D"/>
    <w:rsid w:val="6237493B"/>
    <w:rsid w:val="62653EBE"/>
    <w:rsid w:val="626DA4A7"/>
    <w:rsid w:val="629CA520"/>
    <w:rsid w:val="62B1EABF"/>
    <w:rsid w:val="62BCD562"/>
    <w:rsid w:val="62C07357"/>
    <w:rsid w:val="6300DACF"/>
    <w:rsid w:val="633F6F40"/>
    <w:rsid w:val="63649522"/>
    <w:rsid w:val="63743612"/>
    <w:rsid w:val="63A2603A"/>
    <w:rsid w:val="63A75889"/>
    <w:rsid w:val="63AEA972"/>
    <w:rsid w:val="63B7DAAB"/>
    <w:rsid w:val="63D1D87A"/>
    <w:rsid w:val="63D9A382"/>
    <w:rsid w:val="645769EE"/>
    <w:rsid w:val="647B4BB7"/>
    <w:rsid w:val="649656A0"/>
    <w:rsid w:val="64A6B5A2"/>
    <w:rsid w:val="64BF358E"/>
    <w:rsid w:val="64C01F2A"/>
    <w:rsid w:val="64E44606"/>
    <w:rsid w:val="650497C8"/>
    <w:rsid w:val="650FD8B0"/>
    <w:rsid w:val="65690653"/>
    <w:rsid w:val="65DBBD11"/>
    <w:rsid w:val="65EB050B"/>
    <w:rsid w:val="66085711"/>
    <w:rsid w:val="6621F692"/>
    <w:rsid w:val="667BC3CC"/>
    <w:rsid w:val="667DFF5B"/>
    <w:rsid w:val="6685A775"/>
    <w:rsid w:val="66C416AC"/>
    <w:rsid w:val="66E1B4F2"/>
    <w:rsid w:val="66F8DC2E"/>
    <w:rsid w:val="673469A2"/>
    <w:rsid w:val="674ED44E"/>
    <w:rsid w:val="6789D110"/>
    <w:rsid w:val="67CAD822"/>
    <w:rsid w:val="67E8F687"/>
    <w:rsid w:val="681E0F94"/>
    <w:rsid w:val="68293F53"/>
    <w:rsid w:val="689D004D"/>
    <w:rsid w:val="68B283B3"/>
    <w:rsid w:val="68E49B3D"/>
    <w:rsid w:val="69729507"/>
    <w:rsid w:val="69A5AC15"/>
    <w:rsid w:val="69BE5421"/>
    <w:rsid w:val="6A11B3DD"/>
    <w:rsid w:val="6A390236"/>
    <w:rsid w:val="6A53F334"/>
    <w:rsid w:val="6A8475B6"/>
    <w:rsid w:val="6A99781F"/>
    <w:rsid w:val="6ACCB139"/>
    <w:rsid w:val="6B39B4A2"/>
    <w:rsid w:val="6B6F16EE"/>
    <w:rsid w:val="6B713461"/>
    <w:rsid w:val="6B8D395E"/>
    <w:rsid w:val="6BE8D678"/>
    <w:rsid w:val="6BE954EA"/>
    <w:rsid w:val="6C040B6B"/>
    <w:rsid w:val="6C0D7C64"/>
    <w:rsid w:val="6C450ECF"/>
    <w:rsid w:val="6C56DB70"/>
    <w:rsid w:val="6C73A657"/>
    <w:rsid w:val="6CF3114B"/>
    <w:rsid w:val="6D654A15"/>
    <w:rsid w:val="6D7922AB"/>
    <w:rsid w:val="6D9B8501"/>
    <w:rsid w:val="6DE2905A"/>
    <w:rsid w:val="6DF41918"/>
    <w:rsid w:val="6E469A65"/>
    <w:rsid w:val="6E6EB8EC"/>
    <w:rsid w:val="6EC2829C"/>
    <w:rsid w:val="6EEF1FFC"/>
    <w:rsid w:val="6EFFF223"/>
    <w:rsid w:val="6F132DAF"/>
    <w:rsid w:val="6F4057D2"/>
    <w:rsid w:val="70298382"/>
    <w:rsid w:val="7029B753"/>
    <w:rsid w:val="7089223D"/>
    <w:rsid w:val="70FF4955"/>
    <w:rsid w:val="71098F75"/>
    <w:rsid w:val="710A5CDF"/>
    <w:rsid w:val="710C2E15"/>
    <w:rsid w:val="71772550"/>
    <w:rsid w:val="7180CB42"/>
    <w:rsid w:val="71C91732"/>
    <w:rsid w:val="72006459"/>
    <w:rsid w:val="72076BD3"/>
    <w:rsid w:val="721EA0FD"/>
    <w:rsid w:val="724EEB6D"/>
    <w:rsid w:val="72F89091"/>
    <w:rsid w:val="732922F4"/>
    <w:rsid w:val="733EEE39"/>
    <w:rsid w:val="73400E78"/>
    <w:rsid w:val="7366AE50"/>
    <w:rsid w:val="736FBB07"/>
    <w:rsid w:val="738E4F45"/>
    <w:rsid w:val="739B9C5F"/>
    <w:rsid w:val="73F00092"/>
    <w:rsid w:val="74249811"/>
    <w:rsid w:val="743C88DC"/>
    <w:rsid w:val="74676032"/>
    <w:rsid w:val="748EC2AF"/>
    <w:rsid w:val="74C16BCA"/>
    <w:rsid w:val="74CA3BC6"/>
    <w:rsid w:val="74D54F38"/>
    <w:rsid w:val="74ED1C17"/>
    <w:rsid w:val="750EF11A"/>
    <w:rsid w:val="751D9BFC"/>
    <w:rsid w:val="755A3D70"/>
    <w:rsid w:val="7594C292"/>
    <w:rsid w:val="759D0D4C"/>
    <w:rsid w:val="75AC2FD0"/>
    <w:rsid w:val="75C7DF9B"/>
    <w:rsid w:val="7612E394"/>
    <w:rsid w:val="761CA030"/>
    <w:rsid w:val="76407476"/>
    <w:rsid w:val="7654D778"/>
    <w:rsid w:val="7664C207"/>
    <w:rsid w:val="76B8A494"/>
    <w:rsid w:val="76BA72B1"/>
    <w:rsid w:val="76BD4E65"/>
    <w:rsid w:val="76F19ED7"/>
    <w:rsid w:val="7716E7E8"/>
    <w:rsid w:val="77378396"/>
    <w:rsid w:val="7760FF3A"/>
    <w:rsid w:val="78073F3D"/>
    <w:rsid w:val="780FE443"/>
    <w:rsid w:val="78461C7B"/>
    <w:rsid w:val="78521163"/>
    <w:rsid w:val="7862B352"/>
    <w:rsid w:val="78641669"/>
    <w:rsid w:val="786F2EFA"/>
    <w:rsid w:val="78AB692B"/>
    <w:rsid w:val="792C2D3C"/>
    <w:rsid w:val="799B8531"/>
    <w:rsid w:val="7A0508DD"/>
    <w:rsid w:val="7A280F8C"/>
    <w:rsid w:val="7A4F49F7"/>
    <w:rsid w:val="7A72ABF5"/>
    <w:rsid w:val="7A78E82D"/>
    <w:rsid w:val="7A976A22"/>
    <w:rsid w:val="7AB7569C"/>
    <w:rsid w:val="7AD6A4D2"/>
    <w:rsid w:val="7ADB4033"/>
    <w:rsid w:val="7AF72986"/>
    <w:rsid w:val="7B4A4BE1"/>
    <w:rsid w:val="7B6FF31F"/>
    <w:rsid w:val="7B9B20A7"/>
    <w:rsid w:val="7BA9772E"/>
    <w:rsid w:val="7C272E00"/>
    <w:rsid w:val="7C74386D"/>
    <w:rsid w:val="7C7B3359"/>
    <w:rsid w:val="7C9E3A0E"/>
    <w:rsid w:val="7CB8CDDF"/>
    <w:rsid w:val="7CC75353"/>
    <w:rsid w:val="7D37A21A"/>
    <w:rsid w:val="7D6FE29C"/>
    <w:rsid w:val="7DA05B00"/>
    <w:rsid w:val="7DDA97C1"/>
    <w:rsid w:val="7DF86055"/>
    <w:rsid w:val="7E0C7914"/>
    <w:rsid w:val="7E363B68"/>
    <w:rsid w:val="7E3C06DC"/>
    <w:rsid w:val="7E6C58CD"/>
    <w:rsid w:val="7E8908B9"/>
    <w:rsid w:val="7EAEBA11"/>
    <w:rsid w:val="7ECECCA9"/>
    <w:rsid w:val="7ECF6576"/>
    <w:rsid w:val="7F0F8183"/>
    <w:rsid w:val="7F10FA1F"/>
    <w:rsid w:val="7F140A63"/>
    <w:rsid w:val="7F4759DB"/>
    <w:rsid w:val="7F5064EE"/>
    <w:rsid w:val="7F585984"/>
    <w:rsid w:val="7F6B80A4"/>
    <w:rsid w:val="7F7E3FF2"/>
    <w:rsid w:val="7F9D246B"/>
    <w:rsid w:val="7FD02CC3"/>
    <w:rsid w:val="7FF6CE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88499C"/>
  <w15:chartTrackingRefBased/>
  <w15:docId w15:val="{972144EE-8127-466E-A2A8-0667CC8CE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40" w:line="276" w:lineRule="auto"/>
      </w:pPr>
    </w:pPrDefault>
  </w:docDefaults>
  <w:latentStyles w:defLockedState="0" w:defUIPriority="99" w:defSemiHidden="0" w:defUnhideWhenUsed="0" w:defQFormat="0" w:count="376">
    <w:lsdException w:name="Normal" w:uiPriority="10" w:qFormat="1"/>
    <w:lsdException w:name="heading 1" w:uiPriority="4" w:qFormat="1"/>
    <w:lsdException w:name="heading 2" w:semiHidden="1" w:uiPriority="4" w:unhideWhenUsed="1" w:qFormat="1"/>
    <w:lsdException w:name="heading 3" w:semiHidden="1" w:uiPriority="4" w:unhideWhenUsed="1" w:qFormat="1"/>
    <w:lsdException w:name="heading 4" w:semiHidden="1" w:uiPriority="4" w:unhideWhenUsed="1" w:qFormat="1"/>
    <w:lsdException w:name="heading 5" w:semiHidden="1" w:uiPriority="1" w:unhideWhenUsed="1" w:qFormat="1"/>
    <w:lsdException w:name="heading 6" w:semiHidden="1" w:uiPriority="1" w:unhideWhenUsed="1" w:qFormat="1"/>
    <w:lsdException w:name="heading 7" w:semiHidden="1" w:uiPriority="14" w:unhideWhenUsed="1" w:qFormat="1"/>
    <w:lsdException w:name="heading 8" w:semiHidden="1" w:uiPriority="15" w:unhideWhenUsed="1" w:qFormat="1"/>
    <w:lsdException w:name="heading 9" w:semiHidden="1" w:uiPriority="16"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A+C Body Text"/>
    <w:qFormat/>
    <w:rsid w:val="0003551C"/>
    <w:pPr>
      <w:jc w:val="both"/>
    </w:pPr>
    <w:rPr>
      <w:lang w:val="en-AU"/>
    </w:rPr>
  </w:style>
  <w:style w:type="paragraph" w:styleId="Heading1">
    <w:name w:val="heading 1"/>
    <w:next w:val="Normal"/>
    <w:link w:val="Heading1Char"/>
    <w:uiPriority w:val="4"/>
    <w:qFormat/>
    <w:rsid w:val="003D4A7C"/>
    <w:pPr>
      <w:keepNext/>
      <w:numPr>
        <w:numId w:val="58"/>
      </w:numPr>
      <w:spacing w:line="252" w:lineRule="auto"/>
      <w:ind w:left="720" w:hanging="720"/>
      <w:outlineLvl w:val="0"/>
    </w:pPr>
    <w:rPr>
      <w:b/>
      <w:caps/>
      <w:color w:val="9E6047" w:themeColor="accent3"/>
      <w:kern w:val="28"/>
      <w:sz w:val="40"/>
      <w:szCs w:val="48"/>
      <w:lang w:val="en-AU"/>
    </w:rPr>
  </w:style>
  <w:style w:type="paragraph" w:styleId="Heading2">
    <w:name w:val="heading 2"/>
    <w:next w:val="Normal"/>
    <w:link w:val="Heading2Char"/>
    <w:uiPriority w:val="4"/>
    <w:qFormat/>
    <w:rsid w:val="0035030F"/>
    <w:pPr>
      <w:keepNext/>
      <w:numPr>
        <w:ilvl w:val="1"/>
        <w:numId w:val="58"/>
      </w:numPr>
      <w:tabs>
        <w:tab w:val="left" w:pos="1080"/>
      </w:tabs>
      <w:spacing w:before="480" w:line="252" w:lineRule="auto"/>
      <w:ind w:left="1080" w:hanging="1080"/>
      <w:outlineLvl w:val="1"/>
    </w:pPr>
    <w:rPr>
      <w:b/>
      <w:bCs/>
      <w:noProof/>
      <w:color w:val="9E6047" w:themeColor="accent3"/>
      <w:sz w:val="36"/>
      <w:szCs w:val="36"/>
      <w:lang w:val="en-NZ"/>
    </w:rPr>
  </w:style>
  <w:style w:type="paragraph" w:styleId="Heading3">
    <w:name w:val="heading 3"/>
    <w:next w:val="Normal"/>
    <w:link w:val="Heading3Char"/>
    <w:uiPriority w:val="4"/>
    <w:qFormat/>
    <w:rsid w:val="00651D06"/>
    <w:pPr>
      <w:keepNext/>
      <w:numPr>
        <w:ilvl w:val="2"/>
        <w:numId w:val="58"/>
      </w:numPr>
      <w:spacing w:before="360" w:line="240" w:lineRule="auto"/>
      <w:ind w:left="1080" w:hanging="1080"/>
      <w:outlineLvl w:val="2"/>
    </w:pPr>
    <w:rPr>
      <w:b/>
      <w:color w:val="9E6047" w:themeColor="accent3"/>
      <w:kern w:val="28"/>
      <w:sz w:val="32"/>
      <w:szCs w:val="28"/>
      <w:lang w:val="en-GB" w:eastAsia="en-GB"/>
    </w:rPr>
  </w:style>
  <w:style w:type="paragraph" w:styleId="Heading4">
    <w:name w:val="heading 4"/>
    <w:next w:val="Normal"/>
    <w:link w:val="Heading4Char"/>
    <w:uiPriority w:val="4"/>
    <w:qFormat/>
    <w:rsid w:val="00411637"/>
    <w:pPr>
      <w:keepNext/>
      <w:numPr>
        <w:ilvl w:val="3"/>
        <w:numId w:val="58"/>
      </w:numPr>
      <w:spacing w:line="240" w:lineRule="auto"/>
      <w:outlineLvl w:val="3"/>
    </w:pPr>
    <w:rPr>
      <w:b/>
      <w:bCs/>
      <w:color w:val="9E6047" w:themeColor="accent3"/>
      <w:kern w:val="28"/>
      <w:sz w:val="28"/>
      <w:szCs w:val="28"/>
      <w:lang w:val="en-AU"/>
    </w:rPr>
  </w:style>
  <w:style w:type="paragraph" w:styleId="Heading5">
    <w:name w:val="heading 5"/>
    <w:aliases w:val="Heading 5 (Not Numbered)"/>
    <w:basedOn w:val="Heading5Numbered"/>
    <w:next w:val="Normal"/>
    <w:link w:val="Heading5Char"/>
    <w:uiPriority w:val="1"/>
    <w:qFormat/>
    <w:rsid w:val="007C6F7A"/>
    <w:pPr>
      <w:numPr>
        <w:ilvl w:val="0"/>
        <w:numId w:val="0"/>
      </w:numPr>
      <w:ind w:left="1008" w:hanging="1008"/>
    </w:pPr>
  </w:style>
  <w:style w:type="paragraph" w:styleId="Heading6">
    <w:name w:val="heading 6"/>
    <w:aliases w:val="Heading 4 yarnes"/>
    <w:basedOn w:val="Heading7"/>
    <w:next w:val="Normal"/>
    <w:link w:val="Heading6Char"/>
    <w:uiPriority w:val="1"/>
    <w:qFormat/>
    <w:rsid w:val="00864F9F"/>
    <w:pPr>
      <w:numPr>
        <w:ilvl w:val="5"/>
      </w:numPr>
      <w:spacing w:after="240"/>
      <w:outlineLvl w:val="5"/>
    </w:pPr>
    <w:rPr>
      <w:color w:val="9E6047" w:themeColor="accent3"/>
      <w:lang w:val="en-NZ"/>
    </w:rPr>
  </w:style>
  <w:style w:type="paragraph" w:styleId="Heading7">
    <w:name w:val="heading 7"/>
    <w:next w:val="Normal"/>
    <w:link w:val="Heading7Char"/>
    <w:uiPriority w:val="14"/>
    <w:semiHidden/>
    <w:qFormat/>
    <w:rsid w:val="0020417F"/>
    <w:pPr>
      <w:keepNext/>
      <w:numPr>
        <w:ilvl w:val="6"/>
        <w:numId w:val="58"/>
      </w:numPr>
      <w:spacing w:before="360" w:after="60" w:line="240" w:lineRule="auto"/>
      <w:outlineLvl w:val="6"/>
    </w:pPr>
    <w:rPr>
      <w:rFonts w:cstheme="minorHAnsi"/>
      <w:b/>
      <w:bCs/>
      <w:color w:val="36424A" w:themeColor="accent2"/>
      <w:sz w:val="24"/>
      <w:szCs w:val="24"/>
    </w:rPr>
  </w:style>
  <w:style w:type="paragraph" w:styleId="Heading8">
    <w:name w:val="heading 8"/>
    <w:next w:val="Normal"/>
    <w:link w:val="Heading8Char"/>
    <w:uiPriority w:val="15"/>
    <w:semiHidden/>
    <w:qFormat/>
    <w:rsid w:val="00970D1D"/>
    <w:pPr>
      <w:keepNext/>
      <w:numPr>
        <w:ilvl w:val="7"/>
        <w:numId w:val="58"/>
      </w:numPr>
      <w:tabs>
        <w:tab w:val="num" w:pos="360"/>
      </w:tabs>
      <w:spacing w:before="360" w:after="60" w:line="204" w:lineRule="auto"/>
      <w:outlineLvl w:val="7"/>
    </w:pPr>
    <w:rPr>
      <w:rFonts w:asciiTheme="majorHAnsi" w:hAnsiTheme="majorHAnsi"/>
      <w:lang w:val="en-NZ"/>
    </w:rPr>
  </w:style>
  <w:style w:type="paragraph" w:styleId="Heading9">
    <w:name w:val="heading 9"/>
    <w:next w:val="Normal"/>
    <w:link w:val="Heading9Char"/>
    <w:uiPriority w:val="16"/>
    <w:semiHidden/>
    <w:qFormat/>
    <w:rsid w:val="00970D1D"/>
    <w:pPr>
      <w:numPr>
        <w:ilvl w:val="8"/>
        <w:numId w:val="58"/>
      </w:numPr>
      <w:tabs>
        <w:tab w:val="num" w:pos="360"/>
      </w:tabs>
      <w:spacing w:before="360" w:after="60" w:line="240" w:lineRule="auto"/>
      <w:outlineLvl w:val="8"/>
    </w:pPr>
    <w:rPr>
      <w:b/>
      <w:bCs/>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4"/>
    <w:rsid w:val="0035030F"/>
    <w:rPr>
      <w:b/>
      <w:bCs/>
      <w:noProof/>
      <w:color w:val="9E6047" w:themeColor="accent3"/>
      <w:sz w:val="36"/>
      <w:szCs w:val="36"/>
      <w:lang w:val="en-NZ"/>
    </w:rPr>
  </w:style>
  <w:style w:type="paragraph" w:customStyle="1" w:styleId="Design-CoverTitleGREEN">
    <w:name w:val="Design- Cover Title (GREEN)"/>
    <w:link w:val="Design-CoverTitleGREENChar"/>
    <w:uiPriority w:val="23"/>
    <w:rsid w:val="0020417F"/>
    <w:pPr>
      <w:spacing w:before="120" w:after="120" w:line="192" w:lineRule="auto"/>
    </w:pPr>
    <w:rPr>
      <w:b/>
      <w:color w:val="9E6047" w:themeColor="accent3"/>
      <w:sz w:val="56"/>
      <w:szCs w:val="96"/>
    </w:rPr>
  </w:style>
  <w:style w:type="paragraph" w:customStyle="1" w:styleId="Bullet1">
    <w:name w:val="Bullet 1"/>
    <w:basedOn w:val="Normal"/>
    <w:link w:val="Bullet1Char"/>
    <w:uiPriority w:val="99"/>
    <w:qFormat/>
    <w:rsid w:val="0044691C"/>
    <w:pPr>
      <w:spacing w:after="120"/>
      <w:ind w:left="720" w:hanging="360"/>
    </w:pPr>
    <w:rPr>
      <w:lang w:val="en-NZ"/>
    </w:rPr>
  </w:style>
  <w:style w:type="paragraph" w:customStyle="1" w:styleId="Bullet2">
    <w:name w:val="Bullet 2"/>
    <w:basedOn w:val="Bullet1"/>
    <w:uiPriority w:val="3"/>
    <w:qFormat/>
    <w:rsid w:val="0020417F"/>
    <w:pPr>
      <w:ind w:left="1440"/>
    </w:pPr>
  </w:style>
  <w:style w:type="paragraph" w:customStyle="1" w:styleId="Bullet4">
    <w:name w:val="Bullet 4"/>
    <w:basedOn w:val="Bullet1"/>
    <w:uiPriority w:val="2"/>
    <w:rsid w:val="0020417F"/>
    <w:pPr>
      <w:tabs>
        <w:tab w:val="num" w:pos="360"/>
      </w:tabs>
      <w:ind w:left="2880"/>
    </w:pPr>
  </w:style>
  <w:style w:type="paragraph" w:customStyle="1" w:styleId="Outline-Number">
    <w:name w:val="Outline - Number"/>
    <w:basedOn w:val="Bullet1"/>
    <w:uiPriority w:val="6"/>
    <w:rsid w:val="0020417F"/>
    <w:pPr>
      <w:ind w:left="0" w:firstLine="0"/>
    </w:pPr>
  </w:style>
  <w:style w:type="paragraph" w:customStyle="1" w:styleId="Outline-Alpha">
    <w:name w:val="Outline - Alpha"/>
    <w:basedOn w:val="Outline-Number"/>
    <w:uiPriority w:val="6"/>
    <w:rsid w:val="0020417F"/>
    <w:pPr>
      <w:numPr>
        <w:ilvl w:val="1"/>
      </w:numPr>
    </w:pPr>
  </w:style>
  <w:style w:type="numbering" w:customStyle="1" w:styleId="Outlines">
    <w:name w:val="Outlines"/>
    <w:uiPriority w:val="99"/>
    <w:rsid w:val="009230C9"/>
    <w:pPr>
      <w:numPr>
        <w:numId w:val="1"/>
      </w:numPr>
    </w:pPr>
  </w:style>
  <w:style w:type="paragraph" w:styleId="Caption">
    <w:name w:val="caption"/>
    <w:aliases w:val="Table/Figure - Caption (ALWAYS ABOVE)"/>
    <w:basedOn w:val="Normal"/>
    <w:next w:val="TableFigure-TitleAfterCaption-AboveTable"/>
    <w:uiPriority w:val="99"/>
    <w:qFormat/>
    <w:rsid w:val="0020417F"/>
    <w:pPr>
      <w:spacing w:before="120" w:after="120" w:line="240" w:lineRule="auto"/>
    </w:pPr>
    <w:rPr>
      <w:b/>
      <w:iCs/>
      <w:szCs w:val="18"/>
    </w:rPr>
  </w:style>
  <w:style w:type="character" w:styleId="CommentReference">
    <w:name w:val="annotation reference"/>
    <w:basedOn w:val="DefaultParagraphFont"/>
    <w:uiPriority w:val="99"/>
    <w:semiHidden/>
    <w:unhideWhenUsed/>
    <w:qFormat/>
    <w:rsid w:val="0020417F"/>
    <w:rPr>
      <w:sz w:val="16"/>
      <w:szCs w:val="16"/>
    </w:rPr>
  </w:style>
  <w:style w:type="paragraph" w:customStyle="1" w:styleId="Design-CoverSubtitle">
    <w:name w:val="Design - Cover Subtitle"/>
    <w:basedOn w:val="Design-CoverTitleGREEN"/>
    <w:link w:val="Design-CoverSubtitleChar"/>
    <w:uiPriority w:val="24"/>
    <w:rsid w:val="0020417F"/>
    <w:rPr>
      <w:b w:val="0"/>
      <w:sz w:val="36"/>
      <w:szCs w:val="36"/>
      <w:lang w:val="en-GB"/>
    </w:rPr>
  </w:style>
  <w:style w:type="table" w:styleId="TableGrid">
    <w:name w:val="Table Grid"/>
    <w:basedOn w:val="TableNormal"/>
    <w:uiPriority w:val="59"/>
    <w:rsid w:val="002041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igure-TitleAfterCaption-AboveTable">
    <w:name w:val="Table/Figure - Title (After Caption - Above Table)"/>
    <w:next w:val="Normal"/>
    <w:link w:val="TableFigure-TitleAfterCaption-AboveTableChar"/>
    <w:uiPriority w:val="5"/>
    <w:rsid w:val="0020417F"/>
    <w:pPr>
      <w:spacing w:after="220" w:line="204" w:lineRule="auto"/>
    </w:pPr>
    <w:rPr>
      <w:i/>
      <w:lang w:val="en-NZ"/>
    </w:rPr>
  </w:style>
  <w:style w:type="character" w:customStyle="1" w:styleId="Design-CoverTitleGREENChar">
    <w:name w:val="Design- Cover Title (GREEN) Char"/>
    <w:basedOn w:val="DefaultParagraphFont"/>
    <w:link w:val="Design-CoverTitleGREEN"/>
    <w:uiPriority w:val="23"/>
    <w:rsid w:val="0020417F"/>
    <w:rPr>
      <w:b/>
      <w:color w:val="9E6047" w:themeColor="accent3"/>
      <w:sz w:val="56"/>
      <w:szCs w:val="96"/>
    </w:rPr>
  </w:style>
  <w:style w:type="paragraph" w:customStyle="1" w:styleId="TableBullet10">
    <w:name w:val="Table Bullet 1"/>
    <w:basedOn w:val="Normal"/>
    <w:link w:val="TableBullet1Char"/>
    <w:uiPriority w:val="2"/>
    <w:qFormat/>
    <w:rsid w:val="0020417F"/>
    <w:pPr>
      <w:spacing w:after="60" w:line="240" w:lineRule="auto"/>
      <w:ind w:left="216" w:hanging="216"/>
    </w:pPr>
    <w:rPr>
      <w:sz w:val="21"/>
    </w:rPr>
  </w:style>
  <w:style w:type="numbering" w:customStyle="1" w:styleId="TableBullets">
    <w:name w:val="Table Bullets"/>
    <w:uiPriority w:val="99"/>
    <w:rsid w:val="0020417F"/>
    <w:pPr>
      <w:numPr>
        <w:numId w:val="2"/>
      </w:numPr>
    </w:pPr>
  </w:style>
  <w:style w:type="table" w:styleId="PlainTable3">
    <w:name w:val="Plain Table 3"/>
    <w:basedOn w:val="TableNormal"/>
    <w:uiPriority w:val="43"/>
    <w:rsid w:val="00744EA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20417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ableText-Bold">
    <w:name w:val="Table Text - Bold"/>
    <w:basedOn w:val="DefaultParagraphFont"/>
    <w:uiPriority w:val="7"/>
    <w:qFormat/>
    <w:rsid w:val="00087882"/>
    <w:rPr>
      <w:b/>
      <w:color w:val="auto"/>
      <w:sz w:val="21"/>
      <w:lang w:val="en-AU"/>
    </w:rPr>
  </w:style>
  <w:style w:type="table" w:styleId="PlainTable5">
    <w:name w:val="Plain Table 5"/>
    <w:basedOn w:val="TableNormal"/>
    <w:uiPriority w:val="45"/>
    <w:rsid w:val="00744EA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4"/>
    <w:rsid w:val="003D4A7C"/>
    <w:rPr>
      <w:b/>
      <w:caps/>
      <w:color w:val="9E6047" w:themeColor="accent3"/>
      <w:kern w:val="28"/>
      <w:sz w:val="40"/>
      <w:szCs w:val="48"/>
      <w:lang w:val="en-AU"/>
    </w:rPr>
  </w:style>
  <w:style w:type="character" w:customStyle="1" w:styleId="Heading3Char">
    <w:name w:val="Heading 3 Char"/>
    <w:basedOn w:val="DefaultParagraphFont"/>
    <w:link w:val="Heading3"/>
    <w:uiPriority w:val="4"/>
    <w:rsid w:val="00651D06"/>
    <w:rPr>
      <w:b/>
      <w:color w:val="9E6047" w:themeColor="accent3"/>
      <w:kern w:val="28"/>
      <w:sz w:val="32"/>
      <w:szCs w:val="28"/>
      <w:lang w:val="en-GB" w:eastAsia="en-GB"/>
    </w:rPr>
  </w:style>
  <w:style w:type="character" w:customStyle="1" w:styleId="Heading4Char">
    <w:name w:val="Heading 4 Char"/>
    <w:basedOn w:val="DefaultParagraphFont"/>
    <w:link w:val="Heading4"/>
    <w:uiPriority w:val="4"/>
    <w:rsid w:val="00411637"/>
    <w:rPr>
      <w:b/>
      <w:bCs/>
      <w:color w:val="9E6047" w:themeColor="accent3"/>
      <w:kern w:val="28"/>
      <w:sz w:val="28"/>
      <w:szCs w:val="28"/>
      <w:lang w:val="en-AU"/>
    </w:rPr>
  </w:style>
  <w:style w:type="character" w:customStyle="1" w:styleId="Heading5Char">
    <w:name w:val="Heading 5 Char"/>
    <w:aliases w:val="Heading 5 (Not Numbered) Char"/>
    <w:basedOn w:val="DefaultParagraphFont"/>
    <w:link w:val="Heading5"/>
    <w:uiPriority w:val="1"/>
    <w:rsid w:val="007C6F7A"/>
    <w:rPr>
      <w:rFonts w:cstheme="minorHAnsi"/>
      <w:b/>
      <w:bCs/>
      <w:color w:val="9E6047" w:themeColor="accent3"/>
      <w:sz w:val="24"/>
      <w:szCs w:val="24"/>
      <w:lang w:val="en-AU"/>
    </w:rPr>
  </w:style>
  <w:style w:type="character" w:customStyle="1" w:styleId="Heading6Char">
    <w:name w:val="Heading 6 Char"/>
    <w:aliases w:val="Heading 4 yarnes Char"/>
    <w:basedOn w:val="DefaultParagraphFont"/>
    <w:link w:val="Heading6"/>
    <w:uiPriority w:val="1"/>
    <w:rsid w:val="00145F89"/>
    <w:rPr>
      <w:rFonts w:cstheme="minorHAnsi"/>
      <w:b/>
      <w:bCs/>
      <w:color w:val="9E6047" w:themeColor="accent3"/>
      <w:sz w:val="24"/>
      <w:szCs w:val="24"/>
      <w:lang w:val="en-NZ"/>
    </w:rPr>
  </w:style>
  <w:style w:type="character" w:customStyle="1" w:styleId="Heading7Char">
    <w:name w:val="Heading 7 Char"/>
    <w:basedOn w:val="DefaultParagraphFont"/>
    <w:link w:val="Heading7"/>
    <w:uiPriority w:val="14"/>
    <w:semiHidden/>
    <w:rsid w:val="0020417F"/>
    <w:rPr>
      <w:rFonts w:cstheme="minorHAnsi"/>
      <w:b/>
      <w:bCs/>
      <w:color w:val="36424A" w:themeColor="accent2"/>
      <w:sz w:val="24"/>
      <w:szCs w:val="24"/>
    </w:rPr>
  </w:style>
  <w:style w:type="character" w:customStyle="1" w:styleId="Heading8Char">
    <w:name w:val="Heading 8 Char"/>
    <w:basedOn w:val="DefaultParagraphFont"/>
    <w:link w:val="Heading8"/>
    <w:uiPriority w:val="15"/>
    <w:semiHidden/>
    <w:rsid w:val="0020417F"/>
    <w:rPr>
      <w:rFonts w:asciiTheme="majorHAnsi" w:hAnsiTheme="majorHAnsi"/>
      <w:lang w:val="en-NZ"/>
    </w:rPr>
  </w:style>
  <w:style w:type="character" w:customStyle="1" w:styleId="Heading9Char">
    <w:name w:val="Heading 9 Char"/>
    <w:basedOn w:val="DefaultParagraphFont"/>
    <w:link w:val="Heading9"/>
    <w:uiPriority w:val="16"/>
    <w:semiHidden/>
    <w:rsid w:val="0020417F"/>
    <w:rPr>
      <w:b/>
      <w:bCs/>
      <w:lang w:val="en-NZ"/>
    </w:rPr>
  </w:style>
  <w:style w:type="paragraph" w:styleId="Header">
    <w:name w:val="header"/>
    <w:aliases w:val="Design- Header (Pine)"/>
    <w:basedOn w:val="Normal"/>
    <w:link w:val="HeaderChar"/>
    <w:uiPriority w:val="99"/>
    <w:rsid w:val="0020417F"/>
    <w:pPr>
      <w:tabs>
        <w:tab w:val="center" w:pos="4680"/>
        <w:tab w:val="right" w:pos="9360"/>
      </w:tabs>
      <w:spacing w:after="0" w:line="240" w:lineRule="auto"/>
      <w:ind w:right="851"/>
    </w:pPr>
    <w:rPr>
      <w:rFonts w:cstheme="minorHAnsi"/>
      <w:noProof/>
      <w:color w:val="9E6047" w:themeColor="accent3"/>
      <w:sz w:val="18"/>
      <w:szCs w:val="16"/>
    </w:rPr>
  </w:style>
  <w:style w:type="character" w:customStyle="1" w:styleId="HeaderChar">
    <w:name w:val="Header Char"/>
    <w:aliases w:val="Design- Header (Pine) Char"/>
    <w:basedOn w:val="DefaultParagraphFont"/>
    <w:link w:val="Header"/>
    <w:uiPriority w:val="99"/>
    <w:rsid w:val="0020417F"/>
    <w:rPr>
      <w:rFonts w:cstheme="minorHAnsi"/>
      <w:noProof/>
      <w:color w:val="9E6047" w:themeColor="accent3"/>
      <w:sz w:val="18"/>
      <w:szCs w:val="16"/>
      <w:lang w:val="en-AU"/>
    </w:rPr>
  </w:style>
  <w:style w:type="paragraph" w:styleId="Footer">
    <w:name w:val="footer"/>
    <w:aliases w:val="Design- Footer"/>
    <w:basedOn w:val="Normal"/>
    <w:link w:val="FooterChar"/>
    <w:uiPriority w:val="99"/>
    <w:rsid w:val="00E25CC5"/>
    <w:pPr>
      <w:spacing w:after="0" w:line="240" w:lineRule="auto"/>
      <w:jc w:val="center"/>
    </w:pPr>
    <w:rPr>
      <w:noProof/>
      <w:color w:val="808080" w:themeColor="background1" w:themeShade="80"/>
      <w:sz w:val="18"/>
      <w:szCs w:val="18"/>
    </w:rPr>
  </w:style>
  <w:style w:type="character" w:customStyle="1" w:styleId="FooterChar">
    <w:name w:val="Footer Char"/>
    <w:aliases w:val="Design- Footer Char"/>
    <w:basedOn w:val="DefaultParagraphFont"/>
    <w:link w:val="Footer"/>
    <w:uiPriority w:val="99"/>
    <w:rsid w:val="00E25CC5"/>
    <w:rPr>
      <w:noProof/>
      <w:color w:val="808080" w:themeColor="background1" w:themeShade="80"/>
      <w:sz w:val="18"/>
      <w:szCs w:val="18"/>
    </w:rPr>
  </w:style>
  <w:style w:type="character" w:customStyle="1" w:styleId="Design-CoverSubtitleChar">
    <w:name w:val="Design - Cover Subtitle Char"/>
    <w:basedOn w:val="Design-CoverTitleGREENChar"/>
    <w:link w:val="Design-CoverSubtitle"/>
    <w:uiPriority w:val="24"/>
    <w:rsid w:val="0020417F"/>
    <w:rPr>
      <w:b w:val="0"/>
      <w:color w:val="9E6047" w:themeColor="accent3"/>
      <w:sz w:val="36"/>
      <w:szCs w:val="36"/>
      <w:lang w:val="en-GB"/>
    </w:rPr>
  </w:style>
  <w:style w:type="paragraph" w:styleId="TOCHeading">
    <w:name w:val="TOC Heading"/>
    <w:aliases w:val="Design- TOC Heading"/>
    <w:basedOn w:val="Heading1"/>
    <w:next w:val="Normal"/>
    <w:uiPriority w:val="39"/>
    <w:qFormat/>
    <w:rsid w:val="0020417F"/>
    <w:pPr>
      <w:keepLines/>
      <w:spacing w:before="240" w:after="0" w:line="259" w:lineRule="auto"/>
      <w:ind w:left="0" w:firstLine="0"/>
      <w:outlineLvl w:val="9"/>
    </w:pPr>
    <w:rPr>
      <w:rFonts w:eastAsiaTheme="majorEastAsia" w:cstheme="majorBidi"/>
      <w:kern w:val="0"/>
      <w:sz w:val="32"/>
      <w:szCs w:val="32"/>
    </w:rPr>
  </w:style>
  <w:style w:type="paragraph" w:styleId="TOC2">
    <w:name w:val="toc 2"/>
    <w:uiPriority w:val="39"/>
    <w:rsid w:val="0020417F"/>
    <w:pPr>
      <w:tabs>
        <w:tab w:val="right" w:leader="dot" w:pos="9350"/>
      </w:tabs>
      <w:spacing w:after="120" w:line="240" w:lineRule="auto"/>
      <w:ind w:left="1080" w:hanging="547"/>
    </w:pPr>
    <w:rPr>
      <w:rFonts w:eastAsiaTheme="minorEastAsia" w:cs="Times New Roman"/>
      <w:noProof/>
      <w:sz w:val="21"/>
      <w:lang w:val="en-NZ"/>
    </w:rPr>
  </w:style>
  <w:style w:type="paragraph" w:styleId="TOC1">
    <w:name w:val="toc 1"/>
    <w:uiPriority w:val="39"/>
    <w:rsid w:val="0020417F"/>
    <w:pPr>
      <w:tabs>
        <w:tab w:val="left" w:pos="540"/>
        <w:tab w:val="right" w:leader="dot" w:pos="9350"/>
      </w:tabs>
      <w:spacing w:before="240" w:after="120" w:line="240" w:lineRule="auto"/>
      <w:ind w:left="720" w:hanging="720"/>
    </w:pPr>
    <w:rPr>
      <w:rFonts w:eastAsiaTheme="minorEastAsia" w:cs="Times New Roman"/>
      <w:b/>
      <w:caps/>
      <w:noProof/>
      <w:sz w:val="21"/>
      <w:lang w:val="en-NZ"/>
    </w:rPr>
  </w:style>
  <w:style w:type="paragraph" w:styleId="TOC3">
    <w:name w:val="toc 3"/>
    <w:uiPriority w:val="39"/>
    <w:rsid w:val="0020417F"/>
    <w:pPr>
      <w:tabs>
        <w:tab w:val="right" w:leader="dot" w:pos="9350"/>
      </w:tabs>
      <w:spacing w:after="120" w:line="240" w:lineRule="auto"/>
      <w:ind w:left="1797" w:hanging="720"/>
    </w:pPr>
    <w:rPr>
      <w:rFonts w:eastAsiaTheme="minorEastAsia" w:cs="Times New Roman"/>
      <w:noProof/>
      <w:sz w:val="21"/>
      <w:lang w:val="en-NZ"/>
    </w:rPr>
  </w:style>
  <w:style w:type="paragraph" w:styleId="Quote">
    <w:name w:val="Quote"/>
    <w:aliases w:val="A+C Quote body text (More than 40 Words)"/>
    <w:basedOn w:val="Normal"/>
    <w:next w:val="Normal"/>
    <w:link w:val="QuoteChar"/>
    <w:uiPriority w:val="20"/>
    <w:qFormat/>
    <w:rsid w:val="00CD49E9"/>
    <w:pPr>
      <w:spacing w:before="480" w:after="480" w:line="240" w:lineRule="auto"/>
      <w:ind w:left="567"/>
    </w:pPr>
    <w:rPr>
      <w:iCs/>
      <w:color w:val="30A6BC" w:themeColor="accent5"/>
      <w:szCs w:val="28"/>
    </w:rPr>
  </w:style>
  <w:style w:type="character" w:customStyle="1" w:styleId="QuoteChar">
    <w:name w:val="Quote Char"/>
    <w:aliases w:val="A+C Quote body text (More than 40 Words) Char"/>
    <w:basedOn w:val="DefaultParagraphFont"/>
    <w:link w:val="Quote"/>
    <w:uiPriority w:val="20"/>
    <w:rsid w:val="00CD49E9"/>
    <w:rPr>
      <w:iCs/>
      <w:color w:val="30A6BC" w:themeColor="accent5"/>
      <w:szCs w:val="28"/>
      <w:lang w:val="en-AU"/>
    </w:rPr>
  </w:style>
  <w:style w:type="table" w:styleId="PlainTable4">
    <w:name w:val="Plain Table 4"/>
    <w:basedOn w:val="TableNormal"/>
    <w:uiPriority w:val="44"/>
    <w:rsid w:val="00744EA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aliases w:val="A+C Hyperlink"/>
    <w:basedOn w:val="DefaultParagraphFont"/>
    <w:uiPriority w:val="99"/>
    <w:qFormat/>
    <w:rsid w:val="00E81671"/>
    <w:rPr>
      <w:rFonts w:ascii="Arial" w:hAnsi="Arial"/>
      <w:b/>
      <w:color w:val="9E6047" w:themeColor="accent3"/>
      <w:u w:val="single"/>
      <w:lang w:val="en-AU"/>
    </w:rPr>
  </w:style>
  <w:style w:type="paragraph" w:customStyle="1" w:styleId="Design-CoverTitle">
    <w:name w:val="Design- Cover Title"/>
    <w:link w:val="Design-CoverTitleChar"/>
    <w:uiPriority w:val="24"/>
    <w:rsid w:val="00087882"/>
    <w:pPr>
      <w:spacing w:before="120" w:after="120" w:line="252" w:lineRule="auto"/>
    </w:pPr>
    <w:rPr>
      <w:b/>
      <w:color w:val="FFFFFF" w:themeColor="background1"/>
      <w:sz w:val="80"/>
      <w:szCs w:val="96"/>
      <w:lang w:val="en-AU"/>
    </w:rPr>
  </w:style>
  <w:style w:type="paragraph" w:customStyle="1" w:styleId="Design-CoverSubtitle0">
    <w:name w:val="Design- Cover Subtitle"/>
    <w:basedOn w:val="Design-CoverTitle"/>
    <w:link w:val="Design-CoverSubtitleChar0"/>
    <w:uiPriority w:val="24"/>
    <w:rsid w:val="0020417F"/>
    <w:rPr>
      <w:b w:val="0"/>
      <w:sz w:val="36"/>
      <w:szCs w:val="36"/>
    </w:rPr>
  </w:style>
  <w:style w:type="paragraph" w:customStyle="1" w:styleId="Design-CoverDate">
    <w:name w:val="Design- Cover Date"/>
    <w:basedOn w:val="Design-CoverSubtitle0"/>
    <w:link w:val="Design-CoverDateChar"/>
    <w:uiPriority w:val="24"/>
    <w:semiHidden/>
    <w:rsid w:val="0020417F"/>
    <w:rPr>
      <w:i/>
      <w:iCs/>
      <w:color w:val="9E6047" w:themeColor="accent3"/>
      <w:sz w:val="28"/>
      <w:szCs w:val="28"/>
    </w:rPr>
  </w:style>
  <w:style w:type="paragraph" w:customStyle="1" w:styleId="Design-TitlePageTitle">
    <w:name w:val="Design- Title Page Title"/>
    <w:uiPriority w:val="25"/>
    <w:rsid w:val="0020417F"/>
    <w:pPr>
      <w:spacing w:before="360" w:after="360" w:line="252" w:lineRule="auto"/>
    </w:pPr>
    <w:rPr>
      <w:rFonts w:asciiTheme="majorHAnsi" w:hAnsiTheme="majorHAnsi"/>
      <w:sz w:val="44"/>
      <w:szCs w:val="44"/>
    </w:rPr>
  </w:style>
  <w:style w:type="paragraph" w:customStyle="1" w:styleId="Design-CoverDate0">
    <w:name w:val="Design - Cover Date"/>
    <w:basedOn w:val="Design-CoverSubtitle"/>
    <w:link w:val="Design-CoverDateChar0"/>
    <w:uiPriority w:val="24"/>
    <w:rsid w:val="0020417F"/>
    <w:rPr>
      <w:i/>
      <w:iCs/>
      <w:sz w:val="28"/>
      <w:szCs w:val="28"/>
    </w:rPr>
  </w:style>
  <w:style w:type="paragraph" w:styleId="CommentSubject">
    <w:name w:val="annotation subject"/>
    <w:basedOn w:val="Normal"/>
    <w:next w:val="Normal"/>
    <w:link w:val="CommentSubjectChar"/>
    <w:uiPriority w:val="99"/>
    <w:semiHidden/>
    <w:rsid w:val="0020417F"/>
    <w:rPr>
      <w:b/>
      <w:bCs/>
    </w:rPr>
  </w:style>
  <w:style w:type="character" w:customStyle="1" w:styleId="CommentSubjectChar">
    <w:name w:val="Comment Subject Char"/>
    <w:basedOn w:val="DefaultParagraphFont"/>
    <w:link w:val="CommentSubject"/>
    <w:uiPriority w:val="99"/>
    <w:semiHidden/>
    <w:rsid w:val="0020417F"/>
    <w:rPr>
      <w:b/>
      <w:bCs/>
      <w:lang w:val="en-AU"/>
    </w:rPr>
  </w:style>
  <w:style w:type="paragraph" w:styleId="BalloonText">
    <w:name w:val="Balloon Text"/>
    <w:basedOn w:val="Normal"/>
    <w:link w:val="BalloonTextChar"/>
    <w:uiPriority w:val="99"/>
    <w:semiHidden/>
    <w:unhideWhenUsed/>
    <w:rsid w:val="00744E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4EAC"/>
    <w:rPr>
      <w:rFonts w:ascii="Segoe UI" w:hAnsi="Segoe UI" w:cs="Segoe UI"/>
      <w:sz w:val="18"/>
      <w:szCs w:val="18"/>
      <w:lang w:val="en-NZ"/>
    </w:rPr>
  </w:style>
  <w:style w:type="paragraph" w:styleId="Bibliography">
    <w:name w:val="Bibliography"/>
    <w:basedOn w:val="Normal"/>
    <w:next w:val="Normal"/>
    <w:uiPriority w:val="37"/>
    <w:unhideWhenUsed/>
    <w:rsid w:val="0020417F"/>
  </w:style>
  <w:style w:type="paragraph" w:styleId="BlockText">
    <w:name w:val="Block Text"/>
    <w:basedOn w:val="Normal"/>
    <w:uiPriority w:val="99"/>
    <w:semiHidden/>
    <w:unhideWhenUsed/>
    <w:rsid w:val="0020417F"/>
    <w:pPr>
      <w:pBdr>
        <w:top w:val="single" w:sz="2" w:space="10" w:color="357DBE" w:themeColor="accent1"/>
        <w:left w:val="single" w:sz="2" w:space="10" w:color="357DBE" w:themeColor="accent1"/>
        <w:bottom w:val="single" w:sz="2" w:space="10" w:color="357DBE" w:themeColor="accent1"/>
        <w:right w:val="single" w:sz="2" w:space="10" w:color="357DBE" w:themeColor="accent1"/>
      </w:pBdr>
      <w:ind w:left="1152" w:right="1152"/>
    </w:pPr>
    <w:rPr>
      <w:rFonts w:eastAsiaTheme="minorEastAsia"/>
      <w:i/>
      <w:iCs/>
      <w:color w:val="357DBE" w:themeColor="accent1"/>
    </w:rPr>
  </w:style>
  <w:style w:type="character" w:customStyle="1" w:styleId="Design-CoverDateChar0">
    <w:name w:val="Design - Cover Date Char"/>
    <w:basedOn w:val="Design-CoverSubtitleChar"/>
    <w:link w:val="Design-CoverDate0"/>
    <w:uiPriority w:val="24"/>
    <w:rsid w:val="0020417F"/>
    <w:rPr>
      <w:b w:val="0"/>
      <w:i/>
      <w:iCs/>
      <w:color w:val="9E6047" w:themeColor="accent3"/>
      <w:sz w:val="28"/>
      <w:szCs w:val="28"/>
      <w:lang w:val="en-GB"/>
    </w:rPr>
  </w:style>
  <w:style w:type="table" w:customStyle="1" w:styleId="ACTableDesign3">
    <w:name w:val="A+C Table Design (3)"/>
    <w:basedOn w:val="ACTableDesign1Default"/>
    <w:uiPriority w:val="99"/>
    <w:rsid w:val="0020417F"/>
    <w:tblPr/>
    <w:tcPr>
      <w:shd w:val="clear" w:color="auto" w:fill="auto"/>
    </w:tcPr>
    <w:tblStylePr w:type="firstRow">
      <w:pPr>
        <w:wordWrap/>
        <w:spacing w:beforeLines="0" w:before="120" w:beforeAutospacing="0" w:afterLines="0" w:after="120" w:afterAutospacing="0"/>
        <w:jc w:val="left"/>
      </w:pPr>
      <w:rPr>
        <w:rFonts w:ascii="Arial" w:hAnsi="Arial"/>
        <w:b/>
        <w:color w:val="000000" w:themeColor="text1"/>
        <w:sz w:val="21"/>
      </w:rPr>
      <w:tblPr/>
      <w:trPr>
        <w:tblHeader/>
      </w:trPr>
      <w:tcPr>
        <w:shd w:val="clear" w:color="auto" w:fill="EBECED" w:themeFill="accent4"/>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30A6BC" w:themeFill="accent5"/>
      </w:tcPr>
    </w:tblStylePr>
  </w:style>
  <w:style w:type="paragraph" w:styleId="BodyText2">
    <w:name w:val="Body Text 2"/>
    <w:basedOn w:val="Normal"/>
    <w:link w:val="BodyText2Char"/>
    <w:uiPriority w:val="99"/>
    <w:semiHidden/>
    <w:unhideWhenUsed/>
    <w:rsid w:val="00744EAC"/>
    <w:pPr>
      <w:spacing w:after="120" w:line="480" w:lineRule="auto"/>
    </w:pPr>
  </w:style>
  <w:style w:type="character" w:customStyle="1" w:styleId="BodyText2Char">
    <w:name w:val="Body Text 2 Char"/>
    <w:basedOn w:val="DefaultParagraphFont"/>
    <w:link w:val="BodyText2"/>
    <w:uiPriority w:val="99"/>
    <w:semiHidden/>
    <w:rsid w:val="00744EAC"/>
    <w:rPr>
      <w:sz w:val="22"/>
      <w:lang w:val="en-NZ"/>
    </w:rPr>
  </w:style>
  <w:style w:type="paragraph" w:styleId="BodyText3">
    <w:name w:val="Body Text 3"/>
    <w:basedOn w:val="Normal"/>
    <w:link w:val="BodyText3Char"/>
    <w:uiPriority w:val="99"/>
    <w:semiHidden/>
    <w:unhideWhenUsed/>
    <w:rsid w:val="00744EAC"/>
    <w:pPr>
      <w:spacing w:after="120"/>
    </w:pPr>
    <w:rPr>
      <w:sz w:val="16"/>
      <w:szCs w:val="16"/>
    </w:rPr>
  </w:style>
  <w:style w:type="character" w:customStyle="1" w:styleId="BodyText3Char">
    <w:name w:val="Body Text 3 Char"/>
    <w:basedOn w:val="DefaultParagraphFont"/>
    <w:link w:val="BodyText3"/>
    <w:uiPriority w:val="99"/>
    <w:semiHidden/>
    <w:rsid w:val="00744EAC"/>
    <w:rPr>
      <w:sz w:val="16"/>
      <w:szCs w:val="16"/>
      <w:lang w:val="en-NZ"/>
    </w:rPr>
  </w:style>
  <w:style w:type="paragraph" w:styleId="BodyTextFirstIndent">
    <w:name w:val="Body Text First Indent"/>
    <w:basedOn w:val="Normal"/>
    <w:link w:val="BodyTextFirstIndentChar"/>
    <w:uiPriority w:val="99"/>
    <w:semiHidden/>
    <w:unhideWhenUsed/>
    <w:rsid w:val="0020417F"/>
    <w:pPr>
      <w:ind w:firstLine="360"/>
    </w:pPr>
  </w:style>
  <w:style w:type="character" w:customStyle="1" w:styleId="BodyTextFirstIndentChar">
    <w:name w:val="Body Text First Indent Char"/>
    <w:basedOn w:val="DefaultParagraphFont"/>
    <w:link w:val="BodyTextFirstIndent"/>
    <w:uiPriority w:val="99"/>
    <w:semiHidden/>
    <w:rsid w:val="0020417F"/>
    <w:rPr>
      <w:lang w:val="en-AU"/>
    </w:rPr>
  </w:style>
  <w:style w:type="paragraph" w:styleId="BodyTextIndent">
    <w:name w:val="Body Text Indent"/>
    <w:basedOn w:val="Normal"/>
    <w:link w:val="BodyTextIndentChar"/>
    <w:uiPriority w:val="99"/>
    <w:semiHidden/>
    <w:unhideWhenUsed/>
    <w:rsid w:val="0020417F"/>
    <w:pPr>
      <w:spacing w:after="120"/>
      <w:ind w:left="360"/>
    </w:pPr>
  </w:style>
  <w:style w:type="character" w:customStyle="1" w:styleId="BodyTextIndentChar">
    <w:name w:val="Body Text Indent Char"/>
    <w:basedOn w:val="DefaultParagraphFont"/>
    <w:link w:val="BodyTextIndent"/>
    <w:uiPriority w:val="99"/>
    <w:semiHidden/>
    <w:rsid w:val="0020417F"/>
    <w:rPr>
      <w:lang w:val="en-AU"/>
    </w:rPr>
  </w:style>
  <w:style w:type="paragraph" w:styleId="BodyTextFirstIndent2">
    <w:name w:val="Body Text First Indent 2"/>
    <w:basedOn w:val="BodyTextIndent"/>
    <w:link w:val="BodyTextFirstIndent2Char"/>
    <w:uiPriority w:val="99"/>
    <w:semiHidden/>
    <w:unhideWhenUsed/>
    <w:rsid w:val="0020417F"/>
    <w:pPr>
      <w:spacing w:after="240"/>
      <w:ind w:firstLine="360"/>
    </w:pPr>
  </w:style>
  <w:style w:type="character" w:customStyle="1" w:styleId="BodyTextFirstIndent2Char">
    <w:name w:val="Body Text First Indent 2 Char"/>
    <w:basedOn w:val="BodyTextIndentChar"/>
    <w:link w:val="BodyTextFirstIndent2"/>
    <w:uiPriority w:val="99"/>
    <w:semiHidden/>
    <w:rsid w:val="0020417F"/>
    <w:rPr>
      <w:lang w:val="en-AU"/>
    </w:rPr>
  </w:style>
  <w:style w:type="paragraph" w:styleId="BodyTextIndent2">
    <w:name w:val="Body Text Indent 2"/>
    <w:basedOn w:val="Normal"/>
    <w:link w:val="BodyTextIndent2Char"/>
    <w:uiPriority w:val="99"/>
    <w:semiHidden/>
    <w:unhideWhenUsed/>
    <w:rsid w:val="0020417F"/>
    <w:pPr>
      <w:spacing w:after="120" w:line="480" w:lineRule="auto"/>
      <w:ind w:left="360"/>
    </w:pPr>
  </w:style>
  <w:style w:type="character" w:customStyle="1" w:styleId="BodyTextIndent2Char">
    <w:name w:val="Body Text Indent 2 Char"/>
    <w:basedOn w:val="DefaultParagraphFont"/>
    <w:link w:val="BodyTextIndent2"/>
    <w:uiPriority w:val="99"/>
    <w:semiHidden/>
    <w:rsid w:val="0020417F"/>
    <w:rPr>
      <w:lang w:val="en-AU"/>
    </w:rPr>
  </w:style>
  <w:style w:type="paragraph" w:styleId="BodyTextIndent3">
    <w:name w:val="Body Text Indent 3"/>
    <w:basedOn w:val="Normal"/>
    <w:link w:val="BodyTextIndent3Char"/>
    <w:uiPriority w:val="99"/>
    <w:semiHidden/>
    <w:unhideWhenUsed/>
    <w:rsid w:val="0020417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0417F"/>
    <w:rPr>
      <w:sz w:val="16"/>
      <w:szCs w:val="16"/>
      <w:lang w:val="en-AU"/>
    </w:rPr>
  </w:style>
  <w:style w:type="paragraph" w:styleId="Closing">
    <w:name w:val="Closing"/>
    <w:basedOn w:val="Normal"/>
    <w:link w:val="ClosingChar"/>
    <w:uiPriority w:val="99"/>
    <w:semiHidden/>
    <w:unhideWhenUsed/>
    <w:rsid w:val="0020417F"/>
    <w:pPr>
      <w:spacing w:after="0" w:line="240" w:lineRule="auto"/>
      <w:ind w:left="4320"/>
    </w:pPr>
  </w:style>
  <w:style w:type="character" w:customStyle="1" w:styleId="ClosingChar">
    <w:name w:val="Closing Char"/>
    <w:basedOn w:val="DefaultParagraphFont"/>
    <w:link w:val="Closing"/>
    <w:uiPriority w:val="99"/>
    <w:semiHidden/>
    <w:rsid w:val="0020417F"/>
    <w:rPr>
      <w:lang w:val="en-AU"/>
    </w:rPr>
  </w:style>
  <w:style w:type="paragraph" w:styleId="Date">
    <w:name w:val="Date"/>
    <w:basedOn w:val="Normal"/>
    <w:next w:val="Normal"/>
    <w:link w:val="DateChar"/>
    <w:uiPriority w:val="99"/>
    <w:semiHidden/>
    <w:unhideWhenUsed/>
    <w:rsid w:val="0020417F"/>
  </w:style>
  <w:style w:type="character" w:customStyle="1" w:styleId="DateChar">
    <w:name w:val="Date Char"/>
    <w:basedOn w:val="DefaultParagraphFont"/>
    <w:link w:val="Date"/>
    <w:uiPriority w:val="99"/>
    <w:semiHidden/>
    <w:rsid w:val="0020417F"/>
    <w:rPr>
      <w:lang w:val="en-AU"/>
    </w:rPr>
  </w:style>
  <w:style w:type="paragraph" w:styleId="DocumentMap">
    <w:name w:val="Document Map"/>
    <w:basedOn w:val="Normal"/>
    <w:link w:val="DocumentMapChar"/>
    <w:uiPriority w:val="99"/>
    <w:semiHidden/>
    <w:unhideWhenUsed/>
    <w:rsid w:val="00744EA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44EAC"/>
    <w:rPr>
      <w:rFonts w:ascii="Segoe UI" w:hAnsi="Segoe UI" w:cs="Segoe UI"/>
      <w:sz w:val="16"/>
      <w:szCs w:val="16"/>
      <w:lang w:val="en-NZ"/>
    </w:rPr>
  </w:style>
  <w:style w:type="paragraph" w:styleId="E-mailSignature">
    <w:name w:val="E-mail Signature"/>
    <w:basedOn w:val="Normal"/>
    <w:link w:val="E-mailSignatureChar"/>
    <w:uiPriority w:val="99"/>
    <w:semiHidden/>
    <w:unhideWhenUsed/>
    <w:rsid w:val="0020417F"/>
    <w:pPr>
      <w:spacing w:after="0" w:line="240" w:lineRule="auto"/>
    </w:pPr>
  </w:style>
  <w:style w:type="character" w:customStyle="1" w:styleId="E-mailSignatureChar">
    <w:name w:val="E-mail Signature Char"/>
    <w:basedOn w:val="DefaultParagraphFont"/>
    <w:link w:val="E-mailSignature"/>
    <w:uiPriority w:val="99"/>
    <w:semiHidden/>
    <w:rsid w:val="0020417F"/>
    <w:rPr>
      <w:lang w:val="en-AU"/>
    </w:rPr>
  </w:style>
  <w:style w:type="paragraph" w:styleId="EndnoteText">
    <w:name w:val="endnote text"/>
    <w:basedOn w:val="Normal"/>
    <w:link w:val="EndnoteTextChar"/>
    <w:uiPriority w:val="99"/>
    <w:unhideWhenUsed/>
    <w:qFormat/>
    <w:rsid w:val="0020417F"/>
    <w:pPr>
      <w:spacing w:after="0" w:line="240" w:lineRule="auto"/>
    </w:pPr>
  </w:style>
  <w:style w:type="character" w:customStyle="1" w:styleId="EndnoteTextChar">
    <w:name w:val="Endnote Text Char"/>
    <w:basedOn w:val="DefaultParagraphFont"/>
    <w:link w:val="EndnoteText"/>
    <w:uiPriority w:val="99"/>
    <w:rsid w:val="0020417F"/>
    <w:rPr>
      <w:lang w:val="en-AU"/>
    </w:rPr>
  </w:style>
  <w:style w:type="paragraph" w:styleId="EnvelopeAddress">
    <w:name w:val="envelope address"/>
    <w:basedOn w:val="Normal"/>
    <w:uiPriority w:val="99"/>
    <w:semiHidden/>
    <w:unhideWhenUsed/>
    <w:rsid w:val="0020417F"/>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0417F"/>
    <w:pPr>
      <w:spacing w:after="0" w:line="240" w:lineRule="auto"/>
    </w:pPr>
    <w:rPr>
      <w:rFonts w:asciiTheme="majorHAnsi" w:eastAsiaTheme="majorEastAsia" w:hAnsiTheme="majorHAnsi" w:cstheme="majorBidi"/>
    </w:rPr>
  </w:style>
  <w:style w:type="paragraph" w:styleId="FootnoteText">
    <w:name w:val="footnote text"/>
    <w:basedOn w:val="Normal"/>
    <w:link w:val="FootnoteTextChar"/>
    <w:uiPriority w:val="99"/>
    <w:qFormat/>
    <w:rsid w:val="004058FF"/>
    <w:pPr>
      <w:spacing w:after="0" w:line="240" w:lineRule="auto"/>
      <w:jc w:val="left"/>
    </w:pPr>
    <w:rPr>
      <w:sz w:val="20"/>
    </w:rPr>
  </w:style>
  <w:style w:type="character" w:customStyle="1" w:styleId="FootnoteTextChar">
    <w:name w:val="Footnote Text Char"/>
    <w:basedOn w:val="DefaultParagraphFont"/>
    <w:link w:val="FootnoteText"/>
    <w:uiPriority w:val="99"/>
    <w:rsid w:val="0020417F"/>
    <w:rPr>
      <w:sz w:val="20"/>
      <w:lang w:val="en-AU"/>
    </w:rPr>
  </w:style>
  <w:style w:type="paragraph" w:styleId="HTMLAddress">
    <w:name w:val="HTML Address"/>
    <w:basedOn w:val="Normal"/>
    <w:link w:val="HTMLAddressChar"/>
    <w:uiPriority w:val="99"/>
    <w:semiHidden/>
    <w:unhideWhenUsed/>
    <w:rsid w:val="0020417F"/>
    <w:pPr>
      <w:spacing w:after="0" w:line="240" w:lineRule="auto"/>
    </w:pPr>
    <w:rPr>
      <w:i/>
      <w:iCs/>
    </w:rPr>
  </w:style>
  <w:style w:type="character" w:customStyle="1" w:styleId="HTMLAddressChar">
    <w:name w:val="HTML Address Char"/>
    <w:basedOn w:val="DefaultParagraphFont"/>
    <w:link w:val="HTMLAddress"/>
    <w:uiPriority w:val="99"/>
    <w:semiHidden/>
    <w:rsid w:val="0020417F"/>
    <w:rPr>
      <w:i/>
      <w:iCs/>
      <w:lang w:val="en-AU"/>
    </w:rPr>
  </w:style>
  <w:style w:type="paragraph" w:styleId="HTMLPreformatted">
    <w:name w:val="HTML Preformatted"/>
    <w:basedOn w:val="Normal"/>
    <w:link w:val="HTMLPreformattedChar"/>
    <w:uiPriority w:val="99"/>
    <w:semiHidden/>
    <w:unhideWhenUsed/>
    <w:rsid w:val="0020417F"/>
    <w:pPr>
      <w:spacing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20417F"/>
    <w:rPr>
      <w:rFonts w:ascii="Consolas" w:hAnsi="Consolas"/>
      <w:lang w:val="en-AU"/>
    </w:rPr>
  </w:style>
  <w:style w:type="paragraph" w:styleId="Index1">
    <w:name w:val="index 1"/>
    <w:basedOn w:val="Normal"/>
    <w:next w:val="Normal"/>
    <w:uiPriority w:val="99"/>
    <w:semiHidden/>
    <w:unhideWhenUsed/>
    <w:rsid w:val="0020417F"/>
    <w:pPr>
      <w:spacing w:after="0" w:line="240" w:lineRule="auto"/>
      <w:ind w:left="200" w:hanging="200"/>
    </w:pPr>
  </w:style>
  <w:style w:type="paragraph" w:styleId="Index2">
    <w:name w:val="index 2"/>
    <w:basedOn w:val="Normal"/>
    <w:next w:val="Normal"/>
    <w:uiPriority w:val="99"/>
    <w:semiHidden/>
    <w:unhideWhenUsed/>
    <w:rsid w:val="0020417F"/>
    <w:pPr>
      <w:spacing w:after="0" w:line="240" w:lineRule="auto"/>
      <w:ind w:left="400" w:hanging="200"/>
    </w:pPr>
  </w:style>
  <w:style w:type="paragraph" w:styleId="Index3">
    <w:name w:val="index 3"/>
    <w:basedOn w:val="Normal"/>
    <w:next w:val="Normal"/>
    <w:uiPriority w:val="99"/>
    <w:semiHidden/>
    <w:unhideWhenUsed/>
    <w:rsid w:val="0020417F"/>
    <w:pPr>
      <w:spacing w:after="0" w:line="240" w:lineRule="auto"/>
      <w:ind w:left="600" w:hanging="200"/>
    </w:pPr>
  </w:style>
  <w:style w:type="paragraph" w:styleId="Index4">
    <w:name w:val="index 4"/>
    <w:basedOn w:val="Normal"/>
    <w:next w:val="Normal"/>
    <w:uiPriority w:val="99"/>
    <w:semiHidden/>
    <w:unhideWhenUsed/>
    <w:rsid w:val="0020417F"/>
    <w:pPr>
      <w:spacing w:after="0" w:line="240" w:lineRule="auto"/>
      <w:ind w:left="800" w:hanging="200"/>
    </w:pPr>
  </w:style>
  <w:style w:type="paragraph" w:styleId="Index5">
    <w:name w:val="index 5"/>
    <w:basedOn w:val="Normal"/>
    <w:next w:val="Normal"/>
    <w:uiPriority w:val="99"/>
    <w:semiHidden/>
    <w:unhideWhenUsed/>
    <w:rsid w:val="0020417F"/>
    <w:pPr>
      <w:spacing w:after="0" w:line="240" w:lineRule="auto"/>
      <w:ind w:left="1000" w:hanging="200"/>
    </w:pPr>
  </w:style>
  <w:style w:type="paragraph" w:styleId="Index6">
    <w:name w:val="index 6"/>
    <w:basedOn w:val="Normal"/>
    <w:next w:val="Normal"/>
    <w:uiPriority w:val="99"/>
    <w:semiHidden/>
    <w:unhideWhenUsed/>
    <w:rsid w:val="0020417F"/>
    <w:pPr>
      <w:spacing w:after="0" w:line="240" w:lineRule="auto"/>
      <w:ind w:left="1200" w:hanging="200"/>
    </w:pPr>
  </w:style>
  <w:style w:type="paragraph" w:styleId="Index7">
    <w:name w:val="index 7"/>
    <w:basedOn w:val="Normal"/>
    <w:next w:val="Normal"/>
    <w:uiPriority w:val="99"/>
    <w:semiHidden/>
    <w:unhideWhenUsed/>
    <w:rsid w:val="0020417F"/>
    <w:pPr>
      <w:spacing w:after="0" w:line="240" w:lineRule="auto"/>
      <w:ind w:left="1400" w:hanging="200"/>
    </w:pPr>
  </w:style>
  <w:style w:type="paragraph" w:styleId="Index8">
    <w:name w:val="index 8"/>
    <w:basedOn w:val="Normal"/>
    <w:next w:val="Normal"/>
    <w:uiPriority w:val="99"/>
    <w:semiHidden/>
    <w:unhideWhenUsed/>
    <w:rsid w:val="0020417F"/>
    <w:pPr>
      <w:spacing w:after="0" w:line="240" w:lineRule="auto"/>
      <w:ind w:left="1600" w:hanging="200"/>
    </w:pPr>
  </w:style>
  <w:style w:type="paragraph" w:styleId="Index9">
    <w:name w:val="index 9"/>
    <w:basedOn w:val="Normal"/>
    <w:next w:val="Normal"/>
    <w:uiPriority w:val="99"/>
    <w:semiHidden/>
    <w:unhideWhenUsed/>
    <w:rsid w:val="0020417F"/>
    <w:pPr>
      <w:spacing w:after="0" w:line="240" w:lineRule="auto"/>
      <w:ind w:left="1800" w:hanging="200"/>
    </w:pPr>
  </w:style>
  <w:style w:type="paragraph" w:styleId="IndexHeading">
    <w:name w:val="index heading"/>
    <w:basedOn w:val="Normal"/>
    <w:next w:val="Index1"/>
    <w:uiPriority w:val="99"/>
    <w:semiHidden/>
    <w:unhideWhenUsed/>
    <w:rsid w:val="0020417F"/>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744EAC"/>
    <w:pPr>
      <w:pBdr>
        <w:top w:val="single" w:sz="4" w:space="10" w:color="357DBE" w:themeColor="accent1"/>
        <w:bottom w:val="single" w:sz="4" w:space="10" w:color="357DBE" w:themeColor="accent1"/>
      </w:pBdr>
      <w:spacing w:before="360" w:after="360"/>
      <w:ind w:left="864" w:right="864"/>
      <w:jc w:val="center"/>
    </w:pPr>
    <w:rPr>
      <w:i/>
      <w:iCs/>
      <w:color w:val="357DBE" w:themeColor="accent1"/>
    </w:rPr>
  </w:style>
  <w:style w:type="character" w:customStyle="1" w:styleId="IntenseQuoteChar">
    <w:name w:val="Intense Quote Char"/>
    <w:basedOn w:val="DefaultParagraphFont"/>
    <w:link w:val="IntenseQuote"/>
    <w:uiPriority w:val="30"/>
    <w:rsid w:val="00744EAC"/>
    <w:rPr>
      <w:i/>
      <w:iCs/>
      <w:color w:val="357DBE" w:themeColor="accent1"/>
      <w:sz w:val="22"/>
      <w:lang w:val="en-NZ"/>
    </w:rPr>
  </w:style>
  <w:style w:type="paragraph" w:styleId="List">
    <w:name w:val="List"/>
    <w:basedOn w:val="Normal"/>
    <w:uiPriority w:val="99"/>
    <w:semiHidden/>
    <w:unhideWhenUsed/>
    <w:rsid w:val="0020417F"/>
    <w:pPr>
      <w:ind w:left="360" w:hanging="360"/>
      <w:contextualSpacing/>
    </w:pPr>
  </w:style>
  <w:style w:type="paragraph" w:styleId="List2">
    <w:name w:val="List 2"/>
    <w:basedOn w:val="Normal"/>
    <w:uiPriority w:val="99"/>
    <w:semiHidden/>
    <w:unhideWhenUsed/>
    <w:rsid w:val="0020417F"/>
    <w:pPr>
      <w:ind w:left="720" w:hanging="360"/>
      <w:contextualSpacing/>
    </w:pPr>
  </w:style>
  <w:style w:type="paragraph" w:styleId="List3">
    <w:name w:val="List 3"/>
    <w:basedOn w:val="Normal"/>
    <w:uiPriority w:val="99"/>
    <w:semiHidden/>
    <w:unhideWhenUsed/>
    <w:rsid w:val="0020417F"/>
    <w:pPr>
      <w:ind w:left="1080" w:hanging="360"/>
      <w:contextualSpacing/>
    </w:pPr>
  </w:style>
  <w:style w:type="paragraph" w:styleId="List4">
    <w:name w:val="List 4"/>
    <w:basedOn w:val="Normal"/>
    <w:uiPriority w:val="99"/>
    <w:semiHidden/>
    <w:unhideWhenUsed/>
    <w:rsid w:val="0020417F"/>
    <w:pPr>
      <w:ind w:left="1440" w:hanging="360"/>
      <w:contextualSpacing/>
    </w:pPr>
  </w:style>
  <w:style w:type="paragraph" w:styleId="List5">
    <w:name w:val="List 5"/>
    <w:basedOn w:val="Normal"/>
    <w:uiPriority w:val="99"/>
    <w:semiHidden/>
    <w:unhideWhenUsed/>
    <w:rsid w:val="0020417F"/>
    <w:pPr>
      <w:ind w:left="1800" w:hanging="360"/>
      <w:contextualSpacing/>
    </w:pPr>
  </w:style>
  <w:style w:type="paragraph" w:styleId="ListBullet">
    <w:name w:val="List Bullet"/>
    <w:basedOn w:val="Normal"/>
    <w:uiPriority w:val="99"/>
    <w:semiHidden/>
    <w:unhideWhenUsed/>
    <w:rsid w:val="0020417F"/>
    <w:pPr>
      <w:numPr>
        <w:numId w:val="4"/>
      </w:numPr>
      <w:contextualSpacing/>
    </w:pPr>
  </w:style>
  <w:style w:type="paragraph" w:styleId="ListBullet2">
    <w:name w:val="List Bullet 2"/>
    <w:basedOn w:val="Normal"/>
    <w:uiPriority w:val="99"/>
    <w:semiHidden/>
    <w:unhideWhenUsed/>
    <w:rsid w:val="0020417F"/>
    <w:pPr>
      <w:numPr>
        <w:numId w:val="5"/>
      </w:numPr>
      <w:contextualSpacing/>
    </w:pPr>
  </w:style>
  <w:style w:type="paragraph" w:styleId="ListBullet3">
    <w:name w:val="List Bullet 3"/>
    <w:basedOn w:val="Normal"/>
    <w:link w:val="ListBullet3Char"/>
    <w:uiPriority w:val="99"/>
    <w:semiHidden/>
    <w:unhideWhenUsed/>
    <w:rsid w:val="0020417F"/>
    <w:pPr>
      <w:numPr>
        <w:numId w:val="6"/>
      </w:numPr>
      <w:contextualSpacing/>
    </w:pPr>
  </w:style>
  <w:style w:type="paragraph" w:styleId="ListBullet4">
    <w:name w:val="List Bullet 4"/>
    <w:basedOn w:val="Normal"/>
    <w:uiPriority w:val="99"/>
    <w:semiHidden/>
    <w:unhideWhenUsed/>
    <w:rsid w:val="0020417F"/>
    <w:pPr>
      <w:numPr>
        <w:numId w:val="7"/>
      </w:numPr>
      <w:contextualSpacing/>
    </w:pPr>
  </w:style>
  <w:style w:type="paragraph" w:styleId="ListBullet5">
    <w:name w:val="List Bullet 5"/>
    <w:basedOn w:val="Normal"/>
    <w:uiPriority w:val="99"/>
    <w:semiHidden/>
    <w:unhideWhenUsed/>
    <w:rsid w:val="0020417F"/>
    <w:pPr>
      <w:numPr>
        <w:numId w:val="8"/>
      </w:numPr>
      <w:contextualSpacing/>
    </w:pPr>
  </w:style>
  <w:style w:type="paragraph" w:styleId="ListContinue">
    <w:name w:val="List Continue"/>
    <w:basedOn w:val="Normal"/>
    <w:uiPriority w:val="99"/>
    <w:semiHidden/>
    <w:unhideWhenUsed/>
    <w:rsid w:val="0020417F"/>
    <w:pPr>
      <w:spacing w:after="120"/>
      <w:ind w:left="360"/>
      <w:contextualSpacing/>
    </w:pPr>
  </w:style>
  <w:style w:type="paragraph" w:styleId="ListContinue2">
    <w:name w:val="List Continue 2"/>
    <w:basedOn w:val="Normal"/>
    <w:uiPriority w:val="99"/>
    <w:semiHidden/>
    <w:unhideWhenUsed/>
    <w:rsid w:val="0020417F"/>
    <w:pPr>
      <w:spacing w:after="120"/>
      <w:ind w:left="720"/>
      <w:contextualSpacing/>
    </w:pPr>
  </w:style>
  <w:style w:type="paragraph" w:styleId="ListContinue3">
    <w:name w:val="List Continue 3"/>
    <w:basedOn w:val="Normal"/>
    <w:uiPriority w:val="99"/>
    <w:semiHidden/>
    <w:unhideWhenUsed/>
    <w:rsid w:val="0020417F"/>
    <w:pPr>
      <w:spacing w:after="120"/>
      <w:ind w:left="1080"/>
      <w:contextualSpacing/>
    </w:pPr>
  </w:style>
  <w:style w:type="paragraph" w:styleId="ListContinue4">
    <w:name w:val="List Continue 4"/>
    <w:basedOn w:val="Normal"/>
    <w:uiPriority w:val="99"/>
    <w:semiHidden/>
    <w:unhideWhenUsed/>
    <w:rsid w:val="0020417F"/>
    <w:pPr>
      <w:spacing w:after="120"/>
      <w:ind w:left="1440"/>
      <w:contextualSpacing/>
    </w:pPr>
  </w:style>
  <w:style w:type="paragraph" w:styleId="ListContinue5">
    <w:name w:val="List Continue 5"/>
    <w:basedOn w:val="Normal"/>
    <w:uiPriority w:val="99"/>
    <w:semiHidden/>
    <w:unhideWhenUsed/>
    <w:rsid w:val="0020417F"/>
    <w:pPr>
      <w:spacing w:after="120"/>
      <w:ind w:left="1800"/>
      <w:contextualSpacing/>
    </w:pPr>
  </w:style>
  <w:style w:type="paragraph" w:styleId="ListNumber">
    <w:name w:val="List Number"/>
    <w:basedOn w:val="Normal"/>
    <w:link w:val="ListNumberChar"/>
    <w:uiPriority w:val="99"/>
    <w:semiHidden/>
    <w:unhideWhenUsed/>
    <w:rsid w:val="0020417F"/>
    <w:pPr>
      <w:numPr>
        <w:numId w:val="9"/>
      </w:numPr>
      <w:contextualSpacing/>
    </w:pPr>
  </w:style>
  <w:style w:type="paragraph" w:styleId="ListNumber2">
    <w:name w:val="List Number 2"/>
    <w:basedOn w:val="Normal"/>
    <w:uiPriority w:val="99"/>
    <w:semiHidden/>
    <w:unhideWhenUsed/>
    <w:rsid w:val="0020417F"/>
    <w:pPr>
      <w:numPr>
        <w:numId w:val="10"/>
      </w:numPr>
      <w:contextualSpacing/>
    </w:pPr>
  </w:style>
  <w:style w:type="paragraph" w:styleId="ListNumber3">
    <w:name w:val="List Number 3"/>
    <w:basedOn w:val="Normal"/>
    <w:uiPriority w:val="99"/>
    <w:semiHidden/>
    <w:unhideWhenUsed/>
    <w:rsid w:val="0020417F"/>
    <w:pPr>
      <w:numPr>
        <w:numId w:val="11"/>
      </w:numPr>
      <w:contextualSpacing/>
    </w:pPr>
  </w:style>
  <w:style w:type="paragraph" w:styleId="ListNumber4">
    <w:name w:val="List Number 4"/>
    <w:basedOn w:val="Normal"/>
    <w:uiPriority w:val="99"/>
    <w:semiHidden/>
    <w:unhideWhenUsed/>
    <w:rsid w:val="0020417F"/>
    <w:pPr>
      <w:numPr>
        <w:numId w:val="12"/>
      </w:numPr>
      <w:contextualSpacing/>
    </w:pPr>
  </w:style>
  <w:style w:type="paragraph" w:styleId="ListNumber5">
    <w:name w:val="List Number 5"/>
    <w:basedOn w:val="Normal"/>
    <w:uiPriority w:val="99"/>
    <w:semiHidden/>
    <w:unhideWhenUsed/>
    <w:rsid w:val="0020417F"/>
    <w:pPr>
      <w:numPr>
        <w:numId w:val="13"/>
      </w:numPr>
      <w:contextualSpacing/>
    </w:pPr>
  </w:style>
  <w:style w:type="paragraph" w:styleId="MacroText">
    <w:name w:val="macro"/>
    <w:link w:val="MacroTextChar"/>
    <w:uiPriority w:val="99"/>
    <w:semiHidden/>
    <w:unhideWhenUsed/>
    <w:rsid w:val="0020417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olor w:val="FF0000"/>
    </w:rPr>
  </w:style>
  <w:style w:type="character" w:customStyle="1" w:styleId="MacroTextChar">
    <w:name w:val="Macro Text Char"/>
    <w:basedOn w:val="DefaultParagraphFont"/>
    <w:link w:val="MacroText"/>
    <w:uiPriority w:val="99"/>
    <w:semiHidden/>
    <w:rsid w:val="0020417F"/>
    <w:rPr>
      <w:rFonts w:ascii="Consolas" w:hAnsi="Consolas"/>
      <w:color w:val="FF0000"/>
    </w:rPr>
  </w:style>
  <w:style w:type="paragraph" w:styleId="MessageHeader">
    <w:name w:val="Message Header"/>
    <w:basedOn w:val="Normal"/>
    <w:link w:val="MessageHeaderChar"/>
    <w:uiPriority w:val="99"/>
    <w:semiHidden/>
    <w:unhideWhenUsed/>
    <w:rsid w:val="0020417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0417F"/>
    <w:rPr>
      <w:rFonts w:asciiTheme="majorHAnsi" w:eastAsiaTheme="majorEastAsia" w:hAnsiTheme="majorHAnsi" w:cstheme="majorBidi"/>
      <w:sz w:val="24"/>
      <w:szCs w:val="24"/>
      <w:shd w:val="pct20" w:color="auto" w:fill="auto"/>
      <w:lang w:val="en-AU"/>
    </w:rPr>
  </w:style>
  <w:style w:type="paragraph" w:styleId="NormalWeb">
    <w:name w:val="Normal (Web)"/>
    <w:basedOn w:val="Normal"/>
    <w:uiPriority w:val="99"/>
    <w:unhideWhenUsed/>
    <w:rsid w:val="00744EAC"/>
    <w:rPr>
      <w:rFonts w:ascii="Times New Roman" w:hAnsi="Times New Roman" w:cs="Times New Roman"/>
      <w:sz w:val="24"/>
      <w:szCs w:val="24"/>
    </w:rPr>
  </w:style>
  <w:style w:type="paragraph" w:styleId="NormalIndent">
    <w:name w:val="Normal Indent"/>
    <w:basedOn w:val="Normal"/>
    <w:uiPriority w:val="99"/>
    <w:semiHidden/>
    <w:unhideWhenUsed/>
    <w:rsid w:val="0020417F"/>
    <w:pPr>
      <w:ind w:left="720"/>
    </w:pPr>
  </w:style>
  <w:style w:type="paragraph" w:styleId="NoteHeading">
    <w:name w:val="Note Heading"/>
    <w:basedOn w:val="Normal"/>
    <w:next w:val="Normal"/>
    <w:link w:val="NoteHeadingChar"/>
    <w:uiPriority w:val="99"/>
    <w:semiHidden/>
    <w:unhideWhenUsed/>
    <w:rsid w:val="0020417F"/>
    <w:pPr>
      <w:spacing w:after="0" w:line="240" w:lineRule="auto"/>
    </w:pPr>
  </w:style>
  <w:style w:type="character" w:customStyle="1" w:styleId="NoteHeadingChar">
    <w:name w:val="Note Heading Char"/>
    <w:basedOn w:val="DefaultParagraphFont"/>
    <w:link w:val="NoteHeading"/>
    <w:uiPriority w:val="99"/>
    <w:semiHidden/>
    <w:rsid w:val="0020417F"/>
    <w:rPr>
      <w:lang w:val="en-AU"/>
    </w:rPr>
  </w:style>
  <w:style w:type="paragraph" w:styleId="PlainText">
    <w:name w:val="Plain Text"/>
    <w:basedOn w:val="Normal"/>
    <w:link w:val="PlainTextChar"/>
    <w:uiPriority w:val="99"/>
    <w:semiHidden/>
    <w:unhideWhenUsed/>
    <w:rsid w:val="00744EAC"/>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744EAC"/>
    <w:rPr>
      <w:rFonts w:ascii="Consolas" w:hAnsi="Consolas"/>
      <w:sz w:val="22"/>
      <w:szCs w:val="21"/>
      <w:lang w:val="en-NZ"/>
    </w:rPr>
  </w:style>
  <w:style w:type="paragraph" w:styleId="Salutation">
    <w:name w:val="Salutation"/>
    <w:basedOn w:val="Normal"/>
    <w:next w:val="Normal"/>
    <w:link w:val="SalutationChar"/>
    <w:uiPriority w:val="99"/>
    <w:semiHidden/>
    <w:unhideWhenUsed/>
    <w:rsid w:val="0020417F"/>
  </w:style>
  <w:style w:type="character" w:customStyle="1" w:styleId="SalutationChar">
    <w:name w:val="Salutation Char"/>
    <w:basedOn w:val="DefaultParagraphFont"/>
    <w:link w:val="Salutation"/>
    <w:uiPriority w:val="99"/>
    <w:semiHidden/>
    <w:rsid w:val="0020417F"/>
    <w:rPr>
      <w:lang w:val="en-AU"/>
    </w:rPr>
  </w:style>
  <w:style w:type="paragraph" w:styleId="Signature">
    <w:name w:val="Signature"/>
    <w:basedOn w:val="Normal"/>
    <w:link w:val="SignatureChar"/>
    <w:uiPriority w:val="99"/>
    <w:semiHidden/>
    <w:unhideWhenUsed/>
    <w:rsid w:val="0020417F"/>
    <w:pPr>
      <w:spacing w:after="0" w:line="240" w:lineRule="auto"/>
      <w:ind w:left="4320"/>
    </w:pPr>
  </w:style>
  <w:style w:type="character" w:customStyle="1" w:styleId="SignatureChar">
    <w:name w:val="Signature Char"/>
    <w:basedOn w:val="DefaultParagraphFont"/>
    <w:link w:val="Signature"/>
    <w:uiPriority w:val="99"/>
    <w:semiHidden/>
    <w:rsid w:val="0020417F"/>
    <w:rPr>
      <w:lang w:val="en-AU"/>
    </w:rPr>
  </w:style>
  <w:style w:type="paragraph" w:styleId="Subtitle">
    <w:name w:val="Subtitle"/>
    <w:basedOn w:val="Normal"/>
    <w:next w:val="Normal"/>
    <w:link w:val="SubtitleChar"/>
    <w:uiPriority w:val="99"/>
    <w:qFormat/>
    <w:rsid w:val="00744EAC"/>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99"/>
    <w:rsid w:val="00744EAC"/>
    <w:rPr>
      <w:rFonts w:eastAsiaTheme="minorEastAsia"/>
      <w:color w:val="5A5A5A" w:themeColor="text1" w:themeTint="A5"/>
      <w:spacing w:val="15"/>
      <w:sz w:val="22"/>
      <w:szCs w:val="22"/>
      <w:lang w:val="en-NZ"/>
    </w:rPr>
  </w:style>
  <w:style w:type="paragraph" w:styleId="TableofAuthorities">
    <w:name w:val="table of authorities"/>
    <w:basedOn w:val="Normal"/>
    <w:next w:val="Normal"/>
    <w:uiPriority w:val="99"/>
    <w:semiHidden/>
    <w:unhideWhenUsed/>
    <w:rsid w:val="0020417F"/>
    <w:pPr>
      <w:spacing w:after="0"/>
      <w:ind w:left="200" w:hanging="200"/>
    </w:pPr>
  </w:style>
  <w:style w:type="paragraph" w:styleId="TableofFigures">
    <w:name w:val="table of figures"/>
    <w:basedOn w:val="TOC2"/>
    <w:next w:val="Normal"/>
    <w:uiPriority w:val="99"/>
    <w:rsid w:val="0020417F"/>
    <w:pPr>
      <w:spacing w:after="0"/>
    </w:pPr>
  </w:style>
  <w:style w:type="paragraph" w:styleId="Title">
    <w:name w:val="Title"/>
    <w:basedOn w:val="Normal"/>
    <w:next w:val="Normal"/>
    <w:link w:val="TitleChar"/>
    <w:uiPriority w:val="99"/>
    <w:unhideWhenUsed/>
    <w:qFormat/>
    <w:rsid w:val="00744EA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rsid w:val="00744EAC"/>
    <w:rPr>
      <w:rFonts w:asciiTheme="majorHAnsi" w:eastAsiaTheme="majorEastAsia" w:hAnsiTheme="majorHAnsi" w:cstheme="majorBidi"/>
      <w:spacing w:val="-10"/>
      <w:kern w:val="28"/>
      <w:sz w:val="56"/>
      <w:szCs w:val="56"/>
      <w:lang w:val="en-NZ"/>
    </w:rPr>
  </w:style>
  <w:style w:type="paragraph" w:styleId="TOAHeading">
    <w:name w:val="toa heading"/>
    <w:basedOn w:val="Normal"/>
    <w:next w:val="Normal"/>
    <w:uiPriority w:val="99"/>
    <w:semiHidden/>
    <w:unhideWhenUsed/>
    <w:rsid w:val="0020417F"/>
    <w:pPr>
      <w:spacing w:before="120"/>
    </w:pPr>
    <w:rPr>
      <w:rFonts w:asciiTheme="majorHAnsi" w:eastAsiaTheme="majorEastAsia" w:hAnsiTheme="majorHAnsi" w:cstheme="majorBidi"/>
      <w:b/>
      <w:bCs/>
      <w:sz w:val="24"/>
      <w:szCs w:val="24"/>
    </w:rPr>
  </w:style>
  <w:style w:type="paragraph" w:customStyle="1" w:styleId="Heading5Numbered">
    <w:name w:val="Heading 5 Numbered"/>
    <w:basedOn w:val="Heading6"/>
    <w:next w:val="Normal"/>
    <w:link w:val="Heading5NumberedChar"/>
    <w:uiPriority w:val="4"/>
    <w:qFormat/>
    <w:rsid w:val="00D35F80"/>
    <w:pPr>
      <w:tabs>
        <w:tab w:val="num" w:pos="643"/>
      </w:tabs>
      <w:spacing w:before="0"/>
      <w:ind w:left="643" w:hanging="360"/>
      <w:outlineLvl w:val="4"/>
    </w:pPr>
    <w:rPr>
      <w:lang w:val="en-AU"/>
    </w:rPr>
  </w:style>
  <w:style w:type="paragraph" w:styleId="TOC6">
    <w:name w:val="toc 6"/>
    <w:basedOn w:val="Normal"/>
    <w:next w:val="Normal"/>
    <w:uiPriority w:val="39"/>
    <w:rsid w:val="0020417F"/>
    <w:pPr>
      <w:spacing w:after="120" w:line="240" w:lineRule="auto"/>
      <w:ind w:left="544" w:hanging="544"/>
    </w:pPr>
    <w:rPr>
      <w:b/>
      <w:color w:val="000000" w:themeColor="text1"/>
    </w:rPr>
  </w:style>
  <w:style w:type="paragraph" w:styleId="TOC8">
    <w:name w:val="toc 8"/>
    <w:basedOn w:val="Normal"/>
    <w:next w:val="Normal"/>
    <w:uiPriority w:val="39"/>
    <w:rsid w:val="0020417F"/>
    <w:pPr>
      <w:spacing w:after="100"/>
      <w:ind w:left="1400"/>
    </w:pPr>
  </w:style>
  <w:style w:type="paragraph" w:styleId="TOC9">
    <w:name w:val="toc 9"/>
    <w:basedOn w:val="Normal"/>
    <w:next w:val="Normal"/>
    <w:uiPriority w:val="39"/>
    <w:rsid w:val="0020417F"/>
    <w:pPr>
      <w:spacing w:after="100"/>
      <w:ind w:left="1600"/>
    </w:pPr>
  </w:style>
  <w:style w:type="character" w:customStyle="1" w:styleId="BoxText-HeadingRecs">
    <w:name w:val="Box Text - Heading Recs"/>
    <w:basedOn w:val="DefaultParagraphFont"/>
    <w:uiPriority w:val="7"/>
    <w:qFormat/>
    <w:rsid w:val="00896CE7"/>
    <w:rPr>
      <w:iCs/>
      <w:color w:val="357DBE" w:themeColor="accent1"/>
      <w:sz w:val="28"/>
      <w:szCs w:val="28"/>
      <w:lang w:val="en-AU"/>
    </w:rPr>
  </w:style>
  <w:style w:type="character" w:customStyle="1" w:styleId="TableBullet1Char">
    <w:name w:val="Table Bullet 1 Char"/>
    <w:basedOn w:val="DefaultParagraphFont"/>
    <w:link w:val="TableBullet10"/>
    <w:uiPriority w:val="2"/>
    <w:rsid w:val="0020417F"/>
    <w:rPr>
      <w:sz w:val="21"/>
      <w:lang w:val="en-AU"/>
    </w:rPr>
  </w:style>
  <w:style w:type="character" w:customStyle="1" w:styleId="Bullet1Char">
    <w:name w:val="Bullet 1 Char"/>
    <w:basedOn w:val="DefaultParagraphFont"/>
    <w:link w:val="Bullet1"/>
    <w:uiPriority w:val="99"/>
    <w:rsid w:val="0044691C"/>
    <w:rPr>
      <w:lang w:val="en-NZ"/>
    </w:rPr>
  </w:style>
  <w:style w:type="character" w:customStyle="1" w:styleId="TableFigure-TitleAfterCaption-AboveTableChar">
    <w:name w:val="Table/Figure - Title (After Caption - Above Table) Char"/>
    <w:basedOn w:val="DefaultParagraphFont"/>
    <w:link w:val="TableFigure-TitleAfterCaption-AboveTable"/>
    <w:uiPriority w:val="5"/>
    <w:rsid w:val="0020417F"/>
    <w:rPr>
      <w:i/>
      <w:lang w:val="en-NZ"/>
    </w:rPr>
  </w:style>
  <w:style w:type="character" w:styleId="UnresolvedMention">
    <w:name w:val="Unresolved Mention"/>
    <w:basedOn w:val="DefaultParagraphFont"/>
    <w:uiPriority w:val="99"/>
    <w:unhideWhenUsed/>
    <w:rsid w:val="0020417F"/>
    <w:rPr>
      <w:color w:val="605E5C"/>
      <w:shd w:val="clear" w:color="auto" w:fill="E1DFDD"/>
    </w:rPr>
  </w:style>
  <w:style w:type="character" w:customStyle="1" w:styleId="Design-CoverTitleChar">
    <w:name w:val="Design- Cover Title Char"/>
    <w:basedOn w:val="DefaultParagraphFont"/>
    <w:link w:val="Design-CoverTitle"/>
    <w:uiPriority w:val="24"/>
    <w:rsid w:val="00087882"/>
    <w:rPr>
      <w:b/>
      <w:color w:val="FFFFFF" w:themeColor="background1"/>
      <w:sz w:val="80"/>
      <w:szCs w:val="96"/>
      <w:lang w:val="en-AU"/>
    </w:rPr>
  </w:style>
  <w:style w:type="character" w:customStyle="1" w:styleId="Design-CoverSubtitleChar0">
    <w:name w:val="Design- Cover Subtitle Char"/>
    <w:basedOn w:val="Design-CoverTitleChar"/>
    <w:link w:val="Design-CoverSubtitle0"/>
    <w:uiPriority w:val="24"/>
    <w:rsid w:val="0020417F"/>
    <w:rPr>
      <w:b w:val="0"/>
      <w:color w:val="FFFFFF" w:themeColor="background1"/>
      <w:sz w:val="36"/>
      <w:szCs w:val="36"/>
      <w:lang w:val="en-NZ"/>
    </w:rPr>
  </w:style>
  <w:style w:type="table" w:styleId="PlainTable2">
    <w:name w:val="Plain Table 2"/>
    <w:basedOn w:val="TableNormal"/>
    <w:uiPriority w:val="42"/>
    <w:rsid w:val="00744E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Design-CoverDateChar">
    <w:name w:val="Design- Cover Date Char"/>
    <w:basedOn w:val="Design-CoverSubtitleChar0"/>
    <w:link w:val="Design-CoverDate"/>
    <w:uiPriority w:val="24"/>
    <w:semiHidden/>
    <w:rsid w:val="0020417F"/>
    <w:rPr>
      <w:b w:val="0"/>
      <w:i/>
      <w:iCs/>
      <w:color w:val="9E6047" w:themeColor="accent3"/>
      <w:sz w:val="28"/>
      <w:szCs w:val="28"/>
      <w:lang w:val="en-NZ"/>
    </w:rPr>
  </w:style>
  <w:style w:type="table" w:styleId="PlainTable1">
    <w:name w:val="Plain Table 1"/>
    <w:basedOn w:val="TableNormal"/>
    <w:uiPriority w:val="41"/>
    <w:rsid w:val="0020417F"/>
    <w:pPr>
      <w:spacing w:before="120" w:after="120" w:line="240" w:lineRule="auto"/>
    </w:pPr>
    <w:rPr>
      <w:sz w:val="21"/>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4">
    <w:name w:val="toc 4"/>
    <w:basedOn w:val="Normal"/>
    <w:next w:val="Normal"/>
    <w:autoRedefine/>
    <w:uiPriority w:val="39"/>
    <w:rsid w:val="0020417F"/>
    <w:pPr>
      <w:spacing w:after="120" w:line="240" w:lineRule="auto"/>
      <w:ind w:left="1797" w:hanging="720"/>
    </w:pPr>
    <w:rPr>
      <w:color w:val="000000" w:themeColor="text1"/>
    </w:rPr>
  </w:style>
  <w:style w:type="character" w:customStyle="1" w:styleId="Heading5NumberedChar">
    <w:name w:val="Heading 5 Numbered Char"/>
    <w:basedOn w:val="Heading6Char"/>
    <w:link w:val="Heading5Numbered"/>
    <w:uiPriority w:val="4"/>
    <w:rsid w:val="006B726B"/>
    <w:rPr>
      <w:rFonts w:cstheme="minorHAnsi"/>
      <w:b/>
      <w:bCs/>
      <w:color w:val="9E6047" w:themeColor="accent3"/>
      <w:sz w:val="24"/>
      <w:szCs w:val="24"/>
      <w:lang w:val="en-AU"/>
    </w:rPr>
  </w:style>
  <w:style w:type="paragraph" w:customStyle="1" w:styleId="Appendix">
    <w:name w:val="Appendix"/>
    <w:basedOn w:val="Normal"/>
    <w:next w:val="Normal"/>
    <w:link w:val="AppendixChar"/>
    <w:uiPriority w:val="5"/>
    <w:qFormat/>
    <w:rsid w:val="0020417F"/>
    <w:pPr>
      <w:pageBreakBefore/>
      <w:numPr>
        <w:numId w:val="3"/>
      </w:numPr>
      <w:outlineLvl w:val="0"/>
    </w:pPr>
    <w:rPr>
      <w:rFonts w:cstheme="minorHAnsi"/>
      <w:b/>
      <w:color w:val="36424A" w:themeColor="accent2"/>
      <w:sz w:val="40"/>
      <w:szCs w:val="24"/>
    </w:rPr>
  </w:style>
  <w:style w:type="paragraph" w:styleId="TOC5">
    <w:name w:val="toc 5"/>
    <w:basedOn w:val="Normal"/>
    <w:next w:val="Normal"/>
    <w:autoRedefine/>
    <w:uiPriority w:val="39"/>
    <w:rsid w:val="0020417F"/>
    <w:pPr>
      <w:tabs>
        <w:tab w:val="left" w:pos="1797"/>
        <w:tab w:val="right" w:leader="dot" w:pos="9019"/>
      </w:tabs>
      <w:spacing w:after="120" w:line="240" w:lineRule="auto"/>
      <w:ind w:left="1797" w:hanging="720"/>
    </w:pPr>
  </w:style>
  <w:style w:type="character" w:customStyle="1" w:styleId="AppendixChar">
    <w:name w:val="Appendix Char"/>
    <w:basedOn w:val="Heading7Char"/>
    <w:link w:val="Appendix"/>
    <w:uiPriority w:val="5"/>
    <w:rsid w:val="0020417F"/>
    <w:rPr>
      <w:rFonts w:cstheme="minorHAnsi"/>
      <w:b/>
      <w:bCs w:val="0"/>
      <w:color w:val="36424A" w:themeColor="accent2"/>
      <w:sz w:val="40"/>
      <w:szCs w:val="24"/>
      <w:lang w:val="en-AU"/>
    </w:rPr>
  </w:style>
  <w:style w:type="table" w:styleId="GridTable4">
    <w:name w:val="Grid Table 4"/>
    <w:basedOn w:val="TableNormal"/>
    <w:uiPriority w:val="49"/>
    <w:rsid w:val="00744EAC"/>
    <w:pPr>
      <w:spacing w:after="0" w:line="240" w:lineRule="auto"/>
    </w:pPr>
    <w:rPr>
      <w:lang w:val="en-NZ"/>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CBoldText">
    <w:name w:val="A+C Bold Text"/>
    <w:basedOn w:val="Normal"/>
    <w:next w:val="Normal"/>
    <w:link w:val="ACBoldTextChar"/>
    <w:uiPriority w:val="1"/>
    <w:rsid w:val="0020417F"/>
    <w:rPr>
      <w:b/>
      <w:bCs/>
    </w:rPr>
  </w:style>
  <w:style w:type="character" w:customStyle="1" w:styleId="ACBoldTextChar">
    <w:name w:val="A+C Bold Text Char"/>
    <w:basedOn w:val="DefaultParagraphFont"/>
    <w:link w:val="ACBoldText"/>
    <w:uiPriority w:val="1"/>
    <w:rsid w:val="0020417F"/>
    <w:rPr>
      <w:b/>
      <w:bCs/>
      <w:lang w:val="en-AU"/>
    </w:rPr>
  </w:style>
  <w:style w:type="paragraph" w:customStyle="1" w:styleId="TableFigure-NotesDescriptionaftertablefigure">
    <w:name w:val="Table/Figure - Notes / Description (after table/figure)"/>
    <w:basedOn w:val="Normal"/>
    <w:link w:val="TableFigure-NotesDescriptionaftertablefigureChar"/>
    <w:uiPriority w:val="6"/>
    <w:rsid w:val="0068023B"/>
    <w:pPr>
      <w:spacing w:before="60" w:after="60"/>
    </w:pPr>
    <w:rPr>
      <w:sz w:val="21"/>
      <w:szCs w:val="21"/>
    </w:rPr>
  </w:style>
  <w:style w:type="character" w:customStyle="1" w:styleId="TableFigure-NotesDescriptionaftertablefigureChar">
    <w:name w:val="Table/Figure - Notes / Description (after table/figure) Char"/>
    <w:basedOn w:val="DefaultParagraphFont"/>
    <w:link w:val="TableFigure-NotesDescriptionaftertablefigure"/>
    <w:uiPriority w:val="6"/>
    <w:rsid w:val="0068023B"/>
    <w:rPr>
      <w:sz w:val="21"/>
      <w:szCs w:val="21"/>
      <w:lang w:val="en-AU"/>
    </w:rPr>
  </w:style>
  <w:style w:type="paragraph" w:customStyle="1" w:styleId="Heading1NoPageBreak">
    <w:name w:val="Heading 1 (No Page Break)"/>
    <w:basedOn w:val="Heading1"/>
    <w:next w:val="Normal"/>
    <w:uiPriority w:val="4"/>
    <w:rsid w:val="0020417F"/>
    <w:pPr>
      <w:ind w:left="1225" w:hanging="1225"/>
    </w:pPr>
  </w:style>
  <w:style w:type="paragraph" w:customStyle="1" w:styleId="Heading1NotNumbered">
    <w:name w:val="Heading 1 (Not Numbered)"/>
    <w:basedOn w:val="Heading1"/>
    <w:next w:val="Normal"/>
    <w:uiPriority w:val="4"/>
    <w:rsid w:val="00154E49"/>
    <w:pPr>
      <w:numPr>
        <w:numId w:val="0"/>
      </w:numPr>
    </w:pPr>
  </w:style>
  <w:style w:type="paragraph" w:customStyle="1" w:styleId="Heading2NotNumbered">
    <w:name w:val="Heading 2 (Not Numbered)"/>
    <w:basedOn w:val="Heading2"/>
    <w:next w:val="Normal"/>
    <w:uiPriority w:val="4"/>
    <w:rsid w:val="0020417F"/>
    <w:pPr>
      <w:numPr>
        <w:numId w:val="57"/>
      </w:numPr>
      <w:tabs>
        <w:tab w:val="left" w:pos="851"/>
      </w:tabs>
    </w:pPr>
  </w:style>
  <w:style w:type="paragraph" w:customStyle="1" w:styleId="Heading3NotNumbered">
    <w:name w:val="Heading 3 (Not Numbered)"/>
    <w:basedOn w:val="Heading3"/>
    <w:next w:val="Normal"/>
    <w:uiPriority w:val="4"/>
    <w:rsid w:val="0020417F"/>
  </w:style>
  <w:style w:type="paragraph" w:customStyle="1" w:styleId="Heading4NotNumbered">
    <w:name w:val="Heading 4 (Not Numbered)"/>
    <w:basedOn w:val="Heading4"/>
    <w:next w:val="Normal"/>
    <w:uiPriority w:val="4"/>
    <w:rsid w:val="0020417F"/>
    <w:rPr>
      <w:lang w:val="en-NZ"/>
    </w:rPr>
  </w:style>
  <w:style w:type="paragraph" w:customStyle="1" w:styleId="Design-InstructionsHeader">
    <w:name w:val="Design- Instructions Header"/>
    <w:basedOn w:val="Normal"/>
    <w:next w:val="Design-InstructionsBody"/>
    <w:uiPriority w:val="27"/>
    <w:rsid w:val="0020417F"/>
    <w:pPr>
      <w:pBdr>
        <w:top w:val="single" w:sz="6" w:space="3" w:color="77B800"/>
        <w:left w:val="single" w:sz="6" w:space="3" w:color="77B800"/>
        <w:bottom w:val="single" w:sz="6" w:space="3" w:color="77B800"/>
        <w:right w:val="single" w:sz="6" w:space="3" w:color="77B800"/>
      </w:pBdr>
      <w:spacing w:before="120" w:after="120" w:line="259" w:lineRule="auto"/>
    </w:pPr>
    <w:rPr>
      <w:rFonts w:eastAsia="Arial" w:cs="Times New Roman"/>
      <w:b/>
      <w:bCs/>
      <w:color w:val="9E6047" w:themeColor="accent3"/>
    </w:rPr>
  </w:style>
  <w:style w:type="paragraph" w:customStyle="1" w:styleId="Design-InstructionsBody">
    <w:name w:val="Design- Instructions Body"/>
    <w:basedOn w:val="Normal"/>
    <w:next w:val="Normal"/>
    <w:uiPriority w:val="28"/>
    <w:rsid w:val="0020417F"/>
    <w:pPr>
      <w:pBdr>
        <w:top w:val="single" w:sz="6" w:space="3" w:color="77B800"/>
        <w:left w:val="single" w:sz="6" w:space="3" w:color="77B800"/>
        <w:bottom w:val="single" w:sz="6" w:space="3" w:color="77B800"/>
        <w:right w:val="single" w:sz="6" w:space="3" w:color="77B800"/>
      </w:pBdr>
      <w:shd w:val="clear" w:color="auto" w:fill="E7FFBD"/>
      <w:spacing w:before="120" w:after="120" w:line="259" w:lineRule="auto"/>
    </w:pPr>
    <w:rPr>
      <w:rFonts w:eastAsia="Arial" w:cs="Times New Roman"/>
      <w:color w:val="000000"/>
    </w:rPr>
  </w:style>
  <w:style w:type="paragraph" w:customStyle="1" w:styleId="Design-AcknowledgementofCountry">
    <w:name w:val="Design- Acknowledgement of Country"/>
    <w:basedOn w:val="Normal"/>
    <w:link w:val="Design-AcknowledgementofCountryChar"/>
    <w:uiPriority w:val="26"/>
    <w:rsid w:val="0020417F"/>
    <w:pPr>
      <w:jc w:val="left"/>
    </w:pPr>
    <w:rPr>
      <w:color w:val="000000" w:themeColor="text1"/>
      <w:sz w:val="21"/>
    </w:rPr>
  </w:style>
  <w:style w:type="character" w:customStyle="1" w:styleId="Design-AcknowledgementofCountryChar">
    <w:name w:val="Design- Acknowledgement of Country Char"/>
    <w:basedOn w:val="DefaultParagraphFont"/>
    <w:link w:val="Design-AcknowledgementofCountry"/>
    <w:uiPriority w:val="26"/>
    <w:rsid w:val="0020417F"/>
    <w:rPr>
      <w:color w:val="000000" w:themeColor="text1"/>
      <w:sz w:val="21"/>
      <w:lang w:val="en-AU"/>
    </w:rPr>
  </w:style>
  <w:style w:type="paragraph" w:customStyle="1" w:styleId="00-2505221003DoNotUse">
    <w:name w:val="00- 25.05.22 1003 ( Do Not Use)"/>
    <w:basedOn w:val="Normal"/>
    <w:link w:val="00-2505221003DoNotUseChar"/>
    <w:uiPriority w:val="43"/>
    <w:semiHidden/>
    <w:locked/>
    <w:rsid w:val="00744EAC"/>
  </w:style>
  <w:style w:type="character" w:customStyle="1" w:styleId="00-2505221003DoNotUseChar">
    <w:name w:val="00- 25.05.22 1003 ( Do Not Use) Char"/>
    <w:basedOn w:val="DefaultParagraphFont"/>
    <w:link w:val="00-2505221003DoNotUse"/>
    <w:uiPriority w:val="43"/>
    <w:semiHidden/>
    <w:rsid w:val="00741721"/>
    <w:rPr>
      <w:sz w:val="22"/>
      <w:lang w:val="en-NZ"/>
    </w:rPr>
  </w:style>
  <w:style w:type="paragraph" w:customStyle="1" w:styleId="TableHeader-ColumnBlack">
    <w:name w:val="Table Header - Column (Black)"/>
    <w:basedOn w:val="Normal"/>
    <w:link w:val="TableHeader-ColumnBlackChar"/>
    <w:uiPriority w:val="7"/>
    <w:rsid w:val="0020417F"/>
    <w:pPr>
      <w:spacing w:before="80" w:after="80" w:line="256" w:lineRule="auto"/>
    </w:pPr>
    <w:rPr>
      <w:rFonts w:eastAsia="Arial" w:cs="Times New Roman"/>
      <w:b/>
      <w:color w:val="000000" w:themeColor="text1"/>
      <w:szCs w:val="24"/>
    </w:rPr>
  </w:style>
  <w:style w:type="paragraph" w:customStyle="1" w:styleId="TableHeader-ColumnWhite">
    <w:name w:val="Table Header - Column (White)"/>
    <w:basedOn w:val="TableHeader-ColumnBlack"/>
    <w:link w:val="TableHeader-ColumnWhiteChar"/>
    <w:uiPriority w:val="7"/>
    <w:rsid w:val="0020417F"/>
    <w:rPr>
      <w:bCs/>
      <w:color w:val="FFFFFF" w:themeColor="background1"/>
    </w:rPr>
  </w:style>
  <w:style w:type="character" w:customStyle="1" w:styleId="TableHeader-ColumnBlackChar">
    <w:name w:val="Table Header - Column (Black) Char"/>
    <w:basedOn w:val="DefaultParagraphFont"/>
    <w:link w:val="TableHeader-ColumnBlack"/>
    <w:uiPriority w:val="7"/>
    <w:rsid w:val="0020417F"/>
    <w:rPr>
      <w:rFonts w:eastAsia="Arial" w:cs="Times New Roman"/>
      <w:b/>
      <w:color w:val="000000" w:themeColor="text1"/>
      <w:szCs w:val="24"/>
      <w:lang w:val="en-AU"/>
    </w:rPr>
  </w:style>
  <w:style w:type="character" w:customStyle="1" w:styleId="TableHeader-ColumnWhiteChar">
    <w:name w:val="Table Header - Column (White) Char"/>
    <w:basedOn w:val="TableHeader-ColumnBlackChar"/>
    <w:link w:val="TableHeader-ColumnWhite"/>
    <w:uiPriority w:val="7"/>
    <w:rsid w:val="0020417F"/>
    <w:rPr>
      <w:rFonts w:eastAsia="Arial" w:cs="Times New Roman"/>
      <w:b/>
      <w:bCs/>
      <w:color w:val="FFFFFF" w:themeColor="background1"/>
      <w:szCs w:val="24"/>
      <w:lang w:val="en-AU"/>
    </w:rPr>
  </w:style>
  <w:style w:type="paragraph" w:customStyle="1" w:styleId="Bullet-Number">
    <w:name w:val="Bullet - Number"/>
    <w:basedOn w:val="Normal"/>
    <w:link w:val="Bullet-NumberChar"/>
    <w:uiPriority w:val="2"/>
    <w:qFormat/>
    <w:rsid w:val="00B63556"/>
    <w:pPr>
      <w:numPr>
        <w:numId w:val="16"/>
      </w:numPr>
      <w:spacing w:after="120"/>
    </w:pPr>
    <w:rPr>
      <w:lang w:val="en-NZ"/>
    </w:rPr>
  </w:style>
  <w:style w:type="numbering" w:customStyle="1" w:styleId="Headings">
    <w:name w:val="Headings"/>
    <w:uiPriority w:val="99"/>
    <w:rsid w:val="00730304"/>
    <w:pPr>
      <w:numPr>
        <w:numId w:val="15"/>
      </w:numPr>
    </w:pPr>
  </w:style>
  <w:style w:type="character" w:styleId="FootnoteReference">
    <w:name w:val="footnote reference"/>
    <w:aliases w:val="(NECG) Footnote Reference,(NECG) Footnote Reference1,(NECG) Footnote Reference2,o,Footnote Reference 1"/>
    <w:basedOn w:val="DefaultParagraphFont"/>
    <w:uiPriority w:val="99"/>
    <w:rsid w:val="0020417F"/>
    <w:rPr>
      <w:vertAlign w:val="superscript"/>
    </w:rPr>
  </w:style>
  <w:style w:type="paragraph" w:customStyle="1" w:styleId="Heading1NotinTOCNotNumbered">
    <w:name w:val="Heading 1 (Not in TOC) (Not Numbered)"/>
    <w:basedOn w:val="Heading1NotNumbered"/>
    <w:next w:val="Normal"/>
    <w:uiPriority w:val="4"/>
    <w:rsid w:val="0020417F"/>
    <w:pPr>
      <w:outlineLvl w:val="9"/>
    </w:pPr>
  </w:style>
  <w:style w:type="paragraph" w:customStyle="1" w:styleId="Heading2NotinTOCNotNumbered">
    <w:name w:val="Heading 2 (Not in TOC) (Not Numbered)"/>
    <w:basedOn w:val="Heading2NotNumbered"/>
    <w:next w:val="Normal"/>
    <w:uiPriority w:val="4"/>
    <w:rsid w:val="0020417F"/>
    <w:pPr>
      <w:ind w:left="0" w:firstLine="0"/>
    </w:pPr>
  </w:style>
  <w:style w:type="character" w:styleId="EndnoteReference">
    <w:name w:val="endnote reference"/>
    <w:basedOn w:val="DefaultParagraphFont"/>
    <w:uiPriority w:val="99"/>
    <w:unhideWhenUsed/>
    <w:qFormat/>
    <w:rsid w:val="0020417F"/>
    <w:rPr>
      <w:vertAlign w:val="superscript"/>
    </w:rPr>
  </w:style>
  <w:style w:type="paragraph" w:styleId="NoSpacing">
    <w:name w:val="No Spacing"/>
    <w:aliases w:val="Box text,A+C Body text (No Para Spacing)"/>
    <w:basedOn w:val="Normal"/>
    <w:link w:val="NoSpacingChar"/>
    <w:uiPriority w:val="1"/>
    <w:qFormat/>
    <w:rsid w:val="00BC7050"/>
    <w:pPr>
      <w:spacing w:before="120" w:after="120"/>
      <w:ind w:left="142" w:right="142"/>
    </w:pPr>
    <w:rPr>
      <w:sz w:val="21"/>
      <w:szCs w:val="21"/>
      <w:lang w:val="en-NZ"/>
    </w:rPr>
  </w:style>
  <w:style w:type="paragraph" w:customStyle="1" w:styleId="Design-HeaderGreyProjectName">
    <w:name w:val="Design- Header (Grey) Project Name"/>
    <w:basedOn w:val="Header"/>
    <w:uiPriority w:val="21"/>
    <w:rsid w:val="0020417F"/>
    <w:pPr>
      <w:contextualSpacing/>
    </w:pPr>
    <w:rPr>
      <w:color w:val="808080" w:themeColor="background1" w:themeShade="80"/>
    </w:rPr>
  </w:style>
  <w:style w:type="table" w:customStyle="1" w:styleId="ACTableDesign1White">
    <w:name w:val="A+C Table Design (1) (White)"/>
    <w:basedOn w:val="ACTableDesign1Default"/>
    <w:uiPriority w:val="99"/>
    <w:rsid w:val="0020417F"/>
    <w:tblPr/>
    <w:tblStylePr w:type="firstRow">
      <w:pPr>
        <w:wordWrap/>
        <w:spacing w:beforeLines="0" w:before="120" w:beforeAutospacing="0" w:afterLines="0" w:after="120" w:afterAutospacing="0" w:line="240" w:lineRule="auto"/>
        <w:jc w:val="left"/>
      </w:pPr>
      <w:rPr>
        <w:rFonts w:ascii="Arial" w:hAnsi="Arial"/>
        <w:b/>
        <w:color w:val="FFFFFF" w:themeColor="background1"/>
        <w:sz w:val="21"/>
      </w:rPr>
      <w:tblPr/>
      <w:trPr>
        <w:tblHeader/>
      </w:trPr>
      <w:tcPr>
        <w:shd w:val="clear" w:color="auto" w:fill="357DBE"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accent4"/>
      </w:tcPr>
    </w:tblStylePr>
  </w:style>
  <w:style w:type="table" w:styleId="TableGrid1">
    <w:name w:val="Table Grid 1"/>
    <w:basedOn w:val="TableNormal"/>
    <w:uiPriority w:val="99"/>
    <w:semiHidden/>
    <w:unhideWhenUsed/>
    <w:rsid w:val="0020417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Design-CoverDatewhite">
    <w:name w:val="Design- Cover Date (white)"/>
    <w:basedOn w:val="Normal"/>
    <w:link w:val="Design-CoverDatewhiteChar"/>
    <w:uiPriority w:val="39"/>
    <w:rsid w:val="0020417F"/>
    <w:pPr>
      <w:spacing w:before="120" w:after="120" w:line="192" w:lineRule="auto"/>
      <w:jc w:val="left"/>
    </w:pPr>
    <w:rPr>
      <w:i/>
      <w:iCs/>
      <w:color w:val="FFFFFF" w:themeColor="background1"/>
      <w:sz w:val="28"/>
      <w:szCs w:val="28"/>
      <w:lang w:val="en-GB"/>
    </w:rPr>
  </w:style>
  <w:style w:type="paragraph" w:customStyle="1" w:styleId="Bullet3">
    <w:name w:val="Bullet 3"/>
    <w:basedOn w:val="Bullet1"/>
    <w:uiPriority w:val="1"/>
    <w:qFormat/>
    <w:rsid w:val="00E81671"/>
    <w:pPr>
      <w:ind w:left="2160"/>
    </w:pPr>
  </w:style>
  <w:style w:type="paragraph" w:customStyle="1" w:styleId="Design-BackCoverText">
    <w:name w:val="Design- Back Cover Text"/>
    <w:basedOn w:val="Bullet1"/>
    <w:uiPriority w:val="25"/>
    <w:rsid w:val="0020417F"/>
    <w:pPr>
      <w:ind w:left="431" w:hanging="431"/>
    </w:pPr>
    <w:rPr>
      <w:color w:val="FFFFFF" w:themeColor="background1"/>
    </w:rPr>
  </w:style>
  <w:style w:type="character" w:customStyle="1" w:styleId="Design-CoverDatewhiteChar">
    <w:name w:val="Design- Cover Date (white) Char"/>
    <w:basedOn w:val="DefaultParagraphFont"/>
    <w:link w:val="Design-CoverDatewhite"/>
    <w:uiPriority w:val="39"/>
    <w:rsid w:val="0020417F"/>
    <w:rPr>
      <w:i/>
      <w:iCs/>
      <w:color w:val="FFFFFF" w:themeColor="background1"/>
      <w:sz w:val="28"/>
      <w:szCs w:val="28"/>
      <w:lang w:val="en-GB"/>
    </w:rPr>
  </w:style>
  <w:style w:type="paragraph" w:customStyle="1" w:styleId="ACQuoteLessthan40Words">
    <w:name w:val="A+C Quote (Less than 40 Words)"/>
    <w:basedOn w:val="Quote"/>
    <w:uiPriority w:val="1"/>
    <w:rsid w:val="00D5384A"/>
    <w:pPr>
      <w:ind w:left="0"/>
    </w:pPr>
  </w:style>
  <w:style w:type="table" w:customStyle="1" w:styleId="ACTableDesign2">
    <w:name w:val="A+C Table Design (2)"/>
    <w:basedOn w:val="ACTableDesign1Default"/>
    <w:uiPriority w:val="99"/>
    <w:rsid w:val="0020417F"/>
    <w:tbl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36424A" w:themeFill="background2"/>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30A6BC" w:themeFill="accent5"/>
      </w:tcPr>
    </w:tblStylePr>
  </w:style>
  <w:style w:type="paragraph" w:customStyle="1" w:styleId="TableFigure-Header">
    <w:name w:val="Table/Figure - Header"/>
    <w:next w:val="Normal"/>
    <w:link w:val="TableFigure-HeaderChar"/>
    <w:uiPriority w:val="5"/>
    <w:qFormat/>
    <w:rsid w:val="00D128B7"/>
    <w:pPr>
      <w:spacing w:before="120" w:after="60" w:line="240" w:lineRule="auto"/>
    </w:pPr>
    <w:rPr>
      <w:b/>
      <w:sz w:val="21"/>
      <w:szCs w:val="20"/>
      <w:lang w:val="en-NZ"/>
    </w:rPr>
  </w:style>
  <w:style w:type="character" w:customStyle="1" w:styleId="TableFigure-HeaderChar">
    <w:name w:val="Table/Figure - Header Char"/>
    <w:basedOn w:val="DefaultParagraphFont"/>
    <w:link w:val="TableFigure-Header"/>
    <w:uiPriority w:val="5"/>
    <w:rsid w:val="00D128B7"/>
    <w:rPr>
      <w:b/>
      <w:sz w:val="21"/>
      <w:szCs w:val="20"/>
      <w:lang w:val="en-NZ"/>
    </w:rPr>
  </w:style>
  <w:style w:type="paragraph" w:styleId="ListParagraph">
    <w:name w:val="List Paragraph"/>
    <w:aliases w:val="Bullet point,Bullets,CV text,Dot pt,F5 List Paragraph,FooterText,L,List Paragraph1,List Paragraph11,List Paragraph111,List Paragraph2,Medium Grid 1 - Accent 21,NAST Quote,NFP GP Bulleted List,Numbered Paragraph,Recommendation,Table text,列"/>
    <w:basedOn w:val="Normal"/>
    <w:link w:val="ListParagraphChar"/>
    <w:uiPriority w:val="34"/>
    <w:qFormat/>
    <w:rsid w:val="00B54CE8"/>
    <w:pPr>
      <w:ind w:left="720"/>
      <w:contextualSpacing/>
    </w:pPr>
  </w:style>
  <w:style w:type="table" w:customStyle="1" w:styleId="ACTableDesign1Default">
    <w:name w:val="A+C Table Design (1) (Default)"/>
    <w:basedOn w:val="TableNormal"/>
    <w:uiPriority w:val="99"/>
    <w:rsid w:val="0020417F"/>
    <w:pPr>
      <w:spacing w:before="60" w:after="60" w:line="240" w:lineRule="auto"/>
    </w:pPr>
    <w:rPr>
      <w:color w:val="36424A" w:themeColor="background2"/>
      <w:sz w:val="21"/>
      <w:szCs w:val="20"/>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rPr>
      <w:cantSplit/>
    </w:trPr>
    <w:tcPr>
      <w:vAlign w:val="center"/>
    </w:tcPr>
    <w:tblStylePr w:type="firstRow">
      <w:pPr>
        <w:wordWrap/>
        <w:spacing w:beforeLines="0" w:before="120" w:beforeAutospacing="0" w:afterLines="0" w:after="120" w:afterAutospacing="0"/>
        <w:jc w:val="left"/>
      </w:pPr>
      <w:rPr>
        <w:rFonts w:ascii="Arial" w:hAnsi="Arial"/>
        <w:b/>
        <w:color w:val="000000" w:themeColor="text1"/>
        <w:sz w:val="21"/>
      </w:rPr>
      <w:tblPr/>
      <w:trPr>
        <w:tblHeader/>
      </w:trPr>
      <w:tcPr>
        <w:shd w:val="clear" w:color="auto" w:fill="357DBE"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text2"/>
      </w:tcPr>
    </w:tblStylePr>
  </w:style>
  <w:style w:type="table" w:styleId="ListTable2-Accent6">
    <w:name w:val="List Table 2 Accent 6"/>
    <w:basedOn w:val="TableNormal"/>
    <w:uiPriority w:val="47"/>
    <w:rsid w:val="0020417F"/>
    <w:pPr>
      <w:spacing w:after="0" w:line="240" w:lineRule="auto"/>
    </w:pPr>
    <w:tblPr>
      <w:tblStyleRowBandSize w:val="1"/>
      <w:tblStyleColBandSize w:val="1"/>
      <w:tblBorders>
        <w:top w:val="single" w:sz="4" w:space="0" w:color="E8F5F9" w:themeColor="accent6" w:themeTint="99"/>
        <w:bottom w:val="single" w:sz="4" w:space="0" w:color="E8F5F9" w:themeColor="accent6" w:themeTint="99"/>
        <w:insideH w:val="single" w:sz="4" w:space="0" w:color="E8F5F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FBFD" w:themeFill="accent6" w:themeFillTint="33"/>
      </w:tcPr>
    </w:tblStylePr>
    <w:tblStylePr w:type="band1Horz">
      <w:tblPr/>
      <w:tcPr>
        <w:shd w:val="clear" w:color="auto" w:fill="F7FBFD" w:themeFill="accent6" w:themeFillTint="33"/>
      </w:tcPr>
    </w:tblStylePr>
  </w:style>
  <w:style w:type="table" w:customStyle="1" w:styleId="ACTableDesign4">
    <w:name w:val="A+C Table Design (4)"/>
    <w:basedOn w:val="ACTableDesign1Default"/>
    <w:uiPriority w:val="99"/>
    <w:rsid w:val="0020417F"/>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blStylePr w:type="firstRow">
      <w:pPr>
        <w:wordWrap/>
        <w:spacing w:beforeLines="0" w:before="120" w:beforeAutospacing="0" w:afterLines="0" w:after="120" w:afterAutospacing="0"/>
        <w:jc w:val="left"/>
      </w:pPr>
      <w:rPr>
        <w:rFonts w:ascii="Arial" w:hAnsi="Arial"/>
        <w:b/>
        <w:color w:val="000000" w:themeColor="text1"/>
        <w:sz w:val="21"/>
      </w:rPr>
      <w:tblPr/>
      <w:trPr>
        <w:tblHeader/>
      </w:trPr>
      <w:tcPr>
        <w:tcBorders>
          <w:top w:val="nil"/>
          <w:left w:val="nil"/>
          <w:bottom w:val="single" w:sz="18" w:space="0" w:color="357DBE" w:themeColor="accent1"/>
          <w:right w:val="nil"/>
          <w:insideH w:val="nil"/>
          <w:insideV w:val="nil"/>
        </w:tcBorders>
        <w:shd w:val="clear" w:color="auto" w:fill="FFFFFF" w:themeFill="background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Pr/>
      <w:tcPr>
        <w:tcBorders>
          <w:top w:val="nil"/>
          <w:left w:val="single" w:sz="8" w:space="0" w:color="FFFFFF" w:themeColor="background1"/>
          <w:bottom w:val="nil"/>
          <w:right w:val="single" w:sz="8" w:space="0" w:color="FFFFFF" w:themeColor="background1"/>
          <w:insideH w:val="nil"/>
          <w:insideV w:val="nil"/>
          <w:tl2br w:val="nil"/>
          <w:tr2bl w:val="nil"/>
        </w:tcBorders>
      </w:tcPr>
    </w:tblStylePr>
    <w:tblStylePr w:type="band2Vert">
      <w:rPr>
        <w:rFonts w:ascii="Arial" w:hAnsi="Arial"/>
        <w:sz w:val="21"/>
      </w:rPr>
      <w:tblPr/>
      <w:tcPr>
        <w:tcBorders>
          <w:left w:val="single" w:sz="4" w:space="0" w:color="FFFFFF" w:themeColor="background1"/>
          <w:right w:val="single" w:sz="4" w:space="0" w:color="FFFFFF" w:themeColor="background1"/>
        </w:tcBorders>
      </w:tcPr>
    </w:tblStylePr>
    <w:tblStylePr w:type="band1Horz">
      <w:rPr>
        <w:rFonts w:ascii="Arial" w:hAnsi="Arial"/>
        <w:sz w:val="21"/>
      </w:rPr>
      <w:tblPr/>
      <w:tcPr>
        <w:shd w:val="clear" w:color="auto" w:fill="EBECED" w:themeFill="accent4"/>
      </w:tcPr>
    </w:tblStylePr>
    <w:tblStylePr w:type="band2Horz">
      <w:rPr>
        <w:rFonts w:ascii="Arial" w:hAnsi="Arial"/>
        <w:sz w:val="21"/>
      </w:rPr>
      <w:tblPr/>
      <w:tcPr>
        <w:shd w:val="clear" w:color="auto" w:fill="FFFFFF" w:themeFill="background1"/>
      </w:tcPr>
    </w:tblStylePr>
  </w:style>
  <w:style w:type="table" w:customStyle="1" w:styleId="ACTableStyle5GlossaryTable">
    <w:name w:val="A+C Table Style (5) Glossary Table"/>
    <w:basedOn w:val="ACTableDesign1Default"/>
    <w:uiPriority w:val="99"/>
    <w:rsid w:val="0020417F"/>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uto"/>
    </w:tc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357DBE"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30A6BC" w:themeFill="accent5"/>
      </w:tcPr>
    </w:tblStylePr>
  </w:style>
  <w:style w:type="paragraph" w:styleId="CommentText">
    <w:name w:val="annotation text"/>
    <w:basedOn w:val="Normal"/>
    <w:link w:val="CommentTextChar"/>
    <w:uiPriority w:val="99"/>
    <w:rsid w:val="0020417F"/>
    <w:pPr>
      <w:spacing w:line="240" w:lineRule="auto"/>
    </w:pPr>
  </w:style>
  <w:style w:type="character" w:customStyle="1" w:styleId="CommentTextChar">
    <w:name w:val="Comment Text Char"/>
    <w:basedOn w:val="DefaultParagraphFont"/>
    <w:link w:val="CommentText"/>
    <w:uiPriority w:val="99"/>
    <w:rsid w:val="0020417F"/>
    <w:rPr>
      <w:lang w:val="en-AU"/>
    </w:rPr>
  </w:style>
  <w:style w:type="character" w:customStyle="1" w:styleId="NoSpacingChar">
    <w:name w:val="No Spacing Char"/>
    <w:aliases w:val="Box text Char,A+C Body text (No Para Spacing) Char"/>
    <w:basedOn w:val="DefaultParagraphFont"/>
    <w:link w:val="NoSpacing"/>
    <w:uiPriority w:val="1"/>
    <w:rsid w:val="00BC7050"/>
    <w:rPr>
      <w:sz w:val="21"/>
      <w:szCs w:val="21"/>
      <w:lang w:val="en-NZ"/>
    </w:rPr>
  </w:style>
  <w:style w:type="paragraph" w:customStyle="1" w:styleId="TableText">
    <w:name w:val="Table Text"/>
    <w:uiPriority w:val="1"/>
    <w:qFormat/>
    <w:rsid w:val="00D5384A"/>
    <w:pPr>
      <w:spacing w:before="60" w:after="60" w:line="240" w:lineRule="auto"/>
    </w:pPr>
    <w:rPr>
      <w:sz w:val="21"/>
      <w:szCs w:val="20"/>
      <w:lang w:val="en-AU"/>
    </w:rPr>
  </w:style>
  <w:style w:type="paragraph" w:customStyle="1" w:styleId="TOCHeader">
    <w:name w:val="TOC Header"/>
    <w:next w:val="Normal"/>
    <w:uiPriority w:val="43"/>
    <w:semiHidden/>
    <w:rsid w:val="0020417F"/>
    <w:rPr>
      <w:rFonts w:asciiTheme="majorHAnsi" w:hAnsiTheme="majorHAnsi"/>
      <w:color w:val="36424A" w:themeColor="accent2"/>
      <w:sz w:val="36"/>
      <w:szCs w:val="24"/>
    </w:rPr>
  </w:style>
  <w:style w:type="paragraph" w:customStyle="1" w:styleId="Bullet-NumberAlpha">
    <w:name w:val="Bullet - Number Alpha"/>
    <w:basedOn w:val="Bullet-Number"/>
    <w:link w:val="Bullet-NumberAlphaChar"/>
    <w:uiPriority w:val="2"/>
    <w:qFormat/>
    <w:rsid w:val="00A14992"/>
    <w:pPr>
      <w:ind w:left="850"/>
    </w:pPr>
  </w:style>
  <w:style w:type="numbering" w:customStyle="1" w:styleId="BullettedList">
    <w:name w:val="BullettedList"/>
    <w:uiPriority w:val="99"/>
    <w:rsid w:val="00A14992"/>
    <w:pPr>
      <w:numPr>
        <w:numId w:val="14"/>
      </w:numPr>
    </w:pPr>
  </w:style>
  <w:style w:type="paragraph" w:customStyle="1" w:styleId="Bullet-NumberAlpha2">
    <w:name w:val="Bullet - Number Alpha 2"/>
    <w:basedOn w:val="Bullet-NumberAlpha"/>
    <w:link w:val="Bullet-NumberAlpha2Char"/>
    <w:uiPriority w:val="2"/>
    <w:qFormat/>
    <w:rsid w:val="00A14992"/>
    <w:pPr>
      <w:ind w:left="1275"/>
    </w:pPr>
  </w:style>
  <w:style w:type="character" w:customStyle="1" w:styleId="Bullet-NumberChar">
    <w:name w:val="Bullet - Number Char"/>
    <w:basedOn w:val="Bullet1Char"/>
    <w:link w:val="Bullet-Number"/>
    <w:uiPriority w:val="2"/>
    <w:rsid w:val="00A6061E"/>
    <w:rPr>
      <w:lang w:val="en-NZ"/>
    </w:rPr>
  </w:style>
  <w:style w:type="character" w:customStyle="1" w:styleId="Bullet-NumberAlphaChar">
    <w:name w:val="Bullet - Number Alpha Char"/>
    <w:basedOn w:val="Bullet-NumberChar"/>
    <w:link w:val="Bullet-NumberAlpha"/>
    <w:uiPriority w:val="2"/>
    <w:rsid w:val="00A14992"/>
    <w:rPr>
      <w:lang w:val="en-NZ"/>
    </w:rPr>
  </w:style>
  <w:style w:type="character" w:customStyle="1" w:styleId="Bullet-NumberAlpha2Char">
    <w:name w:val="Bullet - Number Alpha 2 Char"/>
    <w:basedOn w:val="Bullet-NumberAlphaChar"/>
    <w:link w:val="Bullet-NumberAlpha2"/>
    <w:uiPriority w:val="2"/>
    <w:rsid w:val="00A14992"/>
    <w:rPr>
      <w:lang w:val="en-NZ"/>
    </w:rPr>
  </w:style>
  <w:style w:type="paragraph" w:customStyle="1" w:styleId="Bullet1-Last">
    <w:name w:val="Bullet 1 - Last"/>
    <w:basedOn w:val="Bullet1"/>
    <w:uiPriority w:val="3"/>
    <w:semiHidden/>
    <w:qFormat/>
    <w:rsid w:val="00087882"/>
    <w:pPr>
      <w:ind w:left="431" w:hanging="431"/>
    </w:pPr>
    <w:rPr>
      <w:rFonts w:ascii="Arial" w:hAnsi="Arial"/>
    </w:rPr>
  </w:style>
  <w:style w:type="paragraph" w:customStyle="1" w:styleId="Bullet4-Last">
    <w:name w:val="Bullet 4 - Last"/>
    <w:basedOn w:val="Bullet4"/>
    <w:uiPriority w:val="3"/>
    <w:semiHidden/>
    <w:qFormat/>
    <w:rsid w:val="00087882"/>
    <w:pPr>
      <w:ind w:left="3600"/>
    </w:pPr>
    <w:rPr>
      <w:rFonts w:ascii="Arial" w:hAnsi="Arial"/>
    </w:rPr>
  </w:style>
  <w:style w:type="paragraph" w:customStyle="1" w:styleId="TableFigure-Notes">
    <w:name w:val="Table/Figure - Notes"/>
    <w:basedOn w:val="Normal"/>
    <w:link w:val="TableFigure-NotesChar"/>
    <w:uiPriority w:val="39"/>
    <w:rsid w:val="00D5384A"/>
    <w:rPr>
      <w:sz w:val="18"/>
      <w:szCs w:val="18"/>
    </w:rPr>
  </w:style>
  <w:style w:type="character" w:customStyle="1" w:styleId="TableFigure-NotesChar">
    <w:name w:val="Table/Figure - Notes Char"/>
    <w:basedOn w:val="DefaultParagraphFont"/>
    <w:link w:val="TableFigure-Notes"/>
    <w:uiPriority w:val="39"/>
    <w:rsid w:val="00D5384A"/>
    <w:rPr>
      <w:sz w:val="18"/>
      <w:szCs w:val="18"/>
      <w:lang w:val="en-AU"/>
    </w:rPr>
  </w:style>
  <w:style w:type="paragraph" w:customStyle="1" w:styleId="Bullet-Alpha">
    <w:name w:val="Bullet - Alpha"/>
    <w:basedOn w:val="Bullet-Number"/>
    <w:uiPriority w:val="2"/>
    <w:rsid w:val="00087882"/>
    <w:pPr>
      <w:tabs>
        <w:tab w:val="num" w:pos="360"/>
      </w:tabs>
      <w:ind w:left="864" w:hanging="432"/>
    </w:pPr>
    <w:rPr>
      <w:rFonts w:ascii="Arial" w:hAnsi="Arial"/>
    </w:rPr>
  </w:style>
  <w:style w:type="paragraph" w:styleId="BodyText">
    <w:name w:val="Body Text"/>
    <w:basedOn w:val="Normal"/>
    <w:link w:val="BodyTextChar"/>
    <w:unhideWhenUsed/>
    <w:qFormat/>
    <w:rsid w:val="004D44C4"/>
    <w:pPr>
      <w:spacing w:after="120"/>
    </w:pPr>
  </w:style>
  <w:style w:type="character" w:customStyle="1" w:styleId="BodyTextChar">
    <w:name w:val="Body Text Char"/>
    <w:basedOn w:val="DefaultParagraphFont"/>
    <w:link w:val="BodyText"/>
    <w:rsid w:val="004D44C4"/>
  </w:style>
  <w:style w:type="paragraph" w:customStyle="1" w:styleId="CoverTitle">
    <w:name w:val="Cover Title"/>
    <w:link w:val="CoverTitleChar"/>
    <w:rsid w:val="002F63AE"/>
    <w:pPr>
      <w:spacing w:before="120" w:after="120" w:line="192" w:lineRule="auto"/>
    </w:pPr>
    <w:rPr>
      <w:rFonts w:ascii="Arial" w:hAnsi="Arial"/>
      <w:b/>
      <w:color w:val="FFFFFF" w:themeColor="background1"/>
      <w:sz w:val="80"/>
      <w:szCs w:val="96"/>
    </w:rPr>
  </w:style>
  <w:style w:type="paragraph" w:customStyle="1" w:styleId="CoverSubtitle">
    <w:name w:val="Cover Subtitle"/>
    <w:basedOn w:val="CoverTitle"/>
    <w:link w:val="CoverSubtitleChar"/>
    <w:uiPriority w:val="39"/>
    <w:qFormat/>
    <w:rsid w:val="002F63AE"/>
    <w:rPr>
      <w:b w:val="0"/>
      <w:sz w:val="36"/>
      <w:szCs w:val="36"/>
      <w:lang w:val="en-GB"/>
    </w:rPr>
  </w:style>
  <w:style w:type="character" w:customStyle="1" w:styleId="CoverTitleChar">
    <w:name w:val="Cover Title Char"/>
    <w:basedOn w:val="DefaultParagraphFont"/>
    <w:link w:val="CoverTitle"/>
    <w:rsid w:val="002F63AE"/>
    <w:rPr>
      <w:rFonts w:ascii="Arial" w:hAnsi="Arial"/>
      <w:b/>
      <w:color w:val="FFFFFF" w:themeColor="background1"/>
      <w:sz w:val="80"/>
      <w:szCs w:val="96"/>
    </w:rPr>
  </w:style>
  <w:style w:type="character" w:customStyle="1" w:styleId="CoverSubtitleChar">
    <w:name w:val="Cover Subtitle Char"/>
    <w:basedOn w:val="CoverTitleChar"/>
    <w:link w:val="CoverSubtitle"/>
    <w:uiPriority w:val="39"/>
    <w:rsid w:val="002F63AE"/>
    <w:rPr>
      <w:rFonts w:ascii="Arial" w:hAnsi="Arial"/>
      <w:b w:val="0"/>
      <w:color w:val="FFFFFF" w:themeColor="background1"/>
      <w:sz w:val="36"/>
      <w:szCs w:val="36"/>
      <w:lang w:val="en-GB"/>
    </w:rPr>
  </w:style>
  <w:style w:type="table" w:styleId="GridTable4-Accent3">
    <w:name w:val="Grid Table 4 Accent 3"/>
    <w:basedOn w:val="TableNormal"/>
    <w:uiPriority w:val="49"/>
    <w:rsid w:val="00651A28"/>
    <w:pPr>
      <w:spacing w:after="0" w:line="240" w:lineRule="auto"/>
    </w:pPr>
    <w:tblPr>
      <w:tblStyleRowBandSize w:val="1"/>
      <w:tblStyleColBandSize w:val="1"/>
      <w:tblBorders>
        <w:top w:val="single" w:sz="4" w:space="0" w:color="CA9C8A" w:themeColor="accent3" w:themeTint="99"/>
        <w:left w:val="single" w:sz="4" w:space="0" w:color="CA9C8A" w:themeColor="accent3" w:themeTint="99"/>
        <w:bottom w:val="single" w:sz="4" w:space="0" w:color="CA9C8A" w:themeColor="accent3" w:themeTint="99"/>
        <w:right w:val="single" w:sz="4" w:space="0" w:color="CA9C8A" w:themeColor="accent3" w:themeTint="99"/>
        <w:insideH w:val="single" w:sz="4" w:space="0" w:color="CA9C8A" w:themeColor="accent3" w:themeTint="99"/>
        <w:insideV w:val="single" w:sz="4" w:space="0" w:color="CA9C8A" w:themeColor="accent3" w:themeTint="99"/>
      </w:tblBorders>
    </w:tblPr>
    <w:tblStylePr w:type="firstRow">
      <w:rPr>
        <w:b/>
        <w:bCs/>
        <w:color w:val="FFFFFF" w:themeColor="background1"/>
      </w:rPr>
      <w:tblPr/>
      <w:tcPr>
        <w:tcBorders>
          <w:top w:val="single" w:sz="4" w:space="0" w:color="9E6047" w:themeColor="accent3"/>
          <w:left w:val="single" w:sz="4" w:space="0" w:color="9E6047" w:themeColor="accent3"/>
          <w:bottom w:val="single" w:sz="4" w:space="0" w:color="9E6047" w:themeColor="accent3"/>
          <w:right w:val="single" w:sz="4" w:space="0" w:color="9E6047" w:themeColor="accent3"/>
          <w:insideH w:val="nil"/>
          <w:insideV w:val="nil"/>
        </w:tcBorders>
        <w:shd w:val="clear" w:color="auto" w:fill="9E6047" w:themeFill="accent3"/>
      </w:tcPr>
    </w:tblStylePr>
    <w:tblStylePr w:type="lastRow">
      <w:rPr>
        <w:b/>
        <w:bCs/>
      </w:rPr>
      <w:tblPr/>
      <w:tcPr>
        <w:tcBorders>
          <w:top w:val="double" w:sz="4" w:space="0" w:color="9E6047" w:themeColor="accent3"/>
        </w:tcBorders>
      </w:tcPr>
    </w:tblStylePr>
    <w:tblStylePr w:type="firstCol">
      <w:rPr>
        <w:b/>
        <w:bCs/>
      </w:rPr>
    </w:tblStylePr>
    <w:tblStylePr w:type="lastCol">
      <w:rPr>
        <w:b/>
        <w:bCs/>
      </w:rPr>
    </w:tblStylePr>
    <w:tblStylePr w:type="band1Vert">
      <w:tblPr/>
      <w:tcPr>
        <w:shd w:val="clear" w:color="auto" w:fill="EDDED8" w:themeFill="accent3" w:themeFillTint="33"/>
      </w:tcPr>
    </w:tblStylePr>
    <w:tblStylePr w:type="band1Horz">
      <w:tblPr/>
      <w:tcPr>
        <w:shd w:val="clear" w:color="auto" w:fill="EDDED8" w:themeFill="accent3" w:themeFillTint="33"/>
      </w:tcPr>
    </w:tblStylePr>
  </w:style>
  <w:style w:type="table" w:styleId="ListTable3-Accent3">
    <w:name w:val="List Table 3 Accent 3"/>
    <w:basedOn w:val="TableNormal"/>
    <w:uiPriority w:val="48"/>
    <w:rsid w:val="00BF5BC9"/>
    <w:pPr>
      <w:spacing w:after="0" w:line="240" w:lineRule="auto"/>
    </w:pPr>
    <w:tblPr>
      <w:tblStyleRowBandSize w:val="1"/>
      <w:tblStyleColBandSize w:val="1"/>
      <w:tblBorders>
        <w:top w:val="single" w:sz="4" w:space="0" w:color="9E6047" w:themeColor="accent3"/>
        <w:left w:val="single" w:sz="4" w:space="0" w:color="9E6047" w:themeColor="accent3"/>
        <w:bottom w:val="single" w:sz="4" w:space="0" w:color="9E6047" w:themeColor="accent3"/>
        <w:right w:val="single" w:sz="4" w:space="0" w:color="9E6047" w:themeColor="accent3"/>
      </w:tblBorders>
    </w:tblPr>
    <w:tblStylePr w:type="firstRow">
      <w:rPr>
        <w:b/>
        <w:bCs/>
        <w:color w:val="FFFFFF" w:themeColor="background1"/>
      </w:rPr>
      <w:tblPr/>
      <w:tcPr>
        <w:shd w:val="clear" w:color="auto" w:fill="9E6047" w:themeFill="accent3"/>
      </w:tcPr>
    </w:tblStylePr>
    <w:tblStylePr w:type="lastRow">
      <w:rPr>
        <w:b/>
        <w:bCs/>
      </w:rPr>
      <w:tblPr/>
      <w:tcPr>
        <w:tcBorders>
          <w:top w:val="double" w:sz="4" w:space="0" w:color="9E60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E6047" w:themeColor="accent3"/>
          <w:right w:val="single" w:sz="4" w:space="0" w:color="9E6047" w:themeColor="accent3"/>
        </w:tcBorders>
      </w:tcPr>
    </w:tblStylePr>
    <w:tblStylePr w:type="band1Horz">
      <w:tblPr/>
      <w:tcPr>
        <w:tcBorders>
          <w:top w:val="single" w:sz="4" w:space="0" w:color="9E6047" w:themeColor="accent3"/>
          <w:bottom w:val="single" w:sz="4" w:space="0" w:color="9E60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E6047" w:themeColor="accent3"/>
          <w:left w:val="nil"/>
        </w:tcBorders>
      </w:tcPr>
    </w:tblStylePr>
    <w:tblStylePr w:type="swCell">
      <w:tblPr/>
      <w:tcPr>
        <w:tcBorders>
          <w:top w:val="double" w:sz="4" w:space="0" w:color="9E6047" w:themeColor="accent3"/>
          <w:right w:val="nil"/>
        </w:tcBorders>
      </w:tcPr>
    </w:tblStylePr>
  </w:style>
  <w:style w:type="table" w:customStyle="1" w:styleId="ACTableDesign">
    <w:name w:val="A+C Table Design"/>
    <w:basedOn w:val="TableNormal"/>
    <w:uiPriority w:val="99"/>
    <w:rsid w:val="00514B02"/>
    <w:pPr>
      <w:spacing w:before="120" w:after="120" w:line="240" w:lineRule="auto"/>
    </w:pPr>
    <w:rPr>
      <w:color w:val="36424A" w:themeColor="background2"/>
      <w:sz w:val="21"/>
      <w:szCs w:val="20"/>
    </w:rPr>
    <w:tblPr>
      <w:tblStyleRowBandSize w:val="1"/>
      <w:tblStyleColBandSize w:val="1"/>
      <w:tblBorders>
        <w:top w:val="single" w:sz="2" w:space="0" w:color="36424A" w:themeColor="accent2"/>
        <w:left w:val="single" w:sz="2" w:space="0" w:color="36424A" w:themeColor="accent2"/>
        <w:bottom w:val="single" w:sz="2" w:space="0" w:color="36424A" w:themeColor="accent2"/>
        <w:right w:val="single" w:sz="2" w:space="0" w:color="36424A" w:themeColor="accent2"/>
        <w:insideH w:val="single" w:sz="2" w:space="0" w:color="36424A" w:themeColor="accent2"/>
        <w:insideV w:val="single" w:sz="2" w:space="0" w:color="36424A" w:themeColor="accent2"/>
      </w:tblBorders>
    </w:tblPr>
    <w:tcPr>
      <w:vAlign w:val="center"/>
    </w:tcPr>
    <w:tblStylePr w:type="firstRow">
      <w:pPr>
        <w:jc w:val="left"/>
      </w:pPr>
      <w:rPr>
        <w:rFonts w:ascii="Arial" w:hAnsi="Arial"/>
        <w:b/>
        <w:color w:val="000000" w:themeColor="text1"/>
        <w:sz w:val="21"/>
      </w:rPr>
      <w:tblPr/>
      <w:tcPr>
        <w:shd w:val="clear" w:color="auto" w:fill="357DBE"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text2"/>
      </w:tcPr>
    </w:tblStylePr>
  </w:style>
  <w:style w:type="paragraph" w:customStyle="1" w:styleId="List-AlphanumericLvl1">
    <w:name w:val="List - Alphanumeric Lvl 1"/>
    <w:basedOn w:val="Bullet-Number"/>
    <w:link w:val="List-AlphanumericLvl1Char"/>
    <w:autoRedefine/>
    <w:uiPriority w:val="7"/>
    <w:qFormat/>
    <w:rsid w:val="007E491D"/>
    <w:pPr>
      <w:numPr>
        <w:numId w:val="0"/>
      </w:numPr>
      <w:ind w:left="720" w:hanging="360"/>
    </w:pPr>
  </w:style>
  <w:style w:type="paragraph" w:customStyle="1" w:styleId="TableDot-point">
    <w:name w:val="Table Dot-point"/>
    <w:basedOn w:val="Normal"/>
    <w:qFormat/>
    <w:rsid w:val="00E13788"/>
    <w:pPr>
      <w:numPr>
        <w:numId w:val="26"/>
      </w:numPr>
      <w:spacing w:before="60" w:after="60" w:line="240" w:lineRule="auto"/>
      <w:jc w:val="left"/>
    </w:pPr>
    <w:rPr>
      <w:rFonts w:cstheme="minorHAnsi"/>
      <w:color w:val="36424A" w:themeColor="background2"/>
      <w:sz w:val="21"/>
      <w:szCs w:val="20"/>
    </w:rPr>
  </w:style>
  <w:style w:type="character" w:styleId="FollowedHyperlink">
    <w:name w:val="FollowedHyperlink"/>
    <w:basedOn w:val="DefaultParagraphFont"/>
    <w:uiPriority w:val="99"/>
    <w:semiHidden/>
    <w:unhideWhenUsed/>
    <w:rsid w:val="00450FA4"/>
    <w:rPr>
      <w:color w:val="78B800" w:themeColor="followedHyperlink"/>
      <w:u w:val="single"/>
    </w:rPr>
  </w:style>
  <w:style w:type="paragraph" w:customStyle="1" w:styleId="Footnote">
    <w:name w:val="Footnote"/>
    <w:basedOn w:val="FootnoteText"/>
    <w:link w:val="FootnoteChar"/>
    <w:qFormat/>
    <w:rsid w:val="00C12017"/>
  </w:style>
  <w:style w:type="character" w:customStyle="1" w:styleId="FootnoteChar">
    <w:name w:val="Footnote Char"/>
    <w:basedOn w:val="FootnoteTextChar"/>
    <w:link w:val="Footnote"/>
    <w:rsid w:val="00C12017"/>
    <w:rPr>
      <w:sz w:val="20"/>
      <w:lang w:val="en-AU"/>
    </w:rPr>
  </w:style>
  <w:style w:type="paragraph" w:customStyle="1" w:styleId="Default">
    <w:name w:val="Default"/>
    <w:rsid w:val="0048490C"/>
    <w:pPr>
      <w:autoSpaceDE w:val="0"/>
      <w:autoSpaceDN w:val="0"/>
      <w:adjustRightInd w:val="0"/>
      <w:spacing w:after="0" w:line="240" w:lineRule="auto"/>
    </w:pPr>
    <w:rPr>
      <w:rFonts w:ascii="Calibri" w:hAnsi="Calibri" w:cs="Calibri"/>
      <w:color w:val="000000"/>
      <w:sz w:val="24"/>
      <w:szCs w:val="24"/>
      <w:lang w:val="en-NZ"/>
    </w:rPr>
  </w:style>
  <w:style w:type="paragraph" w:customStyle="1" w:styleId="NumberedHeading1">
    <w:name w:val="Numbered Heading 1"/>
    <w:basedOn w:val="ListParagraph"/>
    <w:next w:val="BodyText"/>
    <w:link w:val="NumberedHeading1Char"/>
    <w:uiPriority w:val="2"/>
    <w:qFormat/>
    <w:rsid w:val="0074578B"/>
    <w:pPr>
      <w:keepNext/>
      <w:numPr>
        <w:numId w:val="21"/>
      </w:numPr>
      <w:spacing w:before="360" w:line="259" w:lineRule="auto"/>
      <w:ind w:left="567" w:hanging="567"/>
      <w:contextualSpacing w:val="0"/>
      <w:jc w:val="left"/>
      <w:outlineLvl w:val="0"/>
    </w:pPr>
    <w:rPr>
      <w:rFonts w:asciiTheme="majorHAnsi" w:hAnsiTheme="majorHAnsi"/>
      <w:b/>
      <w:color w:val="36424A" w:themeColor="accent2"/>
      <w:sz w:val="32"/>
      <w:lang w:val="en-NZ"/>
    </w:rPr>
  </w:style>
  <w:style w:type="paragraph" w:customStyle="1" w:styleId="NumberedHeading2">
    <w:name w:val="Numbered Heading 2"/>
    <w:basedOn w:val="ListParagraph"/>
    <w:next w:val="BodyText"/>
    <w:link w:val="NumberedHeading2Char"/>
    <w:uiPriority w:val="2"/>
    <w:qFormat/>
    <w:rsid w:val="0074578B"/>
    <w:pPr>
      <w:keepNext/>
      <w:numPr>
        <w:ilvl w:val="1"/>
        <w:numId w:val="21"/>
      </w:numPr>
      <w:spacing w:before="360" w:after="120" w:line="259" w:lineRule="auto"/>
      <w:ind w:left="1440" w:hanging="360"/>
      <w:contextualSpacing w:val="0"/>
      <w:jc w:val="left"/>
      <w:outlineLvl w:val="1"/>
    </w:pPr>
    <w:rPr>
      <w:rFonts w:asciiTheme="majorHAnsi" w:hAnsiTheme="majorHAnsi"/>
      <w:b/>
      <w:color w:val="36424A" w:themeColor="accent2"/>
      <w:sz w:val="28"/>
      <w:lang w:val="en-NZ"/>
    </w:rPr>
  </w:style>
  <w:style w:type="paragraph" w:customStyle="1" w:styleId="NumberedHeading3">
    <w:name w:val="Numbered Heading 3"/>
    <w:basedOn w:val="ListParagraph"/>
    <w:link w:val="NumberedHeading3Char"/>
    <w:uiPriority w:val="2"/>
    <w:qFormat/>
    <w:rsid w:val="0074578B"/>
    <w:pPr>
      <w:keepNext/>
      <w:numPr>
        <w:ilvl w:val="2"/>
        <w:numId w:val="21"/>
      </w:numPr>
      <w:spacing w:before="240" w:after="120" w:line="259" w:lineRule="auto"/>
      <w:ind w:left="2160" w:hanging="180"/>
      <w:contextualSpacing w:val="0"/>
      <w:jc w:val="left"/>
      <w:outlineLvl w:val="2"/>
    </w:pPr>
    <w:rPr>
      <w:rFonts w:asciiTheme="majorHAnsi" w:hAnsiTheme="majorHAnsi"/>
      <w:b/>
      <w:color w:val="36424A" w:themeColor="accent2"/>
      <w:kern w:val="28"/>
      <w:sz w:val="24"/>
      <w:szCs w:val="28"/>
      <w:lang w:val="en-NZ"/>
    </w:rPr>
  </w:style>
  <w:style w:type="paragraph" w:customStyle="1" w:styleId="NumberedHeading4">
    <w:name w:val="Numbered Heading 4"/>
    <w:basedOn w:val="ListParagraph"/>
    <w:next w:val="BodyText"/>
    <w:link w:val="NumberedHeading4Char"/>
    <w:uiPriority w:val="2"/>
    <w:unhideWhenUsed/>
    <w:rsid w:val="0074578B"/>
    <w:pPr>
      <w:keepNext/>
      <w:numPr>
        <w:ilvl w:val="3"/>
        <w:numId w:val="21"/>
      </w:numPr>
      <w:spacing w:before="120" w:after="120" w:line="259" w:lineRule="auto"/>
      <w:ind w:left="1134" w:hanging="1134"/>
      <w:contextualSpacing w:val="0"/>
      <w:jc w:val="left"/>
      <w:outlineLvl w:val="3"/>
    </w:pPr>
    <w:rPr>
      <w:rFonts w:asciiTheme="majorHAnsi" w:hAnsiTheme="majorHAnsi"/>
      <w:b/>
      <w:i/>
      <w:color w:val="36424A" w:themeColor="accent2"/>
      <w:sz w:val="24"/>
      <w:lang w:val="en-NZ"/>
    </w:rPr>
  </w:style>
  <w:style w:type="character" w:customStyle="1" w:styleId="NumberedHeading3Char">
    <w:name w:val="Numbered Heading 3 Char"/>
    <w:basedOn w:val="Heading3Char"/>
    <w:link w:val="NumberedHeading3"/>
    <w:uiPriority w:val="2"/>
    <w:rsid w:val="0074578B"/>
    <w:rPr>
      <w:rFonts w:asciiTheme="majorHAnsi" w:hAnsiTheme="majorHAnsi"/>
      <w:b/>
      <w:color w:val="36424A" w:themeColor="accent2"/>
      <w:kern w:val="28"/>
      <w:sz w:val="24"/>
      <w:szCs w:val="28"/>
      <w:lang w:val="en-NZ" w:eastAsia="en-GB"/>
    </w:rPr>
  </w:style>
  <w:style w:type="paragraph" w:customStyle="1" w:styleId="BodyText-BLUE">
    <w:name w:val="Body Text - BLUE"/>
    <w:basedOn w:val="BodyText"/>
    <w:link w:val="BodyText-BLUEChar"/>
    <w:qFormat/>
    <w:rsid w:val="0074578B"/>
    <w:pPr>
      <w:spacing w:after="240"/>
    </w:pPr>
    <w:rPr>
      <w:rFonts w:ascii="Arial" w:hAnsi="Arial" w:cs="Arial"/>
      <w:lang w:val="en-NZ"/>
    </w:rPr>
  </w:style>
  <w:style w:type="character" w:customStyle="1" w:styleId="BodyText-BLUEChar">
    <w:name w:val="Body Text - BLUE Char"/>
    <w:basedOn w:val="BodyTextChar"/>
    <w:link w:val="BodyText-BLUE"/>
    <w:rsid w:val="0074578B"/>
    <w:rPr>
      <w:rFonts w:ascii="Arial" w:hAnsi="Arial" w:cs="Arial"/>
      <w:lang w:val="en-NZ"/>
    </w:rPr>
  </w:style>
  <w:style w:type="table" w:customStyle="1" w:styleId="ACGreen-BasicTable">
    <w:name w:val="A+C Green - Basic Table"/>
    <w:basedOn w:val="TableNormal"/>
    <w:uiPriority w:val="99"/>
    <w:rsid w:val="0074578B"/>
    <w:pPr>
      <w:spacing w:after="0" w:line="240" w:lineRule="auto"/>
    </w:pPr>
    <w:rPr>
      <w:rFonts w:ascii="Calibri" w:hAnsi="Calibri"/>
      <w:sz w:val="21"/>
    </w:rPr>
    <w:tblPr>
      <w:tblStyleRowBandSize w:val="1"/>
      <w:tblStyleColBandSize w:val="1"/>
      <w:tblBorders>
        <w:top w:val="single" w:sz="4" w:space="0" w:color="B4795F"/>
        <w:left w:val="single" w:sz="4" w:space="0" w:color="B4795F"/>
        <w:bottom w:val="single" w:sz="4" w:space="0" w:color="B4795F"/>
        <w:right w:val="single" w:sz="4" w:space="0" w:color="B4795F"/>
        <w:insideH w:val="single" w:sz="4" w:space="0" w:color="B4795F"/>
        <w:insideV w:val="single" w:sz="4" w:space="0" w:color="B4795F"/>
      </w:tblBorders>
      <w:tblCellMar>
        <w:top w:w="57" w:type="dxa"/>
        <w:left w:w="28" w:type="dxa"/>
        <w:bottom w:w="57" w:type="dxa"/>
        <w:right w:w="28" w:type="dxa"/>
      </w:tblCellMar>
    </w:tblPr>
    <w:tblStylePr w:type="firstRow">
      <w:rPr>
        <w:rFonts w:ascii="Calibri" w:hAnsi="Calibri"/>
        <w:b/>
        <w:color w:val="FFFFFF"/>
        <w:sz w:val="22"/>
      </w:rPr>
      <w:tblPr/>
      <w:trPr>
        <w:tblHeader/>
      </w:trPr>
      <w:tcPr>
        <w:shd w:val="clear" w:color="auto" w:fill="B4795F"/>
      </w:tcPr>
    </w:tblStylePr>
  </w:style>
  <w:style w:type="table" w:customStyle="1" w:styleId="ACGreen-BasicTable1">
    <w:name w:val="A+C Green - Basic Table1"/>
    <w:basedOn w:val="TableNormal"/>
    <w:uiPriority w:val="99"/>
    <w:rsid w:val="0074578B"/>
    <w:pPr>
      <w:spacing w:after="0" w:line="240" w:lineRule="auto"/>
    </w:pPr>
    <w:rPr>
      <w:rFonts w:ascii="Calibri" w:hAnsi="Calibri"/>
      <w:sz w:val="21"/>
    </w:rPr>
    <w:tblPr>
      <w:tblStyleRowBandSize w:val="1"/>
      <w:tblStyleColBandSize w:val="1"/>
      <w:tblBorders>
        <w:top w:val="single" w:sz="4" w:space="0" w:color="B4795F"/>
        <w:left w:val="single" w:sz="4" w:space="0" w:color="B4795F"/>
        <w:bottom w:val="single" w:sz="4" w:space="0" w:color="B4795F"/>
        <w:right w:val="single" w:sz="4" w:space="0" w:color="B4795F"/>
        <w:insideH w:val="single" w:sz="4" w:space="0" w:color="B4795F"/>
        <w:insideV w:val="single" w:sz="4" w:space="0" w:color="B4795F"/>
      </w:tblBorders>
      <w:tblCellMar>
        <w:top w:w="57" w:type="dxa"/>
        <w:left w:w="28" w:type="dxa"/>
        <w:bottom w:w="57" w:type="dxa"/>
        <w:right w:w="28" w:type="dxa"/>
      </w:tblCellMar>
    </w:tblPr>
    <w:tblStylePr w:type="firstRow">
      <w:rPr>
        <w:rFonts w:ascii="Calibri" w:hAnsi="Calibri"/>
        <w:b/>
        <w:color w:val="FFFFFF"/>
        <w:sz w:val="22"/>
      </w:rPr>
      <w:tblPr/>
      <w:trPr>
        <w:tblHeader/>
      </w:trPr>
      <w:tcPr>
        <w:shd w:val="clear" w:color="auto" w:fill="B4795F"/>
      </w:tcPr>
    </w:tblStylePr>
  </w:style>
  <w:style w:type="table" w:customStyle="1" w:styleId="ACGreen-BasicTable2">
    <w:name w:val="A+C Green - Basic Table2"/>
    <w:basedOn w:val="TableNormal"/>
    <w:uiPriority w:val="99"/>
    <w:rsid w:val="008C20CD"/>
    <w:pPr>
      <w:spacing w:after="0" w:line="240" w:lineRule="auto"/>
    </w:pPr>
    <w:rPr>
      <w:rFonts w:ascii="Calibri" w:hAnsi="Calibri"/>
      <w:sz w:val="21"/>
    </w:rPr>
    <w:tblPr>
      <w:tblStyleRowBandSize w:val="1"/>
      <w:tblStyleColBandSize w:val="1"/>
      <w:tblBorders>
        <w:top w:val="single" w:sz="4" w:space="0" w:color="B4795F"/>
        <w:left w:val="single" w:sz="4" w:space="0" w:color="B4795F"/>
        <w:bottom w:val="single" w:sz="4" w:space="0" w:color="B4795F"/>
        <w:right w:val="single" w:sz="4" w:space="0" w:color="B4795F"/>
        <w:insideH w:val="single" w:sz="4" w:space="0" w:color="B4795F"/>
        <w:insideV w:val="single" w:sz="4" w:space="0" w:color="B4795F"/>
      </w:tblBorders>
      <w:tblCellMar>
        <w:top w:w="57" w:type="dxa"/>
        <w:left w:w="28" w:type="dxa"/>
        <w:bottom w:w="57" w:type="dxa"/>
        <w:right w:w="28" w:type="dxa"/>
      </w:tblCellMar>
    </w:tblPr>
    <w:tblStylePr w:type="firstRow">
      <w:rPr>
        <w:rFonts w:ascii="Calibri" w:hAnsi="Calibri"/>
        <w:b/>
        <w:color w:val="FFFFFF"/>
        <w:sz w:val="22"/>
      </w:rPr>
      <w:tblPr/>
      <w:trPr>
        <w:tblHeader/>
      </w:trPr>
      <w:tcPr>
        <w:shd w:val="clear" w:color="auto" w:fill="B4795F"/>
      </w:tcPr>
    </w:tblStylePr>
  </w:style>
  <w:style w:type="character" w:styleId="Mention">
    <w:name w:val="Mention"/>
    <w:basedOn w:val="DefaultParagraphFont"/>
    <w:uiPriority w:val="99"/>
    <w:unhideWhenUsed/>
    <w:rsid w:val="002F01B8"/>
    <w:rPr>
      <w:color w:val="2B579A"/>
      <w:shd w:val="clear" w:color="auto" w:fill="E1DFDD"/>
    </w:rPr>
  </w:style>
  <w:style w:type="table" w:customStyle="1" w:styleId="ACGreen-BasicTable3">
    <w:name w:val="A+C Green - Basic Table3"/>
    <w:basedOn w:val="TableNormal"/>
    <w:uiPriority w:val="99"/>
    <w:rsid w:val="002F01B8"/>
    <w:pPr>
      <w:spacing w:after="0" w:line="240" w:lineRule="auto"/>
    </w:pPr>
    <w:rPr>
      <w:rFonts w:ascii="Calibri" w:hAnsi="Calibri"/>
      <w:sz w:val="21"/>
    </w:rPr>
    <w:tblPr>
      <w:tblStyleRowBandSize w:val="1"/>
      <w:tblStyleColBandSize w:val="1"/>
      <w:tblBorders>
        <w:top w:val="single" w:sz="4" w:space="0" w:color="B4795F"/>
        <w:left w:val="single" w:sz="4" w:space="0" w:color="B4795F"/>
        <w:bottom w:val="single" w:sz="4" w:space="0" w:color="B4795F"/>
        <w:right w:val="single" w:sz="4" w:space="0" w:color="B4795F"/>
        <w:insideH w:val="single" w:sz="4" w:space="0" w:color="B4795F"/>
        <w:insideV w:val="single" w:sz="4" w:space="0" w:color="B4795F"/>
      </w:tblBorders>
      <w:tblCellMar>
        <w:top w:w="57" w:type="dxa"/>
        <w:left w:w="28" w:type="dxa"/>
        <w:bottom w:w="57" w:type="dxa"/>
        <w:right w:w="28" w:type="dxa"/>
      </w:tblCellMar>
    </w:tblPr>
    <w:tblStylePr w:type="firstRow">
      <w:rPr>
        <w:rFonts w:ascii="Calibri" w:hAnsi="Calibri"/>
        <w:b/>
        <w:color w:val="FFFFFF"/>
        <w:sz w:val="22"/>
      </w:rPr>
      <w:tblPr/>
      <w:trPr>
        <w:tblHeader/>
      </w:trPr>
      <w:tcPr>
        <w:shd w:val="clear" w:color="auto" w:fill="B4795F"/>
      </w:tcPr>
    </w:tblStylePr>
  </w:style>
  <w:style w:type="table" w:customStyle="1" w:styleId="TableGrid10">
    <w:name w:val="Table Grid1"/>
    <w:basedOn w:val="TableNormal"/>
    <w:next w:val="TableGrid"/>
    <w:uiPriority w:val="59"/>
    <w:rsid w:val="000A4D7B"/>
    <w:pPr>
      <w:spacing w:after="0" w:line="240" w:lineRule="auto"/>
    </w:pPr>
    <w:rPr>
      <w:rFonts w:ascii="Calibri" w:eastAsia="Calibri" w:hAnsi="Calibri" w:cs="Times New Roman"/>
      <w:sz w:val="24"/>
      <w:szCs w:val="24"/>
      <w:lang w:val="en-N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E6D7D"/>
    <w:pPr>
      <w:spacing w:after="0" w:line="240" w:lineRule="auto"/>
    </w:pPr>
    <w:rPr>
      <w:lang w:val="en-AU"/>
    </w:rPr>
  </w:style>
  <w:style w:type="table" w:styleId="ListTable3">
    <w:name w:val="List Table 3"/>
    <w:basedOn w:val="TableNormal"/>
    <w:uiPriority w:val="48"/>
    <w:rsid w:val="00716AB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Emphasis">
    <w:name w:val="Emphasis"/>
    <w:basedOn w:val="DefaultParagraphFont"/>
    <w:uiPriority w:val="20"/>
    <w:qFormat/>
    <w:rsid w:val="00610D90"/>
    <w:rPr>
      <w:i/>
      <w:iCs/>
    </w:rPr>
  </w:style>
  <w:style w:type="numbering" w:customStyle="1" w:styleId="NumberedHeadings">
    <w:name w:val="Numbered Headings"/>
    <w:uiPriority w:val="99"/>
    <w:rsid w:val="00983864"/>
    <w:pPr>
      <w:numPr>
        <w:numId w:val="16"/>
      </w:numPr>
    </w:pPr>
  </w:style>
  <w:style w:type="character" w:customStyle="1" w:styleId="NumberedHeading1Char">
    <w:name w:val="Numbered Heading 1 Char"/>
    <w:basedOn w:val="Heading1Char"/>
    <w:link w:val="NumberedHeading1"/>
    <w:uiPriority w:val="2"/>
    <w:rsid w:val="0080772F"/>
    <w:rPr>
      <w:rFonts w:asciiTheme="majorHAnsi" w:hAnsiTheme="majorHAnsi"/>
      <w:b/>
      <w:caps w:val="0"/>
      <w:color w:val="36424A" w:themeColor="accent2"/>
      <w:kern w:val="28"/>
      <w:sz w:val="32"/>
      <w:szCs w:val="48"/>
      <w:lang w:val="en-NZ"/>
    </w:rPr>
  </w:style>
  <w:style w:type="character" w:customStyle="1" w:styleId="ListParagraphChar">
    <w:name w:val="List Paragraph Char"/>
    <w:aliases w:val="Bullet point Char,Bullets Char,CV text Char,Dot pt Char,F5 List Paragraph Char,FooterText Char,L Char,List Paragraph1 Char,List Paragraph11 Char,List Paragraph111 Char,List Paragraph2 Char,Medium Grid 1 - Accent 21 Char,列 Char"/>
    <w:basedOn w:val="DefaultParagraphFont"/>
    <w:link w:val="ListParagraph"/>
    <w:uiPriority w:val="34"/>
    <w:qFormat/>
    <w:rsid w:val="0080772F"/>
    <w:rPr>
      <w:lang w:val="en-AU"/>
    </w:rPr>
  </w:style>
  <w:style w:type="character" w:customStyle="1" w:styleId="TableText-Italic">
    <w:name w:val="Table Text - Italic"/>
    <w:basedOn w:val="DefaultParagraphFont"/>
    <w:uiPriority w:val="7"/>
    <w:qFormat/>
    <w:rsid w:val="00EB4F33"/>
    <w:rPr>
      <w:i/>
      <w:color w:val="auto"/>
      <w:sz w:val="21"/>
      <w:lang w:val="en-AU"/>
    </w:rPr>
  </w:style>
  <w:style w:type="paragraph" w:customStyle="1" w:styleId="AIHWbodytext">
    <w:name w:val="AIHW body text"/>
    <w:basedOn w:val="Normal"/>
    <w:link w:val="AIHWbodytextChar"/>
    <w:qFormat/>
    <w:rsid w:val="00EB4F33"/>
    <w:pPr>
      <w:spacing w:before="120" w:after="120" w:line="260" w:lineRule="atLeast"/>
      <w:jc w:val="left"/>
    </w:pPr>
    <w:rPr>
      <w:rFonts w:ascii="Arial" w:eastAsia="Times New Roman" w:hAnsi="Arial" w:cs="Times New Roman"/>
      <w:szCs w:val="20"/>
    </w:rPr>
  </w:style>
  <w:style w:type="character" w:styleId="PageNumber">
    <w:name w:val="page number"/>
    <w:semiHidden/>
    <w:rsid w:val="00EB4F33"/>
    <w:rPr>
      <w:rFonts w:ascii="Arial" w:hAnsi="Arial"/>
      <w:dstrike w:val="0"/>
      <w:color w:val="000000"/>
      <w:sz w:val="20"/>
      <w:u w:val="none"/>
      <w:vertAlign w:val="baseline"/>
    </w:rPr>
  </w:style>
  <w:style w:type="paragraph" w:customStyle="1" w:styleId="BoxHeading2">
    <w:name w:val="Box: Heading 2"/>
    <w:basedOn w:val="BoxText"/>
    <w:next w:val="BoxText"/>
    <w:uiPriority w:val="3"/>
    <w:qFormat/>
    <w:rsid w:val="00EB4F33"/>
  </w:style>
  <w:style w:type="table" w:customStyle="1" w:styleId="AIHWTable">
    <w:name w:val="AIHW Table"/>
    <w:basedOn w:val="TableNormal"/>
    <w:rsid w:val="00EB4F33"/>
    <w:pPr>
      <w:tabs>
        <w:tab w:val="left" w:pos="198"/>
      </w:tabs>
      <w:spacing w:before="60" w:after="60" w:line="200" w:lineRule="atLeast"/>
      <w:jc w:val="right"/>
    </w:pPr>
    <w:rPr>
      <w:rFonts w:ascii="Arial" w:eastAsia="Times New Roman" w:hAnsi="Arial" w:cs="Times New Roman"/>
      <w:color w:val="000000"/>
      <w:sz w:val="16"/>
      <w:lang w:val="en-AU" w:eastAsia="en-AU"/>
    </w:rPr>
    <w:tblPr>
      <w:tblBorders>
        <w:top w:val="single" w:sz="4" w:space="0" w:color="000000"/>
        <w:bottom w:val="single" w:sz="4" w:space="0" w:color="000000"/>
      </w:tblBorders>
      <w:tblCellMar>
        <w:left w:w="85" w:type="dxa"/>
        <w:right w:w="85" w:type="dxa"/>
      </w:tblCellMar>
    </w:tblPr>
    <w:tcPr>
      <w:shd w:val="clear" w:color="auto" w:fill="auto"/>
      <w:vAlign w:val="bottom"/>
    </w:tcPr>
    <w:tblStylePr w:type="firstRow">
      <w:tblPr/>
      <w:tcPr>
        <w:tcBorders>
          <w:top w:val="single" w:sz="4" w:space="0" w:color="000000"/>
          <w:left w:val="nil"/>
          <w:bottom w:val="single" w:sz="4" w:space="0" w:color="000000"/>
          <w:right w:val="nil"/>
          <w:insideH w:val="nil"/>
          <w:insideV w:val="nil"/>
          <w:tl2br w:val="nil"/>
          <w:tr2bl w:val="nil"/>
        </w:tcBorders>
      </w:tcPr>
    </w:tblStylePr>
    <w:tblStylePr w:type="firstCol">
      <w:pPr>
        <w:wordWrap/>
        <w:jc w:val="left"/>
      </w:pPr>
    </w:tblStylePr>
  </w:style>
  <w:style w:type="paragraph" w:customStyle="1" w:styleId="TableText0">
    <w:name w:val="Table: Text"/>
    <w:basedOn w:val="AIHWbodytext"/>
    <w:link w:val="TableTextChar"/>
    <w:uiPriority w:val="6"/>
    <w:rsid w:val="00EB4F33"/>
    <w:pPr>
      <w:keepLines/>
      <w:tabs>
        <w:tab w:val="left" w:pos="198"/>
      </w:tabs>
      <w:spacing w:before="60" w:after="60" w:line="200" w:lineRule="atLeast"/>
    </w:pPr>
    <w:rPr>
      <w:sz w:val="16"/>
    </w:rPr>
  </w:style>
  <w:style w:type="paragraph" w:customStyle="1" w:styleId="01Title">
    <w:name w:val="01 Title"/>
    <w:basedOn w:val="AIHWbodytext"/>
    <w:next w:val="05Date"/>
    <w:uiPriority w:val="8"/>
    <w:rsid w:val="00EB4F33"/>
    <w:pPr>
      <w:spacing w:before="1200" w:after="600" w:line="600" w:lineRule="atLeast"/>
      <w:jc w:val="center"/>
    </w:pPr>
    <w:rPr>
      <w:b/>
      <w:sz w:val="48"/>
    </w:rPr>
  </w:style>
  <w:style w:type="paragraph" w:customStyle="1" w:styleId="02Subtitle">
    <w:name w:val="02 Subtitle"/>
    <w:basedOn w:val="01Title"/>
    <w:next w:val="05Date"/>
    <w:uiPriority w:val="8"/>
    <w:rsid w:val="00EB4F33"/>
  </w:style>
  <w:style w:type="paragraph" w:customStyle="1" w:styleId="03Series">
    <w:name w:val="03 Series"/>
    <w:basedOn w:val="02Subtitle"/>
    <w:next w:val="04Seriesnumber"/>
    <w:uiPriority w:val="8"/>
    <w:rsid w:val="00EB4F33"/>
    <w:pPr>
      <w:pageBreakBefore/>
      <w:spacing w:before="1440" w:after="80" w:line="260" w:lineRule="atLeast"/>
    </w:pPr>
    <w:rPr>
      <w:b w:val="0"/>
      <w:caps/>
      <w:sz w:val="22"/>
    </w:rPr>
  </w:style>
  <w:style w:type="paragraph" w:customStyle="1" w:styleId="04Seriesnumber">
    <w:name w:val="04 Series number"/>
    <w:basedOn w:val="03Series"/>
    <w:next w:val="03Series"/>
    <w:uiPriority w:val="8"/>
    <w:rsid w:val="00EB4F33"/>
    <w:pPr>
      <w:pageBreakBefore w:val="0"/>
      <w:spacing w:before="120" w:after="360"/>
    </w:pPr>
    <w:rPr>
      <w:caps w:val="0"/>
    </w:rPr>
  </w:style>
  <w:style w:type="paragraph" w:customStyle="1" w:styleId="05Date">
    <w:name w:val="05 Date"/>
    <w:basedOn w:val="02Subtitle"/>
    <w:next w:val="06Publisher"/>
    <w:uiPriority w:val="8"/>
    <w:rsid w:val="00EB4F33"/>
    <w:pPr>
      <w:spacing w:before="0" w:after="1680" w:line="360" w:lineRule="atLeast"/>
    </w:pPr>
    <w:rPr>
      <w:sz w:val="24"/>
    </w:rPr>
  </w:style>
  <w:style w:type="paragraph" w:customStyle="1" w:styleId="06Publisher">
    <w:name w:val="06 Publisher"/>
    <w:basedOn w:val="05Date"/>
    <w:next w:val="07Catno"/>
    <w:uiPriority w:val="8"/>
    <w:rsid w:val="00EB4F33"/>
    <w:pPr>
      <w:spacing w:before="60" w:after="40" w:line="260" w:lineRule="atLeast"/>
    </w:pPr>
    <w:rPr>
      <w:b w:val="0"/>
      <w:sz w:val="22"/>
    </w:rPr>
  </w:style>
  <w:style w:type="paragraph" w:customStyle="1" w:styleId="07Catno">
    <w:name w:val="07 Cat. no."/>
    <w:basedOn w:val="06Publisher"/>
    <w:next w:val="09Versotitlepagetext"/>
    <w:uiPriority w:val="8"/>
    <w:rsid w:val="00EB4F33"/>
    <w:pPr>
      <w:spacing w:before="120" w:line="200" w:lineRule="atLeast"/>
    </w:pPr>
    <w:rPr>
      <w:sz w:val="16"/>
    </w:rPr>
  </w:style>
  <w:style w:type="paragraph" w:customStyle="1" w:styleId="08Versotitlepageheading">
    <w:name w:val="08 Verso title page heading"/>
    <w:basedOn w:val="06Publisher"/>
    <w:next w:val="09Versotitlepagetext"/>
    <w:uiPriority w:val="8"/>
    <w:rsid w:val="00EB4F33"/>
    <w:pPr>
      <w:spacing w:before="400" w:after="120" w:line="240" w:lineRule="atLeast"/>
      <w:jc w:val="left"/>
    </w:pPr>
    <w:rPr>
      <w:b/>
      <w:sz w:val="20"/>
    </w:rPr>
  </w:style>
  <w:style w:type="paragraph" w:customStyle="1" w:styleId="09Versotitlepagetext">
    <w:name w:val="09 Verso title page text"/>
    <w:basedOn w:val="08Versotitlepageheading"/>
    <w:uiPriority w:val="8"/>
    <w:rsid w:val="00EB4F33"/>
    <w:pPr>
      <w:spacing w:before="40" w:after="40"/>
    </w:pPr>
    <w:rPr>
      <w:b w:val="0"/>
    </w:rPr>
  </w:style>
  <w:style w:type="paragraph" w:customStyle="1" w:styleId="BoxText">
    <w:name w:val="Box: Text"/>
    <w:basedOn w:val="AIHWbodytext"/>
    <w:next w:val="AIHWbodytext"/>
    <w:link w:val="BoxTextChar"/>
    <w:uiPriority w:val="3"/>
    <w:qFormat/>
    <w:rsid w:val="00EB4F33"/>
    <w:pPr>
      <w:pBdr>
        <w:top w:val="single" w:sz="4" w:space="10" w:color="000000"/>
        <w:left w:val="single" w:sz="4" w:space="10" w:color="000000"/>
        <w:bottom w:val="single" w:sz="4" w:space="10" w:color="000000"/>
        <w:right w:val="single" w:sz="4" w:space="10" w:color="000000"/>
      </w:pBdr>
      <w:tabs>
        <w:tab w:val="left" w:pos="397"/>
      </w:tabs>
      <w:spacing w:after="20" w:line="240" w:lineRule="atLeast"/>
      <w:ind w:left="255" w:right="255"/>
    </w:pPr>
    <w:rPr>
      <w:sz w:val="21"/>
    </w:rPr>
  </w:style>
  <w:style w:type="paragraph" w:customStyle="1" w:styleId="BoxBullet1">
    <w:name w:val="Box: Bullet 1"/>
    <w:basedOn w:val="BoxText"/>
    <w:uiPriority w:val="3"/>
    <w:qFormat/>
    <w:rsid w:val="00EB4F33"/>
    <w:pPr>
      <w:numPr>
        <w:numId w:val="31"/>
      </w:numPr>
      <w:ind w:left="255" w:firstLine="0"/>
    </w:pPr>
  </w:style>
  <w:style w:type="paragraph" w:customStyle="1" w:styleId="BoxHeading1">
    <w:name w:val="Box: Heading 1"/>
    <w:basedOn w:val="BoxText"/>
    <w:next w:val="BoxText"/>
    <w:uiPriority w:val="3"/>
    <w:qFormat/>
    <w:rsid w:val="00EB4F33"/>
  </w:style>
  <w:style w:type="paragraph" w:customStyle="1" w:styleId="FigureCaption">
    <w:name w:val="Figure: Caption"/>
    <w:basedOn w:val="TableCaption"/>
    <w:next w:val="AIHWbodytext"/>
    <w:link w:val="FigureCaptionChar"/>
    <w:uiPriority w:val="5"/>
    <w:rsid w:val="00EB4F33"/>
    <w:pPr>
      <w:pBdr>
        <w:top w:val="single" w:sz="4" w:space="4" w:color="auto"/>
        <w:left w:val="single" w:sz="4" w:space="4" w:color="auto"/>
        <w:bottom w:val="single" w:sz="4" w:space="4" w:color="auto"/>
        <w:right w:val="single" w:sz="4" w:space="4" w:color="auto"/>
      </w:pBdr>
      <w:spacing w:before="120" w:after="240"/>
    </w:pPr>
  </w:style>
  <w:style w:type="paragraph" w:customStyle="1" w:styleId="FigureSourcefootnotes">
    <w:name w:val="Figure: Source &amp; footnotes"/>
    <w:basedOn w:val="TableSourcefootnotes"/>
    <w:next w:val="FigureCaption"/>
    <w:uiPriority w:val="5"/>
    <w:qFormat/>
    <w:rsid w:val="00EB4F33"/>
    <w:pPr>
      <w:pBdr>
        <w:top w:val="single" w:sz="4" w:space="4" w:color="auto"/>
        <w:left w:val="single" w:sz="4" w:space="4" w:color="auto"/>
        <w:bottom w:val="single" w:sz="4" w:space="4" w:color="auto"/>
        <w:right w:val="single" w:sz="4" w:space="4" w:color="auto"/>
      </w:pBdr>
    </w:pPr>
  </w:style>
  <w:style w:type="paragraph" w:customStyle="1" w:styleId="IndentedQuotes">
    <w:name w:val="Indented: Quotes"/>
    <w:basedOn w:val="AIHWbodytext"/>
    <w:next w:val="AIHWbodytext"/>
    <w:uiPriority w:val="4"/>
    <w:qFormat/>
    <w:rsid w:val="00EB4F33"/>
    <w:pPr>
      <w:spacing w:before="40"/>
      <w:ind w:left="397" w:right="397"/>
    </w:pPr>
  </w:style>
  <w:style w:type="paragraph" w:customStyle="1" w:styleId="TableBullet1">
    <w:name w:val="Table: Bullet 1"/>
    <w:basedOn w:val="TableText0"/>
    <w:uiPriority w:val="6"/>
    <w:rsid w:val="00EB4F33"/>
    <w:pPr>
      <w:numPr>
        <w:numId w:val="32"/>
      </w:numPr>
      <w:tabs>
        <w:tab w:val="clear" w:pos="198"/>
        <w:tab w:val="left" w:pos="0"/>
        <w:tab w:val="left" w:pos="284"/>
        <w:tab w:val="num" w:pos="360"/>
        <w:tab w:val="num" w:pos="1800"/>
      </w:tabs>
      <w:spacing w:before="0"/>
      <w:ind w:left="0" w:firstLine="0"/>
    </w:pPr>
  </w:style>
  <w:style w:type="paragraph" w:customStyle="1" w:styleId="TableLetteredfootnotes">
    <w:name w:val="Table: Lettered footnotes"/>
    <w:basedOn w:val="TableSourcefootnotes"/>
    <w:link w:val="TableLetteredfootnotesChar"/>
    <w:rsid w:val="00EB4F33"/>
    <w:pPr>
      <w:numPr>
        <w:numId w:val="33"/>
      </w:numPr>
      <w:tabs>
        <w:tab w:val="num" w:pos="360"/>
      </w:tabs>
      <w:ind w:left="0" w:firstLine="0"/>
    </w:pPr>
  </w:style>
  <w:style w:type="paragraph" w:customStyle="1" w:styleId="TableNotesnumbered">
    <w:name w:val="Table: Notes numbered"/>
    <w:basedOn w:val="TableSourcefootnotes"/>
    <w:rsid w:val="00EB4F33"/>
    <w:pPr>
      <w:numPr>
        <w:numId w:val="34"/>
      </w:numPr>
    </w:pPr>
  </w:style>
  <w:style w:type="paragraph" w:customStyle="1" w:styleId="TableSubtotal">
    <w:name w:val="Table: Subtotal"/>
    <w:basedOn w:val="TableText0"/>
    <w:next w:val="TableText0"/>
    <w:uiPriority w:val="6"/>
    <w:rsid w:val="00EB4F33"/>
    <w:rPr>
      <w:i/>
    </w:rPr>
  </w:style>
  <w:style w:type="paragraph" w:customStyle="1" w:styleId="TableTextindented">
    <w:name w:val="Table: Text indented"/>
    <w:basedOn w:val="TableText0"/>
    <w:uiPriority w:val="6"/>
    <w:rsid w:val="00EB4F33"/>
    <w:pPr>
      <w:ind w:left="198"/>
    </w:pPr>
  </w:style>
  <w:style w:type="paragraph" w:customStyle="1" w:styleId="Tablecontinued">
    <w:name w:val="Table: (continued)"/>
    <w:basedOn w:val="AIHWbodytext"/>
    <w:next w:val="TableCaption"/>
    <w:uiPriority w:val="6"/>
    <w:rsid w:val="00EB4F33"/>
    <w:pPr>
      <w:spacing w:before="40" w:after="0" w:line="220" w:lineRule="atLeast"/>
      <w:jc w:val="right"/>
    </w:pPr>
    <w:rPr>
      <w:i/>
      <w:sz w:val="18"/>
    </w:rPr>
  </w:style>
  <w:style w:type="paragraph" w:customStyle="1" w:styleId="TableCaption">
    <w:name w:val="Table: Caption"/>
    <w:basedOn w:val="AIHWbodytext"/>
    <w:next w:val="TableHeadingtotal"/>
    <w:link w:val="TableCaptionChar"/>
    <w:uiPriority w:val="5"/>
    <w:qFormat/>
    <w:rsid w:val="00EB4F33"/>
    <w:pPr>
      <w:keepNext/>
      <w:keepLines/>
      <w:spacing w:before="240" w:after="60" w:line="240" w:lineRule="atLeast"/>
    </w:pPr>
    <w:rPr>
      <w:b/>
      <w:sz w:val="20"/>
    </w:rPr>
  </w:style>
  <w:style w:type="paragraph" w:customStyle="1" w:styleId="TableSourcefootnotes">
    <w:name w:val="Table: Source &amp; footnotes"/>
    <w:basedOn w:val="AIHWbodytext"/>
    <w:next w:val="AIHWbodytext"/>
    <w:link w:val="TableSourcefootnotesChar"/>
    <w:uiPriority w:val="5"/>
    <w:qFormat/>
    <w:rsid w:val="00EB4F33"/>
    <w:pPr>
      <w:keepLines/>
      <w:spacing w:before="60" w:after="0" w:line="180" w:lineRule="atLeast"/>
    </w:pPr>
    <w:rPr>
      <w:sz w:val="14"/>
    </w:rPr>
  </w:style>
  <w:style w:type="numbering" w:styleId="111111">
    <w:name w:val="Outline List 2"/>
    <w:basedOn w:val="NoList"/>
    <w:semiHidden/>
    <w:rsid w:val="00EB4F33"/>
    <w:pPr>
      <w:numPr>
        <w:numId w:val="37"/>
      </w:numPr>
    </w:pPr>
  </w:style>
  <w:style w:type="numbering" w:styleId="1ai">
    <w:name w:val="Outline List 1"/>
    <w:basedOn w:val="NoList"/>
    <w:semiHidden/>
    <w:rsid w:val="00EB4F33"/>
    <w:pPr>
      <w:numPr>
        <w:numId w:val="36"/>
      </w:numPr>
    </w:pPr>
  </w:style>
  <w:style w:type="numbering" w:styleId="ArticleSection">
    <w:name w:val="Outline List 3"/>
    <w:basedOn w:val="NoList"/>
    <w:semiHidden/>
    <w:rsid w:val="00EB4F33"/>
    <w:pPr>
      <w:numPr>
        <w:numId w:val="30"/>
      </w:numPr>
    </w:pPr>
  </w:style>
  <w:style w:type="character" w:styleId="HTMLAcronym">
    <w:name w:val="HTML Acronym"/>
    <w:basedOn w:val="DefaultParagraphFont"/>
    <w:semiHidden/>
    <w:rsid w:val="00EB4F33"/>
  </w:style>
  <w:style w:type="character" w:styleId="HTMLCite">
    <w:name w:val="HTML Cite"/>
    <w:semiHidden/>
    <w:rsid w:val="00EB4F33"/>
    <w:rPr>
      <w:i/>
      <w:iCs/>
    </w:rPr>
  </w:style>
  <w:style w:type="character" w:styleId="HTMLCode">
    <w:name w:val="HTML Code"/>
    <w:semiHidden/>
    <w:rsid w:val="00EB4F33"/>
    <w:rPr>
      <w:rFonts w:ascii="Courier New" w:hAnsi="Courier New" w:cs="Courier New"/>
      <w:sz w:val="20"/>
      <w:szCs w:val="20"/>
    </w:rPr>
  </w:style>
  <w:style w:type="character" w:styleId="HTMLDefinition">
    <w:name w:val="HTML Definition"/>
    <w:semiHidden/>
    <w:rsid w:val="00EB4F33"/>
    <w:rPr>
      <w:i/>
      <w:iCs/>
    </w:rPr>
  </w:style>
  <w:style w:type="character" w:styleId="HTMLKeyboard">
    <w:name w:val="HTML Keyboard"/>
    <w:semiHidden/>
    <w:rsid w:val="00EB4F33"/>
    <w:rPr>
      <w:rFonts w:ascii="Courier New" w:hAnsi="Courier New" w:cs="Courier New"/>
      <w:sz w:val="20"/>
      <w:szCs w:val="20"/>
    </w:rPr>
  </w:style>
  <w:style w:type="character" w:styleId="HTMLSample">
    <w:name w:val="HTML Sample"/>
    <w:semiHidden/>
    <w:rsid w:val="00EB4F33"/>
    <w:rPr>
      <w:rFonts w:ascii="Courier New" w:hAnsi="Courier New" w:cs="Courier New"/>
    </w:rPr>
  </w:style>
  <w:style w:type="character" w:styleId="HTMLTypewriter">
    <w:name w:val="HTML Typewriter"/>
    <w:semiHidden/>
    <w:rsid w:val="00EB4F33"/>
    <w:rPr>
      <w:rFonts w:ascii="Courier New" w:hAnsi="Courier New" w:cs="Courier New"/>
      <w:sz w:val="20"/>
      <w:szCs w:val="20"/>
    </w:rPr>
  </w:style>
  <w:style w:type="character" w:styleId="HTMLVariable">
    <w:name w:val="HTML Variable"/>
    <w:semiHidden/>
    <w:rsid w:val="00EB4F33"/>
    <w:rPr>
      <w:i/>
      <w:iCs/>
    </w:rPr>
  </w:style>
  <w:style w:type="character" w:styleId="LineNumber">
    <w:name w:val="line number"/>
    <w:basedOn w:val="DefaultParagraphFont"/>
    <w:semiHidden/>
    <w:rsid w:val="00EB4F33"/>
  </w:style>
  <w:style w:type="table" w:styleId="Table3Deffects1">
    <w:name w:val="Table 3D effects 1"/>
    <w:basedOn w:val="TableNormal"/>
    <w:semiHidden/>
    <w:rsid w:val="00EB4F33"/>
    <w:pPr>
      <w:spacing w:before="60" w:after="40" w:line="260" w:lineRule="atLeast"/>
    </w:pPr>
    <w:rPr>
      <w:rFonts w:ascii="Book Antiqua" w:eastAsia="Times New Roman" w:hAnsi="Book Antiqua" w:cs="Times New Roman"/>
      <w:lang w:val="en-AU"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B4F33"/>
    <w:pPr>
      <w:spacing w:before="60" w:after="40" w:line="260" w:lineRule="atLeast"/>
    </w:pPr>
    <w:rPr>
      <w:rFonts w:ascii="Book Antiqua" w:eastAsia="Times New Roman" w:hAnsi="Book Antiqua" w:cs="Times New Roman"/>
      <w:color w:val="000080"/>
      <w:lang w:val="en-AU"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B4F33"/>
    <w:pPr>
      <w:spacing w:before="60" w:after="40" w:line="260" w:lineRule="atLeast"/>
    </w:pPr>
    <w:rPr>
      <w:rFonts w:ascii="Book Antiqua" w:eastAsia="Times New Roman" w:hAnsi="Book Antiqua" w:cs="Times New Roman"/>
      <w:color w:val="FFFFFF"/>
      <w:lang w:val="en-AU"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B4F33"/>
    <w:pPr>
      <w:spacing w:before="60" w:after="40" w:line="260" w:lineRule="atLeast"/>
    </w:pPr>
    <w:rPr>
      <w:rFonts w:ascii="Book Antiqua" w:eastAsia="Times New Roman" w:hAnsi="Book Antiqua" w:cs="Times New Roman"/>
      <w:lang w:val="en-AU"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B4F33"/>
    <w:pPr>
      <w:spacing w:before="60" w:after="40" w:line="260" w:lineRule="atLeast"/>
    </w:pPr>
    <w:rPr>
      <w:rFonts w:ascii="Book Antiqua" w:eastAsia="Times New Roman" w:hAnsi="Book Antiqua" w:cs="Times New Roman"/>
      <w:b/>
      <w:bCs/>
      <w:lang w:val="en-AU"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B4F33"/>
    <w:pPr>
      <w:spacing w:before="60" w:after="40" w:line="260" w:lineRule="atLeast"/>
    </w:pPr>
    <w:rPr>
      <w:rFonts w:ascii="Book Antiqua" w:eastAsia="Times New Roman" w:hAnsi="Book Antiqua" w:cs="Times New Roman"/>
      <w:b/>
      <w:bCs/>
      <w:lang w:val="en-AU"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B4F33"/>
    <w:pPr>
      <w:spacing w:before="60" w:after="40" w:line="260" w:lineRule="atLeast"/>
    </w:pPr>
    <w:rPr>
      <w:rFonts w:ascii="Book Antiqua" w:eastAsia="Times New Roman" w:hAnsi="Book Antiqua" w:cs="Times New Roman"/>
      <w:b/>
      <w:bCs/>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B4F33"/>
    <w:pPr>
      <w:spacing w:before="60" w:after="40" w:line="260" w:lineRule="atLeast"/>
    </w:pPr>
    <w:rPr>
      <w:rFonts w:ascii="Book Antiqua" w:eastAsia="Times New Roman" w:hAnsi="Book Antiqua" w:cs="Times New Roman"/>
      <w:lang w:val="en-AU"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B4F33"/>
    <w:pPr>
      <w:spacing w:before="60" w:after="40" w:line="260" w:lineRule="atLeast"/>
    </w:pPr>
    <w:rPr>
      <w:rFonts w:ascii="Book Antiqua" w:eastAsia="Times New Roman" w:hAnsi="Book Antiqua" w:cs="Times New Roman"/>
      <w:lang w:val="en-AU"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B4F33"/>
    <w:pPr>
      <w:spacing w:before="60" w:after="40" w:line="260" w:lineRule="atLeast"/>
    </w:pPr>
    <w:rPr>
      <w:rFonts w:ascii="Book Antiqua" w:eastAsia="Times New Roman" w:hAnsi="Book Antiqua" w:cs="Times New Roman"/>
      <w:lang w:val="en-AU"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2">
    <w:name w:val="Table Grid 2"/>
    <w:basedOn w:val="TableNormal"/>
    <w:semiHidden/>
    <w:rsid w:val="00EB4F33"/>
    <w:pPr>
      <w:spacing w:before="60" w:after="40" w:line="260" w:lineRule="atLeast"/>
    </w:pPr>
    <w:rPr>
      <w:rFonts w:ascii="Book Antiqua" w:eastAsia="Times New Roman" w:hAnsi="Book Antiqua" w:cs="Times New Roman"/>
      <w:lang w:val="en-AU"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B4F33"/>
    <w:pPr>
      <w:spacing w:before="60" w:after="40" w:line="260" w:lineRule="atLeast"/>
    </w:pPr>
    <w:rPr>
      <w:rFonts w:ascii="Book Antiqua" w:eastAsia="Times New Roman" w:hAnsi="Book Antiqua" w:cs="Times New Roman"/>
      <w:lang w:val="en-AU"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B4F33"/>
    <w:pPr>
      <w:spacing w:before="60" w:after="40" w:line="260" w:lineRule="atLeast"/>
    </w:pPr>
    <w:rPr>
      <w:rFonts w:ascii="Book Antiqua" w:eastAsia="Times New Roman" w:hAnsi="Book Antiqua" w:cs="Times New Roman"/>
      <w:b/>
      <w:bCs/>
      <w:lang w:val="en-AU"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B4F33"/>
    <w:pPr>
      <w:spacing w:before="60" w:after="40" w:line="260" w:lineRule="atLeast"/>
    </w:pPr>
    <w:rPr>
      <w:rFonts w:ascii="Book Antiqua" w:eastAsia="Times New Roman" w:hAnsi="Book Antiqua" w:cs="Times New Roman"/>
      <w:lang w:val="en-AU"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B4F33"/>
    <w:pPr>
      <w:spacing w:before="60" w:after="40" w:line="260" w:lineRule="atLeast"/>
    </w:pPr>
    <w:rPr>
      <w:rFonts w:ascii="Book Antiqua" w:eastAsia="Times New Roman" w:hAnsi="Book Antiqua" w:cs="Times New Roman"/>
      <w:lang w:val="en-AU"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B4F33"/>
    <w:pPr>
      <w:spacing w:before="60" w:after="40" w:line="260" w:lineRule="atLeast"/>
    </w:pPr>
    <w:rPr>
      <w:rFonts w:ascii="Book Antiqua" w:eastAsia="Times New Roman" w:hAnsi="Book Antiqua" w:cs="Times New Roman"/>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B4F33"/>
    <w:pPr>
      <w:spacing w:before="60" w:after="40" w:line="260" w:lineRule="atLeast"/>
    </w:pPr>
    <w:rPr>
      <w:rFonts w:ascii="Book Antiqua" w:eastAsia="Times New Roman" w:hAnsi="Book Antiqua" w:cs="Times New Roman"/>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B4F33"/>
    <w:pPr>
      <w:spacing w:before="60" w:after="40" w:line="260" w:lineRule="atLeast"/>
    </w:pPr>
    <w:rPr>
      <w:rFonts w:ascii="Book Antiqua" w:eastAsia="Times New Roman" w:hAnsi="Book Antiqua" w:cs="Times New Roman"/>
      <w:lang w:val="en-AU"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B4F33"/>
    <w:pPr>
      <w:spacing w:before="60" w:after="40" w:line="260" w:lineRule="atLeast"/>
    </w:pPr>
    <w:rPr>
      <w:rFonts w:ascii="Book Antiqua" w:eastAsia="Times New Roman" w:hAnsi="Book Antiqua" w:cs="Times New Roman"/>
      <w:lang w:val="en-AU"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B4F33"/>
    <w:pPr>
      <w:spacing w:before="60" w:after="40" w:line="260" w:lineRule="atLeast"/>
    </w:pPr>
    <w:rPr>
      <w:rFonts w:ascii="Book Antiqua" w:eastAsia="Times New Roman" w:hAnsi="Book Antiqua" w:cs="Times New Roman"/>
      <w:lang w:val="en-AU"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Headingtotal">
    <w:name w:val="Table: Heading &amp; total"/>
    <w:basedOn w:val="TableText0"/>
    <w:next w:val="TableText0"/>
    <w:link w:val="TableHeadingtotalChar"/>
    <w:uiPriority w:val="6"/>
    <w:rsid w:val="00EB4F33"/>
    <w:rPr>
      <w:b/>
    </w:rPr>
  </w:style>
  <w:style w:type="character" w:customStyle="1" w:styleId="TableTextChar">
    <w:name w:val="Table: Text Char"/>
    <w:link w:val="TableText0"/>
    <w:uiPriority w:val="6"/>
    <w:rsid w:val="00EB4F33"/>
    <w:rPr>
      <w:rFonts w:ascii="Arial" w:eastAsia="Times New Roman" w:hAnsi="Arial" w:cs="Times New Roman"/>
      <w:sz w:val="16"/>
      <w:szCs w:val="20"/>
      <w:lang w:val="en-AU"/>
    </w:rPr>
  </w:style>
  <w:style w:type="character" w:customStyle="1" w:styleId="AIHWbodytextChar">
    <w:name w:val="AIHW body text Char"/>
    <w:link w:val="AIHWbodytext"/>
    <w:locked/>
    <w:rsid w:val="00EB4F33"/>
    <w:rPr>
      <w:rFonts w:ascii="Arial" w:eastAsia="Times New Roman" w:hAnsi="Arial" w:cs="Times New Roman"/>
      <w:szCs w:val="20"/>
      <w:lang w:val="en-AU"/>
    </w:rPr>
  </w:style>
  <w:style w:type="paragraph" w:customStyle="1" w:styleId="Heading1nopagebreak0">
    <w:name w:val="Heading 1 no page break"/>
    <w:basedOn w:val="Heading1"/>
    <w:next w:val="Heading2"/>
    <w:rsid w:val="00EB4F33"/>
    <w:pPr>
      <w:keepLines/>
      <w:spacing w:before="720" w:after="360" w:line="480" w:lineRule="atLeast"/>
    </w:pPr>
    <w:rPr>
      <w:rFonts w:ascii="Arial" w:eastAsia="Times New Roman" w:hAnsi="Arial" w:cs="Times New Roman"/>
      <w:color w:val="000000"/>
      <w:kern w:val="0"/>
      <w:sz w:val="44"/>
      <w:szCs w:val="22"/>
    </w:rPr>
  </w:style>
  <w:style w:type="paragraph" w:customStyle="1" w:styleId="BoxItalics">
    <w:name w:val="Box: Italics"/>
    <w:basedOn w:val="BoxText"/>
    <w:next w:val="BoxText"/>
    <w:link w:val="BoxItalicsChar"/>
    <w:uiPriority w:val="3"/>
    <w:qFormat/>
    <w:rsid w:val="00EB4F33"/>
  </w:style>
  <w:style w:type="character" w:customStyle="1" w:styleId="BoxTextChar">
    <w:name w:val="Box: Text Char"/>
    <w:link w:val="BoxText"/>
    <w:uiPriority w:val="3"/>
    <w:rsid w:val="00EB4F33"/>
    <w:rPr>
      <w:rFonts w:ascii="Arial" w:eastAsia="Times New Roman" w:hAnsi="Arial" w:cs="Times New Roman"/>
      <w:sz w:val="21"/>
      <w:szCs w:val="20"/>
      <w:lang w:val="en-AU"/>
    </w:rPr>
  </w:style>
  <w:style w:type="character" w:customStyle="1" w:styleId="BoxItalicsChar">
    <w:name w:val="Box: Italics Char"/>
    <w:link w:val="BoxItalics"/>
    <w:uiPriority w:val="3"/>
    <w:rsid w:val="00EB4F33"/>
    <w:rPr>
      <w:rFonts w:ascii="Arial" w:eastAsia="Times New Roman" w:hAnsi="Arial" w:cs="Times New Roman"/>
      <w:sz w:val="21"/>
      <w:szCs w:val="20"/>
      <w:lang w:val="en-AU"/>
    </w:rPr>
  </w:style>
  <w:style w:type="paragraph" w:customStyle="1" w:styleId="Glossaryentry">
    <w:name w:val="Glossary entry"/>
    <w:basedOn w:val="Normal"/>
    <w:link w:val="GlossaryentryChar"/>
    <w:uiPriority w:val="7"/>
    <w:rsid w:val="00EB4F33"/>
    <w:pPr>
      <w:spacing w:after="120" w:line="260" w:lineRule="atLeast"/>
      <w:jc w:val="left"/>
    </w:pPr>
    <w:rPr>
      <w:rFonts w:ascii="Book Antiqua" w:eastAsia="Times New Roman" w:hAnsi="Book Antiqua" w:cs="Times New Roman"/>
      <w:b/>
      <w:szCs w:val="20"/>
    </w:rPr>
  </w:style>
  <w:style w:type="paragraph" w:customStyle="1" w:styleId="Glossarydefinition">
    <w:name w:val="Glossary definition"/>
    <w:basedOn w:val="Normal"/>
    <w:link w:val="GlossarydefinitionChar"/>
    <w:uiPriority w:val="7"/>
    <w:rsid w:val="00EB4F33"/>
    <w:pPr>
      <w:spacing w:after="120" w:line="260" w:lineRule="atLeast"/>
      <w:jc w:val="left"/>
    </w:pPr>
    <w:rPr>
      <w:rFonts w:ascii="Arial" w:eastAsia="Times New Roman" w:hAnsi="Arial" w:cs="Times New Roman"/>
      <w:szCs w:val="20"/>
    </w:rPr>
  </w:style>
  <w:style w:type="character" w:customStyle="1" w:styleId="GlossaryentryChar">
    <w:name w:val="Glossary entry Char"/>
    <w:link w:val="Glossaryentry"/>
    <w:uiPriority w:val="7"/>
    <w:rsid w:val="00EB4F33"/>
    <w:rPr>
      <w:rFonts w:ascii="Book Antiqua" w:eastAsia="Times New Roman" w:hAnsi="Book Antiqua" w:cs="Times New Roman"/>
      <w:b/>
      <w:szCs w:val="20"/>
      <w:lang w:val="en-AU"/>
    </w:rPr>
  </w:style>
  <w:style w:type="character" w:customStyle="1" w:styleId="GlossarydefinitionChar">
    <w:name w:val="Glossary definition Char"/>
    <w:link w:val="Glossarydefinition"/>
    <w:uiPriority w:val="7"/>
    <w:rsid w:val="00EB4F33"/>
    <w:rPr>
      <w:rFonts w:ascii="Arial" w:eastAsia="Times New Roman" w:hAnsi="Arial" w:cs="Times New Roman"/>
      <w:szCs w:val="20"/>
      <w:lang w:val="en-AU"/>
    </w:rPr>
  </w:style>
  <w:style w:type="paragraph" w:customStyle="1" w:styleId="Instructions">
    <w:name w:val="Instructions"/>
    <w:basedOn w:val="AIHWbodytext"/>
    <w:link w:val="InstructionsChar"/>
    <w:uiPriority w:val="10"/>
    <w:rsid w:val="00EB4F33"/>
    <w:rPr>
      <w:color w:val="C00000"/>
    </w:rPr>
  </w:style>
  <w:style w:type="character" w:customStyle="1" w:styleId="InstructionsChar">
    <w:name w:val="Instructions Char"/>
    <w:basedOn w:val="AIHWbodytextChar"/>
    <w:link w:val="Instructions"/>
    <w:uiPriority w:val="10"/>
    <w:rsid w:val="00EB4F33"/>
    <w:rPr>
      <w:rFonts w:ascii="Arial" w:eastAsia="Times New Roman" w:hAnsi="Arial" w:cs="Times New Roman"/>
      <w:color w:val="C00000"/>
      <w:szCs w:val="20"/>
      <w:lang w:val="en-AU"/>
    </w:rPr>
  </w:style>
  <w:style w:type="paragraph" w:customStyle="1" w:styleId="Boxcontinued">
    <w:name w:val="Box: (continued)"/>
    <w:basedOn w:val="BoxText"/>
    <w:next w:val="BoxHeading1"/>
    <w:uiPriority w:val="4"/>
    <w:rsid w:val="00EB4F33"/>
  </w:style>
  <w:style w:type="paragraph" w:customStyle="1" w:styleId="TableTextright">
    <w:name w:val="Table: Text right"/>
    <w:basedOn w:val="TableText0"/>
    <w:uiPriority w:val="6"/>
    <w:rsid w:val="00EB4F33"/>
    <w:pPr>
      <w:jc w:val="right"/>
    </w:pPr>
  </w:style>
  <w:style w:type="paragraph" w:customStyle="1" w:styleId="TableHeadingtotalright">
    <w:name w:val="Table: Heading &amp; total right"/>
    <w:basedOn w:val="TableHeadingtotal"/>
    <w:uiPriority w:val="6"/>
    <w:rsid w:val="00EB4F33"/>
    <w:pPr>
      <w:jc w:val="right"/>
    </w:pPr>
  </w:style>
  <w:style w:type="paragraph" w:customStyle="1" w:styleId="TableSubtotalright">
    <w:name w:val="Table: Subtotal right"/>
    <w:basedOn w:val="TableSubtotal"/>
    <w:uiPriority w:val="6"/>
    <w:rsid w:val="00EB4F33"/>
  </w:style>
  <w:style w:type="paragraph" w:customStyle="1" w:styleId="TitlePageBodyTextSpaced">
    <w:name w:val="TitlePageBodyTextSpaced"/>
    <w:basedOn w:val="Normal"/>
    <w:semiHidden/>
    <w:qFormat/>
    <w:rsid w:val="00EB4F33"/>
    <w:pPr>
      <w:spacing w:line="240" w:lineRule="atLeast"/>
      <w:jc w:val="left"/>
    </w:pPr>
    <w:rPr>
      <w:rFonts w:ascii="Arial" w:eastAsia="Times New Roman" w:hAnsi="Arial" w:cs="Arial"/>
      <w:sz w:val="20"/>
      <w:szCs w:val="20"/>
      <w:lang w:eastAsia="en-AU"/>
    </w:rPr>
  </w:style>
  <w:style w:type="paragraph" w:customStyle="1" w:styleId="TitlePageBodyTextNoSpace">
    <w:name w:val="TitlePageBodyTextNoSpace"/>
    <w:basedOn w:val="TitlePageBodyTextSpaced"/>
    <w:semiHidden/>
    <w:qFormat/>
    <w:rsid w:val="00EB4F33"/>
  </w:style>
  <w:style w:type="table" w:customStyle="1" w:styleId="TableNoBorder">
    <w:name w:val="Table No Border"/>
    <w:basedOn w:val="TableNormal"/>
    <w:uiPriority w:val="99"/>
    <w:rsid w:val="00EB4F33"/>
    <w:pPr>
      <w:spacing w:before="60" w:after="40" w:line="260" w:lineRule="atLeast"/>
    </w:pPr>
    <w:rPr>
      <w:rFonts w:ascii="Book Antiqua" w:eastAsia="Times New Roman" w:hAnsi="Book Antiqua" w:cs="Times New Roman"/>
      <w:lang w:val="en-AU" w:eastAsia="en-AU"/>
    </w:rPr>
    <w:tblPr/>
  </w:style>
  <w:style w:type="character" w:customStyle="1" w:styleId="TableHeadingtotalChar">
    <w:name w:val="Table: Heading &amp; total Char"/>
    <w:basedOn w:val="DefaultParagraphFont"/>
    <w:link w:val="TableHeadingtotal"/>
    <w:uiPriority w:val="6"/>
    <w:rsid w:val="00EB4F33"/>
    <w:rPr>
      <w:rFonts w:ascii="Arial" w:eastAsia="Times New Roman" w:hAnsi="Arial" w:cs="Times New Roman"/>
      <w:b/>
      <w:sz w:val="16"/>
      <w:szCs w:val="20"/>
      <w:lang w:val="en-AU"/>
    </w:rPr>
  </w:style>
  <w:style w:type="character" w:customStyle="1" w:styleId="TableSourcefootnotesChar">
    <w:name w:val="Table: Source &amp; footnotes Char"/>
    <w:basedOn w:val="DefaultParagraphFont"/>
    <w:link w:val="TableSourcefootnotes"/>
    <w:uiPriority w:val="5"/>
    <w:locked/>
    <w:rsid w:val="00EB4F33"/>
    <w:rPr>
      <w:rFonts w:ascii="Arial" w:eastAsia="Times New Roman" w:hAnsi="Arial" w:cs="Times New Roman"/>
      <w:sz w:val="14"/>
      <w:szCs w:val="20"/>
      <w:lang w:val="en-AU"/>
    </w:rPr>
  </w:style>
  <w:style w:type="character" w:customStyle="1" w:styleId="TableLetteredfootnotesChar">
    <w:name w:val="Table: Lettered footnotes Char"/>
    <w:basedOn w:val="DefaultParagraphFont"/>
    <w:link w:val="TableLetteredfootnotes"/>
    <w:rsid w:val="00EB4F33"/>
    <w:rPr>
      <w:rFonts w:ascii="Arial" w:eastAsia="Times New Roman" w:hAnsi="Arial" w:cs="Times New Roman"/>
      <w:sz w:val="14"/>
      <w:szCs w:val="20"/>
      <w:lang w:val="en-AU"/>
    </w:rPr>
  </w:style>
  <w:style w:type="character" w:customStyle="1" w:styleId="TableCaptionChar">
    <w:name w:val="Table: Caption Char"/>
    <w:basedOn w:val="DefaultParagraphFont"/>
    <w:link w:val="TableCaption"/>
    <w:uiPriority w:val="5"/>
    <w:rsid w:val="00EB4F33"/>
    <w:rPr>
      <w:rFonts w:ascii="Arial" w:eastAsia="Times New Roman" w:hAnsi="Arial" w:cs="Times New Roman"/>
      <w:b/>
      <w:sz w:val="20"/>
      <w:szCs w:val="20"/>
      <w:lang w:val="en-AU"/>
    </w:rPr>
  </w:style>
  <w:style w:type="character" w:customStyle="1" w:styleId="FigureCaptionChar">
    <w:name w:val="Figure: Caption Char"/>
    <w:link w:val="FigureCaption"/>
    <w:uiPriority w:val="5"/>
    <w:rsid w:val="00EB4F33"/>
    <w:rPr>
      <w:rFonts w:ascii="Arial" w:eastAsia="Times New Roman" w:hAnsi="Arial" w:cs="Times New Roman"/>
      <w:b/>
      <w:sz w:val="20"/>
      <w:szCs w:val="20"/>
      <w:lang w:val="en-AU"/>
    </w:rPr>
  </w:style>
  <w:style w:type="paragraph" w:customStyle="1" w:styleId="Figurenumbered">
    <w:name w:val="Figure: numbered"/>
    <w:basedOn w:val="FigureSourcefootnotes"/>
    <w:rsid w:val="00EB4F33"/>
    <w:pPr>
      <w:numPr>
        <w:numId w:val="35"/>
      </w:numPr>
    </w:pPr>
  </w:style>
  <w:style w:type="paragraph" w:customStyle="1" w:styleId="Templateexamples">
    <w:name w:val="Template examples"/>
    <w:basedOn w:val="AIHWbodytext"/>
    <w:rsid w:val="00EB4F33"/>
    <w:rPr>
      <w:color w:val="0070C0"/>
      <w:lang w:val="en"/>
    </w:rPr>
  </w:style>
  <w:style w:type="paragraph" w:customStyle="1" w:styleId="ListofAbbrevSymbols">
    <w:name w:val="List of Abbrev/Symbols"/>
    <w:basedOn w:val="AIHWbodytext"/>
    <w:rsid w:val="00EB4F33"/>
    <w:pPr>
      <w:tabs>
        <w:tab w:val="left" w:pos="1276"/>
      </w:tabs>
      <w:spacing w:after="160"/>
      <w:ind w:left="1276" w:hanging="1276"/>
    </w:pPr>
  </w:style>
  <w:style w:type="paragraph" w:customStyle="1" w:styleId="Footeroddpage">
    <w:name w:val="Footer: odd page"/>
    <w:basedOn w:val="Footer"/>
    <w:qFormat/>
    <w:rsid w:val="00EB4F33"/>
    <w:pPr>
      <w:tabs>
        <w:tab w:val="right" w:pos="8505"/>
        <w:tab w:val="right" w:pos="9072"/>
      </w:tabs>
      <w:spacing w:line="260" w:lineRule="atLeast"/>
      <w:jc w:val="right"/>
    </w:pPr>
    <w:rPr>
      <w:rFonts w:ascii="Arial" w:eastAsia="Times New Roman" w:hAnsi="Arial" w:cs="Times New Roman"/>
      <w:noProof w:val="0"/>
      <w:color w:val="auto"/>
      <w:sz w:val="20"/>
      <w:szCs w:val="20"/>
    </w:rPr>
  </w:style>
  <w:style w:type="paragraph" w:customStyle="1" w:styleId="Footerevenpage">
    <w:name w:val="Footer: even page"/>
    <w:basedOn w:val="Footer"/>
    <w:qFormat/>
    <w:rsid w:val="00EB4F33"/>
    <w:pPr>
      <w:tabs>
        <w:tab w:val="left" w:pos="567"/>
      </w:tabs>
      <w:spacing w:line="260" w:lineRule="atLeast"/>
      <w:jc w:val="left"/>
    </w:pPr>
    <w:rPr>
      <w:rFonts w:ascii="Arial" w:eastAsia="Times New Roman" w:hAnsi="Arial" w:cs="Times New Roman"/>
      <w:noProof w:val="0"/>
      <w:color w:val="auto"/>
      <w:sz w:val="20"/>
      <w:szCs w:val="20"/>
    </w:rPr>
  </w:style>
  <w:style w:type="paragraph" w:customStyle="1" w:styleId="09Versotitlepagetext0">
    <w:name w:val="09 Verso titlepage text"/>
    <w:basedOn w:val="Normal"/>
    <w:uiPriority w:val="8"/>
    <w:rsid w:val="00EB4F33"/>
    <w:pPr>
      <w:spacing w:before="40" w:after="40" w:line="240" w:lineRule="atLeast"/>
      <w:jc w:val="left"/>
    </w:pPr>
    <w:rPr>
      <w:rFonts w:ascii="Arial" w:hAnsi="Arial" w:cs="Arial"/>
      <w:color w:val="000000"/>
      <w:sz w:val="20"/>
      <w:szCs w:val="20"/>
    </w:rPr>
  </w:style>
  <w:style w:type="paragraph" w:customStyle="1" w:styleId="Highlightboxtext">
    <w:name w:val="Highlight box text"/>
    <w:basedOn w:val="BoxText"/>
    <w:qFormat/>
    <w:rsid w:val="00EB4F33"/>
  </w:style>
  <w:style w:type="character" w:customStyle="1" w:styleId="ui-provider">
    <w:name w:val="ui-provider"/>
    <w:basedOn w:val="DefaultParagraphFont"/>
    <w:rsid w:val="00EB4F33"/>
  </w:style>
  <w:style w:type="table" w:styleId="GridTable2-Accent1">
    <w:name w:val="Grid Table 2 Accent 1"/>
    <w:basedOn w:val="TableNormal"/>
    <w:uiPriority w:val="47"/>
    <w:rsid w:val="00EB4F33"/>
    <w:pPr>
      <w:spacing w:before="60" w:after="0" w:line="240" w:lineRule="auto"/>
    </w:pPr>
    <w:rPr>
      <w:rFonts w:ascii="Book Antiqua" w:eastAsia="Times New Roman" w:hAnsi="Book Antiqua" w:cs="Times New Roman"/>
      <w:lang w:val="en-AU" w:eastAsia="en-AU"/>
    </w:rPr>
    <w:tblPr>
      <w:tblStyleRowBandSize w:val="1"/>
      <w:tblStyleColBandSize w:val="1"/>
      <w:tblBorders>
        <w:top w:val="single" w:sz="2" w:space="0" w:color="81B1DC" w:themeColor="accent1" w:themeTint="99"/>
        <w:bottom w:val="single" w:sz="2" w:space="0" w:color="81B1DC" w:themeColor="accent1" w:themeTint="99"/>
        <w:insideH w:val="single" w:sz="2" w:space="0" w:color="81B1DC" w:themeColor="accent1" w:themeTint="99"/>
        <w:insideV w:val="single" w:sz="2" w:space="0" w:color="81B1DC" w:themeColor="accent1" w:themeTint="99"/>
      </w:tblBorders>
    </w:tblPr>
    <w:tblStylePr w:type="firstRow">
      <w:rPr>
        <w:b/>
        <w:bCs/>
      </w:rPr>
      <w:tblPr/>
      <w:tcPr>
        <w:tcBorders>
          <w:top w:val="nil"/>
          <w:bottom w:val="single" w:sz="12" w:space="0" w:color="81B1DC" w:themeColor="accent1" w:themeTint="99"/>
          <w:insideH w:val="nil"/>
          <w:insideV w:val="nil"/>
        </w:tcBorders>
        <w:shd w:val="clear" w:color="auto" w:fill="FFFFFF" w:themeFill="background1"/>
      </w:tcPr>
    </w:tblStylePr>
    <w:tblStylePr w:type="lastRow">
      <w:rPr>
        <w:b/>
        <w:bCs/>
      </w:rPr>
      <w:tblPr/>
      <w:tcPr>
        <w:tcBorders>
          <w:top w:val="double" w:sz="2" w:space="0" w:color="81B1D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E4F3" w:themeFill="accent1" w:themeFillTint="33"/>
      </w:tcPr>
    </w:tblStylePr>
    <w:tblStylePr w:type="band1Horz">
      <w:tblPr/>
      <w:tcPr>
        <w:shd w:val="clear" w:color="auto" w:fill="D5E4F3" w:themeFill="accent1" w:themeFillTint="33"/>
      </w:tcPr>
    </w:tblStylePr>
  </w:style>
  <w:style w:type="table" w:styleId="GridTable2">
    <w:name w:val="Grid Table 2"/>
    <w:basedOn w:val="TableNormal"/>
    <w:uiPriority w:val="47"/>
    <w:rsid w:val="00EB4F33"/>
    <w:pPr>
      <w:spacing w:before="60" w:after="0" w:line="240" w:lineRule="auto"/>
    </w:pPr>
    <w:rPr>
      <w:rFonts w:ascii="Book Antiqua" w:eastAsia="Times New Roman" w:hAnsi="Book Antiqua" w:cs="Times New Roman"/>
      <w:lang w:val="en-AU" w:eastAsia="en-AU"/>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EB4F33"/>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EB4F33"/>
  </w:style>
  <w:style w:type="character" w:customStyle="1" w:styleId="eop">
    <w:name w:val="eop"/>
    <w:basedOn w:val="DefaultParagraphFont"/>
    <w:rsid w:val="00EB4F33"/>
  </w:style>
  <w:style w:type="paragraph" w:customStyle="1" w:styleId="pf0">
    <w:name w:val="pf0"/>
    <w:basedOn w:val="Normal"/>
    <w:rsid w:val="00EB4F33"/>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cf01">
    <w:name w:val="cf01"/>
    <w:basedOn w:val="DefaultParagraphFont"/>
    <w:rsid w:val="00EB4F33"/>
    <w:rPr>
      <w:rFonts w:ascii="Segoe UI" w:hAnsi="Segoe UI" w:cs="Segoe UI" w:hint="default"/>
      <w:sz w:val="18"/>
      <w:szCs w:val="18"/>
    </w:rPr>
  </w:style>
  <w:style w:type="character" w:customStyle="1" w:styleId="cf11">
    <w:name w:val="cf11"/>
    <w:basedOn w:val="DefaultParagraphFont"/>
    <w:rsid w:val="00EB4F33"/>
    <w:rPr>
      <w:rFonts w:ascii="Segoe UI" w:hAnsi="Segoe UI" w:cs="Segoe UI" w:hint="default"/>
      <w:sz w:val="18"/>
      <w:szCs w:val="18"/>
      <w:shd w:val="clear" w:color="auto" w:fill="FFFF00"/>
    </w:rPr>
  </w:style>
  <w:style w:type="paragraph" w:styleId="TOC7">
    <w:name w:val="toc 7"/>
    <w:basedOn w:val="Normal"/>
    <w:next w:val="Normal"/>
    <w:autoRedefine/>
    <w:uiPriority w:val="39"/>
    <w:unhideWhenUsed/>
    <w:rsid w:val="002D1A98"/>
    <w:pPr>
      <w:spacing w:after="100" w:line="259" w:lineRule="auto"/>
      <w:ind w:left="1320"/>
      <w:jc w:val="left"/>
    </w:pPr>
    <w:rPr>
      <w:rFonts w:eastAsiaTheme="minorEastAsia"/>
      <w:lang w:eastAsia="en-AU"/>
    </w:rPr>
  </w:style>
  <w:style w:type="paragraph" w:customStyle="1" w:styleId="Heading2nonumber">
    <w:name w:val="Heading 2 no number"/>
    <w:basedOn w:val="Heading2"/>
    <w:qFormat/>
    <w:rsid w:val="00B36308"/>
    <w:pPr>
      <w:tabs>
        <w:tab w:val="left" w:pos="851"/>
      </w:tabs>
    </w:pPr>
  </w:style>
  <w:style w:type="paragraph" w:customStyle="1" w:styleId="Heading3nonumber">
    <w:name w:val="Heading 3 no number"/>
    <w:basedOn w:val="Heading3"/>
    <w:qFormat/>
    <w:rsid w:val="008C08A9"/>
    <w:pPr>
      <w:numPr>
        <w:numId w:val="57"/>
      </w:numPr>
    </w:pPr>
    <w:rPr>
      <w:lang w:val="en-AU"/>
    </w:rPr>
  </w:style>
  <w:style w:type="paragraph" w:customStyle="1" w:styleId="Heading3notnumber">
    <w:name w:val="Heading 3 not number"/>
    <w:basedOn w:val="Heading3"/>
    <w:qFormat/>
    <w:rsid w:val="00E30AE0"/>
    <w:pPr>
      <w:ind w:left="0" w:firstLine="0"/>
    </w:pPr>
  </w:style>
  <w:style w:type="paragraph" w:customStyle="1" w:styleId="Heading1nonumber">
    <w:name w:val="Heading 1 no number"/>
    <w:basedOn w:val="Heading1"/>
    <w:qFormat/>
    <w:rsid w:val="003938D0"/>
    <w:pPr>
      <w:numPr>
        <w:numId w:val="57"/>
      </w:numPr>
    </w:pPr>
  </w:style>
  <w:style w:type="paragraph" w:customStyle="1" w:styleId="Heading2nonumbers">
    <w:name w:val="Heading 2 no numbers"/>
    <w:basedOn w:val="Heading2"/>
    <w:qFormat/>
    <w:rsid w:val="007C3B25"/>
    <w:pPr>
      <w:tabs>
        <w:tab w:val="left" w:pos="851"/>
      </w:tabs>
      <w:ind w:left="0" w:firstLine="0"/>
    </w:pPr>
    <w:rPr>
      <w:color w:val="275D8E" w:themeColor="accent1" w:themeShade="BF"/>
    </w:rPr>
  </w:style>
  <w:style w:type="paragraph" w:customStyle="1" w:styleId="Heading3nonumbers">
    <w:name w:val="Heading 3 no numbers"/>
    <w:basedOn w:val="Heading3"/>
    <w:qFormat/>
    <w:rsid w:val="00741088"/>
    <w:pPr>
      <w:ind w:left="0" w:firstLine="0"/>
    </w:pPr>
    <w:rPr>
      <w:color w:val="275D8E" w:themeColor="accent1" w:themeShade="BF"/>
    </w:rPr>
  </w:style>
  <w:style w:type="paragraph" w:customStyle="1" w:styleId="Partheading">
    <w:name w:val="Part heading"/>
    <w:basedOn w:val="CoverTitle"/>
    <w:qFormat/>
    <w:rsid w:val="00F01ACA"/>
    <w:rPr>
      <w:color w:val="357DBE" w:themeColor="accent1"/>
    </w:rPr>
  </w:style>
  <w:style w:type="paragraph" w:customStyle="1" w:styleId="ACReport-MainTitle">
    <w:name w:val="A+C Report - Main Title"/>
    <w:basedOn w:val="Normal"/>
    <w:link w:val="ACReport-MainTitleChar"/>
    <w:rsid w:val="00FE36AE"/>
    <w:pPr>
      <w:numPr>
        <w:ilvl w:val="1"/>
        <w:numId w:val="39"/>
      </w:numPr>
      <w:spacing w:before="240" w:after="0" w:line="216" w:lineRule="auto"/>
      <w:jc w:val="left"/>
    </w:pPr>
    <w:rPr>
      <w:rFonts w:ascii="Calibri Light" w:eastAsia="Times New Roman" w:hAnsi="Calibri Light" w:cs="Times New Roman"/>
      <w:color w:val="FFFFFF"/>
      <w:sz w:val="96"/>
      <w:szCs w:val="24"/>
      <w:lang w:eastAsia="en-AU"/>
    </w:rPr>
  </w:style>
  <w:style w:type="character" w:styleId="PlaceholderText">
    <w:name w:val="Placeholder Text"/>
    <w:basedOn w:val="DefaultParagraphFont"/>
    <w:uiPriority w:val="99"/>
    <w:semiHidden/>
    <w:rsid w:val="00CC48F5"/>
    <w:rPr>
      <w:color w:val="808080"/>
    </w:rPr>
  </w:style>
  <w:style w:type="paragraph" w:customStyle="1" w:styleId="Normal0">
    <w:name w:val="[Normal]"/>
    <w:rsid w:val="006E052F"/>
    <w:pPr>
      <w:widowControl w:val="0"/>
      <w:autoSpaceDE w:val="0"/>
      <w:autoSpaceDN w:val="0"/>
      <w:adjustRightInd w:val="0"/>
      <w:spacing w:after="0" w:line="240" w:lineRule="auto"/>
    </w:pPr>
    <w:rPr>
      <w:rFonts w:ascii="Arial" w:hAnsi="Arial" w:cs="Arial"/>
      <w:sz w:val="24"/>
      <w:szCs w:val="24"/>
      <w:lang w:val="en-NZ"/>
    </w:rPr>
  </w:style>
  <w:style w:type="numbering" w:customStyle="1" w:styleId="NoList1">
    <w:name w:val="No List1"/>
    <w:next w:val="NoList"/>
    <w:uiPriority w:val="99"/>
    <w:semiHidden/>
    <w:unhideWhenUsed/>
    <w:rsid w:val="006E052F"/>
  </w:style>
  <w:style w:type="table" w:customStyle="1" w:styleId="ACtable21">
    <w:name w:val="A+C table 21"/>
    <w:basedOn w:val="TableNormal"/>
    <w:next w:val="TableGrid"/>
    <w:uiPriority w:val="39"/>
    <w:rsid w:val="006E052F"/>
    <w:pPr>
      <w:spacing w:after="0" w:line="240" w:lineRule="auto"/>
      <w:ind w:left="397" w:hanging="397"/>
    </w:pPr>
    <w:rPr>
      <w:rFonts w:ascii="Cambria" w:hAnsi="Cambria"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CGreen-BandedTable">
    <w:name w:val="A+C Green - Banded Table"/>
    <w:basedOn w:val="TableNormal"/>
    <w:uiPriority w:val="99"/>
    <w:rsid w:val="006E052F"/>
    <w:pPr>
      <w:spacing w:after="0" w:line="240" w:lineRule="auto"/>
    </w:pPr>
    <w:rPr>
      <w:rFonts w:ascii="Calibri Light" w:hAnsi="Calibri Light" w:cs="Calibri"/>
      <w:sz w:val="21"/>
    </w:rPr>
    <w:tblPr>
      <w:tblStyleRowBandSize w:val="1"/>
      <w:tblBorders>
        <w:top w:val="single" w:sz="4" w:space="0" w:color="9C533A"/>
        <w:left w:val="single" w:sz="4" w:space="0" w:color="9C533A"/>
        <w:bottom w:val="single" w:sz="4" w:space="0" w:color="9C533A"/>
        <w:right w:val="single" w:sz="4" w:space="0" w:color="9C533A"/>
        <w:insideH w:val="single" w:sz="4" w:space="0" w:color="9C533A"/>
        <w:insideV w:val="single" w:sz="4" w:space="0" w:color="9C533A"/>
      </w:tblBorders>
      <w:tblCellMar>
        <w:top w:w="57" w:type="dxa"/>
        <w:left w:w="28" w:type="dxa"/>
        <w:bottom w:w="57" w:type="dxa"/>
        <w:right w:w="28" w:type="dxa"/>
      </w:tblCellMar>
    </w:tblPr>
    <w:tblStylePr w:type="firstRow">
      <w:rPr>
        <w:rFonts w:ascii="Calibri Light" w:hAnsi="Calibri Light"/>
        <w:color w:val="FFFFFF"/>
      </w:rPr>
      <w:tblPr/>
      <w:tcPr>
        <w:shd w:val="clear" w:color="auto" w:fill="9C533A"/>
      </w:tcPr>
    </w:tblStylePr>
    <w:tblStylePr w:type="band2Horz">
      <w:tblPr/>
      <w:tcPr>
        <w:shd w:val="clear" w:color="auto" w:fill="EFDAD3"/>
      </w:tcPr>
    </w:tblStylePr>
  </w:style>
  <w:style w:type="table" w:customStyle="1" w:styleId="ACGrey-BandedTable">
    <w:name w:val="A+C Grey - Banded Table"/>
    <w:basedOn w:val="TableNormal"/>
    <w:uiPriority w:val="99"/>
    <w:rsid w:val="006E052F"/>
    <w:pPr>
      <w:spacing w:after="0" w:line="240" w:lineRule="auto"/>
    </w:pPr>
    <w:rPr>
      <w:rFonts w:ascii="Calibri Light" w:hAnsi="Calibri Light" w:cs="Calibri"/>
      <w:sz w:val="21"/>
    </w:rPr>
    <w:tblPr>
      <w:tblStyleRowBandSize w:val="1"/>
      <w:tblBorders>
        <w:top w:val="single" w:sz="4" w:space="0" w:color="525450"/>
        <w:left w:val="single" w:sz="4" w:space="0" w:color="525450"/>
        <w:bottom w:val="single" w:sz="4" w:space="0" w:color="525450"/>
        <w:right w:val="single" w:sz="4" w:space="0" w:color="525450"/>
        <w:insideH w:val="single" w:sz="4" w:space="0" w:color="525450"/>
        <w:insideV w:val="single" w:sz="4" w:space="0" w:color="525450"/>
      </w:tblBorders>
      <w:tblCellMar>
        <w:top w:w="57" w:type="dxa"/>
        <w:left w:w="28" w:type="dxa"/>
        <w:bottom w:w="57" w:type="dxa"/>
        <w:right w:w="28" w:type="dxa"/>
      </w:tblCellMar>
    </w:tblPr>
    <w:tcPr>
      <w:shd w:val="clear" w:color="auto" w:fill="auto"/>
    </w:tcPr>
    <w:tblStylePr w:type="firstRow">
      <w:rPr>
        <w:rFonts w:ascii="Calibri Light" w:hAnsi="Calibri Light"/>
        <w:color w:val="FFFFFF"/>
      </w:rPr>
      <w:tblPr/>
      <w:tcPr>
        <w:shd w:val="clear" w:color="auto" w:fill="525450"/>
      </w:tcPr>
    </w:tblStylePr>
    <w:tblStylePr w:type="band2Horz">
      <w:rPr>
        <w:color w:val="auto"/>
      </w:rPr>
      <w:tblPr/>
      <w:tcPr>
        <w:shd w:val="clear" w:color="auto" w:fill="DCDDDB"/>
      </w:tcPr>
    </w:tblStylePr>
  </w:style>
  <w:style w:type="table" w:customStyle="1" w:styleId="ACGrey-BasicTable">
    <w:name w:val="A+C Grey - Basic Table"/>
    <w:basedOn w:val="TableNormal"/>
    <w:uiPriority w:val="99"/>
    <w:rsid w:val="006E052F"/>
    <w:pPr>
      <w:spacing w:after="0" w:line="240" w:lineRule="auto"/>
    </w:pPr>
    <w:rPr>
      <w:rFonts w:ascii="Calibri Light" w:hAnsi="Calibri Light" w:cs="Calibri"/>
      <w:sz w:val="21"/>
    </w:rPr>
    <w:tblPr>
      <w:tblBorders>
        <w:top w:val="single" w:sz="4" w:space="0" w:color="525450"/>
        <w:left w:val="single" w:sz="4" w:space="0" w:color="525450"/>
        <w:bottom w:val="single" w:sz="4" w:space="0" w:color="525450"/>
        <w:right w:val="single" w:sz="4" w:space="0" w:color="525450"/>
        <w:insideH w:val="single" w:sz="4" w:space="0" w:color="525450"/>
        <w:insideV w:val="single" w:sz="4" w:space="0" w:color="525450"/>
      </w:tblBorders>
      <w:tblCellMar>
        <w:top w:w="57" w:type="dxa"/>
        <w:left w:w="28" w:type="dxa"/>
        <w:bottom w:w="57" w:type="dxa"/>
        <w:right w:w="28" w:type="dxa"/>
      </w:tblCellMar>
    </w:tblPr>
    <w:tblStylePr w:type="firstRow">
      <w:rPr>
        <w:rFonts w:ascii="Calibri Light" w:hAnsi="Calibri Light"/>
        <w:b/>
        <w:color w:val="FFFFFF"/>
        <w:sz w:val="20"/>
      </w:rPr>
      <w:tblPr/>
      <w:trPr>
        <w:cantSplit/>
        <w:tblHeader/>
      </w:trPr>
      <w:tcPr>
        <w:shd w:val="clear" w:color="auto" w:fill="525450"/>
      </w:tcPr>
    </w:tblStylePr>
  </w:style>
  <w:style w:type="paragraph" w:customStyle="1" w:styleId="MainTitleHeading">
    <w:name w:val="Main Title Heading"/>
    <w:basedOn w:val="Normal"/>
    <w:link w:val="MainTitleHeadingChar"/>
    <w:uiPriority w:val="14"/>
    <w:unhideWhenUsed/>
    <w:qFormat/>
    <w:rsid w:val="006E052F"/>
    <w:pPr>
      <w:spacing w:after="160" w:line="259" w:lineRule="auto"/>
      <w:jc w:val="center"/>
    </w:pPr>
    <w:rPr>
      <w:rFonts w:ascii="Calibri Light" w:hAnsi="Calibri Light" w:cs="Calibri"/>
      <w:b/>
      <w:caps/>
      <w:color w:val="9C533A"/>
      <w:sz w:val="28"/>
      <w:lang w:val="en-NZ"/>
    </w:rPr>
  </w:style>
  <w:style w:type="character" w:customStyle="1" w:styleId="MainTitleHeadingChar">
    <w:name w:val="Main Title Heading Char"/>
    <w:basedOn w:val="DefaultParagraphFont"/>
    <w:link w:val="MainTitleHeading"/>
    <w:uiPriority w:val="14"/>
    <w:rsid w:val="006E052F"/>
    <w:rPr>
      <w:rFonts w:ascii="Calibri Light" w:hAnsi="Calibri Light" w:cs="Calibri"/>
      <w:b/>
      <w:caps/>
      <w:color w:val="9C533A"/>
      <w:sz w:val="28"/>
      <w:lang w:val="en-NZ"/>
    </w:rPr>
  </w:style>
  <w:style w:type="character" w:customStyle="1" w:styleId="ACReport-MainTitleChar">
    <w:name w:val="A+C Report - Main Title Char"/>
    <w:basedOn w:val="MainTitleHeadingChar"/>
    <w:link w:val="ACReport-MainTitle"/>
    <w:rsid w:val="006E052F"/>
    <w:rPr>
      <w:rFonts w:ascii="Calibri Light" w:eastAsia="Times New Roman" w:hAnsi="Calibri Light" w:cs="Times New Roman"/>
      <w:b w:val="0"/>
      <w:caps w:val="0"/>
      <w:color w:val="FFFFFF"/>
      <w:sz w:val="96"/>
      <w:szCs w:val="24"/>
      <w:lang w:val="en-AU" w:eastAsia="en-AU"/>
    </w:rPr>
  </w:style>
  <w:style w:type="paragraph" w:customStyle="1" w:styleId="SubTitleHeading">
    <w:name w:val="Sub Title Heading"/>
    <w:basedOn w:val="Normal"/>
    <w:link w:val="SubTitleHeadingChar"/>
    <w:uiPriority w:val="15"/>
    <w:unhideWhenUsed/>
    <w:qFormat/>
    <w:rsid w:val="006E052F"/>
    <w:pPr>
      <w:spacing w:after="160" w:line="259" w:lineRule="auto"/>
      <w:jc w:val="center"/>
    </w:pPr>
    <w:rPr>
      <w:rFonts w:ascii="Calibri Light" w:hAnsi="Calibri Light" w:cs="Calibri"/>
      <w:b/>
      <w:color w:val="36424A"/>
      <w:sz w:val="28"/>
      <w:lang w:val="en-NZ"/>
    </w:rPr>
  </w:style>
  <w:style w:type="character" w:customStyle="1" w:styleId="SubTitleHeadingChar">
    <w:name w:val="Sub Title Heading Char"/>
    <w:basedOn w:val="DefaultParagraphFont"/>
    <w:link w:val="SubTitleHeading"/>
    <w:uiPriority w:val="15"/>
    <w:rsid w:val="006E052F"/>
    <w:rPr>
      <w:rFonts w:ascii="Calibri Light" w:hAnsi="Calibri Light" w:cs="Calibri"/>
      <w:b/>
      <w:color w:val="36424A"/>
      <w:sz w:val="28"/>
      <w:lang w:val="en-NZ"/>
    </w:rPr>
  </w:style>
  <w:style w:type="paragraph" w:customStyle="1" w:styleId="ACReport-Subtitle">
    <w:name w:val="A+C Report - Subtitle"/>
    <w:basedOn w:val="SubTitleHeading"/>
    <w:link w:val="ACReport-SubtitleChar"/>
    <w:rsid w:val="006E052F"/>
    <w:pPr>
      <w:spacing w:before="240"/>
      <w:jc w:val="left"/>
    </w:pPr>
    <w:rPr>
      <w:color w:val="FFFFFF"/>
      <w:sz w:val="32"/>
    </w:rPr>
  </w:style>
  <w:style w:type="character" w:customStyle="1" w:styleId="ACReport-SubtitleChar">
    <w:name w:val="A+C Report - Subtitle Char"/>
    <w:basedOn w:val="SubTitleHeadingChar"/>
    <w:link w:val="ACReport-Subtitle"/>
    <w:rsid w:val="006E052F"/>
    <w:rPr>
      <w:rFonts w:ascii="Calibri Light" w:hAnsi="Calibri Light" w:cs="Calibri"/>
      <w:b/>
      <w:color w:val="FFFFFF"/>
      <w:sz w:val="32"/>
      <w:lang w:val="en-NZ"/>
    </w:rPr>
  </w:style>
  <w:style w:type="paragraph" w:customStyle="1" w:styleId="ACReportDate">
    <w:name w:val="A+C Report Date"/>
    <w:basedOn w:val="ACReport-Subtitle"/>
    <w:link w:val="ACReportDateChar"/>
    <w:rsid w:val="006E052F"/>
    <w:rPr>
      <w:sz w:val="24"/>
    </w:rPr>
  </w:style>
  <w:style w:type="character" w:customStyle="1" w:styleId="ACReportDateChar">
    <w:name w:val="A+C Report Date Char"/>
    <w:basedOn w:val="ACReport-SubtitleChar"/>
    <w:link w:val="ACReportDate"/>
    <w:rsid w:val="006E052F"/>
    <w:rPr>
      <w:rFonts w:ascii="Calibri Light" w:hAnsi="Calibri Light" w:cs="Calibri"/>
      <w:b/>
      <w:color w:val="FFFFFF"/>
      <w:sz w:val="24"/>
      <w:lang w:val="en-NZ"/>
    </w:rPr>
  </w:style>
  <w:style w:type="paragraph" w:customStyle="1" w:styleId="AltHeading1">
    <w:name w:val="Alt Heading 1"/>
    <w:next w:val="CV-Quals"/>
    <w:link w:val="AltHeading1Char"/>
    <w:uiPriority w:val="10"/>
    <w:qFormat/>
    <w:rsid w:val="006E052F"/>
    <w:pPr>
      <w:spacing w:after="160" w:line="259" w:lineRule="auto"/>
    </w:pPr>
    <w:rPr>
      <w:rFonts w:ascii="Cambria" w:hAnsi="Cambria" w:cs="Calibri"/>
      <w:b/>
      <w:color w:val="4CB3C2"/>
      <w:sz w:val="32"/>
      <w:lang w:val="en-NZ"/>
    </w:rPr>
  </w:style>
  <w:style w:type="character" w:customStyle="1" w:styleId="AltHeading1Char">
    <w:name w:val="Alt Heading 1 Char"/>
    <w:basedOn w:val="DefaultParagraphFont"/>
    <w:link w:val="AltHeading1"/>
    <w:uiPriority w:val="10"/>
    <w:rsid w:val="006E052F"/>
    <w:rPr>
      <w:rFonts w:ascii="Cambria" w:hAnsi="Cambria" w:cs="Calibri"/>
      <w:b/>
      <w:color w:val="4CB3C2"/>
      <w:sz w:val="32"/>
      <w:lang w:val="en-NZ"/>
    </w:rPr>
  </w:style>
  <w:style w:type="paragraph" w:customStyle="1" w:styleId="AltHeading2">
    <w:name w:val="Alt Heading 2"/>
    <w:basedOn w:val="BodyText"/>
    <w:next w:val="BodyText"/>
    <w:link w:val="AltHeading2Char"/>
    <w:uiPriority w:val="11"/>
    <w:qFormat/>
    <w:rsid w:val="006E052F"/>
    <w:pPr>
      <w:keepNext/>
      <w:spacing w:before="360" w:line="280" w:lineRule="exact"/>
    </w:pPr>
    <w:rPr>
      <w:rFonts w:ascii="Arial" w:hAnsi="Arial" w:cs="Calibri"/>
      <w:b/>
      <w:color w:val="4CB3C2"/>
      <w:sz w:val="24"/>
      <w:lang w:val="en-NZ"/>
    </w:rPr>
  </w:style>
  <w:style w:type="character" w:customStyle="1" w:styleId="AltHeading2Char">
    <w:name w:val="Alt Heading 2 Char"/>
    <w:basedOn w:val="DefaultParagraphFont"/>
    <w:link w:val="AltHeading2"/>
    <w:uiPriority w:val="11"/>
    <w:rsid w:val="006E052F"/>
    <w:rPr>
      <w:rFonts w:ascii="Arial" w:hAnsi="Arial" w:cs="Calibri"/>
      <w:b/>
      <w:color w:val="4CB3C2"/>
      <w:sz w:val="24"/>
      <w:lang w:val="en-NZ"/>
    </w:rPr>
  </w:style>
  <w:style w:type="paragraph" w:customStyle="1" w:styleId="AltHeading3">
    <w:name w:val="Alt Heading 3"/>
    <w:next w:val="BodyText"/>
    <w:link w:val="AltHeading3Char"/>
    <w:uiPriority w:val="11"/>
    <w:qFormat/>
    <w:rsid w:val="006E052F"/>
    <w:pPr>
      <w:spacing w:before="360" w:after="160" w:line="259" w:lineRule="auto"/>
    </w:pPr>
    <w:rPr>
      <w:rFonts w:ascii="Calibri Light" w:hAnsi="Calibri Light" w:cs="Calibri"/>
      <w:b/>
      <w:color w:val="525450"/>
      <w:sz w:val="24"/>
      <w:szCs w:val="24"/>
      <w:lang w:val="en-NZ"/>
    </w:rPr>
  </w:style>
  <w:style w:type="character" w:customStyle="1" w:styleId="AltHeading3Char">
    <w:name w:val="Alt Heading 3 Char"/>
    <w:basedOn w:val="Heading5Char"/>
    <w:link w:val="AltHeading3"/>
    <w:uiPriority w:val="11"/>
    <w:rsid w:val="006E052F"/>
    <w:rPr>
      <w:rFonts w:ascii="Calibri Light" w:hAnsi="Calibri Light" w:cs="Calibri"/>
      <w:b/>
      <w:bCs w:val="0"/>
      <w:color w:val="525450"/>
      <w:sz w:val="24"/>
      <w:szCs w:val="24"/>
      <w:lang w:val="en-NZ"/>
    </w:rPr>
  </w:style>
  <w:style w:type="paragraph" w:customStyle="1" w:styleId="CV-Quals">
    <w:name w:val="CV - Quals"/>
    <w:basedOn w:val="BodyText"/>
    <w:next w:val="BodyText"/>
    <w:link w:val="CV-QualsChar"/>
    <w:uiPriority w:val="10"/>
    <w:rsid w:val="006E052F"/>
    <w:pPr>
      <w:spacing w:before="120" w:after="360" w:line="280" w:lineRule="exact"/>
    </w:pPr>
    <w:rPr>
      <w:rFonts w:ascii="Arial" w:hAnsi="Arial" w:cs="Calibri"/>
      <w:b/>
      <w:i/>
      <w:color w:val="525450"/>
      <w:lang w:val="en-NZ"/>
    </w:rPr>
  </w:style>
  <w:style w:type="character" w:customStyle="1" w:styleId="CV-QualsChar">
    <w:name w:val="CV - Quals Char"/>
    <w:basedOn w:val="DefaultParagraphFont"/>
    <w:link w:val="CV-Quals"/>
    <w:uiPriority w:val="10"/>
    <w:rsid w:val="006E052F"/>
    <w:rPr>
      <w:rFonts w:ascii="Arial" w:hAnsi="Arial" w:cs="Calibri"/>
      <w:b/>
      <w:i/>
      <w:color w:val="525450"/>
      <w:lang w:val="en-NZ"/>
    </w:rPr>
  </w:style>
  <w:style w:type="paragraph" w:customStyle="1" w:styleId="Footer-EvenPg">
    <w:name w:val="Footer - Even Pg"/>
    <w:basedOn w:val="Footer"/>
    <w:link w:val="Footer-EvenPgChar"/>
    <w:uiPriority w:val="96"/>
    <w:rsid w:val="006E052F"/>
    <w:pPr>
      <w:pBdr>
        <w:top w:val="single" w:sz="4" w:space="6" w:color="B4795F"/>
      </w:pBdr>
      <w:spacing w:before="240" w:after="160" w:line="259" w:lineRule="auto"/>
      <w:jc w:val="left"/>
    </w:pPr>
    <w:rPr>
      <w:rFonts w:ascii="Calibri Light" w:hAnsi="Calibri Light" w:cs="Calibri"/>
      <w:lang w:val="en-NZ"/>
    </w:rPr>
  </w:style>
  <w:style w:type="character" w:customStyle="1" w:styleId="Footer-EvenPgChar">
    <w:name w:val="Footer - Even Pg Char"/>
    <w:basedOn w:val="FooterChar"/>
    <w:link w:val="Footer-EvenPg"/>
    <w:uiPriority w:val="96"/>
    <w:rsid w:val="006E052F"/>
    <w:rPr>
      <w:rFonts w:ascii="Calibri Light" w:hAnsi="Calibri Light" w:cs="Calibri"/>
      <w:noProof/>
      <w:color w:val="808080" w:themeColor="background1" w:themeShade="80"/>
      <w:sz w:val="18"/>
      <w:szCs w:val="18"/>
      <w:lang w:val="en-NZ"/>
    </w:rPr>
  </w:style>
  <w:style w:type="paragraph" w:customStyle="1" w:styleId="Footer-EvenPg-LANDSCAPE">
    <w:name w:val="Footer - Even Pg - LANDSCAPE"/>
    <w:basedOn w:val="Footer-EvenPg"/>
    <w:link w:val="Footer-EvenPg-LANDSCAPEChar"/>
    <w:uiPriority w:val="97"/>
    <w:qFormat/>
    <w:rsid w:val="006E052F"/>
    <w:pPr>
      <w:pBdr>
        <w:top w:val="single" w:sz="4" w:space="0" w:color="B4795F"/>
      </w:pBdr>
    </w:pPr>
  </w:style>
  <w:style w:type="character" w:customStyle="1" w:styleId="Footer-EvenPg-LANDSCAPEChar">
    <w:name w:val="Footer - Even Pg - LANDSCAPE Char"/>
    <w:basedOn w:val="Footer-EvenPgChar"/>
    <w:link w:val="Footer-EvenPg-LANDSCAPE"/>
    <w:uiPriority w:val="97"/>
    <w:rsid w:val="006E052F"/>
    <w:rPr>
      <w:rFonts w:ascii="Calibri Light" w:hAnsi="Calibri Light" w:cs="Calibri"/>
      <w:noProof/>
      <w:color w:val="808080" w:themeColor="background1" w:themeShade="80"/>
      <w:sz w:val="18"/>
      <w:szCs w:val="18"/>
      <w:lang w:val="en-NZ"/>
    </w:rPr>
  </w:style>
  <w:style w:type="paragraph" w:customStyle="1" w:styleId="Footer-EvenPg-RomanNumeral">
    <w:name w:val="Footer - Even Pg - Roman Numeral"/>
    <w:basedOn w:val="Footer-EvenPg"/>
    <w:link w:val="Footer-EvenPg-RomanNumeralChar"/>
    <w:uiPriority w:val="98"/>
    <w:qFormat/>
    <w:rsid w:val="006E052F"/>
    <w:pPr>
      <w:pBdr>
        <w:top w:val="single" w:sz="4" w:space="1" w:color="B4795F"/>
      </w:pBdr>
    </w:pPr>
  </w:style>
  <w:style w:type="character" w:customStyle="1" w:styleId="Footer-EvenPg-RomanNumeralChar">
    <w:name w:val="Footer - Even Pg - Roman Numeral Char"/>
    <w:basedOn w:val="Footer-EvenPgChar"/>
    <w:link w:val="Footer-EvenPg-RomanNumeral"/>
    <w:uiPriority w:val="98"/>
    <w:rsid w:val="006E052F"/>
    <w:rPr>
      <w:rFonts w:ascii="Calibri Light" w:hAnsi="Calibri Light" w:cs="Calibri"/>
      <w:noProof/>
      <w:color w:val="808080" w:themeColor="background1" w:themeShade="80"/>
      <w:sz w:val="18"/>
      <w:szCs w:val="18"/>
      <w:lang w:val="en-NZ"/>
    </w:rPr>
  </w:style>
  <w:style w:type="paragraph" w:customStyle="1" w:styleId="Footer-OddPage">
    <w:name w:val="Footer - Odd Page"/>
    <w:basedOn w:val="Footer"/>
    <w:link w:val="Footer-OddPageChar"/>
    <w:uiPriority w:val="96"/>
    <w:rsid w:val="006E052F"/>
    <w:pPr>
      <w:pBdr>
        <w:top w:val="single" w:sz="4" w:space="6" w:color="B4795F"/>
      </w:pBdr>
      <w:tabs>
        <w:tab w:val="center" w:pos="4253"/>
        <w:tab w:val="right" w:pos="9071"/>
      </w:tabs>
      <w:spacing w:before="240" w:after="160" w:line="259" w:lineRule="auto"/>
      <w:jc w:val="left"/>
    </w:pPr>
    <w:rPr>
      <w:rFonts w:ascii="Calibri Light" w:hAnsi="Calibri Light" w:cs="Calibri"/>
      <w:lang w:val="en-NZ"/>
    </w:rPr>
  </w:style>
  <w:style w:type="character" w:customStyle="1" w:styleId="Footer-OddPageChar">
    <w:name w:val="Footer - Odd Page Char"/>
    <w:basedOn w:val="FooterChar"/>
    <w:link w:val="Footer-OddPage"/>
    <w:uiPriority w:val="96"/>
    <w:rsid w:val="006E052F"/>
    <w:rPr>
      <w:rFonts w:ascii="Calibri Light" w:hAnsi="Calibri Light" w:cs="Calibri"/>
      <w:noProof/>
      <w:color w:val="808080" w:themeColor="background1" w:themeShade="80"/>
      <w:sz w:val="18"/>
      <w:szCs w:val="18"/>
      <w:lang w:val="en-NZ"/>
    </w:rPr>
  </w:style>
  <w:style w:type="paragraph" w:customStyle="1" w:styleId="Footer-OddpageLANDSCAPE">
    <w:name w:val="Footer - Odd page LANDSCAPE"/>
    <w:basedOn w:val="Footer-OddPage"/>
    <w:link w:val="Footer-OddpageLANDSCAPEChar"/>
    <w:uiPriority w:val="97"/>
    <w:qFormat/>
    <w:rsid w:val="006E052F"/>
    <w:pPr>
      <w:tabs>
        <w:tab w:val="clear" w:pos="9071"/>
        <w:tab w:val="center" w:pos="7088"/>
        <w:tab w:val="right" w:pos="14003"/>
      </w:tabs>
    </w:pPr>
  </w:style>
  <w:style w:type="character" w:customStyle="1" w:styleId="Footer-OddpageLANDSCAPEChar">
    <w:name w:val="Footer - Odd page LANDSCAPE Char"/>
    <w:basedOn w:val="Footer-OddPageChar"/>
    <w:link w:val="Footer-OddpageLANDSCAPE"/>
    <w:uiPriority w:val="97"/>
    <w:rsid w:val="006E052F"/>
    <w:rPr>
      <w:rFonts w:ascii="Calibri Light" w:hAnsi="Calibri Light" w:cs="Calibri"/>
      <w:noProof/>
      <w:color w:val="808080" w:themeColor="background1" w:themeShade="80"/>
      <w:sz w:val="18"/>
      <w:szCs w:val="18"/>
      <w:lang w:val="en-NZ"/>
    </w:rPr>
  </w:style>
  <w:style w:type="paragraph" w:customStyle="1" w:styleId="Footer-OddPg-RomanNumerals">
    <w:name w:val="Footer - Odd Pg - Roman Numerals"/>
    <w:basedOn w:val="Footer-OddPage"/>
    <w:link w:val="Footer-OddPg-RomanNumeralsChar"/>
    <w:uiPriority w:val="98"/>
    <w:qFormat/>
    <w:rsid w:val="006E052F"/>
    <w:pPr>
      <w:pBdr>
        <w:top w:val="single" w:sz="4" w:space="1" w:color="B4795F"/>
      </w:pBdr>
    </w:pPr>
  </w:style>
  <w:style w:type="character" w:customStyle="1" w:styleId="Footer-OddPg-RomanNumeralsChar">
    <w:name w:val="Footer - Odd Pg - Roman Numerals Char"/>
    <w:basedOn w:val="Footer-OddPageChar"/>
    <w:link w:val="Footer-OddPg-RomanNumerals"/>
    <w:uiPriority w:val="98"/>
    <w:rsid w:val="006E052F"/>
    <w:rPr>
      <w:rFonts w:ascii="Calibri Light" w:hAnsi="Calibri Light" w:cs="Calibri"/>
      <w:noProof/>
      <w:color w:val="808080" w:themeColor="background1" w:themeShade="80"/>
      <w:sz w:val="18"/>
      <w:szCs w:val="18"/>
      <w:lang w:val="en-NZ"/>
    </w:rPr>
  </w:style>
  <w:style w:type="paragraph" w:customStyle="1" w:styleId="Heading1s">
    <w:name w:val="Heading 1 (s)"/>
    <w:basedOn w:val="Heading1"/>
    <w:next w:val="BodyText"/>
    <w:link w:val="Heading1sChar"/>
    <w:uiPriority w:val="13"/>
    <w:qFormat/>
    <w:rsid w:val="000C5422"/>
    <w:pPr>
      <w:spacing w:before="360" w:line="264" w:lineRule="auto"/>
      <w:ind w:left="360" w:hanging="360"/>
      <w:jc w:val="both"/>
      <w:outlineLvl w:val="9"/>
    </w:pPr>
    <w:rPr>
      <w:rFonts w:ascii="Calibri" w:hAnsi="Calibri" w:cs="Calibri"/>
      <w:color w:val="743E2B"/>
      <w:sz w:val="28"/>
      <w:lang w:val="en-NZ"/>
    </w:rPr>
  </w:style>
  <w:style w:type="character" w:customStyle="1" w:styleId="Heading1sChar">
    <w:name w:val="Heading 1 (s) Char"/>
    <w:basedOn w:val="Heading1Char"/>
    <w:link w:val="Heading1s"/>
    <w:uiPriority w:val="13"/>
    <w:rsid w:val="006E052F"/>
    <w:rPr>
      <w:rFonts w:ascii="Calibri" w:hAnsi="Calibri" w:cs="Calibri"/>
      <w:b/>
      <w:caps/>
      <w:color w:val="743E2B"/>
      <w:kern w:val="28"/>
      <w:sz w:val="28"/>
      <w:szCs w:val="48"/>
      <w:lang w:val="en-NZ"/>
    </w:rPr>
  </w:style>
  <w:style w:type="paragraph" w:customStyle="1" w:styleId="Heading2s">
    <w:name w:val="Heading 2 (s)"/>
    <w:basedOn w:val="Heading2"/>
    <w:next w:val="BodyText"/>
    <w:link w:val="Heading2sChar"/>
    <w:uiPriority w:val="13"/>
    <w:qFormat/>
    <w:rsid w:val="000C5422"/>
    <w:pPr>
      <w:numPr>
        <w:numId w:val="26"/>
      </w:numPr>
      <w:tabs>
        <w:tab w:val="left" w:pos="851"/>
      </w:tabs>
      <w:spacing w:before="360" w:after="120" w:line="264" w:lineRule="auto"/>
      <w:jc w:val="both"/>
      <w:outlineLvl w:val="9"/>
    </w:pPr>
    <w:rPr>
      <w:rFonts w:ascii="Calibri" w:hAnsi="Calibri" w:cs="Calibri"/>
      <w:bCs w:val="0"/>
      <w:color w:val="743E2B"/>
      <w:sz w:val="28"/>
    </w:rPr>
  </w:style>
  <w:style w:type="character" w:customStyle="1" w:styleId="Heading2sChar">
    <w:name w:val="Heading 2 (s) Char"/>
    <w:basedOn w:val="Heading2Char"/>
    <w:link w:val="Heading2s"/>
    <w:uiPriority w:val="13"/>
    <w:rsid w:val="006E052F"/>
    <w:rPr>
      <w:rFonts w:ascii="Calibri" w:hAnsi="Calibri" w:cs="Calibri"/>
      <w:b/>
      <w:bCs w:val="0"/>
      <w:noProof/>
      <w:color w:val="743E2B"/>
      <w:sz w:val="28"/>
      <w:szCs w:val="36"/>
      <w:lang w:val="en-NZ"/>
    </w:rPr>
  </w:style>
  <w:style w:type="paragraph" w:customStyle="1" w:styleId="Heading3-NOTinTOC">
    <w:name w:val="Heading 3 - NOT in TOC"/>
    <w:basedOn w:val="Heading3"/>
    <w:next w:val="BodyText"/>
    <w:link w:val="Heading3-NOTinTOCChar"/>
    <w:uiPriority w:val="13"/>
    <w:qFormat/>
    <w:rsid w:val="000C5422"/>
    <w:pPr>
      <w:numPr>
        <w:numId w:val="26"/>
      </w:numPr>
      <w:spacing w:before="240" w:after="120" w:line="280" w:lineRule="exact"/>
      <w:outlineLvl w:val="9"/>
    </w:pPr>
    <w:rPr>
      <w:rFonts w:ascii="Calibri" w:hAnsi="Calibri" w:cs="Calibri"/>
      <w:color w:val="9C533A"/>
      <w:sz w:val="24"/>
      <w:lang w:val="en-NZ"/>
    </w:rPr>
  </w:style>
  <w:style w:type="character" w:customStyle="1" w:styleId="Heading3-NOTinTOCChar">
    <w:name w:val="Heading 3 - NOT in TOC Char"/>
    <w:basedOn w:val="Heading3Char"/>
    <w:link w:val="Heading3-NOTinTOC"/>
    <w:uiPriority w:val="13"/>
    <w:rsid w:val="006E052F"/>
    <w:rPr>
      <w:rFonts w:ascii="Calibri" w:hAnsi="Calibri" w:cs="Calibri"/>
      <w:b/>
      <w:color w:val="9C533A"/>
      <w:kern w:val="28"/>
      <w:sz w:val="24"/>
      <w:szCs w:val="28"/>
      <w:lang w:val="en-NZ" w:eastAsia="en-GB"/>
    </w:rPr>
  </w:style>
  <w:style w:type="paragraph" w:customStyle="1" w:styleId="Highlightedtextbox">
    <w:name w:val="Highlighted text box"/>
    <w:basedOn w:val="BodyText"/>
    <w:next w:val="BodyText"/>
    <w:link w:val="HighlightedtextboxChar"/>
    <w:uiPriority w:val="1"/>
    <w:qFormat/>
    <w:rsid w:val="006E052F"/>
    <w:pPr>
      <w:pBdr>
        <w:top w:val="single" w:sz="4" w:space="3" w:color="E6E978"/>
        <w:left w:val="single" w:sz="4" w:space="6" w:color="E6E978"/>
        <w:bottom w:val="single" w:sz="4" w:space="3" w:color="E6E978"/>
        <w:right w:val="single" w:sz="4" w:space="6" w:color="E6E978"/>
      </w:pBdr>
      <w:shd w:val="clear" w:color="auto" w:fill="E6E978"/>
      <w:spacing w:before="120" w:line="280" w:lineRule="exact"/>
      <w:ind w:left="142" w:right="140"/>
    </w:pPr>
    <w:rPr>
      <w:rFonts w:ascii="Arial" w:hAnsi="Arial" w:cs="Calibri"/>
      <w:i/>
      <w:color w:val="FFFFFF"/>
      <w:lang w:val="en-NZ"/>
    </w:rPr>
  </w:style>
  <w:style w:type="character" w:customStyle="1" w:styleId="HighlightedtextboxChar">
    <w:name w:val="Highlighted text box Char"/>
    <w:basedOn w:val="BodyTextChar"/>
    <w:link w:val="Highlightedtextbox"/>
    <w:uiPriority w:val="1"/>
    <w:rsid w:val="006E052F"/>
    <w:rPr>
      <w:rFonts w:ascii="Arial" w:hAnsi="Arial" w:cs="Calibri"/>
      <w:i/>
      <w:color w:val="FFFFFF"/>
      <w:shd w:val="clear" w:color="auto" w:fill="E6E978"/>
      <w:lang w:val="en-NZ"/>
    </w:rPr>
  </w:style>
  <w:style w:type="table" w:customStyle="1" w:styleId="LightList-Accent21">
    <w:name w:val="Light List - Accent 21"/>
    <w:basedOn w:val="TableNormal"/>
    <w:next w:val="LightList-Accent2"/>
    <w:uiPriority w:val="61"/>
    <w:rsid w:val="006E052F"/>
    <w:pPr>
      <w:spacing w:after="0" w:line="240" w:lineRule="auto"/>
    </w:pPr>
    <w:rPr>
      <w:rFonts w:ascii="Cambria" w:hAnsi="Cambria" w:cs="Calibri"/>
    </w:rPr>
    <w:tblPr>
      <w:tblStyleRowBandSize w:val="1"/>
      <w:tblStyleColBandSize w:val="1"/>
      <w:tblBorders>
        <w:top w:val="single" w:sz="8" w:space="0" w:color="9C533A"/>
        <w:left w:val="single" w:sz="8" w:space="0" w:color="9C533A"/>
        <w:bottom w:val="single" w:sz="8" w:space="0" w:color="9C533A"/>
        <w:right w:val="single" w:sz="8" w:space="0" w:color="9C533A"/>
      </w:tblBorders>
    </w:tblPr>
    <w:tblStylePr w:type="firstRow">
      <w:pPr>
        <w:spacing w:before="0" w:after="0" w:line="240" w:lineRule="auto"/>
      </w:pPr>
      <w:rPr>
        <w:b/>
        <w:bCs/>
        <w:color w:val="FFFFFF"/>
      </w:rPr>
      <w:tblPr/>
      <w:tcPr>
        <w:shd w:val="clear" w:color="auto" w:fill="9C533A"/>
      </w:tcPr>
    </w:tblStylePr>
    <w:tblStylePr w:type="lastRow">
      <w:pPr>
        <w:spacing w:before="0" w:after="0" w:line="240" w:lineRule="auto"/>
      </w:pPr>
      <w:rPr>
        <w:b/>
        <w:bCs/>
      </w:rPr>
      <w:tblPr/>
      <w:tcPr>
        <w:tcBorders>
          <w:top w:val="double" w:sz="6" w:space="0" w:color="9C533A"/>
          <w:left w:val="single" w:sz="8" w:space="0" w:color="9C533A"/>
          <w:bottom w:val="single" w:sz="8" w:space="0" w:color="9C533A"/>
          <w:right w:val="single" w:sz="8" w:space="0" w:color="9C533A"/>
        </w:tcBorders>
      </w:tcPr>
    </w:tblStylePr>
    <w:tblStylePr w:type="firstCol">
      <w:rPr>
        <w:b/>
        <w:bCs/>
      </w:rPr>
    </w:tblStylePr>
    <w:tblStylePr w:type="lastCol">
      <w:rPr>
        <w:b/>
        <w:bCs/>
      </w:rPr>
    </w:tblStylePr>
    <w:tblStylePr w:type="band1Vert">
      <w:tblPr/>
      <w:tcPr>
        <w:tcBorders>
          <w:top w:val="single" w:sz="8" w:space="0" w:color="9C533A"/>
          <w:left w:val="single" w:sz="8" w:space="0" w:color="9C533A"/>
          <w:bottom w:val="single" w:sz="8" w:space="0" w:color="9C533A"/>
          <w:right w:val="single" w:sz="8" w:space="0" w:color="9C533A"/>
        </w:tcBorders>
      </w:tcPr>
    </w:tblStylePr>
    <w:tblStylePr w:type="band1Horz">
      <w:tblPr/>
      <w:tcPr>
        <w:tcBorders>
          <w:top w:val="single" w:sz="8" w:space="0" w:color="9C533A"/>
          <w:left w:val="single" w:sz="8" w:space="0" w:color="9C533A"/>
          <w:bottom w:val="single" w:sz="8" w:space="0" w:color="9C533A"/>
          <w:right w:val="single" w:sz="8" w:space="0" w:color="9C533A"/>
        </w:tcBorders>
      </w:tcPr>
    </w:tblStylePr>
  </w:style>
  <w:style w:type="character" w:customStyle="1" w:styleId="List-AlphanumericLvl1Char">
    <w:name w:val="List - Alphanumeric Lvl 1 Char"/>
    <w:basedOn w:val="DefaultParagraphFont"/>
    <w:link w:val="List-AlphanumericLvl1"/>
    <w:uiPriority w:val="7"/>
    <w:rsid w:val="006E052F"/>
    <w:rPr>
      <w:lang w:val="en-NZ"/>
    </w:rPr>
  </w:style>
  <w:style w:type="paragraph" w:customStyle="1" w:styleId="List-AlphanumericLvl2">
    <w:name w:val="List - Alphanumeric Lvl 2"/>
    <w:basedOn w:val="List-AlphanumericLvl1"/>
    <w:link w:val="List-AlphanumericLvl2Char"/>
    <w:uiPriority w:val="7"/>
    <w:rsid w:val="006E052F"/>
    <w:pPr>
      <w:spacing w:before="120" w:after="240" w:line="259" w:lineRule="auto"/>
      <w:ind w:left="1560" w:hanging="567"/>
      <w:jc w:val="left"/>
    </w:pPr>
    <w:rPr>
      <w:rFonts w:ascii="Cambria" w:hAnsi="Cambria" w:cs="Calibri"/>
    </w:rPr>
  </w:style>
  <w:style w:type="character" w:customStyle="1" w:styleId="List-AlphanumericLvl2Char">
    <w:name w:val="List - Alphanumeric Lvl 2 Char"/>
    <w:basedOn w:val="List-AlphanumericLvl1Char"/>
    <w:link w:val="List-AlphanumericLvl2"/>
    <w:uiPriority w:val="7"/>
    <w:rsid w:val="006E052F"/>
    <w:rPr>
      <w:rFonts w:ascii="Cambria" w:hAnsi="Cambria" w:cs="Calibri"/>
      <w:lang w:val="en-NZ"/>
    </w:rPr>
  </w:style>
  <w:style w:type="paragraph" w:customStyle="1" w:styleId="List-AlphanumericLvl3">
    <w:name w:val="List - Alphanumeric Lvl 3"/>
    <w:basedOn w:val="List-AlphanumericLvl2"/>
    <w:link w:val="List-AlphanumericLvl3Char"/>
    <w:uiPriority w:val="7"/>
    <w:rsid w:val="006E052F"/>
    <w:pPr>
      <w:ind w:left="2127"/>
    </w:pPr>
  </w:style>
  <w:style w:type="character" w:customStyle="1" w:styleId="List-AlphanumericLvl3Char">
    <w:name w:val="List - Alphanumeric Lvl 3 Char"/>
    <w:basedOn w:val="List-AlphanumericLvl2Char"/>
    <w:link w:val="List-AlphanumericLvl3"/>
    <w:uiPriority w:val="7"/>
    <w:rsid w:val="006E052F"/>
    <w:rPr>
      <w:rFonts w:ascii="Cambria" w:hAnsi="Cambria" w:cs="Calibri"/>
      <w:lang w:val="en-NZ"/>
    </w:rPr>
  </w:style>
  <w:style w:type="paragraph" w:customStyle="1" w:styleId="List-BulletLvl1">
    <w:name w:val="List - Bullet Lvl 1"/>
    <w:basedOn w:val="BodyText"/>
    <w:link w:val="List-BulletLvl1Char"/>
    <w:uiPriority w:val="4"/>
    <w:qFormat/>
    <w:rsid w:val="006E052F"/>
    <w:pPr>
      <w:spacing w:before="120" w:line="280" w:lineRule="exact"/>
    </w:pPr>
    <w:rPr>
      <w:rFonts w:ascii="Arial" w:hAnsi="Arial" w:cs="Calibri"/>
      <w:color w:val="000000"/>
      <w:lang w:val="en-NZ"/>
    </w:rPr>
  </w:style>
  <w:style w:type="character" w:customStyle="1" w:styleId="List-BulletLvl1Char">
    <w:name w:val="List - Bullet Lvl 1 Char"/>
    <w:basedOn w:val="DefaultParagraphFont"/>
    <w:link w:val="List-BulletLvl1"/>
    <w:uiPriority w:val="4"/>
    <w:rsid w:val="006E052F"/>
    <w:rPr>
      <w:rFonts w:ascii="Arial" w:hAnsi="Arial" w:cs="Calibri"/>
      <w:color w:val="000000"/>
      <w:lang w:val="en-NZ"/>
    </w:rPr>
  </w:style>
  <w:style w:type="paragraph" w:customStyle="1" w:styleId="List-BulletLvl2">
    <w:name w:val="List - Bullet Lvl 2"/>
    <w:basedOn w:val="BodyText"/>
    <w:link w:val="List-BulletLvl2Char"/>
    <w:uiPriority w:val="4"/>
    <w:rsid w:val="000C5422"/>
    <w:pPr>
      <w:numPr>
        <w:ilvl w:val="1"/>
        <w:numId w:val="53"/>
      </w:numPr>
      <w:spacing w:before="120" w:line="280" w:lineRule="exact"/>
    </w:pPr>
    <w:rPr>
      <w:rFonts w:ascii="Arial" w:hAnsi="Arial" w:cs="Calibri"/>
      <w:color w:val="000000"/>
      <w:lang w:val="en-NZ"/>
    </w:rPr>
  </w:style>
  <w:style w:type="character" w:customStyle="1" w:styleId="List-BulletLvl2Char">
    <w:name w:val="List - Bullet Lvl 2 Char"/>
    <w:basedOn w:val="List-BulletLvl1Char"/>
    <w:link w:val="List-BulletLvl2"/>
    <w:uiPriority w:val="4"/>
    <w:rsid w:val="006E052F"/>
    <w:rPr>
      <w:rFonts w:ascii="Arial" w:hAnsi="Arial" w:cs="Calibri"/>
      <w:color w:val="000000"/>
      <w:lang w:val="en-NZ"/>
    </w:rPr>
  </w:style>
  <w:style w:type="paragraph" w:customStyle="1" w:styleId="List-BulletLvl3">
    <w:name w:val="List - Bullet Lvl 3"/>
    <w:basedOn w:val="BodyText"/>
    <w:link w:val="List-BulletLvl3Char"/>
    <w:uiPriority w:val="4"/>
    <w:rsid w:val="006E052F"/>
    <w:pPr>
      <w:numPr>
        <w:ilvl w:val="2"/>
        <w:numId w:val="53"/>
      </w:numPr>
      <w:spacing w:before="120" w:line="280" w:lineRule="exact"/>
    </w:pPr>
    <w:rPr>
      <w:rFonts w:ascii="Arial" w:hAnsi="Arial" w:cs="Calibri"/>
      <w:color w:val="000000"/>
      <w:lang w:val="en-NZ"/>
    </w:rPr>
  </w:style>
  <w:style w:type="character" w:customStyle="1" w:styleId="List-BulletLvl3Char">
    <w:name w:val="List - Bullet Lvl 3 Char"/>
    <w:basedOn w:val="ListBullet3Char"/>
    <w:link w:val="List-BulletLvl3"/>
    <w:uiPriority w:val="4"/>
    <w:rsid w:val="006E052F"/>
    <w:rPr>
      <w:rFonts w:ascii="Arial" w:hAnsi="Arial" w:cs="Calibri"/>
      <w:color w:val="000000"/>
      <w:lang w:val="en-NZ"/>
    </w:rPr>
  </w:style>
  <w:style w:type="character" w:customStyle="1" w:styleId="ListBullet3Char">
    <w:name w:val="List Bullet 3 Char"/>
    <w:basedOn w:val="List-BulletLvl2Char"/>
    <w:link w:val="ListBullet3"/>
    <w:uiPriority w:val="99"/>
    <w:semiHidden/>
    <w:rsid w:val="006E052F"/>
    <w:rPr>
      <w:rFonts w:ascii="Arial" w:hAnsi="Arial" w:cs="Calibri"/>
      <w:color w:val="000000"/>
      <w:lang w:val="en-AU"/>
    </w:rPr>
  </w:style>
  <w:style w:type="character" w:customStyle="1" w:styleId="ListNumberChar">
    <w:name w:val="List Number Char"/>
    <w:basedOn w:val="List-AlphanumericLvl1Char"/>
    <w:link w:val="ListNumber"/>
    <w:uiPriority w:val="99"/>
    <w:semiHidden/>
    <w:rsid w:val="006E052F"/>
    <w:rPr>
      <w:lang w:val="en-AU"/>
    </w:rPr>
  </w:style>
  <w:style w:type="character" w:customStyle="1" w:styleId="NumberedHeading2Char">
    <w:name w:val="Numbered Heading 2 Char"/>
    <w:basedOn w:val="Heading2Char"/>
    <w:link w:val="NumberedHeading2"/>
    <w:uiPriority w:val="2"/>
    <w:rsid w:val="006E052F"/>
    <w:rPr>
      <w:rFonts w:asciiTheme="majorHAnsi" w:hAnsiTheme="majorHAnsi"/>
      <w:b/>
      <w:bCs w:val="0"/>
      <w:noProof/>
      <w:color w:val="36424A" w:themeColor="accent2"/>
      <w:sz w:val="28"/>
      <w:szCs w:val="36"/>
      <w:lang w:val="en-NZ"/>
    </w:rPr>
  </w:style>
  <w:style w:type="character" w:customStyle="1" w:styleId="NumberedHeading4Char">
    <w:name w:val="Numbered Heading 4 Char"/>
    <w:basedOn w:val="Heading4Char"/>
    <w:link w:val="NumberedHeading4"/>
    <w:uiPriority w:val="2"/>
    <w:rsid w:val="006E052F"/>
    <w:rPr>
      <w:rFonts w:asciiTheme="majorHAnsi" w:hAnsiTheme="majorHAnsi"/>
      <w:b/>
      <w:bCs w:val="0"/>
      <w:i/>
      <w:color w:val="36424A" w:themeColor="accent2"/>
      <w:kern w:val="28"/>
      <w:sz w:val="24"/>
      <w:szCs w:val="28"/>
      <w:lang w:val="en-NZ"/>
    </w:rPr>
  </w:style>
  <w:style w:type="paragraph" w:customStyle="1" w:styleId="NumberedHeading5">
    <w:name w:val="Numbered Heading 5"/>
    <w:basedOn w:val="ListParagraph"/>
    <w:next w:val="BodyText"/>
    <w:link w:val="NumberedHeading5Char"/>
    <w:uiPriority w:val="2"/>
    <w:unhideWhenUsed/>
    <w:rsid w:val="000C5422"/>
    <w:pPr>
      <w:keepNext/>
      <w:numPr>
        <w:ilvl w:val="4"/>
        <w:numId w:val="51"/>
      </w:numPr>
      <w:tabs>
        <w:tab w:val="num" w:pos="2921"/>
      </w:tabs>
      <w:spacing w:before="120" w:after="120" w:line="259" w:lineRule="auto"/>
      <w:contextualSpacing w:val="0"/>
      <w:jc w:val="left"/>
    </w:pPr>
    <w:rPr>
      <w:rFonts w:ascii="Calibri Light" w:hAnsi="Calibri Light" w:cs="Calibri"/>
      <w:i/>
      <w:color w:val="9C533A"/>
      <w:sz w:val="24"/>
      <w:szCs w:val="24"/>
      <w:lang w:val="en-NZ"/>
    </w:rPr>
  </w:style>
  <w:style w:type="character" w:customStyle="1" w:styleId="NumberedHeading5Char">
    <w:name w:val="Numbered Heading 5 Char"/>
    <w:basedOn w:val="Heading5Char"/>
    <w:link w:val="NumberedHeading5"/>
    <w:uiPriority w:val="2"/>
    <w:rsid w:val="006E052F"/>
    <w:rPr>
      <w:rFonts w:ascii="Calibri Light" w:hAnsi="Calibri Light" w:cs="Calibri"/>
      <w:b w:val="0"/>
      <w:bCs w:val="0"/>
      <w:i/>
      <w:color w:val="9C533A"/>
      <w:sz w:val="24"/>
      <w:szCs w:val="24"/>
      <w:lang w:val="en-NZ"/>
    </w:rPr>
  </w:style>
  <w:style w:type="paragraph" w:customStyle="1" w:styleId="PHCLetterBodytext">
    <w:name w:val="PHC Letter Bodytext"/>
    <w:basedOn w:val="BodyText"/>
    <w:link w:val="PHCLetterBodytextChar"/>
    <w:uiPriority w:val="99"/>
    <w:qFormat/>
    <w:rsid w:val="006E052F"/>
    <w:pPr>
      <w:spacing w:before="120" w:line="280" w:lineRule="exact"/>
      <w:ind w:left="2127"/>
    </w:pPr>
    <w:rPr>
      <w:rFonts w:ascii="Arial" w:hAnsi="Arial" w:cs="Calibri"/>
      <w:color w:val="000000"/>
      <w:sz w:val="21"/>
      <w:szCs w:val="21"/>
      <w:lang w:val="en-NZ"/>
    </w:rPr>
  </w:style>
  <w:style w:type="character" w:customStyle="1" w:styleId="PHCLetterBodytextChar">
    <w:name w:val="PHC Letter Bodytext Char"/>
    <w:basedOn w:val="NoSpacingChar"/>
    <w:link w:val="PHCLetterBodytext"/>
    <w:uiPriority w:val="99"/>
    <w:rsid w:val="006E052F"/>
    <w:rPr>
      <w:rFonts w:ascii="Arial" w:hAnsi="Arial" w:cs="Calibri"/>
      <w:color w:val="000000"/>
      <w:sz w:val="21"/>
      <w:szCs w:val="21"/>
      <w:lang w:val="en-NZ"/>
    </w:rPr>
  </w:style>
  <w:style w:type="paragraph" w:customStyle="1" w:styleId="Report-MainTitle">
    <w:name w:val="Report - Main Title"/>
    <w:basedOn w:val="MainTitleHeading"/>
    <w:link w:val="Report-MainTitleChar"/>
    <w:rsid w:val="006E052F"/>
    <w:pPr>
      <w:spacing w:before="240" w:after="0" w:line="216" w:lineRule="auto"/>
      <w:jc w:val="left"/>
    </w:pPr>
    <w:rPr>
      <w:rFonts w:eastAsia="Times New Roman" w:cs="Times New Roman"/>
      <w:caps w:val="0"/>
      <w:sz w:val="56"/>
      <w:szCs w:val="24"/>
      <w:lang w:val="en-AU" w:eastAsia="en-AU"/>
    </w:rPr>
  </w:style>
  <w:style w:type="character" w:customStyle="1" w:styleId="Report-MainTitleChar">
    <w:name w:val="Report - Main Title Char"/>
    <w:basedOn w:val="MainTitleHeadingChar"/>
    <w:link w:val="Report-MainTitle"/>
    <w:rsid w:val="006E052F"/>
    <w:rPr>
      <w:rFonts w:ascii="Calibri Light" w:eastAsia="Times New Roman" w:hAnsi="Calibri Light" w:cs="Times New Roman"/>
      <w:b/>
      <w:caps w:val="0"/>
      <w:color w:val="9C533A"/>
      <w:sz w:val="56"/>
      <w:szCs w:val="24"/>
      <w:lang w:val="en-AU" w:eastAsia="en-AU"/>
    </w:rPr>
  </w:style>
  <w:style w:type="paragraph" w:customStyle="1" w:styleId="Report-Subtitle">
    <w:name w:val="Report - Subtitle"/>
    <w:basedOn w:val="SubTitleHeading"/>
    <w:link w:val="Report-SubtitleChar"/>
    <w:rsid w:val="006E052F"/>
    <w:pPr>
      <w:spacing w:before="240"/>
      <w:jc w:val="left"/>
    </w:pPr>
    <w:rPr>
      <w:color w:val="9C533A"/>
      <w:sz w:val="32"/>
    </w:rPr>
  </w:style>
  <w:style w:type="character" w:customStyle="1" w:styleId="Report-SubtitleChar">
    <w:name w:val="Report - Subtitle Char"/>
    <w:basedOn w:val="SubTitleHeadingChar"/>
    <w:link w:val="Report-Subtitle"/>
    <w:rsid w:val="006E052F"/>
    <w:rPr>
      <w:rFonts w:ascii="Calibri Light" w:hAnsi="Calibri Light" w:cs="Calibri"/>
      <w:b/>
      <w:color w:val="9C533A"/>
      <w:sz w:val="32"/>
      <w:lang w:val="en-NZ"/>
    </w:rPr>
  </w:style>
  <w:style w:type="paragraph" w:customStyle="1" w:styleId="ReportDate">
    <w:name w:val="Report Date"/>
    <w:basedOn w:val="Report-Subtitle"/>
    <w:link w:val="ReportDateChar"/>
    <w:rsid w:val="006E052F"/>
    <w:rPr>
      <w:sz w:val="24"/>
    </w:rPr>
  </w:style>
  <w:style w:type="character" w:customStyle="1" w:styleId="ReportDateChar">
    <w:name w:val="Report Date Char"/>
    <w:basedOn w:val="Report-SubtitleChar"/>
    <w:link w:val="ReportDate"/>
    <w:rsid w:val="006E052F"/>
    <w:rPr>
      <w:rFonts w:ascii="Calibri Light" w:hAnsi="Calibri Light" w:cs="Calibri"/>
      <w:b/>
      <w:color w:val="9C533A"/>
      <w:sz w:val="24"/>
      <w:lang w:val="en-NZ"/>
    </w:rPr>
  </w:style>
  <w:style w:type="character" w:styleId="Strong">
    <w:name w:val="Strong"/>
    <w:basedOn w:val="DefaultParagraphFont"/>
    <w:uiPriority w:val="22"/>
    <w:qFormat/>
    <w:rsid w:val="006E052F"/>
    <w:rPr>
      <w:b/>
      <w:bCs/>
    </w:rPr>
  </w:style>
  <w:style w:type="character" w:customStyle="1" w:styleId="Subheader">
    <w:name w:val="Sub header"/>
    <w:uiPriority w:val="99"/>
    <w:semiHidden/>
    <w:rsid w:val="006E052F"/>
    <w:rPr>
      <w:rFonts w:ascii="NexusMixPro-Bold" w:hAnsi="NexusMixPro-Bold" w:cs="NexusMixPro-Bold"/>
      <w:b/>
      <w:bCs/>
      <w:color w:val="4B565E"/>
      <w:sz w:val="28"/>
      <w:szCs w:val="28"/>
    </w:rPr>
  </w:style>
  <w:style w:type="character" w:customStyle="1" w:styleId="Subsub">
    <w:name w:val="Sub sub"/>
    <w:uiPriority w:val="99"/>
    <w:semiHidden/>
    <w:rsid w:val="006E052F"/>
    <w:rPr>
      <w:rFonts w:ascii="AvenirLTStd-Book" w:hAnsi="AvenirLTStd-Book" w:cs="AvenirLTStd-Book"/>
      <w:color w:val="373F45"/>
      <w:sz w:val="26"/>
      <w:szCs w:val="26"/>
    </w:rPr>
  </w:style>
  <w:style w:type="paragraph" w:customStyle="1" w:styleId="Table-bullet">
    <w:name w:val="Table - bullet"/>
    <w:basedOn w:val="Normal"/>
    <w:link w:val="Table-bulletChar"/>
    <w:uiPriority w:val="12"/>
    <w:rsid w:val="006E052F"/>
    <w:pPr>
      <w:numPr>
        <w:numId w:val="52"/>
      </w:numPr>
      <w:tabs>
        <w:tab w:val="left" w:pos="426"/>
      </w:tabs>
      <w:spacing w:after="160" w:line="259" w:lineRule="auto"/>
      <w:jc w:val="left"/>
    </w:pPr>
    <w:rPr>
      <w:rFonts w:ascii="Calibri Light" w:hAnsi="Calibri Light" w:cs="Calibri"/>
      <w:sz w:val="21"/>
      <w:szCs w:val="21"/>
      <w:lang w:val="en-NZ"/>
    </w:rPr>
  </w:style>
  <w:style w:type="character" w:customStyle="1" w:styleId="Table-bulletChar">
    <w:name w:val="Table - bullet Char"/>
    <w:basedOn w:val="DefaultParagraphFont"/>
    <w:link w:val="Table-bullet"/>
    <w:uiPriority w:val="12"/>
    <w:rsid w:val="006E052F"/>
    <w:rPr>
      <w:rFonts w:ascii="Calibri Light" w:hAnsi="Calibri Light" w:cs="Calibri"/>
      <w:sz w:val="21"/>
      <w:szCs w:val="21"/>
      <w:lang w:val="en-NZ"/>
    </w:rPr>
  </w:style>
  <w:style w:type="paragraph" w:customStyle="1" w:styleId="Table-Heading">
    <w:name w:val="Table - Heading"/>
    <w:basedOn w:val="Normal"/>
    <w:next w:val="Table-para"/>
    <w:link w:val="Table-HeadingChar"/>
    <w:uiPriority w:val="11"/>
    <w:rsid w:val="006E052F"/>
    <w:pPr>
      <w:spacing w:after="0" w:line="240" w:lineRule="auto"/>
      <w:jc w:val="left"/>
    </w:pPr>
    <w:rPr>
      <w:rFonts w:ascii="Calibri Light" w:eastAsia="Times New Roman" w:hAnsi="Calibri Light" w:cs="Times New Roman"/>
      <w:color w:val="FDFCE6"/>
      <w:sz w:val="21"/>
      <w:szCs w:val="24"/>
      <w:lang w:eastAsia="en-AU"/>
    </w:rPr>
  </w:style>
  <w:style w:type="character" w:customStyle="1" w:styleId="Table-HeadingChar">
    <w:name w:val="Table - Heading Char"/>
    <w:basedOn w:val="DefaultParagraphFont"/>
    <w:link w:val="Table-Heading"/>
    <w:uiPriority w:val="11"/>
    <w:rsid w:val="006E052F"/>
    <w:rPr>
      <w:rFonts w:ascii="Calibri Light" w:eastAsia="Times New Roman" w:hAnsi="Calibri Light" w:cs="Times New Roman"/>
      <w:color w:val="FDFCE6"/>
      <w:sz w:val="21"/>
      <w:szCs w:val="24"/>
      <w:lang w:val="en-AU" w:eastAsia="en-AU"/>
    </w:rPr>
  </w:style>
  <w:style w:type="paragraph" w:customStyle="1" w:styleId="Table-para">
    <w:name w:val="Table - para"/>
    <w:basedOn w:val="Normal"/>
    <w:link w:val="Table-paraChar"/>
    <w:uiPriority w:val="11"/>
    <w:rsid w:val="006E052F"/>
    <w:pPr>
      <w:spacing w:after="40" w:line="259" w:lineRule="auto"/>
      <w:jc w:val="left"/>
    </w:pPr>
    <w:rPr>
      <w:rFonts w:ascii="Calibri Light" w:hAnsi="Calibri Light" w:cs="Calibri"/>
      <w:sz w:val="21"/>
      <w:szCs w:val="21"/>
      <w:lang w:val="en-NZ"/>
    </w:rPr>
  </w:style>
  <w:style w:type="character" w:customStyle="1" w:styleId="Table-paraChar">
    <w:name w:val="Table - para Char"/>
    <w:basedOn w:val="DefaultParagraphFont"/>
    <w:link w:val="Table-para"/>
    <w:uiPriority w:val="11"/>
    <w:rsid w:val="006E052F"/>
    <w:rPr>
      <w:rFonts w:ascii="Calibri Light" w:hAnsi="Calibri Light" w:cs="Calibri"/>
      <w:sz w:val="21"/>
      <w:szCs w:val="21"/>
      <w:lang w:val="en-NZ"/>
    </w:rPr>
  </w:style>
  <w:style w:type="table" w:customStyle="1" w:styleId="TableGridLight1">
    <w:name w:val="Table Grid Light1"/>
    <w:basedOn w:val="TableNormal"/>
    <w:next w:val="TableGridLight"/>
    <w:uiPriority w:val="40"/>
    <w:rsid w:val="006E052F"/>
    <w:pPr>
      <w:spacing w:after="0" w:line="240" w:lineRule="auto"/>
    </w:pPr>
    <w:rPr>
      <w:rFonts w:ascii="Cambria" w:hAnsi="Cambria" w:cs="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5Dark-Accent21">
    <w:name w:val="Grid Table 5 Dark - Accent 21"/>
    <w:basedOn w:val="TableNormal"/>
    <w:uiPriority w:val="50"/>
    <w:rsid w:val="006E052F"/>
    <w:pPr>
      <w:spacing w:after="0" w:line="240" w:lineRule="auto"/>
    </w:pPr>
    <w:rPr>
      <w:rFonts w:ascii="Cambria" w:hAnsi="Cambria" w:cs="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FDA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C53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C53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C53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C533A"/>
      </w:tcPr>
    </w:tblStylePr>
    <w:tblStylePr w:type="band1Vert">
      <w:tblPr/>
      <w:tcPr>
        <w:shd w:val="clear" w:color="auto" w:fill="DEB6A8"/>
      </w:tcPr>
    </w:tblStylePr>
    <w:tblStylePr w:type="band1Horz">
      <w:tblPr/>
      <w:tcPr>
        <w:shd w:val="clear" w:color="auto" w:fill="DEB6A8"/>
      </w:tcPr>
    </w:tblStylePr>
  </w:style>
  <w:style w:type="table" w:customStyle="1" w:styleId="GridTable4-Accent21">
    <w:name w:val="Grid Table 4 - Accent 21"/>
    <w:basedOn w:val="TableNormal"/>
    <w:uiPriority w:val="49"/>
    <w:rsid w:val="006E052F"/>
    <w:pPr>
      <w:spacing w:after="0" w:line="240" w:lineRule="auto"/>
    </w:pPr>
    <w:rPr>
      <w:rFonts w:ascii="Cambria" w:hAnsi="Cambria" w:cs="Calibri"/>
    </w:rPr>
    <w:tblPr>
      <w:tblStyleRowBandSize w:val="1"/>
      <w:tblStyleColBandSize w:val="1"/>
      <w:tblBorders>
        <w:top w:val="single" w:sz="4" w:space="0" w:color="CE927D"/>
        <w:left w:val="single" w:sz="4" w:space="0" w:color="CE927D"/>
        <w:bottom w:val="single" w:sz="4" w:space="0" w:color="CE927D"/>
        <w:right w:val="single" w:sz="4" w:space="0" w:color="CE927D"/>
        <w:insideH w:val="single" w:sz="4" w:space="0" w:color="CE927D"/>
        <w:insideV w:val="single" w:sz="4" w:space="0" w:color="CE927D"/>
      </w:tblBorders>
    </w:tblPr>
    <w:tblStylePr w:type="firstRow">
      <w:rPr>
        <w:b/>
        <w:bCs/>
        <w:color w:val="FFFFFF"/>
      </w:rPr>
      <w:tblPr/>
      <w:tcPr>
        <w:tcBorders>
          <w:top w:val="single" w:sz="4" w:space="0" w:color="9C533A"/>
          <w:left w:val="single" w:sz="4" w:space="0" w:color="9C533A"/>
          <w:bottom w:val="single" w:sz="4" w:space="0" w:color="9C533A"/>
          <w:right w:val="single" w:sz="4" w:space="0" w:color="9C533A"/>
          <w:insideH w:val="nil"/>
          <w:insideV w:val="nil"/>
        </w:tcBorders>
        <w:shd w:val="clear" w:color="auto" w:fill="9C533A"/>
      </w:tcPr>
    </w:tblStylePr>
    <w:tblStylePr w:type="lastRow">
      <w:rPr>
        <w:b/>
        <w:bCs/>
      </w:rPr>
      <w:tblPr/>
      <w:tcPr>
        <w:tcBorders>
          <w:top w:val="double" w:sz="4" w:space="0" w:color="9C533A"/>
        </w:tcBorders>
      </w:tcPr>
    </w:tblStylePr>
    <w:tblStylePr w:type="firstCol">
      <w:rPr>
        <w:b/>
        <w:bCs/>
      </w:rPr>
    </w:tblStylePr>
    <w:tblStylePr w:type="lastCol">
      <w:rPr>
        <w:b/>
        <w:bCs/>
      </w:rPr>
    </w:tblStylePr>
    <w:tblStylePr w:type="band1Vert">
      <w:tblPr/>
      <w:tcPr>
        <w:shd w:val="clear" w:color="auto" w:fill="EFDAD3"/>
      </w:tcPr>
    </w:tblStylePr>
    <w:tblStylePr w:type="band1Horz">
      <w:tblPr/>
      <w:tcPr>
        <w:shd w:val="clear" w:color="auto" w:fill="EFDAD3"/>
      </w:tcPr>
    </w:tblStylePr>
  </w:style>
  <w:style w:type="paragraph" w:customStyle="1" w:styleId="Revision1">
    <w:name w:val="Revision1"/>
    <w:next w:val="Revision"/>
    <w:hidden/>
    <w:uiPriority w:val="99"/>
    <w:semiHidden/>
    <w:rsid w:val="006E052F"/>
    <w:pPr>
      <w:spacing w:after="0" w:line="240" w:lineRule="auto"/>
    </w:pPr>
    <w:rPr>
      <w:rFonts w:ascii="Cambria" w:hAnsi="Cambria" w:cs="Calibri"/>
      <w:lang w:val="en-NZ"/>
    </w:rPr>
  </w:style>
  <w:style w:type="paragraph" w:customStyle="1" w:styleId="1Dot-point">
    <w:name w:val="1 Dot-point"/>
    <w:basedOn w:val="BodyText"/>
    <w:qFormat/>
    <w:rsid w:val="006E052F"/>
    <w:pPr>
      <w:spacing w:before="120" w:line="280" w:lineRule="exact"/>
      <w:ind w:left="680" w:hanging="510"/>
    </w:pPr>
    <w:rPr>
      <w:rFonts w:ascii="Arial" w:hAnsi="Arial"/>
      <w:color w:val="000000"/>
    </w:rPr>
  </w:style>
  <w:style w:type="paragraph" w:customStyle="1" w:styleId="FigureorTableTitle">
    <w:name w:val="Figure or Table Title"/>
    <w:basedOn w:val="Normal"/>
    <w:link w:val="FigureorTableTitleChar"/>
    <w:qFormat/>
    <w:rsid w:val="006E052F"/>
    <w:pPr>
      <w:spacing w:after="120" w:line="259" w:lineRule="auto"/>
    </w:pPr>
    <w:rPr>
      <w:rFonts w:ascii="Calibri Light" w:hAnsi="Calibri Light"/>
      <w:b/>
      <w:bCs/>
      <w:color w:val="36424A"/>
    </w:rPr>
  </w:style>
  <w:style w:type="character" w:customStyle="1" w:styleId="FigureorTableTitleChar">
    <w:name w:val="Figure or Table Title Char"/>
    <w:basedOn w:val="DefaultParagraphFont"/>
    <w:link w:val="FigureorTableTitle"/>
    <w:rsid w:val="006E052F"/>
    <w:rPr>
      <w:rFonts w:ascii="Calibri Light" w:hAnsi="Calibri Light"/>
      <w:b/>
      <w:bCs/>
      <w:color w:val="36424A"/>
      <w:lang w:val="en-AU"/>
    </w:rPr>
  </w:style>
  <w:style w:type="paragraph" w:customStyle="1" w:styleId="TableBody-text">
    <w:name w:val="Table Body-text"/>
    <w:basedOn w:val="Normal"/>
    <w:link w:val="TableBody-textChar"/>
    <w:qFormat/>
    <w:rsid w:val="006E052F"/>
    <w:pPr>
      <w:spacing w:after="0" w:line="280" w:lineRule="exact"/>
      <w:jc w:val="left"/>
    </w:pPr>
    <w:rPr>
      <w:rFonts w:ascii="Calibri" w:eastAsia="Times New Roman" w:hAnsi="Calibri"/>
      <w:sz w:val="24"/>
      <w:szCs w:val="24"/>
      <w:lang w:eastAsia="en-AU"/>
    </w:rPr>
  </w:style>
  <w:style w:type="character" w:customStyle="1" w:styleId="TableBody-textChar">
    <w:name w:val="Table Body-text Char"/>
    <w:basedOn w:val="DefaultParagraphFont"/>
    <w:link w:val="TableBody-text"/>
    <w:rsid w:val="006E052F"/>
    <w:rPr>
      <w:rFonts w:ascii="Calibri" w:eastAsia="Times New Roman" w:hAnsi="Calibri"/>
      <w:sz w:val="24"/>
      <w:szCs w:val="24"/>
      <w:lang w:val="en-AU" w:eastAsia="en-AU"/>
    </w:rPr>
  </w:style>
  <w:style w:type="paragraph" w:customStyle="1" w:styleId="MainTitle">
    <w:name w:val="Main Title"/>
    <w:basedOn w:val="BodyText"/>
    <w:qFormat/>
    <w:rsid w:val="006E052F"/>
    <w:pPr>
      <w:spacing w:after="160" w:line="264" w:lineRule="auto"/>
      <w:jc w:val="center"/>
    </w:pPr>
    <w:rPr>
      <w:rFonts w:ascii="Calibri" w:hAnsi="Calibri" w:cs="Calibri"/>
      <w:b/>
      <w:caps/>
      <w:color w:val="36424A"/>
      <w:sz w:val="48"/>
    </w:rPr>
  </w:style>
  <w:style w:type="paragraph" w:customStyle="1" w:styleId="msonormal0">
    <w:name w:val="msonormal"/>
    <w:basedOn w:val="Normal"/>
    <w:rsid w:val="006E052F"/>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textrun">
    <w:name w:val="textrun"/>
    <w:basedOn w:val="DefaultParagraphFont"/>
    <w:rsid w:val="006E052F"/>
  </w:style>
  <w:style w:type="paragraph" w:customStyle="1" w:styleId="outlineelement">
    <w:name w:val="outlineelement"/>
    <w:basedOn w:val="Normal"/>
    <w:rsid w:val="006E052F"/>
    <w:pPr>
      <w:spacing w:before="100" w:beforeAutospacing="1" w:after="100" w:afterAutospacing="1" w:line="240" w:lineRule="auto"/>
      <w:jc w:val="left"/>
    </w:pPr>
    <w:rPr>
      <w:rFonts w:ascii="Times New Roman" w:eastAsia="Times New Roman" w:hAnsi="Times New Roman" w:cs="Times New Roman"/>
      <w:sz w:val="24"/>
      <w:szCs w:val="24"/>
      <w:lang w:eastAsia="en-AU"/>
    </w:rPr>
  </w:style>
  <w:style w:type="character" w:customStyle="1" w:styleId="wacimagecontainer">
    <w:name w:val="wacimagecontainer"/>
    <w:basedOn w:val="DefaultParagraphFont"/>
    <w:rsid w:val="006E052F"/>
  </w:style>
  <w:style w:type="character" w:customStyle="1" w:styleId="scxw221951815">
    <w:name w:val="scxw221951815"/>
    <w:basedOn w:val="DefaultParagraphFont"/>
    <w:rsid w:val="006E052F"/>
  </w:style>
  <w:style w:type="character" w:customStyle="1" w:styleId="superscript">
    <w:name w:val="superscript"/>
    <w:basedOn w:val="DefaultParagraphFont"/>
    <w:rsid w:val="006E052F"/>
  </w:style>
  <w:style w:type="character" w:customStyle="1" w:styleId="tabrun">
    <w:name w:val="tabrun"/>
    <w:basedOn w:val="DefaultParagraphFont"/>
    <w:rsid w:val="006E052F"/>
  </w:style>
  <w:style w:type="character" w:customStyle="1" w:styleId="tabchar">
    <w:name w:val="tabchar"/>
    <w:basedOn w:val="DefaultParagraphFont"/>
    <w:rsid w:val="006E052F"/>
  </w:style>
  <w:style w:type="character" w:customStyle="1" w:styleId="tableaderchars">
    <w:name w:val="tableaderchars"/>
    <w:basedOn w:val="DefaultParagraphFont"/>
    <w:rsid w:val="006E052F"/>
  </w:style>
  <w:style w:type="character" w:customStyle="1" w:styleId="wacimagegroupcontainer">
    <w:name w:val="wacimagegroupcontainer"/>
    <w:basedOn w:val="DefaultParagraphFont"/>
    <w:rsid w:val="006E052F"/>
  </w:style>
  <w:style w:type="character" w:customStyle="1" w:styleId="wacimageplaceholder">
    <w:name w:val="wacimageplaceholder"/>
    <w:basedOn w:val="DefaultParagraphFont"/>
    <w:rsid w:val="006E052F"/>
  </w:style>
  <w:style w:type="character" w:customStyle="1" w:styleId="wacprogress">
    <w:name w:val="wacprogress"/>
    <w:basedOn w:val="DefaultParagraphFont"/>
    <w:rsid w:val="006E052F"/>
  </w:style>
  <w:style w:type="character" w:customStyle="1" w:styleId="wacimageplaceholderfiller">
    <w:name w:val="wacimageplaceholderfiller"/>
    <w:basedOn w:val="DefaultParagraphFont"/>
    <w:rsid w:val="006E052F"/>
  </w:style>
  <w:style w:type="character" w:customStyle="1" w:styleId="fieldrange">
    <w:name w:val="fieldrange"/>
    <w:basedOn w:val="DefaultParagraphFont"/>
    <w:rsid w:val="006E052F"/>
  </w:style>
  <w:style w:type="character" w:customStyle="1" w:styleId="pagebreakblob">
    <w:name w:val="pagebreakblob"/>
    <w:basedOn w:val="DefaultParagraphFont"/>
    <w:rsid w:val="006E052F"/>
  </w:style>
  <w:style w:type="character" w:customStyle="1" w:styleId="pagebreakborderspan">
    <w:name w:val="pagebreakborderspan"/>
    <w:basedOn w:val="DefaultParagraphFont"/>
    <w:rsid w:val="006E052F"/>
  </w:style>
  <w:style w:type="character" w:customStyle="1" w:styleId="pagebreaktextspan">
    <w:name w:val="pagebreaktextspan"/>
    <w:basedOn w:val="DefaultParagraphFont"/>
    <w:rsid w:val="006E052F"/>
  </w:style>
  <w:style w:type="paragraph" w:customStyle="1" w:styleId="bibliographyreferencelist">
    <w:name w:val="bibliography/reference list"/>
    <w:basedOn w:val="BodyText"/>
    <w:link w:val="bibliographyreferencelistChar"/>
    <w:uiPriority w:val="99"/>
    <w:qFormat/>
    <w:rsid w:val="006E052F"/>
    <w:pPr>
      <w:spacing w:before="240" w:line="240" w:lineRule="auto"/>
      <w:ind w:left="720" w:hanging="720"/>
    </w:pPr>
    <w:rPr>
      <w:rFonts w:ascii="Arial" w:hAnsi="Arial" w:cs="Calibri"/>
      <w:color w:val="000000"/>
      <w:lang w:val="en-NZ"/>
    </w:rPr>
  </w:style>
  <w:style w:type="character" w:customStyle="1" w:styleId="bibliographyreferencelistChar">
    <w:name w:val="bibliography/reference list Char"/>
    <w:basedOn w:val="BodyTextChar"/>
    <w:link w:val="bibliographyreferencelist"/>
    <w:uiPriority w:val="99"/>
    <w:rsid w:val="006E052F"/>
    <w:rPr>
      <w:rFonts w:ascii="Arial" w:hAnsi="Arial" w:cs="Calibri"/>
      <w:color w:val="000000"/>
      <w:lang w:val="en-NZ"/>
    </w:rPr>
  </w:style>
  <w:style w:type="paragraph" w:customStyle="1" w:styleId="2Dot-point">
    <w:name w:val="2 Dot-point"/>
    <w:basedOn w:val="1Dot-point"/>
    <w:qFormat/>
    <w:rsid w:val="006E052F"/>
    <w:pPr>
      <w:ind w:left="1191" w:hanging="567"/>
    </w:pPr>
    <w:rPr>
      <w:rFonts w:cs="Calibri Light"/>
      <w:iCs/>
      <w:color w:val="auto"/>
      <w:szCs w:val="20"/>
      <w:lang w:val="en-NZ"/>
    </w:rPr>
  </w:style>
  <w:style w:type="table" w:styleId="LightList-Accent2">
    <w:name w:val="Light List Accent 2"/>
    <w:basedOn w:val="TableNormal"/>
    <w:uiPriority w:val="61"/>
    <w:unhideWhenUsed/>
    <w:rsid w:val="006E052F"/>
    <w:pPr>
      <w:spacing w:after="0" w:line="240" w:lineRule="auto"/>
    </w:pPr>
    <w:tblPr>
      <w:tblStyleRowBandSize w:val="1"/>
      <w:tblStyleColBandSize w:val="1"/>
      <w:tblBorders>
        <w:top w:val="single" w:sz="8" w:space="0" w:color="36424A" w:themeColor="accent2"/>
        <w:left w:val="single" w:sz="8" w:space="0" w:color="36424A" w:themeColor="accent2"/>
        <w:bottom w:val="single" w:sz="8" w:space="0" w:color="36424A" w:themeColor="accent2"/>
        <w:right w:val="single" w:sz="8" w:space="0" w:color="36424A" w:themeColor="accent2"/>
      </w:tblBorders>
    </w:tblPr>
    <w:tblStylePr w:type="firstRow">
      <w:pPr>
        <w:spacing w:before="0" w:after="0" w:line="240" w:lineRule="auto"/>
      </w:pPr>
      <w:rPr>
        <w:b/>
        <w:bCs/>
        <w:color w:val="FFFFFF" w:themeColor="background1"/>
      </w:rPr>
      <w:tblPr/>
      <w:tcPr>
        <w:shd w:val="clear" w:color="auto" w:fill="36424A" w:themeFill="accent2"/>
      </w:tcPr>
    </w:tblStylePr>
    <w:tblStylePr w:type="lastRow">
      <w:pPr>
        <w:spacing w:before="0" w:after="0" w:line="240" w:lineRule="auto"/>
      </w:pPr>
      <w:rPr>
        <w:b/>
        <w:bCs/>
      </w:rPr>
      <w:tblPr/>
      <w:tcPr>
        <w:tcBorders>
          <w:top w:val="double" w:sz="6" w:space="0" w:color="36424A" w:themeColor="accent2"/>
          <w:left w:val="single" w:sz="8" w:space="0" w:color="36424A" w:themeColor="accent2"/>
          <w:bottom w:val="single" w:sz="8" w:space="0" w:color="36424A" w:themeColor="accent2"/>
          <w:right w:val="single" w:sz="8" w:space="0" w:color="36424A" w:themeColor="accent2"/>
        </w:tcBorders>
      </w:tcPr>
    </w:tblStylePr>
    <w:tblStylePr w:type="firstCol">
      <w:rPr>
        <w:b/>
        <w:bCs/>
      </w:rPr>
    </w:tblStylePr>
    <w:tblStylePr w:type="lastCol">
      <w:rPr>
        <w:b/>
        <w:bCs/>
      </w:rPr>
    </w:tblStylePr>
    <w:tblStylePr w:type="band1Vert">
      <w:tblPr/>
      <w:tcPr>
        <w:tcBorders>
          <w:top w:val="single" w:sz="8" w:space="0" w:color="36424A" w:themeColor="accent2"/>
          <w:left w:val="single" w:sz="8" w:space="0" w:color="36424A" w:themeColor="accent2"/>
          <w:bottom w:val="single" w:sz="8" w:space="0" w:color="36424A" w:themeColor="accent2"/>
          <w:right w:val="single" w:sz="8" w:space="0" w:color="36424A" w:themeColor="accent2"/>
        </w:tcBorders>
      </w:tcPr>
    </w:tblStylePr>
    <w:tblStylePr w:type="band1Horz">
      <w:tblPr/>
      <w:tcPr>
        <w:tcBorders>
          <w:top w:val="single" w:sz="8" w:space="0" w:color="36424A" w:themeColor="accent2"/>
          <w:left w:val="single" w:sz="8" w:space="0" w:color="36424A" w:themeColor="accent2"/>
          <w:bottom w:val="single" w:sz="8" w:space="0" w:color="36424A" w:themeColor="accent2"/>
          <w:right w:val="single" w:sz="8" w:space="0" w:color="36424A" w:themeColor="accent2"/>
        </w:tcBorders>
      </w:tcPr>
    </w:tblStylePr>
  </w:style>
  <w:style w:type="paragraph" w:customStyle="1" w:styleId="TableFigureTitle">
    <w:name w:val="Table/Figure Title"/>
    <w:basedOn w:val="Normal"/>
    <w:next w:val="Normal"/>
    <w:link w:val="TableFigureTitleChar"/>
    <w:uiPriority w:val="39"/>
    <w:qFormat/>
    <w:rsid w:val="006E052F"/>
    <w:pPr>
      <w:spacing w:after="120" w:line="240" w:lineRule="auto"/>
    </w:pPr>
    <w:rPr>
      <w:i/>
      <w:szCs w:val="20"/>
      <w:lang w:val="en-US"/>
    </w:rPr>
  </w:style>
  <w:style w:type="character" w:customStyle="1" w:styleId="TableFigureTitleChar">
    <w:name w:val="Table/Figure Title Char"/>
    <w:basedOn w:val="DefaultParagraphFont"/>
    <w:link w:val="TableFigureTitle"/>
    <w:uiPriority w:val="39"/>
    <w:rsid w:val="006E052F"/>
    <w:rPr>
      <w:i/>
      <w:szCs w:val="20"/>
    </w:rPr>
  </w:style>
  <w:style w:type="table" w:styleId="ListTable3-Accent1">
    <w:name w:val="List Table 3 Accent 1"/>
    <w:basedOn w:val="TableNormal"/>
    <w:uiPriority w:val="48"/>
    <w:rsid w:val="006E052F"/>
    <w:pPr>
      <w:spacing w:after="0" w:line="240" w:lineRule="auto"/>
    </w:pPr>
    <w:tblPr>
      <w:tblStyleRowBandSize w:val="1"/>
      <w:tblStyleColBandSize w:val="1"/>
      <w:tblBorders>
        <w:top w:val="single" w:sz="4" w:space="0" w:color="357DBE" w:themeColor="accent1"/>
        <w:left w:val="single" w:sz="4" w:space="0" w:color="357DBE" w:themeColor="accent1"/>
        <w:bottom w:val="single" w:sz="4" w:space="0" w:color="357DBE" w:themeColor="accent1"/>
        <w:right w:val="single" w:sz="4" w:space="0" w:color="357DBE" w:themeColor="accent1"/>
      </w:tblBorders>
    </w:tblPr>
    <w:tblStylePr w:type="firstRow">
      <w:rPr>
        <w:b/>
        <w:bCs/>
        <w:color w:val="FFFFFF" w:themeColor="background1"/>
      </w:rPr>
      <w:tblPr/>
      <w:tcPr>
        <w:shd w:val="clear" w:color="auto" w:fill="357DBE" w:themeFill="accent1"/>
      </w:tcPr>
    </w:tblStylePr>
    <w:tblStylePr w:type="lastRow">
      <w:rPr>
        <w:b/>
        <w:bCs/>
      </w:rPr>
      <w:tblPr/>
      <w:tcPr>
        <w:tcBorders>
          <w:top w:val="double" w:sz="4" w:space="0" w:color="357DB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57DBE" w:themeColor="accent1"/>
          <w:right w:val="single" w:sz="4" w:space="0" w:color="357DBE" w:themeColor="accent1"/>
        </w:tcBorders>
      </w:tcPr>
    </w:tblStylePr>
    <w:tblStylePr w:type="band1Horz">
      <w:tblPr/>
      <w:tcPr>
        <w:tcBorders>
          <w:top w:val="single" w:sz="4" w:space="0" w:color="357DBE" w:themeColor="accent1"/>
          <w:bottom w:val="single" w:sz="4" w:space="0" w:color="357DB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57DBE" w:themeColor="accent1"/>
          <w:left w:val="nil"/>
        </w:tcBorders>
      </w:tcPr>
    </w:tblStylePr>
    <w:tblStylePr w:type="swCell">
      <w:tblPr/>
      <w:tcPr>
        <w:tcBorders>
          <w:top w:val="double" w:sz="4" w:space="0" w:color="357DBE" w:themeColor="accent1"/>
          <w:right w:val="nil"/>
        </w:tcBorders>
      </w:tcPr>
    </w:tblStylePr>
  </w:style>
  <w:style w:type="table" w:styleId="GridTable4-Accent5">
    <w:name w:val="Grid Table 4 Accent 5"/>
    <w:basedOn w:val="TableNormal"/>
    <w:uiPriority w:val="49"/>
    <w:rsid w:val="006E052F"/>
    <w:pPr>
      <w:spacing w:after="0" w:line="240" w:lineRule="auto"/>
    </w:pPr>
    <w:tblPr>
      <w:tblStyleRowBandSize w:val="1"/>
      <w:tblStyleColBandSize w:val="1"/>
      <w:tblBorders>
        <w:top w:val="single" w:sz="4" w:space="0" w:color="7BCDDD" w:themeColor="accent5" w:themeTint="99"/>
        <w:left w:val="single" w:sz="4" w:space="0" w:color="7BCDDD" w:themeColor="accent5" w:themeTint="99"/>
        <w:bottom w:val="single" w:sz="4" w:space="0" w:color="7BCDDD" w:themeColor="accent5" w:themeTint="99"/>
        <w:right w:val="single" w:sz="4" w:space="0" w:color="7BCDDD" w:themeColor="accent5" w:themeTint="99"/>
        <w:insideH w:val="single" w:sz="4" w:space="0" w:color="7BCDDD" w:themeColor="accent5" w:themeTint="99"/>
        <w:insideV w:val="single" w:sz="4" w:space="0" w:color="7BCDDD" w:themeColor="accent5" w:themeTint="99"/>
      </w:tblBorders>
    </w:tblPr>
    <w:tblStylePr w:type="firstRow">
      <w:rPr>
        <w:b/>
        <w:bCs/>
        <w:color w:val="FFFFFF" w:themeColor="background1"/>
      </w:rPr>
      <w:tblPr/>
      <w:tcPr>
        <w:tcBorders>
          <w:top w:val="single" w:sz="4" w:space="0" w:color="30A6BC" w:themeColor="accent5"/>
          <w:left w:val="single" w:sz="4" w:space="0" w:color="30A6BC" w:themeColor="accent5"/>
          <w:bottom w:val="single" w:sz="4" w:space="0" w:color="30A6BC" w:themeColor="accent5"/>
          <w:right w:val="single" w:sz="4" w:space="0" w:color="30A6BC" w:themeColor="accent5"/>
          <w:insideH w:val="nil"/>
          <w:insideV w:val="nil"/>
        </w:tcBorders>
        <w:shd w:val="clear" w:color="auto" w:fill="30A6BC" w:themeFill="accent5"/>
      </w:tcPr>
    </w:tblStylePr>
    <w:tblStylePr w:type="lastRow">
      <w:rPr>
        <w:b/>
        <w:bCs/>
      </w:rPr>
      <w:tblPr/>
      <w:tcPr>
        <w:tcBorders>
          <w:top w:val="double" w:sz="4" w:space="0" w:color="30A6BC" w:themeColor="accent5"/>
        </w:tcBorders>
      </w:tcPr>
    </w:tblStylePr>
    <w:tblStylePr w:type="firstCol">
      <w:rPr>
        <w:b/>
        <w:bCs/>
      </w:rPr>
    </w:tblStylePr>
    <w:tblStylePr w:type="lastCol">
      <w:rPr>
        <w:b/>
        <w:bCs/>
      </w:rPr>
    </w:tblStylePr>
    <w:tblStylePr w:type="band1Vert">
      <w:tblPr/>
      <w:tcPr>
        <w:shd w:val="clear" w:color="auto" w:fill="D3EEF3" w:themeFill="accent5" w:themeFillTint="33"/>
      </w:tcPr>
    </w:tblStylePr>
    <w:tblStylePr w:type="band1Horz">
      <w:tblPr/>
      <w:tcPr>
        <w:shd w:val="clear" w:color="auto" w:fill="D3EEF3" w:themeFill="accent5" w:themeFillTint="33"/>
      </w:tcPr>
    </w:tblStylePr>
  </w:style>
  <w:style w:type="paragraph" w:customStyle="1" w:styleId="BHeading2">
    <w:name w:val="B Heading 2"/>
    <w:basedOn w:val="Normal"/>
    <w:next w:val="Normal0"/>
    <w:qFormat/>
    <w:rsid w:val="006E052F"/>
    <w:pPr>
      <w:keepNext/>
      <w:spacing w:before="360" w:line="252" w:lineRule="auto"/>
      <w:ind w:left="1134" w:hanging="1134"/>
      <w:jc w:val="left"/>
      <w:outlineLvl w:val="1"/>
    </w:pPr>
    <w:rPr>
      <w:b/>
      <w:bCs/>
      <w:color w:val="9E6047" w:themeColor="accent3"/>
      <w:sz w:val="36"/>
      <w:szCs w:val="36"/>
    </w:rPr>
  </w:style>
  <w:style w:type="paragraph" w:customStyle="1" w:styleId="CHeading2">
    <w:name w:val="C Heading 2"/>
    <w:basedOn w:val="BHeading2"/>
    <w:next w:val="Normal0"/>
    <w:qFormat/>
    <w:rsid w:val="006E052F"/>
  </w:style>
  <w:style w:type="paragraph" w:customStyle="1" w:styleId="TextBeforeBullets">
    <w:name w:val="Text Before Bullets"/>
    <w:basedOn w:val="Normal"/>
    <w:uiPriority w:val="1"/>
    <w:rsid w:val="006E052F"/>
    <w:pPr>
      <w:spacing w:after="60"/>
    </w:pPr>
    <w:rPr>
      <w:szCs w:val="20"/>
      <w:lang w:val="en-US"/>
    </w:rPr>
  </w:style>
  <w:style w:type="table" w:styleId="GridTable4-Accent1">
    <w:name w:val="Grid Table 4 Accent 1"/>
    <w:basedOn w:val="TableNormal"/>
    <w:uiPriority w:val="49"/>
    <w:rsid w:val="006E052F"/>
    <w:pPr>
      <w:spacing w:after="0" w:line="240" w:lineRule="auto"/>
    </w:pPr>
    <w:tblPr>
      <w:tblStyleRowBandSize w:val="1"/>
      <w:tblStyleColBandSize w:val="1"/>
      <w:tblBorders>
        <w:top w:val="single" w:sz="4" w:space="0" w:color="81B1DC" w:themeColor="accent1" w:themeTint="99"/>
        <w:left w:val="single" w:sz="4" w:space="0" w:color="81B1DC" w:themeColor="accent1" w:themeTint="99"/>
        <w:bottom w:val="single" w:sz="4" w:space="0" w:color="81B1DC" w:themeColor="accent1" w:themeTint="99"/>
        <w:right w:val="single" w:sz="4" w:space="0" w:color="81B1DC" w:themeColor="accent1" w:themeTint="99"/>
        <w:insideH w:val="single" w:sz="4" w:space="0" w:color="81B1DC" w:themeColor="accent1" w:themeTint="99"/>
        <w:insideV w:val="single" w:sz="4" w:space="0" w:color="81B1DC" w:themeColor="accent1" w:themeTint="99"/>
      </w:tblBorders>
    </w:tblPr>
    <w:tblStylePr w:type="firstRow">
      <w:rPr>
        <w:b/>
        <w:bCs/>
        <w:color w:val="FFFFFF" w:themeColor="background1"/>
      </w:rPr>
      <w:tblPr/>
      <w:tcPr>
        <w:tcBorders>
          <w:top w:val="single" w:sz="4" w:space="0" w:color="357DBE" w:themeColor="accent1"/>
          <w:left w:val="single" w:sz="4" w:space="0" w:color="357DBE" w:themeColor="accent1"/>
          <w:bottom w:val="single" w:sz="4" w:space="0" w:color="357DBE" w:themeColor="accent1"/>
          <w:right w:val="single" w:sz="4" w:space="0" w:color="357DBE" w:themeColor="accent1"/>
          <w:insideH w:val="nil"/>
          <w:insideV w:val="nil"/>
        </w:tcBorders>
        <w:shd w:val="clear" w:color="auto" w:fill="357DBE" w:themeFill="accent1"/>
      </w:tcPr>
    </w:tblStylePr>
    <w:tblStylePr w:type="lastRow">
      <w:rPr>
        <w:b/>
        <w:bCs/>
      </w:rPr>
      <w:tblPr/>
      <w:tcPr>
        <w:tcBorders>
          <w:top w:val="double" w:sz="4" w:space="0" w:color="357DBE" w:themeColor="accent1"/>
        </w:tcBorders>
      </w:tcPr>
    </w:tblStylePr>
    <w:tblStylePr w:type="firstCol">
      <w:rPr>
        <w:b/>
        <w:bCs/>
      </w:rPr>
    </w:tblStylePr>
    <w:tblStylePr w:type="lastCol">
      <w:rPr>
        <w:b/>
        <w:bCs/>
      </w:rPr>
    </w:tblStylePr>
    <w:tblStylePr w:type="band1Vert">
      <w:tblPr/>
      <w:tcPr>
        <w:shd w:val="clear" w:color="auto" w:fill="D5E4F3" w:themeFill="accent1" w:themeFillTint="33"/>
      </w:tcPr>
    </w:tblStylePr>
    <w:tblStylePr w:type="band1Horz">
      <w:tblPr/>
      <w:tcPr>
        <w:shd w:val="clear" w:color="auto" w:fill="D5E4F3" w:themeFill="accent1" w:themeFillTint="33"/>
      </w:tcPr>
    </w:tblStylePr>
  </w:style>
  <w:style w:type="numbering" w:customStyle="1" w:styleId="Outlines1">
    <w:name w:val="Outlines1"/>
    <w:uiPriority w:val="99"/>
    <w:rsid w:val="006E052F"/>
  </w:style>
  <w:style w:type="numbering" w:customStyle="1" w:styleId="TableBullets1">
    <w:name w:val="Table Bullets1"/>
    <w:uiPriority w:val="99"/>
    <w:rsid w:val="006E052F"/>
  </w:style>
  <w:style w:type="table" w:customStyle="1" w:styleId="ACTableDesign31">
    <w:name w:val="A+C Table Design (3)1"/>
    <w:basedOn w:val="ACTableDesign1Default"/>
    <w:uiPriority w:val="99"/>
    <w:rsid w:val="000C5422"/>
    <w:tblPr/>
    <w:tcPr>
      <w:shd w:val="clear" w:color="auto" w:fill="auto"/>
    </w:tcPr>
    <w:tblStylePr w:type="firstRow">
      <w:pPr>
        <w:wordWrap/>
        <w:spacing w:beforeLines="0" w:before="120" w:beforeAutospacing="0" w:afterLines="0" w:after="120" w:afterAutospacing="0"/>
        <w:jc w:val="left"/>
      </w:pPr>
      <w:rPr>
        <w:rFonts w:ascii="Arial" w:hAnsi="Arial"/>
        <w:b/>
        <w:color w:val="000000" w:themeColor="text1"/>
        <w:sz w:val="21"/>
      </w:rPr>
      <w:tblPr/>
      <w:trPr>
        <w:tblHeader/>
      </w:trPr>
      <w:tcPr>
        <w:shd w:val="clear" w:color="auto" w:fill="EBECED" w:themeFill="accent4"/>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30A6BC" w:themeFill="accent5"/>
      </w:tcPr>
    </w:tblStylePr>
  </w:style>
  <w:style w:type="numbering" w:customStyle="1" w:styleId="Headings1">
    <w:name w:val="Headings1"/>
    <w:uiPriority w:val="99"/>
    <w:rsid w:val="006E052F"/>
  </w:style>
  <w:style w:type="table" w:customStyle="1" w:styleId="ACTableDesign1White1">
    <w:name w:val="A+C Table Design (1) (White)1"/>
    <w:basedOn w:val="ACTableDesign1Default"/>
    <w:uiPriority w:val="99"/>
    <w:rsid w:val="000C5422"/>
    <w:tblPr/>
    <w:tblStylePr w:type="firstRow">
      <w:pPr>
        <w:wordWrap/>
        <w:spacing w:beforeLines="0" w:before="120" w:beforeAutospacing="0" w:afterLines="0" w:after="120" w:afterAutospacing="0" w:line="240" w:lineRule="auto"/>
        <w:jc w:val="left"/>
      </w:pPr>
      <w:rPr>
        <w:rFonts w:ascii="Arial" w:hAnsi="Arial"/>
        <w:b/>
        <w:color w:val="FFFFFF" w:themeColor="background1"/>
        <w:sz w:val="21"/>
      </w:rPr>
      <w:tblPr/>
      <w:trPr>
        <w:tblHeader/>
      </w:trPr>
      <w:tcPr>
        <w:shd w:val="clear" w:color="auto" w:fill="357DBE"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EBECED" w:themeFill="accent4"/>
      </w:tcPr>
    </w:tblStylePr>
  </w:style>
  <w:style w:type="table" w:customStyle="1" w:styleId="ACTableDesign21">
    <w:name w:val="A+C Table Design (2)1"/>
    <w:basedOn w:val="ACTableDesign1Default"/>
    <w:uiPriority w:val="99"/>
    <w:rsid w:val="000C5422"/>
    <w:tbl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36424A" w:themeFill="background2"/>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30A6BC" w:themeFill="accent5"/>
      </w:tcPr>
    </w:tblStylePr>
  </w:style>
  <w:style w:type="table" w:customStyle="1" w:styleId="ACTableDesign41">
    <w:name w:val="A+C Table Design (4)1"/>
    <w:basedOn w:val="ACTableDesign1Default"/>
    <w:uiPriority w:val="99"/>
    <w:rsid w:val="000C5422"/>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blStylePr w:type="firstRow">
      <w:pPr>
        <w:wordWrap/>
        <w:spacing w:beforeLines="0" w:before="120" w:beforeAutospacing="0" w:afterLines="0" w:after="120" w:afterAutospacing="0"/>
        <w:jc w:val="left"/>
      </w:pPr>
      <w:rPr>
        <w:rFonts w:ascii="Arial" w:hAnsi="Arial"/>
        <w:b/>
        <w:color w:val="000000" w:themeColor="text1"/>
        <w:sz w:val="21"/>
      </w:rPr>
      <w:tblPr/>
      <w:trPr>
        <w:tblHeader/>
      </w:trPr>
      <w:tcPr>
        <w:tcBorders>
          <w:top w:val="nil"/>
          <w:left w:val="nil"/>
          <w:bottom w:val="single" w:sz="18" w:space="0" w:color="357DBE" w:themeColor="accent1"/>
          <w:right w:val="nil"/>
          <w:insideH w:val="nil"/>
          <w:insideV w:val="nil"/>
        </w:tcBorders>
        <w:shd w:val="clear" w:color="auto" w:fill="FFFFFF" w:themeFill="background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Pr/>
      <w:tcPr>
        <w:tcBorders>
          <w:top w:val="nil"/>
          <w:left w:val="single" w:sz="8" w:space="0" w:color="FFFFFF" w:themeColor="background1"/>
          <w:bottom w:val="nil"/>
          <w:right w:val="single" w:sz="8" w:space="0" w:color="FFFFFF" w:themeColor="background1"/>
          <w:insideH w:val="nil"/>
          <w:insideV w:val="nil"/>
          <w:tl2br w:val="nil"/>
          <w:tr2bl w:val="nil"/>
        </w:tcBorders>
      </w:tcPr>
    </w:tblStylePr>
    <w:tblStylePr w:type="band2Vert">
      <w:rPr>
        <w:rFonts w:ascii="Arial" w:hAnsi="Arial"/>
        <w:sz w:val="21"/>
      </w:rPr>
      <w:tblPr/>
      <w:tcPr>
        <w:tcBorders>
          <w:left w:val="single" w:sz="4" w:space="0" w:color="FFFFFF" w:themeColor="background1"/>
          <w:right w:val="single" w:sz="4" w:space="0" w:color="FFFFFF" w:themeColor="background1"/>
        </w:tcBorders>
      </w:tcPr>
    </w:tblStylePr>
    <w:tblStylePr w:type="band1Horz">
      <w:rPr>
        <w:rFonts w:ascii="Arial" w:hAnsi="Arial"/>
        <w:sz w:val="21"/>
      </w:rPr>
      <w:tblPr/>
      <w:tcPr>
        <w:shd w:val="clear" w:color="auto" w:fill="EBECED" w:themeFill="accent4"/>
      </w:tcPr>
    </w:tblStylePr>
    <w:tblStylePr w:type="band2Horz">
      <w:rPr>
        <w:rFonts w:ascii="Arial" w:hAnsi="Arial"/>
        <w:sz w:val="21"/>
      </w:rPr>
      <w:tblPr/>
      <w:tcPr>
        <w:shd w:val="clear" w:color="auto" w:fill="FFFFFF" w:themeFill="background1"/>
      </w:tcPr>
    </w:tblStylePr>
  </w:style>
  <w:style w:type="table" w:customStyle="1" w:styleId="ACTableStyle5GlossaryTable1">
    <w:name w:val="A+C Table Style (5) Glossary Table1"/>
    <w:basedOn w:val="ACTableDesign1Default"/>
    <w:uiPriority w:val="99"/>
    <w:rsid w:val="000C5422"/>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uto"/>
    </w:tcPr>
    <w:tblStylePr w:type="firstRow">
      <w:pPr>
        <w:wordWrap/>
        <w:spacing w:beforeLines="0" w:before="120" w:beforeAutospacing="0" w:afterLines="0" w:after="120" w:afterAutospacing="0"/>
        <w:jc w:val="left"/>
      </w:pPr>
      <w:rPr>
        <w:rFonts w:ascii="Arial" w:hAnsi="Arial"/>
        <w:b/>
        <w:color w:val="FFFFFF" w:themeColor="background1"/>
        <w:sz w:val="21"/>
      </w:rPr>
      <w:tblPr/>
      <w:trPr>
        <w:tblHeader/>
      </w:trPr>
      <w:tcPr>
        <w:shd w:val="clear" w:color="auto" w:fill="357DBE" w:themeFill="accent1"/>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hemeFill="background1"/>
      </w:tcPr>
    </w:tblStylePr>
    <w:tblStylePr w:type="band2Horz">
      <w:rPr>
        <w:rFonts w:ascii="Arial" w:hAnsi="Arial"/>
        <w:sz w:val="21"/>
      </w:rPr>
      <w:tblPr/>
      <w:tcPr>
        <w:shd w:val="clear" w:color="auto" w:fill="30A6BC" w:themeFill="accent5"/>
      </w:tcPr>
    </w:tblStylePr>
  </w:style>
  <w:style w:type="numbering" w:customStyle="1" w:styleId="BullettedList1">
    <w:name w:val="BullettedList1"/>
    <w:uiPriority w:val="99"/>
    <w:rsid w:val="006E052F"/>
  </w:style>
  <w:style w:type="paragraph" w:customStyle="1" w:styleId="Heading1-NOTinTOC">
    <w:name w:val="Heading 1 - NOT in TOC"/>
    <w:basedOn w:val="Heading1"/>
    <w:next w:val="BodyText"/>
    <w:link w:val="Heading1-NOTinTOCChar"/>
    <w:uiPriority w:val="13"/>
    <w:qFormat/>
    <w:rsid w:val="006E052F"/>
    <w:pPr>
      <w:spacing w:before="360" w:line="280" w:lineRule="exact"/>
      <w:ind w:left="0" w:firstLine="0"/>
      <w:jc w:val="both"/>
      <w:outlineLvl w:val="9"/>
    </w:pPr>
    <w:rPr>
      <w:rFonts w:ascii="Calibri" w:hAnsi="Calibri"/>
      <w:caps w:val="0"/>
      <w:color w:val="36424A" w:themeColor="accent2"/>
      <w:sz w:val="32"/>
      <w:lang w:val="en-NZ"/>
    </w:rPr>
  </w:style>
  <w:style w:type="character" w:customStyle="1" w:styleId="Heading1-NOTinTOCChar">
    <w:name w:val="Heading 1 - NOT in TOC Char"/>
    <w:basedOn w:val="Heading1Char"/>
    <w:link w:val="Heading1-NOTinTOC"/>
    <w:uiPriority w:val="13"/>
    <w:rsid w:val="006E052F"/>
    <w:rPr>
      <w:rFonts w:ascii="Calibri" w:hAnsi="Calibri"/>
      <w:b/>
      <w:caps w:val="0"/>
      <w:color w:val="36424A" w:themeColor="accent2"/>
      <w:kern w:val="28"/>
      <w:sz w:val="32"/>
      <w:szCs w:val="48"/>
      <w:lang w:val="en-NZ"/>
    </w:rPr>
  </w:style>
  <w:style w:type="paragraph" w:customStyle="1" w:styleId="Heading2-NOTinTOC">
    <w:name w:val="Heading 2 - NOT in TOC"/>
    <w:basedOn w:val="Heading2"/>
    <w:next w:val="BodyText"/>
    <w:link w:val="Heading2-NOTinTOCChar"/>
    <w:uiPriority w:val="13"/>
    <w:qFormat/>
    <w:rsid w:val="006E052F"/>
    <w:pPr>
      <w:tabs>
        <w:tab w:val="left" w:pos="851"/>
      </w:tabs>
      <w:spacing w:before="360" w:after="120" w:line="276" w:lineRule="auto"/>
      <w:ind w:left="0" w:firstLine="0"/>
      <w:jc w:val="both"/>
      <w:outlineLvl w:val="9"/>
    </w:pPr>
    <w:rPr>
      <w:bCs w:val="0"/>
      <w:color w:val="36424A" w:themeColor="accent2"/>
      <w:sz w:val="28"/>
      <w:lang w:val="en-AU"/>
    </w:rPr>
  </w:style>
  <w:style w:type="character" w:customStyle="1" w:styleId="Heading2-NOTinTOCChar">
    <w:name w:val="Heading 2 - NOT in TOC Char"/>
    <w:basedOn w:val="Heading2Char"/>
    <w:link w:val="Heading2-NOTinTOC"/>
    <w:uiPriority w:val="13"/>
    <w:rsid w:val="006E052F"/>
    <w:rPr>
      <w:b/>
      <w:bCs w:val="0"/>
      <w:noProof/>
      <w:color w:val="36424A" w:themeColor="accent2"/>
      <w:sz w:val="28"/>
      <w:szCs w:val="36"/>
      <w:lang w:val="en-AU"/>
    </w:rPr>
  </w:style>
  <w:style w:type="table" w:customStyle="1" w:styleId="ACTableOption1Default">
    <w:name w:val="A+C Table Option 1 (Default)"/>
    <w:basedOn w:val="TableNormal"/>
    <w:uiPriority w:val="99"/>
    <w:rsid w:val="006E052F"/>
    <w:pPr>
      <w:spacing w:before="60" w:after="60" w:line="240" w:lineRule="auto"/>
    </w:pPr>
    <w:rPr>
      <w:sz w:val="21"/>
      <w:szCs w:val="20"/>
    </w:rPr>
    <w:tblPr>
      <w:tblStyleRowBandSize w:val="1"/>
      <w:tblStyleColBandSize w:val="1"/>
      <w:tblBorders>
        <w:top w:val="single" w:sz="2" w:space="0" w:color="36424A"/>
        <w:left w:val="single" w:sz="2" w:space="0" w:color="36424A"/>
        <w:bottom w:val="single" w:sz="2" w:space="0" w:color="36424A"/>
        <w:right w:val="single" w:sz="2" w:space="0" w:color="36424A"/>
        <w:insideH w:val="single" w:sz="2" w:space="0" w:color="36424A"/>
        <w:insideV w:val="single" w:sz="2" w:space="0" w:color="36424A"/>
      </w:tblBorders>
    </w:tblPr>
    <w:trPr>
      <w:cantSplit/>
    </w:trPr>
    <w:tcPr>
      <w:vAlign w:val="center"/>
    </w:tcPr>
    <w:tblStylePr w:type="firstRow">
      <w:pPr>
        <w:wordWrap/>
        <w:spacing w:beforeLines="0" w:before="120" w:beforeAutospacing="0" w:afterLines="0" w:after="120" w:afterAutospacing="0"/>
        <w:jc w:val="left"/>
      </w:pPr>
      <w:rPr>
        <w:rFonts w:ascii="Arial" w:hAnsi="Arial"/>
        <w:b/>
        <w:color w:val="FFFFFF"/>
        <w:sz w:val="21"/>
      </w:rPr>
      <w:tblPr/>
      <w:trPr>
        <w:tblHeader/>
      </w:trPr>
      <w:tcPr>
        <w:shd w:val="clear" w:color="auto" w:fill="007E00"/>
      </w:tcPr>
    </w:tblStylePr>
    <w:tblStylePr w:type="lastRow">
      <w:rPr>
        <w:rFonts w:ascii="Arial" w:hAnsi="Arial"/>
        <w:sz w:val="21"/>
      </w:rPr>
    </w:tblStylePr>
    <w:tblStylePr w:type="firstCol">
      <w:rPr>
        <w:rFonts w:ascii="Arial" w:hAnsi="Arial"/>
        <w:sz w:val="21"/>
      </w:rPr>
    </w:tblStylePr>
    <w:tblStylePr w:type="lastCol">
      <w:rPr>
        <w:rFonts w:ascii="Arial" w:hAnsi="Arial"/>
        <w:sz w:val="21"/>
      </w:rPr>
    </w:tblStylePr>
    <w:tblStylePr w:type="band1Vert">
      <w:rPr>
        <w:rFonts w:ascii="Arial" w:hAnsi="Arial"/>
        <w:sz w:val="21"/>
      </w:rPr>
    </w:tblStylePr>
    <w:tblStylePr w:type="band2Vert">
      <w:rPr>
        <w:rFonts w:ascii="Arial" w:hAnsi="Arial"/>
        <w:sz w:val="21"/>
      </w:rPr>
    </w:tblStylePr>
    <w:tblStylePr w:type="band1Horz">
      <w:rPr>
        <w:rFonts w:ascii="Arial" w:hAnsi="Arial"/>
        <w:sz w:val="21"/>
      </w:rPr>
      <w:tblPr/>
      <w:tcPr>
        <w:shd w:val="clear" w:color="auto" w:fill="FFFFFF"/>
      </w:tcPr>
    </w:tblStylePr>
    <w:tblStylePr w:type="band2Horz">
      <w:rPr>
        <w:rFonts w:ascii="Arial" w:hAnsi="Arial"/>
        <w:sz w:val="21"/>
      </w:rPr>
      <w:tblPr/>
      <w:tcPr>
        <w:shd w:val="clear" w:color="auto" w:fill="EBECED"/>
      </w:tcPr>
    </w:tblStylePr>
  </w:style>
  <w:style w:type="character" w:styleId="BookTitle">
    <w:name w:val="Book Title"/>
    <w:basedOn w:val="DefaultParagraphFont"/>
    <w:uiPriority w:val="33"/>
    <w:qFormat/>
    <w:rsid w:val="006E052F"/>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286177">
      <w:bodyDiv w:val="1"/>
      <w:marLeft w:val="0"/>
      <w:marRight w:val="0"/>
      <w:marTop w:val="0"/>
      <w:marBottom w:val="0"/>
      <w:divBdr>
        <w:top w:val="none" w:sz="0" w:space="0" w:color="auto"/>
        <w:left w:val="none" w:sz="0" w:space="0" w:color="auto"/>
        <w:bottom w:val="none" w:sz="0" w:space="0" w:color="auto"/>
        <w:right w:val="none" w:sz="0" w:space="0" w:color="auto"/>
      </w:divBdr>
    </w:div>
    <w:div w:id="125658766">
      <w:bodyDiv w:val="1"/>
      <w:marLeft w:val="0"/>
      <w:marRight w:val="0"/>
      <w:marTop w:val="0"/>
      <w:marBottom w:val="0"/>
      <w:divBdr>
        <w:top w:val="none" w:sz="0" w:space="0" w:color="auto"/>
        <w:left w:val="none" w:sz="0" w:space="0" w:color="auto"/>
        <w:bottom w:val="none" w:sz="0" w:space="0" w:color="auto"/>
        <w:right w:val="none" w:sz="0" w:space="0" w:color="auto"/>
      </w:divBdr>
      <w:divsChild>
        <w:div w:id="1351837280">
          <w:marLeft w:val="446"/>
          <w:marRight w:val="0"/>
          <w:marTop w:val="0"/>
          <w:marBottom w:val="0"/>
          <w:divBdr>
            <w:top w:val="none" w:sz="0" w:space="0" w:color="auto"/>
            <w:left w:val="none" w:sz="0" w:space="0" w:color="auto"/>
            <w:bottom w:val="none" w:sz="0" w:space="0" w:color="auto"/>
            <w:right w:val="none" w:sz="0" w:space="0" w:color="auto"/>
          </w:divBdr>
        </w:div>
        <w:div w:id="1855072712">
          <w:marLeft w:val="446"/>
          <w:marRight w:val="0"/>
          <w:marTop w:val="0"/>
          <w:marBottom w:val="0"/>
          <w:divBdr>
            <w:top w:val="none" w:sz="0" w:space="0" w:color="auto"/>
            <w:left w:val="none" w:sz="0" w:space="0" w:color="auto"/>
            <w:bottom w:val="none" w:sz="0" w:space="0" w:color="auto"/>
            <w:right w:val="none" w:sz="0" w:space="0" w:color="auto"/>
          </w:divBdr>
        </w:div>
      </w:divsChild>
    </w:div>
    <w:div w:id="131294438">
      <w:bodyDiv w:val="1"/>
      <w:marLeft w:val="0"/>
      <w:marRight w:val="0"/>
      <w:marTop w:val="0"/>
      <w:marBottom w:val="0"/>
      <w:divBdr>
        <w:top w:val="none" w:sz="0" w:space="0" w:color="auto"/>
        <w:left w:val="none" w:sz="0" w:space="0" w:color="auto"/>
        <w:bottom w:val="none" w:sz="0" w:space="0" w:color="auto"/>
        <w:right w:val="none" w:sz="0" w:space="0" w:color="auto"/>
      </w:divBdr>
    </w:div>
    <w:div w:id="219244285">
      <w:bodyDiv w:val="1"/>
      <w:marLeft w:val="0"/>
      <w:marRight w:val="0"/>
      <w:marTop w:val="0"/>
      <w:marBottom w:val="0"/>
      <w:divBdr>
        <w:top w:val="none" w:sz="0" w:space="0" w:color="auto"/>
        <w:left w:val="none" w:sz="0" w:space="0" w:color="auto"/>
        <w:bottom w:val="none" w:sz="0" w:space="0" w:color="auto"/>
        <w:right w:val="none" w:sz="0" w:space="0" w:color="auto"/>
      </w:divBdr>
    </w:div>
    <w:div w:id="223755138">
      <w:bodyDiv w:val="1"/>
      <w:marLeft w:val="0"/>
      <w:marRight w:val="0"/>
      <w:marTop w:val="0"/>
      <w:marBottom w:val="0"/>
      <w:divBdr>
        <w:top w:val="none" w:sz="0" w:space="0" w:color="auto"/>
        <w:left w:val="none" w:sz="0" w:space="0" w:color="auto"/>
        <w:bottom w:val="none" w:sz="0" w:space="0" w:color="auto"/>
        <w:right w:val="none" w:sz="0" w:space="0" w:color="auto"/>
      </w:divBdr>
    </w:div>
    <w:div w:id="235209664">
      <w:bodyDiv w:val="1"/>
      <w:marLeft w:val="0"/>
      <w:marRight w:val="0"/>
      <w:marTop w:val="0"/>
      <w:marBottom w:val="0"/>
      <w:divBdr>
        <w:top w:val="none" w:sz="0" w:space="0" w:color="auto"/>
        <w:left w:val="none" w:sz="0" w:space="0" w:color="auto"/>
        <w:bottom w:val="none" w:sz="0" w:space="0" w:color="auto"/>
        <w:right w:val="none" w:sz="0" w:space="0" w:color="auto"/>
      </w:divBdr>
    </w:div>
    <w:div w:id="260337636">
      <w:bodyDiv w:val="1"/>
      <w:marLeft w:val="0"/>
      <w:marRight w:val="0"/>
      <w:marTop w:val="0"/>
      <w:marBottom w:val="0"/>
      <w:divBdr>
        <w:top w:val="none" w:sz="0" w:space="0" w:color="auto"/>
        <w:left w:val="none" w:sz="0" w:space="0" w:color="auto"/>
        <w:bottom w:val="none" w:sz="0" w:space="0" w:color="auto"/>
        <w:right w:val="none" w:sz="0" w:space="0" w:color="auto"/>
      </w:divBdr>
    </w:div>
    <w:div w:id="275060707">
      <w:bodyDiv w:val="1"/>
      <w:marLeft w:val="0"/>
      <w:marRight w:val="0"/>
      <w:marTop w:val="0"/>
      <w:marBottom w:val="0"/>
      <w:divBdr>
        <w:top w:val="none" w:sz="0" w:space="0" w:color="auto"/>
        <w:left w:val="none" w:sz="0" w:space="0" w:color="auto"/>
        <w:bottom w:val="none" w:sz="0" w:space="0" w:color="auto"/>
        <w:right w:val="none" w:sz="0" w:space="0" w:color="auto"/>
      </w:divBdr>
    </w:div>
    <w:div w:id="291132008">
      <w:bodyDiv w:val="1"/>
      <w:marLeft w:val="0"/>
      <w:marRight w:val="0"/>
      <w:marTop w:val="0"/>
      <w:marBottom w:val="0"/>
      <w:divBdr>
        <w:top w:val="none" w:sz="0" w:space="0" w:color="auto"/>
        <w:left w:val="none" w:sz="0" w:space="0" w:color="auto"/>
        <w:bottom w:val="none" w:sz="0" w:space="0" w:color="auto"/>
        <w:right w:val="none" w:sz="0" w:space="0" w:color="auto"/>
      </w:divBdr>
    </w:div>
    <w:div w:id="297691972">
      <w:bodyDiv w:val="1"/>
      <w:marLeft w:val="0"/>
      <w:marRight w:val="0"/>
      <w:marTop w:val="0"/>
      <w:marBottom w:val="0"/>
      <w:divBdr>
        <w:top w:val="none" w:sz="0" w:space="0" w:color="auto"/>
        <w:left w:val="none" w:sz="0" w:space="0" w:color="auto"/>
        <w:bottom w:val="none" w:sz="0" w:space="0" w:color="auto"/>
        <w:right w:val="none" w:sz="0" w:space="0" w:color="auto"/>
      </w:divBdr>
    </w:div>
    <w:div w:id="331681568">
      <w:bodyDiv w:val="1"/>
      <w:marLeft w:val="0"/>
      <w:marRight w:val="0"/>
      <w:marTop w:val="0"/>
      <w:marBottom w:val="0"/>
      <w:divBdr>
        <w:top w:val="none" w:sz="0" w:space="0" w:color="auto"/>
        <w:left w:val="none" w:sz="0" w:space="0" w:color="auto"/>
        <w:bottom w:val="none" w:sz="0" w:space="0" w:color="auto"/>
        <w:right w:val="none" w:sz="0" w:space="0" w:color="auto"/>
      </w:divBdr>
    </w:div>
    <w:div w:id="338504529">
      <w:bodyDiv w:val="1"/>
      <w:marLeft w:val="0"/>
      <w:marRight w:val="0"/>
      <w:marTop w:val="0"/>
      <w:marBottom w:val="0"/>
      <w:divBdr>
        <w:top w:val="none" w:sz="0" w:space="0" w:color="auto"/>
        <w:left w:val="none" w:sz="0" w:space="0" w:color="auto"/>
        <w:bottom w:val="none" w:sz="0" w:space="0" w:color="auto"/>
        <w:right w:val="none" w:sz="0" w:space="0" w:color="auto"/>
      </w:divBdr>
    </w:div>
    <w:div w:id="348415018">
      <w:bodyDiv w:val="1"/>
      <w:marLeft w:val="0"/>
      <w:marRight w:val="0"/>
      <w:marTop w:val="0"/>
      <w:marBottom w:val="0"/>
      <w:divBdr>
        <w:top w:val="none" w:sz="0" w:space="0" w:color="auto"/>
        <w:left w:val="none" w:sz="0" w:space="0" w:color="auto"/>
        <w:bottom w:val="none" w:sz="0" w:space="0" w:color="auto"/>
        <w:right w:val="none" w:sz="0" w:space="0" w:color="auto"/>
      </w:divBdr>
    </w:div>
    <w:div w:id="380641792">
      <w:bodyDiv w:val="1"/>
      <w:marLeft w:val="0"/>
      <w:marRight w:val="0"/>
      <w:marTop w:val="0"/>
      <w:marBottom w:val="0"/>
      <w:divBdr>
        <w:top w:val="none" w:sz="0" w:space="0" w:color="auto"/>
        <w:left w:val="none" w:sz="0" w:space="0" w:color="auto"/>
        <w:bottom w:val="none" w:sz="0" w:space="0" w:color="auto"/>
        <w:right w:val="none" w:sz="0" w:space="0" w:color="auto"/>
      </w:divBdr>
    </w:div>
    <w:div w:id="383523692">
      <w:bodyDiv w:val="1"/>
      <w:marLeft w:val="0"/>
      <w:marRight w:val="0"/>
      <w:marTop w:val="0"/>
      <w:marBottom w:val="0"/>
      <w:divBdr>
        <w:top w:val="none" w:sz="0" w:space="0" w:color="auto"/>
        <w:left w:val="none" w:sz="0" w:space="0" w:color="auto"/>
        <w:bottom w:val="none" w:sz="0" w:space="0" w:color="auto"/>
        <w:right w:val="none" w:sz="0" w:space="0" w:color="auto"/>
      </w:divBdr>
      <w:divsChild>
        <w:div w:id="532420356">
          <w:marLeft w:val="0"/>
          <w:marRight w:val="0"/>
          <w:marTop w:val="0"/>
          <w:marBottom w:val="0"/>
          <w:divBdr>
            <w:top w:val="none" w:sz="0" w:space="0" w:color="auto"/>
            <w:left w:val="none" w:sz="0" w:space="0" w:color="auto"/>
            <w:bottom w:val="none" w:sz="0" w:space="0" w:color="auto"/>
            <w:right w:val="none" w:sz="0" w:space="0" w:color="auto"/>
          </w:divBdr>
          <w:divsChild>
            <w:div w:id="531306849">
              <w:marLeft w:val="0"/>
              <w:marRight w:val="0"/>
              <w:marTop w:val="0"/>
              <w:marBottom w:val="0"/>
              <w:divBdr>
                <w:top w:val="none" w:sz="0" w:space="0" w:color="auto"/>
                <w:left w:val="none" w:sz="0" w:space="0" w:color="auto"/>
                <w:bottom w:val="none" w:sz="0" w:space="0" w:color="auto"/>
                <w:right w:val="none" w:sz="0" w:space="0" w:color="auto"/>
              </w:divBdr>
              <w:divsChild>
                <w:div w:id="1851136573">
                  <w:marLeft w:val="0"/>
                  <w:marRight w:val="0"/>
                  <w:marTop w:val="0"/>
                  <w:marBottom w:val="0"/>
                  <w:divBdr>
                    <w:top w:val="none" w:sz="0" w:space="0" w:color="auto"/>
                    <w:left w:val="none" w:sz="0" w:space="0" w:color="auto"/>
                    <w:bottom w:val="none" w:sz="0" w:space="0" w:color="auto"/>
                    <w:right w:val="none" w:sz="0" w:space="0" w:color="auto"/>
                  </w:divBdr>
                  <w:divsChild>
                    <w:div w:id="1176918074">
                      <w:marLeft w:val="0"/>
                      <w:marRight w:val="0"/>
                      <w:marTop w:val="0"/>
                      <w:marBottom w:val="0"/>
                      <w:divBdr>
                        <w:top w:val="none" w:sz="0" w:space="0" w:color="auto"/>
                        <w:left w:val="none" w:sz="0" w:space="0" w:color="auto"/>
                        <w:bottom w:val="none" w:sz="0" w:space="0" w:color="auto"/>
                        <w:right w:val="none" w:sz="0" w:space="0" w:color="auto"/>
                      </w:divBdr>
                      <w:divsChild>
                        <w:div w:id="1747414793">
                          <w:marLeft w:val="0"/>
                          <w:marRight w:val="0"/>
                          <w:marTop w:val="0"/>
                          <w:marBottom w:val="0"/>
                          <w:divBdr>
                            <w:top w:val="none" w:sz="0" w:space="0" w:color="auto"/>
                            <w:left w:val="none" w:sz="0" w:space="0" w:color="auto"/>
                            <w:bottom w:val="none" w:sz="0" w:space="0" w:color="auto"/>
                            <w:right w:val="none" w:sz="0" w:space="0" w:color="auto"/>
                          </w:divBdr>
                          <w:divsChild>
                            <w:div w:id="705639170">
                              <w:marLeft w:val="0"/>
                              <w:marRight w:val="0"/>
                              <w:marTop w:val="0"/>
                              <w:marBottom w:val="0"/>
                              <w:divBdr>
                                <w:top w:val="none" w:sz="0" w:space="0" w:color="auto"/>
                                <w:left w:val="none" w:sz="0" w:space="0" w:color="auto"/>
                                <w:bottom w:val="none" w:sz="0" w:space="0" w:color="auto"/>
                                <w:right w:val="none" w:sz="0" w:space="0" w:color="auto"/>
                              </w:divBdr>
                            </w:div>
                          </w:divsChild>
                        </w:div>
                        <w:div w:id="1901206612">
                          <w:marLeft w:val="0"/>
                          <w:marRight w:val="0"/>
                          <w:marTop w:val="0"/>
                          <w:marBottom w:val="0"/>
                          <w:divBdr>
                            <w:top w:val="none" w:sz="0" w:space="0" w:color="auto"/>
                            <w:left w:val="none" w:sz="0" w:space="0" w:color="auto"/>
                            <w:bottom w:val="none" w:sz="0" w:space="0" w:color="auto"/>
                            <w:right w:val="none" w:sz="0" w:space="0" w:color="auto"/>
                          </w:divBdr>
                          <w:divsChild>
                            <w:div w:id="140221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24580">
                      <w:marLeft w:val="0"/>
                      <w:marRight w:val="0"/>
                      <w:marTop w:val="0"/>
                      <w:marBottom w:val="0"/>
                      <w:divBdr>
                        <w:top w:val="none" w:sz="0" w:space="0" w:color="auto"/>
                        <w:left w:val="none" w:sz="0" w:space="0" w:color="auto"/>
                        <w:bottom w:val="none" w:sz="0" w:space="0" w:color="auto"/>
                        <w:right w:val="none" w:sz="0" w:space="0" w:color="auto"/>
                      </w:divBdr>
                      <w:divsChild>
                        <w:div w:id="243800378">
                          <w:marLeft w:val="0"/>
                          <w:marRight w:val="0"/>
                          <w:marTop w:val="0"/>
                          <w:marBottom w:val="0"/>
                          <w:divBdr>
                            <w:top w:val="none" w:sz="0" w:space="0" w:color="auto"/>
                            <w:left w:val="none" w:sz="0" w:space="0" w:color="auto"/>
                            <w:bottom w:val="none" w:sz="0" w:space="0" w:color="auto"/>
                            <w:right w:val="none" w:sz="0" w:space="0" w:color="auto"/>
                          </w:divBdr>
                          <w:divsChild>
                            <w:div w:id="1302419145">
                              <w:marLeft w:val="0"/>
                              <w:marRight w:val="0"/>
                              <w:marTop w:val="0"/>
                              <w:marBottom w:val="0"/>
                              <w:divBdr>
                                <w:top w:val="none" w:sz="0" w:space="0" w:color="auto"/>
                                <w:left w:val="none" w:sz="0" w:space="0" w:color="auto"/>
                                <w:bottom w:val="none" w:sz="0" w:space="0" w:color="auto"/>
                                <w:right w:val="none" w:sz="0" w:space="0" w:color="auto"/>
                              </w:divBdr>
                              <w:divsChild>
                                <w:div w:id="1661151667">
                                  <w:marLeft w:val="0"/>
                                  <w:marRight w:val="0"/>
                                  <w:marTop w:val="0"/>
                                  <w:marBottom w:val="0"/>
                                  <w:divBdr>
                                    <w:top w:val="none" w:sz="0" w:space="0" w:color="auto"/>
                                    <w:left w:val="none" w:sz="0" w:space="0" w:color="auto"/>
                                    <w:bottom w:val="none" w:sz="0" w:space="0" w:color="auto"/>
                                    <w:right w:val="none" w:sz="0" w:space="0" w:color="auto"/>
                                  </w:divBdr>
                                  <w:divsChild>
                                    <w:div w:id="1504467356">
                                      <w:marLeft w:val="0"/>
                                      <w:marRight w:val="0"/>
                                      <w:marTop w:val="0"/>
                                      <w:marBottom w:val="0"/>
                                      <w:divBdr>
                                        <w:top w:val="none" w:sz="0" w:space="0" w:color="auto"/>
                                        <w:left w:val="none" w:sz="0" w:space="0" w:color="auto"/>
                                        <w:bottom w:val="none" w:sz="0" w:space="0" w:color="auto"/>
                                        <w:right w:val="none" w:sz="0" w:space="0" w:color="auto"/>
                                      </w:divBdr>
                                    </w:div>
                                  </w:divsChild>
                                </w:div>
                                <w:div w:id="1728216465">
                                  <w:marLeft w:val="0"/>
                                  <w:marRight w:val="0"/>
                                  <w:marTop w:val="0"/>
                                  <w:marBottom w:val="0"/>
                                  <w:divBdr>
                                    <w:top w:val="none" w:sz="0" w:space="0" w:color="auto"/>
                                    <w:left w:val="none" w:sz="0" w:space="0" w:color="auto"/>
                                    <w:bottom w:val="none" w:sz="0" w:space="0" w:color="auto"/>
                                    <w:right w:val="none" w:sz="0" w:space="0" w:color="auto"/>
                                  </w:divBdr>
                                  <w:divsChild>
                                    <w:div w:id="368337739">
                                      <w:marLeft w:val="0"/>
                                      <w:marRight w:val="0"/>
                                      <w:marTop w:val="0"/>
                                      <w:marBottom w:val="0"/>
                                      <w:divBdr>
                                        <w:top w:val="none" w:sz="0" w:space="0" w:color="auto"/>
                                        <w:left w:val="none" w:sz="0" w:space="0" w:color="auto"/>
                                        <w:bottom w:val="none" w:sz="0" w:space="0" w:color="auto"/>
                                        <w:right w:val="none" w:sz="0" w:space="0" w:color="auto"/>
                                      </w:divBdr>
                                    </w:div>
                                  </w:divsChild>
                                </w:div>
                                <w:div w:id="1811628419">
                                  <w:marLeft w:val="0"/>
                                  <w:marRight w:val="0"/>
                                  <w:marTop w:val="0"/>
                                  <w:marBottom w:val="0"/>
                                  <w:divBdr>
                                    <w:top w:val="none" w:sz="0" w:space="0" w:color="auto"/>
                                    <w:left w:val="none" w:sz="0" w:space="0" w:color="auto"/>
                                    <w:bottom w:val="none" w:sz="0" w:space="0" w:color="auto"/>
                                    <w:right w:val="none" w:sz="0" w:space="0" w:color="auto"/>
                                  </w:divBdr>
                                  <w:divsChild>
                                    <w:div w:id="112623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853592">
                              <w:marLeft w:val="0"/>
                              <w:marRight w:val="0"/>
                              <w:marTop w:val="0"/>
                              <w:marBottom w:val="0"/>
                              <w:divBdr>
                                <w:top w:val="none" w:sz="0" w:space="0" w:color="auto"/>
                                <w:left w:val="none" w:sz="0" w:space="0" w:color="auto"/>
                                <w:bottom w:val="none" w:sz="0" w:space="0" w:color="auto"/>
                                <w:right w:val="none" w:sz="0" w:space="0" w:color="auto"/>
                              </w:divBdr>
                            </w:div>
                          </w:divsChild>
                        </w:div>
                        <w:div w:id="329988742">
                          <w:marLeft w:val="0"/>
                          <w:marRight w:val="0"/>
                          <w:marTop w:val="0"/>
                          <w:marBottom w:val="0"/>
                          <w:divBdr>
                            <w:top w:val="none" w:sz="0" w:space="0" w:color="auto"/>
                            <w:left w:val="none" w:sz="0" w:space="0" w:color="auto"/>
                            <w:bottom w:val="none" w:sz="0" w:space="0" w:color="auto"/>
                            <w:right w:val="none" w:sz="0" w:space="0" w:color="auto"/>
                          </w:divBdr>
                          <w:divsChild>
                            <w:div w:id="1067801519">
                              <w:marLeft w:val="0"/>
                              <w:marRight w:val="0"/>
                              <w:marTop w:val="0"/>
                              <w:marBottom w:val="0"/>
                              <w:divBdr>
                                <w:top w:val="none" w:sz="0" w:space="0" w:color="auto"/>
                                <w:left w:val="none" w:sz="0" w:space="0" w:color="auto"/>
                                <w:bottom w:val="none" w:sz="0" w:space="0" w:color="auto"/>
                                <w:right w:val="none" w:sz="0" w:space="0" w:color="auto"/>
                              </w:divBdr>
                            </w:div>
                            <w:div w:id="1342857457">
                              <w:marLeft w:val="0"/>
                              <w:marRight w:val="0"/>
                              <w:marTop w:val="0"/>
                              <w:marBottom w:val="0"/>
                              <w:divBdr>
                                <w:top w:val="none" w:sz="0" w:space="0" w:color="auto"/>
                                <w:left w:val="none" w:sz="0" w:space="0" w:color="auto"/>
                                <w:bottom w:val="none" w:sz="0" w:space="0" w:color="auto"/>
                                <w:right w:val="none" w:sz="0" w:space="0" w:color="auto"/>
                              </w:divBdr>
                              <w:divsChild>
                                <w:div w:id="1266887983">
                                  <w:marLeft w:val="0"/>
                                  <w:marRight w:val="0"/>
                                  <w:marTop w:val="0"/>
                                  <w:marBottom w:val="0"/>
                                  <w:divBdr>
                                    <w:top w:val="none" w:sz="0" w:space="0" w:color="auto"/>
                                    <w:left w:val="none" w:sz="0" w:space="0" w:color="auto"/>
                                    <w:bottom w:val="none" w:sz="0" w:space="0" w:color="auto"/>
                                    <w:right w:val="none" w:sz="0" w:space="0" w:color="auto"/>
                                  </w:divBdr>
                                  <w:divsChild>
                                    <w:div w:id="1669937505">
                                      <w:marLeft w:val="0"/>
                                      <w:marRight w:val="0"/>
                                      <w:marTop w:val="0"/>
                                      <w:marBottom w:val="0"/>
                                      <w:divBdr>
                                        <w:top w:val="none" w:sz="0" w:space="0" w:color="auto"/>
                                        <w:left w:val="none" w:sz="0" w:space="0" w:color="auto"/>
                                        <w:bottom w:val="none" w:sz="0" w:space="0" w:color="auto"/>
                                        <w:right w:val="none" w:sz="0" w:space="0" w:color="auto"/>
                                      </w:divBdr>
                                    </w:div>
                                  </w:divsChild>
                                </w:div>
                                <w:div w:id="1406151545">
                                  <w:marLeft w:val="0"/>
                                  <w:marRight w:val="0"/>
                                  <w:marTop w:val="0"/>
                                  <w:marBottom w:val="0"/>
                                  <w:divBdr>
                                    <w:top w:val="none" w:sz="0" w:space="0" w:color="auto"/>
                                    <w:left w:val="none" w:sz="0" w:space="0" w:color="auto"/>
                                    <w:bottom w:val="none" w:sz="0" w:space="0" w:color="auto"/>
                                    <w:right w:val="none" w:sz="0" w:space="0" w:color="auto"/>
                                  </w:divBdr>
                                  <w:divsChild>
                                    <w:div w:id="988754916">
                                      <w:marLeft w:val="0"/>
                                      <w:marRight w:val="0"/>
                                      <w:marTop w:val="0"/>
                                      <w:marBottom w:val="0"/>
                                      <w:divBdr>
                                        <w:top w:val="none" w:sz="0" w:space="0" w:color="auto"/>
                                        <w:left w:val="none" w:sz="0" w:space="0" w:color="auto"/>
                                        <w:bottom w:val="none" w:sz="0" w:space="0" w:color="auto"/>
                                        <w:right w:val="none" w:sz="0" w:space="0" w:color="auto"/>
                                      </w:divBdr>
                                    </w:div>
                                  </w:divsChild>
                                </w:div>
                                <w:div w:id="1771850318">
                                  <w:marLeft w:val="0"/>
                                  <w:marRight w:val="0"/>
                                  <w:marTop w:val="0"/>
                                  <w:marBottom w:val="0"/>
                                  <w:divBdr>
                                    <w:top w:val="none" w:sz="0" w:space="0" w:color="auto"/>
                                    <w:left w:val="none" w:sz="0" w:space="0" w:color="auto"/>
                                    <w:bottom w:val="none" w:sz="0" w:space="0" w:color="auto"/>
                                    <w:right w:val="none" w:sz="0" w:space="0" w:color="auto"/>
                                  </w:divBdr>
                                  <w:divsChild>
                                    <w:div w:id="179131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431055">
                      <w:marLeft w:val="0"/>
                      <w:marRight w:val="0"/>
                      <w:marTop w:val="0"/>
                      <w:marBottom w:val="0"/>
                      <w:divBdr>
                        <w:top w:val="none" w:sz="0" w:space="0" w:color="auto"/>
                        <w:left w:val="none" w:sz="0" w:space="0" w:color="auto"/>
                        <w:bottom w:val="none" w:sz="0" w:space="0" w:color="auto"/>
                        <w:right w:val="none" w:sz="0" w:space="0" w:color="auto"/>
                      </w:divBdr>
                      <w:divsChild>
                        <w:div w:id="306401565">
                          <w:marLeft w:val="0"/>
                          <w:marRight w:val="0"/>
                          <w:marTop w:val="0"/>
                          <w:marBottom w:val="0"/>
                          <w:divBdr>
                            <w:top w:val="none" w:sz="0" w:space="0" w:color="auto"/>
                            <w:left w:val="none" w:sz="0" w:space="0" w:color="auto"/>
                            <w:bottom w:val="none" w:sz="0" w:space="0" w:color="auto"/>
                            <w:right w:val="none" w:sz="0" w:space="0" w:color="auto"/>
                          </w:divBdr>
                          <w:divsChild>
                            <w:div w:id="1720855442">
                              <w:marLeft w:val="0"/>
                              <w:marRight w:val="0"/>
                              <w:marTop w:val="0"/>
                              <w:marBottom w:val="0"/>
                              <w:divBdr>
                                <w:top w:val="none" w:sz="0" w:space="0" w:color="auto"/>
                                <w:left w:val="none" w:sz="0" w:space="0" w:color="auto"/>
                                <w:bottom w:val="none" w:sz="0" w:space="0" w:color="auto"/>
                                <w:right w:val="none" w:sz="0" w:space="0" w:color="auto"/>
                              </w:divBdr>
                            </w:div>
                          </w:divsChild>
                        </w:div>
                        <w:div w:id="541595072">
                          <w:marLeft w:val="0"/>
                          <w:marRight w:val="0"/>
                          <w:marTop w:val="0"/>
                          <w:marBottom w:val="0"/>
                          <w:divBdr>
                            <w:top w:val="none" w:sz="0" w:space="0" w:color="auto"/>
                            <w:left w:val="none" w:sz="0" w:space="0" w:color="auto"/>
                            <w:bottom w:val="none" w:sz="0" w:space="0" w:color="auto"/>
                            <w:right w:val="none" w:sz="0" w:space="0" w:color="auto"/>
                          </w:divBdr>
                          <w:divsChild>
                            <w:div w:id="84594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1650000">
          <w:marLeft w:val="0"/>
          <w:marRight w:val="0"/>
          <w:marTop w:val="0"/>
          <w:marBottom w:val="0"/>
          <w:divBdr>
            <w:top w:val="none" w:sz="0" w:space="0" w:color="auto"/>
            <w:left w:val="none" w:sz="0" w:space="0" w:color="auto"/>
            <w:bottom w:val="none" w:sz="0" w:space="0" w:color="auto"/>
            <w:right w:val="none" w:sz="0" w:space="0" w:color="auto"/>
          </w:divBdr>
          <w:divsChild>
            <w:div w:id="167134554">
              <w:marLeft w:val="0"/>
              <w:marRight w:val="0"/>
              <w:marTop w:val="0"/>
              <w:marBottom w:val="0"/>
              <w:divBdr>
                <w:top w:val="none" w:sz="0" w:space="0" w:color="auto"/>
                <w:left w:val="none" w:sz="0" w:space="0" w:color="auto"/>
                <w:bottom w:val="none" w:sz="0" w:space="0" w:color="auto"/>
                <w:right w:val="none" w:sz="0" w:space="0" w:color="auto"/>
              </w:divBdr>
              <w:divsChild>
                <w:div w:id="122278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790398">
          <w:marLeft w:val="0"/>
          <w:marRight w:val="0"/>
          <w:marTop w:val="0"/>
          <w:marBottom w:val="0"/>
          <w:divBdr>
            <w:top w:val="none" w:sz="0" w:space="0" w:color="auto"/>
            <w:left w:val="none" w:sz="0" w:space="0" w:color="auto"/>
            <w:bottom w:val="none" w:sz="0" w:space="0" w:color="auto"/>
            <w:right w:val="none" w:sz="0" w:space="0" w:color="auto"/>
          </w:divBdr>
          <w:divsChild>
            <w:div w:id="403988079">
              <w:marLeft w:val="0"/>
              <w:marRight w:val="0"/>
              <w:marTop w:val="0"/>
              <w:marBottom w:val="0"/>
              <w:divBdr>
                <w:top w:val="none" w:sz="0" w:space="0" w:color="auto"/>
                <w:left w:val="none" w:sz="0" w:space="0" w:color="auto"/>
                <w:bottom w:val="none" w:sz="0" w:space="0" w:color="auto"/>
                <w:right w:val="none" w:sz="0" w:space="0" w:color="auto"/>
              </w:divBdr>
              <w:divsChild>
                <w:div w:id="1020812025">
                  <w:marLeft w:val="0"/>
                  <w:marRight w:val="0"/>
                  <w:marTop w:val="0"/>
                  <w:marBottom w:val="0"/>
                  <w:divBdr>
                    <w:top w:val="none" w:sz="0" w:space="0" w:color="auto"/>
                    <w:left w:val="none" w:sz="0" w:space="0" w:color="auto"/>
                    <w:bottom w:val="none" w:sz="0" w:space="0" w:color="auto"/>
                    <w:right w:val="none" w:sz="0" w:space="0" w:color="auto"/>
                  </w:divBdr>
                  <w:divsChild>
                    <w:div w:id="935288937">
                      <w:marLeft w:val="0"/>
                      <w:marRight w:val="0"/>
                      <w:marTop w:val="15"/>
                      <w:marBottom w:val="0"/>
                      <w:divBdr>
                        <w:top w:val="none" w:sz="0" w:space="0" w:color="auto"/>
                        <w:left w:val="none" w:sz="0" w:space="0" w:color="auto"/>
                        <w:bottom w:val="none" w:sz="0" w:space="0" w:color="auto"/>
                        <w:right w:val="none" w:sz="0" w:space="0" w:color="auto"/>
                      </w:divBdr>
                      <w:divsChild>
                        <w:div w:id="503906667">
                          <w:marLeft w:val="0"/>
                          <w:marRight w:val="0"/>
                          <w:marTop w:val="0"/>
                          <w:marBottom w:val="0"/>
                          <w:divBdr>
                            <w:top w:val="none" w:sz="0" w:space="0" w:color="auto"/>
                            <w:left w:val="none" w:sz="0" w:space="0" w:color="auto"/>
                            <w:bottom w:val="none" w:sz="0" w:space="0" w:color="auto"/>
                            <w:right w:val="none" w:sz="0" w:space="0" w:color="auto"/>
                          </w:divBdr>
                          <w:divsChild>
                            <w:div w:id="101997528">
                              <w:marLeft w:val="0"/>
                              <w:marRight w:val="0"/>
                              <w:marTop w:val="0"/>
                              <w:marBottom w:val="0"/>
                              <w:divBdr>
                                <w:top w:val="none" w:sz="0" w:space="0" w:color="auto"/>
                                <w:left w:val="none" w:sz="0" w:space="0" w:color="auto"/>
                                <w:bottom w:val="none" w:sz="0" w:space="0" w:color="auto"/>
                                <w:right w:val="none" w:sz="0" w:space="0" w:color="auto"/>
                              </w:divBdr>
                            </w:div>
                          </w:divsChild>
                        </w:div>
                        <w:div w:id="1054889935">
                          <w:marLeft w:val="0"/>
                          <w:marRight w:val="0"/>
                          <w:marTop w:val="0"/>
                          <w:marBottom w:val="0"/>
                          <w:divBdr>
                            <w:top w:val="none" w:sz="0" w:space="0" w:color="auto"/>
                            <w:left w:val="none" w:sz="0" w:space="0" w:color="auto"/>
                            <w:bottom w:val="none" w:sz="0" w:space="0" w:color="auto"/>
                            <w:right w:val="none" w:sz="0" w:space="0" w:color="auto"/>
                          </w:divBdr>
                          <w:divsChild>
                            <w:div w:id="1960911072">
                              <w:marLeft w:val="0"/>
                              <w:marRight w:val="0"/>
                              <w:marTop w:val="0"/>
                              <w:marBottom w:val="0"/>
                              <w:divBdr>
                                <w:top w:val="none" w:sz="0" w:space="0" w:color="auto"/>
                                <w:left w:val="none" w:sz="0" w:space="0" w:color="auto"/>
                                <w:bottom w:val="none" w:sz="0" w:space="0" w:color="auto"/>
                                <w:right w:val="none" w:sz="0" w:space="0" w:color="auto"/>
                              </w:divBdr>
                            </w:div>
                          </w:divsChild>
                        </w:div>
                        <w:div w:id="1379477646">
                          <w:marLeft w:val="0"/>
                          <w:marRight w:val="0"/>
                          <w:marTop w:val="0"/>
                          <w:marBottom w:val="0"/>
                          <w:divBdr>
                            <w:top w:val="none" w:sz="0" w:space="0" w:color="auto"/>
                            <w:left w:val="none" w:sz="0" w:space="0" w:color="auto"/>
                            <w:bottom w:val="none" w:sz="0" w:space="0" w:color="auto"/>
                            <w:right w:val="none" w:sz="0" w:space="0" w:color="auto"/>
                          </w:divBdr>
                          <w:divsChild>
                            <w:div w:id="466708403">
                              <w:marLeft w:val="0"/>
                              <w:marRight w:val="0"/>
                              <w:marTop w:val="0"/>
                              <w:marBottom w:val="0"/>
                              <w:divBdr>
                                <w:top w:val="none" w:sz="0" w:space="0" w:color="auto"/>
                                <w:left w:val="none" w:sz="0" w:space="0" w:color="auto"/>
                                <w:bottom w:val="none" w:sz="0" w:space="0" w:color="auto"/>
                                <w:right w:val="none" w:sz="0" w:space="0" w:color="auto"/>
                              </w:divBdr>
                            </w:div>
                          </w:divsChild>
                        </w:div>
                        <w:div w:id="1560432319">
                          <w:marLeft w:val="0"/>
                          <w:marRight w:val="0"/>
                          <w:marTop w:val="0"/>
                          <w:marBottom w:val="0"/>
                          <w:divBdr>
                            <w:top w:val="none" w:sz="0" w:space="0" w:color="auto"/>
                            <w:left w:val="none" w:sz="0" w:space="0" w:color="auto"/>
                            <w:bottom w:val="none" w:sz="0" w:space="0" w:color="auto"/>
                            <w:right w:val="none" w:sz="0" w:space="0" w:color="auto"/>
                          </w:divBdr>
                          <w:divsChild>
                            <w:div w:id="692535823">
                              <w:marLeft w:val="0"/>
                              <w:marRight w:val="0"/>
                              <w:marTop w:val="0"/>
                              <w:marBottom w:val="0"/>
                              <w:divBdr>
                                <w:top w:val="none" w:sz="0" w:space="0" w:color="auto"/>
                                <w:left w:val="none" w:sz="0" w:space="0" w:color="auto"/>
                                <w:bottom w:val="none" w:sz="0" w:space="0" w:color="auto"/>
                                <w:right w:val="none" w:sz="0" w:space="0" w:color="auto"/>
                              </w:divBdr>
                            </w:div>
                          </w:divsChild>
                        </w:div>
                        <w:div w:id="1883902328">
                          <w:marLeft w:val="0"/>
                          <w:marRight w:val="0"/>
                          <w:marTop w:val="0"/>
                          <w:marBottom w:val="0"/>
                          <w:divBdr>
                            <w:top w:val="none" w:sz="0" w:space="0" w:color="auto"/>
                            <w:left w:val="none" w:sz="0" w:space="0" w:color="auto"/>
                            <w:bottom w:val="none" w:sz="0" w:space="0" w:color="auto"/>
                            <w:right w:val="none" w:sz="0" w:space="0" w:color="auto"/>
                          </w:divBdr>
                          <w:divsChild>
                            <w:div w:id="2048068438">
                              <w:marLeft w:val="0"/>
                              <w:marRight w:val="0"/>
                              <w:marTop w:val="0"/>
                              <w:marBottom w:val="0"/>
                              <w:divBdr>
                                <w:top w:val="none" w:sz="0" w:space="0" w:color="auto"/>
                                <w:left w:val="none" w:sz="0" w:space="0" w:color="auto"/>
                                <w:bottom w:val="none" w:sz="0" w:space="0" w:color="auto"/>
                                <w:right w:val="none" w:sz="0" w:space="0" w:color="auto"/>
                              </w:divBdr>
                            </w:div>
                          </w:divsChild>
                        </w:div>
                        <w:div w:id="1915701726">
                          <w:marLeft w:val="0"/>
                          <w:marRight w:val="0"/>
                          <w:marTop w:val="0"/>
                          <w:marBottom w:val="0"/>
                          <w:divBdr>
                            <w:top w:val="none" w:sz="0" w:space="0" w:color="auto"/>
                            <w:left w:val="none" w:sz="0" w:space="0" w:color="auto"/>
                            <w:bottom w:val="none" w:sz="0" w:space="0" w:color="auto"/>
                            <w:right w:val="none" w:sz="0" w:space="0" w:color="auto"/>
                          </w:divBdr>
                          <w:divsChild>
                            <w:div w:id="174352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7290848">
      <w:bodyDiv w:val="1"/>
      <w:marLeft w:val="0"/>
      <w:marRight w:val="0"/>
      <w:marTop w:val="0"/>
      <w:marBottom w:val="0"/>
      <w:divBdr>
        <w:top w:val="none" w:sz="0" w:space="0" w:color="auto"/>
        <w:left w:val="none" w:sz="0" w:space="0" w:color="auto"/>
        <w:bottom w:val="none" w:sz="0" w:space="0" w:color="auto"/>
        <w:right w:val="none" w:sz="0" w:space="0" w:color="auto"/>
      </w:divBdr>
    </w:div>
    <w:div w:id="400179819">
      <w:bodyDiv w:val="1"/>
      <w:marLeft w:val="0"/>
      <w:marRight w:val="0"/>
      <w:marTop w:val="0"/>
      <w:marBottom w:val="0"/>
      <w:divBdr>
        <w:top w:val="none" w:sz="0" w:space="0" w:color="auto"/>
        <w:left w:val="none" w:sz="0" w:space="0" w:color="auto"/>
        <w:bottom w:val="none" w:sz="0" w:space="0" w:color="auto"/>
        <w:right w:val="none" w:sz="0" w:space="0" w:color="auto"/>
      </w:divBdr>
    </w:div>
    <w:div w:id="421999070">
      <w:bodyDiv w:val="1"/>
      <w:marLeft w:val="0"/>
      <w:marRight w:val="0"/>
      <w:marTop w:val="0"/>
      <w:marBottom w:val="0"/>
      <w:divBdr>
        <w:top w:val="none" w:sz="0" w:space="0" w:color="auto"/>
        <w:left w:val="none" w:sz="0" w:space="0" w:color="auto"/>
        <w:bottom w:val="none" w:sz="0" w:space="0" w:color="auto"/>
        <w:right w:val="none" w:sz="0" w:space="0" w:color="auto"/>
      </w:divBdr>
    </w:div>
    <w:div w:id="440418490">
      <w:bodyDiv w:val="1"/>
      <w:marLeft w:val="0"/>
      <w:marRight w:val="0"/>
      <w:marTop w:val="0"/>
      <w:marBottom w:val="0"/>
      <w:divBdr>
        <w:top w:val="none" w:sz="0" w:space="0" w:color="auto"/>
        <w:left w:val="none" w:sz="0" w:space="0" w:color="auto"/>
        <w:bottom w:val="none" w:sz="0" w:space="0" w:color="auto"/>
        <w:right w:val="none" w:sz="0" w:space="0" w:color="auto"/>
      </w:divBdr>
    </w:div>
    <w:div w:id="448742952">
      <w:bodyDiv w:val="1"/>
      <w:marLeft w:val="0"/>
      <w:marRight w:val="0"/>
      <w:marTop w:val="0"/>
      <w:marBottom w:val="0"/>
      <w:divBdr>
        <w:top w:val="none" w:sz="0" w:space="0" w:color="auto"/>
        <w:left w:val="none" w:sz="0" w:space="0" w:color="auto"/>
        <w:bottom w:val="none" w:sz="0" w:space="0" w:color="auto"/>
        <w:right w:val="none" w:sz="0" w:space="0" w:color="auto"/>
      </w:divBdr>
    </w:div>
    <w:div w:id="467669418">
      <w:bodyDiv w:val="1"/>
      <w:marLeft w:val="0"/>
      <w:marRight w:val="0"/>
      <w:marTop w:val="0"/>
      <w:marBottom w:val="0"/>
      <w:divBdr>
        <w:top w:val="none" w:sz="0" w:space="0" w:color="auto"/>
        <w:left w:val="none" w:sz="0" w:space="0" w:color="auto"/>
        <w:bottom w:val="none" w:sz="0" w:space="0" w:color="auto"/>
        <w:right w:val="none" w:sz="0" w:space="0" w:color="auto"/>
      </w:divBdr>
    </w:div>
    <w:div w:id="519050024">
      <w:bodyDiv w:val="1"/>
      <w:marLeft w:val="0"/>
      <w:marRight w:val="0"/>
      <w:marTop w:val="0"/>
      <w:marBottom w:val="0"/>
      <w:divBdr>
        <w:top w:val="none" w:sz="0" w:space="0" w:color="auto"/>
        <w:left w:val="none" w:sz="0" w:space="0" w:color="auto"/>
        <w:bottom w:val="none" w:sz="0" w:space="0" w:color="auto"/>
        <w:right w:val="none" w:sz="0" w:space="0" w:color="auto"/>
      </w:divBdr>
    </w:div>
    <w:div w:id="531844871">
      <w:bodyDiv w:val="1"/>
      <w:marLeft w:val="0"/>
      <w:marRight w:val="0"/>
      <w:marTop w:val="0"/>
      <w:marBottom w:val="0"/>
      <w:divBdr>
        <w:top w:val="none" w:sz="0" w:space="0" w:color="auto"/>
        <w:left w:val="none" w:sz="0" w:space="0" w:color="auto"/>
        <w:bottom w:val="none" w:sz="0" w:space="0" w:color="auto"/>
        <w:right w:val="none" w:sz="0" w:space="0" w:color="auto"/>
      </w:divBdr>
    </w:div>
    <w:div w:id="552471808">
      <w:bodyDiv w:val="1"/>
      <w:marLeft w:val="0"/>
      <w:marRight w:val="0"/>
      <w:marTop w:val="0"/>
      <w:marBottom w:val="0"/>
      <w:divBdr>
        <w:top w:val="none" w:sz="0" w:space="0" w:color="auto"/>
        <w:left w:val="none" w:sz="0" w:space="0" w:color="auto"/>
        <w:bottom w:val="none" w:sz="0" w:space="0" w:color="auto"/>
        <w:right w:val="none" w:sz="0" w:space="0" w:color="auto"/>
      </w:divBdr>
    </w:div>
    <w:div w:id="560990714">
      <w:bodyDiv w:val="1"/>
      <w:marLeft w:val="0"/>
      <w:marRight w:val="0"/>
      <w:marTop w:val="0"/>
      <w:marBottom w:val="0"/>
      <w:divBdr>
        <w:top w:val="none" w:sz="0" w:space="0" w:color="auto"/>
        <w:left w:val="none" w:sz="0" w:space="0" w:color="auto"/>
        <w:bottom w:val="none" w:sz="0" w:space="0" w:color="auto"/>
        <w:right w:val="none" w:sz="0" w:space="0" w:color="auto"/>
      </w:divBdr>
    </w:div>
    <w:div w:id="562788232">
      <w:bodyDiv w:val="1"/>
      <w:marLeft w:val="0"/>
      <w:marRight w:val="0"/>
      <w:marTop w:val="0"/>
      <w:marBottom w:val="0"/>
      <w:divBdr>
        <w:top w:val="none" w:sz="0" w:space="0" w:color="auto"/>
        <w:left w:val="none" w:sz="0" w:space="0" w:color="auto"/>
        <w:bottom w:val="none" w:sz="0" w:space="0" w:color="auto"/>
        <w:right w:val="none" w:sz="0" w:space="0" w:color="auto"/>
      </w:divBdr>
    </w:div>
    <w:div w:id="624628029">
      <w:bodyDiv w:val="1"/>
      <w:marLeft w:val="0"/>
      <w:marRight w:val="0"/>
      <w:marTop w:val="0"/>
      <w:marBottom w:val="0"/>
      <w:divBdr>
        <w:top w:val="none" w:sz="0" w:space="0" w:color="auto"/>
        <w:left w:val="none" w:sz="0" w:space="0" w:color="auto"/>
        <w:bottom w:val="none" w:sz="0" w:space="0" w:color="auto"/>
        <w:right w:val="none" w:sz="0" w:space="0" w:color="auto"/>
      </w:divBdr>
      <w:divsChild>
        <w:div w:id="993608148">
          <w:marLeft w:val="0"/>
          <w:marRight w:val="0"/>
          <w:marTop w:val="0"/>
          <w:marBottom w:val="0"/>
          <w:divBdr>
            <w:top w:val="none" w:sz="0" w:space="0" w:color="auto"/>
            <w:left w:val="none" w:sz="0" w:space="0" w:color="auto"/>
            <w:bottom w:val="none" w:sz="0" w:space="0" w:color="auto"/>
            <w:right w:val="none" w:sz="0" w:space="0" w:color="auto"/>
          </w:divBdr>
          <w:divsChild>
            <w:div w:id="828903890">
              <w:marLeft w:val="0"/>
              <w:marRight w:val="0"/>
              <w:marTop w:val="0"/>
              <w:marBottom w:val="0"/>
              <w:divBdr>
                <w:top w:val="none" w:sz="0" w:space="0" w:color="auto"/>
                <w:left w:val="none" w:sz="0" w:space="0" w:color="auto"/>
                <w:bottom w:val="none" w:sz="0" w:space="0" w:color="auto"/>
                <w:right w:val="none" w:sz="0" w:space="0" w:color="auto"/>
              </w:divBdr>
              <w:divsChild>
                <w:div w:id="59389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191845">
      <w:bodyDiv w:val="1"/>
      <w:marLeft w:val="0"/>
      <w:marRight w:val="0"/>
      <w:marTop w:val="0"/>
      <w:marBottom w:val="0"/>
      <w:divBdr>
        <w:top w:val="none" w:sz="0" w:space="0" w:color="auto"/>
        <w:left w:val="none" w:sz="0" w:space="0" w:color="auto"/>
        <w:bottom w:val="none" w:sz="0" w:space="0" w:color="auto"/>
        <w:right w:val="none" w:sz="0" w:space="0" w:color="auto"/>
      </w:divBdr>
    </w:div>
    <w:div w:id="669213912">
      <w:bodyDiv w:val="1"/>
      <w:marLeft w:val="0"/>
      <w:marRight w:val="0"/>
      <w:marTop w:val="0"/>
      <w:marBottom w:val="0"/>
      <w:divBdr>
        <w:top w:val="none" w:sz="0" w:space="0" w:color="auto"/>
        <w:left w:val="none" w:sz="0" w:space="0" w:color="auto"/>
        <w:bottom w:val="none" w:sz="0" w:space="0" w:color="auto"/>
        <w:right w:val="none" w:sz="0" w:space="0" w:color="auto"/>
      </w:divBdr>
    </w:div>
    <w:div w:id="745490333">
      <w:bodyDiv w:val="1"/>
      <w:marLeft w:val="0"/>
      <w:marRight w:val="0"/>
      <w:marTop w:val="0"/>
      <w:marBottom w:val="0"/>
      <w:divBdr>
        <w:top w:val="none" w:sz="0" w:space="0" w:color="auto"/>
        <w:left w:val="none" w:sz="0" w:space="0" w:color="auto"/>
        <w:bottom w:val="none" w:sz="0" w:space="0" w:color="auto"/>
        <w:right w:val="none" w:sz="0" w:space="0" w:color="auto"/>
      </w:divBdr>
    </w:div>
    <w:div w:id="756557439">
      <w:bodyDiv w:val="1"/>
      <w:marLeft w:val="0"/>
      <w:marRight w:val="0"/>
      <w:marTop w:val="0"/>
      <w:marBottom w:val="0"/>
      <w:divBdr>
        <w:top w:val="none" w:sz="0" w:space="0" w:color="auto"/>
        <w:left w:val="none" w:sz="0" w:space="0" w:color="auto"/>
        <w:bottom w:val="none" w:sz="0" w:space="0" w:color="auto"/>
        <w:right w:val="none" w:sz="0" w:space="0" w:color="auto"/>
      </w:divBdr>
    </w:div>
    <w:div w:id="760299937">
      <w:bodyDiv w:val="1"/>
      <w:marLeft w:val="0"/>
      <w:marRight w:val="0"/>
      <w:marTop w:val="0"/>
      <w:marBottom w:val="0"/>
      <w:divBdr>
        <w:top w:val="none" w:sz="0" w:space="0" w:color="auto"/>
        <w:left w:val="none" w:sz="0" w:space="0" w:color="auto"/>
        <w:bottom w:val="none" w:sz="0" w:space="0" w:color="auto"/>
        <w:right w:val="none" w:sz="0" w:space="0" w:color="auto"/>
      </w:divBdr>
    </w:div>
    <w:div w:id="768433697">
      <w:bodyDiv w:val="1"/>
      <w:marLeft w:val="0"/>
      <w:marRight w:val="0"/>
      <w:marTop w:val="0"/>
      <w:marBottom w:val="0"/>
      <w:divBdr>
        <w:top w:val="none" w:sz="0" w:space="0" w:color="auto"/>
        <w:left w:val="none" w:sz="0" w:space="0" w:color="auto"/>
        <w:bottom w:val="none" w:sz="0" w:space="0" w:color="auto"/>
        <w:right w:val="none" w:sz="0" w:space="0" w:color="auto"/>
      </w:divBdr>
    </w:div>
    <w:div w:id="806318446">
      <w:bodyDiv w:val="1"/>
      <w:marLeft w:val="0"/>
      <w:marRight w:val="0"/>
      <w:marTop w:val="0"/>
      <w:marBottom w:val="0"/>
      <w:divBdr>
        <w:top w:val="none" w:sz="0" w:space="0" w:color="auto"/>
        <w:left w:val="none" w:sz="0" w:space="0" w:color="auto"/>
        <w:bottom w:val="none" w:sz="0" w:space="0" w:color="auto"/>
        <w:right w:val="none" w:sz="0" w:space="0" w:color="auto"/>
      </w:divBdr>
    </w:div>
    <w:div w:id="832645606">
      <w:bodyDiv w:val="1"/>
      <w:marLeft w:val="0"/>
      <w:marRight w:val="0"/>
      <w:marTop w:val="0"/>
      <w:marBottom w:val="0"/>
      <w:divBdr>
        <w:top w:val="none" w:sz="0" w:space="0" w:color="auto"/>
        <w:left w:val="none" w:sz="0" w:space="0" w:color="auto"/>
        <w:bottom w:val="none" w:sz="0" w:space="0" w:color="auto"/>
        <w:right w:val="none" w:sz="0" w:space="0" w:color="auto"/>
      </w:divBdr>
    </w:div>
    <w:div w:id="836577418">
      <w:bodyDiv w:val="1"/>
      <w:marLeft w:val="0"/>
      <w:marRight w:val="0"/>
      <w:marTop w:val="0"/>
      <w:marBottom w:val="0"/>
      <w:divBdr>
        <w:top w:val="none" w:sz="0" w:space="0" w:color="auto"/>
        <w:left w:val="none" w:sz="0" w:space="0" w:color="auto"/>
        <w:bottom w:val="none" w:sz="0" w:space="0" w:color="auto"/>
        <w:right w:val="none" w:sz="0" w:space="0" w:color="auto"/>
      </w:divBdr>
    </w:div>
    <w:div w:id="846212343">
      <w:bodyDiv w:val="1"/>
      <w:marLeft w:val="0"/>
      <w:marRight w:val="0"/>
      <w:marTop w:val="0"/>
      <w:marBottom w:val="0"/>
      <w:divBdr>
        <w:top w:val="none" w:sz="0" w:space="0" w:color="auto"/>
        <w:left w:val="none" w:sz="0" w:space="0" w:color="auto"/>
        <w:bottom w:val="none" w:sz="0" w:space="0" w:color="auto"/>
        <w:right w:val="none" w:sz="0" w:space="0" w:color="auto"/>
      </w:divBdr>
    </w:div>
    <w:div w:id="851340054">
      <w:bodyDiv w:val="1"/>
      <w:marLeft w:val="0"/>
      <w:marRight w:val="0"/>
      <w:marTop w:val="0"/>
      <w:marBottom w:val="0"/>
      <w:divBdr>
        <w:top w:val="none" w:sz="0" w:space="0" w:color="auto"/>
        <w:left w:val="none" w:sz="0" w:space="0" w:color="auto"/>
        <w:bottom w:val="none" w:sz="0" w:space="0" w:color="auto"/>
        <w:right w:val="none" w:sz="0" w:space="0" w:color="auto"/>
      </w:divBdr>
    </w:div>
    <w:div w:id="909385397">
      <w:bodyDiv w:val="1"/>
      <w:marLeft w:val="0"/>
      <w:marRight w:val="0"/>
      <w:marTop w:val="0"/>
      <w:marBottom w:val="0"/>
      <w:divBdr>
        <w:top w:val="none" w:sz="0" w:space="0" w:color="auto"/>
        <w:left w:val="none" w:sz="0" w:space="0" w:color="auto"/>
        <w:bottom w:val="none" w:sz="0" w:space="0" w:color="auto"/>
        <w:right w:val="none" w:sz="0" w:space="0" w:color="auto"/>
      </w:divBdr>
    </w:div>
    <w:div w:id="913398011">
      <w:bodyDiv w:val="1"/>
      <w:marLeft w:val="0"/>
      <w:marRight w:val="0"/>
      <w:marTop w:val="0"/>
      <w:marBottom w:val="0"/>
      <w:divBdr>
        <w:top w:val="none" w:sz="0" w:space="0" w:color="auto"/>
        <w:left w:val="none" w:sz="0" w:space="0" w:color="auto"/>
        <w:bottom w:val="none" w:sz="0" w:space="0" w:color="auto"/>
        <w:right w:val="none" w:sz="0" w:space="0" w:color="auto"/>
      </w:divBdr>
    </w:div>
    <w:div w:id="928856822">
      <w:bodyDiv w:val="1"/>
      <w:marLeft w:val="0"/>
      <w:marRight w:val="0"/>
      <w:marTop w:val="0"/>
      <w:marBottom w:val="0"/>
      <w:divBdr>
        <w:top w:val="none" w:sz="0" w:space="0" w:color="auto"/>
        <w:left w:val="none" w:sz="0" w:space="0" w:color="auto"/>
        <w:bottom w:val="none" w:sz="0" w:space="0" w:color="auto"/>
        <w:right w:val="none" w:sz="0" w:space="0" w:color="auto"/>
      </w:divBdr>
    </w:div>
    <w:div w:id="938414012">
      <w:bodyDiv w:val="1"/>
      <w:marLeft w:val="0"/>
      <w:marRight w:val="0"/>
      <w:marTop w:val="0"/>
      <w:marBottom w:val="0"/>
      <w:divBdr>
        <w:top w:val="none" w:sz="0" w:space="0" w:color="auto"/>
        <w:left w:val="none" w:sz="0" w:space="0" w:color="auto"/>
        <w:bottom w:val="none" w:sz="0" w:space="0" w:color="auto"/>
        <w:right w:val="none" w:sz="0" w:space="0" w:color="auto"/>
      </w:divBdr>
    </w:div>
    <w:div w:id="944195699">
      <w:bodyDiv w:val="1"/>
      <w:marLeft w:val="0"/>
      <w:marRight w:val="0"/>
      <w:marTop w:val="0"/>
      <w:marBottom w:val="0"/>
      <w:divBdr>
        <w:top w:val="none" w:sz="0" w:space="0" w:color="auto"/>
        <w:left w:val="none" w:sz="0" w:space="0" w:color="auto"/>
        <w:bottom w:val="none" w:sz="0" w:space="0" w:color="auto"/>
        <w:right w:val="none" w:sz="0" w:space="0" w:color="auto"/>
      </w:divBdr>
    </w:div>
    <w:div w:id="958028008">
      <w:bodyDiv w:val="1"/>
      <w:marLeft w:val="0"/>
      <w:marRight w:val="0"/>
      <w:marTop w:val="0"/>
      <w:marBottom w:val="0"/>
      <w:divBdr>
        <w:top w:val="none" w:sz="0" w:space="0" w:color="auto"/>
        <w:left w:val="none" w:sz="0" w:space="0" w:color="auto"/>
        <w:bottom w:val="none" w:sz="0" w:space="0" w:color="auto"/>
        <w:right w:val="none" w:sz="0" w:space="0" w:color="auto"/>
      </w:divBdr>
    </w:div>
    <w:div w:id="961417888">
      <w:bodyDiv w:val="1"/>
      <w:marLeft w:val="0"/>
      <w:marRight w:val="0"/>
      <w:marTop w:val="0"/>
      <w:marBottom w:val="0"/>
      <w:divBdr>
        <w:top w:val="none" w:sz="0" w:space="0" w:color="auto"/>
        <w:left w:val="none" w:sz="0" w:space="0" w:color="auto"/>
        <w:bottom w:val="none" w:sz="0" w:space="0" w:color="auto"/>
        <w:right w:val="none" w:sz="0" w:space="0" w:color="auto"/>
      </w:divBdr>
    </w:div>
    <w:div w:id="989484874">
      <w:bodyDiv w:val="1"/>
      <w:marLeft w:val="0"/>
      <w:marRight w:val="0"/>
      <w:marTop w:val="0"/>
      <w:marBottom w:val="0"/>
      <w:divBdr>
        <w:top w:val="none" w:sz="0" w:space="0" w:color="auto"/>
        <w:left w:val="none" w:sz="0" w:space="0" w:color="auto"/>
        <w:bottom w:val="none" w:sz="0" w:space="0" w:color="auto"/>
        <w:right w:val="none" w:sz="0" w:space="0" w:color="auto"/>
      </w:divBdr>
    </w:div>
    <w:div w:id="996114030">
      <w:bodyDiv w:val="1"/>
      <w:marLeft w:val="0"/>
      <w:marRight w:val="0"/>
      <w:marTop w:val="0"/>
      <w:marBottom w:val="0"/>
      <w:divBdr>
        <w:top w:val="none" w:sz="0" w:space="0" w:color="auto"/>
        <w:left w:val="none" w:sz="0" w:space="0" w:color="auto"/>
        <w:bottom w:val="none" w:sz="0" w:space="0" w:color="auto"/>
        <w:right w:val="none" w:sz="0" w:space="0" w:color="auto"/>
      </w:divBdr>
    </w:div>
    <w:div w:id="1008993220">
      <w:bodyDiv w:val="1"/>
      <w:marLeft w:val="0"/>
      <w:marRight w:val="0"/>
      <w:marTop w:val="0"/>
      <w:marBottom w:val="0"/>
      <w:divBdr>
        <w:top w:val="none" w:sz="0" w:space="0" w:color="auto"/>
        <w:left w:val="none" w:sz="0" w:space="0" w:color="auto"/>
        <w:bottom w:val="none" w:sz="0" w:space="0" w:color="auto"/>
        <w:right w:val="none" w:sz="0" w:space="0" w:color="auto"/>
      </w:divBdr>
    </w:div>
    <w:div w:id="1015033926">
      <w:bodyDiv w:val="1"/>
      <w:marLeft w:val="0"/>
      <w:marRight w:val="0"/>
      <w:marTop w:val="0"/>
      <w:marBottom w:val="0"/>
      <w:divBdr>
        <w:top w:val="none" w:sz="0" w:space="0" w:color="auto"/>
        <w:left w:val="none" w:sz="0" w:space="0" w:color="auto"/>
        <w:bottom w:val="none" w:sz="0" w:space="0" w:color="auto"/>
        <w:right w:val="none" w:sz="0" w:space="0" w:color="auto"/>
      </w:divBdr>
    </w:div>
    <w:div w:id="1020860660">
      <w:bodyDiv w:val="1"/>
      <w:marLeft w:val="0"/>
      <w:marRight w:val="0"/>
      <w:marTop w:val="0"/>
      <w:marBottom w:val="0"/>
      <w:divBdr>
        <w:top w:val="none" w:sz="0" w:space="0" w:color="auto"/>
        <w:left w:val="none" w:sz="0" w:space="0" w:color="auto"/>
        <w:bottom w:val="none" w:sz="0" w:space="0" w:color="auto"/>
        <w:right w:val="none" w:sz="0" w:space="0" w:color="auto"/>
      </w:divBdr>
    </w:div>
    <w:div w:id="1069690639">
      <w:bodyDiv w:val="1"/>
      <w:marLeft w:val="0"/>
      <w:marRight w:val="0"/>
      <w:marTop w:val="0"/>
      <w:marBottom w:val="0"/>
      <w:divBdr>
        <w:top w:val="none" w:sz="0" w:space="0" w:color="auto"/>
        <w:left w:val="none" w:sz="0" w:space="0" w:color="auto"/>
        <w:bottom w:val="none" w:sz="0" w:space="0" w:color="auto"/>
        <w:right w:val="none" w:sz="0" w:space="0" w:color="auto"/>
      </w:divBdr>
    </w:div>
    <w:div w:id="1073939075">
      <w:bodyDiv w:val="1"/>
      <w:marLeft w:val="0"/>
      <w:marRight w:val="0"/>
      <w:marTop w:val="0"/>
      <w:marBottom w:val="0"/>
      <w:divBdr>
        <w:top w:val="none" w:sz="0" w:space="0" w:color="auto"/>
        <w:left w:val="none" w:sz="0" w:space="0" w:color="auto"/>
        <w:bottom w:val="none" w:sz="0" w:space="0" w:color="auto"/>
        <w:right w:val="none" w:sz="0" w:space="0" w:color="auto"/>
      </w:divBdr>
    </w:div>
    <w:div w:id="1074818101">
      <w:bodyDiv w:val="1"/>
      <w:marLeft w:val="0"/>
      <w:marRight w:val="0"/>
      <w:marTop w:val="0"/>
      <w:marBottom w:val="0"/>
      <w:divBdr>
        <w:top w:val="none" w:sz="0" w:space="0" w:color="auto"/>
        <w:left w:val="none" w:sz="0" w:space="0" w:color="auto"/>
        <w:bottom w:val="none" w:sz="0" w:space="0" w:color="auto"/>
        <w:right w:val="none" w:sz="0" w:space="0" w:color="auto"/>
      </w:divBdr>
    </w:div>
    <w:div w:id="1100956571">
      <w:bodyDiv w:val="1"/>
      <w:marLeft w:val="0"/>
      <w:marRight w:val="0"/>
      <w:marTop w:val="0"/>
      <w:marBottom w:val="0"/>
      <w:divBdr>
        <w:top w:val="none" w:sz="0" w:space="0" w:color="auto"/>
        <w:left w:val="none" w:sz="0" w:space="0" w:color="auto"/>
        <w:bottom w:val="none" w:sz="0" w:space="0" w:color="auto"/>
        <w:right w:val="none" w:sz="0" w:space="0" w:color="auto"/>
      </w:divBdr>
    </w:div>
    <w:div w:id="1137527309">
      <w:bodyDiv w:val="1"/>
      <w:marLeft w:val="0"/>
      <w:marRight w:val="0"/>
      <w:marTop w:val="0"/>
      <w:marBottom w:val="0"/>
      <w:divBdr>
        <w:top w:val="none" w:sz="0" w:space="0" w:color="auto"/>
        <w:left w:val="none" w:sz="0" w:space="0" w:color="auto"/>
        <w:bottom w:val="none" w:sz="0" w:space="0" w:color="auto"/>
        <w:right w:val="none" w:sz="0" w:space="0" w:color="auto"/>
      </w:divBdr>
    </w:div>
    <w:div w:id="1182205772">
      <w:bodyDiv w:val="1"/>
      <w:marLeft w:val="0"/>
      <w:marRight w:val="0"/>
      <w:marTop w:val="0"/>
      <w:marBottom w:val="0"/>
      <w:divBdr>
        <w:top w:val="none" w:sz="0" w:space="0" w:color="auto"/>
        <w:left w:val="none" w:sz="0" w:space="0" w:color="auto"/>
        <w:bottom w:val="none" w:sz="0" w:space="0" w:color="auto"/>
        <w:right w:val="none" w:sz="0" w:space="0" w:color="auto"/>
      </w:divBdr>
    </w:div>
    <w:div w:id="1185289281">
      <w:bodyDiv w:val="1"/>
      <w:marLeft w:val="0"/>
      <w:marRight w:val="0"/>
      <w:marTop w:val="0"/>
      <w:marBottom w:val="0"/>
      <w:divBdr>
        <w:top w:val="none" w:sz="0" w:space="0" w:color="auto"/>
        <w:left w:val="none" w:sz="0" w:space="0" w:color="auto"/>
        <w:bottom w:val="none" w:sz="0" w:space="0" w:color="auto"/>
        <w:right w:val="none" w:sz="0" w:space="0" w:color="auto"/>
      </w:divBdr>
    </w:div>
    <w:div w:id="1186796403">
      <w:bodyDiv w:val="1"/>
      <w:marLeft w:val="0"/>
      <w:marRight w:val="0"/>
      <w:marTop w:val="0"/>
      <w:marBottom w:val="0"/>
      <w:divBdr>
        <w:top w:val="none" w:sz="0" w:space="0" w:color="auto"/>
        <w:left w:val="none" w:sz="0" w:space="0" w:color="auto"/>
        <w:bottom w:val="none" w:sz="0" w:space="0" w:color="auto"/>
        <w:right w:val="none" w:sz="0" w:space="0" w:color="auto"/>
      </w:divBdr>
    </w:div>
    <w:div w:id="1192109654">
      <w:bodyDiv w:val="1"/>
      <w:marLeft w:val="0"/>
      <w:marRight w:val="0"/>
      <w:marTop w:val="0"/>
      <w:marBottom w:val="0"/>
      <w:divBdr>
        <w:top w:val="none" w:sz="0" w:space="0" w:color="auto"/>
        <w:left w:val="none" w:sz="0" w:space="0" w:color="auto"/>
        <w:bottom w:val="none" w:sz="0" w:space="0" w:color="auto"/>
        <w:right w:val="none" w:sz="0" w:space="0" w:color="auto"/>
      </w:divBdr>
    </w:div>
    <w:div w:id="1209561461">
      <w:bodyDiv w:val="1"/>
      <w:marLeft w:val="0"/>
      <w:marRight w:val="0"/>
      <w:marTop w:val="0"/>
      <w:marBottom w:val="0"/>
      <w:divBdr>
        <w:top w:val="none" w:sz="0" w:space="0" w:color="auto"/>
        <w:left w:val="none" w:sz="0" w:space="0" w:color="auto"/>
        <w:bottom w:val="none" w:sz="0" w:space="0" w:color="auto"/>
        <w:right w:val="none" w:sz="0" w:space="0" w:color="auto"/>
      </w:divBdr>
    </w:div>
    <w:div w:id="1212379916">
      <w:bodyDiv w:val="1"/>
      <w:marLeft w:val="0"/>
      <w:marRight w:val="0"/>
      <w:marTop w:val="0"/>
      <w:marBottom w:val="0"/>
      <w:divBdr>
        <w:top w:val="none" w:sz="0" w:space="0" w:color="auto"/>
        <w:left w:val="none" w:sz="0" w:space="0" w:color="auto"/>
        <w:bottom w:val="none" w:sz="0" w:space="0" w:color="auto"/>
        <w:right w:val="none" w:sz="0" w:space="0" w:color="auto"/>
      </w:divBdr>
    </w:div>
    <w:div w:id="1337152784">
      <w:bodyDiv w:val="1"/>
      <w:marLeft w:val="0"/>
      <w:marRight w:val="0"/>
      <w:marTop w:val="0"/>
      <w:marBottom w:val="0"/>
      <w:divBdr>
        <w:top w:val="none" w:sz="0" w:space="0" w:color="auto"/>
        <w:left w:val="none" w:sz="0" w:space="0" w:color="auto"/>
        <w:bottom w:val="none" w:sz="0" w:space="0" w:color="auto"/>
        <w:right w:val="none" w:sz="0" w:space="0" w:color="auto"/>
      </w:divBdr>
    </w:div>
    <w:div w:id="1337658304">
      <w:bodyDiv w:val="1"/>
      <w:marLeft w:val="0"/>
      <w:marRight w:val="0"/>
      <w:marTop w:val="0"/>
      <w:marBottom w:val="0"/>
      <w:divBdr>
        <w:top w:val="none" w:sz="0" w:space="0" w:color="auto"/>
        <w:left w:val="none" w:sz="0" w:space="0" w:color="auto"/>
        <w:bottom w:val="none" w:sz="0" w:space="0" w:color="auto"/>
        <w:right w:val="none" w:sz="0" w:space="0" w:color="auto"/>
      </w:divBdr>
    </w:div>
    <w:div w:id="1352797213">
      <w:bodyDiv w:val="1"/>
      <w:marLeft w:val="0"/>
      <w:marRight w:val="0"/>
      <w:marTop w:val="0"/>
      <w:marBottom w:val="0"/>
      <w:divBdr>
        <w:top w:val="none" w:sz="0" w:space="0" w:color="auto"/>
        <w:left w:val="none" w:sz="0" w:space="0" w:color="auto"/>
        <w:bottom w:val="none" w:sz="0" w:space="0" w:color="auto"/>
        <w:right w:val="none" w:sz="0" w:space="0" w:color="auto"/>
      </w:divBdr>
      <w:divsChild>
        <w:div w:id="1571771240">
          <w:marLeft w:val="0"/>
          <w:marRight w:val="0"/>
          <w:marTop w:val="0"/>
          <w:marBottom w:val="300"/>
          <w:divBdr>
            <w:top w:val="none" w:sz="0" w:space="0" w:color="auto"/>
            <w:left w:val="none" w:sz="0" w:space="0" w:color="auto"/>
            <w:bottom w:val="single" w:sz="6" w:space="0" w:color="C85C27"/>
            <w:right w:val="none" w:sz="0" w:space="0" w:color="auto"/>
          </w:divBdr>
        </w:div>
      </w:divsChild>
    </w:div>
    <w:div w:id="1358002363">
      <w:bodyDiv w:val="1"/>
      <w:marLeft w:val="0"/>
      <w:marRight w:val="0"/>
      <w:marTop w:val="0"/>
      <w:marBottom w:val="0"/>
      <w:divBdr>
        <w:top w:val="none" w:sz="0" w:space="0" w:color="auto"/>
        <w:left w:val="none" w:sz="0" w:space="0" w:color="auto"/>
        <w:bottom w:val="none" w:sz="0" w:space="0" w:color="auto"/>
        <w:right w:val="none" w:sz="0" w:space="0" w:color="auto"/>
      </w:divBdr>
    </w:div>
    <w:div w:id="1395734136">
      <w:bodyDiv w:val="1"/>
      <w:marLeft w:val="0"/>
      <w:marRight w:val="0"/>
      <w:marTop w:val="0"/>
      <w:marBottom w:val="0"/>
      <w:divBdr>
        <w:top w:val="none" w:sz="0" w:space="0" w:color="auto"/>
        <w:left w:val="none" w:sz="0" w:space="0" w:color="auto"/>
        <w:bottom w:val="none" w:sz="0" w:space="0" w:color="auto"/>
        <w:right w:val="none" w:sz="0" w:space="0" w:color="auto"/>
      </w:divBdr>
    </w:div>
    <w:div w:id="1396973448">
      <w:bodyDiv w:val="1"/>
      <w:marLeft w:val="0"/>
      <w:marRight w:val="0"/>
      <w:marTop w:val="0"/>
      <w:marBottom w:val="0"/>
      <w:divBdr>
        <w:top w:val="none" w:sz="0" w:space="0" w:color="auto"/>
        <w:left w:val="none" w:sz="0" w:space="0" w:color="auto"/>
        <w:bottom w:val="none" w:sz="0" w:space="0" w:color="auto"/>
        <w:right w:val="none" w:sz="0" w:space="0" w:color="auto"/>
      </w:divBdr>
    </w:div>
    <w:div w:id="1433865102">
      <w:bodyDiv w:val="1"/>
      <w:marLeft w:val="0"/>
      <w:marRight w:val="0"/>
      <w:marTop w:val="0"/>
      <w:marBottom w:val="0"/>
      <w:divBdr>
        <w:top w:val="none" w:sz="0" w:space="0" w:color="auto"/>
        <w:left w:val="none" w:sz="0" w:space="0" w:color="auto"/>
        <w:bottom w:val="none" w:sz="0" w:space="0" w:color="auto"/>
        <w:right w:val="none" w:sz="0" w:space="0" w:color="auto"/>
      </w:divBdr>
    </w:div>
    <w:div w:id="1471701929">
      <w:bodyDiv w:val="1"/>
      <w:marLeft w:val="0"/>
      <w:marRight w:val="0"/>
      <w:marTop w:val="0"/>
      <w:marBottom w:val="0"/>
      <w:divBdr>
        <w:top w:val="none" w:sz="0" w:space="0" w:color="auto"/>
        <w:left w:val="none" w:sz="0" w:space="0" w:color="auto"/>
        <w:bottom w:val="none" w:sz="0" w:space="0" w:color="auto"/>
        <w:right w:val="none" w:sz="0" w:space="0" w:color="auto"/>
      </w:divBdr>
    </w:div>
    <w:div w:id="1479616626">
      <w:bodyDiv w:val="1"/>
      <w:marLeft w:val="0"/>
      <w:marRight w:val="0"/>
      <w:marTop w:val="0"/>
      <w:marBottom w:val="0"/>
      <w:divBdr>
        <w:top w:val="none" w:sz="0" w:space="0" w:color="auto"/>
        <w:left w:val="none" w:sz="0" w:space="0" w:color="auto"/>
        <w:bottom w:val="none" w:sz="0" w:space="0" w:color="auto"/>
        <w:right w:val="none" w:sz="0" w:space="0" w:color="auto"/>
      </w:divBdr>
      <w:divsChild>
        <w:div w:id="616721014">
          <w:marLeft w:val="0"/>
          <w:marRight w:val="0"/>
          <w:marTop w:val="0"/>
          <w:marBottom w:val="300"/>
          <w:divBdr>
            <w:top w:val="none" w:sz="0" w:space="0" w:color="auto"/>
            <w:left w:val="none" w:sz="0" w:space="0" w:color="auto"/>
            <w:bottom w:val="single" w:sz="6" w:space="0" w:color="C85C27"/>
            <w:right w:val="none" w:sz="0" w:space="0" w:color="auto"/>
          </w:divBdr>
        </w:div>
      </w:divsChild>
    </w:div>
    <w:div w:id="1518469181">
      <w:bodyDiv w:val="1"/>
      <w:marLeft w:val="0"/>
      <w:marRight w:val="0"/>
      <w:marTop w:val="0"/>
      <w:marBottom w:val="0"/>
      <w:divBdr>
        <w:top w:val="none" w:sz="0" w:space="0" w:color="auto"/>
        <w:left w:val="none" w:sz="0" w:space="0" w:color="auto"/>
        <w:bottom w:val="none" w:sz="0" w:space="0" w:color="auto"/>
        <w:right w:val="none" w:sz="0" w:space="0" w:color="auto"/>
      </w:divBdr>
    </w:div>
    <w:div w:id="1539274423">
      <w:bodyDiv w:val="1"/>
      <w:marLeft w:val="0"/>
      <w:marRight w:val="0"/>
      <w:marTop w:val="0"/>
      <w:marBottom w:val="0"/>
      <w:divBdr>
        <w:top w:val="none" w:sz="0" w:space="0" w:color="auto"/>
        <w:left w:val="none" w:sz="0" w:space="0" w:color="auto"/>
        <w:bottom w:val="none" w:sz="0" w:space="0" w:color="auto"/>
        <w:right w:val="none" w:sz="0" w:space="0" w:color="auto"/>
      </w:divBdr>
    </w:div>
    <w:div w:id="1552304228">
      <w:bodyDiv w:val="1"/>
      <w:marLeft w:val="0"/>
      <w:marRight w:val="0"/>
      <w:marTop w:val="0"/>
      <w:marBottom w:val="0"/>
      <w:divBdr>
        <w:top w:val="none" w:sz="0" w:space="0" w:color="auto"/>
        <w:left w:val="none" w:sz="0" w:space="0" w:color="auto"/>
        <w:bottom w:val="none" w:sz="0" w:space="0" w:color="auto"/>
        <w:right w:val="none" w:sz="0" w:space="0" w:color="auto"/>
      </w:divBdr>
    </w:div>
    <w:div w:id="1612545042">
      <w:bodyDiv w:val="1"/>
      <w:marLeft w:val="0"/>
      <w:marRight w:val="0"/>
      <w:marTop w:val="0"/>
      <w:marBottom w:val="0"/>
      <w:divBdr>
        <w:top w:val="none" w:sz="0" w:space="0" w:color="auto"/>
        <w:left w:val="none" w:sz="0" w:space="0" w:color="auto"/>
        <w:bottom w:val="none" w:sz="0" w:space="0" w:color="auto"/>
        <w:right w:val="none" w:sz="0" w:space="0" w:color="auto"/>
      </w:divBdr>
    </w:div>
    <w:div w:id="1659071738">
      <w:bodyDiv w:val="1"/>
      <w:marLeft w:val="0"/>
      <w:marRight w:val="0"/>
      <w:marTop w:val="0"/>
      <w:marBottom w:val="0"/>
      <w:divBdr>
        <w:top w:val="none" w:sz="0" w:space="0" w:color="auto"/>
        <w:left w:val="none" w:sz="0" w:space="0" w:color="auto"/>
        <w:bottom w:val="none" w:sz="0" w:space="0" w:color="auto"/>
        <w:right w:val="none" w:sz="0" w:space="0" w:color="auto"/>
      </w:divBdr>
    </w:div>
    <w:div w:id="1675648939">
      <w:bodyDiv w:val="1"/>
      <w:marLeft w:val="0"/>
      <w:marRight w:val="0"/>
      <w:marTop w:val="0"/>
      <w:marBottom w:val="0"/>
      <w:divBdr>
        <w:top w:val="none" w:sz="0" w:space="0" w:color="auto"/>
        <w:left w:val="none" w:sz="0" w:space="0" w:color="auto"/>
        <w:bottom w:val="none" w:sz="0" w:space="0" w:color="auto"/>
        <w:right w:val="none" w:sz="0" w:space="0" w:color="auto"/>
      </w:divBdr>
    </w:div>
    <w:div w:id="1676490054">
      <w:bodyDiv w:val="1"/>
      <w:marLeft w:val="0"/>
      <w:marRight w:val="0"/>
      <w:marTop w:val="0"/>
      <w:marBottom w:val="0"/>
      <w:divBdr>
        <w:top w:val="none" w:sz="0" w:space="0" w:color="auto"/>
        <w:left w:val="none" w:sz="0" w:space="0" w:color="auto"/>
        <w:bottom w:val="none" w:sz="0" w:space="0" w:color="auto"/>
        <w:right w:val="none" w:sz="0" w:space="0" w:color="auto"/>
      </w:divBdr>
    </w:div>
    <w:div w:id="1691686630">
      <w:bodyDiv w:val="1"/>
      <w:marLeft w:val="0"/>
      <w:marRight w:val="0"/>
      <w:marTop w:val="0"/>
      <w:marBottom w:val="0"/>
      <w:divBdr>
        <w:top w:val="none" w:sz="0" w:space="0" w:color="auto"/>
        <w:left w:val="none" w:sz="0" w:space="0" w:color="auto"/>
        <w:bottom w:val="none" w:sz="0" w:space="0" w:color="auto"/>
        <w:right w:val="none" w:sz="0" w:space="0" w:color="auto"/>
      </w:divBdr>
    </w:div>
    <w:div w:id="1694764305">
      <w:bodyDiv w:val="1"/>
      <w:marLeft w:val="0"/>
      <w:marRight w:val="0"/>
      <w:marTop w:val="0"/>
      <w:marBottom w:val="0"/>
      <w:divBdr>
        <w:top w:val="none" w:sz="0" w:space="0" w:color="auto"/>
        <w:left w:val="none" w:sz="0" w:space="0" w:color="auto"/>
        <w:bottom w:val="none" w:sz="0" w:space="0" w:color="auto"/>
        <w:right w:val="none" w:sz="0" w:space="0" w:color="auto"/>
      </w:divBdr>
    </w:div>
    <w:div w:id="1698240712">
      <w:bodyDiv w:val="1"/>
      <w:marLeft w:val="0"/>
      <w:marRight w:val="0"/>
      <w:marTop w:val="0"/>
      <w:marBottom w:val="0"/>
      <w:divBdr>
        <w:top w:val="none" w:sz="0" w:space="0" w:color="auto"/>
        <w:left w:val="none" w:sz="0" w:space="0" w:color="auto"/>
        <w:bottom w:val="none" w:sz="0" w:space="0" w:color="auto"/>
        <w:right w:val="none" w:sz="0" w:space="0" w:color="auto"/>
      </w:divBdr>
    </w:div>
    <w:div w:id="1730759172">
      <w:bodyDiv w:val="1"/>
      <w:marLeft w:val="0"/>
      <w:marRight w:val="0"/>
      <w:marTop w:val="0"/>
      <w:marBottom w:val="0"/>
      <w:divBdr>
        <w:top w:val="none" w:sz="0" w:space="0" w:color="auto"/>
        <w:left w:val="none" w:sz="0" w:space="0" w:color="auto"/>
        <w:bottom w:val="none" w:sz="0" w:space="0" w:color="auto"/>
        <w:right w:val="none" w:sz="0" w:space="0" w:color="auto"/>
      </w:divBdr>
    </w:div>
    <w:div w:id="1736003344">
      <w:bodyDiv w:val="1"/>
      <w:marLeft w:val="0"/>
      <w:marRight w:val="0"/>
      <w:marTop w:val="0"/>
      <w:marBottom w:val="0"/>
      <w:divBdr>
        <w:top w:val="none" w:sz="0" w:space="0" w:color="auto"/>
        <w:left w:val="none" w:sz="0" w:space="0" w:color="auto"/>
        <w:bottom w:val="none" w:sz="0" w:space="0" w:color="auto"/>
        <w:right w:val="none" w:sz="0" w:space="0" w:color="auto"/>
      </w:divBdr>
    </w:div>
    <w:div w:id="1772360514">
      <w:bodyDiv w:val="1"/>
      <w:marLeft w:val="0"/>
      <w:marRight w:val="0"/>
      <w:marTop w:val="0"/>
      <w:marBottom w:val="0"/>
      <w:divBdr>
        <w:top w:val="none" w:sz="0" w:space="0" w:color="auto"/>
        <w:left w:val="none" w:sz="0" w:space="0" w:color="auto"/>
        <w:bottom w:val="none" w:sz="0" w:space="0" w:color="auto"/>
        <w:right w:val="none" w:sz="0" w:space="0" w:color="auto"/>
      </w:divBdr>
    </w:div>
    <w:div w:id="1787696146">
      <w:bodyDiv w:val="1"/>
      <w:marLeft w:val="0"/>
      <w:marRight w:val="0"/>
      <w:marTop w:val="0"/>
      <w:marBottom w:val="0"/>
      <w:divBdr>
        <w:top w:val="none" w:sz="0" w:space="0" w:color="auto"/>
        <w:left w:val="none" w:sz="0" w:space="0" w:color="auto"/>
        <w:bottom w:val="none" w:sz="0" w:space="0" w:color="auto"/>
        <w:right w:val="none" w:sz="0" w:space="0" w:color="auto"/>
      </w:divBdr>
    </w:div>
    <w:div w:id="1794245901">
      <w:bodyDiv w:val="1"/>
      <w:marLeft w:val="0"/>
      <w:marRight w:val="0"/>
      <w:marTop w:val="0"/>
      <w:marBottom w:val="0"/>
      <w:divBdr>
        <w:top w:val="none" w:sz="0" w:space="0" w:color="auto"/>
        <w:left w:val="none" w:sz="0" w:space="0" w:color="auto"/>
        <w:bottom w:val="none" w:sz="0" w:space="0" w:color="auto"/>
        <w:right w:val="none" w:sz="0" w:space="0" w:color="auto"/>
      </w:divBdr>
    </w:div>
    <w:div w:id="1800493066">
      <w:bodyDiv w:val="1"/>
      <w:marLeft w:val="0"/>
      <w:marRight w:val="0"/>
      <w:marTop w:val="0"/>
      <w:marBottom w:val="0"/>
      <w:divBdr>
        <w:top w:val="none" w:sz="0" w:space="0" w:color="auto"/>
        <w:left w:val="none" w:sz="0" w:space="0" w:color="auto"/>
        <w:bottom w:val="none" w:sz="0" w:space="0" w:color="auto"/>
        <w:right w:val="none" w:sz="0" w:space="0" w:color="auto"/>
      </w:divBdr>
    </w:div>
    <w:div w:id="1932591804">
      <w:bodyDiv w:val="1"/>
      <w:marLeft w:val="0"/>
      <w:marRight w:val="0"/>
      <w:marTop w:val="0"/>
      <w:marBottom w:val="0"/>
      <w:divBdr>
        <w:top w:val="none" w:sz="0" w:space="0" w:color="auto"/>
        <w:left w:val="none" w:sz="0" w:space="0" w:color="auto"/>
        <w:bottom w:val="none" w:sz="0" w:space="0" w:color="auto"/>
        <w:right w:val="none" w:sz="0" w:space="0" w:color="auto"/>
      </w:divBdr>
    </w:div>
    <w:div w:id="1948005269">
      <w:bodyDiv w:val="1"/>
      <w:marLeft w:val="0"/>
      <w:marRight w:val="0"/>
      <w:marTop w:val="0"/>
      <w:marBottom w:val="0"/>
      <w:divBdr>
        <w:top w:val="none" w:sz="0" w:space="0" w:color="auto"/>
        <w:left w:val="none" w:sz="0" w:space="0" w:color="auto"/>
        <w:bottom w:val="none" w:sz="0" w:space="0" w:color="auto"/>
        <w:right w:val="none" w:sz="0" w:space="0" w:color="auto"/>
      </w:divBdr>
    </w:div>
    <w:div w:id="1958636199">
      <w:bodyDiv w:val="1"/>
      <w:marLeft w:val="0"/>
      <w:marRight w:val="0"/>
      <w:marTop w:val="0"/>
      <w:marBottom w:val="0"/>
      <w:divBdr>
        <w:top w:val="none" w:sz="0" w:space="0" w:color="auto"/>
        <w:left w:val="none" w:sz="0" w:space="0" w:color="auto"/>
        <w:bottom w:val="none" w:sz="0" w:space="0" w:color="auto"/>
        <w:right w:val="none" w:sz="0" w:space="0" w:color="auto"/>
      </w:divBdr>
    </w:div>
    <w:div w:id="1967737321">
      <w:bodyDiv w:val="1"/>
      <w:marLeft w:val="0"/>
      <w:marRight w:val="0"/>
      <w:marTop w:val="0"/>
      <w:marBottom w:val="0"/>
      <w:divBdr>
        <w:top w:val="none" w:sz="0" w:space="0" w:color="auto"/>
        <w:left w:val="none" w:sz="0" w:space="0" w:color="auto"/>
        <w:bottom w:val="none" w:sz="0" w:space="0" w:color="auto"/>
        <w:right w:val="none" w:sz="0" w:space="0" w:color="auto"/>
      </w:divBdr>
    </w:div>
    <w:div w:id="1976324933">
      <w:bodyDiv w:val="1"/>
      <w:marLeft w:val="0"/>
      <w:marRight w:val="0"/>
      <w:marTop w:val="0"/>
      <w:marBottom w:val="0"/>
      <w:divBdr>
        <w:top w:val="none" w:sz="0" w:space="0" w:color="auto"/>
        <w:left w:val="none" w:sz="0" w:space="0" w:color="auto"/>
        <w:bottom w:val="none" w:sz="0" w:space="0" w:color="auto"/>
        <w:right w:val="none" w:sz="0" w:space="0" w:color="auto"/>
      </w:divBdr>
    </w:div>
    <w:div w:id="1992637729">
      <w:bodyDiv w:val="1"/>
      <w:marLeft w:val="0"/>
      <w:marRight w:val="0"/>
      <w:marTop w:val="0"/>
      <w:marBottom w:val="0"/>
      <w:divBdr>
        <w:top w:val="none" w:sz="0" w:space="0" w:color="auto"/>
        <w:left w:val="none" w:sz="0" w:space="0" w:color="auto"/>
        <w:bottom w:val="none" w:sz="0" w:space="0" w:color="auto"/>
        <w:right w:val="none" w:sz="0" w:space="0" w:color="auto"/>
      </w:divBdr>
    </w:div>
    <w:div w:id="2003853693">
      <w:bodyDiv w:val="1"/>
      <w:marLeft w:val="0"/>
      <w:marRight w:val="0"/>
      <w:marTop w:val="0"/>
      <w:marBottom w:val="0"/>
      <w:divBdr>
        <w:top w:val="none" w:sz="0" w:space="0" w:color="auto"/>
        <w:left w:val="none" w:sz="0" w:space="0" w:color="auto"/>
        <w:bottom w:val="none" w:sz="0" w:space="0" w:color="auto"/>
        <w:right w:val="none" w:sz="0" w:space="0" w:color="auto"/>
      </w:divBdr>
    </w:div>
    <w:div w:id="2019500894">
      <w:bodyDiv w:val="1"/>
      <w:marLeft w:val="0"/>
      <w:marRight w:val="0"/>
      <w:marTop w:val="0"/>
      <w:marBottom w:val="0"/>
      <w:divBdr>
        <w:top w:val="none" w:sz="0" w:space="0" w:color="auto"/>
        <w:left w:val="none" w:sz="0" w:space="0" w:color="auto"/>
        <w:bottom w:val="none" w:sz="0" w:space="0" w:color="auto"/>
        <w:right w:val="none" w:sz="0" w:space="0" w:color="auto"/>
      </w:divBdr>
    </w:div>
    <w:div w:id="2030056932">
      <w:bodyDiv w:val="1"/>
      <w:marLeft w:val="0"/>
      <w:marRight w:val="0"/>
      <w:marTop w:val="0"/>
      <w:marBottom w:val="0"/>
      <w:divBdr>
        <w:top w:val="none" w:sz="0" w:space="0" w:color="auto"/>
        <w:left w:val="none" w:sz="0" w:space="0" w:color="auto"/>
        <w:bottom w:val="none" w:sz="0" w:space="0" w:color="auto"/>
        <w:right w:val="none" w:sz="0" w:space="0" w:color="auto"/>
      </w:divBdr>
    </w:div>
    <w:div w:id="2057580391">
      <w:bodyDiv w:val="1"/>
      <w:marLeft w:val="0"/>
      <w:marRight w:val="0"/>
      <w:marTop w:val="0"/>
      <w:marBottom w:val="0"/>
      <w:divBdr>
        <w:top w:val="none" w:sz="0" w:space="0" w:color="auto"/>
        <w:left w:val="none" w:sz="0" w:space="0" w:color="auto"/>
        <w:bottom w:val="none" w:sz="0" w:space="0" w:color="auto"/>
        <w:right w:val="none" w:sz="0" w:space="0" w:color="auto"/>
      </w:divBdr>
    </w:div>
    <w:div w:id="2060278558">
      <w:bodyDiv w:val="1"/>
      <w:marLeft w:val="0"/>
      <w:marRight w:val="0"/>
      <w:marTop w:val="0"/>
      <w:marBottom w:val="0"/>
      <w:divBdr>
        <w:top w:val="none" w:sz="0" w:space="0" w:color="auto"/>
        <w:left w:val="none" w:sz="0" w:space="0" w:color="auto"/>
        <w:bottom w:val="none" w:sz="0" w:space="0" w:color="auto"/>
        <w:right w:val="none" w:sz="0" w:space="0" w:color="auto"/>
      </w:divBdr>
    </w:div>
    <w:div w:id="2083943669">
      <w:bodyDiv w:val="1"/>
      <w:marLeft w:val="0"/>
      <w:marRight w:val="0"/>
      <w:marTop w:val="0"/>
      <w:marBottom w:val="0"/>
      <w:divBdr>
        <w:top w:val="none" w:sz="0" w:space="0" w:color="auto"/>
        <w:left w:val="none" w:sz="0" w:space="0" w:color="auto"/>
        <w:bottom w:val="none" w:sz="0" w:space="0" w:color="auto"/>
        <w:right w:val="none" w:sz="0" w:space="0" w:color="auto"/>
      </w:divBdr>
    </w:div>
    <w:div w:id="2104105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60.png"/><Relationship Id="rId21" Type="http://schemas.openxmlformats.org/officeDocument/2006/relationships/header" Target="header1.xml"/><Relationship Id="rId42" Type="http://schemas.openxmlformats.org/officeDocument/2006/relationships/footer" Target="footer4.xml"/><Relationship Id="rId47" Type="http://schemas.openxmlformats.org/officeDocument/2006/relationships/footer" Target="footer5.xml"/><Relationship Id="rId63" Type="http://schemas.openxmlformats.org/officeDocument/2006/relationships/image" Target="media/image29.svg"/><Relationship Id="rId68" Type="http://schemas.openxmlformats.org/officeDocument/2006/relationships/image" Target="media/image33.svg"/><Relationship Id="rId84" Type="http://schemas.openxmlformats.org/officeDocument/2006/relationships/chart" Target="charts/chart10.xml"/><Relationship Id="rId89" Type="http://schemas.openxmlformats.org/officeDocument/2006/relationships/image" Target="media/image41.png"/><Relationship Id="rId112" Type="http://schemas.openxmlformats.org/officeDocument/2006/relationships/header" Target="header17.xml"/><Relationship Id="rId133" Type="http://schemas.openxmlformats.org/officeDocument/2006/relationships/image" Target="media/image70.svg"/><Relationship Id="rId138" Type="http://schemas.openxmlformats.org/officeDocument/2006/relationships/image" Target="media/image75.png"/><Relationship Id="rId154" Type="http://schemas.openxmlformats.org/officeDocument/2006/relationships/header" Target="header26.xml"/><Relationship Id="rId16" Type="http://schemas.openxmlformats.org/officeDocument/2006/relationships/image" Target="media/image6.png"/><Relationship Id="rId107" Type="http://schemas.openxmlformats.org/officeDocument/2006/relationships/header" Target="header14.xml"/><Relationship Id="rId11" Type="http://schemas.openxmlformats.org/officeDocument/2006/relationships/image" Target="media/image1.png"/><Relationship Id="rId32" Type="http://schemas.openxmlformats.org/officeDocument/2006/relationships/header" Target="header4.xml"/><Relationship Id="rId37" Type="http://schemas.openxmlformats.org/officeDocument/2006/relationships/hyperlink" Target="https://allenandclarke.sharepoint.com/sites/IAHP/Shared%20Documents/07.%20Reporting/06.%20Cycle%203%20Report/CURRENT%20WORKING%20DRAFT%20REPORTS/Evaluation%20Final%20Report%20%2028%20June%202023.docx" TargetMode="External"/><Relationship Id="rId53" Type="http://schemas.openxmlformats.org/officeDocument/2006/relationships/image" Target="media/image19.png"/><Relationship Id="rId58" Type="http://schemas.openxmlformats.org/officeDocument/2006/relationships/image" Target="media/image24.png"/><Relationship Id="rId74" Type="http://schemas.openxmlformats.org/officeDocument/2006/relationships/chart" Target="charts/chart2.xml"/><Relationship Id="rId79" Type="http://schemas.openxmlformats.org/officeDocument/2006/relationships/chart" Target="charts/chart5.xml"/><Relationship Id="rId102" Type="http://schemas.openxmlformats.org/officeDocument/2006/relationships/image" Target="media/image53.png"/><Relationship Id="rId123" Type="http://schemas.openxmlformats.org/officeDocument/2006/relationships/image" Target="media/image66.svg"/><Relationship Id="rId128" Type="http://schemas.openxmlformats.org/officeDocument/2006/relationships/header" Target="header20.xml"/><Relationship Id="rId144" Type="http://schemas.openxmlformats.org/officeDocument/2006/relationships/image" Target="media/image81.png"/><Relationship Id="rId149" Type="http://schemas.openxmlformats.org/officeDocument/2006/relationships/header" Target="header24.xml"/><Relationship Id="rId5" Type="http://schemas.openxmlformats.org/officeDocument/2006/relationships/numbering" Target="numbering.xml"/><Relationship Id="rId90" Type="http://schemas.openxmlformats.org/officeDocument/2006/relationships/image" Target="media/image42.svg"/><Relationship Id="rId95" Type="http://schemas.openxmlformats.org/officeDocument/2006/relationships/image" Target="media/image46.png"/><Relationship Id="rId22" Type="http://schemas.openxmlformats.org/officeDocument/2006/relationships/header" Target="header2.xml"/><Relationship Id="rId27" Type="http://schemas.openxmlformats.org/officeDocument/2006/relationships/image" Target="media/image12.png"/><Relationship Id="rId43" Type="http://schemas.openxmlformats.org/officeDocument/2006/relationships/image" Target="media/image13.png"/><Relationship Id="rId48" Type="http://schemas.openxmlformats.org/officeDocument/2006/relationships/image" Target="media/image14.png"/><Relationship Id="rId64" Type="http://schemas.openxmlformats.org/officeDocument/2006/relationships/image" Target="media/image30.png"/><Relationship Id="rId69" Type="http://schemas.openxmlformats.org/officeDocument/2006/relationships/image" Target="media/image34.png"/><Relationship Id="rId113" Type="http://schemas.openxmlformats.org/officeDocument/2006/relationships/footer" Target="footer6.xml"/><Relationship Id="rId118" Type="http://schemas.openxmlformats.org/officeDocument/2006/relationships/image" Target="media/image61.png"/><Relationship Id="rId134" Type="http://schemas.openxmlformats.org/officeDocument/2006/relationships/image" Target="media/image71.png"/><Relationship Id="rId139" Type="http://schemas.openxmlformats.org/officeDocument/2006/relationships/image" Target="media/image76.svg"/><Relationship Id="rId80" Type="http://schemas.openxmlformats.org/officeDocument/2006/relationships/chart" Target="charts/chart6.xml"/><Relationship Id="rId85" Type="http://schemas.openxmlformats.org/officeDocument/2006/relationships/chart" Target="charts/chart11.xml"/><Relationship Id="rId150" Type="http://schemas.openxmlformats.org/officeDocument/2006/relationships/header" Target="header25.xml"/><Relationship Id="rId155" Type="http://schemas.openxmlformats.org/officeDocument/2006/relationships/header" Target="header27.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eader" Target="header5.xml"/><Relationship Id="rId38" Type="http://schemas.openxmlformats.org/officeDocument/2006/relationships/hyperlink" Target="https://allenandclarke.sharepoint.com/sites/IAHP/Shared%20Documents/07.%20Reporting/06.%20Cycle%203%20Report/CURRENT%20WORKING%20DRAFT%20REPORTS/Evaluation%20Final%20Report%20%2028%20June%202023.docx" TargetMode="External"/><Relationship Id="rId59" Type="http://schemas.openxmlformats.org/officeDocument/2006/relationships/image" Target="media/image25.png"/><Relationship Id="rId103" Type="http://schemas.openxmlformats.org/officeDocument/2006/relationships/image" Target="media/image54.png"/><Relationship Id="rId108" Type="http://schemas.openxmlformats.org/officeDocument/2006/relationships/header" Target="header15.xml"/><Relationship Id="rId124" Type="http://schemas.openxmlformats.org/officeDocument/2006/relationships/image" Target="media/image67.png"/><Relationship Id="rId129" Type="http://schemas.openxmlformats.org/officeDocument/2006/relationships/header" Target="header21.xml"/><Relationship Id="rId20" Type="http://schemas.openxmlformats.org/officeDocument/2006/relationships/image" Target="media/image10.png"/><Relationship Id="rId41" Type="http://schemas.openxmlformats.org/officeDocument/2006/relationships/header" Target="header9.xml"/><Relationship Id="rId54" Type="http://schemas.openxmlformats.org/officeDocument/2006/relationships/image" Target="media/image20.svg"/><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chart" Target="charts/chart3.xml"/><Relationship Id="rId83" Type="http://schemas.openxmlformats.org/officeDocument/2006/relationships/chart" Target="charts/chart9.xml"/><Relationship Id="rId88" Type="http://schemas.openxmlformats.org/officeDocument/2006/relationships/chart" Target="charts/chart13.xml"/><Relationship Id="rId91" Type="http://schemas.openxmlformats.org/officeDocument/2006/relationships/image" Target="media/image43.png"/><Relationship Id="rId96" Type="http://schemas.openxmlformats.org/officeDocument/2006/relationships/image" Target="media/image47.png"/><Relationship Id="rId111" Type="http://schemas.openxmlformats.org/officeDocument/2006/relationships/header" Target="header16.xml"/><Relationship Id="rId132" Type="http://schemas.openxmlformats.org/officeDocument/2006/relationships/image" Target="media/image69.png"/><Relationship Id="rId140" Type="http://schemas.openxmlformats.org/officeDocument/2006/relationships/image" Target="media/image77.png"/><Relationship Id="rId145" Type="http://schemas.openxmlformats.org/officeDocument/2006/relationships/image" Target="media/image82.png"/><Relationship Id="rId153"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hyperlink" Target="https://allenandclarke.sharepoint.com/sites/IAHP/Shared%20Documents/07.%20Reporting/06.%20Cycle%203%20Report/Final%20Report%20-%20Draft%20v3.22.docx" TargetMode="External"/><Relationship Id="rId36" Type="http://schemas.openxmlformats.org/officeDocument/2006/relationships/hyperlink" Target="https://allenandclarke.sharepoint.com/sites/IAHP/Shared%20Documents/07.%20Reporting/06.%20Cycle%203%20Report/CURRENT%20WORKING%20DRAFT%20REPORTS/Evaluation%20Final%20Report%20%2028%20June%202023.docx" TargetMode="External"/><Relationship Id="rId49" Type="http://schemas.openxmlformats.org/officeDocument/2006/relationships/image" Target="media/image15.png"/><Relationship Id="rId57" Type="http://schemas.openxmlformats.org/officeDocument/2006/relationships/image" Target="media/image23.svg"/><Relationship Id="rId106" Type="http://schemas.openxmlformats.org/officeDocument/2006/relationships/header" Target="header13.xml"/><Relationship Id="rId114" Type="http://schemas.openxmlformats.org/officeDocument/2006/relationships/header" Target="header18.xml"/><Relationship Id="rId119" Type="http://schemas.openxmlformats.org/officeDocument/2006/relationships/image" Target="media/image62.svg"/><Relationship Id="rId127" Type="http://schemas.openxmlformats.org/officeDocument/2006/relationships/footer" Target="footer7.xml"/><Relationship Id="rId10" Type="http://schemas.openxmlformats.org/officeDocument/2006/relationships/endnotes" Target="endnotes.xml"/><Relationship Id="rId31" Type="http://schemas.openxmlformats.org/officeDocument/2006/relationships/hyperlink" Target="https://allenandclarke.sharepoint.com/sites/IAHP/Shared%20Documents/07.%20Reporting/06.%20Cycle%203%20Report/Final%20Report%20-%20Draft%20v3.22.docx" TargetMode="External"/><Relationship Id="rId44" Type="http://schemas.openxmlformats.org/officeDocument/2006/relationships/header" Target="header10.xml"/><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chart" Target="charts/chart1.xml"/><Relationship Id="rId78" Type="http://schemas.openxmlformats.org/officeDocument/2006/relationships/chart" Target="charts/chart4.xml"/><Relationship Id="rId81" Type="http://schemas.openxmlformats.org/officeDocument/2006/relationships/chart" Target="charts/chart7.xml"/><Relationship Id="rId86" Type="http://schemas.openxmlformats.org/officeDocument/2006/relationships/image" Target="media/image40.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65.png"/><Relationship Id="rId130" Type="http://schemas.openxmlformats.org/officeDocument/2006/relationships/header" Target="header22.xml"/><Relationship Id="rId135" Type="http://schemas.openxmlformats.org/officeDocument/2006/relationships/image" Target="media/image72.svg"/><Relationship Id="rId143" Type="http://schemas.openxmlformats.org/officeDocument/2006/relationships/image" Target="media/image80.png"/><Relationship Id="rId148" Type="http://schemas.openxmlformats.org/officeDocument/2006/relationships/header" Target="header23.xml"/><Relationship Id="rId151" Type="http://schemas.openxmlformats.org/officeDocument/2006/relationships/footer" Target="footer9.xml"/><Relationship Id="rId156" Type="http://schemas.openxmlformats.org/officeDocument/2006/relationships/header" Target="header2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eader" Target="header7.xml"/><Relationship Id="rId109" Type="http://schemas.openxmlformats.org/officeDocument/2006/relationships/image" Target="media/image57.png"/><Relationship Id="rId34" Type="http://schemas.openxmlformats.org/officeDocument/2006/relationships/header" Target="header6.xml"/><Relationship Id="rId50" Type="http://schemas.openxmlformats.org/officeDocument/2006/relationships/image" Target="media/image16.svg"/><Relationship Id="rId55" Type="http://schemas.openxmlformats.org/officeDocument/2006/relationships/image" Target="media/image21.png"/><Relationship Id="rId76" Type="http://schemas.openxmlformats.org/officeDocument/2006/relationships/image" Target="media/image38.pn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63.png"/><Relationship Id="rId125" Type="http://schemas.openxmlformats.org/officeDocument/2006/relationships/image" Target="media/image68.svg"/><Relationship Id="rId141" Type="http://schemas.openxmlformats.org/officeDocument/2006/relationships/image" Target="media/image78.png"/><Relationship Id="rId146" Type="http://schemas.openxmlformats.org/officeDocument/2006/relationships/image" Target="media/image83.png"/><Relationship Id="rId7" Type="http://schemas.openxmlformats.org/officeDocument/2006/relationships/settings" Target="settings.xml"/><Relationship Id="rId71" Type="http://schemas.openxmlformats.org/officeDocument/2006/relationships/image" Target="media/image36.svg"/><Relationship Id="rId92" Type="http://schemas.microsoft.com/office/2007/relationships/hdphoto" Target="media/hdphoto2.wdp"/><Relationship Id="rId2" Type="http://schemas.openxmlformats.org/officeDocument/2006/relationships/customXml" Target="../customXml/item2.xml"/><Relationship Id="rId29" Type="http://schemas.openxmlformats.org/officeDocument/2006/relationships/hyperlink" Target="https://allenandclarke.sharepoint.com/sites/IAHP/Shared%20Documents/07.%20Reporting/06.%20Cycle%203%20Report/Final%20Report%20-%20Draft%20v3.22.docx" TargetMode="External"/><Relationship Id="rId24" Type="http://schemas.openxmlformats.org/officeDocument/2006/relationships/header" Target="header3.xml"/><Relationship Id="rId40" Type="http://schemas.openxmlformats.org/officeDocument/2006/relationships/header" Target="header8.xml"/><Relationship Id="rId45" Type="http://schemas.openxmlformats.org/officeDocument/2006/relationships/header" Target="header11.xml"/><Relationship Id="rId66" Type="http://schemas.microsoft.com/office/2007/relationships/hdphoto" Target="media/hdphoto1.wdp"/><Relationship Id="rId87" Type="http://schemas.openxmlformats.org/officeDocument/2006/relationships/chart" Target="charts/chart12.xml"/><Relationship Id="rId110" Type="http://schemas.openxmlformats.org/officeDocument/2006/relationships/image" Target="media/image58.svg"/><Relationship Id="rId115" Type="http://schemas.openxmlformats.org/officeDocument/2006/relationships/image" Target="media/image59.png"/><Relationship Id="rId131" Type="http://schemas.openxmlformats.org/officeDocument/2006/relationships/footer" Target="footer8.xml"/><Relationship Id="rId136" Type="http://schemas.openxmlformats.org/officeDocument/2006/relationships/image" Target="media/image73.png"/><Relationship Id="rId157" Type="http://schemas.openxmlformats.org/officeDocument/2006/relationships/fontTable" Target="fontTable.xml"/><Relationship Id="rId61" Type="http://schemas.openxmlformats.org/officeDocument/2006/relationships/image" Target="media/image27.svg"/><Relationship Id="rId82" Type="http://schemas.openxmlformats.org/officeDocument/2006/relationships/chart" Target="charts/chart8.xml"/><Relationship Id="rId152"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https://allenandclarke.sharepoint.com/sites/IAHP/Shared%20Documents/07.%20Reporting/06.%20Cycle%203%20Report/Final%20Report%20-%20Draft%20v3.22.docx" TargetMode="External"/><Relationship Id="rId35" Type="http://schemas.openxmlformats.org/officeDocument/2006/relationships/footer" Target="footer3.xml"/><Relationship Id="rId56" Type="http://schemas.openxmlformats.org/officeDocument/2006/relationships/image" Target="media/image22.png"/><Relationship Id="rId77" Type="http://schemas.openxmlformats.org/officeDocument/2006/relationships/image" Target="media/image39.png"/><Relationship Id="rId100" Type="http://schemas.openxmlformats.org/officeDocument/2006/relationships/image" Target="media/image51.png"/><Relationship Id="rId105" Type="http://schemas.openxmlformats.org/officeDocument/2006/relationships/image" Target="media/image56.png"/><Relationship Id="rId126" Type="http://schemas.openxmlformats.org/officeDocument/2006/relationships/header" Target="header19.xml"/><Relationship Id="rId147" Type="http://schemas.openxmlformats.org/officeDocument/2006/relationships/image" Target="media/image84.svg"/><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image" Target="media/image37.pn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64.png"/><Relationship Id="rId142" Type="http://schemas.openxmlformats.org/officeDocument/2006/relationships/image" Target="media/image79.png"/><Relationship Id="rId3" Type="http://schemas.openxmlformats.org/officeDocument/2006/relationships/customXml" Target="../customXml/item3.xml"/><Relationship Id="rId25" Type="http://schemas.openxmlformats.org/officeDocument/2006/relationships/footer" Target="footer2.xml"/><Relationship Id="rId46" Type="http://schemas.openxmlformats.org/officeDocument/2006/relationships/header" Target="header12.xml"/><Relationship Id="rId67" Type="http://schemas.openxmlformats.org/officeDocument/2006/relationships/image" Target="media/image32.png"/><Relationship Id="rId116" Type="http://schemas.openxmlformats.org/officeDocument/2006/relationships/chart" Target="charts/chart14.xml"/><Relationship Id="rId137" Type="http://schemas.openxmlformats.org/officeDocument/2006/relationships/image" Target="media/image74.svg"/><Relationship Id="rId158"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health.gov.au/resources/publications/implementation-plan-for-the-national-aboriginal-and-torres-strait-islander-health-plan-2013-2023" TargetMode="External"/><Relationship Id="rId13" Type="http://schemas.openxmlformats.org/officeDocument/2006/relationships/hyperlink" Target="https://phidu.torrens.edu.au/notes-on-the-data/aboriginal-notes/aboriginal-avoidable-deaths" TargetMode="External"/><Relationship Id="rId3" Type="http://schemas.openxmlformats.org/officeDocument/2006/relationships/hyperlink" Target="https://www.indigenoushpf.gov.au/measures/3-14-access-services-compared-with-need/data" TargetMode="External"/><Relationship Id="rId7" Type="http://schemas.openxmlformats.org/officeDocument/2006/relationships/hyperlink" Target="http://www.aihw.gov.au" TargetMode="External"/><Relationship Id="rId12" Type="http://schemas.openxmlformats.org/officeDocument/2006/relationships/hyperlink" Target="https://www.aihw.gov.au/reports/indigenous-australians/indigenous-health-checks-follow-ups/contents/about" TargetMode="External"/><Relationship Id="rId2" Type="http://schemas.openxmlformats.org/officeDocument/2006/relationships/hyperlink" Target="https://www.indigenoushpf.gov.au/measures/3-14-access-services-compared-with-need" TargetMode="External"/><Relationship Id="rId1" Type="http://schemas.openxmlformats.org/officeDocument/2006/relationships/hyperlink" Target="https://www.pc.gov.au/closing-the-gap-data/dashboard" TargetMode="External"/><Relationship Id="rId6" Type="http://schemas.openxmlformats.org/officeDocument/2006/relationships/hyperlink" Target="https://www.grants.gov.au/" TargetMode="External"/><Relationship Id="rId11" Type="http://schemas.openxmlformats.org/officeDocument/2006/relationships/hyperlink" Target="https://www.pc.gov.au/closing-the-gap-data/dashboard" TargetMode="External"/><Relationship Id="rId5" Type="http://schemas.openxmlformats.org/officeDocument/2006/relationships/hyperlink" Target="https://www.grants.gov.au/" TargetMode="External"/><Relationship Id="rId10" Type="http://schemas.openxmlformats.org/officeDocument/2006/relationships/hyperlink" Target="https://www.aihw.gov.au/reports/indigenous-australians/indigenous-primary-health-care-results-osr-nkpi/contents/nkpi-summary-over-time" TargetMode="External"/><Relationship Id="rId4" Type="http://schemas.openxmlformats.org/officeDocument/2006/relationships/hyperlink" Target="https://www.abs.gov.au/statistics/people/aboriginal-and-torres-strait-islander-peoples/estimates-aboriginal-and-torres-strait-islander-australians/jun-2021" TargetMode="External"/><Relationship Id="rId9" Type="http://schemas.openxmlformats.org/officeDocument/2006/relationships/hyperlink" Target="https://www.health.nsw.gov.au/lumos" TargetMode="External"/><Relationship Id="rId14" Type="http://schemas.openxmlformats.org/officeDocument/2006/relationships/hyperlink" Target="https://www.abs.gov.au/statistics/people/aboriginal-and-torres-strait-islander-peoples/estimates-aboriginal-and-torres-strait-islander-australians/jun-2021"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hardie-boys\A+C\IAHP%20Yarnes%20-%20Documents\07.%20Reporting\16%20Cycle%203%20Report\Final%20Yarnes%20Report%20-%20Structure%20-%20v1.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6.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7.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4.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5.xlsx"/></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oleObject" Target="https://allenandclarke.sharepoint.com/sites/IAHP/Shared%20Documents/07.%20Reporting/16.%20Cycle%203%20Report/IAHP%20constant%20prices%20analy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5.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777038641019358"/>
          <c:y val="0.13626517099089361"/>
          <c:w val="0.55559871385552939"/>
          <c:h val="0.804442076235018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152-4A52-80E6-CE179F276E1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152-4A52-80E6-CE179F276E1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152-4A52-80E6-CE179F276E1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152-4A52-80E6-CE179F276E1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152-4A52-80E6-CE179F276E1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152-4A52-80E6-CE179F276E1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152-4A52-80E6-CE179F276E1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E152-4A52-80E6-CE179F276E1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E152-4A52-80E6-CE179F276E10}"/>
              </c:ext>
            </c:extLst>
          </c:dPt>
          <c:dLbls>
            <c:dLbl>
              <c:idx val="0"/>
              <c:layout>
                <c:manualLayout>
                  <c:x val="-0.20745585837815542"/>
                  <c:y val="-9.5017408315449359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52-4A52-80E6-CE179F276E10}"/>
                </c:ext>
              </c:extLst>
            </c:dLbl>
            <c:dLbl>
              <c:idx val="1"/>
              <c:layout>
                <c:manualLayout>
                  <c:x val="0.16194222814849435"/>
                  <c:y val="-5.2526128121595711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52-4A52-80E6-CE179F276E10}"/>
                </c:ext>
              </c:extLst>
            </c:dLbl>
            <c:dLbl>
              <c:idx val="2"/>
              <c:layout>
                <c:manualLayout>
                  <c:x val="0.16721343213425158"/>
                  <c:y val="0.1015158062521185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extLst>
                <c:ext xmlns:c15="http://schemas.microsoft.com/office/drawing/2012/chart" uri="{CE6537A1-D6FC-4f65-9D91-7224C49458BB}">
                  <c15:layout>
                    <c:manualLayout>
                      <c:w val="0.15992911728873629"/>
                      <c:h val="9.1242324581264342E-2"/>
                    </c:manualLayout>
                  </c15:layout>
                </c:ext>
                <c:ext xmlns:c16="http://schemas.microsoft.com/office/drawing/2014/chart" uri="{C3380CC4-5D6E-409C-BE32-E72D297353CC}">
                  <c16:uniqueId val="{00000005-E152-4A52-80E6-CE179F276E10}"/>
                </c:ext>
              </c:extLst>
            </c:dLbl>
            <c:dLbl>
              <c:idx val="3"/>
              <c:layout>
                <c:manualLayout>
                  <c:x val="-7.8111212950745773E-2"/>
                  <c:y val="5.1043054797249916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17269916794789841"/>
                      <c:h val="7.4038777522182048E-2"/>
                    </c:manualLayout>
                  </c15:layout>
                </c:ext>
                <c:ext xmlns:c16="http://schemas.microsoft.com/office/drawing/2014/chart" uri="{C3380CC4-5D6E-409C-BE32-E72D297353CC}">
                  <c16:uniqueId val="{00000007-E152-4A52-80E6-CE179F276E10}"/>
                </c:ext>
              </c:extLst>
            </c:dLbl>
            <c:dLbl>
              <c:idx val="4"/>
              <c:layout>
                <c:manualLayout>
                  <c:x val="-9.293815291584509E-2"/>
                  <c:y val="1.9789836490616129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52-4A52-80E6-CE179F276E10}"/>
                </c:ext>
              </c:extLst>
            </c:dLbl>
            <c:dLbl>
              <c:idx val="5"/>
              <c:layout>
                <c:manualLayout>
                  <c:x val="-9.8605630326777327E-2"/>
                  <c:y val="3.5095391255521107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152-4A52-80E6-CE179F276E10}"/>
                </c:ext>
              </c:extLst>
            </c:dLbl>
            <c:dLbl>
              <c:idx val="6"/>
              <c:layout>
                <c:manualLayout>
                  <c:x val="-7.5579562965527522E-2"/>
                  <c:y val="-2.3723480506441789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38701960349983389"/>
                      <c:h val="6.1972218401870428E-2"/>
                    </c:manualLayout>
                  </c15:layout>
                </c:ext>
                <c:ext xmlns:c16="http://schemas.microsoft.com/office/drawing/2014/chart" uri="{C3380CC4-5D6E-409C-BE32-E72D297353CC}">
                  <c16:uniqueId val="{0000000D-E152-4A52-80E6-CE179F276E10}"/>
                </c:ext>
              </c:extLst>
            </c:dLbl>
            <c:dLbl>
              <c:idx val="7"/>
              <c:layout>
                <c:manualLayout>
                  <c:x val="3.2896881215076855E-2"/>
                  <c:y val="-4.1785277788147834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152-4A52-80E6-CE179F276E10}"/>
                </c:ext>
              </c:extLst>
            </c:dLbl>
            <c:dLbl>
              <c:idx val="8"/>
              <c:layout>
                <c:manualLayout>
                  <c:x val="0.21365451480487632"/>
                  <c:y val="1.9223155764747284E-3"/>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8045187728430615"/>
                      <c:h val="0.11569247696327878"/>
                    </c:manualLayout>
                  </c15:layout>
                </c:ext>
                <c:ext xmlns:c16="http://schemas.microsoft.com/office/drawing/2014/chart" uri="{C3380CC4-5D6E-409C-BE32-E72D297353CC}">
                  <c16:uniqueId val="{00000011-E152-4A52-80E6-CE179F276E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Analysis!$AA$20:$AA$28</c:f>
              <c:strCache>
                <c:ptCount val="9"/>
                <c:pt idx="0">
                  <c:v>PHC Services</c:v>
                </c:pt>
                <c:pt idx="1">
                  <c:v>Access</c:v>
                </c:pt>
                <c:pt idx="2">
                  <c:v>Targeted Activities</c:v>
                </c:pt>
                <c:pt idx="3">
                  <c:v>Tackling Indigenous Smoking</c:v>
                </c:pt>
                <c:pt idx="4">
                  <c:v>Mental Health</c:v>
                </c:pt>
                <c:pt idx="5">
                  <c:v>Capital Works</c:v>
                </c:pt>
                <c:pt idx="6">
                  <c:v>Governance and Systems Effectiveness</c:v>
                </c:pt>
                <c:pt idx="7">
                  <c:v>NACCHO and Affiliates</c:v>
                </c:pt>
                <c:pt idx="8">
                  <c:v>National Aboriginal and Torres Strait Islander Flexible Aged Care Program</c:v>
                </c:pt>
              </c:strCache>
            </c:strRef>
          </c:cat>
          <c:val>
            <c:numRef>
              <c:f>Analysis!$AB$20:$AB$28</c:f>
              <c:numCache>
                <c:formatCode>0.0%</c:formatCode>
                <c:ptCount val="9"/>
                <c:pt idx="0">
                  <c:v>0.63831066414613524</c:v>
                </c:pt>
                <c:pt idx="1">
                  <c:v>0.13265330143723789</c:v>
                </c:pt>
                <c:pt idx="2">
                  <c:v>8.9769840955956429E-2</c:v>
                </c:pt>
                <c:pt idx="3">
                  <c:v>4.6454181558086415E-2</c:v>
                </c:pt>
                <c:pt idx="4">
                  <c:v>3.3967016305102418E-2</c:v>
                </c:pt>
                <c:pt idx="5">
                  <c:v>1.9733621648862981E-2</c:v>
                </c:pt>
                <c:pt idx="6">
                  <c:v>2.1052949403186469E-3</c:v>
                </c:pt>
                <c:pt idx="7">
                  <c:v>2.8035500232681719E-2</c:v>
                </c:pt>
                <c:pt idx="8">
                  <c:v>8.970578775618198E-3</c:v>
                </c:pt>
              </c:numCache>
            </c:numRef>
          </c:val>
          <c:extLst>
            <c:ext xmlns:c16="http://schemas.microsoft.com/office/drawing/2014/chart" uri="{C3380CC4-5D6E-409C-BE32-E72D297353CC}">
              <c16:uniqueId val="{00000012-E152-4A52-80E6-CE179F276E1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57DBE"/>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C533A"/>
            </a:solidFill>
            <a:ln>
              <a:noFill/>
            </a:ln>
            <a:effectLst/>
          </c:spPr>
          <c:invertIfNegative val="0"/>
          <c:cat>
            <c:strRef>
              <c:f>Analysis!$C$2:$I$2</c:f>
              <c:strCache>
                <c:ptCount val="7"/>
                <c:pt idx="0">
                  <c:v>2014-15</c:v>
                </c:pt>
                <c:pt idx="1">
                  <c:v>2015-16</c:v>
                </c:pt>
                <c:pt idx="2">
                  <c:v>2016-17</c:v>
                </c:pt>
                <c:pt idx="3">
                  <c:v>2017-18</c:v>
                </c:pt>
                <c:pt idx="4">
                  <c:v>2018-19</c:v>
                </c:pt>
                <c:pt idx="5">
                  <c:v>2019-20</c:v>
                </c:pt>
                <c:pt idx="6">
                  <c:v>2020-21</c:v>
                </c:pt>
              </c:strCache>
            </c:strRef>
          </c:cat>
          <c:val>
            <c:numRef>
              <c:f>Analysis!$C$4:$I$4</c:f>
              <c:numCache>
                <c:formatCode>General</c:formatCode>
                <c:ptCount val="7"/>
                <c:pt idx="0">
                  <c:v>505.66383299000006</c:v>
                </c:pt>
                <c:pt idx="1">
                  <c:v>646.96122071999957</c:v>
                </c:pt>
                <c:pt idx="2">
                  <c:v>710.65112573999977</c:v>
                </c:pt>
                <c:pt idx="3">
                  <c:v>754.70180146000007</c:v>
                </c:pt>
                <c:pt idx="4">
                  <c:v>815.60218006000025</c:v>
                </c:pt>
                <c:pt idx="5">
                  <c:v>857.96855525999979</c:v>
                </c:pt>
                <c:pt idx="6">
                  <c:v>892.93352331000017</c:v>
                </c:pt>
              </c:numCache>
            </c:numRef>
          </c:val>
          <c:extLst>
            <c:ext xmlns:c16="http://schemas.microsoft.com/office/drawing/2014/chart" uri="{C3380CC4-5D6E-409C-BE32-E72D297353CC}">
              <c16:uniqueId val="{00000000-5C03-40C6-A17C-E3E2CD011D69}"/>
            </c:ext>
          </c:extLst>
        </c:ser>
        <c:dLbls>
          <c:showLegendKey val="0"/>
          <c:showVal val="0"/>
          <c:showCatName val="0"/>
          <c:showSerName val="0"/>
          <c:showPercent val="0"/>
          <c:showBubbleSize val="0"/>
        </c:dLbls>
        <c:gapWidth val="75"/>
        <c:overlap val="-27"/>
        <c:axId val="1381217135"/>
        <c:axId val="1381214639"/>
      </c:barChart>
      <c:catAx>
        <c:axId val="13812171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Year</a:t>
                </a:r>
              </a:p>
            </c:rich>
          </c:tx>
          <c:layout>
            <c:manualLayout>
              <c:xMode val="edge"/>
              <c:yMode val="edge"/>
              <c:x val="0.52123071502760576"/>
              <c:y val="0.872958470916941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1214639"/>
        <c:crosses val="autoZero"/>
        <c:auto val="1"/>
        <c:lblAlgn val="ctr"/>
        <c:lblOffset val="100"/>
        <c:noMultiLvlLbl val="0"/>
      </c:catAx>
      <c:valAx>
        <c:axId val="13812146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Expenditure ($m)</a:t>
                </a:r>
              </a:p>
            </c:rich>
          </c:tx>
          <c:layout>
            <c:manualLayout>
              <c:xMode val="edge"/>
              <c:yMode val="edge"/>
              <c:x val="1.7720677815926459E-2"/>
              <c:y val="0.222534210693421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1217135"/>
        <c:crosses val="autoZero"/>
        <c:crossBetween val="between"/>
      </c:valAx>
      <c:spPr>
        <a:noFill/>
        <a:ln>
          <a:noFill/>
        </a:ln>
        <a:effectLst/>
      </c:spPr>
    </c:plotArea>
    <c:plotVisOnly val="1"/>
    <c:dispBlanksAs val="gap"/>
    <c:showDLblsOverMax val="0"/>
  </c:chart>
  <c:spPr>
    <a:solidFill>
      <a:schemeClr val="bg1"/>
    </a:solidFill>
    <a:ln w="15875" cap="flat" cmpd="sng" algn="ctr">
      <a:solidFill>
        <a:srgbClr val="3B7DBD"/>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'[IAHP constant prices analysis.xlsx]DOH data - constant $2019-2020'!$B$8</c:f>
              <c:strCache>
                <c:ptCount val="1"/>
                <c:pt idx="0">
                  <c:v>NSW &amp; ACT</c:v>
                </c:pt>
              </c:strCache>
            </c:strRef>
          </c:tx>
          <c:spPr>
            <a:ln w="28575" cap="rnd">
              <a:solidFill>
                <a:srgbClr val="36A6BC"/>
              </a:solidFill>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$2019-2020'!$C$8:$I$8</c:f>
              <c:numCache>
                <c:formatCode>_-* #,##0_-;\-* #,##0_-;_-* "-"??_-;_-@_-</c:formatCode>
                <c:ptCount val="7"/>
                <c:pt idx="0">
                  <c:v>129062202.27285619</c:v>
                </c:pt>
                <c:pt idx="1">
                  <c:v>155811532.69210124</c:v>
                </c:pt>
                <c:pt idx="2">
                  <c:v>171418623.25353599</c:v>
                </c:pt>
                <c:pt idx="3">
                  <c:v>187720373.27156726</c:v>
                </c:pt>
                <c:pt idx="4">
                  <c:v>210879244.01947507</c:v>
                </c:pt>
                <c:pt idx="5">
                  <c:v>223545739.78000003</c:v>
                </c:pt>
                <c:pt idx="6">
                  <c:v>225274385.36413038</c:v>
                </c:pt>
              </c:numCache>
            </c:numRef>
          </c:val>
          <c:smooth val="0"/>
          <c:extLst>
            <c:ext xmlns:c16="http://schemas.microsoft.com/office/drawing/2014/chart" uri="{C3380CC4-5D6E-409C-BE32-E72D297353CC}">
              <c16:uniqueId val="{00000000-4F4E-4039-9D78-9C232D7BFD61}"/>
            </c:ext>
          </c:extLst>
        </c:ser>
        <c:ser>
          <c:idx val="1"/>
          <c:order val="1"/>
          <c:tx>
            <c:strRef>
              <c:f>'[IAHP constant prices analysis.xlsx]DOH data - constant $2019-2020'!$B$9</c:f>
              <c:strCache>
                <c:ptCount val="1"/>
                <c:pt idx="0">
                  <c:v>NT</c:v>
                </c:pt>
              </c:strCache>
            </c:strRef>
          </c:tx>
          <c:spPr>
            <a:ln w="28575" cap="rnd">
              <a:solidFill>
                <a:srgbClr val="9C533A"/>
              </a:solidFill>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$2019-2020'!$C$9:$I$9</c:f>
              <c:numCache>
                <c:formatCode>_-* #,##0_-;\-* #,##0_-;_-* "-"??_-;_-@_-</c:formatCode>
                <c:ptCount val="7"/>
                <c:pt idx="0">
                  <c:v>180612583.41137335</c:v>
                </c:pt>
                <c:pt idx="1">
                  <c:v>200854491.55280161</c:v>
                </c:pt>
                <c:pt idx="2">
                  <c:v>203299670.30156282</c:v>
                </c:pt>
                <c:pt idx="3">
                  <c:v>204146197.4345232</c:v>
                </c:pt>
                <c:pt idx="4">
                  <c:v>218154445.43292877</c:v>
                </c:pt>
                <c:pt idx="5">
                  <c:v>222169217.51999998</c:v>
                </c:pt>
                <c:pt idx="6">
                  <c:v>222268868.02768776</c:v>
                </c:pt>
              </c:numCache>
            </c:numRef>
          </c:val>
          <c:smooth val="0"/>
          <c:extLst>
            <c:ext xmlns:c16="http://schemas.microsoft.com/office/drawing/2014/chart" uri="{C3380CC4-5D6E-409C-BE32-E72D297353CC}">
              <c16:uniqueId val="{00000001-4F4E-4039-9D78-9C232D7BFD61}"/>
            </c:ext>
          </c:extLst>
        </c:ser>
        <c:ser>
          <c:idx val="2"/>
          <c:order val="2"/>
          <c:tx>
            <c:strRef>
              <c:f>'[IAHP constant prices analysis.xlsx]DOH data - constant $2019-2020'!$B$10</c:f>
              <c:strCache>
                <c:ptCount val="1"/>
                <c:pt idx="0">
                  <c:v>Qld</c:v>
                </c:pt>
              </c:strCache>
            </c:strRef>
          </c:tx>
          <c:spPr>
            <a:ln w="28575" cap="rnd">
              <a:solidFill>
                <a:srgbClr val="9C533A"/>
              </a:solidFill>
              <a:prstDash val="sysDot"/>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$2019-2020'!$C$10:$I$10</c:f>
              <c:numCache>
                <c:formatCode>_-* #,##0_-;\-* #,##0_-;_-* "-"??_-;_-@_-</c:formatCode>
                <c:ptCount val="7"/>
                <c:pt idx="0">
                  <c:v>119307668.87849788</c:v>
                </c:pt>
                <c:pt idx="1">
                  <c:v>151801089.53731519</c:v>
                </c:pt>
                <c:pt idx="2">
                  <c:v>166383215.25969023</c:v>
                </c:pt>
                <c:pt idx="3">
                  <c:v>170707588.31797308</c:v>
                </c:pt>
                <c:pt idx="4">
                  <c:v>165539370.1526064</c:v>
                </c:pt>
                <c:pt idx="5">
                  <c:v>167533678.25999999</c:v>
                </c:pt>
                <c:pt idx="6">
                  <c:v>170721456.11326236</c:v>
                </c:pt>
              </c:numCache>
            </c:numRef>
          </c:val>
          <c:smooth val="0"/>
          <c:extLst>
            <c:ext xmlns:c16="http://schemas.microsoft.com/office/drawing/2014/chart" uri="{C3380CC4-5D6E-409C-BE32-E72D297353CC}">
              <c16:uniqueId val="{00000002-4F4E-4039-9D78-9C232D7BFD61}"/>
            </c:ext>
          </c:extLst>
        </c:ser>
        <c:ser>
          <c:idx val="3"/>
          <c:order val="3"/>
          <c:tx>
            <c:strRef>
              <c:f>'[IAHP constant prices analysis.xlsx]DOH data - constant $2019-2020'!$B$11</c:f>
              <c:strCache>
                <c:ptCount val="1"/>
                <c:pt idx="0">
                  <c:v>SA</c:v>
                </c:pt>
              </c:strCache>
            </c:strRef>
          </c:tx>
          <c:spPr>
            <a:ln w="28575" cap="rnd">
              <a:solidFill>
                <a:srgbClr val="3B7DBD"/>
              </a:solidFill>
              <a:prstDash val="sysDot"/>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$2019-2020'!$C$11:$I$11</c:f>
              <c:numCache>
                <c:formatCode>_-* #,##0_-;\-* #,##0_-;_-* "-"??_-;_-@_-</c:formatCode>
                <c:ptCount val="7"/>
                <c:pt idx="0">
                  <c:v>33429346.704811167</c:v>
                </c:pt>
                <c:pt idx="1">
                  <c:v>48342805.452801548</c:v>
                </c:pt>
                <c:pt idx="2">
                  <c:v>48578286.642782174</c:v>
                </c:pt>
                <c:pt idx="3">
                  <c:v>48384938.32793694</c:v>
                </c:pt>
                <c:pt idx="4">
                  <c:v>51217054.432689257</c:v>
                </c:pt>
                <c:pt idx="5">
                  <c:v>54858345.620000012</c:v>
                </c:pt>
                <c:pt idx="6">
                  <c:v>56445024.624591358</c:v>
                </c:pt>
              </c:numCache>
            </c:numRef>
          </c:val>
          <c:smooth val="0"/>
          <c:extLst>
            <c:ext xmlns:c16="http://schemas.microsoft.com/office/drawing/2014/chart" uri="{C3380CC4-5D6E-409C-BE32-E72D297353CC}">
              <c16:uniqueId val="{00000003-4F4E-4039-9D78-9C232D7BFD61}"/>
            </c:ext>
          </c:extLst>
        </c:ser>
        <c:ser>
          <c:idx val="4"/>
          <c:order val="4"/>
          <c:tx>
            <c:strRef>
              <c:f>'[IAHP constant prices analysis.xlsx]DOH data - constant $2019-2020'!$B$12</c:f>
              <c:strCache>
                <c:ptCount val="1"/>
                <c:pt idx="0">
                  <c:v>Tas</c:v>
                </c:pt>
              </c:strCache>
            </c:strRef>
          </c:tx>
          <c:spPr>
            <a:ln w="28575" cap="rnd">
              <a:solidFill>
                <a:srgbClr val="959556"/>
              </a:solidFill>
              <a:prstDash val="sysDot"/>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$2019-2020'!$C$12:$I$12</c:f>
              <c:numCache>
                <c:formatCode>_-* #,##0_-;\-* #,##0_-;_-* "-"??_-;_-@_-</c:formatCode>
                <c:ptCount val="7"/>
                <c:pt idx="0">
                  <c:v>9653445.275731761</c:v>
                </c:pt>
                <c:pt idx="1">
                  <c:v>13419984.791517511</c:v>
                </c:pt>
                <c:pt idx="2">
                  <c:v>15086882.962503947</c:v>
                </c:pt>
                <c:pt idx="3">
                  <c:v>14516771.348168695</c:v>
                </c:pt>
                <c:pt idx="4">
                  <c:v>14357205.183112916</c:v>
                </c:pt>
                <c:pt idx="5">
                  <c:v>14306033.520000001</c:v>
                </c:pt>
                <c:pt idx="6">
                  <c:v>14192553.80321691</c:v>
                </c:pt>
              </c:numCache>
            </c:numRef>
          </c:val>
          <c:smooth val="0"/>
          <c:extLst>
            <c:ext xmlns:c16="http://schemas.microsoft.com/office/drawing/2014/chart" uri="{C3380CC4-5D6E-409C-BE32-E72D297353CC}">
              <c16:uniqueId val="{00000004-4F4E-4039-9D78-9C232D7BFD61}"/>
            </c:ext>
          </c:extLst>
        </c:ser>
        <c:ser>
          <c:idx val="5"/>
          <c:order val="5"/>
          <c:tx>
            <c:strRef>
              <c:f>'[IAHP constant prices analysis.xlsx]DOH data - constant $2019-2020'!$B$13</c:f>
              <c:strCache>
                <c:ptCount val="1"/>
                <c:pt idx="0">
                  <c:v>Vic</c:v>
                </c:pt>
              </c:strCache>
            </c:strRef>
          </c:tx>
          <c:spPr>
            <a:ln w="28575" cap="rnd">
              <a:solidFill>
                <a:srgbClr val="3B7DBD"/>
              </a:solidFill>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$2019-2020'!$C$13:$I$13</c:f>
              <c:numCache>
                <c:formatCode>_-* #,##0_-;\-* #,##0_-;_-* "-"??_-;_-@_-</c:formatCode>
                <c:ptCount val="7"/>
                <c:pt idx="0">
                  <c:v>40387232.672961377</c:v>
                </c:pt>
                <c:pt idx="1">
                  <c:v>56365229.56774319</c:v>
                </c:pt>
                <c:pt idx="2">
                  <c:v>56788363.582456596</c:v>
                </c:pt>
                <c:pt idx="3">
                  <c:v>60017542.907444902</c:v>
                </c:pt>
                <c:pt idx="4">
                  <c:v>57057720.349250324</c:v>
                </c:pt>
                <c:pt idx="5">
                  <c:v>53932870.610000014</c:v>
                </c:pt>
                <c:pt idx="6">
                  <c:v>54876573.066763893</c:v>
                </c:pt>
              </c:numCache>
            </c:numRef>
          </c:val>
          <c:smooth val="0"/>
          <c:extLst>
            <c:ext xmlns:c16="http://schemas.microsoft.com/office/drawing/2014/chart" uri="{C3380CC4-5D6E-409C-BE32-E72D297353CC}">
              <c16:uniqueId val="{00000005-4F4E-4039-9D78-9C232D7BFD61}"/>
            </c:ext>
          </c:extLst>
        </c:ser>
        <c:ser>
          <c:idx val="6"/>
          <c:order val="6"/>
          <c:tx>
            <c:strRef>
              <c:f>'[IAHP constant prices analysis.xlsx]DOH data - constant $2019-2020'!$B$14</c:f>
              <c:strCache>
                <c:ptCount val="1"/>
                <c:pt idx="0">
                  <c:v>WA</c:v>
                </c:pt>
              </c:strCache>
            </c:strRef>
          </c:tx>
          <c:spPr>
            <a:ln w="28575" cap="rnd">
              <a:solidFill>
                <a:srgbClr val="959556"/>
              </a:solidFill>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strRef>
          </c:cat>
          <c:val>
            <c:numRef>
              <c:f>'[IAHP constant prices analysis.xlsx]DOH data - constant $2019-2020'!$C$14:$I$14</c:f>
              <c:numCache>
                <c:formatCode>_-* #,##0_-;\-* #,##0_-;_-* "-"??_-;_-@_-</c:formatCode>
                <c:ptCount val="7"/>
                <c:pt idx="0">
                  <c:v>91631331.568173811</c:v>
                </c:pt>
                <c:pt idx="1">
                  <c:v>110991005.20322958</c:v>
                </c:pt>
                <c:pt idx="2">
                  <c:v>119067455.43128453</c:v>
                </c:pt>
                <c:pt idx="3">
                  <c:v>112649621.96530016</c:v>
                </c:pt>
                <c:pt idx="4">
                  <c:v>119128969.71231353</c:v>
                </c:pt>
                <c:pt idx="5">
                  <c:v>121622669.94999997</c:v>
                </c:pt>
                <c:pt idx="6">
                  <c:v>124359616.86740483</c:v>
                </c:pt>
              </c:numCache>
            </c:numRef>
          </c:val>
          <c:smooth val="0"/>
          <c:extLst>
            <c:ext xmlns:c16="http://schemas.microsoft.com/office/drawing/2014/chart" uri="{C3380CC4-5D6E-409C-BE32-E72D297353CC}">
              <c16:uniqueId val="{00000006-4F4E-4039-9D78-9C232D7BFD61}"/>
            </c:ext>
          </c:extLst>
        </c:ser>
        <c:ser>
          <c:idx val="7"/>
          <c:order val="7"/>
          <c:tx>
            <c:strRef>
              <c:f>'[IAHP constant prices analysis.xlsx]DOH data - constant $2019-2020'!$B$15</c:f>
              <c:strCache>
                <c:ptCount val="1"/>
                <c:pt idx="0">
                  <c:v>Australia</c:v>
                </c:pt>
              </c:strCache>
              <c:extLst xmlns:c15="http://schemas.microsoft.com/office/drawing/2012/chart"/>
            </c:strRef>
          </c:tx>
          <c:spPr>
            <a:ln w="28575" cap="rnd">
              <a:solidFill>
                <a:schemeClr val="tx1"/>
              </a:solidFill>
              <a:round/>
            </a:ln>
            <a:effectLst/>
          </c:spPr>
          <c:marker>
            <c:symbol val="none"/>
          </c:marker>
          <c:cat>
            <c:strRef>
              <c:f>'[IAHP constant prices analysis.xlsx]DOH data - constant $2019-2020'!$C$7:$I$7</c:f>
              <c:strCache>
                <c:ptCount val="7"/>
                <c:pt idx="0">
                  <c:v>2014-15</c:v>
                </c:pt>
                <c:pt idx="1">
                  <c:v>2015-16</c:v>
                </c:pt>
                <c:pt idx="2">
                  <c:v>2016-17</c:v>
                </c:pt>
                <c:pt idx="3">
                  <c:v>2017-18</c:v>
                </c:pt>
                <c:pt idx="4">
                  <c:v>2018-19</c:v>
                </c:pt>
                <c:pt idx="5">
                  <c:v>2019-20</c:v>
                </c:pt>
                <c:pt idx="6">
                  <c:v>2020-21</c:v>
                </c:pt>
              </c:strCache>
              <c:extLst xmlns:c15="http://schemas.microsoft.com/office/drawing/2012/chart"/>
            </c:strRef>
          </c:cat>
          <c:val>
            <c:numRef>
              <c:f>'[IAHP constant prices analysis.xlsx]DOH data - constant $2019-2020'!$C$15:$I$15</c:f>
              <c:numCache>
                <c:formatCode>_-* #,##0_-;\-* #,##0_-;_-* "-"??_-;_-@_-</c:formatCode>
                <c:ptCount val="7"/>
                <c:pt idx="0">
                  <c:v>604083810.78440547</c:v>
                </c:pt>
                <c:pt idx="1">
                  <c:v>737586138.79750991</c:v>
                </c:pt>
                <c:pt idx="2">
                  <c:v>780622497.43381619</c:v>
                </c:pt>
                <c:pt idx="3">
                  <c:v>798143033.57291424</c:v>
                </c:pt>
                <c:pt idx="4">
                  <c:v>836334009.28237641</c:v>
                </c:pt>
                <c:pt idx="5">
                  <c:v>857968555.25999987</c:v>
                </c:pt>
                <c:pt idx="6">
                  <c:v>868138477.86705744</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7-4F4E-4039-9D78-9C232D7BFD61}"/>
            </c:ext>
          </c:extLst>
        </c:ser>
        <c:dLbls>
          <c:showLegendKey val="0"/>
          <c:showVal val="0"/>
          <c:showCatName val="0"/>
          <c:showSerName val="0"/>
          <c:showPercent val="0"/>
          <c:showBubbleSize val="0"/>
        </c:dLbls>
        <c:smooth val="0"/>
        <c:axId val="1456974592"/>
        <c:axId val="1456964192"/>
        <c:extLst/>
      </c:lineChart>
      <c:catAx>
        <c:axId val="1456974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6964192"/>
        <c:crosses val="autoZero"/>
        <c:auto val="1"/>
        <c:lblAlgn val="ctr"/>
        <c:lblOffset val="100"/>
        <c:noMultiLvlLbl val="0"/>
      </c:catAx>
      <c:valAx>
        <c:axId val="145696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900"/>
                  <a:t>$ (constant 2019-20)</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69745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2"/>
          <c:tx>
            <c:strRef>
              <c:f>'[IAHP constant prices analysis.xlsx]Funding ($19-20) by client '!$B$11</c:f>
              <c:strCache>
                <c:ptCount val="1"/>
                <c:pt idx="0">
                  <c:v>NSW &amp; ACT</c:v>
                </c:pt>
              </c:strCache>
            </c:strRef>
          </c:tx>
          <c:spPr>
            <a:ln w="28575" cap="rnd">
              <a:solidFill>
                <a:srgbClr val="4CB3C2"/>
              </a:solidFill>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'!$C$11:$H$11</c:f>
              <c:numCache>
                <c:formatCode>"$"#,##0</c:formatCode>
                <c:ptCount val="6"/>
                <c:pt idx="0">
                  <c:v>1267.6272641567582</c:v>
                </c:pt>
                <c:pt idx="1">
                  <c:v>1485.8155426172566</c:v>
                </c:pt>
                <c:pt idx="2">
                  <c:v>1618.5463299014814</c:v>
                </c:pt>
                <c:pt idx="3">
                  <c:v>1617.4424717522597</c:v>
                </c:pt>
                <c:pt idx="4">
                  <c:v>1957.5883184756885</c:v>
                </c:pt>
                <c:pt idx="5">
                  <c:v>2082.4203279024491</c:v>
                </c:pt>
              </c:numCache>
            </c:numRef>
          </c:val>
          <c:smooth val="0"/>
          <c:extLst>
            <c:ext xmlns:c16="http://schemas.microsoft.com/office/drawing/2014/chart" uri="{C3380CC4-5D6E-409C-BE32-E72D297353CC}">
              <c16:uniqueId val="{00000000-CB41-4919-A858-17C7B0232FD3}"/>
            </c:ext>
          </c:extLst>
        </c:ser>
        <c:ser>
          <c:idx val="6"/>
          <c:order val="6"/>
          <c:tx>
            <c:strRef>
              <c:f>'[IAHP constant prices analysis.xlsx]Funding ($19-20) by client '!$B$15</c:f>
              <c:strCache>
                <c:ptCount val="1"/>
                <c:pt idx="0">
                  <c:v>NT</c:v>
                </c:pt>
              </c:strCache>
            </c:strRef>
          </c:tx>
          <c:spPr>
            <a:ln w="28575" cap="rnd">
              <a:solidFill>
                <a:srgbClr val="9C533A"/>
              </a:solidFill>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'!$C$15:$H$15</c:f>
              <c:numCache>
                <c:formatCode>"$"#,##0</c:formatCode>
                <c:ptCount val="6"/>
                <c:pt idx="0">
                  <c:v>2177.8132156243396</c:v>
                </c:pt>
                <c:pt idx="1">
                  <c:v>2196.3312362252773</c:v>
                </c:pt>
                <c:pt idx="2">
                  <c:v>2194.7260668843346</c:v>
                </c:pt>
                <c:pt idx="3">
                  <c:v>2124.0448376323789</c:v>
                </c:pt>
                <c:pt idx="4">
                  <c:v>2095.1609676337484</c:v>
                </c:pt>
                <c:pt idx="5">
                  <c:v>2210.3090834203849</c:v>
                </c:pt>
              </c:numCache>
            </c:numRef>
          </c:val>
          <c:smooth val="0"/>
          <c:extLst>
            <c:ext xmlns:c16="http://schemas.microsoft.com/office/drawing/2014/chart" uri="{C3380CC4-5D6E-409C-BE32-E72D297353CC}">
              <c16:uniqueId val="{00000001-CB41-4919-A858-17C7B0232FD3}"/>
            </c:ext>
          </c:extLst>
        </c:ser>
        <c:ser>
          <c:idx val="10"/>
          <c:order val="10"/>
          <c:tx>
            <c:strRef>
              <c:f>'[IAHP constant prices analysis.xlsx]Funding ($19-20) by client '!$B$19</c:f>
              <c:strCache>
                <c:ptCount val="1"/>
                <c:pt idx="0">
                  <c:v>Qld</c:v>
                </c:pt>
              </c:strCache>
            </c:strRef>
          </c:tx>
          <c:spPr>
            <a:ln w="28575" cap="rnd">
              <a:solidFill>
                <a:srgbClr val="9C533A"/>
              </a:solidFill>
              <a:prstDash val="sysDot"/>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'!$C$19:$H$19</c:f>
              <c:numCache>
                <c:formatCode>"$"#,##0</c:formatCode>
                <c:ptCount val="6"/>
                <c:pt idx="0">
                  <c:v>1070.7729970607052</c:v>
                </c:pt>
                <c:pt idx="1">
                  <c:v>1128.6158535732941</c:v>
                </c:pt>
                <c:pt idx="2">
                  <c:v>1400.9094643312192</c:v>
                </c:pt>
                <c:pt idx="3">
                  <c:v>1213.1183524351759</c:v>
                </c:pt>
                <c:pt idx="4">
                  <c:v>1507.1915558402884</c:v>
                </c:pt>
                <c:pt idx="5">
                  <c:v>1335.7705508646877</c:v>
                </c:pt>
              </c:numCache>
            </c:numRef>
          </c:val>
          <c:smooth val="0"/>
          <c:extLst>
            <c:ext xmlns:c16="http://schemas.microsoft.com/office/drawing/2014/chart" uri="{C3380CC4-5D6E-409C-BE32-E72D297353CC}">
              <c16:uniqueId val="{00000002-CB41-4919-A858-17C7B0232FD3}"/>
            </c:ext>
          </c:extLst>
        </c:ser>
        <c:ser>
          <c:idx val="14"/>
          <c:order val="14"/>
          <c:tx>
            <c:strRef>
              <c:f>'[IAHP constant prices analysis.xlsx]Funding ($19-20) by client '!$B$23</c:f>
              <c:strCache>
                <c:ptCount val="1"/>
                <c:pt idx="0">
                  <c:v>SA</c:v>
                </c:pt>
              </c:strCache>
            </c:strRef>
          </c:tx>
          <c:spPr>
            <a:ln w="28575" cap="rnd">
              <a:solidFill>
                <a:srgbClr val="3B7DBD"/>
              </a:solidFill>
              <a:prstDash val="sysDot"/>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'!$C$23:$H$23</c:f>
              <c:numCache>
                <c:formatCode>"$"#,##0</c:formatCode>
                <c:ptCount val="6"/>
                <c:pt idx="0">
                  <c:v>1665.803602990391</c:v>
                </c:pt>
                <c:pt idx="1">
                  <c:v>2622.1959998265106</c:v>
                </c:pt>
                <c:pt idx="2">
                  <c:v>2583.813980255421</c:v>
                </c:pt>
                <c:pt idx="3">
                  <c:v>2250.3575800166009</c:v>
                </c:pt>
                <c:pt idx="4">
                  <c:v>2346.4999511013543</c:v>
                </c:pt>
                <c:pt idx="5">
                  <c:v>2377.9083493714788</c:v>
                </c:pt>
              </c:numCache>
            </c:numRef>
          </c:val>
          <c:smooth val="0"/>
          <c:extLst>
            <c:ext xmlns:c16="http://schemas.microsoft.com/office/drawing/2014/chart" uri="{C3380CC4-5D6E-409C-BE32-E72D297353CC}">
              <c16:uniqueId val="{00000003-CB41-4919-A858-17C7B0232FD3}"/>
            </c:ext>
          </c:extLst>
        </c:ser>
        <c:ser>
          <c:idx val="18"/>
          <c:order val="18"/>
          <c:tx>
            <c:strRef>
              <c:f>'[IAHP constant prices analysis.xlsx]Funding ($19-20) by client '!$B$27</c:f>
              <c:strCache>
                <c:ptCount val="1"/>
                <c:pt idx="0">
                  <c:v>Vic / Tas</c:v>
                </c:pt>
              </c:strCache>
            </c:strRef>
          </c:tx>
          <c:spPr>
            <a:ln w="28575" cap="rnd">
              <a:solidFill>
                <a:srgbClr val="3B7DBD"/>
              </a:solidFill>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'!$C$27:$H$27</c:f>
              <c:numCache>
                <c:formatCode>"$"#,##0</c:formatCode>
                <c:ptCount val="6"/>
                <c:pt idx="0">
                  <c:v>1338.5944934513855</c:v>
                </c:pt>
                <c:pt idx="1">
                  <c:v>2037.167630758428</c:v>
                </c:pt>
                <c:pt idx="2">
                  <c:v>2010.7213826710833</c:v>
                </c:pt>
                <c:pt idx="3">
                  <c:v>2014.0054651862731</c:v>
                </c:pt>
                <c:pt idx="4">
                  <c:v>1863.6462821597922</c:v>
                </c:pt>
                <c:pt idx="5">
                  <c:v>1910.2232211740338</c:v>
                </c:pt>
              </c:numCache>
            </c:numRef>
          </c:val>
          <c:smooth val="0"/>
          <c:extLst>
            <c:ext xmlns:c16="http://schemas.microsoft.com/office/drawing/2014/chart" uri="{C3380CC4-5D6E-409C-BE32-E72D297353CC}">
              <c16:uniqueId val="{00000004-CB41-4919-A858-17C7B0232FD3}"/>
            </c:ext>
          </c:extLst>
        </c:ser>
        <c:ser>
          <c:idx val="22"/>
          <c:order val="22"/>
          <c:tx>
            <c:strRef>
              <c:f>'[IAHP constant prices analysis.xlsx]Funding ($19-20) by client '!$B$31</c:f>
              <c:strCache>
                <c:ptCount val="1"/>
                <c:pt idx="0">
                  <c:v>WA</c:v>
                </c:pt>
              </c:strCache>
            </c:strRef>
          </c:tx>
          <c:spPr>
            <a:ln w="28575" cap="rnd">
              <a:solidFill>
                <a:srgbClr val="959556"/>
              </a:solidFill>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'!$C$31:$H$31</c:f>
              <c:numCache>
                <c:formatCode>"$"#,##0</c:formatCode>
                <c:ptCount val="6"/>
                <c:pt idx="0">
                  <c:v>1131.390684876822</c:v>
                </c:pt>
                <c:pt idx="1">
                  <c:v>1423.4543393640051</c:v>
                </c:pt>
                <c:pt idx="2">
                  <c:v>1634.0605416968756</c:v>
                </c:pt>
                <c:pt idx="3">
                  <c:v>1571.6943656737471</c:v>
                </c:pt>
                <c:pt idx="4">
                  <c:v>1565.241557664843</c:v>
                </c:pt>
                <c:pt idx="5">
                  <c:v>1591.4614894925542</c:v>
                </c:pt>
              </c:numCache>
            </c:numRef>
          </c:val>
          <c:smooth val="0"/>
          <c:extLst>
            <c:ext xmlns:c16="http://schemas.microsoft.com/office/drawing/2014/chart" uri="{C3380CC4-5D6E-409C-BE32-E72D297353CC}">
              <c16:uniqueId val="{00000005-CB41-4919-A858-17C7B0232FD3}"/>
            </c:ext>
          </c:extLst>
        </c:ser>
        <c:ser>
          <c:idx val="26"/>
          <c:order val="26"/>
          <c:tx>
            <c:strRef>
              <c:f>'[IAHP constant prices analysis.xlsx]Funding ($19-20) by client '!$B$35</c:f>
              <c:strCache>
                <c:ptCount val="1"/>
                <c:pt idx="0">
                  <c:v>Australia</c:v>
                </c:pt>
              </c:strCache>
            </c:strRef>
          </c:tx>
          <c:spPr>
            <a:ln w="28575" cap="rnd">
              <a:solidFill>
                <a:schemeClr val="tx1"/>
              </a:solidFill>
              <a:round/>
            </a:ln>
            <a:effectLst/>
          </c:spPr>
          <c:marker>
            <c:symbol val="none"/>
          </c:marker>
          <c:cat>
            <c:strRef>
              <c:f>'[IAHP constant prices analysis.xlsx]Funding ($19-20) by client '!$C$8:$H$8</c:f>
              <c:strCache>
                <c:ptCount val="6"/>
                <c:pt idx="0">
                  <c:v>2014-15</c:v>
                </c:pt>
                <c:pt idx="1">
                  <c:v>2015-16</c:v>
                </c:pt>
                <c:pt idx="2">
                  <c:v>2016-17</c:v>
                </c:pt>
                <c:pt idx="3">
                  <c:v>2017-18</c:v>
                </c:pt>
                <c:pt idx="4">
                  <c:v>2018-19</c:v>
                </c:pt>
                <c:pt idx="5">
                  <c:v>2019-20</c:v>
                </c:pt>
              </c:strCache>
            </c:strRef>
          </c:cat>
          <c:val>
            <c:numRef>
              <c:f>'[IAHP constant prices analysis.xlsx]Funding ($19-20) by client '!$C$35:$H$35</c:f>
              <c:numCache>
                <c:formatCode>"$"#,##0</c:formatCode>
                <c:ptCount val="6"/>
                <c:pt idx="0">
                  <c:v>1389.9445727995339</c:v>
                </c:pt>
                <c:pt idx="1">
                  <c:v>1598.2953625540051</c:v>
                </c:pt>
                <c:pt idx="2">
                  <c:v>1755.3083785875103</c:v>
                </c:pt>
                <c:pt idx="3">
                  <c:v>1652.2203343447352</c:v>
                </c:pt>
                <c:pt idx="4">
                  <c:v>1678.6911624556437</c:v>
                </c:pt>
                <c:pt idx="5">
                  <c:v>1831.3096163500531</c:v>
                </c:pt>
              </c:numCache>
            </c:numRef>
          </c:val>
          <c:smooth val="0"/>
          <c:extLst>
            <c:ext xmlns:c16="http://schemas.microsoft.com/office/drawing/2014/chart" uri="{C3380CC4-5D6E-409C-BE32-E72D297353CC}">
              <c16:uniqueId val="{00000006-CB41-4919-A858-17C7B0232FD3}"/>
            </c:ext>
          </c:extLst>
        </c:ser>
        <c:dLbls>
          <c:showLegendKey val="0"/>
          <c:showVal val="0"/>
          <c:showCatName val="0"/>
          <c:showSerName val="0"/>
          <c:showPercent val="0"/>
          <c:showBubbleSize val="0"/>
        </c:dLbls>
        <c:smooth val="0"/>
        <c:axId val="534106768"/>
        <c:axId val="534091376"/>
        <c:extLst>
          <c:ext xmlns:c15="http://schemas.microsoft.com/office/drawing/2012/chart" uri="{02D57815-91ED-43cb-92C2-25804820EDAC}">
            <c15:filteredLineSeries>
              <c15:ser>
                <c:idx val="0"/>
                <c:order val="0"/>
                <c:tx>
                  <c:strRef>
                    <c:extLst>
                      <c:ext uri="{02D57815-91ED-43cb-92C2-25804820EDAC}">
                        <c15:formulaRef>
                          <c15:sqref>'[IAHP constant prices analysis.xlsx]Funding ($19-20) by client '!$B$9</c15:sqref>
                        </c15:formulaRef>
                      </c:ext>
                    </c:extLst>
                    <c:strCache>
                      <c:ptCount val="1"/>
                      <c:pt idx="0">
                        <c:v>NSW &amp; ACT</c:v>
                      </c:pt>
                    </c:strCache>
                  </c:strRef>
                </c:tx>
                <c:spPr>
                  <a:ln w="28575" cap="rnd">
                    <a:solidFill>
                      <a:schemeClr val="accent1"/>
                    </a:solidFill>
                    <a:round/>
                  </a:ln>
                  <a:effectLst/>
                </c:spPr>
                <c:marker>
                  <c:symbol val="none"/>
                </c:marker>
                <c:cat>
                  <c:strRef>
                    <c:extLst>
                      <c:ex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c:ext uri="{02D57815-91ED-43cb-92C2-25804820EDAC}">
                        <c15:formulaRef>
                          <c15:sqref>'[IAHP constant prices analysis.xlsx]Funding ($19-20) by client '!$C$9:$H$9</c15:sqref>
                        </c15:formulaRef>
                      </c:ext>
                    </c:extLst>
                    <c:numCache>
                      <c:formatCode>_-* #,##0_-;\-* #,##0_-;_-* "-"??_-;_-@_-</c:formatCode>
                      <c:ptCount val="6"/>
                      <c:pt idx="0">
                        <c:v>129062202.27285619</c:v>
                      </c:pt>
                      <c:pt idx="1">
                        <c:v>155811532.69210124</c:v>
                      </c:pt>
                      <c:pt idx="2">
                        <c:v>171418623.25353599</c:v>
                      </c:pt>
                      <c:pt idx="3">
                        <c:v>187720373.27156726</c:v>
                      </c:pt>
                      <c:pt idx="4">
                        <c:v>210879244.01947507</c:v>
                      </c:pt>
                      <c:pt idx="5">
                        <c:v>223545739.78000003</c:v>
                      </c:pt>
                    </c:numCache>
                  </c:numRef>
                </c:val>
                <c:smooth val="0"/>
                <c:extLst>
                  <c:ext xmlns:c16="http://schemas.microsoft.com/office/drawing/2014/chart" uri="{C3380CC4-5D6E-409C-BE32-E72D297353CC}">
                    <c16:uniqueId val="{00000007-CB41-4919-A858-17C7B0232FD3}"/>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'[IAHP constant prices analysis.xlsx]Funding ($19-20) by client '!$B$10</c15:sqref>
                        </c15:formulaRef>
                      </c:ext>
                    </c:extLst>
                    <c:strCache>
                      <c:ptCount val="1"/>
                      <c:pt idx="0">
                        <c:v>OSR clients</c:v>
                      </c:pt>
                    </c:strCache>
                  </c:strRef>
                </c:tx>
                <c:spPr>
                  <a:ln w="28575" cap="rnd">
                    <a:solidFill>
                      <a:schemeClr val="accent2"/>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'!$C$10:$H$10</c15:sqref>
                        </c15:formulaRef>
                      </c:ext>
                    </c:extLst>
                    <c:numCache>
                      <c:formatCode>_-* #,##0_-;\-* #,##0_-;_-* "-"??_-;_-@_-</c:formatCode>
                      <c:ptCount val="6"/>
                      <c:pt idx="0">
                        <c:v>101814</c:v>
                      </c:pt>
                      <c:pt idx="1">
                        <c:v>104866</c:v>
                      </c:pt>
                      <c:pt idx="2">
                        <c:v>105909</c:v>
                      </c:pt>
                      <c:pt idx="3">
                        <c:v>116060</c:v>
                      </c:pt>
                      <c:pt idx="4">
                        <c:v>107724</c:v>
                      </c:pt>
                      <c:pt idx="5">
                        <c:v>107349</c:v>
                      </c:pt>
                    </c:numCache>
                  </c:numRef>
                </c:val>
                <c:smooth val="0"/>
                <c:extLst xmlns:c15="http://schemas.microsoft.com/office/drawing/2012/chart">
                  <c:ext xmlns:c16="http://schemas.microsoft.com/office/drawing/2014/chart" uri="{C3380CC4-5D6E-409C-BE32-E72D297353CC}">
                    <c16:uniqueId val="{00000008-CB41-4919-A858-17C7B0232FD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'[IAHP constant prices analysis.xlsx]Funding ($19-20) by client '!$B$12</c15:sqref>
                        </c15:formulaRef>
                      </c:ext>
                    </c:extLst>
                    <c:strCache>
                      <c:ptCount val="1"/>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'!$C$12:$H$12</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09-CB41-4919-A858-17C7B0232FD3}"/>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'[IAHP constant prices analysis.xlsx]Funding ($19-20) by client '!$B$13</c15:sqref>
                        </c15:formulaRef>
                      </c:ext>
                    </c:extLst>
                    <c:strCache>
                      <c:ptCount val="1"/>
                      <c:pt idx="0">
                        <c:v>NT</c:v>
                      </c:pt>
                    </c:strCache>
                  </c:strRef>
                </c:tx>
                <c:spPr>
                  <a:ln w="28575" cap="rnd">
                    <a:solidFill>
                      <a:schemeClr val="accent5"/>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'!$C$13:$H$13</c15:sqref>
                        </c15:formulaRef>
                      </c:ext>
                    </c:extLst>
                    <c:numCache>
                      <c:formatCode>_-* #,##0_-;\-* #,##0_-;_-* "-"??_-;_-@_-</c:formatCode>
                      <c:ptCount val="6"/>
                      <c:pt idx="0">
                        <c:v>180612583.41137335</c:v>
                      </c:pt>
                      <c:pt idx="1">
                        <c:v>200854491.55280161</c:v>
                      </c:pt>
                      <c:pt idx="2">
                        <c:v>203299670.30156282</c:v>
                      </c:pt>
                      <c:pt idx="3">
                        <c:v>204146197.4345232</c:v>
                      </c:pt>
                      <c:pt idx="4">
                        <c:v>218154445.43292877</c:v>
                      </c:pt>
                      <c:pt idx="5">
                        <c:v>222169217.51999998</c:v>
                      </c:pt>
                    </c:numCache>
                  </c:numRef>
                </c:val>
                <c:smooth val="0"/>
                <c:extLst xmlns:c15="http://schemas.microsoft.com/office/drawing/2012/chart">
                  <c:ext xmlns:c16="http://schemas.microsoft.com/office/drawing/2014/chart" uri="{C3380CC4-5D6E-409C-BE32-E72D297353CC}">
                    <c16:uniqueId val="{0000000A-CB41-4919-A858-17C7B0232FD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'[IAHP constant prices analysis.xlsx]Funding ($19-20) by client '!$B$14</c15:sqref>
                        </c15:formulaRef>
                      </c:ext>
                    </c:extLst>
                    <c:strCache>
                      <c:ptCount val="1"/>
                      <c:pt idx="0">
                        <c:v>OSR clients</c:v>
                      </c:pt>
                    </c:strCache>
                  </c:strRef>
                </c:tx>
                <c:spPr>
                  <a:ln w="28575" cap="rnd">
                    <a:solidFill>
                      <a:schemeClr val="accent6"/>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'!$C$14:$H$14</c15:sqref>
                        </c15:formulaRef>
                      </c:ext>
                    </c:extLst>
                    <c:numCache>
                      <c:formatCode>_-* #,##0_-;\-* #,##0_-;_-* "-"??_-;_-@_-</c:formatCode>
                      <c:ptCount val="6"/>
                      <c:pt idx="0">
                        <c:v>82933</c:v>
                      </c:pt>
                      <c:pt idx="1">
                        <c:v>91450</c:v>
                      </c:pt>
                      <c:pt idx="2">
                        <c:v>92631</c:v>
                      </c:pt>
                      <c:pt idx="3">
                        <c:v>96112</c:v>
                      </c:pt>
                      <c:pt idx="4">
                        <c:v>104123</c:v>
                      </c:pt>
                      <c:pt idx="5">
                        <c:v>100515</c:v>
                      </c:pt>
                    </c:numCache>
                  </c:numRef>
                </c:val>
                <c:smooth val="0"/>
                <c:extLst xmlns:c15="http://schemas.microsoft.com/office/drawing/2012/chart">
                  <c:ext xmlns:c16="http://schemas.microsoft.com/office/drawing/2014/chart" uri="{C3380CC4-5D6E-409C-BE32-E72D297353CC}">
                    <c16:uniqueId val="{0000000B-CB41-4919-A858-17C7B0232FD3}"/>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'[IAHP constant prices analysis.xlsx]Funding ($19-20) by client '!$B$16</c15:sqref>
                        </c15:formulaRef>
                      </c:ext>
                    </c:extLst>
                    <c:strCache>
                      <c:ptCount val="1"/>
                    </c:strCache>
                  </c:strRef>
                </c:tx>
                <c:spPr>
                  <a:ln w="28575" cap="rnd">
                    <a:solidFill>
                      <a:schemeClr val="accent2">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'!$C$16:$H$16</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0C-CB41-4919-A858-17C7B0232FD3}"/>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'[IAHP constant prices analysis.xlsx]Funding ($19-20) by client '!$B$17</c15:sqref>
                        </c15:formulaRef>
                      </c:ext>
                    </c:extLst>
                    <c:strCache>
                      <c:ptCount val="1"/>
                      <c:pt idx="0">
                        <c:v>QLD</c:v>
                      </c:pt>
                    </c:strCache>
                  </c:strRef>
                </c:tx>
                <c:spPr>
                  <a:ln w="28575" cap="rnd">
                    <a:solidFill>
                      <a:schemeClr val="accent3">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'!$C$17:$H$17</c15:sqref>
                        </c15:formulaRef>
                      </c:ext>
                    </c:extLst>
                    <c:numCache>
                      <c:formatCode>_-* #,##0_-;\-* #,##0_-;_-* "-"??_-;_-@_-</c:formatCode>
                      <c:ptCount val="6"/>
                      <c:pt idx="0">
                        <c:v>119307668.87849788</c:v>
                      </c:pt>
                      <c:pt idx="1">
                        <c:v>151801089.53731519</c:v>
                      </c:pt>
                      <c:pt idx="2">
                        <c:v>166383215.25969023</c:v>
                      </c:pt>
                      <c:pt idx="3">
                        <c:v>170707588.31797308</c:v>
                      </c:pt>
                      <c:pt idx="4">
                        <c:v>165539370.1526064</c:v>
                      </c:pt>
                      <c:pt idx="5">
                        <c:v>167533678.25999999</c:v>
                      </c:pt>
                    </c:numCache>
                  </c:numRef>
                </c:val>
                <c:smooth val="0"/>
                <c:extLst xmlns:c15="http://schemas.microsoft.com/office/drawing/2012/chart">
                  <c:ext xmlns:c16="http://schemas.microsoft.com/office/drawing/2014/chart" uri="{C3380CC4-5D6E-409C-BE32-E72D297353CC}">
                    <c16:uniqueId val="{0000000D-CB41-4919-A858-17C7B0232FD3}"/>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'[IAHP constant prices analysis.xlsx]Funding ($19-20) by client '!$B$18</c15:sqref>
                        </c15:formulaRef>
                      </c:ext>
                    </c:extLst>
                    <c:strCache>
                      <c:ptCount val="1"/>
                      <c:pt idx="0">
                        <c:v>OSR clients</c:v>
                      </c:pt>
                    </c:strCache>
                  </c:strRef>
                </c:tx>
                <c:spPr>
                  <a:ln w="28575" cap="rnd">
                    <a:solidFill>
                      <a:schemeClr val="accent4">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'!$C$18:$H$18</c15:sqref>
                        </c15:formulaRef>
                      </c:ext>
                    </c:extLst>
                    <c:numCache>
                      <c:formatCode>_-* #,##0_-;\-* #,##0_-;_-* "-"??_-;_-@_-</c:formatCode>
                      <c:ptCount val="6"/>
                      <c:pt idx="0">
                        <c:v>111422</c:v>
                      </c:pt>
                      <c:pt idx="1">
                        <c:v>134502</c:v>
                      </c:pt>
                      <c:pt idx="2">
                        <c:v>118768</c:v>
                      </c:pt>
                      <c:pt idx="3">
                        <c:v>140718</c:v>
                      </c:pt>
                      <c:pt idx="4">
                        <c:v>109833</c:v>
                      </c:pt>
                      <c:pt idx="5">
                        <c:v>125421</c:v>
                      </c:pt>
                    </c:numCache>
                  </c:numRef>
                </c:val>
                <c:smooth val="0"/>
                <c:extLst xmlns:c15="http://schemas.microsoft.com/office/drawing/2012/chart">
                  <c:ext xmlns:c16="http://schemas.microsoft.com/office/drawing/2014/chart" uri="{C3380CC4-5D6E-409C-BE32-E72D297353CC}">
                    <c16:uniqueId val="{0000000E-CB41-4919-A858-17C7B0232FD3}"/>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'[IAHP constant prices analysis.xlsx]Funding ($19-20) by client '!$B$20</c15:sqref>
                        </c15:formulaRef>
                      </c:ext>
                    </c:extLst>
                    <c:strCache>
                      <c:ptCount val="1"/>
                    </c:strCache>
                  </c:strRef>
                </c:tx>
                <c:spPr>
                  <a:ln w="28575" cap="rnd">
                    <a:solidFill>
                      <a:schemeClr val="accent6">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'!$C$20:$H$20</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0F-CB41-4919-A858-17C7B0232FD3}"/>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'[IAHP constant prices analysis.xlsx]Funding ($19-20) by client '!$B$21</c15:sqref>
                        </c15:formulaRef>
                      </c:ext>
                    </c:extLst>
                    <c:strCache>
                      <c:ptCount val="1"/>
                      <c:pt idx="0">
                        <c:v>SA</c:v>
                      </c:pt>
                    </c:strCache>
                  </c:strRef>
                </c:tx>
                <c:spPr>
                  <a:ln w="28575" cap="rnd">
                    <a:solidFill>
                      <a:schemeClr val="accent1">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'!$C$21:$H$21</c15:sqref>
                        </c15:formulaRef>
                      </c:ext>
                    </c:extLst>
                    <c:numCache>
                      <c:formatCode>_-* #,##0_-;\-* #,##0_-;_-* "-"??_-;_-@_-</c:formatCode>
                      <c:ptCount val="6"/>
                      <c:pt idx="0">
                        <c:v>33429346.704811167</c:v>
                      </c:pt>
                      <c:pt idx="1">
                        <c:v>48342805.452801548</c:v>
                      </c:pt>
                      <c:pt idx="2">
                        <c:v>48578286.642782174</c:v>
                      </c:pt>
                      <c:pt idx="3">
                        <c:v>48384938.32793694</c:v>
                      </c:pt>
                      <c:pt idx="4">
                        <c:v>51217054.432689257</c:v>
                      </c:pt>
                      <c:pt idx="5">
                        <c:v>54858345.620000012</c:v>
                      </c:pt>
                    </c:numCache>
                  </c:numRef>
                </c:val>
                <c:smooth val="0"/>
                <c:extLst xmlns:c15="http://schemas.microsoft.com/office/drawing/2012/chart">
                  <c:ext xmlns:c16="http://schemas.microsoft.com/office/drawing/2014/chart" uri="{C3380CC4-5D6E-409C-BE32-E72D297353CC}">
                    <c16:uniqueId val="{00000010-CB41-4919-A858-17C7B0232FD3}"/>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'[IAHP constant prices analysis.xlsx]Funding ($19-20) by client '!$B$22</c15:sqref>
                        </c15:formulaRef>
                      </c:ext>
                    </c:extLst>
                    <c:strCache>
                      <c:ptCount val="1"/>
                      <c:pt idx="0">
                        <c:v>OSR clients</c:v>
                      </c:pt>
                    </c:strCache>
                  </c:strRef>
                </c:tx>
                <c:spPr>
                  <a:ln w="28575" cap="rnd">
                    <a:solidFill>
                      <a:schemeClr val="accent2">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'!$C$22:$H$22</c15:sqref>
                        </c15:formulaRef>
                      </c:ext>
                    </c:extLst>
                    <c:numCache>
                      <c:formatCode>_-* #,##0_-;\-* #,##0_-;_-* "-"??_-;_-@_-</c:formatCode>
                      <c:ptCount val="6"/>
                      <c:pt idx="0">
                        <c:v>20068</c:v>
                      </c:pt>
                      <c:pt idx="1">
                        <c:v>18436</c:v>
                      </c:pt>
                      <c:pt idx="2">
                        <c:v>18801</c:v>
                      </c:pt>
                      <c:pt idx="3">
                        <c:v>21501</c:v>
                      </c:pt>
                      <c:pt idx="4">
                        <c:v>21827</c:v>
                      </c:pt>
                      <c:pt idx="5">
                        <c:v>23070</c:v>
                      </c:pt>
                    </c:numCache>
                  </c:numRef>
                </c:val>
                <c:smooth val="0"/>
                <c:extLst xmlns:c15="http://schemas.microsoft.com/office/drawing/2012/chart">
                  <c:ext xmlns:c16="http://schemas.microsoft.com/office/drawing/2014/chart" uri="{C3380CC4-5D6E-409C-BE32-E72D297353CC}">
                    <c16:uniqueId val="{00000011-CB41-4919-A858-17C7B0232FD3}"/>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'[IAHP constant prices analysis.xlsx]Funding ($19-20) by client '!$B$24</c15:sqref>
                        </c15:formulaRef>
                      </c:ext>
                    </c:extLst>
                    <c:strCache>
                      <c:ptCount val="1"/>
                    </c:strCache>
                  </c:strRef>
                </c:tx>
                <c:spPr>
                  <a:ln w="28575" cap="rnd">
                    <a:solidFill>
                      <a:schemeClr val="accent4">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'!$C$24:$H$24</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12-CB41-4919-A858-17C7B0232FD3}"/>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'[IAHP constant prices analysis.xlsx]Funding ($19-20) by client '!$B$25</c15:sqref>
                        </c15:formulaRef>
                      </c:ext>
                    </c:extLst>
                    <c:strCache>
                      <c:ptCount val="1"/>
                      <c:pt idx="0">
                        <c:v>Vic / TAS</c:v>
                      </c:pt>
                    </c:strCache>
                  </c:strRef>
                </c:tx>
                <c:spPr>
                  <a:ln w="28575" cap="rnd">
                    <a:solidFill>
                      <a:schemeClr val="accent5">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'!$C$25:$H$25</c15:sqref>
                        </c15:formulaRef>
                      </c:ext>
                    </c:extLst>
                    <c:numCache>
                      <c:formatCode>_-* #,##0_-;\-* #,##0_-;_-* "-"??_-;_-@_-</c:formatCode>
                      <c:ptCount val="6"/>
                      <c:pt idx="0">
                        <c:v>50040677.948693141</c:v>
                      </c:pt>
                      <c:pt idx="1">
                        <c:v>69785214.359260708</c:v>
                      </c:pt>
                      <c:pt idx="2">
                        <c:v>71875246.544960544</c:v>
                      </c:pt>
                      <c:pt idx="3">
                        <c:v>74534314.255613595</c:v>
                      </c:pt>
                      <c:pt idx="4">
                        <c:v>71414925.532363236</c:v>
                      </c:pt>
                      <c:pt idx="5">
                        <c:v>68238904.13000001</c:v>
                      </c:pt>
                    </c:numCache>
                  </c:numRef>
                </c:val>
                <c:smooth val="0"/>
                <c:extLst xmlns:c15="http://schemas.microsoft.com/office/drawing/2012/chart">
                  <c:ext xmlns:c16="http://schemas.microsoft.com/office/drawing/2014/chart" uri="{C3380CC4-5D6E-409C-BE32-E72D297353CC}">
                    <c16:uniqueId val="{00000013-CB41-4919-A858-17C7B0232FD3}"/>
                  </c:ext>
                </c:extLst>
              </c15:ser>
            </c15:filteredLineSeries>
            <c15:filteredLineSeries>
              <c15:ser>
                <c:idx val="17"/>
                <c:order val="17"/>
                <c:tx>
                  <c:strRef>
                    <c:extLst xmlns:c15="http://schemas.microsoft.com/office/drawing/2012/chart">
                      <c:ext xmlns:c15="http://schemas.microsoft.com/office/drawing/2012/chart" uri="{02D57815-91ED-43cb-92C2-25804820EDAC}">
                        <c15:formulaRef>
                          <c15:sqref>'[IAHP constant prices analysis.xlsx]Funding ($19-20) by client '!$B$26</c15:sqref>
                        </c15:formulaRef>
                      </c:ext>
                    </c:extLst>
                    <c:strCache>
                      <c:ptCount val="1"/>
                      <c:pt idx="0">
                        <c:v>OSR clients</c:v>
                      </c:pt>
                    </c:strCache>
                  </c:strRef>
                </c:tx>
                <c:spPr>
                  <a:ln w="28575" cap="rnd">
                    <a:solidFill>
                      <a:schemeClr val="accent6">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'!$C$26:$H$26</c15:sqref>
                        </c15:formulaRef>
                      </c:ext>
                    </c:extLst>
                    <c:numCache>
                      <c:formatCode>_-* #,##0_-;\-* #,##0_-;_-* "-"??_-;_-@_-</c:formatCode>
                      <c:ptCount val="6"/>
                      <c:pt idx="0">
                        <c:v>37383</c:v>
                      </c:pt>
                      <c:pt idx="1">
                        <c:v>34256</c:v>
                      </c:pt>
                      <c:pt idx="2">
                        <c:v>35746</c:v>
                      </c:pt>
                      <c:pt idx="3">
                        <c:v>37008</c:v>
                      </c:pt>
                      <c:pt idx="4">
                        <c:v>38320</c:v>
                      </c:pt>
                      <c:pt idx="5">
                        <c:v>35723</c:v>
                      </c:pt>
                    </c:numCache>
                  </c:numRef>
                </c:val>
                <c:smooth val="0"/>
                <c:extLst xmlns:c15="http://schemas.microsoft.com/office/drawing/2012/chart">
                  <c:ext xmlns:c16="http://schemas.microsoft.com/office/drawing/2014/chart" uri="{C3380CC4-5D6E-409C-BE32-E72D297353CC}">
                    <c16:uniqueId val="{00000014-CB41-4919-A858-17C7B0232FD3}"/>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'[IAHP constant prices analysis.xlsx]Funding ($19-20) by client '!$B$28</c15:sqref>
                        </c15:formulaRef>
                      </c:ext>
                    </c:extLst>
                    <c:strCache>
                      <c:ptCount val="1"/>
                    </c:strCache>
                  </c:strRef>
                </c:tx>
                <c:spPr>
                  <a:ln w="28575" cap="rnd">
                    <a:solidFill>
                      <a:schemeClr val="accent2">
                        <a:lumMod val="8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'!$C$28:$H$28</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15-CB41-4919-A858-17C7B0232FD3}"/>
                  </c:ext>
                </c:extLst>
              </c15:ser>
            </c15:filteredLineSeries>
            <c15:filteredLineSeries>
              <c15:ser>
                <c:idx val="20"/>
                <c:order val="20"/>
                <c:tx>
                  <c:strRef>
                    <c:extLst xmlns:c15="http://schemas.microsoft.com/office/drawing/2012/chart">
                      <c:ext xmlns:c15="http://schemas.microsoft.com/office/drawing/2012/chart" uri="{02D57815-91ED-43cb-92C2-25804820EDAC}">
                        <c15:formulaRef>
                          <c15:sqref>'[IAHP constant prices analysis.xlsx]Funding ($19-20) by client '!$B$29</c15:sqref>
                        </c15:formulaRef>
                      </c:ext>
                    </c:extLst>
                    <c:strCache>
                      <c:ptCount val="1"/>
                      <c:pt idx="0">
                        <c:v>WA</c:v>
                      </c:pt>
                    </c:strCache>
                  </c:strRef>
                </c:tx>
                <c:spPr>
                  <a:ln w="28575" cap="rnd">
                    <a:solidFill>
                      <a:schemeClr val="accent3">
                        <a:lumMod val="8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'!$C$29:$H$29</c15:sqref>
                        </c15:formulaRef>
                      </c:ext>
                    </c:extLst>
                    <c:numCache>
                      <c:formatCode>_-* #,##0_-;\-* #,##0_-;_-* "-"??_-;_-@_-</c:formatCode>
                      <c:ptCount val="6"/>
                      <c:pt idx="0">
                        <c:v>91631331.568173811</c:v>
                      </c:pt>
                      <c:pt idx="1">
                        <c:v>110991005.20322958</c:v>
                      </c:pt>
                      <c:pt idx="2">
                        <c:v>119067455.43128453</c:v>
                      </c:pt>
                      <c:pt idx="3">
                        <c:v>112649621.96530016</c:v>
                      </c:pt>
                      <c:pt idx="4">
                        <c:v>119128969.71231353</c:v>
                      </c:pt>
                      <c:pt idx="5">
                        <c:v>121622669.94999997</c:v>
                      </c:pt>
                    </c:numCache>
                  </c:numRef>
                </c:val>
                <c:smooth val="0"/>
                <c:extLst xmlns:c15="http://schemas.microsoft.com/office/drawing/2012/chart">
                  <c:ext xmlns:c16="http://schemas.microsoft.com/office/drawing/2014/chart" uri="{C3380CC4-5D6E-409C-BE32-E72D297353CC}">
                    <c16:uniqueId val="{00000016-CB41-4919-A858-17C7B0232FD3}"/>
                  </c:ext>
                </c:extLst>
              </c15:ser>
            </c15:filteredLineSeries>
            <c15:filteredLineSeries>
              <c15:ser>
                <c:idx val="21"/>
                <c:order val="21"/>
                <c:tx>
                  <c:strRef>
                    <c:extLst xmlns:c15="http://schemas.microsoft.com/office/drawing/2012/chart">
                      <c:ext xmlns:c15="http://schemas.microsoft.com/office/drawing/2012/chart" uri="{02D57815-91ED-43cb-92C2-25804820EDAC}">
                        <c15:formulaRef>
                          <c15:sqref>'[IAHP constant prices analysis.xlsx]Funding ($19-20) by client '!$B$30</c15:sqref>
                        </c15:formulaRef>
                      </c:ext>
                    </c:extLst>
                    <c:strCache>
                      <c:ptCount val="1"/>
                      <c:pt idx="0">
                        <c:v>OSR clients</c:v>
                      </c:pt>
                    </c:strCache>
                  </c:strRef>
                </c:tx>
                <c:spPr>
                  <a:ln w="28575" cap="rnd">
                    <a:solidFill>
                      <a:schemeClr val="accent4">
                        <a:lumMod val="8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'!$C$30:$H$30</c15:sqref>
                        </c15:formulaRef>
                      </c:ext>
                    </c:extLst>
                    <c:numCache>
                      <c:formatCode>_-* #,##0_-;\-* #,##0_-;_-* "-"??_-;_-@_-</c:formatCode>
                      <c:ptCount val="6"/>
                      <c:pt idx="0">
                        <c:v>80990</c:v>
                      </c:pt>
                      <c:pt idx="1">
                        <c:v>77973</c:v>
                      </c:pt>
                      <c:pt idx="2">
                        <c:v>72866</c:v>
                      </c:pt>
                      <c:pt idx="3">
                        <c:v>71674</c:v>
                      </c:pt>
                      <c:pt idx="4">
                        <c:v>76109</c:v>
                      </c:pt>
                      <c:pt idx="5">
                        <c:v>76422</c:v>
                      </c:pt>
                    </c:numCache>
                  </c:numRef>
                </c:val>
                <c:smooth val="0"/>
                <c:extLst xmlns:c15="http://schemas.microsoft.com/office/drawing/2012/chart">
                  <c:ext xmlns:c16="http://schemas.microsoft.com/office/drawing/2014/chart" uri="{C3380CC4-5D6E-409C-BE32-E72D297353CC}">
                    <c16:uniqueId val="{00000017-CB41-4919-A858-17C7B0232FD3}"/>
                  </c:ext>
                </c:extLst>
              </c15:ser>
            </c15:filteredLineSeries>
            <c15:filteredLineSeries>
              <c15:ser>
                <c:idx val="23"/>
                <c:order val="23"/>
                <c:tx>
                  <c:strRef>
                    <c:extLst xmlns:c15="http://schemas.microsoft.com/office/drawing/2012/chart">
                      <c:ext xmlns:c15="http://schemas.microsoft.com/office/drawing/2012/chart" uri="{02D57815-91ED-43cb-92C2-25804820EDAC}">
                        <c15:formulaRef>
                          <c15:sqref>'[IAHP constant prices analysis.xlsx]Funding ($19-20) by client '!$B$32</c15:sqref>
                        </c15:formulaRef>
                      </c:ext>
                    </c:extLst>
                    <c:strCache>
                      <c:ptCount val="1"/>
                    </c:strCache>
                  </c:strRef>
                </c:tx>
                <c:spPr>
                  <a:ln w="28575" cap="rnd">
                    <a:solidFill>
                      <a:schemeClr val="accent6">
                        <a:lumMod val="8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'!$C$32:$H$32</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18-CB41-4919-A858-17C7B0232FD3}"/>
                  </c:ext>
                </c:extLst>
              </c15:ser>
            </c15:filteredLineSeries>
            <c15:filteredLineSeries>
              <c15:ser>
                <c:idx val="24"/>
                <c:order val="24"/>
                <c:tx>
                  <c:strRef>
                    <c:extLst xmlns:c15="http://schemas.microsoft.com/office/drawing/2012/chart">
                      <c:ext xmlns:c15="http://schemas.microsoft.com/office/drawing/2012/chart" uri="{02D57815-91ED-43cb-92C2-25804820EDAC}">
                        <c15:formulaRef>
                          <c15:sqref>'[IAHP constant prices analysis.xlsx]Funding ($19-20) by client '!$B$33</c15:sqref>
                        </c15:formulaRef>
                      </c:ext>
                    </c:extLst>
                    <c:strCache>
                      <c:ptCount val="1"/>
                      <c:pt idx="0">
                        <c:v>Total</c:v>
                      </c:pt>
                    </c:strCache>
                  </c:strRef>
                </c:tx>
                <c:spPr>
                  <a:ln w="28575" cap="rnd">
                    <a:solidFill>
                      <a:schemeClr val="accent1">
                        <a:lumMod val="60000"/>
                        <a:lumOff val="4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'!$C$33:$H$33</c15:sqref>
                        </c15:formulaRef>
                      </c:ext>
                    </c:extLst>
                    <c:numCache>
                      <c:formatCode>_-* #,##0_-;\-* #,##0_-;_-* "-"??_-;_-@_-</c:formatCode>
                      <c:ptCount val="6"/>
                      <c:pt idx="0">
                        <c:v>604083810.78440547</c:v>
                      </c:pt>
                      <c:pt idx="1">
                        <c:v>737586138.79750991</c:v>
                      </c:pt>
                      <c:pt idx="2">
                        <c:v>780622497.43381619</c:v>
                      </c:pt>
                      <c:pt idx="3">
                        <c:v>798143033.57291424</c:v>
                      </c:pt>
                      <c:pt idx="4">
                        <c:v>836334009.28237641</c:v>
                      </c:pt>
                      <c:pt idx="5">
                        <c:v>857968555.25999987</c:v>
                      </c:pt>
                    </c:numCache>
                  </c:numRef>
                </c:val>
                <c:smooth val="0"/>
                <c:extLst xmlns:c15="http://schemas.microsoft.com/office/drawing/2012/chart">
                  <c:ext xmlns:c16="http://schemas.microsoft.com/office/drawing/2014/chart" uri="{C3380CC4-5D6E-409C-BE32-E72D297353CC}">
                    <c16:uniqueId val="{00000019-CB41-4919-A858-17C7B0232FD3}"/>
                  </c:ext>
                </c:extLst>
              </c15:ser>
            </c15:filteredLineSeries>
            <c15:filteredLineSeries>
              <c15:ser>
                <c:idx val="25"/>
                <c:order val="25"/>
                <c:tx>
                  <c:strRef>
                    <c:extLst xmlns:c15="http://schemas.microsoft.com/office/drawing/2012/chart">
                      <c:ext xmlns:c15="http://schemas.microsoft.com/office/drawing/2012/chart" uri="{02D57815-91ED-43cb-92C2-25804820EDAC}">
                        <c15:formulaRef>
                          <c15:sqref>'[IAHP constant prices analysis.xlsx]Funding ($19-20) by client '!$B$34</c15:sqref>
                        </c15:formulaRef>
                      </c:ext>
                    </c:extLst>
                    <c:strCache>
                      <c:ptCount val="1"/>
                      <c:pt idx="0">
                        <c:v>OSR clients</c:v>
                      </c:pt>
                    </c:strCache>
                  </c:strRef>
                </c:tx>
                <c:spPr>
                  <a:ln w="28575" cap="rnd">
                    <a:solidFill>
                      <a:schemeClr val="accent2">
                        <a:lumMod val="60000"/>
                        <a:lumOff val="4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analysis.xlsx]Funding ($19-20) by client '!$C$8:$H$8</c15:sqref>
                        </c15:formulaRef>
                      </c:ext>
                    </c:extLst>
                    <c:strCache>
                      <c:ptCount val="6"/>
                      <c:pt idx="0">
                        <c:v>2014-15</c:v>
                      </c:pt>
                      <c:pt idx="1">
                        <c:v>2015-16</c:v>
                      </c:pt>
                      <c:pt idx="2">
                        <c:v>2016-17</c:v>
                      </c:pt>
                      <c:pt idx="3">
                        <c:v>2017-18</c:v>
                      </c:pt>
                      <c:pt idx="4">
                        <c:v>2018-19</c:v>
                      </c:pt>
                      <c:pt idx="5">
                        <c:v>2019-20</c:v>
                      </c:pt>
                    </c:strCache>
                  </c:strRef>
                </c:cat>
                <c:val>
                  <c:numRef>
                    <c:extLst xmlns:c15="http://schemas.microsoft.com/office/drawing/2012/chart">
                      <c:ext xmlns:c15="http://schemas.microsoft.com/office/drawing/2012/chart" uri="{02D57815-91ED-43cb-92C2-25804820EDAC}">
                        <c15:formulaRef>
                          <c15:sqref>'[IAHP constant prices analysis.xlsx]Funding ($19-20) by client '!$C$34:$H$34</c15:sqref>
                        </c15:formulaRef>
                      </c:ext>
                    </c:extLst>
                    <c:numCache>
                      <c:formatCode>General</c:formatCode>
                      <c:ptCount val="6"/>
                      <c:pt idx="0">
                        <c:v>434610</c:v>
                      </c:pt>
                      <c:pt idx="1">
                        <c:v>461483</c:v>
                      </c:pt>
                      <c:pt idx="2">
                        <c:v>444721</c:v>
                      </c:pt>
                      <c:pt idx="3">
                        <c:v>483073</c:v>
                      </c:pt>
                      <c:pt idx="4">
                        <c:v>498206</c:v>
                      </c:pt>
                      <c:pt idx="5">
                        <c:v>468500</c:v>
                      </c:pt>
                    </c:numCache>
                  </c:numRef>
                </c:val>
                <c:smooth val="0"/>
                <c:extLst xmlns:c15="http://schemas.microsoft.com/office/drawing/2012/chart">
                  <c:ext xmlns:c16="http://schemas.microsoft.com/office/drawing/2014/chart" uri="{C3380CC4-5D6E-409C-BE32-E72D297353CC}">
                    <c16:uniqueId val="{0000001A-CB41-4919-A858-17C7B0232FD3}"/>
                  </c:ext>
                </c:extLst>
              </c15:ser>
            </c15:filteredLineSeries>
          </c:ext>
        </c:extLst>
      </c:lineChart>
      <c:catAx>
        <c:axId val="534106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34091376"/>
        <c:crosses val="autoZero"/>
        <c:auto val="1"/>
        <c:lblAlgn val="ctr"/>
        <c:lblOffset val="100"/>
        <c:noMultiLvlLbl val="0"/>
      </c:catAx>
      <c:valAx>
        <c:axId val="53409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900"/>
                  <a:t>$ per client (constant 2019-20)</a:t>
                </a:r>
              </a:p>
            </c:rich>
          </c:tx>
          <c:layout>
            <c:manualLayout>
              <c:xMode val="edge"/>
              <c:yMode val="edge"/>
              <c:x val="1.3228971447469959E-2"/>
              <c:y val="0.199877762255524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341067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Sheet1!$D$4</c:f>
              <c:strCache>
                <c:ptCount val="1"/>
                <c:pt idx="0">
                  <c:v>Number of ACCHSs</c:v>
                </c:pt>
              </c:strCache>
            </c:strRef>
          </c:tx>
          <c:spPr>
            <a:solidFill>
              <a:srgbClr val="9C533A"/>
            </a:solidFill>
            <a:ln>
              <a:noFill/>
            </a:ln>
            <a:effectLst/>
          </c:spPr>
          <c:invertIfNegative val="0"/>
          <c:cat>
            <c:strRef>
              <c:f>Sheet1!$C$5:$C$9</c:f>
              <c:strCache>
                <c:ptCount val="5"/>
                <c:pt idx="0">
                  <c:v>&lt;$5M</c:v>
                </c:pt>
                <c:pt idx="1">
                  <c:v>$5-10M</c:v>
                </c:pt>
                <c:pt idx="2">
                  <c:v>$10-15M</c:v>
                </c:pt>
                <c:pt idx="3">
                  <c:v>$15-20M</c:v>
                </c:pt>
                <c:pt idx="4">
                  <c:v>&gt;$20M</c:v>
                </c:pt>
              </c:strCache>
            </c:strRef>
          </c:cat>
          <c:val>
            <c:numRef>
              <c:f>Sheet1!$D$5:$D$9</c:f>
              <c:numCache>
                <c:formatCode>General</c:formatCode>
                <c:ptCount val="5"/>
                <c:pt idx="0">
                  <c:v>14</c:v>
                </c:pt>
                <c:pt idx="1">
                  <c:v>5</c:v>
                </c:pt>
                <c:pt idx="2">
                  <c:v>2</c:v>
                </c:pt>
                <c:pt idx="3">
                  <c:v>1</c:v>
                </c:pt>
                <c:pt idx="4">
                  <c:v>1</c:v>
                </c:pt>
              </c:numCache>
            </c:numRef>
          </c:val>
          <c:extLst>
            <c:ext xmlns:c16="http://schemas.microsoft.com/office/drawing/2014/chart" uri="{C3380CC4-5D6E-409C-BE32-E72D297353CC}">
              <c16:uniqueId val="{00000000-D01B-427B-B9C8-5400E4508AED}"/>
            </c:ext>
          </c:extLst>
        </c:ser>
        <c:dLbls>
          <c:showLegendKey val="0"/>
          <c:showVal val="0"/>
          <c:showCatName val="0"/>
          <c:showSerName val="0"/>
          <c:showPercent val="0"/>
          <c:showBubbleSize val="0"/>
        </c:dLbls>
        <c:gapWidth val="219"/>
        <c:overlap val="-27"/>
        <c:axId val="809502160"/>
        <c:axId val="17673872"/>
      </c:barChart>
      <c:catAx>
        <c:axId val="809502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Funding amount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7673872"/>
        <c:crosses val="autoZero"/>
        <c:auto val="1"/>
        <c:lblAlgn val="ctr"/>
        <c:lblOffset val="100"/>
        <c:noMultiLvlLbl val="0"/>
      </c:catAx>
      <c:valAx>
        <c:axId val="17673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Number of ACCHSs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09502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chemeClr val="accent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Sheet1!$D$18</c:f>
              <c:strCache>
                <c:ptCount val="1"/>
                <c:pt idx="0">
                  <c:v>Number of ACCHSs</c:v>
                </c:pt>
              </c:strCache>
            </c:strRef>
          </c:tx>
          <c:spPr>
            <a:solidFill>
              <a:srgbClr val="9C533A"/>
            </a:solidFill>
            <a:ln w="15875">
              <a:noFill/>
            </a:ln>
            <a:effectLst/>
          </c:spPr>
          <c:invertIfNegative val="0"/>
          <c:cat>
            <c:strRef>
              <c:f>Sheet1!$C$19:$C$24</c:f>
              <c:strCache>
                <c:ptCount val="6"/>
                <c:pt idx="0">
                  <c:v>&lt;10%</c:v>
                </c:pt>
                <c:pt idx="1">
                  <c:v>10-19%</c:v>
                </c:pt>
                <c:pt idx="2">
                  <c:v>20-29%</c:v>
                </c:pt>
                <c:pt idx="3">
                  <c:v>30-39%</c:v>
                </c:pt>
                <c:pt idx="4">
                  <c:v>40-49%</c:v>
                </c:pt>
                <c:pt idx="5">
                  <c:v>50-59%</c:v>
                </c:pt>
              </c:strCache>
            </c:strRef>
          </c:cat>
          <c:val>
            <c:numRef>
              <c:f>Sheet1!$D$19:$D$24</c:f>
              <c:numCache>
                <c:formatCode>General</c:formatCode>
                <c:ptCount val="6"/>
                <c:pt idx="0">
                  <c:v>1</c:v>
                </c:pt>
                <c:pt idx="1">
                  <c:v>3</c:v>
                </c:pt>
                <c:pt idx="2">
                  <c:v>4</c:v>
                </c:pt>
                <c:pt idx="3">
                  <c:v>6</c:v>
                </c:pt>
                <c:pt idx="4">
                  <c:v>2</c:v>
                </c:pt>
                <c:pt idx="5">
                  <c:v>7</c:v>
                </c:pt>
              </c:numCache>
            </c:numRef>
          </c:val>
          <c:extLst>
            <c:ext xmlns:c16="http://schemas.microsoft.com/office/drawing/2014/chart" uri="{C3380CC4-5D6E-409C-BE32-E72D297353CC}">
              <c16:uniqueId val="{00000000-2061-47BE-8342-BD6A52E7D670}"/>
            </c:ext>
          </c:extLst>
        </c:ser>
        <c:dLbls>
          <c:showLegendKey val="0"/>
          <c:showVal val="0"/>
          <c:showCatName val="0"/>
          <c:showSerName val="0"/>
          <c:showPercent val="0"/>
          <c:showBubbleSize val="0"/>
        </c:dLbls>
        <c:gapWidth val="75"/>
        <c:overlap val="-27"/>
        <c:axId val="1444662128"/>
        <c:axId val="520231168"/>
      </c:barChart>
      <c:catAx>
        <c:axId val="1444662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IAHP funding proportion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20231168"/>
        <c:crosses val="autoZero"/>
        <c:auto val="1"/>
        <c:lblAlgn val="ctr"/>
        <c:lblOffset val="100"/>
        <c:noMultiLvlLbl val="0"/>
      </c:catAx>
      <c:valAx>
        <c:axId val="52023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Number of ACCHSs</a:t>
                </a:r>
              </a:p>
            </c:rich>
          </c:tx>
          <c:layout>
            <c:manualLayout>
              <c:xMode val="edge"/>
              <c:yMode val="edge"/>
              <c:x val="2.2222222222222223E-2"/>
              <c:y val="0.1750504032258064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44662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chemeClr val="accent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18725459317587"/>
          <c:y val="4.3095004897159644E-2"/>
          <c:w val="0.56196065091863512"/>
          <c:h val="0.82294190658093169"/>
        </c:manualLayout>
      </c:layout>
      <c:lineChart>
        <c:grouping val="standard"/>
        <c:varyColors val="0"/>
        <c:ser>
          <c:idx val="1"/>
          <c:order val="1"/>
          <c:tx>
            <c:strRef>
              <c:f>'[IAHP constant prices analysis.xlsx]Budget est $'!$B$4</c:f>
              <c:strCache>
                <c:ptCount val="1"/>
                <c:pt idx="0">
                  <c:v>National total health spending</c:v>
                </c:pt>
              </c:strCache>
            </c:strRef>
          </c:tx>
          <c:spPr>
            <a:ln w="28575" cap="rnd">
              <a:solidFill>
                <a:schemeClr val="tx1"/>
              </a:solidFill>
              <a:round/>
            </a:ln>
            <a:effectLst/>
          </c:spPr>
          <c:marker>
            <c:symbol val="circle"/>
            <c:size val="5"/>
            <c:spPr>
              <a:solidFill>
                <a:schemeClr val="tx1"/>
              </a:solidFill>
              <a:ln w="9525">
                <a:solidFill>
                  <a:schemeClr val="tx1"/>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$'!$C$4:$I$4</c:f>
              <c:numCache>
                <c:formatCode>"$"#,##0</c:formatCode>
                <c:ptCount val="7"/>
                <c:pt idx="0">
                  <c:v>160984.77730489199</c:v>
                </c:pt>
                <c:pt idx="1">
                  <c:v>169899.48888846301</c:v>
                </c:pt>
                <c:pt idx="2">
                  <c:v>180309.97754616101</c:v>
                </c:pt>
                <c:pt idx="3">
                  <c:v>185769.835794871</c:v>
                </c:pt>
                <c:pt idx="4">
                  <c:v>195388.77777989101</c:v>
                </c:pt>
                <c:pt idx="5">
                  <c:v>202546.13808031299</c:v>
                </c:pt>
                <c:pt idx="6" formatCode="_-* #,##0_-;\-* #,##0_-;_-* &quot;-&quot;??_-;_-@_-">
                  <c:v>214759.701592</c:v>
                </c:pt>
              </c:numCache>
            </c:numRef>
          </c:val>
          <c:smooth val="0"/>
          <c:extLst>
            <c:ext xmlns:c16="http://schemas.microsoft.com/office/drawing/2014/chart" uri="{C3380CC4-5D6E-409C-BE32-E72D297353CC}">
              <c16:uniqueId val="{00000000-29ED-43F5-868A-0D9787A744C8}"/>
            </c:ext>
          </c:extLst>
        </c:ser>
        <c:ser>
          <c:idx val="4"/>
          <c:order val="4"/>
          <c:tx>
            <c:strRef>
              <c:f>'[IAHP constant prices analysis.xlsx]Budget est $'!$B$7</c:f>
              <c:strCache>
                <c:ptCount val="1"/>
                <c:pt idx="0">
                  <c:v>Australian Government health spending</c:v>
                </c:pt>
              </c:strCache>
            </c:strRef>
          </c:tx>
          <c:spPr>
            <a:ln w="28575" cap="rnd">
              <a:solidFill>
                <a:srgbClr val="959556"/>
              </a:solidFill>
              <a:round/>
            </a:ln>
            <a:effectLst/>
          </c:spPr>
          <c:marker>
            <c:symbol val="circle"/>
            <c:size val="5"/>
            <c:spPr>
              <a:solidFill>
                <a:srgbClr val="959556">
                  <a:alpha val="89000"/>
                </a:srgbClr>
              </a:solidFill>
              <a:ln w="9525">
                <a:solidFill>
                  <a:srgbClr val="959556"/>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$'!$C$7:$I$7</c:f>
              <c:numCache>
                <c:formatCode>"$"#,##0</c:formatCode>
                <c:ptCount val="7"/>
                <c:pt idx="0">
                  <c:v>72897.729661527701</c:v>
                </c:pt>
                <c:pt idx="1">
                  <c:v>75398.121992926797</c:v>
                </c:pt>
                <c:pt idx="2">
                  <c:v>77655.063804679594</c:v>
                </c:pt>
                <c:pt idx="3">
                  <c:v>79388.022367681493</c:v>
                </c:pt>
                <c:pt idx="4">
                  <c:v>81820.404654273298</c:v>
                </c:pt>
                <c:pt idx="5">
                  <c:v>86422.014354541607</c:v>
                </c:pt>
                <c:pt idx="6">
                  <c:v>91765.182000000001</c:v>
                </c:pt>
              </c:numCache>
            </c:numRef>
          </c:val>
          <c:smooth val="0"/>
          <c:extLst>
            <c:ext xmlns:c16="http://schemas.microsoft.com/office/drawing/2014/chart" uri="{C3380CC4-5D6E-409C-BE32-E72D297353CC}">
              <c16:uniqueId val="{00000001-29ED-43F5-868A-0D9787A744C8}"/>
            </c:ext>
          </c:extLst>
        </c:ser>
        <c:ser>
          <c:idx val="7"/>
          <c:order val="7"/>
          <c:tx>
            <c:strRef>
              <c:f>'[IAHP constant prices analysis.xlsx]Budget est $'!$B$10</c:f>
              <c:strCache>
                <c:ptCount val="1"/>
                <c:pt idx="0">
                  <c:v>Australian Government PHC spending</c:v>
                </c:pt>
              </c:strCache>
            </c:strRef>
          </c:tx>
          <c:spPr>
            <a:ln w="28575" cap="rnd">
              <a:solidFill>
                <a:srgbClr val="3B7DBD"/>
              </a:solidFill>
              <a:round/>
            </a:ln>
            <a:effectLst/>
          </c:spPr>
          <c:marker>
            <c:symbol val="circle"/>
            <c:size val="5"/>
            <c:spPr>
              <a:solidFill>
                <a:srgbClr val="3B7DBD"/>
              </a:solidFill>
              <a:ln w="9525">
                <a:solidFill>
                  <a:srgbClr val="3B7DBD"/>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$'!$C$10:$I$10</c:f>
              <c:numCache>
                <c:formatCode>"$"#,##0</c:formatCode>
                <c:ptCount val="7"/>
                <c:pt idx="0">
                  <c:v>26289.1847069256</c:v>
                </c:pt>
                <c:pt idx="1">
                  <c:v>26984.518908922098</c:v>
                </c:pt>
                <c:pt idx="2">
                  <c:v>27308.8984041078</c:v>
                </c:pt>
                <c:pt idx="3">
                  <c:v>28132.8478845028</c:v>
                </c:pt>
                <c:pt idx="4">
                  <c:v>28483.440987518501</c:v>
                </c:pt>
                <c:pt idx="5">
                  <c:v>30481.762258115701</c:v>
                </c:pt>
                <c:pt idx="6">
                  <c:v>32554.617999999999</c:v>
                </c:pt>
              </c:numCache>
            </c:numRef>
          </c:val>
          <c:smooth val="0"/>
          <c:extLst>
            <c:ext xmlns:c16="http://schemas.microsoft.com/office/drawing/2014/chart" uri="{C3380CC4-5D6E-409C-BE32-E72D297353CC}">
              <c16:uniqueId val="{00000002-29ED-43F5-868A-0D9787A744C8}"/>
            </c:ext>
          </c:extLst>
        </c:ser>
        <c:ser>
          <c:idx val="11"/>
          <c:order val="11"/>
          <c:tx>
            <c:strRef>
              <c:f>'[IAHP constant prices analysis.xlsx]Budget est $'!$B$14</c:f>
              <c:strCache>
                <c:ptCount val="1"/>
                <c:pt idx="0">
                  <c:v> IAHP expenditure </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$'!$C$14:$I$14</c:f>
              <c:numCache>
                <c:formatCode>_-* #,##0_-;\-* #,##0_-;_-* "-"??_-;_-@_-</c:formatCode>
                <c:ptCount val="7"/>
                <c:pt idx="0">
                  <c:v>813</c:v>
                </c:pt>
                <c:pt idx="1">
                  <c:v>831</c:v>
                </c:pt>
                <c:pt idx="2">
                  <c:v>864</c:v>
                </c:pt>
                <c:pt idx="3">
                  <c:v>915</c:v>
                </c:pt>
                <c:pt idx="4">
                  <c:v>926</c:v>
                </c:pt>
                <c:pt idx="5">
                  <c:v>957</c:v>
                </c:pt>
                <c:pt idx="6">
                  <c:v>932</c:v>
                </c:pt>
              </c:numCache>
            </c:numRef>
          </c:val>
          <c:smooth val="0"/>
          <c:extLst xmlns:c15="http://schemas.microsoft.com/office/drawing/2012/chart">
            <c:ext xmlns:c16="http://schemas.microsoft.com/office/drawing/2014/chart" uri="{C3380CC4-5D6E-409C-BE32-E72D297353CC}">
              <c16:uniqueId val="{00000003-29ED-43F5-868A-0D9787A744C8}"/>
            </c:ext>
          </c:extLst>
        </c:ser>
        <c:dLbls>
          <c:showLegendKey val="0"/>
          <c:showVal val="0"/>
          <c:showCatName val="0"/>
          <c:showSerName val="0"/>
          <c:showPercent val="0"/>
          <c:showBubbleSize val="0"/>
        </c:dLbls>
        <c:marker val="1"/>
        <c:smooth val="0"/>
        <c:axId val="986999551"/>
        <c:axId val="911651231"/>
        <c:extLst>
          <c:ext xmlns:c15="http://schemas.microsoft.com/office/drawing/2012/chart" uri="{02D57815-91ED-43cb-92C2-25804820EDAC}">
            <c15:filteredLineSeries>
              <c15:ser>
                <c:idx val="0"/>
                <c:order val="0"/>
                <c:tx>
                  <c:strRef>
                    <c:extLst>
                      <c:ext uri="{02D57815-91ED-43cb-92C2-25804820EDAC}">
                        <c15:formulaRef>
                          <c15:sqref>'[IAHP constant prices analysis.xlsx]Budget est $'!$B$3</c15:sqref>
                        </c15:formulaRef>
                      </c:ext>
                    </c:extLst>
                    <c:strCache>
                      <c:ptCount val="1"/>
                      <c:pt idx="0">
                        <c:v> Constant 2019-20 dollars </c:v>
                      </c:pt>
                    </c:strCache>
                  </c:strRef>
                </c:tx>
                <c:spPr>
                  <a:ln w="28575" cap="rnd">
                    <a:solidFill>
                      <a:schemeClr val="accent1"/>
                    </a:solidFill>
                    <a:round/>
                  </a:ln>
                  <a:effectLst/>
                </c:spPr>
                <c:marker>
                  <c:symbol val="none"/>
                </c:marker>
                <c:cat>
                  <c:strRef>
                    <c:extLst>
                      <c:ex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c:ext uri="{02D57815-91ED-43cb-92C2-25804820EDAC}">
                        <c15:formulaRef>
                          <c15:sqref>'[IAHP constant prices analysis.xlsx]Budget est $'!$C$3:$I$3</c15:sqref>
                        </c15:formulaRef>
                      </c:ext>
                    </c:extLst>
                    <c:numCache>
                      <c:formatCode>"$"#,##0</c:formatCode>
                      <c:ptCount val="7"/>
                      <c:pt idx="0">
                        <c:v>604083810.78440571</c:v>
                      </c:pt>
                      <c:pt idx="1">
                        <c:v>737586138.79750931</c:v>
                      </c:pt>
                      <c:pt idx="2">
                        <c:v>780622497.43381596</c:v>
                      </c:pt>
                      <c:pt idx="3">
                        <c:v>798143033.57291436</c:v>
                      </c:pt>
                      <c:pt idx="4">
                        <c:v>836334009.28237653</c:v>
                      </c:pt>
                      <c:pt idx="5">
                        <c:v>857968555.25999975</c:v>
                      </c:pt>
                      <c:pt idx="6">
                        <c:v>868138477.86705768</c:v>
                      </c:pt>
                    </c:numCache>
                  </c:numRef>
                </c:val>
                <c:smooth val="0"/>
                <c:extLst>
                  <c:ext xmlns:c16="http://schemas.microsoft.com/office/drawing/2014/chart" uri="{C3380CC4-5D6E-409C-BE32-E72D297353CC}">
                    <c16:uniqueId val="{00000004-29ED-43F5-868A-0D9787A744C8}"/>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'[IAHP constant prices analysis.xlsx]Budget est $'!$B$5</c15:sqref>
                        </c15:formulaRef>
                      </c:ext>
                    </c:extLst>
                    <c:strCache>
                      <c:ptCount val="1"/>
                      <c:pt idx="0">
                        <c:v>IAHP / National total %</c:v>
                      </c:pt>
                    </c:strCache>
                  </c:strRef>
                </c:tx>
                <c:spPr>
                  <a:ln w="28575" cap="rnd">
                    <a:solidFill>
                      <a:schemeClr val="accent3"/>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$'!$C$5:$I$5</c15:sqref>
                        </c15:formulaRef>
                      </c:ext>
                    </c:extLst>
                    <c:numCache>
                      <c:formatCode>0.00%</c:formatCode>
                      <c:ptCount val="7"/>
                      <c:pt idx="0">
                        <c:v>3752.4281543733814</c:v>
                      </c:pt>
                      <c:pt idx="1">
                        <c:v>4341.3087562713381</c:v>
                      </c:pt>
                      <c:pt idx="2">
                        <c:v>4329.3361136045251</c:v>
                      </c:pt>
                      <c:pt idx="3">
                        <c:v>4296.4081340645216</c:v>
                      </c:pt>
                      <c:pt idx="4">
                        <c:v>4280.3584667719342</c:v>
                      </c:pt>
                      <c:pt idx="5">
                        <c:v>4235.9166330774506</c:v>
                      </c:pt>
                      <c:pt idx="6">
                        <c:v>4042.3714106119651</c:v>
                      </c:pt>
                    </c:numCache>
                  </c:numRef>
                </c:val>
                <c:smooth val="0"/>
                <c:extLst xmlns:c15="http://schemas.microsoft.com/office/drawing/2012/chart">
                  <c:ext xmlns:c16="http://schemas.microsoft.com/office/drawing/2014/chart" uri="{C3380CC4-5D6E-409C-BE32-E72D297353CC}">
                    <c16:uniqueId val="{00000005-29ED-43F5-868A-0D9787A744C8}"/>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'[IAHP constant prices analysis.xlsx]Budget est $'!$B$6</c15:sqref>
                        </c15:formulaRef>
                      </c:ext>
                    </c:extLst>
                    <c:strCache>
                      <c:ptCount val="1"/>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$'!$C$6:$I$6</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6-29ED-43F5-868A-0D9787A744C8}"/>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'[IAHP constant prices analysis.xlsx]Budget est $'!$B$8</c15:sqref>
                        </c15:formulaRef>
                      </c:ext>
                    </c:extLst>
                    <c:strCache>
                      <c:ptCount val="1"/>
                      <c:pt idx="0">
                        <c:v>IAHP / Australia govt %</c:v>
                      </c:pt>
                    </c:strCache>
                  </c:strRef>
                </c:tx>
                <c:spPr>
                  <a:ln w="28575" cap="rnd">
                    <a:solidFill>
                      <a:schemeClr val="accent6"/>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$'!$C$8:$I$8</c15:sqref>
                        </c15:formulaRef>
                      </c:ext>
                    </c:extLst>
                    <c:numCache>
                      <c:formatCode>0.0%</c:formatCode>
                      <c:ptCount val="7"/>
                      <c:pt idx="0">
                        <c:v>8286.7301024220415</c:v>
                      </c:pt>
                      <c:pt idx="1">
                        <c:v>9782.5531896763059</c:v>
                      </c:pt>
                      <c:pt idx="2">
                        <c:v>10052.43520753858</c:v>
                      </c:pt>
                      <c:pt idx="3">
                        <c:v>10053.695882186817</c:v>
                      </c:pt>
                      <c:pt idx="4">
                        <c:v>10221.582413534259</c:v>
                      </c:pt>
                      <c:pt idx="5">
                        <c:v>9927.662085498614</c:v>
                      </c:pt>
                      <c:pt idx="6">
                        <c:v>9460.4343275541887</c:v>
                      </c:pt>
                    </c:numCache>
                  </c:numRef>
                </c:val>
                <c:smooth val="0"/>
                <c:extLst xmlns:c15="http://schemas.microsoft.com/office/drawing/2012/chart">
                  <c:ext xmlns:c16="http://schemas.microsoft.com/office/drawing/2014/chart" uri="{C3380CC4-5D6E-409C-BE32-E72D297353CC}">
                    <c16:uniqueId val="{00000007-29ED-43F5-868A-0D9787A744C8}"/>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'[IAHP constant prices analysis.xlsx]Budget est $'!$B$9</c15:sqref>
                        </c15:formulaRef>
                      </c:ext>
                    </c:extLst>
                    <c:strCache>
                      <c:ptCount val="1"/>
                    </c:strCache>
                  </c:strRef>
                </c:tx>
                <c:spPr>
                  <a:ln w="28575" cap="rnd">
                    <a:solidFill>
                      <a:schemeClr val="accent1">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$'!$C$9:$I$9</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8-29ED-43F5-868A-0D9787A744C8}"/>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'[IAHP constant prices analysis.xlsx]Budget est $'!$B$11</c15:sqref>
                        </c15:formulaRef>
                      </c:ext>
                    </c:extLst>
                    <c:strCache>
                      <c:ptCount val="1"/>
                      <c:pt idx="0">
                        <c:v>IAHP / Australia govt PHC %</c:v>
                      </c:pt>
                    </c:strCache>
                  </c:strRef>
                </c:tx>
                <c:spPr>
                  <a:ln w="28575" cap="rnd">
                    <a:solidFill>
                      <a:schemeClr val="accent3">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$'!$C$11:$I$11</c15:sqref>
                        </c15:formulaRef>
                      </c:ext>
                    </c:extLst>
                    <c:numCache>
                      <c:formatCode>0.0%</c:formatCode>
                      <c:ptCount val="7"/>
                      <c:pt idx="0">
                        <c:v>22978.415554487179</c:v>
                      </c:pt>
                      <c:pt idx="1">
                        <c:v>27333.677553674508</c:v>
                      </c:pt>
                      <c:pt idx="2">
                        <c:v>28584.913455036869</c:v>
                      </c:pt>
                      <c:pt idx="3">
                        <c:v>28370.502582946028</c:v>
                      </c:pt>
                      <c:pt idx="4">
                        <c:v>29362.112872839334</c:v>
                      </c:pt>
                      <c:pt idx="5">
                        <c:v>28146.94727932167</c:v>
                      </c:pt>
                      <c:pt idx="6">
                        <c:v>26667.137604473126</c:v>
                      </c:pt>
                    </c:numCache>
                  </c:numRef>
                </c:val>
                <c:smooth val="0"/>
                <c:extLst xmlns:c15="http://schemas.microsoft.com/office/drawing/2012/chart">
                  <c:ext xmlns:c16="http://schemas.microsoft.com/office/drawing/2014/chart" uri="{C3380CC4-5D6E-409C-BE32-E72D297353CC}">
                    <c16:uniqueId val="{00000009-29ED-43F5-868A-0D9787A744C8}"/>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'[IAHP constant prices analysis.xlsx]Budget est $'!$B$12</c15:sqref>
                        </c15:formulaRef>
                      </c:ext>
                    </c:extLst>
                    <c:strCache>
                      <c:ptCount val="1"/>
                    </c:strCache>
                  </c:strRef>
                </c:tx>
                <c:spPr>
                  <a:ln w="28575" cap="rnd">
                    <a:solidFill>
                      <a:schemeClr val="accent4">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$'!$C$12:$I$12</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A-29ED-43F5-868A-0D9787A744C8}"/>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'[IAHP constant prices analysis.xlsx]Budget est $'!$B$13</c15:sqref>
                        </c15:formulaRef>
                      </c:ext>
                    </c:extLst>
                    <c:strCache>
                      <c:ptCount val="1"/>
                      <c:pt idx="0">
                        <c:v>IAHP</c:v>
                      </c:pt>
                    </c:strCache>
                  </c:strRef>
                </c:tx>
                <c:spPr>
                  <a:ln w="28575" cap="rnd">
                    <a:solidFill>
                      <a:srgbClr val="9C533A"/>
                    </a:solidFill>
                    <a:round/>
                  </a:ln>
                  <a:effectLst/>
                </c:spPr>
                <c:marker>
                  <c:symbol val="circle"/>
                  <c:size val="5"/>
                  <c:spPr>
                    <a:solidFill>
                      <a:srgbClr val="9C533A"/>
                    </a:solidFill>
                    <a:ln w="9525">
                      <a:solidFill>
                        <a:srgbClr val="9C533A"/>
                      </a:solidFill>
                    </a:ln>
                    <a:effectLst/>
                  </c:spPr>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$'!$C$13:$I$13</c15:sqref>
                        </c15:formulaRef>
                      </c:ext>
                    </c:extLst>
                    <c:numCache>
                      <c:formatCode>General</c:formatCode>
                      <c:ptCount val="7"/>
                      <c:pt idx="0">
                        <c:v>0</c:v>
                      </c:pt>
                      <c:pt idx="1">
                        <c:v>0</c:v>
                      </c:pt>
                      <c:pt idx="2">
                        <c:v>0</c:v>
                      </c:pt>
                      <c:pt idx="3">
                        <c:v>0</c:v>
                      </c:pt>
                      <c:pt idx="4">
                        <c:v>0</c:v>
                      </c:pt>
                      <c:pt idx="5">
                        <c:v>0</c:v>
                      </c:pt>
                      <c:pt idx="6">
                        <c:v>0</c:v>
                      </c:pt>
                    </c:numCache>
                  </c:numRef>
                </c:val>
                <c:smooth val="0"/>
                <c:extLst xmlns:c15="http://schemas.microsoft.com/office/drawing/2012/chart">
                  <c:ext xmlns:c16="http://schemas.microsoft.com/office/drawing/2014/chart" uri="{C3380CC4-5D6E-409C-BE32-E72D297353CC}">
                    <c16:uniqueId val="{0000000B-29ED-43F5-868A-0D9787A744C8}"/>
                  </c:ext>
                </c:extLst>
              </c15:ser>
            </c15:filteredLineSeries>
          </c:ext>
        </c:extLst>
      </c:lineChart>
      <c:catAx>
        <c:axId val="9869995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11651231"/>
        <c:crosses val="autoZero"/>
        <c:auto val="1"/>
        <c:lblAlgn val="ctr"/>
        <c:lblOffset val="100"/>
        <c:noMultiLvlLbl val="0"/>
      </c:catAx>
      <c:valAx>
        <c:axId val="911651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Million (constant 2019-20)</a:t>
                </a:r>
              </a:p>
            </c:rich>
          </c:tx>
          <c:layout>
            <c:manualLayout>
              <c:xMode val="edge"/>
              <c:yMode val="edge"/>
              <c:x val="9.7920698222612509E-3"/>
              <c:y val="0.209131208824584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86999551"/>
        <c:crosses val="autoZero"/>
        <c:crossBetween val="between"/>
      </c:valAx>
      <c:spPr>
        <a:noFill/>
        <a:ln>
          <a:noFill/>
        </a:ln>
        <a:effectLst/>
      </c:spPr>
    </c:plotArea>
    <c:legend>
      <c:legendPos val="r"/>
      <c:layout>
        <c:manualLayout>
          <c:xMode val="edge"/>
          <c:yMode val="edge"/>
          <c:x val="0.72894790551181099"/>
          <c:y val="0.25005622093516466"/>
          <c:w val="0.25398542782152234"/>
          <c:h val="0.546899982262256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43709221162443"/>
          <c:y val="3.6912741924445935E-2"/>
          <c:w val="0.56016802153507461"/>
          <c:h val="0.84230948853686427"/>
        </c:manualLayout>
      </c:layout>
      <c:lineChart>
        <c:grouping val="standard"/>
        <c:varyColors val="0"/>
        <c:ser>
          <c:idx val="2"/>
          <c:order val="2"/>
          <c:tx>
            <c:strRef>
              <c:f>'[IAHP constant prices analysis.xlsx]Budget est %'!$B$5</c:f>
              <c:strCache>
                <c:ptCount val="1"/>
                <c:pt idx="0">
                  <c:v>IAHP / National total %</c:v>
                </c:pt>
              </c:strCache>
            </c:strRef>
          </c:tx>
          <c:spPr>
            <a:ln w="28575" cap="rnd">
              <a:solidFill>
                <a:schemeClr val="tx1"/>
              </a:solidFill>
              <a:round/>
            </a:ln>
            <a:effectLst/>
          </c:spPr>
          <c:marker>
            <c:symbol val="circle"/>
            <c:size val="5"/>
            <c:spPr>
              <a:solidFill>
                <a:schemeClr val="tx1"/>
              </a:solidFill>
              <a:ln w="9525">
                <a:solidFill>
                  <a:schemeClr val="tx1"/>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%'!$C$5:$I$5</c:f>
              <c:numCache>
                <c:formatCode>0.00%</c:formatCode>
                <c:ptCount val="7"/>
                <c:pt idx="0">
                  <c:v>5.0543041623058753E-3</c:v>
                </c:pt>
                <c:pt idx="1">
                  <c:v>4.8924852242827705E-3</c:v>
                </c:pt>
                <c:pt idx="2">
                  <c:v>4.7956771819719557E-3</c:v>
                </c:pt>
                <c:pt idx="3">
                  <c:v>4.9288740988663792E-3</c:v>
                </c:pt>
                <c:pt idx="4">
                  <c:v>4.7442787018416093E-3</c:v>
                </c:pt>
                <c:pt idx="5">
                  <c:v>4.7238619756877938E-3</c:v>
                </c:pt>
                <c:pt idx="6">
                  <c:v>4.3401007688619398E-3</c:v>
                </c:pt>
              </c:numCache>
            </c:numRef>
          </c:val>
          <c:smooth val="0"/>
          <c:extLst>
            <c:ext xmlns:c16="http://schemas.microsoft.com/office/drawing/2014/chart" uri="{C3380CC4-5D6E-409C-BE32-E72D297353CC}">
              <c16:uniqueId val="{00000000-F233-4E70-886F-CAD6F6302C7D}"/>
            </c:ext>
          </c:extLst>
        </c:ser>
        <c:ser>
          <c:idx val="5"/>
          <c:order val="5"/>
          <c:tx>
            <c:strRef>
              <c:f>'[IAHP constant prices analysis.xlsx]Budget est %'!$B$8</c:f>
              <c:strCache>
                <c:ptCount val="1"/>
                <c:pt idx="0">
                  <c:v>IAHP / Australia Govt %</c:v>
                </c:pt>
              </c:strCache>
            </c:strRef>
          </c:tx>
          <c:spPr>
            <a:ln w="28575" cap="rnd">
              <a:solidFill>
                <a:srgbClr val="3B7DBD"/>
              </a:solidFill>
              <a:round/>
            </a:ln>
            <a:effectLst/>
          </c:spPr>
          <c:marker>
            <c:symbol val="circle"/>
            <c:size val="5"/>
            <c:spPr>
              <a:solidFill>
                <a:srgbClr val="3B7DBD"/>
              </a:solidFill>
              <a:ln w="9525">
                <a:solidFill>
                  <a:srgbClr val="3B7DBD"/>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%'!$C$8:$I$8</c:f>
              <c:numCache>
                <c:formatCode>0.0%</c:formatCode>
                <c:ptCount val="7"/>
                <c:pt idx="0">
                  <c:v>1.1161747200879125E-2</c:v>
                </c:pt>
                <c:pt idx="1">
                  <c:v>1.102455494949833E-2</c:v>
                </c:pt>
                <c:pt idx="2">
                  <c:v>1.1135248657768684E-2</c:v>
                </c:pt>
                <c:pt idx="3">
                  <c:v>1.1533681085533017E-2</c:v>
                </c:pt>
                <c:pt idx="4">
                  <c:v>1.1329433298660494E-2</c:v>
                </c:pt>
                <c:pt idx="5">
                  <c:v>1.1071253165597136E-2</c:v>
                </c:pt>
                <c:pt idx="6">
                  <c:v>1.0157215616395118E-2</c:v>
                </c:pt>
              </c:numCache>
            </c:numRef>
          </c:val>
          <c:smooth val="0"/>
          <c:extLst>
            <c:ext xmlns:c16="http://schemas.microsoft.com/office/drawing/2014/chart" uri="{C3380CC4-5D6E-409C-BE32-E72D297353CC}">
              <c16:uniqueId val="{00000001-F233-4E70-886F-CAD6F6302C7D}"/>
            </c:ext>
          </c:extLst>
        </c:ser>
        <c:ser>
          <c:idx val="8"/>
          <c:order val="8"/>
          <c:tx>
            <c:strRef>
              <c:f>'[IAHP constant prices analysis.xlsx]Budget est %'!$B$11</c:f>
              <c:strCache>
                <c:ptCount val="1"/>
                <c:pt idx="0">
                  <c:v>IAHP / Australia Govt PHC %</c:v>
                </c:pt>
              </c:strCache>
            </c:strRef>
          </c:tx>
          <c:spPr>
            <a:ln w="28575" cap="rnd">
              <a:solidFill>
                <a:srgbClr val="9C533A"/>
              </a:solidFill>
              <a:round/>
            </a:ln>
            <a:effectLst/>
          </c:spPr>
          <c:marker>
            <c:symbol val="circle"/>
            <c:size val="5"/>
            <c:spPr>
              <a:solidFill>
                <a:srgbClr val="9C533A">
                  <a:alpha val="90000"/>
                </a:srgbClr>
              </a:solidFill>
              <a:ln w="9525">
                <a:solidFill>
                  <a:srgbClr val="9C533A"/>
                </a:solidFill>
              </a:ln>
              <a:effectLst/>
            </c:spPr>
          </c:marker>
          <c:cat>
            <c:strRef>
              <c:f>'[IAHP constant prices analysis.xlsx]Budget est %'!$C$2:$I$2</c:f>
              <c:strCache>
                <c:ptCount val="7"/>
                <c:pt idx="0">
                  <c:v>2014-15</c:v>
                </c:pt>
                <c:pt idx="1">
                  <c:v>2015-16</c:v>
                </c:pt>
                <c:pt idx="2">
                  <c:v>2016-17</c:v>
                </c:pt>
                <c:pt idx="3">
                  <c:v>2017-18</c:v>
                </c:pt>
                <c:pt idx="4">
                  <c:v>2018-19</c:v>
                </c:pt>
                <c:pt idx="5">
                  <c:v>2019-20</c:v>
                </c:pt>
                <c:pt idx="6">
                  <c:v>2020-21</c:v>
                </c:pt>
              </c:strCache>
            </c:strRef>
          </c:cat>
          <c:val>
            <c:numRef>
              <c:f>'[IAHP constant prices analysis.xlsx]Budget est %'!$C$11:$I$11</c:f>
              <c:numCache>
                <c:formatCode>0.0%</c:formatCode>
                <c:ptCount val="7"/>
                <c:pt idx="0">
                  <c:v>3.0950599612381613E-2</c:v>
                </c:pt>
                <c:pt idx="1">
                  <c:v>3.080398586335974E-2</c:v>
                </c:pt>
                <c:pt idx="2">
                  <c:v>3.1663981175818159E-2</c:v>
                </c:pt>
                <c:pt idx="3">
                  <c:v>3.2546869615158493E-2</c:v>
                </c:pt>
                <c:pt idx="4">
                  <c:v>3.2544481455249873E-2</c:v>
                </c:pt>
                <c:pt idx="5">
                  <c:v>3.1389261286730696E-2</c:v>
                </c:pt>
                <c:pt idx="6">
                  <c:v>2.8631228841273445E-2</c:v>
                </c:pt>
              </c:numCache>
            </c:numRef>
          </c:val>
          <c:smooth val="0"/>
          <c:extLst>
            <c:ext xmlns:c16="http://schemas.microsoft.com/office/drawing/2014/chart" uri="{C3380CC4-5D6E-409C-BE32-E72D297353CC}">
              <c16:uniqueId val="{00000002-F233-4E70-886F-CAD6F6302C7D}"/>
            </c:ext>
          </c:extLst>
        </c:ser>
        <c:dLbls>
          <c:showLegendKey val="0"/>
          <c:showVal val="0"/>
          <c:showCatName val="0"/>
          <c:showSerName val="0"/>
          <c:showPercent val="0"/>
          <c:showBubbleSize val="0"/>
        </c:dLbls>
        <c:marker val="1"/>
        <c:smooth val="0"/>
        <c:axId val="1136972415"/>
        <c:axId val="447157439"/>
        <c:extLst>
          <c:ext xmlns:c15="http://schemas.microsoft.com/office/drawing/2012/chart" uri="{02D57815-91ED-43cb-92C2-25804820EDAC}">
            <c15:filteredLineSeries>
              <c15:ser>
                <c:idx val="0"/>
                <c:order val="0"/>
                <c:tx>
                  <c:strRef>
                    <c:extLst>
                      <c:ext uri="{02D57815-91ED-43cb-92C2-25804820EDAC}">
                        <c15:formulaRef>
                          <c15:sqref>'[IAHP constant prices analysis.xlsx]Budget est %'!$B$3</c15:sqref>
                        </c15:formulaRef>
                      </c:ext>
                    </c:extLst>
                    <c:strCache>
                      <c:ptCount val="1"/>
                      <c:pt idx="0">
                        <c:v> Constant 2019-20 dollars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c:ext uri="{02D57815-91ED-43cb-92C2-25804820EDAC}">
                        <c15:formulaRef>
                          <c15:sqref>'[IAHP constant prices analysis.xlsx]Budget est %'!$C$3:$I$3</c15:sqref>
                        </c15:formulaRef>
                      </c:ext>
                    </c:extLst>
                    <c:numCache>
                      <c:formatCode>"$"#,##0_);[Red]\("$"#,##0\)</c:formatCode>
                      <c:ptCount val="7"/>
                      <c:pt idx="0">
                        <c:v>813666030</c:v>
                      </c:pt>
                      <c:pt idx="1">
                        <c:v>831230739</c:v>
                      </c:pt>
                      <c:pt idx="2">
                        <c:v>864708445</c:v>
                      </c:pt>
                      <c:pt idx="3">
                        <c:v>915636132</c:v>
                      </c:pt>
                      <c:pt idx="4">
                        <c:v>926978817</c:v>
                      </c:pt>
                      <c:pt idx="5">
                        <c:v>956800000</c:v>
                      </c:pt>
                      <c:pt idx="6">
                        <c:v>932078746</c:v>
                      </c:pt>
                    </c:numCache>
                  </c:numRef>
                </c:val>
                <c:smooth val="0"/>
                <c:extLst>
                  <c:ext xmlns:c16="http://schemas.microsoft.com/office/drawing/2014/chart" uri="{C3380CC4-5D6E-409C-BE32-E72D297353CC}">
                    <c16:uniqueId val="{00000003-F233-4E70-886F-CAD6F6302C7D}"/>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'[IAHP constant prices analysis.xlsx]Budget est %'!$B$4</c15:sqref>
                        </c15:formulaRef>
                      </c:ext>
                    </c:extLst>
                    <c:strCache>
                      <c:ptCount val="1"/>
                      <c:pt idx="0">
                        <c:v>National total health spending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%'!$C$4:$I$4</c15:sqref>
                        </c15:formulaRef>
                      </c:ext>
                    </c:extLst>
                    <c:numCache>
                      <c:formatCode>"$"#,##0</c:formatCode>
                      <c:ptCount val="7"/>
                      <c:pt idx="0">
                        <c:v>160984777304.892</c:v>
                      </c:pt>
                      <c:pt idx="1">
                        <c:v>169899488888.46301</c:v>
                      </c:pt>
                      <c:pt idx="2">
                        <c:v>180309977546.16101</c:v>
                      </c:pt>
                      <c:pt idx="3">
                        <c:v>185769835794.871</c:v>
                      </c:pt>
                      <c:pt idx="4">
                        <c:v>195388777779.89102</c:v>
                      </c:pt>
                      <c:pt idx="5">
                        <c:v>202546138080.31299</c:v>
                      </c:pt>
                      <c:pt idx="6" formatCode="_-&quot;$&quot;* #,##0_-;\-&quot;$&quot;* #,##0_-;_-&quot;$&quot;* &quot;-&quot;??_-;_-@_-">
                        <c:v>214759701592</c:v>
                      </c:pt>
                    </c:numCache>
                  </c:numRef>
                </c:val>
                <c:smooth val="0"/>
                <c:extLst xmlns:c15="http://schemas.microsoft.com/office/drawing/2012/chart">
                  <c:ext xmlns:c16="http://schemas.microsoft.com/office/drawing/2014/chart" uri="{C3380CC4-5D6E-409C-BE32-E72D297353CC}">
                    <c16:uniqueId val="{00000004-F233-4E70-886F-CAD6F6302C7D}"/>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'[IAHP constant prices analysis.xlsx]Budget est %'!$B$6</c15:sqref>
                        </c15:formulaRef>
                      </c:ext>
                    </c:extLst>
                    <c:strCache>
                      <c:ptCount val="1"/>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%'!$C$6:$I$6</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5-F233-4E70-886F-CAD6F6302C7D}"/>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'[IAHP constant prices analysis.xlsx]Budget est %'!$B$7</c15:sqref>
                        </c15:formulaRef>
                      </c:ext>
                    </c:extLst>
                    <c:strCache>
                      <c:ptCount val="1"/>
                      <c:pt idx="0">
                        <c:v>Australian Government health spending</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%'!$C$7:$I$7</c15:sqref>
                        </c15:formulaRef>
                      </c:ext>
                    </c:extLst>
                    <c:numCache>
                      <c:formatCode>"$"#,##0</c:formatCode>
                      <c:ptCount val="7"/>
                      <c:pt idx="0">
                        <c:v>72897729661.527695</c:v>
                      </c:pt>
                      <c:pt idx="1">
                        <c:v>75398121992.926804</c:v>
                      </c:pt>
                      <c:pt idx="2">
                        <c:v>77655063804.679596</c:v>
                      </c:pt>
                      <c:pt idx="3">
                        <c:v>79388022367.681488</c:v>
                      </c:pt>
                      <c:pt idx="4">
                        <c:v>81820404654.2733</c:v>
                      </c:pt>
                      <c:pt idx="5">
                        <c:v>86422014354.541611</c:v>
                      </c:pt>
                      <c:pt idx="6">
                        <c:v>91765182625</c:v>
                      </c:pt>
                    </c:numCache>
                  </c:numRef>
                </c:val>
                <c:smooth val="0"/>
                <c:extLst xmlns:c15="http://schemas.microsoft.com/office/drawing/2012/chart">
                  <c:ext xmlns:c16="http://schemas.microsoft.com/office/drawing/2014/chart" uri="{C3380CC4-5D6E-409C-BE32-E72D297353CC}">
                    <c16:uniqueId val="{00000006-F233-4E70-886F-CAD6F6302C7D}"/>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'[IAHP constant prices analysis.xlsx]Budget est %'!$B$9</c15:sqref>
                        </c15:formulaRef>
                      </c:ext>
                    </c:extLst>
                    <c:strCache>
                      <c:ptCount val="1"/>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%'!$C$9:$I$9</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7-F233-4E70-886F-CAD6F6302C7D}"/>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'[IAHP constant prices analysis.xlsx]Budget est %'!$B$10</c15:sqref>
                        </c15:formulaRef>
                      </c:ext>
                    </c:extLst>
                    <c:strCache>
                      <c:ptCount val="1"/>
                      <c:pt idx="0">
                        <c:v>Australian Government PHC spending for PHC</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extLst xmlns:c15="http://schemas.microsoft.com/office/drawing/2012/chart">
                      <c:ext xmlns:c15="http://schemas.microsoft.com/office/drawing/2012/chart" uri="{02D57815-91ED-43cb-92C2-25804820EDAC}">
                        <c15:formulaRef>
                          <c15:sqref>'[IAHP constant prices analysis.xlsx]Budget est %'!$C$2:$I$2</c15:sqref>
                        </c15:formulaRef>
                      </c:ext>
                    </c:extLst>
                    <c:strCache>
                      <c:ptCount val="7"/>
                      <c:pt idx="0">
                        <c:v>2014-15</c:v>
                      </c:pt>
                      <c:pt idx="1">
                        <c:v>2015-16</c:v>
                      </c:pt>
                      <c:pt idx="2">
                        <c:v>2016-17</c:v>
                      </c:pt>
                      <c:pt idx="3">
                        <c:v>2017-18</c:v>
                      </c:pt>
                      <c:pt idx="4">
                        <c:v>2018-19</c:v>
                      </c:pt>
                      <c:pt idx="5">
                        <c:v>2019-20</c:v>
                      </c:pt>
                      <c:pt idx="6">
                        <c:v>2020-21</c:v>
                      </c:pt>
                    </c:strCache>
                  </c:strRef>
                </c:cat>
                <c:val>
                  <c:numRef>
                    <c:extLst xmlns:c15="http://schemas.microsoft.com/office/drawing/2012/chart">
                      <c:ext xmlns:c15="http://schemas.microsoft.com/office/drawing/2012/chart" uri="{02D57815-91ED-43cb-92C2-25804820EDAC}">
                        <c15:formulaRef>
                          <c15:sqref>'[IAHP constant prices analysis.xlsx]Budget est %'!$C$10:$I$10</c15:sqref>
                        </c15:formulaRef>
                      </c:ext>
                    </c:extLst>
                    <c:numCache>
                      <c:formatCode>"$"#,##0</c:formatCode>
                      <c:ptCount val="7"/>
                      <c:pt idx="0">
                        <c:v>26289184706.925598</c:v>
                      </c:pt>
                      <c:pt idx="1">
                        <c:v>26984518908.9221</c:v>
                      </c:pt>
                      <c:pt idx="2">
                        <c:v>27308898404.1078</c:v>
                      </c:pt>
                      <c:pt idx="3">
                        <c:v>28132847884.5028</c:v>
                      </c:pt>
                      <c:pt idx="4">
                        <c:v>28483440987.518501</c:v>
                      </c:pt>
                      <c:pt idx="5">
                        <c:v>30481762258.1157</c:v>
                      </c:pt>
                      <c:pt idx="6">
                        <c:v>32554618985</c:v>
                      </c:pt>
                    </c:numCache>
                  </c:numRef>
                </c:val>
                <c:smooth val="0"/>
                <c:extLst xmlns:c15="http://schemas.microsoft.com/office/drawing/2012/chart">
                  <c:ext xmlns:c16="http://schemas.microsoft.com/office/drawing/2014/chart" uri="{C3380CC4-5D6E-409C-BE32-E72D297353CC}">
                    <c16:uniqueId val="{00000008-F233-4E70-886F-CAD6F6302C7D}"/>
                  </c:ext>
                </c:extLst>
              </c15:ser>
            </c15:filteredLineSeries>
          </c:ext>
        </c:extLst>
      </c:lineChart>
      <c:catAx>
        <c:axId val="11369724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7157439"/>
        <c:crosses val="autoZero"/>
        <c:auto val="1"/>
        <c:lblAlgn val="ctr"/>
        <c:lblOffset val="100"/>
        <c:noMultiLvlLbl val="0"/>
      </c:catAx>
      <c:valAx>
        <c:axId val="4471574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IAHP % of expenditure (constant 2019-20)</a:t>
                </a:r>
              </a:p>
            </c:rich>
          </c:tx>
          <c:layout>
            <c:manualLayout>
              <c:xMode val="edge"/>
              <c:yMode val="edge"/>
              <c:x val="1.3137417144890789E-2"/>
              <c:y val="9.601286153099475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36972415"/>
        <c:crosses val="autoZero"/>
        <c:crossBetween val="between"/>
      </c:valAx>
      <c:spPr>
        <a:noFill/>
        <a:ln>
          <a:noFill/>
        </a:ln>
        <a:effectLst/>
      </c:spPr>
    </c:plotArea>
    <c:legend>
      <c:legendPos val="r"/>
      <c:layout>
        <c:manualLayout>
          <c:xMode val="edge"/>
          <c:yMode val="edge"/>
          <c:x val="0.69201449031451912"/>
          <c:y val="0.41505802064735492"/>
          <c:w val="0.29447199856848999"/>
          <c:h val="0.243709178325535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'[IAHP budget analysis - DOH data.xlsx]Funded orgs'!$A$4</c:f>
              <c:strCache>
                <c:ptCount val="1"/>
                <c:pt idx="0">
                  <c:v>ACCHS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'[IAHP budget analysis - DOH data.xlsx]Funded orgs'!$B$4</c:f>
              <c:numCache>
                <c:formatCode>0.0%</c:formatCode>
                <c:ptCount val="1"/>
                <c:pt idx="0">
                  <c:v>0.7</c:v>
                </c:pt>
              </c:numCache>
            </c:numRef>
          </c:val>
          <c:extLst>
            <c:ext xmlns:c16="http://schemas.microsoft.com/office/drawing/2014/chart" uri="{C3380CC4-5D6E-409C-BE32-E72D297353CC}">
              <c16:uniqueId val="{00000000-30F7-48E7-8588-F0B9D2A894BE}"/>
            </c:ext>
          </c:extLst>
        </c:ser>
        <c:ser>
          <c:idx val="1"/>
          <c:order val="1"/>
          <c:tx>
            <c:strRef>
              <c:f>'[IAHP budget analysis - DOH data.xlsx]Funded orgs'!$A$5</c:f>
              <c:strCache>
                <c:ptCount val="1"/>
                <c:pt idx="0">
                  <c:v>PHN</c:v>
                </c:pt>
              </c:strCache>
            </c:strRef>
          </c:tx>
          <c:spPr>
            <a:solidFill>
              <a:schemeClr val="accent2"/>
            </a:solidFill>
            <a:ln>
              <a:noFill/>
            </a:ln>
            <a:effectLst/>
          </c:spPr>
          <c:invertIfNegative val="0"/>
          <c:dLbls>
            <c:dLbl>
              <c:idx val="0"/>
              <c:dLblPos val="ctr"/>
              <c:showLegendKey val="0"/>
              <c:showVal val="0"/>
              <c:showCatName val="0"/>
              <c:showSerName val="1"/>
              <c:showPercent val="0"/>
              <c:showBubbleSize val="0"/>
              <c:extLst>
                <c:ext xmlns:c15="http://schemas.microsoft.com/office/drawing/2012/chart" uri="{CE6537A1-D6FC-4f65-9D91-7224C49458BB}">
                  <c15:layout>
                    <c:manualLayout>
                      <c:w val="9.5888888888888871E-2"/>
                      <c:h val="0.15900481189851268"/>
                    </c:manualLayout>
                  </c15:layout>
                </c:ext>
                <c:ext xmlns:c16="http://schemas.microsoft.com/office/drawing/2014/chart" uri="{C3380CC4-5D6E-409C-BE32-E72D297353CC}">
                  <c16:uniqueId val="{00000001-30F7-48E7-8588-F0B9D2A894BE}"/>
                </c:ext>
              </c:extLst>
            </c:dLbl>
            <c:spPr>
              <a:noFill/>
              <a:ln>
                <a:noFill/>
              </a:ln>
              <a:effectLst/>
            </c:spPr>
            <c:txPr>
              <a:bodyPr rot="-5400000" spcFirstLastPara="1" vertOverflow="ellipsis"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'[IAHP budget analysis - DOH data.xlsx]Funded orgs'!$B$5</c:f>
              <c:numCache>
                <c:formatCode>0.0%</c:formatCode>
                <c:ptCount val="1"/>
                <c:pt idx="0">
                  <c:v>0.112</c:v>
                </c:pt>
              </c:numCache>
            </c:numRef>
          </c:val>
          <c:extLst>
            <c:ext xmlns:c16="http://schemas.microsoft.com/office/drawing/2014/chart" uri="{C3380CC4-5D6E-409C-BE32-E72D297353CC}">
              <c16:uniqueId val="{00000002-30F7-48E7-8588-F0B9D2A894BE}"/>
            </c:ext>
          </c:extLst>
        </c:ser>
        <c:ser>
          <c:idx val="2"/>
          <c:order val="2"/>
          <c:tx>
            <c:strRef>
              <c:f>'[IAHP budget analysis - DOH data.xlsx]Funded orgs'!$A$6</c:f>
              <c:strCache>
                <c:ptCount val="1"/>
                <c:pt idx="0">
                  <c:v>non-Indigenous organisation</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'[IAHP budget analysis - DOH data.xlsx]Funded orgs'!$B$6</c:f>
              <c:numCache>
                <c:formatCode>0.0%</c:formatCode>
                <c:ptCount val="1"/>
                <c:pt idx="0">
                  <c:v>0.10299999999999999</c:v>
                </c:pt>
              </c:numCache>
            </c:numRef>
          </c:val>
          <c:extLst>
            <c:ext xmlns:c16="http://schemas.microsoft.com/office/drawing/2014/chart" uri="{C3380CC4-5D6E-409C-BE32-E72D297353CC}">
              <c16:uniqueId val="{00000003-30F7-48E7-8588-F0B9D2A894BE}"/>
            </c:ext>
          </c:extLst>
        </c:ser>
        <c:ser>
          <c:idx val="3"/>
          <c:order val="3"/>
          <c:tx>
            <c:strRef>
              <c:f>'[IAHP budget analysis - DOH data.xlsx]Funded orgs'!$A$7</c:f>
              <c:strCache>
                <c:ptCount val="1"/>
                <c:pt idx="0">
                  <c:v>Government organisation</c:v>
                </c:pt>
              </c:strCache>
            </c:strRef>
          </c:tx>
          <c:spPr>
            <a:solidFill>
              <a:schemeClr val="accent4"/>
            </a:solidFill>
            <a:ln>
              <a:noFill/>
            </a:ln>
            <a:effectLst/>
          </c:spPr>
          <c:invertIfNegative val="0"/>
          <c:dPt>
            <c:idx val="0"/>
            <c:invertIfNegative val="0"/>
            <c:bubble3D val="0"/>
            <c:spPr>
              <a:solidFill>
                <a:srgbClr val="4CB3C2"/>
              </a:solidFill>
              <a:ln>
                <a:noFill/>
              </a:ln>
              <a:effectLst/>
            </c:spPr>
            <c:extLst>
              <c:ext xmlns:c16="http://schemas.microsoft.com/office/drawing/2014/chart" uri="{C3380CC4-5D6E-409C-BE32-E72D297353CC}">
                <c16:uniqueId val="{00000005-30F7-48E7-8588-F0B9D2A894BE}"/>
              </c:ext>
            </c:extLst>
          </c:dPt>
          <c:dLbls>
            <c:dLbl>
              <c:idx val="0"/>
              <c:spPr>
                <a:noFill/>
                <a:ln>
                  <a:noFill/>
                </a:ln>
                <a:effectLst/>
              </c:spPr>
              <c:txPr>
                <a:bodyPr rot="-5400000" spcFirstLastPara="1" vertOverflow="ellipsis" wrap="square" lIns="0" rIns="0"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extLst>
                <c:ext xmlns:c15="http://schemas.microsoft.com/office/drawing/2012/chart" uri="{CE6537A1-D6FC-4f65-9D91-7224C49458BB}">
                  <c15:layout>
                    <c:manualLayout>
                      <c:w val="0.11752053456524751"/>
                      <c:h val="0.27649708762143593"/>
                    </c:manualLayout>
                  </c15:layout>
                </c:ext>
                <c:ext xmlns:c16="http://schemas.microsoft.com/office/drawing/2014/chart" uri="{C3380CC4-5D6E-409C-BE32-E72D297353CC}">
                  <c16:uniqueId val="{00000005-30F7-48E7-8588-F0B9D2A894BE}"/>
                </c:ext>
              </c:extLst>
            </c:dLbl>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'[IAHP budget analysis - DOH data.xlsx]Funded orgs'!$B$7</c:f>
              <c:numCache>
                <c:formatCode>0.0%</c:formatCode>
                <c:ptCount val="1"/>
                <c:pt idx="0">
                  <c:v>8.5000000000000006E-2</c:v>
                </c:pt>
              </c:numCache>
            </c:numRef>
          </c:val>
          <c:extLst>
            <c:ext xmlns:c16="http://schemas.microsoft.com/office/drawing/2014/chart" uri="{C3380CC4-5D6E-409C-BE32-E72D297353CC}">
              <c16:uniqueId val="{00000006-30F7-48E7-8588-F0B9D2A894BE}"/>
            </c:ext>
          </c:extLst>
        </c:ser>
        <c:dLbls>
          <c:dLblPos val="ctr"/>
          <c:showLegendKey val="0"/>
          <c:showVal val="1"/>
          <c:showCatName val="0"/>
          <c:showSerName val="0"/>
          <c:showPercent val="0"/>
          <c:showBubbleSize val="0"/>
        </c:dLbls>
        <c:gapWidth val="50"/>
        <c:overlap val="100"/>
        <c:axId val="1596663088"/>
        <c:axId val="1596664336"/>
      </c:barChart>
      <c:catAx>
        <c:axId val="1596663088"/>
        <c:scaling>
          <c:orientation val="minMax"/>
        </c:scaling>
        <c:delete val="1"/>
        <c:axPos val="l"/>
        <c:numFmt formatCode="General" sourceLinked="1"/>
        <c:majorTickMark val="none"/>
        <c:minorTickMark val="none"/>
        <c:tickLblPos val="nextTo"/>
        <c:crossAx val="1596664336"/>
        <c:crosses val="autoZero"/>
        <c:auto val="1"/>
        <c:lblAlgn val="ctr"/>
        <c:lblOffset val="100"/>
        <c:noMultiLvlLbl val="0"/>
      </c:catAx>
      <c:valAx>
        <c:axId val="1596664336"/>
        <c:scaling>
          <c:orientation val="minMax"/>
        </c:scaling>
        <c:delete val="1"/>
        <c:axPos val="b"/>
        <c:numFmt formatCode="0%" sourceLinked="1"/>
        <c:majorTickMark val="none"/>
        <c:minorTickMark val="none"/>
        <c:tickLblPos val="nextTo"/>
        <c:crossAx val="1596663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'[IAHP budget analysis - DOH data.xlsx]Funded orgs'!$A$23</c:f>
              <c:strCache>
                <c:ptCount val="1"/>
                <c:pt idx="0">
                  <c:v>ACCHS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'[IAHP budget analysis - DOH data.xlsx]Funded orgs'!$B$23</c:f>
              <c:numCache>
                <c:formatCode>0.0%</c:formatCode>
                <c:ptCount val="1"/>
                <c:pt idx="0">
                  <c:v>0.81499999999999995</c:v>
                </c:pt>
              </c:numCache>
            </c:numRef>
          </c:val>
          <c:extLst>
            <c:ext xmlns:c16="http://schemas.microsoft.com/office/drawing/2014/chart" uri="{C3380CC4-5D6E-409C-BE32-E72D297353CC}">
              <c16:uniqueId val="{00000000-BBD3-4BBB-9470-E8A3C08B7B45}"/>
            </c:ext>
          </c:extLst>
        </c:ser>
        <c:ser>
          <c:idx val="1"/>
          <c:order val="1"/>
          <c:tx>
            <c:strRef>
              <c:f>'[IAHP budget analysis - DOH data.xlsx]Funded orgs'!$A$24</c:f>
              <c:strCache>
                <c:ptCount val="1"/>
                <c:pt idx="0">
                  <c:v>Other</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'[IAHP budget analysis - DOH data.xlsx]Funded orgs'!$B$24</c:f>
              <c:numCache>
                <c:formatCode>0.0%</c:formatCode>
                <c:ptCount val="1"/>
                <c:pt idx="0">
                  <c:v>0.185</c:v>
                </c:pt>
              </c:numCache>
            </c:numRef>
          </c:val>
          <c:extLst>
            <c:ext xmlns:c16="http://schemas.microsoft.com/office/drawing/2014/chart" uri="{C3380CC4-5D6E-409C-BE32-E72D297353CC}">
              <c16:uniqueId val="{00000001-BBD3-4BBB-9470-E8A3C08B7B45}"/>
            </c:ext>
          </c:extLst>
        </c:ser>
        <c:dLbls>
          <c:dLblPos val="ctr"/>
          <c:showLegendKey val="0"/>
          <c:showVal val="1"/>
          <c:showCatName val="0"/>
          <c:showSerName val="0"/>
          <c:showPercent val="0"/>
          <c:showBubbleSize val="0"/>
        </c:dLbls>
        <c:gapWidth val="60"/>
        <c:overlap val="100"/>
        <c:axId val="1671993184"/>
        <c:axId val="1671982784"/>
      </c:barChart>
      <c:catAx>
        <c:axId val="1671993184"/>
        <c:scaling>
          <c:orientation val="minMax"/>
        </c:scaling>
        <c:delete val="1"/>
        <c:axPos val="l"/>
        <c:numFmt formatCode="General" sourceLinked="1"/>
        <c:majorTickMark val="none"/>
        <c:minorTickMark val="none"/>
        <c:tickLblPos val="nextTo"/>
        <c:crossAx val="1671982784"/>
        <c:crosses val="autoZero"/>
        <c:auto val="1"/>
        <c:lblAlgn val="ctr"/>
        <c:lblOffset val="100"/>
        <c:noMultiLvlLbl val="0"/>
      </c:catAx>
      <c:valAx>
        <c:axId val="1671982784"/>
        <c:scaling>
          <c:orientation val="minMax"/>
        </c:scaling>
        <c:delete val="1"/>
        <c:axPos val="b"/>
        <c:numFmt formatCode="0%" sourceLinked="1"/>
        <c:majorTickMark val="none"/>
        <c:minorTickMark val="none"/>
        <c:tickLblPos val="nextTo"/>
        <c:crossAx val="1671993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solidFill>
            <a:schemeClr val="bg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84782580214079"/>
          <c:y val="5.5443548387096774E-2"/>
          <c:w val="0.85964477402055195"/>
          <c:h val="0.77580645161290318"/>
        </c:manualLayout>
      </c:layout>
      <c:barChart>
        <c:barDir val="bar"/>
        <c:grouping val="clustered"/>
        <c:varyColors val="0"/>
        <c:ser>
          <c:idx val="0"/>
          <c:order val="0"/>
          <c:tx>
            <c:strRef>
              <c:f>'21-22 Data'!$B$6</c:f>
              <c:strCache>
                <c:ptCount val="1"/>
                <c:pt idx="0">
                  <c:v>%</c:v>
                </c:pt>
              </c:strCache>
            </c:strRef>
          </c:tx>
          <c:spPr>
            <a:solidFill>
              <a:schemeClr val="accent1"/>
            </a:solidFill>
            <a:ln>
              <a:noFill/>
            </a:ln>
            <a:effectLst/>
          </c:spPr>
          <c:invertIfNegative val="0"/>
          <c:dLbls>
            <c:dLbl>
              <c:idx val="5"/>
              <c:layout>
                <c:manualLayout>
                  <c:x val="-5.3244592346089852E-2"/>
                  <c:y val="-2.72240044068565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67-4460-8B7E-B05F6D8C082F}"/>
                </c:ext>
              </c:extLst>
            </c:dLbl>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'21-22 Data'!$A$7:$A$15</c:f>
              <c:strCache>
                <c:ptCount val="9"/>
                <c:pt idx="0">
                  <c:v>ACT</c:v>
                </c:pt>
                <c:pt idx="1">
                  <c:v>NSW</c:v>
                </c:pt>
                <c:pt idx="2">
                  <c:v>NT</c:v>
                </c:pt>
                <c:pt idx="3">
                  <c:v>Qld</c:v>
                </c:pt>
                <c:pt idx="4">
                  <c:v>SA</c:v>
                </c:pt>
                <c:pt idx="5">
                  <c:v>Tas</c:v>
                </c:pt>
                <c:pt idx="6">
                  <c:v>Vic</c:v>
                </c:pt>
                <c:pt idx="7">
                  <c:v>WA</c:v>
                </c:pt>
                <c:pt idx="8">
                  <c:v>National</c:v>
                </c:pt>
              </c:strCache>
            </c:strRef>
          </c:cat>
          <c:val>
            <c:numRef>
              <c:f>'21-22 Data'!$B$7:$B$15</c:f>
              <c:numCache>
                <c:formatCode>General</c:formatCode>
                <c:ptCount val="9"/>
                <c:pt idx="0">
                  <c:v>3.3</c:v>
                </c:pt>
                <c:pt idx="1">
                  <c:v>19.7</c:v>
                </c:pt>
                <c:pt idx="2">
                  <c:v>24.1</c:v>
                </c:pt>
                <c:pt idx="3">
                  <c:v>20.399999999999999</c:v>
                </c:pt>
                <c:pt idx="4" formatCode="0.0">
                  <c:v>6</c:v>
                </c:pt>
                <c:pt idx="5">
                  <c:v>1.5</c:v>
                </c:pt>
                <c:pt idx="6">
                  <c:v>6.7</c:v>
                </c:pt>
                <c:pt idx="7">
                  <c:v>14.2</c:v>
                </c:pt>
                <c:pt idx="8">
                  <c:v>4.0999999999999996</c:v>
                </c:pt>
              </c:numCache>
            </c:numRef>
          </c:val>
          <c:extLst>
            <c:ext xmlns:c16="http://schemas.microsoft.com/office/drawing/2014/chart" uri="{C3380CC4-5D6E-409C-BE32-E72D297353CC}">
              <c16:uniqueId val="{00000001-DC67-4460-8B7E-B05F6D8C082F}"/>
            </c:ext>
          </c:extLst>
        </c:ser>
        <c:dLbls>
          <c:showLegendKey val="0"/>
          <c:showVal val="1"/>
          <c:showCatName val="0"/>
          <c:showSerName val="0"/>
          <c:showPercent val="0"/>
          <c:showBubbleSize val="0"/>
        </c:dLbls>
        <c:gapWidth val="50"/>
        <c:axId val="1467658416"/>
        <c:axId val="1467659664"/>
      </c:barChart>
      <c:catAx>
        <c:axId val="1467658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7659664"/>
        <c:crosses val="autoZero"/>
        <c:auto val="1"/>
        <c:lblAlgn val="ctr"/>
        <c:lblOffset val="100"/>
        <c:noMultiLvlLbl val="0"/>
      </c:catAx>
      <c:valAx>
        <c:axId val="1467659664"/>
        <c:scaling>
          <c:orientation val="minMax"/>
          <c:max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676584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5"/>
          <c:order val="5"/>
          <c:tx>
            <c:strRef>
              <c:f>'Funding ($19-20) by pop'!$H$8</c:f>
              <c:strCache>
                <c:ptCount val="1"/>
                <c:pt idx="0">
                  <c:v>2019-20</c:v>
                </c:pt>
              </c:strCache>
            </c:strRef>
          </c:tx>
          <c:spPr>
            <a:solidFill>
              <a:srgbClr val="9C533A"/>
            </a:solidFill>
            <a:ln>
              <a:noFill/>
            </a:ln>
            <a:effectLst/>
          </c:spPr>
          <c:invertIfNegative val="0"/>
          <c:cat>
            <c:strRef>
              <c:f>('Funding ($19-20) by pop'!$B$11,'Funding ($19-20) by pop'!$B$15,'Funding ($19-20) by pop'!$B$19,'Funding ($19-20) by pop'!$B$23,'Funding ($19-20) by pop'!$B$27,'Funding ($19-20) by pop'!$B$31,'Funding ($19-20) by pop'!$B$35)</c:f>
              <c:strCache>
                <c:ptCount val="7"/>
                <c:pt idx="0">
                  <c:v>NSW &amp; ACT</c:v>
                </c:pt>
                <c:pt idx="1">
                  <c:v>NT</c:v>
                </c:pt>
                <c:pt idx="2">
                  <c:v> Qld </c:v>
                </c:pt>
                <c:pt idx="3">
                  <c:v> SA </c:v>
                </c:pt>
                <c:pt idx="4">
                  <c:v> Vic / Tas </c:v>
                </c:pt>
                <c:pt idx="5">
                  <c:v> WA </c:v>
                </c:pt>
                <c:pt idx="6">
                  <c:v>Total</c:v>
                </c:pt>
              </c:strCache>
              <c:extLst/>
            </c:strRef>
          </c:cat>
          <c:val>
            <c:numRef>
              <c:f>('Funding ($19-20) by pop'!$H$11,'Funding ($19-20) by pop'!$H$15,'Funding ($19-20) by pop'!$H$19,'Funding ($19-20) by pop'!$H$23,'Funding ($19-20) by pop'!$H$27,'Funding ($19-20) by pop'!$H$31,'Funding ($19-20) by pop'!$H$35)</c:f>
              <c:numCache>
                <c:formatCode>"$"#,##0</c:formatCode>
                <c:ptCount val="7"/>
                <c:pt idx="0">
                  <c:v>766.04375589621645</c:v>
                </c:pt>
                <c:pt idx="1">
                  <c:v>2878.4734659186606</c:v>
                </c:pt>
                <c:pt idx="2">
                  <c:v>700.68602510670235</c:v>
                </c:pt>
                <c:pt idx="3">
                  <c:v>1213.5191262221831</c:v>
                </c:pt>
                <c:pt idx="4">
                  <c:v>733.53869446504791</c:v>
                </c:pt>
                <c:pt idx="5">
                  <c:v>1134.111366041747</c:v>
                </c:pt>
                <c:pt idx="6">
                  <c:v>1004.8223346462086</c:v>
                </c:pt>
              </c:numCache>
              <c:extLst/>
            </c:numRef>
          </c:val>
          <c:extLst xmlns:c15="http://schemas.microsoft.com/office/drawing/2012/chart">
            <c:ext xmlns:c16="http://schemas.microsoft.com/office/drawing/2014/chart" uri="{C3380CC4-5D6E-409C-BE32-E72D297353CC}">
              <c16:uniqueId val="{00000000-B907-42F5-89C2-A1B6DA4221F4}"/>
            </c:ext>
          </c:extLst>
        </c:ser>
        <c:dLbls>
          <c:showLegendKey val="0"/>
          <c:showVal val="0"/>
          <c:showCatName val="0"/>
          <c:showSerName val="0"/>
          <c:showPercent val="0"/>
          <c:showBubbleSize val="0"/>
        </c:dLbls>
        <c:gapWidth val="50"/>
        <c:axId val="1080061744"/>
        <c:axId val="1080063408"/>
        <c:extLst>
          <c:ext xmlns:c15="http://schemas.microsoft.com/office/drawing/2012/chart" uri="{02D57815-91ED-43cb-92C2-25804820EDAC}">
            <c15:filteredBarSeries>
              <c15:ser>
                <c:idx val="0"/>
                <c:order val="0"/>
                <c:tx>
                  <c:strRef>
                    <c:extLst>
                      <c:ext uri="{02D57815-91ED-43cb-92C2-25804820EDAC}">
                        <c15:formulaRef>
                          <c15:sqref>'Funding ($19-20) by pop'!$C$8</c15:sqref>
                        </c15:formulaRef>
                      </c:ext>
                    </c:extLst>
                    <c:strCache>
                      <c:ptCount val="1"/>
                      <c:pt idx="0">
                        <c:v>2014-15</c:v>
                      </c:pt>
                    </c:strCache>
                  </c:strRef>
                </c:tx>
                <c:spPr>
                  <a:solidFill>
                    <a:schemeClr val="accent1"/>
                  </a:solidFill>
                  <a:ln>
                    <a:noFill/>
                  </a:ln>
                  <a:effectLst/>
                </c:spPr>
                <c:invertIfNegative val="0"/>
                <c:cat>
                  <c:strRef>
                    <c:extLst>
                      <c:ext uri="{02D57815-91ED-43cb-92C2-25804820EDAC}">
                        <c15:formulaRef>
                          <c15:sqref>('Funding ($19-20) by pop'!$B$11,'Funding ($19-20) by pop'!$B$15,'Funding ($19-20) by pop'!$B$19,'Funding ($19-20) by pop'!$B$23,'Funding ($19-20) by pop'!$B$27,'Funding ($19-20) by pop'!$B$31,'Funding ($19-20) by pop'!$B$35)</c15:sqref>
                        </c15:formulaRef>
                      </c:ext>
                    </c:extLst>
                    <c:strCache>
                      <c:ptCount val="7"/>
                      <c:pt idx="0">
                        <c:v>NSW &amp; ACT</c:v>
                      </c:pt>
                      <c:pt idx="1">
                        <c:v>NT</c:v>
                      </c:pt>
                      <c:pt idx="2">
                        <c:v> Qld </c:v>
                      </c:pt>
                      <c:pt idx="3">
                        <c:v> SA </c:v>
                      </c:pt>
                      <c:pt idx="4">
                        <c:v> Vic / Tas </c:v>
                      </c:pt>
                      <c:pt idx="5">
                        <c:v> WA </c:v>
                      </c:pt>
                      <c:pt idx="6">
                        <c:v>Total</c:v>
                      </c:pt>
                    </c:strCache>
                  </c:strRef>
                </c:cat>
                <c:val>
                  <c:numRef>
                    <c:extLst>
                      <c:ext uri="{02D57815-91ED-43cb-92C2-25804820EDAC}">
                        <c15:formulaRef>
                          <c15:sqref>('Funding ($19-20) by pop'!$C$11,'Funding ($19-20) by pop'!$C$15,'Funding ($19-20) by pop'!$C$19,'Funding ($19-20) by pop'!$C$23,'Funding ($19-20) by pop'!$C$27,'Funding ($19-20) by pop'!$C$31,'Funding ($19-20) by pop'!$C$35)</c15:sqref>
                        </c15:formulaRef>
                      </c:ext>
                    </c:extLst>
                    <c:numCache>
                      <c:formatCode>"$"#,##0</c:formatCode>
                      <c:ptCount val="7"/>
                      <c:pt idx="0">
                        <c:v>488.64153939848893</c:v>
                      </c:pt>
                      <c:pt idx="1">
                        <c:v>2483.2445387051639</c:v>
                      </c:pt>
                      <c:pt idx="2">
                        <c:v>555.68830767456313</c:v>
                      </c:pt>
                      <c:pt idx="3">
                        <c:v>811.49039215465871</c:v>
                      </c:pt>
                      <c:pt idx="4">
                        <c:v>596.2795940097966</c:v>
                      </c:pt>
                      <c:pt idx="5">
                        <c:v>935.18058396319555</c:v>
                      </c:pt>
                      <c:pt idx="6">
                        <c:v>779.54294767580086</c:v>
                      </c:pt>
                    </c:numCache>
                  </c:numRef>
                </c:val>
                <c:extLst>
                  <c:ext xmlns:c16="http://schemas.microsoft.com/office/drawing/2014/chart" uri="{C3380CC4-5D6E-409C-BE32-E72D297353CC}">
                    <c16:uniqueId val="{00000001-B907-42F5-89C2-A1B6DA4221F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'Funding ($19-20) by pop'!$D$8</c15:sqref>
                        </c15:formulaRef>
                      </c:ext>
                    </c:extLst>
                    <c:strCache>
                      <c:ptCount val="1"/>
                      <c:pt idx="0">
                        <c:v>2015-16</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('Funding ($19-20) by pop'!$B$11,'Funding ($19-20) by pop'!$B$15,'Funding ($19-20) by pop'!$B$19,'Funding ($19-20) by pop'!$B$23,'Funding ($19-20) by pop'!$B$27,'Funding ($19-20) by pop'!$B$31,'Funding ($19-20) by pop'!$B$35)</c15:sqref>
                        </c15:formulaRef>
                      </c:ext>
                    </c:extLst>
                    <c:strCache>
                      <c:ptCount val="7"/>
                      <c:pt idx="0">
                        <c:v>NSW &amp; ACT</c:v>
                      </c:pt>
                      <c:pt idx="1">
                        <c:v>NT</c:v>
                      </c:pt>
                      <c:pt idx="2">
                        <c:v> Qld </c:v>
                      </c:pt>
                      <c:pt idx="3">
                        <c:v> SA </c:v>
                      </c:pt>
                      <c:pt idx="4">
                        <c:v> Vic / Tas </c:v>
                      </c:pt>
                      <c:pt idx="5">
                        <c:v> WA </c:v>
                      </c:pt>
                      <c:pt idx="6">
                        <c:v>Total</c:v>
                      </c:pt>
                    </c:strCache>
                  </c:strRef>
                </c:cat>
                <c:val>
                  <c:numRef>
                    <c:extLst xmlns:c15="http://schemas.microsoft.com/office/drawing/2012/chart">
                      <c:ext xmlns:c15="http://schemas.microsoft.com/office/drawing/2012/chart" uri="{02D57815-91ED-43cb-92C2-25804820EDAC}">
                        <c15:formulaRef>
                          <c15:sqref>('Funding ($19-20) by pop'!$D$11,'Funding ($19-20) by pop'!$D$15,'Funding ($19-20) by pop'!$D$19,'Funding ($19-20) by pop'!$D$23,'Funding ($19-20) by pop'!$D$27,'Funding ($19-20) by pop'!$D$31,'Funding ($19-20) by pop'!$D$35)</c15:sqref>
                        </c15:formulaRef>
                      </c:ext>
                    </c:extLst>
                    <c:numCache>
                      <c:formatCode>"$"#,##0</c:formatCode>
                      <c:ptCount val="7"/>
                      <c:pt idx="0">
                        <c:v>576.76466631044616</c:v>
                      </c:pt>
                      <c:pt idx="1">
                        <c:v>2715.8830858124361</c:v>
                      </c:pt>
                      <c:pt idx="2">
                        <c:v>692.76815268772123</c:v>
                      </c:pt>
                      <c:pt idx="3">
                        <c:v>1153.5047054439101</c:v>
                      </c:pt>
                      <c:pt idx="4">
                        <c:v>816.31113376957967</c:v>
                      </c:pt>
                      <c:pt idx="5">
                        <c:v>1113.6016414737815</c:v>
                      </c:pt>
                      <c:pt idx="6">
                        <c:v>932.99787971426395</c:v>
                      </c:pt>
                    </c:numCache>
                  </c:numRef>
                </c:val>
                <c:extLst xmlns:c15="http://schemas.microsoft.com/office/drawing/2012/chart">
                  <c:ext xmlns:c16="http://schemas.microsoft.com/office/drawing/2014/chart" uri="{C3380CC4-5D6E-409C-BE32-E72D297353CC}">
                    <c16:uniqueId val="{00000002-B907-42F5-89C2-A1B6DA4221F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'Funding ($19-20) by pop'!$E$8</c15:sqref>
                        </c15:formulaRef>
                      </c:ext>
                    </c:extLst>
                    <c:strCache>
                      <c:ptCount val="1"/>
                      <c:pt idx="0">
                        <c:v>2016-17</c:v>
                      </c:pt>
                    </c:strCache>
                  </c:strRef>
                </c:tx>
                <c:spPr>
                  <a:solidFill>
                    <a:schemeClr val="accent3"/>
                  </a:solidFill>
                  <a:ln>
                    <a:solidFill>
                      <a:srgbClr val="36A6BC"/>
                    </a:solidFill>
                    <a:prstDash val="sysDot"/>
                  </a:ln>
                  <a:effectLst/>
                </c:spPr>
                <c:invertIfNegative val="0"/>
                <c:cat>
                  <c:strRef>
                    <c:extLst xmlns:c15="http://schemas.microsoft.com/office/drawing/2012/chart">
                      <c:ext xmlns:c15="http://schemas.microsoft.com/office/drawing/2012/chart" uri="{02D57815-91ED-43cb-92C2-25804820EDAC}">
                        <c15:formulaRef>
                          <c15:sqref>('Funding ($19-20) by pop'!$B$11,'Funding ($19-20) by pop'!$B$15,'Funding ($19-20) by pop'!$B$19,'Funding ($19-20) by pop'!$B$23,'Funding ($19-20) by pop'!$B$27,'Funding ($19-20) by pop'!$B$31,'Funding ($19-20) by pop'!$B$35)</c15:sqref>
                        </c15:formulaRef>
                      </c:ext>
                    </c:extLst>
                    <c:strCache>
                      <c:ptCount val="7"/>
                      <c:pt idx="0">
                        <c:v>NSW &amp; ACT</c:v>
                      </c:pt>
                      <c:pt idx="1">
                        <c:v>NT</c:v>
                      </c:pt>
                      <c:pt idx="2">
                        <c:v> Qld </c:v>
                      </c:pt>
                      <c:pt idx="3">
                        <c:v> SA </c:v>
                      </c:pt>
                      <c:pt idx="4">
                        <c:v> Vic / Tas </c:v>
                      </c:pt>
                      <c:pt idx="5">
                        <c:v> WA </c:v>
                      </c:pt>
                      <c:pt idx="6">
                        <c:v>Total</c:v>
                      </c:pt>
                    </c:strCache>
                  </c:strRef>
                </c:cat>
                <c:val>
                  <c:numRef>
                    <c:extLst xmlns:c15="http://schemas.microsoft.com/office/drawing/2012/chart">
                      <c:ext xmlns:c15="http://schemas.microsoft.com/office/drawing/2012/chart" uri="{02D57815-91ED-43cb-92C2-25804820EDAC}">
                        <c15:formulaRef>
                          <c15:sqref>('Funding ($19-20) by pop'!$E$11,'Funding ($19-20) by pop'!$E$15,'Funding ($19-20) by pop'!$E$19,'Funding ($19-20) by pop'!$E$23,'Funding ($19-20) by pop'!$E$27,'Funding ($19-20) by pop'!$E$31,'Funding ($19-20) by pop'!$E$35)</c15:sqref>
                        </c15:formulaRef>
                      </c:ext>
                    </c:extLst>
                    <c:numCache>
                      <c:formatCode>"$"#,##0</c:formatCode>
                      <c:ptCount val="7"/>
                      <c:pt idx="0">
                        <c:v>621.63828953279199</c:v>
                      </c:pt>
                      <c:pt idx="1">
                        <c:v>2713.321325586579</c:v>
                      </c:pt>
                      <c:pt idx="2">
                        <c:v>743.63872343900664</c:v>
                      </c:pt>
                      <c:pt idx="3">
                        <c:v>1138.3312628654287</c:v>
                      </c:pt>
                      <c:pt idx="4">
                        <c:v>824.05895994038758</c:v>
                      </c:pt>
                      <c:pt idx="5">
                        <c:v>1173.5755584265703</c:v>
                      </c:pt>
                      <c:pt idx="6">
                        <c:v>968.46680272345986</c:v>
                      </c:pt>
                    </c:numCache>
                  </c:numRef>
                </c:val>
                <c:extLst xmlns:c15="http://schemas.microsoft.com/office/drawing/2012/chart">
                  <c:ext xmlns:c16="http://schemas.microsoft.com/office/drawing/2014/chart" uri="{C3380CC4-5D6E-409C-BE32-E72D297353CC}">
                    <c16:uniqueId val="{00000003-B907-42F5-89C2-A1B6DA4221F4}"/>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'Funding ($19-20) by pop'!$F$8</c15:sqref>
                        </c15:formulaRef>
                      </c:ext>
                    </c:extLst>
                    <c:strCache>
                      <c:ptCount val="1"/>
                      <c:pt idx="0">
                        <c:v>2017-18</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('Funding ($19-20) by pop'!$B$11,'Funding ($19-20) by pop'!$B$15,'Funding ($19-20) by pop'!$B$19,'Funding ($19-20) by pop'!$B$23,'Funding ($19-20) by pop'!$B$27,'Funding ($19-20) by pop'!$B$31,'Funding ($19-20) by pop'!$B$35)</c15:sqref>
                        </c15:formulaRef>
                      </c:ext>
                    </c:extLst>
                    <c:strCache>
                      <c:ptCount val="7"/>
                      <c:pt idx="0">
                        <c:v>NSW &amp; ACT</c:v>
                      </c:pt>
                      <c:pt idx="1">
                        <c:v>NT</c:v>
                      </c:pt>
                      <c:pt idx="2">
                        <c:v> Qld </c:v>
                      </c:pt>
                      <c:pt idx="3">
                        <c:v> SA </c:v>
                      </c:pt>
                      <c:pt idx="4">
                        <c:v> Vic / Tas </c:v>
                      </c:pt>
                      <c:pt idx="5">
                        <c:v> WA </c:v>
                      </c:pt>
                      <c:pt idx="6">
                        <c:v>Total</c:v>
                      </c:pt>
                    </c:strCache>
                  </c:strRef>
                </c:cat>
                <c:val>
                  <c:numRef>
                    <c:extLst xmlns:c15="http://schemas.microsoft.com/office/drawing/2012/chart">
                      <c:ext xmlns:c15="http://schemas.microsoft.com/office/drawing/2012/chart" uri="{02D57815-91ED-43cb-92C2-25804820EDAC}">
                        <c15:formulaRef>
                          <c15:sqref>('Funding ($19-20) by pop'!$F$11,'Funding ($19-20) by pop'!$F$15,'Funding ($19-20) by pop'!$F$19,'Funding ($19-20) by pop'!$F$23,'Funding ($19-20) by pop'!$F$27,'Funding ($19-20) by pop'!$F$31,'Funding ($19-20) by pop'!$F$35)</c15:sqref>
                        </c15:formulaRef>
                      </c:ext>
                    </c:extLst>
                    <c:numCache>
                      <c:formatCode>"$"#,##0</c:formatCode>
                      <c:ptCount val="7"/>
                      <c:pt idx="0">
                        <c:v>668.17124709354721</c:v>
                      </c:pt>
                      <c:pt idx="1">
                        <c:v>2697.2781945739398</c:v>
                      </c:pt>
                      <c:pt idx="2">
                        <c:v>746.29856875291523</c:v>
                      </c:pt>
                      <c:pt idx="3">
                        <c:v>1112.2335113599665</c:v>
                      </c:pt>
                      <c:pt idx="4">
                        <c:v>836.62288210859413</c:v>
                      </c:pt>
                      <c:pt idx="5">
                        <c:v>1089.8816457635744</c:v>
                      </c:pt>
                      <c:pt idx="6">
                        <c:v>971.4602929838743</c:v>
                      </c:pt>
                    </c:numCache>
                  </c:numRef>
                </c:val>
                <c:extLst xmlns:c15="http://schemas.microsoft.com/office/drawing/2012/chart">
                  <c:ext xmlns:c16="http://schemas.microsoft.com/office/drawing/2014/chart" uri="{C3380CC4-5D6E-409C-BE32-E72D297353CC}">
                    <c16:uniqueId val="{00000004-B907-42F5-89C2-A1B6DA4221F4}"/>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'Funding ($19-20) by pop'!$G$8</c15:sqref>
                        </c15:formulaRef>
                      </c:ext>
                    </c:extLst>
                    <c:strCache>
                      <c:ptCount val="1"/>
                      <c:pt idx="0">
                        <c:v>2018-19</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('Funding ($19-20) by pop'!$B$11,'Funding ($19-20) by pop'!$B$15,'Funding ($19-20) by pop'!$B$19,'Funding ($19-20) by pop'!$B$23,'Funding ($19-20) by pop'!$B$27,'Funding ($19-20) by pop'!$B$31,'Funding ($19-20) by pop'!$B$35)</c15:sqref>
                        </c15:formulaRef>
                      </c:ext>
                    </c:extLst>
                    <c:strCache>
                      <c:ptCount val="7"/>
                      <c:pt idx="0">
                        <c:v>NSW &amp; ACT</c:v>
                      </c:pt>
                      <c:pt idx="1">
                        <c:v>NT</c:v>
                      </c:pt>
                      <c:pt idx="2">
                        <c:v> Qld </c:v>
                      </c:pt>
                      <c:pt idx="3">
                        <c:v> SA </c:v>
                      </c:pt>
                      <c:pt idx="4">
                        <c:v> Vic / Tas </c:v>
                      </c:pt>
                      <c:pt idx="5">
                        <c:v> WA </c:v>
                      </c:pt>
                      <c:pt idx="6">
                        <c:v>Total</c:v>
                      </c:pt>
                    </c:strCache>
                  </c:strRef>
                </c:cat>
                <c:val>
                  <c:numRef>
                    <c:extLst xmlns:c15="http://schemas.microsoft.com/office/drawing/2012/chart">
                      <c:ext xmlns:c15="http://schemas.microsoft.com/office/drawing/2012/chart" uri="{02D57815-91ED-43cb-92C2-25804820EDAC}">
                        <c15:formulaRef>
                          <c15:sqref>('Funding ($19-20) by pop'!$G$11,'Funding ($19-20) by pop'!$G$15,'Funding ($19-20) by pop'!$G$19,'Funding ($19-20) by pop'!$G$23,'Funding ($19-20) by pop'!$G$27,'Funding ($19-20) by pop'!$G$31,'Funding ($19-20) by pop'!$G$35)</c15:sqref>
                        </c15:formulaRef>
                      </c:ext>
                    </c:extLst>
                    <c:numCache>
                      <c:formatCode>"$"#,##0</c:formatCode>
                      <c:ptCount val="7"/>
                      <c:pt idx="0">
                        <c:v>736.55838653552985</c:v>
                      </c:pt>
                      <c:pt idx="1">
                        <c:v>2853.949141908683</c:v>
                      </c:pt>
                      <c:pt idx="2">
                        <c:v>707.85670979477641</c:v>
                      </c:pt>
                      <c:pt idx="3">
                        <c:v>1154.9549431777577</c:v>
                      </c:pt>
                      <c:pt idx="4">
                        <c:v>784.5638619320323</c:v>
                      </c:pt>
                      <c:pt idx="5">
                        <c:v>1131.4689345533022</c:v>
                      </c:pt>
                      <c:pt idx="6">
                        <c:v>998.56902183781096</c:v>
                      </c:pt>
                    </c:numCache>
                  </c:numRef>
                </c:val>
                <c:extLst xmlns:c15="http://schemas.microsoft.com/office/drawing/2012/chart">
                  <c:ext xmlns:c16="http://schemas.microsoft.com/office/drawing/2014/chart" uri="{C3380CC4-5D6E-409C-BE32-E72D297353CC}">
                    <c16:uniqueId val="{00000005-B907-42F5-89C2-A1B6DA4221F4}"/>
                  </c:ext>
                </c:extLst>
              </c15:ser>
            </c15:filteredBarSeries>
          </c:ext>
        </c:extLst>
      </c:barChart>
      <c:catAx>
        <c:axId val="1080061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80063408"/>
        <c:crosses val="autoZero"/>
        <c:auto val="1"/>
        <c:lblAlgn val="ctr"/>
        <c:lblOffset val="100"/>
        <c:noMultiLvlLbl val="0"/>
      </c:catAx>
      <c:valAx>
        <c:axId val="1080063408"/>
        <c:scaling>
          <c:orientation val="minMax"/>
          <c:max val="3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IAHP funding per head ($)</a:t>
                </a:r>
              </a:p>
            </c:rich>
          </c:tx>
          <c:layout>
            <c:manualLayout>
              <c:xMode val="edge"/>
              <c:yMode val="edge"/>
              <c:x val="0.40842569393633638"/>
              <c:y val="0.8865927419354838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80061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5"/>
          <c:order val="15"/>
          <c:tx>
            <c:strRef>
              <c:f>'OSR clients'!$A$19:$B$19</c:f>
              <c:strCache>
                <c:ptCount val="2"/>
                <c:pt idx="0">
                  <c:v>2019–20</c:v>
                </c:pt>
                <c:pt idx="1">
                  <c:v>ACCHS</c:v>
                </c:pt>
              </c:strCache>
            </c:strRef>
          </c:tx>
          <c:spPr>
            <a:solidFill>
              <a:srgbClr val="959556"/>
            </a:solidFill>
            <a:ln>
              <a:noFill/>
            </a:ln>
            <a:effectLst/>
          </c:spPr>
          <c:invertIfNegative val="0"/>
          <c:cat>
            <c:strRef>
              <c:f>'OSR clients'!$C$3:$H$3</c:f>
              <c:strCache>
                <c:ptCount val="6"/>
                <c:pt idx="0">
                  <c:v>NSW/ACT</c:v>
                </c:pt>
                <c:pt idx="1">
                  <c:v>NT</c:v>
                </c:pt>
                <c:pt idx="2">
                  <c:v>Qld</c:v>
                </c:pt>
                <c:pt idx="3">
                  <c:v>SA</c:v>
                </c:pt>
                <c:pt idx="4">
                  <c:v>Vic/Tas</c:v>
                </c:pt>
                <c:pt idx="5">
                  <c:v>WA</c:v>
                </c:pt>
              </c:strCache>
              <c:extLst/>
            </c:strRef>
          </c:cat>
          <c:val>
            <c:numRef>
              <c:f>'OSR clients'!$C$19:$H$19</c:f>
              <c:numCache>
                <c:formatCode>###,###,##0</c:formatCode>
                <c:ptCount val="6"/>
                <c:pt idx="0">
                  <c:v>103445</c:v>
                </c:pt>
                <c:pt idx="1">
                  <c:v>55296</c:v>
                </c:pt>
                <c:pt idx="2">
                  <c:v>109833</c:v>
                </c:pt>
                <c:pt idx="3">
                  <c:v>21865</c:v>
                </c:pt>
                <c:pt idx="4">
                  <c:v>33629</c:v>
                </c:pt>
                <c:pt idx="5">
                  <c:v>56685</c:v>
                </c:pt>
              </c:numCache>
              <c:extLst/>
            </c:numRef>
          </c:val>
          <c:extLst>
            <c:ext xmlns:c16="http://schemas.microsoft.com/office/drawing/2014/chart" uri="{C3380CC4-5D6E-409C-BE32-E72D297353CC}">
              <c16:uniqueId val="{00000000-2F5B-4E02-9029-7562B9EEF83B}"/>
            </c:ext>
          </c:extLst>
        </c:ser>
        <c:ser>
          <c:idx val="16"/>
          <c:order val="16"/>
          <c:tx>
            <c:strRef>
              <c:f>'OSR clients'!$A$20:$B$20</c:f>
              <c:strCache>
                <c:ptCount val="2"/>
                <c:pt idx="0">
                  <c:v>2019–20</c:v>
                </c:pt>
                <c:pt idx="1">
                  <c:v>Non-ACCHS</c:v>
                </c:pt>
              </c:strCache>
            </c:strRef>
          </c:tx>
          <c:spPr>
            <a:solidFill>
              <a:srgbClr val="36A6BC"/>
            </a:solidFill>
            <a:ln>
              <a:noFill/>
            </a:ln>
            <a:effectLst/>
          </c:spPr>
          <c:invertIfNegative val="0"/>
          <c:cat>
            <c:strRef>
              <c:f>'OSR clients'!$C$3:$H$3</c:f>
              <c:strCache>
                <c:ptCount val="6"/>
                <c:pt idx="0">
                  <c:v>NSW/ACT</c:v>
                </c:pt>
                <c:pt idx="1">
                  <c:v>NT</c:v>
                </c:pt>
                <c:pt idx="2">
                  <c:v>Qld</c:v>
                </c:pt>
                <c:pt idx="3">
                  <c:v>SA</c:v>
                </c:pt>
                <c:pt idx="4">
                  <c:v>Vic/Tas</c:v>
                </c:pt>
                <c:pt idx="5">
                  <c:v>WA</c:v>
                </c:pt>
              </c:strCache>
              <c:extLst/>
            </c:strRef>
          </c:cat>
          <c:val>
            <c:numRef>
              <c:f>'OSR clients'!$C$20:$H$20</c:f>
              <c:numCache>
                <c:formatCode>###,###,##0</c:formatCode>
                <c:ptCount val="6"/>
                <c:pt idx="0">
                  <c:v>3904</c:v>
                </c:pt>
                <c:pt idx="1">
                  <c:v>45219</c:v>
                </c:pt>
                <c:pt idx="2">
                  <c:v>15588</c:v>
                </c:pt>
                <c:pt idx="3">
                  <c:v>1205</c:v>
                </c:pt>
                <c:pt idx="4">
                  <c:v>2094</c:v>
                </c:pt>
                <c:pt idx="5">
                  <c:v>19737</c:v>
                </c:pt>
              </c:numCache>
              <c:extLst/>
            </c:numRef>
          </c:val>
          <c:extLst>
            <c:ext xmlns:c16="http://schemas.microsoft.com/office/drawing/2014/chart" uri="{C3380CC4-5D6E-409C-BE32-E72D297353CC}">
              <c16:uniqueId val="{00000001-2F5B-4E02-9029-7562B9EEF83B}"/>
            </c:ext>
          </c:extLst>
        </c:ser>
        <c:dLbls>
          <c:showLegendKey val="0"/>
          <c:showVal val="0"/>
          <c:showCatName val="0"/>
          <c:showSerName val="0"/>
          <c:showPercent val="0"/>
          <c:showBubbleSize val="0"/>
        </c:dLbls>
        <c:gapWidth val="75"/>
        <c:overlap val="100"/>
        <c:axId val="1455383040"/>
        <c:axId val="1455397600"/>
        <c:extLst>
          <c:ext xmlns:c15="http://schemas.microsoft.com/office/drawing/2012/chart" uri="{02D57815-91ED-43cb-92C2-25804820EDAC}">
            <c15:filteredBarSeries>
              <c15:ser>
                <c:idx val="0"/>
                <c:order val="0"/>
                <c:tx>
                  <c:strRef>
                    <c:extLst>
                      <c:ext uri="{02D57815-91ED-43cb-92C2-25804820EDAC}">
                        <c15:formulaRef>
                          <c15:sqref>'OSR clients'!$A$4:$B$4</c15:sqref>
                        </c15:formulaRef>
                      </c:ext>
                    </c:extLst>
                    <c:strCache>
                      <c:ptCount val="2"/>
                      <c:pt idx="0">
                        <c:v>2014–15</c:v>
                      </c:pt>
                      <c:pt idx="1">
                        <c:v>ACCHO</c:v>
                      </c:pt>
                    </c:strCache>
                  </c:strRef>
                </c:tx>
                <c:spPr>
                  <a:solidFill>
                    <a:schemeClr val="accent1"/>
                  </a:solidFill>
                  <a:ln>
                    <a:noFill/>
                  </a:ln>
                  <a:effectLst/>
                </c:spPr>
                <c:invertIfNegative val="0"/>
                <c:cat>
                  <c:strRef>
                    <c:extLst>
                      <c:ex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c:ext uri="{02D57815-91ED-43cb-92C2-25804820EDAC}">
                        <c15:formulaRef>
                          <c15:sqref>'OSR clients'!$C$4:$H$4</c15:sqref>
                        </c15:formulaRef>
                      </c:ext>
                    </c:extLst>
                    <c:numCache>
                      <c:formatCode>###,###,##0</c:formatCode>
                      <c:ptCount val="6"/>
                      <c:pt idx="0">
                        <c:v>90446</c:v>
                      </c:pt>
                      <c:pt idx="1">
                        <c:v>50249</c:v>
                      </c:pt>
                      <c:pt idx="2">
                        <c:v>87220</c:v>
                      </c:pt>
                      <c:pt idx="3">
                        <c:v>18343</c:v>
                      </c:pt>
                      <c:pt idx="4">
                        <c:v>36430</c:v>
                      </c:pt>
                      <c:pt idx="5">
                        <c:v>57611</c:v>
                      </c:pt>
                    </c:numCache>
                  </c:numRef>
                </c:val>
                <c:extLst>
                  <c:ext xmlns:c16="http://schemas.microsoft.com/office/drawing/2014/chart" uri="{C3380CC4-5D6E-409C-BE32-E72D297353CC}">
                    <c16:uniqueId val="{00000003-2F5B-4E02-9029-7562B9EEF83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'OSR clients'!$A$5:$B$5</c15:sqref>
                        </c15:formulaRef>
                      </c:ext>
                    </c:extLst>
                    <c:strCache>
                      <c:ptCount val="2"/>
                      <c:pt idx="0">
                        <c:v>2014–15</c:v>
                      </c:pt>
                      <c:pt idx="1">
                        <c:v>Non-ACCHO</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clients'!$C$5:$H$5</c15:sqref>
                        </c15:formulaRef>
                      </c:ext>
                    </c:extLst>
                    <c:numCache>
                      <c:formatCode>###,###,##0</c:formatCode>
                      <c:ptCount val="6"/>
                      <c:pt idx="0">
                        <c:v>11368</c:v>
                      </c:pt>
                      <c:pt idx="1">
                        <c:v>32684</c:v>
                      </c:pt>
                      <c:pt idx="2">
                        <c:v>24202</c:v>
                      </c:pt>
                      <c:pt idx="3">
                        <c:v>1725</c:v>
                      </c:pt>
                      <c:pt idx="4">
                        <c:v>953</c:v>
                      </c:pt>
                      <c:pt idx="5">
                        <c:v>23379</c:v>
                      </c:pt>
                    </c:numCache>
                  </c:numRef>
                </c:val>
                <c:extLst xmlns:c15="http://schemas.microsoft.com/office/drawing/2012/chart">
                  <c:ext xmlns:c16="http://schemas.microsoft.com/office/drawing/2014/chart" uri="{C3380CC4-5D6E-409C-BE32-E72D297353CC}">
                    <c16:uniqueId val="{00000004-2F5B-4E02-9029-7562B9EEF83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'OSR clients'!$A$6:$B$6</c15:sqref>
                        </c15:formulaRef>
                      </c:ext>
                    </c:extLst>
                    <c:strCache>
                      <c:ptCount val="2"/>
                      <c:pt idx="0">
                        <c:v>Total</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clients'!$C$6:$H$6</c15:sqref>
                        </c15:formulaRef>
                      </c:ext>
                    </c:extLst>
                    <c:numCache>
                      <c:formatCode>###,###,##0</c:formatCode>
                      <c:ptCount val="6"/>
                      <c:pt idx="0">
                        <c:v>101814</c:v>
                      </c:pt>
                      <c:pt idx="1">
                        <c:v>82933</c:v>
                      </c:pt>
                      <c:pt idx="2">
                        <c:v>111422</c:v>
                      </c:pt>
                      <c:pt idx="3">
                        <c:v>20068</c:v>
                      </c:pt>
                      <c:pt idx="4">
                        <c:v>37383</c:v>
                      </c:pt>
                      <c:pt idx="5">
                        <c:v>80990</c:v>
                      </c:pt>
                    </c:numCache>
                  </c:numRef>
                </c:val>
                <c:extLst xmlns:c15="http://schemas.microsoft.com/office/drawing/2012/chart">
                  <c:ext xmlns:c16="http://schemas.microsoft.com/office/drawing/2014/chart" uri="{C3380CC4-5D6E-409C-BE32-E72D297353CC}">
                    <c16:uniqueId val="{00000005-2F5B-4E02-9029-7562B9EEF83B}"/>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'OSR clients'!$A$7:$B$7</c15:sqref>
                        </c15:formulaRef>
                      </c:ext>
                    </c:extLst>
                    <c:strCache>
                      <c:ptCount val="2"/>
                      <c:pt idx="0">
                        <c:v>2015–16</c:v>
                      </c:pt>
                      <c:pt idx="1">
                        <c:v>ACCHO</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clients'!$C$7:$H$7</c15:sqref>
                        </c15:formulaRef>
                      </c:ext>
                    </c:extLst>
                    <c:numCache>
                      <c:formatCode>###,###,##0</c:formatCode>
                      <c:ptCount val="6"/>
                      <c:pt idx="0">
                        <c:v>93401</c:v>
                      </c:pt>
                      <c:pt idx="1">
                        <c:v>55095</c:v>
                      </c:pt>
                      <c:pt idx="2">
                        <c:v>104527</c:v>
                      </c:pt>
                      <c:pt idx="3">
                        <c:v>17256</c:v>
                      </c:pt>
                      <c:pt idx="4">
                        <c:v>33477</c:v>
                      </c:pt>
                      <c:pt idx="5">
                        <c:v>58798</c:v>
                      </c:pt>
                    </c:numCache>
                  </c:numRef>
                </c:val>
                <c:extLst xmlns:c15="http://schemas.microsoft.com/office/drawing/2012/chart">
                  <c:ext xmlns:c16="http://schemas.microsoft.com/office/drawing/2014/chart" uri="{C3380CC4-5D6E-409C-BE32-E72D297353CC}">
                    <c16:uniqueId val="{00000006-2F5B-4E02-9029-7562B9EEF83B}"/>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'OSR clients'!$A$8:$B$8</c15:sqref>
                        </c15:formulaRef>
                      </c:ext>
                    </c:extLst>
                    <c:strCache>
                      <c:ptCount val="2"/>
                      <c:pt idx="0">
                        <c:v>2015–16</c:v>
                      </c:pt>
                      <c:pt idx="1">
                        <c:v>Non-ACCHO</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clients'!$C$8:$H$8</c15:sqref>
                        </c15:formulaRef>
                      </c:ext>
                    </c:extLst>
                    <c:numCache>
                      <c:formatCode>###,###,##0</c:formatCode>
                      <c:ptCount val="6"/>
                      <c:pt idx="0">
                        <c:v>11465</c:v>
                      </c:pt>
                      <c:pt idx="1">
                        <c:v>36355</c:v>
                      </c:pt>
                      <c:pt idx="2">
                        <c:v>29975</c:v>
                      </c:pt>
                      <c:pt idx="3">
                        <c:v>1180</c:v>
                      </c:pt>
                      <c:pt idx="4">
                        <c:v>779</c:v>
                      </c:pt>
                      <c:pt idx="5">
                        <c:v>19175</c:v>
                      </c:pt>
                    </c:numCache>
                  </c:numRef>
                </c:val>
                <c:extLst xmlns:c15="http://schemas.microsoft.com/office/drawing/2012/chart">
                  <c:ext xmlns:c16="http://schemas.microsoft.com/office/drawing/2014/chart" uri="{C3380CC4-5D6E-409C-BE32-E72D297353CC}">
                    <c16:uniqueId val="{00000007-2F5B-4E02-9029-7562B9EEF83B}"/>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'OSR clients'!$A$9:$B$9</c15:sqref>
                        </c15:formulaRef>
                      </c:ext>
                    </c:extLst>
                    <c:strCache>
                      <c:ptCount val="2"/>
                      <c:pt idx="0">
                        <c:v>Total</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clients'!$C$9:$H$9</c15:sqref>
                        </c15:formulaRef>
                      </c:ext>
                    </c:extLst>
                    <c:numCache>
                      <c:formatCode>###,###,##0</c:formatCode>
                      <c:ptCount val="6"/>
                      <c:pt idx="0">
                        <c:v>104866</c:v>
                      </c:pt>
                      <c:pt idx="1">
                        <c:v>91450</c:v>
                      </c:pt>
                      <c:pt idx="2">
                        <c:v>134502</c:v>
                      </c:pt>
                      <c:pt idx="3">
                        <c:v>18436</c:v>
                      </c:pt>
                      <c:pt idx="4">
                        <c:v>34256</c:v>
                      </c:pt>
                      <c:pt idx="5">
                        <c:v>77973</c:v>
                      </c:pt>
                    </c:numCache>
                  </c:numRef>
                </c:val>
                <c:extLst xmlns:c15="http://schemas.microsoft.com/office/drawing/2012/chart">
                  <c:ext xmlns:c16="http://schemas.microsoft.com/office/drawing/2014/chart" uri="{C3380CC4-5D6E-409C-BE32-E72D297353CC}">
                    <c16:uniqueId val="{00000008-2F5B-4E02-9029-7562B9EEF83B}"/>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'OSR clients'!$A$10:$B$10</c15:sqref>
                        </c15:formulaRef>
                      </c:ext>
                    </c:extLst>
                    <c:strCache>
                      <c:ptCount val="2"/>
                      <c:pt idx="0">
                        <c:v>2016–17</c:v>
                      </c:pt>
                      <c:pt idx="1">
                        <c:v>ACCHO</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clients'!$C$10:$H$10</c15:sqref>
                        </c15:formulaRef>
                      </c:ext>
                    </c:extLst>
                    <c:numCache>
                      <c:formatCode>###,###,##0</c:formatCode>
                      <c:ptCount val="6"/>
                      <c:pt idx="0">
                        <c:v>101504</c:v>
                      </c:pt>
                      <c:pt idx="1">
                        <c:v>57742</c:v>
                      </c:pt>
                      <c:pt idx="2">
                        <c:v>102501</c:v>
                      </c:pt>
                      <c:pt idx="3">
                        <c:v>17601</c:v>
                      </c:pt>
                      <c:pt idx="4">
                        <c:v>34942</c:v>
                      </c:pt>
                      <c:pt idx="5">
                        <c:v>57301</c:v>
                      </c:pt>
                    </c:numCache>
                  </c:numRef>
                </c:val>
                <c:extLst xmlns:c15="http://schemas.microsoft.com/office/drawing/2012/chart">
                  <c:ext xmlns:c16="http://schemas.microsoft.com/office/drawing/2014/chart" uri="{C3380CC4-5D6E-409C-BE32-E72D297353CC}">
                    <c16:uniqueId val="{00000009-2F5B-4E02-9029-7562B9EEF83B}"/>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'OSR clients'!$A$11:$B$11</c15:sqref>
                        </c15:formulaRef>
                      </c:ext>
                    </c:extLst>
                    <c:strCache>
                      <c:ptCount val="2"/>
                      <c:pt idx="0">
                        <c:v>2016–17</c:v>
                      </c:pt>
                      <c:pt idx="1">
                        <c:v>Non-ACCHO</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clients'!$C$11:$H$11</c15:sqref>
                        </c15:formulaRef>
                      </c:ext>
                    </c:extLst>
                    <c:numCache>
                      <c:formatCode>###,###,##0</c:formatCode>
                      <c:ptCount val="6"/>
                      <c:pt idx="0">
                        <c:v>4405</c:v>
                      </c:pt>
                      <c:pt idx="1">
                        <c:v>34889</c:v>
                      </c:pt>
                      <c:pt idx="2">
                        <c:v>16267</c:v>
                      </c:pt>
                      <c:pt idx="3">
                        <c:v>1200</c:v>
                      </c:pt>
                      <c:pt idx="4">
                        <c:v>804</c:v>
                      </c:pt>
                      <c:pt idx="5">
                        <c:v>15565</c:v>
                      </c:pt>
                    </c:numCache>
                  </c:numRef>
                </c:val>
                <c:extLst xmlns:c15="http://schemas.microsoft.com/office/drawing/2012/chart">
                  <c:ext xmlns:c16="http://schemas.microsoft.com/office/drawing/2014/chart" uri="{C3380CC4-5D6E-409C-BE32-E72D297353CC}">
                    <c16:uniqueId val="{0000000A-2F5B-4E02-9029-7562B9EEF83B}"/>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'OSR clients'!$A$12:$B$12</c15:sqref>
                        </c15:formulaRef>
                      </c:ext>
                    </c:extLst>
                    <c:strCache>
                      <c:ptCount val="2"/>
                      <c:pt idx="0">
                        <c:v>Total</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clients'!$C$12:$H$12</c15:sqref>
                        </c15:formulaRef>
                      </c:ext>
                    </c:extLst>
                    <c:numCache>
                      <c:formatCode>###,###,##0</c:formatCode>
                      <c:ptCount val="6"/>
                      <c:pt idx="0">
                        <c:v>105909</c:v>
                      </c:pt>
                      <c:pt idx="1">
                        <c:v>92631</c:v>
                      </c:pt>
                      <c:pt idx="2">
                        <c:v>118768</c:v>
                      </c:pt>
                      <c:pt idx="3">
                        <c:v>18801</c:v>
                      </c:pt>
                      <c:pt idx="4">
                        <c:v>35746</c:v>
                      </c:pt>
                      <c:pt idx="5">
                        <c:v>72866</c:v>
                      </c:pt>
                    </c:numCache>
                  </c:numRef>
                </c:val>
                <c:extLst xmlns:c15="http://schemas.microsoft.com/office/drawing/2012/chart">
                  <c:ext xmlns:c16="http://schemas.microsoft.com/office/drawing/2014/chart" uri="{C3380CC4-5D6E-409C-BE32-E72D297353CC}">
                    <c16:uniqueId val="{0000000B-2F5B-4E02-9029-7562B9EEF83B}"/>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'OSR clients'!$A$13:$B$13</c15:sqref>
                        </c15:formulaRef>
                      </c:ext>
                    </c:extLst>
                    <c:strCache>
                      <c:ptCount val="2"/>
                      <c:pt idx="0">
                        <c:v>2017–18</c:v>
                      </c:pt>
                      <c:pt idx="1">
                        <c:v>ACCHO</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clients'!$C$13:$H$13</c15:sqref>
                        </c15:formulaRef>
                      </c:ext>
                    </c:extLst>
                    <c:numCache>
                      <c:formatCode>###,###,##0</c:formatCode>
                      <c:ptCount val="6"/>
                      <c:pt idx="0">
                        <c:v>112294</c:v>
                      </c:pt>
                      <c:pt idx="1">
                        <c:v>60675</c:v>
                      </c:pt>
                      <c:pt idx="2">
                        <c:v>124787</c:v>
                      </c:pt>
                      <c:pt idx="3">
                        <c:v>20502</c:v>
                      </c:pt>
                      <c:pt idx="4">
                        <c:v>35897</c:v>
                      </c:pt>
                      <c:pt idx="5">
                        <c:v>55598</c:v>
                      </c:pt>
                    </c:numCache>
                  </c:numRef>
                </c:val>
                <c:extLst xmlns:c15="http://schemas.microsoft.com/office/drawing/2012/chart">
                  <c:ext xmlns:c16="http://schemas.microsoft.com/office/drawing/2014/chart" uri="{C3380CC4-5D6E-409C-BE32-E72D297353CC}">
                    <c16:uniqueId val="{0000000C-2F5B-4E02-9029-7562B9EEF83B}"/>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'OSR clients'!$A$14:$B$14</c15:sqref>
                        </c15:formulaRef>
                      </c:ext>
                    </c:extLst>
                    <c:strCache>
                      <c:ptCount val="2"/>
                      <c:pt idx="0">
                        <c:v>2017–18</c:v>
                      </c:pt>
                      <c:pt idx="1">
                        <c:v>Non-ACCHO</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clients'!$C$14:$H$14</c15:sqref>
                        </c15:formulaRef>
                      </c:ext>
                    </c:extLst>
                    <c:numCache>
                      <c:formatCode>###,###,##0</c:formatCode>
                      <c:ptCount val="6"/>
                      <c:pt idx="0">
                        <c:v>3766</c:v>
                      </c:pt>
                      <c:pt idx="1">
                        <c:v>35437</c:v>
                      </c:pt>
                      <c:pt idx="2">
                        <c:v>15931</c:v>
                      </c:pt>
                      <c:pt idx="3">
                        <c:v>999</c:v>
                      </c:pt>
                      <c:pt idx="4">
                        <c:v>1111</c:v>
                      </c:pt>
                      <c:pt idx="5">
                        <c:v>16076</c:v>
                      </c:pt>
                    </c:numCache>
                  </c:numRef>
                </c:val>
                <c:extLst xmlns:c15="http://schemas.microsoft.com/office/drawing/2012/chart">
                  <c:ext xmlns:c16="http://schemas.microsoft.com/office/drawing/2014/chart" uri="{C3380CC4-5D6E-409C-BE32-E72D297353CC}">
                    <c16:uniqueId val="{0000000D-2F5B-4E02-9029-7562B9EEF83B}"/>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'OSR clients'!$A$15:$B$15</c15:sqref>
                        </c15:formulaRef>
                      </c:ext>
                    </c:extLst>
                    <c:strCache>
                      <c:ptCount val="2"/>
                      <c:pt idx="0">
                        <c:v>Total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clients'!$C$15:$H$15</c15:sqref>
                        </c15:formulaRef>
                      </c:ext>
                    </c:extLst>
                    <c:numCache>
                      <c:formatCode>###,###,##0</c:formatCode>
                      <c:ptCount val="6"/>
                      <c:pt idx="0">
                        <c:v>116060</c:v>
                      </c:pt>
                      <c:pt idx="1">
                        <c:v>96112</c:v>
                      </c:pt>
                      <c:pt idx="2">
                        <c:v>140718</c:v>
                      </c:pt>
                      <c:pt idx="3">
                        <c:v>21501</c:v>
                      </c:pt>
                      <c:pt idx="4">
                        <c:v>37008</c:v>
                      </c:pt>
                      <c:pt idx="5">
                        <c:v>71674</c:v>
                      </c:pt>
                    </c:numCache>
                  </c:numRef>
                </c:val>
                <c:extLst xmlns:c15="http://schemas.microsoft.com/office/drawing/2012/chart">
                  <c:ext xmlns:c16="http://schemas.microsoft.com/office/drawing/2014/chart" uri="{C3380CC4-5D6E-409C-BE32-E72D297353CC}">
                    <c16:uniqueId val="{0000000E-2F5B-4E02-9029-7562B9EEF83B}"/>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'OSR clients'!$A$16:$B$16</c15:sqref>
                        </c15:formulaRef>
                      </c:ext>
                    </c:extLst>
                    <c:strCache>
                      <c:ptCount val="2"/>
                      <c:pt idx="0">
                        <c:v>2018–19</c:v>
                      </c:pt>
                      <c:pt idx="1">
                        <c:v>ACCHO</c:v>
                      </c:pt>
                    </c:strCache>
                  </c:strRef>
                </c:tx>
                <c:spPr>
                  <a:solidFill>
                    <a:schemeClr val="accent1">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clients'!$C$16:$H$16</c15:sqref>
                        </c15:formulaRef>
                      </c:ext>
                    </c:extLst>
                    <c:numCache>
                      <c:formatCode>###,###,##0</c:formatCode>
                      <c:ptCount val="6"/>
                      <c:pt idx="0">
                        <c:v>103586</c:v>
                      </c:pt>
                      <c:pt idx="1">
                        <c:v>55607</c:v>
                      </c:pt>
                      <c:pt idx="2">
                        <c:v>124891</c:v>
                      </c:pt>
                      <c:pt idx="3">
                        <c:v>20806</c:v>
                      </c:pt>
                      <c:pt idx="4">
                        <c:v>37266</c:v>
                      </c:pt>
                      <c:pt idx="5">
                        <c:v>56212</c:v>
                      </c:pt>
                    </c:numCache>
                  </c:numRef>
                </c:val>
                <c:extLst xmlns:c15="http://schemas.microsoft.com/office/drawing/2012/chart">
                  <c:ext xmlns:c16="http://schemas.microsoft.com/office/drawing/2014/chart" uri="{C3380CC4-5D6E-409C-BE32-E72D297353CC}">
                    <c16:uniqueId val="{0000000F-2F5B-4E02-9029-7562B9EEF83B}"/>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'OSR clients'!$A$17:$B$17</c15:sqref>
                        </c15:formulaRef>
                      </c:ext>
                    </c:extLst>
                    <c:strCache>
                      <c:ptCount val="2"/>
                      <c:pt idx="0">
                        <c:v>2018–19</c:v>
                      </c:pt>
                      <c:pt idx="1">
                        <c:v>Non-ACCHO</c:v>
                      </c:pt>
                    </c:strCache>
                  </c:strRef>
                </c:tx>
                <c:spPr>
                  <a:solidFill>
                    <a:schemeClr val="accent2">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clients'!$C$17:$H$17</c15:sqref>
                        </c15:formulaRef>
                      </c:ext>
                    </c:extLst>
                    <c:numCache>
                      <c:formatCode>###,###,##0</c:formatCode>
                      <c:ptCount val="6"/>
                      <c:pt idx="0">
                        <c:v>4138</c:v>
                      </c:pt>
                      <c:pt idx="1">
                        <c:v>48516</c:v>
                      </c:pt>
                      <c:pt idx="2">
                        <c:v>25212</c:v>
                      </c:pt>
                      <c:pt idx="3">
                        <c:v>1021</c:v>
                      </c:pt>
                      <c:pt idx="4">
                        <c:v>1054</c:v>
                      </c:pt>
                      <c:pt idx="5">
                        <c:v>19897</c:v>
                      </c:pt>
                    </c:numCache>
                  </c:numRef>
                </c:val>
                <c:extLst xmlns:c15="http://schemas.microsoft.com/office/drawing/2012/chart">
                  <c:ext xmlns:c16="http://schemas.microsoft.com/office/drawing/2014/chart" uri="{C3380CC4-5D6E-409C-BE32-E72D297353CC}">
                    <c16:uniqueId val="{00000010-2F5B-4E02-9029-7562B9EEF83B}"/>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'OSR clients'!$A$18:$B$18</c15:sqref>
                        </c15:formulaRef>
                      </c:ext>
                    </c:extLst>
                    <c:strCache>
                      <c:ptCount val="2"/>
                      <c:pt idx="0">
                        <c:v>Total</c:v>
                      </c:pt>
                    </c:strCache>
                  </c:strRef>
                </c:tx>
                <c:spPr>
                  <a:solidFill>
                    <a:schemeClr val="accent3">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clients'!$C$18:$H$18</c15:sqref>
                        </c15:formulaRef>
                      </c:ext>
                    </c:extLst>
                    <c:numCache>
                      <c:formatCode>###,###,##0</c:formatCode>
                      <c:ptCount val="6"/>
                      <c:pt idx="0">
                        <c:v>107724</c:v>
                      </c:pt>
                      <c:pt idx="1">
                        <c:v>104123</c:v>
                      </c:pt>
                      <c:pt idx="2">
                        <c:v>150103</c:v>
                      </c:pt>
                      <c:pt idx="3">
                        <c:v>21827</c:v>
                      </c:pt>
                      <c:pt idx="4">
                        <c:v>38320</c:v>
                      </c:pt>
                      <c:pt idx="5">
                        <c:v>76109</c:v>
                      </c:pt>
                    </c:numCache>
                  </c:numRef>
                </c:val>
                <c:extLst xmlns:c15="http://schemas.microsoft.com/office/drawing/2012/chart">
                  <c:ext xmlns:c16="http://schemas.microsoft.com/office/drawing/2014/chart" uri="{C3380CC4-5D6E-409C-BE32-E72D297353CC}">
                    <c16:uniqueId val="{00000011-2F5B-4E02-9029-7562B9EEF83B}"/>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'OSR clients'!$A$21:$B$21</c15:sqref>
                        </c15:formulaRef>
                      </c:ext>
                    </c:extLst>
                    <c:strCache>
                      <c:ptCount val="2"/>
                      <c:pt idx="0">
                        <c:v>Total</c:v>
                      </c:pt>
                    </c:strCache>
                  </c:strRef>
                </c:tx>
                <c:spPr>
                  <a:solidFill>
                    <a:schemeClr val="accent6">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'OSR clients'!$C$3:$H$3</c15:sqref>
                        </c15:formulaRef>
                      </c:ext>
                    </c:extLst>
                    <c:strCache>
                      <c:ptCount val="6"/>
                      <c:pt idx="0">
                        <c:v>NSW/ACT</c:v>
                      </c:pt>
                      <c:pt idx="1">
                        <c:v>NT</c:v>
                      </c:pt>
                      <c:pt idx="2">
                        <c:v>Qld</c:v>
                      </c:pt>
                      <c:pt idx="3">
                        <c:v>SA</c:v>
                      </c:pt>
                      <c:pt idx="4">
                        <c:v>Vic/Tas</c:v>
                      </c:pt>
                      <c:pt idx="5">
                        <c:v>WA</c:v>
                      </c:pt>
                    </c:strCache>
                  </c:strRef>
                </c:cat>
                <c:val>
                  <c:numRef>
                    <c:extLst xmlns:c15="http://schemas.microsoft.com/office/drawing/2012/chart">
                      <c:ext xmlns:c15="http://schemas.microsoft.com/office/drawing/2012/chart" uri="{02D57815-91ED-43cb-92C2-25804820EDAC}">
                        <c15:formulaRef>
                          <c15:sqref>'OSR clients'!$C$21:$H$21</c15:sqref>
                        </c15:formulaRef>
                      </c:ext>
                    </c:extLst>
                    <c:numCache>
                      <c:formatCode>###,###,##0</c:formatCode>
                      <c:ptCount val="6"/>
                      <c:pt idx="0">
                        <c:v>107349</c:v>
                      </c:pt>
                      <c:pt idx="1">
                        <c:v>100515</c:v>
                      </c:pt>
                      <c:pt idx="2">
                        <c:v>125421</c:v>
                      </c:pt>
                      <c:pt idx="3">
                        <c:v>23070</c:v>
                      </c:pt>
                      <c:pt idx="4">
                        <c:v>35723</c:v>
                      </c:pt>
                      <c:pt idx="5">
                        <c:v>76422</c:v>
                      </c:pt>
                    </c:numCache>
                  </c:numRef>
                </c:val>
                <c:extLst xmlns:c15="http://schemas.microsoft.com/office/drawing/2012/chart">
                  <c:ext xmlns:c16="http://schemas.microsoft.com/office/drawing/2014/chart" uri="{C3380CC4-5D6E-409C-BE32-E72D297353CC}">
                    <c16:uniqueId val="{00000012-2F5B-4E02-9029-7562B9EEF83B}"/>
                  </c:ext>
                </c:extLst>
              </c15:ser>
            </c15:filteredBarSeries>
          </c:ext>
        </c:extLst>
      </c:barChart>
      <c:lineChart>
        <c:grouping val="standard"/>
        <c:varyColors val="0"/>
        <c:ser>
          <c:idx val="18"/>
          <c:order val="18"/>
          <c:tx>
            <c:strRef>
              <c:f>'OSR clients'!$A$22:$B$22</c:f>
              <c:strCache>
                <c:ptCount val="2"/>
                <c:pt idx="0">
                  <c:v>2021</c:v>
                </c:pt>
                <c:pt idx="1">
                  <c:v>Indigenous population</c:v>
                </c:pt>
              </c:strCache>
            </c:strRef>
          </c:tx>
          <c:spPr>
            <a:ln w="28575" cap="rnd">
              <a:noFill/>
              <a:round/>
            </a:ln>
            <a:effectLst/>
          </c:spPr>
          <c:marker>
            <c:symbol val="dash"/>
            <c:size val="21"/>
            <c:spPr>
              <a:solidFill>
                <a:srgbClr val="3B7DBD"/>
              </a:solidFill>
              <a:ln w="9525">
                <a:solidFill>
                  <a:schemeClr val="accent1">
                    <a:lumMod val="80000"/>
                  </a:schemeClr>
                </a:solidFill>
              </a:ln>
              <a:effectLst/>
            </c:spPr>
          </c:marker>
          <c:cat>
            <c:strRef>
              <c:f>'OSR clients'!$C$3:$H$3</c:f>
              <c:strCache>
                <c:ptCount val="6"/>
                <c:pt idx="0">
                  <c:v>NSW/ACT</c:v>
                </c:pt>
                <c:pt idx="1">
                  <c:v>NT</c:v>
                </c:pt>
                <c:pt idx="2">
                  <c:v>Qld</c:v>
                </c:pt>
                <c:pt idx="3">
                  <c:v>SA</c:v>
                </c:pt>
                <c:pt idx="4">
                  <c:v>Vic/Tas</c:v>
                </c:pt>
                <c:pt idx="5">
                  <c:v>WA</c:v>
                </c:pt>
              </c:strCache>
              <c:extLst/>
            </c:strRef>
          </c:cat>
          <c:val>
            <c:numRef>
              <c:f>'OSR clients'!$C$22:$H$22</c:f>
              <c:numCache>
                <c:formatCode>_-* #,##0_-;\-* #,##0_-;_-* "-"??_-;_-@_-</c:formatCode>
                <c:ptCount val="6"/>
                <c:pt idx="0">
                  <c:v>349090</c:v>
                </c:pt>
                <c:pt idx="1">
                  <c:v>76736</c:v>
                </c:pt>
                <c:pt idx="2">
                  <c:v>273224</c:v>
                </c:pt>
                <c:pt idx="3">
                  <c:v>52083</c:v>
                </c:pt>
                <c:pt idx="4">
                  <c:v>112592</c:v>
                </c:pt>
                <c:pt idx="5">
                  <c:v>120037</c:v>
                </c:pt>
              </c:numCache>
              <c:extLst/>
            </c:numRef>
          </c:val>
          <c:smooth val="0"/>
          <c:extLst>
            <c:ext xmlns:c16="http://schemas.microsoft.com/office/drawing/2014/chart" uri="{C3380CC4-5D6E-409C-BE32-E72D297353CC}">
              <c16:uniqueId val="{00000002-2F5B-4E02-9029-7562B9EEF83B}"/>
            </c:ext>
          </c:extLst>
        </c:ser>
        <c:dLbls>
          <c:showLegendKey val="0"/>
          <c:showVal val="0"/>
          <c:showCatName val="0"/>
          <c:showSerName val="0"/>
          <c:showPercent val="0"/>
          <c:showBubbleSize val="0"/>
        </c:dLbls>
        <c:marker val="1"/>
        <c:smooth val="0"/>
        <c:axId val="1455383040"/>
        <c:axId val="1455397600"/>
      </c:lineChart>
      <c:catAx>
        <c:axId val="145538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5397600"/>
        <c:crosses val="autoZero"/>
        <c:auto val="1"/>
        <c:lblAlgn val="ctr"/>
        <c:lblOffset val="100"/>
        <c:noMultiLvlLbl val="0"/>
      </c:catAx>
      <c:valAx>
        <c:axId val="1455397600"/>
        <c:scaling>
          <c:orientation val="minMax"/>
          <c:max val="3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Number of people</a:t>
                </a:r>
              </a:p>
            </c:rich>
          </c:tx>
          <c:layout>
            <c:manualLayout>
              <c:xMode val="edge"/>
              <c:yMode val="edge"/>
              <c:x val="1.5338262166269868E-2"/>
              <c:y val="0.267824301374092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5538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5"/>
          <c:order val="5"/>
          <c:tx>
            <c:strRef>
              <c:f>'[IAHP constant prices analysis.xlsx]Funding ($19-20) by client '!$H$8</c:f>
              <c:strCache>
                <c:ptCount val="1"/>
                <c:pt idx="0">
                  <c:v>2019-20</c:v>
                </c:pt>
              </c:strCache>
            </c:strRef>
          </c:tx>
          <c:spPr>
            <a:solidFill>
              <a:srgbClr val="9C533A"/>
            </a:solidFill>
            <a:ln>
              <a:noFill/>
            </a:ln>
            <a:effectLst/>
          </c:spPr>
          <c:invertIfNegative val="0"/>
          <c:cat>
            <c:strRef>
              <c:f>'[IAHP constant prices analysis.xlsx]Funding ($19-20) by client '!$B$9:$B$35</c:f>
              <c:strCache>
                <c:ptCount val="7"/>
                <c:pt idx="0">
                  <c:v>NSW &amp; ACT</c:v>
                </c:pt>
                <c:pt idx="1">
                  <c:v>NT</c:v>
                </c:pt>
                <c:pt idx="2">
                  <c:v>Qld</c:v>
                </c:pt>
                <c:pt idx="3">
                  <c:v>SA</c:v>
                </c:pt>
                <c:pt idx="4">
                  <c:v>Vic / Tas</c:v>
                </c:pt>
                <c:pt idx="5">
                  <c:v>WA</c:v>
                </c:pt>
                <c:pt idx="6">
                  <c:v>Total</c:v>
                </c:pt>
              </c:strCache>
              <c:extLst/>
            </c:strRef>
          </c:cat>
          <c:val>
            <c:numRef>
              <c:f>'[IAHP constant prices analysis.xlsx]Funding ($19-20) by client '!$H$9:$H$35</c:f>
              <c:numCache>
                <c:formatCode>"$"#,##0</c:formatCode>
                <c:ptCount val="7"/>
                <c:pt idx="0">
                  <c:v>2082.4203279024491</c:v>
                </c:pt>
                <c:pt idx="1">
                  <c:v>2210.3090834203849</c:v>
                </c:pt>
                <c:pt idx="2">
                  <c:v>1335.7705508646877</c:v>
                </c:pt>
                <c:pt idx="3">
                  <c:v>2377.9083493714788</c:v>
                </c:pt>
                <c:pt idx="4">
                  <c:v>1910.2232211740338</c:v>
                </c:pt>
                <c:pt idx="5">
                  <c:v>1591.4614894925542</c:v>
                </c:pt>
                <c:pt idx="6">
                  <c:v>1831.3096163500531</c:v>
                </c:pt>
              </c:numCache>
              <c:extLst/>
            </c:numRef>
          </c:val>
          <c:extLst>
            <c:ext xmlns:c16="http://schemas.microsoft.com/office/drawing/2014/chart" uri="{C3380CC4-5D6E-409C-BE32-E72D297353CC}">
              <c16:uniqueId val="{00000000-4174-4711-8F36-87B9EA85C3C6}"/>
            </c:ext>
          </c:extLst>
        </c:ser>
        <c:dLbls>
          <c:showLegendKey val="0"/>
          <c:showVal val="0"/>
          <c:showCatName val="0"/>
          <c:showSerName val="0"/>
          <c:showPercent val="0"/>
          <c:showBubbleSize val="0"/>
        </c:dLbls>
        <c:gapWidth val="50"/>
        <c:axId val="1425672896"/>
        <c:axId val="1425673728"/>
        <c:extLst>
          <c:ext xmlns:c15="http://schemas.microsoft.com/office/drawing/2012/chart" uri="{02D57815-91ED-43cb-92C2-25804820EDAC}">
            <c15:filteredBarSeries>
              <c15:ser>
                <c:idx val="0"/>
                <c:order val="0"/>
                <c:tx>
                  <c:strRef>
                    <c:extLst>
                      <c:ext uri="{02D57815-91ED-43cb-92C2-25804820EDAC}">
                        <c15:formulaRef>
                          <c15:sqref>'[IAHP constant prices analysis.xlsx]Funding ($19-20) by client '!$C$8</c15:sqref>
                        </c15:formulaRef>
                      </c:ext>
                    </c:extLst>
                    <c:strCache>
                      <c:ptCount val="1"/>
                      <c:pt idx="0">
                        <c:v>2014-15</c:v>
                      </c:pt>
                    </c:strCache>
                  </c:strRef>
                </c:tx>
                <c:spPr>
                  <a:solidFill>
                    <a:schemeClr val="accent1"/>
                  </a:solidFill>
                  <a:ln>
                    <a:noFill/>
                  </a:ln>
                  <a:effectLst/>
                </c:spPr>
                <c:invertIfNegative val="0"/>
                <c:cat>
                  <c:strRef>
                    <c:extLst>
                      <c:ext uri="{02D57815-91ED-43cb-92C2-25804820EDAC}">
                        <c15:formulaRef>
                          <c15:sqref>'[IAHP constant prices analysis.xlsx]Funding ($19-20) by client '!$B$9:$B$35</c15:sqref>
                        </c15:formulaRef>
                      </c:ext>
                    </c:extLst>
                    <c:strCache>
                      <c:ptCount val="7"/>
                      <c:pt idx="0">
                        <c:v>NSW &amp; ACT</c:v>
                      </c:pt>
                      <c:pt idx="1">
                        <c:v>NT</c:v>
                      </c:pt>
                      <c:pt idx="2">
                        <c:v>Qld</c:v>
                      </c:pt>
                      <c:pt idx="3">
                        <c:v>SA</c:v>
                      </c:pt>
                      <c:pt idx="4">
                        <c:v>Vic / Tas</c:v>
                      </c:pt>
                      <c:pt idx="5">
                        <c:v>WA</c:v>
                      </c:pt>
                      <c:pt idx="6">
                        <c:v>Total</c:v>
                      </c:pt>
                    </c:strCache>
                  </c:strRef>
                </c:cat>
                <c:val>
                  <c:numRef>
                    <c:extLst>
                      <c:ext uri="{02D57815-91ED-43cb-92C2-25804820EDAC}">
                        <c15:formulaRef>
                          <c15:sqref>'[IAHP constant prices analysis.xlsx]Funding ($19-20) by client '!$C$9:$C$35</c15:sqref>
                        </c15:formulaRef>
                      </c:ext>
                    </c:extLst>
                    <c:numCache>
                      <c:formatCode>"$"#,##0</c:formatCode>
                      <c:ptCount val="7"/>
                      <c:pt idx="0">
                        <c:v>1267.6272641567582</c:v>
                      </c:pt>
                      <c:pt idx="1">
                        <c:v>2177.8132156243396</c:v>
                      </c:pt>
                      <c:pt idx="2">
                        <c:v>1070.7729970607052</c:v>
                      </c:pt>
                      <c:pt idx="3">
                        <c:v>1665.803602990391</c:v>
                      </c:pt>
                      <c:pt idx="4">
                        <c:v>1338.5944934513855</c:v>
                      </c:pt>
                      <c:pt idx="5">
                        <c:v>1131.390684876822</c:v>
                      </c:pt>
                      <c:pt idx="6">
                        <c:v>1389.9445727995339</c:v>
                      </c:pt>
                    </c:numCache>
                  </c:numRef>
                </c:val>
                <c:extLst>
                  <c:ext xmlns:c16="http://schemas.microsoft.com/office/drawing/2014/chart" uri="{C3380CC4-5D6E-409C-BE32-E72D297353CC}">
                    <c16:uniqueId val="{00000001-4174-4711-8F36-87B9EA85C3C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'[IAHP constant prices analysis.xlsx]Funding ($19-20) by client '!$D$8</c15:sqref>
                        </c15:formulaRef>
                      </c:ext>
                    </c:extLst>
                    <c:strCache>
                      <c:ptCount val="1"/>
                      <c:pt idx="0">
                        <c:v>2015-16</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'[IAHP constant prices analysis.xlsx]Funding ($19-20) by client '!$B$9:$B$35</c15:sqref>
                        </c15:formulaRef>
                      </c:ext>
                    </c:extLst>
                    <c:strCache>
                      <c:ptCount val="7"/>
                      <c:pt idx="0">
                        <c:v>NSW &amp; ACT</c:v>
                      </c:pt>
                      <c:pt idx="1">
                        <c:v>NT</c:v>
                      </c:pt>
                      <c:pt idx="2">
                        <c:v>Qld</c:v>
                      </c:pt>
                      <c:pt idx="3">
                        <c:v>SA</c:v>
                      </c:pt>
                      <c:pt idx="4">
                        <c:v>Vic / Tas</c:v>
                      </c:pt>
                      <c:pt idx="5">
                        <c:v>WA</c:v>
                      </c:pt>
                      <c:pt idx="6">
                        <c:v>Total</c:v>
                      </c:pt>
                    </c:strCache>
                  </c:strRef>
                </c:cat>
                <c:val>
                  <c:numRef>
                    <c:extLst xmlns:c15="http://schemas.microsoft.com/office/drawing/2012/chart">
                      <c:ext xmlns:c15="http://schemas.microsoft.com/office/drawing/2012/chart" uri="{02D57815-91ED-43cb-92C2-25804820EDAC}">
                        <c15:formulaRef>
                          <c15:sqref>'[IAHP constant prices analysis.xlsx]Funding ($19-20) by client '!$D$9:$D$35</c15:sqref>
                        </c15:formulaRef>
                      </c:ext>
                    </c:extLst>
                    <c:numCache>
                      <c:formatCode>"$"#,##0</c:formatCode>
                      <c:ptCount val="7"/>
                      <c:pt idx="0">
                        <c:v>1485.8155426172566</c:v>
                      </c:pt>
                      <c:pt idx="1">
                        <c:v>2196.3312362252773</c:v>
                      </c:pt>
                      <c:pt idx="2">
                        <c:v>1128.6158535732941</c:v>
                      </c:pt>
                      <c:pt idx="3">
                        <c:v>2622.1959998265106</c:v>
                      </c:pt>
                      <c:pt idx="4">
                        <c:v>2037.167630758428</c:v>
                      </c:pt>
                      <c:pt idx="5">
                        <c:v>1423.4543393640051</c:v>
                      </c:pt>
                      <c:pt idx="6">
                        <c:v>1598.2953625540051</c:v>
                      </c:pt>
                    </c:numCache>
                  </c:numRef>
                </c:val>
                <c:extLst xmlns:c15="http://schemas.microsoft.com/office/drawing/2012/chart">
                  <c:ext xmlns:c16="http://schemas.microsoft.com/office/drawing/2014/chart" uri="{C3380CC4-5D6E-409C-BE32-E72D297353CC}">
                    <c16:uniqueId val="{00000002-4174-4711-8F36-87B9EA85C3C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'[IAHP constant prices analysis.xlsx]Funding ($19-20) by client '!$E$8</c15:sqref>
                        </c15:formulaRef>
                      </c:ext>
                    </c:extLst>
                    <c:strCache>
                      <c:ptCount val="1"/>
                      <c:pt idx="0">
                        <c:v>2016-17</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'[IAHP constant prices analysis.xlsx]Funding ($19-20) by client '!$B$9:$B$35</c15:sqref>
                        </c15:formulaRef>
                      </c:ext>
                    </c:extLst>
                    <c:strCache>
                      <c:ptCount val="7"/>
                      <c:pt idx="0">
                        <c:v>NSW &amp; ACT</c:v>
                      </c:pt>
                      <c:pt idx="1">
                        <c:v>NT</c:v>
                      </c:pt>
                      <c:pt idx="2">
                        <c:v>Qld</c:v>
                      </c:pt>
                      <c:pt idx="3">
                        <c:v>SA</c:v>
                      </c:pt>
                      <c:pt idx="4">
                        <c:v>Vic / Tas</c:v>
                      </c:pt>
                      <c:pt idx="5">
                        <c:v>WA</c:v>
                      </c:pt>
                      <c:pt idx="6">
                        <c:v>Total</c:v>
                      </c:pt>
                    </c:strCache>
                  </c:strRef>
                </c:cat>
                <c:val>
                  <c:numRef>
                    <c:extLst xmlns:c15="http://schemas.microsoft.com/office/drawing/2012/chart">
                      <c:ext xmlns:c15="http://schemas.microsoft.com/office/drawing/2012/chart" uri="{02D57815-91ED-43cb-92C2-25804820EDAC}">
                        <c15:formulaRef>
                          <c15:sqref>'[IAHP constant prices analysis.xlsx]Funding ($19-20) by client '!$E$9:$E$35</c15:sqref>
                        </c15:formulaRef>
                      </c:ext>
                    </c:extLst>
                    <c:numCache>
                      <c:formatCode>"$"#,##0</c:formatCode>
                      <c:ptCount val="7"/>
                      <c:pt idx="0">
                        <c:v>1618.5463299014814</c:v>
                      </c:pt>
                      <c:pt idx="1">
                        <c:v>2194.7260668843346</c:v>
                      </c:pt>
                      <c:pt idx="2">
                        <c:v>1400.9094643312192</c:v>
                      </c:pt>
                      <c:pt idx="3">
                        <c:v>2583.813980255421</c:v>
                      </c:pt>
                      <c:pt idx="4">
                        <c:v>2010.7213826710833</c:v>
                      </c:pt>
                      <c:pt idx="5">
                        <c:v>1634.0605416968756</c:v>
                      </c:pt>
                      <c:pt idx="6">
                        <c:v>1755.3083785875103</c:v>
                      </c:pt>
                    </c:numCache>
                  </c:numRef>
                </c:val>
                <c:extLst xmlns:c15="http://schemas.microsoft.com/office/drawing/2012/chart">
                  <c:ext xmlns:c16="http://schemas.microsoft.com/office/drawing/2014/chart" uri="{C3380CC4-5D6E-409C-BE32-E72D297353CC}">
                    <c16:uniqueId val="{00000003-4174-4711-8F36-87B9EA85C3C6}"/>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'[IAHP constant prices analysis.xlsx]Funding ($19-20) by client '!$F$8</c15:sqref>
                        </c15:formulaRef>
                      </c:ext>
                    </c:extLst>
                    <c:strCache>
                      <c:ptCount val="1"/>
                      <c:pt idx="0">
                        <c:v>2017-18</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'[IAHP constant prices analysis.xlsx]Funding ($19-20) by client '!$B$9:$B$35</c15:sqref>
                        </c15:formulaRef>
                      </c:ext>
                    </c:extLst>
                    <c:strCache>
                      <c:ptCount val="7"/>
                      <c:pt idx="0">
                        <c:v>NSW &amp; ACT</c:v>
                      </c:pt>
                      <c:pt idx="1">
                        <c:v>NT</c:v>
                      </c:pt>
                      <c:pt idx="2">
                        <c:v>Qld</c:v>
                      </c:pt>
                      <c:pt idx="3">
                        <c:v>SA</c:v>
                      </c:pt>
                      <c:pt idx="4">
                        <c:v>Vic / Tas</c:v>
                      </c:pt>
                      <c:pt idx="5">
                        <c:v>WA</c:v>
                      </c:pt>
                      <c:pt idx="6">
                        <c:v>Total</c:v>
                      </c:pt>
                    </c:strCache>
                  </c:strRef>
                </c:cat>
                <c:val>
                  <c:numRef>
                    <c:extLst xmlns:c15="http://schemas.microsoft.com/office/drawing/2012/chart">
                      <c:ext xmlns:c15="http://schemas.microsoft.com/office/drawing/2012/chart" uri="{02D57815-91ED-43cb-92C2-25804820EDAC}">
                        <c15:formulaRef>
                          <c15:sqref>'[IAHP constant prices analysis.xlsx]Funding ($19-20) by client '!$F$9:$F$35</c15:sqref>
                        </c15:formulaRef>
                      </c:ext>
                    </c:extLst>
                    <c:numCache>
                      <c:formatCode>"$"#,##0</c:formatCode>
                      <c:ptCount val="7"/>
                      <c:pt idx="0">
                        <c:v>1617.4424717522597</c:v>
                      </c:pt>
                      <c:pt idx="1">
                        <c:v>2124.0448376323789</c:v>
                      </c:pt>
                      <c:pt idx="2">
                        <c:v>1213.1183524351759</c:v>
                      </c:pt>
                      <c:pt idx="3">
                        <c:v>2250.3575800166009</c:v>
                      </c:pt>
                      <c:pt idx="4">
                        <c:v>2014.0054651862731</c:v>
                      </c:pt>
                      <c:pt idx="5">
                        <c:v>1571.6943656737471</c:v>
                      </c:pt>
                      <c:pt idx="6">
                        <c:v>1652.2203343447352</c:v>
                      </c:pt>
                    </c:numCache>
                  </c:numRef>
                </c:val>
                <c:extLst xmlns:c15="http://schemas.microsoft.com/office/drawing/2012/chart">
                  <c:ext xmlns:c16="http://schemas.microsoft.com/office/drawing/2014/chart" uri="{C3380CC4-5D6E-409C-BE32-E72D297353CC}">
                    <c16:uniqueId val="{00000004-4174-4711-8F36-87B9EA85C3C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'[IAHP constant prices analysis.xlsx]Funding ($19-20) by client '!$G$8</c15:sqref>
                        </c15:formulaRef>
                      </c:ext>
                    </c:extLst>
                    <c:strCache>
                      <c:ptCount val="1"/>
                      <c:pt idx="0">
                        <c:v>2018-19</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'[IAHP constant prices analysis.xlsx]Funding ($19-20) by client '!$B$9:$B$35</c15:sqref>
                        </c15:formulaRef>
                      </c:ext>
                    </c:extLst>
                    <c:strCache>
                      <c:ptCount val="7"/>
                      <c:pt idx="0">
                        <c:v>NSW &amp; ACT</c:v>
                      </c:pt>
                      <c:pt idx="1">
                        <c:v>NT</c:v>
                      </c:pt>
                      <c:pt idx="2">
                        <c:v>Qld</c:v>
                      </c:pt>
                      <c:pt idx="3">
                        <c:v>SA</c:v>
                      </c:pt>
                      <c:pt idx="4">
                        <c:v>Vic / Tas</c:v>
                      </c:pt>
                      <c:pt idx="5">
                        <c:v>WA</c:v>
                      </c:pt>
                      <c:pt idx="6">
                        <c:v>Total</c:v>
                      </c:pt>
                    </c:strCache>
                  </c:strRef>
                </c:cat>
                <c:val>
                  <c:numRef>
                    <c:extLst xmlns:c15="http://schemas.microsoft.com/office/drawing/2012/chart">
                      <c:ext xmlns:c15="http://schemas.microsoft.com/office/drawing/2012/chart" uri="{02D57815-91ED-43cb-92C2-25804820EDAC}">
                        <c15:formulaRef>
                          <c15:sqref>'[IAHP constant prices analysis.xlsx]Funding ($19-20) by client '!$G$9:$G$35</c15:sqref>
                        </c15:formulaRef>
                      </c:ext>
                    </c:extLst>
                    <c:numCache>
                      <c:formatCode>"$"#,##0</c:formatCode>
                      <c:ptCount val="7"/>
                      <c:pt idx="0">
                        <c:v>1957.5883184756885</c:v>
                      </c:pt>
                      <c:pt idx="1">
                        <c:v>2095.1609676337484</c:v>
                      </c:pt>
                      <c:pt idx="2">
                        <c:v>1507.1915558402884</c:v>
                      </c:pt>
                      <c:pt idx="3">
                        <c:v>2346.4999511013543</c:v>
                      </c:pt>
                      <c:pt idx="4">
                        <c:v>1863.6462821597922</c:v>
                      </c:pt>
                      <c:pt idx="5">
                        <c:v>1565.241557664843</c:v>
                      </c:pt>
                      <c:pt idx="6">
                        <c:v>1678.6911624556437</c:v>
                      </c:pt>
                    </c:numCache>
                  </c:numRef>
                </c:val>
                <c:extLst xmlns:c15="http://schemas.microsoft.com/office/drawing/2012/chart">
                  <c:ext xmlns:c16="http://schemas.microsoft.com/office/drawing/2014/chart" uri="{C3380CC4-5D6E-409C-BE32-E72D297353CC}">
                    <c16:uniqueId val="{00000005-4174-4711-8F36-87B9EA85C3C6}"/>
                  </c:ext>
                </c:extLst>
              </c15:ser>
            </c15:filteredBarSeries>
          </c:ext>
        </c:extLst>
      </c:barChart>
      <c:catAx>
        <c:axId val="142567289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25673728"/>
        <c:crosses val="autoZero"/>
        <c:auto val="1"/>
        <c:lblAlgn val="ctr"/>
        <c:lblOffset val="100"/>
        <c:noMultiLvlLbl val="0"/>
      </c:catAx>
      <c:valAx>
        <c:axId val="1425673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IAHP funding per client ($)</a:t>
                </a:r>
              </a:p>
            </c:rich>
          </c:tx>
          <c:layout>
            <c:manualLayout>
              <c:xMode val="edge"/>
              <c:yMode val="edge"/>
              <c:x val="0.39661289720550996"/>
              <c:y val="0.9060934891485807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quot;$&quot;#,##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425672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5875" cap="flat" cmpd="sng" algn="ctr">
      <a:solidFill>
        <a:srgbClr val="3B7DBD"/>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Yarnes">
      <a:dk1>
        <a:sysClr val="windowText" lastClr="000000"/>
      </a:dk1>
      <a:lt1>
        <a:sysClr val="window" lastClr="FFFFFF"/>
      </a:lt1>
      <a:dk2>
        <a:srgbClr val="EBECED"/>
      </a:dk2>
      <a:lt2>
        <a:srgbClr val="36424A"/>
      </a:lt2>
      <a:accent1>
        <a:srgbClr val="357DBE"/>
      </a:accent1>
      <a:accent2>
        <a:srgbClr val="36424A"/>
      </a:accent2>
      <a:accent3>
        <a:srgbClr val="9E6047"/>
      </a:accent3>
      <a:accent4>
        <a:srgbClr val="EBECED"/>
      </a:accent4>
      <a:accent5>
        <a:srgbClr val="30A6BC"/>
      </a:accent5>
      <a:accent6>
        <a:srgbClr val="D9F0F5"/>
      </a:accent6>
      <a:hlink>
        <a:srgbClr val="00B0F0"/>
      </a:hlink>
      <a:folHlink>
        <a:srgbClr val="78B800"/>
      </a:folHlink>
    </a:clrScheme>
    <a:fontScheme name="Allen + Clarke">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YARNES">
    <a:dk1>
      <a:sysClr val="windowText" lastClr="000000"/>
    </a:dk1>
    <a:lt1>
      <a:sysClr val="window" lastClr="FFFFFF"/>
    </a:lt1>
    <a:dk2>
      <a:srgbClr val="1F497D"/>
    </a:dk2>
    <a:lt2>
      <a:srgbClr val="EEECE1"/>
    </a:lt2>
    <a:accent1>
      <a:srgbClr val="9C533A"/>
    </a:accent1>
    <a:accent2>
      <a:srgbClr val="3B7DBD"/>
    </a:accent2>
    <a:accent3>
      <a:srgbClr val="E6E978"/>
    </a:accent3>
    <a:accent4>
      <a:srgbClr val="B4795F"/>
    </a:accent4>
    <a:accent5>
      <a:srgbClr val="CEE8D1"/>
    </a:accent5>
    <a:accent6>
      <a:srgbClr val="36A6BC"/>
    </a:accent6>
    <a:hlink>
      <a:srgbClr val="959556"/>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YARNES">
    <a:dk1>
      <a:sysClr val="windowText" lastClr="000000"/>
    </a:dk1>
    <a:lt1>
      <a:sysClr val="window" lastClr="FFFFFF"/>
    </a:lt1>
    <a:dk2>
      <a:srgbClr val="1F497D"/>
    </a:dk2>
    <a:lt2>
      <a:srgbClr val="EEECE1"/>
    </a:lt2>
    <a:accent1>
      <a:srgbClr val="9C533A"/>
    </a:accent1>
    <a:accent2>
      <a:srgbClr val="3B7DBD"/>
    </a:accent2>
    <a:accent3>
      <a:srgbClr val="E6E978"/>
    </a:accent3>
    <a:accent4>
      <a:srgbClr val="B4795F"/>
    </a:accent4>
    <a:accent5>
      <a:srgbClr val="CEE8D1"/>
    </a:accent5>
    <a:accent6>
      <a:srgbClr val="36A6BC"/>
    </a:accent6>
    <a:hlink>
      <a:srgbClr val="959556"/>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YARNES">
    <a:dk1>
      <a:sysClr val="windowText" lastClr="000000"/>
    </a:dk1>
    <a:lt1>
      <a:sysClr val="window" lastClr="FFFFFF"/>
    </a:lt1>
    <a:dk2>
      <a:srgbClr val="1F497D"/>
    </a:dk2>
    <a:lt2>
      <a:srgbClr val="EEECE1"/>
    </a:lt2>
    <a:accent1>
      <a:srgbClr val="9C533A"/>
    </a:accent1>
    <a:accent2>
      <a:srgbClr val="3B7DBD"/>
    </a:accent2>
    <a:accent3>
      <a:srgbClr val="E6E978"/>
    </a:accent3>
    <a:accent4>
      <a:srgbClr val="B4795F"/>
    </a:accent4>
    <a:accent5>
      <a:srgbClr val="CEE8D1"/>
    </a:accent5>
    <a:accent6>
      <a:srgbClr val="36A6BC"/>
    </a:accent6>
    <a:hlink>
      <a:srgbClr val="959556"/>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YARNES">
    <a:dk1>
      <a:sysClr val="windowText" lastClr="000000"/>
    </a:dk1>
    <a:lt1>
      <a:sysClr val="window" lastClr="FFFFFF"/>
    </a:lt1>
    <a:dk2>
      <a:srgbClr val="1F497D"/>
    </a:dk2>
    <a:lt2>
      <a:srgbClr val="EEECE1"/>
    </a:lt2>
    <a:accent1>
      <a:srgbClr val="9C533A"/>
    </a:accent1>
    <a:accent2>
      <a:srgbClr val="3B7DBD"/>
    </a:accent2>
    <a:accent3>
      <a:srgbClr val="E6E978"/>
    </a:accent3>
    <a:accent4>
      <a:srgbClr val="B4795F"/>
    </a:accent4>
    <a:accent5>
      <a:srgbClr val="CEE8D1"/>
    </a:accent5>
    <a:accent6>
      <a:srgbClr val="36A6BC"/>
    </a:accent6>
    <a:hlink>
      <a:srgbClr val="959556"/>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YARNES">
    <a:dk1>
      <a:sysClr val="windowText" lastClr="000000"/>
    </a:dk1>
    <a:lt1>
      <a:sysClr val="window" lastClr="FFFFFF"/>
    </a:lt1>
    <a:dk2>
      <a:srgbClr val="1F497D"/>
    </a:dk2>
    <a:lt2>
      <a:srgbClr val="EEECE1"/>
    </a:lt2>
    <a:accent1>
      <a:srgbClr val="9C533A"/>
    </a:accent1>
    <a:accent2>
      <a:srgbClr val="3B7DBD"/>
    </a:accent2>
    <a:accent3>
      <a:srgbClr val="E6E978"/>
    </a:accent3>
    <a:accent4>
      <a:srgbClr val="B4795F"/>
    </a:accent4>
    <a:accent5>
      <a:srgbClr val="CEE8D1"/>
    </a:accent5>
    <a:accent6>
      <a:srgbClr val="36A6BC"/>
    </a:accent6>
    <a:hlink>
      <a:srgbClr val="959556"/>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069add-d7e8-4add-8a48-b71ef95c018a" xsi:nil="true"/>
    <lcf76f155ced4ddcb4097134ff3c332f xmlns="f082d028-a603-4676-9e6f-48b531900ba6">
      <Terms xmlns="http://schemas.microsoft.com/office/infopath/2007/PartnerControls"/>
    </lcf76f155ced4ddcb4097134ff3c332f>
    <IconOverlay xmlns="http://schemas.microsoft.com/sharepoint/v4" xsi:nil="true"/>
    <SharedWithUsers xmlns="66069add-d7e8-4add-8a48-b71ef95c018a">
      <UserInfo>
        <DisplayName>Jodie Lee</DisplayName>
        <AccountId>1867</AccountId>
        <AccountType/>
      </UserInfo>
      <UserInfo>
        <DisplayName>Josephine Parkinson</DisplayName>
        <AccountId>2448</AccountId>
        <AccountType/>
      </UserInfo>
      <UserInfo>
        <DisplayName>Kylie Berg</DisplayName>
        <AccountId>279</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3158E7F50F7404EB1EC9EAB58BC7380" ma:contentTypeVersion="17" ma:contentTypeDescription="Create a new document." ma:contentTypeScope="" ma:versionID="af83a886925540b5d0cdeb4eec11c77b">
  <xsd:schema xmlns:xsd="http://www.w3.org/2001/XMLSchema" xmlns:xs="http://www.w3.org/2001/XMLSchema" xmlns:p="http://schemas.microsoft.com/office/2006/metadata/properties" xmlns:ns2="f082d028-a603-4676-9e6f-48b531900ba6" xmlns:ns3="66069add-d7e8-4add-8a48-b71ef95c018a" xmlns:ns4="http://schemas.microsoft.com/sharepoint/v4" targetNamespace="http://schemas.microsoft.com/office/2006/metadata/properties" ma:root="true" ma:fieldsID="2ccc4098fa9e39f5255e8d3c0c94ea0b" ns2:_="" ns3:_="" ns4:_="">
    <xsd:import namespace="f082d028-a603-4676-9e6f-48b531900ba6"/>
    <xsd:import namespace="66069add-d7e8-4add-8a48-b71ef95c018a"/>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4:IconOverlay"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82d028-a603-4676-9e6f-48b531900b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be3efed-c0ca-4f15-ac61-7d69f3171c2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069add-d7e8-4add-8a48-b71ef95c018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26323a3-290c-4573-bb94-0994e9e8525c}" ma:internalName="TaxCatchAll" ma:showField="CatchAllData" ma:web="66069add-d7e8-4add-8a48-b71ef95c018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7C2712-1662-444B-898B-EE104B1A89D8}">
  <ds:schemaRefs>
    <ds:schemaRef ds:uri="http://purl.org/dc/terms/"/>
    <ds:schemaRef ds:uri="http://schemas.microsoft.com/office/2006/documentManagement/types"/>
    <ds:schemaRef ds:uri="f082d028-a603-4676-9e6f-48b531900ba6"/>
    <ds:schemaRef ds:uri="http://purl.org/dc/elements/1.1/"/>
    <ds:schemaRef ds:uri="http://schemas.microsoft.com/office/2006/metadata/properties"/>
    <ds:schemaRef ds:uri="66069add-d7e8-4add-8a48-b71ef95c018a"/>
    <ds:schemaRef ds:uri="http://schemas.microsoft.com/office/infopath/2007/PartnerControls"/>
    <ds:schemaRef ds:uri="http://schemas.microsoft.com/sharepoint/v4"/>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BFD7353F-FAB5-4711-9D80-6752E9A7AAF7}">
  <ds:schemaRefs>
    <ds:schemaRef ds:uri="http://schemas.openxmlformats.org/officeDocument/2006/bibliography"/>
  </ds:schemaRefs>
</ds:datastoreItem>
</file>

<file path=customXml/itemProps3.xml><?xml version="1.0" encoding="utf-8"?>
<ds:datastoreItem xmlns:ds="http://schemas.openxmlformats.org/officeDocument/2006/customXml" ds:itemID="{0F89DD84-F218-4EDB-836C-E05AEB0E66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82d028-a603-4676-9e6f-48b531900ba6"/>
    <ds:schemaRef ds:uri="66069add-d7e8-4add-8a48-b71ef95c018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B5D7038-40E9-4607-B7E4-BC5D4067C9A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Final Yarnes Report - Structure - v1.dotx</Template>
  <TotalTime>83</TotalTime>
  <Pages>340</Pages>
  <Words>132660</Words>
  <Characters>764122</Characters>
  <Application>Microsoft Office Word</Application>
  <DocSecurity>0</DocSecurity>
  <Lines>14150</Lines>
  <Paragraphs>5748</Paragraphs>
  <ScaleCrop>false</ScaleCrop>
  <HeadingPairs>
    <vt:vector size="2" baseType="variant">
      <vt:variant>
        <vt:lpstr>Title</vt:lpstr>
      </vt:variant>
      <vt:variant>
        <vt:i4>1</vt:i4>
      </vt:variant>
    </vt:vector>
  </HeadingPairs>
  <TitlesOfParts>
    <vt:vector size="1" baseType="lpstr">
      <vt:lpstr>IAHP Primary Health Care Evaluation Report - June 2023</vt:lpstr>
    </vt:vector>
  </TitlesOfParts>
  <Company/>
  <LinksUpToDate>false</LinksUpToDate>
  <CharactersWithSpaces>891034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IAHP Primary Health Care Evaluation Report - June 2023</dc:title>
  <dc:subject>IAHP Primary Health Care Evaluation</dc:subject>
  <dc:creator>Australian Government Department of Health, Disability and Ageing</dc:creator>
  <cp:keywords>Indigenous health; Evaluation; Aboriginal and Torres Strait Islander primary health care</cp:keywords>
  <dc:description/>
  <cp:lastPrinted>2025-08-28T01:31:00Z</cp:lastPrinted>
  <dcterms:created xsi:type="dcterms:W3CDTF">2023-06-28T02:27:00Z</dcterms:created>
  <dcterms:modified xsi:type="dcterms:W3CDTF">2025-09-05T00:20:00Z</dcterms:modified>
</cp:coreProperties>
</file>